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21356" w14:textId="77777777" w:rsidR="00D46430" w:rsidRPr="00CD5673" w:rsidRDefault="00D46430" w:rsidP="00D46430">
      <w:r w:rsidRPr="00CD5673">
        <w:object w:dxaOrig="2146" w:dyaOrig="1561" w14:anchorId="6B519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6pt;height:82.2pt" o:ole="" fillcolor="window">
            <v:imagedata r:id="rId8" o:title=""/>
          </v:shape>
          <o:OLEObject Type="Embed" ProgID="Word.Picture.8" ShapeID="_x0000_i1025" DrawAspect="Content" ObjectID="_1769322868" r:id="rId9"/>
        </w:object>
      </w:r>
    </w:p>
    <w:p w14:paraId="50EC9924" w14:textId="77777777" w:rsidR="00D46430" w:rsidRPr="00CD5673" w:rsidRDefault="00D46430" w:rsidP="00D46430">
      <w:pPr>
        <w:pStyle w:val="ShortT"/>
        <w:spacing w:before="240"/>
      </w:pPr>
      <w:r w:rsidRPr="00CD5673">
        <w:t xml:space="preserve">Corporations </w:t>
      </w:r>
      <w:r w:rsidR="00C614F1">
        <w:t>Regulations 2</w:t>
      </w:r>
      <w:r w:rsidRPr="00CD5673">
        <w:t>001</w:t>
      </w:r>
    </w:p>
    <w:p w14:paraId="1FBBDE2F" w14:textId="77777777" w:rsidR="00D46430" w:rsidRPr="00CD5673" w:rsidRDefault="00D46430" w:rsidP="00D46430">
      <w:pPr>
        <w:pStyle w:val="CompiledActNo"/>
        <w:spacing w:before="240"/>
      </w:pPr>
      <w:r w:rsidRPr="00CD5673">
        <w:t>Statutory Rules No. 193, 2001</w:t>
      </w:r>
    </w:p>
    <w:p w14:paraId="05477E54" w14:textId="77777777" w:rsidR="00D46430" w:rsidRPr="00CD5673" w:rsidRDefault="00D46430" w:rsidP="00D46430">
      <w:pPr>
        <w:pStyle w:val="MadeunderText"/>
      </w:pPr>
      <w:r w:rsidRPr="00CD5673">
        <w:t>made under the</w:t>
      </w:r>
    </w:p>
    <w:p w14:paraId="22C61A69" w14:textId="77777777" w:rsidR="00D46430" w:rsidRPr="00CD5673" w:rsidRDefault="00D46430" w:rsidP="00D46430">
      <w:pPr>
        <w:pStyle w:val="CompiledMadeUnder"/>
        <w:spacing w:before="240"/>
      </w:pPr>
      <w:r w:rsidRPr="00CD5673">
        <w:t>Corporations Act 2001</w:t>
      </w:r>
    </w:p>
    <w:p w14:paraId="24EFE2F9" w14:textId="77777777" w:rsidR="00D46430" w:rsidRPr="00CD5673" w:rsidRDefault="00D46430" w:rsidP="00D46430">
      <w:pPr>
        <w:spacing w:before="1000"/>
        <w:rPr>
          <w:rFonts w:cs="Arial"/>
          <w:b/>
          <w:sz w:val="32"/>
          <w:szCs w:val="32"/>
        </w:rPr>
      </w:pPr>
      <w:r w:rsidRPr="00CD5673">
        <w:rPr>
          <w:rFonts w:cs="Arial"/>
          <w:b/>
          <w:sz w:val="32"/>
          <w:szCs w:val="32"/>
        </w:rPr>
        <w:t>Compilation No. </w:t>
      </w:r>
      <w:r w:rsidRPr="00CD5673">
        <w:rPr>
          <w:rFonts w:cs="Arial"/>
          <w:b/>
          <w:sz w:val="32"/>
          <w:szCs w:val="32"/>
        </w:rPr>
        <w:fldChar w:fldCharType="begin"/>
      </w:r>
      <w:r w:rsidRPr="00CD5673">
        <w:rPr>
          <w:rFonts w:cs="Arial"/>
          <w:b/>
          <w:sz w:val="32"/>
          <w:szCs w:val="32"/>
        </w:rPr>
        <w:instrText xml:space="preserve"> DOCPROPERTY  CompilationNumber </w:instrText>
      </w:r>
      <w:r w:rsidRPr="00CD5673">
        <w:rPr>
          <w:rFonts w:cs="Arial"/>
          <w:b/>
          <w:sz w:val="32"/>
          <w:szCs w:val="32"/>
        </w:rPr>
        <w:fldChar w:fldCharType="separate"/>
      </w:r>
      <w:r w:rsidR="00CD39C5">
        <w:rPr>
          <w:rFonts w:cs="Arial"/>
          <w:b/>
          <w:sz w:val="32"/>
          <w:szCs w:val="32"/>
        </w:rPr>
        <w:t>192</w:t>
      </w:r>
      <w:r w:rsidRPr="00CD5673">
        <w:rPr>
          <w:rFonts w:cs="Arial"/>
          <w:b/>
          <w:sz w:val="32"/>
          <w:szCs w:val="32"/>
        </w:rPr>
        <w:fldChar w:fldCharType="end"/>
      </w:r>
    </w:p>
    <w:p w14:paraId="21E3201C" w14:textId="77777777" w:rsidR="00D46430" w:rsidRPr="00CD5673" w:rsidRDefault="00D46430" w:rsidP="00D46430">
      <w:pPr>
        <w:tabs>
          <w:tab w:val="left" w:pos="3600"/>
        </w:tabs>
        <w:spacing w:before="480"/>
        <w:rPr>
          <w:rFonts w:cs="Arial"/>
          <w:sz w:val="24"/>
        </w:rPr>
      </w:pPr>
      <w:r w:rsidRPr="00CD5673">
        <w:rPr>
          <w:rFonts w:cs="Arial"/>
          <w:b/>
          <w:sz w:val="24"/>
        </w:rPr>
        <w:t>Compilation date:</w:t>
      </w:r>
      <w:r w:rsidRPr="00CD5673">
        <w:rPr>
          <w:rFonts w:cs="Arial"/>
          <w:sz w:val="24"/>
        </w:rPr>
        <w:tab/>
      </w:r>
      <w:r w:rsidRPr="00CD39C5">
        <w:rPr>
          <w:rFonts w:cs="Arial"/>
          <w:sz w:val="24"/>
        </w:rPr>
        <w:fldChar w:fldCharType="begin"/>
      </w:r>
      <w:r w:rsidR="00237DB4" w:rsidRPr="00CD39C5">
        <w:rPr>
          <w:rFonts w:cs="Arial"/>
          <w:sz w:val="24"/>
        </w:rPr>
        <w:instrText>DOCPROPERTY StartDate \@ "d MMMM yyyy" \* MERGEFORMAT</w:instrText>
      </w:r>
      <w:r w:rsidRPr="00CD39C5">
        <w:rPr>
          <w:rFonts w:cs="Arial"/>
          <w:sz w:val="24"/>
        </w:rPr>
        <w:fldChar w:fldCharType="separate"/>
      </w:r>
      <w:r w:rsidR="00CD39C5" w:rsidRPr="00CD39C5">
        <w:rPr>
          <w:rFonts w:cs="Arial"/>
          <w:bCs/>
          <w:sz w:val="24"/>
        </w:rPr>
        <w:t>1</w:t>
      </w:r>
      <w:r w:rsidR="00CD39C5" w:rsidRPr="00CD39C5">
        <w:rPr>
          <w:rFonts w:cs="Arial"/>
          <w:sz w:val="24"/>
        </w:rPr>
        <w:t xml:space="preserve"> November 2023</w:t>
      </w:r>
      <w:r w:rsidRPr="00CD39C5">
        <w:rPr>
          <w:rFonts w:cs="Arial"/>
          <w:sz w:val="24"/>
        </w:rPr>
        <w:fldChar w:fldCharType="end"/>
      </w:r>
    </w:p>
    <w:p w14:paraId="215387BF" w14:textId="77777777" w:rsidR="00D46430" w:rsidRPr="00CD5673" w:rsidRDefault="00D46430" w:rsidP="00D46430">
      <w:pPr>
        <w:spacing w:before="240"/>
        <w:rPr>
          <w:rFonts w:cs="Arial"/>
          <w:sz w:val="24"/>
        </w:rPr>
      </w:pPr>
      <w:r w:rsidRPr="00CD5673">
        <w:rPr>
          <w:rFonts w:cs="Arial"/>
          <w:b/>
          <w:sz w:val="24"/>
        </w:rPr>
        <w:t>Includes amendments up to:</w:t>
      </w:r>
      <w:r w:rsidRPr="00CD5673">
        <w:rPr>
          <w:rFonts w:cs="Arial"/>
          <w:sz w:val="24"/>
        </w:rPr>
        <w:tab/>
      </w:r>
      <w:r w:rsidRPr="00CD39C5">
        <w:rPr>
          <w:rFonts w:cs="Arial"/>
          <w:sz w:val="24"/>
        </w:rPr>
        <w:fldChar w:fldCharType="begin"/>
      </w:r>
      <w:r w:rsidRPr="00CD39C5">
        <w:rPr>
          <w:rFonts w:cs="Arial"/>
          <w:sz w:val="24"/>
        </w:rPr>
        <w:instrText xml:space="preserve"> DOCPROPERTY IncludesUpTo </w:instrText>
      </w:r>
      <w:r w:rsidRPr="00CD39C5">
        <w:rPr>
          <w:rFonts w:cs="Arial"/>
          <w:sz w:val="24"/>
        </w:rPr>
        <w:fldChar w:fldCharType="separate"/>
      </w:r>
      <w:r w:rsidR="00CD39C5" w:rsidRPr="00CD39C5">
        <w:rPr>
          <w:rFonts w:cs="Arial"/>
          <w:sz w:val="24"/>
        </w:rPr>
        <w:t>F2023L01458</w:t>
      </w:r>
      <w:r w:rsidRPr="00CD39C5">
        <w:rPr>
          <w:rFonts w:cs="Arial"/>
          <w:sz w:val="24"/>
        </w:rPr>
        <w:fldChar w:fldCharType="end"/>
      </w:r>
    </w:p>
    <w:p w14:paraId="1C8B7F5C" w14:textId="77777777" w:rsidR="00D46430" w:rsidRPr="00CD5673" w:rsidRDefault="00D46430" w:rsidP="00D46430">
      <w:pPr>
        <w:tabs>
          <w:tab w:val="left" w:pos="3600"/>
        </w:tabs>
        <w:spacing w:before="240" w:after="240"/>
        <w:rPr>
          <w:rFonts w:cs="Arial"/>
          <w:sz w:val="24"/>
          <w:szCs w:val="24"/>
        </w:rPr>
      </w:pPr>
      <w:r w:rsidRPr="00CD5673">
        <w:rPr>
          <w:rFonts w:cs="Arial"/>
          <w:b/>
          <w:sz w:val="24"/>
        </w:rPr>
        <w:t>Registered:</w:t>
      </w:r>
      <w:r w:rsidRPr="00CD5673">
        <w:rPr>
          <w:rFonts w:cs="Arial"/>
          <w:sz w:val="24"/>
        </w:rPr>
        <w:tab/>
      </w:r>
      <w:r w:rsidRPr="00CD39C5">
        <w:rPr>
          <w:rFonts w:cs="Arial"/>
          <w:sz w:val="24"/>
        </w:rPr>
        <w:fldChar w:fldCharType="begin"/>
      </w:r>
      <w:r w:rsidRPr="00CD39C5">
        <w:rPr>
          <w:rFonts w:cs="Arial"/>
          <w:sz w:val="24"/>
        </w:rPr>
        <w:instrText xml:space="preserve"> IF </w:instrText>
      </w:r>
      <w:r w:rsidRPr="00CD39C5">
        <w:rPr>
          <w:rFonts w:cs="Arial"/>
          <w:sz w:val="24"/>
        </w:rPr>
        <w:fldChar w:fldCharType="begin"/>
      </w:r>
      <w:r w:rsidRPr="00CD39C5">
        <w:rPr>
          <w:rFonts w:cs="Arial"/>
          <w:sz w:val="24"/>
        </w:rPr>
        <w:instrText xml:space="preserve"> DOCPROPERTY RegisteredDate </w:instrText>
      </w:r>
      <w:r w:rsidRPr="00CD39C5">
        <w:rPr>
          <w:rFonts w:cs="Arial"/>
          <w:sz w:val="24"/>
        </w:rPr>
        <w:fldChar w:fldCharType="separate"/>
      </w:r>
      <w:r w:rsidR="00CD39C5" w:rsidRPr="00CD39C5">
        <w:rPr>
          <w:rFonts w:cs="Arial"/>
          <w:sz w:val="24"/>
        </w:rPr>
        <w:instrText>28 November 2023</w:instrText>
      </w:r>
      <w:r w:rsidRPr="00CD39C5">
        <w:rPr>
          <w:rFonts w:cs="Arial"/>
          <w:sz w:val="24"/>
        </w:rPr>
        <w:fldChar w:fldCharType="end"/>
      </w:r>
      <w:r w:rsidRPr="00CD39C5">
        <w:rPr>
          <w:rFonts w:cs="Arial"/>
          <w:sz w:val="24"/>
        </w:rPr>
        <w:instrText xml:space="preserve"> = #1/1/1901# "Unknown" </w:instrText>
      </w:r>
      <w:r w:rsidRPr="00CD39C5">
        <w:rPr>
          <w:rFonts w:cs="Arial"/>
          <w:sz w:val="24"/>
        </w:rPr>
        <w:fldChar w:fldCharType="begin"/>
      </w:r>
      <w:r w:rsidRPr="00CD39C5">
        <w:rPr>
          <w:rFonts w:cs="Arial"/>
          <w:sz w:val="24"/>
        </w:rPr>
        <w:instrText xml:space="preserve"> DOCPROPERTY RegisteredDate \@ "d MMMM yyyy" </w:instrText>
      </w:r>
      <w:r w:rsidRPr="00CD39C5">
        <w:rPr>
          <w:rFonts w:cs="Arial"/>
          <w:sz w:val="24"/>
        </w:rPr>
        <w:fldChar w:fldCharType="separate"/>
      </w:r>
      <w:r w:rsidR="00CD39C5" w:rsidRPr="00CD39C5">
        <w:rPr>
          <w:rFonts w:cs="Arial"/>
          <w:sz w:val="24"/>
        </w:rPr>
        <w:instrText>28 November 2023</w:instrText>
      </w:r>
      <w:r w:rsidRPr="00CD39C5">
        <w:rPr>
          <w:rFonts w:cs="Arial"/>
          <w:sz w:val="24"/>
        </w:rPr>
        <w:fldChar w:fldCharType="end"/>
      </w:r>
      <w:r w:rsidRPr="00CD39C5">
        <w:rPr>
          <w:rFonts w:cs="Arial"/>
          <w:sz w:val="24"/>
        </w:rPr>
        <w:instrText xml:space="preserve"> \*MERGEFORMAT </w:instrText>
      </w:r>
      <w:r w:rsidRPr="00CD39C5">
        <w:rPr>
          <w:rFonts w:cs="Arial"/>
          <w:sz w:val="24"/>
        </w:rPr>
        <w:fldChar w:fldCharType="separate"/>
      </w:r>
      <w:r w:rsidR="00CD39C5" w:rsidRPr="00CD39C5">
        <w:rPr>
          <w:rFonts w:cs="Arial"/>
          <w:noProof/>
          <w:sz w:val="24"/>
        </w:rPr>
        <w:t>28 November 2023</w:t>
      </w:r>
      <w:r w:rsidRPr="00CD39C5">
        <w:rPr>
          <w:rFonts w:cs="Arial"/>
          <w:sz w:val="24"/>
        </w:rPr>
        <w:fldChar w:fldCharType="end"/>
      </w:r>
    </w:p>
    <w:p w14:paraId="7CF98CAF" w14:textId="77777777" w:rsidR="00D46430" w:rsidRPr="00CD5673" w:rsidRDefault="00D46430" w:rsidP="00D46430">
      <w:pPr>
        <w:pageBreakBefore/>
        <w:rPr>
          <w:rFonts w:cs="Arial"/>
          <w:b/>
          <w:sz w:val="32"/>
          <w:szCs w:val="32"/>
        </w:rPr>
      </w:pPr>
      <w:r w:rsidRPr="00CD5673">
        <w:rPr>
          <w:rFonts w:cs="Arial"/>
          <w:b/>
          <w:sz w:val="32"/>
          <w:szCs w:val="32"/>
        </w:rPr>
        <w:lastRenderedPageBreak/>
        <w:t>About this compilation</w:t>
      </w:r>
    </w:p>
    <w:p w14:paraId="0C972298" w14:textId="77777777" w:rsidR="00D46430" w:rsidRPr="00CD5673" w:rsidRDefault="00D46430" w:rsidP="00D46430">
      <w:pPr>
        <w:spacing w:before="240"/>
        <w:rPr>
          <w:rFonts w:cs="Arial"/>
        </w:rPr>
      </w:pPr>
      <w:r w:rsidRPr="00CD5673">
        <w:rPr>
          <w:rFonts w:cs="Arial"/>
          <w:b/>
          <w:szCs w:val="22"/>
        </w:rPr>
        <w:t>This compilation</w:t>
      </w:r>
    </w:p>
    <w:p w14:paraId="1D16CF01" w14:textId="77777777" w:rsidR="00D46430" w:rsidRPr="00CD5673" w:rsidRDefault="00D46430" w:rsidP="00D46430">
      <w:pPr>
        <w:spacing w:before="120" w:after="120"/>
        <w:rPr>
          <w:rFonts w:cs="Arial"/>
          <w:szCs w:val="22"/>
        </w:rPr>
      </w:pPr>
      <w:r w:rsidRPr="00CD5673">
        <w:rPr>
          <w:rFonts w:cs="Arial"/>
          <w:szCs w:val="22"/>
        </w:rPr>
        <w:t xml:space="preserve">This is a compilation of the </w:t>
      </w:r>
      <w:r w:rsidRPr="00CD5673">
        <w:rPr>
          <w:rFonts w:cs="Arial"/>
          <w:i/>
          <w:szCs w:val="22"/>
        </w:rPr>
        <w:fldChar w:fldCharType="begin"/>
      </w:r>
      <w:r w:rsidRPr="00CD5673">
        <w:rPr>
          <w:rFonts w:cs="Arial"/>
          <w:i/>
          <w:szCs w:val="22"/>
        </w:rPr>
        <w:instrText xml:space="preserve"> STYLEREF  ShortT </w:instrText>
      </w:r>
      <w:r w:rsidRPr="00CD5673">
        <w:rPr>
          <w:rFonts w:cs="Arial"/>
          <w:i/>
          <w:szCs w:val="22"/>
        </w:rPr>
        <w:fldChar w:fldCharType="separate"/>
      </w:r>
      <w:r w:rsidR="00CD39C5">
        <w:rPr>
          <w:rFonts w:cs="Arial"/>
          <w:i/>
          <w:noProof/>
          <w:szCs w:val="22"/>
        </w:rPr>
        <w:t>Corporations Regulations 2001</w:t>
      </w:r>
      <w:r w:rsidRPr="00CD5673">
        <w:rPr>
          <w:rFonts w:cs="Arial"/>
          <w:i/>
          <w:szCs w:val="22"/>
        </w:rPr>
        <w:fldChar w:fldCharType="end"/>
      </w:r>
      <w:r w:rsidRPr="00CD5673">
        <w:rPr>
          <w:rFonts w:cs="Arial"/>
          <w:szCs w:val="22"/>
        </w:rPr>
        <w:t xml:space="preserve"> that shows the text of the law as amended and in force on </w:t>
      </w:r>
      <w:r w:rsidRPr="00CD39C5">
        <w:rPr>
          <w:rFonts w:cs="Arial"/>
          <w:szCs w:val="22"/>
        </w:rPr>
        <w:fldChar w:fldCharType="begin"/>
      </w:r>
      <w:r w:rsidR="00237DB4" w:rsidRPr="00CD39C5">
        <w:rPr>
          <w:rFonts w:cs="Arial"/>
          <w:szCs w:val="22"/>
        </w:rPr>
        <w:instrText>DOCPROPERTY StartDate \@ "d MMMM yyyy" \* MERGEFORMAT</w:instrText>
      </w:r>
      <w:r w:rsidRPr="00CD39C5">
        <w:rPr>
          <w:rFonts w:cs="Arial"/>
          <w:szCs w:val="22"/>
        </w:rPr>
        <w:fldChar w:fldCharType="separate"/>
      </w:r>
      <w:r w:rsidR="00CD39C5" w:rsidRPr="00CD39C5">
        <w:rPr>
          <w:rFonts w:cs="Arial"/>
          <w:szCs w:val="22"/>
        </w:rPr>
        <w:t>1 November 2023</w:t>
      </w:r>
      <w:r w:rsidRPr="00CD39C5">
        <w:rPr>
          <w:rFonts w:cs="Arial"/>
          <w:szCs w:val="22"/>
        </w:rPr>
        <w:fldChar w:fldCharType="end"/>
      </w:r>
      <w:r w:rsidRPr="00CD5673">
        <w:rPr>
          <w:rFonts w:cs="Arial"/>
          <w:szCs w:val="22"/>
        </w:rPr>
        <w:t xml:space="preserve"> (the </w:t>
      </w:r>
      <w:r w:rsidRPr="00CD5673">
        <w:rPr>
          <w:rFonts w:cs="Arial"/>
          <w:b/>
          <w:i/>
          <w:szCs w:val="22"/>
        </w:rPr>
        <w:t>compilation date</w:t>
      </w:r>
      <w:r w:rsidRPr="00CD5673">
        <w:rPr>
          <w:rFonts w:cs="Arial"/>
          <w:szCs w:val="22"/>
        </w:rPr>
        <w:t>).</w:t>
      </w:r>
    </w:p>
    <w:p w14:paraId="0F100C2B" w14:textId="77777777" w:rsidR="00D46430" w:rsidRPr="00CD5673" w:rsidRDefault="00D46430" w:rsidP="00D46430">
      <w:pPr>
        <w:spacing w:after="120"/>
        <w:rPr>
          <w:rFonts w:cs="Arial"/>
          <w:szCs w:val="22"/>
        </w:rPr>
      </w:pPr>
      <w:r w:rsidRPr="00CD5673">
        <w:rPr>
          <w:rFonts w:cs="Arial"/>
          <w:szCs w:val="22"/>
        </w:rPr>
        <w:t xml:space="preserve">The notes at the end of this compilation (the </w:t>
      </w:r>
      <w:r w:rsidRPr="00CD5673">
        <w:rPr>
          <w:rFonts w:cs="Arial"/>
          <w:b/>
          <w:i/>
          <w:szCs w:val="22"/>
        </w:rPr>
        <w:t>endnotes</w:t>
      </w:r>
      <w:r w:rsidRPr="00CD5673">
        <w:rPr>
          <w:rFonts w:cs="Arial"/>
          <w:szCs w:val="22"/>
        </w:rPr>
        <w:t>) include information about amending laws and the amendment history of provisions of the compiled law.</w:t>
      </w:r>
    </w:p>
    <w:p w14:paraId="75AF86F0" w14:textId="77777777" w:rsidR="00D46430" w:rsidRPr="00CD5673" w:rsidRDefault="00D46430" w:rsidP="00D46430">
      <w:pPr>
        <w:tabs>
          <w:tab w:val="left" w:pos="5640"/>
        </w:tabs>
        <w:spacing w:before="120" w:after="120"/>
        <w:rPr>
          <w:rFonts w:cs="Arial"/>
          <w:b/>
          <w:szCs w:val="22"/>
        </w:rPr>
      </w:pPr>
      <w:r w:rsidRPr="00CD5673">
        <w:rPr>
          <w:rFonts w:cs="Arial"/>
          <w:b/>
          <w:szCs w:val="22"/>
        </w:rPr>
        <w:t>Uncommenced amendments</w:t>
      </w:r>
    </w:p>
    <w:p w14:paraId="69D8A3AA" w14:textId="77777777" w:rsidR="00D46430" w:rsidRPr="00CD5673" w:rsidRDefault="00D46430" w:rsidP="00D46430">
      <w:pPr>
        <w:spacing w:after="120"/>
        <w:rPr>
          <w:rFonts w:cs="Arial"/>
          <w:szCs w:val="22"/>
        </w:rPr>
      </w:pPr>
      <w:r w:rsidRPr="00CD5673">
        <w:rPr>
          <w:rFonts w:cs="Arial"/>
          <w:szCs w:val="22"/>
        </w:rPr>
        <w:t xml:space="preserve">The effect of uncommenced amendments is not shown in the text of the compiled law. Any uncommenced amendments affecting the law are accessible on the </w:t>
      </w:r>
      <w:r w:rsidR="00DA5AF7" w:rsidRPr="00CD5673">
        <w:rPr>
          <w:rFonts w:cs="Arial"/>
          <w:szCs w:val="22"/>
        </w:rPr>
        <w:t>Register</w:t>
      </w:r>
      <w:r w:rsidRPr="00CD5673">
        <w:rPr>
          <w:rFonts w:cs="Arial"/>
          <w:szCs w:val="22"/>
        </w:rPr>
        <w:t xml:space="preserve"> (www.legislation.gov.au). The details of amendments made up to, but not commenced at, the compilation date are underlined in the endnotes. For more information on any uncommenced amendments, see the Register for the compiled law.</w:t>
      </w:r>
    </w:p>
    <w:p w14:paraId="370BA1FA" w14:textId="77777777" w:rsidR="00D46430" w:rsidRPr="00CD5673" w:rsidRDefault="00D46430" w:rsidP="00D46430">
      <w:pPr>
        <w:spacing w:before="120" w:after="120"/>
        <w:rPr>
          <w:rFonts w:cs="Arial"/>
          <w:b/>
          <w:szCs w:val="22"/>
        </w:rPr>
      </w:pPr>
      <w:r w:rsidRPr="00CD5673">
        <w:rPr>
          <w:rFonts w:cs="Arial"/>
          <w:b/>
          <w:szCs w:val="22"/>
        </w:rPr>
        <w:t>Application, saving and transitional provisions for provisions and amendments</w:t>
      </w:r>
    </w:p>
    <w:p w14:paraId="5451B8E7" w14:textId="77777777" w:rsidR="00D46430" w:rsidRPr="00CD5673" w:rsidRDefault="00D46430" w:rsidP="00D46430">
      <w:pPr>
        <w:spacing w:after="120"/>
        <w:rPr>
          <w:rFonts w:cs="Arial"/>
          <w:szCs w:val="22"/>
        </w:rPr>
      </w:pPr>
      <w:r w:rsidRPr="00CD5673">
        <w:rPr>
          <w:rFonts w:cs="Arial"/>
          <w:szCs w:val="22"/>
        </w:rPr>
        <w:t>If the operation of a provision or amendment of the compiled law is affected by an application, saving or transitional provision that is not included in this compilation, details are included in the endnotes.</w:t>
      </w:r>
    </w:p>
    <w:p w14:paraId="5E2F61E3" w14:textId="77777777" w:rsidR="00D46430" w:rsidRPr="00CD5673" w:rsidRDefault="00D46430" w:rsidP="00D46430">
      <w:pPr>
        <w:spacing w:after="120"/>
        <w:rPr>
          <w:rFonts w:cs="Arial"/>
          <w:b/>
          <w:szCs w:val="22"/>
        </w:rPr>
      </w:pPr>
      <w:r w:rsidRPr="00CD5673">
        <w:rPr>
          <w:rFonts w:cs="Arial"/>
          <w:b/>
          <w:szCs w:val="22"/>
        </w:rPr>
        <w:t>Editorial changes</w:t>
      </w:r>
    </w:p>
    <w:p w14:paraId="5ACB37DA" w14:textId="77777777" w:rsidR="00D46430" w:rsidRPr="00CD5673" w:rsidRDefault="00D46430" w:rsidP="00D46430">
      <w:pPr>
        <w:spacing w:after="120"/>
        <w:rPr>
          <w:rFonts w:cs="Arial"/>
          <w:szCs w:val="22"/>
        </w:rPr>
      </w:pPr>
      <w:r w:rsidRPr="00CD5673">
        <w:rPr>
          <w:rFonts w:cs="Arial"/>
          <w:szCs w:val="22"/>
        </w:rPr>
        <w:t>For more information about any editorial changes made in this compilation, see the endnotes.</w:t>
      </w:r>
    </w:p>
    <w:p w14:paraId="412A7FBC" w14:textId="77777777" w:rsidR="00D46430" w:rsidRPr="00CD5673" w:rsidRDefault="00D46430" w:rsidP="00D46430">
      <w:pPr>
        <w:spacing w:before="120" w:after="120"/>
        <w:rPr>
          <w:rFonts w:cs="Arial"/>
          <w:b/>
          <w:szCs w:val="22"/>
        </w:rPr>
      </w:pPr>
      <w:r w:rsidRPr="00CD5673">
        <w:rPr>
          <w:rFonts w:cs="Arial"/>
          <w:b/>
          <w:szCs w:val="22"/>
        </w:rPr>
        <w:t>Modifications</w:t>
      </w:r>
    </w:p>
    <w:p w14:paraId="16732B76" w14:textId="77777777" w:rsidR="00D46430" w:rsidRPr="00CD5673" w:rsidRDefault="00D46430" w:rsidP="00D46430">
      <w:pPr>
        <w:spacing w:after="120"/>
        <w:rPr>
          <w:rFonts w:cs="Arial"/>
          <w:szCs w:val="22"/>
        </w:rPr>
      </w:pPr>
      <w:r w:rsidRPr="00CD567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5B571160" w14:textId="77777777" w:rsidR="00D46430" w:rsidRPr="00CD5673" w:rsidRDefault="00D46430" w:rsidP="00D46430">
      <w:pPr>
        <w:spacing w:before="80" w:after="120"/>
        <w:rPr>
          <w:rFonts w:cs="Arial"/>
          <w:b/>
          <w:szCs w:val="22"/>
        </w:rPr>
      </w:pPr>
      <w:r w:rsidRPr="00CD5673">
        <w:rPr>
          <w:rFonts w:cs="Arial"/>
          <w:b/>
          <w:szCs w:val="22"/>
        </w:rPr>
        <w:t>Self</w:t>
      </w:r>
      <w:r w:rsidR="00C614F1">
        <w:rPr>
          <w:rFonts w:cs="Arial"/>
          <w:b/>
          <w:szCs w:val="22"/>
        </w:rPr>
        <w:noBreakHyphen/>
      </w:r>
      <w:r w:rsidRPr="00CD5673">
        <w:rPr>
          <w:rFonts w:cs="Arial"/>
          <w:b/>
          <w:szCs w:val="22"/>
        </w:rPr>
        <w:t>repealing provisions</w:t>
      </w:r>
    </w:p>
    <w:p w14:paraId="364282F7" w14:textId="77777777" w:rsidR="00D46430" w:rsidRPr="00CD5673" w:rsidRDefault="00D46430" w:rsidP="00D46430">
      <w:pPr>
        <w:spacing w:after="120"/>
        <w:rPr>
          <w:rFonts w:cs="Arial"/>
          <w:szCs w:val="22"/>
        </w:rPr>
      </w:pPr>
      <w:r w:rsidRPr="00CD5673">
        <w:rPr>
          <w:rFonts w:cs="Arial"/>
          <w:szCs w:val="22"/>
        </w:rPr>
        <w:t>If a provision of the compiled law has been repealed in accordance with a provision of the law, details are included in the endnotes.</w:t>
      </w:r>
    </w:p>
    <w:p w14:paraId="30A71792" w14:textId="77777777" w:rsidR="00D46430" w:rsidRPr="00CD5673" w:rsidRDefault="00D46430" w:rsidP="00D46430">
      <w:pPr>
        <w:pStyle w:val="Header"/>
        <w:tabs>
          <w:tab w:val="clear" w:pos="4150"/>
          <w:tab w:val="clear" w:pos="8307"/>
        </w:tabs>
      </w:pPr>
      <w:r w:rsidRPr="00C614F1">
        <w:rPr>
          <w:rStyle w:val="CharChapNo"/>
        </w:rPr>
        <w:t xml:space="preserve"> </w:t>
      </w:r>
      <w:r w:rsidRPr="00C614F1">
        <w:rPr>
          <w:rStyle w:val="CharChapText"/>
        </w:rPr>
        <w:t xml:space="preserve"> </w:t>
      </w:r>
    </w:p>
    <w:p w14:paraId="15400DB7" w14:textId="77777777" w:rsidR="00D46430" w:rsidRPr="00CD5673" w:rsidRDefault="00D46430" w:rsidP="00D46430">
      <w:pPr>
        <w:pStyle w:val="Header"/>
        <w:tabs>
          <w:tab w:val="clear" w:pos="4150"/>
          <w:tab w:val="clear" w:pos="8307"/>
        </w:tabs>
      </w:pPr>
      <w:r w:rsidRPr="00C614F1">
        <w:rPr>
          <w:rStyle w:val="CharPartNo"/>
        </w:rPr>
        <w:t xml:space="preserve"> </w:t>
      </w:r>
      <w:r w:rsidRPr="00C614F1">
        <w:rPr>
          <w:rStyle w:val="CharPartText"/>
        </w:rPr>
        <w:t xml:space="preserve"> </w:t>
      </w:r>
    </w:p>
    <w:p w14:paraId="555AD881" w14:textId="77777777" w:rsidR="00D46430" w:rsidRPr="00CD5673" w:rsidRDefault="00D46430" w:rsidP="00D46430">
      <w:pPr>
        <w:pStyle w:val="Header"/>
        <w:tabs>
          <w:tab w:val="clear" w:pos="4150"/>
          <w:tab w:val="clear" w:pos="8307"/>
        </w:tabs>
      </w:pPr>
      <w:r w:rsidRPr="00C614F1">
        <w:rPr>
          <w:rStyle w:val="CharDivNo"/>
        </w:rPr>
        <w:t xml:space="preserve"> </w:t>
      </w:r>
      <w:r w:rsidRPr="00C614F1">
        <w:rPr>
          <w:rStyle w:val="CharDivText"/>
        </w:rPr>
        <w:t xml:space="preserve"> </w:t>
      </w:r>
    </w:p>
    <w:p w14:paraId="7E7A4AE4" w14:textId="77777777" w:rsidR="00D46430" w:rsidRPr="00CD5673" w:rsidRDefault="00D46430" w:rsidP="00D46430">
      <w:pPr>
        <w:ind w:right="1792"/>
        <w:rPr>
          <w:sz w:val="36"/>
        </w:rPr>
      </w:pPr>
      <w:r w:rsidRPr="00CD5673">
        <w:rPr>
          <w:sz w:val="36"/>
        </w:rPr>
        <w:t>Contents</w:t>
      </w:r>
    </w:p>
    <w:p w14:paraId="49B70946" w14:textId="02C5A07F" w:rsidR="00D779FE" w:rsidRDefault="00D46430">
      <w:pPr>
        <w:pStyle w:val="TOC1"/>
        <w:rPr>
          <w:rFonts w:asciiTheme="minorHAnsi" w:eastAsiaTheme="minorEastAsia" w:hAnsiTheme="minorHAnsi" w:cstheme="minorBidi"/>
          <w:b w:val="0"/>
          <w:noProof/>
          <w:kern w:val="2"/>
          <w:sz w:val="22"/>
          <w:szCs w:val="22"/>
          <w14:ligatures w14:val="standardContextual"/>
        </w:rPr>
      </w:pPr>
      <w:r w:rsidRPr="00CD5673">
        <w:fldChar w:fldCharType="begin"/>
      </w:r>
      <w:r w:rsidRPr="00CD5673">
        <w:instrText xml:space="preserve"> TOC \o "1</w:instrText>
      </w:r>
      <w:r w:rsidRPr="00CD5673">
        <w:noBreakHyphen/>
        <w:instrText xml:space="preserve">9" </w:instrText>
      </w:r>
      <w:r w:rsidRPr="00CD5673">
        <w:fldChar w:fldCharType="separate"/>
      </w:r>
      <w:r w:rsidR="00D779FE">
        <w:rPr>
          <w:noProof/>
        </w:rPr>
        <w:t>Chapter 1—Introductory</w:t>
      </w:r>
      <w:r w:rsidR="00D779FE">
        <w:rPr>
          <w:noProof/>
        </w:rPr>
        <w:tab/>
      </w:r>
      <w:r w:rsidR="00D779FE">
        <w:rPr>
          <w:noProof/>
        </w:rPr>
        <w:fldChar w:fldCharType="begin"/>
      </w:r>
      <w:r w:rsidR="00D779FE">
        <w:rPr>
          <w:noProof/>
        </w:rPr>
        <w:instrText xml:space="preserve"> PAGEREF _Toc158711616 \h </w:instrText>
      </w:r>
      <w:r w:rsidR="00D779FE">
        <w:rPr>
          <w:noProof/>
        </w:rPr>
      </w:r>
      <w:r w:rsidR="00D779FE">
        <w:rPr>
          <w:noProof/>
        </w:rPr>
        <w:fldChar w:fldCharType="separate"/>
      </w:r>
      <w:r w:rsidR="00D779FE">
        <w:rPr>
          <w:noProof/>
        </w:rPr>
        <w:t>42</w:t>
      </w:r>
      <w:r w:rsidR="00D779FE">
        <w:rPr>
          <w:noProof/>
        </w:rPr>
        <w:fldChar w:fldCharType="end"/>
      </w:r>
    </w:p>
    <w:p w14:paraId="0DEB8BB7" w14:textId="59FDD85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1.0—Miscellaneous</w:t>
      </w:r>
      <w:r>
        <w:rPr>
          <w:noProof/>
        </w:rPr>
        <w:tab/>
      </w:r>
      <w:r>
        <w:rPr>
          <w:noProof/>
        </w:rPr>
        <w:fldChar w:fldCharType="begin"/>
      </w:r>
      <w:r>
        <w:rPr>
          <w:noProof/>
        </w:rPr>
        <w:instrText xml:space="preserve"> PAGEREF _Toc158711617 \h </w:instrText>
      </w:r>
      <w:r>
        <w:rPr>
          <w:noProof/>
        </w:rPr>
      </w:r>
      <w:r>
        <w:rPr>
          <w:noProof/>
        </w:rPr>
        <w:fldChar w:fldCharType="separate"/>
      </w:r>
      <w:r>
        <w:rPr>
          <w:noProof/>
        </w:rPr>
        <w:t>42</w:t>
      </w:r>
      <w:r>
        <w:rPr>
          <w:noProof/>
        </w:rPr>
        <w:fldChar w:fldCharType="end"/>
      </w:r>
    </w:p>
    <w:p w14:paraId="205B9152" w14:textId="0C76F3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1.0.01  Name of Regulations</w:t>
      </w:r>
      <w:r>
        <w:rPr>
          <w:noProof/>
        </w:rPr>
        <w:tab/>
      </w:r>
      <w:r>
        <w:rPr>
          <w:noProof/>
        </w:rPr>
        <w:fldChar w:fldCharType="begin"/>
      </w:r>
      <w:r>
        <w:rPr>
          <w:noProof/>
        </w:rPr>
        <w:instrText xml:space="preserve"> PAGEREF _Toc158711618 \h </w:instrText>
      </w:r>
      <w:r>
        <w:rPr>
          <w:noProof/>
        </w:rPr>
      </w:r>
      <w:r>
        <w:rPr>
          <w:noProof/>
        </w:rPr>
        <w:fldChar w:fldCharType="separate"/>
      </w:r>
      <w:r>
        <w:rPr>
          <w:noProof/>
        </w:rPr>
        <w:t>42</w:t>
      </w:r>
      <w:r>
        <w:rPr>
          <w:noProof/>
        </w:rPr>
        <w:fldChar w:fldCharType="end"/>
      </w:r>
    </w:p>
    <w:p w14:paraId="73E2C636" w14:textId="462D647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1.0.02  Definitions</w:t>
      </w:r>
      <w:r>
        <w:rPr>
          <w:noProof/>
        </w:rPr>
        <w:tab/>
      </w:r>
      <w:r>
        <w:rPr>
          <w:noProof/>
        </w:rPr>
        <w:fldChar w:fldCharType="begin"/>
      </w:r>
      <w:r>
        <w:rPr>
          <w:noProof/>
        </w:rPr>
        <w:instrText xml:space="preserve"> PAGEREF _Toc158711619 \h </w:instrText>
      </w:r>
      <w:r>
        <w:rPr>
          <w:noProof/>
        </w:rPr>
      </w:r>
      <w:r>
        <w:rPr>
          <w:noProof/>
        </w:rPr>
        <w:fldChar w:fldCharType="separate"/>
      </w:r>
      <w:r>
        <w:rPr>
          <w:noProof/>
        </w:rPr>
        <w:t>42</w:t>
      </w:r>
      <w:r>
        <w:rPr>
          <w:noProof/>
        </w:rPr>
        <w:fldChar w:fldCharType="end"/>
      </w:r>
    </w:p>
    <w:p w14:paraId="5DDAF423" w14:textId="045F9BA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1.0.02AA  Meaning of </w:t>
      </w:r>
      <w:r w:rsidRPr="00FC743A">
        <w:rPr>
          <w:i/>
          <w:noProof/>
        </w:rPr>
        <w:t>basic deposit product—</w:t>
      </w:r>
      <w:r>
        <w:rPr>
          <w:noProof/>
        </w:rPr>
        <w:t>prescription of</w:t>
      </w:r>
      <w:r w:rsidRPr="00FC743A">
        <w:rPr>
          <w:i/>
          <w:noProof/>
        </w:rPr>
        <w:t xml:space="preserve"> </w:t>
      </w:r>
      <w:r>
        <w:rPr>
          <w:noProof/>
        </w:rPr>
        <w:t>prior notice requirement</w:t>
      </w:r>
      <w:r>
        <w:rPr>
          <w:noProof/>
        </w:rPr>
        <w:tab/>
      </w:r>
      <w:r>
        <w:rPr>
          <w:noProof/>
        </w:rPr>
        <w:fldChar w:fldCharType="begin"/>
      </w:r>
      <w:r>
        <w:rPr>
          <w:noProof/>
        </w:rPr>
        <w:instrText xml:space="preserve"> PAGEREF _Toc158711620 \h </w:instrText>
      </w:r>
      <w:r>
        <w:rPr>
          <w:noProof/>
        </w:rPr>
      </w:r>
      <w:r>
        <w:rPr>
          <w:noProof/>
        </w:rPr>
        <w:fldChar w:fldCharType="separate"/>
      </w:r>
      <w:r>
        <w:rPr>
          <w:noProof/>
        </w:rPr>
        <w:t>48</w:t>
      </w:r>
      <w:r>
        <w:rPr>
          <w:noProof/>
        </w:rPr>
        <w:fldChar w:fldCharType="end"/>
      </w:r>
    </w:p>
    <w:p w14:paraId="33D4B98F" w14:textId="3A63D9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1.0.02AB  Meaning of </w:t>
      </w:r>
      <w:r w:rsidRPr="00FC743A">
        <w:rPr>
          <w:i/>
          <w:noProof/>
        </w:rPr>
        <w:t>prescribed CS facility</w:t>
      </w:r>
      <w:r>
        <w:rPr>
          <w:noProof/>
        </w:rPr>
        <w:tab/>
      </w:r>
      <w:r>
        <w:rPr>
          <w:noProof/>
        </w:rPr>
        <w:fldChar w:fldCharType="begin"/>
      </w:r>
      <w:r>
        <w:rPr>
          <w:noProof/>
        </w:rPr>
        <w:instrText xml:space="preserve"> PAGEREF _Toc158711621 \h </w:instrText>
      </w:r>
      <w:r>
        <w:rPr>
          <w:noProof/>
        </w:rPr>
      </w:r>
      <w:r>
        <w:rPr>
          <w:noProof/>
        </w:rPr>
        <w:fldChar w:fldCharType="separate"/>
      </w:r>
      <w:r>
        <w:rPr>
          <w:noProof/>
        </w:rPr>
        <w:t>48</w:t>
      </w:r>
      <w:r>
        <w:rPr>
          <w:noProof/>
        </w:rPr>
        <w:fldChar w:fldCharType="end"/>
      </w:r>
    </w:p>
    <w:p w14:paraId="02DF6A6F" w14:textId="0B0282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1.0.02A  Meaning of </w:t>
      </w:r>
      <w:r w:rsidRPr="00FC743A">
        <w:rPr>
          <w:i/>
          <w:noProof/>
        </w:rPr>
        <w:t>prescribed financial market</w:t>
      </w:r>
      <w:r>
        <w:rPr>
          <w:noProof/>
        </w:rPr>
        <w:tab/>
      </w:r>
      <w:r>
        <w:rPr>
          <w:noProof/>
        </w:rPr>
        <w:fldChar w:fldCharType="begin"/>
      </w:r>
      <w:r>
        <w:rPr>
          <w:noProof/>
        </w:rPr>
        <w:instrText xml:space="preserve"> PAGEREF _Toc158711622 \h </w:instrText>
      </w:r>
      <w:r>
        <w:rPr>
          <w:noProof/>
        </w:rPr>
      </w:r>
      <w:r>
        <w:rPr>
          <w:noProof/>
        </w:rPr>
        <w:fldChar w:fldCharType="separate"/>
      </w:r>
      <w:r>
        <w:rPr>
          <w:noProof/>
        </w:rPr>
        <w:t>48</w:t>
      </w:r>
      <w:r>
        <w:rPr>
          <w:noProof/>
        </w:rPr>
        <w:fldChar w:fldCharType="end"/>
      </w:r>
    </w:p>
    <w:p w14:paraId="5002E2BD" w14:textId="44952C9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1.0.02B  Proprietary company thresholds (Act s 45A)</w:t>
      </w:r>
      <w:r>
        <w:rPr>
          <w:noProof/>
        </w:rPr>
        <w:tab/>
      </w:r>
      <w:r>
        <w:rPr>
          <w:noProof/>
        </w:rPr>
        <w:fldChar w:fldCharType="begin"/>
      </w:r>
      <w:r>
        <w:rPr>
          <w:noProof/>
        </w:rPr>
        <w:instrText xml:space="preserve"> PAGEREF _Toc158711623 \h </w:instrText>
      </w:r>
      <w:r>
        <w:rPr>
          <w:noProof/>
        </w:rPr>
      </w:r>
      <w:r>
        <w:rPr>
          <w:noProof/>
        </w:rPr>
        <w:fldChar w:fldCharType="separate"/>
      </w:r>
      <w:r>
        <w:rPr>
          <w:noProof/>
        </w:rPr>
        <w:t>48</w:t>
      </w:r>
      <w:r>
        <w:rPr>
          <w:noProof/>
        </w:rPr>
        <w:fldChar w:fldCharType="end"/>
      </w:r>
    </w:p>
    <w:p w14:paraId="19C15245" w14:textId="3210385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1.0.03  Prescribed forms (Act s 350)</w:t>
      </w:r>
      <w:r>
        <w:rPr>
          <w:noProof/>
        </w:rPr>
        <w:tab/>
      </w:r>
      <w:r>
        <w:rPr>
          <w:noProof/>
        </w:rPr>
        <w:fldChar w:fldCharType="begin"/>
      </w:r>
      <w:r>
        <w:rPr>
          <w:noProof/>
        </w:rPr>
        <w:instrText xml:space="preserve"> PAGEREF _Toc158711624 \h </w:instrText>
      </w:r>
      <w:r>
        <w:rPr>
          <w:noProof/>
        </w:rPr>
      </w:r>
      <w:r>
        <w:rPr>
          <w:noProof/>
        </w:rPr>
        <w:fldChar w:fldCharType="separate"/>
      </w:r>
      <w:r>
        <w:rPr>
          <w:noProof/>
        </w:rPr>
        <w:t>48</w:t>
      </w:r>
      <w:r>
        <w:rPr>
          <w:noProof/>
        </w:rPr>
        <w:fldChar w:fldCharType="end"/>
      </w:r>
    </w:p>
    <w:p w14:paraId="287DD0DF" w14:textId="4F168D5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1.0.03A  Documents that must be in the prescribed form</w:t>
      </w:r>
      <w:r>
        <w:rPr>
          <w:noProof/>
        </w:rPr>
        <w:tab/>
      </w:r>
      <w:r>
        <w:rPr>
          <w:noProof/>
        </w:rPr>
        <w:fldChar w:fldCharType="begin"/>
      </w:r>
      <w:r>
        <w:rPr>
          <w:noProof/>
        </w:rPr>
        <w:instrText xml:space="preserve"> PAGEREF _Toc158711625 \h </w:instrText>
      </w:r>
      <w:r>
        <w:rPr>
          <w:noProof/>
        </w:rPr>
      </w:r>
      <w:r>
        <w:rPr>
          <w:noProof/>
        </w:rPr>
        <w:fldChar w:fldCharType="separate"/>
      </w:r>
      <w:r>
        <w:rPr>
          <w:noProof/>
        </w:rPr>
        <w:t>48</w:t>
      </w:r>
      <w:r>
        <w:rPr>
          <w:noProof/>
        </w:rPr>
        <w:fldChar w:fldCharType="end"/>
      </w:r>
    </w:p>
    <w:p w14:paraId="7DC2D080" w14:textId="4869D8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1.0.03B  Documents that must be lodged with ASIC</w:t>
      </w:r>
      <w:r>
        <w:rPr>
          <w:noProof/>
        </w:rPr>
        <w:tab/>
      </w:r>
      <w:r>
        <w:rPr>
          <w:noProof/>
        </w:rPr>
        <w:fldChar w:fldCharType="begin"/>
      </w:r>
      <w:r>
        <w:rPr>
          <w:noProof/>
        </w:rPr>
        <w:instrText xml:space="preserve"> PAGEREF _Toc158711626 \h </w:instrText>
      </w:r>
      <w:r>
        <w:rPr>
          <w:noProof/>
        </w:rPr>
      </w:r>
      <w:r>
        <w:rPr>
          <w:noProof/>
        </w:rPr>
        <w:fldChar w:fldCharType="separate"/>
      </w:r>
      <w:r>
        <w:rPr>
          <w:noProof/>
        </w:rPr>
        <w:t>49</w:t>
      </w:r>
      <w:r>
        <w:rPr>
          <w:noProof/>
        </w:rPr>
        <w:fldChar w:fldCharType="end"/>
      </w:r>
    </w:p>
    <w:p w14:paraId="35C5C85E" w14:textId="1185204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1.0.03C  Documents that must be in a form approved by ASIC</w:t>
      </w:r>
      <w:r>
        <w:rPr>
          <w:noProof/>
        </w:rPr>
        <w:tab/>
      </w:r>
      <w:r>
        <w:rPr>
          <w:noProof/>
        </w:rPr>
        <w:fldChar w:fldCharType="begin"/>
      </w:r>
      <w:r>
        <w:rPr>
          <w:noProof/>
        </w:rPr>
        <w:instrText xml:space="preserve"> PAGEREF _Toc158711627 \h </w:instrText>
      </w:r>
      <w:r>
        <w:rPr>
          <w:noProof/>
        </w:rPr>
      </w:r>
      <w:r>
        <w:rPr>
          <w:noProof/>
        </w:rPr>
        <w:fldChar w:fldCharType="separate"/>
      </w:r>
      <w:r>
        <w:rPr>
          <w:noProof/>
        </w:rPr>
        <w:t>50</w:t>
      </w:r>
      <w:r>
        <w:rPr>
          <w:noProof/>
        </w:rPr>
        <w:fldChar w:fldCharType="end"/>
      </w:r>
    </w:p>
    <w:p w14:paraId="7FA4A060" w14:textId="17CEA8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1.0.04  Directions and instructions in forms</w:t>
      </w:r>
      <w:r>
        <w:rPr>
          <w:noProof/>
        </w:rPr>
        <w:tab/>
      </w:r>
      <w:r>
        <w:rPr>
          <w:noProof/>
        </w:rPr>
        <w:fldChar w:fldCharType="begin"/>
      </w:r>
      <w:r>
        <w:rPr>
          <w:noProof/>
        </w:rPr>
        <w:instrText xml:space="preserve"> PAGEREF _Toc158711628 \h </w:instrText>
      </w:r>
      <w:r>
        <w:rPr>
          <w:noProof/>
        </w:rPr>
      </w:r>
      <w:r>
        <w:rPr>
          <w:noProof/>
        </w:rPr>
        <w:fldChar w:fldCharType="separate"/>
      </w:r>
      <w:r>
        <w:rPr>
          <w:noProof/>
        </w:rPr>
        <w:t>50</w:t>
      </w:r>
      <w:r>
        <w:rPr>
          <w:noProof/>
        </w:rPr>
        <w:fldChar w:fldCharType="end"/>
      </w:r>
    </w:p>
    <w:p w14:paraId="69A98818" w14:textId="59CBA5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1.0.05  Documents and information required by forms</w:t>
      </w:r>
      <w:r>
        <w:rPr>
          <w:noProof/>
        </w:rPr>
        <w:tab/>
      </w:r>
      <w:r>
        <w:rPr>
          <w:noProof/>
        </w:rPr>
        <w:fldChar w:fldCharType="begin"/>
      </w:r>
      <w:r>
        <w:rPr>
          <w:noProof/>
        </w:rPr>
        <w:instrText xml:space="preserve"> PAGEREF _Toc158711629 \h </w:instrText>
      </w:r>
      <w:r>
        <w:rPr>
          <w:noProof/>
        </w:rPr>
      </w:r>
      <w:r>
        <w:rPr>
          <w:noProof/>
        </w:rPr>
        <w:fldChar w:fldCharType="separate"/>
      </w:r>
      <w:r>
        <w:rPr>
          <w:noProof/>
        </w:rPr>
        <w:t>50</w:t>
      </w:r>
      <w:r>
        <w:rPr>
          <w:noProof/>
        </w:rPr>
        <w:fldChar w:fldCharType="end"/>
      </w:r>
    </w:p>
    <w:p w14:paraId="27D6FF6D" w14:textId="6DFDEDA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1.0.06  Annexures accompanying forms</w:t>
      </w:r>
      <w:r>
        <w:rPr>
          <w:noProof/>
        </w:rPr>
        <w:tab/>
      </w:r>
      <w:r>
        <w:rPr>
          <w:noProof/>
        </w:rPr>
        <w:fldChar w:fldCharType="begin"/>
      </w:r>
      <w:r>
        <w:rPr>
          <w:noProof/>
        </w:rPr>
        <w:instrText xml:space="preserve"> PAGEREF _Toc158711630 \h </w:instrText>
      </w:r>
      <w:r>
        <w:rPr>
          <w:noProof/>
        </w:rPr>
      </w:r>
      <w:r>
        <w:rPr>
          <w:noProof/>
        </w:rPr>
        <w:fldChar w:fldCharType="separate"/>
      </w:r>
      <w:r>
        <w:rPr>
          <w:noProof/>
        </w:rPr>
        <w:t>50</w:t>
      </w:r>
      <w:r>
        <w:rPr>
          <w:noProof/>
        </w:rPr>
        <w:fldChar w:fldCharType="end"/>
      </w:r>
    </w:p>
    <w:p w14:paraId="7E11B1FD" w14:textId="12A5A4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1.0.07  General requirements for documents</w:t>
      </w:r>
      <w:r>
        <w:rPr>
          <w:noProof/>
        </w:rPr>
        <w:tab/>
      </w:r>
      <w:r>
        <w:rPr>
          <w:noProof/>
        </w:rPr>
        <w:fldChar w:fldCharType="begin"/>
      </w:r>
      <w:r>
        <w:rPr>
          <w:noProof/>
        </w:rPr>
        <w:instrText xml:space="preserve"> PAGEREF _Toc158711631 \h </w:instrText>
      </w:r>
      <w:r>
        <w:rPr>
          <w:noProof/>
        </w:rPr>
      </w:r>
      <w:r>
        <w:rPr>
          <w:noProof/>
        </w:rPr>
        <w:fldChar w:fldCharType="separate"/>
      </w:r>
      <w:r>
        <w:rPr>
          <w:noProof/>
        </w:rPr>
        <w:t>50</w:t>
      </w:r>
      <w:r>
        <w:rPr>
          <w:noProof/>
        </w:rPr>
        <w:fldChar w:fldCharType="end"/>
      </w:r>
    </w:p>
    <w:p w14:paraId="07E63C5C" w14:textId="505D2B0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1.0.08  Information to accompany financial documents lodged for financial years</w:t>
      </w:r>
      <w:r>
        <w:rPr>
          <w:noProof/>
        </w:rPr>
        <w:tab/>
      </w:r>
      <w:r>
        <w:rPr>
          <w:noProof/>
        </w:rPr>
        <w:fldChar w:fldCharType="begin"/>
      </w:r>
      <w:r>
        <w:rPr>
          <w:noProof/>
        </w:rPr>
        <w:instrText xml:space="preserve"> PAGEREF _Toc158711632 \h </w:instrText>
      </w:r>
      <w:r>
        <w:rPr>
          <w:noProof/>
        </w:rPr>
      </w:r>
      <w:r>
        <w:rPr>
          <w:noProof/>
        </w:rPr>
        <w:fldChar w:fldCharType="separate"/>
      </w:r>
      <w:r>
        <w:rPr>
          <w:noProof/>
        </w:rPr>
        <w:t>51</w:t>
      </w:r>
      <w:r>
        <w:rPr>
          <w:noProof/>
        </w:rPr>
        <w:fldChar w:fldCharType="end"/>
      </w:r>
    </w:p>
    <w:p w14:paraId="26A65C3B" w14:textId="51ECB3F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1.0.09  Information to accompany financial documents etc lodged for half</w:t>
      </w:r>
      <w:r>
        <w:rPr>
          <w:noProof/>
        </w:rPr>
        <w:noBreakHyphen/>
        <w:t>years</w:t>
      </w:r>
      <w:r>
        <w:rPr>
          <w:noProof/>
        </w:rPr>
        <w:tab/>
      </w:r>
      <w:r>
        <w:rPr>
          <w:noProof/>
        </w:rPr>
        <w:fldChar w:fldCharType="begin"/>
      </w:r>
      <w:r>
        <w:rPr>
          <w:noProof/>
        </w:rPr>
        <w:instrText xml:space="preserve"> PAGEREF _Toc158711633 \h </w:instrText>
      </w:r>
      <w:r>
        <w:rPr>
          <w:noProof/>
        </w:rPr>
      </w:r>
      <w:r>
        <w:rPr>
          <w:noProof/>
        </w:rPr>
        <w:fldChar w:fldCharType="separate"/>
      </w:r>
      <w:r>
        <w:rPr>
          <w:noProof/>
        </w:rPr>
        <w:t>52</w:t>
      </w:r>
      <w:r>
        <w:rPr>
          <w:noProof/>
        </w:rPr>
        <w:fldChar w:fldCharType="end"/>
      </w:r>
    </w:p>
    <w:p w14:paraId="572D0FDC" w14:textId="1B7587B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1.0.10  Continuous disclosure notices</w:t>
      </w:r>
      <w:r>
        <w:rPr>
          <w:noProof/>
        </w:rPr>
        <w:tab/>
      </w:r>
      <w:r>
        <w:rPr>
          <w:noProof/>
        </w:rPr>
        <w:fldChar w:fldCharType="begin"/>
      </w:r>
      <w:r>
        <w:rPr>
          <w:noProof/>
        </w:rPr>
        <w:instrText xml:space="preserve"> PAGEREF _Toc158711634 \h </w:instrText>
      </w:r>
      <w:r>
        <w:rPr>
          <w:noProof/>
        </w:rPr>
      </w:r>
      <w:r>
        <w:rPr>
          <w:noProof/>
        </w:rPr>
        <w:fldChar w:fldCharType="separate"/>
      </w:r>
      <w:r>
        <w:rPr>
          <w:noProof/>
        </w:rPr>
        <w:t>53</w:t>
      </w:r>
      <w:r>
        <w:rPr>
          <w:noProof/>
        </w:rPr>
        <w:fldChar w:fldCharType="end"/>
      </w:r>
    </w:p>
    <w:p w14:paraId="76C64F3F" w14:textId="18CF93F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1.0.11  Certain documents to be signed by personal representatives etc</w:t>
      </w:r>
      <w:r>
        <w:rPr>
          <w:noProof/>
        </w:rPr>
        <w:tab/>
      </w:r>
      <w:r>
        <w:rPr>
          <w:noProof/>
        </w:rPr>
        <w:fldChar w:fldCharType="begin"/>
      </w:r>
      <w:r>
        <w:rPr>
          <w:noProof/>
        </w:rPr>
        <w:instrText xml:space="preserve"> PAGEREF _Toc158711635 \h </w:instrText>
      </w:r>
      <w:r>
        <w:rPr>
          <w:noProof/>
        </w:rPr>
      </w:r>
      <w:r>
        <w:rPr>
          <w:noProof/>
        </w:rPr>
        <w:fldChar w:fldCharType="separate"/>
      </w:r>
      <w:r>
        <w:rPr>
          <w:noProof/>
        </w:rPr>
        <w:t>53</w:t>
      </w:r>
      <w:r>
        <w:rPr>
          <w:noProof/>
        </w:rPr>
        <w:fldChar w:fldCharType="end"/>
      </w:r>
    </w:p>
    <w:p w14:paraId="30DB2C68" w14:textId="1347CD2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1.0.12  Form of notice of resolution</w:t>
      </w:r>
      <w:r>
        <w:rPr>
          <w:noProof/>
        </w:rPr>
        <w:tab/>
      </w:r>
      <w:r>
        <w:rPr>
          <w:noProof/>
        </w:rPr>
        <w:fldChar w:fldCharType="begin"/>
      </w:r>
      <w:r>
        <w:rPr>
          <w:noProof/>
        </w:rPr>
        <w:instrText xml:space="preserve"> PAGEREF _Toc158711636 \h </w:instrText>
      </w:r>
      <w:r>
        <w:rPr>
          <w:noProof/>
        </w:rPr>
      </w:r>
      <w:r>
        <w:rPr>
          <w:noProof/>
        </w:rPr>
        <w:fldChar w:fldCharType="separate"/>
      </w:r>
      <w:r>
        <w:rPr>
          <w:noProof/>
        </w:rPr>
        <w:t>53</w:t>
      </w:r>
      <w:r>
        <w:rPr>
          <w:noProof/>
        </w:rPr>
        <w:fldChar w:fldCharType="end"/>
      </w:r>
    </w:p>
    <w:p w14:paraId="634369D2" w14:textId="75A514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1.0.13  Time for lodging documents</w:t>
      </w:r>
      <w:r>
        <w:rPr>
          <w:noProof/>
        </w:rPr>
        <w:tab/>
      </w:r>
      <w:r>
        <w:rPr>
          <w:noProof/>
        </w:rPr>
        <w:fldChar w:fldCharType="begin"/>
      </w:r>
      <w:r>
        <w:rPr>
          <w:noProof/>
        </w:rPr>
        <w:instrText xml:space="preserve"> PAGEREF _Toc158711637 \h </w:instrText>
      </w:r>
      <w:r>
        <w:rPr>
          <w:noProof/>
        </w:rPr>
      </w:r>
      <w:r>
        <w:rPr>
          <w:noProof/>
        </w:rPr>
        <w:fldChar w:fldCharType="separate"/>
      </w:r>
      <w:r>
        <w:rPr>
          <w:noProof/>
        </w:rPr>
        <w:t>53</w:t>
      </w:r>
      <w:r>
        <w:rPr>
          <w:noProof/>
        </w:rPr>
        <w:fldChar w:fldCharType="end"/>
      </w:r>
    </w:p>
    <w:p w14:paraId="2C3F878A" w14:textId="2D9E96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1.0.14  Address of registered office or place of business</w:t>
      </w:r>
      <w:r>
        <w:rPr>
          <w:noProof/>
        </w:rPr>
        <w:tab/>
      </w:r>
      <w:r>
        <w:rPr>
          <w:noProof/>
        </w:rPr>
        <w:fldChar w:fldCharType="begin"/>
      </w:r>
      <w:r>
        <w:rPr>
          <w:noProof/>
        </w:rPr>
        <w:instrText xml:space="preserve"> PAGEREF _Toc158711638 \h </w:instrText>
      </w:r>
      <w:r>
        <w:rPr>
          <w:noProof/>
        </w:rPr>
      </w:r>
      <w:r>
        <w:rPr>
          <w:noProof/>
        </w:rPr>
        <w:fldChar w:fldCharType="separate"/>
      </w:r>
      <w:r>
        <w:rPr>
          <w:noProof/>
        </w:rPr>
        <w:t>53</w:t>
      </w:r>
      <w:r>
        <w:rPr>
          <w:noProof/>
        </w:rPr>
        <w:fldChar w:fldCharType="end"/>
      </w:r>
    </w:p>
    <w:p w14:paraId="1C3F8257" w14:textId="1B740FC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1.0.15  Affidavits and statements in writing</w:t>
      </w:r>
      <w:r>
        <w:rPr>
          <w:noProof/>
        </w:rPr>
        <w:tab/>
      </w:r>
      <w:r>
        <w:rPr>
          <w:noProof/>
        </w:rPr>
        <w:fldChar w:fldCharType="begin"/>
      </w:r>
      <w:r>
        <w:rPr>
          <w:noProof/>
        </w:rPr>
        <w:instrText xml:space="preserve"> PAGEREF _Toc158711639 \h </w:instrText>
      </w:r>
      <w:r>
        <w:rPr>
          <w:noProof/>
        </w:rPr>
      </w:r>
      <w:r>
        <w:rPr>
          <w:noProof/>
        </w:rPr>
        <w:fldChar w:fldCharType="separate"/>
      </w:r>
      <w:r>
        <w:rPr>
          <w:noProof/>
        </w:rPr>
        <w:t>53</w:t>
      </w:r>
      <w:r>
        <w:rPr>
          <w:noProof/>
        </w:rPr>
        <w:fldChar w:fldCharType="end"/>
      </w:r>
    </w:p>
    <w:p w14:paraId="4B7808D7" w14:textId="4F6DC3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1.0.16  Certification and verification of certain documents</w:t>
      </w:r>
      <w:r>
        <w:rPr>
          <w:noProof/>
        </w:rPr>
        <w:tab/>
      </w:r>
      <w:r>
        <w:rPr>
          <w:noProof/>
        </w:rPr>
        <w:fldChar w:fldCharType="begin"/>
      </w:r>
      <w:r>
        <w:rPr>
          <w:noProof/>
        </w:rPr>
        <w:instrText xml:space="preserve"> PAGEREF _Toc158711640 \h </w:instrText>
      </w:r>
      <w:r>
        <w:rPr>
          <w:noProof/>
        </w:rPr>
      </w:r>
      <w:r>
        <w:rPr>
          <w:noProof/>
        </w:rPr>
        <w:fldChar w:fldCharType="separate"/>
      </w:r>
      <w:r>
        <w:rPr>
          <w:noProof/>
        </w:rPr>
        <w:t>54</w:t>
      </w:r>
      <w:r>
        <w:rPr>
          <w:noProof/>
        </w:rPr>
        <w:fldChar w:fldCharType="end"/>
      </w:r>
    </w:p>
    <w:p w14:paraId="56F7F3A6" w14:textId="0FDE8E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1.0.17  Documents signed or sworn in accordance with the rules of court</w:t>
      </w:r>
      <w:r>
        <w:rPr>
          <w:noProof/>
        </w:rPr>
        <w:tab/>
      </w:r>
      <w:r>
        <w:rPr>
          <w:noProof/>
        </w:rPr>
        <w:fldChar w:fldCharType="begin"/>
      </w:r>
      <w:r>
        <w:rPr>
          <w:noProof/>
        </w:rPr>
        <w:instrText xml:space="preserve"> PAGEREF _Toc158711641 \h </w:instrText>
      </w:r>
      <w:r>
        <w:rPr>
          <w:noProof/>
        </w:rPr>
      </w:r>
      <w:r>
        <w:rPr>
          <w:noProof/>
        </w:rPr>
        <w:fldChar w:fldCharType="separate"/>
      </w:r>
      <w:r>
        <w:rPr>
          <w:noProof/>
        </w:rPr>
        <w:t>54</w:t>
      </w:r>
      <w:r>
        <w:rPr>
          <w:noProof/>
        </w:rPr>
        <w:fldChar w:fldCharType="end"/>
      </w:r>
    </w:p>
    <w:p w14:paraId="014B1574" w14:textId="5A8F0C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1.0.18  Prescribed provisions (Act s 53)</w:t>
      </w:r>
      <w:r>
        <w:rPr>
          <w:noProof/>
        </w:rPr>
        <w:tab/>
      </w:r>
      <w:r>
        <w:rPr>
          <w:noProof/>
        </w:rPr>
        <w:fldChar w:fldCharType="begin"/>
      </w:r>
      <w:r>
        <w:rPr>
          <w:noProof/>
        </w:rPr>
        <w:instrText xml:space="preserve"> PAGEREF _Toc158711642 \h </w:instrText>
      </w:r>
      <w:r>
        <w:rPr>
          <w:noProof/>
        </w:rPr>
      </w:r>
      <w:r>
        <w:rPr>
          <w:noProof/>
        </w:rPr>
        <w:fldChar w:fldCharType="separate"/>
      </w:r>
      <w:r>
        <w:rPr>
          <w:noProof/>
        </w:rPr>
        <w:t>54</w:t>
      </w:r>
      <w:r>
        <w:rPr>
          <w:noProof/>
        </w:rPr>
        <w:fldChar w:fldCharType="end"/>
      </w:r>
    </w:p>
    <w:p w14:paraId="3882B711" w14:textId="4BC7BA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  Copies of orders to be lodged</w:t>
      </w:r>
      <w:r>
        <w:rPr>
          <w:noProof/>
        </w:rPr>
        <w:tab/>
      </w:r>
      <w:r>
        <w:rPr>
          <w:noProof/>
        </w:rPr>
        <w:fldChar w:fldCharType="begin"/>
      </w:r>
      <w:r>
        <w:rPr>
          <w:noProof/>
        </w:rPr>
        <w:instrText xml:space="preserve"> PAGEREF _Toc158711643 \h </w:instrText>
      </w:r>
      <w:r>
        <w:rPr>
          <w:noProof/>
        </w:rPr>
      </w:r>
      <w:r>
        <w:rPr>
          <w:noProof/>
        </w:rPr>
        <w:fldChar w:fldCharType="separate"/>
      </w:r>
      <w:r>
        <w:rPr>
          <w:noProof/>
        </w:rPr>
        <w:t>54</w:t>
      </w:r>
      <w:r>
        <w:rPr>
          <w:noProof/>
        </w:rPr>
        <w:fldChar w:fldCharType="end"/>
      </w:r>
    </w:p>
    <w:p w14:paraId="09B5DC4D" w14:textId="58786B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  Identification of lodged orders</w:t>
      </w:r>
      <w:r>
        <w:rPr>
          <w:noProof/>
        </w:rPr>
        <w:tab/>
      </w:r>
      <w:r>
        <w:rPr>
          <w:noProof/>
        </w:rPr>
        <w:fldChar w:fldCharType="begin"/>
      </w:r>
      <w:r>
        <w:rPr>
          <w:noProof/>
        </w:rPr>
        <w:instrText xml:space="preserve"> PAGEREF _Toc158711644 \h </w:instrText>
      </w:r>
      <w:r>
        <w:rPr>
          <w:noProof/>
        </w:rPr>
      </w:r>
      <w:r>
        <w:rPr>
          <w:noProof/>
        </w:rPr>
        <w:fldChar w:fldCharType="separate"/>
      </w:r>
      <w:r>
        <w:rPr>
          <w:noProof/>
        </w:rPr>
        <w:t>54</w:t>
      </w:r>
      <w:r>
        <w:rPr>
          <w:noProof/>
        </w:rPr>
        <w:fldChar w:fldCharType="end"/>
      </w:r>
    </w:p>
    <w:p w14:paraId="20D11BBD" w14:textId="0C64FE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1.0.22  Meaning of </w:t>
      </w:r>
      <w:r w:rsidRPr="00FC743A">
        <w:rPr>
          <w:i/>
          <w:noProof/>
        </w:rPr>
        <w:t>this jurisdiction</w:t>
      </w:r>
      <w:r>
        <w:rPr>
          <w:noProof/>
        </w:rPr>
        <w:t>—specification of external Territories for specified provisions of Chapter 7 of the Act</w:t>
      </w:r>
      <w:r>
        <w:rPr>
          <w:noProof/>
        </w:rPr>
        <w:tab/>
      </w:r>
      <w:r>
        <w:rPr>
          <w:noProof/>
        </w:rPr>
        <w:fldChar w:fldCharType="begin"/>
      </w:r>
      <w:r>
        <w:rPr>
          <w:noProof/>
        </w:rPr>
        <w:instrText xml:space="preserve"> PAGEREF _Toc158711645 \h </w:instrText>
      </w:r>
      <w:r>
        <w:rPr>
          <w:noProof/>
        </w:rPr>
      </w:r>
      <w:r>
        <w:rPr>
          <w:noProof/>
        </w:rPr>
        <w:fldChar w:fldCharType="separate"/>
      </w:r>
      <w:r>
        <w:rPr>
          <w:noProof/>
        </w:rPr>
        <w:t>54</w:t>
      </w:r>
      <w:r>
        <w:rPr>
          <w:noProof/>
        </w:rPr>
        <w:fldChar w:fldCharType="end"/>
      </w:r>
    </w:p>
    <w:p w14:paraId="1121EA1E" w14:textId="752A778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1.1—Prescribed amounts</w:t>
      </w:r>
      <w:r>
        <w:rPr>
          <w:noProof/>
        </w:rPr>
        <w:tab/>
      </w:r>
      <w:r>
        <w:rPr>
          <w:noProof/>
        </w:rPr>
        <w:fldChar w:fldCharType="begin"/>
      </w:r>
      <w:r>
        <w:rPr>
          <w:noProof/>
        </w:rPr>
        <w:instrText xml:space="preserve"> PAGEREF _Toc158711646 \h </w:instrText>
      </w:r>
      <w:r>
        <w:rPr>
          <w:noProof/>
        </w:rPr>
      </w:r>
      <w:r>
        <w:rPr>
          <w:noProof/>
        </w:rPr>
        <w:fldChar w:fldCharType="separate"/>
      </w:r>
      <w:r>
        <w:rPr>
          <w:noProof/>
        </w:rPr>
        <w:t>55</w:t>
      </w:r>
      <w:r>
        <w:rPr>
          <w:noProof/>
        </w:rPr>
        <w:fldChar w:fldCharType="end"/>
      </w:r>
    </w:p>
    <w:p w14:paraId="5D1F4D2D" w14:textId="15B76E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1.1.01  Prescribed amounts</w:t>
      </w:r>
      <w:r>
        <w:rPr>
          <w:noProof/>
        </w:rPr>
        <w:tab/>
      </w:r>
      <w:r>
        <w:rPr>
          <w:noProof/>
        </w:rPr>
        <w:fldChar w:fldCharType="begin"/>
      </w:r>
      <w:r>
        <w:rPr>
          <w:noProof/>
        </w:rPr>
        <w:instrText xml:space="preserve"> PAGEREF _Toc158711647 \h </w:instrText>
      </w:r>
      <w:r>
        <w:rPr>
          <w:noProof/>
        </w:rPr>
      </w:r>
      <w:r>
        <w:rPr>
          <w:noProof/>
        </w:rPr>
        <w:fldChar w:fldCharType="separate"/>
      </w:r>
      <w:r>
        <w:rPr>
          <w:noProof/>
        </w:rPr>
        <w:t>55</w:t>
      </w:r>
      <w:r>
        <w:rPr>
          <w:noProof/>
        </w:rPr>
        <w:fldChar w:fldCharType="end"/>
      </w:r>
    </w:p>
    <w:p w14:paraId="14E08DBE" w14:textId="3561DD8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1.2—Interpretation</w:t>
      </w:r>
      <w:r>
        <w:rPr>
          <w:noProof/>
        </w:rPr>
        <w:tab/>
      </w:r>
      <w:r>
        <w:rPr>
          <w:noProof/>
        </w:rPr>
        <w:fldChar w:fldCharType="begin"/>
      </w:r>
      <w:r>
        <w:rPr>
          <w:noProof/>
        </w:rPr>
        <w:instrText xml:space="preserve"> PAGEREF _Toc158711648 \h </w:instrText>
      </w:r>
      <w:r>
        <w:rPr>
          <w:noProof/>
        </w:rPr>
      </w:r>
      <w:r>
        <w:rPr>
          <w:noProof/>
        </w:rPr>
        <w:fldChar w:fldCharType="separate"/>
      </w:r>
      <w:r>
        <w:rPr>
          <w:noProof/>
        </w:rPr>
        <w:t>56</w:t>
      </w:r>
      <w:r>
        <w:rPr>
          <w:noProof/>
        </w:rPr>
        <w:fldChar w:fldCharType="end"/>
      </w:r>
    </w:p>
    <w:p w14:paraId="05AA7610" w14:textId="70D3189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1—General</w:t>
      </w:r>
      <w:r>
        <w:rPr>
          <w:noProof/>
        </w:rPr>
        <w:tab/>
      </w:r>
      <w:r>
        <w:rPr>
          <w:noProof/>
        </w:rPr>
        <w:fldChar w:fldCharType="begin"/>
      </w:r>
      <w:r>
        <w:rPr>
          <w:noProof/>
        </w:rPr>
        <w:instrText xml:space="preserve"> PAGEREF _Toc158711649 \h </w:instrText>
      </w:r>
      <w:r>
        <w:rPr>
          <w:noProof/>
        </w:rPr>
      </w:r>
      <w:r>
        <w:rPr>
          <w:noProof/>
        </w:rPr>
        <w:fldChar w:fldCharType="separate"/>
      </w:r>
      <w:r>
        <w:rPr>
          <w:noProof/>
        </w:rPr>
        <w:t>56</w:t>
      </w:r>
      <w:r>
        <w:rPr>
          <w:noProof/>
        </w:rPr>
        <w:fldChar w:fldCharType="end"/>
      </w:r>
    </w:p>
    <w:p w14:paraId="777FF496" w14:textId="598DF1A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1.2.01  Remuneration recommendations (Act s 9B)</w:t>
      </w:r>
      <w:r>
        <w:rPr>
          <w:noProof/>
        </w:rPr>
        <w:tab/>
      </w:r>
      <w:r>
        <w:rPr>
          <w:noProof/>
        </w:rPr>
        <w:fldChar w:fldCharType="begin"/>
      </w:r>
      <w:r>
        <w:rPr>
          <w:noProof/>
        </w:rPr>
        <w:instrText xml:space="preserve"> PAGEREF _Toc158711650 \h </w:instrText>
      </w:r>
      <w:r>
        <w:rPr>
          <w:noProof/>
        </w:rPr>
      </w:r>
      <w:r>
        <w:rPr>
          <w:noProof/>
        </w:rPr>
        <w:fldChar w:fldCharType="separate"/>
      </w:r>
      <w:r>
        <w:rPr>
          <w:noProof/>
        </w:rPr>
        <w:t>56</w:t>
      </w:r>
      <w:r>
        <w:rPr>
          <w:noProof/>
        </w:rPr>
        <w:fldChar w:fldCharType="end"/>
      </w:r>
    </w:p>
    <w:p w14:paraId="02D72837" w14:textId="3F4B861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1.2A—Disclosing entities</w:t>
      </w:r>
      <w:r>
        <w:rPr>
          <w:noProof/>
        </w:rPr>
        <w:tab/>
      </w:r>
      <w:r>
        <w:rPr>
          <w:noProof/>
        </w:rPr>
        <w:fldChar w:fldCharType="begin"/>
      </w:r>
      <w:r>
        <w:rPr>
          <w:noProof/>
        </w:rPr>
        <w:instrText xml:space="preserve"> PAGEREF _Toc158711651 \h </w:instrText>
      </w:r>
      <w:r>
        <w:rPr>
          <w:noProof/>
        </w:rPr>
      </w:r>
      <w:r>
        <w:rPr>
          <w:noProof/>
        </w:rPr>
        <w:fldChar w:fldCharType="separate"/>
      </w:r>
      <w:r>
        <w:rPr>
          <w:noProof/>
        </w:rPr>
        <w:t>57</w:t>
      </w:r>
      <w:r>
        <w:rPr>
          <w:noProof/>
        </w:rPr>
        <w:fldChar w:fldCharType="end"/>
      </w:r>
    </w:p>
    <w:p w14:paraId="132E7410" w14:textId="790218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1.2A.01  Securities declared not to be ED securities</w:t>
      </w:r>
      <w:r>
        <w:rPr>
          <w:noProof/>
        </w:rPr>
        <w:tab/>
      </w:r>
      <w:r>
        <w:rPr>
          <w:noProof/>
        </w:rPr>
        <w:fldChar w:fldCharType="begin"/>
      </w:r>
      <w:r>
        <w:rPr>
          <w:noProof/>
        </w:rPr>
        <w:instrText xml:space="preserve"> PAGEREF _Toc158711652 \h </w:instrText>
      </w:r>
      <w:r>
        <w:rPr>
          <w:noProof/>
        </w:rPr>
      </w:r>
      <w:r>
        <w:rPr>
          <w:noProof/>
        </w:rPr>
        <w:fldChar w:fldCharType="separate"/>
      </w:r>
      <w:r>
        <w:rPr>
          <w:noProof/>
        </w:rPr>
        <w:t>57</w:t>
      </w:r>
      <w:r>
        <w:rPr>
          <w:noProof/>
        </w:rPr>
        <w:fldChar w:fldCharType="end"/>
      </w:r>
    </w:p>
    <w:p w14:paraId="7827587D" w14:textId="5855303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1.2A.02  Foreign companies issuing securities under foreign scrip offers etc exempt from disclosing entity provisions</w:t>
      </w:r>
      <w:r>
        <w:rPr>
          <w:noProof/>
        </w:rPr>
        <w:tab/>
      </w:r>
      <w:r>
        <w:rPr>
          <w:noProof/>
        </w:rPr>
        <w:fldChar w:fldCharType="begin"/>
      </w:r>
      <w:r>
        <w:rPr>
          <w:noProof/>
        </w:rPr>
        <w:instrText xml:space="preserve"> PAGEREF _Toc158711653 \h </w:instrText>
      </w:r>
      <w:r>
        <w:rPr>
          <w:noProof/>
        </w:rPr>
      </w:r>
      <w:r>
        <w:rPr>
          <w:noProof/>
        </w:rPr>
        <w:fldChar w:fldCharType="separate"/>
      </w:r>
      <w:r>
        <w:rPr>
          <w:noProof/>
        </w:rPr>
        <w:t>57</w:t>
      </w:r>
      <w:r>
        <w:rPr>
          <w:noProof/>
        </w:rPr>
        <w:fldChar w:fldCharType="end"/>
      </w:r>
    </w:p>
    <w:p w14:paraId="187A999D" w14:textId="712DE3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1.2A.03  Foreign companies issuing securities under employee share scheme exempt from the disclosing entity provisions</w:t>
      </w:r>
      <w:r>
        <w:rPr>
          <w:noProof/>
        </w:rPr>
        <w:tab/>
      </w:r>
      <w:r>
        <w:rPr>
          <w:noProof/>
        </w:rPr>
        <w:fldChar w:fldCharType="begin"/>
      </w:r>
      <w:r>
        <w:rPr>
          <w:noProof/>
        </w:rPr>
        <w:instrText xml:space="preserve"> PAGEREF _Toc158711654 \h </w:instrText>
      </w:r>
      <w:r>
        <w:rPr>
          <w:noProof/>
        </w:rPr>
      </w:r>
      <w:r>
        <w:rPr>
          <w:noProof/>
        </w:rPr>
        <w:fldChar w:fldCharType="separate"/>
      </w:r>
      <w:r>
        <w:rPr>
          <w:noProof/>
        </w:rPr>
        <w:t>58</w:t>
      </w:r>
      <w:r>
        <w:rPr>
          <w:noProof/>
        </w:rPr>
        <w:fldChar w:fldCharType="end"/>
      </w:r>
    </w:p>
    <w:p w14:paraId="3263EC96" w14:textId="5FBD82B7"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2A—Registration of companies</w:t>
      </w:r>
      <w:r>
        <w:rPr>
          <w:noProof/>
        </w:rPr>
        <w:tab/>
      </w:r>
      <w:r>
        <w:rPr>
          <w:noProof/>
        </w:rPr>
        <w:fldChar w:fldCharType="begin"/>
      </w:r>
      <w:r>
        <w:rPr>
          <w:noProof/>
        </w:rPr>
        <w:instrText xml:space="preserve"> PAGEREF _Toc158711655 \h </w:instrText>
      </w:r>
      <w:r>
        <w:rPr>
          <w:noProof/>
        </w:rPr>
      </w:r>
      <w:r>
        <w:rPr>
          <w:noProof/>
        </w:rPr>
        <w:fldChar w:fldCharType="separate"/>
      </w:r>
      <w:r>
        <w:rPr>
          <w:noProof/>
        </w:rPr>
        <w:t>59</w:t>
      </w:r>
      <w:r>
        <w:rPr>
          <w:noProof/>
        </w:rPr>
        <w:fldChar w:fldCharType="end"/>
      </w:r>
    </w:p>
    <w:p w14:paraId="3E77F415" w14:textId="052E448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2A.1—Size of partnerships or associations (Act s 115(2))</w:t>
      </w:r>
      <w:r>
        <w:rPr>
          <w:noProof/>
        </w:rPr>
        <w:tab/>
      </w:r>
      <w:r>
        <w:rPr>
          <w:noProof/>
        </w:rPr>
        <w:fldChar w:fldCharType="begin"/>
      </w:r>
      <w:r>
        <w:rPr>
          <w:noProof/>
        </w:rPr>
        <w:instrText xml:space="preserve"> PAGEREF _Toc158711656 \h </w:instrText>
      </w:r>
      <w:r>
        <w:rPr>
          <w:noProof/>
        </w:rPr>
      </w:r>
      <w:r>
        <w:rPr>
          <w:noProof/>
        </w:rPr>
        <w:fldChar w:fldCharType="separate"/>
      </w:r>
      <w:r>
        <w:rPr>
          <w:noProof/>
        </w:rPr>
        <w:t>59</w:t>
      </w:r>
      <w:r>
        <w:rPr>
          <w:noProof/>
        </w:rPr>
        <w:fldChar w:fldCharType="end"/>
      </w:r>
    </w:p>
    <w:p w14:paraId="1ADBAF4F" w14:textId="2D8F7DC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2A.1.01  Size of partnerships or associations</w:t>
      </w:r>
      <w:r>
        <w:rPr>
          <w:noProof/>
        </w:rPr>
        <w:tab/>
      </w:r>
      <w:r>
        <w:rPr>
          <w:noProof/>
        </w:rPr>
        <w:fldChar w:fldCharType="begin"/>
      </w:r>
      <w:r>
        <w:rPr>
          <w:noProof/>
        </w:rPr>
        <w:instrText xml:space="preserve"> PAGEREF _Toc158711657 \h </w:instrText>
      </w:r>
      <w:r>
        <w:rPr>
          <w:noProof/>
        </w:rPr>
      </w:r>
      <w:r>
        <w:rPr>
          <w:noProof/>
        </w:rPr>
        <w:fldChar w:fldCharType="separate"/>
      </w:r>
      <w:r>
        <w:rPr>
          <w:noProof/>
        </w:rPr>
        <w:t>59</w:t>
      </w:r>
      <w:r>
        <w:rPr>
          <w:noProof/>
        </w:rPr>
        <w:fldChar w:fldCharType="end"/>
      </w:r>
    </w:p>
    <w:p w14:paraId="78E12FD4" w14:textId="69646C9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2A.2—Change of place of registration of company (Act s 119A(3))</w:t>
      </w:r>
      <w:r>
        <w:rPr>
          <w:noProof/>
        </w:rPr>
        <w:tab/>
      </w:r>
      <w:r>
        <w:rPr>
          <w:noProof/>
        </w:rPr>
        <w:fldChar w:fldCharType="begin"/>
      </w:r>
      <w:r>
        <w:rPr>
          <w:noProof/>
        </w:rPr>
        <w:instrText xml:space="preserve"> PAGEREF _Toc158711658 \h </w:instrText>
      </w:r>
      <w:r>
        <w:rPr>
          <w:noProof/>
        </w:rPr>
      </w:r>
      <w:r>
        <w:rPr>
          <w:noProof/>
        </w:rPr>
        <w:fldChar w:fldCharType="separate"/>
      </w:r>
      <w:r>
        <w:rPr>
          <w:noProof/>
        </w:rPr>
        <w:t>60</w:t>
      </w:r>
      <w:r>
        <w:rPr>
          <w:noProof/>
        </w:rPr>
        <w:fldChar w:fldCharType="end"/>
      </w:r>
    </w:p>
    <w:p w14:paraId="71F4D8D1" w14:textId="5A09E7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2A.2.01  Approval of application for change of place of registration</w:t>
      </w:r>
      <w:r>
        <w:rPr>
          <w:noProof/>
        </w:rPr>
        <w:tab/>
      </w:r>
      <w:r>
        <w:rPr>
          <w:noProof/>
        </w:rPr>
        <w:fldChar w:fldCharType="begin"/>
      </w:r>
      <w:r>
        <w:rPr>
          <w:noProof/>
        </w:rPr>
        <w:instrText xml:space="preserve"> PAGEREF _Toc158711659 \h </w:instrText>
      </w:r>
      <w:r>
        <w:rPr>
          <w:noProof/>
        </w:rPr>
      </w:r>
      <w:r>
        <w:rPr>
          <w:noProof/>
        </w:rPr>
        <w:fldChar w:fldCharType="separate"/>
      </w:r>
      <w:r>
        <w:rPr>
          <w:noProof/>
        </w:rPr>
        <w:t>60</w:t>
      </w:r>
      <w:r>
        <w:rPr>
          <w:noProof/>
        </w:rPr>
        <w:fldChar w:fldCharType="end"/>
      </w:r>
    </w:p>
    <w:p w14:paraId="592EAD0E" w14:textId="7972A9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2A.2.02  Special resolution may be set aside by Court order</w:t>
      </w:r>
      <w:r>
        <w:rPr>
          <w:noProof/>
        </w:rPr>
        <w:tab/>
      </w:r>
      <w:r>
        <w:rPr>
          <w:noProof/>
        </w:rPr>
        <w:fldChar w:fldCharType="begin"/>
      </w:r>
      <w:r>
        <w:rPr>
          <w:noProof/>
        </w:rPr>
        <w:instrText xml:space="preserve"> PAGEREF _Toc158711660 \h </w:instrText>
      </w:r>
      <w:r>
        <w:rPr>
          <w:noProof/>
        </w:rPr>
      </w:r>
      <w:r>
        <w:rPr>
          <w:noProof/>
        </w:rPr>
        <w:fldChar w:fldCharType="separate"/>
      </w:r>
      <w:r>
        <w:rPr>
          <w:noProof/>
        </w:rPr>
        <w:t>60</w:t>
      </w:r>
      <w:r>
        <w:rPr>
          <w:noProof/>
        </w:rPr>
        <w:fldChar w:fldCharType="end"/>
      </w:r>
    </w:p>
    <w:p w14:paraId="6EB1D7E9" w14:textId="192492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2A.2.03  Application for change of place of registration</w:t>
      </w:r>
      <w:r>
        <w:rPr>
          <w:noProof/>
        </w:rPr>
        <w:tab/>
      </w:r>
      <w:r>
        <w:rPr>
          <w:noProof/>
        </w:rPr>
        <w:fldChar w:fldCharType="begin"/>
      </w:r>
      <w:r>
        <w:rPr>
          <w:noProof/>
        </w:rPr>
        <w:instrText xml:space="preserve"> PAGEREF _Toc158711661 \h </w:instrText>
      </w:r>
      <w:r>
        <w:rPr>
          <w:noProof/>
        </w:rPr>
      </w:r>
      <w:r>
        <w:rPr>
          <w:noProof/>
        </w:rPr>
        <w:fldChar w:fldCharType="separate"/>
      </w:r>
      <w:r>
        <w:rPr>
          <w:noProof/>
        </w:rPr>
        <w:t>60</w:t>
      </w:r>
      <w:r>
        <w:rPr>
          <w:noProof/>
        </w:rPr>
        <w:fldChar w:fldCharType="end"/>
      </w:r>
    </w:p>
    <w:p w14:paraId="37B50014" w14:textId="7520624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2A.2.04  Change of place of registration</w:t>
      </w:r>
      <w:r>
        <w:rPr>
          <w:noProof/>
        </w:rPr>
        <w:tab/>
      </w:r>
      <w:r>
        <w:rPr>
          <w:noProof/>
        </w:rPr>
        <w:fldChar w:fldCharType="begin"/>
      </w:r>
      <w:r>
        <w:rPr>
          <w:noProof/>
        </w:rPr>
        <w:instrText xml:space="preserve"> PAGEREF _Toc158711662 \h </w:instrText>
      </w:r>
      <w:r>
        <w:rPr>
          <w:noProof/>
        </w:rPr>
      </w:r>
      <w:r>
        <w:rPr>
          <w:noProof/>
        </w:rPr>
        <w:fldChar w:fldCharType="separate"/>
      </w:r>
      <w:r>
        <w:rPr>
          <w:noProof/>
        </w:rPr>
        <w:t>60</w:t>
      </w:r>
      <w:r>
        <w:rPr>
          <w:noProof/>
        </w:rPr>
        <w:fldChar w:fldCharType="end"/>
      </w:r>
    </w:p>
    <w:p w14:paraId="35D0D19D" w14:textId="0BA760B6"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2B—Basic features of a company</w:t>
      </w:r>
      <w:r>
        <w:rPr>
          <w:noProof/>
        </w:rPr>
        <w:tab/>
      </w:r>
      <w:r>
        <w:rPr>
          <w:noProof/>
        </w:rPr>
        <w:fldChar w:fldCharType="begin"/>
      </w:r>
      <w:r>
        <w:rPr>
          <w:noProof/>
        </w:rPr>
        <w:instrText xml:space="preserve"> PAGEREF _Toc158711663 \h </w:instrText>
      </w:r>
      <w:r>
        <w:rPr>
          <w:noProof/>
        </w:rPr>
      </w:r>
      <w:r>
        <w:rPr>
          <w:noProof/>
        </w:rPr>
        <w:fldChar w:fldCharType="separate"/>
      </w:r>
      <w:r>
        <w:rPr>
          <w:noProof/>
        </w:rPr>
        <w:t>61</w:t>
      </w:r>
      <w:r>
        <w:rPr>
          <w:noProof/>
        </w:rPr>
        <w:fldChar w:fldCharType="end"/>
      </w:r>
    </w:p>
    <w:p w14:paraId="27063F6A" w14:textId="757AF23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2B.6—Names</w:t>
      </w:r>
      <w:r>
        <w:rPr>
          <w:noProof/>
        </w:rPr>
        <w:tab/>
      </w:r>
      <w:r>
        <w:rPr>
          <w:noProof/>
        </w:rPr>
        <w:fldChar w:fldCharType="begin"/>
      </w:r>
      <w:r>
        <w:rPr>
          <w:noProof/>
        </w:rPr>
        <w:instrText xml:space="preserve"> PAGEREF _Toc158711664 \h </w:instrText>
      </w:r>
      <w:r>
        <w:rPr>
          <w:noProof/>
        </w:rPr>
      </w:r>
      <w:r>
        <w:rPr>
          <w:noProof/>
        </w:rPr>
        <w:fldChar w:fldCharType="separate"/>
      </w:r>
      <w:r>
        <w:rPr>
          <w:noProof/>
        </w:rPr>
        <w:t>61</w:t>
      </w:r>
      <w:r>
        <w:rPr>
          <w:noProof/>
        </w:rPr>
        <w:fldChar w:fldCharType="end"/>
      </w:r>
    </w:p>
    <w:p w14:paraId="35BB9502" w14:textId="5C9B186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2B.6.01  Availability of names (Act s 147)</w:t>
      </w:r>
      <w:r>
        <w:rPr>
          <w:noProof/>
        </w:rPr>
        <w:tab/>
      </w:r>
      <w:r>
        <w:rPr>
          <w:noProof/>
        </w:rPr>
        <w:fldChar w:fldCharType="begin"/>
      </w:r>
      <w:r>
        <w:rPr>
          <w:noProof/>
        </w:rPr>
        <w:instrText xml:space="preserve"> PAGEREF _Toc158711665 \h </w:instrText>
      </w:r>
      <w:r>
        <w:rPr>
          <w:noProof/>
        </w:rPr>
      </w:r>
      <w:r>
        <w:rPr>
          <w:noProof/>
        </w:rPr>
        <w:fldChar w:fldCharType="separate"/>
      </w:r>
      <w:r>
        <w:rPr>
          <w:noProof/>
        </w:rPr>
        <w:t>61</w:t>
      </w:r>
      <w:r>
        <w:rPr>
          <w:noProof/>
        </w:rPr>
        <w:fldChar w:fldCharType="end"/>
      </w:r>
    </w:p>
    <w:p w14:paraId="78503CD9" w14:textId="1942BA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2B.6.02  Consents required for use of certain letters, words and expressions</w:t>
      </w:r>
      <w:r>
        <w:rPr>
          <w:noProof/>
        </w:rPr>
        <w:tab/>
      </w:r>
      <w:r>
        <w:rPr>
          <w:noProof/>
        </w:rPr>
        <w:fldChar w:fldCharType="begin"/>
      </w:r>
      <w:r>
        <w:rPr>
          <w:noProof/>
        </w:rPr>
        <w:instrText xml:space="preserve"> PAGEREF _Toc158711666 \h </w:instrText>
      </w:r>
      <w:r>
        <w:rPr>
          <w:noProof/>
        </w:rPr>
      </w:r>
      <w:r>
        <w:rPr>
          <w:noProof/>
        </w:rPr>
        <w:fldChar w:fldCharType="separate"/>
      </w:r>
      <w:r>
        <w:rPr>
          <w:noProof/>
        </w:rPr>
        <w:t>61</w:t>
      </w:r>
      <w:r>
        <w:rPr>
          <w:noProof/>
        </w:rPr>
        <w:fldChar w:fldCharType="end"/>
      </w:r>
    </w:p>
    <w:p w14:paraId="393B49D8" w14:textId="67FCF6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2B.6.02A  Exemption from requirement to include “Limited” in name</w:t>
      </w:r>
      <w:r>
        <w:rPr>
          <w:noProof/>
        </w:rPr>
        <w:tab/>
      </w:r>
      <w:r>
        <w:rPr>
          <w:noProof/>
        </w:rPr>
        <w:fldChar w:fldCharType="begin"/>
      </w:r>
      <w:r>
        <w:rPr>
          <w:noProof/>
        </w:rPr>
        <w:instrText xml:space="preserve"> PAGEREF _Toc158711667 \h </w:instrText>
      </w:r>
      <w:r>
        <w:rPr>
          <w:noProof/>
        </w:rPr>
      </w:r>
      <w:r>
        <w:rPr>
          <w:noProof/>
        </w:rPr>
        <w:fldChar w:fldCharType="separate"/>
      </w:r>
      <w:r>
        <w:rPr>
          <w:noProof/>
        </w:rPr>
        <w:t>61</w:t>
      </w:r>
      <w:r>
        <w:rPr>
          <w:noProof/>
        </w:rPr>
        <w:fldChar w:fldCharType="end"/>
      </w:r>
    </w:p>
    <w:p w14:paraId="328CA46F" w14:textId="70022C0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2B.6.03  Exemptions from requirement to set out name and ACN on certain documents (Act s 155)</w:t>
      </w:r>
      <w:r>
        <w:rPr>
          <w:noProof/>
        </w:rPr>
        <w:tab/>
      </w:r>
      <w:r>
        <w:rPr>
          <w:noProof/>
        </w:rPr>
        <w:fldChar w:fldCharType="begin"/>
      </w:r>
      <w:r>
        <w:rPr>
          <w:noProof/>
        </w:rPr>
        <w:instrText xml:space="preserve"> PAGEREF _Toc158711668 \h </w:instrText>
      </w:r>
      <w:r>
        <w:rPr>
          <w:noProof/>
        </w:rPr>
      </w:r>
      <w:r>
        <w:rPr>
          <w:noProof/>
        </w:rPr>
        <w:fldChar w:fldCharType="separate"/>
      </w:r>
      <w:r>
        <w:rPr>
          <w:noProof/>
        </w:rPr>
        <w:t>61</w:t>
      </w:r>
      <w:r>
        <w:rPr>
          <w:noProof/>
        </w:rPr>
        <w:fldChar w:fldCharType="end"/>
      </w:r>
    </w:p>
    <w:p w14:paraId="588CFC4E" w14:textId="0138D1BE"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2C—Registers</w:t>
      </w:r>
      <w:r>
        <w:rPr>
          <w:noProof/>
        </w:rPr>
        <w:tab/>
      </w:r>
      <w:r>
        <w:rPr>
          <w:noProof/>
        </w:rPr>
        <w:fldChar w:fldCharType="begin"/>
      </w:r>
      <w:r>
        <w:rPr>
          <w:noProof/>
        </w:rPr>
        <w:instrText xml:space="preserve"> PAGEREF _Toc158711669 \h </w:instrText>
      </w:r>
      <w:r>
        <w:rPr>
          <w:noProof/>
        </w:rPr>
      </w:r>
      <w:r>
        <w:rPr>
          <w:noProof/>
        </w:rPr>
        <w:fldChar w:fldCharType="separate"/>
      </w:r>
      <w:r>
        <w:rPr>
          <w:noProof/>
        </w:rPr>
        <w:t>62</w:t>
      </w:r>
      <w:r>
        <w:rPr>
          <w:noProof/>
        </w:rPr>
        <w:fldChar w:fldCharType="end"/>
      </w:r>
    </w:p>
    <w:p w14:paraId="33B82F34" w14:textId="4D5AD5C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2C.1—Registers generally</w:t>
      </w:r>
      <w:r>
        <w:rPr>
          <w:noProof/>
        </w:rPr>
        <w:tab/>
      </w:r>
      <w:r>
        <w:rPr>
          <w:noProof/>
        </w:rPr>
        <w:fldChar w:fldCharType="begin"/>
      </w:r>
      <w:r>
        <w:rPr>
          <w:noProof/>
        </w:rPr>
        <w:instrText xml:space="preserve"> PAGEREF _Toc158711670 \h </w:instrText>
      </w:r>
      <w:r>
        <w:rPr>
          <w:noProof/>
        </w:rPr>
      </w:r>
      <w:r>
        <w:rPr>
          <w:noProof/>
        </w:rPr>
        <w:fldChar w:fldCharType="separate"/>
      </w:r>
      <w:r>
        <w:rPr>
          <w:noProof/>
        </w:rPr>
        <w:t>62</w:t>
      </w:r>
      <w:r>
        <w:rPr>
          <w:noProof/>
        </w:rPr>
        <w:fldChar w:fldCharType="end"/>
      </w:r>
    </w:p>
    <w:p w14:paraId="3BF7A2D3" w14:textId="04E1281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2C.1.1—Location of register</w:t>
      </w:r>
      <w:r>
        <w:rPr>
          <w:noProof/>
        </w:rPr>
        <w:tab/>
      </w:r>
      <w:r>
        <w:rPr>
          <w:noProof/>
        </w:rPr>
        <w:fldChar w:fldCharType="begin"/>
      </w:r>
      <w:r>
        <w:rPr>
          <w:noProof/>
        </w:rPr>
        <w:instrText xml:space="preserve"> PAGEREF _Toc158711671 \h </w:instrText>
      </w:r>
      <w:r>
        <w:rPr>
          <w:noProof/>
        </w:rPr>
      </w:r>
      <w:r>
        <w:rPr>
          <w:noProof/>
        </w:rPr>
        <w:fldChar w:fldCharType="separate"/>
      </w:r>
      <w:r>
        <w:rPr>
          <w:noProof/>
        </w:rPr>
        <w:t>62</w:t>
      </w:r>
      <w:r>
        <w:rPr>
          <w:noProof/>
        </w:rPr>
        <w:fldChar w:fldCharType="end"/>
      </w:r>
    </w:p>
    <w:p w14:paraId="262E56B0" w14:textId="397DC4E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2C.1.01  Form of notice</w:t>
      </w:r>
      <w:r>
        <w:rPr>
          <w:noProof/>
        </w:rPr>
        <w:tab/>
      </w:r>
      <w:r>
        <w:rPr>
          <w:noProof/>
        </w:rPr>
        <w:fldChar w:fldCharType="begin"/>
      </w:r>
      <w:r>
        <w:rPr>
          <w:noProof/>
        </w:rPr>
        <w:instrText xml:space="preserve"> PAGEREF _Toc158711672 \h </w:instrText>
      </w:r>
      <w:r>
        <w:rPr>
          <w:noProof/>
        </w:rPr>
      </w:r>
      <w:r>
        <w:rPr>
          <w:noProof/>
        </w:rPr>
        <w:fldChar w:fldCharType="separate"/>
      </w:r>
      <w:r>
        <w:rPr>
          <w:noProof/>
        </w:rPr>
        <w:t>62</w:t>
      </w:r>
      <w:r>
        <w:rPr>
          <w:noProof/>
        </w:rPr>
        <w:fldChar w:fldCharType="end"/>
      </w:r>
    </w:p>
    <w:p w14:paraId="5AC07634" w14:textId="0CC37BE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2C.1.2—Right to inspect and get copies of register</w:t>
      </w:r>
      <w:r>
        <w:rPr>
          <w:noProof/>
        </w:rPr>
        <w:tab/>
      </w:r>
      <w:r>
        <w:rPr>
          <w:noProof/>
        </w:rPr>
        <w:fldChar w:fldCharType="begin"/>
      </w:r>
      <w:r>
        <w:rPr>
          <w:noProof/>
        </w:rPr>
        <w:instrText xml:space="preserve"> PAGEREF _Toc158711673 \h </w:instrText>
      </w:r>
      <w:r>
        <w:rPr>
          <w:noProof/>
        </w:rPr>
      </w:r>
      <w:r>
        <w:rPr>
          <w:noProof/>
        </w:rPr>
        <w:fldChar w:fldCharType="separate"/>
      </w:r>
      <w:r>
        <w:rPr>
          <w:noProof/>
        </w:rPr>
        <w:t>63</w:t>
      </w:r>
      <w:r>
        <w:rPr>
          <w:noProof/>
        </w:rPr>
        <w:fldChar w:fldCharType="end"/>
      </w:r>
    </w:p>
    <w:p w14:paraId="248381AF" w14:textId="53D3D9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2C.1.02  Form of register</w:t>
      </w:r>
      <w:r>
        <w:rPr>
          <w:noProof/>
        </w:rPr>
        <w:tab/>
      </w:r>
      <w:r>
        <w:rPr>
          <w:noProof/>
        </w:rPr>
        <w:fldChar w:fldCharType="begin"/>
      </w:r>
      <w:r>
        <w:rPr>
          <w:noProof/>
        </w:rPr>
        <w:instrText xml:space="preserve"> PAGEREF _Toc158711674 \h </w:instrText>
      </w:r>
      <w:r>
        <w:rPr>
          <w:noProof/>
        </w:rPr>
      </w:r>
      <w:r>
        <w:rPr>
          <w:noProof/>
        </w:rPr>
        <w:fldChar w:fldCharType="separate"/>
      </w:r>
      <w:r>
        <w:rPr>
          <w:noProof/>
        </w:rPr>
        <w:t>63</w:t>
      </w:r>
      <w:r>
        <w:rPr>
          <w:noProof/>
        </w:rPr>
        <w:fldChar w:fldCharType="end"/>
      </w:r>
    </w:p>
    <w:p w14:paraId="6412D36A" w14:textId="05D4FD9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2C.1.03  Improper purposes for getting copy of register</w:t>
      </w:r>
      <w:r>
        <w:rPr>
          <w:noProof/>
        </w:rPr>
        <w:tab/>
      </w:r>
      <w:r>
        <w:rPr>
          <w:noProof/>
        </w:rPr>
        <w:fldChar w:fldCharType="begin"/>
      </w:r>
      <w:r>
        <w:rPr>
          <w:noProof/>
        </w:rPr>
        <w:instrText xml:space="preserve"> PAGEREF _Toc158711675 \h </w:instrText>
      </w:r>
      <w:r>
        <w:rPr>
          <w:noProof/>
        </w:rPr>
      </w:r>
      <w:r>
        <w:rPr>
          <w:noProof/>
        </w:rPr>
        <w:fldChar w:fldCharType="separate"/>
      </w:r>
      <w:r>
        <w:rPr>
          <w:noProof/>
        </w:rPr>
        <w:t>63</w:t>
      </w:r>
      <w:r>
        <w:rPr>
          <w:noProof/>
        </w:rPr>
        <w:fldChar w:fldCharType="end"/>
      </w:r>
    </w:p>
    <w:p w14:paraId="4145763B" w14:textId="46F41C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2C.1.04  Information to be included in application for copy of register</w:t>
      </w:r>
      <w:r>
        <w:rPr>
          <w:noProof/>
        </w:rPr>
        <w:tab/>
      </w:r>
      <w:r>
        <w:rPr>
          <w:noProof/>
        </w:rPr>
        <w:fldChar w:fldCharType="begin"/>
      </w:r>
      <w:r>
        <w:rPr>
          <w:noProof/>
        </w:rPr>
        <w:instrText xml:space="preserve"> PAGEREF _Toc158711676 \h </w:instrText>
      </w:r>
      <w:r>
        <w:rPr>
          <w:noProof/>
        </w:rPr>
      </w:r>
      <w:r>
        <w:rPr>
          <w:noProof/>
        </w:rPr>
        <w:fldChar w:fldCharType="separate"/>
      </w:r>
      <w:r>
        <w:rPr>
          <w:noProof/>
        </w:rPr>
        <w:t>63</w:t>
      </w:r>
      <w:r>
        <w:rPr>
          <w:noProof/>
        </w:rPr>
        <w:fldChar w:fldCharType="end"/>
      </w:r>
    </w:p>
    <w:p w14:paraId="20D57E6A" w14:textId="3D38D1F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2C.1.3—Use of information on registers by bodies corporate</w:t>
      </w:r>
      <w:r>
        <w:rPr>
          <w:noProof/>
        </w:rPr>
        <w:tab/>
      </w:r>
      <w:r>
        <w:rPr>
          <w:noProof/>
        </w:rPr>
        <w:fldChar w:fldCharType="begin"/>
      </w:r>
      <w:r>
        <w:rPr>
          <w:noProof/>
        </w:rPr>
        <w:instrText xml:space="preserve"> PAGEREF _Toc158711677 \h </w:instrText>
      </w:r>
      <w:r>
        <w:rPr>
          <w:noProof/>
        </w:rPr>
      </w:r>
      <w:r>
        <w:rPr>
          <w:noProof/>
        </w:rPr>
        <w:fldChar w:fldCharType="separate"/>
      </w:r>
      <w:r>
        <w:rPr>
          <w:noProof/>
        </w:rPr>
        <w:t>64</w:t>
      </w:r>
      <w:r>
        <w:rPr>
          <w:noProof/>
        </w:rPr>
        <w:fldChar w:fldCharType="end"/>
      </w:r>
    </w:p>
    <w:p w14:paraId="395F7F33" w14:textId="7FD0F5D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2C.1.05  Contact with members after failure to provide copy of register</w:t>
      </w:r>
      <w:r>
        <w:rPr>
          <w:noProof/>
        </w:rPr>
        <w:tab/>
      </w:r>
      <w:r>
        <w:rPr>
          <w:noProof/>
        </w:rPr>
        <w:fldChar w:fldCharType="begin"/>
      </w:r>
      <w:r>
        <w:rPr>
          <w:noProof/>
        </w:rPr>
        <w:instrText xml:space="preserve"> PAGEREF _Toc158711678 \h </w:instrText>
      </w:r>
      <w:r>
        <w:rPr>
          <w:noProof/>
        </w:rPr>
      </w:r>
      <w:r>
        <w:rPr>
          <w:noProof/>
        </w:rPr>
        <w:fldChar w:fldCharType="separate"/>
      </w:r>
      <w:r>
        <w:rPr>
          <w:noProof/>
        </w:rPr>
        <w:t>64</w:t>
      </w:r>
      <w:r>
        <w:rPr>
          <w:noProof/>
        </w:rPr>
        <w:fldChar w:fldCharType="end"/>
      </w:r>
    </w:p>
    <w:p w14:paraId="1F9FA770" w14:textId="5DCF2E31"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2D—Officers and employees</w:t>
      </w:r>
      <w:r>
        <w:rPr>
          <w:noProof/>
        </w:rPr>
        <w:tab/>
      </w:r>
      <w:r>
        <w:rPr>
          <w:noProof/>
        </w:rPr>
        <w:fldChar w:fldCharType="begin"/>
      </w:r>
      <w:r>
        <w:rPr>
          <w:noProof/>
        </w:rPr>
        <w:instrText xml:space="preserve"> PAGEREF _Toc158711679 \h </w:instrText>
      </w:r>
      <w:r>
        <w:rPr>
          <w:noProof/>
        </w:rPr>
      </w:r>
      <w:r>
        <w:rPr>
          <w:noProof/>
        </w:rPr>
        <w:fldChar w:fldCharType="separate"/>
      </w:r>
      <w:r>
        <w:rPr>
          <w:noProof/>
        </w:rPr>
        <w:t>65</w:t>
      </w:r>
      <w:r>
        <w:rPr>
          <w:noProof/>
        </w:rPr>
        <w:fldChar w:fldCharType="end"/>
      </w:r>
    </w:p>
    <w:p w14:paraId="4AE73A58" w14:textId="3821387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2D.2—Restrictions on indemnities, insurance and termination payments</w:t>
      </w:r>
      <w:r>
        <w:rPr>
          <w:noProof/>
        </w:rPr>
        <w:tab/>
      </w:r>
      <w:r>
        <w:rPr>
          <w:noProof/>
        </w:rPr>
        <w:fldChar w:fldCharType="begin"/>
      </w:r>
      <w:r>
        <w:rPr>
          <w:noProof/>
        </w:rPr>
        <w:instrText xml:space="preserve"> PAGEREF _Toc158711680 \h </w:instrText>
      </w:r>
      <w:r>
        <w:rPr>
          <w:noProof/>
        </w:rPr>
      </w:r>
      <w:r>
        <w:rPr>
          <w:noProof/>
        </w:rPr>
        <w:fldChar w:fldCharType="separate"/>
      </w:r>
      <w:r>
        <w:rPr>
          <w:noProof/>
        </w:rPr>
        <w:t>65</w:t>
      </w:r>
      <w:r>
        <w:rPr>
          <w:noProof/>
        </w:rPr>
        <w:fldChar w:fldCharType="end"/>
      </w:r>
    </w:p>
    <w:p w14:paraId="23B626D3" w14:textId="48C3C65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2D.2.2—Termination payments</w:t>
      </w:r>
      <w:r>
        <w:rPr>
          <w:noProof/>
        </w:rPr>
        <w:tab/>
      </w:r>
      <w:r>
        <w:rPr>
          <w:noProof/>
        </w:rPr>
        <w:fldChar w:fldCharType="begin"/>
      </w:r>
      <w:r>
        <w:rPr>
          <w:noProof/>
        </w:rPr>
        <w:instrText xml:space="preserve"> PAGEREF _Toc158711681 \h </w:instrText>
      </w:r>
      <w:r>
        <w:rPr>
          <w:noProof/>
        </w:rPr>
      </w:r>
      <w:r>
        <w:rPr>
          <w:noProof/>
        </w:rPr>
        <w:fldChar w:fldCharType="separate"/>
      </w:r>
      <w:r>
        <w:rPr>
          <w:noProof/>
        </w:rPr>
        <w:t>65</w:t>
      </w:r>
      <w:r>
        <w:rPr>
          <w:noProof/>
        </w:rPr>
        <w:fldChar w:fldCharType="end"/>
      </w:r>
    </w:p>
    <w:p w14:paraId="1DFC32DD" w14:textId="0BEC0B4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2D.2.01  Meaning of </w:t>
      </w:r>
      <w:r w:rsidRPr="00FC743A">
        <w:rPr>
          <w:i/>
          <w:noProof/>
        </w:rPr>
        <w:t>base salary</w:t>
      </w:r>
      <w:r>
        <w:rPr>
          <w:noProof/>
        </w:rPr>
        <w:tab/>
      </w:r>
      <w:r>
        <w:rPr>
          <w:noProof/>
        </w:rPr>
        <w:fldChar w:fldCharType="begin"/>
      </w:r>
      <w:r>
        <w:rPr>
          <w:noProof/>
        </w:rPr>
        <w:instrText xml:space="preserve"> PAGEREF _Toc158711682 \h </w:instrText>
      </w:r>
      <w:r>
        <w:rPr>
          <w:noProof/>
        </w:rPr>
      </w:r>
      <w:r>
        <w:rPr>
          <w:noProof/>
        </w:rPr>
        <w:fldChar w:fldCharType="separate"/>
      </w:r>
      <w:r>
        <w:rPr>
          <w:noProof/>
        </w:rPr>
        <w:t>65</w:t>
      </w:r>
      <w:r>
        <w:rPr>
          <w:noProof/>
        </w:rPr>
        <w:fldChar w:fldCharType="end"/>
      </w:r>
    </w:p>
    <w:p w14:paraId="6F380353" w14:textId="5BAB43C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2D.2.02  Meaning of </w:t>
      </w:r>
      <w:r w:rsidRPr="00FC743A">
        <w:rPr>
          <w:i/>
          <w:iCs/>
          <w:noProof/>
        </w:rPr>
        <w:t>benefit</w:t>
      </w:r>
      <w:r>
        <w:rPr>
          <w:noProof/>
        </w:rPr>
        <w:tab/>
      </w:r>
      <w:r>
        <w:rPr>
          <w:noProof/>
        </w:rPr>
        <w:fldChar w:fldCharType="begin"/>
      </w:r>
      <w:r>
        <w:rPr>
          <w:noProof/>
        </w:rPr>
        <w:instrText xml:space="preserve"> PAGEREF _Toc158711683 \h </w:instrText>
      </w:r>
      <w:r>
        <w:rPr>
          <w:noProof/>
        </w:rPr>
      </w:r>
      <w:r>
        <w:rPr>
          <w:noProof/>
        </w:rPr>
        <w:fldChar w:fldCharType="separate"/>
      </w:r>
      <w:r>
        <w:rPr>
          <w:noProof/>
        </w:rPr>
        <w:t>65</w:t>
      </w:r>
      <w:r>
        <w:rPr>
          <w:noProof/>
        </w:rPr>
        <w:fldChar w:fldCharType="end"/>
      </w:r>
    </w:p>
    <w:p w14:paraId="52E48C73" w14:textId="47138F2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2D.2.03  When benefit given in connection with retirement from an office or a position</w:t>
      </w:r>
      <w:r>
        <w:rPr>
          <w:noProof/>
        </w:rPr>
        <w:tab/>
      </w:r>
      <w:r>
        <w:rPr>
          <w:noProof/>
        </w:rPr>
        <w:fldChar w:fldCharType="begin"/>
      </w:r>
      <w:r>
        <w:rPr>
          <w:noProof/>
        </w:rPr>
        <w:instrText xml:space="preserve"> PAGEREF _Toc158711684 \h </w:instrText>
      </w:r>
      <w:r>
        <w:rPr>
          <w:noProof/>
        </w:rPr>
      </w:r>
      <w:r>
        <w:rPr>
          <w:noProof/>
        </w:rPr>
        <w:fldChar w:fldCharType="separate"/>
      </w:r>
      <w:r>
        <w:rPr>
          <w:noProof/>
        </w:rPr>
        <w:t>66</w:t>
      </w:r>
      <w:r>
        <w:rPr>
          <w:noProof/>
        </w:rPr>
        <w:fldChar w:fldCharType="end"/>
      </w:r>
    </w:p>
    <w:p w14:paraId="24ECF703" w14:textId="2ED76D1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2D.6—Disqualification from managing corporations</w:t>
      </w:r>
      <w:r>
        <w:rPr>
          <w:noProof/>
        </w:rPr>
        <w:tab/>
      </w:r>
      <w:r>
        <w:rPr>
          <w:noProof/>
        </w:rPr>
        <w:fldChar w:fldCharType="begin"/>
      </w:r>
      <w:r>
        <w:rPr>
          <w:noProof/>
        </w:rPr>
        <w:instrText xml:space="preserve"> PAGEREF _Toc158711685 \h </w:instrText>
      </w:r>
      <w:r>
        <w:rPr>
          <w:noProof/>
        </w:rPr>
      </w:r>
      <w:r>
        <w:rPr>
          <w:noProof/>
        </w:rPr>
        <w:fldChar w:fldCharType="separate"/>
      </w:r>
      <w:r>
        <w:rPr>
          <w:noProof/>
        </w:rPr>
        <w:t>67</w:t>
      </w:r>
      <w:r>
        <w:rPr>
          <w:noProof/>
        </w:rPr>
        <w:fldChar w:fldCharType="end"/>
      </w:r>
    </w:p>
    <w:p w14:paraId="31CD02C3" w14:textId="5085DBC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2D.6.1—Automatic disqualification (Act s 206B)</w:t>
      </w:r>
      <w:r>
        <w:rPr>
          <w:noProof/>
        </w:rPr>
        <w:tab/>
      </w:r>
      <w:r>
        <w:rPr>
          <w:noProof/>
        </w:rPr>
        <w:fldChar w:fldCharType="begin"/>
      </w:r>
      <w:r>
        <w:rPr>
          <w:noProof/>
        </w:rPr>
        <w:instrText xml:space="preserve"> PAGEREF _Toc158711686 \h </w:instrText>
      </w:r>
      <w:r>
        <w:rPr>
          <w:noProof/>
        </w:rPr>
      </w:r>
      <w:r>
        <w:rPr>
          <w:noProof/>
        </w:rPr>
        <w:fldChar w:fldCharType="separate"/>
      </w:r>
      <w:r>
        <w:rPr>
          <w:noProof/>
        </w:rPr>
        <w:t>67</w:t>
      </w:r>
      <w:r>
        <w:rPr>
          <w:noProof/>
        </w:rPr>
        <w:fldChar w:fldCharType="end"/>
      </w:r>
    </w:p>
    <w:p w14:paraId="20EFB00F" w14:textId="4649229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2D.6.01  Prescribed foreign jurisdictions (Act s 206B(7))</w:t>
      </w:r>
      <w:r>
        <w:rPr>
          <w:noProof/>
        </w:rPr>
        <w:tab/>
      </w:r>
      <w:r>
        <w:rPr>
          <w:noProof/>
        </w:rPr>
        <w:fldChar w:fldCharType="begin"/>
      </w:r>
      <w:r>
        <w:rPr>
          <w:noProof/>
        </w:rPr>
        <w:instrText xml:space="preserve"> PAGEREF _Toc158711687 \h </w:instrText>
      </w:r>
      <w:r>
        <w:rPr>
          <w:noProof/>
        </w:rPr>
      </w:r>
      <w:r>
        <w:rPr>
          <w:noProof/>
        </w:rPr>
        <w:fldChar w:fldCharType="separate"/>
      </w:r>
      <w:r>
        <w:rPr>
          <w:noProof/>
        </w:rPr>
        <w:t>67</w:t>
      </w:r>
      <w:r>
        <w:rPr>
          <w:noProof/>
        </w:rPr>
        <w:fldChar w:fldCharType="end"/>
      </w:r>
    </w:p>
    <w:p w14:paraId="2641F24A" w14:textId="2E43378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2D.7—Ban on hedging remuneration of key management personnel</w:t>
      </w:r>
      <w:r>
        <w:rPr>
          <w:noProof/>
        </w:rPr>
        <w:tab/>
      </w:r>
      <w:r>
        <w:rPr>
          <w:noProof/>
        </w:rPr>
        <w:fldChar w:fldCharType="begin"/>
      </w:r>
      <w:r>
        <w:rPr>
          <w:noProof/>
        </w:rPr>
        <w:instrText xml:space="preserve"> PAGEREF _Toc158711688 \h </w:instrText>
      </w:r>
      <w:r>
        <w:rPr>
          <w:noProof/>
        </w:rPr>
      </w:r>
      <w:r>
        <w:rPr>
          <w:noProof/>
        </w:rPr>
        <w:fldChar w:fldCharType="separate"/>
      </w:r>
      <w:r>
        <w:rPr>
          <w:noProof/>
        </w:rPr>
        <w:t>68</w:t>
      </w:r>
      <w:r>
        <w:rPr>
          <w:noProof/>
        </w:rPr>
        <w:fldChar w:fldCharType="end"/>
      </w:r>
    </w:p>
    <w:p w14:paraId="4AF8B542" w14:textId="442D0E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2D.7.01  Hedging arrangements (Act s 206J(3))</w:t>
      </w:r>
      <w:r>
        <w:rPr>
          <w:noProof/>
        </w:rPr>
        <w:tab/>
      </w:r>
      <w:r>
        <w:rPr>
          <w:noProof/>
        </w:rPr>
        <w:fldChar w:fldCharType="begin"/>
      </w:r>
      <w:r>
        <w:rPr>
          <w:noProof/>
        </w:rPr>
        <w:instrText xml:space="preserve"> PAGEREF _Toc158711689 \h </w:instrText>
      </w:r>
      <w:r>
        <w:rPr>
          <w:noProof/>
        </w:rPr>
      </w:r>
      <w:r>
        <w:rPr>
          <w:noProof/>
        </w:rPr>
        <w:fldChar w:fldCharType="separate"/>
      </w:r>
      <w:r>
        <w:rPr>
          <w:noProof/>
        </w:rPr>
        <w:t>68</w:t>
      </w:r>
      <w:r>
        <w:rPr>
          <w:noProof/>
        </w:rPr>
        <w:fldChar w:fldCharType="end"/>
      </w:r>
    </w:p>
    <w:p w14:paraId="424E7D8B" w14:textId="0A45DCD0"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2E—Related party transactions</w:t>
      </w:r>
      <w:r>
        <w:rPr>
          <w:noProof/>
        </w:rPr>
        <w:tab/>
      </w:r>
      <w:r>
        <w:rPr>
          <w:noProof/>
        </w:rPr>
        <w:fldChar w:fldCharType="begin"/>
      </w:r>
      <w:r>
        <w:rPr>
          <w:noProof/>
        </w:rPr>
        <w:instrText xml:space="preserve"> PAGEREF _Toc158711690 \h </w:instrText>
      </w:r>
      <w:r>
        <w:rPr>
          <w:noProof/>
        </w:rPr>
      </w:r>
      <w:r>
        <w:rPr>
          <w:noProof/>
        </w:rPr>
        <w:fldChar w:fldCharType="separate"/>
      </w:r>
      <w:r>
        <w:rPr>
          <w:noProof/>
        </w:rPr>
        <w:t>69</w:t>
      </w:r>
      <w:r>
        <w:rPr>
          <w:noProof/>
        </w:rPr>
        <w:fldChar w:fldCharType="end"/>
      </w:r>
    </w:p>
    <w:p w14:paraId="58330BCC" w14:textId="7BB8001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2E.1.01  Small amounts given to related entity</w:t>
      </w:r>
      <w:r>
        <w:rPr>
          <w:noProof/>
        </w:rPr>
        <w:tab/>
      </w:r>
      <w:r>
        <w:rPr>
          <w:noProof/>
        </w:rPr>
        <w:fldChar w:fldCharType="begin"/>
      </w:r>
      <w:r>
        <w:rPr>
          <w:noProof/>
        </w:rPr>
        <w:instrText xml:space="preserve"> PAGEREF _Toc158711691 \h </w:instrText>
      </w:r>
      <w:r>
        <w:rPr>
          <w:noProof/>
        </w:rPr>
      </w:r>
      <w:r>
        <w:rPr>
          <w:noProof/>
        </w:rPr>
        <w:fldChar w:fldCharType="separate"/>
      </w:r>
      <w:r>
        <w:rPr>
          <w:noProof/>
        </w:rPr>
        <w:t>69</w:t>
      </w:r>
      <w:r>
        <w:rPr>
          <w:noProof/>
        </w:rPr>
        <w:fldChar w:fldCharType="end"/>
      </w:r>
    </w:p>
    <w:p w14:paraId="395863D5" w14:textId="4454C50C"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Chapter 2G—Meetings</w:t>
      </w:r>
      <w:r>
        <w:rPr>
          <w:noProof/>
        </w:rPr>
        <w:tab/>
      </w:r>
      <w:r>
        <w:rPr>
          <w:noProof/>
        </w:rPr>
        <w:fldChar w:fldCharType="begin"/>
      </w:r>
      <w:r>
        <w:rPr>
          <w:noProof/>
        </w:rPr>
        <w:instrText xml:space="preserve"> PAGEREF _Toc158711692 \h </w:instrText>
      </w:r>
      <w:r>
        <w:rPr>
          <w:noProof/>
        </w:rPr>
      </w:r>
      <w:r>
        <w:rPr>
          <w:noProof/>
        </w:rPr>
        <w:fldChar w:fldCharType="separate"/>
      </w:r>
      <w:r>
        <w:rPr>
          <w:noProof/>
        </w:rPr>
        <w:t>70</w:t>
      </w:r>
      <w:r>
        <w:rPr>
          <w:noProof/>
        </w:rPr>
        <w:fldChar w:fldCharType="end"/>
      </w:r>
    </w:p>
    <w:p w14:paraId="0EFAAA3D" w14:textId="66A35C6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2G.2—Meetings of members of companies</w:t>
      </w:r>
      <w:r>
        <w:rPr>
          <w:noProof/>
        </w:rPr>
        <w:tab/>
      </w:r>
      <w:r>
        <w:rPr>
          <w:noProof/>
        </w:rPr>
        <w:fldChar w:fldCharType="begin"/>
      </w:r>
      <w:r>
        <w:rPr>
          <w:noProof/>
        </w:rPr>
        <w:instrText xml:space="preserve"> PAGEREF _Toc158711693 \h </w:instrText>
      </w:r>
      <w:r>
        <w:rPr>
          <w:noProof/>
        </w:rPr>
      </w:r>
      <w:r>
        <w:rPr>
          <w:noProof/>
        </w:rPr>
        <w:fldChar w:fldCharType="separate"/>
      </w:r>
      <w:r>
        <w:rPr>
          <w:noProof/>
        </w:rPr>
        <w:t>70</w:t>
      </w:r>
      <w:r>
        <w:rPr>
          <w:noProof/>
        </w:rPr>
        <w:fldChar w:fldCharType="end"/>
      </w:r>
    </w:p>
    <w:p w14:paraId="4161A10E" w14:textId="7981AE9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6—Proxies and body corporate representatives</w:t>
      </w:r>
      <w:r>
        <w:rPr>
          <w:noProof/>
        </w:rPr>
        <w:tab/>
      </w:r>
      <w:r>
        <w:rPr>
          <w:noProof/>
        </w:rPr>
        <w:fldChar w:fldCharType="begin"/>
      </w:r>
      <w:r>
        <w:rPr>
          <w:noProof/>
        </w:rPr>
        <w:instrText xml:space="preserve"> PAGEREF _Toc158711694 \h </w:instrText>
      </w:r>
      <w:r>
        <w:rPr>
          <w:noProof/>
        </w:rPr>
      </w:r>
      <w:r>
        <w:rPr>
          <w:noProof/>
        </w:rPr>
        <w:fldChar w:fldCharType="separate"/>
      </w:r>
      <w:r>
        <w:rPr>
          <w:noProof/>
        </w:rPr>
        <w:t>70</w:t>
      </w:r>
      <w:r>
        <w:rPr>
          <w:noProof/>
        </w:rPr>
        <w:fldChar w:fldCharType="end"/>
      </w:r>
    </w:p>
    <w:p w14:paraId="596C6715" w14:textId="452620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2G.2.01  Authentication of appointment of proxy (Act s 250A)</w:t>
      </w:r>
      <w:r>
        <w:rPr>
          <w:noProof/>
        </w:rPr>
        <w:tab/>
      </w:r>
      <w:r>
        <w:rPr>
          <w:noProof/>
        </w:rPr>
        <w:fldChar w:fldCharType="begin"/>
      </w:r>
      <w:r>
        <w:rPr>
          <w:noProof/>
        </w:rPr>
        <w:instrText xml:space="preserve"> PAGEREF _Toc158711695 \h </w:instrText>
      </w:r>
      <w:r>
        <w:rPr>
          <w:noProof/>
        </w:rPr>
      </w:r>
      <w:r>
        <w:rPr>
          <w:noProof/>
        </w:rPr>
        <w:fldChar w:fldCharType="separate"/>
      </w:r>
      <w:r>
        <w:rPr>
          <w:noProof/>
        </w:rPr>
        <w:t>70</w:t>
      </w:r>
      <w:r>
        <w:rPr>
          <w:noProof/>
        </w:rPr>
        <w:fldChar w:fldCharType="end"/>
      </w:r>
    </w:p>
    <w:p w14:paraId="2EBB7808" w14:textId="1E4F7819"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2K—Charges</w:t>
      </w:r>
      <w:r>
        <w:rPr>
          <w:noProof/>
        </w:rPr>
        <w:tab/>
      </w:r>
      <w:r>
        <w:rPr>
          <w:noProof/>
        </w:rPr>
        <w:fldChar w:fldCharType="begin"/>
      </w:r>
      <w:r>
        <w:rPr>
          <w:noProof/>
        </w:rPr>
        <w:instrText xml:space="preserve"> PAGEREF _Toc158711696 \h </w:instrText>
      </w:r>
      <w:r>
        <w:rPr>
          <w:noProof/>
        </w:rPr>
      </w:r>
      <w:r>
        <w:rPr>
          <w:noProof/>
        </w:rPr>
        <w:fldChar w:fldCharType="separate"/>
      </w:r>
      <w:r>
        <w:rPr>
          <w:noProof/>
        </w:rPr>
        <w:t>71</w:t>
      </w:r>
      <w:r>
        <w:rPr>
          <w:noProof/>
        </w:rPr>
        <w:fldChar w:fldCharType="end"/>
      </w:r>
    </w:p>
    <w:p w14:paraId="68F897DB" w14:textId="386C403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2K.2—Registration</w:t>
      </w:r>
      <w:r>
        <w:rPr>
          <w:noProof/>
        </w:rPr>
        <w:tab/>
      </w:r>
      <w:r>
        <w:rPr>
          <w:noProof/>
        </w:rPr>
        <w:fldChar w:fldCharType="begin"/>
      </w:r>
      <w:r>
        <w:rPr>
          <w:noProof/>
        </w:rPr>
        <w:instrText xml:space="preserve"> PAGEREF _Toc158711697 \h </w:instrText>
      </w:r>
      <w:r>
        <w:rPr>
          <w:noProof/>
        </w:rPr>
      </w:r>
      <w:r>
        <w:rPr>
          <w:noProof/>
        </w:rPr>
        <w:fldChar w:fldCharType="separate"/>
      </w:r>
      <w:r>
        <w:rPr>
          <w:noProof/>
        </w:rPr>
        <w:t>71</w:t>
      </w:r>
      <w:r>
        <w:rPr>
          <w:noProof/>
        </w:rPr>
        <w:fldChar w:fldCharType="end"/>
      </w:r>
    </w:p>
    <w:p w14:paraId="23E69B4E" w14:textId="6CAE9C0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2K.2.01  Lien or charge on crop or wool, or stock mortgage, that is a registrable security: prescribed law—subsection 262(5) of the Act</w:t>
      </w:r>
      <w:r>
        <w:rPr>
          <w:noProof/>
        </w:rPr>
        <w:tab/>
      </w:r>
      <w:r>
        <w:rPr>
          <w:noProof/>
        </w:rPr>
        <w:fldChar w:fldCharType="begin"/>
      </w:r>
      <w:r>
        <w:rPr>
          <w:noProof/>
        </w:rPr>
        <w:instrText xml:space="preserve"> PAGEREF _Toc158711698 \h </w:instrText>
      </w:r>
      <w:r>
        <w:rPr>
          <w:noProof/>
        </w:rPr>
      </w:r>
      <w:r>
        <w:rPr>
          <w:noProof/>
        </w:rPr>
        <w:fldChar w:fldCharType="separate"/>
      </w:r>
      <w:r>
        <w:rPr>
          <w:noProof/>
        </w:rPr>
        <w:t>71</w:t>
      </w:r>
      <w:r>
        <w:rPr>
          <w:noProof/>
        </w:rPr>
        <w:fldChar w:fldCharType="end"/>
      </w:r>
    </w:p>
    <w:p w14:paraId="60E0C4A5" w14:textId="385627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2K.2.02  Time period for the provisional registration of charges</w:t>
      </w:r>
      <w:r>
        <w:rPr>
          <w:noProof/>
        </w:rPr>
        <w:tab/>
      </w:r>
      <w:r>
        <w:rPr>
          <w:noProof/>
        </w:rPr>
        <w:fldChar w:fldCharType="begin"/>
      </w:r>
      <w:r>
        <w:rPr>
          <w:noProof/>
        </w:rPr>
        <w:instrText xml:space="preserve"> PAGEREF _Toc158711699 \h </w:instrText>
      </w:r>
      <w:r>
        <w:rPr>
          <w:noProof/>
        </w:rPr>
      </w:r>
      <w:r>
        <w:rPr>
          <w:noProof/>
        </w:rPr>
        <w:fldChar w:fldCharType="separate"/>
      </w:r>
      <w:r>
        <w:rPr>
          <w:noProof/>
        </w:rPr>
        <w:t>71</w:t>
      </w:r>
      <w:r>
        <w:rPr>
          <w:noProof/>
        </w:rPr>
        <w:fldChar w:fldCharType="end"/>
      </w:r>
    </w:p>
    <w:p w14:paraId="29E4C875" w14:textId="434C3FB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2K.2.03  Charge that is a registrable security: specified law—paragraphs 273A(4)(b), 273B(3)(b) and 273C(3)(b) of the Act</w:t>
      </w:r>
      <w:r>
        <w:rPr>
          <w:noProof/>
        </w:rPr>
        <w:tab/>
      </w:r>
      <w:r>
        <w:rPr>
          <w:noProof/>
        </w:rPr>
        <w:fldChar w:fldCharType="begin"/>
      </w:r>
      <w:r>
        <w:rPr>
          <w:noProof/>
        </w:rPr>
        <w:instrText xml:space="preserve"> PAGEREF _Toc158711700 \h </w:instrText>
      </w:r>
      <w:r>
        <w:rPr>
          <w:noProof/>
        </w:rPr>
      </w:r>
      <w:r>
        <w:rPr>
          <w:noProof/>
        </w:rPr>
        <w:fldChar w:fldCharType="separate"/>
      </w:r>
      <w:r>
        <w:rPr>
          <w:noProof/>
        </w:rPr>
        <w:t>71</w:t>
      </w:r>
      <w:r>
        <w:rPr>
          <w:noProof/>
        </w:rPr>
        <w:fldChar w:fldCharType="end"/>
      </w:r>
    </w:p>
    <w:p w14:paraId="48EAF42A" w14:textId="18D7204C"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2L—Debentures</w:t>
      </w:r>
      <w:r>
        <w:rPr>
          <w:noProof/>
        </w:rPr>
        <w:tab/>
      </w:r>
      <w:r>
        <w:rPr>
          <w:noProof/>
        </w:rPr>
        <w:fldChar w:fldCharType="begin"/>
      </w:r>
      <w:r>
        <w:rPr>
          <w:noProof/>
        </w:rPr>
        <w:instrText xml:space="preserve"> PAGEREF _Toc158711701 \h </w:instrText>
      </w:r>
      <w:r>
        <w:rPr>
          <w:noProof/>
        </w:rPr>
      </w:r>
      <w:r>
        <w:rPr>
          <w:noProof/>
        </w:rPr>
        <w:fldChar w:fldCharType="separate"/>
      </w:r>
      <w:r>
        <w:rPr>
          <w:noProof/>
        </w:rPr>
        <w:t>72</w:t>
      </w:r>
      <w:r>
        <w:rPr>
          <w:noProof/>
        </w:rPr>
        <w:fldChar w:fldCharType="end"/>
      </w:r>
    </w:p>
    <w:p w14:paraId="78A5C9EB" w14:textId="579D08C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2L.2—Duties of borrower</w:t>
      </w:r>
      <w:r>
        <w:rPr>
          <w:noProof/>
        </w:rPr>
        <w:tab/>
      </w:r>
      <w:r>
        <w:rPr>
          <w:noProof/>
        </w:rPr>
        <w:fldChar w:fldCharType="begin"/>
      </w:r>
      <w:r>
        <w:rPr>
          <w:noProof/>
        </w:rPr>
        <w:instrText xml:space="preserve"> PAGEREF _Toc158711702 \h </w:instrText>
      </w:r>
      <w:r>
        <w:rPr>
          <w:noProof/>
        </w:rPr>
      </w:r>
      <w:r>
        <w:rPr>
          <w:noProof/>
        </w:rPr>
        <w:fldChar w:fldCharType="separate"/>
      </w:r>
      <w:r>
        <w:rPr>
          <w:noProof/>
        </w:rPr>
        <w:t>72</w:t>
      </w:r>
      <w:r>
        <w:rPr>
          <w:noProof/>
        </w:rPr>
        <w:fldChar w:fldCharType="end"/>
      </w:r>
    </w:p>
    <w:p w14:paraId="0B403456" w14:textId="44AF84A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2L.2.01  Register relating to trustees for debenture holders</w:t>
      </w:r>
      <w:r>
        <w:rPr>
          <w:noProof/>
        </w:rPr>
        <w:tab/>
      </w:r>
      <w:r>
        <w:rPr>
          <w:noProof/>
        </w:rPr>
        <w:fldChar w:fldCharType="begin"/>
      </w:r>
      <w:r>
        <w:rPr>
          <w:noProof/>
        </w:rPr>
        <w:instrText xml:space="preserve"> PAGEREF _Toc158711703 \h </w:instrText>
      </w:r>
      <w:r>
        <w:rPr>
          <w:noProof/>
        </w:rPr>
      </w:r>
      <w:r>
        <w:rPr>
          <w:noProof/>
        </w:rPr>
        <w:fldChar w:fldCharType="separate"/>
      </w:r>
      <w:r>
        <w:rPr>
          <w:noProof/>
        </w:rPr>
        <w:t>72</w:t>
      </w:r>
      <w:r>
        <w:rPr>
          <w:noProof/>
        </w:rPr>
        <w:fldChar w:fldCharType="end"/>
      </w:r>
    </w:p>
    <w:p w14:paraId="39247360" w14:textId="38C5BF98"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2M—Financial reports and audit</w:t>
      </w:r>
      <w:r>
        <w:rPr>
          <w:noProof/>
        </w:rPr>
        <w:tab/>
      </w:r>
      <w:r>
        <w:rPr>
          <w:noProof/>
        </w:rPr>
        <w:fldChar w:fldCharType="begin"/>
      </w:r>
      <w:r>
        <w:rPr>
          <w:noProof/>
        </w:rPr>
        <w:instrText xml:space="preserve"> PAGEREF _Toc158711704 \h </w:instrText>
      </w:r>
      <w:r>
        <w:rPr>
          <w:noProof/>
        </w:rPr>
      </w:r>
      <w:r>
        <w:rPr>
          <w:noProof/>
        </w:rPr>
        <w:fldChar w:fldCharType="separate"/>
      </w:r>
      <w:r>
        <w:rPr>
          <w:noProof/>
        </w:rPr>
        <w:t>73</w:t>
      </w:r>
      <w:r>
        <w:rPr>
          <w:noProof/>
        </w:rPr>
        <w:fldChar w:fldCharType="end"/>
      </w:r>
    </w:p>
    <w:p w14:paraId="466B0331" w14:textId="41062F1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2M.3—Financial reporting</w:t>
      </w:r>
      <w:r>
        <w:rPr>
          <w:noProof/>
        </w:rPr>
        <w:tab/>
      </w:r>
      <w:r>
        <w:rPr>
          <w:noProof/>
        </w:rPr>
        <w:fldChar w:fldCharType="begin"/>
      </w:r>
      <w:r>
        <w:rPr>
          <w:noProof/>
        </w:rPr>
        <w:instrText xml:space="preserve"> PAGEREF _Toc158711705 \h </w:instrText>
      </w:r>
      <w:r>
        <w:rPr>
          <w:noProof/>
        </w:rPr>
      </w:r>
      <w:r>
        <w:rPr>
          <w:noProof/>
        </w:rPr>
        <w:fldChar w:fldCharType="separate"/>
      </w:r>
      <w:r>
        <w:rPr>
          <w:noProof/>
        </w:rPr>
        <w:t>73</w:t>
      </w:r>
      <w:r>
        <w:rPr>
          <w:noProof/>
        </w:rPr>
        <w:fldChar w:fldCharType="end"/>
      </w:r>
    </w:p>
    <w:p w14:paraId="12663610" w14:textId="0936358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1—Annual financial reports and directors’ reports</w:t>
      </w:r>
      <w:r>
        <w:rPr>
          <w:noProof/>
        </w:rPr>
        <w:tab/>
      </w:r>
      <w:r>
        <w:rPr>
          <w:noProof/>
        </w:rPr>
        <w:fldChar w:fldCharType="begin"/>
      </w:r>
      <w:r>
        <w:rPr>
          <w:noProof/>
        </w:rPr>
        <w:instrText xml:space="preserve"> PAGEREF _Toc158711706 \h </w:instrText>
      </w:r>
      <w:r>
        <w:rPr>
          <w:noProof/>
        </w:rPr>
      </w:r>
      <w:r>
        <w:rPr>
          <w:noProof/>
        </w:rPr>
        <w:fldChar w:fldCharType="separate"/>
      </w:r>
      <w:r>
        <w:rPr>
          <w:noProof/>
        </w:rPr>
        <w:t>73</w:t>
      </w:r>
      <w:r>
        <w:rPr>
          <w:noProof/>
        </w:rPr>
        <w:fldChar w:fldCharType="end"/>
      </w:r>
    </w:p>
    <w:p w14:paraId="7634AD52" w14:textId="04ED320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2M.3.01  Disclosures required by notes to consolidated financial statements—annual financial reports (Act s 295)</w:t>
      </w:r>
      <w:r>
        <w:rPr>
          <w:noProof/>
        </w:rPr>
        <w:tab/>
      </w:r>
      <w:r>
        <w:rPr>
          <w:noProof/>
        </w:rPr>
        <w:fldChar w:fldCharType="begin"/>
      </w:r>
      <w:r>
        <w:rPr>
          <w:noProof/>
        </w:rPr>
        <w:instrText xml:space="preserve"> PAGEREF _Toc158711707 \h </w:instrText>
      </w:r>
      <w:r>
        <w:rPr>
          <w:noProof/>
        </w:rPr>
      </w:r>
      <w:r>
        <w:rPr>
          <w:noProof/>
        </w:rPr>
        <w:fldChar w:fldCharType="separate"/>
      </w:r>
      <w:r>
        <w:rPr>
          <w:noProof/>
        </w:rPr>
        <w:t>73</w:t>
      </w:r>
      <w:r>
        <w:rPr>
          <w:noProof/>
        </w:rPr>
        <w:fldChar w:fldCharType="end"/>
      </w:r>
    </w:p>
    <w:p w14:paraId="5DEA14C1" w14:textId="51A32C7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2M.3.03  Prescribed details (Act s 300A)</w:t>
      </w:r>
      <w:r>
        <w:rPr>
          <w:noProof/>
        </w:rPr>
        <w:tab/>
      </w:r>
      <w:r>
        <w:rPr>
          <w:noProof/>
        </w:rPr>
        <w:fldChar w:fldCharType="begin"/>
      </w:r>
      <w:r>
        <w:rPr>
          <w:noProof/>
        </w:rPr>
        <w:instrText xml:space="preserve"> PAGEREF _Toc158711708 \h </w:instrText>
      </w:r>
      <w:r>
        <w:rPr>
          <w:noProof/>
        </w:rPr>
      </w:r>
      <w:r>
        <w:rPr>
          <w:noProof/>
        </w:rPr>
        <w:fldChar w:fldCharType="separate"/>
      </w:r>
      <w:r>
        <w:rPr>
          <w:noProof/>
        </w:rPr>
        <w:t>73</w:t>
      </w:r>
      <w:r>
        <w:rPr>
          <w:noProof/>
        </w:rPr>
        <w:fldChar w:fldCharType="end"/>
      </w:r>
    </w:p>
    <w:p w14:paraId="782B1497" w14:textId="16C38F0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2M.3.04  Prescribed details—annual directors’ report of a registrable superannuation entity</w:t>
      </w:r>
      <w:r>
        <w:rPr>
          <w:noProof/>
        </w:rPr>
        <w:tab/>
      </w:r>
      <w:r>
        <w:rPr>
          <w:noProof/>
        </w:rPr>
        <w:fldChar w:fldCharType="begin"/>
      </w:r>
      <w:r>
        <w:rPr>
          <w:noProof/>
        </w:rPr>
        <w:instrText xml:space="preserve"> PAGEREF _Toc158711709 \h </w:instrText>
      </w:r>
      <w:r>
        <w:rPr>
          <w:noProof/>
        </w:rPr>
      </w:r>
      <w:r>
        <w:rPr>
          <w:noProof/>
        </w:rPr>
        <w:fldChar w:fldCharType="separate"/>
      </w:r>
      <w:r>
        <w:rPr>
          <w:noProof/>
        </w:rPr>
        <w:t>78</w:t>
      </w:r>
      <w:r>
        <w:rPr>
          <w:noProof/>
        </w:rPr>
        <w:fldChar w:fldCharType="end"/>
      </w:r>
    </w:p>
    <w:p w14:paraId="27C1D4F3" w14:textId="6D12B21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2M.4—Auditor</w:t>
      </w:r>
      <w:r>
        <w:rPr>
          <w:noProof/>
        </w:rPr>
        <w:tab/>
      </w:r>
      <w:r>
        <w:rPr>
          <w:noProof/>
        </w:rPr>
        <w:fldChar w:fldCharType="begin"/>
      </w:r>
      <w:r>
        <w:rPr>
          <w:noProof/>
        </w:rPr>
        <w:instrText xml:space="preserve"> PAGEREF _Toc158711710 \h </w:instrText>
      </w:r>
      <w:r>
        <w:rPr>
          <w:noProof/>
        </w:rPr>
      </w:r>
      <w:r>
        <w:rPr>
          <w:noProof/>
        </w:rPr>
        <w:fldChar w:fldCharType="separate"/>
      </w:r>
      <w:r>
        <w:rPr>
          <w:noProof/>
        </w:rPr>
        <w:t>83</w:t>
      </w:r>
      <w:r>
        <w:rPr>
          <w:noProof/>
        </w:rPr>
        <w:fldChar w:fldCharType="end"/>
      </w:r>
    </w:p>
    <w:p w14:paraId="52133DED" w14:textId="75B6916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2M.4.01A  Membership designations (Act s 324BE)</w:t>
      </w:r>
      <w:r>
        <w:rPr>
          <w:noProof/>
        </w:rPr>
        <w:tab/>
      </w:r>
      <w:r>
        <w:rPr>
          <w:noProof/>
        </w:rPr>
        <w:fldChar w:fldCharType="begin"/>
      </w:r>
      <w:r>
        <w:rPr>
          <w:noProof/>
        </w:rPr>
        <w:instrText xml:space="preserve"> PAGEREF _Toc158711711 \h </w:instrText>
      </w:r>
      <w:r>
        <w:rPr>
          <w:noProof/>
        </w:rPr>
      </w:r>
      <w:r>
        <w:rPr>
          <w:noProof/>
        </w:rPr>
        <w:fldChar w:fldCharType="separate"/>
      </w:r>
      <w:r>
        <w:rPr>
          <w:noProof/>
        </w:rPr>
        <w:t>83</w:t>
      </w:r>
      <w:r>
        <w:rPr>
          <w:noProof/>
        </w:rPr>
        <w:fldChar w:fldCharType="end"/>
      </w:r>
    </w:p>
    <w:p w14:paraId="473B8A29" w14:textId="686905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2M.4.01  Notice of appointment of auditors</w:t>
      </w:r>
      <w:r>
        <w:rPr>
          <w:noProof/>
        </w:rPr>
        <w:tab/>
      </w:r>
      <w:r>
        <w:rPr>
          <w:noProof/>
        </w:rPr>
        <w:fldChar w:fldCharType="begin"/>
      </w:r>
      <w:r>
        <w:rPr>
          <w:noProof/>
        </w:rPr>
        <w:instrText xml:space="preserve"> PAGEREF _Toc158711712 \h </w:instrText>
      </w:r>
      <w:r>
        <w:rPr>
          <w:noProof/>
        </w:rPr>
      </w:r>
      <w:r>
        <w:rPr>
          <w:noProof/>
        </w:rPr>
        <w:fldChar w:fldCharType="separate"/>
      </w:r>
      <w:r>
        <w:rPr>
          <w:noProof/>
        </w:rPr>
        <w:t>83</w:t>
      </w:r>
      <w:r>
        <w:rPr>
          <w:noProof/>
        </w:rPr>
        <w:fldChar w:fldCharType="end"/>
      </w:r>
    </w:p>
    <w:p w14:paraId="5230114C" w14:textId="5B4637D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2M.4A—Annual transparency reports for auditors</w:t>
      </w:r>
      <w:r>
        <w:rPr>
          <w:noProof/>
        </w:rPr>
        <w:tab/>
      </w:r>
      <w:r>
        <w:rPr>
          <w:noProof/>
        </w:rPr>
        <w:fldChar w:fldCharType="begin"/>
      </w:r>
      <w:r>
        <w:rPr>
          <w:noProof/>
        </w:rPr>
        <w:instrText xml:space="preserve"> PAGEREF _Toc158711713 \h </w:instrText>
      </w:r>
      <w:r>
        <w:rPr>
          <w:noProof/>
        </w:rPr>
      </w:r>
      <w:r>
        <w:rPr>
          <w:noProof/>
        </w:rPr>
        <w:fldChar w:fldCharType="separate"/>
      </w:r>
      <w:r>
        <w:rPr>
          <w:noProof/>
        </w:rPr>
        <w:t>84</w:t>
      </w:r>
      <w:r>
        <w:rPr>
          <w:noProof/>
        </w:rPr>
        <w:fldChar w:fldCharType="end"/>
      </w:r>
    </w:p>
    <w:p w14:paraId="1914789D" w14:textId="735322E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2M.4A.01  Application</w:t>
      </w:r>
      <w:r>
        <w:rPr>
          <w:noProof/>
        </w:rPr>
        <w:tab/>
      </w:r>
      <w:r>
        <w:rPr>
          <w:noProof/>
        </w:rPr>
        <w:fldChar w:fldCharType="begin"/>
      </w:r>
      <w:r>
        <w:rPr>
          <w:noProof/>
        </w:rPr>
        <w:instrText xml:space="preserve"> PAGEREF _Toc158711714 \h </w:instrText>
      </w:r>
      <w:r>
        <w:rPr>
          <w:noProof/>
        </w:rPr>
      </w:r>
      <w:r>
        <w:rPr>
          <w:noProof/>
        </w:rPr>
        <w:fldChar w:fldCharType="separate"/>
      </w:r>
      <w:r>
        <w:rPr>
          <w:noProof/>
        </w:rPr>
        <w:t>84</w:t>
      </w:r>
      <w:r>
        <w:rPr>
          <w:noProof/>
        </w:rPr>
        <w:fldChar w:fldCharType="end"/>
      </w:r>
    </w:p>
    <w:p w14:paraId="4163D702" w14:textId="299B3D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2M.4A.02  Content of annual transparency report (Act s 332B)</w:t>
      </w:r>
      <w:r>
        <w:rPr>
          <w:noProof/>
        </w:rPr>
        <w:tab/>
      </w:r>
      <w:r>
        <w:rPr>
          <w:noProof/>
        </w:rPr>
        <w:fldChar w:fldCharType="begin"/>
      </w:r>
      <w:r>
        <w:rPr>
          <w:noProof/>
        </w:rPr>
        <w:instrText xml:space="preserve"> PAGEREF _Toc158711715 \h </w:instrText>
      </w:r>
      <w:r>
        <w:rPr>
          <w:noProof/>
        </w:rPr>
      </w:r>
      <w:r>
        <w:rPr>
          <w:noProof/>
        </w:rPr>
        <w:fldChar w:fldCharType="separate"/>
      </w:r>
      <w:r>
        <w:rPr>
          <w:noProof/>
        </w:rPr>
        <w:t>84</w:t>
      </w:r>
      <w:r>
        <w:rPr>
          <w:noProof/>
        </w:rPr>
        <w:fldChar w:fldCharType="end"/>
      </w:r>
    </w:p>
    <w:p w14:paraId="2E3C3581" w14:textId="7FF365B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2M.6—Modification of the operation of Chapter 2M of the Act</w:t>
      </w:r>
      <w:r>
        <w:rPr>
          <w:noProof/>
        </w:rPr>
        <w:tab/>
      </w:r>
      <w:r>
        <w:rPr>
          <w:noProof/>
        </w:rPr>
        <w:fldChar w:fldCharType="begin"/>
      </w:r>
      <w:r>
        <w:rPr>
          <w:noProof/>
        </w:rPr>
        <w:instrText xml:space="preserve"> PAGEREF _Toc158711716 \h </w:instrText>
      </w:r>
      <w:r>
        <w:rPr>
          <w:noProof/>
        </w:rPr>
      </w:r>
      <w:r>
        <w:rPr>
          <w:noProof/>
        </w:rPr>
        <w:fldChar w:fldCharType="separate"/>
      </w:r>
      <w:r>
        <w:rPr>
          <w:noProof/>
        </w:rPr>
        <w:t>85</w:t>
      </w:r>
      <w:r>
        <w:rPr>
          <w:noProof/>
        </w:rPr>
        <w:fldChar w:fldCharType="end"/>
      </w:r>
    </w:p>
    <w:p w14:paraId="56DD5E2B" w14:textId="7F5C47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2M.6.01  Modifications (Act s 343)</w:t>
      </w:r>
      <w:r>
        <w:rPr>
          <w:noProof/>
        </w:rPr>
        <w:tab/>
      </w:r>
      <w:r>
        <w:rPr>
          <w:noProof/>
        </w:rPr>
        <w:fldChar w:fldCharType="begin"/>
      </w:r>
      <w:r>
        <w:rPr>
          <w:noProof/>
        </w:rPr>
        <w:instrText xml:space="preserve"> PAGEREF _Toc158711717 \h </w:instrText>
      </w:r>
      <w:r>
        <w:rPr>
          <w:noProof/>
        </w:rPr>
      </w:r>
      <w:r>
        <w:rPr>
          <w:noProof/>
        </w:rPr>
        <w:fldChar w:fldCharType="separate"/>
      </w:r>
      <w:r>
        <w:rPr>
          <w:noProof/>
        </w:rPr>
        <w:t>85</w:t>
      </w:r>
      <w:r>
        <w:rPr>
          <w:noProof/>
        </w:rPr>
        <w:fldChar w:fldCharType="end"/>
      </w:r>
    </w:p>
    <w:p w14:paraId="05727C54" w14:textId="72D61F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2M.6.05  Conduct of auditor—relevant relationships</w:t>
      </w:r>
      <w:r>
        <w:rPr>
          <w:noProof/>
        </w:rPr>
        <w:tab/>
      </w:r>
      <w:r>
        <w:rPr>
          <w:noProof/>
        </w:rPr>
        <w:fldChar w:fldCharType="begin"/>
      </w:r>
      <w:r>
        <w:rPr>
          <w:noProof/>
        </w:rPr>
        <w:instrText xml:space="preserve"> PAGEREF _Toc158711718 \h </w:instrText>
      </w:r>
      <w:r>
        <w:rPr>
          <w:noProof/>
        </w:rPr>
      </w:r>
      <w:r>
        <w:rPr>
          <w:noProof/>
        </w:rPr>
        <w:fldChar w:fldCharType="separate"/>
      </w:r>
      <w:r>
        <w:rPr>
          <w:noProof/>
        </w:rPr>
        <w:t>85</w:t>
      </w:r>
      <w:r>
        <w:rPr>
          <w:noProof/>
        </w:rPr>
        <w:fldChar w:fldCharType="end"/>
      </w:r>
    </w:p>
    <w:p w14:paraId="14185ACA" w14:textId="2BCAD05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2N—Updating ASIC information about companies and registered schemes</w:t>
      </w:r>
      <w:r>
        <w:rPr>
          <w:noProof/>
        </w:rPr>
        <w:tab/>
      </w:r>
      <w:r>
        <w:rPr>
          <w:noProof/>
        </w:rPr>
        <w:fldChar w:fldCharType="begin"/>
      </w:r>
      <w:r>
        <w:rPr>
          <w:noProof/>
        </w:rPr>
        <w:instrText xml:space="preserve"> PAGEREF _Toc158711719 \h </w:instrText>
      </w:r>
      <w:r>
        <w:rPr>
          <w:noProof/>
        </w:rPr>
      </w:r>
      <w:r>
        <w:rPr>
          <w:noProof/>
        </w:rPr>
        <w:fldChar w:fldCharType="separate"/>
      </w:r>
      <w:r>
        <w:rPr>
          <w:noProof/>
        </w:rPr>
        <w:t>86</w:t>
      </w:r>
      <w:r>
        <w:rPr>
          <w:noProof/>
        </w:rPr>
        <w:fldChar w:fldCharType="end"/>
      </w:r>
    </w:p>
    <w:p w14:paraId="055FBAAC" w14:textId="06277A0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2N.2—Extract of particulars</w:t>
      </w:r>
      <w:r>
        <w:rPr>
          <w:noProof/>
        </w:rPr>
        <w:tab/>
      </w:r>
      <w:r>
        <w:rPr>
          <w:noProof/>
        </w:rPr>
        <w:fldChar w:fldCharType="begin"/>
      </w:r>
      <w:r>
        <w:rPr>
          <w:noProof/>
        </w:rPr>
        <w:instrText xml:space="preserve"> PAGEREF _Toc158711720 \h </w:instrText>
      </w:r>
      <w:r>
        <w:rPr>
          <w:noProof/>
        </w:rPr>
      </w:r>
      <w:r>
        <w:rPr>
          <w:noProof/>
        </w:rPr>
        <w:fldChar w:fldCharType="separate"/>
      </w:r>
      <w:r>
        <w:rPr>
          <w:noProof/>
        </w:rPr>
        <w:t>86</w:t>
      </w:r>
      <w:r>
        <w:rPr>
          <w:noProof/>
        </w:rPr>
        <w:fldChar w:fldCharType="end"/>
      </w:r>
    </w:p>
    <w:p w14:paraId="4489104E" w14:textId="03EE806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2N.2.01  Particulars ASIC may require in an extract of particulars (Act s 346B)</w:t>
      </w:r>
      <w:r>
        <w:rPr>
          <w:noProof/>
        </w:rPr>
        <w:tab/>
      </w:r>
      <w:r>
        <w:rPr>
          <w:noProof/>
        </w:rPr>
        <w:fldChar w:fldCharType="begin"/>
      </w:r>
      <w:r>
        <w:rPr>
          <w:noProof/>
        </w:rPr>
        <w:instrText xml:space="preserve"> PAGEREF _Toc158711721 \h </w:instrText>
      </w:r>
      <w:r>
        <w:rPr>
          <w:noProof/>
        </w:rPr>
      </w:r>
      <w:r>
        <w:rPr>
          <w:noProof/>
        </w:rPr>
        <w:fldChar w:fldCharType="separate"/>
      </w:r>
      <w:r>
        <w:rPr>
          <w:noProof/>
        </w:rPr>
        <w:t>86</w:t>
      </w:r>
      <w:r>
        <w:rPr>
          <w:noProof/>
        </w:rPr>
        <w:fldChar w:fldCharType="end"/>
      </w:r>
    </w:p>
    <w:p w14:paraId="59436689" w14:textId="6E71CD9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2N.4—Return of particulars</w:t>
      </w:r>
      <w:r>
        <w:rPr>
          <w:noProof/>
        </w:rPr>
        <w:tab/>
      </w:r>
      <w:r>
        <w:rPr>
          <w:noProof/>
        </w:rPr>
        <w:fldChar w:fldCharType="begin"/>
      </w:r>
      <w:r>
        <w:rPr>
          <w:noProof/>
        </w:rPr>
        <w:instrText xml:space="preserve"> PAGEREF _Toc158711722 \h </w:instrText>
      </w:r>
      <w:r>
        <w:rPr>
          <w:noProof/>
        </w:rPr>
      </w:r>
      <w:r>
        <w:rPr>
          <w:noProof/>
        </w:rPr>
        <w:fldChar w:fldCharType="separate"/>
      </w:r>
      <w:r>
        <w:rPr>
          <w:noProof/>
        </w:rPr>
        <w:t>88</w:t>
      </w:r>
      <w:r>
        <w:rPr>
          <w:noProof/>
        </w:rPr>
        <w:fldChar w:fldCharType="end"/>
      </w:r>
    </w:p>
    <w:p w14:paraId="09C18CAF" w14:textId="4BF53A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2N.4.01  Particulars ASIC may require in a return of particulars (Act s 348B)</w:t>
      </w:r>
      <w:r>
        <w:rPr>
          <w:noProof/>
        </w:rPr>
        <w:tab/>
      </w:r>
      <w:r>
        <w:rPr>
          <w:noProof/>
        </w:rPr>
        <w:fldChar w:fldCharType="begin"/>
      </w:r>
      <w:r>
        <w:rPr>
          <w:noProof/>
        </w:rPr>
        <w:instrText xml:space="preserve"> PAGEREF _Toc158711723 \h </w:instrText>
      </w:r>
      <w:r>
        <w:rPr>
          <w:noProof/>
        </w:rPr>
      </w:r>
      <w:r>
        <w:rPr>
          <w:noProof/>
        </w:rPr>
        <w:fldChar w:fldCharType="separate"/>
      </w:r>
      <w:r>
        <w:rPr>
          <w:noProof/>
        </w:rPr>
        <w:t>88</w:t>
      </w:r>
      <w:r>
        <w:rPr>
          <w:noProof/>
        </w:rPr>
        <w:fldChar w:fldCharType="end"/>
      </w:r>
    </w:p>
    <w:p w14:paraId="613ED32A" w14:textId="6C712239"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5—External administration</w:t>
      </w:r>
      <w:r>
        <w:rPr>
          <w:noProof/>
        </w:rPr>
        <w:tab/>
      </w:r>
      <w:r>
        <w:rPr>
          <w:noProof/>
        </w:rPr>
        <w:fldChar w:fldCharType="begin"/>
      </w:r>
      <w:r>
        <w:rPr>
          <w:noProof/>
        </w:rPr>
        <w:instrText xml:space="preserve"> PAGEREF _Toc158711724 \h </w:instrText>
      </w:r>
      <w:r>
        <w:rPr>
          <w:noProof/>
        </w:rPr>
      </w:r>
      <w:r>
        <w:rPr>
          <w:noProof/>
        </w:rPr>
        <w:fldChar w:fldCharType="separate"/>
      </w:r>
      <w:r>
        <w:rPr>
          <w:noProof/>
        </w:rPr>
        <w:t>90</w:t>
      </w:r>
      <w:r>
        <w:rPr>
          <w:noProof/>
        </w:rPr>
        <w:fldChar w:fldCharType="end"/>
      </w:r>
    </w:p>
    <w:p w14:paraId="4237D7F0" w14:textId="3CDBF1C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5.1—Arrangements and reconstructions</w:t>
      </w:r>
      <w:r>
        <w:rPr>
          <w:noProof/>
        </w:rPr>
        <w:tab/>
      </w:r>
      <w:r>
        <w:rPr>
          <w:noProof/>
        </w:rPr>
        <w:fldChar w:fldCharType="begin"/>
      </w:r>
      <w:r>
        <w:rPr>
          <w:noProof/>
        </w:rPr>
        <w:instrText xml:space="preserve"> PAGEREF _Toc158711725 \h </w:instrText>
      </w:r>
      <w:r>
        <w:rPr>
          <w:noProof/>
        </w:rPr>
      </w:r>
      <w:r>
        <w:rPr>
          <w:noProof/>
        </w:rPr>
        <w:fldChar w:fldCharType="separate"/>
      </w:r>
      <w:r>
        <w:rPr>
          <w:noProof/>
        </w:rPr>
        <w:t>90</w:t>
      </w:r>
      <w:r>
        <w:rPr>
          <w:noProof/>
        </w:rPr>
        <w:fldChar w:fldCharType="end"/>
      </w:r>
    </w:p>
    <w:p w14:paraId="7363D851" w14:textId="0A687F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5.1.01  Prescribed information for paragraph 411(3)(b) and subparagraph 412(1)(a)(ii) of the Act</w:t>
      </w:r>
      <w:r>
        <w:rPr>
          <w:noProof/>
        </w:rPr>
        <w:tab/>
      </w:r>
      <w:r>
        <w:rPr>
          <w:noProof/>
        </w:rPr>
        <w:fldChar w:fldCharType="begin"/>
      </w:r>
      <w:r>
        <w:rPr>
          <w:noProof/>
        </w:rPr>
        <w:instrText xml:space="preserve"> PAGEREF _Toc158711726 \h </w:instrText>
      </w:r>
      <w:r>
        <w:rPr>
          <w:noProof/>
        </w:rPr>
      </w:r>
      <w:r>
        <w:rPr>
          <w:noProof/>
        </w:rPr>
        <w:fldChar w:fldCharType="separate"/>
      </w:r>
      <w:r>
        <w:rPr>
          <w:noProof/>
        </w:rPr>
        <w:t>90</w:t>
      </w:r>
      <w:r>
        <w:rPr>
          <w:noProof/>
        </w:rPr>
        <w:fldChar w:fldCharType="end"/>
      </w:r>
    </w:p>
    <w:p w14:paraId="586E9C3A" w14:textId="7BE3F56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5.1.50  Prescribed kinds of contracts, agreements or arrangements under which rights are not subject to the stay in section 415D of the Act</w:t>
      </w:r>
      <w:r>
        <w:rPr>
          <w:noProof/>
        </w:rPr>
        <w:tab/>
      </w:r>
      <w:r>
        <w:rPr>
          <w:noProof/>
        </w:rPr>
        <w:fldChar w:fldCharType="begin"/>
      </w:r>
      <w:r>
        <w:rPr>
          <w:noProof/>
        </w:rPr>
        <w:instrText xml:space="preserve"> PAGEREF _Toc158711727 \h </w:instrText>
      </w:r>
      <w:r>
        <w:rPr>
          <w:noProof/>
        </w:rPr>
      </w:r>
      <w:r>
        <w:rPr>
          <w:noProof/>
        </w:rPr>
        <w:fldChar w:fldCharType="separate"/>
      </w:r>
      <w:r>
        <w:rPr>
          <w:noProof/>
        </w:rPr>
        <w:t>90</w:t>
      </w:r>
      <w:r>
        <w:rPr>
          <w:noProof/>
        </w:rPr>
        <w:fldChar w:fldCharType="end"/>
      </w:r>
    </w:p>
    <w:p w14:paraId="266C4034" w14:textId="68272F3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5.2—Receivers, and other controllers, of corporations</w:t>
      </w:r>
      <w:r>
        <w:rPr>
          <w:noProof/>
        </w:rPr>
        <w:tab/>
      </w:r>
      <w:r>
        <w:rPr>
          <w:noProof/>
        </w:rPr>
        <w:fldChar w:fldCharType="begin"/>
      </w:r>
      <w:r>
        <w:rPr>
          <w:noProof/>
        </w:rPr>
        <w:instrText xml:space="preserve"> PAGEREF _Toc158711728 \h </w:instrText>
      </w:r>
      <w:r>
        <w:rPr>
          <w:noProof/>
        </w:rPr>
      </w:r>
      <w:r>
        <w:rPr>
          <w:noProof/>
        </w:rPr>
        <w:fldChar w:fldCharType="separate"/>
      </w:r>
      <w:r>
        <w:rPr>
          <w:noProof/>
        </w:rPr>
        <w:t>91</w:t>
      </w:r>
      <w:r>
        <w:rPr>
          <w:noProof/>
        </w:rPr>
        <w:fldChar w:fldCharType="end"/>
      </w:r>
    </w:p>
    <w:p w14:paraId="21E7CA48" w14:textId="2B93078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5.2.01  Controller’s notice to owner or lessor of property—how given</w:t>
      </w:r>
      <w:r>
        <w:rPr>
          <w:noProof/>
        </w:rPr>
        <w:tab/>
      </w:r>
      <w:r>
        <w:rPr>
          <w:noProof/>
        </w:rPr>
        <w:fldChar w:fldCharType="begin"/>
      </w:r>
      <w:r>
        <w:rPr>
          <w:noProof/>
        </w:rPr>
        <w:instrText xml:space="preserve"> PAGEREF _Toc158711729 \h </w:instrText>
      </w:r>
      <w:r>
        <w:rPr>
          <w:noProof/>
        </w:rPr>
      </w:r>
      <w:r>
        <w:rPr>
          <w:noProof/>
        </w:rPr>
        <w:fldChar w:fldCharType="separate"/>
      </w:r>
      <w:r>
        <w:rPr>
          <w:noProof/>
        </w:rPr>
        <w:t>91</w:t>
      </w:r>
      <w:r>
        <w:rPr>
          <w:noProof/>
        </w:rPr>
        <w:fldChar w:fldCharType="end"/>
      </w:r>
    </w:p>
    <w:p w14:paraId="5447F942" w14:textId="05CF834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5.2.02  Certified copies of reports</w:t>
      </w:r>
      <w:r>
        <w:rPr>
          <w:noProof/>
        </w:rPr>
        <w:tab/>
      </w:r>
      <w:r>
        <w:rPr>
          <w:noProof/>
        </w:rPr>
        <w:fldChar w:fldCharType="begin"/>
      </w:r>
      <w:r>
        <w:rPr>
          <w:noProof/>
        </w:rPr>
        <w:instrText xml:space="preserve"> PAGEREF _Toc158711730 \h </w:instrText>
      </w:r>
      <w:r>
        <w:rPr>
          <w:noProof/>
        </w:rPr>
      </w:r>
      <w:r>
        <w:rPr>
          <w:noProof/>
        </w:rPr>
        <w:fldChar w:fldCharType="separate"/>
      </w:r>
      <w:r>
        <w:rPr>
          <w:noProof/>
        </w:rPr>
        <w:t>91</w:t>
      </w:r>
      <w:r>
        <w:rPr>
          <w:noProof/>
        </w:rPr>
        <w:fldChar w:fldCharType="end"/>
      </w:r>
    </w:p>
    <w:p w14:paraId="68322F4B" w14:textId="7338D93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5.2.50  Prescribed kinds of contracts, agreements or arrangements under which rights are not subject to the stay in section 434J of the Act</w:t>
      </w:r>
      <w:r>
        <w:rPr>
          <w:noProof/>
        </w:rPr>
        <w:tab/>
      </w:r>
      <w:r>
        <w:rPr>
          <w:noProof/>
        </w:rPr>
        <w:fldChar w:fldCharType="begin"/>
      </w:r>
      <w:r>
        <w:rPr>
          <w:noProof/>
        </w:rPr>
        <w:instrText xml:space="preserve"> PAGEREF _Toc158711731 \h </w:instrText>
      </w:r>
      <w:r>
        <w:rPr>
          <w:noProof/>
        </w:rPr>
      </w:r>
      <w:r>
        <w:rPr>
          <w:noProof/>
        </w:rPr>
        <w:fldChar w:fldCharType="separate"/>
      </w:r>
      <w:r>
        <w:rPr>
          <w:noProof/>
        </w:rPr>
        <w:t>91</w:t>
      </w:r>
      <w:r>
        <w:rPr>
          <w:noProof/>
        </w:rPr>
        <w:fldChar w:fldCharType="end"/>
      </w:r>
    </w:p>
    <w:p w14:paraId="684D33AC" w14:textId="555AFDA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5.3A—Administration of a company’s affairs with a view to executing a deed of company arrangement</w:t>
      </w:r>
      <w:r>
        <w:rPr>
          <w:noProof/>
        </w:rPr>
        <w:tab/>
      </w:r>
      <w:r>
        <w:rPr>
          <w:noProof/>
        </w:rPr>
        <w:fldChar w:fldCharType="begin"/>
      </w:r>
      <w:r>
        <w:rPr>
          <w:noProof/>
        </w:rPr>
        <w:instrText xml:space="preserve"> PAGEREF _Toc158711732 \h </w:instrText>
      </w:r>
      <w:r>
        <w:rPr>
          <w:noProof/>
        </w:rPr>
      </w:r>
      <w:r>
        <w:rPr>
          <w:noProof/>
        </w:rPr>
        <w:fldChar w:fldCharType="separate"/>
      </w:r>
      <w:r>
        <w:rPr>
          <w:noProof/>
        </w:rPr>
        <w:t>92</w:t>
      </w:r>
      <w:r>
        <w:rPr>
          <w:noProof/>
        </w:rPr>
        <w:fldChar w:fldCharType="end"/>
      </w:r>
    </w:p>
    <w:p w14:paraId="74C44F1B" w14:textId="16A4E3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5.3A.03A  Notice of first meeting of creditors</w:t>
      </w:r>
      <w:r>
        <w:rPr>
          <w:noProof/>
        </w:rPr>
        <w:tab/>
      </w:r>
      <w:r>
        <w:rPr>
          <w:noProof/>
        </w:rPr>
        <w:fldChar w:fldCharType="begin"/>
      </w:r>
      <w:r>
        <w:rPr>
          <w:noProof/>
        </w:rPr>
        <w:instrText xml:space="preserve"> PAGEREF _Toc158711733 \h </w:instrText>
      </w:r>
      <w:r>
        <w:rPr>
          <w:noProof/>
        </w:rPr>
      </w:r>
      <w:r>
        <w:rPr>
          <w:noProof/>
        </w:rPr>
        <w:fldChar w:fldCharType="separate"/>
      </w:r>
      <w:r>
        <w:rPr>
          <w:noProof/>
        </w:rPr>
        <w:t>92</w:t>
      </w:r>
      <w:r>
        <w:rPr>
          <w:noProof/>
        </w:rPr>
        <w:fldChar w:fldCharType="end"/>
      </w:r>
    </w:p>
    <w:p w14:paraId="2A1BC827" w14:textId="6A1571F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5.3A.05  Administrator’s notice to owner or lessor of property—how given</w:t>
      </w:r>
      <w:r>
        <w:rPr>
          <w:noProof/>
        </w:rPr>
        <w:tab/>
      </w:r>
      <w:r>
        <w:rPr>
          <w:noProof/>
        </w:rPr>
        <w:fldChar w:fldCharType="begin"/>
      </w:r>
      <w:r>
        <w:rPr>
          <w:noProof/>
        </w:rPr>
        <w:instrText xml:space="preserve"> PAGEREF _Toc158711734 \h </w:instrText>
      </w:r>
      <w:r>
        <w:rPr>
          <w:noProof/>
        </w:rPr>
      </w:r>
      <w:r>
        <w:rPr>
          <w:noProof/>
        </w:rPr>
        <w:fldChar w:fldCharType="separate"/>
      </w:r>
      <w:r>
        <w:rPr>
          <w:noProof/>
        </w:rPr>
        <w:t>92</w:t>
      </w:r>
      <w:r>
        <w:rPr>
          <w:noProof/>
        </w:rPr>
        <w:fldChar w:fldCharType="end"/>
      </w:r>
    </w:p>
    <w:p w14:paraId="06DA5810" w14:textId="46AE87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5.3A.06  Provisions included in deed of company arrangement</w:t>
      </w:r>
      <w:r>
        <w:rPr>
          <w:noProof/>
        </w:rPr>
        <w:tab/>
      </w:r>
      <w:r>
        <w:rPr>
          <w:noProof/>
        </w:rPr>
        <w:fldChar w:fldCharType="begin"/>
      </w:r>
      <w:r>
        <w:rPr>
          <w:noProof/>
        </w:rPr>
        <w:instrText xml:space="preserve"> PAGEREF _Toc158711735 \h </w:instrText>
      </w:r>
      <w:r>
        <w:rPr>
          <w:noProof/>
        </w:rPr>
      </w:r>
      <w:r>
        <w:rPr>
          <w:noProof/>
        </w:rPr>
        <w:fldChar w:fldCharType="separate"/>
      </w:r>
      <w:r>
        <w:rPr>
          <w:noProof/>
        </w:rPr>
        <w:t>92</w:t>
      </w:r>
      <w:r>
        <w:rPr>
          <w:noProof/>
        </w:rPr>
        <w:fldChar w:fldCharType="end"/>
      </w:r>
    </w:p>
    <w:p w14:paraId="017113C4" w14:textId="2F761D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5.3A.06A  Notice of resolution to wind up voluntarily</w:t>
      </w:r>
      <w:r>
        <w:rPr>
          <w:noProof/>
        </w:rPr>
        <w:tab/>
      </w:r>
      <w:r>
        <w:rPr>
          <w:noProof/>
        </w:rPr>
        <w:fldChar w:fldCharType="begin"/>
      </w:r>
      <w:r>
        <w:rPr>
          <w:noProof/>
        </w:rPr>
        <w:instrText xml:space="preserve"> PAGEREF _Toc158711736 \h </w:instrText>
      </w:r>
      <w:r>
        <w:rPr>
          <w:noProof/>
        </w:rPr>
      </w:r>
      <w:r>
        <w:rPr>
          <w:noProof/>
        </w:rPr>
        <w:fldChar w:fldCharType="separate"/>
      </w:r>
      <w:r>
        <w:rPr>
          <w:noProof/>
        </w:rPr>
        <w:t>92</w:t>
      </w:r>
      <w:r>
        <w:rPr>
          <w:noProof/>
        </w:rPr>
        <w:fldChar w:fldCharType="end"/>
      </w:r>
    </w:p>
    <w:p w14:paraId="6A0FF149" w14:textId="1D4401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5.3A.07A  Notice of appointment of administrator</w:t>
      </w:r>
      <w:r>
        <w:rPr>
          <w:noProof/>
        </w:rPr>
        <w:tab/>
      </w:r>
      <w:r>
        <w:rPr>
          <w:noProof/>
        </w:rPr>
        <w:fldChar w:fldCharType="begin"/>
      </w:r>
      <w:r>
        <w:rPr>
          <w:noProof/>
        </w:rPr>
        <w:instrText xml:space="preserve"> PAGEREF _Toc158711737 \h </w:instrText>
      </w:r>
      <w:r>
        <w:rPr>
          <w:noProof/>
        </w:rPr>
      </w:r>
      <w:r>
        <w:rPr>
          <w:noProof/>
        </w:rPr>
        <w:fldChar w:fldCharType="separate"/>
      </w:r>
      <w:r>
        <w:rPr>
          <w:noProof/>
        </w:rPr>
        <w:t>92</w:t>
      </w:r>
      <w:r>
        <w:rPr>
          <w:noProof/>
        </w:rPr>
        <w:fldChar w:fldCharType="end"/>
      </w:r>
    </w:p>
    <w:p w14:paraId="00A8685F" w14:textId="719AE1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5.3A.50  Prescribed kinds of contracts, agreements or arrangements under which rights are not subject to the stay in section 451E of the Act</w:t>
      </w:r>
      <w:r>
        <w:rPr>
          <w:noProof/>
        </w:rPr>
        <w:tab/>
      </w:r>
      <w:r>
        <w:rPr>
          <w:noProof/>
        </w:rPr>
        <w:fldChar w:fldCharType="begin"/>
      </w:r>
      <w:r>
        <w:rPr>
          <w:noProof/>
        </w:rPr>
        <w:instrText xml:space="preserve"> PAGEREF _Toc158711738 \h </w:instrText>
      </w:r>
      <w:r>
        <w:rPr>
          <w:noProof/>
        </w:rPr>
      </w:r>
      <w:r>
        <w:rPr>
          <w:noProof/>
        </w:rPr>
        <w:fldChar w:fldCharType="separate"/>
      </w:r>
      <w:r>
        <w:rPr>
          <w:noProof/>
        </w:rPr>
        <w:t>92</w:t>
      </w:r>
      <w:r>
        <w:rPr>
          <w:noProof/>
        </w:rPr>
        <w:fldChar w:fldCharType="end"/>
      </w:r>
    </w:p>
    <w:p w14:paraId="57B8C433" w14:textId="45D4835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5.3B—Restructuring of a company</w:t>
      </w:r>
      <w:r>
        <w:rPr>
          <w:noProof/>
        </w:rPr>
        <w:tab/>
      </w:r>
      <w:r>
        <w:rPr>
          <w:noProof/>
        </w:rPr>
        <w:fldChar w:fldCharType="begin"/>
      </w:r>
      <w:r>
        <w:rPr>
          <w:noProof/>
        </w:rPr>
        <w:instrText xml:space="preserve"> PAGEREF _Toc158711739 \h </w:instrText>
      </w:r>
      <w:r>
        <w:rPr>
          <w:noProof/>
        </w:rPr>
      </w:r>
      <w:r>
        <w:rPr>
          <w:noProof/>
        </w:rPr>
        <w:fldChar w:fldCharType="separate"/>
      </w:r>
      <w:r>
        <w:rPr>
          <w:noProof/>
        </w:rPr>
        <w:t>96</w:t>
      </w:r>
      <w:r>
        <w:rPr>
          <w:noProof/>
        </w:rPr>
        <w:fldChar w:fldCharType="end"/>
      </w:r>
    </w:p>
    <w:p w14:paraId="664BC180" w14:textId="1649965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1—Preliminary</w:t>
      </w:r>
      <w:r>
        <w:rPr>
          <w:noProof/>
        </w:rPr>
        <w:tab/>
      </w:r>
      <w:r>
        <w:rPr>
          <w:noProof/>
        </w:rPr>
        <w:fldChar w:fldCharType="begin"/>
      </w:r>
      <w:r>
        <w:rPr>
          <w:noProof/>
        </w:rPr>
        <w:instrText xml:space="preserve"> PAGEREF _Toc158711740 \h </w:instrText>
      </w:r>
      <w:r>
        <w:rPr>
          <w:noProof/>
        </w:rPr>
      </w:r>
      <w:r>
        <w:rPr>
          <w:noProof/>
        </w:rPr>
        <w:fldChar w:fldCharType="separate"/>
      </w:r>
      <w:r>
        <w:rPr>
          <w:noProof/>
        </w:rPr>
        <w:t>96</w:t>
      </w:r>
      <w:r>
        <w:rPr>
          <w:noProof/>
        </w:rPr>
        <w:fldChar w:fldCharType="end"/>
      </w:r>
    </w:p>
    <w:p w14:paraId="034B432A" w14:textId="2BAEA0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5.3B.01  Definitions</w:t>
      </w:r>
      <w:r>
        <w:rPr>
          <w:noProof/>
        </w:rPr>
        <w:tab/>
      </w:r>
      <w:r>
        <w:rPr>
          <w:noProof/>
        </w:rPr>
        <w:fldChar w:fldCharType="begin"/>
      </w:r>
      <w:r>
        <w:rPr>
          <w:noProof/>
        </w:rPr>
        <w:instrText xml:space="preserve"> PAGEREF _Toc158711741 \h </w:instrText>
      </w:r>
      <w:r>
        <w:rPr>
          <w:noProof/>
        </w:rPr>
      </w:r>
      <w:r>
        <w:rPr>
          <w:noProof/>
        </w:rPr>
        <w:fldChar w:fldCharType="separate"/>
      </w:r>
      <w:r>
        <w:rPr>
          <w:noProof/>
        </w:rPr>
        <w:t>96</w:t>
      </w:r>
      <w:r>
        <w:rPr>
          <w:noProof/>
        </w:rPr>
        <w:fldChar w:fldCharType="end"/>
      </w:r>
    </w:p>
    <w:p w14:paraId="795C58CD" w14:textId="4B71C51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2—Restructuring</w:t>
      </w:r>
      <w:r>
        <w:rPr>
          <w:noProof/>
        </w:rPr>
        <w:tab/>
      </w:r>
      <w:r>
        <w:rPr>
          <w:noProof/>
        </w:rPr>
        <w:fldChar w:fldCharType="begin"/>
      </w:r>
      <w:r>
        <w:rPr>
          <w:noProof/>
        </w:rPr>
        <w:instrText xml:space="preserve"> PAGEREF _Toc158711742 \h </w:instrText>
      </w:r>
      <w:r>
        <w:rPr>
          <w:noProof/>
        </w:rPr>
      </w:r>
      <w:r>
        <w:rPr>
          <w:noProof/>
        </w:rPr>
        <w:fldChar w:fldCharType="separate"/>
      </w:r>
      <w:r>
        <w:rPr>
          <w:noProof/>
        </w:rPr>
        <w:t>97</w:t>
      </w:r>
      <w:r>
        <w:rPr>
          <w:noProof/>
        </w:rPr>
        <w:fldChar w:fldCharType="end"/>
      </w:r>
    </w:p>
    <w:p w14:paraId="66C7B9AB" w14:textId="2FB7D0F6"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A—Restructuring generally</w:t>
      </w:r>
      <w:r>
        <w:rPr>
          <w:noProof/>
        </w:rPr>
        <w:tab/>
      </w:r>
      <w:r>
        <w:rPr>
          <w:noProof/>
        </w:rPr>
        <w:fldChar w:fldCharType="begin"/>
      </w:r>
      <w:r>
        <w:rPr>
          <w:noProof/>
        </w:rPr>
        <w:instrText xml:space="preserve"> PAGEREF _Toc158711743 \h </w:instrText>
      </w:r>
      <w:r>
        <w:rPr>
          <w:noProof/>
        </w:rPr>
      </w:r>
      <w:r>
        <w:rPr>
          <w:noProof/>
        </w:rPr>
        <w:fldChar w:fldCharType="separate"/>
      </w:r>
      <w:r>
        <w:rPr>
          <w:noProof/>
        </w:rPr>
        <w:t>97</w:t>
      </w:r>
      <w:r>
        <w:rPr>
          <w:noProof/>
        </w:rPr>
        <w:fldChar w:fldCharType="end"/>
      </w:r>
    </w:p>
    <w:p w14:paraId="172AB602" w14:textId="00FBFE0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5.3B.02  When restructuring ends</w:t>
      </w:r>
      <w:r>
        <w:rPr>
          <w:noProof/>
        </w:rPr>
        <w:tab/>
      </w:r>
      <w:r>
        <w:rPr>
          <w:noProof/>
        </w:rPr>
        <w:fldChar w:fldCharType="begin"/>
      </w:r>
      <w:r>
        <w:rPr>
          <w:noProof/>
        </w:rPr>
        <w:instrText xml:space="preserve"> PAGEREF _Toc158711744 \h </w:instrText>
      </w:r>
      <w:r>
        <w:rPr>
          <w:noProof/>
        </w:rPr>
      </w:r>
      <w:r>
        <w:rPr>
          <w:noProof/>
        </w:rPr>
        <w:fldChar w:fldCharType="separate"/>
      </w:r>
      <w:r>
        <w:rPr>
          <w:noProof/>
        </w:rPr>
        <w:t>97</w:t>
      </w:r>
      <w:r>
        <w:rPr>
          <w:noProof/>
        </w:rPr>
        <w:fldChar w:fldCharType="end"/>
      </w:r>
    </w:p>
    <w:p w14:paraId="5C9518E2" w14:textId="4978440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5.3B.03  Eligibility criteria for restructuring</w:t>
      </w:r>
      <w:r>
        <w:rPr>
          <w:noProof/>
        </w:rPr>
        <w:tab/>
      </w:r>
      <w:r>
        <w:rPr>
          <w:noProof/>
        </w:rPr>
        <w:fldChar w:fldCharType="begin"/>
      </w:r>
      <w:r>
        <w:rPr>
          <w:noProof/>
        </w:rPr>
        <w:instrText xml:space="preserve"> PAGEREF _Toc158711745 \h </w:instrText>
      </w:r>
      <w:r>
        <w:rPr>
          <w:noProof/>
        </w:rPr>
      </w:r>
      <w:r>
        <w:rPr>
          <w:noProof/>
        </w:rPr>
        <w:fldChar w:fldCharType="separate"/>
      </w:r>
      <w:r>
        <w:rPr>
          <w:noProof/>
        </w:rPr>
        <w:t>97</w:t>
      </w:r>
      <w:r>
        <w:rPr>
          <w:noProof/>
        </w:rPr>
        <w:fldChar w:fldCharType="end"/>
      </w:r>
    </w:p>
    <w:p w14:paraId="5EE86BBE" w14:textId="0D9629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5.3B.04  Transactions or dealings in the ordinary course of business</w:t>
      </w:r>
      <w:r>
        <w:rPr>
          <w:noProof/>
        </w:rPr>
        <w:tab/>
      </w:r>
      <w:r>
        <w:rPr>
          <w:noProof/>
        </w:rPr>
        <w:fldChar w:fldCharType="begin"/>
      </w:r>
      <w:r>
        <w:rPr>
          <w:noProof/>
        </w:rPr>
        <w:instrText xml:space="preserve"> PAGEREF _Toc158711746 \h </w:instrText>
      </w:r>
      <w:r>
        <w:rPr>
          <w:noProof/>
        </w:rPr>
      </w:r>
      <w:r>
        <w:rPr>
          <w:noProof/>
        </w:rPr>
        <w:fldChar w:fldCharType="separate"/>
      </w:r>
      <w:r>
        <w:rPr>
          <w:noProof/>
        </w:rPr>
        <w:t>97</w:t>
      </w:r>
      <w:r>
        <w:rPr>
          <w:noProof/>
        </w:rPr>
        <w:fldChar w:fldCharType="end"/>
      </w:r>
    </w:p>
    <w:p w14:paraId="157A4978" w14:textId="7BE412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5.3B.05  Consent to transactions or dealings outside the ordinary course of business</w:t>
      </w:r>
      <w:r>
        <w:rPr>
          <w:noProof/>
        </w:rPr>
        <w:tab/>
      </w:r>
      <w:r>
        <w:rPr>
          <w:noProof/>
        </w:rPr>
        <w:fldChar w:fldCharType="begin"/>
      </w:r>
      <w:r>
        <w:rPr>
          <w:noProof/>
        </w:rPr>
        <w:instrText xml:space="preserve"> PAGEREF _Toc158711747 \h </w:instrText>
      </w:r>
      <w:r>
        <w:rPr>
          <w:noProof/>
        </w:rPr>
      </w:r>
      <w:r>
        <w:rPr>
          <w:noProof/>
        </w:rPr>
        <w:fldChar w:fldCharType="separate"/>
      </w:r>
      <w:r>
        <w:rPr>
          <w:noProof/>
        </w:rPr>
        <w:t>98</w:t>
      </w:r>
      <w:r>
        <w:rPr>
          <w:noProof/>
        </w:rPr>
        <w:fldChar w:fldCharType="end"/>
      </w:r>
    </w:p>
    <w:p w14:paraId="0F613439" w14:textId="1E1C358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5.3B.06  Termination of restructuring</w:t>
      </w:r>
      <w:r>
        <w:rPr>
          <w:noProof/>
        </w:rPr>
        <w:tab/>
      </w:r>
      <w:r>
        <w:rPr>
          <w:noProof/>
        </w:rPr>
        <w:fldChar w:fldCharType="begin"/>
      </w:r>
      <w:r>
        <w:rPr>
          <w:noProof/>
        </w:rPr>
        <w:instrText xml:space="preserve"> PAGEREF _Toc158711748 \h </w:instrText>
      </w:r>
      <w:r>
        <w:rPr>
          <w:noProof/>
        </w:rPr>
      </w:r>
      <w:r>
        <w:rPr>
          <w:noProof/>
        </w:rPr>
        <w:fldChar w:fldCharType="separate"/>
      </w:r>
      <w:r>
        <w:rPr>
          <w:noProof/>
        </w:rPr>
        <w:t>98</w:t>
      </w:r>
      <w:r>
        <w:rPr>
          <w:noProof/>
        </w:rPr>
        <w:fldChar w:fldCharType="end"/>
      </w:r>
    </w:p>
    <w:p w14:paraId="1F1D27F4" w14:textId="61A4C47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B—Restructuring practitioner for company under restructuring</w:t>
      </w:r>
      <w:r>
        <w:rPr>
          <w:noProof/>
        </w:rPr>
        <w:tab/>
      </w:r>
      <w:r>
        <w:rPr>
          <w:noProof/>
        </w:rPr>
        <w:fldChar w:fldCharType="begin"/>
      </w:r>
      <w:r>
        <w:rPr>
          <w:noProof/>
        </w:rPr>
        <w:instrText xml:space="preserve"> PAGEREF _Toc158711749 \h </w:instrText>
      </w:r>
      <w:r>
        <w:rPr>
          <w:noProof/>
        </w:rPr>
      </w:r>
      <w:r>
        <w:rPr>
          <w:noProof/>
        </w:rPr>
        <w:fldChar w:fldCharType="separate"/>
      </w:r>
      <w:r>
        <w:rPr>
          <w:noProof/>
        </w:rPr>
        <w:t>98</w:t>
      </w:r>
      <w:r>
        <w:rPr>
          <w:noProof/>
        </w:rPr>
        <w:fldChar w:fldCharType="end"/>
      </w:r>
    </w:p>
    <w:p w14:paraId="3C928CCA" w14:textId="4D1598D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5.3B.07  Authority</w:t>
      </w:r>
      <w:r>
        <w:rPr>
          <w:noProof/>
        </w:rPr>
        <w:tab/>
      </w:r>
      <w:r>
        <w:rPr>
          <w:noProof/>
        </w:rPr>
        <w:fldChar w:fldCharType="begin"/>
      </w:r>
      <w:r>
        <w:rPr>
          <w:noProof/>
        </w:rPr>
        <w:instrText xml:space="preserve"> PAGEREF _Toc158711750 \h </w:instrText>
      </w:r>
      <w:r>
        <w:rPr>
          <w:noProof/>
        </w:rPr>
      </w:r>
      <w:r>
        <w:rPr>
          <w:noProof/>
        </w:rPr>
        <w:fldChar w:fldCharType="separate"/>
      </w:r>
      <w:r>
        <w:rPr>
          <w:noProof/>
        </w:rPr>
        <w:t>98</w:t>
      </w:r>
      <w:r>
        <w:rPr>
          <w:noProof/>
        </w:rPr>
        <w:fldChar w:fldCharType="end"/>
      </w:r>
    </w:p>
    <w:p w14:paraId="5D2FF05B" w14:textId="0F1D9CE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5.3B.08  Powers of restructuring practitioner for company under restructuring</w:t>
      </w:r>
      <w:r>
        <w:rPr>
          <w:noProof/>
        </w:rPr>
        <w:tab/>
      </w:r>
      <w:r>
        <w:rPr>
          <w:noProof/>
        </w:rPr>
        <w:fldChar w:fldCharType="begin"/>
      </w:r>
      <w:r>
        <w:rPr>
          <w:noProof/>
        </w:rPr>
        <w:instrText xml:space="preserve"> PAGEREF _Toc158711751 \h </w:instrText>
      </w:r>
      <w:r>
        <w:rPr>
          <w:noProof/>
        </w:rPr>
      </w:r>
      <w:r>
        <w:rPr>
          <w:noProof/>
        </w:rPr>
        <w:fldChar w:fldCharType="separate"/>
      </w:r>
      <w:r>
        <w:rPr>
          <w:noProof/>
        </w:rPr>
        <w:t>98</w:t>
      </w:r>
      <w:r>
        <w:rPr>
          <w:noProof/>
        </w:rPr>
        <w:fldChar w:fldCharType="end"/>
      </w:r>
    </w:p>
    <w:p w14:paraId="1324BE22" w14:textId="3FDDA85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5.3B.09  Replacement restructuring practitioner must fulfil certain past requirements</w:t>
      </w:r>
      <w:r>
        <w:rPr>
          <w:noProof/>
        </w:rPr>
        <w:tab/>
      </w:r>
      <w:r>
        <w:rPr>
          <w:noProof/>
        </w:rPr>
        <w:fldChar w:fldCharType="begin"/>
      </w:r>
      <w:r>
        <w:rPr>
          <w:noProof/>
        </w:rPr>
        <w:instrText xml:space="preserve"> PAGEREF _Toc158711752 \h </w:instrText>
      </w:r>
      <w:r>
        <w:rPr>
          <w:noProof/>
        </w:rPr>
      </w:r>
      <w:r>
        <w:rPr>
          <w:noProof/>
        </w:rPr>
        <w:fldChar w:fldCharType="separate"/>
      </w:r>
      <w:r>
        <w:rPr>
          <w:noProof/>
        </w:rPr>
        <w:t>99</w:t>
      </w:r>
      <w:r>
        <w:rPr>
          <w:noProof/>
        </w:rPr>
        <w:fldChar w:fldCharType="end"/>
      </w:r>
    </w:p>
    <w:p w14:paraId="039EE77C" w14:textId="35DCD4A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5.3B.11  Protection from liability</w:t>
      </w:r>
      <w:r>
        <w:rPr>
          <w:noProof/>
        </w:rPr>
        <w:tab/>
      </w:r>
      <w:r>
        <w:rPr>
          <w:noProof/>
        </w:rPr>
        <w:fldChar w:fldCharType="begin"/>
      </w:r>
      <w:r>
        <w:rPr>
          <w:noProof/>
        </w:rPr>
        <w:instrText xml:space="preserve"> PAGEREF _Toc158711753 \h </w:instrText>
      </w:r>
      <w:r>
        <w:rPr>
          <w:noProof/>
        </w:rPr>
      </w:r>
      <w:r>
        <w:rPr>
          <w:noProof/>
        </w:rPr>
        <w:fldChar w:fldCharType="separate"/>
      </w:r>
      <w:r>
        <w:rPr>
          <w:noProof/>
        </w:rPr>
        <w:t>99</w:t>
      </w:r>
      <w:r>
        <w:rPr>
          <w:noProof/>
        </w:rPr>
        <w:fldChar w:fldCharType="end"/>
      </w:r>
    </w:p>
    <w:p w14:paraId="02233E51" w14:textId="0677119C"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C—Stay on enforcing rights merely because the company is under restructuring etc.</w:t>
      </w:r>
      <w:r>
        <w:rPr>
          <w:noProof/>
        </w:rPr>
        <w:tab/>
      </w:r>
      <w:r>
        <w:rPr>
          <w:noProof/>
        </w:rPr>
        <w:fldChar w:fldCharType="begin"/>
      </w:r>
      <w:r>
        <w:rPr>
          <w:noProof/>
        </w:rPr>
        <w:instrText xml:space="preserve"> PAGEREF _Toc158711754 \h </w:instrText>
      </w:r>
      <w:r>
        <w:rPr>
          <w:noProof/>
        </w:rPr>
      </w:r>
      <w:r>
        <w:rPr>
          <w:noProof/>
        </w:rPr>
        <w:fldChar w:fldCharType="separate"/>
      </w:r>
      <w:r>
        <w:rPr>
          <w:noProof/>
        </w:rPr>
        <w:t>99</w:t>
      </w:r>
      <w:r>
        <w:rPr>
          <w:noProof/>
        </w:rPr>
        <w:fldChar w:fldCharType="end"/>
      </w:r>
    </w:p>
    <w:p w14:paraId="1D1A5ABB" w14:textId="371CDED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5.3B.12  Prescribed kinds of contracts, agreements or arrangements under which rights are not subject to the stay in section 454N of the Act</w:t>
      </w:r>
      <w:r>
        <w:rPr>
          <w:noProof/>
        </w:rPr>
        <w:tab/>
      </w:r>
      <w:r>
        <w:rPr>
          <w:noProof/>
        </w:rPr>
        <w:fldChar w:fldCharType="begin"/>
      </w:r>
      <w:r>
        <w:rPr>
          <w:noProof/>
        </w:rPr>
        <w:instrText xml:space="preserve"> PAGEREF _Toc158711755 \h </w:instrText>
      </w:r>
      <w:r>
        <w:rPr>
          <w:noProof/>
        </w:rPr>
      </w:r>
      <w:r>
        <w:rPr>
          <w:noProof/>
        </w:rPr>
        <w:fldChar w:fldCharType="separate"/>
      </w:r>
      <w:r>
        <w:rPr>
          <w:noProof/>
        </w:rPr>
        <w:t>99</w:t>
      </w:r>
      <w:r>
        <w:rPr>
          <w:noProof/>
        </w:rPr>
        <w:fldChar w:fldCharType="end"/>
      </w:r>
    </w:p>
    <w:p w14:paraId="17177F58" w14:textId="26DC304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3—Restructuring plan</w:t>
      </w:r>
      <w:r>
        <w:rPr>
          <w:noProof/>
        </w:rPr>
        <w:tab/>
      </w:r>
      <w:r>
        <w:rPr>
          <w:noProof/>
        </w:rPr>
        <w:fldChar w:fldCharType="begin"/>
      </w:r>
      <w:r>
        <w:rPr>
          <w:noProof/>
        </w:rPr>
        <w:instrText xml:space="preserve"> PAGEREF _Toc158711756 \h </w:instrText>
      </w:r>
      <w:r>
        <w:rPr>
          <w:noProof/>
        </w:rPr>
      </w:r>
      <w:r>
        <w:rPr>
          <w:noProof/>
        </w:rPr>
        <w:fldChar w:fldCharType="separate"/>
      </w:r>
      <w:r>
        <w:rPr>
          <w:noProof/>
        </w:rPr>
        <w:t>100</w:t>
      </w:r>
      <w:r>
        <w:rPr>
          <w:noProof/>
        </w:rPr>
        <w:fldChar w:fldCharType="end"/>
      </w:r>
    </w:p>
    <w:p w14:paraId="7B7D216A" w14:textId="3196747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A—Preliminary</w:t>
      </w:r>
      <w:r>
        <w:rPr>
          <w:noProof/>
        </w:rPr>
        <w:tab/>
      </w:r>
      <w:r>
        <w:rPr>
          <w:noProof/>
        </w:rPr>
        <w:fldChar w:fldCharType="begin"/>
      </w:r>
      <w:r>
        <w:rPr>
          <w:noProof/>
        </w:rPr>
        <w:instrText xml:space="preserve"> PAGEREF _Toc158711757 \h </w:instrText>
      </w:r>
      <w:r>
        <w:rPr>
          <w:noProof/>
        </w:rPr>
      </w:r>
      <w:r>
        <w:rPr>
          <w:noProof/>
        </w:rPr>
        <w:fldChar w:fldCharType="separate"/>
      </w:r>
      <w:r>
        <w:rPr>
          <w:noProof/>
        </w:rPr>
        <w:t>100</w:t>
      </w:r>
      <w:r>
        <w:rPr>
          <w:noProof/>
        </w:rPr>
        <w:fldChar w:fldCharType="end"/>
      </w:r>
    </w:p>
    <w:p w14:paraId="0A77E688" w14:textId="5F68CA3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5.3B.13  Authority</w:t>
      </w:r>
      <w:r>
        <w:rPr>
          <w:noProof/>
        </w:rPr>
        <w:tab/>
      </w:r>
      <w:r>
        <w:rPr>
          <w:noProof/>
        </w:rPr>
        <w:fldChar w:fldCharType="begin"/>
      </w:r>
      <w:r>
        <w:rPr>
          <w:noProof/>
        </w:rPr>
        <w:instrText xml:space="preserve"> PAGEREF _Toc158711758 \h </w:instrText>
      </w:r>
      <w:r>
        <w:rPr>
          <w:noProof/>
        </w:rPr>
      </w:r>
      <w:r>
        <w:rPr>
          <w:noProof/>
        </w:rPr>
        <w:fldChar w:fldCharType="separate"/>
      </w:r>
      <w:r>
        <w:rPr>
          <w:noProof/>
        </w:rPr>
        <w:t>100</w:t>
      </w:r>
      <w:r>
        <w:rPr>
          <w:noProof/>
        </w:rPr>
        <w:fldChar w:fldCharType="end"/>
      </w:r>
    </w:p>
    <w:p w14:paraId="34D3AF2C" w14:textId="27949AD5"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B—Proposing a restructuring plan</w:t>
      </w:r>
      <w:r>
        <w:rPr>
          <w:noProof/>
        </w:rPr>
        <w:tab/>
      </w:r>
      <w:r>
        <w:rPr>
          <w:noProof/>
        </w:rPr>
        <w:fldChar w:fldCharType="begin"/>
      </w:r>
      <w:r>
        <w:rPr>
          <w:noProof/>
        </w:rPr>
        <w:instrText xml:space="preserve"> PAGEREF _Toc158711759 \h </w:instrText>
      </w:r>
      <w:r>
        <w:rPr>
          <w:noProof/>
        </w:rPr>
      </w:r>
      <w:r>
        <w:rPr>
          <w:noProof/>
        </w:rPr>
        <w:fldChar w:fldCharType="separate"/>
      </w:r>
      <w:r>
        <w:rPr>
          <w:noProof/>
        </w:rPr>
        <w:t>100</w:t>
      </w:r>
      <w:r>
        <w:rPr>
          <w:noProof/>
        </w:rPr>
        <w:fldChar w:fldCharType="end"/>
      </w:r>
    </w:p>
    <w:p w14:paraId="37F3F491" w14:textId="137A01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5.3B.14  How a restructuring plan is </w:t>
      </w:r>
      <w:r w:rsidRPr="00FC743A">
        <w:rPr>
          <w:i/>
          <w:noProof/>
        </w:rPr>
        <w:t>proposed</w:t>
      </w:r>
      <w:r>
        <w:rPr>
          <w:noProof/>
        </w:rPr>
        <w:tab/>
      </w:r>
      <w:r>
        <w:rPr>
          <w:noProof/>
        </w:rPr>
        <w:fldChar w:fldCharType="begin"/>
      </w:r>
      <w:r>
        <w:rPr>
          <w:noProof/>
        </w:rPr>
        <w:instrText xml:space="preserve"> PAGEREF _Toc158711760 \h </w:instrText>
      </w:r>
      <w:r>
        <w:rPr>
          <w:noProof/>
        </w:rPr>
      </w:r>
      <w:r>
        <w:rPr>
          <w:noProof/>
        </w:rPr>
        <w:fldChar w:fldCharType="separate"/>
      </w:r>
      <w:r>
        <w:rPr>
          <w:noProof/>
        </w:rPr>
        <w:t>100</w:t>
      </w:r>
      <w:r>
        <w:rPr>
          <w:noProof/>
        </w:rPr>
        <w:fldChar w:fldCharType="end"/>
      </w:r>
    </w:p>
    <w:p w14:paraId="24FA2064" w14:textId="05C8BF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5.3B.15  Contents of restructuring plan</w:t>
      </w:r>
      <w:r>
        <w:rPr>
          <w:noProof/>
        </w:rPr>
        <w:tab/>
      </w:r>
      <w:r>
        <w:rPr>
          <w:noProof/>
        </w:rPr>
        <w:fldChar w:fldCharType="begin"/>
      </w:r>
      <w:r>
        <w:rPr>
          <w:noProof/>
        </w:rPr>
        <w:instrText xml:space="preserve"> PAGEREF _Toc158711761 \h </w:instrText>
      </w:r>
      <w:r>
        <w:rPr>
          <w:noProof/>
        </w:rPr>
      </w:r>
      <w:r>
        <w:rPr>
          <w:noProof/>
        </w:rPr>
        <w:fldChar w:fldCharType="separate"/>
      </w:r>
      <w:r>
        <w:rPr>
          <w:noProof/>
        </w:rPr>
        <w:t>100</w:t>
      </w:r>
      <w:r>
        <w:rPr>
          <w:noProof/>
        </w:rPr>
        <w:fldChar w:fldCharType="end"/>
      </w:r>
    </w:p>
    <w:p w14:paraId="2AB95B45" w14:textId="5295D7A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5.3B.16  Restructuring proposal statement</w:t>
      </w:r>
      <w:r>
        <w:rPr>
          <w:noProof/>
        </w:rPr>
        <w:tab/>
      </w:r>
      <w:r>
        <w:rPr>
          <w:noProof/>
        </w:rPr>
        <w:fldChar w:fldCharType="begin"/>
      </w:r>
      <w:r>
        <w:rPr>
          <w:noProof/>
        </w:rPr>
        <w:instrText xml:space="preserve"> PAGEREF _Toc158711762 \h </w:instrText>
      </w:r>
      <w:r>
        <w:rPr>
          <w:noProof/>
        </w:rPr>
      </w:r>
      <w:r>
        <w:rPr>
          <w:noProof/>
        </w:rPr>
        <w:fldChar w:fldCharType="separate"/>
      </w:r>
      <w:r>
        <w:rPr>
          <w:noProof/>
        </w:rPr>
        <w:t>100</w:t>
      </w:r>
      <w:r>
        <w:rPr>
          <w:noProof/>
        </w:rPr>
        <w:fldChar w:fldCharType="end"/>
      </w:r>
    </w:p>
    <w:p w14:paraId="23EF2FB9" w14:textId="00C256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5.3B.17  Meaning of </w:t>
      </w:r>
      <w:r w:rsidRPr="00FC743A">
        <w:rPr>
          <w:i/>
          <w:noProof/>
        </w:rPr>
        <w:t>proposal period</w:t>
      </w:r>
      <w:r>
        <w:rPr>
          <w:noProof/>
        </w:rPr>
        <w:tab/>
      </w:r>
      <w:r>
        <w:rPr>
          <w:noProof/>
        </w:rPr>
        <w:fldChar w:fldCharType="begin"/>
      </w:r>
      <w:r>
        <w:rPr>
          <w:noProof/>
        </w:rPr>
        <w:instrText xml:space="preserve"> PAGEREF _Toc158711763 \h </w:instrText>
      </w:r>
      <w:r>
        <w:rPr>
          <w:noProof/>
        </w:rPr>
      </w:r>
      <w:r>
        <w:rPr>
          <w:noProof/>
        </w:rPr>
        <w:fldChar w:fldCharType="separate"/>
      </w:r>
      <w:r>
        <w:rPr>
          <w:noProof/>
        </w:rPr>
        <w:t>101</w:t>
      </w:r>
      <w:r>
        <w:rPr>
          <w:noProof/>
        </w:rPr>
        <w:fldChar w:fldCharType="end"/>
      </w:r>
    </w:p>
    <w:p w14:paraId="2A0694E4" w14:textId="494AB1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5.3B.18  Restructuring practitioner must make declaration in relation to restructuring plan</w:t>
      </w:r>
      <w:r>
        <w:rPr>
          <w:noProof/>
        </w:rPr>
        <w:tab/>
      </w:r>
      <w:r>
        <w:rPr>
          <w:noProof/>
        </w:rPr>
        <w:fldChar w:fldCharType="begin"/>
      </w:r>
      <w:r>
        <w:rPr>
          <w:noProof/>
        </w:rPr>
        <w:instrText xml:space="preserve"> PAGEREF _Toc158711764 \h </w:instrText>
      </w:r>
      <w:r>
        <w:rPr>
          <w:noProof/>
        </w:rPr>
      </w:r>
      <w:r>
        <w:rPr>
          <w:noProof/>
        </w:rPr>
        <w:fldChar w:fldCharType="separate"/>
      </w:r>
      <w:r>
        <w:rPr>
          <w:noProof/>
        </w:rPr>
        <w:t>101</w:t>
      </w:r>
      <w:r>
        <w:rPr>
          <w:noProof/>
        </w:rPr>
        <w:fldChar w:fldCharType="end"/>
      </w:r>
    </w:p>
    <w:p w14:paraId="598AA9A5" w14:textId="62ED2F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5.3B.19  Restructuring practitioner must notify company of defect in restructuring plan</w:t>
      </w:r>
      <w:r>
        <w:rPr>
          <w:noProof/>
        </w:rPr>
        <w:tab/>
      </w:r>
      <w:r>
        <w:rPr>
          <w:noProof/>
        </w:rPr>
        <w:fldChar w:fldCharType="begin"/>
      </w:r>
      <w:r>
        <w:rPr>
          <w:noProof/>
        </w:rPr>
        <w:instrText xml:space="preserve"> PAGEREF _Toc158711765 \h </w:instrText>
      </w:r>
      <w:r>
        <w:rPr>
          <w:noProof/>
        </w:rPr>
      </w:r>
      <w:r>
        <w:rPr>
          <w:noProof/>
        </w:rPr>
        <w:fldChar w:fldCharType="separate"/>
      </w:r>
      <w:r>
        <w:rPr>
          <w:noProof/>
        </w:rPr>
        <w:t>102</w:t>
      </w:r>
      <w:r>
        <w:rPr>
          <w:noProof/>
        </w:rPr>
        <w:fldChar w:fldCharType="end"/>
      </w:r>
    </w:p>
    <w:p w14:paraId="379B0F56" w14:textId="4B5D8E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5.3B.20  Proposal to make restructuring plan lapses</w:t>
      </w:r>
      <w:r>
        <w:rPr>
          <w:noProof/>
        </w:rPr>
        <w:tab/>
      </w:r>
      <w:r>
        <w:rPr>
          <w:noProof/>
        </w:rPr>
        <w:fldChar w:fldCharType="begin"/>
      </w:r>
      <w:r>
        <w:rPr>
          <w:noProof/>
        </w:rPr>
        <w:instrText xml:space="preserve"> PAGEREF _Toc158711766 \h </w:instrText>
      </w:r>
      <w:r>
        <w:rPr>
          <w:noProof/>
        </w:rPr>
      </w:r>
      <w:r>
        <w:rPr>
          <w:noProof/>
        </w:rPr>
        <w:fldChar w:fldCharType="separate"/>
      </w:r>
      <w:r>
        <w:rPr>
          <w:noProof/>
        </w:rPr>
        <w:t>102</w:t>
      </w:r>
      <w:r>
        <w:rPr>
          <w:noProof/>
        </w:rPr>
        <w:fldChar w:fldCharType="end"/>
      </w:r>
    </w:p>
    <w:p w14:paraId="52A81B66" w14:textId="158BDE9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5.3B.21  Proposing a restructuring plan to creditors</w:t>
      </w:r>
      <w:r>
        <w:rPr>
          <w:noProof/>
        </w:rPr>
        <w:tab/>
      </w:r>
      <w:r>
        <w:rPr>
          <w:noProof/>
        </w:rPr>
        <w:fldChar w:fldCharType="begin"/>
      </w:r>
      <w:r>
        <w:rPr>
          <w:noProof/>
        </w:rPr>
        <w:instrText xml:space="preserve"> PAGEREF _Toc158711767 \h </w:instrText>
      </w:r>
      <w:r>
        <w:rPr>
          <w:noProof/>
        </w:rPr>
      </w:r>
      <w:r>
        <w:rPr>
          <w:noProof/>
        </w:rPr>
        <w:fldChar w:fldCharType="separate"/>
      </w:r>
      <w:r>
        <w:rPr>
          <w:noProof/>
        </w:rPr>
        <w:t>102</w:t>
      </w:r>
      <w:r>
        <w:rPr>
          <w:noProof/>
        </w:rPr>
        <w:fldChar w:fldCharType="end"/>
      </w:r>
    </w:p>
    <w:p w14:paraId="16300AFF" w14:textId="029AE5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5.3B.22  Creditors may dispute schedule of debts and claims before restructuring plan is made</w:t>
      </w:r>
      <w:r>
        <w:rPr>
          <w:noProof/>
        </w:rPr>
        <w:tab/>
      </w:r>
      <w:r>
        <w:rPr>
          <w:noProof/>
        </w:rPr>
        <w:fldChar w:fldCharType="begin"/>
      </w:r>
      <w:r>
        <w:rPr>
          <w:noProof/>
        </w:rPr>
        <w:instrText xml:space="preserve"> PAGEREF _Toc158711768 \h </w:instrText>
      </w:r>
      <w:r>
        <w:rPr>
          <w:noProof/>
        </w:rPr>
      </w:r>
      <w:r>
        <w:rPr>
          <w:noProof/>
        </w:rPr>
        <w:fldChar w:fldCharType="separate"/>
      </w:r>
      <w:r>
        <w:rPr>
          <w:noProof/>
        </w:rPr>
        <w:t>103</w:t>
      </w:r>
      <w:r>
        <w:rPr>
          <w:noProof/>
        </w:rPr>
        <w:fldChar w:fldCharType="end"/>
      </w:r>
    </w:p>
    <w:p w14:paraId="4C22A48A" w14:textId="2AC9034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5.3B.23  Creditors may change vote</w:t>
      </w:r>
      <w:r>
        <w:rPr>
          <w:noProof/>
        </w:rPr>
        <w:tab/>
      </w:r>
      <w:r>
        <w:rPr>
          <w:noProof/>
        </w:rPr>
        <w:fldChar w:fldCharType="begin"/>
      </w:r>
      <w:r>
        <w:rPr>
          <w:noProof/>
        </w:rPr>
        <w:instrText xml:space="preserve"> PAGEREF _Toc158711769 \h </w:instrText>
      </w:r>
      <w:r>
        <w:rPr>
          <w:noProof/>
        </w:rPr>
      </w:r>
      <w:r>
        <w:rPr>
          <w:noProof/>
        </w:rPr>
        <w:fldChar w:fldCharType="separate"/>
      </w:r>
      <w:r>
        <w:rPr>
          <w:noProof/>
        </w:rPr>
        <w:t>104</w:t>
      </w:r>
      <w:r>
        <w:rPr>
          <w:noProof/>
        </w:rPr>
        <w:fldChar w:fldCharType="end"/>
      </w:r>
    </w:p>
    <w:p w14:paraId="680F1C0B" w14:textId="01951D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5.3B.24  Company under restructuring must do certain things</w:t>
      </w:r>
      <w:r>
        <w:rPr>
          <w:noProof/>
        </w:rPr>
        <w:tab/>
      </w:r>
      <w:r>
        <w:rPr>
          <w:noProof/>
        </w:rPr>
        <w:fldChar w:fldCharType="begin"/>
      </w:r>
      <w:r>
        <w:rPr>
          <w:noProof/>
        </w:rPr>
        <w:instrText xml:space="preserve"> PAGEREF _Toc158711770 \h </w:instrText>
      </w:r>
      <w:r>
        <w:rPr>
          <w:noProof/>
        </w:rPr>
      </w:r>
      <w:r>
        <w:rPr>
          <w:noProof/>
        </w:rPr>
        <w:fldChar w:fldCharType="separate"/>
      </w:r>
      <w:r>
        <w:rPr>
          <w:noProof/>
        </w:rPr>
        <w:t>104</w:t>
      </w:r>
      <w:r>
        <w:rPr>
          <w:noProof/>
        </w:rPr>
        <w:fldChar w:fldCharType="end"/>
      </w:r>
    </w:p>
    <w:p w14:paraId="26B3D100" w14:textId="45AE38C3"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C—Accepting a proposal for a restructuring plan</w:t>
      </w:r>
      <w:r>
        <w:rPr>
          <w:noProof/>
        </w:rPr>
        <w:tab/>
      </w:r>
      <w:r>
        <w:rPr>
          <w:noProof/>
        </w:rPr>
        <w:fldChar w:fldCharType="begin"/>
      </w:r>
      <w:r>
        <w:rPr>
          <w:noProof/>
        </w:rPr>
        <w:instrText xml:space="preserve"> PAGEREF _Toc158711771 \h </w:instrText>
      </w:r>
      <w:r>
        <w:rPr>
          <w:noProof/>
        </w:rPr>
      </w:r>
      <w:r>
        <w:rPr>
          <w:noProof/>
        </w:rPr>
        <w:fldChar w:fldCharType="separate"/>
      </w:r>
      <w:r>
        <w:rPr>
          <w:noProof/>
        </w:rPr>
        <w:t>105</w:t>
      </w:r>
      <w:r>
        <w:rPr>
          <w:noProof/>
        </w:rPr>
        <w:fldChar w:fldCharType="end"/>
      </w:r>
    </w:p>
    <w:p w14:paraId="5B65C244" w14:textId="53330ED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5.3B.25  Acceptance of restructuring plan</w:t>
      </w:r>
      <w:r>
        <w:rPr>
          <w:noProof/>
        </w:rPr>
        <w:tab/>
      </w:r>
      <w:r>
        <w:rPr>
          <w:noProof/>
        </w:rPr>
        <w:fldChar w:fldCharType="begin"/>
      </w:r>
      <w:r>
        <w:rPr>
          <w:noProof/>
        </w:rPr>
        <w:instrText xml:space="preserve"> PAGEREF _Toc158711772 \h </w:instrText>
      </w:r>
      <w:r>
        <w:rPr>
          <w:noProof/>
        </w:rPr>
      </w:r>
      <w:r>
        <w:rPr>
          <w:noProof/>
        </w:rPr>
        <w:fldChar w:fldCharType="separate"/>
      </w:r>
      <w:r>
        <w:rPr>
          <w:noProof/>
        </w:rPr>
        <w:t>105</w:t>
      </w:r>
      <w:r>
        <w:rPr>
          <w:noProof/>
        </w:rPr>
        <w:fldChar w:fldCharType="end"/>
      </w:r>
    </w:p>
    <w:p w14:paraId="69DA9FAA" w14:textId="4A0AFD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5.3B.26  How a restructuring plan is </w:t>
      </w:r>
      <w:r w:rsidRPr="00FC743A">
        <w:rPr>
          <w:i/>
          <w:noProof/>
        </w:rPr>
        <w:t>made</w:t>
      </w:r>
      <w:r>
        <w:rPr>
          <w:noProof/>
        </w:rPr>
        <w:tab/>
      </w:r>
      <w:r>
        <w:rPr>
          <w:noProof/>
        </w:rPr>
        <w:fldChar w:fldCharType="begin"/>
      </w:r>
      <w:r>
        <w:rPr>
          <w:noProof/>
        </w:rPr>
        <w:instrText xml:space="preserve"> PAGEREF _Toc158711773 \h </w:instrText>
      </w:r>
      <w:r>
        <w:rPr>
          <w:noProof/>
        </w:rPr>
      </w:r>
      <w:r>
        <w:rPr>
          <w:noProof/>
        </w:rPr>
        <w:fldChar w:fldCharType="separate"/>
      </w:r>
      <w:r>
        <w:rPr>
          <w:noProof/>
        </w:rPr>
        <w:t>105</w:t>
      </w:r>
      <w:r>
        <w:rPr>
          <w:noProof/>
        </w:rPr>
        <w:fldChar w:fldCharType="end"/>
      </w:r>
    </w:p>
    <w:p w14:paraId="032C2B5B" w14:textId="0108F14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5.3B.27  Standard terms for restructuring plans</w:t>
      </w:r>
      <w:r>
        <w:rPr>
          <w:noProof/>
        </w:rPr>
        <w:tab/>
      </w:r>
      <w:r>
        <w:rPr>
          <w:noProof/>
        </w:rPr>
        <w:fldChar w:fldCharType="begin"/>
      </w:r>
      <w:r>
        <w:rPr>
          <w:noProof/>
        </w:rPr>
        <w:instrText xml:space="preserve"> PAGEREF _Toc158711774 \h </w:instrText>
      </w:r>
      <w:r>
        <w:rPr>
          <w:noProof/>
        </w:rPr>
      </w:r>
      <w:r>
        <w:rPr>
          <w:noProof/>
        </w:rPr>
        <w:fldChar w:fldCharType="separate"/>
      </w:r>
      <w:r>
        <w:rPr>
          <w:noProof/>
        </w:rPr>
        <w:t>106</w:t>
      </w:r>
      <w:r>
        <w:rPr>
          <w:noProof/>
        </w:rPr>
        <w:fldChar w:fldCharType="end"/>
      </w:r>
    </w:p>
    <w:p w14:paraId="5087F96E" w14:textId="27838E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5.3B.28  Parties to restructuring plan</w:t>
      </w:r>
      <w:r>
        <w:rPr>
          <w:noProof/>
        </w:rPr>
        <w:tab/>
      </w:r>
      <w:r>
        <w:rPr>
          <w:noProof/>
        </w:rPr>
        <w:fldChar w:fldCharType="begin"/>
      </w:r>
      <w:r>
        <w:rPr>
          <w:noProof/>
        </w:rPr>
        <w:instrText xml:space="preserve"> PAGEREF _Toc158711775 \h </w:instrText>
      </w:r>
      <w:r>
        <w:rPr>
          <w:noProof/>
        </w:rPr>
      </w:r>
      <w:r>
        <w:rPr>
          <w:noProof/>
        </w:rPr>
        <w:fldChar w:fldCharType="separate"/>
      </w:r>
      <w:r>
        <w:rPr>
          <w:noProof/>
        </w:rPr>
        <w:t>106</w:t>
      </w:r>
      <w:r>
        <w:rPr>
          <w:noProof/>
        </w:rPr>
        <w:fldChar w:fldCharType="end"/>
      </w:r>
    </w:p>
    <w:p w14:paraId="0B78D3B9" w14:textId="6810F2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5.3B.29  Effect of restructuring plan</w:t>
      </w:r>
      <w:r>
        <w:rPr>
          <w:noProof/>
        </w:rPr>
        <w:tab/>
      </w:r>
      <w:r>
        <w:rPr>
          <w:noProof/>
        </w:rPr>
        <w:fldChar w:fldCharType="begin"/>
      </w:r>
      <w:r>
        <w:rPr>
          <w:noProof/>
        </w:rPr>
        <w:instrText xml:space="preserve"> PAGEREF _Toc158711776 \h </w:instrText>
      </w:r>
      <w:r>
        <w:rPr>
          <w:noProof/>
        </w:rPr>
      </w:r>
      <w:r>
        <w:rPr>
          <w:noProof/>
        </w:rPr>
        <w:fldChar w:fldCharType="separate"/>
      </w:r>
      <w:r>
        <w:rPr>
          <w:noProof/>
        </w:rPr>
        <w:t>106</w:t>
      </w:r>
      <w:r>
        <w:rPr>
          <w:noProof/>
        </w:rPr>
        <w:fldChar w:fldCharType="end"/>
      </w:r>
    </w:p>
    <w:p w14:paraId="355F13C2" w14:textId="38AC79C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5.3B.30  Protection of company’s property from persons bound by restructuring plan</w:t>
      </w:r>
      <w:r>
        <w:rPr>
          <w:noProof/>
        </w:rPr>
        <w:tab/>
      </w:r>
      <w:r>
        <w:rPr>
          <w:noProof/>
        </w:rPr>
        <w:fldChar w:fldCharType="begin"/>
      </w:r>
      <w:r>
        <w:rPr>
          <w:noProof/>
        </w:rPr>
        <w:instrText xml:space="preserve"> PAGEREF _Toc158711777 \h </w:instrText>
      </w:r>
      <w:r>
        <w:rPr>
          <w:noProof/>
        </w:rPr>
      </w:r>
      <w:r>
        <w:rPr>
          <w:noProof/>
        </w:rPr>
        <w:fldChar w:fldCharType="separate"/>
      </w:r>
      <w:r>
        <w:rPr>
          <w:noProof/>
        </w:rPr>
        <w:t>107</w:t>
      </w:r>
      <w:r>
        <w:rPr>
          <w:noProof/>
        </w:rPr>
        <w:fldChar w:fldCharType="end"/>
      </w:r>
    </w:p>
    <w:p w14:paraId="1B85D21F" w14:textId="4C44265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5.3B.31  When restructuring plan terminates</w:t>
      </w:r>
      <w:r>
        <w:rPr>
          <w:noProof/>
        </w:rPr>
        <w:tab/>
      </w:r>
      <w:r>
        <w:rPr>
          <w:noProof/>
        </w:rPr>
        <w:fldChar w:fldCharType="begin"/>
      </w:r>
      <w:r>
        <w:rPr>
          <w:noProof/>
        </w:rPr>
        <w:instrText xml:space="preserve"> PAGEREF _Toc158711778 \h </w:instrText>
      </w:r>
      <w:r>
        <w:rPr>
          <w:noProof/>
        </w:rPr>
      </w:r>
      <w:r>
        <w:rPr>
          <w:noProof/>
        </w:rPr>
        <w:fldChar w:fldCharType="separate"/>
      </w:r>
      <w:r>
        <w:rPr>
          <w:noProof/>
        </w:rPr>
        <w:t>107</w:t>
      </w:r>
      <w:r>
        <w:rPr>
          <w:noProof/>
        </w:rPr>
        <w:fldChar w:fldCharType="end"/>
      </w:r>
    </w:p>
    <w:p w14:paraId="77DA9E2A" w14:textId="74BE4EE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5.3B.32  Effect of termination or avoidance</w:t>
      </w:r>
      <w:r>
        <w:rPr>
          <w:noProof/>
        </w:rPr>
        <w:tab/>
      </w:r>
      <w:r>
        <w:rPr>
          <w:noProof/>
        </w:rPr>
        <w:fldChar w:fldCharType="begin"/>
      </w:r>
      <w:r>
        <w:rPr>
          <w:noProof/>
        </w:rPr>
        <w:instrText xml:space="preserve"> PAGEREF _Toc158711779 \h </w:instrText>
      </w:r>
      <w:r>
        <w:rPr>
          <w:noProof/>
        </w:rPr>
      </w:r>
      <w:r>
        <w:rPr>
          <w:noProof/>
        </w:rPr>
        <w:fldChar w:fldCharType="separate"/>
      </w:r>
      <w:r>
        <w:rPr>
          <w:noProof/>
        </w:rPr>
        <w:t>108</w:t>
      </w:r>
      <w:r>
        <w:rPr>
          <w:noProof/>
        </w:rPr>
        <w:fldChar w:fldCharType="end"/>
      </w:r>
    </w:p>
    <w:p w14:paraId="18F2A639" w14:textId="7E06892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D—Restructuring practitioner for a restructuring plan</w:t>
      </w:r>
      <w:r>
        <w:rPr>
          <w:noProof/>
        </w:rPr>
        <w:tab/>
      </w:r>
      <w:r>
        <w:rPr>
          <w:noProof/>
        </w:rPr>
        <w:fldChar w:fldCharType="begin"/>
      </w:r>
      <w:r>
        <w:rPr>
          <w:noProof/>
        </w:rPr>
        <w:instrText xml:space="preserve"> PAGEREF _Toc158711780 \h </w:instrText>
      </w:r>
      <w:r>
        <w:rPr>
          <w:noProof/>
        </w:rPr>
      </w:r>
      <w:r>
        <w:rPr>
          <w:noProof/>
        </w:rPr>
        <w:fldChar w:fldCharType="separate"/>
      </w:r>
      <w:r>
        <w:rPr>
          <w:noProof/>
        </w:rPr>
        <w:t>108</w:t>
      </w:r>
      <w:r>
        <w:rPr>
          <w:noProof/>
        </w:rPr>
        <w:fldChar w:fldCharType="end"/>
      </w:r>
    </w:p>
    <w:p w14:paraId="2FDFA104" w14:textId="4D9C3F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5.3B.33  Appointment of restructuring practitioner for restructuring plan</w:t>
      </w:r>
      <w:r>
        <w:rPr>
          <w:noProof/>
        </w:rPr>
        <w:tab/>
      </w:r>
      <w:r>
        <w:rPr>
          <w:noProof/>
        </w:rPr>
        <w:fldChar w:fldCharType="begin"/>
      </w:r>
      <w:r>
        <w:rPr>
          <w:noProof/>
        </w:rPr>
        <w:instrText xml:space="preserve"> PAGEREF _Toc158711781 \h </w:instrText>
      </w:r>
      <w:r>
        <w:rPr>
          <w:noProof/>
        </w:rPr>
      </w:r>
      <w:r>
        <w:rPr>
          <w:noProof/>
        </w:rPr>
        <w:fldChar w:fldCharType="separate"/>
      </w:r>
      <w:r>
        <w:rPr>
          <w:noProof/>
        </w:rPr>
        <w:t>108</w:t>
      </w:r>
      <w:r>
        <w:rPr>
          <w:noProof/>
        </w:rPr>
        <w:fldChar w:fldCharType="end"/>
      </w:r>
    </w:p>
    <w:p w14:paraId="3130D4CB" w14:textId="4922878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5.3B.34  Vacancy in office of restructuring practitioner for restructuring plan</w:t>
      </w:r>
      <w:r>
        <w:rPr>
          <w:noProof/>
        </w:rPr>
        <w:tab/>
      </w:r>
      <w:r>
        <w:rPr>
          <w:noProof/>
        </w:rPr>
        <w:fldChar w:fldCharType="begin"/>
      </w:r>
      <w:r>
        <w:rPr>
          <w:noProof/>
        </w:rPr>
        <w:instrText xml:space="preserve"> PAGEREF _Toc158711782 \h </w:instrText>
      </w:r>
      <w:r>
        <w:rPr>
          <w:noProof/>
        </w:rPr>
      </w:r>
      <w:r>
        <w:rPr>
          <w:noProof/>
        </w:rPr>
        <w:fldChar w:fldCharType="separate"/>
      </w:r>
      <w:r>
        <w:rPr>
          <w:noProof/>
        </w:rPr>
        <w:t>108</w:t>
      </w:r>
      <w:r>
        <w:rPr>
          <w:noProof/>
        </w:rPr>
        <w:fldChar w:fldCharType="end"/>
      </w:r>
    </w:p>
    <w:p w14:paraId="39604E62" w14:textId="76EC20D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5.3B.35  Declaration by new and replacement restructuring practitioners—relevant relationships</w:t>
      </w:r>
      <w:r>
        <w:rPr>
          <w:noProof/>
        </w:rPr>
        <w:tab/>
      </w:r>
      <w:r>
        <w:rPr>
          <w:noProof/>
        </w:rPr>
        <w:fldChar w:fldCharType="begin"/>
      </w:r>
      <w:r>
        <w:rPr>
          <w:noProof/>
        </w:rPr>
        <w:instrText xml:space="preserve"> PAGEREF _Toc158711783 \h </w:instrText>
      </w:r>
      <w:r>
        <w:rPr>
          <w:noProof/>
        </w:rPr>
      </w:r>
      <w:r>
        <w:rPr>
          <w:noProof/>
        </w:rPr>
        <w:fldChar w:fldCharType="separate"/>
      </w:r>
      <w:r>
        <w:rPr>
          <w:noProof/>
        </w:rPr>
        <w:t>108</w:t>
      </w:r>
      <w:r>
        <w:rPr>
          <w:noProof/>
        </w:rPr>
        <w:fldChar w:fldCharType="end"/>
      </w:r>
    </w:p>
    <w:p w14:paraId="3EABC8E3" w14:textId="67079FB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5.3B.36  Replacement declarations—relevant relationships</w:t>
      </w:r>
      <w:r>
        <w:rPr>
          <w:noProof/>
        </w:rPr>
        <w:tab/>
      </w:r>
      <w:r>
        <w:rPr>
          <w:noProof/>
        </w:rPr>
        <w:fldChar w:fldCharType="begin"/>
      </w:r>
      <w:r>
        <w:rPr>
          <w:noProof/>
        </w:rPr>
        <w:instrText xml:space="preserve"> PAGEREF _Toc158711784 \h </w:instrText>
      </w:r>
      <w:r>
        <w:rPr>
          <w:noProof/>
        </w:rPr>
      </w:r>
      <w:r>
        <w:rPr>
          <w:noProof/>
        </w:rPr>
        <w:fldChar w:fldCharType="separate"/>
      </w:r>
      <w:r>
        <w:rPr>
          <w:noProof/>
        </w:rPr>
        <w:t>109</w:t>
      </w:r>
      <w:r>
        <w:rPr>
          <w:noProof/>
        </w:rPr>
        <w:fldChar w:fldCharType="end"/>
      </w:r>
    </w:p>
    <w:p w14:paraId="5F468AA6" w14:textId="2A97F5A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5.3B.37   Functions of restructuring practitioner for restructuring plan</w:t>
      </w:r>
      <w:r>
        <w:rPr>
          <w:noProof/>
        </w:rPr>
        <w:tab/>
      </w:r>
      <w:r>
        <w:rPr>
          <w:noProof/>
        </w:rPr>
        <w:fldChar w:fldCharType="begin"/>
      </w:r>
      <w:r>
        <w:rPr>
          <w:noProof/>
        </w:rPr>
        <w:instrText xml:space="preserve"> PAGEREF _Toc158711785 \h </w:instrText>
      </w:r>
      <w:r>
        <w:rPr>
          <w:noProof/>
        </w:rPr>
      </w:r>
      <w:r>
        <w:rPr>
          <w:noProof/>
        </w:rPr>
        <w:fldChar w:fldCharType="separate"/>
      </w:r>
      <w:r>
        <w:rPr>
          <w:noProof/>
        </w:rPr>
        <w:t>109</w:t>
      </w:r>
      <w:r>
        <w:rPr>
          <w:noProof/>
        </w:rPr>
        <w:fldChar w:fldCharType="end"/>
      </w:r>
    </w:p>
    <w:p w14:paraId="3041E882" w14:textId="5E7393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5.3B.38  Replacement restructuring practitioner must lodge outstanding notices etc.</w:t>
      </w:r>
      <w:r>
        <w:rPr>
          <w:noProof/>
        </w:rPr>
        <w:tab/>
      </w:r>
      <w:r>
        <w:rPr>
          <w:noProof/>
        </w:rPr>
        <w:fldChar w:fldCharType="begin"/>
      </w:r>
      <w:r>
        <w:rPr>
          <w:noProof/>
        </w:rPr>
        <w:instrText xml:space="preserve"> PAGEREF _Toc158711786 \h </w:instrText>
      </w:r>
      <w:r>
        <w:rPr>
          <w:noProof/>
        </w:rPr>
      </w:r>
      <w:r>
        <w:rPr>
          <w:noProof/>
        </w:rPr>
        <w:fldChar w:fldCharType="separate"/>
      </w:r>
      <w:r>
        <w:rPr>
          <w:noProof/>
        </w:rPr>
        <w:t>109</w:t>
      </w:r>
      <w:r>
        <w:rPr>
          <w:noProof/>
        </w:rPr>
        <w:fldChar w:fldCharType="end"/>
      </w:r>
    </w:p>
    <w:p w14:paraId="6B8193C6" w14:textId="5FFAF76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5.3B.39  When restructuring practitioner may dispose of encumbered property</w:t>
      </w:r>
      <w:r>
        <w:rPr>
          <w:noProof/>
        </w:rPr>
        <w:tab/>
      </w:r>
      <w:r>
        <w:rPr>
          <w:noProof/>
        </w:rPr>
        <w:fldChar w:fldCharType="begin"/>
      </w:r>
      <w:r>
        <w:rPr>
          <w:noProof/>
        </w:rPr>
        <w:instrText xml:space="preserve"> PAGEREF _Toc158711787 \h </w:instrText>
      </w:r>
      <w:r>
        <w:rPr>
          <w:noProof/>
        </w:rPr>
      </w:r>
      <w:r>
        <w:rPr>
          <w:noProof/>
        </w:rPr>
        <w:fldChar w:fldCharType="separate"/>
      </w:r>
      <w:r>
        <w:rPr>
          <w:noProof/>
        </w:rPr>
        <w:t>110</w:t>
      </w:r>
      <w:r>
        <w:rPr>
          <w:noProof/>
        </w:rPr>
        <w:fldChar w:fldCharType="end"/>
      </w:r>
    </w:p>
    <w:p w14:paraId="650EF6E2" w14:textId="380C9E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5.3B.42  Protection from liability</w:t>
      </w:r>
      <w:r>
        <w:rPr>
          <w:noProof/>
        </w:rPr>
        <w:tab/>
      </w:r>
      <w:r>
        <w:rPr>
          <w:noProof/>
        </w:rPr>
        <w:fldChar w:fldCharType="begin"/>
      </w:r>
      <w:r>
        <w:rPr>
          <w:noProof/>
        </w:rPr>
        <w:instrText xml:space="preserve"> PAGEREF _Toc158711788 \h </w:instrText>
      </w:r>
      <w:r>
        <w:rPr>
          <w:noProof/>
        </w:rPr>
      </w:r>
      <w:r>
        <w:rPr>
          <w:noProof/>
        </w:rPr>
        <w:fldChar w:fldCharType="separate"/>
      </w:r>
      <w:r>
        <w:rPr>
          <w:noProof/>
        </w:rPr>
        <w:t>110</w:t>
      </w:r>
      <w:r>
        <w:rPr>
          <w:noProof/>
        </w:rPr>
        <w:fldChar w:fldCharType="end"/>
      </w:r>
    </w:p>
    <w:p w14:paraId="0A2221EF" w14:textId="6633CE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5.3B.43  Right of indemnity</w:t>
      </w:r>
      <w:r>
        <w:rPr>
          <w:noProof/>
        </w:rPr>
        <w:tab/>
      </w:r>
      <w:r>
        <w:rPr>
          <w:noProof/>
        </w:rPr>
        <w:fldChar w:fldCharType="begin"/>
      </w:r>
      <w:r>
        <w:rPr>
          <w:noProof/>
        </w:rPr>
        <w:instrText xml:space="preserve"> PAGEREF _Toc158711789 \h </w:instrText>
      </w:r>
      <w:r>
        <w:rPr>
          <w:noProof/>
        </w:rPr>
      </w:r>
      <w:r>
        <w:rPr>
          <w:noProof/>
        </w:rPr>
        <w:fldChar w:fldCharType="separate"/>
      </w:r>
      <w:r>
        <w:rPr>
          <w:noProof/>
        </w:rPr>
        <w:t>110</w:t>
      </w:r>
      <w:r>
        <w:rPr>
          <w:noProof/>
        </w:rPr>
        <w:fldChar w:fldCharType="end"/>
      </w:r>
    </w:p>
    <w:p w14:paraId="5A7C7B87" w14:textId="416EEEA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5.3B.44  Right of indemnity has priority over other debts</w:t>
      </w:r>
      <w:r>
        <w:rPr>
          <w:noProof/>
        </w:rPr>
        <w:tab/>
      </w:r>
      <w:r>
        <w:rPr>
          <w:noProof/>
        </w:rPr>
        <w:fldChar w:fldCharType="begin"/>
      </w:r>
      <w:r>
        <w:rPr>
          <w:noProof/>
        </w:rPr>
        <w:instrText xml:space="preserve"> PAGEREF _Toc158711790 \h </w:instrText>
      </w:r>
      <w:r>
        <w:rPr>
          <w:noProof/>
        </w:rPr>
      </w:r>
      <w:r>
        <w:rPr>
          <w:noProof/>
        </w:rPr>
        <w:fldChar w:fldCharType="separate"/>
      </w:r>
      <w:r>
        <w:rPr>
          <w:noProof/>
        </w:rPr>
        <w:t>111</w:t>
      </w:r>
      <w:r>
        <w:rPr>
          <w:noProof/>
        </w:rPr>
        <w:fldChar w:fldCharType="end"/>
      </w:r>
    </w:p>
    <w:p w14:paraId="749BE29A" w14:textId="550FD9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5.3B.45  Lien to secure indemnity</w:t>
      </w:r>
      <w:r>
        <w:rPr>
          <w:noProof/>
        </w:rPr>
        <w:tab/>
      </w:r>
      <w:r>
        <w:rPr>
          <w:noProof/>
        </w:rPr>
        <w:fldChar w:fldCharType="begin"/>
      </w:r>
      <w:r>
        <w:rPr>
          <w:noProof/>
        </w:rPr>
        <w:instrText xml:space="preserve"> PAGEREF _Toc158711791 \h </w:instrText>
      </w:r>
      <w:r>
        <w:rPr>
          <w:noProof/>
        </w:rPr>
      </w:r>
      <w:r>
        <w:rPr>
          <w:noProof/>
        </w:rPr>
        <w:fldChar w:fldCharType="separate"/>
      </w:r>
      <w:r>
        <w:rPr>
          <w:noProof/>
        </w:rPr>
        <w:t>112</w:t>
      </w:r>
      <w:r>
        <w:rPr>
          <w:noProof/>
        </w:rPr>
        <w:fldChar w:fldCharType="end"/>
      </w:r>
    </w:p>
    <w:p w14:paraId="1B5111C1" w14:textId="619D060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4—The restructuring practitioner</w:t>
      </w:r>
      <w:r>
        <w:rPr>
          <w:noProof/>
        </w:rPr>
        <w:tab/>
      </w:r>
      <w:r>
        <w:rPr>
          <w:noProof/>
        </w:rPr>
        <w:fldChar w:fldCharType="begin"/>
      </w:r>
      <w:r>
        <w:rPr>
          <w:noProof/>
        </w:rPr>
        <w:instrText xml:space="preserve"> PAGEREF _Toc158711792 \h </w:instrText>
      </w:r>
      <w:r>
        <w:rPr>
          <w:noProof/>
        </w:rPr>
      </w:r>
      <w:r>
        <w:rPr>
          <w:noProof/>
        </w:rPr>
        <w:fldChar w:fldCharType="separate"/>
      </w:r>
      <w:r>
        <w:rPr>
          <w:noProof/>
        </w:rPr>
        <w:t>113</w:t>
      </w:r>
      <w:r>
        <w:rPr>
          <w:noProof/>
        </w:rPr>
        <w:fldChar w:fldCharType="end"/>
      </w:r>
    </w:p>
    <w:p w14:paraId="1022CA7F" w14:textId="7CBA70C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5.3B.46  Authority</w:t>
      </w:r>
      <w:r>
        <w:rPr>
          <w:noProof/>
        </w:rPr>
        <w:tab/>
      </w:r>
      <w:r>
        <w:rPr>
          <w:noProof/>
        </w:rPr>
        <w:fldChar w:fldCharType="begin"/>
      </w:r>
      <w:r>
        <w:rPr>
          <w:noProof/>
        </w:rPr>
        <w:instrText xml:space="preserve"> PAGEREF _Toc158711793 \h </w:instrText>
      </w:r>
      <w:r>
        <w:rPr>
          <w:noProof/>
        </w:rPr>
      </w:r>
      <w:r>
        <w:rPr>
          <w:noProof/>
        </w:rPr>
        <w:fldChar w:fldCharType="separate"/>
      </w:r>
      <w:r>
        <w:rPr>
          <w:noProof/>
        </w:rPr>
        <w:t>113</w:t>
      </w:r>
      <w:r>
        <w:rPr>
          <w:noProof/>
        </w:rPr>
        <w:fldChar w:fldCharType="end"/>
      </w:r>
    </w:p>
    <w:p w14:paraId="21BF1227" w14:textId="58B024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5.3B.47  Company must notify restructuring practitioner of certain matters</w:t>
      </w:r>
      <w:r>
        <w:rPr>
          <w:noProof/>
        </w:rPr>
        <w:tab/>
      </w:r>
      <w:r>
        <w:rPr>
          <w:noProof/>
        </w:rPr>
        <w:fldChar w:fldCharType="begin"/>
      </w:r>
      <w:r>
        <w:rPr>
          <w:noProof/>
        </w:rPr>
        <w:instrText xml:space="preserve"> PAGEREF _Toc158711794 \h </w:instrText>
      </w:r>
      <w:r>
        <w:rPr>
          <w:noProof/>
        </w:rPr>
      </w:r>
      <w:r>
        <w:rPr>
          <w:noProof/>
        </w:rPr>
        <w:fldChar w:fldCharType="separate"/>
      </w:r>
      <w:r>
        <w:rPr>
          <w:noProof/>
        </w:rPr>
        <w:t>113</w:t>
      </w:r>
      <w:r>
        <w:rPr>
          <w:noProof/>
        </w:rPr>
        <w:fldChar w:fldCharType="end"/>
      </w:r>
    </w:p>
    <w:p w14:paraId="3A28157F" w14:textId="25D8A60D" w:rsidR="00D779FE" w:rsidRDefault="00D779FE">
      <w:pPr>
        <w:pStyle w:val="TOC3"/>
        <w:rPr>
          <w:rFonts w:asciiTheme="minorHAnsi" w:eastAsiaTheme="minorEastAsia" w:hAnsiTheme="minorHAnsi" w:cstheme="minorBidi"/>
          <w:b w:val="0"/>
          <w:noProof/>
          <w:kern w:val="2"/>
          <w:szCs w:val="22"/>
          <w14:ligatures w14:val="standardContextual"/>
        </w:rPr>
      </w:pPr>
      <w:r>
        <w:rPr>
          <w:noProof/>
        </w:rPr>
        <w:lastRenderedPageBreak/>
        <w:t>Division 5—Information, reports, documents etc.</w:t>
      </w:r>
      <w:r>
        <w:rPr>
          <w:noProof/>
        </w:rPr>
        <w:tab/>
      </w:r>
      <w:r>
        <w:rPr>
          <w:noProof/>
        </w:rPr>
        <w:fldChar w:fldCharType="begin"/>
      </w:r>
      <w:r>
        <w:rPr>
          <w:noProof/>
        </w:rPr>
        <w:instrText xml:space="preserve"> PAGEREF _Toc158711795 \h </w:instrText>
      </w:r>
      <w:r>
        <w:rPr>
          <w:noProof/>
        </w:rPr>
      </w:r>
      <w:r>
        <w:rPr>
          <w:noProof/>
        </w:rPr>
        <w:fldChar w:fldCharType="separate"/>
      </w:r>
      <w:r>
        <w:rPr>
          <w:noProof/>
        </w:rPr>
        <w:t>114</w:t>
      </w:r>
      <w:r>
        <w:rPr>
          <w:noProof/>
        </w:rPr>
        <w:fldChar w:fldCharType="end"/>
      </w:r>
    </w:p>
    <w:p w14:paraId="2ECD6CE0" w14:textId="20F4939E"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A—Preliminary</w:t>
      </w:r>
      <w:r>
        <w:rPr>
          <w:noProof/>
        </w:rPr>
        <w:tab/>
      </w:r>
      <w:r>
        <w:rPr>
          <w:noProof/>
        </w:rPr>
        <w:fldChar w:fldCharType="begin"/>
      </w:r>
      <w:r>
        <w:rPr>
          <w:noProof/>
        </w:rPr>
        <w:instrText xml:space="preserve"> PAGEREF _Toc158711796 \h </w:instrText>
      </w:r>
      <w:r>
        <w:rPr>
          <w:noProof/>
        </w:rPr>
      </w:r>
      <w:r>
        <w:rPr>
          <w:noProof/>
        </w:rPr>
        <w:fldChar w:fldCharType="separate"/>
      </w:r>
      <w:r>
        <w:rPr>
          <w:noProof/>
        </w:rPr>
        <w:t>114</w:t>
      </w:r>
      <w:r>
        <w:rPr>
          <w:noProof/>
        </w:rPr>
        <w:fldChar w:fldCharType="end"/>
      </w:r>
    </w:p>
    <w:p w14:paraId="19D688A5" w14:textId="35AE0A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5.3B.48  Authority</w:t>
      </w:r>
      <w:r>
        <w:rPr>
          <w:noProof/>
        </w:rPr>
        <w:tab/>
      </w:r>
      <w:r>
        <w:rPr>
          <w:noProof/>
        </w:rPr>
        <w:fldChar w:fldCharType="begin"/>
      </w:r>
      <w:r>
        <w:rPr>
          <w:noProof/>
        </w:rPr>
        <w:instrText xml:space="preserve"> PAGEREF _Toc158711797 \h </w:instrText>
      </w:r>
      <w:r>
        <w:rPr>
          <w:noProof/>
        </w:rPr>
      </w:r>
      <w:r>
        <w:rPr>
          <w:noProof/>
        </w:rPr>
        <w:fldChar w:fldCharType="separate"/>
      </w:r>
      <w:r>
        <w:rPr>
          <w:noProof/>
        </w:rPr>
        <w:t>114</w:t>
      </w:r>
      <w:r>
        <w:rPr>
          <w:noProof/>
        </w:rPr>
        <w:fldChar w:fldCharType="end"/>
      </w:r>
    </w:p>
    <w:p w14:paraId="5644EF6B" w14:textId="7CC6321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B—Information, reports, documents etc. during restructuring</w:t>
      </w:r>
      <w:r>
        <w:rPr>
          <w:noProof/>
        </w:rPr>
        <w:tab/>
      </w:r>
      <w:r>
        <w:rPr>
          <w:noProof/>
        </w:rPr>
        <w:fldChar w:fldCharType="begin"/>
      </w:r>
      <w:r>
        <w:rPr>
          <w:noProof/>
        </w:rPr>
        <w:instrText xml:space="preserve"> PAGEREF _Toc158711798 \h </w:instrText>
      </w:r>
      <w:r>
        <w:rPr>
          <w:noProof/>
        </w:rPr>
      </w:r>
      <w:r>
        <w:rPr>
          <w:noProof/>
        </w:rPr>
        <w:fldChar w:fldCharType="separate"/>
      </w:r>
      <w:r>
        <w:rPr>
          <w:noProof/>
        </w:rPr>
        <w:t>114</w:t>
      </w:r>
      <w:r>
        <w:rPr>
          <w:noProof/>
        </w:rPr>
        <w:fldChar w:fldCharType="end"/>
      </w:r>
    </w:p>
    <w:p w14:paraId="2DA1AEAB" w14:textId="11E999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5.3B.49  Declaration by directors—eligibility to be under restructuring and other matters</w:t>
      </w:r>
      <w:r>
        <w:rPr>
          <w:noProof/>
        </w:rPr>
        <w:tab/>
      </w:r>
      <w:r>
        <w:rPr>
          <w:noProof/>
        </w:rPr>
        <w:fldChar w:fldCharType="begin"/>
      </w:r>
      <w:r>
        <w:rPr>
          <w:noProof/>
        </w:rPr>
        <w:instrText xml:space="preserve"> PAGEREF _Toc158711799 \h </w:instrText>
      </w:r>
      <w:r>
        <w:rPr>
          <w:noProof/>
        </w:rPr>
      </w:r>
      <w:r>
        <w:rPr>
          <w:noProof/>
        </w:rPr>
        <w:fldChar w:fldCharType="separate"/>
      </w:r>
      <w:r>
        <w:rPr>
          <w:noProof/>
        </w:rPr>
        <w:t>114</w:t>
      </w:r>
      <w:r>
        <w:rPr>
          <w:noProof/>
        </w:rPr>
        <w:fldChar w:fldCharType="end"/>
      </w:r>
    </w:p>
    <w:p w14:paraId="2EB6A4F2" w14:textId="124C56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5.3B.50  Notice of appointment of restructuring practitioner for company</w:t>
      </w:r>
      <w:r>
        <w:rPr>
          <w:noProof/>
        </w:rPr>
        <w:tab/>
      </w:r>
      <w:r>
        <w:rPr>
          <w:noProof/>
        </w:rPr>
        <w:fldChar w:fldCharType="begin"/>
      </w:r>
      <w:r>
        <w:rPr>
          <w:noProof/>
        </w:rPr>
        <w:instrText xml:space="preserve"> PAGEREF _Toc158711800 \h </w:instrText>
      </w:r>
      <w:r>
        <w:rPr>
          <w:noProof/>
        </w:rPr>
      </w:r>
      <w:r>
        <w:rPr>
          <w:noProof/>
        </w:rPr>
        <w:fldChar w:fldCharType="separate"/>
      </w:r>
      <w:r>
        <w:rPr>
          <w:noProof/>
        </w:rPr>
        <w:t>114</w:t>
      </w:r>
      <w:r>
        <w:rPr>
          <w:noProof/>
        </w:rPr>
        <w:fldChar w:fldCharType="end"/>
      </w:r>
    </w:p>
    <w:p w14:paraId="2FE2B50D" w14:textId="3B989B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5.3B.51  Notice of termination of appointment of restructuring practitioner for company</w:t>
      </w:r>
      <w:r>
        <w:rPr>
          <w:noProof/>
        </w:rPr>
        <w:tab/>
      </w:r>
      <w:r>
        <w:rPr>
          <w:noProof/>
        </w:rPr>
        <w:fldChar w:fldCharType="begin"/>
      </w:r>
      <w:r>
        <w:rPr>
          <w:noProof/>
        </w:rPr>
        <w:instrText xml:space="preserve"> PAGEREF _Toc158711801 \h </w:instrText>
      </w:r>
      <w:r>
        <w:rPr>
          <w:noProof/>
        </w:rPr>
      </w:r>
      <w:r>
        <w:rPr>
          <w:noProof/>
        </w:rPr>
        <w:fldChar w:fldCharType="separate"/>
      </w:r>
      <w:r>
        <w:rPr>
          <w:noProof/>
        </w:rPr>
        <w:t>115</w:t>
      </w:r>
      <w:r>
        <w:rPr>
          <w:noProof/>
        </w:rPr>
        <w:fldChar w:fldCharType="end"/>
      </w:r>
    </w:p>
    <w:p w14:paraId="27488519" w14:textId="47EB34F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5.3B.52  Notice of restructuring plan etc. given to affected creditors</w:t>
      </w:r>
      <w:r>
        <w:rPr>
          <w:noProof/>
        </w:rPr>
        <w:tab/>
      </w:r>
      <w:r>
        <w:rPr>
          <w:noProof/>
        </w:rPr>
        <w:fldChar w:fldCharType="begin"/>
      </w:r>
      <w:r>
        <w:rPr>
          <w:noProof/>
        </w:rPr>
        <w:instrText xml:space="preserve"> PAGEREF _Toc158711802 \h </w:instrText>
      </w:r>
      <w:r>
        <w:rPr>
          <w:noProof/>
        </w:rPr>
      </w:r>
      <w:r>
        <w:rPr>
          <w:noProof/>
        </w:rPr>
        <w:fldChar w:fldCharType="separate"/>
      </w:r>
      <w:r>
        <w:rPr>
          <w:noProof/>
        </w:rPr>
        <w:t>115</w:t>
      </w:r>
      <w:r>
        <w:rPr>
          <w:noProof/>
        </w:rPr>
        <w:fldChar w:fldCharType="end"/>
      </w:r>
    </w:p>
    <w:p w14:paraId="2426CD9A" w14:textId="2B5A11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5.3B.53  Notice of end of restructuring</w:t>
      </w:r>
      <w:r>
        <w:rPr>
          <w:noProof/>
        </w:rPr>
        <w:tab/>
      </w:r>
      <w:r>
        <w:rPr>
          <w:noProof/>
        </w:rPr>
        <w:fldChar w:fldCharType="begin"/>
      </w:r>
      <w:r>
        <w:rPr>
          <w:noProof/>
        </w:rPr>
        <w:instrText xml:space="preserve"> PAGEREF _Toc158711803 \h </w:instrText>
      </w:r>
      <w:r>
        <w:rPr>
          <w:noProof/>
        </w:rPr>
      </w:r>
      <w:r>
        <w:rPr>
          <w:noProof/>
        </w:rPr>
        <w:fldChar w:fldCharType="separate"/>
      </w:r>
      <w:r>
        <w:rPr>
          <w:noProof/>
        </w:rPr>
        <w:t>115</w:t>
      </w:r>
      <w:r>
        <w:rPr>
          <w:noProof/>
        </w:rPr>
        <w:fldChar w:fldCharType="end"/>
      </w:r>
    </w:p>
    <w:p w14:paraId="7FAA454A" w14:textId="61E3D38F"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C—Information, reports, documents etc. once restructuring plan is made</w:t>
      </w:r>
      <w:r>
        <w:rPr>
          <w:noProof/>
        </w:rPr>
        <w:tab/>
      </w:r>
      <w:r>
        <w:rPr>
          <w:noProof/>
        </w:rPr>
        <w:fldChar w:fldCharType="begin"/>
      </w:r>
      <w:r>
        <w:rPr>
          <w:noProof/>
        </w:rPr>
        <w:instrText xml:space="preserve"> PAGEREF _Toc158711804 \h </w:instrText>
      </w:r>
      <w:r>
        <w:rPr>
          <w:noProof/>
        </w:rPr>
      </w:r>
      <w:r>
        <w:rPr>
          <w:noProof/>
        </w:rPr>
        <w:fldChar w:fldCharType="separate"/>
      </w:r>
      <w:r>
        <w:rPr>
          <w:noProof/>
        </w:rPr>
        <w:t>115</w:t>
      </w:r>
      <w:r>
        <w:rPr>
          <w:noProof/>
        </w:rPr>
        <w:fldChar w:fldCharType="end"/>
      </w:r>
    </w:p>
    <w:p w14:paraId="42311880" w14:textId="7C5D5E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5.3B.54  Notice of appointment of restructuring practitioner for restructuring plan</w:t>
      </w:r>
      <w:r>
        <w:rPr>
          <w:noProof/>
        </w:rPr>
        <w:tab/>
      </w:r>
      <w:r>
        <w:rPr>
          <w:noProof/>
        </w:rPr>
        <w:fldChar w:fldCharType="begin"/>
      </w:r>
      <w:r>
        <w:rPr>
          <w:noProof/>
        </w:rPr>
        <w:instrText xml:space="preserve"> PAGEREF _Toc158711805 \h </w:instrText>
      </w:r>
      <w:r>
        <w:rPr>
          <w:noProof/>
        </w:rPr>
      </w:r>
      <w:r>
        <w:rPr>
          <w:noProof/>
        </w:rPr>
        <w:fldChar w:fldCharType="separate"/>
      </w:r>
      <w:r>
        <w:rPr>
          <w:noProof/>
        </w:rPr>
        <w:t>115</w:t>
      </w:r>
      <w:r>
        <w:rPr>
          <w:noProof/>
        </w:rPr>
        <w:fldChar w:fldCharType="end"/>
      </w:r>
    </w:p>
    <w:p w14:paraId="7085C0A3" w14:textId="37DFBD7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5.3B.55  Notice of making of restructuring plan</w:t>
      </w:r>
      <w:r>
        <w:rPr>
          <w:noProof/>
        </w:rPr>
        <w:tab/>
      </w:r>
      <w:r>
        <w:rPr>
          <w:noProof/>
        </w:rPr>
        <w:fldChar w:fldCharType="begin"/>
      </w:r>
      <w:r>
        <w:rPr>
          <w:noProof/>
        </w:rPr>
        <w:instrText xml:space="preserve"> PAGEREF _Toc158711806 \h </w:instrText>
      </w:r>
      <w:r>
        <w:rPr>
          <w:noProof/>
        </w:rPr>
      </w:r>
      <w:r>
        <w:rPr>
          <w:noProof/>
        </w:rPr>
        <w:fldChar w:fldCharType="separate"/>
      </w:r>
      <w:r>
        <w:rPr>
          <w:noProof/>
        </w:rPr>
        <w:t>115</w:t>
      </w:r>
      <w:r>
        <w:rPr>
          <w:noProof/>
        </w:rPr>
        <w:fldChar w:fldCharType="end"/>
      </w:r>
    </w:p>
    <w:p w14:paraId="563C1AC2" w14:textId="38B15E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5.3B.56  Notice of contravention of restructuring plan</w:t>
      </w:r>
      <w:r>
        <w:rPr>
          <w:noProof/>
        </w:rPr>
        <w:tab/>
      </w:r>
      <w:r>
        <w:rPr>
          <w:noProof/>
        </w:rPr>
        <w:fldChar w:fldCharType="begin"/>
      </w:r>
      <w:r>
        <w:rPr>
          <w:noProof/>
        </w:rPr>
        <w:instrText xml:space="preserve"> PAGEREF _Toc158711807 \h </w:instrText>
      </w:r>
      <w:r>
        <w:rPr>
          <w:noProof/>
        </w:rPr>
      </w:r>
      <w:r>
        <w:rPr>
          <w:noProof/>
        </w:rPr>
        <w:fldChar w:fldCharType="separate"/>
      </w:r>
      <w:r>
        <w:rPr>
          <w:noProof/>
        </w:rPr>
        <w:t>116</w:t>
      </w:r>
      <w:r>
        <w:rPr>
          <w:noProof/>
        </w:rPr>
        <w:fldChar w:fldCharType="end"/>
      </w:r>
    </w:p>
    <w:p w14:paraId="5ADB73E5" w14:textId="52F208E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5.3B.57  Notice of termination of restructuring plan</w:t>
      </w:r>
      <w:r>
        <w:rPr>
          <w:noProof/>
        </w:rPr>
        <w:tab/>
      </w:r>
      <w:r>
        <w:rPr>
          <w:noProof/>
        </w:rPr>
        <w:fldChar w:fldCharType="begin"/>
      </w:r>
      <w:r>
        <w:rPr>
          <w:noProof/>
        </w:rPr>
        <w:instrText xml:space="preserve"> PAGEREF _Toc158711808 \h </w:instrText>
      </w:r>
      <w:r>
        <w:rPr>
          <w:noProof/>
        </w:rPr>
      </w:r>
      <w:r>
        <w:rPr>
          <w:noProof/>
        </w:rPr>
        <w:fldChar w:fldCharType="separate"/>
      </w:r>
      <w:r>
        <w:rPr>
          <w:noProof/>
        </w:rPr>
        <w:t>116</w:t>
      </w:r>
      <w:r>
        <w:rPr>
          <w:noProof/>
        </w:rPr>
        <w:fldChar w:fldCharType="end"/>
      </w:r>
    </w:p>
    <w:p w14:paraId="2FF9F5DA" w14:textId="157888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5.3B.58  Notice of termination of appointment of restructuring practitioner for restructuring plan</w:t>
      </w:r>
      <w:r>
        <w:rPr>
          <w:noProof/>
        </w:rPr>
        <w:tab/>
      </w:r>
      <w:r>
        <w:rPr>
          <w:noProof/>
        </w:rPr>
        <w:fldChar w:fldCharType="begin"/>
      </w:r>
      <w:r>
        <w:rPr>
          <w:noProof/>
        </w:rPr>
        <w:instrText xml:space="preserve"> PAGEREF _Toc158711809 \h </w:instrText>
      </w:r>
      <w:r>
        <w:rPr>
          <w:noProof/>
        </w:rPr>
      </w:r>
      <w:r>
        <w:rPr>
          <w:noProof/>
        </w:rPr>
        <w:fldChar w:fldCharType="separate"/>
      </w:r>
      <w:r>
        <w:rPr>
          <w:noProof/>
        </w:rPr>
        <w:t>117</w:t>
      </w:r>
      <w:r>
        <w:rPr>
          <w:noProof/>
        </w:rPr>
        <w:fldChar w:fldCharType="end"/>
      </w:r>
    </w:p>
    <w:p w14:paraId="235987FC" w14:textId="4DC4097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6—Powers of Court</w:t>
      </w:r>
      <w:r>
        <w:rPr>
          <w:noProof/>
        </w:rPr>
        <w:tab/>
      </w:r>
      <w:r>
        <w:rPr>
          <w:noProof/>
        </w:rPr>
        <w:fldChar w:fldCharType="begin"/>
      </w:r>
      <w:r>
        <w:rPr>
          <w:noProof/>
        </w:rPr>
        <w:instrText xml:space="preserve"> PAGEREF _Toc158711810 \h </w:instrText>
      </w:r>
      <w:r>
        <w:rPr>
          <w:noProof/>
        </w:rPr>
      </w:r>
      <w:r>
        <w:rPr>
          <w:noProof/>
        </w:rPr>
        <w:fldChar w:fldCharType="separate"/>
      </w:r>
      <w:r>
        <w:rPr>
          <w:noProof/>
        </w:rPr>
        <w:t>118</w:t>
      </w:r>
      <w:r>
        <w:rPr>
          <w:noProof/>
        </w:rPr>
        <w:fldChar w:fldCharType="end"/>
      </w:r>
    </w:p>
    <w:p w14:paraId="3CC29594" w14:textId="7F5C40D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5.3B.59  Authority</w:t>
      </w:r>
      <w:r>
        <w:rPr>
          <w:noProof/>
        </w:rPr>
        <w:tab/>
      </w:r>
      <w:r>
        <w:rPr>
          <w:noProof/>
        </w:rPr>
        <w:fldChar w:fldCharType="begin"/>
      </w:r>
      <w:r>
        <w:rPr>
          <w:noProof/>
        </w:rPr>
        <w:instrText xml:space="preserve"> PAGEREF _Toc158711811 \h </w:instrText>
      </w:r>
      <w:r>
        <w:rPr>
          <w:noProof/>
        </w:rPr>
      </w:r>
      <w:r>
        <w:rPr>
          <w:noProof/>
        </w:rPr>
        <w:fldChar w:fldCharType="separate"/>
      </w:r>
      <w:r>
        <w:rPr>
          <w:noProof/>
        </w:rPr>
        <w:t>118</w:t>
      </w:r>
      <w:r>
        <w:rPr>
          <w:noProof/>
        </w:rPr>
        <w:fldChar w:fldCharType="end"/>
      </w:r>
    </w:p>
    <w:p w14:paraId="0FF1301A" w14:textId="40734E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5.3B.60  Court may make orders in relation to creditor disputes before restructuring plan is made</w:t>
      </w:r>
      <w:r>
        <w:rPr>
          <w:noProof/>
        </w:rPr>
        <w:tab/>
      </w:r>
      <w:r>
        <w:rPr>
          <w:noProof/>
        </w:rPr>
        <w:fldChar w:fldCharType="begin"/>
      </w:r>
      <w:r>
        <w:rPr>
          <w:noProof/>
        </w:rPr>
        <w:instrText xml:space="preserve"> PAGEREF _Toc158711812 \h </w:instrText>
      </w:r>
      <w:r>
        <w:rPr>
          <w:noProof/>
        </w:rPr>
      </w:r>
      <w:r>
        <w:rPr>
          <w:noProof/>
        </w:rPr>
        <w:fldChar w:fldCharType="separate"/>
      </w:r>
      <w:r>
        <w:rPr>
          <w:noProof/>
        </w:rPr>
        <w:t>118</w:t>
      </w:r>
      <w:r>
        <w:rPr>
          <w:noProof/>
        </w:rPr>
        <w:fldChar w:fldCharType="end"/>
      </w:r>
    </w:p>
    <w:p w14:paraId="32CF070D" w14:textId="489820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5.3B.61  When Court may vary restructuring plan</w:t>
      </w:r>
      <w:r>
        <w:rPr>
          <w:noProof/>
        </w:rPr>
        <w:tab/>
      </w:r>
      <w:r>
        <w:rPr>
          <w:noProof/>
        </w:rPr>
        <w:fldChar w:fldCharType="begin"/>
      </w:r>
      <w:r>
        <w:rPr>
          <w:noProof/>
        </w:rPr>
        <w:instrText xml:space="preserve"> PAGEREF _Toc158711813 \h </w:instrText>
      </w:r>
      <w:r>
        <w:rPr>
          <w:noProof/>
        </w:rPr>
      </w:r>
      <w:r>
        <w:rPr>
          <w:noProof/>
        </w:rPr>
        <w:fldChar w:fldCharType="separate"/>
      </w:r>
      <w:r>
        <w:rPr>
          <w:noProof/>
        </w:rPr>
        <w:t>118</w:t>
      </w:r>
      <w:r>
        <w:rPr>
          <w:noProof/>
        </w:rPr>
        <w:fldChar w:fldCharType="end"/>
      </w:r>
    </w:p>
    <w:p w14:paraId="4B4E3AA4" w14:textId="30242F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5.3B.62  When Court may void or validate restructuring plan</w:t>
      </w:r>
      <w:r>
        <w:rPr>
          <w:noProof/>
        </w:rPr>
        <w:tab/>
      </w:r>
      <w:r>
        <w:rPr>
          <w:noProof/>
        </w:rPr>
        <w:fldChar w:fldCharType="begin"/>
      </w:r>
      <w:r>
        <w:rPr>
          <w:noProof/>
        </w:rPr>
        <w:instrText xml:space="preserve"> PAGEREF _Toc158711814 \h </w:instrText>
      </w:r>
      <w:r>
        <w:rPr>
          <w:noProof/>
        </w:rPr>
      </w:r>
      <w:r>
        <w:rPr>
          <w:noProof/>
        </w:rPr>
        <w:fldChar w:fldCharType="separate"/>
      </w:r>
      <w:r>
        <w:rPr>
          <w:noProof/>
        </w:rPr>
        <w:t>118</w:t>
      </w:r>
      <w:r>
        <w:rPr>
          <w:noProof/>
        </w:rPr>
        <w:fldChar w:fldCharType="end"/>
      </w:r>
    </w:p>
    <w:p w14:paraId="132C72E8" w14:textId="60DBE9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5.3B.63  When Court may terminate restructuring plan</w:t>
      </w:r>
      <w:r>
        <w:rPr>
          <w:noProof/>
        </w:rPr>
        <w:tab/>
      </w:r>
      <w:r>
        <w:rPr>
          <w:noProof/>
        </w:rPr>
        <w:fldChar w:fldCharType="begin"/>
      </w:r>
      <w:r>
        <w:rPr>
          <w:noProof/>
        </w:rPr>
        <w:instrText xml:space="preserve"> PAGEREF _Toc158711815 \h </w:instrText>
      </w:r>
      <w:r>
        <w:rPr>
          <w:noProof/>
        </w:rPr>
      </w:r>
      <w:r>
        <w:rPr>
          <w:noProof/>
        </w:rPr>
        <w:fldChar w:fldCharType="separate"/>
      </w:r>
      <w:r>
        <w:rPr>
          <w:noProof/>
        </w:rPr>
        <w:t>119</w:t>
      </w:r>
      <w:r>
        <w:rPr>
          <w:noProof/>
        </w:rPr>
        <w:fldChar w:fldCharType="end"/>
      </w:r>
    </w:p>
    <w:p w14:paraId="2B40F324" w14:textId="3B2A66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5.3B.64  Court may limit rights of secured creditor or owner or lessor</w:t>
      </w:r>
      <w:r>
        <w:rPr>
          <w:noProof/>
        </w:rPr>
        <w:tab/>
      </w:r>
      <w:r>
        <w:rPr>
          <w:noProof/>
        </w:rPr>
        <w:fldChar w:fldCharType="begin"/>
      </w:r>
      <w:r>
        <w:rPr>
          <w:noProof/>
        </w:rPr>
        <w:instrText xml:space="preserve"> PAGEREF _Toc158711816 \h </w:instrText>
      </w:r>
      <w:r>
        <w:rPr>
          <w:noProof/>
        </w:rPr>
      </w:r>
      <w:r>
        <w:rPr>
          <w:noProof/>
        </w:rPr>
        <w:fldChar w:fldCharType="separate"/>
      </w:r>
      <w:r>
        <w:rPr>
          <w:noProof/>
        </w:rPr>
        <w:t>119</w:t>
      </w:r>
      <w:r>
        <w:rPr>
          <w:noProof/>
        </w:rPr>
        <w:fldChar w:fldCharType="end"/>
      </w:r>
    </w:p>
    <w:p w14:paraId="75BC8324" w14:textId="083FACA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7—Other matters</w:t>
      </w:r>
      <w:r>
        <w:rPr>
          <w:noProof/>
        </w:rPr>
        <w:tab/>
      </w:r>
      <w:r>
        <w:rPr>
          <w:noProof/>
        </w:rPr>
        <w:fldChar w:fldCharType="begin"/>
      </w:r>
      <w:r>
        <w:rPr>
          <w:noProof/>
        </w:rPr>
        <w:instrText xml:space="preserve"> PAGEREF _Toc158711817 \h </w:instrText>
      </w:r>
      <w:r>
        <w:rPr>
          <w:noProof/>
        </w:rPr>
      </w:r>
      <w:r>
        <w:rPr>
          <w:noProof/>
        </w:rPr>
        <w:fldChar w:fldCharType="separate"/>
      </w:r>
      <w:r>
        <w:rPr>
          <w:noProof/>
        </w:rPr>
        <w:t>121</w:t>
      </w:r>
      <w:r>
        <w:rPr>
          <w:noProof/>
        </w:rPr>
        <w:fldChar w:fldCharType="end"/>
      </w:r>
    </w:p>
    <w:p w14:paraId="5BFFFED4" w14:textId="2D06EE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5.3B.65  Approved forms</w:t>
      </w:r>
      <w:r>
        <w:rPr>
          <w:noProof/>
        </w:rPr>
        <w:tab/>
      </w:r>
      <w:r>
        <w:rPr>
          <w:noProof/>
        </w:rPr>
        <w:fldChar w:fldCharType="begin"/>
      </w:r>
      <w:r>
        <w:rPr>
          <w:noProof/>
        </w:rPr>
        <w:instrText xml:space="preserve"> PAGEREF _Toc158711818 \h </w:instrText>
      </w:r>
      <w:r>
        <w:rPr>
          <w:noProof/>
        </w:rPr>
      </w:r>
      <w:r>
        <w:rPr>
          <w:noProof/>
        </w:rPr>
        <w:fldChar w:fldCharType="separate"/>
      </w:r>
      <w:r>
        <w:rPr>
          <w:noProof/>
        </w:rPr>
        <w:t>121</w:t>
      </w:r>
      <w:r>
        <w:rPr>
          <w:noProof/>
        </w:rPr>
        <w:fldChar w:fldCharType="end"/>
      </w:r>
    </w:p>
    <w:p w14:paraId="06DFE382" w14:textId="312F8A6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5.4—Winding up in insolvency</w:t>
      </w:r>
      <w:r>
        <w:rPr>
          <w:noProof/>
        </w:rPr>
        <w:tab/>
      </w:r>
      <w:r>
        <w:rPr>
          <w:noProof/>
        </w:rPr>
        <w:fldChar w:fldCharType="begin"/>
      </w:r>
      <w:r>
        <w:rPr>
          <w:noProof/>
        </w:rPr>
        <w:instrText xml:space="preserve"> PAGEREF _Toc158711819 \h </w:instrText>
      </w:r>
      <w:r>
        <w:rPr>
          <w:noProof/>
        </w:rPr>
      </w:r>
      <w:r>
        <w:rPr>
          <w:noProof/>
        </w:rPr>
        <w:fldChar w:fldCharType="separate"/>
      </w:r>
      <w:r>
        <w:rPr>
          <w:noProof/>
        </w:rPr>
        <w:t>122</w:t>
      </w:r>
      <w:r>
        <w:rPr>
          <w:noProof/>
        </w:rPr>
        <w:fldChar w:fldCharType="end"/>
      </w:r>
    </w:p>
    <w:p w14:paraId="5627B98F" w14:textId="28D2DB11" w:rsidR="00D779FE" w:rsidRDefault="00D779FE">
      <w:pPr>
        <w:pStyle w:val="TOC5"/>
        <w:rPr>
          <w:rFonts w:asciiTheme="minorHAnsi" w:eastAsiaTheme="minorEastAsia" w:hAnsiTheme="minorHAnsi" w:cstheme="minorBidi"/>
          <w:noProof/>
          <w:kern w:val="2"/>
          <w:sz w:val="22"/>
          <w:szCs w:val="22"/>
          <w14:ligatures w14:val="standardContextual"/>
        </w:rPr>
      </w:pPr>
      <w:r w:rsidRPr="00FC743A">
        <w:rPr>
          <w:rFonts w:eastAsia="Calibri"/>
          <w:noProof/>
        </w:rPr>
        <w:t xml:space="preserve">5.4.01AAA  </w:t>
      </w:r>
      <w:r>
        <w:rPr>
          <w:noProof/>
        </w:rPr>
        <w:t xml:space="preserve">Meaning of </w:t>
      </w:r>
      <w:r w:rsidRPr="00FC743A">
        <w:rPr>
          <w:i/>
          <w:noProof/>
        </w:rPr>
        <w:t>statutory minimum</w:t>
      </w:r>
      <w:r>
        <w:rPr>
          <w:noProof/>
        </w:rPr>
        <w:t xml:space="preserve"> and </w:t>
      </w:r>
      <w:r w:rsidRPr="00FC743A">
        <w:rPr>
          <w:i/>
          <w:noProof/>
        </w:rPr>
        <w:t>statutory period—</w:t>
      </w:r>
      <w:r>
        <w:rPr>
          <w:noProof/>
        </w:rPr>
        <w:t>prescribed amounts</w:t>
      </w:r>
      <w:r>
        <w:rPr>
          <w:noProof/>
        </w:rPr>
        <w:tab/>
      </w:r>
      <w:r>
        <w:rPr>
          <w:noProof/>
        </w:rPr>
        <w:fldChar w:fldCharType="begin"/>
      </w:r>
      <w:r>
        <w:rPr>
          <w:noProof/>
        </w:rPr>
        <w:instrText xml:space="preserve"> PAGEREF _Toc158711820 \h </w:instrText>
      </w:r>
      <w:r>
        <w:rPr>
          <w:noProof/>
        </w:rPr>
      </w:r>
      <w:r>
        <w:rPr>
          <w:noProof/>
        </w:rPr>
        <w:fldChar w:fldCharType="separate"/>
      </w:r>
      <w:r>
        <w:rPr>
          <w:noProof/>
        </w:rPr>
        <w:t>122</w:t>
      </w:r>
      <w:r>
        <w:rPr>
          <w:noProof/>
        </w:rPr>
        <w:fldChar w:fldCharType="end"/>
      </w:r>
    </w:p>
    <w:p w14:paraId="4D0679CA" w14:textId="7B6D3E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5.4.01  Application to Court for winding up—prescribed agency</w:t>
      </w:r>
      <w:r>
        <w:rPr>
          <w:noProof/>
        </w:rPr>
        <w:tab/>
      </w:r>
      <w:r>
        <w:rPr>
          <w:noProof/>
        </w:rPr>
        <w:fldChar w:fldCharType="begin"/>
      </w:r>
      <w:r>
        <w:rPr>
          <w:noProof/>
        </w:rPr>
        <w:instrText xml:space="preserve"> PAGEREF _Toc158711821 \h </w:instrText>
      </w:r>
      <w:r>
        <w:rPr>
          <w:noProof/>
        </w:rPr>
      </w:r>
      <w:r>
        <w:rPr>
          <w:noProof/>
        </w:rPr>
        <w:fldChar w:fldCharType="separate"/>
      </w:r>
      <w:r>
        <w:rPr>
          <w:noProof/>
        </w:rPr>
        <w:t>122</w:t>
      </w:r>
      <w:r>
        <w:rPr>
          <w:noProof/>
        </w:rPr>
        <w:fldChar w:fldCharType="end"/>
      </w:r>
    </w:p>
    <w:p w14:paraId="0C7B283B" w14:textId="39D85C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5.4.01A  Notice of application to wind up a company</w:t>
      </w:r>
      <w:r>
        <w:rPr>
          <w:noProof/>
        </w:rPr>
        <w:tab/>
      </w:r>
      <w:r>
        <w:rPr>
          <w:noProof/>
        </w:rPr>
        <w:fldChar w:fldCharType="begin"/>
      </w:r>
      <w:r>
        <w:rPr>
          <w:noProof/>
        </w:rPr>
        <w:instrText xml:space="preserve"> PAGEREF _Toc158711822 \h </w:instrText>
      </w:r>
      <w:r>
        <w:rPr>
          <w:noProof/>
        </w:rPr>
      </w:r>
      <w:r>
        <w:rPr>
          <w:noProof/>
        </w:rPr>
        <w:fldChar w:fldCharType="separate"/>
      </w:r>
      <w:r>
        <w:rPr>
          <w:noProof/>
        </w:rPr>
        <w:t>122</w:t>
      </w:r>
      <w:r>
        <w:rPr>
          <w:noProof/>
        </w:rPr>
        <w:fldChar w:fldCharType="end"/>
      </w:r>
    </w:p>
    <w:p w14:paraId="6BC31DD9" w14:textId="1F2F57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5.4.01B  Notice of Court</w:t>
      </w:r>
      <w:r>
        <w:rPr>
          <w:noProof/>
        </w:rPr>
        <w:noBreakHyphen/>
        <w:t>ordered winding up</w:t>
      </w:r>
      <w:r>
        <w:rPr>
          <w:noProof/>
        </w:rPr>
        <w:tab/>
      </w:r>
      <w:r>
        <w:rPr>
          <w:noProof/>
        </w:rPr>
        <w:fldChar w:fldCharType="begin"/>
      </w:r>
      <w:r>
        <w:rPr>
          <w:noProof/>
        </w:rPr>
        <w:instrText xml:space="preserve"> PAGEREF _Toc158711823 \h </w:instrText>
      </w:r>
      <w:r>
        <w:rPr>
          <w:noProof/>
        </w:rPr>
      </w:r>
      <w:r>
        <w:rPr>
          <w:noProof/>
        </w:rPr>
        <w:fldChar w:fldCharType="separate"/>
      </w:r>
      <w:r>
        <w:rPr>
          <w:noProof/>
        </w:rPr>
        <w:t>122</w:t>
      </w:r>
      <w:r>
        <w:rPr>
          <w:noProof/>
        </w:rPr>
        <w:fldChar w:fldCharType="end"/>
      </w:r>
    </w:p>
    <w:p w14:paraId="375CF370" w14:textId="33BA291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5.4.02  Compromise of debt by liquidator—prescribed amount</w:t>
      </w:r>
      <w:r>
        <w:rPr>
          <w:noProof/>
        </w:rPr>
        <w:tab/>
      </w:r>
      <w:r>
        <w:rPr>
          <w:noProof/>
        </w:rPr>
        <w:fldChar w:fldCharType="begin"/>
      </w:r>
      <w:r>
        <w:rPr>
          <w:noProof/>
        </w:rPr>
        <w:instrText xml:space="preserve"> PAGEREF _Toc158711824 \h </w:instrText>
      </w:r>
      <w:r>
        <w:rPr>
          <w:noProof/>
        </w:rPr>
      </w:r>
      <w:r>
        <w:rPr>
          <w:noProof/>
        </w:rPr>
        <w:fldChar w:fldCharType="separate"/>
      </w:r>
      <w:r>
        <w:rPr>
          <w:noProof/>
        </w:rPr>
        <w:t>123</w:t>
      </w:r>
      <w:r>
        <w:rPr>
          <w:noProof/>
        </w:rPr>
        <w:fldChar w:fldCharType="end"/>
      </w:r>
    </w:p>
    <w:p w14:paraId="03F3CEDB" w14:textId="22762A1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5.4C—Winding up by ASIC</w:t>
      </w:r>
      <w:r>
        <w:rPr>
          <w:noProof/>
        </w:rPr>
        <w:tab/>
      </w:r>
      <w:r>
        <w:rPr>
          <w:noProof/>
        </w:rPr>
        <w:fldChar w:fldCharType="begin"/>
      </w:r>
      <w:r>
        <w:rPr>
          <w:noProof/>
        </w:rPr>
        <w:instrText xml:space="preserve"> PAGEREF _Toc158711825 \h </w:instrText>
      </w:r>
      <w:r>
        <w:rPr>
          <w:noProof/>
        </w:rPr>
      </w:r>
      <w:r>
        <w:rPr>
          <w:noProof/>
        </w:rPr>
        <w:fldChar w:fldCharType="separate"/>
      </w:r>
      <w:r>
        <w:rPr>
          <w:noProof/>
        </w:rPr>
        <w:t>124</w:t>
      </w:r>
      <w:r>
        <w:rPr>
          <w:noProof/>
        </w:rPr>
        <w:fldChar w:fldCharType="end"/>
      </w:r>
    </w:p>
    <w:p w14:paraId="3B535FC1" w14:textId="7BCD54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5.4C.01  Notice of intention to order winding up of a company</w:t>
      </w:r>
      <w:r>
        <w:rPr>
          <w:noProof/>
        </w:rPr>
        <w:tab/>
      </w:r>
      <w:r>
        <w:rPr>
          <w:noProof/>
        </w:rPr>
        <w:fldChar w:fldCharType="begin"/>
      </w:r>
      <w:r>
        <w:rPr>
          <w:noProof/>
        </w:rPr>
        <w:instrText xml:space="preserve"> PAGEREF _Toc158711826 \h </w:instrText>
      </w:r>
      <w:r>
        <w:rPr>
          <w:noProof/>
        </w:rPr>
      </w:r>
      <w:r>
        <w:rPr>
          <w:noProof/>
        </w:rPr>
        <w:fldChar w:fldCharType="separate"/>
      </w:r>
      <w:r>
        <w:rPr>
          <w:noProof/>
        </w:rPr>
        <w:t>124</w:t>
      </w:r>
      <w:r>
        <w:rPr>
          <w:noProof/>
        </w:rPr>
        <w:fldChar w:fldCharType="end"/>
      </w:r>
    </w:p>
    <w:p w14:paraId="088D51CC" w14:textId="7E5109F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5.5—Voluntary winding up</w:t>
      </w:r>
      <w:r>
        <w:rPr>
          <w:noProof/>
        </w:rPr>
        <w:tab/>
      </w:r>
      <w:r>
        <w:rPr>
          <w:noProof/>
        </w:rPr>
        <w:fldChar w:fldCharType="begin"/>
      </w:r>
      <w:r>
        <w:rPr>
          <w:noProof/>
        </w:rPr>
        <w:instrText xml:space="preserve"> PAGEREF _Toc158711827 \h </w:instrText>
      </w:r>
      <w:r>
        <w:rPr>
          <w:noProof/>
        </w:rPr>
      </w:r>
      <w:r>
        <w:rPr>
          <w:noProof/>
        </w:rPr>
        <w:fldChar w:fldCharType="separate"/>
      </w:r>
      <w:r>
        <w:rPr>
          <w:noProof/>
        </w:rPr>
        <w:t>125</w:t>
      </w:r>
      <w:r>
        <w:rPr>
          <w:noProof/>
        </w:rPr>
        <w:fldChar w:fldCharType="end"/>
      </w:r>
    </w:p>
    <w:p w14:paraId="3087BB0E" w14:textId="424E6C6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1—Resolution for winding up</w:t>
      </w:r>
      <w:r>
        <w:rPr>
          <w:noProof/>
        </w:rPr>
        <w:tab/>
      </w:r>
      <w:r>
        <w:rPr>
          <w:noProof/>
        </w:rPr>
        <w:fldChar w:fldCharType="begin"/>
      </w:r>
      <w:r>
        <w:rPr>
          <w:noProof/>
        </w:rPr>
        <w:instrText xml:space="preserve"> PAGEREF _Toc158711828 \h </w:instrText>
      </w:r>
      <w:r>
        <w:rPr>
          <w:noProof/>
        </w:rPr>
      </w:r>
      <w:r>
        <w:rPr>
          <w:noProof/>
        </w:rPr>
        <w:fldChar w:fldCharType="separate"/>
      </w:r>
      <w:r>
        <w:rPr>
          <w:noProof/>
        </w:rPr>
        <w:t>125</w:t>
      </w:r>
      <w:r>
        <w:rPr>
          <w:noProof/>
        </w:rPr>
        <w:fldChar w:fldCharType="end"/>
      </w:r>
    </w:p>
    <w:p w14:paraId="621FC78C" w14:textId="4493F08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5.5.01  Notice of resolution to wind up voluntarily</w:t>
      </w:r>
      <w:r>
        <w:rPr>
          <w:noProof/>
        </w:rPr>
        <w:tab/>
      </w:r>
      <w:r>
        <w:rPr>
          <w:noProof/>
        </w:rPr>
        <w:fldChar w:fldCharType="begin"/>
      </w:r>
      <w:r>
        <w:rPr>
          <w:noProof/>
        </w:rPr>
        <w:instrText xml:space="preserve"> PAGEREF _Toc158711829 \h </w:instrText>
      </w:r>
      <w:r>
        <w:rPr>
          <w:noProof/>
        </w:rPr>
      </w:r>
      <w:r>
        <w:rPr>
          <w:noProof/>
        </w:rPr>
        <w:fldChar w:fldCharType="separate"/>
      </w:r>
      <w:r>
        <w:rPr>
          <w:noProof/>
        </w:rPr>
        <w:t>125</w:t>
      </w:r>
      <w:r>
        <w:rPr>
          <w:noProof/>
        </w:rPr>
        <w:fldChar w:fldCharType="end"/>
      </w:r>
    </w:p>
    <w:p w14:paraId="7837404A" w14:textId="28BF230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2—Simplified liquidation process</w:t>
      </w:r>
      <w:r>
        <w:rPr>
          <w:noProof/>
        </w:rPr>
        <w:tab/>
      </w:r>
      <w:r>
        <w:rPr>
          <w:noProof/>
        </w:rPr>
        <w:fldChar w:fldCharType="begin"/>
      </w:r>
      <w:r>
        <w:rPr>
          <w:noProof/>
        </w:rPr>
        <w:instrText xml:space="preserve"> PAGEREF _Toc158711830 \h </w:instrText>
      </w:r>
      <w:r>
        <w:rPr>
          <w:noProof/>
        </w:rPr>
      </w:r>
      <w:r>
        <w:rPr>
          <w:noProof/>
        </w:rPr>
        <w:fldChar w:fldCharType="separate"/>
      </w:r>
      <w:r>
        <w:rPr>
          <w:noProof/>
        </w:rPr>
        <w:t>126</w:t>
      </w:r>
      <w:r>
        <w:rPr>
          <w:noProof/>
        </w:rPr>
        <w:fldChar w:fldCharType="end"/>
      </w:r>
    </w:p>
    <w:p w14:paraId="7AAA4F70" w14:textId="1EBA8F2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A—Preliminary</w:t>
      </w:r>
      <w:r>
        <w:rPr>
          <w:noProof/>
        </w:rPr>
        <w:tab/>
      </w:r>
      <w:r>
        <w:rPr>
          <w:noProof/>
        </w:rPr>
        <w:fldChar w:fldCharType="begin"/>
      </w:r>
      <w:r>
        <w:rPr>
          <w:noProof/>
        </w:rPr>
        <w:instrText xml:space="preserve"> PAGEREF _Toc158711831 \h </w:instrText>
      </w:r>
      <w:r>
        <w:rPr>
          <w:noProof/>
        </w:rPr>
      </w:r>
      <w:r>
        <w:rPr>
          <w:noProof/>
        </w:rPr>
        <w:fldChar w:fldCharType="separate"/>
      </w:r>
      <w:r>
        <w:rPr>
          <w:noProof/>
        </w:rPr>
        <w:t>126</w:t>
      </w:r>
      <w:r>
        <w:rPr>
          <w:noProof/>
        </w:rPr>
        <w:fldChar w:fldCharType="end"/>
      </w:r>
    </w:p>
    <w:p w14:paraId="72B685ED" w14:textId="630EFF6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5.5.02  Declaration about eligibility for simplified liquidation process and other matters</w:t>
      </w:r>
      <w:r>
        <w:rPr>
          <w:noProof/>
        </w:rPr>
        <w:tab/>
      </w:r>
      <w:r>
        <w:rPr>
          <w:noProof/>
        </w:rPr>
        <w:fldChar w:fldCharType="begin"/>
      </w:r>
      <w:r>
        <w:rPr>
          <w:noProof/>
        </w:rPr>
        <w:instrText xml:space="preserve"> PAGEREF _Toc158711832 \h </w:instrText>
      </w:r>
      <w:r>
        <w:rPr>
          <w:noProof/>
        </w:rPr>
      </w:r>
      <w:r>
        <w:rPr>
          <w:noProof/>
        </w:rPr>
        <w:fldChar w:fldCharType="separate"/>
      </w:r>
      <w:r>
        <w:rPr>
          <w:noProof/>
        </w:rPr>
        <w:t>126</w:t>
      </w:r>
      <w:r>
        <w:rPr>
          <w:noProof/>
        </w:rPr>
        <w:fldChar w:fldCharType="end"/>
      </w:r>
    </w:p>
    <w:p w14:paraId="5F3CDA3E" w14:textId="52DAC2F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5.5.03  Eligibility criteria for simplified liquidation process</w:t>
      </w:r>
      <w:r>
        <w:rPr>
          <w:noProof/>
        </w:rPr>
        <w:tab/>
      </w:r>
      <w:r>
        <w:rPr>
          <w:noProof/>
        </w:rPr>
        <w:fldChar w:fldCharType="begin"/>
      </w:r>
      <w:r>
        <w:rPr>
          <w:noProof/>
        </w:rPr>
        <w:instrText xml:space="preserve"> PAGEREF _Toc158711833 \h </w:instrText>
      </w:r>
      <w:r>
        <w:rPr>
          <w:noProof/>
        </w:rPr>
      </w:r>
      <w:r>
        <w:rPr>
          <w:noProof/>
        </w:rPr>
        <w:fldChar w:fldCharType="separate"/>
      </w:r>
      <w:r>
        <w:rPr>
          <w:noProof/>
        </w:rPr>
        <w:t>126</w:t>
      </w:r>
      <w:r>
        <w:rPr>
          <w:noProof/>
        </w:rPr>
        <w:fldChar w:fldCharType="end"/>
      </w:r>
    </w:p>
    <w:p w14:paraId="3C8D742F" w14:textId="1A21E0A3"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B—Simplified liquidation process</w:t>
      </w:r>
      <w:r>
        <w:rPr>
          <w:noProof/>
        </w:rPr>
        <w:tab/>
      </w:r>
      <w:r>
        <w:rPr>
          <w:noProof/>
        </w:rPr>
        <w:fldChar w:fldCharType="begin"/>
      </w:r>
      <w:r>
        <w:rPr>
          <w:noProof/>
        </w:rPr>
        <w:instrText xml:space="preserve"> PAGEREF _Toc158711834 \h </w:instrText>
      </w:r>
      <w:r>
        <w:rPr>
          <w:noProof/>
        </w:rPr>
      </w:r>
      <w:r>
        <w:rPr>
          <w:noProof/>
        </w:rPr>
        <w:fldChar w:fldCharType="separate"/>
      </w:r>
      <w:r>
        <w:rPr>
          <w:noProof/>
        </w:rPr>
        <w:t>126</w:t>
      </w:r>
      <w:r>
        <w:rPr>
          <w:noProof/>
        </w:rPr>
        <w:fldChar w:fldCharType="end"/>
      </w:r>
    </w:p>
    <w:p w14:paraId="19AF0BFD" w14:textId="503910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5.5.04  Transactions that are not voidable</w:t>
      </w:r>
      <w:r>
        <w:rPr>
          <w:noProof/>
        </w:rPr>
        <w:tab/>
      </w:r>
      <w:r>
        <w:rPr>
          <w:noProof/>
        </w:rPr>
        <w:fldChar w:fldCharType="begin"/>
      </w:r>
      <w:r>
        <w:rPr>
          <w:noProof/>
        </w:rPr>
        <w:instrText xml:space="preserve"> PAGEREF _Toc158711835 \h </w:instrText>
      </w:r>
      <w:r>
        <w:rPr>
          <w:noProof/>
        </w:rPr>
      </w:r>
      <w:r>
        <w:rPr>
          <w:noProof/>
        </w:rPr>
        <w:fldChar w:fldCharType="separate"/>
      </w:r>
      <w:r>
        <w:rPr>
          <w:noProof/>
        </w:rPr>
        <w:t>126</w:t>
      </w:r>
      <w:r>
        <w:rPr>
          <w:noProof/>
        </w:rPr>
        <w:fldChar w:fldCharType="end"/>
      </w:r>
    </w:p>
    <w:p w14:paraId="6B6BA560" w14:textId="593DA8B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5.5.05  Reports by liquidator</w:t>
      </w:r>
      <w:r>
        <w:rPr>
          <w:noProof/>
        </w:rPr>
        <w:tab/>
      </w:r>
      <w:r>
        <w:rPr>
          <w:noProof/>
        </w:rPr>
        <w:fldChar w:fldCharType="begin"/>
      </w:r>
      <w:r>
        <w:rPr>
          <w:noProof/>
        </w:rPr>
        <w:instrText xml:space="preserve"> PAGEREF _Toc158711836 \h </w:instrText>
      </w:r>
      <w:r>
        <w:rPr>
          <w:noProof/>
        </w:rPr>
      </w:r>
      <w:r>
        <w:rPr>
          <w:noProof/>
        </w:rPr>
        <w:fldChar w:fldCharType="separate"/>
      </w:r>
      <w:r>
        <w:rPr>
          <w:noProof/>
        </w:rPr>
        <w:t>127</w:t>
      </w:r>
      <w:r>
        <w:rPr>
          <w:noProof/>
        </w:rPr>
        <w:fldChar w:fldCharType="end"/>
      </w:r>
    </w:p>
    <w:p w14:paraId="1BB4441F" w14:textId="2271104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5.5.06  Notice of adoption of simplified liquidation process</w:t>
      </w:r>
      <w:r>
        <w:rPr>
          <w:noProof/>
        </w:rPr>
        <w:tab/>
      </w:r>
      <w:r>
        <w:rPr>
          <w:noProof/>
        </w:rPr>
        <w:fldChar w:fldCharType="begin"/>
      </w:r>
      <w:r>
        <w:rPr>
          <w:noProof/>
        </w:rPr>
        <w:instrText xml:space="preserve"> PAGEREF _Toc158711837 \h </w:instrText>
      </w:r>
      <w:r>
        <w:rPr>
          <w:noProof/>
        </w:rPr>
      </w:r>
      <w:r>
        <w:rPr>
          <w:noProof/>
        </w:rPr>
        <w:fldChar w:fldCharType="separate"/>
      </w:r>
      <w:r>
        <w:rPr>
          <w:noProof/>
        </w:rPr>
        <w:t>127</w:t>
      </w:r>
      <w:r>
        <w:rPr>
          <w:noProof/>
        </w:rPr>
        <w:fldChar w:fldCharType="end"/>
      </w:r>
    </w:p>
    <w:p w14:paraId="6DA610A2" w14:textId="326DDDF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C—Ceasing of simplified liquidation process</w:t>
      </w:r>
      <w:r>
        <w:rPr>
          <w:noProof/>
        </w:rPr>
        <w:tab/>
      </w:r>
      <w:r>
        <w:rPr>
          <w:noProof/>
        </w:rPr>
        <w:fldChar w:fldCharType="begin"/>
      </w:r>
      <w:r>
        <w:rPr>
          <w:noProof/>
        </w:rPr>
        <w:instrText xml:space="preserve"> PAGEREF _Toc158711838 \h </w:instrText>
      </w:r>
      <w:r>
        <w:rPr>
          <w:noProof/>
        </w:rPr>
      </w:r>
      <w:r>
        <w:rPr>
          <w:noProof/>
        </w:rPr>
        <w:fldChar w:fldCharType="separate"/>
      </w:r>
      <w:r>
        <w:rPr>
          <w:noProof/>
        </w:rPr>
        <w:t>127</w:t>
      </w:r>
      <w:r>
        <w:rPr>
          <w:noProof/>
        </w:rPr>
        <w:fldChar w:fldCharType="end"/>
      </w:r>
    </w:p>
    <w:p w14:paraId="16D8F99C" w14:textId="0AB3527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5.5.07  Liquidator must cease to follow the simplified liquidation process</w:t>
      </w:r>
      <w:r>
        <w:rPr>
          <w:noProof/>
        </w:rPr>
        <w:tab/>
      </w:r>
      <w:r>
        <w:rPr>
          <w:noProof/>
        </w:rPr>
        <w:fldChar w:fldCharType="begin"/>
      </w:r>
      <w:r>
        <w:rPr>
          <w:noProof/>
        </w:rPr>
        <w:instrText xml:space="preserve"> PAGEREF _Toc158711839 \h </w:instrText>
      </w:r>
      <w:r>
        <w:rPr>
          <w:noProof/>
        </w:rPr>
      </w:r>
      <w:r>
        <w:rPr>
          <w:noProof/>
        </w:rPr>
        <w:fldChar w:fldCharType="separate"/>
      </w:r>
      <w:r>
        <w:rPr>
          <w:noProof/>
        </w:rPr>
        <w:t>127</w:t>
      </w:r>
      <w:r>
        <w:rPr>
          <w:noProof/>
        </w:rPr>
        <w:fldChar w:fldCharType="end"/>
      </w:r>
    </w:p>
    <w:p w14:paraId="1CEC98BC" w14:textId="42CE1F6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5.5.08  Transition from simplified liquidation process</w:t>
      </w:r>
      <w:r>
        <w:rPr>
          <w:noProof/>
        </w:rPr>
        <w:tab/>
      </w:r>
      <w:r>
        <w:rPr>
          <w:noProof/>
        </w:rPr>
        <w:fldChar w:fldCharType="begin"/>
      </w:r>
      <w:r>
        <w:rPr>
          <w:noProof/>
        </w:rPr>
        <w:instrText xml:space="preserve"> PAGEREF _Toc158711840 \h </w:instrText>
      </w:r>
      <w:r>
        <w:rPr>
          <w:noProof/>
        </w:rPr>
      </w:r>
      <w:r>
        <w:rPr>
          <w:noProof/>
        </w:rPr>
        <w:fldChar w:fldCharType="separate"/>
      </w:r>
      <w:r>
        <w:rPr>
          <w:noProof/>
        </w:rPr>
        <w:t>128</w:t>
      </w:r>
      <w:r>
        <w:rPr>
          <w:noProof/>
        </w:rPr>
        <w:fldChar w:fldCharType="end"/>
      </w:r>
    </w:p>
    <w:p w14:paraId="3BAC2D94" w14:textId="5231615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5.5.09  Working out whether the 25% in value of creditors test met</w:t>
      </w:r>
      <w:r>
        <w:rPr>
          <w:noProof/>
        </w:rPr>
        <w:tab/>
      </w:r>
      <w:r>
        <w:rPr>
          <w:noProof/>
        </w:rPr>
        <w:fldChar w:fldCharType="begin"/>
      </w:r>
      <w:r>
        <w:rPr>
          <w:noProof/>
        </w:rPr>
        <w:instrText xml:space="preserve"> PAGEREF _Toc158711841 \h </w:instrText>
      </w:r>
      <w:r>
        <w:rPr>
          <w:noProof/>
        </w:rPr>
      </w:r>
      <w:r>
        <w:rPr>
          <w:noProof/>
        </w:rPr>
        <w:fldChar w:fldCharType="separate"/>
      </w:r>
      <w:r>
        <w:rPr>
          <w:noProof/>
        </w:rPr>
        <w:t>128</w:t>
      </w:r>
      <w:r>
        <w:rPr>
          <w:noProof/>
        </w:rPr>
        <w:fldChar w:fldCharType="end"/>
      </w:r>
    </w:p>
    <w:p w14:paraId="575D52F7" w14:textId="7EAAAEE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5.6—Winding up generally</w:t>
      </w:r>
      <w:r>
        <w:rPr>
          <w:noProof/>
        </w:rPr>
        <w:tab/>
      </w:r>
      <w:r>
        <w:rPr>
          <w:noProof/>
        </w:rPr>
        <w:fldChar w:fldCharType="begin"/>
      </w:r>
      <w:r>
        <w:rPr>
          <w:noProof/>
        </w:rPr>
        <w:instrText xml:space="preserve"> PAGEREF _Toc158711842 \h </w:instrText>
      </w:r>
      <w:r>
        <w:rPr>
          <w:noProof/>
        </w:rPr>
      </w:r>
      <w:r>
        <w:rPr>
          <w:noProof/>
        </w:rPr>
        <w:fldChar w:fldCharType="separate"/>
      </w:r>
      <w:r>
        <w:rPr>
          <w:noProof/>
        </w:rPr>
        <w:t>129</w:t>
      </w:r>
      <w:r>
        <w:rPr>
          <w:noProof/>
        </w:rPr>
        <w:fldChar w:fldCharType="end"/>
      </w:r>
    </w:p>
    <w:p w14:paraId="3244C385" w14:textId="726A679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5.6.11  Meaning of </w:t>
      </w:r>
      <w:r w:rsidRPr="00FC743A">
        <w:rPr>
          <w:i/>
          <w:noProof/>
        </w:rPr>
        <w:t>proof of debt or claim</w:t>
      </w:r>
      <w:r>
        <w:rPr>
          <w:noProof/>
        </w:rPr>
        <w:tab/>
      </w:r>
      <w:r>
        <w:rPr>
          <w:noProof/>
        </w:rPr>
        <w:fldChar w:fldCharType="begin"/>
      </w:r>
      <w:r>
        <w:rPr>
          <w:noProof/>
        </w:rPr>
        <w:instrText xml:space="preserve"> PAGEREF _Toc158711843 \h </w:instrText>
      </w:r>
      <w:r>
        <w:rPr>
          <w:noProof/>
        </w:rPr>
      </w:r>
      <w:r>
        <w:rPr>
          <w:noProof/>
        </w:rPr>
        <w:fldChar w:fldCharType="separate"/>
      </w:r>
      <w:r>
        <w:rPr>
          <w:noProof/>
        </w:rPr>
        <w:t>129</w:t>
      </w:r>
      <w:r>
        <w:rPr>
          <w:noProof/>
        </w:rPr>
        <w:fldChar w:fldCharType="end"/>
      </w:r>
    </w:p>
    <w:p w14:paraId="130D8D7A" w14:textId="0420730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5.6.37  Establishing title to priority</w:t>
      </w:r>
      <w:r>
        <w:rPr>
          <w:noProof/>
        </w:rPr>
        <w:tab/>
      </w:r>
      <w:r>
        <w:rPr>
          <w:noProof/>
        </w:rPr>
        <w:fldChar w:fldCharType="begin"/>
      </w:r>
      <w:r>
        <w:rPr>
          <w:noProof/>
        </w:rPr>
        <w:instrText xml:space="preserve"> PAGEREF _Toc158711844 \h </w:instrText>
      </w:r>
      <w:r>
        <w:rPr>
          <w:noProof/>
        </w:rPr>
      </w:r>
      <w:r>
        <w:rPr>
          <w:noProof/>
        </w:rPr>
        <w:fldChar w:fldCharType="separate"/>
      </w:r>
      <w:r>
        <w:rPr>
          <w:noProof/>
        </w:rPr>
        <w:t>129</w:t>
      </w:r>
      <w:r>
        <w:rPr>
          <w:noProof/>
        </w:rPr>
        <w:fldChar w:fldCharType="end"/>
      </w:r>
    </w:p>
    <w:p w14:paraId="09F931BA" w14:textId="7D6196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5.6.39  Notice to submit particulars of debt or claim</w:t>
      </w:r>
      <w:r>
        <w:rPr>
          <w:noProof/>
        </w:rPr>
        <w:tab/>
      </w:r>
      <w:r>
        <w:rPr>
          <w:noProof/>
        </w:rPr>
        <w:fldChar w:fldCharType="begin"/>
      </w:r>
      <w:r>
        <w:rPr>
          <w:noProof/>
        </w:rPr>
        <w:instrText xml:space="preserve"> PAGEREF _Toc158711845 \h </w:instrText>
      </w:r>
      <w:r>
        <w:rPr>
          <w:noProof/>
        </w:rPr>
      </w:r>
      <w:r>
        <w:rPr>
          <w:noProof/>
        </w:rPr>
        <w:fldChar w:fldCharType="separate"/>
      </w:r>
      <w:r>
        <w:rPr>
          <w:noProof/>
        </w:rPr>
        <w:t>129</w:t>
      </w:r>
      <w:r>
        <w:rPr>
          <w:noProof/>
        </w:rPr>
        <w:fldChar w:fldCharType="end"/>
      </w:r>
    </w:p>
    <w:p w14:paraId="37F56D16" w14:textId="5952EE2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5.6.40  Preparation of a proof of debt or claim</w:t>
      </w:r>
      <w:r>
        <w:rPr>
          <w:noProof/>
        </w:rPr>
        <w:tab/>
      </w:r>
      <w:r>
        <w:rPr>
          <w:noProof/>
        </w:rPr>
        <w:fldChar w:fldCharType="begin"/>
      </w:r>
      <w:r>
        <w:rPr>
          <w:noProof/>
        </w:rPr>
        <w:instrText xml:space="preserve"> PAGEREF _Toc158711846 \h </w:instrText>
      </w:r>
      <w:r>
        <w:rPr>
          <w:noProof/>
        </w:rPr>
      </w:r>
      <w:r>
        <w:rPr>
          <w:noProof/>
        </w:rPr>
        <w:fldChar w:fldCharType="separate"/>
      </w:r>
      <w:r>
        <w:rPr>
          <w:noProof/>
        </w:rPr>
        <w:t>129</w:t>
      </w:r>
      <w:r>
        <w:rPr>
          <w:noProof/>
        </w:rPr>
        <w:fldChar w:fldCharType="end"/>
      </w:r>
    </w:p>
    <w:p w14:paraId="5D66A787" w14:textId="5276542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5.6.41  Disclosure of security</w:t>
      </w:r>
      <w:r>
        <w:rPr>
          <w:noProof/>
        </w:rPr>
        <w:tab/>
      </w:r>
      <w:r>
        <w:rPr>
          <w:noProof/>
        </w:rPr>
        <w:fldChar w:fldCharType="begin"/>
      </w:r>
      <w:r>
        <w:rPr>
          <w:noProof/>
        </w:rPr>
        <w:instrText xml:space="preserve"> PAGEREF _Toc158711847 \h </w:instrText>
      </w:r>
      <w:r>
        <w:rPr>
          <w:noProof/>
        </w:rPr>
      </w:r>
      <w:r>
        <w:rPr>
          <w:noProof/>
        </w:rPr>
        <w:fldChar w:fldCharType="separate"/>
      </w:r>
      <w:r>
        <w:rPr>
          <w:noProof/>
        </w:rPr>
        <w:t>129</w:t>
      </w:r>
      <w:r>
        <w:rPr>
          <w:noProof/>
        </w:rPr>
        <w:fldChar w:fldCharType="end"/>
      </w:r>
    </w:p>
    <w:p w14:paraId="4635CB45" w14:textId="1DC55B6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5.6.42  Discounts</w:t>
      </w:r>
      <w:r>
        <w:rPr>
          <w:noProof/>
        </w:rPr>
        <w:tab/>
      </w:r>
      <w:r>
        <w:rPr>
          <w:noProof/>
        </w:rPr>
        <w:fldChar w:fldCharType="begin"/>
      </w:r>
      <w:r>
        <w:rPr>
          <w:noProof/>
        </w:rPr>
        <w:instrText xml:space="preserve"> PAGEREF _Toc158711848 \h </w:instrText>
      </w:r>
      <w:r>
        <w:rPr>
          <w:noProof/>
        </w:rPr>
      </w:r>
      <w:r>
        <w:rPr>
          <w:noProof/>
        </w:rPr>
        <w:fldChar w:fldCharType="separate"/>
      </w:r>
      <w:r>
        <w:rPr>
          <w:noProof/>
        </w:rPr>
        <w:t>130</w:t>
      </w:r>
      <w:r>
        <w:rPr>
          <w:noProof/>
        </w:rPr>
        <w:fldChar w:fldCharType="end"/>
      </w:r>
    </w:p>
    <w:p w14:paraId="18C3FF1E" w14:textId="6C654F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5.6.43  Periodical payments</w:t>
      </w:r>
      <w:r>
        <w:rPr>
          <w:noProof/>
        </w:rPr>
        <w:tab/>
      </w:r>
      <w:r>
        <w:rPr>
          <w:noProof/>
        </w:rPr>
        <w:fldChar w:fldCharType="begin"/>
      </w:r>
      <w:r>
        <w:rPr>
          <w:noProof/>
        </w:rPr>
        <w:instrText xml:space="preserve"> PAGEREF _Toc158711849 \h </w:instrText>
      </w:r>
      <w:r>
        <w:rPr>
          <w:noProof/>
        </w:rPr>
      </w:r>
      <w:r>
        <w:rPr>
          <w:noProof/>
        </w:rPr>
        <w:fldChar w:fldCharType="separate"/>
      </w:r>
      <w:r>
        <w:rPr>
          <w:noProof/>
        </w:rPr>
        <w:t>130</w:t>
      </w:r>
      <w:r>
        <w:rPr>
          <w:noProof/>
        </w:rPr>
        <w:fldChar w:fldCharType="end"/>
      </w:r>
    </w:p>
    <w:p w14:paraId="321EEEB3" w14:textId="6AEBFD6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5.6.43A  Debt or claim of uncertain value—appeal to Court</w:t>
      </w:r>
      <w:r>
        <w:rPr>
          <w:noProof/>
        </w:rPr>
        <w:tab/>
      </w:r>
      <w:r>
        <w:rPr>
          <w:noProof/>
        </w:rPr>
        <w:fldChar w:fldCharType="begin"/>
      </w:r>
      <w:r>
        <w:rPr>
          <w:noProof/>
        </w:rPr>
        <w:instrText xml:space="preserve"> PAGEREF _Toc158711850 \h </w:instrText>
      </w:r>
      <w:r>
        <w:rPr>
          <w:noProof/>
        </w:rPr>
      </w:r>
      <w:r>
        <w:rPr>
          <w:noProof/>
        </w:rPr>
        <w:fldChar w:fldCharType="separate"/>
      </w:r>
      <w:r>
        <w:rPr>
          <w:noProof/>
        </w:rPr>
        <w:t>130</w:t>
      </w:r>
      <w:r>
        <w:rPr>
          <w:noProof/>
        </w:rPr>
        <w:fldChar w:fldCharType="end"/>
      </w:r>
    </w:p>
    <w:p w14:paraId="67B829D5" w14:textId="1F72F2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5.6.44  Debt discount rate (Act s 554B)</w:t>
      </w:r>
      <w:r>
        <w:rPr>
          <w:noProof/>
        </w:rPr>
        <w:tab/>
      </w:r>
      <w:r>
        <w:rPr>
          <w:noProof/>
        </w:rPr>
        <w:fldChar w:fldCharType="begin"/>
      </w:r>
      <w:r>
        <w:rPr>
          <w:noProof/>
        </w:rPr>
        <w:instrText xml:space="preserve"> PAGEREF _Toc158711851 \h </w:instrText>
      </w:r>
      <w:r>
        <w:rPr>
          <w:noProof/>
        </w:rPr>
      </w:r>
      <w:r>
        <w:rPr>
          <w:noProof/>
        </w:rPr>
        <w:fldChar w:fldCharType="separate"/>
      </w:r>
      <w:r>
        <w:rPr>
          <w:noProof/>
        </w:rPr>
        <w:t>130</w:t>
      </w:r>
      <w:r>
        <w:rPr>
          <w:noProof/>
        </w:rPr>
        <w:fldChar w:fldCharType="end"/>
      </w:r>
    </w:p>
    <w:p w14:paraId="1F29C44C" w14:textId="58C93AF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5.6.45  Employees’ wages</w:t>
      </w:r>
      <w:r>
        <w:rPr>
          <w:noProof/>
        </w:rPr>
        <w:tab/>
      </w:r>
      <w:r>
        <w:rPr>
          <w:noProof/>
        </w:rPr>
        <w:fldChar w:fldCharType="begin"/>
      </w:r>
      <w:r>
        <w:rPr>
          <w:noProof/>
        </w:rPr>
        <w:instrText xml:space="preserve"> PAGEREF _Toc158711852 \h </w:instrText>
      </w:r>
      <w:r>
        <w:rPr>
          <w:noProof/>
        </w:rPr>
      </w:r>
      <w:r>
        <w:rPr>
          <w:noProof/>
        </w:rPr>
        <w:fldChar w:fldCharType="separate"/>
      </w:r>
      <w:r>
        <w:rPr>
          <w:noProof/>
        </w:rPr>
        <w:t>130</w:t>
      </w:r>
      <w:r>
        <w:rPr>
          <w:noProof/>
        </w:rPr>
        <w:fldChar w:fldCharType="end"/>
      </w:r>
    </w:p>
    <w:p w14:paraId="205C4B03" w14:textId="47FCDB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5.6.46  Production of bill of exchange and promissory note</w:t>
      </w:r>
      <w:r>
        <w:rPr>
          <w:noProof/>
        </w:rPr>
        <w:tab/>
      </w:r>
      <w:r>
        <w:rPr>
          <w:noProof/>
        </w:rPr>
        <w:fldChar w:fldCharType="begin"/>
      </w:r>
      <w:r>
        <w:rPr>
          <w:noProof/>
        </w:rPr>
        <w:instrText xml:space="preserve"> PAGEREF _Toc158711853 \h </w:instrText>
      </w:r>
      <w:r>
        <w:rPr>
          <w:noProof/>
        </w:rPr>
      </w:r>
      <w:r>
        <w:rPr>
          <w:noProof/>
        </w:rPr>
        <w:fldChar w:fldCharType="separate"/>
      </w:r>
      <w:r>
        <w:rPr>
          <w:noProof/>
        </w:rPr>
        <w:t>130</w:t>
      </w:r>
      <w:r>
        <w:rPr>
          <w:noProof/>
        </w:rPr>
        <w:fldChar w:fldCharType="end"/>
      </w:r>
    </w:p>
    <w:p w14:paraId="0FB67CCC" w14:textId="568AA8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5.6.47  Admission of debt or claim without formal proof</w:t>
      </w:r>
      <w:r>
        <w:rPr>
          <w:noProof/>
        </w:rPr>
        <w:tab/>
      </w:r>
      <w:r>
        <w:rPr>
          <w:noProof/>
        </w:rPr>
        <w:fldChar w:fldCharType="begin"/>
      </w:r>
      <w:r>
        <w:rPr>
          <w:noProof/>
        </w:rPr>
        <w:instrText xml:space="preserve"> PAGEREF _Toc158711854 \h </w:instrText>
      </w:r>
      <w:r>
        <w:rPr>
          <w:noProof/>
        </w:rPr>
      </w:r>
      <w:r>
        <w:rPr>
          <w:noProof/>
        </w:rPr>
        <w:fldChar w:fldCharType="separate"/>
      </w:r>
      <w:r>
        <w:rPr>
          <w:noProof/>
        </w:rPr>
        <w:t>131</w:t>
      </w:r>
      <w:r>
        <w:rPr>
          <w:noProof/>
        </w:rPr>
        <w:fldChar w:fldCharType="end"/>
      </w:r>
    </w:p>
    <w:p w14:paraId="66DE5541" w14:textId="16DB62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5.6.48  Notice to creditors to submit formal proof</w:t>
      </w:r>
      <w:r>
        <w:rPr>
          <w:noProof/>
        </w:rPr>
        <w:tab/>
      </w:r>
      <w:r>
        <w:rPr>
          <w:noProof/>
        </w:rPr>
        <w:fldChar w:fldCharType="begin"/>
      </w:r>
      <w:r>
        <w:rPr>
          <w:noProof/>
        </w:rPr>
        <w:instrText xml:space="preserve"> PAGEREF _Toc158711855 \h </w:instrText>
      </w:r>
      <w:r>
        <w:rPr>
          <w:noProof/>
        </w:rPr>
      </w:r>
      <w:r>
        <w:rPr>
          <w:noProof/>
        </w:rPr>
        <w:fldChar w:fldCharType="separate"/>
      </w:r>
      <w:r>
        <w:rPr>
          <w:noProof/>
        </w:rPr>
        <w:t>131</w:t>
      </w:r>
      <w:r>
        <w:rPr>
          <w:noProof/>
        </w:rPr>
        <w:fldChar w:fldCharType="end"/>
      </w:r>
    </w:p>
    <w:p w14:paraId="7A7992D3" w14:textId="294043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5.6.49  Formal proof of debt or claim</w:t>
      </w:r>
      <w:r>
        <w:rPr>
          <w:noProof/>
        </w:rPr>
        <w:tab/>
      </w:r>
      <w:r>
        <w:rPr>
          <w:noProof/>
        </w:rPr>
        <w:fldChar w:fldCharType="begin"/>
      </w:r>
      <w:r>
        <w:rPr>
          <w:noProof/>
        </w:rPr>
        <w:instrText xml:space="preserve"> PAGEREF _Toc158711856 \h </w:instrText>
      </w:r>
      <w:r>
        <w:rPr>
          <w:noProof/>
        </w:rPr>
      </w:r>
      <w:r>
        <w:rPr>
          <w:noProof/>
        </w:rPr>
        <w:fldChar w:fldCharType="separate"/>
      </w:r>
      <w:r>
        <w:rPr>
          <w:noProof/>
        </w:rPr>
        <w:t>131</w:t>
      </w:r>
      <w:r>
        <w:rPr>
          <w:noProof/>
        </w:rPr>
        <w:fldChar w:fldCharType="end"/>
      </w:r>
    </w:p>
    <w:p w14:paraId="25029E4B" w14:textId="227FC35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5.6.50  Contents of formal proof of debt or claim</w:t>
      </w:r>
      <w:r>
        <w:rPr>
          <w:noProof/>
        </w:rPr>
        <w:tab/>
      </w:r>
      <w:r>
        <w:rPr>
          <w:noProof/>
        </w:rPr>
        <w:fldChar w:fldCharType="begin"/>
      </w:r>
      <w:r>
        <w:rPr>
          <w:noProof/>
        </w:rPr>
        <w:instrText xml:space="preserve"> PAGEREF _Toc158711857 \h </w:instrText>
      </w:r>
      <w:r>
        <w:rPr>
          <w:noProof/>
        </w:rPr>
      </w:r>
      <w:r>
        <w:rPr>
          <w:noProof/>
        </w:rPr>
        <w:fldChar w:fldCharType="separate"/>
      </w:r>
      <w:r>
        <w:rPr>
          <w:noProof/>
        </w:rPr>
        <w:t>132</w:t>
      </w:r>
      <w:r>
        <w:rPr>
          <w:noProof/>
        </w:rPr>
        <w:fldChar w:fldCharType="end"/>
      </w:r>
    </w:p>
    <w:p w14:paraId="707F5D9D" w14:textId="0465442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5.6.51  Costs of proof</w:t>
      </w:r>
      <w:r>
        <w:rPr>
          <w:noProof/>
        </w:rPr>
        <w:tab/>
      </w:r>
      <w:r>
        <w:rPr>
          <w:noProof/>
        </w:rPr>
        <w:fldChar w:fldCharType="begin"/>
      </w:r>
      <w:r>
        <w:rPr>
          <w:noProof/>
        </w:rPr>
        <w:instrText xml:space="preserve"> PAGEREF _Toc158711858 \h </w:instrText>
      </w:r>
      <w:r>
        <w:rPr>
          <w:noProof/>
        </w:rPr>
      </w:r>
      <w:r>
        <w:rPr>
          <w:noProof/>
        </w:rPr>
        <w:fldChar w:fldCharType="separate"/>
      </w:r>
      <w:r>
        <w:rPr>
          <w:noProof/>
        </w:rPr>
        <w:t>132</w:t>
      </w:r>
      <w:r>
        <w:rPr>
          <w:noProof/>
        </w:rPr>
        <w:fldChar w:fldCharType="end"/>
      </w:r>
    </w:p>
    <w:p w14:paraId="61373CFB" w14:textId="42E2EA2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5.6.52  Liquidator to notify receipt of proof of debt or claim</w:t>
      </w:r>
      <w:r>
        <w:rPr>
          <w:noProof/>
        </w:rPr>
        <w:tab/>
      </w:r>
      <w:r>
        <w:rPr>
          <w:noProof/>
        </w:rPr>
        <w:fldChar w:fldCharType="begin"/>
      </w:r>
      <w:r>
        <w:rPr>
          <w:noProof/>
        </w:rPr>
        <w:instrText xml:space="preserve"> PAGEREF _Toc158711859 \h </w:instrText>
      </w:r>
      <w:r>
        <w:rPr>
          <w:noProof/>
        </w:rPr>
      </w:r>
      <w:r>
        <w:rPr>
          <w:noProof/>
        </w:rPr>
        <w:fldChar w:fldCharType="separate"/>
      </w:r>
      <w:r>
        <w:rPr>
          <w:noProof/>
        </w:rPr>
        <w:t>132</w:t>
      </w:r>
      <w:r>
        <w:rPr>
          <w:noProof/>
        </w:rPr>
        <w:fldChar w:fldCharType="end"/>
      </w:r>
    </w:p>
    <w:p w14:paraId="1F2B4739" w14:textId="3B0471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5.6.53  Time for liquidator to deal with proofs</w:t>
      </w:r>
      <w:r>
        <w:rPr>
          <w:noProof/>
        </w:rPr>
        <w:tab/>
      </w:r>
      <w:r>
        <w:rPr>
          <w:noProof/>
        </w:rPr>
        <w:fldChar w:fldCharType="begin"/>
      </w:r>
      <w:r>
        <w:rPr>
          <w:noProof/>
        </w:rPr>
        <w:instrText xml:space="preserve"> PAGEREF _Toc158711860 \h </w:instrText>
      </w:r>
      <w:r>
        <w:rPr>
          <w:noProof/>
        </w:rPr>
      </w:r>
      <w:r>
        <w:rPr>
          <w:noProof/>
        </w:rPr>
        <w:fldChar w:fldCharType="separate"/>
      </w:r>
      <w:r>
        <w:rPr>
          <w:noProof/>
        </w:rPr>
        <w:t>132</w:t>
      </w:r>
      <w:r>
        <w:rPr>
          <w:noProof/>
        </w:rPr>
        <w:fldChar w:fldCharType="end"/>
      </w:r>
    </w:p>
    <w:p w14:paraId="5A58079C" w14:textId="303BA93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5.6.54  Grounds of rejection and notice to creditor</w:t>
      </w:r>
      <w:r>
        <w:rPr>
          <w:noProof/>
        </w:rPr>
        <w:tab/>
      </w:r>
      <w:r>
        <w:rPr>
          <w:noProof/>
        </w:rPr>
        <w:fldChar w:fldCharType="begin"/>
      </w:r>
      <w:r>
        <w:rPr>
          <w:noProof/>
        </w:rPr>
        <w:instrText xml:space="preserve"> PAGEREF _Toc158711861 \h </w:instrText>
      </w:r>
      <w:r>
        <w:rPr>
          <w:noProof/>
        </w:rPr>
      </w:r>
      <w:r>
        <w:rPr>
          <w:noProof/>
        </w:rPr>
        <w:fldChar w:fldCharType="separate"/>
      </w:r>
      <w:r>
        <w:rPr>
          <w:noProof/>
        </w:rPr>
        <w:t>132</w:t>
      </w:r>
      <w:r>
        <w:rPr>
          <w:noProof/>
        </w:rPr>
        <w:fldChar w:fldCharType="end"/>
      </w:r>
    </w:p>
    <w:p w14:paraId="7E28C475" w14:textId="00FF32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5.6.55  Revocation or amendment of decision of liquidator</w:t>
      </w:r>
      <w:r>
        <w:rPr>
          <w:noProof/>
        </w:rPr>
        <w:tab/>
      </w:r>
      <w:r>
        <w:rPr>
          <w:noProof/>
        </w:rPr>
        <w:fldChar w:fldCharType="begin"/>
      </w:r>
      <w:r>
        <w:rPr>
          <w:noProof/>
        </w:rPr>
        <w:instrText xml:space="preserve"> PAGEREF _Toc158711862 \h </w:instrText>
      </w:r>
      <w:r>
        <w:rPr>
          <w:noProof/>
        </w:rPr>
      </w:r>
      <w:r>
        <w:rPr>
          <w:noProof/>
        </w:rPr>
        <w:fldChar w:fldCharType="separate"/>
      </w:r>
      <w:r>
        <w:rPr>
          <w:noProof/>
        </w:rPr>
        <w:t>133</w:t>
      </w:r>
      <w:r>
        <w:rPr>
          <w:noProof/>
        </w:rPr>
        <w:fldChar w:fldCharType="end"/>
      </w:r>
    </w:p>
    <w:p w14:paraId="7D05C612" w14:textId="278558F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5.6.56  Withdrawal or variation of proof of debt or claim</w:t>
      </w:r>
      <w:r>
        <w:rPr>
          <w:noProof/>
        </w:rPr>
        <w:tab/>
      </w:r>
      <w:r>
        <w:rPr>
          <w:noProof/>
        </w:rPr>
        <w:fldChar w:fldCharType="begin"/>
      </w:r>
      <w:r>
        <w:rPr>
          <w:noProof/>
        </w:rPr>
        <w:instrText xml:space="preserve"> PAGEREF _Toc158711863 \h </w:instrText>
      </w:r>
      <w:r>
        <w:rPr>
          <w:noProof/>
        </w:rPr>
      </w:r>
      <w:r>
        <w:rPr>
          <w:noProof/>
        </w:rPr>
        <w:fldChar w:fldCharType="separate"/>
      </w:r>
      <w:r>
        <w:rPr>
          <w:noProof/>
        </w:rPr>
        <w:t>133</w:t>
      </w:r>
      <w:r>
        <w:rPr>
          <w:noProof/>
        </w:rPr>
        <w:fldChar w:fldCharType="end"/>
      </w:r>
    </w:p>
    <w:p w14:paraId="618C8D42" w14:textId="1E48E2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5.6.57  Oaths</w:t>
      </w:r>
      <w:r>
        <w:rPr>
          <w:noProof/>
        </w:rPr>
        <w:tab/>
      </w:r>
      <w:r>
        <w:rPr>
          <w:noProof/>
        </w:rPr>
        <w:fldChar w:fldCharType="begin"/>
      </w:r>
      <w:r>
        <w:rPr>
          <w:noProof/>
        </w:rPr>
        <w:instrText xml:space="preserve"> PAGEREF _Toc158711864 \h </w:instrText>
      </w:r>
      <w:r>
        <w:rPr>
          <w:noProof/>
        </w:rPr>
      </w:r>
      <w:r>
        <w:rPr>
          <w:noProof/>
        </w:rPr>
        <w:fldChar w:fldCharType="separate"/>
      </w:r>
      <w:r>
        <w:rPr>
          <w:noProof/>
        </w:rPr>
        <w:t>133</w:t>
      </w:r>
      <w:r>
        <w:rPr>
          <w:noProof/>
        </w:rPr>
        <w:fldChar w:fldCharType="end"/>
      </w:r>
    </w:p>
    <w:p w14:paraId="68140C65" w14:textId="6A183ED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5.6.58  Liquidator to make out provisional list of contributories</w:t>
      </w:r>
      <w:r>
        <w:rPr>
          <w:noProof/>
        </w:rPr>
        <w:tab/>
      </w:r>
      <w:r>
        <w:rPr>
          <w:noProof/>
        </w:rPr>
        <w:fldChar w:fldCharType="begin"/>
      </w:r>
      <w:r>
        <w:rPr>
          <w:noProof/>
        </w:rPr>
        <w:instrText xml:space="preserve"> PAGEREF _Toc158711865 \h </w:instrText>
      </w:r>
      <w:r>
        <w:rPr>
          <w:noProof/>
        </w:rPr>
      </w:r>
      <w:r>
        <w:rPr>
          <w:noProof/>
        </w:rPr>
        <w:fldChar w:fldCharType="separate"/>
      </w:r>
      <w:r>
        <w:rPr>
          <w:noProof/>
        </w:rPr>
        <w:t>133</w:t>
      </w:r>
      <w:r>
        <w:rPr>
          <w:noProof/>
        </w:rPr>
        <w:fldChar w:fldCharType="end"/>
      </w:r>
    </w:p>
    <w:p w14:paraId="642C5C5A" w14:textId="1E7B53D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5.6.59  Time and place for settlement of list</w:t>
      </w:r>
      <w:r>
        <w:rPr>
          <w:noProof/>
        </w:rPr>
        <w:tab/>
      </w:r>
      <w:r>
        <w:rPr>
          <w:noProof/>
        </w:rPr>
        <w:fldChar w:fldCharType="begin"/>
      </w:r>
      <w:r>
        <w:rPr>
          <w:noProof/>
        </w:rPr>
        <w:instrText xml:space="preserve"> PAGEREF _Toc158711866 \h </w:instrText>
      </w:r>
      <w:r>
        <w:rPr>
          <w:noProof/>
        </w:rPr>
      </w:r>
      <w:r>
        <w:rPr>
          <w:noProof/>
        </w:rPr>
        <w:fldChar w:fldCharType="separate"/>
      </w:r>
      <w:r>
        <w:rPr>
          <w:noProof/>
        </w:rPr>
        <w:t>133</w:t>
      </w:r>
      <w:r>
        <w:rPr>
          <w:noProof/>
        </w:rPr>
        <w:fldChar w:fldCharType="end"/>
      </w:r>
    </w:p>
    <w:p w14:paraId="14DFC47C" w14:textId="0353973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5.6.60  Settlement of list of contributories</w:t>
      </w:r>
      <w:r>
        <w:rPr>
          <w:noProof/>
        </w:rPr>
        <w:tab/>
      </w:r>
      <w:r>
        <w:rPr>
          <w:noProof/>
        </w:rPr>
        <w:fldChar w:fldCharType="begin"/>
      </w:r>
      <w:r>
        <w:rPr>
          <w:noProof/>
        </w:rPr>
        <w:instrText xml:space="preserve"> PAGEREF _Toc158711867 \h </w:instrText>
      </w:r>
      <w:r>
        <w:rPr>
          <w:noProof/>
        </w:rPr>
      </w:r>
      <w:r>
        <w:rPr>
          <w:noProof/>
        </w:rPr>
        <w:fldChar w:fldCharType="separate"/>
      </w:r>
      <w:r>
        <w:rPr>
          <w:noProof/>
        </w:rPr>
        <w:t>134</w:t>
      </w:r>
      <w:r>
        <w:rPr>
          <w:noProof/>
        </w:rPr>
        <w:fldChar w:fldCharType="end"/>
      </w:r>
    </w:p>
    <w:p w14:paraId="67819014" w14:textId="79E2CDA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5.6.61  Supplementary list</w:t>
      </w:r>
      <w:r>
        <w:rPr>
          <w:noProof/>
        </w:rPr>
        <w:tab/>
      </w:r>
      <w:r>
        <w:rPr>
          <w:noProof/>
        </w:rPr>
        <w:fldChar w:fldCharType="begin"/>
      </w:r>
      <w:r>
        <w:rPr>
          <w:noProof/>
        </w:rPr>
        <w:instrText xml:space="preserve"> PAGEREF _Toc158711868 \h </w:instrText>
      </w:r>
      <w:r>
        <w:rPr>
          <w:noProof/>
        </w:rPr>
      </w:r>
      <w:r>
        <w:rPr>
          <w:noProof/>
        </w:rPr>
        <w:fldChar w:fldCharType="separate"/>
      </w:r>
      <w:r>
        <w:rPr>
          <w:noProof/>
        </w:rPr>
        <w:t>134</w:t>
      </w:r>
      <w:r>
        <w:rPr>
          <w:noProof/>
        </w:rPr>
        <w:fldChar w:fldCharType="end"/>
      </w:r>
    </w:p>
    <w:p w14:paraId="70813098" w14:textId="1ED1C06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5.6.62  Notice to contributories</w:t>
      </w:r>
      <w:r>
        <w:rPr>
          <w:noProof/>
        </w:rPr>
        <w:tab/>
      </w:r>
      <w:r>
        <w:rPr>
          <w:noProof/>
        </w:rPr>
        <w:fldChar w:fldCharType="begin"/>
      </w:r>
      <w:r>
        <w:rPr>
          <w:noProof/>
        </w:rPr>
        <w:instrText xml:space="preserve"> PAGEREF _Toc158711869 \h </w:instrText>
      </w:r>
      <w:r>
        <w:rPr>
          <w:noProof/>
        </w:rPr>
      </w:r>
      <w:r>
        <w:rPr>
          <w:noProof/>
        </w:rPr>
        <w:fldChar w:fldCharType="separate"/>
      </w:r>
      <w:r>
        <w:rPr>
          <w:noProof/>
        </w:rPr>
        <w:t>134</w:t>
      </w:r>
      <w:r>
        <w:rPr>
          <w:noProof/>
        </w:rPr>
        <w:fldChar w:fldCharType="end"/>
      </w:r>
    </w:p>
    <w:p w14:paraId="2732358D" w14:textId="0E4A5B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5.6.63  Dividend payable only on admission of a debt or claim</w:t>
      </w:r>
      <w:r>
        <w:rPr>
          <w:noProof/>
        </w:rPr>
        <w:tab/>
      </w:r>
      <w:r>
        <w:rPr>
          <w:noProof/>
        </w:rPr>
        <w:fldChar w:fldCharType="begin"/>
      </w:r>
      <w:r>
        <w:rPr>
          <w:noProof/>
        </w:rPr>
        <w:instrText xml:space="preserve"> PAGEREF _Toc158711870 \h </w:instrText>
      </w:r>
      <w:r>
        <w:rPr>
          <w:noProof/>
        </w:rPr>
      </w:r>
      <w:r>
        <w:rPr>
          <w:noProof/>
        </w:rPr>
        <w:fldChar w:fldCharType="separate"/>
      </w:r>
      <w:r>
        <w:rPr>
          <w:noProof/>
        </w:rPr>
        <w:t>135</w:t>
      </w:r>
      <w:r>
        <w:rPr>
          <w:noProof/>
        </w:rPr>
        <w:fldChar w:fldCharType="end"/>
      </w:r>
    </w:p>
    <w:p w14:paraId="4C3D1F4A" w14:textId="70225C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5.6.64  Application of regulations 5.6.37 to 5.6.57</w:t>
      </w:r>
      <w:r>
        <w:rPr>
          <w:noProof/>
        </w:rPr>
        <w:tab/>
      </w:r>
      <w:r>
        <w:rPr>
          <w:noProof/>
        </w:rPr>
        <w:fldChar w:fldCharType="begin"/>
      </w:r>
      <w:r>
        <w:rPr>
          <w:noProof/>
        </w:rPr>
        <w:instrText xml:space="preserve"> PAGEREF _Toc158711871 \h </w:instrText>
      </w:r>
      <w:r>
        <w:rPr>
          <w:noProof/>
        </w:rPr>
      </w:r>
      <w:r>
        <w:rPr>
          <w:noProof/>
        </w:rPr>
        <w:fldChar w:fldCharType="separate"/>
      </w:r>
      <w:r>
        <w:rPr>
          <w:noProof/>
        </w:rPr>
        <w:t>135</w:t>
      </w:r>
      <w:r>
        <w:rPr>
          <w:noProof/>
        </w:rPr>
        <w:fldChar w:fldCharType="end"/>
      </w:r>
    </w:p>
    <w:p w14:paraId="5FE63525" w14:textId="11A9C44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5.6.65  Liquidator to give notice of intention to declare a dividend</w:t>
      </w:r>
      <w:r>
        <w:rPr>
          <w:noProof/>
        </w:rPr>
        <w:tab/>
      </w:r>
      <w:r>
        <w:rPr>
          <w:noProof/>
        </w:rPr>
        <w:fldChar w:fldCharType="begin"/>
      </w:r>
      <w:r>
        <w:rPr>
          <w:noProof/>
        </w:rPr>
        <w:instrText xml:space="preserve"> PAGEREF _Toc158711872 \h </w:instrText>
      </w:r>
      <w:r>
        <w:rPr>
          <w:noProof/>
        </w:rPr>
      </w:r>
      <w:r>
        <w:rPr>
          <w:noProof/>
        </w:rPr>
        <w:fldChar w:fldCharType="separate"/>
      </w:r>
      <w:r>
        <w:rPr>
          <w:noProof/>
        </w:rPr>
        <w:t>135</w:t>
      </w:r>
      <w:r>
        <w:rPr>
          <w:noProof/>
        </w:rPr>
        <w:fldChar w:fldCharType="end"/>
      </w:r>
    </w:p>
    <w:p w14:paraId="1D91AF6D" w14:textId="4AF35F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5.6.66  Time allowed for dealing with formal proof of debt or claim</w:t>
      </w:r>
      <w:r>
        <w:rPr>
          <w:noProof/>
        </w:rPr>
        <w:tab/>
      </w:r>
      <w:r>
        <w:rPr>
          <w:noProof/>
        </w:rPr>
        <w:fldChar w:fldCharType="begin"/>
      </w:r>
      <w:r>
        <w:rPr>
          <w:noProof/>
        </w:rPr>
        <w:instrText xml:space="preserve"> PAGEREF _Toc158711873 \h </w:instrText>
      </w:r>
      <w:r>
        <w:rPr>
          <w:noProof/>
        </w:rPr>
      </w:r>
      <w:r>
        <w:rPr>
          <w:noProof/>
        </w:rPr>
        <w:fldChar w:fldCharType="separate"/>
      </w:r>
      <w:r>
        <w:rPr>
          <w:noProof/>
        </w:rPr>
        <w:t>135</w:t>
      </w:r>
      <w:r>
        <w:rPr>
          <w:noProof/>
        </w:rPr>
        <w:fldChar w:fldCharType="end"/>
      </w:r>
    </w:p>
    <w:p w14:paraId="79039A0C" w14:textId="0B65409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5.6.67  Declaration and distribution of dividend</w:t>
      </w:r>
      <w:r>
        <w:rPr>
          <w:noProof/>
        </w:rPr>
        <w:tab/>
      </w:r>
      <w:r>
        <w:rPr>
          <w:noProof/>
        </w:rPr>
        <w:fldChar w:fldCharType="begin"/>
      </w:r>
      <w:r>
        <w:rPr>
          <w:noProof/>
        </w:rPr>
        <w:instrText xml:space="preserve"> PAGEREF _Toc158711874 \h </w:instrText>
      </w:r>
      <w:r>
        <w:rPr>
          <w:noProof/>
        </w:rPr>
      </w:r>
      <w:r>
        <w:rPr>
          <w:noProof/>
        </w:rPr>
        <w:fldChar w:fldCharType="separate"/>
      </w:r>
      <w:r>
        <w:rPr>
          <w:noProof/>
        </w:rPr>
        <w:t>136</w:t>
      </w:r>
      <w:r>
        <w:rPr>
          <w:noProof/>
        </w:rPr>
        <w:fldChar w:fldCharType="end"/>
      </w:r>
    </w:p>
    <w:p w14:paraId="1A39BA12" w14:textId="4020AF1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5.6.67A  Single declaration and distribution of dividend for companies in simplified liquidation</w:t>
      </w:r>
      <w:r>
        <w:rPr>
          <w:noProof/>
        </w:rPr>
        <w:tab/>
      </w:r>
      <w:r>
        <w:rPr>
          <w:noProof/>
        </w:rPr>
        <w:fldChar w:fldCharType="begin"/>
      </w:r>
      <w:r>
        <w:rPr>
          <w:noProof/>
        </w:rPr>
        <w:instrText xml:space="preserve"> PAGEREF _Toc158711875 \h </w:instrText>
      </w:r>
      <w:r>
        <w:rPr>
          <w:noProof/>
        </w:rPr>
      </w:r>
      <w:r>
        <w:rPr>
          <w:noProof/>
        </w:rPr>
        <w:fldChar w:fldCharType="separate"/>
      </w:r>
      <w:r>
        <w:rPr>
          <w:noProof/>
        </w:rPr>
        <w:t>136</w:t>
      </w:r>
      <w:r>
        <w:rPr>
          <w:noProof/>
        </w:rPr>
        <w:fldChar w:fldCharType="end"/>
      </w:r>
    </w:p>
    <w:p w14:paraId="33A3F3D2" w14:textId="744F3CB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5.6.68  Rights of creditor who has not proved debt before declaration of dividend</w:t>
      </w:r>
      <w:r>
        <w:rPr>
          <w:noProof/>
        </w:rPr>
        <w:tab/>
      </w:r>
      <w:r>
        <w:rPr>
          <w:noProof/>
        </w:rPr>
        <w:fldChar w:fldCharType="begin"/>
      </w:r>
      <w:r>
        <w:rPr>
          <w:noProof/>
        </w:rPr>
        <w:instrText xml:space="preserve"> PAGEREF _Toc158711876 \h </w:instrText>
      </w:r>
      <w:r>
        <w:rPr>
          <w:noProof/>
        </w:rPr>
      </w:r>
      <w:r>
        <w:rPr>
          <w:noProof/>
        </w:rPr>
        <w:fldChar w:fldCharType="separate"/>
      </w:r>
      <w:r>
        <w:rPr>
          <w:noProof/>
        </w:rPr>
        <w:t>136</w:t>
      </w:r>
      <w:r>
        <w:rPr>
          <w:noProof/>
        </w:rPr>
        <w:fldChar w:fldCharType="end"/>
      </w:r>
    </w:p>
    <w:p w14:paraId="33CD8A5E" w14:textId="1B831A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5.6.69  Postponement of declaration</w:t>
      </w:r>
      <w:r>
        <w:rPr>
          <w:noProof/>
        </w:rPr>
        <w:tab/>
      </w:r>
      <w:r>
        <w:rPr>
          <w:noProof/>
        </w:rPr>
        <w:fldChar w:fldCharType="begin"/>
      </w:r>
      <w:r>
        <w:rPr>
          <w:noProof/>
        </w:rPr>
        <w:instrText xml:space="preserve"> PAGEREF _Toc158711877 \h </w:instrText>
      </w:r>
      <w:r>
        <w:rPr>
          <w:noProof/>
        </w:rPr>
      </w:r>
      <w:r>
        <w:rPr>
          <w:noProof/>
        </w:rPr>
        <w:fldChar w:fldCharType="separate"/>
      </w:r>
      <w:r>
        <w:rPr>
          <w:noProof/>
        </w:rPr>
        <w:t>136</w:t>
      </w:r>
      <w:r>
        <w:rPr>
          <w:noProof/>
        </w:rPr>
        <w:fldChar w:fldCharType="end"/>
      </w:r>
    </w:p>
    <w:p w14:paraId="6F421222" w14:textId="566E91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5.6.70  Payment of dividend to a person named</w:t>
      </w:r>
      <w:r>
        <w:rPr>
          <w:noProof/>
        </w:rPr>
        <w:tab/>
      </w:r>
      <w:r>
        <w:rPr>
          <w:noProof/>
        </w:rPr>
        <w:fldChar w:fldCharType="begin"/>
      </w:r>
      <w:r>
        <w:rPr>
          <w:noProof/>
        </w:rPr>
        <w:instrText xml:space="preserve"> PAGEREF _Toc158711878 \h </w:instrText>
      </w:r>
      <w:r>
        <w:rPr>
          <w:noProof/>
        </w:rPr>
      </w:r>
      <w:r>
        <w:rPr>
          <w:noProof/>
        </w:rPr>
        <w:fldChar w:fldCharType="separate"/>
      </w:r>
      <w:r>
        <w:rPr>
          <w:noProof/>
        </w:rPr>
        <w:t>136</w:t>
      </w:r>
      <w:r>
        <w:rPr>
          <w:noProof/>
        </w:rPr>
        <w:fldChar w:fldCharType="end"/>
      </w:r>
    </w:p>
    <w:p w14:paraId="54BEA853" w14:textId="25C3A3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5.6.70A  Prescribed rate of interest on debts and claims from relevant date to date of payment</w:t>
      </w:r>
      <w:r>
        <w:rPr>
          <w:noProof/>
        </w:rPr>
        <w:tab/>
      </w:r>
      <w:r>
        <w:rPr>
          <w:noProof/>
        </w:rPr>
        <w:fldChar w:fldCharType="begin"/>
      </w:r>
      <w:r>
        <w:rPr>
          <w:noProof/>
        </w:rPr>
        <w:instrText xml:space="preserve"> PAGEREF _Toc158711879 \h </w:instrText>
      </w:r>
      <w:r>
        <w:rPr>
          <w:noProof/>
        </w:rPr>
      </w:r>
      <w:r>
        <w:rPr>
          <w:noProof/>
        </w:rPr>
        <w:fldChar w:fldCharType="separate"/>
      </w:r>
      <w:r>
        <w:rPr>
          <w:noProof/>
        </w:rPr>
        <w:t>136</w:t>
      </w:r>
      <w:r>
        <w:rPr>
          <w:noProof/>
        </w:rPr>
        <w:fldChar w:fldCharType="end"/>
      </w:r>
    </w:p>
    <w:p w14:paraId="314C494D" w14:textId="7E176C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5.6.70B  Notice of disclaimer</w:t>
      </w:r>
      <w:r>
        <w:rPr>
          <w:noProof/>
        </w:rPr>
        <w:tab/>
      </w:r>
      <w:r>
        <w:rPr>
          <w:noProof/>
        </w:rPr>
        <w:fldChar w:fldCharType="begin"/>
      </w:r>
      <w:r>
        <w:rPr>
          <w:noProof/>
        </w:rPr>
        <w:instrText xml:space="preserve"> PAGEREF _Toc158711880 \h </w:instrText>
      </w:r>
      <w:r>
        <w:rPr>
          <w:noProof/>
        </w:rPr>
      </w:r>
      <w:r>
        <w:rPr>
          <w:noProof/>
        </w:rPr>
        <w:fldChar w:fldCharType="separate"/>
      </w:r>
      <w:r>
        <w:rPr>
          <w:noProof/>
        </w:rPr>
        <w:t>137</w:t>
      </w:r>
      <w:r>
        <w:rPr>
          <w:noProof/>
        </w:rPr>
        <w:fldChar w:fldCharType="end"/>
      </w:r>
    </w:p>
    <w:p w14:paraId="56A4DDF2" w14:textId="470C99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5.6.71  Distribution of surplus in a winding up by the Court</w:t>
      </w:r>
      <w:r>
        <w:rPr>
          <w:noProof/>
        </w:rPr>
        <w:tab/>
      </w:r>
      <w:r>
        <w:rPr>
          <w:noProof/>
        </w:rPr>
        <w:fldChar w:fldCharType="begin"/>
      </w:r>
      <w:r>
        <w:rPr>
          <w:noProof/>
        </w:rPr>
        <w:instrText xml:space="preserve"> PAGEREF _Toc158711881 \h </w:instrText>
      </w:r>
      <w:r>
        <w:rPr>
          <w:noProof/>
        </w:rPr>
      </w:r>
      <w:r>
        <w:rPr>
          <w:noProof/>
        </w:rPr>
        <w:fldChar w:fldCharType="separate"/>
      </w:r>
      <w:r>
        <w:rPr>
          <w:noProof/>
        </w:rPr>
        <w:t>137</w:t>
      </w:r>
      <w:r>
        <w:rPr>
          <w:noProof/>
        </w:rPr>
        <w:fldChar w:fldCharType="end"/>
      </w:r>
    </w:p>
    <w:p w14:paraId="0DE377FD" w14:textId="52685F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5.6.72  Distribution of surplus as directed</w:t>
      </w:r>
      <w:r>
        <w:rPr>
          <w:noProof/>
        </w:rPr>
        <w:tab/>
      </w:r>
      <w:r>
        <w:rPr>
          <w:noProof/>
        </w:rPr>
        <w:fldChar w:fldCharType="begin"/>
      </w:r>
      <w:r>
        <w:rPr>
          <w:noProof/>
        </w:rPr>
        <w:instrText xml:space="preserve"> PAGEREF _Toc158711882 \h </w:instrText>
      </w:r>
      <w:r>
        <w:rPr>
          <w:noProof/>
        </w:rPr>
      </w:r>
      <w:r>
        <w:rPr>
          <w:noProof/>
        </w:rPr>
        <w:fldChar w:fldCharType="separate"/>
      </w:r>
      <w:r>
        <w:rPr>
          <w:noProof/>
        </w:rPr>
        <w:t>137</w:t>
      </w:r>
      <w:r>
        <w:rPr>
          <w:noProof/>
        </w:rPr>
        <w:fldChar w:fldCharType="end"/>
      </w:r>
    </w:p>
    <w:p w14:paraId="6A7EEE0A" w14:textId="4ADDC4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5.6.73  Eligible unsecured creditor</w:t>
      </w:r>
      <w:r>
        <w:rPr>
          <w:noProof/>
        </w:rPr>
        <w:tab/>
      </w:r>
      <w:r>
        <w:rPr>
          <w:noProof/>
        </w:rPr>
        <w:fldChar w:fldCharType="begin"/>
      </w:r>
      <w:r>
        <w:rPr>
          <w:noProof/>
        </w:rPr>
        <w:instrText xml:space="preserve"> PAGEREF _Toc158711883 \h </w:instrText>
      </w:r>
      <w:r>
        <w:rPr>
          <w:noProof/>
        </w:rPr>
      </w:r>
      <w:r>
        <w:rPr>
          <w:noProof/>
        </w:rPr>
        <w:fldChar w:fldCharType="separate"/>
      </w:r>
      <w:r>
        <w:rPr>
          <w:noProof/>
        </w:rPr>
        <w:t>137</w:t>
      </w:r>
      <w:r>
        <w:rPr>
          <w:noProof/>
        </w:rPr>
        <w:fldChar w:fldCharType="end"/>
      </w:r>
    </w:p>
    <w:p w14:paraId="227EDA43" w14:textId="6693188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5.6.74  External administration matters—prescribed countries</w:t>
      </w:r>
      <w:r>
        <w:rPr>
          <w:noProof/>
        </w:rPr>
        <w:tab/>
      </w:r>
      <w:r>
        <w:rPr>
          <w:noProof/>
        </w:rPr>
        <w:fldChar w:fldCharType="begin"/>
      </w:r>
      <w:r>
        <w:rPr>
          <w:noProof/>
        </w:rPr>
        <w:instrText xml:space="preserve"> PAGEREF _Toc158711884 \h </w:instrText>
      </w:r>
      <w:r>
        <w:rPr>
          <w:noProof/>
        </w:rPr>
      </w:r>
      <w:r>
        <w:rPr>
          <w:noProof/>
        </w:rPr>
        <w:fldChar w:fldCharType="separate"/>
      </w:r>
      <w:r>
        <w:rPr>
          <w:noProof/>
        </w:rPr>
        <w:t>137</w:t>
      </w:r>
      <w:r>
        <w:rPr>
          <w:noProof/>
        </w:rPr>
        <w:fldChar w:fldCharType="end"/>
      </w:r>
    </w:p>
    <w:p w14:paraId="77881401" w14:textId="0C9D978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5.6.75  Publication in the prescribed manner</w:t>
      </w:r>
      <w:r>
        <w:rPr>
          <w:noProof/>
        </w:rPr>
        <w:tab/>
      </w:r>
      <w:r>
        <w:rPr>
          <w:noProof/>
        </w:rPr>
        <w:fldChar w:fldCharType="begin"/>
      </w:r>
      <w:r>
        <w:rPr>
          <w:noProof/>
        </w:rPr>
        <w:instrText xml:space="preserve"> PAGEREF _Toc158711885 \h </w:instrText>
      </w:r>
      <w:r>
        <w:rPr>
          <w:noProof/>
        </w:rPr>
      </w:r>
      <w:r>
        <w:rPr>
          <w:noProof/>
        </w:rPr>
        <w:fldChar w:fldCharType="separate"/>
      </w:r>
      <w:r>
        <w:rPr>
          <w:noProof/>
        </w:rPr>
        <w:t>138</w:t>
      </w:r>
      <w:r>
        <w:rPr>
          <w:noProof/>
        </w:rPr>
        <w:fldChar w:fldCharType="end"/>
      </w:r>
    </w:p>
    <w:p w14:paraId="3A745822" w14:textId="536DFA7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5.7B—Recovering property or compensation for the benefit of creditors of insolvent company</w:t>
      </w:r>
      <w:r>
        <w:rPr>
          <w:noProof/>
        </w:rPr>
        <w:tab/>
      </w:r>
      <w:r>
        <w:rPr>
          <w:noProof/>
        </w:rPr>
        <w:fldChar w:fldCharType="begin"/>
      </w:r>
      <w:r>
        <w:rPr>
          <w:noProof/>
        </w:rPr>
        <w:instrText xml:space="preserve"> PAGEREF _Toc158711886 \h </w:instrText>
      </w:r>
      <w:r>
        <w:rPr>
          <w:noProof/>
        </w:rPr>
      </w:r>
      <w:r>
        <w:rPr>
          <w:noProof/>
        </w:rPr>
        <w:fldChar w:fldCharType="separate"/>
      </w:r>
      <w:r>
        <w:rPr>
          <w:noProof/>
        </w:rPr>
        <w:t>139</w:t>
      </w:r>
      <w:r>
        <w:rPr>
          <w:noProof/>
        </w:rPr>
        <w:fldChar w:fldCharType="end"/>
      </w:r>
    </w:p>
    <w:p w14:paraId="1C65EE3D" w14:textId="191A914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5.7B.01  Extension of temporary relief for insolvent trading safe harbour</w:t>
      </w:r>
      <w:r>
        <w:rPr>
          <w:noProof/>
        </w:rPr>
        <w:tab/>
      </w:r>
      <w:r>
        <w:rPr>
          <w:noProof/>
        </w:rPr>
        <w:fldChar w:fldCharType="begin"/>
      </w:r>
      <w:r>
        <w:rPr>
          <w:noProof/>
        </w:rPr>
        <w:instrText xml:space="preserve"> PAGEREF _Toc158711887 \h </w:instrText>
      </w:r>
      <w:r>
        <w:rPr>
          <w:noProof/>
        </w:rPr>
      </w:r>
      <w:r>
        <w:rPr>
          <w:noProof/>
        </w:rPr>
        <w:fldChar w:fldCharType="separate"/>
      </w:r>
      <w:r>
        <w:rPr>
          <w:noProof/>
        </w:rPr>
        <w:t>139</w:t>
      </w:r>
      <w:r>
        <w:rPr>
          <w:noProof/>
        </w:rPr>
        <w:fldChar w:fldCharType="end"/>
      </w:r>
    </w:p>
    <w:p w14:paraId="0D71647E" w14:textId="334A6BF6"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5B—Bodies corporate registered as companies, and registrable bodies</w:t>
      </w:r>
      <w:r>
        <w:rPr>
          <w:noProof/>
        </w:rPr>
        <w:tab/>
      </w:r>
      <w:r>
        <w:rPr>
          <w:noProof/>
        </w:rPr>
        <w:fldChar w:fldCharType="begin"/>
      </w:r>
      <w:r>
        <w:rPr>
          <w:noProof/>
        </w:rPr>
        <w:instrText xml:space="preserve"> PAGEREF _Toc158711888 \h </w:instrText>
      </w:r>
      <w:r>
        <w:rPr>
          <w:noProof/>
        </w:rPr>
      </w:r>
      <w:r>
        <w:rPr>
          <w:noProof/>
        </w:rPr>
        <w:fldChar w:fldCharType="separate"/>
      </w:r>
      <w:r>
        <w:rPr>
          <w:noProof/>
        </w:rPr>
        <w:t>140</w:t>
      </w:r>
      <w:r>
        <w:rPr>
          <w:noProof/>
        </w:rPr>
        <w:fldChar w:fldCharType="end"/>
      </w:r>
    </w:p>
    <w:p w14:paraId="5228F071" w14:textId="5B485B2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5B.2—Registrable bodies</w:t>
      </w:r>
      <w:r>
        <w:rPr>
          <w:noProof/>
        </w:rPr>
        <w:tab/>
      </w:r>
      <w:r>
        <w:rPr>
          <w:noProof/>
        </w:rPr>
        <w:fldChar w:fldCharType="begin"/>
      </w:r>
      <w:r>
        <w:rPr>
          <w:noProof/>
        </w:rPr>
        <w:instrText xml:space="preserve"> PAGEREF _Toc158711889 \h </w:instrText>
      </w:r>
      <w:r>
        <w:rPr>
          <w:noProof/>
        </w:rPr>
      </w:r>
      <w:r>
        <w:rPr>
          <w:noProof/>
        </w:rPr>
        <w:fldChar w:fldCharType="separate"/>
      </w:r>
      <w:r>
        <w:rPr>
          <w:noProof/>
        </w:rPr>
        <w:t>140</w:t>
      </w:r>
      <w:r>
        <w:rPr>
          <w:noProof/>
        </w:rPr>
        <w:fldChar w:fldCharType="end"/>
      </w:r>
    </w:p>
    <w:p w14:paraId="079D0183" w14:textId="5569F9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5B.2.01  Certified copies of certificates of incorporation etc</w:t>
      </w:r>
      <w:r>
        <w:rPr>
          <w:noProof/>
        </w:rPr>
        <w:tab/>
      </w:r>
      <w:r>
        <w:rPr>
          <w:noProof/>
        </w:rPr>
        <w:fldChar w:fldCharType="begin"/>
      </w:r>
      <w:r>
        <w:rPr>
          <w:noProof/>
        </w:rPr>
        <w:instrText xml:space="preserve"> PAGEREF _Toc158711890 \h </w:instrText>
      </w:r>
      <w:r>
        <w:rPr>
          <w:noProof/>
        </w:rPr>
      </w:r>
      <w:r>
        <w:rPr>
          <w:noProof/>
        </w:rPr>
        <w:fldChar w:fldCharType="separate"/>
      </w:r>
      <w:r>
        <w:rPr>
          <w:noProof/>
        </w:rPr>
        <w:t>140</w:t>
      </w:r>
      <w:r>
        <w:rPr>
          <w:noProof/>
        </w:rPr>
        <w:fldChar w:fldCharType="end"/>
      </w:r>
    </w:p>
    <w:p w14:paraId="2D4FA5A1" w14:textId="3ACBE3D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5B.2.02  Manner of certifying constituent documents</w:t>
      </w:r>
      <w:r>
        <w:rPr>
          <w:noProof/>
        </w:rPr>
        <w:tab/>
      </w:r>
      <w:r>
        <w:rPr>
          <w:noProof/>
        </w:rPr>
        <w:fldChar w:fldCharType="begin"/>
      </w:r>
      <w:r>
        <w:rPr>
          <w:noProof/>
        </w:rPr>
        <w:instrText xml:space="preserve"> PAGEREF _Toc158711891 \h </w:instrText>
      </w:r>
      <w:r>
        <w:rPr>
          <w:noProof/>
        </w:rPr>
      </w:r>
      <w:r>
        <w:rPr>
          <w:noProof/>
        </w:rPr>
        <w:fldChar w:fldCharType="separate"/>
      </w:r>
      <w:r>
        <w:rPr>
          <w:noProof/>
        </w:rPr>
        <w:t>140</w:t>
      </w:r>
      <w:r>
        <w:rPr>
          <w:noProof/>
        </w:rPr>
        <w:fldChar w:fldCharType="end"/>
      </w:r>
    </w:p>
    <w:p w14:paraId="6391DD50" w14:textId="773FA7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5B.2.03  Manner of sending letters (Act ss 601CC(2) and 601CL(3))</w:t>
      </w:r>
      <w:r>
        <w:rPr>
          <w:noProof/>
        </w:rPr>
        <w:tab/>
      </w:r>
      <w:r>
        <w:rPr>
          <w:noProof/>
        </w:rPr>
        <w:fldChar w:fldCharType="begin"/>
      </w:r>
      <w:r>
        <w:rPr>
          <w:noProof/>
        </w:rPr>
        <w:instrText xml:space="preserve"> PAGEREF _Toc158711892 \h </w:instrText>
      </w:r>
      <w:r>
        <w:rPr>
          <w:noProof/>
        </w:rPr>
      </w:r>
      <w:r>
        <w:rPr>
          <w:noProof/>
        </w:rPr>
        <w:fldChar w:fldCharType="separate"/>
      </w:r>
      <w:r>
        <w:rPr>
          <w:noProof/>
        </w:rPr>
        <w:t>140</w:t>
      </w:r>
      <w:r>
        <w:rPr>
          <w:noProof/>
        </w:rPr>
        <w:fldChar w:fldCharType="end"/>
      </w:r>
    </w:p>
    <w:p w14:paraId="6DE43F5E" w14:textId="16C1DDF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5B.2.04  Manner of sending notices (Act ss 601CC(3) and 601CL(4))</w:t>
      </w:r>
      <w:r>
        <w:rPr>
          <w:noProof/>
        </w:rPr>
        <w:tab/>
      </w:r>
      <w:r>
        <w:rPr>
          <w:noProof/>
        </w:rPr>
        <w:fldChar w:fldCharType="begin"/>
      </w:r>
      <w:r>
        <w:rPr>
          <w:noProof/>
        </w:rPr>
        <w:instrText xml:space="preserve"> PAGEREF _Toc158711893 \h </w:instrText>
      </w:r>
      <w:r>
        <w:rPr>
          <w:noProof/>
        </w:rPr>
      </w:r>
      <w:r>
        <w:rPr>
          <w:noProof/>
        </w:rPr>
        <w:fldChar w:fldCharType="separate"/>
      </w:r>
      <w:r>
        <w:rPr>
          <w:noProof/>
        </w:rPr>
        <w:t>140</w:t>
      </w:r>
      <w:r>
        <w:rPr>
          <w:noProof/>
        </w:rPr>
        <w:fldChar w:fldCharType="end"/>
      </w:r>
    </w:p>
    <w:p w14:paraId="685FFC45" w14:textId="25BB40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5B.2.05  Prescribed countries (Act s 601CDA(a))</w:t>
      </w:r>
      <w:r>
        <w:rPr>
          <w:noProof/>
        </w:rPr>
        <w:tab/>
      </w:r>
      <w:r>
        <w:rPr>
          <w:noProof/>
        </w:rPr>
        <w:fldChar w:fldCharType="begin"/>
      </w:r>
      <w:r>
        <w:rPr>
          <w:noProof/>
        </w:rPr>
        <w:instrText xml:space="preserve"> PAGEREF _Toc158711894 \h </w:instrText>
      </w:r>
      <w:r>
        <w:rPr>
          <w:noProof/>
        </w:rPr>
      </w:r>
      <w:r>
        <w:rPr>
          <w:noProof/>
        </w:rPr>
        <w:fldChar w:fldCharType="separate"/>
      </w:r>
      <w:r>
        <w:rPr>
          <w:noProof/>
        </w:rPr>
        <w:t>140</w:t>
      </w:r>
      <w:r>
        <w:rPr>
          <w:noProof/>
        </w:rPr>
        <w:fldChar w:fldCharType="end"/>
      </w:r>
    </w:p>
    <w:p w14:paraId="455DDE79" w14:textId="2ABD6FA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5B.2.06  Notices (Act s 601CV(1))</w:t>
      </w:r>
      <w:r>
        <w:rPr>
          <w:noProof/>
        </w:rPr>
        <w:tab/>
      </w:r>
      <w:r>
        <w:rPr>
          <w:noProof/>
        </w:rPr>
        <w:fldChar w:fldCharType="begin"/>
      </w:r>
      <w:r>
        <w:rPr>
          <w:noProof/>
        </w:rPr>
        <w:instrText xml:space="preserve"> PAGEREF _Toc158711895 \h </w:instrText>
      </w:r>
      <w:r>
        <w:rPr>
          <w:noProof/>
        </w:rPr>
      </w:r>
      <w:r>
        <w:rPr>
          <w:noProof/>
        </w:rPr>
        <w:fldChar w:fldCharType="separate"/>
      </w:r>
      <w:r>
        <w:rPr>
          <w:noProof/>
        </w:rPr>
        <w:t>141</w:t>
      </w:r>
      <w:r>
        <w:rPr>
          <w:noProof/>
        </w:rPr>
        <w:fldChar w:fldCharType="end"/>
      </w:r>
    </w:p>
    <w:p w14:paraId="3D2CA804" w14:textId="1AE83CF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5B.3—Names of registrable Australian bodies and foreign companies</w:t>
      </w:r>
      <w:r>
        <w:rPr>
          <w:noProof/>
        </w:rPr>
        <w:tab/>
      </w:r>
      <w:r>
        <w:rPr>
          <w:noProof/>
        </w:rPr>
        <w:fldChar w:fldCharType="begin"/>
      </w:r>
      <w:r>
        <w:rPr>
          <w:noProof/>
        </w:rPr>
        <w:instrText xml:space="preserve"> PAGEREF _Toc158711896 \h </w:instrText>
      </w:r>
      <w:r>
        <w:rPr>
          <w:noProof/>
        </w:rPr>
      </w:r>
      <w:r>
        <w:rPr>
          <w:noProof/>
        </w:rPr>
        <w:fldChar w:fldCharType="separate"/>
      </w:r>
      <w:r>
        <w:rPr>
          <w:noProof/>
        </w:rPr>
        <w:t>142</w:t>
      </w:r>
      <w:r>
        <w:rPr>
          <w:noProof/>
        </w:rPr>
        <w:fldChar w:fldCharType="end"/>
      </w:r>
    </w:p>
    <w:p w14:paraId="7536760B" w14:textId="08D237A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5B.3.01  Availability of names (Act s 601DC)</w:t>
      </w:r>
      <w:r>
        <w:rPr>
          <w:noProof/>
        </w:rPr>
        <w:tab/>
      </w:r>
      <w:r>
        <w:rPr>
          <w:noProof/>
        </w:rPr>
        <w:fldChar w:fldCharType="begin"/>
      </w:r>
      <w:r>
        <w:rPr>
          <w:noProof/>
        </w:rPr>
        <w:instrText xml:space="preserve"> PAGEREF _Toc158711897 \h </w:instrText>
      </w:r>
      <w:r>
        <w:rPr>
          <w:noProof/>
        </w:rPr>
      </w:r>
      <w:r>
        <w:rPr>
          <w:noProof/>
        </w:rPr>
        <w:fldChar w:fldCharType="separate"/>
      </w:r>
      <w:r>
        <w:rPr>
          <w:noProof/>
        </w:rPr>
        <w:t>142</w:t>
      </w:r>
      <w:r>
        <w:rPr>
          <w:noProof/>
        </w:rPr>
        <w:fldChar w:fldCharType="end"/>
      </w:r>
    </w:p>
    <w:p w14:paraId="455B86F9" w14:textId="5C0E4C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5B.3.02  Consents required for use of certain letters, words and expressions</w:t>
      </w:r>
      <w:r>
        <w:rPr>
          <w:noProof/>
        </w:rPr>
        <w:tab/>
      </w:r>
      <w:r>
        <w:rPr>
          <w:noProof/>
        </w:rPr>
        <w:fldChar w:fldCharType="begin"/>
      </w:r>
      <w:r>
        <w:rPr>
          <w:noProof/>
        </w:rPr>
        <w:instrText xml:space="preserve"> PAGEREF _Toc158711898 \h </w:instrText>
      </w:r>
      <w:r>
        <w:rPr>
          <w:noProof/>
        </w:rPr>
      </w:r>
      <w:r>
        <w:rPr>
          <w:noProof/>
        </w:rPr>
        <w:fldChar w:fldCharType="separate"/>
      </w:r>
      <w:r>
        <w:rPr>
          <w:noProof/>
        </w:rPr>
        <w:t>142</w:t>
      </w:r>
      <w:r>
        <w:rPr>
          <w:noProof/>
        </w:rPr>
        <w:fldChar w:fldCharType="end"/>
      </w:r>
    </w:p>
    <w:p w14:paraId="6355C56A" w14:textId="31A7464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5B.3.03  Exemptions from requirement to set out ARBN etc on certain documents (Act s 601DG)</w:t>
      </w:r>
      <w:r>
        <w:rPr>
          <w:noProof/>
        </w:rPr>
        <w:tab/>
      </w:r>
      <w:r>
        <w:rPr>
          <w:noProof/>
        </w:rPr>
        <w:fldChar w:fldCharType="begin"/>
      </w:r>
      <w:r>
        <w:rPr>
          <w:noProof/>
        </w:rPr>
        <w:instrText xml:space="preserve"> PAGEREF _Toc158711899 \h </w:instrText>
      </w:r>
      <w:r>
        <w:rPr>
          <w:noProof/>
        </w:rPr>
      </w:r>
      <w:r>
        <w:rPr>
          <w:noProof/>
        </w:rPr>
        <w:fldChar w:fldCharType="separate"/>
      </w:r>
      <w:r>
        <w:rPr>
          <w:noProof/>
        </w:rPr>
        <w:t>142</w:t>
      </w:r>
      <w:r>
        <w:rPr>
          <w:noProof/>
        </w:rPr>
        <w:fldChar w:fldCharType="end"/>
      </w:r>
    </w:p>
    <w:p w14:paraId="6C834DDE" w14:textId="51897A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5B.3.04  Notices (Act s 601DH(1))</w:t>
      </w:r>
      <w:r>
        <w:rPr>
          <w:noProof/>
        </w:rPr>
        <w:tab/>
      </w:r>
      <w:r>
        <w:rPr>
          <w:noProof/>
        </w:rPr>
        <w:fldChar w:fldCharType="begin"/>
      </w:r>
      <w:r>
        <w:rPr>
          <w:noProof/>
        </w:rPr>
        <w:instrText xml:space="preserve"> PAGEREF _Toc158711900 \h </w:instrText>
      </w:r>
      <w:r>
        <w:rPr>
          <w:noProof/>
        </w:rPr>
      </w:r>
      <w:r>
        <w:rPr>
          <w:noProof/>
        </w:rPr>
        <w:fldChar w:fldCharType="separate"/>
      </w:r>
      <w:r>
        <w:rPr>
          <w:noProof/>
        </w:rPr>
        <w:t>142</w:t>
      </w:r>
      <w:r>
        <w:rPr>
          <w:noProof/>
        </w:rPr>
        <w:fldChar w:fldCharType="end"/>
      </w:r>
    </w:p>
    <w:p w14:paraId="044F401A" w14:textId="1D4F839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5C—Managed investment schemes</w:t>
      </w:r>
      <w:r>
        <w:rPr>
          <w:noProof/>
        </w:rPr>
        <w:tab/>
      </w:r>
      <w:r>
        <w:rPr>
          <w:noProof/>
        </w:rPr>
        <w:fldChar w:fldCharType="begin"/>
      </w:r>
      <w:r>
        <w:rPr>
          <w:noProof/>
        </w:rPr>
        <w:instrText xml:space="preserve"> PAGEREF _Toc158711901 \h </w:instrText>
      </w:r>
      <w:r>
        <w:rPr>
          <w:noProof/>
        </w:rPr>
      </w:r>
      <w:r>
        <w:rPr>
          <w:noProof/>
        </w:rPr>
        <w:fldChar w:fldCharType="separate"/>
      </w:r>
      <w:r>
        <w:rPr>
          <w:noProof/>
        </w:rPr>
        <w:t>143</w:t>
      </w:r>
      <w:r>
        <w:rPr>
          <w:noProof/>
        </w:rPr>
        <w:fldChar w:fldCharType="end"/>
      </w:r>
    </w:p>
    <w:p w14:paraId="6F5AE20F" w14:textId="361059C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5C.1—Registration of managed investment schemes</w:t>
      </w:r>
      <w:r>
        <w:rPr>
          <w:noProof/>
        </w:rPr>
        <w:tab/>
      </w:r>
      <w:r>
        <w:rPr>
          <w:noProof/>
        </w:rPr>
        <w:fldChar w:fldCharType="begin"/>
      </w:r>
      <w:r>
        <w:rPr>
          <w:noProof/>
        </w:rPr>
        <w:instrText xml:space="preserve"> PAGEREF _Toc158711902 \h </w:instrText>
      </w:r>
      <w:r>
        <w:rPr>
          <w:noProof/>
        </w:rPr>
      </w:r>
      <w:r>
        <w:rPr>
          <w:noProof/>
        </w:rPr>
        <w:fldChar w:fldCharType="separate"/>
      </w:r>
      <w:r>
        <w:rPr>
          <w:noProof/>
        </w:rPr>
        <w:t>143</w:t>
      </w:r>
      <w:r>
        <w:rPr>
          <w:noProof/>
        </w:rPr>
        <w:fldChar w:fldCharType="end"/>
      </w:r>
    </w:p>
    <w:p w14:paraId="0C9F57A2" w14:textId="7CCBFCE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5C.1.01  Applying for registration</w:t>
      </w:r>
      <w:r>
        <w:rPr>
          <w:noProof/>
        </w:rPr>
        <w:tab/>
      </w:r>
      <w:r>
        <w:rPr>
          <w:noProof/>
        </w:rPr>
        <w:fldChar w:fldCharType="begin"/>
      </w:r>
      <w:r>
        <w:rPr>
          <w:noProof/>
        </w:rPr>
        <w:instrText xml:space="preserve"> PAGEREF _Toc158711903 \h </w:instrText>
      </w:r>
      <w:r>
        <w:rPr>
          <w:noProof/>
        </w:rPr>
      </w:r>
      <w:r>
        <w:rPr>
          <w:noProof/>
        </w:rPr>
        <w:fldChar w:fldCharType="separate"/>
      </w:r>
      <w:r>
        <w:rPr>
          <w:noProof/>
        </w:rPr>
        <w:t>143</w:t>
      </w:r>
      <w:r>
        <w:rPr>
          <w:noProof/>
        </w:rPr>
        <w:fldChar w:fldCharType="end"/>
      </w:r>
    </w:p>
    <w:p w14:paraId="57F190D5" w14:textId="2A00F00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5C.1.02  Change of name of registered schemes</w:t>
      </w:r>
      <w:r>
        <w:rPr>
          <w:noProof/>
        </w:rPr>
        <w:tab/>
      </w:r>
      <w:r>
        <w:rPr>
          <w:noProof/>
        </w:rPr>
        <w:fldChar w:fldCharType="begin"/>
      </w:r>
      <w:r>
        <w:rPr>
          <w:noProof/>
        </w:rPr>
        <w:instrText xml:space="preserve"> PAGEREF _Toc158711904 \h </w:instrText>
      </w:r>
      <w:r>
        <w:rPr>
          <w:noProof/>
        </w:rPr>
      </w:r>
      <w:r>
        <w:rPr>
          <w:noProof/>
        </w:rPr>
        <w:fldChar w:fldCharType="separate"/>
      </w:r>
      <w:r>
        <w:rPr>
          <w:noProof/>
        </w:rPr>
        <w:t>143</w:t>
      </w:r>
      <w:r>
        <w:rPr>
          <w:noProof/>
        </w:rPr>
        <w:fldChar w:fldCharType="end"/>
      </w:r>
    </w:p>
    <w:p w14:paraId="694E10F2" w14:textId="20BDDA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5C.1.03  Modification (Act s 601QB)</w:t>
      </w:r>
      <w:r>
        <w:rPr>
          <w:noProof/>
        </w:rPr>
        <w:tab/>
      </w:r>
      <w:r>
        <w:rPr>
          <w:noProof/>
        </w:rPr>
        <w:fldChar w:fldCharType="begin"/>
      </w:r>
      <w:r>
        <w:rPr>
          <w:noProof/>
        </w:rPr>
        <w:instrText xml:space="preserve"> PAGEREF _Toc158711905 \h </w:instrText>
      </w:r>
      <w:r>
        <w:rPr>
          <w:noProof/>
        </w:rPr>
      </w:r>
      <w:r>
        <w:rPr>
          <w:noProof/>
        </w:rPr>
        <w:fldChar w:fldCharType="separate"/>
      </w:r>
      <w:r>
        <w:rPr>
          <w:noProof/>
        </w:rPr>
        <w:t>143</w:t>
      </w:r>
      <w:r>
        <w:rPr>
          <w:noProof/>
        </w:rPr>
        <w:fldChar w:fldCharType="end"/>
      </w:r>
    </w:p>
    <w:p w14:paraId="72ECFE62" w14:textId="4C0537C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5C.2—The responsible entity</w:t>
      </w:r>
      <w:r>
        <w:rPr>
          <w:noProof/>
        </w:rPr>
        <w:tab/>
      </w:r>
      <w:r>
        <w:rPr>
          <w:noProof/>
        </w:rPr>
        <w:fldChar w:fldCharType="begin"/>
      </w:r>
      <w:r>
        <w:rPr>
          <w:noProof/>
        </w:rPr>
        <w:instrText xml:space="preserve"> PAGEREF _Toc158711906 \h </w:instrText>
      </w:r>
      <w:r>
        <w:rPr>
          <w:noProof/>
        </w:rPr>
      </w:r>
      <w:r>
        <w:rPr>
          <w:noProof/>
        </w:rPr>
        <w:fldChar w:fldCharType="separate"/>
      </w:r>
      <w:r>
        <w:rPr>
          <w:noProof/>
        </w:rPr>
        <w:t>144</w:t>
      </w:r>
      <w:r>
        <w:rPr>
          <w:noProof/>
        </w:rPr>
        <w:fldChar w:fldCharType="end"/>
      </w:r>
    </w:p>
    <w:p w14:paraId="08E7FA14" w14:textId="500464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5C.2.01  Duty of responsible entities’ agents—surveillance checks</w:t>
      </w:r>
      <w:r>
        <w:rPr>
          <w:noProof/>
        </w:rPr>
        <w:tab/>
      </w:r>
      <w:r>
        <w:rPr>
          <w:noProof/>
        </w:rPr>
        <w:fldChar w:fldCharType="begin"/>
      </w:r>
      <w:r>
        <w:rPr>
          <w:noProof/>
        </w:rPr>
        <w:instrText xml:space="preserve"> PAGEREF _Toc158711907 \h </w:instrText>
      </w:r>
      <w:r>
        <w:rPr>
          <w:noProof/>
        </w:rPr>
      </w:r>
      <w:r>
        <w:rPr>
          <w:noProof/>
        </w:rPr>
        <w:fldChar w:fldCharType="separate"/>
      </w:r>
      <w:r>
        <w:rPr>
          <w:noProof/>
        </w:rPr>
        <w:t>144</w:t>
      </w:r>
      <w:r>
        <w:rPr>
          <w:noProof/>
        </w:rPr>
        <w:fldChar w:fldCharType="end"/>
      </w:r>
    </w:p>
    <w:p w14:paraId="46718A23" w14:textId="2DBC02B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5C.2.02  Appointment of temporary responsible entities</w:t>
      </w:r>
      <w:r>
        <w:rPr>
          <w:noProof/>
        </w:rPr>
        <w:tab/>
      </w:r>
      <w:r>
        <w:rPr>
          <w:noProof/>
        </w:rPr>
        <w:fldChar w:fldCharType="begin"/>
      </w:r>
      <w:r>
        <w:rPr>
          <w:noProof/>
        </w:rPr>
        <w:instrText xml:space="preserve"> PAGEREF _Toc158711908 \h </w:instrText>
      </w:r>
      <w:r>
        <w:rPr>
          <w:noProof/>
        </w:rPr>
      </w:r>
      <w:r>
        <w:rPr>
          <w:noProof/>
        </w:rPr>
        <w:fldChar w:fldCharType="separate"/>
      </w:r>
      <w:r>
        <w:rPr>
          <w:noProof/>
        </w:rPr>
        <w:t>144</w:t>
      </w:r>
      <w:r>
        <w:rPr>
          <w:noProof/>
        </w:rPr>
        <w:fldChar w:fldCharType="end"/>
      </w:r>
    </w:p>
    <w:p w14:paraId="0CCD3563" w14:textId="5CE434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5C.2.03  Form of notices (Act ss 601FL(2) and 601FM(2))</w:t>
      </w:r>
      <w:r>
        <w:rPr>
          <w:noProof/>
        </w:rPr>
        <w:tab/>
      </w:r>
      <w:r>
        <w:rPr>
          <w:noProof/>
        </w:rPr>
        <w:fldChar w:fldCharType="begin"/>
      </w:r>
      <w:r>
        <w:rPr>
          <w:noProof/>
        </w:rPr>
        <w:instrText xml:space="preserve"> PAGEREF _Toc158711909 \h </w:instrText>
      </w:r>
      <w:r>
        <w:rPr>
          <w:noProof/>
        </w:rPr>
      </w:r>
      <w:r>
        <w:rPr>
          <w:noProof/>
        </w:rPr>
        <w:fldChar w:fldCharType="separate"/>
      </w:r>
      <w:r>
        <w:rPr>
          <w:noProof/>
        </w:rPr>
        <w:t>144</w:t>
      </w:r>
      <w:r>
        <w:rPr>
          <w:noProof/>
        </w:rPr>
        <w:fldChar w:fldCharType="end"/>
      </w:r>
    </w:p>
    <w:p w14:paraId="3785D42F" w14:textId="0370E2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5C.2.04  Notice of appointment of temporary responsible entities</w:t>
      </w:r>
      <w:r>
        <w:rPr>
          <w:noProof/>
        </w:rPr>
        <w:tab/>
      </w:r>
      <w:r>
        <w:rPr>
          <w:noProof/>
        </w:rPr>
        <w:fldChar w:fldCharType="begin"/>
      </w:r>
      <w:r>
        <w:rPr>
          <w:noProof/>
        </w:rPr>
        <w:instrText xml:space="preserve"> PAGEREF _Toc158711910 \h </w:instrText>
      </w:r>
      <w:r>
        <w:rPr>
          <w:noProof/>
        </w:rPr>
      </w:r>
      <w:r>
        <w:rPr>
          <w:noProof/>
        </w:rPr>
        <w:fldChar w:fldCharType="separate"/>
      </w:r>
      <w:r>
        <w:rPr>
          <w:noProof/>
        </w:rPr>
        <w:t>144</w:t>
      </w:r>
      <w:r>
        <w:rPr>
          <w:noProof/>
        </w:rPr>
        <w:fldChar w:fldCharType="end"/>
      </w:r>
    </w:p>
    <w:p w14:paraId="2429D1EA" w14:textId="389063C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5C.2.05  Form of notices (Act s 601FP(3))</w:t>
      </w:r>
      <w:r>
        <w:rPr>
          <w:noProof/>
        </w:rPr>
        <w:tab/>
      </w:r>
      <w:r>
        <w:rPr>
          <w:noProof/>
        </w:rPr>
        <w:fldChar w:fldCharType="begin"/>
      </w:r>
      <w:r>
        <w:rPr>
          <w:noProof/>
        </w:rPr>
        <w:instrText xml:space="preserve"> PAGEREF _Toc158711911 \h </w:instrText>
      </w:r>
      <w:r>
        <w:rPr>
          <w:noProof/>
        </w:rPr>
      </w:r>
      <w:r>
        <w:rPr>
          <w:noProof/>
        </w:rPr>
        <w:fldChar w:fldCharType="separate"/>
      </w:r>
      <w:r>
        <w:rPr>
          <w:noProof/>
        </w:rPr>
        <w:t>144</w:t>
      </w:r>
      <w:r>
        <w:rPr>
          <w:noProof/>
        </w:rPr>
        <w:fldChar w:fldCharType="end"/>
      </w:r>
    </w:p>
    <w:p w14:paraId="7366B261" w14:textId="15D2927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lastRenderedPageBreak/>
        <w:t>Part 5C.4—The compliance plan</w:t>
      </w:r>
      <w:r>
        <w:rPr>
          <w:noProof/>
        </w:rPr>
        <w:tab/>
      </w:r>
      <w:r>
        <w:rPr>
          <w:noProof/>
        </w:rPr>
        <w:fldChar w:fldCharType="begin"/>
      </w:r>
      <w:r>
        <w:rPr>
          <w:noProof/>
        </w:rPr>
        <w:instrText xml:space="preserve"> PAGEREF _Toc158711912 \h </w:instrText>
      </w:r>
      <w:r>
        <w:rPr>
          <w:noProof/>
        </w:rPr>
      </w:r>
      <w:r>
        <w:rPr>
          <w:noProof/>
        </w:rPr>
        <w:fldChar w:fldCharType="separate"/>
      </w:r>
      <w:r>
        <w:rPr>
          <w:noProof/>
        </w:rPr>
        <w:t>145</w:t>
      </w:r>
      <w:r>
        <w:rPr>
          <w:noProof/>
        </w:rPr>
        <w:fldChar w:fldCharType="end"/>
      </w:r>
    </w:p>
    <w:p w14:paraId="45D6322B" w14:textId="68296E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5C.4.01  Agents’ authorities to be lodged</w:t>
      </w:r>
      <w:r>
        <w:rPr>
          <w:noProof/>
        </w:rPr>
        <w:tab/>
      </w:r>
      <w:r>
        <w:rPr>
          <w:noProof/>
        </w:rPr>
        <w:fldChar w:fldCharType="begin"/>
      </w:r>
      <w:r>
        <w:rPr>
          <w:noProof/>
        </w:rPr>
        <w:instrText xml:space="preserve"> PAGEREF _Toc158711913 \h </w:instrText>
      </w:r>
      <w:r>
        <w:rPr>
          <w:noProof/>
        </w:rPr>
      </w:r>
      <w:r>
        <w:rPr>
          <w:noProof/>
        </w:rPr>
        <w:fldChar w:fldCharType="separate"/>
      </w:r>
      <w:r>
        <w:rPr>
          <w:noProof/>
        </w:rPr>
        <w:t>145</w:t>
      </w:r>
      <w:r>
        <w:rPr>
          <w:noProof/>
        </w:rPr>
        <w:fldChar w:fldCharType="end"/>
      </w:r>
    </w:p>
    <w:p w14:paraId="454F6A12" w14:textId="563E9C6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5C.4.02  Agents to assist auditors of compliance plans</w:t>
      </w:r>
      <w:r>
        <w:rPr>
          <w:noProof/>
        </w:rPr>
        <w:tab/>
      </w:r>
      <w:r>
        <w:rPr>
          <w:noProof/>
        </w:rPr>
        <w:fldChar w:fldCharType="begin"/>
      </w:r>
      <w:r>
        <w:rPr>
          <w:noProof/>
        </w:rPr>
        <w:instrText xml:space="preserve"> PAGEREF _Toc158711914 \h </w:instrText>
      </w:r>
      <w:r>
        <w:rPr>
          <w:noProof/>
        </w:rPr>
      </w:r>
      <w:r>
        <w:rPr>
          <w:noProof/>
        </w:rPr>
        <w:fldChar w:fldCharType="separate"/>
      </w:r>
      <w:r>
        <w:rPr>
          <w:noProof/>
        </w:rPr>
        <w:t>145</w:t>
      </w:r>
      <w:r>
        <w:rPr>
          <w:noProof/>
        </w:rPr>
        <w:fldChar w:fldCharType="end"/>
      </w:r>
    </w:p>
    <w:p w14:paraId="12A51533" w14:textId="245A7B1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5C.5—The compliance committee</w:t>
      </w:r>
      <w:r>
        <w:rPr>
          <w:noProof/>
        </w:rPr>
        <w:tab/>
      </w:r>
      <w:r>
        <w:rPr>
          <w:noProof/>
        </w:rPr>
        <w:fldChar w:fldCharType="begin"/>
      </w:r>
      <w:r>
        <w:rPr>
          <w:noProof/>
        </w:rPr>
        <w:instrText xml:space="preserve"> PAGEREF _Toc158711915 \h </w:instrText>
      </w:r>
      <w:r>
        <w:rPr>
          <w:noProof/>
        </w:rPr>
      </w:r>
      <w:r>
        <w:rPr>
          <w:noProof/>
        </w:rPr>
        <w:fldChar w:fldCharType="separate"/>
      </w:r>
      <w:r>
        <w:rPr>
          <w:noProof/>
        </w:rPr>
        <w:t>146</w:t>
      </w:r>
      <w:r>
        <w:rPr>
          <w:noProof/>
        </w:rPr>
        <w:fldChar w:fldCharType="end"/>
      </w:r>
    </w:p>
    <w:p w14:paraId="622B0524" w14:textId="6131DDB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5C.5.01  Responsible entities etc to assist compliance committees</w:t>
      </w:r>
      <w:r>
        <w:rPr>
          <w:noProof/>
        </w:rPr>
        <w:tab/>
      </w:r>
      <w:r>
        <w:rPr>
          <w:noProof/>
        </w:rPr>
        <w:fldChar w:fldCharType="begin"/>
      </w:r>
      <w:r>
        <w:rPr>
          <w:noProof/>
        </w:rPr>
        <w:instrText xml:space="preserve"> PAGEREF _Toc158711916 \h </w:instrText>
      </w:r>
      <w:r>
        <w:rPr>
          <w:noProof/>
        </w:rPr>
      </w:r>
      <w:r>
        <w:rPr>
          <w:noProof/>
        </w:rPr>
        <w:fldChar w:fldCharType="separate"/>
      </w:r>
      <w:r>
        <w:rPr>
          <w:noProof/>
        </w:rPr>
        <w:t>146</w:t>
      </w:r>
      <w:r>
        <w:rPr>
          <w:noProof/>
        </w:rPr>
        <w:fldChar w:fldCharType="end"/>
      </w:r>
    </w:p>
    <w:p w14:paraId="27711816" w14:textId="58FD977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5C.9—Winding up</w:t>
      </w:r>
      <w:r>
        <w:rPr>
          <w:noProof/>
        </w:rPr>
        <w:tab/>
      </w:r>
      <w:r>
        <w:rPr>
          <w:noProof/>
        </w:rPr>
        <w:fldChar w:fldCharType="begin"/>
      </w:r>
      <w:r>
        <w:rPr>
          <w:noProof/>
        </w:rPr>
        <w:instrText xml:space="preserve"> PAGEREF _Toc158711917 \h </w:instrText>
      </w:r>
      <w:r>
        <w:rPr>
          <w:noProof/>
        </w:rPr>
      </w:r>
      <w:r>
        <w:rPr>
          <w:noProof/>
        </w:rPr>
        <w:fldChar w:fldCharType="separate"/>
      </w:r>
      <w:r>
        <w:rPr>
          <w:noProof/>
        </w:rPr>
        <w:t>147</w:t>
      </w:r>
      <w:r>
        <w:rPr>
          <w:noProof/>
        </w:rPr>
        <w:fldChar w:fldCharType="end"/>
      </w:r>
    </w:p>
    <w:p w14:paraId="38B5CDF2" w14:textId="49B5C1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5C.9.01  Notice of commencement of winding up</w:t>
      </w:r>
      <w:r>
        <w:rPr>
          <w:noProof/>
        </w:rPr>
        <w:tab/>
      </w:r>
      <w:r>
        <w:rPr>
          <w:noProof/>
        </w:rPr>
        <w:fldChar w:fldCharType="begin"/>
      </w:r>
      <w:r>
        <w:rPr>
          <w:noProof/>
        </w:rPr>
        <w:instrText xml:space="preserve"> PAGEREF _Toc158711918 \h </w:instrText>
      </w:r>
      <w:r>
        <w:rPr>
          <w:noProof/>
        </w:rPr>
      </w:r>
      <w:r>
        <w:rPr>
          <w:noProof/>
        </w:rPr>
        <w:fldChar w:fldCharType="separate"/>
      </w:r>
      <w:r>
        <w:rPr>
          <w:noProof/>
        </w:rPr>
        <w:t>147</w:t>
      </w:r>
      <w:r>
        <w:rPr>
          <w:noProof/>
        </w:rPr>
        <w:fldChar w:fldCharType="end"/>
      </w:r>
    </w:p>
    <w:p w14:paraId="31AAA178" w14:textId="45FB9CA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5C.11—Exemptions and modifications</w:t>
      </w:r>
      <w:r>
        <w:rPr>
          <w:noProof/>
        </w:rPr>
        <w:tab/>
      </w:r>
      <w:r>
        <w:rPr>
          <w:noProof/>
        </w:rPr>
        <w:fldChar w:fldCharType="begin"/>
      </w:r>
      <w:r>
        <w:rPr>
          <w:noProof/>
        </w:rPr>
        <w:instrText xml:space="preserve"> PAGEREF _Toc158711919 \h </w:instrText>
      </w:r>
      <w:r>
        <w:rPr>
          <w:noProof/>
        </w:rPr>
      </w:r>
      <w:r>
        <w:rPr>
          <w:noProof/>
        </w:rPr>
        <w:fldChar w:fldCharType="separate"/>
      </w:r>
      <w:r>
        <w:rPr>
          <w:noProof/>
        </w:rPr>
        <w:t>148</w:t>
      </w:r>
      <w:r>
        <w:rPr>
          <w:noProof/>
        </w:rPr>
        <w:fldChar w:fldCharType="end"/>
      </w:r>
    </w:p>
    <w:p w14:paraId="7A01494A" w14:textId="4252A40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1—Exemptions</w:t>
      </w:r>
      <w:r>
        <w:rPr>
          <w:noProof/>
        </w:rPr>
        <w:tab/>
      </w:r>
      <w:r>
        <w:rPr>
          <w:noProof/>
        </w:rPr>
        <w:fldChar w:fldCharType="begin"/>
      </w:r>
      <w:r>
        <w:rPr>
          <w:noProof/>
        </w:rPr>
        <w:instrText xml:space="preserve"> PAGEREF _Toc158711920 \h </w:instrText>
      </w:r>
      <w:r>
        <w:rPr>
          <w:noProof/>
        </w:rPr>
      </w:r>
      <w:r>
        <w:rPr>
          <w:noProof/>
        </w:rPr>
        <w:fldChar w:fldCharType="separate"/>
      </w:r>
      <w:r>
        <w:rPr>
          <w:noProof/>
        </w:rPr>
        <w:t>148</w:t>
      </w:r>
      <w:r>
        <w:rPr>
          <w:noProof/>
        </w:rPr>
        <w:fldChar w:fldCharType="end"/>
      </w:r>
    </w:p>
    <w:p w14:paraId="1E658DC7" w14:textId="49E1B08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5C.11.01  Certain schemes not managed investment schemes</w:t>
      </w:r>
      <w:r>
        <w:rPr>
          <w:noProof/>
        </w:rPr>
        <w:tab/>
      </w:r>
      <w:r>
        <w:rPr>
          <w:noProof/>
        </w:rPr>
        <w:fldChar w:fldCharType="begin"/>
      </w:r>
      <w:r>
        <w:rPr>
          <w:noProof/>
        </w:rPr>
        <w:instrText xml:space="preserve"> PAGEREF _Toc158711921 \h </w:instrText>
      </w:r>
      <w:r>
        <w:rPr>
          <w:noProof/>
        </w:rPr>
      </w:r>
      <w:r>
        <w:rPr>
          <w:noProof/>
        </w:rPr>
        <w:fldChar w:fldCharType="separate"/>
      </w:r>
      <w:r>
        <w:rPr>
          <w:noProof/>
        </w:rPr>
        <w:t>148</w:t>
      </w:r>
      <w:r>
        <w:rPr>
          <w:noProof/>
        </w:rPr>
        <w:fldChar w:fldCharType="end"/>
      </w:r>
    </w:p>
    <w:p w14:paraId="38FCC25E" w14:textId="102C64E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2—Modifications</w:t>
      </w:r>
      <w:r>
        <w:rPr>
          <w:noProof/>
        </w:rPr>
        <w:tab/>
      </w:r>
      <w:r>
        <w:rPr>
          <w:noProof/>
        </w:rPr>
        <w:fldChar w:fldCharType="begin"/>
      </w:r>
      <w:r>
        <w:rPr>
          <w:noProof/>
        </w:rPr>
        <w:instrText xml:space="preserve"> PAGEREF _Toc158711922 \h </w:instrText>
      </w:r>
      <w:r>
        <w:rPr>
          <w:noProof/>
        </w:rPr>
      </w:r>
      <w:r>
        <w:rPr>
          <w:noProof/>
        </w:rPr>
        <w:fldChar w:fldCharType="separate"/>
      </w:r>
      <w:r>
        <w:rPr>
          <w:noProof/>
        </w:rPr>
        <w:t>150</w:t>
      </w:r>
      <w:r>
        <w:rPr>
          <w:noProof/>
        </w:rPr>
        <w:fldChar w:fldCharType="end"/>
      </w:r>
    </w:p>
    <w:p w14:paraId="53B95708" w14:textId="4CBEF72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5C.11.02  Modifications</w:t>
      </w:r>
      <w:r>
        <w:rPr>
          <w:noProof/>
        </w:rPr>
        <w:tab/>
      </w:r>
      <w:r>
        <w:rPr>
          <w:noProof/>
        </w:rPr>
        <w:fldChar w:fldCharType="begin"/>
      </w:r>
      <w:r>
        <w:rPr>
          <w:noProof/>
        </w:rPr>
        <w:instrText xml:space="preserve"> PAGEREF _Toc158711923 \h </w:instrText>
      </w:r>
      <w:r>
        <w:rPr>
          <w:noProof/>
        </w:rPr>
      </w:r>
      <w:r>
        <w:rPr>
          <w:noProof/>
        </w:rPr>
        <w:fldChar w:fldCharType="separate"/>
      </w:r>
      <w:r>
        <w:rPr>
          <w:noProof/>
        </w:rPr>
        <w:t>150</w:t>
      </w:r>
      <w:r>
        <w:rPr>
          <w:noProof/>
        </w:rPr>
        <w:fldChar w:fldCharType="end"/>
      </w:r>
    </w:p>
    <w:p w14:paraId="084CA14E" w14:textId="7EB74DD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5C.11.03  Register of members of registered schemes (Act s 169(1))</w:t>
      </w:r>
      <w:r>
        <w:rPr>
          <w:noProof/>
        </w:rPr>
        <w:tab/>
      </w:r>
      <w:r>
        <w:rPr>
          <w:noProof/>
        </w:rPr>
        <w:fldChar w:fldCharType="begin"/>
      </w:r>
      <w:r>
        <w:rPr>
          <w:noProof/>
        </w:rPr>
        <w:instrText xml:space="preserve"> PAGEREF _Toc158711924 \h </w:instrText>
      </w:r>
      <w:r>
        <w:rPr>
          <w:noProof/>
        </w:rPr>
      </w:r>
      <w:r>
        <w:rPr>
          <w:noProof/>
        </w:rPr>
        <w:fldChar w:fldCharType="separate"/>
      </w:r>
      <w:r>
        <w:rPr>
          <w:noProof/>
        </w:rPr>
        <w:t>150</w:t>
      </w:r>
      <w:r>
        <w:rPr>
          <w:noProof/>
        </w:rPr>
        <w:fldChar w:fldCharType="end"/>
      </w:r>
    </w:p>
    <w:p w14:paraId="7ED4E72D" w14:textId="56D858F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5C.11.03A  How to work out the value of an interest</w:t>
      </w:r>
      <w:r>
        <w:rPr>
          <w:noProof/>
        </w:rPr>
        <w:tab/>
      </w:r>
      <w:r>
        <w:rPr>
          <w:noProof/>
        </w:rPr>
        <w:fldChar w:fldCharType="begin"/>
      </w:r>
      <w:r>
        <w:rPr>
          <w:noProof/>
        </w:rPr>
        <w:instrText xml:space="preserve"> PAGEREF _Toc158711925 \h </w:instrText>
      </w:r>
      <w:r>
        <w:rPr>
          <w:noProof/>
        </w:rPr>
      </w:r>
      <w:r>
        <w:rPr>
          <w:noProof/>
        </w:rPr>
        <w:fldChar w:fldCharType="separate"/>
      </w:r>
      <w:r>
        <w:rPr>
          <w:noProof/>
        </w:rPr>
        <w:t>150</w:t>
      </w:r>
      <w:r>
        <w:rPr>
          <w:noProof/>
        </w:rPr>
        <w:fldChar w:fldCharType="end"/>
      </w:r>
    </w:p>
    <w:p w14:paraId="48B5B23E" w14:textId="04FB8CF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5C.11.04  Names of registered schemes (Act s 601EB(1))</w:t>
      </w:r>
      <w:r>
        <w:rPr>
          <w:noProof/>
        </w:rPr>
        <w:tab/>
      </w:r>
      <w:r>
        <w:rPr>
          <w:noProof/>
        </w:rPr>
        <w:fldChar w:fldCharType="begin"/>
      </w:r>
      <w:r>
        <w:rPr>
          <w:noProof/>
        </w:rPr>
        <w:instrText xml:space="preserve"> PAGEREF _Toc158711926 \h </w:instrText>
      </w:r>
      <w:r>
        <w:rPr>
          <w:noProof/>
        </w:rPr>
      </w:r>
      <w:r>
        <w:rPr>
          <w:noProof/>
        </w:rPr>
        <w:fldChar w:fldCharType="separate"/>
      </w:r>
      <w:r>
        <w:rPr>
          <w:noProof/>
        </w:rPr>
        <w:t>150</w:t>
      </w:r>
      <w:r>
        <w:rPr>
          <w:noProof/>
        </w:rPr>
        <w:fldChar w:fldCharType="end"/>
      </w:r>
    </w:p>
    <w:p w14:paraId="7D83C8F7" w14:textId="6458255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5C.11.05A  Schemes not required to be registered (Act s 601ED)</w:t>
      </w:r>
      <w:r>
        <w:rPr>
          <w:noProof/>
        </w:rPr>
        <w:tab/>
      </w:r>
      <w:r>
        <w:rPr>
          <w:noProof/>
        </w:rPr>
        <w:fldChar w:fldCharType="begin"/>
      </w:r>
      <w:r>
        <w:rPr>
          <w:noProof/>
        </w:rPr>
        <w:instrText xml:space="preserve"> PAGEREF _Toc158711927 \h </w:instrText>
      </w:r>
      <w:r>
        <w:rPr>
          <w:noProof/>
        </w:rPr>
      </w:r>
      <w:r>
        <w:rPr>
          <w:noProof/>
        </w:rPr>
        <w:fldChar w:fldCharType="separate"/>
      </w:r>
      <w:r>
        <w:rPr>
          <w:noProof/>
        </w:rPr>
        <w:t>150</w:t>
      </w:r>
      <w:r>
        <w:rPr>
          <w:noProof/>
        </w:rPr>
        <w:fldChar w:fldCharType="end"/>
      </w:r>
    </w:p>
    <w:p w14:paraId="43C1A0C5" w14:textId="18A9793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5C.11.06  Liability of responsible entities (Act s 601FB(4))</w:t>
      </w:r>
      <w:r>
        <w:rPr>
          <w:noProof/>
        </w:rPr>
        <w:tab/>
      </w:r>
      <w:r>
        <w:rPr>
          <w:noProof/>
        </w:rPr>
        <w:fldChar w:fldCharType="begin"/>
      </w:r>
      <w:r>
        <w:rPr>
          <w:noProof/>
        </w:rPr>
        <w:instrText xml:space="preserve"> PAGEREF _Toc158711928 \h </w:instrText>
      </w:r>
      <w:r>
        <w:rPr>
          <w:noProof/>
        </w:rPr>
      </w:r>
      <w:r>
        <w:rPr>
          <w:noProof/>
        </w:rPr>
        <w:fldChar w:fldCharType="separate"/>
      </w:r>
      <w:r>
        <w:rPr>
          <w:noProof/>
        </w:rPr>
        <w:t>150</w:t>
      </w:r>
      <w:r>
        <w:rPr>
          <w:noProof/>
        </w:rPr>
        <w:fldChar w:fldCharType="end"/>
      </w:r>
    </w:p>
    <w:p w14:paraId="764174EA" w14:textId="157C6AF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5D—Licensed trustee companies</w:t>
      </w:r>
      <w:r>
        <w:rPr>
          <w:noProof/>
        </w:rPr>
        <w:tab/>
      </w:r>
      <w:r>
        <w:rPr>
          <w:noProof/>
        </w:rPr>
        <w:fldChar w:fldCharType="begin"/>
      </w:r>
      <w:r>
        <w:rPr>
          <w:noProof/>
        </w:rPr>
        <w:instrText xml:space="preserve"> PAGEREF _Toc158711929 \h </w:instrText>
      </w:r>
      <w:r>
        <w:rPr>
          <w:noProof/>
        </w:rPr>
      </w:r>
      <w:r>
        <w:rPr>
          <w:noProof/>
        </w:rPr>
        <w:fldChar w:fldCharType="separate"/>
      </w:r>
      <w:r>
        <w:rPr>
          <w:noProof/>
        </w:rPr>
        <w:t>151</w:t>
      </w:r>
      <w:r>
        <w:rPr>
          <w:noProof/>
        </w:rPr>
        <w:fldChar w:fldCharType="end"/>
      </w:r>
    </w:p>
    <w:p w14:paraId="482F1C8F" w14:textId="10AF4C0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5D.1—Preliminary</w:t>
      </w:r>
      <w:r>
        <w:rPr>
          <w:noProof/>
        </w:rPr>
        <w:tab/>
      </w:r>
      <w:r>
        <w:rPr>
          <w:noProof/>
        </w:rPr>
        <w:fldChar w:fldCharType="begin"/>
      </w:r>
      <w:r>
        <w:rPr>
          <w:noProof/>
        </w:rPr>
        <w:instrText xml:space="preserve"> PAGEREF _Toc158711930 \h </w:instrText>
      </w:r>
      <w:r>
        <w:rPr>
          <w:noProof/>
        </w:rPr>
      </w:r>
      <w:r>
        <w:rPr>
          <w:noProof/>
        </w:rPr>
        <w:fldChar w:fldCharType="separate"/>
      </w:r>
      <w:r>
        <w:rPr>
          <w:noProof/>
        </w:rPr>
        <w:t>151</w:t>
      </w:r>
      <w:r>
        <w:rPr>
          <w:noProof/>
        </w:rPr>
        <w:fldChar w:fldCharType="end"/>
      </w:r>
    </w:p>
    <w:p w14:paraId="526774FC" w14:textId="4F939A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5D.1.01  Prescribed requirements for publication</w:t>
      </w:r>
      <w:r>
        <w:rPr>
          <w:noProof/>
        </w:rPr>
        <w:tab/>
      </w:r>
      <w:r>
        <w:rPr>
          <w:noProof/>
        </w:rPr>
        <w:fldChar w:fldCharType="begin"/>
      </w:r>
      <w:r>
        <w:rPr>
          <w:noProof/>
        </w:rPr>
        <w:instrText xml:space="preserve"> PAGEREF _Toc158711931 \h </w:instrText>
      </w:r>
      <w:r>
        <w:rPr>
          <w:noProof/>
        </w:rPr>
      </w:r>
      <w:r>
        <w:rPr>
          <w:noProof/>
        </w:rPr>
        <w:fldChar w:fldCharType="separate"/>
      </w:r>
      <w:r>
        <w:rPr>
          <w:noProof/>
        </w:rPr>
        <w:t>151</w:t>
      </w:r>
      <w:r>
        <w:rPr>
          <w:noProof/>
        </w:rPr>
        <w:fldChar w:fldCharType="end"/>
      </w:r>
    </w:p>
    <w:p w14:paraId="65FFDBFC" w14:textId="1B0C531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5D.1.01A  Meaning of </w:t>
      </w:r>
      <w:r w:rsidRPr="00FC743A">
        <w:rPr>
          <w:i/>
          <w:noProof/>
        </w:rPr>
        <w:t>trustee company</w:t>
      </w:r>
      <w:r>
        <w:rPr>
          <w:noProof/>
        </w:rPr>
        <w:tab/>
      </w:r>
      <w:r>
        <w:rPr>
          <w:noProof/>
        </w:rPr>
        <w:fldChar w:fldCharType="begin"/>
      </w:r>
      <w:r>
        <w:rPr>
          <w:noProof/>
        </w:rPr>
        <w:instrText xml:space="preserve"> PAGEREF _Toc158711932 \h </w:instrText>
      </w:r>
      <w:r>
        <w:rPr>
          <w:noProof/>
        </w:rPr>
      </w:r>
      <w:r>
        <w:rPr>
          <w:noProof/>
        </w:rPr>
        <w:fldChar w:fldCharType="separate"/>
      </w:r>
      <w:r>
        <w:rPr>
          <w:noProof/>
        </w:rPr>
        <w:t>151</w:t>
      </w:r>
      <w:r>
        <w:rPr>
          <w:noProof/>
        </w:rPr>
        <w:fldChar w:fldCharType="end"/>
      </w:r>
    </w:p>
    <w:p w14:paraId="23A736BA" w14:textId="7BF2FF9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5D.1.02  Meaning of </w:t>
      </w:r>
      <w:r w:rsidRPr="00FC743A">
        <w:rPr>
          <w:i/>
          <w:noProof/>
        </w:rPr>
        <w:t xml:space="preserve">traditional trustee company services </w:t>
      </w:r>
      <w:r>
        <w:rPr>
          <w:noProof/>
        </w:rPr>
        <w:t xml:space="preserve">and </w:t>
      </w:r>
      <w:r w:rsidRPr="00FC743A">
        <w:rPr>
          <w:i/>
          <w:noProof/>
        </w:rPr>
        <w:t>estate management functions</w:t>
      </w:r>
      <w:r>
        <w:rPr>
          <w:noProof/>
        </w:rPr>
        <w:tab/>
      </w:r>
      <w:r>
        <w:rPr>
          <w:noProof/>
        </w:rPr>
        <w:fldChar w:fldCharType="begin"/>
      </w:r>
      <w:r>
        <w:rPr>
          <w:noProof/>
        </w:rPr>
        <w:instrText xml:space="preserve"> PAGEREF _Toc158711933 \h </w:instrText>
      </w:r>
      <w:r>
        <w:rPr>
          <w:noProof/>
        </w:rPr>
      </w:r>
      <w:r>
        <w:rPr>
          <w:noProof/>
        </w:rPr>
        <w:fldChar w:fldCharType="separate"/>
      </w:r>
      <w:r>
        <w:rPr>
          <w:noProof/>
        </w:rPr>
        <w:t>151</w:t>
      </w:r>
      <w:r>
        <w:rPr>
          <w:noProof/>
        </w:rPr>
        <w:fldChar w:fldCharType="end"/>
      </w:r>
    </w:p>
    <w:p w14:paraId="60EB51CA" w14:textId="0C32B21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5D.1.03  Meaning of </w:t>
      </w:r>
      <w:r w:rsidRPr="00FC743A">
        <w:rPr>
          <w:i/>
          <w:noProof/>
        </w:rPr>
        <w:t>mortgage</w:t>
      </w:r>
      <w:r w:rsidRPr="00FC743A">
        <w:rPr>
          <w:i/>
          <w:noProof/>
        </w:rPr>
        <w:noBreakHyphen/>
        <w:t>backed security</w:t>
      </w:r>
      <w:r>
        <w:rPr>
          <w:noProof/>
        </w:rPr>
        <w:tab/>
      </w:r>
      <w:r>
        <w:rPr>
          <w:noProof/>
        </w:rPr>
        <w:fldChar w:fldCharType="begin"/>
      </w:r>
      <w:r>
        <w:rPr>
          <w:noProof/>
        </w:rPr>
        <w:instrText xml:space="preserve"> PAGEREF _Toc158711934 \h </w:instrText>
      </w:r>
      <w:r>
        <w:rPr>
          <w:noProof/>
        </w:rPr>
      </w:r>
      <w:r>
        <w:rPr>
          <w:noProof/>
        </w:rPr>
        <w:fldChar w:fldCharType="separate"/>
      </w:r>
      <w:r>
        <w:rPr>
          <w:noProof/>
        </w:rPr>
        <w:t>152</w:t>
      </w:r>
      <w:r>
        <w:rPr>
          <w:noProof/>
        </w:rPr>
        <w:fldChar w:fldCharType="end"/>
      </w:r>
    </w:p>
    <w:p w14:paraId="3EAD9284" w14:textId="40CD738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5D.1.04  Interaction between trustee company provisions and State and Territory laws</w:t>
      </w:r>
      <w:r>
        <w:rPr>
          <w:noProof/>
        </w:rPr>
        <w:tab/>
      </w:r>
      <w:r>
        <w:rPr>
          <w:noProof/>
        </w:rPr>
        <w:fldChar w:fldCharType="begin"/>
      </w:r>
      <w:r>
        <w:rPr>
          <w:noProof/>
        </w:rPr>
        <w:instrText xml:space="preserve"> PAGEREF _Toc158711935 \h </w:instrText>
      </w:r>
      <w:r>
        <w:rPr>
          <w:noProof/>
        </w:rPr>
      </w:r>
      <w:r>
        <w:rPr>
          <w:noProof/>
        </w:rPr>
        <w:fldChar w:fldCharType="separate"/>
      </w:r>
      <w:r>
        <w:rPr>
          <w:noProof/>
        </w:rPr>
        <w:t>153</w:t>
      </w:r>
      <w:r>
        <w:rPr>
          <w:noProof/>
        </w:rPr>
        <w:fldChar w:fldCharType="end"/>
      </w:r>
    </w:p>
    <w:p w14:paraId="23DAAD84" w14:textId="60D7B3F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5D.2—Powers etc of licensed trustee companies</w:t>
      </w:r>
      <w:r>
        <w:rPr>
          <w:noProof/>
        </w:rPr>
        <w:tab/>
      </w:r>
      <w:r>
        <w:rPr>
          <w:noProof/>
        </w:rPr>
        <w:fldChar w:fldCharType="begin"/>
      </w:r>
      <w:r>
        <w:rPr>
          <w:noProof/>
        </w:rPr>
        <w:instrText xml:space="preserve"> PAGEREF _Toc158711936 \h </w:instrText>
      </w:r>
      <w:r>
        <w:rPr>
          <w:noProof/>
        </w:rPr>
      </w:r>
      <w:r>
        <w:rPr>
          <w:noProof/>
        </w:rPr>
        <w:fldChar w:fldCharType="separate"/>
      </w:r>
      <w:r>
        <w:rPr>
          <w:noProof/>
        </w:rPr>
        <w:t>154</w:t>
      </w:r>
      <w:r>
        <w:rPr>
          <w:noProof/>
        </w:rPr>
        <w:fldChar w:fldCharType="end"/>
      </w:r>
    </w:p>
    <w:p w14:paraId="173F7972" w14:textId="3834F368"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2.1—Annual Information Returns</w:t>
      </w:r>
      <w:r>
        <w:rPr>
          <w:noProof/>
        </w:rPr>
        <w:tab/>
      </w:r>
      <w:r>
        <w:rPr>
          <w:noProof/>
        </w:rPr>
        <w:fldChar w:fldCharType="begin"/>
      </w:r>
      <w:r>
        <w:rPr>
          <w:noProof/>
        </w:rPr>
        <w:instrText xml:space="preserve"> PAGEREF _Toc158711937 \h </w:instrText>
      </w:r>
      <w:r>
        <w:rPr>
          <w:noProof/>
        </w:rPr>
      </w:r>
      <w:r>
        <w:rPr>
          <w:noProof/>
        </w:rPr>
        <w:fldChar w:fldCharType="separate"/>
      </w:r>
      <w:r>
        <w:rPr>
          <w:noProof/>
        </w:rPr>
        <w:t>154</w:t>
      </w:r>
      <w:r>
        <w:rPr>
          <w:noProof/>
        </w:rPr>
        <w:fldChar w:fldCharType="end"/>
      </w:r>
    </w:p>
    <w:p w14:paraId="7922D1BE" w14:textId="583B43A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5D.2.01  Obligation on licensed trustee company to provide an annual information return if requested</w:t>
      </w:r>
      <w:r>
        <w:rPr>
          <w:noProof/>
        </w:rPr>
        <w:tab/>
      </w:r>
      <w:r>
        <w:rPr>
          <w:noProof/>
        </w:rPr>
        <w:fldChar w:fldCharType="begin"/>
      </w:r>
      <w:r>
        <w:rPr>
          <w:noProof/>
        </w:rPr>
        <w:instrText xml:space="preserve"> PAGEREF _Toc158711938 \h </w:instrText>
      </w:r>
      <w:r>
        <w:rPr>
          <w:noProof/>
        </w:rPr>
      </w:r>
      <w:r>
        <w:rPr>
          <w:noProof/>
        </w:rPr>
        <w:fldChar w:fldCharType="separate"/>
      </w:r>
      <w:r>
        <w:rPr>
          <w:noProof/>
        </w:rPr>
        <w:t>154</w:t>
      </w:r>
      <w:r>
        <w:rPr>
          <w:noProof/>
        </w:rPr>
        <w:fldChar w:fldCharType="end"/>
      </w:r>
    </w:p>
    <w:p w14:paraId="47D5633A" w14:textId="4E49D3A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5D.2.02  Information to be included in annual information return</w:t>
      </w:r>
      <w:r>
        <w:rPr>
          <w:noProof/>
        </w:rPr>
        <w:tab/>
      </w:r>
      <w:r>
        <w:rPr>
          <w:noProof/>
        </w:rPr>
        <w:fldChar w:fldCharType="begin"/>
      </w:r>
      <w:r>
        <w:rPr>
          <w:noProof/>
        </w:rPr>
        <w:instrText xml:space="preserve"> PAGEREF _Toc158711939 \h </w:instrText>
      </w:r>
      <w:r>
        <w:rPr>
          <w:noProof/>
        </w:rPr>
      </w:r>
      <w:r>
        <w:rPr>
          <w:noProof/>
        </w:rPr>
        <w:fldChar w:fldCharType="separate"/>
      </w:r>
      <w:r>
        <w:rPr>
          <w:noProof/>
        </w:rPr>
        <w:t>155</w:t>
      </w:r>
      <w:r>
        <w:rPr>
          <w:noProof/>
        </w:rPr>
        <w:fldChar w:fldCharType="end"/>
      </w:r>
    </w:p>
    <w:p w14:paraId="604C95FD" w14:textId="2CD2BDA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2.2—Common funds</w:t>
      </w:r>
      <w:r>
        <w:rPr>
          <w:noProof/>
        </w:rPr>
        <w:tab/>
      </w:r>
      <w:r>
        <w:rPr>
          <w:noProof/>
        </w:rPr>
        <w:fldChar w:fldCharType="begin"/>
      </w:r>
      <w:r>
        <w:rPr>
          <w:noProof/>
        </w:rPr>
        <w:instrText xml:space="preserve"> PAGEREF _Toc158711940 \h </w:instrText>
      </w:r>
      <w:r>
        <w:rPr>
          <w:noProof/>
        </w:rPr>
      </w:r>
      <w:r>
        <w:rPr>
          <w:noProof/>
        </w:rPr>
        <w:fldChar w:fldCharType="separate"/>
      </w:r>
      <w:r>
        <w:rPr>
          <w:noProof/>
        </w:rPr>
        <w:t>156</w:t>
      </w:r>
      <w:r>
        <w:rPr>
          <w:noProof/>
        </w:rPr>
        <w:fldChar w:fldCharType="end"/>
      </w:r>
    </w:p>
    <w:p w14:paraId="7522F6A7" w14:textId="43E1EE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5D.2.03  Common funds</w:t>
      </w:r>
      <w:r>
        <w:rPr>
          <w:noProof/>
        </w:rPr>
        <w:tab/>
      </w:r>
      <w:r>
        <w:rPr>
          <w:noProof/>
        </w:rPr>
        <w:fldChar w:fldCharType="begin"/>
      </w:r>
      <w:r>
        <w:rPr>
          <w:noProof/>
        </w:rPr>
        <w:instrText xml:space="preserve"> PAGEREF _Toc158711941 \h </w:instrText>
      </w:r>
      <w:r>
        <w:rPr>
          <w:noProof/>
        </w:rPr>
      </w:r>
      <w:r>
        <w:rPr>
          <w:noProof/>
        </w:rPr>
        <w:fldChar w:fldCharType="separate"/>
      </w:r>
      <w:r>
        <w:rPr>
          <w:noProof/>
        </w:rPr>
        <w:t>156</w:t>
      </w:r>
      <w:r>
        <w:rPr>
          <w:noProof/>
        </w:rPr>
        <w:fldChar w:fldCharType="end"/>
      </w:r>
    </w:p>
    <w:p w14:paraId="595D6C83" w14:textId="22B207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5D.2.04  Establishment of common funds</w:t>
      </w:r>
      <w:r>
        <w:rPr>
          <w:noProof/>
        </w:rPr>
        <w:tab/>
      </w:r>
      <w:r>
        <w:rPr>
          <w:noProof/>
        </w:rPr>
        <w:fldChar w:fldCharType="begin"/>
      </w:r>
      <w:r>
        <w:rPr>
          <w:noProof/>
        </w:rPr>
        <w:instrText xml:space="preserve"> PAGEREF _Toc158711942 \h </w:instrText>
      </w:r>
      <w:r>
        <w:rPr>
          <w:noProof/>
        </w:rPr>
      </w:r>
      <w:r>
        <w:rPr>
          <w:noProof/>
        </w:rPr>
        <w:fldChar w:fldCharType="separate"/>
      </w:r>
      <w:r>
        <w:rPr>
          <w:noProof/>
        </w:rPr>
        <w:t>156</w:t>
      </w:r>
      <w:r>
        <w:rPr>
          <w:noProof/>
        </w:rPr>
        <w:fldChar w:fldCharType="end"/>
      </w:r>
    </w:p>
    <w:p w14:paraId="7018C391" w14:textId="43C871F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5D.2.05  Deciding details about common funds</w:t>
      </w:r>
      <w:r>
        <w:rPr>
          <w:noProof/>
        </w:rPr>
        <w:tab/>
      </w:r>
      <w:r>
        <w:rPr>
          <w:noProof/>
        </w:rPr>
        <w:fldChar w:fldCharType="begin"/>
      </w:r>
      <w:r>
        <w:rPr>
          <w:noProof/>
        </w:rPr>
        <w:instrText xml:space="preserve"> PAGEREF _Toc158711943 \h </w:instrText>
      </w:r>
      <w:r>
        <w:rPr>
          <w:noProof/>
        </w:rPr>
      </w:r>
      <w:r>
        <w:rPr>
          <w:noProof/>
        </w:rPr>
        <w:fldChar w:fldCharType="separate"/>
      </w:r>
      <w:r>
        <w:rPr>
          <w:noProof/>
        </w:rPr>
        <w:t>156</w:t>
      </w:r>
      <w:r>
        <w:rPr>
          <w:noProof/>
        </w:rPr>
        <w:fldChar w:fldCharType="end"/>
      </w:r>
    </w:p>
    <w:p w14:paraId="011373B0" w14:textId="0DE9432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5D.2.06  Operation of common funds</w:t>
      </w:r>
      <w:r>
        <w:rPr>
          <w:noProof/>
        </w:rPr>
        <w:tab/>
      </w:r>
      <w:r>
        <w:rPr>
          <w:noProof/>
        </w:rPr>
        <w:fldChar w:fldCharType="begin"/>
      </w:r>
      <w:r>
        <w:rPr>
          <w:noProof/>
        </w:rPr>
        <w:instrText xml:space="preserve"> PAGEREF _Toc158711944 \h </w:instrText>
      </w:r>
      <w:r>
        <w:rPr>
          <w:noProof/>
        </w:rPr>
      </w:r>
      <w:r>
        <w:rPr>
          <w:noProof/>
        </w:rPr>
        <w:fldChar w:fldCharType="separate"/>
      </w:r>
      <w:r>
        <w:rPr>
          <w:noProof/>
        </w:rPr>
        <w:t>157</w:t>
      </w:r>
      <w:r>
        <w:rPr>
          <w:noProof/>
        </w:rPr>
        <w:fldChar w:fldCharType="end"/>
      </w:r>
    </w:p>
    <w:p w14:paraId="6249CA87" w14:textId="42736B7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5D.2.07  Register of investments</w:t>
      </w:r>
      <w:r>
        <w:rPr>
          <w:noProof/>
        </w:rPr>
        <w:tab/>
      </w:r>
      <w:r>
        <w:rPr>
          <w:noProof/>
        </w:rPr>
        <w:fldChar w:fldCharType="begin"/>
      </w:r>
      <w:r>
        <w:rPr>
          <w:noProof/>
        </w:rPr>
        <w:instrText xml:space="preserve"> PAGEREF _Toc158711945 \h </w:instrText>
      </w:r>
      <w:r>
        <w:rPr>
          <w:noProof/>
        </w:rPr>
      </w:r>
      <w:r>
        <w:rPr>
          <w:noProof/>
        </w:rPr>
        <w:fldChar w:fldCharType="separate"/>
      </w:r>
      <w:r>
        <w:rPr>
          <w:noProof/>
        </w:rPr>
        <w:t>158</w:t>
      </w:r>
      <w:r>
        <w:rPr>
          <w:noProof/>
        </w:rPr>
        <w:fldChar w:fldCharType="end"/>
      </w:r>
    </w:p>
    <w:p w14:paraId="43EB8199" w14:textId="062FB8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5D.2.08  Financial reports</w:t>
      </w:r>
      <w:r>
        <w:rPr>
          <w:noProof/>
        </w:rPr>
        <w:tab/>
      </w:r>
      <w:r>
        <w:rPr>
          <w:noProof/>
        </w:rPr>
        <w:fldChar w:fldCharType="begin"/>
      </w:r>
      <w:r>
        <w:rPr>
          <w:noProof/>
        </w:rPr>
        <w:instrText xml:space="preserve"> PAGEREF _Toc158711946 \h </w:instrText>
      </w:r>
      <w:r>
        <w:rPr>
          <w:noProof/>
        </w:rPr>
      </w:r>
      <w:r>
        <w:rPr>
          <w:noProof/>
        </w:rPr>
        <w:fldChar w:fldCharType="separate"/>
      </w:r>
      <w:r>
        <w:rPr>
          <w:noProof/>
        </w:rPr>
        <w:t>158</w:t>
      </w:r>
      <w:r>
        <w:rPr>
          <w:noProof/>
        </w:rPr>
        <w:fldChar w:fldCharType="end"/>
      </w:r>
    </w:p>
    <w:p w14:paraId="3CD7A6BF" w14:textId="26E269B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5D.3—Regulation of fees charged by licensed trustee companies</w:t>
      </w:r>
      <w:r>
        <w:rPr>
          <w:noProof/>
        </w:rPr>
        <w:tab/>
      </w:r>
      <w:r>
        <w:rPr>
          <w:noProof/>
        </w:rPr>
        <w:fldChar w:fldCharType="begin"/>
      </w:r>
      <w:r>
        <w:rPr>
          <w:noProof/>
        </w:rPr>
        <w:instrText xml:space="preserve"> PAGEREF _Toc158711947 \h </w:instrText>
      </w:r>
      <w:r>
        <w:rPr>
          <w:noProof/>
        </w:rPr>
      </w:r>
      <w:r>
        <w:rPr>
          <w:noProof/>
        </w:rPr>
        <w:fldChar w:fldCharType="separate"/>
      </w:r>
      <w:r>
        <w:rPr>
          <w:noProof/>
        </w:rPr>
        <w:t>160</w:t>
      </w:r>
      <w:r>
        <w:rPr>
          <w:noProof/>
        </w:rPr>
        <w:fldChar w:fldCharType="end"/>
      </w:r>
    </w:p>
    <w:p w14:paraId="3824B0E6" w14:textId="2C3E933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5D.3.01  Modification of section 601TAB of the Act: disclosure to clients of changed fees</w:t>
      </w:r>
      <w:r>
        <w:rPr>
          <w:noProof/>
        </w:rPr>
        <w:tab/>
      </w:r>
      <w:r>
        <w:rPr>
          <w:noProof/>
        </w:rPr>
        <w:fldChar w:fldCharType="begin"/>
      </w:r>
      <w:r>
        <w:rPr>
          <w:noProof/>
        </w:rPr>
        <w:instrText xml:space="preserve"> PAGEREF _Toc158711948 \h </w:instrText>
      </w:r>
      <w:r>
        <w:rPr>
          <w:noProof/>
        </w:rPr>
      </w:r>
      <w:r>
        <w:rPr>
          <w:noProof/>
        </w:rPr>
        <w:fldChar w:fldCharType="separate"/>
      </w:r>
      <w:r>
        <w:rPr>
          <w:noProof/>
        </w:rPr>
        <w:t>160</w:t>
      </w:r>
      <w:r>
        <w:rPr>
          <w:noProof/>
        </w:rPr>
        <w:fldChar w:fldCharType="end"/>
      </w:r>
    </w:p>
    <w:p w14:paraId="72A33447" w14:textId="60DC215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5D.4—Obligations of receiving company after transfer</w:t>
      </w:r>
      <w:r>
        <w:rPr>
          <w:noProof/>
        </w:rPr>
        <w:tab/>
      </w:r>
      <w:r>
        <w:rPr>
          <w:noProof/>
        </w:rPr>
        <w:fldChar w:fldCharType="begin"/>
      </w:r>
      <w:r>
        <w:rPr>
          <w:noProof/>
        </w:rPr>
        <w:instrText xml:space="preserve"> PAGEREF _Toc158711949 \h </w:instrText>
      </w:r>
      <w:r>
        <w:rPr>
          <w:noProof/>
        </w:rPr>
      </w:r>
      <w:r>
        <w:rPr>
          <w:noProof/>
        </w:rPr>
        <w:fldChar w:fldCharType="separate"/>
      </w:r>
      <w:r>
        <w:rPr>
          <w:noProof/>
        </w:rPr>
        <w:t>161</w:t>
      </w:r>
      <w:r>
        <w:rPr>
          <w:noProof/>
        </w:rPr>
        <w:fldChar w:fldCharType="end"/>
      </w:r>
    </w:p>
    <w:p w14:paraId="7A1987FE" w14:textId="55B860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5D.4.01  Preserving rights under dispute resolution systems and arrangements for compensation</w:t>
      </w:r>
      <w:r>
        <w:rPr>
          <w:noProof/>
        </w:rPr>
        <w:tab/>
      </w:r>
      <w:r>
        <w:rPr>
          <w:noProof/>
        </w:rPr>
        <w:fldChar w:fldCharType="begin"/>
      </w:r>
      <w:r>
        <w:rPr>
          <w:noProof/>
        </w:rPr>
        <w:instrText xml:space="preserve"> PAGEREF _Toc158711950 \h </w:instrText>
      </w:r>
      <w:r>
        <w:rPr>
          <w:noProof/>
        </w:rPr>
      </w:r>
      <w:r>
        <w:rPr>
          <w:noProof/>
        </w:rPr>
        <w:fldChar w:fldCharType="separate"/>
      </w:r>
      <w:r>
        <w:rPr>
          <w:noProof/>
        </w:rPr>
        <w:t>161</w:t>
      </w:r>
      <w:r>
        <w:rPr>
          <w:noProof/>
        </w:rPr>
        <w:fldChar w:fldCharType="end"/>
      </w:r>
    </w:p>
    <w:p w14:paraId="40831362" w14:textId="4B638B4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6—Takeovers</w:t>
      </w:r>
      <w:r>
        <w:rPr>
          <w:noProof/>
        </w:rPr>
        <w:tab/>
      </w:r>
      <w:r>
        <w:rPr>
          <w:noProof/>
        </w:rPr>
        <w:fldChar w:fldCharType="begin"/>
      </w:r>
      <w:r>
        <w:rPr>
          <w:noProof/>
        </w:rPr>
        <w:instrText xml:space="preserve"> PAGEREF _Toc158711951 \h </w:instrText>
      </w:r>
      <w:r>
        <w:rPr>
          <w:noProof/>
        </w:rPr>
      </w:r>
      <w:r>
        <w:rPr>
          <w:noProof/>
        </w:rPr>
        <w:fldChar w:fldCharType="separate"/>
      </w:r>
      <w:r>
        <w:rPr>
          <w:noProof/>
        </w:rPr>
        <w:t>162</w:t>
      </w:r>
      <w:r>
        <w:rPr>
          <w:noProof/>
        </w:rPr>
        <w:fldChar w:fldCharType="end"/>
      </w:r>
    </w:p>
    <w:p w14:paraId="7F8B7708" w14:textId="5EEA6D6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6.2—Exceptions to the prohibition</w:t>
      </w:r>
      <w:r>
        <w:rPr>
          <w:noProof/>
        </w:rPr>
        <w:tab/>
      </w:r>
      <w:r>
        <w:rPr>
          <w:noProof/>
        </w:rPr>
        <w:fldChar w:fldCharType="begin"/>
      </w:r>
      <w:r>
        <w:rPr>
          <w:noProof/>
        </w:rPr>
        <w:instrText xml:space="preserve"> PAGEREF _Toc158711952 \h </w:instrText>
      </w:r>
      <w:r>
        <w:rPr>
          <w:noProof/>
        </w:rPr>
      </w:r>
      <w:r>
        <w:rPr>
          <w:noProof/>
        </w:rPr>
        <w:fldChar w:fldCharType="separate"/>
      </w:r>
      <w:r>
        <w:rPr>
          <w:noProof/>
        </w:rPr>
        <w:t>162</w:t>
      </w:r>
      <w:r>
        <w:rPr>
          <w:noProof/>
        </w:rPr>
        <w:fldChar w:fldCharType="end"/>
      </w:r>
    </w:p>
    <w:p w14:paraId="24626558" w14:textId="0E9B40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6.2.01A  Prescribed requirements</w:t>
      </w:r>
      <w:r>
        <w:rPr>
          <w:noProof/>
        </w:rPr>
        <w:tab/>
      </w:r>
      <w:r>
        <w:rPr>
          <w:noProof/>
        </w:rPr>
        <w:fldChar w:fldCharType="begin"/>
      </w:r>
      <w:r>
        <w:rPr>
          <w:noProof/>
        </w:rPr>
        <w:instrText xml:space="preserve"> PAGEREF _Toc158711953 \h </w:instrText>
      </w:r>
      <w:r>
        <w:rPr>
          <w:noProof/>
        </w:rPr>
      </w:r>
      <w:r>
        <w:rPr>
          <w:noProof/>
        </w:rPr>
        <w:fldChar w:fldCharType="separate"/>
      </w:r>
      <w:r>
        <w:rPr>
          <w:noProof/>
        </w:rPr>
        <w:t>162</w:t>
      </w:r>
      <w:r>
        <w:rPr>
          <w:noProof/>
        </w:rPr>
        <w:fldChar w:fldCharType="end"/>
      </w:r>
    </w:p>
    <w:p w14:paraId="6DD6A91F" w14:textId="67070C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6.2.01  Prescribed circumstances (Act s 611)</w:t>
      </w:r>
      <w:r>
        <w:rPr>
          <w:noProof/>
        </w:rPr>
        <w:tab/>
      </w:r>
      <w:r>
        <w:rPr>
          <w:noProof/>
        </w:rPr>
        <w:fldChar w:fldCharType="begin"/>
      </w:r>
      <w:r>
        <w:rPr>
          <w:noProof/>
        </w:rPr>
        <w:instrText xml:space="preserve"> PAGEREF _Toc158711954 \h </w:instrText>
      </w:r>
      <w:r>
        <w:rPr>
          <w:noProof/>
        </w:rPr>
      </w:r>
      <w:r>
        <w:rPr>
          <w:noProof/>
        </w:rPr>
        <w:fldChar w:fldCharType="separate"/>
      </w:r>
      <w:r>
        <w:rPr>
          <w:noProof/>
        </w:rPr>
        <w:t>162</w:t>
      </w:r>
      <w:r>
        <w:rPr>
          <w:noProof/>
        </w:rPr>
        <w:fldChar w:fldCharType="end"/>
      </w:r>
    </w:p>
    <w:p w14:paraId="5F230764" w14:textId="40FF1E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6.2.02  Other prescribed circumstances (Act s 611)</w:t>
      </w:r>
      <w:r>
        <w:rPr>
          <w:noProof/>
        </w:rPr>
        <w:tab/>
      </w:r>
      <w:r>
        <w:rPr>
          <w:noProof/>
        </w:rPr>
        <w:fldChar w:fldCharType="begin"/>
      </w:r>
      <w:r>
        <w:rPr>
          <w:noProof/>
        </w:rPr>
        <w:instrText xml:space="preserve"> PAGEREF _Toc158711955 \h </w:instrText>
      </w:r>
      <w:r>
        <w:rPr>
          <w:noProof/>
        </w:rPr>
      </w:r>
      <w:r>
        <w:rPr>
          <w:noProof/>
        </w:rPr>
        <w:fldChar w:fldCharType="separate"/>
      </w:r>
      <w:r>
        <w:rPr>
          <w:noProof/>
        </w:rPr>
        <w:t>162</w:t>
      </w:r>
      <w:r>
        <w:rPr>
          <w:noProof/>
        </w:rPr>
        <w:fldChar w:fldCharType="end"/>
      </w:r>
    </w:p>
    <w:p w14:paraId="5DDF6E5A" w14:textId="5DEA258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6.6</w:t>
      </w:r>
      <w:r w:rsidRPr="00FC743A">
        <w:rPr>
          <w:noProof/>
          <w:color w:val="000000"/>
        </w:rPr>
        <w:t>—</w:t>
      </w:r>
      <w:r>
        <w:rPr>
          <w:noProof/>
        </w:rPr>
        <w:t>Variation of offers</w:t>
      </w:r>
      <w:r>
        <w:rPr>
          <w:noProof/>
        </w:rPr>
        <w:tab/>
      </w:r>
      <w:r>
        <w:rPr>
          <w:noProof/>
        </w:rPr>
        <w:fldChar w:fldCharType="begin"/>
      </w:r>
      <w:r>
        <w:rPr>
          <w:noProof/>
        </w:rPr>
        <w:instrText xml:space="preserve"> PAGEREF _Toc158711956 \h </w:instrText>
      </w:r>
      <w:r>
        <w:rPr>
          <w:noProof/>
        </w:rPr>
      </w:r>
      <w:r>
        <w:rPr>
          <w:noProof/>
        </w:rPr>
        <w:fldChar w:fldCharType="separate"/>
      </w:r>
      <w:r>
        <w:rPr>
          <w:noProof/>
        </w:rPr>
        <w:t>163</w:t>
      </w:r>
      <w:r>
        <w:rPr>
          <w:noProof/>
        </w:rPr>
        <w:fldChar w:fldCharType="end"/>
      </w:r>
    </w:p>
    <w:p w14:paraId="5F996988" w14:textId="246CD3A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6.6.01  Right to withdraw acceptance</w:t>
      </w:r>
      <w:r>
        <w:rPr>
          <w:noProof/>
        </w:rPr>
        <w:tab/>
      </w:r>
      <w:r>
        <w:rPr>
          <w:noProof/>
        </w:rPr>
        <w:fldChar w:fldCharType="begin"/>
      </w:r>
      <w:r>
        <w:rPr>
          <w:noProof/>
        </w:rPr>
        <w:instrText xml:space="preserve"> PAGEREF _Toc158711957 \h </w:instrText>
      </w:r>
      <w:r>
        <w:rPr>
          <w:noProof/>
        </w:rPr>
      </w:r>
      <w:r>
        <w:rPr>
          <w:noProof/>
        </w:rPr>
        <w:fldChar w:fldCharType="separate"/>
      </w:r>
      <w:r>
        <w:rPr>
          <w:noProof/>
        </w:rPr>
        <w:t>163</w:t>
      </w:r>
      <w:r>
        <w:rPr>
          <w:noProof/>
        </w:rPr>
        <w:fldChar w:fldCharType="end"/>
      </w:r>
    </w:p>
    <w:p w14:paraId="1B726365" w14:textId="27A6DE8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6.8</w:t>
      </w:r>
      <w:r w:rsidRPr="00FC743A">
        <w:rPr>
          <w:noProof/>
          <w:color w:val="000000"/>
        </w:rPr>
        <w:t>—</w:t>
      </w:r>
      <w:r>
        <w:rPr>
          <w:noProof/>
        </w:rPr>
        <w:t>Acceptances</w:t>
      </w:r>
      <w:r>
        <w:rPr>
          <w:noProof/>
        </w:rPr>
        <w:tab/>
      </w:r>
      <w:r>
        <w:rPr>
          <w:noProof/>
        </w:rPr>
        <w:fldChar w:fldCharType="begin"/>
      </w:r>
      <w:r>
        <w:rPr>
          <w:noProof/>
        </w:rPr>
        <w:instrText xml:space="preserve"> PAGEREF _Toc158711958 \h </w:instrText>
      </w:r>
      <w:r>
        <w:rPr>
          <w:noProof/>
        </w:rPr>
      </w:r>
      <w:r>
        <w:rPr>
          <w:noProof/>
        </w:rPr>
        <w:fldChar w:fldCharType="separate"/>
      </w:r>
      <w:r>
        <w:rPr>
          <w:noProof/>
        </w:rPr>
        <w:t>164</w:t>
      </w:r>
      <w:r>
        <w:rPr>
          <w:noProof/>
        </w:rPr>
        <w:fldChar w:fldCharType="end"/>
      </w:r>
    </w:p>
    <w:p w14:paraId="0E5BDD21" w14:textId="2523094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6.8.01  Acceptance of offers made under off</w:t>
      </w:r>
      <w:r>
        <w:rPr>
          <w:noProof/>
        </w:rPr>
        <w:noBreakHyphen/>
        <w:t>market bid</w:t>
      </w:r>
      <w:r>
        <w:rPr>
          <w:noProof/>
        </w:rPr>
        <w:tab/>
      </w:r>
      <w:r>
        <w:rPr>
          <w:noProof/>
        </w:rPr>
        <w:fldChar w:fldCharType="begin"/>
      </w:r>
      <w:r>
        <w:rPr>
          <w:noProof/>
        </w:rPr>
        <w:instrText xml:space="preserve"> PAGEREF _Toc158711959 \h </w:instrText>
      </w:r>
      <w:r>
        <w:rPr>
          <w:noProof/>
        </w:rPr>
      </w:r>
      <w:r>
        <w:rPr>
          <w:noProof/>
        </w:rPr>
        <w:fldChar w:fldCharType="separate"/>
      </w:r>
      <w:r>
        <w:rPr>
          <w:noProof/>
        </w:rPr>
        <w:t>164</w:t>
      </w:r>
      <w:r>
        <w:rPr>
          <w:noProof/>
        </w:rPr>
        <w:fldChar w:fldCharType="end"/>
      </w:r>
    </w:p>
    <w:p w14:paraId="753F00BE" w14:textId="7A77E9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6.8.02  Acceptances by transferees and nominees of offers made under off</w:t>
      </w:r>
      <w:r>
        <w:rPr>
          <w:noProof/>
        </w:rPr>
        <w:noBreakHyphen/>
        <w:t>market bid</w:t>
      </w:r>
      <w:r>
        <w:rPr>
          <w:noProof/>
        </w:rPr>
        <w:tab/>
      </w:r>
      <w:r>
        <w:rPr>
          <w:noProof/>
        </w:rPr>
        <w:fldChar w:fldCharType="begin"/>
      </w:r>
      <w:r>
        <w:rPr>
          <w:noProof/>
        </w:rPr>
        <w:instrText xml:space="preserve"> PAGEREF _Toc158711960 \h </w:instrText>
      </w:r>
      <w:r>
        <w:rPr>
          <w:noProof/>
        </w:rPr>
      </w:r>
      <w:r>
        <w:rPr>
          <w:noProof/>
        </w:rPr>
        <w:fldChar w:fldCharType="separate"/>
      </w:r>
      <w:r>
        <w:rPr>
          <w:noProof/>
        </w:rPr>
        <w:t>164</w:t>
      </w:r>
      <w:r>
        <w:rPr>
          <w:noProof/>
        </w:rPr>
        <w:fldChar w:fldCharType="end"/>
      </w:r>
    </w:p>
    <w:p w14:paraId="0D0C7D5A" w14:textId="06CB096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6.10—Review and intervention</w:t>
      </w:r>
      <w:r>
        <w:rPr>
          <w:noProof/>
        </w:rPr>
        <w:tab/>
      </w:r>
      <w:r>
        <w:rPr>
          <w:noProof/>
        </w:rPr>
        <w:fldChar w:fldCharType="begin"/>
      </w:r>
      <w:r>
        <w:rPr>
          <w:noProof/>
        </w:rPr>
        <w:instrText xml:space="preserve"> PAGEREF _Toc158711961 \h </w:instrText>
      </w:r>
      <w:r>
        <w:rPr>
          <w:noProof/>
        </w:rPr>
      </w:r>
      <w:r>
        <w:rPr>
          <w:noProof/>
        </w:rPr>
        <w:fldChar w:fldCharType="separate"/>
      </w:r>
      <w:r>
        <w:rPr>
          <w:noProof/>
        </w:rPr>
        <w:t>165</w:t>
      </w:r>
      <w:r>
        <w:rPr>
          <w:noProof/>
        </w:rPr>
        <w:fldChar w:fldCharType="end"/>
      </w:r>
    </w:p>
    <w:p w14:paraId="333190C8" w14:textId="606DDC0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6.10.01  Application for review of Takeovers Panel decision</w:t>
      </w:r>
      <w:r>
        <w:rPr>
          <w:noProof/>
        </w:rPr>
        <w:tab/>
      </w:r>
      <w:r>
        <w:rPr>
          <w:noProof/>
        </w:rPr>
        <w:fldChar w:fldCharType="begin"/>
      </w:r>
      <w:r>
        <w:rPr>
          <w:noProof/>
        </w:rPr>
        <w:instrText xml:space="preserve"> PAGEREF _Toc158711962 \h </w:instrText>
      </w:r>
      <w:r>
        <w:rPr>
          <w:noProof/>
        </w:rPr>
      </w:r>
      <w:r>
        <w:rPr>
          <w:noProof/>
        </w:rPr>
        <w:fldChar w:fldCharType="separate"/>
      </w:r>
      <w:r>
        <w:rPr>
          <w:noProof/>
        </w:rPr>
        <w:t>165</w:t>
      </w:r>
      <w:r>
        <w:rPr>
          <w:noProof/>
        </w:rPr>
        <w:fldChar w:fldCharType="end"/>
      </w:r>
    </w:p>
    <w:p w14:paraId="0F8C0D25" w14:textId="540E80A6"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Chapter 6A—Compulsory acquisitions and buy</w:t>
      </w:r>
      <w:r>
        <w:rPr>
          <w:noProof/>
        </w:rPr>
        <w:noBreakHyphen/>
        <w:t>outs</w:t>
      </w:r>
      <w:r>
        <w:rPr>
          <w:noProof/>
        </w:rPr>
        <w:tab/>
      </w:r>
      <w:r>
        <w:rPr>
          <w:noProof/>
        </w:rPr>
        <w:fldChar w:fldCharType="begin"/>
      </w:r>
      <w:r>
        <w:rPr>
          <w:noProof/>
        </w:rPr>
        <w:instrText xml:space="preserve"> PAGEREF _Toc158711963 \h </w:instrText>
      </w:r>
      <w:r>
        <w:rPr>
          <w:noProof/>
        </w:rPr>
      </w:r>
      <w:r>
        <w:rPr>
          <w:noProof/>
        </w:rPr>
        <w:fldChar w:fldCharType="separate"/>
      </w:r>
      <w:r>
        <w:rPr>
          <w:noProof/>
        </w:rPr>
        <w:t>166</w:t>
      </w:r>
      <w:r>
        <w:rPr>
          <w:noProof/>
        </w:rPr>
        <w:fldChar w:fldCharType="end"/>
      </w:r>
    </w:p>
    <w:p w14:paraId="0AE0F8AC" w14:textId="5E1B4E2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6A.1</w:t>
      </w:r>
      <w:r w:rsidRPr="00FC743A">
        <w:rPr>
          <w:noProof/>
          <w:color w:val="000000"/>
        </w:rPr>
        <w:t>—</w:t>
      </w:r>
      <w:r>
        <w:rPr>
          <w:noProof/>
        </w:rPr>
        <w:t>Compulsory acquisitions and buy</w:t>
      </w:r>
      <w:r>
        <w:rPr>
          <w:noProof/>
        </w:rPr>
        <w:noBreakHyphen/>
        <w:t>outs after takeover bid</w:t>
      </w:r>
      <w:r>
        <w:rPr>
          <w:noProof/>
        </w:rPr>
        <w:tab/>
      </w:r>
      <w:r>
        <w:rPr>
          <w:noProof/>
        </w:rPr>
        <w:fldChar w:fldCharType="begin"/>
      </w:r>
      <w:r>
        <w:rPr>
          <w:noProof/>
        </w:rPr>
        <w:instrText xml:space="preserve"> PAGEREF _Toc158711964 \h </w:instrText>
      </w:r>
      <w:r>
        <w:rPr>
          <w:noProof/>
        </w:rPr>
      </w:r>
      <w:r>
        <w:rPr>
          <w:noProof/>
        </w:rPr>
        <w:fldChar w:fldCharType="separate"/>
      </w:r>
      <w:r>
        <w:rPr>
          <w:noProof/>
        </w:rPr>
        <w:t>166</w:t>
      </w:r>
      <w:r>
        <w:rPr>
          <w:noProof/>
        </w:rPr>
        <w:fldChar w:fldCharType="end"/>
      </w:r>
    </w:p>
    <w:p w14:paraId="73B082BF" w14:textId="7C9BB1A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6A.1.01  Terms on which securities to be acquired</w:t>
      </w:r>
      <w:r>
        <w:rPr>
          <w:noProof/>
        </w:rPr>
        <w:tab/>
      </w:r>
      <w:r>
        <w:rPr>
          <w:noProof/>
        </w:rPr>
        <w:fldChar w:fldCharType="begin"/>
      </w:r>
      <w:r>
        <w:rPr>
          <w:noProof/>
        </w:rPr>
        <w:instrText xml:space="preserve"> PAGEREF _Toc158711965 \h </w:instrText>
      </w:r>
      <w:r>
        <w:rPr>
          <w:noProof/>
        </w:rPr>
      </w:r>
      <w:r>
        <w:rPr>
          <w:noProof/>
        </w:rPr>
        <w:fldChar w:fldCharType="separate"/>
      </w:r>
      <w:r>
        <w:rPr>
          <w:noProof/>
        </w:rPr>
        <w:t>166</w:t>
      </w:r>
      <w:r>
        <w:rPr>
          <w:noProof/>
        </w:rPr>
        <w:fldChar w:fldCharType="end"/>
      </w:r>
    </w:p>
    <w:p w14:paraId="5594D64B" w14:textId="3635A299"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6CA—Continuous disclosure</w:t>
      </w:r>
      <w:r>
        <w:rPr>
          <w:noProof/>
        </w:rPr>
        <w:tab/>
      </w:r>
      <w:r>
        <w:rPr>
          <w:noProof/>
        </w:rPr>
        <w:fldChar w:fldCharType="begin"/>
      </w:r>
      <w:r>
        <w:rPr>
          <w:noProof/>
        </w:rPr>
        <w:instrText xml:space="preserve"> PAGEREF _Toc158711966 \h </w:instrText>
      </w:r>
      <w:r>
        <w:rPr>
          <w:noProof/>
        </w:rPr>
      </w:r>
      <w:r>
        <w:rPr>
          <w:noProof/>
        </w:rPr>
        <w:fldChar w:fldCharType="separate"/>
      </w:r>
      <w:r>
        <w:rPr>
          <w:noProof/>
        </w:rPr>
        <w:t>167</w:t>
      </w:r>
      <w:r>
        <w:rPr>
          <w:noProof/>
        </w:rPr>
        <w:fldChar w:fldCharType="end"/>
      </w:r>
    </w:p>
    <w:p w14:paraId="49EDCD4B" w14:textId="2970AE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6CA.1.01  Continuous disclosure: other disclosing entities</w:t>
      </w:r>
      <w:r>
        <w:rPr>
          <w:noProof/>
        </w:rPr>
        <w:tab/>
      </w:r>
      <w:r>
        <w:rPr>
          <w:noProof/>
        </w:rPr>
        <w:fldChar w:fldCharType="begin"/>
      </w:r>
      <w:r>
        <w:rPr>
          <w:noProof/>
        </w:rPr>
        <w:instrText xml:space="preserve"> PAGEREF _Toc158711967 \h </w:instrText>
      </w:r>
      <w:r>
        <w:rPr>
          <w:noProof/>
        </w:rPr>
      </w:r>
      <w:r>
        <w:rPr>
          <w:noProof/>
        </w:rPr>
        <w:fldChar w:fldCharType="separate"/>
      </w:r>
      <w:r>
        <w:rPr>
          <w:noProof/>
        </w:rPr>
        <w:t>167</w:t>
      </w:r>
      <w:r>
        <w:rPr>
          <w:noProof/>
        </w:rPr>
        <w:fldChar w:fldCharType="end"/>
      </w:r>
    </w:p>
    <w:p w14:paraId="42E98C1D" w14:textId="65CCC19D"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6D—Fundraising</w:t>
      </w:r>
      <w:r>
        <w:rPr>
          <w:noProof/>
        </w:rPr>
        <w:tab/>
      </w:r>
      <w:r>
        <w:rPr>
          <w:noProof/>
        </w:rPr>
        <w:fldChar w:fldCharType="begin"/>
      </w:r>
      <w:r>
        <w:rPr>
          <w:noProof/>
        </w:rPr>
        <w:instrText xml:space="preserve"> PAGEREF _Toc158711968 \h </w:instrText>
      </w:r>
      <w:r>
        <w:rPr>
          <w:noProof/>
        </w:rPr>
      </w:r>
      <w:r>
        <w:rPr>
          <w:noProof/>
        </w:rPr>
        <w:fldChar w:fldCharType="separate"/>
      </w:r>
      <w:r>
        <w:rPr>
          <w:noProof/>
        </w:rPr>
        <w:t>168</w:t>
      </w:r>
      <w:r>
        <w:rPr>
          <w:noProof/>
        </w:rPr>
        <w:fldChar w:fldCharType="end"/>
      </w:r>
    </w:p>
    <w:p w14:paraId="14B11485" w14:textId="402E008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6D.2—Disclosure to investors about securities</w:t>
      </w:r>
      <w:r>
        <w:rPr>
          <w:noProof/>
        </w:rPr>
        <w:tab/>
      </w:r>
      <w:r>
        <w:rPr>
          <w:noProof/>
        </w:rPr>
        <w:fldChar w:fldCharType="begin"/>
      </w:r>
      <w:r>
        <w:rPr>
          <w:noProof/>
        </w:rPr>
        <w:instrText xml:space="preserve"> PAGEREF _Toc158711969 \h </w:instrText>
      </w:r>
      <w:r>
        <w:rPr>
          <w:noProof/>
        </w:rPr>
      </w:r>
      <w:r>
        <w:rPr>
          <w:noProof/>
        </w:rPr>
        <w:fldChar w:fldCharType="separate"/>
      </w:r>
      <w:r>
        <w:rPr>
          <w:noProof/>
        </w:rPr>
        <w:t>168</w:t>
      </w:r>
      <w:r>
        <w:rPr>
          <w:noProof/>
        </w:rPr>
        <w:fldChar w:fldCharType="end"/>
      </w:r>
    </w:p>
    <w:p w14:paraId="686CFFF1" w14:textId="4C021B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6D.2.01  Exemption—member shares</w:t>
      </w:r>
      <w:r>
        <w:rPr>
          <w:noProof/>
        </w:rPr>
        <w:tab/>
      </w:r>
      <w:r>
        <w:rPr>
          <w:noProof/>
        </w:rPr>
        <w:fldChar w:fldCharType="begin"/>
      </w:r>
      <w:r>
        <w:rPr>
          <w:noProof/>
        </w:rPr>
        <w:instrText xml:space="preserve"> PAGEREF _Toc158711970 \h </w:instrText>
      </w:r>
      <w:r>
        <w:rPr>
          <w:noProof/>
        </w:rPr>
      </w:r>
      <w:r>
        <w:rPr>
          <w:noProof/>
        </w:rPr>
        <w:fldChar w:fldCharType="separate"/>
      </w:r>
      <w:r>
        <w:rPr>
          <w:noProof/>
        </w:rPr>
        <w:t>168</w:t>
      </w:r>
      <w:r>
        <w:rPr>
          <w:noProof/>
        </w:rPr>
        <w:fldChar w:fldCharType="end"/>
      </w:r>
    </w:p>
    <w:p w14:paraId="38A3A149" w14:textId="10E755F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6D.2.02  Exemption—foreign companies</w:t>
      </w:r>
      <w:r>
        <w:rPr>
          <w:noProof/>
        </w:rPr>
        <w:tab/>
      </w:r>
      <w:r>
        <w:rPr>
          <w:noProof/>
        </w:rPr>
        <w:fldChar w:fldCharType="begin"/>
      </w:r>
      <w:r>
        <w:rPr>
          <w:noProof/>
        </w:rPr>
        <w:instrText xml:space="preserve"> PAGEREF _Toc158711971 \h </w:instrText>
      </w:r>
      <w:r>
        <w:rPr>
          <w:noProof/>
        </w:rPr>
      </w:r>
      <w:r>
        <w:rPr>
          <w:noProof/>
        </w:rPr>
        <w:fldChar w:fldCharType="separate"/>
      </w:r>
      <w:r>
        <w:rPr>
          <w:noProof/>
        </w:rPr>
        <w:t>168</w:t>
      </w:r>
      <w:r>
        <w:rPr>
          <w:noProof/>
        </w:rPr>
        <w:fldChar w:fldCharType="end"/>
      </w:r>
    </w:p>
    <w:p w14:paraId="786F3419" w14:textId="1067AA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6D.2.03  Sophisticated investors</w:t>
      </w:r>
      <w:r>
        <w:rPr>
          <w:noProof/>
        </w:rPr>
        <w:tab/>
      </w:r>
      <w:r>
        <w:rPr>
          <w:noProof/>
        </w:rPr>
        <w:fldChar w:fldCharType="begin"/>
      </w:r>
      <w:r>
        <w:rPr>
          <w:noProof/>
        </w:rPr>
        <w:instrText xml:space="preserve"> PAGEREF _Toc158711972 \h </w:instrText>
      </w:r>
      <w:r>
        <w:rPr>
          <w:noProof/>
        </w:rPr>
      </w:r>
      <w:r>
        <w:rPr>
          <w:noProof/>
        </w:rPr>
        <w:fldChar w:fldCharType="separate"/>
      </w:r>
      <w:r>
        <w:rPr>
          <w:noProof/>
        </w:rPr>
        <w:t>168</w:t>
      </w:r>
      <w:r>
        <w:rPr>
          <w:noProof/>
        </w:rPr>
        <w:fldChar w:fldCharType="end"/>
      </w:r>
    </w:p>
    <w:p w14:paraId="5D2EA754" w14:textId="7B9BBD6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6D.2.04  Simple corporate bonds—base prospectus</w:t>
      </w:r>
      <w:r>
        <w:rPr>
          <w:noProof/>
        </w:rPr>
        <w:tab/>
      </w:r>
      <w:r>
        <w:rPr>
          <w:noProof/>
        </w:rPr>
        <w:fldChar w:fldCharType="begin"/>
      </w:r>
      <w:r>
        <w:rPr>
          <w:noProof/>
        </w:rPr>
        <w:instrText xml:space="preserve"> PAGEREF _Toc158711973 \h </w:instrText>
      </w:r>
      <w:r>
        <w:rPr>
          <w:noProof/>
        </w:rPr>
      </w:r>
      <w:r>
        <w:rPr>
          <w:noProof/>
        </w:rPr>
        <w:fldChar w:fldCharType="separate"/>
      </w:r>
      <w:r>
        <w:rPr>
          <w:noProof/>
        </w:rPr>
        <w:t>168</w:t>
      </w:r>
      <w:r>
        <w:rPr>
          <w:noProof/>
        </w:rPr>
        <w:fldChar w:fldCharType="end"/>
      </w:r>
    </w:p>
    <w:p w14:paraId="61D63248" w14:textId="1C0B95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6D.2.05  Simple corporate bonds—offer</w:t>
      </w:r>
      <w:r>
        <w:rPr>
          <w:noProof/>
        </w:rPr>
        <w:noBreakHyphen/>
        <w:t>specific prospectus</w:t>
      </w:r>
      <w:r>
        <w:rPr>
          <w:noProof/>
        </w:rPr>
        <w:tab/>
      </w:r>
      <w:r>
        <w:rPr>
          <w:noProof/>
        </w:rPr>
        <w:fldChar w:fldCharType="begin"/>
      </w:r>
      <w:r>
        <w:rPr>
          <w:noProof/>
        </w:rPr>
        <w:instrText xml:space="preserve"> PAGEREF _Toc158711974 \h </w:instrText>
      </w:r>
      <w:r>
        <w:rPr>
          <w:noProof/>
        </w:rPr>
      </w:r>
      <w:r>
        <w:rPr>
          <w:noProof/>
        </w:rPr>
        <w:fldChar w:fldCharType="separate"/>
      </w:r>
      <w:r>
        <w:rPr>
          <w:noProof/>
        </w:rPr>
        <w:t>170</w:t>
      </w:r>
      <w:r>
        <w:rPr>
          <w:noProof/>
        </w:rPr>
        <w:fldChar w:fldCharType="end"/>
      </w:r>
    </w:p>
    <w:p w14:paraId="7153DC27" w14:textId="2687B6D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6D.2.06  Simple corporate bonds—key financial ratios relevant to issuing body</w:t>
      </w:r>
      <w:r>
        <w:rPr>
          <w:noProof/>
        </w:rPr>
        <w:tab/>
      </w:r>
      <w:r>
        <w:rPr>
          <w:noProof/>
        </w:rPr>
        <w:fldChar w:fldCharType="begin"/>
      </w:r>
      <w:r>
        <w:rPr>
          <w:noProof/>
        </w:rPr>
        <w:instrText xml:space="preserve"> PAGEREF _Toc158711975 \h </w:instrText>
      </w:r>
      <w:r>
        <w:rPr>
          <w:noProof/>
        </w:rPr>
      </w:r>
      <w:r>
        <w:rPr>
          <w:noProof/>
        </w:rPr>
        <w:fldChar w:fldCharType="separate"/>
      </w:r>
      <w:r>
        <w:rPr>
          <w:noProof/>
        </w:rPr>
        <w:t>172</w:t>
      </w:r>
      <w:r>
        <w:rPr>
          <w:noProof/>
        </w:rPr>
        <w:fldChar w:fldCharType="end"/>
      </w:r>
    </w:p>
    <w:p w14:paraId="3931C8DE" w14:textId="1EE31F9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6D.3A—Crowd</w:t>
      </w:r>
      <w:r>
        <w:rPr>
          <w:noProof/>
        </w:rPr>
        <w:noBreakHyphen/>
        <w:t>sourced funding</w:t>
      </w:r>
      <w:r>
        <w:rPr>
          <w:noProof/>
        </w:rPr>
        <w:tab/>
      </w:r>
      <w:r>
        <w:rPr>
          <w:noProof/>
        </w:rPr>
        <w:fldChar w:fldCharType="begin"/>
      </w:r>
      <w:r>
        <w:rPr>
          <w:noProof/>
        </w:rPr>
        <w:instrText xml:space="preserve"> PAGEREF _Toc158711976 \h </w:instrText>
      </w:r>
      <w:r>
        <w:rPr>
          <w:noProof/>
        </w:rPr>
      </w:r>
      <w:r>
        <w:rPr>
          <w:noProof/>
        </w:rPr>
        <w:fldChar w:fldCharType="separate"/>
      </w:r>
      <w:r>
        <w:rPr>
          <w:noProof/>
        </w:rPr>
        <w:t>173</w:t>
      </w:r>
      <w:r>
        <w:rPr>
          <w:noProof/>
        </w:rPr>
        <w:fldChar w:fldCharType="end"/>
      </w:r>
    </w:p>
    <w:p w14:paraId="45F3BA80" w14:textId="4CE4BE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6D.3A.01  Offers that are eligible to be made under Part 6D.3A of the Act</w:t>
      </w:r>
      <w:r>
        <w:rPr>
          <w:noProof/>
        </w:rPr>
        <w:tab/>
      </w:r>
      <w:r>
        <w:rPr>
          <w:noProof/>
        </w:rPr>
        <w:fldChar w:fldCharType="begin"/>
      </w:r>
      <w:r>
        <w:rPr>
          <w:noProof/>
        </w:rPr>
        <w:instrText xml:space="preserve"> PAGEREF _Toc158711977 \h </w:instrText>
      </w:r>
      <w:r>
        <w:rPr>
          <w:noProof/>
        </w:rPr>
      </w:r>
      <w:r>
        <w:rPr>
          <w:noProof/>
        </w:rPr>
        <w:fldChar w:fldCharType="separate"/>
      </w:r>
      <w:r>
        <w:rPr>
          <w:noProof/>
        </w:rPr>
        <w:t>173</w:t>
      </w:r>
      <w:r>
        <w:rPr>
          <w:noProof/>
        </w:rPr>
        <w:fldChar w:fldCharType="end"/>
      </w:r>
    </w:p>
    <w:p w14:paraId="32468FC6" w14:textId="093456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6D.3A.02  Contents of CSF offer document—general</w:t>
      </w:r>
      <w:r>
        <w:rPr>
          <w:noProof/>
        </w:rPr>
        <w:tab/>
      </w:r>
      <w:r>
        <w:rPr>
          <w:noProof/>
        </w:rPr>
        <w:fldChar w:fldCharType="begin"/>
      </w:r>
      <w:r>
        <w:rPr>
          <w:noProof/>
        </w:rPr>
        <w:instrText xml:space="preserve"> PAGEREF _Toc158711978 \h </w:instrText>
      </w:r>
      <w:r>
        <w:rPr>
          <w:noProof/>
        </w:rPr>
      </w:r>
      <w:r>
        <w:rPr>
          <w:noProof/>
        </w:rPr>
        <w:fldChar w:fldCharType="separate"/>
      </w:r>
      <w:r>
        <w:rPr>
          <w:noProof/>
        </w:rPr>
        <w:t>173</w:t>
      </w:r>
      <w:r>
        <w:rPr>
          <w:noProof/>
        </w:rPr>
        <w:fldChar w:fldCharType="end"/>
      </w:r>
    </w:p>
    <w:p w14:paraId="58067F83" w14:textId="612D3BC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6D.3A.03  Contents of CSF offer document—Section 1: Risk warnings</w:t>
      </w:r>
      <w:r>
        <w:rPr>
          <w:noProof/>
        </w:rPr>
        <w:tab/>
      </w:r>
      <w:r>
        <w:rPr>
          <w:noProof/>
        </w:rPr>
        <w:fldChar w:fldCharType="begin"/>
      </w:r>
      <w:r>
        <w:rPr>
          <w:noProof/>
        </w:rPr>
        <w:instrText xml:space="preserve"> PAGEREF _Toc158711979 \h </w:instrText>
      </w:r>
      <w:r>
        <w:rPr>
          <w:noProof/>
        </w:rPr>
      </w:r>
      <w:r>
        <w:rPr>
          <w:noProof/>
        </w:rPr>
        <w:fldChar w:fldCharType="separate"/>
      </w:r>
      <w:r>
        <w:rPr>
          <w:noProof/>
        </w:rPr>
        <w:t>173</w:t>
      </w:r>
      <w:r>
        <w:rPr>
          <w:noProof/>
        </w:rPr>
        <w:fldChar w:fldCharType="end"/>
      </w:r>
    </w:p>
    <w:p w14:paraId="0C56A39A" w14:textId="3B3B8D6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6D.3A.04  Contents of CSF offer document—Section 2: Information about the offering company</w:t>
      </w:r>
      <w:r>
        <w:rPr>
          <w:noProof/>
        </w:rPr>
        <w:tab/>
      </w:r>
      <w:r>
        <w:rPr>
          <w:noProof/>
        </w:rPr>
        <w:fldChar w:fldCharType="begin"/>
      </w:r>
      <w:r>
        <w:rPr>
          <w:noProof/>
        </w:rPr>
        <w:instrText xml:space="preserve"> PAGEREF _Toc158711980 \h </w:instrText>
      </w:r>
      <w:r>
        <w:rPr>
          <w:noProof/>
        </w:rPr>
      </w:r>
      <w:r>
        <w:rPr>
          <w:noProof/>
        </w:rPr>
        <w:fldChar w:fldCharType="separate"/>
      </w:r>
      <w:r>
        <w:rPr>
          <w:noProof/>
        </w:rPr>
        <w:t>174</w:t>
      </w:r>
      <w:r>
        <w:rPr>
          <w:noProof/>
        </w:rPr>
        <w:fldChar w:fldCharType="end"/>
      </w:r>
    </w:p>
    <w:p w14:paraId="72CF0AB5" w14:textId="42CC830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6D.3A.05  Contents of CSF offer document—Section 3: Information about the offer</w:t>
      </w:r>
      <w:r>
        <w:rPr>
          <w:noProof/>
        </w:rPr>
        <w:tab/>
      </w:r>
      <w:r>
        <w:rPr>
          <w:noProof/>
        </w:rPr>
        <w:fldChar w:fldCharType="begin"/>
      </w:r>
      <w:r>
        <w:rPr>
          <w:noProof/>
        </w:rPr>
        <w:instrText xml:space="preserve"> PAGEREF _Toc158711981 \h </w:instrText>
      </w:r>
      <w:r>
        <w:rPr>
          <w:noProof/>
        </w:rPr>
      </w:r>
      <w:r>
        <w:rPr>
          <w:noProof/>
        </w:rPr>
        <w:fldChar w:fldCharType="separate"/>
      </w:r>
      <w:r>
        <w:rPr>
          <w:noProof/>
        </w:rPr>
        <w:t>175</w:t>
      </w:r>
      <w:r>
        <w:rPr>
          <w:noProof/>
        </w:rPr>
        <w:fldChar w:fldCharType="end"/>
      </w:r>
    </w:p>
    <w:p w14:paraId="0BDAB1B3" w14:textId="42ED13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6D.3A.06  Contents of CSF offer document—Section 4: Information about investor rights</w:t>
      </w:r>
      <w:r>
        <w:rPr>
          <w:noProof/>
        </w:rPr>
        <w:tab/>
      </w:r>
      <w:r>
        <w:rPr>
          <w:noProof/>
        </w:rPr>
        <w:fldChar w:fldCharType="begin"/>
      </w:r>
      <w:r>
        <w:rPr>
          <w:noProof/>
        </w:rPr>
        <w:instrText xml:space="preserve"> PAGEREF _Toc158711982 \h </w:instrText>
      </w:r>
      <w:r>
        <w:rPr>
          <w:noProof/>
        </w:rPr>
      </w:r>
      <w:r>
        <w:rPr>
          <w:noProof/>
        </w:rPr>
        <w:fldChar w:fldCharType="separate"/>
      </w:r>
      <w:r>
        <w:rPr>
          <w:noProof/>
        </w:rPr>
        <w:t>176</w:t>
      </w:r>
      <w:r>
        <w:rPr>
          <w:noProof/>
        </w:rPr>
        <w:fldChar w:fldCharType="end"/>
      </w:r>
    </w:p>
    <w:p w14:paraId="5FDFE1E3" w14:textId="29AB2C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6D.3A.07  Obligation of CSF intermediary relating to their platforms—applicant risk acknowledgement</w:t>
      </w:r>
      <w:r>
        <w:rPr>
          <w:noProof/>
        </w:rPr>
        <w:tab/>
      </w:r>
      <w:r>
        <w:rPr>
          <w:noProof/>
        </w:rPr>
        <w:fldChar w:fldCharType="begin"/>
      </w:r>
      <w:r>
        <w:rPr>
          <w:noProof/>
        </w:rPr>
        <w:instrText xml:space="preserve"> PAGEREF _Toc158711983 \h </w:instrText>
      </w:r>
      <w:r>
        <w:rPr>
          <w:noProof/>
        </w:rPr>
      </w:r>
      <w:r>
        <w:rPr>
          <w:noProof/>
        </w:rPr>
        <w:fldChar w:fldCharType="separate"/>
      </w:r>
      <w:r>
        <w:rPr>
          <w:noProof/>
        </w:rPr>
        <w:t>176</w:t>
      </w:r>
      <w:r>
        <w:rPr>
          <w:noProof/>
        </w:rPr>
        <w:fldChar w:fldCharType="end"/>
      </w:r>
    </w:p>
    <w:p w14:paraId="2AE9B4B5" w14:textId="437026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6D.3A.08  Gatekeeper obligation of CSF intermediary—checks</w:t>
      </w:r>
      <w:r>
        <w:rPr>
          <w:noProof/>
        </w:rPr>
        <w:tab/>
      </w:r>
      <w:r>
        <w:rPr>
          <w:noProof/>
        </w:rPr>
        <w:fldChar w:fldCharType="begin"/>
      </w:r>
      <w:r>
        <w:rPr>
          <w:noProof/>
        </w:rPr>
        <w:instrText xml:space="preserve"> PAGEREF _Toc158711984 \h </w:instrText>
      </w:r>
      <w:r>
        <w:rPr>
          <w:noProof/>
        </w:rPr>
      </w:r>
      <w:r>
        <w:rPr>
          <w:noProof/>
        </w:rPr>
        <w:fldChar w:fldCharType="separate"/>
      </w:r>
      <w:r>
        <w:rPr>
          <w:noProof/>
        </w:rPr>
        <w:t>176</w:t>
      </w:r>
      <w:r>
        <w:rPr>
          <w:noProof/>
        </w:rPr>
        <w:fldChar w:fldCharType="end"/>
      </w:r>
    </w:p>
    <w:p w14:paraId="62C6452A" w14:textId="653019F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6D.3A.09  Gatekeeper obligation of CSF intermediary—reasonable standard of checks</w:t>
      </w:r>
      <w:r>
        <w:rPr>
          <w:noProof/>
        </w:rPr>
        <w:tab/>
      </w:r>
      <w:r>
        <w:rPr>
          <w:noProof/>
        </w:rPr>
        <w:fldChar w:fldCharType="begin"/>
      </w:r>
      <w:r>
        <w:rPr>
          <w:noProof/>
        </w:rPr>
        <w:instrText xml:space="preserve"> PAGEREF _Toc158711985 \h </w:instrText>
      </w:r>
      <w:r>
        <w:rPr>
          <w:noProof/>
        </w:rPr>
      </w:r>
      <w:r>
        <w:rPr>
          <w:noProof/>
        </w:rPr>
        <w:fldChar w:fldCharType="separate"/>
      </w:r>
      <w:r>
        <w:rPr>
          <w:noProof/>
        </w:rPr>
        <w:t>177</w:t>
      </w:r>
      <w:r>
        <w:rPr>
          <w:noProof/>
        </w:rPr>
        <w:fldChar w:fldCharType="end"/>
      </w:r>
    </w:p>
    <w:p w14:paraId="6B584C0C" w14:textId="4DFED5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6D.3A.10  Obligation of CSF intermediary relating to their platforms—general CSF risk warning</w:t>
      </w:r>
      <w:r>
        <w:rPr>
          <w:noProof/>
        </w:rPr>
        <w:tab/>
      </w:r>
      <w:r>
        <w:rPr>
          <w:noProof/>
        </w:rPr>
        <w:fldChar w:fldCharType="begin"/>
      </w:r>
      <w:r>
        <w:rPr>
          <w:noProof/>
        </w:rPr>
        <w:instrText xml:space="preserve"> PAGEREF _Toc158711986 \h </w:instrText>
      </w:r>
      <w:r>
        <w:rPr>
          <w:noProof/>
        </w:rPr>
      </w:r>
      <w:r>
        <w:rPr>
          <w:noProof/>
        </w:rPr>
        <w:fldChar w:fldCharType="separate"/>
      </w:r>
      <w:r>
        <w:rPr>
          <w:noProof/>
        </w:rPr>
        <w:t>178</w:t>
      </w:r>
      <w:r>
        <w:rPr>
          <w:noProof/>
        </w:rPr>
        <w:fldChar w:fldCharType="end"/>
      </w:r>
    </w:p>
    <w:p w14:paraId="356A68DD" w14:textId="256A321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6D.5—Fundraising—miscellaneous</w:t>
      </w:r>
      <w:r>
        <w:rPr>
          <w:noProof/>
        </w:rPr>
        <w:tab/>
      </w:r>
      <w:r>
        <w:rPr>
          <w:noProof/>
        </w:rPr>
        <w:fldChar w:fldCharType="begin"/>
      </w:r>
      <w:r>
        <w:rPr>
          <w:noProof/>
        </w:rPr>
        <w:instrText xml:space="preserve"> PAGEREF _Toc158711987 \h </w:instrText>
      </w:r>
      <w:r>
        <w:rPr>
          <w:noProof/>
        </w:rPr>
      </w:r>
      <w:r>
        <w:rPr>
          <w:noProof/>
        </w:rPr>
        <w:fldChar w:fldCharType="separate"/>
      </w:r>
      <w:r>
        <w:rPr>
          <w:noProof/>
        </w:rPr>
        <w:t>179</w:t>
      </w:r>
      <w:r>
        <w:rPr>
          <w:noProof/>
        </w:rPr>
        <w:fldChar w:fldCharType="end"/>
      </w:r>
    </w:p>
    <w:p w14:paraId="4E45AD8B" w14:textId="278CB0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6D.5.01  Warrants that are securities</w:t>
      </w:r>
      <w:r>
        <w:rPr>
          <w:noProof/>
        </w:rPr>
        <w:tab/>
      </w:r>
      <w:r>
        <w:rPr>
          <w:noProof/>
        </w:rPr>
        <w:fldChar w:fldCharType="begin"/>
      </w:r>
      <w:r>
        <w:rPr>
          <w:noProof/>
        </w:rPr>
        <w:instrText xml:space="preserve"> PAGEREF _Toc158711988 \h </w:instrText>
      </w:r>
      <w:r>
        <w:rPr>
          <w:noProof/>
        </w:rPr>
      </w:r>
      <w:r>
        <w:rPr>
          <w:noProof/>
        </w:rPr>
        <w:fldChar w:fldCharType="separate"/>
      </w:r>
      <w:r>
        <w:rPr>
          <w:noProof/>
        </w:rPr>
        <w:t>179</w:t>
      </w:r>
      <w:r>
        <w:rPr>
          <w:noProof/>
        </w:rPr>
        <w:fldChar w:fldCharType="end"/>
      </w:r>
    </w:p>
    <w:p w14:paraId="621F7D5E" w14:textId="6EDD88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6D.5.02  Modification of paragraph 708(8)(c) of the Act: renewal period for accountants’ certificates</w:t>
      </w:r>
      <w:r>
        <w:rPr>
          <w:noProof/>
        </w:rPr>
        <w:tab/>
      </w:r>
      <w:r>
        <w:rPr>
          <w:noProof/>
        </w:rPr>
        <w:fldChar w:fldCharType="begin"/>
      </w:r>
      <w:r>
        <w:rPr>
          <w:noProof/>
        </w:rPr>
        <w:instrText xml:space="preserve"> PAGEREF _Toc158711989 \h </w:instrText>
      </w:r>
      <w:r>
        <w:rPr>
          <w:noProof/>
        </w:rPr>
      </w:r>
      <w:r>
        <w:rPr>
          <w:noProof/>
        </w:rPr>
        <w:fldChar w:fldCharType="separate"/>
      </w:r>
      <w:r>
        <w:rPr>
          <w:noProof/>
        </w:rPr>
        <w:t>179</w:t>
      </w:r>
      <w:r>
        <w:rPr>
          <w:noProof/>
        </w:rPr>
        <w:fldChar w:fldCharType="end"/>
      </w:r>
    </w:p>
    <w:p w14:paraId="6D19711D" w14:textId="473DE33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6D.5.03  Modification of section 738X of the Act: requirement to notify right to withdraw application only applies if defect is materially adverse</w:t>
      </w:r>
      <w:r>
        <w:rPr>
          <w:noProof/>
        </w:rPr>
        <w:tab/>
      </w:r>
      <w:r>
        <w:rPr>
          <w:noProof/>
        </w:rPr>
        <w:fldChar w:fldCharType="begin"/>
      </w:r>
      <w:r>
        <w:rPr>
          <w:noProof/>
        </w:rPr>
        <w:instrText xml:space="preserve"> PAGEREF _Toc158711990 \h </w:instrText>
      </w:r>
      <w:r>
        <w:rPr>
          <w:noProof/>
        </w:rPr>
      </w:r>
      <w:r>
        <w:rPr>
          <w:noProof/>
        </w:rPr>
        <w:fldChar w:fldCharType="separate"/>
      </w:r>
      <w:r>
        <w:rPr>
          <w:noProof/>
        </w:rPr>
        <w:t>179</w:t>
      </w:r>
      <w:r>
        <w:rPr>
          <w:noProof/>
        </w:rPr>
        <w:fldChar w:fldCharType="end"/>
      </w:r>
    </w:p>
    <w:p w14:paraId="041549F1" w14:textId="65E2B8F1"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7</w:t>
      </w:r>
      <w:r w:rsidRPr="00FC743A">
        <w:rPr>
          <w:noProof/>
          <w:color w:val="000000"/>
        </w:rPr>
        <w:t>—</w:t>
      </w:r>
      <w:r>
        <w:rPr>
          <w:noProof/>
        </w:rPr>
        <w:t>Financial services and markets</w:t>
      </w:r>
      <w:r>
        <w:rPr>
          <w:noProof/>
        </w:rPr>
        <w:tab/>
      </w:r>
      <w:r>
        <w:rPr>
          <w:noProof/>
        </w:rPr>
        <w:fldChar w:fldCharType="begin"/>
      </w:r>
      <w:r>
        <w:rPr>
          <w:noProof/>
        </w:rPr>
        <w:instrText xml:space="preserve"> PAGEREF _Toc158711991 \h </w:instrText>
      </w:r>
      <w:r>
        <w:rPr>
          <w:noProof/>
        </w:rPr>
      </w:r>
      <w:r>
        <w:rPr>
          <w:noProof/>
        </w:rPr>
        <w:fldChar w:fldCharType="separate"/>
      </w:r>
      <w:r>
        <w:rPr>
          <w:noProof/>
        </w:rPr>
        <w:t>180</w:t>
      </w:r>
      <w:r>
        <w:rPr>
          <w:noProof/>
        </w:rPr>
        <w:fldChar w:fldCharType="end"/>
      </w:r>
    </w:p>
    <w:p w14:paraId="3FC26550" w14:textId="62CEDCA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7.1</w:t>
      </w:r>
      <w:r w:rsidRPr="00FC743A">
        <w:rPr>
          <w:noProof/>
          <w:color w:val="000000"/>
        </w:rPr>
        <w:t>—</w:t>
      </w:r>
      <w:r>
        <w:rPr>
          <w:noProof/>
        </w:rPr>
        <w:t>Preliminary</w:t>
      </w:r>
      <w:r>
        <w:rPr>
          <w:noProof/>
        </w:rPr>
        <w:tab/>
      </w:r>
      <w:r>
        <w:rPr>
          <w:noProof/>
        </w:rPr>
        <w:fldChar w:fldCharType="begin"/>
      </w:r>
      <w:r>
        <w:rPr>
          <w:noProof/>
        </w:rPr>
        <w:instrText xml:space="preserve"> PAGEREF _Toc158711992 \h </w:instrText>
      </w:r>
      <w:r>
        <w:rPr>
          <w:noProof/>
        </w:rPr>
      </w:r>
      <w:r>
        <w:rPr>
          <w:noProof/>
        </w:rPr>
        <w:fldChar w:fldCharType="separate"/>
      </w:r>
      <w:r>
        <w:rPr>
          <w:noProof/>
        </w:rPr>
        <w:t>180</w:t>
      </w:r>
      <w:r>
        <w:rPr>
          <w:noProof/>
        </w:rPr>
        <w:fldChar w:fldCharType="end"/>
      </w:r>
    </w:p>
    <w:p w14:paraId="1FB581D6" w14:textId="6B78D71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General</w:t>
      </w:r>
      <w:r>
        <w:rPr>
          <w:noProof/>
        </w:rPr>
        <w:tab/>
      </w:r>
      <w:r>
        <w:rPr>
          <w:noProof/>
        </w:rPr>
        <w:fldChar w:fldCharType="begin"/>
      </w:r>
      <w:r>
        <w:rPr>
          <w:noProof/>
        </w:rPr>
        <w:instrText xml:space="preserve"> PAGEREF _Toc158711993 \h </w:instrText>
      </w:r>
      <w:r>
        <w:rPr>
          <w:noProof/>
        </w:rPr>
      </w:r>
      <w:r>
        <w:rPr>
          <w:noProof/>
        </w:rPr>
        <w:fldChar w:fldCharType="separate"/>
      </w:r>
      <w:r>
        <w:rPr>
          <w:noProof/>
        </w:rPr>
        <w:t>180</w:t>
      </w:r>
      <w:r>
        <w:rPr>
          <w:noProof/>
        </w:rPr>
        <w:fldChar w:fldCharType="end"/>
      </w:r>
    </w:p>
    <w:p w14:paraId="1142A512" w14:textId="4FBBAE8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7.1.04  Derivatives</w:t>
      </w:r>
      <w:r>
        <w:rPr>
          <w:noProof/>
        </w:rPr>
        <w:tab/>
      </w:r>
      <w:r>
        <w:rPr>
          <w:noProof/>
        </w:rPr>
        <w:fldChar w:fldCharType="begin"/>
      </w:r>
      <w:r>
        <w:rPr>
          <w:noProof/>
        </w:rPr>
        <w:instrText xml:space="preserve"> PAGEREF _Toc158711994 \h </w:instrText>
      </w:r>
      <w:r>
        <w:rPr>
          <w:noProof/>
        </w:rPr>
      </w:r>
      <w:r>
        <w:rPr>
          <w:noProof/>
        </w:rPr>
        <w:fldChar w:fldCharType="separate"/>
      </w:r>
      <w:r>
        <w:rPr>
          <w:noProof/>
        </w:rPr>
        <w:t>180</w:t>
      </w:r>
      <w:r>
        <w:rPr>
          <w:noProof/>
        </w:rPr>
        <w:fldChar w:fldCharType="end"/>
      </w:r>
    </w:p>
    <w:p w14:paraId="44C34B1A" w14:textId="602817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7.1.04A  Meaning of </w:t>
      </w:r>
      <w:r w:rsidRPr="00FC743A">
        <w:rPr>
          <w:i/>
          <w:noProof/>
        </w:rPr>
        <w:t xml:space="preserve">kind </w:t>
      </w:r>
      <w:r>
        <w:rPr>
          <w:noProof/>
        </w:rPr>
        <w:t>of financial products (section 1012IA of the Act)</w:t>
      </w:r>
      <w:r>
        <w:rPr>
          <w:noProof/>
        </w:rPr>
        <w:tab/>
      </w:r>
      <w:r>
        <w:rPr>
          <w:noProof/>
        </w:rPr>
        <w:fldChar w:fldCharType="begin"/>
      </w:r>
      <w:r>
        <w:rPr>
          <w:noProof/>
        </w:rPr>
        <w:instrText xml:space="preserve"> PAGEREF _Toc158711995 \h </w:instrText>
      </w:r>
      <w:r>
        <w:rPr>
          <w:noProof/>
        </w:rPr>
      </w:r>
      <w:r>
        <w:rPr>
          <w:noProof/>
        </w:rPr>
        <w:fldChar w:fldCharType="separate"/>
      </w:r>
      <w:r>
        <w:rPr>
          <w:noProof/>
        </w:rPr>
        <w:t>181</w:t>
      </w:r>
      <w:r>
        <w:rPr>
          <w:noProof/>
        </w:rPr>
        <w:fldChar w:fldCharType="end"/>
      </w:r>
    </w:p>
    <w:p w14:paraId="1324FAB1" w14:textId="3D8452A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7.1.04B  Meaning of </w:t>
      </w:r>
      <w:r w:rsidRPr="00FC743A">
        <w:rPr>
          <w:i/>
          <w:noProof/>
        </w:rPr>
        <w:t xml:space="preserve">class </w:t>
      </w:r>
      <w:r>
        <w:rPr>
          <w:noProof/>
        </w:rPr>
        <w:t>of financial products (managed investment schemes)</w:t>
      </w:r>
      <w:r>
        <w:rPr>
          <w:noProof/>
        </w:rPr>
        <w:tab/>
      </w:r>
      <w:r>
        <w:rPr>
          <w:noProof/>
        </w:rPr>
        <w:fldChar w:fldCharType="begin"/>
      </w:r>
      <w:r>
        <w:rPr>
          <w:noProof/>
        </w:rPr>
        <w:instrText xml:space="preserve"> PAGEREF _Toc158711996 \h </w:instrText>
      </w:r>
      <w:r>
        <w:rPr>
          <w:noProof/>
        </w:rPr>
      </w:r>
      <w:r>
        <w:rPr>
          <w:noProof/>
        </w:rPr>
        <w:fldChar w:fldCharType="separate"/>
      </w:r>
      <w:r>
        <w:rPr>
          <w:noProof/>
        </w:rPr>
        <w:t>181</w:t>
      </w:r>
      <w:r>
        <w:rPr>
          <w:noProof/>
        </w:rPr>
        <w:fldChar w:fldCharType="end"/>
      </w:r>
    </w:p>
    <w:p w14:paraId="0CB20E67" w14:textId="492BF5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7.1.04C  Meaning of </w:t>
      </w:r>
      <w:r w:rsidRPr="00FC743A">
        <w:rPr>
          <w:i/>
          <w:noProof/>
        </w:rPr>
        <w:t xml:space="preserve">class </w:t>
      </w:r>
      <w:r>
        <w:rPr>
          <w:noProof/>
        </w:rPr>
        <w:t>of financial products (superannuation products)</w:t>
      </w:r>
      <w:r>
        <w:rPr>
          <w:noProof/>
        </w:rPr>
        <w:tab/>
      </w:r>
      <w:r>
        <w:rPr>
          <w:noProof/>
        </w:rPr>
        <w:fldChar w:fldCharType="begin"/>
      </w:r>
      <w:r>
        <w:rPr>
          <w:noProof/>
        </w:rPr>
        <w:instrText xml:space="preserve"> PAGEREF _Toc158711997 \h </w:instrText>
      </w:r>
      <w:r>
        <w:rPr>
          <w:noProof/>
        </w:rPr>
      </w:r>
      <w:r>
        <w:rPr>
          <w:noProof/>
        </w:rPr>
        <w:fldChar w:fldCharType="separate"/>
      </w:r>
      <w:r>
        <w:rPr>
          <w:noProof/>
        </w:rPr>
        <w:t>181</w:t>
      </w:r>
      <w:r>
        <w:rPr>
          <w:noProof/>
        </w:rPr>
        <w:fldChar w:fldCharType="end"/>
      </w:r>
    </w:p>
    <w:p w14:paraId="25DF3E71" w14:textId="5CFFF7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7.1.04CAA  Meaning of </w:t>
      </w:r>
      <w:r w:rsidRPr="00FC743A">
        <w:rPr>
          <w:i/>
          <w:noProof/>
        </w:rPr>
        <w:t>claimant intermediary</w:t>
      </w:r>
      <w:r>
        <w:rPr>
          <w:noProof/>
        </w:rPr>
        <w:t>—persons excluded from being claimant intermediaries</w:t>
      </w:r>
      <w:r>
        <w:rPr>
          <w:noProof/>
        </w:rPr>
        <w:tab/>
      </w:r>
      <w:r>
        <w:rPr>
          <w:noProof/>
        </w:rPr>
        <w:fldChar w:fldCharType="begin"/>
      </w:r>
      <w:r>
        <w:rPr>
          <w:noProof/>
        </w:rPr>
        <w:instrText xml:space="preserve"> PAGEREF _Toc158711998 \h </w:instrText>
      </w:r>
      <w:r>
        <w:rPr>
          <w:noProof/>
        </w:rPr>
      </w:r>
      <w:r>
        <w:rPr>
          <w:noProof/>
        </w:rPr>
        <w:fldChar w:fldCharType="separate"/>
      </w:r>
      <w:r>
        <w:rPr>
          <w:noProof/>
        </w:rPr>
        <w:t>181</w:t>
      </w:r>
      <w:r>
        <w:rPr>
          <w:noProof/>
        </w:rPr>
        <w:fldChar w:fldCharType="end"/>
      </w:r>
    </w:p>
    <w:p w14:paraId="006B314C" w14:textId="26BC49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7.1.04CA  Kinds of financial products</w:t>
      </w:r>
      <w:r>
        <w:rPr>
          <w:noProof/>
        </w:rPr>
        <w:tab/>
      </w:r>
      <w:r>
        <w:rPr>
          <w:noProof/>
        </w:rPr>
        <w:fldChar w:fldCharType="begin"/>
      </w:r>
      <w:r>
        <w:rPr>
          <w:noProof/>
        </w:rPr>
        <w:instrText xml:space="preserve"> PAGEREF _Toc158711999 \h </w:instrText>
      </w:r>
      <w:r>
        <w:rPr>
          <w:noProof/>
        </w:rPr>
      </w:r>
      <w:r>
        <w:rPr>
          <w:noProof/>
        </w:rPr>
        <w:fldChar w:fldCharType="separate"/>
      </w:r>
      <w:r>
        <w:rPr>
          <w:noProof/>
        </w:rPr>
        <w:t>183</w:t>
      </w:r>
      <w:r>
        <w:rPr>
          <w:noProof/>
        </w:rPr>
        <w:fldChar w:fldCharType="end"/>
      </w:r>
    </w:p>
    <w:p w14:paraId="2B4EE596" w14:textId="2B82E5D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7.1.04CB  When providing certain claims handing and settling services is not the primary part of a business</w:t>
      </w:r>
      <w:r>
        <w:rPr>
          <w:noProof/>
        </w:rPr>
        <w:tab/>
      </w:r>
      <w:r>
        <w:rPr>
          <w:noProof/>
        </w:rPr>
        <w:fldChar w:fldCharType="begin"/>
      </w:r>
      <w:r>
        <w:rPr>
          <w:noProof/>
        </w:rPr>
        <w:instrText xml:space="preserve"> PAGEREF _Toc158712000 \h </w:instrText>
      </w:r>
      <w:r>
        <w:rPr>
          <w:noProof/>
        </w:rPr>
      </w:r>
      <w:r>
        <w:rPr>
          <w:noProof/>
        </w:rPr>
        <w:fldChar w:fldCharType="separate"/>
      </w:r>
      <w:r>
        <w:rPr>
          <w:noProof/>
        </w:rPr>
        <w:t>183</w:t>
      </w:r>
      <w:r>
        <w:rPr>
          <w:noProof/>
        </w:rPr>
        <w:fldChar w:fldCharType="end"/>
      </w:r>
    </w:p>
    <w:p w14:paraId="0CCA6F15" w14:textId="1C7F159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7.1.04D  Meaning of </w:t>
      </w:r>
      <w:r w:rsidRPr="00FC743A">
        <w:rPr>
          <w:i/>
          <w:noProof/>
        </w:rPr>
        <w:t xml:space="preserve">issuer </w:t>
      </w:r>
      <w:r>
        <w:rPr>
          <w:noProof/>
        </w:rPr>
        <w:t>for certain derivatives</w:t>
      </w:r>
      <w:r>
        <w:rPr>
          <w:noProof/>
        </w:rPr>
        <w:tab/>
      </w:r>
      <w:r>
        <w:rPr>
          <w:noProof/>
        </w:rPr>
        <w:fldChar w:fldCharType="begin"/>
      </w:r>
      <w:r>
        <w:rPr>
          <w:noProof/>
        </w:rPr>
        <w:instrText xml:space="preserve"> PAGEREF _Toc158712001 \h </w:instrText>
      </w:r>
      <w:r>
        <w:rPr>
          <w:noProof/>
        </w:rPr>
      </w:r>
      <w:r>
        <w:rPr>
          <w:noProof/>
        </w:rPr>
        <w:fldChar w:fldCharType="separate"/>
      </w:r>
      <w:r>
        <w:rPr>
          <w:noProof/>
        </w:rPr>
        <w:t>184</w:t>
      </w:r>
      <w:r>
        <w:rPr>
          <w:noProof/>
        </w:rPr>
        <w:fldChar w:fldCharType="end"/>
      </w:r>
    </w:p>
    <w:p w14:paraId="4D143176" w14:textId="3F0A5AB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7.1.04E  Issue of a new interest in a superannuation fund</w:t>
      </w:r>
      <w:r>
        <w:rPr>
          <w:noProof/>
        </w:rPr>
        <w:tab/>
      </w:r>
      <w:r>
        <w:rPr>
          <w:noProof/>
        </w:rPr>
        <w:fldChar w:fldCharType="begin"/>
      </w:r>
      <w:r>
        <w:rPr>
          <w:noProof/>
        </w:rPr>
        <w:instrText xml:space="preserve"> PAGEREF _Toc158712002 \h </w:instrText>
      </w:r>
      <w:r>
        <w:rPr>
          <w:noProof/>
        </w:rPr>
      </w:r>
      <w:r>
        <w:rPr>
          <w:noProof/>
        </w:rPr>
        <w:fldChar w:fldCharType="separate"/>
      </w:r>
      <w:r>
        <w:rPr>
          <w:noProof/>
        </w:rPr>
        <w:t>184</w:t>
      </w:r>
      <w:r>
        <w:rPr>
          <w:noProof/>
        </w:rPr>
        <w:fldChar w:fldCharType="end"/>
      </w:r>
    </w:p>
    <w:p w14:paraId="1ABA603C" w14:textId="0D4B83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7.1.04F  Meaning of </w:t>
      </w:r>
      <w:r w:rsidRPr="00FC743A">
        <w:rPr>
          <w:i/>
          <w:noProof/>
        </w:rPr>
        <w:t xml:space="preserve">class </w:t>
      </w:r>
      <w:r>
        <w:rPr>
          <w:noProof/>
        </w:rPr>
        <w:t>of financial services (subsections 917A(3), 917C(2) and 917C(3) of the Act)</w:t>
      </w:r>
      <w:r>
        <w:rPr>
          <w:noProof/>
        </w:rPr>
        <w:tab/>
      </w:r>
      <w:r>
        <w:rPr>
          <w:noProof/>
        </w:rPr>
        <w:fldChar w:fldCharType="begin"/>
      </w:r>
      <w:r>
        <w:rPr>
          <w:noProof/>
        </w:rPr>
        <w:instrText xml:space="preserve"> PAGEREF _Toc158712003 \h </w:instrText>
      </w:r>
      <w:r>
        <w:rPr>
          <w:noProof/>
        </w:rPr>
      </w:r>
      <w:r>
        <w:rPr>
          <w:noProof/>
        </w:rPr>
        <w:fldChar w:fldCharType="separate"/>
      </w:r>
      <w:r>
        <w:rPr>
          <w:noProof/>
        </w:rPr>
        <w:t>184</w:t>
      </w:r>
      <w:r>
        <w:rPr>
          <w:noProof/>
        </w:rPr>
        <w:fldChar w:fldCharType="end"/>
      </w:r>
    </w:p>
    <w:p w14:paraId="7B0AB037" w14:textId="7072FD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7.1.04G  Meaning of </w:t>
      </w:r>
      <w:r w:rsidRPr="00FC743A">
        <w:rPr>
          <w:i/>
          <w:noProof/>
        </w:rPr>
        <w:t xml:space="preserve">issuer </w:t>
      </w:r>
      <w:r>
        <w:rPr>
          <w:noProof/>
        </w:rPr>
        <w:t>for a foreign exchange contract</w:t>
      </w:r>
      <w:r>
        <w:rPr>
          <w:noProof/>
        </w:rPr>
        <w:tab/>
      </w:r>
      <w:r>
        <w:rPr>
          <w:noProof/>
        </w:rPr>
        <w:fldChar w:fldCharType="begin"/>
      </w:r>
      <w:r>
        <w:rPr>
          <w:noProof/>
        </w:rPr>
        <w:instrText xml:space="preserve"> PAGEREF _Toc158712004 \h </w:instrText>
      </w:r>
      <w:r>
        <w:rPr>
          <w:noProof/>
        </w:rPr>
      </w:r>
      <w:r>
        <w:rPr>
          <w:noProof/>
        </w:rPr>
        <w:fldChar w:fldCharType="separate"/>
      </w:r>
      <w:r>
        <w:rPr>
          <w:noProof/>
        </w:rPr>
        <w:t>184</w:t>
      </w:r>
      <w:r>
        <w:rPr>
          <w:noProof/>
        </w:rPr>
        <w:fldChar w:fldCharType="end"/>
      </w:r>
    </w:p>
    <w:p w14:paraId="641726B0" w14:textId="75ACDF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7.1.04N  Specific things that are financial products—litigation funding schemes and arrangements</w:t>
      </w:r>
      <w:r>
        <w:rPr>
          <w:noProof/>
        </w:rPr>
        <w:tab/>
      </w:r>
      <w:r>
        <w:rPr>
          <w:noProof/>
        </w:rPr>
        <w:fldChar w:fldCharType="begin"/>
      </w:r>
      <w:r>
        <w:rPr>
          <w:noProof/>
        </w:rPr>
        <w:instrText xml:space="preserve"> PAGEREF _Toc158712005 \h </w:instrText>
      </w:r>
      <w:r>
        <w:rPr>
          <w:noProof/>
        </w:rPr>
      </w:r>
      <w:r>
        <w:rPr>
          <w:noProof/>
        </w:rPr>
        <w:fldChar w:fldCharType="separate"/>
      </w:r>
      <w:r>
        <w:rPr>
          <w:noProof/>
        </w:rPr>
        <w:t>184</w:t>
      </w:r>
      <w:r>
        <w:rPr>
          <w:noProof/>
        </w:rPr>
        <w:fldChar w:fldCharType="end"/>
      </w:r>
    </w:p>
    <w:p w14:paraId="67341FC0" w14:textId="4654429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7.1.05  Specific things that are not financial products: superannuation interests</w:t>
      </w:r>
      <w:r>
        <w:rPr>
          <w:noProof/>
        </w:rPr>
        <w:tab/>
      </w:r>
      <w:r>
        <w:rPr>
          <w:noProof/>
        </w:rPr>
        <w:fldChar w:fldCharType="begin"/>
      </w:r>
      <w:r>
        <w:rPr>
          <w:noProof/>
        </w:rPr>
        <w:instrText xml:space="preserve"> PAGEREF _Toc158712006 \h </w:instrText>
      </w:r>
      <w:r>
        <w:rPr>
          <w:noProof/>
        </w:rPr>
      </w:r>
      <w:r>
        <w:rPr>
          <w:noProof/>
        </w:rPr>
        <w:fldChar w:fldCharType="separate"/>
      </w:r>
      <w:r>
        <w:rPr>
          <w:noProof/>
        </w:rPr>
        <w:t>185</w:t>
      </w:r>
      <w:r>
        <w:rPr>
          <w:noProof/>
        </w:rPr>
        <w:fldChar w:fldCharType="end"/>
      </w:r>
    </w:p>
    <w:p w14:paraId="55B30594" w14:textId="25E776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7.1.06  Specific things that are not financial products: credit facility</w:t>
      </w:r>
      <w:r>
        <w:rPr>
          <w:noProof/>
        </w:rPr>
        <w:tab/>
      </w:r>
      <w:r>
        <w:rPr>
          <w:noProof/>
        </w:rPr>
        <w:fldChar w:fldCharType="begin"/>
      </w:r>
      <w:r>
        <w:rPr>
          <w:noProof/>
        </w:rPr>
        <w:instrText xml:space="preserve"> PAGEREF _Toc158712007 \h </w:instrText>
      </w:r>
      <w:r>
        <w:rPr>
          <w:noProof/>
        </w:rPr>
      </w:r>
      <w:r>
        <w:rPr>
          <w:noProof/>
        </w:rPr>
        <w:fldChar w:fldCharType="separate"/>
      </w:r>
      <w:r>
        <w:rPr>
          <w:noProof/>
        </w:rPr>
        <w:t>185</w:t>
      </w:r>
      <w:r>
        <w:rPr>
          <w:noProof/>
        </w:rPr>
        <w:fldChar w:fldCharType="end"/>
      </w:r>
    </w:p>
    <w:p w14:paraId="4FE9F022" w14:textId="3EC578E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7.1.06A  Arrangements for certain financial products that are not credit facilities</w:t>
      </w:r>
      <w:r>
        <w:rPr>
          <w:noProof/>
        </w:rPr>
        <w:tab/>
      </w:r>
      <w:r>
        <w:rPr>
          <w:noProof/>
        </w:rPr>
        <w:fldChar w:fldCharType="begin"/>
      </w:r>
      <w:r>
        <w:rPr>
          <w:noProof/>
        </w:rPr>
        <w:instrText xml:space="preserve"> PAGEREF _Toc158712008 \h </w:instrText>
      </w:r>
      <w:r>
        <w:rPr>
          <w:noProof/>
        </w:rPr>
      </w:r>
      <w:r>
        <w:rPr>
          <w:noProof/>
        </w:rPr>
        <w:fldChar w:fldCharType="separate"/>
      </w:r>
      <w:r>
        <w:rPr>
          <w:noProof/>
        </w:rPr>
        <w:t>186</w:t>
      </w:r>
      <w:r>
        <w:rPr>
          <w:noProof/>
        </w:rPr>
        <w:fldChar w:fldCharType="end"/>
      </w:r>
    </w:p>
    <w:p w14:paraId="5CAE1B5F" w14:textId="52E811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  Specific things that are not financial products: surety bonds</w:t>
      </w:r>
      <w:r>
        <w:rPr>
          <w:noProof/>
        </w:rPr>
        <w:tab/>
      </w:r>
      <w:r>
        <w:rPr>
          <w:noProof/>
        </w:rPr>
        <w:fldChar w:fldCharType="begin"/>
      </w:r>
      <w:r>
        <w:rPr>
          <w:noProof/>
        </w:rPr>
        <w:instrText xml:space="preserve"> PAGEREF _Toc158712009 \h </w:instrText>
      </w:r>
      <w:r>
        <w:rPr>
          <w:noProof/>
        </w:rPr>
      </w:r>
      <w:r>
        <w:rPr>
          <w:noProof/>
        </w:rPr>
        <w:fldChar w:fldCharType="separate"/>
      </w:r>
      <w:r>
        <w:rPr>
          <w:noProof/>
        </w:rPr>
        <w:t>186</w:t>
      </w:r>
      <w:r>
        <w:rPr>
          <w:noProof/>
        </w:rPr>
        <w:fldChar w:fldCharType="end"/>
      </w:r>
    </w:p>
    <w:p w14:paraId="1E5CEF3E" w14:textId="6FC4F28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7.1.07A  Specific things that are not financial products: rental agreements</w:t>
      </w:r>
      <w:r>
        <w:rPr>
          <w:noProof/>
        </w:rPr>
        <w:tab/>
      </w:r>
      <w:r>
        <w:rPr>
          <w:noProof/>
        </w:rPr>
        <w:fldChar w:fldCharType="begin"/>
      </w:r>
      <w:r>
        <w:rPr>
          <w:noProof/>
        </w:rPr>
        <w:instrText xml:space="preserve"> PAGEREF _Toc158712010 \h </w:instrText>
      </w:r>
      <w:r>
        <w:rPr>
          <w:noProof/>
        </w:rPr>
      </w:r>
      <w:r>
        <w:rPr>
          <w:noProof/>
        </w:rPr>
        <w:fldChar w:fldCharType="separate"/>
      </w:r>
      <w:r>
        <w:rPr>
          <w:noProof/>
        </w:rPr>
        <w:t>186</w:t>
      </w:r>
      <w:r>
        <w:rPr>
          <w:noProof/>
        </w:rPr>
        <w:fldChar w:fldCharType="end"/>
      </w:r>
    </w:p>
    <w:p w14:paraId="6E52EE4B" w14:textId="1FFD5D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7.1.07B  Specific things that are not financial products: bank drafts</w:t>
      </w:r>
      <w:r>
        <w:rPr>
          <w:noProof/>
        </w:rPr>
        <w:tab/>
      </w:r>
      <w:r>
        <w:rPr>
          <w:noProof/>
        </w:rPr>
        <w:fldChar w:fldCharType="begin"/>
      </w:r>
      <w:r>
        <w:rPr>
          <w:noProof/>
        </w:rPr>
        <w:instrText xml:space="preserve"> PAGEREF _Toc158712011 \h </w:instrText>
      </w:r>
      <w:r>
        <w:rPr>
          <w:noProof/>
        </w:rPr>
      </w:r>
      <w:r>
        <w:rPr>
          <w:noProof/>
        </w:rPr>
        <w:fldChar w:fldCharType="separate"/>
      </w:r>
      <w:r>
        <w:rPr>
          <w:noProof/>
        </w:rPr>
        <w:t>187</w:t>
      </w:r>
      <w:r>
        <w:rPr>
          <w:noProof/>
        </w:rPr>
        <w:fldChar w:fldCharType="end"/>
      </w:r>
    </w:p>
    <w:p w14:paraId="7E8CAC1A" w14:textId="223932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7.1.07C  Specific things that are not financial products: insurance under an overseas student health insurance contract</w:t>
      </w:r>
      <w:r>
        <w:rPr>
          <w:noProof/>
        </w:rPr>
        <w:tab/>
      </w:r>
      <w:r>
        <w:rPr>
          <w:noProof/>
        </w:rPr>
        <w:fldChar w:fldCharType="begin"/>
      </w:r>
      <w:r>
        <w:rPr>
          <w:noProof/>
        </w:rPr>
        <w:instrText xml:space="preserve"> PAGEREF _Toc158712012 \h </w:instrText>
      </w:r>
      <w:r>
        <w:rPr>
          <w:noProof/>
        </w:rPr>
      </w:r>
      <w:r>
        <w:rPr>
          <w:noProof/>
        </w:rPr>
        <w:fldChar w:fldCharType="separate"/>
      </w:r>
      <w:r>
        <w:rPr>
          <w:noProof/>
        </w:rPr>
        <w:t>187</w:t>
      </w:r>
      <w:r>
        <w:rPr>
          <w:noProof/>
        </w:rPr>
        <w:fldChar w:fldCharType="end"/>
      </w:r>
    </w:p>
    <w:p w14:paraId="75B36132" w14:textId="3C620E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7.1.07E  Specific things that are not financial products: rights of the holder of a debenture</w:t>
      </w:r>
      <w:r>
        <w:rPr>
          <w:noProof/>
        </w:rPr>
        <w:tab/>
      </w:r>
      <w:r>
        <w:rPr>
          <w:noProof/>
        </w:rPr>
        <w:fldChar w:fldCharType="begin"/>
      </w:r>
      <w:r>
        <w:rPr>
          <w:noProof/>
        </w:rPr>
        <w:instrText xml:space="preserve"> PAGEREF _Toc158712013 \h </w:instrText>
      </w:r>
      <w:r>
        <w:rPr>
          <w:noProof/>
        </w:rPr>
      </w:r>
      <w:r>
        <w:rPr>
          <w:noProof/>
        </w:rPr>
        <w:fldChar w:fldCharType="separate"/>
      </w:r>
      <w:r>
        <w:rPr>
          <w:noProof/>
        </w:rPr>
        <w:t>187</w:t>
      </w:r>
      <w:r>
        <w:rPr>
          <w:noProof/>
        </w:rPr>
        <w:fldChar w:fldCharType="end"/>
      </w:r>
    </w:p>
    <w:p w14:paraId="7DA4AFD3" w14:textId="49B4FA8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7.1.07F  Specific things that are not financial products: money orders</w:t>
      </w:r>
      <w:r>
        <w:rPr>
          <w:noProof/>
        </w:rPr>
        <w:tab/>
      </w:r>
      <w:r>
        <w:rPr>
          <w:noProof/>
        </w:rPr>
        <w:fldChar w:fldCharType="begin"/>
      </w:r>
      <w:r>
        <w:rPr>
          <w:noProof/>
        </w:rPr>
        <w:instrText xml:space="preserve"> PAGEREF _Toc158712014 \h </w:instrText>
      </w:r>
      <w:r>
        <w:rPr>
          <w:noProof/>
        </w:rPr>
      </w:r>
      <w:r>
        <w:rPr>
          <w:noProof/>
        </w:rPr>
        <w:fldChar w:fldCharType="separate"/>
      </w:r>
      <w:r>
        <w:rPr>
          <w:noProof/>
        </w:rPr>
        <w:t>187</w:t>
      </w:r>
      <w:r>
        <w:rPr>
          <w:noProof/>
        </w:rPr>
        <w:fldChar w:fldCharType="end"/>
      </w:r>
    </w:p>
    <w:p w14:paraId="31FA2AD0" w14:textId="07CF5D7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7.1.07G  Specific things that are not financial products: electronic funds transfers</w:t>
      </w:r>
      <w:r>
        <w:rPr>
          <w:noProof/>
        </w:rPr>
        <w:tab/>
      </w:r>
      <w:r>
        <w:rPr>
          <w:noProof/>
        </w:rPr>
        <w:fldChar w:fldCharType="begin"/>
      </w:r>
      <w:r>
        <w:rPr>
          <w:noProof/>
        </w:rPr>
        <w:instrText xml:space="preserve"> PAGEREF _Toc158712015 \h </w:instrText>
      </w:r>
      <w:r>
        <w:rPr>
          <w:noProof/>
        </w:rPr>
      </w:r>
      <w:r>
        <w:rPr>
          <w:noProof/>
        </w:rPr>
        <w:fldChar w:fldCharType="separate"/>
      </w:r>
      <w:r>
        <w:rPr>
          <w:noProof/>
        </w:rPr>
        <w:t>187</w:t>
      </w:r>
      <w:r>
        <w:rPr>
          <w:noProof/>
        </w:rPr>
        <w:fldChar w:fldCharType="end"/>
      </w:r>
    </w:p>
    <w:p w14:paraId="65493C76" w14:textId="370343F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7.1.07H  Specific things that are not financial products: ACT insurance</w:t>
      </w:r>
      <w:r>
        <w:rPr>
          <w:noProof/>
        </w:rPr>
        <w:tab/>
      </w:r>
      <w:r>
        <w:rPr>
          <w:noProof/>
        </w:rPr>
        <w:fldChar w:fldCharType="begin"/>
      </w:r>
      <w:r>
        <w:rPr>
          <w:noProof/>
        </w:rPr>
        <w:instrText xml:space="preserve"> PAGEREF _Toc158712016 \h </w:instrText>
      </w:r>
      <w:r>
        <w:rPr>
          <w:noProof/>
        </w:rPr>
      </w:r>
      <w:r>
        <w:rPr>
          <w:noProof/>
        </w:rPr>
        <w:fldChar w:fldCharType="separate"/>
      </w:r>
      <w:r>
        <w:rPr>
          <w:noProof/>
        </w:rPr>
        <w:t>188</w:t>
      </w:r>
      <w:r>
        <w:rPr>
          <w:noProof/>
        </w:rPr>
        <w:fldChar w:fldCharType="end"/>
      </w:r>
    </w:p>
    <w:p w14:paraId="45A15EF9" w14:textId="2BD03B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7.1.07J  Specific things that are not financial products—carbon abatement</w:t>
      </w:r>
      <w:r>
        <w:rPr>
          <w:noProof/>
        </w:rPr>
        <w:tab/>
      </w:r>
      <w:r>
        <w:rPr>
          <w:noProof/>
        </w:rPr>
        <w:fldChar w:fldCharType="begin"/>
      </w:r>
      <w:r>
        <w:rPr>
          <w:noProof/>
        </w:rPr>
        <w:instrText xml:space="preserve"> PAGEREF _Toc158712017 \h </w:instrText>
      </w:r>
      <w:r>
        <w:rPr>
          <w:noProof/>
        </w:rPr>
      </w:r>
      <w:r>
        <w:rPr>
          <w:noProof/>
        </w:rPr>
        <w:fldChar w:fldCharType="separate"/>
      </w:r>
      <w:r>
        <w:rPr>
          <w:noProof/>
        </w:rPr>
        <w:t>188</w:t>
      </w:r>
      <w:r>
        <w:rPr>
          <w:noProof/>
        </w:rPr>
        <w:fldChar w:fldCharType="end"/>
      </w:r>
    </w:p>
    <w:p w14:paraId="5AC543B5" w14:textId="55C6EFF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 xml:space="preserve">7.1.08AA  Meaning of </w:t>
      </w:r>
      <w:r w:rsidRPr="00FC743A">
        <w:rPr>
          <w:i/>
          <w:noProof/>
        </w:rPr>
        <w:t>financial product advice</w:t>
      </w:r>
      <w:r>
        <w:rPr>
          <w:noProof/>
        </w:rPr>
        <w:t>—advice that is not regarded as a necessary part of providing claims handling and settling services</w:t>
      </w:r>
      <w:r>
        <w:rPr>
          <w:noProof/>
        </w:rPr>
        <w:tab/>
      </w:r>
      <w:r>
        <w:rPr>
          <w:noProof/>
        </w:rPr>
        <w:fldChar w:fldCharType="begin"/>
      </w:r>
      <w:r>
        <w:rPr>
          <w:noProof/>
        </w:rPr>
        <w:instrText xml:space="preserve"> PAGEREF _Toc158712018 \h </w:instrText>
      </w:r>
      <w:r>
        <w:rPr>
          <w:noProof/>
        </w:rPr>
      </w:r>
      <w:r>
        <w:rPr>
          <w:noProof/>
        </w:rPr>
        <w:fldChar w:fldCharType="separate"/>
      </w:r>
      <w:r>
        <w:rPr>
          <w:noProof/>
        </w:rPr>
        <w:t>188</w:t>
      </w:r>
      <w:r>
        <w:rPr>
          <w:noProof/>
        </w:rPr>
        <w:fldChar w:fldCharType="end"/>
      </w:r>
    </w:p>
    <w:p w14:paraId="5CC35B02" w14:textId="7C861F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7.1.08  Meaning of </w:t>
      </w:r>
      <w:r w:rsidRPr="00FC743A">
        <w:rPr>
          <w:i/>
          <w:noProof/>
        </w:rPr>
        <w:t>financial product advice</w:t>
      </w:r>
      <w:r>
        <w:rPr>
          <w:noProof/>
        </w:rPr>
        <w:t>: exempt document or statement</w:t>
      </w:r>
      <w:r>
        <w:rPr>
          <w:noProof/>
        </w:rPr>
        <w:tab/>
      </w:r>
      <w:r>
        <w:rPr>
          <w:noProof/>
        </w:rPr>
        <w:fldChar w:fldCharType="begin"/>
      </w:r>
      <w:r>
        <w:rPr>
          <w:noProof/>
        </w:rPr>
        <w:instrText xml:space="preserve"> PAGEREF _Toc158712019 \h </w:instrText>
      </w:r>
      <w:r>
        <w:rPr>
          <w:noProof/>
        </w:rPr>
      </w:r>
      <w:r>
        <w:rPr>
          <w:noProof/>
        </w:rPr>
        <w:fldChar w:fldCharType="separate"/>
      </w:r>
      <w:r>
        <w:rPr>
          <w:noProof/>
        </w:rPr>
        <w:t>188</w:t>
      </w:r>
      <w:r>
        <w:rPr>
          <w:noProof/>
        </w:rPr>
        <w:fldChar w:fldCharType="end"/>
      </w:r>
    </w:p>
    <w:p w14:paraId="4D8736EA" w14:textId="33FF8B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7.1.08A  Modification of section 766D of the Act—free carbon units</w:t>
      </w:r>
      <w:r>
        <w:rPr>
          <w:noProof/>
        </w:rPr>
        <w:tab/>
      </w:r>
      <w:r>
        <w:rPr>
          <w:noProof/>
        </w:rPr>
        <w:fldChar w:fldCharType="begin"/>
      </w:r>
      <w:r>
        <w:rPr>
          <w:noProof/>
        </w:rPr>
        <w:instrText xml:space="preserve"> PAGEREF _Toc158712020 \h </w:instrText>
      </w:r>
      <w:r>
        <w:rPr>
          <w:noProof/>
        </w:rPr>
      </w:r>
      <w:r>
        <w:rPr>
          <w:noProof/>
        </w:rPr>
        <w:fldChar w:fldCharType="separate"/>
      </w:r>
      <w:r>
        <w:rPr>
          <w:noProof/>
        </w:rPr>
        <w:t>189</w:t>
      </w:r>
      <w:r>
        <w:rPr>
          <w:noProof/>
        </w:rPr>
        <w:fldChar w:fldCharType="end"/>
      </w:r>
    </w:p>
    <w:p w14:paraId="57528B05" w14:textId="74199F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7.1.09  Obligations related to clearing and settlement facility</w:t>
      </w:r>
      <w:r>
        <w:rPr>
          <w:noProof/>
        </w:rPr>
        <w:tab/>
      </w:r>
      <w:r>
        <w:rPr>
          <w:noProof/>
        </w:rPr>
        <w:fldChar w:fldCharType="begin"/>
      </w:r>
      <w:r>
        <w:rPr>
          <w:noProof/>
        </w:rPr>
        <w:instrText xml:space="preserve"> PAGEREF _Toc158712021 \h </w:instrText>
      </w:r>
      <w:r>
        <w:rPr>
          <w:noProof/>
        </w:rPr>
      </w:r>
      <w:r>
        <w:rPr>
          <w:noProof/>
        </w:rPr>
        <w:fldChar w:fldCharType="separate"/>
      </w:r>
      <w:r>
        <w:rPr>
          <w:noProof/>
        </w:rPr>
        <w:t>189</w:t>
      </w:r>
      <w:r>
        <w:rPr>
          <w:noProof/>
        </w:rPr>
        <w:fldChar w:fldCharType="end"/>
      </w:r>
    </w:p>
    <w:p w14:paraId="14AC1AC2" w14:textId="7744E67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  Conduct that does not constitute operating a clearing and settlement facility</w:t>
      </w:r>
      <w:r>
        <w:rPr>
          <w:noProof/>
        </w:rPr>
        <w:tab/>
      </w:r>
      <w:r>
        <w:rPr>
          <w:noProof/>
        </w:rPr>
        <w:fldChar w:fldCharType="begin"/>
      </w:r>
      <w:r>
        <w:rPr>
          <w:noProof/>
        </w:rPr>
        <w:instrText xml:space="preserve"> PAGEREF _Toc158712022 \h </w:instrText>
      </w:r>
      <w:r>
        <w:rPr>
          <w:noProof/>
        </w:rPr>
      </w:r>
      <w:r>
        <w:rPr>
          <w:noProof/>
        </w:rPr>
        <w:fldChar w:fldCharType="separate"/>
      </w:r>
      <w:r>
        <w:rPr>
          <w:noProof/>
        </w:rPr>
        <w:t>190</w:t>
      </w:r>
      <w:r>
        <w:rPr>
          <w:noProof/>
        </w:rPr>
        <w:fldChar w:fldCharType="end"/>
      </w:r>
    </w:p>
    <w:p w14:paraId="298B3315" w14:textId="1ED384B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Retail clients and wholesale clients</w:t>
      </w:r>
      <w:r>
        <w:rPr>
          <w:noProof/>
        </w:rPr>
        <w:tab/>
      </w:r>
      <w:r>
        <w:rPr>
          <w:noProof/>
        </w:rPr>
        <w:fldChar w:fldCharType="begin"/>
      </w:r>
      <w:r>
        <w:rPr>
          <w:noProof/>
        </w:rPr>
        <w:instrText xml:space="preserve"> PAGEREF _Toc158712023 \h </w:instrText>
      </w:r>
      <w:r>
        <w:rPr>
          <w:noProof/>
        </w:rPr>
      </w:r>
      <w:r>
        <w:rPr>
          <w:noProof/>
        </w:rPr>
        <w:fldChar w:fldCharType="separate"/>
      </w:r>
      <w:r>
        <w:rPr>
          <w:noProof/>
        </w:rPr>
        <w:t>191</w:t>
      </w:r>
      <w:r>
        <w:rPr>
          <w:noProof/>
        </w:rPr>
        <w:fldChar w:fldCharType="end"/>
      </w:r>
    </w:p>
    <w:p w14:paraId="5C3385B8" w14:textId="5A361A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7.1.11  Meaning of </w:t>
      </w:r>
      <w:r w:rsidRPr="00FC743A">
        <w:rPr>
          <w:i/>
          <w:noProof/>
        </w:rPr>
        <w:t xml:space="preserve">retail client </w:t>
      </w:r>
      <w:r>
        <w:rPr>
          <w:noProof/>
        </w:rPr>
        <w:t xml:space="preserve">and </w:t>
      </w:r>
      <w:r w:rsidRPr="00FC743A">
        <w:rPr>
          <w:i/>
          <w:noProof/>
        </w:rPr>
        <w:t>wholesale client</w:t>
      </w:r>
      <w:r>
        <w:rPr>
          <w:noProof/>
        </w:rPr>
        <w:t>: motor vehicle insurance product</w:t>
      </w:r>
      <w:r>
        <w:rPr>
          <w:noProof/>
        </w:rPr>
        <w:tab/>
      </w:r>
      <w:r>
        <w:rPr>
          <w:noProof/>
        </w:rPr>
        <w:fldChar w:fldCharType="begin"/>
      </w:r>
      <w:r>
        <w:rPr>
          <w:noProof/>
        </w:rPr>
        <w:instrText xml:space="preserve"> PAGEREF _Toc158712024 \h </w:instrText>
      </w:r>
      <w:r>
        <w:rPr>
          <w:noProof/>
        </w:rPr>
      </w:r>
      <w:r>
        <w:rPr>
          <w:noProof/>
        </w:rPr>
        <w:fldChar w:fldCharType="separate"/>
      </w:r>
      <w:r>
        <w:rPr>
          <w:noProof/>
        </w:rPr>
        <w:t>191</w:t>
      </w:r>
      <w:r>
        <w:rPr>
          <w:noProof/>
        </w:rPr>
        <w:fldChar w:fldCharType="end"/>
      </w:r>
    </w:p>
    <w:p w14:paraId="3F9DBC8F" w14:textId="5D9A92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7.1.12  Meaning of </w:t>
      </w:r>
      <w:r w:rsidRPr="00FC743A">
        <w:rPr>
          <w:i/>
          <w:noProof/>
        </w:rPr>
        <w:t xml:space="preserve">retail client </w:t>
      </w:r>
      <w:r>
        <w:rPr>
          <w:noProof/>
        </w:rPr>
        <w:t xml:space="preserve">and </w:t>
      </w:r>
      <w:r w:rsidRPr="00FC743A">
        <w:rPr>
          <w:i/>
          <w:noProof/>
        </w:rPr>
        <w:t>wholesale client</w:t>
      </w:r>
      <w:r>
        <w:rPr>
          <w:noProof/>
        </w:rPr>
        <w:t>: home building insurance product</w:t>
      </w:r>
      <w:r>
        <w:rPr>
          <w:noProof/>
        </w:rPr>
        <w:tab/>
      </w:r>
      <w:r>
        <w:rPr>
          <w:noProof/>
        </w:rPr>
        <w:fldChar w:fldCharType="begin"/>
      </w:r>
      <w:r>
        <w:rPr>
          <w:noProof/>
        </w:rPr>
        <w:instrText xml:space="preserve"> PAGEREF _Toc158712025 \h </w:instrText>
      </w:r>
      <w:r>
        <w:rPr>
          <w:noProof/>
        </w:rPr>
      </w:r>
      <w:r>
        <w:rPr>
          <w:noProof/>
        </w:rPr>
        <w:fldChar w:fldCharType="separate"/>
      </w:r>
      <w:r>
        <w:rPr>
          <w:noProof/>
        </w:rPr>
        <w:t>191</w:t>
      </w:r>
      <w:r>
        <w:rPr>
          <w:noProof/>
        </w:rPr>
        <w:fldChar w:fldCharType="end"/>
      </w:r>
    </w:p>
    <w:p w14:paraId="21579630" w14:textId="34C3F47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7.1.13  Meaning of </w:t>
      </w:r>
      <w:r w:rsidRPr="00FC743A">
        <w:rPr>
          <w:i/>
          <w:noProof/>
        </w:rPr>
        <w:t xml:space="preserve">retail client </w:t>
      </w:r>
      <w:r>
        <w:rPr>
          <w:noProof/>
        </w:rPr>
        <w:t xml:space="preserve">and </w:t>
      </w:r>
      <w:r w:rsidRPr="00FC743A">
        <w:rPr>
          <w:i/>
          <w:noProof/>
        </w:rPr>
        <w:t>wholesale client</w:t>
      </w:r>
      <w:r>
        <w:rPr>
          <w:noProof/>
        </w:rPr>
        <w:t>: home contents insurance product</w:t>
      </w:r>
      <w:r>
        <w:rPr>
          <w:noProof/>
        </w:rPr>
        <w:tab/>
      </w:r>
      <w:r>
        <w:rPr>
          <w:noProof/>
        </w:rPr>
        <w:fldChar w:fldCharType="begin"/>
      </w:r>
      <w:r>
        <w:rPr>
          <w:noProof/>
        </w:rPr>
        <w:instrText xml:space="preserve"> PAGEREF _Toc158712026 \h </w:instrText>
      </w:r>
      <w:r>
        <w:rPr>
          <w:noProof/>
        </w:rPr>
      </w:r>
      <w:r>
        <w:rPr>
          <w:noProof/>
        </w:rPr>
        <w:fldChar w:fldCharType="separate"/>
      </w:r>
      <w:r>
        <w:rPr>
          <w:noProof/>
        </w:rPr>
        <w:t>192</w:t>
      </w:r>
      <w:r>
        <w:rPr>
          <w:noProof/>
        </w:rPr>
        <w:fldChar w:fldCharType="end"/>
      </w:r>
    </w:p>
    <w:p w14:paraId="382979EB" w14:textId="2C9EAAF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7.1.14  Meaning of </w:t>
      </w:r>
      <w:r w:rsidRPr="00FC743A">
        <w:rPr>
          <w:i/>
          <w:noProof/>
        </w:rPr>
        <w:t xml:space="preserve">retail client </w:t>
      </w:r>
      <w:r>
        <w:rPr>
          <w:noProof/>
        </w:rPr>
        <w:t xml:space="preserve">and </w:t>
      </w:r>
      <w:r w:rsidRPr="00FC743A">
        <w:rPr>
          <w:i/>
          <w:noProof/>
        </w:rPr>
        <w:t>wholesale client</w:t>
      </w:r>
      <w:r>
        <w:rPr>
          <w:noProof/>
        </w:rPr>
        <w:t>: sickness and accident insurance product</w:t>
      </w:r>
      <w:r>
        <w:rPr>
          <w:noProof/>
        </w:rPr>
        <w:tab/>
      </w:r>
      <w:r>
        <w:rPr>
          <w:noProof/>
        </w:rPr>
        <w:fldChar w:fldCharType="begin"/>
      </w:r>
      <w:r>
        <w:rPr>
          <w:noProof/>
        </w:rPr>
        <w:instrText xml:space="preserve"> PAGEREF _Toc158712027 \h </w:instrText>
      </w:r>
      <w:r>
        <w:rPr>
          <w:noProof/>
        </w:rPr>
      </w:r>
      <w:r>
        <w:rPr>
          <w:noProof/>
        </w:rPr>
        <w:fldChar w:fldCharType="separate"/>
      </w:r>
      <w:r>
        <w:rPr>
          <w:noProof/>
        </w:rPr>
        <w:t>192</w:t>
      </w:r>
      <w:r>
        <w:rPr>
          <w:noProof/>
        </w:rPr>
        <w:fldChar w:fldCharType="end"/>
      </w:r>
    </w:p>
    <w:p w14:paraId="2A36F4FA" w14:textId="0E5E61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7.1.15  Meaning of </w:t>
      </w:r>
      <w:r w:rsidRPr="00FC743A">
        <w:rPr>
          <w:i/>
          <w:noProof/>
        </w:rPr>
        <w:t xml:space="preserve">retail client </w:t>
      </w:r>
      <w:r>
        <w:rPr>
          <w:noProof/>
        </w:rPr>
        <w:t xml:space="preserve">and </w:t>
      </w:r>
      <w:r w:rsidRPr="00FC743A">
        <w:rPr>
          <w:i/>
          <w:noProof/>
        </w:rPr>
        <w:t>wholesale client</w:t>
      </w:r>
      <w:r>
        <w:rPr>
          <w:noProof/>
        </w:rPr>
        <w:t>: consumer credit insurance product</w:t>
      </w:r>
      <w:r>
        <w:rPr>
          <w:noProof/>
        </w:rPr>
        <w:tab/>
      </w:r>
      <w:r>
        <w:rPr>
          <w:noProof/>
        </w:rPr>
        <w:fldChar w:fldCharType="begin"/>
      </w:r>
      <w:r>
        <w:rPr>
          <w:noProof/>
        </w:rPr>
        <w:instrText xml:space="preserve"> PAGEREF _Toc158712028 \h </w:instrText>
      </w:r>
      <w:r>
        <w:rPr>
          <w:noProof/>
        </w:rPr>
      </w:r>
      <w:r>
        <w:rPr>
          <w:noProof/>
        </w:rPr>
        <w:fldChar w:fldCharType="separate"/>
      </w:r>
      <w:r>
        <w:rPr>
          <w:noProof/>
        </w:rPr>
        <w:t>193</w:t>
      </w:r>
      <w:r>
        <w:rPr>
          <w:noProof/>
        </w:rPr>
        <w:fldChar w:fldCharType="end"/>
      </w:r>
    </w:p>
    <w:p w14:paraId="1960F509" w14:textId="6BBB4F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7.1.16  Meaning of </w:t>
      </w:r>
      <w:r w:rsidRPr="00FC743A">
        <w:rPr>
          <w:i/>
          <w:noProof/>
        </w:rPr>
        <w:t xml:space="preserve">retail client </w:t>
      </w:r>
      <w:r>
        <w:rPr>
          <w:noProof/>
        </w:rPr>
        <w:t xml:space="preserve">and </w:t>
      </w:r>
      <w:r w:rsidRPr="00FC743A">
        <w:rPr>
          <w:i/>
          <w:noProof/>
        </w:rPr>
        <w:t>wholesale client</w:t>
      </w:r>
      <w:r>
        <w:rPr>
          <w:noProof/>
        </w:rPr>
        <w:t>: travel insurance product</w:t>
      </w:r>
      <w:r>
        <w:rPr>
          <w:noProof/>
        </w:rPr>
        <w:tab/>
      </w:r>
      <w:r>
        <w:rPr>
          <w:noProof/>
        </w:rPr>
        <w:fldChar w:fldCharType="begin"/>
      </w:r>
      <w:r>
        <w:rPr>
          <w:noProof/>
        </w:rPr>
        <w:instrText xml:space="preserve"> PAGEREF _Toc158712029 \h </w:instrText>
      </w:r>
      <w:r>
        <w:rPr>
          <w:noProof/>
        </w:rPr>
      </w:r>
      <w:r>
        <w:rPr>
          <w:noProof/>
        </w:rPr>
        <w:fldChar w:fldCharType="separate"/>
      </w:r>
      <w:r>
        <w:rPr>
          <w:noProof/>
        </w:rPr>
        <w:t>193</w:t>
      </w:r>
      <w:r>
        <w:rPr>
          <w:noProof/>
        </w:rPr>
        <w:fldChar w:fldCharType="end"/>
      </w:r>
    </w:p>
    <w:p w14:paraId="37A5286C" w14:textId="3BCDEC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7.1.17  Meaning of </w:t>
      </w:r>
      <w:r w:rsidRPr="00FC743A">
        <w:rPr>
          <w:i/>
          <w:noProof/>
        </w:rPr>
        <w:t xml:space="preserve">retail client </w:t>
      </w:r>
      <w:r>
        <w:rPr>
          <w:noProof/>
        </w:rPr>
        <w:t xml:space="preserve">and </w:t>
      </w:r>
      <w:r w:rsidRPr="00FC743A">
        <w:rPr>
          <w:i/>
          <w:noProof/>
        </w:rPr>
        <w:t>wholesale client</w:t>
      </w:r>
      <w:r>
        <w:rPr>
          <w:noProof/>
        </w:rPr>
        <w:t>: personal and domestic property insurance product</w:t>
      </w:r>
      <w:r>
        <w:rPr>
          <w:noProof/>
        </w:rPr>
        <w:tab/>
      </w:r>
      <w:r>
        <w:rPr>
          <w:noProof/>
        </w:rPr>
        <w:fldChar w:fldCharType="begin"/>
      </w:r>
      <w:r>
        <w:rPr>
          <w:noProof/>
        </w:rPr>
        <w:instrText xml:space="preserve"> PAGEREF _Toc158712030 \h </w:instrText>
      </w:r>
      <w:r>
        <w:rPr>
          <w:noProof/>
        </w:rPr>
      </w:r>
      <w:r>
        <w:rPr>
          <w:noProof/>
        </w:rPr>
        <w:fldChar w:fldCharType="separate"/>
      </w:r>
      <w:r>
        <w:rPr>
          <w:noProof/>
        </w:rPr>
        <w:t>194</w:t>
      </w:r>
      <w:r>
        <w:rPr>
          <w:noProof/>
        </w:rPr>
        <w:fldChar w:fldCharType="end"/>
      </w:r>
    </w:p>
    <w:p w14:paraId="560C7C04" w14:textId="164778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7.1.17A  General insurance products: medical indemnity insurance products</w:t>
      </w:r>
      <w:r>
        <w:rPr>
          <w:noProof/>
        </w:rPr>
        <w:tab/>
      </w:r>
      <w:r>
        <w:rPr>
          <w:noProof/>
        </w:rPr>
        <w:fldChar w:fldCharType="begin"/>
      </w:r>
      <w:r>
        <w:rPr>
          <w:noProof/>
        </w:rPr>
        <w:instrText xml:space="preserve"> PAGEREF _Toc158712031 \h </w:instrText>
      </w:r>
      <w:r>
        <w:rPr>
          <w:noProof/>
        </w:rPr>
      </w:r>
      <w:r>
        <w:rPr>
          <w:noProof/>
        </w:rPr>
        <w:fldChar w:fldCharType="separate"/>
      </w:r>
      <w:r>
        <w:rPr>
          <w:noProof/>
        </w:rPr>
        <w:t>195</w:t>
      </w:r>
      <w:r>
        <w:rPr>
          <w:noProof/>
        </w:rPr>
        <w:fldChar w:fldCharType="end"/>
      </w:r>
    </w:p>
    <w:p w14:paraId="37FE9BEA" w14:textId="7152AB0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7.1.17B  Retail clients and wholesale clients: aggregation of amounts for price or value of financial product</w:t>
      </w:r>
      <w:r>
        <w:rPr>
          <w:noProof/>
        </w:rPr>
        <w:tab/>
      </w:r>
      <w:r>
        <w:rPr>
          <w:noProof/>
        </w:rPr>
        <w:fldChar w:fldCharType="begin"/>
      </w:r>
      <w:r>
        <w:rPr>
          <w:noProof/>
        </w:rPr>
        <w:instrText xml:space="preserve"> PAGEREF _Toc158712032 \h </w:instrText>
      </w:r>
      <w:r>
        <w:rPr>
          <w:noProof/>
        </w:rPr>
      </w:r>
      <w:r>
        <w:rPr>
          <w:noProof/>
        </w:rPr>
        <w:fldChar w:fldCharType="separate"/>
      </w:r>
      <w:r>
        <w:rPr>
          <w:noProof/>
        </w:rPr>
        <w:t>195</w:t>
      </w:r>
      <w:r>
        <w:rPr>
          <w:noProof/>
        </w:rPr>
        <w:fldChar w:fldCharType="end"/>
      </w:r>
    </w:p>
    <w:p w14:paraId="3DB04084" w14:textId="7F7878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7.1.17C  Retail clients: traditional trustee company services</w:t>
      </w:r>
      <w:r>
        <w:rPr>
          <w:noProof/>
        </w:rPr>
        <w:tab/>
      </w:r>
      <w:r>
        <w:rPr>
          <w:noProof/>
        </w:rPr>
        <w:fldChar w:fldCharType="begin"/>
      </w:r>
      <w:r>
        <w:rPr>
          <w:noProof/>
        </w:rPr>
        <w:instrText xml:space="preserve"> PAGEREF _Toc158712033 \h </w:instrText>
      </w:r>
      <w:r>
        <w:rPr>
          <w:noProof/>
        </w:rPr>
      </w:r>
      <w:r>
        <w:rPr>
          <w:noProof/>
        </w:rPr>
        <w:fldChar w:fldCharType="separate"/>
      </w:r>
      <w:r>
        <w:rPr>
          <w:noProof/>
        </w:rPr>
        <w:t>195</w:t>
      </w:r>
      <w:r>
        <w:rPr>
          <w:noProof/>
        </w:rPr>
        <w:fldChar w:fldCharType="end"/>
      </w:r>
    </w:p>
    <w:p w14:paraId="2DA7DFFF" w14:textId="0036D0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7.1.18  Retail clients and wholesale clients: price of investment</w:t>
      </w:r>
      <w:r>
        <w:rPr>
          <w:noProof/>
        </w:rPr>
        <w:noBreakHyphen/>
        <w:t>based financial products</w:t>
      </w:r>
      <w:r>
        <w:rPr>
          <w:noProof/>
        </w:rPr>
        <w:tab/>
      </w:r>
      <w:r>
        <w:rPr>
          <w:noProof/>
        </w:rPr>
        <w:fldChar w:fldCharType="begin"/>
      </w:r>
      <w:r>
        <w:rPr>
          <w:noProof/>
        </w:rPr>
        <w:instrText xml:space="preserve"> PAGEREF _Toc158712034 \h </w:instrText>
      </w:r>
      <w:r>
        <w:rPr>
          <w:noProof/>
        </w:rPr>
      </w:r>
      <w:r>
        <w:rPr>
          <w:noProof/>
        </w:rPr>
        <w:fldChar w:fldCharType="separate"/>
      </w:r>
      <w:r>
        <w:rPr>
          <w:noProof/>
        </w:rPr>
        <w:t>195</w:t>
      </w:r>
      <w:r>
        <w:rPr>
          <w:noProof/>
        </w:rPr>
        <w:fldChar w:fldCharType="end"/>
      </w:r>
    </w:p>
    <w:p w14:paraId="1C48FD86" w14:textId="7C3A10A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7.1.19  Retail clients and wholesale clients: value of investment</w:t>
      </w:r>
      <w:r>
        <w:rPr>
          <w:noProof/>
        </w:rPr>
        <w:noBreakHyphen/>
        <w:t>based financial products</w:t>
      </w:r>
      <w:r>
        <w:rPr>
          <w:noProof/>
        </w:rPr>
        <w:tab/>
      </w:r>
      <w:r>
        <w:rPr>
          <w:noProof/>
        </w:rPr>
        <w:fldChar w:fldCharType="begin"/>
      </w:r>
      <w:r>
        <w:rPr>
          <w:noProof/>
        </w:rPr>
        <w:instrText xml:space="preserve"> PAGEREF _Toc158712035 \h </w:instrText>
      </w:r>
      <w:r>
        <w:rPr>
          <w:noProof/>
        </w:rPr>
      </w:r>
      <w:r>
        <w:rPr>
          <w:noProof/>
        </w:rPr>
        <w:fldChar w:fldCharType="separate"/>
      </w:r>
      <w:r>
        <w:rPr>
          <w:noProof/>
        </w:rPr>
        <w:t>196</w:t>
      </w:r>
      <w:r>
        <w:rPr>
          <w:noProof/>
        </w:rPr>
        <w:fldChar w:fldCharType="end"/>
      </w:r>
    </w:p>
    <w:p w14:paraId="3732C6E3" w14:textId="31E240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7.1.19A  Retail clients and wholesale clients: price of margin lending facilities</w:t>
      </w:r>
      <w:r>
        <w:rPr>
          <w:noProof/>
        </w:rPr>
        <w:tab/>
      </w:r>
      <w:r>
        <w:rPr>
          <w:noProof/>
        </w:rPr>
        <w:fldChar w:fldCharType="begin"/>
      </w:r>
      <w:r>
        <w:rPr>
          <w:noProof/>
        </w:rPr>
        <w:instrText xml:space="preserve"> PAGEREF _Toc158712036 \h </w:instrText>
      </w:r>
      <w:r>
        <w:rPr>
          <w:noProof/>
        </w:rPr>
      </w:r>
      <w:r>
        <w:rPr>
          <w:noProof/>
        </w:rPr>
        <w:fldChar w:fldCharType="separate"/>
      </w:r>
      <w:r>
        <w:rPr>
          <w:noProof/>
        </w:rPr>
        <w:t>198</w:t>
      </w:r>
      <w:r>
        <w:rPr>
          <w:noProof/>
        </w:rPr>
        <w:fldChar w:fldCharType="end"/>
      </w:r>
    </w:p>
    <w:p w14:paraId="3204B7B3" w14:textId="3811D5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7.1.20  Retail clients and wholesale clients: price of income stream financial products</w:t>
      </w:r>
      <w:r>
        <w:rPr>
          <w:noProof/>
        </w:rPr>
        <w:tab/>
      </w:r>
      <w:r>
        <w:rPr>
          <w:noProof/>
        </w:rPr>
        <w:fldChar w:fldCharType="begin"/>
      </w:r>
      <w:r>
        <w:rPr>
          <w:noProof/>
        </w:rPr>
        <w:instrText xml:space="preserve"> PAGEREF _Toc158712037 \h </w:instrText>
      </w:r>
      <w:r>
        <w:rPr>
          <w:noProof/>
        </w:rPr>
      </w:r>
      <w:r>
        <w:rPr>
          <w:noProof/>
        </w:rPr>
        <w:fldChar w:fldCharType="separate"/>
      </w:r>
      <w:r>
        <w:rPr>
          <w:noProof/>
        </w:rPr>
        <w:t>198</w:t>
      </w:r>
      <w:r>
        <w:rPr>
          <w:noProof/>
        </w:rPr>
        <w:fldChar w:fldCharType="end"/>
      </w:r>
    </w:p>
    <w:p w14:paraId="7A082192" w14:textId="621E29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7.1.21  Retail clients and wholesale clients: value of income stream financial products</w:t>
      </w:r>
      <w:r>
        <w:rPr>
          <w:noProof/>
        </w:rPr>
        <w:tab/>
      </w:r>
      <w:r>
        <w:rPr>
          <w:noProof/>
        </w:rPr>
        <w:fldChar w:fldCharType="begin"/>
      </w:r>
      <w:r>
        <w:rPr>
          <w:noProof/>
        </w:rPr>
        <w:instrText xml:space="preserve"> PAGEREF _Toc158712038 \h </w:instrText>
      </w:r>
      <w:r>
        <w:rPr>
          <w:noProof/>
        </w:rPr>
      </w:r>
      <w:r>
        <w:rPr>
          <w:noProof/>
        </w:rPr>
        <w:fldChar w:fldCharType="separate"/>
      </w:r>
      <w:r>
        <w:rPr>
          <w:noProof/>
        </w:rPr>
        <w:t>199</w:t>
      </w:r>
      <w:r>
        <w:rPr>
          <w:noProof/>
        </w:rPr>
        <w:fldChar w:fldCharType="end"/>
      </w:r>
    </w:p>
    <w:p w14:paraId="24FCCC30" w14:textId="5D056C4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7.1.22  Retail clients and wholesale clients: value of derivatives</w:t>
      </w:r>
      <w:r>
        <w:rPr>
          <w:noProof/>
        </w:rPr>
        <w:tab/>
      </w:r>
      <w:r>
        <w:rPr>
          <w:noProof/>
        </w:rPr>
        <w:fldChar w:fldCharType="begin"/>
      </w:r>
      <w:r>
        <w:rPr>
          <w:noProof/>
        </w:rPr>
        <w:instrText xml:space="preserve"> PAGEREF _Toc158712039 \h </w:instrText>
      </w:r>
      <w:r>
        <w:rPr>
          <w:noProof/>
        </w:rPr>
      </w:r>
      <w:r>
        <w:rPr>
          <w:noProof/>
        </w:rPr>
        <w:fldChar w:fldCharType="separate"/>
      </w:r>
      <w:r>
        <w:rPr>
          <w:noProof/>
        </w:rPr>
        <w:t>200</w:t>
      </w:r>
      <w:r>
        <w:rPr>
          <w:noProof/>
        </w:rPr>
        <w:fldChar w:fldCharType="end"/>
      </w:r>
    </w:p>
    <w:p w14:paraId="11320184" w14:textId="693205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7.1.22AA  Retail clients and wholesale clients: contract for difference</w:t>
      </w:r>
      <w:r>
        <w:rPr>
          <w:noProof/>
        </w:rPr>
        <w:tab/>
      </w:r>
      <w:r>
        <w:rPr>
          <w:noProof/>
        </w:rPr>
        <w:fldChar w:fldCharType="begin"/>
      </w:r>
      <w:r>
        <w:rPr>
          <w:noProof/>
        </w:rPr>
        <w:instrText xml:space="preserve"> PAGEREF _Toc158712040 \h </w:instrText>
      </w:r>
      <w:r>
        <w:rPr>
          <w:noProof/>
        </w:rPr>
      </w:r>
      <w:r>
        <w:rPr>
          <w:noProof/>
        </w:rPr>
        <w:fldChar w:fldCharType="separate"/>
      </w:r>
      <w:r>
        <w:rPr>
          <w:noProof/>
        </w:rPr>
        <w:t>201</w:t>
      </w:r>
      <w:r>
        <w:rPr>
          <w:noProof/>
        </w:rPr>
        <w:fldChar w:fldCharType="end"/>
      </w:r>
    </w:p>
    <w:p w14:paraId="4670E1A5" w14:textId="5F131AE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7.1.22A  Retail clients and wholesale clients: value of foreign exchange contracts</w:t>
      </w:r>
      <w:r>
        <w:rPr>
          <w:noProof/>
        </w:rPr>
        <w:tab/>
      </w:r>
      <w:r>
        <w:rPr>
          <w:noProof/>
        </w:rPr>
        <w:fldChar w:fldCharType="begin"/>
      </w:r>
      <w:r>
        <w:rPr>
          <w:noProof/>
        </w:rPr>
        <w:instrText xml:space="preserve"> PAGEREF _Toc158712041 \h </w:instrText>
      </w:r>
      <w:r>
        <w:rPr>
          <w:noProof/>
        </w:rPr>
      </w:r>
      <w:r>
        <w:rPr>
          <w:noProof/>
        </w:rPr>
        <w:fldChar w:fldCharType="separate"/>
      </w:r>
      <w:r>
        <w:rPr>
          <w:noProof/>
        </w:rPr>
        <w:t>202</w:t>
      </w:r>
      <w:r>
        <w:rPr>
          <w:noProof/>
        </w:rPr>
        <w:fldChar w:fldCharType="end"/>
      </w:r>
    </w:p>
    <w:p w14:paraId="738D55B9" w14:textId="561E100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7.1.23  Retail clients and wholesale clients: price of non</w:t>
      </w:r>
      <w:r>
        <w:rPr>
          <w:noProof/>
        </w:rPr>
        <w:noBreakHyphen/>
        <w:t>cash payment financial products</w:t>
      </w:r>
      <w:r>
        <w:rPr>
          <w:noProof/>
        </w:rPr>
        <w:tab/>
      </w:r>
      <w:r>
        <w:rPr>
          <w:noProof/>
        </w:rPr>
        <w:fldChar w:fldCharType="begin"/>
      </w:r>
      <w:r>
        <w:rPr>
          <w:noProof/>
        </w:rPr>
        <w:instrText xml:space="preserve"> PAGEREF _Toc158712042 \h </w:instrText>
      </w:r>
      <w:r>
        <w:rPr>
          <w:noProof/>
        </w:rPr>
      </w:r>
      <w:r>
        <w:rPr>
          <w:noProof/>
        </w:rPr>
        <w:fldChar w:fldCharType="separate"/>
      </w:r>
      <w:r>
        <w:rPr>
          <w:noProof/>
        </w:rPr>
        <w:t>202</w:t>
      </w:r>
      <w:r>
        <w:rPr>
          <w:noProof/>
        </w:rPr>
        <w:fldChar w:fldCharType="end"/>
      </w:r>
    </w:p>
    <w:p w14:paraId="101E91CC" w14:textId="4CE483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7.1.24  Retail clients and wholesale clients: value of non</w:t>
      </w:r>
      <w:r>
        <w:rPr>
          <w:noProof/>
        </w:rPr>
        <w:noBreakHyphen/>
        <w:t>cash payment products</w:t>
      </w:r>
      <w:r>
        <w:rPr>
          <w:noProof/>
        </w:rPr>
        <w:tab/>
      </w:r>
      <w:r>
        <w:rPr>
          <w:noProof/>
        </w:rPr>
        <w:fldChar w:fldCharType="begin"/>
      </w:r>
      <w:r>
        <w:rPr>
          <w:noProof/>
        </w:rPr>
        <w:instrText xml:space="preserve"> PAGEREF _Toc158712043 \h </w:instrText>
      </w:r>
      <w:r>
        <w:rPr>
          <w:noProof/>
        </w:rPr>
      </w:r>
      <w:r>
        <w:rPr>
          <w:noProof/>
        </w:rPr>
        <w:fldChar w:fldCharType="separate"/>
      </w:r>
      <w:r>
        <w:rPr>
          <w:noProof/>
        </w:rPr>
        <w:t>203</w:t>
      </w:r>
      <w:r>
        <w:rPr>
          <w:noProof/>
        </w:rPr>
        <w:fldChar w:fldCharType="end"/>
      </w:r>
    </w:p>
    <w:p w14:paraId="7FCBEEAF" w14:textId="0C86848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7.1.25  Retail clients and wholesale clients: life risk insurance and other risk</w:t>
      </w:r>
      <w:r>
        <w:rPr>
          <w:noProof/>
        </w:rPr>
        <w:noBreakHyphen/>
        <w:t>based financial products</w:t>
      </w:r>
      <w:r>
        <w:rPr>
          <w:noProof/>
        </w:rPr>
        <w:tab/>
      </w:r>
      <w:r>
        <w:rPr>
          <w:noProof/>
        </w:rPr>
        <w:fldChar w:fldCharType="begin"/>
      </w:r>
      <w:r>
        <w:rPr>
          <w:noProof/>
        </w:rPr>
        <w:instrText xml:space="preserve"> PAGEREF _Toc158712044 \h </w:instrText>
      </w:r>
      <w:r>
        <w:rPr>
          <w:noProof/>
        </w:rPr>
      </w:r>
      <w:r>
        <w:rPr>
          <w:noProof/>
        </w:rPr>
        <w:fldChar w:fldCharType="separate"/>
      </w:r>
      <w:r>
        <w:rPr>
          <w:noProof/>
        </w:rPr>
        <w:t>203</w:t>
      </w:r>
      <w:r>
        <w:rPr>
          <w:noProof/>
        </w:rPr>
        <w:fldChar w:fldCharType="end"/>
      </w:r>
    </w:p>
    <w:p w14:paraId="4D90BCE3" w14:textId="5F9E6E8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7.1.26  Superannuation</w:t>
      </w:r>
      <w:r>
        <w:rPr>
          <w:noProof/>
        </w:rPr>
        <w:noBreakHyphen/>
        <w:t>sourced money</w:t>
      </w:r>
      <w:r>
        <w:rPr>
          <w:noProof/>
        </w:rPr>
        <w:tab/>
      </w:r>
      <w:r>
        <w:rPr>
          <w:noProof/>
        </w:rPr>
        <w:fldChar w:fldCharType="begin"/>
      </w:r>
      <w:r>
        <w:rPr>
          <w:noProof/>
        </w:rPr>
        <w:instrText xml:space="preserve"> PAGEREF _Toc158712045 \h </w:instrText>
      </w:r>
      <w:r>
        <w:rPr>
          <w:noProof/>
        </w:rPr>
      </w:r>
      <w:r>
        <w:rPr>
          <w:noProof/>
        </w:rPr>
        <w:fldChar w:fldCharType="separate"/>
      </w:r>
      <w:r>
        <w:rPr>
          <w:noProof/>
        </w:rPr>
        <w:t>203</w:t>
      </w:r>
      <w:r>
        <w:rPr>
          <w:noProof/>
        </w:rPr>
        <w:fldChar w:fldCharType="end"/>
      </w:r>
    </w:p>
    <w:p w14:paraId="44AB407C" w14:textId="7975136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7.1.27  Retail clients and wholesale clients: effect of wholesale status</w:t>
      </w:r>
      <w:r>
        <w:rPr>
          <w:noProof/>
        </w:rPr>
        <w:tab/>
      </w:r>
      <w:r>
        <w:rPr>
          <w:noProof/>
        </w:rPr>
        <w:fldChar w:fldCharType="begin"/>
      </w:r>
      <w:r>
        <w:rPr>
          <w:noProof/>
        </w:rPr>
        <w:instrText xml:space="preserve"> PAGEREF _Toc158712046 \h </w:instrText>
      </w:r>
      <w:r>
        <w:rPr>
          <w:noProof/>
        </w:rPr>
      </w:r>
      <w:r>
        <w:rPr>
          <w:noProof/>
        </w:rPr>
        <w:fldChar w:fldCharType="separate"/>
      </w:r>
      <w:r>
        <w:rPr>
          <w:noProof/>
        </w:rPr>
        <w:t>204</w:t>
      </w:r>
      <w:r>
        <w:rPr>
          <w:noProof/>
        </w:rPr>
        <w:fldChar w:fldCharType="end"/>
      </w:r>
    </w:p>
    <w:p w14:paraId="78D59DB9" w14:textId="1C21CB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7.1.28  Retail clients and wholesale clients: assets and income</w:t>
      </w:r>
      <w:r>
        <w:rPr>
          <w:noProof/>
        </w:rPr>
        <w:tab/>
      </w:r>
      <w:r>
        <w:rPr>
          <w:noProof/>
        </w:rPr>
        <w:fldChar w:fldCharType="begin"/>
      </w:r>
      <w:r>
        <w:rPr>
          <w:noProof/>
        </w:rPr>
        <w:instrText xml:space="preserve"> PAGEREF _Toc158712047 \h </w:instrText>
      </w:r>
      <w:r>
        <w:rPr>
          <w:noProof/>
        </w:rPr>
      </w:r>
      <w:r>
        <w:rPr>
          <w:noProof/>
        </w:rPr>
        <w:fldChar w:fldCharType="separate"/>
      </w:r>
      <w:r>
        <w:rPr>
          <w:noProof/>
        </w:rPr>
        <w:t>204</w:t>
      </w:r>
      <w:r>
        <w:rPr>
          <w:noProof/>
        </w:rPr>
        <w:fldChar w:fldCharType="end"/>
      </w:r>
    </w:p>
    <w:p w14:paraId="3610C9C1" w14:textId="1E0B839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When does a person provide a financial service?</w:t>
      </w:r>
      <w:r>
        <w:rPr>
          <w:noProof/>
        </w:rPr>
        <w:tab/>
      </w:r>
      <w:r>
        <w:rPr>
          <w:noProof/>
        </w:rPr>
        <w:fldChar w:fldCharType="begin"/>
      </w:r>
      <w:r>
        <w:rPr>
          <w:noProof/>
        </w:rPr>
        <w:instrText xml:space="preserve"> PAGEREF _Toc158712048 \h </w:instrText>
      </w:r>
      <w:r>
        <w:rPr>
          <w:noProof/>
        </w:rPr>
      </w:r>
      <w:r>
        <w:rPr>
          <w:noProof/>
        </w:rPr>
        <w:fldChar w:fldCharType="separate"/>
      </w:r>
      <w:r>
        <w:rPr>
          <w:noProof/>
        </w:rPr>
        <w:t>205</w:t>
      </w:r>
      <w:r>
        <w:rPr>
          <w:noProof/>
        </w:rPr>
        <w:fldChar w:fldCharType="end"/>
      </w:r>
    </w:p>
    <w:p w14:paraId="3D18BB38" w14:textId="0CF1D3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7.1.28AA  Provision of financial product advice about default funds</w:t>
      </w:r>
      <w:r>
        <w:rPr>
          <w:noProof/>
        </w:rPr>
        <w:tab/>
      </w:r>
      <w:r>
        <w:rPr>
          <w:noProof/>
        </w:rPr>
        <w:fldChar w:fldCharType="begin"/>
      </w:r>
      <w:r>
        <w:rPr>
          <w:noProof/>
        </w:rPr>
        <w:instrText xml:space="preserve"> PAGEREF _Toc158712049 \h </w:instrText>
      </w:r>
      <w:r>
        <w:rPr>
          <w:noProof/>
        </w:rPr>
      </w:r>
      <w:r>
        <w:rPr>
          <w:noProof/>
        </w:rPr>
        <w:fldChar w:fldCharType="separate"/>
      </w:r>
      <w:r>
        <w:rPr>
          <w:noProof/>
        </w:rPr>
        <w:t>205</w:t>
      </w:r>
      <w:r>
        <w:rPr>
          <w:noProof/>
        </w:rPr>
        <w:fldChar w:fldCharType="end"/>
      </w:r>
    </w:p>
    <w:p w14:paraId="78D31F78" w14:textId="3C4D9E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7.1.28A  Circumstances in which a person is taken to be provided a traditional trustee company service</w:t>
      </w:r>
      <w:r>
        <w:rPr>
          <w:noProof/>
        </w:rPr>
        <w:tab/>
      </w:r>
      <w:r>
        <w:rPr>
          <w:noProof/>
        </w:rPr>
        <w:fldChar w:fldCharType="begin"/>
      </w:r>
      <w:r>
        <w:rPr>
          <w:noProof/>
        </w:rPr>
        <w:instrText xml:space="preserve"> PAGEREF _Toc158712050 \h </w:instrText>
      </w:r>
      <w:r>
        <w:rPr>
          <w:noProof/>
        </w:rPr>
      </w:r>
      <w:r>
        <w:rPr>
          <w:noProof/>
        </w:rPr>
        <w:fldChar w:fldCharType="separate"/>
      </w:r>
      <w:r>
        <w:rPr>
          <w:noProof/>
        </w:rPr>
        <w:t>205</w:t>
      </w:r>
      <w:r>
        <w:rPr>
          <w:noProof/>
        </w:rPr>
        <w:fldChar w:fldCharType="end"/>
      </w:r>
    </w:p>
    <w:p w14:paraId="566B2D69" w14:textId="0953DBC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7.1.29  Circumstances in which a person is taken not to provide a financial service</w:t>
      </w:r>
      <w:r>
        <w:rPr>
          <w:noProof/>
        </w:rPr>
        <w:tab/>
      </w:r>
      <w:r>
        <w:rPr>
          <w:noProof/>
        </w:rPr>
        <w:fldChar w:fldCharType="begin"/>
      </w:r>
      <w:r>
        <w:rPr>
          <w:noProof/>
        </w:rPr>
        <w:instrText xml:space="preserve"> PAGEREF _Toc158712051 \h </w:instrText>
      </w:r>
      <w:r>
        <w:rPr>
          <w:noProof/>
        </w:rPr>
      </w:r>
      <w:r>
        <w:rPr>
          <w:noProof/>
        </w:rPr>
        <w:fldChar w:fldCharType="separate"/>
      </w:r>
      <w:r>
        <w:rPr>
          <w:noProof/>
        </w:rPr>
        <w:t>205</w:t>
      </w:r>
      <w:r>
        <w:rPr>
          <w:noProof/>
        </w:rPr>
        <w:fldChar w:fldCharType="end"/>
      </w:r>
    </w:p>
    <w:p w14:paraId="68BA07DC" w14:textId="3C420E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7.1.30  Information and advice about voting</w:t>
      </w:r>
      <w:r>
        <w:rPr>
          <w:noProof/>
        </w:rPr>
        <w:tab/>
      </w:r>
      <w:r>
        <w:rPr>
          <w:noProof/>
        </w:rPr>
        <w:fldChar w:fldCharType="begin"/>
      </w:r>
      <w:r>
        <w:rPr>
          <w:noProof/>
        </w:rPr>
        <w:instrText xml:space="preserve"> PAGEREF _Toc158712052 \h </w:instrText>
      </w:r>
      <w:r>
        <w:rPr>
          <w:noProof/>
        </w:rPr>
      </w:r>
      <w:r>
        <w:rPr>
          <w:noProof/>
        </w:rPr>
        <w:fldChar w:fldCharType="separate"/>
      </w:r>
      <w:r>
        <w:rPr>
          <w:noProof/>
        </w:rPr>
        <w:t>207</w:t>
      </w:r>
      <w:r>
        <w:rPr>
          <w:noProof/>
        </w:rPr>
        <w:fldChar w:fldCharType="end"/>
      </w:r>
    </w:p>
    <w:p w14:paraId="43CC6048" w14:textId="54352B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7.1.31  Passing on prepared documents</w:t>
      </w:r>
      <w:r>
        <w:rPr>
          <w:noProof/>
        </w:rPr>
        <w:tab/>
      </w:r>
      <w:r>
        <w:rPr>
          <w:noProof/>
        </w:rPr>
        <w:fldChar w:fldCharType="begin"/>
      </w:r>
      <w:r>
        <w:rPr>
          <w:noProof/>
        </w:rPr>
        <w:instrText xml:space="preserve"> PAGEREF _Toc158712053 \h </w:instrText>
      </w:r>
      <w:r>
        <w:rPr>
          <w:noProof/>
        </w:rPr>
      </w:r>
      <w:r>
        <w:rPr>
          <w:noProof/>
        </w:rPr>
        <w:fldChar w:fldCharType="separate"/>
      </w:r>
      <w:r>
        <w:rPr>
          <w:noProof/>
        </w:rPr>
        <w:t>207</w:t>
      </w:r>
      <w:r>
        <w:rPr>
          <w:noProof/>
        </w:rPr>
        <w:fldChar w:fldCharType="end"/>
      </w:r>
    </w:p>
    <w:p w14:paraId="12969070" w14:textId="2CB7026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7.1.32  Remuneration packages</w:t>
      </w:r>
      <w:r>
        <w:rPr>
          <w:noProof/>
        </w:rPr>
        <w:tab/>
      </w:r>
      <w:r>
        <w:rPr>
          <w:noProof/>
        </w:rPr>
        <w:fldChar w:fldCharType="begin"/>
      </w:r>
      <w:r>
        <w:rPr>
          <w:noProof/>
        </w:rPr>
        <w:instrText xml:space="preserve"> PAGEREF _Toc158712054 \h </w:instrText>
      </w:r>
      <w:r>
        <w:rPr>
          <w:noProof/>
        </w:rPr>
      </w:r>
      <w:r>
        <w:rPr>
          <w:noProof/>
        </w:rPr>
        <w:fldChar w:fldCharType="separate"/>
      </w:r>
      <w:r>
        <w:rPr>
          <w:noProof/>
        </w:rPr>
        <w:t>207</w:t>
      </w:r>
      <w:r>
        <w:rPr>
          <w:noProof/>
        </w:rPr>
        <w:fldChar w:fldCharType="end"/>
      </w:r>
    </w:p>
    <w:p w14:paraId="352FC9D7" w14:textId="69AE22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7.1.33A  Allocation of funds available for investment</w:t>
      </w:r>
      <w:r>
        <w:rPr>
          <w:noProof/>
        </w:rPr>
        <w:tab/>
      </w:r>
      <w:r>
        <w:rPr>
          <w:noProof/>
        </w:rPr>
        <w:fldChar w:fldCharType="begin"/>
      </w:r>
      <w:r>
        <w:rPr>
          <w:noProof/>
        </w:rPr>
        <w:instrText xml:space="preserve"> PAGEREF _Toc158712055 \h </w:instrText>
      </w:r>
      <w:r>
        <w:rPr>
          <w:noProof/>
        </w:rPr>
      </w:r>
      <w:r>
        <w:rPr>
          <w:noProof/>
        </w:rPr>
        <w:fldChar w:fldCharType="separate"/>
      </w:r>
      <w:r>
        <w:rPr>
          <w:noProof/>
        </w:rPr>
        <w:t>207</w:t>
      </w:r>
      <w:r>
        <w:rPr>
          <w:noProof/>
        </w:rPr>
        <w:fldChar w:fldCharType="end"/>
      </w:r>
    </w:p>
    <w:p w14:paraId="055F1CF1" w14:textId="7CD3AF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7.1.33B  General advice</w:t>
      </w:r>
      <w:r>
        <w:rPr>
          <w:noProof/>
        </w:rPr>
        <w:tab/>
      </w:r>
      <w:r>
        <w:rPr>
          <w:noProof/>
        </w:rPr>
        <w:fldChar w:fldCharType="begin"/>
      </w:r>
      <w:r>
        <w:rPr>
          <w:noProof/>
        </w:rPr>
        <w:instrText xml:space="preserve"> PAGEREF _Toc158712056 \h </w:instrText>
      </w:r>
      <w:r>
        <w:rPr>
          <w:noProof/>
        </w:rPr>
      </w:r>
      <w:r>
        <w:rPr>
          <w:noProof/>
        </w:rPr>
        <w:fldChar w:fldCharType="separate"/>
      </w:r>
      <w:r>
        <w:rPr>
          <w:noProof/>
        </w:rPr>
        <w:t>208</w:t>
      </w:r>
      <w:r>
        <w:rPr>
          <w:noProof/>
        </w:rPr>
        <w:fldChar w:fldCharType="end"/>
      </w:r>
    </w:p>
    <w:p w14:paraId="2CE6093E" w14:textId="0AC3968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7.1.33D  Investment</w:t>
      </w:r>
      <w:r>
        <w:rPr>
          <w:noProof/>
        </w:rPr>
        <w:noBreakHyphen/>
        <w:t>linked life insurance products</w:t>
      </w:r>
      <w:r>
        <w:rPr>
          <w:noProof/>
        </w:rPr>
        <w:tab/>
      </w:r>
      <w:r>
        <w:rPr>
          <w:noProof/>
        </w:rPr>
        <w:fldChar w:fldCharType="begin"/>
      </w:r>
      <w:r>
        <w:rPr>
          <w:noProof/>
        </w:rPr>
        <w:instrText xml:space="preserve"> PAGEREF _Toc158712057 \h </w:instrText>
      </w:r>
      <w:r>
        <w:rPr>
          <w:noProof/>
        </w:rPr>
      </w:r>
      <w:r>
        <w:rPr>
          <w:noProof/>
        </w:rPr>
        <w:fldChar w:fldCharType="separate"/>
      </w:r>
      <w:r>
        <w:rPr>
          <w:noProof/>
        </w:rPr>
        <w:t>208</w:t>
      </w:r>
      <w:r>
        <w:rPr>
          <w:noProof/>
        </w:rPr>
        <w:fldChar w:fldCharType="end"/>
      </w:r>
    </w:p>
    <w:p w14:paraId="0FFD5223" w14:textId="5FEF23C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7.1.33E  Advice about the existence of a custodial or depository service</w:t>
      </w:r>
      <w:r>
        <w:rPr>
          <w:noProof/>
        </w:rPr>
        <w:tab/>
      </w:r>
      <w:r>
        <w:rPr>
          <w:noProof/>
        </w:rPr>
        <w:fldChar w:fldCharType="begin"/>
      </w:r>
      <w:r>
        <w:rPr>
          <w:noProof/>
        </w:rPr>
        <w:instrText xml:space="preserve"> PAGEREF _Toc158712058 \h </w:instrText>
      </w:r>
      <w:r>
        <w:rPr>
          <w:noProof/>
        </w:rPr>
      </w:r>
      <w:r>
        <w:rPr>
          <w:noProof/>
        </w:rPr>
        <w:fldChar w:fldCharType="separate"/>
      </w:r>
      <w:r>
        <w:rPr>
          <w:noProof/>
        </w:rPr>
        <w:t>208</w:t>
      </w:r>
      <w:r>
        <w:rPr>
          <w:noProof/>
        </w:rPr>
        <w:fldChar w:fldCharType="end"/>
      </w:r>
    </w:p>
    <w:p w14:paraId="0444CE8D" w14:textId="2EB6AE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7.1.33F  School banking</w:t>
      </w:r>
      <w:r>
        <w:rPr>
          <w:noProof/>
        </w:rPr>
        <w:tab/>
      </w:r>
      <w:r>
        <w:rPr>
          <w:noProof/>
        </w:rPr>
        <w:fldChar w:fldCharType="begin"/>
      </w:r>
      <w:r>
        <w:rPr>
          <w:noProof/>
        </w:rPr>
        <w:instrText xml:space="preserve"> PAGEREF _Toc158712059 \h </w:instrText>
      </w:r>
      <w:r>
        <w:rPr>
          <w:noProof/>
        </w:rPr>
      </w:r>
      <w:r>
        <w:rPr>
          <w:noProof/>
        </w:rPr>
        <w:fldChar w:fldCharType="separate"/>
      </w:r>
      <w:r>
        <w:rPr>
          <w:noProof/>
        </w:rPr>
        <w:t>208</w:t>
      </w:r>
      <w:r>
        <w:rPr>
          <w:noProof/>
        </w:rPr>
        <w:fldChar w:fldCharType="end"/>
      </w:r>
    </w:p>
    <w:p w14:paraId="5EB4B5C9" w14:textId="15BDD8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7.1.33G  Certain general advice that does not attract remuneration etc.</w:t>
      </w:r>
      <w:r>
        <w:rPr>
          <w:noProof/>
        </w:rPr>
        <w:tab/>
      </w:r>
      <w:r>
        <w:rPr>
          <w:noProof/>
        </w:rPr>
        <w:fldChar w:fldCharType="begin"/>
      </w:r>
      <w:r>
        <w:rPr>
          <w:noProof/>
        </w:rPr>
        <w:instrText xml:space="preserve"> PAGEREF _Toc158712060 \h </w:instrText>
      </w:r>
      <w:r>
        <w:rPr>
          <w:noProof/>
        </w:rPr>
      </w:r>
      <w:r>
        <w:rPr>
          <w:noProof/>
        </w:rPr>
        <w:fldChar w:fldCharType="separate"/>
      </w:r>
      <w:r>
        <w:rPr>
          <w:noProof/>
        </w:rPr>
        <w:t>209</w:t>
      </w:r>
      <w:r>
        <w:rPr>
          <w:noProof/>
        </w:rPr>
        <w:fldChar w:fldCharType="end"/>
      </w:r>
    </w:p>
    <w:p w14:paraId="55AED38F" w14:textId="0C84A78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7.1.33H  Certain general advice given by a financial product issuer</w:t>
      </w:r>
      <w:r>
        <w:rPr>
          <w:noProof/>
        </w:rPr>
        <w:tab/>
      </w:r>
      <w:r>
        <w:rPr>
          <w:noProof/>
        </w:rPr>
        <w:fldChar w:fldCharType="begin"/>
      </w:r>
      <w:r>
        <w:rPr>
          <w:noProof/>
        </w:rPr>
        <w:instrText xml:space="preserve"> PAGEREF _Toc158712061 \h </w:instrText>
      </w:r>
      <w:r>
        <w:rPr>
          <w:noProof/>
        </w:rPr>
      </w:r>
      <w:r>
        <w:rPr>
          <w:noProof/>
        </w:rPr>
        <w:fldChar w:fldCharType="separate"/>
      </w:r>
      <w:r>
        <w:rPr>
          <w:noProof/>
        </w:rPr>
        <w:t>209</w:t>
      </w:r>
      <w:r>
        <w:rPr>
          <w:noProof/>
        </w:rPr>
        <w:fldChar w:fldCharType="end"/>
      </w:r>
    </w:p>
    <w:p w14:paraId="2EF6F23C" w14:textId="6AE841A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4—Dealings in financial products</w:t>
      </w:r>
      <w:r>
        <w:rPr>
          <w:noProof/>
        </w:rPr>
        <w:tab/>
      </w:r>
      <w:r>
        <w:rPr>
          <w:noProof/>
        </w:rPr>
        <w:fldChar w:fldCharType="begin"/>
      </w:r>
      <w:r>
        <w:rPr>
          <w:noProof/>
        </w:rPr>
        <w:instrText xml:space="preserve"> PAGEREF _Toc158712062 \h </w:instrText>
      </w:r>
      <w:r>
        <w:rPr>
          <w:noProof/>
        </w:rPr>
      </w:r>
      <w:r>
        <w:rPr>
          <w:noProof/>
        </w:rPr>
        <w:fldChar w:fldCharType="separate"/>
      </w:r>
      <w:r>
        <w:rPr>
          <w:noProof/>
        </w:rPr>
        <w:t>210</w:t>
      </w:r>
      <w:r>
        <w:rPr>
          <w:noProof/>
        </w:rPr>
        <w:fldChar w:fldCharType="end"/>
      </w:r>
    </w:p>
    <w:p w14:paraId="52B7C71B" w14:textId="737588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7.1.34  Conduct that does not constitute dealing in a financial product</w:t>
      </w:r>
      <w:r>
        <w:rPr>
          <w:noProof/>
        </w:rPr>
        <w:tab/>
      </w:r>
      <w:r>
        <w:rPr>
          <w:noProof/>
        </w:rPr>
        <w:fldChar w:fldCharType="begin"/>
      </w:r>
      <w:r>
        <w:rPr>
          <w:noProof/>
        </w:rPr>
        <w:instrText xml:space="preserve"> PAGEREF _Toc158712063 \h </w:instrText>
      </w:r>
      <w:r>
        <w:rPr>
          <w:noProof/>
        </w:rPr>
      </w:r>
      <w:r>
        <w:rPr>
          <w:noProof/>
        </w:rPr>
        <w:fldChar w:fldCharType="separate"/>
      </w:r>
      <w:r>
        <w:rPr>
          <w:noProof/>
        </w:rPr>
        <w:t>210</w:t>
      </w:r>
      <w:r>
        <w:rPr>
          <w:noProof/>
        </w:rPr>
        <w:fldChar w:fldCharType="end"/>
      </w:r>
    </w:p>
    <w:p w14:paraId="6F5E3271" w14:textId="3260EB5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7.1.35  Conduct that does not constitute dealing in a financial product</w:t>
      </w:r>
      <w:r>
        <w:rPr>
          <w:noProof/>
        </w:rPr>
        <w:tab/>
      </w:r>
      <w:r>
        <w:rPr>
          <w:noProof/>
        </w:rPr>
        <w:fldChar w:fldCharType="begin"/>
      </w:r>
      <w:r>
        <w:rPr>
          <w:noProof/>
        </w:rPr>
        <w:instrText xml:space="preserve"> PAGEREF _Toc158712064 \h </w:instrText>
      </w:r>
      <w:r>
        <w:rPr>
          <w:noProof/>
        </w:rPr>
      </w:r>
      <w:r>
        <w:rPr>
          <w:noProof/>
        </w:rPr>
        <w:fldChar w:fldCharType="separate"/>
      </w:r>
      <w:r>
        <w:rPr>
          <w:noProof/>
        </w:rPr>
        <w:t>210</w:t>
      </w:r>
      <w:r>
        <w:rPr>
          <w:noProof/>
        </w:rPr>
        <w:fldChar w:fldCharType="end"/>
      </w:r>
    </w:p>
    <w:p w14:paraId="0BC21EE0" w14:textId="740B17A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7.1.35A  Conduct that does not constitute dealing in a financial product—lawyers acting on instructions</w:t>
      </w:r>
      <w:r>
        <w:rPr>
          <w:noProof/>
        </w:rPr>
        <w:tab/>
      </w:r>
      <w:r>
        <w:rPr>
          <w:noProof/>
        </w:rPr>
        <w:fldChar w:fldCharType="begin"/>
      </w:r>
      <w:r>
        <w:rPr>
          <w:noProof/>
        </w:rPr>
        <w:instrText xml:space="preserve"> PAGEREF _Toc158712065 \h </w:instrText>
      </w:r>
      <w:r>
        <w:rPr>
          <w:noProof/>
        </w:rPr>
      </w:r>
      <w:r>
        <w:rPr>
          <w:noProof/>
        </w:rPr>
        <w:fldChar w:fldCharType="separate"/>
      </w:r>
      <w:r>
        <w:rPr>
          <w:noProof/>
        </w:rPr>
        <w:t>210</w:t>
      </w:r>
      <w:r>
        <w:rPr>
          <w:noProof/>
        </w:rPr>
        <w:fldChar w:fldCharType="end"/>
      </w:r>
    </w:p>
    <w:p w14:paraId="31273ABD" w14:textId="4A4585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7.1.35B  Conduct that does not constitute dealing in a financial product—issuing carbon units, Australian carbon credit units or eligible international emissions units</w:t>
      </w:r>
      <w:r>
        <w:rPr>
          <w:noProof/>
        </w:rPr>
        <w:tab/>
      </w:r>
      <w:r>
        <w:rPr>
          <w:noProof/>
        </w:rPr>
        <w:fldChar w:fldCharType="begin"/>
      </w:r>
      <w:r>
        <w:rPr>
          <w:noProof/>
        </w:rPr>
        <w:instrText xml:space="preserve"> PAGEREF _Toc158712066 \h </w:instrText>
      </w:r>
      <w:r>
        <w:rPr>
          <w:noProof/>
        </w:rPr>
      </w:r>
      <w:r>
        <w:rPr>
          <w:noProof/>
        </w:rPr>
        <w:fldChar w:fldCharType="separate"/>
      </w:r>
      <w:r>
        <w:rPr>
          <w:noProof/>
        </w:rPr>
        <w:t>210</w:t>
      </w:r>
      <w:r>
        <w:rPr>
          <w:noProof/>
        </w:rPr>
        <w:fldChar w:fldCharType="end"/>
      </w:r>
    </w:p>
    <w:p w14:paraId="49052373" w14:textId="369CD8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7.1.35C  Conduct that does not constitute dealing in a financial product—carbon units, Australian carbon credit units or eligible international emissions units</w:t>
      </w:r>
      <w:r>
        <w:rPr>
          <w:noProof/>
        </w:rPr>
        <w:tab/>
      </w:r>
      <w:r>
        <w:rPr>
          <w:noProof/>
        </w:rPr>
        <w:fldChar w:fldCharType="begin"/>
      </w:r>
      <w:r>
        <w:rPr>
          <w:noProof/>
        </w:rPr>
        <w:instrText xml:space="preserve"> PAGEREF _Toc158712067 \h </w:instrText>
      </w:r>
      <w:r>
        <w:rPr>
          <w:noProof/>
        </w:rPr>
      </w:r>
      <w:r>
        <w:rPr>
          <w:noProof/>
        </w:rPr>
        <w:fldChar w:fldCharType="separate"/>
      </w:r>
      <w:r>
        <w:rPr>
          <w:noProof/>
        </w:rPr>
        <w:t>211</w:t>
      </w:r>
      <w:r>
        <w:rPr>
          <w:noProof/>
        </w:rPr>
        <w:fldChar w:fldCharType="end"/>
      </w:r>
    </w:p>
    <w:p w14:paraId="652DD4DB" w14:textId="17B8F5E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5—Custodial or depository services</w:t>
      </w:r>
      <w:r>
        <w:rPr>
          <w:noProof/>
        </w:rPr>
        <w:tab/>
      </w:r>
      <w:r>
        <w:rPr>
          <w:noProof/>
        </w:rPr>
        <w:fldChar w:fldCharType="begin"/>
      </w:r>
      <w:r>
        <w:rPr>
          <w:noProof/>
        </w:rPr>
        <w:instrText xml:space="preserve"> PAGEREF _Toc158712068 \h </w:instrText>
      </w:r>
      <w:r>
        <w:rPr>
          <w:noProof/>
        </w:rPr>
      </w:r>
      <w:r>
        <w:rPr>
          <w:noProof/>
        </w:rPr>
        <w:fldChar w:fldCharType="separate"/>
      </w:r>
      <w:r>
        <w:rPr>
          <w:noProof/>
        </w:rPr>
        <w:t>212</w:t>
      </w:r>
      <w:r>
        <w:rPr>
          <w:noProof/>
        </w:rPr>
        <w:fldChar w:fldCharType="end"/>
      </w:r>
    </w:p>
    <w:p w14:paraId="2A4BCCD9" w14:textId="2AD6A9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7.1.40  Conduct that does not constitute the provision of a custodial or depository service</w:t>
      </w:r>
      <w:r>
        <w:rPr>
          <w:noProof/>
        </w:rPr>
        <w:tab/>
      </w:r>
      <w:r>
        <w:rPr>
          <w:noProof/>
        </w:rPr>
        <w:fldChar w:fldCharType="begin"/>
      </w:r>
      <w:r>
        <w:rPr>
          <w:noProof/>
        </w:rPr>
        <w:instrText xml:space="preserve"> PAGEREF _Toc158712069 \h </w:instrText>
      </w:r>
      <w:r>
        <w:rPr>
          <w:noProof/>
        </w:rPr>
      </w:r>
      <w:r>
        <w:rPr>
          <w:noProof/>
        </w:rPr>
        <w:fldChar w:fldCharType="separate"/>
      </w:r>
      <w:r>
        <w:rPr>
          <w:noProof/>
        </w:rPr>
        <w:t>212</w:t>
      </w:r>
      <w:r>
        <w:rPr>
          <w:noProof/>
        </w:rPr>
        <w:fldChar w:fldCharType="end"/>
      </w:r>
    </w:p>
    <w:p w14:paraId="38FE5AE7" w14:textId="31FAEAB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6—Operating a financial market</w:t>
      </w:r>
      <w:r>
        <w:rPr>
          <w:noProof/>
        </w:rPr>
        <w:tab/>
      </w:r>
      <w:r>
        <w:rPr>
          <w:noProof/>
        </w:rPr>
        <w:fldChar w:fldCharType="begin"/>
      </w:r>
      <w:r>
        <w:rPr>
          <w:noProof/>
        </w:rPr>
        <w:instrText xml:space="preserve"> PAGEREF _Toc158712070 \h </w:instrText>
      </w:r>
      <w:r>
        <w:rPr>
          <w:noProof/>
        </w:rPr>
      </w:r>
      <w:r>
        <w:rPr>
          <w:noProof/>
        </w:rPr>
        <w:fldChar w:fldCharType="separate"/>
      </w:r>
      <w:r>
        <w:rPr>
          <w:noProof/>
        </w:rPr>
        <w:t>213</w:t>
      </w:r>
      <w:r>
        <w:rPr>
          <w:noProof/>
        </w:rPr>
        <w:fldChar w:fldCharType="end"/>
      </w:r>
    </w:p>
    <w:p w14:paraId="10F220FE" w14:textId="37219C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7.1.50  Operating a financial market</w:t>
      </w:r>
      <w:r>
        <w:rPr>
          <w:noProof/>
        </w:rPr>
        <w:tab/>
      </w:r>
      <w:r>
        <w:rPr>
          <w:noProof/>
        </w:rPr>
        <w:fldChar w:fldCharType="begin"/>
      </w:r>
      <w:r>
        <w:rPr>
          <w:noProof/>
        </w:rPr>
        <w:instrText xml:space="preserve"> PAGEREF _Toc158712071 \h </w:instrText>
      </w:r>
      <w:r>
        <w:rPr>
          <w:noProof/>
        </w:rPr>
      </w:r>
      <w:r>
        <w:rPr>
          <w:noProof/>
        </w:rPr>
        <w:fldChar w:fldCharType="separate"/>
      </w:r>
      <w:r>
        <w:rPr>
          <w:noProof/>
        </w:rPr>
        <w:t>213</w:t>
      </w:r>
      <w:r>
        <w:rPr>
          <w:noProof/>
        </w:rPr>
        <w:fldChar w:fldCharType="end"/>
      </w:r>
    </w:p>
    <w:p w14:paraId="33E87848" w14:textId="6DB8436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7.2</w:t>
      </w:r>
      <w:r w:rsidRPr="00FC743A">
        <w:rPr>
          <w:noProof/>
          <w:color w:val="000000"/>
        </w:rPr>
        <w:t>—</w:t>
      </w:r>
      <w:r>
        <w:rPr>
          <w:noProof/>
        </w:rPr>
        <w:t>Licensing of financial markets</w:t>
      </w:r>
      <w:r>
        <w:rPr>
          <w:noProof/>
        </w:rPr>
        <w:tab/>
      </w:r>
      <w:r>
        <w:rPr>
          <w:noProof/>
        </w:rPr>
        <w:fldChar w:fldCharType="begin"/>
      </w:r>
      <w:r>
        <w:rPr>
          <w:noProof/>
        </w:rPr>
        <w:instrText xml:space="preserve"> PAGEREF _Toc158712072 \h </w:instrText>
      </w:r>
      <w:r>
        <w:rPr>
          <w:noProof/>
        </w:rPr>
      </w:r>
      <w:r>
        <w:rPr>
          <w:noProof/>
        </w:rPr>
        <w:fldChar w:fldCharType="separate"/>
      </w:r>
      <w:r>
        <w:rPr>
          <w:noProof/>
        </w:rPr>
        <w:t>214</w:t>
      </w:r>
      <w:r>
        <w:rPr>
          <w:noProof/>
        </w:rPr>
        <w:fldChar w:fldCharType="end"/>
      </w:r>
    </w:p>
    <w:p w14:paraId="785B2AFC" w14:textId="27822AF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Market licensees’ obligations</w:t>
      </w:r>
      <w:r>
        <w:rPr>
          <w:noProof/>
        </w:rPr>
        <w:tab/>
      </w:r>
      <w:r>
        <w:rPr>
          <w:noProof/>
        </w:rPr>
        <w:fldChar w:fldCharType="begin"/>
      </w:r>
      <w:r>
        <w:rPr>
          <w:noProof/>
        </w:rPr>
        <w:instrText xml:space="preserve"> PAGEREF _Toc158712073 \h </w:instrText>
      </w:r>
      <w:r>
        <w:rPr>
          <w:noProof/>
        </w:rPr>
      </w:r>
      <w:r>
        <w:rPr>
          <w:noProof/>
        </w:rPr>
        <w:fldChar w:fldCharType="separate"/>
      </w:r>
      <w:r>
        <w:rPr>
          <w:noProof/>
        </w:rPr>
        <w:t>214</w:t>
      </w:r>
      <w:r>
        <w:rPr>
          <w:noProof/>
        </w:rPr>
        <w:fldChar w:fldCharType="end"/>
      </w:r>
    </w:p>
    <w:p w14:paraId="5C8CF4AA" w14:textId="42FAFE2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7.2.01  Obligation to inform ASIC of certain matters: contraventions of licence or Act</w:t>
      </w:r>
      <w:r>
        <w:rPr>
          <w:noProof/>
        </w:rPr>
        <w:tab/>
      </w:r>
      <w:r>
        <w:rPr>
          <w:noProof/>
        </w:rPr>
        <w:fldChar w:fldCharType="begin"/>
      </w:r>
      <w:r>
        <w:rPr>
          <w:noProof/>
        </w:rPr>
        <w:instrText xml:space="preserve"> PAGEREF _Toc158712074 \h </w:instrText>
      </w:r>
      <w:r>
        <w:rPr>
          <w:noProof/>
        </w:rPr>
      </w:r>
      <w:r>
        <w:rPr>
          <w:noProof/>
        </w:rPr>
        <w:fldChar w:fldCharType="separate"/>
      </w:r>
      <w:r>
        <w:rPr>
          <w:noProof/>
        </w:rPr>
        <w:t>214</w:t>
      </w:r>
      <w:r>
        <w:rPr>
          <w:noProof/>
        </w:rPr>
        <w:fldChar w:fldCharType="end"/>
      </w:r>
    </w:p>
    <w:p w14:paraId="269305FC" w14:textId="4181CFE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7.2.02  Obligation to inform ASIC of certain matters: becoming director, secretary or executive officer of market licensee</w:t>
      </w:r>
      <w:r>
        <w:rPr>
          <w:noProof/>
        </w:rPr>
        <w:tab/>
      </w:r>
      <w:r>
        <w:rPr>
          <w:noProof/>
        </w:rPr>
        <w:fldChar w:fldCharType="begin"/>
      </w:r>
      <w:r>
        <w:rPr>
          <w:noProof/>
        </w:rPr>
        <w:instrText xml:space="preserve"> PAGEREF _Toc158712075 \h </w:instrText>
      </w:r>
      <w:r>
        <w:rPr>
          <w:noProof/>
        </w:rPr>
      </w:r>
      <w:r>
        <w:rPr>
          <w:noProof/>
        </w:rPr>
        <w:fldChar w:fldCharType="separate"/>
      </w:r>
      <w:r>
        <w:rPr>
          <w:noProof/>
        </w:rPr>
        <w:t>214</w:t>
      </w:r>
      <w:r>
        <w:rPr>
          <w:noProof/>
        </w:rPr>
        <w:fldChar w:fldCharType="end"/>
      </w:r>
    </w:p>
    <w:p w14:paraId="7159616C" w14:textId="60A3020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7.2.03  Obligation to inform ASIC of certain matters: ceasing to be director, secretary or executive officer of market licensee</w:t>
      </w:r>
      <w:r>
        <w:rPr>
          <w:noProof/>
        </w:rPr>
        <w:tab/>
      </w:r>
      <w:r>
        <w:rPr>
          <w:noProof/>
        </w:rPr>
        <w:fldChar w:fldCharType="begin"/>
      </w:r>
      <w:r>
        <w:rPr>
          <w:noProof/>
        </w:rPr>
        <w:instrText xml:space="preserve"> PAGEREF _Toc158712076 \h </w:instrText>
      </w:r>
      <w:r>
        <w:rPr>
          <w:noProof/>
        </w:rPr>
      </w:r>
      <w:r>
        <w:rPr>
          <w:noProof/>
        </w:rPr>
        <w:fldChar w:fldCharType="separate"/>
      </w:r>
      <w:r>
        <w:rPr>
          <w:noProof/>
        </w:rPr>
        <w:t>214</w:t>
      </w:r>
      <w:r>
        <w:rPr>
          <w:noProof/>
        </w:rPr>
        <w:fldChar w:fldCharType="end"/>
      </w:r>
    </w:p>
    <w:p w14:paraId="0CFB5403" w14:textId="5F5B04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7.2.04  Obligation to inform ASIC of certain matters: voting power in market licensee</w:t>
      </w:r>
      <w:r>
        <w:rPr>
          <w:noProof/>
        </w:rPr>
        <w:tab/>
      </w:r>
      <w:r>
        <w:rPr>
          <w:noProof/>
        </w:rPr>
        <w:fldChar w:fldCharType="begin"/>
      </w:r>
      <w:r>
        <w:rPr>
          <w:noProof/>
        </w:rPr>
        <w:instrText xml:space="preserve"> PAGEREF _Toc158712077 \h </w:instrText>
      </w:r>
      <w:r>
        <w:rPr>
          <w:noProof/>
        </w:rPr>
      </w:r>
      <w:r>
        <w:rPr>
          <w:noProof/>
        </w:rPr>
        <w:fldChar w:fldCharType="separate"/>
      </w:r>
      <w:r>
        <w:rPr>
          <w:noProof/>
        </w:rPr>
        <w:t>214</w:t>
      </w:r>
      <w:r>
        <w:rPr>
          <w:noProof/>
        </w:rPr>
        <w:fldChar w:fldCharType="end"/>
      </w:r>
    </w:p>
    <w:p w14:paraId="20D2C099" w14:textId="523D8AF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7.2.05  Giving ASIC information about a listed disclosing entity</w:t>
      </w:r>
      <w:r>
        <w:rPr>
          <w:noProof/>
        </w:rPr>
        <w:tab/>
      </w:r>
      <w:r>
        <w:rPr>
          <w:noProof/>
        </w:rPr>
        <w:fldChar w:fldCharType="begin"/>
      </w:r>
      <w:r>
        <w:rPr>
          <w:noProof/>
        </w:rPr>
        <w:instrText xml:space="preserve"> PAGEREF _Toc158712078 \h </w:instrText>
      </w:r>
      <w:r>
        <w:rPr>
          <w:noProof/>
        </w:rPr>
      </w:r>
      <w:r>
        <w:rPr>
          <w:noProof/>
        </w:rPr>
        <w:fldChar w:fldCharType="separate"/>
      </w:r>
      <w:r>
        <w:rPr>
          <w:noProof/>
        </w:rPr>
        <w:t>215</w:t>
      </w:r>
      <w:r>
        <w:rPr>
          <w:noProof/>
        </w:rPr>
        <w:fldChar w:fldCharType="end"/>
      </w:r>
    </w:p>
    <w:p w14:paraId="50336853" w14:textId="548A392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7.2.06  Annual report of market licensee</w:t>
      </w:r>
      <w:r>
        <w:rPr>
          <w:noProof/>
        </w:rPr>
        <w:tab/>
      </w:r>
      <w:r>
        <w:rPr>
          <w:noProof/>
        </w:rPr>
        <w:fldChar w:fldCharType="begin"/>
      </w:r>
      <w:r>
        <w:rPr>
          <w:noProof/>
        </w:rPr>
        <w:instrText xml:space="preserve"> PAGEREF _Toc158712079 \h </w:instrText>
      </w:r>
      <w:r>
        <w:rPr>
          <w:noProof/>
        </w:rPr>
      </w:r>
      <w:r>
        <w:rPr>
          <w:noProof/>
        </w:rPr>
        <w:fldChar w:fldCharType="separate"/>
      </w:r>
      <w:r>
        <w:rPr>
          <w:noProof/>
        </w:rPr>
        <w:t>215</w:t>
      </w:r>
      <w:r>
        <w:rPr>
          <w:noProof/>
        </w:rPr>
        <w:fldChar w:fldCharType="end"/>
      </w:r>
    </w:p>
    <w:p w14:paraId="5F362193" w14:textId="2383FE1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The market’s operating rules and procedures</w:t>
      </w:r>
      <w:r>
        <w:rPr>
          <w:noProof/>
        </w:rPr>
        <w:tab/>
      </w:r>
      <w:r>
        <w:rPr>
          <w:noProof/>
        </w:rPr>
        <w:fldChar w:fldCharType="begin"/>
      </w:r>
      <w:r>
        <w:rPr>
          <w:noProof/>
        </w:rPr>
        <w:instrText xml:space="preserve"> PAGEREF _Toc158712080 \h </w:instrText>
      </w:r>
      <w:r>
        <w:rPr>
          <w:noProof/>
        </w:rPr>
      </w:r>
      <w:r>
        <w:rPr>
          <w:noProof/>
        </w:rPr>
        <w:fldChar w:fldCharType="separate"/>
      </w:r>
      <w:r>
        <w:rPr>
          <w:noProof/>
        </w:rPr>
        <w:t>216</w:t>
      </w:r>
      <w:r>
        <w:rPr>
          <w:noProof/>
        </w:rPr>
        <w:fldChar w:fldCharType="end"/>
      </w:r>
    </w:p>
    <w:p w14:paraId="3AB2F40C" w14:textId="794B4C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7.2.07  Content of licensed market’s operating rules</w:t>
      </w:r>
      <w:r>
        <w:rPr>
          <w:noProof/>
        </w:rPr>
        <w:tab/>
      </w:r>
      <w:r>
        <w:rPr>
          <w:noProof/>
        </w:rPr>
        <w:fldChar w:fldCharType="begin"/>
      </w:r>
      <w:r>
        <w:rPr>
          <w:noProof/>
        </w:rPr>
        <w:instrText xml:space="preserve"> PAGEREF _Toc158712081 \h </w:instrText>
      </w:r>
      <w:r>
        <w:rPr>
          <w:noProof/>
        </w:rPr>
      </w:r>
      <w:r>
        <w:rPr>
          <w:noProof/>
        </w:rPr>
        <w:fldChar w:fldCharType="separate"/>
      </w:r>
      <w:r>
        <w:rPr>
          <w:noProof/>
        </w:rPr>
        <w:t>216</w:t>
      </w:r>
      <w:r>
        <w:rPr>
          <w:noProof/>
        </w:rPr>
        <w:fldChar w:fldCharType="end"/>
      </w:r>
    </w:p>
    <w:p w14:paraId="7E493C8F" w14:textId="694301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7.2.08  Content of licensed market’s written procedures</w:t>
      </w:r>
      <w:r>
        <w:rPr>
          <w:noProof/>
        </w:rPr>
        <w:tab/>
      </w:r>
      <w:r>
        <w:rPr>
          <w:noProof/>
        </w:rPr>
        <w:fldChar w:fldCharType="begin"/>
      </w:r>
      <w:r>
        <w:rPr>
          <w:noProof/>
        </w:rPr>
        <w:instrText xml:space="preserve"> PAGEREF _Toc158712082 \h </w:instrText>
      </w:r>
      <w:r>
        <w:rPr>
          <w:noProof/>
        </w:rPr>
      </w:r>
      <w:r>
        <w:rPr>
          <w:noProof/>
        </w:rPr>
        <w:fldChar w:fldCharType="separate"/>
      </w:r>
      <w:r>
        <w:rPr>
          <w:noProof/>
        </w:rPr>
        <w:t>216</w:t>
      </w:r>
      <w:r>
        <w:rPr>
          <w:noProof/>
        </w:rPr>
        <w:fldChar w:fldCharType="end"/>
      </w:r>
    </w:p>
    <w:p w14:paraId="5AA52FBC" w14:textId="153D78F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Powers of the Minister and ASIC</w:t>
      </w:r>
      <w:r>
        <w:rPr>
          <w:noProof/>
        </w:rPr>
        <w:tab/>
      </w:r>
      <w:r>
        <w:rPr>
          <w:noProof/>
        </w:rPr>
        <w:fldChar w:fldCharType="begin"/>
      </w:r>
      <w:r>
        <w:rPr>
          <w:noProof/>
        </w:rPr>
        <w:instrText xml:space="preserve"> PAGEREF _Toc158712083 \h </w:instrText>
      </w:r>
      <w:r>
        <w:rPr>
          <w:noProof/>
        </w:rPr>
      </w:r>
      <w:r>
        <w:rPr>
          <w:noProof/>
        </w:rPr>
        <w:fldChar w:fldCharType="separate"/>
      </w:r>
      <w:r>
        <w:rPr>
          <w:noProof/>
        </w:rPr>
        <w:t>218</w:t>
      </w:r>
      <w:r>
        <w:rPr>
          <w:noProof/>
        </w:rPr>
        <w:fldChar w:fldCharType="end"/>
      </w:r>
    </w:p>
    <w:p w14:paraId="0E252DD2" w14:textId="26B3B0E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7.2.09  Agencies for compliance assessment</w:t>
      </w:r>
      <w:r>
        <w:rPr>
          <w:noProof/>
        </w:rPr>
        <w:tab/>
      </w:r>
      <w:r>
        <w:rPr>
          <w:noProof/>
        </w:rPr>
        <w:fldChar w:fldCharType="begin"/>
      </w:r>
      <w:r>
        <w:rPr>
          <w:noProof/>
        </w:rPr>
        <w:instrText xml:space="preserve"> PAGEREF _Toc158712084 \h </w:instrText>
      </w:r>
      <w:r>
        <w:rPr>
          <w:noProof/>
        </w:rPr>
      </w:r>
      <w:r>
        <w:rPr>
          <w:noProof/>
        </w:rPr>
        <w:fldChar w:fldCharType="separate"/>
      </w:r>
      <w:r>
        <w:rPr>
          <w:noProof/>
        </w:rPr>
        <w:t>218</w:t>
      </w:r>
      <w:r>
        <w:rPr>
          <w:noProof/>
        </w:rPr>
        <w:fldChar w:fldCharType="end"/>
      </w:r>
    </w:p>
    <w:p w14:paraId="435B81B1" w14:textId="454358A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w:t>
      </w:r>
      <w:r w:rsidRPr="00FC743A">
        <w:rPr>
          <w:noProof/>
          <w:color w:val="000000"/>
        </w:rPr>
        <w:t>—</w:t>
      </w:r>
      <w:r>
        <w:rPr>
          <w:noProof/>
        </w:rPr>
        <w:t>The Australian market licence: applications (general)</w:t>
      </w:r>
      <w:r>
        <w:rPr>
          <w:noProof/>
        </w:rPr>
        <w:tab/>
      </w:r>
      <w:r>
        <w:rPr>
          <w:noProof/>
        </w:rPr>
        <w:fldChar w:fldCharType="begin"/>
      </w:r>
      <w:r>
        <w:rPr>
          <w:noProof/>
        </w:rPr>
        <w:instrText xml:space="preserve"> PAGEREF _Toc158712085 \h </w:instrText>
      </w:r>
      <w:r>
        <w:rPr>
          <w:noProof/>
        </w:rPr>
      </w:r>
      <w:r>
        <w:rPr>
          <w:noProof/>
        </w:rPr>
        <w:fldChar w:fldCharType="separate"/>
      </w:r>
      <w:r>
        <w:rPr>
          <w:noProof/>
        </w:rPr>
        <w:t>219</w:t>
      </w:r>
      <w:r>
        <w:rPr>
          <w:noProof/>
        </w:rPr>
        <w:fldChar w:fldCharType="end"/>
      </w:r>
    </w:p>
    <w:p w14:paraId="288B4A2E" w14:textId="762B957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7.2.10  Application of Division 4</w:t>
      </w:r>
      <w:r>
        <w:rPr>
          <w:noProof/>
        </w:rPr>
        <w:tab/>
      </w:r>
      <w:r>
        <w:rPr>
          <w:noProof/>
        </w:rPr>
        <w:fldChar w:fldCharType="begin"/>
      </w:r>
      <w:r>
        <w:rPr>
          <w:noProof/>
        </w:rPr>
        <w:instrText xml:space="preserve"> PAGEREF _Toc158712086 \h </w:instrText>
      </w:r>
      <w:r>
        <w:rPr>
          <w:noProof/>
        </w:rPr>
      </w:r>
      <w:r>
        <w:rPr>
          <w:noProof/>
        </w:rPr>
        <w:fldChar w:fldCharType="separate"/>
      </w:r>
      <w:r>
        <w:rPr>
          <w:noProof/>
        </w:rPr>
        <w:t>219</w:t>
      </w:r>
      <w:r>
        <w:rPr>
          <w:noProof/>
        </w:rPr>
        <w:fldChar w:fldCharType="end"/>
      </w:r>
    </w:p>
    <w:p w14:paraId="02A98940" w14:textId="23EF02D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7.2.11  Information</w:t>
      </w:r>
      <w:r>
        <w:rPr>
          <w:noProof/>
        </w:rPr>
        <w:tab/>
      </w:r>
      <w:r>
        <w:rPr>
          <w:noProof/>
        </w:rPr>
        <w:fldChar w:fldCharType="begin"/>
      </w:r>
      <w:r>
        <w:rPr>
          <w:noProof/>
        </w:rPr>
        <w:instrText xml:space="preserve"> PAGEREF _Toc158712087 \h </w:instrText>
      </w:r>
      <w:r>
        <w:rPr>
          <w:noProof/>
        </w:rPr>
      </w:r>
      <w:r>
        <w:rPr>
          <w:noProof/>
        </w:rPr>
        <w:fldChar w:fldCharType="separate"/>
      </w:r>
      <w:r>
        <w:rPr>
          <w:noProof/>
        </w:rPr>
        <w:t>219</w:t>
      </w:r>
      <w:r>
        <w:rPr>
          <w:noProof/>
        </w:rPr>
        <w:fldChar w:fldCharType="end"/>
      </w:r>
    </w:p>
    <w:p w14:paraId="3D031B1E" w14:textId="5A20B1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7.2.12  Documents</w:t>
      </w:r>
      <w:r>
        <w:rPr>
          <w:noProof/>
        </w:rPr>
        <w:tab/>
      </w:r>
      <w:r>
        <w:rPr>
          <w:noProof/>
        </w:rPr>
        <w:fldChar w:fldCharType="begin"/>
      </w:r>
      <w:r>
        <w:rPr>
          <w:noProof/>
        </w:rPr>
        <w:instrText xml:space="preserve"> PAGEREF _Toc158712088 \h </w:instrText>
      </w:r>
      <w:r>
        <w:rPr>
          <w:noProof/>
        </w:rPr>
      </w:r>
      <w:r>
        <w:rPr>
          <w:noProof/>
        </w:rPr>
        <w:fldChar w:fldCharType="separate"/>
      </w:r>
      <w:r>
        <w:rPr>
          <w:noProof/>
        </w:rPr>
        <w:t>219</w:t>
      </w:r>
      <w:r>
        <w:rPr>
          <w:noProof/>
        </w:rPr>
        <w:fldChar w:fldCharType="end"/>
      </w:r>
    </w:p>
    <w:p w14:paraId="3B341096" w14:textId="4D01DE7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w:t>
      </w:r>
      <w:r w:rsidRPr="00FC743A">
        <w:rPr>
          <w:noProof/>
          <w:color w:val="000000"/>
        </w:rPr>
        <w:t>—</w:t>
      </w:r>
      <w:r>
        <w:rPr>
          <w:noProof/>
        </w:rPr>
        <w:t>The Australian market licence: applications (financial market in foreign country)</w:t>
      </w:r>
      <w:r>
        <w:rPr>
          <w:noProof/>
        </w:rPr>
        <w:tab/>
      </w:r>
      <w:r>
        <w:rPr>
          <w:noProof/>
        </w:rPr>
        <w:fldChar w:fldCharType="begin"/>
      </w:r>
      <w:r>
        <w:rPr>
          <w:noProof/>
        </w:rPr>
        <w:instrText xml:space="preserve"> PAGEREF _Toc158712089 \h </w:instrText>
      </w:r>
      <w:r>
        <w:rPr>
          <w:noProof/>
        </w:rPr>
      </w:r>
      <w:r>
        <w:rPr>
          <w:noProof/>
        </w:rPr>
        <w:fldChar w:fldCharType="separate"/>
      </w:r>
      <w:r>
        <w:rPr>
          <w:noProof/>
        </w:rPr>
        <w:t>221</w:t>
      </w:r>
      <w:r>
        <w:rPr>
          <w:noProof/>
        </w:rPr>
        <w:fldChar w:fldCharType="end"/>
      </w:r>
    </w:p>
    <w:p w14:paraId="576D2E4C" w14:textId="3F3DAA3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7.2.13  Application of Division 5</w:t>
      </w:r>
      <w:r>
        <w:rPr>
          <w:noProof/>
        </w:rPr>
        <w:tab/>
      </w:r>
      <w:r>
        <w:rPr>
          <w:noProof/>
        </w:rPr>
        <w:fldChar w:fldCharType="begin"/>
      </w:r>
      <w:r>
        <w:rPr>
          <w:noProof/>
        </w:rPr>
        <w:instrText xml:space="preserve"> PAGEREF _Toc158712090 \h </w:instrText>
      </w:r>
      <w:r>
        <w:rPr>
          <w:noProof/>
        </w:rPr>
      </w:r>
      <w:r>
        <w:rPr>
          <w:noProof/>
        </w:rPr>
        <w:fldChar w:fldCharType="separate"/>
      </w:r>
      <w:r>
        <w:rPr>
          <w:noProof/>
        </w:rPr>
        <w:t>221</w:t>
      </w:r>
      <w:r>
        <w:rPr>
          <w:noProof/>
        </w:rPr>
        <w:fldChar w:fldCharType="end"/>
      </w:r>
    </w:p>
    <w:p w14:paraId="1295F15A" w14:textId="6495B47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7.2.14  Information</w:t>
      </w:r>
      <w:r>
        <w:rPr>
          <w:noProof/>
        </w:rPr>
        <w:tab/>
      </w:r>
      <w:r>
        <w:rPr>
          <w:noProof/>
        </w:rPr>
        <w:fldChar w:fldCharType="begin"/>
      </w:r>
      <w:r>
        <w:rPr>
          <w:noProof/>
        </w:rPr>
        <w:instrText xml:space="preserve"> PAGEREF _Toc158712091 \h </w:instrText>
      </w:r>
      <w:r>
        <w:rPr>
          <w:noProof/>
        </w:rPr>
      </w:r>
      <w:r>
        <w:rPr>
          <w:noProof/>
        </w:rPr>
        <w:fldChar w:fldCharType="separate"/>
      </w:r>
      <w:r>
        <w:rPr>
          <w:noProof/>
        </w:rPr>
        <w:t>221</w:t>
      </w:r>
      <w:r>
        <w:rPr>
          <w:noProof/>
        </w:rPr>
        <w:fldChar w:fldCharType="end"/>
      </w:r>
    </w:p>
    <w:p w14:paraId="1D58D813" w14:textId="6A2BC19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7.2.15  Documents</w:t>
      </w:r>
      <w:r>
        <w:rPr>
          <w:noProof/>
        </w:rPr>
        <w:tab/>
      </w:r>
      <w:r>
        <w:rPr>
          <w:noProof/>
        </w:rPr>
        <w:fldChar w:fldCharType="begin"/>
      </w:r>
      <w:r>
        <w:rPr>
          <w:noProof/>
        </w:rPr>
        <w:instrText xml:space="preserve"> PAGEREF _Toc158712092 \h </w:instrText>
      </w:r>
      <w:r>
        <w:rPr>
          <w:noProof/>
        </w:rPr>
      </w:r>
      <w:r>
        <w:rPr>
          <w:noProof/>
        </w:rPr>
        <w:fldChar w:fldCharType="separate"/>
      </w:r>
      <w:r>
        <w:rPr>
          <w:noProof/>
        </w:rPr>
        <w:t>221</w:t>
      </w:r>
      <w:r>
        <w:rPr>
          <w:noProof/>
        </w:rPr>
        <w:fldChar w:fldCharType="end"/>
      </w:r>
    </w:p>
    <w:p w14:paraId="7466043A" w14:textId="62D1E52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w:t>
      </w:r>
      <w:r w:rsidRPr="00FC743A">
        <w:rPr>
          <w:noProof/>
          <w:color w:val="000000"/>
        </w:rPr>
        <w:t>—</w:t>
      </w:r>
      <w:r>
        <w:rPr>
          <w:noProof/>
        </w:rPr>
        <w:t>The Australian market licence: other matters</w:t>
      </w:r>
      <w:r>
        <w:rPr>
          <w:noProof/>
        </w:rPr>
        <w:tab/>
      </w:r>
      <w:r>
        <w:rPr>
          <w:noProof/>
        </w:rPr>
        <w:fldChar w:fldCharType="begin"/>
      </w:r>
      <w:r>
        <w:rPr>
          <w:noProof/>
        </w:rPr>
        <w:instrText xml:space="preserve"> PAGEREF _Toc158712093 \h </w:instrText>
      </w:r>
      <w:r>
        <w:rPr>
          <w:noProof/>
        </w:rPr>
      </w:r>
      <w:r>
        <w:rPr>
          <w:noProof/>
        </w:rPr>
        <w:fldChar w:fldCharType="separate"/>
      </w:r>
      <w:r>
        <w:rPr>
          <w:noProof/>
        </w:rPr>
        <w:t>222</w:t>
      </w:r>
      <w:r>
        <w:rPr>
          <w:noProof/>
        </w:rPr>
        <w:fldChar w:fldCharType="end"/>
      </w:r>
    </w:p>
    <w:p w14:paraId="08BD0F2C" w14:textId="68DB89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7.2.16  Potential conflict situations</w:t>
      </w:r>
      <w:r>
        <w:rPr>
          <w:noProof/>
        </w:rPr>
        <w:tab/>
      </w:r>
      <w:r>
        <w:rPr>
          <w:noProof/>
        </w:rPr>
        <w:fldChar w:fldCharType="begin"/>
      </w:r>
      <w:r>
        <w:rPr>
          <w:noProof/>
        </w:rPr>
        <w:instrText xml:space="preserve"> PAGEREF _Toc158712094 \h </w:instrText>
      </w:r>
      <w:r>
        <w:rPr>
          <w:noProof/>
        </w:rPr>
      </w:r>
      <w:r>
        <w:rPr>
          <w:noProof/>
        </w:rPr>
        <w:fldChar w:fldCharType="separate"/>
      </w:r>
      <w:r>
        <w:rPr>
          <w:noProof/>
        </w:rPr>
        <w:t>222</w:t>
      </w:r>
      <w:r>
        <w:rPr>
          <w:noProof/>
        </w:rPr>
        <w:fldChar w:fldCharType="end"/>
      </w:r>
    </w:p>
    <w:p w14:paraId="57FBC640" w14:textId="2A03D37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7.2A—Supervision of financial markets</w:t>
      </w:r>
      <w:r>
        <w:rPr>
          <w:noProof/>
        </w:rPr>
        <w:tab/>
      </w:r>
      <w:r>
        <w:rPr>
          <w:noProof/>
        </w:rPr>
        <w:fldChar w:fldCharType="begin"/>
      </w:r>
      <w:r>
        <w:rPr>
          <w:noProof/>
        </w:rPr>
        <w:instrText xml:space="preserve"> PAGEREF _Toc158712095 \h </w:instrText>
      </w:r>
      <w:r>
        <w:rPr>
          <w:noProof/>
        </w:rPr>
      </w:r>
      <w:r>
        <w:rPr>
          <w:noProof/>
        </w:rPr>
        <w:fldChar w:fldCharType="separate"/>
      </w:r>
      <w:r>
        <w:rPr>
          <w:noProof/>
        </w:rPr>
        <w:t>224</w:t>
      </w:r>
      <w:r>
        <w:rPr>
          <w:noProof/>
        </w:rPr>
        <w:fldChar w:fldCharType="end"/>
      </w:r>
    </w:p>
    <w:p w14:paraId="70F17916" w14:textId="1B66478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7.2A.1—Enforceable undertakings</w:t>
      </w:r>
      <w:r>
        <w:rPr>
          <w:noProof/>
        </w:rPr>
        <w:tab/>
      </w:r>
      <w:r>
        <w:rPr>
          <w:noProof/>
        </w:rPr>
        <w:fldChar w:fldCharType="begin"/>
      </w:r>
      <w:r>
        <w:rPr>
          <w:noProof/>
        </w:rPr>
        <w:instrText xml:space="preserve"> PAGEREF _Toc158712096 \h </w:instrText>
      </w:r>
      <w:r>
        <w:rPr>
          <w:noProof/>
        </w:rPr>
      </w:r>
      <w:r>
        <w:rPr>
          <w:noProof/>
        </w:rPr>
        <w:fldChar w:fldCharType="separate"/>
      </w:r>
      <w:r>
        <w:rPr>
          <w:noProof/>
        </w:rPr>
        <w:t>224</w:t>
      </w:r>
      <w:r>
        <w:rPr>
          <w:noProof/>
        </w:rPr>
        <w:fldChar w:fldCharType="end"/>
      </w:r>
    </w:p>
    <w:p w14:paraId="7ABF3A26" w14:textId="7912B8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7.2A.01  Enforceable undertakings</w:t>
      </w:r>
      <w:r>
        <w:rPr>
          <w:noProof/>
        </w:rPr>
        <w:tab/>
      </w:r>
      <w:r>
        <w:rPr>
          <w:noProof/>
        </w:rPr>
        <w:fldChar w:fldCharType="begin"/>
      </w:r>
      <w:r>
        <w:rPr>
          <w:noProof/>
        </w:rPr>
        <w:instrText xml:space="preserve"> PAGEREF _Toc158712097 \h </w:instrText>
      </w:r>
      <w:r>
        <w:rPr>
          <w:noProof/>
        </w:rPr>
      </w:r>
      <w:r>
        <w:rPr>
          <w:noProof/>
        </w:rPr>
        <w:fldChar w:fldCharType="separate"/>
      </w:r>
      <w:r>
        <w:rPr>
          <w:noProof/>
        </w:rPr>
        <w:t>224</w:t>
      </w:r>
      <w:r>
        <w:rPr>
          <w:noProof/>
        </w:rPr>
        <w:fldChar w:fldCharType="end"/>
      </w:r>
    </w:p>
    <w:p w14:paraId="1526B912" w14:textId="60044A6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7.2A.2—Infringement notices</w:t>
      </w:r>
      <w:r>
        <w:rPr>
          <w:noProof/>
        </w:rPr>
        <w:tab/>
      </w:r>
      <w:r>
        <w:rPr>
          <w:noProof/>
        </w:rPr>
        <w:fldChar w:fldCharType="begin"/>
      </w:r>
      <w:r>
        <w:rPr>
          <w:noProof/>
        </w:rPr>
        <w:instrText xml:space="preserve"> PAGEREF _Toc158712098 \h </w:instrText>
      </w:r>
      <w:r>
        <w:rPr>
          <w:noProof/>
        </w:rPr>
      </w:r>
      <w:r>
        <w:rPr>
          <w:noProof/>
        </w:rPr>
        <w:fldChar w:fldCharType="separate"/>
      </w:r>
      <w:r>
        <w:rPr>
          <w:noProof/>
        </w:rPr>
        <w:t>225</w:t>
      </w:r>
      <w:r>
        <w:rPr>
          <w:noProof/>
        </w:rPr>
        <w:fldChar w:fldCharType="end"/>
      </w:r>
    </w:p>
    <w:p w14:paraId="0996A55C" w14:textId="6F2C57E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7.2A.02  Purpose of Division</w:t>
      </w:r>
      <w:r>
        <w:rPr>
          <w:noProof/>
        </w:rPr>
        <w:tab/>
      </w:r>
      <w:r>
        <w:rPr>
          <w:noProof/>
        </w:rPr>
        <w:fldChar w:fldCharType="begin"/>
      </w:r>
      <w:r>
        <w:rPr>
          <w:noProof/>
        </w:rPr>
        <w:instrText xml:space="preserve"> PAGEREF _Toc158712099 \h </w:instrText>
      </w:r>
      <w:r>
        <w:rPr>
          <w:noProof/>
        </w:rPr>
      </w:r>
      <w:r>
        <w:rPr>
          <w:noProof/>
        </w:rPr>
        <w:fldChar w:fldCharType="separate"/>
      </w:r>
      <w:r>
        <w:rPr>
          <w:noProof/>
        </w:rPr>
        <w:t>225</w:t>
      </w:r>
      <w:r>
        <w:rPr>
          <w:noProof/>
        </w:rPr>
        <w:fldChar w:fldCharType="end"/>
      </w:r>
    </w:p>
    <w:p w14:paraId="73526846" w14:textId="31FCFF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7.2A.03  Definitions for Division 7.2A.2</w:t>
      </w:r>
      <w:r>
        <w:rPr>
          <w:noProof/>
        </w:rPr>
        <w:tab/>
      </w:r>
      <w:r>
        <w:rPr>
          <w:noProof/>
        </w:rPr>
        <w:fldChar w:fldCharType="begin"/>
      </w:r>
      <w:r>
        <w:rPr>
          <w:noProof/>
        </w:rPr>
        <w:instrText xml:space="preserve"> PAGEREF _Toc158712100 \h </w:instrText>
      </w:r>
      <w:r>
        <w:rPr>
          <w:noProof/>
        </w:rPr>
      </w:r>
      <w:r>
        <w:rPr>
          <w:noProof/>
        </w:rPr>
        <w:fldChar w:fldCharType="separate"/>
      </w:r>
      <w:r>
        <w:rPr>
          <w:noProof/>
        </w:rPr>
        <w:t>225</w:t>
      </w:r>
      <w:r>
        <w:rPr>
          <w:noProof/>
        </w:rPr>
        <w:fldChar w:fldCharType="end"/>
      </w:r>
    </w:p>
    <w:p w14:paraId="3B774BED" w14:textId="51DA4C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7.2A.04  When infringement notice can be given</w:t>
      </w:r>
      <w:r>
        <w:rPr>
          <w:noProof/>
        </w:rPr>
        <w:tab/>
      </w:r>
      <w:r>
        <w:rPr>
          <w:noProof/>
        </w:rPr>
        <w:fldChar w:fldCharType="begin"/>
      </w:r>
      <w:r>
        <w:rPr>
          <w:noProof/>
        </w:rPr>
        <w:instrText xml:space="preserve"> PAGEREF _Toc158712101 \h </w:instrText>
      </w:r>
      <w:r>
        <w:rPr>
          <w:noProof/>
        </w:rPr>
      </w:r>
      <w:r>
        <w:rPr>
          <w:noProof/>
        </w:rPr>
        <w:fldChar w:fldCharType="separate"/>
      </w:r>
      <w:r>
        <w:rPr>
          <w:noProof/>
        </w:rPr>
        <w:t>225</w:t>
      </w:r>
      <w:r>
        <w:rPr>
          <w:noProof/>
        </w:rPr>
        <w:fldChar w:fldCharType="end"/>
      </w:r>
    </w:p>
    <w:p w14:paraId="6AA89EBC" w14:textId="4C491B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7.2A.05  Statement of reasons must be given</w:t>
      </w:r>
      <w:r>
        <w:rPr>
          <w:noProof/>
        </w:rPr>
        <w:tab/>
      </w:r>
      <w:r>
        <w:rPr>
          <w:noProof/>
        </w:rPr>
        <w:fldChar w:fldCharType="begin"/>
      </w:r>
      <w:r>
        <w:rPr>
          <w:noProof/>
        </w:rPr>
        <w:instrText xml:space="preserve"> PAGEREF _Toc158712102 \h </w:instrText>
      </w:r>
      <w:r>
        <w:rPr>
          <w:noProof/>
        </w:rPr>
      </w:r>
      <w:r>
        <w:rPr>
          <w:noProof/>
        </w:rPr>
        <w:fldChar w:fldCharType="separate"/>
      </w:r>
      <w:r>
        <w:rPr>
          <w:noProof/>
        </w:rPr>
        <w:t>225</w:t>
      </w:r>
      <w:r>
        <w:rPr>
          <w:noProof/>
        </w:rPr>
        <w:fldChar w:fldCharType="end"/>
      </w:r>
    </w:p>
    <w:p w14:paraId="61DE71C1" w14:textId="6CDE3FA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7.2A.06  Contents of infringement notice</w:t>
      </w:r>
      <w:r>
        <w:rPr>
          <w:noProof/>
        </w:rPr>
        <w:tab/>
      </w:r>
      <w:r>
        <w:rPr>
          <w:noProof/>
        </w:rPr>
        <w:fldChar w:fldCharType="begin"/>
      </w:r>
      <w:r>
        <w:rPr>
          <w:noProof/>
        </w:rPr>
        <w:instrText xml:space="preserve"> PAGEREF _Toc158712103 \h </w:instrText>
      </w:r>
      <w:r>
        <w:rPr>
          <w:noProof/>
        </w:rPr>
      </w:r>
      <w:r>
        <w:rPr>
          <w:noProof/>
        </w:rPr>
        <w:fldChar w:fldCharType="separate"/>
      </w:r>
      <w:r>
        <w:rPr>
          <w:noProof/>
        </w:rPr>
        <w:t>226</w:t>
      </w:r>
      <w:r>
        <w:rPr>
          <w:noProof/>
        </w:rPr>
        <w:fldChar w:fldCharType="end"/>
      </w:r>
    </w:p>
    <w:p w14:paraId="2DBEE2B0" w14:textId="0B33AA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7.2A.07  Amount of penalty payable to the Commonwealth</w:t>
      </w:r>
      <w:r>
        <w:rPr>
          <w:noProof/>
        </w:rPr>
        <w:tab/>
      </w:r>
      <w:r>
        <w:rPr>
          <w:noProof/>
        </w:rPr>
        <w:fldChar w:fldCharType="begin"/>
      </w:r>
      <w:r>
        <w:rPr>
          <w:noProof/>
        </w:rPr>
        <w:instrText xml:space="preserve"> PAGEREF _Toc158712104 \h </w:instrText>
      </w:r>
      <w:r>
        <w:rPr>
          <w:noProof/>
        </w:rPr>
      </w:r>
      <w:r>
        <w:rPr>
          <w:noProof/>
        </w:rPr>
        <w:fldChar w:fldCharType="separate"/>
      </w:r>
      <w:r>
        <w:rPr>
          <w:noProof/>
        </w:rPr>
        <w:t>226</w:t>
      </w:r>
      <w:r>
        <w:rPr>
          <w:noProof/>
        </w:rPr>
        <w:fldChar w:fldCharType="end"/>
      </w:r>
    </w:p>
    <w:p w14:paraId="0F0B5128" w14:textId="279DE4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7.2A.08  Compliance with infringement notice</w:t>
      </w:r>
      <w:r>
        <w:rPr>
          <w:noProof/>
        </w:rPr>
        <w:tab/>
      </w:r>
      <w:r>
        <w:rPr>
          <w:noProof/>
        </w:rPr>
        <w:fldChar w:fldCharType="begin"/>
      </w:r>
      <w:r>
        <w:rPr>
          <w:noProof/>
        </w:rPr>
        <w:instrText xml:space="preserve"> PAGEREF _Toc158712105 \h </w:instrText>
      </w:r>
      <w:r>
        <w:rPr>
          <w:noProof/>
        </w:rPr>
      </w:r>
      <w:r>
        <w:rPr>
          <w:noProof/>
        </w:rPr>
        <w:fldChar w:fldCharType="separate"/>
      </w:r>
      <w:r>
        <w:rPr>
          <w:noProof/>
        </w:rPr>
        <w:t>227</w:t>
      </w:r>
      <w:r>
        <w:rPr>
          <w:noProof/>
        </w:rPr>
        <w:fldChar w:fldCharType="end"/>
      </w:r>
    </w:p>
    <w:p w14:paraId="40352F7E" w14:textId="54A3E3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7.2A.09  Extension of compliance period</w:t>
      </w:r>
      <w:r>
        <w:rPr>
          <w:noProof/>
        </w:rPr>
        <w:tab/>
      </w:r>
      <w:r>
        <w:rPr>
          <w:noProof/>
        </w:rPr>
        <w:fldChar w:fldCharType="begin"/>
      </w:r>
      <w:r>
        <w:rPr>
          <w:noProof/>
        </w:rPr>
        <w:instrText xml:space="preserve"> PAGEREF _Toc158712106 \h </w:instrText>
      </w:r>
      <w:r>
        <w:rPr>
          <w:noProof/>
        </w:rPr>
      </w:r>
      <w:r>
        <w:rPr>
          <w:noProof/>
        </w:rPr>
        <w:fldChar w:fldCharType="separate"/>
      </w:r>
      <w:r>
        <w:rPr>
          <w:noProof/>
        </w:rPr>
        <w:t>227</w:t>
      </w:r>
      <w:r>
        <w:rPr>
          <w:noProof/>
        </w:rPr>
        <w:fldChar w:fldCharType="end"/>
      </w:r>
    </w:p>
    <w:p w14:paraId="536BC4F2" w14:textId="68E0083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7.2A.10  Effect of compliance with infringement notice</w:t>
      </w:r>
      <w:r>
        <w:rPr>
          <w:noProof/>
        </w:rPr>
        <w:tab/>
      </w:r>
      <w:r>
        <w:rPr>
          <w:noProof/>
        </w:rPr>
        <w:fldChar w:fldCharType="begin"/>
      </w:r>
      <w:r>
        <w:rPr>
          <w:noProof/>
        </w:rPr>
        <w:instrText xml:space="preserve"> PAGEREF _Toc158712107 \h </w:instrText>
      </w:r>
      <w:r>
        <w:rPr>
          <w:noProof/>
        </w:rPr>
      </w:r>
      <w:r>
        <w:rPr>
          <w:noProof/>
        </w:rPr>
        <w:fldChar w:fldCharType="separate"/>
      </w:r>
      <w:r>
        <w:rPr>
          <w:noProof/>
        </w:rPr>
        <w:t>227</w:t>
      </w:r>
      <w:r>
        <w:rPr>
          <w:noProof/>
        </w:rPr>
        <w:fldChar w:fldCharType="end"/>
      </w:r>
    </w:p>
    <w:p w14:paraId="686F5F63" w14:textId="42D312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7.2A.11  Application to withdraw infringement notice</w:t>
      </w:r>
      <w:r>
        <w:rPr>
          <w:noProof/>
        </w:rPr>
        <w:tab/>
      </w:r>
      <w:r>
        <w:rPr>
          <w:noProof/>
        </w:rPr>
        <w:fldChar w:fldCharType="begin"/>
      </w:r>
      <w:r>
        <w:rPr>
          <w:noProof/>
        </w:rPr>
        <w:instrText xml:space="preserve"> PAGEREF _Toc158712108 \h </w:instrText>
      </w:r>
      <w:r>
        <w:rPr>
          <w:noProof/>
        </w:rPr>
      </w:r>
      <w:r>
        <w:rPr>
          <w:noProof/>
        </w:rPr>
        <w:fldChar w:fldCharType="separate"/>
      </w:r>
      <w:r>
        <w:rPr>
          <w:noProof/>
        </w:rPr>
        <w:t>228</w:t>
      </w:r>
      <w:r>
        <w:rPr>
          <w:noProof/>
        </w:rPr>
        <w:fldChar w:fldCharType="end"/>
      </w:r>
    </w:p>
    <w:p w14:paraId="13AB5340" w14:textId="3AC303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7.2A.12  Withdrawal of infringement notice by ASIC</w:t>
      </w:r>
      <w:r>
        <w:rPr>
          <w:noProof/>
        </w:rPr>
        <w:tab/>
      </w:r>
      <w:r>
        <w:rPr>
          <w:noProof/>
        </w:rPr>
        <w:fldChar w:fldCharType="begin"/>
      </w:r>
      <w:r>
        <w:rPr>
          <w:noProof/>
        </w:rPr>
        <w:instrText xml:space="preserve"> PAGEREF _Toc158712109 \h </w:instrText>
      </w:r>
      <w:r>
        <w:rPr>
          <w:noProof/>
        </w:rPr>
      </w:r>
      <w:r>
        <w:rPr>
          <w:noProof/>
        </w:rPr>
        <w:fldChar w:fldCharType="separate"/>
      </w:r>
      <w:r>
        <w:rPr>
          <w:noProof/>
        </w:rPr>
        <w:t>228</w:t>
      </w:r>
      <w:r>
        <w:rPr>
          <w:noProof/>
        </w:rPr>
        <w:fldChar w:fldCharType="end"/>
      </w:r>
    </w:p>
    <w:p w14:paraId="2EA58283" w14:textId="09FC002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7.2A.13  Notice of withdrawal of infringement notice</w:t>
      </w:r>
      <w:r>
        <w:rPr>
          <w:noProof/>
        </w:rPr>
        <w:tab/>
      </w:r>
      <w:r>
        <w:rPr>
          <w:noProof/>
        </w:rPr>
        <w:fldChar w:fldCharType="begin"/>
      </w:r>
      <w:r>
        <w:rPr>
          <w:noProof/>
        </w:rPr>
        <w:instrText xml:space="preserve"> PAGEREF _Toc158712110 \h </w:instrText>
      </w:r>
      <w:r>
        <w:rPr>
          <w:noProof/>
        </w:rPr>
      </w:r>
      <w:r>
        <w:rPr>
          <w:noProof/>
        </w:rPr>
        <w:fldChar w:fldCharType="separate"/>
      </w:r>
      <w:r>
        <w:rPr>
          <w:noProof/>
        </w:rPr>
        <w:t>228</w:t>
      </w:r>
      <w:r>
        <w:rPr>
          <w:noProof/>
        </w:rPr>
        <w:fldChar w:fldCharType="end"/>
      </w:r>
    </w:p>
    <w:p w14:paraId="1E8CA147" w14:textId="3BB379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7.2A.14  Withdrawal of notice after compliance</w:t>
      </w:r>
      <w:r>
        <w:rPr>
          <w:noProof/>
        </w:rPr>
        <w:tab/>
      </w:r>
      <w:r>
        <w:rPr>
          <w:noProof/>
        </w:rPr>
        <w:fldChar w:fldCharType="begin"/>
      </w:r>
      <w:r>
        <w:rPr>
          <w:noProof/>
        </w:rPr>
        <w:instrText xml:space="preserve"> PAGEREF _Toc158712111 \h </w:instrText>
      </w:r>
      <w:r>
        <w:rPr>
          <w:noProof/>
        </w:rPr>
      </w:r>
      <w:r>
        <w:rPr>
          <w:noProof/>
        </w:rPr>
        <w:fldChar w:fldCharType="separate"/>
      </w:r>
      <w:r>
        <w:rPr>
          <w:noProof/>
        </w:rPr>
        <w:t>229</w:t>
      </w:r>
      <w:r>
        <w:rPr>
          <w:noProof/>
        </w:rPr>
        <w:fldChar w:fldCharType="end"/>
      </w:r>
    </w:p>
    <w:p w14:paraId="1413D16D" w14:textId="58EA31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7.2A.15  Publication of details of infringement notice</w:t>
      </w:r>
      <w:r>
        <w:rPr>
          <w:noProof/>
        </w:rPr>
        <w:tab/>
      </w:r>
      <w:r>
        <w:rPr>
          <w:noProof/>
        </w:rPr>
        <w:fldChar w:fldCharType="begin"/>
      </w:r>
      <w:r>
        <w:rPr>
          <w:noProof/>
        </w:rPr>
        <w:instrText xml:space="preserve"> PAGEREF _Toc158712112 \h </w:instrText>
      </w:r>
      <w:r>
        <w:rPr>
          <w:noProof/>
        </w:rPr>
      </w:r>
      <w:r>
        <w:rPr>
          <w:noProof/>
        </w:rPr>
        <w:fldChar w:fldCharType="separate"/>
      </w:r>
      <w:r>
        <w:rPr>
          <w:noProof/>
        </w:rPr>
        <w:t>229</w:t>
      </w:r>
      <w:r>
        <w:rPr>
          <w:noProof/>
        </w:rPr>
        <w:fldChar w:fldCharType="end"/>
      </w:r>
    </w:p>
    <w:p w14:paraId="5755F1A7" w14:textId="6A31A21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7.3</w:t>
      </w:r>
      <w:r w:rsidRPr="00FC743A">
        <w:rPr>
          <w:noProof/>
          <w:color w:val="000000"/>
        </w:rPr>
        <w:t>—</w:t>
      </w:r>
      <w:r>
        <w:rPr>
          <w:noProof/>
        </w:rPr>
        <w:t>Licensing of clearing and settlement facilities</w:t>
      </w:r>
      <w:r>
        <w:rPr>
          <w:noProof/>
        </w:rPr>
        <w:tab/>
      </w:r>
      <w:r>
        <w:rPr>
          <w:noProof/>
        </w:rPr>
        <w:fldChar w:fldCharType="begin"/>
      </w:r>
      <w:r>
        <w:rPr>
          <w:noProof/>
        </w:rPr>
        <w:instrText xml:space="preserve"> PAGEREF _Toc158712113 \h </w:instrText>
      </w:r>
      <w:r>
        <w:rPr>
          <w:noProof/>
        </w:rPr>
      </w:r>
      <w:r>
        <w:rPr>
          <w:noProof/>
        </w:rPr>
        <w:fldChar w:fldCharType="separate"/>
      </w:r>
      <w:r>
        <w:rPr>
          <w:noProof/>
        </w:rPr>
        <w:t>230</w:t>
      </w:r>
      <w:r>
        <w:rPr>
          <w:noProof/>
        </w:rPr>
        <w:fldChar w:fldCharType="end"/>
      </w:r>
    </w:p>
    <w:p w14:paraId="17247035" w14:textId="55EFABE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Regulation of CS facility licensees: licensees’ obligations</w:t>
      </w:r>
      <w:r>
        <w:rPr>
          <w:noProof/>
        </w:rPr>
        <w:tab/>
      </w:r>
      <w:r>
        <w:rPr>
          <w:noProof/>
        </w:rPr>
        <w:fldChar w:fldCharType="begin"/>
      </w:r>
      <w:r>
        <w:rPr>
          <w:noProof/>
        </w:rPr>
        <w:instrText xml:space="preserve"> PAGEREF _Toc158712114 \h </w:instrText>
      </w:r>
      <w:r>
        <w:rPr>
          <w:noProof/>
        </w:rPr>
      </w:r>
      <w:r>
        <w:rPr>
          <w:noProof/>
        </w:rPr>
        <w:fldChar w:fldCharType="separate"/>
      </w:r>
      <w:r>
        <w:rPr>
          <w:noProof/>
        </w:rPr>
        <w:t>230</w:t>
      </w:r>
      <w:r>
        <w:rPr>
          <w:noProof/>
        </w:rPr>
        <w:fldChar w:fldCharType="end"/>
      </w:r>
    </w:p>
    <w:p w14:paraId="6BF1613E" w14:textId="4EDC36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7.3.01  Obligation to inform ASIC of certain matters: becoming director, secretary or executive officer of CS facility licensee</w:t>
      </w:r>
      <w:r>
        <w:rPr>
          <w:noProof/>
        </w:rPr>
        <w:tab/>
      </w:r>
      <w:r>
        <w:rPr>
          <w:noProof/>
        </w:rPr>
        <w:fldChar w:fldCharType="begin"/>
      </w:r>
      <w:r>
        <w:rPr>
          <w:noProof/>
        </w:rPr>
        <w:instrText xml:space="preserve"> PAGEREF _Toc158712115 \h </w:instrText>
      </w:r>
      <w:r>
        <w:rPr>
          <w:noProof/>
        </w:rPr>
      </w:r>
      <w:r>
        <w:rPr>
          <w:noProof/>
        </w:rPr>
        <w:fldChar w:fldCharType="separate"/>
      </w:r>
      <w:r>
        <w:rPr>
          <w:noProof/>
        </w:rPr>
        <w:t>230</w:t>
      </w:r>
      <w:r>
        <w:rPr>
          <w:noProof/>
        </w:rPr>
        <w:fldChar w:fldCharType="end"/>
      </w:r>
    </w:p>
    <w:p w14:paraId="262C6603" w14:textId="697A23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7.3.02  Obligation to inform ASIC of certain matters: ceasing to be director, secretary or executive officer of CS facility licensee</w:t>
      </w:r>
      <w:r>
        <w:rPr>
          <w:noProof/>
        </w:rPr>
        <w:tab/>
      </w:r>
      <w:r>
        <w:rPr>
          <w:noProof/>
        </w:rPr>
        <w:fldChar w:fldCharType="begin"/>
      </w:r>
      <w:r>
        <w:rPr>
          <w:noProof/>
        </w:rPr>
        <w:instrText xml:space="preserve"> PAGEREF _Toc158712116 \h </w:instrText>
      </w:r>
      <w:r>
        <w:rPr>
          <w:noProof/>
        </w:rPr>
      </w:r>
      <w:r>
        <w:rPr>
          <w:noProof/>
        </w:rPr>
        <w:fldChar w:fldCharType="separate"/>
      </w:r>
      <w:r>
        <w:rPr>
          <w:noProof/>
        </w:rPr>
        <w:t>230</w:t>
      </w:r>
      <w:r>
        <w:rPr>
          <w:noProof/>
        </w:rPr>
        <w:fldChar w:fldCharType="end"/>
      </w:r>
    </w:p>
    <w:p w14:paraId="10523684" w14:textId="62D0F98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7.3.03  Obligation to inform ASIC of certain matters: voting power in CS facility licensee</w:t>
      </w:r>
      <w:r>
        <w:rPr>
          <w:noProof/>
        </w:rPr>
        <w:tab/>
      </w:r>
      <w:r>
        <w:rPr>
          <w:noProof/>
        </w:rPr>
        <w:fldChar w:fldCharType="begin"/>
      </w:r>
      <w:r>
        <w:rPr>
          <w:noProof/>
        </w:rPr>
        <w:instrText xml:space="preserve"> PAGEREF _Toc158712117 \h </w:instrText>
      </w:r>
      <w:r>
        <w:rPr>
          <w:noProof/>
        </w:rPr>
      </w:r>
      <w:r>
        <w:rPr>
          <w:noProof/>
        </w:rPr>
        <w:fldChar w:fldCharType="separate"/>
      </w:r>
      <w:r>
        <w:rPr>
          <w:noProof/>
        </w:rPr>
        <w:t>230</w:t>
      </w:r>
      <w:r>
        <w:rPr>
          <w:noProof/>
        </w:rPr>
        <w:fldChar w:fldCharType="end"/>
      </w:r>
    </w:p>
    <w:p w14:paraId="3D022CFC" w14:textId="19367EB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7.3.04  Annual report of CS facility licensee</w:t>
      </w:r>
      <w:r>
        <w:rPr>
          <w:noProof/>
        </w:rPr>
        <w:tab/>
      </w:r>
      <w:r>
        <w:rPr>
          <w:noProof/>
        </w:rPr>
        <w:fldChar w:fldCharType="begin"/>
      </w:r>
      <w:r>
        <w:rPr>
          <w:noProof/>
        </w:rPr>
        <w:instrText xml:space="preserve"> PAGEREF _Toc158712118 \h </w:instrText>
      </w:r>
      <w:r>
        <w:rPr>
          <w:noProof/>
        </w:rPr>
      </w:r>
      <w:r>
        <w:rPr>
          <w:noProof/>
        </w:rPr>
        <w:fldChar w:fldCharType="separate"/>
      </w:r>
      <w:r>
        <w:rPr>
          <w:noProof/>
        </w:rPr>
        <w:t>231</w:t>
      </w:r>
      <w:r>
        <w:rPr>
          <w:noProof/>
        </w:rPr>
        <w:fldChar w:fldCharType="end"/>
      </w:r>
    </w:p>
    <w:p w14:paraId="1784A0E2" w14:textId="5F9CE84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Regulation of CS facility licensees: the facility’s operating rules and procedures</w:t>
      </w:r>
      <w:r>
        <w:rPr>
          <w:noProof/>
        </w:rPr>
        <w:tab/>
      </w:r>
      <w:r>
        <w:rPr>
          <w:noProof/>
        </w:rPr>
        <w:fldChar w:fldCharType="begin"/>
      </w:r>
      <w:r>
        <w:rPr>
          <w:noProof/>
        </w:rPr>
        <w:instrText xml:space="preserve"> PAGEREF _Toc158712119 \h </w:instrText>
      </w:r>
      <w:r>
        <w:rPr>
          <w:noProof/>
        </w:rPr>
      </w:r>
      <w:r>
        <w:rPr>
          <w:noProof/>
        </w:rPr>
        <w:fldChar w:fldCharType="separate"/>
      </w:r>
      <w:r>
        <w:rPr>
          <w:noProof/>
        </w:rPr>
        <w:t>232</w:t>
      </w:r>
      <w:r>
        <w:rPr>
          <w:noProof/>
        </w:rPr>
        <w:fldChar w:fldCharType="end"/>
      </w:r>
    </w:p>
    <w:p w14:paraId="561CAFB4" w14:textId="1845A83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7.3.05  Content of licensed CS facility’s operating rules</w:t>
      </w:r>
      <w:r>
        <w:rPr>
          <w:noProof/>
        </w:rPr>
        <w:tab/>
      </w:r>
      <w:r>
        <w:rPr>
          <w:noProof/>
        </w:rPr>
        <w:fldChar w:fldCharType="begin"/>
      </w:r>
      <w:r>
        <w:rPr>
          <w:noProof/>
        </w:rPr>
        <w:instrText xml:space="preserve"> PAGEREF _Toc158712120 \h </w:instrText>
      </w:r>
      <w:r>
        <w:rPr>
          <w:noProof/>
        </w:rPr>
      </w:r>
      <w:r>
        <w:rPr>
          <w:noProof/>
        </w:rPr>
        <w:fldChar w:fldCharType="separate"/>
      </w:r>
      <w:r>
        <w:rPr>
          <w:noProof/>
        </w:rPr>
        <w:t>232</w:t>
      </w:r>
      <w:r>
        <w:rPr>
          <w:noProof/>
        </w:rPr>
        <w:fldChar w:fldCharType="end"/>
      </w:r>
    </w:p>
    <w:p w14:paraId="258D6FAC" w14:textId="46B9F6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7.3.06  Content of licensed CS facility’s written procedures</w:t>
      </w:r>
      <w:r>
        <w:rPr>
          <w:noProof/>
        </w:rPr>
        <w:tab/>
      </w:r>
      <w:r>
        <w:rPr>
          <w:noProof/>
        </w:rPr>
        <w:fldChar w:fldCharType="begin"/>
      </w:r>
      <w:r>
        <w:rPr>
          <w:noProof/>
        </w:rPr>
        <w:instrText xml:space="preserve"> PAGEREF _Toc158712121 \h </w:instrText>
      </w:r>
      <w:r>
        <w:rPr>
          <w:noProof/>
        </w:rPr>
      </w:r>
      <w:r>
        <w:rPr>
          <w:noProof/>
        </w:rPr>
        <w:fldChar w:fldCharType="separate"/>
      </w:r>
      <w:r>
        <w:rPr>
          <w:noProof/>
        </w:rPr>
        <w:t>232</w:t>
      </w:r>
      <w:r>
        <w:rPr>
          <w:noProof/>
        </w:rPr>
        <w:fldChar w:fldCharType="end"/>
      </w:r>
    </w:p>
    <w:p w14:paraId="3E01E6D0" w14:textId="671BE7C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Regulation of CS facility licensees: powers of the Minister and ASIC</w:t>
      </w:r>
      <w:r>
        <w:rPr>
          <w:noProof/>
        </w:rPr>
        <w:tab/>
      </w:r>
      <w:r>
        <w:rPr>
          <w:noProof/>
        </w:rPr>
        <w:fldChar w:fldCharType="begin"/>
      </w:r>
      <w:r>
        <w:rPr>
          <w:noProof/>
        </w:rPr>
        <w:instrText xml:space="preserve"> PAGEREF _Toc158712122 \h </w:instrText>
      </w:r>
      <w:r>
        <w:rPr>
          <w:noProof/>
        </w:rPr>
      </w:r>
      <w:r>
        <w:rPr>
          <w:noProof/>
        </w:rPr>
        <w:fldChar w:fldCharType="separate"/>
      </w:r>
      <w:r>
        <w:rPr>
          <w:noProof/>
        </w:rPr>
        <w:t>233</w:t>
      </w:r>
      <w:r>
        <w:rPr>
          <w:noProof/>
        </w:rPr>
        <w:fldChar w:fldCharType="end"/>
      </w:r>
    </w:p>
    <w:p w14:paraId="6A007E6B" w14:textId="002BD1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7.3.07  Agencies for compliance assessment</w:t>
      </w:r>
      <w:r>
        <w:rPr>
          <w:noProof/>
        </w:rPr>
        <w:tab/>
      </w:r>
      <w:r>
        <w:rPr>
          <w:noProof/>
        </w:rPr>
        <w:fldChar w:fldCharType="begin"/>
      </w:r>
      <w:r>
        <w:rPr>
          <w:noProof/>
        </w:rPr>
        <w:instrText xml:space="preserve"> PAGEREF _Toc158712123 \h </w:instrText>
      </w:r>
      <w:r>
        <w:rPr>
          <w:noProof/>
        </w:rPr>
      </w:r>
      <w:r>
        <w:rPr>
          <w:noProof/>
        </w:rPr>
        <w:fldChar w:fldCharType="separate"/>
      </w:r>
      <w:r>
        <w:rPr>
          <w:noProof/>
        </w:rPr>
        <w:t>233</w:t>
      </w:r>
      <w:r>
        <w:rPr>
          <w:noProof/>
        </w:rPr>
        <w:fldChar w:fldCharType="end"/>
      </w:r>
    </w:p>
    <w:p w14:paraId="2FFECC4D" w14:textId="63330C9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7.3.08  Agencies for compliance assessment</w:t>
      </w:r>
      <w:r>
        <w:rPr>
          <w:noProof/>
        </w:rPr>
        <w:tab/>
      </w:r>
      <w:r>
        <w:rPr>
          <w:noProof/>
        </w:rPr>
        <w:fldChar w:fldCharType="begin"/>
      </w:r>
      <w:r>
        <w:rPr>
          <w:noProof/>
        </w:rPr>
        <w:instrText xml:space="preserve"> PAGEREF _Toc158712124 \h </w:instrText>
      </w:r>
      <w:r>
        <w:rPr>
          <w:noProof/>
        </w:rPr>
      </w:r>
      <w:r>
        <w:rPr>
          <w:noProof/>
        </w:rPr>
        <w:fldChar w:fldCharType="separate"/>
      </w:r>
      <w:r>
        <w:rPr>
          <w:noProof/>
        </w:rPr>
        <w:t>233</w:t>
      </w:r>
      <w:r>
        <w:rPr>
          <w:noProof/>
        </w:rPr>
        <w:fldChar w:fldCharType="end"/>
      </w:r>
    </w:p>
    <w:p w14:paraId="5CF0825C" w14:textId="3F04398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w:t>
      </w:r>
      <w:r w:rsidRPr="00FC743A">
        <w:rPr>
          <w:noProof/>
          <w:color w:val="000000"/>
        </w:rPr>
        <w:t>—</w:t>
      </w:r>
      <w:r>
        <w:rPr>
          <w:noProof/>
        </w:rPr>
        <w:t>The Australian CS facility licence: applications (general)</w:t>
      </w:r>
      <w:r>
        <w:rPr>
          <w:noProof/>
        </w:rPr>
        <w:tab/>
      </w:r>
      <w:r>
        <w:rPr>
          <w:noProof/>
        </w:rPr>
        <w:fldChar w:fldCharType="begin"/>
      </w:r>
      <w:r>
        <w:rPr>
          <w:noProof/>
        </w:rPr>
        <w:instrText xml:space="preserve"> PAGEREF _Toc158712125 \h </w:instrText>
      </w:r>
      <w:r>
        <w:rPr>
          <w:noProof/>
        </w:rPr>
      </w:r>
      <w:r>
        <w:rPr>
          <w:noProof/>
        </w:rPr>
        <w:fldChar w:fldCharType="separate"/>
      </w:r>
      <w:r>
        <w:rPr>
          <w:noProof/>
        </w:rPr>
        <w:t>234</w:t>
      </w:r>
      <w:r>
        <w:rPr>
          <w:noProof/>
        </w:rPr>
        <w:fldChar w:fldCharType="end"/>
      </w:r>
    </w:p>
    <w:p w14:paraId="11C5DBD7" w14:textId="26BF38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7.3.09  Application of Division 4</w:t>
      </w:r>
      <w:r>
        <w:rPr>
          <w:noProof/>
        </w:rPr>
        <w:tab/>
      </w:r>
      <w:r>
        <w:rPr>
          <w:noProof/>
        </w:rPr>
        <w:fldChar w:fldCharType="begin"/>
      </w:r>
      <w:r>
        <w:rPr>
          <w:noProof/>
        </w:rPr>
        <w:instrText xml:space="preserve"> PAGEREF _Toc158712126 \h </w:instrText>
      </w:r>
      <w:r>
        <w:rPr>
          <w:noProof/>
        </w:rPr>
      </w:r>
      <w:r>
        <w:rPr>
          <w:noProof/>
        </w:rPr>
        <w:fldChar w:fldCharType="separate"/>
      </w:r>
      <w:r>
        <w:rPr>
          <w:noProof/>
        </w:rPr>
        <w:t>234</w:t>
      </w:r>
      <w:r>
        <w:rPr>
          <w:noProof/>
        </w:rPr>
        <w:fldChar w:fldCharType="end"/>
      </w:r>
    </w:p>
    <w:p w14:paraId="6E8F8777" w14:textId="0EE5E5D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7.3.10  Information</w:t>
      </w:r>
      <w:r>
        <w:rPr>
          <w:noProof/>
        </w:rPr>
        <w:tab/>
      </w:r>
      <w:r>
        <w:rPr>
          <w:noProof/>
        </w:rPr>
        <w:fldChar w:fldCharType="begin"/>
      </w:r>
      <w:r>
        <w:rPr>
          <w:noProof/>
        </w:rPr>
        <w:instrText xml:space="preserve"> PAGEREF _Toc158712127 \h </w:instrText>
      </w:r>
      <w:r>
        <w:rPr>
          <w:noProof/>
        </w:rPr>
      </w:r>
      <w:r>
        <w:rPr>
          <w:noProof/>
        </w:rPr>
        <w:fldChar w:fldCharType="separate"/>
      </w:r>
      <w:r>
        <w:rPr>
          <w:noProof/>
        </w:rPr>
        <w:t>234</w:t>
      </w:r>
      <w:r>
        <w:rPr>
          <w:noProof/>
        </w:rPr>
        <w:fldChar w:fldCharType="end"/>
      </w:r>
    </w:p>
    <w:p w14:paraId="134CE18F" w14:textId="4384761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7.3.11  Documents</w:t>
      </w:r>
      <w:r>
        <w:rPr>
          <w:noProof/>
        </w:rPr>
        <w:tab/>
      </w:r>
      <w:r>
        <w:rPr>
          <w:noProof/>
        </w:rPr>
        <w:fldChar w:fldCharType="begin"/>
      </w:r>
      <w:r>
        <w:rPr>
          <w:noProof/>
        </w:rPr>
        <w:instrText xml:space="preserve"> PAGEREF _Toc158712128 \h </w:instrText>
      </w:r>
      <w:r>
        <w:rPr>
          <w:noProof/>
        </w:rPr>
      </w:r>
      <w:r>
        <w:rPr>
          <w:noProof/>
        </w:rPr>
        <w:fldChar w:fldCharType="separate"/>
      </w:r>
      <w:r>
        <w:rPr>
          <w:noProof/>
        </w:rPr>
        <w:t>234</w:t>
      </w:r>
      <w:r>
        <w:rPr>
          <w:noProof/>
        </w:rPr>
        <w:fldChar w:fldCharType="end"/>
      </w:r>
    </w:p>
    <w:p w14:paraId="0775F236" w14:textId="48C83FF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w:t>
      </w:r>
      <w:r w:rsidRPr="00FC743A">
        <w:rPr>
          <w:noProof/>
          <w:color w:val="000000"/>
        </w:rPr>
        <w:t>—</w:t>
      </w:r>
      <w:r>
        <w:rPr>
          <w:noProof/>
        </w:rPr>
        <w:t>The Australian CS facility licence: applications (overseas clearing and settlement facility)</w:t>
      </w:r>
      <w:r>
        <w:rPr>
          <w:noProof/>
        </w:rPr>
        <w:tab/>
      </w:r>
      <w:r>
        <w:rPr>
          <w:noProof/>
        </w:rPr>
        <w:fldChar w:fldCharType="begin"/>
      </w:r>
      <w:r>
        <w:rPr>
          <w:noProof/>
        </w:rPr>
        <w:instrText xml:space="preserve"> PAGEREF _Toc158712129 \h </w:instrText>
      </w:r>
      <w:r>
        <w:rPr>
          <w:noProof/>
        </w:rPr>
      </w:r>
      <w:r>
        <w:rPr>
          <w:noProof/>
        </w:rPr>
        <w:fldChar w:fldCharType="separate"/>
      </w:r>
      <w:r>
        <w:rPr>
          <w:noProof/>
        </w:rPr>
        <w:t>236</w:t>
      </w:r>
      <w:r>
        <w:rPr>
          <w:noProof/>
        </w:rPr>
        <w:fldChar w:fldCharType="end"/>
      </w:r>
    </w:p>
    <w:p w14:paraId="52D9AB20" w14:textId="092FAAB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7.3.12  Application of Division 5</w:t>
      </w:r>
      <w:r>
        <w:rPr>
          <w:noProof/>
        </w:rPr>
        <w:tab/>
      </w:r>
      <w:r>
        <w:rPr>
          <w:noProof/>
        </w:rPr>
        <w:fldChar w:fldCharType="begin"/>
      </w:r>
      <w:r>
        <w:rPr>
          <w:noProof/>
        </w:rPr>
        <w:instrText xml:space="preserve"> PAGEREF _Toc158712130 \h </w:instrText>
      </w:r>
      <w:r>
        <w:rPr>
          <w:noProof/>
        </w:rPr>
      </w:r>
      <w:r>
        <w:rPr>
          <w:noProof/>
        </w:rPr>
        <w:fldChar w:fldCharType="separate"/>
      </w:r>
      <w:r>
        <w:rPr>
          <w:noProof/>
        </w:rPr>
        <w:t>236</w:t>
      </w:r>
      <w:r>
        <w:rPr>
          <w:noProof/>
        </w:rPr>
        <w:fldChar w:fldCharType="end"/>
      </w:r>
    </w:p>
    <w:p w14:paraId="0386DC98" w14:textId="7ACF40C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7.3.13  Information</w:t>
      </w:r>
      <w:r>
        <w:rPr>
          <w:noProof/>
        </w:rPr>
        <w:tab/>
      </w:r>
      <w:r>
        <w:rPr>
          <w:noProof/>
        </w:rPr>
        <w:fldChar w:fldCharType="begin"/>
      </w:r>
      <w:r>
        <w:rPr>
          <w:noProof/>
        </w:rPr>
        <w:instrText xml:space="preserve"> PAGEREF _Toc158712131 \h </w:instrText>
      </w:r>
      <w:r>
        <w:rPr>
          <w:noProof/>
        </w:rPr>
      </w:r>
      <w:r>
        <w:rPr>
          <w:noProof/>
        </w:rPr>
        <w:fldChar w:fldCharType="separate"/>
      </w:r>
      <w:r>
        <w:rPr>
          <w:noProof/>
        </w:rPr>
        <w:t>236</w:t>
      </w:r>
      <w:r>
        <w:rPr>
          <w:noProof/>
        </w:rPr>
        <w:fldChar w:fldCharType="end"/>
      </w:r>
    </w:p>
    <w:p w14:paraId="67C97142" w14:textId="6FF9302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7.3.14  Documents</w:t>
      </w:r>
      <w:r>
        <w:rPr>
          <w:noProof/>
        </w:rPr>
        <w:tab/>
      </w:r>
      <w:r>
        <w:rPr>
          <w:noProof/>
        </w:rPr>
        <w:fldChar w:fldCharType="begin"/>
      </w:r>
      <w:r>
        <w:rPr>
          <w:noProof/>
        </w:rPr>
        <w:instrText xml:space="preserve"> PAGEREF _Toc158712132 \h </w:instrText>
      </w:r>
      <w:r>
        <w:rPr>
          <w:noProof/>
        </w:rPr>
      </w:r>
      <w:r>
        <w:rPr>
          <w:noProof/>
        </w:rPr>
        <w:fldChar w:fldCharType="separate"/>
      </w:r>
      <w:r>
        <w:rPr>
          <w:noProof/>
        </w:rPr>
        <w:t>236</w:t>
      </w:r>
      <w:r>
        <w:rPr>
          <w:noProof/>
        </w:rPr>
        <w:fldChar w:fldCharType="end"/>
      </w:r>
    </w:p>
    <w:p w14:paraId="360ADA1A" w14:textId="7CEB8A0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7.4</w:t>
      </w:r>
      <w:r w:rsidRPr="00FC743A">
        <w:rPr>
          <w:noProof/>
          <w:color w:val="000000"/>
        </w:rPr>
        <w:t>—</w:t>
      </w:r>
      <w:r>
        <w:rPr>
          <w:noProof/>
        </w:rPr>
        <w:t>Limits on involvement with licensees</w:t>
      </w:r>
      <w:r>
        <w:rPr>
          <w:noProof/>
        </w:rPr>
        <w:tab/>
      </w:r>
      <w:r>
        <w:rPr>
          <w:noProof/>
        </w:rPr>
        <w:fldChar w:fldCharType="begin"/>
      </w:r>
      <w:r>
        <w:rPr>
          <w:noProof/>
        </w:rPr>
        <w:instrText xml:space="preserve"> PAGEREF _Toc158712133 \h </w:instrText>
      </w:r>
      <w:r>
        <w:rPr>
          <w:noProof/>
        </w:rPr>
      </w:r>
      <w:r>
        <w:rPr>
          <w:noProof/>
        </w:rPr>
        <w:fldChar w:fldCharType="separate"/>
      </w:r>
      <w:r>
        <w:rPr>
          <w:noProof/>
        </w:rPr>
        <w:t>237</w:t>
      </w:r>
      <w:r>
        <w:rPr>
          <w:noProof/>
        </w:rPr>
        <w:fldChar w:fldCharType="end"/>
      </w:r>
    </w:p>
    <w:p w14:paraId="595DEB37" w14:textId="001983E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7.4.01  Meaning of </w:t>
      </w:r>
      <w:r w:rsidRPr="00FC743A">
        <w:rPr>
          <w:i/>
          <w:noProof/>
        </w:rPr>
        <w:t>widely held market body</w:t>
      </w:r>
      <w:r>
        <w:rPr>
          <w:noProof/>
        </w:rPr>
        <w:t>—prescribed bodies corporate</w:t>
      </w:r>
      <w:r>
        <w:rPr>
          <w:noProof/>
        </w:rPr>
        <w:tab/>
      </w:r>
      <w:r>
        <w:rPr>
          <w:noProof/>
        </w:rPr>
        <w:fldChar w:fldCharType="begin"/>
      </w:r>
      <w:r>
        <w:rPr>
          <w:noProof/>
        </w:rPr>
        <w:instrText xml:space="preserve"> PAGEREF _Toc158712134 \h </w:instrText>
      </w:r>
      <w:r>
        <w:rPr>
          <w:noProof/>
        </w:rPr>
      </w:r>
      <w:r>
        <w:rPr>
          <w:noProof/>
        </w:rPr>
        <w:fldChar w:fldCharType="separate"/>
      </w:r>
      <w:r>
        <w:rPr>
          <w:noProof/>
        </w:rPr>
        <w:t>237</w:t>
      </w:r>
      <w:r>
        <w:rPr>
          <w:noProof/>
        </w:rPr>
        <w:fldChar w:fldCharType="end"/>
      </w:r>
    </w:p>
    <w:p w14:paraId="031579AC" w14:textId="3CED36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7.4.02  Record</w:t>
      </w:r>
      <w:r>
        <w:rPr>
          <w:noProof/>
        </w:rPr>
        <w:noBreakHyphen/>
        <w:t>keeping: market licensee</w:t>
      </w:r>
      <w:r>
        <w:rPr>
          <w:noProof/>
        </w:rPr>
        <w:tab/>
      </w:r>
      <w:r>
        <w:rPr>
          <w:noProof/>
        </w:rPr>
        <w:fldChar w:fldCharType="begin"/>
      </w:r>
      <w:r>
        <w:rPr>
          <w:noProof/>
        </w:rPr>
        <w:instrText xml:space="preserve"> PAGEREF _Toc158712135 \h </w:instrText>
      </w:r>
      <w:r>
        <w:rPr>
          <w:noProof/>
        </w:rPr>
      </w:r>
      <w:r>
        <w:rPr>
          <w:noProof/>
        </w:rPr>
        <w:fldChar w:fldCharType="separate"/>
      </w:r>
      <w:r>
        <w:rPr>
          <w:noProof/>
        </w:rPr>
        <w:t>237</w:t>
      </w:r>
      <w:r>
        <w:rPr>
          <w:noProof/>
        </w:rPr>
        <w:fldChar w:fldCharType="end"/>
      </w:r>
    </w:p>
    <w:p w14:paraId="69E9630B" w14:textId="1613828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7.4.03  Record</w:t>
      </w:r>
      <w:r>
        <w:rPr>
          <w:noProof/>
        </w:rPr>
        <w:noBreakHyphen/>
        <w:t>keeping: CS facility licensee</w:t>
      </w:r>
      <w:r>
        <w:rPr>
          <w:noProof/>
        </w:rPr>
        <w:tab/>
      </w:r>
      <w:r>
        <w:rPr>
          <w:noProof/>
        </w:rPr>
        <w:fldChar w:fldCharType="begin"/>
      </w:r>
      <w:r>
        <w:rPr>
          <w:noProof/>
        </w:rPr>
        <w:instrText xml:space="preserve"> PAGEREF _Toc158712136 \h </w:instrText>
      </w:r>
      <w:r>
        <w:rPr>
          <w:noProof/>
        </w:rPr>
      </w:r>
      <w:r>
        <w:rPr>
          <w:noProof/>
        </w:rPr>
        <w:fldChar w:fldCharType="separate"/>
      </w:r>
      <w:r>
        <w:rPr>
          <w:noProof/>
        </w:rPr>
        <w:t>237</w:t>
      </w:r>
      <w:r>
        <w:rPr>
          <w:noProof/>
        </w:rPr>
        <w:fldChar w:fldCharType="end"/>
      </w:r>
    </w:p>
    <w:p w14:paraId="3989999B" w14:textId="08406D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7.4.04  Information for widely held market body</w:t>
      </w:r>
      <w:r>
        <w:rPr>
          <w:noProof/>
        </w:rPr>
        <w:tab/>
      </w:r>
      <w:r>
        <w:rPr>
          <w:noProof/>
        </w:rPr>
        <w:fldChar w:fldCharType="begin"/>
      </w:r>
      <w:r>
        <w:rPr>
          <w:noProof/>
        </w:rPr>
        <w:instrText xml:space="preserve"> PAGEREF _Toc158712137 \h </w:instrText>
      </w:r>
      <w:r>
        <w:rPr>
          <w:noProof/>
        </w:rPr>
      </w:r>
      <w:r>
        <w:rPr>
          <w:noProof/>
        </w:rPr>
        <w:fldChar w:fldCharType="separate"/>
      </w:r>
      <w:r>
        <w:rPr>
          <w:noProof/>
        </w:rPr>
        <w:t>237</w:t>
      </w:r>
      <w:r>
        <w:rPr>
          <w:noProof/>
        </w:rPr>
        <w:fldChar w:fldCharType="end"/>
      </w:r>
    </w:p>
    <w:p w14:paraId="6ED69C68" w14:textId="5DC65E7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7.5</w:t>
      </w:r>
      <w:r w:rsidRPr="00FC743A">
        <w:rPr>
          <w:noProof/>
          <w:color w:val="000000"/>
        </w:rPr>
        <w:t>—</w:t>
      </w:r>
      <w:r>
        <w:rPr>
          <w:noProof/>
        </w:rPr>
        <w:t>Compensation regimes for financial markets</w:t>
      </w:r>
      <w:r>
        <w:rPr>
          <w:noProof/>
        </w:rPr>
        <w:tab/>
      </w:r>
      <w:r>
        <w:rPr>
          <w:noProof/>
        </w:rPr>
        <w:fldChar w:fldCharType="begin"/>
      </w:r>
      <w:r>
        <w:rPr>
          <w:noProof/>
        </w:rPr>
        <w:instrText xml:space="preserve"> PAGEREF _Toc158712138 \h </w:instrText>
      </w:r>
      <w:r>
        <w:rPr>
          <w:noProof/>
        </w:rPr>
      </w:r>
      <w:r>
        <w:rPr>
          <w:noProof/>
        </w:rPr>
        <w:fldChar w:fldCharType="separate"/>
      </w:r>
      <w:r>
        <w:rPr>
          <w:noProof/>
        </w:rPr>
        <w:t>238</w:t>
      </w:r>
      <w:r>
        <w:rPr>
          <w:noProof/>
        </w:rPr>
        <w:fldChar w:fldCharType="end"/>
      </w:r>
    </w:p>
    <w:p w14:paraId="3A3B3E76" w14:textId="24D4419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1—Preliminary</w:t>
      </w:r>
      <w:r>
        <w:rPr>
          <w:noProof/>
        </w:rPr>
        <w:tab/>
      </w:r>
      <w:r>
        <w:rPr>
          <w:noProof/>
        </w:rPr>
        <w:fldChar w:fldCharType="begin"/>
      </w:r>
      <w:r>
        <w:rPr>
          <w:noProof/>
        </w:rPr>
        <w:instrText xml:space="preserve"> PAGEREF _Toc158712139 \h </w:instrText>
      </w:r>
      <w:r>
        <w:rPr>
          <w:noProof/>
        </w:rPr>
      </w:r>
      <w:r>
        <w:rPr>
          <w:noProof/>
        </w:rPr>
        <w:fldChar w:fldCharType="separate"/>
      </w:r>
      <w:r>
        <w:rPr>
          <w:noProof/>
        </w:rPr>
        <w:t>238</w:t>
      </w:r>
      <w:r>
        <w:rPr>
          <w:noProof/>
        </w:rPr>
        <w:fldChar w:fldCharType="end"/>
      </w:r>
    </w:p>
    <w:p w14:paraId="0DD8184D" w14:textId="655529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7.5.01  Definitions for Part 7.5</w:t>
      </w:r>
      <w:r>
        <w:rPr>
          <w:noProof/>
        </w:rPr>
        <w:tab/>
      </w:r>
      <w:r>
        <w:rPr>
          <w:noProof/>
        </w:rPr>
        <w:fldChar w:fldCharType="begin"/>
      </w:r>
      <w:r>
        <w:rPr>
          <w:noProof/>
        </w:rPr>
        <w:instrText xml:space="preserve"> PAGEREF _Toc158712140 \h </w:instrText>
      </w:r>
      <w:r>
        <w:rPr>
          <w:noProof/>
        </w:rPr>
      </w:r>
      <w:r>
        <w:rPr>
          <w:noProof/>
        </w:rPr>
        <w:fldChar w:fldCharType="separate"/>
      </w:r>
      <w:r>
        <w:rPr>
          <w:noProof/>
        </w:rPr>
        <w:t>238</w:t>
      </w:r>
      <w:r>
        <w:rPr>
          <w:noProof/>
        </w:rPr>
        <w:fldChar w:fldCharType="end"/>
      </w:r>
    </w:p>
    <w:p w14:paraId="3628F6DF" w14:textId="5FF7FE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7.5.01A  Modification of Act: compensation regimes</w:t>
      </w:r>
      <w:r>
        <w:rPr>
          <w:noProof/>
        </w:rPr>
        <w:tab/>
      </w:r>
      <w:r>
        <w:rPr>
          <w:noProof/>
        </w:rPr>
        <w:fldChar w:fldCharType="begin"/>
      </w:r>
      <w:r>
        <w:rPr>
          <w:noProof/>
        </w:rPr>
        <w:instrText xml:space="preserve"> PAGEREF _Toc158712141 \h </w:instrText>
      </w:r>
      <w:r>
        <w:rPr>
          <w:noProof/>
        </w:rPr>
      </w:r>
      <w:r>
        <w:rPr>
          <w:noProof/>
        </w:rPr>
        <w:fldChar w:fldCharType="separate"/>
      </w:r>
      <w:r>
        <w:rPr>
          <w:noProof/>
        </w:rPr>
        <w:t>239</w:t>
      </w:r>
      <w:r>
        <w:rPr>
          <w:noProof/>
        </w:rPr>
        <w:fldChar w:fldCharType="end"/>
      </w:r>
    </w:p>
    <w:p w14:paraId="5C93ABFE" w14:textId="3ED60F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7.5.02  Meaning of </w:t>
      </w:r>
      <w:r w:rsidRPr="00FC743A">
        <w:rPr>
          <w:i/>
          <w:noProof/>
        </w:rPr>
        <w:t>b</w:t>
      </w:r>
      <w:r w:rsidRPr="00FC743A">
        <w:rPr>
          <w:i/>
          <w:noProof/>
          <w:color w:val="000000"/>
        </w:rPr>
        <w:t>ecoming insolvent</w:t>
      </w:r>
      <w:r>
        <w:rPr>
          <w:noProof/>
        </w:rPr>
        <w:tab/>
      </w:r>
      <w:r>
        <w:rPr>
          <w:noProof/>
        </w:rPr>
        <w:fldChar w:fldCharType="begin"/>
      </w:r>
      <w:r>
        <w:rPr>
          <w:noProof/>
        </w:rPr>
        <w:instrText xml:space="preserve"> PAGEREF _Toc158712142 \h </w:instrText>
      </w:r>
      <w:r>
        <w:rPr>
          <w:noProof/>
        </w:rPr>
      </w:r>
      <w:r>
        <w:rPr>
          <w:noProof/>
        </w:rPr>
        <w:fldChar w:fldCharType="separate"/>
      </w:r>
      <w:r>
        <w:rPr>
          <w:noProof/>
        </w:rPr>
        <w:t>239</w:t>
      </w:r>
      <w:r>
        <w:rPr>
          <w:noProof/>
        </w:rPr>
        <w:fldChar w:fldCharType="end"/>
      </w:r>
    </w:p>
    <w:p w14:paraId="283A0717" w14:textId="0B7A0D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7.5.03  Meaning of </w:t>
      </w:r>
      <w:r w:rsidRPr="00FC743A">
        <w:rPr>
          <w:i/>
          <w:noProof/>
        </w:rPr>
        <w:t>dealer</w:t>
      </w:r>
      <w:r>
        <w:rPr>
          <w:noProof/>
        </w:rPr>
        <w:tab/>
      </w:r>
      <w:r>
        <w:rPr>
          <w:noProof/>
        </w:rPr>
        <w:fldChar w:fldCharType="begin"/>
      </w:r>
      <w:r>
        <w:rPr>
          <w:noProof/>
        </w:rPr>
        <w:instrText xml:space="preserve"> PAGEREF _Toc158712143 \h </w:instrText>
      </w:r>
      <w:r>
        <w:rPr>
          <w:noProof/>
        </w:rPr>
      </w:r>
      <w:r>
        <w:rPr>
          <w:noProof/>
        </w:rPr>
        <w:fldChar w:fldCharType="separate"/>
      </w:r>
      <w:r>
        <w:rPr>
          <w:noProof/>
        </w:rPr>
        <w:t>240</w:t>
      </w:r>
      <w:r>
        <w:rPr>
          <w:noProof/>
        </w:rPr>
        <w:fldChar w:fldCharType="end"/>
      </w:r>
    </w:p>
    <w:p w14:paraId="552ED2B3" w14:textId="088905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7.5.04  Meaning of </w:t>
      </w:r>
      <w:r w:rsidRPr="00FC743A">
        <w:rPr>
          <w:i/>
          <w:noProof/>
        </w:rPr>
        <w:t>excluded person</w:t>
      </w:r>
      <w:r>
        <w:rPr>
          <w:noProof/>
        </w:rPr>
        <w:tab/>
      </w:r>
      <w:r>
        <w:rPr>
          <w:noProof/>
        </w:rPr>
        <w:fldChar w:fldCharType="begin"/>
      </w:r>
      <w:r>
        <w:rPr>
          <w:noProof/>
        </w:rPr>
        <w:instrText xml:space="preserve"> PAGEREF _Toc158712144 \h </w:instrText>
      </w:r>
      <w:r>
        <w:rPr>
          <w:noProof/>
        </w:rPr>
      </w:r>
      <w:r>
        <w:rPr>
          <w:noProof/>
        </w:rPr>
        <w:fldChar w:fldCharType="separate"/>
      </w:r>
      <w:r>
        <w:rPr>
          <w:noProof/>
        </w:rPr>
        <w:t>240</w:t>
      </w:r>
      <w:r>
        <w:rPr>
          <w:noProof/>
        </w:rPr>
        <w:fldChar w:fldCharType="end"/>
      </w:r>
    </w:p>
    <w:p w14:paraId="0055F29A" w14:textId="36125F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7.5.06  Meaning of </w:t>
      </w:r>
      <w:r w:rsidRPr="00FC743A">
        <w:rPr>
          <w:i/>
          <w:noProof/>
        </w:rPr>
        <w:t>sale and purchase of securities</w:t>
      </w:r>
      <w:r>
        <w:rPr>
          <w:noProof/>
        </w:rPr>
        <w:tab/>
      </w:r>
      <w:r>
        <w:rPr>
          <w:noProof/>
        </w:rPr>
        <w:fldChar w:fldCharType="begin"/>
      </w:r>
      <w:r>
        <w:rPr>
          <w:noProof/>
        </w:rPr>
        <w:instrText xml:space="preserve"> PAGEREF _Toc158712145 \h </w:instrText>
      </w:r>
      <w:r>
        <w:rPr>
          <w:noProof/>
        </w:rPr>
      </w:r>
      <w:r>
        <w:rPr>
          <w:noProof/>
        </w:rPr>
        <w:fldChar w:fldCharType="separate"/>
      </w:r>
      <w:r>
        <w:rPr>
          <w:noProof/>
        </w:rPr>
        <w:t>241</w:t>
      </w:r>
      <w:r>
        <w:rPr>
          <w:noProof/>
        </w:rPr>
        <w:fldChar w:fldCharType="end"/>
      </w:r>
    </w:p>
    <w:p w14:paraId="7C489BB0" w14:textId="4ECEFC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7.5.07  Meaning of </w:t>
      </w:r>
      <w:r w:rsidRPr="00FC743A">
        <w:rPr>
          <w:i/>
          <w:noProof/>
        </w:rPr>
        <w:t>securities business</w:t>
      </w:r>
      <w:r>
        <w:rPr>
          <w:noProof/>
        </w:rPr>
        <w:t>: general</w:t>
      </w:r>
      <w:r>
        <w:rPr>
          <w:noProof/>
        </w:rPr>
        <w:tab/>
      </w:r>
      <w:r>
        <w:rPr>
          <w:noProof/>
        </w:rPr>
        <w:fldChar w:fldCharType="begin"/>
      </w:r>
      <w:r>
        <w:rPr>
          <w:noProof/>
        </w:rPr>
        <w:instrText xml:space="preserve"> PAGEREF _Toc158712146 \h </w:instrText>
      </w:r>
      <w:r>
        <w:rPr>
          <w:noProof/>
        </w:rPr>
      </w:r>
      <w:r>
        <w:rPr>
          <w:noProof/>
        </w:rPr>
        <w:fldChar w:fldCharType="separate"/>
      </w:r>
      <w:r>
        <w:rPr>
          <w:noProof/>
        </w:rPr>
        <w:t>241</w:t>
      </w:r>
      <w:r>
        <w:rPr>
          <w:noProof/>
        </w:rPr>
        <w:fldChar w:fldCharType="end"/>
      </w:r>
    </w:p>
    <w:p w14:paraId="0889B36A" w14:textId="19F4488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7.5.08  Meaning of </w:t>
      </w:r>
      <w:r w:rsidRPr="00FC743A">
        <w:rPr>
          <w:i/>
          <w:noProof/>
        </w:rPr>
        <w:t>securities business</w:t>
      </w:r>
      <w:r>
        <w:rPr>
          <w:noProof/>
        </w:rPr>
        <w:t>: Subdivision 4.9</w:t>
      </w:r>
      <w:r>
        <w:rPr>
          <w:noProof/>
        </w:rPr>
        <w:tab/>
      </w:r>
      <w:r>
        <w:rPr>
          <w:noProof/>
        </w:rPr>
        <w:fldChar w:fldCharType="begin"/>
      </w:r>
      <w:r>
        <w:rPr>
          <w:noProof/>
        </w:rPr>
        <w:instrText xml:space="preserve"> PAGEREF _Toc158712147 \h </w:instrText>
      </w:r>
      <w:r>
        <w:rPr>
          <w:noProof/>
        </w:rPr>
      </w:r>
      <w:r>
        <w:rPr>
          <w:noProof/>
        </w:rPr>
        <w:fldChar w:fldCharType="separate"/>
      </w:r>
      <w:r>
        <w:rPr>
          <w:noProof/>
        </w:rPr>
        <w:t>242</w:t>
      </w:r>
      <w:r>
        <w:rPr>
          <w:noProof/>
        </w:rPr>
        <w:fldChar w:fldCharType="end"/>
      </w:r>
    </w:p>
    <w:p w14:paraId="25B4B0C4" w14:textId="448EB5D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7.5.09  Meaning of </w:t>
      </w:r>
      <w:r w:rsidRPr="00FC743A">
        <w:rPr>
          <w:i/>
          <w:noProof/>
        </w:rPr>
        <w:t>security</w:t>
      </w:r>
      <w:r>
        <w:rPr>
          <w:noProof/>
        </w:rPr>
        <w:tab/>
      </w:r>
      <w:r>
        <w:rPr>
          <w:noProof/>
        </w:rPr>
        <w:fldChar w:fldCharType="begin"/>
      </w:r>
      <w:r>
        <w:rPr>
          <w:noProof/>
        </w:rPr>
        <w:instrText xml:space="preserve"> PAGEREF _Toc158712148 \h </w:instrText>
      </w:r>
      <w:r>
        <w:rPr>
          <w:noProof/>
        </w:rPr>
      </w:r>
      <w:r>
        <w:rPr>
          <w:noProof/>
        </w:rPr>
        <w:fldChar w:fldCharType="separate"/>
      </w:r>
      <w:r>
        <w:rPr>
          <w:noProof/>
        </w:rPr>
        <w:t>242</w:t>
      </w:r>
      <w:r>
        <w:rPr>
          <w:noProof/>
        </w:rPr>
        <w:fldChar w:fldCharType="end"/>
      </w:r>
    </w:p>
    <w:p w14:paraId="1FEE1F14" w14:textId="2679F9B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7.5.10  Meaning of </w:t>
      </w:r>
      <w:r w:rsidRPr="00FC743A">
        <w:rPr>
          <w:i/>
          <w:noProof/>
        </w:rPr>
        <w:t>transfer of securities</w:t>
      </w:r>
      <w:r>
        <w:rPr>
          <w:noProof/>
        </w:rPr>
        <w:tab/>
      </w:r>
      <w:r>
        <w:rPr>
          <w:noProof/>
        </w:rPr>
        <w:fldChar w:fldCharType="begin"/>
      </w:r>
      <w:r>
        <w:rPr>
          <w:noProof/>
        </w:rPr>
        <w:instrText xml:space="preserve"> PAGEREF _Toc158712149 \h </w:instrText>
      </w:r>
      <w:r>
        <w:rPr>
          <w:noProof/>
        </w:rPr>
      </w:r>
      <w:r>
        <w:rPr>
          <w:noProof/>
        </w:rPr>
        <w:fldChar w:fldCharType="separate"/>
      </w:r>
      <w:r>
        <w:rPr>
          <w:noProof/>
        </w:rPr>
        <w:t>242</w:t>
      </w:r>
      <w:r>
        <w:rPr>
          <w:noProof/>
        </w:rPr>
        <w:fldChar w:fldCharType="end"/>
      </w:r>
    </w:p>
    <w:p w14:paraId="0D2B0DDF" w14:textId="7D9F138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7.5.13  Effect of contravention of Part 7.5</w:t>
      </w:r>
      <w:r>
        <w:rPr>
          <w:noProof/>
        </w:rPr>
        <w:tab/>
      </w:r>
      <w:r>
        <w:rPr>
          <w:noProof/>
        </w:rPr>
        <w:fldChar w:fldCharType="begin"/>
      </w:r>
      <w:r>
        <w:rPr>
          <w:noProof/>
        </w:rPr>
        <w:instrText xml:space="preserve"> PAGEREF _Toc158712150 \h </w:instrText>
      </w:r>
      <w:r>
        <w:rPr>
          <w:noProof/>
        </w:rPr>
      </w:r>
      <w:r>
        <w:rPr>
          <w:noProof/>
        </w:rPr>
        <w:fldChar w:fldCharType="separate"/>
      </w:r>
      <w:r>
        <w:rPr>
          <w:noProof/>
        </w:rPr>
        <w:t>243</w:t>
      </w:r>
      <w:r>
        <w:rPr>
          <w:noProof/>
        </w:rPr>
        <w:fldChar w:fldCharType="end"/>
      </w:r>
    </w:p>
    <w:p w14:paraId="47BFE20D" w14:textId="3748F3F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When there must be a compensation regime</w:t>
      </w:r>
      <w:r>
        <w:rPr>
          <w:noProof/>
        </w:rPr>
        <w:tab/>
      </w:r>
      <w:r>
        <w:rPr>
          <w:noProof/>
        </w:rPr>
        <w:fldChar w:fldCharType="begin"/>
      </w:r>
      <w:r>
        <w:rPr>
          <w:noProof/>
        </w:rPr>
        <w:instrText xml:space="preserve"> PAGEREF _Toc158712151 \h </w:instrText>
      </w:r>
      <w:r>
        <w:rPr>
          <w:noProof/>
        </w:rPr>
      </w:r>
      <w:r>
        <w:rPr>
          <w:noProof/>
        </w:rPr>
        <w:fldChar w:fldCharType="separate"/>
      </w:r>
      <w:r>
        <w:rPr>
          <w:noProof/>
        </w:rPr>
        <w:t>244</w:t>
      </w:r>
      <w:r>
        <w:rPr>
          <w:noProof/>
        </w:rPr>
        <w:fldChar w:fldCharType="end"/>
      </w:r>
    </w:p>
    <w:p w14:paraId="274FF5D9" w14:textId="6BB18CA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7.5.14  Application for Australian market licence: information about compensation arrangements</w:t>
      </w:r>
      <w:r>
        <w:rPr>
          <w:noProof/>
        </w:rPr>
        <w:tab/>
      </w:r>
      <w:r>
        <w:rPr>
          <w:noProof/>
        </w:rPr>
        <w:fldChar w:fldCharType="begin"/>
      </w:r>
      <w:r>
        <w:rPr>
          <w:noProof/>
        </w:rPr>
        <w:instrText xml:space="preserve"> PAGEREF _Toc158712152 \h </w:instrText>
      </w:r>
      <w:r>
        <w:rPr>
          <w:noProof/>
        </w:rPr>
      </w:r>
      <w:r>
        <w:rPr>
          <w:noProof/>
        </w:rPr>
        <w:fldChar w:fldCharType="separate"/>
      </w:r>
      <w:r>
        <w:rPr>
          <w:noProof/>
        </w:rPr>
        <w:t>244</w:t>
      </w:r>
      <w:r>
        <w:rPr>
          <w:noProof/>
        </w:rPr>
        <w:fldChar w:fldCharType="end"/>
      </w:r>
    </w:p>
    <w:p w14:paraId="4197599A" w14:textId="2135FEE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Approved compensation arrangements</w:t>
      </w:r>
      <w:r>
        <w:rPr>
          <w:noProof/>
        </w:rPr>
        <w:tab/>
      </w:r>
      <w:r>
        <w:rPr>
          <w:noProof/>
        </w:rPr>
        <w:fldChar w:fldCharType="begin"/>
      </w:r>
      <w:r>
        <w:rPr>
          <w:noProof/>
        </w:rPr>
        <w:instrText xml:space="preserve"> PAGEREF _Toc158712153 \h </w:instrText>
      </w:r>
      <w:r>
        <w:rPr>
          <w:noProof/>
        </w:rPr>
      </w:r>
      <w:r>
        <w:rPr>
          <w:noProof/>
        </w:rPr>
        <w:fldChar w:fldCharType="separate"/>
      </w:r>
      <w:r>
        <w:rPr>
          <w:noProof/>
        </w:rPr>
        <w:t>245</w:t>
      </w:r>
      <w:r>
        <w:rPr>
          <w:noProof/>
        </w:rPr>
        <w:fldChar w:fldCharType="end"/>
      </w:r>
    </w:p>
    <w:p w14:paraId="665545A1" w14:textId="63B19D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7.5.15  Application for approval of compensation arrangements after grant of Australian market licence: information about compensation arrangements</w:t>
      </w:r>
      <w:r>
        <w:rPr>
          <w:noProof/>
        </w:rPr>
        <w:tab/>
      </w:r>
      <w:r>
        <w:rPr>
          <w:noProof/>
        </w:rPr>
        <w:fldChar w:fldCharType="begin"/>
      </w:r>
      <w:r>
        <w:rPr>
          <w:noProof/>
        </w:rPr>
        <w:instrText xml:space="preserve"> PAGEREF _Toc158712154 \h </w:instrText>
      </w:r>
      <w:r>
        <w:rPr>
          <w:noProof/>
        </w:rPr>
      </w:r>
      <w:r>
        <w:rPr>
          <w:noProof/>
        </w:rPr>
        <w:fldChar w:fldCharType="separate"/>
      </w:r>
      <w:r>
        <w:rPr>
          <w:noProof/>
        </w:rPr>
        <w:t>245</w:t>
      </w:r>
      <w:r>
        <w:rPr>
          <w:noProof/>
        </w:rPr>
        <w:fldChar w:fldCharType="end"/>
      </w:r>
    </w:p>
    <w:p w14:paraId="705D25C6" w14:textId="2B3ED8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7.5.16  Notification of payment of levies</w:t>
      </w:r>
      <w:r>
        <w:rPr>
          <w:noProof/>
        </w:rPr>
        <w:tab/>
      </w:r>
      <w:r>
        <w:rPr>
          <w:noProof/>
        </w:rPr>
        <w:fldChar w:fldCharType="begin"/>
      </w:r>
      <w:r>
        <w:rPr>
          <w:noProof/>
        </w:rPr>
        <w:instrText xml:space="preserve"> PAGEREF _Toc158712155 \h </w:instrText>
      </w:r>
      <w:r>
        <w:rPr>
          <w:noProof/>
        </w:rPr>
      </w:r>
      <w:r>
        <w:rPr>
          <w:noProof/>
        </w:rPr>
        <w:fldChar w:fldCharType="separate"/>
      </w:r>
      <w:r>
        <w:rPr>
          <w:noProof/>
        </w:rPr>
        <w:t>245</w:t>
      </w:r>
      <w:r>
        <w:rPr>
          <w:noProof/>
        </w:rPr>
        <w:fldChar w:fldCharType="end"/>
      </w:r>
    </w:p>
    <w:p w14:paraId="407F1989" w14:textId="1E0442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7.5.17  Amount of compensation</w:t>
      </w:r>
      <w:r>
        <w:rPr>
          <w:noProof/>
        </w:rPr>
        <w:tab/>
      </w:r>
      <w:r>
        <w:rPr>
          <w:noProof/>
        </w:rPr>
        <w:fldChar w:fldCharType="begin"/>
      </w:r>
      <w:r>
        <w:rPr>
          <w:noProof/>
        </w:rPr>
        <w:instrText xml:space="preserve"> PAGEREF _Toc158712156 \h </w:instrText>
      </w:r>
      <w:r>
        <w:rPr>
          <w:noProof/>
        </w:rPr>
      </w:r>
      <w:r>
        <w:rPr>
          <w:noProof/>
        </w:rPr>
        <w:fldChar w:fldCharType="separate"/>
      </w:r>
      <w:r>
        <w:rPr>
          <w:noProof/>
        </w:rPr>
        <w:t>245</w:t>
      </w:r>
      <w:r>
        <w:rPr>
          <w:noProof/>
        </w:rPr>
        <w:fldChar w:fldCharType="end"/>
      </w:r>
    </w:p>
    <w:p w14:paraId="6703794E" w14:textId="0C91D1A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w:t>
      </w:r>
      <w:r w:rsidRPr="00FC743A">
        <w:rPr>
          <w:noProof/>
          <w:color w:val="000000"/>
        </w:rPr>
        <w:t>—</w:t>
      </w:r>
      <w:r>
        <w:rPr>
          <w:noProof/>
        </w:rPr>
        <w:t>NGF Compensation regime</w:t>
      </w:r>
      <w:r>
        <w:rPr>
          <w:noProof/>
        </w:rPr>
        <w:tab/>
      </w:r>
      <w:r>
        <w:rPr>
          <w:noProof/>
        </w:rPr>
        <w:fldChar w:fldCharType="begin"/>
      </w:r>
      <w:r>
        <w:rPr>
          <w:noProof/>
        </w:rPr>
        <w:instrText xml:space="preserve"> PAGEREF _Toc158712157 \h </w:instrText>
      </w:r>
      <w:r>
        <w:rPr>
          <w:noProof/>
        </w:rPr>
      </w:r>
      <w:r>
        <w:rPr>
          <w:noProof/>
        </w:rPr>
        <w:fldChar w:fldCharType="separate"/>
      </w:r>
      <w:r>
        <w:rPr>
          <w:noProof/>
        </w:rPr>
        <w:t>246</w:t>
      </w:r>
      <w:r>
        <w:rPr>
          <w:noProof/>
        </w:rPr>
        <w:fldChar w:fldCharType="end"/>
      </w:r>
    </w:p>
    <w:p w14:paraId="0B518BB1" w14:textId="5FFCA396"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4.1—Preliminary</w:t>
      </w:r>
      <w:r>
        <w:rPr>
          <w:noProof/>
        </w:rPr>
        <w:tab/>
      </w:r>
      <w:r>
        <w:rPr>
          <w:noProof/>
        </w:rPr>
        <w:fldChar w:fldCharType="begin"/>
      </w:r>
      <w:r>
        <w:rPr>
          <w:noProof/>
        </w:rPr>
        <w:instrText xml:space="preserve"> PAGEREF _Toc158712158 \h </w:instrText>
      </w:r>
      <w:r>
        <w:rPr>
          <w:noProof/>
        </w:rPr>
      </w:r>
      <w:r>
        <w:rPr>
          <w:noProof/>
        </w:rPr>
        <w:fldChar w:fldCharType="separate"/>
      </w:r>
      <w:r>
        <w:rPr>
          <w:noProof/>
        </w:rPr>
        <w:t>246</w:t>
      </w:r>
      <w:r>
        <w:rPr>
          <w:noProof/>
        </w:rPr>
        <w:fldChar w:fldCharType="end"/>
      </w:r>
    </w:p>
    <w:p w14:paraId="5268BD6C" w14:textId="0571693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7.5.18  Application of Division 4</w:t>
      </w:r>
      <w:r>
        <w:rPr>
          <w:noProof/>
        </w:rPr>
        <w:tab/>
      </w:r>
      <w:r>
        <w:rPr>
          <w:noProof/>
        </w:rPr>
        <w:fldChar w:fldCharType="begin"/>
      </w:r>
      <w:r>
        <w:rPr>
          <w:noProof/>
        </w:rPr>
        <w:instrText xml:space="preserve"> PAGEREF _Toc158712159 \h </w:instrText>
      </w:r>
      <w:r>
        <w:rPr>
          <w:noProof/>
        </w:rPr>
      </w:r>
      <w:r>
        <w:rPr>
          <w:noProof/>
        </w:rPr>
        <w:fldChar w:fldCharType="separate"/>
      </w:r>
      <w:r>
        <w:rPr>
          <w:noProof/>
        </w:rPr>
        <w:t>246</w:t>
      </w:r>
      <w:r>
        <w:rPr>
          <w:noProof/>
        </w:rPr>
        <w:fldChar w:fldCharType="end"/>
      </w:r>
    </w:p>
    <w:p w14:paraId="1737B3F3" w14:textId="0DB495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7.5.18A  Caps on compensation</w:t>
      </w:r>
      <w:r>
        <w:rPr>
          <w:noProof/>
        </w:rPr>
        <w:tab/>
      </w:r>
      <w:r>
        <w:rPr>
          <w:noProof/>
        </w:rPr>
        <w:fldChar w:fldCharType="begin"/>
      </w:r>
      <w:r>
        <w:rPr>
          <w:noProof/>
        </w:rPr>
        <w:instrText xml:space="preserve"> PAGEREF _Toc158712160 \h </w:instrText>
      </w:r>
      <w:r>
        <w:rPr>
          <w:noProof/>
        </w:rPr>
      </w:r>
      <w:r>
        <w:rPr>
          <w:noProof/>
        </w:rPr>
        <w:fldChar w:fldCharType="separate"/>
      </w:r>
      <w:r>
        <w:rPr>
          <w:noProof/>
        </w:rPr>
        <w:t>246</w:t>
      </w:r>
      <w:r>
        <w:rPr>
          <w:noProof/>
        </w:rPr>
        <w:fldChar w:fldCharType="end"/>
      </w:r>
    </w:p>
    <w:p w14:paraId="4EFF3157" w14:textId="173C9582"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4.2—Third party clearing arrangements</w:t>
      </w:r>
      <w:r>
        <w:rPr>
          <w:noProof/>
        </w:rPr>
        <w:tab/>
      </w:r>
      <w:r>
        <w:rPr>
          <w:noProof/>
        </w:rPr>
        <w:fldChar w:fldCharType="begin"/>
      </w:r>
      <w:r>
        <w:rPr>
          <w:noProof/>
        </w:rPr>
        <w:instrText xml:space="preserve"> PAGEREF _Toc158712161 \h </w:instrText>
      </w:r>
      <w:r>
        <w:rPr>
          <w:noProof/>
        </w:rPr>
      </w:r>
      <w:r>
        <w:rPr>
          <w:noProof/>
        </w:rPr>
        <w:fldChar w:fldCharType="separate"/>
      </w:r>
      <w:r>
        <w:rPr>
          <w:noProof/>
        </w:rPr>
        <w:t>246</w:t>
      </w:r>
      <w:r>
        <w:rPr>
          <w:noProof/>
        </w:rPr>
        <w:fldChar w:fldCharType="end"/>
      </w:r>
    </w:p>
    <w:p w14:paraId="2F14BC0F" w14:textId="1EA2AF0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7.5.19  Clearing arrangements</w:t>
      </w:r>
      <w:r>
        <w:rPr>
          <w:noProof/>
        </w:rPr>
        <w:tab/>
      </w:r>
      <w:r>
        <w:rPr>
          <w:noProof/>
        </w:rPr>
        <w:fldChar w:fldCharType="begin"/>
      </w:r>
      <w:r>
        <w:rPr>
          <w:noProof/>
        </w:rPr>
        <w:instrText xml:space="preserve"> PAGEREF _Toc158712162 \h </w:instrText>
      </w:r>
      <w:r>
        <w:rPr>
          <w:noProof/>
        </w:rPr>
      </w:r>
      <w:r>
        <w:rPr>
          <w:noProof/>
        </w:rPr>
        <w:fldChar w:fldCharType="separate"/>
      </w:r>
      <w:r>
        <w:rPr>
          <w:noProof/>
        </w:rPr>
        <w:t>246</w:t>
      </w:r>
      <w:r>
        <w:rPr>
          <w:noProof/>
        </w:rPr>
        <w:fldChar w:fldCharType="end"/>
      </w:r>
    </w:p>
    <w:p w14:paraId="497F630A" w14:textId="1FF6D08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4.3—Contract guarantees</w:t>
      </w:r>
      <w:r>
        <w:rPr>
          <w:noProof/>
        </w:rPr>
        <w:tab/>
      </w:r>
      <w:r>
        <w:rPr>
          <w:noProof/>
        </w:rPr>
        <w:fldChar w:fldCharType="begin"/>
      </w:r>
      <w:r>
        <w:rPr>
          <w:noProof/>
        </w:rPr>
        <w:instrText xml:space="preserve"> PAGEREF _Toc158712163 \h </w:instrText>
      </w:r>
      <w:r>
        <w:rPr>
          <w:noProof/>
        </w:rPr>
      </w:r>
      <w:r>
        <w:rPr>
          <w:noProof/>
        </w:rPr>
        <w:fldChar w:fldCharType="separate"/>
      </w:r>
      <w:r>
        <w:rPr>
          <w:noProof/>
        </w:rPr>
        <w:t>247</w:t>
      </w:r>
      <w:r>
        <w:rPr>
          <w:noProof/>
        </w:rPr>
        <w:fldChar w:fldCharType="end"/>
      </w:r>
    </w:p>
    <w:p w14:paraId="37075D6F" w14:textId="6163429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7.5.24  Claim by selling client in respect of default by selling dealer: ASTC</w:t>
      </w:r>
      <w:r>
        <w:rPr>
          <w:noProof/>
        </w:rPr>
        <w:noBreakHyphen/>
        <w:t>regulated transfer</w:t>
      </w:r>
      <w:r>
        <w:rPr>
          <w:noProof/>
        </w:rPr>
        <w:tab/>
      </w:r>
      <w:r>
        <w:rPr>
          <w:noProof/>
        </w:rPr>
        <w:fldChar w:fldCharType="begin"/>
      </w:r>
      <w:r>
        <w:rPr>
          <w:noProof/>
        </w:rPr>
        <w:instrText xml:space="preserve"> PAGEREF _Toc158712164 \h </w:instrText>
      </w:r>
      <w:r>
        <w:rPr>
          <w:noProof/>
        </w:rPr>
      </w:r>
      <w:r>
        <w:rPr>
          <w:noProof/>
        </w:rPr>
        <w:fldChar w:fldCharType="separate"/>
      </w:r>
      <w:r>
        <w:rPr>
          <w:noProof/>
        </w:rPr>
        <w:t>247</w:t>
      </w:r>
      <w:r>
        <w:rPr>
          <w:noProof/>
        </w:rPr>
        <w:fldChar w:fldCharType="end"/>
      </w:r>
    </w:p>
    <w:p w14:paraId="30984D42" w14:textId="64F290D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7.5.25  Claim by selling client in respect of default by selling dealer: transaction other than ASTC</w:t>
      </w:r>
      <w:r>
        <w:rPr>
          <w:noProof/>
        </w:rPr>
        <w:noBreakHyphen/>
        <w:t>regulated transfer</w:t>
      </w:r>
      <w:r>
        <w:rPr>
          <w:noProof/>
        </w:rPr>
        <w:tab/>
      </w:r>
      <w:r>
        <w:rPr>
          <w:noProof/>
        </w:rPr>
        <w:fldChar w:fldCharType="begin"/>
      </w:r>
      <w:r>
        <w:rPr>
          <w:noProof/>
        </w:rPr>
        <w:instrText xml:space="preserve"> PAGEREF _Toc158712165 \h </w:instrText>
      </w:r>
      <w:r>
        <w:rPr>
          <w:noProof/>
        </w:rPr>
      </w:r>
      <w:r>
        <w:rPr>
          <w:noProof/>
        </w:rPr>
        <w:fldChar w:fldCharType="separate"/>
      </w:r>
      <w:r>
        <w:rPr>
          <w:noProof/>
        </w:rPr>
        <w:t>248</w:t>
      </w:r>
      <w:r>
        <w:rPr>
          <w:noProof/>
        </w:rPr>
        <w:fldChar w:fldCharType="end"/>
      </w:r>
    </w:p>
    <w:p w14:paraId="5DD89FF6" w14:textId="5EA71B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7.5.26  Claim by buying client in respect of default by buying dealer: ASTC</w:t>
      </w:r>
      <w:r>
        <w:rPr>
          <w:noProof/>
        </w:rPr>
        <w:noBreakHyphen/>
        <w:t>regulated transfer</w:t>
      </w:r>
      <w:r>
        <w:rPr>
          <w:noProof/>
        </w:rPr>
        <w:tab/>
      </w:r>
      <w:r>
        <w:rPr>
          <w:noProof/>
        </w:rPr>
        <w:fldChar w:fldCharType="begin"/>
      </w:r>
      <w:r>
        <w:rPr>
          <w:noProof/>
        </w:rPr>
        <w:instrText xml:space="preserve"> PAGEREF _Toc158712166 \h </w:instrText>
      </w:r>
      <w:r>
        <w:rPr>
          <w:noProof/>
        </w:rPr>
      </w:r>
      <w:r>
        <w:rPr>
          <w:noProof/>
        </w:rPr>
        <w:fldChar w:fldCharType="separate"/>
      </w:r>
      <w:r>
        <w:rPr>
          <w:noProof/>
        </w:rPr>
        <w:t>248</w:t>
      </w:r>
      <w:r>
        <w:rPr>
          <w:noProof/>
        </w:rPr>
        <w:fldChar w:fldCharType="end"/>
      </w:r>
    </w:p>
    <w:p w14:paraId="5A7D890A" w14:textId="5433058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7.5.27  Claim by buying client in respect of default by buying dealer: transaction other than ASTC</w:t>
      </w:r>
      <w:r>
        <w:rPr>
          <w:noProof/>
        </w:rPr>
        <w:noBreakHyphen/>
        <w:t>regulated transfer</w:t>
      </w:r>
      <w:r>
        <w:rPr>
          <w:noProof/>
        </w:rPr>
        <w:tab/>
      </w:r>
      <w:r>
        <w:rPr>
          <w:noProof/>
        </w:rPr>
        <w:fldChar w:fldCharType="begin"/>
      </w:r>
      <w:r>
        <w:rPr>
          <w:noProof/>
        </w:rPr>
        <w:instrText xml:space="preserve"> PAGEREF _Toc158712167 \h </w:instrText>
      </w:r>
      <w:r>
        <w:rPr>
          <w:noProof/>
        </w:rPr>
      </w:r>
      <w:r>
        <w:rPr>
          <w:noProof/>
        </w:rPr>
        <w:fldChar w:fldCharType="separate"/>
      </w:r>
      <w:r>
        <w:rPr>
          <w:noProof/>
        </w:rPr>
        <w:t>249</w:t>
      </w:r>
      <w:r>
        <w:rPr>
          <w:noProof/>
        </w:rPr>
        <w:fldChar w:fldCharType="end"/>
      </w:r>
    </w:p>
    <w:p w14:paraId="1CFF3B52" w14:textId="6D7A34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7.5.28  Cash settlement of claim: ASTC</w:t>
      </w:r>
      <w:r>
        <w:rPr>
          <w:noProof/>
        </w:rPr>
        <w:noBreakHyphen/>
        <w:t>regulated transfer</w:t>
      </w:r>
      <w:r>
        <w:rPr>
          <w:noProof/>
        </w:rPr>
        <w:tab/>
      </w:r>
      <w:r>
        <w:rPr>
          <w:noProof/>
        </w:rPr>
        <w:fldChar w:fldCharType="begin"/>
      </w:r>
      <w:r>
        <w:rPr>
          <w:noProof/>
        </w:rPr>
        <w:instrText xml:space="preserve"> PAGEREF _Toc158712168 \h </w:instrText>
      </w:r>
      <w:r>
        <w:rPr>
          <w:noProof/>
        </w:rPr>
      </w:r>
      <w:r>
        <w:rPr>
          <w:noProof/>
        </w:rPr>
        <w:fldChar w:fldCharType="separate"/>
      </w:r>
      <w:r>
        <w:rPr>
          <w:noProof/>
        </w:rPr>
        <w:t>249</w:t>
      </w:r>
      <w:r>
        <w:rPr>
          <w:noProof/>
        </w:rPr>
        <w:fldChar w:fldCharType="end"/>
      </w:r>
    </w:p>
    <w:p w14:paraId="069387D8" w14:textId="0AD054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7.5.29  Cash settlement of claim: transfer other than ASTC</w:t>
      </w:r>
      <w:r>
        <w:rPr>
          <w:noProof/>
        </w:rPr>
        <w:noBreakHyphen/>
        <w:t>regulated transfer</w:t>
      </w:r>
      <w:r>
        <w:rPr>
          <w:noProof/>
        </w:rPr>
        <w:tab/>
      </w:r>
      <w:r>
        <w:rPr>
          <w:noProof/>
        </w:rPr>
        <w:fldChar w:fldCharType="begin"/>
      </w:r>
      <w:r>
        <w:rPr>
          <w:noProof/>
        </w:rPr>
        <w:instrText xml:space="preserve"> PAGEREF _Toc158712169 \h </w:instrText>
      </w:r>
      <w:r>
        <w:rPr>
          <w:noProof/>
        </w:rPr>
      </w:r>
      <w:r>
        <w:rPr>
          <w:noProof/>
        </w:rPr>
        <w:fldChar w:fldCharType="separate"/>
      </w:r>
      <w:r>
        <w:rPr>
          <w:noProof/>
        </w:rPr>
        <w:t>250</w:t>
      </w:r>
      <w:r>
        <w:rPr>
          <w:noProof/>
        </w:rPr>
        <w:fldChar w:fldCharType="end"/>
      </w:r>
    </w:p>
    <w:p w14:paraId="64CF0EC8" w14:textId="55DF7C7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7.5.30  Making of claims</w:t>
      </w:r>
      <w:r>
        <w:rPr>
          <w:noProof/>
        </w:rPr>
        <w:tab/>
      </w:r>
      <w:r>
        <w:rPr>
          <w:noProof/>
        </w:rPr>
        <w:fldChar w:fldCharType="begin"/>
      </w:r>
      <w:r>
        <w:rPr>
          <w:noProof/>
        </w:rPr>
        <w:instrText xml:space="preserve"> PAGEREF _Toc158712170 \h </w:instrText>
      </w:r>
      <w:r>
        <w:rPr>
          <w:noProof/>
        </w:rPr>
      </w:r>
      <w:r>
        <w:rPr>
          <w:noProof/>
        </w:rPr>
        <w:fldChar w:fldCharType="separate"/>
      </w:r>
      <w:r>
        <w:rPr>
          <w:noProof/>
        </w:rPr>
        <w:t>250</w:t>
      </w:r>
      <w:r>
        <w:rPr>
          <w:noProof/>
        </w:rPr>
        <w:fldChar w:fldCharType="end"/>
      </w:r>
    </w:p>
    <w:p w14:paraId="7676FA07" w14:textId="66E1093E"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4.7—Unauthorised transfer</w:t>
      </w:r>
      <w:r>
        <w:rPr>
          <w:noProof/>
        </w:rPr>
        <w:tab/>
      </w:r>
      <w:r>
        <w:rPr>
          <w:noProof/>
        </w:rPr>
        <w:fldChar w:fldCharType="begin"/>
      </w:r>
      <w:r>
        <w:rPr>
          <w:noProof/>
        </w:rPr>
        <w:instrText xml:space="preserve"> PAGEREF _Toc158712171 \h </w:instrText>
      </w:r>
      <w:r>
        <w:rPr>
          <w:noProof/>
        </w:rPr>
      </w:r>
      <w:r>
        <w:rPr>
          <w:noProof/>
        </w:rPr>
        <w:fldChar w:fldCharType="separate"/>
      </w:r>
      <w:r>
        <w:rPr>
          <w:noProof/>
        </w:rPr>
        <w:t>251</w:t>
      </w:r>
      <w:r>
        <w:rPr>
          <w:noProof/>
        </w:rPr>
        <w:fldChar w:fldCharType="end"/>
      </w:r>
    </w:p>
    <w:p w14:paraId="4D62C38C" w14:textId="09F5392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7.5.53  Application of Subdivision 4.7</w:t>
      </w:r>
      <w:r>
        <w:rPr>
          <w:noProof/>
        </w:rPr>
        <w:tab/>
      </w:r>
      <w:r>
        <w:rPr>
          <w:noProof/>
        </w:rPr>
        <w:fldChar w:fldCharType="begin"/>
      </w:r>
      <w:r>
        <w:rPr>
          <w:noProof/>
        </w:rPr>
        <w:instrText xml:space="preserve"> PAGEREF _Toc158712172 \h </w:instrText>
      </w:r>
      <w:r>
        <w:rPr>
          <w:noProof/>
        </w:rPr>
      </w:r>
      <w:r>
        <w:rPr>
          <w:noProof/>
        </w:rPr>
        <w:fldChar w:fldCharType="separate"/>
      </w:r>
      <w:r>
        <w:rPr>
          <w:noProof/>
        </w:rPr>
        <w:t>251</w:t>
      </w:r>
      <w:r>
        <w:rPr>
          <w:noProof/>
        </w:rPr>
        <w:fldChar w:fldCharType="end"/>
      </w:r>
    </w:p>
    <w:p w14:paraId="60F4A601" w14:textId="5D2DC8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7.5.54  Claim by transferor</w:t>
      </w:r>
      <w:r>
        <w:rPr>
          <w:noProof/>
        </w:rPr>
        <w:tab/>
      </w:r>
      <w:r>
        <w:rPr>
          <w:noProof/>
        </w:rPr>
        <w:fldChar w:fldCharType="begin"/>
      </w:r>
      <w:r>
        <w:rPr>
          <w:noProof/>
        </w:rPr>
        <w:instrText xml:space="preserve"> PAGEREF _Toc158712173 \h </w:instrText>
      </w:r>
      <w:r>
        <w:rPr>
          <w:noProof/>
        </w:rPr>
      </w:r>
      <w:r>
        <w:rPr>
          <w:noProof/>
        </w:rPr>
        <w:fldChar w:fldCharType="separate"/>
      </w:r>
      <w:r>
        <w:rPr>
          <w:noProof/>
        </w:rPr>
        <w:t>251</w:t>
      </w:r>
      <w:r>
        <w:rPr>
          <w:noProof/>
        </w:rPr>
        <w:fldChar w:fldCharType="end"/>
      </w:r>
    </w:p>
    <w:p w14:paraId="24914D88" w14:textId="18B9D6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7.5.55  Claim by transferee or sub</w:t>
      </w:r>
      <w:r>
        <w:rPr>
          <w:noProof/>
        </w:rPr>
        <w:noBreakHyphen/>
        <w:t>transferee</w:t>
      </w:r>
      <w:r>
        <w:rPr>
          <w:noProof/>
        </w:rPr>
        <w:tab/>
      </w:r>
      <w:r>
        <w:rPr>
          <w:noProof/>
        </w:rPr>
        <w:fldChar w:fldCharType="begin"/>
      </w:r>
      <w:r>
        <w:rPr>
          <w:noProof/>
        </w:rPr>
        <w:instrText xml:space="preserve"> PAGEREF _Toc158712174 \h </w:instrText>
      </w:r>
      <w:r>
        <w:rPr>
          <w:noProof/>
        </w:rPr>
      </w:r>
      <w:r>
        <w:rPr>
          <w:noProof/>
        </w:rPr>
        <w:fldChar w:fldCharType="separate"/>
      </w:r>
      <w:r>
        <w:rPr>
          <w:noProof/>
        </w:rPr>
        <w:t>251</w:t>
      </w:r>
      <w:r>
        <w:rPr>
          <w:noProof/>
        </w:rPr>
        <w:fldChar w:fldCharType="end"/>
      </w:r>
    </w:p>
    <w:p w14:paraId="755813B9" w14:textId="0637FE5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7.5.56  How and when claim may be made</w:t>
      </w:r>
      <w:r>
        <w:rPr>
          <w:noProof/>
        </w:rPr>
        <w:tab/>
      </w:r>
      <w:r>
        <w:rPr>
          <w:noProof/>
        </w:rPr>
        <w:fldChar w:fldCharType="begin"/>
      </w:r>
      <w:r>
        <w:rPr>
          <w:noProof/>
        </w:rPr>
        <w:instrText xml:space="preserve"> PAGEREF _Toc158712175 \h </w:instrText>
      </w:r>
      <w:r>
        <w:rPr>
          <w:noProof/>
        </w:rPr>
      </w:r>
      <w:r>
        <w:rPr>
          <w:noProof/>
        </w:rPr>
        <w:fldChar w:fldCharType="separate"/>
      </w:r>
      <w:r>
        <w:rPr>
          <w:noProof/>
        </w:rPr>
        <w:t>252</w:t>
      </w:r>
      <w:r>
        <w:rPr>
          <w:noProof/>
        </w:rPr>
        <w:fldChar w:fldCharType="end"/>
      </w:r>
    </w:p>
    <w:p w14:paraId="4EF99EAF" w14:textId="163245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7.5.57  How claim is to be satisfied</w:t>
      </w:r>
      <w:r>
        <w:rPr>
          <w:noProof/>
        </w:rPr>
        <w:tab/>
      </w:r>
      <w:r>
        <w:rPr>
          <w:noProof/>
        </w:rPr>
        <w:fldChar w:fldCharType="begin"/>
      </w:r>
      <w:r>
        <w:rPr>
          <w:noProof/>
        </w:rPr>
        <w:instrText xml:space="preserve"> PAGEREF _Toc158712176 \h </w:instrText>
      </w:r>
      <w:r>
        <w:rPr>
          <w:noProof/>
        </w:rPr>
      </w:r>
      <w:r>
        <w:rPr>
          <w:noProof/>
        </w:rPr>
        <w:fldChar w:fldCharType="separate"/>
      </w:r>
      <w:r>
        <w:rPr>
          <w:noProof/>
        </w:rPr>
        <w:t>252</w:t>
      </w:r>
      <w:r>
        <w:rPr>
          <w:noProof/>
        </w:rPr>
        <w:fldChar w:fldCharType="end"/>
      </w:r>
    </w:p>
    <w:p w14:paraId="594990CA" w14:textId="2AD6A43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7.5.58  Discretionary further compensation to transferor</w:t>
      </w:r>
      <w:r>
        <w:rPr>
          <w:noProof/>
        </w:rPr>
        <w:tab/>
      </w:r>
      <w:r>
        <w:rPr>
          <w:noProof/>
        </w:rPr>
        <w:fldChar w:fldCharType="begin"/>
      </w:r>
      <w:r>
        <w:rPr>
          <w:noProof/>
        </w:rPr>
        <w:instrText xml:space="preserve"> PAGEREF _Toc158712177 \h </w:instrText>
      </w:r>
      <w:r>
        <w:rPr>
          <w:noProof/>
        </w:rPr>
      </w:r>
      <w:r>
        <w:rPr>
          <w:noProof/>
        </w:rPr>
        <w:fldChar w:fldCharType="separate"/>
      </w:r>
      <w:r>
        <w:rPr>
          <w:noProof/>
        </w:rPr>
        <w:t>253</w:t>
      </w:r>
      <w:r>
        <w:rPr>
          <w:noProof/>
        </w:rPr>
        <w:fldChar w:fldCharType="end"/>
      </w:r>
    </w:p>
    <w:p w14:paraId="764480D4" w14:textId="5DBDFF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7.5.59  Nexus with Australia</w:t>
      </w:r>
      <w:r>
        <w:rPr>
          <w:noProof/>
        </w:rPr>
        <w:tab/>
      </w:r>
      <w:r>
        <w:rPr>
          <w:noProof/>
        </w:rPr>
        <w:fldChar w:fldCharType="begin"/>
      </w:r>
      <w:r>
        <w:rPr>
          <w:noProof/>
        </w:rPr>
        <w:instrText xml:space="preserve"> PAGEREF _Toc158712178 \h </w:instrText>
      </w:r>
      <w:r>
        <w:rPr>
          <w:noProof/>
        </w:rPr>
      </w:r>
      <w:r>
        <w:rPr>
          <w:noProof/>
        </w:rPr>
        <w:fldChar w:fldCharType="separate"/>
      </w:r>
      <w:r>
        <w:rPr>
          <w:noProof/>
        </w:rPr>
        <w:t>253</w:t>
      </w:r>
      <w:r>
        <w:rPr>
          <w:noProof/>
        </w:rPr>
        <w:fldChar w:fldCharType="end"/>
      </w:r>
    </w:p>
    <w:p w14:paraId="3D0F30FD" w14:textId="68CCEA6C"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4.8—Contraventions of ASTC certificate cancellation provisions</w:t>
      </w:r>
      <w:r>
        <w:rPr>
          <w:noProof/>
        </w:rPr>
        <w:tab/>
      </w:r>
      <w:r>
        <w:rPr>
          <w:noProof/>
        </w:rPr>
        <w:fldChar w:fldCharType="begin"/>
      </w:r>
      <w:r>
        <w:rPr>
          <w:noProof/>
        </w:rPr>
        <w:instrText xml:space="preserve"> PAGEREF _Toc158712179 \h </w:instrText>
      </w:r>
      <w:r>
        <w:rPr>
          <w:noProof/>
        </w:rPr>
      </w:r>
      <w:r>
        <w:rPr>
          <w:noProof/>
        </w:rPr>
        <w:fldChar w:fldCharType="separate"/>
      </w:r>
      <w:r>
        <w:rPr>
          <w:noProof/>
        </w:rPr>
        <w:t>253</w:t>
      </w:r>
      <w:r>
        <w:rPr>
          <w:noProof/>
        </w:rPr>
        <w:fldChar w:fldCharType="end"/>
      </w:r>
    </w:p>
    <w:p w14:paraId="0AD72A03" w14:textId="146DA7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7.5.60  Claim in respect of contravention of ASTC certificate cancellation provisions</w:t>
      </w:r>
      <w:r>
        <w:rPr>
          <w:noProof/>
        </w:rPr>
        <w:tab/>
      </w:r>
      <w:r>
        <w:rPr>
          <w:noProof/>
        </w:rPr>
        <w:fldChar w:fldCharType="begin"/>
      </w:r>
      <w:r>
        <w:rPr>
          <w:noProof/>
        </w:rPr>
        <w:instrText xml:space="preserve"> PAGEREF _Toc158712180 \h </w:instrText>
      </w:r>
      <w:r>
        <w:rPr>
          <w:noProof/>
        </w:rPr>
      </w:r>
      <w:r>
        <w:rPr>
          <w:noProof/>
        </w:rPr>
        <w:fldChar w:fldCharType="separate"/>
      </w:r>
      <w:r>
        <w:rPr>
          <w:noProof/>
        </w:rPr>
        <w:t>253</w:t>
      </w:r>
      <w:r>
        <w:rPr>
          <w:noProof/>
        </w:rPr>
        <w:fldChar w:fldCharType="end"/>
      </w:r>
    </w:p>
    <w:p w14:paraId="7B736F3B" w14:textId="33B7E4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7.5.61  How and when claim may be made</w:t>
      </w:r>
      <w:r>
        <w:rPr>
          <w:noProof/>
        </w:rPr>
        <w:tab/>
      </w:r>
      <w:r>
        <w:rPr>
          <w:noProof/>
        </w:rPr>
        <w:fldChar w:fldCharType="begin"/>
      </w:r>
      <w:r>
        <w:rPr>
          <w:noProof/>
        </w:rPr>
        <w:instrText xml:space="preserve"> PAGEREF _Toc158712181 \h </w:instrText>
      </w:r>
      <w:r>
        <w:rPr>
          <w:noProof/>
        </w:rPr>
      </w:r>
      <w:r>
        <w:rPr>
          <w:noProof/>
        </w:rPr>
        <w:fldChar w:fldCharType="separate"/>
      </w:r>
      <w:r>
        <w:rPr>
          <w:noProof/>
        </w:rPr>
        <w:t>253</w:t>
      </w:r>
      <w:r>
        <w:rPr>
          <w:noProof/>
        </w:rPr>
        <w:fldChar w:fldCharType="end"/>
      </w:r>
    </w:p>
    <w:p w14:paraId="167F28D7" w14:textId="06FC250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7.5.62  How claim is to be satisfied</w:t>
      </w:r>
      <w:r>
        <w:rPr>
          <w:noProof/>
        </w:rPr>
        <w:tab/>
      </w:r>
      <w:r>
        <w:rPr>
          <w:noProof/>
        </w:rPr>
        <w:fldChar w:fldCharType="begin"/>
      </w:r>
      <w:r>
        <w:rPr>
          <w:noProof/>
        </w:rPr>
        <w:instrText xml:space="preserve"> PAGEREF _Toc158712182 \h </w:instrText>
      </w:r>
      <w:r>
        <w:rPr>
          <w:noProof/>
        </w:rPr>
      </w:r>
      <w:r>
        <w:rPr>
          <w:noProof/>
        </w:rPr>
        <w:fldChar w:fldCharType="separate"/>
      </w:r>
      <w:r>
        <w:rPr>
          <w:noProof/>
        </w:rPr>
        <w:t>254</w:t>
      </w:r>
      <w:r>
        <w:rPr>
          <w:noProof/>
        </w:rPr>
        <w:fldChar w:fldCharType="end"/>
      </w:r>
    </w:p>
    <w:p w14:paraId="274E8411" w14:textId="3E72589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7.5.63  Discretionary further compensation</w:t>
      </w:r>
      <w:r>
        <w:rPr>
          <w:noProof/>
        </w:rPr>
        <w:tab/>
      </w:r>
      <w:r>
        <w:rPr>
          <w:noProof/>
        </w:rPr>
        <w:fldChar w:fldCharType="begin"/>
      </w:r>
      <w:r>
        <w:rPr>
          <w:noProof/>
        </w:rPr>
        <w:instrText xml:space="preserve"> PAGEREF _Toc158712183 \h </w:instrText>
      </w:r>
      <w:r>
        <w:rPr>
          <w:noProof/>
        </w:rPr>
      </w:r>
      <w:r>
        <w:rPr>
          <w:noProof/>
        </w:rPr>
        <w:fldChar w:fldCharType="separate"/>
      </w:r>
      <w:r>
        <w:rPr>
          <w:noProof/>
        </w:rPr>
        <w:t>254</w:t>
      </w:r>
      <w:r>
        <w:rPr>
          <w:noProof/>
        </w:rPr>
        <w:fldChar w:fldCharType="end"/>
      </w:r>
    </w:p>
    <w:p w14:paraId="0A2D505A" w14:textId="55A02C7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4.9—Claims in respect of insolvent participants</w:t>
      </w:r>
      <w:r>
        <w:rPr>
          <w:noProof/>
        </w:rPr>
        <w:tab/>
      </w:r>
      <w:r>
        <w:rPr>
          <w:noProof/>
        </w:rPr>
        <w:fldChar w:fldCharType="begin"/>
      </w:r>
      <w:r>
        <w:rPr>
          <w:noProof/>
        </w:rPr>
        <w:instrText xml:space="preserve"> PAGEREF _Toc158712184 \h </w:instrText>
      </w:r>
      <w:r>
        <w:rPr>
          <w:noProof/>
        </w:rPr>
      </w:r>
      <w:r>
        <w:rPr>
          <w:noProof/>
        </w:rPr>
        <w:fldChar w:fldCharType="separate"/>
      </w:r>
      <w:r>
        <w:rPr>
          <w:noProof/>
        </w:rPr>
        <w:t>254</w:t>
      </w:r>
      <w:r>
        <w:rPr>
          <w:noProof/>
        </w:rPr>
        <w:fldChar w:fldCharType="end"/>
      </w:r>
    </w:p>
    <w:p w14:paraId="07704DD0" w14:textId="3F8EDD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7.5.64  Claim in respect of property entrusted to, or received by, dealer before dealer became insolvent</w:t>
      </w:r>
      <w:r>
        <w:rPr>
          <w:noProof/>
        </w:rPr>
        <w:tab/>
      </w:r>
      <w:r>
        <w:rPr>
          <w:noProof/>
        </w:rPr>
        <w:fldChar w:fldCharType="begin"/>
      </w:r>
      <w:r>
        <w:rPr>
          <w:noProof/>
        </w:rPr>
        <w:instrText xml:space="preserve"> PAGEREF _Toc158712185 \h </w:instrText>
      </w:r>
      <w:r>
        <w:rPr>
          <w:noProof/>
        </w:rPr>
      </w:r>
      <w:r>
        <w:rPr>
          <w:noProof/>
        </w:rPr>
        <w:fldChar w:fldCharType="separate"/>
      </w:r>
      <w:r>
        <w:rPr>
          <w:noProof/>
        </w:rPr>
        <w:t>254</w:t>
      </w:r>
      <w:r>
        <w:rPr>
          <w:noProof/>
        </w:rPr>
        <w:fldChar w:fldCharType="end"/>
      </w:r>
    </w:p>
    <w:p w14:paraId="7A65D21E" w14:textId="7A6D41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7.5.65  Cash settlement of claims if property unobtainable</w:t>
      </w:r>
      <w:r>
        <w:rPr>
          <w:noProof/>
        </w:rPr>
        <w:tab/>
      </w:r>
      <w:r>
        <w:rPr>
          <w:noProof/>
        </w:rPr>
        <w:fldChar w:fldCharType="begin"/>
      </w:r>
      <w:r>
        <w:rPr>
          <w:noProof/>
        </w:rPr>
        <w:instrText xml:space="preserve"> PAGEREF _Toc158712186 \h </w:instrText>
      </w:r>
      <w:r>
        <w:rPr>
          <w:noProof/>
        </w:rPr>
      </w:r>
      <w:r>
        <w:rPr>
          <w:noProof/>
        </w:rPr>
        <w:fldChar w:fldCharType="separate"/>
      </w:r>
      <w:r>
        <w:rPr>
          <w:noProof/>
        </w:rPr>
        <w:t>255</w:t>
      </w:r>
      <w:r>
        <w:rPr>
          <w:noProof/>
        </w:rPr>
        <w:fldChar w:fldCharType="end"/>
      </w:r>
    </w:p>
    <w:p w14:paraId="2F3AB386" w14:textId="10FE059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7.5.66  Ordering of alternative claims and prevention of double recovery</w:t>
      </w:r>
      <w:r>
        <w:rPr>
          <w:noProof/>
        </w:rPr>
        <w:tab/>
      </w:r>
      <w:r>
        <w:rPr>
          <w:noProof/>
        </w:rPr>
        <w:fldChar w:fldCharType="begin"/>
      </w:r>
      <w:r>
        <w:rPr>
          <w:noProof/>
        </w:rPr>
        <w:instrText xml:space="preserve"> PAGEREF _Toc158712187 \h </w:instrText>
      </w:r>
      <w:r>
        <w:rPr>
          <w:noProof/>
        </w:rPr>
      </w:r>
      <w:r>
        <w:rPr>
          <w:noProof/>
        </w:rPr>
        <w:fldChar w:fldCharType="separate"/>
      </w:r>
      <w:r>
        <w:rPr>
          <w:noProof/>
        </w:rPr>
        <w:t>256</w:t>
      </w:r>
      <w:r>
        <w:rPr>
          <w:noProof/>
        </w:rPr>
        <w:fldChar w:fldCharType="end"/>
      </w:r>
    </w:p>
    <w:p w14:paraId="7A05E16F" w14:textId="64A60C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7.5.67  No claim in respect of money lent to dealer</w:t>
      </w:r>
      <w:r>
        <w:rPr>
          <w:noProof/>
        </w:rPr>
        <w:tab/>
      </w:r>
      <w:r>
        <w:rPr>
          <w:noProof/>
        </w:rPr>
        <w:fldChar w:fldCharType="begin"/>
      </w:r>
      <w:r>
        <w:rPr>
          <w:noProof/>
        </w:rPr>
        <w:instrText xml:space="preserve"> PAGEREF _Toc158712188 \h </w:instrText>
      </w:r>
      <w:r>
        <w:rPr>
          <w:noProof/>
        </w:rPr>
      </w:r>
      <w:r>
        <w:rPr>
          <w:noProof/>
        </w:rPr>
        <w:fldChar w:fldCharType="separate"/>
      </w:r>
      <w:r>
        <w:rPr>
          <w:noProof/>
        </w:rPr>
        <w:t>256</w:t>
      </w:r>
      <w:r>
        <w:rPr>
          <w:noProof/>
        </w:rPr>
        <w:fldChar w:fldCharType="end"/>
      </w:r>
    </w:p>
    <w:p w14:paraId="4EA663A6" w14:textId="558F51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7.5.68  Nexus with Australia</w:t>
      </w:r>
      <w:r>
        <w:rPr>
          <w:noProof/>
        </w:rPr>
        <w:tab/>
      </w:r>
      <w:r>
        <w:rPr>
          <w:noProof/>
        </w:rPr>
        <w:fldChar w:fldCharType="begin"/>
      </w:r>
      <w:r>
        <w:rPr>
          <w:noProof/>
        </w:rPr>
        <w:instrText xml:space="preserve"> PAGEREF _Toc158712189 \h </w:instrText>
      </w:r>
      <w:r>
        <w:rPr>
          <w:noProof/>
        </w:rPr>
      </w:r>
      <w:r>
        <w:rPr>
          <w:noProof/>
        </w:rPr>
        <w:fldChar w:fldCharType="separate"/>
      </w:r>
      <w:r>
        <w:rPr>
          <w:noProof/>
        </w:rPr>
        <w:t>257</w:t>
      </w:r>
      <w:r>
        <w:rPr>
          <w:noProof/>
        </w:rPr>
        <w:fldChar w:fldCharType="end"/>
      </w:r>
    </w:p>
    <w:p w14:paraId="6049A8C0" w14:textId="494841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7.5.69  No claim in certain other cases</w:t>
      </w:r>
      <w:r>
        <w:rPr>
          <w:noProof/>
        </w:rPr>
        <w:tab/>
      </w:r>
      <w:r>
        <w:rPr>
          <w:noProof/>
        </w:rPr>
        <w:fldChar w:fldCharType="begin"/>
      </w:r>
      <w:r>
        <w:rPr>
          <w:noProof/>
        </w:rPr>
        <w:instrText xml:space="preserve"> PAGEREF _Toc158712190 \h </w:instrText>
      </w:r>
      <w:r>
        <w:rPr>
          <w:noProof/>
        </w:rPr>
      </w:r>
      <w:r>
        <w:rPr>
          <w:noProof/>
        </w:rPr>
        <w:fldChar w:fldCharType="separate"/>
      </w:r>
      <w:r>
        <w:rPr>
          <w:noProof/>
        </w:rPr>
        <w:t>257</w:t>
      </w:r>
      <w:r>
        <w:rPr>
          <w:noProof/>
        </w:rPr>
        <w:fldChar w:fldCharType="end"/>
      </w:r>
    </w:p>
    <w:p w14:paraId="04DBB89A" w14:textId="01E7488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7.5.70  Making of claims</w:t>
      </w:r>
      <w:r>
        <w:rPr>
          <w:noProof/>
        </w:rPr>
        <w:tab/>
      </w:r>
      <w:r>
        <w:rPr>
          <w:noProof/>
        </w:rPr>
        <w:fldChar w:fldCharType="begin"/>
      </w:r>
      <w:r>
        <w:rPr>
          <w:noProof/>
        </w:rPr>
        <w:instrText xml:space="preserve"> PAGEREF _Toc158712191 \h </w:instrText>
      </w:r>
      <w:r>
        <w:rPr>
          <w:noProof/>
        </w:rPr>
      </w:r>
      <w:r>
        <w:rPr>
          <w:noProof/>
        </w:rPr>
        <w:fldChar w:fldCharType="separate"/>
      </w:r>
      <w:r>
        <w:rPr>
          <w:noProof/>
        </w:rPr>
        <w:t>257</w:t>
      </w:r>
      <w:r>
        <w:rPr>
          <w:noProof/>
        </w:rPr>
        <w:fldChar w:fldCharType="end"/>
      </w:r>
    </w:p>
    <w:p w14:paraId="7C45A02B" w14:textId="6BD8F8A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4.10—General</w:t>
      </w:r>
      <w:r>
        <w:rPr>
          <w:noProof/>
        </w:rPr>
        <w:tab/>
      </w:r>
      <w:r>
        <w:rPr>
          <w:noProof/>
        </w:rPr>
        <w:fldChar w:fldCharType="begin"/>
      </w:r>
      <w:r>
        <w:rPr>
          <w:noProof/>
        </w:rPr>
        <w:instrText xml:space="preserve"> PAGEREF _Toc158712192 \h </w:instrText>
      </w:r>
      <w:r>
        <w:rPr>
          <w:noProof/>
        </w:rPr>
      </w:r>
      <w:r>
        <w:rPr>
          <w:noProof/>
        </w:rPr>
        <w:fldChar w:fldCharType="separate"/>
      </w:r>
      <w:r>
        <w:rPr>
          <w:noProof/>
        </w:rPr>
        <w:t>257</w:t>
      </w:r>
      <w:r>
        <w:rPr>
          <w:noProof/>
        </w:rPr>
        <w:fldChar w:fldCharType="end"/>
      </w:r>
    </w:p>
    <w:p w14:paraId="161E829E" w14:textId="5FFE5D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7.5.72  Power of SEGC to allow and settle claim</w:t>
      </w:r>
      <w:r>
        <w:rPr>
          <w:noProof/>
        </w:rPr>
        <w:tab/>
      </w:r>
      <w:r>
        <w:rPr>
          <w:noProof/>
        </w:rPr>
        <w:fldChar w:fldCharType="begin"/>
      </w:r>
      <w:r>
        <w:rPr>
          <w:noProof/>
        </w:rPr>
        <w:instrText xml:space="preserve"> PAGEREF _Toc158712193 \h </w:instrText>
      </w:r>
      <w:r>
        <w:rPr>
          <w:noProof/>
        </w:rPr>
      </w:r>
      <w:r>
        <w:rPr>
          <w:noProof/>
        </w:rPr>
        <w:fldChar w:fldCharType="separate"/>
      </w:r>
      <w:r>
        <w:rPr>
          <w:noProof/>
        </w:rPr>
        <w:t>257</w:t>
      </w:r>
      <w:r>
        <w:rPr>
          <w:noProof/>
        </w:rPr>
        <w:fldChar w:fldCharType="end"/>
      </w:r>
    </w:p>
    <w:p w14:paraId="2B859794" w14:textId="7FA8927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7.5.72A  Participant</w:t>
      </w:r>
      <w:r>
        <w:rPr>
          <w:noProof/>
        </w:rPr>
        <w:noBreakHyphen/>
        <w:t>related limits of compensation</w:t>
      </w:r>
      <w:r>
        <w:rPr>
          <w:noProof/>
        </w:rPr>
        <w:tab/>
      </w:r>
      <w:r>
        <w:rPr>
          <w:noProof/>
        </w:rPr>
        <w:fldChar w:fldCharType="begin"/>
      </w:r>
      <w:r>
        <w:rPr>
          <w:noProof/>
        </w:rPr>
        <w:instrText xml:space="preserve"> PAGEREF _Toc158712194 \h </w:instrText>
      </w:r>
      <w:r>
        <w:rPr>
          <w:noProof/>
        </w:rPr>
      </w:r>
      <w:r>
        <w:rPr>
          <w:noProof/>
        </w:rPr>
        <w:fldChar w:fldCharType="separate"/>
      </w:r>
      <w:r>
        <w:rPr>
          <w:noProof/>
        </w:rPr>
        <w:t>257</w:t>
      </w:r>
      <w:r>
        <w:rPr>
          <w:noProof/>
        </w:rPr>
        <w:fldChar w:fldCharType="end"/>
      </w:r>
    </w:p>
    <w:p w14:paraId="3F14DABD" w14:textId="2AE22F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7.5.72B  Claimant</w:t>
      </w:r>
      <w:r>
        <w:rPr>
          <w:noProof/>
        </w:rPr>
        <w:noBreakHyphen/>
        <w:t>related limits of compensation</w:t>
      </w:r>
      <w:r>
        <w:rPr>
          <w:noProof/>
        </w:rPr>
        <w:tab/>
      </w:r>
      <w:r>
        <w:rPr>
          <w:noProof/>
        </w:rPr>
        <w:fldChar w:fldCharType="begin"/>
      </w:r>
      <w:r>
        <w:rPr>
          <w:noProof/>
        </w:rPr>
        <w:instrText xml:space="preserve"> PAGEREF _Toc158712195 \h </w:instrText>
      </w:r>
      <w:r>
        <w:rPr>
          <w:noProof/>
        </w:rPr>
      </w:r>
      <w:r>
        <w:rPr>
          <w:noProof/>
        </w:rPr>
        <w:fldChar w:fldCharType="separate"/>
      </w:r>
      <w:r>
        <w:rPr>
          <w:noProof/>
        </w:rPr>
        <w:t>258</w:t>
      </w:r>
      <w:r>
        <w:rPr>
          <w:noProof/>
        </w:rPr>
        <w:fldChar w:fldCharType="end"/>
      </w:r>
    </w:p>
    <w:p w14:paraId="1E185390" w14:textId="0DC0FA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7.5.73  Application of Fund in respect of certain claims</w:t>
      </w:r>
      <w:r>
        <w:rPr>
          <w:noProof/>
        </w:rPr>
        <w:tab/>
      </w:r>
      <w:r>
        <w:rPr>
          <w:noProof/>
        </w:rPr>
        <w:fldChar w:fldCharType="begin"/>
      </w:r>
      <w:r>
        <w:rPr>
          <w:noProof/>
        </w:rPr>
        <w:instrText xml:space="preserve"> PAGEREF _Toc158712196 \h </w:instrText>
      </w:r>
      <w:r>
        <w:rPr>
          <w:noProof/>
        </w:rPr>
      </w:r>
      <w:r>
        <w:rPr>
          <w:noProof/>
        </w:rPr>
        <w:fldChar w:fldCharType="separate"/>
      </w:r>
      <w:r>
        <w:rPr>
          <w:noProof/>
        </w:rPr>
        <w:t>259</w:t>
      </w:r>
      <w:r>
        <w:rPr>
          <w:noProof/>
        </w:rPr>
        <w:fldChar w:fldCharType="end"/>
      </w:r>
    </w:p>
    <w:p w14:paraId="264A790E" w14:textId="5431BBE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7.5.74  Discretion to pay amounts not received etc because of failure to transfer securities</w:t>
      </w:r>
      <w:r>
        <w:rPr>
          <w:noProof/>
        </w:rPr>
        <w:tab/>
      </w:r>
      <w:r>
        <w:rPr>
          <w:noProof/>
        </w:rPr>
        <w:fldChar w:fldCharType="begin"/>
      </w:r>
      <w:r>
        <w:rPr>
          <w:noProof/>
        </w:rPr>
        <w:instrText xml:space="preserve"> PAGEREF _Toc158712197 \h </w:instrText>
      </w:r>
      <w:r>
        <w:rPr>
          <w:noProof/>
        </w:rPr>
      </w:r>
      <w:r>
        <w:rPr>
          <w:noProof/>
        </w:rPr>
        <w:fldChar w:fldCharType="separate"/>
      </w:r>
      <w:r>
        <w:rPr>
          <w:noProof/>
        </w:rPr>
        <w:t>259</w:t>
      </w:r>
      <w:r>
        <w:rPr>
          <w:noProof/>
        </w:rPr>
        <w:fldChar w:fldCharType="end"/>
      </w:r>
    </w:p>
    <w:p w14:paraId="1212DB57" w14:textId="3B8537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7.5.75  Reduction in compensation</w:t>
      </w:r>
      <w:r>
        <w:rPr>
          <w:noProof/>
        </w:rPr>
        <w:tab/>
      </w:r>
      <w:r>
        <w:rPr>
          <w:noProof/>
        </w:rPr>
        <w:fldChar w:fldCharType="begin"/>
      </w:r>
      <w:r>
        <w:rPr>
          <w:noProof/>
        </w:rPr>
        <w:instrText xml:space="preserve"> PAGEREF _Toc158712198 \h </w:instrText>
      </w:r>
      <w:r>
        <w:rPr>
          <w:noProof/>
        </w:rPr>
      </w:r>
      <w:r>
        <w:rPr>
          <w:noProof/>
        </w:rPr>
        <w:fldChar w:fldCharType="separate"/>
      </w:r>
      <w:r>
        <w:rPr>
          <w:noProof/>
        </w:rPr>
        <w:t>260</w:t>
      </w:r>
      <w:r>
        <w:rPr>
          <w:noProof/>
        </w:rPr>
        <w:fldChar w:fldCharType="end"/>
      </w:r>
    </w:p>
    <w:p w14:paraId="7875567E" w14:textId="6A77C4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7.5.76  Claimant may be required to exercise right of set</w:t>
      </w:r>
      <w:r>
        <w:rPr>
          <w:noProof/>
        </w:rPr>
        <w:noBreakHyphen/>
        <w:t>off</w:t>
      </w:r>
      <w:r>
        <w:rPr>
          <w:noProof/>
        </w:rPr>
        <w:tab/>
      </w:r>
      <w:r>
        <w:rPr>
          <w:noProof/>
        </w:rPr>
        <w:fldChar w:fldCharType="begin"/>
      </w:r>
      <w:r>
        <w:rPr>
          <w:noProof/>
        </w:rPr>
        <w:instrText xml:space="preserve"> PAGEREF _Toc158712199 \h </w:instrText>
      </w:r>
      <w:r>
        <w:rPr>
          <w:noProof/>
        </w:rPr>
      </w:r>
      <w:r>
        <w:rPr>
          <w:noProof/>
        </w:rPr>
        <w:fldChar w:fldCharType="separate"/>
      </w:r>
      <w:r>
        <w:rPr>
          <w:noProof/>
        </w:rPr>
        <w:t>260</w:t>
      </w:r>
      <w:r>
        <w:rPr>
          <w:noProof/>
        </w:rPr>
        <w:fldChar w:fldCharType="end"/>
      </w:r>
    </w:p>
    <w:p w14:paraId="48842153" w14:textId="1F5CA35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7.5.77  Effect of set</w:t>
      </w:r>
      <w:r>
        <w:rPr>
          <w:noProof/>
        </w:rPr>
        <w:noBreakHyphen/>
        <w:t>off on claim</w:t>
      </w:r>
      <w:r>
        <w:rPr>
          <w:noProof/>
        </w:rPr>
        <w:tab/>
      </w:r>
      <w:r>
        <w:rPr>
          <w:noProof/>
        </w:rPr>
        <w:fldChar w:fldCharType="begin"/>
      </w:r>
      <w:r>
        <w:rPr>
          <w:noProof/>
        </w:rPr>
        <w:instrText xml:space="preserve"> PAGEREF _Toc158712200 \h </w:instrText>
      </w:r>
      <w:r>
        <w:rPr>
          <w:noProof/>
        </w:rPr>
      </w:r>
      <w:r>
        <w:rPr>
          <w:noProof/>
        </w:rPr>
        <w:fldChar w:fldCharType="separate"/>
      </w:r>
      <w:r>
        <w:rPr>
          <w:noProof/>
        </w:rPr>
        <w:t>260</w:t>
      </w:r>
      <w:r>
        <w:rPr>
          <w:noProof/>
        </w:rPr>
        <w:fldChar w:fldCharType="end"/>
      </w:r>
    </w:p>
    <w:p w14:paraId="0FFF493E" w14:textId="5042FFB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7.5.78  Claimant entitled to costs and disbursements</w:t>
      </w:r>
      <w:r>
        <w:rPr>
          <w:noProof/>
        </w:rPr>
        <w:tab/>
      </w:r>
      <w:r>
        <w:rPr>
          <w:noProof/>
        </w:rPr>
        <w:fldChar w:fldCharType="begin"/>
      </w:r>
      <w:r>
        <w:rPr>
          <w:noProof/>
        </w:rPr>
        <w:instrText xml:space="preserve"> PAGEREF _Toc158712201 \h </w:instrText>
      </w:r>
      <w:r>
        <w:rPr>
          <w:noProof/>
        </w:rPr>
      </w:r>
      <w:r>
        <w:rPr>
          <w:noProof/>
        </w:rPr>
        <w:fldChar w:fldCharType="separate"/>
      </w:r>
      <w:r>
        <w:rPr>
          <w:noProof/>
        </w:rPr>
        <w:t>261</w:t>
      </w:r>
      <w:r>
        <w:rPr>
          <w:noProof/>
        </w:rPr>
        <w:fldChar w:fldCharType="end"/>
      </w:r>
    </w:p>
    <w:p w14:paraId="4FA98C11" w14:textId="18B7F5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7.5.79  Interest</w:t>
      </w:r>
      <w:r>
        <w:rPr>
          <w:noProof/>
        </w:rPr>
        <w:tab/>
      </w:r>
      <w:r>
        <w:rPr>
          <w:noProof/>
        </w:rPr>
        <w:fldChar w:fldCharType="begin"/>
      </w:r>
      <w:r>
        <w:rPr>
          <w:noProof/>
        </w:rPr>
        <w:instrText xml:space="preserve"> PAGEREF _Toc158712202 \h </w:instrText>
      </w:r>
      <w:r>
        <w:rPr>
          <w:noProof/>
        </w:rPr>
      </w:r>
      <w:r>
        <w:rPr>
          <w:noProof/>
        </w:rPr>
        <w:fldChar w:fldCharType="separate"/>
      </w:r>
      <w:r>
        <w:rPr>
          <w:noProof/>
        </w:rPr>
        <w:t>261</w:t>
      </w:r>
      <w:r>
        <w:rPr>
          <w:noProof/>
        </w:rPr>
        <w:fldChar w:fldCharType="end"/>
      </w:r>
    </w:p>
    <w:p w14:paraId="366F3906" w14:textId="5090C92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7.5.80  SEGC to notify claimant if claim disallowed</w:t>
      </w:r>
      <w:r>
        <w:rPr>
          <w:noProof/>
        </w:rPr>
        <w:tab/>
      </w:r>
      <w:r>
        <w:rPr>
          <w:noProof/>
        </w:rPr>
        <w:fldChar w:fldCharType="begin"/>
      </w:r>
      <w:r>
        <w:rPr>
          <w:noProof/>
        </w:rPr>
        <w:instrText xml:space="preserve"> PAGEREF _Toc158712203 \h </w:instrText>
      </w:r>
      <w:r>
        <w:rPr>
          <w:noProof/>
        </w:rPr>
      </w:r>
      <w:r>
        <w:rPr>
          <w:noProof/>
        </w:rPr>
        <w:fldChar w:fldCharType="separate"/>
      </w:r>
      <w:r>
        <w:rPr>
          <w:noProof/>
        </w:rPr>
        <w:t>262</w:t>
      </w:r>
      <w:r>
        <w:rPr>
          <w:noProof/>
        </w:rPr>
        <w:fldChar w:fldCharType="end"/>
      </w:r>
    </w:p>
    <w:p w14:paraId="63EB74A4" w14:textId="79626D4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7.5.81  Arbitration of amount of cash settlement of certain claims</w:t>
      </w:r>
      <w:r>
        <w:rPr>
          <w:noProof/>
        </w:rPr>
        <w:tab/>
      </w:r>
      <w:r>
        <w:rPr>
          <w:noProof/>
        </w:rPr>
        <w:fldChar w:fldCharType="begin"/>
      </w:r>
      <w:r>
        <w:rPr>
          <w:noProof/>
        </w:rPr>
        <w:instrText xml:space="preserve"> PAGEREF _Toc158712204 \h </w:instrText>
      </w:r>
      <w:r>
        <w:rPr>
          <w:noProof/>
        </w:rPr>
      </w:r>
      <w:r>
        <w:rPr>
          <w:noProof/>
        </w:rPr>
        <w:fldChar w:fldCharType="separate"/>
      </w:r>
      <w:r>
        <w:rPr>
          <w:noProof/>
        </w:rPr>
        <w:t>262</w:t>
      </w:r>
      <w:r>
        <w:rPr>
          <w:noProof/>
        </w:rPr>
        <w:fldChar w:fldCharType="end"/>
      </w:r>
    </w:p>
    <w:p w14:paraId="5AE6B322" w14:textId="4F30B3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7.5.82  Instalment payments</w:t>
      </w:r>
      <w:r>
        <w:rPr>
          <w:noProof/>
        </w:rPr>
        <w:tab/>
      </w:r>
      <w:r>
        <w:rPr>
          <w:noProof/>
        </w:rPr>
        <w:fldChar w:fldCharType="begin"/>
      </w:r>
      <w:r>
        <w:rPr>
          <w:noProof/>
        </w:rPr>
        <w:instrText xml:space="preserve"> PAGEREF _Toc158712205 \h </w:instrText>
      </w:r>
      <w:r>
        <w:rPr>
          <w:noProof/>
        </w:rPr>
      </w:r>
      <w:r>
        <w:rPr>
          <w:noProof/>
        </w:rPr>
        <w:fldChar w:fldCharType="separate"/>
      </w:r>
      <w:r>
        <w:rPr>
          <w:noProof/>
        </w:rPr>
        <w:t>263</w:t>
      </w:r>
      <w:r>
        <w:rPr>
          <w:noProof/>
        </w:rPr>
        <w:fldChar w:fldCharType="end"/>
      </w:r>
    </w:p>
    <w:p w14:paraId="5F730D58" w14:textId="012DC5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7.5.83  Notification of payment of levies</w:t>
      </w:r>
      <w:r>
        <w:rPr>
          <w:noProof/>
        </w:rPr>
        <w:tab/>
      </w:r>
      <w:r>
        <w:rPr>
          <w:noProof/>
        </w:rPr>
        <w:fldChar w:fldCharType="begin"/>
      </w:r>
      <w:r>
        <w:rPr>
          <w:noProof/>
        </w:rPr>
        <w:instrText xml:space="preserve"> PAGEREF _Toc158712206 \h </w:instrText>
      </w:r>
      <w:r>
        <w:rPr>
          <w:noProof/>
        </w:rPr>
      </w:r>
      <w:r>
        <w:rPr>
          <w:noProof/>
        </w:rPr>
        <w:fldChar w:fldCharType="separate"/>
      </w:r>
      <w:r>
        <w:rPr>
          <w:noProof/>
        </w:rPr>
        <w:t>263</w:t>
      </w:r>
      <w:r>
        <w:rPr>
          <w:noProof/>
        </w:rPr>
        <w:fldChar w:fldCharType="end"/>
      </w:r>
    </w:p>
    <w:p w14:paraId="5BD3DBAF" w14:textId="44F5484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7.5.84  Notification of payment of levies</w:t>
      </w:r>
      <w:r>
        <w:rPr>
          <w:noProof/>
        </w:rPr>
        <w:tab/>
      </w:r>
      <w:r>
        <w:rPr>
          <w:noProof/>
        </w:rPr>
        <w:fldChar w:fldCharType="begin"/>
      </w:r>
      <w:r>
        <w:rPr>
          <w:noProof/>
        </w:rPr>
        <w:instrText xml:space="preserve"> PAGEREF _Toc158712207 \h </w:instrText>
      </w:r>
      <w:r>
        <w:rPr>
          <w:noProof/>
        </w:rPr>
      </w:r>
      <w:r>
        <w:rPr>
          <w:noProof/>
        </w:rPr>
        <w:fldChar w:fldCharType="separate"/>
      </w:r>
      <w:r>
        <w:rPr>
          <w:noProof/>
        </w:rPr>
        <w:t>263</w:t>
      </w:r>
      <w:r>
        <w:rPr>
          <w:noProof/>
        </w:rPr>
        <w:fldChar w:fldCharType="end"/>
      </w:r>
    </w:p>
    <w:p w14:paraId="699FA5EF" w14:textId="7AA127AF"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4.11—Other provisions relating to compensation</w:t>
      </w:r>
      <w:r>
        <w:rPr>
          <w:noProof/>
        </w:rPr>
        <w:tab/>
      </w:r>
      <w:r>
        <w:rPr>
          <w:noProof/>
        </w:rPr>
        <w:fldChar w:fldCharType="begin"/>
      </w:r>
      <w:r>
        <w:rPr>
          <w:noProof/>
        </w:rPr>
        <w:instrText xml:space="preserve"> PAGEREF _Toc158712208 \h </w:instrText>
      </w:r>
      <w:r>
        <w:rPr>
          <w:noProof/>
        </w:rPr>
      </w:r>
      <w:r>
        <w:rPr>
          <w:noProof/>
        </w:rPr>
        <w:fldChar w:fldCharType="separate"/>
      </w:r>
      <w:r>
        <w:rPr>
          <w:noProof/>
        </w:rPr>
        <w:t>264</w:t>
      </w:r>
      <w:r>
        <w:rPr>
          <w:noProof/>
        </w:rPr>
        <w:fldChar w:fldCharType="end"/>
      </w:r>
    </w:p>
    <w:p w14:paraId="2CADA81A" w14:textId="5B82D2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7.5.85  Prescribed body corporate with arrangements covering clearing and settlement facility support</w:t>
      </w:r>
      <w:r>
        <w:rPr>
          <w:noProof/>
        </w:rPr>
        <w:tab/>
      </w:r>
      <w:r>
        <w:rPr>
          <w:noProof/>
        </w:rPr>
        <w:fldChar w:fldCharType="begin"/>
      </w:r>
      <w:r>
        <w:rPr>
          <w:noProof/>
        </w:rPr>
        <w:instrText xml:space="preserve"> PAGEREF _Toc158712209 \h </w:instrText>
      </w:r>
      <w:r>
        <w:rPr>
          <w:noProof/>
        </w:rPr>
      </w:r>
      <w:r>
        <w:rPr>
          <w:noProof/>
        </w:rPr>
        <w:fldChar w:fldCharType="separate"/>
      </w:r>
      <w:r>
        <w:rPr>
          <w:noProof/>
        </w:rPr>
        <w:t>264</w:t>
      </w:r>
      <w:r>
        <w:rPr>
          <w:noProof/>
        </w:rPr>
        <w:fldChar w:fldCharType="end"/>
      </w:r>
    </w:p>
    <w:p w14:paraId="1D16C4F7" w14:textId="0324BA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7.5.85A  Transitional provision for joining of Chi</w:t>
      </w:r>
      <w:r>
        <w:rPr>
          <w:noProof/>
        </w:rPr>
        <w:noBreakHyphen/>
        <w:t>X</w:t>
      </w:r>
      <w:r>
        <w:rPr>
          <w:noProof/>
        </w:rPr>
        <w:tab/>
      </w:r>
      <w:r>
        <w:rPr>
          <w:noProof/>
        </w:rPr>
        <w:fldChar w:fldCharType="begin"/>
      </w:r>
      <w:r>
        <w:rPr>
          <w:noProof/>
        </w:rPr>
        <w:instrText xml:space="preserve"> PAGEREF _Toc158712210 \h </w:instrText>
      </w:r>
      <w:r>
        <w:rPr>
          <w:noProof/>
        </w:rPr>
      </w:r>
      <w:r>
        <w:rPr>
          <w:noProof/>
        </w:rPr>
        <w:fldChar w:fldCharType="separate"/>
      </w:r>
      <w:r>
        <w:rPr>
          <w:noProof/>
        </w:rPr>
        <w:t>264</w:t>
      </w:r>
      <w:r>
        <w:rPr>
          <w:noProof/>
        </w:rPr>
        <w:fldChar w:fldCharType="end"/>
      </w:r>
    </w:p>
    <w:p w14:paraId="0D8EF134" w14:textId="2FC0D7B8"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w:t>
      </w:r>
      <w:r w:rsidRPr="00FC743A">
        <w:rPr>
          <w:noProof/>
          <w:color w:val="000000"/>
        </w:rPr>
        <w:t>—</w:t>
      </w:r>
      <w:r>
        <w:rPr>
          <w:noProof/>
        </w:rPr>
        <w:t>Provisions common to both kinds of compensation arrangements</w:t>
      </w:r>
      <w:r>
        <w:rPr>
          <w:noProof/>
        </w:rPr>
        <w:tab/>
      </w:r>
      <w:r>
        <w:rPr>
          <w:noProof/>
        </w:rPr>
        <w:fldChar w:fldCharType="begin"/>
      </w:r>
      <w:r>
        <w:rPr>
          <w:noProof/>
        </w:rPr>
        <w:instrText xml:space="preserve"> PAGEREF _Toc158712211 \h </w:instrText>
      </w:r>
      <w:r>
        <w:rPr>
          <w:noProof/>
        </w:rPr>
      </w:r>
      <w:r>
        <w:rPr>
          <w:noProof/>
        </w:rPr>
        <w:fldChar w:fldCharType="separate"/>
      </w:r>
      <w:r>
        <w:rPr>
          <w:noProof/>
        </w:rPr>
        <w:t>265</w:t>
      </w:r>
      <w:r>
        <w:rPr>
          <w:noProof/>
        </w:rPr>
        <w:fldChar w:fldCharType="end"/>
      </w:r>
    </w:p>
    <w:p w14:paraId="3FC81794" w14:textId="1134D89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7.5.86  Excess money in National Guarantee Fund</w:t>
      </w:r>
      <w:r>
        <w:rPr>
          <w:noProof/>
        </w:rPr>
        <w:tab/>
      </w:r>
      <w:r>
        <w:rPr>
          <w:noProof/>
        </w:rPr>
        <w:fldChar w:fldCharType="begin"/>
      </w:r>
      <w:r>
        <w:rPr>
          <w:noProof/>
        </w:rPr>
        <w:instrText xml:space="preserve"> PAGEREF _Toc158712212 \h </w:instrText>
      </w:r>
      <w:r>
        <w:rPr>
          <w:noProof/>
        </w:rPr>
      </w:r>
      <w:r>
        <w:rPr>
          <w:noProof/>
        </w:rPr>
        <w:fldChar w:fldCharType="separate"/>
      </w:r>
      <w:r>
        <w:rPr>
          <w:noProof/>
        </w:rPr>
        <w:t>265</w:t>
      </w:r>
      <w:r>
        <w:rPr>
          <w:noProof/>
        </w:rPr>
        <w:fldChar w:fldCharType="end"/>
      </w:r>
    </w:p>
    <w:p w14:paraId="7A3D71BD" w14:textId="0CB4392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7.5.87  Excess money in fidelity fund</w:t>
      </w:r>
      <w:r>
        <w:rPr>
          <w:noProof/>
        </w:rPr>
        <w:tab/>
      </w:r>
      <w:r>
        <w:rPr>
          <w:noProof/>
        </w:rPr>
        <w:fldChar w:fldCharType="begin"/>
      </w:r>
      <w:r>
        <w:rPr>
          <w:noProof/>
        </w:rPr>
        <w:instrText xml:space="preserve"> PAGEREF _Toc158712213 \h </w:instrText>
      </w:r>
      <w:r>
        <w:rPr>
          <w:noProof/>
        </w:rPr>
      </w:r>
      <w:r>
        <w:rPr>
          <w:noProof/>
        </w:rPr>
        <w:fldChar w:fldCharType="separate"/>
      </w:r>
      <w:r>
        <w:rPr>
          <w:noProof/>
        </w:rPr>
        <w:t>265</w:t>
      </w:r>
      <w:r>
        <w:rPr>
          <w:noProof/>
        </w:rPr>
        <w:fldChar w:fldCharType="end"/>
      </w:r>
    </w:p>
    <w:p w14:paraId="22414BDC" w14:textId="2A3E88D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7.5.88</w:t>
      </w:r>
      <w:r w:rsidRPr="00FC743A">
        <w:rPr>
          <w:noProof/>
          <w:snapToGrid w:val="0"/>
        </w:rPr>
        <w:t xml:space="preserve">  Minister’s arrangements for use of excess money from compensation funds</w:t>
      </w:r>
      <w:r>
        <w:rPr>
          <w:noProof/>
        </w:rPr>
        <w:tab/>
      </w:r>
      <w:r>
        <w:rPr>
          <w:noProof/>
        </w:rPr>
        <w:fldChar w:fldCharType="begin"/>
      </w:r>
      <w:r>
        <w:rPr>
          <w:noProof/>
        </w:rPr>
        <w:instrText xml:space="preserve"> PAGEREF _Toc158712214 \h </w:instrText>
      </w:r>
      <w:r>
        <w:rPr>
          <w:noProof/>
        </w:rPr>
      </w:r>
      <w:r>
        <w:rPr>
          <w:noProof/>
        </w:rPr>
        <w:fldChar w:fldCharType="separate"/>
      </w:r>
      <w:r>
        <w:rPr>
          <w:noProof/>
        </w:rPr>
        <w:t>265</w:t>
      </w:r>
      <w:r>
        <w:rPr>
          <w:noProof/>
        </w:rPr>
        <w:fldChar w:fldCharType="end"/>
      </w:r>
    </w:p>
    <w:p w14:paraId="3E07F57D" w14:textId="49AC588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7.5.89  Payment of excess money from NGF</w:t>
      </w:r>
      <w:r>
        <w:rPr>
          <w:noProof/>
        </w:rPr>
        <w:tab/>
      </w:r>
      <w:r>
        <w:rPr>
          <w:noProof/>
        </w:rPr>
        <w:fldChar w:fldCharType="begin"/>
      </w:r>
      <w:r>
        <w:rPr>
          <w:noProof/>
        </w:rPr>
        <w:instrText xml:space="preserve"> PAGEREF _Toc158712215 \h </w:instrText>
      </w:r>
      <w:r>
        <w:rPr>
          <w:noProof/>
        </w:rPr>
      </w:r>
      <w:r>
        <w:rPr>
          <w:noProof/>
        </w:rPr>
        <w:fldChar w:fldCharType="separate"/>
      </w:r>
      <w:r>
        <w:rPr>
          <w:noProof/>
        </w:rPr>
        <w:t>266</w:t>
      </w:r>
      <w:r>
        <w:rPr>
          <w:noProof/>
        </w:rPr>
        <w:fldChar w:fldCharType="end"/>
      </w:r>
    </w:p>
    <w:p w14:paraId="52618996" w14:textId="37C84C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7.5.90  Use of excess money from NGF</w:t>
      </w:r>
      <w:r>
        <w:rPr>
          <w:noProof/>
        </w:rPr>
        <w:tab/>
      </w:r>
      <w:r>
        <w:rPr>
          <w:noProof/>
        </w:rPr>
        <w:fldChar w:fldCharType="begin"/>
      </w:r>
      <w:r>
        <w:rPr>
          <w:noProof/>
        </w:rPr>
        <w:instrText xml:space="preserve"> PAGEREF _Toc158712216 \h </w:instrText>
      </w:r>
      <w:r>
        <w:rPr>
          <w:noProof/>
        </w:rPr>
      </w:r>
      <w:r>
        <w:rPr>
          <w:noProof/>
        </w:rPr>
        <w:fldChar w:fldCharType="separate"/>
      </w:r>
      <w:r>
        <w:rPr>
          <w:noProof/>
        </w:rPr>
        <w:t>266</w:t>
      </w:r>
      <w:r>
        <w:rPr>
          <w:noProof/>
        </w:rPr>
        <w:fldChar w:fldCharType="end"/>
      </w:r>
    </w:p>
    <w:p w14:paraId="02E81CC8" w14:textId="1E614A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7.5.91  Payment of excess money from fidelity fund</w:t>
      </w:r>
      <w:r>
        <w:rPr>
          <w:noProof/>
        </w:rPr>
        <w:tab/>
      </w:r>
      <w:r>
        <w:rPr>
          <w:noProof/>
        </w:rPr>
        <w:fldChar w:fldCharType="begin"/>
      </w:r>
      <w:r>
        <w:rPr>
          <w:noProof/>
        </w:rPr>
        <w:instrText xml:space="preserve"> PAGEREF _Toc158712217 \h </w:instrText>
      </w:r>
      <w:r>
        <w:rPr>
          <w:noProof/>
        </w:rPr>
      </w:r>
      <w:r>
        <w:rPr>
          <w:noProof/>
        </w:rPr>
        <w:fldChar w:fldCharType="separate"/>
      </w:r>
      <w:r>
        <w:rPr>
          <w:noProof/>
        </w:rPr>
        <w:t>266</w:t>
      </w:r>
      <w:r>
        <w:rPr>
          <w:noProof/>
        </w:rPr>
        <w:fldChar w:fldCharType="end"/>
      </w:r>
    </w:p>
    <w:p w14:paraId="1DA4DD9B" w14:textId="4D65A75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7.5.92  Use of excess money from fidelity fund</w:t>
      </w:r>
      <w:r>
        <w:rPr>
          <w:noProof/>
        </w:rPr>
        <w:tab/>
      </w:r>
      <w:r>
        <w:rPr>
          <w:noProof/>
        </w:rPr>
        <w:fldChar w:fldCharType="begin"/>
      </w:r>
      <w:r>
        <w:rPr>
          <w:noProof/>
        </w:rPr>
        <w:instrText xml:space="preserve"> PAGEREF _Toc158712218 \h </w:instrText>
      </w:r>
      <w:r>
        <w:rPr>
          <w:noProof/>
        </w:rPr>
      </w:r>
      <w:r>
        <w:rPr>
          <w:noProof/>
        </w:rPr>
        <w:fldChar w:fldCharType="separate"/>
      </w:r>
      <w:r>
        <w:rPr>
          <w:noProof/>
        </w:rPr>
        <w:t>266</w:t>
      </w:r>
      <w:r>
        <w:rPr>
          <w:noProof/>
        </w:rPr>
        <w:fldChar w:fldCharType="end"/>
      </w:r>
    </w:p>
    <w:p w14:paraId="58D63895" w14:textId="1588FB4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7.5.93  Qualified privilege</w:t>
      </w:r>
      <w:r>
        <w:rPr>
          <w:noProof/>
        </w:rPr>
        <w:tab/>
      </w:r>
      <w:r>
        <w:rPr>
          <w:noProof/>
        </w:rPr>
        <w:fldChar w:fldCharType="begin"/>
      </w:r>
      <w:r>
        <w:rPr>
          <w:noProof/>
        </w:rPr>
        <w:instrText xml:space="preserve"> PAGEREF _Toc158712219 \h </w:instrText>
      </w:r>
      <w:r>
        <w:rPr>
          <w:noProof/>
        </w:rPr>
      </w:r>
      <w:r>
        <w:rPr>
          <w:noProof/>
        </w:rPr>
        <w:fldChar w:fldCharType="separate"/>
      </w:r>
      <w:r>
        <w:rPr>
          <w:noProof/>
        </w:rPr>
        <w:t>267</w:t>
      </w:r>
      <w:r>
        <w:rPr>
          <w:noProof/>
        </w:rPr>
        <w:fldChar w:fldCharType="end"/>
      </w:r>
    </w:p>
    <w:p w14:paraId="2D45A298" w14:textId="0F078D5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7.5A</w:t>
      </w:r>
      <w:r w:rsidRPr="00FC743A">
        <w:rPr>
          <w:strike/>
          <w:noProof/>
        </w:rPr>
        <w:t>—</w:t>
      </w:r>
      <w:r>
        <w:rPr>
          <w:noProof/>
        </w:rPr>
        <w:t>Regulation of derivative transactions and derivative trade repositories</w:t>
      </w:r>
      <w:r>
        <w:rPr>
          <w:noProof/>
        </w:rPr>
        <w:tab/>
      </w:r>
      <w:r>
        <w:rPr>
          <w:noProof/>
        </w:rPr>
        <w:fldChar w:fldCharType="begin"/>
      </w:r>
      <w:r>
        <w:rPr>
          <w:noProof/>
        </w:rPr>
        <w:instrText xml:space="preserve"> PAGEREF _Toc158712220 \h </w:instrText>
      </w:r>
      <w:r>
        <w:rPr>
          <w:noProof/>
        </w:rPr>
      </w:r>
      <w:r>
        <w:rPr>
          <w:noProof/>
        </w:rPr>
        <w:fldChar w:fldCharType="separate"/>
      </w:r>
      <w:r>
        <w:rPr>
          <w:noProof/>
        </w:rPr>
        <w:t>268</w:t>
      </w:r>
      <w:r>
        <w:rPr>
          <w:noProof/>
        </w:rPr>
        <w:fldChar w:fldCharType="end"/>
      </w:r>
    </w:p>
    <w:p w14:paraId="637B5B5C" w14:textId="03F3AF3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2—Regulation of derivative transactions: derivative transaction rules</w:t>
      </w:r>
      <w:r>
        <w:rPr>
          <w:noProof/>
        </w:rPr>
        <w:tab/>
      </w:r>
      <w:r>
        <w:rPr>
          <w:noProof/>
        </w:rPr>
        <w:fldChar w:fldCharType="begin"/>
      </w:r>
      <w:r>
        <w:rPr>
          <w:noProof/>
        </w:rPr>
        <w:instrText xml:space="preserve"> PAGEREF _Toc158712221 \h </w:instrText>
      </w:r>
      <w:r>
        <w:rPr>
          <w:noProof/>
        </w:rPr>
      </w:r>
      <w:r>
        <w:rPr>
          <w:noProof/>
        </w:rPr>
        <w:fldChar w:fldCharType="separate"/>
      </w:r>
      <w:r>
        <w:rPr>
          <w:noProof/>
        </w:rPr>
        <w:t>268</w:t>
      </w:r>
      <w:r>
        <w:rPr>
          <w:noProof/>
        </w:rPr>
        <w:fldChar w:fldCharType="end"/>
      </w:r>
    </w:p>
    <w:p w14:paraId="0E6CD6D4" w14:textId="03F4DEBD"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2.1</w:t>
      </w:r>
      <w:r w:rsidRPr="00FC743A">
        <w:rPr>
          <w:strike/>
          <w:noProof/>
        </w:rPr>
        <w:t>—</w:t>
      </w:r>
      <w:r>
        <w:rPr>
          <w:noProof/>
        </w:rPr>
        <w:t>Power to make derivative transaction rules</w:t>
      </w:r>
      <w:r>
        <w:rPr>
          <w:noProof/>
        </w:rPr>
        <w:tab/>
      </w:r>
      <w:r>
        <w:rPr>
          <w:noProof/>
        </w:rPr>
        <w:fldChar w:fldCharType="begin"/>
      </w:r>
      <w:r>
        <w:rPr>
          <w:noProof/>
        </w:rPr>
        <w:instrText xml:space="preserve"> PAGEREF _Toc158712222 \h </w:instrText>
      </w:r>
      <w:r>
        <w:rPr>
          <w:noProof/>
        </w:rPr>
      </w:r>
      <w:r>
        <w:rPr>
          <w:noProof/>
        </w:rPr>
        <w:fldChar w:fldCharType="separate"/>
      </w:r>
      <w:r>
        <w:rPr>
          <w:noProof/>
        </w:rPr>
        <w:t>268</w:t>
      </w:r>
      <w:r>
        <w:rPr>
          <w:noProof/>
        </w:rPr>
        <w:fldChar w:fldCharType="end"/>
      </w:r>
    </w:p>
    <w:p w14:paraId="007A46E8" w14:textId="2EA60B6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7.5A.30  Reporting requirements—prescribed facilities</w:t>
      </w:r>
      <w:r>
        <w:rPr>
          <w:noProof/>
        </w:rPr>
        <w:tab/>
      </w:r>
      <w:r>
        <w:rPr>
          <w:noProof/>
        </w:rPr>
        <w:fldChar w:fldCharType="begin"/>
      </w:r>
      <w:r>
        <w:rPr>
          <w:noProof/>
        </w:rPr>
        <w:instrText xml:space="preserve"> PAGEREF _Toc158712223 \h </w:instrText>
      </w:r>
      <w:r>
        <w:rPr>
          <w:noProof/>
        </w:rPr>
      </w:r>
      <w:r>
        <w:rPr>
          <w:noProof/>
        </w:rPr>
        <w:fldChar w:fldCharType="separate"/>
      </w:r>
      <w:r>
        <w:rPr>
          <w:noProof/>
        </w:rPr>
        <w:t>268</w:t>
      </w:r>
      <w:r>
        <w:rPr>
          <w:noProof/>
        </w:rPr>
        <w:fldChar w:fldCharType="end"/>
      </w:r>
    </w:p>
    <w:p w14:paraId="6DFED51F" w14:textId="42FB45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7.5A.50  Persons on whom requirements cannot be imposed</w:t>
      </w:r>
      <w:r>
        <w:rPr>
          <w:noProof/>
        </w:rPr>
        <w:tab/>
      </w:r>
      <w:r>
        <w:rPr>
          <w:noProof/>
        </w:rPr>
        <w:fldChar w:fldCharType="begin"/>
      </w:r>
      <w:r>
        <w:rPr>
          <w:noProof/>
        </w:rPr>
        <w:instrText xml:space="preserve"> PAGEREF _Toc158712224 \h </w:instrText>
      </w:r>
      <w:r>
        <w:rPr>
          <w:noProof/>
        </w:rPr>
      </w:r>
      <w:r>
        <w:rPr>
          <w:noProof/>
        </w:rPr>
        <w:fldChar w:fldCharType="separate"/>
      </w:r>
      <w:r>
        <w:rPr>
          <w:noProof/>
        </w:rPr>
        <w:t>268</w:t>
      </w:r>
      <w:r>
        <w:rPr>
          <w:noProof/>
        </w:rPr>
        <w:fldChar w:fldCharType="end"/>
      </w:r>
    </w:p>
    <w:p w14:paraId="6442F1DC" w14:textId="63A5D0AC"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2.1A—Derivative transaction rules imposing clearing requirements</w:t>
      </w:r>
      <w:r>
        <w:rPr>
          <w:noProof/>
        </w:rPr>
        <w:tab/>
      </w:r>
      <w:r>
        <w:rPr>
          <w:noProof/>
        </w:rPr>
        <w:fldChar w:fldCharType="begin"/>
      </w:r>
      <w:r>
        <w:rPr>
          <w:noProof/>
        </w:rPr>
        <w:instrText xml:space="preserve"> PAGEREF _Toc158712225 \h </w:instrText>
      </w:r>
      <w:r>
        <w:rPr>
          <w:noProof/>
        </w:rPr>
      </w:r>
      <w:r>
        <w:rPr>
          <w:noProof/>
        </w:rPr>
        <w:fldChar w:fldCharType="separate"/>
      </w:r>
      <w:r>
        <w:rPr>
          <w:noProof/>
        </w:rPr>
        <w:t>269</w:t>
      </w:r>
      <w:r>
        <w:rPr>
          <w:noProof/>
        </w:rPr>
        <w:fldChar w:fldCharType="end"/>
      </w:r>
    </w:p>
    <w:p w14:paraId="77456401" w14:textId="547516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7.5A.60  Definitions for Subdivision 2.1A</w:t>
      </w:r>
      <w:r>
        <w:rPr>
          <w:noProof/>
        </w:rPr>
        <w:tab/>
      </w:r>
      <w:r>
        <w:rPr>
          <w:noProof/>
        </w:rPr>
        <w:fldChar w:fldCharType="begin"/>
      </w:r>
      <w:r>
        <w:rPr>
          <w:noProof/>
        </w:rPr>
        <w:instrText xml:space="preserve"> PAGEREF _Toc158712226 \h </w:instrText>
      </w:r>
      <w:r>
        <w:rPr>
          <w:noProof/>
        </w:rPr>
      </w:r>
      <w:r>
        <w:rPr>
          <w:noProof/>
        </w:rPr>
        <w:fldChar w:fldCharType="separate"/>
      </w:r>
      <w:r>
        <w:rPr>
          <w:noProof/>
        </w:rPr>
        <w:t>269</w:t>
      </w:r>
      <w:r>
        <w:rPr>
          <w:noProof/>
        </w:rPr>
        <w:fldChar w:fldCharType="end"/>
      </w:r>
    </w:p>
    <w:p w14:paraId="3C1A6776" w14:textId="3940935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7.5A.61  Meaning of </w:t>
      </w:r>
      <w:r w:rsidRPr="00FC743A">
        <w:rPr>
          <w:i/>
          <w:noProof/>
        </w:rPr>
        <w:t>Australian clearing entity</w:t>
      </w:r>
      <w:r>
        <w:rPr>
          <w:noProof/>
        </w:rPr>
        <w:tab/>
      </w:r>
      <w:r>
        <w:rPr>
          <w:noProof/>
        </w:rPr>
        <w:fldChar w:fldCharType="begin"/>
      </w:r>
      <w:r>
        <w:rPr>
          <w:noProof/>
        </w:rPr>
        <w:instrText xml:space="preserve"> PAGEREF _Toc158712227 \h </w:instrText>
      </w:r>
      <w:r>
        <w:rPr>
          <w:noProof/>
        </w:rPr>
      </w:r>
      <w:r>
        <w:rPr>
          <w:noProof/>
        </w:rPr>
        <w:fldChar w:fldCharType="separate"/>
      </w:r>
      <w:r>
        <w:rPr>
          <w:noProof/>
        </w:rPr>
        <w:t>269</w:t>
      </w:r>
      <w:r>
        <w:rPr>
          <w:noProof/>
        </w:rPr>
        <w:fldChar w:fldCharType="end"/>
      </w:r>
    </w:p>
    <w:p w14:paraId="5BFFDF53" w14:textId="0B7345E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7.5A.62  Meaning of </w:t>
      </w:r>
      <w:r w:rsidRPr="00FC743A">
        <w:rPr>
          <w:i/>
          <w:noProof/>
        </w:rPr>
        <w:t>foreign clearing entity</w:t>
      </w:r>
      <w:r>
        <w:rPr>
          <w:noProof/>
        </w:rPr>
        <w:tab/>
      </w:r>
      <w:r>
        <w:rPr>
          <w:noProof/>
        </w:rPr>
        <w:fldChar w:fldCharType="begin"/>
      </w:r>
      <w:r>
        <w:rPr>
          <w:noProof/>
        </w:rPr>
        <w:instrText xml:space="preserve"> PAGEREF _Toc158712228 \h </w:instrText>
      </w:r>
      <w:r>
        <w:rPr>
          <w:noProof/>
        </w:rPr>
      </w:r>
      <w:r>
        <w:rPr>
          <w:noProof/>
        </w:rPr>
        <w:fldChar w:fldCharType="separate"/>
      </w:r>
      <w:r>
        <w:rPr>
          <w:noProof/>
        </w:rPr>
        <w:t>270</w:t>
      </w:r>
      <w:r>
        <w:rPr>
          <w:noProof/>
        </w:rPr>
        <w:fldChar w:fldCharType="end"/>
      </w:r>
    </w:p>
    <w:p w14:paraId="02275B9B" w14:textId="759BCA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7.5A.63  Clearing requirements—prescribed facilities</w:t>
      </w:r>
      <w:r>
        <w:rPr>
          <w:noProof/>
        </w:rPr>
        <w:tab/>
      </w:r>
      <w:r>
        <w:rPr>
          <w:noProof/>
        </w:rPr>
        <w:fldChar w:fldCharType="begin"/>
      </w:r>
      <w:r>
        <w:rPr>
          <w:noProof/>
        </w:rPr>
        <w:instrText xml:space="preserve"> PAGEREF _Toc158712229 \h </w:instrText>
      </w:r>
      <w:r>
        <w:rPr>
          <w:noProof/>
        </w:rPr>
      </w:r>
      <w:r>
        <w:rPr>
          <w:noProof/>
        </w:rPr>
        <w:fldChar w:fldCharType="separate"/>
      </w:r>
      <w:r>
        <w:rPr>
          <w:noProof/>
        </w:rPr>
        <w:t>270</w:t>
      </w:r>
      <w:r>
        <w:rPr>
          <w:noProof/>
        </w:rPr>
        <w:fldChar w:fldCharType="end"/>
      </w:r>
    </w:p>
    <w:p w14:paraId="3AF204BA" w14:textId="761FA8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7.5A.64  Persons on whom clearing requirements cannot be imposed</w:t>
      </w:r>
      <w:r>
        <w:rPr>
          <w:noProof/>
        </w:rPr>
        <w:tab/>
      </w:r>
      <w:r>
        <w:rPr>
          <w:noProof/>
        </w:rPr>
        <w:fldChar w:fldCharType="begin"/>
      </w:r>
      <w:r>
        <w:rPr>
          <w:noProof/>
        </w:rPr>
        <w:instrText xml:space="preserve"> PAGEREF _Toc158712230 \h </w:instrText>
      </w:r>
      <w:r>
        <w:rPr>
          <w:noProof/>
        </w:rPr>
      </w:r>
      <w:r>
        <w:rPr>
          <w:noProof/>
        </w:rPr>
        <w:fldChar w:fldCharType="separate"/>
      </w:r>
      <w:r>
        <w:rPr>
          <w:noProof/>
        </w:rPr>
        <w:t>271</w:t>
      </w:r>
      <w:r>
        <w:rPr>
          <w:noProof/>
        </w:rPr>
        <w:fldChar w:fldCharType="end"/>
      </w:r>
    </w:p>
    <w:p w14:paraId="71AC2EFC" w14:textId="4448CEA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7.5A.65  Circumstances in which clearing requirements can be imposed</w:t>
      </w:r>
      <w:r>
        <w:rPr>
          <w:noProof/>
        </w:rPr>
        <w:tab/>
      </w:r>
      <w:r>
        <w:rPr>
          <w:noProof/>
        </w:rPr>
        <w:fldChar w:fldCharType="begin"/>
      </w:r>
      <w:r>
        <w:rPr>
          <w:noProof/>
        </w:rPr>
        <w:instrText xml:space="preserve"> PAGEREF _Toc158712231 \h </w:instrText>
      </w:r>
      <w:r>
        <w:rPr>
          <w:noProof/>
        </w:rPr>
      </w:r>
      <w:r>
        <w:rPr>
          <w:noProof/>
        </w:rPr>
        <w:fldChar w:fldCharType="separate"/>
      </w:r>
      <w:r>
        <w:rPr>
          <w:noProof/>
        </w:rPr>
        <w:t>271</w:t>
      </w:r>
      <w:r>
        <w:rPr>
          <w:noProof/>
        </w:rPr>
        <w:fldChar w:fldCharType="end"/>
      </w:r>
    </w:p>
    <w:p w14:paraId="75935B1A" w14:textId="5612FA43"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2.1B—Phase 3 reporting entities—exemption from OTC derivative reporting requirements</w:t>
      </w:r>
      <w:r>
        <w:rPr>
          <w:noProof/>
        </w:rPr>
        <w:tab/>
      </w:r>
      <w:r>
        <w:rPr>
          <w:noProof/>
        </w:rPr>
        <w:fldChar w:fldCharType="begin"/>
      </w:r>
      <w:r>
        <w:rPr>
          <w:noProof/>
        </w:rPr>
        <w:instrText xml:space="preserve"> PAGEREF _Toc158712232 \h </w:instrText>
      </w:r>
      <w:r>
        <w:rPr>
          <w:noProof/>
        </w:rPr>
      </w:r>
      <w:r>
        <w:rPr>
          <w:noProof/>
        </w:rPr>
        <w:fldChar w:fldCharType="separate"/>
      </w:r>
      <w:r>
        <w:rPr>
          <w:noProof/>
        </w:rPr>
        <w:t>271</w:t>
      </w:r>
      <w:r>
        <w:rPr>
          <w:noProof/>
        </w:rPr>
        <w:fldChar w:fldCharType="end"/>
      </w:r>
    </w:p>
    <w:p w14:paraId="311AE178" w14:textId="60342C5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7.5A.70  Definitions for Subdivision 2.1B</w:t>
      </w:r>
      <w:r>
        <w:rPr>
          <w:noProof/>
        </w:rPr>
        <w:tab/>
      </w:r>
      <w:r>
        <w:rPr>
          <w:noProof/>
        </w:rPr>
        <w:fldChar w:fldCharType="begin"/>
      </w:r>
      <w:r>
        <w:rPr>
          <w:noProof/>
        </w:rPr>
        <w:instrText xml:space="preserve"> PAGEREF _Toc158712233 \h </w:instrText>
      </w:r>
      <w:r>
        <w:rPr>
          <w:noProof/>
        </w:rPr>
      </w:r>
      <w:r>
        <w:rPr>
          <w:noProof/>
        </w:rPr>
        <w:fldChar w:fldCharType="separate"/>
      </w:r>
      <w:r>
        <w:rPr>
          <w:noProof/>
        </w:rPr>
        <w:t>271</w:t>
      </w:r>
      <w:r>
        <w:rPr>
          <w:noProof/>
        </w:rPr>
        <w:fldChar w:fldCharType="end"/>
      </w:r>
    </w:p>
    <w:p w14:paraId="6F487728" w14:textId="460D7F3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7.5A.71  Exemption—single</w:t>
      </w:r>
      <w:r>
        <w:rPr>
          <w:noProof/>
        </w:rPr>
        <w:noBreakHyphen/>
        <w:t>sided transaction and position reporting</w:t>
      </w:r>
      <w:r>
        <w:rPr>
          <w:noProof/>
        </w:rPr>
        <w:tab/>
      </w:r>
      <w:r>
        <w:rPr>
          <w:noProof/>
        </w:rPr>
        <w:fldChar w:fldCharType="begin"/>
      </w:r>
      <w:r>
        <w:rPr>
          <w:noProof/>
        </w:rPr>
        <w:instrText xml:space="preserve"> PAGEREF _Toc158712234 \h </w:instrText>
      </w:r>
      <w:r>
        <w:rPr>
          <w:noProof/>
        </w:rPr>
      </w:r>
      <w:r>
        <w:rPr>
          <w:noProof/>
        </w:rPr>
        <w:fldChar w:fldCharType="separate"/>
      </w:r>
      <w:r>
        <w:rPr>
          <w:noProof/>
        </w:rPr>
        <w:t>272</w:t>
      </w:r>
      <w:r>
        <w:rPr>
          <w:noProof/>
        </w:rPr>
        <w:fldChar w:fldCharType="end"/>
      </w:r>
    </w:p>
    <w:p w14:paraId="4A102D12" w14:textId="6AC6F78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7.5A.72  Reporting counterparties</w:t>
      </w:r>
      <w:r>
        <w:rPr>
          <w:noProof/>
        </w:rPr>
        <w:tab/>
      </w:r>
      <w:r>
        <w:rPr>
          <w:noProof/>
        </w:rPr>
        <w:fldChar w:fldCharType="begin"/>
      </w:r>
      <w:r>
        <w:rPr>
          <w:noProof/>
        </w:rPr>
        <w:instrText xml:space="preserve"> PAGEREF _Toc158712235 \h </w:instrText>
      </w:r>
      <w:r>
        <w:rPr>
          <w:noProof/>
        </w:rPr>
      </w:r>
      <w:r>
        <w:rPr>
          <w:noProof/>
        </w:rPr>
        <w:fldChar w:fldCharType="separate"/>
      </w:r>
      <w:r>
        <w:rPr>
          <w:noProof/>
        </w:rPr>
        <w:t>272</w:t>
      </w:r>
      <w:r>
        <w:rPr>
          <w:noProof/>
        </w:rPr>
        <w:fldChar w:fldCharType="end"/>
      </w:r>
    </w:p>
    <w:p w14:paraId="699DE8F9" w14:textId="7632129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7.5A.73  Application of exemptions</w:t>
      </w:r>
      <w:r>
        <w:rPr>
          <w:noProof/>
        </w:rPr>
        <w:tab/>
      </w:r>
      <w:r>
        <w:rPr>
          <w:noProof/>
        </w:rPr>
        <w:fldChar w:fldCharType="begin"/>
      </w:r>
      <w:r>
        <w:rPr>
          <w:noProof/>
        </w:rPr>
        <w:instrText xml:space="preserve"> PAGEREF _Toc158712236 \h </w:instrText>
      </w:r>
      <w:r>
        <w:rPr>
          <w:noProof/>
        </w:rPr>
      </w:r>
      <w:r>
        <w:rPr>
          <w:noProof/>
        </w:rPr>
        <w:fldChar w:fldCharType="separate"/>
      </w:r>
      <w:r>
        <w:rPr>
          <w:noProof/>
        </w:rPr>
        <w:t>274</w:t>
      </w:r>
      <w:r>
        <w:rPr>
          <w:noProof/>
        </w:rPr>
        <w:fldChar w:fldCharType="end"/>
      </w:r>
    </w:p>
    <w:p w14:paraId="69FF85B3" w14:textId="10FF0A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7.5A.74  Reporting requirement—exemption stops applying</w:t>
      </w:r>
      <w:r>
        <w:rPr>
          <w:noProof/>
        </w:rPr>
        <w:tab/>
      </w:r>
      <w:r>
        <w:rPr>
          <w:noProof/>
        </w:rPr>
        <w:fldChar w:fldCharType="begin"/>
      </w:r>
      <w:r>
        <w:rPr>
          <w:noProof/>
        </w:rPr>
        <w:instrText xml:space="preserve"> PAGEREF _Toc158712237 \h </w:instrText>
      </w:r>
      <w:r>
        <w:rPr>
          <w:noProof/>
        </w:rPr>
      </w:r>
      <w:r>
        <w:rPr>
          <w:noProof/>
        </w:rPr>
        <w:fldChar w:fldCharType="separate"/>
      </w:r>
      <w:r>
        <w:rPr>
          <w:noProof/>
        </w:rPr>
        <w:t>275</w:t>
      </w:r>
      <w:r>
        <w:rPr>
          <w:noProof/>
        </w:rPr>
        <w:fldChar w:fldCharType="end"/>
      </w:r>
    </w:p>
    <w:p w14:paraId="0AB91DCA" w14:textId="05D16024"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2.2—Enforceable undertakings</w:t>
      </w:r>
      <w:r>
        <w:rPr>
          <w:noProof/>
        </w:rPr>
        <w:tab/>
      </w:r>
      <w:r>
        <w:rPr>
          <w:noProof/>
        </w:rPr>
        <w:fldChar w:fldCharType="begin"/>
      </w:r>
      <w:r>
        <w:rPr>
          <w:noProof/>
        </w:rPr>
        <w:instrText xml:space="preserve"> PAGEREF _Toc158712238 \h </w:instrText>
      </w:r>
      <w:r>
        <w:rPr>
          <w:noProof/>
        </w:rPr>
      </w:r>
      <w:r>
        <w:rPr>
          <w:noProof/>
        </w:rPr>
        <w:fldChar w:fldCharType="separate"/>
      </w:r>
      <w:r>
        <w:rPr>
          <w:noProof/>
        </w:rPr>
        <w:t>275</w:t>
      </w:r>
      <w:r>
        <w:rPr>
          <w:noProof/>
        </w:rPr>
        <w:fldChar w:fldCharType="end"/>
      </w:r>
    </w:p>
    <w:p w14:paraId="7AB88839" w14:textId="669CE2B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7.5A.101  Enforceable undertakings</w:t>
      </w:r>
      <w:r>
        <w:rPr>
          <w:noProof/>
        </w:rPr>
        <w:tab/>
      </w:r>
      <w:r>
        <w:rPr>
          <w:noProof/>
        </w:rPr>
        <w:fldChar w:fldCharType="begin"/>
      </w:r>
      <w:r>
        <w:rPr>
          <w:noProof/>
        </w:rPr>
        <w:instrText xml:space="preserve"> PAGEREF _Toc158712239 \h </w:instrText>
      </w:r>
      <w:r>
        <w:rPr>
          <w:noProof/>
        </w:rPr>
      </w:r>
      <w:r>
        <w:rPr>
          <w:noProof/>
        </w:rPr>
        <w:fldChar w:fldCharType="separate"/>
      </w:r>
      <w:r>
        <w:rPr>
          <w:noProof/>
        </w:rPr>
        <w:t>275</w:t>
      </w:r>
      <w:r>
        <w:rPr>
          <w:noProof/>
        </w:rPr>
        <w:fldChar w:fldCharType="end"/>
      </w:r>
    </w:p>
    <w:p w14:paraId="144EFB9B" w14:textId="1B63CC42"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2.3—Infringement notices</w:t>
      </w:r>
      <w:r>
        <w:rPr>
          <w:noProof/>
        </w:rPr>
        <w:tab/>
      </w:r>
      <w:r>
        <w:rPr>
          <w:noProof/>
        </w:rPr>
        <w:fldChar w:fldCharType="begin"/>
      </w:r>
      <w:r>
        <w:rPr>
          <w:noProof/>
        </w:rPr>
        <w:instrText xml:space="preserve"> PAGEREF _Toc158712240 \h </w:instrText>
      </w:r>
      <w:r>
        <w:rPr>
          <w:noProof/>
        </w:rPr>
      </w:r>
      <w:r>
        <w:rPr>
          <w:noProof/>
        </w:rPr>
        <w:fldChar w:fldCharType="separate"/>
      </w:r>
      <w:r>
        <w:rPr>
          <w:noProof/>
        </w:rPr>
        <w:t>276</w:t>
      </w:r>
      <w:r>
        <w:rPr>
          <w:noProof/>
        </w:rPr>
        <w:fldChar w:fldCharType="end"/>
      </w:r>
    </w:p>
    <w:p w14:paraId="35171764" w14:textId="4B1FCA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7.5A.102  Infringement notices</w:t>
      </w:r>
      <w:r>
        <w:rPr>
          <w:noProof/>
        </w:rPr>
        <w:tab/>
      </w:r>
      <w:r>
        <w:rPr>
          <w:noProof/>
        </w:rPr>
        <w:fldChar w:fldCharType="begin"/>
      </w:r>
      <w:r>
        <w:rPr>
          <w:noProof/>
        </w:rPr>
        <w:instrText xml:space="preserve"> PAGEREF _Toc158712241 \h </w:instrText>
      </w:r>
      <w:r>
        <w:rPr>
          <w:noProof/>
        </w:rPr>
      </w:r>
      <w:r>
        <w:rPr>
          <w:noProof/>
        </w:rPr>
        <w:fldChar w:fldCharType="separate"/>
      </w:r>
      <w:r>
        <w:rPr>
          <w:noProof/>
        </w:rPr>
        <w:t>276</w:t>
      </w:r>
      <w:r>
        <w:rPr>
          <w:noProof/>
        </w:rPr>
        <w:fldChar w:fldCharType="end"/>
      </w:r>
    </w:p>
    <w:p w14:paraId="51E92601" w14:textId="713C06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7.5A.103  Definitions for Subdivision</w:t>
      </w:r>
      <w:r>
        <w:rPr>
          <w:noProof/>
        </w:rPr>
        <w:tab/>
      </w:r>
      <w:r>
        <w:rPr>
          <w:noProof/>
        </w:rPr>
        <w:fldChar w:fldCharType="begin"/>
      </w:r>
      <w:r>
        <w:rPr>
          <w:noProof/>
        </w:rPr>
        <w:instrText xml:space="preserve"> PAGEREF _Toc158712242 \h </w:instrText>
      </w:r>
      <w:r>
        <w:rPr>
          <w:noProof/>
        </w:rPr>
      </w:r>
      <w:r>
        <w:rPr>
          <w:noProof/>
        </w:rPr>
        <w:fldChar w:fldCharType="separate"/>
      </w:r>
      <w:r>
        <w:rPr>
          <w:noProof/>
        </w:rPr>
        <w:t>276</w:t>
      </w:r>
      <w:r>
        <w:rPr>
          <w:noProof/>
        </w:rPr>
        <w:fldChar w:fldCharType="end"/>
      </w:r>
    </w:p>
    <w:p w14:paraId="7863C38F" w14:textId="36F318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7.5A.104  When infringement notice can be given</w:t>
      </w:r>
      <w:r>
        <w:rPr>
          <w:noProof/>
        </w:rPr>
        <w:tab/>
      </w:r>
      <w:r>
        <w:rPr>
          <w:noProof/>
        </w:rPr>
        <w:fldChar w:fldCharType="begin"/>
      </w:r>
      <w:r>
        <w:rPr>
          <w:noProof/>
        </w:rPr>
        <w:instrText xml:space="preserve"> PAGEREF _Toc158712243 \h </w:instrText>
      </w:r>
      <w:r>
        <w:rPr>
          <w:noProof/>
        </w:rPr>
      </w:r>
      <w:r>
        <w:rPr>
          <w:noProof/>
        </w:rPr>
        <w:fldChar w:fldCharType="separate"/>
      </w:r>
      <w:r>
        <w:rPr>
          <w:noProof/>
        </w:rPr>
        <w:t>276</w:t>
      </w:r>
      <w:r>
        <w:rPr>
          <w:noProof/>
        </w:rPr>
        <w:fldChar w:fldCharType="end"/>
      </w:r>
    </w:p>
    <w:p w14:paraId="265244EE" w14:textId="3CA543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7.5A.105  Statement of reasons must be given</w:t>
      </w:r>
      <w:r>
        <w:rPr>
          <w:noProof/>
        </w:rPr>
        <w:tab/>
      </w:r>
      <w:r>
        <w:rPr>
          <w:noProof/>
        </w:rPr>
        <w:fldChar w:fldCharType="begin"/>
      </w:r>
      <w:r>
        <w:rPr>
          <w:noProof/>
        </w:rPr>
        <w:instrText xml:space="preserve"> PAGEREF _Toc158712244 \h </w:instrText>
      </w:r>
      <w:r>
        <w:rPr>
          <w:noProof/>
        </w:rPr>
      </w:r>
      <w:r>
        <w:rPr>
          <w:noProof/>
        </w:rPr>
        <w:fldChar w:fldCharType="separate"/>
      </w:r>
      <w:r>
        <w:rPr>
          <w:noProof/>
        </w:rPr>
        <w:t>276</w:t>
      </w:r>
      <w:r>
        <w:rPr>
          <w:noProof/>
        </w:rPr>
        <w:fldChar w:fldCharType="end"/>
      </w:r>
    </w:p>
    <w:p w14:paraId="3D2B1B3A" w14:textId="7C41CB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7.5A.106  Contents of infringement notice</w:t>
      </w:r>
      <w:r>
        <w:rPr>
          <w:noProof/>
        </w:rPr>
        <w:tab/>
      </w:r>
      <w:r>
        <w:rPr>
          <w:noProof/>
        </w:rPr>
        <w:fldChar w:fldCharType="begin"/>
      </w:r>
      <w:r>
        <w:rPr>
          <w:noProof/>
        </w:rPr>
        <w:instrText xml:space="preserve"> PAGEREF _Toc158712245 \h </w:instrText>
      </w:r>
      <w:r>
        <w:rPr>
          <w:noProof/>
        </w:rPr>
      </w:r>
      <w:r>
        <w:rPr>
          <w:noProof/>
        </w:rPr>
        <w:fldChar w:fldCharType="separate"/>
      </w:r>
      <w:r>
        <w:rPr>
          <w:noProof/>
        </w:rPr>
        <w:t>277</w:t>
      </w:r>
      <w:r>
        <w:rPr>
          <w:noProof/>
        </w:rPr>
        <w:fldChar w:fldCharType="end"/>
      </w:r>
    </w:p>
    <w:p w14:paraId="39C065D3" w14:textId="1B277B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7.5A.107  Amount of penalty payable to the Commonwealth</w:t>
      </w:r>
      <w:r>
        <w:rPr>
          <w:noProof/>
        </w:rPr>
        <w:tab/>
      </w:r>
      <w:r>
        <w:rPr>
          <w:noProof/>
        </w:rPr>
        <w:fldChar w:fldCharType="begin"/>
      </w:r>
      <w:r>
        <w:rPr>
          <w:noProof/>
        </w:rPr>
        <w:instrText xml:space="preserve"> PAGEREF _Toc158712246 \h </w:instrText>
      </w:r>
      <w:r>
        <w:rPr>
          <w:noProof/>
        </w:rPr>
      </w:r>
      <w:r>
        <w:rPr>
          <w:noProof/>
        </w:rPr>
        <w:fldChar w:fldCharType="separate"/>
      </w:r>
      <w:r>
        <w:rPr>
          <w:noProof/>
        </w:rPr>
        <w:t>277</w:t>
      </w:r>
      <w:r>
        <w:rPr>
          <w:noProof/>
        </w:rPr>
        <w:fldChar w:fldCharType="end"/>
      </w:r>
    </w:p>
    <w:p w14:paraId="250F1CC1" w14:textId="49A3525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7.5A.108  Compliance with infringement notice</w:t>
      </w:r>
      <w:r>
        <w:rPr>
          <w:noProof/>
        </w:rPr>
        <w:tab/>
      </w:r>
      <w:r>
        <w:rPr>
          <w:noProof/>
        </w:rPr>
        <w:fldChar w:fldCharType="begin"/>
      </w:r>
      <w:r>
        <w:rPr>
          <w:noProof/>
        </w:rPr>
        <w:instrText xml:space="preserve"> PAGEREF _Toc158712247 \h </w:instrText>
      </w:r>
      <w:r>
        <w:rPr>
          <w:noProof/>
        </w:rPr>
      </w:r>
      <w:r>
        <w:rPr>
          <w:noProof/>
        </w:rPr>
        <w:fldChar w:fldCharType="separate"/>
      </w:r>
      <w:r>
        <w:rPr>
          <w:noProof/>
        </w:rPr>
        <w:t>277</w:t>
      </w:r>
      <w:r>
        <w:rPr>
          <w:noProof/>
        </w:rPr>
        <w:fldChar w:fldCharType="end"/>
      </w:r>
    </w:p>
    <w:p w14:paraId="4FCEEE6E" w14:textId="1BA0A6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7.5A.109  Extension of compliance period</w:t>
      </w:r>
      <w:r>
        <w:rPr>
          <w:noProof/>
        </w:rPr>
        <w:tab/>
      </w:r>
      <w:r>
        <w:rPr>
          <w:noProof/>
        </w:rPr>
        <w:fldChar w:fldCharType="begin"/>
      </w:r>
      <w:r>
        <w:rPr>
          <w:noProof/>
        </w:rPr>
        <w:instrText xml:space="preserve"> PAGEREF _Toc158712248 \h </w:instrText>
      </w:r>
      <w:r>
        <w:rPr>
          <w:noProof/>
        </w:rPr>
      </w:r>
      <w:r>
        <w:rPr>
          <w:noProof/>
        </w:rPr>
        <w:fldChar w:fldCharType="separate"/>
      </w:r>
      <w:r>
        <w:rPr>
          <w:noProof/>
        </w:rPr>
        <w:t>278</w:t>
      </w:r>
      <w:r>
        <w:rPr>
          <w:noProof/>
        </w:rPr>
        <w:fldChar w:fldCharType="end"/>
      </w:r>
    </w:p>
    <w:p w14:paraId="509DD564" w14:textId="061F70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7.5A.110  Effect of compliance with infringement notice</w:t>
      </w:r>
      <w:r>
        <w:rPr>
          <w:noProof/>
        </w:rPr>
        <w:tab/>
      </w:r>
      <w:r>
        <w:rPr>
          <w:noProof/>
        </w:rPr>
        <w:fldChar w:fldCharType="begin"/>
      </w:r>
      <w:r>
        <w:rPr>
          <w:noProof/>
        </w:rPr>
        <w:instrText xml:space="preserve"> PAGEREF _Toc158712249 \h </w:instrText>
      </w:r>
      <w:r>
        <w:rPr>
          <w:noProof/>
        </w:rPr>
      </w:r>
      <w:r>
        <w:rPr>
          <w:noProof/>
        </w:rPr>
        <w:fldChar w:fldCharType="separate"/>
      </w:r>
      <w:r>
        <w:rPr>
          <w:noProof/>
        </w:rPr>
        <w:t>278</w:t>
      </w:r>
      <w:r>
        <w:rPr>
          <w:noProof/>
        </w:rPr>
        <w:fldChar w:fldCharType="end"/>
      </w:r>
    </w:p>
    <w:p w14:paraId="52103897" w14:textId="6C661F6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7.5A.111  Application to withdraw infringement notice</w:t>
      </w:r>
      <w:r>
        <w:rPr>
          <w:noProof/>
        </w:rPr>
        <w:tab/>
      </w:r>
      <w:r>
        <w:rPr>
          <w:noProof/>
        </w:rPr>
        <w:fldChar w:fldCharType="begin"/>
      </w:r>
      <w:r>
        <w:rPr>
          <w:noProof/>
        </w:rPr>
        <w:instrText xml:space="preserve"> PAGEREF _Toc158712250 \h </w:instrText>
      </w:r>
      <w:r>
        <w:rPr>
          <w:noProof/>
        </w:rPr>
      </w:r>
      <w:r>
        <w:rPr>
          <w:noProof/>
        </w:rPr>
        <w:fldChar w:fldCharType="separate"/>
      </w:r>
      <w:r>
        <w:rPr>
          <w:noProof/>
        </w:rPr>
        <w:t>279</w:t>
      </w:r>
      <w:r>
        <w:rPr>
          <w:noProof/>
        </w:rPr>
        <w:fldChar w:fldCharType="end"/>
      </w:r>
    </w:p>
    <w:p w14:paraId="5357DBD6" w14:textId="7BBCC1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7.5A.112  Withdrawal of infringement notice by ASIC</w:t>
      </w:r>
      <w:r>
        <w:rPr>
          <w:noProof/>
        </w:rPr>
        <w:tab/>
      </w:r>
      <w:r>
        <w:rPr>
          <w:noProof/>
        </w:rPr>
        <w:fldChar w:fldCharType="begin"/>
      </w:r>
      <w:r>
        <w:rPr>
          <w:noProof/>
        </w:rPr>
        <w:instrText xml:space="preserve"> PAGEREF _Toc158712251 \h </w:instrText>
      </w:r>
      <w:r>
        <w:rPr>
          <w:noProof/>
        </w:rPr>
      </w:r>
      <w:r>
        <w:rPr>
          <w:noProof/>
        </w:rPr>
        <w:fldChar w:fldCharType="separate"/>
      </w:r>
      <w:r>
        <w:rPr>
          <w:noProof/>
        </w:rPr>
        <w:t>279</w:t>
      </w:r>
      <w:r>
        <w:rPr>
          <w:noProof/>
        </w:rPr>
        <w:fldChar w:fldCharType="end"/>
      </w:r>
    </w:p>
    <w:p w14:paraId="6C99788E" w14:textId="11AB27F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7.5A.113  Notice of withdrawal of infringement notice</w:t>
      </w:r>
      <w:r>
        <w:rPr>
          <w:noProof/>
        </w:rPr>
        <w:tab/>
      </w:r>
      <w:r>
        <w:rPr>
          <w:noProof/>
        </w:rPr>
        <w:fldChar w:fldCharType="begin"/>
      </w:r>
      <w:r>
        <w:rPr>
          <w:noProof/>
        </w:rPr>
        <w:instrText xml:space="preserve"> PAGEREF _Toc158712252 \h </w:instrText>
      </w:r>
      <w:r>
        <w:rPr>
          <w:noProof/>
        </w:rPr>
      </w:r>
      <w:r>
        <w:rPr>
          <w:noProof/>
        </w:rPr>
        <w:fldChar w:fldCharType="separate"/>
      </w:r>
      <w:r>
        <w:rPr>
          <w:noProof/>
        </w:rPr>
        <w:t>279</w:t>
      </w:r>
      <w:r>
        <w:rPr>
          <w:noProof/>
        </w:rPr>
        <w:fldChar w:fldCharType="end"/>
      </w:r>
    </w:p>
    <w:p w14:paraId="56B2DB4B" w14:textId="5F9B0FD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7.5A.114  Withdrawal of notice after compliance</w:t>
      </w:r>
      <w:r>
        <w:rPr>
          <w:noProof/>
        </w:rPr>
        <w:tab/>
      </w:r>
      <w:r>
        <w:rPr>
          <w:noProof/>
        </w:rPr>
        <w:fldChar w:fldCharType="begin"/>
      </w:r>
      <w:r>
        <w:rPr>
          <w:noProof/>
        </w:rPr>
        <w:instrText xml:space="preserve"> PAGEREF _Toc158712253 \h </w:instrText>
      </w:r>
      <w:r>
        <w:rPr>
          <w:noProof/>
        </w:rPr>
      </w:r>
      <w:r>
        <w:rPr>
          <w:noProof/>
        </w:rPr>
        <w:fldChar w:fldCharType="separate"/>
      </w:r>
      <w:r>
        <w:rPr>
          <w:noProof/>
        </w:rPr>
        <w:t>279</w:t>
      </w:r>
      <w:r>
        <w:rPr>
          <w:noProof/>
        </w:rPr>
        <w:fldChar w:fldCharType="end"/>
      </w:r>
    </w:p>
    <w:p w14:paraId="2693A1E4" w14:textId="7197CC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7.5A.115  Publication of details of infringement notice</w:t>
      </w:r>
      <w:r>
        <w:rPr>
          <w:noProof/>
        </w:rPr>
        <w:tab/>
      </w:r>
      <w:r>
        <w:rPr>
          <w:noProof/>
        </w:rPr>
        <w:fldChar w:fldCharType="begin"/>
      </w:r>
      <w:r>
        <w:rPr>
          <w:noProof/>
        </w:rPr>
        <w:instrText xml:space="preserve"> PAGEREF _Toc158712254 \h </w:instrText>
      </w:r>
      <w:r>
        <w:rPr>
          <w:noProof/>
        </w:rPr>
      </w:r>
      <w:r>
        <w:rPr>
          <w:noProof/>
        </w:rPr>
        <w:fldChar w:fldCharType="separate"/>
      </w:r>
      <w:r>
        <w:rPr>
          <w:noProof/>
        </w:rPr>
        <w:t>280</w:t>
      </w:r>
      <w:r>
        <w:rPr>
          <w:noProof/>
        </w:rPr>
        <w:fldChar w:fldCharType="end"/>
      </w:r>
    </w:p>
    <w:p w14:paraId="08B672E9" w14:textId="550E029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5—Regulation of licensed derivative trade repositories: other obligations and powers</w:t>
      </w:r>
      <w:r>
        <w:rPr>
          <w:noProof/>
        </w:rPr>
        <w:tab/>
      </w:r>
      <w:r>
        <w:rPr>
          <w:noProof/>
        </w:rPr>
        <w:fldChar w:fldCharType="begin"/>
      </w:r>
      <w:r>
        <w:rPr>
          <w:noProof/>
        </w:rPr>
        <w:instrText xml:space="preserve"> PAGEREF _Toc158712255 \h </w:instrText>
      </w:r>
      <w:r>
        <w:rPr>
          <w:noProof/>
        </w:rPr>
      </w:r>
      <w:r>
        <w:rPr>
          <w:noProof/>
        </w:rPr>
        <w:fldChar w:fldCharType="separate"/>
      </w:r>
      <w:r>
        <w:rPr>
          <w:noProof/>
        </w:rPr>
        <w:t>281</w:t>
      </w:r>
      <w:r>
        <w:rPr>
          <w:noProof/>
        </w:rPr>
        <w:fldChar w:fldCharType="end"/>
      </w:r>
    </w:p>
    <w:p w14:paraId="5A630845" w14:textId="1D8712D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7.5A.150  Obligations and powers—confidential information</w:t>
      </w:r>
      <w:r>
        <w:rPr>
          <w:noProof/>
        </w:rPr>
        <w:tab/>
      </w:r>
      <w:r>
        <w:rPr>
          <w:noProof/>
        </w:rPr>
        <w:fldChar w:fldCharType="begin"/>
      </w:r>
      <w:r>
        <w:rPr>
          <w:noProof/>
        </w:rPr>
        <w:instrText xml:space="preserve"> PAGEREF _Toc158712256 \h </w:instrText>
      </w:r>
      <w:r>
        <w:rPr>
          <w:noProof/>
        </w:rPr>
      </w:r>
      <w:r>
        <w:rPr>
          <w:noProof/>
        </w:rPr>
        <w:fldChar w:fldCharType="separate"/>
      </w:r>
      <w:r>
        <w:rPr>
          <w:noProof/>
        </w:rPr>
        <w:t>281</w:t>
      </w:r>
      <w:r>
        <w:rPr>
          <w:noProof/>
        </w:rPr>
        <w:fldChar w:fldCharType="end"/>
      </w:r>
    </w:p>
    <w:p w14:paraId="24411EAD" w14:textId="1C6A0F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7.5A.150A  European Union requests for derivative trade data</w:t>
      </w:r>
      <w:r>
        <w:rPr>
          <w:noProof/>
        </w:rPr>
        <w:tab/>
      </w:r>
      <w:r>
        <w:rPr>
          <w:noProof/>
        </w:rPr>
        <w:fldChar w:fldCharType="begin"/>
      </w:r>
      <w:r>
        <w:rPr>
          <w:noProof/>
        </w:rPr>
        <w:instrText xml:space="preserve"> PAGEREF _Toc158712257 \h </w:instrText>
      </w:r>
      <w:r>
        <w:rPr>
          <w:noProof/>
        </w:rPr>
      </w:r>
      <w:r>
        <w:rPr>
          <w:noProof/>
        </w:rPr>
        <w:fldChar w:fldCharType="separate"/>
      </w:r>
      <w:r>
        <w:rPr>
          <w:noProof/>
        </w:rPr>
        <w:t>281</w:t>
      </w:r>
      <w:r>
        <w:rPr>
          <w:noProof/>
        </w:rPr>
        <w:fldChar w:fldCharType="end"/>
      </w:r>
    </w:p>
    <w:p w14:paraId="7142A3FE" w14:textId="467CF94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7.5A.150B  Other requests for derivative trade data</w:t>
      </w:r>
      <w:r>
        <w:rPr>
          <w:noProof/>
        </w:rPr>
        <w:tab/>
      </w:r>
      <w:r>
        <w:rPr>
          <w:noProof/>
        </w:rPr>
        <w:fldChar w:fldCharType="begin"/>
      </w:r>
      <w:r>
        <w:rPr>
          <w:noProof/>
        </w:rPr>
        <w:instrText xml:space="preserve"> PAGEREF _Toc158712258 \h </w:instrText>
      </w:r>
      <w:r>
        <w:rPr>
          <w:noProof/>
        </w:rPr>
      </w:r>
      <w:r>
        <w:rPr>
          <w:noProof/>
        </w:rPr>
        <w:fldChar w:fldCharType="separate"/>
      </w:r>
      <w:r>
        <w:rPr>
          <w:noProof/>
        </w:rPr>
        <w:t>281</w:t>
      </w:r>
      <w:r>
        <w:rPr>
          <w:noProof/>
        </w:rPr>
        <w:fldChar w:fldCharType="end"/>
      </w:r>
    </w:p>
    <w:p w14:paraId="249A3C9D" w14:textId="49358B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7.5A.151  Obligations relating to derivative trade data</w:t>
      </w:r>
      <w:r>
        <w:rPr>
          <w:noProof/>
        </w:rPr>
        <w:tab/>
      </w:r>
      <w:r>
        <w:rPr>
          <w:noProof/>
        </w:rPr>
        <w:fldChar w:fldCharType="begin"/>
      </w:r>
      <w:r>
        <w:rPr>
          <w:noProof/>
        </w:rPr>
        <w:instrText xml:space="preserve"> PAGEREF _Toc158712259 \h </w:instrText>
      </w:r>
      <w:r>
        <w:rPr>
          <w:noProof/>
        </w:rPr>
      </w:r>
      <w:r>
        <w:rPr>
          <w:noProof/>
        </w:rPr>
        <w:fldChar w:fldCharType="separate"/>
      </w:r>
      <w:r>
        <w:rPr>
          <w:noProof/>
        </w:rPr>
        <w:t>282</w:t>
      </w:r>
      <w:r>
        <w:rPr>
          <w:noProof/>
        </w:rPr>
        <w:fldChar w:fldCharType="end"/>
      </w:r>
    </w:p>
    <w:p w14:paraId="4C1417E5" w14:textId="3C510BA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7.5A.200  ASIC may assess licensee’s compliance</w:t>
      </w:r>
      <w:r>
        <w:rPr>
          <w:noProof/>
        </w:rPr>
        <w:tab/>
      </w:r>
      <w:r>
        <w:rPr>
          <w:noProof/>
        </w:rPr>
        <w:fldChar w:fldCharType="begin"/>
      </w:r>
      <w:r>
        <w:rPr>
          <w:noProof/>
        </w:rPr>
        <w:instrText xml:space="preserve"> PAGEREF _Toc158712260 \h </w:instrText>
      </w:r>
      <w:r>
        <w:rPr>
          <w:noProof/>
        </w:rPr>
      </w:r>
      <w:r>
        <w:rPr>
          <w:noProof/>
        </w:rPr>
        <w:fldChar w:fldCharType="separate"/>
      </w:r>
      <w:r>
        <w:rPr>
          <w:noProof/>
        </w:rPr>
        <w:t>282</w:t>
      </w:r>
      <w:r>
        <w:rPr>
          <w:noProof/>
        </w:rPr>
        <w:fldChar w:fldCharType="end"/>
      </w:r>
    </w:p>
    <w:p w14:paraId="39E58342" w14:textId="0716F29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7—Regulation of prescribed derivative trade repositories</w:t>
      </w:r>
      <w:r>
        <w:rPr>
          <w:noProof/>
        </w:rPr>
        <w:tab/>
      </w:r>
      <w:r>
        <w:rPr>
          <w:noProof/>
        </w:rPr>
        <w:fldChar w:fldCharType="begin"/>
      </w:r>
      <w:r>
        <w:rPr>
          <w:noProof/>
        </w:rPr>
        <w:instrText xml:space="preserve"> PAGEREF _Toc158712261 \h </w:instrText>
      </w:r>
      <w:r>
        <w:rPr>
          <w:noProof/>
        </w:rPr>
      </w:r>
      <w:r>
        <w:rPr>
          <w:noProof/>
        </w:rPr>
        <w:fldChar w:fldCharType="separate"/>
      </w:r>
      <w:r>
        <w:rPr>
          <w:noProof/>
        </w:rPr>
        <w:t>283</w:t>
      </w:r>
      <w:r>
        <w:rPr>
          <w:noProof/>
        </w:rPr>
        <w:fldChar w:fldCharType="end"/>
      </w:r>
    </w:p>
    <w:p w14:paraId="34E9575D" w14:textId="04C00AF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7.5A.250  Obligations and powers—confidential information</w:t>
      </w:r>
      <w:r>
        <w:rPr>
          <w:noProof/>
        </w:rPr>
        <w:tab/>
      </w:r>
      <w:r>
        <w:rPr>
          <w:noProof/>
        </w:rPr>
        <w:fldChar w:fldCharType="begin"/>
      </w:r>
      <w:r>
        <w:rPr>
          <w:noProof/>
        </w:rPr>
        <w:instrText xml:space="preserve"> PAGEREF _Toc158712262 \h </w:instrText>
      </w:r>
      <w:r>
        <w:rPr>
          <w:noProof/>
        </w:rPr>
      </w:r>
      <w:r>
        <w:rPr>
          <w:noProof/>
        </w:rPr>
        <w:fldChar w:fldCharType="separate"/>
      </w:r>
      <w:r>
        <w:rPr>
          <w:noProof/>
        </w:rPr>
        <w:t>283</w:t>
      </w:r>
      <w:r>
        <w:rPr>
          <w:noProof/>
        </w:rPr>
        <w:fldChar w:fldCharType="end"/>
      </w:r>
    </w:p>
    <w:p w14:paraId="76C96333" w14:textId="331B912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8—Other matters</w:t>
      </w:r>
      <w:r>
        <w:rPr>
          <w:noProof/>
        </w:rPr>
        <w:tab/>
      </w:r>
      <w:r>
        <w:rPr>
          <w:noProof/>
        </w:rPr>
        <w:fldChar w:fldCharType="begin"/>
      </w:r>
      <w:r>
        <w:rPr>
          <w:noProof/>
        </w:rPr>
        <w:instrText xml:space="preserve"> PAGEREF _Toc158712263 \h </w:instrText>
      </w:r>
      <w:r>
        <w:rPr>
          <w:noProof/>
        </w:rPr>
      </w:r>
      <w:r>
        <w:rPr>
          <w:noProof/>
        </w:rPr>
        <w:fldChar w:fldCharType="separate"/>
      </w:r>
      <w:r>
        <w:rPr>
          <w:noProof/>
        </w:rPr>
        <w:t>284</w:t>
      </w:r>
      <w:r>
        <w:rPr>
          <w:noProof/>
        </w:rPr>
        <w:fldChar w:fldCharType="end"/>
      </w:r>
    </w:p>
    <w:p w14:paraId="26EF8242" w14:textId="37B7F4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7.5A.270  Record</w:t>
      </w:r>
      <w:r>
        <w:rPr>
          <w:noProof/>
        </w:rPr>
        <w:noBreakHyphen/>
        <w:t>keeping</w:t>
      </w:r>
      <w:r>
        <w:rPr>
          <w:noProof/>
        </w:rPr>
        <w:tab/>
      </w:r>
      <w:r>
        <w:rPr>
          <w:noProof/>
        </w:rPr>
        <w:fldChar w:fldCharType="begin"/>
      </w:r>
      <w:r>
        <w:rPr>
          <w:noProof/>
        </w:rPr>
        <w:instrText xml:space="preserve"> PAGEREF _Toc158712264 \h </w:instrText>
      </w:r>
      <w:r>
        <w:rPr>
          <w:noProof/>
        </w:rPr>
      </w:r>
      <w:r>
        <w:rPr>
          <w:noProof/>
        </w:rPr>
        <w:fldChar w:fldCharType="separate"/>
      </w:r>
      <w:r>
        <w:rPr>
          <w:noProof/>
        </w:rPr>
        <w:t>284</w:t>
      </w:r>
      <w:r>
        <w:rPr>
          <w:noProof/>
        </w:rPr>
        <w:fldChar w:fldCharType="end"/>
      </w:r>
    </w:p>
    <w:p w14:paraId="4D64D2A7" w14:textId="16C56FE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7.6</w:t>
      </w:r>
      <w:r w:rsidRPr="00FC743A">
        <w:rPr>
          <w:noProof/>
          <w:color w:val="000000"/>
        </w:rPr>
        <w:t>—</w:t>
      </w:r>
      <w:r>
        <w:rPr>
          <w:noProof/>
        </w:rPr>
        <w:t>Licensing of providers of financial services</w:t>
      </w:r>
      <w:r>
        <w:rPr>
          <w:noProof/>
        </w:rPr>
        <w:tab/>
      </w:r>
      <w:r>
        <w:rPr>
          <w:noProof/>
        </w:rPr>
        <w:fldChar w:fldCharType="begin"/>
      </w:r>
      <w:r>
        <w:rPr>
          <w:noProof/>
        </w:rPr>
        <w:instrText xml:space="preserve"> PAGEREF _Toc158712265 \h </w:instrText>
      </w:r>
      <w:r>
        <w:rPr>
          <w:noProof/>
        </w:rPr>
      </w:r>
      <w:r>
        <w:rPr>
          <w:noProof/>
        </w:rPr>
        <w:fldChar w:fldCharType="separate"/>
      </w:r>
      <w:r>
        <w:rPr>
          <w:noProof/>
        </w:rPr>
        <w:t>285</w:t>
      </w:r>
      <w:r>
        <w:rPr>
          <w:noProof/>
        </w:rPr>
        <w:fldChar w:fldCharType="end"/>
      </w:r>
    </w:p>
    <w:p w14:paraId="2FF21EBF" w14:textId="661FBC4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  Need for Australian financial services licence: general</w:t>
      </w:r>
      <w:r>
        <w:rPr>
          <w:noProof/>
        </w:rPr>
        <w:tab/>
      </w:r>
      <w:r>
        <w:rPr>
          <w:noProof/>
        </w:rPr>
        <w:fldChar w:fldCharType="begin"/>
      </w:r>
      <w:r>
        <w:rPr>
          <w:noProof/>
        </w:rPr>
        <w:instrText xml:space="preserve"> PAGEREF _Toc158712266 \h </w:instrText>
      </w:r>
      <w:r>
        <w:rPr>
          <w:noProof/>
        </w:rPr>
      </w:r>
      <w:r>
        <w:rPr>
          <w:noProof/>
        </w:rPr>
        <w:fldChar w:fldCharType="separate"/>
      </w:r>
      <w:r>
        <w:rPr>
          <w:noProof/>
        </w:rPr>
        <w:t>285</w:t>
      </w:r>
      <w:r>
        <w:rPr>
          <w:noProof/>
        </w:rPr>
        <w:fldChar w:fldCharType="end"/>
      </w:r>
    </w:p>
    <w:p w14:paraId="76924333" w14:textId="0CD7C0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7.6.01AAAA  Need for Australian financial services licence: prescribed insurance products in relation to claimant intermediaries</w:t>
      </w:r>
      <w:r>
        <w:rPr>
          <w:noProof/>
        </w:rPr>
        <w:tab/>
      </w:r>
      <w:r>
        <w:rPr>
          <w:noProof/>
        </w:rPr>
        <w:fldChar w:fldCharType="begin"/>
      </w:r>
      <w:r>
        <w:rPr>
          <w:noProof/>
        </w:rPr>
        <w:instrText xml:space="preserve"> PAGEREF _Toc158712267 \h </w:instrText>
      </w:r>
      <w:r>
        <w:rPr>
          <w:noProof/>
        </w:rPr>
      </w:r>
      <w:r>
        <w:rPr>
          <w:noProof/>
        </w:rPr>
        <w:fldChar w:fldCharType="separate"/>
      </w:r>
      <w:r>
        <w:rPr>
          <w:noProof/>
        </w:rPr>
        <w:t>292</w:t>
      </w:r>
      <w:r>
        <w:rPr>
          <w:noProof/>
        </w:rPr>
        <w:fldChar w:fldCharType="end"/>
      </w:r>
    </w:p>
    <w:p w14:paraId="6428F61C" w14:textId="04C11B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7.6.01AAAB  Need for Australian financial services licence: issuers of insurance products</w:t>
      </w:r>
      <w:r>
        <w:rPr>
          <w:noProof/>
        </w:rPr>
        <w:tab/>
      </w:r>
      <w:r>
        <w:rPr>
          <w:noProof/>
        </w:rPr>
        <w:fldChar w:fldCharType="begin"/>
      </w:r>
      <w:r>
        <w:rPr>
          <w:noProof/>
        </w:rPr>
        <w:instrText xml:space="preserve"> PAGEREF _Toc158712268 \h </w:instrText>
      </w:r>
      <w:r>
        <w:rPr>
          <w:noProof/>
        </w:rPr>
      </w:r>
      <w:r>
        <w:rPr>
          <w:noProof/>
        </w:rPr>
        <w:fldChar w:fldCharType="separate"/>
      </w:r>
      <w:r>
        <w:rPr>
          <w:noProof/>
        </w:rPr>
        <w:t>292</w:t>
      </w:r>
      <w:r>
        <w:rPr>
          <w:noProof/>
        </w:rPr>
        <w:fldChar w:fldCharType="end"/>
      </w:r>
    </w:p>
    <w:p w14:paraId="1276704F" w14:textId="1F9B4BB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7.6.01AAA  Particular financial products not exempted</w:t>
      </w:r>
      <w:r>
        <w:rPr>
          <w:noProof/>
        </w:rPr>
        <w:tab/>
      </w:r>
      <w:r>
        <w:rPr>
          <w:noProof/>
        </w:rPr>
        <w:fldChar w:fldCharType="begin"/>
      </w:r>
      <w:r>
        <w:rPr>
          <w:noProof/>
        </w:rPr>
        <w:instrText xml:space="preserve"> PAGEREF _Toc158712269 \h </w:instrText>
      </w:r>
      <w:r>
        <w:rPr>
          <w:noProof/>
        </w:rPr>
      </w:r>
      <w:r>
        <w:rPr>
          <w:noProof/>
        </w:rPr>
        <w:fldChar w:fldCharType="separate"/>
      </w:r>
      <w:r>
        <w:rPr>
          <w:noProof/>
        </w:rPr>
        <w:t>292</w:t>
      </w:r>
      <w:r>
        <w:rPr>
          <w:noProof/>
        </w:rPr>
        <w:fldChar w:fldCharType="end"/>
      </w:r>
    </w:p>
    <w:p w14:paraId="64BF3BE5" w14:textId="5D2D53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7.6.01AB  Obligation on persons providing exempt financial service</w:t>
      </w:r>
      <w:r>
        <w:rPr>
          <w:noProof/>
        </w:rPr>
        <w:tab/>
      </w:r>
      <w:r>
        <w:rPr>
          <w:noProof/>
        </w:rPr>
        <w:fldChar w:fldCharType="begin"/>
      </w:r>
      <w:r>
        <w:rPr>
          <w:noProof/>
        </w:rPr>
        <w:instrText xml:space="preserve"> PAGEREF _Toc158712270 \h </w:instrText>
      </w:r>
      <w:r>
        <w:rPr>
          <w:noProof/>
        </w:rPr>
      </w:r>
      <w:r>
        <w:rPr>
          <w:noProof/>
        </w:rPr>
        <w:fldChar w:fldCharType="separate"/>
      </w:r>
      <w:r>
        <w:rPr>
          <w:noProof/>
        </w:rPr>
        <w:t>293</w:t>
      </w:r>
      <w:r>
        <w:rPr>
          <w:noProof/>
        </w:rPr>
        <w:fldChar w:fldCharType="end"/>
      </w:r>
    </w:p>
    <w:p w14:paraId="1769BF0C" w14:textId="531054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7.6.01A  Providing financial services on behalf of a person who carries on a financial services business</w:t>
      </w:r>
      <w:r>
        <w:rPr>
          <w:noProof/>
        </w:rPr>
        <w:tab/>
      </w:r>
      <w:r>
        <w:rPr>
          <w:noProof/>
        </w:rPr>
        <w:fldChar w:fldCharType="begin"/>
      </w:r>
      <w:r>
        <w:rPr>
          <w:noProof/>
        </w:rPr>
        <w:instrText xml:space="preserve"> PAGEREF _Toc158712271 \h </w:instrText>
      </w:r>
      <w:r>
        <w:rPr>
          <w:noProof/>
        </w:rPr>
      </w:r>
      <w:r>
        <w:rPr>
          <w:noProof/>
        </w:rPr>
        <w:fldChar w:fldCharType="separate"/>
      </w:r>
      <w:r>
        <w:rPr>
          <w:noProof/>
        </w:rPr>
        <w:t>294</w:t>
      </w:r>
      <w:r>
        <w:rPr>
          <w:noProof/>
        </w:rPr>
        <w:fldChar w:fldCharType="end"/>
      </w:r>
    </w:p>
    <w:p w14:paraId="4ED2F6B1" w14:textId="6282B7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7.6.01B  Need for Australian financial services licence: financial product advice provided by the media</w:t>
      </w:r>
      <w:r>
        <w:rPr>
          <w:noProof/>
        </w:rPr>
        <w:tab/>
      </w:r>
      <w:r>
        <w:rPr>
          <w:noProof/>
        </w:rPr>
        <w:fldChar w:fldCharType="begin"/>
      </w:r>
      <w:r>
        <w:rPr>
          <w:noProof/>
        </w:rPr>
        <w:instrText xml:space="preserve"> PAGEREF _Toc158712272 \h </w:instrText>
      </w:r>
      <w:r>
        <w:rPr>
          <w:noProof/>
        </w:rPr>
      </w:r>
      <w:r>
        <w:rPr>
          <w:noProof/>
        </w:rPr>
        <w:fldChar w:fldCharType="separate"/>
      </w:r>
      <w:r>
        <w:rPr>
          <w:noProof/>
        </w:rPr>
        <w:t>294</w:t>
      </w:r>
      <w:r>
        <w:rPr>
          <w:noProof/>
        </w:rPr>
        <w:fldChar w:fldCharType="end"/>
      </w:r>
    </w:p>
    <w:p w14:paraId="0E4EBB25" w14:textId="4203157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7.6.01C  Obligation to cite licence number in documents</w:t>
      </w:r>
      <w:r>
        <w:rPr>
          <w:noProof/>
        </w:rPr>
        <w:tab/>
      </w:r>
      <w:r>
        <w:rPr>
          <w:noProof/>
        </w:rPr>
        <w:fldChar w:fldCharType="begin"/>
      </w:r>
      <w:r>
        <w:rPr>
          <w:noProof/>
        </w:rPr>
        <w:instrText xml:space="preserve"> PAGEREF _Toc158712273 \h </w:instrText>
      </w:r>
      <w:r>
        <w:rPr>
          <w:noProof/>
        </w:rPr>
      </w:r>
      <w:r>
        <w:rPr>
          <w:noProof/>
        </w:rPr>
        <w:fldChar w:fldCharType="separate"/>
      </w:r>
      <w:r>
        <w:rPr>
          <w:noProof/>
        </w:rPr>
        <w:t>295</w:t>
      </w:r>
      <w:r>
        <w:rPr>
          <w:noProof/>
        </w:rPr>
        <w:fldChar w:fldCharType="end"/>
      </w:r>
    </w:p>
    <w:p w14:paraId="7D6E41EB" w14:textId="18DD43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  Alternative dispute resolution systems</w:t>
      </w:r>
      <w:r>
        <w:rPr>
          <w:noProof/>
        </w:rPr>
        <w:tab/>
      </w:r>
      <w:r>
        <w:rPr>
          <w:noProof/>
        </w:rPr>
        <w:fldChar w:fldCharType="begin"/>
      </w:r>
      <w:r>
        <w:rPr>
          <w:noProof/>
        </w:rPr>
        <w:instrText xml:space="preserve"> PAGEREF _Toc158712274 \h </w:instrText>
      </w:r>
      <w:r>
        <w:rPr>
          <w:noProof/>
        </w:rPr>
      </w:r>
      <w:r>
        <w:rPr>
          <w:noProof/>
        </w:rPr>
        <w:fldChar w:fldCharType="separate"/>
      </w:r>
      <w:r>
        <w:rPr>
          <w:noProof/>
        </w:rPr>
        <w:t>295</w:t>
      </w:r>
      <w:r>
        <w:rPr>
          <w:noProof/>
        </w:rPr>
        <w:fldChar w:fldCharType="end"/>
      </w:r>
    </w:p>
    <w:p w14:paraId="09E3DF84" w14:textId="25714D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7.6.02AAA  Arrangements for compensation if financial services provided to persons as retail clients (Act s 912B)</w:t>
      </w:r>
      <w:r>
        <w:rPr>
          <w:noProof/>
        </w:rPr>
        <w:tab/>
      </w:r>
      <w:r>
        <w:rPr>
          <w:noProof/>
        </w:rPr>
        <w:fldChar w:fldCharType="begin"/>
      </w:r>
      <w:r>
        <w:rPr>
          <w:noProof/>
        </w:rPr>
        <w:instrText xml:space="preserve"> PAGEREF _Toc158712275 \h </w:instrText>
      </w:r>
      <w:r>
        <w:rPr>
          <w:noProof/>
        </w:rPr>
      </w:r>
      <w:r>
        <w:rPr>
          <w:noProof/>
        </w:rPr>
        <w:fldChar w:fldCharType="separate"/>
      </w:r>
      <w:r>
        <w:rPr>
          <w:noProof/>
        </w:rPr>
        <w:t>295</w:t>
      </w:r>
      <w:r>
        <w:rPr>
          <w:noProof/>
        </w:rPr>
        <w:fldChar w:fldCharType="end"/>
      </w:r>
    </w:p>
    <w:p w14:paraId="06028A45" w14:textId="0D7870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7.6.02AA  Modification of section 912B of the Act: professional indemnity insurance and security instead of arrangements for compensation</w:t>
      </w:r>
      <w:r>
        <w:rPr>
          <w:noProof/>
        </w:rPr>
        <w:tab/>
      </w:r>
      <w:r>
        <w:rPr>
          <w:noProof/>
        </w:rPr>
        <w:fldChar w:fldCharType="begin"/>
      </w:r>
      <w:r>
        <w:rPr>
          <w:noProof/>
        </w:rPr>
        <w:instrText xml:space="preserve"> PAGEREF _Toc158712276 \h </w:instrText>
      </w:r>
      <w:r>
        <w:rPr>
          <w:noProof/>
        </w:rPr>
      </w:r>
      <w:r>
        <w:rPr>
          <w:noProof/>
        </w:rPr>
        <w:fldChar w:fldCharType="separate"/>
      </w:r>
      <w:r>
        <w:rPr>
          <w:noProof/>
        </w:rPr>
        <w:t>296</w:t>
      </w:r>
      <w:r>
        <w:rPr>
          <w:noProof/>
        </w:rPr>
        <w:fldChar w:fldCharType="end"/>
      </w:r>
    </w:p>
    <w:p w14:paraId="2A7F3F33" w14:textId="7A1FFC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7.6.02AB  Modification of section 761G of the Act: meaning of </w:t>
      </w:r>
      <w:r w:rsidRPr="00FC743A">
        <w:rPr>
          <w:i/>
          <w:noProof/>
        </w:rPr>
        <w:t xml:space="preserve">retail client </w:t>
      </w:r>
      <w:r>
        <w:rPr>
          <w:noProof/>
        </w:rPr>
        <w:t xml:space="preserve">and </w:t>
      </w:r>
      <w:r w:rsidRPr="00FC743A">
        <w:rPr>
          <w:i/>
          <w:noProof/>
        </w:rPr>
        <w:t>wholesale client</w:t>
      </w:r>
      <w:r>
        <w:rPr>
          <w:noProof/>
        </w:rPr>
        <w:tab/>
      </w:r>
      <w:r>
        <w:rPr>
          <w:noProof/>
        </w:rPr>
        <w:fldChar w:fldCharType="begin"/>
      </w:r>
      <w:r>
        <w:rPr>
          <w:noProof/>
        </w:rPr>
        <w:instrText xml:space="preserve"> PAGEREF _Toc158712277 \h </w:instrText>
      </w:r>
      <w:r>
        <w:rPr>
          <w:noProof/>
        </w:rPr>
      </w:r>
      <w:r>
        <w:rPr>
          <w:noProof/>
        </w:rPr>
        <w:fldChar w:fldCharType="separate"/>
      </w:r>
      <w:r>
        <w:rPr>
          <w:noProof/>
        </w:rPr>
        <w:t>298</w:t>
      </w:r>
      <w:r>
        <w:rPr>
          <w:noProof/>
        </w:rPr>
        <w:fldChar w:fldCharType="end"/>
      </w:r>
    </w:p>
    <w:p w14:paraId="6EA861F7" w14:textId="65EB33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7.6.02AC  Modification of section 761G of the Act: meaning of </w:t>
      </w:r>
      <w:r w:rsidRPr="00FC743A">
        <w:rPr>
          <w:i/>
          <w:noProof/>
        </w:rPr>
        <w:t xml:space="preserve">retail client </w:t>
      </w:r>
      <w:r>
        <w:rPr>
          <w:noProof/>
        </w:rPr>
        <w:t xml:space="preserve">and </w:t>
      </w:r>
      <w:r w:rsidRPr="00FC743A">
        <w:rPr>
          <w:i/>
          <w:noProof/>
        </w:rPr>
        <w:t>wholesale client</w:t>
      </w:r>
      <w:r>
        <w:rPr>
          <w:noProof/>
        </w:rPr>
        <w:tab/>
      </w:r>
      <w:r>
        <w:rPr>
          <w:noProof/>
        </w:rPr>
        <w:fldChar w:fldCharType="begin"/>
      </w:r>
      <w:r>
        <w:rPr>
          <w:noProof/>
        </w:rPr>
        <w:instrText xml:space="preserve"> PAGEREF _Toc158712278 \h </w:instrText>
      </w:r>
      <w:r>
        <w:rPr>
          <w:noProof/>
        </w:rPr>
      </w:r>
      <w:r>
        <w:rPr>
          <w:noProof/>
        </w:rPr>
        <w:fldChar w:fldCharType="separate"/>
      </w:r>
      <w:r>
        <w:rPr>
          <w:noProof/>
        </w:rPr>
        <w:t>298</w:t>
      </w:r>
      <w:r>
        <w:rPr>
          <w:noProof/>
        </w:rPr>
        <w:fldChar w:fldCharType="end"/>
      </w:r>
    </w:p>
    <w:p w14:paraId="4CC323C9" w14:textId="36395A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7.6.02AD  Modification of section 761G of the Act: meaning of </w:t>
      </w:r>
      <w:r w:rsidRPr="00FC743A">
        <w:rPr>
          <w:i/>
          <w:noProof/>
        </w:rPr>
        <w:t xml:space="preserve">retail client </w:t>
      </w:r>
      <w:r>
        <w:rPr>
          <w:noProof/>
        </w:rPr>
        <w:t xml:space="preserve">and </w:t>
      </w:r>
      <w:r w:rsidRPr="00FC743A">
        <w:rPr>
          <w:i/>
          <w:noProof/>
        </w:rPr>
        <w:t>wholesale client</w:t>
      </w:r>
      <w:r>
        <w:rPr>
          <w:noProof/>
        </w:rPr>
        <w:tab/>
      </w:r>
      <w:r>
        <w:rPr>
          <w:noProof/>
        </w:rPr>
        <w:fldChar w:fldCharType="begin"/>
      </w:r>
      <w:r>
        <w:rPr>
          <w:noProof/>
        </w:rPr>
        <w:instrText xml:space="preserve"> PAGEREF _Toc158712279 \h </w:instrText>
      </w:r>
      <w:r>
        <w:rPr>
          <w:noProof/>
        </w:rPr>
      </w:r>
      <w:r>
        <w:rPr>
          <w:noProof/>
        </w:rPr>
        <w:fldChar w:fldCharType="separate"/>
      </w:r>
      <w:r>
        <w:rPr>
          <w:noProof/>
        </w:rPr>
        <w:t>298</w:t>
      </w:r>
      <w:r>
        <w:rPr>
          <w:noProof/>
        </w:rPr>
        <w:fldChar w:fldCharType="end"/>
      </w:r>
    </w:p>
    <w:p w14:paraId="7540B4F3" w14:textId="7F59FB6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7.6.02AE  Modification of section 9 of the Act: Definition of </w:t>
      </w:r>
      <w:r w:rsidRPr="00FC743A">
        <w:rPr>
          <w:i/>
          <w:noProof/>
        </w:rPr>
        <w:t>professional investor</w:t>
      </w:r>
      <w:r>
        <w:rPr>
          <w:noProof/>
        </w:rPr>
        <w:tab/>
      </w:r>
      <w:r>
        <w:rPr>
          <w:noProof/>
        </w:rPr>
        <w:fldChar w:fldCharType="begin"/>
      </w:r>
      <w:r>
        <w:rPr>
          <w:noProof/>
        </w:rPr>
        <w:instrText xml:space="preserve"> PAGEREF _Toc158712280 \h </w:instrText>
      </w:r>
      <w:r>
        <w:rPr>
          <w:noProof/>
        </w:rPr>
      </w:r>
      <w:r>
        <w:rPr>
          <w:noProof/>
        </w:rPr>
        <w:fldChar w:fldCharType="separate"/>
      </w:r>
      <w:r>
        <w:rPr>
          <w:noProof/>
        </w:rPr>
        <w:t>299</w:t>
      </w:r>
      <w:r>
        <w:rPr>
          <w:noProof/>
        </w:rPr>
        <w:fldChar w:fldCharType="end"/>
      </w:r>
    </w:p>
    <w:p w14:paraId="4E6AD3CD" w14:textId="2897C9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7.6.02AF  Modification of section 761G of the Act: renewal period for accountants’ certificates</w:t>
      </w:r>
      <w:r>
        <w:rPr>
          <w:noProof/>
        </w:rPr>
        <w:tab/>
      </w:r>
      <w:r>
        <w:rPr>
          <w:noProof/>
        </w:rPr>
        <w:fldChar w:fldCharType="begin"/>
      </w:r>
      <w:r>
        <w:rPr>
          <w:noProof/>
        </w:rPr>
        <w:instrText xml:space="preserve"> PAGEREF _Toc158712281 \h </w:instrText>
      </w:r>
      <w:r>
        <w:rPr>
          <w:noProof/>
        </w:rPr>
      </w:r>
      <w:r>
        <w:rPr>
          <w:noProof/>
        </w:rPr>
        <w:fldChar w:fldCharType="separate"/>
      </w:r>
      <w:r>
        <w:rPr>
          <w:noProof/>
        </w:rPr>
        <w:t>299</w:t>
      </w:r>
      <w:r>
        <w:rPr>
          <w:noProof/>
        </w:rPr>
        <w:fldChar w:fldCharType="end"/>
      </w:r>
    </w:p>
    <w:p w14:paraId="734C2D52" w14:textId="188AC4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7.6.02AG  Modification of section 911A of the Act</w:t>
      </w:r>
      <w:r>
        <w:rPr>
          <w:noProof/>
        </w:rPr>
        <w:tab/>
      </w:r>
      <w:r>
        <w:rPr>
          <w:noProof/>
        </w:rPr>
        <w:fldChar w:fldCharType="begin"/>
      </w:r>
      <w:r>
        <w:rPr>
          <w:noProof/>
        </w:rPr>
        <w:instrText xml:space="preserve"> PAGEREF _Toc158712282 \h </w:instrText>
      </w:r>
      <w:r>
        <w:rPr>
          <w:noProof/>
        </w:rPr>
      </w:r>
      <w:r>
        <w:rPr>
          <w:noProof/>
        </w:rPr>
        <w:fldChar w:fldCharType="separate"/>
      </w:r>
      <w:r>
        <w:rPr>
          <w:noProof/>
        </w:rPr>
        <w:t>299</w:t>
      </w:r>
      <w:r>
        <w:rPr>
          <w:noProof/>
        </w:rPr>
        <w:fldChar w:fldCharType="end"/>
      </w:r>
    </w:p>
    <w:p w14:paraId="4C73986D" w14:textId="649A963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7.6.02AH  Modification of paragraph 911B(1)(e) of the Act</w:t>
      </w:r>
      <w:r>
        <w:rPr>
          <w:noProof/>
        </w:rPr>
        <w:tab/>
      </w:r>
      <w:r>
        <w:rPr>
          <w:noProof/>
        </w:rPr>
        <w:fldChar w:fldCharType="begin"/>
      </w:r>
      <w:r>
        <w:rPr>
          <w:noProof/>
        </w:rPr>
        <w:instrText xml:space="preserve"> PAGEREF _Toc158712283 \h </w:instrText>
      </w:r>
      <w:r>
        <w:rPr>
          <w:noProof/>
        </w:rPr>
      </w:r>
      <w:r>
        <w:rPr>
          <w:noProof/>
        </w:rPr>
        <w:fldChar w:fldCharType="separate"/>
      </w:r>
      <w:r>
        <w:rPr>
          <w:noProof/>
        </w:rPr>
        <w:t>300</w:t>
      </w:r>
      <w:r>
        <w:rPr>
          <w:noProof/>
        </w:rPr>
        <w:fldChar w:fldCharType="end"/>
      </w:r>
    </w:p>
    <w:p w14:paraId="09AB6E55" w14:textId="4185EA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7.6.02A  Obligation to notify ASIC of certain matters</w:t>
      </w:r>
      <w:r>
        <w:rPr>
          <w:noProof/>
        </w:rPr>
        <w:tab/>
      </w:r>
      <w:r>
        <w:rPr>
          <w:noProof/>
        </w:rPr>
        <w:fldChar w:fldCharType="begin"/>
      </w:r>
      <w:r>
        <w:rPr>
          <w:noProof/>
        </w:rPr>
        <w:instrText xml:space="preserve"> PAGEREF _Toc158712284 \h </w:instrText>
      </w:r>
      <w:r>
        <w:rPr>
          <w:noProof/>
        </w:rPr>
      </w:r>
      <w:r>
        <w:rPr>
          <w:noProof/>
        </w:rPr>
        <w:fldChar w:fldCharType="separate"/>
      </w:r>
      <w:r>
        <w:rPr>
          <w:noProof/>
        </w:rPr>
        <w:t>300</w:t>
      </w:r>
      <w:r>
        <w:rPr>
          <w:noProof/>
        </w:rPr>
        <w:fldChar w:fldCharType="end"/>
      </w:r>
    </w:p>
    <w:p w14:paraId="10B47977" w14:textId="57983A0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7.6.03  Applying for Australian financial services licence</w:t>
      </w:r>
      <w:r>
        <w:rPr>
          <w:noProof/>
        </w:rPr>
        <w:tab/>
      </w:r>
      <w:r>
        <w:rPr>
          <w:noProof/>
        </w:rPr>
        <w:fldChar w:fldCharType="begin"/>
      </w:r>
      <w:r>
        <w:rPr>
          <w:noProof/>
        </w:rPr>
        <w:instrText xml:space="preserve"> PAGEREF _Toc158712285 \h </w:instrText>
      </w:r>
      <w:r>
        <w:rPr>
          <w:noProof/>
        </w:rPr>
      </w:r>
      <w:r>
        <w:rPr>
          <w:noProof/>
        </w:rPr>
        <w:fldChar w:fldCharType="separate"/>
      </w:r>
      <w:r>
        <w:rPr>
          <w:noProof/>
        </w:rPr>
        <w:t>301</w:t>
      </w:r>
      <w:r>
        <w:rPr>
          <w:noProof/>
        </w:rPr>
        <w:fldChar w:fldCharType="end"/>
      </w:r>
    </w:p>
    <w:p w14:paraId="76A481C0" w14:textId="1A7277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7.6.03A  Australian financial services licence—requirements for a foreign entity to appoint local agent</w:t>
      </w:r>
      <w:r>
        <w:rPr>
          <w:noProof/>
        </w:rPr>
        <w:tab/>
      </w:r>
      <w:r>
        <w:rPr>
          <w:noProof/>
        </w:rPr>
        <w:fldChar w:fldCharType="begin"/>
      </w:r>
      <w:r>
        <w:rPr>
          <w:noProof/>
        </w:rPr>
        <w:instrText xml:space="preserve"> PAGEREF _Toc158712286 \h </w:instrText>
      </w:r>
      <w:r>
        <w:rPr>
          <w:noProof/>
        </w:rPr>
      </w:r>
      <w:r>
        <w:rPr>
          <w:noProof/>
        </w:rPr>
        <w:fldChar w:fldCharType="separate"/>
      </w:r>
      <w:r>
        <w:rPr>
          <w:noProof/>
        </w:rPr>
        <w:t>302</w:t>
      </w:r>
      <w:r>
        <w:rPr>
          <w:noProof/>
        </w:rPr>
        <w:fldChar w:fldCharType="end"/>
      </w:r>
    </w:p>
    <w:p w14:paraId="20129372" w14:textId="1080B6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7.6.03B  Foreign entity must continue to have local agent</w:t>
      </w:r>
      <w:r>
        <w:rPr>
          <w:noProof/>
        </w:rPr>
        <w:tab/>
      </w:r>
      <w:r>
        <w:rPr>
          <w:noProof/>
        </w:rPr>
        <w:fldChar w:fldCharType="begin"/>
      </w:r>
      <w:r>
        <w:rPr>
          <w:noProof/>
        </w:rPr>
        <w:instrText xml:space="preserve"> PAGEREF _Toc158712287 \h </w:instrText>
      </w:r>
      <w:r>
        <w:rPr>
          <w:noProof/>
        </w:rPr>
      </w:r>
      <w:r>
        <w:rPr>
          <w:noProof/>
        </w:rPr>
        <w:fldChar w:fldCharType="separate"/>
      </w:r>
      <w:r>
        <w:rPr>
          <w:noProof/>
        </w:rPr>
        <w:t>302</w:t>
      </w:r>
      <w:r>
        <w:rPr>
          <w:noProof/>
        </w:rPr>
        <w:fldChar w:fldCharType="end"/>
      </w:r>
    </w:p>
    <w:p w14:paraId="03AF3716" w14:textId="515742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7.6.03C  Financial services licensee must cooperate with AFCA</w:t>
      </w:r>
      <w:r>
        <w:rPr>
          <w:noProof/>
        </w:rPr>
        <w:tab/>
      </w:r>
      <w:r>
        <w:rPr>
          <w:noProof/>
        </w:rPr>
        <w:fldChar w:fldCharType="begin"/>
      </w:r>
      <w:r>
        <w:rPr>
          <w:noProof/>
        </w:rPr>
        <w:instrText xml:space="preserve"> PAGEREF _Toc158712288 \h </w:instrText>
      </w:r>
      <w:r>
        <w:rPr>
          <w:noProof/>
        </w:rPr>
      </w:r>
      <w:r>
        <w:rPr>
          <w:noProof/>
        </w:rPr>
        <w:fldChar w:fldCharType="separate"/>
      </w:r>
      <w:r>
        <w:rPr>
          <w:noProof/>
        </w:rPr>
        <w:t>302</w:t>
      </w:r>
      <w:r>
        <w:rPr>
          <w:noProof/>
        </w:rPr>
        <w:fldChar w:fldCharType="end"/>
      </w:r>
    </w:p>
    <w:p w14:paraId="73E10315" w14:textId="654D3AC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7.6.04  Conditions on Australian financial services licence</w:t>
      </w:r>
      <w:r>
        <w:rPr>
          <w:noProof/>
        </w:rPr>
        <w:tab/>
      </w:r>
      <w:r>
        <w:rPr>
          <w:noProof/>
        </w:rPr>
        <w:fldChar w:fldCharType="begin"/>
      </w:r>
      <w:r>
        <w:rPr>
          <w:noProof/>
        </w:rPr>
        <w:instrText xml:space="preserve"> PAGEREF _Toc158712289 \h </w:instrText>
      </w:r>
      <w:r>
        <w:rPr>
          <w:noProof/>
        </w:rPr>
      </w:r>
      <w:r>
        <w:rPr>
          <w:noProof/>
        </w:rPr>
        <w:fldChar w:fldCharType="separate"/>
      </w:r>
      <w:r>
        <w:rPr>
          <w:noProof/>
        </w:rPr>
        <w:t>303</w:t>
      </w:r>
      <w:r>
        <w:rPr>
          <w:noProof/>
        </w:rPr>
        <w:fldChar w:fldCharType="end"/>
      </w:r>
    </w:p>
    <w:p w14:paraId="1A403065" w14:textId="4216D3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7.6.04AA  Time limits for notification of authorised representatives—modification of section 916F of the Act</w:t>
      </w:r>
      <w:r>
        <w:rPr>
          <w:noProof/>
        </w:rPr>
        <w:tab/>
      </w:r>
      <w:r>
        <w:rPr>
          <w:noProof/>
        </w:rPr>
        <w:fldChar w:fldCharType="begin"/>
      </w:r>
      <w:r>
        <w:rPr>
          <w:noProof/>
        </w:rPr>
        <w:instrText xml:space="preserve"> PAGEREF _Toc158712290 \h </w:instrText>
      </w:r>
      <w:r>
        <w:rPr>
          <w:noProof/>
        </w:rPr>
      </w:r>
      <w:r>
        <w:rPr>
          <w:noProof/>
        </w:rPr>
        <w:fldChar w:fldCharType="separate"/>
      </w:r>
      <w:r>
        <w:rPr>
          <w:noProof/>
        </w:rPr>
        <w:t>305</w:t>
      </w:r>
      <w:r>
        <w:rPr>
          <w:noProof/>
        </w:rPr>
        <w:fldChar w:fldCharType="end"/>
      </w:r>
    </w:p>
    <w:p w14:paraId="2B8D5E98" w14:textId="7698D7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7.6.04A  Exemptions to notification of authorised representatives</w:t>
      </w:r>
      <w:r>
        <w:rPr>
          <w:noProof/>
        </w:rPr>
        <w:tab/>
      </w:r>
      <w:r>
        <w:rPr>
          <w:noProof/>
        </w:rPr>
        <w:fldChar w:fldCharType="begin"/>
      </w:r>
      <w:r>
        <w:rPr>
          <w:noProof/>
        </w:rPr>
        <w:instrText xml:space="preserve"> PAGEREF _Toc158712291 \h </w:instrText>
      </w:r>
      <w:r>
        <w:rPr>
          <w:noProof/>
        </w:rPr>
      </w:r>
      <w:r>
        <w:rPr>
          <w:noProof/>
        </w:rPr>
        <w:fldChar w:fldCharType="separate"/>
      </w:r>
      <w:r>
        <w:rPr>
          <w:noProof/>
        </w:rPr>
        <w:t>305</w:t>
      </w:r>
      <w:r>
        <w:rPr>
          <w:noProof/>
        </w:rPr>
        <w:fldChar w:fldCharType="end"/>
      </w:r>
    </w:p>
    <w:p w14:paraId="6972C721" w14:textId="1C5A4C3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7.6.05  Register of financial services licensees and register of authorised representatives of financial services licensees</w:t>
      </w:r>
      <w:r>
        <w:rPr>
          <w:noProof/>
        </w:rPr>
        <w:tab/>
      </w:r>
      <w:r>
        <w:rPr>
          <w:noProof/>
        </w:rPr>
        <w:fldChar w:fldCharType="begin"/>
      </w:r>
      <w:r>
        <w:rPr>
          <w:noProof/>
        </w:rPr>
        <w:instrText xml:space="preserve"> PAGEREF _Toc158712292 \h </w:instrText>
      </w:r>
      <w:r>
        <w:rPr>
          <w:noProof/>
        </w:rPr>
      </w:r>
      <w:r>
        <w:rPr>
          <w:noProof/>
        </w:rPr>
        <w:fldChar w:fldCharType="separate"/>
      </w:r>
      <w:r>
        <w:rPr>
          <w:noProof/>
        </w:rPr>
        <w:t>306</w:t>
      </w:r>
      <w:r>
        <w:rPr>
          <w:noProof/>
        </w:rPr>
        <w:fldChar w:fldCharType="end"/>
      </w:r>
    </w:p>
    <w:p w14:paraId="734E3BFD" w14:textId="3A44673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7.6.06  ASIC register relating to persons against whom banning order or disqualification order is made</w:t>
      </w:r>
      <w:r>
        <w:rPr>
          <w:noProof/>
        </w:rPr>
        <w:tab/>
      </w:r>
      <w:r>
        <w:rPr>
          <w:noProof/>
        </w:rPr>
        <w:fldChar w:fldCharType="begin"/>
      </w:r>
      <w:r>
        <w:rPr>
          <w:noProof/>
        </w:rPr>
        <w:instrText xml:space="preserve"> PAGEREF _Toc158712293 \h </w:instrText>
      </w:r>
      <w:r>
        <w:rPr>
          <w:noProof/>
        </w:rPr>
      </w:r>
      <w:r>
        <w:rPr>
          <w:noProof/>
        </w:rPr>
        <w:fldChar w:fldCharType="separate"/>
      </w:r>
      <w:r>
        <w:rPr>
          <w:noProof/>
        </w:rPr>
        <w:t>306</w:t>
      </w:r>
      <w:r>
        <w:rPr>
          <w:noProof/>
        </w:rPr>
        <w:fldChar w:fldCharType="end"/>
      </w:r>
    </w:p>
    <w:p w14:paraId="1B60548B" w14:textId="1DAAAB4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7.6.06C  Correcting registers</w:t>
      </w:r>
      <w:r>
        <w:rPr>
          <w:noProof/>
        </w:rPr>
        <w:tab/>
      </w:r>
      <w:r>
        <w:rPr>
          <w:noProof/>
        </w:rPr>
        <w:fldChar w:fldCharType="begin"/>
      </w:r>
      <w:r>
        <w:rPr>
          <w:noProof/>
        </w:rPr>
        <w:instrText xml:space="preserve"> PAGEREF _Toc158712294 \h </w:instrText>
      </w:r>
      <w:r>
        <w:rPr>
          <w:noProof/>
        </w:rPr>
      </w:r>
      <w:r>
        <w:rPr>
          <w:noProof/>
        </w:rPr>
        <w:fldChar w:fldCharType="separate"/>
      </w:r>
      <w:r>
        <w:rPr>
          <w:noProof/>
        </w:rPr>
        <w:t>307</w:t>
      </w:r>
      <w:r>
        <w:rPr>
          <w:noProof/>
        </w:rPr>
        <w:fldChar w:fldCharType="end"/>
      </w:r>
    </w:p>
    <w:p w14:paraId="5998273F" w14:textId="155A9F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7.6.06D  Register of Relevant Providers—prescribed instruments</w:t>
      </w:r>
      <w:r>
        <w:rPr>
          <w:noProof/>
        </w:rPr>
        <w:tab/>
      </w:r>
      <w:r>
        <w:rPr>
          <w:noProof/>
        </w:rPr>
        <w:fldChar w:fldCharType="begin"/>
      </w:r>
      <w:r>
        <w:rPr>
          <w:noProof/>
        </w:rPr>
        <w:instrText xml:space="preserve"> PAGEREF _Toc158712295 \h </w:instrText>
      </w:r>
      <w:r>
        <w:rPr>
          <w:noProof/>
        </w:rPr>
      </w:r>
      <w:r>
        <w:rPr>
          <w:noProof/>
        </w:rPr>
        <w:fldChar w:fldCharType="separate"/>
      </w:r>
      <w:r>
        <w:rPr>
          <w:noProof/>
        </w:rPr>
        <w:t>307</w:t>
      </w:r>
      <w:r>
        <w:rPr>
          <w:noProof/>
        </w:rPr>
        <w:fldChar w:fldCharType="end"/>
      </w:r>
    </w:p>
    <w:p w14:paraId="3D26720E" w14:textId="0052F3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7.6.07  Restriction on use of certain words or expressions</w:t>
      </w:r>
      <w:r>
        <w:rPr>
          <w:noProof/>
        </w:rPr>
        <w:tab/>
      </w:r>
      <w:r>
        <w:rPr>
          <w:noProof/>
        </w:rPr>
        <w:fldChar w:fldCharType="begin"/>
      </w:r>
      <w:r>
        <w:rPr>
          <w:noProof/>
        </w:rPr>
        <w:instrText xml:space="preserve"> PAGEREF _Toc158712296 \h </w:instrText>
      </w:r>
      <w:r>
        <w:rPr>
          <w:noProof/>
        </w:rPr>
      </w:r>
      <w:r>
        <w:rPr>
          <w:noProof/>
        </w:rPr>
        <w:fldChar w:fldCharType="separate"/>
      </w:r>
      <w:r>
        <w:rPr>
          <w:noProof/>
        </w:rPr>
        <w:t>307</w:t>
      </w:r>
      <w:r>
        <w:rPr>
          <w:noProof/>
        </w:rPr>
        <w:fldChar w:fldCharType="end"/>
      </w:r>
    </w:p>
    <w:p w14:paraId="06F25895" w14:textId="7FECFE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7.6.07A  Modification of section 923C</w:t>
      </w:r>
      <w:r>
        <w:rPr>
          <w:noProof/>
        </w:rPr>
        <w:tab/>
      </w:r>
      <w:r>
        <w:rPr>
          <w:noProof/>
        </w:rPr>
        <w:fldChar w:fldCharType="begin"/>
      </w:r>
      <w:r>
        <w:rPr>
          <w:noProof/>
        </w:rPr>
        <w:instrText xml:space="preserve"> PAGEREF _Toc158712297 \h </w:instrText>
      </w:r>
      <w:r>
        <w:rPr>
          <w:noProof/>
        </w:rPr>
      </w:r>
      <w:r>
        <w:rPr>
          <w:noProof/>
        </w:rPr>
        <w:fldChar w:fldCharType="separate"/>
      </w:r>
      <w:r>
        <w:rPr>
          <w:noProof/>
        </w:rPr>
        <w:t>307</w:t>
      </w:r>
      <w:r>
        <w:rPr>
          <w:noProof/>
        </w:rPr>
        <w:fldChar w:fldCharType="end"/>
      </w:r>
    </w:p>
    <w:p w14:paraId="1A3D0946" w14:textId="289430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7.6.07B  Exam for existing providers</w:t>
      </w:r>
      <w:r>
        <w:rPr>
          <w:noProof/>
        </w:rPr>
        <w:tab/>
      </w:r>
      <w:r>
        <w:rPr>
          <w:noProof/>
        </w:rPr>
        <w:fldChar w:fldCharType="begin"/>
      </w:r>
      <w:r>
        <w:rPr>
          <w:noProof/>
        </w:rPr>
        <w:instrText xml:space="preserve"> PAGEREF _Toc158712298 \h </w:instrText>
      </w:r>
      <w:r>
        <w:rPr>
          <w:noProof/>
        </w:rPr>
      </w:r>
      <w:r>
        <w:rPr>
          <w:noProof/>
        </w:rPr>
        <w:fldChar w:fldCharType="separate"/>
      </w:r>
      <w:r>
        <w:rPr>
          <w:noProof/>
        </w:rPr>
        <w:t>309</w:t>
      </w:r>
      <w:r>
        <w:rPr>
          <w:noProof/>
        </w:rPr>
        <w:fldChar w:fldCharType="end"/>
      </w:r>
    </w:p>
    <w:p w14:paraId="32997E4C" w14:textId="3CC2782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7.6B—Provision of information to APRA about contracts of insurance</w:t>
      </w:r>
      <w:r>
        <w:rPr>
          <w:noProof/>
        </w:rPr>
        <w:tab/>
      </w:r>
      <w:r>
        <w:rPr>
          <w:noProof/>
        </w:rPr>
        <w:fldChar w:fldCharType="begin"/>
      </w:r>
      <w:r>
        <w:rPr>
          <w:noProof/>
        </w:rPr>
        <w:instrText xml:space="preserve"> PAGEREF _Toc158712299 \h </w:instrText>
      </w:r>
      <w:r>
        <w:rPr>
          <w:noProof/>
        </w:rPr>
      </w:r>
      <w:r>
        <w:rPr>
          <w:noProof/>
        </w:rPr>
        <w:fldChar w:fldCharType="separate"/>
      </w:r>
      <w:r>
        <w:rPr>
          <w:noProof/>
        </w:rPr>
        <w:t>310</w:t>
      </w:r>
      <w:r>
        <w:rPr>
          <w:noProof/>
        </w:rPr>
        <w:fldChar w:fldCharType="end"/>
      </w:r>
    </w:p>
    <w:p w14:paraId="458F0878" w14:textId="44B47C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7.6.08A  Definitions</w:t>
      </w:r>
      <w:r>
        <w:rPr>
          <w:noProof/>
        </w:rPr>
        <w:tab/>
      </w:r>
      <w:r>
        <w:rPr>
          <w:noProof/>
        </w:rPr>
        <w:fldChar w:fldCharType="begin"/>
      </w:r>
      <w:r>
        <w:rPr>
          <w:noProof/>
        </w:rPr>
        <w:instrText xml:space="preserve"> PAGEREF _Toc158712300 \h </w:instrText>
      </w:r>
      <w:r>
        <w:rPr>
          <w:noProof/>
        </w:rPr>
      </w:r>
      <w:r>
        <w:rPr>
          <w:noProof/>
        </w:rPr>
        <w:fldChar w:fldCharType="separate"/>
      </w:r>
      <w:r>
        <w:rPr>
          <w:noProof/>
        </w:rPr>
        <w:t>310</w:t>
      </w:r>
      <w:r>
        <w:rPr>
          <w:noProof/>
        </w:rPr>
        <w:fldChar w:fldCharType="end"/>
      </w:r>
    </w:p>
    <w:p w14:paraId="1B44BBC9" w14:textId="1CF75A4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7.6.08B  Application</w:t>
      </w:r>
      <w:r>
        <w:rPr>
          <w:noProof/>
        </w:rPr>
        <w:tab/>
      </w:r>
      <w:r>
        <w:rPr>
          <w:noProof/>
        </w:rPr>
        <w:fldChar w:fldCharType="begin"/>
      </w:r>
      <w:r>
        <w:rPr>
          <w:noProof/>
        </w:rPr>
        <w:instrText xml:space="preserve"> PAGEREF _Toc158712301 \h </w:instrText>
      </w:r>
      <w:r>
        <w:rPr>
          <w:noProof/>
        </w:rPr>
      </w:r>
      <w:r>
        <w:rPr>
          <w:noProof/>
        </w:rPr>
        <w:fldChar w:fldCharType="separate"/>
      </w:r>
      <w:r>
        <w:rPr>
          <w:noProof/>
        </w:rPr>
        <w:t>310</w:t>
      </w:r>
      <w:r>
        <w:rPr>
          <w:noProof/>
        </w:rPr>
        <w:fldChar w:fldCharType="end"/>
      </w:r>
    </w:p>
    <w:p w14:paraId="36E4DFD8" w14:textId="0493A80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7.6.08C  Modification of section 912CA of the Act</w:t>
      </w:r>
      <w:r>
        <w:rPr>
          <w:noProof/>
        </w:rPr>
        <w:tab/>
      </w:r>
      <w:r>
        <w:rPr>
          <w:noProof/>
        </w:rPr>
        <w:fldChar w:fldCharType="begin"/>
      </w:r>
      <w:r>
        <w:rPr>
          <w:noProof/>
        </w:rPr>
        <w:instrText xml:space="preserve"> PAGEREF _Toc158712302 \h </w:instrText>
      </w:r>
      <w:r>
        <w:rPr>
          <w:noProof/>
        </w:rPr>
      </w:r>
      <w:r>
        <w:rPr>
          <w:noProof/>
        </w:rPr>
        <w:fldChar w:fldCharType="separate"/>
      </w:r>
      <w:r>
        <w:rPr>
          <w:noProof/>
        </w:rPr>
        <w:t>310</w:t>
      </w:r>
      <w:r>
        <w:rPr>
          <w:noProof/>
        </w:rPr>
        <w:fldChar w:fldCharType="end"/>
      </w:r>
    </w:p>
    <w:p w14:paraId="056C226F" w14:textId="2551B36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7.6.08D  Information about general insurance products</w:t>
      </w:r>
      <w:r>
        <w:rPr>
          <w:noProof/>
        </w:rPr>
        <w:tab/>
      </w:r>
      <w:r>
        <w:rPr>
          <w:noProof/>
        </w:rPr>
        <w:fldChar w:fldCharType="begin"/>
      </w:r>
      <w:r>
        <w:rPr>
          <w:noProof/>
        </w:rPr>
        <w:instrText xml:space="preserve"> PAGEREF _Toc158712303 \h </w:instrText>
      </w:r>
      <w:r>
        <w:rPr>
          <w:noProof/>
        </w:rPr>
      </w:r>
      <w:r>
        <w:rPr>
          <w:noProof/>
        </w:rPr>
        <w:fldChar w:fldCharType="separate"/>
      </w:r>
      <w:r>
        <w:rPr>
          <w:noProof/>
        </w:rPr>
        <w:t>310</w:t>
      </w:r>
      <w:r>
        <w:rPr>
          <w:noProof/>
        </w:rPr>
        <w:fldChar w:fldCharType="end"/>
      </w:r>
    </w:p>
    <w:p w14:paraId="2071C24F" w14:textId="7B4FAE2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7.6.08E  Information about general insurance products—unauthorised foreign insurers</w:t>
      </w:r>
      <w:r>
        <w:rPr>
          <w:noProof/>
        </w:rPr>
        <w:tab/>
      </w:r>
      <w:r>
        <w:rPr>
          <w:noProof/>
        </w:rPr>
        <w:fldChar w:fldCharType="begin"/>
      </w:r>
      <w:r>
        <w:rPr>
          <w:noProof/>
        </w:rPr>
        <w:instrText xml:space="preserve"> PAGEREF _Toc158712304 \h </w:instrText>
      </w:r>
      <w:r>
        <w:rPr>
          <w:noProof/>
        </w:rPr>
      </w:r>
      <w:r>
        <w:rPr>
          <w:noProof/>
        </w:rPr>
        <w:fldChar w:fldCharType="separate"/>
      </w:r>
      <w:r>
        <w:rPr>
          <w:noProof/>
        </w:rPr>
        <w:t>311</w:t>
      </w:r>
      <w:r>
        <w:rPr>
          <w:noProof/>
        </w:rPr>
        <w:fldChar w:fldCharType="end"/>
      </w:r>
    </w:p>
    <w:p w14:paraId="47381D33" w14:textId="65D8DD0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Chapter 7</w:t>
      </w:r>
      <w:r w:rsidRPr="00FC743A">
        <w:rPr>
          <w:noProof/>
          <w:color w:val="000000"/>
        </w:rPr>
        <w:t>—</w:t>
      </w:r>
      <w:r>
        <w:rPr>
          <w:noProof/>
        </w:rPr>
        <w:t>Financial services and markets</w:t>
      </w:r>
      <w:r>
        <w:rPr>
          <w:noProof/>
        </w:rPr>
        <w:tab/>
      </w:r>
      <w:r>
        <w:rPr>
          <w:noProof/>
        </w:rPr>
        <w:fldChar w:fldCharType="begin"/>
      </w:r>
      <w:r>
        <w:rPr>
          <w:noProof/>
        </w:rPr>
        <w:instrText xml:space="preserve"> PAGEREF _Toc158712305 \h </w:instrText>
      </w:r>
      <w:r>
        <w:rPr>
          <w:noProof/>
        </w:rPr>
      </w:r>
      <w:r>
        <w:rPr>
          <w:noProof/>
        </w:rPr>
        <w:fldChar w:fldCharType="separate"/>
      </w:r>
      <w:r>
        <w:rPr>
          <w:noProof/>
        </w:rPr>
        <w:t>312</w:t>
      </w:r>
      <w:r>
        <w:rPr>
          <w:noProof/>
        </w:rPr>
        <w:fldChar w:fldCharType="end"/>
      </w:r>
    </w:p>
    <w:p w14:paraId="4EC518D3" w14:textId="5AB88D2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7.7</w:t>
      </w:r>
      <w:r w:rsidRPr="00FC743A">
        <w:rPr>
          <w:noProof/>
          <w:color w:val="000000"/>
        </w:rPr>
        <w:t>—</w:t>
      </w:r>
      <w:r>
        <w:rPr>
          <w:noProof/>
        </w:rPr>
        <w:t>Financial service disclosure</w:t>
      </w:r>
      <w:r>
        <w:rPr>
          <w:noProof/>
        </w:rPr>
        <w:tab/>
      </w:r>
      <w:r>
        <w:rPr>
          <w:noProof/>
        </w:rPr>
        <w:fldChar w:fldCharType="begin"/>
      </w:r>
      <w:r>
        <w:rPr>
          <w:noProof/>
        </w:rPr>
        <w:instrText xml:space="preserve"> PAGEREF _Toc158712306 \h </w:instrText>
      </w:r>
      <w:r>
        <w:rPr>
          <w:noProof/>
        </w:rPr>
      </w:r>
      <w:r>
        <w:rPr>
          <w:noProof/>
        </w:rPr>
        <w:fldChar w:fldCharType="separate"/>
      </w:r>
      <w:r>
        <w:rPr>
          <w:noProof/>
        </w:rPr>
        <w:t>312</w:t>
      </w:r>
      <w:r>
        <w:rPr>
          <w:noProof/>
        </w:rPr>
        <w:fldChar w:fldCharType="end"/>
      </w:r>
    </w:p>
    <w:p w14:paraId="7A5634AF" w14:textId="55AB829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Preliminary</w:t>
      </w:r>
      <w:r>
        <w:rPr>
          <w:noProof/>
        </w:rPr>
        <w:tab/>
      </w:r>
      <w:r>
        <w:rPr>
          <w:noProof/>
        </w:rPr>
        <w:fldChar w:fldCharType="begin"/>
      </w:r>
      <w:r>
        <w:rPr>
          <w:noProof/>
        </w:rPr>
        <w:instrText xml:space="preserve"> PAGEREF _Toc158712307 \h </w:instrText>
      </w:r>
      <w:r>
        <w:rPr>
          <w:noProof/>
        </w:rPr>
      </w:r>
      <w:r>
        <w:rPr>
          <w:noProof/>
        </w:rPr>
        <w:fldChar w:fldCharType="separate"/>
      </w:r>
      <w:r>
        <w:rPr>
          <w:noProof/>
        </w:rPr>
        <w:t>312</w:t>
      </w:r>
      <w:r>
        <w:rPr>
          <w:noProof/>
        </w:rPr>
        <w:fldChar w:fldCharType="end"/>
      </w:r>
    </w:p>
    <w:p w14:paraId="58301C34" w14:textId="7A2CD4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7.7.01  How documents, information and statements are to be given</w:t>
      </w:r>
      <w:r>
        <w:rPr>
          <w:noProof/>
        </w:rPr>
        <w:tab/>
      </w:r>
      <w:r>
        <w:rPr>
          <w:noProof/>
        </w:rPr>
        <w:fldChar w:fldCharType="begin"/>
      </w:r>
      <w:r>
        <w:rPr>
          <w:noProof/>
        </w:rPr>
        <w:instrText xml:space="preserve"> PAGEREF _Toc158712308 \h </w:instrText>
      </w:r>
      <w:r>
        <w:rPr>
          <w:noProof/>
        </w:rPr>
      </w:r>
      <w:r>
        <w:rPr>
          <w:noProof/>
        </w:rPr>
        <w:fldChar w:fldCharType="separate"/>
      </w:r>
      <w:r>
        <w:rPr>
          <w:noProof/>
        </w:rPr>
        <w:t>312</w:t>
      </w:r>
      <w:r>
        <w:rPr>
          <w:noProof/>
        </w:rPr>
        <w:fldChar w:fldCharType="end"/>
      </w:r>
    </w:p>
    <w:p w14:paraId="48B6CFD5" w14:textId="051E5F7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Financial Services Guide</w:t>
      </w:r>
      <w:r>
        <w:rPr>
          <w:noProof/>
        </w:rPr>
        <w:tab/>
      </w:r>
      <w:r>
        <w:rPr>
          <w:noProof/>
        </w:rPr>
        <w:fldChar w:fldCharType="begin"/>
      </w:r>
      <w:r>
        <w:rPr>
          <w:noProof/>
        </w:rPr>
        <w:instrText xml:space="preserve"> PAGEREF _Toc158712309 \h </w:instrText>
      </w:r>
      <w:r>
        <w:rPr>
          <w:noProof/>
        </w:rPr>
      </w:r>
      <w:r>
        <w:rPr>
          <w:noProof/>
        </w:rPr>
        <w:fldChar w:fldCharType="separate"/>
      </w:r>
      <w:r>
        <w:rPr>
          <w:noProof/>
        </w:rPr>
        <w:t>313</w:t>
      </w:r>
      <w:r>
        <w:rPr>
          <w:noProof/>
        </w:rPr>
        <w:fldChar w:fldCharType="end"/>
      </w:r>
    </w:p>
    <w:p w14:paraId="284FE929" w14:textId="0ADB276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7.7.02  Situations in which Financial Services Guide is not required</w:t>
      </w:r>
      <w:r>
        <w:rPr>
          <w:noProof/>
        </w:rPr>
        <w:tab/>
      </w:r>
      <w:r>
        <w:rPr>
          <w:noProof/>
        </w:rPr>
        <w:fldChar w:fldCharType="begin"/>
      </w:r>
      <w:r>
        <w:rPr>
          <w:noProof/>
        </w:rPr>
        <w:instrText xml:space="preserve"> PAGEREF _Toc158712310 \h </w:instrText>
      </w:r>
      <w:r>
        <w:rPr>
          <w:noProof/>
        </w:rPr>
      </w:r>
      <w:r>
        <w:rPr>
          <w:noProof/>
        </w:rPr>
        <w:fldChar w:fldCharType="separate"/>
      </w:r>
      <w:r>
        <w:rPr>
          <w:noProof/>
        </w:rPr>
        <w:t>313</w:t>
      </w:r>
      <w:r>
        <w:rPr>
          <w:noProof/>
        </w:rPr>
        <w:fldChar w:fldCharType="end"/>
      </w:r>
    </w:p>
    <w:p w14:paraId="1CB08803" w14:textId="08E9AAF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7.7.02A  Situations when Financial Services Guide is not required</w:t>
      </w:r>
      <w:r>
        <w:rPr>
          <w:noProof/>
        </w:rPr>
        <w:tab/>
      </w:r>
      <w:r>
        <w:rPr>
          <w:noProof/>
        </w:rPr>
        <w:fldChar w:fldCharType="begin"/>
      </w:r>
      <w:r>
        <w:rPr>
          <w:noProof/>
        </w:rPr>
        <w:instrText xml:space="preserve"> PAGEREF _Toc158712311 \h </w:instrText>
      </w:r>
      <w:r>
        <w:rPr>
          <w:noProof/>
        </w:rPr>
      </w:r>
      <w:r>
        <w:rPr>
          <w:noProof/>
        </w:rPr>
        <w:fldChar w:fldCharType="separate"/>
      </w:r>
      <w:r>
        <w:rPr>
          <w:noProof/>
        </w:rPr>
        <w:t>315</w:t>
      </w:r>
      <w:r>
        <w:rPr>
          <w:noProof/>
        </w:rPr>
        <w:fldChar w:fldCharType="end"/>
      </w:r>
    </w:p>
    <w:p w14:paraId="3B5EA4D2" w14:textId="0F8A88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7.7.03  Financial Services Guide given by financial services licensee: description of documents</w:t>
      </w:r>
      <w:r>
        <w:rPr>
          <w:noProof/>
        </w:rPr>
        <w:tab/>
      </w:r>
      <w:r>
        <w:rPr>
          <w:noProof/>
        </w:rPr>
        <w:fldChar w:fldCharType="begin"/>
      </w:r>
      <w:r>
        <w:rPr>
          <w:noProof/>
        </w:rPr>
        <w:instrText xml:space="preserve"> PAGEREF _Toc158712312 \h </w:instrText>
      </w:r>
      <w:r>
        <w:rPr>
          <w:noProof/>
        </w:rPr>
      </w:r>
      <w:r>
        <w:rPr>
          <w:noProof/>
        </w:rPr>
        <w:fldChar w:fldCharType="separate"/>
      </w:r>
      <w:r>
        <w:rPr>
          <w:noProof/>
        </w:rPr>
        <w:t>315</w:t>
      </w:r>
      <w:r>
        <w:rPr>
          <w:noProof/>
        </w:rPr>
        <w:fldChar w:fldCharType="end"/>
      </w:r>
    </w:p>
    <w:p w14:paraId="38E5DBF0" w14:textId="05AC75E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7.7.03A  Financial Services Guide given by financial services licensee: arrangements for compensation</w:t>
      </w:r>
      <w:r>
        <w:rPr>
          <w:noProof/>
        </w:rPr>
        <w:tab/>
      </w:r>
      <w:r>
        <w:rPr>
          <w:noProof/>
        </w:rPr>
        <w:fldChar w:fldCharType="begin"/>
      </w:r>
      <w:r>
        <w:rPr>
          <w:noProof/>
        </w:rPr>
        <w:instrText xml:space="preserve"> PAGEREF _Toc158712313 \h </w:instrText>
      </w:r>
      <w:r>
        <w:rPr>
          <w:noProof/>
        </w:rPr>
      </w:r>
      <w:r>
        <w:rPr>
          <w:noProof/>
        </w:rPr>
        <w:fldChar w:fldCharType="separate"/>
      </w:r>
      <w:r>
        <w:rPr>
          <w:noProof/>
        </w:rPr>
        <w:t>316</w:t>
      </w:r>
      <w:r>
        <w:rPr>
          <w:noProof/>
        </w:rPr>
        <w:fldChar w:fldCharType="end"/>
      </w:r>
    </w:p>
    <w:p w14:paraId="6533633F" w14:textId="269EBC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7.7.04  Financial Services Guide given by financial services licensee: remuneration, commission and benefits</w:t>
      </w:r>
      <w:r>
        <w:rPr>
          <w:noProof/>
        </w:rPr>
        <w:tab/>
      </w:r>
      <w:r>
        <w:rPr>
          <w:noProof/>
        </w:rPr>
        <w:fldChar w:fldCharType="begin"/>
      </w:r>
      <w:r>
        <w:rPr>
          <w:noProof/>
        </w:rPr>
        <w:instrText xml:space="preserve"> PAGEREF _Toc158712314 \h </w:instrText>
      </w:r>
      <w:r>
        <w:rPr>
          <w:noProof/>
        </w:rPr>
      </w:r>
      <w:r>
        <w:rPr>
          <w:noProof/>
        </w:rPr>
        <w:fldChar w:fldCharType="separate"/>
      </w:r>
      <w:r>
        <w:rPr>
          <w:noProof/>
        </w:rPr>
        <w:t>316</w:t>
      </w:r>
      <w:r>
        <w:rPr>
          <w:noProof/>
        </w:rPr>
        <w:fldChar w:fldCharType="end"/>
      </w:r>
    </w:p>
    <w:p w14:paraId="7F7358A6" w14:textId="326C6B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7.7.04A  Financial services guide given by financial services licensee: more detailed information about remuneration etc</w:t>
      </w:r>
      <w:r>
        <w:rPr>
          <w:noProof/>
        </w:rPr>
        <w:tab/>
      </w:r>
      <w:r>
        <w:rPr>
          <w:noProof/>
        </w:rPr>
        <w:fldChar w:fldCharType="begin"/>
      </w:r>
      <w:r>
        <w:rPr>
          <w:noProof/>
        </w:rPr>
        <w:instrText xml:space="preserve"> PAGEREF _Toc158712315 \h </w:instrText>
      </w:r>
      <w:r>
        <w:rPr>
          <w:noProof/>
        </w:rPr>
      </w:r>
      <w:r>
        <w:rPr>
          <w:noProof/>
        </w:rPr>
        <w:fldChar w:fldCharType="separate"/>
      </w:r>
      <w:r>
        <w:rPr>
          <w:noProof/>
        </w:rPr>
        <w:t>317</w:t>
      </w:r>
      <w:r>
        <w:rPr>
          <w:noProof/>
        </w:rPr>
        <w:fldChar w:fldCharType="end"/>
      </w:r>
    </w:p>
    <w:p w14:paraId="071CE6AC" w14:textId="5C10007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7.7.04AA  Financial Services Guide given by financial services licensee: non</w:t>
      </w:r>
      <w:r>
        <w:rPr>
          <w:noProof/>
        </w:rPr>
        <w:noBreakHyphen/>
        <w:t>monetary benefit that is not conflicted remuneration</w:t>
      </w:r>
      <w:r>
        <w:rPr>
          <w:noProof/>
        </w:rPr>
        <w:tab/>
      </w:r>
      <w:r>
        <w:rPr>
          <w:noProof/>
        </w:rPr>
        <w:fldChar w:fldCharType="begin"/>
      </w:r>
      <w:r>
        <w:rPr>
          <w:noProof/>
        </w:rPr>
        <w:instrText xml:space="preserve"> PAGEREF _Toc158712316 \h </w:instrText>
      </w:r>
      <w:r>
        <w:rPr>
          <w:noProof/>
        </w:rPr>
      </w:r>
      <w:r>
        <w:rPr>
          <w:noProof/>
        </w:rPr>
        <w:fldChar w:fldCharType="separate"/>
      </w:r>
      <w:r>
        <w:rPr>
          <w:noProof/>
        </w:rPr>
        <w:t>318</w:t>
      </w:r>
      <w:r>
        <w:rPr>
          <w:noProof/>
        </w:rPr>
        <w:fldChar w:fldCharType="end"/>
      </w:r>
    </w:p>
    <w:p w14:paraId="7ACA0C74" w14:textId="22AFE48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7.7.04AB  Financial Services Guide given by authorised representative: non</w:t>
      </w:r>
      <w:r>
        <w:rPr>
          <w:noProof/>
        </w:rPr>
        <w:noBreakHyphen/>
        <w:t>monetary benefit that is not conflicted remuneration</w:t>
      </w:r>
      <w:r>
        <w:rPr>
          <w:noProof/>
        </w:rPr>
        <w:tab/>
      </w:r>
      <w:r>
        <w:rPr>
          <w:noProof/>
        </w:rPr>
        <w:fldChar w:fldCharType="begin"/>
      </w:r>
      <w:r>
        <w:rPr>
          <w:noProof/>
        </w:rPr>
        <w:instrText xml:space="preserve"> PAGEREF _Toc158712317 \h </w:instrText>
      </w:r>
      <w:r>
        <w:rPr>
          <w:noProof/>
        </w:rPr>
      </w:r>
      <w:r>
        <w:rPr>
          <w:noProof/>
        </w:rPr>
        <w:fldChar w:fldCharType="separate"/>
      </w:r>
      <w:r>
        <w:rPr>
          <w:noProof/>
        </w:rPr>
        <w:t>318</w:t>
      </w:r>
      <w:r>
        <w:rPr>
          <w:noProof/>
        </w:rPr>
        <w:fldChar w:fldCharType="end"/>
      </w:r>
    </w:p>
    <w:p w14:paraId="344CB248" w14:textId="62DC25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7.7.05  Record of advice given by financial services licensee</w:t>
      </w:r>
      <w:r>
        <w:rPr>
          <w:noProof/>
        </w:rPr>
        <w:tab/>
      </w:r>
      <w:r>
        <w:rPr>
          <w:noProof/>
        </w:rPr>
        <w:fldChar w:fldCharType="begin"/>
      </w:r>
      <w:r>
        <w:rPr>
          <w:noProof/>
        </w:rPr>
        <w:instrText xml:space="preserve"> PAGEREF _Toc158712318 \h </w:instrText>
      </w:r>
      <w:r>
        <w:rPr>
          <w:noProof/>
        </w:rPr>
      </w:r>
      <w:r>
        <w:rPr>
          <w:noProof/>
        </w:rPr>
        <w:fldChar w:fldCharType="separate"/>
      </w:r>
      <w:r>
        <w:rPr>
          <w:noProof/>
        </w:rPr>
        <w:t>318</w:t>
      </w:r>
      <w:r>
        <w:rPr>
          <w:noProof/>
        </w:rPr>
        <w:fldChar w:fldCharType="end"/>
      </w:r>
    </w:p>
    <w:p w14:paraId="7D603C9C" w14:textId="3CCBD8D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7.7.05A  Financial Services Guide given by authorised representative of financial services licensee: authorised representative number</w:t>
      </w:r>
      <w:r>
        <w:rPr>
          <w:noProof/>
        </w:rPr>
        <w:tab/>
      </w:r>
      <w:r>
        <w:rPr>
          <w:noProof/>
        </w:rPr>
        <w:fldChar w:fldCharType="begin"/>
      </w:r>
      <w:r>
        <w:rPr>
          <w:noProof/>
        </w:rPr>
        <w:instrText xml:space="preserve"> PAGEREF _Toc158712319 \h </w:instrText>
      </w:r>
      <w:r>
        <w:rPr>
          <w:noProof/>
        </w:rPr>
      </w:r>
      <w:r>
        <w:rPr>
          <w:noProof/>
        </w:rPr>
        <w:fldChar w:fldCharType="separate"/>
      </w:r>
      <w:r>
        <w:rPr>
          <w:noProof/>
        </w:rPr>
        <w:t>318</w:t>
      </w:r>
      <w:r>
        <w:rPr>
          <w:noProof/>
        </w:rPr>
        <w:fldChar w:fldCharType="end"/>
      </w:r>
    </w:p>
    <w:p w14:paraId="70021F4F" w14:textId="2D56A5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7.7.05B  Personalised Financial Services Guide</w:t>
      </w:r>
      <w:r>
        <w:rPr>
          <w:noProof/>
        </w:rPr>
        <w:tab/>
      </w:r>
      <w:r>
        <w:rPr>
          <w:noProof/>
        </w:rPr>
        <w:fldChar w:fldCharType="begin"/>
      </w:r>
      <w:r>
        <w:rPr>
          <w:noProof/>
        </w:rPr>
        <w:instrText xml:space="preserve"> PAGEREF _Toc158712320 \h </w:instrText>
      </w:r>
      <w:r>
        <w:rPr>
          <w:noProof/>
        </w:rPr>
      </w:r>
      <w:r>
        <w:rPr>
          <w:noProof/>
        </w:rPr>
        <w:fldChar w:fldCharType="separate"/>
      </w:r>
      <w:r>
        <w:rPr>
          <w:noProof/>
        </w:rPr>
        <w:t>318</w:t>
      </w:r>
      <w:r>
        <w:rPr>
          <w:noProof/>
        </w:rPr>
        <w:fldChar w:fldCharType="end"/>
      </w:r>
    </w:p>
    <w:p w14:paraId="1C78169B" w14:textId="2C6D7A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7.7.05C  Exemption from providing certain information in a Financial Services Guide</w:t>
      </w:r>
      <w:r>
        <w:rPr>
          <w:noProof/>
        </w:rPr>
        <w:tab/>
      </w:r>
      <w:r>
        <w:rPr>
          <w:noProof/>
        </w:rPr>
        <w:fldChar w:fldCharType="begin"/>
      </w:r>
      <w:r>
        <w:rPr>
          <w:noProof/>
        </w:rPr>
        <w:instrText xml:space="preserve"> PAGEREF _Toc158712321 \h </w:instrText>
      </w:r>
      <w:r>
        <w:rPr>
          <w:noProof/>
        </w:rPr>
      </w:r>
      <w:r>
        <w:rPr>
          <w:noProof/>
        </w:rPr>
        <w:fldChar w:fldCharType="separate"/>
      </w:r>
      <w:r>
        <w:rPr>
          <w:noProof/>
        </w:rPr>
        <w:t>319</w:t>
      </w:r>
      <w:r>
        <w:rPr>
          <w:noProof/>
        </w:rPr>
        <w:fldChar w:fldCharType="end"/>
      </w:r>
    </w:p>
    <w:p w14:paraId="46080A5B" w14:textId="1E0C8F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7.7.06  Financial Services Guide given by authorised representative of financial services licensee: description of documents</w:t>
      </w:r>
      <w:r>
        <w:rPr>
          <w:noProof/>
        </w:rPr>
        <w:tab/>
      </w:r>
      <w:r>
        <w:rPr>
          <w:noProof/>
        </w:rPr>
        <w:fldChar w:fldCharType="begin"/>
      </w:r>
      <w:r>
        <w:rPr>
          <w:noProof/>
        </w:rPr>
        <w:instrText xml:space="preserve"> PAGEREF _Toc158712322 \h </w:instrText>
      </w:r>
      <w:r>
        <w:rPr>
          <w:noProof/>
        </w:rPr>
      </w:r>
      <w:r>
        <w:rPr>
          <w:noProof/>
        </w:rPr>
        <w:fldChar w:fldCharType="separate"/>
      </w:r>
      <w:r>
        <w:rPr>
          <w:noProof/>
        </w:rPr>
        <w:t>319</w:t>
      </w:r>
      <w:r>
        <w:rPr>
          <w:noProof/>
        </w:rPr>
        <w:fldChar w:fldCharType="end"/>
      </w:r>
    </w:p>
    <w:p w14:paraId="3D821AED" w14:textId="517E1D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7.7.06A  Financial Services Guide given by authorised representative of financial services licensee—licence number</w:t>
      </w:r>
      <w:r>
        <w:rPr>
          <w:noProof/>
        </w:rPr>
        <w:tab/>
      </w:r>
      <w:r>
        <w:rPr>
          <w:noProof/>
        </w:rPr>
        <w:fldChar w:fldCharType="begin"/>
      </w:r>
      <w:r>
        <w:rPr>
          <w:noProof/>
        </w:rPr>
        <w:instrText xml:space="preserve"> PAGEREF _Toc158712323 \h </w:instrText>
      </w:r>
      <w:r>
        <w:rPr>
          <w:noProof/>
        </w:rPr>
      </w:r>
      <w:r>
        <w:rPr>
          <w:noProof/>
        </w:rPr>
        <w:fldChar w:fldCharType="separate"/>
      </w:r>
      <w:r>
        <w:rPr>
          <w:noProof/>
        </w:rPr>
        <w:t>320</w:t>
      </w:r>
      <w:r>
        <w:rPr>
          <w:noProof/>
        </w:rPr>
        <w:fldChar w:fldCharType="end"/>
      </w:r>
    </w:p>
    <w:p w14:paraId="434FD615" w14:textId="63C81A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7.7.06B  Financial Services Guide given by authorised representative of financial services licensee: arrangements for compensation</w:t>
      </w:r>
      <w:r>
        <w:rPr>
          <w:noProof/>
        </w:rPr>
        <w:tab/>
      </w:r>
      <w:r>
        <w:rPr>
          <w:noProof/>
        </w:rPr>
        <w:fldChar w:fldCharType="begin"/>
      </w:r>
      <w:r>
        <w:rPr>
          <w:noProof/>
        </w:rPr>
        <w:instrText xml:space="preserve"> PAGEREF _Toc158712324 \h </w:instrText>
      </w:r>
      <w:r>
        <w:rPr>
          <w:noProof/>
        </w:rPr>
      </w:r>
      <w:r>
        <w:rPr>
          <w:noProof/>
        </w:rPr>
        <w:fldChar w:fldCharType="separate"/>
      </w:r>
      <w:r>
        <w:rPr>
          <w:noProof/>
        </w:rPr>
        <w:t>320</w:t>
      </w:r>
      <w:r>
        <w:rPr>
          <w:noProof/>
        </w:rPr>
        <w:fldChar w:fldCharType="end"/>
      </w:r>
    </w:p>
    <w:p w14:paraId="68D4B141" w14:textId="22EA3F9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7.7.07  Financial Services Guide given by authorised representative of financial services licensee: remuneration, commission and benefits</w:t>
      </w:r>
      <w:r>
        <w:rPr>
          <w:noProof/>
        </w:rPr>
        <w:tab/>
      </w:r>
      <w:r>
        <w:rPr>
          <w:noProof/>
        </w:rPr>
        <w:fldChar w:fldCharType="begin"/>
      </w:r>
      <w:r>
        <w:rPr>
          <w:noProof/>
        </w:rPr>
        <w:instrText xml:space="preserve"> PAGEREF _Toc158712325 \h </w:instrText>
      </w:r>
      <w:r>
        <w:rPr>
          <w:noProof/>
        </w:rPr>
      </w:r>
      <w:r>
        <w:rPr>
          <w:noProof/>
        </w:rPr>
        <w:fldChar w:fldCharType="separate"/>
      </w:r>
      <w:r>
        <w:rPr>
          <w:noProof/>
        </w:rPr>
        <w:t>320</w:t>
      </w:r>
      <w:r>
        <w:rPr>
          <w:noProof/>
        </w:rPr>
        <w:fldChar w:fldCharType="end"/>
      </w:r>
    </w:p>
    <w:p w14:paraId="42A0EB59" w14:textId="79AF90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7.7.07A  Financial services guide given by authorised representative: more detailed information about remuneration etc</w:t>
      </w:r>
      <w:r>
        <w:rPr>
          <w:noProof/>
        </w:rPr>
        <w:tab/>
      </w:r>
      <w:r>
        <w:rPr>
          <w:noProof/>
        </w:rPr>
        <w:fldChar w:fldCharType="begin"/>
      </w:r>
      <w:r>
        <w:rPr>
          <w:noProof/>
        </w:rPr>
        <w:instrText xml:space="preserve"> PAGEREF _Toc158712326 \h </w:instrText>
      </w:r>
      <w:r>
        <w:rPr>
          <w:noProof/>
        </w:rPr>
      </w:r>
      <w:r>
        <w:rPr>
          <w:noProof/>
        </w:rPr>
        <w:fldChar w:fldCharType="separate"/>
      </w:r>
      <w:r>
        <w:rPr>
          <w:noProof/>
        </w:rPr>
        <w:t>321</w:t>
      </w:r>
      <w:r>
        <w:rPr>
          <w:noProof/>
        </w:rPr>
        <w:fldChar w:fldCharType="end"/>
      </w:r>
    </w:p>
    <w:p w14:paraId="32717BEA" w14:textId="635F42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7.7.08  Record of advice given by authorised representative of financial services licensee</w:t>
      </w:r>
      <w:r>
        <w:rPr>
          <w:noProof/>
        </w:rPr>
        <w:tab/>
      </w:r>
      <w:r>
        <w:rPr>
          <w:noProof/>
        </w:rPr>
        <w:fldChar w:fldCharType="begin"/>
      </w:r>
      <w:r>
        <w:rPr>
          <w:noProof/>
        </w:rPr>
        <w:instrText xml:space="preserve"> PAGEREF _Toc158712327 \h </w:instrText>
      </w:r>
      <w:r>
        <w:rPr>
          <w:noProof/>
        </w:rPr>
      </w:r>
      <w:r>
        <w:rPr>
          <w:noProof/>
        </w:rPr>
        <w:fldChar w:fldCharType="separate"/>
      </w:r>
      <w:r>
        <w:rPr>
          <w:noProof/>
        </w:rPr>
        <w:t>322</w:t>
      </w:r>
      <w:r>
        <w:rPr>
          <w:noProof/>
        </w:rPr>
        <w:fldChar w:fldCharType="end"/>
      </w:r>
    </w:p>
    <w:p w14:paraId="46AB9DE5" w14:textId="7587EF0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2A—Combined Financial Services Guide and Product Disclosure Statement</w:t>
      </w:r>
      <w:r>
        <w:rPr>
          <w:noProof/>
        </w:rPr>
        <w:tab/>
      </w:r>
      <w:r>
        <w:rPr>
          <w:noProof/>
        </w:rPr>
        <w:fldChar w:fldCharType="begin"/>
      </w:r>
      <w:r>
        <w:rPr>
          <w:noProof/>
        </w:rPr>
        <w:instrText xml:space="preserve"> PAGEREF _Toc158712328 \h </w:instrText>
      </w:r>
      <w:r>
        <w:rPr>
          <w:noProof/>
        </w:rPr>
      </w:r>
      <w:r>
        <w:rPr>
          <w:noProof/>
        </w:rPr>
        <w:fldChar w:fldCharType="separate"/>
      </w:r>
      <w:r>
        <w:rPr>
          <w:noProof/>
        </w:rPr>
        <w:t>323</w:t>
      </w:r>
      <w:r>
        <w:rPr>
          <w:noProof/>
        </w:rPr>
        <w:fldChar w:fldCharType="end"/>
      </w:r>
    </w:p>
    <w:p w14:paraId="40D52485" w14:textId="3912C0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7.7.08A  Combined Financial Services Guide and Product Disclosure Statement</w:t>
      </w:r>
      <w:r>
        <w:rPr>
          <w:noProof/>
        </w:rPr>
        <w:tab/>
      </w:r>
      <w:r>
        <w:rPr>
          <w:noProof/>
        </w:rPr>
        <w:fldChar w:fldCharType="begin"/>
      </w:r>
      <w:r>
        <w:rPr>
          <w:noProof/>
        </w:rPr>
        <w:instrText xml:space="preserve"> PAGEREF _Toc158712329 \h </w:instrText>
      </w:r>
      <w:r>
        <w:rPr>
          <w:noProof/>
        </w:rPr>
      </w:r>
      <w:r>
        <w:rPr>
          <w:noProof/>
        </w:rPr>
        <w:fldChar w:fldCharType="separate"/>
      </w:r>
      <w:r>
        <w:rPr>
          <w:noProof/>
        </w:rPr>
        <w:t>323</w:t>
      </w:r>
      <w:r>
        <w:rPr>
          <w:noProof/>
        </w:rPr>
        <w:fldChar w:fldCharType="end"/>
      </w:r>
    </w:p>
    <w:p w14:paraId="4BE6E359" w14:textId="35D2E5D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2AA—Combined Financial Services Guide and credit guide</w:t>
      </w:r>
      <w:r>
        <w:rPr>
          <w:noProof/>
        </w:rPr>
        <w:tab/>
      </w:r>
      <w:r>
        <w:rPr>
          <w:noProof/>
        </w:rPr>
        <w:fldChar w:fldCharType="begin"/>
      </w:r>
      <w:r>
        <w:rPr>
          <w:noProof/>
        </w:rPr>
        <w:instrText xml:space="preserve"> PAGEREF _Toc158712330 \h </w:instrText>
      </w:r>
      <w:r>
        <w:rPr>
          <w:noProof/>
        </w:rPr>
      </w:r>
      <w:r>
        <w:rPr>
          <w:noProof/>
        </w:rPr>
        <w:fldChar w:fldCharType="separate"/>
      </w:r>
      <w:r>
        <w:rPr>
          <w:noProof/>
        </w:rPr>
        <w:t>324</w:t>
      </w:r>
      <w:r>
        <w:rPr>
          <w:noProof/>
        </w:rPr>
        <w:fldChar w:fldCharType="end"/>
      </w:r>
    </w:p>
    <w:p w14:paraId="73ACAFC9" w14:textId="2D54EC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7.7.08B  Modification of section 942DA of the Act</w:t>
      </w:r>
      <w:r>
        <w:rPr>
          <w:noProof/>
        </w:rPr>
        <w:tab/>
      </w:r>
      <w:r>
        <w:rPr>
          <w:noProof/>
        </w:rPr>
        <w:fldChar w:fldCharType="begin"/>
      </w:r>
      <w:r>
        <w:rPr>
          <w:noProof/>
        </w:rPr>
        <w:instrText xml:space="preserve"> PAGEREF _Toc158712331 \h </w:instrText>
      </w:r>
      <w:r>
        <w:rPr>
          <w:noProof/>
        </w:rPr>
      </w:r>
      <w:r>
        <w:rPr>
          <w:noProof/>
        </w:rPr>
        <w:fldChar w:fldCharType="separate"/>
      </w:r>
      <w:r>
        <w:rPr>
          <w:noProof/>
        </w:rPr>
        <w:t>324</w:t>
      </w:r>
      <w:r>
        <w:rPr>
          <w:noProof/>
        </w:rPr>
        <w:fldChar w:fldCharType="end"/>
      </w:r>
    </w:p>
    <w:p w14:paraId="42E0A5C9" w14:textId="0238A66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2B—Record of small investment advice</w:t>
      </w:r>
      <w:r>
        <w:rPr>
          <w:noProof/>
        </w:rPr>
        <w:tab/>
      </w:r>
      <w:r>
        <w:rPr>
          <w:noProof/>
        </w:rPr>
        <w:fldChar w:fldCharType="begin"/>
      </w:r>
      <w:r>
        <w:rPr>
          <w:noProof/>
        </w:rPr>
        <w:instrText xml:space="preserve"> PAGEREF _Toc158712332 \h </w:instrText>
      </w:r>
      <w:r>
        <w:rPr>
          <w:noProof/>
        </w:rPr>
      </w:r>
      <w:r>
        <w:rPr>
          <w:noProof/>
        </w:rPr>
        <w:fldChar w:fldCharType="separate"/>
      </w:r>
      <w:r>
        <w:rPr>
          <w:noProof/>
        </w:rPr>
        <w:t>325</w:t>
      </w:r>
      <w:r>
        <w:rPr>
          <w:noProof/>
        </w:rPr>
        <w:fldChar w:fldCharType="end"/>
      </w:r>
    </w:p>
    <w:p w14:paraId="3F44DBEC" w14:textId="6BEA570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7.7.08C  Record of small investment advice—content requirements</w:t>
      </w:r>
      <w:r>
        <w:rPr>
          <w:noProof/>
        </w:rPr>
        <w:tab/>
      </w:r>
      <w:r>
        <w:rPr>
          <w:noProof/>
        </w:rPr>
        <w:fldChar w:fldCharType="begin"/>
      </w:r>
      <w:r>
        <w:rPr>
          <w:noProof/>
        </w:rPr>
        <w:instrText xml:space="preserve"> PAGEREF _Toc158712333 \h </w:instrText>
      </w:r>
      <w:r>
        <w:rPr>
          <w:noProof/>
        </w:rPr>
      </w:r>
      <w:r>
        <w:rPr>
          <w:noProof/>
        </w:rPr>
        <w:fldChar w:fldCharType="separate"/>
      </w:r>
      <w:r>
        <w:rPr>
          <w:noProof/>
        </w:rPr>
        <w:t>325</w:t>
      </w:r>
      <w:r>
        <w:rPr>
          <w:noProof/>
        </w:rPr>
        <w:fldChar w:fldCharType="end"/>
      </w:r>
    </w:p>
    <w:p w14:paraId="4FB5C6A6" w14:textId="181DE24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Statement of Advice</w:t>
      </w:r>
      <w:r>
        <w:rPr>
          <w:noProof/>
        </w:rPr>
        <w:tab/>
      </w:r>
      <w:r>
        <w:rPr>
          <w:noProof/>
        </w:rPr>
        <w:fldChar w:fldCharType="begin"/>
      </w:r>
      <w:r>
        <w:rPr>
          <w:noProof/>
        </w:rPr>
        <w:instrText xml:space="preserve"> PAGEREF _Toc158712334 \h </w:instrText>
      </w:r>
      <w:r>
        <w:rPr>
          <w:noProof/>
        </w:rPr>
      </w:r>
      <w:r>
        <w:rPr>
          <w:noProof/>
        </w:rPr>
        <w:fldChar w:fldCharType="separate"/>
      </w:r>
      <w:r>
        <w:rPr>
          <w:noProof/>
        </w:rPr>
        <w:t>326</w:t>
      </w:r>
      <w:r>
        <w:rPr>
          <w:noProof/>
        </w:rPr>
        <w:fldChar w:fldCharType="end"/>
      </w:r>
    </w:p>
    <w:p w14:paraId="0B92A6F3" w14:textId="39EDCB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  Situations in which statement of advice is not required: further advice</w:t>
      </w:r>
      <w:r>
        <w:rPr>
          <w:noProof/>
        </w:rPr>
        <w:tab/>
      </w:r>
      <w:r>
        <w:rPr>
          <w:noProof/>
        </w:rPr>
        <w:fldChar w:fldCharType="begin"/>
      </w:r>
      <w:r>
        <w:rPr>
          <w:noProof/>
        </w:rPr>
        <w:instrText xml:space="preserve"> PAGEREF _Toc158712335 \h </w:instrText>
      </w:r>
      <w:r>
        <w:rPr>
          <w:noProof/>
        </w:rPr>
      </w:r>
      <w:r>
        <w:rPr>
          <w:noProof/>
        </w:rPr>
        <w:fldChar w:fldCharType="separate"/>
      </w:r>
      <w:r>
        <w:rPr>
          <w:noProof/>
        </w:rPr>
        <w:t>326</w:t>
      </w:r>
      <w:r>
        <w:rPr>
          <w:noProof/>
        </w:rPr>
        <w:fldChar w:fldCharType="end"/>
      </w:r>
    </w:p>
    <w:p w14:paraId="141B672F" w14:textId="679B6F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7.7.09A  Situations in which Statement of Advice is not required: small investments threshold</w:t>
      </w:r>
      <w:r>
        <w:rPr>
          <w:noProof/>
        </w:rPr>
        <w:tab/>
      </w:r>
      <w:r>
        <w:rPr>
          <w:noProof/>
        </w:rPr>
        <w:fldChar w:fldCharType="begin"/>
      </w:r>
      <w:r>
        <w:rPr>
          <w:noProof/>
        </w:rPr>
        <w:instrText xml:space="preserve"> PAGEREF _Toc158712336 \h </w:instrText>
      </w:r>
      <w:r>
        <w:rPr>
          <w:noProof/>
        </w:rPr>
      </w:r>
      <w:r>
        <w:rPr>
          <w:noProof/>
        </w:rPr>
        <w:fldChar w:fldCharType="separate"/>
      </w:r>
      <w:r>
        <w:rPr>
          <w:noProof/>
        </w:rPr>
        <w:t>326</w:t>
      </w:r>
      <w:r>
        <w:rPr>
          <w:noProof/>
        </w:rPr>
        <w:fldChar w:fldCharType="end"/>
      </w:r>
    </w:p>
    <w:p w14:paraId="7A5244AC" w14:textId="3655FD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7.7.09AA  Statement of Advice from financial services licensee</w:t>
      </w:r>
      <w:r>
        <w:rPr>
          <w:noProof/>
        </w:rPr>
        <w:tab/>
      </w:r>
      <w:r>
        <w:rPr>
          <w:noProof/>
        </w:rPr>
        <w:fldChar w:fldCharType="begin"/>
      </w:r>
      <w:r>
        <w:rPr>
          <w:noProof/>
        </w:rPr>
        <w:instrText xml:space="preserve"> PAGEREF _Toc158712337 \h </w:instrText>
      </w:r>
      <w:r>
        <w:rPr>
          <w:noProof/>
        </w:rPr>
      </w:r>
      <w:r>
        <w:rPr>
          <w:noProof/>
        </w:rPr>
        <w:fldChar w:fldCharType="separate"/>
      </w:r>
      <w:r>
        <w:rPr>
          <w:noProof/>
        </w:rPr>
        <w:t>328</w:t>
      </w:r>
      <w:r>
        <w:rPr>
          <w:noProof/>
        </w:rPr>
        <w:fldChar w:fldCharType="end"/>
      </w:r>
    </w:p>
    <w:p w14:paraId="41216914" w14:textId="6F39F1F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7.7.09AB  Modification of subsection 947B(4) of the Act</w:t>
      </w:r>
      <w:r>
        <w:rPr>
          <w:noProof/>
        </w:rPr>
        <w:tab/>
      </w:r>
      <w:r>
        <w:rPr>
          <w:noProof/>
        </w:rPr>
        <w:fldChar w:fldCharType="begin"/>
      </w:r>
      <w:r>
        <w:rPr>
          <w:noProof/>
        </w:rPr>
        <w:instrText xml:space="preserve"> PAGEREF _Toc158712338 \h </w:instrText>
      </w:r>
      <w:r>
        <w:rPr>
          <w:noProof/>
        </w:rPr>
      </w:r>
      <w:r>
        <w:rPr>
          <w:noProof/>
        </w:rPr>
        <w:fldChar w:fldCharType="separate"/>
      </w:r>
      <w:r>
        <w:rPr>
          <w:noProof/>
        </w:rPr>
        <w:t>328</w:t>
      </w:r>
      <w:r>
        <w:rPr>
          <w:noProof/>
        </w:rPr>
        <w:fldChar w:fldCharType="end"/>
      </w:r>
    </w:p>
    <w:p w14:paraId="39C90200" w14:textId="26207D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7.7.09B  Statement of Advice from providing entity—information not included in the Statement</w:t>
      </w:r>
      <w:r>
        <w:rPr>
          <w:noProof/>
        </w:rPr>
        <w:tab/>
      </w:r>
      <w:r>
        <w:rPr>
          <w:noProof/>
        </w:rPr>
        <w:fldChar w:fldCharType="begin"/>
      </w:r>
      <w:r>
        <w:rPr>
          <w:noProof/>
        </w:rPr>
        <w:instrText xml:space="preserve"> PAGEREF _Toc158712339 \h </w:instrText>
      </w:r>
      <w:r>
        <w:rPr>
          <w:noProof/>
        </w:rPr>
      </w:r>
      <w:r>
        <w:rPr>
          <w:noProof/>
        </w:rPr>
        <w:fldChar w:fldCharType="separate"/>
      </w:r>
      <w:r>
        <w:rPr>
          <w:noProof/>
        </w:rPr>
        <w:t>328</w:t>
      </w:r>
      <w:r>
        <w:rPr>
          <w:noProof/>
        </w:rPr>
        <w:fldChar w:fldCharType="end"/>
      </w:r>
    </w:p>
    <w:p w14:paraId="6F5E9CC1" w14:textId="4E64018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7.7.09BA  Statement of Advice from authorised representative</w:t>
      </w:r>
      <w:r>
        <w:rPr>
          <w:noProof/>
        </w:rPr>
        <w:tab/>
      </w:r>
      <w:r>
        <w:rPr>
          <w:noProof/>
        </w:rPr>
        <w:fldChar w:fldCharType="begin"/>
      </w:r>
      <w:r>
        <w:rPr>
          <w:noProof/>
        </w:rPr>
        <w:instrText xml:space="preserve"> PAGEREF _Toc158712340 \h </w:instrText>
      </w:r>
      <w:r>
        <w:rPr>
          <w:noProof/>
        </w:rPr>
      </w:r>
      <w:r>
        <w:rPr>
          <w:noProof/>
        </w:rPr>
        <w:fldChar w:fldCharType="separate"/>
      </w:r>
      <w:r>
        <w:rPr>
          <w:noProof/>
        </w:rPr>
        <w:t>329</w:t>
      </w:r>
      <w:r>
        <w:rPr>
          <w:noProof/>
        </w:rPr>
        <w:fldChar w:fldCharType="end"/>
      </w:r>
    </w:p>
    <w:p w14:paraId="1BB08164" w14:textId="2D251AB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7.7.09BB  Modification of subsection 947C(4) of the Act</w:t>
      </w:r>
      <w:r>
        <w:rPr>
          <w:noProof/>
        </w:rPr>
        <w:tab/>
      </w:r>
      <w:r>
        <w:rPr>
          <w:noProof/>
        </w:rPr>
        <w:fldChar w:fldCharType="begin"/>
      </w:r>
      <w:r>
        <w:rPr>
          <w:noProof/>
        </w:rPr>
        <w:instrText xml:space="preserve"> PAGEREF _Toc158712341 \h </w:instrText>
      </w:r>
      <w:r>
        <w:rPr>
          <w:noProof/>
        </w:rPr>
      </w:r>
      <w:r>
        <w:rPr>
          <w:noProof/>
        </w:rPr>
        <w:fldChar w:fldCharType="separate"/>
      </w:r>
      <w:r>
        <w:rPr>
          <w:noProof/>
        </w:rPr>
        <w:t>329</w:t>
      </w:r>
      <w:r>
        <w:rPr>
          <w:noProof/>
        </w:rPr>
        <w:fldChar w:fldCharType="end"/>
      </w:r>
    </w:p>
    <w:p w14:paraId="5D6094BF" w14:textId="465192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7.7.09BC  Statement of Advice given by financial services licensee: non</w:t>
      </w:r>
      <w:r>
        <w:rPr>
          <w:noProof/>
        </w:rPr>
        <w:noBreakHyphen/>
        <w:t>monetary benefit that is not conflicted remuneration</w:t>
      </w:r>
      <w:r>
        <w:rPr>
          <w:noProof/>
        </w:rPr>
        <w:tab/>
      </w:r>
      <w:r>
        <w:rPr>
          <w:noProof/>
        </w:rPr>
        <w:fldChar w:fldCharType="begin"/>
      </w:r>
      <w:r>
        <w:rPr>
          <w:noProof/>
        </w:rPr>
        <w:instrText xml:space="preserve"> PAGEREF _Toc158712342 \h </w:instrText>
      </w:r>
      <w:r>
        <w:rPr>
          <w:noProof/>
        </w:rPr>
      </w:r>
      <w:r>
        <w:rPr>
          <w:noProof/>
        </w:rPr>
        <w:fldChar w:fldCharType="separate"/>
      </w:r>
      <w:r>
        <w:rPr>
          <w:noProof/>
        </w:rPr>
        <w:t>329</w:t>
      </w:r>
      <w:r>
        <w:rPr>
          <w:noProof/>
        </w:rPr>
        <w:fldChar w:fldCharType="end"/>
      </w:r>
    </w:p>
    <w:p w14:paraId="5D373ECC" w14:textId="5DA0F2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7.7.09BD  Statement of Advice given by authorised representative: non</w:t>
      </w:r>
      <w:r>
        <w:rPr>
          <w:noProof/>
        </w:rPr>
        <w:noBreakHyphen/>
        <w:t>monetary benefit that is not conflicted remuneration</w:t>
      </w:r>
      <w:r>
        <w:rPr>
          <w:noProof/>
        </w:rPr>
        <w:tab/>
      </w:r>
      <w:r>
        <w:rPr>
          <w:noProof/>
        </w:rPr>
        <w:fldChar w:fldCharType="begin"/>
      </w:r>
      <w:r>
        <w:rPr>
          <w:noProof/>
        </w:rPr>
        <w:instrText xml:space="preserve"> PAGEREF _Toc158712343 \h </w:instrText>
      </w:r>
      <w:r>
        <w:rPr>
          <w:noProof/>
        </w:rPr>
      </w:r>
      <w:r>
        <w:rPr>
          <w:noProof/>
        </w:rPr>
        <w:fldChar w:fldCharType="separate"/>
      </w:r>
      <w:r>
        <w:rPr>
          <w:noProof/>
        </w:rPr>
        <w:t>330</w:t>
      </w:r>
      <w:r>
        <w:rPr>
          <w:noProof/>
        </w:rPr>
        <w:fldChar w:fldCharType="end"/>
      </w:r>
    </w:p>
    <w:p w14:paraId="2B710907" w14:textId="52A799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7.7.09C  Requirement to keep Statement of Advice and other documents</w:t>
      </w:r>
      <w:r>
        <w:rPr>
          <w:noProof/>
        </w:rPr>
        <w:tab/>
      </w:r>
      <w:r>
        <w:rPr>
          <w:noProof/>
        </w:rPr>
        <w:fldChar w:fldCharType="begin"/>
      </w:r>
      <w:r>
        <w:rPr>
          <w:noProof/>
        </w:rPr>
        <w:instrText xml:space="preserve"> PAGEREF _Toc158712344 \h </w:instrText>
      </w:r>
      <w:r>
        <w:rPr>
          <w:noProof/>
        </w:rPr>
      </w:r>
      <w:r>
        <w:rPr>
          <w:noProof/>
        </w:rPr>
        <w:fldChar w:fldCharType="separate"/>
      </w:r>
      <w:r>
        <w:rPr>
          <w:noProof/>
        </w:rPr>
        <w:t>330</w:t>
      </w:r>
      <w:r>
        <w:rPr>
          <w:noProof/>
        </w:rPr>
        <w:fldChar w:fldCharType="end"/>
      </w:r>
    </w:p>
    <w:p w14:paraId="2A74211E" w14:textId="5FF1E4E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  Products for which a Statement of Advice is not required</w:t>
      </w:r>
      <w:r>
        <w:rPr>
          <w:noProof/>
        </w:rPr>
        <w:tab/>
      </w:r>
      <w:r>
        <w:rPr>
          <w:noProof/>
        </w:rPr>
        <w:fldChar w:fldCharType="begin"/>
      </w:r>
      <w:r>
        <w:rPr>
          <w:noProof/>
        </w:rPr>
        <w:instrText xml:space="preserve"> PAGEREF _Toc158712345 \h </w:instrText>
      </w:r>
      <w:r>
        <w:rPr>
          <w:noProof/>
        </w:rPr>
      </w:r>
      <w:r>
        <w:rPr>
          <w:noProof/>
        </w:rPr>
        <w:fldChar w:fldCharType="separate"/>
      </w:r>
      <w:r>
        <w:rPr>
          <w:noProof/>
        </w:rPr>
        <w:t>330</w:t>
      </w:r>
      <w:r>
        <w:rPr>
          <w:noProof/>
        </w:rPr>
        <w:fldChar w:fldCharType="end"/>
      </w:r>
    </w:p>
    <w:p w14:paraId="442751FE" w14:textId="5B1E8FA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7.7.10AA  Obligation on authorised representative to give a financial services guide</w:t>
      </w:r>
      <w:r>
        <w:rPr>
          <w:noProof/>
        </w:rPr>
        <w:tab/>
      </w:r>
      <w:r>
        <w:rPr>
          <w:noProof/>
        </w:rPr>
        <w:fldChar w:fldCharType="begin"/>
      </w:r>
      <w:r>
        <w:rPr>
          <w:noProof/>
        </w:rPr>
        <w:instrText xml:space="preserve"> PAGEREF _Toc158712346 \h </w:instrText>
      </w:r>
      <w:r>
        <w:rPr>
          <w:noProof/>
        </w:rPr>
      </w:r>
      <w:r>
        <w:rPr>
          <w:noProof/>
        </w:rPr>
        <w:fldChar w:fldCharType="separate"/>
      </w:r>
      <w:r>
        <w:rPr>
          <w:noProof/>
        </w:rPr>
        <w:t>330</w:t>
      </w:r>
      <w:r>
        <w:rPr>
          <w:noProof/>
        </w:rPr>
        <w:fldChar w:fldCharType="end"/>
      </w:r>
    </w:p>
    <w:p w14:paraId="33814BCD" w14:textId="620D405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7.7.10AAA  Record of advice without a recommendation to purchase or sell—content requirements</w:t>
      </w:r>
      <w:r>
        <w:rPr>
          <w:noProof/>
        </w:rPr>
        <w:tab/>
      </w:r>
      <w:r>
        <w:rPr>
          <w:noProof/>
        </w:rPr>
        <w:fldChar w:fldCharType="begin"/>
      </w:r>
      <w:r>
        <w:rPr>
          <w:noProof/>
        </w:rPr>
        <w:instrText xml:space="preserve"> PAGEREF _Toc158712347 \h </w:instrText>
      </w:r>
      <w:r>
        <w:rPr>
          <w:noProof/>
        </w:rPr>
      </w:r>
      <w:r>
        <w:rPr>
          <w:noProof/>
        </w:rPr>
        <w:fldChar w:fldCharType="separate"/>
      </w:r>
      <w:r>
        <w:rPr>
          <w:noProof/>
        </w:rPr>
        <w:t>330</w:t>
      </w:r>
      <w:r>
        <w:rPr>
          <w:noProof/>
        </w:rPr>
        <w:fldChar w:fldCharType="end"/>
      </w:r>
    </w:p>
    <w:p w14:paraId="0245B8BD" w14:textId="4B36D0B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7.7.10AB  Financial services guide—contents of guide</w:t>
      </w:r>
      <w:r>
        <w:rPr>
          <w:noProof/>
        </w:rPr>
        <w:tab/>
      </w:r>
      <w:r>
        <w:rPr>
          <w:noProof/>
        </w:rPr>
        <w:fldChar w:fldCharType="begin"/>
      </w:r>
      <w:r>
        <w:rPr>
          <w:noProof/>
        </w:rPr>
        <w:instrText xml:space="preserve"> PAGEREF _Toc158712348 \h </w:instrText>
      </w:r>
      <w:r>
        <w:rPr>
          <w:noProof/>
        </w:rPr>
      </w:r>
      <w:r>
        <w:rPr>
          <w:noProof/>
        </w:rPr>
        <w:fldChar w:fldCharType="separate"/>
      </w:r>
      <w:r>
        <w:rPr>
          <w:noProof/>
        </w:rPr>
        <w:t>331</w:t>
      </w:r>
      <w:r>
        <w:rPr>
          <w:noProof/>
        </w:rPr>
        <w:fldChar w:fldCharType="end"/>
      </w:r>
    </w:p>
    <w:p w14:paraId="47CCE627" w14:textId="1D41D38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7.7.10AC  Financial services guide</w:t>
      </w:r>
      <w:r>
        <w:rPr>
          <w:noProof/>
        </w:rPr>
        <w:tab/>
      </w:r>
      <w:r>
        <w:rPr>
          <w:noProof/>
        </w:rPr>
        <w:fldChar w:fldCharType="begin"/>
      </w:r>
      <w:r>
        <w:rPr>
          <w:noProof/>
        </w:rPr>
        <w:instrText xml:space="preserve"> PAGEREF _Toc158712349 \h </w:instrText>
      </w:r>
      <w:r>
        <w:rPr>
          <w:noProof/>
        </w:rPr>
      </w:r>
      <w:r>
        <w:rPr>
          <w:noProof/>
        </w:rPr>
        <w:fldChar w:fldCharType="separate"/>
      </w:r>
      <w:r>
        <w:rPr>
          <w:noProof/>
        </w:rPr>
        <w:t>331</w:t>
      </w:r>
      <w:r>
        <w:rPr>
          <w:noProof/>
        </w:rPr>
        <w:fldChar w:fldCharType="end"/>
      </w:r>
    </w:p>
    <w:p w14:paraId="1AA6488E" w14:textId="2C45F56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7.7.10AD  Financial services guide</w:t>
      </w:r>
      <w:r>
        <w:rPr>
          <w:noProof/>
        </w:rPr>
        <w:tab/>
      </w:r>
      <w:r>
        <w:rPr>
          <w:noProof/>
        </w:rPr>
        <w:fldChar w:fldCharType="begin"/>
      </w:r>
      <w:r>
        <w:rPr>
          <w:noProof/>
        </w:rPr>
        <w:instrText xml:space="preserve"> PAGEREF _Toc158712350 \h </w:instrText>
      </w:r>
      <w:r>
        <w:rPr>
          <w:noProof/>
        </w:rPr>
      </w:r>
      <w:r>
        <w:rPr>
          <w:noProof/>
        </w:rPr>
        <w:fldChar w:fldCharType="separate"/>
      </w:r>
      <w:r>
        <w:rPr>
          <w:noProof/>
        </w:rPr>
        <w:t>332</w:t>
      </w:r>
      <w:r>
        <w:rPr>
          <w:noProof/>
        </w:rPr>
        <w:fldChar w:fldCharType="end"/>
      </w:r>
    </w:p>
    <w:p w14:paraId="783A26A8" w14:textId="14F1552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7.7.10AE  Situations in which Statement of Advice not required</w:t>
      </w:r>
      <w:r>
        <w:rPr>
          <w:noProof/>
        </w:rPr>
        <w:tab/>
      </w:r>
      <w:r>
        <w:rPr>
          <w:noProof/>
        </w:rPr>
        <w:fldChar w:fldCharType="begin"/>
      </w:r>
      <w:r>
        <w:rPr>
          <w:noProof/>
        </w:rPr>
        <w:instrText xml:space="preserve"> PAGEREF _Toc158712351 \h </w:instrText>
      </w:r>
      <w:r>
        <w:rPr>
          <w:noProof/>
        </w:rPr>
      </w:r>
      <w:r>
        <w:rPr>
          <w:noProof/>
        </w:rPr>
        <w:fldChar w:fldCharType="separate"/>
      </w:r>
      <w:r>
        <w:rPr>
          <w:noProof/>
        </w:rPr>
        <w:t>332</w:t>
      </w:r>
      <w:r>
        <w:rPr>
          <w:noProof/>
        </w:rPr>
        <w:fldChar w:fldCharType="end"/>
      </w:r>
    </w:p>
    <w:p w14:paraId="69E9E846" w14:textId="5B35D9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7.7.10AF  Various consequential amendments to Division 7 of Part 7.7 concerning situations where Financial Services Guides do not have to be given</w:t>
      </w:r>
      <w:r>
        <w:rPr>
          <w:noProof/>
        </w:rPr>
        <w:tab/>
      </w:r>
      <w:r>
        <w:rPr>
          <w:noProof/>
        </w:rPr>
        <w:fldChar w:fldCharType="begin"/>
      </w:r>
      <w:r>
        <w:rPr>
          <w:noProof/>
        </w:rPr>
        <w:instrText xml:space="preserve"> PAGEREF _Toc158712352 \h </w:instrText>
      </w:r>
      <w:r>
        <w:rPr>
          <w:noProof/>
        </w:rPr>
      </w:r>
      <w:r>
        <w:rPr>
          <w:noProof/>
        </w:rPr>
        <w:fldChar w:fldCharType="separate"/>
      </w:r>
      <w:r>
        <w:rPr>
          <w:noProof/>
        </w:rPr>
        <w:t>333</w:t>
      </w:r>
      <w:r>
        <w:rPr>
          <w:noProof/>
        </w:rPr>
        <w:fldChar w:fldCharType="end"/>
      </w:r>
    </w:p>
    <w:p w14:paraId="4D80BF56" w14:textId="2CE407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7.7.10AG  Various consequential amendments to Division 7 of Part 7.7</w:t>
      </w:r>
      <w:r>
        <w:rPr>
          <w:noProof/>
        </w:rPr>
        <w:tab/>
      </w:r>
      <w:r>
        <w:rPr>
          <w:noProof/>
        </w:rPr>
        <w:fldChar w:fldCharType="begin"/>
      </w:r>
      <w:r>
        <w:rPr>
          <w:noProof/>
        </w:rPr>
        <w:instrText xml:space="preserve"> PAGEREF _Toc158712353 \h </w:instrText>
      </w:r>
      <w:r>
        <w:rPr>
          <w:noProof/>
        </w:rPr>
      </w:r>
      <w:r>
        <w:rPr>
          <w:noProof/>
        </w:rPr>
        <w:fldChar w:fldCharType="separate"/>
      </w:r>
      <w:r>
        <w:rPr>
          <w:noProof/>
        </w:rPr>
        <w:t>334</w:t>
      </w:r>
      <w:r>
        <w:rPr>
          <w:noProof/>
        </w:rPr>
        <w:fldChar w:fldCharType="end"/>
      </w:r>
    </w:p>
    <w:p w14:paraId="5F393463" w14:textId="576D745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7.7.10AI  Obligation to warn client that advice does not take account of client’s objectives, financial situation or needs—carbon units, Australian carbon credit units and eligible international emissions units</w:t>
      </w:r>
      <w:r>
        <w:rPr>
          <w:noProof/>
        </w:rPr>
        <w:tab/>
      </w:r>
      <w:r>
        <w:rPr>
          <w:noProof/>
        </w:rPr>
        <w:fldChar w:fldCharType="begin"/>
      </w:r>
      <w:r>
        <w:rPr>
          <w:noProof/>
        </w:rPr>
        <w:instrText xml:space="preserve"> PAGEREF _Toc158712354 \h </w:instrText>
      </w:r>
      <w:r>
        <w:rPr>
          <w:noProof/>
        </w:rPr>
      </w:r>
      <w:r>
        <w:rPr>
          <w:noProof/>
        </w:rPr>
        <w:fldChar w:fldCharType="separate"/>
      </w:r>
      <w:r>
        <w:rPr>
          <w:noProof/>
        </w:rPr>
        <w:t>335</w:t>
      </w:r>
      <w:r>
        <w:rPr>
          <w:noProof/>
        </w:rPr>
        <w:fldChar w:fldCharType="end"/>
      </w:r>
    </w:p>
    <w:p w14:paraId="309B9441" w14:textId="73E867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7.7.10A  Statements of Advice—requirement to state information as amounts in dollars</w:t>
      </w:r>
      <w:r>
        <w:rPr>
          <w:noProof/>
        </w:rPr>
        <w:tab/>
      </w:r>
      <w:r>
        <w:rPr>
          <w:noProof/>
        </w:rPr>
        <w:fldChar w:fldCharType="begin"/>
      </w:r>
      <w:r>
        <w:rPr>
          <w:noProof/>
        </w:rPr>
        <w:instrText xml:space="preserve"> PAGEREF _Toc158712355 \h </w:instrText>
      </w:r>
      <w:r>
        <w:rPr>
          <w:noProof/>
        </w:rPr>
      </w:r>
      <w:r>
        <w:rPr>
          <w:noProof/>
        </w:rPr>
        <w:fldChar w:fldCharType="separate"/>
      </w:r>
      <w:r>
        <w:rPr>
          <w:noProof/>
        </w:rPr>
        <w:t>336</w:t>
      </w:r>
      <w:r>
        <w:rPr>
          <w:noProof/>
        </w:rPr>
        <w:fldChar w:fldCharType="end"/>
      </w:r>
    </w:p>
    <w:p w14:paraId="5B9356BB" w14:textId="3BE8BF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7.7.10B  Insertion of definition—further advice</w:t>
      </w:r>
      <w:r>
        <w:rPr>
          <w:noProof/>
        </w:rPr>
        <w:tab/>
      </w:r>
      <w:r>
        <w:rPr>
          <w:noProof/>
        </w:rPr>
        <w:fldChar w:fldCharType="begin"/>
      </w:r>
      <w:r>
        <w:rPr>
          <w:noProof/>
        </w:rPr>
        <w:instrText xml:space="preserve"> PAGEREF _Toc158712356 \h </w:instrText>
      </w:r>
      <w:r>
        <w:rPr>
          <w:noProof/>
        </w:rPr>
      </w:r>
      <w:r>
        <w:rPr>
          <w:noProof/>
        </w:rPr>
        <w:fldChar w:fldCharType="separate"/>
      </w:r>
      <w:r>
        <w:rPr>
          <w:noProof/>
        </w:rPr>
        <w:t>336</w:t>
      </w:r>
      <w:r>
        <w:rPr>
          <w:noProof/>
        </w:rPr>
        <w:fldChar w:fldCharType="end"/>
      </w:r>
    </w:p>
    <w:p w14:paraId="3E732AF6" w14:textId="5C75D5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7.7.10C  Omission of definition—further market</w:t>
      </w:r>
      <w:r>
        <w:rPr>
          <w:noProof/>
        </w:rPr>
        <w:noBreakHyphen/>
        <w:t>related advice</w:t>
      </w:r>
      <w:r>
        <w:rPr>
          <w:noProof/>
        </w:rPr>
        <w:tab/>
      </w:r>
      <w:r>
        <w:rPr>
          <w:noProof/>
        </w:rPr>
        <w:fldChar w:fldCharType="begin"/>
      </w:r>
      <w:r>
        <w:rPr>
          <w:noProof/>
        </w:rPr>
        <w:instrText xml:space="preserve"> PAGEREF _Toc158712357 \h </w:instrText>
      </w:r>
      <w:r>
        <w:rPr>
          <w:noProof/>
        </w:rPr>
      </w:r>
      <w:r>
        <w:rPr>
          <w:noProof/>
        </w:rPr>
        <w:fldChar w:fldCharType="separate"/>
      </w:r>
      <w:r>
        <w:rPr>
          <w:noProof/>
        </w:rPr>
        <w:t>336</w:t>
      </w:r>
      <w:r>
        <w:rPr>
          <w:noProof/>
        </w:rPr>
        <w:fldChar w:fldCharType="end"/>
      </w:r>
    </w:p>
    <w:p w14:paraId="6343EFD7" w14:textId="3FADB99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7.7.10D  Additional information in Statement of Advice</w:t>
      </w:r>
      <w:r>
        <w:rPr>
          <w:noProof/>
        </w:rPr>
        <w:tab/>
      </w:r>
      <w:r>
        <w:rPr>
          <w:noProof/>
        </w:rPr>
        <w:fldChar w:fldCharType="begin"/>
      </w:r>
      <w:r>
        <w:rPr>
          <w:noProof/>
        </w:rPr>
        <w:instrText xml:space="preserve"> PAGEREF _Toc158712358 \h </w:instrText>
      </w:r>
      <w:r>
        <w:rPr>
          <w:noProof/>
        </w:rPr>
      </w:r>
      <w:r>
        <w:rPr>
          <w:noProof/>
        </w:rPr>
        <w:fldChar w:fldCharType="separate"/>
      </w:r>
      <w:r>
        <w:rPr>
          <w:noProof/>
        </w:rPr>
        <w:t>336</w:t>
      </w:r>
      <w:r>
        <w:rPr>
          <w:noProof/>
        </w:rPr>
        <w:fldChar w:fldCharType="end"/>
      </w:r>
    </w:p>
    <w:p w14:paraId="4054E817" w14:textId="644F0ED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7.7.10E  Additional information in Statement of Advice</w:t>
      </w:r>
      <w:r>
        <w:rPr>
          <w:noProof/>
        </w:rPr>
        <w:tab/>
      </w:r>
      <w:r>
        <w:rPr>
          <w:noProof/>
        </w:rPr>
        <w:fldChar w:fldCharType="begin"/>
      </w:r>
      <w:r>
        <w:rPr>
          <w:noProof/>
        </w:rPr>
        <w:instrText xml:space="preserve"> PAGEREF _Toc158712359 \h </w:instrText>
      </w:r>
      <w:r>
        <w:rPr>
          <w:noProof/>
        </w:rPr>
      </w:r>
      <w:r>
        <w:rPr>
          <w:noProof/>
        </w:rPr>
        <w:fldChar w:fldCharType="separate"/>
      </w:r>
      <w:r>
        <w:rPr>
          <w:noProof/>
        </w:rPr>
        <w:t>336</w:t>
      </w:r>
      <w:r>
        <w:rPr>
          <w:noProof/>
        </w:rPr>
        <w:fldChar w:fldCharType="end"/>
      </w:r>
    </w:p>
    <w:p w14:paraId="1458A428" w14:textId="424748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7.7.11  Statement of Advice given by financial services licensee</w:t>
      </w:r>
      <w:r>
        <w:rPr>
          <w:noProof/>
        </w:rPr>
        <w:tab/>
      </w:r>
      <w:r>
        <w:rPr>
          <w:noProof/>
        </w:rPr>
        <w:fldChar w:fldCharType="begin"/>
      </w:r>
      <w:r>
        <w:rPr>
          <w:noProof/>
        </w:rPr>
        <w:instrText xml:space="preserve"> PAGEREF _Toc158712360 \h </w:instrText>
      </w:r>
      <w:r>
        <w:rPr>
          <w:noProof/>
        </w:rPr>
      </w:r>
      <w:r>
        <w:rPr>
          <w:noProof/>
        </w:rPr>
        <w:fldChar w:fldCharType="separate"/>
      </w:r>
      <w:r>
        <w:rPr>
          <w:noProof/>
        </w:rPr>
        <w:t>337</w:t>
      </w:r>
      <w:r>
        <w:rPr>
          <w:noProof/>
        </w:rPr>
        <w:fldChar w:fldCharType="end"/>
      </w:r>
    </w:p>
    <w:p w14:paraId="279E584B" w14:textId="73D8D8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7.7.11A  Statement of Advice given by authorised representative of financial services licensee—licence number</w:t>
      </w:r>
      <w:r>
        <w:rPr>
          <w:noProof/>
        </w:rPr>
        <w:tab/>
      </w:r>
      <w:r>
        <w:rPr>
          <w:noProof/>
        </w:rPr>
        <w:fldChar w:fldCharType="begin"/>
      </w:r>
      <w:r>
        <w:rPr>
          <w:noProof/>
        </w:rPr>
        <w:instrText xml:space="preserve"> PAGEREF _Toc158712361 \h </w:instrText>
      </w:r>
      <w:r>
        <w:rPr>
          <w:noProof/>
        </w:rPr>
      </w:r>
      <w:r>
        <w:rPr>
          <w:noProof/>
        </w:rPr>
        <w:fldChar w:fldCharType="separate"/>
      </w:r>
      <w:r>
        <w:rPr>
          <w:noProof/>
        </w:rPr>
        <w:t>337</w:t>
      </w:r>
      <w:r>
        <w:rPr>
          <w:noProof/>
        </w:rPr>
        <w:fldChar w:fldCharType="end"/>
      </w:r>
    </w:p>
    <w:p w14:paraId="00ADECD9" w14:textId="1373B0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7.7.11B  Statement of Advice—disclosure of dollar amounts</w:t>
      </w:r>
      <w:r>
        <w:rPr>
          <w:noProof/>
        </w:rPr>
        <w:tab/>
      </w:r>
      <w:r>
        <w:rPr>
          <w:noProof/>
        </w:rPr>
        <w:fldChar w:fldCharType="begin"/>
      </w:r>
      <w:r>
        <w:rPr>
          <w:noProof/>
        </w:rPr>
        <w:instrText xml:space="preserve"> PAGEREF _Toc158712362 \h </w:instrText>
      </w:r>
      <w:r>
        <w:rPr>
          <w:noProof/>
        </w:rPr>
      </w:r>
      <w:r>
        <w:rPr>
          <w:noProof/>
        </w:rPr>
        <w:fldChar w:fldCharType="separate"/>
      </w:r>
      <w:r>
        <w:rPr>
          <w:noProof/>
        </w:rPr>
        <w:t>337</w:t>
      </w:r>
      <w:r>
        <w:rPr>
          <w:noProof/>
        </w:rPr>
        <w:fldChar w:fldCharType="end"/>
      </w:r>
    </w:p>
    <w:p w14:paraId="2B63EBC4" w14:textId="0487F65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7.7.12  Statement of Advice given by authorised representative of financial services licensee</w:t>
      </w:r>
      <w:r>
        <w:rPr>
          <w:noProof/>
        </w:rPr>
        <w:tab/>
      </w:r>
      <w:r>
        <w:rPr>
          <w:noProof/>
        </w:rPr>
        <w:fldChar w:fldCharType="begin"/>
      </w:r>
      <w:r>
        <w:rPr>
          <w:noProof/>
        </w:rPr>
        <w:instrText xml:space="preserve"> PAGEREF _Toc158712363 \h </w:instrText>
      </w:r>
      <w:r>
        <w:rPr>
          <w:noProof/>
        </w:rPr>
      </w:r>
      <w:r>
        <w:rPr>
          <w:noProof/>
        </w:rPr>
        <w:fldChar w:fldCharType="separate"/>
      </w:r>
      <w:r>
        <w:rPr>
          <w:noProof/>
        </w:rPr>
        <w:t>337</w:t>
      </w:r>
      <w:r>
        <w:rPr>
          <w:noProof/>
        </w:rPr>
        <w:fldChar w:fldCharType="end"/>
      </w:r>
    </w:p>
    <w:p w14:paraId="33589B1E" w14:textId="377739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7.7.13  Statement of Advice provided by authorised representative—disclosure of dollar amounts</w:t>
      </w:r>
      <w:r>
        <w:rPr>
          <w:noProof/>
        </w:rPr>
        <w:tab/>
      </w:r>
      <w:r>
        <w:rPr>
          <w:noProof/>
        </w:rPr>
        <w:fldChar w:fldCharType="begin"/>
      </w:r>
      <w:r>
        <w:rPr>
          <w:noProof/>
        </w:rPr>
        <w:instrText xml:space="preserve"> PAGEREF _Toc158712364 \h </w:instrText>
      </w:r>
      <w:r>
        <w:rPr>
          <w:noProof/>
        </w:rPr>
      </w:r>
      <w:r>
        <w:rPr>
          <w:noProof/>
        </w:rPr>
        <w:fldChar w:fldCharType="separate"/>
      </w:r>
      <w:r>
        <w:rPr>
          <w:noProof/>
        </w:rPr>
        <w:t>338</w:t>
      </w:r>
      <w:r>
        <w:rPr>
          <w:noProof/>
        </w:rPr>
        <w:fldChar w:fldCharType="end"/>
      </w:r>
    </w:p>
    <w:p w14:paraId="694395DD" w14:textId="2BF1F7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7.7.13A  Additional information about charges or benefits—disclosure of dollar amounts</w:t>
      </w:r>
      <w:r>
        <w:rPr>
          <w:noProof/>
        </w:rPr>
        <w:tab/>
      </w:r>
      <w:r>
        <w:rPr>
          <w:noProof/>
        </w:rPr>
        <w:fldChar w:fldCharType="begin"/>
      </w:r>
      <w:r>
        <w:rPr>
          <w:noProof/>
        </w:rPr>
        <w:instrText xml:space="preserve"> PAGEREF _Toc158712365 \h </w:instrText>
      </w:r>
      <w:r>
        <w:rPr>
          <w:noProof/>
        </w:rPr>
      </w:r>
      <w:r>
        <w:rPr>
          <w:noProof/>
        </w:rPr>
        <w:fldChar w:fldCharType="separate"/>
      </w:r>
      <w:r>
        <w:rPr>
          <w:noProof/>
        </w:rPr>
        <w:t>338</w:t>
      </w:r>
      <w:r>
        <w:rPr>
          <w:noProof/>
        </w:rPr>
        <w:fldChar w:fldCharType="end"/>
      </w:r>
    </w:p>
    <w:p w14:paraId="60D93E2D" w14:textId="708C879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7.7.13B  Additional information about charges or benefits—disclosure of dollar amounts</w:t>
      </w:r>
      <w:r>
        <w:rPr>
          <w:noProof/>
        </w:rPr>
        <w:tab/>
      </w:r>
      <w:r>
        <w:rPr>
          <w:noProof/>
        </w:rPr>
        <w:fldChar w:fldCharType="begin"/>
      </w:r>
      <w:r>
        <w:rPr>
          <w:noProof/>
        </w:rPr>
        <w:instrText xml:space="preserve"> PAGEREF _Toc158712366 \h </w:instrText>
      </w:r>
      <w:r>
        <w:rPr>
          <w:noProof/>
        </w:rPr>
      </w:r>
      <w:r>
        <w:rPr>
          <w:noProof/>
        </w:rPr>
        <w:fldChar w:fldCharType="separate"/>
      </w:r>
      <w:r>
        <w:rPr>
          <w:noProof/>
        </w:rPr>
        <w:t>339</w:t>
      </w:r>
      <w:r>
        <w:rPr>
          <w:noProof/>
        </w:rPr>
        <w:fldChar w:fldCharType="end"/>
      </w:r>
    </w:p>
    <w:p w14:paraId="09332250" w14:textId="6A7F2E6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4—General advice provided to a retail client</w:t>
      </w:r>
      <w:r>
        <w:rPr>
          <w:noProof/>
        </w:rPr>
        <w:tab/>
      </w:r>
      <w:r>
        <w:rPr>
          <w:noProof/>
        </w:rPr>
        <w:fldChar w:fldCharType="begin"/>
      </w:r>
      <w:r>
        <w:rPr>
          <w:noProof/>
        </w:rPr>
        <w:instrText xml:space="preserve"> PAGEREF _Toc158712367 \h </w:instrText>
      </w:r>
      <w:r>
        <w:rPr>
          <w:noProof/>
        </w:rPr>
      </w:r>
      <w:r>
        <w:rPr>
          <w:noProof/>
        </w:rPr>
        <w:fldChar w:fldCharType="separate"/>
      </w:r>
      <w:r>
        <w:rPr>
          <w:noProof/>
        </w:rPr>
        <w:t>340</w:t>
      </w:r>
      <w:r>
        <w:rPr>
          <w:noProof/>
        </w:rPr>
        <w:fldChar w:fldCharType="end"/>
      </w:r>
    </w:p>
    <w:p w14:paraId="09B80200" w14:textId="6DF677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7.7.14  Product Disclosure Statement not required</w:t>
      </w:r>
      <w:r>
        <w:rPr>
          <w:noProof/>
        </w:rPr>
        <w:tab/>
      </w:r>
      <w:r>
        <w:rPr>
          <w:noProof/>
        </w:rPr>
        <w:fldChar w:fldCharType="begin"/>
      </w:r>
      <w:r>
        <w:rPr>
          <w:noProof/>
        </w:rPr>
        <w:instrText xml:space="preserve"> PAGEREF _Toc158712368 \h </w:instrText>
      </w:r>
      <w:r>
        <w:rPr>
          <w:noProof/>
        </w:rPr>
      </w:r>
      <w:r>
        <w:rPr>
          <w:noProof/>
        </w:rPr>
        <w:fldChar w:fldCharType="separate"/>
      </w:r>
      <w:r>
        <w:rPr>
          <w:noProof/>
        </w:rPr>
        <w:t>340</w:t>
      </w:r>
      <w:r>
        <w:rPr>
          <w:noProof/>
        </w:rPr>
        <w:fldChar w:fldCharType="end"/>
      </w:r>
    </w:p>
    <w:p w14:paraId="7331708C" w14:textId="160C84C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5—Other disclosure requirements</w:t>
      </w:r>
      <w:r>
        <w:rPr>
          <w:noProof/>
        </w:rPr>
        <w:tab/>
      </w:r>
      <w:r>
        <w:rPr>
          <w:noProof/>
        </w:rPr>
        <w:fldChar w:fldCharType="begin"/>
      </w:r>
      <w:r>
        <w:rPr>
          <w:noProof/>
        </w:rPr>
        <w:instrText xml:space="preserve"> PAGEREF _Toc158712369 \h </w:instrText>
      </w:r>
      <w:r>
        <w:rPr>
          <w:noProof/>
        </w:rPr>
      </w:r>
      <w:r>
        <w:rPr>
          <w:noProof/>
        </w:rPr>
        <w:fldChar w:fldCharType="separate"/>
      </w:r>
      <w:r>
        <w:rPr>
          <w:noProof/>
        </w:rPr>
        <w:t>341</w:t>
      </w:r>
      <w:r>
        <w:rPr>
          <w:noProof/>
        </w:rPr>
        <w:fldChar w:fldCharType="end"/>
      </w:r>
    </w:p>
    <w:p w14:paraId="4AB78DB1" w14:textId="6B5D68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7.7.20  General advice to retail client—no obligation to warn client</w:t>
      </w:r>
      <w:r>
        <w:rPr>
          <w:noProof/>
        </w:rPr>
        <w:tab/>
      </w:r>
      <w:r>
        <w:rPr>
          <w:noProof/>
        </w:rPr>
        <w:fldChar w:fldCharType="begin"/>
      </w:r>
      <w:r>
        <w:rPr>
          <w:noProof/>
        </w:rPr>
        <w:instrText xml:space="preserve"> PAGEREF _Toc158712370 \h </w:instrText>
      </w:r>
      <w:r>
        <w:rPr>
          <w:noProof/>
        </w:rPr>
      </w:r>
      <w:r>
        <w:rPr>
          <w:noProof/>
        </w:rPr>
        <w:fldChar w:fldCharType="separate"/>
      </w:r>
      <w:r>
        <w:rPr>
          <w:noProof/>
        </w:rPr>
        <w:t>341</w:t>
      </w:r>
      <w:r>
        <w:rPr>
          <w:noProof/>
        </w:rPr>
        <w:fldChar w:fldCharType="end"/>
      </w:r>
    </w:p>
    <w:p w14:paraId="7EC38940" w14:textId="7BA86F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7.7.20A  Extension of disclosure requirements to wholesale clients dealing with certain unauthorised insurers</w:t>
      </w:r>
      <w:r>
        <w:rPr>
          <w:noProof/>
        </w:rPr>
        <w:tab/>
      </w:r>
      <w:r>
        <w:rPr>
          <w:noProof/>
        </w:rPr>
        <w:fldChar w:fldCharType="begin"/>
      </w:r>
      <w:r>
        <w:rPr>
          <w:noProof/>
        </w:rPr>
        <w:instrText xml:space="preserve"> PAGEREF _Toc158712371 \h </w:instrText>
      </w:r>
      <w:r>
        <w:rPr>
          <w:noProof/>
        </w:rPr>
      </w:r>
      <w:r>
        <w:rPr>
          <w:noProof/>
        </w:rPr>
        <w:fldChar w:fldCharType="separate"/>
      </w:r>
      <w:r>
        <w:rPr>
          <w:noProof/>
        </w:rPr>
        <w:t>341</w:t>
      </w:r>
      <w:r>
        <w:rPr>
          <w:noProof/>
        </w:rPr>
        <w:fldChar w:fldCharType="end"/>
      </w:r>
    </w:p>
    <w:p w14:paraId="2E75672B" w14:textId="79DC9CC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6—Exemptions from application of Part 7.7 of the Act</w:t>
      </w:r>
      <w:r>
        <w:rPr>
          <w:noProof/>
        </w:rPr>
        <w:tab/>
      </w:r>
      <w:r>
        <w:rPr>
          <w:noProof/>
        </w:rPr>
        <w:fldChar w:fldCharType="begin"/>
      </w:r>
      <w:r>
        <w:rPr>
          <w:noProof/>
        </w:rPr>
        <w:instrText xml:space="preserve"> PAGEREF _Toc158712372 \h </w:instrText>
      </w:r>
      <w:r>
        <w:rPr>
          <w:noProof/>
        </w:rPr>
      </w:r>
      <w:r>
        <w:rPr>
          <w:noProof/>
        </w:rPr>
        <w:fldChar w:fldCharType="separate"/>
      </w:r>
      <w:r>
        <w:rPr>
          <w:noProof/>
        </w:rPr>
        <w:t>342</w:t>
      </w:r>
      <w:r>
        <w:rPr>
          <w:noProof/>
        </w:rPr>
        <w:fldChar w:fldCharType="end"/>
      </w:r>
    </w:p>
    <w:p w14:paraId="6903AD77" w14:textId="2DB18C77" w:rsidR="00D779FE" w:rsidRDefault="00D779FE">
      <w:pPr>
        <w:pStyle w:val="TOC5"/>
        <w:rPr>
          <w:rFonts w:asciiTheme="minorHAnsi" w:eastAsiaTheme="minorEastAsia" w:hAnsiTheme="minorHAnsi" w:cstheme="minorBidi"/>
          <w:noProof/>
          <w:kern w:val="2"/>
          <w:sz w:val="22"/>
          <w:szCs w:val="22"/>
          <w14:ligatures w14:val="standardContextual"/>
        </w:rPr>
      </w:pPr>
      <w:r w:rsidRPr="00FC743A">
        <w:rPr>
          <w:rFonts w:eastAsia="Calibri"/>
          <w:noProof/>
        </w:rPr>
        <w:t>7.7.21  Exemption from application of Part 7.7 of the Act</w:t>
      </w:r>
      <w:r>
        <w:rPr>
          <w:noProof/>
        </w:rPr>
        <w:tab/>
      </w:r>
      <w:r>
        <w:rPr>
          <w:noProof/>
        </w:rPr>
        <w:fldChar w:fldCharType="begin"/>
      </w:r>
      <w:r>
        <w:rPr>
          <w:noProof/>
        </w:rPr>
        <w:instrText xml:space="preserve"> PAGEREF _Toc158712373 \h </w:instrText>
      </w:r>
      <w:r>
        <w:rPr>
          <w:noProof/>
        </w:rPr>
      </w:r>
      <w:r>
        <w:rPr>
          <w:noProof/>
        </w:rPr>
        <w:fldChar w:fldCharType="separate"/>
      </w:r>
      <w:r>
        <w:rPr>
          <w:noProof/>
        </w:rPr>
        <w:t>342</w:t>
      </w:r>
      <w:r>
        <w:rPr>
          <w:noProof/>
        </w:rPr>
        <w:fldChar w:fldCharType="end"/>
      </w:r>
    </w:p>
    <w:p w14:paraId="4D22AE0F" w14:textId="526FD98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7.7A—Best interests obligations and remuneration</w:t>
      </w:r>
      <w:r>
        <w:rPr>
          <w:noProof/>
        </w:rPr>
        <w:tab/>
      </w:r>
      <w:r>
        <w:rPr>
          <w:noProof/>
        </w:rPr>
        <w:fldChar w:fldCharType="begin"/>
      </w:r>
      <w:r>
        <w:rPr>
          <w:noProof/>
        </w:rPr>
        <w:instrText xml:space="preserve"> PAGEREF _Toc158712374 \h </w:instrText>
      </w:r>
      <w:r>
        <w:rPr>
          <w:noProof/>
        </w:rPr>
      </w:r>
      <w:r>
        <w:rPr>
          <w:noProof/>
        </w:rPr>
        <w:fldChar w:fldCharType="separate"/>
      </w:r>
      <w:r>
        <w:rPr>
          <w:noProof/>
        </w:rPr>
        <w:t>343</w:t>
      </w:r>
      <w:r>
        <w:rPr>
          <w:noProof/>
        </w:rPr>
        <w:fldChar w:fldCharType="end"/>
      </w:r>
    </w:p>
    <w:p w14:paraId="467C4AA5" w14:textId="45BE1BA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2—Best interests obligations</w:t>
      </w:r>
      <w:r>
        <w:rPr>
          <w:noProof/>
        </w:rPr>
        <w:tab/>
      </w:r>
      <w:r>
        <w:rPr>
          <w:noProof/>
        </w:rPr>
        <w:fldChar w:fldCharType="begin"/>
      </w:r>
      <w:r>
        <w:rPr>
          <w:noProof/>
        </w:rPr>
        <w:instrText xml:space="preserve"> PAGEREF _Toc158712375 \h </w:instrText>
      </w:r>
      <w:r>
        <w:rPr>
          <w:noProof/>
        </w:rPr>
      </w:r>
      <w:r>
        <w:rPr>
          <w:noProof/>
        </w:rPr>
        <w:fldChar w:fldCharType="separate"/>
      </w:r>
      <w:r>
        <w:rPr>
          <w:noProof/>
        </w:rPr>
        <w:t>343</w:t>
      </w:r>
      <w:r>
        <w:rPr>
          <w:noProof/>
        </w:rPr>
        <w:fldChar w:fldCharType="end"/>
      </w:r>
    </w:p>
    <w:p w14:paraId="29486393" w14:textId="4C9E9E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7.7A.05  Best interests duty—basic banking products etc.</w:t>
      </w:r>
      <w:r>
        <w:rPr>
          <w:noProof/>
        </w:rPr>
        <w:tab/>
      </w:r>
      <w:r>
        <w:rPr>
          <w:noProof/>
        </w:rPr>
        <w:fldChar w:fldCharType="begin"/>
      </w:r>
      <w:r>
        <w:rPr>
          <w:noProof/>
        </w:rPr>
        <w:instrText xml:space="preserve"> PAGEREF _Toc158712376 \h </w:instrText>
      </w:r>
      <w:r>
        <w:rPr>
          <w:noProof/>
        </w:rPr>
      </w:r>
      <w:r>
        <w:rPr>
          <w:noProof/>
        </w:rPr>
        <w:fldChar w:fldCharType="separate"/>
      </w:r>
      <w:r>
        <w:rPr>
          <w:noProof/>
        </w:rPr>
        <w:t>343</w:t>
      </w:r>
      <w:r>
        <w:rPr>
          <w:noProof/>
        </w:rPr>
        <w:fldChar w:fldCharType="end"/>
      </w:r>
    </w:p>
    <w:p w14:paraId="5920CAC1" w14:textId="51C3D6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7.7A.06  Best interests duty—general insurance products</w:t>
      </w:r>
      <w:r>
        <w:rPr>
          <w:noProof/>
        </w:rPr>
        <w:tab/>
      </w:r>
      <w:r>
        <w:rPr>
          <w:noProof/>
        </w:rPr>
        <w:fldChar w:fldCharType="begin"/>
      </w:r>
      <w:r>
        <w:rPr>
          <w:noProof/>
        </w:rPr>
        <w:instrText xml:space="preserve"> PAGEREF _Toc158712377 \h </w:instrText>
      </w:r>
      <w:r>
        <w:rPr>
          <w:noProof/>
        </w:rPr>
      </w:r>
      <w:r>
        <w:rPr>
          <w:noProof/>
        </w:rPr>
        <w:fldChar w:fldCharType="separate"/>
      </w:r>
      <w:r>
        <w:rPr>
          <w:noProof/>
        </w:rPr>
        <w:t>343</w:t>
      </w:r>
      <w:r>
        <w:rPr>
          <w:noProof/>
        </w:rPr>
        <w:fldChar w:fldCharType="end"/>
      </w:r>
    </w:p>
    <w:p w14:paraId="5A0F2B79" w14:textId="7BD9E8D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3—Charging ongoing fees to clients</w:t>
      </w:r>
      <w:r>
        <w:rPr>
          <w:noProof/>
        </w:rPr>
        <w:tab/>
      </w:r>
      <w:r>
        <w:rPr>
          <w:noProof/>
        </w:rPr>
        <w:fldChar w:fldCharType="begin"/>
      </w:r>
      <w:r>
        <w:rPr>
          <w:noProof/>
        </w:rPr>
        <w:instrText xml:space="preserve"> PAGEREF _Toc158712378 \h </w:instrText>
      </w:r>
      <w:r>
        <w:rPr>
          <w:noProof/>
        </w:rPr>
      </w:r>
      <w:r>
        <w:rPr>
          <w:noProof/>
        </w:rPr>
        <w:fldChar w:fldCharType="separate"/>
      </w:r>
      <w:r>
        <w:rPr>
          <w:noProof/>
        </w:rPr>
        <w:t>344</w:t>
      </w:r>
      <w:r>
        <w:rPr>
          <w:noProof/>
        </w:rPr>
        <w:fldChar w:fldCharType="end"/>
      </w:r>
    </w:p>
    <w:p w14:paraId="1303A73D" w14:textId="1AD1A1F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7.7A.10  Arrangements that are not ongoing fee arrangements</w:t>
      </w:r>
      <w:r>
        <w:rPr>
          <w:noProof/>
        </w:rPr>
        <w:tab/>
      </w:r>
      <w:r>
        <w:rPr>
          <w:noProof/>
        </w:rPr>
        <w:fldChar w:fldCharType="begin"/>
      </w:r>
      <w:r>
        <w:rPr>
          <w:noProof/>
        </w:rPr>
        <w:instrText xml:space="preserve"> PAGEREF _Toc158712379 \h </w:instrText>
      </w:r>
      <w:r>
        <w:rPr>
          <w:noProof/>
        </w:rPr>
      </w:r>
      <w:r>
        <w:rPr>
          <w:noProof/>
        </w:rPr>
        <w:fldChar w:fldCharType="separate"/>
      </w:r>
      <w:r>
        <w:rPr>
          <w:noProof/>
        </w:rPr>
        <w:t>344</w:t>
      </w:r>
      <w:r>
        <w:rPr>
          <w:noProof/>
        </w:rPr>
        <w:fldChar w:fldCharType="end"/>
      </w:r>
    </w:p>
    <w:p w14:paraId="0E338051" w14:textId="2EAADA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7.7A.11  Fee disclosure statements</w:t>
      </w:r>
      <w:r>
        <w:rPr>
          <w:noProof/>
        </w:rPr>
        <w:tab/>
      </w:r>
      <w:r>
        <w:rPr>
          <w:noProof/>
        </w:rPr>
        <w:fldChar w:fldCharType="begin"/>
      </w:r>
      <w:r>
        <w:rPr>
          <w:noProof/>
        </w:rPr>
        <w:instrText xml:space="preserve"> PAGEREF _Toc158712380 \h </w:instrText>
      </w:r>
      <w:r>
        <w:rPr>
          <w:noProof/>
        </w:rPr>
      </w:r>
      <w:r>
        <w:rPr>
          <w:noProof/>
        </w:rPr>
        <w:fldChar w:fldCharType="separate"/>
      </w:r>
      <w:r>
        <w:rPr>
          <w:noProof/>
        </w:rPr>
        <w:t>344</w:t>
      </w:r>
      <w:r>
        <w:rPr>
          <w:noProof/>
        </w:rPr>
        <w:fldChar w:fldCharType="end"/>
      </w:r>
    </w:p>
    <w:p w14:paraId="68CE5CE5" w14:textId="6CE8BE6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7.7A.11AA  Compliance records required to be kept by fee recipients</w:t>
      </w:r>
      <w:r>
        <w:rPr>
          <w:noProof/>
        </w:rPr>
        <w:tab/>
      </w:r>
      <w:r>
        <w:rPr>
          <w:noProof/>
        </w:rPr>
        <w:fldChar w:fldCharType="begin"/>
      </w:r>
      <w:r>
        <w:rPr>
          <w:noProof/>
        </w:rPr>
        <w:instrText xml:space="preserve"> PAGEREF _Toc158712381 \h </w:instrText>
      </w:r>
      <w:r>
        <w:rPr>
          <w:noProof/>
        </w:rPr>
      </w:r>
      <w:r>
        <w:rPr>
          <w:noProof/>
        </w:rPr>
        <w:fldChar w:fldCharType="separate"/>
      </w:r>
      <w:r>
        <w:rPr>
          <w:noProof/>
        </w:rPr>
        <w:t>344</w:t>
      </w:r>
      <w:r>
        <w:rPr>
          <w:noProof/>
        </w:rPr>
        <w:fldChar w:fldCharType="end"/>
      </w:r>
    </w:p>
    <w:p w14:paraId="4FCEA33E" w14:textId="46E0958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4—Conflicted remuneration</w:t>
      </w:r>
      <w:r>
        <w:rPr>
          <w:noProof/>
        </w:rPr>
        <w:tab/>
      </w:r>
      <w:r>
        <w:rPr>
          <w:noProof/>
        </w:rPr>
        <w:fldChar w:fldCharType="begin"/>
      </w:r>
      <w:r>
        <w:rPr>
          <w:noProof/>
        </w:rPr>
        <w:instrText xml:space="preserve"> PAGEREF _Toc158712382 \h </w:instrText>
      </w:r>
      <w:r>
        <w:rPr>
          <w:noProof/>
        </w:rPr>
      </w:r>
      <w:r>
        <w:rPr>
          <w:noProof/>
        </w:rPr>
        <w:fldChar w:fldCharType="separate"/>
      </w:r>
      <w:r>
        <w:rPr>
          <w:noProof/>
        </w:rPr>
        <w:t>346</w:t>
      </w:r>
      <w:r>
        <w:rPr>
          <w:noProof/>
        </w:rPr>
        <w:fldChar w:fldCharType="end"/>
      </w:r>
    </w:p>
    <w:p w14:paraId="45596A7F" w14:textId="08EEA456"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1—Benefits in relation to life risk insurance products that are conflicted remuneration</w:t>
      </w:r>
      <w:r>
        <w:rPr>
          <w:noProof/>
        </w:rPr>
        <w:tab/>
      </w:r>
      <w:r>
        <w:rPr>
          <w:noProof/>
        </w:rPr>
        <w:fldChar w:fldCharType="begin"/>
      </w:r>
      <w:r>
        <w:rPr>
          <w:noProof/>
        </w:rPr>
        <w:instrText xml:space="preserve"> PAGEREF _Toc158712383 \h </w:instrText>
      </w:r>
      <w:r>
        <w:rPr>
          <w:noProof/>
        </w:rPr>
      </w:r>
      <w:r>
        <w:rPr>
          <w:noProof/>
        </w:rPr>
        <w:fldChar w:fldCharType="separate"/>
      </w:r>
      <w:r>
        <w:rPr>
          <w:noProof/>
        </w:rPr>
        <w:t>346</w:t>
      </w:r>
      <w:r>
        <w:rPr>
          <w:noProof/>
        </w:rPr>
        <w:fldChar w:fldCharType="end"/>
      </w:r>
    </w:p>
    <w:p w14:paraId="12577656" w14:textId="60CB64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7.7A.11A  What this Subdivision is about</w:t>
      </w:r>
      <w:r>
        <w:rPr>
          <w:noProof/>
        </w:rPr>
        <w:tab/>
      </w:r>
      <w:r>
        <w:rPr>
          <w:noProof/>
        </w:rPr>
        <w:fldChar w:fldCharType="begin"/>
      </w:r>
      <w:r>
        <w:rPr>
          <w:noProof/>
        </w:rPr>
        <w:instrText xml:space="preserve"> PAGEREF _Toc158712384 \h </w:instrText>
      </w:r>
      <w:r>
        <w:rPr>
          <w:noProof/>
        </w:rPr>
      </w:r>
      <w:r>
        <w:rPr>
          <w:noProof/>
        </w:rPr>
        <w:fldChar w:fldCharType="separate"/>
      </w:r>
      <w:r>
        <w:rPr>
          <w:noProof/>
        </w:rPr>
        <w:t>346</w:t>
      </w:r>
      <w:r>
        <w:rPr>
          <w:noProof/>
        </w:rPr>
        <w:fldChar w:fldCharType="end"/>
      </w:r>
    </w:p>
    <w:p w14:paraId="40637FCF" w14:textId="14AB18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7.7A.11B  Circumstances in which benefits in relation to life risk insurance products are conflicted remuneration</w:t>
      </w:r>
      <w:r>
        <w:rPr>
          <w:noProof/>
        </w:rPr>
        <w:tab/>
      </w:r>
      <w:r>
        <w:rPr>
          <w:noProof/>
        </w:rPr>
        <w:fldChar w:fldCharType="begin"/>
      </w:r>
      <w:r>
        <w:rPr>
          <w:noProof/>
        </w:rPr>
        <w:instrText xml:space="preserve"> PAGEREF _Toc158712385 \h </w:instrText>
      </w:r>
      <w:r>
        <w:rPr>
          <w:noProof/>
        </w:rPr>
      </w:r>
      <w:r>
        <w:rPr>
          <w:noProof/>
        </w:rPr>
        <w:fldChar w:fldCharType="separate"/>
      </w:r>
      <w:r>
        <w:rPr>
          <w:noProof/>
        </w:rPr>
        <w:t>346</w:t>
      </w:r>
      <w:r>
        <w:rPr>
          <w:noProof/>
        </w:rPr>
        <w:fldChar w:fldCharType="end"/>
      </w:r>
    </w:p>
    <w:p w14:paraId="442AF560" w14:textId="3D900E0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7.7A.11C  Circumstances in which benefits in relation to information about life risk insurance products are not conflicted remuneration</w:t>
      </w:r>
      <w:r>
        <w:rPr>
          <w:noProof/>
        </w:rPr>
        <w:tab/>
      </w:r>
      <w:r>
        <w:rPr>
          <w:noProof/>
        </w:rPr>
        <w:fldChar w:fldCharType="begin"/>
      </w:r>
      <w:r>
        <w:rPr>
          <w:noProof/>
        </w:rPr>
        <w:instrText xml:space="preserve"> PAGEREF _Toc158712386 \h </w:instrText>
      </w:r>
      <w:r>
        <w:rPr>
          <w:noProof/>
        </w:rPr>
      </w:r>
      <w:r>
        <w:rPr>
          <w:noProof/>
        </w:rPr>
        <w:fldChar w:fldCharType="separate"/>
      </w:r>
      <w:r>
        <w:rPr>
          <w:noProof/>
        </w:rPr>
        <w:t>347</w:t>
      </w:r>
      <w:r>
        <w:rPr>
          <w:noProof/>
        </w:rPr>
        <w:fldChar w:fldCharType="end"/>
      </w:r>
    </w:p>
    <w:p w14:paraId="3F144129" w14:textId="7991C57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7.7A.11D  Circumstances in which benefits in relation to dealings in life risk insurance products are not conflicted remuneration</w:t>
      </w:r>
      <w:r>
        <w:rPr>
          <w:noProof/>
        </w:rPr>
        <w:tab/>
      </w:r>
      <w:r>
        <w:rPr>
          <w:noProof/>
        </w:rPr>
        <w:fldChar w:fldCharType="begin"/>
      </w:r>
      <w:r>
        <w:rPr>
          <w:noProof/>
        </w:rPr>
        <w:instrText xml:space="preserve"> PAGEREF _Toc158712387 \h </w:instrText>
      </w:r>
      <w:r>
        <w:rPr>
          <w:noProof/>
        </w:rPr>
      </w:r>
      <w:r>
        <w:rPr>
          <w:noProof/>
        </w:rPr>
        <w:fldChar w:fldCharType="separate"/>
      </w:r>
      <w:r>
        <w:rPr>
          <w:noProof/>
        </w:rPr>
        <w:t>348</w:t>
      </w:r>
      <w:r>
        <w:rPr>
          <w:noProof/>
        </w:rPr>
        <w:fldChar w:fldCharType="end"/>
      </w:r>
    </w:p>
    <w:p w14:paraId="0714A135" w14:textId="6A2C2C7F"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2—Monetary benefits that are not conflicted remuneration</w:t>
      </w:r>
      <w:r>
        <w:rPr>
          <w:noProof/>
        </w:rPr>
        <w:tab/>
      </w:r>
      <w:r>
        <w:rPr>
          <w:noProof/>
        </w:rPr>
        <w:fldChar w:fldCharType="begin"/>
      </w:r>
      <w:r>
        <w:rPr>
          <w:noProof/>
        </w:rPr>
        <w:instrText xml:space="preserve"> PAGEREF _Toc158712388 \h </w:instrText>
      </w:r>
      <w:r>
        <w:rPr>
          <w:noProof/>
        </w:rPr>
      </w:r>
      <w:r>
        <w:rPr>
          <w:noProof/>
        </w:rPr>
        <w:fldChar w:fldCharType="separate"/>
      </w:r>
      <w:r>
        <w:rPr>
          <w:noProof/>
        </w:rPr>
        <w:t>349</w:t>
      </w:r>
      <w:r>
        <w:rPr>
          <w:noProof/>
        </w:rPr>
        <w:fldChar w:fldCharType="end"/>
      </w:r>
    </w:p>
    <w:p w14:paraId="3D792387" w14:textId="2739E8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  What subdivision is about</w:t>
      </w:r>
      <w:r>
        <w:rPr>
          <w:noProof/>
        </w:rPr>
        <w:tab/>
      </w:r>
      <w:r>
        <w:rPr>
          <w:noProof/>
        </w:rPr>
        <w:fldChar w:fldCharType="begin"/>
      </w:r>
      <w:r>
        <w:rPr>
          <w:noProof/>
        </w:rPr>
        <w:instrText xml:space="preserve"> PAGEREF _Toc158712389 \h </w:instrText>
      </w:r>
      <w:r>
        <w:rPr>
          <w:noProof/>
        </w:rPr>
      </w:r>
      <w:r>
        <w:rPr>
          <w:noProof/>
        </w:rPr>
        <w:fldChar w:fldCharType="separate"/>
      </w:r>
      <w:r>
        <w:rPr>
          <w:noProof/>
        </w:rPr>
        <w:t>349</w:t>
      </w:r>
      <w:r>
        <w:rPr>
          <w:noProof/>
        </w:rPr>
        <w:fldChar w:fldCharType="end"/>
      </w:r>
    </w:p>
    <w:p w14:paraId="6B54D180" w14:textId="6B14C4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7.7A.12B  Stamping fees</w:t>
      </w:r>
      <w:r>
        <w:rPr>
          <w:noProof/>
        </w:rPr>
        <w:tab/>
      </w:r>
      <w:r>
        <w:rPr>
          <w:noProof/>
        </w:rPr>
        <w:fldChar w:fldCharType="begin"/>
      </w:r>
      <w:r>
        <w:rPr>
          <w:noProof/>
        </w:rPr>
        <w:instrText xml:space="preserve"> PAGEREF _Toc158712390 \h </w:instrText>
      </w:r>
      <w:r>
        <w:rPr>
          <w:noProof/>
        </w:rPr>
      </w:r>
      <w:r>
        <w:rPr>
          <w:noProof/>
        </w:rPr>
        <w:fldChar w:fldCharType="separate"/>
      </w:r>
      <w:r>
        <w:rPr>
          <w:noProof/>
        </w:rPr>
        <w:t>349</w:t>
      </w:r>
      <w:r>
        <w:rPr>
          <w:noProof/>
        </w:rPr>
        <w:fldChar w:fldCharType="end"/>
      </w:r>
    </w:p>
    <w:p w14:paraId="2FF60513" w14:textId="784A17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7.7A.12C  Time</w:t>
      </w:r>
      <w:r>
        <w:rPr>
          <w:noProof/>
        </w:rPr>
        <w:noBreakHyphen/>
        <w:t>sharing schemes</w:t>
      </w:r>
      <w:r>
        <w:rPr>
          <w:noProof/>
        </w:rPr>
        <w:tab/>
      </w:r>
      <w:r>
        <w:rPr>
          <w:noProof/>
        </w:rPr>
        <w:fldChar w:fldCharType="begin"/>
      </w:r>
      <w:r>
        <w:rPr>
          <w:noProof/>
        </w:rPr>
        <w:instrText xml:space="preserve"> PAGEREF _Toc158712391 \h </w:instrText>
      </w:r>
      <w:r>
        <w:rPr>
          <w:noProof/>
        </w:rPr>
      </w:r>
      <w:r>
        <w:rPr>
          <w:noProof/>
        </w:rPr>
        <w:fldChar w:fldCharType="separate"/>
      </w:r>
      <w:r>
        <w:rPr>
          <w:noProof/>
        </w:rPr>
        <w:t>350</w:t>
      </w:r>
      <w:r>
        <w:rPr>
          <w:noProof/>
        </w:rPr>
        <w:fldChar w:fldCharType="end"/>
      </w:r>
    </w:p>
    <w:p w14:paraId="0C2D8133" w14:textId="14E8568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7.7A.12D  Brokerage fees</w:t>
      </w:r>
      <w:r>
        <w:rPr>
          <w:noProof/>
        </w:rPr>
        <w:tab/>
      </w:r>
      <w:r>
        <w:rPr>
          <w:noProof/>
        </w:rPr>
        <w:fldChar w:fldCharType="begin"/>
      </w:r>
      <w:r>
        <w:rPr>
          <w:noProof/>
        </w:rPr>
        <w:instrText xml:space="preserve"> PAGEREF _Toc158712392 \h </w:instrText>
      </w:r>
      <w:r>
        <w:rPr>
          <w:noProof/>
        </w:rPr>
      </w:r>
      <w:r>
        <w:rPr>
          <w:noProof/>
        </w:rPr>
        <w:fldChar w:fldCharType="separate"/>
      </w:r>
      <w:r>
        <w:rPr>
          <w:noProof/>
        </w:rPr>
        <w:t>350</w:t>
      </w:r>
      <w:r>
        <w:rPr>
          <w:noProof/>
        </w:rPr>
        <w:fldChar w:fldCharType="end"/>
      </w:r>
    </w:p>
    <w:p w14:paraId="48C22618" w14:textId="6D89F67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7.7A.12E  Fees paid by clients for dealing services</w:t>
      </w:r>
      <w:r>
        <w:rPr>
          <w:noProof/>
        </w:rPr>
        <w:tab/>
      </w:r>
      <w:r>
        <w:rPr>
          <w:noProof/>
        </w:rPr>
        <w:fldChar w:fldCharType="begin"/>
      </w:r>
      <w:r>
        <w:rPr>
          <w:noProof/>
        </w:rPr>
        <w:instrText xml:space="preserve"> PAGEREF _Toc158712393 \h </w:instrText>
      </w:r>
      <w:r>
        <w:rPr>
          <w:noProof/>
        </w:rPr>
      </w:r>
      <w:r>
        <w:rPr>
          <w:noProof/>
        </w:rPr>
        <w:fldChar w:fldCharType="separate"/>
      </w:r>
      <w:r>
        <w:rPr>
          <w:noProof/>
        </w:rPr>
        <w:t>351</w:t>
      </w:r>
      <w:r>
        <w:rPr>
          <w:noProof/>
        </w:rPr>
        <w:fldChar w:fldCharType="end"/>
      </w:r>
    </w:p>
    <w:p w14:paraId="5B3C32C5" w14:textId="44B3822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7.7A.12EA  Application of ban on conflicted remuneration—purchase or sale of financial advice business</w:t>
      </w:r>
      <w:r>
        <w:rPr>
          <w:noProof/>
        </w:rPr>
        <w:tab/>
      </w:r>
      <w:r>
        <w:rPr>
          <w:noProof/>
        </w:rPr>
        <w:fldChar w:fldCharType="begin"/>
      </w:r>
      <w:r>
        <w:rPr>
          <w:noProof/>
        </w:rPr>
        <w:instrText xml:space="preserve"> PAGEREF _Toc158712394 \h </w:instrText>
      </w:r>
      <w:r>
        <w:rPr>
          <w:noProof/>
        </w:rPr>
      </w:r>
      <w:r>
        <w:rPr>
          <w:noProof/>
        </w:rPr>
        <w:fldChar w:fldCharType="separate"/>
      </w:r>
      <w:r>
        <w:rPr>
          <w:noProof/>
        </w:rPr>
        <w:t>351</w:t>
      </w:r>
      <w:r>
        <w:rPr>
          <w:noProof/>
        </w:rPr>
        <w:fldChar w:fldCharType="end"/>
      </w:r>
    </w:p>
    <w:p w14:paraId="2F74976B" w14:textId="51053D0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3—Monetary benefits that relate to life risk insurance products</w:t>
      </w:r>
      <w:r>
        <w:rPr>
          <w:noProof/>
        </w:rPr>
        <w:tab/>
      </w:r>
      <w:r>
        <w:rPr>
          <w:noProof/>
        </w:rPr>
        <w:fldChar w:fldCharType="begin"/>
      </w:r>
      <w:r>
        <w:rPr>
          <w:noProof/>
        </w:rPr>
        <w:instrText xml:space="preserve"> PAGEREF _Toc158712395 \h </w:instrText>
      </w:r>
      <w:r>
        <w:rPr>
          <w:noProof/>
        </w:rPr>
      </w:r>
      <w:r>
        <w:rPr>
          <w:noProof/>
        </w:rPr>
        <w:fldChar w:fldCharType="separate"/>
      </w:r>
      <w:r>
        <w:rPr>
          <w:noProof/>
        </w:rPr>
        <w:t>352</w:t>
      </w:r>
      <w:r>
        <w:rPr>
          <w:noProof/>
        </w:rPr>
        <w:fldChar w:fldCharType="end"/>
      </w:r>
    </w:p>
    <w:p w14:paraId="26E1B445" w14:textId="4897809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7.7A.12EB  Life risk insurance products—clawback requirements related to cancellation etc.</w:t>
      </w:r>
      <w:r>
        <w:rPr>
          <w:noProof/>
        </w:rPr>
        <w:tab/>
      </w:r>
      <w:r>
        <w:rPr>
          <w:noProof/>
        </w:rPr>
        <w:fldChar w:fldCharType="begin"/>
      </w:r>
      <w:r>
        <w:rPr>
          <w:noProof/>
        </w:rPr>
        <w:instrText xml:space="preserve"> PAGEREF _Toc158712396 \h </w:instrText>
      </w:r>
      <w:r>
        <w:rPr>
          <w:noProof/>
        </w:rPr>
      </w:r>
      <w:r>
        <w:rPr>
          <w:noProof/>
        </w:rPr>
        <w:fldChar w:fldCharType="separate"/>
      </w:r>
      <w:r>
        <w:rPr>
          <w:noProof/>
        </w:rPr>
        <w:t>352</w:t>
      </w:r>
      <w:r>
        <w:rPr>
          <w:noProof/>
        </w:rPr>
        <w:fldChar w:fldCharType="end"/>
      </w:r>
    </w:p>
    <w:p w14:paraId="3BCD9116" w14:textId="218C585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7.7A.12EC  Life risk insurance products—clawback requirements related to reduction of policy cost</w:t>
      </w:r>
      <w:r>
        <w:rPr>
          <w:noProof/>
        </w:rPr>
        <w:tab/>
      </w:r>
      <w:r>
        <w:rPr>
          <w:noProof/>
        </w:rPr>
        <w:fldChar w:fldCharType="begin"/>
      </w:r>
      <w:r>
        <w:rPr>
          <w:noProof/>
        </w:rPr>
        <w:instrText xml:space="preserve"> PAGEREF _Toc158712397 \h </w:instrText>
      </w:r>
      <w:r>
        <w:rPr>
          <w:noProof/>
        </w:rPr>
      </w:r>
      <w:r>
        <w:rPr>
          <w:noProof/>
        </w:rPr>
        <w:fldChar w:fldCharType="separate"/>
      </w:r>
      <w:r>
        <w:rPr>
          <w:noProof/>
        </w:rPr>
        <w:t>352</w:t>
      </w:r>
      <w:r>
        <w:rPr>
          <w:noProof/>
        </w:rPr>
        <w:fldChar w:fldCharType="end"/>
      </w:r>
    </w:p>
    <w:p w14:paraId="5843C08C" w14:textId="5F8B57DF"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4—Other monetary and non</w:t>
      </w:r>
      <w:r>
        <w:rPr>
          <w:noProof/>
        </w:rPr>
        <w:noBreakHyphen/>
        <w:t>monetary benefits that are not conflicted remuneration</w:t>
      </w:r>
      <w:r>
        <w:rPr>
          <w:noProof/>
        </w:rPr>
        <w:tab/>
      </w:r>
      <w:r>
        <w:rPr>
          <w:noProof/>
        </w:rPr>
        <w:fldChar w:fldCharType="begin"/>
      </w:r>
      <w:r>
        <w:rPr>
          <w:noProof/>
        </w:rPr>
        <w:instrText xml:space="preserve"> PAGEREF _Toc158712398 \h </w:instrText>
      </w:r>
      <w:r>
        <w:rPr>
          <w:noProof/>
        </w:rPr>
      </w:r>
      <w:r>
        <w:rPr>
          <w:noProof/>
        </w:rPr>
        <w:fldChar w:fldCharType="separate"/>
      </w:r>
      <w:r>
        <w:rPr>
          <w:noProof/>
        </w:rPr>
        <w:t>352</w:t>
      </w:r>
      <w:r>
        <w:rPr>
          <w:noProof/>
        </w:rPr>
        <w:fldChar w:fldCharType="end"/>
      </w:r>
    </w:p>
    <w:p w14:paraId="3A3EA69B" w14:textId="3F3F82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7.7A.12F  What subdivision is about</w:t>
      </w:r>
      <w:r>
        <w:rPr>
          <w:noProof/>
        </w:rPr>
        <w:tab/>
      </w:r>
      <w:r>
        <w:rPr>
          <w:noProof/>
        </w:rPr>
        <w:fldChar w:fldCharType="begin"/>
      </w:r>
      <w:r>
        <w:rPr>
          <w:noProof/>
        </w:rPr>
        <w:instrText xml:space="preserve"> PAGEREF _Toc158712399 \h </w:instrText>
      </w:r>
      <w:r>
        <w:rPr>
          <w:noProof/>
        </w:rPr>
      </w:r>
      <w:r>
        <w:rPr>
          <w:noProof/>
        </w:rPr>
        <w:fldChar w:fldCharType="separate"/>
      </w:r>
      <w:r>
        <w:rPr>
          <w:noProof/>
        </w:rPr>
        <w:t>352</w:t>
      </w:r>
      <w:r>
        <w:rPr>
          <w:noProof/>
        </w:rPr>
        <w:fldChar w:fldCharType="end"/>
      </w:r>
    </w:p>
    <w:p w14:paraId="108A69CB" w14:textId="1B06F4E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7.7A.12G  General insurance</w:t>
      </w:r>
      <w:r>
        <w:rPr>
          <w:noProof/>
        </w:rPr>
        <w:tab/>
      </w:r>
      <w:r>
        <w:rPr>
          <w:noProof/>
        </w:rPr>
        <w:fldChar w:fldCharType="begin"/>
      </w:r>
      <w:r>
        <w:rPr>
          <w:noProof/>
        </w:rPr>
        <w:instrText xml:space="preserve"> PAGEREF _Toc158712400 \h </w:instrText>
      </w:r>
      <w:r>
        <w:rPr>
          <w:noProof/>
        </w:rPr>
      </w:r>
      <w:r>
        <w:rPr>
          <w:noProof/>
        </w:rPr>
        <w:fldChar w:fldCharType="separate"/>
      </w:r>
      <w:r>
        <w:rPr>
          <w:noProof/>
        </w:rPr>
        <w:t>352</w:t>
      </w:r>
      <w:r>
        <w:rPr>
          <w:noProof/>
        </w:rPr>
        <w:fldChar w:fldCharType="end"/>
      </w:r>
    </w:p>
    <w:p w14:paraId="29095049" w14:textId="5B8189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7.7A.12H  Basic banking and general insurance products</w:t>
      </w:r>
      <w:r>
        <w:rPr>
          <w:noProof/>
        </w:rPr>
        <w:tab/>
      </w:r>
      <w:r>
        <w:rPr>
          <w:noProof/>
        </w:rPr>
        <w:fldChar w:fldCharType="begin"/>
      </w:r>
      <w:r>
        <w:rPr>
          <w:noProof/>
        </w:rPr>
        <w:instrText xml:space="preserve"> PAGEREF _Toc158712401 \h </w:instrText>
      </w:r>
      <w:r>
        <w:rPr>
          <w:noProof/>
        </w:rPr>
      </w:r>
      <w:r>
        <w:rPr>
          <w:noProof/>
        </w:rPr>
        <w:fldChar w:fldCharType="separate"/>
      </w:r>
      <w:r>
        <w:rPr>
          <w:noProof/>
        </w:rPr>
        <w:t>352</w:t>
      </w:r>
      <w:r>
        <w:rPr>
          <w:noProof/>
        </w:rPr>
        <w:fldChar w:fldCharType="end"/>
      </w:r>
    </w:p>
    <w:p w14:paraId="6559DB8E" w14:textId="5CE0F6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7.7A.12I  Mixed benefits</w:t>
      </w:r>
      <w:r>
        <w:rPr>
          <w:noProof/>
        </w:rPr>
        <w:tab/>
      </w:r>
      <w:r>
        <w:rPr>
          <w:noProof/>
        </w:rPr>
        <w:fldChar w:fldCharType="begin"/>
      </w:r>
      <w:r>
        <w:rPr>
          <w:noProof/>
        </w:rPr>
        <w:instrText xml:space="preserve"> PAGEREF _Toc158712402 \h </w:instrText>
      </w:r>
      <w:r>
        <w:rPr>
          <w:noProof/>
        </w:rPr>
      </w:r>
      <w:r>
        <w:rPr>
          <w:noProof/>
        </w:rPr>
        <w:fldChar w:fldCharType="separate"/>
      </w:r>
      <w:r>
        <w:rPr>
          <w:noProof/>
        </w:rPr>
        <w:t>353</w:t>
      </w:r>
      <w:r>
        <w:rPr>
          <w:noProof/>
        </w:rPr>
        <w:fldChar w:fldCharType="end"/>
      </w:r>
    </w:p>
    <w:p w14:paraId="4348CB06" w14:textId="7E3E28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7.7A.13  Non</w:t>
      </w:r>
      <w:r>
        <w:rPr>
          <w:noProof/>
        </w:rPr>
        <w:noBreakHyphen/>
        <w:t>monetary benefit given in certain circumstances not conflicted remuneration: prescribed amount</w:t>
      </w:r>
      <w:r>
        <w:rPr>
          <w:noProof/>
        </w:rPr>
        <w:tab/>
      </w:r>
      <w:r>
        <w:rPr>
          <w:noProof/>
        </w:rPr>
        <w:fldChar w:fldCharType="begin"/>
      </w:r>
      <w:r>
        <w:rPr>
          <w:noProof/>
        </w:rPr>
        <w:instrText xml:space="preserve"> PAGEREF _Toc158712403 \h </w:instrText>
      </w:r>
      <w:r>
        <w:rPr>
          <w:noProof/>
        </w:rPr>
      </w:r>
      <w:r>
        <w:rPr>
          <w:noProof/>
        </w:rPr>
        <w:fldChar w:fldCharType="separate"/>
      </w:r>
      <w:r>
        <w:rPr>
          <w:noProof/>
        </w:rPr>
        <w:t>353</w:t>
      </w:r>
      <w:r>
        <w:rPr>
          <w:noProof/>
        </w:rPr>
        <w:fldChar w:fldCharType="end"/>
      </w:r>
    </w:p>
    <w:p w14:paraId="5AA1895C" w14:textId="0C035B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7.7A.14  Non</w:t>
      </w:r>
      <w:r>
        <w:rPr>
          <w:noProof/>
        </w:rPr>
        <w:noBreakHyphen/>
        <w:t>monetary benefit given in certain circumstances not conflicted remuneration: education or training course</w:t>
      </w:r>
      <w:r>
        <w:rPr>
          <w:noProof/>
        </w:rPr>
        <w:tab/>
      </w:r>
      <w:r>
        <w:rPr>
          <w:noProof/>
        </w:rPr>
        <w:fldChar w:fldCharType="begin"/>
      </w:r>
      <w:r>
        <w:rPr>
          <w:noProof/>
        </w:rPr>
        <w:instrText xml:space="preserve"> PAGEREF _Toc158712404 \h </w:instrText>
      </w:r>
      <w:r>
        <w:rPr>
          <w:noProof/>
        </w:rPr>
      </w:r>
      <w:r>
        <w:rPr>
          <w:noProof/>
        </w:rPr>
        <w:fldChar w:fldCharType="separate"/>
      </w:r>
      <w:r>
        <w:rPr>
          <w:noProof/>
        </w:rPr>
        <w:t>353</w:t>
      </w:r>
      <w:r>
        <w:rPr>
          <w:noProof/>
        </w:rPr>
        <w:fldChar w:fldCharType="end"/>
      </w:r>
    </w:p>
    <w:p w14:paraId="021F62A5" w14:textId="6DC187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7.7A.15  Non</w:t>
      </w:r>
      <w:r>
        <w:rPr>
          <w:noProof/>
        </w:rPr>
        <w:noBreakHyphen/>
        <w:t>monetary benefit given in certain circumstances not conflicted remuneration: other education and training benefit</w:t>
      </w:r>
      <w:r>
        <w:rPr>
          <w:noProof/>
        </w:rPr>
        <w:tab/>
      </w:r>
      <w:r>
        <w:rPr>
          <w:noProof/>
        </w:rPr>
        <w:fldChar w:fldCharType="begin"/>
      </w:r>
      <w:r>
        <w:rPr>
          <w:noProof/>
        </w:rPr>
        <w:instrText xml:space="preserve"> PAGEREF _Toc158712405 \h </w:instrText>
      </w:r>
      <w:r>
        <w:rPr>
          <w:noProof/>
        </w:rPr>
      </w:r>
      <w:r>
        <w:rPr>
          <w:noProof/>
        </w:rPr>
        <w:fldChar w:fldCharType="separate"/>
      </w:r>
      <w:r>
        <w:rPr>
          <w:noProof/>
        </w:rPr>
        <w:t>354</w:t>
      </w:r>
      <w:r>
        <w:rPr>
          <w:noProof/>
        </w:rPr>
        <w:fldChar w:fldCharType="end"/>
      </w:r>
    </w:p>
    <w:p w14:paraId="09180DB7" w14:textId="40F4B8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7.7A.15A  Non</w:t>
      </w:r>
      <w:r>
        <w:rPr>
          <w:noProof/>
        </w:rPr>
        <w:noBreakHyphen/>
        <w:t>monetary benefit given in certain circumstances not conflicted remuneration—education and training in conducting a financial services business</w:t>
      </w:r>
      <w:r>
        <w:rPr>
          <w:noProof/>
        </w:rPr>
        <w:tab/>
      </w:r>
      <w:r>
        <w:rPr>
          <w:noProof/>
        </w:rPr>
        <w:fldChar w:fldCharType="begin"/>
      </w:r>
      <w:r>
        <w:rPr>
          <w:noProof/>
        </w:rPr>
        <w:instrText xml:space="preserve"> PAGEREF _Toc158712406 \h </w:instrText>
      </w:r>
      <w:r>
        <w:rPr>
          <w:noProof/>
        </w:rPr>
      </w:r>
      <w:r>
        <w:rPr>
          <w:noProof/>
        </w:rPr>
        <w:fldChar w:fldCharType="separate"/>
      </w:r>
      <w:r>
        <w:rPr>
          <w:noProof/>
        </w:rPr>
        <w:t>354</w:t>
      </w:r>
      <w:r>
        <w:rPr>
          <w:noProof/>
        </w:rPr>
        <w:fldChar w:fldCharType="end"/>
      </w:r>
    </w:p>
    <w:p w14:paraId="7AD2DAAE" w14:textId="4891C2CB"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4A—Ban on conflicted remuneration (rebates)</w:t>
      </w:r>
      <w:r>
        <w:rPr>
          <w:noProof/>
        </w:rPr>
        <w:tab/>
      </w:r>
      <w:r>
        <w:rPr>
          <w:noProof/>
        </w:rPr>
        <w:fldChar w:fldCharType="begin"/>
      </w:r>
      <w:r>
        <w:rPr>
          <w:noProof/>
        </w:rPr>
        <w:instrText xml:space="preserve"> PAGEREF _Toc158712407 \h </w:instrText>
      </w:r>
      <w:r>
        <w:rPr>
          <w:noProof/>
        </w:rPr>
      </w:r>
      <w:r>
        <w:rPr>
          <w:noProof/>
        </w:rPr>
        <w:fldChar w:fldCharType="separate"/>
      </w:r>
      <w:r>
        <w:rPr>
          <w:noProof/>
        </w:rPr>
        <w:t>354</w:t>
      </w:r>
      <w:r>
        <w:rPr>
          <w:noProof/>
        </w:rPr>
        <w:fldChar w:fldCharType="end"/>
      </w:r>
    </w:p>
    <w:p w14:paraId="061C34B3" w14:textId="3A5F6C0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7.7A.15AJ  What Subdivision is about</w:t>
      </w:r>
      <w:r>
        <w:rPr>
          <w:noProof/>
        </w:rPr>
        <w:tab/>
      </w:r>
      <w:r>
        <w:rPr>
          <w:noProof/>
        </w:rPr>
        <w:fldChar w:fldCharType="begin"/>
      </w:r>
      <w:r>
        <w:rPr>
          <w:noProof/>
        </w:rPr>
        <w:instrText xml:space="preserve"> PAGEREF _Toc158712408 \h </w:instrText>
      </w:r>
      <w:r>
        <w:rPr>
          <w:noProof/>
        </w:rPr>
      </w:r>
      <w:r>
        <w:rPr>
          <w:noProof/>
        </w:rPr>
        <w:fldChar w:fldCharType="separate"/>
      </w:r>
      <w:r>
        <w:rPr>
          <w:noProof/>
        </w:rPr>
        <w:t>354</w:t>
      </w:r>
      <w:r>
        <w:rPr>
          <w:noProof/>
        </w:rPr>
        <w:fldChar w:fldCharType="end"/>
      </w:r>
    </w:p>
    <w:p w14:paraId="031E6629" w14:textId="1D62A6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7.7A.15AK  Obligations of covered person</w:t>
      </w:r>
      <w:r>
        <w:rPr>
          <w:noProof/>
        </w:rPr>
        <w:tab/>
      </w:r>
      <w:r>
        <w:rPr>
          <w:noProof/>
        </w:rPr>
        <w:fldChar w:fldCharType="begin"/>
      </w:r>
      <w:r>
        <w:rPr>
          <w:noProof/>
        </w:rPr>
        <w:instrText xml:space="preserve"> PAGEREF _Toc158712409 \h </w:instrText>
      </w:r>
      <w:r>
        <w:rPr>
          <w:noProof/>
        </w:rPr>
      </w:r>
      <w:r>
        <w:rPr>
          <w:noProof/>
        </w:rPr>
        <w:fldChar w:fldCharType="separate"/>
      </w:r>
      <w:r>
        <w:rPr>
          <w:noProof/>
        </w:rPr>
        <w:t>354</w:t>
      </w:r>
      <w:r>
        <w:rPr>
          <w:noProof/>
        </w:rPr>
        <w:fldChar w:fldCharType="end"/>
      </w:r>
    </w:p>
    <w:p w14:paraId="4041F009" w14:textId="28008B0B"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6—Application provisions relating to the Corporations Amendment (Life Insurance Remuneration Arrangements) Act 2017</w:t>
      </w:r>
      <w:r>
        <w:rPr>
          <w:noProof/>
        </w:rPr>
        <w:tab/>
      </w:r>
      <w:r>
        <w:rPr>
          <w:noProof/>
        </w:rPr>
        <w:fldChar w:fldCharType="begin"/>
      </w:r>
      <w:r>
        <w:rPr>
          <w:noProof/>
        </w:rPr>
        <w:instrText xml:space="preserve"> PAGEREF _Toc158712410 \h </w:instrText>
      </w:r>
      <w:r>
        <w:rPr>
          <w:noProof/>
        </w:rPr>
      </w:r>
      <w:r>
        <w:rPr>
          <w:noProof/>
        </w:rPr>
        <w:fldChar w:fldCharType="separate"/>
      </w:r>
      <w:r>
        <w:rPr>
          <w:noProof/>
        </w:rPr>
        <w:t>355</w:t>
      </w:r>
      <w:r>
        <w:rPr>
          <w:noProof/>
        </w:rPr>
        <w:fldChar w:fldCharType="end"/>
      </w:r>
    </w:p>
    <w:p w14:paraId="3CA26B81" w14:textId="194D12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7.7A.16G  Definitions</w:t>
      </w:r>
      <w:r>
        <w:rPr>
          <w:noProof/>
        </w:rPr>
        <w:tab/>
      </w:r>
      <w:r>
        <w:rPr>
          <w:noProof/>
        </w:rPr>
        <w:fldChar w:fldCharType="begin"/>
      </w:r>
      <w:r>
        <w:rPr>
          <w:noProof/>
        </w:rPr>
        <w:instrText xml:space="preserve"> PAGEREF _Toc158712411 \h </w:instrText>
      </w:r>
      <w:r>
        <w:rPr>
          <w:noProof/>
        </w:rPr>
      </w:r>
      <w:r>
        <w:rPr>
          <w:noProof/>
        </w:rPr>
        <w:fldChar w:fldCharType="separate"/>
      </w:r>
      <w:r>
        <w:rPr>
          <w:noProof/>
        </w:rPr>
        <w:t>355</w:t>
      </w:r>
      <w:r>
        <w:rPr>
          <w:noProof/>
        </w:rPr>
        <w:fldChar w:fldCharType="end"/>
      </w:r>
    </w:p>
    <w:p w14:paraId="3E03035D" w14:textId="386A3E0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7.7A.16H  Life risk insurance products substantially related to existing products</w:t>
      </w:r>
      <w:r>
        <w:rPr>
          <w:noProof/>
        </w:rPr>
        <w:tab/>
      </w:r>
      <w:r>
        <w:rPr>
          <w:noProof/>
        </w:rPr>
        <w:fldChar w:fldCharType="begin"/>
      </w:r>
      <w:r>
        <w:rPr>
          <w:noProof/>
        </w:rPr>
        <w:instrText xml:space="preserve"> PAGEREF _Toc158712412 \h </w:instrText>
      </w:r>
      <w:r>
        <w:rPr>
          <w:noProof/>
        </w:rPr>
      </w:r>
      <w:r>
        <w:rPr>
          <w:noProof/>
        </w:rPr>
        <w:fldChar w:fldCharType="separate"/>
      </w:r>
      <w:r>
        <w:rPr>
          <w:noProof/>
        </w:rPr>
        <w:t>355</w:t>
      </w:r>
      <w:r>
        <w:rPr>
          <w:noProof/>
        </w:rPr>
        <w:fldChar w:fldCharType="end"/>
      </w:r>
    </w:p>
    <w:p w14:paraId="14A4D5EA" w14:textId="63EA45D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7—Asset</w:t>
      </w:r>
      <w:r>
        <w:rPr>
          <w:noProof/>
        </w:rPr>
        <w:noBreakHyphen/>
        <w:t>based fees on borrowed amounts</w:t>
      </w:r>
      <w:r>
        <w:rPr>
          <w:noProof/>
        </w:rPr>
        <w:tab/>
      </w:r>
      <w:r>
        <w:rPr>
          <w:noProof/>
        </w:rPr>
        <w:fldChar w:fldCharType="begin"/>
      </w:r>
      <w:r>
        <w:rPr>
          <w:noProof/>
        </w:rPr>
        <w:instrText xml:space="preserve"> PAGEREF _Toc158712413 \h </w:instrText>
      </w:r>
      <w:r>
        <w:rPr>
          <w:noProof/>
        </w:rPr>
      </w:r>
      <w:r>
        <w:rPr>
          <w:noProof/>
        </w:rPr>
        <w:fldChar w:fldCharType="separate"/>
      </w:r>
      <w:r>
        <w:rPr>
          <w:noProof/>
        </w:rPr>
        <w:t>355</w:t>
      </w:r>
      <w:r>
        <w:rPr>
          <w:noProof/>
        </w:rPr>
        <w:fldChar w:fldCharType="end"/>
      </w:r>
    </w:p>
    <w:p w14:paraId="12AF1E4B" w14:textId="5883EA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7.7A.17  Financial services licensees</w:t>
      </w:r>
      <w:r>
        <w:rPr>
          <w:noProof/>
        </w:rPr>
        <w:tab/>
      </w:r>
      <w:r>
        <w:rPr>
          <w:noProof/>
        </w:rPr>
        <w:fldChar w:fldCharType="begin"/>
      </w:r>
      <w:r>
        <w:rPr>
          <w:noProof/>
        </w:rPr>
        <w:instrText xml:space="preserve"> PAGEREF _Toc158712414 \h </w:instrText>
      </w:r>
      <w:r>
        <w:rPr>
          <w:noProof/>
        </w:rPr>
      </w:r>
      <w:r>
        <w:rPr>
          <w:noProof/>
        </w:rPr>
        <w:fldChar w:fldCharType="separate"/>
      </w:r>
      <w:r>
        <w:rPr>
          <w:noProof/>
        </w:rPr>
        <w:t>355</w:t>
      </w:r>
      <w:r>
        <w:rPr>
          <w:noProof/>
        </w:rPr>
        <w:fldChar w:fldCharType="end"/>
      </w:r>
    </w:p>
    <w:p w14:paraId="6329E422" w14:textId="5D3FE6D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7.7A.18  Authorised representatives</w:t>
      </w:r>
      <w:r>
        <w:rPr>
          <w:noProof/>
        </w:rPr>
        <w:tab/>
      </w:r>
      <w:r>
        <w:rPr>
          <w:noProof/>
        </w:rPr>
        <w:fldChar w:fldCharType="begin"/>
      </w:r>
      <w:r>
        <w:rPr>
          <w:noProof/>
        </w:rPr>
        <w:instrText xml:space="preserve"> PAGEREF _Toc158712415 \h </w:instrText>
      </w:r>
      <w:r>
        <w:rPr>
          <w:noProof/>
        </w:rPr>
      </w:r>
      <w:r>
        <w:rPr>
          <w:noProof/>
        </w:rPr>
        <w:fldChar w:fldCharType="separate"/>
      </w:r>
      <w:r>
        <w:rPr>
          <w:noProof/>
        </w:rPr>
        <w:t>355</w:t>
      </w:r>
      <w:r>
        <w:rPr>
          <w:noProof/>
        </w:rPr>
        <w:fldChar w:fldCharType="end"/>
      </w:r>
    </w:p>
    <w:p w14:paraId="5921D1BA" w14:textId="4C7E5C9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6—Exemptions from application of Part 7.7A of the Act</w:t>
      </w:r>
      <w:r>
        <w:rPr>
          <w:noProof/>
        </w:rPr>
        <w:tab/>
      </w:r>
      <w:r>
        <w:rPr>
          <w:noProof/>
        </w:rPr>
        <w:fldChar w:fldCharType="begin"/>
      </w:r>
      <w:r>
        <w:rPr>
          <w:noProof/>
        </w:rPr>
        <w:instrText xml:space="preserve"> PAGEREF _Toc158712416 \h </w:instrText>
      </w:r>
      <w:r>
        <w:rPr>
          <w:noProof/>
        </w:rPr>
      </w:r>
      <w:r>
        <w:rPr>
          <w:noProof/>
        </w:rPr>
        <w:fldChar w:fldCharType="separate"/>
      </w:r>
      <w:r>
        <w:rPr>
          <w:noProof/>
        </w:rPr>
        <w:t>356</w:t>
      </w:r>
      <w:r>
        <w:rPr>
          <w:noProof/>
        </w:rPr>
        <w:fldChar w:fldCharType="end"/>
      </w:r>
    </w:p>
    <w:p w14:paraId="0177C390" w14:textId="38B206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7.7A.40  Exemption from application of Part 7.7A of the Act</w:t>
      </w:r>
      <w:r>
        <w:rPr>
          <w:noProof/>
        </w:rPr>
        <w:tab/>
      </w:r>
      <w:r>
        <w:rPr>
          <w:noProof/>
        </w:rPr>
        <w:fldChar w:fldCharType="begin"/>
      </w:r>
      <w:r>
        <w:rPr>
          <w:noProof/>
        </w:rPr>
        <w:instrText xml:space="preserve"> PAGEREF _Toc158712417 \h </w:instrText>
      </w:r>
      <w:r>
        <w:rPr>
          <w:noProof/>
        </w:rPr>
      </w:r>
      <w:r>
        <w:rPr>
          <w:noProof/>
        </w:rPr>
        <w:fldChar w:fldCharType="separate"/>
      </w:r>
      <w:r>
        <w:rPr>
          <w:noProof/>
        </w:rPr>
        <w:t>356</w:t>
      </w:r>
      <w:r>
        <w:rPr>
          <w:noProof/>
        </w:rPr>
        <w:fldChar w:fldCharType="end"/>
      </w:r>
    </w:p>
    <w:p w14:paraId="6A960982" w14:textId="7DD669A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7.8</w:t>
      </w:r>
      <w:r w:rsidRPr="00FC743A">
        <w:rPr>
          <w:noProof/>
          <w:color w:val="000000"/>
        </w:rPr>
        <w:t>—</w:t>
      </w:r>
      <w:r>
        <w:rPr>
          <w:noProof/>
        </w:rPr>
        <w:t>Other provisions relating to conduct etc connected with financial products and financial services, other than financial product disclosure</w:t>
      </w:r>
      <w:r>
        <w:rPr>
          <w:noProof/>
        </w:rPr>
        <w:tab/>
      </w:r>
      <w:r>
        <w:rPr>
          <w:noProof/>
        </w:rPr>
        <w:fldChar w:fldCharType="begin"/>
      </w:r>
      <w:r>
        <w:rPr>
          <w:noProof/>
        </w:rPr>
        <w:instrText xml:space="preserve"> PAGEREF _Toc158712418 \h </w:instrText>
      </w:r>
      <w:r>
        <w:rPr>
          <w:noProof/>
        </w:rPr>
      </w:r>
      <w:r>
        <w:rPr>
          <w:noProof/>
        </w:rPr>
        <w:fldChar w:fldCharType="separate"/>
      </w:r>
      <w:r>
        <w:rPr>
          <w:noProof/>
        </w:rPr>
        <w:t>357</w:t>
      </w:r>
      <w:r>
        <w:rPr>
          <w:noProof/>
        </w:rPr>
        <w:fldChar w:fldCharType="end"/>
      </w:r>
    </w:p>
    <w:p w14:paraId="18F7A1C9" w14:textId="1B661CE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2—Dealing with clients’ money</w:t>
      </w:r>
      <w:r>
        <w:rPr>
          <w:noProof/>
        </w:rPr>
        <w:tab/>
      </w:r>
      <w:r>
        <w:rPr>
          <w:noProof/>
        </w:rPr>
        <w:fldChar w:fldCharType="begin"/>
      </w:r>
      <w:r>
        <w:rPr>
          <w:noProof/>
        </w:rPr>
        <w:instrText xml:space="preserve"> PAGEREF _Toc158712419 \h </w:instrText>
      </w:r>
      <w:r>
        <w:rPr>
          <w:noProof/>
        </w:rPr>
      </w:r>
      <w:r>
        <w:rPr>
          <w:noProof/>
        </w:rPr>
        <w:fldChar w:fldCharType="separate"/>
      </w:r>
      <w:r>
        <w:rPr>
          <w:noProof/>
        </w:rPr>
        <w:t>357</w:t>
      </w:r>
      <w:r>
        <w:rPr>
          <w:noProof/>
        </w:rPr>
        <w:fldChar w:fldCharType="end"/>
      </w:r>
    </w:p>
    <w:p w14:paraId="6F066DFD" w14:textId="7DD4FC2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A—Money other than loans</w:t>
      </w:r>
      <w:r>
        <w:rPr>
          <w:noProof/>
        </w:rPr>
        <w:tab/>
      </w:r>
      <w:r>
        <w:rPr>
          <w:noProof/>
        </w:rPr>
        <w:fldChar w:fldCharType="begin"/>
      </w:r>
      <w:r>
        <w:rPr>
          <w:noProof/>
        </w:rPr>
        <w:instrText xml:space="preserve"> PAGEREF _Toc158712420 \h </w:instrText>
      </w:r>
      <w:r>
        <w:rPr>
          <w:noProof/>
        </w:rPr>
      </w:r>
      <w:r>
        <w:rPr>
          <w:noProof/>
        </w:rPr>
        <w:fldChar w:fldCharType="separate"/>
      </w:r>
      <w:r>
        <w:rPr>
          <w:noProof/>
        </w:rPr>
        <w:t>357</w:t>
      </w:r>
      <w:r>
        <w:rPr>
          <w:noProof/>
        </w:rPr>
        <w:fldChar w:fldCharType="end"/>
      </w:r>
    </w:p>
    <w:p w14:paraId="64B6782C" w14:textId="5007244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7.8.01A  Wholesale client money</w:t>
      </w:r>
      <w:r>
        <w:rPr>
          <w:noProof/>
        </w:rPr>
        <w:tab/>
      </w:r>
      <w:r>
        <w:rPr>
          <w:noProof/>
        </w:rPr>
        <w:fldChar w:fldCharType="begin"/>
      </w:r>
      <w:r>
        <w:rPr>
          <w:noProof/>
        </w:rPr>
        <w:instrText xml:space="preserve"> PAGEREF _Toc158712421 \h </w:instrText>
      </w:r>
      <w:r>
        <w:rPr>
          <w:noProof/>
        </w:rPr>
      </w:r>
      <w:r>
        <w:rPr>
          <w:noProof/>
        </w:rPr>
        <w:fldChar w:fldCharType="separate"/>
      </w:r>
      <w:r>
        <w:rPr>
          <w:noProof/>
        </w:rPr>
        <w:t>357</w:t>
      </w:r>
      <w:r>
        <w:rPr>
          <w:noProof/>
        </w:rPr>
        <w:fldChar w:fldCharType="end"/>
      </w:r>
    </w:p>
    <w:p w14:paraId="472D142A" w14:textId="14EAC78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7.8.01  Obligation to pay money into an account</w:t>
      </w:r>
      <w:r>
        <w:rPr>
          <w:noProof/>
        </w:rPr>
        <w:tab/>
      </w:r>
      <w:r>
        <w:rPr>
          <w:noProof/>
        </w:rPr>
        <w:fldChar w:fldCharType="begin"/>
      </w:r>
      <w:r>
        <w:rPr>
          <w:noProof/>
        </w:rPr>
        <w:instrText xml:space="preserve"> PAGEREF _Toc158712422 \h </w:instrText>
      </w:r>
      <w:r>
        <w:rPr>
          <w:noProof/>
        </w:rPr>
      </w:r>
      <w:r>
        <w:rPr>
          <w:noProof/>
        </w:rPr>
        <w:fldChar w:fldCharType="separate"/>
      </w:r>
      <w:r>
        <w:rPr>
          <w:noProof/>
        </w:rPr>
        <w:t>357</w:t>
      </w:r>
      <w:r>
        <w:rPr>
          <w:noProof/>
        </w:rPr>
        <w:fldChar w:fldCharType="end"/>
      </w:r>
    </w:p>
    <w:p w14:paraId="276B637B" w14:textId="15C133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7.8.02  Accounts maintained for section 981B of the Act</w:t>
      </w:r>
      <w:r>
        <w:rPr>
          <w:noProof/>
        </w:rPr>
        <w:tab/>
      </w:r>
      <w:r>
        <w:rPr>
          <w:noProof/>
        </w:rPr>
        <w:fldChar w:fldCharType="begin"/>
      </w:r>
      <w:r>
        <w:rPr>
          <w:noProof/>
        </w:rPr>
        <w:instrText xml:space="preserve"> PAGEREF _Toc158712423 \h </w:instrText>
      </w:r>
      <w:r>
        <w:rPr>
          <w:noProof/>
        </w:rPr>
      </w:r>
      <w:r>
        <w:rPr>
          <w:noProof/>
        </w:rPr>
        <w:fldChar w:fldCharType="separate"/>
      </w:r>
      <w:r>
        <w:rPr>
          <w:noProof/>
        </w:rPr>
        <w:t>359</w:t>
      </w:r>
      <w:r>
        <w:rPr>
          <w:noProof/>
        </w:rPr>
        <w:fldChar w:fldCharType="end"/>
      </w:r>
    </w:p>
    <w:p w14:paraId="5DD41F74" w14:textId="0F079F3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7.8.02A  Accounts maintained for the purposes of section 981B of the Act—special rules for retail clients</w:t>
      </w:r>
      <w:r>
        <w:rPr>
          <w:noProof/>
        </w:rPr>
        <w:tab/>
      </w:r>
      <w:r>
        <w:rPr>
          <w:noProof/>
        </w:rPr>
        <w:fldChar w:fldCharType="begin"/>
      </w:r>
      <w:r>
        <w:rPr>
          <w:noProof/>
        </w:rPr>
        <w:instrText xml:space="preserve"> PAGEREF _Toc158712424 \h </w:instrText>
      </w:r>
      <w:r>
        <w:rPr>
          <w:noProof/>
        </w:rPr>
      </w:r>
      <w:r>
        <w:rPr>
          <w:noProof/>
        </w:rPr>
        <w:fldChar w:fldCharType="separate"/>
      </w:r>
      <w:r>
        <w:rPr>
          <w:noProof/>
        </w:rPr>
        <w:t>361</w:t>
      </w:r>
      <w:r>
        <w:rPr>
          <w:noProof/>
        </w:rPr>
        <w:fldChar w:fldCharType="end"/>
      </w:r>
    </w:p>
    <w:p w14:paraId="2DC780B4" w14:textId="4F7CDA4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7.8.03  How money to be dealt with if licensee ceases to be licensed etc</w:t>
      </w:r>
      <w:r>
        <w:rPr>
          <w:noProof/>
        </w:rPr>
        <w:tab/>
      </w:r>
      <w:r>
        <w:rPr>
          <w:noProof/>
        </w:rPr>
        <w:fldChar w:fldCharType="begin"/>
      </w:r>
      <w:r>
        <w:rPr>
          <w:noProof/>
        </w:rPr>
        <w:instrText xml:space="preserve"> PAGEREF _Toc158712425 \h </w:instrText>
      </w:r>
      <w:r>
        <w:rPr>
          <w:noProof/>
        </w:rPr>
      </w:r>
      <w:r>
        <w:rPr>
          <w:noProof/>
        </w:rPr>
        <w:fldChar w:fldCharType="separate"/>
      </w:r>
      <w:r>
        <w:rPr>
          <w:noProof/>
        </w:rPr>
        <w:t>361</w:t>
      </w:r>
      <w:r>
        <w:rPr>
          <w:noProof/>
        </w:rPr>
        <w:fldChar w:fldCharType="end"/>
      </w:r>
    </w:p>
    <w:p w14:paraId="59A151E1" w14:textId="3C6CCEE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7.8.04  Money to which Subdivision A of Division 2 of Part 7.8 of the Act applies taken to be held in trust: breach of financial services law</w:t>
      </w:r>
      <w:r>
        <w:rPr>
          <w:noProof/>
        </w:rPr>
        <w:tab/>
      </w:r>
      <w:r>
        <w:rPr>
          <w:noProof/>
        </w:rPr>
        <w:fldChar w:fldCharType="begin"/>
      </w:r>
      <w:r>
        <w:rPr>
          <w:noProof/>
        </w:rPr>
        <w:instrText xml:space="preserve"> PAGEREF _Toc158712426 \h </w:instrText>
      </w:r>
      <w:r>
        <w:rPr>
          <w:noProof/>
        </w:rPr>
      </w:r>
      <w:r>
        <w:rPr>
          <w:noProof/>
        </w:rPr>
        <w:fldChar w:fldCharType="separate"/>
      </w:r>
      <w:r>
        <w:rPr>
          <w:noProof/>
        </w:rPr>
        <w:t>362</w:t>
      </w:r>
      <w:r>
        <w:rPr>
          <w:noProof/>
        </w:rPr>
        <w:fldChar w:fldCharType="end"/>
      </w:r>
    </w:p>
    <w:p w14:paraId="1CCF1270" w14:textId="4C86380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  Money to which Subdivision A of Division 2 of Part 7.8 of the Act applies taken to be held in trust: risk accepted by insurer</w:t>
      </w:r>
      <w:r>
        <w:rPr>
          <w:noProof/>
        </w:rPr>
        <w:tab/>
      </w:r>
      <w:r>
        <w:rPr>
          <w:noProof/>
        </w:rPr>
        <w:fldChar w:fldCharType="begin"/>
      </w:r>
      <w:r>
        <w:rPr>
          <w:noProof/>
        </w:rPr>
        <w:instrText xml:space="preserve"> PAGEREF _Toc158712427 \h </w:instrText>
      </w:r>
      <w:r>
        <w:rPr>
          <w:noProof/>
        </w:rPr>
      </w:r>
      <w:r>
        <w:rPr>
          <w:noProof/>
        </w:rPr>
        <w:fldChar w:fldCharType="separate"/>
      </w:r>
      <w:r>
        <w:rPr>
          <w:noProof/>
        </w:rPr>
        <w:t>362</w:t>
      </w:r>
      <w:r>
        <w:rPr>
          <w:noProof/>
        </w:rPr>
        <w:fldChar w:fldCharType="end"/>
      </w:r>
    </w:p>
    <w:p w14:paraId="4F03032A" w14:textId="09F48F9E"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AA—Client money reporting rules</w:t>
      </w:r>
      <w:r>
        <w:rPr>
          <w:noProof/>
        </w:rPr>
        <w:tab/>
      </w:r>
      <w:r>
        <w:rPr>
          <w:noProof/>
        </w:rPr>
        <w:fldChar w:fldCharType="begin"/>
      </w:r>
      <w:r>
        <w:rPr>
          <w:noProof/>
        </w:rPr>
        <w:instrText xml:space="preserve"> PAGEREF _Toc158712428 \h </w:instrText>
      </w:r>
      <w:r>
        <w:rPr>
          <w:noProof/>
        </w:rPr>
      </w:r>
      <w:r>
        <w:rPr>
          <w:noProof/>
        </w:rPr>
        <w:fldChar w:fldCharType="separate"/>
      </w:r>
      <w:r>
        <w:rPr>
          <w:noProof/>
        </w:rPr>
        <w:t>362</w:t>
      </w:r>
      <w:r>
        <w:rPr>
          <w:noProof/>
        </w:rPr>
        <w:fldChar w:fldCharType="end"/>
      </w:r>
    </w:p>
    <w:p w14:paraId="419D501A" w14:textId="4E2458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7.8.05A  Definitions for Subdivision AA of Division 2</w:t>
      </w:r>
      <w:r>
        <w:rPr>
          <w:noProof/>
        </w:rPr>
        <w:tab/>
      </w:r>
      <w:r>
        <w:rPr>
          <w:noProof/>
        </w:rPr>
        <w:fldChar w:fldCharType="begin"/>
      </w:r>
      <w:r>
        <w:rPr>
          <w:noProof/>
        </w:rPr>
        <w:instrText xml:space="preserve"> PAGEREF _Toc158712429 \h </w:instrText>
      </w:r>
      <w:r>
        <w:rPr>
          <w:noProof/>
        </w:rPr>
      </w:r>
      <w:r>
        <w:rPr>
          <w:noProof/>
        </w:rPr>
        <w:fldChar w:fldCharType="separate"/>
      </w:r>
      <w:r>
        <w:rPr>
          <w:noProof/>
        </w:rPr>
        <w:t>362</w:t>
      </w:r>
      <w:r>
        <w:rPr>
          <w:noProof/>
        </w:rPr>
        <w:fldChar w:fldCharType="end"/>
      </w:r>
    </w:p>
    <w:p w14:paraId="4B16DA39" w14:textId="0D4C27C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7.8.05B  Enforceable undertakings</w:t>
      </w:r>
      <w:r>
        <w:rPr>
          <w:noProof/>
        </w:rPr>
        <w:tab/>
      </w:r>
      <w:r>
        <w:rPr>
          <w:noProof/>
        </w:rPr>
        <w:fldChar w:fldCharType="begin"/>
      </w:r>
      <w:r>
        <w:rPr>
          <w:noProof/>
        </w:rPr>
        <w:instrText xml:space="preserve"> PAGEREF _Toc158712430 \h </w:instrText>
      </w:r>
      <w:r>
        <w:rPr>
          <w:noProof/>
        </w:rPr>
      </w:r>
      <w:r>
        <w:rPr>
          <w:noProof/>
        </w:rPr>
        <w:fldChar w:fldCharType="separate"/>
      </w:r>
      <w:r>
        <w:rPr>
          <w:noProof/>
        </w:rPr>
        <w:t>362</w:t>
      </w:r>
      <w:r>
        <w:rPr>
          <w:noProof/>
        </w:rPr>
        <w:fldChar w:fldCharType="end"/>
      </w:r>
    </w:p>
    <w:p w14:paraId="46BEA24F" w14:textId="72820A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7.8.05C  Client money reporting infringement notices</w:t>
      </w:r>
      <w:r>
        <w:rPr>
          <w:noProof/>
        </w:rPr>
        <w:tab/>
      </w:r>
      <w:r>
        <w:rPr>
          <w:noProof/>
        </w:rPr>
        <w:fldChar w:fldCharType="begin"/>
      </w:r>
      <w:r>
        <w:rPr>
          <w:noProof/>
        </w:rPr>
        <w:instrText xml:space="preserve"> PAGEREF _Toc158712431 \h </w:instrText>
      </w:r>
      <w:r>
        <w:rPr>
          <w:noProof/>
        </w:rPr>
      </w:r>
      <w:r>
        <w:rPr>
          <w:noProof/>
        </w:rPr>
        <w:fldChar w:fldCharType="separate"/>
      </w:r>
      <w:r>
        <w:rPr>
          <w:noProof/>
        </w:rPr>
        <w:t>363</w:t>
      </w:r>
      <w:r>
        <w:rPr>
          <w:noProof/>
        </w:rPr>
        <w:fldChar w:fldCharType="end"/>
      </w:r>
    </w:p>
    <w:p w14:paraId="1A65963B" w14:textId="6F1216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7.8.05D  Effect of client money reporting infringement notice provisions</w:t>
      </w:r>
      <w:r>
        <w:rPr>
          <w:noProof/>
        </w:rPr>
        <w:tab/>
      </w:r>
      <w:r>
        <w:rPr>
          <w:noProof/>
        </w:rPr>
        <w:fldChar w:fldCharType="begin"/>
      </w:r>
      <w:r>
        <w:rPr>
          <w:noProof/>
        </w:rPr>
        <w:instrText xml:space="preserve"> PAGEREF _Toc158712432 \h </w:instrText>
      </w:r>
      <w:r>
        <w:rPr>
          <w:noProof/>
        </w:rPr>
      </w:r>
      <w:r>
        <w:rPr>
          <w:noProof/>
        </w:rPr>
        <w:fldChar w:fldCharType="separate"/>
      </w:r>
      <w:r>
        <w:rPr>
          <w:noProof/>
        </w:rPr>
        <w:t>363</w:t>
      </w:r>
      <w:r>
        <w:rPr>
          <w:noProof/>
        </w:rPr>
        <w:fldChar w:fldCharType="end"/>
      </w:r>
    </w:p>
    <w:p w14:paraId="46410DA1" w14:textId="750DC9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7.8.05E  Statement of reasons must be given</w:t>
      </w:r>
      <w:r>
        <w:rPr>
          <w:noProof/>
        </w:rPr>
        <w:tab/>
      </w:r>
      <w:r>
        <w:rPr>
          <w:noProof/>
        </w:rPr>
        <w:fldChar w:fldCharType="begin"/>
      </w:r>
      <w:r>
        <w:rPr>
          <w:noProof/>
        </w:rPr>
        <w:instrText xml:space="preserve"> PAGEREF _Toc158712433 \h </w:instrText>
      </w:r>
      <w:r>
        <w:rPr>
          <w:noProof/>
        </w:rPr>
      </w:r>
      <w:r>
        <w:rPr>
          <w:noProof/>
        </w:rPr>
        <w:fldChar w:fldCharType="separate"/>
      </w:r>
      <w:r>
        <w:rPr>
          <w:noProof/>
        </w:rPr>
        <w:t>364</w:t>
      </w:r>
      <w:r>
        <w:rPr>
          <w:noProof/>
        </w:rPr>
        <w:fldChar w:fldCharType="end"/>
      </w:r>
    </w:p>
    <w:p w14:paraId="48B4BC2B" w14:textId="62838E0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7.8.05F  Contents of client money reporting infringement notice</w:t>
      </w:r>
      <w:r>
        <w:rPr>
          <w:noProof/>
        </w:rPr>
        <w:tab/>
      </w:r>
      <w:r>
        <w:rPr>
          <w:noProof/>
        </w:rPr>
        <w:fldChar w:fldCharType="begin"/>
      </w:r>
      <w:r>
        <w:rPr>
          <w:noProof/>
        </w:rPr>
        <w:instrText xml:space="preserve"> PAGEREF _Toc158712434 \h </w:instrText>
      </w:r>
      <w:r>
        <w:rPr>
          <w:noProof/>
        </w:rPr>
      </w:r>
      <w:r>
        <w:rPr>
          <w:noProof/>
        </w:rPr>
        <w:fldChar w:fldCharType="separate"/>
      </w:r>
      <w:r>
        <w:rPr>
          <w:noProof/>
        </w:rPr>
        <w:t>364</w:t>
      </w:r>
      <w:r>
        <w:rPr>
          <w:noProof/>
        </w:rPr>
        <w:fldChar w:fldCharType="end"/>
      </w:r>
    </w:p>
    <w:p w14:paraId="58A39FED" w14:textId="6AF704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7.8.05G  Amount of penalty payable to the Commonwealth</w:t>
      </w:r>
      <w:r>
        <w:rPr>
          <w:noProof/>
        </w:rPr>
        <w:tab/>
      </w:r>
      <w:r>
        <w:rPr>
          <w:noProof/>
        </w:rPr>
        <w:fldChar w:fldCharType="begin"/>
      </w:r>
      <w:r>
        <w:rPr>
          <w:noProof/>
        </w:rPr>
        <w:instrText xml:space="preserve"> PAGEREF _Toc158712435 \h </w:instrText>
      </w:r>
      <w:r>
        <w:rPr>
          <w:noProof/>
        </w:rPr>
      </w:r>
      <w:r>
        <w:rPr>
          <w:noProof/>
        </w:rPr>
        <w:fldChar w:fldCharType="separate"/>
      </w:r>
      <w:r>
        <w:rPr>
          <w:noProof/>
        </w:rPr>
        <w:t>365</w:t>
      </w:r>
      <w:r>
        <w:rPr>
          <w:noProof/>
        </w:rPr>
        <w:fldChar w:fldCharType="end"/>
      </w:r>
    </w:p>
    <w:p w14:paraId="183B2CEE" w14:textId="3C0809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7.8.05H  Compliance with </w:t>
      </w:r>
      <w:r w:rsidRPr="00FC743A">
        <w:rPr>
          <w:noProof/>
          <w:color w:val="000000"/>
        </w:rPr>
        <w:t xml:space="preserve">client money reporting </w:t>
      </w:r>
      <w:r>
        <w:rPr>
          <w:noProof/>
        </w:rPr>
        <w:t>infringement notice</w:t>
      </w:r>
      <w:r>
        <w:rPr>
          <w:noProof/>
        </w:rPr>
        <w:tab/>
      </w:r>
      <w:r>
        <w:rPr>
          <w:noProof/>
        </w:rPr>
        <w:fldChar w:fldCharType="begin"/>
      </w:r>
      <w:r>
        <w:rPr>
          <w:noProof/>
        </w:rPr>
        <w:instrText xml:space="preserve"> PAGEREF _Toc158712436 \h </w:instrText>
      </w:r>
      <w:r>
        <w:rPr>
          <w:noProof/>
        </w:rPr>
      </w:r>
      <w:r>
        <w:rPr>
          <w:noProof/>
        </w:rPr>
        <w:fldChar w:fldCharType="separate"/>
      </w:r>
      <w:r>
        <w:rPr>
          <w:noProof/>
        </w:rPr>
        <w:t>365</w:t>
      </w:r>
      <w:r>
        <w:rPr>
          <w:noProof/>
        </w:rPr>
        <w:fldChar w:fldCharType="end"/>
      </w:r>
    </w:p>
    <w:p w14:paraId="3137542B" w14:textId="594BDC4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7.8.05J  Extension of </w:t>
      </w:r>
      <w:r w:rsidRPr="00FC743A">
        <w:rPr>
          <w:noProof/>
          <w:color w:val="000000"/>
        </w:rPr>
        <w:t xml:space="preserve">client money reporting </w:t>
      </w:r>
      <w:r>
        <w:rPr>
          <w:noProof/>
        </w:rPr>
        <w:t>infringement notice period</w:t>
      </w:r>
      <w:r>
        <w:rPr>
          <w:noProof/>
        </w:rPr>
        <w:tab/>
      </w:r>
      <w:r>
        <w:rPr>
          <w:noProof/>
        </w:rPr>
        <w:fldChar w:fldCharType="begin"/>
      </w:r>
      <w:r>
        <w:rPr>
          <w:noProof/>
        </w:rPr>
        <w:instrText xml:space="preserve"> PAGEREF _Toc158712437 \h </w:instrText>
      </w:r>
      <w:r>
        <w:rPr>
          <w:noProof/>
        </w:rPr>
      </w:r>
      <w:r>
        <w:rPr>
          <w:noProof/>
        </w:rPr>
        <w:fldChar w:fldCharType="separate"/>
      </w:r>
      <w:r>
        <w:rPr>
          <w:noProof/>
        </w:rPr>
        <w:t>365</w:t>
      </w:r>
      <w:r>
        <w:rPr>
          <w:noProof/>
        </w:rPr>
        <w:fldChar w:fldCharType="end"/>
      </w:r>
    </w:p>
    <w:p w14:paraId="32A4C7D2" w14:textId="4B76B6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7.8.05K  Effect of compliance with </w:t>
      </w:r>
      <w:r w:rsidRPr="00FC743A">
        <w:rPr>
          <w:noProof/>
          <w:color w:val="000000"/>
        </w:rPr>
        <w:t xml:space="preserve">client money reporting </w:t>
      </w:r>
      <w:r>
        <w:rPr>
          <w:noProof/>
        </w:rPr>
        <w:t>infringement notice</w:t>
      </w:r>
      <w:r>
        <w:rPr>
          <w:noProof/>
        </w:rPr>
        <w:tab/>
      </w:r>
      <w:r>
        <w:rPr>
          <w:noProof/>
        </w:rPr>
        <w:fldChar w:fldCharType="begin"/>
      </w:r>
      <w:r>
        <w:rPr>
          <w:noProof/>
        </w:rPr>
        <w:instrText xml:space="preserve"> PAGEREF _Toc158712438 \h </w:instrText>
      </w:r>
      <w:r>
        <w:rPr>
          <w:noProof/>
        </w:rPr>
      </w:r>
      <w:r>
        <w:rPr>
          <w:noProof/>
        </w:rPr>
        <w:fldChar w:fldCharType="separate"/>
      </w:r>
      <w:r>
        <w:rPr>
          <w:noProof/>
        </w:rPr>
        <w:t>366</w:t>
      </w:r>
      <w:r>
        <w:rPr>
          <w:noProof/>
        </w:rPr>
        <w:fldChar w:fldCharType="end"/>
      </w:r>
    </w:p>
    <w:p w14:paraId="769280BA" w14:textId="67EEEF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7.8.05L  Application to withdraw </w:t>
      </w:r>
      <w:r w:rsidRPr="00FC743A">
        <w:rPr>
          <w:noProof/>
          <w:color w:val="000000"/>
        </w:rPr>
        <w:t xml:space="preserve">client money reporting </w:t>
      </w:r>
      <w:r>
        <w:rPr>
          <w:noProof/>
        </w:rPr>
        <w:t>infringement notice</w:t>
      </w:r>
      <w:r>
        <w:rPr>
          <w:noProof/>
        </w:rPr>
        <w:tab/>
      </w:r>
      <w:r>
        <w:rPr>
          <w:noProof/>
        </w:rPr>
        <w:fldChar w:fldCharType="begin"/>
      </w:r>
      <w:r>
        <w:rPr>
          <w:noProof/>
        </w:rPr>
        <w:instrText xml:space="preserve"> PAGEREF _Toc158712439 \h </w:instrText>
      </w:r>
      <w:r>
        <w:rPr>
          <w:noProof/>
        </w:rPr>
      </w:r>
      <w:r>
        <w:rPr>
          <w:noProof/>
        </w:rPr>
        <w:fldChar w:fldCharType="separate"/>
      </w:r>
      <w:r>
        <w:rPr>
          <w:noProof/>
        </w:rPr>
        <w:t>366</w:t>
      </w:r>
      <w:r>
        <w:rPr>
          <w:noProof/>
        </w:rPr>
        <w:fldChar w:fldCharType="end"/>
      </w:r>
    </w:p>
    <w:p w14:paraId="6D615DAC" w14:textId="364487B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7.8.05M  Withdrawal of </w:t>
      </w:r>
      <w:r w:rsidRPr="00FC743A">
        <w:rPr>
          <w:noProof/>
          <w:color w:val="000000"/>
        </w:rPr>
        <w:t xml:space="preserve">client money reporting </w:t>
      </w:r>
      <w:r>
        <w:rPr>
          <w:noProof/>
        </w:rPr>
        <w:t>infringement notice by ASIC</w:t>
      </w:r>
      <w:r>
        <w:rPr>
          <w:noProof/>
        </w:rPr>
        <w:tab/>
      </w:r>
      <w:r>
        <w:rPr>
          <w:noProof/>
        </w:rPr>
        <w:fldChar w:fldCharType="begin"/>
      </w:r>
      <w:r>
        <w:rPr>
          <w:noProof/>
        </w:rPr>
        <w:instrText xml:space="preserve"> PAGEREF _Toc158712440 \h </w:instrText>
      </w:r>
      <w:r>
        <w:rPr>
          <w:noProof/>
        </w:rPr>
      </w:r>
      <w:r>
        <w:rPr>
          <w:noProof/>
        </w:rPr>
        <w:fldChar w:fldCharType="separate"/>
      </w:r>
      <w:r>
        <w:rPr>
          <w:noProof/>
        </w:rPr>
        <w:t>367</w:t>
      </w:r>
      <w:r>
        <w:rPr>
          <w:noProof/>
        </w:rPr>
        <w:fldChar w:fldCharType="end"/>
      </w:r>
    </w:p>
    <w:p w14:paraId="4B53844C" w14:textId="21FBF6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7.8.05N  Notice of withdrawal of </w:t>
      </w:r>
      <w:r w:rsidRPr="00FC743A">
        <w:rPr>
          <w:noProof/>
          <w:color w:val="000000"/>
        </w:rPr>
        <w:t xml:space="preserve">client money reporting </w:t>
      </w:r>
      <w:r>
        <w:rPr>
          <w:noProof/>
        </w:rPr>
        <w:t>infringement notice</w:t>
      </w:r>
      <w:r>
        <w:rPr>
          <w:noProof/>
        </w:rPr>
        <w:tab/>
      </w:r>
      <w:r>
        <w:rPr>
          <w:noProof/>
        </w:rPr>
        <w:fldChar w:fldCharType="begin"/>
      </w:r>
      <w:r>
        <w:rPr>
          <w:noProof/>
        </w:rPr>
        <w:instrText xml:space="preserve"> PAGEREF _Toc158712441 \h </w:instrText>
      </w:r>
      <w:r>
        <w:rPr>
          <w:noProof/>
        </w:rPr>
      </w:r>
      <w:r>
        <w:rPr>
          <w:noProof/>
        </w:rPr>
        <w:fldChar w:fldCharType="separate"/>
      </w:r>
      <w:r>
        <w:rPr>
          <w:noProof/>
        </w:rPr>
        <w:t>367</w:t>
      </w:r>
      <w:r>
        <w:rPr>
          <w:noProof/>
        </w:rPr>
        <w:fldChar w:fldCharType="end"/>
      </w:r>
    </w:p>
    <w:p w14:paraId="5E073857" w14:textId="09A860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7.8.05P  Withdrawal of notice after compliance</w:t>
      </w:r>
      <w:r>
        <w:rPr>
          <w:noProof/>
        </w:rPr>
        <w:tab/>
      </w:r>
      <w:r>
        <w:rPr>
          <w:noProof/>
        </w:rPr>
        <w:fldChar w:fldCharType="begin"/>
      </w:r>
      <w:r>
        <w:rPr>
          <w:noProof/>
        </w:rPr>
        <w:instrText xml:space="preserve"> PAGEREF _Toc158712442 \h </w:instrText>
      </w:r>
      <w:r>
        <w:rPr>
          <w:noProof/>
        </w:rPr>
      </w:r>
      <w:r>
        <w:rPr>
          <w:noProof/>
        </w:rPr>
        <w:fldChar w:fldCharType="separate"/>
      </w:r>
      <w:r>
        <w:rPr>
          <w:noProof/>
        </w:rPr>
        <w:t>367</w:t>
      </w:r>
      <w:r>
        <w:rPr>
          <w:noProof/>
        </w:rPr>
        <w:fldChar w:fldCharType="end"/>
      </w:r>
    </w:p>
    <w:p w14:paraId="56094E8D" w14:textId="39202BF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7.8.05Q  Publication of details of </w:t>
      </w:r>
      <w:r w:rsidRPr="00FC743A">
        <w:rPr>
          <w:noProof/>
          <w:color w:val="000000"/>
        </w:rPr>
        <w:t>client money reporting</w:t>
      </w:r>
      <w:r>
        <w:rPr>
          <w:noProof/>
        </w:rPr>
        <w:t xml:space="preserve"> infringement notice</w:t>
      </w:r>
      <w:r>
        <w:rPr>
          <w:noProof/>
        </w:rPr>
        <w:tab/>
      </w:r>
      <w:r>
        <w:rPr>
          <w:noProof/>
        </w:rPr>
        <w:fldChar w:fldCharType="begin"/>
      </w:r>
      <w:r>
        <w:rPr>
          <w:noProof/>
        </w:rPr>
        <w:instrText xml:space="preserve"> PAGEREF _Toc158712443 \h </w:instrText>
      </w:r>
      <w:r>
        <w:rPr>
          <w:noProof/>
        </w:rPr>
      </w:r>
      <w:r>
        <w:rPr>
          <w:noProof/>
        </w:rPr>
        <w:fldChar w:fldCharType="separate"/>
      </w:r>
      <w:r>
        <w:rPr>
          <w:noProof/>
        </w:rPr>
        <w:t>367</w:t>
      </w:r>
      <w:r>
        <w:rPr>
          <w:noProof/>
        </w:rPr>
        <w:fldChar w:fldCharType="end"/>
      </w:r>
    </w:p>
    <w:p w14:paraId="3E17551C" w14:textId="7CDD535C"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B—Loan money</w:t>
      </w:r>
      <w:r>
        <w:rPr>
          <w:noProof/>
        </w:rPr>
        <w:tab/>
      </w:r>
      <w:r>
        <w:rPr>
          <w:noProof/>
        </w:rPr>
        <w:fldChar w:fldCharType="begin"/>
      </w:r>
      <w:r>
        <w:rPr>
          <w:noProof/>
        </w:rPr>
        <w:instrText xml:space="preserve"> PAGEREF _Toc158712444 \h </w:instrText>
      </w:r>
      <w:r>
        <w:rPr>
          <w:noProof/>
        </w:rPr>
      </w:r>
      <w:r>
        <w:rPr>
          <w:noProof/>
        </w:rPr>
        <w:fldChar w:fldCharType="separate"/>
      </w:r>
      <w:r>
        <w:rPr>
          <w:noProof/>
        </w:rPr>
        <w:t>368</w:t>
      </w:r>
      <w:r>
        <w:rPr>
          <w:noProof/>
        </w:rPr>
        <w:fldChar w:fldCharType="end"/>
      </w:r>
    </w:p>
    <w:p w14:paraId="2028DD81" w14:textId="41094A3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7.8.06  Statement setting out terms of loan etc</w:t>
      </w:r>
      <w:r>
        <w:rPr>
          <w:noProof/>
        </w:rPr>
        <w:tab/>
      </w:r>
      <w:r>
        <w:rPr>
          <w:noProof/>
        </w:rPr>
        <w:fldChar w:fldCharType="begin"/>
      </w:r>
      <w:r>
        <w:rPr>
          <w:noProof/>
        </w:rPr>
        <w:instrText xml:space="preserve"> PAGEREF _Toc158712445 \h </w:instrText>
      </w:r>
      <w:r>
        <w:rPr>
          <w:noProof/>
        </w:rPr>
      </w:r>
      <w:r>
        <w:rPr>
          <w:noProof/>
        </w:rPr>
        <w:fldChar w:fldCharType="separate"/>
      </w:r>
      <w:r>
        <w:rPr>
          <w:noProof/>
        </w:rPr>
        <w:t>368</w:t>
      </w:r>
      <w:r>
        <w:rPr>
          <w:noProof/>
        </w:rPr>
        <w:fldChar w:fldCharType="end"/>
      </w:r>
    </w:p>
    <w:p w14:paraId="5AC65888" w14:textId="606AB62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3—Dealing with other property of clients</w:t>
      </w:r>
      <w:r>
        <w:rPr>
          <w:noProof/>
        </w:rPr>
        <w:tab/>
      </w:r>
      <w:r>
        <w:rPr>
          <w:noProof/>
        </w:rPr>
        <w:fldChar w:fldCharType="begin"/>
      </w:r>
      <w:r>
        <w:rPr>
          <w:noProof/>
        </w:rPr>
        <w:instrText xml:space="preserve"> PAGEREF _Toc158712446 \h </w:instrText>
      </w:r>
      <w:r>
        <w:rPr>
          <w:noProof/>
        </w:rPr>
      </w:r>
      <w:r>
        <w:rPr>
          <w:noProof/>
        </w:rPr>
        <w:fldChar w:fldCharType="separate"/>
      </w:r>
      <w:r>
        <w:rPr>
          <w:noProof/>
        </w:rPr>
        <w:t>369</w:t>
      </w:r>
      <w:r>
        <w:rPr>
          <w:noProof/>
        </w:rPr>
        <w:fldChar w:fldCharType="end"/>
      </w:r>
    </w:p>
    <w:p w14:paraId="063F3BDE" w14:textId="3E9AF2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7.8.06A  Property exempt from Division 3 of Part 7.8 of the Act</w:t>
      </w:r>
      <w:r>
        <w:rPr>
          <w:noProof/>
        </w:rPr>
        <w:tab/>
      </w:r>
      <w:r>
        <w:rPr>
          <w:noProof/>
        </w:rPr>
        <w:fldChar w:fldCharType="begin"/>
      </w:r>
      <w:r>
        <w:rPr>
          <w:noProof/>
        </w:rPr>
        <w:instrText xml:space="preserve"> PAGEREF _Toc158712447 \h </w:instrText>
      </w:r>
      <w:r>
        <w:rPr>
          <w:noProof/>
        </w:rPr>
      </w:r>
      <w:r>
        <w:rPr>
          <w:noProof/>
        </w:rPr>
        <w:fldChar w:fldCharType="separate"/>
      </w:r>
      <w:r>
        <w:rPr>
          <w:noProof/>
        </w:rPr>
        <w:t>369</w:t>
      </w:r>
      <w:r>
        <w:rPr>
          <w:noProof/>
        </w:rPr>
        <w:fldChar w:fldCharType="end"/>
      </w:r>
    </w:p>
    <w:p w14:paraId="42E85AB0" w14:textId="7FA7B6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7.8.06B  Wholesale client property</w:t>
      </w:r>
      <w:r>
        <w:rPr>
          <w:noProof/>
        </w:rPr>
        <w:tab/>
      </w:r>
      <w:r>
        <w:rPr>
          <w:noProof/>
        </w:rPr>
        <w:fldChar w:fldCharType="begin"/>
      </w:r>
      <w:r>
        <w:rPr>
          <w:noProof/>
        </w:rPr>
        <w:instrText xml:space="preserve"> PAGEREF _Toc158712448 \h </w:instrText>
      </w:r>
      <w:r>
        <w:rPr>
          <w:noProof/>
        </w:rPr>
      </w:r>
      <w:r>
        <w:rPr>
          <w:noProof/>
        </w:rPr>
        <w:fldChar w:fldCharType="separate"/>
      </w:r>
      <w:r>
        <w:rPr>
          <w:noProof/>
        </w:rPr>
        <w:t>369</w:t>
      </w:r>
      <w:r>
        <w:rPr>
          <w:noProof/>
        </w:rPr>
        <w:fldChar w:fldCharType="end"/>
      </w:r>
    </w:p>
    <w:p w14:paraId="66EBDDC3" w14:textId="51B68F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7.8.07  How property to which Division 3 of Part 7.8 of the Act to be dealt with</w:t>
      </w:r>
      <w:r>
        <w:rPr>
          <w:noProof/>
        </w:rPr>
        <w:tab/>
      </w:r>
      <w:r>
        <w:rPr>
          <w:noProof/>
        </w:rPr>
        <w:fldChar w:fldCharType="begin"/>
      </w:r>
      <w:r>
        <w:rPr>
          <w:noProof/>
        </w:rPr>
        <w:instrText xml:space="preserve"> PAGEREF _Toc158712449 \h </w:instrText>
      </w:r>
      <w:r>
        <w:rPr>
          <w:noProof/>
        </w:rPr>
      </w:r>
      <w:r>
        <w:rPr>
          <w:noProof/>
        </w:rPr>
        <w:fldChar w:fldCharType="separate"/>
      </w:r>
      <w:r>
        <w:rPr>
          <w:noProof/>
        </w:rPr>
        <w:t>369</w:t>
      </w:r>
      <w:r>
        <w:rPr>
          <w:noProof/>
        </w:rPr>
        <w:fldChar w:fldCharType="end"/>
      </w:r>
    </w:p>
    <w:p w14:paraId="01A77B27" w14:textId="323BB79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4—Special provisions relating to insurance</w:t>
      </w:r>
      <w:r>
        <w:rPr>
          <w:noProof/>
        </w:rPr>
        <w:tab/>
      </w:r>
      <w:r>
        <w:rPr>
          <w:noProof/>
        </w:rPr>
        <w:fldChar w:fldCharType="begin"/>
      </w:r>
      <w:r>
        <w:rPr>
          <w:noProof/>
        </w:rPr>
        <w:instrText xml:space="preserve"> PAGEREF _Toc158712450 \h </w:instrText>
      </w:r>
      <w:r>
        <w:rPr>
          <w:noProof/>
        </w:rPr>
      </w:r>
      <w:r>
        <w:rPr>
          <w:noProof/>
        </w:rPr>
        <w:fldChar w:fldCharType="separate"/>
      </w:r>
      <w:r>
        <w:rPr>
          <w:noProof/>
        </w:rPr>
        <w:t>371</w:t>
      </w:r>
      <w:r>
        <w:rPr>
          <w:noProof/>
        </w:rPr>
        <w:fldChar w:fldCharType="end"/>
      </w:r>
    </w:p>
    <w:p w14:paraId="112C3D92" w14:textId="5363C0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7.8.08  Debts of financial services licensee in relation to premiums etc</w:t>
      </w:r>
      <w:r>
        <w:rPr>
          <w:noProof/>
        </w:rPr>
        <w:tab/>
      </w:r>
      <w:r>
        <w:rPr>
          <w:noProof/>
        </w:rPr>
        <w:fldChar w:fldCharType="begin"/>
      </w:r>
      <w:r>
        <w:rPr>
          <w:noProof/>
        </w:rPr>
        <w:instrText xml:space="preserve"> PAGEREF _Toc158712451 \h </w:instrText>
      </w:r>
      <w:r>
        <w:rPr>
          <w:noProof/>
        </w:rPr>
      </w:r>
      <w:r>
        <w:rPr>
          <w:noProof/>
        </w:rPr>
        <w:fldChar w:fldCharType="separate"/>
      </w:r>
      <w:r>
        <w:rPr>
          <w:noProof/>
        </w:rPr>
        <w:t>371</w:t>
      </w:r>
      <w:r>
        <w:rPr>
          <w:noProof/>
        </w:rPr>
        <w:fldChar w:fldCharType="end"/>
      </w:r>
    </w:p>
    <w:p w14:paraId="6942B892" w14:textId="147ECFD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4A—Special provisions relating to margin lending facilities</w:t>
      </w:r>
      <w:r>
        <w:rPr>
          <w:noProof/>
        </w:rPr>
        <w:tab/>
      </w:r>
      <w:r>
        <w:rPr>
          <w:noProof/>
        </w:rPr>
        <w:fldChar w:fldCharType="begin"/>
      </w:r>
      <w:r>
        <w:rPr>
          <w:noProof/>
        </w:rPr>
        <w:instrText xml:space="preserve"> PAGEREF _Toc158712452 \h </w:instrText>
      </w:r>
      <w:r>
        <w:rPr>
          <w:noProof/>
        </w:rPr>
      </w:r>
      <w:r>
        <w:rPr>
          <w:noProof/>
        </w:rPr>
        <w:fldChar w:fldCharType="separate"/>
      </w:r>
      <w:r>
        <w:rPr>
          <w:noProof/>
        </w:rPr>
        <w:t>374</w:t>
      </w:r>
      <w:r>
        <w:rPr>
          <w:noProof/>
        </w:rPr>
        <w:fldChar w:fldCharType="end"/>
      </w:r>
    </w:p>
    <w:p w14:paraId="3FAF96AA" w14:textId="445E9CB6"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A—Responsible lending conduct for margin lending facilities</w:t>
      </w:r>
      <w:r>
        <w:rPr>
          <w:noProof/>
        </w:rPr>
        <w:tab/>
      </w:r>
      <w:r>
        <w:rPr>
          <w:noProof/>
        </w:rPr>
        <w:fldChar w:fldCharType="begin"/>
      </w:r>
      <w:r>
        <w:rPr>
          <w:noProof/>
        </w:rPr>
        <w:instrText xml:space="preserve"> PAGEREF _Toc158712453 \h </w:instrText>
      </w:r>
      <w:r>
        <w:rPr>
          <w:noProof/>
        </w:rPr>
      </w:r>
      <w:r>
        <w:rPr>
          <w:noProof/>
        </w:rPr>
        <w:fldChar w:fldCharType="separate"/>
      </w:r>
      <w:r>
        <w:rPr>
          <w:noProof/>
        </w:rPr>
        <w:t>374</w:t>
      </w:r>
      <w:r>
        <w:rPr>
          <w:noProof/>
        </w:rPr>
        <w:fldChar w:fldCharType="end"/>
      </w:r>
    </w:p>
    <w:p w14:paraId="4E33BCD7" w14:textId="55A79AA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7.8.08A  Limit of margin lending facility taken to be increased</w:t>
      </w:r>
      <w:r>
        <w:rPr>
          <w:noProof/>
        </w:rPr>
        <w:tab/>
      </w:r>
      <w:r>
        <w:rPr>
          <w:noProof/>
        </w:rPr>
        <w:fldChar w:fldCharType="begin"/>
      </w:r>
      <w:r>
        <w:rPr>
          <w:noProof/>
        </w:rPr>
        <w:instrText xml:space="preserve"> PAGEREF _Toc158712454 \h </w:instrText>
      </w:r>
      <w:r>
        <w:rPr>
          <w:noProof/>
        </w:rPr>
      </w:r>
      <w:r>
        <w:rPr>
          <w:noProof/>
        </w:rPr>
        <w:fldChar w:fldCharType="separate"/>
      </w:r>
      <w:r>
        <w:rPr>
          <w:noProof/>
        </w:rPr>
        <w:t>374</w:t>
      </w:r>
      <w:r>
        <w:rPr>
          <w:noProof/>
        </w:rPr>
        <w:fldChar w:fldCharType="end"/>
      </w:r>
    </w:p>
    <w:p w14:paraId="31E07014" w14:textId="582BAFC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7.8.08B  Exemption from requirement to make unsuitability assessment</w:t>
      </w:r>
      <w:r>
        <w:rPr>
          <w:noProof/>
        </w:rPr>
        <w:tab/>
      </w:r>
      <w:r>
        <w:rPr>
          <w:noProof/>
        </w:rPr>
        <w:fldChar w:fldCharType="begin"/>
      </w:r>
      <w:r>
        <w:rPr>
          <w:noProof/>
        </w:rPr>
        <w:instrText xml:space="preserve"> PAGEREF _Toc158712455 \h </w:instrText>
      </w:r>
      <w:r>
        <w:rPr>
          <w:noProof/>
        </w:rPr>
      </w:r>
      <w:r>
        <w:rPr>
          <w:noProof/>
        </w:rPr>
        <w:fldChar w:fldCharType="separate"/>
      </w:r>
      <w:r>
        <w:rPr>
          <w:noProof/>
        </w:rPr>
        <w:t>375</w:t>
      </w:r>
      <w:r>
        <w:rPr>
          <w:noProof/>
        </w:rPr>
        <w:fldChar w:fldCharType="end"/>
      </w:r>
    </w:p>
    <w:p w14:paraId="0A387F4B" w14:textId="28E0F7C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7.8.09  Reasonable inquiries etc about retail client: inquiries</w:t>
      </w:r>
      <w:r>
        <w:rPr>
          <w:noProof/>
        </w:rPr>
        <w:tab/>
      </w:r>
      <w:r>
        <w:rPr>
          <w:noProof/>
        </w:rPr>
        <w:fldChar w:fldCharType="begin"/>
      </w:r>
      <w:r>
        <w:rPr>
          <w:noProof/>
        </w:rPr>
        <w:instrText xml:space="preserve"> PAGEREF _Toc158712456 \h </w:instrText>
      </w:r>
      <w:r>
        <w:rPr>
          <w:noProof/>
        </w:rPr>
      </w:r>
      <w:r>
        <w:rPr>
          <w:noProof/>
        </w:rPr>
        <w:fldChar w:fldCharType="separate"/>
      </w:r>
      <w:r>
        <w:rPr>
          <w:noProof/>
        </w:rPr>
        <w:t>375</w:t>
      </w:r>
      <w:r>
        <w:rPr>
          <w:noProof/>
        </w:rPr>
        <w:fldChar w:fldCharType="end"/>
      </w:r>
    </w:p>
    <w:p w14:paraId="3478136C" w14:textId="3B39D7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7.8.09A  Modification of section 985G of the Act</w:t>
      </w:r>
      <w:r>
        <w:rPr>
          <w:noProof/>
        </w:rPr>
        <w:tab/>
      </w:r>
      <w:r>
        <w:rPr>
          <w:noProof/>
        </w:rPr>
        <w:fldChar w:fldCharType="begin"/>
      </w:r>
      <w:r>
        <w:rPr>
          <w:noProof/>
        </w:rPr>
        <w:instrText xml:space="preserve"> PAGEREF _Toc158712457 \h </w:instrText>
      </w:r>
      <w:r>
        <w:rPr>
          <w:noProof/>
        </w:rPr>
      </w:r>
      <w:r>
        <w:rPr>
          <w:noProof/>
        </w:rPr>
        <w:fldChar w:fldCharType="separate"/>
      </w:r>
      <w:r>
        <w:rPr>
          <w:noProof/>
        </w:rPr>
        <w:t>375</w:t>
      </w:r>
      <w:r>
        <w:rPr>
          <w:noProof/>
        </w:rPr>
        <w:fldChar w:fldCharType="end"/>
      </w:r>
    </w:p>
    <w:p w14:paraId="7D8DF265" w14:textId="2CD12F2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7.8.10  Circumstances in which margin lending facility is unsuitable</w:t>
      </w:r>
      <w:r>
        <w:rPr>
          <w:noProof/>
        </w:rPr>
        <w:tab/>
      </w:r>
      <w:r>
        <w:rPr>
          <w:noProof/>
        </w:rPr>
        <w:fldChar w:fldCharType="begin"/>
      </w:r>
      <w:r>
        <w:rPr>
          <w:noProof/>
        </w:rPr>
        <w:instrText xml:space="preserve"> PAGEREF _Toc158712458 \h </w:instrText>
      </w:r>
      <w:r>
        <w:rPr>
          <w:noProof/>
        </w:rPr>
      </w:r>
      <w:r>
        <w:rPr>
          <w:noProof/>
        </w:rPr>
        <w:fldChar w:fldCharType="separate"/>
      </w:r>
      <w:r>
        <w:rPr>
          <w:noProof/>
        </w:rPr>
        <w:t>376</w:t>
      </w:r>
      <w:r>
        <w:rPr>
          <w:noProof/>
        </w:rPr>
        <w:fldChar w:fldCharType="end"/>
      </w:r>
    </w:p>
    <w:p w14:paraId="4998F691" w14:textId="3870455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7.8.10A  Margin lending facility taken not to be unsuitable</w:t>
      </w:r>
      <w:r>
        <w:rPr>
          <w:noProof/>
        </w:rPr>
        <w:tab/>
      </w:r>
      <w:r>
        <w:rPr>
          <w:noProof/>
        </w:rPr>
        <w:fldChar w:fldCharType="begin"/>
      </w:r>
      <w:r>
        <w:rPr>
          <w:noProof/>
        </w:rPr>
        <w:instrText xml:space="preserve"> PAGEREF _Toc158712459 \h </w:instrText>
      </w:r>
      <w:r>
        <w:rPr>
          <w:noProof/>
        </w:rPr>
      </w:r>
      <w:r>
        <w:rPr>
          <w:noProof/>
        </w:rPr>
        <w:fldChar w:fldCharType="separate"/>
      </w:r>
      <w:r>
        <w:rPr>
          <w:noProof/>
        </w:rPr>
        <w:t>376</w:t>
      </w:r>
      <w:r>
        <w:rPr>
          <w:noProof/>
        </w:rPr>
        <w:fldChar w:fldCharType="end"/>
      </w:r>
    </w:p>
    <w:p w14:paraId="0C37E57B" w14:textId="2274B60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6—Financial records, statements and audit</w:t>
      </w:r>
      <w:r>
        <w:rPr>
          <w:noProof/>
        </w:rPr>
        <w:tab/>
      </w:r>
      <w:r>
        <w:rPr>
          <w:noProof/>
        </w:rPr>
        <w:fldChar w:fldCharType="begin"/>
      </w:r>
      <w:r>
        <w:rPr>
          <w:noProof/>
        </w:rPr>
        <w:instrText xml:space="preserve"> PAGEREF _Toc158712460 \h </w:instrText>
      </w:r>
      <w:r>
        <w:rPr>
          <w:noProof/>
        </w:rPr>
      </w:r>
      <w:r>
        <w:rPr>
          <w:noProof/>
        </w:rPr>
        <w:fldChar w:fldCharType="separate"/>
      </w:r>
      <w:r>
        <w:rPr>
          <w:noProof/>
        </w:rPr>
        <w:t>377</w:t>
      </w:r>
      <w:r>
        <w:rPr>
          <w:noProof/>
        </w:rPr>
        <w:fldChar w:fldCharType="end"/>
      </w:r>
    </w:p>
    <w:p w14:paraId="576B5A20" w14:textId="060192BD"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B—Financial records of financial services licensees</w:t>
      </w:r>
      <w:r>
        <w:rPr>
          <w:noProof/>
        </w:rPr>
        <w:tab/>
      </w:r>
      <w:r>
        <w:rPr>
          <w:noProof/>
        </w:rPr>
        <w:fldChar w:fldCharType="begin"/>
      </w:r>
      <w:r>
        <w:rPr>
          <w:noProof/>
        </w:rPr>
        <w:instrText xml:space="preserve"> PAGEREF _Toc158712461 \h </w:instrText>
      </w:r>
      <w:r>
        <w:rPr>
          <w:noProof/>
        </w:rPr>
      </w:r>
      <w:r>
        <w:rPr>
          <w:noProof/>
        </w:rPr>
        <w:fldChar w:fldCharType="separate"/>
      </w:r>
      <w:r>
        <w:rPr>
          <w:noProof/>
        </w:rPr>
        <w:t>377</w:t>
      </w:r>
      <w:r>
        <w:rPr>
          <w:noProof/>
        </w:rPr>
        <w:fldChar w:fldCharType="end"/>
      </w:r>
    </w:p>
    <w:p w14:paraId="4C6D718A" w14:textId="3BEA897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7.8.11  Particular categories of information to be shown in records</w:t>
      </w:r>
      <w:r>
        <w:rPr>
          <w:noProof/>
        </w:rPr>
        <w:tab/>
      </w:r>
      <w:r>
        <w:rPr>
          <w:noProof/>
        </w:rPr>
        <w:fldChar w:fldCharType="begin"/>
      </w:r>
      <w:r>
        <w:rPr>
          <w:noProof/>
        </w:rPr>
        <w:instrText xml:space="preserve"> PAGEREF _Toc158712462 \h </w:instrText>
      </w:r>
      <w:r>
        <w:rPr>
          <w:noProof/>
        </w:rPr>
      </w:r>
      <w:r>
        <w:rPr>
          <w:noProof/>
        </w:rPr>
        <w:fldChar w:fldCharType="separate"/>
      </w:r>
      <w:r>
        <w:rPr>
          <w:noProof/>
        </w:rPr>
        <w:t>377</w:t>
      </w:r>
      <w:r>
        <w:rPr>
          <w:noProof/>
        </w:rPr>
        <w:fldChar w:fldCharType="end"/>
      </w:r>
    </w:p>
    <w:p w14:paraId="1DA994E6" w14:textId="06463E8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7.8.11A  Particular categories of information to be shown in records: records of non</w:t>
      </w:r>
      <w:r>
        <w:rPr>
          <w:noProof/>
        </w:rPr>
        <w:noBreakHyphen/>
        <w:t>monetary benefit that is not conflicted remuneration</w:t>
      </w:r>
      <w:r>
        <w:rPr>
          <w:noProof/>
        </w:rPr>
        <w:tab/>
      </w:r>
      <w:r>
        <w:rPr>
          <w:noProof/>
        </w:rPr>
        <w:fldChar w:fldCharType="begin"/>
      </w:r>
      <w:r>
        <w:rPr>
          <w:noProof/>
        </w:rPr>
        <w:instrText xml:space="preserve"> PAGEREF _Toc158712463 \h </w:instrText>
      </w:r>
      <w:r>
        <w:rPr>
          <w:noProof/>
        </w:rPr>
      </w:r>
      <w:r>
        <w:rPr>
          <w:noProof/>
        </w:rPr>
        <w:fldChar w:fldCharType="separate"/>
      </w:r>
      <w:r>
        <w:rPr>
          <w:noProof/>
        </w:rPr>
        <w:t>377</w:t>
      </w:r>
      <w:r>
        <w:rPr>
          <w:noProof/>
        </w:rPr>
        <w:fldChar w:fldCharType="end"/>
      </w:r>
    </w:p>
    <w:p w14:paraId="0DC20643" w14:textId="5573C2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7.8.11B  Information to be shown in records: records of rebates in relation to conflicted remuneration</w:t>
      </w:r>
      <w:r>
        <w:rPr>
          <w:noProof/>
        </w:rPr>
        <w:tab/>
      </w:r>
      <w:r>
        <w:rPr>
          <w:noProof/>
        </w:rPr>
        <w:fldChar w:fldCharType="begin"/>
      </w:r>
      <w:r>
        <w:rPr>
          <w:noProof/>
        </w:rPr>
        <w:instrText xml:space="preserve"> PAGEREF _Toc158712464 \h </w:instrText>
      </w:r>
      <w:r>
        <w:rPr>
          <w:noProof/>
        </w:rPr>
      </w:r>
      <w:r>
        <w:rPr>
          <w:noProof/>
        </w:rPr>
        <w:fldChar w:fldCharType="separate"/>
      </w:r>
      <w:r>
        <w:rPr>
          <w:noProof/>
        </w:rPr>
        <w:t>378</w:t>
      </w:r>
      <w:r>
        <w:rPr>
          <w:noProof/>
        </w:rPr>
        <w:fldChar w:fldCharType="end"/>
      </w:r>
    </w:p>
    <w:p w14:paraId="6776EF7C" w14:textId="7000943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7.8.12  Requirements in relation to financial records of financial services licensees</w:t>
      </w:r>
      <w:r>
        <w:rPr>
          <w:noProof/>
        </w:rPr>
        <w:tab/>
      </w:r>
      <w:r>
        <w:rPr>
          <w:noProof/>
        </w:rPr>
        <w:fldChar w:fldCharType="begin"/>
      </w:r>
      <w:r>
        <w:rPr>
          <w:noProof/>
        </w:rPr>
        <w:instrText xml:space="preserve"> PAGEREF _Toc158712465 \h </w:instrText>
      </w:r>
      <w:r>
        <w:rPr>
          <w:noProof/>
        </w:rPr>
      </w:r>
      <w:r>
        <w:rPr>
          <w:noProof/>
        </w:rPr>
        <w:fldChar w:fldCharType="separate"/>
      </w:r>
      <w:r>
        <w:rPr>
          <w:noProof/>
        </w:rPr>
        <w:t>378</w:t>
      </w:r>
      <w:r>
        <w:rPr>
          <w:noProof/>
        </w:rPr>
        <w:fldChar w:fldCharType="end"/>
      </w:r>
    </w:p>
    <w:p w14:paraId="58CE5C42" w14:textId="1E6F58F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C—Financial statements of financial services licensees</w:t>
      </w:r>
      <w:r>
        <w:rPr>
          <w:noProof/>
        </w:rPr>
        <w:tab/>
      </w:r>
      <w:r>
        <w:rPr>
          <w:noProof/>
        </w:rPr>
        <w:fldChar w:fldCharType="begin"/>
      </w:r>
      <w:r>
        <w:rPr>
          <w:noProof/>
        </w:rPr>
        <w:instrText xml:space="preserve"> PAGEREF _Toc158712466 \h </w:instrText>
      </w:r>
      <w:r>
        <w:rPr>
          <w:noProof/>
        </w:rPr>
      </w:r>
      <w:r>
        <w:rPr>
          <w:noProof/>
        </w:rPr>
        <w:fldChar w:fldCharType="separate"/>
      </w:r>
      <w:r>
        <w:rPr>
          <w:noProof/>
        </w:rPr>
        <w:t>379</w:t>
      </w:r>
      <w:r>
        <w:rPr>
          <w:noProof/>
        </w:rPr>
        <w:fldChar w:fldCharType="end"/>
      </w:r>
    </w:p>
    <w:p w14:paraId="7FB6459C" w14:textId="4457ED0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7.8.12A  Modification of section 989B of the Act</w:t>
      </w:r>
      <w:r>
        <w:rPr>
          <w:noProof/>
        </w:rPr>
        <w:tab/>
      </w:r>
      <w:r>
        <w:rPr>
          <w:noProof/>
        </w:rPr>
        <w:fldChar w:fldCharType="begin"/>
      </w:r>
      <w:r>
        <w:rPr>
          <w:noProof/>
        </w:rPr>
        <w:instrText xml:space="preserve"> PAGEREF _Toc158712467 \h </w:instrText>
      </w:r>
      <w:r>
        <w:rPr>
          <w:noProof/>
        </w:rPr>
      </w:r>
      <w:r>
        <w:rPr>
          <w:noProof/>
        </w:rPr>
        <w:fldChar w:fldCharType="separate"/>
      </w:r>
      <w:r>
        <w:rPr>
          <w:noProof/>
        </w:rPr>
        <w:t>379</w:t>
      </w:r>
      <w:r>
        <w:rPr>
          <w:noProof/>
        </w:rPr>
        <w:fldChar w:fldCharType="end"/>
      </w:r>
    </w:p>
    <w:p w14:paraId="0E99789F" w14:textId="544C26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7.8.13  Auditor’s report with annual profit and loss statement and balance sheet</w:t>
      </w:r>
      <w:r>
        <w:rPr>
          <w:noProof/>
        </w:rPr>
        <w:tab/>
      </w:r>
      <w:r>
        <w:rPr>
          <w:noProof/>
        </w:rPr>
        <w:fldChar w:fldCharType="begin"/>
      </w:r>
      <w:r>
        <w:rPr>
          <w:noProof/>
        </w:rPr>
        <w:instrText xml:space="preserve"> PAGEREF _Toc158712468 \h </w:instrText>
      </w:r>
      <w:r>
        <w:rPr>
          <w:noProof/>
        </w:rPr>
      </w:r>
      <w:r>
        <w:rPr>
          <w:noProof/>
        </w:rPr>
        <w:fldChar w:fldCharType="separate"/>
      </w:r>
      <w:r>
        <w:rPr>
          <w:noProof/>
        </w:rPr>
        <w:t>380</w:t>
      </w:r>
      <w:r>
        <w:rPr>
          <w:noProof/>
        </w:rPr>
        <w:fldChar w:fldCharType="end"/>
      </w:r>
    </w:p>
    <w:p w14:paraId="30B5247C" w14:textId="1D5FDED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7.8.13A  Compliance certificate with profit and loss statement and balance sheet</w:t>
      </w:r>
      <w:r>
        <w:rPr>
          <w:noProof/>
        </w:rPr>
        <w:tab/>
      </w:r>
      <w:r>
        <w:rPr>
          <w:noProof/>
        </w:rPr>
        <w:fldChar w:fldCharType="begin"/>
      </w:r>
      <w:r>
        <w:rPr>
          <w:noProof/>
        </w:rPr>
        <w:instrText xml:space="preserve"> PAGEREF _Toc158712469 \h </w:instrText>
      </w:r>
      <w:r>
        <w:rPr>
          <w:noProof/>
        </w:rPr>
      </w:r>
      <w:r>
        <w:rPr>
          <w:noProof/>
        </w:rPr>
        <w:fldChar w:fldCharType="separate"/>
      </w:r>
      <w:r>
        <w:rPr>
          <w:noProof/>
        </w:rPr>
        <w:t>380</w:t>
      </w:r>
      <w:r>
        <w:rPr>
          <w:noProof/>
        </w:rPr>
        <w:fldChar w:fldCharType="end"/>
      </w:r>
    </w:p>
    <w:p w14:paraId="30456FC8" w14:textId="36DAE7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7.8.14  Contents of annual profit and loss statement and balance sheet and applicable accounting procedures</w:t>
      </w:r>
      <w:r>
        <w:rPr>
          <w:noProof/>
        </w:rPr>
        <w:tab/>
      </w:r>
      <w:r>
        <w:rPr>
          <w:noProof/>
        </w:rPr>
        <w:fldChar w:fldCharType="begin"/>
      </w:r>
      <w:r>
        <w:rPr>
          <w:noProof/>
        </w:rPr>
        <w:instrText xml:space="preserve"> PAGEREF _Toc158712470 \h </w:instrText>
      </w:r>
      <w:r>
        <w:rPr>
          <w:noProof/>
        </w:rPr>
      </w:r>
      <w:r>
        <w:rPr>
          <w:noProof/>
        </w:rPr>
        <w:fldChar w:fldCharType="separate"/>
      </w:r>
      <w:r>
        <w:rPr>
          <w:noProof/>
        </w:rPr>
        <w:t>380</w:t>
      </w:r>
      <w:r>
        <w:rPr>
          <w:noProof/>
        </w:rPr>
        <w:fldChar w:fldCharType="end"/>
      </w:r>
    </w:p>
    <w:p w14:paraId="72DE111D" w14:textId="795E53A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7.8.14A  Lodgement of annual profit and loss statement and balance sheet</w:t>
      </w:r>
      <w:r>
        <w:rPr>
          <w:noProof/>
        </w:rPr>
        <w:tab/>
      </w:r>
      <w:r>
        <w:rPr>
          <w:noProof/>
        </w:rPr>
        <w:fldChar w:fldCharType="begin"/>
      </w:r>
      <w:r>
        <w:rPr>
          <w:noProof/>
        </w:rPr>
        <w:instrText xml:space="preserve"> PAGEREF _Toc158712471 \h </w:instrText>
      </w:r>
      <w:r>
        <w:rPr>
          <w:noProof/>
        </w:rPr>
      </w:r>
      <w:r>
        <w:rPr>
          <w:noProof/>
        </w:rPr>
        <w:fldChar w:fldCharType="separate"/>
      </w:r>
      <w:r>
        <w:rPr>
          <w:noProof/>
        </w:rPr>
        <w:t>380</w:t>
      </w:r>
      <w:r>
        <w:rPr>
          <w:noProof/>
        </w:rPr>
        <w:fldChar w:fldCharType="end"/>
      </w:r>
    </w:p>
    <w:p w14:paraId="4C436DFC" w14:textId="433F890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D—Appointment etc. of auditors</w:t>
      </w:r>
      <w:r>
        <w:rPr>
          <w:noProof/>
        </w:rPr>
        <w:tab/>
      </w:r>
      <w:r>
        <w:rPr>
          <w:noProof/>
        </w:rPr>
        <w:fldChar w:fldCharType="begin"/>
      </w:r>
      <w:r>
        <w:rPr>
          <w:noProof/>
        </w:rPr>
        <w:instrText xml:space="preserve"> PAGEREF _Toc158712472 \h </w:instrText>
      </w:r>
      <w:r>
        <w:rPr>
          <w:noProof/>
        </w:rPr>
      </w:r>
      <w:r>
        <w:rPr>
          <w:noProof/>
        </w:rPr>
        <w:fldChar w:fldCharType="separate"/>
      </w:r>
      <w:r>
        <w:rPr>
          <w:noProof/>
        </w:rPr>
        <w:t>381</w:t>
      </w:r>
      <w:r>
        <w:rPr>
          <w:noProof/>
        </w:rPr>
        <w:fldChar w:fldCharType="end"/>
      </w:r>
    </w:p>
    <w:p w14:paraId="51DF3E7A" w14:textId="5EE6138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7.8.14B  Modification of section 990B of the Act</w:t>
      </w:r>
      <w:r>
        <w:rPr>
          <w:noProof/>
        </w:rPr>
        <w:tab/>
      </w:r>
      <w:r>
        <w:rPr>
          <w:noProof/>
        </w:rPr>
        <w:fldChar w:fldCharType="begin"/>
      </w:r>
      <w:r>
        <w:rPr>
          <w:noProof/>
        </w:rPr>
        <w:instrText xml:space="preserve"> PAGEREF _Toc158712473 \h </w:instrText>
      </w:r>
      <w:r>
        <w:rPr>
          <w:noProof/>
        </w:rPr>
      </w:r>
      <w:r>
        <w:rPr>
          <w:noProof/>
        </w:rPr>
        <w:fldChar w:fldCharType="separate"/>
      </w:r>
      <w:r>
        <w:rPr>
          <w:noProof/>
        </w:rPr>
        <w:t>381</w:t>
      </w:r>
      <w:r>
        <w:rPr>
          <w:noProof/>
        </w:rPr>
        <w:fldChar w:fldCharType="end"/>
      </w:r>
    </w:p>
    <w:p w14:paraId="7C6CB7AB" w14:textId="1BE3768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7.8.15  Appointment of auditor by financial services licensee</w:t>
      </w:r>
      <w:r>
        <w:rPr>
          <w:noProof/>
        </w:rPr>
        <w:tab/>
      </w:r>
      <w:r>
        <w:rPr>
          <w:noProof/>
        </w:rPr>
        <w:fldChar w:fldCharType="begin"/>
      </w:r>
      <w:r>
        <w:rPr>
          <w:noProof/>
        </w:rPr>
        <w:instrText xml:space="preserve"> PAGEREF _Toc158712474 \h </w:instrText>
      </w:r>
      <w:r>
        <w:rPr>
          <w:noProof/>
        </w:rPr>
      </w:r>
      <w:r>
        <w:rPr>
          <w:noProof/>
        </w:rPr>
        <w:fldChar w:fldCharType="separate"/>
      </w:r>
      <w:r>
        <w:rPr>
          <w:noProof/>
        </w:rPr>
        <w:t>381</w:t>
      </w:r>
      <w:r>
        <w:rPr>
          <w:noProof/>
        </w:rPr>
        <w:fldChar w:fldCharType="end"/>
      </w:r>
    </w:p>
    <w:p w14:paraId="71CF03CB" w14:textId="51F36D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7.8.16  When person is ineligible to act as auditor of financial services licensee</w:t>
      </w:r>
      <w:r>
        <w:rPr>
          <w:noProof/>
        </w:rPr>
        <w:tab/>
      </w:r>
      <w:r>
        <w:rPr>
          <w:noProof/>
        </w:rPr>
        <w:fldChar w:fldCharType="begin"/>
      </w:r>
      <w:r>
        <w:rPr>
          <w:noProof/>
        </w:rPr>
        <w:instrText xml:space="preserve"> PAGEREF _Toc158712475 \h </w:instrText>
      </w:r>
      <w:r>
        <w:rPr>
          <w:noProof/>
        </w:rPr>
      </w:r>
      <w:r>
        <w:rPr>
          <w:noProof/>
        </w:rPr>
        <w:fldChar w:fldCharType="separate"/>
      </w:r>
      <w:r>
        <w:rPr>
          <w:noProof/>
        </w:rPr>
        <w:t>382</w:t>
      </w:r>
      <w:r>
        <w:rPr>
          <w:noProof/>
        </w:rPr>
        <w:fldChar w:fldCharType="end"/>
      </w:r>
    </w:p>
    <w:p w14:paraId="2DD17982" w14:textId="58C7F00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7—Other rules about conduct</w:t>
      </w:r>
      <w:r>
        <w:rPr>
          <w:noProof/>
        </w:rPr>
        <w:tab/>
      </w:r>
      <w:r>
        <w:rPr>
          <w:noProof/>
        </w:rPr>
        <w:fldChar w:fldCharType="begin"/>
      </w:r>
      <w:r>
        <w:rPr>
          <w:noProof/>
        </w:rPr>
        <w:instrText xml:space="preserve"> PAGEREF _Toc158712476 \h </w:instrText>
      </w:r>
      <w:r>
        <w:rPr>
          <w:noProof/>
        </w:rPr>
      </w:r>
      <w:r>
        <w:rPr>
          <w:noProof/>
        </w:rPr>
        <w:fldChar w:fldCharType="separate"/>
      </w:r>
      <w:r>
        <w:rPr>
          <w:noProof/>
        </w:rPr>
        <w:t>385</w:t>
      </w:r>
      <w:r>
        <w:rPr>
          <w:noProof/>
        </w:rPr>
        <w:fldChar w:fldCharType="end"/>
      </w:r>
    </w:p>
    <w:p w14:paraId="582F4651" w14:textId="0774253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7.8.17  Priority to clients’ orders</w:t>
      </w:r>
      <w:r>
        <w:rPr>
          <w:noProof/>
        </w:rPr>
        <w:tab/>
      </w:r>
      <w:r>
        <w:rPr>
          <w:noProof/>
        </w:rPr>
        <w:fldChar w:fldCharType="begin"/>
      </w:r>
      <w:r>
        <w:rPr>
          <w:noProof/>
        </w:rPr>
        <w:instrText xml:space="preserve"> PAGEREF _Toc158712477 \h </w:instrText>
      </w:r>
      <w:r>
        <w:rPr>
          <w:noProof/>
        </w:rPr>
      </w:r>
      <w:r>
        <w:rPr>
          <w:noProof/>
        </w:rPr>
        <w:fldChar w:fldCharType="separate"/>
      </w:r>
      <w:r>
        <w:rPr>
          <w:noProof/>
        </w:rPr>
        <w:t>385</w:t>
      </w:r>
      <w:r>
        <w:rPr>
          <w:noProof/>
        </w:rPr>
        <w:fldChar w:fldCharType="end"/>
      </w:r>
    </w:p>
    <w:p w14:paraId="28A98651" w14:textId="1D1BF7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7.8.18  Instructions to deal through licensed markets</w:t>
      </w:r>
      <w:r>
        <w:rPr>
          <w:noProof/>
        </w:rPr>
        <w:tab/>
      </w:r>
      <w:r>
        <w:rPr>
          <w:noProof/>
        </w:rPr>
        <w:fldChar w:fldCharType="begin"/>
      </w:r>
      <w:r>
        <w:rPr>
          <w:noProof/>
        </w:rPr>
        <w:instrText xml:space="preserve"> PAGEREF _Toc158712478 \h </w:instrText>
      </w:r>
      <w:r>
        <w:rPr>
          <w:noProof/>
        </w:rPr>
      </w:r>
      <w:r>
        <w:rPr>
          <w:noProof/>
        </w:rPr>
        <w:fldChar w:fldCharType="separate"/>
      </w:r>
      <w:r>
        <w:rPr>
          <w:noProof/>
        </w:rPr>
        <w:t>385</w:t>
      </w:r>
      <w:r>
        <w:rPr>
          <w:noProof/>
        </w:rPr>
        <w:fldChar w:fldCharType="end"/>
      </w:r>
    </w:p>
    <w:p w14:paraId="0A9292B1" w14:textId="7D3E21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7.8.19  Records of instructions to deal on licensed markets and foreign markets</w:t>
      </w:r>
      <w:r>
        <w:rPr>
          <w:noProof/>
        </w:rPr>
        <w:tab/>
      </w:r>
      <w:r>
        <w:rPr>
          <w:noProof/>
        </w:rPr>
        <w:fldChar w:fldCharType="begin"/>
      </w:r>
      <w:r>
        <w:rPr>
          <w:noProof/>
        </w:rPr>
        <w:instrText xml:space="preserve"> PAGEREF _Toc158712479 \h </w:instrText>
      </w:r>
      <w:r>
        <w:rPr>
          <w:noProof/>
        </w:rPr>
      </w:r>
      <w:r>
        <w:rPr>
          <w:noProof/>
        </w:rPr>
        <w:fldChar w:fldCharType="separate"/>
      </w:r>
      <w:r>
        <w:rPr>
          <w:noProof/>
        </w:rPr>
        <w:t>386</w:t>
      </w:r>
      <w:r>
        <w:rPr>
          <w:noProof/>
        </w:rPr>
        <w:fldChar w:fldCharType="end"/>
      </w:r>
    </w:p>
    <w:p w14:paraId="34124BCB" w14:textId="722CAD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7.8.20  Dealings with non</w:t>
      </w:r>
      <w:r>
        <w:rPr>
          <w:noProof/>
        </w:rPr>
        <w:noBreakHyphen/>
        <w:t>licensees</w:t>
      </w:r>
      <w:r>
        <w:rPr>
          <w:noProof/>
        </w:rPr>
        <w:tab/>
      </w:r>
      <w:r>
        <w:rPr>
          <w:noProof/>
        </w:rPr>
        <w:fldChar w:fldCharType="begin"/>
      </w:r>
      <w:r>
        <w:rPr>
          <w:noProof/>
        </w:rPr>
        <w:instrText xml:space="preserve"> PAGEREF _Toc158712480 \h </w:instrText>
      </w:r>
      <w:r>
        <w:rPr>
          <w:noProof/>
        </w:rPr>
      </w:r>
      <w:r>
        <w:rPr>
          <w:noProof/>
        </w:rPr>
        <w:fldChar w:fldCharType="separate"/>
      </w:r>
      <w:r>
        <w:rPr>
          <w:noProof/>
        </w:rPr>
        <w:t>386</w:t>
      </w:r>
      <w:r>
        <w:rPr>
          <w:noProof/>
        </w:rPr>
        <w:fldChar w:fldCharType="end"/>
      </w:r>
    </w:p>
    <w:p w14:paraId="3CF28D21" w14:textId="208C46C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7.8.20A  Dealings involving employees of financial service licensees—risk insurance products</w:t>
      </w:r>
      <w:r>
        <w:rPr>
          <w:noProof/>
        </w:rPr>
        <w:tab/>
      </w:r>
      <w:r>
        <w:rPr>
          <w:noProof/>
        </w:rPr>
        <w:fldChar w:fldCharType="begin"/>
      </w:r>
      <w:r>
        <w:rPr>
          <w:noProof/>
        </w:rPr>
        <w:instrText xml:space="preserve"> PAGEREF _Toc158712481 \h </w:instrText>
      </w:r>
      <w:r>
        <w:rPr>
          <w:noProof/>
        </w:rPr>
      </w:r>
      <w:r>
        <w:rPr>
          <w:noProof/>
        </w:rPr>
        <w:fldChar w:fldCharType="separate"/>
      </w:r>
      <w:r>
        <w:rPr>
          <w:noProof/>
        </w:rPr>
        <w:t>388</w:t>
      </w:r>
      <w:r>
        <w:rPr>
          <w:noProof/>
        </w:rPr>
        <w:fldChar w:fldCharType="end"/>
      </w:r>
    </w:p>
    <w:p w14:paraId="401CF16C" w14:textId="686984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7.8.21  Dealings involving employees of financial services licensees</w:t>
      </w:r>
      <w:r>
        <w:rPr>
          <w:noProof/>
        </w:rPr>
        <w:tab/>
      </w:r>
      <w:r>
        <w:rPr>
          <w:noProof/>
        </w:rPr>
        <w:fldChar w:fldCharType="begin"/>
      </w:r>
      <w:r>
        <w:rPr>
          <w:noProof/>
        </w:rPr>
        <w:instrText xml:space="preserve"> PAGEREF _Toc158712482 \h </w:instrText>
      </w:r>
      <w:r>
        <w:rPr>
          <w:noProof/>
        </w:rPr>
      </w:r>
      <w:r>
        <w:rPr>
          <w:noProof/>
        </w:rPr>
        <w:fldChar w:fldCharType="separate"/>
      </w:r>
      <w:r>
        <w:rPr>
          <w:noProof/>
        </w:rPr>
        <w:t>388</w:t>
      </w:r>
      <w:r>
        <w:rPr>
          <w:noProof/>
        </w:rPr>
        <w:fldChar w:fldCharType="end"/>
      </w:r>
    </w:p>
    <w:p w14:paraId="31668C2F" w14:textId="16A906A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8—Miscellaneous</w:t>
      </w:r>
      <w:r>
        <w:rPr>
          <w:noProof/>
        </w:rPr>
        <w:tab/>
      </w:r>
      <w:r>
        <w:rPr>
          <w:noProof/>
        </w:rPr>
        <w:fldChar w:fldCharType="begin"/>
      </w:r>
      <w:r>
        <w:rPr>
          <w:noProof/>
        </w:rPr>
        <w:instrText xml:space="preserve"> PAGEREF _Toc158712483 \h </w:instrText>
      </w:r>
      <w:r>
        <w:rPr>
          <w:noProof/>
        </w:rPr>
      </w:r>
      <w:r>
        <w:rPr>
          <w:noProof/>
        </w:rPr>
        <w:fldChar w:fldCharType="separate"/>
      </w:r>
      <w:r>
        <w:rPr>
          <w:noProof/>
        </w:rPr>
        <w:t>390</w:t>
      </w:r>
      <w:r>
        <w:rPr>
          <w:noProof/>
        </w:rPr>
        <w:fldChar w:fldCharType="end"/>
      </w:r>
    </w:p>
    <w:p w14:paraId="461CB9A5" w14:textId="24C35B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7.8.21A  Exceptions to prohibition on hawking of financial products</w:t>
      </w:r>
      <w:r>
        <w:rPr>
          <w:noProof/>
        </w:rPr>
        <w:tab/>
      </w:r>
      <w:r>
        <w:rPr>
          <w:noProof/>
        </w:rPr>
        <w:fldChar w:fldCharType="begin"/>
      </w:r>
      <w:r>
        <w:rPr>
          <w:noProof/>
        </w:rPr>
        <w:instrText xml:space="preserve"> PAGEREF _Toc158712484 \h </w:instrText>
      </w:r>
      <w:r>
        <w:rPr>
          <w:noProof/>
        </w:rPr>
      </w:r>
      <w:r>
        <w:rPr>
          <w:noProof/>
        </w:rPr>
        <w:fldChar w:fldCharType="separate"/>
      </w:r>
      <w:r>
        <w:rPr>
          <w:noProof/>
        </w:rPr>
        <w:t>390</w:t>
      </w:r>
      <w:r>
        <w:rPr>
          <w:noProof/>
        </w:rPr>
        <w:fldChar w:fldCharType="end"/>
      </w:r>
    </w:p>
    <w:p w14:paraId="570ACF39" w14:textId="09C0F2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7.8.23  Return of financial product: transfer between superannuation entities or RSAs</w:t>
      </w:r>
      <w:r>
        <w:rPr>
          <w:noProof/>
        </w:rPr>
        <w:tab/>
      </w:r>
      <w:r>
        <w:rPr>
          <w:noProof/>
        </w:rPr>
        <w:fldChar w:fldCharType="begin"/>
      </w:r>
      <w:r>
        <w:rPr>
          <w:noProof/>
        </w:rPr>
        <w:instrText xml:space="preserve"> PAGEREF _Toc158712485 \h </w:instrText>
      </w:r>
      <w:r>
        <w:rPr>
          <w:noProof/>
        </w:rPr>
      </w:r>
      <w:r>
        <w:rPr>
          <w:noProof/>
        </w:rPr>
        <w:fldChar w:fldCharType="separate"/>
      </w:r>
      <w:r>
        <w:rPr>
          <w:noProof/>
        </w:rPr>
        <w:t>390</w:t>
      </w:r>
      <w:r>
        <w:rPr>
          <w:noProof/>
        </w:rPr>
        <w:fldChar w:fldCharType="end"/>
      </w:r>
    </w:p>
    <w:p w14:paraId="54BCA735" w14:textId="24CAB17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7.8.24  Right of return not to apply</w:t>
      </w:r>
      <w:r>
        <w:rPr>
          <w:noProof/>
        </w:rPr>
        <w:tab/>
      </w:r>
      <w:r>
        <w:rPr>
          <w:noProof/>
        </w:rPr>
        <w:fldChar w:fldCharType="begin"/>
      </w:r>
      <w:r>
        <w:rPr>
          <w:noProof/>
        </w:rPr>
        <w:instrText xml:space="preserve"> PAGEREF _Toc158712486 \h </w:instrText>
      </w:r>
      <w:r>
        <w:rPr>
          <w:noProof/>
        </w:rPr>
      </w:r>
      <w:r>
        <w:rPr>
          <w:noProof/>
        </w:rPr>
        <w:fldChar w:fldCharType="separate"/>
      </w:r>
      <w:r>
        <w:rPr>
          <w:noProof/>
        </w:rPr>
        <w:t>391</w:t>
      </w:r>
      <w:r>
        <w:rPr>
          <w:noProof/>
        </w:rPr>
        <w:fldChar w:fldCharType="end"/>
      </w:r>
    </w:p>
    <w:p w14:paraId="64676C80" w14:textId="65A094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7.8.25  Variation of amount to be repaid</w:t>
      </w:r>
      <w:r>
        <w:rPr>
          <w:noProof/>
        </w:rPr>
        <w:tab/>
      </w:r>
      <w:r>
        <w:rPr>
          <w:noProof/>
        </w:rPr>
        <w:fldChar w:fldCharType="begin"/>
      </w:r>
      <w:r>
        <w:rPr>
          <w:noProof/>
        </w:rPr>
        <w:instrText xml:space="preserve"> PAGEREF _Toc158712487 \h </w:instrText>
      </w:r>
      <w:r>
        <w:rPr>
          <w:noProof/>
        </w:rPr>
      </w:r>
      <w:r>
        <w:rPr>
          <w:noProof/>
        </w:rPr>
        <w:fldChar w:fldCharType="separate"/>
      </w:r>
      <w:r>
        <w:rPr>
          <w:noProof/>
        </w:rPr>
        <w:t>391</w:t>
      </w:r>
      <w:r>
        <w:rPr>
          <w:noProof/>
        </w:rPr>
        <w:fldChar w:fldCharType="end"/>
      </w:r>
    </w:p>
    <w:p w14:paraId="6EBA58F1" w14:textId="193E70B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7.8A—Design and distribution requirements relating to financial products for retail clients</w:t>
      </w:r>
      <w:r>
        <w:rPr>
          <w:noProof/>
        </w:rPr>
        <w:tab/>
      </w:r>
      <w:r>
        <w:rPr>
          <w:noProof/>
        </w:rPr>
        <w:fldChar w:fldCharType="begin"/>
      </w:r>
      <w:r>
        <w:rPr>
          <w:noProof/>
        </w:rPr>
        <w:instrText xml:space="preserve"> PAGEREF _Toc158712488 \h </w:instrText>
      </w:r>
      <w:r>
        <w:rPr>
          <w:noProof/>
        </w:rPr>
      </w:r>
      <w:r>
        <w:rPr>
          <w:noProof/>
        </w:rPr>
        <w:fldChar w:fldCharType="separate"/>
      </w:r>
      <w:r>
        <w:rPr>
          <w:noProof/>
        </w:rPr>
        <w:t>392</w:t>
      </w:r>
      <w:r>
        <w:rPr>
          <w:noProof/>
        </w:rPr>
        <w:fldChar w:fldCharType="end"/>
      </w:r>
    </w:p>
    <w:p w14:paraId="7DF30BB6" w14:textId="6196EE9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1—Preliminary</w:t>
      </w:r>
      <w:r>
        <w:rPr>
          <w:noProof/>
        </w:rPr>
        <w:tab/>
      </w:r>
      <w:r>
        <w:rPr>
          <w:noProof/>
        </w:rPr>
        <w:fldChar w:fldCharType="begin"/>
      </w:r>
      <w:r>
        <w:rPr>
          <w:noProof/>
        </w:rPr>
        <w:instrText xml:space="preserve"> PAGEREF _Toc158712489 \h </w:instrText>
      </w:r>
      <w:r>
        <w:rPr>
          <w:noProof/>
        </w:rPr>
      </w:r>
      <w:r>
        <w:rPr>
          <w:noProof/>
        </w:rPr>
        <w:fldChar w:fldCharType="separate"/>
      </w:r>
      <w:r>
        <w:rPr>
          <w:noProof/>
        </w:rPr>
        <w:t>392</w:t>
      </w:r>
      <w:r>
        <w:rPr>
          <w:noProof/>
        </w:rPr>
        <w:fldChar w:fldCharType="end"/>
      </w:r>
    </w:p>
    <w:p w14:paraId="70153030" w14:textId="68F704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7.8A.01  Definitions</w:t>
      </w:r>
      <w:r>
        <w:rPr>
          <w:noProof/>
        </w:rPr>
        <w:tab/>
      </w:r>
      <w:r>
        <w:rPr>
          <w:noProof/>
        </w:rPr>
        <w:fldChar w:fldCharType="begin"/>
      </w:r>
      <w:r>
        <w:rPr>
          <w:noProof/>
        </w:rPr>
        <w:instrText xml:space="preserve"> PAGEREF _Toc158712490 \h </w:instrText>
      </w:r>
      <w:r>
        <w:rPr>
          <w:noProof/>
        </w:rPr>
      </w:r>
      <w:r>
        <w:rPr>
          <w:noProof/>
        </w:rPr>
        <w:fldChar w:fldCharType="separate"/>
      </w:r>
      <w:r>
        <w:rPr>
          <w:noProof/>
        </w:rPr>
        <w:t>392</w:t>
      </w:r>
      <w:r>
        <w:rPr>
          <w:noProof/>
        </w:rPr>
        <w:fldChar w:fldCharType="end"/>
      </w:r>
    </w:p>
    <w:p w14:paraId="77E69101" w14:textId="139EC1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7.8A.02</w:t>
      </w:r>
      <w:r w:rsidRPr="00FC743A">
        <w:rPr>
          <w:noProof/>
          <w:shd w:val="clear" w:color="auto" w:fill="FFFFFF"/>
        </w:rPr>
        <w:t xml:space="preserve">  Meaning of </w:t>
      </w:r>
      <w:r w:rsidRPr="00FC743A">
        <w:rPr>
          <w:i/>
          <w:noProof/>
          <w:shd w:val="clear" w:color="auto" w:fill="FFFFFF"/>
        </w:rPr>
        <w:t>regulated person</w:t>
      </w:r>
      <w:r w:rsidRPr="00FC743A">
        <w:rPr>
          <w:noProof/>
          <w:shd w:val="clear" w:color="auto" w:fill="FFFFFF"/>
        </w:rPr>
        <w:t>—prescribed persons</w:t>
      </w:r>
      <w:r>
        <w:rPr>
          <w:noProof/>
        </w:rPr>
        <w:tab/>
      </w:r>
      <w:r>
        <w:rPr>
          <w:noProof/>
        </w:rPr>
        <w:fldChar w:fldCharType="begin"/>
      </w:r>
      <w:r>
        <w:rPr>
          <w:noProof/>
        </w:rPr>
        <w:instrText xml:space="preserve"> PAGEREF _Toc158712491 \h </w:instrText>
      </w:r>
      <w:r>
        <w:rPr>
          <w:noProof/>
        </w:rPr>
      </w:r>
      <w:r>
        <w:rPr>
          <w:noProof/>
        </w:rPr>
        <w:fldChar w:fldCharType="separate"/>
      </w:r>
      <w:r>
        <w:rPr>
          <w:noProof/>
        </w:rPr>
        <w:t>392</w:t>
      </w:r>
      <w:r>
        <w:rPr>
          <w:noProof/>
        </w:rPr>
        <w:fldChar w:fldCharType="end"/>
      </w:r>
    </w:p>
    <w:p w14:paraId="6355BF09" w14:textId="0720E42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2—Financial products for which target market determinations are required</w:t>
      </w:r>
      <w:r>
        <w:rPr>
          <w:noProof/>
        </w:rPr>
        <w:tab/>
      </w:r>
      <w:r>
        <w:rPr>
          <w:noProof/>
        </w:rPr>
        <w:fldChar w:fldCharType="begin"/>
      </w:r>
      <w:r>
        <w:rPr>
          <w:noProof/>
        </w:rPr>
        <w:instrText xml:space="preserve"> PAGEREF _Toc158712492 \h </w:instrText>
      </w:r>
      <w:r>
        <w:rPr>
          <w:noProof/>
        </w:rPr>
      </w:r>
      <w:r>
        <w:rPr>
          <w:noProof/>
        </w:rPr>
        <w:fldChar w:fldCharType="separate"/>
      </w:r>
      <w:r>
        <w:rPr>
          <w:noProof/>
        </w:rPr>
        <w:t>394</w:t>
      </w:r>
      <w:r>
        <w:rPr>
          <w:noProof/>
        </w:rPr>
        <w:fldChar w:fldCharType="end"/>
      </w:r>
    </w:p>
    <w:p w14:paraId="6B8E96DB" w14:textId="0D9656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7.8A.03  Financial products for which target market determinations are required</w:t>
      </w:r>
      <w:r>
        <w:rPr>
          <w:noProof/>
        </w:rPr>
        <w:tab/>
      </w:r>
      <w:r>
        <w:rPr>
          <w:noProof/>
        </w:rPr>
        <w:fldChar w:fldCharType="begin"/>
      </w:r>
      <w:r>
        <w:rPr>
          <w:noProof/>
        </w:rPr>
        <w:instrText xml:space="preserve"> PAGEREF _Toc158712493 \h </w:instrText>
      </w:r>
      <w:r>
        <w:rPr>
          <w:noProof/>
        </w:rPr>
      </w:r>
      <w:r>
        <w:rPr>
          <w:noProof/>
        </w:rPr>
        <w:fldChar w:fldCharType="separate"/>
      </w:r>
      <w:r>
        <w:rPr>
          <w:noProof/>
        </w:rPr>
        <w:t>394</w:t>
      </w:r>
      <w:r>
        <w:rPr>
          <w:noProof/>
        </w:rPr>
        <w:fldChar w:fldCharType="end"/>
      </w:r>
    </w:p>
    <w:p w14:paraId="583E408D" w14:textId="303DEA9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7.8A.04  Jurisdictional scope of Division</w:t>
      </w:r>
      <w:r>
        <w:rPr>
          <w:noProof/>
        </w:rPr>
        <w:tab/>
      </w:r>
      <w:r>
        <w:rPr>
          <w:noProof/>
        </w:rPr>
        <w:fldChar w:fldCharType="begin"/>
      </w:r>
      <w:r>
        <w:rPr>
          <w:noProof/>
        </w:rPr>
        <w:instrText xml:space="preserve"> PAGEREF _Toc158712494 \h </w:instrText>
      </w:r>
      <w:r>
        <w:rPr>
          <w:noProof/>
        </w:rPr>
      </w:r>
      <w:r>
        <w:rPr>
          <w:noProof/>
        </w:rPr>
        <w:fldChar w:fldCharType="separate"/>
      </w:r>
      <w:r>
        <w:rPr>
          <w:noProof/>
        </w:rPr>
        <w:t>394</w:t>
      </w:r>
      <w:r>
        <w:rPr>
          <w:noProof/>
        </w:rPr>
        <w:fldChar w:fldCharType="end"/>
      </w:r>
    </w:p>
    <w:p w14:paraId="673F37C3" w14:textId="58A633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7.8A.05  Simple corporate bonds</w:t>
      </w:r>
      <w:r>
        <w:rPr>
          <w:noProof/>
        </w:rPr>
        <w:tab/>
      </w:r>
      <w:r>
        <w:rPr>
          <w:noProof/>
        </w:rPr>
        <w:fldChar w:fldCharType="begin"/>
      </w:r>
      <w:r>
        <w:rPr>
          <w:noProof/>
        </w:rPr>
        <w:instrText xml:space="preserve"> PAGEREF _Toc158712495 \h </w:instrText>
      </w:r>
      <w:r>
        <w:rPr>
          <w:noProof/>
        </w:rPr>
      </w:r>
      <w:r>
        <w:rPr>
          <w:noProof/>
        </w:rPr>
        <w:fldChar w:fldCharType="separate"/>
      </w:r>
      <w:r>
        <w:rPr>
          <w:noProof/>
        </w:rPr>
        <w:t>394</w:t>
      </w:r>
      <w:r>
        <w:rPr>
          <w:noProof/>
        </w:rPr>
        <w:fldChar w:fldCharType="end"/>
      </w:r>
    </w:p>
    <w:p w14:paraId="7F4B2C2C" w14:textId="3402B0E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7.8A.06  Debentures of certain bodies</w:t>
      </w:r>
      <w:r>
        <w:rPr>
          <w:noProof/>
        </w:rPr>
        <w:tab/>
      </w:r>
      <w:r>
        <w:rPr>
          <w:noProof/>
        </w:rPr>
        <w:fldChar w:fldCharType="begin"/>
      </w:r>
      <w:r>
        <w:rPr>
          <w:noProof/>
        </w:rPr>
        <w:instrText xml:space="preserve"> PAGEREF _Toc158712496 \h </w:instrText>
      </w:r>
      <w:r>
        <w:rPr>
          <w:noProof/>
        </w:rPr>
      </w:r>
      <w:r>
        <w:rPr>
          <w:noProof/>
        </w:rPr>
        <w:fldChar w:fldCharType="separate"/>
      </w:r>
      <w:r>
        <w:rPr>
          <w:noProof/>
        </w:rPr>
        <w:t>394</w:t>
      </w:r>
      <w:r>
        <w:rPr>
          <w:noProof/>
        </w:rPr>
        <w:fldChar w:fldCharType="end"/>
      </w:r>
    </w:p>
    <w:p w14:paraId="01EA8940" w14:textId="18005D8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7.8A.07  Basic banking products</w:t>
      </w:r>
      <w:r>
        <w:rPr>
          <w:noProof/>
        </w:rPr>
        <w:tab/>
      </w:r>
      <w:r>
        <w:rPr>
          <w:noProof/>
        </w:rPr>
        <w:fldChar w:fldCharType="begin"/>
      </w:r>
      <w:r>
        <w:rPr>
          <w:noProof/>
        </w:rPr>
        <w:instrText xml:space="preserve"> PAGEREF _Toc158712497 \h </w:instrText>
      </w:r>
      <w:r>
        <w:rPr>
          <w:noProof/>
        </w:rPr>
      </w:r>
      <w:r>
        <w:rPr>
          <w:noProof/>
        </w:rPr>
        <w:fldChar w:fldCharType="separate"/>
      </w:r>
      <w:r>
        <w:rPr>
          <w:noProof/>
        </w:rPr>
        <w:t>394</w:t>
      </w:r>
      <w:r>
        <w:rPr>
          <w:noProof/>
        </w:rPr>
        <w:fldChar w:fldCharType="end"/>
      </w:r>
    </w:p>
    <w:p w14:paraId="1DA01A11" w14:textId="660054F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7.8A.08  Investor</w:t>
      </w:r>
      <w:r>
        <w:rPr>
          <w:noProof/>
        </w:rPr>
        <w:noBreakHyphen/>
        <w:t>directed portfolio services</w:t>
      </w:r>
      <w:r>
        <w:rPr>
          <w:noProof/>
        </w:rPr>
        <w:tab/>
      </w:r>
      <w:r>
        <w:rPr>
          <w:noProof/>
        </w:rPr>
        <w:fldChar w:fldCharType="begin"/>
      </w:r>
      <w:r>
        <w:rPr>
          <w:noProof/>
        </w:rPr>
        <w:instrText xml:space="preserve"> PAGEREF _Toc158712498 \h </w:instrText>
      </w:r>
      <w:r>
        <w:rPr>
          <w:noProof/>
        </w:rPr>
      </w:r>
      <w:r>
        <w:rPr>
          <w:noProof/>
        </w:rPr>
        <w:fldChar w:fldCharType="separate"/>
      </w:r>
      <w:r>
        <w:rPr>
          <w:noProof/>
        </w:rPr>
        <w:t>394</w:t>
      </w:r>
      <w:r>
        <w:rPr>
          <w:noProof/>
        </w:rPr>
        <w:fldChar w:fldCharType="end"/>
      </w:r>
    </w:p>
    <w:p w14:paraId="2214D266" w14:textId="6D3B435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7.8A.09  Exchange traded products</w:t>
      </w:r>
      <w:r>
        <w:rPr>
          <w:noProof/>
        </w:rPr>
        <w:tab/>
      </w:r>
      <w:r>
        <w:rPr>
          <w:noProof/>
        </w:rPr>
        <w:fldChar w:fldCharType="begin"/>
      </w:r>
      <w:r>
        <w:rPr>
          <w:noProof/>
        </w:rPr>
        <w:instrText xml:space="preserve"> PAGEREF _Toc158712499 \h </w:instrText>
      </w:r>
      <w:r>
        <w:rPr>
          <w:noProof/>
        </w:rPr>
      </w:r>
      <w:r>
        <w:rPr>
          <w:noProof/>
        </w:rPr>
        <w:fldChar w:fldCharType="separate"/>
      </w:r>
      <w:r>
        <w:rPr>
          <w:noProof/>
        </w:rPr>
        <w:t>395</w:t>
      </w:r>
      <w:r>
        <w:rPr>
          <w:noProof/>
        </w:rPr>
        <w:fldChar w:fldCharType="end"/>
      </w:r>
    </w:p>
    <w:p w14:paraId="13D863D5" w14:textId="1391E9D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7.8A.10  Custodial or depository services</w:t>
      </w:r>
      <w:r>
        <w:rPr>
          <w:noProof/>
        </w:rPr>
        <w:tab/>
      </w:r>
      <w:r>
        <w:rPr>
          <w:noProof/>
        </w:rPr>
        <w:fldChar w:fldCharType="begin"/>
      </w:r>
      <w:r>
        <w:rPr>
          <w:noProof/>
        </w:rPr>
        <w:instrText xml:space="preserve"> PAGEREF _Toc158712500 \h </w:instrText>
      </w:r>
      <w:r>
        <w:rPr>
          <w:noProof/>
        </w:rPr>
      </w:r>
      <w:r>
        <w:rPr>
          <w:noProof/>
        </w:rPr>
        <w:fldChar w:fldCharType="separate"/>
      </w:r>
      <w:r>
        <w:rPr>
          <w:noProof/>
        </w:rPr>
        <w:t>395</w:t>
      </w:r>
      <w:r>
        <w:rPr>
          <w:noProof/>
        </w:rPr>
        <w:fldChar w:fldCharType="end"/>
      </w:r>
    </w:p>
    <w:p w14:paraId="6F7A8E82" w14:textId="15D07BA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3—Exemptions</w:t>
      </w:r>
      <w:r>
        <w:rPr>
          <w:noProof/>
        </w:rPr>
        <w:tab/>
      </w:r>
      <w:r>
        <w:rPr>
          <w:noProof/>
        </w:rPr>
        <w:fldChar w:fldCharType="begin"/>
      </w:r>
      <w:r>
        <w:rPr>
          <w:noProof/>
        </w:rPr>
        <w:instrText xml:space="preserve"> PAGEREF _Toc158712501 \h </w:instrText>
      </w:r>
      <w:r>
        <w:rPr>
          <w:noProof/>
        </w:rPr>
      </w:r>
      <w:r>
        <w:rPr>
          <w:noProof/>
        </w:rPr>
        <w:fldChar w:fldCharType="separate"/>
      </w:r>
      <w:r>
        <w:rPr>
          <w:noProof/>
        </w:rPr>
        <w:t>396</w:t>
      </w:r>
      <w:r>
        <w:rPr>
          <w:noProof/>
        </w:rPr>
        <w:fldChar w:fldCharType="end"/>
      </w:r>
    </w:p>
    <w:p w14:paraId="4BBA10E7" w14:textId="3EE392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7.8A.20  Financial products for which target market determinations are not required</w:t>
      </w:r>
      <w:r>
        <w:rPr>
          <w:noProof/>
        </w:rPr>
        <w:tab/>
      </w:r>
      <w:r>
        <w:rPr>
          <w:noProof/>
        </w:rPr>
        <w:fldChar w:fldCharType="begin"/>
      </w:r>
      <w:r>
        <w:rPr>
          <w:noProof/>
        </w:rPr>
        <w:instrText xml:space="preserve"> PAGEREF _Toc158712502 \h </w:instrText>
      </w:r>
      <w:r>
        <w:rPr>
          <w:noProof/>
        </w:rPr>
      </w:r>
      <w:r>
        <w:rPr>
          <w:noProof/>
        </w:rPr>
        <w:fldChar w:fldCharType="separate"/>
      </w:r>
      <w:r>
        <w:rPr>
          <w:noProof/>
        </w:rPr>
        <w:t>396</w:t>
      </w:r>
      <w:r>
        <w:rPr>
          <w:noProof/>
        </w:rPr>
        <w:fldChar w:fldCharType="end"/>
      </w:r>
    </w:p>
    <w:p w14:paraId="3C275B8A" w14:textId="3FCE2CB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7.8A.25  Exemption from Part 7.8A—Employers complying with certain superannuation guarantee obligations</w:t>
      </w:r>
      <w:r>
        <w:rPr>
          <w:noProof/>
        </w:rPr>
        <w:tab/>
      </w:r>
      <w:r>
        <w:rPr>
          <w:noProof/>
        </w:rPr>
        <w:fldChar w:fldCharType="begin"/>
      </w:r>
      <w:r>
        <w:rPr>
          <w:noProof/>
        </w:rPr>
        <w:instrText xml:space="preserve"> PAGEREF _Toc158712503 \h </w:instrText>
      </w:r>
      <w:r>
        <w:rPr>
          <w:noProof/>
        </w:rPr>
      </w:r>
      <w:r>
        <w:rPr>
          <w:noProof/>
        </w:rPr>
        <w:fldChar w:fldCharType="separate"/>
      </w:r>
      <w:r>
        <w:rPr>
          <w:noProof/>
        </w:rPr>
        <w:t>397</w:t>
      </w:r>
      <w:r>
        <w:rPr>
          <w:noProof/>
        </w:rPr>
        <w:fldChar w:fldCharType="end"/>
      </w:r>
    </w:p>
    <w:p w14:paraId="4CEF8D02" w14:textId="18D25DC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7.9</w:t>
      </w:r>
      <w:r w:rsidRPr="00FC743A">
        <w:rPr>
          <w:noProof/>
          <w:color w:val="000000"/>
        </w:rPr>
        <w:t>—</w:t>
      </w:r>
      <w:r>
        <w:rPr>
          <w:noProof/>
        </w:rPr>
        <w:t>Financial product disclosure and other provisions relating to issue and sale of financial products</w:t>
      </w:r>
      <w:r>
        <w:rPr>
          <w:noProof/>
        </w:rPr>
        <w:tab/>
      </w:r>
      <w:r>
        <w:rPr>
          <w:noProof/>
        </w:rPr>
        <w:fldChar w:fldCharType="begin"/>
      </w:r>
      <w:r>
        <w:rPr>
          <w:noProof/>
        </w:rPr>
        <w:instrText xml:space="preserve"> PAGEREF _Toc158712504 \h </w:instrText>
      </w:r>
      <w:r>
        <w:rPr>
          <w:noProof/>
        </w:rPr>
      </w:r>
      <w:r>
        <w:rPr>
          <w:noProof/>
        </w:rPr>
        <w:fldChar w:fldCharType="separate"/>
      </w:r>
      <w:r>
        <w:rPr>
          <w:noProof/>
        </w:rPr>
        <w:t>398</w:t>
      </w:r>
      <w:r>
        <w:rPr>
          <w:noProof/>
        </w:rPr>
        <w:fldChar w:fldCharType="end"/>
      </w:r>
    </w:p>
    <w:p w14:paraId="1D015155" w14:textId="7E0C5F2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Preliminary</w:t>
      </w:r>
      <w:r>
        <w:rPr>
          <w:noProof/>
        </w:rPr>
        <w:tab/>
      </w:r>
      <w:r>
        <w:rPr>
          <w:noProof/>
        </w:rPr>
        <w:fldChar w:fldCharType="begin"/>
      </w:r>
      <w:r>
        <w:rPr>
          <w:noProof/>
        </w:rPr>
        <w:instrText xml:space="preserve"> PAGEREF _Toc158712505 \h </w:instrText>
      </w:r>
      <w:r>
        <w:rPr>
          <w:noProof/>
        </w:rPr>
      </w:r>
      <w:r>
        <w:rPr>
          <w:noProof/>
        </w:rPr>
        <w:fldChar w:fldCharType="separate"/>
      </w:r>
      <w:r>
        <w:rPr>
          <w:noProof/>
        </w:rPr>
        <w:t>398</w:t>
      </w:r>
      <w:r>
        <w:rPr>
          <w:noProof/>
        </w:rPr>
        <w:fldChar w:fldCharType="end"/>
      </w:r>
    </w:p>
    <w:p w14:paraId="5699E7EB" w14:textId="4BC8239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7.9.01  Interpretation</w:t>
      </w:r>
      <w:r>
        <w:rPr>
          <w:noProof/>
        </w:rPr>
        <w:tab/>
      </w:r>
      <w:r>
        <w:rPr>
          <w:noProof/>
        </w:rPr>
        <w:fldChar w:fldCharType="begin"/>
      </w:r>
      <w:r>
        <w:rPr>
          <w:noProof/>
        </w:rPr>
        <w:instrText xml:space="preserve"> PAGEREF _Toc158712506 \h </w:instrText>
      </w:r>
      <w:r>
        <w:rPr>
          <w:noProof/>
        </w:rPr>
      </w:r>
      <w:r>
        <w:rPr>
          <w:noProof/>
        </w:rPr>
        <w:fldChar w:fldCharType="separate"/>
      </w:r>
      <w:r>
        <w:rPr>
          <w:noProof/>
        </w:rPr>
        <w:t>398</w:t>
      </w:r>
      <w:r>
        <w:rPr>
          <w:noProof/>
        </w:rPr>
        <w:fldChar w:fldCharType="end"/>
      </w:r>
    </w:p>
    <w:p w14:paraId="69630B7E" w14:textId="3449065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7.9.02  Sub</w:t>
      </w:r>
      <w:r>
        <w:rPr>
          <w:noProof/>
        </w:rPr>
        <w:noBreakHyphen/>
        <w:t>plans</w:t>
      </w:r>
      <w:r>
        <w:rPr>
          <w:noProof/>
        </w:rPr>
        <w:tab/>
      </w:r>
      <w:r>
        <w:rPr>
          <w:noProof/>
        </w:rPr>
        <w:fldChar w:fldCharType="begin"/>
      </w:r>
      <w:r>
        <w:rPr>
          <w:noProof/>
        </w:rPr>
        <w:instrText xml:space="preserve"> PAGEREF _Toc158712507 \h </w:instrText>
      </w:r>
      <w:r>
        <w:rPr>
          <w:noProof/>
        </w:rPr>
      </w:r>
      <w:r>
        <w:rPr>
          <w:noProof/>
        </w:rPr>
        <w:fldChar w:fldCharType="separate"/>
      </w:r>
      <w:r>
        <w:rPr>
          <w:noProof/>
        </w:rPr>
        <w:t>399</w:t>
      </w:r>
      <w:r>
        <w:rPr>
          <w:noProof/>
        </w:rPr>
        <w:fldChar w:fldCharType="end"/>
      </w:r>
    </w:p>
    <w:p w14:paraId="17BCDAE9" w14:textId="762B58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7.9.02A  Alternative ways of giving Statement</w:t>
      </w:r>
      <w:r>
        <w:rPr>
          <w:noProof/>
        </w:rPr>
        <w:tab/>
      </w:r>
      <w:r>
        <w:rPr>
          <w:noProof/>
        </w:rPr>
        <w:fldChar w:fldCharType="begin"/>
      </w:r>
      <w:r>
        <w:rPr>
          <w:noProof/>
        </w:rPr>
        <w:instrText xml:space="preserve"> PAGEREF _Toc158712508 \h </w:instrText>
      </w:r>
      <w:r>
        <w:rPr>
          <w:noProof/>
        </w:rPr>
      </w:r>
      <w:r>
        <w:rPr>
          <w:noProof/>
        </w:rPr>
        <w:fldChar w:fldCharType="separate"/>
      </w:r>
      <w:r>
        <w:rPr>
          <w:noProof/>
        </w:rPr>
        <w:t>400</w:t>
      </w:r>
      <w:r>
        <w:rPr>
          <w:noProof/>
        </w:rPr>
        <w:fldChar w:fldCharType="end"/>
      </w:r>
    </w:p>
    <w:p w14:paraId="4326D2F8" w14:textId="722C5F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7.9.02B  Product Disclosure Statement in electronic form</w:t>
      </w:r>
      <w:r>
        <w:rPr>
          <w:noProof/>
        </w:rPr>
        <w:tab/>
      </w:r>
      <w:r>
        <w:rPr>
          <w:noProof/>
        </w:rPr>
        <w:fldChar w:fldCharType="begin"/>
      </w:r>
      <w:r>
        <w:rPr>
          <w:noProof/>
        </w:rPr>
        <w:instrText xml:space="preserve"> PAGEREF _Toc158712509 \h </w:instrText>
      </w:r>
      <w:r>
        <w:rPr>
          <w:noProof/>
        </w:rPr>
      </w:r>
      <w:r>
        <w:rPr>
          <w:noProof/>
        </w:rPr>
        <w:fldChar w:fldCharType="separate"/>
      </w:r>
      <w:r>
        <w:rPr>
          <w:noProof/>
        </w:rPr>
        <w:t>400</w:t>
      </w:r>
      <w:r>
        <w:rPr>
          <w:noProof/>
        </w:rPr>
        <w:fldChar w:fldCharType="end"/>
      </w:r>
    </w:p>
    <w:p w14:paraId="43784205" w14:textId="6E7E0C5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Arrangements for Product Disclosure Statements in relation to superannuation products and RSAs</w:t>
      </w:r>
      <w:r>
        <w:rPr>
          <w:noProof/>
        </w:rPr>
        <w:tab/>
      </w:r>
      <w:r>
        <w:rPr>
          <w:noProof/>
        </w:rPr>
        <w:fldChar w:fldCharType="begin"/>
      </w:r>
      <w:r>
        <w:rPr>
          <w:noProof/>
        </w:rPr>
        <w:instrText xml:space="preserve"> PAGEREF _Toc158712510 \h </w:instrText>
      </w:r>
      <w:r>
        <w:rPr>
          <w:noProof/>
        </w:rPr>
      </w:r>
      <w:r>
        <w:rPr>
          <w:noProof/>
        </w:rPr>
        <w:fldChar w:fldCharType="separate"/>
      </w:r>
      <w:r>
        <w:rPr>
          <w:noProof/>
        </w:rPr>
        <w:t>401</w:t>
      </w:r>
      <w:r>
        <w:rPr>
          <w:noProof/>
        </w:rPr>
        <w:fldChar w:fldCharType="end"/>
      </w:r>
    </w:p>
    <w:p w14:paraId="7789900E" w14:textId="0618F4F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2.1—Preliminary</w:t>
      </w:r>
      <w:r>
        <w:rPr>
          <w:noProof/>
        </w:rPr>
        <w:tab/>
      </w:r>
      <w:r>
        <w:rPr>
          <w:noProof/>
        </w:rPr>
        <w:fldChar w:fldCharType="begin"/>
      </w:r>
      <w:r>
        <w:rPr>
          <w:noProof/>
        </w:rPr>
        <w:instrText xml:space="preserve"> PAGEREF _Toc158712511 \h </w:instrText>
      </w:r>
      <w:r>
        <w:rPr>
          <w:noProof/>
        </w:rPr>
      </w:r>
      <w:r>
        <w:rPr>
          <w:noProof/>
        </w:rPr>
        <w:fldChar w:fldCharType="separate"/>
      </w:r>
      <w:r>
        <w:rPr>
          <w:noProof/>
        </w:rPr>
        <w:t>401</w:t>
      </w:r>
      <w:r>
        <w:rPr>
          <w:noProof/>
        </w:rPr>
        <w:fldChar w:fldCharType="end"/>
      </w:r>
    </w:p>
    <w:p w14:paraId="73686BE8" w14:textId="32EBD94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7.9.03  Application of Division 2</w:t>
      </w:r>
      <w:r>
        <w:rPr>
          <w:noProof/>
        </w:rPr>
        <w:tab/>
      </w:r>
      <w:r>
        <w:rPr>
          <w:noProof/>
        </w:rPr>
        <w:fldChar w:fldCharType="begin"/>
      </w:r>
      <w:r>
        <w:rPr>
          <w:noProof/>
        </w:rPr>
        <w:instrText xml:space="preserve"> PAGEREF _Toc158712512 \h </w:instrText>
      </w:r>
      <w:r>
        <w:rPr>
          <w:noProof/>
        </w:rPr>
      </w:r>
      <w:r>
        <w:rPr>
          <w:noProof/>
        </w:rPr>
        <w:fldChar w:fldCharType="separate"/>
      </w:r>
      <w:r>
        <w:rPr>
          <w:noProof/>
        </w:rPr>
        <w:t>401</w:t>
      </w:r>
      <w:r>
        <w:rPr>
          <w:noProof/>
        </w:rPr>
        <w:fldChar w:fldCharType="end"/>
      </w:r>
    </w:p>
    <w:p w14:paraId="0800A92F" w14:textId="2F2604F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2.2—Late provision of Product Disclosure Statement for certain members of regulated superannuation fund, public offer superannuation fund or successor fund</w:t>
      </w:r>
      <w:r>
        <w:rPr>
          <w:noProof/>
        </w:rPr>
        <w:tab/>
      </w:r>
      <w:r>
        <w:rPr>
          <w:noProof/>
        </w:rPr>
        <w:fldChar w:fldCharType="begin"/>
      </w:r>
      <w:r>
        <w:rPr>
          <w:noProof/>
        </w:rPr>
        <w:instrText xml:space="preserve"> PAGEREF _Toc158712513 \h </w:instrText>
      </w:r>
      <w:r>
        <w:rPr>
          <w:noProof/>
        </w:rPr>
      </w:r>
      <w:r>
        <w:rPr>
          <w:noProof/>
        </w:rPr>
        <w:fldChar w:fldCharType="separate"/>
      </w:r>
      <w:r>
        <w:rPr>
          <w:noProof/>
        </w:rPr>
        <w:t>401</w:t>
      </w:r>
      <w:r>
        <w:rPr>
          <w:noProof/>
        </w:rPr>
        <w:fldChar w:fldCharType="end"/>
      </w:r>
    </w:p>
    <w:p w14:paraId="1C6713F8" w14:textId="04528D6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7.9.04  Product Disclosure Statement to be provided later</w:t>
      </w:r>
      <w:r>
        <w:rPr>
          <w:noProof/>
        </w:rPr>
        <w:tab/>
      </w:r>
      <w:r>
        <w:rPr>
          <w:noProof/>
        </w:rPr>
        <w:fldChar w:fldCharType="begin"/>
      </w:r>
      <w:r>
        <w:rPr>
          <w:noProof/>
        </w:rPr>
        <w:instrText xml:space="preserve"> PAGEREF _Toc158712514 \h </w:instrText>
      </w:r>
      <w:r>
        <w:rPr>
          <w:noProof/>
        </w:rPr>
      </w:r>
      <w:r>
        <w:rPr>
          <w:noProof/>
        </w:rPr>
        <w:fldChar w:fldCharType="separate"/>
      </w:r>
      <w:r>
        <w:rPr>
          <w:noProof/>
        </w:rPr>
        <w:t>401</w:t>
      </w:r>
      <w:r>
        <w:rPr>
          <w:noProof/>
        </w:rPr>
        <w:fldChar w:fldCharType="end"/>
      </w:r>
    </w:p>
    <w:p w14:paraId="3975C4CC" w14:textId="30DD3E0B"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2.3—Product Disclosure Statement for RSA</w:t>
      </w:r>
      <w:r>
        <w:rPr>
          <w:noProof/>
        </w:rPr>
        <w:tab/>
      </w:r>
      <w:r>
        <w:rPr>
          <w:noProof/>
        </w:rPr>
        <w:fldChar w:fldCharType="begin"/>
      </w:r>
      <w:r>
        <w:rPr>
          <w:noProof/>
        </w:rPr>
        <w:instrText xml:space="preserve"> PAGEREF _Toc158712515 \h </w:instrText>
      </w:r>
      <w:r>
        <w:rPr>
          <w:noProof/>
        </w:rPr>
      </w:r>
      <w:r>
        <w:rPr>
          <w:noProof/>
        </w:rPr>
        <w:fldChar w:fldCharType="separate"/>
      </w:r>
      <w:r>
        <w:rPr>
          <w:noProof/>
        </w:rPr>
        <w:t>401</w:t>
      </w:r>
      <w:r>
        <w:rPr>
          <w:noProof/>
        </w:rPr>
        <w:fldChar w:fldCharType="end"/>
      </w:r>
    </w:p>
    <w:p w14:paraId="760B8652" w14:textId="7CF190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7.9.05  Situation in which Product Disclosure Statement is not required</w:t>
      </w:r>
      <w:r>
        <w:rPr>
          <w:noProof/>
        </w:rPr>
        <w:tab/>
      </w:r>
      <w:r>
        <w:rPr>
          <w:noProof/>
        </w:rPr>
        <w:fldChar w:fldCharType="begin"/>
      </w:r>
      <w:r>
        <w:rPr>
          <w:noProof/>
        </w:rPr>
        <w:instrText xml:space="preserve"> PAGEREF _Toc158712516 \h </w:instrText>
      </w:r>
      <w:r>
        <w:rPr>
          <w:noProof/>
        </w:rPr>
      </w:r>
      <w:r>
        <w:rPr>
          <w:noProof/>
        </w:rPr>
        <w:fldChar w:fldCharType="separate"/>
      </w:r>
      <w:r>
        <w:rPr>
          <w:noProof/>
        </w:rPr>
        <w:t>401</w:t>
      </w:r>
      <w:r>
        <w:rPr>
          <w:noProof/>
        </w:rPr>
        <w:fldChar w:fldCharType="end"/>
      </w:r>
    </w:p>
    <w:p w14:paraId="332CEB2E" w14:textId="51E1AC9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2.4—Additional obligations for eligible rollover funds</w:t>
      </w:r>
      <w:r>
        <w:rPr>
          <w:noProof/>
        </w:rPr>
        <w:tab/>
      </w:r>
      <w:r>
        <w:rPr>
          <w:noProof/>
        </w:rPr>
        <w:fldChar w:fldCharType="begin"/>
      </w:r>
      <w:r>
        <w:rPr>
          <w:noProof/>
        </w:rPr>
        <w:instrText xml:space="preserve"> PAGEREF _Toc158712517 \h </w:instrText>
      </w:r>
      <w:r>
        <w:rPr>
          <w:noProof/>
        </w:rPr>
      </w:r>
      <w:r>
        <w:rPr>
          <w:noProof/>
        </w:rPr>
        <w:fldChar w:fldCharType="separate"/>
      </w:r>
      <w:r>
        <w:rPr>
          <w:noProof/>
        </w:rPr>
        <w:t>401</w:t>
      </w:r>
      <w:r>
        <w:rPr>
          <w:noProof/>
        </w:rPr>
        <w:fldChar w:fldCharType="end"/>
      </w:r>
    </w:p>
    <w:p w14:paraId="5D47130F" w14:textId="6BF207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7.9.06A  Meaning of </w:t>
      </w:r>
      <w:r w:rsidRPr="00FC743A">
        <w:rPr>
          <w:i/>
          <w:noProof/>
        </w:rPr>
        <w:t>relevant superannuation entity</w:t>
      </w:r>
      <w:r>
        <w:rPr>
          <w:noProof/>
        </w:rPr>
        <w:tab/>
      </w:r>
      <w:r>
        <w:rPr>
          <w:noProof/>
        </w:rPr>
        <w:fldChar w:fldCharType="begin"/>
      </w:r>
      <w:r>
        <w:rPr>
          <w:noProof/>
        </w:rPr>
        <w:instrText xml:space="preserve"> PAGEREF _Toc158712518 \h </w:instrText>
      </w:r>
      <w:r>
        <w:rPr>
          <w:noProof/>
        </w:rPr>
      </w:r>
      <w:r>
        <w:rPr>
          <w:noProof/>
        </w:rPr>
        <w:fldChar w:fldCharType="separate"/>
      </w:r>
      <w:r>
        <w:rPr>
          <w:noProof/>
        </w:rPr>
        <w:t>401</w:t>
      </w:r>
      <w:r>
        <w:rPr>
          <w:noProof/>
        </w:rPr>
        <w:fldChar w:fldCharType="end"/>
      </w:r>
    </w:p>
    <w:p w14:paraId="0AB30E01" w14:textId="4FC9D1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7.9.06B  Application forms</w:t>
      </w:r>
      <w:r>
        <w:rPr>
          <w:noProof/>
        </w:rPr>
        <w:tab/>
      </w:r>
      <w:r>
        <w:rPr>
          <w:noProof/>
        </w:rPr>
        <w:fldChar w:fldCharType="begin"/>
      </w:r>
      <w:r>
        <w:rPr>
          <w:noProof/>
        </w:rPr>
        <w:instrText xml:space="preserve"> PAGEREF _Toc158712519 \h </w:instrText>
      </w:r>
      <w:r>
        <w:rPr>
          <w:noProof/>
        </w:rPr>
      </w:r>
      <w:r>
        <w:rPr>
          <w:noProof/>
        </w:rPr>
        <w:fldChar w:fldCharType="separate"/>
      </w:r>
      <w:r>
        <w:rPr>
          <w:noProof/>
        </w:rPr>
        <w:t>401</w:t>
      </w:r>
      <w:r>
        <w:rPr>
          <w:noProof/>
        </w:rPr>
        <w:fldChar w:fldCharType="end"/>
      </w:r>
    </w:p>
    <w:p w14:paraId="122CF0E4" w14:textId="1FD95AB9"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2.5—Product Disclosure Statement for insurance options</w:t>
      </w:r>
      <w:r>
        <w:rPr>
          <w:noProof/>
        </w:rPr>
        <w:tab/>
      </w:r>
      <w:r>
        <w:rPr>
          <w:noProof/>
        </w:rPr>
        <w:fldChar w:fldCharType="begin"/>
      </w:r>
      <w:r>
        <w:rPr>
          <w:noProof/>
        </w:rPr>
        <w:instrText xml:space="preserve"> PAGEREF _Toc158712520 \h </w:instrText>
      </w:r>
      <w:r>
        <w:rPr>
          <w:noProof/>
        </w:rPr>
      </w:r>
      <w:r>
        <w:rPr>
          <w:noProof/>
        </w:rPr>
        <w:fldChar w:fldCharType="separate"/>
      </w:r>
      <w:r>
        <w:rPr>
          <w:noProof/>
        </w:rPr>
        <w:t>402</w:t>
      </w:r>
      <w:r>
        <w:rPr>
          <w:noProof/>
        </w:rPr>
        <w:fldChar w:fldCharType="end"/>
      </w:r>
    </w:p>
    <w:p w14:paraId="61221AF7" w14:textId="568C0A8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  Modification of Act: Product Disclosure Statement in relation to insurance options</w:t>
      </w:r>
      <w:r>
        <w:rPr>
          <w:noProof/>
        </w:rPr>
        <w:tab/>
      </w:r>
      <w:r>
        <w:rPr>
          <w:noProof/>
        </w:rPr>
        <w:fldChar w:fldCharType="begin"/>
      </w:r>
      <w:r>
        <w:rPr>
          <w:noProof/>
        </w:rPr>
        <w:instrText xml:space="preserve"> PAGEREF _Toc158712521 \h </w:instrText>
      </w:r>
      <w:r>
        <w:rPr>
          <w:noProof/>
        </w:rPr>
      </w:r>
      <w:r>
        <w:rPr>
          <w:noProof/>
        </w:rPr>
        <w:fldChar w:fldCharType="separate"/>
      </w:r>
      <w:r>
        <w:rPr>
          <w:noProof/>
        </w:rPr>
        <w:t>402</w:t>
      </w:r>
      <w:r>
        <w:rPr>
          <w:noProof/>
        </w:rPr>
        <w:fldChar w:fldCharType="end"/>
      </w:r>
    </w:p>
    <w:p w14:paraId="74716226" w14:textId="26F280B9" w:rsidR="00D779FE" w:rsidRDefault="00D779FE">
      <w:pPr>
        <w:pStyle w:val="TOC3"/>
        <w:rPr>
          <w:rFonts w:asciiTheme="minorHAnsi" w:eastAsiaTheme="minorEastAsia" w:hAnsiTheme="minorHAnsi" w:cstheme="minorBidi"/>
          <w:b w:val="0"/>
          <w:noProof/>
          <w:kern w:val="2"/>
          <w:szCs w:val="22"/>
          <w14:ligatures w14:val="standardContextual"/>
        </w:rPr>
      </w:pPr>
      <w:r>
        <w:rPr>
          <w:noProof/>
        </w:rPr>
        <w:lastRenderedPageBreak/>
        <w:t>Division 2A—Product Disclosure Statement for warrants</w:t>
      </w:r>
      <w:r>
        <w:rPr>
          <w:noProof/>
        </w:rPr>
        <w:tab/>
      </w:r>
      <w:r>
        <w:rPr>
          <w:noProof/>
        </w:rPr>
        <w:fldChar w:fldCharType="begin"/>
      </w:r>
      <w:r>
        <w:rPr>
          <w:noProof/>
        </w:rPr>
        <w:instrText xml:space="preserve"> PAGEREF _Toc158712522 \h </w:instrText>
      </w:r>
      <w:r>
        <w:rPr>
          <w:noProof/>
        </w:rPr>
      </w:r>
      <w:r>
        <w:rPr>
          <w:noProof/>
        </w:rPr>
        <w:fldChar w:fldCharType="separate"/>
      </w:r>
      <w:r>
        <w:rPr>
          <w:noProof/>
        </w:rPr>
        <w:t>403</w:t>
      </w:r>
      <w:r>
        <w:rPr>
          <w:noProof/>
        </w:rPr>
        <w:fldChar w:fldCharType="end"/>
      </w:r>
    </w:p>
    <w:p w14:paraId="3CCF45A3" w14:textId="2689336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7.9.07A  Warrants</w:t>
      </w:r>
      <w:r>
        <w:rPr>
          <w:noProof/>
        </w:rPr>
        <w:tab/>
      </w:r>
      <w:r>
        <w:rPr>
          <w:noProof/>
        </w:rPr>
        <w:fldChar w:fldCharType="begin"/>
      </w:r>
      <w:r>
        <w:rPr>
          <w:noProof/>
        </w:rPr>
        <w:instrText xml:space="preserve"> PAGEREF _Toc158712523 \h </w:instrText>
      </w:r>
      <w:r>
        <w:rPr>
          <w:noProof/>
        </w:rPr>
      </w:r>
      <w:r>
        <w:rPr>
          <w:noProof/>
        </w:rPr>
        <w:fldChar w:fldCharType="separate"/>
      </w:r>
      <w:r>
        <w:rPr>
          <w:noProof/>
        </w:rPr>
        <w:t>403</w:t>
      </w:r>
      <w:r>
        <w:rPr>
          <w:noProof/>
        </w:rPr>
        <w:fldChar w:fldCharType="end"/>
      </w:r>
    </w:p>
    <w:p w14:paraId="76AF658A" w14:textId="4B60C46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2B—Product Disclosure Statement for market</w:t>
      </w:r>
      <w:r>
        <w:rPr>
          <w:noProof/>
        </w:rPr>
        <w:noBreakHyphen/>
        <w:t>traded derivatives</w:t>
      </w:r>
      <w:r>
        <w:rPr>
          <w:noProof/>
        </w:rPr>
        <w:tab/>
      </w:r>
      <w:r>
        <w:rPr>
          <w:noProof/>
        </w:rPr>
        <w:fldChar w:fldCharType="begin"/>
      </w:r>
      <w:r>
        <w:rPr>
          <w:noProof/>
        </w:rPr>
        <w:instrText xml:space="preserve"> PAGEREF _Toc158712524 \h </w:instrText>
      </w:r>
      <w:r>
        <w:rPr>
          <w:noProof/>
        </w:rPr>
      </w:r>
      <w:r>
        <w:rPr>
          <w:noProof/>
        </w:rPr>
        <w:fldChar w:fldCharType="separate"/>
      </w:r>
      <w:r>
        <w:rPr>
          <w:noProof/>
        </w:rPr>
        <w:t>404</w:t>
      </w:r>
      <w:r>
        <w:rPr>
          <w:noProof/>
        </w:rPr>
        <w:fldChar w:fldCharType="end"/>
      </w:r>
    </w:p>
    <w:p w14:paraId="41D74B7B" w14:textId="012FEA8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7.9.07B  Product Disclosure Statements for certain market</w:t>
      </w:r>
      <w:r>
        <w:rPr>
          <w:noProof/>
        </w:rPr>
        <w:noBreakHyphen/>
        <w:t>traded derivatives</w:t>
      </w:r>
      <w:r>
        <w:rPr>
          <w:noProof/>
        </w:rPr>
        <w:tab/>
      </w:r>
      <w:r>
        <w:rPr>
          <w:noProof/>
        </w:rPr>
        <w:fldChar w:fldCharType="begin"/>
      </w:r>
      <w:r>
        <w:rPr>
          <w:noProof/>
        </w:rPr>
        <w:instrText xml:space="preserve"> PAGEREF _Toc158712525 \h </w:instrText>
      </w:r>
      <w:r>
        <w:rPr>
          <w:noProof/>
        </w:rPr>
      </w:r>
      <w:r>
        <w:rPr>
          <w:noProof/>
        </w:rPr>
        <w:fldChar w:fldCharType="separate"/>
      </w:r>
      <w:r>
        <w:rPr>
          <w:noProof/>
        </w:rPr>
        <w:t>404</w:t>
      </w:r>
      <w:r>
        <w:rPr>
          <w:noProof/>
        </w:rPr>
        <w:fldChar w:fldCharType="end"/>
      </w:r>
    </w:p>
    <w:p w14:paraId="7B777A55" w14:textId="3D10B9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7.9.07C  Remedies for Product Disclosure Statements for certain market</w:t>
      </w:r>
      <w:r>
        <w:rPr>
          <w:noProof/>
        </w:rPr>
        <w:noBreakHyphen/>
        <w:t>traded derivatives</w:t>
      </w:r>
      <w:r>
        <w:rPr>
          <w:noProof/>
        </w:rPr>
        <w:tab/>
      </w:r>
      <w:r>
        <w:rPr>
          <w:noProof/>
        </w:rPr>
        <w:fldChar w:fldCharType="begin"/>
      </w:r>
      <w:r>
        <w:rPr>
          <w:noProof/>
        </w:rPr>
        <w:instrText xml:space="preserve"> PAGEREF _Toc158712526 \h </w:instrText>
      </w:r>
      <w:r>
        <w:rPr>
          <w:noProof/>
        </w:rPr>
      </w:r>
      <w:r>
        <w:rPr>
          <w:noProof/>
        </w:rPr>
        <w:fldChar w:fldCharType="separate"/>
      </w:r>
      <w:r>
        <w:rPr>
          <w:noProof/>
        </w:rPr>
        <w:t>404</w:t>
      </w:r>
      <w:r>
        <w:rPr>
          <w:noProof/>
        </w:rPr>
        <w:fldChar w:fldCharType="end"/>
      </w:r>
    </w:p>
    <w:p w14:paraId="319D081D" w14:textId="4F7265C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2BA—Product Disclosure Statement for discretionary mutual funds</w:t>
      </w:r>
      <w:r>
        <w:rPr>
          <w:noProof/>
        </w:rPr>
        <w:tab/>
      </w:r>
      <w:r>
        <w:rPr>
          <w:noProof/>
        </w:rPr>
        <w:fldChar w:fldCharType="begin"/>
      </w:r>
      <w:r>
        <w:rPr>
          <w:noProof/>
        </w:rPr>
        <w:instrText xml:space="preserve"> PAGEREF _Toc158712527 \h </w:instrText>
      </w:r>
      <w:r>
        <w:rPr>
          <w:noProof/>
        </w:rPr>
      </w:r>
      <w:r>
        <w:rPr>
          <w:noProof/>
        </w:rPr>
        <w:fldChar w:fldCharType="separate"/>
      </w:r>
      <w:r>
        <w:rPr>
          <w:noProof/>
        </w:rPr>
        <w:t>405</w:t>
      </w:r>
      <w:r>
        <w:rPr>
          <w:noProof/>
        </w:rPr>
        <w:fldChar w:fldCharType="end"/>
      </w:r>
    </w:p>
    <w:p w14:paraId="704D167A" w14:textId="5D0EA81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7.9.07CA  Extension of Product Disclosure Statement requirements to wholesale clients</w:t>
      </w:r>
      <w:r>
        <w:rPr>
          <w:noProof/>
        </w:rPr>
        <w:tab/>
      </w:r>
      <w:r>
        <w:rPr>
          <w:noProof/>
        </w:rPr>
        <w:fldChar w:fldCharType="begin"/>
      </w:r>
      <w:r>
        <w:rPr>
          <w:noProof/>
        </w:rPr>
        <w:instrText xml:space="preserve"> PAGEREF _Toc158712528 \h </w:instrText>
      </w:r>
      <w:r>
        <w:rPr>
          <w:noProof/>
        </w:rPr>
      </w:r>
      <w:r>
        <w:rPr>
          <w:noProof/>
        </w:rPr>
        <w:fldChar w:fldCharType="separate"/>
      </w:r>
      <w:r>
        <w:rPr>
          <w:noProof/>
        </w:rPr>
        <w:t>405</w:t>
      </w:r>
      <w:r>
        <w:rPr>
          <w:noProof/>
        </w:rPr>
        <w:fldChar w:fldCharType="end"/>
      </w:r>
    </w:p>
    <w:p w14:paraId="58642D45" w14:textId="3F13251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2C—Situations where a Product Disclosure Statement is not required</w:t>
      </w:r>
      <w:r>
        <w:rPr>
          <w:noProof/>
        </w:rPr>
        <w:tab/>
      </w:r>
      <w:r>
        <w:rPr>
          <w:noProof/>
        </w:rPr>
        <w:fldChar w:fldCharType="begin"/>
      </w:r>
      <w:r>
        <w:rPr>
          <w:noProof/>
        </w:rPr>
        <w:instrText xml:space="preserve"> PAGEREF _Toc158712529 \h </w:instrText>
      </w:r>
      <w:r>
        <w:rPr>
          <w:noProof/>
        </w:rPr>
      </w:r>
      <w:r>
        <w:rPr>
          <w:noProof/>
        </w:rPr>
        <w:fldChar w:fldCharType="separate"/>
      </w:r>
      <w:r>
        <w:rPr>
          <w:noProof/>
        </w:rPr>
        <w:t>406</w:t>
      </w:r>
      <w:r>
        <w:rPr>
          <w:noProof/>
        </w:rPr>
        <w:fldChar w:fldCharType="end"/>
      </w:r>
    </w:p>
    <w:p w14:paraId="1629A016" w14:textId="0B4CFC3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7.9.07D  Product Disclosure Statement not required for offers of bundled contracts of insurance</w:t>
      </w:r>
      <w:r>
        <w:rPr>
          <w:noProof/>
        </w:rPr>
        <w:tab/>
      </w:r>
      <w:r>
        <w:rPr>
          <w:noProof/>
        </w:rPr>
        <w:fldChar w:fldCharType="begin"/>
      </w:r>
      <w:r>
        <w:rPr>
          <w:noProof/>
        </w:rPr>
        <w:instrText xml:space="preserve"> PAGEREF _Toc158712530 \h </w:instrText>
      </w:r>
      <w:r>
        <w:rPr>
          <w:noProof/>
        </w:rPr>
      </w:r>
      <w:r>
        <w:rPr>
          <w:noProof/>
        </w:rPr>
        <w:fldChar w:fldCharType="separate"/>
      </w:r>
      <w:r>
        <w:rPr>
          <w:noProof/>
        </w:rPr>
        <w:t>406</w:t>
      </w:r>
      <w:r>
        <w:rPr>
          <w:noProof/>
        </w:rPr>
        <w:fldChar w:fldCharType="end"/>
      </w:r>
    </w:p>
    <w:p w14:paraId="55EF34AC" w14:textId="15104F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7.9.07E  Product Disclosure Statement not required if offer of financial product is declined</w:t>
      </w:r>
      <w:r>
        <w:rPr>
          <w:noProof/>
        </w:rPr>
        <w:tab/>
      </w:r>
      <w:r>
        <w:rPr>
          <w:noProof/>
        </w:rPr>
        <w:fldChar w:fldCharType="begin"/>
      </w:r>
      <w:r>
        <w:rPr>
          <w:noProof/>
        </w:rPr>
        <w:instrText xml:space="preserve"> PAGEREF _Toc158712531 \h </w:instrText>
      </w:r>
      <w:r>
        <w:rPr>
          <w:noProof/>
        </w:rPr>
      </w:r>
      <w:r>
        <w:rPr>
          <w:noProof/>
        </w:rPr>
        <w:fldChar w:fldCharType="separate"/>
      </w:r>
      <w:r>
        <w:rPr>
          <w:noProof/>
        </w:rPr>
        <w:t>406</w:t>
      </w:r>
      <w:r>
        <w:rPr>
          <w:noProof/>
        </w:rPr>
        <w:fldChar w:fldCharType="end"/>
      </w:r>
    </w:p>
    <w:p w14:paraId="54C48BAA" w14:textId="6FC12AA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7.9.07F  Product Disclosure Statement not required if the client is not contactable</w:t>
      </w:r>
      <w:r>
        <w:rPr>
          <w:noProof/>
        </w:rPr>
        <w:tab/>
      </w:r>
      <w:r>
        <w:rPr>
          <w:noProof/>
        </w:rPr>
        <w:fldChar w:fldCharType="begin"/>
      </w:r>
      <w:r>
        <w:rPr>
          <w:noProof/>
        </w:rPr>
        <w:instrText xml:space="preserve"> PAGEREF _Toc158712532 \h </w:instrText>
      </w:r>
      <w:r>
        <w:rPr>
          <w:noProof/>
        </w:rPr>
      </w:r>
      <w:r>
        <w:rPr>
          <w:noProof/>
        </w:rPr>
        <w:fldChar w:fldCharType="separate"/>
      </w:r>
      <w:r>
        <w:rPr>
          <w:noProof/>
        </w:rPr>
        <w:t>406</w:t>
      </w:r>
      <w:r>
        <w:rPr>
          <w:noProof/>
        </w:rPr>
        <w:fldChar w:fldCharType="end"/>
      </w:r>
    </w:p>
    <w:p w14:paraId="132EE927" w14:textId="6122C3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7.9.07FA  Product Disclosure Statement not required for certain specified products</w:t>
      </w:r>
      <w:r>
        <w:rPr>
          <w:noProof/>
        </w:rPr>
        <w:tab/>
      </w:r>
      <w:r>
        <w:rPr>
          <w:noProof/>
        </w:rPr>
        <w:fldChar w:fldCharType="begin"/>
      </w:r>
      <w:r>
        <w:rPr>
          <w:noProof/>
        </w:rPr>
        <w:instrText xml:space="preserve"> PAGEREF _Toc158712533 \h </w:instrText>
      </w:r>
      <w:r>
        <w:rPr>
          <w:noProof/>
        </w:rPr>
      </w:r>
      <w:r>
        <w:rPr>
          <w:noProof/>
        </w:rPr>
        <w:fldChar w:fldCharType="separate"/>
      </w:r>
      <w:r>
        <w:rPr>
          <w:noProof/>
        </w:rPr>
        <w:t>406</w:t>
      </w:r>
      <w:r>
        <w:rPr>
          <w:noProof/>
        </w:rPr>
        <w:fldChar w:fldCharType="end"/>
      </w:r>
    </w:p>
    <w:p w14:paraId="09B34255" w14:textId="1169E9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7.9.07FB  Product Disclosure Statement not required if client not in this jurisdiction</w:t>
      </w:r>
      <w:r>
        <w:rPr>
          <w:noProof/>
        </w:rPr>
        <w:tab/>
      </w:r>
      <w:r>
        <w:rPr>
          <w:noProof/>
        </w:rPr>
        <w:fldChar w:fldCharType="begin"/>
      </w:r>
      <w:r>
        <w:rPr>
          <w:noProof/>
        </w:rPr>
        <w:instrText xml:space="preserve"> PAGEREF _Toc158712534 \h </w:instrText>
      </w:r>
      <w:r>
        <w:rPr>
          <w:noProof/>
        </w:rPr>
      </w:r>
      <w:r>
        <w:rPr>
          <w:noProof/>
        </w:rPr>
        <w:fldChar w:fldCharType="separate"/>
      </w:r>
      <w:r>
        <w:rPr>
          <w:noProof/>
        </w:rPr>
        <w:t>407</w:t>
      </w:r>
      <w:r>
        <w:rPr>
          <w:noProof/>
        </w:rPr>
        <w:fldChar w:fldCharType="end"/>
      </w:r>
    </w:p>
    <w:p w14:paraId="3D045D18" w14:textId="3358A77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7.9.07FC  Product Disclosure Statement not required general insurance situation</w:t>
      </w:r>
      <w:r>
        <w:rPr>
          <w:noProof/>
        </w:rPr>
        <w:tab/>
      </w:r>
      <w:r>
        <w:rPr>
          <w:noProof/>
        </w:rPr>
        <w:fldChar w:fldCharType="begin"/>
      </w:r>
      <w:r>
        <w:rPr>
          <w:noProof/>
        </w:rPr>
        <w:instrText xml:space="preserve"> PAGEREF _Toc158712535 \h </w:instrText>
      </w:r>
      <w:r>
        <w:rPr>
          <w:noProof/>
        </w:rPr>
      </w:r>
      <w:r>
        <w:rPr>
          <w:noProof/>
        </w:rPr>
        <w:fldChar w:fldCharType="separate"/>
      </w:r>
      <w:r>
        <w:rPr>
          <w:noProof/>
        </w:rPr>
        <w:t>407</w:t>
      </w:r>
      <w:r>
        <w:rPr>
          <w:noProof/>
        </w:rPr>
        <w:fldChar w:fldCharType="end"/>
      </w:r>
    </w:p>
    <w:p w14:paraId="6B742D9E" w14:textId="1924E7D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2D—Preparation and content of Product Disclosure Statements</w:t>
      </w:r>
      <w:r>
        <w:rPr>
          <w:noProof/>
        </w:rPr>
        <w:tab/>
      </w:r>
      <w:r>
        <w:rPr>
          <w:noProof/>
        </w:rPr>
        <w:fldChar w:fldCharType="begin"/>
      </w:r>
      <w:r>
        <w:rPr>
          <w:noProof/>
        </w:rPr>
        <w:instrText xml:space="preserve"> PAGEREF _Toc158712536 \h </w:instrText>
      </w:r>
      <w:r>
        <w:rPr>
          <w:noProof/>
        </w:rPr>
      </w:r>
      <w:r>
        <w:rPr>
          <w:noProof/>
        </w:rPr>
        <w:fldChar w:fldCharType="separate"/>
      </w:r>
      <w:r>
        <w:rPr>
          <w:noProof/>
        </w:rPr>
        <w:t>408</w:t>
      </w:r>
      <w:r>
        <w:rPr>
          <w:noProof/>
        </w:rPr>
        <w:fldChar w:fldCharType="end"/>
      </w:r>
    </w:p>
    <w:p w14:paraId="630706AD" w14:textId="2D81A75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7.9.07J  Only 1 responsible person for a Product Disclosure Statement</w:t>
      </w:r>
      <w:r>
        <w:rPr>
          <w:noProof/>
        </w:rPr>
        <w:tab/>
      </w:r>
      <w:r>
        <w:rPr>
          <w:noProof/>
        </w:rPr>
        <w:fldChar w:fldCharType="begin"/>
      </w:r>
      <w:r>
        <w:rPr>
          <w:noProof/>
        </w:rPr>
        <w:instrText xml:space="preserve"> PAGEREF _Toc158712537 \h </w:instrText>
      </w:r>
      <w:r>
        <w:rPr>
          <w:noProof/>
        </w:rPr>
      </w:r>
      <w:r>
        <w:rPr>
          <w:noProof/>
        </w:rPr>
        <w:fldChar w:fldCharType="separate"/>
      </w:r>
      <w:r>
        <w:rPr>
          <w:noProof/>
        </w:rPr>
        <w:t>408</w:t>
      </w:r>
      <w:r>
        <w:rPr>
          <w:noProof/>
        </w:rPr>
        <w:fldChar w:fldCharType="end"/>
      </w:r>
    </w:p>
    <w:p w14:paraId="1F97F37D" w14:textId="734C193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7.9.07K  Definition of </w:t>
      </w:r>
      <w:r w:rsidRPr="00FC743A">
        <w:rPr>
          <w:i/>
          <w:noProof/>
        </w:rPr>
        <w:t>defective</w:t>
      </w:r>
      <w:r>
        <w:rPr>
          <w:noProof/>
        </w:rPr>
        <w:t>: Product Disclosure Statement, Short</w:t>
      </w:r>
      <w:r>
        <w:rPr>
          <w:noProof/>
        </w:rPr>
        <w:noBreakHyphen/>
        <w:t>Form PDS or Replacement Product Disclosure Statement</w:t>
      </w:r>
      <w:r>
        <w:rPr>
          <w:noProof/>
        </w:rPr>
        <w:tab/>
      </w:r>
      <w:r>
        <w:rPr>
          <w:noProof/>
        </w:rPr>
        <w:fldChar w:fldCharType="begin"/>
      </w:r>
      <w:r>
        <w:rPr>
          <w:noProof/>
        </w:rPr>
        <w:instrText xml:space="preserve"> PAGEREF _Toc158712538 \h </w:instrText>
      </w:r>
      <w:r>
        <w:rPr>
          <w:noProof/>
        </w:rPr>
      </w:r>
      <w:r>
        <w:rPr>
          <w:noProof/>
        </w:rPr>
        <w:fldChar w:fldCharType="separate"/>
      </w:r>
      <w:r>
        <w:rPr>
          <w:noProof/>
        </w:rPr>
        <w:t>408</w:t>
      </w:r>
      <w:r>
        <w:rPr>
          <w:noProof/>
        </w:rPr>
        <w:fldChar w:fldCharType="end"/>
      </w:r>
    </w:p>
    <w:p w14:paraId="2364D7AE" w14:textId="59C9426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2E—Obligation to make information publicly available: registrable superannuation entities</w:t>
      </w:r>
      <w:r>
        <w:rPr>
          <w:noProof/>
        </w:rPr>
        <w:tab/>
      </w:r>
      <w:r>
        <w:rPr>
          <w:noProof/>
        </w:rPr>
        <w:fldChar w:fldCharType="begin"/>
      </w:r>
      <w:r>
        <w:rPr>
          <w:noProof/>
        </w:rPr>
        <w:instrText xml:space="preserve"> PAGEREF _Toc158712539 \h </w:instrText>
      </w:r>
      <w:r>
        <w:rPr>
          <w:noProof/>
        </w:rPr>
      </w:r>
      <w:r>
        <w:rPr>
          <w:noProof/>
        </w:rPr>
        <w:fldChar w:fldCharType="separate"/>
      </w:r>
      <w:r>
        <w:rPr>
          <w:noProof/>
        </w:rPr>
        <w:t>409</w:t>
      </w:r>
      <w:r>
        <w:rPr>
          <w:noProof/>
        </w:rPr>
        <w:fldChar w:fldCharType="end"/>
      </w:r>
    </w:p>
    <w:p w14:paraId="6EB2FCCF" w14:textId="0D8B4DA0"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2E.1—Obligation to make product dashboard publicly available</w:t>
      </w:r>
      <w:r>
        <w:rPr>
          <w:noProof/>
        </w:rPr>
        <w:tab/>
      </w:r>
      <w:r>
        <w:rPr>
          <w:noProof/>
        </w:rPr>
        <w:fldChar w:fldCharType="begin"/>
      </w:r>
      <w:r>
        <w:rPr>
          <w:noProof/>
        </w:rPr>
        <w:instrText xml:space="preserve"> PAGEREF _Toc158712540 \h </w:instrText>
      </w:r>
      <w:r>
        <w:rPr>
          <w:noProof/>
        </w:rPr>
      </w:r>
      <w:r>
        <w:rPr>
          <w:noProof/>
        </w:rPr>
        <w:fldChar w:fldCharType="separate"/>
      </w:r>
      <w:r>
        <w:rPr>
          <w:noProof/>
        </w:rPr>
        <w:t>409</w:t>
      </w:r>
      <w:r>
        <w:rPr>
          <w:noProof/>
        </w:rPr>
        <w:fldChar w:fldCharType="end"/>
      </w:r>
    </w:p>
    <w:p w14:paraId="63997FCB" w14:textId="371DCA5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7.9.07L  Modification of Act</w:t>
      </w:r>
      <w:r>
        <w:rPr>
          <w:noProof/>
        </w:rPr>
        <w:tab/>
      </w:r>
      <w:r>
        <w:rPr>
          <w:noProof/>
        </w:rPr>
        <w:fldChar w:fldCharType="begin"/>
      </w:r>
      <w:r>
        <w:rPr>
          <w:noProof/>
        </w:rPr>
        <w:instrText xml:space="preserve"> PAGEREF _Toc158712541 \h </w:instrText>
      </w:r>
      <w:r>
        <w:rPr>
          <w:noProof/>
        </w:rPr>
      </w:r>
      <w:r>
        <w:rPr>
          <w:noProof/>
        </w:rPr>
        <w:fldChar w:fldCharType="separate"/>
      </w:r>
      <w:r>
        <w:rPr>
          <w:noProof/>
        </w:rPr>
        <w:t>409</w:t>
      </w:r>
      <w:r>
        <w:rPr>
          <w:noProof/>
        </w:rPr>
        <w:fldChar w:fldCharType="end"/>
      </w:r>
    </w:p>
    <w:p w14:paraId="12C86C7C" w14:textId="797BE6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7.9.07M  Source of power for this Subdivision</w:t>
      </w:r>
      <w:r>
        <w:rPr>
          <w:noProof/>
        </w:rPr>
        <w:tab/>
      </w:r>
      <w:r>
        <w:rPr>
          <w:noProof/>
        </w:rPr>
        <w:fldChar w:fldCharType="begin"/>
      </w:r>
      <w:r>
        <w:rPr>
          <w:noProof/>
        </w:rPr>
        <w:instrText xml:space="preserve"> PAGEREF _Toc158712542 \h </w:instrText>
      </w:r>
      <w:r>
        <w:rPr>
          <w:noProof/>
        </w:rPr>
      </w:r>
      <w:r>
        <w:rPr>
          <w:noProof/>
        </w:rPr>
        <w:fldChar w:fldCharType="separate"/>
      </w:r>
      <w:r>
        <w:rPr>
          <w:noProof/>
        </w:rPr>
        <w:t>409</w:t>
      </w:r>
      <w:r>
        <w:rPr>
          <w:noProof/>
        </w:rPr>
        <w:fldChar w:fldCharType="end"/>
      </w:r>
    </w:p>
    <w:p w14:paraId="2DF68D71" w14:textId="689156E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7.9.07N  Definitions</w:t>
      </w:r>
      <w:r>
        <w:rPr>
          <w:noProof/>
        </w:rPr>
        <w:tab/>
      </w:r>
      <w:r>
        <w:rPr>
          <w:noProof/>
        </w:rPr>
        <w:fldChar w:fldCharType="begin"/>
      </w:r>
      <w:r>
        <w:rPr>
          <w:noProof/>
        </w:rPr>
        <w:instrText xml:space="preserve"> PAGEREF _Toc158712543 \h </w:instrText>
      </w:r>
      <w:r>
        <w:rPr>
          <w:noProof/>
        </w:rPr>
      </w:r>
      <w:r>
        <w:rPr>
          <w:noProof/>
        </w:rPr>
        <w:fldChar w:fldCharType="separate"/>
      </w:r>
      <w:r>
        <w:rPr>
          <w:noProof/>
        </w:rPr>
        <w:t>409</w:t>
      </w:r>
      <w:r>
        <w:rPr>
          <w:noProof/>
        </w:rPr>
        <w:fldChar w:fldCharType="end"/>
      </w:r>
    </w:p>
    <w:p w14:paraId="669CEAF6" w14:textId="013A46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7.9.07P  Meaning of </w:t>
      </w:r>
      <w:r w:rsidRPr="00FC743A">
        <w:rPr>
          <w:i/>
          <w:noProof/>
        </w:rPr>
        <w:t>MySuper product dashboard reporting standards</w:t>
      </w:r>
      <w:r>
        <w:rPr>
          <w:noProof/>
        </w:rPr>
        <w:tab/>
      </w:r>
      <w:r>
        <w:rPr>
          <w:noProof/>
        </w:rPr>
        <w:fldChar w:fldCharType="begin"/>
      </w:r>
      <w:r>
        <w:rPr>
          <w:noProof/>
        </w:rPr>
        <w:instrText xml:space="preserve"> PAGEREF _Toc158712544 \h </w:instrText>
      </w:r>
      <w:r>
        <w:rPr>
          <w:noProof/>
        </w:rPr>
      </w:r>
      <w:r>
        <w:rPr>
          <w:noProof/>
        </w:rPr>
        <w:fldChar w:fldCharType="separate"/>
      </w:r>
      <w:r>
        <w:rPr>
          <w:noProof/>
        </w:rPr>
        <w:t>409</w:t>
      </w:r>
      <w:r>
        <w:rPr>
          <w:noProof/>
        </w:rPr>
        <w:fldChar w:fldCharType="end"/>
      </w:r>
    </w:p>
    <w:p w14:paraId="2CEEC113" w14:textId="3AD161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7.9.07Q  Product dashboard—how information must be set out</w:t>
      </w:r>
      <w:r>
        <w:rPr>
          <w:noProof/>
        </w:rPr>
        <w:tab/>
      </w:r>
      <w:r>
        <w:rPr>
          <w:noProof/>
        </w:rPr>
        <w:fldChar w:fldCharType="begin"/>
      </w:r>
      <w:r>
        <w:rPr>
          <w:noProof/>
        </w:rPr>
        <w:instrText xml:space="preserve"> PAGEREF _Toc158712545 \h </w:instrText>
      </w:r>
      <w:r>
        <w:rPr>
          <w:noProof/>
        </w:rPr>
      </w:r>
      <w:r>
        <w:rPr>
          <w:noProof/>
        </w:rPr>
        <w:fldChar w:fldCharType="separate"/>
      </w:r>
      <w:r>
        <w:rPr>
          <w:noProof/>
        </w:rPr>
        <w:t>409</w:t>
      </w:r>
      <w:r>
        <w:rPr>
          <w:noProof/>
        </w:rPr>
        <w:fldChar w:fldCharType="end"/>
      </w:r>
    </w:p>
    <w:p w14:paraId="5E71CA58" w14:textId="174912F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7.9.07R  Product dashboard—return target</w:t>
      </w:r>
      <w:r>
        <w:rPr>
          <w:noProof/>
        </w:rPr>
        <w:tab/>
      </w:r>
      <w:r>
        <w:rPr>
          <w:noProof/>
        </w:rPr>
        <w:fldChar w:fldCharType="begin"/>
      </w:r>
      <w:r>
        <w:rPr>
          <w:noProof/>
        </w:rPr>
        <w:instrText xml:space="preserve"> PAGEREF _Toc158712546 \h </w:instrText>
      </w:r>
      <w:r>
        <w:rPr>
          <w:noProof/>
        </w:rPr>
      </w:r>
      <w:r>
        <w:rPr>
          <w:noProof/>
        </w:rPr>
        <w:fldChar w:fldCharType="separate"/>
      </w:r>
      <w:r>
        <w:rPr>
          <w:noProof/>
        </w:rPr>
        <w:t>410</w:t>
      </w:r>
      <w:r>
        <w:rPr>
          <w:noProof/>
        </w:rPr>
        <w:fldChar w:fldCharType="end"/>
      </w:r>
    </w:p>
    <w:p w14:paraId="4E6C8702" w14:textId="4958757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7.9.07S  Product dashboard—return</w:t>
      </w:r>
      <w:r>
        <w:rPr>
          <w:noProof/>
        </w:rPr>
        <w:tab/>
      </w:r>
      <w:r>
        <w:rPr>
          <w:noProof/>
        </w:rPr>
        <w:fldChar w:fldCharType="begin"/>
      </w:r>
      <w:r>
        <w:rPr>
          <w:noProof/>
        </w:rPr>
        <w:instrText xml:space="preserve"> PAGEREF _Toc158712547 \h </w:instrText>
      </w:r>
      <w:r>
        <w:rPr>
          <w:noProof/>
        </w:rPr>
      </w:r>
      <w:r>
        <w:rPr>
          <w:noProof/>
        </w:rPr>
        <w:fldChar w:fldCharType="separate"/>
      </w:r>
      <w:r>
        <w:rPr>
          <w:noProof/>
        </w:rPr>
        <w:t>410</w:t>
      </w:r>
      <w:r>
        <w:rPr>
          <w:noProof/>
        </w:rPr>
        <w:fldChar w:fldCharType="end"/>
      </w:r>
    </w:p>
    <w:p w14:paraId="348426ED" w14:textId="3A04110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7.9.07T  Product dashboard—comparison between return target and return</w:t>
      </w:r>
      <w:r>
        <w:rPr>
          <w:noProof/>
        </w:rPr>
        <w:tab/>
      </w:r>
      <w:r>
        <w:rPr>
          <w:noProof/>
        </w:rPr>
        <w:fldChar w:fldCharType="begin"/>
      </w:r>
      <w:r>
        <w:rPr>
          <w:noProof/>
        </w:rPr>
        <w:instrText xml:space="preserve"> PAGEREF _Toc158712548 \h </w:instrText>
      </w:r>
      <w:r>
        <w:rPr>
          <w:noProof/>
        </w:rPr>
      </w:r>
      <w:r>
        <w:rPr>
          <w:noProof/>
        </w:rPr>
        <w:fldChar w:fldCharType="separate"/>
      </w:r>
      <w:r>
        <w:rPr>
          <w:noProof/>
        </w:rPr>
        <w:t>411</w:t>
      </w:r>
      <w:r>
        <w:rPr>
          <w:noProof/>
        </w:rPr>
        <w:fldChar w:fldCharType="end"/>
      </w:r>
    </w:p>
    <w:p w14:paraId="4CD62BB6" w14:textId="5902259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7.9.07U  Comparison to be set out as a graph</w:t>
      </w:r>
      <w:r>
        <w:rPr>
          <w:noProof/>
        </w:rPr>
        <w:tab/>
      </w:r>
      <w:r>
        <w:rPr>
          <w:noProof/>
        </w:rPr>
        <w:fldChar w:fldCharType="begin"/>
      </w:r>
      <w:r>
        <w:rPr>
          <w:noProof/>
        </w:rPr>
        <w:instrText xml:space="preserve"> PAGEREF _Toc158712549 \h </w:instrText>
      </w:r>
      <w:r>
        <w:rPr>
          <w:noProof/>
        </w:rPr>
      </w:r>
      <w:r>
        <w:rPr>
          <w:noProof/>
        </w:rPr>
        <w:fldChar w:fldCharType="separate"/>
      </w:r>
      <w:r>
        <w:rPr>
          <w:noProof/>
        </w:rPr>
        <w:t>411</w:t>
      </w:r>
      <w:r>
        <w:rPr>
          <w:noProof/>
        </w:rPr>
        <w:fldChar w:fldCharType="end"/>
      </w:r>
    </w:p>
    <w:p w14:paraId="4F57C83F" w14:textId="4621E21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7.9.07V  Product dashboard—level of investment risk</w:t>
      </w:r>
      <w:r>
        <w:rPr>
          <w:noProof/>
        </w:rPr>
        <w:tab/>
      </w:r>
      <w:r>
        <w:rPr>
          <w:noProof/>
        </w:rPr>
        <w:fldChar w:fldCharType="begin"/>
      </w:r>
      <w:r>
        <w:rPr>
          <w:noProof/>
        </w:rPr>
        <w:instrText xml:space="preserve"> PAGEREF _Toc158712550 \h </w:instrText>
      </w:r>
      <w:r>
        <w:rPr>
          <w:noProof/>
        </w:rPr>
      </w:r>
      <w:r>
        <w:rPr>
          <w:noProof/>
        </w:rPr>
        <w:fldChar w:fldCharType="separate"/>
      </w:r>
      <w:r>
        <w:rPr>
          <w:noProof/>
        </w:rPr>
        <w:t>411</w:t>
      </w:r>
      <w:r>
        <w:rPr>
          <w:noProof/>
        </w:rPr>
        <w:fldChar w:fldCharType="end"/>
      </w:r>
    </w:p>
    <w:p w14:paraId="75A9FEA3" w14:textId="7B58DD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7.9.07W  Product dashboard—statement of fees and other costs</w:t>
      </w:r>
      <w:r>
        <w:rPr>
          <w:noProof/>
        </w:rPr>
        <w:tab/>
      </w:r>
      <w:r>
        <w:rPr>
          <w:noProof/>
        </w:rPr>
        <w:fldChar w:fldCharType="begin"/>
      </w:r>
      <w:r>
        <w:rPr>
          <w:noProof/>
        </w:rPr>
        <w:instrText xml:space="preserve"> PAGEREF _Toc158712551 \h </w:instrText>
      </w:r>
      <w:r>
        <w:rPr>
          <w:noProof/>
        </w:rPr>
      </w:r>
      <w:r>
        <w:rPr>
          <w:noProof/>
        </w:rPr>
        <w:fldChar w:fldCharType="separate"/>
      </w:r>
      <w:r>
        <w:rPr>
          <w:noProof/>
        </w:rPr>
        <w:t>412</w:t>
      </w:r>
      <w:r>
        <w:rPr>
          <w:noProof/>
        </w:rPr>
        <w:fldChar w:fldCharType="end"/>
      </w:r>
    </w:p>
    <w:p w14:paraId="159AA6AF" w14:textId="28556A4F"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2E.2—Making portfolio holding information publicly available</w:t>
      </w:r>
      <w:r>
        <w:rPr>
          <w:noProof/>
        </w:rPr>
        <w:tab/>
      </w:r>
      <w:r>
        <w:rPr>
          <w:noProof/>
        </w:rPr>
        <w:fldChar w:fldCharType="begin"/>
      </w:r>
      <w:r>
        <w:rPr>
          <w:noProof/>
        </w:rPr>
        <w:instrText xml:space="preserve"> PAGEREF _Toc158712552 \h </w:instrText>
      </w:r>
      <w:r>
        <w:rPr>
          <w:noProof/>
        </w:rPr>
      </w:r>
      <w:r>
        <w:rPr>
          <w:noProof/>
        </w:rPr>
        <w:fldChar w:fldCharType="separate"/>
      </w:r>
      <w:r>
        <w:rPr>
          <w:noProof/>
        </w:rPr>
        <w:t>412</w:t>
      </w:r>
      <w:r>
        <w:rPr>
          <w:noProof/>
        </w:rPr>
        <w:fldChar w:fldCharType="end"/>
      </w:r>
    </w:p>
    <w:p w14:paraId="68F9379A" w14:textId="7584F11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7.9.07Z  Kinds of disclosable item for aggregated reporting</w:t>
      </w:r>
      <w:r>
        <w:rPr>
          <w:noProof/>
        </w:rPr>
        <w:tab/>
      </w:r>
      <w:r>
        <w:rPr>
          <w:noProof/>
        </w:rPr>
        <w:fldChar w:fldCharType="begin"/>
      </w:r>
      <w:r>
        <w:rPr>
          <w:noProof/>
        </w:rPr>
        <w:instrText xml:space="preserve"> PAGEREF _Toc158712553 \h </w:instrText>
      </w:r>
      <w:r>
        <w:rPr>
          <w:noProof/>
        </w:rPr>
      </w:r>
      <w:r>
        <w:rPr>
          <w:noProof/>
        </w:rPr>
        <w:fldChar w:fldCharType="separate"/>
      </w:r>
      <w:r>
        <w:rPr>
          <w:noProof/>
        </w:rPr>
        <w:t>412</w:t>
      </w:r>
      <w:r>
        <w:rPr>
          <w:noProof/>
        </w:rPr>
        <w:fldChar w:fldCharType="end"/>
      </w:r>
    </w:p>
    <w:p w14:paraId="3BD6F958" w14:textId="262F5D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7.9.07ZA  Way the information must be organised</w:t>
      </w:r>
      <w:r>
        <w:rPr>
          <w:noProof/>
        </w:rPr>
        <w:tab/>
      </w:r>
      <w:r>
        <w:rPr>
          <w:noProof/>
        </w:rPr>
        <w:fldChar w:fldCharType="begin"/>
      </w:r>
      <w:r>
        <w:rPr>
          <w:noProof/>
        </w:rPr>
        <w:instrText xml:space="preserve"> PAGEREF _Toc158712554 \h </w:instrText>
      </w:r>
      <w:r>
        <w:rPr>
          <w:noProof/>
        </w:rPr>
      </w:r>
      <w:r>
        <w:rPr>
          <w:noProof/>
        </w:rPr>
        <w:fldChar w:fldCharType="separate"/>
      </w:r>
      <w:r>
        <w:rPr>
          <w:noProof/>
        </w:rPr>
        <w:t>412</w:t>
      </w:r>
      <w:r>
        <w:rPr>
          <w:noProof/>
        </w:rPr>
        <w:fldChar w:fldCharType="end"/>
      </w:r>
    </w:p>
    <w:p w14:paraId="41287C1C" w14:textId="3875808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2E.3—Additional obligations to provide information</w:t>
      </w:r>
      <w:r>
        <w:rPr>
          <w:noProof/>
        </w:rPr>
        <w:tab/>
      </w:r>
      <w:r>
        <w:rPr>
          <w:noProof/>
        </w:rPr>
        <w:fldChar w:fldCharType="begin"/>
      </w:r>
      <w:r>
        <w:rPr>
          <w:noProof/>
        </w:rPr>
        <w:instrText xml:space="preserve"> PAGEREF _Toc158712555 \h </w:instrText>
      </w:r>
      <w:r>
        <w:rPr>
          <w:noProof/>
        </w:rPr>
      </w:r>
      <w:r>
        <w:rPr>
          <w:noProof/>
        </w:rPr>
        <w:fldChar w:fldCharType="separate"/>
      </w:r>
      <w:r>
        <w:rPr>
          <w:noProof/>
        </w:rPr>
        <w:t>412</w:t>
      </w:r>
      <w:r>
        <w:rPr>
          <w:noProof/>
        </w:rPr>
        <w:fldChar w:fldCharType="end"/>
      </w:r>
    </w:p>
    <w:p w14:paraId="492E2187" w14:textId="505374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7.9.07ZB  Obligation to provide information to the holder of a superannuation product via website</w:t>
      </w:r>
      <w:r>
        <w:rPr>
          <w:noProof/>
        </w:rPr>
        <w:tab/>
      </w:r>
      <w:r>
        <w:rPr>
          <w:noProof/>
        </w:rPr>
        <w:fldChar w:fldCharType="begin"/>
      </w:r>
      <w:r>
        <w:rPr>
          <w:noProof/>
        </w:rPr>
        <w:instrText xml:space="preserve"> PAGEREF _Toc158712556 \h </w:instrText>
      </w:r>
      <w:r>
        <w:rPr>
          <w:noProof/>
        </w:rPr>
      </w:r>
      <w:r>
        <w:rPr>
          <w:noProof/>
        </w:rPr>
        <w:fldChar w:fldCharType="separate"/>
      </w:r>
      <w:r>
        <w:rPr>
          <w:noProof/>
        </w:rPr>
        <w:t>412</w:t>
      </w:r>
      <w:r>
        <w:rPr>
          <w:noProof/>
        </w:rPr>
        <w:fldChar w:fldCharType="end"/>
      </w:r>
    </w:p>
    <w:p w14:paraId="09C90C57" w14:textId="049C95B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7.9.07ZC  Transitional obligation to provide information to the holder of a superannuation product via website</w:t>
      </w:r>
      <w:r>
        <w:rPr>
          <w:noProof/>
        </w:rPr>
        <w:tab/>
      </w:r>
      <w:r>
        <w:rPr>
          <w:noProof/>
        </w:rPr>
        <w:fldChar w:fldCharType="begin"/>
      </w:r>
      <w:r>
        <w:rPr>
          <w:noProof/>
        </w:rPr>
        <w:instrText xml:space="preserve"> PAGEREF _Toc158712557 \h </w:instrText>
      </w:r>
      <w:r>
        <w:rPr>
          <w:noProof/>
        </w:rPr>
      </w:r>
      <w:r>
        <w:rPr>
          <w:noProof/>
        </w:rPr>
        <w:fldChar w:fldCharType="separate"/>
      </w:r>
      <w:r>
        <w:rPr>
          <w:noProof/>
        </w:rPr>
        <w:t>415</w:t>
      </w:r>
      <w:r>
        <w:rPr>
          <w:noProof/>
        </w:rPr>
        <w:fldChar w:fldCharType="end"/>
      </w:r>
    </w:p>
    <w:p w14:paraId="00EB2659" w14:textId="191AAA3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Dealing with money received for financial product before the product is issued</w:t>
      </w:r>
      <w:r>
        <w:rPr>
          <w:noProof/>
        </w:rPr>
        <w:tab/>
      </w:r>
      <w:r>
        <w:rPr>
          <w:noProof/>
        </w:rPr>
        <w:fldChar w:fldCharType="begin"/>
      </w:r>
      <w:r>
        <w:rPr>
          <w:noProof/>
        </w:rPr>
        <w:instrText xml:space="preserve"> PAGEREF _Toc158712558 \h </w:instrText>
      </w:r>
      <w:r>
        <w:rPr>
          <w:noProof/>
        </w:rPr>
      </w:r>
      <w:r>
        <w:rPr>
          <w:noProof/>
        </w:rPr>
        <w:fldChar w:fldCharType="separate"/>
      </w:r>
      <w:r>
        <w:rPr>
          <w:noProof/>
        </w:rPr>
        <w:t>417</w:t>
      </w:r>
      <w:r>
        <w:rPr>
          <w:noProof/>
        </w:rPr>
        <w:fldChar w:fldCharType="end"/>
      </w:r>
    </w:p>
    <w:p w14:paraId="582AD569" w14:textId="37715A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7.9.08  Accounts</w:t>
      </w:r>
      <w:r>
        <w:rPr>
          <w:noProof/>
        </w:rPr>
        <w:tab/>
      </w:r>
      <w:r>
        <w:rPr>
          <w:noProof/>
        </w:rPr>
        <w:fldChar w:fldCharType="begin"/>
      </w:r>
      <w:r>
        <w:rPr>
          <w:noProof/>
        </w:rPr>
        <w:instrText xml:space="preserve"> PAGEREF _Toc158712559 \h </w:instrText>
      </w:r>
      <w:r>
        <w:rPr>
          <w:noProof/>
        </w:rPr>
      </w:r>
      <w:r>
        <w:rPr>
          <w:noProof/>
        </w:rPr>
        <w:fldChar w:fldCharType="separate"/>
      </w:r>
      <w:r>
        <w:rPr>
          <w:noProof/>
        </w:rPr>
        <w:t>417</w:t>
      </w:r>
      <w:r>
        <w:rPr>
          <w:noProof/>
        </w:rPr>
        <w:fldChar w:fldCharType="end"/>
      </w:r>
    </w:p>
    <w:p w14:paraId="7E49F602" w14:textId="6E4AE34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7.9.08A  Dealing with interest</w:t>
      </w:r>
      <w:r>
        <w:rPr>
          <w:noProof/>
        </w:rPr>
        <w:tab/>
      </w:r>
      <w:r>
        <w:rPr>
          <w:noProof/>
        </w:rPr>
        <w:fldChar w:fldCharType="begin"/>
      </w:r>
      <w:r>
        <w:rPr>
          <w:noProof/>
        </w:rPr>
        <w:instrText xml:space="preserve"> PAGEREF _Toc158712560 \h </w:instrText>
      </w:r>
      <w:r>
        <w:rPr>
          <w:noProof/>
        </w:rPr>
      </w:r>
      <w:r>
        <w:rPr>
          <w:noProof/>
        </w:rPr>
        <w:fldChar w:fldCharType="separate"/>
      </w:r>
      <w:r>
        <w:rPr>
          <w:noProof/>
        </w:rPr>
        <w:t>417</w:t>
      </w:r>
      <w:r>
        <w:rPr>
          <w:noProof/>
        </w:rPr>
        <w:fldChar w:fldCharType="end"/>
      </w:r>
    </w:p>
    <w:p w14:paraId="766FA05C" w14:textId="3E7D5BA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7.9.08B  Crediting of payments before money is received</w:t>
      </w:r>
      <w:r>
        <w:rPr>
          <w:noProof/>
        </w:rPr>
        <w:tab/>
      </w:r>
      <w:r>
        <w:rPr>
          <w:noProof/>
        </w:rPr>
        <w:fldChar w:fldCharType="begin"/>
      </w:r>
      <w:r>
        <w:rPr>
          <w:noProof/>
        </w:rPr>
        <w:instrText xml:space="preserve"> PAGEREF _Toc158712561 \h </w:instrText>
      </w:r>
      <w:r>
        <w:rPr>
          <w:noProof/>
        </w:rPr>
      </w:r>
      <w:r>
        <w:rPr>
          <w:noProof/>
        </w:rPr>
        <w:fldChar w:fldCharType="separate"/>
      </w:r>
      <w:r>
        <w:rPr>
          <w:noProof/>
        </w:rPr>
        <w:t>417</w:t>
      </w:r>
      <w:r>
        <w:rPr>
          <w:noProof/>
        </w:rPr>
        <w:fldChar w:fldCharType="end"/>
      </w:r>
    </w:p>
    <w:p w14:paraId="3367F085" w14:textId="5B7E500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7.9.08C  Money held in trust for a superannuation product or RSA</w:t>
      </w:r>
      <w:r>
        <w:rPr>
          <w:noProof/>
        </w:rPr>
        <w:tab/>
      </w:r>
      <w:r>
        <w:rPr>
          <w:noProof/>
        </w:rPr>
        <w:fldChar w:fldCharType="begin"/>
      </w:r>
      <w:r>
        <w:rPr>
          <w:noProof/>
        </w:rPr>
        <w:instrText xml:space="preserve"> PAGEREF _Toc158712562 \h </w:instrText>
      </w:r>
      <w:r>
        <w:rPr>
          <w:noProof/>
        </w:rPr>
      </w:r>
      <w:r>
        <w:rPr>
          <w:noProof/>
        </w:rPr>
        <w:fldChar w:fldCharType="separate"/>
      </w:r>
      <w:r>
        <w:rPr>
          <w:noProof/>
        </w:rPr>
        <w:t>418</w:t>
      </w:r>
      <w:r>
        <w:rPr>
          <w:noProof/>
        </w:rPr>
        <w:fldChar w:fldCharType="end"/>
      </w:r>
    </w:p>
    <w:p w14:paraId="3582E4FA" w14:textId="55B9C0F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7.9.08D  Statutory funds under the </w:t>
      </w:r>
      <w:r w:rsidRPr="00FC743A">
        <w:rPr>
          <w:i/>
          <w:noProof/>
        </w:rPr>
        <w:t>Life Insurance Act 1995</w:t>
      </w:r>
      <w:r>
        <w:rPr>
          <w:noProof/>
        </w:rPr>
        <w:tab/>
      </w:r>
      <w:r>
        <w:rPr>
          <w:noProof/>
        </w:rPr>
        <w:fldChar w:fldCharType="begin"/>
      </w:r>
      <w:r>
        <w:rPr>
          <w:noProof/>
        </w:rPr>
        <w:instrText xml:space="preserve"> PAGEREF _Toc158712563 \h </w:instrText>
      </w:r>
      <w:r>
        <w:rPr>
          <w:noProof/>
        </w:rPr>
      </w:r>
      <w:r>
        <w:rPr>
          <w:noProof/>
        </w:rPr>
        <w:fldChar w:fldCharType="separate"/>
      </w:r>
      <w:r>
        <w:rPr>
          <w:noProof/>
        </w:rPr>
        <w:t>418</w:t>
      </w:r>
      <w:r>
        <w:rPr>
          <w:noProof/>
        </w:rPr>
        <w:fldChar w:fldCharType="end"/>
      </w:r>
    </w:p>
    <w:p w14:paraId="7997094F" w14:textId="6E17ED2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w:t>
      </w:r>
      <w:r w:rsidRPr="00FC743A">
        <w:rPr>
          <w:noProof/>
          <w:color w:val="000000"/>
        </w:rPr>
        <w:t>—</w:t>
      </w:r>
      <w:r>
        <w:rPr>
          <w:noProof/>
        </w:rPr>
        <w:t>Content of Product Disclosure Statements</w:t>
      </w:r>
      <w:r>
        <w:rPr>
          <w:noProof/>
        </w:rPr>
        <w:tab/>
      </w:r>
      <w:r>
        <w:rPr>
          <w:noProof/>
        </w:rPr>
        <w:fldChar w:fldCharType="begin"/>
      </w:r>
      <w:r>
        <w:rPr>
          <w:noProof/>
        </w:rPr>
        <w:instrText xml:space="preserve"> PAGEREF _Toc158712564 \h </w:instrText>
      </w:r>
      <w:r>
        <w:rPr>
          <w:noProof/>
        </w:rPr>
      </w:r>
      <w:r>
        <w:rPr>
          <w:noProof/>
        </w:rPr>
        <w:fldChar w:fldCharType="separate"/>
      </w:r>
      <w:r>
        <w:rPr>
          <w:noProof/>
        </w:rPr>
        <w:t>419</w:t>
      </w:r>
      <w:r>
        <w:rPr>
          <w:noProof/>
        </w:rPr>
        <w:fldChar w:fldCharType="end"/>
      </w:r>
    </w:p>
    <w:p w14:paraId="324D0845" w14:textId="6AA9BEC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4.1—Preliminary</w:t>
      </w:r>
      <w:r>
        <w:rPr>
          <w:noProof/>
        </w:rPr>
        <w:tab/>
      </w:r>
      <w:r>
        <w:rPr>
          <w:noProof/>
        </w:rPr>
        <w:fldChar w:fldCharType="begin"/>
      </w:r>
      <w:r>
        <w:rPr>
          <w:noProof/>
        </w:rPr>
        <w:instrText xml:space="preserve"> PAGEREF _Toc158712565 \h </w:instrText>
      </w:r>
      <w:r>
        <w:rPr>
          <w:noProof/>
        </w:rPr>
      </w:r>
      <w:r>
        <w:rPr>
          <w:noProof/>
        </w:rPr>
        <w:fldChar w:fldCharType="separate"/>
      </w:r>
      <w:r>
        <w:rPr>
          <w:noProof/>
        </w:rPr>
        <w:t>419</w:t>
      </w:r>
      <w:r>
        <w:rPr>
          <w:noProof/>
        </w:rPr>
        <w:fldChar w:fldCharType="end"/>
      </w:r>
    </w:p>
    <w:p w14:paraId="5043208C" w14:textId="4BA43FD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7.9.09  Application of this Division</w:t>
      </w:r>
      <w:r>
        <w:rPr>
          <w:noProof/>
        </w:rPr>
        <w:tab/>
      </w:r>
      <w:r>
        <w:rPr>
          <w:noProof/>
        </w:rPr>
        <w:fldChar w:fldCharType="begin"/>
      </w:r>
      <w:r>
        <w:rPr>
          <w:noProof/>
        </w:rPr>
        <w:instrText xml:space="preserve"> PAGEREF _Toc158712566 \h </w:instrText>
      </w:r>
      <w:r>
        <w:rPr>
          <w:noProof/>
        </w:rPr>
      </w:r>
      <w:r>
        <w:rPr>
          <w:noProof/>
        </w:rPr>
        <w:fldChar w:fldCharType="separate"/>
      </w:r>
      <w:r>
        <w:rPr>
          <w:noProof/>
        </w:rPr>
        <w:t>419</w:t>
      </w:r>
      <w:r>
        <w:rPr>
          <w:noProof/>
        </w:rPr>
        <w:fldChar w:fldCharType="end"/>
      </w:r>
    </w:p>
    <w:p w14:paraId="3A4480C3" w14:textId="0E94F0F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4.1A—No Product Disclosure Statement for carbon units, Australian carbon credit units and eligible international emissions units</w:t>
      </w:r>
      <w:r>
        <w:rPr>
          <w:noProof/>
        </w:rPr>
        <w:tab/>
      </w:r>
      <w:r>
        <w:rPr>
          <w:noProof/>
        </w:rPr>
        <w:fldChar w:fldCharType="begin"/>
      </w:r>
      <w:r>
        <w:rPr>
          <w:noProof/>
        </w:rPr>
        <w:instrText xml:space="preserve"> PAGEREF _Toc158712567 \h </w:instrText>
      </w:r>
      <w:r>
        <w:rPr>
          <w:noProof/>
        </w:rPr>
      </w:r>
      <w:r>
        <w:rPr>
          <w:noProof/>
        </w:rPr>
        <w:fldChar w:fldCharType="separate"/>
      </w:r>
      <w:r>
        <w:rPr>
          <w:noProof/>
        </w:rPr>
        <w:t>419</w:t>
      </w:r>
      <w:r>
        <w:rPr>
          <w:noProof/>
        </w:rPr>
        <w:fldChar w:fldCharType="end"/>
      </w:r>
    </w:p>
    <w:p w14:paraId="710C93E0" w14:textId="48CB316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7.9.09A  Application of this Subdivision</w:t>
      </w:r>
      <w:r>
        <w:rPr>
          <w:noProof/>
        </w:rPr>
        <w:tab/>
      </w:r>
      <w:r>
        <w:rPr>
          <w:noProof/>
        </w:rPr>
        <w:fldChar w:fldCharType="begin"/>
      </w:r>
      <w:r>
        <w:rPr>
          <w:noProof/>
        </w:rPr>
        <w:instrText xml:space="preserve"> PAGEREF _Toc158712568 \h </w:instrText>
      </w:r>
      <w:r>
        <w:rPr>
          <w:noProof/>
        </w:rPr>
      </w:r>
      <w:r>
        <w:rPr>
          <w:noProof/>
        </w:rPr>
        <w:fldChar w:fldCharType="separate"/>
      </w:r>
      <w:r>
        <w:rPr>
          <w:noProof/>
        </w:rPr>
        <w:t>419</w:t>
      </w:r>
      <w:r>
        <w:rPr>
          <w:noProof/>
        </w:rPr>
        <w:fldChar w:fldCharType="end"/>
      </w:r>
    </w:p>
    <w:p w14:paraId="0A91ECD1" w14:textId="5986D71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7.9.09B  Provisions of Part 7.9 of Act that do not apply in relation to carbon units, Australian carbon credit units and eligible international emissions units</w:t>
      </w:r>
      <w:r>
        <w:rPr>
          <w:noProof/>
        </w:rPr>
        <w:tab/>
      </w:r>
      <w:r>
        <w:rPr>
          <w:noProof/>
        </w:rPr>
        <w:fldChar w:fldCharType="begin"/>
      </w:r>
      <w:r>
        <w:rPr>
          <w:noProof/>
        </w:rPr>
        <w:instrText xml:space="preserve"> PAGEREF _Toc158712569 \h </w:instrText>
      </w:r>
      <w:r>
        <w:rPr>
          <w:noProof/>
        </w:rPr>
      </w:r>
      <w:r>
        <w:rPr>
          <w:noProof/>
        </w:rPr>
        <w:fldChar w:fldCharType="separate"/>
      </w:r>
      <w:r>
        <w:rPr>
          <w:noProof/>
        </w:rPr>
        <w:t>419</w:t>
      </w:r>
      <w:r>
        <w:rPr>
          <w:noProof/>
        </w:rPr>
        <w:fldChar w:fldCharType="end"/>
      </w:r>
    </w:p>
    <w:p w14:paraId="1B36CBE5" w14:textId="761D88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7.9.09C  Modification of Act</w:t>
      </w:r>
      <w:r>
        <w:rPr>
          <w:noProof/>
        </w:rPr>
        <w:tab/>
      </w:r>
      <w:r>
        <w:rPr>
          <w:noProof/>
        </w:rPr>
        <w:fldChar w:fldCharType="begin"/>
      </w:r>
      <w:r>
        <w:rPr>
          <w:noProof/>
        </w:rPr>
        <w:instrText xml:space="preserve"> PAGEREF _Toc158712570 \h </w:instrText>
      </w:r>
      <w:r>
        <w:rPr>
          <w:noProof/>
        </w:rPr>
      </w:r>
      <w:r>
        <w:rPr>
          <w:noProof/>
        </w:rPr>
        <w:fldChar w:fldCharType="separate"/>
      </w:r>
      <w:r>
        <w:rPr>
          <w:noProof/>
        </w:rPr>
        <w:t>419</w:t>
      </w:r>
      <w:r>
        <w:rPr>
          <w:noProof/>
        </w:rPr>
        <w:fldChar w:fldCharType="end"/>
      </w:r>
    </w:p>
    <w:p w14:paraId="2038CBFD" w14:textId="1A78268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4.2A—Form and content of Product Disclosure Statement for standard margin lending facility</w:t>
      </w:r>
      <w:r>
        <w:rPr>
          <w:noProof/>
        </w:rPr>
        <w:tab/>
      </w:r>
      <w:r>
        <w:rPr>
          <w:noProof/>
        </w:rPr>
        <w:fldChar w:fldCharType="begin"/>
      </w:r>
      <w:r>
        <w:rPr>
          <w:noProof/>
        </w:rPr>
        <w:instrText xml:space="preserve"> PAGEREF _Toc158712571 \h </w:instrText>
      </w:r>
      <w:r>
        <w:rPr>
          <w:noProof/>
        </w:rPr>
      </w:r>
      <w:r>
        <w:rPr>
          <w:noProof/>
        </w:rPr>
        <w:fldChar w:fldCharType="separate"/>
      </w:r>
      <w:r>
        <w:rPr>
          <w:noProof/>
        </w:rPr>
        <w:t>420</w:t>
      </w:r>
      <w:r>
        <w:rPr>
          <w:noProof/>
        </w:rPr>
        <w:fldChar w:fldCharType="end"/>
      </w:r>
    </w:p>
    <w:p w14:paraId="3DF65A70" w14:textId="752714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  Application of this Subdivision</w:t>
      </w:r>
      <w:r>
        <w:rPr>
          <w:noProof/>
        </w:rPr>
        <w:tab/>
      </w:r>
      <w:r>
        <w:rPr>
          <w:noProof/>
        </w:rPr>
        <w:fldChar w:fldCharType="begin"/>
      </w:r>
      <w:r>
        <w:rPr>
          <w:noProof/>
        </w:rPr>
        <w:instrText xml:space="preserve"> PAGEREF _Toc158712572 \h </w:instrText>
      </w:r>
      <w:r>
        <w:rPr>
          <w:noProof/>
        </w:rPr>
      </w:r>
      <w:r>
        <w:rPr>
          <w:noProof/>
        </w:rPr>
        <w:fldChar w:fldCharType="separate"/>
      </w:r>
      <w:r>
        <w:rPr>
          <w:noProof/>
        </w:rPr>
        <w:t>420</w:t>
      </w:r>
      <w:r>
        <w:rPr>
          <w:noProof/>
        </w:rPr>
        <w:fldChar w:fldCharType="end"/>
      </w:r>
    </w:p>
    <w:p w14:paraId="2EF85700" w14:textId="3D7EDDA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7.9.11A  Provisions of Part 7.7 of Act that do not apply in relation to standard margin lending facility</w:t>
      </w:r>
      <w:r>
        <w:rPr>
          <w:noProof/>
        </w:rPr>
        <w:tab/>
      </w:r>
      <w:r>
        <w:rPr>
          <w:noProof/>
        </w:rPr>
        <w:fldChar w:fldCharType="begin"/>
      </w:r>
      <w:r>
        <w:rPr>
          <w:noProof/>
        </w:rPr>
        <w:instrText xml:space="preserve"> PAGEREF _Toc158712573 \h </w:instrText>
      </w:r>
      <w:r>
        <w:rPr>
          <w:noProof/>
        </w:rPr>
      </w:r>
      <w:r>
        <w:rPr>
          <w:noProof/>
        </w:rPr>
        <w:fldChar w:fldCharType="separate"/>
      </w:r>
      <w:r>
        <w:rPr>
          <w:noProof/>
        </w:rPr>
        <w:t>420</w:t>
      </w:r>
      <w:r>
        <w:rPr>
          <w:noProof/>
        </w:rPr>
        <w:fldChar w:fldCharType="end"/>
      </w:r>
    </w:p>
    <w:p w14:paraId="082E6C73" w14:textId="322648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7.9.11B  Definitions for Subdivision 4.2A</w:t>
      </w:r>
      <w:r>
        <w:rPr>
          <w:noProof/>
        </w:rPr>
        <w:tab/>
      </w:r>
      <w:r>
        <w:rPr>
          <w:noProof/>
        </w:rPr>
        <w:fldChar w:fldCharType="begin"/>
      </w:r>
      <w:r>
        <w:rPr>
          <w:noProof/>
        </w:rPr>
        <w:instrText xml:space="preserve"> PAGEREF _Toc158712574 \h </w:instrText>
      </w:r>
      <w:r>
        <w:rPr>
          <w:noProof/>
        </w:rPr>
      </w:r>
      <w:r>
        <w:rPr>
          <w:noProof/>
        </w:rPr>
        <w:fldChar w:fldCharType="separate"/>
      </w:r>
      <w:r>
        <w:rPr>
          <w:noProof/>
        </w:rPr>
        <w:t>420</w:t>
      </w:r>
      <w:r>
        <w:rPr>
          <w:noProof/>
        </w:rPr>
        <w:fldChar w:fldCharType="end"/>
      </w:r>
    </w:p>
    <w:p w14:paraId="78033C42" w14:textId="7101070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7.9.11C  Modification of Act—standard margin lending facility</w:t>
      </w:r>
      <w:r>
        <w:rPr>
          <w:noProof/>
        </w:rPr>
        <w:tab/>
      </w:r>
      <w:r>
        <w:rPr>
          <w:noProof/>
        </w:rPr>
        <w:fldChar w:fldCharType="begin"/>
      </w:r>
      <w:r>
        <w:rPr>
          <w:noProof/>
        </w:rPr>
        <w:instrText xml:space="preserve"> PAGEREF _Toc158712575 \h </w:instrText>
      </w:r>
      <w:r>
        <w:rPr>
          <w:noProof/>
        </w:rPr>
      </w:r>
      <w:r>
        <w:rPr>
          <w:noProof/>
        </w:rPr>
        <w:fldChar w:fldCharType="separate"/>
      </w:r>
      <w:r>
        <w:rPr>
          <w:noProof/>
        </w:rPr>
        <w:t>420</w:t>
      </w:r>
      <w:r>
        <w:rPr>
          <w:noProof/>
        </w:rPr>
        <w:fldChar w:fldCharType="end"/>
      </w:r>
    </w:p>
    <w:p w14:paraId="2F2BB0EE" w14:textId="6E85E62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7.9.11D  Form and content of Product Disclosure Statement for standard margin lending facility</w:t>
      </w:r>
      <w:r>
        <w:rPr>
          <w:noProof/>
        </w:rPr>
        <w:tab/>
      </w:r>
      <w:r>
        <w:rPr>
          <w:noProof/>
        </w:rPr>
        <w:fldChar w:fldCharType="begin"/>
      </w:r>
      <w:r>
        <w:rPr>
          <w:noProof/>
        </w:rPr>
        <w:instrText xml:space="preserve"> PAGEREF _Toc158712576 \h </w:instrText>
      </w:r>
      <w:r>
        <w:rPr>
          <w:noProof/>
        </w:rPr>
      </w:r>
      <w:r>
        <w:rPr>
          <w:noProof/>
        </w:rPr>
        <w:fldChar w:fldCharType="separate"/>
      </w:r>
      <w:r>
        <w:rPr>
          <w:noProof/>
        </w:rPr>
        <w:t>420</w:t>
      </w:r>
      <w:r>
        <w:rPr>
          <w:noProof/>
        </w:rPr>
        <w:fldChar w:fldCharType="end"/>
      </w:r>
    </w:p>
    <w:p w14:paraId="3A2F652A" w14:textId="48005AB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7.9.11E  Requirements for references to incorporated information for standard margin lending facility</w:t>
      </w:r>
      <w:r>
        <w:rPr>
          <w:noProof/>
        </w:rPr>
        <w:tab/>
      </w:r>
      <w:r>
        <w:rPr>
          <w:noProof/>
        </w:rPr>
        <w:fldChar w:fldCharType="begin"/>
      </w:r>
      <w:r>
        <w:rPr>
          <w:noProof/>
        </w:rPr>
        <w:instrText xml:space="preserve"> PAGEREF _Toc158712577 \h </w:instrText>
      </w:r>
      <w:r>
        <w:rPr>
          <w:noProof/>
        </w:rPr>
      </w:r>
      <w:r>
        <w:rPr>
          <w:noProof/>
        </w:rPr>
        <w:fldChar w:fldCharType="separate"/>
      </w:r>
      <w:r>
        <w:rPr>
          <w:noProof/>
        </w:rPr>
        <w:t>420</w:t>
      </w:r>
      <w:r>
        <w:rPr>
          <w:noProof/>
        </w:rPr>
        <w:fldChar w:fldCharType="end"/>
      </w:r>
    </w:p>
    <w:p w14:paraId="4748D9C5" w14:textId="423CFDF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7.9.11F  Retention of copies of Product Disclosure Statement for standard margin lending facility</w:t>
      </w:r>
      <w:r>
        <w:rPr>
          <w:noProof/>
        </w:rPr>
        <w:tab/>
      </w:r>
      <w:r>
        <w:rPr>
          <w:noProof/>
        </w:rPr>
        <w:fldChar w:fldCharType="begin"/>
      </w:r>
      <w:r>
        <w:rPr>
          <w:noProof/>
        </w:rPr>
        <w:instrText xml:space="preserve"> PAGEREF _Toc158712578 \h </w:instrText>
      </w:r>
      <w:r>
        <w:rPr>
          <w:noProof/>
        </w:rPr>
      </w:r>
      <w:r>
        <w:rPr>
          <w:noProof/>
        </w:rPr>
        <w:fldChar w:fldCharType="separate"/>
      </w:r>
      <w:r>
        <w:rPr>
          <w:noProof/>
        </w:rPr>
        <w:t>421</w:t>
      </w:r>
      <w:r>
        <w:rPr>
          <w:noProof/>
        </w:rPr>
        <w:fldChar w:fldCharType="end"/>
      </w:r>
    </w:p>
    <w:p w14:paraId="50D7286B" w14:textId="4E55A30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7.9.11G  Requirement to provide copy of Product Disclosure Statement for standard margin lending facility free of charge</w:t>
      </w:r>
      <w:r>
        <w:rPr>
          <w:noProof/>
        </w:rPr>
        <w:tab/>
      </w:r>
      <w:r>
        <w:rPr>
          <w:noProof/>
        </w:rPr>
        <w:fldChar w:fldCharType="begin"/>
      </w:r>
      <w:r>
        <w:rPr>
          <w:noProof/>
        </w:rPr>
        <w:instrText xml:space="preserve"> PAGEREF _Toc158712579 \h </w:instrText>
      </w:r>
      <w:r>
        <w:rPr>
          <w:noProof/>
        </w:rPr>
      </w:r>
      <w:r>
        <w:rPr>
          <w:noProof/>
        </w:rPr>
        <w:fldChar w:fldCharType="separate"/>
      </w:r>
      <w:r>
        <w:rPr>
          <w:noProof/>
        </w:rPr>
        <w:t>422</w:t>
      </w:r>
      <w:r>
        <w:rPr>
          <w:noProof/>
        </w:rPr>
        <w:fldChar w:fldCharType="end"/>
      </w:r>
    </w:p>
    <w:p w14:paraId="69366025" w14:textId="2A53C5C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7.9.11H  Notification about change to Approved Securities List or current interest rate for standard margin lending facility</w:t>
      </w:r>
      <w:r>
        <w:rPr>
          <w:noProof/>
        </w:rPr>
        <w:tab/>
      </w:r>
      <w:r>
        <w:rPr>
          <w:noProof/>
        </w:rPr>
        <w:fldChar w:fldCharType="begin"/>
      </w:r>
      <w:r>
        <w:rPr>
          <w:noProof/>
        </w:rPr>
        <w:instrText xml:space="preserve"> PAGEREF _Toc158712580 \h </w:instrText>
      </w:r>
      <w:r>
        <w:rPr>
          <w:noProof/>
        </w:rPr>
      </w:r>
      <w:r>
        <w:rPr>
          <w:noProof/>
        </w:rPr>
        <w:fldChar w:fldCharType="separate"/>
      </w:r>
      <w:r>
        <w:rPr>
          <w:noProof/>
        </w:rPr>
        <w:t>422</w:t>
      </w:r>
      <w:r>
        <w:rPr>
          <w:noProof/>
        </w:rPr>
        <w:fldChar w:fldCharType="end"/>
      </w:r>
    </w:p>
    <w:p w14:paraId="66134C06" w14:textId="679B22AB"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4.2B—Content of Product Disclosure Statement for superannuation product</w:t>
      </w:r>
      <w:r>
        <w:rPr>
          <w:noProof/>
        </w:rPr>
        <w:tab/>
      </w:r>
      <w:r>
        <w:rPr>
          <w:noProof/>
        </w:rPr>
        <w:fldChar w:fldCharType="begin"/>
      </w:r>
      <w:r>
        <w:rPr>
          <w:noProof/>
        </w:rPr>
        <w:instrText xml:space="preserve"> PAGEREF _Toc158712581 \h </w:instrText>
      </w:r>
      <w:r>
        <w:rPr>
          <w:noProof/>
        </w:rPr>
      </w:r>
      <w:r>
        <w:rPr>
          <w:noProof/>
        </w:rPr>
        <w:fldChar w:fldCharType="separate"/>
      </w:r>
      <w:r>
        <w:rPr>
          <w:noProof/>
        </w:rPr>
        <w:t>422</w:t>
      </w:r>
      <w:r>
        <w:rPr>
          <w:noProof/>
        </w:rPr>
        <w:fldChar w:fldCharType="end"/>
      </w:r>
    </w:p>
    <w:p w14:paraId="0D586131" w14:textId="6DF0B7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7.9.11K  Application of this Subdivision</w:t>
      </w:r>
      <w:r>
        <w:rPr>
          <w:noProof/>
        </w:rPr>
        <w:tab/>
      </w:r>
      <w:r>
        <w:rPr>
          <w:noProof/>
        </w:rPr>
        <w:fldChar w:fldCharType="begin"/>
      </w:r>
      <w:r>
        <w:rPr>
          <w:noProof/>
        </w:rPr>
        <w:instrText xml:space="preserve"> PAGEREF _Toc158712582 \h </w:instrText>
      </w:r>
      <w:r>
        <w:rPr>
          <w:noProof/>
        </w:rPr>
      </w:r>
      <w:r>
        <w:rPr>
          <w:noProof/>
        </w:rPr>
        <w:fldChar w:fldCharType="separate"/>
      </w:r>
      <w:r>
        <w:rPr>
          <w:noProof/>
        </w:rPr>
        <w:t>422</w:t>
      </w:r>
      <w:r>
        <w:rPr>
          <w:noProof/>
        </w:rPr>
        <w:fldChar w:fldCharType="end"/>
      </w:r>
    </w:p>
    <w:p w14:paraId="12955491" w14:textId="09BBE5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7.9.11L  Provisions of Part 7.7 of Act that do not apply in relation to superannuation product</w:t>
      </w:r>
      <w:r>
        <w:rPr>
          <w:noProof/>
        </w:rPr>
        <w:tab/>
      </w:r>
      <w:r>
        <w:rPr>
          <w:noProof/>
        </w:rPr>
        <w:fldChar w:fldCharType="begin"/>
      </w:r>
      <w:r>
        <w:rPr>
          <w:noProof/>
        </w:rPr>
        <w:instrText xml:space="preserve"> PAGEREF _Toc158712583 \h </w:instrText>
      </w:r>
      <w:r>
        <w:rPr>
          <w:noProof/>
        </w:rPr>
      </w:r>
      <w:r>
        <w:rPr>
          <w:noProof/>
        </w:rPr>
        <w:fldChar w:fldCharType="separate"/>
      </w:r>
      <w:r>
        <w:rPr>
          <w:noProof/>
        </w:rPr>
        <w:t>422</w:t>
      </w:r>
      <w:r>
        <w:rPr>
          <w:noProof/>
        </w:rPr>
        <w:fldChar w:fldCharType="end"/>
      </w:r>
    </w:p>
    <w:p w14:paraId="05DA0842" w14:textId="78F9BD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7.9.11LA  Attribution of accrued default amount to MySuper product—exemption from significant event notice requirements</w:t>
      </w:r>
      <w:r>
        <w:rPr>
          <w:noProof/>
        </w:rPr>
        <w:tab/>
      </w:r>
      <w:r>
        <w:rPr>
          <w:noProof/>
        </w:rPr>
        <w:fldChar w:fldCharType="begin"/>
      </w:r>
      <w:r>
        <w:rPr>
          <w:noProof/>
        </w:rPr>
        <w:instrText xml:space="preserve"> PAGEREF _Toc158712584 \h </w:instrText>
      </w:r>
      <w:r>
        <w:rPr>
          <w:noProof/>
        </w:rPr>
      </w:r>
      <w:r>
        <w:rPr>
          <w:noProof/>
        </w:rPr>
        <w:fldChar w:fldCharType="separate"/>
      </w:r>
      <w:r>
        <w:rPr>
          <w:noProof/>
        </w:rPr>
        <w:t>422</w:t>
      </w:r>
      <w:r>
        <w:rPr>
          <w:noProof/>
        </w:rPr>
        <w:fldChar w:fldCharType="end"/>
      </w:r>
    </w:p>
    <w:p w14:paraId="187B8DB1" w14:textId="469B47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7.9.11LB  Attribution of accrued default amount to MySuper product—modification of significant event notice requirements</w:t>
      </w:r>
      <w:r>
        <w:rPr>
          <w:noProof/>
        </w:rPr>
        <w:tab/>
      </w:r>
      <w:r>
        <w:rPr>
          <w:noProof/>
        </w:rPr>
        <w:fldChar w:fldCharType="begin"/>
      </w:r>
      <w:r>
        <w:rPr>
          <w:noProof/>
        </w:rPr>
        <w:instrText xml:space="preserve"> PAGEREF _Toc158712585 \h </w:instrText>
      </w:r>
      <w:r>
        <w:rPr>
          <w:noProof/>
        </w:rPr>
      </w:r>
      <w:r>
        <w:rPr>
          <w:noProof/>
        </w:rPr>
        <w:fldChar w:fldCharType="separate"/>
      </w:r>
      <w:r>
        <w:rPr>
          <w:noProof/>
        </w:rPr>
        <w:t>422</w:t>
      </w:r>
      <w:r>
        <w:rPr>
          <w:noProof/>
        </w:rPr>
        <w:fldChar w:fldCharType="end"/>
      </w:r>
    </w:p>
    <w:p w14:paraId="56F77E3D" w14:textId="4BAF3B8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7.9.11M  Provisions of Part 7.9 of Act that do not apply in relation to superannuation product</w:t>
      </w:r>
      <w:r>
        <w:rPr>
          <w:noProof/>
        </w:rPr>
        <w:tab/>
      </w:r>
      <w:r>
        <w:rPr>
          <w:noProof/>
        </w:rPr>
        <w:fldChar w:fldCharType="begin"/>
      </w:r>
      <w:r>
        <w:rPr>
          <w:noProof/>
        </w:rPr>
        <w:instrText xml:space="preserve"> PAGEREF _Toc158712586 \h </w:instrText>
      </w:r>
      <w:r>
        <w:rPr>
          <w:noProof/>
        </w:rPr>
      </w:r>
      <w:r>
        <w:rPr>
          <w:noProof/>
        </w:rPr>
        <w:fldChar w:fldCharType="separate"/>
      </w:r>
      <w:r>
        <w:rPr>
          <w:noProof/>
        </w:rPr>
        <w:t>423</w:t>
      </w:r>
      <w:r>
        <w:rPr>
          <w:noProof/>
        </w:rPr>
        <w:fldChar w:fldCharType="end"/>
      </w:r>
    </w:p>
    <w:p w14:paraId="6FB2DA2D" w14:textId="65FFCE5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7.9.11N  Modification of Act—superannuation product</w:t>
      </w:r>
      <w:r>
        <w:rPr>
          <w:noProof/>
        </w:rPr>
        <w:tab/>
      </w:r>
      <w:r>
        <w:rPr>
          <w:noProof/>
        </w:rPr>
        <w:fldChar w:fldCharType="begin"/>
      </w:r>
      <w:r>
        <w:rPr>
          <w:noProof/>
        </w:rPr>
        <w:instrText xml:space="preserve"> PAGEREF _Toc158712587 \h </w:instrText>
      </w:r>
      <w:r>
        <w:rPr>
          <w:noProof/>
        </w:rPr>
      </w:r>
      <w:r>
        <w:rPr>
          <w:noProof/>
        </w:rPr>
        <w:fldChar w:fldCharType="separate"/>
      </w:r>
      <w:r>
        <w:rPr>
          <w:noProof/>
        </w:rPr>
        <w:t>423</w:t>
      </w:r>
      <w:r>
        <w:rPr>
          <w:noProof/>
        </w:rPr>
        <w:fldChar w:fldCharType="end"/>
      </w:r>
    </w:p>
    <w:p w14:paraId="3B68DF64" w14:textId="40C013A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7.9.11O  Form and content of Product Disclosure Statement for superannuation product</w:t>
      </w:r>
      <w:r>
        <w:rPr>
          <w:noProof/>
        </w:rPr>
        <w:tab/>
      </w:r>
      <w:r>
        <w:rPr>
          <w:noProof/>
        </w:rPr>
        <w:fldChar w:fldCharType="begin"/>
      </w:r>
      <w:r>
        <w:rPr>
          <w:noProof/>
        </w:rPr>
        <w:instrText xml:space="preserve"> PAGEREF _Toc158712588 \h </w:instrText>
      </w:r>
      <w:r>
        <w:rPr>
          <w:noProof/>
        </w:rPr>
      </w:r>
      <w:r>
        <w:rPr>
          <w:noProof/>
        </w:rPr>
        <w:fldChar w:fldCharType="separate"/>
      </w:r>
      <w:r>
        <w:rPr>
          <w:noProof/>
        </w:rPr>
        <w:t>423</w:t>
      </w:r>
      <w:r>
        <w:rPr>
          <w:noProof/>
        </w:rPr>
        <w:fldChar w:fldCharType="end"/>
      </w:r>
    </w:p>
    <w:p w14:paraId="414EE0A9" w14:textId="0F6DE60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7.9.11P  Requirements for references to incorporated information for superannuation product</w:t>
      </w:r>
      <w:r>
        <w:rPr>
          <w:noProof/>
        </w:rPr>
        <w:tab/>
      </w:r>
      <w:r>
        <w:rPr>
          <w:noProof/>
        </w:rPr>
        <w:fldChar w:fldCharType="begin"/>
      </w:r>
      <w:r>
        <w:rPr>
          <w:noProof/>
        </w:rPr>
        <w:instrText xml:space="preserve"> PAGEREF _Toc158712589 \h </w:instrText>
      </w:r>
      <w:r>
        <w:rPr>
          <w:noProof/>
        </w:rPr>
      </w:r>
      <w:r>
        <w:rPr>
          <w:noProof/>
        </w:rPr>
        <w:fldChar w:fldCharType="separate"/>
      </w:r>
      <w:r>
        <w:rPr>
          <w:noProof/>
        </w:rPr>
        <w:t>423</w:t>
      </w:r>
      <w:r>
        <w:rPr>
          <w:noProof/>
        </w:rPr>
        <w:fldChar w:fldCharType="end"/>
      </w:r>
    </w:p>
    <w:p w14:paraId="0A0D8B5D" w14:textId="61E64EF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7.9.11Q  Retention of copies of Product Disclosure Statement for superannuation product</w:t>
      </w:r>
      <w:r>
        <w:rPr>
          <w:noProof/>
        </w:rPr>
        <w:tab/>
      </w:r>
      <w:r>
        <w:rPr>
          <w:noProof/>
        </w:rPr>
        <w:fldChar w:fldCharType="begin"/>
      </w:r>
      <w:r>
        <w:rPr>
          <w:noProof/>
        </w:rPr>
        <w:instrText xml:space="preserve"> PAGEREF _Toc158712590 \h </w:instrText>
      </w:r>
      <w:r>
        <w:rPr>
          <w:noProof/>
        </w:rPr>
      </w:r>
      <w:r>
        <w:rPr>
          <w:noProof/>
        </w:rPr>
        <w:fldChar w:fldCharType="separate"/>
      </w:r>
      <w:r>
        <w:rPr>
          <w:noProof/>
        </w:rPr>
        <w:t>424</w:t>
      </w:r>
      <w:r>
        <w:rPr>
          <w:noProof/>
        </w:rPr>
        <w:fldChar w:fldCharType="end"/>
      </w:r>
    </w:p>
    <w:p w14:paraId="44A82BB4" w14:textId="3C5D332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7.9.11R  Requirement to provide copy of Product Disclosure Statement for superannuation product free of charge</w:t>
      </w:r>
      <w:r>
        <w:rPr>
          <w:noProof/>
        </w:rPr>
        <w:tab/>
      </w:r>
      <w:r>
        <w:rPr>
          <w:noProof/>
        </w:rPr>
        <w:fldChar w:fldCharType="begin"/>
      </w:r>
      <w:r>
        <w:rPr>
          <w:noProof/>
        </w:rPr>
        <w:instrText xml:space="preserve"> PAGEREF _Toc158712591 \h </w:instrText>
      </w:r>
      <w:r>
        <w:rPr>
          <w:noProof/>
        </w:rPr>
      </w:r>
      <w:r>
        <w:rPr>
          <w:noProof/>
        </w:rPr>
        <w:fldChar w:fldCharType="separate"/>
      </w:r>
      <w:r>
        <w:rPr>
          <w:noProof/>
        </w:rPr>
        <w:t>425</w:t>
      </w:r>
      <w:r>
        <w:rPr>
          <w:noProof/>
        </w:rPr>
        <w:fldChar w:fldCharType="end"/>
      </w:r>
    </w:p>
    <w:p w14:paraId="02A165B8" w14:textId="5EA77E30"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4.2C—Content of Product Disclosure Statement for simple managed investment scheme</w:t>
      </w:r>
      <w:r>
        <w:rPr>
          <w:noProof/>
        </w:rPr>
        <w:tab/>
      </w:r>
      <w:r>
        <w:rPr>
          <w:noProof/>
        </w:rPr>
        <w:fldChar w:fldCharType="begin"/>
      </w:r>
      <w:r>
        <w:rPr>
          <w:noProof/>
        </w:rPr>
        <w:instrText xml:space="preserve"> PAGEREF _Toc158712592 \h </w:instrText>
      </w:r>
      <w:r>
        <w:rPr>
          <w:noProof/>
        </w:rPr>
      </w:r>
      <w:r>
        <w:rPr>
          <w:noProof/>
        </w:rPr>
        <w:fldChar w:fldCharType="separate"/>
      </w:r>
      <w:r>
        <w:rPr>
          <w:noProof/>
        </w:rPr>
        <w:t>425</w:t>
      </w:r>
      <w:r>
        <w:rPr>
          <w:noProof/>
        </w:rPr>
        <w:fldChar w:fldCharType="end"/>
      </w:r>
    </w:p>
    <w:p w14:paraId="04C808B5" w14:textId="79F842B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7.9.11S  Application of this Subdivision</w:t>
      </w:r>
      <w:r>
        <w:rPr>
          <w:noProof/>
        </w:rPr>
        <w:tab/>
      </w:r>
      <w:r>
        <w:rPr>
          <w:noProof/>
        </w:rPr>
        <w:fldChar w:fldCharType="begin"/>
      </w:r>
      <w:r>
        <w:rPr>
          <w:noProof/>
        </w:rPr>
        <w:instrText xml:space="preserve"> PAGEREF _Toc158712593 \h </w:instrText>
      </w:r>
      <w:r>
        <w:rPr>
          <w:noProof/>
        </w:rPr>
      </w:r>
      <w:r>
        <w:rPr>
          <w:noProof/>
        </w:rPr>
        <w:fldChar w:fldCharType="separate"/>
      </w:r>
      <w:r>
        <w:rPr>
          <w:noProof/>
        </w:rPr>
        <w:t>425</w:t>
      </w:r>
      <w:r>
        <w:rPr>
          <w:noProof/>
        </w:rPr>
        <w:fldChar w:fldCharType="end"/>
      </w:r>
    </w:p>
    <w:p w14:paraId="0902B877" w14:textId="5D001C7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7.9.11T  Provisions of Part 7.7 of Act that do not apply in relation to simple managed investment scheme</w:t>
      </w:r>
      <w:r>
        <w:rPr>
          <w:noProof/>
        </w:rPr>
        <w:tab/>
      </w:r>
      <w:r>
        <w:rPr>
          <w:noProof/>
        </w:rPr>
        <w:fldChar w:fldCharType="begin"/>
      </w:r>
      <w:r>
        <w:rPr>
          <w:noProof/>
        </w:rPr>
        <w:instrText xml:space="preserve"> PAGEREF _Toc158712594 \h </w:instrText>
      </w:r>
      <w:r>
        <w:rPr>
          <w:noProof/>
        </w:rPr>
      </w:r>
      <w:r>
        <w:rPr>
          <w:noProof/>
        </w:rPr>
        <w:fldChar w:fldCharType="separate"/>
      </w:r>
      <w:r>
        <w:rPr>
          <w:noProof/>
        </w:rPr>
        <w:t>425</w:t>
      </w:r>
      <w:r>
        <w:rPr>
          <w:noProof/>
        </w:rPr>
        <w:fldChar w:fldCharType="end"/>
      </w:r>
    </w:p>
    <w:p w14:paraId="486B53E2" w14:textId="3B85C5A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7.9.11U  Provisions of Part 7.9 of Act that do not apply in relation to simple managed investment scheme</w:t>
      </w:r>
      <w:r>
        <w:rPr>
          <w:noProof/>
        </w:rPr>
        <w:tab/>
      </w:r>
      <w:r>
        <w:rPr>
          <w:noProof/>
        </w:rPr>
        <w:fldChar w:fldCharType="begin"/>
      </w:r>
      <w:r>
        <w:rPr>
          <w:noProof/>
        </w:rPr>
        <w:instrText xml:space="preserve"> PAGEREF _Toc158712595 \h </w:instrText>
      </w:r>
      <w:r>
        <w:rPr>
          <w:noProof/>
        </w:rPr>
      </w:r>
      <w:r>
        <w:rPr>
          <w:noProof/>
        </w:rPr>
        <w:fldChar w:fldCharType="separate"/>
      </w:r>
      <w:r>
        <w:rPr>
          <w:noProof/>
        </w:rPr>
        <w:t>425</w:t>
      </w:r>
      <w:r>
        <w:rPr>
          <w:noProof/>
        </w:rPr>
        <w:fldChar w:fldCharType="end"/>
      </w:r>
    </w:p>
    <w:p w14:paraId="587DEB8E" w14:textId="69C92F3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7.9.11V  Modification of Act—simple managed investment scheme</w:t>
      </w:r>
      <w:r>
        <w:rPr>
          <w:noProof/>
        </w:rPr>
        <w:tab/>
      </w:r>
      <w:r>
        <w:rPr>
          <w:noProof/>
        </w:rPr>
        <w:fldChar w:fldCharType="begin"/>
      </w:r>
      <w:r>
        <w:rPr>
          <w:noProof/>
        </w:rPr>
        <w:instrText xml:space="preserve"> PAGEREF _Toc158712596 \h </w:instrText>
      </w:r>
      <w:r>
        <w:rPr>
          <w:noProof/>
        </w:rPr>
      </w:r>
      <w:r>
        <w:rPr>
          <w:noProof/>
        </w:rPr>
        <w:fldChar w:fldCharType="separate"/>
      </w:r>
      <w:r>
        <w:rPr>
          <w:noProof/>
        </w:rPr>
        <w:t>426</w:t>
      </w:r>
      <w:r>
        <w:rPr>
          <w:noProof/>
        </w:rPr>
        <w:fldChar w:fldCharType="end"/>
      </w:r>
    </w:p>
    <w:p w14:paraId="71C29374" w14:textId="7AEE1F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7.9.11W  Form and content of Product Disclosure Statement for simple managed investment scheme</w:t>
      </w:r>
      <w:r>
        <w:rPr>
          <w:noProof/>
        </w:rPr>
        <w:tab/>
      </w:r>
      <w:r>
        <w:rPr>
          <w:noProof/>
        </w:rPr>
        <w:fldChar w:fldCharType="begin"/>
      </w:r>
      <w:r>
        <w:rPr>
          <w:noProof/>
        </w:rPr>
        <w:instrText xml:space="preserve"> PAGEREF _Toc158712597 \h </w:instrText>
      </w:r>
      <w:r>
        <w:rPr>
          <w:noProof/>
        </w:rPr>
      </w:r>
      <w:r>
        <w:rPr>
          <w:noProof/>
        </w:rPr>
        <w:fldChar w:fldCharType="separate"/>
      </w:r>
      <w:r>
        <w:rPr>
          <w:noProof/>
        </w:rPr>
        <w:t>426</w:t>
      </w:r>
      <w:r>
        <w:rPr>
          <w:noProof/>
        </w:rPr>
        <w:fldChar w:fldCharType="end"/>
      </w:r>
    </w:p>
    <w:p w14:paraId="509FC66C" w14:textId="4958AF3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7.9.11X  Requirements for references to incorporated information for simple managed investment scheme</w:t>
      </w:r>
      <w:r>
        <w:rPr>
          <w:noProof/>
        </w:rPr>
        <w:tab/>
      </w:r>
      <w:r>
        <w:rPr>
          <w:noProof/>
        </w:rPr>
        <w:fldChar w:fldCharType="begin"/>
      </w:r>
      <w:r>
        <w:rPr>
          <w:noProof/>
        </w:rPr>
        <w:instrText xml:space="preserve"> PAGEREF _Toc158712598 \h </w:instrText>
      </w:r>
      <w:r>
        <w:rPr>
          <w:noProof/>
        </w:rPr>
      </w:r>
      <w:r>
        <w:rPr>
          <w:noProof/>
        </w:rPr>
        <w:fldChar w:fldCharType="separate"/>
      </w:r>
      <w:r>
        <w:rPr>
          <w:noProof/>
        </w:rPr>
        <w:t>426</w:t>
      </w:r>
      <w:r>
        <w:rPr>
          <w:noProof/>
        </w:rPr>
        <w:fldChar w:fldCharType="end"/>
      </w:r>
    </w:p>
    <w:p w14:paraId="1C8BEBB0" w14:textId="6E22399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7.9.11Y  Retention of copies of Product Disclosure Statement for simple managed investment scheme</w:t>
      </w:r>
      <w:r>
        <w:rPr>
          <w:noProof/>
        </w:rPr>
        <w:tab/>
      </w:r>
      <w:r>
        <w:rPr>
          <w:noProof/>
        </w:rPr>
        <w:fldChar w:fldCharType="begin"/>
      </w:r>
      <w:r>
        <w:rPr>
          <w:noProof/>
        </w:rPr>
        <w:instrText xml:space="preserve"> PAGEREF _Toc158712599 \h </w:instrText>
      </w:r>
      <w:r>
        <w:rPr>
          <w:noProof/>
        </w:rPr>
      </w:r>
      <w:r>
        <w:rPr>
          <w:noProof/>
        </w:rPr>
        <w:fldChar w:fldCharType="separate"/>
      </w:r>
      <w:r>
        <w:rPr>
          <w:noProof/>
        </w:rPr>
        <w:t>427</w:t>
      </w:r>
      <w:r>
        <w:rPr>
          <w:noProof/>
        </w:rPr>
        <w:fldChar w:fldCharType="end"/>
      </w:r>
    </w:p>
    <w:p w14:paraId="3EDD793B" w14:textId="26CCF6F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  Requirement to provide copy of Product Disclosure Statement for simple managed investment scheme free of charge</w:t>
      </w:r>
      <w:r>
        <w:rPr>
          <w:noProof/>
        </w:rPr>
        <w:tab/>
      </w:r>
      <w:r>
        <w:rPr>
          <w:noProof/>
        </w:rPr>
        <w:fldChar w:fldCharType="begin"/>
      </w:r>
      <w:r>
        <w:rPr>
          <w:noProof/>
        </w:rPr>
        <w:instrText xml:space="preserve"> PAGEREF _Toc158712600 \h </w:instrText>
      </w:r>
      <w:r>
        <w:rPr>
          <w:noProof/>
        </w:rPr>
      </w:r>
      <w:r>
        <w:rPr>
          <w:noProof/>
        </w:rPr>
        <w:fldChar w:fldCharType="separate"/>
      </w:r>
      <w:r>
        <w:rPr>
          <w:noProof/>
        </w:rPr>
        <w:t>427</w:t>
      </w:r>
      <w:r>
        <w:rPr>
          <w:noProof/>
        </w:rPr>
        <w:fldChar w:fldCharType="end"/>
      </w:r>
    </w:p>
    <w:p w14:paraId="5180B269" w14:textId="3E35EB4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4.2D—Content of Product Disclosure Statement for simple sub</w:t>
      </w:r>
      <w:r>
        <w:rPr>
          <w:noProof/>
        </w:rPr>
        <w:noBreakHyphen/>
        <w:t>fund products</w:t>
      </w:r>
      <w:r>
        <w:rPr>
          <w:noProof/>
        </w:rPr>
        <w:tab/>
      </w:r>
      <w:r>
        <w:rPr>
          <w:noProof/>
        </w:rPr>
        <w:fldChar w:fldCharType="begin"/>
      </w:r>
      <w:r>
        <w:rPr>
          <w:noProof/>
        </w:rPr>
        <w:instrText xml:space="preserve"> PAGEREF _Toc158712601 \h </w:instrText>
      </w:r>
      <w:r>
        <w:rPr>
          <w:noProof/>
        </w:rPr>
      </w:r>
      <w:r>
        <w:rPr>
          <w:noProof/>
        </w:rPr>
        <w:fldChar w:fldCharType="separate"/>
      </w:r>
      <w:r>
        <w:rPr>
          <w:noProof/>
        </w:rPr>
        <w:t>427</w:t>
      </w:r>
      <w:r>
        <w:rPr>
          <w:noProof/>
        </w:rPr>
        <w:fldChar w:fldCharType="end"/>
      </w:r>
    </w:p>
    <w:p w14:paraId="51494826" w14:textId="22C926A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7.9.11ZA  Application of this Subdivision</w:t>
      </w:r>
      <w:r>
        <w:rPr>
          <w:noProof/>
        </w:rPr>
        <w:tab/>
      </w:r>
      <w:r>
        <w:rPr>
          <w:noProof/>
        </w:rPr>
        <w:fldChar w:fldCharType="begin"/>
      </w:r>
      <w:r>
        <w:rPr>
          <w:noProof/>
        </w:rPr>
        <w:instrText xml:space="preserve"> PAGEREF _Toc158712602 \h </w:instrText>
      </w:r>
      <w:r>
        <w:rPr>
          <w:noProof/>
        </w:rPr>
      </w:r>
      <w:r>
        <w:rPr>
          <w:noProof/>
        </w:rPr>
        <w:fldChar w:fldCharType="separate"/>
      </w:r>
      <w:r>
        <w:rPr>
          <w:noProof/>
        </w:rPr>
        <w:t>427</w:t>
      </w:r>
      <w:r>
        <w:rPr>
          <w:noProof/>
        </w:rPr>
        <w:fldChar w:fldCharType="end"/>
      </w:r>
    </w:p>
    <w:p w14:paraId="0361CA20" w14:textId="61133C8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7.9.11ZB  Provisions of Part 7.7 of Act that do not apply in relation to simple sub</w:t>
      </w:r>
      <w:r>
        <w:rPr>
          <w:noProof/>
        </w:rPr>
        <w:noBreakHyphen/>
        <w:t>fund products</w:t>
      </w:r>
      <w:r>
        <w:rPr>
          <w:noProof/>
        </w:rPr>
        <w:tab/>
      </w:r>
      <w:r>
        <w:rPr>
          <w:noProof/>
        </w:rPr>
        <w:fldChar w:fldCharType="begin"/>
      </w:r>
      <w:r>
        <w:rPr>
          <w:noProof/>
        </w:rPr>
        <w:instrText xml:space="preserve"> PAGEREF _Toc158712603 \h </w:instrText>
      </w:r>
      <w:r>
        <w:rPr>
          <w:noProof/>
        </w:rPr>
      </w:r>
      <w:r>
        <w:rPr>
          <w:noProof/>
        </w:rPr>
        <w:fldChar w:fldCharType="separate"/>
      </w:r>
      <w:r>
        <w:rPr>
          <w:noProof/>
        </w:rPr>
        <w:t>428</w:t>
      </w:r>
      <w:r>
        <w:rPr>
          <w:noProof/>
        </w:rPr>
        <w:fldChar w:fldCharType="end"/>
      </w:r>
    </w:p>
    <w:p w14:paraId="5993EBD0" w14:textId="63876B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7.9.11ZC  Provisions of Part 7.9 of Act that do not apply in relation to simple sub</w:t>
      </w:r>
      <w:r>
        <w:rPr>
          <w:noProof/>
        </w:rPr>
        <w:noBreakHyphen/>
        <w:t>fund products</w:t>
      </w:r>
      <w:r>
        <w:rPr>
          <w:noProof/>
        </w:rPr>
        <w:tab/>
      </w:r>
      <w:r>
        <w:rPr>
          <w:noProof/>
        </w:rPr>
        <w:fldChar w:fldCharType="begin"/>
      </w:r>
      <w:r>
        <w:rPr>
          <w:noProof/>
        </w:rPr>
        <w:instrText xml:space="preserve"> PAGEREF _Toc158712604 \h </w:instrText>
      </w:r>
      <w:r>
        <w:rPr>
          <w:noProof/>
        </w:rPr>
      </w:r>
      <w:r>
        <w:rPr>
          <w:noProof/>
        </w:rPr>
        <w:fldChar w:fldCharType="separate"/>
      </w:r>
      <w:r>
        <w:rPr>
          <w:noProof/>
        </w:rPr>
        <w:t>428</w:t>
      </w:r>
      <w:r>
        <w:rPr>
          <w:noProof/>
        </w:rPr>
        <w:fldChar w:fldCharType="end"/>
      </w:r>
    </w:p>
    <w:p w14:paraId="1ACA81A0" w14:textId="5D85C0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7.9.11ZD  Modification of Act—simple sub</w:t>
      </w:r>
      <w:r>
        <w:rPr>
          <w:noProof/>
        </w:rPr>
        <w:noBreakHyphen/>
        <w:t>fund products</w:t>
      </w:r>
      <w:r>
        <w:rPr>
          <w:noProof/>
        </w:rPr>
        <w:tab/>
      </w:r>
      <w:r>
        <w:rPr>
          <w:noProof/>
        </w:rPr>
        <w:fldChar w:fldCharType="begin"/>
      </w:r>
      <w:r>
        <w:rPr>
          <w:noProof/>
        </w:rPr>
        <w:instrText xml:space="preserve"> PAGEREF _Toc158712605 \h </w:instrText>
      </w:r>
      <w:r>
        <w:rPr>
          <w:noProof/>
        </w:rPr>
      </w:r>
      <w:r>
        <w:rPr>
          <w:noProof/>
        </w:rPr>
        <w:fldChar w:fldCharType="separate"/>
      </w:r>
      <w:r>
        <w:rPr>
          <w:noProof/>
        </w:rPr>
        <w:t>428</w:t>
      </w:r>
      <w:r>
        <w:rPr>
          <w:noProof/>
        </w:rPr>
        <w:fldChar w:fldCharType="end"/>
      </w:r>
    </w:p>
    <w:p w14:paraId="65DBA2A7" w14:textId="128F904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7.9.11ZE  Form and content of Product Disclosure Statement for simple sub</w:t>
      </w:r>
      <w:r>
        <w:rPr>
          <w:noProof/>
        </w:rPr>
        <w:noBreakHyphen/>
        <w:t>fund products</w:t>
      </w:r>
      <w:r>
        <w:rPr>
          <w:noProof/>
        </w:rPr>
        <w:tab/>
      </w:r>
      <w:r>
        <w:rPr>
          <w:noProof/>
        </w:rPr>
        <w:fldChar w:fldCharType="begin"/>
      </w:r>
      <w:r>
        <w:rPr>
          <w:noProof/>
        </w:rPr>
        <w:instrText xml:space="preserve"> PAGEREF _Toc158712606 \h </w:instrText>
      </w:r>
      <w:r>
        <w:rPr>
          <w:noProof/>
        </w:rPr>
      </w:r>
      <w:r>
        <w:rPr>
          <w:noProof/>
        </w:rPr>
        <w:fldChar w:fldCharType="separate"/>
      </w:r>
      <w:r>
        <w:rPr>
          <w:noProof/>
        </w:rPr>
        <w:t>428</w:t>
      </w:r>
      <w:r>
        <w:rPr>
          <w:noProof/>
        </w:rPr>
        <w:fldChar w:fldCharType="end"/>
      </w:r>
    </w:p>
    <w:p w14:paraId="35FBBE1B" w14:textId="77A7665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7.9.11ZF  Requirements for references to incorporated information for simple sub</w:t>
      </w:r>
      <w:r>
        <w:rPr>
          <w:noProof/>
        </w:rPr>
        <w:noBreakHyphen/>
        <w:t>fund products</w:t>
      </w:r>
      <w:r>
        <w:rPr>
          <w:noProof/>
        </w:rPr>
        <w:tab/>
      </w:r>
      <w:r>
        <w:rPr>
          <w:noProof/>
        </w:rPr>
        <w:fldChar w:fldCharType="begin"/>
      </w:r>
      <w:r>
        <w:rPr>
          <w:noProof/>
        </w:rPr>
        <w:instrText xml:space="preserve"> PAGEREF _Toc158712607 \h </w:instrText>
      </w:r>
      <w:r>
        <w:rPr>
          <w:noProof/>
        </w:rPr>
      </w:r>
      <w:r>
        <w:rPr>
          <w:noProof/>
        </w:rPr>
        <w:fldChar w:fldCharType="separate"/>
      </w:r>
      <w:r>
        <w:rPr>
          <w:noProof/>
        </w:rPr>
        <w:t>428</w:t>
      </w:r>
      <w:r>
        <w:rPr>
          <w:noProof/>
        </w:rPr>
        <w:fldChar w:fldCharType="end"/>
      </w:r>
    </w:p>
    <w:p w14:paraId="15B8D8B2" w14:textId="48D6A36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7.9.11ZG  Retention of copies of Product Disclosure Statement for simple sub</w:t>
      </w:r>
      <w:r>
        <w:rPr>
          <w:noProof/>
        </w:rPr>
        <w:noBreakHyphen/>
        <w:t>fund products</w:t>
      </w:r>
      <w:r>
        <w:rPr>
          <w:noProof/>
        </w:rPr>
        <w:tab/>
      </w:r>
      <w:r>
        <w:rPr>
          <w:noProof/>
        </w:rPr>
        <w:fldChar w:fldCharType="begin"/>
      </w:r>
      <w:r>
        <w:rPr>
          <w:noProof/>
        </w:rPr>
        <w:instrText xml:space="preserve"> PAGEREF _Toc158712608 \h </w:instrText>
      </w:r>
      <w:r>
        <w:rPr>
          <w:noProof/>
        </w:rPr>
      </w:r>
      <w:r>
        <w:rPr>
          <w:noProof/>
        </w:rPr>
        <w:fldChar w:fldCharType="separate"/>
      </w:r>
      <w:r>
        <w:rPr>
          <w:noProof/>
        </w:rPr>
        <w:t>429</w:t>
      </w:r>
      <w:r>
        <w:rPr>
          <w:noProof/>
        </w:rPr>
        <w:fldChar w:fldCharType="end"/>
      </w:r>
    </w:p>
    <w:p w14:paraId="6F5DD1B2" w14:textId="36B05F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7.9.11ZH  Requirement to provide copy of Product Disclosure Statement for simple sub</w:t>
      </w:r>
      <w:r>
        <w:rPr>
          <w:noProof/>
        </w:rPr>
        <w:noBreakHyphen/>
        <w:t>fund products free of charge</w:t>
      </w:r>
      <w:r>
        <w:rPr>
          <w:noProof/>
        </w:rPr>
        <w:tab/>
      </w:r>
      <w:r>
        <w:rPr>
          <w:noProof/>
        </w:rPr>
        <w:fldChar w:fldCharType="begin"/>
      </w:r>
      <w:r>
        <w:rPr>
          <w:noProof/>
        </w:rPr>
        <w:instrText xml:space="preserve"> PAGEREF _Toc158712609 \h </w:instrText>
      </w:r>
      <w:r>
        <w:rPr>
          <w:noProof/>
        </w:rPr>
      </w:r>
      <w:r>
        <w:rPr>
          <w:noProof/>
        </w:rPr>
        <w:fldChar w:fldCharType="separate"/>
      </w:r>
      <w:r>
        <w:rPr>
          <w:noProof/>
        </w:rPr>
        <w:t>430</w:t>
      </w:r>
      <w:r>
        <w:rPr>
          <w:noProof/>
        </w:rPr>
        <w:fldChar w:fldCharType="end"/>
      </w:r>
    </w:p>
    <w:p w14:paraId="7D4279DE" w14:textId="0E03016A"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4.3—Other arrangements for Product Disclosure Statements and application forms</w:t>
      </w:r>
      <w:r>
        <w:rPr>
          <w:noProof/>
        </w:rPr>
        <w:tab/>
      </w:r>
      <w:r>
        <w:rPr>
          <w:noProof/>
        </w:rPr>
        <w:fldChar w:fldCharType="begin"/>
      </w:r>
      <w:r>
        <w:rPr>
          <w:noProof/>
        </w:rPr>
        <w:instrText xml:space="preserve"> PAGEREF _Toc158712610 \h </w:instrText>
      </w:r>
      <w:r>
        <w:rPr>
          <w:noProof/>
        </w:rPr>
      </w:r>
      <w:r>
        <w:rPr>
          <w:noProof/>
        </w:rPr>
        <w:fldChar w:fldCharType="separate"/>
      </w:r>
      <w:r>
        <w:rPr>
          <w:noProof/>
        </w:rPr>
        <w:t>430</w:t>
      </w:r>
      <w:r>
        <w:rPr>
          <w:noProof/>
        </w:rPr>
        <w:fldChar w:fldCharType="end"/>
      </w:r>
    </w:p>
    <w:p w14:paraId="7A4A428A" w14:textId="1019826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7.9.12  Modification of Act: Product Disclosure Statements and application forms for standard employer</w:t>
      </w:r>
      <w:r>
        <w:rPr>
          <w:noProof/>
        </w:rPr>
        <w:noBreakHyphen/>
        <w:t>sponsors and successor funds</w:t>
      </w:r>
      <w:r>
        <w:rPr>
          <w:noProof/>
        </w:rPr>
        <w:tab/>
      </w:r>
      <w:r>
        <w:rPr>
          <w:noProof/>
        </w:rPr>
        <w:fldChar w:fldCharType="begin"/>
      </w:r>
      <w:r>
        <w:rPr>
          <w:noProof/>
        </w:rPr>
        <w:instrText xml:space="preserve"> PAGEREF _Toc158712611 \h </w:instrText>
      </w:r>
      <w:r>
        <w:rPr>
          <w:noProof/>
        </w:rPr>
      </w:r>
      <w:r>
        <w:rPr>
          <w:noProof/>
        </w:rPr>
        <w:fldChar w:fldCharType="separate"/>
      </w:r>
      <w:r>
        <w:rPr>
          <w:noProof/>
        </w:rPr>
        <w:t>430</w:t>
      </w:r>
      <w:r>
        <w:rPr>
          <w:noProof/>
        </w:rPr>
        <w:fldChar w:fldCharType="end"/>
      </w:r>
    </w:p>
    <w:p w14:paraId="0DE7A2F2" w14:textId="75D0A91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7.9.13  Offer of superannuation interest without application or eligible application</w:t>
      </w:r>
      <w:r>
        <w:rPr>
          <w:noProof/>
        </w:rPr>
        <w:tab/>
      </w:r>
      <w:r>
        <w:rPr>
          <w:noProof/>
        </w:rPr>
        <w:fldChar w:fldCharType="begin"/>
      </w:r>
      <w:r>
        <w:rPr>
          <w:noProof/>
        </w:rPr>
        <w:instrText xml:space="preserve"> PAGEREF _Toc158712612 \h </w:instrText>
      </w:r>
      <w:r>
        <w:rPr>
          <w:noProof/>
        </w:rPr>
      </w:r>
      <w:r>
        <w:rPr>
          <w:noProof/>
        </w:rPr>
        <w:fldChar w:fldCharType="separate"/>
      </w:r>
      <w:r>
        <w:rPr>
          <w:noProof/>
        </w:rPr>
        <w:t>430</w:t>
      </w:r>
      <w:r>
        <w:rPr>
          <w:noProof/>
        </w:rPr>
        <w:fldChar w:fldCharType="end"/>
      </w:r>
    </w:p>
    <w:p w14:paraId="0A62C64E" w14:textId="5339B28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7.9.14  Remedies for person acquiring financial product </w:t>
      </w:r>
      <w:r w:rsidRPr="00FC743A">
        <w:rPr>
          <w:bCs/>
          <w:noProof/>
        </w:rPr>
        <w:t>under defective Product Disclosure Statement</w:t>
      </w:r>
      <w:r>
        <w:rPr>
          <w:noProof/>
        </w:rPr>
        <w:t>: superannuation and RSAs</w:t>
      </w:r>
      <w:r>
        <w:rPr>
          <w:noProof/>
        </w:rPr>
        <w:tab/>
      </w:r>
      <w:r>
        <w:rPr>
          <w:noProof/>
        </w:rPr>
        <w:fldChar w:fldCharType="begin"/>
      </w:r>
      <w:r>
        <w:rPr>
          <w:noProof/>
        </w:rPr>
        <w:instrText xml:space="preserve"> PAGEREF _Toc158712613 \h </w:instrText>
      </w:r>
      <w:r>
        <w:rPr>
          <w:noProof/>
        </w:rPr>
      </w:r>
      <w:r>
        <w:rPr>
          <w:noProof/>
        </w:rPr>
        <w:fldChar w:fldCharType="separate"/>
      </w:r>
      <w:r>
        <w:rPr>
          <w:noProof/>
        </w:rPr>
        <w:t>430</w:t>
      </w:r>
      <w:r>
        <w:rPr>
          <w:noProof/>
        </w:rPr>
        <w:fldChar w:fldCharType="end"/>
      </w:r>
    </w:p>
    <w:p w14:paraId="0A5E4E25" w14:textId="1DB5EAF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7.9.14A  Treatment of arrangements under which a person can instruct another person to acquire a financial product</w:t>
      </w:r>
      <w:r>
        <w:rPr>
          <w:noProof/>
        </w:rPr>
        <w:tab/>
      </w:r>
      <w:r>
        <w:rPr>
          <w:noProof/>
        </w:rPr>
        <w:fldChar w:fldCharType="begin"/>
      </w:r>
      <w:r>
        <w:rPr>
          <w:noProof/>
        </w:rPr>
        <w:instrText xml:space="preserve"> PAGEREF _Toc158712614 \h </w:instrText>
      </w:r>
      <w:r>
        <w:rPr>
          <w:noProof/>
        </w:rPr>
      </w:r>
      <w:r>
        <w:rPr>
          <w:noProof/>
        </w:rPr>
        <w:fldChar w:fldCharType="separate"/>
      </w:r>
      <w:r>
        <w:rPr>
          <w:noProof/>
        </w:rPr>
        <w:t>431</w:t>
      </w:r>
      <w:r>
        <w:rPr>
          <w:noProof/>
        </w:rPr>
        <w:fldChar w:fldCharType="end"/>
      </w:r>
    </w:p>
    <w:p w14:paraId="5EE89092" w14:textId="44A55204"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4.4—Product information for certain insurance products</w:t>
      </w:r>
      <w:r>
        <w:rPr>
          <w:noProof/>
        </w:rPr>
        <w:tab/>
      </w:r>
      <w:r>
        <w:rPr>
          <w:noProof/>
        </w:rPr>
        <w:fldChar w:fldCharType="begin"/>
      </w:r>
      <w:r>
        <w:rPr>
          <w:noProof/>
        </w:rPr>
        <w:instrText xml:space="preserve"> PAGEREF _Toc158712615 \h </w:instrText>
      </w:r>
      <w:r>
        <w:rPr>
          <w:noProof/>
        </w:rPr>
      </w:r>
      <w:r>
        <w:rPr>
          <w:noProof/>
        </w:rPr>
        <w:fldChar w:fldCharType="separate"/>
      </w:r>
      <w:r>
        <w:rPr>
          <w:noProof/>
        </w:rPr>
        <w:t>431</w:t>
      </w:r>
      <w:r>
        <w:rPr>
          <w:noProof/>
        </w:rPr>
        <w:fldChar w:fldCharType="end"/>
      </w:r>
    </w:p>
    <w:p w14:paraId="1AFF148C" w14:textId="479176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7.9.14B  Product information</w:t>
      </w:r>
      <w:r>
        <w:rPr>
          <w:noProof/>
        </w:rPr>
        <w:tab/>
      </w:r>
      <w:r>
        <w:rPr>
          <w:noProof/>
        </w:rPr>
        <w:fldChar w:fldCharType="begin"/>
      </w:r>
      <w:r>
        <w:rPr>
          <w:noProof/>
        </w:rPr>
        <w:instrText xml:space="preserve"> PAGEREF _Toc158712616 \h </w:instrText>
      </w:r>
      <w:r>
        <w:rPr>
          <w:noProof/>
        </w:rPr>
      </w:r>
      <w:r>
        <w:rPr>
          <w:noProof/>
        </w:rPr>
        <w:fldChar w:fldCharType="separate"/>
      </w:r>
      <w:r>
        <w:rPr>
          <w:noProof/>
        </w:rPr>
        <w:t>431</w:t>
      </w:r>
      <w:r>
        <w:rPr>
          <w:noProof/>
        </w:rPr>
        <w:fldChar w:fldCharType="end"/>
      </w:r>
    </w:p>
    <w:p w14:paraId="46C3FABA" w14:textId="1EEBF57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4A—General</w:t>
      </w:r>
      <w:r>
        <w:rPr>
          <w:noProof/>
        </w:rPr>
        <w:tab/>
      </w:r>
      <w:r>
        <w:rPr>
          <w:noProof/>
        </w:rPr>
        <w:fldChar w:fldCharType="begin"/>
      </w:r>
      <w:r>
        <w:rPr>
          <w:noProof/>
        </w:rPr>
        <w:instrText xml:space="preserve"> PAGEREF _Toc158712617 \h </w:instrText>
      </w:r>
      <w:r>
        <w:rPr>
          <w:noProof/>
        </w:rPr>
      </w:r>
      <w:r>
        <w:rPr>
          <w:noProof/>
        </w:rPr>
        <w:fldChar w:fldCharType="separate"/>
      </w:r>
      <w:r>
        <w:rPr>
          <w:noProof/>
        </w:rPr>
        <w:t>433</w:t>
      </w:r>
      <w:r>
        <w:rPr>
          <w:noProof/>
        </w:rPr>
        <w:fldChar w:fldCharType="end"/>
      </w:r>
    </w:p>
    <w:p w14:paraId="6776906D" w14:textId="6DEFF1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7.9.14C  Labour standards and environmental, social and ethical considerations</w:t>
      </w:r>
      <w:r>
        <w:rPr>
          <w:noProof/>
        </w:rPr>
        <w:tab/>
      </w:r>
      <w:r>
        <w:rPr>
          <w:noProof/>
        </w:rPr>
        <w:fldChar w:fldCharType="begin"/>
      </w:r>
      <w:r>
        <w:rPr>
          <w:noProof/>
        </w:rPr>
        <w:instrText xml:space="preserve"> PAGEREF _Toc158712618 \h </w:instrText>
      </w:r>
      <w:r>
        <w:rPr>
          <w:noProof/>
        </w:rPr>
      </w:r>
      <w:r>
        <w:rPr>
          <w:noProof/>
        </w:rPr>
        <w:fldChar w:fldCharType="separate"/>
      </w:r>
      <w:r>
        <w:rPr>
          <w:noProof/>
        </w:rPr>
        <w:t>433</w:t>
      </w:r>
      <w:r>
        <w:rPr>
          <w:noProof/>
        </w:rPr>
        <w:fldChar w:fldCharType="end"/>
      </w:r>
    </w:p>
    <w:p w14:paraId="4A8FA427" w14:textId="11FC4CD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7.9.14D  Further statements required in Product Disclosure Statement—financial claims scheme</w:t>
      </w:r>
      <w:r>
        <w:rPr>
          <w:noProof/>
        </w:rPr>
        <w:tab/>
      </w:r>
      <w:r>
        <w:rPr>
          <w:noProof/>
        </w:rPr>
        <w:fldChar w:fldCharType="begin"/>
      </w:r>
      <w:r>
        <w:rPr>
          <w:noProof/>
        </w:rPr>
        <w:instrText xml:space="preserve"> PAGEREF _Toc158712619 \h </w:instrText>
      </w:r>
      <w:r>
        <w:rPr>
          <w:noProof/>
        </w:rPr>
      </w:r>
      <w:r>
        <w:rPr>
          <w:noProof/>
        </w:rPr>
        <w:fldChar w:fldCharType="separate"/>
      </w:r>
      <w:r>
        <w:rPr>
          <w:noProof/>
        </w:rPr>
        <w:t>433</w:t>
      </w:r>
      <w:r>
        <w:rPr>
          <w:noProof/>
        </w:rPr>
        <w:fldChar w:fldCharType="end"/>
      </w:r>
    </w:p>
    <w:p w14:paraId="03993DFE" w14:textId="1DA049A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  More detailed information in Product Disclosure Statement: unauthorised foreign insurer</w:t>
      </w:r>
      <w:r>
        <w:rPr>
          <w:noProof/>
        </w:rPr>
        <w:tab/>
      </w:r>
      <w:r>
        <w:rPr>
          <w:noProof/>
        </w:rPr>
        <w:fldChar w:fldCharType="begin"/>
      </w:r>
      <w:r>
        <w:rPr>
          <w:noProof/>
        </w:rPr>
        <w:instrText xml:space="preserve"> PAGEREF _Toc158712620 \h </w:instrText>
      </w:r>
      <w:r>
        <w:rPr>
          <w:noProof/>
        </w:rPr>
      </w:r>
      <w:r>
        <w:rPr>
          <w:noProof/>
        </w:rPr>
        <w:fldChar w:fldCharType="separate"/>
      </w:r>
      <w:r>
        <w:rPr>
          <w:noProof/>
        </w:rPr>
        <w:t>433</w:t>
      </w:r>
      <w:r>
        <w:rPr>
          <w:noProof/>
        </w:rPr>
        <w:fldChar w:fldCharType="end"/>
      </w:r>
    </w:p>
    <w:p w14:paraId="28EBFA3D" w14:textId="7A99736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7.9.15A  Product Disclosure Statements—requirement to state information as amounts in dollars</w:t>
      </w:r>
      <w:r>
        <w:rPr>
          <w:noProof/>
        </w:rPr>
        <w:tab/>
      </w:r>
      <w:r>
        <w:rPr>
          <w:noProof/>
        </w:rPr>
        <w:fldChar w:fldCharType="begin"/>
      </w:r>
      <w:r>
        <w:rPr>
          <w:noProof/>
        </w:rPr>
        <w:instrText xml:space="preserve"> PAGEREF _Toc158712621 \h </w:instrText>
      </w:r>
      <w:r>
        <w:rPr>
          <w:noProof/>
        </w:rPr>
      </w:r>
      <w:r>
        <w:rPr>
          <w:noProof/>
        </w:rPr>
        <w:fldChar w:fldCharType="separate"/>
      </w:r>
      <w:r>
        <w:rPr>
          <w:noProof/>
        </w:rPr>
        <w:t>434</w:t>
      </w:r>
      <w:r>
        <w:rPr>
          <w:noProof/>
        </w:rPr>
        <w:fldChar w:fldCharType="end"/>
      </w:r>
    </w:p>
    <w:p w14:paraId="7FEBBC24" w14:textId="283DE56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7.9.15B  Product Disclosure Statements—disclosure of dollar amounts</w:t>
      </w:r>
      <w:r>
        <w:rPr>
          <w:noProof/>
        </w:rPr>
        <w:tab/>
      </w:r>
      <w:r>
        <w:rPr>
          <w:noProof/>
        </w:rPr>
        <w:fldChar w:fldCharType="begin"/>
      </w:r>
      <w:r>
        <w:rPr>
          <w:noProof/>
        </w:rPr>
        <w:instrText xml:space="preserve"> PAGEREF _Toc158712622 \h </w:instrText>
      </w:r>
      <w:r>
        <w:rPr>
          <w:noProof/>
        </w:rPr>
      </w:r>
      <w:r>
        <w:rPr>
          <w:noProof/>
        </w:rPr>
        <w:fldChar w:fldCharType="separate"/>
      </w:r>
      <w:r>
        <w:rPr>
          <w:noProof/>
        </w:rPr>
        <w:t>434</w:t>
      </w:r>
      <w:r>
        <w:rPr>
          <w:noProof/>
        </w:rPr>
        <w:fldChar w:fldCharType="end"/>
      </w:r>
    </w:p>
    <w:p w14:paraId="119DA3F2" w14:textId="35B2EC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7.9.15C  Product Disclosure Statements—disclosure of dollar amounts</w:t>
      </w:r>
      <w:r>
        <w:rPr>
          <w:noProof/>
        </w:rPr>
        <w:tab/>
      </w:r>
      <w:r>
        <w:rPr>
          <w:noProof/>
        </w:rPr>
        <w:fldChar w:fldCharType="begin"/>
      </w:r>
      <w:r>
        <w:rPr>
          <w:noProof/>
        </w:rPr>
        <w:instrText xml:space="preserve"> PAGEREF _Toc158712623 \h </w:instrText>
      </w:r>
      <w:r>
        <w:rPr>
          <w:noProof/>
        </w:rPr>
      </w:r>
      <w:r>
        <w:rPr>
          <w:noProof/>
        </w:rPr>
        <w:fldChar w:fldCharType="separate"/>
      </w:r>
      <w:r>
        <w:rPr>
          <w:noProof/>
        </w:rPr>
        <w:t>434</w:t>
      </w:r>
      <w:r>
        <w:rPr>
          <w:noProof/>
        </w:rPr>
        <w:fldChar w:fldCharType="end"/>
      </w:r>
    </w:p>
    <w:p w14:paraId="67A73FEC" w14:textId="275F0EC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7.9.15CA  Less information in Product Disclosure Statement—financial claims scheme</w:t>
      </w:r>
      <w:r>
        <w:rPr>
          <w:noProof/>
        </w:rPr>
        <w:tab/>
      </w:r>
      <w:r>
        <w:rPr>
          <w:noProof/>
        </w:rPr>
        <w:fldChar w:fldCharType="begin"/>
      </w:r>
      <w:r>
        <w:rPr>
          <w:noProof/>
        </w:rPr>
        <w:instrText xml:space="preserve"> PAGEREF _Toc158712624 \h </w:instrText>
      </w:r>
      <w:r>
        <w:rPr>
          <w:noProof/>
        </w:rPr>
      </w:r>
      <w:r>
        <w:rPr>
          <w:noProof/>
        </w:rPr>
        <w:fldChar w:fldCharType="separate"/>
      </w:r>
      <w:r>
        <w:rPr>
          <w:noProof/>
        </w:rPr>
        <w:t>435</w:t>
      </w:r>
      <w:r>
        <w:rPr>
          <w:noProof/>
        </w:rPr>
        <w:fldChar w:fldCharType="end"/>
      </w:r>
    </w:p>
    <w:p w14:paraId="164C25BE" w14:textId="6960C32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7.9.15D  Less information in product disclosure statement: general insurance product</w:t>
      </w:r>
      <w:r>
        <w:rPr>
          <w:noProof/>
        </w:rPr>
        <w:tab/>
      </w:r>
      <w:r>
        <w:rPr>
          <w:noProof/>
        </w:rPr>
        <w:fldChar w:fldCharType="begin"/>
      </w:r>
      <w:r>
        <w:rPr>
          <w:noProof/>
        </w:rPr>
        <w:instrText xml:space="preserve"> PAGEREF _Toc158712625 \h </w:instrText>
      </w:r>
      <w:r>
        <w:rPr>
          <w:noProof/>
        </w:rPr>
      </w:r>
      <w:r>
        <w:rPr>
          <w:noProof/>
        </w:rPr>
        <w:fldChar w:fldCharType="separate"/>
      </w:r>
      <w:r>
        <w:rPr>
          <w:noProof/>
        </w:rPr>
        <w:t>435</w:t>
      </w:r>
      <w:r>
        <w:rPr>
          <w:noProof/>
        </w:rPr>
        <w:fldChar w:fldCharType="end"/>
      </w:r>
    </w:p>
    <w:p w14:paraId="025097CF" w14:textId="3531225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7.9.15DA  Statement or information not included in a Product Disclosure Statement</w:t>
      </w:r>
      <w:r>
        <w:rPr>
          <w:noProof/>
        </w:rPr>
        <w:tab/>
      </w:r>
      <w:r>
        <w:rPr>
          <w:noProof/>
        </w:rPr>
        <w:fldChar w:fldCharType="begin"/>
      </w:r>
      <w:r>
        <w:rPr>
          <w:noProof/>
        </w:rPr>
        <w:instrText xml:space="preserve"> PAGEREF _Toc158712626 \h </w:instrText>
      </w:r>
      <w:r>
        <w:rPr>
          <w:noProof/>
        </w:rPr>
      </w:r>
      <w:r>
        <w:rPr>
          <w:noProof/>
        </w:rPr>
        <w:fldChar w:fldCharType="separate"/>
      </w:r>
      <w:r>
        <w:rPr>
          <w:noProof/>
        </w:rPr>
        <w:t>436</w:t>
      </w:r>
      <w:r>
        <w:rPr>
          <w:noProof/>
        </w:rPr>
        <w:fldChar w:fldCharType="end"/>
      </w:r>
    </w:p>
    <w:p w14:paraId="68DC9300" w14:textId="0C39C680" w:rsidR="00D779FE" w:rsidRDefault="00D779FE">
      <w:pPr>
        <w:pStyle w:val="TOC5"/>
        <w:rPr>
          <w:rFonts w:asciiTheme="minorHAnsi" w:eastAsiaTheme="minorEastAsia" w:hAnsiTheme="minorHAnsi" w:cstheme="minorBidi"/>
          <w:noProof/>
          <w:kern w:val="2"/>
          <w:sz w:val="22"/>
          <w:szCs w:val="22"/>
          <w14:ligatures w14:val="standardContextual"/>
        </w:rPr>
      </w:pPr>
      <w:r w:rsidRPr="00FC743A">
        <w:rPr>
          <w:rFonts w:eastAsia="MS Mincho"/>
          <w:noProof/>
        </w:rPr>
        <w:t>7.9.15DB  Requirement to keep record of Product Disclosure Statement and other documents</w:t>
      </w:r>
      <w:r>
        <w:rPr>
          <w:noProof/>
        </w:rPr>
        <w:tab/>
      </w:r>
      <w:r>
        <w:rPr>
          <w:noProof/>
        </w:rPr>
        <w:fldChar w:fldCharType="begin"/>
      </w:r>
      <w:r>
        <w:rPr>
          <w:noProof/>
        </w:rPr>
        <w:instrText xml:space="preserve"> PAGEREF _Toc158712627 \h </w:instrText>
      </w:r>
      <w:r>
        <w:rPr>
          <w:noProof/>
        </w:rPr>
      </w:r>
      <w:r>
        <w:rPr>
          <w:noProof/>
        </w:rPr>
        <w:fldChar w:fldCharType="separate"/>
      </w:r>
      <w:r>
        <w:rPr>
          <w:noProof/>
        </w:rPr>
        <w:t>436</w:t>
      </w:r>
      <w:r>
        <w:rPr>
          <w:noProof/>
        </w:rPr>
        <w:fldChar w:fldCharType="end"/>
      </w:r>
    </w:p>
    <w:p w14:paraId="710046AF" w14:textId="0F843A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7.9.15DC  Requirement to lodge documents mentioned in a Product Disclosure Statement with ASIC</w:t>
      </w:r>
      <w:r>
        <w:rPr>
          <w:noProof/>
        </w:rPr>
        <w:tab/>
      </w:r>
      <w:r>
        <w:rPr>
          <w:noProof/>
        </w:rPr>
        <w:fldChar w:fldCharType="begin"/>
      </w:r>
      <w:r>
        <w:rPr>
          <w:noProof/>
        </w:rPr>
        <w:instrText xml:space="preserve"> PAGEREF _Toc158712628 \h </w:instrText>
      </w:r>
      <w:r>
        <w:rPr>
          <w:noProof/>
        </w:rPr>
      </w:r>
      <w:r>
        <w:rPr>
          <w:noProof/>
        </w:rPr>
        <w:fldChar w:fldCharType="separate"/>
      </w:r>
      <w:r>
        <w:rPr>
          <w:noProof/>
        </w:rPr>
        <w:t>437</w:t>
      </w:r>
      <w:r>
        <w:rPr>
          <w:noProof/>
        </w:rPr>
        <w:fldChar w:fldCharType="end"/>
      </w:r>
    </w:p>
    <w:p w14:paraId="32A496B2" w14:textId="21D15A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7.9.15E  More detailed information in product disclosure statement: general insurance product</w:t>
      </w:r>
      <w:r>
        <w:rPr>
          <w:noProof/>
        </w:rPr>
        <w:tab/>
      </w:r>
      <w:r>
        <w:rPr>
          <w:noProof/>
        </w:rPr>
        <w:fldChar w:fldCharType="begin"/>
      </w:r>
      <w:r>
        <w:rPr>
          <w:noProof/>
        </w:rPr>
        <w:instrText xml:space="preserve"> PAGEREF _Toc158712629 \h </w:instrText>
      </w:r>
      <w:r>
        <w:rPr>
          <w:noProof/>
        </w:rPr>
      </w:r>
      <w:r>
        <w:rPr>
          <w:noProof/>
        </w:rPr>
        <w:fldChar w:fldCharType="separate"/>
      </w:r>
      <w:r>
        <w:rPr>
          <w:noProof/>
        </w:rPr>
        <w:t>437</w:t>
      </w:r>
      <w:r>
        <w:rPr>
          <w:noProof/>
        </w:rPr>
        <w:fldChar w:fldCharType="end"/>
      </w:r>
    </w:p>
    <w:p w14:paraId="6F35EC86" w14:textId="79BE64B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7.9.15F  Product disclosure statement: general insurance product</w:t>
      </w:r>
      <w:r>
        <w:rPr>
          <w:noProof/>
        </w:rPr>
        <w:tab/>
      </w:r>
      <w:r>
        <w:rPr>
          <w:noProof/>
        </w:rPr>
        <w:fldChar w:fldCharType="begin"/>
      </w:r>
      <w:r>
        <w:rPr>
          <w:noProof/>
        </w:rPr>
        <w:instrText xml:space="preserve"> PAGEREF _Toc158712630 \h </w:instrText>
      </w:r>
      <w:r>
        <w:rPr>
          <w:noProof/>
        </w:rPr>
      </w:r>
      <w:r>
        <w:rPr>
          <w:noProof/>
        </w:rPr>
        <w:fldChar w:fldCharType="separate"/>
      </w:r>
      <w:r>
        <w:rPr>
          <w:noProof/>
        </w:rPr>
        <w:t>437</w:t>
      </w:r>
      <w:r>
        <w:rPr>
          <w:noProof/>
        </w:rPr>
        <w:fldChar w:fldCharType="end"/>
      </w:r>
    </w:p>
    <w:p w14:paraId="02BFC3EC" w14:textId="13B0A5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7.9.15FA  </w:t>
      </w:r>
      <w:r w:rsidRPr="00FC743A">
        <w:rPr>
          <w:rFonts w:eastAsia="MS Mincho"/>
          <w:noProof/>
        </w:rPr>
        <w:t>Transitional arrangements for regulations 7.9.15D, 7.9.15E and 7.9.15F</w:t>
      </w:r>
      <w:r>
        <w:rPr>
          <w:noProof/>
        </w:rPr>
        <w:tab/>
      </w:r>
      <w:r>
        <w:rPr>
          <w:noProof/>
        </w:rPr>
        <w:fldChar w:fldCharType="begin"/>
      </w:r>
      <w:r>
        <w:rPr>
          <w:noProof/>
        </w:rPr>
        <w:instrText xml:space="preserve"> PAGEREF _Toc158712631 \h </w:instrText>
      </w:r>
      <w:r>
        <w:rPr>
          <w:noProof/>
        </w:rPr>
      </w:r>
      <w:r>
        <w:rPr>
          <w:noProof/>
        </w:rPr>
        <w:fldChar w:fldCharType="separate"/>
      </w:r>
      <w:r>
        <w:rPr>
          <w:noProof/>
        </w:rPr>
        <w:t>437</w:t>
      </w:r>
      <w:r>
        <w:rPr>
          <w:noProof/>
        </w:rPr>
        <w:fldChar w:fldCharType="end"/>
      </w:r>
    </w:p>
    <w:p w14:paraId="11CBF64D" w14:textId="016899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7.9.15H  New section 1012G: product disclosure statement may sometimes be provided later</w:t>
      </w:r>
      <w:r>
        <w:rPr>
          <w:noProof/>
        </w:rPr>
        <w:tab/>
      </w:r>
      <w:r>
        <w:rPr>
          <w:noProof/>
        </w:rPr>
        <w:fldChar w:fldCharType="begin"/>
      </w:r>
      <w:r>
        <w:rPr>
          <w:noProof/>
        </w:rPr>
        <w:instrText xml:space="preserve"> PAGEREF _Toc158712632 \h </w:instrText>
      </w:r>
      <w:r>
        <w:rPr>
          <w:noProof/>
        </w:rPr>
      </w:r>
      <w:r>
        <w:rPr>
          <w:noProof/>
        </w:rPr>
        <w:fldChar w:fldCharType="separate"/>
      </w:r>
      <w:r>
        <w:rPr>
          <w:noProof/>
        </w:rPr>
        <w:t>437</w:t>
      </w:r>
      <w:r>
        <w:rPr>
          <w:noProof/>
        </w:rPr>
        <w:fldChar w:fldCharType="end"/>
      </w:r>
    </w:p>
    <w:p w14:paraId="58B498FA" w14:textId="2858E71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7.9.15I  Modification of section 1012IA</w:t>
      </w:r>
      <w:r>
        <w:rPr>
          <w:noProof/>
        </w:rPr>
        <w:tab/>
      </w:r>
      <w:r>
        <w:rPr>
          <w:noProof/>
        </w:rPr>
        <w:fldChar w:fldCharType="begin"/>
      </w:r>
      <w:r>
        <w:rPr>
          <w:noProof/>
        </w:rPr>
        <w:instrText xml:space="preserve"> PAGEREF _Toc158712633 \h </w:instrText>
      </w:r>
      <w:r>
        <w:rPr>
          <w:noProof/>
        </w:rPr>
      </w:r>
      <w:r>
        <w:rPr>
          <w:noProof/>
        </w:rPr>
        <w:fldChar w:fldCharType="separate"/>
      </w:r>
      <w:r>
        <w:rPr>
          <w:noProof/>
        </w:rPr>
        <w:t>438</w:t>
      </w:r>
      <w:r>
        <w:rPr>
          <w:noProof/>
        </w:rPr>
        <w:fldChar w:fldCharType="end"/>
      </w:r>
    </w:p>
    <w:p w14:paraId="235D97B9" w14:textId="32146A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7.9.16  More detailed information in Product Disclosure Statement: consumer credit insurance product</w:t>
      </w:r>
      <w:r>
        <w:rPr>
          <w:noProof/>
        </w:rPr>
        <w:tab/>
      </w:r>
      <w:r>
        <w:rPr>
          <w:noProof/>
        </w:rPr>
        <w:fldChar w:fldCharType="begin"/>
      </w:r>
      <w:r>
        <w:rPr>
          <w:noProof/>
        </w:rPr>
        <w:instrText xml:space="preserve"> PAGEREF _Toc158712634 \h </w:instrText>
      </w:r>
      <w:r>
        <w:rPr>
          <w:noProof/>
        </w:rPr>
      </w:r>
      <w:r>
        <w:rPr>
          <w:noProof/>
        </w:rPr>
        <w:fldChar w:fldCharType="separate"/>
      </w:r>
      <w:r>
        <w:rPr>
          <w:noProof/>
        </w:rPr>
        <w:t>439</w:t>
      </w:r>
      <w:r>
        <w:rPr>
          <w:noProof/>
        </w:rPr>
        <w:fldChar w:fldCharType="end"/>
      </w:r>
    </w:p>
    <w:p w14:paraId="58925312" w14:textId="5DF604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7.9.16A  Small scale offerings of managed investment and other prescribed financial products (20 issues or sales in 12 months)</w:t>
      </w:r>
      <w:r>
        <w:rPr>
          <w:noProof/>
        </w:rPr>
        <w:tab/>
      </w:r>
      <w:r>
        <w:rPr>
          <w:noProof/>
        </w:rPr>
        <w:fldChar w:fldCharType="begin"/>
      </w:r>
      <w:r>
        <w:rPr>
          <w:noProof/>
        </w:rPr>
        <w:instrText xml:space="preserve"> PAGEREF _Toc158712635 \h </w:instrText>
      </w:r>
      <w:r>
        <w:rPr>
          <w:noProof/>
        </w:rPr>
      </w:r>
      <w:r>
        <w:rPr>
          <w:noProof/>
        </w:rPr>
        <w:fldChar w:fldCharType="separate"/>
      </w:r>
      <w:r>
        <w:rPr>
          <w:noProof/>
        </w:rPr>
        <w:t>439</w:t>
      </w:r>
      <w:r>
        <w:rPr>
          <w:noProof/>
        </w:rPr>
        <w:fldChar w:fldCharType="end"/>
      </w:r>
    </w:p>
    <w:p w14:paraId="0089C298" w14:textId="4227371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4B—Ongoing disclosure</w:t>
      </w:r>
      <w:r>
        <w:rPr>
          <w:noProof/>
        </w:rPr>
        <w:tab/>
      </w:r>
      <w:r>
        <w:rPr>
          <w:noProof/>
        </w:rPr>
        <w:fldChar w:fldCharType="begin"/>
      </w:r>
      <w:r>
        <w:rPr>
          <w:noProof/>
        </w:rPr>
        <w:instrText xml:space="preserve"> PAGEREF _Toc158712636 \h </w:instrText>
      </w:r>
      <w:r>
        <w:rPr>
          <w:noProof/>
        </w:rPr>
      </w:r>
      <w:r>
        <w:rPr>
          <w:noProof/>
        </w:rPr>
        <w:fldChar w:fldCharType="separate"/>
      </w:r>
      <w:r>
        <w:rPr>
          <w:noProof/>
        </w:rPr>
        <w:t>440</w:t>
      </w:r>
      <w:r>
        <w:rPr>
          <w:noProof/>
        </w:rPr>
        <w:fldChar w:fldCharType="end"/>
      </w:r>
    </w:p>
    <w:p w14:paraId="3FFAE7A8" w14:textId="4F3255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7.9.16G  Ongoing disclosure of material changes and significant events</w:t>
      </w:r>
      <w:r>
        <w:rPr>
          <w:noProof/>
        </w:rPr>
        <w:tab/>
      </w:r>
      <w:r>
        <w:rPr>
          <w:noProof/>
        </w:rPr>
        <w:fldChar w:fldCharType="begin"/>
      </w:r>
      <w:r>
        <w:rPr>
          <w:noProof/>
        </w:rPr>
        <w:instrText xml:space="preserve"> PAGEREF _Toc158712637 \h </w:instrText>
      </w:r>
      <w:r>
        <w:rPr>
          <w:noProof/>
        </w:rPr>
      </w:r>
      <w:r>
        <w:rPr>
          <w:noProof/>
        </w:rPr>
        <w:fldChar w:fldCharType="separate"/>
      </w:r>
      <w:r>
        <w:rPr>
          <w:noProof/>
        </w:rPr>
        <w:t>440</w:t>
      </w:r>
      <w:r>
        <w:rPr>
          <w:noProof/>
        </w:rPr>
        <w:fldChar w:fldCharType="end"/>
      </w:r>
    </w:p>
    <w:p w14:paraId="1795F8D8" w14:textId="19E3776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4C—Fee Disclosure for certain financial products</w:t>
      </w:r>
      <w:r>
        <w:rPr>
          <w:noProof/>
        </w:rPr>
        <w:tab/>
      </w:r>
      <w:r>
        <w:rPr>
          <w:noProof/>
        </w:rPr>
        <w:fldChar w:fldCharType="begin"/>
      </w:r>
      <w:r>
        <w:rPr>
          <w:noProof/>
        </w:rPr>
        <w:instrText xml:space="preserve"> PAGEREF _Toc158712638 \h </w:instrText>
      </w:r>
      <w:r>
        <w:rPr>
          <w:noProof/>
        </w:rPr>
      </w:r>
      <w:r>
        <w:rPr>
          <w:noProof/>
        </w:rPr>
        <w:fldChar w:fldCharType="separate"/>
      </w:r>
      <w:r>
        <w:rPr>
          <w:noProof/>
        </w:rPr>
        <w:t>441</w:t>
      </w:r>
      <w:r>
        <w:rPr>
          <w:noProof/>
        </w:rPr>
        <w:fldChar w:fldCharType="end"/>
      </w:r>
    </w:p>
    <w:p w14:paraId="6F78291E" w14:textId="0F584A60"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4C.1—Application</w:t>
      </w:r>
      <w:r>
        <w:rPr>
          <w:noProof/>
        </w:rPr>
        <w:tab/>
      </w:r>
      <w:r>
        <w:rPr>
          <w:noProof/>
        </w:rPr>
        <w:fldChar w:fldCharType="begin"/>
      </w:r>
      <w:r>
        <w:rPr>
          <w:noProof/>
        </w:rPr>
        <w:instrText xml:space="preserve"> PAGEREF _Toc158712639 \h </w:instrText>
      </w:r>
      <w:r>
        <w:rPr>
          <w:noProof/>
        </w:rPr>
      </w:r>
      <w:r>
        <w:rPr>
          <w:noProof/>
        </w:rPr>
        <w:fldChar w:fldCharType="separate"/>
      </w:r>
      <w:r>
        <w:rPr>
          <w:noProof/>
        </w:rPr>
        <w:t>441</w:t>
      </w:r>
      <w:r>
        <w:rPr>
          <w:noProof/>
        </w:rPr>
        <w:fldChar w:fldCharType="end"/>
      </w:r>
    </w:p>
    <w:p w14:paraId="6FCE5C02" w14:textId="121D527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7.9.16J  Application of this Division to financial products</w:t>
      </w:r>
      <w:r>
        <w:rPr>
          <w:noProof/>
        </w:rPr>
        <w:tab/>
      </w:r>
      <w:r>
        <w:rPr>
          <w:noProof/>
        </w:rPr>
        <w:fldChar w:fldCharType="begin"/>
      </w:r>
      <w:r>
        <w:rPr>
          <w:noProof/>
        </w:rPr>
        <w:instrText xml:space="preserve"> PAGEREF _Toc158712640 \h </w:instrText>
      </w:r>
      <w:r>
        <w:rPr>
          <w:noProof/>
        </w:rPr>
      </w:r>
      <w:r>
        <w:rPr>
          <w:noProof/>
        </w:rPr>
        <w:fldChar w:fldCharType="separate"/>
      </w:r>
      <w:r>
        <w:rPr>
          <w:noProof/>
        </w:rPr>
        <w:t>441</w:t>
      </w:r>
      <w:r>
        <w:rPr>
          <w:noProof/>
        </w:rPr>
        <w:fldChar w:fldCharType="end"/>
      </w:r>
    </w:p>
    <w:p w14:paraId="5AAC9928" w14:textId="0BECA99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7.9.16JA  Application of this Division to financial products—temporary arrangements</w:t>
      </w:r>
      <w:r>
        <w:rPr>
          <w:noProof/>
        </w:rPr>
        <w:tab/>
      </w:r>
      <w:r>
        <w:rPr>
          <w:noProof/>
        </w:rPr>
        <w:fldChar w:fldCharType="begin"/>
      </w:r>
      <w:r>
        <w:rPr>
          <w:noProof/>
        </w:rPr>
        <w:instrText xml:space="preserve"> PAGEREF _Toc158712641 \h </w:instrText>
      </w:r>
      <w:r>
        <w:rPr>
          <w:noProof/>
        </w:rPr>
      </w:r>
      <w:r>
        <w:rPr>
          <w:noProof/>
        </w:rPr>
        <w:fldChar w:fldCharType="separate"/>
      </w:r>
      <w:r>
        <w:rPr>
          <w:noProof/>
        </w:rPr>
        <w:t>441</w:t>
      </w:r>
      <w:r>
        <w:rPr>
          <w:noProof/>
        </w:rPr>
        <w:fldChar w:fldCharType="end"/>
      </w:r>
    </w:p>
    <w:p w14:paraId="2A7C8B0B" w14:textId="7E64663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7.9.16K  Application of this Division to periodic statements and Product Disclosure Statements</w:t>
      </w:r>
      <w:r>
        <w:rPr>
          <w:noProof/>
        </w:rPr>
        <w:tab/>
      </w:r>
      <w:r>
        <w:rPr>
          <w:noProof/>
        </w:rPr>
        <w:fldChar w:fldCharType="begin"/>
      </w:r>
      <w:r>
        <w:rPr>
          <w:noProof/>
        </w:rPr>
        <w:instrText xml:space="preserve"> PAGEREF _Toc158712642 \h </w:instrText>
      </w:r>
      <w:r>
        <w:rPr>
          <w:noProof/>
        </w:rPr>
      </w:r>
      <w:r>
        <w:rPr>
          <w:noProof/>
        </w:rPr>
        <w:fldChar w:fldCharType="separate"/>
      </w:r>
      <w:r>
        <w:rPr>
          <w:noProof/>
        </w:rPr>
        <w:t>441</w:t>
      </w:r>
      <w:r>
        <w:rPr>
          <w:noProof/>
        </w:rPr>
        <w:fldChar w:fldCharType="end"/>
      </w:r>
    </w:p>
    <w:p w14:paraId="06EEF3F9" w14:textId="36E1C3A3"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4C.2—Product Disclosure Statements</w:t>
      </w:r>
      <w:r>
        <w:rPr>
          <w:noProof/>
        </w:rPr>
        <w:tab/>
      </w:r>
      <w:r>
        <w:rPr>
          <w:noProof/>
        </w:rPr>
        <w:fldChar w:fldCharType="begin"/>
      </w:r>
      <w:r>
        <w:rPr>
          <w:noProof/>
        </w:rPr>
        <w:instrText xml:space="preserve"> PAGEREF _Toc158712643 \h </w:instrText>
      </w:r>
      <w:r>
        <w:rPr>
          <w:noProof/>
        </w:rPr>
      </w:r>
      <w:r>
        <w:rPr>
          <w:noProof/>
        </w:rPr>
        <w:fldChar w:fldCharType="separate"/>
      </w:r>
      <w:r>
        <w:rPr>
          <w:noProof/>
        </w:rPr>
        <w:t>441</w:t>
      </w:r>
      <w:r>
        <w:rPr>
          <w:noProof/>
        </w:rPr>
        <w:fldChar w:fldCharType="end"/>
      </w:r>
    </w:p>
    <w:p w14:paraId="18125C2B" w14:textId="3E22A49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7.9.16L  More detailed information about fees and costs</w:t>
      </w:r>
      <w:r>
        <w:rPr>
          <w:noProof/>
        </w:rPr>
        <w:tab/>
      </w:r>
      <w:r>
        <w:rPr>
          <w:noProof/>
        </w:rPr>
        <w:fldChar w:fldCharType="begin"/>
      </w:r>
      <w:r>
        <w:rPr>
          <w:noProof/>
        </w:rPr>
        <w:instrText xml:space="preserve"> PAGEREF _Toc158712644 \h </w:instrText>
      </w:r>
      <w:r>
        <w:rPr>
          <w:noProof/>
        </w:rPr>
      </w:r>
      <w:r>
        <w:rPr>
          <w:noProof/>
        </w:rPr>
        <w:fldChar w:fldCharType="separate"/>
      </w:r>
      <w:r>
        <w:rPr>
          <w:noProof/>
        </w:rPr>
        <w:t>441</w:t>
      </w:r>
      <w:r>
        <w:rPr>
          <w:noProof/>
        </w:rPr>
        <w:fldChar w:fldCharType="end"/>
      </w:r>
    </w:p>
    <w:p w14:paraId="1366A6C1" w14:textId="5C0147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7.9.16M  Modification of section 1015C of the Act</w:t>
      </w:r>
      <w:r>
        <w:rPr>
          <w:noProof/>
        </w:rPr>
        <w:tab/>
      </w:r>
      <w:r>
        <w:rPr>
          <w:noProof/>
        </w:rPr>
        <w:fldChar w:fldCharType="begin"/>
      </w:r>
      <w:r>
        <w:rPr>
          <w:noProof/>
        </w:rPr>
        <w:instrText xml:space="preserve"> PAGEREF _Toc158712645 \h </w:instrText>
      </w:r>
      <w:r>
        <w:rPr>
          <w:noProof/>
        </w:rPr>
      </w:r>
      <w:r>
        <w:rPr>
          <w:noProof/>
        </w:rPr>
        <w:fldChar w:fldCharType="separate"/>
      </w:r>
      <w:r>
        <w:rPr>
          <w:noProof/>
        </w:rPr>
        <w:t>442</w:t>
      </w:r>
      <w:r>
        <w:rPr>
          <w:noProof/>
        </w:rPr>
        <w:fldChar w:fldCharType="end"/>
      </w:r>
    </w:p>
    <w:p w14:paraId="6417F860" w14:textId="6A2AC80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7.9.16N  Presentation, structure and format of fees and costs in Product Disclosure Statements</w:t>
      </w:r>
      <w:r>
        <w:rPr>
          <w:noProof/>
        </w:rPr>
        <w:tab/>
      </w:r>
      <w:r>
        <w:rPr>
          <w:noProof/>
        </w:rPr>
        <w:fldChar w:fldCharType="begin"/>
      </w:r>
      <w:r>
        <w:rPr>
          <w:noProof/>
        </w:rPr>
        <w:instrText xml:space="preserve"> PAGEREF _Toc158712646 \h </w:instrText>
      </w:r>
      <w:r>
        <w:rPr>
          <w:noProof/>
        </w:rPr>
      </w:r>
      <w:r>
        <w:rPr>
          <w:noProof/>
        </w:rPr>
        <w:fldChar w:fldCharType="separate"/>
      </w:r>
      <w:r>
        <w:rPr>
          <w:noProof/>
        </w:rPr>
        <w:t>442</w:t>
      </w:r>
      <w:r>
        <w:rPr>
          <w:noProof/>
        </w:rPr>
        <w:fldChar w:fldCharType="end"/>
      </w:r>
    </w:p>
    <w:p w14:paraId="06A078E9" w14:textId="2A0D955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4C.3—Periodic statements</w:t>
      </w:r>
      <w:r>
        <w:rPr>
          <w:noProof/>
        </w:rPr>
        <w:tab/>
      </w:r>
      <w:r>
        <w:rPr>
          <w:noProof/>
        </w:rPr>
        <w:fldChar w:fldCharType="begin"/>
      </w:r>
      <w:r>
        <w:rPr>
          <w:noProof/>
        </w:rPr>
        <w:instrText xml:space="preserve"> PAGEREF _Toc158712647 \h </w:instrText>
      </w:r>
      <w:r>
        <w:rPr>
          <w:noProof/>
        </w:rPr>
      </w:r>
      <w:r>
        <w:rPr>
          <w:noProof/>
        </w:rPr>
        <w:fldChar w:fldCharType="separate"/>
      </w:r>
      <w:r>
        <w:rPr>
          <w:noProof/>
        </w:rPr>
        <w:t>442</w:t>
      </w:r>
      <w:r>
        <w:rPr>
          <w:noProof/>
        </w:rPr>
        <w:fldChar w:fldCharType="end"/>
      </w:r>
    </w:p>
    <w:p w14:paraId="554B23B0" w14:textId="7CE4208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7.9.16O  Presentation, structure and format of fees and charges in periodic statements</w:t>
      </w:r>
      <w:r>
        <w:rPr>
          <w:noProof/>
        </w:rPr>
        <w:tab/>
      </w:r>
      <w:r>
        <w:rPr>
          <w:noProof/>
        </w:rPr>
        <w:fldChar w:fldCharType="begin"/>
      </w:r>
      <w:r>
        <w:rPr>
          <w:noProof/>
        </w:rPr>
        <w:instrText xml:space="preserve"> PAGEREF _Toc158712648 \h </w:instrText>
      </w:r>
      <w:r>
        <w:rPr>
          <w:noProof/>
        </w:rPr>
      </w:r>
      <w:r>
        <w:rPr>
          <w:noProof/>
        </w:rPr>
        <w:fldChar w:fldCharType="separate"/>
      </w:r>
      <w:r>
        <w:rPr>
          <w:noProof/>
        </w:rPr>
        <w:t>442</w:t>
      </w:r>
      <w:r>
        <w:rPr>
          <w:noProof/>
        </w:rPr>
        <w:fldChar w:fldCharType="end"/>
      </w:r>
    </w:p>
    <w:p w14:paraId="3EA4F4C0" w14:textId="434B03D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4D—Other requirements relating to Product Disclosure Statements and Supplementary Product Disclosure Statements</w:t>
      </w:r>
      <w:r>
        <w:rPr>
          <w:noProof/>
        </w:rPr>
        <w:tab/>
      </w:r>
      <w:r>
        <w:rPr>
          <w:noProof/>
        </w:rPr>
        <w:fldChar w:fldCharType="begin"/>
      </w:r>
      <w:r>
        <w:rPr>
          <w:noProof/>
        </w:rPr>
        <w:instrText xml:space="preserve"> PAGEREF _Toc158712649 \h </w:instrText>
      </w:r>
      <w:r>
        <w:rPr>
          <w:noProof/>
        </w:rPr>
      </w:r>
      <w:r>
        <w:rPr>
          <w:noProof/>
        </w:rPr>
        <w:fldChar w:fldCharType="separate"/>
      </w:r>
      <w:r>
        <w:rPr>
          <w:noProof/>
        </w:rPr>
        <w:t>443</w:t>
      </w:r>
      <w:r>
        <w:rPr>
          <w:noProof/>
        </w:rPr>
        <w:fldChar w:fldCharType="end"/>
      </w:r>
    </w:p>
    <w:p w14:paraId="594E2D1C" w14:textId="73A8A64B"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4D.1—Requirement to lodge a notice with ASIC</w:t>
      </w:r>
      <w:r>
        <w:rPr>
          <w:noProof/>
        </w:rPr>
        <w:tab/>
      </w:r>
      <w:r>
        <w:rPr>
          <w:noProof/>
        </w:rPr>
        <w:fldChar w:fldCharType="begin"/>
      </w:r>
      <w:r>
        <w:rPr>
          <w:noProof/>
        </w:rPr>
        <w:instrText xml:space="preserve"> PAGEREF _Toc158712650 \h </w:instrText>
      </w:r>
      <w:r>
        <w:rPr>
          <w:noProof/>
        </w:rPr>
      </w:r>
      <w:r>
        <w:rPr>
          <w:noProof/>
        </w:rPr>
        <w:fldChar w:fldCharType="separate"/>
      </w:r>
      <w:r>
        <w:rPr>
          <w:noProof/>
        </w:rPr>
        <w:t>443</w:t>
      </w:r>
      <w:r>
        <w:rPr>
          <w:noProof/>
        </w:rPr>
        <w:fldChar w:fldCharType="end"/>
      </w:r>
    </w:p>
    <w:p w14:paraId="27257054" w14:textId="0EC772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7.9.16T  Variation of paragraph 1015D(2)(b) of the Act</w:t>
      </w:r>
      <w:r>
        <w:rPr>
          <w:noProof/>
        </w:rPr>
        <w:tab/>
      </w:r>
      <w:r>
        <w:rPr>
          <w:noProof/>
        </w:rPr>
        <w:fldChar w:fldCharType="begin"/>
      </w:r>
      <w:r>
        <w:rPr>
          <w:noProof/>
        </w:rPr>
        <w:instrText xml:space="preserve"> PAGEREF _Toc158712651 \h </w:instrText>
      </w:r>
      <w:r>
        <w:rPr>
          <w:noProof/>
        </w:rPr>
      </w:r>
      <w:r>
        <w:rPr>
          <w:noProof/>
        </w:rPr>
        <w:fldChar w:fldCharType="separate"/>
      </w:r>
      <w:r>
        <w:rPr>
          <w:noProof/>
        </w:rPr>
        <w:t>443</w:t>
      </w:r>
      <w:r>
        <w:rPr>
          <w:noProof/>
        </w:rPr>
        <w:fldChar w:fldCharType="end"/>
      </w:r>
    </w:p>
    <w:p w14:paraId="6253023B" w14:textId="77E92E7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5—Ongoing requirements for product disclosure after person becomes a member</w:t>
      </w:r>
      <w:r>
        <w:rPr>
          <w:noProof/>
        </w:rPr>
        <w:tab/>
      </w:r>
      <w:r>
        <w:rPr>
          <w:noProof/>
        </w:rPr>
        <w:fldChar w:fldCharType="begin"/>
      </w:r>
      <w:r>
        <w:rPr>
          <w:noProof/>
        </w:rPr>
        <w:instrText xml:space="preserve"> PAGEREF _Toc158712652 \h </w:instrText>
      </w:r>
      <w:r>
        <w:rPr>
          <w:noProof/>
        </w:rPr>
      </w:r>
      <w:r>
        <w:rPr>
          <w:noProof/>
        </w:rPr>
        <w:fldChar w:fldCharType="separate"/>
      </w:r>
      <w:r>
        <w:rPr>
          <w:noProof/>
        </w:rPr>
        <w:t>444</w:t>
      </w:r>
      <w:r>
        <w:rPr>
          <w:noProof/>
        </w:rPr>
        <w:fldChar w:fldCharType="end"/>
      </w:r>
    </w:p>
    <w:p w14:paraId="258988B9" w14:textId="399B799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5.1—Preliminary</w:t>
      </w:r>
      <w:r>
        <w:rPr>
          <w:noProof/>
        </w:rPr>
        <w:tab/>
      </w:r>
      <w:r>
        <w:rPr>
          <w:noProof/>
        </w:rPr>
        <w:fldChar w:fldCharType="begin"/>
      </w:r>
      <w:r>
        <w:rPr>
          <w:noProof/>
        </w:rPr>
        <w:instrText xml:space="preserve"> PAGEREF _Toc158712653 \h </w:instrText>
      </w:r>
      <w:r>
        <w:rPr>
          <w:noProof/>
        </w:rPr>
      </w:r>
      <w:r>
        <w:rPr>
          <w:noProof/>
        </w:rPr>
        <w:fldChar w:fldCharType="separate"/>
      </w:r>
      <w:r>
        <w:rPr>
          <w:noProof/>
        </w:rPr>
        <w:t>444</w:t>
      </w:r>
      <w:r>
        <w:rPr>
          <w:noProof/>
        </w:rPr>
        <w:fldChar w:fldCharType="end"/>
      </w:r>
    </w:p>
    <w:p w14:paraId="284EDB47" w14:textId="321B1B9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7.9.17  Application of Division 5</w:t>
      </w:r>
      <w:r>
        <w:rPr>
          <w:noProof/>
        </w:rPr>
        <w:tab/>
      </w:r>
      <w:r>
        <w:rPr>
          <w:noProof/>
        </w:rPr>
        <w:fldChar w:fldCharType="begin"/>
      </w:r>
      <w:r>
        <w:rPr>
          <w:noProof/>
        </w:rPr>
        <w:instrText xml:space="preserve"> PAGEREF _Toc158712654 \h </w:instrText>
      </w:r>
      <w:r>
        <w:rPr>
          <w:noProof/>
        </w:rPr>
      </w:r>
      <w:r>
        <w:rPr>
          <w:noProof/>
        </w:rPr>
        <w:fldChar w:fldCharType="separate"/>
      </w:r>
      <w:r>
        <w:rPr>
          <w:noProof/>
        </w:rPr>
        <w:t>444</w:t>
      </w:r>
      <w:r>
        <w:rPr>
          <w:noProof/>
        </w:rPr>
        <w:fldChar w:fldCharType="end"/>
      </w:r>
    </w:p>
    <w:p w14:paraId="743F03DD" w14:textId="40DC488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5.2—Periodic statements for retail clients for financial products that have an investment component: regulated superannuation funds, approved deposit funds and RSAs</w:t>
      </w:r>
      <w:r>
        <w:rPr>
          <w:noProof/>
        </w:rPr>
        <w:tab/>
      </w:r>
      <w:r>
        <w:rPr>
          <w:noProof/>
        </w:rPr>
        <w:fldChar w:fldCharType="begin"/>
      </w:r>
      <w:r>
        <w:rPr>
          <w:noProof/>
        </w:rPr>
        <w:instrText xml:space="preserve"> PAGEREF _Toc158712655 \h </w:instrText>
      </w:r>
      <w:r>
        <w:rPr>
          <w:noProof/>
        </w:rPr>
      </w:r>
      <w:r>
        <w:rPr>
          <w:noProof/>
        </w:rPr>
        <w:fldChar w:fldCharType="separate"/>
      </w:r>
      <w:r>
        <w:rPr>
          <w:noProof/>
        </w:rPr>
        <w:t>444</w:t>
      </w:r>
      <w:r>
        <w:rPr>
          <w:noProof/>
        </w:rPr>
        <w:fldChar w:fldCharType="end"/>
      </w:r>
    </w:p>
    <w:p w14:paraId="308423A8" w14:textId="2EE2D7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7.9.18  Application of Subdivision 5.2</w:t>
      </w:r>
      <w:r>
        <w:rPr>
          <w:noProof/>
        </w:rPr>
        <w:tab/>
      </w:r>
      <w:r>
        <w:rPr>
          <w:noProof/>
        </w:rPr>
        <w:fldChar w:fldCharType="begin"/>
      </w:r>
      <w:r>
        <w:rPr>
          <w:noProof/>
        </w:rPr>
        <w:instrText xml:space="preserve"> PAGEREF _Toc158712656 \h </w:instrText>
      </w:r>
      <w:r>
        <w:rPr>
          <w:noProof/>
        </w:rPr>
      </w:r>
      <w:r>
        <w:rPr>
          <w:noProof/>
        </w:rPr>
        <w:fldChar w:fldCharType="separate"/>
      </w:r>
      <w:r>
        <w:rPr>
          <w:noProof/>
        </w:rPr>
        <w:t>444</w:t>
      </w:r>
      <w:r>
        <w:rPr>
          <w:noProof/>
        </w:rPr>
        <w:fldChar w:fldCharType="end"/>
      </w:r>
    </w:p>
    <w:p w14:paraId="5858ACEF" w14:textId="49FF279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7.9.19  Specific requirements for periodic statements: superannuation funds (other than self managed superannuation funds) and RSAs</w:t>
      </w:r>
      <w:r>
        <w:rPr>
          <w:noProof/>
        </w:rPr>
        <w:tab/>
      </w:r>
      <w:r>
        <w:rPr>
          <w:noProof/>
        </w:rPr>
        <w:fldChar w:fldCharType="begin"/>
      </w:r>
      <w:r>
        <w:rPr>
          <w:noProof/>
        </w:rPr>
        <w:instrText xml:space="preserve"> PAGEREF _Toc158712657 \h </w:instrText>
      </w:r>
      <w:r>
        <w:rPr>
          <w:noProof/>
        </w:rPr>
      </w:r>
      <w:r>
        <w:rPr>
          <w:noProof/>
        </w:rPr>
        <w:fldChar w:fldCharType="separate"/>
      </w:r>
      <w:r>
        <w:rPr>
          <w:noProof/>
        </w:rPr>
        <w:t>444</w:t>
      </w:r>
      <w:r>
        <w:rPr>
          <w:noProof/>
        </w:rPr>
        <w:fldChar w:fldCharType="end"/>
      </w:r>
    </w:p>
    <w:p w14:paraId="5CEF42E9" w14:textId="6E9BCE8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7.9.19A  Withdrawal benefit—fees, charges or expenses</w:t>
      </w:r>
      <w:r>
        <w:rPr>
          <w:noProof/>
        </w:rPr>
        <w:tab/>
      </w:r>
      <w:r>
        <w:rPr>
          <w:noProof/>
        </w:rPr>
        <w:fldChar w:fldCharType="begin"/>
      </w:r>
      <w:r>
        <w:rPr>
          <w:noProof/>
        </w:rPr>
        <w:instrText xml:space="preserve"> PAGEREF _Toc158712658 \h </w:instrText>
      </w:r>
      <w:r>
        <w:rPr>
          <w:noProof/>
        </w:rPr>
      </w:r>
      <w:r>
        <w:rPr>
          <w:noProof/>
        </w:rPr>
        <w:fldChar w:fldCharType="separate"/>
      </w:r>
      <w:r>
        <w:rPr>
          <w:noProof/>
        </w:rPr>
        <w:t>445</w:t>
      </w:r>
      <w:r>
        <w:rPr>
          <w:noProof/>
        </w:rPr>
        <w:fldChar w:fldCharType="end"/>
      </w:r>
    </w:p>
    <w:p w14:paraId="61E6C8AC" w14:textId="40B1081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7.9.19B  Withdrawal benefit—fees, charges and expenses</w:t>
      </w:r>
      <w:r>
        <w:rPr>
          <w:noProof/>
        </w:rPr>
        <w:tab/>
      </w:r>
      <w:r>
        <w:rPr>
          <w:noProof/>
        </w:rPr>
        <w:fldChar w:fldCharType="begin"/>
      </w:r>
      <w:r>
        <w:rPr>
          <w:noProof/>
        </w:rPr>
        <w:instrText xml:space="preserve"> PAGEREF _Toc158712659 \h </w:instrText>
      </w:r>
      <w:r>
        <w:rPr>
          <w:noProof/>
        </w:rPr>
      </w:r>
      <w:r>
        <w:rPr>
          <w:noProof/>
        </w:rPr>
        <w:fldChar w:fldCharType="separate"/>
      </w:r>
      <w:r>
        <w:rPr>
          <w:noProof/>
        </w:rPr>
        <w:t>445</w:t>
      </w:r>
      <w:r>
        <w:rPr>
          <w:noProof/>
        </w:rPr>
        <w:fldChar w:fldCharType="end"/>
      </w:r>
    </w:p>
    <w:p w14:paraId="6DAD5B21" w14:textId="515199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7.9.20  Specific requirements for certain periodic statements: superannuation funds (other than self managed superannuation funds)</w:t>
      </w:r>
      <w:r>
        <w:rPr>
          <w:noProof/>
        </w:rPr>
        <w:tab/>
      </w:r>
      <w:r>
        <w:rPr>
          <w:noProof/>
        </w:rPr>
        <w:fldChar w:fldCharType="begin"/>
      </w:r>
      <w:r>
        <w:rPr>
          <w:noProof/>
        </w:rPr>
        <w:instrText xml:space="preserve"> PAGEREF _Toc158712660 \h </w:instrText>
      </w:r>
      <w:r>
        <w:rPr>
          <w:noProof/>
        </w:rPr>
      </w:r>
      <w:r>
        <w:rPr>
          <w:noProof/>
        </w:rPr>
        <w:fldChar w:fldCharType="separate"/>
      </w:r>
      <w:r>
        <w:rPr>
          <w:noProof/>
        </w:rPr>
        <w:t>445</w:t>
      </w:r>
      <w:r>
        <w:rPr>
          <w:noProof/>
        </w:rPr>
        <w:fldChar w:fldCharType="end"/>
      </w:r>
    </w:p>
    <w:p w14:paraId="2E8DE95D" w14:textId="3BFFC72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7.9.20AA  Specific requirements for certain periodic statements: superannuation funds (other than self managed superannuation funds)—long</w:t>
      </w:r>
      <w:r>
        <w:rPr>
          <w:noProof/>
        </w:rPr>
        <w:noBreakHyphen/>
        <w:t>term returns</w:t>
      </w:r>
      <w:r>
        <w:rPr>
          <w:noProof/>
        </w:rPr>
        <w:tab/>
      </w:r>
      <w:r>
        <w:rPr>
          <w:noProof/>
        </w:rPr>
        <w:fldChar w:fldCharType="begin"/>
      </w:r>
      <w:r>
        <w:rPr>
          <w:noProof/>
        </w:rPr>
        <w:instrText xml:space="preserve"> PAGEREF _Toc158712661 \h </w:instrText>
      </w:r>
      <w:r>
        <w:rPr>
          <w:noProof/>
        </w:rPr>
      </w:r>
      <w:r>
        <w:rPr>
          <w:noProof/>
        </w:rPr>
        <w:fldChar w:fldCharType="separate"/>
      </w:r>
      <w:r>
        <w:rPr>
          <w:noProof/>
        </w:rPr>
        <w:t>447</w:t>
      </w:r>
      <w:r>
        <w:rPr>
          <w:noProof/>
        </w:rPr>
        <w:fldChar w:fldCharType="end"/>
      </w:r>
    </w:p>
    <w:p w14:paraId="153E6FAD" w14:textId="428701F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7.9.20A  Details of other significant benefits—disclosure of fees, charges or expenses</w:t>
      </w:r>
      <w:r>
        <w:rPr>
          <w:noProof/>
        </w:rPr>
        <w:tab/>
      </w:r>
      <w:r>
        <w:rPr>
          <w:noProof/>
        </w:rPr>
        <w:fldChar w:fldCharType="begin"/>
      </w:r>
      <w:r>
        <w:rPr>
          <w:noProof/>
        </w:rPr>
        <w:instrText xml:space="preserve"> PAGEREF _Toc158712662 \h </w:instrText>
      </w:r>
      <w:r>
        <w:rPr>
          <w:noProof/>
        </w:rPr>
      </w:r>
      <w:r>
        <w:rPr>
          <w:noProof/>
        </w:rPr>
        <w:fldChar w:fldCharType="separate"/>
      </w:r>
      <w:r>
        <w:rPr>
          <w:noProof/>
        </w:rPr>
        <w:t>448</w:t>
      </w:r>
      <w:r>
        <w:rPr>
          <w:noProof/>
        </w:rPr>
        <w:fldChar w:fldCharType="end"/>
      </w:r>
    </w:p>
    <w:p w14:paraId="174EFFFD" w14:textId="588AC1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7.9.20B  Other significant benefits—disclosure of fees, charges or expenses</w:t>
      </w:r>
      <w:r>
        <w:rPr>
          <w:noProof/>
        </w:rPr>
        <w:tab/>
      </w:r>
      <w:r>
        <w:rPr>
          <w:noProof/>
        </w:rPr>
        <w:fldChar w:fldCharType="begin"/>
      </w:r>
      <w:r>
        <w:rPr>
          <w:noProof/>
        </w:rPr>
        <w:instrText xml:space="preserve"> PAGEREF _Toc158712663 \h </w:instrText>
      </w:r>
      <w:r>
        <w:rPr>
          <w:noProof/>
        </w:rPr>
      </w:r>
      <w:r>
        <w:rPr>
          <w:noProof/>
        </w:rPr>
        <w:fldChar w:fldCharType="separate"/>
      </w:r>
      <w:r>
        <w:rPr>
          <w:noProof/>
        </w:rPr>
        <w:t>448</w:t>
      </w:r>
      <w:r>
        <w:rPr>
          <w:noProof/>
        </w:rPr>
        <w:fldChar w:fldCharType="end"/>
      </w:r>
    </w:p>
    <w:p w14:paraId="4CBF52F8" w14:textId="421B7C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7.9.21  Specific requirements in particular cases: member (other than capital guaranteed member) of fund other than a self managed superannuation fund</w:t>
      </w:r>
      <w:r>
        <w:rPr>
          <w:noProof/>
        </w:rPr>
        <w:tab/>
      </w:r>
      <w:r>
        <w:rPr>
          <w:noProof/>
        </w:rPr>
        <w:fldChar w:fldCharType="begin"/>
      </w:r>
      <w:r>
        <w:rPr>
          <w:noProof/>
        </w:rPr>
        <w:instrText xml:space="preserve"> PAGEREF _Toc158712664 \h </w:instrText>
      </w:r>
      <w:r>
        <w:rPr>
          <w:noProof/>
        </w:rPr>
      </w:r>
      <w:r>
        <w:rPr>
          <w:noProof/>
        </w:rPr>
        <w:fldChar w:fldCharType="separate"/>
      </w:r>
      <w:r>
        <w:rPr>
          <w:noProof/>
        </w:rPr>
        <w:t>449</w:t>
      </w:r>
      <w:r>
        <w:rPr>
          <w:noProof/>
        </w:rPr>
        <w:fldChar w:fldCharType="end"/>
      </w:r>
    </w:p>
    <w:p w14:paraId="62DEC790" w14:textId="747541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7.9.22  Specific requirements: capital guaranteed funds and RSAs</w:t>
      </w:r>
      <w:r>
        <w:rPr>
          <w:noProof/>
        </w:rPr>
        <w:tab/>
      </w:r>
      <w:r>
        <w:rPr>
          <w:noProof/>
        </w:rPr>
        <w:fldChar w:fldCharType="begin"/>
      </w:r>
      <w:r>
        <w:rPr>
          <w:noProof/>
        </w:rPr>
        <w:instrText xml:space="preserve"> PAGEREF _Toc158712665 \h </w:instrText>
      </w:r>
      <w:r>
        <w:rPr>
          <w:noProof/>
        </w:rPr>
      </w:r>
      <w:r>
        <w:rPr>
          <w:noProof/>
        </w:rPr>
        <w:fldChar w:fldCharType="separate"/>
      </w:r>
      <w:r>
        <w:rPr>
          <w:noProof/>
        </w:rPr>
        <w:t>449</w:t>
      </w:r>
      <w:r>
        <w:rPr>
          <w:noProof/>
        </w:rPr>
        <w:fldChar w:fldCharType="end"/>
      </w:r>
    </w:p>
    <w:p w14:paraId="179AC67E" w14:textId="462315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7.9.23  Information for capital guaranteed fund: benefits reach $10 000</w:t>
      </w:r>
      <w:r>
        <w:rPr>
          <w:noProof/>
        </w:rPr>
        <w:tab/>
      </w:r>
      <w:r>
        <w:rPr>
          <w:noProof/>
        </w:rPr>
        <w:fldChar w:fldCharType="begin"/>
      </w:r>
      <w:r>
        <w:rPr>
          <w:noProof/>
        </w:rPr>
        <w:instrText xml:space="preserve"> PAGEREF _Toc158712666 \h </w:instrText>
      </w:r>
      <w:r>
        <w:rPr>
          <w:noProof/>
        </w:rPr>
      </w:r>
      <w:r>
        <w:rPr>
          <w:noProof/>
        </w:rPr>
        <w:fldChar w:fldCharType="separate"/>
      </w:r>
      <w:r>
        <w:rPr>
          <w:noProof/>
        </w:rPr>
        <w:t>449</w:t>
      </w:r>
      <w:r>
        <w:rPr>
          <w:noProof/>
        </w:rPr>
        <w:fldChar w:fldCharType="end"/>
      </w:r>
    </w:p>
    <w:p w14:paraId="27BD87D2" w14:textId="7622E5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7.9.24  Modification of Act: pensioners, members subject to compulsory protection of small amounts and members with small amounts that are expected to grow quickly</w:t>
      </w:r>
      <w:r>
        <w:rPr>
          <w:noProof/>
        </w:rPr>
        <w:tab/>
      </w:r>
      <w:r>
        <w:rPr>
          <w:noProof/>
        </w:rPr>
        <w:fldChar w:fldCharType="begin"/>
      </w:r>
      <w:r>
        <w:rPr>
          <w:noProof/>
        </w:rPr>
        <w:instrText xml:space="preserve"> PAGEREF _Toc158712667 \h </w:instrText>
      </w:r>
      <w:r>
        <w:rPr>
          <w:noProof/>
        </w:rPr>
      </w:r>
      <w:r>
        <w:rPr>
          <w:noProof/>
        </w:rPr>
        <w:fldChar w:fldCharType="separate"/>
      </w:r>
      <w:r>
        <w:rPr>
          <w:noProof/>
        </w:rPr>
        <w:t>450</w:t>
      </w:r>
      <w:r>
        <w:rPr>
          <w:noProof/>
        </w:rPr>
        <w:fldChar w:fldCharType="end"/>
      </w:r>
    </w:p>
    <w:p w14:paraId="2D105809" w14:textId="7E86B9BC"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5.3—Periodic statements for retail clients for financial products that have an investment component: information for RSAs</w:t>
      </w:r>
      <w:r>
        <w:rPr>
          <w:noProof/>
        </w:rPr>
        <w:tab/>
      </w:r>
      <w:r>
        <w:rPr>
          <w:noProof/>
        </w:rPr>
        <w:fldChar w:fldCharType="begin"/>
      </w:r>
      <w:r>
        <w:rPr>
          <w:noProof/>
        </w:rPr>
        <w:instrText xml:space="preserve"> PAGEREF _Toc158712668 \h </w:instrText>
      </w:r>
      <w:r>
        <w:rPr>
          <w:noProof/>
        </w:rPr>
      </w:r>
      <w:r>
        <w:rPr>
          <w:noProof/>
        </w:rPr>
        <w:fldChar w:fldCharType="separate"/>
      </w:r>
      <w:r>
        <w:rPr>
          <w:noProof/>
        </w:rPr>
        <w:t>450</w:t>
      </w:r>
      <w:r>
        <w:rPr>
          <w:noProof/>
        </w:rPr>
        <w:fldChar w:fldCharType="end"/>
      </w:r>
    </w:p>
    <w:p w14:paraId="670E1574" w14:textId="70BC93D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7.9.25  Application of Subdivision 5.3</w:t>
      </w:r>
      <w:r>
        <w:rPr>
          <w:noProof/>
        </w:rPr>
        <w:tab/>
      </w:r>
      <w:r>
        <w:rPr>
          <w:noProof/>
        </w:rPr>
        <w:fldChar w:fldCharType="begin"/>
      </w:r>
      <w:r>
        <w:rPr>
          <w:noProof/>
        </w:rPr>
        <w:instrText xml:space="preserve"> PAGEREF _Toc158712669 \h </w:instrText>
      </w:r>
      <w:r>
        <w:rPr>
          <w:noProof/>
        </w:rPr>
      </w:r>
      <w:r>
        <w:rPr>
          <w:noProof/>
        </w:rPr>
        <w:fldChar w:fldCharType="separate"/>
      </w:r>
      <w:r>
        <w:rPr>
          <w:noProof/>
        </w:rPr>
        <w:t>450</w:t>
      </w:r>
      <w:r>
        <w:rPr>
          <w:noProof/>
        </w:rPr>
        <w:fldChar w:fldCharType="end"/>
      </w:r>
    </w:p>
    <w:p w14:paraId="2259E839" w14:textId="2C0DAFB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7.9.26  Specific requirements where applicable: RSAs</w:t>
      </w:r>
      <w:r>
        <w:rPr>
          <w:noProof/>
        </w:rPr>
        <w:tab/>
      </w:r>
      <w:r>
        <w:rPr>
          <w:noProof/>
        </w:rPr>
        <w:fldChar w:fldCharType="begin"/>
      </w:r>
      <w:r>
        <w:rPr>
          <w:noProof/>
        </w:rPr>
        <w:instrText xml:space="preserve"> PAGEREF _Toc158712670 \h </w:instrText>
      </w:r>
      <w:r>
        <w:rPr>
          <w:noProof/>
        </w:rPr>
      </w:r>
      <w:r>
        <w:rPr>
          <w:noProof/>
        </w:rPr>
        <w:fldChar w:fldCharType="separate"/>
      </w:r>
      <w:r>
        <w:rPr>
          <w:noProof/>
        </w:rPr>
        <w:t>450</w:t>
      </w:r>
      <w:r>
        <w:rPr>
          <w:noProof/>
        </w:rPr>
        <w:fldChar w:fldCharType="end"/>
      </w:r>
    </w:p>
    <w:p w14:paraId="6E2E8774" w14:textId="1B4859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7.9.27  Modification of Act: periodic statements for RSA holders</w:t>
      </w:r>
      <w:r>
        <w:rPr>
          <w:noProof/>
        </w:rPr>
        <w:tab/>
      </w:r>
      <w:r>
        <w:rPr>
          <w:noProof/>
        </w:rPr>
        <w:fldChar w:fldCharType="begin"/>
      </w:r>
      <w:r>
        <w:rPr>
          <w:noProof/>
        </w:rPr>
        <w:instrText xml:space="preserve"> PAGEREF _Toc158712671 \h </w:instrText>
      </w:r>
      <w:r>
        <w:rPr>
          <w:noProof/>
        </w:rPr>
      </w:r>
      <w:r>
        <w:rPr>
          <w:noProof/>
        </w:rPr>
        <w:fldChar w:fldCharType="separate"/>
      </w:r>
      <w:r>
        <w:rPr>
          <w:noProof/>
        </w:rPr>
        <w:t>451</w:t>
      </w:r>
      <w:r>
        <w:rPr>
          <w:noProof/>
        </w:rPr>
        <w:fldChar w:fldCharType="end"/>
      </w:r>
    </w:p>
    <w:p w14:paraId="0A0F688D" w14:textId="72CAED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7.9.28  Information for RSA: amount reaches $10 000</w:t>
      </w:r>
      <w:r>
        <w:rPr>
          <w:noProof/>
        </w:rPr>
        <w:tab/>
      </w:r>
      <w:r>
        <w:rPr>
          <w:noProof/>
        </w:rPr>
        <w:fldChar w:fldCharType="begin"/>
      </w:r>
      <w:r>
        <w:rPr>
          <w:noProof/>
        </w:rPr>
        <w:instrText xml:space="preserve"> PAGEREF _Toc158712672 \h </w:instrText>
      </w:r>
      <w:r>
        <w:rPr>
          <w:noProof/>
        </w:rPr>
      </w:r>
      <w:r>
        <w:rPr>
          <w:noProof/>
        </w:rPr>
        <w:fldChar w:fldCharType="separate"/>
      </w:r>
      <w:r>
        <w:rPr>
          <w:noProof/>
        </w:rPr>
        <w:t>451</w:t>
      </w:r>
      <w:r>
        <w:rPr>
          <w:noProof/>
        </w:rPr>
        <w:fldChar w:fldCharType="end"/>
      </w:r>
    </w:p>
    <w:p w14:paraId="0C2AA2FF" w14:textId="5964998D"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5.4—Periodic statements for retail clients for financial products that have an investment component: additional information for superannuation entities and RSA providers</w:t>
      </w:r>
      <w:r>
        <w:rPr>
          <w:noProof/>
        </w:rPr>
        <w:tab/>
      </w:r>
      <w:r>
        <w:rPr>
          <w:noProof/>
        </w:rPr>
        <w:fldChar w:fldCharType="begin"/>
      </w:r>
      <w:r>
        <w:rPr>
          <w:noProof/>
        </w:rPr>
        <w:instrText xml:space="preserve"> PAGEREF _Toc158712673 \h </w:instrText>
      </w:r>
      <w:r>
        <w:rPr>
          <w:noProof/>
        </w:rPr>
      </w:r>
      <w:r>
        <w:rPr>
          <w:noProof/>
        </w:rPr>
        <w:fldChar w:fldCharType="separate"/>
      </w:r>
      <w:r>
        <w:rPr>
          <w:noProof/>
        </w:rPr>
        <w:t>451</w:t>
      </w:r>
      <w:r>
        <w:rPr>
          <w:noProof/>
        </w:rPr>
        <w:fldChar w:fldCharType="end"/>
      </w:r>
    </w:p>
    <w:p w14:paraId="5ABBC5D6" w14:textId="55CEED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7.9.29  Application of Subdivision 5.4</w:t>
      </w:r>
      <w:r>
        <w:rPr>
          <w:noProof/>
        </w:rPr>
        <w:tab/>
      </w:r>
      <w:r>
        <w:rPr>
          <w:noProof/>
        </w:rPr>
        <w:fldChar w:fldCharType="begin"/>
      </w:r>
      <w:r>
        <w:rPr>
          <w:noProof/>
        </w:rPr>
        <w:instrText xml:space="preserve"> PAGEREF _Toc158712674 \h </w:instrText>
      </w:r>
      <w:r>
        <w:rPr>
          <w:noProof/>
        </w:rPr>
      </w:r>
      <w:r>
        <w:rPr>
          <w:noProof/>
        </w:rPr>
        <w:fldChar w:fldCharType="separate"/>
      </w:r>
      <w:r>
        <w:rPr>
          <w:noProof/>
        </w:rPr>
        <w:t>451</w:t>
      </w:r>
      <w:r>
        <w:rPr>
          <w:noProof/>
        </w:rPr>
        <w:fldChar w:fldCharType="end"/>
      </w:r>
    </w:p>
    <w:p w14:paraId="70A17B3B" w14:textId="011B1F0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7.9.30  Additional information for change to choices</w:t>
      </w:r>
      <w:r>
        <w:rPr>
          <w:noProof/>
        </w:rPr>
        <w:tab/>
      </w:r>
      <w:r>
        <w:rPr>
          <w:noProof/>
        </w:rPr>
        <w:fldChar w:fldCharType="begin"/>
      </w:r>
      <w:r>
        <w:rPr>
          <w:noProof/>
        </w:rPr>
        <w:instrText xml:space="preserve"> PAGEREF _Toc158712675 \h </w:instrText>
      </w:r>
      <w:r>
        <w:rPr>
          <w:noProof/>
        </w:rPr>
      </w:r>
      <w:r>
        <w:rPr>
          <w:noProof/>
        </w:rPr>
        <w:fldChar w:fldCharType="separate"/>
      </w:r>
      <w:r>
        <w:rPr>
          <w:noProof/>
        </w:rPr>
        <w:t>451</w:t>
      </w:r>
      <w:r>
        <w:rPr>
          <w:noProof/>
        </w:rPr>
        <w:fldChar w:fldCharType="end"/>
      </w:r>
    </w:p>
    <w:p w14:paraId="7E017420" w14:textId="3B63CDCD"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5.4A—Periodic statements for retail clients for financial products that have an investment component: additional information for margin lending facilities</w:t>
      </w:r>
      <w:r>
        <w:rPr>
          <w:noProof/>
        </w:rPr>
        <w:tab/>
      </w:r>
      <w:r>
        <w:rPr>
          <w:noProof/>
        </w:rPr>
        <w:fldChar w:fldCharType="begin"/>
      </w:r>
      <w:r>
        <w:rPr>
          <w:noProof/>
        </w:rPr>
        <w:instrText xml:space="preserve"> PAGEREF _Toc158712676 \h </w:instrText>
      </w:r>
      <w:r>
        <w:rPr>
          <w:noProof/>
        </w:rPr>
      </w:r>
      <w:r>
        <w:rPr>
          <w:noProof/>
        </w:rPr>
        <w:fldChar w:fldCharType="separate"/>
      </w:r>
      <w:r>
        <w:rPr>
          <w:noProof/>
        </w:rPr>
        <w:t>451</w:t>
      </w:r>
      <w:r>
        <w:rPr>
          <w:noProof/>
        </w:rPr>
        <w:fldChar w:fldCharType="end"/>
      </w:r>
    </w:p>
    <w:p w14:paraId="18D0ECD5" w14:textId="33D149F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7.9.30A  Application of Subdivision 5.4A</w:t>
      </w:r>
      <w:r>
        <w:rPr>
          <w:noProof/>
        </w:rPr>
        <w:tab/>
      </w:r>
      <w:r>
        <w:rPr>
          <w:noProof/>
        </w:rPr>
        <w:fldChar w:fldCharType="begin"/>
      </w:r>
      <w:r>
        <w:rPr>
          <w:noProof/>
        </w:rPr>
        <w:instrText xml:space="preserve"> PAGEREF _Toc158712677 \h </w:instrText>
      </w:r>
      <w:r>
        <w:rPr>
          <w:noProof/>
        </w:rPr>
      </w:r>
      <w:r>
        <w:rPr>
          <w:noProof/>
        </w:rPr>
        <w:fldChar w:fldCharType="separate"/>
      </w:r>
      <w:r>
        <w:rPr>
          <w:noProof/>
        </w:rPr>
        <w:t>451</w:t>
      </w:r>
      <w:r>
        <w:rPr>
          <w:noProof/>
        </w:rPr>
        <w:fldChar w:fldCharType="end"/>
      </w:r>
    </w:p>
    <w:p w14:paraId="221A6EF0" w14:textId="0B959B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7.9.30B  Details to be included in periodic statements for margin lending facilities</w:t>
      </w:r>
      <w:r>
        <w:rPr>
          <w:noProof/>
        </w:rPr>
        <w:tab/>
      </w:r>
      <w:r>
        <w:rPr>
          <w:noProof/>
        </w:rPr>
        <w:fldChar w:fldCharType="begin"/>
      </w:r>
      <w:r>
        <w:rPr>
          <w:noProof/>
        </w:rPr>
        <w:instrText xml:space="preserve"> PAGEREF _Toc158712678 \h </w:instrText>
      </w:r>
      <w:r>
        <w:rPr>
          <w:noProof/>
        </w:rPr>
      </w:r>
      <w:r>
        <w:rPr>
          <w:noProof/>
        </w:rPr>
        <w:fldChar w:fldCharType="separate"/>
      </w:r>
      <w:r>
        <w:rPr>
          <w:noProof/>
        </w:rPr>
        <w:t>452</w:t>
      </w:r>
      <w:r>
        <w:rPr>
          <w:noProof/>
        </w:rPr>
        <w:fldChar w:fldCharType="end"/>
      </w:r>
    </w:p>
    <w:p w14:paraId="6B1EB292" w14:textId="4739DCDE"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5.5—Fund information for retail clients for financial products that have an investment component: superannuation</w:t>
      </w:r>
      <w:r>
        <w:rPr>
          <w:noProof/>
        </w:rPr>
        <w:tab/>
      </w:r>
      <w:r>
        <w:rPr>
          <w:noProof/>
        </w:rPr>
        <w:fldChar w:fldCharType="begin"/>
      </w:r>
      <w:r>
        <w:rPr>
          <w:noProof/>
        </w:rPr>
        <w:instrText xml:space="preserve"> PAGEREF _Toc158712679 \h </w:instrText>
      </w:r>
      <w:r>
        <w:rPr>
          <w:noProof/>
        </w:rPr>
      </w:r>
      <w:r>
        <w:rPr>
          <w:noProof/>
        </w:rPr>
        <w:fldChar w:fldCharType="separate"/>
      </w:r>
      <w:r>
        <w:rPr>
          <w:noProof/>
        </w:rPr>
        <w:t>452</w:t>
      </w:r>
      <w:r>
        <w:rPr>
          <w:noProof/>
        </w:rPr>
        <w:fldChar w:fldCharType="end"/>
      </w:r>
    </w:p>
    <w:p w14:paraId="13B56C86" w14:textId="325DE5C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7.9.31  Application of Subdivision 5.5</w:t>
      </w:r>
      <w:r>
        <w:rPr>
          <w:noProof/>
        </w:rPr>
        <w:tab/>
      </w:r>
      <w:r>
        <w:rPr>
          <w:noProof/>
        </w:rPr>
        <w:fldChar w:fldCharType="begin"/>
      </w:r>
      <w:r>
        <w:rPr>
          <w:noProof/>
        </w:rPr>
        <w:instrText xml:space="preserve"> PAGEREF _Toc158712680 \h </w:instrText>
      </w:r>
      <w:r>
        <w:rPr>
          <w:noProof/>
        </w:rPr>
      </w:r>
      <w:r>
        <w:rPr>
          <w:noProof/>
        </w:rPr>
        <w:fldChar w:fldCharType="separate"/>
      </w:r>
      <w:r>
        <w:rPr>
          <w:noProof/>
        </w:rPr>
        <w:t>452</w:t>
      </w:r>
      <w:r>
        <w:rPr>
          <w:noProof/>
        </w:rPr>
        <w:fldChar w:fldCharType="end"/>
      </w:r>
    </w:p>
    <w:p w14:paraId="3211104C" w14:textId="2F9AFC8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7.9.31A  Trustee of superannuation entity must provide fund information to holders of interests in the entity</w:t>
      </w:r>
      <w:r>
        <w:rPr>
          <w:noProof/>
        </w:rPr>
        <w:tab/>
      </w:r>
      <w:r>
        <w:rPr>
          <w:noProof/>
        </w:rPr>
        <w:fldChar w:fldCharType="begin"/>
      </w:r>
      <w:r>
        <w:rPr>
          <w:noProof/>
        </w:rPr>
        <w:instrText xml:space="preserve"> PAGEREF _Toc158712681 \h </w:instrText>
      </w:r>
      <w:r>
        <w:rPr>
          <w:noProof/>
        </w:rPr>
      </w:r>
      <w:r>
        <w:rPr>
          <w:noProof/>
        </w:rPr>
        <w:fldChar w:fldCharType="separate"/>
      </w:r>
      <w:r>
        <w:rPr>
          <w:noProof/>
        </w:rPr>
        <w:t>452</w:t>
      </w:r>
      <w:r>
        <w:rPr>
          <w:noProof/>
        </w:rPr>
        <w:fldChar w:fldCharType="end"/>
      </w:r>
    </w:p>
    <w:p w14:paraId="53AAEF40" w14:textId="72D4A0A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7.9.32  Fund information must be provided for each fund reporting period</w:t>
      </w:r>
      <w:r>
        <w:rPr>
          <w:noProof/>
        </w:rPr>
        <w:tab/>
      </w:r>
      <w:r>
        <w:rPr>
          <w:noProof/>
        </w:rPr>
        <w:fldChar w:fldCharType="begin"/>
      </w:r>
      <w:r>
        <w:rPr>
          <w:noProof/>
        </w:rPr>
        <w:instrText xml:space="preserve"> PAGEREF _Toc158712682 \h </w:instrText>
      </w:r>
      <w:r>
        <w:rPr>
          <w:noProof/>
        </w:rPr>
      </w:r>
      <w:r>
        <w:rPr>
          <w:noProof/>
        </w:rPr>
        <w:fldChar w:fldCharType="separate"/>
      </w:r>
      <w:r>
        <w:rPr>
          <w:noProof/>
        </w:rPr>
        <w:t>452</w:t>
      </w:r>
      <w:r>
        <w:rPr>
          <w:noProof/>
        </w:rPr>
        <w:fldChar w:fldCharType="end"/>
      </w:r>
    </w:p>
    <w:p w14:paraId="5FA95A91" w14:textId="77E7F10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7.9.33  Use of more than 1 document</w:t>
      </w:r>
      <w:r>
        <w:rPr>
          <w:noProof/>
        </w:rPr>
        <w:tab/>
      </w:r>
      <w:r>
        <w:rPr>
          <w:noProof/>
        </w:rPr>
        <w:fldChar w:fldCharType="begin"/>
      </w:r>
      <w:r>
        <w:rPr>
          <w:noProof/>
        </w:rPr>
        <w:instrText xml:space="preserve"> PAGEREF _Toc158712683 \h </w:instrText>
      </w:r>
      <w:r>
        <w:rPr>
          <w:noProof/>
        </w:rPr>
      </w:r>
      <w:r>
        <w:rPr>
          <w:noProof/>
        </w:rPr>
        <w:fldChar w:fldCharType="separate"/>
      </w:r>
      <w:r>
        <w:rPr>
          <w:noProof/>
        </w:rPr>
        <w:t>453</w:t>
      </w:r>
      <w:r>
        <w:rPr>
          <w:noProof/>
        </w:rPr>
        <w:fldChar w:fldCharType="end"/>
      </w:r>
    </w:p>
    <w:p w14:paraId="7F04513A" w14:textId="5E8A628F"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5.6—Fund information for retail clients for financial products that have an investment component: fund information for regulated superannuation funds and approved deposit funds</w:t>
      </w:r>
      <w:r>
        <w:rPr>
          <w:noProof/>
        </w:rPr>
        <w:tab/>
      </w:r>
      <w:r>
        <w:rPr>
          <w:noProof/>
        </w:rPr>
        <w:fldChar w:fldCharType="begin"/>
      </w:r>
      <w:r>
        <w:rPr>
          <w:noProof/>
        </w:rPr>
        <w:instrText xml:space="preserve"> PAGEREF _Toc158712684 \h </w:instrText>
      </w:r>
      <w:r>
        <w:rPr>
          <w:noProof/>
        </w:rPr>
      </w:r>
      <w:r>
        <w:rPr>
          <w:noProof/>
        </w:rPr>
        <w:fldChar w:fldCharType="separate"/>
      </w:r>
      <w:r>
        <w:rPr>
          <w:noProof/>
        </w:rPr>
        <w:t>453</w:t>
      </w:r>
      <w:r>
        <w:rPr>
          <w:noProof/>
        </w:rPr>
        <w:fldChar w:fldCharType="end"/>
      </w:r>
    </w:p>
    <w:p w14:paraId="63AD1521" w14:textId="73FDBC3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7.9.34  Application of Subdivision 5.6</w:t>
      </w:r>
      <w:r>
        <w:rPr>
          <w:noProof/>
        </w:rPr>
        <w:tab/>
      </w:r>
      <w:r>
        <w:rPr>
          <w:noProof/>
        </w:rPr>
        <w:fldChar w:fldCharType="begin"/>
      </w:r>
      <w:r>
        <w:rPr>
          <w:noProof/>
        </w:rPr>
        <w:instrText xml:space="preserve"> PAGEREF _Toc158712685 \h </w:instrText>
      </w:r>
      <w:r>
        <w:rPr>
          <w:noProof/>
        </w:rPr>
      </w:r>
      <w:r>
        <w:rPr>
          <w:noProof/>
        </w:rPr>
        <w:fldChar w:fldCharType="separate"/>
      </w:r>
      <w:r>
        <w:rPr>
          <w:noProof/>
        </w:rPr>
        <w:t>453</w:t>
      </w:r>
      <w:r>
        <w:rPr>
          <w:noProof/>
        </w:rPr>
        <w:fldChar w:fldCharType="end"/>
      </w:r>
    </w:p>
    <w:p w14:paraId="021084F5" w14:textId="4F158E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7.9.35  General requirement</w:t>
      </w:r>
      <w:r>
        <w:rPr>
          <w:noProof/>
        </w:rPr>
        <w:tab/>
      </w:r>
      <w:r>
        <w:rPr>
          <w:noProof/>
        </w:rPr>
        <w:fldChar w:fldCharType="begin"/>
      </w:r>
      <w:r>
        <w:rPr>
          <w:noProof/>
        </w:rPr>
        <w:instrText xml:space="preserve"> PAGEREF _Toc158712686 \h </w:instrText>
      </w:r>
      <w:r>
        <w:rPr>
          <w:noProof/>
        </w:rPr>
      </w:r>
      <w:r>
        <w:rPr>
          <w:noProof/>
        </w:rPr>
        <w:fldChar w:fldCharType="separate"/>
      </w:r>
      <w:r>
        <w:rPr>
          <w:noProof/>
        </w:rPr>
        <w:t>453</w:t>
      </w:r>
      <w:r>
        <w:rPr>
          <w:noProof/>
        </w:rPr>
        <w:fldChar w:fldCharType="end"/>
      </w:r>
    </w:p>
    <w:p w14:paraId="4EC9690B" w14:textId="3C6C107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7.9.36  Specific requirements in all cases</w:t>
      </w:r>
      <w:r>
        <w:rPr>
          <w:noProof/>
        </w:rPr>
        <w:tab/>
      </w:r>
      <w:r>
        <w:rPr>
          <w:noProof/>
        </w:rPr>
        <w:fldChar w:fldCharType="begin"/>
      </w:r>
      <w:r>
        <w:rPr>
          <w:noProof/>
        </w:rPr>
        <w:instrText xml:space="preserve"> PAGEREF _Toc158712687 \h </w:instrText>
      </w:r>
      <w:r>
        <w:rPr>
          <w:noProof/>
        </w:rPr>
      </w:r>
      <w:r>
        <w:rPr>
          <w:noProof/>
        </w:rPr>
        <w:fldChar w:fldCharType="separate"/>
      </w:r>
      <w:r>
        <w:rPr>
          <w:noProof/>
        </w:rPr>
        <w:t>453</w:t>
      </w:r>
      <w:r>
        <w:rPr>
          <w:noProof/>
        </w:rPr>
        <w:fldChar w:fldCharType="end"/>
      </w:r>
    </w:p>
    <w:p w14:paraId="1FCFB420" w14:textId="16DFDA7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7.9.37  Specific requirements in particular cases</w:t>
      </w:r>
      <w:r>
        <w:rPr>
          <w:noProof/>
        </w:rPr>
        <w:tab/>
      </w:r>
      <w:r>
        <w:rPr>
          <w:noProof/>
        </w:rPr>
        <w:fldChar w:fldCharType="begin"/>
      </w:r>
      <w:r>
        <w:rPr>
          <w:noProof/>
        </w:rPr>
        <w:instrText xml:space="preserve"> PAGEREF _Toc158712688 \h </w:instrText>
      </w:r>
      <w:r>
        <w:rPr>
          <w:noProof/>
        </w:rPr>
      </w:r>
      <w:r>
        <w:rPr>
          <w:noProof/>
        </w:rPr>
        <w:fldChar w:fldCharType="separate"/>
      </w:r>
      <w:r>
        <w:rPr>
          <w:noProof/>
        </w:rPr>
        <w:t>453</w:t>
      </w:r>
      <w:r>
        <w:rPr>
          <w:noProof/>
        </w:rPr>
        <w:fldChar w:fldCharType="end"/>
      </w:r>
    </w:p>
    <w:p w14:paraId="7E3DF408" w14:textId="5FFCA1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7.9.39  Benefits determined by life insurance products</w:t>
      </w:r>
      <w:r>
        <w:rPr>
          <w:noProof/>
        </w:rPr>
        <w:tab/>
      </w:r>
      <w:r>
        <w:rPr>
          <w:noProof/>
        </w:rPr>
        <w:fldChar w:fldCharType="begin"/>
      </w:r>
      <w:r>
        <w:rPr>
          <w:noProof/>
        </w:rPr>
        <w:instrText xml:space="preserve"> PAGEREF _Toc158712689 \h </w:instrText>
      </w:r>
      <w:r>
        <w:rPr>
          <w:noProof/>
        </w:rPr>
      </w:r>
      <w:r>
        <w:rPr>
          <w:noProof/>
        </w:rPr>
        <w:fldChar w:fldCharType="separate"/>
      </w:r>
      <w:r>
        <w:rPr>
          <w:noProof/>
        </w:rPr>
        <w:t>455</w:t>
      </w:r>
      <w:r>
        <w:rPr>
          <w:noProof/>
        </w:rPr>
        <w:fldChar w:fldCharType="end"/>
      </w:r>
    </w:p>
    <w:p w14:paraId="29C7D0E4" w14:textId="70FDCEE6"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5.7—Fund information for retail clients for financial products that have an investment component: fund information for pooled superannuation trusts</w:t>
      </w:r>
      <w:r>
        <w:rPr>
          <w:noProof/>
        </w:rPr>
        <w:tab/>
      </w:r>
      <w:r>
        <w:rPr>
          <w:noProof/>
        </w:rPr>
        <w:fldChar w:fldCharType="begin"/>
      </w:r>
      <w:r>
        <w:rPr>
          <w:noProof/>
        </w:rPr>
        <w:instrText xml:space="preserve"> PAGEREF _Toc158712690 \h </w:instrText>
      </w:r>
      <w:r>
        <w:rPr>
          <w:noProof/>
        </w:rPr>
      </w:r>
      <w:r>
        <w:rPr>
          <w:noProof/>
        </w:rPr>
        <w:fldChar w:fldCharType="separate"/>
      </w:r>
      <w:r>
        <w:rPr>
          <w:noProof/>
        </w:rPr>
        <w:t>455</w:t>
      </w:r>
      <w:r>
        <w:rPr>
          <w:noProof/>
        </w:rPr>
        <w:fldChar w:fldCharType="end"/>
      </w:r>
    </w:p>
    <w:p w14:paraId="71A58993" w14:textId="2D31BE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7.9.40  Application of Subdivision 5.7</w:t>
      </w:r>
      <w:r>
        <w:rPr>
          <w:noProof/>
        </w:rPr>
        <w:tab/>
      </w:r>
      <w:r>
        <w:rPr>
          <w:noProof/>
        </w:rPr>
        <w:fldChar w:fldCharType="begin"/>
      </w:r>
      <w:r>
        <w:rPr>
          <w:noProof/>
        </w:rPr>
        <w:instrText xml:space="preserve"> PAGEREF _Toc158712691 \h </w:instrText>
      </w:r>
      <w:r>
        <w:rPr>
          <w:noProof/>
        </w:rPr>
      </w:r>
      <w:r>
        <w:rPr>
          <w:noProof/>
        </w:rPr>
        <w:fldChar w:fldCharType="separate"/>
      </w:r>
      <w:r>
        <w:rPr>
          <w:noProof/>
        </w:rPr>
        <w:t>455</w:t>
      </w:r>
      <w:r>
        <w:rPr>
          <w:noProof/>
        </w:rPr>
        <w:fldChar w:fldCharType="end"/>
      </w:r>
    </w:p>
    <w:p w14:paraId="769BC8EE" w14:textId="705841B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7.9.41  Specific requirements in all cases</w:t>
      </w:r>
      <w:r>
        <w:rPr>
          <w:noProof/>
        </w:rPr>
        <w:tab/>
      </w:r>
      <w:r>
        <w:rPr>
          <w:noProof/>
        </w:rPr>
        <w:fldChar w:fldCharType="begin"/>
      </w:r>
      <w:r>
        <w:rPr>
          <w:noProof/>
        </w:rPr>
        <w:instrText xml:space="preserve"> PAGEREF _Toc158712692 \h </w:instrText>
      </w:r>
      <w:r>
        <w:rPr>
          <w:noProof/>
        </w:rPr>
      </w:r>
      <w:r>
        <w:rPr>
          <w:noProof/>
        </w:rPr>
        <w:fldChar w:fldCharType="separate"/>
      </w:r>
      <w:r>
        <w:rPr>
          <w:noProof/>
        </w:rPr>
        <w:t>455</w:t>
      </w:r>
      <w:r>
        <w:rPr>
          <w:noProof/>
        </w:rPr>
        <w:fldChar w:fldCharType="end"/>
      </w:r>
    </w:p>
    <w:p w14:paraId="51784E77" w14:textId="6D5557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7.9.42  Specific requirements in particular cases</w:t>
      </w:r>
      <w:r>
        <w:rPr>
          <w:noProof/>
        </w:rPr>
        <w:tab/>
      </w:r>
      <w:r>
        <w:rPr>
          <w:noProof/>
        </w:rPr>
        <w:fldChar w:fldCharType="begin"/>
      </w:r>
      <w:r>
        <w:rPr>
          <w:noProof/>
        </w:rPr>
        <w:instrText xml:space="preserve"> PAGEREF _Toc158712693 \h </w:instrText>
      </w:r>
      <w:r>
        <w:rPr>
          <w:noProof/>
        </w:rPr>
      </w:r>
      <w:r>
        <w:rPr>
          <w:noProof/>
        </w:rPr>
        <w:fldChar w:fldCharType="separate"/>
      </w:r>
      <w:r>
        <w:rPr>
          <w:noProof/>
        </w:rPr>
        <w:t>455</w:t>
      </w:r>
      <w:r>
        <w:rPr>
          <w:noProof/>
        </w:rPr>
        <w:fldChar w:fldCharType="end"/>
      </w:r>
    </w:p>
    <w:p w14:paraId="0F671CC0" w14:textId="2BEB15F4"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5.8—Ongoing disclosure of material changes and significant events</w:t>
      </w:r>
      <w:r>
        <w:rPr>
          <w:noProof/>
        </w:rPr>
        <w:tab/>
      </w:r>
      <w:r>
        <w:rPr>
          <w:noProof/>
        </w:rPr>
        <w:fldChar w:fldCharType="begin"/>
      </w:r>
      <w:r>
        <w:rPr>
          <w:noProof/>
        </w:rPr>
        <w:instrText xml:space="preserve"> PAGEREF _Toc158712694 \h </w:instrText>
      </w:r>
      <w:r>
        <w:rPr>
          <w:noProof/>
        </w:rPr>
      </w:r>
      <w:r>
        <w:rPr>
          <w:noProof/>
        </w:rPr>
        <w:fldChar w:fldCharType="separate"/>
      </w:r>
      <w:r>
        <w:rPr>
          <w:noProof/>
        </w:rPr>
        <w:t>456</w:t>
      </w:r>
      <w:r>
        <w:rPr>
          <w:noProof/>
        </w:rPr>
        <w:fldChar w:fldCharType="end"/>
      </w:r>
    </w:p>
    <w:p w14:paraId="01C6AC59" w14:textId="4D2293E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7.9.43  Modification of Act: disclosure of material changes and significant events in relation to superannuation products and RSAs</w:t>
      </w:r>
      <w:r>
        <w:rPr>
          <w:noProof/>
        </w:rPr>
        <w:tab/>
      </w:r>
      <w:r>
        <w:rPr>
          <w:noProof/>
        </w:rPr>
        <w:fldChar w:fldCharType="begin"/>
      </w:r>
      <w:r>
        <w:rPr>
          <w:noProof/>
        </w:rPr>
        <w:instrText xml:space="preserve"> PAGEREF _Toc158712695 \h </w:instrText>
      </w:r>
      <w:r>
        <w:rPr>
          <w:noProof/>
        </w:rPr>
      </w:r>
      <w:r>
        <w:rPr>
          <w:noProof/>
        </w:rPr>
        <w:fldChar w:fldCharType="separate"/>
      </w:r>
      <w:r>
        <w:rPr>
          <w:noProof/>
        </w:rPr>
        <w:t>456</w:t>
      </w:r>
      <w:r>
        <w:rPr>
          <w:noProof/>
        </w:rPr>
        <w:fldChar w:fldCharType="end"/>
      </w:r>
    </w:p>
    <w:p w14:paraId="3DCE8775" w14:textId="643725A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7.9.44  Benefits to be paid to eligible rollover fund</w:t>
      </w:r>
      <w:r>
        <w:rPr>
          <w:noProof/>
        </w:rPr>
        <w:tab/>
      </w:r>
      <w:r>
        <w:rPr>
          <w:noProof/>
        </w:rPr>
        <w:fldChar w:fldCharType="begin"/>
      </w:r>
      <w:r>
        <w:rPr>
          <w:noProof/>
        </w:rPr>
        <w:instrText xml:space="preserve"> PAGEREF _Toc158712696 \h </w:instrText>
      </w:r>
      <w:r>
        <w:rPr>
          <w:noProof/>
        </w:rPr>
      </w:r>
      <w:r>
        <w:rPr>
          <w:noProof/>
        </w:rPr>
        <w:fldChar w:fldCharType="separate"/>
      </w:r>
      <w:r>
        <w:rPr>
          <w:noProof/>
        </w:rPr>
        <w:t>456</w:t>
      </w:r>
      <w:r>
        <w:rPr>
          <w:noProof/>
        </w:rPr>
        <w:fldChar w:fldCharType="end"/>
      </w:r>
    </w:p>
    <w:p w14:paraId="372F6507" w14:textId="3980FBE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5.8A—Information in relation to inactive superannuation accounts</w:t>
      </w:r>
      <w:r>
        <w:rPr>
          <w:noProof/>
        </w:rPr>
        <w:tab/>
      </w:r>
      <w:r>
        <w:rPr>
          <w:noProof/>
        </w:rPr>
        <w:fldChar w:fldCharType="begin"/>
      </w:r>
      <w:r>
        <w:rPr>
          <w:noProof/>
        </w:rPr>
        <w:instrText xml:space="preserve"> PAGEREF _Toc158712697 \h </w:instrText>
      </w:r>
      <w:r>
        <w:rPr>
          <w:noProof/>
        </w:rPr>
      </w:r>
      <w:r>
        <w:rPr>
          <w:noProof/>
        </w:rPr>
        <w:fldChar w:fldCharType="separate"/>
      </w:r>
      <w:r>
        <w:rPr>
          <w:noProof/>
        </w:rPr>
        <w:t>457</w:t>
      </w:r>
      <w:r>
        <w:rPr>
          <w:noProof/>
        </w:rPr>
        <w:fldChar w:fldCharType="end"/>
      </w:r>
    </w:p>
    <w:p w14:paraId="3043A000" w14:textId="124A3D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7.9.44A  Meaning of </w:t>
      </w:r>
      <w:r w:rsidRPr="00FC743A">
        <w:rPr>
          <w:i/>
          <w:noProof/>
        </w:rPr>
        <w:t>inactive</w:t>
      </w:r>
      <w:r>
        <w:rPr>
          <w:noProof/>
        </w:rPr>
        <w:tab/>
      </w:r>
      <w:r>
        <w:rPr>
          <w:noProof/>
        </w:rPr>
        <w:fldChar w:fldCharType="begin"/>
      </w:r>
      <w:r>
        <w:rPr>
          <w:noProof/>
        </w:rPr>
        <w:instrText xml:space="preserve"> PAGEREF _Toc158712698 \h </w:instrText>
      </w:r>
      <w:r>
        <w:rPr>
          <w:noProof/>
        </w:rPr>
      </w:r>
      <w:r>
        <w:rPr>
          <w:noProof/>
        </w:rPr>
        <w:fldChar w:fldCharType="separate"/>
      </w:r>
      <w:r>
        <w:rPr>
          <w:noProof/>
        </w:rPr>
        <w:t>457</w:t>
      </w:r>
      <w:r>
        <w:rPr>
          <w:noProof/>
        </w:rPr>
        <w:fldChar w:fldCharType="end"/>
      </w:r>
    </w:p>
    <w:p w14:paraId="2D5DED67" w14:textId="0F7E804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7.9.44B  Notices about insurance—inactivity</w:t>
      </w:r>
      <w:r>
        <w:rPr>
          <w:noProof/>
        </w:rPr>
        <w:tab/>
      </w:r>
      <w:r>
        <w:rPr>
          <w:noProof/>
        </w:rPr>
        <w:fldChar w:fldCharType="begin"/>
      </w:r>
      <w:r>
        <w:rPr>
          <w:noProof/>
        </w:rPr>
        <w:instrText xml:space="preserve"> PAGEREF _Toc158712699 \h </w:instrText>
      </w:r>
      <w:r>
        <w:rPr>
          <w:noProof/>
        </w:rPr>
      </w:r>
      <w:r>
        <w:rPr>
          <w:noProof/>
        </w:rPr>
        <w:fldChar w:fldCharType="separate"/>
      </w:r>
      <w:r>
        <w:rPr>
          <w:noProof/>
        </w:rPr>
        <w:t>457</w:t>
      </w:r>
      <w:r>
        <w:rPr>
          <w:noProof/>
        </w:rPr>
        <w:fldChar w:fldCharType="end"/>
      </w:r>
    </w:p>
    <w:p w14:paraId="07695440" w14:textId="0CA5D93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7.9.44C  Notices about insurance—right to cease insurance cover</w:t>
      </w:r>
      <w:r>
        <w:rPr>
          <w:noProof/>
        </w:rPr>
        <w:tab/>
      </w:r>
      <w:r>
        <w:rPr>
          <w:noProof/>
        </w:rPr>
        <w:fldChar w:fldCharType="begin"/>
      </w:r>
      <w:r>
        <w:rPr>
          <w:noProof/>
        </w:rPr>
        <w:instrText xml:space="preserve"> PAGEREF _Toc158712700 \h </w:instrText>
      </w:r>
      <w:r>
        <w:rPr>
          <w:noProof/>
        </w:rPr>
      </w:r>
      <w:r>
        <w:rPr>
          <w:noProof/>
        </w:rPr>
        <w:fldChar w:fldCharType="separate"/>
      </w:r>
      <w:r>
        <w:rPr>
          <w:noProof/>
        </w:rPr>
        <w:t>458</w:t>
      </w:r>
      <w:r>
        <w:rPr>
          <w:noProof/>
        </w:rPr>
        <w:fldChar w:fldCharType="end"/>
      </w:r>
    </w:p>
    <w:p w14:paraId="6ED1C7D4" w14:textId="655A655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5.9—Information on request: members</w:t>
      </w:r>
      <w:r>
        <w:rPr>
          <w:noProof/>
        </w:rPr>
        <w:tab/>
      </w:r>
      <w:r>
        <w:rPr>
          <w:noProof/>
        </w:rPr>
        <w:fldChar w:fldCharType="begin"/>
      </w:r>
      <w:r>
        <w:rPr>
          <w:noProof/>
        </w:rPr>
        <w:instrText xml:space="preserve"> PAGEREF _Toc158712701 \h </w:instrText>
      </w:r>
      <w:r>
        <w:rPr>
          <w:noProof/>
        </w:rPr>
      </w:r>
      <w:r>
        <w:rPr>
          <w:noProof/>
        </w:rPr>
        <w:fldChar w:fldCharType="separate"/>
      </w:r>
      <w:r>
        <w:rPr>
          <w:noProof/>
        </w:rPr>
        <w:t>459</w:t>
      </w:r>
      <w:r>
        <w:rPr>
          <w:noProof/>
        </w:rPr>
        <w:fldChar w:fldCharType="end"/>
      </w:r>
    </w:p>
    <w:p w14:paraId="00EC1325" w14:textId="550B864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7.9.45  Regulated superannuation funds, approved deposit funds and pooled superannuation trusts</w:t>
      </w:r>
      <w:r>
        <w:rPr>
          <w:noProof/>
        </w:rPr>
        <w:tab/>
      </w:r>
      <w:r>
        <w:rPr>
          <w:noProof/>
        </w:rPr>
        <w:fldChar w:fldCharType="begin"/>
      </w:r>
      <w:r>
        <w:rPr>
          <w:noProof/>
        </w:rPr>
        <w:instrText xml:space="preserve"> PAGEREF _Toc158712702 \h </w:instrText>
      </w:r>
      <w:r>
        <w:rPr>
          <w:noProof/>
        </w:rPr>
      </w:r>
      <w:r>
        <w:rPr>
          <w:noProof/>
        </w:rPr>
        <w:fldChar w:fldCharType="separate"/>
      </w:r>
      <w:r>
        <w:rPr>
          <w:noProof/>
        </w:rPr>
        <w:t>459</w:t>
      </w:r>
      <w:r>
        <w:rPr>
          <w:noProof/>
        </w:rPr>
        <w:fldChar w:fldCharType="end"/>
      </w:r>
    </w:p>
    <w:p w14:paraId="7BA7211E" w14:textId="39B9AD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7.9.46  RSAs</w:t>
      </w:r>
      <w:r>
        <w:rPr>
          <w:noProof/>
        </w:rPr>
        <w:tab/>
      </w:r>
      <w:r>
        <w:rPr>
          <w:noProof/>
        </w:rPr>
        <w:fldChar w:fldCharType="begin"/>
      </w:r>
      <w:r>
        <w:rPr>
          <w:noProof/>
        </w:rPr>
        <w:instrText xml:space="preserve"> PAGEREF _Toc158712703 \h </w:instrText>
      </w:r>
      <w:r>
        <w:rPr>
          <w:noProof/>
        </w:rPr>
      </w:r>
      <w:r>
        <w:rPr>
          <w:noProof/>
        </w:rPr>
        <w:fldChar w:fldCharType="separate"/>
      </w:r>
      <w:r>
        <w:rPr>
          <w:noProof/>
        </w:rPr>
        <w:t>459</w:t>
      </w:r>
      <w:r>
        <w:rPr>
          <w:noProof/>
        </w:rPr>
        <w:fldChar w:fldCharType="end"/>
      </w:r>
    </w:p>
    <w:p w14:paraId="55AE8252" w14:textId="45A5A350"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5.10—Information on request: payments</w:t>
      </w:r>
      <w:r>
        <w:rPr>
          <w:noProof/>
        </w:rPr>
        <w:tab/>
      </w:r>
      <w:r>
        <w:rPr>
          <w:noProof/>
        </w:rPr>
        <w:fldChar w:fldCharType="begin"/>
      </w:r>
      <w:r>
        <w:rPr>
          <w:noProof/>
        </w:rPr>
        <w:instrText xml:space="preserve"> PAGEREF _Toc158712704 \h </w:instrText>
      </w:r>
      <w:r>
        <w:rPr>
          <w:noProof/>
        </w:rPr>
      </w:r>
      <w:r>
        <w:rPr>
          <w:noProof/>
        </w:rPr>
        <w:fldChar w:fldCharType="separate"/>
      </w:r>
      <w:r>
        <w:rPr>
          <w:noProof/>
        </w:rPr>
        <w:t>460</w:t>
      </w:r>
      <w:r>
        <w:rPr>
          <w:noProof/>
        </w:rPr>
        <w:fldChar w:fldCharType="end"/>
      </w:r>
    </w:p>
    <w:p w14:paraId="22CA63ED" w14:textId="1E36E1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7.9.47  Modification of Act: charges for information requested</w:t>
      </w:r>
      <w:r>
        <w:rPr>
          <w:noProof/>
        </w:rPr>
        <w:tab/>
      </w:r>
      <w:r>
        <w:rPr>
          <w:noProof/>
        </w:rPr>
        <w:fldChar w:fldCharType="begin"/>
      </w:r>
      <w:r>
        <w:rPr>
          <w:noProof/>
        </w:rPr>
        <w:instrText xml:space="preserve"> PAGEREF _Toc158712705 \h </w:instrText>
      </w:r>
      <w:r>
        <w:rPr>
          <w:noProof/>
        </w:rPr>
      </w:r>
      <w:r>
        <w:rPr>
          <w:noProof/>
        </w:rPr>
        <w:fldChar w:fldCharType="separate"/>
      </w:r>
      <w:r>
        <w:rPr>
          <w:noProof/>
        </w:rPr>
        <w:t>460</w:t>
      </w:r>
      <w:r>
        <w:rPr>
          <w:noProof/>
        </w:rPr>
        <w:fldChar w:fldCharType="end"/>
      </w:r>
    </w:p>
    <w:p w14:paraId="4968304C" w14:textId="453A52A1"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5.12—Periodic report when product holder ceases to hold product: superannuation products and RSAs</w:t>
      </w:r>
      <w:r>
        <w:rPr>
          <w:noProof/>
        </w:rPr>
        <w:tab/>
      </w:r>
      <w:r>
        <w:rPr>
          <w:noProof/>
        </w:rPr>
        <w:fldChar w:fldCharType="begin"/>
      </w:r>
      <w:r>
        <w:rPr>
          <w:noProof/>
        </w:rPr>
        <w:instrText xml:space="preserve"> PAGEREF _Toc158712706 \h </w:instrText>
      </w:r>
      <w:r>
        <w:rPr>
          <w:noProof/>
        </w:rPr>
      </w:r>
      <w:r>
        <w:rPr>
          <w:noProof/>
        </w:rPr>
        <w:fldChar w:fldCharType="separate"/>
      </w:r>
      <w:r>
        <w:rPr>
          <w:noProof/>
        </w:rPr>
        <w:t>460</w:t>
      </w:r>
      <w:r>
        <w:rPr>
          <w:noProof/>
        </w:rPr>
        <w:fldChar w:fldCharType="end"/>
      </w:r>
    </w:p>
    <w:p w14:paraId="3D11AC1A" w14:textId="3670E0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7.9.49  Application of Subdivision 5.12</w:t>
      </w:r>
      <w:r>
        <w:rPr>
          <w:noProof/>
        </w:rPr>
        <w:tab/>
      </w:r>
      <w:r>
        <w:rPr>
          <w:noProof/>
        </w:rPr>
        <w:fldChar w:fldCharType="begin"/>
      </w:r>
      <w:r>
        <w:rPr>
          <w:noProof/>
        </w:rPr>
        <w:instrText xml:space="preserve"> PAGEREF _Toc158712707 \h </w:instrText>
      </w:r>
      <w:r>
        <w:rPr>
          <w:noProof/>
        </w:rPr>
      </w:r>
      <w:r>
        <w:rPr>
          <w:noProof/>
        </w:rPr>
        <w:fldChar w:fldCharType="separate"/>
      </w:r>
      <w:r>
        <w:rPr>
          <w:noProof/>
        </w:rPr>
        <w:t>460</w:t>
      </w:r>
      <w:r>
        <w:rPr>
          <w:noProof/>
        </w:rPr>
        <w:fldChar w:fldCharType="end"/>
      </w:r>
    </w:p>
    <w:p w14:paraId="6A0428C6" w14:textId="7D548A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7.9.50  Meaning of </w:t>
      </w:r>
      <w:r w:rsidRPr="00FC743A">
        <w:rPr>
          <w:i/>
          <w:noProof/>
        </w:rPr>
        <w:t>exit reporting period</w:t>
      </w:r>
      <w:r>
        <w:rPr>
          <w:noProof/>
        </w:rPr>
        <w:tab/>
      </w:r>
      <w:r>
        <w:rPr>
          <w:noProof/>
        </w:rPr>
        <w:fldChar w:fldCharType="begin"/>
      </w:r>
      <w:r>
        <w:rPr>
          <w:noProof/>
        </w:rPr>
        <w:instrText xml:space="preserve"> PAGEREF _Toc158712708 \h </w:instrText>
      </w:r>
      <w:r>
        <w:rPr>
          <w:noProof/>
        </w:rPr>
      </w:r>
      <w:r>
        <w:rPr>
          <w:noProof/>
        </w:rPr>
        <w:fldChar w:fldCharType="separate"/>
      </w:r>
      <w:r>
        <w:rPr>
          <w:noProof/>
        </w:rPr>
        <w:t>460</w:t>
      </w:r>
      <w:r>
        <w:rPr>
          <w:noProof/>
        </w:rPr>
        <w:fldChar w:fldCharType="end"/>
      </w:r>
    </w:p>
    <w:p w14:paraId="3C9D3123" w14:textId="3F60C64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7.9.51  Time for compliance</w:t>
      </w:r>
      <w:r>
        <w:rPr>
          <w:noProof/>
        </w:rPr>
        <w:tab/>
      </w:r>
      <w:r>
        <w:rPr>
          <w:noProof/>
        </w:rPr>
        <w:fldChar w:fldCharType="begin"/>
      </w:r>
      <w:r>
        <w:rPr>
          <w:noProof/>
        </w:rPr>
        <w:instrText xml:space="preserve"> PAGEREF _Toc158712709 \h </w:instrText>
      </w:r>
      <w:r>
        <w:rPr>
          <w:noProof/>
        </w:rPr>
      </w:r>
      <w:r>
        <w:rPr>
          <w:noProof/>
        </w:rPr>
        <w:fldChar w:fldCharType="separate"/>
      </w:r>
      <w:r>
        <w:rPr>
          <w:noProof/>
        </w:rPr>
        <w:t>460</w:t>
      </w:r>
      <w:r>
        <w:rPr>
          <w:noProof/>
        </w:rPr>
        <w:fldChar w:fldCharType="end"/>
      </w:r>
    </w:p>
    <w:p w14:paraId="7572D332" w14:textId="447BEEF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7.9.52  General requirement</w:t>
      </w:r>
      <w:r>
        <w:rPr>
          <w:noProof/>
        </w:rPr>
        <w:tab/>
      </w:r>
      <w:r>
        <w:rPr>
          <w:noProof/>
        </w:rPr>
        <w:fldChar w:fldCharType="begin"/>
      </w:r>
      <w:r>
        <w:rPr>
          <w:noProof/>
        </w:rPr>
        <w:instrText xml:space="preserve"> PAGEREF _Toc158712710 \h </w:instrText>
      </w:r>
      <w:r>
        <w:rPr>
          <w:noProof/>
        </w:rPr>
      </w:r>
      <w:r>
        <w:rPr>
          <w:noProof/>
        </w:rPr>
        <w:fldChar w:fldCharType="separate"/>
      </w:r>
      <w:r>
        <w:rPr>
          <w:noProof/>
        </w:rPr>
        <w:t>460</w:t>
      </w:r>
      <w:r>
        <w:rPr>
          <w:noProof/>
        </w:rPr>
        <w:fldChar w:fldCharType="end"/>
      </w:r>
    </w:p>
    <w:p w14:paraId="511D09F1" w14:textId="4E44EBE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7.9.53  Information on death of product holder</w:t>
      </w:r>
      <w:r>
        <w:rPr>
          <w:noProof/>
        </w:rPr>
        <w:tab/>
      </w:r>
      <w:r>
        <w:rPr>
          <w:noProof/>
        </w:rPr>
        <w:fldChar w:fldCharType="begin"/>
      </w:r>
      <w:r>
        <w:rPr>
          <w:noProof/>
        </w:rPr>
        <w:instrText xml:space="preserve"> PAGEREF _Toc158712711 \h </w:instrText>
      </w:r>
      <w:r>
        <w:rPr>
          <w:noProof/>
        </w:rPr>
      </w:r>
      <w:r>
        <w:rPr>
          <w:noProof/>
        </w:rPr>
        <w:fldChar w:fldCharType="separate"/>
      </w:r>
      <w:r>
        <w:rPr>
          <w:noProof/>
        </w:rPr>
        <w:t>460</w:t>
      </w:r>
      <w:r>
        <w:rPr>
          <w:noProof/>
        </w:rPr>
        <w:fldChar w:fldCharType="end"/>
      </w:r>
    </w:p>
    <w:p w14:paraId="6213483A" w14:textId="4C35151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7.9.54  Specific requirements in all cases</w:t>
      </w:r>
      <w:r>
        <w:rPr>
          <w:noProof/>
        </w:rPr>
        <w:tab/>
      </w:r>
      <w:r>
        <w:rPr>
          <w:noProof/>
        </w:rPr>
        <w:fldChar w:fldCharType="begin"/>
      </w:r>
      <w:r>
        <w:rPr>
          <w:noProof/>
        </w:rPr>
        <w:instrText xml:space="preserve"> PAGEREF _Toc158712712 \h </w:instrText>
      </w:r>
      <w:r>
        <w:rPr>
          <w:noProof/>
        </w:rPr>
      </w:r>
      <w:r>
        <w:rPr>
          <w:noProof/>
        </w:rPr>
        <w:fldChar w:fldCharType="separate"/>
      </w:r>
      <w:r>
        <w:rPr>
          <w:noProof/>
        </w:rPr>
        <w:t>460</w:t>
      </w:r>
      <w:r>
        <w:rPr>
          <w:noProof/>
        </w:rPr>
        <w:fldChar w:fldCharType="end"/>
      </w:r>
    </w:p>
    <w:p w14:paraId="18C6C592" w14:textId="71701C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7.9.55  Specific requirements in particular cases</w:t>
      </w:r>
      <w:r>
        <w:rPr>
          <w:noProof/>
        </w:rPr>
        <w:tab/>
      </w:r>
      <w:r>
        <w:rPr>
          <w:noProof/>
        </w:rPr>
        <w:fldChar w:fldCharType="begin"/>
      </w:r>
      <w:r>
        <w:rPr>
          <w:noProof/>
        </w:rPr>
        <w:instrText xml:space="preserve"> PAGEREF _Toc158712713 \h </w:instrText>
      </w:r>
      <w:r>
        <w:rPr>
          <w:noProof/>
        </w:rPr>
      </w:r>
      <w:r>
        <w:rPr>
          <w:noProof/>
        </w:rPr>
        <w:fldChar w:fldCharType="separate"/>
      </w:r>
      <w:r>
        <w:rPr>
          <w:noProof/>
        </w:rPr>
        <w:t>461</w:t>
      </w:r>
      <w:r>
        <w:rPr>
          <w:noProof/>
        </w:rPr>
        <w:fldChar w:fldCharType="end"/>
      </w:r>
    </w:p>
    <w:p w14:paraId="1C96261E" w14:textId="4AAFE56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7.9.56  Exceptions to exit reporting period provisions: superannuation products and RSAs</w:t>
      </w:r>
      <w:r>
        <w:rPr>
          <w:noProof/>
        </w:rPr>
        <w:tab/>
      </w:r>
      <w:r>
        <w:rPr>
          <w:noProof/>
        </w:rPr>
        <w:fldChar w:fldCharType="begin"/>
      </w:r>
      <w:r>
        <w:rPr>
          <w:noProof/>
        </w:rPr>
        <w:instrText xml:space="preserve"> PAGEREF _Toc158712714 \h </w:instrText>
      </w:r>
      <w:r>
        <w:rPr>
          <w:noProof/>
        </w:rPr>
      </w:r>
      <w:r>
        <w:rPr>
          <w:noProof/>
        </w:rPr>
        <w:fldChar w:fldCharType="separate"/>
      </w:r>
      <w:r>
        <w:rPr>
          <w:noProof/>
        </w:rPr>
        <w:t>461</w:t>
      </w:r>
      <w:r>
        <w:rPr>
          <w:noProof/>
        </w:rPr>
        <w:fldChar w:fldCharType="end"/>
      </w:r>
    </w:p>
    <w:p w14:paraId="47410997" w14:textId="1597191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7.9.57  Exception—members subject to compulsory protection of small amounts</w:t>
      </w:r>
      <w:r>
        <w:rPr>
          <w:noProof/>
        </w:rPr>
        <w:tab/>
      </w:r>
      <w:r>
        <w:rPr>
          <w:noProof/>
        </w:rPr>
        <w:fldChar w:fldCharType="begin"/>
      </w:r>
      <w:r>
        <w:rPr>
          <w:noProof/>
        </w:rPr>
        <w:instrText xml:space="preserve"> PAGEREF _Toc158712715 \h </w:instrText>
      </w:r>
      <w:r>
        <w:rPr>
          <w:noProof/>
        </w:rPr>
      </w:r>
      <w:r>
        <w:rPr>
          <w:noProof/>
        </w:rPr>
        <w:fldChar w:fldCharType="separate"/>
      </w:r>
      <w:r>
        <w:rPr>
          <w:noProof/>
        </w:rPr>
        <w:t>461</w:t>
      </w:r>
      <w:r>
        <w:rPr>
          <w:noProof/>
        </w:rPr>
        <w:fldChar w:fldCharType="end"/>
      </w:r>
    </w:p>
    <w:p w14:paraId="2519C4A4" w14:textId="749C058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7.9.58  Information to be given in cases other than death of RSA holder</w:t>
      </w:r>
      <w:r>
        <w:rPr>
          <w:noProof/>
        </w:rPr>
        <w:tab/>
      </w:r>
      <w:r>
        <w:rPr>
          <w:noProof/>
        </w:rPr>
        <w:fldChar w:fldCharType="begin"/>
      </w:r>
      <w:r>
        <w:rPr>
          <w:noProof/>
        </w:rPr>
        <w:instrText xml:space="preserve"> PAGEREF _Toc158712716 \h </w:instrText>
      </w:r>
      <w:r>
        <w:rPr>
          <w:noProof/>
        </w:rPr>
      </w:r>
      <w:r>
        <w:rPr>
          <w:noProof/>
        </w:rPr>
        <w:fldChar w:fldCharType="separate"/>
      </w:r>
      <w:r>
        <w:rPr>
          <w:noProof/>
        </w:rPr>
        <w:t>461</w:t>
      </w:r>
      <w:r>
        <w:rPr>
          <w:noProof/>
        </w:rPr>
        <w:fldChar w:fldCharType="end"/>
      </w:r>
    </w:p>
    <w:p w14:paraId="689998CC" w14:textId="212397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7.9.59  Information to be given where applicable</w:t>
      </w:r>
      <w:r>
        <w:rPr>
          <w:noProof/>
        </w:rPr>
        <w:tab/>
      </w:r>
      <w:r>
        <w:rPr>
          <w:noProof/>
        </w:rPr>
        <w:fldChar w:fldCharType="begin"/>
      </w:r>
      <w:r>
        <w:rPr>
          <w:noProof/>
        </w:rPr>
        <w:instrText xml:space="preserve"> PAGEREF _Toc158712717 \h </w:instrText>
      </w:r>
      <w:r>
        <w:rPr>
          <w:noProof/>
        </w:rPr>
      </w:r>
      <w:r>
        <w:rPr>
          <w:noProof/>
        </w:rPr>
        <w:fldChar w:fldCharType="separate"/>
      </w:r>
      <w:r>
        <w:rPr>
          <w:noProof/>
        </w:rPr>
        <w:t>461</w:t>
      </w:r>
      <w:r>
        <w:rPr>
          <w:noProof/>
        </w:rPr>
        <w:fldChar w:fldCharType="end"/>
      </w:r>
    </w:p>
    <w:p w14:paraId="6787C66A" w14:textId="42A11C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7.9.60  Modification of Act: exceptions to exit reporting period provisions</w:t>
      </w:r>
      <w:r>
        <w:rPr>
          <w:noProof/>
        </w:rPr>
        <w:tab/>
      </w:r>
      <w:r>
        <w:rPr>
          <w:noProof/>
        </w:rPr>
        <w:fldChar w:fldCharType="begin"/>
      </w:r>
      <w:r>
        <w:rPr>
          <w:noProof/>
        </w:rPr>
        <w:instrText xml:space="preserve"> PAGEREF _Toc158712718 \h </w:instrText>
      </w:r>
      <w:r>
        <w:rPr>
          <w:noProof/>
        </w:rPr>
      </w:r>
      <w:r>
        <w:rPr>
          <w:noProof/>
        </w:rPr>
        <w:fldChar w:fldCharType="separate"/>
      </w:r>
      <w:r>
        <w:rPr>
          <w:noProof/>
        </w:rPr>
        <w:t>462</w:t>
      </w:r>
      <w:r>
        <w:rPr>
          <w:noProof/>
        </w:rPr>
        <w:fldChar w:fldCharType="end"/>
      </w:r>
    </w:p>
    <w:p w14:paraId="5ED3B775" w14:textId="2A4D41C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5AA—General requirements for financial disclosure</w:t>
      </w:r>
      <w:r>
        <w:rPr>
          <w:noProof/>
        </w:rPr>
        <w:tab/>
      </w:r>
      <w:r>
        <w:rPr>
          <w:noProof/>
        </w:rPr>
        <w:fldChar w:fldCharType="begin"/>
      </w:r>
      <w:r>
        <w:rPr>
          <w:noProof/>
        </w:rPr>
        <w:instrText xml:space="preserve"> PAGEREF _Toc158712719 \h </w:instrText>
      </w:r>
      <w:r>
        <w:rPr>
          <w:noProof/>
        </w:rPr>
      </w:r>
      <w:r>
        <w:rPr>
          <w:noProof/>
        </w:rPr>
        <w:fldChar w:fldCharType="separate"/>
      </w:r>
      <w:r>
        <w:rPr>
          <w:noProof/>
        </w:rPr>
        <w:t>463</w:t>
      </w:r>
      <w:r>
        <w:rPr>
          <w:noProof/>
        </w:rPr>
        <w:fldChar w:fldCharType="end"/>
      </w:r>
    </w:p>
    <w:p w14:paraId="7B31F35E" w14:textId="0FEDF1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7.9.60A  Modification of Act: disclosure</w:t>
      </w:r>
      <w:r>
        <w:rPr>
          <w:noProof/>
        </w:rPr>
        <w:tab/>
      </w:r>
      <w:r>
        <w:rPr>
          <w:noProof/>
        </w:rPr>
        <w:fldChar w:fldCharType="begin"/>
      </w:r>
      <w:r>
        <w:rPr>
          <w:noProof/>
        </w:rPr>
        <w:instrText xml:space="preserve"> PAGEREF _Toc158712720 \h </w:instrText>
      </w:r>
      <w:r>
        <w:rPr>
          <w:noProof/>
        </w:rPr>
      </w:r>
      <w:r>
        <w:rPr>
          <w:noProof/>
        </w:rPr>
        <w:fldChar w:fldCharType="separate"/>
      </w:r>
      <w:r>
        <w:rPr>
          <w:noProof/>
        </w:rPr>
        <w:t>463</w:t>
      </w:r>
      <w:r>
        <w:rPr>
          <w:noProof/>
        </w:rPr>
        <w:fldChar w:fldCharType="end"/>
      </w:r>
    </w:p>
    <w:p w14:paraId="4652649E" w14:textId="0993F9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7.9.60B  Disclosure of transactions in periodic statements</w:t>
      </w:r>
      <w:r>
        <w:rPr>
          <w:noProof/>
        </w:rPr>
        <w:tab/>
      </w:r>
      <w:r>
        <w:rPr>
          <w:noProof/>
        </w:rPr>
        <w:fldChar w:fldCharType="begin"/>
      </w:r>
      <w:r>
        <w:rPr>
          <w:noProof/>
        </w:rPr>
        <w:instrText xml:space="preserve"> PAGEREF _Toc158712721 \h </w:instrText>
      </w:r>
      <w:r>
        <w:rPr>
          <w:noProof/>
        </w:rPr>
      </w:r>
      <w:r>
        <w:rPr>
          <w:noProof/>
        </w:rPr>
        <w:fldChar w:fldCharType="separate"/>
      </w:r>
      <w:r>
        <w:rPr>
          <w:noProof/>
        </w:rPr>
        <w:t>463</w:t>
      </w:r>
      <w:r>
        <w:rPr>
          <w:noProof/>
        </w:rPr>
        <w:fldChar w:fldCharType="end"/>
      </w:r>
    </w:p>
    <w:p w14:paraId="61EAEAD2" w14:textId="38E8527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5AB—Short</w:t>
      </w:r>
      <w:r>
        <w:rPr>
          <w:noProof/>
        </w:rPr>
        <w:noBreakHyphen/>
        <w:t>Form Product Disclosure Statements</w:t>
      </w:r>
      <w:r>
        <w:rPr>
          <w:noProof/>
        </w:rPr>
        <w:tab/>
      </w:r>
      <w:r>
        <w:rPr>
          <w:noProof/>
        </w:rPr>
        <w:fldChar w:fldCharType="begin"/>
      </w:r>
      <w:r>
        <w:rPr>
          <w:noProof/>
        </w:rPr>
        <w:instrText xml:space="preserve"> PAGEREF _Toc158712722 \h </w:instrText>
      </w:r>
      <w:r>
        <w:rPr>
          <w:noProof/>
        </w:rPr>
      </w:r>
      <w:r>
        <w:rPr>
          <w:noProof/>
        </w:rPr>
        <w:fldChar w:fldCharType="separate"/>
      </w:r>
      <w:r>
        <w:rPr>
          <w:noProof/>
        </w:rPr>
        <w:t>464</w:t>
      </w:r>
      <w:r>
        <w:rPr>
          <w:noProof/>
        </w:rPr>
        <w:fldChar w:fldCharType="end"/>
      </w:r>
    </w:p>
    <w:p w14:paraId="0C3F69F0" w14:textId="7E7333A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7.9.61AA  Modification of the Act: Short</w:t>
      </w:r>
      <w:r>
        <w:rPr>
          <w:noProof/>
        </w:rPr>
        <w:noBreakHyphen/>
        <w:t>Form Product Disclosure Statements</w:t>
      </w:r>
      <w:r>
        <w:rPr>
          <w:noProof/>
        </w:rPr>
        <w:tab/>
      </w:r>
      <w:r>
        <w:rPr>
          <w:noProof/>
        </w:rPr>
        <w:fldChar w:fldCharType="begin"/>
      </w:r>
      <w:r>
        <w:rPr>
          <w:noProof/>
        </w:rPr>
        <w:instrText xml:space="preserve"> PAGEREF _Toc158712723 \h </w:instrText>
      </w:r>
      <w:r>
        <w:rPr>
          <w:noProof/>
        </w:rPr>
      </w:r>
      <w:r>
        <w:rPr>
          <w:noProof/>
        </w:rPr>
        <w:fldChar w:fldCharType="separate"/>
      </w:r>
      <w:r>
        <w:rPr>
          <w:noProof/>
        </w:rPr>
        <w:t>464</w:t>
      </w:r>
      <w:r>
        <w:rPr>
          <w:noProof/>
        </w:rPr>
        <w:fldChar w:fldCharType="end"/>
      </w:r>
    </w:p>
    <w:p w14:paraId="77CFC206" w14:textId="1F819E5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5A—Dealing with money received for financial product before the product is issued</w:t>
      </w:r>
      <w:r>
        <w:rPr>
          <w:noProof/>
        </w:rPr>
        <w:tab/>
      </w:r>
      <w:r>
        <w:rPr>
          <w:noProof/>
        </w:rPr>
        <w:fldChar w:fldCharType="begin"/>
      </w:r>
      <w:r>
        <w:rPr>
          <w:noProof/>
        </w:rPr>
        <w:instrText xml:space="preserve"> PAGEREF _Toc158712724 \h </w:instrText>
      </w:r>
      <w:r>
        <w:rPr>
          <w:noProof/>
        </w:rPr>
      </w:r>
      <w:r>
        <w:rPr>
          <w:noProof/>
        </w:rPr>
        <w:fldChar w:fldCharType="separate"/>
      </w:r>
      <w:r>
        <w:rPr>
          <w:noProof/>
        </w:rPr>
        <w:t>465</w:t>
      </w:r>
      <w:r>
        <w:rPr>
          <w:noProof/>
        </w:rPr>
        <w:fldChar w:fldCharType="end"/>
      </w:r>
    </w:p>
    <w:p w14:paraId="785355F7" w14:textId="674B91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7.9.61A  Lost application money</w:t>
      </w:r>
      <w:r>
        <w:rPr>
          <w:noProof/>
        </w:rPr>
        <w:tab/>
      </w:r>
      <w:r>
        <w:rPr>
          <w:noProof/>
        </w:rPr>
        <w:fldChar w:fldCharType="begin"/>
      </w:r>
      <w:r>
        <w:rPr>
          <w:noProof/>
        </w:rPr>
        <w:instrText xml:space="preserve"> PAGEREF _Toc158712725 \h </w:instrText>
      </w:r>
      <w:r>
        <w:rPr>
          <w:noProof/>
        </w:rPr>
      </w:r>
      <w:r>
        <w:rPr>
          <w:noProof/>
        </w:rPr>
        <w:fldChar w:fldCharType="separate"/>
      </w:r>
      <w:r>
        <w:rPr>
          <w:noProof/>
        </w:rPr>
        <w:t>465</w:t>
      </w:r>
      <w:r>
        <w:rPr>
          <w:noProof/>
        </w:rPr>
        <w:fldChar w:fldCharType="end"/>
      </w:r>
    </w:p>
    <w:p w14:paraId="3015D340" w14:textId="72304D0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7.9.61B  Issue of substitute insurance product</w:t>
      </w:r>
      <w:r>
        <w:rPr>
          <w:noProof/>
        </w:rPr>
        <w:tab/>
      </w:r>
      <w:r>
        <w:rPr>
          <w:noProof/>
        </w:rPr>
        <w:fldChar w:fldCharType="begin"/>
      </w:r>
      <w:r>
        <w:rPr>
          <w:noProof/>
        </w:rPr>
        <w:instrText xml:space="preserve"> PAGEREF _Toc158712726 \h </w:instrText>
      </w:r>
      <w:r>
        <w:rPr>
          <w:noProof/>
        </w:rPr>
      </w:r>
      <w:r>
        <w:rPr>
          <w:noProof/>
        </w:rPr>
        <w:fldChar w:fldCharType="separate"/>
      </w:r>
      <w:r>
        <w:rPr>
          <w:noProof/>
        </w:rPr>
        <w:t>465</w:t>
      </w:r>
      <w:r>
        <w:rPr>
          <w:noProof/>
        </w:rPr>
        <w:fldChar w:fldCharType="end"/>
      </w:r>
    </w:p>
    <w:p w14:paraId="50561517" w14:textId="46FF5E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7.9.61C  Cheques</w:t>
      </w:r>
      <w:r>
        <w:rPr>
          <w:noProof/>
        </w:rPr>
        <w:tab/>
      </w:r>
      <w:r>
        <w:rPr>
          <w:noProof/>
        </w:rPr>
        <w:fldChar w:fldCharType="begin"/>
      </w:r>
      <w:r>
        <w:rPr>
          <w:noProof/>
        </w:rPr>
        <w:instrText xml:space="preserve"> PAGEREF _Toc158712727 \h </w:instrText>
      </w:r>
      <w:r>
        <w:rPr>
          <w:noProof/>
        </w:rPr>
      </w:r>
      <w:r>
        <w:rPr>
          <w:noProof/>
        </w:rPr>
        <w:fldChar w:fldCharType="separate"/>
      </w:r>
      <w:r>
        <w:rPr>
          <w:noProof/>
        </w:rPr>
        <w:t>465</w:t>
      </w:r>
      <w:r>
        <w:rPr>
          <w:noProof/>
        </w:rPr>
        <w:fldChar w:fldCharType="end"/>
      </w:r>
    </w:p>
    <w:p w14:paraId="11740134" w14:textId="672D1A2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5B—Confirming transactions</w:t>
      </w:r>
      <w:r>
        <w:rPr>
          <w:noProof/>
        </w:rPr>
        <w:tab/>
      </w:r>
      <w:r>
        <w:rPr>
          <w:noProof/>
        </w:rPr>
        <w:fldChar w:fldCharType="begin"/>
      </w:r>
      <w:r>
        <w:rPr>
          <w:noProof/>
        </w:rPr>
        <w:instrText xml:space="preserve"> PAGEREF _Toc158712728 \h </w:instrText>
      </w:r>
      <w:r>
        <w:rPr>
          <w:noProof/>
        </w:rPr>
      </w:r>
      <w:r>
        <w:rPr>
          <w:noProof/>
        </w:rPr>
        <w:fldChar w:fldCharType="separate"/>
      </w:r>
      <w:r>
        <w:rPr>
          <w:noProof/>
        </w:rPr>
        <w:t>466</w:t>
      </w:r>
      <w:r>
        <w:rPr>
          <w:noProof/>
        </w:rPr>
        <w:fldChar w:fldCharType="end"/>
      </w:r>
    </w:p>
    <w:p w14:paraId="2A5EE64F" w14:textId="7DE55B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7.9.61D  Transactions involving superannuation products</w:t>
      </w:r>
      <w:r>
        <w:rPr>
          <w:noProof/>
        </w:rPr>
        <w:tab/>
      </w:r>
      <w:r>
        <w:rPr>
          <w:noProof/>
        </w:rPr>
        <w:fldChar w:fldCharType="begin"/>
      </w:r>
      <w:r>
        <w:rPr>
          <w:noProof/>
        </w:rPr>
        <w:instrText xml:space="preserve"> PAGEREF _Toc158712729 \h </w:instrText>
      </w:r>
      <w:r>
        <w:rPr>
          <w:noProof/>
        </w:rPr>
      </w:r>
      <w:r>
        <w:rPr>
          <w:noProof/>
        </w:rPr>
        <w:fldChar w:fldCharType="separate"/>
      </w:r>
      <w:r>
        <w:rPr>
          <w:noProof/>
        </w:rPr>
        <w:t>466</w:t>
      </w:r>
      <w:r>
        <w:rPr>
          <w:noProof/>
        </w:rPr>
        <w:fldChar w:fldCharType="end"/>
      </w:r>
    </w:p>
    <w:p w14:paraId="15B623F1" w14:textId="53EF1C2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5C—CGS depository interests</w:t>
      </w:r>
      <w:r>
        <w:rPr>
          <w:noProof/>
        </w:rPr>
        <w:tab/>
      </w:r>
      <w:r>
        <w:rPr>
          <w:noProof/>
        </w:rPr>
        <w:fldChar w:fldCharType="begin"/>
      </w:r>
      <w:r>
        <w:rPr>
          <w:noProof/>
        </w:rPr>
        <w:instrText xml:space="preserve"> PAGEREF _Toc158712730 \h </w:instrText>
      </w:r>
      <w:r>
        <w:rPr>
          <w:noProof/>
        </w:rPr>
      </w:r>
      <w:r>
        <w:rPr>
          <w:noProof/>
        </w:rPr>
        <w:fldChar w:fldCharType="separate"/>
      </w:r>
      <w:r>
        <w:rPr>
          <w:noProof/>
        </w:rPr>
        <w:t>467</w:t>
      </w:r>
      <w:r>
        <w:rPr>
          <w:noProof/>
        </w:rPr>
        <w:fldChar w:fldCharType="end"/>
      </w:r>
    </w:p>
    <w:p w14:paraId="078D93B8" w14:textId="684D903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7.9.61E  Meaning of </w:t>
      </w:r>
      <w:r w:rsidRPr="00FC743A">
        <w:rPr>
          <w:i/>
          <w:noProof/>
        </w:rPr>
        <w:t>CGS depository interest information website</w:t>
      </w:r>
      <w:r>
        <w:rPr>
          <w:noProof/>
        </w:rPr>
        <w:tab/>
      </w:r>
      <w:r>
        <w:rPr>
          <w:noProof/>
        </w:rPr>
        <w:fldChar w:fldCharType="begin"/>
      </w:r>
      <w:r>
        <w:rPr>
          <w:noProof/>
        </w:rPr>
        <w:instrText xml:space="preserve"> PAGEREF _Toc158712731 \h </w:instrText>
      </w:r>
      <w:r>
        <w:rPr>
          <w:noProof/>
        </w:rPr>
      </w:r>
      <w:r>
        <w:rPr>
          <w:noProof/>
        </w:rPr>
        <w:fldChar w:fldCharType="separate"/>
      </w:r>
      <w:r>
        <w:rPr>
          <w:noProof/>
        </w:rPr>
        <w:t>467</w:t>
      </w:r>
      <w:r>
        <w:rPr>
          <w:noProof/>
        </w:rPr>
        <w:fldChar w:fldCharType="end"/>
      </w:r>
    </w:p>
    <w:p w14:paraId="5D68B20A" w14:textId="27F7F65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w:t>
      </w:r>
      <w:r w:rsidRPr="00FC743A">
        <w:rPr>
          <w:noProof/>
          <w:color w:val="000000"/>
        </w:rPr>
        <w:t>—</w:t>
      </w:r>
      <w:r>
        <w:rPr>
          <w:noProof/>
        </w:rPr>
        <w:t>Confirmation of transactions</w:t>
      </w:r>
      <w:r>
        <w:rPr>
          <w:noProof/>
        </w:rPr>
        <w:tab/>
      </w:r>
      <w:r>
        <w:rPr>
          <w:noProof/>
        </w:rPr>
        <w:fldChar w:fldCharType="begin"/>
      </w:r>
      <w:r>
        <w:rPr>
          <w:noProof/>
        </w:rPr>
        <w:instrText xml:space="preserve"> PAGEREF _Toc158712732 \h </w:instrText>
      </w:r>
      <w:r>
        <w:rPr>
          <w:noProof/>
        </w:rPr>
      </w:r>
      <w:r>
        <w:rPr>
          <w:noProof/>
        </w:rPr>
        <w:fldChar w:fldCharType="separate"/>
      </w:r>
      <w:r>
        <w:rPr>
          <w:noProof/>
        </w:rPr>
        <w:t>468</w:t>
      </w:r>
      <w:r>
        <w:rPr>
          <w:noProof/>
        </w:rPr>
        <w:fldChar w:fldCharType="end"/>
      </w:r>
    </w:p>
    <w:p w14:paraId="14830C51" w14:textId="62013AA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7.9.62  Confirmation of transactions not required</w:t>
      </w:r>
      <w:r>
        <w:rPr>
          <w:noProof/>
        </w:rPr>
        <w:tab/>
      </w:r>
      <w:r>
        <w:rPr>
          <w:noProof/>
        </w:rPr>
        <w:fldChar w:fldCharType="begin"/>
      </w:r>
      <w:r>
        <w:rPr>
          <w:noProof/>
        </w:rPr>
        <w:instrText xml:space="preserve"> PAGEREF _Toc158712733 \h </w:instrText>
      </w:r>
      <w:r>
        <w:rPr>
          <w:noProof/>
        </w:rPr>
      </w:r>
      <w:r>
        <w:rPr>
          <w:noProof/>
        </w:rPr>
        <w:fldChar w:fldCharType="separate"/>
      </w:r>
      <w:r>
        <w:rPr>
          <w:noProof/>
        </w:rPr>
        <w:t>468</w:t>
      </w:r>
      <w:r>
        <w:rPr>
          <w:noProof/>
        </w:rPr>
        <w:fldChar w:fldCharType="end"/>
      </w:r>
    </w:p>
    <w:p w14:paraId="027C3B5F" w14:textId="679DBF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  Confirmation of transactions: precise costs of transaction not known</w:t>
      </w:r>
      <w:r>
        <w:rPr>
          <w:noProof/>
        </w:rPr>
        <w:tab/>
      </w:r>
      <w:r>
        <w:rPr>
          <w:noProof/>
        </w:rPr>
        <w:fldChar w:fldCharType="begin"/>
      </w:r>
      <w:r>
        <w:rPr>
          <w:noProof/>
        </w:rPr>
        <w:instrText xml:space="preserve"> PAGEREF _Toc158712734 \h </w:instrText>
      </w:r>
      <w:r>
        <w:rPr>
          <w:noProof/>
        </w:rPr>
      </w:r>
      <w:r>
        <w:rPr>
          <w:noProof/>
        </w:rPr>
        <w:fldChar w:fldCharType="separate"/>
      </w:r>
      <w:r>
        <w:rPr>
          <w:noProof/>
        </w:rPr>
        <w:t>469</w:t>
      </w:r>
      <w:r>
        <w:rPr>
          <w:noProof/>
        </w:rPr>
        <w:fldChar w:fldCharType="end"/>
      </w:r>
    </w:p>
    <w:p w14:paraId="72FE6AF9" w14:textId="1192B29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7.9.63A  Persons who must confirm transactions</w:t>
      </w:r>
      <w:r>
        <w:rPr>
          <w:noProof/>
        </w:rPr>
        <w:tab/>
      </w:r>
      <w:r>
        <w:rPr>
          <w:noProof/>
        </w:rPr>
        <w:fldChar w:fldCharType="begin"/>
      </w:r>
      <w:r>
        <w:rPr>
          <w:noProof/>
        </w:rPr>
        <w:instrText xml:space="preserve"> PAGEREF _Toc158712735 \h </w:instrText>
      </w:r>
      <w:r>
        <w:rPr>
          <w:noProof/>
        </w:rPr>
      </w:r>
      <w:r>
        <w:rPr>
          <w:noProof/>
        </w:rPr>
        <w:fldChar w:fldCharType="separate"/>
      </w:r>
      <w:r>
        <w:rPr>
          <w:noProof/>
        </w:rPr>
        <w:t>469</w:t>
      </w:r>
      <w:r>
        <w:rPr>
          <w:noProof/>
        </w:rPr>
        <w:fldChar w:fldCharType="end"/>
      </w:r>
    </w:p>
    <w:p w14:paraId="255ACCE5" w14:textId="5CFC60A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7.9.63B  Content of confirmation of transactions—general</w:t>
      </w:r>
      <w:r>
        <w:rPr>
          <w:noProof/>
        </w:rPr>
        <w:tab/>
      </w:r>
      <w:r>
        <w:rPr>
          <w:noProof/>
        </w:rPr>
        <w:fldChar w:fldCharType="begin"/>
      </w:r>
      <w:r>
        <w:rPr>
          <w:noProof/>
        </w:rPr>
        <w:instrText xml:space="preserve"> PAGEREF _Toc158712736 \h </w:instrText>
      </w:r>
      <w:r>
        <w:rPr>
          <w:noProof/>
        </w:rPr>
      </w:r>
      <w:r>
        <w:rPr>
          <w:noProof/>
        </w:rPr>
        <w:fldChar w:fldCharType="separate"/>
      </w:r>
      <w:r>
        <w:rPr>
          <w:noProof/>
        </w:rPr>
        <w:t>470</w:t>
      </w:r>
      <w:r>
        <w:rPr>
          <w:noProof/>
        </w:rPr>
        <w:fldChar w:fldCharType="end"/>
      </w:r>
    </w:p>
    <w:p w14:paraId="2773301B" w14:textId="7BD7099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7.9.63C  Confirmation of transaction—multiple transactions</w:t>
      </w:r>
      <w:r>
        <w:rPr>
          <w:noProof/>
        </w:rPr>
        <w:tab/>
      </w:r>
      <w:r>
        <w:rPr>
          <w:noProof/>
        </w:rPr>
        <w:fldChar w:fldCharType="begin"/>
      </w:r>
      <w:r>
        <w:rPr>
          <w:noProof/>
        </w:rPr>
        <w:instrText xml:space="preserve"> PAGEREF _Toc158712737 \h </w:instrText>
      </w:r>
      <w:r>
        <w:rPr>
          <w:noProof/>
        </w:rPr>
      </w:r>
      <w:r>
        <w:rPr>
          <w:noProof/>
        </w:rPr>
        <w:fldChar w:fldCharType="separate"/>
      </w:r>
      <w:r>
        <w:rPr>
          <w:noProof/>
        </w:rPr>
        <w:t>471</w:t>
      </w:r>
      <w:r>
        <w:rPr>
          <w:noProof/>
        </w:rPr>
        <w:fldChar w:fldCharType="end"/>
      </w:r>
    </w:p>
    <w:p w14:paraId="09093728" w14:textId="744BC3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7.9.63D  Confirmation of transaction—information about cooling</w:t>
      </w:r>
      <w:r>
        <w:rPr>
          <w:noProof/>
        </w:rPr>
        <w:noBreakHyphen/>
        <w:t>off period</w:t>
      </w:r>
      <w:r>
        <w:rPr>
          <w:noProof/>
        </w:rPr>
        <w:tab/>
      </w:r>
      <w:r>
        <w:rPr>
          <w:noProof/>
        </w:rPr>
        <w:fldChar w:fldCharType="begin"/>
      </w:r>
      <w:r>
        <w:rPr>
          <w:noProof/>
        </w:rPr>
        <w:instrText xml:space="preserve"> PAGEREF _Toc158712738 \h </w:instrText>
      </w:r>
      <w:r>
        <w:rPr>
          <w:noProof/>
        </w:rPr>
      </w:r>
      <w:r>
        <w:rPr>
          <w:noProof/>
        </w:rPr>
        <w:fldChar w:fldCharType="separate"/>
      </w:r>
      <w:r>
        <w:rPr>
          <w:noProof/>
        </w:rPr>
        <w:t>471</w:t>
      </w:r>
      <w:r>
        <w:rPr>
          <w:noProof/>
        </w:rPr>
        <w:fldChar w:fldCharType="end"/>
      </w:r>
    </w:p>
    <w:p w14:paraId="4195A79D" w14:textId="24B0060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7.9.63E  Confirmation of transaction—facility that provides written confirmation</w:t>
      </w:r>
      <w:r>
        <w:rPr>
          <w:noProof/>
        </w:rPr>
        <w:tab/>
      </w:r>
      <w:r>
        <w:rPr>
          <w:noProof/>
        </w:rPr>
        <w:fldChar w:fldCharType="begin"/>
      </w:r>
      <w:r>
        <w:rPr>
          <w:noProof/>
        </w:rPr>
        <w:instrText xml:space="preserve"> PAGEREF _Toc158712739 \h </w:instrText>
      </w:r>
      <w:r>
        <w:rPr>
          <w:noProof/>
        </w:rPr>
      </w:r>
      <w:r>
        <w:rPr>
          <w:noProof/>
        </w:rPr>
        <w:fldChar w:fldCharType="separate"/>
      </w:r>
      <w:r>
        <w:rPr>
          <w:noProof/>
        </w:rPr>
        <w:t>472</w:t>
      </w:r>
      <w:r>
        <w:rPr>
          <w:noProof/>
        </w:rPr>
        <w:fldChar w:fldCharType="end"/>
      </w:r>
    </w:p>
    <w:p w14:paraId="254C00B6" w14:textId="064E11C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7.9.63F  Confirmation of transaction—acquisition of financial product</w:t>
      </w:r>
      <w:r>
        <w:rPr>
          <w:noProof/>
        </w:rPr>
        <w:tab/>
      </w:r>
      <w:r>
        <w:rPr>
          <w:noProof/>
        </w:rPr>
        <w:fldChar w:fldCharType="begin"/>
      </w:r>
      <w:r>
        <w:rPr>
          <w:noProof/>
        </w:rPr>
        <w:instrText xml:space="preserve"> PAGEREF _Toc158712740 \h </w:instrText>
      </w:r>
      <w:r>
        <w:rPr>
          <w:noProof/>
        </w:rPr>
      </w:r>
      <w:r>
        <w:rPr>
          <w:noProof/>
        </w:rPr>
        <w:fldChar w:fldCharType="separate"/>
      </w:r>
      <w:r>
        <w:rPr>
          <w:noProof/>
        </w:rPr>
        <w:t>472</w:t>
      </w:r>
      <w:r>
        <w:rPr>
          <w:noProof/>
        </w:rPr>
        <w:fldChar w:fldCharType="end"/>
      </w:r>
    </w:p>
    <w:p w14:paraId="6FC41550" w14:textId="531239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7.9.63G  Confirmation of transaction—disposal of financial product</w:t>
      </w:r>
      <w:r>
        <w:rPr>
          <w:noProof/>
        </w:rPr>
        <w:tab/>
      </w:r>
      <w:r>
        <w:rPr>
          <w:noProof/>
        </w:rPr>
        <w:fldChar w:fldCharType="begin"/>
      </w:r>
      <w:r>
        <w:rPr>
          <w:noProof/>
        </w:rPr>
        <w:instrText xml:space="preserve"> PAGEREF _Toc158712741 \h </w:instrText>
      </w:r>
      <w:r>
        <w:rPr>
          <w:noProof/>
        </w:rPr>
      </w:r>
      <w:r>
        <w:rPr>
          <w:noProof/>
        </w:rPr>
        <w:fldChar w:fldCharType="separate"/>
      </w:r>
      <w:r>
        <w:rPr>
          <w:noProof/>
        </w:rPr>
        <w:t>472</w:t>
      </w:r>
      <w:r>
        <w:rPr>
          <w:noProof/>
        </w:rPr>
        <w:fldChar w:fldCharType="end"/>
      </w:r>
    </w:p>
    <w:p w14:paraId="50729E0A" w14:textId="22A29D1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7.9.63H  Certain product issuers and regulated persons must meet appropriate dispute resolution requirements—self managed superannuation funds</w:t>
      </w:r>
      <w:r>
        <w:rPr>
          <w:noProof/>
        </w:rPr>
        <w:tab/>
      </w:r>
      <w:r>
        <w:rPr>
          <w:noProof/>
        </w:rPr>
        <w:fldChar w:fldCharType="begin"/>
      </w:r>
      <w:r>
        <w:rPr>
          <w:noProof/>
        </w:rPr>
        <w:instrText xml:space="preserve"> PAGEREF _Toc158712742 \h </w:instrText>
      </w:r>
      <w:r>
        <w:rPr>
          <w:noProof/>
        </w:rPr>
      </w:r>
      <w:r>
        <w:rPr>
          <w:noProof/>
        </w:rPr>
        <w:fldChar w:fldCharType="separate"/>
      </w:r>
      <w:r>
        <w:rPr>
          <w:noProof/>
        </w:rPr>
        <w:t>472</w:t>
      </w:r>
      <w:r>
        <w:rPr>
          <w:noProof/>
        </w:rPr>
        <w:fldChar w:fldCharType="end"/>
      </w:r>
    </w:p>
    <w:p w14:paraId="5825C8C3" w14:textId="2E86CB9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7.9.63I  Confirmation of transaction in electronic form</w:t>
      </w:r>
      <w:r>
        <w:rPr>
          <w:noProof/>
        </w:rPr>
        <w:tab/>
      </w:r>
      <w:r>
        <w:rPr>
          <w:noProof/>
        </w:rPr>
        <w:fldChar w:fldCharType="begin"/>
      </w:r>
      <w:r>
        <w:rPr>
          <w:noProof/>
        </w:rPr>
        <w:instrText xml:space="preserve"> PAGEREF _Toc158712743 \h </w:instrText>
      </w:r>
      <w:r>
        <w:rPr>
          <w:noProof/>
        </w:rPr>
      </w:r>
      <w:r>
        <w:rPr>
          <w:noProof/>
        </w:rPr>
        <w:fldChar w:fldCharType="separate"/>
      </w:r>
      <w:r>
        <w:rPr>
          <w:noProof/>
        </w:rPr>
        <w:t>472</w:t>
      </w:r>
      <w:r>
        <w:rPr>
          <w:noProof/>
        </w:rPr>
        <w:fldChar w:fldCharType="end"/>
      </w:r>
    </w:p>
    <w:p w14:paraId="3C93C698" w14:textId="43C550D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w:t>
      </w:r>
      <w:r w:rsidRPr="00FC743A">
        <w:rPr>
          <w:noProof/>
          <w:color w:val="000000"/>
        </w:rPr>
        <w:t>—</w:t>
      </w:r>
      <w:r>
        <w:rPr>
          <w:noProof/>
        </w:rPr>
        <w:t>Cooling</w:t>
      </w:r>
      <w:r>
        <w:rPr>
          <w:noProof/>
        </w:rPr>
        <w:noBreakHyphen/>
        <w:t>off periods</w:t>
      </w:r>
      <w:r>
        <w:rPr>
          <w:noProof/>
        </w:rPr>
        <w:tab/>
      </w:r>
      <w:r>
        <w:rPr>
          <w:noProof/>
        </w:rPr>
        <w:fldChar w:fldCharType="begin"/>
      </w:r>
      <w:r>
        <w:rPr>
          <w:noProof/>
        </w:rPr>
        <w:instrText xml:space="preserve"> PAGEREF _Toc158712744 \h </w:instrText>
      </w:r>
      <w:r>
        <w:rPr>
          <w:noProof/>
        </w:rPr>
      </w:r>
      <w:r>
        <w:rPr>
          <w:noProof/>
        </w:rPr>
        <w:fldChar w:fldCharType="separate"/>
      </w:r>
      <w:r>
        <w:rPr>
          <w:noProof/>
        </w:rPr>
        <w:t>473</w:t>
      </w:r>
      <w:r>
        <w:rPr>
          <w:noProof/>
        </w:rPr>
        <w:fldChar w:fldCharType="end"/>
      </w:r>
    </w:p>
    <w:p w14:paraId="0C368253" w14:textId="3C7A1A0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7.9.64  Cooling</w:t>
      </w:r>
      <w:r>
        <w:rPr>
          <w:noProof/>
        </w:rPr>
        <w:noBreakHyphen/>
        <w:t>off periods not to apply</w:t>
      </w:r>
      <w:r>
        <w:rPr>
          <w:noProof/>
        </w:rPr>
        <w:tab/>
      </w:r>
      <w:r>
        <w:rPr>
          <w:noProof/>
        </w:rPr>
        <w:fldChar w:fldCharType="begin"/>
      </w:r>
      <w:r>
        <w:rPr>
          <w:noProof/>
        </w:rPr>
        <w:instrText xml:space="preserve"> PAGEREF _Toc158712745 \h </w:instrText>
      </w:r>
      <w:r>
        <w:rPr>
          <w:noProof/>
        </w:rPr>
      </w:r>
      <w:r>
        <w:rPr>
          <w:noProof/>
        </w:rPr>
        <w:fldChar w:fldCharType="separate"/>
      </w:r>
      <w:r>
        <w:rPr>
          <w:noProof/>
        </w:rPr>
        <w:t>473</w:t>
      </w:r>
      <w:r>
        <w:rPr>
          <w:noProof/>
        </w:rPr>
        <w:fldChar w:fldCharType="end"/>
      </w:r>
    </w:p>
    <w:p w14:paraId="22325A1C" w14:textId="3D2B94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7.9.64A  Notification of exercise of right of return—risk insurance products</w:t>
      </w:r>
      <w:r>
        <w:rPr>
          <w:noProof/>
        </w:rPr>
        <w:tab/>
      </w:r>
      <w:r>
        <w:rPr>
          <w:noProof/>
        </w:rPr>
        <w:fldChar w:fldCharType="begin"/>
      </w:r>
      <w:r>
        <w:rPr>
          <w:noProof/>
        </w:rPr>
        <w:instrText xml:space="preserve"> PAGEREF _Toc158712746 \h </w:instrText>
      </w:r>
      <w:r>
        <w:rPr>
          <w:noProof/>
        </w:rPr>
      </w:r>
      <w:r>
        <w:rPr>
          <w:noProof/>
        </w:rPr>
        <w:fldChar w:fldCharType="separate"/>
      </w:r>
      <w:r>
        <w:rPr>
          <w:noProof/>
        </w:rPr>
        <w:t>473</w:t>
      </w:r>
      <w:r>
        <w:rPr>
          <w:noProof/>
        </w:rPr>
        <w:fldChar w:fldCharType="end"/>
      </w:r>
    </w:p>
    <w:p w14:paraId="00B7A13E" w14:textId="08D99EA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7.9.65  Return of financial product: general</w:t>
      </w:r>
      <w:r>
        <w:rPr>
          <w:noProof/>
        </w:rPr>
        <w:tab/>
      </w:r>
      <w:r>
        <w:rPr>
          <w:noProof/>
        </w:rPr>
        <w:fldChar w:fldCharType="begin"/>
      </w:r>
      <w:r>
        <w:rPr>
          <w:noProof/>
        </w:rPr>
        <w:instrText xml:space="preserve"> PAGEREF _Toc158712747 \h </w:instrText>
      </w:r>
      <w:r>
        <w:rPr>
          <w:noProof/>
        </w:rPr>
      </w:r>
      <w:r>
        <w:rPr>
          <w:noProof/>
        </w:rPr>
        <w:fldChar w:fldCharType="separate"/>
      </w:r>
      <w:r>
        <w:rPr>
          <w:noProof/>
        </w:rPr>
        <w:t>473</w:t>
      </w:r>
      <w:r>
        <w:rPr>
          <w:noProof/>
        </w:rPr>
        <w:fldChar w:fldCharType="end"/>
      </w:r>
    </w:p>
    <w:p w14:paraId="1FB17C6D" w14:textId="2E3E180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7.9.66  Return of financial product: superannuation and RSAs</w:t>
      </w:r>
      <w:r>
        <w:rPr>
          <w:noProof/>
        </w:rPr>
        <w:tab/>
      </w:r>
      <w:r>
        <w:rPr>
          <w:noProof/>
        </w:rPr>
        <w:fldChar w:fldCharType="begin"/>
      </w:r>
      <w:r>
        <w:rPr>
          <w:noProof/>
        </w:rPr>
        <w:instrText xml:space="preserve"> PAGEREF _Toc158712748 \h </w:instrText>
      </w:r>
      <w:r>
        <w:rPr>
          <w:noProof/>
        </w:rPr>
      </w:r>
      <w:r>
        <w:rPr>
          <w:noProof/>
        </w:rPr>
        <w:fldChar w:fldCharType="separate"/>
      </w:r>
      <w:r>
        <w:rPr>
          <w:noProof/>
        </w:rPr>
        <w:t>474</w:t>
      </w:r>
      <w:r>
        <w:rPr>
          <w:noProof/>
        </w:rPr>
        <w:fldChar w:fldCharType="end"/>
      </w:r>
    </w:p>
    <w:p w14:paraId="76FF1E36" w14:textId="77BD060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7.9.67  Variation of amount to be repaid</w:t>
      </w:r>
      <w:r>
        <w:rPr>
          <w:noProof/>
        </w:rPr>
        <w:tab/>
      </w:r>
      <w:r>
        <w:rPr>
          <w:noProof/>
        </w:rPr>
        <w:fldChar w:fldCharType="begin"/>
      </w:r>
      <w:r>
        <w:rPr>
          <w:noProof/>
        </w:rPr>
        <w:instrText xml:space="preserve"> PAGEREF _Toc158712749 \h </w:instrText>
      </w:r>
      <w:r>
        <w:rPr>
          <w:noProof/>
        </w:rPr>
      </w:r>
      <w:r>
        <w:rPr>
          <w:noProof/>
        </w:rPr>
        <w:fldChar w:fldCharType="separate"/>
      </w:r>
      <w:r>
        <w:rPr>
          <w:noProof/>
        </w:rPr>
        <w:t>474</w:t>
      </w:r>
      <w:r>
        <w:rPr>
          <w:noProof/>
        </w:rPr>
        <w:fldChar w:fldCharType="end"/>
      </w:r>
    </w:p>
    <w:p w14:paraId="3437074D" w14:textId="3D28F7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7.9.68  Modification of section 1019B of the Act: client includes standard employer</w:t>
      </w:r>
      <w:r>
        <w:rPr>
          <w:noProof/>
        </w:rPr>
        <w:noBreakHyphen/>
        <w:t>sponsor</w:t>
      </w:r>
      <w:r>
        <w:rPr>
          <w:noProof/>
        </w:rPr>
        <w:tab/>
      </w:r>
      <w:r>
        <w:rPr>
          <w:noProof/>
        </w:rPr>
        <w:fldChar w:fldCharType="begin"/>
      </w:r>
      <w:r>
        <w:rPr>
          <w:noProof/>
        </w:rPr>
        <w:instrText xml:space="preserve"> PAGEREF _Toc158712750 \h </w:instrText>
      </w:r>
      <w:r>
        <w:rPr>
          <w:noProof/>
        </w:rPr>
      </w:r>
      <w:r>
        <w:rPr>
          <w:noProof/>
        </w:rPr>
        <w:fldChar w:fldCharType="separate"/>
      </w:r>
      <w:r>
        <w:rPr>
          <w:noProof/>
        </w:rPr>
        <w:t>476</w:t>
      </w:r>
      <w:r>
        <w:rPr>
          <w:noProof/>
        </w:rPr>
        <w:fldChar w:fldCharType="end"/>
      </w:r>
    </w:p>
    <w:p w14:paraId="3E1FD2A4" w14:textId="43CE7D7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7.9.69  Modification of provisions of Division 5 of Part 7.9 of the Act: terms of contract</w:t>
      </w:r>
      <w:r>
        <w:rPr>
          <w:noProof/>
        </w:rPr>
        <w:tab/>
      </w:r>
      <w:r>
        <w:rPr>
          <w:noProof/>
        </w:rPr>
        <w:fldChar w:fldCharType="begin"/>
      </w:r>
      <w:r>
        <w:rPr>
          <w:noProof/>
        </w:rPr>
        <w:instrText xml:space="preserve"> PAGEREF _Toc158712751 \h </w:instrText>
      </w:r>
      <w:r>
        <w:rPr>
          <w:noProof/>
        </w:rPr>
      </w:r>
      <w:r>
        <w:rPr>
          <w:noProof/>
        </w:rPr>
        <w:fldChar w:fldCharType="separate"/>
      </w:r>
      <w:r>
        <w:rPr>
          <w:noProof/>
        </w:rPr>
        <w:t>476</w:t>
      </w:r>
      <w:r>
        <w:rPr>
          <w:noProof/>
        </w:rPr>
        <w:fldChar w:fldCharType="end"/>
      </w:r>
    </w:p>
    <w:p w14:paraId="65E0A3DC" w14:textId="1EE0DA4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7.9.70  Modification of provisions of Division 5 of Part 7.9 of the Act: distributions</w:t>
      </w:r>
      <w:r>
        <w:rPr>
          <w:noProof/>
        </w:rPr>
        <w:tab/>
      </w:r>
      <w:r>
        <w:rPr>
          <w:noProof/>
        </w:rPr>
        <w:fldChar w:fldCharType="begin"/>
      </w:r>
      <w:r>
        <w:rPr>
          <w:noProof/>
        </w:rPr>
        <w:instrText xml:space="preserve"> PAGEREF _Toc158712752 \h </w:instrText>
      </w:r>
      <w:r>
        <w:rPr>
          <w:noProof/>
        </w:rPr>
      </w:r>
      <w:r>
        <w:rPr>
          <w:noProof/>
        </w:rPr>
        <w:fldChar w:fldCharType="separate"/>
      </w:r>
      <w:r>
        <w:rPr>
          <w:noProof/>
        </w:rPr>
        <w:t>477</w:t>
      </w:r>
      <w:r>
        <w:rPr>
          <w:noProof/>
        </w:rPr>
        <w:fldChar w:fldCharType="end"/>
      </w:r>
    </w:p>
    <w:p w14:paraId="75FB174B" w14:textId="5DAFFA7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8</w:t>
      </w:r>
      <w:r w:rsidRPr="00FC743A">
        <w:rPr>
          <w:noProof/>
          <w:color w:val="000000"/>
        </w:rPr>
        <w:t>—</w:t>
      </w:r>
      <w:r>
        <w:rPr>
          <w:noProof/>
        </w:rPr>
        <w:t>Other requirements</w:t>
      </w:r>
      <w:r>
        <w:rPr>
          <w:noProof/>
        </w:rPr>
        <w:tab/>
      </w:r>
      <w:r>
        <w:rPr>
          <w:noProof/>
        </w:rPr>
        <w:fldChar w:fldCharType="begin"/>
      </w:r>
      <w:r>
        <w:rPr>
          <w:noProof/>
        </w:rPr>
        <w:instrText xml:space="preserve"> PAGEREF _Toc158712753 \h </w:instrText>
      </w:r>
      <w:r>
        <w:rPr>
          <w:noProof/>
        </w:rPr>
      </w:r>
      <w:r>
        <w:rPr>
          <w:noProof/>
        </w:rPr>
        <w:fldChar w:fldCharType="separate"/>
      </w:r>
      <w:r>
        <w:rPr>
          <w:noProof/>
        </w:rPr>
        <w:t>478</w:t>
      </w:r>
      <w:r>
        <w:rPr>
          <w:noProof/>
        </w:rPr>
        <w:fldChar w:fldCharType="end"/>
      </w:r>
    </w:p>
    <w:p w14:paraId="3CB9996C" w14:textId="41444C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7.9.71  Modification of section 1017D of the Act: use of more than 1 document</w:t>
      </w:r>
      <w:r>
        <w:rPr>
          <w:noProof/>
        </w:rPr>
        <w:tab/>
      </w:r>
      <w:r>
        <w:rPr>
          <w:noProof/>
        </w:rPr>
        <w:fldChar w:fldCharType="begin"/>
      </w:r>
      <w:r>
        <w:rPr>
          <w:noProof/>
        </w:rPr>
        <w:instrText xml:space="preserve"> PAGEREF _Toc158712754 \h </w:instrText>
      </w:r>
      <w:r>
        <w:rPr>
          <w:noProof/>
        </w:rPr>
      </w:r>
      <w:r>
        <w:rPr>
          <w:noProof/>
        </w:rPr>
        <w:fldChar w:fldCharType="separate"/>
      </w:r>
      <w:r>
        <w:rPr>
          <w:noProof/>
        </w:rPr>
        <w:t>478</w:t>
      </w:r>
      <w:r>
        <w:rPr>
          <w:noProof/>
        </w:rPr>
        <w:fldChar w:fldCharType="end"/>
      </w:r>
    </w:p>
    <w:p w14:paraId="373FA3C5" w14:textId="613DF8E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7.9.71A  Periodic statements—exemption for passbook accounts</w:t>
      </w:r>
      <w:r>
        <w:rPr>
          <w:noProof/>
        </w:rPr>
        <w:tab/>
      </w:r>
      <w:r>
        <w:rPr>
          <w:noProof/>
        </w:rPr>
        <w:fldChar w:fldCharType="begin"/>
      </w:r>
      <w:r>
        <w:rPr>
          <w:noProof/>
        </w:rPr>
        <w:instrText xml:space="preserve"> PAGEREF _Toc158712755 \h </w:instrText>
      </w:r>
      <w:r>
        <w:rPr>
          <w:noProof/>
        </w:rPr>
      </w:r>
      <w:r>
        <w:rPr>
          <w:noProof/>
        </w:rPr>
        <w:fldChar w:fldCharType="separate"/>
      </w:r>
      <w:r>
        <w:rPr>
          <w:noProof/>
        </w:rPr>
        <w:t>478</w:t>
      </w:r>
      <w:r>
        <w:rPr>
          <w:noProof/>
        </w:rPr>
        <w:fldChar w:fldCharType="end"/>
      </w:r>
    </w:p>
    <w:p w14:paraId="1F7A86BF" w14:textId="5C8DD9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7.9.72  Modification of section 1017D of the Act: information already given</w:t>
      </w:r>
      <w:r>
        <w:rPr>
          <w:noProof/>
        </w:rPr>
        <w:tab/>
      </w:r>
      <w:r>
        <w:rPr>
          <w:noProof/>
        </w:rPr>
        <w:fldChar w:fldCharType="begin"/>
      </w:r>
      <w:r>
        <w:rPr>
          <w:noProof/>
        </w:rPr>
        <w:instrText xml:space="preserve"> PAGEREF _Toc158712756 \h </w:instrText>
      </w:r>
      <w:r>
        <w:rPr>
          <w:noProof/>
        </w:rPr>
      </w:r>
      <w:r>
        <w:rPr>
          <w:noProof/>
        </w:rPr>
        <w:fldChar w:fldCharType="separate"/>
      </w:r>
      <w:r>
        <w:rPr>
          <w:noProof/>
        </w:rPr>
        <w:t>478</w:t>
      </w:r>
      <w:r>
        <w:rPr>
          <w:noProof/>
        </w:rPr>
        <w:fldChar w:fldCharType="end"/>
      </w:r>
    </w:p>
    <w:p w14:paraId="3A90207C" w14:textId="688264B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7.9.73  Reporting periods: general</w:t>
      </w:r>
      <w:r>
        <w:rPr>
          <w:noProof/>
        </w:rPr>
        <w:tab/>
      </w:r>
      <w:r>
        <w:rPr>
          <w:noProof/>
        </w:rPr>
        <w:fldChar w:fldCharType="begin"/>
      </w:r>
      <w:r>
        <w:rPr>
          <w:noProof/>
        </w:rPr>
        <w:instrText xml:space="preserve"> PAGEREF _Toc158712757 \h </w:instrText>
      </w:r>
      <w:r>
        <w:rPr>
          <w:noProof/>
        </w:rPr>
      </w:r>
      <w:r>
        <w:rPr>
          <w:noProof/>
        </w:rPr>
        <w:fldChar w:fldCharType="separate"/>
      </w:r>
      <w:r>
        <w:rPr>
          <w:noProof/>
        </w:rPr>
        <w:t>478</w:t>
      </w:r>
      <w:r>
        <w:rPr>
          <w:noProof/>
        </w:rPr>
        <w:fldChar w:fldCharType="end"/>
      </w:r>
    </w:p>
    <w:p w14:paraId="463AF962" w14:textId="5B9F6DB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7.9.74  Form of application</w:t>
      </w:r>
      <w:r>
        <w:rPr>
          <w:noProof/>
        </w:rPr>
        <w:tab/>
      </w:r>
      <w:r>
        <w:rPr>
          <w:noProof/>
        </w:rPr>
        <w:fldChar w:fldCharType="begin"/>
      </w:r>
      <w:r>
        <w:rPr>
          <w:noProof/>
        </w:rPr>
        <w:instrText xml:space="preserve"> PAGEREF _Toc158712758 \h </w:instrText>
      </w:r>
      <w:r>
        <w:rPr>
          <w:noProof/>
        </w:rPr>
      </w:r>
      <w:r>
        <w:rPr>
          <w:noProof/>
        </w:rPr>
        <w:fldChar w:fldCharType="separate"/>
      </w:r>
      <w:r>
        <w:rPr>
          <w:noProof/>
        </w:rPr>
        <w:t>478</w:t>
      </w:r>
      <w:r>
        <w:rPr>
          <w:noProof/>
        </w:rPr>
        <w:fldChar w:fldCharType="end"/>
      </w:r>
    </w:p>
    <w:p w14:paraId="5F7DF140" w14:textId="5CAE877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7.9.74A  Periodic statements—requirement to state information as amounts in dollars</w:t>
      </w:r>
      <w:r>
        <w:rPr>
          <w:noProof/>
        </w:rPr>
        <w:tab/>
      </w:r>
      <w:r>
        <w:rPr>
          <w:noProof/>
        </w:rPr>
        <w:fldChar w:fldCharType="begin"/>
      </w:r>
      <w:r>
        <w:rPr>
          <w:noProof/>
        </w:rPr>
        <w:instrText xml:space="preserve"> PAGEREF _Toc158712759 \h </w:instrText>
      </w:r>
      <w:r>
        <w:rPr>
          <w:noProof/>
        </w:rPr>
      </w:r>
      <w:r>
        <w:rPr>
          <w:noProof/>
        </w:rPr>
        <w:fldChar w:fldCharType="separate"/>
      </w:r>
      <w:r>
        <w:rPr>
          <w:noProof/>
        </w:rPr>
        <w:t>478</w:t>
      </w:r>
      <w:r>
        <w:rPr>
          <w:noProof/>
        </w:rPr>
        <w:fldChar w:fldCharType="end"/>
      </w:r>
    </w:p>
    <w:p w14:paraId="7D9D1D7B" w14:textId="2D31485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7.9.75  Content of periodic statements: costs of transactions</w:t>
      </w:r>
      <w:r>
        <w:rPr>
          <w:noProof/>
        </w:rPr>
        <w:tab/>
      </w:r>
      <w:r>
        <w:rPr>
          <w:noProof/>
        </w:rPr>
        <w:fldChar w:fldCharType="begin"/>
      </w:r>
      <w:r>
        <w:rPr>
          <w:noProof/>
        </w:rPr>
        <w:instrText xml:space="preserve"> PAGEREF _Toc158712760 \h </w:instrText>
      </w:r>
      <w:r>
        <w:rPr>
          <w:noProof/>
        </w:rPr>
      </w:r>
      <w:r>
        <w:rPr>
          <w:noProof/>
        </w:rPr>
        <w:fldChar w:fldCharType="separate"/>
      </w:r>
      <w:r>
        <w:rPr>
          <w:noProof/>
        </w:rPr>
        <w:t>479</w:t>
      </w:r>
      <w:r>
        <w:rPr>
          <w:noProof/>
        </w:rPr>
        <w:fldChar w:fldCharType="end"/>
      </w:r>
    </w:p>
    <w:p w14:paraId="0F80F3D8" w14:textId="6F9B6D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7.9.75A  Ways of giving information</w:t>
      </w:r>
      <w:r>
        <w:rPr>
          <w:noProof/>
        </w:rPr>
        <w:tab/>
      </w:r>
      <w:r>
        <w:rPr>
          <w:noProof/>
        </w:rPr>
        <w:fldChar w:fldCharType="begin"/>
      </w:r>
      <w:r>
        <w:rPr>
          <w:noProof/>
        </w:rPr>
        <w:instrText xml:space="preserve"> PAGEREF _Toc158712761 \h </w:instrText>
      </w:r>
      <w:r>
        <w:rPr>
          <w:noProof/>
        </w:rPr>
      </w:r>
      <w:r>
        <w:rPr>
          <w:noProof/>
        </w:rPr>
        <w:fldChar w:fldCharType="separate"/>
      </w:r>
      <w:r>
        <w:rPr>
          <w:noProof/>
        </w:rPr>
        <w:t>480</w:t>
      </w:r>
      <w:r>
        <w:rPr>
          <w:noProof/>
        </w:rPr>
        <w:fldChar w:fldCharType="end"/>
      </w:r>
    </w:p>
    <w:p w14:paraId="61175832" w14:textId="7AE78A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7.9.75B  Information in electronic form</w:t>
      </w:r>
      <w:r>
        <w:rPr>
          <w:noProof/>
        </w:rPr>
        <w:tab/>
      </w:r>
      <w:r>
        <w:rPr>
          <w:noProof/>
        </w:rPr>
        <w:fldChar w:fldCharType="begin"/>
      </w:r>
      <w:r>
        <w:rPr>
          <w:noProof/>
        </w:rPr>
        <w:instrText xml:space="preserve"> PAGEREF _Toc158712762 \h </w:instrText>
      </w:r>
      <w:r>
        <w:rPr>
          <w:noProof/>
        </w:rPr>
      </w:r>
      <w:r>
        <w:rPr>
          <w:noProof/>
        </w:rPr>
        <w:fldChar w:fldCharType="separate"/>
      </w:r>
      <w:r>
        <w:rPr>
          <w:noProof/>
        </w:rPr>
        <w:t>481</w:t>
      </w:r>
      <w:r>
        <w:rPr>
          <w:noProof/>
        </w:rPr>
        <w:fldChar w:fldCharType="end"/>
      </w:r>
    </w:p>
    <w:p w14:paraId="579F4EE1" w14:textId="2292432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7.9.75C  Periodic statements—disclosure of amounts</w:t>
      </w:r>
      <w:r>
        <w:rPr>
          <w:noProof/>
        </w:rPr>
        <w:tab/>
      </w:r>
      <w:r>
        <w:rPr>
          <w:noProof/>
        </w:rPr>
        <w:fldChar w:fldCharType="begin"/>
      </w:r>
      <w:r>
        <w:rPr>
          <w:noProof/>
        </w:rPr>
        <w:instrText xml:space="preserve"> PAGEREF _Toc158712763 \h </w:instrText>
      </w:r>
      <w:r>
        <w:rPr>
          <w:noProof/>
        </w:rPr>
      </w:r>
      <w:r>
        <w:rPr>
          <w:noProof/>
        </w:rPr>
        <w:fldChar w:fldCharType="separate"/>
      </w:r>
      <w:r>
        <w:rPr>
          <w:noProof/>
        </w:rPr>
        <w:t>481</w:t>
      </w:r>
      <w:r>
        <w:rPr>
          <w:noProof/>
        </w:rPr>
        <w:fldChar w:fldCharType="end"/>
      </w:r>
    </w:p>
    <w:p w14:paraId="15A1E9FA" w14:textId="0D9290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7.9.75D  Periodic statements—disclosure of amounts</w:t>
      </w:r>
      <w:r>
        <w:rPr>
          <w:noProof/>
        </w:rPr>
        <w:tab/>
      </w:r>
      <w:r>
        <w:rPr>
          <w:noProof/>
        </w:rPr>
        <w:fldChar w:fldCharType="begin"/>
      </w:r>
      <w:r>
        <w:rPr>
          <w:noProof/>
        </w:rPr>
        <w:instrText xml:space="preserve"> PAGEREF _Toc158712764 \h </w:instrText>
      </w:r>
      <w:r>
        <w:rPr>
          <w:noProof/>
        </w:rPr>
      </w:r>
      <w:r>
        <w:rPr>
          <w:noProof/>
        </w:rPr>
        <w:fldChar w:fldCharType="separate"/>
      </w:r>
      <w:r>
        <w:rPr>
          <w:noProof/>
        </w:rPr>
        <w:t>481</w:t>
      </w:r>
      <w:r>
        <w:rPr>
          <w:noProof/>
        </w:rPr>
        <w:fldChar w:fldCharType="end"/>
      </w:r>
    </w:p>
    <w:p w14:paraId="7F99E64C" w14:textId="37472BB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7.9.76  Consents to certain statements</w:t>
      </w:r>
      <w:r>
        <w:rPr>
          <w:noProof/>
        </w:rPr>
        <w:tab/>
      </w:r>
      <w:r>
        <w:rPr>
          <w:noProof/>
        </w:rPr>
        <w:fldChar w:fldCharType="begin"/>
      </w:r>
      <w:r>
        <w:rPr>
          <w:noProof/>
        </w:rPr>
        <w:instrText xml:space="preserve"> PAGEREF _Toc158712765 \h </w:instrText>
      </w:r>
      <w:r>
        <w:rPr>
          <w:noProof/>
        </w:rPr>
      </w:r>
      <w:r>
        <w:rPr>
          <w:noProof/>
        </w:rPr>
        <w:fldChar w:fldCharType="separate"/>
      </w:r>
      <w:r>
        <w:rPr>
          <w:noProof/>
        </w:rPr>
        <w:t>482</w:t>
      </w:r>
      <w:r>
        <w:rPr>
          <w:noProof/>
        </w:rPr>
        <w:fldChar w:fldCharType="end"/>
      </w:r>
    </w:p>
    <w:p w14:paraId="4E24E094" w14:textId="63A74A5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7.9.77  Alternative dispute resolution requirements—product issuer that is not a financial services licensee</w:t>
      </w:r>
      <w:r>
        <w:rPr>
          <w:noProof/>
        </w:rPr>
        <w:tab/>
      </w:r>
      <w:r>
        <w:rPr>
          <w:noProof/>
        </w:rPr>
        <w:fldChar w:fldCharType="begin"/>
      </w:r>
      <w:r>
        <w:rPr>
          <w:noProof/>
        </w:rPr>
        <w:instrText xml:space="preserve"> PAGEREF _Toc158712766 \h </w:instrText>
      </w:r>
      <w:r>
        <w:rPr>
          <w:noProof/>
        </w:rPr>
      </w:r>
      <w:r>
        <w:rPr>
          <w:noProof/>
        </w:rPr>
        <w:fldChar w:fldCharType="separate"/>
      </w:r>
      <w:r>
        <w:rPr>
          <w:noProof/>
        </w:rPr>
        <w:t>482</w:t>
      </w:r>
      <w:r>
        <w:rPr>
          <w:noProof/>
        </w:rPr>
        <w:fldChar w:fldCharType="end"/>
      </w:r>
    </w:p>
    <w:p w14:paraId="77C8680D" w14:textId="6985772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7.9.77A  Dispute resolution requirement—obligation to cooperate with AFCA</w:t>
      </w:r>
      <w:r>
        <w:rPr>
          <w:noProof/>
        </w:rPr>
        <w:tab/>
      </w:r>
      <w:r>
        <w:rPr>
          <w:noProof/>
        </w:rPr>
        <w:fldChar w:fldCharType="begin"/>
      </w:r>
      <w:r>
        <w:rPr>
          <w:noProof/>
        </w:rPr>
        <w:instrText xml:space="preserve"> PAGEREF _Toc158712767 \h </w:instrText>
      </w:r>
      <w:r>
        <w:rPr>
          <w:noProof/>
        </w:rPr>
      </w:r>
      <w:r>
        <w:rPr>
          <w:noProof/>
        </w:rPr>
        <w:fldChar w:fldCharType="separate"/>
      </w:r>
      <w:r>
        <w:rPr>
          <w:noProof/>
        </w:rPr>
        <w:t>482</w:t>
      </w:r>
      <w:r>
        <w:rPr>
          <w:noProof/>
        </w:rPr>
        <w:fldChar w:fldCharType="end"/>
      </w:r>
    </w:p>
    <w:p w14:paraId="5E4CB634" w14:textId="1790D9D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7.9.78  Additional statement: trustee required to provide benefits</w:t>
      </w:r>
      <w:r>
        <w:rPr>
          <w:noProof/>
        </w:rPr>
        <w:tab/>
      </w:r>
      <w:r>
        <w:rPr>
          <w:noProof/>
        </w:rPr>
        <w:fldChar w:fldCharType="begin"/>
      </w:r>
      <w:r>
        <w:rPr>
          <w:noProof/>
        </w:rPr>
        <w:instrText xml:space="preserve"> PAGEREF _Toc158712768 \h </w:instrText>
      </w:r>
      <w:r>
        <w:rPr>
          <w:noProof/>
        </w:rPr>
      </w:r>
      <w:r>
        <w:rPr>
          <w:noProof/>
        </w:rPr>
        <w:fldChar w:fldCharType="separate"/>
      </w:r>
      <w:r>
        <w:rPr>
          <w:noProof/>
        </w:rPr>
        <w:t>482</w:t>
      </w:r>
      <w:r>
        <w:rPr>
          <w:noProof/>
        </w:rPr>
        <w:fldChar w:fldCharType="end"/>
      </w:r>
    </w:p>
    <w:p w14:paraId="3FF6CFEB" w14:textId="1A1373F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7.9.80B  Short selling of certain warrants</w:t>
      </w:r>
      <w:r>
        <w:rPr>
          <w:noProof/>
        </w:rPr>
        <w:tab/>
      </w:r>
      <w:r>
        <w:rPr>
          <w:noProof/>
        </w:rPr>
        <w:fldChar w:fldCharType="begin"/>
      </w:r>
      <w:r>
        <w:rPr>
          <w:noProof/>
        </w:rPr>
        <w:instrText xml:space="preserve"> PAGEREF _Toc158712769 \h </w:instrText>
      </w:r>
      <w:r>
        <w:rPr>
          <w:noProof/>
        </w:rPr>
      </w:r>
      <w:r>
        <w:rPr>
          <w:noProof/>
        </w:rPr>
        <w:fldChar w:fldCharType="separate"/>
      </w:r>
      <w:r>
        <w:rPr>
          <w:noProof/>
        </w:rPr>
        <w:t>483</w:t>
      </w:r>
      <w:r>
        <w:rPr>
          <w:noProof/>
        </w:rPr>
        <w:fldChar w:fldCharType="end"/>
      </w:r>
    </w:p>
    <w:p w14:paraId="7A933AD7" w14:textId="70E075A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9—Additional requirements for transfer of lost members and lost RSA holders</w:t>
      </w:r>
      <w:r>
        <w:rPr>
          <w:noProof/>
        </w:rPr>
        <w:tab/>
      </w:r>
      <w:r>
        <w:rPr>
          <w:noProof/>
        </w:rPr>
        <w:fldChar w:fldCharType="begin"/>
      </w:r>
      <w:r>
        <w:rPr>
          <w:noProof/>
        </w:rPr>
        <w:instrText xml:space="preserve"> PAGEREF _Toc158712770 \h </w:instrText>
      </w:r>
      <w:r>
        <w:rPr>
          <w:noProof/>
        </w:rPr>
      </w:r>
      <w:r>
        <w:rPr>
          <w:noProof/>
        </w:rPr>
        <w:fldChar w:fldCharType="separate"/>
      </w:r>
      <w:r>
        <w:rPr>
          <w:noProof/>
        </w:rPr>
        <w:t>484</w:t>
      </w:r>
      <w:r>
        <w:rPr>
          <w:noProof/>
        </w:rPr>
        <w:fldChar w:fldCharType="end"/>
      </w:r>
    </w:p>
    <w:p w14:paraId="7D454D74" w14:textId="61CDF7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7.9.81  Lost members</w:t>
      </w:r>
      <w:r>
        <w:rPr>
          <w:noProof/>
        </w:rPr>
        <w:tab/>
      </w:r>
      <w:r>
        <w:rPr>
          <w:noProof/>
        </w:rPr>
        <w:fldChar w:fldCharType="begin"/>
      </w:r>
      <w:r>
        <w:rPr>
          <w:noProof/>
        </w:rPr>
        <w:instrText xml:space="preserve"> PAGEREF _Toc158712771 \h </w:instrText>
      </w:r>
      <w:r>
        <w:rPr>
          <w:noProof/>
        </w:rPr>
      </w:r>
      <w:r>
        <w:rPr>
          <w:noProof/>
        </w:rPr>
        <w:fldChar w:fldCharType="separate"/>
      </w:r>
      <w:r>
        <w:rPr>
          <w:noProof/>
        </w:rPr>
        <w:t>484</w:t>
      </w:r>
      <w:r>
        <w:rPr>
          <w:noProof/>
        </w:rPr>
        <w:fldChar w:fldCharType="end"/>
      </w:r>
    </w:p>
    <w:p w14:paraId="66B94503" w14:textId="513FE4F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7.9.82  Lost RSA holders</w:t>
      </w:r>
      <w:r>
        <w:rPr>
          <w:noProof/>
        </w:rPr>
        <w:tab/>
      </w:r>
      <w:r>
        <w:rPr>
          <w:noProof/>
        </w:rPr>
        <w:fldChar w:fldCharType="begin"/>
      </w:r>
      <w:r>
        <w:rPr>
          <w:noProof/>
        </w:rPr>
        <w:instrText xml:space="preserve"> PAGEREF _Toc158712772 \h </w:instrText>
      </w:r>
      <w:r>
        <w:rPr>
          <w:noProof/>
        </w:rPr>
      </w:r>
      <w:r>
        <w:rPr>
          <w:noProof/>
        </w:rPr>
        <w:fldChar w:fldCharType="separate"/>
      </w:r>
      <w:r>
        <w:rPr>
          <w:noProof/>
        </w:rPr>
        <w:t>484</w:t>
      </w:r>
      <w:r>
        <w:rPr>
          <w:noProof/>
        </w:rPr>
        <w:fldChar w:fldCharType="end"/>
      </w:r>
    </w:p>
    <w:p w14:paraId="6C997741" w14:textId="7392F53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11—Superannuation to which arrangements apply under the Family Law Act 1975</w:t>
      </w:r>
      <w:r>
        <w:rPr>
          <w:noProof/>
        </w:rPr>
        <w:tab/>
      </w:r>
      <w:r>
        <w:rPr>
          <w:noProof/>
        </w:rPr>
        <w:fldChar w:fldCharType="begin"/>
      </w:r>
      <w:r>
        <w:rPr>
          <w:noProof/>
        </w:rPr>
        <w:instrText xml:space="preserve"> PAGEREF _Toc158712773 \h </w:instrText>
      </w:r>
      <w:r>
        <w:rPr>
          <w:noProof/>
        </w:rPr>
      </w:r>
      <w:r>
        <w:rPr>
          <w:noProof/>
        </w:rPr>
        <w:fldChar w:fldCharType="separate"/>
      </w:r>
      <w:r>
        <w:rPr>
          <w:noProof/>
        </w:rPr>
        <w:t>485</w:t>
      </w:r>
      <w:r>
        <w:rPr>
          <w:noProof/>
        </w:rPr>
        <w:fldChar w:fldCharType="end"/>
      </w:r>
    </w:p>
    <w:p w14:paraId="5680D96B" w14:textId="09778B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7.9.84  Definitions for Division 11</w:t>
      </w:r>
      <w:r>
        <w:rPr>
          <w:noProof/>
        </w:rPr>
        <w:tab/>
      </w:r>
      <w:r>
        <w:rPr>
          <w:noProof/>
        </w:rPr>
        <w:fldChar w:fldCharType="begin"/>
      </w:r>
      <w:r>
        <w:rPr>
          <w:noProof/>
        </w:rPr>
        <w:instrText xml:space="preserve"> PAGEREF _Toc158712774 \h </w:instrText>
      </w:r>
      <w:r>
        <w:rPr>
          <w:noProof/>
        </w:rPr>
      </w:r>
      <w:r>
        <w:rPr>
          <w:noProof/>
        </w:rPr>
        <w:fldChar w:fldCharType="separate"/>
      </w:r>
      <w:r>
        <w:rPr>
          <w:noProof/>
        </w:rPr>
        <w:t>485</w:t>
      </w:r>
      <w:r>
        <w:rPr>
          <w:noProof/>
        </w:rPr>
        <w:fldChar w:fldCharType="end"/>
      </w:r>
    </w:p>
    <w:p w14:paraId="2821D1C9" w14:textId="5727780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7.9.85  Application of Division 11</w:t>
      </w:r>
      <w:r>
        <w:rPr>
          <w:noProof/>
        </w:rPr>
        <w:tab/>
      </w:r>
      <w:r>
        <w:rPr>
          <w:noProof/>
        </w:rPr>
        <w:fldChar w:fldCharType="begin"/>
      </w:r>
      <w:r>
        <w:rPr>
          <w:noProof/>
        </w:rPr>
        <w:instrText xml:space="preserve"> PAGEREF _Toc158712775 \h </w:instrText>
      </w:r>
      <w:r>
        <w:rPr>
          <w:noProof/>
        </w:rPr>
      </w:r>
      <w:r>
        <w:rPr>
          <w:noProof/>
        </w:rPr>
        <w:fldChar w:fldCharType="separate"/>
      </w:r>
      <w:r>
        <w:rPr>
          <w:noProof/>
        </w:rPr>
        <w:t>485</w:t>
      </w:r>
      <w:r>
        <w:rPr>
          <w:noProof/>
        </w:rPr>
        <w:fldChar w:fldCharType="end"/>
      </w:r>
    </w:p>
    <w:p w14:paraId="3479E5C9" w14:textId="0A0D1D9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7.9.86  Acquisition of financial product</w:t>
      </w:r>
      <w:r>
        <w:rPr>
          <w:noProof/>
        </w:rPr>
        <w:tab/>
      </w:r>
      <w:r>
        <w:rPr>
          <w:noProof/>
        </w:rPr>
        <w:fldChar w:fldCharType="begin"/>
      </w:r>
      <w:r>
        <w:rPr>
          <w:noProof/>
        </w:rPr>
        <w:instrText xml:space="preserve"> PAGEREF _Toc158712776 \h </w:instrText>
      </w:r>
      <w:r>
        <w:rPr>
          <w:noProof/>
        </w:rPr>
      </w:r>
      <w:r>
        <w:rPr>
          <w:noProof/>
        </w:rPr>
        <w:fldChar w:fldCharType="separate"/>
      </w:r>
      <w:r>
        <w:rPr>
          <w:noProof/>
        </w:rPr>
        <w:t>485</w:t>
      </w:r>
      <w:r>
        <w:rPr>
          <w:noProof/>
        </w:rPr>
        <w:fldChar w:fldCharType="end"/>
      </w:r>
    </w:p>
    <w:p w14:paraId="43711AB9" w14:textId="749523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7.9.87  Modification of Act: Product Disclosure Statement in relation to superannuation interest under Family Law Act</w:t>
      </w:r>
      <w:r>
        <w:rPr>
          <w:noProof/>
        </w:rPr>
        <w:tab/>
      </w:r>
      <w:r>
        <w:rPr>
          <w:noProof/>
        </w:rPr>
        <w:fldChar w:fldCharType="begin"/>
      </w:r>
      <w:r>
        <w:rPr>
          <w:noProof/>
        </w:rPr>
        <w:instrText xml:space="preserve"> PAGEREF _Toc158712777 \h </w:instrText>
      </w:r>
      <w:r>
        <w:rPr>
          <w:noProof/>
        </w:rPr>
      </w:r>
      <w:r>
        <w:rPr>
          <w:noProof/>
        </w:rPr>
        <w:fldChar w:fldCharType="separate"/>
      </w:r>
      <w:r>
        <w:rPr>
          <w:noProof/>
        </w:rPr>
        <w:t>486</w:t>
      </w:r>
      <w:r>
        <w:rPr>
          <w:noProof/>
        </w:rPr>
        <w:fldChar w:fldCharType="end"/>
      </w:r>
    </w:p>
    <w:p w14:paraId="651B08B7" w14:textId="3D2C4E4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7.9.88  Statement content in relation to superannuation interest under Family Law Act: superannuation fund</w:t>
      </w:r>
      <w:r>
        <w:rPr>
          <w:noProof/>
        </w:rPr>
        <w:tab/>
      </w:r>
      <w:r>
        <w:rPr>
          <w:noProof/>
        </w:rPr>
        <w:fldChar w:fldCharType="begin"/>
      </w:r>
      <w:r>
        <w:rPr>
          <w:noProof/>
        </w:rPr>
        <w:instrText xml:space="preserve"> PAGEREF _Toc158712778 \h </w:instrText>
      </w:r>
      <w:r>
        <w:rPr>
          <w:noProof/>
        </w:rPr>
      </w:r>
      <w:r>
        <w:rPr>
          <w:noProof/>
        </w:rPr>
        <w:fldChar w:fldCharType="separate"/>
      </w:r>
      <w:r>
        <w:rPr>
          <w:noProof/>
        </w:rPr>
        <w:t>486</w:t>
      </w:r>
      <w:r>
        <w:rPr>
          <w:noProof/>
        </w:rPr>
        <w:fldChar w:fldCharType="end"/>
      </w:r>
    </w:p>
    <w:p w14:paraId="592A48B1" w14:textId="3B50178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7.9.89  Statement content in relation to superannuation interest under Family Law Act: RSA</w:t>
      </w:r>
      <w:r>
        <w:rPr>
          <w:noProof/>
        </w:rPr>
        <w:tab/>
      </w:r>
      <w:r>
        <w:rPr>
          <w:noProof/>
        </w:rPr>
        <w:fldChar w:fldCharType="begin"/>
      </w:r>
      <w:r>
        <w:rPr>
          <w:noProof/>
        </w:rPr>
        <w:instrText xml:space="preserve"> PAGEREF _Toc158712779 \h </w:instrText>
      </w:r>
      <w:r>
        <w:rPr>
          <w:noProof/>
        </w:rPr>
      </w:r>
      <w:r>
        <w:rPr>
          <w:noProof/>
        </w:rPr>
        <w:fldChar w:fldCharType="separate"/>
      </w:r>
      <w:r>
        <w:rPr>
          <w:noProof/>
        </w:rPr>
        <w:t>487</w:t>
      </w:r>
      <w:r>
        <w:rPr>
          <w:noProof/>
        </w:rPr>
        <w:fldChar w:fldCharType="end"/>
      </w:r>
    </w:p>
    <w:p w14:paraId="4633A3F0" w14:textId="5C89DA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7.9.90  Information for existing holders of superannuation products and RSAs in relation to superannuation interest</w:t>
      </w:r>
      <w:r>
        <w:rPr>
          <w:noProof/>
        </w:rPr>
        <w:tab/>
      </w:r>
      <w:r>
        <w:rPr>
          <w:noProof/>
        </w:rPr>
        <w:fldChar w:fldCharType="begin"/>
      </w:r>
      <w:r>
        <w:rPr>
          <w:noProof/>
        </w:rPr>
        <w:instrText xml:space="preserve"> PAGEREF _Toc158712780 \h </w:instrText>
      </w:r>
      <w:r>
        <w:rPr>
          <w:noProof/>
        </w:rPr>
      </w:r>
      <w:r>
        <w:rPr>
          <w:noProof/>
        </w:rPr>
        <w:fldChar w:fldCharType="separate"/>
      </w:r>
      <w:r>
        <w:rPr>
          <w:noProof/>
        </w:rPr>
        <w:t>487</w:t>
      </w:r>
      <w:r>
        <w:rPr>
          <w:noProof/>
        </w:rPr>
        <w:fldChar w:fldCharType="end"/>
      </w:r>
    </w:p>
    <w:p w14:paraId="46250EC5" w14:textId="3D4074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7.9.91  Periodic statements for retail clients for financial products that have an investment component—general</w:t>
      </w:r>
      <w:r>
        <w:rPr>
          <w:noProof/>
        </w:rPr>
        <w:tab/>
      </w:r>
      <w:r>
        <w:rPr>
          <w:noProof/>
        </w:rPr>
        <w:fldChar w:fldCharType="begin"/>
      </w:r>
      <w:r>
        <w:rPr>
          <w:noProof/>
        </w:rPr>
        <w:instrText xml:space="preserve"> PAGEREF _Toc158712781 \h </w:instrText>
      </w:r>
      <w:r>
        <w:rPr>
          <w:noProof/>
        </w:rPr>
      </w:r>
      <w:r>
        <w:rPr>
          <w:noProof/>
        </w:rPr>
        <w:fldChar w:fldCharType="separate"/>
      </w:r>
      <w:r>
        <w:rPr>
          <w:noProof/>
        </w:rPr>
        <w:t>487</w:t>
      </w:r>
      <w:r>
        <w:rPr>
          <w:noProof/>
        </w:rPr>
        <w:fldChar w:fldCharType="end"/>
      </w:r>
    </w:p>
    <w:p w14:paraId="16B47A94" w14:textId="788085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7.9.92  Periodic statements for retail clients for financial products that have an investment component—superannuation interest other than percentage</w:t>
      </w:r>
      <w:r>
        <w:rPr>
          <w:noProof/>
        </w:rPr>
        <w:noBreakHyphen/>
        <w:t>only interest</w:t>
      </w:r>
      <w:r>
        <w:rPr>
          <w:noProof/>
        </w:rPr>
        <w:tab/>
      </w:r>
      <w:r>
        <w:rPr>
          <w:noProof/>
        </w:rPr>
        <w:fldChar w:fldCharType="begin"/>
      </w:r>
      <w:r>
        <w:rPr>
          <w:noProof/>
        </w:rPr>
        <w:instrText xml:space="preserve"> PAGEREF _Toc158712782 \h </w:instrText>
      </w:r>
      <w:r>
        <w:rPr>
          <w:noProof/>
        </w:rPr>
      </w:r>
      <w:r>
        <w:rPr>
          <w:noProof/>
        </w:rPr>
        <w:fldChar w:fldCharType="separate"/>
      </w:r>
      <w:r>
        <w:rPr>
          <w:noProof/>
        </w:rPr>
        <w:t>487</w:t>
      </w:r>
      <w:r>
        <w:rPr>
          <w:noProof/>
        </w:rPr>
        <w:fldChar w:fldCharType="end"/>
      </w:r>
    </w:p>
    <w:p w14:paraId="24CF3F88" w14:textId="6148D38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7.9.93  Trustees of superannuation entities—additional obligation to provide information in relation to superannuation interest</w:t>
      </w:r>
      <w:r>
        <w:rPr>
          <w:noProof/>
        </w:rPr>
        <w:tab/>
      </w:r>
      <w:r>
        <w:rPr>
          <w:noProof/>
        </w:rPr>
        <w:fldChar w:fldCharType="begin"/>
      </w:r>
      <w:r>
        <w:rPr>
          <w:noProof/>
        </w:rPr>
        <w:instrText xml:space="preserve"> PAGEREF _Toc158712783 \h </w:instrText>
      </w:r>
      <w:r>
        <w:rPr>
          <w:noProof/>
        </w:rPr>
      </w:r>
      <w:r>
        <w:rPr>
          <w:noProof/>
        </w:rPr>
        <w:fldChar w:fldCharType="separate"/>
      </w:r>
      <w:r>
        <w:rPr>
          <w:noProof/>
        </w:rPr>
        <w:t>488</w:t>
      </w:r>
      <w:r>
        <w:rPr>
          <w:noProof/>
        </w:rPr>
        <w:fldChar w:fldCharType="end"/>
      </w:r>
    </w:p>
    <w:p w14:paraId="3DC50DFC" w14:textId="5431D8C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7.9.94  Division 5 of Part 7.9 of the Act not to apply in relation to non</w:t>
      </w:r>
      <w:r>
        <w:rPr>
          <w:noProof/>
        </w:rPr>
        <w:noBreakHyphen/>
        <w:t>member spouse</w:t>
      </w:r>
      <w:r>
        <w:rPr>
          <w:noProof/>
        </w:rPr>
        <w:tab/>
      </w:r>
      <w:r>
        <w:rPr>
          <w:noProof/>
        </w:rPr>
        <w:fldChar w:fldCharType="begin"/>
      </w:r>
      <w:r>
        <w:rPr>
          <w:noProof/>
        </w:rPr>
        <w:instrText xml:space="preserve"> PAGEREF _Toc158712784 \h </w:instrText>
      </w:r>
      <w:r>
        <w:rPr>
          <w:noProof/>
        </w:rPr>
      </w:r>
      <w:r>
        <w:rPr>
          <w:noProof/>
        </w:rPr>
        <w:fldChar w:fldCharType="separate"/>
      </w:r>
      <w:r>
        <w:rPr>
          <w:noProof/>
        </w:rPr>
        <w:t>488</w:t>
      </w:r>
      <w:r>
        <w:rPr>
          <w:noProof/>
        </w:rPr>
        <w:fldChar w:fldCharType="end"/>
      </w:r>
    </w:p>
    <w:p w14:paraId="4BB6649F" w14:textId="24760D7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12—Medical indemnity insurance</w:t>
      </w:r>
      <w:r>
        <w:rPr>
          <w:noProof/>
        </w:rPr>
        <w:tab/>
      </w:r>
      <w:r>
        <w:rPr>
          <w:noProof/>
        </w:rPr>
        <w:fldChar w:fldCharType="begin"/>
      </w:r>
      <w:r>
        <w:rPr>
          <w:noProof/>
        </w:rPr>
        <w:instrText xml:space="preserve"> PAGEREF _Toc158712785 \h </w:instrText>
      </w:r>
      <w:r>
        <w:rPr>
          <w:noProof/>
        </w:rPr>
      </w:r>
      <w:r>
        <w:rPr>
          <w:noProof/>
        </w:rPr>
        <w:fldChar w:fldCharType="separate"/>
      </w:r>
      <w:r>
        <w:rPr>
          <w:noProof/>
        </w:rPr>
        <w:t>489</w:t>
      </w:r>
      <w:r>
        <w:rPr>
          <w:noProof/>
        </w:rPr>
        <w:fldChar w:fldCharType="end"/>
      </w:r>
    </w:p>
    <w:p w14:paraId="2F3F0D11" w14:textId="3826F0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7.9.95  Medical indemnity insurance—exemption from product disclosure provisions</w:t>
      </w:r>
      <w:r>
        <w:rPr>
          <w:noProof/>
        </w:rPr>
        <w:tab/>
      </w:r>
      <w:r>
        <w:rPr>
          <w:noProof/>
        </w:rPr>
        <w:fldChar w:fldCharType="begin"/>
      </w:r>
      <w:r>
        <w:rPr>
          <w:noProof/>
        </w:rPr>
        <w:instrText xml:space="preserve"> PAGEREF _Toc158712786 \h </w:instrText>
      </w:r>
      <w:r>
        <w:rPr>
          <w:noProof/>
        </w:rPr>
      </w:r>
      <w:r>
        <w:rPr>
          <w:noProof/>
        </w:rPr>
        <w:fldChar w:fldCharType="separate"/>
      </w:r>
      <w:r>
        <w:rPr>
          <w:noProof/>
        </w:rPr>
        <w:t>489</w:t>
      </w:r>
      <w:r>
        <w:rPr>
          <w:noProof/>
        </w:rPr>
        <w:fldChar w:fldCharType="end"/>
      </w:r>
    </w:p>
    <w:p w14:paraId="20E50ED5" w14:textId="6B0A44A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13—Unsolicited offers to purchase financial products off market</w:t>
      </w:r>
      <w:r>
        <w:rPr>
          <w:noProof/>
        </w:rPr>
        <w:tab/>
      </w:r>
      <w:r>
        <w:rPr>
          <w:noProof/>
        </w:rPr>
        <w:fldChar w:fldCharType="begin"/>
      </w:r>
      <w:r>
        <w:rPr>
          <w:noProof/>
        </w:rPr>
        <w:instrText xml:space="preserve"> PAGEREF _Toc158712787 \h </w:instrText>
      </w:r>
      <w:r>
        <w:rPr>
          <w:noProof/>
        </w:rPr>
      </w:r>
      <w:r>
        <w:rPr>
          <w:noProof/>
        </w:rPr>
        <w:fldChar w:fldCharType="separate"/>
      </w:r>
      <w:r>
        <w:rPr>
          <w:noProof/>
        </w:rPr>
        <w:t>490</w:t>
      </w:r>
      <w:r>
        <w:rPr>
          <w:noProof/>
        </w:rPr>
        <w:fldChar w:fldCharType="end"/>
      </w:r>
    </w:p>
    <w:p w14:paraId="0E76CA10" w14:textId="07D79047"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A—Modifying provisions of Part 7.9 of the Act: offers to purchase securities in certain proprietary companies</w:t>
      </w:r>
      <w:r>
        <w:rPr>
          <w:noProof/>
        </w:rPr>
        <w:tab/>
      </w:r>
      <w:r>
        <w:rPr>
          <w:noProof/>
        </w:rPr>
        <w:fldChar w:fldCharType="begin"/>
      </w:r>
      <w:r>
        <w:rPr>
          <w:noProof/>
        </w:rPr>
        <w:instrText xml:space="preserve"> PAGEREF _Toc158712788 \h </w:instrText>
      </w:r>
      <w:r>
        <w:rPr>
          <w:noProof/>
        </w:rPr>
      </w:r>
      <w:r>
        <w:rPr>
          <w:noProof/>
        </w:rPr>
        <w:fldChar w:fldCharType="separate"/>
      </w:r>
      <w:r>
        <w:rPr>
          <w:noProof/>
        </w:rPr>
        <w:t>490</w:t>
      </w:r>
      <w:r>
        <w:rPr>
          <w:noProof/>
        </w:rPr>
        <w:fldChar w:fldCharType="end"/>
      </w:r>
    </w:p>
    <w:p w14:paraId="7E3282A1" w14:textId="75A3E34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7.9.95A  Offers to which this Subdivision applies</w:t>
      </w:r>
      <w:r>
        <w:rPr>
          <w:noProof/>
        </w:rPr>
        <w:tab/>
      </w:r>
      <w:r>
        <w:rPr>
          <w:noProof/>
        </w:rPr>
        <w:fldChar w:fldCharType="begin"/>
      </w:r>
      <w:r>
        <w:rPr>
          <w:noProof/>
        </w:rPr>
        <w:instrText xml:space="preserve"> PAGEREF _Toc158712789 \h </w:instrText>
      </w:r>
      <w:r>
        <w:rPr>
          <w:noProof/>
        </w:rPr>
      </w:r>
      <w:r>
        <w:rPr>
          <w:noProof/>
        </w:rPr>
        <w:fldChar w:fldCharType="separate"/>
      </w:r>
      <w:r>
        <w:rPr>
          <w:noProof/>
        </w:rPr>
        <w:t>490</w:t>
      </w:r>
      <w:r>
        <w:rPr>
          <w:noProof/>
        </w:rPr>
        <w:fldChar w:fldCharType="end"/>
      </w:r>
    </w:p>
    <w:p w14:paraId="72CA4AE1" w14:textId="7A7D9DD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7.9.95B  Duration and withdrawal of the offer</w:t>
      </w:r>
      <w:r>
        <w:rPr>
          <w:noProof/>
        </w:rPr>
        <w:tab/>
      </w:r>
      <w:r>
        <w:rPr>
          <w:noProof/>
        </w:rPr>
        <w:fldChar w:fldCharType="begin"/>
      </w:r>
      <w:r>
        <w:rPr>
          <w:noProof/>
        </w:rPr>
        <w:instrText xml:space="preserve"> PAGEREF _Toc158712790 \h </w:instrText>
      </w:r>
      <w:r>
        <w:rPr>
          <w:noProof/>
        </w:rPr>
      </w:r>
      <w:r>
        <w:rPr>
          <w:noProof/>
        </w:rPr>
        <w:fldChar w:fldCharType="separate"/>
      </w:r>
      <w:r>
        <w:rPr>
          <w:noProof/>
        </w:rPr>
        <w:t>490</w:t>
      </w:r>
      <w:r>
        <w:rPr>
          <w:noProof/>
        </w:rPr>
        <w:fldChar w:fldCharType="end"/>
      </w:r>
    </w:p>
    <w:p w14:paraId="55A78542" w14:textId="1689BE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7.9.95C  Varying the terms of the offer</w:t>
      </w:r>
      <w:r>
        <w:rPr>
          <w:noProof/>
        </w:rPr>
        <w:tab/>
      </w:r>
      <w:r>
        <w:rPr>
          <w:noProof/>
        </w:rPr>
        <w:fldChar w:fldCharType="begin"/>
      </w:r>
      <w:r>
        <w:rPr>
          <w:noProof/>
        </w:rPr>
        <w:instrText xml:space="preserve"> PAGEREF _Toc158712791 \h </w:instrText>
      </w:r>
      <w:r>
        <w:rPr>
          <w:noProof/>
        </w:rPr>
      </w:r>
      <w:r>
        <w:rPr>
          <w:noProof/>
        </w:rPr>
        <w:fldChar w:fldCharType="separate"/>
      </w:r>
      <w:r>
        <w:rPr>
          <w:noProof/>
        </w:rPr>
        <w:t>490</w:t>
      </w:r>
      <w:r>
        <w:rPr>
          <w:noProof/>
        </w:rPr>
        <w:fldChar w:fldCharType="end"/>
      </w:r>
    </w:p>
    <w:p w14:paraId="16B027FF" w14:textId="1BB72F2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7.9.95D  Rights if requirements not complied with</w:t>
      </w:r>
      <w:r>
        <w:rPr>
          <w:noProof/>
        </w:rPr>
        <w:tab/>
      </w:r>
      <w:r>
        <w:rPr>
          <w:noProof/>
        </w:rPr>
        <w:fldChar w:fldCharType="begin"/>
      </w:r>
      <w:r>
        <w:rPr>
          <w:noProof/>
        </w:rPr>
        <w:instrText xml:space="preserve"> PAGEREF _Toc158712792 \h </w:instrText>
      </w:r>
      <w:r>
        <w:rPr>
          <w:noProof/>
        </w:rPr>
      </w:r>
      <w:r>
        <w:rPr>
          <w:noProof/>
        </w:rPr>
        <w:fldChar w:fldCharType="separate"/>
      </w:r>
      <w:r>
        <w:rPr>
          <w:noProof/>
        </w:rPr>
        <w:t>490</w:t>
      </w:r>
      <w:r>
        <w:rPr>
          <w:noProof/>
        </w:rPr>
        <w:fldChar w:fldCharType="end"/>
      </w:r>
    </w:p>
    <w:p w14:paraId="7EFB0E24" w14:textId="6A798576"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B—Other matters</w:t>
      </w:r>
      <w:r>
        <w:rPr>
          <w:noProof/>
        </w:rPr>
        <w:tab/>
      </w:r>
      <w:r>
        <w:rPr>
          <w:noProof/>
        </w:rPr>
        <w:fldChar w:fldCharType="begin"/>
      </w:r>
      <w:r>
        <w:rPr>
          <w:noProof/>
        </w:rPr>
        <w:instrText xml:space="preserve"> PAGEREF _Toc158712793 \h </w:instrText>
      </w:r>
      <w:r>
        <w:rPr>
          <w:noProof/>
        </w:rPr>
      </w:r>
      <w:r>
        <w:rPr>
          <w:noProof/>
        </w:rPr>
        <w:fldChar w:fldCharType="separate"/>
      </w:r>
      <w:r>
        <w:rPr>
          <w:noProof/>
        </w:rPr>
        <w:t>491</w:t>
      </w:r>
      <w:r>
        <w:rPr>
          <w:noProof/>
        </w:rPr>
        <w:fldChar w:fldCharType="end"/>
      </w:r>
    </w:p>
    <w:p w14:paraId="005A773D" w14:textId="46FD30B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7.9.96  Percentage increase or decrease in the market value of a product</w:t>
      </w:r>
      <w:r>
        <w:rPr>
          <w:noProof/>
        </w:rPr>
        <w:tab/>
      </w:r>
      <w:r>
        <w:rPr>
          <w:noProof/>
        </w:rPr>
        <w:fldChar w:fldCharType="begin"/>
      </w:r>
      <w:r>
        <w:rPr>
          <w:noProof/>
        </w:rPr>
        <w:instrText xml:space="preserve"> PAGEREF _Toc158712794 \h </w:instrText>
      </w:r>
      <w:r>
        <w:rPr>
          <w:noProof/>
        </w:rPr>
      </w:r>
      <w:r>
        <w:rPr>
          <w:noProof/>
        </w:rPr>
        <w:fldChar w:fldCharType="separate"/>
      </w:r>
      <w:r>
        <w:rPr>
          <w:noProof/>
        </w:rPr>
        <w:t>491</w:t>
      </w:r>
      <w:r>
        <w:rPr>
          <w:noProof/>
        </w:rPr>
        <w:fldChar w:fldCharType="end"/>
      </w:r>
    </w:p>
    <w:p w14:paraId="299D11E3" w14:textId="3AAF13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7.9.97  Off</w:t>
      </w:r>
      <w:r>
        <w:rPr>
          <w:noProof/>
        </w:rPr>
        <w:noBreakHyphen/>
        <w:t>market trading by professional investors etc</w:t>
      </w:r>
      <w:r>
        <w:rPr>
          <w:noProof/>
        </w:rPr>
        <w:tab/>
      </w:r>
      <w:r>
        <w:rPr>
          <w:noProof/>
        </w:rPr>
        <w:fldChar w:fldCharType="begin"/>
      </w:r>
      <w:r>
        <w:rPr>
          <w:noProof/>
        </w:rPr>
        <w:instrText xml:space="preserve"> PAGEREF _Toc158712795 \h </w:instrText>
      </w:r>
      <w:r>
        <w:rPr>
          <w:noProof/>
        </w:rPr>
      </w:r>
      <w:r>
        <w:rPr>
          <w:noProof/>
        </w:rPr>
        <w:fldChar w:fldCharType="separate"/>
      </w:r>
      <w:r>
        <w:rPr>
          <w:noProof/>
        </w:rPr>
        <w:t>491</w:t>
      </w:r>
      <w:r>
        <w:rPr>
          <w:noProof/>
        </w:rPr>
        <w:fldChar w:fldCharType="end"/>
      </w:r>
    </w:p>
    <w:p w14:paraId="09C40A2F" w14:textId="264B59C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7.9.97A  Information in offer document if payment is to be made in instalments</w:t>
      </w:r>
      <w:r>
        <w:rPr>
          <w:noProof/>
        </w:rPr>
        <w:tab/>
      </w:r>
      <w:r>
        <w:rPr>
          <w:noProof/>
        </w:rPr>
        <w:fldChar w:fldCharType="begin"/>
      </w:r>
      <w:r>
        <w:rPr>
          <w:noProof/>
        </w:rPr>
        <w:instrText xml:space="preserve"> PAGEREF _Toc158712796 \h </w:instrText>
      </w:r>
      <w:r>
        <w:rPr>
          <w:noProof/>
        </w:rPr>
      </w:r>
      <w:r>
        <w:rPr>
          <w:noProof/>
        </w:rPr>
        <w:fldChar w:fldCharType="separate"/>
      </w:r>
      <w:r>
        <w:rPr>
          <w:noProof/>
        </w:rPr>
        <w:t>491</w:t>
      </w:r>
      <w:r>
        <w:rPr>
          <w:noProof/>
        </w:rPr>
        <w:fldChar w:fldCharType="end"/>
      </w:r>
    </w:p>
    <w:p w14:paraId="40C77156" w14:textId="553FF8B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14—Exemptions from Parts 7.7, 7.8 and 7.9 of the Act</w:t>
      </w:r>
      <w:r>
        <w:rPr>
          <w:noProof/>
        </w:rPr>
        <w:tab/>
      </w:r>
      <w:r>
        <w:rPr>
          <w:noProof/>
        </w:rPr>
        <w:fldChar w:fldCharType="begin"/>
      </w:r>
      <w:r>
        <w:rPr>
          <w:noProof/>
        </w:rPr>
        <w:instrText xml:space="preserve"> PAGEREF _Toc158712797 \h </w:instrText>
      </w:r>
      <w:r>
        <w:rPr>
          <w:noProof/>
        </w:rPr>
      </w:r>
      <w:r>
        <w:rPr>
          <w:noProof/>
        </w:rPr>
        <w:fldChar w:fldCharType="separate"/>
      </w:r>
      <w:r>
        <w:rPr>
          <w:noProof/>
        </w:rPr>
        <w:t>493</w:t>
      </w:r>
      <w:r>
        <w:rPr>
          <w:noProof/>
        </w:rPr>
        <w:fldChar w:fldCharType="end"/>
      </w:r>
    </w:p>
    <w:p w14:paraId="3E53B5ED" w14:textId="43B6BA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7.9.98  Certain providers of financial services exempted from the requirements of Parts 7.7, 7.8 and 7.9 of the Act</w:t>
      </w:r>
      <w:r>
        <w:rPr>
          <w:noProof/>
        </w:rPr>
        <w:tab/>
      </w:r>
      <w:r>
        <w:rPr>
          <w:noProof/>
        </w:rPr>
        <w:fldChar w:fldCharType="begin"/>
      </w:r>
      <w:r>
        <w:rPr>
          <w:noProof/>
        </w:rPr>
        <w:instrText xml:space="preserve"> PAGEREF _Toc158712798 \h </w:instrText>
      </w:r>
      <w:r>
        <w:rPr>
          <w:noProof/>
        </w:rPr>
      </w:r>
      <w:r>
        <w:rPr>
          <w:noProof/>
        </w:rPr>
        <w:fldChar w:fldCharType="separate"/>
      </w:r>
      <w:r>
        <w:rPr>
          <w:noProof/>
        </w:rPr>
        <w:t>493</w:t>
      </w:r>
      <w:r>
        <w:rPr>
          <w:noProof/>
        </w:rPr>
        <w:fldChar w:fldCharType="end"/>
      </w:r>
    </w:p>
    <w:p w14:paraId="2C771C17" w14:textId="1B4F520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7.9.98A  Exemption from application of Part 7.9 of the Act</w:t>
      </w:r>
      <w:r>
        <w:rPr>
          <w:noProof/>
        </w:rPr>
        <w:tab/>
      </w:r>
      <w:r>
        <w:rPr>
          <w:noProof/>
        </w:rPr>
        <w:fldChar w:fldCharType="begin"/>
      </w:r>
      <w:r>
        <w:rPr>
          <w:noProof/>
        </w:rPr>
        <w:instrText xml:space="preserve"> PAGEREF _Toc158712799 \h </w:instrText>
      </w:r>
      <w:r>
        <w:rPr>
          <w:noProof/>
        </w:rPr>
      </w:r>
      <w:r>
        <w:rPr>
          <w:noProof/>
        </w:rPr>
        <w:fldChar w:fldCharType="separate"/>
      </w:r>
      <w:r>
        <w:rPr>
          <w:noProof/>
        </w:rPr>
        <w:t>493</w:t>
      </w:r>
      <w:r>
        <w:rPr>
          <w:noProof/>
        </w:rPr>
        <w:fldChar w:fldCharType="end"/>
      </w:r>
    </w:p>
    <w:p w14:paraId="707D73C5" w14:textId="7C5AF5C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15—Disclosure in relation to short sales covered by securities lending arrangement of listed section 1020B products</w:t>
      </w:r>
      <w:r>
        <w:rPr>
          <w:noProof/>
        </w:rPr>
        <w:tab/>
      </w:r>
      <w:r>
        <w:rPr>
          <w:noProof/>
        </w:rPr>
        <w:fldChar w:fldCharType="begin"/>
      </w:r>
      <w:r>
        <w:rPr>
          <w:noProof/>
        </w:rPr>
        <w:instrText xml:space="preserve"> PAGEREF _Toc158712800 \h </w:instrText>
      </w:r>
      <w:r>
        <w:rPr>
          <w:noProof/>
        </w:rPr>
      </w:r>
      <w:r>
        <w:rPr>
          <w:noProof/>
        </w:rPr>
        <w:fldChar w:fldCharType="separate"/>
      </w:r>
      <w:r>
        <w:rPr>
          <w:noProof/>
        </w:rPr>
        <w:t>494</w:t>
      </w:r>
      <w:r>
        <w:rPr>
          <w:noProof/>
        </w:rPr>
        <w:fldChar w:fldCharType="end"/>
      </w:r>
    </w:p>
    <w:p w14:paraId="17CF4F78" w14:textId="3F576A6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7.9.99  Interpretation</w:t>
      </w:r>
      <w:r>
        <w:rPr>
          <w:noProof/>
        </w:rPr>
        <w:tab/>
      </w:r>
      <w:r>
        <w:rPr>
          <w:noProof/>
        </w:rPr>
        <w:fldChar w:fldCharType="begin"/>
      </w:r>
      <w:r>
        <w:rPr>
          <w:noProof/>
        </w:rPr>
        <w:instrText xml:space="preserve"> PAGEREF _Toc158712801 \h </w:instrText>
      </w:r>
      <w:r>
        <w:rPr>
          <w:noProof/>
        </w:rPr>
      </w:r>
      <w:r>
        <w:rPr>
          <w:noProof/>
        </w:rPr>
        <w:fldChar w:fldCharType="separate"/>
      </w:r>
      <w:r>
        <w:rPr>
          <w:noProof/>
        </w:rPr>
        <w:t>494</w:t>
      </w:r>
      <w:r>
        <w:rPr>
          <w:noProof/>
        </w:rPr>
        <w:fldChar w:fldCharType="end"/>
      </w:r>
    </w:p>
    <w:p w14:paraId="07286EA9" w14:textId="11210DA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7.9.100  Seller disclosure</w:t>
      </w:r>
      <w:r>
        <w:rPr>
          <w:noProof/>
        </w:rPr>
        <w:tab/>
      </w:r>
      <w:r>
        <w:rPr>
          <w:noProof/>
        </w:rPr>
        <w:fldChar w:fldCharType="begin"/>
      </w:r>
      <w:r>
        <w:rPr>
          <w:noProof/>
        </w:rPr>
        <w:instrText xml:space="preserve"> PAGEREF _Toc158712802 \h </w:instrText>
      </w:r>
      <w:r>
        <w:rPr>
          <w:noProof/>
        </w:rPr>
      </w:r>
      <w:r>
        <w:rPr>
          <w:noProof/>
        </w:rPr>
        <w:fldChar w:fldCharType="separate"/>
      </w:r>
      <w:r>
        <w:rPr>
          <w:noProof/>
        </w:rPr>
        <w:t>494</w:t>
      </w:r>
      <w:r>
        <w:rPr>
          <w:noProof/>
        </w:rPr>
        <w:fldChar w:fldCharType="end"/>
      </w:r>
    </w:p>
    <w:p w14:paraId="352A087C" w14:textId="67B438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7.9.100A  Seller disclosure of existing short position</w:t>
      </w:r>
      <w:r>
        <w:rPr>
          <w:noProof/>
        </w:rPr>
        <w:tab/>
      </w:r>
      <w:r>
        <w:rPr>
          <w:noProof/>
        </w:rPr>
        <w:fldChar w:fldCharType="begin"/>
      </w:r>
      <w:r>
        <w:rPr>
          <w:noProof/>
        </w:rPr>
        <w:instrText xml:space="preserve"> PAGEREF _Toc158712803 \h </w:instrText>
      </w:r>
      <w:r>
        <w:rPr>
          <w:noProof/>
        </w:rPr>
      </w:r>
      <w:r>
        <w:rPr>
          <w:noProof/>
        </w:rPr>
        <w:fldChar w:fldCharType="separate"/>
      </w:r>
      <w:r>
        <w:rPr>
          <w:noProof/>
        </w:rPr>
        <w:t>495</w:t>
      </w:r>
      <w:r>
        <w:rPr>
          <w:noProof/>
        </w:rPr>
        <w:fldChar w:fldCharType="end"/>
      </w:r>
    </w:p>
    <w:p w14:paraId="289454A4" w14:textId="639090A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7.9.101  Licensee disclosure</w:t>
      </w:r>
      <w:r>
        <w:rPr>
          <w:noProof/>
        </w:rPr>
        <w:tab/>
      </w:r>
      <w:r>
        <w:rPr>
          <w:noProof/>
        </w:rPr>
        <w:fldChar w:fldCharType="begin"/>
      </w:r>
      <w:r>
        <w:rPr>
          <w:noProof/>
        </w:rPr>
        <w:instrText xml:space="preserve"> PAGEREF _Toc158712804 \h </w:instrText>
      </w:r>
      <w:r>
        <w:rPr>
          <w:noProof/>
        </w:rPr>
      </w:r>
      <w:r>
        <w:rPr>
          <w:noProof/>
        </w:rPr>
        <w:fldChar w:fldCharType="separate"/>
      </w:r>
      <w:r>
        <w:rPr>
          <w:noProof/>
        </w:rPr>
        <w:t>495</w:t>
      </w:r>
      <w:r>
        <w:rPr>
          <w:noProof/>
        </w:rPr>
        <w:fldChar w:fldCharType="end"/>
      </w:r>
    </w:p>
    <w:p w14:paraId="5D7FD804" w14:textId="2B1766E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7.9.102  Public disclosure of information</w:t>
      </w:r>
      <w:r>
        <w:rPr>
          <w:noProof/>
        </w:rPr>
        <w:tab/>
      </w:r>
      <w:r>
        <w:rPr>
          <w:noProof/>
        </w:rPr>
        <w:fldChar w:fldCharType="begin"/>
      </w:r>
      <w:r>
        <w:rPr>
          <w:noProof/>
        </w:rPr>
        <w:instrText xml:space="preserve"> PAGEREF _Toc158712805 \h </w:instrText>
      </w:r>
      <w:r>
        <w:rPr>
          <w:noProof/>
        </w:rPr>
      </w:r>
      <w:r>
        <w:rPr>
          <w:noProof/>
        </w:rPr>
        <w:fldChar w:fldCharType="separate"/>
      </w:r>
      <w:r>
        <w:rPr>
          <w:noProof/>
        </w:rPr>
        <w:t>495</w:t>
      </w:r>
      <w:r>
        <w:rPr>
          <w:noProof/>
        </w:rPr>
        <w:fldChar w:fldCharType="end"/>
      </w:r>
    </w:p>
    <w:p w14:paraId="0C8EF363" w14:textId="554B78C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7.10—Market misconduct and other prohibited conduct relating to financial products and financial services</w:t>
      </w:r>
      <w:r>
        <w:rPr>
          <w:noProof/>
        </w:rPr>
        <w:tab/>
      </w:r>
      <w:r>
        <w:rPr>
          <w:noProof/>
        </w:rPr>
        <w:fldChar w:fldCharType="begin"/>
      </w:r>
      <w:r>
        <w:rPr>
          <w:noProof/>
        </w:rPr>
        <w:instrText xml:space="preserve"> PAGEREF _Toc158712806 \h </w:instrText>
      </w:r>
      <w:r>
        <w:rPr>
          <w:noProof/>
        </w:rPr>
      </w:r>
      <w:r>
        <w:rPr>
          <w:noProof/>
        </w:rPr>
        <w:fldChar w:fldCharType="separate"/>
      </w:r>
      <w:r>
        <w:rPr>
          <w:noProof/>
        </w:rPr>
        <w:t>497</w:t>
      </w:r>
      <w:r>
        <w:rPr>
          <w:noProof/>
        </w:rPr>
        <w:fldChar w:fldCharType="end"/>
      </w:r>
    </w:p>
    <w:p w14:paraId="631BDFF3" w14:textId="2828DF0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7.10.01  Meaning of </w:t>
      </w:r>
      <w:r w:rsidRPr="00FC743A">
        <w:rPr>
          <w:i/>
          <w:noProof/>
        </w:rPr>
        <w:t>Division 3 financial products—</w:t>
      </w:r>
      <w:r>
        <w:rPr>
          <w:noProof/>
        </w:rPr>
        <w:t>excluded superannuation products</w:t>
      </w:r>
      <w:r>
        <w:rPr>
          <w:noProof/>
        </w:rPr>
        <w:tab/>
      </w:r>
      <w:r>
        <w:rPr>
          <w:noProof/>
        </w:rPr>
        <w:fldChar w:fldCharType="begin"/>
      </w:r>
      <w:r>
        <w:rPr>
          <w:noProof/>
        </w:rPr>
        <w:instrText xml:space="preserve"> PAGEREF _Toc158712807 \h </w:instrText>
      </w:r>
      <w:r>
        <w:rPr>
          <w:noProof/>
        </w:rPr>
      </w:r>
      <w:r>
        <w:rPr>
          <w:noProof/>
        </w:rPr>
        <w:fldChar w:fldCharType="separate"/>
      </w:r>
      <w:r>
        <w:rPr>
          <w:noProof/>
        </w:rPr>
        <w:t>497</w:t>
      </w:r>
      <w:r>
        <w:rPr>
          <w:noProof/>
        </w:rPr>
        <w:fldChar w:fldCharType="end"/>
      </w:r>
    </w:p>
    <w:p w14:paraId="3F6B55F4" w14:textId="27B73E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7.10.02  Professional standards schemes</w:t>
      </w:r>
      <w:r>
        <w:rPr>
          <w:noProof/>
        </w:rPr>
        <w:tab/>
      </w:r>
      <w:r>
        <w:rPr>
          <w:noProof/>
        </w:rPr>
        <w:fldChar w:fldCharType="begin"/>
      </w:r>
      <w:r>
        <w:rPr>
          <w:noProof/>
        </w:rPr>
        <w:instrText xml:space="preserve"> PAGEREF _Toc158712808 \h </w:instrText>
      </w:r>
      <w:r>
        <w:rPr>
          <w:noProof/>
        </w:rPr>
      </w:r>
      <w:r>
        <w:rPr>
          <w:noProof/>
        </w:rPr>
        <w:fldChar w:fldCharType="separate"/>
      </w:r>
      <w:r>
        <w:rPr>
          <w:noProof/>
        </w:rPr>
        <w:t>497</w:t>
      </w:r>
      <w:r>
        <w:rPr>
          <w:noProof/>
        </w:rPr>
        <w:fldChar w:fldCharType="end"/>
      </w:r>
    </w:p>
    <w:p w14:paraId="13CD41F7" w14:textId="5E9E9FA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7.10.03  Exemption for market participants of qualifying gas trading exchange</w:t>
      </w:r>
      <w:r>
        <w:rPr>
          <w:noProof/>
        </w:rPr>
        <w:tab/>
      </w:r>
      <w:r>
        <w:rPr>
          <w:noProof/>
        </w:rPr>
        <w:fldChar w:fldCharType="begin"/>
      </w:r>
      <w:r>
        <w:rPr>
          <w:noProof/>
        </w:rPr>
        <w:instrText xml:space="preserve"> PAGEREF _Toc158712809 \h </w:instrText>
      </w:r>
      <w:r>
        <w:rPr>
          <w:noProof/>
        </w:rPr>
      </w:r>
      <w:r>
        <w:rPr>
          <w:noProof/>
        </w:rPr>
        <w:fldChar w:fldCharType="separate"/>
      </w:r>
      <w:r>
        <w:rPr>
          <w:noProof/>
        </w:rPr>
        <w:t>498</w:t>
      </w:r>
      <w:r>
        <w:rPr>
          <w:noProof/>
        </w:rPr>
        <w:fldChar w:fldCharType="end"/>
      </w:r>
    </w:p>
    <w:p w14:paraId="44686FC8" w14:textId="3E04A79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7.10B—Financial services compensation scheme of last resort</w:t>
      </w:r>
      <w:r>
        <w:rPr>
          <w:noProof/>
        </w:rPr>
        <w:tab/>
      </w:r>
      <w:r>
        <w:rPr>
          <w:noProof/>
        </w:rPr>
        <w:fldChar w:fldCharType="begin"/>
      </w:r>
      <w:r>
        <w:rPr>
          <w:noProof/>
        </w:rPr>
        <w:instrText xml:space="preserve"> PAGEREF _Toc158712810 \h </w:instrText>
      </w:r>
      <w:r>
        <w:rPr>
          <w:noProof/>
        </w:rPr>
      </w:r>
      <w:r>
        <w:rPr>
          <w:noProof/>
        </w:rPr>
        <w:fldChar w:fldCharType="separate"/>
      </w:r>
      <w:r>
        <w:rPr>
          <w:noProof/>
        </w:rPr>
        <w:t>499</w:t>
      </w:r>
      <w:r>
        <w:rPr>
          <w:noProof/>
        </w:rPr>
        <w:fldChar w:fldCharType="end"/>
      </w:r>
    </w:p>
    <w:p w14:paraId="75951755" w14:textId="04753C9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7.10B.50  Reporting by CSLR operator if sub</w:t>
      </w:r>
      <w:r>
        <w:rPr>
          <w:noProof/>
        </w:rPr>
        <w:noBreakHyphen/>
        <w:t>sector levy cap could be exceeded (or further exceeded)</w:t>
      </w:r>
      <w:r>
        <w:rPr>
          <w:noProof/>
        </w:rPr>
        <w:tab/>
      </w:r>
      <w:r>
        <w:rPr>
          <w:noProof/>
        </w:rPr>
        <w:fldChar w:fldCharType="begin"/>
      </w:r>
      <w:r>
        <w:rPr>
          <w:noProof/>
        </w:rPr>
        <w:instrText xml:space="preserve"> PAGEREF _Toc158712811 \h </w:instrText>
      </w:r>
      <w:r>
        <w:rPr>
          <w:noProof/>
        </w:rPr>
      </w:r>
      <w:r>
        <w:rPr>
          <w:noProof/>
        </w:rPr>
        <w:fldChar w:fldCharType="separate"/>
      </w:r>
      <w:r>
        <w:rPr>
          <w:noProof/>
        </w:rPr>
        <w:t>499</w:t>
      </w:r>
      <w:r>
        <w:rPr>
          <w:noProof/>
        </w:rPr>
        <w:fldChar w:fldCharType="end"/>
      </w:r>
    </w:p>
    <w:p w14:paraId="73AD0340" w14:textId="520A33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7.10B.55  Reporting by CSLR operator after the end of each levy period</w:t>
      </w:r>
      <w:r>
        <w:rPr>
          <w:noProof/>
        </w:rPr>
        <w:tab/>
      </w:r>
      <w:r>
        <w:rPr>
          <w:noProof/>
        </w:rPr>
        <w:fldChar w:fldCharType="begin"/>
      </w:r>
      <w:r>
        <w:rPr>
          <w:noProof/>
        </w:rPr>
        <w:instrText xml:space="preserve"> PAGEREF _Toc158712812 \h </w:instrText>
      </w:r>
      <w:r>
        <w:rPr>
          <w:noProof/>
        </w:rPr>
      </w:r>
      <w:r>
        <w:rPr>
          <w:noProof/>
        </w:rPr>
        <w:fldChar w:fldCharType="separate"/>
      </w:r>
      <w:r>
        <w:rPr>
          <w:noProof/>
        </w:rPr>
        <w:t>499</w:t>
      </w:r>
      <w:r>
        <w:rPr>
          <w:noProof/>
        </w:rPr>
        <w:fldChar w:fldCharType="end"/>
      </w:r>
    </w:p>
    <w:p w14:paraId="4F629354" w14:textId="20876FA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7.11</w:t>
      </w:r>
      <w:r w:rsidRPr="00FC743A">
        <w:rPr>
          <w:noProof/>
          <w:color w:val="000000"/>
        </w:rPr>
        <w:t>—</w:t>
      </w:r>
      <w:r>
        <w:rPr>
          <w:noProof/>
        </w:rPr>
        <w:t>Title and transfer</w:t>
      </w:r>
      <w:r>
        <w:rPr>
          <w:noProof/>
        </w:rPr>
        <w:tab/>
      </w:r>
      <w:r>
        <w:rPr>
          <w:noProof/>
        </w:rPr>
        <w:fldChar w:fldCharType="begin"/>
      </w:r>
      <w:r>
        <w:rPr>
          <w:noProof/>
        </w:rPr>
        <w:instrText xml:space="preserve"> PAGEREF _Toc158712813 \h </w:instrText>
      </w:r>
      <w:r>
        <w:rPr>
          <w:noProof/>
        </w:rPr>
      </w:r>
      <w:r>
        <w:rPr>
          <w:noProof/>
        </w:rPr>
        <w:fldChar w:fldCharType="separate"/>
      </w:r>
      <w:r>
        <w:rPr>
          <w:noProof/>
        </w:rPr>
        <w:t>501</w:t>
      </w:r>
      <w:r>
        <w:rPr>
          <w:noProof/>
        </w:rPr>
        <w:fldChar w:fldCharType="end"/>
      </w:r>
    </w:p>
    <w:p w14:paraId="13BAD8B5" w14:textId="307E92B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Preliminary</w:t>
      </w:r>
      <w:r>
        <w:rPr>
          <w:noProof/>
        </w:rPr>
        <w:tab/>
      </w:r>
      <w:r>
        <w:rPr>
          <w:noProof/>
        </w:rPr>
        <w:fldChar w:fldCharType="begin"/>
      </w:r>
      <w:r>
        <w:rPr>
          <w:noProof/>
        </w:rPr>
        <w:instrText xml:space="preserve"> PAGEREF _Toc158712814 \h </w:instrText>
      </w:r>
      <w:r>
        <w:rPr>
          <w:noProof/>
        </w:rPr>
      </w:r>
      <w:r>
        <w:rPr>
          <w:noProof/>
        </w:rPr>
        <w:fldChar w:fldCharType="separate"/>
      </w:r>
      <w:r>
        <w:rPr>
          <w:noProof/>
        </w:rPr>
        <w:t>501</w:t>
      </w:r>
      <w:r>
        <w:rPr>
          <w:noProof/>
        </w:rPr>
        <w:fldChar w:fldCharType="end"/>
      </w:r>
    </w:p>
    <w:p w14:paraId="02184D68" w14:textId="3655884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7.11.01  Definitions</w:t>
      </w:r>
      <w:r>
        <w:rPr>
          <w:noProof/>
        </w:rPr>
        <w:tab/>
      </w:r>
      <w:r>
        <w:rPr>
          <w:noProof/>
        </w:rPr>
        <w:fldChar w:fldCharType="begin"/>
      </w:r>
      <w:r>
        <w:rPr>
          <w:noProof/>
        </w:rPr>
        <w:instrText xml:space="preserve"> PAGEREF _Toc158712815 \h </w:instrText>
      </w:r>
      <w:r>
        <w:rPr>
          <w:noProof/>
        </w:rPr>
      </w:r>
      <w:r>
        <w:rPr>
          <w:noProof/>
        </w:rPr>
        <w:fldChar w:fldCharType="separate"/>
      </w:r>
      <w:r>
        <w:rPr>
          <w:noProof/>
        </w:rPr>
        <w:t>501</w:t>
      </w:r>
      <w:r>
        <w:rPr>
          <w:noProof/>
        </w:rPr>
        <w:fldChar w:fldCharType="end"/>
      </w:r>
    </w:p>
    <w:p w14:paraId="795E445A" w14:textId="20B7EE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7.11.03  Arrangements about Division 4 financial products</w:t>
      </w:r>
      <w:r>
        <w:rPr>
          <w:noProof/>
        </w:rPr>
        <w:tab/>
      </w:r>
      <w:r>
        <w:rPr>
          <w:noProof/>
        </w:rPr>
        <w:fldChar w:fldCharType="begin"/>
      </w:r>
      <w:r>
        <w:rPr>
          <w:noProof/>
        </w:rPr>
        <w:instrText xml:space="preserve"> PAGEREF _Toc158712816 \h </w:instrText>
      </w:r>
      <w:r>
        <w:rPr>
          <w:noProof/>
        </w:rPr>
      </w:r>
      <w:r>
        <w:rPr>
          <w:noProof/>
        </w:rPr>
        <w:fldChar w:fldCharType="separate"/>
      </w:r>
      <w:r>
        <w:rPr>
          <w:noProof/>
        </w:rPr>
        <w:t>502</w:t>
      </w:r>
      <w:r>
        <w:rPr>
          <w:noProof/>
        </w:rPr>
        <w:fldChar w:fldCharType="end"/>
      </w:r>
    </w:p>
    <w:p w14:paraId="30712C08" w14:textId="27D5842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7.11.04  Arrangements for forms</w:t>
      </w:r>
      <w:r>
        <w:rPr>
          <w:noProof/>
        </w:rPr>
        <w:tab/>
      </w:r>
      <w:r>
        <w:rPr>
          <w:noProof/>
        </w:rPr>
        <w:fldChar w:fldCharType="begin"/>
      </w:r>
      <w:r>
        <w:rPr>
          <w:noProof/>
        </w:rPr>
        <w:instrText xml:space="preserve"> PAGEREF _Toc158712817 \h </w:instrText>
      </w:r>
      <w:r>
        <w:rPr>
          <w:noProof/>
        </w:rPr>
      </w:r>
      <w:r>
        <w:rPr>
          <w:noProof/>
        </w:rPr>
        <w:fldChar w:fldCharType="separate"/>
      </w:r>
      <w:r>
        <w:rPr>
          <w:noProof/>
        </w:rPr>
        <w:t>502</w:t>
      </w:r>
      <w:r>
        <w:rPr>
          <w:noProof/>
        </w:rPr>
        <w:fldChar w:fldCharType="end"/>
      </w:r>
    </w:p>
    <w:p w14:paraId="00B2F8B7" w14:textId="3016DD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7.11.05  Document duly completed in accordance with a particular form</w:t>
      </w:r>
      <w:r>
        <w:rPr>
          <w:noProof/>
        </w:rPr>
        <w:tab/>
      </w:r>
      <w:r>
        <w:rPr>
          <w:noProof/>
        </w:rPr>
        <w:fldChar w:fldCharType="begin"/>
      </w:r>
      <w:r>
        <w:rPr>
          <w:noProof/>
        </w:rPr>
        <w:instrText xml:space="preserve"> PAGEREF _Toc158712818 \h </w:instrText>
      </w:r>
      <w:r>
        <w:rPr>
          <w:noProof/>
        </w:rPr>
      </w:r>
      <w:r>
        <w:rPr>
          <w:noProof/>
        </w:rPr>
        <w:fldChar w:fldCharType="separate"/>
      </w:r>
      <w:r>
        <w:rPr>
          <w:noProof/>
        </w:rPr>
        <w:t>503</w:t>
      </w:r>
      <w:r>
        <w:rPr>
          <w:noProof/>
        </w:rPr>
        <w:fldChar w:fldCharType="end"/>
      </w:r>
    </w:p>
    <w:p w14:paraId="6CFC34BB" w14:textId="6599D6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7.11.06  Stamping of documents</w:t>
      </w:r>
      <w:r>
        <w:rPr>
          <w:noProof/>
        </w:rPr>
        <w:tab/>
      </w:r>
      <w:r>
        <w:rPr>
          <w:noProof/>
        </w:rPr>
        <w:fldChar w:fldCharType="begin"/>
      </w:r>
      <w:r>
        <w:rPr>
          <w:noProof/>
        </w:rPr>
        <w:instrText xml:space="preserve"> PAGEREF _Toc158712819 \h </w:instrText>
      </w:r>
      <w:r>
        <w:rPr>
          <w:noProof/>
        </w:rPr>
      </w:r>
      <w:r>
        <w:rPr>
          <w:noProof/>
        </w:rPr>
        <w:fldChar w:fldCharType="separate"/>
      </w:r>
      <w:r>
        <w:rPr>
          <w:noProof/>
        </w:rPr>
        <w:t>503</w:t>
      </w:r>
      <w:r>
        <w:rPr>
          <w:noProof/>
        </w:rPr>
        <w:fldChar w:fldCharType="end"/>
      </w:r>
    </w:p>
    <w:p w14:paraId="227FE93D" w14:textId="1ADFBC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7.11.07  Application of Division 3 of Part 7.11 of the Act to certain bodies</w:t>
      </w:r>
      <w:r>
        <w:rPr>
          <w:noProof/>
        </w:rPr>
        <w:tab/>
      </w:r>
      <w:r>
        <w:rPr>
          <w:noProof/>
        </w:rPr>
        <w:fldChar w:fldCharType="begin"/>
      </w:r>
      <w:r>
        <w:rPr>
          <w:noProof/>
        </w:rPr>
        <w:instrText xml:space="preserve"> PAGEREF _Toc158712820 \h </w:instrText>
      </w:r>
      <w:r>
        <w:rPr>
          <w:noProof/>
        </w:rPr>
      </w:r>
      <w:r>
        <w:rPr>
          <w:noProof/>
        </w:rPr>
        <w:fldChar w:fldCharType="separate"/>
      </w:r>
      <w:r>
        <w:rPr>
          <w:noProof/>
        </w:rPr>
        <w:t>503</w:t>
      </w:r>
      <w:r>
        <w:rPr>
          <w:noProof/>
        </w:rPr>
        <w:fldChar w:fldCharType="end"/>
      </w:r>
    </w:p>
    <w:p w14:paraId="20239F8E" w14:textId="618B16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7.11.08  Interests in registered schemes</w:t>
      </w:r>
      <w:r>
        <w:rPr>
          <w:noProof/>
        </w:rPr>
        <w:tab/>
      </w:r>
      <w:r>
        <w:rPr>
          <w:noProof/>
        </w:rPr>
        <w:fldChar w:fldCharType="begin"/>
      </w:r>
      <w:r>
        <w:rPr>
          <w:noProof/>
        </w:rPr>
        <w:instrText xml:space="preserve"> PAGEREF _Toc158712821 \h </w:instrText>
      </w:r>
      <w:r>
        <w:rPr>
          <w:noProof/>
        </w:rPr>
      </w:r>
      <w:r>
        <w:rPr>
          <w:noProof/>
        </w:rPr>
        <w:fldChar w:fldCharType="separate"/>
      </w:r>
      <w:r>
        <w:rPr>
          <w:noProof/>
        </w:rPr>
        <w:t>503</w:t>
      </w:r>
      <w:r>
        <w:rPr>
          <w:noProof/>
        </w:rPr>
        <w:fldChar w:fldCharType="end"/>
      </w:r>
    </w:p>
    <w:p w14:paraId="11ACCEA0" w14:textId="5473056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Application of Part 7.11</w:t>
      </w:r>
      <w:r>
        <w:rPr>
          <w:noProof/>
        </w:rPr>
        <w:tab/>
      </w:r>
      <w:r>
        <w:rPr>
          <w:noProof/>
        </w:rPr>
        <w:fldChar w:fldCharType="begin"/>
      </w:r>
      <w:r>
        <w:rPr>
          <w:noProof/>
        </w:rPr>
        <w:instrText xml:space="preserve"> PAGEREF _Toc158712822 \h </w:instrText>
      </w:r>
      <w:r>
        <w:rPr>
          <w:noProof/>
        </w:rPr>
      </w:r>
      <w:r>
        <w:rPr>
          <w:noProof/>
        </w:rPr>
        <w:fldChar w:fldCharType="separate"/>
      </w:r>
      <w:r>
        <w:rPr>
          <w:noProof/>
        </w:rPr>
        <w:t>504</w:t>
      </w:r>
      <w:r>
        <w:rPr>
          <w:noProof/>
        </w:rPr>
        <w:fldChar w:fldCharType="end"/>
      </w:r>
    </w:p>
    <w:p w14:paraId="2D7F80E8" w14:textId="67EAEFA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7.11.09  Application</w:t>
      </w:r>
      <w:r>
        <w:rPr>
          <w:noProof/>
        </w:rPr>
        <w:tab/>
      </w:r>
      <w:r>
        <w:rPr>
          <w:noProof/>
        </w:rPr>
        <w:fldChar w:fldCharType="begin"/>
      </w:r>
      <w:r>
        <w:rPr>
          <w:noProof/>
        </w:rPr>
        <w:instrText xml:space="preserve"> PAGEREF _Toc158712823 \h </w:instrText>
      </w:r>
      <w:r>
        <w:rPr>
          <w:noProof/>
        </w:rPr>
      </w:r>
      <w:r>
        <w:rPr>
          <w:noProof/>
        </w:rPr>
        <w:fldChar w:fldCharType="separate"/>
      </w:r>
      <w:r>
        <w:rPr>
          <w:noProof/>
        </w:rPr>
        <w:t>504</w:t>
      </w:r>
      <w:r>
        <w:rPr>
          <w:noProof/>
        </w:rPr>
        <w:fldChar w:fldCharType="end"/>
      </w:r>
    </w:p>
    <w:p w14:paraId="0F810147" w14:textId="1FFCE91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Transfer of Division 3 securities effected otherwise than through a prescribed CS facility</w:t>
      </w:r>
      <w:r>
        <w:rPr>
          <w:noProof/>
        </w:rPr>
        <w:tab/>
      </w:r>
      <w:r>
        <w:rPr>
          <w:noProof/>
        </w:rPr>
        <w:fldChar w:fldCharType="begin"/>
      </w:r>
      <w:r>
        <w:rPr>
          <w:noProof/>
        </w:rPr>
        <w:instrText xml:space="preserve"> PAGEREF _Toc158712824 \h </w:instrText>
      </w:r>
      <w:r>
        <w:rPr>
          <w:noProof/>
        </w:rPr>
      </w:r>
      <w:r>
        <w:rPr>
          <w:noProof/>
        </w:rPr>
        <w:fldChar w:fldCharType="separate"/>
      </w:r>
      <w:r>
        <w:rPr>
          <w:noProof/>
        </w:rPr>
        <w:t>505</w:t>
      </w:r>
      <w:r>
        <w:rPr>
          <w:noProof/>
        </w:rPr>
        <w:fldChar w:fldCharType="end"/>
      </w:r>
    </w:p>
    <w:p w14:paraId="631AAEB9" w14:textId="512867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7.11.10  Application of Division 3</w:t>
      </w:r>
      <w:r>
        <w:rPr>
          <w:noProof/>
        </w:rPr>
        <w:tab/>
      </w:r>
      <w:r>
        <w:rPr>
          <w:noProof/>
        </w:rPr>
        <w:fldChar w:fldCharType="begin"/>
      </w:r>
      <w:r>
        <w:rPr>
          <w:noProof/>
        </w:rPr>
        <w:instrText xml:space="preserve"> PAGEREF _Toc158712825 \h </w:instrText>
      </w:r>
      <w:r>
        <w:rPr>
          <w:noProof/>
        </w:rPr>
      </w:r>
      <w:r>
        <w:rPr>
          <w:noProof/>
        </w:rPr>
        <w:fldChar w:fldCharType="separate"/>
      </w:r>
      <w:r>
        <w:rPr>
          <w:noProof/>
        </w:rPr>
        <w:t>505</w:t>
      </w:r>
      <w:r>
        <w:rPr>
          <w:noProof/>
        </w:rPr>
        <w:fldChar w:fldCharType="end"/>
      </w:r>
    </w:p>
    <w:p w14:paraId="11ADD650" w14:textId="3A4489F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7.11.11  Sufficient transfer: general</w:t>
      </w:r>
      <w:r>
        <w:rPr>
          <w:noProof/>
        </w:rPr>
        <w:tab/>
      </w:r>
      <w:r>
        <w:rPr>
          <w:noProof/>
        </w:rPr>
        <w:fldChar w:fldCharType="begin"/>
      </w:r>
      <w:r>
        <w:rPr>
          <w:noProof/>
        </w:rPr>
        <w:instrText xml:space="preserve"> PAGEREF _Toc158712826 \h </w:instrText>
      </w:r>
      <w:r>
        <w:rPr>
          <w:noProof/>
        </w:rPr>
      </w:r>
      <w:r>
        <w:rPr>
          <w:noProof/>
        </w:rPr>
        <w:fldChar w:fldCharType="separate"/>
      </w:r>
      <w:r>
        <w:rPr>
          <w:noProof/>
        </w:rPr>
        <w:t>505</w:t>
      </w:r>
      <w:r>
        <w:rPr>
          <w:noProof/>
        </w:rPr>
        <w:fldChar w:fldCharType="end"/>
      </w:r>
    </w:p>
    <w:p w14:paraId="55036C24" w14:textId="58F2D30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7.11.12  Sufficient </w:t>
      </w:r>
      <w:r w:rsidRPr="00FC743A">
        <w:rPr>
          <w:noProof/>
          <w:color w:val="000000"/>
        </w:rPr>
        <w:t>transfer</w:t>
      </w:r>
      <w:r>
        <w:rPr>
          <w:noProof/>
        </w:rPr>
        <w:t xml:space="preserve"> of Division 3 assets: licensed trustee company or Public Trustee of a State or Territory</w:t>
      </w:r>
      <w:r>
        <w:rPr>
          <w:noProof/>
        </w:rPr>
        <w:tab/>
      </w:r>
      <w:r>
        <w:rPr>
          <w:noProof/>
        </w:rPr>
        <w:fldChar w:fldCharType="begin"/>
      </w:r>
      <w:r>
        <w:rPr>
          <w:noProof/>
        </w:rPr>
        <w:instrText xml:space="preserve"> PAGEREF _Toc158712827 \h </w:instrText>
      </w:r>
      <w:r>
        <w:rPr>
          <w:noProof/>
        </w:rPr>
      </w:r>
      <w:r>
        <w:rPr>
          <w:noProof/>
        </w:rPr>
        <w:fldChar w:fldCharType="separate"/>
      </w:r>
      <w:r>
        <w:rPr>
          <w:noProof/>
        </w:rPr>
        <w:t>505</w:t>
      </w:r>
      <w:r>
        <w:rPr>
          <w:noProof/>
        </w:rPr>
        <w:fldChar w:fldCharType="end"/>
      </w:r>
    </w:p>
    <w:p w14:paraId="7F5879F1" w14:textId="332E492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7.11.13  Sufficient transfer of Division 3 rights: licensed trustee company or Public Trustee of a State or Territory</w:t>
      </w:r>
      <w:r>
        <w:rPr>
          <w:noProof/>
        </w:rPr>
        <w:tab/>
      </w:r>
      <w:r>
        <w:rPr>
          <w:noProof/>
        </w:rPr>
        <w:fldChar w:fldCharType="begin"/>
      </w:r>
      <w:r>
        <w:rPr>
          <w:noProof/>
        </w:rPr>
        <w:instrText xml:space="preserve"> PAGEREF _Toc158712828 \h </w:instrText>
      </w:r>
      <w:r>
        <w:rPr>
          <w:noProof/>
        </w:rPr>
      </w:r>
      <w:r>
        <w:rPr>
          <w:noProof/>
        </w:rPr>
        <w:fldChar w:fldCharType="separate"/>
      </w:r>
      <w:r>
        <w:rPr>
          <w:noProof/>
        </w:rPr>
        <w:t>505</w:t>
      </w:r>
      <w:r>
        <w:rPr>
          <w:noProof/>
        </w:rPr>
        <w:fldChar w:fldCharType="end"/>
      </w:r>
    </w:p>
    <w:p w14:paraId="004AFCBA" w14:textId="30F3833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7.11.14  Sufficient transfer</w:t>
      </w:r>
      <w:r>
        <w:rPr>
          <w:noProof/>
        </w:rPr>
        <w:tab/>
      </w:r>
      <w:r>
        <w:rPr>
          <w:noProof/>
        </w:rPr>
        <w:fldChar w:fldCharType="begin"/>
      </w:r>
      <w:r>
        <w:rPr>
          <w:noProof/>
        </w:rPr>
        <w:instrText xml:space="preserve"> PAGEREF _Toc158712829 \h </w:instrText>
      </w:r>
      <w:r>
        <w:rPr>
          <w:noProof/>
        </w:rPr>
      </w:r>
      <w:r>
        <w:rPr>
          <w:noProof/>
        </w:rPr>
        <w:fldChar w:fldCharType="separate"/>
      </w:r>
      <w:r>
        <w:rPr>
          <w:noProof/>
        </w:rPr>
        <w:t>505</w:t>
      </w:r>
      <w:r>
        <w:rPr>
          <w:noProof/>
        </w:rPr>
        <w:fldChar w:fldCharType="end"/>
      </w:r>
    </w:p>
    <w:p w14:paraId="57CE2DE1" w14:textId="695628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7.11.15  Transferee’s execution of transfer of Division 3 assets</w:t>
      </w:r>
      <w:r>
        <w:rPr>
          <w:noProof/>
        </w:rPr>
        <w:tab/>
      </w:r>
      <w:r>
        <w:rPr>
          <w:noProof/>
        </w:rPr>
        <w:fldChar w:fldCharType="begin"/>
      </w:r>
      <w:r>
        <w:rPr>
          <w:noProof/>
        </w:rPr>
        <w:instrText xml:space="preserve"> PAGEREF _Toc158712830 \h </w:instrText>
      </w:r>
      <w:r>
        <w:rPr>
          <w:noProof/>
        </w:rPr>
      </w:r>
      <w:r>
        <w:rPr>
          <w:noProof/>
        </w:rPr>
        <w:fldChar w:fldCharType="separate"/>
      </w:r>
      <w:r>
        <w:rPr>
          <w:noProof/>
        </w:rPr>
        <w:t>506</w:t>
      </w:r>
      <w:r>
        <w:rPr>
          <w:noProof/>
        </w:rPr>
        <w:fldChar w:fldCharType="end"/>
      </w:r>
    </w:p>
    <w:p w14:paraId="1BC3076E" w14:textId="657D27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7.11.16  Transferee’s execution of transfer of Division 3 rights</w:t>
      </w:r>
      <w:r>
        <w:rPr>
          <w:noProof/>
        </w:rPr>
        <w:tab/>
      </w:r>
      <w:r>
        <w:rPr>
          <w:noProof/>
        </w:rPr>
        <w:fldChar w:fldCharType="begin"/>
      </w:r>
      <w:r>
        <w:rPr>
          <w:noProof/>
        </w:rPr>
        <w:instrText xml:space="preserve"> PAGEREF _Toc158712831 \h </w:instrText>
      </w:r>
      <w:r>
        <w:rPr>
          <w:noProof/>
        </w:rPr>
      </w:r>
      <w:r>
        <w:rPr>
          <w:noProof/>
        </w:rPr>
        <w:fldChar w:fldCharType="separate"/>
      </w:r>
      <w:r>
        <w:rPr>
          <w:noProof/>
        </w:rPr>
        <w:t>506</w:t>
      </w:r>
      <w:r>
        <w:rPr>
          <w:noProof/>
        </w:rPr>
        <w:fldChar w:fldCharType="end"/>
      </w:r>
    </w:p>
    <w:p w14:paraId="2400BE09" w14:textId="551373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7.11.17  Transfer document that purports to bear stamp of transferor's broker</w:t>
      </w:r>
      <w:r>
        <w:rPr>
          <w:noProof/>
        </w:rPr>
        <w:tab/>
      </w:r>
      <w:r>
        <w:rPr>
          <w:noProof/>
        </w:rPr>
        <w:fldChar w:fldCharType="begin"/>
      </w:r>
      <w:r>
        <w:rPr>
          <w:noProof/>
        </w:rPr>
        <w:instrText xml:space="preserve"> PAGEREF _Toc158712832 \h </w:instrText>
      </w:r>
      <w:r>
        <w:rPr>
          <w:noProof/>
        </w:rPr>
      </w:r>
      <w:r>
        <w:rPr>
          <w:noProof/>
        </w:rPr>
        <w:fldChar w:fldCharType="separate"/>
      </w:r>
      <w:r>
        <w:rPr>
          <w:noProof/>
        </w:rPr>
        <w:t>506</w:t>
      </w:r>
      <w:r>
        <w:rPr>
          <w:noProof/>
        </w:rPr>
        <w:fldChar w:fldCharType="end"/>
      </w:r>
    </w:p>
    <w:p w14:paraId="4B872627" w14:textId="1C8C263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7.11.18  Warranties by market licensee if transfer document purports to bear its stamp</w:t>
      </w:r>
      <w:r>
        <w:rPr>
          <w:noProof/>
        </w:rPr>
        <w:tab/>
      </w:r>
      <w:r>
        <w:rPr>
          <w:noProof/>
        </w:rPr>
        <w:fldChar w:fldCharType="begin"/>
      </w:r>
      <w:r>
        <w:rPr>
          <w:noProof/>
        </w:rPr>
        <w:instrText xml:space="preserve"> PAGEREF _Toc158712833 \h </w:instrText>
      </w:r>
      <w:r>
        <w:rPr>
          <w:noProof/>
        </w:rPr>
      </w:r>
      <w:r>
        <w:rPr>
          <w:noProof/>
        </w:rPr>
        <w:fldChar w:fldCharType="separate"/>
      </w:r>
      <w:r>
        <w:rPr>
          <w:noProof/>
        </w:rPr>
        <w:t>507</w:t>
      </w:r>
      <w:r>
        <w:rPr>
          <w:noProof/>
        </w:rPr>
        <w:fldChar w:fldCharType="end"/>
      </w:r>
    </w:p>
    <w:p w14:paraId="1ACF7991" w14:textId="57A0C4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7.11.19  Indemnities by market licensee and broker if transfer document purports to bear their stamps</w:t>
      </w:r>
      <w:r>
        <w:rPr>
          <w:noProof/>
        </w:rPr>
        <w:tab/>
      </w:r>
      <w:r>
        <w:rPr>
          <w:noProof/>
        </w:rPr>
        <w:fldChar w:fldCharType="begin"/>
      </w:r>
      <w:r>
        <w:rPr>
          <w:noProof/>
        </w:rPr>
        <w:instrText xml:space="preserve"> PAGEREF _Toc158712834 \h </w:instrText>
      </w:r>
      <w:r>
        <w:rPr>
          <w:noProof/>
        </w:rPr>
      </w:r>
      <w:r>
        <w:rPr>
          <w:noProof/>
        </w:rPr>
        <w:fldChar w:fldCharType="separate"/>
      </w:r>
      <w:r>
        <w:rPr>
          <w:noProof/>
        </w:rPr>
        <w:t>507</w:t>
      </w:r>
      <w:r>
        <w:rPr>
          <w:noProof/>
        </w:rPr>
        <w:fldChar w:fldCharType="end"/>
      </w:r>
    </w:p>
    <w:p w14:paraId="24776986" w14:textId="6ADD20D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7.11.20  Joint and several warranties and liabilities</w:t>
      </w:r>
      <w:r>
        <w:rPr>
          <w:noProof/>
        </w:rPr>
        <w:tab/>
      </w:r>
      <w:r>
        <w:rPr>
          <w:noProof/>
        </w:rPr>
        <w:fldChar w:fldCharType="begin"/>
      </w:r>
      <w:r>
        <w:rPr>
          <w:noProof/>
        </w:rPr>
        <w:instrText xml:space="preserve"> PAGEREF _Toc158712835 \h </w:instrText>
      </w:r>
      <w:r>
        <w:rPr>
          <w:noProof/>
        </w:rPr>
      </w:r>
      <w:r>
        <w:rPr>
          <w:noProof/>
        </w:rPr>
        <w:fldChar w:fldCharType="separate"/>
      </w:r>
      <w:r>
        <w:rPr>
          <w:noProof/>
        </w:rPr>
        <w:t>508</w:t>
      </w:r>
      <w:r>
        <w:rPr>
          <w:noProof/>
        </w:rPr>
        <w:fldChar w:fldCharType="end"/>
      </w:r>
    </w:p>
    <w:p w14:paraId="1417F5DA" w14:textId="774B787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7.11.21  Registration of certain instruments</w:t>
      </w:r>
      <w:r>
        <w:rPr>
          <w:noProof/>
        </w:rPr>
        <w:tab/>
      </w:r>
      <w:r>
        <w:rPr>
          <w:noProof/>
        </w:rPr>
        <w:fldChar w:fldCharType="begin"/>
      </w:r>
      <w:r>
        <w:rPr>
          <w:noProof/>
        </w:rPr>
        <w:instrText xml:space="preserve"> PAGEREF _Toc158712836 \h </w:instrText>
      </w:r>
      <w:r>
        <w:rPr>
          <w:noProof/>
        </w:rPr>
      </w:r>
      <w:r>
        <w:rPr>
          <w:noProof/>
        </w:rPr>
        <w:fldChar w:fldCharType="separate"/>
      </w:r>
      <w:r>
        <w:rPr>
          <w:noProof/>
        </w:rPr>
        <w:t>508</w:t>
      </w:r>
      <w:r>
        <w:rPr>
          <w:noProof/>
        </w:rPr>
        <w:fldChar w:fldCharType="end"/>
      </w:r>
    </w:p>
    <w:p w14:paraId="763F5A33" w14:textId="112753A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7.11.22  Details to be included in instrument of transfer</w:t>
      </w:r>
      <w:r>
        <w:rPr>
          <w:noProof/>
        </w:rPr>
        <w:tab/>
      </w:r>
      <w:r>
        <w:rPr>
          <w:noProof/>
        </w:rPr>
        <w:fldChar w:fldCharType="begin"/>
      </w:r>
      <w:r>
        <w:rPr>
          <w:noProof/>
        </w:rPr>
        <w:instrText xml:space="preserve"> PAGEREF _Toc158712837 \h </w:instrText>
      </w:r>
      <w:r>
        <w:rPr>
          <w:noProof/>
        </w:rPr>
      </w:r>
      <w:r>
        <w:rPr>
          <w:noProof/>
        </w:rPr>
        <w:fldChar w:fldCharType="separate"/>
      </w:r>
      <w:r>
        <w:rPr>
          <w:noProof/>
        </w:rPr>
        <w:t>508</w:t>
      </w:r>
      <w:r>
        <w:rPr>
          <w:noProof/>
        </w:rPr>
        <w:fldChar w:fldCharType="end"/>
      </w:r>
    </w:p>
    <w:p w14:paraId="77744498" w14:textId="28A1ADF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w:t>
      </w:r>
      <w:r w:rsidRPr="00FC743A">
        <w:rPr>
          <w:noProof/>
          <w:color w:val="000000"/>
        </w:rPr>
        <w:t>—</w:t>
      </w:r>
      <w:r>
        <w:rPr>
          <w:noProof/>
        </w:rPr>
        <w:t>Transfer of Division 4 financial products effected through prescribed CS facility</w:t>
      </w:r>
      <w:r>
        <w:rPr>
          <w:noProof/>
        </w:rPr>
        <w:tab/>
      </w:r>
      <w:r>
        <w:rPr>
          <w:noProof/>
        </w:rPr>
        <w:fldChar w:fldCharType="begin"/>
      </w:r>
      <w:r>
        <w:rPr>
          <w:noProof/>
        </w:rPr>
        <w:instrText xml:space="preserve"> PAGEREF _Toc158712838 \h </w:instrText>
      </w:r>
      <w:r>
        <w:rPr>
          <w:noProof/>
        </w:rPr>
      </w:r>
      <w:r>
        <w:rPr>
          <w:noProof/>
        </w:rPr>
        <w:fldChar w:fldCharType="separate"/>
      </w:r>
      <w:r>
        <w:rPr>
          <w:noProof/>
        </w:rPr>
        <w:t>509</w:t>
      </w:r>
      <w:r>
        <w:rPr>
          <w:noProof/>
        </w:rPr>
        <w:fldChar w:fldCharType="end"/>
      </w:r>
    </w:p>
    <w:p w14:paraId="427874FA" w14:textId="6A49758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7.11.23  Application of Division 4</w:t>
      </w:r>
      <w:r>
        <w:rPr>
          <w:noProof/>
        </w:rPr>
        <w:tab/>
      </w:r>
      <w:r>
        <w:rPr>
          <w:noProof/>
        </w:rPr>
        <w:fldChar w:fldCharType="begin"/>
      </w:r>
      <w:r>
        <w:rPr>
          <w:noProof/>
        </w:rPr>
        <w:instrText xml:space="preserve"> PAGEREF _Toc158712839 \h </w:instrText>
      </w:r>
      <w:r>
        <w:rPr>
          <w:noProof/>
        </w:rPr>
      </w:r>
      <w:r>
        <w:rPr>
          <w:noProof/>
        </w:rPr>
        <w:fldChar w:fldCharType="separate"/>
      </w:r>
      <w:r>
        <w:rPr>
          <w:noProof/>
        </w:rPr>
        <w:t>509</w:t>
      </w:r>
      <w:r>
        <w:rPr>
          <w:noProof/>
        </w:rPr>
        <w:fldChar w:fldCharType="end"/>
      </w:r>
    </w:p>
    <w:p w14:paraId="222C7B1B" w14:textId="50250D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7.11.24  Application of ASTC operating rules</w:t>
      </w:r>
      <w:r>
        <w:rPr>
          <w:noProof/>
        </w:rPr>
        <w:tab/>
      </w:r>
      <w:r>
        <w:rPr>
          <w:noProof/>
        </w:rPr>
        <w:fldChar w:fldCharType="begin"/>
      </w:r>
      <w:r>
        <w:rPr>
          <w:noProof/>
        </w:rPr>
        <w:instrText xml:space="preserve"> PAGEREF _Toc158712840 \h </w:instrText>
      </w:r>
      <w:r>
        <w:rPr>
          <w:noProof/>
        </w:rPr>
      </w:r>
      <w:r>
        <w:rPr>
          <w:noProof/>
        </w:rPr>
        <w:fldChar w:fldCharType="separate"/>
      </w:r>
      <w:r>
        <w:rPr>
          <w:noProof/>
        </w:rPr>
        <w:t>509</w:t>
      </w:r>
      <w:r>
        <w:rPr>
          <w:noProof/>
        </w:rPr>
        <w:fldChar w:fldCharType="end"/>
      </w:r>
    </w:p>
    <w:p w14:paraId="1F7B7DF2" w14:textId="4DE00D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7.11.25  Participant’s authority to enter into transaction continues despite client’s death</w:t>
      </w:r>
      <w:r>
        <w:rPr>
          <w:noProof/>
        </w:rPr>
        <w:tab/>
      </w:r>
      <w:r>
        <w:rPr>
          <w:noProof/>
        </w:rPr>
        <w:fldChar w:fldCharType="begin"/>
      </w:r>
      <w:r>
        <w:rPr>
          <w:noProof/>
        </w:rPr>
        <w:instrText xml:space="preserve"> PAGEREF _Toc158712841 \h </w:instrText>
      </w:r>
      <w:r>
        <w:rPr>
          <w:noProof/>
        </w:rPr>
      </w:r>
      <w:r>
        <w:rPr>
          <w:noProof/>
        </w:rPr>
        <w:fldChar w:fldCharType="separate"/>
      </w:r>
      <w:r>
        <w:rPr>
          <w:noProof/>
        </w:rPr>
        <w:t>509</w:t>
      </w:r>
      <w:r>
        <w:rPr>
          <w:noProof/>
        </w:rPr>
        <w:fldChar w:fldCharType="end"/>
      </w:r>
    </w:p>
    <w:p w14:paraId="5F9B7D29" w14:textId="06B1ECE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7.11.26  Authority to enter into transaction gives authority to transfer</w:t>
      </w:r>
      <w:r>
        <w:rPr>
          <w:noProof/>
        </w:rPr>
        <w:tab/>
      </w:r>
      <w:r>
        <w:rPr>
          <w:noProof/>
        </w:rPr>
        <w:fldChar w:fldCharType="begin"/>
      </w:r>
      <w:r>
        <w:rPr>
          <w:noProof/>
        </w:rPr>
        <w:instrText xml:space="preserve"> PAGEREF _Toc158712842 \h </w:instrText>
      </w:r>
      <w:r>
        <w:rPr>
          <w:noProof/>
        </w:rPr>
      </w:r>
      <w:r>
        <w:rPr>
          <w:noProof/>
        </w:rPr>
        <w:fldChar w:fldCharType="separate"/>
      </w:r>
      <w:r>
        <w:rPr>
          <w:noProof/>
        </w:rPr>
        <w:t>509</w:t>
      </w:r>
      <w:r>
        <w:rPr>
          <w:noProof/>
        </w:rPr>
        <w:fldChar w:fldCharType="end"/>
      </w:r>
    </w:p>
    <w:p w14:paraId="6B1D7C56" w14:textId="1128013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7.11.27  Effect of proper ASTC transfer on transferee: Division 4 financial products other than rights</w:t>
      </w:r>
      <w:r>
        <w:rPr>
          <w:noProof/>
        </w:rPr>
        <w:tab/>
      </w:r>
      <w:r>
        <w:rPr>
          <w:noProof/>
        </w:rPr>
        <w:fldChar w:fldCharType="begin"/>
      </w:r>
      <w:r>
        <w:rPr>
          <w:noProof/>
        </w:rPr>
        <w:instrText xml:space="preserve"> PAGEREF _Toc158712843 \h </w:instrText>
      </w:r>
      <w:r>
        <w:rPr>
          <w:noProof/>
        </w:rPr>
      </w:r>
      <w:r>
        <w:rPr>
          <w:noProof/>
        </w:rPr>
        <w:fldChar w:fldCharType="separate"/>
      </w:r>
      <w:r>
        <w:rPr>
          <w:noProof/>
        </w:rPr>
        <w:t>510</w:t>
      </w:r>
      <w:r>
        <w:rPr>
          <w:noProof/>
        </w:rPr>
        <w:fldChar w:fldCharType="end"/>
      </w:r>
    </w:p>
    <w:p w14:paraId="6537E567" w14:textId="53EBEDA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7.11.28  Effect of proper ASTC transfer on transferee: rights</w:t>
      </w:r>
      <w:r>
        <w:rPr>
          <w:noProof/>
        </w:rPr>
        <w:tab/>
      </w:r>
      <w:r>
        <w:rPr>
          <w:noProof/>
        </w:rPr>
        <w:fldChar w:fldCharType="begin"/>
      </w:r>
      <w:r>
        <w:rPr>
          <w:noProof/>
        </w:rPr>
        <w:instrText xml:space="preserve"> PAGEREF _Toc158712844 \h </w:instrText>
      </w:r>
      <w:r>
        <w:rPr>
          <w:noProof/>
        </w:rPr>
      </w:r>
      <w:r>
        <w:rPr>
          <w:noProof/>
        </w:rPr>
        <w:fldChar w:fldCharType="separate"/>
      </w:r>
      <w:r>
        <w:rPr>
          <w:noProof/>
        </w:rPr>
        <w:t>510</w:t>
      </w:r>
      <w:r>
        <w:rPr>
          <w:noProof/>
        </w:rPr>
        <w:fldChar w:fldCharType="end"/>
      </w:r>
    </w:p>
    <w:p w14:paraId="2C688B7E" w14:textId="16989EF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7.11.29  Warranties by participant if identification code is included in transfer document</w:t>
      </w:r>
      <w:r>
        <w:rPr>
          <w:noProof/>
        </w:rPr>
        <w:tab/>
      </w:r>
      <w:r>
        <w:rPr>
          <w:noProof/>
        </w:rPr>
        <w:fldChar w:fldCharType="begin"/>
      </w:r>
      <w:r>
        <w:rPr>
          <w:noProof/>
        </w:rPr>
        <w:instrText xml:space="preserve"> PAGEREF _Toc158712845 \h </w:instrText>
      </w:r>
      <w:r>
        <w:rPr>
          <w:noProof/>
        </w:rPr>
      </w:r>
      <w:r>
        <w:rPr>
          <w:noProof/>
        </w:rPr>
        <w:fldChar w:fldCharType="separate"/>
      </w:r>
      <w:r>
        <w:rPr>
          <w:noProof/>
        </w:rPr>
        <w:t>511</w:t>
      </w:r>
      <w:r>
        <w:rPr>
          <w:noProof/>
        </w:rPr>
        <w:fldChar w:fldCharType="end"/>
      </w:r>
    </w:p>
    <w:p w14:paraId="41BC29E7" w14:textId="0DA2FE9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7.11.30  Indemnities in respect of warranted matters: transfer not effected by the participant</w:t>
      </w:r>
      <w:r>
        <w:rPr>
          <w:noProof/>
        </w:rPr>
        <w:tab/>
      </w:r>
      <w:r>
        <w:rPr>
          <w:noProof/>
        </w:rPr>
        <w:fldChar w:fldCharType="begin"/>
      </w:r>
      <w:r>
        <w:rPr>
          <w:noProof/>
        </w:rPr>
        <w:instrText xml:space="preserve"> PAGEREF _Toc158712846 \h </w:instrText>
      </w:r>
      <w:r>
        <w:rPr>
          <w:noProof/>
        </w:rPr>
      </w:r>
      <w:r>
        <w:rPr>
          <w:noProof/>
        </w:rPr>
        <w:fldChar w:fldCharType="separate"/>
      </w:r>
      <w:r>
        <w:rPr>
          <w:noProof/>
        </w:rPr>
        <w:t>511</w:t>
      </w:r>
      <w:r>
        <w:rPr>
          <w:noProof/>
        </w:rPr>
        <w:fldChar w:fldCharType="end"/>
      </w:r>
    </w:p>
    <w:p w14:paraId="6AA0678B" w14:textId="73E95F4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7.11.31  Indemnities in respect of warranted matters: transferor not legally entitled or authorised to transfer Division 4 financial products</w:t>
      </w:r>
      <w:r>
        <w:rPr>
          <w:noProof/>
        </w:rPr>
        <w:tab/>
      </w:r>
      <w:r>
        <w:rPr>
          <w:noProof/>
        </w:rPr>
        <w:fldChar w:fldCharType="begin"/>
      </w:r>
      <w:r>
        <w:rPr>
          <w:noProof/>
        </w:rPr>
        <w:instrText xml:space="preserve"> PAGEREF _Toc158712847 \h </w:instrText>
      </w:r>
      <w:r>
        <w:rPr>
          <w:noProof/>
        </w:rPr>
      </w:r>
      <w:r>
        <w:rPr>
          <w:noProof/>
        </w:rPr>
        <w:fldChar w:fldCharType="separate"/>
      </w:r>
      <w:r>
        <w:rPr>
          <w:noProof/>
        </w:rPr>
        <w:t>512</w:t>
      </w:r>
      <w:r>
        <w:rPr>
          <w:noProof/>
        </w:rPr>
        <w:fldChar w:fldCharType="end"/>
      </w:r>
    </w:p>
    <w:p w14:paraId="26B13D87" w14:textId="38ADF0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7.11.32  Indemnities in respect of warranted matters: participant not authorised to effect transfer</w:t>
      </w:r>
      <w:r>
        <w:rPr>
          <w:noProof/>
        </w:rPr>
        <w:tab/>
      </w:r>
      <w:r>
        <w:rPr>
          <w:noProof/>
        </w:rPr>
        <w:fldChar w:fldCharType="begin"/>
      </w:r>
      <w:r>
        <w:rPr>
          <w:noProof/>
        </w:rPr>
        <w:instrText xml:space="preserve"> PAGEREF _Toc158712848 \h </w:instrText>
      </w:r>
      <w:r>
        <w:rPr>
          <w:noProof/>
        </w:rPr>
      </w:r>
      <w:r>
        <w:rPr>
          <w:noProof/>
        </w:rPr>
        <w:fldChar w:fldCharType="separate"/>
      </w:r>
      <w:r>
        <w:rPr>
          <w:noProof/>
        </w:rPr>
        <w:t>512</w:t>
      </w:r>
      <w:r>
        <w:rPr>
          <w:noProof/>
        </w:rPr>
        <w:fldChar w:fldCharType="end"/>
      </w:r>
    </w:p>
    <w:p w14:paraId="78922B72" w14:textId="53DF7F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7.11.33  Joint and several warranties and liabilities</w:t>
      </w:r>
      <w:r>
        <w:rPr>
          <w:noProof/>
        </w:rPr>
        <w:tab/>
      </w:r>
      <w:r>
        <w:rPr>
          <w:noProof/>
        </w:rPr>
        <w:fldChar w:fldCharType="begin"/>
      </w:r>
      <w:r>
        <w:rPr>
          <w:noProof/>
        </w:rPr>
        <w:instrText xml:space="preserve"> PAGEREF _Toc158712849 \h </w:instrText>
      </w:r>
      <w:r>
        <w:rPr>
          <w:noProof/>
        </w:rPr>
      </w:r>
      <w:r>
        <w:rPr>
          <w:noProof/>
        </w:rPr>
        <w:fldChar w:fldCharType="separate"/>
      </w:r>
      <w:r>
        <w:rPr>
          <w:noProof/>
        </w:rPr>
        <w:t>512</w:t>
      </w:r>
      <w:r>
        <w:rPr>
          <w:noProof/>
        </w:rPr>
        <w:fldChar w:fldCharType="end"/>
      </w:r>
    </w:p>
    <w:p w14:paraId="1A99B897" w14:textId="219298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7.11.34  ASTC entitled to assume its operating rules complied with</w:t>
      </w:r>
      <w:r>
        <w:rPr>
          <w:noProof/>
        </w:rPr>
        <w:tab/>
      </w:r>
      <w:r>
        <w:rPr>
          <w:noProof/>
        </w:rPr>
        <w:fldChar w:fldCharType="begin"/>
      </w:r>
      <w:r>
        <w:rPr>
          <w:noProof/>
        </w:rPr>
        <w:instrText xml:space="preserve"> PAGEREF _Toc158712850 \h </w:instrText>
      </w:r>
      <w:r>
        <w:rPr>
          <w:noProof/>
        </w:rPr>
      </w:r>
      <w:r>
        <w:rPr>
          <w:noProof/>
        </w:rPr>
        <w:fldChar w:fldCharType="separate"/>
      </w:r>
      <w:r>
        <w:rPr>
          <w:noProof/>
        </w:rPr>
        <w:t>513</w:t>
      </w:r>
      <w:r>
        <w:rPr>
          <w:noProof/>
        </w:rPr>
        <w:fldChar w:fldCharType="end"/>
      </w:r>
    </w:p>
    <w:p w14:paraId="164B3C38" w14:textId="410C437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7.11.35  ASTC</w:t>
      </w:r>
      <w:r>
        <w:rPr>
          <w:noProof/>
        </w:rPr>
        <w:noBreakHyphen/>
        <w:t>regulated transfer not to be registered unless proper ASTC transfer</w:t>
      </w:r>
      <w:r>
        <w:rPr>
          <w:noProof/>
        </w:rPr>
        <w:tab/>
      </w:r>
      <w:r>
        <w:rPr>
          <w:noProof/>
        </w:rPr>
        <w:fldChar w:fldCharType="begin"/>
      </w:r>
      <w:r>
        <w:rPr>
          <w:noProof/>
        </w:rPr>
        <w:instrText xml:space="preserve"> PAGEREF _Toc158712851 \h </w:instrText>
      </w:r>
      <w:r>
        <w:rPr>
          <w:noProof/>
        </w:rPr>
      </w:r>
      <w:r>
        <w:rPr>
          <w:noProof/>
        </w:rPr>
        <w:fldChar w:fldCharType="separate"/>
      </w:r>
      <w:r>
        <w:rPr>
          <w:noProof/>
        </w:rPr>
        <w:t>513</w:t>
      </w:r>
      <w:r>
        <w:rPr>
          <w:noProof/>
        </w:rPr>
        <w:fldChar w:fldCharType="end"/>
      </w:r>
    </w:p>
    <w:p w14:paraId="5F51EF22" w14:textId="41E78BA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7.11.36  Issuer not to refuse to register proper ASTC transfer</w:t>
      </w:r>
      <w:r>
        <w:rPr>
          <w:noProof/>
        </w:rPr>
        <w:tab/>
      </w:r>
      <w:r>
        <w:rPr>
          <w:noProof/>
        </w:rPr>
        <w:fldChar w:fldCharType="begin"/>
      </w:r>
      <w:r>
        <w:rPr>
          <w:noProof/>
        </w:rPr>
        <w:instrText xml:space="preserve"> PAGEREF _Toc158712852 \h </w:instrText>
      </w:r>
      <w:r>
        <w:rPr>
          <w:noProof/>
        </w:rPr>
      </w:r>
      <w:r>
        <w:rPr>
          <w:noProof/>
        </w:rPr>
        <w:fldChar w:fldCharType="separate"/>
      </w:r>
      <w:r>
        <w:rPr>
          <w:noProof/>
        </w:rPr>
        <w:t>513</w:t>
      </w:r>
      <w:r>
        <w:rPr>
          <w:noProof/>
        </w:rPr>
        <w:fldChar w:fldCharType="end"/>
      </w:r>
    </w:p>
    <w:p w14:paraId="654FCD6E" w14:textId="3F8F523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7.11.37  Determination of who holds Division 4 financial products for the purposes of meeting</w:t>
      </w:r>
      <w:r>
        <w:rPr>
          <w:noProof/>
        </w:rPr>
        <w:tab/>
      </w:r>
      <w:r>
        <w:rPr>
          <w:noProof/>
        </w:rPr>
        <w:fldChar w:fldCharType="begin"/>
      </w:r>
      <w:r>
        <w:rPr>
          <w:noProof/>
        </w:rPr>
        <w:instrText xml:space="preserve"> PAGEREF _Toc158712853 \h </w:instrText>
      </w:r>
      <w:r>
        <w:rPr>
          <w:noProof/>
        </w:rPr>
      </w:r>
      <w:r>
        <w:rPr>
          <w:noProof/>
        </w:rPr>
        <w:fldChar w:fldCharType="separate"/>
      </w:r>
      <w:r>
        <w:rPr>
          <w:noProof/>
        </w:rPr>
        <w:t>513</w:t>
      </w:r>
      <w:r>
        <w:rPr>
          <w:noProof/>
        </w:rPr>
        <w:fldChar w:fldCharType="end"/>
      </w:r>
    </w:p>
    <w:p w14:paraId="4188EC3F" w14:textId="578E26A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7.11.38  Determination of who holds Division 4 financial products in class of Division 4 financial products for the purposes of meeting</w:t>
      </w:r>
      <w:r>
        <w:rPr>
          <w:noProof/>
        </w:rPr>
        <w:tab/>
      </w:r>
      <w:r>
        <w:rPr>
          <w:noProof/>
        </w:rPr>
        <w:fldChar w:fldCharType="begin"/>
      </w:r>
      <w:r>
        <w:rPr>
          <w:noProof/>
        </w:rPr>
        <w:instrText xml:space="preserve"> PAGEREF _Toc158712854 \h </w:instrText>
      </w:r>
      <w:r>
        <w:rPr>
          <w:noProof/>
        </w:rPr>
      </w:r>
      <w:r>
        <w:rPr>
          <w:noProof/>
        </w:rPr>
        <w:fldChar w:fldCharType="separate"/>
      </w:r>
      <w:r>
        <w:rPr>
          <w:noProof/>
        </w:rPr>
        <w:t>514</w:t>
      </w:r>
      <w:r>
        <w:rPr>
          <w:noProof/>
        </w:rPr>
        <w:fldChar w:fldCharType="end"/>
      </w:r>
    </w:p>
    <w:p w14:paraId="3CDC0D52" w14:textId="6EB3FE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7.11.39  Determination of who holds Division 4 financial products for the purposes of conferring security benefits</w:t>
      </w:r>
      <w:r>
        <w:rPr>
          <w:noProof/>
        </w:rPr>
        <w:tab/>
      </w:r>
      <w:r>
        <w:rPr>
          <w:noProof/>
        </w:rPr>
        <w:fldChar w:fldCharType="begin"/>
      </w:r>
      <w:r>
        <w:rPr>
          <w:noProof/>
        </w:rPr>
        <w:instrText xml:space="preserve"> PAGEREF _Toc158712855 \h </w:instrText>
      </w:r>
      <w:r>
        <w:rPr>
          <w:noProof/>
        </w:rPr>
      </w:r>
      <w:r>
        <w:rPr>
          <w:noProof/>
        </w:rPr>
        <w:fldChar w:fldCharType="separate"/>
      </w:r>
      <w:r>
        <w:rPr>
          <w:noProof/>
        </w:rPr>
        <w:t>514</w:t>
      </w:r>
      <w:r>
        <w:rPr>
          <w:noProof/>
        </w:rPr>
        <w:fldChar w:fldCharType="end"/>
      </w:r>
    </w:p>
    <w:p w14:paraId="60F7D3DC" w14:textId="3881FD9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w:t>
      </w:r>
      <w:r w:rsidRPr="00FC743A">
        <w:rPr>
          <w:noProof/>
          <w:snapToGrid w:val="0"/>
          <w:color w:val="000000"/>
        </w:rPr>
        <w:t>—</w:t>
      </w:r>
      <w:r>
        <w:rPr>
          <w:noProof/>
        </w:rPr>
        <w:t>Offences</w:t>
      </w:r>
      <w:r>
        <w:rPr>
          <w:noProof/>
        </w:rPr>
        <w:tab/>
      </w:r>
      <w:r>
        <w:rPr>
          <w:noProof/>
        </w:rPr>
        <w:fldChar w:fldCharType="begin"/>
      </w:r>
      <w:r>
        <w:rPr>
          <w:noProof/>
        </w:rPr>
        <w:instrText xml:space="preserve"> PAGEREF _Toc158712856 \h </w:instrText>
      </w:r>
      <w:r>
        <w:rPr>
          <w:noProof/>
        </w:rPr>
      </w:r>
      <w:r>
        <w:rPr>
          <w:noProof/>
        </w:rPr>
        <w:fldChar w:fldCharType="separate"/>
      </w:r>
      <w:r>
        <w:rPr>
          <w:noProof/>
        </w:rPr>
        <w:t>515</w:t>
      </w:r>
      <w:r>
        <w:rPr>
          <w:noProof/>
        </w:rPr>
        <w:fldChar w:fldCharType="end"/>
      </w:r>
    </w:p>
    <w:p w14:paraId="1E878D4B" w14:textId="45C23DD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7.11.40  Stamping of broker’s stamp on sufficient transfer</w:t>
      </w:r>
      <w:r>
        <w:rPr>
          <w:noProof/>
        </w:rPr>
        <w:tab/>
      </w:r>
      <w:r>
        <w:rPr>
          <w:noProof/>
        </w:rPr>
        <w:fldChar w:fldCharType="begin"/>
      </w:r>
      <w:r>
        <w:rPr>
          <w:noProof/>
        </w:rPr>
        <w:instrText xml:space="preserve"> PAGEREF _Toc158712857 \h </w:instrText>
      </w:r>
      <w:r>
        <w:rPr>
          <w:noProof/>
        </w:rPr>
      </w:r>
      <w:r>
        <w:rPr>
          <w:noProof/>
        </w:rPr>
        <w:fldChar w:fldCharType="separate"/>
      </w:r>
      <w:r>
        <w:rPr>
          <w:noProof/>
        </w:rPr>
        <w:t>515</w:t>
      </w:r>
      <w:r>
        <w:rPr>
          <w:noProof/>
        </w:rPr>
        <w:fldChar w:fldCharType="end"/>
      </w:r>
    </w:p>
    <w:p w14:paraId="51443F13" w14:textId="044419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7.11.41  Inclusion of identification codes in proper ASTC transfers</w:t>
      </w:r>
      <w:r>
        <w:rPr>
          <w:noProof/>
        </w:rPr>
        <w:tab/>
      </w:r>
      <w:r>
        <w:rPr>
          <w:noProof/>
        </w:rPr>
        <w:fldChar w:fldCharType="begin"/>
      </w:r>
      <w:r>
        <w:rPr>
          <w:noProof/>
        </w:rPr>
        <w:instrText xml:space="preserve"> PAGEREF _Toc158712858 \h </w:instrText>
      </w:r>
      <w:r>
        <w:rPr>
          <w:noProof/>
        </w:rPr>
      </w:r>
      <w:r>
        <w:rPr>
          <w:noProof/>
        </w:rPr>
        <w:fldChar w:fldCharType="separate"/>
      </w:r>
      <w:r>
        <w:rPr>
          <w:noProof/>
        </w:rPr>
        <w:t>515</w:t>
      </w:r>
      <w:r>
        <w:rPr>
          <w:noProof/>
        </w:rPr>
        <w:fldChar w:fldCharType="end"/>
      </w:r>
    </w:p>
    <w:p w14:paraId="4234AB05" w14:textId="0FC7AC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7.11.42  Contravention by participant of the ASTC certificate cancellation provisions relating to use of cancellation stamps</w:t>
      </w:r>
      <w:r>
        <w:rPr>
          <w:noProof/>
        </w:rPr>
        <w:tab/>
      </w:r>
      <w:r>
        <w:rPr>
          <w:noProof/>
        </w:rPr>
        <w:fldChar w:fldCharType="begin"/>
      </w:r>
      <w:r>
        <w:rPr>
          <w:noProof/>
        </w:rPr>
        <w:instrText xml:space="preserve"> PAGEREF _Toc158712859 \h </w:instrText>
      </w:r>
      <w:r>
        <w:rPr>
          <w:noProof/>
        </w:rPr>
      </w:r>
      <w:r>
        <w:rPr>
          <w:noProof/>
        </w:rPr>
        <w:fldChar w:fldCharType="separate"/>
      </w:r>
      <w:r>
        <w:rPr>
          <w:noProof/>
        </w:rPr>
        <w:t>516</w:t>
      </w:r>
      <w:r>
        <w:rPr>
          <w:noProof/>
        </w:rPr>
        <w:fldChar w:fldCharType="end"/>
      </w:r>
    </w:p>
    <w:p w14:paraId="7991C6F7" w14:textId="5899094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w:t>
      </w:r>
      <w:r w:rsidRPr="00FC743A">
        <w:rPr>
          <w:noProof/>
          <w:color w:val="000000"/>
        </w:rPr>
        <w:t>—</w:t>
      </w:r>
      <w:r>
        <w:rPr>
          <w:noProof/>
        </w:rPr>
        <w:t>Civil liability</w:t>
      </w:r>
      <w:r>
        <w:rPr>
          <w:noProof/>
        </w:rPr>
        <w:tab/>
      </w:r>
      <w:r>
        <w:rPr>
          <w:noProof/>
        </w:rPr>
        <w:fldChar w:fldCharType="begin"/>
      </w:r>
      <w:r>
        <w:rPr>
          <w:noProof/>
        </w:rPr>
        <w:instrText xml:space="preserve"> PAGEREF _Toc158712860 \h </w:instrText>
      </w:r>
      <w:r>
        <w:rPr>
          <w:noProof/>
        </w:rPr>
      </w:r>
      <w:r>
        <w:rPr>
          <w:noProof/>
        </w:rPr>
        <w:fldChar w:fldCharType="separate"/>
      </w:r>
      <w:r>
        <w:rPr>
          <w:noProof/>
        </w:rPr>
        <w:t>517</w:t>
      </w:r>
      <w:r>
        <w:rPr>
          <w:noProof/>
        </w:rPr>
        <w:fldChar w:fldCharType="end"/>
      </w:r>
    </w:p>
    <w:p w14:paraId="688ADE00" w14:textId="1F0650D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7.11.43  Contravention by participant of the ASTC certificate cancellation provisions</w:t>
      </w:r>
      <w:r>
        <w:rPr>
          <w:noProof/>
        </w:rPr>
        <w:tab/>
      </w:r>
      <w:r>
        <w:rPr>
          <w:noProof/>
        </w:rPr>
        <w:fldChar w:fldCharType="begin"/>
      </w:r>
      <w:r>
        <w:rPr>
          <w:noProof/>
        </w:rPr>
        <w:instrText xml:space="preserve"> PAGEREF _Toc158712861 \h </w:instrText>
      </w:r>
      <w:r>
        <w:rPr>
          <w:noProof/>
        </w:rPr>
      </w:r>
      <w:r>
        <w:rPr>
          <w:noProof/>
        </w:rPr>
        <w:fldChar w:fldCharType="separate"/>
      </w:r>
      <w:r>
        <w:rPr>
          <w:noProof/>
        </w:rPr>
        <w:t>517</w:t>
      </w:r>
      <w:r>
        <w:rPr>
          <w:noProof/>
        </w:rPr>
        <w:fldChar w:fldCharType="end"/>
      </w:r>
    </w:p>
    <w:p w14:paraId="327391F9" w14:textId="4B16702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7.12</w:t>
      </w:r>
      <w:r w:rsidRPr="00FC743A">
        <w:rPr>
          <w:noProof/>
          <w:color w:val="000000"/>
        </w:rPr>
        <w:t>—</w:t>
      </w:r>
      <w:r>
        <w:rPr>
          <w:noProof/>
        </w:rPr>
        <w:t>Miscellaneous</w:t>
      </w:r>
      <w:r>
        <w:rPr>
          <w:noProof/>
        </w:rPr>
        <w:tab/>
      </w:r>
      <w:r>
        <w:rPr>
          <w:noProof/>
        </w:rPr>
        <w:fldChar w:fldCharType="begin"/>
      </w:r>
      <w:r>
        <w:rPr>
          <w:noProof/>
        </w:rPr>
        <w:instrText xml:space="preserve"> PAGEREF _Toc158712862 \h </w:instrText>
      </w:r>
      <w:r>
        <w:rPr>
          <w:noProof/>
        </w:rPr>
      </w:r>
      <w:r>
        <w:rPr>
          <w:noProof/>
        </w:rPr>
        <w:fldChar w:fldCharType="separate"/>
      </w:r>
      <w:r>
        <w:rPr>
          <w:noProof/>
        </w:rPr>
        <w:t>518</w:t>
      </w:r>
      <w:r>
        <w:rPr>
          <w:noProof/>
        </w:rPr>
        <w:fldChar w:fldCharType="end"/>
      </w:r>
    </w:p>
    <w:p w14:paraId="16B3CD7C" w14:textId="0435319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7.12.01  Destruction of records by ASIC</w:t>
      </w:r>
      <w:r>
        <w:rPr>
          <w:noProof/>
        </w:rPr>
        <w:tab/>
      </w:r>
      <w:r>
        <w:rPr>
          <w:noProof/>
        </w:rPr>
        <w:fldChar w:fldCharType="begin"/>
      </w:r>
      <w:r>
        <w:rPr>
          <w:noProof/>
        </w:rPr>
        <w:instrText xml:space="preserve"> PAGEREF _Toc158712863 \h </w:instrText>
      </w:r>
      <w:r>
        <w:rPr>
          <w:noProof/>
        </w:rPr>
      </w:r>
      <w:r>
        <w:rPr>
          <w:noProof/>
        </w:rPr>
        <w:fldChar w:fldCharType="separate"/>
      </w:r>
      <w:r>
        <w:rPr>
          <w:noProof/>
        </w:rPr>
        <w:t>518</w:t>
      </w:r>
      <w:r>
        <w:rPr>
          <w:noProof/>
        </w:rPr>
        <w:fldChar w:fldCharType="end"/>
      </w:r>
    </w:p>
    <w:p w14:paraId="0ADEC13A" w14:textId="4FE839E7"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8—Mutual recognition of securities offers</w:t>
      </w:r>
      <w:r>
        <w:rPr>
          <w:noProof/>
        </w:rPr>
        <w:tab/>
      </w:r>
      <w:r>
        <w:rPr>
          <w:noProof/>
        </w:rPr>
        <w:fldChar w:fldCharType="begin"/>
      </w:r>
      <w:r>
        <w:rPr>
          <w:noProof/>
        </w:rPr>
        <w:instrText xml:space="preserve"> PAGEREF _Toc158712864 \h </w:instrText>
      </w:r>
      <w:r>
        <w:rPr>
          <w:noProof/>
        </w:rPr>
      </w:r>
      <w:r>
        <w:rPr>
          <w:noProof/>
        </w:rPr>
        <w:fldChar w:fldCharType="separate"/>
      </w:r>
      <w:r>
        <w:rPr>
          <w:noProof/>
        </w:rPr>
        <w:t>519</w:t>
      </w:r>
      <w:r>
        <w:rPr>
          <w:noProof/>
        </w:rPr>
        <w:fldChar w:fldCharType="end"/>
      </w:r>
    </w:p>
    <w:p w14:paraId="1EA783DF" w14:textId="328868D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8.1—Preliminary</w:t>
      </w:r>
      <w:r>
        <w:rPr>
          <w:noProof/>
        </w:rPr>
        <w:tab/>
      </w:r>
      <w:r>
        <w:rPr>
          <w:noProof/>
        </w:rPr>
        <w:fldChar w:fldCharType="begin"/>
      </w:r>
      <w:r>
        <w:rPr>
          <w:noProof/>
        </w:rPr>
        <w:instrText xml:space="preserve"> PAGEREF _Toc158712865 \h </w:instrText>
      </w:r>
      <w:r>
        <w:rPr>
          <w:noProof/>
        </w:rPr>
      </w:r>
      <w:r>
        <w:rPr>
          <w:noProof/>
        </w:rPr>
        <w:fldChar w:fldCharType="separate"/>
      </w:r>
      <w:r>
        <w:rPr>
          <w:noProof/>
        </w:rPr>
        <w:t>519</w:t>
      </w:r>
      <w:r>
        <w:rPr>
          <w:noProof/>
        </w:rPr>
        <w:fldChar w:fldCharType="end"/>
      </w:r>
    </w:p>
    <w:p w14:paraId="1B7AC586" w14:textId="2835C4E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8.1.01  Meaning of </w:t>
      </w:r>
      <w:r w:rsidRPr="00FC743A">
        <w:rPr>
          <w:i/>
          <w:noProof/>
        </w:rPr>
        <w:t>foreign recognition scheme</w:t>
      </w:r>
      <w:r>
        <w:rPr>
          <w:noProof/>
        </w:rPr>
        <w:tab/>
      </w:r>
      <w:r>
        <w:rPr>
          <w:noProof/>
        </w:rPr>
        <w:fldChar w:fldCharType="begin"/>
      </w:r>
      <w:r>
        <w:rPr>
          <w:noProof/>
        </w:rPr>
        <w:instrText xml:space="preserve"> PAGEREF _Toc158712866 \h </w:instrText>
      </w:r>
      <w:r>
        <w:rPr>
          <w:noProof/>
        </w:rPr>
      </w:r>
      <w:r>
        <w:rPr>
          <w:noProof/>
        </w:rPr>
        <w:fldChar w:fldCharType="separate"/>
      </w:r>
      <w:r>
        <w:rPr>
          <w:noProof/>
        </w:rPr>
        <w:t>519</w:t>
      </w:r>
      <w:r>
        <w:rPr>
          <w:noProof/>
        </w:rPr>
        <w:fldChar w:fldCharType="end"/>
      </w:r>
    </w:p>
    <w:p w14:paraId="4FF87268" w14:textId="4A9568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8.1.02  Meaning of </w:t>
      </w:r>
      <w:r w:rsidRPr="00FC743A">
        <w:rPr>
          <w:i/>
          <w:noProof/>
        </w:rPr>
        <w:t>offeror—</w:t>
      </w:r>
      <w:r>
        <w:rPr>
          <w:noProof/>
        </w:rPr>
        <w:t>prescribed offer and kind of person</w:t>
      </w:r>
      <w:r>
        <w:rPr>
          <w:noProof/>
        </w:rPr>
        <w:tab/>
      </w:r>
      <w:r>
        <w:rPr>
          <w:noProof/>
        </w:rPr>
        <w:fldChar w:fldCharType="begin"/>
      </w:r>
      <w:r>
        <w:rPr>
          <w:noProof/>
        </w:rPr>
        <w:instrText xml:space="preserve"> PAGEREF _Toc158712867 \h </w:instrText>
      </w:r>
      <w:r>
        <w:rPr>
          <w:noProof/>
        </w:rPr>
      </w:r>
      <w:r>
        <w:rPr>
          <w:noProof/>
        </w:rPr>
        <w:fldChar w:fldCharType="separate"/>
      </w:r>
      <w:r>
        <w:rPr>
          <w:noProof/>
        </w:rPr>
        <w:t>519</w:t>
      </w:r>
      <w:r>
        <w:rPr>
          <w:noProof/>
        </w:rPr>
        <w:fldChar w:fldCharType="end"/>
      </w:r>
    </w:p>
    <w:p w14:paraId="0949D9A0" w14:textId="37E3589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8.1.03  Meaning of </w:t>
      </w:r>
      <w:r w:rsidRPr="00FC743A">
        <w:rPr>
          <w:i/>
          <w:noProof/>
        </w:rPr>
        <w:t>recognised jurisdiction</w:t>
      </w:r>
      <w:r>
        <w:rPr>
          <w:noProof/>
        </w:rPr>
        <w:tab/>
      </w:r>
      <w:r>
        <w:rPr>
          <w:noProof/>
        </w:rPr>
        <w:fldChar w:fldCharType="begin"/>
      </w:r>
      <w:r>
        <w:rPr>
          <w:noProof/>
        </w:rPr>
        <w:instrText xml:space="preserve"> PAGEREF _Toc158712868 \h </w:instrText>
      </w:r>
      <w:r>
        <w:rPr>
          <w:noProof/>
        </w:rPr>
      </w:r>
      <w:r>
        <w:rPr>
          <w:noProof/>
        </w:rPr>
        <w:fldChar w:fldCharType="separate"/>
      </w:r>
      <w:r>
        <w:rPr>
          <w:noProof/>
        </w:rPr>
        <w:t>519</w:t>
      </w:r>
      <w:r>
        <w:rPr>
          <w:noProof/>
        </w:rPr>
        <w:fldChar w:fldCharType="end"/>
      </w:r>
    </w:p>
    <w:p w14:paraId="712E7A6E" w14:textId="565B803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8.2—Foreign offers that are recognised in this jurisdiction</w:t>
      </w:r>
      <w:r>
        <w:rPr>
          <w:noProof/>
        </w:rPr>
        <w:tab/>
      </w:r>
      <w:r>
        <w:rPr>
          <w:noProof/>
        </w:rPr>
        <w:fldChar w:fldCharType="begin"/>
      </w:r>
      <w:r>
        <w:rPr>
          <w:noProof/>
        </w:rPr>
        <w:instrText xml:space="preserve"> PAGEREF _Toc158712869 \h </w:instrText>
      </w:r>
      <w:r>
        <w:rPr>
          <w:noProof/>
        </w:rPr>
      </w:r>
      <w:r>
        <w:rPr>
          <w:noProof/>
        </w:rPr>
        <w:fldChar w:fldCharType="separate"/>
      </w:r>
      <w:r>
        <w:rPr>
          <w:noProof/>
        </w:rPr>
        <w:t>520</w:t>
      </w:r>
      <w:r>
        <w:rPr>
          <w:noProof/>
        </w:rPr>
        <w:fldChar w:fldCharType="end"/>
      </w:r>
    </w:p>
    <w:p w14:paraId="1F1BCDB7" w14:textId="21FCF02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1—Recognised offers</w:t>
      </w:r>
      <w:r>
        <w:rPr>
          <w:noProof/>
        </w:rPr>
        <w:tab/>
      </w:r>
      <w:r>
        <w:rPr>
          <w:noProof/>
        </w:rPr>
        <w:fldChar w:fldCharType="begin"/>
      </w:r>
      <w:r>
        <w:rPr>
          <w:noProof/>
        </w:rPr>
        <w:instrText xml:space="preserve"> PAGEREF _Toc158712870 \h </w:instrText>
      </w:r>
      <w:r>
        <w:rPr>
          <w:noProof/>
        </w:rPr>
      </w:r>
      <w:r>
        <w:rPr>
          <w:noProof/>
        </w:rPr>
        <w:fldChar w:fldCharType="separate"/>
      </w:r>
      <w:r>
        <w:rPr>
          <w:noProof/>
        </w:rPr>
        <w:t>520</w:t>
      </w:r>
      <w:r>
        <w:rPr>
          <w:noProof/>
        </w:rPr>
        <w:fldChar w:fldCharType="end"/>
      </w:r>
    </w:p>
    <w:p w14:paraId="08AFB3C9" w14:textId="16070F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8.2.01  Prescribed offer (Act s 1200C(4))</w:t>
      </w:r>
      <w:r>
        <w:rPr>
          <w:noProof/>
        </w:rPr>
        <w:tab/>
      </w:r>
      <w:r>
        <w:rPr>
          <w:noProof/>
        </w:rPr>
        <w:fldChar w:fldCharType="begin"/>
      </w:r>
      <w:r>
        <w:rPr>
          <w:noProof/>
        </w:rPr>
        <w:instrText xml:space="preserve"> PAGEREF _Toc158712871 \h </w:instrText>
      </w:r>
      <w:r>
        <w:rPr>
          <w:noProof/>
        </w:rPr>
      </w:r>
      <w:r>
        <w:rPr>
          <w:noProof/>
        </w:rPr>
        <w:fldChar w:fldCharType="separate"/>
      </w:r>
      <w:r>
        <w:rPr>
          <w:noProof/>
        </w:rPr>
        <w:t>520</w:t>
      </w:r>
      <w:r>
        <w:rPr>
          <w:noProof/>
        </w:rPr>
        <w:fldChar w:fldCharType="end"/>
      </w:r>
    </w:p>
    <w:p w14:paraId="5790D260" w14:textId="76971C6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8.2.02  Prescribed warning statements (Act s 1200E)</w:t>
      </w:r>
      <w:r>
        <w:rPr>
          <w:noProof/>
        </w:rPr>
        <w:tab/>
      </w:r>
      <w:r>
        <w:rPr>
          <w:noProof/>
        </w:rPr>
        <w:fldChar w:fldCharType="begin"/>
      </w:r>
      <w:r>
        <w:rPr>
          <w:noProof/>
        </w:rPr>
        <w:instrText xml:space="preserve"> PAGEREF _Toc158712872 \h </w:instrText>
      </w:r>
      <w:r>
        <w:rPr>
          <w:noProof/>
        </w:rPr>
      </w:r>
      <w:r>
        <w:rPr>
          <w:noProof/>
        </w:rPr>
        <w:fldChar w:fldCharType="separate"/>
      </w:r>
      <w:r>
        <w:rPr>
          <w:noProof/>
        </w:rPr>
        <w:t>520</w:t>
      </w:r>
      <w:r>
        <w:rPr>
          <w:noProof/>
        </w:rPr>
        <w:fldChar w:fldCharType="end"/>
      </w:r>
    </w:p>
    <w:p w14:paraId="69E39B18" w14:textId="4386A7A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8.2.03  Prescribed details to be given in warning statements (Act s 1200E(b))</w:t>
      </w:r>
      <w:r>
        <w:rPr>
          <w:noProof/>
        </w:rPr>
        <w:tab/>
      </w:r>
      <w:r>
        <w:rPr>
          <w:noProof/>
        </w:rPr>
        <w:fldChar w:fldCharType="begin"/>
      </w:r>
      <w:r>
        <w:rPr>
          <w:noProof/>
        </w:rPr>
        <w:instrText xml:space="preserve"> PAGEREF _Toc158712873 \h </w:instrText>
      </w:r>
      <w:r>
        <w:rPr>
          <w:noProof/>
        </w:rPr>
      </w:r>
      <w:r>
        <w:rPr>
          <w:noProof/>
        </w:rPr>
        <w:fldChar w:fldCharType="separate"/>
      </w:r>
      <w:r>
        <w:rPr>
          <w:noProof/>
        </w:rPr>
        <w:t>521</w:t>
      </w:r>
      <w:r>
        <w:rPr>
          <w:noProof/>
        </w:rPr>
        <w:fldChar w:fldCharType="end"/>
      </w:r>
    </w:p>
    <w:p w14:paraId="5BC1C8F9" w14:textId="2E88337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8.2.04  Prescribed home regulators (Act s 1200G(13) and (14))</w:t>
      </w:r>
      <w:r>
        <w:rPr>
          <w:noProof/>
        </w:rPr>
        <w:tab/>
      </w:r>
      <w:r>
        <w:rPr>
          <w:noProof/>
        </w:rPr>
        <w:fldChar w:fldCharType="begin"/>
      </w:r>
      <w:r>
        <w:rPr>
          <w:noProof/>
        </w:rPr>
        <w:instrText xml:space="preserve"> PAGEREF _Toc158712874 \h </w:instrText>
      </w:r>
      <w:r>
        <w:rPr>
          <w:noProof/>
        </w:rPr>
      </w:r>
      <w:r>
        <w:rPr>
          <w:noProof/>
        </w:rPr>
        <w:fldChar w:fldCharType="separate"/>
      </w:r>
      <w:r>
        <w:rPr>
          <w:noProof/>
        </w:rPr>
        <w:t>521</w:t>
      </w:r>
      <w:r>
        <w:rPr>
          <w:noProof/>
        </w:rPr>
        <w:fldChar w:fldCharType="end"/>
      </w:r>
    </w:p>
    <w:p w14:paraId="3447EFD2" w14:textId="1E3F302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4—Modification of the Act in relation to its application to recognised offers for interests in New Zealand managed investment schemes (Act s 1020G, 1200M)</w:t>
      </w:r>
      <w:r>
        <w:rPr>
          <w:noProof/>
        </w:rPr>
        <w:tab/>
      </w:r>
      <w:r>
        <w:rPr>
          <w:noProof/>
        </w:rPr>
        <w:fldChar w:fldCharType="begin"/>
      </w:r>
      <w:r>
        <w:rPr>
          <w:noProof/>
        </w:rPr>
        <w:instrText xml:space="preserve"> PAGEREF _Toc158712875 \h </w:instrText>
      </w:r>
      <w:r>
        <w:rPr>
          <w:noProof/>
        </w:rPr>
      </w:r>
      <w:r>
        <w:rPr>
          <w:noProof/>
        </w:rPr>
        <w:fldChar w:fldCharType="separate"/>
      </w:r>
      <w:r>
        <w:rPr>
          <w:noProof/>
        </w:rPr>
        <w:t>522</w:t>
      </w:r>
      <w:r>
        <w:rPr>
          <w:noProof/>
        </w:rPr>
        <w:fldChar w:fldCharType="end"/>
      </w:r>
    </w:p>
    <w:p w14:paraId="46C80C54" w14:textId="32BB22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8.4.01  Modification of Part 7.9 of the Act—New Zealand offer documents replace Product Disclosure Statements</w:t>
      </w:r>
      <w:r>
        <w:rPr>
          <w:noProof/>
        </w:rPr>
        <w:tab/>
      </w:r>
      <w:r>
        <w:rPr>
          <w:noProof/>
        </w:rPr>
        <w:fldChar w:fldCharType="begin"/>
      </w:r>
      <w:r>
        <w:rPr>
          <w:noProof/>
        </w:rPr>
        <w:instrText xml:space="preserve"> PAGEREF _Toc158712876 \h </w:instrText>
      </w:r>
      <w:r>
        <w:rPr>
          <w:noProof/>
        </w:rPr>
      </w:r>
      <w:r>
        <w:rPr>
          <w:noProof/>
        </w:rPr>
        <w:fldChar w:fldCharType="separate"/>
      </w:r>
      <w:r>
        <w:rPr>
          <w:noProof/>
        </w:rPr>
        <w:t>522</w:t>
      </w:r>
      <w:r>
        <w:rPr>
          <w:noProof/>
        </w:rPr>
        <w:fldChar w:fldCharType="end"/>
      </w:r>
    </w:p>
    <w:p w14:paraId="038DBF79" w14:textId="3F562C1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8.4.02  Modification of Part 6D.2 of the Act and Part 7.9 of the Act—certain disclosure obligations not to apply</w:t>
      </w:r>
      <w:r>
        <w:rPr>
          <w:noProof/>
        </w:rPr>
        <w:tab/>
      </w:r>
      <w:r>
        <w:rPr>
          <w:noProof/>
        </w:rPr>
        <w:fldChar w:fldCharType="begin"/>
      </w:r>
      <w:r>
        <w:rPr>
          <w:noProof/>
        </w:rPr>
        <w:instrText xml:space="preserve"> PAGEREF _Toc158712877 \h </w:instrText>
      </w:r>
      <w:r>
        <w:rPr>
          <w:noProof/>
        </w:rPr>
      </w:r>
      <w:r>
        <w:rPr>
          <w:noProof/>
        </w:rPr>
        <w:fldChar w:fldCharType="separate"/>
      </w:r>
      <w:r>
        <w:rPr>
          <w:noProof/>
        </w:rPr>
        <w:t>522</w:t>
      </w:r>
      <w:r>
        <w:rPr>
          <w:noProof/>
        </w:rPr>
        <w:fldChar w:fldCharType="end"/>
      </w:r>
    </w:p>
    <w:p w14:paraId="6FF726F9" w14:textId="1FB1481F"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8A—Asia Region Funds Passport</w:t>
      </w:r>
      <w:r>
        <w:rPr>
          <w:noProof/>
        </w:rPr>
        <w:tab/>
      </w:r>
      <w:r>
        <w:rPr>
          <w:noProof/>
        </w:rPr>
        <w:fldChar w:fldCharType="begin"/>
      </w:r>
      <w:r>
        <w:rPr>
          <w:noProof/>
        </w:rPr>
        <w:instrText xml:space="preserve"> PAGEREF _Toc158712878 \h </w:instrText>
      </w:r>
      <w:r>
        <w:rPr>
          <w:noProof/>
        </w:rPr>
      </w:r>
      <w:r>
        <w:rPr>
          <w:noProof/>
        </w:rPr>
        <w:fldChar w:fldCharType="separate"/>
      </w:r>
      <w:r>
        <w:rPr>
          <w:noProof/>
        </w:rPr>
        <w:t>523</w:t>
      </w:r>
      <w:r>
        <w:rPr>
          <w:noProof/>
        </w:rPr>
        <w:fldChar w:fldCharType="end"/>
      </w:r>
    </w:p>
    <w:p w14:paraId="779F0A20" w14:textId="7885968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8A.4—Notified foreign passport funds</w:t>
      </w:r>
      <w:r>
        <w:rPr>
          <w:noProof/>
        </w:rPr>
        <w:tab/>
      </w:r>
      <w:r>
        <w:rPr>
          <w:noProof/>
        </w:rPr>
        <w:fldChar w:fldCharType="begin"/>
      </w:r>
      <w:r>
        <w:rPr>
          <w:noProof/>
        </w:rPr>
        <w:instrText xml:space="preserve"> PAGEREF _Toc158712879 \h </w:instrText>
      </w:r>
      <w:r>
        <w:rPr>
          <w:noProof/>
        </w:rPr>
      </w:r>
      <w:r>
        <w:rPr>
          <w:noProof/>
        </w:rPr>
        <w:fldChar w:fldCharType="separate"/>
      </w:r>
      <w:r>
        <w:rPr>
          <w:noProof/>
        </w:rPr>
        <w:t>523</w:t>
      </w:r>
      <w:r>
        <w:rPr>
          <w:noProof/>
        </w:rPr>
        <w:fldChar w:fldCharType="end"/>
      </w:r>
    </w:p>
    <w:p w14:paraId="2B546E94" w14:textId="21BA321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1—Becoming a notified foreign passport fund</w:t>
      </w:r>
      <w:r>
        <w:rPr>
          <w:noProof/>
        </w:rPr>
        <w:tab/>
      </w:r>
      <w:r>
        <w:rPr>
          <w:noProof/>
        </w:rPr>
        <w:fldChar w:fldCharType="begin"/>
      </w:r>
      <w:r>
        <w:rPr>
          <w:noProof/>
        </w:rPr>
        <w:instrText xml:space="preserve"> PAGEREF _Toc158712880 \h </w:instrText>
      </w:r>
      <w:r>
        <w:rPr>
          <w:noProof/>
        </w:rPr>
      </w:r>
      <w:r>
        <w:rPr>
          <w:noProof/>
        </w:rPr>
        <w:fldChar w:fldCharType="separate"/>
      </w:r>
      <w:r>
        <w:rPr>
          <w:noProof/>
        </w:rPr>
        <w:t>523</w:t>
      </w:r>
      <w:r>
        <w:rPr>
          <w:noProof/>
        </w:rPr>
        <w:fldChar w:fldCharType="end"/>
      </w:r>
    </w:p>
    <w:p w14:paraId="6122EE78" w14:textId="214F9E5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8A.4.10  Rejecting a notice of intention—name of fund identical to another or unacceptable</w:t>
      </w:r>
      <w:r>
        <w:rPr>
          <w:noProof/>
        </w:rPr>
        <w:tab/>
      </w:r>
      <w:r>
        <w:rPr>
          <w:noProof/>
        </w:rPr>
        <w:fldChar w:fldCharType="begin"/>
      </w:r>
      <w:r>
        <w:rPr>
          <w:noProof/>
        </w:rPr>
        <w:instrText xml:space="preserve"> PAGEREF _Toc158712881 \h </w:instrText>
      </w:r>
      <w:r>
        <w:rPr>
          <w:noProof/>
        </w:rPr>
      </w:r>
      <w:r>
        <w:rPr>
          <w:noProof/>
        </w:rPr>
        <w:fldChar w:fldCharType="separate"/>
      </w:r>
      <w:r>
        <w:rPr>
          <w:noProof/>
        </w:rPr>
        <w:t>523</w:t>
      </w:r>
      <w:r>
        <w:rPr>
          <w:noProof/>
        </w:rPr>
        <w:fldChar w:fldCharType="end"/>
      </w:r>
    </w:p>
    <w:p w14:paraId="14234F1B" w14:textId="2A24506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4—Providing key information in relation to notified foreign passport funds</w:t>
      </w:r>
      <w:r>
        <w:rPr>
          <w:noProof/>
        </w:rPr>
        <w:tab/>
      </w:r>
      <w:r>
        <w:rPr>
          <w:noProof/>
        </w:rPr>
        <w:fldChar w:fldCharType="begin"/>
      </w:r>
      <w:r>
        <w:rPr>
          <w:noProof/>
        </w:rPr>
        <w:instrText xml:space="preserve"> PAGEREF _Toc158712882 \h </w:instrText>
      </w:r>
      <w:r>
        <w:rPr>
          <w:noProof/>
        </w:rPr>
      </w:r>
      <w:r>
        <w:rPr>
          <w:noProof/>
        </w:rPr>
        <w:fldChar w:fldCharType="separate"/>
      </w:r>
      <w:r>
        <w:rPr>
          <w:noProof/>
        </w:rPr>
        <w:t>524</w:t>
      </w:r>
      <w:r>
        <w:rPr>
          <w:noProof/>
        </w:rPr>
        <w:fldChar w:fldCharType="end"/>
      </w:r>
    </w:p>
    <w:p w14:paraId="299E8CA9" w14:textId="2710E2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8A.4.40  Register of members—purposes for which a person may obtain and use a copy</w:t>
      </w:r>
      <w:r>
        <w:rPr>
          <w:noProof/>
        </w:rPr>
        <w:tab/>
      </w:r>
      <w:r>
        <w:rPr>
          <w:noProof/>
        </w:rPr>
        <w:fldChar w:fldCharType="begin"/>
      </w:r>
      <w:r>
        <w:rPr>
          <w:noProof/>
        </w:rPr>
        <w:instrText xml:space="preserve"> PAGEREF _Toc158712883 \h </w:instrText>
      </w:r>
      <w:r>
        <w:rPr>
          <w:noProof/>
        </w:rPr>
      </w:r>
      <w:r>
        <w:rPr>
          <w:noProof/>
        </w:rPr>
        <w:fldChar w:fldCharType="separate"/>
      </w:r>
      <w:r>
        <w:rPr>
          <w:noProof/>
        </w:rPr>
        <w:t>524</w:t>
      </w:r>
      <w:r>
        <w:rPr>
          <w:noProof/>
        </w:rPr>
        <w:fldChar w:fldCharType="end"/>
      </w:r>
    </w:p>
    <w:p w14:paraId="4286FEAB" w14:textId="1D3B50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8A.4.45  Destruction of records by ASIC—period before documents may be destroyed</w:t>
      </w:r>
      <w:r>
        <w:rPr>
          <w:noProof/>
        </w:rPr>
        <w:tab/>
      </w:r>
      <w:r>
        <w:rPr>
          <w:noProof/>
        </w:rPr>
        <w:fldChar w:fldCharType="begin"/>
      </w:r>
      <w:r>
        <w:rPr>
          <w:noProof/>
        </w:rPr>
        <w:instrText xml:space="preserve"> PAGEREF _Toc158712884 \h </w:instrText>
      </w:r>
      <w:r>
        <w:rPr>
          <w:noProof/>
        </w:rPr>
      </w:r>
      <w:r>
        <w:rPr>
          <w:noProof/>
        </w:rPr>
        <w:fldChar w:fldCharType="separate"/>
      </w:r>
      <w:r>
        <w:rPr>
          <w:noProof/>
        </w:rPr>
        <w:t>524</w:t>
      </w:r>
      <w:r>
        <w:rPr>
          <w:noProof/>
        </w:rPr>
        <w:fldChar w:fldCharType="end"/>
      </w:r>
    </w:p>
    <w:p w14:paraId="4FE4C6B4" w14:textId="4944000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8A.5—Register of passport funds</w:t>
      </w:r>
      <w:r>
        <w:rPr>
          <w:noProof/>
        </w:rPr>
        <w:tab/>
      </w:r>
      <w:r>
        <w:rPr>
          <w:noProof/>
        </w:rPr>
        <w:fldChar w:fldCharType="begin"/>
      </w:r>
      <w:r>
        <w:rPr>
          <w:noProof/>
        </w:rPr>
        <w:instrText xml:space="preserve"> PAGEREF _Toc158712885 \h </w:instrText>
      </w:r>
      <w:r>
        <w:rPr>
          <w:noProof/>
        </w:rPr>
      </w:r>
      <w:r>
        <w:rPr>
          <w:noProof/>
        </w:rPr>
        <w:fldChar w:fldCharType="separate"/>
      </w:r>
      <w:r>
        <w:rPr>
          <w:noProof/>
        </w:rPr>
        <w:t>525</w:t>
      </w:r>
      <w:r>
        <w:rPr>
          <w:noProof/>
        </w:rPr>
        <w:fldChar w:fldCharType="end"/>
      </w:r>
    </w:p>
    <w:p w14:paraId="16A7C667" w14:textId="6BDB39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8A.5.10  Prescribed details for the Register of Passport Funds</w:t>
      </w:r>
      <w:r>
        <w:rPr>
          <w:noProof/>
        </w:rPr>
        <w:tab/>
      </w:r>
      <w:r>
        <w:rPr>
          <w:noProof/>
        </w:rPr>
        <w:fldChar w:fldCharType="begin"/>
      </w:r>
      <w:r>
        <w:rPr>
          <w:noProof/>
        </w:rPr>
        <w:instrText xml:space="preserve"> PAGEREF _Toc158712886 \h </w:instrText>
      </w:r>
      <w:r>
        <w:rPr>
          <w:noProof/>
        </w:rPr>
      </w:r>
      <w:r>
        <w:rPr>
          <w:noProof/>
        </w:rPr>
        <w:fldChar w:fldCharType="separate"/>
      </w:r>
      <w:r>
        <w:rPr>
          <w:noProof/>
        </w:rPr>
        <w:t>525</w:t>
      </w:r>
      <w:r>
        <w:rPr>
          <w:noProof/>
        </w:rPr>
        <w:fldChar w:fldCharType="end"/>
      </w:r>
    </w:p>
    <w:p w14:paraId="3D731D2F" w14:textId="1FE6D6A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8A.7—Deregistration and denotification</w:t>
      </w:r>
      <w:r>
        <w:rPr>
          <w:noProof/>
        </w:rPr>
        <w:tab/>
      </w:r>
      <w:r>
        <w:rPr>
          <w:noProof/>
        </w:rPr>
        <w:fldChar w:fldCharType="begin"/>
      </w:r>
      <w:r>
        <w:rPr>
          <w:noProof/>
        </w:rPr>
        <w:instrText xml:space="preserve"> PAGEREF _Toc158712887 \h </w:instrText>
      </w:r>
      <w:r>
        <w:rPr>
          <w:noProof/>
        </w:rPr>
      </w:r>
      <w:r>
        <w:rPr>
          <w:noProof/>
        </w:rPr>
        <w:fldChar w:fldCharType="separate"/>
      </w:r>
      <w:r>
        <w:rPr>
          <w:noProof/>
        </w:rPr>
        <w:t>527</w:t>
      </w:r>
      <w:r>
        <w:rPr>
          <w:noProof/>
        </w:rPr>
        <w:fldChar w:fldCharType="end"/>
      </w:r>
    </w:p>
    <w:p w14:paraId="04335DA8" w14:textId="75F7A5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8A.7.10  Authority</w:t>
      </w:r>
      <w:r>
        <w:rPr>
          <w:noProof/>
        </w:rPr>
        <w:tab/>
      </w:r>
      <w:r>
        <w:rPr>
          <w:noProof/>
        </w:rPr>
        <w:fldChar w:fldCharType="begin"/>
      </w:r>
      <w:r>
        <w:rPr>
          <w:noProof/>
        </w:rPr>
        <w:instrText xml:space="preserve"> PAGEREF _Toc158712888 \h </w:instrText>
      </w:r>
      <w:r>
        <w:rPr>
          <w:noProof/>
        </w:rPr>
      </w:r>
      <w:r>
        <w:rPr>
          <w:noProof/>
        </w:rPr>
        <w:fldChar w:fldCharType="separate"/>
      </w:r>
      <w:r>
        <w:rPr>
          <w:noProof/>
        </w:rPr>
        <w:t>527</w:t>
      </w:r>
      <w:r>
        <w:rPr>
          <w:noProof/>
        </w:rPr>
        <w:fldChar w:fldCharType="end"/>
      </w:r>
    </w:p>
    <w:p w14:paraId="419CB7BE" w14:textId="006ED77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8A.7.15  Continued application of Corporations legislation to deregistered Australian passport funds</w:t>
      </w:r>
      <w:r>
        <w:rPr>
          <w:noProof/>
        </w:rPr>
        <w:tab/>
      </w:r>
      <w:r>
        <w:rPr>
          <w:noProof/>
        </w:rPr>
        <w:fldChar w:fldCharType="begin"/>
      </w:r>
      <w:r>
        <w:rPr>
          <w:noProof/>
        </w:rPr>
        <w:instrText xml:space="preserve"> PAGEREF _Toc158712889 \h </w:instrText>
      </w:r>
      <w:r>
        <w:rPr>
          <w:noProof/>
        </w:rPr>
      </w:r>
      <w:r>
        <w:rPr>
          <w:noProof/>
        </w:rPr>
        <w:fldChar w:fldCharType="separate"/>
      </w:r>
      <w:r>
        <w:rPr>
          <w:noProof/>
        </w:rPr>
        <w:t>527</w:t>
      </w:r>
      <w:r>
        <w:rPr>
          <w:noProof/>
        </w:rPr>
        <w:fldChar w:fldCharType="end"/>
      </w:r>
    </w:p>
    <w:p w14:paraId="3441D954" w14:textId="044DC6A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8A.7.20  Continued application of Corporations legislation to funds that have been removed as notified foreign passport funds</w:t>
      </w:r>
      <w:r>
        <w:rPr>
          <w:noProof/>
        </w:rPr>
        <w:tab/>
      </w:r>
      <w:r>
        <w:rPr>
          <w:noProof/>
        </w:rPr>
        <w:fldChar w:fldCharType="begin"/>
      </w:r>
      <w:r>
        <w:rPr>
          <w:noProof/>
        </w:rPr>
        <w:instrText xml:space="preserve"> PAGEREF _Toc158712890 \h </w:instrText>
      </w:r>
      <w:r>
        <w:rPr>
          <w:noProof/>
        </w:rPr>
      </w:r>
      <w:r>
        <w:rPr>
          <w:noProof/>
        </w:rPr>
        <w:fldChar w:fldCharType="separate"/>
      </w:r>
      <w:r>
        <w:rPr>
          <w:noProof/>
        </w:rPr>
        <w:t>527</w:t>
      </w:r>
      <w:r>
        <w:rPr>
          <w:noProof/>
        </w:rPr>
        <w:fldChar w:fldCharType="end"/>
      </w:r>
    </w:p>
    <w:p w14:paraId="5D3B352B" w14:textId="37B1F510"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8B—Corporate collective investment vehicles</w:t>
      </w:r>
      <w:r>
        <w:rPr>
          <w:noProof/>
        </w:rPr>
        <w:tab/>
      </w:r>
      <w:r>
        <w:rPr>
          <w:noProof/>
        </w:rPr>
        <w:fldChar w:fldCharType="begin"/>
      </w:r>
      <w:r>
        <w:rPr>
          <w:noProof/>
        </w:rPr>
        <w:instrText xml:space="preserve"> PAGEREF _Toc158712891 \h </w:instrText>
      </w:r>
      <w:r>
        <w:rPr>
          <w:noProof/>
        </w:rPr>
      </w:r>
      <w:r>
        <w:rPr>
          <w:noProof/>
        </w:rPr>
        <w:fldChar w:fldCharType="separate"/>
      </w:r>
      <w:r>
        <w:rPr>
          <w:noProof/>
        </w:rPr>
        <w:t>529</w:t>
      </w:r>
      <w:r>
        <w:rPr>
          <w:noProof/>
        </w:rPr>
        <w:fldChar w:fldCharType="end"/>
      </w:r>
    </w:p>
    <w:p w14:paraId="4373A1AA" w14:textId="45F2004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8B.4—Corporate finance and financial reporting for CCIVs</w:t>
      </w:r>
      <w:r>
        <w:rPr>
          <w:noProof/>
        </w:rPr>
        <w:tab/>
      </w:r>
      <w:r>
        <w:rPr>
          <w:noProof/>
        </w:rPr>
        <w:fldChar w:fldCharType="begin"/>
      </w:r>
      <w:r>
        <w:rPr>
          <w:noProof/>
        </w:rPr>
        <w:instrText xml:space="preserve"> PAGEREF _Toc158712892 \h </w:instrText>
      </w:r>
      <w:r>
        <w:rPr>
          <w:noProof/>
        </w:rPr>
      </w:r>
      <w:r>
        <w:rPr>
          <w:noProof/>
        </w:rPr>
        <w:fldChar w:fldCharType="separate"/>
      </w:r>
      <w:r>
        <w:rPr>
          <w:noProof/>
        </w:rPr>
        <w:t>529</w:t>
      </w:r>
      <w:r>
        <w:rPr>
          <w:noProof/>
        </w:rPr>
        <w:fldChar w:fldCharType="end"/>
      </w:r>
    </w:p>
    <w:p w14:paraId="460DD7F1" w14:textId="7706883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1—Shares</w:t>
      </w:r>
      <w:r>
        <w:rPr>
          <w:noProof/>
        </w:rPr>
        <w:tab/>
      </w:r>
      <w:r>
        <w:rPr>
          <w:noProof/>
        </w:rPr>
        <w:fldChar w:fldCharType="begin"/>
      </w:r>
      <w:r>
        <w:rPr>
          <w:noProof/>
        </w:rPr>
        <w:instrText xml:space="preserve"> PAGEREF _Toc158712893 \h </w:instrText>
      </w:r>
      <w:r>
        <w:rPr>
          <w:noProof/>
        </w:rPr>
      </w:r>
      <w:r>
        <w:rPr>
          <w:noProof/>
        </w:rPr>
        <w:fldChar w:fldCharType="separate"/>
      </w:r>
      <w:r>
        <w:rPr>
          <w:noProof/>
        </w:rPr>
        <w:t>529</w:t>
      </w:r>
      <w:r>
        <w:rPr>
          <w:noProof/>
        </w:rPr>
        <w:fldChar w:fldCharType="end"/>
      </w:r>
    </w:p>
    <w:p w14:paraId="1C220295" w14:textId="7F67A0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8B.4.10  Cross investment between sub</w:t>
      </w:r>
      <w:r>
        <w:rPr>
          <w:noProof/>
        </w:rPr>
        <w:noBreakHyphen/>
        <w:t>funds of a CCIV—restriction for circular cross</w:t>
      </w:r>
      <w:r>
        <w:rPr>
          <w:noProof/>
        </w:rPr>
        <w:noBreakHyphen/>
        <w:t>investment</w:t>
      </w:r>
      <w:r>
        <w:rPr>
          <w:noProof/>
        </w:rPr>
        <w:tab/>
      </w:r>
      <w:r>
        <w:rPr>
          <w:noProof/>
        </w:rPr>
        <w:fldChar w:fldCharType="begin"/>
      </w:r>
      <w:r>
        <w:rPr>
          <w:noProof/>
        </w:rPr>
        <w:instrText xml:space="preserve"> PAGEREF _Toc158712894 \h </w:instrText>
      </w:r>
      <w:r>
        <w:rPr>
          <w:noProof/>
        </w:rPr>
      </w:r>
      <w:r>
        <w:rPr>
          <w:noProof/>
        </w:rPr>
        <w:fldChar w:fldCharType="separate"/>
      </w:r>
      <w:r>
        <w:rPr>
          <w:noProof/>
        </w:rPr>
        <w:t>529</w:t>
      </w:r>
      <w:r>
        <w:rPr>
          <w:noProof/>
        </w:rPr>
        <w:fldChar w:fldCharType="end"/>
      </w:r>
    </w:p>
    <w:p w14:paraId="5FC9D349" w14:textId="50FCE38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8B.4.15  Cross investment between sub</w:t>
      </w:r>
      <w:r>
        <w:rPr>
          <w:noProof/>
        </w:rPr>
        <w:noBreakHyphen/>
        <w:t>funds of a CCIV—requirements and restrictions on membership rights</w:t>
      </w:r>
      <w:r>
        <w:rPr>
          <w:noProof/>
        </w:rPr>
        <w:tab/>
      </w:r>
      <w:r>
        <w:rPr>
          <w:noProof/>
        </w:rPr>
        <w:fldChar w:fldCharType="begin"/>
      </w:r>
      <w:r>
        <w:rPr>
          <w:noProof/>
        </w:rPr>
        <w:instrText xml:space="preserve"> PAGEREF _Toc158712895 \h </w:instrText>
      </w:r>
      <w:r>
        <w:rPr>
          <w:noProof/>
        </w:rPr>
      </w:r>
      <w:r>
        <w:rPr>
          <w:noProof/>
        </w:rPr>
        <w:fldChar w:fldCharType="separate"/>
      </w:r>
      <w:r>
        <w:rPr>
          <w:noProof/>
        </w:rPr>
        <w:t>529</w:t>
      </w:r>
      <w:r>
        <w:rPr>
          <w:noProof/>
        </w:rPr>
        <w:fldChar w:fldCharType="end"/>
      </w:r>
    </w:p>
    <w:p w14:paraId="5CBB8A75" w14:textId="3BE3C578"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4—Financial reports and audit of CCIVs</w:t>
      </w:r>
      <w:r>
        <w:rPr>
          <w:noProof/>
        </w:rPr>
        <w:tab/>
      </w:r>
      <w:r>
        <w:rPr>
          <w:noProof/>
        </w:rPr>
        <w:fldChar w:fldCharType="begin"/>
      </w:r>
      <w:r>
        <w:rPr>
          <w:noProof/>
        </w:rPr>
        <w:instrText xml:space="preserve"> PAGEREF _Toc158712896 \h </w:instrText>
      </w:r>
      <w:r>
        <w:rPr>
          <w:noProof/>
        </w:rPr>
      </w:r>
      <w:r>
        <w:rPr>
          <w:noProof/>
        </w:rPr>
        <w:fldChar w:fldCharType="separate"/>
      </w:r>
      <w:r>
        <w:rPr>
          <w:noProof/>
        </w:rPr>
        <w:t>530</w:t>
      </w:r>
      <w:r>
        <w:rPr>
          <w:noProof/>
        </w:rPr>
        <w:fldChar w:fldCharType="end"/>
      </w:r>
    </w:p>
    <w:p w14:paraId="21BB9CC6" w14:textId="631E13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8B.4.40  Keeping financial records for sub</w:t>
      </w:r>
      <w:r>
        <w:rPr>
          <w:noProof/>
        </w:rPr>
        <w:noBreakHyphen/>
        <w:t>funds—further requirement for cross</w:t>
      </w:r>
      <w:r>
        <w:rPr>
          <w:noProof/>
        </w:rPr>
        <w:noBreakHyphen/>
        <w:t>investment</w:t>
      </w:r>
      <w:r>
        <w:rPr>
          <w:noProof/>
        </w:rPr>
        <w:tab/>
      </w:r>
      <w:r>
        <w:rPr>
          <w:noProof/>
        </w:rPr>
        <w:fldChar w:fldCharType="begin"/>
      </w:r>
      <w:r>
        <w:rPr>
          <w:noProof/>
        </w:rPr>
        <w:instrText xml:space="preserve"> PAGEREF _Toc158712897 \h </w:instrText>
      </w:r>
      <w:r>
        <w:rPr>
          <w:noProof/>
        </w:rPr>
      </w:r>
      <w:r>
        <w:rPr>
          <w:noProof/>
        </w:rPr>
        <w:fldChar w:fldCharType="separate"/>
      </w:r>
      <w:r>
        <w:rPr>
          <w:noProof/>
        </w:rPr>
        <w:t>530</w:t>
      </w:r>
      <w:r>
        <w:rPr>
          <w:noProof/>
        </w:rPr>
        <w:fldChar w:fldCharType="end"/>
      </w:r>
    </w:p>
    <w:p w14:paraId="357A0B7B" w14:textId="1184AD6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8B.4.45  Annual financial reports for sub</w:t>
      </w:r>
      <w:r>
        <w:rPr>
          <w:noProof/>
        </w:rPr>
        <w:noBreakHyphen/>
        <w:t>funds—further requirement for cross</w:t>
      </w:r>
      <w:r>
        <w:rPr>
          <w:noProof/>
        </w:rPr>
        <w:noBreakHyphen/>
        <w:t>investment</w:t>
      </w:r>
      <w:r>
        <w:rPr>
          <w:noProof/>
        </w:rPr>
        <w:tab/>
      </w:r>
      <w:r>
        <w:rPr>
          <w:noProof/>
        </w:rPr>
        <w:fldChar w:fldCharType="begin"/>
      </w:r>
      <w:r>
        <w:rPr>
          <w:noProof/>
        </w:rPr>
        <w:instrText xml:space="preserve"> PAGEREF _Toc158712898 \h </w:instrText>
      </w:r>
      <w:r>
        <w:rPr>
          <w:noProof/>
        </w:rPr>
      </w:r>
      <w:r>
        <w:rPr>
          <w:noProof/>
        </w:rPr>
        <w:fldChar w:fldCharType="separate"/>
      </w:r>
      <w:r>
        <w:rPr>
          <w:noProof/>
        </w:rPr>
        <w:t>530</w:t>
      </w:r>
      <w:r>
        <w:rPr>
          <w:noProof/>
        </w:rPr>
        <w:fldChar w:fldCharType="end"/>
      </w:r>
    </w:p>
    <w:p w14:paraId="26174653" w14:textId="732F35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8B.4.50  Combining financial reports, and directors’ reports etc., for sub</w:t>
      </w:r>
      <w:r>
        <w:rPr>
          <w:noProof/>
        </w:rPr>
        <w:noBreakHyphen/>
        <w:t>funds of the same CCIV</w:t>
      </w:r>
      <w:r>
        <w:rPr>
          <w:noProof/>
        </w:rPr>
        <w:tab/>
      </w:r>
      <w:r>
        <w:rPr>
          <w:noProof/>
        </w:rPr>
        <w:fldChar w:fldCharType="begin"/>
      </w:r>
      <w:r>
        <w:rPr>
          <w:noProof/>
        </w:rPr>
        <w:instrText xml:space="preserve"> PAGEREF _Toc158712899 \h </w:instrText>
      </w:r>
      <w:r>
        <w:rPr>
          <w:noProof/>
        </w:rPr>
      </w:r>
      <w:r>
        <w:rPr>
          <w:noProof/>
        </w:rPr>
        <w:fldChar w:fldCharType="separate"/>
      </w:r>
      <w:r>
        <w:rPr>
          <w:noProof/>
        </w:rPr>
        <w:t>531</w:t>
      </w:r>
      <w:r>
        <w:rPr>
          <w:noProof/>
        </w:rPr>
        <w:fldChar w:fldCharType="end"/>
      </w:r>
    </w:p>
    <w:p w14:paraId="65F1B36B" w14:textId="0498FAB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lastRenderedPageBreak/>
        <w:t>Part 8B.5—Operating a CCIV</w:t>
      </w:r>
      <w:r>
        <w:rPr>
          <w:noProof/>
        </w:rPr>
        <w:tab/>
      </w:r>
      <w:r>
        <w:rPr>
          <w:noProof/>
        </w:rPr>
        <w:fldChar w:fldCharType="begin"/>
      </w:r>
      <w:r>
        <w:rPr>
          <w:noProof/>
        </w:rPr>
        <w:instrText xml:space="preserve"> PAGEREF _Toc158712900 \h </w:instrText>
      </w:r>
      <w:r>
        <w:rPr>
          <w:noProof/>
        </w:rPr>
      </w:r>
      <w:r>
        <w:rPr>
          <w:noProof/>
        </w:rPr>
        <w:fldChar w:fldCharType="separate"/>
      </w:r>
      <w:r>
        <w:rPr>
          <w:noProof/>
        </w:rPr>
        <w:t>532</w:t>
      </w:r>
      <w:r>
        <w:rPr>
          <w:noProof/>
        </w:rPr>
        <w:fldChar w:fldCharType="end"/>
      </w:r>
    </w:p>
    <w:p w14:paraId="047D04D7" w14:textId="0BAE12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8B.5.10  Who may hold CCIV assets—minimum standards and other requirements</w:t>
      </w:r>
      <w:r>
        <w:rPr>
          <w:noProof/>
        </w:rPr>
        <w:tab/>
      </w:r>
      <w:r>
        <w:rPr>
          <w:noProof/>
        </w:rPr>
        <w:fldChar w:fldCharType="begin"/>
      </w:r>
      <w:r>
        <w:rPr>
          <w:noProof/>
        </w:rPr>
        <w:instrText xml:space="preserve"> PAGEREF _Toc158712901 \h </w:instrText>
      </w:r>
      <w:r>
        <w:rPr>
          <w:noProof/>
        </w:rPr>
      </w:r>
      <w:r>
        <w:rPr>
          <w:noProof/>
        </w:rPr>
        <w:fldChar w:fldCharType="separate"/>
      </w:r>
      <w:r>
        <w:rPr>
          <w:noProof/>
        </w:rPr>
        <w:t>532</w:t>
      </w:r>
      <w:r>
        <w:rPr>
          <w:noProof/>
        </w:rPr>
        <w:fldChar w:fldCharType="end"/>
      </w:r>
    </w:p>
    <w:p w14:paraId="4B2F4DF9" w14:textId="47196A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8B.5.15  Holding money and property of a CCIV on trust—exception</w:t>
      </w:r>
      <w:r>
        <w:rPr>
          <w:noProof/>
        </w:rPr>
        <w:tab/>
      </w:r>
      <w:r>
        <w:rPr>
          <w:noProof/>
        </w:rPr>
        <w:fldChar w:fldCharType="begin"/>
      </w:r>
      <w:r>
        <w:rPr>
          <w:noProof/>
        </w:rPr>
        <w:instrText xml:space="preserve"> PAGEREF _Toc158712902 \h </w:instrText>
      </w:r>
      <w:r>
        <w:rPr>
          <w:noProof/>
        </w:rPr>
      </w:r>
      <w:r>
        <w:rPr>
          <w:noProof/>
        </w:rPr>
        <w:fldChar w:fldCharType="separate"/>
      </w:r>
      <w:r>
        <w:rPr>
          <w:noProof/>
        </w:rPr>
        <w:t>532</w:t>
      </w:r>
      <w:r>
        <w:rPr>
          <w:noProof/>
        </w:rPr>
        <w:fldChar w:fldCharType="end"/>
      </w:r>
    </w:p>
    <w:p w14:paraId="70CF2731" w14:textId="515A17B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8B.5.20  Holding money and property of a CCIV separately—exception and other requirements for certain classes of assets</w:t>
      </w:r>
      <w:r>
        <w:rPr>
          <w:noProof/>
        </w:rPr>
        <w:tab/>
      </w:r>
      <w:r>
        <w:rPr>
          <w:noProof/>
        </w:rPr>
        <w:fldChar w:fldCharType="begin"/>
      </w:r>
      <w:r>
        <w:rPr>
          <w:noProof/>
        </w:rPr>
        <w:instrText xml:space="preserve"> PAGEREF _Toc158712903 \h </w:instrText>
      </w:r>
      <w:r>
        <w:rPr>
          <w:noProof/>
        </w:rPr>
      </w:r>
      <w:r>
        <w:rPr>
          <w:noProof/>
        </w:rPr>
        <w:fldChar w:fldCharType="separate"/>
      </w:r>
      <w:r>
        <w:rPr>
          <w:noProof/>
        </w:rPr>
        <w:t>532</w:t>
      </w:r>
      <w:r>
        <w:rPr>
          <w:noProof/>
        </w:rPr>
        <w:fldChar w:fldCharType="end"/>
      </w:r>
    </w:p>
    <w:p w14:paraId="561F658E" w14:textId="5F1BA0CE"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9—Miscellaneous</w:t>
      </w:r>
      <w:r>
        <w:rPr>
          <w:noProof/>
        </w:rPr>
        <w:tab/>
      </w:r>
      <w:r>
        <w:rPr>
          <w:noProof/>
        </w:rPr>
        <w:fldChar w:fldCharType="begin"/>
      </w:r>
      <w:r>
        <w:rPr>
          <w:noProof/>
        </w:rPr>
        <w:instrText xml:space="preserve"> PAGEREF _Toc158712904 \h </w:instrText>
      </w:r>
      <w:r>
        <w:rPr>
          <w:noProof/>
        </w:rPr>
      </w:r>
      <w:r>
        <w:rPr>
          <w:noProof/>
        </w:rPr>
        <w:fldChar w:fldCharType="separate"/>
      </w:r>
      <w:r>
        <w:rPr>
          <w:noProof/>
        </w:rPr>
        <w:t>534</w:t>
      </w:r>
      <w:r>
        <w:rPr>
          <w:noProof/>
        </w:rPr>
        <w:fldChar w:fldCharType="end"/>
      </w:r>
    </w:p>
    <w:p w14:paraId="0D87E203" w14:textId="15CB929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9.1—Registers and registration of documents</w:t>
      </w:r>
      <w:r>
        <w:rPr>
          <w:noProof/>
        </w:rPr>
        <w:tab/>
      </w:r>
      <w:r>
        <w:rPr>
          <w:noProof/>
        </w:rPr>
        <w:fldChar w:fldCharType="begin"/>
      </w:r>
      <w:r>
        <w:rPr>
          <w:noProof/>
        </w:rPr>
        <w:instrText xml:space="preserve"> PAGEREF _Toc158712905 \h </w:instrText>
      </w:r>
      <w:r>
        <w:rPr>
          <w:noProof/>
        </w:rPr>
      </w:r>
      <w:r>
        <w:rPr>
          <w:noProof/>
        </w:rPr>
        <w:fldChar w:fldCharType="separate"/>
      </w:r>
      <w:r>
        <w:rPr>
          <w:noProof/>
        </w:rPr>
        <w:t>534</w:t>
      </w:r>
      <w:r>
        <w:rPr>
          <w:noProof/>
        </w:rPr>
        <w:fldChar w:fldCharType="end"/>
      </w:r>
    </w:p>
    <w:p w14:paraId="30F6565F" w14:textId="6D65C2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9.1.01  Prescribed registers</w:t>
      </w:r>
      <w:r>
        <w:rPr>
          <w:noProof/>
        </w:rPr>
        <w:tab/>
      </w:r>
      <w:r>
        <w:rPr>
          <w:noProof/>
        </w:rPr>
        <w:fldChar w:fldCharType="begin"/>
      </w:r>
      <w:r>
        <w:rPr>
          <w:noProof/>
        </w:rPr>
        <w:instrText xml:space="preserve"> PAGEREF _Toc158712906 \h </w:instrText>
      </w:r>
      <w:r>
        <w:rPr>
          <w:noProof/>
        </w:rPr>
      </w:r>
      <w:r>
        <w:rPr>
          <w:noProof/>
        </w:rPr>
        <w:fldChar w:fldCharType="separate"/>
      </w:r>
      <w:r>
        <w:rPr>
          <w:noProof/>
        </w:rPr>
        <w:t>534</w:t>
      </w:r>
      <w:r>
        <w:rPr>
          <w:noProof/>
        </w:rPr>
        <w:fldChar w:fldCharType="end"/>
      </w:r>
    </w:p>
    <w:p w14:paraId="755C46B6" w14:textId="258838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9.1.02  Prescribed information</w:t>
      </w:r>
      <w:r>
        <w:rPr>
          <w:noProof/>
        </w:rPr>
        <w:tab/>
      </w:r>
      <w:r>
        <w:rPr>
          <w:noProof/>
        </w:rPr>
        <w:fldChar w:fldCharType="begin"/>
      </w:r>
      <w:r>
        <w:rPr>
          <w:noProof/>
        </w:rPr>
        <w:instrText xml:space="preserve"> PAGEREF _Toc158712907 \h </w:instrText>
      </w:r>
      <w:r>
        <w:rPr>
          <w:noProof/>
        </w:rPr>
      </w:r>
      <w:r>
        <w:rPr>
          <w:noProof/>
        </w:rPr>
        <w:fldChar w:fldCharType="separate"/>
      </w:r>
      <w:r>
        <w:rPr>
          <w:noProof/>
        </w:rPr>
        <w:t>534</w:t>
      </w:r>
      <w:r>
        <w:rPr>
          <w:noProof/>
        </w:rPr>
        <w:fldChar w:fldCharType="end"/>
      </w:r>
    </w:p>
    <w:p w14:paraId="7011A9E7" w14:textId="56825E3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9.2—Registration of auditors</w:t>
      </w:r>
      <w:r>
        <w:rPr>
          <w:noProof/>
        </w:rPr>
        <w:tab/>
      </w:r>
      <w:r>
        <w:rPr>
          <w:noProof/>
        </w:rPr>
        <w:fldChar w:fldCharType="begin"/>
      </w:r>
      <w:r>
        <w:rPr>
          <w:noProof/>
        </w:rPr>
        <w:instrText xml:space="preserve"> PAGEREF _Toc158712908 \h </w:instrText>
      </w:r>
      <w:r>
        <w:rPr>
          <w:noProof/>
        </w:rPr>
      </w:r>
      <w:r>
        <w:rPr>
          <w:noProof/>
        </w:rPr>
        <w:fldChar w:fldCharType="separate"/>
      </w:r>
      <w:r>
        <w:rPr>
          <w:noProof/>
        </w:rPr>
        <w:t>537</w:t>
      </w:r>
      <w:r>
        <w:rPr>
          <w:noProof/>
        </w:rPr>
        <w:fldChar w:fldCharType="end"/>
      </w:r>
    </w:p>
    <w:p w14:paraId="70AFF16F" w14:textId="35E2EA6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2—Registration</w:t>
      </w:r>
      <w:r>
        <w:rPr>
          <w:noProof/>
        </w:rPr>
        <w:tab/>
      </w:r>
      <w:r>
        <w:rPr>
          <w:noProof/>
        </w:rPr>
        <w:fldChar w:fldCharType="begin"/>
      </w:r>
      <w:r>
        <w:rPr>
          <w:noProof/>
        </w:rPr>
        <w:instrText xml:space="preserve"> PAGEREF _Toc158712909 \h </w:instrText>
      </w:r>
      <w:r>
        <w:rPr>
          <w:noProof/>
        </w:rPr>
      </w:r>
      <w:r>
        <w:rPr>
          <w:noProof/>
        </w:rPr>
        <w:fldChar w:fldCharType="separate"/>
      </w:r>
      <w:r>
        <w:rPr>
          <w:noProof/>
        </w:rPr>
        <w:t>537</w:t>
      </w:r>
      <w:r>
        <w:rPr>
          <w:noProof/>
        </w:rPr>
        <w:fldChar w:fldCharType="end"/>
      </w:r>
    </w:p>
    <w:p w14:paraId="28CE2C88" w14:textId="473B29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9.2.01  Practical experience in auditing (Act s 1280(2))</w:t>
      </w:r>
      <w:r>
        <w:rPr>
          <w:noProof/>
        </w:rPr>
        <w:tab/>
      </w:r>
      <w:r>
        <w:rPr>
          <w:noProof/>
        </w:rPr>
        <w:fldChar w:fldCharType="begin"/>
      </w:r>
      <w:r>
        <w:rPr>
          <w:noProof/>
        </w:rPr>
        <w:instrText xml:space="preserve"> PAGEREF _Toc158712910 \h </w:instrText>
      </w:r>
      <w:r>
        <w:rPr>
          <w:noProof/>
        </w:rPr>
      </w:r>
      <w:r>
        <w:rPr>
          <w:noProof/>
        </w:rPr>
        <w:fldChar w:fldCharType="separate"/>
      </w:r>
      <w:r>
        <w:rPr>
          <w:noProof/>
        </w:rPr>
        <w:t>537</w:t>
      </w:r>
      <w:r>
        <w:rPr>
          <w:noProof/>
        </w:rPr>
        <w:fldChar w:fldCharType="end"/>
      </w:r>
    </w:p>
    <w:p w14:paraId="088F24F7" w14:textId="30A60E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9.2.02  Prescribed universities and institutions (Act ss 1280(2A))</w:t>
      </w:r>
      <w:r>
        <w:rPr>
          <w:noProof/>
        </w:rPr>
        <w:tab/>
      </w:r>
      <w:r>
        <w:rPr>
          <w:noProof/>
        </w:rPr>
        <w:fldChar w:fldCharType="begin"/>
      </w:r>
      <w:r>
        <w:rPr>
          <w:noProof/>
        </w:rPr>
        <w:instrText xml:space="preserve"> PAGEREF _Toc158712911 \h </w:instrText>
      </w:r>
      <w:r>
        <w:rPr>
          <w:noProof/>
        </w:rPr>
      </w:r>
      <w:r>
        <w:rPr>
          <w:noProof/>
        </w:rPr>
        <w:fldChar w:fldCharType="separate"/>
      </w:r>
      <w:r>
        <w:rPr>
          <w:noProof/>
        </w:rPr>
        <w:t>537</w:t>
      </w:r>
      <w:r>
        <w:rPr>
          <w:noProof/>
        </w:rPr>
        <w:fldChar w:fldCharType="end"/>
      </w:r>
    </w:p>
    <w:p w14:paraId="7689DD1C" w14:textId="043374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9.2.03  Prescribed courses (Act s 1280(2A))</w:t>
      </w:r>
      <w:r>
        <w:rPr>
          <w:noProof/>
        </w:rPr>
        <w:tab/>
      </w:r>
      <w:r>
        <w:rPr>
          <w:noProof/>
        </w:rPr>
        <w:fldChar w:fldCharType="begin"/>
      </w:r>
      <w:r>
        <w:rPr>
          <w:noProof/>
        </w:rPr>
        <w:instrText xml:space="preserve"> PAGEREF _Toc158712912 \h </w:instrText>
      </w:r>
      <w:r>
        <w:rPr>
          <w:noProof/>
        </w:rPr>
      </w:r>
      <w:r>
        <w:rPr>
          <w:noProof/>
        </w:rPr>
        <w:fldChar w:fldCharType="separate"/>
      </w:r>
      <w:r>
        <w:rPr>
          <w:noProof/>
        </w:rPr>
        <w:t>538</w:t>
      </w:r>
      <w:r>
        <w:rPr>
          <w:noProof/>
        </w:rPr>
        <w:fldChar w:fldCharType="end"/>
      </w:r>
    </w:p>
    <w:p w14:paraId="21F48305" w14:textId="4C42421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2A—Conditions on registration</w:t>
      </w:r>
      <w:r>
        <w:rPr>
          <w:noProof/>
        </w:rPr>
        <w:tab/>
      </w:r>
      <w:r>
        <w:rPr>
          <w:noProof/>
        </w:rPr>
        <w:fldChar w:fldCharType="begin"/>
      </w:r>
      <w:r>
        <w:rPr>
          <w:noProof/>
        </w:rPr>
        <w:instrText xml:space="preserve"> PAGEREF _Toc158712913 \h </w:instrText>
      </w:r>
      <w:r>
        <w:rPr>
          <w:noProof/>
        </w:rPr>
      </w:r>
      <w:r>
        <w:rPr>
          <w:noProof/>
        </w:rPr>
        <w:fldChar w:fldCharType="separate"/>
      </w:r>
      <w:r>
        <w:rPr>
          <w:noProof/>
        </w:rPr>
        <w:t>539</w:t>
      </w:r>
      <w:r>
        <w:rPr>
          <w:noProof/>
        </w:rPr>
        <w:fldChar w:fldCharType="end"/>
      </w:r>
    </w:p>
    <w:p w14:paraId="3C53166E" w14:textId="04E4E28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9.2.08  Kinds of conditions (Act s 1289A)</w:t>
      </w:r>
      <w:r>
        <w:rPr>
          <w:noProof/>
        </w:rPr>
        <w:tab/>
      </w:r>
      <w:r>
        <w:rPr>
          <w:noProof/>
        </w:rPr>
        <w:fldChar w:fldCharType="begin"/>
      </w:r>
      <w:r>
        <w:rPr>
          <w:noProof/>
        </w:rPr>
        <w:instrText xml:space="preserve"> PAGEREF _Toc158712914 \h </w:instrText>
      </w:r>
      <w:r>
        <w:rPr>
          <w:noProof/>
        </w:rPr>
      </w:r>
      <w:r>
        <w:rPr>
          <w:noProof/>
        </w:rPr>
        <w:fldChar w:fldCharType="separate"/>
      </w:r>
      <w:r>
        <w:rPr>
          <w:noProof/>
        </w:rPr>
        <w:t>539</w:t>
      </w:r>
      <w:r>
        <w:rPr>
          <w:noProof/>
        </w:rPr>
        <w:fldChar w:fldCharType="end"/>
      </w:r>
    </w:p>
    <w:p w14:paraId="5A905BF7" w14:textId="0B2138F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9.2A—Authorised audit companies</w:t>
      </w:r>
      <w:r>
        <w:rPr>
          <w:noProof/>
        </w:rPr>
        <w:tab/>
      </w:r>
      <w:r>
        <w:rPr>
          <w:noProof/>
        </w:rPr>
        <w:fldChar w:fldCharType="begin"/>
      </w:r>
      <w:r>
        <w:rPr>
          <w:noProof/>
        </w:rPr>
        <w:instrText xml:space="preserve"> PAGEREF _Toc158712915 \h </w:instrText>
      </w:r>
      <w:r>
        <w:rPr>
          <w:noProof/>
        </w:rPr>
      </w:r>
      <w:r>
        <w:rPr>
          <w:noProof/>
        </w:rPr>
        <w:fldChar w:fldCharType="separate"/>
      </w:r>
      <w:r>
        <w:rPr>
          <w:noProof/>
        </w:rPr>
        <w:t>540</w:t>
      </w:r>
      <w:r>
        <w:rPr>
          <w:noProof/>
        </w:rPr>
        <w:fldChar w:fldCharType="end"/>
      </w:r>
    </w:p>
    <w:p w14:paraId="6F25030C" w14:textId="75CC61D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1—Registration</w:t>
      </w:r>
      <w:r>
        <w:rPr>
          <w:noProof/>
        </w:rPr>
        <w:tab/>
      </w:r>
      <w:r>
        <w:rPr>
          <w:noProof/>
        </w:rPr>
        <w:fldChar w:fldCharType="begin"/>
      </w:r>
      <w:r>
        <w:rPr>
          <w:noProof/>
        </w:rPr>
        <w:instrText xml:space="preserve"> PAGEREF _Toc158712916 \h </w:instrText>
      </w:r>
      <w:r>
        <w:rPr>
          <w:noProof/>
        </w:rPr>
      </w:r>
      <w:r>
        <w:rPr>
          <w:noProof/>
        </w:rPr>
        <w:fldChar w:fldCharType="separate"/>
      </w:r>
      <w:r>
        <w:rPr>
          <w:noProof/>
        </w:rPr>
        <w:t>540</w:t>
      </w:r>
      <w:r>
        <w:rPr>
          <w:noProof/>
        </w:rPr>
        <w:fldChar w:fldCharType="end"/>
      </w:r>
    </w:p>
    <w:p w14:paraId="79F2C7E9" w14:textId="3CD760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9.2A.01  Application for registration as authorised audit company (Act s 1299A)</w:t>
      </w:r>
      <w:r>
        <w:rPr>
          <w:noProof/>
        </w:rPr>
        <w:tab/>
      </w:r>
      <w:r>
        <w:rPr>
          <w:noProof/>
        </w:rPr>
        <w:fldChar w:fldCharType="begin"/>
      </w:r>
      <w:r>
        <w:rPr>
          <w:noProof/>
        </w:rPr>
        <w:instrText xml:space="preserve"> PAGEREF _Toc158712917 \h </w:instrText>
      </w:r>
      <w:r>
        <w:rPr>
          <w:noProof/>
        </w:rPr>
      </w:r>
      <w:r>
        <w:rPr>
          <w:noProof/>
        </w:rPr>
        <w:fldChar w:fldCharType="separate"/>
      </w:r>
      <w:r>
        <w:rPr>
          <w:noProof/>
        </w:rPr>
        <w:t>540</w:t>
      </w:r>
      <w:r>
        <w:rPr>
          <w:noProof/>
        </w:rPr>
        <w:fldChar w:fldCharType="end"/>
      </w:r>
    </w:p>
    <w:p w14:paraId="71EC2CDA" w14:textId="3AB3E01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9.2A.03  Annual statements by authorised audit company (Act s 1299G)</w:t>
      </w:r>
      <w:r>
        <w:rPr>
          <w:noProof/>
        </w:rPr>
        <w:tab/>
      </w:r>
      <w:r>
        <w:rPr>
          <w:noProof/>
        </w:rPr>
        <w:fldChar w:fldCharType="begin"/>
      </w:r>
      <w:r>
        <w:rPr>
          <w:noProof/>
        </w:rPr>
        <w:instrText xml:space="preserve"> PAGEREF _Toc158712918 \h </w:instrText>
      </w:r>
      <w:r>
        <w:rPr>
          <w:noProof/>
        </w:rPr>
      </w:r>
      <w:r>
        <w:rPr>
          <w:noProof/>
        </w:rPr>
        <w:fldChar w:fldCharType="separate"/>
      </w:r>
      <w:r>
        <w:rPr>
          <w:noProof/>
        </w:rPr>
        <w:t>540</w:t>
      </w:r>
      <w:r>
        <w:rPr>
          <w:noProof/>
        </w:rPr>
        <w:fldChar w:fldCharType="end"/>
      </w:r>
    </w:p>
    <w:p w14:paraId="0C81A71A" w14:textId="15B8B2F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9.4A—Register and index</w:t>
      </w:r>
      <w:r>
        <w:rPr>
          <w:noProof/>
        </w:rPr>
        <w:tab/>
      </w:r>
      <w:r>
        <w:rPr>
          <w:noProof/>
        </w:rPr>
        <w:fldChar w:fldCharType="begin"/>
      </w:r>
      <w:r>
        <w:rPr>
          <w:noProof/>
        </w:rPr>
        <w:instrText xml:space="preserve"> PAGEREF _Toc158712919 \h </w:instrText>
      </w:r>
      <w:r>
        <w:rPr>
          <w:noProof/>
        </w:rPr>
      </w:r>
      <w:r>
        <w:rPr>
          <w:noProof/>
        </w:rPr>
        <w:fldChar w:fldCharType="separate"/>
      </w:r>
      <w:r>
        <w:rPr>
          <w:noProof/>
        </w:rPr>
        <w:t>542</w:t>
      </w:r>
      <w:r>
        <w:rPr>
          <w:noProof/>
        </w:rPr>
        <w:fldChar w:fldCharType="end"/>
      </w:r>
    </w:p>
    <w:p w14:paraId="64F44651" w14:textId="194B10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9.4A.01  Definitions for Part 9.4A</w:t>
      </w:r>
      <w:r>
        <w:rPr>
          <w:noProof/>
        </w:rPr>
        <w:tab/>
      </w:r>
      <w:r>
        <w:rPr>
          <w:noProof/>
        </w:rPr>
        <w:fldChar w:fldCharType="begin"/>
      </w:r>
      <w:r>
        <w:rPr>
          <w:noProof/>
        </w:rPr>
        <w:instrText xml:space="preserve"> PAGEREF _Toc158712920 \h </w:instrText>
      </w:r>
      <w:r>
        <w:rPr>
          <w:noProof/>
        </w:rPr>
      </w:r>
      <w:r>
        <w:rPr>
          <w:noProof/>
        </w:rPr>
        <w:fldChar w:fldCharType="separate"/>
      </w:r>
      <w:r>
        <w:rPr>
          <w:noProof/>
        </w:rPr>
        <w:t>542</w:t>
      </w:r>
      <w:r>
        <w:rPr>
          <w:noProof/>
        </w:rPr>
        <w:fldChar w:fldCharType="end"/>
      </w:r>
    </w:p>
    <w:p w14:paraId="0A3A8245" w14:textId="461F3C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9.4A.02  Register and index must be kept up to date: subsection 1306(4A) of the Act</w:t>
      </w:r>
      <w:r>
        <w:rPr>
          <w:noProof/>
        </w:rPr>
        <w:tab/>
      </w:r>
      <w:r>
        <w:rPr>
          <w:noProof/>
        </w:rPr>
        <w:fldChar w:fldCharType="begin"/>
      </w:r>
      <w:r>
        <w:rPr>
          <w:noProof/>
        </w:rPr>
        <w:instrText xml:space="preserve"> PAGEREF _Toc158712921 \h </w:instrText>
      </w:r>
      <w:r>
        <w:rPr>
          <w:noProof/>
        </w:rPr>
      </w:r>
      <w:r>
        <w:rPr>
          <w:noProof/>
        </w:rPr>
        <w:fldChar w:fldCharType="separate"/>
      </w:r>
      <w:r>
        <w:rPr>
          <w:noProof/>
        </w:rPr>
        <w:t>542</w:t>
      </w:r>
      <w:r>
        <w:rPr>
          <w:noProof/>
        </w:rPr>
        <w:fldChar w:fldCharType="end"/>
      </w:r>
    </w:p>
    <w:p w14:paraId="01A459AD" w14:textId="3053CBC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9.4AB—Infringement notices</w:t>
      </w:r>
      <w:r>
        <w:rPr>
          <w:noProof/>
        </w:rPr>
        <w:tab/>
      </w:r>
      <w:r>
        <w:rPr>
          <w:noProof/>
        </w:rPr>
        <w:fldChar w:fldCharType="begin"/>
      </w:r>
      <w:r>
        <w:rPr>
          <w:noProof/>
        </w:rPr>
        <w:instrText xml:space="preserve"> PAGEREF _Toc158712922 \h </w:instrText>
      </w:r>
      <w:r>
        <w:rPr>
          <w:noProof/>
        </w:rPr>
      </w:r>
      <w:r>
        <w:rPr>
          <w:noProof/>
        </w:rPr>
        <w:fldChar w:fldCharType="separate"/>
      </w:r>
      <w:r>
        <w:rPr>
          <w:noProof/>
        </w:rPr>
        <w:t>543</w:t>
      </w:r>
      <w:r>
        <w:rPr>
          <w:noProof/>
        </w:rPr>
        <w:fldChar w:fldCharType="end"/>
      </w:r>
    </w:p>
    <w:p w14:paraId="1910F5B3" w14:textId="31067C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9.4AB.01  Prescribed offences (Act s 1317DAN)</w:t>
      </w:r>
      <w:r>
        <w:rPr>
          <w:noProof/>
        </w:rPr>
        <w:tab/>
      </w:r>
      <w:r>
        <w:rPr>
          <w:noProof/>
        </w:rPr>
        <w:fldChar w:fldCharType="begin"/>
      </w:r>
      <w:r>
        <w:rPr>
          <w:noProof/>
        </w:rPr>
        <w:instrText xml:space="preserve"> PAGEREF _Toc158712923 \h </w:instrText>
      </w:r>
      <w:r>
        <w:rPr>
          <w:noProof/>
        </w:rPr>
      </w:r>
      <w:r>
        <w:rPr>
          <w:noProof/>
        </w:rPr>
        <w:fldChar w:fldCharType="separate"/>
      </w:r>
      <w:r>
        <w:rPr>
          <w:noProof/>
        </w:rPr>
        <w:t>543</w:t>
      </w:r>
      <w:r>
        <w:rPr>
          <w:noProof/>
        </w:rPr>
        <w:fldChar w:fldCharType="end"/>
      </w:r>
    </w:p>
    <w:p w14:paraId="3AAEA22E" w14:textId="161687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9.4AB.02  Prescribed civil penalty provisions (Act s 1317DAN)</w:t>
      </w:r>
      <w:r>
        <w:rPr>
          <w:noProof/>
        </w:rPr>
        <w:tab/>
      </w:r>
      <w:r>
        <w:rPr>
          <w:noProof/>
        </w:rPr>
        <w:fldChar w:fldCharType="begin"/>
      </w:r>
      <w:r>
        <w:rPr>
          <w:noProof/>
        </w:rPr>
        <w:instrText xml:space="preserve"> PAGEREF _Toc158712924 \h </w:instrText>
      </w:r>
      <w:r>
        <w:rPr>
          <w:noProof/>
        </w:rPr>
      </w:r>
      <w:r>
        <w:rPr>
          <w:noProof/>
        </w:rPr>
        <w:fldChar w:fldCharType="separate"/>
      </w:r>
      <w:r>
        <w:rPr>
          <w:noProof/>
        </w:rPr>
        <w:t>543</w:t>
      </w:r>
      <w:r>
        <w:rPr>
          <w:noProof/>
        </w:rPr>
        <w:fldChar w:fldCharType="end"/>
      </w:r>
    </w:p>
    <w:p w14:paraId="58908EFF" w14:textId="1A575AE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9.5—Delegation of powers and functions under the Act</w:t>
      </w:r>
      <w:r>
        <w:rPr>
          <w:noProof/>
        </w:rPr>
        <w:tab/>
      </w:r>
      <w:r>
        <w:rPr>
          <w:noProof/>
        </w:rPr>
        <w:fldChar w:fldCharType="begin"/>
      </w:r>
      <w:r>
        <w:rPr>
          <w:noProof/>
        </w:rPr>
        <w:instrText xml:space="preserve"> PAGEREF _Toc158712925 \h </w:instrText>
      </w:r>
      <w:r>
        <w:rPr>
          <w:noProof/>
        </w:rPr>
      </w:r>
      <w:r>
        <w:rPr>
          <w:noProof/>
        </w:rPr>
        <w:fldChar w:fldCharType="separate"/>
      </w:r>
      <w:r>
        <w:rPr>
          <w:noProof/>
        </w:rPr>
        <w:t>544</w:t>
      </w:r>
      <w:r>
        <w:rPr>
          <w:noProof/>
        </w:rPr>
        <w:fldChar w:fldCharType="end"/>
      </w:r>
    </w:p>
    <w:p w14:paraId="3CCAAB59" w14:textId="514950B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9.5.01  Prescribed functions (Law s 1345A(1))</w:t>
      </w:r>
      <w:r>
        <w:rPr>
          <w:noProof/>
        </w:rPr>
        <w:tab/>
      </w:r>
      <w:r>
        <w:rPr>
          <w:noProof/>
        </w:rPr>
        <w:fldChar w:fldCharType="begin"/>
      </w:r>
      <w:r>
        <w:rPr>
          <w:noProof/>
        </w:rPr>
        <w:instrText xml:space="preserve"> PAGEREF _Toc158712926 \h </w:instrText>
      </w:r>
      <w:r>
        <w:rPr>
          <w:noProof/>
        </w:rPr>
      </w:r>
      <w:r>
        <w:rPr>
          <w:noProof/>
        </w:rPr>
        <w:fldChar w:fldCharType="separate"/>
      </w:r>
      <w:r>
        <w:rPr>
          <w:noProof/>
        </w:rPr>
        <w:t>544</w:t>
      </w:r>
      <w:r>
        <w:rPr>
          <w:noProof/>
        </w:rPr>
        <w:fldChar w:fldCharType="end"/>
      </w:r>
    </w:p>
    <w:p w14:paraId="461C3F96" w14:textId="38ED7B4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9.7—Unclaimed property</w:t>
      </w:r>
      <w:r>
        <w:rPr>
          <w:noProof/>
        </w:rPr>
        <w:tab/>
      </w:r>
      <w:r>
        <w:rPr>
          <w:noProof/>
        </w:rPr>
        <w:fldChar w:fldCharType="begin"/>
      </w:r>
      <w:r>
        <w:rPr>
          <w:noProof/>
        </w:rPr>
        <w:instrText xml:space="preserve"> PAGEREF _Toc158712927 \h </w:instrText>
      </w:r>
      <w:r>
        <w:rPr>
          <w:noProof/>
        </w:rPr>
      </w:r>
      <w:r>
        <w:rPr>
          <w:noProof/>
        </w:rPr>
        <w:fldChar w:fldCharType="separate"/>
      </w:r>
      <w:r>
        <w:rPr>
          <w:noProof/>
        </w:rPr>
        <w:t>545</w:t>
      </w:r>
      <w:r>
        <w:rPr>
          <w:noProof/>
        </w:rPr>
        <w:fldChar w:fldCharType="end"/>
      </w:r>
    </w:p>
    <w:p w14:paraId="44C0378E" w14:textId="2A1843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9.7.01  Entitlement to unclaimed property</w:t>
      </w:r>
      <w:r>
        <w:rPr>
          <w:noProof/>
        </w:rPr>
        <w:tab/>
      </w:r>
      <w:r>
        <w:rPr>
          <w:noProof/>
        </w:rPr>
        <w:fldChar w:fldCharType="begin"/>
      </w:r>
      <w:r>
        <w:rPr>
          <w:noProof/>
        </w:rPr>
        <w:instrText xml:space="preserve"> PAGEREF _Toc158712928 \h </w:instrText>
      </w:r>
      <w:r>
        <w:rPr>
          <w:noProof/>
        </w:rPr>
      </w:r>
      <w:r>
        <w:rPr>
          <w:noProof/>
        </w:rPr>
        <w:fldChar w:fldCharType="separate"/>
      </w:r>
      <w:r>
        <w:rPr>
          <w:noProof/>
        </w:rPr>
        <w:t>545</w:t>
      </w:r>
      <w:r>
        <w:rPr>
          <w:noProof/>
        </w:rPr>
        <w:fldChar w:fldCharType="end"/>
      </w:r>
    </w:p>
    <w:p w14:paraId="1D20292A" w14:textId="4BA688D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9.10—Fees imposed by the Corporations (Fees) Act 2001 and the Corporations (Review Fees) Act 2003</w:t>
      </w:r>
      <w:r>
        <w:rPr>
          <w:noProof/>
        </w:rPr>
        <w:tab/>
      </w:r>
      <w:r>
        <w:rPr>
          <w:noProof/>
        </w:rPr>
        <w:fldChar w:fldCharType="begin"/>
      </w:r>
      <w:r>
        <w:rPr>
          <w:noProof/>
        </w:rPr>
        <w:instrText xml:space="preserve"> PAGEREF _Toc158712929 \h </w:instrText>
      </w:r>
      <w:r>
        <w:rPr>
          <w:noProof/>
        </w:rPr>
      </w:r>
      <w:r>
        <w:rPr>
          <w:noProof/>
        </w:rPr>
        <w:fldChar w:fldCharType="separate"/>
      </w:r>
      <w:r>
        <w:rPr>
          <w:noProof/>
        </w:rPr>
        <w:t>546</w:t>
      </w:r>
      <w:r>
        <w:rPr>
          <w:noProof/>
        </w:rPr>
        <w:fldChar w:fldCharType="end"/>
      </w:r>
    </w:p>
    <w:p w14:paraId="75D7FD48" w14:textId="639CDF7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9.10.01  Penalty for failure to pay review fee on time—prescribed penalty (Act s 1364)</w:t>
      </w:r>
      <w:r>
        <w:rPr>
          <w:noProof/>
        </w:rPr>
        <w:tab/>
      </w:r>
      <w:r>
        <w:rPr>
          <w:noProof/>
        </w:rPr>
        <w:fldChar w:fldCharType="begin"/>
      </w:r>
      <w:r>
        <w:rPr>
          <w:noProof/>
        </w:rPr>
        <w:instrText xml:space="preserve"> PAGEREF _Toc158712930 \h </w:instrText>
      </w:r>
      <w:r>
        <w:rPr>
          <w:noProof/>
        </w:rPr>
      </w:r>
      <w:r>
        <w:rPr>
          <w:noProof/>
        </w:rPr>
        <w:fldChar w:fldCharType="separate"/>
      </w:r>
      <w:r>
        <w:rPr>
          <w:noProof/>
        </w:rPr>
        <w:t>546</w:t>
      </w:r>
      <w:r>
        <w:rPr>
          <w:noProof/>
        </w:rPr>
        <w:fldChar w:fldCharType="end"/>
      </w:r>
    </w:p>
    <w:p w14:paraId="7A1CA8DE" w14:textId="194111B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9.12—Matters relating to regulations</w:t>
      </w:r>
      <w:r>
        <w:rPr>
          <w:noProof/>
        </w:rPr>
        <w:tab/>
      </w:r>
      <w:r>
        <w:rPr>
          <w:noProof/>
        </w:rPr>
        <w:fldChar w:fldCharType="begin"/>
      </w:r>
      <w:r>
        <w:rPr>
          <w:noProof/>
        </w:rPr>
        <w:instrText xml:space="preserve"> PAGEREF _Toc158712931 \h </w:instrText>
      </w:r>
      <w:r>
        <w:rPr>
          <w:noProof/>
        </w:rPr>
      </w:r>
      <w:r>
        <w:rPr>
          <w:noProof/>
        </w:rPr>
        <w:fldChar w:fldCharType="separate"/>
      </w:r>
      <w:r>
        <w:rPr>
          <w:noProof/>
        </w:rPr>
        <w:t>547</w:t>
      </w:r>
      <w:r>
        <w:rPr>
          <w:noProof/>
        </w:rPr>
        <w:fldChar w:fldCharType="end"/>
      </w:r>
    </w:p>
    <w:p w14:paraId="38873446" w14:textId="6E731CA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9.12.01  Exemptions from Chapter 7</w:t>
      </w:r>
      <w:r>
        <w:rPr>
          <w:noProof/>
        </w:rPr>
        <w:tab/>
      </w:r>
      <w:r>
        <w:rPr>
          <w:noProof/>
        </w:rPr>
        <w:fldChar w:fldCharType="begin"/>
      </w:r>
      <w:r>
        <w:rPr>
          <w:noProof/>
        </w:rPr>
        <w:instrText xml:space="preserve"> PAGEREF _Toc158712932 \h </w:instrText>
      </w:r>
      <w:r>
        <w:rPr>
          <w:noProof/>
        </w:rPr>
      </w:r>
      <w:r>
        <w:rPr>
          <w:noProof/>
        </w:rPr>
        <w:fldChar w:fldCharType="separate"/>
      </w:r>
      <w:r>
        <w:rPr>
          <w:noProof/>
        </w:rPr>
        <w:t>547</w:t>
      </w:r>
      <w:r>
        <w:rPr>
          <w:noProof/>
        </w:rPr>
        <w:fldChar w:fldCharType="end"/>
      </w:r>
    </w:p>
    <w:p w14:paraId="35ED435D" w14:textId="4594B7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9.12.02  Exemption from provisions of Chapter 7—CLS Bank</w:t>
      </w:r>
      <w:r>
        <w:rPr>
          <w:noProof/>
        </w:rPr>
        <w:tab/>
      </w:r>
      <w:r>
        <w:rPr>
          <w:noProof/>
        </w:rPr>
        <w:fldChar w:fldCharType="begin"/>
      </w:r>
      <w:r>
        <w:rPr>
          <w:noProof/>
        </w:rPr>
        <w:instrText xml:space="preserve"> PAGEREF _Toc158712933 \h </w:instrText>
      </w:r>
      <w:r>
        <w:rPr>
          <w:noProof/>
        </w:rPr>
      </w:r>
      <w:r>
        <w:rPr>
          <w:noProof/>
        </w:rPr>
        <w:fldChar w:fldCharType="separate"/>
      </w:r>
      <w:r>
        <w:rPr>
          <w:noProof/>
        </w:rPr>
        <w:t>547</w:t>
      </w:r>
      <w:r>
        <w:rPr>
          <w:noProof/>
        </w:rPr>
        <w:fldChar w:fldCharType="end"/>
      </w:r>
    </w:p>
    <w:p w14:paraId="6A3E09C5" w14:textId="5CAFC0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9.12.03  Partial exemption of foreign</w:t>
      </w:r>
      <w:r>
        <w:rPr>
          <w:noProof/>
        </w:rPr>
        <w:noBreakHyphen/>
        <w:t>based market licensees from certain notification obligations</w:t>
      </w:r>
      <w:r>
        <w:rPr>
          <w:noProof/>
        </w:rPr>
        <w:tab/>
      </w:r>
      <w:r>
        <w:rPr>
          <w:noProof/>
        </w:rPr>
        <w:fldChar w:fldCharType="begin"/>
      </w:r>
      <w:r>
        <w:rPr>
          <w:noProof/>
        </w:rPr>
        <w:instrText xml:space="preserve"> PAGEREF _Toc158712934 \h </w:instrText>
      </w:r>
      <w:r>
        <w:rPr>
          <w:noProof/>
        </w:rPr>
      </w:r>
      <w:r>
        <w:rPr>
          <w:noProof/>
        </w:rPr>
        <w:fldChar w:fldCharType="separate"/>
      </w:r>
      <w:r>
        <w:rPr>
          <w:noProof/>
        </w:rPr>
        <w:t>548</w:t>
      </w:r>
      <w:r>
        <w:rPr>
          <w:noProof/>
        </w:rPr>
        <w:fldChar w:fldCharType="end"/>
      </w:r>
    </w:p>
    <w:p w14:paraId="6909B33D" w14:textId="02E6348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9.12.03A  Exemption from provisions of Chapter 7—compliance with ASIC exemptions</w:t>
      </w:r>
      <w:r>
        <w:rPr>
          <w:noProof/>
        </w:rPr>
        <w:tab/>
      </w:r>
      <w:r>
        <w:rPr>
          <w:noProof/>
        </w:rPr>
        <w:fldChar w:fldCharType="begin"/>
      </w:r>
      <w:r>
        <w:rPr>
          <w:noProof/>
        </w:rPr>
        <w:instrText xml:space="preserve"> PAGEREF _Toc158712935 \h </w:instrText>
      </w:r>
      <w:r>
        <w:rPr>
          <w:noProof/>
        </w:rPr>
      </w:r>
      <w:r>
        <w:rPr>
          <w:noProof/>
        </w:rPr>
        <w:fldChar w:fldCharType="separate"/>
      </w:r>
      <w:r>
        <w:rPr>
          <w:noProof/>
        </w:rPr>
        <w:t>549</w:t>
      </w:r>
      <w:r>
        <w:rPr>
          <w:noProof/>
        </w:rPr>
        <w:fldChar w:fldCharType="end"/>
      </w:r>
    </w:p>
    <w:p w14:paraId="342E21D9" w14:textId="609E8E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9.12.04  Exemption from provisions of Chapter 7—carbon unit auctions</w:t>
      </w:r>
      <w:r>
        <w:rPr>
          <w:noProof/>
        </w:rPr>
        <w:tab/>
      </w:r>
      <w:r>
        <w:rPr>
          <w:noProof/>
        </w:rPr>
        <w:fldChar w:fldCharType="begin"/>
      </w:r>
      <w:r>
        <w:rPr>
          <w:noProof/>
        </w:rPr>
        <w:instrText xml:space="preserve"> PAGEREF _Toc158712936 \h </w:instrText>
      </w:r>
      <w:r>
        <w:rPr>
          <w:noProof/>
        </w:rPr>
      </w:r>
      <w:r>
        <w:rPr>
          <w:noProof/>
        </w:rPr>
        <w:fldChar w:fldCharType="separate"/>
      </w:r>
      <w:r>
        <w:rPr>
          <w:noProof/>
        </w:rPr>
        <w:t>549</w:t>
      </w:r>
      <w:r>
        <w:rPr>
          <w:noProof/>
        </w:rPr>
        <w:fldChar w:fldCharType="end"/>
      </w:r>
    </w:p>
    <w:p w14:paraId="68D550E1" w14:textId="5E2E0D3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9.12.05  Exemption from provisions of Chapter 7—gas trading exchange</w:t>
      </w:r>
      <w:r>
        <w:rPr>
          <w:noProof/>
        </w:rPr>
        <w:tab/>
      </w:r>
      <w:r>
        <w:rPr>
          <w:noProof/>
        </w:rPr>
        <w:fldChar w:fldCharType="begin"/>
      </w:r>
      <w:r>
        <w:rPr>
          <w:noProof/>
        </w:rPr>
        <w:instrText xml:space="preserve"> PAGEREF _Toc158712937 \h </w:instrText>
      </w:r>
      <w:r>
        <w:rPr>
          <w:noProof/>
        </w:rPr>
      </w:r>
      <w:r>
        <w:rPr>
          <w:noProof/>
        </w:rPr>
        <w:fldChar w:fldCharType="separate"/>
      </w:r>
      <w:r>
        <w:rPr>
          <w:noProof/>
        </w:rPr>
        <w:t>549</w:t>
      </w:r>
      <w:r>
        <w:rPr>
          <w:noProof/>
        </w:rPr>
        <w:fldChar w:fldCharType="end"/>
      </w:r>
    </w:p>
    <w:p w14:paraId="5A8CB9C7" w14:textId="07D26AC8"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10—Repeals, transitional matters and application provisions</w:t>
      </w:r>
      <w:r>
        <w:rPr>
          <w:noProof/>
        </w:rPr>
        <w:tab/>
      </w:r>
      <w:r>
        <w:rPr>
          <w:noProof/>
        </w:rPr>
        <w:fldChar w:fldCharType="begin"/>
      </w:r>
      <w:r>
        <w:rPr>
          <w:noProof/>
        </w:rPr>
        <w:instrText xml:space="preserve"> PAGEREF _Toc158712938 \h </w:instrText>
      </w:r>
      <w:r>
        <w:rPr>
          <w:noProof/>
        </w:rPr>
      </w:r>
      <w:r>
        <w:rPr>
          <w:noProof/>
        </w:rPr>
        <w:fldChar w:fldCharType="separate"/>
      </w:r>
      <w:r>
        <w:rPr>
          <w:noProof/>
        </w:rPr>
        <w:t>550</w:t>
      </w:r>
      <w:r>
        <w:rPr>
          <w:noProof/>
        </w:rPr>
        <w:fldChar w:fldCharType="end"/>
      </w:r>
    </w:p>
    <w:p w14:paraId="63BFF2AA" w14:textId="3843563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10.2—Transitional arrangements relating to Financial Services Reform legislation</w:t>
      </w:r>
      <w:r>
        <w:rPr>
          <w:noProof/>
        </w:rPr>
        <w:tab/>
      </w:r>
      <w:r>
        <w:rPr>
          <w:noProof/>
        </w:rPr>
        <w:fldChar w:fldCharType="begin"/>
      </w:r>
      <w:r>
        <w:rPr>
          <w:noProof/>
        </w:rPr>
        <w:instrText xml:space="preserve"> PAGEREF _Toc158712939 \h </w:instrText>
      </w:r>
      <w:r>
        <w:rPr>
          <w:noProof/>
        </w:rPr>
      </w:r>
      <w:r>
        <w:rPr>
          <w:noProof/>
        </w:rPr>
        <w:fldChar w:fldCharType="separate"/>
      </w:r>
      <w:r>
        <w:rPr>
          <w:noProof/>
        </w:rPr>
        <w:t>550</w:t>
      </w:r>
      <w:r>
        <w:rPr>
          <w:noProof/>
        </w:rPr>
        <w:fldChar w:fldCharType="end"/>
      </w:r>
    </w:p>
    <w:p w14:paraId="55CD48C3" w14:textId="47CA851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w:t>
      </w:r>
      <w:r w:rsidRPr="00FC743A">
        <w:rPr>
          <w:noProof/>
          <w:color w:val="000000"/>
        </w:rPr>
        <w:t>—</w:t>
      </w:r>
      <w:r>
        <w:rPr>
          <w:noProof/>
        </w:rPr>
        <w:t>Preliminary</w:t>
      </w:r>
      <w:r>
        <w:rPr>
          <w:noProof/>
        </w:rPr>
        <w:tab/>
      </w:r>
      <w:r>
        <w:rPr>
          <w:noProof/>
        </w:rPr>
        <w:fldChar w:fldCharType="begin"/>
      </w:r>
      <w:r>
        <w:rPr>
          <w:noProof/>
        </w:rPr>
        <w:instrText xml:space="preserve"> PAGEREF _Toc158712940 \h </w:instrText>
      </w:r>
      <w:r>
        <w:rPr>
          <w:noProof/>
        </w:rPr>
      </w:r>
      <w:r>
        <w:rPr>
          <w:noProof/>
        </w:rPr>
        <w:fldChar w:fldCharType="separate"/>
      </w:r>
      <w:r>
        <w:rPr>
          <w:noProof/>
        </w:rPr>
        <w:t>550</w:t>
      </w:r>
      <w:r>
        <w:rPr>
          <w:noProof/>
        </w:rPr>
        <w:fldChar w:fldCharType="end"/>
      </w:r>
    </w:p>
    <w:p w14:paraId="3F6D34FC" w14:textId="65E2FB2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10.2.01  Application of Part 10.2</w:t>
      </w:r>
      <w:r>
        <w:rPr>
          <w:noProof/>
        </w:rPr>
        <w:tab/>
      </w:r>
      <w:r>
        <w:rPr>
          <w:noProof/>
        </w:rPr>
        <w:fldChar w:fldCharType="begin"/>
      </w:r>
      <w:r>
        <w:rPr>
          <w:noProof/>
        </w:rPr>
        <w:instrText xml:space="preserve"> PAGEREF _Toc158712941 \h </w:instrText>
      </w:r>
      <w:r>
        <w:rPr>
          <w:noProof/>
        </w:rPr>
      </w:r>
      <w:r>
        <w:rPr>
          <w:noProof/>
        </w:rPr>
        <w:fldChar w:fldCharType="separate"/>
      </w:r>
      <w:r>
        <w:rPr>
          <w:noProof/>
        </w:rPr>
        <w:t>550</w:t>
      </w:r>
      <w:r>
        <w:rPr>
          <w:noProof/>
        </w:rPr>
        <w:fldChar w:fldCharType="end"/>
      </w:r>
    </w:p>
    <w:p w14:paraId="5B9680B6" w14:textId="18DA24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10.2.02  Definitions</w:t>
      </w:r>
      <w:r>
        <w:rPr>
          <w:noProof/>
        </w:rPr>
        <w:tab/>
      </w:r>
      <w:r>
        <w:rPr>
          <w:noProof/>
        </w:rPr>
        <w:fldChar w:fldCharType="begin"/>
      </w:r>
      <w:r>
        <w:rPr>
          <w:noProof/>
        </w:rPr>
        <w:instrText xml:space="preserve"> PAGEREF _Toc158712942 \h </w:instrText>
      </w:r>
      <w:r>
        <w:rPr>
          <w:noProof/>
        </w:rPr>
      </w:r>
      <w:r>
        <w:rPr>
          <w:noProof/>
        </w:rPr>
        <w:fldChar w:fldCharType="separate"/>
      </w:r>
      <w:r>
        <w:rPr>
          <w:noProof/>
        </w:rPr>
        <w:t>550</w:t>
      </w:r>
      <w:r>
        <w:rPr>
          <w:noProof/>
        </w:rPr>
        <w:fldChar w:fldCharType="end"/>
      </w:r>
    </w:p>
    <w:p w14:paraId="37D4A5CD" w14:textId="5EB9B32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10.2.02A  References to transition periods</w:t>
      </w:r>
      <w:r>
        <w:rPr>
          <w:noProof/>
        </w:rPr>
        <w:tab/>
      </w:r>
      <w:r>
        <w:rPr>
          <w:noProof/>
        </w:rPr>
        <w:fldChar w:fldCharType="begin"/>
      </w:r>
      <w:r>
        <w:rPr>
          <w:noProof/>
        </w:rPr>
        <w:instrText xml:space="preserve"> PAGEREF _Toc158712943 \h </w:instrText>
      </w:r>
      <w:r>
        <w:rPr>
          <w:noProof/>
        </w:rPr>
      </w:r>
      <w:r>
        <w:rPr>
          <w:noProof/>
        </w:rPr>
        <w:fldChar w:fldCharType="separate"/>
      </w:r>
      <w:r>
        <w:rPr>
          <w:noProof/>
        </w:rPr>
        <w:t>550</w:t>
      </w:r>
      <w:r>
        <w:rPr>
          <w:noProof/>
        </w:rPr>
        <w:fldChar w:fldCharType="end"/>
      </w:r>
    </w:p>
    <w:p w14:paraId="73E98196" w14:textId="4F5AB79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10.2.02B  References to the application of Division 2 of Part 7.9 of the Act</w:t>
      </w:r>
      <w:r>
        <w:rPr>
          <w:noProof/>
        </w:rPr>
        <w:tab/>
      </w:r>
      <w:r>
        <w:rPr>
          <w:noProof/>
        </w:rPr>
        <w:fldChar w:fldCharType="begin"/>
      </w:r>
      <w:r>
        <w:rPr>
          <w:noProof/>
        </w:rPr>
        <w:instrText xml:space="preserve"> PAGEREF _Toc158712944 \h </w:instrText>
      </w:r>
      <w:r>
        <w:rPr>
          <w:noProof/>
        </w:rPr>
      </w:r>
      <w:r>
        <w:rPr>
          <w:noProof/>
        </w:rPr>
        <w:fldChar w:fldCharType="separate"/>
      </w:r>
      <w:r>
        <w:rPr>
          <w:noProof/>
        </w:rPr>
        <w:t>550</w:t>
      </w:r>
      <w:r>
        <w:rPr>
          <w:noProof/>
        </w:rPr>
        <w:fldChar w:fldCharType="end"/>
      </w:r>
    </w:p>
    <w:p w14:paraId="601D48B5" w14:textId="016EA0F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1A—Treatment of proposed markets that have not started to operate by the FSR commencement</w:t>
      </w:r>
      <w:r>
        <w:rPr>
          <w:noProof/>
        </w:rPr>
        <w:tab/>
      </w:r>
      <w:r>
        <w:rPr>
          <w:noProof/>
        </w:rPr>
        <w:fldChar w:fldCharType="begin"/>
      </w:r>
      <w:r>
        <w:rPr>
          <w:noProof/>
        </w:rPr>
        <w:instrText xml:space="preserve"> PAGEREF _Toc158712945 \h </w:instrText>
      </w:r>
      <w:r>
        <w:rPr>
          <w:noProof/>
        </w:rPr>
      </w:r>
      <w:r>
        <w:rPr>
          <w:noProof/>
        </w:rPr>
        <w:fldChar w:fldCharType="separate"/>
      </w:r>
      <w:r>
        <w:rPr>
          <w:noProof/>
        </w:rPr>
        <w:t>551</w:t>
      </w:r>
      <w:r>
        <w:rPr>
          <w:noProof/>
        </w:rPr>
        <w:fldChar w:fldCharType="end"/>
      </w:r>
    </w:p>
    <w:p w14:paraId="5E7B3346" w14:textId="5C957B9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10.2.02C  Proposed markets</w:t>
      </w:r>
      <w:r>
        <w:rPr>
          <w:noProof/>
        </w:rPr>
        <w:tab/>
      </w:r>
      <w:r>
        <w:rPr>
          <w:noProof/>
        </w:rPr>
        <w:fldChar w:fldCharType="begin"/>
      </w:r>
      <w:r>
        <w:rPr>
          <w:noProof/>
        </w:rPr>
        <w:instrText xml:space="preserve"> PAGEREF _Toc158712946 \h </w:instrText>
      </w:r>
      <w:r>
        <w:rPr>
          <w:noProof/>
        </w:rPr>
      </w:r>
      <w:r>
        <w:rPr>
          <w:noProof/>
        </w:rPr>
        <w:fldChar w:fldCharType="separate"/>
      </w:r>
      <w:r>
        <w:rPr>
          <w:noProof/>
        </w:rPr>
        <w:t>551</w:t>
      </w:r>
      <w:r>
        <w:rPr>
          <w:noProof/>
        </w:rPr>
        <w:fldChar w:fldCharType="end"/>
      </w:r>
    </w:p>
    <w:p w14:paraId="376AF75F" w14:textId="790AA9C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w:t>
      </w:r>
      <w:r w:rsidRPr="00FC743A">
        <w:rPr>
          <w:noProof/>
          <w:color w:val="000000"/>
        </w:rPr>
        <w:t>—</w:t>
      </w:r>
      <w:r>
        <w:rPr>
          <w:noProof/>
        </w:rPr>
        <w:t>Transitional arrangements relating to business rules or listing rules</w:t>
      </w:r>
      <w:r>
        <w:rPr>
          <w:noProof/>
        </w:rPr>
        <w:tab/>
      </w:r>
      <w:r>
        <w:rPr>
          <w:noProof/>
        </w:rPr>
        <w:fldChar w:fldCharType="begin"/>
      </w:r>
      <w:r>
        <w:rPr>
          <w:noProof/>
        </w:rPr>
        <w:instrText xml:space="preserve"> PAGEREF _Toc158712947 \h </w:instrText>
      </w:r>
      <w:r>
        <w:rPr>
          <w:noProof/>
        </w:rPr>
      </w:r>
      <w:r>
        <w:rPr>
          <w:noProof/>
        </w:rPr>
        <w:fldChar w:fldCharType="separate"/>
      </w:r>
      <w:r>
        <w:rPr>
          <w:noProof/>
        </w:rPr>
        <w:t>552</w:t>
      </w:r>
      <w:r>
        <w:rPr>
          <w:noProof/>
        </w:rPr>
        <w:fldChar w:fldCharType="end"/>
      </w:r>
    </w:p>
    <w:p w14:paraId="1DA0C36B" w14:textId="49B1423D"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2.1—Business rules</w:t>
      </w:r>
      <w:r>
        <w:rPr>
          <w:noProof/>
        </w:rPr>
        <w:tab/>
      </w:r>
      <w:r>
        <w:rPr>
          <w:noProof/>
        </w:rPr>
        <w:fldChar w:fldCharType="begin"/>
      </w:r>
      <w:r>
        <w:rPr>
          <w:noProof/>
        </w:rPr>
        <w:instrText xml:space="preserve"> PAGEREF _Toc158712948 \h </w:instrText>
      </w:r>
      <w:r>
        <w:rPr>
          <w:noProof/>
        </w:rPr>
      </w:r>
      <w:r>
        <w:rPr>
          <w:noProof/>
        </w:rPr>
        <w:fldChar w:fldCharType="separate"/>
      </w:r>
      <w:r>
        <w:rPr>
          <w:noProof/>
        </w:rPr>
        <w:t>552</w:t>
      </w:r>
      <w:r>
        <w:rPr>
          <w:noProof/>
        </w:rPr>
        <w:fldChar w:fldCharType="end"/>
      </w:r>
    </w:p>
    <w:p w14:paraId="3B75936C" w14:textId="796567C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10.2.03  Amendment of business rules of securities exchange before FSR commencement</w:t>
      </w:r>
      <w:r>
        <w:rPr>
          <w:noProof/>
        </w:rPr>
        <w:tab/>
      </w:r>
      <w:r>
        <w:rPr>
          <w:noProof/>
        </w:rPr>
        <w:fldChar w:fldCharType="begin"/>
      </w:r>
      <w:r>
        <w:rPr>
          <w:noProof/>
        </w:rPr>
        <w:instrText xml:space="preserve"> PAGEREF _Toc158712949 \h </w:instrText>
      </w:r>
      <w:r>
        <w:rPr>
          <w:noProof/>
        </w:rPr>
      </w:r>
      <w:r>
        <w:rPr>
          <w:noProof/>
        </w:rPr>
        <w:fldChar w:fldCharType="separate"/>
      </w:r>
      <w:r>
        <w:rPr>
          <w:noProof/>
        </w:rPr>
        <w:t>552</w:t>
      </w:r>
      <w:r>
        <w:rPr>
          <w:noProof/>
        </w:rPr>
        <w:fldChar w:fldCharType="end"/>
      </w:r>
    </w:p>
    <w:p w14:paraId="28A56EE0" w14:textId="1133E9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10.2.04  Amendment of SCH business rules before FSR commencement</w:t>
      </w:r>
      <w:r>
        <w:rPr>
          <w:noProof/>
        </w:rPr>
        <w:tab/>
      </w:r>
      <w:r>
        <w:rPr>
          <w:noProof/>
        </w:rPr>
        <w:fldChar w:fldCharType="begin"/>
      </w:r>
      <w:r>
        <w:rPr>
          <w:noProof/>
        </w:rPr>
        <w:instrText xml:space="preserve"> PAGEREF _Toc158712950 \h </w:instrText>
      </w:r>
      <w:r>
        <w:rPr>
          <w:noProof/>
        </w:rPr>
      </w:r>
      <w:r>
        <w:rPr>
          <w:noProof/>
        </w:rPr>
        <w:fldChar w:fldCharType="separate"/>
      </w:r>
      <w:r>
        <w:rPr>
          <w:noProof/>
        </w:rPr>
        <w:t>552</w:t>
      </w:r>
      <w:r>
        <w:rPr>
          <w:noProof/>
        </w:rPr>
        <w:fldChar w:fldCharType="end"/>
      </w:r>
    </w:p>
    <w:p w14:paraId="6D9B5CA4" w14:textId="64CF652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10.2.05  Amendment of SEGC business rules before FSR commencement</w:t>
      </w:r>
      <w:r>
        <w:rPr>
          <w:noProof/>
        </w:rPr>
        <w:tab/>
      </w:r>
      <w:r>
        <w:rPr>
          <w:noProof/>
        </w:rPr>
        <w:fldChar w:fldCharType="begin"/>
      </w:r>
      <w:r>
        <w:rPr>
          <w:noProof/>
        </w:rPr>
        <w:instrText xml:space="preserve"> PAGEREF _Toc158712951 \h </w:instrText>
      </w:r>
      <w:r>
        <w:rPr>
          <w:noProof/>
        </w:rPr>
      </w:r>
      <w:r>
        <w:rPr>
          <w:noProof/>
        </w:rPr>
        <w:fldChar w:fldCharType="separate"/>
      </w:r>
      <w:r>
        <w:rPr>
          <w:noProof/>
        </w:rPr>
        <w:t>552</w:t>
      </w:r>
      <w:r>
        <w:rPr>
          <w:noProof/>
        </w:rPr>
        <w:fldChar w:fldCharType="end"/>
      </w:r>
    </w:p>
    <w:p w14:paraId="7C3DF48A" w14:textId="756BB2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10.2.06  Amendment of business rules of futures body before FSR commencement</w:t>
      </w:r>
      <w:r>
        <w:rPr>
          <w:noProof/>
        </w:rPr>
        <w:tab/>
      </w:r>
      <w:r>
        <w:rPr>
          <w:noProof/>
        </w:rPr>
        <w:fldChar w:fldCharType="begin"/>
      </w:r>
      <w:r>
        <w:rPr>
          <w:noProof/>
        </w:rPr>
        <w:instrText xml:space="preserve"> PAGEREF _Toc158712952 \h </w:instrText>
      </w:r>
      <w:r>
        <w:rPr>
          <w:noProof/>
        </w:rPr>
      </w:r>
      <w:r>
        <w:rPr>
          <w:noProof/>
        </w:rPr>
        <w:fldChar w:fldCharType="separate"/>
      </w:r>
      <w:r>
        <w:rPr>
          <w:noProof/>
        </w:rPr>
        <w:t>553</w:t>
      </w:r>
      <w:r>
        <w:rPr>
          <w:noProof/>
        </w:rPr>
        <w:fldChar w:fldCharType="end"/>
      </w:r>
    </w:p>
    <w:p w14:paraId="6FDB40CD" w14:textId="09EA2B48" w:rsidR="00D779FE" w:rsidRDefault="00D779FE">
      <w:pPr>
        <w:pStyle w:val="TOC4"/>
        <w:rPr>
          <w:rFonts w:asciiTheme="minorHAnsi" w:eastAsiaTheme="minorEastAsia" w:hAnsiTheme="minorHAnsi" w:cstheme="minorBidi"/>
          <w:b w:val="0"/>
          <w:noProof/>
          <w:kern w:val="2"/>
          <w:sz w:val="22"/>
          <w:szCs w:val="22"/>
          <w14:ligatures w14:val="standardContextual"/>
        </w:rPr>
      </w:pPr>
      <w:r>
        <w:rPr>
          <w:noProof/>
        </w:rPr>
        <w:t>Subdivision 2.2—Listing rules</w:t>
      </w:r>
      <w:r>
        <w:rPr>
          <w:noProof/>
        </w:rPr>
        <w:tab/>
      </w:r>
      <w:r>
        <w:rPr>
          <w:noProof/>
        </w:rPr>
        <w:fldChar w:fldCharType="begin"/>
      </w:r>
      <w:r>
        <w:rPr>
          <w:noProof/>
        </w:rPr>
        <w:instrText xml:space="preserve"> PAGEREF _Toc158712953 \h </w:instrText>
      </w:r>
      <w:r>
        <w:rPr>
          <w:noProof/>
        </w:rPr>
      </w:r>
      <w:r>
        <w:rPr>
          <w:noProof/>
        </w:rPr>
        <w:fldChar w:fldCharType="separate"/>
      </w:r>
      <w:r>
        <w:rPr>
          <w:noProof/>
        </w:rPr>
        <w:t>553</w:t>
      </w:r>
      <w:r>
        <w:rPr>
          <w:noProof/>
        </w:rPr>
        <w:fldChar w:fldCharType="end"/>
      </w:r>
    </w:p>
    <w:p w14:paraId="4951DD40" w14:textId="2A73865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10.2.07  Amendment of listing rules of securities exchange before FSR commencement</w:t>
      </w:r>
      <w:r>
        <w:rPr>
          <w:noProof/>
        </w:rPr>
        <w:tab/>
      </w:r>
      <w:r>
        <w:rPr>
          <w:noProof/>
        </w:rPr>
        <w:fldChar w:fldCharType="begin"/>
      </w:r>
      <w:r>
        <w:rPr>
          <w:noProof/>
        </w:rPr>
        <w:instrText xml:space="preserve"> PAGEREF _Toc158712954 \h </w:instrText>
      </w:r>
      <w:r>
        <w:rPr>
          <w:noProof/>
        </w:rPr>
      </w:r>
      <w:r>
        <w:rPr>
          <w:noProof/>
        </w:rPr>
        <w:fldChar w:fldCharType="separate"/>
      </w:r>
      <w:r>
        <w:rPr>
          <w:noProof/>
        </w:rPr>
        <w:t>553</w:t>
      </w:r>
      <w:r>
        <w:rPr>
          <w:noProof/>
        </w:rPr>
        <w:fldChar w:fldCharType="end"/>
      </w:r>
    </w:p>
    <w:p w14:paraId="64A1C5ED" w14:textId="4760F89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w:t>
      </w:r>
      <w:r w:rsidRPr="00FC743A">
        <w:rPr>
          <w:noProof/>
          <w:color w:val="000000"/>
        </w:rPr>
        <w:t>—</w:t>
      </w:r>
      <w:r>
        <w:rPr>
          <w:noProof/>
        </w:rPr>
        <w:t>Status of directions and notices</w:t>
      </w:r>
      <w:r>
        <w:rPr>
          <w:noProof/>
        </w:rPr>
        <w:tab/>
      </w:r>
      <w:r>
        <w:rPr>
          <w:noProof/>
        </w:rPr>
        <w:fldChar w:fldCharType="begin"/>
      </w:r>
      <w:r>
        <w:rPr>
          <w:noProof/>
        </w:rPr>
        <w:instrText xml:space="preserve"> PAGEREF _Toc158712955 \h </w:instrText>
      </w:r>
      <w:r>
        <w:rPr>
          <w:noProof/>
        </w:rPr>
      </w:r>
      <w:r>
        <w:rPr>
          <w:noProof/>
        </w:rPr>
        <w:fldChar w:fldCharType="separate"/>
      </w:r>
      <w:r>
        <w:rPr>
          <w:noProof/>
        </w:rPr>
        <w:t>555</w:t>
      </w:r>
      <w:r>
        <w:rPr>
          <w:noProof/>
        </w:rPr>
        <w:fldChar w:fldCharType="end"/>
      </w:r>
    </w:p>
    <w:p w14:paraId="2D330198" w14:textId="0266CBF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10.2.08  Direction to securities exchange to comply with ongoing requirements</w:t>
      </w:r>
      <w:r>
        <w:rPr>
          <w:noProof/>
        </w:rPr>
        <w:tab/>
      </w:r>
      <w:r>
        <w:rPr>
          <w:noProof/>
        </w:rPr>
        <w:fldChar w:fldCharType="begin"/>
      </w:r>
      <w:r>
        <w:rPr>
          <w:noProof/>
        </w:rPr>
        <w:instrText xml:space="preserve"> PAGEREF _Toc158712956 \h </w:instrText>
      </w:r>
      <w:r>
        <w:rPr>
          <w:noProof/>
        </w:rPr>
      </w:r>
      <w:r>
        <w:rPr>
          <w:noProof/>
        </w:rPr>
        <w:fldChar w:fldCharType="separate"/>
      </w:r>
      <w:r>
        <w:rPr>
          <w:noProof/>
        </w:rPr>
        <w:t>555</w:t>
      </w:r>
      <w:r>
        <w:rPr>
          <w:noProof/>
        </w:rPr>
        <w:fldChar w:fldCharType="end"/>
      </w:r>
    </w:p>
    <w:p w14:paraId="18D0FEA9" w14:textId="59E624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10.2.09  Notice to securities exchange of need to prohibit trading</w:t>
      </w:r>
      <w:r>
        <w:rPr>
          <w:noProof/>
        </w:rPr>
        <w:tab/>
      </w:r>
      <w:r>
        <w:rPr>
          <w:noProof/>
        </w:rPr>
        <w:fldChar w:fldCharType="begin"/>
      </w:r>
      <w:r>
        <w:rPr>
          <w:noProof/>
        </w:rPr>
        <w:instrText xml:space="preserve"> PAGEREF _Toc158712957 \h </w:instrText>
      </w:r>
      <w:r>
        <w:rPr>
          <w:noProof/>
        </w:rPr>
      </w:r>
      <w:r>
        <w:rPr>
          <w:noProof/>
        </w:rPr>
        <w:fldChar w:fldCharType="separate"/>
      </w:r>
      <w:r>
        <w:rPr>
          <w:noProof/>
        </w:rPr>
        <w:t>555</w:t>
      </w:r>
      <w:r>
        <w:rPr>
          <w:noProof/>
        </w:rPr>
        <w:fldChar w:fldCharType="end"/>
      </w:r>
    </w:p>
    <w:p w14:paraId="24C65617" w14:textId="5DBA1F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  Notice to securities exchange prohibiting trading</w:t>
      </w:r>
      <w:r>
        <w:rPr>
          <w:noProof/>
        </w:rPr>
        <w:tab/>
      </w:r>
      <w:r>
        <w:rPr>
          <w:noProof/>
        </w:rPr>
        <w:fldChar w:fldCharType="begin"/>
      </w:r>
      <w:r>
        <w:rPr>
          <w:noProof/>
        </w:rPr>
        <w:instrText xml:space="preserve"> PAGEREF _Toc158712958 \h </w:instrText>
      </w:r>
      <w:r>
        <w:rPr>
          <w:noProof/>
        </w:rPr>
      </w:r>
      <w:r>
        <w:rPr>
          <w:noProof/>
        </w:rPr>
        <w:fldChar w:fldCharType="separate"/>
      </w:r>
      <w:r>
        <w:rPr>
          <w:noProof/>
        </w:rPr>
        <w:t>555</w:t>
      </w:r>
      <w:r>
        <w:rPr>
          <w:noProof/>
        </w:rPr>
        <w:fldChar w:fldCharType="end"/>
      </w:r>
    </w:p>
    <w:p w14:paraId="67E168C6" w14:textId="79711D8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  Direction to futures exchange—orderly market</w:t>
      </w:r>
      <w:r>
        <w:rPr>
          <w:noProof/>
        </w:rPr>
        <w:tab/>
      </w:r>
      <w:r>
        <w:rPr>
          <w:noProof/>
        </w:rPr>
        <w:fldChar w:fldCharType="begin"/>
      </w:r>
      <w:r>
        <w:rPr>
          <w:noProof/>
        </w:rPr>
        <w:instrText xml:space="preserve"> PAGEREF _Toc158712959 \h </w:instrText>
      </w:r>
      <w:r>
        <w:rPr>
          <w:noProof/>
        </w:rPr>
      </w:r>
      <w:r>
        <w:rPr>
          <w:noProof/>
        </w:rPr>
        <w:fldChar w:fldCharType="separate"/>
      </w:r>
      <w:r>
        <w:rPr>
          <w:noProof/>
        </w:rPr>
        <w:t>555</w:t>
      </w:r>
      <w:r>
        <w:rPr>
          <w:noProof/>
        </w:rPr>
        <w:fldChar w:fldCharType="end"/>
      </w:r>
    </w:p>
    <w:p w14:paraId="4D7D6B84" w14:textId="65B59F6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w:t>
      </w:r>
      <w:r w:rsidRPr="00FC743A">
        <w:rPr>
          <w:noProof/>
          <w:color w:val="000000"/>
        </w:rPr>
        <w:t>—</w:t>
      </w:r>
      <w:r>
        <w:rPr>
          <w:noProof/>
        </w:rPr>
        <w:t>Assistance to ASIC</w:t>
      </w:r>
      <w:r>
        <w:rPr>
          <w:noProof/>
        </w:rPr>
        <w:tab/>
      </w:r>
      <w:r>
        <w:rPr>
          <w:noProof/>
        </w:rPr>
        <w:fldChar w:fldCharType="begin"/>
      </w:r>
      <w:r>
        <w:rPr>
          <w:noProof/>
        </w:rPr>
        <w:instrText xml:space="preserve"> PAGEREF _Toc158712960 \h </w:instrText>
      </w:r>
      <w:r>
        <w:rPr>
          <w:noProof/>
        </w:rPr>
      </w:r>
      <w:r>
        <w:rPr>
          <w:noProof/>
        </w:rPr>
        <w:fldChar w:fldCharType="separate"/>
      </w:r>
      <w:r>
        <w:rPr>
          <w:noProof/>
        </w:rPr>
        <w:t>556</w:t>
      </w:r>
      <w:r>
        <w:rPr>
          <w:noProof/>
        </w:rPr>
        <w:fldChar w:fldCharType="end"/>
      </w:r>
    </w:p>
    <w:p w14:paraId="5F927CE5" w14:textId="37D945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  Obligations of securities exchange: disciplinary action</w:t>
      </w:r>
      <w:r>
        <w:rPr>
          <w:noProof/>
        </w:rPr>
        <w:tab/>
      </w:r>
      <w:r>
        <w:rPr>
          <w:noProof/>
        </w:rPr>
        <w:fldChar w:fldCharType="begin"/>
      </w:r>
      <w:r>
        <w:rPr>
          <w:noProof/>
        </w:rPr>
        <w:instrText xml:space="preserve"> PAGEREF _Toc158712961 \h </w:instrText>
      </w:r>
      <w:r>
        <w:rPr>
          <w:noProof/>
        </w:rPr>
      </w:r>
      <w:r>
        <w:rPr>
          <w:noProof/>
        </w:rPr>
        <w:fldChar w:fldCharType="separate"/>
      </w:r>
      <w:r>
        <w:rPr>
          <w:noProof/>
        </w:rPr>
        <w:t>556</w:t>
      </w:r>
      <w:r>
        <w:rPr>
          <w:noProof/>
        </w:rPr>
        <w:fldChar w:fldCharType="end"/>
      </w:r>
    </w:p>
    <w:p w14:paraId="11CE4425" w14:textId="533CB8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  Obligations of securities exchange: particulars of contravention</w:t>
      </w:r>
      <w:r>
        <w:rPr>
          <w:noProof/>
        </w:rPr>
        <w:tab/>
      </w:r>
      <w:r>
        <w:rPr>
          <w:noProof/>
        </w:rPr>
        <w:fldChar w:fldCharType="begin"/>
      </w:r>
      <w:r>
        <w:rPr>
          <w:noProof/>
        </w:rPr>
        <w:instrText xml:space="preserve"> PAGEREF _Toc158712962 \h </w:instrText>
      </w:r>
      <w:r>
        <w:rPr>
          <w:noProof/>
        </w:rPr>
      </w:r>
      <w:r>
        <w:rPr>
          <w:noProof/>
        </w:rPr>
        <w:fldChar w:fldCharType="separate"/>
      </w:r>
      <w:r>
        <w:rPr>
          <w:noProof/>
        </w:rPr>
        <w:t>556</w:t>
      </w:r>
      <w:r>
        <w:rPr>
          <w:noProof/>
        </w:rPr>
        <w:fldChar w:fldCharType="end"/>
      </w:r>
    </w:p>
    <w:p w14:paraId="311908F3" w14:textId="00979EC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  Obligations of securities exchange: information about listed disclosing entity</w:t>
      </w:r>
      <w:r>
        <w:rPr>
          <w:noProof/>
        </w:rPr>
        <w:tab/>
      </w:r>
      <w:r>
        <w:rPr>
          <w:noProof/>
        </w:rPr>
        <w:fldChar w:fldCharType="begin"/>
      </w:r>
      <w:r>
        <w:rPr>
          <w:noProof/>
        </w:rPr>
        <w:instrText xml:space="preserve"> PAGEREF _Toc158712963 \h </w:instrText>
      </w:r>
      <w:r>
        <w:rPr>
          <w:noProof/>
        </w:rPr>
      </w:r>
      <w:r>
        <w:rPr>
          <w:noProof/>
        </w:rPr>
        <w:fldChar w:fldCharType="separate"/>
      </w:r>
      <w:r>
        <w:rPr>
          <w:noProof/>
        </w:rPr>
        <w:t>556</w:t>
      </w:r>
      <w:r>
        <w:rPr>
          <w:noProof/>
        </w:rPr>
        <w:fldChar w:fldCharType="end"/>
      </w:r>
    </w:p>
    <w:p w14:paraId="28790D06" w14:textId="73309A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  Obligations of securities clearing house: disciplinary action</w:t>
      </w:r>
      <w:r>
        <w:rPr>
          <w:noProof/>
        </w:rPr>
        <w:tab/>
      </w:r>
      <w:r>
        <w:rPr>
          <w:noProof/>
        </w:rPr>
        <w:fldChar w:fldCharType="begin"/>
      </w:r>
      <w:r>
        <w:rPr>
          <w:noProof/>
        </w:rPr>
        <w:instrText xml:space="preserve"> PAGEREF _Toc158712964 \h </w:instrText>
      </w:r>
      <w:r>
        <w:rPr>
          <w:noProof/>
        </w:rPr>
      </w:r>
      <w:r>
        <w:rPr>
          <w:noProof/>
        </w:rPr>
        <w:fldChar w:fldCharType="separate"/>
      </w:r>
      <w:r>
        <w:rPr>
          <w:noProof/>
        </w:rPr>
        <w:t>556</w:t>
      </w:r>
      <w:r>
        <w:rPr>
          <w:noProof/>
        </w:rPr>
        <w:fldChar w:fldCharType="end"/>
      </w:r>
    </w:p>
    <w:p w14:paraId="46F5623E" w14:textId="2FF9463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  Obligations of futures body: disciplinary action</w:t>
      </w:r>
      <w:r>
        <w:rPr>
          <w:noProof/>
        </w:rPr>
        <w:tab/>
      </w:r>
      <w:r>
        <w:rPr>
          <w:noProof/>
        </w:rPr>
        <w:fldChar w:fldCharType="begin"/>
      </w:r>
      <w:r>
        <w:rPr>
          <w:noProof/>
        </w:rPr>
        <w:instrText xml:space="preserve"> PAGEREF _Toc158712965 \h </w:instrText>
      </w:r>
      <w:r>
        <w:rPr>
          <w:noProof/>
        </w:rPr>
      </w:r>
      <w:r>
        <w:rPr>
          <w:noProof/>
        </w:rPr>
        <w:fldChar w:fldCharType="separate"/>
      </w:r>
      <w:r>
        <w:rPr>
          <w:noProof/>
        </w:rPr>
        <w:t>557</w:t>
      </w:r>
      <w:r>
        <w:rPr>
          <w:noProof/>
        </w:rPr>
        <w:fldChar w:fldCharType="end"/>
      </w:r>
    </w:p>
    <w:p w14:paraId="4EC6ADCD" w14:textId="6F6A8B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  Obligations of futures body: particulars of contravention</w:t>
      </w:r>
      <w:r>
        <w:rPr>
          <w:noProof/>
        </w:rPr>
        <w:tab/>
      </w:r>
      <w:r>
        <w:rPr>
          <w:noProof/>
        </w:rPr>
        <w:fldChar w:fldCharType="begin"/>
      </w:r>
      <w:r>
        <w:rPr>
          <w:noProof/>
        </w:rPr>
        <w:instrText xml:space="preserve"> PAGEREF _Toc158712966 \h </w:instrText>
      </w:r>
      <w:r>
        <w:rPr>
          <w:noProof/>
        </w:rPr>
      </w:r>
      <w:r>
        <w:rPr>
          <w:noProof/>
        </w:rPr>
        <w:fldChar w:fldCharType="separate"/>
      </w:r>
      <w:r>
        <w:rPr>
          <w:noProof/>
        </w:rPr>
        <w:t>557</w:t>
      </w:r>
      <w:r>
        <w:rPr>
          <w:noProof/>
        </w:rPr>
        <w:fldChar w:fldCharType="end"/>
      </w:r>
    </w:p>
    <w:p w14:paraId="3706840A" w14:textId="4573E8F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  Obligations of clearing house for futures exchange: information about listed disclosing entity</w:t>
      </w:r>
      <w:r>
        <w:rPr>
          <w:noProof/>
        </w:rPr>
        <w:tab/>
      </w:r>
      <w:r>
        <w:rPr>
          <w:noProof/>
        </w:rPr>
        <w:fldChar w:fldCharType="begin"/>
      </w:r>
      <w:r>
        <w:rPr>
          <w:noProof/>
        </w:rPr>
        <w:instrText xml:space="preserve"> PAGEREF _Toc158712967 \h </w:instrText>
      </w:r>
      <w:r>
        <w:rPr>
          <w:noProof/>
        </w:rPr>
      </w:r>
      <w:r>
        <w:rPr>
          <w:noProof/>
        </w:rPr>
        <w:fldChar w:fldCharType="separate"/>
      </w:r>
      <w:r>
        <w:rPr>
          <w:noProof/>
        </w:rPr>
        <w:t>557</w:t>
      </w:r>
      <w:r>
        <w:rPr>
          <w:noProof/>
        </w:rPr>
        <w:fldChar w:fldCharType="end"/>
      </w:r>
    </w:p>
    <w:p w14:paraId="1004430F" w14:textId="3A37E77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w:t>
      </w:r>
      <w:r w:rsidRPr="00FC743A">
        <w:rPr>
          <w:noProof/>
          <w:color w:val="000000"/>
        </w:rPr>
        <w:t>—</w:t>
      </w:r>
      <w:r>
        <w:rPr>
          <w:noProof/>
        </w:rPr>
        <w:t>Special reports</w:t>
      </w:r>
      <w:r>
        <w:rPr>
          <w:noProof/>
        </w:rPr>
        <w:tab/>
      </w:r>
      <w:r>
        <w:rPr>
          <w:noProof/>
        </w:rPr>
        <w:fldChar w:fldCharType="begin"/>
      </w:r>
      <w:r>
        <w:rPr>
          <w:noProof/>
        </w:rPr>
        <w:instrText xml:space="preserve"> PAGEREF _Toc158712968 \h </w:instrText>
      </w:r>
      <w:r>
        <w:rPr>
          <w:noProof/>
        </w:rPr>
      </w:r>
      <w:r>
        <w:rPr>
          <w:noProof/>
        </w:rPr>
        <w:fldChar w:fldCharType="separate"/>
      </w:r>
      <w:r>
        <w:rPr>
          <w:noProof/>
        </w:rPr>
        <w:t>558</w:t>
      </w:r>
      <w:r>
        <w:rPr>
          <w:noProof/>
        </w:rPr>
        <w:fldChar w:fldCharType="end"/>
      </w:r>
    </w:p>
    <w:p w14:paraId="0E8D5E9C" w14:textId="3E9448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  Special report by securities exchange about compliance with ongoing requirements</w:t>
      </w:r>
      <w:r>
        <w:rPr>
          <w:noProof/>
        </w:rPr>
        <w:tab/>
      </w:r>
      <w:r>
        <w:rPr>
          <w:noProof/>
        </w:rPr>
        <w:fldChar w:fldCharType="begin"/>
      </w:r>
      <w:r>
        <w:rPr>
          <w:noProof/>
        </w:rPr>
        <w:instrText xml:space="preserve"> PAGEREF _Toc158712969 \h </w:instrText>
      </w:r>
      <w:r>
        <w:rPr>
          <w:noProof/>
        </w:rPr>
      </w:r>
      <w:r>
        <w:rPr>
          <w:noProof/>
        </w:rPr>
        <w:fldChar w:fldCharType="separate"/>
      </w:r>
      <w:r>
        <w:rPr>
          <w:noProof/>
        </w:rPr>
        <w:t>558</w:t>
      </w:r>
      <w:r>
        <w:rPr>
          <w:noProof/>
        </w:rPr>
        <w:fldChar w:fldCharType="end"/>
      </w:r>
    </w:p>
    <w:p w14:paraId="60733713" w14:textId="4B2F93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  Special report by securities exchange about compliance with ongoing requirements: ASIC requirements</w:t>
      </w:r>
      <w:r>
        <w:rPr>
          <w:noProof/>
        </w:rPr>
        <w:tab/>
      </w:r>
      <w:r>
        <w:rPr>
          <w:noProof/>
        </w:rPr>
        <w:fldChar w:fldCharType="begin"/>
      </w:r>
      <w:r>
        <w:rPr>
          <w:noProof/>
        </w:rPr>
        <w:instrText xml:space="preserve"> PAGEREF _Toc158712970 \h </w:instrText>
      </w:r>
      <w:r>
        <w:rPr>
          <w:noProof/>
        </w:rPr>
      </w:r>
      <w:r>
        <w:rPr>
          <w:noProof/>
        </w:rPr>
        <w:fldChar w:fldCharType="separate"/>
      </w:r>
      <w:r>
        <w:rPr>
          <w:noProof/>
        </w:rPr>
        <w:t>558</w:t>
      </w:r>
      <w:r>
        <w:rPr>
          <w:noProof/>
        </w:rPr>
        <w:fldChar w:fldCharType="end"/>
      </w:r>
    </w:p>
    <w:p w14:paraId="3F14BAC7" w14:textId="50A5947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5A—Transactions by holder of financial services licence or a representative of the holder of such a licence</w:t>
      </w:r>
      <w:r>
        <w:rPr>
          <w:noProof/>
        </w:rPr>
        <w:tab/>
      </w:r>
      <w:r>
        <w:rPr>
          <w:noProof/>
        </w:rPr>
        <w:fldChar w:fldCharType="begin"/>
      </w:r>
      <w:r>
        <w:rPr>
          <w:noProof/>
        </w:rPr>
        <w:instrText xml:space="preserve"> PAGEREF _Toc158712971 \h </w:instrText>
      </w:r>
      <w:r>
        <w:rPr>
          <w:noProof/>
        </w:rPr>
      </w:r>
      <w:r>
        <w:rPr>
          <w:noProof/>
        </w:rPr>
        <w:fldChar w:fldCharType="separate"/>
      </w:r>
      <w:r>
        <w:rPr>
          <w:noProof/>
        </w:rPr>
        <w:t>559</w:t>
      </w:r>
      <w:r>
        <w:rPr>
          <w:noProof/>
        </w:rPr>
        <w:fldChar w:fldCharType="end"/>
      </w:r>
    </w:p>
    <w:p w14:paraId="194E4D32" w14:textId="3F2C858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10.2.20A  References to financial service licensee</w:t>
      </w:r>
      <w:r>
        <w:rPr>
          <w:noProof/>
        </w:rPr>
        <w:tab/>
      </w:r>
      <w:r>
        <w:rPr>
          <w:noProof/>
        </w:rPr>
        <w:fldChar w:fldCharType="begin"/>
      </w:r>
      <w:r>
        <w:rPr>
          <w:noProof/>
        </w:rPr>
        <w:instrText xml:space="preserve"> PAGEREF _Toc158712972 \h </w:instrText>
      </w:r>
      <w:r>
        <w:rPr>
          <w:noProof/>
        </w:rPr>
      </w:r>
      <w:r>
        <w:rPr>
          <w:noProof/>
        </w:rPr>
        <w:fldChar w:fldCharType="separate"/>
      </w:r>
      <w:r>
        <w:rPr>
          <w:noProof/>
        </w:rPr>
        <w:t>559</w:t>
      </w:r>
      <w:r>
        <w:rPr>
          <w:noProof/>
        </w:rPr>
        <w:fldChar w:fldCharType="end"/>
      </w:r>
    </w:p>
    <w:p w14:paraId="6BF43607" w14:textId="2BA1BBF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5B—Obligation to pay money into account</w:t>
      </w:r>
      <w:r>
        <w:rPr>
          <w:noProof/>
        </w:rPr>
        <w:tab/>
      </w:r>
      <w:r>
        <w:rPr>
          <w:noProof/>
        </w:rPr>
        <w:fldChar w:fldCharType="begin"/>
      </w:r>
      <w:r>
        <w:rPr>
          <w:noProof/>
        </w:rPr>
        <w:instrText xml:space="preserve"> PAGEREF _Toc158712973 \h </w:instrText>
      </w:r>
      <w:r>
        <w:rPr>
          <w:noProof/>
        </w:rPr>
      </w:r>
      <w:r>
        <w:rPr>
          <w:noProof/>
        </w:rPr>
        <w:fldChar w:fldCharType="separate"/>
      </w:r>
      <w:r>
        <w:rPr>
          <w:noProof/>
        </w:rPr>
        <w:t>560</w:t>
      </w:r>
      <w:r>
        <w:rPr>
          <w:noProof/>
        </w:rPr>
        <w:fldChar w:fldCharType="end"/>
      </w:r>
    </w:p>
    <w:p w14:paraId="12C99398" w14:textId="7AE5C0E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10.2.20B  Financial products quoted on Australian Stock Exchange Limited</w:t>
      </w:r>
      <w:r>
        <w:rPr>
          <w:noProof/>
        </w:rPr>
        <w:tab/>
      </w:r>
      <w:r>
        <w:rPr>
          <w:noProof/>
        </w:rPr>
        <w:fldChar w:fldCharType="begin"/>
      </w:r>
      <w:r>
        <w:rPr>
          <w:noProof/>
        </w:rPr>
        <w:instrText xml:space="preserve"> PAGEREF _Toc158712974 \h </w:instrText>
      </w:r>
      <w:r>
        <w:rPr>
          <w:noProof/>
        </w:rPr>
      </w:r>
      <w:r>
        <w:rPr>
          <w:noProof/>
        </w:rPr>
        <w:fldChar w:fldCharType="separate"/>
      </w:r>
      <w:r>
        <w:rPr>
          <w:noProof/>
        </w:rPr>
        <w:t>560</w:t>
      </w:r>
      <w:r>
        <w:rPr>
          <w:noProof/>
        </w:rPr>
        <w:fldChar w:fldCharType="end"/>
      </w:r>
    </w:p>
    <w:p w14:paraId="5A2FFB2B" w14:textId="65D8828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w:t>
      </w:r>
      <w:r w:rsidRPr="00FC743A">
        <w:rPr>
          <w:noProof/>
          <w:color w:val="000000"/>
        </w:rPr>
        <w:t>—</w:t>
      </w:r>
      <w:r>
        <w:rPr>
          <w:noProof/>
        </w:rPr>
        <w:t>Self</w:t>
      </w:r>
      <w:r>
        <w:rPr>
          <w:noProof/>
        </w:rPr>
        <w:noBreakHyphen/>
        <w:t>listing</w:t>
      </w:r>
      <w:r>
        <w:rPr>
          <w:noProof/>
        </w:rPr>
        <w:tab/>
      </w:r>
      <w:r>
        <w:rPr>
          <w:noProof/>
        </w:rPr>
        <w:fldChar w:fldCharType="begin"/>
      </w:r>
      <w:r>
        <w:rPr>
          <w:noProof/>
        </w:rPr>
        <w:instrText xml:space="preserve"> PAGEREF _Toc158712975 \h </w:instrText>
      </w:r>
      <w:r>
        <w:rPr>
          <w:noProof/>
        </w:rPr>
      </w:r>
      <w:r>
        <w:rPr>
          <w:noProof/>
        </w:rPr>
        <w:fldChar w:fldCharType="separate"/>
      </w:r>
      <w:r>
        <w:rPr>
          <w:noProof/>
        </w:rPr>
        <w:t>561</w:t>
      </w:r>
      <w:r>
        <w:rPr>
          <w:noProof/>
        </w:rPr>
        <w:fldChar w:fldCharType="end"/>
      </w:r>
    </w:p>
    <w:p w14:paraId="7DC38F5D" w14:textId="6445A84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10.2.21  Status of arrangements for self</w:t>
      </w:r>
      <w:r>
        <w:rPr>
          <w:noProof/>
        </w:rPr>
        <w:noBreakHyphen/>
        <w:t>listing</w:t>
      </w:r>
      <w:r>
        <w:rPr>
          <w:noProof/>
        </w:rPr>
        <w:tab/>
      </w:r>
      <w:r>
        <w:rPr>
          <w:noProof/>
        </w:rPr>
        <w:fldChar w:fldCharType="begin"/>
      </w:r>
      <w:r>
        <w:rPr>
          <w:noProof/>
        </w:rPr>
        <w:instrText xml:space="preserve"> PAGEREF _Toc158712976 \h </w:instrText>
      </w:r>
      <w:r>
        <w:rPr>
          <w:noProof/>
        </w:rPr>
      </w:r>
      <w:r>
        <w:rPr>
          <w:noProof/>
        </w:rPr>
        <w:fldChar w:fldCharType="separate"/>
      </w:r>
      <w:r>
        <w:rPr>
          <w:noProof/>
        </w:rPr>
        <w:t>561</w:t>
      </w:r>
      <w:r>
        <w:rPr>
          <w:noProof/>
        </w:rPr>
        <w:fldChar w:fldCharType="end"/>
      </w:r>
    </w:p>
    <w:p w14:paraId="525FCE75" w14:textId="24CC682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10.2.22  Status of exemption relating to self</w:t>
      </w:r>
      <w:r>
        <w:rPr>
          <w:noProof/>
        </w:rPr>
        <w:noBreakHyphen/>
        <w:t>listing</w:t>
      </w:r>
      <w:r>
        <w:rPr>
          <w:noProof/>
        </w:rPr>
        <w:tab/>
      </w:r>
      <w:r>
        <w:rPr>
          <w:noProof/>
        </w:rPr>
        <w:fldChar w:fldCharType="begin"/>
      </w:r>
      <w:r>
        <w:rPr>
          <w:noProof/>
        </w:rPr>
        <w:instrText xml:space="preserve"> PAGEREF _Toc158712977 \h </w:instrText>
      </w:r>
      <w:r>
        <w:rPr>
          <w:noProof/>
        </w:rPr>
      </w:r>
      <w:r>
        <w:rPr>
          <w:noProof/>
        </w:rPr>
        <w:fldChar w:fldCharType="separate"/>
      </w:r>
      <w:r>
        <w:rPr>
          <w:noProof/>
        </w:rPr>
        <w:t>561</w:t>
      </w:r>
      <w:r>
        <w:rPr>
          <w:noProof/>
        </w:rPr>
        <w:fldChar w:fldCharType="end"/>
      </w:r>
    </w:p>
    <w:p w14:paraId="40803918" w14:textId="354AD6F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w:t>
      </w:r>
      <w:r w:rsidRPr="00FC743A">
        <w:rPr>
          <w:noProof/>
          <w:color w:val="000000"/>
        </w:rPr>
        <w:t>—</w:t>
      </w:r>
      <w:r>
        <w:rPr>
          <w:noProof/>
        </w:rPr>
        <w:t>Decisions about membership of futures exchange</w:t>
      </w:r>
      <w:r>
        <w:rPr>
          <w:noProof/>
        </w:rPr>
        <w:tab/>
      </w:r>
      <w:r>
        <w:rPr>
          <w:noProof/>
        </w:rPr>
        <w:fldChar w:fldCharType="begin"/>
      </w:r>
      <w:r>
        <w:rPr>
          <w:noProof/>
        </w:rPr>
        <w:instrText xml:space="preserve"> PAGEREF _Toc158712978 \h </w:instrText>
      </w:r>
      <w:r>
        <w:rPr>
          <w:noProof/>
        </w:rPr>
      </w:r>
      <w:r>
        <w:rPr>
          <w:noProof/>
        </w:rPr>
        <w:fldChar w:fldCharType="separate"/>
      </w:r>
      <w:r>
        <w:rPr>
          <w:noProof/>
        </w:rPr>
        <w:t>562</w:t>
      </w:r>
      <w:r>
        <w:rPr>
          <w:noProof/>
        </w:rPr>
        <w:fldChar w:fldCharType="end"/>
      </w:r>
    </w:p>
    <w:p w14:paraId="121B185A" w14:textId="35848DF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10.2.23  Status of notice to applicant</w:t>
      </w:r>
      <w:r>
        <w:rPr>
          <w:noProof/>
        </w:rPr>
        <w:tab/>
      </w:r>
      <w:r>
        <w:rPr>
          <w:noProof/>
        </w:rPr>
        <w:fldChar w:fldCharType="begin"/>
      </w:r>
      <w:r>
        <w:rPr>
          <w:noProof/>
        </w:rPr>
        <w:instrText xml:space="preserve"> PAGEREF _Toc158712979 \h </w:instrText>
      </w:r>
      <w:r>
        <w:rPr>
          <w:noProof/>
        </w:rPr>
      </w:r>
      <w:r>
        <w:rPr>
          <w:noProof/>
        </w:rPr>
        <w:fldChar w:fldCharType="separate"/>
      </w:r>
      <w:r>
        <w:rPr>
          <w:noProof/>
        </w:rPr>
        <w:t>562</w:t>
      </w:r>
      <w:r>
        <w:rPr>
          <w:noProof/>
        </w:rPr>
        <w:fldChar w:fldCharType="end"/>
      </w:r>
    </w:p>
    <w:p w14:paraId="3481E4E0" w14:textId="6EA781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10.2.24  Status of notice to ASIC</w:t>
      </w:r>
      <w:r>
        <w:rPr>
          <w:noProof/>
        </w:rPr>
        <w:tab/>
      </w:r>
      <w:r>
        <w:rPr>
          <w:noProof/>
        </w:rPr>
        <w:fldChar w:fldCharType="begin"/>
      </w:r>
      <w:r>
        <w:rPr>
          <w:noProof/>
        </w:rPr>
        <w:instrText xml:space="preserve"> PAGEREF _Toc158712980 \h </w:instrText>
      </w:r>
      <w:r>
        <w:rPr>
          <w:noProof/>
        </w:rPr>
      </w:r>
      <w:r>
        <w:rPr>
          <w:noProof/>
        </w:rPr>
        <w:fldChar w:fldCharType="separate"/>
      </w:r>
      <w:r>
        <w:rPr>
          <w:noProof/>
        </w:rPr>
        <w:t>562</w:t>
      </w:r>
      <w:r>
        <w:rPr>
          <w:noProof/>
        </w:rPr>
        <w:fldChar w:fldCharType="end"/>
      </w:r>
    </w:p>
    <w:p w14:paraId="76363758" w14:textId="5FD091F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8—National Guarantee Fund</w:t>
      </w:r>
      <w:r>
        <w:rPr>
          <w:noProof/>
        </w:rPr>
        <w:tab/>
      </w:r>
      <w:r>
        <w:rPr>
          <w:noProof/>
        </w:rPr>
        <w:fldChar w:fldCharType="begin"/>
      </w:r>
      <w:r>
        <w:rPr>
          <w:noProof/>
        </w:rPr>
        <w:instrText xml:space="preserve"> PAGEREF _Toc158712981 \h </w:instrText>
      </w:r>
      <w:r>
        <w:rPr>
          <w:noProof/>
        </w:rPr>
      </w:r>
      <w:r>
        <w:rPr>
          <w:noProof/>
        </w:rPr>
        <w:fldChar w:fldCharType="separate"/>
      </w:r>
      <w:r>
        <w:rPr>
          <w:noProof/>
        </w:rPr>
        <w:t>563</w:t>
      </w:r>
      <w:r>
        <w:rPr>
          <w:noProof/>
        </w:rPr>
        <w:fldChar w:fldCharType="end"/>
      </w:r>
    </w:p>
    <w:p w14:paraId="18F6203C" w14:textId="2B9BF65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10.2.25  Status of claim against the National Guarantee Fund</w:t>
      </w:r>
      <w:r>
        <w:rPr>
          <w:noProof/>
        </w:rPr>
        <w:tab/>
      </w:r>
      <w:r>
        <w:rPr>
          <w:noProof/>
        </w:rPr>
        <w:fldChar w:fldCharType="begin"/>
      </w:r>
      <w:r>
        <w:rPr>
          <w:noProof/>
        </w:rPr>
        <w:instrText xml:space="preserve"> PAGEREF _Toc158712982 \h </w:instrText>
      </w:r>
      <w:r>
        <w:rPr>
          <w:noProof/>
        </w:rPr>
      </w:r>
      <w:r>
        <w:rPr>
          <w:noProof/>
        </w:rPr>
        <w:fldChar w:fldCharType="separate"/>
      </w:r>
      <w:r>
        <w:rPr>
          <w:noProof/>
        </w:rPr>
        <w:t>563</w:t>
      </w:r>
      <w:r>
        <w:rPr>
          <w:noProof/>
        </w:rPr>
        <w:fldChar w:fldCharType="end"/>
      </w:r>
    </w:p>
    <w:p w14:paraId="353F5B9D" w14:textId="67955B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10.2.26  Entitlement to make claim against the National Guarantee Fund</w:t>
      </w:r>
      <w:r>
        <w:rPr>
          <w:noProof/>
        </w:rPr>
        <w:tab/>
      </w:r>
      <w:r>
        <w:rPr>
          <w:noProof/>
        </w:rPr>
        <w:fldChar w:fldCharType="begin"/>
      </w:r>
      <w:r>
        <w:rPr>
          <w:noProof/>
        </w:rPr>
        <w:instrText xml:space="preserve"> PAGEREF _Toc158712983 \h </w:instrText>
      </w:r>
      <w:r>
        <w:rPr>
          <w:noProof/>
        </w:rPr>
      </w:r>
      <w:r>
        <w:rPr>
          <w:noProof/>
        </w:rPr>
        <w:fldChar w:fldCharType="separate"/>
      </w:r>
      <w:r>
        <w:rPr>
          <w:noProof/>
        </w:rPr>
        <w:t>563</w:t>
      </w:r>
      <w:r>
        <w:rPr>
          <w:noProof/>
        </w:rPr>
        <w:fldChar w:fldCharType="end"/>
      </w:r>
    </w:p>
    <w:p w14:paraId="5AAA6A41" w14:textId="412DD82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10.2.27  Status of future claim against the National Guarantee Fund</w:t>
      </w:r>
      <w:r>
        <w:rPr>
          <w:noProof/>
        </w:rPr>
        <w:tab/>
      </w:r>
      <w:r>
        <w:rPr>
          <w:noProof/>
        </w:rPr>
        <w:fldChar w:fldCharType="begin"/>
      </w:r>
      <w:r>
        <w:rPr>
          <w:noProof/>
        </w:rPr>
        <w:instrText xml:space="preserve"> PAGEREF _Toc158712984 \h </w:instrText>
      </w:r>
      <w:r>
        <w:rPr>
          <w:noProof/>
        </w:rPr>
      </w:r>
      <w:r>
        <w:rPr>
          <w:noProof/>
        </w:rPr>
        <w:fldChar w:fldCharType="separate"/>
      </w:r>
      <w:r>
        <w:rPr>
          <w:noProof/>
        </w:rPr>
        <w:t>563</w:t>
      </w:r>
      <w:r>
        <w:rPr>
          <w:noProof/>
        </w:rPr>
        <w:fldChar w:fldCharType="end"/>
      </w:r>
    </w:p>
    <w:p w14:paraId="56BB1FBF" w14:textId="1F3E607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10.2.27A  Expenditure of excess funds from National Guarantee Fund</w:t>
      </w:r>
      <w:r>
        <w:rPr>
          <w:noProof/>
        </w:rPr>
        <w:tab/>
      </w:r>
      <w:r>
        <w:rPr>
          <w:noProof/>
        </w:rPr>
        <w:fldChar w:fldCharType="begin"/>
      </w:r>
      <w:r>
        <w:rPr>
          <w:noProof/>
        </w:rPr>
        <w:instrText xml:space="preserve"> PAGEREF _Toc158712985 \h </w:instrText>
      </w:r>
      <w:r>
        <w:rPr>
          <w:noProof/>
        </w:rPr>
      </w:r>
      <w:r>
        <w:rPr>
          <w:noProof/>
        </w:rPr>
        <w:fldChar w:fldCharType="separate"/>
      </w:r>
      <w:r>
        <w:rPr>
          <w:noProof/>
        </w:rPr>
        <w:t>564</w:t>
      </w:r>
      <w:r>
        <w:rPr>
          <w:noProof/>
        </w:rPr>
        <w:fldChar w:fldCharType="end"/>
      </w:r>
    </w:p>
    <w:p w14:paraId="63BDBDF2" w14:textId="4E733C0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9</w:t>
      </w:r>
      <w:r w:rsidRPr="00FC743A">
        <w:rPr>
          <w:noProof/>
          <w:color w:val="000000"/>
        </w:rPr>
        <w:t>—</w:t>
      </w:r>
      <w:r>
        <w:rPr>
          <w:noProof/>
        </w:rPr>
        <w:t>Claims against fidelity funds</w:t>
      </w:r>
      <w:r>
        <w:rPr>
          <w:noProof/>
        </w:rPr>
        <w:tab/>
      </w:r>
      <w:r>
        <w:rPr>
          <w:noProof/>
        </w:rPr>
        <w:fldChar w:fldCharType="begin"/>
      </w:r>
      <w:r>
        <w:rPr>
          <w:noProof/>
        </w:rPr>
        <w:instrText xml:space="preserve"> PAGEREF _Toc158712986 \h </w:instrText>
      </w:r>
      <w:r>
        <w:rPr>
          <w:noProof/>
        </w:rPr>
      </w:r>
      <w:r>
        <w:rPr>
          <w:noProof/>
        </w:rPr>
        <w:fldChar w:fldCharType="separate"/>
      </w:r>
      <w:r>
        <w:rPr>
          <w:noProof/>
        </w:rPr>
        <w:t>565</w:t>
      </w:r>
      <w:r>
        <w:rPr>
          <w:noProof/>
        </w:rPr>
        <w:fldChar w:fldCharType="end"/>
      </w:r>
    </w:p>
    <w:p w14:paraId="012CEBC6" w14:textId="47D9A1B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10.2.28  Status of claim against fidelity fund</w:t>
      </w:r>
      <w:r>
        <w:rPr>
          <w:noProof/>
        </w:rPr>
        <w:tab/>
      </w:r>
      <w:r>
        <w:rPr>
          <w:noProof/>
        </w:rPr>
        <w:fldChar w:fldCharType="begin"/>
      </w:r>
      <w:r>
        <w:rPr>
          <w:noProof/>
        </w:rPr>
        <w:instrText xml:space="preserve"> PAGEREF _Toc158712987 \h </w:instrText>
      </w:r>
      <w:r>
        <w:rPr>
          <w:noProof/>
        </w:rPr>
      </w:r>
      <w:r>
        <w:rPr>
          <w:noProof/>
        </w:rPr>
        <w:fldChar w:fldCharType="separate"/>
      </w:r>
      <w:r>
        <w:rPr>
          <w:noProof/>
        </w:rPr>
        <w:t>565</w:t>
      </w:r>
      <w:r>
        <w:rPr>
          <w:noProof/>
        </w:rPr>
        <w:fldChar w:fldCharType="end"/>
      </w:r>
    </w:p>
    <w:p w14:paraId="335DABE6" w14:textId="55BAB20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10.2.29  Entitlement to make claim against fidelity fund</w:t>
      </w:r>
      <w:r>
        <w:rPr>
          <w:noProof/>
        </w:rPr>
        <w:tab/>
      </w:r>
      <w:r>
        <w:rPr>
          <w:noProof/>
        </w:rPr>
        <w:fldChar w:fldCharType="begin"/>
      </w:r>
      <w:r>
        <w:rPr>
          <w:noProof/>
        </w:rPr>
        <w:instrText xml:space="preserve"> PAGEREF _Toc158712988 \h </w:instrText>
      </w:r>
      <w:r>
        <w:rPr>
          <w:noProof/>
        </w:rPr>
      </w:r>
      <w:r>
        <w:rPr>
          <w:noProof/>
        </w:rPr>
        <w:fldChar w:fldCharType="separate"/>
      </w:r>
      <w:r>
        <w:rPr>
          <w:noProof/>
        </w:rPr>
        <w:t>565</w:t>
      </w:r>
      <w:r>
        <w:rPr>
          <w:noProof/>
        </w:rPr>
        <w:fldChar w:fldCharType="end"/>
      </w:r>
    </w:p>
    <w:p w14:paraId="2B986D66" w14:textId="5D2ABAB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10.2.29A  Status of incomplete claim against fidelity fund</w:t>
      </w:r>
      <w:r>
        <w:rPr>
          <w:noProof/>
        </w:rPr>
        <w:tab/>
      </w:r>
      <w:r>
        <w:rPr>
          <w:noProof/>
        </w:rPr>
        <w:fldChar w:fldCharType="begin"/>
      </w:r>
      <w:r>
        <w:rPr>
          <w:noProof/>
        </w:rPr>
        <w:instrText xml:space="preserve"> PAGEREF _Toc158712989 \h </w:instrText>
      </w:r>
      <w:r>
        <w:rPr>
          <w:noProof/>
        </w:rPr>
      </w:r>
      <w:r>
        <w:rPr>
          <w:noProof/>
        </w:rPr>
        <w:fldChar w:fldCharType="separate"/>
      </w:r>
      <w:r>
        <w:rPr>
          <w:noProof/>
        </w:rPr>
        <w:t>565</w:t>
      </w:r>
      <w:r>
        <w:rPr>
          <w:noProof/>
        </w:rPr>
        <w:fldChar w:fldCharType="end"/>
      </w:r>
    </w:p>
    <w:p w14:paraId="11A9B50A" w14:textId="42177CA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10.2.30  Status of future claim against fidelity fund</w:t>
      </w:r>
      <w:r>
        <w:rPr>
          <w:noProof/>
        </w:rPr>
        <w:tab/>
      </w:r>
      <w:r>
        <w:rPr>
          <w:noProof/>
        </w:rPr>
        <w:fldChar w:fldCharType="begin"/>
      </w:r>
      <w:r>
        <w:rPr>
          <w:noProof/>
        </w:rPr>
        <w:instrText xml:space="preserve"> PAGEREF _Toc158712990 \h </w:instrText>
      </w:r>
      <w:r>
        <w:rPr>
          <w:noProof/>
        </w:rPr>
      </w:r>
      <w:r>
        <w:rPr>
          <w:noProof/>
        </w:rPr>
        <w:fldChar w:fldCharType="separate"/>
      </w:r>
      <w:r>
        <w:rPr>
          <w:noProof/>
        </w:rPr>
        <w:t>565</w:t>
      </w:r>
      <w:r>
        <w:rPr>
          <w:noProof/>
        </w:rPr>
        <w:fldChar w:fldCharType="end"/>
      </w:r>
    </w:p>
    <w:p w14:paraId="36930DB3" w14:textId="5B05D74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10</w:t>
      </w:r>
      <w:r w:rsidRPr="00FC743A">
        <w:rPr>
          <w:noProof/>
          <w:color w:val="000000"/>
        </w:rPr>
        <w:t>—</w:t>
      </w:r>
      <w:r>
        <w:rPr>
          <w:noProof/>
        </w:rPr>
        <w:t>Status of netting markets</w:t>
      </w:r>
      <w:r>
        <w:rPr>
          <w:noProof/>
        </w:rPr>
        <w:tab/>
      </w:r>
      <w:r>
        <w:rPr>
          <w:noProof/>
        </w:rPr>
        <w:fldChar w:fldCharType="begin"/>
      </w:r>
      <w:r>
        <w:rPr>
          <w:noProof/>
        </w:rPr>
        <w:instrText xml:space="preserve"> PAGEREF _Toc158712991 \h </w:instrText>
      </w:r>
      <w:r>
        <w:rPr>
          <w:noProof/>
        </w:rPr>
      </w:r>
      <w:r>
        <w:rPr>
          <w:noProof/>
        </w:rPr>
        <w:fldChar w:fldCharType="separate"/>
      </w:r>
      <w:r>
        <w:rPr>
          <w:noProof/>
        </w:rPr>
        <w:t>566</w:t>
      </w:r>
      <w:r>
        <w:rPr>
          <w:noProof/>
        </w:rPr>
        <w:fldChar w:fldCharType="end"/>
      </w:r>
    </w:p>
    <w:p w14:paraId="42814BAE" w14:textId="7654910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10.2.31  Netting markets</w:t>
      </w:r>
      <w:r>
        <w:rPr>
          <w:noProof/>
        </w:rPr>
        <w:tab/>
      </w:r>
      <w:r>
        <w:rPr>
          <w:noProof/>
        </w:rPr>
        <w:fldChar w:fldCharType="begin"/>
      </w:r>
      <w:r>
        <w:rPr>
          <w:noProof/>
        </w:rPr>
        <w:instrText xml:space="preserve"> PAGEREF _Toc158712992 \h </w:instrText>
      </w:r>
      <w:r>
        <w:rPr>
          <w:noProof/>
        </w:rPr>
      </w:r>
      <w:r>
        <w:rPr>
          <w:noProof/>
        </w:rPr>
        <w:fldChar w:fldCharType="separate"/>
      </w:r>
      <w:r>
        <w:rPr>
          <w:noProof/>
        </w:rPr>
        <w:t>566</w:t>
      </w:r>
      <w:r>
        <w:rPr>
          <w:noProof/>
        </w:rPr>
        <w:fldChar w:fldCharType="end"/>
      </w:r>
    </w:p>
    <w:p w14:paraId="7541247B" w14:textId="72BA77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10.2.32  Netting market approval granted before the FSR commencement</w:t>
      </w:r>
      <w:r>
        <w:rPr>
          <w:noProof/>
        </w:rPr>
        <w:tab/>
      </w:r>
      <w:r>
        <w:rPr>
          <w:noProof/>
        </w:rPr>
        <w:fldChar w:fldCharType="begin"/>
      </w:r>
      <w:r>
        <w:rPr>
          <w:noProof/>
        </w:rPr>
        <w:instrText xml:space="preserve"> PAGEREF _Toc158712993 \h </w:instrText>
      </w:r>
      <w:r>
        <w:rPr>
          <w:noProof/>
        </w:rPr>
      </w:r>
      <w:r>
        <w:rPr>
          <w:noProof/>
        </w:rPr>
        <w:fldChar w:fldCharType="separate"/>
      </w:r>
      <w:r>
        <w:rPr>
          <w:noProof/>
        </w:rPr>
        <w:t>566</w:t>
      </w:r>
      <w:r>
        <w:rPr>
          <w:noProof/>
        </w:rPr>
        <w:fldChar w:fldCharType="end"/>
      </w:r>
    </w:p>
    <w:p w14:paraId="5F216D74" w14:textId="7FEA295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11</w:t>
      </w:r>
      <w:r w:rsidRPr="00FC743A">
        <w:rPr>
          <w:noProof/>
          <w:color w:val="000000"/>
        </w:rPr>
        <w:t>—</w:t>
      </w:r>
      <w:r>
        <w:rPr>
          <w:noProof/>
        </w:rPr>
        <w:t>Status of listed securities</w:t>
      </w:r>
      <w:r>
        <w:rPr>
          <w:noProof/>
        </w:rPr>
        <w:tab/>
      </w:r>
      <w:r>
        <w:rPr>
          <w:noProof/>
        </w:rPr>
        <w:fldChar w:fldCharType="begin"/>
      </w:r>
      <w:r>
        <w:rPr>
          <w:noProof/>
        </w:rPr>
        <w:instrText xml:space="preserve"> PAGEREF _Toc158712994 \h </w:instrText>
      </w:r>
      <w:r>
        <w:rPr>
          <w:noProof/>
        </w:rPr>
      </w:r>
      <w:r>
        <w:rPr>
          <w:noProof/>
        </w:rPr>
        <w:fldChar w:fldCharType="separate"/>
      </w:r>
      <w:r>
        <w:rPr>
          <w:noProof/>
        </w:rPr>
        <w:t>567</w:t>
      </w:r>
      <w:r>
        <w:rPr>
          <w:noProof/>
        </w:rPr>
        <w:fldChar w:fldCharType="end"/>
      </w:r>
    </w:p>
    <w:p w14:paraId="2070F533" w14:textId="0B57A23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10.2.33  Securities of exempt stock markets</w:t>
      </w:r>
      <w:r>
        <w:rPr>
          <w:noProof/>
        </w:rPr>
        <w:tab/>
      </w:r>
      <w:r>
        <w:rPr>
          <w:noProof/>
        </w:rPr>
        <w:fldChar w:fldCharType="begin"/>
      </w:r>
      <w:r>
        <w:rPr>
          <w:noProof/>
        </w:rPr>
        <w:instrText xml:space="preserve"> PAGEREF _Toc158712995 \h </w:instrText>
      </w:r>
      <w:r>
        <w:rPr>
          <w:noProof/>
        </w:rPr>
      </w:r>
      <w:r>
        <w:rPr>
          <w:noProof/>
        </w:rPr>
        <w:fldChar w:fldCharType="separate"/>
      </w:r>
      <w:r>
        <w:rPr>
          <w:noProof/>
        </w:rPr>
        <w:t>567</w:t>
      </w:r>
      <w:r>
        <w:rPr>
          <w:noProof/>
        </w:rPr>
        <w:fldChar w:fldCharType="end"/>
      </w:r>
    </w:p>
    <w:p w14:paraId="287B7B3F" w14:textId="7745C0A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12</w:t>
      </w:r>
      <w:r w:rsidRPr="00FC743A">
        <w:rPr>
          <w:noProof/>
          <w:color w:val="000000"/>
        </w:rPr>
        <w:t>—</w:t>
      </w:r>
      <w:r>
        <w:rPr>
          <w:noProof/>
        </w:rPr>
        <w:t>Miscellaneous</w:t>
      </w:r>
      <w:r>
        <w:rPr>
          <w:noProof/>
        </w:rPr>
        <w:tab/>
      </w:r>
      <w:r>
        <w:rPr>
          <w:noProof/>
        </w:rPr>
        <w:fldChar w:fldCharType="begin"/>
      </w:r>
      <w:r>
        <w:rPr>
          <w:noProof/>
        </w:rPr>
        <w:instrText xml:space="preserve"> PAGEREF _Toc158712996 \h </w:instrText>
      </w:r>
      <w:r>
        <w:rPr>
          <w:noProof/>
        </w:rPr>
      </w:r>
      <w:r>
        <w:rPr>
          <w:noProof/>
        </w:rPr>
        <w:fldChar w:fldCharType="separate"/>
      </w:r>
      <w:r>
        <w:rPr>
          <w:noProof/>
        </w:rPr>
        <w:t>568</w:t>
      </w:r>
      <w:r>
        <w:rPr>
          <w:noProof/>
        </w:rPr>
        <w:fldChar w:fldCharType="end"/>
      </w:r>
    </w:p>
    <w:p w14:paraId="2433F1EF" w14:textId="11C702A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10.2.34  Preservation of nomination of body corporate as SEGC</w:t>
      </w:r>
      <w:r>
        <w:rPr>
          <w:noProof/>
        </w:rPr>
        <w:tab/>
      </w:r>
      <w:r>
        <w:rPr>
          <w:noProof/>
        </w:rPr>
        <w:fldChar w:fldCharType="begin"/>
      </w:r>
      <w:r>
        <w:rPr>
          <w:noProof/>
        </w:rPr>
        <w:instrText xml:space="preserve"> PAGEREF _Toc158712997 \h </w:instrText>
      </w:r>
      <w:r>
        <w:rPr>
          <w:noProof/>
        </w:rPr>
      </w:r>
      <w:r>
        <w:rPr>
          <w:noProof/>
        </w:rPr>
        <w:fldChar w:fldCharType="separate"/>
      </w:r>
      <w:r>
        <w:rPr>
          <w:noProof/>
        </w:rPr>
        <w:t>568</w:t>
      </w:r>
      <w:r>
        <w:rPr>
          <w:noProof/>
        </w:rPr>
        <w:fldChar w:fldCharType="end"/>
      </w:r>
    </w:p>
    <w:p w14:paraId="77D533B0" w14:textId="52F0AF3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13</w:t>
      </w:r>
      <w:r w:rsidRPr="00FC743A">
        <w:rPr>
          <w:noProof/>
          <w:color w:val="000000"/>
        </w:rPr>
        <w:t>—</w:t>
      </w:r>
      <w:r>
        <w:rPr>
          <w:noProof/>
        </w:rPr>
        <w:t>Regulated principals</w:t>
      </w:r>
      <w:r>
        <w:rPr>
          <w:noProof/>
        </w:rPr>
        <w:tab/>
      </w:r>
      <w:r>
        <w:rPr>
          <w:noProof/>
        </w:rPr>
        <w:fldChar w:fldCharType="begin"/>
      </w:r>
      <w:r>
        <w:rPr>
          <w:noProof/>
        </w:rPr>
        <w:instrText xml:space="preserve"> PAGEREF _Toc158712998 \h </w:instrText>
      </w:r>
      <w:r>
        <w:rPr>
          <w:noProof/>
        </w:rPr>
      </w:r>
      <w:r>
        <w:rPr>
          <w:noProof/>
        </w:rPr>
        <w:fldChar w:fldCharType="separate"/>
      </w:r>
      <w:r>
        <w:rPr>
          <w:noProof/>
        </w:rPr>
        <w:t>569</w:t>
      </w:r>
      <w:r>
        <w:rPr>
          <w:noProof/>
        </w:rPr>
        <w:fldChar w:fldCharType="end"/>
      </w:r>
    </w:p>
    <w:p w14:paraId="492CED49" w14:textId="3B18945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10.2.35  Definitions</w:t>
      </w:r>
      <w:r>
        <w:rPr>
          <w:noProof/>
        </w:rPr>
        <w:tab/>
      </w:r>
      <w:r>
        <w:rPr>
          <w:noProof/>
        </w:rPr>
        <w:fldChar w:fldCharType="begin"/>
      </w:r>
      <w:r>
        <w:rPr>
          <w:noProof/>
        </w:rPr>
        <w:instrText xml:space="preserve"> PAGEREF _Toc158712999 \h </w:instrText>
      </w:r>
      <w:r>
        <w:rPr>
          <w:noProof/>
        </w:rPr>
      </w:r>
      <w:r>
        <w:rPr>
          <w:noProof/>
        </w:rPr>
        <w:fldChar w:fldCharType="separate"/>
      </w:r>
      <w:r>
        <w:rPr>
          <w:noProof/>
        </w:rPr>
        <w:t>569</w:t>
      </w:r>
      <w:r>
        <w:rPr>
          <w:noProof/>
        </w:rPr>
        <w:fldChar w:fldCharType="end"/>
      </w:r>
    </w:p>
    <w:p w14:paraId="5B97D738" w14:textId="73F9A11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10.2.35A  Streamlined licensing procedure for certain regulated principals</w:t>
      </w:r>
      <w:r>
        <w:rPr>
          <w:noProof/>
        </w:rPr>
        <w:tab/>
      </w:r>
      <w:r>
        <w:rPr>
          <w:noProof/>
        </w:rPr>
        <w:fldChar w:fldCharType="begin"/>
      </w:r>
      <w:r>
        <w:rPr>
          <w:noProof/>
        </w:rPr>
        <w:instrText xml:space="preserve"> PAGEREF _Toc158713000 \h </w:instrText>
      </w:r>
      <w:r>
        <w:rPr>
          <w:noProof/>
        </w:rPr>
      </w:r>
      <w:r>
        <w:rPr>
          <w:noProof/>
        </w:rPr>
        <w:fldChar w:fldCharType="separate"/>
      </w:r>
      <w:r>
        <w:rPr>
          <w:noProof/>
        </w:rPr>
        <w:t>569</w:t>
      </w:r>
      <w:r>
        <w:rPr>
          <w:noProof/>
        </w:rPr>
        <w:fldChar w:fldCharType="end"/>
      </w:r>
    </w:p>
    <w:p w14:paraId="6B28670B" w14:textId="6F2EE3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10.2.36  Persons who are not covered by section 1433 of the Act</w:t>
      </w:r>
      <w:r>
        <w:rPr>
          <w:noProof/>
        </w:rPr>
        <w:tab/>
      </w:r>
      <w:r>
        <w:rPr>
          <w:noProof/>
        </w:rPr>
        <w:fldChar w:fldCharType="begin"/>
      </w:r>
      <w:r>
        <w:rPr>
          <w:noProof/>
        </w:rPr>
        <w:instrText xml:space="preserve"> PAGEREF _Toc158713001 \h </w:instrText>
      </w:r>
      <w:r>
        <w:rPr>
          <w:noProof/>
        </w:rPr>
      </w:r>
      <w:r>
        <w:rPr>
          <w:noProof/>
        </w:rPr>
        <w:fldChar w:fldCharType="separate"/>
      </w:r>
      <w:r>
        <w:rPr>
          <w:noProof/>
        </w:rPr>
        <w:t>570</w:t>
      </w:r>
      <w:r>
        <w:rPr>
          <w:noProof/>
        </w:rPr>
        <w:fldChar w:fldCharType="end"/>
      </w:r>
    </w:p>
    <w:p w14:paraId="0805F9D3" w14:textId="5FA4465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10.2.37  Variation of conditions on financial services licence</w:t>
      </w:r>
      <w:r>
        <w:rPr>
          <w:noProof/>
        </w:rPr>
        <w:tab/>
      </w:r>
      <w:r>
        <w:rPr>
          <w:noProof/>
        </w:rPr>
        <w:fldChar w:fldCharType="begin"/>
      </w:r>
      <w:r>
        <w:rPr>
          <w:noProof/>
        </w:rPr>
        <w:instrText xml:space="preserve"> PAGEREF _Toc158713002 \h </w:instrText>
      </w:r>
      <w:r>
        <w:rPr>
          <w:noProof/>
        </w:rPr>
      </w:r>
      <w:r>
        <w:rPr>
          <w:noProof/>
        </w:rPr>
        <w:fldChar w:fldCharType="separate"/>
      </w:r>
      <w:r>
        <w:rPr>
          <w:noProof/>
        </w:rPr>
        <w:t>570</w:t>
      </w:r>
      <w:r>
        <w:rPr>
          <w:noProof/>
        </w:rPr>
        <w:fldChar w:fldCharType="end"/>
      </w:r>
    </w:p>
    <w:p w14:paraId="684DCB9F" w14:textId="209148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10.2.38  Persons taken to be regulated principals: giving of incidental advice and previously exempt persons</w:t>
      </w:r>
      <w:r>
        <w:rPr>
          <w:noProof/>
        </w:rPr>
        <w:tab/>
      </w:r>
      <w:r>
        <w:rPr>
          <w:noProof/>
        </w:rPr>
        <w:fldChar w:fldCharType="begin"/>
      </w:r>
      <w:r>
        <w:rPr>
          <w:noProof/>
        </w:rPr>
        <w:instrText xml:space="preserve"> PAGEREF _Toc158713003 \h </w:instrText>
      </w:r>
      <w:r>
        <w:rPr>
          <w:noProof/>
        </w:rPr>
      </w:r>
      <w:r>
        <w:rPr>
          <w:noProof/>
        </w:rPr>
        <w:fldChar w:fldCharType="separate"/>
      </w:r>
      <w:r>
        <w:rPr>
          <w:noProof/>
        </w:rPr>
        <w:t>570</w:t>
      </w:r>
      <w:r>
        <w:rPr>
          <w:noProof/>
        </w:rPr>
        <w:fldChar w:fldCharType="end"/>
      </w:r>
    </w:p>
    <w:p w14:paraId="0B8986E7" w14:textId="305FA7E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10.2.39  Reference to offer covered by Australian financial services licence: section 911A of the Act</w:t>
      </w:r>
      <w:r>
        <w:rPr>
          <w:noProof/>
        </w:rPr>
        <w:tab/>
      </w:r>
      <w:r>
        <w:rPr>
          <w:noProof/>
        </w:rPr>
        <w:fldChar w:fldCharType="begin"/>
      </w:r>
      <w:r>
        <w:rPr>
          <w:noProof/>
        </w:rPr>
        <w:instrText xml:space="preserve"> PAGEREF _Toc158713004 \h </w:instrText>
      </w:r>
      <w:r>
        <w:rPr>
          <w:noProof/>
        </w:rPr>
      </w:r>
      <w:r>
        <w:rPr>
          <w:noProof/>
        </w:rPr>
        <w:fldChar w:fldCharType="separate"/>
      </w:r>
      <w:r>
        <w:rPr>
          <w:noProof/>
        </w:rPr>
        <w:t>573</w:t>
      </w:r>
      <w:r>
        <w:rPr>
          <w:noProof/>
        </w:rPr>
        <w:fldChar w:fldCharType="end"/>
      </w:r>
    </w:p>
    <w:p w14:paraId="3609143A" w14:textId="7A579E3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10.2.40  Reference to financial services licensee: section 911A of the Act</w:t>
      </w:r>
      <w:r>
        <w:rPr>
          <w:noProof/>
        </w:rPr>
        <w:tab/>
      </w:r>
      <w:r>
        <w:rPr>
          <w:noProof/>
        </w:rPr>
        <w:fldChar w:fldCharType="begin"/>
      </w:r>
      <w:r>
        <w:rPr>
          <w:noProof/>
        </w:rPr>
        <w:instrText xml:space="preserve"> PAGEREF _Toc158713005 \h </w:instrText>
      </w:r>
      <w:r>
        <w:rPr>
          <w:noProof/>
        </w:rPr>
      </w:r>
      <w:r>
        <w:rPr>
          <w:noProof/>
        </w:rPr>
        <w:fldChar w:fldCharType="separate"/>
      </w:r>
      <w:r>
        <w:rPr>
          <w:noProof/>
        </w:rPr>
        <w:t>573</w:t>
      </w:r>
      <w:r>
        <w:rPr>
          <w:noProof/>
        </w:rPr>
        <w:fldChar w:fldCharType="end"/>
      </w:r>
    </w:p>
    <w:p w14:paraId="1559B36A" w14:textId="5EF21C1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10.2.40A  Need for an Australian financial services licence</w:t>
      </w:r>
      <w:r>
        <w:rPr>
          <w:noProof/>
        </w:rPr>
        <w:tab/>
      </w:r>
      <w:r>
        <w:rPr>
          <w:noProof/>
        </w:rPr>
        <w:fldChar w:fldCharType="begin"/>
      </w:r>
      <w:r>
        <w:rPr>
          <w:noProof/>
        </w:rPr>
        <w:instrText xml:space="preserve"> PAGEREF _Toc158713006 \h </w:instrText>
      </w:r>
      <w:r>
        <w:rPr>
          <w:noProof/>
        </w:rPr>
      </w:r>
      <w:r>
        <w:rPr>
          <w:noProof/>
        </w:rPr>
        <w:fldChar w:fldCharType="separate"/>
      </w:r>
      <w:r>
        <w:rPr>
          <w:noProof/>
        </w:rPr>
        <w:t>574</w:t>
      </w:r>
      <w:r>
        <w:rPr>
          <w:noProof/>
        </w:rPr>
        <w:fldChar w:fldCharType="end"/>
      </w:r>
    </w:p>
    <w:p w14:paraId="2D44A1C8" w14:textId="4F260AB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10.2.41  Reference to second principal: section 911B of the Act</w:t>
      </w:r>
      <w:r>
        <w:rPr>
          <w:noProof/>
        </w:rPr>
        <w:tab/>
      </w:r>
      <w:r>
        <w:rPr>
          <w:noProof/>
        </w:rPr>
        <w:fldChar w:fldCharType="begin"/>
      </w:r>
      <w:r>
        <w:rPr>
          <w:noProof/>
        </w:rPr>
        <w:instrText xml:space="preserve"> PAGEREF _Toc158713007 \h </w:instrText>
      </w:r>
      <w:r>
        <w:rPr>
          <w:noProof/>
        </w:rPr>
      </w:r>
      <w:r>
        <w:rPr>
          <w:noProof/>
        </w:rPr>
        <w:fldChar w:fldCharType="separate"/>
      </w:r>
      <w:r>
        <w:rPr>
          <w:noProof/>
        </w:rPr>
        <w:t>574</w:t>
      </w:r>
      <w:r>
        <w:rPr>
          <w:noProof/>
        </w:rPr>
        <w:fldChar w:fldCharType="end"/>
      </w:r>
    </w:p>
    <w:p w14:paraId="3CFF38F1" w14:textId="600B40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10.2.42  Reference to financial services licensee: section 916D of the Act</w:t>
      </w:r>
      <w:r>
        <w:rPr>
          <w:noProof/>
        </w:rPr>
        <w:tab/>
      </w:r>
      <w:r>
        <w:rPr>
          <w:noProof/>
        </w:rPr>
        <w:fldChar w:fldCharType="begin"/>
      </w:r>
      <w:r>
        <w:rPr>
          <w:noProof/>
        </w:rPr>
        <w:instrText xml:space="preserve"> PAGEREF _Toc158713008 \h </w:instrText>
      </w:r>
      <w:r>
        <w:rPr>
          <w:noProof/>
        </w:rPr>
      </w:r>
      <w:r>
        <w:rPr>
          <w:noProof/>
        </w:rPr>
        <w:fldChar w:fldCharType="separate"/>
      </w:r>
      <w:r>
        <w:rPr>
          <w:noProof/>
        </w:rPr>
        <w:t>574</w:t>
      </w:r>
      <w:r>
        <w:rPr>
          <w:noProof/>
        </w:rPr>
        <w:fldChar w:fldCharType="end"/>
      </w:r>
    </w:p>
    <w:p w14:paraId="263853BD" w14:textId="6E185D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10.2.43  Status of insurance agent: section 1436A of the Act</w:t>
      </w:r>
      <w:r>
        <w:rPr>
          <w:noProof/>
        </w:rPr>
        <w:tab/>
      </w:r>
      <w:r>
        <w:rPr>
          <w:noProof/>
        </w:rPr>
        <w:fldChar w:fldCharType="begin"/>
      </w:r>
      <w:r>
        <w:rPr>
          <w:noProof/>
        </w:rPr>
        <w:instrText xml:space="preserve"> PAGEREF _Toc158713009 \h </w:instrText>
      </w:r>
      <w:r>
        <w:rPr>
          <w:noProof/>
        </w:rPr>
      </w:r>
      <w:r>
        <w:rPr>
          <w:noProof/>
        </w:rPr>
        <w:fldChar w:fldCharType="separate"/>
      </w:r>
      <w:r>
        <w:rPr>
          <w:noProof/>
        </w:rPr>
        <w:t>574</w:t>
      </w:r>
      <w:r>
        <w:rPr>
          <w:noProof/>
        </w:rPr>
        <w:fldChar w:fldCharType="end"/>
      </w:r>
    </w:p>
    <w:p w14:paraId="59F1397F" w14:textId="42243F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10.2.44A  Obligation to cite licence number in documents</w:t>
      </w:r>
      <w:r>
        <w:rPr>
          <w:noProof/>
        </w:rPr>
        <w:tab/>
      </w:r>
      <w:r>
        <w:rPr>
          <w:noProof/>
        </w:rPr>
        <w:fldChar w:fldCharType="begin"/>
      </w:r>
      <w:r>
        <w:rPr>
          <w:noProof/>
        </w:rPr>
        <w:instrText xml:space="preserve"> PAGEREF _Toc158713010 \h </w:instrText>
      </w:r>
      <w:r>
        <w:rPr>
          <w:noProof/>
        </w:rPr>
      </w:r>
      <w:r>
        <w:rPr>
          <w:noProof/>
        </w:rPr>
        <w:fldChar w:fldCharType="separate"/>
      </w:r>
      <w:r>
        <w:rPr>
          <w:noProof/>
        </w:rPr>
        <w:t>574</w:t>
      </w:r>
      <w:r>
        <w:rPr>
          <w:noProof/>
        </w:rPr>
        <w:fldChar w:fldCharType="end"/>
      </w:r>
    </w:p>
    <w:p w14:paraId="1637B40D" w14:textId="5037D0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10.2.46  When Australian financial services licence may be granted</w:t>
      </w:r>
      <w:r>
        <w:rPr>
          <w:noProof/>
        </w:rPr>
        <w:tab/>
      </w:r>
      <w:r>
        <w:rPr>
          <w:noProof/>
        </w:rPr>
        <w:fldChar w:fldCharType="begin"/>
      </w:r>
      <w:r>
        <w:rPr>
          <w:noProof/>
        </w:rPr>
        <w:instrText xml:space="preserve"> PAGEREF _Toc158713011 \h </w:instrText>
      </w:r>
      <w:r>
        <w:rPr>
          <w:noProof/>
        </w:rPr>
      </w:r>
      <w:r>
        <w:rPr>
          <w:noProof/>
        </w:rPr>
        <w:fldChar w:fldCharType="separate"/>
      </w:r>
      <w:r>
        <w:rPr>
          <w:noProof/>
        </w:rPr>
        <w:t>574</w:t>
      </w:r>
      <w:r>
        <w:rPr>
          <w:noProof/>
        </w:rPr>
        <w:fldChar w:fldCharType="end"/>
      </w:r>
    </w:p>
    <w:p w14:paraId="72031450" w14:textId="4E07F78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10.2.46A  When Australian financial services licence may be varied</w:t>
      </w:r>
      <w:r>
        <w:rPr>
          <w:noProof/>
        </w:rPr>
        <w:tab/>
      </w:r>
      <w:r>
        <w:rPr>
          <w:noProof/>
        </w:rPr>
        <w:fldChar w:fldCharType="begin"/>
      </w:r>
      <w:r>
        <w:rPr>
          <w:noProof/>
        </w:rPr>
        <w:instrText xml:space="preserve"> PAGEREF _Toc158713012 \h </w:instrText>
      </w:r>
      <w:r>
        <w:rPr>
          <w:noProof/>
        </w:rPr>
      </w:r>
      <w:r>
        <w:rPr>
          <w:noProof/>
        </w:rPr>
        <w:fldChar w:fldCharType="separate"/>
      </w:r>
      <w:r>
        <w:rPr>
          <w:noProof/>
        </w:rPr>
        <w:t>575</w:t>
      </w:r>
      <w:r>
        <w:rPr>
          <w:noProof/>
        </w:rPr>
        <w:fldChar w:fldCharType="end"/>
      </w:r>
    </w:p>
    <w:p w14:paraId="7B2F26BD" w14:textId="0CD20F3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10.2.47A  Modification of pre</w:t>
      </w:r>
      <w:r>
        <w:rPr>
          <w:noProof/>
        </w:rPr>
        <w:noBreakHyphen/>
        <w:t>FSR authority</w:t>
      </w:r>
      <w:r>
        <w:rPr>
          <w:noProof/>
        </w:rPr>
        <w:tab/>
      </w:r>
      <w:r>
        <w:rPr>
          <w:noProof/>
        </w:rPr>
        <w:fldChar w:fldCharType="begin"/>
      </w:r>
      <w:r>
        <w:rPr>
          <w:noProof/>
        </w:rPr>
        <w:instrText xml:space="preserve"> PAGEREF _Toc158713013 \h </w:instrText>
      </w:r>
      <w:r>
        <w:rPr>
          <w:noProof/>
        </w:rPr>
      </w:r>
      <w:r>
        <w:rPr>
          <w:noProof/>
        </w:rPr>
        <w:fldChar w:fldCharType="separate"/>
      </w:r>
      <w:r>
        <w:rPr>
          <w:noProof/>
        </w:rPr>
        <w:t>575</w:t>
      </w:r>
      <w:r>
        <w:rPr>
          <w:noProof/>
        </w:rPr>
        <w:fldChar w:fldCharType="end"/>
      </w:r>
    </w:p>
    <w:p w14:paraId="5AEE0D3B" w14:textId="633B408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14—Financial services disclosure</w:t>
      </w:r>
      <w:r>
        <w:rPr>
          <w:noProof/>
        </w:rPr>
        <w:tab/>
      </w:r>
      <w:r>
        <w:rPr>
          <w:noProof/>
        </w:rPr>
        <w:fldChar w:fldCharType="begin"/>
      </w:r>
      <w:r>
        <w:rPr>
          <w:noProof/>
        </w:rPr>
        <w:instrText xml:space="preserve"> PAGEREF _Toc158713014 \h </w:instrText>
      </w:r>
      <w:r>
        <w:rPr>
          <w:noProof/>
        </w:rPr>
      </w:r>
      <w:r>
        <w:rPr>
          <w:noProof/>
        </w:rPr>
        <w:fldChar w:fldCharType="separate"/>
      </w:r>
      <w:r>
        <w:rPr>
          <w:noProof/>
        </w:rPr>
        <w:t>576</w:t>
      </w:r>
      <w:r>
        <w:rPr>
          <w:noProof/>
        </w:rPr>
        <w:fldChar w:fldCharType="end"/>
      </w:r>
    </w:p>
    <w:p w14:paraId="797E71EA" w14:textId="2766365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10.2.48  Obligation to give Financial Services Guide for service arranged before application of Part 7.7 of the Act</w:t>
      </w:r>
      <w:r>
        <w:rPr>
          <w:noProof/>
        </w:rPr>
        <w:tab/>
      </w:r>
      <w:r>
        <w:rPr>
          <w:noProof/>
        </w:rPr>
        <w:fldChar w:fldCharType="begin"/>
      </w:r>
      <w:r>
        <w:rPr>
          <w:noProof/>
        </w:rPr>
        <w:instrText xml:space="preserve"> PAGEREF _Toc158713015 \h </w:instrText>
      </w:r>
      <w:r>
        <w:rPr>
          <w:noProof/>
        </w:rPr>
      </w:r>
      <w:r>
        <w:rPr>
          <w:noProof/>
        </w:rPr>
        <w:fldChar w:fldCharType="separate"/>
      </w:r>
      <w:r>
        <w:rPr>
          <w:noProof/>
        </w:rPr>
        <w:t>576</w:t>
      </w:r>
      <w:r>
        <w:rPr>
          <w:noProof/>
        </w:rPr>
        <w:fldChar w:fldCharType="end"/>
      </w:r>
    </w:p>
    <w:p w14:paraId="02E503EA" w14:textId="4BAEC56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10.2.48A  Obligation to give a Financial Services Guide for a custodial and depository service</w:t>
      </w:r>
      <w:r>
        <w:rPr>
          <w:noProof/>
        </w:rPr>
        <w:tab/>
      </w:r>
      <w:r>
        <w:rPr>
          <w:noProof/>
        </w:rPr>
        <w:fldChar w:fldCharType="begin"/>
      </w:r>
      <w:r>
        <w:rPr>
          <w:noProof/>
        </w:rPr>
        <w:instrText xml:space="preserve"> PAGEREF _Toc158713016 \h </w:instrText>
      </w:r>
      <w:r>
        <w:rPr>
          <w:noProof/>
        </w:rPr>
      </w:r>
      <w:r>
        <w:rPr>
          <w:noProof/>
        </w:rPr>
        <w:fldChar w:fldCharType="separate"/>
      </w:r>
      <w:r>
        <w:rPr>
          <w:noProof/>
        </w:rPr>
        <w:t>576</w:t>
      </w:r>
      <w:r>
        <w:rPr>
          <w:noProof/>
        </w:rPr>
        <w:fldChar w:fldCharType="end"/>
      </w:r>
    </w:p>
    <w:p w14:paraId="26D3DCAF" w14:textId="34739B8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10.2.49  Obligation to give Financial Services Guide in relation to existing clients</w:t>
      </w:r>
      <w:r>
        <w:rPr>
          <w:noProof/>
        </w:rPr>
        <w:tab/>
      </w:r>
      <w:r>
        <w:rPr>
          <w:noProof/>
        </w:rPr>
        <w:fldChar w:fldCharType="begin"/>
      </w:r>
      <w:r>
        <w:rPr>
          <w:noProof/>
        </w:rPr>
        <w:instrText xml:space="preserve"> PAGEREF _Toc158713017 \h </w:instrText>
      </w:r>
      <w:r>
        <w:rPr>
          <w:noProof/>
        </w:rPr>
      </w:r>
      <w:r>
        <w:rPr>
          <w:noProof/>
        </w:rPr>
        <w:fldChar w:fldCharType="separate"/>
      </w:r>
      <w:r>
        <w:rPr>
          <w:noProof/>
        </w:rPr>
        <w:t>576</w:t>
      </w:r>
      <w:r>
        <w:rPr>
          <w:noProof/>
        </w:rPr>
        <w:fldChar w:fldCharType="end"/>
      </w:r>
    </w:p>
    <w:p w14:paraId="28C5F3A7" w14:textId="437C20B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10.2.50  Content of Financial Services Guide for an authorised representative that is a regulated principal or a representative of a regulated principal</w:t>
      </w:r>
      <w:r>
        <w:rPr>
          <w:noProof/>
        </w:rPr>
        <w:tab/>
      </w:r>
      <w:r>
        <w:rPr>
          <w:noProof/>
        </w:rPr>
        <w:fldChar w:fldCharType="begin"/>
      </w:r>
      <w:r>
        <w:rPr>
          <w:noProof/>
        </w:rPr>
        <w:instrText xml:space="preserve"> PAGEREF _Toc158713018 \h </w:instrText>
      </w:r>
      <w:r>
        <w:rPr>
          <w:noProof/>
        </w:rPr>
      </w:r>
      <w:r>
        <w:rPr>
          <w:noProof/>
        </w:rPr>
        <w:fldChar w:fldCharType="separate"/>
      </w:r>
      <w:r>
        <w:rPr>
          <w:noProof/>
        </w:rPr>
        <w:t>577</w:t>
      </w:r>
      <w:r>
        <w:rPr>
          <w:noProof/>
        </w:rPr>
        <w:fldChar w:fldCharType="end"/>
      </w:r>
    </w:p>
    <w:p w14:paraId="4D21227C" w14:textId="13BF0AF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10.2.50A  Treatment of arrangements under which a person can instruct another person to acquire a financial product</w:t>
      </w:r>
      <w:r>
        <w:rPr>
          <w:noProof/>
        </w:rPr>
        <w:tab/>
      </w:r>
      <w:r>
        <w:rPr>
          <w:noProof/>
        </w:rPr>
        <w:fldChar w:fldCharType="begin"/>
      </w:r>
      <w:r>
        <w:rPr>
          <w:noProof/>
        </w:rPr>
        <w:instrText xml:space="preserve"> PAGEREF _Toc158713019 \h </w:instrText>
      </w:r>
      <w:r>
        <w:rPr>
          <w:noProof/>
        </w:rPr>
      </w:r>
      <w:r>
        <w:rPr>
          <w:noProof/>
        </w:rPr>
        <w:fldChar w:fldCharType="separate"/>
      </w:r>
      <w:r>
        <w:rPr>
          <w:noProof/>
        </w:rPr>
        <w:t>577</w:t>
      </w:r>
      <w:r>
        <w:rPr>
          <w:noProof/>
        </w:rPr>
        <w:fldChar w:fldCharType="end"/>
      </w:r>
    </w:p>
    <w:p w14:paraId="0B34E091" w14:textId="15484F4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15</w:t>
      </w:r>
      <w:r w:rsidRPr="00FC743A">
        <w:rPr>
          <w:noProof/>
          <w:color w:val="000000"/>
        </w:rPr>
        <w:t>—</w:t>
      </w:r>
      <w:r>
        <w:rPr>
          <w:noProof/>
        </w:rPr>
        <w:t>Other provisions relating to conduct etc</w:t>
      </w:r>
      <w:r>
        <w:rPr>
          <w:noProof/>
        </w:rPr>
        <w:tab/>
      </w:r>
      <w:r>
        <w:rPr>
          <w:noProof/>
        </w:rPr>
        <w:fldChar w:fldCharType="begin"/>
      </w:r>
      <w:r>
        <w:rPr>
          <w:noProof/>
        </w:rPr>
        <w:instrText xml:space="preserve"> PAGEREF _Toc158713020 \h </w:instrText>
      </w:r>
      <w:r>
        <w:rPr>
          <w:noProof/>
        </w:rPr>
      </w:r>
      <w:r>
        <w:rPr>
          <w:noProof/>
        </w:rPr>
        <w:fldChar w:fldCharType="separate"/>
      </w:r>
      <w:r>
        <w:rPr>
          <w:noProof/>
        </w:rPr>
        <w:t>578</w:t>
      </w:r>
      <w:r>
        <w:rPr>
          <w:noProof/>
        </w:rPr>
        <w:fldChar w:fldCharType="end"/>
      </w:r>
    </w:p>
    <w:p w14:paraId="0697D546" w14:textId="40E1BBB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10.2.51  Sale offers that need disclosure</w:t>
      </w:r>
      <w:r>
        <w:rPr>
          <w:noProof/>
        </w:rPr>
        <w:tab/>
      </w:r>
      <w:r>
        <w:rPr>
          <w:noProof/>
        </w:rPr>
        <w:fldChar w:fldCharType="begin"/>
      </w:r>
      <w:r>
        <w:rPr>
          <w:noProof/>
        </w:rPr>
        <w:instrText xml:space="preserve"> PAGEREF _Toc158713021 \h </w:instrText>
      </w:r>
      <w:r>
        <w:rPr>
          <w:noProof/>
        </w:rPr>
      </w:r>
      <w:r>
        <w:rPr>
          <w:noProof/>
        </w:rPr>
        <w:fldChar w:fldCharType="separate"/>
      </w:r>
      <w:r>
        <w:rPr>
          <w:noProof/>
        </w:rPr>
        <w:t>578</w:t>
      </w:r>
      <w:r>
        <w:rPr>
          <w:noProof/>
        </w:rPr>
        <w:fldChar w:fldCharType="end"/>
      </w:r>
    </w:p>
    <w:p w14:paraId="09DD938F" w14:textId="51546B2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10.2.52  Offers that do not need disclosure: small scale offerings</w:t>
      </w:r>
      <w:r>
        <w:rPr>
          <w:noProof/>
        </w:rPr>
        <w:tab/>
      </w:r>
      <w:r>
        <w:rPr>
          <w:noProof/>
        </w:rPr>
        <w:fldChar w:fldCharType="begin"/>
      </w:r>
      <w:r>
        <w:rPr>
          <w:noProof/>
        </w:rPr>
        <w:instrText xml:space="preserve"> PAGEREF _Toc158713022 \h </w:instrText>
      </w:r>
      <w:r>
        <w:rPr>
          <w:noProof/>
        </w:rPr>
      </w:r>
      <w:r>
        <w:rPr>
          <w:noProof/>
        </w:rPr>
        <w:fldChar w:fldCharType="separate"/>
      </w:r>
      <w:r>
        <w:rPr>
          <w:noProof/>
        </w:rPr>
        <w:t>578</w:t>
      </w:r>
      <w:r>
        <w:rPr>
          <w:noProof/>
        </w:rPr>
        <w:fldChar w:fldCharType="end"/>
      </w:r>
    </w:p>
    <w:p w14:paraId="1472801C" w14:textId="1B204E4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10.2.52A  Offers that do not need disclosure</w:t>
      </w:r>
      <w:r>
        <w:rPr>
          <w:noProof/>
        </w:rPr>
        <w:tab/>
      </w:r>
      <w:r>
        <w:rPr>
          <w:noProof/>
        </w:rPr>
        <w:fldChar w:fldCharType="begin"/>
      </w:r>
      <w:r>
        <w:rPr>
          <w:noProof/>
        </w:rPr>
        <w:instrText xml:space="preserve"> PAGEREF _Toc158713023 \h </w:instrText>
      </w:r>
      <w:r>
        <w:rPr>
          <w:noProof/>
        </w:rPr>
      </w:r>
      <w:r>
        <w:rPr>
          <w:noProof/>
        </w:rPr>
        <w:fldChar w:fldCharType="separate"/>
      </w:r>
      <w:r>
        <w:rPr>
          <w:noProof/>
        </w:rPr>
        <w:t>578</w:t>
      </w:r>
      <w:r>
        <w:rPr>
          <w:noProof/>
        </w:rPr>
        <w:fldChar w:fldCharType="end"/>
      </w:r>
    </w:p>
    <w:p w14:paraId="07A97DA1" w14:textId="23632C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10.2.53  Money other than loans: financial services licensee who formerly held dealer’s licence</w:t>
      </w:r>
      <w:r>
        <w:rPr>
          <w:noProof/>
        </w:rPr>
        <w:tab/>
      </w:r>
      <w:r>
        <w:rPr>
          <w:noProof/>
        </w:rPr>
        <w:fldChar w:fldCharType="begin"/>
      </w:r>
      <w:r>
        <w:rPr>
          <w:noProof/>
        </w:rPr>
        <w:instrText xml:space="preserve"> PAGEREF _Toc158713024 \h </w:instrText>
      </w:r>
      <w:r>
        <w:rPr>
          <w:noProof/>
        </w:rPr>
      </w:r>
      <w:r>
        <w:rPr>
          <w:noProof/>
        </w:rPr>
        <w:fldChar w:fldCharType="separate"/>
      </w:r>
      <w:r>
        <w:rPr>
          <w:noProof/>
        </w:rPr>
        <w:t>578</w:t>
      </w:r>
      <w:r>
        <w:rPr>
          <w:noProof/>
        </w:rPr>
        <w:fldChar w:fldCharType="end"/>
      </w:r>
    </w:p>
    <w:p w14:paraId="0C453999" w14:textId="3992474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10.2.54  Money other than loans: financial services licensee who formerly held futures broker’s licence</w:t>
      </w:r>
      <w:r>
        <w:rPr>
          <w:noProof/>
        </w:rPr>
        <w:tab/>
      </w:r>
      <w:r>
        <w:rPr>
          <w:noProof/>
        </w:rPr>
        <w:fldChar w:fldCharType="begin"/>
      </w:r>
      <w:r>
        <w:rPr>
          <w:noProof/>
        </w:rPr>
        <w:instrText xml:space="preserve"> PAGEREF _Toc158713025 \h </w:instrText>
      </w:r>
      <w:r>
        <w:rPr>
          <w:noProof/>
        </w:rPr>
      </w:r>
      <w:r>
        <w:rPr>
          <w:noProof/>
        </w:rPr>
        <w:fldChar w:fldCharType="separate"/>
      </w:r>
      <w:r>
        <w:rPr>
          <w:noProof/>
        </w:rPr>
        <w:t>579</w:t>
      </w:r>
      <w:r>
        <w:rPr>
          <w:noProof/>
        </w:rPr>
        <w:fldChar w:fldCharType="end"/>
      </w:r>
    </w:p>
    <w:p w14:paraId="56BF4739" w14:textId="184BCF5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10.2.55  Money other than loans: financial services licensee who was formerly a registered insurance broker</w:t>
      </w:r>
      <w:r>
        <w:rPr>
          <w:noProof/>
        </w:rPr>
        <w:tab/>
      </w:r>
      <w:r>
        <w:rPr>
          <w:noProof/>
        </w:rPr>
        <w:fldChar w:fldCharType="begin"/>
      </w:r>
      <w:r>
        <w:rPr>
          <w:noProof/>
        </w:rPr>
        <w:instrText xml:space="preserve"> PAGEREF _Toc158713026 \h </w:instrText>
      </w:r>
      <w:r>
        <w:rPr>
          <w:noProof/>
        </w:rPr>
      </w:r>
      <w:r>
        <w:rPr>
          <w:noProof/>
        </w:rPr>
        <w:fldChar w:fldCharType="separate"/>
      </w:r>
      <w:r>
        <w:rPr>
          <w:noProof/>
        </w:rPr>
        <w:t>579</w:t>
      </w:r>
      <w:r>
        <w:rPr>
          <w:noProof/>
        </w:rPr>
        <w:fldChar w:fldCharType="end"/>
      </w:r>
    </w:p>
    <w:p w14:paraId="031C28BB" w14:textId="770417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10.2.56  Money other than loans: financial services licensee who ceases to be licensed</w:t>
      </w:r>
      <w:r>
        <w:rPr>
          <w:noProof/>
        </w:rPr>
        <w:tab/>
      </w:r>
      <w:r>
        <w:rPr>
          <w:noProof/>
        </w:rPr>
        <w:fldChar w:fldCharType="begin"/>
      </w:r>
      <w:r>
        <w:rPr>
          <w:noProof/>
        </w:rPr>
        <w:instrText xml:space="preserve"> PAGEREF _Toc158713027 \h </w:instrText>
      </w:r>
      <w:r>
        <w:rPr>
          <w:noProof/>
        </w:rPr>
      </w:r>
      <w:r>
        <w:rPr>
          <w:noProof/>
        </w:rPr>
        <w:fldChar w:fldCharType="separate"/>
      </w:r>
      <w:r>
        <w:rPr>
          <w:noProof/>
        </w:rPr>
        <w:t>580</w:t>
      </w:r>
      <w:r>
        <w:rPr>
          <w:noProof/>
        </w:rPr>
        <w:fldChar w:fldCharType="end"/>
      </w:r>
    </w:p>
    <w:p w14:paraId="6A534B4C" w14:textId="057B7E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10.2.57  Loan money: financial services licensee who formerly held dealer’s licence</w:t>
      </w:r>
      <w:r>
        <w:rPr>
          <w:noProof/>
        </w:rPr>
        <w:tab/>
      </w:r>
      <w:r>
        <w:rPr>
          <w:noProof/>
        </w:rPr>
        <w:fldChar w:fldCharType="begin"/>
      </w:r>
      <w:r>
        <w:rPr>
          <w:noProof/>
        </w:rPr>
        <w:instrText xml:space="preserve"> PAGEREF _Toc158713028 \h </w:instrText>
      </w:r>
      <w:r>
        <w:rPr>
          <w:noProof/>
        </w:rPr>
      </w:r>
      <w:r>
        <w:rPr>
          <w:noProof/>
        </w:rPr>
        <w:fldChar w:fldCharType="separate"/>
      </w:r>
      <w:r>
        <w:rPr>
          <w:noProof/>
        </w:rPr>
        <w:t>580</w:t>
      </w:r>
      <w:r>
        <w:rPr>
          <w:noProof/>
        </w:rPr>
        <w:fldChar w:fldCharType="end"/>
      </w:r>
    </w:p>
    <w:p w14:paraId="187C99C0" w14:textId="1046DA7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10.2.58  Other property of clients: financial services licensee who formerly held dealer’s licence</w:t>
      </w:r>
      <w:r>
        <w:rPr>
          <w:noProof/>
        </w:rPr>
        <w:tab/>
      </w:r>
      <w:r>
        <w:rPr>
          <w:noProof/>
        </w:rPr>
        <w:fldChar w:fldCharType="begin"/>
      </w:r>
      <w:r>
        <w:rPr>
          <w:noProof/>
        </w:rPr>
        <w:instrText xml:space="preserve"> PAGEREF _Toc158713029 \h </w:instrText>
      </w:r>
      <w:r>
        <w:rPr>
          <w:noProof/>
        </w:rPr>
      </w:r>
      <w:r>
        <w:rPr>
          <w:noProof/>
        </w:rPr>
        <w:fldChar w:fldCharType="separate"/>
      </w:r>
      <w:r>
        <w:rPr>
          <w:noProof/>
        </w:rPr>
        <w:t>580</w:t>
      </w:r>
      <w:r>
        <w:rPr>
          <w:noProof/>
        </w:rPr>
        <w:fldChar w:fldCharType="end"/>
      </w:r>
    </w:p>
    <w:p w14:paraId="7F231DE2" w14:textId="67D739A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10.2.59  Other property of clients: financial services licensee who formerly held futures broker’s licence</w:t>
      </w:r>
      <w:r>
        <w:rPr>
          <w:noProof/>
        </w:rPr>
        <w:tab/>
      </w:r>
      <w:r>
        <w:rPr>
          <w:noProof/>
        </w:rPr>
        <w:fldChar w:fldCharType="begin"/>
      </w:r>
      <w:r>
        <w:rPr>
          <w:noProof/>
        </w:rPr>
        <w:instrText xml:space="preserve"> PAGEREF _Toc158713030 \h </w:instrText>
      </w:r>
      <w:r>
        <w:rPr>
          <w:noProof/>
        </w:rPr>
      </w:r>
      <w:r>
        <w:rPr>
          <w:noProof/>
        </w:rPr>
        <w:fldChar w:fldCharType="separate"/>
      </w:r>
      <w:r>
        <w:rPr>
          <w:noProof/>
        </w:rPr>
        <w:t>580</w:t>
      </w:r>
      <w:r>
        <w:rPr>
          <w:noProof/>
        </w:rPr>
        <w:fldChar w:fldCharType="end"/>
      </w:r>
    </w:p>
    <w:p w14:paraId="013E5DB8" w14:textId="1BC45FD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10.2.60  Special provisions relating to insurance: financial services licensee who was formerly a registered insurance broker</w:t>
      </w:r>
      <w:r>
        <w:rPr>
          <w:noProof/>
        </w:rPr>
        <w:tab/>
      </w:r>
      <w:r>
        <w:rPr>
          <w:noProof/>
        </w:rPr>
        <w:fldChar w:fldCharType="begin"/>
      </w:r>
      <w:r>
        <w:rPr>
          <w:noProof/>
        </w:rPr>
        <w:instrText xml:space="preserve"> PAGEREF _Toc158713031 \h </w:instrText>
      </w:r>
      <w:r>
        <w:rPr>
          <w:noProof/>
        </w:rPr>
      </w:r>
      <w:r>
        <w:rPr>
          <w:noProof/>
        </w:rPr>
        <w:fldChar w:fldCharType="separate"/>
      </w:r>
      <w:r>
        <w:rPr>
          <w:noProof/>
        </w:rPr>
        <w:t>581</w:t>
      </w:r>
      <w:r>
        <w:rPr>
          <w:noProof/>
        </w:rPr>
        <w:fldChar w:fldCharType="end"/>
      </w:r>
    </w:p>
    <w:p w14:paraId="509DFDA3" w14:textId="190DB0C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10.2.61  Obligation to report: financial services licensee who formerly held a futures broker’s licence</w:t>
      </w:r>
      <w:r>
        <w:rPr>
          <w:noProof/>
        </w:rPr>
        <w:tab/>
      </w:r>
      <w:r>
        <w:rPr>
          <w:noProof/>
        </w:rPr>
        <w:fldChar w:fldCharType="begin"/>
      </w:r>
      <w:r>
        <w:rPr>
          <w:noProof/>
        </w:rPr>
        <w:instrText xml:space="preserve"> PAGEREF _Toc158713032 \h </w:instrText>
      </w:r>
      <w:r>
        <w:rPr>
          <w:noProof/>
        </w:rPr>
      </w:r>
      <w:r>
        <w:rPr>
          <w:noProof/>
        </w:rPr>
        <w:fldChar w:fldCharType="separate"/>
      </w:r>
      <w:r>
        <w:rPr>
          <w:noProof/>
        </w:rPr>
        <w:t>581</w:t>
      </w:r>
      <w:r>
        <w:rPr>
          <w:noProof/>
        </w:rPr>
        <w:fldChar w:fldCharType="end"/>
      </w:r>
    </w:p>
    <w:p w14:paraId="58182CFB" w14:textId="2C5DBF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10.2.62  Reporting in relation to dealings in derivatives: financial services licensee who formerly held a dealer’s licence</w:t>
      </w:r>
      <w:r>
        <w:rPr>
          <w:noProof/>
        </w:rPr>
        <w:tab/>
      </w:r>
      <w:r>
        <w:rPr>
          <w:noProof/>
        </w:rPr>
        <w:fldChar w:fldCharType="begin"/>
      </w:r>
      <w:r>
        <w:rPr>
          <w:noProof/>
        </w:rPr>
        <w:instrText xml:space="preserve"> PAGEREF _Toc158713033 \h </w:instrText>
      </w:r>
      <w:r>
        <w:rPr>
          <w:noProof/>
        </w:rPr>
      </w:r>
      <w:r>
        <w:rPr>
          <w:noProof/>
        </w:rPr>
        <w:fldChar w:fldCharType="separate"/>
      </w:r>
      <w:r>
        <w:rPr>
          <w:noProof/>
        </w:rPr>
        <w:t>582</w:t>
      </w:r>
      <w:r>
        <w:rPr>
          <w:noProof/>
        </w:rPr>
        <w:fldChar w:fldCharType="end"/>
      </w:r>
    </w:p>
    <w:p w14:paraId="32828B86" w14:textId="695F8F0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10.2.63  Financial statements of financial services licensee: general</w:t>
      </w:r>
      <w:r>
        <w:rPr>
          <w:noProof/>
        </w:rPr>
        <w:tab/>
      </w:r>
      <w:r>
        <w:rPr>
          <w:noProof/>
        </w:rPr>
        <w:fldChar w:fldCharType="begin"/>
      </w:r>
      <w:r>
        <w:rPr>
          <w:noProof/>
        </w:rPr>
        <w:instrText xml:space="preserve"> PAGEREF _Toc158713034 \h </w:instrText>
      </w:r>
      <w:r>
        <w:rPr>
          <w:noProof/>
        </w:rPr>
      </w:r>
      <w:r>
        <w:rPr>
          <w:noProof/>
        </w:rPr>
        <w:fldChar w:fldCharType="separate"/>
      </w:r>
      <w:r>
        <w:rPr>
          <w:noProof/>
        </w:rPr>
        <w:t>582</w:t>
      </w:r>
      <w:r>
        <w:rPr>
          <w:noProof/>
        </w:rPr>
        <w:fldChar w:fldCharType="end"/>
      </w:r>
    </w:p>
    <w:p w14:paraId="552F7490" w14:textId="49D2CED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10.2.64  Financial statements of financial services licensees who were certain regulated principals</w:t>
      </w:r>
      <w:r>
        <w:rPr>
          <w:noProof/>
        </w:rPr>
        <w:tab/>
      </w:r>
      <w:r>
        <w:rPr>
          <w:noProof/>
        </w:rPr>
        <w:fldChar w:fldCharType="begin"/>
      </w:r>
      <w:r>
        <w:rPr>
          <w:noProof/>
        </w:rPr>
        <w:instrText xml:space="preserve"> PAGEREF _Toc158713035 \h </w:instrText>
      </w:r>
      <w:r>
        <w:rPr>
          <w:noProof/>
        </w:rPr>
      </w:r>
      <w:r>
        <w:rPr>
          <w:noProof/>
        </w:rPr>
        <w:fldChar w:fldCharType="separate"/>
      </w:r>
      <w:r>
        <w:rPr>
          <w:noProof/>
        </w:rPr>
        <w:t>582</w:t>
      </w:r>
      <w:r>
        <w:rPr>
          <w:noProof/>
        </w:rPr>
        <w:fldChar w:fldCharType="end"/>
      </w:r>
    </w:p>
    <w:p w14:paraId="18978CD6" w14:textId="6DDAFC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10.2.65  Auditors: certain financial services licensee who formerly held dealer’s licence</w:t>
      </w:r>
      <w:r>
        <w:rPr>
          <w:noProof/>
        </w:rPr>
        <w:tab/>
      </w:r>
      <w:r>
        <w:rPr>
          <w:noProof/>
        </w:rPr>
        <w:fldChar w:fldCharType="begin"/>
      </w:r>
      <w:r>
        <w:rPr>
          <w:noProof/>
        </w:rPr>
        <w:instrText xml:space="preserve"> PAGEREF _Toc158713036 \h </w:instrText>
      </w:r>
      <w:r>
        <w:rPr>
          <w:noProof/>
        </w:rPr>
      </w:r>
      <w:r>
        <w:rPr>
          <w:noProof/>
        </w:rPr>
        <w:fldChar w:fldCharType="separate"/>
      </w:r>
      <w:r>
        <w:rPr>
          <w:noProof/>
        </w:rPr>
        <w:t>583</w:t>
      </w:r>
      <w:r>
        <w:rPr>
          <w:noProof/>
        </w:rPr>
        <w:fldChar w:fldCharType="end"/>
      </w:r>
    </w:p>
    <w:p w14:paraId="09029D07" w14:textId="0E181E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10.2.66  Auditors: certain financial services licensees who held a futures broker’s licence</w:t>
      </w:r>
      <w:r>
        <w:rPr>
          <w:noProof/>
        </w:rPr>
        <w:tab/>
      </w:r>
      <w:r>
        <w:rPr>
          <w:noProof/>
        </w:rPr>
        <w:fldChar w:fldCharType="begin"/>
      </w:r>
      <w:r>
        <w:rPr>
          <w:noProof/>
        </w:rPr>
        <w:instrText xml:space="preserve"> PAGEREF _Toc158713037 \h </w:instrText>
      </w:r>
      <w:r>
        <w:rPr>
          <w:noProof/>
        </w:rPr>
      </w:r>
      <w:r>
        <w:rPr>
          <w:noProof/>
        </w:rPr>
        <w:fldChar w:fldCharType="separate"/>
      </w:r>
      <w:r>
        <w:rPr>
          <w:noProof/>
        </w:rPr>
        <w:t>584</w:t>
      </w:r>
      <w:r>
        <w:rPr>
          <w:noProof/>
        </w:rPr>
        <w:fldChar w:fldCharType="end"/>
      </w:r>
    </w:p>
    <w:p w14:paraId="444EBA42" w14:textId="357E79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10.2.67  Auditor’s report in certain matters: financial services licensee who formerly held a dealer’s licence</w:t>
      </w:r>
      <w:r>
        <w:rPr>
          <w:noProof/>
        </w:rPr>
        <w:tab/>
      </w:r>
      <w:r>
        <w:rPr>
          <w:noProof/>
        </w:rPr>
        <w:fldChar w:fldCharType="begin"/>
      </w:r>
      <w:r>
        <w:rPr>
          <w:noProof/>
        </w:rPr>
        <w:instrText xml:space="preserve"> PAGEREF _Toc158713038 \h </w:instrText>
      </w:r>
      <w:r>
        <w:rPr>
          <w:noProof/>
        </w:rPr>
      </w:r>
      <w:r>
        <w:rPr>
          <w:noProof/>
        </w:rPr>
        <w:fldChar w:fldCharType="separate"/>
      </w:r>
      <w:r>
        <w:rPr>
          <w:noProof/>
        </w:rPr>
        <w:t>585</w:t>
      </w:r>
      <w:r>
        <w:rPr>
          <w:noProof/>
        </w:rPr>
        <w:fldChar w:fldCharType="end"/>
      </w:r>
    </w:p>
    <w:p w14:paraId="1B4C4FF8" w14:textId="3B46D1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10.2.68  Auditor’s report on certain matters: financial services licensee who formerly held a futures broker’s licence</w:t>
      </w:r>
      <w:r>
        <w:rPr>
          <w:noProof/>
        </w:rPr>
        <w:tab/>
      </w:r>
      <w:r>
        <w:rPr>
          <w:noProof/>
        </w:rPr>
        <w:fldChar w:fldCharType="begin"/>
      </w:r>
      <w:r>
        <w:rPr>
          <w:noProof/>
        </w:rPr>
        <w:instrText xml:space="preserve"> PAGEREF _Toc158713039 \h </w:instrText>
      </w:r>
      <w:r>
        <w:rPr>
          <w:noProof/>
        </w:rPr>
      </w:r>
      <w:r>
        <w:rPr>
          <w:noProof/>
        </w:rPr>
        <w:fldChar w:fldCharType="separate"/>
      </w:r>
      <w:r>
        <w:rPr>
          <w:noProof/>
        </w:rPr>
        <w:t>585</w:t>
      </w:r>
      <w:r>
        <w:rPr>
          <w:noProof/>
        </w:rPr>
        <w:fldChar w:fldCharType="end"/>
      </w:r>
    </w:p>
    <w:p w14:paraId="59A49656" w14:textId="05E0FCC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10.2.69  Auditor’s report on certain matters: financial services licensee who was formerly a registered insurance broker</w:t>
      </w:r>
      <w:r>
        <w:rPr>
          <w:noProof/>
        </w:rPr>
        <w:tab/>
      </w:r>
      <w:r>
        <w:rPr>
          <w:noProof/>
        </w:rPr>
        <w:fldChar w:fldCharType="begin"/>
      </w:r>
      <w:r>
        <w:rPr>
          <w:noProof/>
        </w:rPr>
        <w:instrText xml:space="preserve"> PAGEREF _Toc158713040 \h </w:instrText>
      </w:r>
      <w:r>
        <w:rPr>
          <w:noProof/>
        </w:rPr>
      </w:r>
      <w:r>
        <w:rPr>
          <w:noProof/>
        </w:rPr>
        <w:fldChar w:fldCharType="separate"/>
      </w:r>
      <w:r>
        <w:rPr>
          <w:noProof/>
        </w:rPr>
        <w:t>585</w:t>
      </w:r>
      <w:r>
        <w:rPr>
          <w:noProof/>
        </w:rPr>
        <w:fldChar w:fldCharType="end"/>
      </w:r>
    </w:p>
    <w:p w14:paraId="1A2858C1" w14:textId="3532486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10.2.70  Priority to clients’ orders: financial services licensee who held a dealers licence</w:t>
      </w:r>
      <w:r>
        <w:rPr>
          <w:noProof/>
        </w:rPr>
        <w:tab/>
      </w:r>
      <w:r>
        <w:rPr>
          <w:noProof/>
        </w:rPr>
        <w:fldChar w:fldCharType="begin"/>
      </w:r>
      <w:r>
        <w:rPr>
          <w:noProof/>
        </w:rPr>
        <w:instrText xml:space="preserve"> PAGEREF _Toc158713041 \h </w:instrText>
      </w:r>
      <w:r>
        <w:rPr>
          <w:noProof/>
        </w:rPr>
      </w:r>
      <w:r>
        <w:rPr>
          <w:noProof/>
        </w:rPr>
        <w:fldChar w:fldCharType="separate"/>
      </w:r>
      <w:r>
        <w:rPr>
          <w:noProof/>
        </w:rPr>
        <w:t>585</w:t>
      </w:r>
      <w:r>
        <w:rPr>
          <w:noProof/>
        </w:rPr>
        <w:fldChar w:fldCharType="end"/>
      </w:r>
    </w:p>
    <w:p w14:paraId="18E1B317" w14:textId="4B9D986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10.2.71  Sequencing of instructions to deal through licensed markets: financial services licensee who formerly held a futures brokers licence</w:t>
      </w:r>
      <w:r>
        <w:rPr>
          <w:noProof/>
        </w:rPr>
        <w:tab/>
      </w:r>
      <w:r>
        <w:rPr>
          <w:noProof/>
        </w:rPr>
        <w:fldChar w:fldCharType="begin"/>
      </w:r>
      <w:r>
        <w:rPr>
          <w:noProof/>
        </w:rPr>
        <w:instrText xml:space="preserve"> PAGEREF _Toc158713042 \h </w:instrText>
      </w:r>
      <w:r>
        <w:rPr>
          <w:noProof/>
        </w:rPr>
      </w:r>
      <w:r>
        <w:rPr>
          <w:noProof/>
        </w:rPr>
        <w:fldChar w:fldCharType="separate"/>
      </w:r>
      <w:r>
        <w:rPr>
          <w:noProof/>
        </w:rPr>
        <w:t>586</w:t>
      </w:r>
      <w:r>
        <w:rPr>
          <w:noProof/>
        </w:rPr>
        <w:fldChar w:fldCharType="end"/>
      </w:r>
    </w:p>
    <w:p w14:paraId="25A03E11" w14:textId="695D768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10.2.72  Records relating to instructions to deal through licensed markets: financial services licensee who held a futures brokers licence</w:t>
      </w:r>
      <w:r>
        <w:rPr>
          <w:noProof/>
        </w:rPr>
        <w:tab/>
      </w:r>
      <w:r>
        <w:rPr>
          <w:noProof/>
        </w:rPr>
        <w:fldChar w:fldCharType="begin"/>
      </w:r>
      <w:r>
        <w:rPr>
          <w:noProof/>
        </w:rPr>
        <w:instrText xml:space="preserve"> PAGEREF _Toc158713043 \h </w:instrText>
      </w:r>
      <w:r>
        <w:rPr>
          <w:noProof/>
        </w:rPr>
      </w:r>
      <w:r>
        <w:rPr>
          <w:noProof/>
        </w:rPr>
        <w:fldChar w:fldCharType="separate"/>
      </w:r>
      <w:r>
        <w:rPr>
          <w:noProof/>
        </w:rPr>
        <w:t>586</w:t>
      </w:r>
      <w:r>
        <w:rPr>
          <w:noProof/>
        </w:rPr>
        <w:fldChar w:fldCharType="end"/>
      </w:r>
    </w:p>
    <w:p w14:paraId="0F79DB4F" w14:textId="6529435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10.2.73  Dealing with non</w:t>
      </w:r>
      <w:r>
        <w:rPr>
          <w:noProof/>
        </w:rPr>
        <w:noBreakHyphen/>
        <w:t>licensees: financial services licensee who held a dealers licence</w:t>
      </w:r>
      <w:r>
        <w:rPr>
          <w:noProof/>
        </w:rPr>
        <w:tab/>
      </w:r>
      <w:r>
        <w:rPr>
          <w:noProof/>
        </w:rPr>
        <w:fldChar w:fldCharType="begin"/>
      </w:r>
      <w:r>
        <w:rPr>
          <w:noProof/>
        </w:rPr>
        <w:instrText xml:space="preserve"> PAGEREF _Toc158713044 \h </w:instrText>
      </w:r>
      <w:r>
        <w:rPr>
          <w:noProof/>
        </w:rPr>
      </w:r>
      <w:r>
        <w:rPr>
          <w:noProof/>
        </w:rPr>
        <w:fldChar w:fldCharType="separate"/>
      </w:r>
      <w:r>
        <w:rPr>
          <w:noProof/>
        </w:rPr>
        <w:t>586</w:t>
      </w:r>
      <w:r>
        <w:rPr>
          <w:noProof/>
        </w:rPr>
        <w:fldChar w:fldCharType="end"/>
      </w:r>
    </w:p>
    <w:p w14:paraId="50DF23F7" w14:textId="1C9A02C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10.2.73A  Advertising for financial products</w:t>
      </w:r>
      <w:r>
        <w:rPr>
          <w:noProof/>
        </w:rPr>
        <w:tab/>
      </w:r>
      <w:r>
        <w:rPr>
          <w:noProof/>
        </w:rPr>
        <w:fldChar w:fldCharType="begin"/>
      </w:r>
      <w:r>
        <w:rPr>
          <w:noProof/>
        </w:rPr>
        <w:instrText xml:space="preserve"> PAGEREF _Toc158713045 \h </w:instrText>
      </w:r>
      <w:r>
        <w:rPr>
          <w:noProof/>
        </w:rPr>
      </w:r>
      <w:r>
        <w:rPr>
          <w:noProof/>
        </w:rPr>
        <w:fldChar w:fldCharType="separate"/>
      </w:r>
      <w:r>
        <w:rPr>
          <w:noProof/>
        </w:rPr>
        <w:t>586</w:t>
      </w:r>
      <w:r>
        <w:rPr>
          <w:noProof/>
        </w:rPr>
        <w:fldChar w:fldCharType="end"/>
      </w:r>
    </w:p>
    <w:p w14:paraId="1B739266" w14:textId="02939C3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10.2.73B  Freezing accounts</w:t>
      </w:r>
      <w:r>
        <w:rPr>
          <w:noProof/>
        </w:rPr>
        <w:tab/>
      </w:r>
      <w:r>
        <w:rPr>
          <w:noProof/>
        </w:rPr>
        <w:fldChar w:fldCharType="begin"/>
      </w:r>
      <w:r>
        <w:rPr>
          <w:noProof/>
        </w:rPr>
        <w:instrText xml:space="preserve"> PAGEREF _Toc158713046 \h </w:instrText>
      </w:r>
      <w:r>
        <w:rPr>
          <w:noProof/>
        </w:rPr>
      </w:r>
      <w:r>
        <w:rPr>
          <w:noProof/>
        </w:rPr>
        <w:fldChar w:fldCharType="separate"/>
      </w:r>
      <w:r>
        <w:rPr>
          <w:noProof/>
        </w:rPr>
        <w:t>587</w:t>
      </w:r>
      <w:r>
        <w:rPr>
          <w:noProof/>
        </w:rPr>
        <w:fldChar w:fldCharType="end"/>
      </w:r>
    </w:p>
    <w:p w14:paraId="3BC41A76" w14:textId="31AEA04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16</w:t>
      </w:r>
      <w:r w:rsidRPr="00FC743A">
        <w:rPr>
          <w:noProof/>
          <w:color w:val="000000"/>
        </w:rPr>
        <w:t>—</w:t>
      </w:r>
      <w:r>
        <w:rPr>
          <w:noProof/>
        </w:rPr>
        <w:t>Product disclosure provisions for existing products during transition period</w:t>
      </w:r>
      <w:r>
        <w:rPr>
          <w:noProof/>
        </w:rPr>
        <w:tab/>
      </w:r>
      <w:r>
        <w:rPr>
          <w:noProof/>
        </w:rPr>
        <w:fldChar w:fldCharType="begin"/>
      </w:r>
      <w:r>
        <w:rPr>
          <w:noProof/>
        </w:rPr>
        <w:instrText xml:space="preserve"> PAGEREF _Toc158713047 \h </w:instrText>
      </w:r>
      <w:r>
        <w:rPr>
          <w:noProof/>
        </w:rPr>
      </w:r>
      <w:r>
        <w:rPr>
          <w:noProof/>
        </w:rPr>
        <w:fldChar w:fldCharType="separate"/>
      </w:r>
      <w:r>
        <w:rPr>
          <w:noProof/>
        </w:rPr>
        <w:t>588</w:t>
      </w:r>
      <w:r>
        <w:rPr>
          <w:noProof/>
        </w:rPr>
        <w:fldChar w:fldCharType="end"/>
      </w:r>
    </w:p>
    <w:p w14:paraId="6D37FEAD" w14:textId="23006C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10.2.74  Financial products in the same class</w:t>
      </w:r>
      <w:r>
        <w:rPr>
          <w:noProof/>
        </w:rPr>
        <w:tab/>
      </w:r>
      <w:r>
        <w:rPr>
          <w:noProof/>
        </w:rPr>
        <w:fldChar w:fldCharType="begin"/>
      </w:r>
      <w:r>
        <w:rPr>
          <w:noProof/>
        </w:rPr>
        <w:instrText xml:space="preserve"> PAGEREF _Toc158713048 \h </w:instrText>
      </w:r>
      <w:r>
        <w:rPr>
          <w:noProof/>
        </w:rPr>
      </w:r>
      <w:r>
        <w:rPr>
          <w:noProof/>
        </w:rPr>
        <w:fldChar w:fldCharType="separate"/>
      </w:r>
      <w:r>
        <w:rPr>
          <w:noProof/>
        </w:rPr>
        <w:t>588</w:t>
      </w:r>
      <w:r>
        <w:rPr>
          <w:noProof/>
        </w:rPr>
        <w:fldChar w:fldCharType="end"/>
      </w:r>
    </w:p>
    <w:p w14:paraId="18321C93" w14:textId="75B88B7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10.2.75  References to financial services licensee</w:t>
      </w:r>
      <w:r>
        <w:rPr>
          <w:noProof/>
        </w:rPr>
        <w:tab/>
      </w:r>
      <w:r>
        <w:rPr>
          <w:noProof/>
        </w:rPr>
        <w:fldChar w:fldCharType="begin"/>
      </w:r>
      <w:r>
        <w:rPr>
          <w:noProof/>
        </w:rPr>
        <w:instrText xml:space="preserve"> PAGEREF _Toc158713049 \h </w:instrText>
      </w:r>
      <w:r>
        <w:rPr>
          <w:noProof/>
        </w:rPr>
      </w:r>
      <w:r>
        <w:rPr>
          <w:noProof/>
        </w:rPr>
        <w:fldChar w:fldCharType="separate"/>
      </w:r>
      <w:r>
        <w:rPr>
          <w:noProof/>
        </w:rPr>
        <w:t>589</w:t>
      </w:r>
      <w:r>
        <w:rPr>
          <w:noProof/>
        </w:rPr>
        <w:fldChar w:fldCharType="end"/>
      </w:r>
    </w:p>
    <w:p w14:paraId="557EF244" w14:textId="0CFBAC0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10.2.76  References to retail client</w:t>
      </w:r>
      <w:r>
        <w:rPr>
          <w:noProof/>
        </w:rPr>
        <w:tab/>
      </w:r>
      <w:r>
        <w:rPr>
          <w:noProof/>
        </w:rPr>
        <w:fldChar w:fldCharType="begin"/>
      </w:r>
      <w:r>
        <w:rPr>
          <w:noProof/>
        </w:rPr>
        <w:instrText xml:space="preserve"> PAGEREF _Toc158713050 \h </w:instrText>
      </w:r>
      <w:r>
        <w:rPr>
          <w:noProof/>
        </w:rPr>
      </w:r>
      <w:r>
        <w:rPr>
          <w:noProof/>
        </w:rPr>
        <w:fldChar w:fldCharType="separate"/>
      </w:r>
      <w:r>
        <w:rPr>
          <w:noProof/>
        </w:rPr>
        <w:t>589</w:t>
      </w:r>
      <w:r>
        <w:rPr>
          <w:noProof/>
        </w:rPr>
        <w:fldChar w:fldCharType="end"/>
      </w:r>
    </w:p>
    <w:p w14:paraId="022103C2" w14:textId="12893A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10.2.77  References to issue of product</w:t>
      </w:r>
      <w:r>
        <w:rPr>
          <w:noProof/>
        </w:rPr>
        <w:tab/>
      </w:r>
      <w:r>
        <w:rPr>
          <w:noProof/>
        </w:rPr>
        <w:fldChar w:fldCharType="begin"/>
      </w:r>
      <w:r>
        <w:rPr>
          <w:noProof/>
        </w:rPr>
        <w:instrText xml:space="preserve"> PAGEREF _Toc158713051 \h </w:instrText>
      </w:r>
      <w:r>
        <w:rPr>
          <w:noProof/>
        </w:rPr>
      </w:r>
      <w:r>
        <w:rPr>
          <w:noProof/>
        </w:rPr>
        <w:fldChar w:fldCharType="separate"/>
      </w:r>
      <w:r>
        <w:rPr>
          <w:noProof/>
        </w:rPr>
        <w:t>589</w:t>
      </w:r>
      <w:r>
        <w:rPr>
          <w:noProof/>
        </w:rPr>
        <w:fldChar w:fldCharType="end"/>
      </w:r>
    </w:p>
    <w:p w14:paraId="4799CFEA" w14:textId="571B91F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10.2.78  References to Product Disclosure Statement: offer previously accepted</w:t>
      </w:r>
      <w:r>
        <w:rPr>
          <w:noProof/>
        </w:rPr>
        <w:tab/>
      </w:r>
      <w:r>
        <w:rPr>
          <w:noProof/>
        </w:rPr>
        <w:fldChar w:fldCharType="begin"/>
      </w:r>
      <w:r>
        <w:rPr>
          <w:noProof/>
        </w:rPr>
        <w:instrText xml:space="preserve"> PAGEREF _Toc158713052 \h </w:instrText>
      </w:r>
      <w:r>
        <w:rPr>
          <w:noProof/>
        </w:rPr>
      </w:r>
      <w:r>
        <w:rPr>
          <w:noProof/>
        </w:rPr>
        <w:fldChar w:fldCharType="separate"/>
      </w:r>
      <w:r>
        <w:rPr>
          <w:noProof/>
        </w:rPr>
        <w:t>589</w:t>
      </w:r>
      <w:r>
        <w:rPr>
          <w:noProof/>
        </w:rPr>
        <w:fldChar w:fldCharType="end"/>
      </w:r>
    </w:p>
    <w:p w14:paraId="72CA24D1" w14:textId="38FA6B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10.2.79  References to Product Disclosure Statement: managed investment products</w:t>
      </w:r>
      <w:r>
        <w:rPr>
          <w:noProof/>
        </w:rPr>
        <w:tab/>
      </w:r>
      <w:r>
        <w:rPr>
          <w:noProof/>
        </w:rPr>
        <w:fldChar w:fldCharType="begin"/>
      </w:r>
      <w:r>
        <w:rPr>
          <w:noProof/>
        </w:rPr>
        <w:instrText xml:space="preserve"> PAGEREF _Toc158713053 \h </w:instrText>
      </w:r>
      <w:r>
        <w:rPr>
          <w:noProof/>
        </w:rPr>
      </w:r>
      <w:r>
        <w:rPr>
          <w:noProof/>
        </w:rPr>
        <w:fldChar w:fldCharType="separate"/>
      </w:r>
      <w:r>
        <w:rPr>
          <w:noProof/>
        </w:rPr>
        <w:t>590</w:t>
      </w:r>
      <w:r>
        <w:rPr>
          <w:noProof/>
        </w:rPr>
        <w:fldChar w:fldCharType="end"/>
      </w:r>
    </w:p>
    <w:p w14:paraId="4FF34A7B" w14:textId="009B81F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10.2.80  Lodgment of Product Disclosure Statement after lodgment of notice</w:t>
      </w:r>
      <w:r>
        <w:rPr>
          <w:noProof/>
        </w:rPr>
        <w:tab/>
      </w:r>
      <w:r>
        <w:rPr>
          <w:noProof/>
        </w:rPr>
        <w:fldChar w:fldCharType="begin"/>
      </w:r>
      <w:r>
        <w:rPr>
          <w:noProof/>
        </w:rPr>
        <w:instrText xml:space="preserve"> PAGEREF _Toc158713054 \h </w:instrText>
      </w:r>
      <w:r>
        <w:rPr>
          <w:noProof/>
        </w:rPr>
      </w:r>
      <w:r>
        <w:rPr>
          <w:noProof/>
        </w:rPr>
        <w:fldChar w:fldCharType="separate"/>
      </w:r>
      <w:r>
        <w:rPr>
          <w:noProof/>
        </w:rPr>
        <w:t>590</w:t>
      </w:r>
      <w:r>
        <w:rPr>
          <w:noProof/>
        </w:rPr>
        <w:fldChar w:fldCharType="end"/>
      </w:r>
    </w:p>
    <w:p w14:paraId="437D2188" w14:textId="64C996B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10.2.81  Ongoing disclosure</w:t>
      </w:r>
      <w:r>
        <w:rPr>
          <w:noProof/>
        </w:rPr>
        <w:tab/>
      </w:r>
      <w:r>
        <w:rPr>
          <w:noProof/>
        </w:rPr>
        <w:fldChar w:fldCharType="begin"/>
      </w:r>
      <w:r>
        <w:rPr>
          <w:noProof/>
        </w:rPr>
        <w:instrText xml:space="preserve"> PAGEREF _Toc158713055 \h </w:instrText>
      </w:r>
      <w:r>
        <w:rPr>
          <w:noProof/>
        </w:rPr>
      </w:r>
      <w:r>
        <w:rPr>
          <w:noProof/>
        </w:rPr>
        <w:fldChar w:fldCharType="separate"/>
      </w:r>
      <w:r>
        <w:rPr>
          <w:noProof/>
        </w:rPr>
        <w:t>590</w:t>
      </w:r>
      <w:r>
        <w:rPr>
          <w:noProof/>
        </w:rPr>
        <w:fldChar w:fldCharType="end"/>
      </w:r>
    </w:p>
    <w:p w14:paraId="327C37DF" w14:textId="6905C2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10.2.82  Money received for financial product before the product is issued: general</w:t>
      </w:r>
      <w:r>
        <w:rPr>
          <w:noProof/>
        </w:rPr>
        <w:tab/>
      </w:r>
      <w:r>
        <w:rPr>
          <w:noProof/>
        </w:rPr>
        <w:fldChar w:fldCharType="begin"/>
      </w:r>
      <w:r>
        <w:rPr>
          <w:noProof/>
        </w:rPr>
        <w:instrText xml:space="preserve"> PAGEREF _Toc158713056 \h </w:instrText>
      </w:r>
      <w:r>
        <w:rPr>
          <w:noProof/>
        </w:rPr>
      </w:r>
      <w:r>
        <w:rPr>
          <w:noProof/>
        </w:rPr>
        <w:fldChar w:fldCharType="separate"/>
      </w:r>
      <w:r>
        <w:rPr>
          <w:noProof/>
        </w:rPr>
        <w:t>590</w:t>
      </w:r>
      <w:r>
        <w:rPr>
          <w:noProof/>
        </w:rPr>
        <w:fldChar w:fldCharType="end"/>
      </w:r>
    </w:p>
    <w:p w14:paraId="62783B34" w14:textId="497E353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10.2.83  Money received for financial product before the product is issued: requirement before application of subsection 37(2) of </w:t>
      </w:r>
      <w:r w:rsidRPr="00FC743A">
        <w:rPr>
          <w:i/>
          <w:noProof/>
        </w:rPr>
        <w:t>Insurance (Agents and Brokers) Act 1984</w:t>
      </w:r>
      <w:r>
        <w:rPr>
          <w:noProof/>
        </w:rPr>
        <w:tab/>
      </w:r>
      <w:r>
        <w:rPr>
          <w:noProof/>
        </w:rPr>
        <w:fldChar w:fldCharType="begin"/>
      </w:r>
      <w:r>
        <w:rPr>
          <w:noProof/>
        </w:rPr>
        <w:instrText xml:space="preserve"> PAGEREF _Toc158713057 \h </w:instrText>
      </w:r>
      <w:r>
        <w:rPr>
          <w:noProof/>
        </w:rPr>
      </w:r>
      <w:r>
        <w:rPr>
          <w:noProof/>
        </w:rPr>
        <w:fldChar w:fldCharType="separate"/>
      </w:r>
      <w:r>
        <w:rPr>
          <w:noProof/>
        </w:rPr>
        <w:t>590</w:t>
      </w:r>
      <w:r>
        <w:rPr>
          <w:noProof/>
        </w:rPr>
        <w:fldChar w:fldCharType="end"/>
      </w:r>
    </w:p>
    <w:p w14:paraId="398427E3" w14:textId="3DB1DEA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10.2.84  Confirmation of transactions</w:t>
      </w:r>
      <w:r>
        <w:rPr>
          <w:noProof/>
        </w:rPr>
        <w:tab/>
      </w:r>
      <w:r>
        <w:rPr>
          <w:noProof/>
        </w:rPr>
        <w:fldChar w:fldCharType="begin"/>
      </w:r>
      <w:r>
        <w:rPr>
          <w:noProof/>
        </w:rPr>
        <w:instrText xml:space="preserve"> PAGEREF _Toc158713058 \h </w:instrText>
      </w:r>
      <w:r>
        <w:rPr>
          <w:noProof/>
        </w:rPr>
      </w:r>
      <w:r>
        <w:rPr>
          <w:noProof/>
        </w:rPr>
        <w:fldChar w:fldCharType="separate"/>
      </w:r>
      <w:r>
        <w:rPr>
          <w:noProof/>
        </w:rPr>
        <w:t>590</w:t>
      </w:r>
      <w:r>
        <w:rPr>
          <w:noProof/>
        </w:rPr>
        <w:fldChar w:fldCharType="end"/>
      </w:r>
    </w:p>
    <w:p w14:paraId="1DFAFBD2" w14:textId="0FCFD39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10.2.85  Dispute resolution requirements: financial products</w:t>
      </w:r>
      <w:r>
        <w:rPr>
          <w:noProof/>
        </w:rPr>
        <w:tab/>
      </w:r>
      <w:r>
        <w:rPr>
          <w:noProof/>
        </w:rPr>
        <w:fldChar w:fldCharType="begin"/>
      </w:r>
      <w:r>
        <w:rPr>
          <w:noProof/>
        </w:rPr>
        <w:instrText xml:space="preserve"> PAGEREF _Toc158713059 \h </w:instrText>
      </w:r>
      <w:r>
        <w:rPr>
          <w:noProof/>
        </w:rPr>
      </w:r>
      <w:r>
        <w:rPr>
          <w:noProof/>
        </w:rPr>
        <w:fldChar w:fldCharType="separate"/>
      </w:r>
      <w:r>
        <w:rPr>
          <w:noProof/>
        </w:rPr>
        <w:t>591</w:t>
      </w:r>
      <w:r>
        <w:rPr>
          <w:noProof/>
        </w:rPr>
        <w:fldChar w:fldCharType="end"/>
      </w:r>
    </w:p>
    <w:p w14:paraId="409B5E49" w14:textId="40FEC9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10.2.86  Dispute resolution requirements: regulated principals</w:t>
      </w:r>
      <w:r>
        <w:rPr>
          <w:noProof/>
        </w:rPr>
        <w:tab/>
      </w:r>
      <w:r>
        <w:rPr>
          <w:noProof/>
        </w:rPr>
        <w:fldChar w:fldCharType="begin"/>
      </w:r>
      <w:r>
        <w:rPr>
          <w:noProof/>
        </w:rPr>
        <w:instrText xml:space="preserve"> PAGEREF _Toc158713060 \h </w:instrText>
      </w:r>
      <w:r>
        <w:rPr>
          <w:noProof/>
        </w:rPr>
      </w:r>
      <w:r>
        <w:rPr>
          <w:noProof/>
        </w:rPr>
        <w:fldChar w:fldCharType="separate"/>
      </w:r>
      <w:r>
        <w:rPr>
          <w:noProof/>
        </w:rPr>
        <w:t>591</w:t>
      </w:r>
      <w:r>
        <w:rPr>
          <w:noProof/>
        </w:rPr>
        <w:fldChar w:fldCharType="end"/>
      </w:r>
    </w:p>
    <w:p w14:paraId="237CFCCC" w14:textId="0481ED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10.2.87A  Meaning of </w:t>
      </w:r>
      <w:r w:rsidRPr="00FC743A">
        <w:rPr>
          <w:i/>
          <w:noProof/>
        </w:rPr>
        <w:t>financial product advice</w:t>
      </w:r>
      <w:r>
        <w:rPr>
          <w:noProof/>
        </w:rPr>
        <w:t>: exempt document or statement</w:t>
      </w:r>
      <w:r>
        <w:rPr>
          <w:noProof/>
        </w:rPr>
        <w:tab/>
      </w:r>
      <w:r>
        <w:rPr>
          <w:noProof/>
        </w:rPr>
        <w:fldChar w:fldCharType="begin"/>
      </w:r>
      <w:r>
        <w:rPr>
          <w:noProof/>
        </w:rPr>
        <w:instrText xml:space="preserve"> PAGEREF _Toc158713061 \h </w:instrText>
      </w:r>
      <w:r>
        <w:rPr>
          <w:noProof/>
        </w:rPr>
      </w:r>
      <w:r>
        <w:rPr>
          <w:noProof/>
        </w:rPr>
        <w:fldChar w:fldCharType="separate"/>
      </w:r>
      <w:r>
        <w:rPr>
          <w:noProof/>
        </w:rPr>
        <w:t>591</w:t>
      </w:r>
      <w:r>
        <w:rPr>
          <w:noProof/>
        </w:rPr>
        <w:fldChar w:fldCharType="end"/>
      </w:r>
    </w:p>
    <w:p w14:paraId="0CFAF5A1" w14:textId="6573657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17</w:t>
      </w:r>
      <w:r w:rsidRPr="00FC743A">
        <w:rPr>
          <w:noProof/>
          <w:color w:val="000000"/>
        </w:rPr>
        <w:t>—</w:t>
      </w:r>
      <w:r>
        <w:rPr>
          <w:noProof/>
        </w:rPr>
        <w:t>Arrangements relating to enforcement of matters by ASIC</w:t>
      </w:r>
      <w:r>
        <w:rPr>
          <w:noProof/>
        </w:rPr>
        <w:tab/>
      </w:r>
      <w:r>
        <w:rPr>
          <w:noProof/>
        </w:rPr>
        <w:fldChar w:fldCharType="begin"/>
      </w:r>
      <w:r>
        <w:rPr>
          <w:noProof/>
        </w:rPr>
        <w:instrText xml:space="preserve"> PAGEREF _Toc158713062 \h </w:instrText>
      </w:r>
      <w:r>
        <w:rPr>
          <w:noProof/>
        </w:rPr>
      </w:r>
      <w:r>
        <w:rPr>
          <w:noProof/>
        </w:rPr>
        <w:fldChar w:fldCharType="separate"/>
      </w:r>
      <w:r>
        <w:rPr>
          <w:noProof/>
        </w:rPr>
        <w:t>592</w:t>
      </w:r>
      <w:r>
        <w:rPr>
          <w:noProof/>
        </w:rPr>
        <w:fldChar w:fldCharType="end"/>
      </w:r>
    </w:p>
    <w:p w14:paraId="12ADDAF6" w14:textId="091C33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10.2.88  Definition</w:t>
      </w:r>
      <w:r>
        <w:rPr>
          <w:noProof/>
        </w:rPr>
        <w:tab/>
      </w:r>
      <w:r>
        <w:rPr>
          <w:noProof/>
        </w:rPr>
        <w:fldChar w:fldCharType="begin"/>
      </w:r>
      <w:r>
        <w:rPr>
          <w:noProof/>
        </w:rPr>
        <w:instrText xml:space="preserve"> PAGEREF _Toc158713063 \h </w:instrText>
      </w:r>
      <w:r>
        <w:rPr>
          <w:noProof/>
        </w:rPr>
      </w:r>
      <w:r>
        <w:rPr>
          <w:noProof/>
        </w:rPr>
        <w:fldChar w:fldCharType="separate"/>
      </w:r>
      <w:r>
        <w:rPr>
          <w:noProof/>
        </w:rPr>
        <w:t>592</w:t>
      </w:r>
      <w:r>
        <w:rPr>
          <w:noProof/>
        </w:rPr>
        <w:fldChar w:fldCharType="end"/>
      </w:r>
    </w:p>
    <w:p w14:paraId="32B5CF0F" w14:textId="4D4AB0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10.2.89  Financial services law</w:t>
      </w:r>
      <w:r>
        <w:rPr>
          <w:noProof/>
        </w:rPr>
        <w:tab/>
      </w:r>
      <w:r>
        <w:rPr>
          <w:noProof/>
        </w:rPr>
        <w:fldChar w:fldCharType="begin"/>
      </w:r>
      <w:r>
        <w:rPr>
          <w:noProof/>
        </w:rPr>
        <w:instrText xml:space="preserve"> PAGEREF _Toc158713064 \h </w:instrText>
      </w:r>
      <w:r>
        <w:rPr>
          <w:noProof/>
        </w:rPr>
      </w:r>
      <w:r>
        <w:rPr>
          <w:noProof/>
        </w:rPr>
        <w:fldChar w:fldCharType="separate"/>
      </w:r>
      <w:r>
        <w:rPr>
          <w:noProof/>
        </w:rPr>
        <w:t>592</w:t>
      </w:r>
      <w:r>
        <w:rPr>
          <w:noProof/>
        </w:rPr>
        <w:fldChar w:fldCharType="end"/>
      </w:r>
    </w:p>
    <w:p w14:paraId="03D53511" w14:textId="40770E7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10.2.90  ASIC may have regard to prior conduct and events</w:t>
      </w:r>
      <w:r>
        <w:rPr>
          <w:noProof/>
        </w:rPr>
        <w:tab/>
      </w:r>
      <w:r>
        <w:rPr>
          <w:noProof/>
        </w:rPr>
        <w:fldChar w:fldCharType="begin"/>
      </w:r>
      <w:r>
        <w:rPr>
          <w:noProof/>
        </w:rPr>
        <w:instrText xml:space="preserve"> PAGEREF _Toc158713065 \h </w:instrText>
      </w:r>
      <w:r>
        <w:rPr>
          <w:noProof/>
        </w:rPr>
      </w:r>
      <w:r>
        <w:rPr>
          <w:noProof/>
        </w:rPr>
        <w:fldChar w:fldCharType="separate"/>
      </w:r>
      <w:r>
        <w:rPr>
          <w:noProof/>
        </w:rPr>
        <w:t>592</w:t>
      </w:r>
      <w:r>
        <w:rPr>
          <w:noProof/>
        </w:rPr>
        <w:fldChar w:fldCharType="end"/>
      </w:r>
    </w:p>
    <w:p w14:paraId="25616CA6" w14:textId="44DE9DC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10.2.91  Power to act in relation to relevant old legislation</w:t>
      </w:r>
      <w:r>
        <w:rPr>
          <w:noProof/>
        </w:rPr>
        <w:tab/>
      </w:r>
      <w:r>
        <w:rPr>
          <w:noProof/>
        </w:rPr>
        <w:fldChar w:fldCharType="begin"/>
      </w:r>
      <w:r>
        <w:rPr>
          <w:noProof/>
        </w:rPr>
        <w:instrText xml:space="preserve"> PAGEREF _Toc158713066 \h </w:instrText>
      </w:r>
      <w:r>
        <w:rPr>
          <w:noProof/>
        </w:rPr>
      </w:r>
      <w:r>
        <w:rPr>
          <w:noProof/>
        </w:rPr>
        <w:fldChar w:fldCharType="separate"/>
      </w:r>
      <w:r>
        <w:rPr>
          <w:noProof/>
        </w:rPr>
        <w:t>592</w:t>
      </w:r>
      <w:r>
        <w:rPr>
          <w:noProof/>
        </w:rPr>
        <w:fldChar w:fldCharType="end"/>
      </w:r>
    </w:p>
    <w:p w14:paraId="2591DADF" w14:textId="3CA3B34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18</w:t>
      </w:r>
      <w:r w:rsidRPr="00FC743A">
        <w:rPr>
          <w:noProof/>
          <w:color w:val="000000"/>
        </w:rPr>
        <w:t>—</w:t>
      </w:r>
      <w:r>
        <w:rPr>
          <w:noProof/>
        </w:rPr>
        <w:t>Specific kinds of documents in existence before FSR commencement</w:t>
      </w:r>
      <w:r>
        <w:rPr>
          <w:noProof/>
        </w:rPr>
        <w:tab/>
      </w:r>
      <w:r>
        <w:rPr>
          <w:noProof/>
        </w:rPr>
        <w:fldChar w:fldCharType="begin"/>
      </w:r>
      <w:r>
        <w:rPr>
          <w:noProof/>
        </w:rPr>
        <w:instrText xml:space="preserve"> PAGEREF _Toc158713067 \h </w:instrText>
      </w:r>
      <w:r>
        <w:rPr>
          <w:noProof/>
        </w:rPr>
      </w:r>
      <w:r>
        <w:rPr>
          <w:noProof/>
        </w:rPr>
        <w:fldChar w:fldCharType="separate"/>
      </w:r>
      <w:r>
        <w:rPr>
          <w:noProof/>
        </w:rPr>
        <w:t>594</w:t>
      </w:r>
      <w:r>
        <w:rPr>
          <w:noProof/>
        </w:rPr>
        <w:fldChar w:fldCharType="end"/>
      </w:r>
    </w:p>
    <w:p w14:paraId="67866A30" w14:textId="0082AD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10.2.92  Banning orders made before FSR commencement</w:t>
      </w:r>
      <w:r>
        <w:rPr>
          <w:noProof/>
        </w:rPr>
        <w:tab/>
      </w:r>
      <w:r>
        <w:rPr>
          <w:noProof/>
        </w:rPr>
        <w:fldChar w:fldCharType="begin"/>
      </w:r>
      <w:r>
        <w:rPr>
          <w:noProof/>
        </w:rPr>
        <w:instrText xml:space="preserve"> PAGEREF _Toc158713068 \h </w:instrText>
      </w:r>
      <w:r>
        <w:rPr>
          <w:noProof/>
        </w:rPr>
      </w:r>
      <w:r>
        <w:rPr>
          <w:noProof/>
        </w:rPr>
        <w:fldChar w:fldCharType="separate"/>
      </w:r>
      <w:r>
        <w:rPr>
          <w:noProof/>
        </w:rPr>
        <w:t>594</w:t>
      </w:r>
      <w:r>
        <w:rPr>
          <w:noProof/>
        </w:rPr>
        <w:fldChar w:fldCharType="end"/>
      </w:r>
    </w:p>
    <w:p w14:paraId="2AA490BA" w14:textId="0EB3523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10.2.93  Banning orders made under relevant old legislation after FSR commencement</w:t>
      </w:r>
      <w:r>
        <w:rPr>
          <w:noProof/>
        </w:rPr>
        <w:tab/>
      </w:r>
      <w:r>
        <w:rPr>
          <w:noProof/>
        </w:rPr>
        <w:fldChar w:fldCharType="begin"/>
      </w:r>
      <w:r>
        <w:rPr>
          <w:noProof/>
        </w:rPr>
        <w:instrText xml:space="preserve"> PAGEREF _Toc158713069 \h </w:instrText>
      </w:r>
      <w:r>
        <w:rPr>
          <w:noProof/>
        </w:rPr>
      </w:r>
      <w:r>
        <w:rPr>
          <w:noProof/>
        </w:rPr>
        <w:fldChar w:fldCharType="separate"/>
      </w:r>
      <w:r>
        <w:rPr>
          <w:noProof/>
        </w:rPr>
        <w:t>594</w:t>
      </w:r>
      <w:r>
        <w:rPr>
          <w:noProof/>
        </w:rPr>
        <w:fldChar w:fldCharType="end"/>
      </w:r>
    </w:p>
    <w:p w14:paraId="0650E885" w14:textId="4AE32DA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10.2.94  Banning orders made under the Act after FSR commencement</w:t>
      </w:r>
      <w:r>
        <w:rPr>
          <w:noProof/>
        </w:rPr>
        <w:tab/>
      </w:r>
      <w:r>
        <w:rPr>
          <w:noProof/>
        </w:rPr>
        <w:fldChar w:fldCharType="begin"/>
      </w:r>
      <w:r>
        <w:rPr>
          <w:noProof/>
        </w:rPr>
        <w:instrText xml:space="preserve"> PAGEREF _Toc158713070 \h </w:instrText>
      </w:r>
      <w:r>
        <w:rPr>
          <w:noProof/>
        </w:rPr>
      </w:r>
      <w:r>
        <w:rPr>
          <w:noProof/>
        </w:rPr>
        <w:fldChar w:fldCharType="separate"/>
      </w:r>
      <w:r>
        <w:rPr>
          <w:noProof/>
        </w:rPr>
        <w:t>594</w:t>
      </w:r>
      <w:r>
        <w:rPr>
          <w:noProof/>
        </w:rPr>
        <w:fldChar w:fldCharType="end"/>
      </w:r>
    </w:p>
    <w:p w14:paraId="68F4EB97" w14:textId="7888B50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10.2.94A  Prohibitions under paragraphs 827(1)(d) and 1192(1)(d) of the old Corporations Act made before FSR commencement</w:t>
      </w:r>
      <w:r>
        <w:rPr>
          <w:noProof/>
        </w:rPr>
        <w:tab/>
      </w:r>
      <w:r>
        <w:rPr>
          <w:noProof/>
        </w:rPr>
        <w:fldChar w:fldCharType="begin"/>
      </w:r>
      <w:r>
        <w:rPr>
          <w:noProof/>
        </w:rPr>
        <w:instrText xml:space="preserve"> PAGEREF _Toc158713071 \h </w:instrText>
      </w:r>
      <w:r>
        <w:rPr>
          <w:noProof/>
        </w:rPr>
      </w:r>
      <w:r>
        <w:rPr>
          <w:noProof/>
        </w:rPr>
        <w:fldChar w:fldCharType="separate"/>
      </w:r>
      <w:r>
        <w:rPr>
          <w:noProof/>
        </w:rPr>
        <w:t>595</w:t>
      </w:r>
      <w:r>
        <w:rPr>
          <w:noProof/>
        </w:rPr>
        <w:fldChar w:fldCharType="end"/>
      </w:r>
    </w:p>
    <w:p w14:paraId="16FEDF51" w14:textId="430A70F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10.2.94B  Prohibitions under paragraphs 827(1)(d) and 1192(1)(d) of the old Corporations Act made after FSR commencement</w:t>
      </w:r>
      <w:r>
        <w:rPr>
          <w:noProof/>
        </w:rPr>
        <w:tab/>
      </w:r>
      <w:r>
        <w:rPr>
          <w:noProof/>
        </w:rPr>
        <w:fldChar w:fldCharType="begin"/>
      </w:r>
      <w:r>
        <w:rPr>
          <w:noProof/>
        </w:rPr>
        <w:instrText xml:space="preserve"> PAGEREF _Toc158713072 \h </w:instrText>
      </w:r>
      <w:r>
        <w:rPr>
          <w:noProof/>
        </w:rPr>
      </w:r>
      <w:r>
        <w:rPr>
          <w:noProof/>
        </w:rPr>
        <w:fldChar w:fldCharType="separate"/>
      </w:r>
      <w:r>
        <w:rPr>
          <w:noProof/>
        </w:rPr>
        <w:t>595</w:t>
      </w:r>
      <w:r>
        <w:rPr>
          <w:noProof/>
        </w:rPr>
        <w:fldChar w:fldCharType="end"/>
      </w:r>
    </w:p>
    <w:p w14:paraId="4AC9E9A3" w14:textId="7269A19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10.2.95  Undertakings</w:t>
      </w:r>
      <w:r>
        <w:rPr>
          <w:noProof/>
        </w:rPr>
        <w:tab/>
      </w:r>
      <w:r>
        <w:rPr>
          <w:noProof/>
        </w:rPr>
        <w:fldChar w:fldCharType="begin"/>
      </w:r>
      <w:r>
        <w:rPr>
          <w:noProof/>
        </w:rPr>
        <w:instrText xml:space="preserve"> PAGEREF _Toc158713073 \h </w:instrText>
      </w:r>
      <w:r>
        <w:rPr>
          <w:noProof/>
        </w:rPr>
      </w:r>
      <w:r>
        <w:rPr>
          <w:noProof/>
        </w:rPr>
        <w:fldChar w:fldCharType="separate"/>
      </w:r>
      <w:r>
        <w:rPr>
          <w:noProof/>
        </w:rPr>
        <w:t>595</w:t>
      </w:r>
      <w:r>
        <w:rPr>
          <w:noProof/>
        </w:rPr>
        <w:fldChar w:fldCharType="end"/>
      </w:r>
    </w:p>
    <w:p w14:paraId="3F14E96F" w14:textId="764C38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10.2.96  Registers in existence before FSR commencement</w:t>
      </w:r>
      <w:r>
        <w:rPr>
          <w:noProof/>
        </w:rPr>
        <w:tab/>
      </w:r>
      <w:r>
        <w:rPr>
          <w:noProof/>
        </w:rPr>
        <w:fldChar w:fldCharType="begin"/>
      </w:r>
      <w:r>
        <w:rPr>
          <w:noProof/>
        </w:rPr>
        <w:instrText xml:space="preserve"> PAGEREF _Toc158713074 \h </w:instrText>
      </w:r>
      <w:r>
        <w:rPr>
          <w:noProof/>
        </w:rPr>
      </w:r>
      <w:r>
        <w:rPr>
          <w:noProof/>
        </w:rPr>
        <w:fldChar w:fldCharType="separate"/>
      </w:r>
      <w:r>
        <w:rPr>
          <w:noProof/>
        </w:rPr>
        <w:t>596</w:t>
      </w:r>
      <w:r>
        <w:rPr>
          <w:noProof/>
        </w:rPr>
        <w:fldChar w:fldCharType="end"/>
      </w:r>
    </w:p>
    <w:p w14:paraId="204C0B49" w14:textId="0D1B782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10.2.97  Registers created after FSR commencement</w:t>
      </w:r>
      <w:r>
        <w:rPr>
          <w:noProof/>
        </w:rPr>
        <w:tab/>
      </w:r>
      <w:r>
        <w:rPr>
          <w:noProof/>
        </w:rPr>
        <w:fldChar w:fldCharType="begin"/>
      </w:r>
      <w:r>
        <w:rPr>
          <w:noProof/>
        </w:rPr>
        <w:instrText xml:space="preserve"> PAGEREF _Toc158713075 \h </w:instrText>
      </w:r>
      <w:r>
        <w:rPr>
          <w:noProof/>
        </w:rPr>
      </w:r>
      <w:r>
        <w:rPr>
          <w:noProof/>
        </w:rPr>
        <w:fldChar w:fldCharType="separate"/>
      </w:r>
      <w:r>
        <w:rPr>
          <w:noProof/>
        </w:rPr>
        <w:t>596</w:t>
      </w:r>
      <w:r>
        <w:rPr>
          <w:noProof/>
        </w:rPr>
        <w:fldChar w:fldCharType="end"/>
      </w:r>
    </w:p>
    <w:p w14:paraId="2059BFB2" w14:textId="6C59F36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10.2.98  Registers, documents and things kept before FSR commencement</w:t>
      </w:r>
      <w:r>
        <w:rPr>
          <w:noProof/>
        </w:rPr>
        <w:tab/>
      </w:r>
      <w:r>
        <w:rPr>
          <w:noProof/>
        </w:rPr>
        <w:fldChar w:fldCharType="begin"/>
      </w:r>
      <w:r>
        <w:rPr>
          <w:noProof/>
        </w:rPr>
        <w:instrText xml:space="preserve"> PAGEREF _Toc158713076 \h </w:instrText>
      </w:r>
      <w:r>
        <w:rPr>
          <w:noProof/>
        </w:rPr>
      </w:r>
      <w:r>
        <w:rPr>
          <w:noProof/>
        </w:rPr>
        <w:fldChar w:fldCharType="separate"/>
      </w:r>
      <w:r>
        <w:rPr>
          <w:noProof/>
        </w:rPr>
        <w:t>597</w:t>
      </w:r>
      <w:r>
        <w:rPr>
          <w:noProof/>
        </w:rPr>
        <w:fldChar w:fldCharType="end"/>
      </w:r>
    </w:p>
    <w:p w14:paraId="2E1BD0C7" w14:textId="245A82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10.2.98A  Licenses, registration, etc in force before FSR commencement</w:t>
      </w:r>
      <w:r>
        <w:rPr>
          <w:noProof/>
        </w:rPr>
        <w:tab/>
      </w:r>
      <w:r>
        <w:rPr>
          <w:noProof/>
        </w:rPr>
        <w:fldChar w:fldCharType="begin"/>
      </w:r>
      <w:r>
        <w:rPr>
          <w:noProof/>
        </w:rPr>
        <w:instrText xml:space="preserve"> PAGEREF _Toc158713077 \h </w:instrText>
      </w:r>
      <w:r>
        <w:rPr>
          <w:noProof/>
        </w:rPr>
      </w:r>
      <w:r>
        <w:rPr>
          <w:noProof/>
        </w:rPr>
        <w:fldChar w:fldCharType="separate"/>
      </w:r>
      <w:r>
        <w:rPr>
          <w:noProof/>
        </w:rPr>
        <w:t>597</w:t>
      </w:r>
      <w:r>
        <w:rPr>
          <w:noProof/>
        </w:rPr>
        <w:fldChar w:fldCharType="end"/>
      </w:r>
    </w:p>
    <w:p w14:paraId="7C253636" w14:textId="7252406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19</w:t>
      </w:r>
      <w:r w:rsidRPr="00FC743A">
        <w:rPr>
          <w:noProof/>
          <w:color w:val="000000"/>
        </w:rPr>
        <w:t>—</w:t>
      </w:r>
      <w:r>
        <w:rPr>
          <w:noProof/>
        </w:rPr>
        <w:t>Extension of limitation periods</w:t>
      </w:r>
      <w:r>
        <w:rPr>
          <w:noProof/>
        </w:rPr>
        <w:tab/>
      </w:r>
      <w:r>
        <w:rPr>
          <w:noProof/>
        </w:rPr>
        <w:fldChar w:fldCharType="begin"/>
      </w:r>
      <w:r>
        <w:rPr>
          <w:noProof/>
        </w:rPr>
        <w:instrText xml:space="preserve"> PAGEREF _Toc158713078 \h </w:instrText>
      </w:r>
      <w:r>
        <w:rPr>
          <w:noProof/>
        </w:rPr>
      </w:r>
      <w:r>
        <w:rPr>
          <w:noProof/>
        </w:rPr>
        <w:fldChar w:fldCharType="separate"/>
      </w:r>
      <w:r>
        <w:rPr>
          <w:noProof/>
        </w:rPr>
        <w:t>598</w:t>
      </w:r>
      <w:r>
        <w:rPr>
          <w:noProof/>
        </w:rPr>
        <w:fldChar w:fldCharType="end"/>
      </w:r>
    </w:p>
    <w:p w14:paraId="3A9DA03E" w14:textId="69BB1BA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10.2.99  Application of items 111 and 121 of the </w:t>
      </w:r>
      <w:r w:rsidRPr="00FC743A">
        <w:rPr>
          <w:i/>
          <w:noProof/>
        </w:rPr>
        <w:t xml:space="preserve">Financial Services Reform (Consequential Provisions) Act 2001 </w:t>
      </w:r>
      <w:r>
        <w:rPr>
          <w:noProof/>
        </w:rPr>
        <w:t xml:space="preserve">to amendments of the </w:t>
      </w:r>
      <w:r w:rsidRPr="00FC743A">
        <w:rPr>
          <w:i/>
          <w:noProof/>
        </w:rPr>
        <w:t>Australian Securities and Investments Commission Act 2001</w:t>
      </w:r>
      <w:r>
        <w:rPr>
          <w:noProof/>
        </w:rPr>
        <w:tab/>
      </w:r>
      <w:r>
        <w:rPr>
          <w:noProof/>
        </w:rPr>
        <w:fldChar w:fldCharType="begin"/>
      </w:r>
      <w:r>
        <w:rPr>
          <w:noProof/>
        </w:rPr>
        <w:instrText xml:space="preserve"> PAGEREF _Toc158713079 \h </w:instrText>
      </w:r>
      <w:r>
        <w:rPr>
          <w:noProof/>
        </w:rPr>
      </w:r>
      <w:r>
        <w:rPr>
          <w:noProof/>
        </w:rPr>
        <w:fldChar w:fldCharType="separate"/>
      </w:r>
      <w:r>
        <w:rPr>
          <w:noProof/>
        </w:rPr>
        <w:t>598</w:t>
      </w:r>
      <w:r>
        <w:rPr>
          <w:noProof/>
        </w:rPr>
        <w:fldChar w:fldCharType="end"/>
      </w:r>
    </w:p>
    <w:p w14:paraId="4C193048" w14:textId="5BFC303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20</w:t>
      </w:r>
      <w:r w:rsidRPr="00FC743A">
        <w:rPr>
          <w:noProof/>
          <w:color w:val="000000"/>
        </w:rPr>
        <w:t>—</w:t>
      </w:r>
      <w:r>
        <w:rPr>
          <w:noProof/>
        </w:rPr>
        <w:t>Rules for dealing with liability during transition period</w:t>
      </w:r>
      <w:r>
        <w:rPr>
          <w:noProof/>
        </w:rPr>
        <w:tab/>
      </w:r>
      <w:r>
        <w:rPr>
          <w:noProof/>
        </w:rPr>
        <w:fldChar w:fldCharType="begin"/>
      </w:r>
      <w:r>
        <w:rPr>
          <w:noProof/>
        </w:rPr>
        <w:instrText xml:space="preserve"> PAGEREF _Toc158713080 \h </w:instrText>
      </w:r>
      <w:r>
        <w:rPr>
          <w:noProof/>
        </w:rPr>
      </w:r>
      <w:r>
        <w:rPr>
          <w:noProof/>
        </w:rPr>
        <w:fldChar w:fldCharType="separate"/>
      </w:r>
      <w:r>
        <w:rPr>
          <w:noProof/>
        </w:rPr>
        <w:t>599</w:t>
      </w:r>
      <w:r>
        <w:rPr>
          <w:noProof/>
        </w:rPr>
        <w:fldChar w:fldCharType="end"/>
      </w:r>
    </w:p>
    <w:p w14:paraId="7D5E181D" w14:textId="3D15C29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10.2.100  Application of Division 20</w:t>
      </w:r>
      <w:r>
        <w:rPr>
          <w:noProof/>
        </w:rPr>
        <w:tab/>
      </w:r>
      <w:r>
        <w:rPr>
          <w:noProof/>
        </w:rPr>
        <w:fldChar w:fldCharType="begin"/>
      </w:r>
      <w:r>
        <w:rPr>
          <w:noProof/>
        </w:rPr>
        <w:instrText xml:space="preserve"> PAGEREF _Toc158713081 \h </w:instrText>
      </w:r>
      <w:r>
        <w:rPr>
          <w:noProof/>
        </w:rPr>
      </w:r>
      <w:r>
        <w:rPr>
          <w:noProof/>
        </w:rPr>
        <w:fldChar w:fldCharType="separate"/>
      </w:r>
      <w:r>
        <w:rPr>
          <w:noProof/>
        </w:rPr>
        <w:t>599</w:t>
      </w:r>
      <w:r>
        <w:rPr>
          <w:noProof/>
        </w:rPr>
        <w:fldChar w:fldCharType="end"/>
      </w:r>
    </w:p>
    <w:p w14:paraId="1DD00833" w14:textId="000E683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10.2.101  Definitions for Division 20</w:t>
      </w:r>
      <w:r>
        <w:rPr>
          <w:noProof/>
        </w:rPr>
        <w:tab/>
      </w:r>
      <w:r>
        <w:rPr>
          <w:noProof/>
        </w:rPr>
        <w:fldChar w:fldCharType="begin"/>
      </w:r>
      <w:r>
        <w:rPr>
          <w:noProof/>
        </w:rPr>
        <w:instrText xml:space="preserve"> PAGEREF _Toc158713082 \h </w:instrText>
      </w:r>
      <w:r>
        <w:rPr>
          <w:noProof/>
        </w:rPr>
      </w:r>
      <w:r>
        <w:rPr>
          <w:noProof/>
        </w:rPr>
        <w:fldChar w:fldCharType="separate"/>
      </w:r>
      <w:r>
        <w:rPr>
          <w:noProof/>
        </w:rPr>
        <w:t>599</w:t>
      </w:r>
      <w:r>
        <w:rPr>
          <w:noProof/>
        </w:rPr>
        <w:fldChar w:fldCharType="end"/>
      </w:r>
    </w:p>
    <w:p w14:paraId="50D74326" w14:textId="5F3912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10.2.102  Liability of responsible person: general rules</w:t>
      </w:r>
      <w:r>
        <w:rPr>
          <w:noProof/>
        </w:rPr>
        <w:tab/>
      </w:r>
      <w:r>
        <w:rPr>
          <w:noProof/>
        </w:rPr>
        <w:fldChar w:fldCharType="begin"/>
      </w:r>
      <w:r>
        <w:rPr>
          <w:noProof/>
        </w:rPr>
        <w:instrText xml:space="preserve"> PAGEREF _Toc158713083 \h </w:instrText>
      </w:r>
      <w:r>
        <w:rPr>
          <w:noProof/>
        </w:rPr>
      </w:r>
      <w:r>
        <w:rPr>
          <w:noProof/>
        </w:rPr>
        <w:fldChar w:fldCharType="separate"/>
      </w:r>
      <w:r>
        <w:rPr>
          <w:noProof/>
        </w:rPr>
        <w:t>599</w:t>
      </w:r>
      <w:r>
        <w:rPr>
          <w:noProof/>
        </w:rPr>
        <w:fldChar w:fldCharType="end"/>
      </w:r>
    </w:p>
    <w:p w14:paraId="6D37F29A" w14:textId="5C2905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10.2.103  Conduct by a person who operates as representative and principal</w:t>
      </w:r>
      <w:r>
        <w:rPr>
          <w:noProof/>
        </w:rPr>
        <w:tab/>
      </w:r>
      <w:r>
        <w:rPr>
          <w:noProof/>
        </w:rPr>
        <w:fldChar w:fldCharType="begin"/>
      </w:r>
      <w:r>
        <w:rPr>
          <w:noProof/>
        </w:rPr>
        <w:instrText xml:space="preserve"> PAGEREF _Toc158713084 \h </w:instrText>
      </w:r>
      <w:r>
        <w:rPr>
          <w:noProof/>
        </w:rPr>
      </w:r>
      <w:r>
        <w:rPr>
          <w:noProof/>
        </w:rPr>
        <w:fldChar w:fldCharType="separate"/>
      </w:r>
      <w:r>
        <w:rPr>
          <w:noProof/>
        </w:rPr>
        <w:t>600</w:t>
      </w:r>
      <w:r>
        <w:rPr>
          <w:noProof/>
        </w:rPr>
        <w:fldChar w:fldCharType="end"/>
      </w:r>
    </w:p>
    <w:p w14:paraId="1662EA12" w14:textId="108627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10.2.104  Operation of regulations 10.2.102 and 10.2.103</w:t>
      </w:r>
      <w:r>
        <w:rPr>
          <w:noProof/>
        </w:rPr>
        <w:tab/>
      </w:r>
      <w:r>
        <w:rPr>
          <w:noProof/>
        </w:rPr>
        <w:fldChar w:fldCharType="begin"/>
      </w:r>
      <w:r>
        <w:rPr>
          <w:noProof/>
        </w:rPr>
        <w:instrText xml:space="preserve"> PAGEREF _Toc158713085 \h </w:instrText>
      </w:r>
      <w:r>
        <w:rPr>
          <w:noProof/>
        </w:rPr>
      </w:r>
      <w:r>
        <w:rPr>
          <w:noProof/>
        </w:rPr>
        <w:fldChar w:fldCharType="separate"/>
      </w:r>
      <w:r>
        <w:rPr>
          <w:noProof/>
        </w:rPr>
        <w:t>601</w:t>
      </w:r>
      <w:r>
        <w:rPr>
          <w:noProof/>
        </w:rPr>
        <w:fldChar w:fldCharType="end"/>
      </w:r>
    </w:p>
    <w:p w14:paraId="6BBA6C35" w14:textId="293EDE1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21</w:t>
      </w:r>
      <w:r w:rsidRPr="00FC743A">
        <w:rPr>
          <w:noProof/>
          <w:color w:val="000000"/>
        </w:rPr>
        <w:t>—</w:t>
      </w:r>
      <w:r>
        <w:rPr>
          <w:noProof/>
        </w:rPr>
        <w:t>Title and transfer</w:t>
      </w:r>
      <w:r>
        <w:rPr>
          <w:noProof/>
        </w:rPr>
        <w:tab/>
      </w:r>
      <w:r>
        <w:rPr>
          <w:noProof/>
        </w:rPr>
        <w:fldChar w:fldCharType="begin"/>
      </w:r>
      <w:r>
        <w:rPr>
          <w:noProof/>
        </w:rPr>
        <w:instrText xml:space="preserve"> PAGEREF _Toc158713086 \h </w:instrText>
      </w:r>
      <w:r>
        <w:rPr>
          <w:noProof/>
        </w:rPr>
      </w:r>
      <w:r>
        <w:rPr>
          <w:noProof/>
        </w:rPr>
        <w:fldChar w:fldCharType="separate"/>
      </w:r>
      <w:r>
        <w:rPr>
          <w:noProof/>
        </w:rPr>
        <w:t>602</w:t>
      </w:r>
      <w:r>
        <w:rPr>
          <w:noProof/>
        </w:rPr>
        <w:fldChar w:fldCharType="end"/>
      </w:r>
    </w:p>
    <w:p w14:paraId="69D62BE1" w14:textId="086A3B1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10.2.105  Loss or destruction of certificates</w:t>
      </w:r>
      <w:r>
        <w:rPr>
          <w:noProof/>
        </w:rPr>
        <w:tab/>
      </w:r>
      <w:r>
        <w:rPr>
          <w:noProof/>
        </w:rPr>
        <w:fldChar w:fldCharType="begin"/>
      </w:r>
      <w:r>
        <w:rPr>
          <w:noProof/>
        </w:rPr>
        <w:instrText xml:space="preserve"> PAGEREF _Toc158713087 \h </w:instrText>
      </w:r>
      <w:r>
        <w:rPr>
          <w:noProof/>
        </w:rPr>
      </w:r>
      <w:r>
        <w:rPr>
          <w:noProof/>
        </w:rPr>
        <w:fldChar w:fldCharType="separate"/>
      </w:r>
      <w:r>
        <w:rPr>
          <w:noProof/>
        </w:rPr>
        <w:t>602</w:t>
      </w:r>
      <w:r>
        <w:rPr>
          <w:noProof/>
        </w:rPr>
        <w:fldChar w:fldCharType="end"/>
      </w:r>
    </w:p>
    <w:p w14:paraId="585E560A" w14:textId="1A979B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10.2.106  Instrument of transfer</w:t>
      </w:r>
      <w:r>
        <w:rPr>
          <w:noProof/>
        </w:rPr>
        <w:tab/>
      </w:r>
      <w:r>
        <w:rPr>
          <w:noProof/>
        </w:rPr>
        <w:fldChar w:fldCharType="begin"/>
      </w:r>
      <w:r>
        <w:rPr>
          <w:noProof/>
        </w:rPr>
        <w:instrText xml:space="preserve"> PAGEREF _Toc158713088 \h </w:instrText>
      </w:r>
      <w:r>
        <w:rPr>
          <w:noProof/>
        </w:rPr>
      </w:r>
      <w:r>
        <w:rPr>
          <w:noProof/>
        </w:rPr>
        <w:fldChar w:fldCharType="separate"/>
      </w:r>
      <w:r>
        <w:rPr>
          <w:noProof/>
        </w:rPr>
        <w:t>602</w:t>
      </w:r>
      <w:r>
        <w:rPr>
          <w:noProof/>
        </w:rPr>
        <w:fldChar w:fldCharType="end"/>
      </w:r>
    </w:p>
    <w:p w14:paraId="3617AEC7" w14:textId="7755459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10.2.107  Trustee etc may be registered as owner of shares</w:t>
      </w:r>
      <w:r>
        <w:rPr>
          <w:noProof/>
        </w:rPr>
        <w:tab/>
      </w:r>
      <w:r>
        <w:rPr>
          <w:noProof/>
        </w:rPr>
        <w:fldChar w:fldCharType="begin"/>
      </w:r>
      <w:r>
        <w:rPr>
          <w:noProof/>
        </w:rPr>
        <w:instrText xml:space="preserve"> PAGEREF _Toc158713089 \h </w:instrText>
      </w:r>
      <w:r>
        <w:rPr>
          <w:noProof/>
        </w:rPr>
      </w:r>
      <w:r>
        <w:rPr>
          <w:noProof/>
        </w:rPr>
        <w:fldChar w:fldCharType="separate"/>
      </w:r>
      <w:r>
        <w:rPr>
          <w:noProof/>
        </w:rPr>
        <w:t>602</w:t>
      </w:r>
      <w:r>
        <w:rPr>
          <w:noProof/>
        </w:rPr>
        <w:fldChar w:fldCharType="end"/>
      </w:r>
    </w:p>
    <w:p w14:paraId="4598C669" w14:textId="63AF92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10.2.108  Registration of transfer at request of transferor</w:t>
      </w:r>
      <w:r>
        <w:rPr>
          <w:noProof/>
        </w:rPr>
        <w:tab/>
      </w:r>
      <w:r>
        <w:rPr>
          <w:noProof/>
        </w:rPr>
        <w:fldChar w:fldCharType="begin"/>
      </w:r>
      <w:r>
        <w:rPr>
          <w:noProof/>
        </w:rPr>
        <w:instrText xml:space="preserve"> PAGEREF _Toc158713090 \h </w:instrText>
      </w:r>
      <w:r>
        <w:rPr>
          <w:noProof/>
        </w:rPr>
      </w:r>
      <w:r>
        <w:rPr>
          <w:noProof/>
        </w:rPr>
        <w:fldChar w:fldCharType="separate"/>
      </w:r>
      <w:r>
        <w:rPr>
          <w:noProof/>
        </w:rPr>
        <w:t>602</w:t>
      </w:r>
      <w:r>
        <w:rPr>
          <w:noProof/>
        </w:rPr>
        <w:fldChar w:fldCharType="end"/>
      </w:r>
    </w:p>
    <w:p w14:paraId="110073E1" w14:textId="1BCC587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10.2.109  Notice of refusal to register transfer</w:t>
      </w:r>
      <w:r>
        <w:rPr>
          <w:noProof/>
        </w:rPr>
        <w:tab/>
      </w:r>
      <w:r>
        <w:rPr>
          <w:noProof/>
        </w:rPr>
        <w:fldChar w:fldCharType="begin"/>
      </w:r>
      <w:r>
        <w:rPr>
          <w:noProof/>
        </w:rPr>
        <w:instrText xml:space="preserve"> PAGEREF _Toc158713091 \h </w:instrText>
      </w:r>
      <w:r>
        <w:rPr>
          <w:noProof/>
        </w:rPr>
      </w:r>
      <w:r>
        <w:rPr>
          <w:noProof/>
        </w:rPr>
        <w:fldChar w:fldCharType="separate"/>
      </w:r>
      <w:r>
        <w:rPr>
          <w:noProof/>
        </w:rPr>
        <w:t>603</w:t>
      </w:r>
      <w:r>
        <w:rPr>
          <w:noProof/>
        </w:rPr>
        <w:fldChar w:fldCharType="end"/>
      </w:r>
    </w:p>
    <w:p w14:paraId="596A2806" w14:textId="1AA83C9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10.2.110  Duties of company with respect to issue of certificates: allotment of shares or debentures or making interests available</w:t>
      </w:r>
      <w:r>
        <w:rPr>
          <w:noProof/>
        </w:rPr>
        <w:tab/>
      </w:r>
      <w:r>
        <w:rPr>
          <w:noProof/>
        </w:rPr>
        <w:fldChar w:fldCharType="begin"/>
      </w:r>
      <w:r>
        <w:rPr>
          <w:noProof/>
        </w:rPr>
        <w:instrText xml:space="preserve"> PAGEREF _Toc158713092 \h </w:instrText>
      </w:r>
      <w:r>
        <w:rPr>
          <w:noProof/>
        </w:rPr>
      </w:r>
      <w:r>
        <w:rPr>
          <w:noProof/>
        </w:rPr>
        <w:fldChar w:fldCharType="separate"/>
      </w:r>
      <w:r>
        <w:rPr>
          <w:noProof/>
        </w:rPr>
        <w:t>603</w:t>
      </w:r>
      <w:r>
        <w:rPr>
          <w:noProof/>
        </w:rPr>
        <w:fldChar w:fldCharType="end"/>
      </w:r>
    </w:p>
    <w:p w14:paraId="588E4B3D" w14:textId="36B96E7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10.2.111  Duties of company with respect to issue of certificates: transfer of shares, debentures or interests</w:t>
      </w:r>
      <w:r>
        <w:rPr>
          <w:noProof/>
        </w:rPr>
        <w:tab/>
      </w:r>
      <w:r>
        <w:rPr>
          <w:noProof/>
        </w:rPr>
        <w:fldChar w:fldCharType="begin"/>
      </w:r>
      <w:r>
        <w:rPr>
          <w:noProof/>
        </w:rPr>
        <w:instrText xml:space="preserve"> PAGEREF _Toc158713093 \h </w:instrText>
      </w:r>
      <w:r>
        <w:rPr>
          <w:noProof/>
        </w:rPr>
      </w:r>
      <w:r>
        <w:rPr>
          <w:noProof/>
        </w:rPr>
        <w:fldChar w:fldCharType="separate"/>
      </w:r>
      <w:r>
        <w:rPr>
          <w:noProof/>
        </w:rPr>
        <w:t>603</w:t>
      </w:r>
      <w:r>
        <w:rPr>
          <w:noProof/>
        </w:rPr>
        <w:fldChar w:fldCharType="end"/>
      </w:r>
    </w:p>
    <w:p w14:paraId="65E953ED" w14:textId="7C5C395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10.2.112  Notices relating to non</w:t>
      </w:r>
      <w:r>
        <w:rPr>
          <w:noProof/>
        </w:rPr>
        <w:noBreakHyphen/>
        <w:t>beneficial and beneficial ownership of shares</w:t>
      </w:r>
      <w:r>
        <w:rPr>
          <w:noProof/>
        </w:rPr>
        <w:tab/>
      </w:r>
      <w:r>
        <w:rPr>
          <w:noProof/>
        </w:rPr>
        <w:fldChar w:fldCharType="begin"/>
      </w:r>
      <w:r>
        <w:rPr>
          <w:noProof/>
        </w:rPr>
        <w:instrText xml:space="preserve"> PAGEREF _Toc158713094 \h </w:instrText>
      </w:r>
      <w:r>
        <w:rPr>
          <w:noProof/>
        </w:rPr>
      </w:r>
      <w:r>
        <w:rPr>
          <w:noProof/>
        </w:rPr>
        <w:fldChar w:fldCharType="separate"/>
      </w:r>
      <w:r>
        <w:rPr>
          <w:noProof/>
        </w:rPr>
        <w:t>604</w:t>
      </w:r>
      <w:r>
        <w:rPr>
          <w:noProof/>
        </w:rPr>
        <w:fldChar w:fldCharType="end"/>
      </w:r>
    </w:p>
    <w:p w14:paraId="43459319" w14:textId="00ABE4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10.2.113  What is a sufficient transfer of marketable securities or marketable rights: general</w:t>
      </w:r>
      <w:r>
        <w:rPr>
          <w:noProof/>
        </w:rPr>
        <w:tab/>
      </w:r>
      <w:r>
        <w:rPr>
          <w:noProof/>
        </w:rPr>
        <w:fldChar w:fldCharType="begin"/>
      </w:r>
      <w:r>
        <w:rPr>
          <w:noProof/>
        </w:rPr>
        <w:instrText xml:space="preserve"> PAGEREF _Toc158713095 \h </w:instrText>
      </w:r>
      <w:r>
        <w:rPr>
          <w:noProof/>
        </w:rPr>
      </w:r>
      <w:r>
        <w:rPr>
          <w:noProof/>
        </w:rPr>
        <w:fldChar w:fldCharType="separate"/>
      </w:r>
      <w:r>
        <w:rPr>
          <w:noProof/>
        </w:rPr>
        <w:t>604</w:t>
      </w:r>
      <w:r>
        <w:rPr>
          <w:noProof/>
        </w:rPr>
        <w:fldChar w:fldCharType="end"/>
      </w:r>
    </w:p>
    <w:p w14:paraId="5F29046A" w14:textId="5AE9A5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10.2.114  Sufficient transfer by authorised trustee corporation</w:t>
      </w:r>
      <w:r>
        <w:rPr>
          <w:noProof/>
        </w:rPr>
        <w:tab/>
      </w:r>
      <w:r>
        <w:rPr>
          <w:noProof/>
        </w:rPr>
        <w:fldChar w:fldCharType="begin"/>
      </w:r>
      <w:r>
        <w:rPr>
          <w:noProof/>
        </w:rPr>
        <w:instrText xml:space="preserve"> PAGEREF _Toc158713096 \h </w:instrText>
      </w:r>
      <w:r>
        <w:rPr>
          <w:noProof/>
        </w:rPr>
      </w:r>
      <w:r>
        <w:rPr>
          <w:noProof/>
        </w:rPr>
        <w:fldChar w:fldCharType="separate"/>
      </w:r>
      <w:r>
        <w:rPr>
          <w:noProof/>
        </w:rPr>
        <w:t>604</w:t>
      </w:r>
      <w:r>
        <w:rPr>
          <w:noProof/>
        </w:rPr>
        <w:fldChar w:fldCharType="end"/>
      </w:r>
    </w:p>
    <w:p w14:paraId="439B4AA6" w14:textId="7295508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10.2.115  Determination of who holds quoted securities for the purposes of a meeting: determination made before FSR commencement</w:t>
      </w:r>
      <w:r>
        <w:rPr>
          <w:noProof/>
        </w:rPr>
        <w:tab/>
      </w:r>
      <w:r>
        <w:rPr>
          <w:noProof/>
        </w:rPr>
        <w:fldChar w:fldCharType="begin"/>
      </w:r>
      <w:r>
        <w:rPr>
          <w:noProof/>
        </w:rPr>
        <w:instrText xml:space="preserve"> PAGEREF _Toc158713097 \h </w:instrText>
      </w:r>
      <w:r>
        <w:rPr>
          <w:noProof/>
        </w:rPr>
      </w:r>
      <w:r>
        <w:rPr>
          <w:noProof/>
        </w:rPr>
        <w:fldChar w:fldCharType="separate"/>
      </w:r>
      <w:r>
        <w:rPr>
          <w:noProof/>
        </w:rPr>
        <w:t>605</w:t>
      </w:r>
      <w:r>
        <w:rPr>
          <w:noProof/>
        </w:rPr>
        <w:fldChar w:fldCharType="end"/>
      </w:r>
    </w:p>
    <w:p w14:paraId="378B8A9D" w14:textId="62864CE7"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22</w:t>
      </w:r>
      <w:r w:rsidRPr="00FC743A">
        <w:rPr>
          <w:noProof/>
          <w:color w:val="000000"/>
        </w:rPr>
        <w:t>—</w:t>
      </w:r>
      <w:r>
        <w:rPr>
          <w:noProof/>
        </w:rPr>
        <w:t>Transitional matters under relevant old legislation: Financial Transaction Reports Act 1988</w:t>
      </w:r>
      <w:r>
        <w:rPr>
          <w:noProof/>
        </w:rPr>
        <w:tab/>
      </w:r>
      <w:r>
        <w:rPr>
          <w:noProof/>
        </w:rPr>
        <w:fldChar w:fldCharType="begin"/>
      </w:r>
      <w:r>
        <w:rPr>
          <w:noProof/>
        </w:rPr>
        <w:instrText xml:space="preserve"> PAGEREF _Toc158713098 \h </w:instrText>
      </w:r>
      <w:r>
        <w:rPr>
          <w:noProof/>
        </w:rPr>
      </w:r>
      <w:r>
        <w:rPr>
          <w:noProof/>
        </w:rPr>
        <w:fldChar w:fldCharType="separate"/>
      </w:r>
      <w:r>
        <w:rPr>
          <w:noProof/>
        </w:rPr>
        <w:t>606</w:t>
      </w:r>
      <w:r>
        <w:rPr>
          <w:noProof/>
        </w:rPr>
        <w:fldChar w:fldCharType="end"/>
      </w:r>
    </w:p>
    <w:p w14:paraId="7F51675F" w14:textId="50ACD11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10.2.116  Cash dealer</w:t>
      </w:r>
      <w:r>
        <w:rPr>
          <w:noProof/>
        </w:rPr>
        <w:tab/>
      </w:r>
      <w:r>
        <w:rPr>
          <w:noProof/>
        </w:rPr>
        <w:fldChar w:fldCharType="begin"/>
      </w:r>
      <w:r>
        <w:rPr>
          <w:noProof/>
        </w:rPr>
        <w:instrText xml:space="preserve"> PAGEREF _Toc158713099 \h </w:instrText>
      </w:r>
      <w:r>
        <w:rPr>
          <w:noProof/>
        </w:rPr>
      </w:r>
      <w:r>
        <w:rPr>
          <w:noProof/>
        </w:rPr>
        <w:fldChar w:fldCharType="separate"/>
      </w:r>
      <w:r>
        <w:rPr>
          <w:noProof/>
        </w:rPr>
        <w:t>606</w:t>
      </w:r>
      <w:r>
        <w:rPr>
          <w:noProof/>
        </w:rPr>
        <w:fldChar w:fldCharType="end"/>
      </w:r>
    </w:p>
    <w:p w14:paraId="70F7AC82" w14:textId="1B2BFC6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10.2.117  Exempt cash transaction</w:t>
      </w:r>
      <w:r>
        <w:rPr>
          <w:noProof/>
        </w:rPr>
        <w:tab/>
      </w:r>
      <w:r>
        <w:rPr>
          <w:noProof/>
        </w:rPr>
        <w:fldChar w:fldCharType="begin"/>
      </w:r>
      <w:r>
        <w:rPr>
          <w:noProof/>
        </w:rPr>
        <w:instrText xml:space="preserve"> PAGEREF _Toc158713100 \h </w:instrText>
      </w:r>
      <w:r>
        <w:rPr>
          <w:noProof/>
        </w:rPr>
      </w:r>
      <w:r>
        <w:rPr>
          <w:noProof/>
        </w:rPr>
        <w:fldChar w:fldCharType="separate"/>
      </w:r>
      <w:r>
        <w:rPr>
          <w:noProof/>
        </w:rPr>
        <w:t>606</w:t>
      </w:r>
      <w:r>
        <w:rPr>
          <w:noProof/>
        </w:rPr>
        <w:fldChar w:fldCharType="end"/>
      </w:r>
    </w:p>
    <w:p w14:paraId="68A1E0F3" w14:textId="1987656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23</w:t>
      </w:r>
      <w:r w:rsidRPr="00FC743A">
        <w:rPr>
          <w:noProof/>
          <w:color w:val="000000"/>
        </w:rPr>
        <w:t>—</w:t>
      </w:r>
      <w:r>
        <w:rPr>
          <w:noProof/>
        </w:rPr>
        <w:t>Transitional matters under relevant old legislation: Income Tax Assessment Act 1936</w:t>
      </w:r>
      <w:r>
        <w:rPr>
          <w:noProof/>
        </w:rPr>
        <w:tab/>
      </w:r>
      <w:r>
        <w:rPr>
          <w:noProof/>
        </w:rPr>
        <w:fldChar w:fldCharType="begin"/>
      </w:r>
      <w:r>
        <w:rPr>
          <w:noProof/>
        </w:rPr>
        <w:instrText xml:space="preserve"> PAGEREF _Toc158713101 \h </w:instrText>
      </w:r>
      <w:r>
        <w:rPr>
          <w:noProof/>
        </w:rPr>
      </w:r>
      <w:r>
        <w:rPr>
          <w:noProof/>
        </w:rPr>
        <w:fldChar w:fldCharType="separate"/>
      </w:r>
      <w:r>
        <w:rPr>
          <w:noProof/>
        </w:rPr>
        <w:t>607</w:t>
      </w:r>
      <w:r>
        <w:rPr>
          <w:noProof/>
        </w:rPr>
        <w:fldChar w:fldCharType="end"/>
      </w:r>
    </w:p>
    <w:p w14:paraId="253FAF82" w14:textId="22A7E20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10.2.118  Offshore banking units</w:t>
      </w:r>
      <w:r>
        <w:rPr>
          <w:noProof/>
        </w:rPr>
        <w:tab/>
      </w:r>
      <w:r>
        <w:rPr>
          <w:noProof/>
        </w:rPr>
        <w:fldChar w:fldCharType="begin"/>
      </w:r>
      <w:r>
        <w:rPr>
          <w:noProof/>
        </w:rPr>
        <w:instrText xml:space="preserve"> PAGEREF _Toc158713102 \h </w:instrText>
      </w:r>
      <w:r>
        <w:rPr>
          <w:noProof/>
        </w:rPr>
      </w:r>
      <w:r>
        <w:rPr>
          <w:noProof/>
        </w:rPr>
        <w:fldChar w:fldCharType="separate"/>
      </w:r>
      <w:r>
        <w:rPr>
          <w:noProof/>
        </w:rPr>
        <w:t>607</w:t>
      </w:r>
      <w:r>
        <w:rPr>
          <w:noProof/>
        </w:rPr>
        <w:fldChar w:fldCharType="end"/>
      </w:r>
    </w:p>
    <w:p w14:paraId="173CD0EA" w14:textId="029B481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24</w:t>
      </w:r>
      <w:r w:rsidRPr="00FC743A">
        <w:rPr>
          <w:noProof/>
          <w:color w:val="000000"/>
        </w:rPr>
        <w:t>—</w:t>
      </w:r>
      <w:r>
        <w:rPr>
          <w:noProof/>
        </w:rPr>
        <w:t>Transitional matters under relevant old legislation: Insurance Act 1973</w:t>
      </w:r>
      <w:r>
        <w:rPr>
          <w:noProof/>
        </w:rPr>
        <w:tab/>
      </w:r>
      <w:r>
        <w:rPr>
          <w:noProof/>
        </w:rPr>
        <w:fldChar w:fldCharType="begin"/>
      </w:r>
      <w:r>
        <w:rPr>
          <w:noProof/>
        </w:rPr>
        <w:instrText xml:space="preserve"> PAGEREF _Toc158713103 \h </w:instrText>
      </w:r>
      <w:r>
        <w:rPr>
          <w:noProof/>
        </w:rPr>
      </w:r>
      <w:r>
        <w:rPr>
          <w:noProof/>
        </w:rPr>
        <w:fldChar w:fldCharType="separate"/>
      </w:r>
      <w:r>
        <w:rPr>
          <w:noProof/>
        </w:rPr>
        <w:t>608</w:t>
      </w:r>
      <w:r>
        <w:rPr>
          <w:noProof/>
        </w:rPr>
        <w:fldChar w:fldCharType="end"/>
      </w:r>
    </w:p>
    <w:p w14:paraId="13276DD0" w14:textId="56F209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10.2.119  Insurers carrying on class of insurance business</w:t>
      </w:r>
      <w:r>
        <w:rPr>
          <w:noProof/>
        </w:rPr>
        <w:tab/>
      </w:r>
      <w:r>
        <w:rPr>
          <w:noProof/>
        </w:rPr>
        <w:fldChar w:fldCharType="begin"/>
      </w:r>
      <w:r>
        <w:rPr>
          <w:noProof/>
        </w:rPr>
        <w:instrText xml:space="preserve"> PAGEREF _Toc158713104 \h </w:instrText>
      </w:r>
      <w:r>
        <w:rPr>
          <w:noProof/>
        </w:rPr>
      </w:r>
      <w:r>
        <w:rPr>
          <w:noProof/>
        </w:rPr>
        <w:fldChar w:fldCharType="separate"/>
      </w:r>
      <w:r>
        <w:rPr>
          <w:noProof/>
        </w:rPr>
        <w:t>608</w:t>
      </w:r>
      <w:r>
        <w:rPr>
          <w:noProof/>
        </w:rPr>
        <w:fldChar w:fldCharType="end"/>
      </w:r>
    </w:p>
    <w:p w14:paraId="6AAC7F01" w14:textId="6D2DF55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24A—Transitional matters under relevant old legislation: Insurance (Agents and Brokers) Act 1984</w:t>
      </w:r>
      <w:r>
        <w:rPr>
          <w:noProof/>
        </w:rPr>
        <w:tab/>
      </w:r>
      <w:r>
        <w:rPr>
          <w:noProof/>
        </w:rPr>
        <w:fldChar w:fldCharType="begin"/>
      </w:r>
      <w:r>
        <w:rPr>
          <w:noProof/>
        </w:rPr>
        <w:instrText xml:space="preserve"> PAGEREF _Toc158713105 \h </w:instrText>
      </w:r>
      <w:r>
        <w:rPr>
          <w:noProof/>
        </w:rPr>
      </w:r>
      <w:r>
        <w:rPr>
          <w:noProof/>
        </w:rPr>
        <w:fldChar w:fldCharType="separate"/>
      </w:r>
      <w:r>
        <w:rPr>
          <w:noProof/>
        </w:rPr>
        <w:t>609</w:t>
      </w:r>
      <w:r>
        <w:rPr>
          <w:noProof/>
        </w:rPr>
        <w:fldChar w:fldCharType="end"/>
      </w:r>
    </w:p>
    <w:p w14:paraId="76913D46" w14:textId="79C670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10.2.119A  Debts of broker in relation to premiums etc</w:t>
      </w:r>
      <w:r>
        <w:rPr>
          <w:noProof/>
        </w:rPr>
        <w:tab/>
      </w:r>
      <w:r>
        <w:rPr>
          <w:noProof/>
        </w:rPr>
        <w:fldChar w:fldCharType="begin"/>
      </w:r>
      <w:r>
        <w:rPr>
          <w:noProof/>
        </w:rPr>
        <w:instrText xml:space="preserve"> PAGEREF _Toc158713106 \h </w:instrText>
      </w:r>
      <w:r>
        <w:rPr>
          <w:noProof/>
        </w:rPr>
      </w:r>
      <w:r>
        <w:rPr>
          <w:noProof/>
        </w:rPr>
        <w:fldChar w:fldCharType="separate"/>
      </w:r>
      <w:r>
        <w:rPr>
          <w:noProof/>
        </w:rPr>
        <w:t>609</w:t>
      </w:r>
      <w:r>
        <w:rPr>
          <w:noProof/>
        </w:rPr>
        <w:fldChar w:fldCharType="end"/>
      </w:r>
    </w:p>
    <w:p w14:paraId="3CE8A68F" w14:textId="275CC85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10.2.119B  Disqualifications made before FSR commencement</w:t>
      </w:r>
      <w:r>
        <w:rPr>
          <w:noProof/>
        </w:rPr>
        <w:tab/>
      </w:r>
      <w:r>
        <w:rPr>
          <w:noProof/>
        </w:rPr>
        <w:fldChar w:fldCharType="begin"/>
      </w:r>
      <w:r>
        <w:rPr>
          <w:noProof/>
        </w:rPr>
        <w:instrText xml:space="preserve"> PAGEREF _Toc158713107 \h </w:instrText>
      </w:r>
      <w:r>
        <w:rPr>
          <w:noProof/>
        </w:rPr>
      </w:r>
      <w:r>
        <w:rPr>
          <w:noProof/>
        </w:rPr>
        <w:fldChar w:fldCharType="separate"/>
      </w:r>
      <w:r>
        <w:rPr>
          <w:noProof/>
        </w:rPr>
        <w:t>609</w:t>
      </w:r>
      <w:r>
        <w:rPr>
          <w:noProof/>
        </w:rPr>
        <w:fldChar w:fldCharType="end"/>
      </w:r>
    </w:p>
    <w:p w14:paraId="444A86CD" w14:textId="213479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10.2.119C  Disqualifications made after FSR commencement</w:t>
      </w:r>
      <w:r>
        <w:rPr>
          <w:noProof/>
        </w:rPr>
        <w:tab/>
      </w:r>
      <w:r>
        <w:rPr>
          <w:noProof/>
        </w:rPr>
        <w:fldChar w:fldCharType="begin"/>
      </w:r>
      <w:r>
        <w:rPr>
          <w:noProof/>
        </w:rPr>
        <w:instrText xml:space="preserve"> PAGEREF _Toc158713108 \h </w:instrText>
      </w:r>
      <w:r>
        <w:rPr>
          <w:noProof/>
        </w:rPr>
      </w:r>
      <w:r>
        <w:rPr>
          <w:noProof/>
        </w:rPr>
        <w:fldChar w:fldCharType="separate"/>
      </w:r>
      <w:r>
        <w:rPr>
          <w:noProof/>
        </w:rPr>
        <w:t>609</w:t>
      </w:r>
      <w:r>
        <w:rPr>
          <w:noProof/>
        </w:rPr>
        <w:fldChar w:fldCharType="end"/>
      </w:r>
    </w:p>
    <w:p w14:paraId="7A2251EB" w14:textId="718BE8F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25</w:t>
      </w:r>
      <w:r w:rsidRPr="00FC743A">
        <w:rPr>
          <w:noProof/>
          <w:color w:val="000000"/>
        </w:rPr>
        <w:t>—</w:t>
      </w:r>
      <w:r>
        <w:rPr>
          <w:noProof/>
        </w:rPr>
        <w:t>Transitional matters under relevant old legislation: Marine Insurance Act 1909</w:t>
      </w:r>
      <w:r>
        <w:rPr>
          <w:noProof/>
        </w:rPr>
        <w:tab/>
      </w:r>
      <w:r>
        <w:rPr>
          <w:noProof/>
        </w:rPr>
        <w:fldChar w:fldCharType="begin"/>
      </w:r>
      <w:r>
        <w:rPr>
          <w:noProof/>
        </w:rPr>
        <w:instrText xml:space="preserve"> PAGEREF _Toc158713109 \h </w:instrText>
      </w:r>
      <w:r>
        <w:rPr>
          <w:noProof/>
        </w:rPr>
      </w:r>
      <w:r>
        <w:rPr>
          <w:noProof/>
        </w:rPr>
        <w:fldChar w:fldCharType="separate"/>
      </w:r>
      <w:r>
        <w:rPr>
          <w:noProof/>
        </w:rPr>
        <w:t>610</w:t>
      </w:r>
      <w:r>
        <w:rPr>
          <w:noProof/>
        </w:rPr>
        <w:fldChar w:fldCharType="end"/>
      </w:r>
    </w:p>
    <w:p w14:paraId="11AD9059" w14:textId="386E193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10.2.120  Marine policy effected through broker</w:t>
      </w:r>
      <w:r>
        <w:rPr>
          <w:noProof/>
        </w:rPr>
        <w:tab/>
      </w:r>
      <w:r>
        <w:rPr>
          <w:noProof/>
        </w:rPr>
        <w:fldChar w:fldCharType="begin"/>
      </w:r>
      <w:r>
        <w:rPr>
          <w:noProof/>
        </w:rPr>
        <w:instrText xml:space="preserve"> PAGEREF _Toc158713110 \h </w:instrText>
      </w:r>
      <w:r>
        <w:rPr>
          <w:noProof/>
        </w:rPr>
      </w:r>
      <w:r>
        <w:rPr>
          <w:noProof/>
        </w:rPr>
        <w:fldChar w:fldCharType="separate"/>
      </w:r>
      <w:r>
        <w:rPr>
          <w:noProof/>
        </w:rPr>
        <w:t>610</w:t>
      </w:r>
      <w:r>
        <w:rPr>
          <w:noProof/>
        </w:rPr>
        <w:fldChar w:fldCharType="end"/>
      </w:r>
    </w:p>
    <w:p w14:paraId="4A875011" w14:textId="287499E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25A—Transitional matters under relevant old legislation: Retirement Savings Accounts Regulations 1997</w:t>
      </w:r>
      <w:r>
        <w:rPr>
          <w:noProof/>
        </w:rPr>
        <w:tab/>
      </w:r>
      <w:r>
        <w:rPr>
          <w:noProof/>
        </w:rPr>
        <w:fldChar w:fldCharType="begin"/>
      </w:r>
      <w:r>
        <w:rPr>
          <w:noProof/>
        </w:rPr>
        <w:instrText xml:space="preserve"> PAGEREF _Toc158713111 \h </w:instrText>
      </w:r>
      <w:r>
        <w:rPr>
          <w:noProof/>
        </w:rPr>
      </w:r>
      <w:r>
        <w:rPr>
          <w:noProof/>
        </w:rPr>
        <w:fldChar w:fldCharType="separate"/>
      </w:r>
      <w:r>
        <w:rPr>
          <w:noProof/>
        </w:rPr>
        <w:t>611</w:t>
      </w:r>
      <w:r>
        <w:rPr>
          <w:noProof/>
        </w:rPr>
        <w:fldChar w:fldCharType="end"/>
      </w:r>
    </w:p>
    <w:p w14:paraId="44177CAF" w14:textId="659AEC8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10.2.120A  Continuation of RSA Regulations during transition period</w:t>
      </w:r>
      <w:r>
        <w:rPr>
          <w:noProof/>
        </w:rPr>
        <w:tab/>
      </w:r>
      <w:r>
        <w:rPr>
          <w:noProof/>
        </w:rPr>
        <w:fldChar w:fldCharType="begin"/>
      </w:r>
      <w:r>
        <w:rPr>
          <w:noProof/>
        </w:rPr>
        <w:instrText xml:space="preserve"> PAGEREF _Toc158713112 \h </w:instrText>
      </w:r>
      <w:r>
        <w:rPr>
          <w:noProof/>
        </w:rPr>
      </w:r>
      <w:r>
        <w:rPr>
          <w:noProof/>
        </w:rPr>
        <w:fldChar w:fldCharType="separate"/>
      </w:r>
      <w:r>
        <w:rPr>
          <w:noProof/>
        </w:rPr>
        <w:t>611</w:t>
      </w:r>
      <w:r>
        <w:rPr>
          <w:noProof/>
        </w:rPr>
        <w:fldChar w:fldCharType="end"/>
      </w:r>
    </w:p>
    <w:p w14:paraId="54171D9D" w14:textId="65A40A68"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25B—Transitional matters under relevant old legislation: Superannuation Industry (Supervision) Regulations 1994</w:t>
      </w:r>
      <w:r>
        <w:rPr>
          <w:noProof/>
        </w:rPr>
        <w:tab/>
      </w:r>
      <w:r>
        <w:rPr>
          <w:noProof/>
        </w:rPr>
        <w:fldChar w:fldCharType="begin"/>
      </w:r>
      <w:r>
        <w:rPr>
          <w:noProof/>
        </w:rPr>
        <w:instrText xml:space="preserve"> PAGEREF _Toc158713113 \h </w:instrText>
      </w:r>
      <w:r>
        <w:rPr>
          <w:noProof/>
        </w:rPr>
      </w:r>
      <w:r>
        <w:rPr>
          <w:noProof/>
        </w:rPr>
        <w:fldChar w:fldCharType="separate"/>
      </w:r>
      <w:r>
        <w:rPr>
          <w:noProof/>
        </w:rPr>
        <w:t>612</w:t>
      </w:r>
      <w:r>
        <w:rPr>
          <w:noProof/>
        </w:rPr>
        <w:fldChar w:fldCharType="end"/>
      </w:r>
    </w:p>
    <w:p w14:paraId="15D7FA49" w14:textId="5E29C35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10.2.120B  Continuation of SIS Regulations during transition period</w:t>
      </w:r>
      <w:r>
        <w:rPr>
          <w:noProof/>
        </w:rPr>
        <w:tab/>
      </w:r>
      <w:r>
        <w:rPr>
          <w:noProof/>
        </w:rPr>
        <w:fldChar w:fldCharType="begin"/>
      </w:r>
      <w:r>
        <w:rPr>
          <w:noProof/>
        </w:rPr>
        <w:instrText xml:space="preserve"> PAGEREF _Toc158713114 \h </w:instrText>
      </w:r>
      <w:r>
        <w:rPr>
          <w:noProof/>
        </w:rPr>
      </w:r>
      <w:r>
        <w:rPr>
          <w:noProof/>
        </w:rPr>
        <w:fldChar w:fldCharType="separate"/>
      </w:r>
      <w:r>
        <w:rPr>
          <w:noProof/>
        </w:rPr>
        <w:t>612</w:t>
      </w:r>
      <w:r>
        <w:rPr>
          <w:noProof/>
        </w:rPr>
        <w:fldChar w:fldCharType="end"/>
      </w:r>
    </w:p>
    <w:p w14:paraId="19A98BBA" w14:textId="640A31C7" w:rsidR="00D779FE" w:rsidRDefault="00D779FE">
      <w:pPr>
        <w:pStyle w:val="TOC3"/>
        <w:rPr>
          <w:rFonts w:asciiTheme="minorHAnsi" w:eastAsiaTheme="minorEastAsia" w:hAnsiTheme="minorHAnsi" w:cstheme="minorBidi"/>
          <w:b w:val="0"/>
          <w:noProof/>
          <w:kern w:val="2"/>
          <w:szCs w:val="22"/>
          <w14:ligatures w14:val="standardContextual"/>
        </w:rPr>
      </w:pPr>
      <w:r>
        <w:rPr>
          <w:noProof/>
        </w:rPr>
        <w:lastRenderedPageBreak/>
        <w:t>Division 27</w:t>
      </w:r>
      <w:r w:rsidRPr="00FC743A">
        <w:rPr>
          <w:noProof/>
          <w:color w:val="000000"/>
        </w:rPr>
        <w:t>—</w:t>
      </w:r>
      <w:r>
        <w:rPr>
          <w:noProof/>
        </w:rPr>
        <w:t>Transitional matters under the Act (other than Chapter 7)</w:t>
      </w:r>
      <w:r>
        <w:rPr>
          <w:noProof/>
        </w:rPr>
        <w:tab/>
      </w:r>
      <w:r>
        <w:rPr>
          <w:noProof/>
        </w:rPr>
        <w:fldChar w:fldCharType="begin"/>
      </w:r>
      <w:r>
        <w:rPr>
          <w:noProof/>
        </w:rPr>
        <w:instrText xml:space="preserve"> PAGEREF _Toc158713115 \h </w:instrText>
      </w:r>
      <w:r>
        <w:rPr>
          <w:noProof/>
        </w:rPr>
      </w:r>
      <w:r>
        <w:rPr>
          <w:noProof/>
        </w:rPr>
        <w:fldChar w:fldCharType="separate"/>
      </w:r>
      <w:r>
        <w:rPr>
          <w:noProof/>
        </w:rPr>
        <w:t>613</w:t>
      </w:r>
      <w:r>
        <w:rPr>
          <w:noProof/>
        </w:rPr>
        <w:fldChar w:fldCharType="end"/>
      </w:r>
    </w:p>
    <w:p w14:paraId="186223CF" w14:textId="40E80E3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10.2.122  Solvency and insolvency</w:t>
      </w:r>
      <w:r>
        <w:rPr>
          <w:noProof/>
        </w:rPr>
        <w:tab/>
      </w:r>
      <w:r>
        <w:rPr>
          <w:noProof/>
        </w:rPr>
        <w:fldChar w:fldCharType="begin"/>
      </w:r>
      <w:r>
        <w:rPr>
          <w:noProof/>
        </w:rPr>
        <w:instrText xml:space="preserve"> PAGEREF _Toc158713116 \h </w:instrText>
      </w:r>
      <w:r>
        <w:rPr>
          <w:noProof/>
        </w:rPr>
      </w:r>
      <w:r>
        <w:rPr>
          <w:noProof/>
        </w:rPr>
        <w:fldChar w:fldCharType="separate"/>
      </w:r>
      <w:r>
        <w:rPr>
          <w:noProof/>
        </w:rPr>
        <w:t>613</w:t>
      </w:r>
      <w:r>
        <w:rPr>
          <w:noProof/>
        </w:rPr>
        <w:fldChar w:fldCharType="end"/>
      </w:r>
    </w:p>
    <w:p w14:paraId="08046962" w14:textId="04981F1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10.2.123  Managed investment products held by 100 or more persons</w:t>
      </w:r>
      <w:r>
        <w:rPr>
          <w:noProof/>
        </w:rPr>
        <w:tab/>
      </w:r>
      <w:r>
        <w:rPr>
          <w:noProof/>
        </w:rPr>
        <w:fldChar w:fldCharType="begin"/>
      </w:r>
      <w:r>
        <w:rPr>
          <w:noProof/>
        </w:rPr>
        <w:instrText xml:space="preserve"> PAGEREF _Toc158713117 \h </w:instrText>
      </w:r>
      <w:r>
        <w:rPr>
          <w:noProof/>
        </w:rPr>
      </w:r>
      <w:r>
        <w:rPr>
          <w:noProof/>
        </w:rPr>
        <w:fldChar w:fldCharType="separate"/>
      </w:r>
      <w:r>
        <w:rPr>
          <w:noProof/>
        </w:rPr>
        <w:t>613</w:t>
      </w:r>
      <w:r>
        <w:rPr>
          <w:noProof/>
        </w:rPr>
        <w:fldChar w:fldCharType="end"/>
      </w:r>
    </w:p>
    <w:p w14:paraId="2C4B9C62" w14:textId="79CB68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10.2.124  When a managed investment scheme must be registered</w:t>
      </w:r>
      <w:r>
        <w:rPr>
          <w:noProof/>
        </w:rPr>
        <w:tab/>
      </w:r>
      <w:r>
        <w:rPr>
          <w:noProof/>
        </w:rPr>
        <w:fldChar w:fldCharType="begin"/>
      </w:r>
      <w:r>
        <w:rPr>
          <w:noProof/>
        </w:rPr>
        <w:instrText xml:space="preserve"> PAGEREF _Toc158713118 \h </w:instrText>
      </w:r>
      <w:r>
        <w:rPr>
          <w:noProof/>
        </w:rPr>
      </w:r>
      <w:r>
        <w:rPr>
          <w:noProof/>
        </w:rPr>
        <w:fldChar w:fldCharType="separate"/>
      </w:r>
      <w:r>
        <w:rPr>
          <w:noProof/>
        </w:rPr>
        <w:t>613</w:t>
      </w:r>
      <w:r>
        <w:rPr>
          <w:noProof/>
        </w:rPr>
        <w:fldChar w:fldCharType="end"/>
      </w:r>
    </w:p>
    <w:p w14:paraId="6BBB35E3" w14:textId="46AD1C5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10.2.125  Responsible entity to be a public company and hold an Australian financial services licence</w:t>
      </w:r>
      <w:r>
        <w:rPr>
          <w:noProof/>
        </w:rPr>
        <w:tab/>
      </w:r>
      <w:r>
        <w:rPr>
          <w:noProof/>
        </w:rPr>
        <w:fldChar w:fldCharType="begin"/>
      </w:r>
      <w:r>
        <w:rPr>
          <w:noProof/>
        </w:rPr>
        <w:instrText xml:space="preserve"> PAGEREF _Toc158713119 \h </w:instrText>
      </w:r>
      <w:r>
        <w:rPr>
          <w:noProof/>
        </w:rPr>
      </w:r>
      <w:r>
        <w:rPr>
          <w:noProof/>
        </w:rPr>
        <w:fldChar w:fldCharType="separate"/>
      </w:r>
      <w:r>
        <w:rPr>
          <w:noProof/>
        </w:rPr>
        <w:t>613</w:t>
      </w:r>
      <w:r>
        <w:rPr>
          <w:noProof/>
        </w:rPr>
        <w:fldChar w:fldCharType="end"/>
      </w:r>
    </w:p>
    <w:p w14:paraId="080F40F3" w14:textId="1A4B5BC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10.2.126  Duties of officers of responsible entity</w:t>
      </w:r>
      <w:r>
        <w:rPr>
          <w:noProof/>
        </w:rPr>
        <w:tab/>
      </w:r>
      <w:r>
        <w:rPr>
          <w:noProof/>
        </w:rPr>
        <w:fldChar w:fldCharType="begin"/>
      </w:r>
      <w:r>
        <w:rPr>
          <w:noProof/>
        </w:rPr>
        <w:instrText xml:space="preserve"> PAGEREF _Toc158713120 \h </w:instrText>
      </w:r>
      <w:r>
        <w:rPr>
          <w:noProof/>
        </w:rPr>
      </w:r>
      <w:r>
        <w:rPr>
          <w:noProof/>
        </w:rPr>
        <w:fldChar w:fldCharType="separate"/>
      </w:r>
      <w:r>
        <w:rPr>
          <w:noProof/>
        </w:rPr>
        <w:t>613</w:t>
      </w:r>
      <w:r>
        <w:rPr>
          <w:noProof/>
        </w:rPr>
        <w:fldChar w:fldCharType="end"/>
      </w:r>
    </w:p>
    <w:p w14:paraId="4C3B6AF1" w14:textId="7F80E5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10.2.127  Voidable contracts</w:t>
      </w:r>
      <w:r>
        <w:rPr>
          <w:noProof/>
        </w:rPr>
        <w:tab/>
      </w:r>
      <w:r>
        <w:rPr>
          <w:noProof/>
        </w:rPr>
        <w:fldChar w:fldCharType="begin"/>
      </w:r>
      <w:r>
        <w:rPr>
          <w:noProof/>
        </w:rPr>
        <w:instrText xml:space="preserve"> PAGEREF _Toc158713121 \h </w:instrText>
      </w:r>
      <w:r>
        <w:rPr>
          <w:noProof/>
        </w:rPr>
      </w:r>
      <w:r>
        <w:rPr>
          <w:noProof/>
        </w:rPr>
        <w:fldChar w:fldCharType="separate"/>
      </w:r>
      <w:r>
        <w:rPr>
          <w:noProof/>
        </w:rPr>
        <w:t>613</w:t>
      </w:r>
      <w:r>
        <w:rPr>
          <w:noProof/>
        </w:rPr>
        <w:fldChar w:fldCharType="end"/>
      </w:r>
    </w:p>
    <w:p w14:paraId="1E827007" w14:textId="4E0491D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10.2.128  Situations not giving rise to relevant interests</w:t>
      </w:r>
      <w:r>
        <w:rPr>
          <w:noProof/>
        </w:rPr>
        <w:tab/>
      </w:r>
      <w:r>
        <w:rPr>
          <w:noProof/>
        </w:rPr>
        <w:fldChar w:fldCharType="begin"/>
      </w:r>
      <w:r>
        <w:rPr>
          <w:noProof/>
        </w:rPr>
        <w:instrText xml:space="preserve"> PAGEREF _Toc158713122 \h </w:instrText>
      </w:r>
      <w:r>
        <w:rPr>
          <w:noProof/>
        </w:rPr>
      </w:r>
      <w:r>
        <w:rPr>
          <w:noProof/>
        </w:rPr>
        <w:fldChar w:fldCharType="separate"/>
      </w:r>
      <w:r>
        <w:rPr>
          <w:noProof/>
        </w:rPr>
        <w:t>614</w:t>
      </w:r>
      <w:r>
        <w:rPr>
          <w:noProof/>
        </w:rPr>
        <w:fldChar w:fldCharType="end"/>
      </w:r>
    </w:p>
    <w:p w14:paraId="0D10732B" w14:textId="20C43D4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10.2.129  Bidder’s statement content</w:t>
      </w:r>
      <w:r>
        <w:rPr>
          <w:noProof/>
        </w:rPr>
        <w:tab/>
      </w:r>
      <w:r>
        <w:rPr>
          <w:noProof/>
        </w:rPr>
        <w:fldChar w:fldCharType="begin"/>
      </w:r>
      <w:r>
        <w:rPr>
          <w:noProof/>
        </w:rPr>
        <w:instrText xml:space="preserve"> PAGEREF _Toc158713123 \h </w:instrText>
      </w:r>
      <w:r>
        <w:rPr>
          <w:noProof/>
        </w:rPr>
      </w:r>
      <w:r>
        <w:rPr>
          <w:noProof/>
        </w:rPr>
        <w:fldChar w:fldCharType="separate"/>
      </w:r>
      <w:r>
        <w:rPr>
          <w:noProof/>
        </w:rPr>
        <w:t>614</w:t>
      </w:r>
      <w:r>
        <w:rPr>
          <w:noProof/>
        </w:rPr>
        <w:fldChar w:fldCharType="end"/>
      </w:r>
    </w:p>
    <w:p w14:paraId="4B1EFC0E" w14:textId="5F94BBB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10.2.130  Continuous disclosure: other disclosing entities</w:t>
      </w:r>
      <w:r>
        <w:rPr>
          <w:noProof/>
        </w:rPr>
        <w:tab/>
      </w:r>
      <w:r>
        <w:rPr>
          <w:noProof/>
        </w:rPr>
        <w:fldChar w:fldCharType="begin"/>
      </w:r>
      <w:r>
        <w:rPr>
          <w:noProof/>
        </w:rPr>
        <w:instrText xml:space="preserve"> PAGEREF _Toc158713124 \h </w:instrText>
      </w:r>
      <w:r>
        <w:rPr>
          <w:noProof/>
        </w:rPr>
      </w:r>
      <w:r>
        <w:rPr>
          <w:noProof/>
        </w:rPr>
        <w:fldChar w:fldCharType="separate"/>
      </w:r>
      <w:r>
        <w:rPr>
          <w:noProof/>
        </w:rPr>
        <w:t>614</w:t>
      </w:r>
      <w:r>
        <w:rPr>
          <w:noProof/>
        </w:rPr>
        <w:fldChar w:fldCharType="end"/>
      </w:r>
    </w:p>
    <w:p w14:paraId="7EB89134" w14:textId="6B758D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10.2.131  Sale offers that need disclosure: securities issued before FSR commencement</w:t>
      </w:r>
      <w:r>
        <w:rPr>
          <w:noProof/>
        </w:rPr>
        <w:tab/>
      </w:r>
      <w:r>
        <w:rPr>
          <w:noProof/>
        </w:rPr>
        <w:fldChar w:fldCharType="begin"/>
      </w:r>
      <w:r>
        <w:rPr>
          <w:noProof/>
        </w:rPr>
        <w:instrText xml:space="preserve"> PAGEREF _Toc158713125 \h </w:instrText>
      </w:r>
      <w:r>
        <w:rPr>
          <w:noProof/>
        </w:rPr>
      </w:r>
      <w:r>
        <w:rPr>
          <w:noProof/>
        </w:rPr>
        <w:fldChar w:fldCharType="separate"/>
      </w:r>
      <w:r>
        <w:rPr>
          <w:noProof/>
        </w:rPr>
        <w:t>614</w:t>
      </w:r>
      <w:r>
        <w:rPr>
          <w:noProof/>
        </w:rPr>
        <w:fldChar w:fldCharType="end"/>
      </w:r>
    </w:p>
    <w:p w14:paraId="09A77C38" w14:textId="5323845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10.2.132  Offers that do not need disclosure: offer to sophisticated investor through licensed dealer</w:t>
      </w:r>
      <w:r>
        <w:rPr>
          <w:noProof/>
        </w:rPr>
        <w:tab/>
      </w:r>
      <w:r>
        <w:rPr>
          <w:noProof/>
        </w:rPr>
        <w:fldChar w:fldCharType="begin"/>
      </w:r>
      <w:r>
        <w:rPr>
          <w:noProof/>
        </w:rPr>
        <w:instrText xml:space="preserve"> PAGEREF _Toc158713126 \h </w:instrText>
      </w:r>
      <w:r>
        <w:rPr>
          <w:noProof/>
        </w:rPr>
      </w:r>
      <w:r>
        <w:rPr>
          <w:noProof/>
        </w:rPr>
        <w:fldChar w:fldCharType="separate"/>
      </w:r>
      <w:r>
        <w:rPr>
          <w:noProof/>
        </w:rPr>
        <w:t>614</w:t>
      </w:r>
      <w:r>
        <w:rPr>
          <w:noProof/>
        </w:rPr>
        <w:fldChar w:fldCharType="end"/>
      </w:r>
    </w:p>
    <w:p w14:paraId="79551B6D" w14:textId="204552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10.2.133  Prospectus content: general disclosure test</w:t>
      </w:r>
      <w:r>
        <w:rPr>
          <w:noProof/>
        </w:rPr>
        <w:tab/>
      </w:r>
      <w:r>
        <w:rPr>
          <w:noProof/>
        </w:rPr>
        <w:fldChar w:fldCharType="begin"/>
      </w:r>
      <w:r>
        <w:rPr>
          <w:noProof/>
        </w:rPr>
        <w:instrText xml:space="preserve"> PAGEREF _Toc158713127 \h </w:instrText>
      </w:r>
      <w:r>
        <w:rPr>
          <w:noProof/>
        </w:rPr>
      </w:r>
      <w:r>
        <w:rPr>
          <w:noProof/>
        </w:rPr>
        <w:fldChar w:fldCharType="separate"/>
      </w:r>
      <w:r>
        <w:rPr>
          <w:noProof/>
        </w:rPr>
        <w:t>615</w:t>
      </w:r>
      <w:r>
        <w:rPr>
          <w:noProof/>
        </w:rPr>
        <w:fldChar w:fldCharType="end"/>
      </w:r>
    </w:p>
    <w:p w14:paraId="510A0F72" w14:textId="3F0F5C4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10.2.134  Prospectus content—specific disclosures</w:t>
      </w:r>
      <w:r>
        <w:rPr>
          <w:noProof/>
        </w:rPr>
        <w:tab/>
      </w:r>
      <w:r>
        <w:rPr>
          <w:noProof/>
        </w:rPr>
        <w:fldChar w:fldCharType="begin"/>
      </w:r>
      <w:r>
        <w:rPr>
          <w:noProof/>
        </w:rPr>
        <w:instrText xml:space="preserve"> PAGEREF _Toc158713128 \h </w:instrText>
      </w:r>
      <w:r>
        <w:rPr>
          <w:noProof/>
        </w:rPr>
      </w:r>
      <w:r>
        <w:rPr>
          <w:noProof/>
        </w:rPr>
        <w:fldChar w:fldCharType="separate"/>
      </w:r>
      <w:r>
        <w:rPr>
          <w:noProof/>
        </w:rPr>
        <w:t>615</w:t>
      </w:r>
      <w:r>
        <w:rPr>
          <w:noProof/>
        </w:rPr>
        <w:fldChar w:fldCharType="end"/>
      </w:r>
    </w:p>
    <w:p w14:paraId="09FF6328" w14:textId="74F04CB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10.2.135  Registers</w:t>
      </w:r>
      <w:r>
        <w:rPr>
          <w:noProof/>
        </w:rPr>
        <w:tab/>
      </w:r>
      <w:r>
        <w:rPr>
          <w:noProof/>
        </w:rPr>
        <w:fldChar w:fldCharType="begin"/>
      </w:r>
      <w:r>
        <w:rPr>
          <w:noProof/>
        </w:rPr>
        <w:instrText xml:space="preserve"> PAGEREF _Toc158713129 \h </w:instrText>
      </w:r>
      <w:r>
        <w:rPr>
          <w:noProof/>
        </w:rPr>
      </w:r>
      <w:r>
        <w:rPr>
          <w:noProof/>
        </w:rPr>
        <w:fldChar w:fldCharType="separate"/>
      </w:r>
      <w:r>
        <w:rPr>
          <w:noProof/>
        </w:rPr>
        <w:t>615</w:t>
      </w:r>
      <w:r>
        <w:rPr>
          <w:noProof/>
        </w:rPr>
        <w:fldChar w:fldCharType="end"/>
      </w:r>
    </w:p>
    <w:p w14:paraId="258BA7BC" w14:textId="266ED0C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27A—Transitional matters under other legislation</w:t>
      </w:r>
      <w:r>
        <w:rPr>
          <w:noProof/>
        </w:rPr>
        <w:tab/>
      </w:r>
      <w:r>
        <w:rPr>
          <w:noProof/>
        </w:rPr>
        <w:fldChar w:fldCharType="begin"/>
      </w:r>
      <w:r>
        <w:rPr>
          <w:noProof/>
        </w:rPr>
        <w:instrText xml:space="preserve"> PAGEREF _Toc158713130 \h </w:instrText>
      </w:r>
      <w:r>
        <w:rPr>
          <w:noProof/>
        </w:rPr>
      </w:r>
      <w:r>
        <w:rPr>
          <w:noProof/>
        </w:rPr>
        <w:fldChar w:fldCharType="separate"/>
      </w:r>
      <w:r>
        <w:rPr>
          <w:noProof/>
        </w:rPr>
        <w:t>616</w:t>
      </w:r>
      <w:r>
        <w:rPr>
          <w:noProof/>
        </w:rPr>
        <w:fldChar w:fldCharType="end"/>
      </w:r>
    </w:p>
    <w:p w14:paraId="79AEA598" w14:textId="2225F11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10.2.135A  References to authorised foreign exchange dealers</w:t>
      </w:r>
      <w:r>
        <w:rPr>
          <w:noProof/>
        </w:rPr>
        <w:tab/>
      </w:r>
      <w:r>
        <w:rPr>
          <w:noProof/>
        </w:rPr>
        <w:fldChar w:fldCharType="begin"/>
      </w:r>
      <w:r>
        <w:rPr>
          <w:noProof/>
        </w:rPr>
        <w:instrText xml:space="preserve"> PAGEREF _Toc158713131 \h </w:instrText>
      </w:r>
      <w:r>
        <w:rPr>
          <w:noProof/>
        </w:rPr>
      </w:r>
      <w:r>
        <w:rPr>
          <w:noProof/>
        </w:rPr>
        <w:fldChar w:fldCharType="separate"/>
      </w:r>
      <w:r>
        <w:rPr>
          <w:noProof/>
        </w:rPr>
        <w:t>616</w:t>
      </w:r>
      <w:r>
        <w:rPr>
          <w:noProof/>
        </w:rPr>
        <w:fldChar w:fldCharType="end"/>
      </w:r>
    </w:p>
    <w:p w14:paraId="3C13B14E" w14:textId="55A4DCA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28</w:t>
      </w:r>
      <w:r w:rsidRPr="00FC743A">
        <w:rPr>
          <w:noProof/>
          <w:color w:val="000000"/>
        </w:rPr>
        <w:t>—</w:t>
      </w:r>
      <w:r>
        <w:rPr>
          <w:noProof/>
        </w:rPr>
        <w:t>Retail clients and wholesale clients</w:t>
      </w:r>
      <w:r>
        <w:rPr>
          <w:noProof/>
        </w:rPr>
        <w:tab/>
      </w:r>
      <w:r>
        <w:rPr>
          <w:noProof/>
        </w:rPr>
        <w:fldChar w:fldCharType="begin"/>
      </w:r>
      <w:r>
        <w:rPr>
          <w:noProof/>
        </w:rPr>
        <w:instrText xml:space="preserve"> PAGEREF _Toc158713132 \h </w:instrText>
      </w:r>
      <w:r>
        <w:rPr>
          <w:noProof/>
        </w:rPr>
      </w:r>
      <w:r>
        <w:rPr>
          <w:noProof/>
        </w:rPr>
        <w:fldChar w:fldCharType="separate"/>
      </w:r>
      <w:r>
        <w:rPr>
          <w:noProof/>
        </w:rPr>
        <w:t>617</w:t>
      </w:r>
      <w:r>
        <w:rPr>
          <w:noProof/>
        </w:rPr>
        <w:fldChar w:fldCharType="end"/>
      </w:r>
    </w:p>
    <w:p w14:paraId="5A85C531" w14:textId="44A886C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10.2.136  Securities before the FSR commencement</w:t>
      </w:r>
      <w:r>
        <w:rPr>
          <w:noProof/>
        </w:rPr>
        <w:tab/>
      </w:r>
      <w:r>
        <w:rPr>
          <w:noProof/>
        </w:rPr>
        <w:fldChar w:fldCharType="begin"/>
      </w:r>
      <w:r>
        <w:rPr>
          <w:noProof/>
        </w:rPr>
        <w:instrText xml:space="preserve"> PAGEREF _Toc158713133 \h </w:instrText>
      </w:r>
      <w:r>
        <w:rPr>
          <w:noProof/>
        </w:rPr>
      </w:r>
      <w:r>
        <w:rPr>
          <w:noProof/>
        </w:rPr>
        <w:fldChar w:fldCharType="separate"/>
      </w:r>
      <w:r>
        <w:rPr>
          <w:noProof/>
        </w:rPr>
        <w:t>617</w:t>
      </w:r>
      <w:r>
        <w:rPr>
          <w:noProof/>
        </w:rPr>
        <w:fldChar w:fldCharType="end"/>
      </w:r>
    </w:p>
    <w:p w14:paraId="58EACA0E" w14:textId="751B4C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10.2.137  Incomplete financial services</w:t>
      </w:r>
      <w:r>
        <w:rPr>
          <w:noProof/>
        </w:rPr>
        <w:tab/>
      </w:r>
      <w:r>
        <w:rPr>
          <w:noProof/>
        </w:rPr>
        <w:fldChar w:fldCharType="begin"/>
      </w:r>
      <w:r>
        <w:rPr>
          <w:noProof/>
        </w:rPr>
        <w:instrText xml:space="preserve"> PAGEREF _Toc158713134 \h </w:instrText>
      </w:r>
      <w:r>
        <w:rPr>
          <w:noProof/>
        </w:rPr>
      </w:r>
      <w:r>
        <w:rPr>
          <w:noProof/>
        </w:rPr>
        <w:fldChar w:fldCharType="separate"/>
      </w:r>
      <w:r>
        <w:rPr>
          <w:noProof/>
        </w:rPr>
        <w:t>617</w:t>
      </w:r>
      <w:r>
        <w:rPr>
          <w:noProof/>
        </w:rPr>
        <w:fldChar w:fldCharType="end"/>
      </w:r>
    </w:p>
    <w:p w14:paraId="42567272" w14:textId="3BBDE34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10.2.138  Professional investors</w:t>
      </w:r>
      <w:r>
        <w:rPr>
          <w:noProof/>
        </w:rPr>
        <w:tab/>
      </w:r>
      <w:r>
        <w:rPr>
          <w:noProof/>
        </w:rPr>
        <w:fldChar w:fldCharType="begin"/>
      </w:r>
      <w:r>
        <w:rPr>
          <w:noProof/>
        </w:rPr>
        <w:instrText xml:space="preserve"> PAGEREF _Toc158713135 \h </w:instrText>
      </w:r>
      <w:r>
        <w:rPr>
          <w:noProof/>
        </w:rPr>
      </w:r>
      <w:r>
        <w:rPr>
          <w:noProof/>
        </w:rPr>
        <w:fldChar w:fldCharType="separate"/>
      </w:r>
      <w:r>
        <w:rPr>
          <w:noProof/>
        </w:rPr>
        <w:t>618</w:t>
      </w:r>
      <w:r>
        <w:rPr>
          <w:noProof/>
        </w:rPr>
        <w:fldChar w:fldCharType="end"/>
      </w:r>
    </w:p>
    <w:p w14:paraId="097166D2" w14:textId="7DE1DFD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29—Effect on definitions in old Corporations Act of transition to licensed markets and licensed CS facilities</w:t>
      </w:r>
      <w:r>
        <w:rPr>
          <w:noProof/>
        </w:rPr>
        <w:tab/>
      </w:r>
      <w:r>
        <w:rPr>
          <w:noProof/>
        </w:rPr>
        <w:fldChar w:fldCharType="begin"/>
      </w:r>
      <w:r>
        <w:rPr>
          <w:noProof/>
        </w:rPr>
        <w:instrText xml:space="preserve"> PAGEREF _Toc158713136 \h </w:instrText>
      </w:r>
      <w:r>
        <w:rPr>
          <w:noProof/>
        </w:rPr>
      </w:r>
      <w:r>
        <w:rPr>
          <w:noProof/>
        </w:rPr>
        <w:fldChar w:fldCharType="separate"/>
      </w:r>
      <w:r>
        <w:rPr>
          <w:noProof/>
        </w:rPr>
        <w:t>619</w:t>
      </w:r>
      <w:r>
        <w:rPr>
          <w:noProof/>
        </w:rPr>
        <w:fldChar w:fldCharType="end"/>
      </w:r>
    </w:p>
    <w:p w14:paraId="5E822CE0" w14:textId="1F7060C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10.2.139  Approved foreign bank</w:t>
      </w:r>
      <w:r>
        <w:rPr>
          <w:noProof/>
        </w:rPr>
        <w:tab/>
      </w:r>
      <w:r>
        <w:rPr>
          <w:noProof/>
        </w:rPr>
        <w:fldChar w:fldCharType="begin"/>
      </w:r>
      <w:r>
        <w:rPr>
          <w:noProof/>
        </w:rPr>
        <w:instrText xml:space="preserve"> PAGEREF _Toc158713137 \h </w:instrText>
      </w:r>
      <w:r>
        <w:rPr>
          <w:noProof/>
        </w:rPr>
      </w:r>
      <w:r>
        <w:rPr>
          <w:noProof/>
        </w:rPr>
        <w:fldChar w:fldCharType="separate"/>
      </w:r>
      <w:r>
        <w:rPr>
          <w:noProof/>
        </w:rPr>
        <w:t>619</w:t>
      </w:r>
      <w:r>
        <w:rPr>
          <w:noProof/>
        </w:rPr>
        <w:fldChar w:fldCharType="end"/>
      </w:r>
    </w:p>
    <w:p w14:paraId="43007C1F" w14:textId="160DD14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10.2.140  Eligible exchange</w:t>
      </w:r>
      <w:r>
        <w:rPr>
          <w:noProof/>
        </w:rPr>
        <w:noBreakHyphen/>
        <w:t>traded options</w:t>
      </w:r>
      <w:r>
        <w:rPr>
          <w:noProof/>
        </w:rPr>
        <w:tab/>
      </w:r>
      <w:r>
        <w:rPr>
          <w:noProof/>
        </w:rPr>
        <w:fldChar w:fldCharType="begin"/>
      </w:r>
      <w:r>
        <w:rPr>
          <w:noProof/>
        </w:rPr>
        <w:instrText xml:space="preserve"> PAGEREF _Toc158713138 \h </w:instrText>
      </w:r>
      <w:r>
        <w:rPr>
          <w:noProof/>
        </w:rPr>
      </w:r>
      <w:r>
        <w:rPr>
          <w:noProof/>
        </w:rPr>
        <w:fldChar w:fldCharType="separate"/>
      </w:r>
      <w:r>
        <w:rPr>
          <w:noProof/>
        </w:rPr>
        <w:t>619</w:t>
      </w:r>
      <w:r>
        <w:rPr>
          <w:noProof/>
        </w:rPr>
        <w:fldChar w:fldCharType="end"/>
      </w:r>
    </w:p>
    <w:p w14:paraId="04A67693" w14:textId="376A38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10.2.141  Futures law</w:t>
      </w:r>
      <w:r>
        <w:rPr>
          <w:noProof/>
        </w:rPr>
        <w:tab/>
      </w:r>
      <w:r>
        <w:rPr>
          <w:noProof/>
        </w:rPr>
        <w:fldChar w:fldCharType="begin"/>
      </w:r>
      <w:r>
        <w:rPr>
          <w:noProof/>
        </w:rPr>
        <w:instrText xml:space="preserve"> PAGEREF _Toc158713139 \h </w:instrText>
      </w:r>
      <w:r>
        <w:rPr>
          <w:noProof/>
        </w:rPr>
      </w:r>
      <w:r>
        <w:rPr>
          <w:noProof/>
        </w:rPr>
        <w:fldChar w:fldCharType="separate"/>
      </w:r>
      <w:r>
        <w:rPr>
          <w:noProof/>
        </w:rPr>
        <w:t>619</w:t>
      </w:r>
      <w:r>
        <w:rPr>
          <w:noProof/>
        </w:rPr>
        <w:fldChar w:fldCharType="end"/>
      </w:r>
    </w:p>
    <w:p w14:paraId="011F998E" w14:textId="4A99FFC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10.2.142  Member organisation</w:t>
      </w:r>
      <w:r>
        <w:rPr>
          <w:noProof/>
        </w:rPr>
        <w:tab/>
      </w:r>
      <w:r>
        <w:rPr>
          <w:noProof/>
        </w:rPr>
        <w:fldChar w:fldCharType="begin"/>
      </w:r>
      <w:r>
        <w:rPr>
          <w:noProof/>
        </w:rPr>
        <w:instrText xml:space="preserve"> PAGEREF _Toc158713140 \h </w:instrText>
      </w:r>
      <w:r>
        <w:rPr>
          <w:noProof/>
        </w:rPr>
      </w:r>
      <w:r>
        <w:rPr>
          <w:noProof/>
        </w:rPr>
        <w:fldChar w:fldCharType="separate"/>
      </w:r>
      <w:r>
        <w:rPr>
          <w:noProof/>
        </w:rPr>
        <w:t>619</w:t>
      </w:r>
      <w:r>
        <w:rPr>
          <w:noProof/>
        </w:rPr>
        <w:fldChar w:fldCharType="end"/>
      </w:r>
    </w:p>
    <w:p w14:paraId="3452A03F" w14:textId="6E25236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10.2.143  Non</w:t>
      </w:r>
      <w:r>
        <w:rPr>
          <w:noProof/>
        </w:rPr>
        <w:noBreakHyphen/>
        <w:t>broker</w:t>
      </w:r>
      <w:r>
        <w:rPr>
          <w:noProof/>
        </w:rPr>
        <w:tab/>
      </w:r>
      <w:r>
        <w:rPr>
          <w:noProof/>
        </w:rPr>
        <w:fldChar w:fldCharType="begin"/>
      </w:r>
      <w:r>
        <w:rPr>
          <w:noProof/>
        </w:rPr>
        <w:instrText xml:space="preserve"> PAGEREF _Toc158713141 \h </w:instrText>
      </w:r>
      <w:r>
        <w:rPr>
          <w:noProof/>
        </w:rPr>
      </w:r>
      <w:r>
        <w:rPr>
          <w:noProof/>
        </w:rPr>
        <w:fldChar w:fldCharType="separate"/>
      </w:r>
      <w:r>
        <w:rPr>
          <w:noProof/>
        </w:rPr>
        <w:t>619</w:t>
      </w:r>
      <w:r>
        <w:rPr>
          <w:noProof/>
        </w:rPr>
        <w:fldChar w:fldCharType="end"/>
      </w:r>
    </w:p>
    <w:p w14:paraId="60DA6B8D" w14:textId="34BA80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10.2.144  Non</w:t>
      </w:r>
      <w:r>
        <w:rPr>
          <w:noProof/>
        </w:rPr>
        <w:noBreakHyphen/>
        <w:t>dealer</w:t>
      </w:r>
      <w:r>
        <w:rPr>
          <w:noProof/>
        </w:rPr>
        <w:tab/>
      </w:r>
      <w:r>
        <w:rPr>
          <w:noProof/>
        </w:rPr>
        <w:fldChar w:fldCharType="begin"/>
      </w:r>
      <w:r>
        <w:rPr>
          <w:noProof/>
        </w:rPr>
        <w:instrText xml:space="preserve"> PAGEREF _Toc158713142 \h </w:instrText>
      </w:r>
      <w:r>
        <w:rPr>
          <w:noProof/>
        </w:rPr>
      </w:r>
      <w:r>
        <w:rPr>
          <w:noProof/>
        </w:rPr>
        <w:fldChar w:fldCharType="separate"/>
      </w:r>
      <w:r>
        <w:rPr>
          <w:noProof/>
        </w:rPr>
        <w:t>619</w:t>
      </w:r>
      <w:r>
        <w:rPr>
          <w:noProof/>
        </w:rPr>
        <w:fldChar w:fldCharType="end"/>
      </w:r>
    </w:p>
    <w:p w14:paraId="365CDD52" w14:textId="7D6D727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10.2.145  Securities law</w:t>
      </w:r>
      <w:r>
        <w:rPr>
          <w:noProof/>
        </w:rPr>
        <w:tab/>
      </w:r>
      <w:r>
        <w:rPr>
          <w:noProof/>
        </w:rPr>
        <w:fldChar w:fldCharType="begin"/>
      </w:r>
      <w:r>
        <w:rPr>
          <w:noProof/>
        </w:rPr>
        <w:instrText xml:space="preserve"> PAGEREF _Toc158713143 \h </w:instrText>
      </w:r>
      <w:r>
        <w:rPr>
          <w:noProof/>
        </w:rPr>
      </w:r>
      <w:r>
        <w:rPr>
          <w:noProof/>
        </w:rPr>
        <w:fldChar w:fldCharType="separate"/>
      </w:r>
      <w:r>
        <w:rPr>
          <w:noProof/>
        </w:rPr>
        <w:t>620</w:t>
      </w:r>
      <w:r>
        <w:rPr>
          <w:noProof/>
        </w:rPr>
        <w:fldChar w:fldCharType="end"/>
      </w:r>
    </w:p>
    <w:p w14:paraId="23A373E6" w14:textId="4BE4C56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10.2.146  Marketable parcel</w:t>
      </w:r>
      <w:r>
        <w:rPr>
          <w:noProof/>
        </w:rPr>
        <w:tab/>
      </w:r>
      <w:r>
        <w:rPr>
          <w:noProof/>
        </w:rPr>
        <w:fldChar w:fldCharType="begin"/>
      </w:r>
      <w:r>
        <w:rPr>
          <w:noProof/>
        </w:rPr>
        <w:instrText xml:space="preserve"> PAGEREF _Toc158713144 \h </w:instrText>
      </w:r>
      <w:r>
        <w:rPr>
          <w:noProof/>
        </w:rPr>
      </w:r>
      <w:r>
        <w:rPr>
          <w:noProof/>
        </w:rPr>
        <w:fldChar w:fldCharType="separate"/>
      </w:r>
      <w:r>
        <w:rPr>
          <w:noProof/>
        </w:rPr>
        <w:t>620</w:t>
      </w:r>
      <w:r>
        <w:rPr>
          <w:noProof/>
        </w:rPr>
        <w:fldChar w:fldCharType="end"/>
      </w:r>
    </w:p>
    <w:p w14:paraId="50A2019D" w14:textId="49A0BDC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30—Effect on certain conduct of transition to licensed markets and licensed CS facilities</w:t>
      </w:r>
      <w:r>
        <w:rPr>
          <w:noProof/>
        </w:rPr>
        <w:tab/>
      </w:r>
      <w:r>
        <w:rPr>
          <w:noProof/>
        </w:rPr>
        <w:fldChar w:fldCharType="begin"/>
      </w:r>
      <w:r>
        <w:rPr>
          <w:noProof/>
        </w:rPr>
        <w:instrText xml:space="preserve"> PAGEREF _Toc158713145 \h </w:instrText>
      </w:r>
      <w:r>
        <w:rPr>
          <w:noProof/>
        </w:rPr>
      </w:r>
      <w:r>
        <w:rPr>
          <w:noProof/>
        </w:rPr>
        <w:fldChar w:fldCharType="separate"/>
      </w:r>
      <w:r>
        <w:rPr>
          <w:noProof/>
        </w:rPr>
        <w:t>621</w:t>
      </w:r>
      <w:r>
        <w:rPr>
          <w:noProof/>
        </w:rPr>
        <w:fldChar w:fldCharType="end"/>
      </w:r>
    </w:p>
    <w:p w14:paraId="7224D3AD" w14:textId="3B20A38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10.2.147  Own account dealings and transactions: futures contracts</w:t>
      </w:r>
      <w:r>
        <w:rPr>
          <w:noProof/>
        </w:rPr>
        <w:tab/>
      </w:r>
      <w:r>
        <w:rPr>
          <w:noProof/>
        </w:rPr>
        <w:fldChar w:fldCharType="begin"/>
      </w:r>
      <w:r>
        <w:rPr>
          <w:noProof/>
        </w:rPr>
        <w:instrText xml:space="preserve"> PAGEREF _Toc158713146 \h </w:instrText>
      </w:r>
      <w:r>
        <w:rPr>
          <w:noProof/>
        </w:rPr>
      </w:r>
      <w:r>
        <w:rPr>
          <w:noProof/>
        </w:rPr>
        <w:fldChar w:fldCharType="separate"/>
      </w:r>
      <w:r>
        <w:rPr>
          <w:noProof/>
        </w:rPr>
        <w:t>621</w:t>
      </w:r>
      <w:r>
        <w:rPr>
          <w:noProof/>
        </w:rPr>
        <w:fldChar w:fldCharType="end"/>
      </w:r>
    </w:p>
    <w:p w14:paraId="09D9866B" w14:textId="7BE36C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10.2.148  Conditions of dealers licence</w:t>
      </w:r>
      <w:r>
        <w:rPr>
          <w:noProof/>
        </w:rPr>
        <w:tab/>
      </w:r>
      <w:r>
        <w:rPr>
          <w:noProof/>
        </w:rPr>
        <w:fldChar w:fldCharType="begin"/>
      </w:r>
      <w:r>
        <w:rPr>
          <w:noProof/>
        </w:rPr>
        <w:instrText xml:space="preserve"> PAGEREF _Toc158713147 \h </w:instrText>
      </w:r>
      <w:r>
        <w:rPr>
          <w:noProof/>
        </w:rPr>
      </w:r>
      <w:r>
        <w:rPr>
          <w:noProof/>
        </w:rPr>
        <w:fldChar w:fldCharType="separate"/>
      </w:r>
      <w:r>
        <w:rPr>
          <w:noProof/>
        </w:rPr>
        <w:t>621</w:t>
      </w:r>
      <w:r>
        <w:rPr>
          <w:noProof/>
        </w:rPr>
        <w:fldChar w:fldCharType="end"/>
      </w:r>
    </w:p>
    <w:p w14:paraId="79066001" w14:textId="19939B7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10.2.149  Persons who are not clients</w:t>
      </w:r>
      <w:r>
        <w:rPr>
          <w:noProof/>
        </w:rPr>
        <w:tab/>
      </w:r>
      <w:r>
        <w:rPr>
          <w:noProof/>
        </w:rPr>
        <w:fldChar w:fldCharType="begin"/>
      </w:r>
      <w:r>
        <w:rPr>
          <w:noProof/>
        </w:rPr>
        <w:instrText xml:space="preserve"> PAGEREF _Toc158713148 \h </w:instrText>
      </w:r>
      <w:r>
        <w:rPr>
          <w:noProof/>
        </w:rPr>
      </w:r>
      <w:r>
        <w:rPr>
          <w:noProof/>
        </w:rPr>
        <w:fldChar w:fldCharType="separate"/>
      </w:r>
      <w:r>
        <w:rPr>
          <w:noProof/>
        </w:rPr>
        <w:t>621</w:t>
      </w:r>
      <w:r>
        <w:rPr>
          <w:noProof/>
        </w:rPr>
        <w:fldChar w:fldCharType="end"/>
      </w:r>
    </w:p>
    <w:p w14:paraId="049DFBDB" w14:textId="2AE1D7E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10.2.150  Dealings and transactions on a dealer’s own account</w:t>
      </w:r>
      <w:r>
        <w:rPr>
          <w:noProof/>
        </w:rPr>
        <w:tab/>
      </w:r>
      <w:r>
        <w:rPr>
          <w:noProof/>
        </w:rPr>
        <w:fldChar w:fldCharType="begin"/>
      </w:r>
      <w:r>
        <w:rPr>
          <w:noProof/>
        </w:rPr>
        <w:instrText xml:space="preserve"> PAGEREF _Toc158713149 \h </w:instrText>
      </w:r>
      <w:r>
        <w:rPr>
          <w:noProof/>
        </w:rPr>
      </w:r>
      <w:r>
        <w:rPr>
          <w:noProof/>
        </w:rPr>
        <w:fldChar w:fldCharType="separate"/>
      </w:r>
      <w:r>
        <w:rPr>
          <w:noProof/>
        </w:rPr>
        <w:t>621</w:t>
      </w:r>
      <w:r>
        <w:rPr>
          <w:noProof/>
        </w:rPr>
        <w:fldChar w:fldCharType="end"/>
      </w:r>
    </w:p>
    <w:p w14:paraId="3BD3ACD8" w14:textId="73FFD48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10.2.151  Dealer to give priority to clients’ orders</w:t>
      </w:r>
      <w:r>
        <w:rPr>
          <w:noProof/>
        </w:rPr>
        <w:tab/>
      </w:r>
      <w:r>
        <w:rPr>
          <w:noProof/>
        </w:rPr>
        <w:fldChar w:fldCharType="begin"/>
      </w:r>
      <w:r>
        <w:rPr>
          <w:noProof/>
        </w:rPr>
        <w:instrText xml:space="preserve"> PAGEREF _Toc158713150 \h </w:instrText>
      </w:r>
      <w:r>
        <w:rPr>
          <w:noProof/>
        </w:rPr>
      </w:r>
      <w:r>
        <w:rPr>
          <w:noProof/>
        </w:rPr>
        <w:fldChar w:fldCharType="separate"/>
      </w:r>
      <w:r>
        <w:rPr>
          <w:noProof/>
        </w:rPr>
        <w:t>621</w:t>
      </w:r>
      <w:r>
        <w:rPr>
          <w:noProof/>
        </w:rPr>
        <w:fldChar w:fldCharType="end"/>
      </w:r>
    </w:p>
    <w:p w14:paraId="429A9B5B" w14:textId="23EA4C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10.2.152  Dealers’ financial records</w:t>
      </w:r>
      <w:r>
        <w:rPr>
          <w:noProof/>
        </w:rPr>
        <w:tab/>
      </w:r>
      <w:r>
        <w:rPr>
          <w:noProof/>
        </w:rPr>
        <w:fldChar w:fldCharType="begin"/>
      </w:r>
      <w:r>
        <w:rPr>
          <w:noProof/>
        </w:rPr>
        <w:instrText xml:space="preserve"> PAGEREF _Toc158713151 \h </w:instrText>
      </w:r>
      <w:r>
        <w:rPr>
          <w:noProof/>
        </w:rPr>
      </w:r>
      <w:r>
        <w:rPr>
          <w:noProof/>
        </w:rPr>
        <w:fldChar w:fldCharType="separate"/>
      </w:r>
      <w:r>
        <w:rPr>
          <w:noProof/>
        </w:rPr>
        <w:t>621</w:t>
      </w:r>
      <w:r>
        <w:rPr>
          <w:noProof/>
        </w:rPr>
        <w:fldChar w:fldCharType="end"/>
      </w:r>
    </w:p>
    <w:p w14:paraId="4046D770" w14:textId="1584AA3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10.2.153  Auditor to report to ASIC on certain matters</w:t>
      </w:r>
      <w:r>
        <w:rPr>
          <w:noProof/>
        </w:rPr>
        <w:tab/>
      </w:r>
      <w:r>
        <w:rPr>
          <w:noProof/>
        </w:rPr>
        <w:fldChar w:fldCharType="begin"/>
      </w:r>
      <w:r>
        <w:rPr>
          <w:noProof/>
        </w:rPr>
        <w:instrText xml:space="preserve"> PAGEREF _Toc158713152 \h </w:instrText>
      </w:r>
      <w:r>
        <w:rPr>
          <w:noProof/>
        </w:rPr>
      </w:r>
      <w:r>
        <w:rPr>
          <w:noProof/>
        </w:rPr>
        <w:fldChar w:fldCharType="separate"/>
      </w:r>
      <w:r>
        <w:rPr>
          <w:noProof/>
        </w:rPr>
        <w:t>621</w:t>
      </w:r>
      <w:r>
        <w:rPr>
          <w:noProof/>
        </w:rPr>
        <w:fldChar w:fldCharType="end"/>
      </w:r>
    </w:p>
    <w:p w14:paraId="78C3B44F" w14:textId="20CEA5D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10.2.154  Qualified privilege for auditor</w:t>
      </w:r>
      <w:r>
        <w:rPr>
          <w:noProof/>
        </w:rPr>
        <w:tab/>
      </w:r>
      <w:r>
        <w:rPr>
          <w:noProof/>
        </w:rPr>
        <w:fldChar w:fldCharType="begin"/>
      </w:r>
      <w:r>
        <w:rPr>
          <w:noProof/>
        </w:rPr>
        <w:instrText xml:space="preserve"> PAGEREF _Toc158713153 \h </w:instrText>
      </w:r>
      <w:r>
        <w:rPr>
          <w:noProof/>
        </w:rPr>
      </w:r>
      <w:r>
        <w:rPr>
          <w:noProof/>
        </w:rPr>
        <w:fldChar w:fldCharType="separate"/>
      </w:r>
      <w:r>
        <w:rPr>
          <w:noProof/>
        </w:rPr>
        <w:t>622</w:t>
      </w:r>
      <w:r>
        <w:rPr>
          <w:noProof/>
        </w:rPr>
        <w:fldChar w:fldCharType="end"/>
      </w:r>
    </w:p>
    <w:p w14:paraId="06E925A0" w14:textId="20ECAF3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10.2.155  Court may freeze certain bank accounts of dealers and former dealers</w:t>
      </w:r>
      <w:r>
        <w:rPr>
          <w:noProof/>
        </w:rPr>
        <w:tab/>
      </w:r>
      <w:r>
        <w:rPr>
          <w:noProof/>
        </w:rPr>
        <w:fldChar w:fldCharType="begin"/>
      </w:r>
      <w:r>
        <w:rPr>
          <w:noProof/>
        </w:rPr>
        <w:instrText xml:space="preserve"> PAGEREF _Toc158713154 \h </w:instrText>
      </w:r>
      <w:r>
        <w:rPr>
          <w:noProof/>
        </w:rPr>
      </w:r>
      <w:r>
        <w:rPr>
          <w:noProof/>
        </w:rPr>
        <w:fldChar w:fldCharType="separate"/>
      </w:r>
      <w:r>
        <w:rPr>
          <w:noProof/>
        </w:rPr>
        <w:t>622</w:t>
      </w:r>
      <w:r>
        <w:rPr>
          <w:noProof/>
        </w:rPr>
        <w:fldChar w:fldCharType="end"/>
      </w:r>
    </w:p>
    <w:p w14:paraId="39552665" w14:textId="281C1A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10.2.156  Interpretation—registers</w:t>
      </w:r>
      <w:r>
        <w:rPr>
          <w:noProof/>
        </w:rPr>
        <w:tab/>
      </w:r>
      <w:r>
        <w:rPr>
          <w:noProof/>
        </w:rPr>
        <w:fldChar w:fldCharType="begin"/>
      </w:r>
      <w:r>
        <w:rPr>
          <w:noProof/>
        </w:rPr>
        <w:instrText xml:space="preserve"> PAGEREF _Toc158713155 \h </w:instrText>
      </w:r>
      <w:r>
        <w:rPr>
          <w:noProof/>
        </w:rPr>
      </w:r>
      <w:r>
        <w:rPr>
          <w:noProof/>
        </w:rPr>
        <w:fldChar w:fldCharType="separate"/>
      </w:r>
      <w:r>
        <w:rPr>
          <w:noProof/>
        </w:rPr>
        <w:t>622</w:t>
      </w:r>
      <w:r>
        <w:rPr>
          <w:noProof/>
        </w:rPr>
        <w:fldChar w:fldCharType="end"/>
      </w:r>
    </w:p>
    <w:p w14:paraId="12AEBE2C" w14:textId="4B367C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10.2.157  Conditions of futures broker’s licence: membership of futures organisation</w:t>
      </w:r>
      <w:r>
        <w:rPr>
          <w:noProof/>
        </w:rPr>
        <w:tab/>
      </w:r>
      <w:r>
        <w:rPr>
          <w:noProof/>
        </w:rPr>
        <w:fldChar w:fldCharType="begin"/>
      </w:r>
      <w:r>
        <w:rPr>
          <w:noProof/>
        </w:rPr>
        <w:instrText xml:space="preserve"> PAGEREF _Toc158713156 \h </w:instrText>
      </w:r>
      <w:r>
        <w:rPr>
          <w:noProof/>
        </w:rPr>
      </w:r>
      <w:r>
        <w:rPr>
          <w:noProof/>
        </w:rPr>
        <w:fldChar w:fldCharType="separate"/>
      </w:r>
      <w:r>
        <w:rPr>
          <w:noProof/>
        </w:rPr>
        <w:t>622</w:t>
      </w:r>
      <w:r>
        <w:rPr>
          <w:noProof/>
        </w:rPr>
        <w:fldChar w:fldCharType="end"/>
      </w:r>
    </w:p>
    <w:p w14:paraId="54C24A6A" w14:textId="7E8882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10.2.158  Futures organisation to be informed about conditions of futures brokers licence</w:t>
      </w:r>
      <w:r>
        <w:rPr>
          <w:noProof/>
        </w:rPr>
        <w:tab/>
      </w:r>
      <w:r>
        <w:rPr>
          <w:noProof/>
        </w:rPr>
        <w:fldChar w:fldCharType="begin"/>
      </w:r>
      <w:r>
        <w:rPr>
          <w:noProof/>
        </w:rPr>
        <w:instrText xml:space="preserve"> PAGEREF _Toc158713157 \h </w:instrText>
      </w:r>
      <w:r>
        <w:rPr>
          <w:noProof/>
        </w:rPr>
      </w:r>
      <w:r>
        <w:rPr>
          <w:noProof/>
        </w:rPr>
        <w:fldChar w:fldCharType="separate"/>
      </w:r>
      <w:r>
        <w:rPr>
          <w:noProof/>
        </w:rPr>
        <w:t>622</w:t>
      </w:r>
      <w:r>
        <w:rPr>
          <w:noProof/>
        </w:rPr>
        <w:fldChar w:fldCharType="end"/>
      </w:r>
    </w:p>
    <w:p w14:paraId="3CADB9B2" w14:textId="2EC352D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10.2.159  Licensee to notify breach of licence condition</w:t>
      </w:r>
      <w:r>
        <w:rPr>
          <w:noProof/>
        </w:rPr>
        <w:tab/>
      </w:r>
      <w:r>
        <w:rPr>
          <w:noProof/>
        </w:rPr>
        <w:fldChar w:fldCharType="begin"/>
      </w:r>
      <w:r>
        <w:rPr>
          <w:noProof/>
        </w:rPr>
        <w:instrText xml:space="preserve"> PAGEREF _Toc158713158 \h </w:instrText>
      </w:r>
      <w:r>
        <w:rPr>
          <w:noProof/>
        </w:rPr>
      </w:r>
      <w:r>
        <w:rPr>
          <w:noProof/>
        </w:rPr>
        <w:fldChar w:fldCharType="separate"/>
      </w:r>
      <w:r>
        <w:rPr>
          <w:noProof/>
        </w:rPr>
        <w:t>623</w:t>
      </w:r>
      <w:r>
        <w:rPr>
          <w:noProof/>
        </w:rPr>
        <w:fldChar w:fldCharType="end"/>
      </w:r>
    </w:p>
    <w:p w14:paraId="6FB9BECC" w14:textId="660F68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10.2.160  Register of Futures Licensees</w:t>
      </w:r>
      <w:r>
        <w:rPr>
          <w:noProof/>
        </w:rPr>
        <w:tab/>
      </w:r>
      <w:r>
        <w:rPr>
          <w:noProof/>
        </w:rPr>
        <w:fldChar w:fldCharType="begin"/>
      </w:r>
      <w:r>
        <w:rPr>
          <w:noProof/>
        </w:rPr>
        <w:instrText xml:space="preserve"> PAGEREF _Toc158713159 \h </w:instrText>
      </w:r>
      <w:r>
        <w:rPr>
          <w:noProof/>
        </w:rPr>
      </w:r>
      <w:r>
        <w:rPr>
          <w:noProof/>
        </w:rPr>
        <w:fldChar w:fldCharType="separate"/>
      </w:r>
      <w:r>
        <w:rPr>
          <w:noProof/>
        </w:rPr>
        <w:t>623</w:t>
      </w:r>
      <w:r>
        <w:rPr>
          <w:noProof/>
        </w:rPr>
        <w:fldChar w:fldCharType="end"/>
      </w:r>
    </w:p>
    <w:p w14:paraId="43D98FD8" w14:textId="7E5710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10.2.161  Excluded clients</w:t>
      </w:r>
      <w:r>
        <w:rPr>
          <w:noProof/>
        </w:rPr>
        <w:tab/>
      </w:r>
      <w:r>
        <w:rPr>
          <w:noProof/>
        </w:rPr>
        <w:fldChar w:fldCharType="begin"/>
      </w:r>
      <w:r>
        <w:rPr>
          <w:noProof/>
        </w:rPr>
        <w:instrText xml:space="preserve"> PAGEREF _Toc158713160 \h </w:instrText>
      </w:r>
      <w:r>
        <w:rPr>
          <w:noProof/>
        </w:rPr>
      </w:r>
      <w:r>
        <w:rPr>
          <w:noProof/>
        </w:rPr>
        <w:fldChar w:fldCharType="separate"/>
      </w:r>
      <w:r>
        <w:rPr>
          <w:noProof/>
        </w:rPr>
        <w:t>623</w:t>
      </w:r>
      <w:r>
        <w:rPr>
          <w:noProof/>
        </w:rPr>
        <w:fldChar w:fldCharType="end"/>
      </w:r>
    </w:p>
    <w:p w14:paraId="0C703580" w14:textId="684379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10.2.162  Segregation of client money and property</w:t>
      </w:r>
      <w:r>
        <w:rPr>
          <w:noProof/>
        </w:rPr>
        <w:tab/>
      </w:r>
      <w:r>
        <w:rPr>
          <w:noProof/>
        </w:rPr>
        <w:fldChar w:fldCharType="begin"/>
      </w:r>
      <w:r>
        <w:rPr>
          <w:noProof/>
        </w:rPr>
        <w:instrText xml:space="preserve"> PAGEREF _Toc158713161 \h </w:instrText>
      </w:r>
      <w:r>
        <w:rPr>
          <w:noProof/>
        </w:rPr>
      </w:r>
      <w:r>
        <w:rPr>
          <w:noProof/>
        </w:rPr>
        <w:fldChar w:fldCharType="separate"/>
      </w:r>
      <w:r>
        <w:rPr>
          <w:noProof/>
        </w:rPr>
        <w:t>623</w:t>
      </w:r>
      <w:r>
        <w:rPr>
          <w:noProof/>
        </w:rPr>
        <w:fldChar w:fldCharType="end"/>
      </w:r>
    </w:p>
    <w:p w14:paraId="47C135C8" w14:textId="6EE1E6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10.2.163  Accounts to be kept by futures brokers</w:t>
      </w:r>
      <w:r>
        <w:rPr>
          <w:noProof/>
        </w:rPr>
        <w:tab/>
      </w:r>
      <w:r>
        <w:rPr>
          <w:noProof/>
        </w:rPr>
        <w:fldChar w:fldCharType="begin"/>
      </w:r>
      <w:r>
        <w:rPr>
          <w:noProof/>
        </w:rPr>
        <w:instrText xml:space="preserve"> PAGEREF _Toc158713162 \h </w:instrText>
      </w:r>
      <w:r>
        <w:rPr>
          <w:noProof/>
        </w:rPr>
      </w:r>
      <w:r>
        <w:rPr>
          <w:noProof/>
        </w:rPr>
        <w:fldChar w:fldCharType="separate"/>
      </w:r>
      <w:r>
        <w:rPr>
          <w:noProof/>
        </w:rPr>
        <w:t>623</w:t>
      </w:r>
      <w:r>
        <w:rPr>
          <w:noProof/>
        </w:rPr>
        <w:fldChar w:fldCharType="end"/>
      </w:r>
    </w:p>
    <w:p w14:paraId="5A392208" w14:textId="42E4A56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10.2.164  Property in custody of futures broker</w:t>
      </w:r>
      <w:r>
        <w:rPr>
          <w:noProof/>
        </w:rPr>
        <w:tab/>
      </w:r>
      <w:r>
        <w:rPr>
          <w:noProof/>
        </w:rPr>
        <w:fldChar w:fldCharType="begin"/>
      </w:r>
      <w:r>
        <w:rPr>
          <w:noProof/>
        </w:rPr>
        <w:instrText xml:space="preserve"> PAGEREF _Toc158713163 \h </w:instrText>
      </w:r>
      <w:r>
        <w:rPr>
          <w:noProof/>
        </w:rPr>
      </w:r>
      <w:r>
        <w:rPr>
          <w:noProof/>
        </w:rPr>
        <w:fldChar w:fldCharType="separate"/>
      </w:r>
      <w:r>
        <w:rPr>
          <w:noProof/>
        </w:rPr>
        <w:t>624</w:t>
      </w:r>
      <w:r>
        <w:rPr>
          <w:noProof/>
        </w:rPr>
        <w:fldChar w:fldCharType="end"/>
      </w:r>
    </w:p>
    <w:p w14:paraId="5CDB67B8" w14:textId="0D133D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10.2.165  Auditor to report to ASIC in certain cases</w:t>
      </w:r>
      <w:r>
        <w:rPr>
          <w:noProof/>
        </w:rPr>
        <w:tab/>
      </w:r>
      <w:r>
        <w:rPr>
          <w:noProof/>
        </w:rPr>
        <w:fldChar w:fldCharType="begin"/>
      </w:r>
      <w:r>
        <w:rPr>
          <w:noProof/>
        </w:rPr>
        <w:instrText xml:space="preserve"> PAGEREF _Toc158713164 \h </w:instrText>
      </w:r>
      <w:r>
        <w:rPr>
          <w:noProof/>
        </w:rPr>
      </w:r>
      <w:r>
        <w:rPr>
          <w:noProof/>
        </w:rPr>
        <w:fldChar w:fldCharType="separate"/>
      </w:r>
      <w:r>
        <w:rPr>
          <w:noProof/>
        </w:rPr>
        <w:t>624</w:t>
      </w:r>
      <w:r>
        <w:rPr>
          <w:noProof/>
        </w:rPr>
        <w:fldChar w:fldCharType="end"/>
      </w:r>
    </w:p>
    <w:p w14:paraId="6826DD60" w14:textId="6F0EF0B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10.2.166  Defamation</w:t>
      </w:r>
      <w:r>
        <w:rPr>
          <w:noProof/>
        </w:rPr>
        <w:tab/>
      </w:r>
      <w:r>
        <w:rPr>
          <w:noProof/>
        </w:rPr>
        <w:fldChar w:fldCharType="begin"/>
      </w:r>
      <w:r>
        <w:rPr>
          <w:noProof/>
        </w:rPr>
        <w:instrText xml:space="preserve"> PAGEREF _Toc158713165 \h </w:instrText>
      </w:r>
      <w:r>
        <w:rPr>
          <w:noProof/>
        </w:rPr>
      </w:r>
      <w:r>
        <w:rPr>
          <w:noProof/>
        </w:rPr>
        <w:fldChar w:fldCharType="separate"/>
      </w:r>
      <w:r>
        <w:rPr>
          <w:noProof/>
        </w:rPr>
        <w:t>624</w:t>
      </w:r>
      <w:r>
        <w:rPr>
          <w:noProof/>
        </w:rPr>
        <w:fldChar w:fldCharType="end"/>
      </w:r>
    </w:p>
    <w:p w14:paraId="36079C6B" w14:textId="412C8B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10.2.167  Power of Court to restrain dealings with futures broker’s bank accounts</w:t>
      </w:r>
      <w:r>
        <w:rPr>
          <w:noProof/>
        </w:rPr>
        <w:tab/>
      </w:r>
      <w:r>
        <w:rPr>
          <w:noProof/>
        </w:rPr>
        <w:fldChar w:fldCharType="begin"/>
      </w:r>
      <w:r>
        <w:rPr>
          <w:noProof/>
        </w:rPr>
        <w:instrText xml:space="preserve"> PAGEREF _Toc158713166 \h </w:instrText>
      </w:r>
      <w:r>
        <w:rPr>
          <w:noProof/>
        </w:rPr>
      </w:r>
      <w:r>
        <w:rPr>
          <w:noProof/>
        </w:rPr>
        <w:fldChar w:fldCharType="separate"/>
      </w:r>
      <w:r>
        <w:rPr>
          <w:noProof/>
        </w:rPr>
        <w:t>624</w:t>
      </w:r>
      <w:r>
        <w:rPr>
          <w:noProof/>
        </w:rPr>
        <w:fldChar w:fldCharType="end"/>
      </w:r>
    </w:p>
    <w:p w14:paraId="5D0887F7" w14:textId="585D9C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10.2.168  Power of Court to restrain dealings with futures broker’s bank accounts</w:t>
      </w:r>
      <w:r>
        <w:rPr>
          <w:noProof/>
        </w:rPr>
        <w:tab/>
      </w:r>
      <w:r>
        <w:rPr>
          <w:noProof/>
        </w:rPr>
        <w:fldChar w:fldCharType="begin"/>
      </w:r>
      <w:r>
        <w:rPr>
          <w:noProof/>
        </w:rPr>
        <w:instrText xml:space="preserve"> PAGEREF _Toc158713167 \h </w:instrText>
      </w:r>
      <w:r>
        <w:rPr>
          <w:noProof/>
        </w:rPr>
      </w:r>
      <w:r>
        <w:rPr>
          <w:noProof/>
        </w:rPr>
        <w:fldChar w:fldCharType="separate"/>
      </w:r>
      <w:r>
        <w:rPr>
          <w:noProof/>
        </w:rPr>
        <w:t>624</w:t>
      </w:r>
      <w:r>
        <w:rPr>
          <w:noProof/>
        </w:rPr>
        <w:fldChar w:fldCharType="end"/>
      </w:r>
    </w:p>
    <w:p w14:paraId="2B54F96E" w14:textId="7336D1F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10.2.169  Sequence of transmission and execution of orders</w:t>
      </w:r>
      <w:r>
        <w:rPr>
          <w:noProof/>
        </w:rPr>
        <w:tab/>
      </w:r>
      <w:r>
        <w:rPr>
          <w:noProof/>
        </w:rPr>
        <w:fldChar w:fldCharType="begin"/>
      </w:r>
      <w:r>
        <w:rPr>
          <w:noProof/>
        </w:rPr>
        <w:instrText xml:space="preserve"> PAGEREF _Toc158713168 \h </w:instrText>
      </w:r>
      <w:r>
        <w:rPr>
          <w:noProof/>
        </w:rPr>
      </w:r>
      <w:r>
        <w:rPr>
          <w:noProof/>
        </w:rPr>
        <w:fldChar w:fldCharType="separate"/>
      </w:r>
      <w:r>
        <w:rPr>
          <w:noProof/>
        </w:rPr>
        <w:t>625</w:t>
      </w:r>
      <w:r>
        <w:rPr>
          <w:noProof/>
        </w:rPr>
        <w:fldChar w:fldCharType="end"/>
      </w:r>
    </w:p>
    <w:p w14:paraId="75F1BD9C" w14:textId="708DC8B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10.2.170  Dealings by employees of futures brokers and futures advisers</w:t>
      </w:r>
      <w:r>
        <w:rPr>
          <w:noProof/>
        </w:rPr>
        <w:tab/>
      </w:r>
      <w:r>
        <w:rPr>
          <w:noProof/>
        </w:rPr>
        <w:fldChar w:fldCharType="begin"/>
      </w:r>
      <w:r>
        <w:rPr>
          <w:noProof/>
        </w:rPr>
        <w:instrText xml:space="preserve"> PAGEREF _Toc158713169 \h </w:instrText>
      </w:r>
      <w:r>
        <w:rPr>
          <w:noProof/>
        </w:rPr>
      </w:r>
      <w:r>
        <w:rPr>
          <w:noProof/>
        </w:rPr>
        <w:fldChar w:fldCharType="separate"/>
      </w:r>
      <w:r>
        <w:rPr>
          <w:noProof/>
        </w:rPr>
        <w:t>625</w:t>
      </w:r>
      <w:r>
        <w:rPr>
          <w:noProof/>
        </w:rPr>
        <w:fldChar w:fldCharType="end"/>
      </w:r>
    </w:p>
    <w:p w14:paraId="560402E8" w14:textId="316E638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31</w:t>
      </w:r>
      <w:r w:rsidRPr="00FC743A">
        <w:rPr>
          <w:noProof/>
          <w:color w:val="000000"/>
        </w:rPr>
        <w:t>—</w:t>
      </w:r>
      <w:r>
        <w:rPr>
          <w:noProof/>
        </w:rPr>
        <w:t>Effect on fundraising of transition to licensed markets and licensed CS facilities</w:t>
      </w:r>
      <w:r>
        <w:rPr>
          <w:noProof/>
        </w:rPr>
        <w:tab/>
      </w:r>
      <w:r>
        <w:rPr>
          <w:noProof/>
        </w:rPr>
        <w:fldChar w:fldCharType="begin"/>
      </w:r>
      <w:r>
        <w:rPr>
          <w:noProof/>
        </w:rPr>
        <w:instrText xml:space="preserve"> PAGEREF _Toc158713170 \h </w:instrText>
      </w:r>
      <w:r>
        <w:rPr>
          <w:noProof/>
        </w:rPr>
      </w:r>
      <w:r>
        <w:rPr>
          <w:noProof/>
        </w:rPr>
        <w:fldChar w:fldCharType="separate"/>
      </w:r>
      <w:r>
        <w:rPr>
          <w:noProof/>
        </w:rPr>
        <w:t>626</w:t>
      </w:r>
      <w:r>
        <w:rPr>
          <w:noProof/>
        </w:rPr>
        <w:fldChar w:fldCharType="end"/>
      </w:r>
    </w:p>
    <w:p w14:paraId="72F05439" w14:textId="6BA435F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10.2.171  Sale offers that need disclosure</w:t>
      </w:r>
      <w:r>
        <w:rPr>
          <w:noProof/>
        </w:rPr>
        <w:tab/>
      </w:r>
      <w:r>
        <w:rPr>
          <w:noProof/>
        </w:rPr>
        <w:fldChar w:fldCharType="begin"/>
      </w:r>
      <w:r>
        <w:rPr>
          <w:noProof/>
        </w:rPr>
        <w:instrText xml:space="preserve"> PAGEREF _Toc158713171 \h </w:instrText>
      </w:r>
      <w:r>
        <w:rPr>
          <w:noProof/>
        </w:rPr>
      </w:r>
      <w:r>
        <w:rPr>
          <w:noProof/>
        </w:rPr>
        <w:fldChar w:fldCharType="separate"/>
      </w:r>
      <w:r>
        <w:rPr>
          <w:noProof/>
        </w:rPr>
        <w:t>626</w:t>
      </w:r>
      <w:r>
        <w:rPr>
          <w:noProof/>
        </w:rPr>
        <w:fldChar w:fldCharType="end"/>
      </w:r>
    </w:p>
    <w:p w14:paraId="08DBF5AA" w14:textId="5604B6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10.2.172  Prospectus content—specific disclosures</w:t>
      </w:r>
      <w:r>
        <w:rPr>
          <w:noProof/>
        </w:rPr>
        <w:tab/>
      </w:r>
      <w:r>
        <w:rPr>
          <w:noProof/>
        </w:rPr>
        <w:fldChar w:fldCharType="begin"/>
      </w:r>
      <w:r>
        <w:rPr>
          <w:noProof/>
        </w:rPr>
        <w:instrText xml:space="preserve"> PAGEREF _Toc158713172 \h </w:instrText>
      </w:r>
      <w:r>
        <w:rPr>
          <w:noProof/>
        </w:rPr>
      </w:r>
      <w:r>
        <w:rPr>
          <w:noProof/>
        </w:rPr>
        <w:fldChar w:fldCharType="separate"/>
      </w:r>
      <w:r>
        <w:rPr>
          <w:noProof/>
        </w:rPr>
        <w:t>626</w:t>
      </w:r>
      <w:r>
        <w:rPr>
          <w:noProof/>
        </w:rPr>
        <w:fldChar w:fldCharType="end"/>
      </w:r>
    </w:p>
    <w:p w14:paraId="796C1E0C" w14:textId="03FE44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10.2.173  Issuing or transferring the securities under a disclosure document</w:t>
      </w:r>
      <w:r>
        <w:rPr>
          <w:noProof/>
        </w:rPr>
        <w:tab/>
      </w:r>
      <w:r>
        <w:rPr>
          <w:noProof/>
        </w:rPr>
        <w:fldChar w:fldCharType="begin"/>
      </w:r>
      <w:r>
        <w:rPr>
          <w:noProof/>
        </w:rPr>
        <w:instrText xml:space="preserve"> PAGEREF _Toc158713173 \h </w:instrText>
      </w:r>
      <w:r>
        <w:rPr>
          <w:noProof/>
        </w:rPr>
      </w:r>
      <w:r>
        <w:rPr>
          <w:noProof/>
        </w:rPr>
        <w:fldChar w:fldCharType="separate"/>
      </w:r>
      <w:r>
        <w:rPr>
          <w:noProof/>
        </w:rPr>
        <w:t>626</w:t>
      </w:r>
      <w:r>
        <w:rPr>
          <w:noProof/>
        </w:rPr>
        <w:fldChar w:fldCharType="end"/>
      </w:r>
    </w:p>
    <w:p w14:paraId="43C9A167" w14:textId="5EEFD40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10.2.174  Choices open to person making an offer if disclosure document condition not met or disclosure document defective</w:t>
      </w:r>
      <w:r>
        <w:rPr>
          <w:noProof/>
        </w:rPr>
        <w:tab/>
      </w:r>
      <w:r>
        <w:rPr>
          <w:noProof/>
        </w:rPr>
        <w:fldChar w:fldCharType="begin"/>
      </w:r>
      <w:r>
        <w:rPr>
          <w:noProof/>
        </w:rPr>
        <w:instrText xml:space="preserve"> PAGEREF _Toc158713174 \h </w:instrText>
      </w:r>
      <w:r>
        <w:rPr>
          <w:noProof/>
        </w:rPr>
      </w:r>
      <w:r>
        <w:rPr>
          <w:noProof/>
        </w:rPr>
        <w:fldChar w:fldCharType="separate"/>
      </w:r>
      <w:r>
        <w:rPr>
          <w:noProof/>
        </w:rPr>
        <w:t>626</w:t>
      </w:r>
      <w:r>
        <w:rPr>
          <w:noProof/>
        </w:rPr>
        <w:fldChar w:fldCharType="end"/>
      </w:r>
    </w:p>
    <w:p w14:paraId="2941CDC0" w14:textId="186A4C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10.2.175  Restrictions on advertising and publicity</w:t>
      </w:r>
      <w:r>
        <w:rPr>
          <w:noProof/>
        </w:rPr>
        <w:tab/>
      </w:r>
      <w:r>
        <w:rPr>
          <w:noProof/>
        </w:rPr>
        <w:fldChar w:fldCharType="begin"/>
      </w:r>
      <w:r>
        <w:rPr>
          <w:noProof/>
        </w:rPr>
        <w:instrText xml:space="preserve"> PAGEREF _Toc158713175 \h </w:instrText>
      </w:r>
      <w:r>
        <w:rPr>
          <w:noProof/>
        </w:rPr>
      </w:r>
      <w:r>
        <w:rPr>
          <w:noProof/>
        </w:rPr>
        <w:fldChar w:fldCharType="separate"/>
      </w:r>
      <w:r>
        <w:rPr>
          <w:noProof/>
        </w:rPr>
        <w:t>626</w:t>
      </w:r>
      <w:r>
        <w:rPr>
          <w:noProof/>
        </w:rPr>
        <w:fldChar w:fldCharType="end"/>
      </w:r>
    </w:p>
    <w:p w14:paraId="5C7F16B7" w14:textId="34665E8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32—Effect on product disclosure of transition to licensed markets and licensed CS facilities</w:t>
      </w:r>
      <w:r>
        <w:rPr>
          <w:noProof/>
        </w:rPr>
        <w:tab/>
      </w:r>
      <w:r>
        <w:rPr>
          <w:noProof/>
        </w:rPr>
        <w:fldChar w:fldCharType="begin"/>
      </w:r>
      <w:r>
        <w:rPr>
          <w:noProof/>
        </w:rPr>
        <w:instrText xml:space="preserve"> PAGEREF _Toc158713176 \h </w:instrText>
      </w:r>
      <w:r>
        <w:rPr>
          <w:noProof/>
        </w:rPr>
      </w:r>
      <w:r>
        <w:rPr>
          <w:noProof/>
        </w:rPr>
        <w:fldChar w:fldCharType="separate"/>
      </w:r>
      <w:r>
        <w:rPr>
          <w:noProof/>
        </w:rPr>
        <w:t>627</w:t>
      </w:r>
      <w:r>
        <w:rPr>
          <w:noProof/>
        </w:rPr>
        <w:fldChar w:fldCharType="end"/>
      </w:r>
    </w:p>
    <w:p w14:paraId="12974DC3" w14:textId="6CF6E7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10.2.176  Offers that do not need disclosure</w:t>
      </w:r>
      <w:r>
        <w:rPr>
          <w:noProof/>
        </w:rPr>
        <w:tab/>
      </w:r>
      <w:r>
        <w:rPr>
          <w:noProof/>
        </w:rPr>
        <w:fldChar w:fldCharType="begin"/>
      </w:r>
      <w:r>
        <w:rPr>
          <w:noProof/>
        </w:rPr>
        <w:instrText xml:space="preserve"> PAGEREF _Toc158713177 \h </w:instrText>
      </w:r>
      <w:r>
        <w:rPr>
          <w:noProof/>
        </w:rPr>
      </w:r>
      <w:r>
        <w:rPr>
          <w:noProof/>
        </w:rPr>
        <w:fldChar w:fldCharType="separate"/>
      </w:r>
      <w:r>
        <w:rPr>
          <w:noProof/>
        </w:rPr>
        <w:t>627</w:t>
      </w:r>
      <w:r>
        <w:rPr>
          <w:noProof/>
        </w:rPr>
        <w:fldChar w:fldCharType="end"/>
      </w:r>
    </w:p>
    <w:p w14:paraId="518EFF2A" w14:textId="2062A10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10.2.177  Prospectus content—general disclosure test</w:t>
      </w:r>
      <w:r>
        <w:rPr>
          <w:noProof/>
        </w:rPr>
        <w:tab/>
      </w:r>
      <w:r>
        <w:rPr>
          <w:noProof/>
        </w:rPr>
        <w:fldChar w:fldCharType="begin"/>
      </w:r>
      <w:r>
        <w:rPr>
          <w:noProof/>
        </w:rPr>
        <w:instrText xml:space="preserve"> PAGEREF _Toc158713178 \h </w:instrText>
      </w:r>
      <w:r>
        <w:rPr>
          <w:noProof/>
        </w:rPr>
      </w:r>
      <w:r>
        <w:rPr>
          <w:noProof/>
        </w:rPr>
        <w:fldChar w:fldCharType="separate"/>
      </w:r>
      <w:r>
        <w:rPr>
          <w:noProof/>
        </w:rPr>
        <w:t>627</w:t>
      </w:r>
      <w:r>
        <w:rPr>
          <w:noProof/>
        </w:rPr>
        <w:fldChar w:fldCharType="end"/>
      </w:r>
    </w:p>
    <w:p w14:paraId="75DFD97A" w14:textId="546F28D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10.2.178  Prospectus content—specific disclosures</w:t>
      </w:r>
      <w:r>
        <w:rPr>
          <w:noProof/>
        </w:rPr>
        <w:tab/>
      </w:r>
      <w:r>
        <w:rPr>
          <w:noProof/>
        </w:rPr>
        <w:fldChar w:fldCharType="begin"/>
      </w:r>
      <w:r>
        <w:rPr>
          <w:noProof/>
        </w:rPr>
        <w:instrText xml:space="preserve"> PAGEREF _Toc158713179 \h </w:instrText>
      </w:r>
      <w:r>
        <w:rPr>
          <w:noProof/>
        </w:rPr>
      </w:r>
      <w:r>
        <w:rPr>
          <w:noProof/>
        </w:rPr>
        <w:fldChar w:fldCharType="separate"/>
      </w:r>
      <w:r>
        <w:rPr>
          <w:noProof/>
        </w:rPr>
        <w:t>627</w:t>
      </w:r>
      <w:r>
        <w:rPr>
          <w:noProof/>
        </w:rPr>
        <w:fldChar w:fldCharType="end"/>
      </w:r>
    </w:p>
    <w:p w14:paraId="27A71AC1" w14:textId="2A9F6F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10.2.179  Futures broker to give certain information to prospective client</w:t>
      </w:r>
      <w:r>
        <w:rPr>
          <w:noProof/>
        </w:rPr>
        <w:tab/>
      </w:r>
      <w:r>
        <w:rPr>
          <w:noProof/>
        </w:rPr>
        <w:fldChar w:fldCharType="begin"/>
      </w:r>
      <w:r>
        <w:rPr>
          <w:noProof/>
        </w:rPr>
        <w:instrText xml:space="preserve"> PAGEREF _Toc158713180 \h </w:instrText>
      </w:r>
      <w:r>
        <w:rPr>
          <w:noProof/>
        </w:rPr>
      </w:r>
      <w:r>
        <w:rPr>
          <w:noProof/>
        </w:rPr>
        <w:fldChar w:fldCharType="separate"/>
      </w:r>
      <w:r>
        <w:rPr>
          <w:noProof/>
        </w:rPr>
        <w:t>627</w:t>
      </w:r>
      <w:r>
        <w:rPr>
          <w:noProof/>
        </w:rPr>
        <w:fldChar w:fldCharType="end"/>
      </w:r>
    </w:p>
    <w:p w14:paraId="50BA1449" w14:textId="6FF3F22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33—Effect on Corporations Regulations 2001 of transition of financial service providers and transition to licensed markets and licensed CS facilities</w:t>
      </w:r>
      <w:r>
        <w:rPr>
          <w:noProof/>
        </w:rPr>
        <w:tab/>
      </w:r>
      <w:r>
        <w:rPr>
          <w:noProof/>
        </w:rPr>
        <w:fldChar w:fldCharType="begin"/>
      </w:r>
      <w:r>
        <w:rPr>
          <w:noProof/>
        </w:rPr>
        <w:instrText xml:space="preserve"> PAGEREF _Toc158713181 \h </w:instrText>
      </w:r>
      <w:r>
        <w:rPr>
          <w:noProof/>
        </w:rPr>
      </w:r>
      <w:r>
        <w:rPr>
          <w:noProof/>
        </w:rPr>
        <w:fldChar w:fldCharType="separate"/>
      </w:r>
      <w:r>
        <w:rPr>
          <w:noProof/>
        </w:rPr>
        <w:t>628</w:t>
      </w:r>
      <w:r>
        <w:rPr>
          <w:noProof/>
        </w:rPr>
        <w:fldChar w:fldCharType="end"/>
      </w:r>
    </w:p>
    <w:p w14:paraId="0DA91AE0" w14:textId="5FE0A48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10.2.180  Licence conditions—investment advice to retail investors</w:t>
      </w:r>
      <w:r>
        <w:rPr>
          <w:noProof/>
        </w:rPr>
        <w:tab/>
      </w:r>
      <w:r>
        <w:rPr>
          <w:noProof/>
        </w:rPr>
        <w:fldChar w:fldCharType="begin"/>
      </w:r>
      <w:r>
        <w:rPr>
          <w:noProof/>
        </w:rPr>
        <w:instrText xml:space="preserve"> PAGEREF _Toc158713182 \h </w:instrText>
      </w:r>
      <w:r>
        <w:rPr>
          <w:noProof/>
        </w:rPr>
      </w:r>
      <w:r>
        <w:rPr>
          <w:noProof/>
        </w:rPr>
        <w:fldChar w:fldCharType="separate"/>
      </w:r>
      <w:r>
        <w:rPr>
          <w:noProof/>
        </w:rPr>
        <w:t>628</w:t>
      </w:r>
      <w:r>
        <w:rPr>
          <w:noProof/>
        </w:rPr>
        <w:fldChar w:fldCharType="end"/>
      </w:r>
    </w:p>
    <w:p w14:paraId="2B78BB7F" w14:textId="6194ED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10.2.181  Exemption from licensing—certain dealings</w:t>
      </w:r>
      <w:r>
        <w:rPr>
          <w:noProof/>
        </w:rPr>
        <w:tab/>
      </w:r>
      <w:r>
        <w:rPr>
          <w:noProof/>
        </w:rPr>
        <w:fldChar w:fldCharType="begin"/>
      </w:r>
      <w:r>
        <w:rPr>
          <w:noProof/>
        </w:rPr>
        <w:instrText xml:space="preserve"> PAGEREF _Toc158713183 \h </w:instrText>
      </w:r>
      <w:r>
        <w:rPr>
          <w:noProof/>
        </w:rPr>
      </w:r>
      <w:r>
        <w:rPr>
          <w:noProof/>
        </w:rPr>
        <w:fldChar w:fldCharType="separate"/>
      </w:r>
      <w:r>
        <w:rPr>
          <w:noProof/>
        </w:rPr>
        <w:t>628</w:t>
      </w:r>
      <w:r>
        <w:rPr>
          <w:noProof/>
        </w:rPr>
        <w:fldChar w:fldCharType="end"/>
      </w:r>
    </w:p>
    <w:p w14:paraId="51BDD2D9" w14:textId="0EAB6F7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10.2.182  Exemption from licensing—managed investment schemes</w:t>
      </w:r>
      <w:r>
        <w:rPr>
          <w:noProof/>
        </w:rPr>
        <w:tab/>
      </w:r>
      <w:r>
        <w:rPr>
          <w:noProof/>
        </w:rPr>
        <w:fldChar w:fldCharType="begin"/>
      </w:r>
      <w:r>
        <w:rPr>
          <w:noProof/>
        </w:rPr>
        <w:instrText xml:space="preserve"> PAGEREF _Toc158713184 \h </w:instrText>
      </w:r>
      <w:r>
        <w:rPr>
          <w:noProof/>
        </w:rPr>
      </w:r>
      <w:r>
        <w:rPr>
          <w:noProof/>
        </w:rPr>
        <w:fldChar w:fldCharType="separate"/>
      </w:r>
      <w:r>
        <w:rPr>
          <w:noProof/>
        </w:rPr>
        <w:t>628</w:t>
      </w:r>
      <w:r>
        <w:rPr>
          <w:noProof/>
        </w:rPr>
        <w:fldChar w:fldCharType="end"/>
      </w:r>
    </w:p>
    <w:p w14:paraId="7A4EB541" w14:textId="2561C7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10.2.183  Exempt dealer</w:t>
      </w:r>
      <w:r>
        <w:rPr>
          <w:noProof/>
        </w:rPr>
        <w:tab/>
      </w:r>
      <w:r>
        <w:rPr>
          <w:noProof/>
        </w:rPr>
        <w:fldChar w:fldCharType="begin"/>
      </w:r>
      <w:r>
        <w:rPr>
          <w:noProof/>
        </w:rPr>
        <w:instrText xml:space="preserve"> PAGEREF _Toc158713185 \h </w:instrText>
      </w:r>
      <w:r>
        <w:rPr>
          <w:noProof/>
        </w:rPr>
      </w:r>
      <w:r>
        <w:rPr>
          <w:noProof/>
        </w:rPr>
        <w:fldChar w:fldCharType="separate"/>
      </w:r>
      <w:r>
        <w:rPr>
          <w:noProof/>
        </w:rPr>
        <w:t>628</w:t>
      </w:r>
      <w:r>
        <w:rPr>
          <w:noProof/>
        </w:rPr>
        <w:fldChar w:fldCharType="end"/>
      </w:r>
    </w:p>
    <w:p w14:paraId="388C8A6E" w14:textId="4D3A1B3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10.2.184  Exempt securities and interests</w:t>
      </w:r>
      <w:r>
        <w:rPr>
          <w:noProof/>
        </w:rPr>
        <w:tab/>
      </w:r>
      <w:r>
        <w:rPr>
          <w:noProof/>
        </w:rPr>
        <w:fldChar w:fldCharType="begin"/>
      </w:r>
      <w:r>
        <w:rPr>
          <w:noProof/>
        </w:rPr>
        <w:instrText xml:space="preserve"> PAGEREF _Toc158713186 \h </w:instrText>
      </w:r>
      <w:r>
        <w:rPr>
          <w:noProof/>
        </w:rPr>
      </w:r>
      <w:r>
        <w:rPr>
          <w:noProof/>
        </w:rPr>
        <w:fldChar w:fldCharType="separate"/>
      </w:r>
      <w:r>
        <w:rPr>
          <w:noProof/>
        </w:rPr>
        <w:t>628</w:t>
      </w:r>
      <w:r>
        <w:rPr>
          <w:noProof/>
        </w:rPr>
        <w:fldChar w:fldCharType="end"/>
      </w:r>
    </w:p>
    <w:p w14:paraId="02A775B5" w14:textId="7478EC7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10.2.185  Transactions in prescribed circumstances</w:t>
      </w:r>
      <w:r>
        <w:rPr>
          <w:noProof/>
        </w:rPr>
        <w:tab/>
      </w:r>
      <w:r>
        <w:rPr>
          <w:noProof/>
        </w:rPr>
        <w:fldChar w:fldCharType="begin"/>
      </w:r>
      <w:r>
        <w:rPr>
          <w:noProof/>
        </w:rPr>
        <w:instrText xml:space="preserve"> PAGEREF _Toc158713187 \h </w:instrText>
      </w:r>
      <w:r>
        <w:rPr>
          <w:noProof/>
        </w:rPr>
      </w:r>
      <w:r>
        <w:rPr>
          <w:noProof/>
        </w:rPr>
        <w:fldChar w:fldCharType="separate"/>
      </w:r>
      <w:r>
        <w:rPr>
          <w:noProof/>
        </w:rPr>
        <w:t>628</w:t>
      </w:r>
      <w:r>
        <w:rPr>
          <w:noProof/>
        </w:rPr>
        <w:fldChar w:fldCharType="end"/>
      </w:r>
    </w:p>
    <w:p w14:paraId="6D5B48C3" w14:textId="74D2685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10.2.186  Exempted transaction</w:t>
      </w:r>
      <w:r>
        <w:rPr>
          <w:noProof/>
        </w:rPr>
        <w:tab/>
      </w:r>
      <w:r>
        <w:rPr>
          <w:noProof/>
        </w:rPr>
        <w:fldChar w:fldCharType="begin"/>
      </w:r>
      <w:r>
        <w:rPr>
          <w:noProof/>
        </w:rPr>
        <w:instrText xml:space="preserve"> PAGEREF _Toc158713188 \h </w:instrText>
      </w:r>
      <w:r>
        <w:rPr>
          <w:noProof/>
        </w:rPr>
      </w:r>
      <w:r>
        <w:rPr>
          <w:noProof/>
        </w:rPr>
        <w:fldChar w:fldCharType="separate"/>
      </w:r>
      <w:r>
        <w:rPr>
          <w:noProof/>
        </w:rPr>
        <w:t>628</w:t>
      </w:r>
      <w:r>
        <w:rPr>
          <w:noProof/>
        </w:rPr>
        <w:fldChar w:fldCharType="end"/>
      </w:r>
    </w:p>
    <w:p w14:paraId="620360E5" w14:textId="62C008A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10.2.187  Charging brokerage on principal transactions</w:t>
      </w:r>
      <w:r>
        <w:rPr>
          <w:noProof/>
        </w:rPr>
        <w:tab/>
      </w:r>
      <w:r>
        <w:rPr>
          <w:noProof/>
        </w:rPr>
        <w:fldChar w:fldCharType="begin"/>
      </w:r>
      <w:r>
        <w:rPr>
          <w:noProof/>
        </w:rPr>
        <w:instrText xml:space="preserve"> PAGEREF _Toc158713189 \h </w:instrText>
      </w:r>
      <w:r>
        <w:rPr>
          <w:noProof/>
        </w:rPr>
      </w:r>
      <w:r>
        <w:rPr>
          <w:noProof/>
        </w:rPr>
        <w:fldChar w:fldCharType="separate"/>
      </w:r>
      <w:r>
        <w:rPr>
          <w:noProof/>
        </w:rPr>
        <w:t>629</w:t>
      </w:r>
      <w:r>
        <w:rPr>
          <w:noProof/>
        </w:rPr>
        <w:fldChar w:fldCharType="end"/>
      </w:r>
    </w:p>
    <w:p w14:paraId="36A90BEE" w14:textId="6C99129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10.2.188  Exemption from subsection 844(2) of old Corporations Act</w:t>
      </w:r>
      <w:r>
        <w:rPr>
          <w:noProof/>
        </w:rPr>
        <w:tab/>
      </w:r>
      <w:r>
        <w:rPr>
          <w:noProof/>
        </w:rPr>
        <w:fldChar w:fldCharType="begin"/>
      </w:r>
      <w:r>
        <w:rPr>
          <w:noProof/>
        </w:rPr>
        <w:instrText xml:space="preserve"> PAGEREF _Toc158713190 \h </w:instrText>
      </w:r>
      <w:r>
        <w:rPr>
          <w:noProof/>
        </w:rPr>
      </w:r>
      <w:r>
        <w:rPr>
          <w:noProof/>
        </w:rPr>
        <w:fldChar w:fldCharType="separate"/>
      </w:r>
      <w:r>
        <w:rPr>
          <w:noProof/>
        </w:rPr>
        <w:t>629</w:t>
      </w:r>
      <w:r>
        <w:rPr>
          <w:noProof/>
        </w:rPr>
        <w:fldChar w:fldCharType="end"/>
      </w:r>
    </w:p>
    <w:p w14:paraId="0E3B8208" w14:textId="3537BE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10.2.189  Exemption: Part 8.3 of old Corporations Act—certain futures contracts</w:t>
      </w:r>
      <w:r>
        <w:rPr>
          <w:noProof/>
        </w:rPr>
        <w:tab/>
      </w:r>
      <w:r>
        <w:rPr>
          <w:noProof/>
        </w:rPr>
        <w:fldChar w:fldCharType="begin"/>
      </w:r>
      <w:r>
        <w:rPr>
          <w:noProof/>
        </w:rPr>
        <w:instrText xml:space="preserve"> PAGEREF _Toc158713191 \h </w:instrText>
      </w:r>
      <w:r>
        <w:rPr>
          <w:noProof/>
        </w:rPr>
      </w:r>
      <w:r>
        <w:rPr>
          <w:noProof/>
        </w:rPr>
        <w:fldChar w:fldCharType="separate"/>
      </w:r>
      <w:r>
        <w:rPr>
          <w:noProof/>
        </w:rPr>
        <w:t>629</w:t>
      </w:r>
      <w:r>
        <w:rPr>
          <w:noProof/>
        </w:rPr>
        <w:fldChar w:fldCharType="end"/>
      </w:r>
    </w:p>
    <w:p w14:paraId="1BF814D8" w14:textId="70ED11B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10.2.190  Exemption of certain transactions from subsection 1206(1) of old Corporations Act</w:t>
      </w:r>
      <w:r>
        <w:rPr>
          <w:noProof/>
        </w:rPr>
        <w:tab/>
      </w:r>
      <w:r>
        <w:rPr>
          <w:noProof/>
        </w:rPr>
        <w:fldChar w:fldCharType="begin"/>
      </w:r>
      <w:r>
        <w:rPr>
          <w:noProof/>
        </w:rPr>
        <w:instrText xml:space="preserve"> PAGEREF _Toc158713192 \h </w:instrText>
      </w:r>
      <w:r>
        <w:rPr>
          <w:noProof/>
        </w:rPr>
      </w:r>
      <w:r>
        <w:rPr>
          <w:noProof/>
        </w:rPr>
        <w:fldChar w:fldCharType="separate"/>
      </w:r>
      <w:r>
        <w:rPr>
          <w:noProof/>
        </w:rPr>
        <w:t>629</w:t>
      </w:r>
      <w:r>
        <w:rPr>
          <w:noProof/>
        </w:rPr>
        <w:fldChar w:fldCharType="end"/>
      </w:r>
    </w:p>
    <w:p w14:paraId="17447531" w14:textId="66CEE0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10.2.191  Exemption of certain transactions from subsection 1207(1) of the old Corporations Act</w:t>
      </w:r>
      <w:r>
        <w:rPr>
          <w:noProof/>
        </w:rPr>
        <w:tab/>
      </w:r>
      <w:r>
        <w:rPr>
          <w:noProof/>
        </w:rPr>
        <w:fldChar w:fldCharType="begin"/>
      </w:r>
      <w:r>
        <w:rPr>
          <w:noProof/>
        </w:rPr>
        <w:instrText xml:space="preserve"> PAGEREF _Toc158713193 \h </w:instrText>
      </w:r>
      <w:r>
        <w:rPr>
          <w:noProof/>
        </w:rPr>
      </w:r>
      <w:r>
        <w:rPr>
          <w:noProof/>
        </w:rPr>
        <w:fldChar w:fldCharType="separate"/>
      </w:r>
      <w:r>
        <w:rPr>
          <w:noProof/>
        </w:rPr>
        <w:t>629</w:t>
      </w:r>
      <w:r>
        <w:rPr>
          <w:noProof/>
        </w:rPr>
        <w:fldChar w:fldCharType="end"/>
      </w:r>
    </w:p>
    <w:p w14:paraId="3850A0A8" w14:textId="48CFEDF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10.2.192  Which futures broker to comply with subsection 1207(1) of old Corporations Act in relation to certain transactions</w:t>
      </w:r>
      <w:r>
        <w:rPr>
          <w:noProof/>
        </w:rPr>
        <w:tab/>
      </w:r>
      <w:r>
        <w:rPr>
          <w:noProof/>
        </w:rPr>
        <w:fldChar w:fldCharType="begin"/>
      </w:r>
      <w:r>
        <w:rPr>
          <w:noProof/>
        </w:rPr>
        <w:instrText xml:space="preserve"> PAGEREF _Toc158713194 \h </w:instrText>
      </w:r>
      <w:r>
        <w:rPr>
          <w:noProof/>
        </w:rPr>
      </w:r>
      <w:r>
        <w:rPr>
          <w:noProof/>
        </w:rPr>
        <w:fldChar w:fldCharType="separate"/>
      </w:r>
      <w:r>
        <w:rPr>
          <w:noProof/>
        </w:rPr>
        <w:t>629</w:t>
      </w:r>
      <w:r>
        <w:rPr>
          <w:noProof/>
        </w:rPr>
        <w:fldChar w:fldCharType="end"/>
      </w:r>
    </w:p>
    <w:p w14:paraId="08302E4B" w14:textId="0E4B76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10.2.193  Exemption of certain transactions from paragraphs 1207(1)(g) and (h) of old Corporations Act</w:t>
      </w:r>
      <w:r>
        <w:rPr>
          <w:noProof/>
        </w:rPr>
        <w:tab/>
      </w:r>
      <w:r>
        <w:rPr>
          <w:noProof/>
        </w:rPr>
        <w:fldChar w:fldCharType="begin"/>
      </w:r>
      <w:r>
        <w:rPr>
          <w:noProof/>
        </w:rPr>
        <w:instrText xml:space="preserve"> PAGEREF _Toc158713195 \h </w:instrText>
      </w:r>
      <w:r>
        <w:rPr>
          <w:noProof/>
        </w:rPr>
      </w:r>
      <w:r>
        <w:rPr>
          <w:noProof/>
        </w:rPr>
        <w:fldChar w:fldCharType="separate"/>
      </w:r>
      <w:r>
        <w:rPr>
          <w:noProof/>
        </w:rPr>
        <w:t>630</w:t>
      </w:r>
      <w:r>
        <w:rPr>
          <w:noProof/>
        </w:rPr>
        <w:fldChar w:fldCharType="end"/>
      </w:r>
    </w:p>
    <w:p w14:paraId="3B6C9DE2" w14:textId="46D26BE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34—Effect on certain instruments of transition of financial service providers and transition to licensed markets and licensed CS facilities</w:t>
      </w:r>
      <w:r>
        <w:rPr>
          <w:noProof/>
        </w:rPr>
        <w:tab/>
      </w:r>
      <w:r>
        <w:rPr>
          <w:noProof/>
        </w:rPr>
        <w:fldChar w:fldCharType="begin"/>
      </w:r>
      <w:r>
        <w:rPr>
          <w:noProof/>
        </w:rPr>
        <w:instrText xml:space="preserve"> PAGEREF _Toc158713196 \h </w:instrText>
      </w:r>
      <w:r>
        <w:rPr>
          <w:noProof/>
        </w:rPr>
      </w:r>
      <w:r>
        <w:rPr>
          <w:noProof/>
        </w:rPr>
        <w:fldChar w:fldCharType="separate"/>
      </w:r>
      <w:r>
        <w:rPr>
          <w:noProof/>
        </w:rPr>
        <w:t>631</w:t>
      </w:r>
      <w:r>
        <w:rPr>
          <w:noProof/>
        </w:rPr>
        <w:fldChar w:fldCharType="end"/>
      </w:r>
    </w:p>
    <w:p w14:paraId="50F1A823" w14:textId="218085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10.2.194  References to certain matters</w:t>
      </w:r>
      <w:r>
        <w:rPr>
          <w:noProof/>
        </w:rPr>
        <w:tab/>
      </w:r>
      <w:r>
        <w:rPr>
          <w:noProof/>
        </w:rPr>
        <w:fldChar w:fldCharType="begin"/>
      </w:r>
      <w:r>
        <w:rPr>
          <w:noProof/>
        </w:rPr>
        <w:instrText xml:space="preserve"> PAGEREF _Toc158713197 \h </w:instrText>
      </w:r>
      <w:r>
        <w:rPr>
          <w:noProof/>
        </w:rPr>
      </w:r>
      <w:r>
        <w:rPr>
          <w:noProof/>
        </w:rPr>
        <w:fldChar w:fldCharType="separate"/>
      </w:r>
      <w:r>
        <w:rPr>
          <w:noProof/>
        </w:rPr>
        <w:t>631</w:t>
      </w:r>
      <w:r>
        <w:rPr>
          <w:noProof/>
        </w:rPr>
        <w:fldChar w:fldCharType="end"/>
      </w:r>
    </w:p>
    <w:p w14:paraId="61CC3A07" w14:textId="43ADE75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35—Streamlined licensing</w:t>
      </w:r>
      <w:r>
        <w:rPr>
          <w:noProof/>
        </w:rPr>
        <w:tab/>
      </w:r>
      <w:r>
        <w:rPr>
          <w:noProof/>
        </w:rPr>
        <w:fldChar w:fldCharType="begin"/>
      </w:r>
      <w:r>
        <w:rPr>
          <w:noProof/>
        </w:rPr>
        <w:instrText xml:space="preserve"> PAGEREF _Toc158713198 \h </w:instrText>
      </w:r>
      <w:r>
        <w:rPr>
          <w:noProof/>
        </w:rPr>
      </w:r>
      <w:r>
        <w:rPr>
          <w:noProof/>
        </w:rPr>
        <w:fldChar w:fldCharType="separate"/>
      </w:r>
      <w:r>
        <w:rPr>
          <w:noProof/>
        </w:rPr>
        <w:t>632</w:t>
      </w:r>
      <w:r>
        <w:rPr>
          <w:noProof/>
        </w:rPr>
        <w:fldChar w:fldCharType="end"/>
      </w:r>
    </w:p>
    <w:p w14:paraId="72DB0D49" w14:textId="244F113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10.2.195  Suspension or cancellation of streamlined licence</w:t>
      </w:r>
      <w:r>
        <w:rPr>
          <w:noProof/>
        </w:rPr>
        <w:tab/>
      </w:r>
      <w:r>
        <w:rPr>
          <w:noProof/>
        </w:rPr>
        <w:fldChar w:fldCharType="begin"/>
      </w:r>
      <w:r>
        <w:rPr>
          <w:noProof/>
        </w:rPr>
        <w:instrText xml:space="preserve"> PAGEREF _Toc158713199 \h </w:instrText>
      </w:r>
      <w:r>
        <w:rPr>
          <w:noProof/>
        </w:rPr>
      </w:r>
      <w:r>
        <w:rPr>
          <w:noProof/>
        </w:rPr>
        <w:fldChar w:fldCharType="separate"/>
      </w:r>
      <w:r>
        <w:rPr>
          <w:noProof/>
        </w:rPr>
        <w:t>632</w:t>
      </w:r>
      <w:r>
        <w:rPr>
          <w:noProof/>
        </w:rPr>
        <w:fldChar w:fldCharType="end"/>
      </w:r>
    </w:p>
    <w:p w14:paraId="58999531" w14:textId="1EAA479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36—Insurance multi</w:t>
      </w:r>
      <w:r>
        <w:rPr>
          <w:noProof/>
        </w:rPr>
        <w:noBreakHyphen/>
        <w:t>agents</w:t>
      </w:r>
      <w:r>
        <w:rPr>
          <w:noProof/>
        </w:rPr>
        <w:tab/>
      </w:r>
      <w:r>
        <w:rPr>
          <w:noProof/>
        </w:rPr>
        <w:fldChar w:fldCharType="begin"/>
      </w:r>
      <w:r>
        <w:rPr>
          <w:noProof/>
        </w:rPr>
        <w:instrText xml:space="preserve"> PAGEREF _Toc158713200 \h </w:instrText>
      </w:r>
      <w:r>
        <w:rPr>
          <w:noProof/>
        </w:rPr>
      </w:r>
      <w:r>
        <w:rPr>
          <w:noProof/>
        </w:rPr>
        <w:fldChar w:fldCharType="separate"/>
      </w:r>
      <w:r>
        <w:rPr>
          <w:noProof/>
        </w:rPr>
        <w:t>633</w:t>
      </w:r>
      <w:r>
        <w:rPr>
          <w:noProof/>
        </w:rPr>
        <w:fldChar w:fldCharType="end"/>
      </w:r>
    </w:p>
    <w:p w14:paraId="16FD5364" w14:textId="65BD21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10.2.196  Application by holder of qualified licence</w:t>
      </w:r>
      <w:r>
        <w:rPr>
          <w:noProof/>
        </w:rPr>
        <w:tab/>
      </w:r>
      <w:r>
        <w:rPr>
          <w:noProof/>
        </w:rPr>
        <w:fldChar w:fldCharType="begin"/>
      </w:r>
      <w:r>
        <w:rPr>
          <w:noProof/>
        </w:rPr>
        <w:instrText xml:space="preserve"> PAGEREF _Toc158713201 \h </w:instrText>
      </w:r>
      <w:r>
        <w:rPr>
          <w:noProof/>
        </w:rPr>
      </w:r>
      <w:r>
        <w:rPr>
          <w:noProof/>
        </w:rPr>
        <w:fldChar w:fldCharType="separate"/>
      </w:r>
      <w:r>
        <w:rPr>
          <w:noProof/>
        </w:rPr>
        <w:t>633</w:t>
      </w:r>
      <w:r>
        <w:rPr>
          <w:noProof/>
        </w:rPr>
        <w:fldChar w:fldCharType="end"/>
      </w:r>
    </w:p>
    <w:p w14:paraId="0F74EDF6" w14:textId="7671E9B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37—Hawking of managed investment products</w:t>
      </w:r>
      <w:r>
        <w:rPr>
          <w:noProof/>
        </w:rPr>
        <w:tab/>
      </w:r>
      <w:r>
        <w:rPr>
          <w:noProof/>
        </w:rPr>
        <w:fldChar w:fldCharType="begin"/>
      </w:r>
      <w:r>
        <w:rPr>
          <w:noProof/>
        </w:rPr>
        <w:instrText xml:space="preserve"> PAGEREF _Toc158713202 \h </w:instrText>
      </w:r>
      <w:r>
        <w:rPr>
          <w:noProof/>
        </w:rPr>
      </w:r>
      <w:r>
        <w:rPr>
          <w:noProof/>
        </w:rPr>
        <w:fldChar w:fldCharType="separate"/>
      </w:r>
      <w:r>
        <w:rPr>
          <w:noProof/>
        </w:rPr>
        <w:t>634</w:t>
      </w:r>
      <w:r>
        <w:rPr>
          <w:noProof/>
        </w:rPr>
        <w:fldChar w:fldCharType="end"/>
      </w:r>
    </w:p>
    <w:p w14:paraId="13D9A68D" w14:textId="220D32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10.2.197  Hawking interest in managed investment scheme</w:t>
      </w:r>
      <w:r>
        <w:rPr>
          <w:noProof/>
        </w:rPr>
        <w:tab/>
      </w:r>
      <w:r>
        <w:rPr>
          <w:noProof/>
        </w:rPr>
        <w:fldChar w:fldCharType="begin"/>
      </w:r>
      <w:r>
        <w:rPr>
          <w:noProof/>
        </w:rPr>
        <w:instrText xml:space="preserve"> PAGEREF _Toc158713203 \h </w:instrText>
      </w:r>
      <w:r>
        <w:rPr>
          <w:noProof/>
        </w:rPr>
      </w:r>
      <w:r>
        <w:rPr>
          <w:noProof/>
        </w:rPr>
        <w:fldChar w:fldCharType="separate"/>
      </w:r>
      <w:r>
        <w:rPr>
          <w:noProof/>
        </w:rPr>
        <w:t>634</w:t>
      </w:r>
      <w:r>
        <w:rPr>
          <w:noProof/>
        </w:rPr>
        <w:fldChar w:fldCharType="end"/>
      </w:r>
    </w:p>
    <w:p w14:paraId="1FD71AD5" w14:textId="09C116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10.2.198  Hawking financial product—other arrangements</w:t>
      </w:r>
      <w:r>
        <w:rPr>
          <w:noProof/>
        </w:rPr>
        <w:tab/>
      </w:r>
      <w:r>
        <w:rPr>
          <w:noProof/>
        </w:rPr>
        <w:fldChar w:fldCharType="begin"/>
      </w:r>
      <w:r>
        <w:rPr>
          <w:noProof/>
        </w:rPr>
        <w:instrText xml:space="preserve"> PAGEREF _Toc158713204 \h </w:instrText>
      </w:r>
      <w:r>
        <w:rPr>
          <w:noProof/>
        </w:rPr>
      </w:r>
      <w:r>
        <w:rPr>
          <w:noProof/>
        </w:rPr>
        <w:fldChar w:fldCharType="separate"/>
      </w:r>
      <w:r>
        <w:rPr>
          <w:noProof/>
        </w:rPr>
        <w:t>634</w:t>
      </w:r>
      <w:r>
        <w:rPr>
          <w:noProof/>
        </w:rPr>
        <w:fldChar w:fldCharType="end"/>
      </w:r>
    </w:p>
    <w:p w14:paraId="1A2D2C48" w14:textId="2C13153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38—Security bonds issued before FSR commencement</w:t>
      </w:r>
      <w:r>
        <w:rPr>
          <w:noProof/>
        </w:rPr>
        <w:tab/>
      </w:r>
      <w:r>
        <w:rPr>
          <w:noProof/>
        </w:rPr>
        <w:fldChar w:fldCharType="begin"/>
      </w:r>
      <w:r>
        <w:rPr>
          <w:noProof/>
        </w:rPr>
        <w:instrText xml:space="preserve"> PAGEREF _Toc158713205 \h </w:instrText>
      </w:r>
      <w:r>
        <w:rPr>
          <w:noProof/>
        </w:rPr>
      </w:r>
      <w:r>
        <w:rPr>
          <w:noProof/>
        </w:rPr>
        <w:fldChar w:fldCharType="separate"/>
      </w:r>
      <w:r>
        <w:rPr>
          <w:noProof/>
        </w:rPr>
        <w:t>635</w:t>
      </w:r>
      <w:r>
        <w:rPr>
          <w:noProof/>
        </w:rPr>
        <w:fldChar w:fldCharType="end"/>
      </w:r>
    </w:p>
    <w:p w14:paraId="520883E5" w14:textId="78FF49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10.2.199  Security bonds</w:t>
      </w:r>
      <w:r>
        <w:rPr>
          <w:noProof/>
        </w:rPr>
        <w:tab/>
      </w:r>
      <w:r>
        <w:rPr>
          <w:noProof/>
        </w:rPr>
        <w:fldChar w:fldCharType="begin"/>
      </w:r>
      <w:r>
        <w:rPr>
          <w:noProof/>
        </w:rPr>
        <w:instrText xml:space="preserve"> PAGEREF _Toc158713206 \h </w:instrText>
      </w:r>
      <w:r>
        <w:rPr>
          <w:noProof/>
        </w:rPr>
      </w:r>
      <w:r>
        <w:rPr>
          <w:noProof/>
        </w:rPr>
        <w:fldChar w:fldCharType="separate"/>
      </w:r>
      <w:r>
        <w:rPr>
          <w:noProof/>
        </w:rPr>
        <w:t>635</w:t>
      </w:r>
      <w:r>
        <w:rPr>
          <w:noProof/>
        </w:rPr>
        <w:fldChar w:fldCharType="end"/>
      </w:r>
    </w:p>
    <w:p w14:paraId="2BB8DBCF" w14:textId="7B460004"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39—Disclosure documents</w:t>
      </w:r>
      <w:r>
        <w:rPr>
          <w:noProof/>
        </w:rPr>
        <w:tab/>
      </w:r>
      <w:r>
        <w:rPr>
          <w:noProof/>
        </w:rPr>
        <w:fldChar w:fldCharType="begin"/>
      </w:r>
      <w:r>
        <w:rPr>
          <w:noProof/>
        </w:rPr>
        <w:instrText xml:space="preserve"> PAGEREF _Toc158713207 \h </w:instrText>
      </w:r>
      <w:r>
        <w:rPr>
          <w:noProof/>
        </w:rPr>
      </w:r>
      <w:r>
        <w:rPr>
          <w:noProof/>
        </w:rPr>
        <w:fldChar w:fldCharType="separate"/>
      </w:r>
      <w:r>
        <w:rPr>
          <w:noProof/>
        </w:rPr>
        <w:t>636</w:t>
      </w:r>
      <w:r>
        <w:rPr>
          <w:noProof/>
        </w:rPr>
        <w:fldChar w:fldCharType="end"/>
      </w:r>
    </w:p>
    <w:p w14:paraId="6DD55216" w14:textId="6C17C78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10.2.200  Disclosure documents—cooling</w:t>
      </w:r>
      <w:r>
        <w:rPr>
          <w:noProof/>
        </w:rPr>
        <w:noBreakHyphen/>
        <w:t>off period</w:t>
      </w:r>
      <w:r>
        <w:rPr>
          <w:noProof/>
        </w:rPr>
        <w:tab/>
      </w:r>
      <w:r>
        <w:rPr>
          <w:noProof/>
        </w:rPr>
        <w:fldChar w:fldCharType="begin"/>
      </w:r>
      <w:r>
        <w:rPr>
          <w:noProof/>
        </w:rPr>
        <w:instrText xml:space="preserve"> PAGEREF _Toc158713208 \h </w:instrText>
      </w:r>
      <w:r>
        <w:rPr>
          <w:noProof/>
        </w:rPr>
      </w:r>
      <w:r>
        <w:rPr>
          <w:noProof/>
        </w:rPr>
        <w:fldChar w:fldCharType="separate"/>
      </w:r>
      <w:r>
        <w:rPr>
          <w:noProof/>
        </w:rPr>
        <w:t>636</w:t>
      </w:r>
      <w:r>
        <w:rPr>
          <w:noProof/>
        </w:rPr>
        <w:fldChar w:fldCharType="end"/>
      </w:r>
    </w:p>
    <w:p w14:paraId="2BBB178B" w14:textId="180A908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41—Requirements if Product Disclosure Statement is not in existence</w:t>
      </w:r>
      <w:r>
        <w:rPr>
          <w:noProof/>
        </w:rPr>
        <w:tab/>
      </w:r>
      <w:r>
        <w:rPr>
          <w:noProof/>
        </w:rPr>
        <w:fldChar w:fldCharType="begin"/>
      </w:r>
      <w:r>
        <w:rPr>
          <w:noProof/>
        </w:rPr>
        <w:instrText xml:space="preserve"> PAGEREF _Toc158713209 \h </w:instrText>
      </w:r>
      <w:r>
        <w:rPr>
          <w:noProof/>
        </w:rPr>
      </w:r>
      <w:r>
        <w:rPr>
          <w:noProof/>
        </w:rPr>
        <w:fldChar w:fldCharType="separate"/>
      </w:r>
      <w:r>
        <w:rPr>
          <w:noProof/>
        </w:rPr>
        <w:t>637</w:t>
      </w:r>
      <w:r>
        <w:rPr>
          <w:noProof/>
        </w:rPr>
        <w:fldChar w:fldCharType="end"/>
      </w:r>
    </w:p>
    <w:p w14:paraId="43830B95" w14:textId="2A41558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10.2.202  Documents equivalent to Product Disclosure Statement</w:t>
      </w:r>
      <w:r>
        <w:rPr>
          <w:noProof/>
        </w:rPr>
        <w:tab/>
      </w:r>
      <w:r>
        <w:rPr>
          <w:noProof/>
        </w:rPr>
        <w:fldChar w:fldCharType="begin"/>
      </w:r>
      <w:r>
        <w:rPr>
          <w:noProof/>
        </w:rPr>
        <w:instrText xml:space="preserve"> PAGEREF _Toc158713210 \h </w:instrText>
      </w:r>
      <w:r>
        <w:rPr>
          <w:noProof/>
        </w:rPr>
      </w:r>
      <w:r>
        <w:rPr>
          <w:noProof/>
        </w:rPr>
        <w:fldChar w:fldCharType="separate"/>
      </w:r>
      <w:r>
        <w:rPr>
          <w:noProof/>
        </w:rPr>
        <w:t>637</w:t>
      </w:r>
      <w:r>
        <w:rPr>
          <w:noProof/>
        </w:rPr>
        <w:fldChar w:fldCharType="end"/>
      </w:r>
    </w:p>
    <w:p w14:paraId="1560360A" w14:textId="5DD40D9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42—Dealing with money received for financial product before the product is issued</w:t>
      </w:r>
      <w:r>
        <w:rPr>
          <w:noProof/>
        </w:rPr>
        <w:tab/>
      </w:r>
      <w:r>
        <w:rPr>
          <w:noProof/>
        </w:rPr>
        <w:fldChar w:fldCharType="begin"/>
      </w:r>
      <w:r>
        <w:rPr>
          <w:noProof/>
        </w:rPr>
        <w:instrText xml:space="preserve"> PAGEREF _Toc158713211 \h </w:instrText>
      </w:r>
      <w:r>
        <w:rPr>
          <w:noProof/>
        </w:rPr>
      </w:r>
      <w:r>
        <w:rPr>
          <w:noProof/>
        </w:rPr>
        <w:fldChar w:fldCharType="separate"/>
      </w:r>
      <w:r>
        <w:rPr>
          <w:noProof/>
        </w:rPr>
        <w:t>638</w:t>
      </w:r>
      <w:r>
        <w:rPr>
          <w:noProof/>
        </w:rPr>
        <w:fldChar w:fldCharType="end"/>
      </w:r>
    </w:p>
    <w:p w14:paraId="2705C81E" w14:textId="3072A2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10.2.203  Payment of money into account</w:t>
      </w:r>
      <w:r>
        <w:rPr>
          <w:noProof/>
        </w:rPr>
        <w:tab/>
      </w:r>
      <w:r>
        <w:rPr>
          <w:noProof/>
        </w:rPr>
        <w:fldChar w:fldCharType="begin"/>
      </w:r>
      <w:r>
        <w:rPr>
          <w:noProof/>
        </w:rPr>
        <w:instrText xml:space="preserve"> PAGEREF _Toc158713212 \h </w:instrText>
      </w:r>
      <w:r>
        <w:rPr>
          <w:noProof/>
        </w:rPr>
      </w:r>
      <w:r>
        <w:rPr>
          <w:noProof/>
        </w:rPr>
        <w:fldChar w:fldCharType="separate"/>
      </w:r>
      <w:r>
        <w:rPr>
          <w:noProof/>
        </w:rPr>
        <w:t>638</w:t>
      </w:r>
      <w:r>
        <w:rPr>
          <w:noProof/>
        </w:rPr>
        <w:fldChar w:fldCharType="end"/>
      </w:r>
    </w:p>
    <w:p w14:paraId="23DB005D" w14:textId="0D7F940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43—Arrangements related to deposits with stock exchanges</w:t>
      </w:r>
      <w:r>
        <w:rPr>
          <w:noProof/>
        </w:rPr>
        <w:tab/>
      </w:r>
      <w:r>
        <w:rPr>
          <w:noProof/>
        </w:rPr>
        <w:fldChar w:fldCharType="begin"/>
      </w:r>
      <w:r>
        <w:rPr>
          <w:noProof/>
        </w:rPr>
        <w:instrText xml:space="preserve"> PAGEREF _Toc158713213 \h </w:instrText>
      </w:r>
      <w:r>
        <w:rPr>
          <w:noProof/>
        </w:rPr>
      </w:r>
      <w:r>
        <w:rPr>
          <w:noProof/>
        </w:rPr>
        <w:fldChar w:fldCharType="separate"/>
      </w:r>
      <w:r>
        <w:rPr>
          <w:noProof/>
        </w:rPr>
        <w:t>639</w:t>
      </w:r>
      <w:r>
        <w:rPr>
          <w:noProof/>
        </w:rPr>
        <w:fldChar w:fldCharType="end"/>
      </w:r>
    </w:p>
    <w:p w14:paraId="23A9C4FB" w14:textId="2C702A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10.2.204  Withdrawals from trust account</w:t>
      </w:r>
      <w:r>
        <w:rPr>
          <w:noProof/>
        </w:rPr>
        <w:tab/>
      </w:r>
      <w:r>
        <w:rPr>
          <w:noProof/>
        </w:rPr>
        <w:fldChar w:fldCharType="begin"/>
      </w:r>
      <w:r>
        <w:rPr>
          <w:noProof/>
        </w:rPr>
        <w:instrText xml:space="preserve"> PAGEREF _Toc158713214 \h </w:instrText>
      </w:r>
      <w:r>
        <w:rPr>
          <w:noProof/>
        </w:rPr>
      </w:r>
      <w:r>
        <w:rPr>
          <w:noProof/>
        </w:rPr>
        <w:fldChar w:fldCharType="separate"/>
      </w:r>
      <w:r>
        <w:rPr>
          <w:noProof/>
        </w:rPr>
        <w:t>639</w:t>
      </w:r>
      <w:r>
        <w:rPr>
          <w:noProof/>
        </w:rPr>
        <w:fldChar w:fldCharType="end"/>
      </w:r>
    </w:p>
    <w:p w14:paraId="42F698D1" w14:textId="0CC52A4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44—Superannuation to which arrangements apply under the Family Law Act 1975</w:t>
      </w:r>
      <w:r>
        <w:rPr>
          <w:noProof/>
        </w:rPr>
        <w:tab/>
      </w:r>
      <w:r>
        <w:rPr>
          <w:noProof/>
        </w:rPr>
        <w:fldChar w:fldCharType="begin"/>
      </w:r>
      <w:r>
        <w:rPr>
          <w:noProof/>
        </w:rPr>
        <w:instrText xml:space="preserve"> PAGEREF _Toc158713215 \h </w:instrText>
      </w:r>
      <w:r>
        <w:rPr>
          <w:noProof/>
        </w:rPr>
      </w:r>
      <w:r>
        <w:rPr>
          <w:noProof/>
        </w:rPr>
        <w:fldChar w:fldCharType="separate"/>
      </w:r>
      <w:r>
        <w:rPr>
          <w:noProof/>
        </w:rPr>
        <w:t>640</w:t>
      </w:r>
      <w:r>
        <w:rPr>
          <w:noProof/>
        </w:rPr>
        <w:fldChar w:fldCharType="end"/>
      </w:r>
    </w:p>
    <w:p w14:paraId="09515648" w14:textId="6635ABB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10.2.205  Application of amendments</w:t>
      </w:r>
      <w:r>
        <w:rPr>
          <w:noProof/>
        </w:rPr>
        <w:tab/>
      </w:r>
      <w:r>
        <w:rPr>
          <w:noProof/>
        </w:rPr>
        <w:fldChar w:fldCharType="begin"/>
      </w:r>
      <w:r>
        <w:rPr>
          <w:noProof/>
        </w:rPr>
        <w:instrText xml:space="preserve"> PAGEREF _Toc158713216 \h </w:instrText>
      </w:r>
      <w:r>
        <w:rPr>
          <w:noProof/>
        </w:rPr>
      </w:r>
      <w:r>
        <w:rPr>
          <w:noProof/>
        </w:rPr>
        <w:fldChar w:fldCharType="separate"/>
      </w:r>
      <w:r>
        <w:rPr>
          <w:noProof/>
        </w:rPr>
        <w:t>640</w:t>
      </w:r>
      <w:r>
        <w:rPr>
          <w:noProof/>
        </w:rPr>
        <w:fldChar w:fldCharType="end"/>
      </w:r>
    </w:p>
    <w:p w14:paraId="1067BF28" w14:textId="6898E562"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45—Arrangements relating to certain reporting periods</w:t>
      </w:r>
      <w:r>
        <w:rPr>
          <w:noProof/>
        </w:rPr>
        <w:tab/>
      </w:r>
      <w:r>
        <w:rPr>
          <w:noProof/>
        </w:rPr>
        <w:fldChar w:fldCharType="begin"/>
      </w:r>
      <w:r>
        <w:rPr>
          <w:noProof/>
        </w:rPr>
        <w:instrText xml:space="preserve"> PAGEREF _Toc158713217 \h </w:instrText>
      </w:r>
      <w:r>
        <w:rPr>
          <w:noProof/>
        </w:rPr>
      </w:r>
      <w:r>
        <w:rPr>
          <w:noProof/>
        </w:rPr>
        <w:fldChar w:fldCharType="separate"/>
      </w:r>
      <w:r>
        <w:rPr>
          <w:noProof/>
        </w:rPr>
        <w:t>641</w:t>
      </w:r>
      <w:r>
        <w:rPr>
          <w:noProof/>
        </w:rPr>
        <w:fldChar w:fldCharType="end"/>
      </w:r>
    </w:p>
    <w:p w14:paraId="771D2171" w14:textId="168685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10.2.206  Fund information for retail clients for financial products that have an investment component: superannuation</w:t>
      </w:r>
      <w:r>
        <w:rPr>
          <w:noProof/>
        </w:rPr>
        <w:tab/>
      </w:r>
      <w:r>
        <w:rPr>
          <w:noProof/>
        </w:rPr>
        <w:fldChar w:fldCharType="begin"/>
      </w:r>
      <w:r>
        <w:rPr>
          <w:noProof/>
        </w:rPr>
        <w:instrText xml:space="preserve"> PAGEREF _Toc158713218 \h </w:instrText>
      </w:r>
      <w:r>
        <w:rPr>
          <w:noProof/>
        </w:rPr>
      </w:r>
      <w:r>
        <w:rPr>
          <w:noProof/>
        </w:rPr>
        <w:fldChar w:fldCharType="separate"/>
      </w:r>
      <w:r>
        <w:rPr>
          <w:noProof/>
        </w:rPr>
        <w:t>641</w:t>
      </w:r>
      <w:r>
        <w:rPr>
          <w:noProof/>
        </w:rPr>
        <w:fldChar w:fldCharType="end"/>
      </w:r>
    </w:p>
    <w:p w14:paraId="3398E9EE" w14:textId="0AD9954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10.2.207  Periodic statements for retail clients for financial products that have an investment component</w:t>
      </w:r>
      <w:r>
        <w:rPr>
          <w:noProof/>
        </w:rPr>
        <w:tab/>
      </w:r>
      <w:r>
        <w:rPr>
          <w:noProof/>
        </w:rPr>
        <w:fldChar w:fldCharType="begin"/>
      </w:r>
      <w:r>
        <w:rPr>
          <w:noProof/>
        </w:rPr>
        <w:instrText xml:space="preserve"> PAGEREF _Toc158713219 \h </w:instrText>
      </w:r>
      <w:r>
        <w:rPr>
          <w:noProof/>
        </w:rPr>
      </w:r>
      <w:r>
        <w:rPr>
          <w:noProof/>
        </w:rPr>
        <w:fldChar w:fldCharType="separate"/>
      </w:r>
      <w:r>
        <w:rPr>
          <w:noProof/>
        </w:rPr>
        <w:t>641</w:t>
      </w:r>
      <w:r>
        <w:rPr>
          <w:noProof/>
        </w:rPr>
        <w:fldChar w:fldCharType="end"/>
      </w:r>
    </w:p>
    <w:p w14:paraId="0C532F4C" w14:textId="268C272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46—Arrangements relating to passbook accounts</w:t>
      </w:r>
      <w:r>
        <w:rPr>
          <w:noProof/>
        </w:rPr>
        <w:tab/>
      </w:r>
      <w:r>
        <w:rPr>
          <w:noProof/>
        </w:rPr>
        <w:fldChar w:fldCharType="begin"/>
      </w:r>
      <w:r>
        <w:rPr>
          <w:noProof/>
        </w:rPr>
        <w:instrText xml:space="preserve"> PAGEREF _Toc158713220 \h </w:instrText>
      </w:r>
      <w:r>
        <w:rPr>
          <w:noProof/>
        </w:rPr>
      </w:r>
      <w:r>
        <w:rPr>
          <w:noProof/>
        </w:rPr>
        <w:fldChar w:fldCharType="separate"/>
      </w:r>
      <w:r>
        <w:rPr>
          <w:noProof/>
        </w:rPr>
        <w:t>642</w:t>
      </w:r>
      <w:r>
        <w:rPr>
          <w:noProof/>
        </w:rPr>
        <w:fldChar w:fldCharType="end"/>
      </w:r>
    </w:p>
    <w:p w14:paraId="6E4A364C" w14:textId="4D27E7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10.2.208  Periodic statements</w:t>
      </w:r>
      <w:r>
        <w:rPr>
          <w:noProof/>
        </w:rPr>
        <w:tab/>
      </w:r>
      <w:r>
        <w:rPr>
          <w:noProof/>
        </w:rPr>
        <w:fldChar w:fldCharType="begin"/>
      </w:r>
      <w:r>
        <w:rPr>
          <w:noProof/>
        </w:rPr>
        <w:instrText xml:space="preserve"> PAGEREF _Toc158713221 \h </w:instrText>
      </w:r>
      <w:r>
        <w:rPr>
          <w:noProof/>
        </w:rPr>
      </w:r>
      <w:r>
        <w:rPr>
          <w:noProof/>
        </w:rPr>
        <w:fldChar w:fldCharType="separate"/>
      </w:r>
      <w:r>
        <w:rPr>
          <w:noProof/>
        </w:rPr>
        <w:t>642</w:t>
      </w:r>
      <w:r>
        <w:rPr>
          <w:noProof/>
        </w:rPr>
        <w:fldChar w:fldCharType="end"/>
      </w:r>
    </w:p>
    <w:p w14:paraId="3011EA96" w14:textId="0C864F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10.2.209  Confirmation of transactions</w:t>
      </w:r>
      <w:r>
        <w:rPr>
          <w:noProof/>
        </w:rPr>
        <w:tab/>
      </w:r>
      <w:r>
        <w:rPr>
          <w:noProof/>
        </w:rPr>
        <w:fldChar w:fldCharType="begin"/>
      </w:r>
      <w:r>
        <w:rPr>
          <w:noProof/>
        </w:rPr>
        <w:instrText xml:space="preserve"> PAGEREF _Toc158713222 \h </w:instrText>
      </w:r>
      <w:r>
        <w:rPr>
          <w:noProof/>
        </w:rPr>
      </w:r>
      <w:r>
        <w:rPr>
          <w:noProof/>
        </w:rPr>
        <w:fldChar w:fldCharType="separate"/>
      </w:r>
      <w:r>
        <w:rPr>
          <w:noProof/>
        </w:rPr>
        <w:t>642</w:t>
      </w:r>
      <w:r>
        <w:rPr>
          <w:noProof/>
        </w:rPr>
        <w:fldChar w:fldCharType="end"/>
      </w:r>
    </w:p>
    <w:p w14:paraId="3A614267" w14:textId="7A9E2BD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47—Agreements with unlicensed persons relating to the provision of financial services</w:t>
      </w:r>
      <w:r>
        <w:rPr>
          <w:noProof/>
        </w:rPr>
        <w:tab/>
      </w:r>
      <w:r>
        <w:rPr>
          <w:noProof/>
        </w:rPr>
        <w:fldChar w:fldCharType="begin"/>
      </w:r>
      <w:r>
        <w:rPr>
          <w:noProof/>
        </w:rPr>
        <w:instrText xml:space="preserve"> PAGEREF _Toc158713223 \h </w:instrText>
      </w:r>
      <w:r>
        <w:rPr>
          <w:noProof/>
        </w:rPr>
      </w:r>
      <w:r>
        <w:rPr>
          <w:noProof/>
        </w:rPr>
        <w:fldChar w:fldCharType="separate"/>
      </w:r>
      <w:r>
        <w:rPr>
          <w:noProof/>
        </w:rPr>
        <w:t>643</w:t>
      </w:r>
      <w:r>
        <w:rPr>
          <w:noProof/>
        </w:rPr>
        <w:fldChar w:fldCharType="end"/>
      </w:r>
    </w:p>
    <w:p w14:paraId="403D2EF4" w14:textId="3C68C59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10.2.210  Agreements</w:t>
      </w:r>
      <w:r>
        <w:rPr>
          <w:noProof/>
        </w:rPr>
        <w:tab/>
      </w:r>
      <w:r>
        <w:rPr>
          <w:noProof/>
        </w:rPr>
        <w:fldChar w:fldCharType="begin"/>
      </w:r>
      <w:r>
        <w:rPr>
          <w:noProof/>
        </w:rPr>
        <w:instrText xml:space="preserve"> PAGEREF _Toc158713224 \h </w:instrText>
      </w:r>
      <w:r>
        <w:rPr>
          <w:noProof/>
        </w:rPr>
      </w:r>
      <w:r>
        <w:rPr>
          <w:noProof/>
        </w:rPr>
        <w:fldChar w:fldCharType="separate"/>
      </w:r>
      <w:r>
        <w:rPr>
          <w:noProof/>
        </w:rPr>
        <w:t>643</w:t>
      </w:r>
      <w:r>
        <w:rPr>
          <w:noProof/>
        </w:rPr>
        <w:fldChar w:fldCharType="end"/>
      </w:r>
    </w:p>
    <w:p w14:paraId="063F0FB3" w14:textId="3CEFB6CF"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48—Arrangements for Lloyd’s</w:t>
      </w:r>
      <w:r>
        <w:rPr>
          <w:noProof/>
        </w:rPr>
        <w:tab/>
      </w:r>
      <w:r>
        <w:rPr>
          <w:noProof/>
        </w:rPr>
        <w:fldChar w:fldCharType="begin"/>
      </w:r>
      <w:r>
        <w:rPr>
          <w:noProof/>
        </w:rPr>
        <w:instrText xml:space="preserve"> PAGEREF _Toc158713225 \h </w:instrText>
      </w:r>
      <w:r>
        <w:rPr>
          <w:noProof/>
        </w:rPr>
      </w:r>
      <w:r>
        <w:rPr>
          <w:noProof/>
        </w:rPr>
        <w:fldChar w:fldCharType="separate"/>
      </w:r>
      <w:r>
        <w:rPr>
          <w:noProof/>
        </w:rPr>
        <w:t>644</w:t>
      </w:r>
      <w:r>
        <w:rPr>
          <w:noProof/>
        </w:rPr>
        <w:fldChar w:fldCharType="end"/>
      </w:r>
    </w:p>
    <w:p w14:paraId="3C49FD53" w14:textId="0522AD3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10.2.211  Lloyd’s</w:t>
      </w:r>
      <w:r>
        <w:rPr>
          <w:noProof/>
        </w:rPr>
        <w:tab/>
      </w:r>
      <w:r>
        <w:rPr>
          <w:noProof/>
        </w:rPr>
        <w:fldChar w:fldCharType="begin"/>
      </w:r>
      <w:r>
        <w:rPr>
          <w:noProof/>
        </w:rPr>
        <w:instrText xml:space="preserve"> PAGEREF _Toc158713226 \h </w:instrText>
      </w:r>
      <w:r>
        <w:rPr>
          <w:noProof/>
        </w:rPr>
      </w:r>
      <w:r>
        <w:rPr>
          <w:noProof/>
        </w:rPr>
        <w:fldChar w:fldCharType="separate"/>
      </w:r>
      <w:r>
        <w:rPr>
          <w:noProof/>
        </w:rPr>
        <w:t>644</w:t>
      </w:r>
      <w:r>
        <w:rPr>
          <w:noProof/>
        </w:rPr>
        <w:fldChar w:fldCharType="end"/>
      </w:r>
    </w:p>
    <w:p w14:paraId="7D8834F0" w14:textId="56F75E60" w:rsidR="00D779FE" w:rsidRDefault="00D779FE">
      <w:pPr>
        <w:pStyle w:val="TOC3"/>
        <w:rPr>
          <w:rFonts w:asciiTheme="minorHAnsi" w:eastAsiaTheme="minorEastAsia" w:hAnsiTheme="minorHAnsi" w:cstheme="minorBidi"/>
          <w:b w:val="0"/>
          <w:noProof/>
          <w:kern w:val="2"/>
          <w:szCs w:val="22"/>
          <w14:ligatures w14:val="standardContextual"/>
        </w:rPr>
      </w:pPr>
      <w:r>
        <w:rPr>
          <w:noProof/>
        </w:rPr>
        <w:lastRenderedPageBreak/>
        <w:t>Division 49—Hawking of certain financial products</w:t>
      </w:r>
      <w:r>
        <w:rPr>
          <w:noProof/>
        </w:rPr>
        <w:tab/>
      </w:r>
      <w:r>
        <w:rPr>
          <w:noProof/>
        </w:rPr>
        <w:fldChar w:fldCharType="begin"/>
      </w:r>
      <w:r>
        <w:rPr>
          <w:noProof/>
        </w:rPr>
        <w:instrText xml:space="preserve"> PAGEREF _Toc158713227 \h </w:instrText>
      </w:r>
      <w:r>
        <w:rPr>
          <w:noProof/>
        </w:rPr>
      </w:r>
      <w:r>
        <w:rPr>
          <w:noProof/>
        </w:rPr>
        <w:fldChar w:fldCharType="separate"/>
      </w:r>
      <w:r>
        <w:rPr>
          <w:noProof/>
        </w:rPr>
        <w:t>645</w:t>
      </w:r>
      <w:r>
        <w:rPr>
          <w:noProof/>
        </w:rPr>
        <w:fldChar w:fldCharType="end"/>
      </w:r>
    </w:p>
    <w:p w14:paraId="6D63C895" w14:textId="3A6359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10.2.212  Hawking of managed investment products</w:t>
      </w:r>
      <w:r>
        <w:rPr>
          <w:noProof/>
        </w:rPr>
        <w:tab/>
      </w:r>
      <w:r>
        <w:rPr>
          <w:noProof/>
        </w:rPr>
        <w:fldChar w:fldCharType="begin"/>
      </w:r>
      <w:r>
        <w:rPr>
          <w:noProof/>
        </w:rPr>
        <w:instrText xml:space="preserve"> PAGEREF _Toc158713228 \h </w:instrText>
      </w:r>
      <w:r>
        <w:rPr>
          <w:noProof/>
        </w:rPr>
      </w:r>
      <w:r>
        <w:rPr>
          <w:noProof/>
        </w:rPr>
        <w:fldChar w:fldCharType="separate"/>
      </w:r>
      <w:r>
        <w:rPr>
          <w:noProof/>
        </w:rPr>
        <w:t>645</w:t>
      </w:r>
      <w:r>
        <w:rPr>
          <w:noProof/>
        </w:rPr>
        <w:fldChar w:fldCharType="end"/>
      </w:r>
    </w:p>
    <w:p w14:paraId="2812DD76" w14:textId="4995C8C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50—Warrants or options to acquire issued securities</w:t>
      </w:r>
      <w:r>
        <w:rPr>
          <w:noProof/>
        </w:rPr>
        <w:tab/>
      </w:r>
      <w:r>
        <w:rPr>
          <w:noProof/>
        </w:rPr>
        <w:fldChar w:fldCharType="begin"/>
      </w:r>
      <w:r>
        <w:rPr>
          <w:noProof/>
        </w:rPr>
        <w:instrText xml:space="preserve"> PAGEREF _Toc158713229 \h </w:instrText>
      </w:r>
      <w:r>
        <w:rPr>
          <w:noProof/>
        </w:rPr>
      </w:r>
      <w:r>
        <w:rPr>
          <w:noProof/>
        </w:rPr>
        <w:fldChar w:fldCharType="separate"/>
      </w:r>
      <w:r>
        <w:rPr>
          <w:noProof/>
        </w:rPr>
        <w:t>646</w:t>
      </w:r>
      <w:r>
        <w:rPr>
          <w:noProof/>
        </w:rPr>
        <w:fldChar w:fldCharType="end"/>
      </w:r>
    </w:p>
    <w:p w14:paraId="76C6CFE8" w14:textId="7D1214B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10.2.213  Warrants or options to acquire issued securities</w:t>
      </w:r>
      <w:r>
        <w:rPr>
          <w:noProof/>
        </w:rPr>
        <w:tab/>
      </w:r>
      <w:r>
        <w:rPr>
          <w:noProof/>
        </w:rPr>
        <w:fldChar w:fldCharType="begin"/>
      </w:r>
      <w:r>
        <w:rPr>
          <w:noProof/>
        </w:rPr>
        <w:instrText xml:space="preserve"> PAGEREF _Toc158713230 \h </w:instrText>
      </w:r>
      <w:r>
        <w:rPr>
          <w:noProof/>
        </w:rPr>
      </w:r>
      <w:r>
        <w:rPr>
          <w:noProof/>
        </w:rPr>
        <w:fldChar w:fldCharType="separate"/>
      </w:r>
      <w:r>
        <w:rPr>
          <w:noProof/>
        </w:rPr>
        <w:t>646</w:t>
      </w:r>
      <w:r>
        <w:rPr>
          <w:noProof/>
        </w:rPr>
        <w:fldChar w:fldCharType="end"/>
      </w:r>
    </w:p>
    <w:p w14:paraId="4422E188" w14:textId="2BFA916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52—Winding up of fidelity funds if market ceases to operate</w:t>
      </w:r>
      <w:r>
        <w:rPr>
          <w:noProof/>
        </w:rPr>
        <w:tab/>
      </w:r>
      <w:r>
        <w:rPr>
          <w:noProof/>
        </w:rPr>
        <w:fldChar w:fldCharType="begin"/>
      </w:r>
      <w:r>
        <w:rPr>
          <w:noProof/>
        </w:rPr>
        <w:instrText xml:space="preserve"> PAGEREF _Toc158713231 \h </w:instrText>
      </w:r>
      <w:r>
        <w:rPr>
          <w:noProof/>
        </w:rPr>
      </w:r>
      <w:r>
        <w:rPr>
          <w:noProof/>
        </w:rPr>
        <w:fldChar w:fldCharType="separate"/>
      </w:r>
      <w:r>
        <w:rPr>
          <w:noProof/>
        </w:rPr>
        <w:t>647</w:t>
      </w:r>
      <w:r>
        <w:rPr>
          <w:noProof/>
        </w:rPr>
        <w:fldChar w:fldCharType="end"/>
      </w:r>
    </w:p>
    <w:p w14:paraId="0932E7C4" w14:textId="6D4295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10.2.215  Winding up of fidelity funds if market ceases to operate</w:t>
      </w:r>
      <w:r>
        <w:rPr>
          <w:noProof/>
        </w:rPr>
        <w:tab/>
      </w:r>
      <w:r>
        <w:rPr>
          <w:noProof/>
        </w:rPr>
        <w:fldChar w:fldCharType="begin"/>
      </w:r>
      <w:r>
        <w:rPr>
          <w:noProof/>
        </w:rPr>
        <w:instrText xml:space="preserve"> PAGEREF _Toc158713232 \h </w:instrText>
      </w:r>
      <w:r>
        <w:rPr>
          <w:noProof/>
        </w:rPr>
      </w:r>
      <w:r>
        <w:rPr>
          <w:noProof/>
        </w:rPr>
        <w:fldChar w:fldCharType="separate"/>
      </w:r>
      <w:r>
        <w:rPr>
          <w:noProof/>
        </w:rPr>
        <w:t>647</w:t>
      </w:r>
      <w:r>
        <w:rPr>
          <w:noProof/>
        </w:rPr>
        <w:fldChar w:fldCharType="end"/>
      </w:r>
    </w:p>
    <w:p w14:paraId="00F1F704" w14:textId="23D3F50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10.5—Transitional provisions relating to the Corporate Law Economic Reform Program (Audit Reform and Corporate Disclosure) Act 2004</w:t>
      </w:r>
      <w:r>
        <w:rPr>
          <w:noProof/>
        </w:rPr>
        <w:tab/>
      </w:r>
      <w:r>
        <w:rPr>
          <w:noProof/>
        </w:rPr>
        <w:fldChar w:fldCharType="begin"/>
      </w:r>
      <w:r>
        <w:rPr>
          <w:noProof/>
        </w:rPr>
        <w:instrText xml:space="preserve"> PAGEREF _Toc158713233 \h </w:instrText>
      </w:r>
      <w:r>
        <w:rPr>
          <w:noProof/>
        </w:rPr>
      </w:r>
      <w:r>
        <w:rPr>
          <w:noProof/>
        </w:rPr>
        <w:fldChar w:fldCharType="separate"/>
      </w:r>
      <w:r>
        <w:rPr>
          <w:noProof/>
        </w:rPr>
        <w:t>648</w:t>
      </w:r>
      <w:r>
        <w:rPr>
          <w:noProof/>
        </w:rPr>
        <w:fldChar w:fldCharType="end"/>
      </w:r>
    </w:p>
    <w:p w14:paraId="5D9DF964" w14:textId="702F65F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10.5.01  Adoption of auditing standards made by accounting profession before commencement (Act ss 1455(1) and (3))</w:t>
      </w:r>
      <w:r>
        <w:rPr>
          <w:noProof/>
        </w:rPr>
        <w:tab/>
      </w:r>
      <w:r>
        <w:rPr>
          <w:noProof/>
        </w:rPr>
        <w:fldChar w:fldCharType="begin"/>
      </w:r>
      <w:r>
        <w:rPr>
          <w:noProof/>
        </w:rPr>
        <w:instrText xml:space="preserve"> PAGEREF _Toc158713234 \h </w:instrText>
      </w:r>
      <w:r>
        <w:rPr>
          <w:noProof/>
        </w:rPr>
      </w:r>
      <w:r>
        <w:rPr>
          <w:noProof/>
        </w:rPr>
        <w:fldChar w:fldCharType="separate"/>
      </w:r>
      <w:r>
        <w:rPr>
          <w:noProof/>
        </w:rPr>
        <w:t>648</w:t>
      </w:r>
      <w:r>
        <w:rPr>
          <w:noProof/>
        </w:rPr>
        <w:fldChar w:fldCharType="end"/>
      </w:r>
    </w:p>
    <w:p w14:paraId="1075603A" w14:textId="462D614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10.15—Transitional provisions relating to the Corporations Amendment (Financial Market Supervision) Act 2010</w:t>
      </w:r>
      <w:r>
        <w:rPr>
          <w:noProof/>
        </w:rPr>
        <w:tab/>
      </w:r>
      <w:r>
        <w:rPr>
          <w:noProof/>
        </w:rPr>
        <w:fldChar w:fldCharType="begin"/>
      </w:r>
      <w:r>
        <w:rPr>
          <w:noProof/>
        </w:rPr>
        <w:instrText xml:space="preserve"> PAGEREF _Toc158713235 \h </w:instrText>
      </w:r>
      <w:r>
        <w:rPr>
          <w:noProof/>
        </w:rPr>
      </w:r>
      <w:r>
        <w:rPr>
          <w:noProof/>
        </w:rPr>
        <w:fldChar w:fldCharType="separate"/>
      </w:r>
      <w:r>
        <w:rPr>
          <w:noProof/>
        </w:rPr>
        <w:t>650</w:t>
      </w:r>
      <w:r>
        <w:rPr>
          <w:noProof/>
        </w:rPr>
        <w:fldChar w:fldCharType="end"/>
      </w:r>
    </w:p>
    <w:p w14:paraId="01F9496C" w14:textId="3D313DA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10.15.01  Application of Part 10.15</w:t>
      </w:r>
      <w:r>
        <w:rPr>
          <w:noProof/>
        </w:rPr>
        <w:tab/>
      </w:r>
      <w:r>
        <w:rPr>
          <w:noProof/>
        </w:rPr>
        <w:fldChar w:fldCharType="begin"/>
      </w:r>
      <w:r>
        <w:rPr>
          <w:noProof/>
        </w:rPr>
        <w:instrText xml:space="preserve"> PAGEREF _Toc158713236 \h </w:instrText>
      </w:r>
      <w:r>
        <w:rPr>
          <w:noProof/>
        </w:rPr>
      </w:r>
      <w:r>
        <w:rPr>
          <w:noProof/>
        </w:rPr>
        <w:fldChar w:fldCharType="separate"/>
      </w:r>
      <w:r>
        <w:rPr>
          <w:noProof/>
        </w:rPr>
        <w:t>650</w:t>
      </w:r>
      <w:r>
        <w:rPr>
          <w:noProof/>
        </w:rPr>
        <w:fldChar w:fldCharType="end"/>
      </w:r>
    </w:p>
    <w:p w14:paraId="53825820" w14:textId="34F8E6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10.15.02  Amendments not to apply to certain </w:t>
      </w:r>
      <w:r w:rsidRPr="00FC743A">
        <w:rPr>
          <w:noProof/>
          <w:shd w:val="clear" w:color="auto" w:fill="FFFFFF"/>
        </w:rPr>
        <w:t>operators of licensed markets</w:t>
      </w:r>
      <w:r>
        <w:rPr>
          <w:noProof/>
        </w:rPr>
        <w:tab/>
      </w:r>
      <w:r>
        <w:rPr>
          <w:noProof/>
        </w:rPr>
        <w:fldChar w:fldCharType="begin"/>
      </w:r>
      <w:r>
        <w:rPr>
          <w:noProof/>
        </w:rPr>
        <w:instrText xml:space="preserve"> PAGEREF _Toc158713237 \h </w:instrText>
      </w:r>
      <w:r>
        <w:rPr>
          <w:noProof/>
        </w:rPr>
      </w:r>
      <w:r>
        <w:rPr>
          <w:noProof/>
        </w:rPr>
        <w:fldChar w:fldCharType="separate"/>
      </w:r>
      <w:r>
        <w:rPr>
          <w:noProof/>
        </w:rPr>
        <w:t>650</w:t>
      </w:r>
      <w:r>
        <w:rPr>
          <w:noProof/>
        </w:rPr>
        <w:fldChar w:fldCharType="end"/>
      </w:r>
    </w:p>
    <w:p w14:paraId="4A7B9DB1" w14:textId="56984F8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10.15.03  Transfer of documents</w:t>
      </w:r>
      <w:r>
        <w:rPr>
          <w:noProof/>
        </w:rPr>
        <w:tab/>
      </w:r>
      <w:r>
        <w:rPr>
          <w:noProof/>
        </w:rPr>
        <w:fldChar w:fldCharType="begin"/>
      </w:r>
      <w:r>
        <w:rPr>
          <w:noProof/>
        </w:rPr>
        <w:instrText xml:space="preserve"> PAGEREF _Toc158713238 \h </w:instrText>
      </w:r>
      <w:r>
        <w:rPr>
          <w:noProof/>
        </w:rPr>
      </w:r>
      <w:r>
        <w:rPr>
          <w:noProof/>
        </w:rPr>
        <w:fldChar w:fldCharType="separate"/>
      </w:r>
      <w:r>
        <w:rPr>
          <w:noProof/>
        </w:rPr>
        <w:t>650</w:t>
      </w:r>
      <w:r>
        <w:rPr>
          <w:noProof/>
        </w:rPr>
        <w:fldChar w:fldCharType="end"/>
      </w:r>
    </w:p>
    <w:p w14:paraId="035D6685" w14:textId="600D8D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10.15.04  Notifications, consents, waivers, etc</w:t>
      </w:r>
      <w:r>
        <w:rPr>
          <w:noProof/>
        </w:rPr>
        <w:tab/>
      </w:r>
      <w:r>
        <w:rPr>
          <w:noProof/>
        </w:rPr>
        <w:fldChar w:fldCharType="begin"/>
      </w:r>
      <w:r>
        <w:rPr>
          <w:noProof/>
        </w:rPr>
        <w:instrText xml:space="preserve"> PAGEREF _Toc158713239 \h </w:instrText>
      </w:r>
      <w:r>
        <w:rPr>
          <w:noProof/>
        </w:rPr>
      </w:r>
      <w:r>
        <w:rPr>
          <w:noProof/>
        </w:rPr>
        <w:fldChar w:fldCharType="separate"/>
      </w:r>
      <w:r>
        <w:rPr>
          <w:noProof/>
        </w:rPr>
        <w:t>650</w:t>
      </w:r>
      <w:r>
        <w:rPr>
          <w:noProof/>
        </w:rPr>
        <w:fldChar w:fldCharType="end"/>
      </w:r>
    </w:p>
    <w:p w14:paraId="3132C047" w14:textId="3DB5D6F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10.15.05  Notification given by participant to operator of licensed market</w:t>
      </w:r>
      <w:r>
        <w:rPr>
          <w:noProof/>
        </w:rPr>
        <w:tab/>
      </w:r>
      <w:r>
        <w:rPr>
          <w:noProof/>
        </w:rPr>
        <w:fldChar w:fldCharType="begin"/>
      </w:r>
      <w:r>
        <w:rPr>
          <w:noProof/>
        </w:rPr>
        <w:instrText xml:space="preserve"> PAGEREF _Toc158713240 \h </w:instrText>
      </w:r>
      <w:r>
        <w:rPr>
          <w:noProof/>
        </w:rPr>
      </w:r>
      <w:r>
        <w:rPr>
          <w:noProof/>
        </w:rPr>
        <w:fldChar w:fldCharType="separate"/>
      </w:r>
      <w:r>
        <w:rPr>
          <w:noProof/>
        </w:rPr>
        <w:t>651</w:t>
      </w:r>
      <w:r>
        <w:rPr>
          <w:noProof/>
        </w:rPr>
        <w:fldChar w:fldCharType="end"/>
      </w:r>
    </w:p>
    <w:p w14:paraId="030733F8" w14:textId="71B664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10.15.06  Registers</w:t>
      </w:r>
      <w:r>
        <w:rPr>
          <w:noProof/>
        </w:rPr>
        <w:tab/>
      </w:r>
      <w:r>
        <w:rPr>
          <w:noProof/>
        </w:rPr>
        <w:fldChar w:fldCharType="begin"/>
      </w:r>
      <w:r>
        <w:rPr>
          <w:noProof/>
        </w:rPr>
        <w:instrText xml:space="preserve"> PAGEREF _Toc158713241 \h </w:instrText>
      </w:r>
      <w:r>
        <w:rPr>
          <w:noProof/>
        </w:rPr>
      </w:r>
      <w:r>
        <w:rPr>
          <w:noProof/>
        </w:rPr>
        <w:fldChar w:fldCharType="separate"/>
      </w:r>
      <w:r>
        <w:rPr>
          <w:noProof/>
        </w:rPr>
        <w:t>651</w:t>
      </w:r>
      <w:r>
        <w:rPr>
          <w:noProof/>
        </w:rPr>
        <w:fldChar w:fldCharType="end"/>
      </w:r>
    </w:p>
    <w:p w14:paraId="46617235" w14:textId="0D5AB9E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10.18—Transitional provisions relating to Corporations Amendment (Further Future of Financial Advice Measures) Act 2012</w:t>
      </w:r>
      <w:r>
        <w:rPr>
          <w:noProof/>
        </w:rPr>
        <w:tab/>
      </w:r>
      <w:r>
        <w:rPr>
          <w:noProof/>
        </w:rPr>
        <w:fldChar w:fldCharType="begin"/>
      </w:r>
      <w:r>
        <w:rPr>
          <w:noProof/>
        </w:rPr>
        <w:instrText xml:space="preserve"> PAGEREF _Toc158713242 \h </w:instrText>
      </w:r>
      <w:r>
        <w:rPr>
          <w:noProof/>
        </w:rPr>
      </w:r>
      <w:r>
        <w:rPr>
          <w:noProof/>
        </w:rPr>
        <w:fldChar w:fldCharType="separate"/>
      </w:r>
      <w:r>
        <w:rPr>
          <w:noProof/>
        </w:rPr>
        <w:t>652</w:t>
      </w:r>
      <w:r>
        <w:rPr>
          <w:noProof/>
        </w:rPr>
        <w:fldChar w:fldCharType="end"/>
      </w:r>
    </w:p>
    <w:p w14:paraId="23672F2E" w14:textId="6D670EF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10.19—Transitional matters relating to MySuper measures</w:t>
      </w:r>
      <w:r>
        <w:rPr>
          <w:noProof/>
        </w:rPr>
        <w:tab/>
      </w:r>
      <w:r>
        <w:rPr>
          <w:noProof/>
        </w:rPr>
        <w:fldChar w:fldCharType="begin"/>
      </w:r>
      <w:r>
        <w:rPr>
          <w:noProof/>
        </w:rPr>
        <w:instrText xml:space="preserve"> PAGEREF _Toc158713243 \h </w:instrText>
      </w:r>
      <w:r>
        <w:rPr>
          <w:noProof/>
        </w:rPr>
      </w:r>
      <w:r>
        <w:rPr>
          <w:noProof/>
        </w:rPr>
        <w:fldChar w:fldCharType="separate"/>
      </w:r>
      <w:r>
        <w:rPr>
          <w:noProof/>
        </w:rPr>
        <w:t>653</w:t>
      </w:r>
      <w:r>
        <w:rPr>
          <w:noProof/>
        </w:rPr>
        <w:fldChar w:fldCharType="end"/>
      </w:r>
    </w:p>
    <w:p w14:paraId="4889AC9C" w14:textId="158121B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10.19.01  Changes to product disclosure statements and periodic statements</w:t>
      </w:r>
      <w:r>
        <w:rPr>
          <w:noProof/>
        </w:rPr>
        <w:tab/>
      </w:r>
      <w:r>
        <w:rPr>
          <w:noProof/>
        </w:rPr>
        <w:fldChar w:fldCharType="begin"/>
      </w:r>
      <w:r>
        <w:rPr>
          <w:noProof/>
        </w:rPr>
        <w:instrText xml:space="preserve"> PAGEREF _Toc158713244 \h </w:instrText>
      </w:r>
      <w:r>
        <w:rPr>
          <w:noProof/>
        </w:rPr>
      </w:r>
      <w:r>
        <w:rPr>
          <w:noProof/>
        </w:rPr>
        <w:fldChar w:fldCharType="separate"/>
      </w:r>
      <w:r>
        <w:rPr>
          <w:noProof/>
        </w:rPr>
        <w:t>653</w:t>
      </w:r>
      <w:r>
        <w:rPr>
          <w:noProof/>
        </w:rPr>
        <w:fldChar w:fldCharType="end"/>
      </w:r>
    </w:p>
    <w:p w14:paraId="64AFBFA6" w14:textId="1BD13FE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10.21—Application provisions relating to the Corporations Amendment (Central Clearing and Single</w:t>
      </w:r>
      <w:r>
        <w:rPr>
          <w:noProof/>
        </w:rPr>
        <w:noBreakHyphen/>
        <w:t>Sided Reporting) Regulation 2015</w:t>
      </w:r>
      <w:r>
        <w:rPr>
          <w:noProof/>
        </w:rPr>
        <w:tab/>
      </w:r>
      <w:r>
        <w:rPr>
          <w:noProof/>
        </w:rPr>
        <w:fldChar w:fldCharType="begin"/>
      </w:r>
      <w:r>
        <w:rPr>
          <w:noProof/>
        </w:rPr>
        <w:instrText xml:space="preserve"> PAGEREF _Toc158713245 \h </w:instrText>
      </w:r>
      <w:r>
        <w:rPr>
          <w:noProof/>
        </w:rPr>
      </w:r>
      <w:r>
        <w:rPr>
          <w:noProof/>
        </w:rPr>
        <w:fldChar w:fldCharType="separate"/>
      </w:r>
      <w:r>
        <w:rPr>
          <w:noProof/>
        </w:rPr>
        <w:t>654</w:t>
      </w:r>
      <w:r>
        <w:rPr>
          <w:noProof/>
        </w:rPr>
        <w:fldChar w:fldCharType="end"/>
      </w:r>
    </w:p>
    <w:p w14:paraId="4558417C" w14:textId="08B6C9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10.21.01  First application of 7.5A.73—existing phase 3 reporting entities</w:t>
      </w:r>
      <w:r>
        <w:rPr>
          <w:noProof/>
        </w:rPr>
        <w:tab/>
      </w:r>
      <w:r>
        <w:rPr>
          <w:noProof/>
        </w:rPr>
        <w:fldChar w:fldCharType="begin"/>
      </w:r>
      <w:r>
        <w:rPr>
          <w:noProof/>
        </w:rPr>
        <w:instrText xml:space="preserve"> PAGEREF _Toc158713246 \h </w:instrText>
      </w:r>
      <w:r>
        <w:rPr>
          <w:noProof/>
        </w:rPr>
      </w:r>
      <w:r>
        <w:rPr>
          <w:noProof/>
        </w:rPr>
        <w:fldChar w:fldCharType="separate"/>
      </w:r>
      <w:r>
        <w:rPr>
          <w:noProof/>
        </w:rPr>
        <w:t>654</w:t>
      </w:r>
      <w:r>
        <w:rPr>
          <w:noProof/>
        </w:rPr>
        <w:fldChar w:fldCharType="end"/>
      </w:r>
    </w:p>
    <w:p w14:paraId="65D50763" w14:textId="7F76D14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10.22—Application provisions related to the Corporations Amendment (Financial Services Information Lodgement Periods) Regulation 2015</w:t>
      </w:r>
      <w:r>
        <w:rPr>
          <w:noProof/>
        </w:rPr>
        <w:tab/>
      </w:r>
      <w:r>
        <w:rPr>
          <w:noProof/>
        </w:rPr>
        <w:fldChar w:fldCharType="begin"/>
      </w:r>
      <w:r>
        <w:rPr>
          <w:noProof/>
        </w:rPr>
        <w:instrText xml:space="preserve"> PAGEREF _Toc158713247 \h </w:instrText>
      </w:r>
      <w:r>
        <w:rPr>
          <w:noProof/>
        </w:rPr>
      </w:r>
      <w:r>
        <w:rPr>
          <w:noProof/>
        </w:rPr>
        <w:fldChar w:fldCharType="separate"/>
      </w:r>
      <w:r>
        <w:rPr>
          <w:noProof/>
        </w:rPr>
        <w:t>655</w:t>
      </w:r>
      <w:r>
        <w:rPr>
          <w:noProof/>
        </w:rPr>
        <w:fldChar w:fldCharType="end"/>
      </w:r>
    </w:p>
    <w:p w14:paraId="38895CE6" w14:textId="1B0C368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10.22.01  Application of amendment of paragraph 7.6.04(1)(c)</w:t>
      </w:r>
      <w:r>
        <w:rPr>
          <w:noProof/>
        </w:rPr>
        <w:tab/>
      </w:r>
      <w:r>
        <w:rPr>
          <w:noProof/>
        </w:rPr>
        <w:fldChar w:fldCharType="begin"/>
      </w:r>
      <w:r>
        <w:rPr>
          <w:noProof/>
        </w:rPr>
        <w:instrText xml:space="preserve"> PAGEREF _Toc158713248 \h </w:instrText>
      </w:r>
      <w:r>
        <w:rPr>
          <w:noProof/>
        </w:rPr>
      </w:r>
      <w:r>
        <w:rPr>
          <w:noProof/>
        </w:rPr>
        <w:fldChar w:fldCharType="separate"/>
      </w:r>
      <w:r>
        <w:rPr>
          <w:noProof/>
        </w:rPr>
        <w:t>655</w:t>
      </w:r>
      <w:r>
        <w:rPr>
          <w:noProof/>
        </w:rPr>
        <w:fldChar w:fldCharType="end"/>
      </w:r>
    </w:p>
    <w:p w14:paraId="08BDA7AB" w14:textId="25CC51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10.22.02  Application of modification of subsections 916F(1) and (3)</w:t>
      </w:r>
      <w:r>
        <w:rPr>
          <w:noProof/>
        </w:rPr>
        <w:tab/>
      </w:r>
      <w:r>
        <w:rPr>
          <w:noProof/>
        </w:rPr>
        <w:fldChar w:fldCharType="begin"/>
      </w:r>
      <w:r>
        <w:rPr>
          <w:noProof/>
        </w:rPr>
        <w:instrText xml:space="preserve"> PAGEREF _Toc158713249 \h </w:instrText>
      </w:r>
      <w:r>
        <w:rPr>
          <w:noProof/>
        </w:rPr>
      </w:r>
      <w:r>
        <w:rPr>
          <w:noProof/>
        </w:rPr>
        <w:fldChar w:fldCharType="separate"/>
      </w:r>
      <w:r>
        <w:rPr>
          <w:noProof/>
        </w:rPr>
        <w:t>655</w:t>
      </w:r>
      <w:r>
        <w:rPr>
          <w:noProof/>
        </w:rPr>
        <w:fldChar w:fldCharType="end"/>
      </w:r>
    </w:p>
    <w:p w14:paraId="6ED602DD" w14:textId="08F86BF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10.23—Application provisions relating to the Corporations Amendment (Remuneration Disclosures) Regulation 2016</w:t>
      </w:r>
      <w:r>
        <w:rPr>
          <w:noProof/>
        </w:rPr>
        <w:tab/>
      </w:r>
      <w:r>
        <w:rPr>
          <w:noProof/>
        </w:rPr>
        <w:fldChar w:fldCharType="begin"/>
      </w:r>
      <w:r>
        <w:rPr>
          <w:noProof/>
        </w:rPr>
        <w:instrText xml:space="preserve"> PAGEREF _Toc158713250 \h </w:instrText>
      </w:r>
      <w:r>
        <w:rPr>
          <w:noProof/>
        </w:rPr>
      </w:r>
      <w:r>
        <w:rPr>
          <w:noProof/>
        </w:rPr>
        <w:fldChar w:fldCharType="separate"/>
      </w:r>
      <w:r>
        <w:rPr>
          <w:noProof/>
        </w:rPr>
        <w:t>656</w:t>
      </w:r>
      <w:r>
        <w:rPr>
          <w:noProof/>
        </w:rPr>
        <w:fldChar w:fldCharType="end"/>
      </w:r>
    </w:p>
    <w:p w14:paraId="2338DDE2" w14:textId="0BAA80D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10.23.01  Application—remuneration disclosures</w:t>
      </w:r>
      <w:r>
        <w:rPr>
          <w:noProof/>
        </w:rPr>
        <w:tab/>
      </w:r>
      <w:r>
        <w:rPr>
          <w:noProof/>
        </w:rPr>
        <w:fldChar w:fldCharType="begin"/>
      </w:r>
      <w:r>
        <w:rPr>
          <w:noProof/>
        </w:rPr>
        <w:instrText xml:space="preserve"> PAGEREF _Toc158713251 \h </w:instrText>
      </w:r>
      <w:r>
        <w:rPr>
          <w:noProof/>
        </w:rPr>
      </w:r>
      <w:r>
        <w:rPr>
          <w:noProof/>
        </w:rPr>
        <w:fldChar w:fldCharType="separate"/>
      </w:r>
      <w:r>
        <w:rPr>
          <w:noProof/>
        </w:rPr>
        <w:t>656</w:t>
      </w:r>
      <w:r>
        <w:rPr>
          <w:noProof/>
        </w:rPr>
        <w:fldChar w:fldCharType="end"/>
      </w:r>
    </w:p>
    <w:p w14:paraId="57A4FBD8" w14:textId="5AFAD11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10.24—Application provisions relating to the Financial Services Legislation Amendment (Wholesale Margining) Regulation 2016</w:t>
      </w:r>
      <w:r>
        <w:rPr>
          <w:noProof/>
        </w:rPr>
        <w:tab/>
      </w:r>
      <w:r>
        <w:rPr>
          <w:noProof/>
        </w:rPr>
        <w:fldChar w:fldCharType="begin"/>
      </w:r>
      <w:r>
        <w:rPr>
          <w:noProof/>
        </w:rPr>
        <w:instrText xml:space="preserve"> PAGEREF _Toc158713252 \h </w:instrText>
      </w:r>
      <w:r>
        <w:rPr>
          <w:noProof/>
        </w:rPr>
      </w:r>
      <w:r>
        <w:rPr>
          <w:noProof/>
        </w:rPr>
        <w:fldChar w:fldCharType="separate"/>
      </w:r>
      <w:r>
        <w:rPr>
          <w:noProof/>
        </w:rPr>
        <w:t>657</w:t>
      </w:r>
      <w:r>
        <w:rPr>
          <w:noProof/>
        </w:rPr>
        <w:fldChar w:fldCharType="end"/>
      </w:r>
    </w:p>
    <w:p w14:paraId="6F5E7804" w14:textId="6C0C8A4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10.24.01  Application of regulations 7.8.01A and 7.8.06B</w:t>
      </w:r>
      <w:r>
        <w:rPr>
          <w:noProof/>
        </w:rPr>
        <w:tab/>
      </w:r>
      <w:r>
        <w:rPr>
          <w:noProof/>
        </w:rPr>
        <w:fldChar w:fldCharType="begin"/>
      </w:r>
      <w:r>
        <w:rPr>
          <w:noProof/>
        </w:rPr>
        <w:instrText xml:space="preserve"> PAGEREF _Toc158713253 \h </w:instrText>
      </w:r>
      <w:r>
        <w:rPr>
          <w:noProof/>
        </w:rPr>
      </w:r>
      <w:r>
        <w:rPr>
          <w:noProof/>
        </w:rPr>
        <w:fldChar w:fldCharType="separate"/>
      </w:r>
      <w:r>
        <w:rPr>
          <w:noProof/>
        </w:rPr>
        <w:t>657</w:t>
      </w:r>
      <w:r>
        <w:rPr>
          <w:noProof/>
        </w:rPr>
        <w:fldChar w:fldCharType="end"/>
      </w:r>
    </w:p>
    <w:p w14:paraId="162F1689" w14:textId="6D88CE8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10.25—Transition to Part 3 of the Insolvency Practice Schedule (Corporations)</w:t>
      </w:r>
      <w:r>
        <w:rPr>
          <w:noProof/>
        </w:rPr>
        <w:tab/>
      </w:r>
      <w:r>
        <w:rPr>
          <w:noProof/>
        </w:rPr>
        <w:fldChar w:fldCharType="begin"/>
      </w:r>
      <w:r>
        <w:rPr>
          <w:noProof/>
        </w:rPr>
        <w:instrText xml:space="preserve"> PAGEREF _Toc158713254 \h </w:instrText>
      </w:r>
      <w:r>
        <w:rPr>
          <w:noProof/>
        </w:rPr>
      </w:r>
      <w:r>
        <w:rPr>
          <w:noProof/>
        </w:rPr>
        <w:fldChar w:fldCharType="separate"/>
      </w:r>
      <w:r>
        <w:rPr>
          <w:noProof/>
        </w:rPr>
        <w:t>658</w:t>
      </w:r>
      <w:r>
        <w:rPr>
          <w:noProof/>
        </w:rPr>
        <w:fldChar w:fldCharType="end"/>
      </w:r>
    </w:p>
    <w:p w14:paraId="27803A99" w14:textId="484C2A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10.25.01  Transition to Part 3 of the Insolvency Practice Schedule (Corporations)</w:t>
      </w:r>
      <w:r>
        <w:rPr>
          <w:noProof/>
        </w:rPr>
        <w:tab/>
      </w:r>
      <w:r>
        <w:rPr>
          <w:noProof/>
        </w:rPr>
        <w:fldChar w:fldCharType="begin"/>
      </w:r>
      <w:r>
        <w:rPr>
          <w:noProof/>
        </w:rPr>
        <w:instrText xml:space="preserve"> PAGEREF _Toc158713255 \h </w:instrText>
      </w:r>
      <w:r>
        <w:rPr>
          <w:noProof/>
        </w:rPr>
      </w:r>
      <w:r>
        <w:rPr>
          <w:noProof/>
        </w:rPr>
        <w:fldChar w:fldCharType="separate"/>
      </w:r>
      <w:r>
        <w:rPr>
          <w:noProof/>
        </w:rPr>
        <w:t>658</w:t>
      </w:r>
      <w:r>
        <w:rPr>
          <w:noProof/>
        </w:rPr>
        <w:fldChar w:fldCharType="end"/>
      </w:r>
    </w:p>
    <w:p w14:paraId="7D54B53A" w14:textId="3779E5F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10.25.02  Application of certain amendments relating to the enactment of the Insolvency Practice Schedule (Corporations)</w:t>
      </w:r>
      <w:r>
        <w:rPr>
          <w:noProof/>
        </w:rPr>
        <w:tab/>
      </w:r>
      <w:r>
        <w:rPr>
          <w:noProof/>
        </w:rPr>
        <w:fldChar w:fldCharType="begin"/>
      </w:r>
      <w:r>
        <w:rPr>
          <w:noProof/>
        </w:rPr>
        <w:instrText xml:space="preserve"> PAGEREF _Toc158713256 \h </w:instrText>
      </w:r>
      <w:r>
        <w:rPr>
          <w:noProof/>
        </w:rPr>
      </w:r>
      <w:r>
        <w:rPr>
          <w:noProof/>
        </w:rPr>
        <w:fldChar w:fldCharType="separate"/>
      </w:r>
      <w:r>
        <w:rPr>
          <w:noProof/>
        </w:rPr>
        <w:t>658</w:t>
      </w:r>
      <w:r>
        <w:rPr>
          <w:noProof/>
        </w:rPr>
        <w:fldChar w:fldCharType="end"/>
      </w:r>
    </w:p>
    <w:p w14:paraId="35B9745F" w14:textId="371CF2F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10.25—Application provisions relating to the Treasury Laws Amendment (Fair and Sustainable Superannuation) Regulations 2017</w:t>
      </w:r>
      <w:r>
        <w:rPr>
          <w:noProof/>
        </w:rPr>
        <w:tab/>
      </w:r>
      <w:r>
        <w:rPr>
          <w:noProof/>
        </w:rPr>
        <w:fldChar w:fldCharType="begin"/>
      </w:r>
      <w:r>
        <w:rPr>
          <w:noProof/>
        </w:rPr>
        <w:instrText xml:space="preserve"> PAGEREF _Toc158713257 \h </w:instrText>
      </w:r>
      <w:r>
        <w:rPr>
          <w:noProof/>
        </w:rPr>
      </w:r>
      <w:r>
        <w:rPr>
          <w:noProof/>
        </w:rPr>
        <w:fldChar w:fldCharType="separate"/>
      </w:r>
      <w:r>
        <w:rPr>
          <w:noProof/>
        </w:rPr>
        <w:t>659</w:t>
      </w:r>
      <w:r>
        <w:rPr>
          <w:noProof/>
        </w:rPr>
        <w:fldChar w:fldCharType="end"/>
      </w:r>
    </w:p>
    <w:p w14:paraId="26B2358F" w14:textId="262DBD7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10.25.01  Application of amendment of subregulation 7.9.04(1)</w:t>
      </w:r>
      <w:r>
        <w:rPr>
          <w:noProof/>
        </w:rPr>
        <w:tab/>
      </w:r>
      <w:r>
        <w:rPr>
          <w:noProof/>
        </w:rPr>
        <w:fldChar w:fldCharType="begin"/>
      </w:r>
      <w:r>
        <w:rPr>
          <w:noProof/>
        </w:rPr>
        <w:instrText xml:space="preserve"> PAGEREF _Toc158713258 \h </w:instrText>
      </w:r>
      <w:r>
        <w:rPr>
          <w:noProof/>
        </w:rPr>
      </w:r>
      <w:r>
        <w:rPr>
          <w:noProof/>
        </w:rPr>
        <w:fldChar w:fldCharType="separate"/>
      </w:r>
      <w:r>
        <w:rPr>
          <w:noProof/>
        </w:rPr>
        <w:t>659</w:t>
      </w:r>
      <w:r>
        <w:rPr>
          <w:noProof/>
        </w:rPr>
        <w:fldChar w:fldCharType="end"/>
      </w:r>
    </w:p>
    <w:p w14:paraId="1DBD68A5" w14:textId="78521F0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10.26—Application provisions related to the Corporations Amendment (Client Money) Regulations 2017</w:t>
      </w:r>
      <w:r>
        <w:rPr>
          <w:noProof/>
        </w:rPr>
        <w:tab/>
      </w:r>
      <w:r>
        <w:rPr>
          <w:noProof/>
        </w:rPr>
        <w:fldChar w:fldCharType="begin"/>
      </w:r>
      <w:r>
        <w:rPr>
          <w:noProof/>
        </w:rPr>
        <w:instrText xml:space="preserve"> PAGEREF _Toc158713259 \h </w:instrText>
      </w:r>
      <w:r>
        <w:rPr>
          <w:noProof/>
        </w:rPr>
      </w:r>
      <w:r>
        <w:rPr>
          <w:noProof/>
        </w:rPr>
        <w:fldChar w:fldCharType="separate"/>
      </w:r>
      <w:r>
        <w:rPr>
          <w:noProof/>
        </w:rPr>
        <w:t>660</w:t>
      </w:r>
      <w:r>
        <w:rPr>
          <w:noProof/>
        </w:rPr>
        <w:fldChar w:fldCharType="end"/>
      </w:r>
    </w:p>
    <w:p w14:paraId="0664568A" w14:textId="16C849C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10.26.01  Application of regulation 7.8.02A</w:t>
      </w:r>
      <w:r>
        <w:rPr>
          <w:noProof/>
        </w:rPr>
        <w:tab/>
      </w:r>
      <w:r>
        <w:rPr>
          <w:noProof/>
        </w:rPr>
        <w:fldChar w:fldCharType="begin"/>
      </w:r>
      <w:r>
        <w:rPr>
          <w:noProof/>
        </w:rPr>
        <w:instrText xml:space="preserve"> PAGEREF _Toc158713260 \h </w:instrText>
      </w:r>
      <w:r>
        <w:rPr>
          <w:noProof/>
        </w:rPr>
      </w:r>
      <w:r>
        <w:rPr>
          <w:noProof/>
        </w:rPr>
        <w:fldChar w:fldCharType="separate"/>
      </w:r>
      <w:r>
        <w:rPr>
          <w:noProof/>
        </w:rPr>
        <w:t>660</w:t>
      </w:r>
      <w:r>
        <w:rPr>
          <w:noProof/>
        </w:rPr>
        <w:fldChar w:fldCharType="end"/>
      </w:r>
    </w:p>
    <w:p w14:paraId="5258A261" w14:textId="43B245D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10.27—Transitional provisions relating to the Treasury Laws Amendment (Putting Consumers First—Establishment of the Australian Financial Complaints Authority) Regulations 2018</w:t>
      </w:r>
      <w:r>
        <w:rPr>
          <w:noProof/>
        </w:rPr>
        <w:tab/>
      </w:r>
      <w:r>
        <w:rPr>
          <w:noProof/>
        </w:rPr>
        <w:fldChar w:fldCharType="begin"/>
      </w:r>
      <w:r>
        <w:rPr>
          <w:noProof/>
        </w:rPr>
        <w:instrText xml:space="preserve"> PAGEREF _Toc158713261 \h </w:instrText>
      </w:r>
      <w:r>
        <w:rPr>
          <w:noProof/>
        </w:rPr>
      </w:r>
      <w:r>
        <w:rPr>
          <w:noProof/>
        </w:rPr>
        <w:fldChar w:fldCharType="separate"/>
      </w:r>
      <w:r>
        <w:rPr>
          <w:noProof/>
        </w:rPr>
        <w:t>661</w:t>
      </w:r>
      <w:r>
        <w:rPr>
          <w:noProof/>
        </w:rPr>
        <w:fldChar w:fldCharType="end"/>
      </w:r>
    </w:p>
    <w:p w14:paraId="2D5A508F" w14:textId="6559D97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10.27.01  Membership of the AFCA scheme</w:t>
      </w:r>
      <w:r>
        <w:rPr>
          <w:noProof/>
        </w:rPr>
        <w:tab/>
      </w:r>
      <w:r>
        <w:rPr>
          <w:noProof/>
        </w:rPr>
        <w:fldChar w:fldCharType="begin"/>
      </w:r>
      <w:r>
        <w:rPr>
          <w:noProof/>
        </w:rPr>
        <w:instrText xml:space="preserve"> PAGEREF _Toc158713262 \h </w:instrText>
      </w:r>
      <w:r>
        <w:rPr>
          <w:noProof/>
        </w:rPr>
      </w:r>
      <w:r>
        <w:rPr>
          <w:noProof/>
        </w:rPr>
        <w:fldChar w:fldCharType="separate"/>
      </w:r>
      <w:r>
        <w:rPr>
          <w:noProof/>
        </w:rPr>
        <w:t>661</w:t>
      </w:r>
      <w:r>
        <w:rPr>
          <w:noProof/>
        </w:rPr>
        <w:fldChar w:fldCharType="end"/>
      </w:r>
    </w:p>
    <w:p w14:paraId="7CD1584F" w14:textId="381BC49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10.27.02  Membership of existing external dispute resolution schemes</w:t>
      </w:r>
      <w:r>
        <w:rPr>
          <w:noProof/>
        </w:rPr>
        <w:tab/>
      </w:r>
      <w:r>
        <w:rPr>
          <w:noProof/>
        </w:rPr>
        <w:fldChar w:fldCharType="begin"/>
      </w:r>
      <w:r>
        <w:rPr>
          <w:noProof/>
        </w:rPr>
        <w:instrText xml:space="preserve"> PAGEREF _Toc158713263 \h </w:instrText>
      </w:r>
      <w:r>
        <w:rPr>
          <w:noProof/>
        </w:rPr>
      </w:r>
      <w:r>
        <w:rPr>
          <w:noProof/>
        </w:rPr>
        <w:fldChar w:fldCharType="separate"/>
      </w:r>
      <w:r>
        <w:rPr>
          <w:noProof/>
        </w:rPr>
        <w:t>661</w:t>
      </w:r>
      <w:r>
        <w:rPr>
          <w:noProof/>
        </w:rPr>
        <w:fldChar w:fldCharType="end"/>
      </w:r>
    </w:p>
    <w:p w14:paraId="0635D127" w14:textId="5D9DE5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10.27.03  Written reasons for internal review decisions</w:t>
      </w:r>
      <w:r>
        <w:rPr>
          <w:noProof/>
        </w:rPr>
        <w:tab/>
      </w:r>
      <w:r>
        <w:rPr>
          <w:noProof/>
        </w:rPr>
        <w:fldChar w:fldCharType="begin"/>
      </w:r>
      <w:r>
        <w:rPr>
          <w:noProof/>
        </w:rPr>
        <w:instrText xml:space="preserve"> PAGEREF _Toc158713264 \h </w:instrText>
      </w:r>
      <w:r>
        <w:rPr>
          <w:noProof/>
        </w:rPr>
      </w:r>
      <w:r>
        <w:rPr>
          <w:noProof/>
        </w:rPr>
        <w:fldChar w:fldCharType="separate"/>
      </w:r>
      <w:r>
        <w:rPr>
          <w:noProof/>
        </w:rPr>
        <w:t>661</w:t>
      </w:r>
      <w:r>
        <w:rPr>
          <w:noProof/>
        </w:rPr>
        <w:fldChar w:fldCharType="end"/>
      </w:r>
    </w:p>
    <w:p w14:paraId="59A581C9" w14:textId="72FE5BC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10.27.04  Disclosing information about the AFCA scheme</w:t>
      </w:r>
      <w:r>
        <w:rPr>
          <w:noProof/>
        </w:rPr>
        <w:tab/>
      </w:r>
      <w:r>
        <w:rPr>
          <w:noProof/>
        </w:rPr>
        <w:fldChar w:fldCharType="begin"/>
      </w:r>
      <w:r>
        <w:rPr>
          <w:noProof/>
        </w:rPr>
        <w:instrText xml:space="preserve"> PAGEREF _Toc158713265 \h </w:instrText>
      </w:r>
      <w:r>
        <w:rPr>
          <w:noProof/>
        </w:rPr>
      </w:r>
      <w:r>
        <w:rPr>
          <w:noProof/>
        </w:rPr>
        <w:fldChar w:fldCharType="separate"/>
      </w:r>
      <w:r>
        <w:rPr>
          <w:noProof/>
        </w:rPr>
        <w:t>661</w:t>
      </w:r>
      <w:r>
        <w:rPr>
          <w:noProof/>
        </w:rPr>
        <w:fldChar w:fldCharType="end"/>
      </w:r>
    </w:p>
    <w:p w14:paraId="3D70D3D6" w14:textId="3038372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lastRenderedPageBreak/>
        <w:t>Part 10.28—Application provisions related to the Corporations Amendment (Client Money Reporting Rules Enforcement Powers) Regulations 2018</w:t>
      </w:r>
      <w:r>
        <w:rPr>
          <w:noProof/>
        </w:rPr>
        <w:tab/>
      </w:r>
      <w:r>
        <w:rPr>
          <w:noProof/>
        </w:rPr>
        <w:fldChar w:fldCharType="begin"/>
      </w:r>
      <w:r>
        <w:rPr>
          <w:noProof/>
        </w:rPr>
        <w:instrText xml:space="preserve"> PAGEREF _Toc158713266 \h </w:instrText>
      </w:r>
      <w:r>
        <w:rPr>
          <w:noProof/>
        </w:rPr>
      </w:r>
      <w:r>
        <w:rPr>
          <w:noProof/>
        </w:rPr>
        <w:fldChar w:fldCharType="separate"/>
      </w:r>
      <w:r>
        <w:rPr>
          <w:noProof/>
        </w:rPr>
        <w:t>662</w:t>
      </w:r>
      <w:r>
        <w:rPr>
          <w:noProof/>
        </w:rPr>
        <w:fldChar w:fldCharType="end"/>
      </w:r>
    </w:p>
    <w:p w14:paraId="2C7B8E16" w14:textId="2F569D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10.28.01  Application—client money reporting rules enforcement powers</w:t>
      </w:r>
      <w:r>
        <w:rPr>
          <w:noProof/>
        </w:rPr>
        <w:tab/>
      </w:r>
      <w:r>
        <w:rPr>
          <w:noProof/>
        </w:rPr>
        <w:fldChar w:fldCharType="begin"/>
      </w:r>
      <w:r>
        <w:rPr>
          <w:noProof/>
        </w:rPr>
        <w:instrText xml:space="preserve"> PAGEREF _Toc158713267 \h </w:instrText>
      </w:r>
      <w:r>
        <w:rPr>
          <w:noProof/>
        </w:rPr>
      </w:r>
      <w:r>
        <w:rPr>
          <w:noProof/>
        </w:rPr>
        <w:fldChar w:fldCharType="separate"/>
      </w:r>
      <w:r>
        <w:rPr>
          <w:noProof/>
        </w:rPr>
        <w:t>662</w:t>
      </w:r>
      <w:r>
        <w:rPr>
          <w:noProof/>
        </w:rPr>
        <w:fldChar w:fldCharType="end"/>
      </w:r>
    </w:p>
    <w:p w14:paraId="1B06B790" w14:textId="2D49D98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10.29—Application and transitional provisions relating to the Treasury Laws Amendment (Protecting Your Superannuation Package) Regulations 2019</w:t>
      </w:r>
      <w:r>
        <w:rPr>
          <w:noProof/>
        </w:rPr>
        <w:tab/>
      </w:r>
      <w:r>
        <w:rPr>
          <w:noProof/>
        </w:rPr>
        <w:fldChar w:fldCharType="begin"/>
      </w:r>
      <w:r>
        <w:rPr>
          <w:noProof/>
        </w:rPr>
        <w:instrText xml:space="preserve"> PAGEREF _Toc158713268 \h </w:instrText>
      </w:r>
      <w:r>
        <w:rPr>
          <w:noProof/>
        </w:rPr>
      </w:r>
      <w:r>
        <w:rPr>
          <w:noProof/>
        </w:rPr>
        <w:fldChar w:fldCharType="separate"/>
      </w:r>
      <w:r>
        <w:rPr>
          <w:noProof/>
        </w:rPr>
        <w:t>663</w:t>
      </w:r>
      <w:r>
        <w:rPr>
          <w:noProof/>
        </w:rPr>
        <w:fldChar w:fldCharType="end"/>
      </w:r>
    </w:p>
    <w:p w14:paraId="6BBCD36C" w14:textId="4EDA45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10.29.01  Definitions</w:t>
      </w:r>
      <w:r>
        <w:rPr>
          <w:noProof/>
        </w:rPr>
        <w:tab/>
      </w:r>
      <w:r>
        <w:rPr>
          <w:noProof/>
        </w:rPr>
        <w:fldChar w:fldCharType="begin"/>
      </w:r>
      <w:r>
        <w:rPr>
          <w:noProof/>
        </w:rPr>
        <w:instrText xml:space="preserve"> PAGEREF _Toc158713269 \h </w:instrText>
      </w:r>
      <w:r>
        <w:rPr>
          <w:noProof/>
        </w:rPr>
      </w:r>
      <w:r>
        <w:rPr>
          <w:noProof/>
        </w:rPr>
        <w:fldChar w:fldCharType="separate"/>
      </w:r>
      <w:r>
        <w:rPr>
          <w:noProof/>
        </w:rPr>
        <w:t>663</w:t>
      </w:r>
      <w:r>
        <w:rPr>
          <w:noProof/>
        </w:rPr>
        <w:fldChar w:fldCharType="end"/>
      </w:r>
    </w:p>
    <w:p w14:paraId="4607B458" w14:textId="72A0E1C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10.29.02  Transitional provisions relating to regulation 7.9.44B</w:t>
      </w:r>
      <w:r>
        <w:rPr>
          <w:noProof/>
        </w:rPr>
        <w:tab/>
      </w:r>
      <w:r>
        <w:rPr>
          <w:noProof/>
        </w:rPr>
        <w:fldChar w:fldCharType="begin"/>
      </w:r>
      <w:r>
        <w:rPr>
          <w:noProof/>
        </w:rPr>
        <w:instrText xml:space="preserve"> PAGEREF _Toc158713270 \h </w:instrText>
      </w:r>
      <w:r>
        <w:rPr>
          <w:noProof/>
        </w:rPr>
      </w:r>
      <w:r>
        <w:rPr>
          <w:noProof/>
        </w:rPr>
        <w:fldChar w:fldCharType="separate"/>
      </w:r>
      <w:r>
        <w:rPr>
          <w:noProof/>
        </w:rPr>
        <w:t>663</w:t>
      </w:r>
      <w:r>
        <w:rPr>
          <w:noProof/>
        </w:rPr>
        <w:fldChar w:fldCharType="end"/>
      </w:r>
    </w:p>
    <w:p w14:paraId="309E7334" w14:textId="1A9ED9B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10.29.03  Application of amendments relating to product disclosure statements</w:t>
      </w:r>
      <w:r>
        <w:rPr>
          <w:noProof/>
        </w:rPr>
        <w:tab/>
      </w:r>
      <w:r>
        <w:rPr>
          <w:noProof/>
        </w:rPr>
        <w:fldChar w:fldCharType="begin"/>
      </w:r>
      <w:r>
        <w:rPr>
          <w:noProof/>
        </w:rPr>
        <w:instrText xml:space="preserve"> PAGEREF _Toc158713271 \h </w:instrText>
      </w:r>
      <w:r>
        <w:rPr>
          <w:noProof/>
        </w:rPr>
      </w:r>
      <w:r>
        <w:rPr>
          <w:noProof/>
        </w:rPr>
        <w:fldChar w:fldCharType="separate"/>
      </w:r>
      <w:r>
        <w:rPr>
          <w:noProof/>
        </w:rPr>
        <w:t>663</w:t>
      </w:r>
      <w:r>
        <w:rPr>
          <w:noProof/>
        </w:rPr>
        <w:fldChar w:fldCharType="end"/>
      </w:r>
    </w:p>
    <w:p w14:paraId="49B6668F" w14:textId="0FC1E98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10.29.04  Application of amendments relating to periodic statements</w:t>
      </w:r>
      <w:r>
        <w:rPr>
          <w:noProof/>
        </w:rPr>
        <w:tab/>
      </w:r>
      <w:r>
        <w:rPr>
          <w:noProof/>
        </w:rPr>
        <w:fldChar w:fldCharType="begin"/>
      </w:r>
      <w:r>
        <w:rPr>
          <w:noProof/>
        </w:rPr>
        <w:instrText xml:space="preserve"> PAGEREF _Toc158713272 \h </w:instrText>
      </w:r>
      <w:r>
        <w:rPr>
          <w:noProof/>
        </w:rPr>
      </w:r>
      <w:r>
        <w:rPr>
          <w:noProof/>
        </w:rPr>
        <w:fldChar w:fldCharType="separate"/>
      </w:r>
      <w:r>
        <w:rPr>
          <w:noProof/>
        </w:rPr>
        <w:t>663</w:t>
      </w:r>
      <w:r>
        <w:rPr>
          <w:noProof/>
        </w:rPr>
        <w:fldChar w:fldCharType="end"/>
      </w:r>
    </w:p>
    <w:p w14:paraId="75895F87" w14:textId="6A6270D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10.30—Application provisions relating to the Corporations Amendment (Proprietary Company Thresholds) Regulations 2019</w:t>
      </w:r>
      <w:r>
        <w:rPr>
          <w:noProof/>
        </w:rPr>
        <w:tab/>
      </w:r>
      <w:r>
        <w:rPr>
          <w:noProof/>
        </w:rPr>
        <w:fldChar w:fldCharType="begin"/>
      </w:r>
      <w:r>
        <w:rPr>
          <w:noProof/>
        </w:rPr>
        <w:instrText xml:space="preserve"> PAGEREF _Toc158713273 \h </w:instrText>
      </w:r>
      <w:r>
        <w:rPr>
          <w:noProof/>
        </w:rPr>
      </w:r>
      <w:r>
        <w:rPr>
          <w:noProof/>
        </w:rPr>
        <w:fldChar w:fldCharType="separate"/>
      </w:r>
      <w:r>
        <w:rPr>
          <w:noProof/>
        </w:rPr>
        <w:t>664</w:t>
      </w:r>
      <w:r>
        <w:rPr>
          <w:noProof/>
        </w:rPr>
        <w:fldChar w:fldCharType="end"/>
      </w:r>
    </w:p>
    <w:p w14:paraId="3222A73E" w14:textId="2086CD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10.30.01  Application of amendments—changes to proprietary company thresholds</w:t>
      </w:r>
      <w:r>
        <w:rPr>
          <w:noProof/>
        </w:rPr>
        <w:tab/>
      </w:r>
      <w:r>
        <w:rPr>
          <w:noProof/>
        </w:rPr>
        <w:fldChar w:fldCharType="begin"/>
      </w:r>
      <w:r>
        <w:rPr>
          <w:noProof/>
        </w:rPr>
        <w:instrText xml:space="preserve"> PAGEREF _Toc158713274 \h </w:instrText>
      </w:r>
      <w:r>
        <w:rPr>
          <w:noProof/>
        </w:rPr>
      </w:r>
      <w:r>
        <w:rPr>
          <w:noProof/>
        </w:rPr>
        <w:fldChar w:fldCharType="separate"/>
      </w:r>
      <w:r>
        <w:rPr>
          <w:noProof/>
        </w:rPr>
        <w:t>664</w:t>
      </w:r>
      <w:r>
        <w:rPr>
          <w:noProof/>
        </w:rPr>
        <w:fldChar w:fldCharType="end"/>
      </w:r>
    </w:p>
    <w:p w14:paraId="7676D042" w14:textId="66BF573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10.31—Application provisions relating to the Treasury Laws Amendment (Strengthening Corporate and Financial Sector Penalties) Regulations 2019</w:t>
      </w:r>
      <w:r>
        <w:rPr>
          <w:noProof/>
        </w:rPr>
        <w:tab/>
      </w:r>
      <w:r>
        <w:rPr>
          <w:noProof/>
        </w:rPr>
        <w:fldChar w:fldCharType="begin"/>
      </w:r>
      <w:r>
        <w:rPr>
          <w:noProof/>
        </w:rPr>
        <w:instrText xml:space="preserve"> PAGEREF _Toc158713275 \h </w:instrText>
      </w:r>
      <w:r>
        <w:rPr>
          <w:noProof/>
        </w:rPr>
      </w:r>
      <w:r>
        <w:rPr>
          <w:noProof/>
        </w:rPr>
        <w:fldChar w:fldCharType="separate"/>
      </w:r>
      <w:r>
        <w:rPr>
          <w:noProof/>
        </w:rPr>
        <w:t>665</w:t>
      </w:r>
      <w:r>
        <w:rPr>
          <w:noProof/>
        </w:rPr>
        <w:fldChar w:fldCharType="end"/>
      </w:r>
    </w:p>
    <w:p w14:paraId="472072E8" w14:textId="225D02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10.31.01  Application—offences</w:t>
      </w:r>
      <w:r>
        <w:rPr>
          <w:noProof/>
        </w:rPr>
        <w:tab/>
      </w:r>
      <w:r>
        <w:rPr>
          <w:noProof/>
        </w:rPr>
        <w:fldChar w:fldCharType="begin"/>
      </w:r>
      <w:r>
        <w:rPr>
          <w:noProof/>
        </w:rPr>
        <w:instrText xml:space="preserve"> PAGEREF _Toc158713276 \h </w:instrText>
      </w:r>
      <w:r>
        <w:rPr>
          <w:noProof/>
        </w:rPr>
      </w:r>
      <w:r>
        <w:rPr>
          <w:noProof/>
        </w:rPr>
        <w:fldChar w:fldCharType="separate"/>
      </w:r>
      <w:r>
        <w:rPr>
          <w:noProof/>
        </w:rPr>
        <w:t>665</w:t>
      </w:r>
      <w:r>
        <w:rPr>
          <w:noProof/>
        </w:rPr>
        <w:fldChar w:fldCharType="end"/>
      </w:r>
    </w:p>
    <w:p w14:paraId="42E4FCBB" w14:textId="151A6CF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10.32—Application provisions relating to the Treasury Laws Amendment (AFCA Cooperation) Regulations 2019</w:t>
      </w:r>
      <w:r>
        <w:rPr>
          <w:noProof/>
        </w:rPr>
        <w:tab/>
      </w:r>
      <w:r>
        <w:rPr>
          <w:noProof/>
        </w:rPr>
        <w:fldChar w:fldCharType="begin"/>
      </w:r>
      <w:r>
        <w:rPr>
          <w:noProof/>
        </w:rPr>
        <w:instrText xml:space="preserve"> PAGEREF _Toc158713277 \h </w:instrText>
      </w:r>
      <w:r>
        <w:rPr>
          <w:noProof/>
        </w:rPr>
      </w:r>
      <w:r>
        <w:rPr>
          <w:noProof/>
        </w:rPr>
        <w:fldChar w:fldCharType="separate"/>
      </w:r>
      <w:r>
        <w:rPr>
          <w:noProof/>
        </w:rPr>
        <w:t>666</w:t>
      </w:r>
      <w:r>
        <w:rPr>
          <w:noProof/>
        </w:rPr>
        <w:fldChar w:fldCharType="end"/>
      </w:r>
    </w:p>
    <w:p w14:paraId="65C07297" w14:textId="104841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10.32.01  Application—obligation to cooperate with AFCA</w:t>
      </w:r>
      <w:r>
        <w:rPr>
          <w:noProof/>
        </w:rPr>
        <w:tab/>
      </w:r>
      <w:r>
        <w:rPr>
          <w:noProof/>
        </w:rPr>
        <w:fldChar w:fldCharType="begin"/>
      </w:r>
      <w:r>
        <w:rPr>
          <w:noProof/>
        </w:rPr>
        <w:instrText xml:space="preserve"> PAGEREF _Toc158713278 \h </w:instrText>
      </w:r>
      <w:r>
        <w:rPr>
          <w:noProof/>
        </w:rPr>
      </w:r>
      <w:r>
        <w:rPr>
          <w:noProof/>
        </w:rPr>
        <w:fldChar w:fldCharType="separate"/>
      </w:r>
      <w:r>
        <w:rPr>
          <w:noProof/>
        </w:rPr>
        <w:t>666</w:t>
      </w:r>
      <w:r>
        <w:rPr>
          <w:noProof/>
        </w:rPr>
        <w:fldChar w:fldCharType="end"/>
      </w:r>
    </w:p>
    <w:p w14:paraId="22F8F0D6" w14:textId="6B75C05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10.33—Application provisions relating to the Treasury Laws Amendment (Ending Grandfathered Conflicted Remuneration) Regulations 2019</w:t>
      </w:r>
      <w:r>
        <w:rPr>
          <w:noProof/>
        </w:rPr>
        <w:tab/>
      </w:r>
      <w:r>
        <w:rPr>
          <w:noProof/>
        </w:rPr>
        <w:fldChar w:fldCharType="begin"/>
      </w:r>
      <w:r>
        <w:rPr>
          <w:noProof/>
        </w:rPr>
        <w:instrText xml:space="preserve"> PAGEREF _Toc158713279 \h </w:instrText>
      </w:r>
      <w:r>
        <w:rPr>
          <w:noProof/>
        </w:rPr>
      </w:r>
      <w:r>
        <w:rPr>
          <w:noProof/>
        </w:rPr>
        <w:fldChar w:fldCharType="separate"/>
      </w:r>
      <w:r>
        <w:rPr>
          <w:noProof/>
        </w:rPr>
        <w:t>667</w:t>
      </w:r>
      <w:r>
        <w:rPr>
          <w:noProof/>
        </w:rPr>
        <w:fldChar w:fldCharType="end"/>
      </w:r>
    </w:p>
    <w:p w14:paraId="433BFD63" w14:textId="31A6708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10.33.01  Application of end of grandfathering arrangements</w:t>
      </w:r>
      <w:r>
        <w:rPr>
          <w:noProof/>
        </w:rPr>
        <w:tab/>
      </w:r>
      <w:r>
        <w:rPr>
          <w:noProof/>
        </w:rPr>
        <w:fldChar w:fldCharType="begin"/>
      </w:r>
      <w:r>
        <w:rPr>
          <w:noProof/>
        </w:rPr>
        <w:instrText xml:space="preserve"> PAGEREF _Toc158713280 \h </w:instrText>
      </w:r>
      <w:r>
        <w:rPr>
          <w:noProof/>
        </w:rPr>
      </w:r>
      <w:r>
        <w:rPr>
          <w:noProof/>
        </w:rPr>
        <w:fldChar w:fldCharType="separate"/>
      </w:r>
      <w:r>
        <w:rPr>
          <w:noProof/>
        </w:rPr>
        <w:t>667</w:t>
      </w:r>
      <w:r>
        <w:rPr>
          <w:noProof/>
        </w:rPr>
        <w:fldChar w:fldCharType="end"/>
      </w:r>
    </w:p>
    <w:p w14:paraId="6F7488EB" w14:textId="21004A7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10.33.02  Application of record keeping requirements for rebate scheme</w:t>
      </w:r>
      <w:r>
        <w:rPr>
          <w:noProof/>
        </w:rPr>
        <w:tab/>
      </w:r>
      <w:r>
        <w:rPr>
          <w:noProof/>
        </w:rPr>
        <w:fldChar w:fldCharType="begin"/>
      </w:r>
      <w:r>
        <w:rPr>
          <w:noProof/>
        </w:rPr>
        <w:instrText xml:space="preserve"> PAGEREF _Toc158713281 \h </w:instrText>
      </w:r>
      <w:r>
        <w:rPr>
          <w:noProof/>
        </w:rPr>
      </w:r>
      <w:r>
        <w:rPr>
          <w:noProof/>
        </w:rPr>
        <w:fldChar w:fldCharType="separate"/>
      </w:r>
      <w:r>
        <w:rPr>
          <w:noProof/>
        </w:rPr>
        <w:t>667</w:t>
      </w:r>
      <w:r>
        <w:rPr>
          <w:noProof/>
        </w:rPr>
        <w:fldChar w:fldCharType="end"/>
      </w:r>
    </w:p>
    <w:p w14:paraId="64B583EC" w14:textId="3D82A8E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10.34—Application provisions related to the Corporations Amendment (National Guarantee Fund Payments) Regulations 2019</w:t>
      </w:r>
      <w:r>
        <w:rPr>
          <w:noProof/>
        </w:rPr>
        <w:tab/>
      </w:r>
      <w:r>
        <w:rPr>
          <w:noProof/>
        </w:rPr>
        <w:fldChar w:fldCharType="begin"/>
      </w:r>
      <w:r>
        <w:rPr>
          <w:noProof/>
        </w:rPr>
        <w:instrText xml:space="preserve"> PAGEREF _Toc158713282 \h </w:instrText>
      </w:r>
      <w:r>
        <w:rPr>
          <w:noProof/>
        </w:rPr>
      </w:r>
      <w:r>
        <w:rPr>
          <w:noProof/>
        </w:rPr>
        <w:fldChar w:fldCharType="separate"/>
      </w:r>
      <w:r>
        <w:rPr>
          <w:noProof/>
        </w:rPr>
        <w:t>668</w:t>
      </w:r>
      <w:r>
        <w:rPr>
          <w:noProof/>
        </w:rPr>
        <w:fldChar w:fldCharType="end"/>
      </w:r>
    </w:p>
    <w:p w14:paraId="2292EBF3" w14:textId="511E673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10.34.01  Application—claims for compensation payable out of the NGF</w:t>
      </w:r>
      <w:r>
        <w:rPr>
          <w:noProof/>
        </w:rPr>
        <w:tab/>
      </w:r>
      <w:r>
        <w:rPr>
          <w:noProof/>
        </w:rPr>
        <w:fldChar w:fldCharType="begin"/>
      </w:r>
      <w:r>
        <w:rPr>
          <w:noProof/>
        </w:rPr>
        <w:instrText xml:space="preserve"> PAGEREF _Toc158713283 \h </w:instrText>
      </w:r>
      <w:r>
        <w:rPr>
          <w:noProof/>
        </w:rPr>
      </w:r>
      <w:r>
        <w:rPr>
          <w:noProof/>
        </w:rPr>
        <w:fldChar w:fldCharType="separate"/>
      </w:r>
      <w:r>
        <w:rPr>
          <w:noProof/>
        </w:rPr>
        <w:t>668</w:t>
      </w:r>
      <w:r>
        <w:rPr>
          <w:noProof/>
        </w:rPr>
        <w:fldChar w:fldCharType="end"/>
      </w:r>
    </w:p>
    <w:p w14:paraId="79727C60" w14:textId="7FA63EB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10.35—Application provisions relating to the Corporations Amendment (Portfolio Holdings Disclosure) Regulations 2021</w:t>
      </w:r>
      <w:r>
        <w:rPr>
          <w:noProof/>
        </w:rPr>
        <w:tab/>
      </w:r>
      <w:r>
        <w:rPr>
          <w:noProof/>
        </w:rPr>
        <w:fldChar w:fldCharType="begin"/>
      </w:r>
      <w:r>
        <w:rPr>
          <w:noProof/>
        </w:rPr>
        <w:instrText xml:space="preserve"> PAGEREF _Toc158713284 \h </w:instrText>
      </w:r>
      <w:r>
        <w:rPr>
          <w:noProof/>
        </w:rPr>
      </w:r>
      <w:r>
        <w:rPr>
          <w:noProof/>
        </w:rPr>
        <w:fldChar w:fldCharType="separate"/>
      </w:r>
      <w:r>
        <w:rPr>
          <w:noProof/>
        </w:rPr>
        <w:t>669</w:t>
      </w:r>
      <w:r>
        <w:rPr>
          <w:noProof/>
        </w:rPr>
        <w:fldChar w:fldCharType="end"/>
      </w:r>
    </w:p>
    <w:p w14:paraId="381A6A6F" w14:textId="6BA3325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10.35.01  Application of amendments relating to portfolio holdings disclosure</w:t>
      </w:r>
      <w:r>
        <w:rPr>
          <w:noProof/>
        </w:rPr>
        <w:tab/>
      </w:r>
      <w:r>
        <w:rPr>
          <w:noProof/>
        </w:rPr>
        <w:fldChar w:fldCharType="begin"/>
      </w:r>
      <w:r>
        <w:rPr>
          <w:noProof/>
        </w:rPr>
        <w:instrText xml:space="preserve"> PAGEREF _Toc158713285 \h </w:instrText>
      </w:r>
      <w:r>
        <w:rPr>
          <w:noProof/>
        </w:rPr>
      </w:r>
      <w:r>
        <w:rPr>
          <w:noProof/>
        </w:rPr>
        <w:fldChar w:fldCharType="separate"/>
      </w:r>
      <w:r>
        <w:rPr>
          <w:noProof/>
        </w:rPr>
        <w:t>669</w:t>
      </w:r>
      <w:r>
        <w:rPr>
          <w:noProof/>
        </w:rPr>
        <w:fldChar w:fldCharType="end"/>
      </w:r>
    </w:p>
    <w:p w14:paraId="6871EC07" w14:textId="49B82B7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10.37—Application provisions relating to the Treasury Laws Amendment (Financial Services Improved Consumer Protection) (Funeral Expenses Facilities) Regulations 2019</w:t>
      </w:r>
      <w:r>
        <w:rPr>
          <w:noProof/>
        </w:rPr>
        <w:tab/>
      </w:r>
      <w:r>
        <w:rPr>
          <w:noProof/>
        </w:rPr>
        <w:fldChar w:fldCharType="begin"/>
      </w:r>
      <w:r>
        <w:rPr>
          <w:noProof/>
        </w:rPr>
        <w:instrText xml:space="preserve"> PAGEREF _Toc158713286 \h </w:instrText>
      </w:r>
      <w:r>
        <w:rPr>
          <w:noProof/>
        </w:rPr>
      </w:r>
      <w:r>
        <w:rPr>
          <w:noProof/>
        </w:rPr>
        <w:fldChar w:fldCharType="separate"/>
      </w:r>
      <w:r>
        <w:rPr>
          <w:noProof/>
        </w:rPr>
        <w:t>670</w:t>
      </w:r>
      <w:r>
        <w:rPr>
          <w:noProof/>
        </w:rPr>
        <w:fldChar w:fldCharType="end"/>
      </w:r>
    </w:p>
    <w:p w14:paraId="7578C239" w14:textId="68EAC4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10.37.01  Application of amendment relating to funeral expenses policies</w:t>
      </w:r>
      <w:r>
        <w:rPr>
          <w:noProof/>
        </w:rPr>
        <w:tab/>
      </w:r>
      <w:r>
        <w:rPr>
          <w:noProof/>
        </w:rPr>
        <w:fldChar w:fldCharType="begin"/>
      </w:r>
      <w:r>
        <w:rPr>
          <w:noProof/>
        </w:rPr>
        <w:instrText xml:space="preserve"> PAGEREF _Toc158713287 \h </w:instrText>
      </w:r>
      <w:r>
        <w:rPr>
          <w:noProof/>
        </w:rPr>
      </w:r>
      <w:r>
        <w:rPr>
          <w:noProof/>
        </w:rPr>
        <w:fldChar w:fldCharType="separate"/>
      </w:r>
      <w:r>
        <w:rPr>
          <w:noProof/>
        </w:rPr>
        <w:t>670</w:t>
      </w:r>
      <w:r>
        <w:rPr>
          <w:noProof/>
        </w:rPr>
        <w:fldChar w:fldCharType="end"/>
      </w:r>
    </w:p>
    <w:p w14:paraId="34C00450" w14:textId="00945DB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10.38—Application provisions relating to the Corporations Amendment (Litigation Funding) Regulations 2020</w:t>
      </w:r>
      <w:r>
        <w:rPr>
          <w:noProof/>
        </w:rPr>
        <w:tab/>
      </w:r>
      <w:r>
        <w:rPr>
          <w:noProof/>
        </w:rPr>
        <w:fldChar w:fldCharType="begin"/>
      </w:r>
      <w:r>
        <w:rPr>
          <w:noProof/>
        </w:rPr>
        <w:instrText xml:space="preserve"> PAGEREF _Toc158713288 \h </w:instrText>
      </w:r>
      <w:r>
        <w:rPr>
          <w:noProof/>
        </w:rPr>
      </w:r>
      <w:r>
        <w:rPr>
          <w:noProof/>
        </w:rPr>
        <w:fldChar w:fldCharType="separate"/>
      </w:r>
      <w:r>
        <w:rPr>
          <w:noProof/>
        </w:rPr>
        <w:t>671</w:t>
      </w:r>
      <w:r>
        <w:rPr>
          <w:noProof/>
        </w:rPr>
        <w:fldChar w:fldCharType="end"/>
      </w:r>
    </w:p>
    <w:p w14:paraId="4572316D" w14:textId="48D8A35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10.38.01  Application of amendments relating to litigation funding</w:t>
      </w:r>
      <w:r>
        <w:rPr>
          <w:noProof/>
        </w:rPr>
        <w:tab/>
      </w:r>
      <w:r>
        <w:rPr>
          <w:noProof/>
        </w:rPr>
        <w:fldChar w:fldCharType="begin"/>
      </w:r>
      <w:r>
        <w:rPr>
          <w:noProof/>
        </w:rPr>
        <w:instrText xml:space="preserve"> PAGEREF _Toc158713289 \h </w:instrText>
      </w:r>
      <w:r>
        <w:rPr>
          <w:noProof/>
        </w:rPr>
      </w:r>
      <w:r>
        <w:rPr>
          <w:noProof/>
        </w:rPr>
        <w:fldChar w:fldCharType="separate"/>
      </w:r>
      <w:r>
        <w:rPr>
          <w:noProof/>
        </w:rPr>
        <w:t>671</w:t>
      </w:r>
      <w:r>
        <w:rPr>
          <w:noProof/>
        </w:rPr>
        <w:fldChar w:fldCharType="end"/>
      </w:r>
    </w:p>
    <w:p w14:paraId="48DEFD8F" w14:textId="19BED4B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10.39—Application provisions for the Financial Sector Reform (Hayne Royal Commission Response) (Hawking of Financial Products) Regulations 2021</w:t>
      </w:r>
      <w:r>
        <w:rPr>
          <w:noProof/>
        </w:rPr>
        <w:tab/>
      </w:r>
      <w:r>
        <w:rPr>
          <w:noProof/>
        </w:rPr>
        <w:fldChar w:fldCharType="begin"/>
      </w:r>
      <w:r>
        <w:rPr>
          <w:noProof/>
        </w:rPr>
        <w:instrText xml:space="preserve"> PAGEREF _Toc158713290 \h </w:instrText>
      </w:r>
      <w:r>
        <w:rPr>
          <w:noProof/>
        </w:rPr>
      </w:r>
      <w:r>
        <w:rPr>
          <w:noProof/>
        </w:rPr>
        <w:fldChar w:fldCharType="separate"/>
      </w:r>
      <w:r>
        <w:rPr>
          <w:noProof/>
        </w:rPr>
        <w:t>672</w:t>
      </w:r>
      <w:r>
        <w:rPr>
          <w:noProof/>
        </w:rPr>
        <w:fldChar w:fldCharType="end"/>
      </w:r>
    </w:p>
    <w:p w14:paraId="2DB2446C" w14:textId="07B6EF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10.39.01  Right of return and refund for hawked financial products</w:t>
      </w:r>
      <w:r>
        <w:rPr>
          <w:noProof/>
        </w:rPr>
        <w:tab/>
      </w:r>
      <w:r>
        <w:rPr>
          <w:noProof/>
        </w:rPr>
        <w:fldChar w:fldCharType="begin"/>
      </w:r>
      <w:r>
        <w:rPr>
          <w:noProof/>
        </w:rPr>
        <w:instrText xml:space="preserve"> PAGEREF _Toc158713291 \h </w:instrText>
      </w:r>
      <w:r>
        <w:rPr>
          <w:noProof/>
        </w:rPr>
      </w:r>
      <w:r>
        <w:rPr>
          <w:noProof/>
        </w:rPr>
        <w:fldChar w:fldCharType="separate"/>
      </w:r>
      <w:r>
        <w:rPr>
          <w:noProof/>
        </w:rPr>
        <w:t>672</w:t>
      </w:r>
      <w:r>
        <w:rPr>
          <w:noProof/>
        </w:rPr>
        <w:fldChar w:fldCharType="end"/>
      </w:r>
    </w:p>
    <w:p w14:paraId="2AF7A52C" w14:textId="3D98CAD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10.40—Application provisions relating to the Financial Sector Reform (Hayne Royal Commission Response) (Regulation of Superannuation) Regulations 2020</w:t>
      </w:r>
      <w:r>
        <w:rPr>
          <w:noProof/>
        </w:rPr>
        <w:tab/>
      </w:r>
      <w:r>
        <w:rPr>
          <w:noProof/>
        </w:rPr>
        <w:fldChar w:fldCharType="begin"/>
      </w:r>
      <w:r>
        <w:rPr>
          <w:noProof/>
        </w:rPr>
        <w:instrText xml:space="preserve"> PAGEREF _Toc158713292 \h </w:instrText>
      </w:r>
      <w:r>
        <w:rPr>
          <w:noProof/>
        </w:rPr>
      </w:r>
      <w:r>
        <w:rPr>
          <w:noProof/>
        </w:rPr>
        <w:fldChar w:fldCharType="separate"/>
      </w:r>
      <w:r>
        <w:rPr>
          <w:noProof/>
        </w:rPr>
        <w:t>673</w:t>
      </w:r>
      <w:r>
        <w:rPr>
          <w:noProof/>
        </w:rPr>
        <w:fldChar w:fldCharType="end"/>
      </w:r>
    </w:p>
    <w:p w14:paraId="79885CD3" w14:textId="238AD8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10.40.01  Definitions</w:t>
      </w:r>
      <w:r>
        <w:rPr>
          <w:noProof/>
        </w:rPr>
        <w:tab/>
      </w:r>
      <w:r>
        <w:rPr>
          <w:noProof/>
        </w:rPr>
        <w:fldChar w:fldCharType="begin"/>
      </w:r>
      <w:r>
        <w:rPr>
          <w:noProof/>
        </w:rPr>
        <w:instrText xml:space="preserve"> PAGEREF _Toc158713293 \h </w:instrText>
      </w:r>
      <w:r>
        <w:rPr>
          <w:noProof/>
        </w:rPr>
      </w:r>
      <w:r>
        <w:rPr>
          <w:noProof/>
        </w:rPr>
        <w:fldChar w:fldCharType="separate"/>
      </w:r>
      <w:r>
        <w:rPr>
          <w:noProof/>
        </w:rPr>
        <w:t>673</w:t>
      </w:r>
      <w:r>
        <w:rPr>
          <w:noProof/>
        </w:rPr>
        <w:fldChar w:fldCharType="end"/>
      </w:r>
    </w:p>
    <w:p w14:paraId="7F5E14AB" w14:textId="506CD70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10.40.02  Transitional provision relating to non</w:t>
      </w:r>
      <w:r>
        <w:rPr>
          <w:noProof/>
        </w:rPr>
        <w:noBreakHyphen/>
        <w:t>public offer funds</w:t>
      </w:r>
      <w:r>
        <w:rPr>
          <w:noProof/>
        </w:rPr>
        <w:tab/>
      </w:r>
      <w:r>
        <w:rPr>
          <w:noProof/>
        </w:rPr>
        <w:fldChar w:fldCharType="begin"/>
      </w:r>
      <w:r>
        <w:rPr>
          <w:noProof/>
        </w:rPr>
        <w:instrText xml:space="preserve"> PAGEREF _Toc158713294 \h </w:instrText>
      </w:r>
      <w:r>
        <w:rPr>
          <w:noProof/>
        </w:rPr>
      </w:r>
      <w:r>
        <w:rPr>
          <w:noProof/>
        </w:rPr>
        <w:fldChar w:fldCharType="separate"/>
      </w:r>
      <w:r>
        <w:rPr>
          <w:noProof/>
        </w:rPr>
        <w:t>673</w:t>
      </w:r>
      <w:r>
        <w:rPr>
          <w:noProof/>
        </w:rPr>
        <w:fldChar w:fldCharType="end"/>
      </w:r>
    </w:p>
    <w:p w14:paraId="574BD470" w14:textId="2DE4AEA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10.41—Application provisions relating to the Financial Sector Reform (Hayne Royal Commission Response—Breach Reporting and Remediation) Regulations 2021</w:t>
      </w:r>
      <w:r>
        <w:rPr>
          <w:noProof/>
        </w:rPr>
        <w:tab/>
      </w:r>
      <w:r>
        <w:rPr>
          <w:noProof/>
        </w:rPr>
        <w:fldChar w:fldCharType="begin"/>
      </w:r>
      <w:r>
        <w:rPr>
          <w:noProof/>
        </w:rPr>
        <w:instrText xml:space="preserve"> PAGEREF _Toc158713295 \h </w:instrText>
      </w:r>
      <w:r>
        <w:rPr>
          <w:noProof/>
        </w:rPr>
      </w:r>
      <w:r>
        <w:rPr>
          <w:noProof/>
        </w:rPr>
        <w:fldChar w:fldCharType="separate"/>
      </w:r>
      <w:r>
        <w:rPr>
          <w:noProof/>
        </w:rPr>
        <w:t>674</w:t>
      </w:r>
      <w:r>
        <w:rPr>
          <w:noProof/>
        </w:rPr>
        <w:fldChar w:fldCharType="end"/>
      </w:r>
    </w:p>
    <w:p w14:paraId="1321B152" w14:textId="2E5866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10.41.01  Provisions relating to continued application of section 912D of the Act</w:t>
      </w:r>
      <w:r>
        <w:rPr>
          <w:noProof/>
        </w:rPr>
        <w:tab/>
      </w:r>
      <w:r>
        <w:rPr>
          <w:noProof/>
        </w:rPr>
        <w:fldChar w:fldCharType="begin"/>
      </w:r>
      <w:r>
        <w:rPr>
          <w:noProof/>
        </w:rPr>
        <w:instrText xml:space="preserve"> PAGEREF _Toc158713296 \h </w:instrText>
      </w:r>
      <w:r>
        <w:rPr>
          <w:noProof/>
        </w:rPr>
      </w:r>
      <w:r>
        <w:rPr>
          <w:noProof/>
        </w:rPr>
        <w:fldChar w:fldCharType="separate"/>
      </w:r>
      <w:r>
        <w:rPr>
          <w:noProof/>
        </w:rPr>
        <w:t>674</w:t>
      </w:r>
      <w:r>
        <w:rPr>
          <w:noProof/>
        </w:rPr>
        <w:fldChar w:fldCharType="end"/>
      </w:r>
    </w:p>
    <w:p w14:paraId="0E9C4818" w14:textId="0CD4991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10.42—Application provisions relating to the Financial Sector Reform (Hayne Royal Commission Response) (2021 Measures No. 1) Regulations 2021</w:t>
      </w:r>
      <w:r>
        <w:rPr>
          <w:noProof/>
        </w:rPr>
        <w:tab/>
      </w:r>
      <w:r>
        <w:rPr>
          <w:noProof/>
        </w:rPr>
        <w:fldChar w:fldCharType="begin"/>
      </w:r>
      <w:r>
        <w:rPr>
          <w:noProof/>
        </w:rPr>
        <w:instrText xml:space="preserve"> PAGEREF _Toc158713297 \h </w:instrText>
      </w:r>
      <w:r>
        <w:rPr>
          <w:noProof/>
        </w:rPr>
      </w:r>
      <w:r>
        <w:rPr>
          <w:noProof/>
        </w:rPr>
        <w:fldChar w:fldCharType="separate"/>
      </w:r>
      <w:r>
        <w:rPr>
          <w:noProof/>
        </w:rPr>
        <w:t>675</w:t>
      </w:r>
      <w:r>
        <w:rPr>
          <w:noProof/>
        </w:rPr>
        <w:fldChar w:fldCharType="end"/>
      </w:r>
    </w:p>
    <w:p w14:paraId="1C868821" w14:textId="5B914A0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10.42.01  Application of claims handling and settling services reforms</w:t>
      </w:r>
      <w:r>
        <w:rPr>
          <w:noProof/>
        </w:rPr>
        <w:tab/>
      </w:r>
      <w:r>
        <w:rPr>
          <w:noProof/>
        </w:rPr>
        <w:fldChar w:fldCharType="begin"/>
      </w:r>
      <w:r>
        <w:rPr>
          <w:noProof/>
        </w:rPr>
        <w:instrText xml:space="preserve"> PAGEREF _Toc158713298 \h </w:instrText>
      </w:r>
      <w:r>
        <w:rPr>
          <w:noProof/>
        </w:rPr>
      </w:r>
      <w:r>
        <w:rPr>
          <w:noProof/>
        </w:rPr>
        <w:fldChar w:fldCharType="separate"/>
      </w:r>
      <w:r>
        <w:rPr>
          <w:noProof/>
        </w:rPr>
        <w:t>675</w:t>
      </w:r>
      <w:r>
        <w:rPr>
          <w:noProof/>
        </w:rPr>
        <w:fldChar w:fldCharType="end"/>
      </w:r>
    </w:p>
    <w:p w14:paraId="7021116F" w14:textId="2565E50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10.43—Application provisions relating to simplified liquidation process under the Corporations Amendment (Corporate Insolvency Reforms) Regulations 2020</w:t>
      </w:r>
      <w:r>
        <w:rPr>
          <w:noProof/>
        </w:rPr>
        <w:tab/>
      </w:r>
      <w:r>
        <w:rPr>
          <w:noProof/>
        </w:rPr>
        <w:fldChar w:fldCharType="begin"/>
      </w:r>
      <w:r>
        <w:rPr>
          <w:noProof/>
        </w:rPr>
        <w:instrText xml:space="preserve"> PAGEREF _Toc158713299 \h </w:instrText>
      </w:r>
      <w:r>
        <w:rPr>
          <w:noProof/>
        </w:rPr>
      </w:r>
      <w:r>
        <w:rPr>
          <w:noProof/>
        </w:rPr>
        <w:fldChar w:fldCharType="separate"/>
      </w:r>
      <w:r>
        <w:rPr>
          <w:noProof/>
        </w:rPr>
        <w:t>676</w:t>
      </w:r>
      <w:r>
        <w:rPr>
          <w:noProof/>
        </w:rPr>
        <w:fldChar w:fldCharType="end"/>
      </w:r>
    </w:p>
    <w:p w14:paraId="3FA6B90C" w14:textId="057E35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10.43.01  Application of amendments relating to the simplified liquidation process</w:t>
      </w:r>
      <w:r>
        <w:rPr>
          <w:noProof/>
        </w:rPr>
        <w:tab/>
      </w:r>
      <w:r>
        <w:rPr>
          <w:noProof/>
        </w:rPr>
        <w:fldChar w:fldCharType="begin"/>
      </w:r>
      <w:r>
        <w:rPr>
          <w:noProof/>
        </w:rPr>
        <w:instrText xml:space="preserve"> PAGEREF _Toc158713300 \h </w:instrText>
      </w:r>
      <w:r>
        <w:rPr>
          <w:noProof/>
        </w:rPr>
      </w:r>
      <w:r>
        <w:rPr>
          <w:noProof/>
        </w:rPr>
        <w:fldChar w:fldCharType="separate"/>
      </w:r>
      <w:r>
        <w:rPr>
          <w:noProof/>
        </w:rPr>
        <w:t>676</w:t>
      </w:r>
      <w:r>
        <w:rPr>
          <w:noProof/>
        </w:rPr>
        <w:fldChar w:fldCharType="end"/>
      </w:r>
    </w:p>
    <w:p w14:paraId="7A15E696" w14:textId="1CC389A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lastRenderedPageBreak/>
        <w:t>Part 10.45—Application provisions relating to the Corporations Amendment (Statutory Minimum) Regulations 2021</w:t>
      </w:r>
      <w:r>
        <w:rPr>
          <w:noProof/>
        </w:rPr>
        <w:tab/>
      </w:r>
      <w:r>
        <w:rPr>
          <w:noProof/>
        </w:rPr>
        <w:fldChar w:fldCharType="begin"/>
      </w:r>
      <w:r>
        <w:rPr>
          <w:noProof/>
        </w:rPr>
        <w:instrText xml:space="preserve"> PAGEREF _Toc158713301 \h </w:instrText>
      </w:r>
      <w:r>
        <w:rPr>
          <w:noProof/>
        </w:rPr>
      </w:r>
      <w:r>
        <w:rPr>
          <w:noProof/>
        </w:rPr>
        <w:fldChar w:fldCharType="separate"/>
      </w:r>
      <w:r>
        <w:rPr>
          <w:noProof/>
        </w:rPr>
        <w:t>677</w:t>
      </w:r>
      <w:r>
        <w:rPr>
          <w:noProof/>
        </w:rPr>
        <w:fldChar w:fldCharType="end"/>
      </w:r>
    </w:p>
    <w:p w14:paraId="353BF18B" w14:textId="7B3DA59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10.45.01  Application of amendment of paragraph 5.4.01AAA(1)(b)</w:t>
      </w:r>
      <w:r>
        <w:rPr>
          <w:noProof/>
        </w:rPr>
        <w:tab/>
      </w:r>
      <w:r>
        <w:rPr>
          <w:noProof/>
        </w:rPr>
        <w:fldChar w:fldCharType="begin"/>
      </w:r>
      <w:r>
        <w:rPr>
          <w:noProof/>
        </w:rPr>
        <w:instrText xml:space="preserve"> PAGEREF _Toc158713302 \h </w:instrText>
      </w:r>
      <w:r>
        <w:rPr>
          <w:noProof/>
        </w:rPr>
      </w:r>
      <w:r>
        <w:rPr>
          <w:noProof/>
        </w:rPr>
        <w:fldChar w:fldCharType="separate"/>
      </w:r>
      <w:r>
        <w:rPr>
          <w:noProof/>
        </w:rPr>
        <w:t>677</w:t>
      </w:r>
      <w:r>
        <w:rPr>
          <w:noProof/>
        </w:rPr>
        <w:fldChar w:fldCharType="end"/>
      </w:r>
    </w:p>
    <w:p w14:paraId="57AE2E72" w14:textId="1BFA59E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10.47—Application provisions relating to the Corporations Amendment (Litigation Funding) Regulations 2021</w:t>
      </w:r>
      <w:r>
        <w:rPr>
          <w:noProof/>
        </w:rPr>
        <w:tab/>
      </w:r>
      <w:r>
        <w:rPr>
          <w:noProof/>
        </w:rPr>
        <w:fldChar w:fldCharType="begin"/>
      </w:r>
      <w:r>
        <w:rPr>
          <w:noProof/>
        </w:rPr>
        <w:instrText xml:space="preserve"> PAGEREF _Toc158713303 \h </w:instrText>
      </w:r>
      <w:r>
        <w:rPr>
          <w:noProof/>
        </w:rPr>
      </w:r>
      <w:r>
        <w:rPr>
          <w:noProof/>
        </w:rPr>
        <w:fldChar w:fldCharType="separate"/>
      </w:r>
      <w:r>
        <w:rPr>
          <w:noProof/>
        </w:rPr>
        <w:t>678</w:t>
      </w:r>
      <w:r>
        <w:rPr>
          <w:noProof/>
        </w:rPr>
        <w:fldChar w:fldCharType="end"/>
      </w:r>
    </w:p>
    <w:p w14:paraId="5038BA28" w14:textId="108F91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10.47.01  Application of amendments relating to licence conditions in relation to a litigation funding scheme mentioned in subregulation 7.1.04N(3)</w:t>
      </w:r>
      <w:r>
        <w:rPr>
          <w:noProof/>
        </w:rPr>
        <w:tab/>
      </w:r>
      <w:r>
        <w:rPr>
          <w:noProof/>
        </w:rPr>
        <w:fldChar w:fldCharType="begin"/>
      </w:r>
      <w:r>
        <w:rPr>
          <w:noProof/>
        </w:rPr>
        <w:instrText xml:space="preserve"> PAGEREF _Toc158713304 \h </w:instrText>
      </w:r>
      <w:r>
        <w:rPr>
          <w:noProof/>
        </w:rPr>
      </w:r>
      <w:r>
        <w:rPr>
          <w:noProof/>
        </w:rPr>
        <w:fldChar w:fldCharType="separate"/>
      </w:r>
      <w:r>
        <w:rPr>
          <w:noProof/>
        </w:rPr>
        <w:t>678</w:t>
      </w:r>
      <w:r>
        <w:rPr>
          <w:noProof/>
        </w:rPr>
        <w:fldChar w:fldCharType="end"/>
      </w:r>
    </w:p>
    <w:p w14:paraId="2B4A7C34" w14:textId="3746566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10.48—Application provisions relating to the Corporations Amendment (Litigation Funding) Regulations 2022</w:t>
      </w:r>
      <w:r>
        <w:rPr>
          <w:noProof/>
        </w:rPr>
        <w:tab/>
      </w:r>
      <w:r>
        <w:rPr>
          <w:noProof/>
        </w:rPr>
        <w:fldChar w:fldCharType="begin"/>
      </w:r>
      <w:r>
        <w:rPr>
          <w:noProof/>
        </w:rPr>
        <w:instrText xml:space="preserve"> PAGEREF _Toc158713305 \h </w:instrText>
      </w:r>
      <w:r>
        <w:rPr>
          <w:noProof/>
        </w:rPr>
      </w:r>
      <w:r>
        <w:rPr>
          <w:noProof/>
        </w:rPr>
        <w:fldChar w:fldCharType="separate"/>
      </w:r>
      <w:r>
        <w:rPr>
          <w:noProof/>
        </w:rPr>
        <w:t>679</w:t>
      </w:r>
      <w:r>
        <w:rPr>
          <w:noProof/>
        </w:rPr>
        <w:fldChar w:fldCharType="end"/>
      </w:r>
    </w:p>
    <w:p w14:paraId="638BB167" w14:textId="27D33AF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10.48.01  Application of amendments relating to litigation funding</w:t>
      </w:r>
      <w:r>
        <w:rPr>
          <w:noProof/>
        </w:rPr>
        <w:tab/>
      </w:r>
      <w:r>
        <w:rPr>
          <w:noProof/>
        </w:rPr>
        <w:fldChar w:fldCharType="begin"/>
      </w:r>
      <w:r>
        <w:rPr>
          <w:noProof/>
        </w:rPr>
        <w:instrText xml:space="preserve"> PAGEREF _Toc158713306 \h </w:instrText>
      </w:r>
      <w:r>
        <w:rPr>
          <w:noProof/>
        </w:rPr>
      </w:r>
      <w:r>
        <w:rPr>
          <w:noProof/>
        </w:rPr>
        <w:fldChar w:fldCharType="separate"/>
      </w:r>
      <w:r>
        <w:rPr>
          <w:noProof/>
        </w:rPr>
        <w:t>679</w:t>
      </w:r>
      <w:r>
        <w:rPr>
          <w:noProof/>
        </w:rPr>
        <w:fldChar w:fldCharType="end"/>
      </w:r>
    </w:p>
    <w:p w14:paraId="0121A672" w14:textId="4F7C514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10.49—Application provisions relating to Schedule 1 to the Treasury Laws Amendment (Modernising Business Communications and Other Measures) Regulations 2022</w:t>
      </w:r>
      <w:r>
        <w:rPr>
          <w:noProof/>
        </w:rPr>
        <w:tab/>
      </w:r>
      <w:r>
        <w:rPr>
          <w:noProof/>
        </w:rPr>
        <w:fldChar w:fldCharType="begin"/>
      </w:r>
      <w:r>
        <w:rPr>
          <w:noProof/>
        </w:rPr>
        <w:instrText xml:space="preserve"> PAGEREF _Toc158713307 \h </w:instrText>
      </w:r>
      <w:r>
        <w:rPr>
          <w:noProof/>
        </w:rPr>
      </w:r>
      <w:r>
        <w:rPr>
          <w:noProof/>
        </w:rPr>
        <w:fldChar w:fldCharType="separate"/>
      </w:r>
      <w:r>
        <w:rPr>
          <w:noProof/>
        </w:rPr>
        <w:t>680</w:t>
      </w:r>
      <w:r>
        <w:rPr>
          <w:noProof/>
        </w:rPr>
        <w:fldChar w:fldCharType="end"/>
      </w:r>
    </w:p>
    <w:p w14:paraId="02FB17B8" w14:textId="44BFFE8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10.49.01  Application of amendment to Form 509H (creditor’s statutory demand for payment of debt)</w:t>
      </w:r>
      <w:r>
        <w:rPr>
          <w:noProof/>
        </w:rPr>
        <w:tab/>
      </w:r>
      <w:r>
        <w:rPr>
          <w:noProof/>
        </w:rPr>
        <w:fldChar w:fldCharType="begin"/>
      </w:r>
      <w:r>
        <w:rPr>
          <w:noProof/>
        </w:rPr>
        <w:instrText xml:space="preserve"> PAGEREF _Toc158713308 \h </w:instrText>
      </w:r>
      <w:r>
        <w:rPr>
          <w:noProof/>
        </w:rPr>
      </w:r>
      <w:r>
        <w:rPr>
          <w:noProof/>
        </w:rPr>
        <w:fldChar w:fldCharType="separate"/>
      </w:r>
      <w:r>
        <w:rPr>
          <w:noProof/>
        </w:rPr>
        <w:t>680</w:t>
      </w:r>
      <w:r>
        <w:rPr>
          <w:noProof/>
        </w:rPr>
        <w:fldChar w:fldCharType="end"/>
      </w:r>
    </w:p>
    <w:p w14:paraId="75C99913" w14:textId="0E45845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10.50—Application provisions relating to the Treasury Laws Amendment (Financial Reporting and Auditing of Registrable Superannuation Entities) Regulations 2023</w:t>
      </w:r>
      <w:r>
        <w:rPr>
          <w:noProof/>
        </w:rPr>
        <w:tab/>
      </w:r>
      <w:r>
        <w:rPr>
          <w:noProof/>
        </w:rPr>
        <w:fldChar w:fldCharType="begin"/>
      </w:r>
      <w:r>
        <w:rPr>
          <w:noProof/>
        </w:rPr>
        <w:instrText xml:space="preserve"> PAGEREF _Toc158713309 \h </w:instrText>
      </w:r>
      <w:r>
        <w:rPr>
          <w:noProof/>
        </w:rPr>
      </w:r>
      <w:r>
        <w:rPr>
          <w:noProof/>
        </w:rPr>
        <w:fldChar w:fldCharType="separate"/>
      </w:r>
      <w:r>
        <w:rPr>
          <w:noProof/>
        </w:rPr>
        <w:t>681</w:t>
      </w:r>
      <w:r>
        <w:rPr>
          <w:noProof/>
        </w:rPr>
        <w:fldChar w:fldCharType="end"/>
      </w:r>
    </w:p>
    <w:p w14:paraId="5202722F" w14:textId="7B2444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10.50.01  Application of amendments relating to financial reporting and auditing of registrable superannuation entities</w:t>
      </w:r>
      <w:r>
        <w:rPr>
          <w:noProof/>
        </w:rPr>
        <w:tab/>
      </w:r>
      <w:r>
        <w:rPr>
          <w:noProof/>
        </w:rPr>
        <w:fldChar w:fldCharType="begin"/>
      </w:r>
      <w:r>
        <w:rPr>
          <w:noProof/>
        </w:rPr>
        <w:instrText xml:space="preserve"> PAGEREF _Toc158713310 \h </w:instrText>
      </w:r>
      <w:r>
        <w:rPr>
          <w:noProof/>
        </w:rPr>
      </w:r>
      <w:r>
        <w:rPr>
          <w:noProof/>
        </w:rPr>
        <w:fldChar w:fldCharType="separate"/>
      </w:r>
      <w:r>
        <w:rPr>
          <w:noProof/>
        </w:rPr>
        <w:t>681</w:t>
      </w:r>
      <w:r>
        <w:rPr>
          <w:noProof/>
        </w:rPr>
        <w:fldChar w:fldCharType="end"/>
      </w:r>
    </w:p>
    <w:p w14:paraId="42E3658B" w14:textId="5888900A"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Chapter 12—Financial sector reform</w:t>
      </w:r>
      <w:r>
        <w:rPr>
          <w:noProof/>
        </w:rPr>
        <w:tab/>
      </w:r>
      <w:r>
        <w:rPr>
          <w:noProof/>
        </w:rPr>
        <w:fldChar w:fldCharType="begin"/>
      </w:r>
      <w:r>
        <w:rPr>
          <w:noProof/>
        </w:rPr>
        <w:instrText xml:space="preserve"> PAGEREF _Toc158713311 \h </w:instrText>
      </w:r>
      <w:r>
        <w:rPr>
          <w:noProof/>
        </w:rPr>
      </w:r>
      <w:r>
        <w:rPr>
          <w:noProof/>
        </w:rPr>
        <w:fldChar w:fldCharType="separate"/>
      </w:r>
      <w:r>
        <w:rPr>
          <w:noProof/>
        </w:rPr>
        <w:t>682</w:t>
      </w:r>
      <w:r>
        <w:rPr>
          <w:noProof/>
        </w:rPr>
        <w:fldChar w:fldCharType="end"/>
      </w:r>
    </w:p>
    <w:p w14:paraId="28BB51A0" w14:textId="403EE19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12.1—Preliminary</w:t>
      </w:r>
      <w:r>
        <w:rPr>
          <w:noProof/>
        </w:rPr>
        <w:tab/>
      </w:r>
      <w:r>
        <w:rPr>
          <w:noProof/>
        </w:rPr>
        <w:fldChar w:fldCharType="begin"/>
      </w:r>
      <w:r>
        <w:rPr>
          <w:noProof/>
        </w:rPr>
        <w:instrText xml:space="preserve"> PAGEREF _Toc158713312 \h </w:instrText>
      </w:r>
      <w:r>
        <w:rPr>
          <w:noProof/>
        </w:rPr>
      </w:r>
      <w:r>
        <w:rPr>
          <w:noProof/>
        </w:rPr>
        <w:fldChar w:fldCharType="separate"/>
      </w:r>
      <w:r>
        <w:rPr>
          <w:noProof/>
        </w:rPr>
        <w:t>682</w:t>
      </w:r>
      <w:r>
        <w:rPr>
          <w:noProof/>
        </w:rPr>
        <w:fldChar w:fldCharType="end"/>
      </w:r>
    </w:p>
    <w:p w14:paraId="35372F95" w14:textId="4958D33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12.1.01  Definitions for Chapter 12</w:t>
      </w:r>
      <w:r>
        <w:rPr>
          <w:noProof/>
        </w:rPr>
        <w:tab/>
      </w:r>
      <w:r>
        <w:rPr>
          <w:noProof/>
        </w:rPr>
        <w:fldChar w:fldCharType="begin"/>
      </w:r>
      <w:r>
        <w:rPr>
          <w:noProof/>
        </w:rPr>
        <w:instrText xml:space="preserve"> PAGEREF _Toc158713313 \h </w:instrText>
      </w:r>
      <w:r>
        <w:rPr>
          <w:noProof/>
        </w:rPr>
      </w:r>
      <w:r>
        <w:rPr>
          <w:noProof/>
        </w:rPr>
        <w:fldChar w:fldCharType="separate"/>
      </w:r>
      <w:r>
        <w:rPr>
          <w:noProof/>
        </w:rPr>
        <w:t>682</w:t>
      </w:r>
      <w:r>
        <w:rPr>
          <w:noProof/>
        </w:rPr>
        <w:fldChar w:fldCharType="end"/>
      </w:r>
    </w:p>
    <w:p w14:paraId="21293368" w14:textId="1377EC8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12.1.02  Application of this Chapter to previous governing Codes etc</w:t>
      </w:r>
      <w:r>
        <w:rPr>
          <w:noProof/>
        </w:rPr>
        <w:tab/>
      </w:r>
      <w:r>
        <w:rPr>
          <w:noProof/>
        </w:rPr>
        <w:fldChar w:fldCharType="begin"/>
      </w:r>
      <w:r>
        <w:rPr>
          <w:noProof/>
        </w:rPr>
        <w:instrText xml:space="preserve"> PAGEREF _Toc158713314 \h </w:instrText>
      </w:r>
      <w:r>
        <w:rPr>
          <w:noProof/>
        </w:rPr>
      </w:r>
      <w:r>
        <w:rPr>
          <w:noProof/>
        </w:rPr>
        <w:fldChar w:fldCharType="separate"/>
      </w:r>
      <w:r>
        <w:rPr>
          <w:noProof/>
        </w:rPr>
        <w:t>682</w:t>
      </w:r>
      <w:r>
        <w:rPr>
          <w:noProof/>
        </w:rPr>
        <w:fldChar w:fldCharType="end"/>
      </w:r>
    </w:p>
    <w:p w14:paraId="44A5F32C" w14:textId="504F108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12.1.03  Interpretation of applied provisions</w:t>
      </w:r>
      <w:r>
        <w:rPr>
          <w:noProof/>
        </w:rPr>
        <w:tab/>
      </w:r>
      <w:r>
        <w:rPr>
          <w:noProof/>
        </w:rPr>
        <w:fldChar w:fldCharType="begin"/>
      </w:r>
      <w:r>
        <w:rPr>
          <w:noProof/>
        </w:rPr>
        <w:instrText xml:space="preserve"> PAGEREF _Toc158713315 \h </w:instrText>
      </w:r>
      <w:r>
        <w:rPr>
          <w:noProof/>
        </w:rPr>
      </w:r>
      <w:r>
        <w:rPr>
          <w:noProof/>
        </w:rPr>
        <w:fldChar w:fldCharType="separate"/>
      </w:r>
      <w:r>
        <w:rPr>
          <w:noProof/>
        </w:rPr>
        <w:t>682</w:t>
      </w:r>
      <w:r>
        <w:rPr>
          <w:noProof/>
        </w:rPr>
        <w:fldChar w:fldCharType="end"/>
      </w:r>
    </w:p>
    <w:p w14:paraId="2D6EC962" w14:textId="24648F5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12.2—Transitional matters—general</w:t>
      </w:r>
      <w:r>
        <w:rPr>
          <w:noProof/>
        </w:rPr>
        <w:tab/>
      </w:r>
      <w:r>
        <w:rPr>
          <w:noProof/>
        </w:rPr>
        <w:fldChar w:fldCharType="begin"/>
      </w:r>
      <w:r>
        <w:rPr>
          <w:noProof/>
        </w:rPr>
        <w:instrText xml:space="preserve"> PAGEREF _Toc158713316 \h </w:instrText>
      </w:r>
      <w:r>
        <w:rPr>
          <w:noProof/>
        </w:rPr>
      </w:r>
      <w:r>
        <w:rPr>
          <w:noProof/>
        </w:rPr>
        <w:fldChar w:fldCharType="separate"/>
      </w:r>
      <w:r>
        <w:rPr>
          <w:noProof/>
        </w:rPr>
        <w:t>684</w:t>
      </w:r>
      <w:r>
        <w:rPr>
          <w:noProof/>
        </w:rPr>
        <w:fldChar w:fldCharType="end"/>
      </w:r>
    </w:p>
    <w:p w14:paraId="0E308BBF" w14:textId="49E6708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2—Other matters</w:t>
      </w:r>
      <w:r>
        <w:rPr>
          <w:noProof/>
        </w:rPr>
        <w:tab/>
      </w:r>
      <w:r>
        <w:rPr>
          <w:noProof/>
        </w:rPr>
        <w:fldChar w:fldCharType="begin"/>
      </w:r>
      <w:r>
        <w:rPr>
          <w:noProof/>
        </w:rPr>
        <w:instrText xml:space="preserve"> PAGEREF _Toc158713317 \h </w:instrText>
      </w:r>
      <w:r>
        <w:rPr>
          <w:noProof/>
        </w:rPr>
      </w:r>
      <w:r>
        <w:rPr>
          <w:noProof/>
        </w:rPr>
        <w:fldChar w:fldCharType="separate"/>
      </w:r>
      <w:r>
        <w:rPr>
          <w:noProof/>
        </w:rPr>
        <w:t>684</w:t>
      </w:r>
      <w:r>
        <w:rPr>
          <w:noProof/>
        </w:rPr>
        <w:fldChar w:fldCharType="end"/>
      </w:r>
    </w:p>
    <w:p w14:paraId="776DDB60" w14:textId="23A6F95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12.2.08  Lodgment of certain documents with ASIC</w:t>
      </w:r>
      <w:r>
        <w:rPr>
          <w:noProof/>
        </w:rPr>
        <w:tab/>
      </w:r>
      <w:r>
        <w:rPr>
          <w:noProof/>
        </w:rPr>
        <w:fldChar w:fldCharType="begin"/>
      </w:r>
      <w:r>
        <w:rPr>
          <w:noProof/>
        </w:rPr>
        <w:instrText xml:space="preserve"> PAGEREF _Toc158713318 \h </w:instrText>
      </w:r>
      <w:r>
        <w:rPr>
          <w:noProof/>
        </w:rPr>
      </w:r>
      <w:r>
        <w:rPr>
          <w:noProof/>
        </w:rPr>
        <w:fldChar w:fldCharType="separate"/>
      </w:r>
      <w:r>
        <w:rPr>
          <w:noProof/>
        </w:rPr>
        <w:t>684</w:t>
      </w:r>
      <w:r>
        <w:rPr>
          <w:noProof/>
        </w:rPr>
        <w:fldChar w:fldCharType="end"/>
      </w:r>
    </w:p>
    <w:p w14:paraId="4C85EC88" w14:textId="6860F4E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12.2.10  Certain appointments of auditors continue</w:t>
      </w:r>
      <w:r>
        <w:rPr>
          <w:noProof/>
        </w:rPr>
        <w:tab/>
      </w:r>
      <w:r>
        <w:rPr>
          <w:noProof/>
        </w:rPr>
        <w:fldChar w:fldCharType="begin"/>
      </w:r>
      <w:r>
        <w:rPr>
          <w:noProof/>
        </w:rPr>
        <w:instrText xml:space="preserve"> PAGEREF _Toc158713319 \h </w:instrText>
      </w:r>
      <w:r>
        <w:rPr>
          <w:noProof/>
        </w:rPr>
      </w:r>
      <w:r>
        <w:rPr>
          <w:noProof/>
        </w:rPr>
        <w:fldChar w:fldCharType="separate"/>
      </w:r>
      <w:r>
        <w:rPr>
          <w:noProof/>
        </w:rPr>
        <w:t>684</w:t>
      </w:r>
      <w:r>
        <w:rPr>
          <w:noProof/>
        </w:rPr>
        <w:fldChar w:fldCharType="end"/>
      </w:r>
    </w:p>
    <w:p w14:paraId="48D00495" w14:textId="29498BB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12.2.12  Converted shares</w:t>
      </w:r>
      <w:r>
        <w:rPr>
          <w:noProof/>
        </w:rPr>
        <w:tab/>
      </w:r>
      <w:r>
        <w:rPr>
          <w:noProof/>
        </w:rPr>
        <w:fldChar w:fldCharType="begin"/>
      </w:r>
      <w:r>
        <w:rPr>
          <w:noProof/>
        </w:rPr>
        <w:instrText xml:space="preserve"> PAGEREF _Toc158713320 \h </w:instrText>
      </w:r>
      <w:r>
        <w:rPr>
          <w:noProof/>
        </w:rPr>
      </w:r>
      <w:r>
        <w:rPr>
          <w:noProof/>
        </w:rPr>
        <w:fldChar w:fldCharType="separate"/>
      </w:r>
      <w:r>
        <w:rPr>
          <w:noProof/>
        </w:rPr>
        <w:t>684</w:t>
      </w:r>
      <w:r>
        <w:rPr>
          <w:noProof/>
        </w:rPr>
        <w:fldChar w:fldCharType="end"/>
      </w:r>
    </w:p>
    <w:p w14:paraId="6F4CA689" w14:textId="30707EA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12.4—Notice of meetings of certain bodies corporate</w:t>
      </w:r>
      <w:r>
        <w:rPr>
          <w:noProof/>
        </w:rPr>
        <w:tab/>
      </w:r>
      <w:r>
        <w:rPr>
          <w:noProof/>
        </w:rPr>
        <w:fldChar w:fldCharType="begin"/>
      </w:r>
      <w:r>
        <w:rPr>
          <w:noProof/>
        </w:rPr>
        <w:instrText xml:space="preserve"> PAGEREF _Toc158713321 \h </w:instrText>
      </w:r>
      <w:r>
        <w:rPr>
          <w:noProof/>
        </w:rPr>
      </w:r>
      <w:r>
        <w:rPr>
          <w:noProof/>
        </w:rPr>
        <w:fldChar w:fldCharType="separate"/>
      </w:r>
      <w:r>
        <w:rPr>
          <w:noProof/>
        </w:rPr>
        <w:t>685</w:t>
      </w:r>
      <w:r>
        <w:rPr>
          <w:noProof/>
        </w:rPr>
        <w:fldChar w:fldCharType="end"/>
      </w:r>
    </w:p>
    <w:p w14:paraId="6A9DD0E0" w14:textId="536460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12.4.01  Application of Part</w:t>
      </w:r>
      <w:r>
        <w:rPr>
          <w:noProof/>
        </w:rPr>
        <w:tab/>
      </w:r>
      <w:r>
        <w:rPr>
          <w:noProof/>
        </w:rPr>
        <w:fldChar w:fldCharType="begin"/>
      </w:r>
      <w:r>
        <w:rPr>
          <w:noProof/>
        </w:rPr>
        <w:instrText xml:space="preserve"> PAGEREF _Toc158713322 \h </w:instrText>
      </w:r>
      <w:r>
        <w:rPr>
          <w:noProof/>
        </w:rPr>
      </w:r>
      <w:r>
        <w:rPr>
          <w:noProof/>
        </w:rPr>
        <w:fldChar w:fldCharType="separate"/>
      </w:r>
      <w:r>
        <w:rPr>
          <w:noProof/>
        </w:rPr>
        <w:t>685</w:t>
      </w:r>
      <w:r>
        <w:rPr>
          <w:noProof/>
        </w:rPr>
        <w:fldChar w:fldCharType="end"/>
      </w:r>
    </w:p>
    <w:p w14:paraId="43630C00" w14:textId="59D71F2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12.4.02  Modification of certain provisions of Act</w:t>
      </w:r>
      <w:r>
        <w:rPr>
          <w:noProof/>
        </w:rPr>
        <w:tab/>
      </w:r>
      <w:r>
        <w:rPr>
          <w:noProof/>
        </w:rPr>
        <w:fldChar w:fldCharType="begin"/>
      </w:r>
      <w:r>
        <w:rPr>
          <w:noProof/>
        </w:rPr>
        <w:instrText xml:space="preserve"> PAGEREF _Toc158713323 \h </w:instrText>
      </w:r>
      <w:r>
        <w:rPr>
          <w:noProof/>
        </w:rPr>
      </w:r>
      <w:r>
        <w:rPr>
          <w:noProof/>
        </w:rPr>
        <w:fldChar w:fldCharType="separate"/>
      </w:r>
      <w:r>
        <w:rPr>
          <w:noProof/>
        </w:rPr>
        <w:t>685</w:t>
      </w:r>
      <w:r>
        <w:rPr>
          <w:noProof/>
        </w:rPr>
        <w:fldChar w:fldCharType="end"/>
      </w:r>
    </w:p>
    <w:p w14:paraId="49D021AF" w14:textId="61D962B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12.4.03  Members etc may elect to be notified of meetings</w:t>
      </w:r>
      <w:r>
        <w:rPr>
          <w:noProof/>
        </w:rPr>
        <w:tab/>
      </w:r>
      <w:r>
        <w:rPr>
          <w:noProof/>
        </w:rPr>
        <w:fldChar w:fldCharType="begin"/>
      </w:r>
      <w:r>
        <w:rPr>
          <w:noProof/>
        </w:rPr>
        <w:instrText xml:space="preserve"> PAGEREF _Toc158713324 \h </w:instrText>
      </w:r>
      <w:r>
        <w:rPr>
          <w:noProof/>
        </w:rPr>
      </w:r>
      <w:r>
        <w:rPr>
          <w:noProof/>
        </w:rPr>
        <w:fldChar w:fldCharType="separate"/>
      </w:r>
      <w:r>
        <w:rPr>
          <w:noProof/>
        </w:rPr>
        <w:t>685</w:t>
      </w:r>
      <w:r>
        <w:rPr>
          <w:noProof/>
        </w:rPr>
        <w:fldChar w:fldCharType="end"/>
      </w:r>
    </w:p>
    <w:p w14:paraId="50A90D91" w14:textId="5B1701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12.4.04  Notice of meetings to be published in press</w:t>
      </w:r>
      <w:r>
        <w:rPr>
          <w:noProof/>
        </w:rPr>
        <w:tab/>
      </w:r>
      <w:r>
        <w:rPr>
          <w:noProof/>
        </w:rPr>
        <w:fldChar w:fldCharType="begin"/>
      </w:r>
      <w:r>
        <w:rPr>
          <w:noProof/>
        </w:rPr>
        <w:instrText xml:space="preserve"> PAGEREF _Toc158713325 \h </w:instrText>
      </w:r>
      <w:r>
        <w:rPr>
          <w:noProof/>
        </w:rPr>
      </w:r>
      <w:r>
        <w:rPr>
          <w:noProof/>
        </w:rPr>
        <w:fldChar w:fldCharType="separate"/>
      </w:r>
      <w:r>
        <w:rPr>
          <w:noProof/>
        </w:rPr>
        <w:t>686</w:t>
      </w:r>
      <w:r>
        <w:rPr>
          <w:noProof/>
        </w:rPr>
        <w:fldChar w:fldCharType="end"/>
      </w:r>
    </w:p>
    <w:p w14:paraId="007A4919" w14:textId="384D6A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12.4.05  Copies of notices to be displayed</w:t>
      </w:r>
      <w:r>
        <w:rPr>
          <w:noProof/>
        </w:rPr>
        <w:tab/>
      </w:r>
      <w:r>
        <w:rPr>
          <w:noProof/>
        </w:rPr>
        <w:fldChar w:fldCharType="begin"/>
      </w:r>
      <w:r>
        <w:rPr>
          <w:noProof/>
        </w:rPr>
        <w:instrText xml:space="preserve"> PAGEREF _Toc158713326 \h </w:instrText>
      </w:r>
      <w:r>
        <w:rPr>
          <w:noProof/>
        </w:rPr>
      </w:r>
      <w:r>
        <w:rPr>
          <w:noProof/>
        </w:rPr>
        <w:fldChar w:fldCharType="separate"/>
      </w:r>
      <w:r>
        <w:rPr>
          <w:noProof/>
        </w:rPr>
        <w:t>686</w:t>
      </w:r>
      <w:r>
        <w:rPr>
          <w:noProof/>
        </w:rPr>
        <w:fldChar w:fldCharType="end"/>
      </w:r>
    </w:p>
    <w:p w14:paraId="6E52FA41" w14:textId="5E1B590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12.4.06  Members may request notice of meetings at any time</w:t>
      </w:r>
      <w:r>
        <w:rPr>
          <w:noProof/>
        </w:rPr>
        <w:tab/>
      </w:r>
      <w:r>
        <w:rPr>
          <w:noProof/>
        </w:rPr>
        <w:fldChar w:fldCharType="begin"/>
      </w:r>
      <w:r>
        <w:rPr>
          <w:noProof/>
        </w:rPr>
        <w:instrText xml:space="preserve"> PAGEREF _Toc158713327 \h </w:instrText>
      </w:r>
      <w:r>
        <w:rPr>
          <w:noProof/>
        </w:rPr>
      </w:r>
      <w:r>
        <w:rPr>
          <w:noProof/>
        </w:rPr>
        <w:fldChar w:fldCharType="separate"/>
      </w:r>
      <w:r>
        <w:rPr>
          <w:noProof/>
        </w:rPr>
        <w:t>686</w:t>
      </w:r>
      <w:r>
        <w:rPr>
          <w:noProof/>
        </w:rPr>
        <w:fldChar w:fldCharType="end"/>
      </w:r>
    </w:p>
    <w:p w14:paraId="005775F9" w14:textId="15B4E1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12.4.07  Records to be kept about notices</w:t>
      </w:r>
      <w:r>
        <w:rPr>
          <w:noProof/>
        </w:rPr>
        <w:tab/>
      </w:r>
      <w:r>
        <w:rPr>
          <w:noProof/>
        </w:rPr>
        <w:fldChar w:fldCharType="begin"/>
      </w:r>
      <w:r>
        <w:rPr>
          <w:noProof/>
        </w:rPr>
        <w:instrText xml:space="preserve"> PAGEREF _Toc158713328 \h </w:instrText>
      </w:r>
      <w:r>
        <w:rPr>
          <w:noProof/>
        </w:rPr>
      </w:r>
      <w:r>
        <w:rPr>
          <w:noProof/>
        </w:rPr>
        <w:fldChar w:fldCharType="separate"/>
      </w:r>
      <w:r>
        <w:rPr>
          <w:noProof/>
        </w:rPr>
        <w:t>686</w:t>
      </w:r>
      <w:r>
        <w:rPr>
          <w:noProof/>
        </w:rPr>
        <w:fldChar w:fldCharType="end"/>
      </w:r>
    </w:p>
    <w:p w14:paraId="36556EC1" w14:textId="2664932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12.5—Determinations and declarations in relation to certain instruments</w:t>
      </w:r>
      <w:r>
        <w:rPr>
          <w:noProof/>
        </w:rPr>
        <w:tab/>
      </w:r>
      <w:r>
        <w:rPr>
          <w:noProof/>
        </w:rPr>
        <w:fldChar w:fldCharType="begin"/>
      </w:r>
      <w:r>
        <w:rPr>
          <w:noProof/>
        </w:rPr>
        <w:instrText xml:space="preserve"> PAGEREF _Toc158713329 \h </w:instrText>
      </w:r>
      <w:r>
        <w:rPr>
          <w:noProof/>
        </w:rPr>
      </w:r>
      <w:r>
        <w:rPr>
          <w:noProof/>
        </w:rPr>
        <w:fldChar w:fldCharType="separate"/>
      </w:r>
      <w:r>
        <w:rPr>
          <w:noProof/>
        </w:rPr>
        <w:t>687</w:t>
      </w:r>
      <w:r>
        <w:rPr>
          <w:noProof/>
        </w:rPr>
        <w:fldChar w:fldCharType="end"/>
      </w:r>
    </w:p>
    <w:p w14:paraId="0686BCC8" w14:textId="0942487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12.5.01  Definition for Part 12.5</w:t>
      </w:r>
      <w:r>
        <w:rPr>
          <w:noProof/>
        </w:rPr>
        <w:tab/>
      </w:r>
      <w:r>
        <w:rPr>
          <w:noProof/>
        </w:rPr>
        <w:fldChar w:fldCharType="begin"/>
      </w:r>
      <w:r>
        <w:rPr>
          <w:noProof/>
        </w:rPr>
        <w:instrText xml:space="preserve"> PAGEREF _Toc158713330 \h </w:instrText>
      </w:r>
      <w:r>
        <w:rPr>
          <w:noProof/>
        </w:rPr>
      </w:r>
      <w:r>
        <w:rPr>
          <w:noProof/>
        </w:rPr>
        <w:fldChar w:fldCharType="separate"/>
      </w:r>
      <w:r>
        <w:rPr>
          <w:noProof/>
        </w:rPr>
        <w:t>687</w:t>
      </w:r>
      <w:r>
        <w:rPr>
          <w:noProof/>
        </w:rPr>
        <w:fldChar w:fldCharType="end"/>
      </w:r>
    </w:p>
    <w:p w14:paraId="7A04FE46" w14:textId="4B0AF90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12.5.02  Application, variation, revocation and modification</w:t>
      </w:r>
      <w:r>
        <w:rPr>
          <w:noProof/>
        </w:rPr>
        <w:tab/>
      </w:r>
      <w:r>
        <w:rPr>
          <w:noProof/>
        </w:rPr>
        <w:fldChar w:fldCharType="begin"/>
      </w:r>
      <w:r>
        <w:rPr>
          <w:noProof/>
        </w:rPr>
        <w:instrText xml:space="preserve"> PAGEREF _Toc158713331 \h </w:instrText>
      </w:r>
      <w:r>
        <w:rPr>
          <w:noProof/>
        </w:rPr>
      </w:r>
      <w:r>
        <w:rPr>
          <w:noProof/>
        </w:rPr>
        <w:fldChar w:fldCharType="separate"/>
      </w:r>
      <w:r>
        <w:rPr>
          <w:noProof/>
        </w:rPr>
        <w:t>687</w:t>
      </w:r>
      <w:r>
        <w:rPr>
          <w:noProof/>
        </w:rPr>
        <w:fldChar w:fldCharType="end"/>
      </w:r>
    </w:p>
    <w:p w14:paraId="2C9BB76C" w14:textId="0FF29B2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12.5.03  Effect of determinations and declarations</w:t>
      </w:r>
      <w:r>
        <w:rPr>
          <w:noProof/>
        </w:rPr>
        <w:tab/>
      </w:r>
      <w:r>
        <w:rPr>
          <w:noProof/>
        </w:rPr>
        <w:fldChar w:fldCharType="begin"/>
      </w:r>
      <w:r>
        <w:rPr>
          <w:noProof/>
        </w:rPr>
        <w:instrText xml:space="preserve"> PAGEREF _Toc158713332 \h </w:instrText>
      </w:r>
      <w:r>
        <w:rPr>
          <w:noProof/>
        </w:rPr>
      </w:r>
      <w:r>
        <w:rPr>
          <w:noProof/>
        </w:rPr>
        <w:fldChar w:fldCharType="separate"/>
      </w:r>
      <w:r>
        <w:rPr>
          <w:noProof/>
        </w:rPr>
        <w:t>687</w:t>
      </w:r>
      <w:r>
        <w:rPr>
          <w:noProof/>
        </w:rPr>
        <w:fldChar w:fldCharType="end"/>
      </w:r>
    </w:p>
    <w:p w14:paraId="6CD8649A" w14:textId="7E5ED2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12.5.04  Publication of determinations and declarations</w:t>
      </w:r>
      <w:r>
        <w:rPr>
          <w:noProof/>
        </w:rPr>
        <w:tab/>
      </w:r>
      <w:r>
        <w:rPr>
          <w:noProof/>
        </w:rPr>
        <w:fldChar w:fldCharType="begin"/>
      </w:r>
      <w:r>
        <w:rPr>
          <w:noProof/>
        </w:rPr>
        <w:instrText xml:space="preserve"> PAGEREF _Toc158713333 \h </w:instrText>
      </w:r>
      <w:r>
        <w:rPr>
          <w:noProof/>
        </w:rPr>
      </w:r>
      <w:r>
        <w:rPr>
          <w:noProof/>
        </w:rPr>
        <w:fldChar w:fldCharType="separate"/>
      </w:r>
      <w:r>
        <w:rPr>
          <w:noProof/>
        </w:rPr>
        <w:t>687</w:t>
      </w:r>
      <w:r>
        <w:rPr>
          <w:noProof/>
        </w:rPr>
        <w:fldChar w:fldCharType="end"/>
      </w:r>
    </w:p>
    <w:p w14:paraId="449854E4" w14:textId="66DAA2C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12.5.05  When determinations and declarations take effect</w:t>
      </w:r>
      <w:r>
        <w:rPr>
          <w:noProof/>
        </w:rPr>
        <w:tab/>
      </w:r>
      <w:r>
        <w:rPr>
          <w:noProof/>
        </w:rPr>
        <w:fldChar w:fldCharType="begin"/>
      </w:r>
      <w:r>
        <w:rPr>
          <w:noProof/>
        </w:rPr>
        <w:instrText xml:space="preserve"> PAGEREF _Toc158713334 \h </w:instrText>
      </w:r>
      <w:r>
        <w:rPr>
          <w:noProof/>
        </w:rPr>
      </w:r>
      <w:r>
        <w:rPr>
          <w:noProof/>
        </w:rPr>
        <w:fldChar w:fldCharType="separate"/>
      </w:r>
      <w:r>
        <w:rPr>
          <w:noProof/>
        </w:rPr>
        <w:t>688</w:t>
      </w:r>
      <w:r>
        <w:rPr>
          <w:noProof/>
        </w:rPr>
        <w:fldChar w:fldCharType="end"/>
      </w:r>
    </w:p>
    <w:p w14:paraId="22FD8CDD" w14:textId="5CF4C21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12.5.06  Inspection and purchase of copies of instruments</w:t>
      </w:r>
      <w:r>
        <w:rPr>
          <w:noProof/>
        </w:rPr>
        <w:tab/>
      </w:r>
      <w:r>
        <w:rPr>
          <w:noProof/>
        </w:rPr>
        <w:fldChar w:fldCharType="begin"/>
      </w:r>
      <w:r>
        <w:rPr>
          <w:noProof/>
        </w:rPr>
        <w:instrText xml:space="preserve"> PAGEREF _Toc158713335 \h </w:instrText>
      </w:r>
      <w:r>
        <w:rPr>
          <w:noProof/>
        </w:rPr>
      </w:r>
      <w:r>
        <w:rPr>
          <w:noProof/>
        </w:rPr>
        <w:fldChar w:fldCharType="separate"/>
      </w:r>
      <w:r>
        <w:rPr>
          <w:noProof/>
        </w:rPr>
        <w:t>688</w:t>
      </w:r>
      <w:r>
        <w:rPr>
          <w:noProof/>
        </w:rPr>
        <w:fldChar w:fldCharType="end"/>
      </w:r>
    </w:p>
    <w:p w14:paraId="7411D28C" w14:textId="121243C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12.6—Financial reporting by certain bodies corporate</w:t>
      </w:r>
      <w:r>
        <w:rPr>
          <w:noProof/>
        </w:rPr>
        <w:tab/>
      </w:r>
      <w:r>
        <w:rPr>
          <w:noProof/>
        </w:rPr>
        <w:fldChar w:fldCharType="begin"/>
      </w:r>
      <w:r>
        <w:rPr>
          <w:noProof/>
        </w:rPr>
        <w:instrText xml:space="preserve"> PAGEREF _Toc158713336 \h </w:instrText>
      </w:r>
      <w:r>
        <w:rPr>
          <w:noProof/>
        </w:rPr>
      </w:r>
      <w:r>
        <w:rPr>
          <w:noProof/>
        </w:rPr>
        <w:fldChar w:fldCharType="separate"/>
      </w:r>
      <w:r>
        <w:rPr>
          <w:noProof/>
        </w:rPr>
        <w:t>689</w:t>
      </w:r>
      <w:r>
        <w:rPr>
          <w:noProof/>
        </w:rPr>
        <w:fldChar w:fldCharType="end"/>
      </w:r>
    </w:p>
    <w:p w14:paraId="6AC74403" w14:textId="5F1FE57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12.6.01  Application of Part</w:t>
      </w:r>
      <w:r>
        <w:rPr>
          <w:noProof/>
        </w:rPr>
        <w:tab/>
      </w:r>
      <w:r>
        <w:rPr>
          <w:noProof/>
        </w:rPr>
        <w:fldChar w:fldCharType="begin"/>
      </w:r>
      <w:r>
        <w:rPr>
          <w:noProof/>
        </w:rPr>
        <w:instrText xml:space="preserve"> PAGEREF _Toc158713337 \h </w:instrText>
      </w:r>
      <w:r>
        <w:rPr>
          <w:noProof/>
        </w:rPr>
      </w:r>
      <w:r>
        <w:rPr>
          <w:noProof/>
        </w:rPr>
        <w:fldChar w:fldCharType="separate"/>
      </w:r>
      <w:r>
        <w:rPr>
          <w:noProof/>
        </w:rPr>
        <w:t>689</w:t>
      </w:r>
      <w:r>
        <w:rPr>
          <w:noProof/>
        </w:rPr>
        <w:fldChar w:fldCharType="end"/>
      </w:r>
    </w:p>
    <w:p w14:paraId="79890A5E" w14:textId="3308ACE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12.06.01A  Annual financial reporting</w:t>
      </w:r>
      <w:r>
        <w:rPr>
          <w:noProof/>
        </w:rPr>
        <w:tab/>
      </w:r>
      <w:r>
        <w:rPr>
          <w:noProof/>
        </w:rPr>
        <w:fldChar w:fldCharType="begin"/>
      </w:r>
      <w:r>
        <w:rPr>
          <w:noProof/>
        </w:rPr>
        <w:instrText xml:space="preserve"> PAGEREF _Toc158713338 \h </w:instrText>
      </w:r>
      <w:r>
        <w:rPr>
          <w:noProof/>
        </w:rPr>
      </w:r>
      <w:r>
        <w:rPr>
          <w:noProof/>
        </w:rPr>
        <w:fldChar w:fldCharType="separate"/>
      </w:r>
      <w:r>
        <w:rPr>
          <w:noProof/>
        </w:rPr>
        <w:t>689</w:t>
      </w:r>
      <w:r>
        <w:rPr>
          <w:noProof/>
        </w:rPr>
        <w:fldChar w:fldCharType="end"/>
      </w:r>
    </w:p>
    <w:p w14:paraId="195FABEA" w14:textId="03164CF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12.6.02  Modification of certain provisions of Act</w:t>
      </w:r>
      <w:r>
        <w:rPr>
          <w:noProof/>
        </w:rPr>
        <w:tab/>
      </w:r>
      <w:r>
        <w:rPr>
          <w:noProof/>
        </w:rPr>
        <w:fldChar w:fldCharType="begin"/>
      </w:r>
      <w:r>
        <w:rPr>
          <w:noProof/>
        </w:rPr>
        <w:instrText xml:space="preserve"> PAGEREF _Toc158713339 \h </w:instrText>
      </w:r>
      <w:r>
        <w:rPr>
          <w:noProof/>
        </w:rPr>
      </w:r>
      <w:r>
        <w:rPr>
          <w:noProof/>
        </w:rPr>
        <w:fldChar w:fldCharType="separate"/>
      </w:r>
      <w:r>
        <w:rPr>
          <w:noProof/>
        </w:rPr>
        <w:t>689</w:t>
      </w:r>
      <w:r>
        <w:rPr>
          <w:noProof/>
        </w:rPr>
        <w:fldChar w:fldCharType="end"/>
      </w:r>
    </w:p>
    <w:p w14:paraId="0652FBEA" w14:textId="6B5849E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12.6.03  Members etc may elect to receive reports</w:t>
      </w:r>
      <w:r>
        <w:rPr>
          <w:noProof/>
        </w:rPr>
        <w:tab/>
      </w:r>
      <w:r>
        <w:rPr>
          <w:noProof/>
        </w:rPr>
        <w:fldChar w:fldCharType="begin"/>
      </w:r>
      <w:r>
        <w:rPr>
          <w:noProof/>
        </w:rPr>
        <w:instrText xml:space="preserve"> PAGEREF _Toc158713340 \h </w:instrText>
      </w:r>
      <w:r>
        <w:rPr>
          <w:noProof/>
        </w:rPr>
      </w:r>
      <w:r>
        <w:rPr>
          <w:noProof/>
        </w:rPr>
        <w:fldChar w:fldCharType="separate"/>
      </w:r>
      <w:r>
        <w:rPr>
          <w:noProof/>
        </w:rPr>
        <w:t>689</w:t>
      </w:r>
      <w:r>
        <w:rPr>
          <w:noProof/>
        </w:rPr>
        <w:fldChar w:fldCharType="end"/>
      </w:r>
    </w:p>
    <w:p w14:paraId="3896F38F" w14:textId="67A62A3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12.6.04  Copies of reports to be available to members</w:t>
      </w:r>
      <w:r>
        <w:rPr>
          <w:noProof/>
        </w:rPr>
        <w:tab/>
      </w:r>
      <w:r>
        <w:rPr>
          <w:noProof/>
        </w:rPr>
        <w:fldChar w:fldCharType="begin"/>
      </w:r>
      <w:r>
        <w:rPr>
          <w:noProof/>
        </w:rPr>
        <w:instrText xml:space="preserve"> PAGEREF _Toc158713341 \h </w:instrText>
      </w:r>
      <w:r>
        <w:rPr>
          <w:noProof/>
        </w:rPr>
      </w:r>
      <w:r>
        <w:rPr>
          <w:noProof/>
        </w:rPr>
        <w:fldChar w:fldCharType="separate"/>
      </w:r>
      <w:r>
        <w:rPr>
          <w:noProof/>
        </w:rPr>
        <w:t>689</w:t>
      </w:r>
      <w:r>
        <w:rPr>
          <w:noProof/>
        </w:rPr>
        <w:fldChar w:fldCharType="end"/>
      </w:r>
    </w:p>
    <w:p w14:paraId="120A8D98" w14:textId="50CBD4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12.6.05  Records to be kept about notices</w:t>
      </w:r>
      <w:r>
        <w:rPr>
          <w:noProof/>
        </w:rPr>
        <w:tab/>
      </w:r>
      <w:r>
        <w:rPr>
          <w:noProof/>
        </w:rPr>
        <w:fldChar w:fldCharType="begin"/>
      </w:r>
      <w:r>
        <w:rPr>
          <w:noProof/>
        </w:rPr>
        <w:instrText xml:space="preserve"> PAGEREF _Toc158713342 \h </w:instrText>
      </w:r>
      <w:r>
        <w:rPr>
          <w:noProof/>
        </w:rPr>
      </w:r>
      <w:r>
        <w:rPr>
          <w:noProof/>
        </w:rPr>
        <w:fldChar w:fldCharType="separate"/>
      </w:r>
      <w:r>
        <w:rPr>
          <w:noProof/>
        </w:rPr>
        <w:t>690</w:t>
      </w:r>
      <w:r>
        <w:rPr>
          <w:noProof/>
        </w:rPr>
        <w:fldChar w:fldCharType="end"/>
      </w:r>
    </w:p>
    <w:p w14:paraId="39E6AF20" w14:textId="0955BC7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12.7—Other disclosure</w:t>
      </w:r>
      <w:r>
        <w:rPr>
          <w:noProof/>
        </w:rPr>
        <w:tab/>
      </w:r>
      <w:r>
        <w:rPr>
          <w:noProof/>
        </w:rPr>
        <w:fldChar w:fldCharType="begin"/>
      </w:r>
      <w:r>
        <w:rPr>
          <w:noProof/>
        </w:rPr>
        <w:instrText xml:space="preserve"> PAGEREF _Toc158713343 \h </w:instrText>
      </w:r>
      <w:r>
        <w:rPr>
          <w:noProof/>
        </w:rPr>
      </w:r>
      <w:r>
        <w:rPr>
          <w:noProof/>
        </w:rPr>
        <w:fldChar w:fldCharType="separate"/>
      </w:r>
      <w:r>
        <w:rPr>
          <w:noProof/>
        </w:rPr>
        <w:t>691</w:t>
      </w:r>
      <w:r>
        <w:rPr>
          <w:noProof/>
        </w:rPr>
        <w:fldChar w:fldCharType="end"/>
      </w:r>
    </w:p>
    <w:p w14:paraId="61D92D39" w14:textId="7772DC8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1—Preliminary</w:t>
      </w:r>
      <w:r>
        <w:rPr>
          <w:noProof/>
        </w:rPr>
        <w:tab/>
      </w:r>
      <w:r>
        <w:rPr>
          <w:noProof/>
        </w:rPr>
        <w:fldChar w:fldCharType="begin"/>
      </w:r>
      <w:r>
        <w:rPr>
          <w:noProof/>
        </w:rPr>
        <w:instrText xml:space="preserve"> PAGEREF _Toc158713344 \h </w:instrText>
      </w:r>
      <w:r>
        <w:rPr>
          <w:noProof/>
        </w:rPr>
      </w:r>
      <w:r>
        <w:rPr>
          <w:noProof/>
        </w:rPr>
        <w:fldChar w:fldCharType="separate"/>
      </w:r>
      <w:r>
        <w:rPr>
          <w:noProof/>
        </w:rPr>
        <w:t>691</w:t>
      </w:r>
      <w:r>
        <w:rPr>
          <w:noProof/>
        </w:rPr>
        <w:fldChar w:fldCharType="end"/>
      </w:r>
    </w:p>
    <w:p w14:paraId="63A8D24D" w14:textId="07248A8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12.7.01  Definitions for Part 12.7</w:t>
      </w:r>
      <w:r>
        <w:rPr>
          <w:noProof/>
        </w:rPr>
        <w:tab/>
      </w:r>
      <w:r>
        <w:rPr>
          <w:noProof/>
        </w:rPr>
        <w:fldChar w:fldCharType="begin"/>
      </w:r>
      <w:r>
        <w:rPr>
          <w:noProof/>
        </w:rPr>
        <w:instrText xml:space="preserve"> PAGEREF _Toc158713345 \h </w:instrText>
      </w:r>
      <w:r>
        <w:rPr>
          <w:noProof/>
        </w:rPr>
      </w:r>
      <w:r>
        <w:rPr>
          <w:noProof/>
        </w:rPr>
        <w:fldChar w:fldCharType="separate"/>
      </w:r>
      <w:r>
        <w:rPr>
          <w:noProof/>
        </w:rPr>
        <w:t>691</w:t>
      </w:r>
      <w:r>
        <w:rPr>
          <w:noProof/>
        </w:rPr>
        <w:fldChar w:fldCharType="end"/>
      </w:r>
    </w:p>
    <w:p w14:paraId="5E98B1B5" w14:textId="745BD3C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12.7.02  Declarations by ASIC</w:t>
      </w:r>
      <w:r>
        <w:rPr>
          <w:noProof/>
        </w:rPr>
        <w:tab/>
      </w:r>
      <w:r>
        <w:rPr>
          <w:noProof/>
        </w:rPr>
        <w:fldChar w:fldCharType="begin"/>
      </w:r>
      <w:r>
        <w:rPr>
          <w:noProof/>
        </w:rPr>
        <w:instrText xml:space="preserve"> PAGEREF _Toc158713346 \h </w:instrText>
      </w:r>
      <w:r>
        <w:rPr>
          <w:noProof/>
        </w:rPr>
      </w:r>
      <w:r>
        <w:rPr>
          <w:noProof/>
        </w:rPr>
        <w:fldChar w:fldCharType="separate"/>
      </w:r>
      <w:r>
        <w:rPr>
          <w:noProof/>
        </w:rPr>
        <w:t>691</w:t>
      </w:r>
      <w:r>
        <w:rPr>
          <w:noProof/>
        </w:rPr>
        <w:fldChar w:fldCharType="end"/>
      </w:r>
    </w:p>
    <w:p w14:paraId="22E64F83" w14:textId="52C991ED"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2—Continued application of certain provisions</w:t>
      </w:r>
      <w:r>
        <w:rPr>
          <w:noProof/>
        </w:rPr>
        <w:tab/>
      </w:r>
      <w:r>
        <w:rPr>
          <w:noProof/>
        </w:rPr>
        <w:fldChar w:fldCharType="begin"/>
      </w:r>
      <w:r>
        <w:rPr>
          <w:noProof/>
        </w:rPr>
        <w:instrText xml:space="preserve"> PAGEREF _Toc158713347 \h </w:instrText>
      </w:r>
      <w:r>
        <w:rPr>
          <w:noProof/>
        </w:rPr>
      </w:r>
      <w:r>
        <w:rPr>
          <w:noProof/>
        </w:rPr>
        <w:fldChar w:fldCharType="separate"/>
      </w:r>
      <w:r>
        <w:rPr>
          <w:noProof/>
        </w:rPr>
        <w:t>692</w:t>
      </w:r>
      <w:r>
        <w:rPr>
          <w:noProof/>
        </w:rPr>
        <w:fldChar w:fldCharType="end"/>
      </w:r>
    </w:p>
    <w:p w14:paraId="7885177F" w14:textId="521DE71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12.7.03  Continuation of certain provisions of previous governing Codes</w:t>
      </w:r>
      <w:r>
        <w:rPr>
          <w:noProof/>
        </w:rPr>
        <w:tab/>
      </w:r>
      <w:r>
        <w:rPr>
          <w:noProof/>
        </w:rPr>
        <w:fldChar w:fldCharType="begin"/>
      </w:r>
      <w:r>
        <w:rPr>
          <w:noProof/>
        </w:rPr>
        <w:instrText xml:space="preserve"> PAGEREF _Toc158713348 \h </w:instrText>
      </w:r>
      <w:r>
        <w:rPr>
          <w:noProof/>
        </w:rPr>
      </w:r>
      <w:r>
        <w:rPr>
          <w:noProof/>
        </w:rPr>
        <w:fldChar w:fldCharType="separate"/>
      </w:r>
      <w:r>
        <w:rPr>
          <w:noProof/>
        </w:rPr>
        <w:t>692</w:t>
      </w:r>
      <w:r>
        <w:rPr>
          <w:noProof/>
        </w:rPr>
        <w:fldChar w:fldCharType="end"/>
      </w:r>
    </w:p>
    <w:p w14:paraId="24E36B35" w14:textId="26833AD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12.7.04  Continuation of ASIC transitional standards</w:t>
      </w:r>
      <w:r>
        <w:rPr>
          <w:noProof/>
        </w:rPr>
        <w:tab/>
      </w:r>
      <w:r>
        <w:rPr>
          <w:noProof/>
        </w:rPr>
        <w:fldChar w:fldCharType="begin"/>
      </w:r>
      <w:r>
        <w:rPr>
          <w:noProof/>
        </w:rPr>
        <w:instrText xml:space="preserve"> PAGEREF _Toc158713349 \h </w:instrText>
      </w:r>
      <w:r>
        <w:rPr>
          <w:noProof/>
        </w:rPr>
      </w:r>
      <w:r>
        <w:rPr>
          <w:noProof/>
        </w:rPr>
        <w:fldChar w:fldCharType="separate"/>
      </w:r>
      <w:r>
        <w:rPr>
          <w:noProof/>
        </w:rPr>
        <w:t>692</w:t>
      </w:r>
      <w:r>
        <w:rPr>
          <w:noProof/>
        </w:rPr>
        <w:fldChar w:fldCharType="end"/>
      </w:r>
    </w:p>
    <w:p w14:paraId="4394A4B3" w14:textId="115B4FD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12.7.05  Exemption from, and modification of, certain provisions</w:t>
      </w:r>
      <w:r>
        <w:rPr>
          <w:noProof/>
        </w:rPr>
        <w:tab/>
      </w:r>
      <w:r>
        <w:rPr>
          <w:noProof/>
        </w:rPr>
        <w:fldChar w:fldCharType="begin"/>
      </w:r>
      <w:r>
        <w:rPr>
          <w:noProof/>
        </w:rPr>
        <w:instrText xml:space="preserve"> PAGEREF _Toc158713350 \h </w:instrText>
      </w:r>
      <w:r>
        <w:rPr>
          <w:noProof/>
        </w:rPr>
      </w:r>
      <w:r>
        <w:rPr>
          <w:noProof/>
        </w:rPr>
        <w:fldChar w:fldCharType="separate"/>
      </w:r>
      <w:r>
        <w:rPr>
          <w:noProof/>
        </w:rPr>
        <w:t>692</w:t>
      </w:r>
      <w:r>
        <w:rPr>
          <w:noProof/>
        </w:rPr>
        <w:fldChar w:fldCharType="end"/>
      </w:r>
    </w:p>
    <w:p w14:paraId="387F35B4" w14:textId="7782934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12.7.06  Certain provisions of the Friendly Societies Code cease to apply to FSR licensee</w:t>
      </w:r>
      <w:r>
        <w:rPr>
          <w:noProof/>
        </w:rPr>
        <w:tab/>
      </w:r>
      <w:r>
        <w:rPr>
          <w:noProof/>
        </w:rPr>
        <w:fldChar w:fldCharType="begin"/>
      </w:r>
      <w:r>
        <w:rPr>
          <w:noProof/>
        </w:rPr>
        <w:instrText xml:space="preserve"> PAGEREF _Toc158713351 \h </w:instrText>
      </w:r>
      <w:r>
        <w:rPr>
          <w:noProof/>
        </w:rPr>
      </w:r>
      <w:r>
        <w:rPr>
          <w:noProof/>
        </w:rPr>
        <w:fldChar w:fldCharType="separate"/>
      </w:r>
      <w:r>
        <w:rPr>
          <w:noProof/>
        </w:rPr>
        <w:t>693</w:t>
      </w:r>
      <w:r>
        <w:rPr>
          <w:noProof/>
        </w:rPr>
        <w:fldChar w:fldCharType="end"/>
      </w:r>
    </w:p>
    <w:p w14:paraId="033C0998" w14:textId="5799A7A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12.8—Shares in certain bodies corporate</w:t>
      </w:r>
      <w:r>
        <w:rPr>
          <w:noProof/>
        </w:rPr>
        <w:tab/>
      </w:r>
      <w:r>
        <w:rPr>
          <w:noProof/>
        </w:rPr>
        <w:fldChar w:fldCharType="begin"/>
      </w:r>
      <w:r>
        <w:rPr>
          <w:noProof/>
        </w:rPr>
        <w:instrText xml:space="preserve"> PAGEREF _Toc158713352 \h </w:instrText>
      </w:r>
      <w:r>
        <w:rPr>
          <w:noProof/>
        </w:rPr>
      </w:r>
      <w:r>
        <w:rPr>
          <w:noProof/>
        </w:rPr>
        <w:fldChar w:fldCharType="separate"/>
      </w:r>
      <w:r>
        <w:rPr>
          <w:noProof/>
        </w:rPr>
        <w:t>694</w:t>
      </w:r>
      <w:r>
        <w:rPr>
          <w:noProof/>
        </w:rPr>
        <w:fldChar w:fldCharType="end"/>
      </w:r>
    </w:p>
    <w:p w14:paraId="3148BF79" w14:textId="197A903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1—Preliminary</w:t>
      </w:r>
      <w:r>
        <w:rPr>
          <w:noProof/>
        </w:rPr>
        <w:tab/>
      </w:r>
      <w:r>
        <w:rPr>
          <w:noProof/>
        </w:rPr>
        <w:fldChar w:fldCharType="begin"/>
      </w:r>
      <w:r>
        <w:rPr>
          <w:noProof/>
        </w:rPr>
        <w:instrText xml:space="preserve"> PAGEREF _Toc158713353 \h </w:instrText>
      </w:r>
      <w:r>
        <w:rPr>
          <w:noProof/>
        </w:rPr>
      </w:r>
      <w:r>
        <w:rPr>
          <w:noProof/>
        </w:rPr>
        <w:fldChar w:fldCharType="separate"/>
      </w:r>
      <w:r>
        <w:rPr>
          <w:noProof/>
        </w:rPr>
        <w:t>694</w:t>
      </w:r>
      <w:r>
        <w:rPr>
          <w:noProof/>
        </w:rPr>
        <w:fldChar w:fldCharType="end"/>
      </w:r>
    </w:p>
    <w:p w14:paraId="4EE641BA" w14:textId="17E2D6F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12.8.02  Application of Part 12.8</w:t>
      </w:r>
      <w:r>
        <w:rPr>
          <w:noProof/>
        </w:rPr>
        <w:tab/>
      </w:r>
      <w:r>
        <w:rPr>
          <w:noProof/>
        </w:rPr>
        <w:fldChar w:fldCharType="begin"/>
      </w:r>
      <w:r>
        <w:rPr>
          <w:noProof/>
        </w:rPr>
        <w:instrText xml:space="preserve"> PAGEREF _Toc158713354 \h </w:instrText>
      </w:r>
      <w:r>
        <w:rPr>
          <w:noProof/>
        </w:rPr>
      </w:r>
      <w:r>
        <w:rPr>
          <w:noProof/>
        </w:rPr>
        <w:fldChar w:fldCharType="separate"/>
      </w:r>
      <w:r>
        <w:rPr>
          <w:noProof/>
        </w:rPr>
        <w:t>694</w:t>
      </w:r>
      <w:r>
        <w:rPr>
          <w:noProof/>
        </w:rPr>
        <w:fldChar w:fldCharType="end"/>
      </w:r>
    </w:p>
    <w:p w14:paraId="727452F6" w14:textId="786A85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12.8.03  Meaning of </w:t>
      </w:r>
      <w:r w:rsidRPr="00FC743A">
        <w:rPr>
          <w:i/>
          <w:noProof/>
        </w:rPr>
        <w:t>member share</w:t>
      </w:r>
      <w:r>
        <w:rPr>
          <w:noProof/>
        </w:rPr>
        <w:tab/>
      </w:r>
      <w:r>
        <w:rPr>
          <w:noProof/>
        </w:rPr>
        <w:fldChar w:fldCharType="begin"/>
      </w:r>
      <w:r>
        <w:rPr>
          <w:noProof/>
        </w:rPr>
        <w:instrText xml:space="preserve"> PAGEREF _Toc158713355 \h </w:instrText>
      </w:r>
      <w:r>
        <w:rPr>
          <w:noProof/>
        </w:rPr>
      </w:r>
      <w:r>
        <w:rPr>
          <w:noProof/>
        </w:rPr>
        <w:fldChar w:fldCharType="separate"/>
      </w:r>
      <w:r>
        <w:rPr>
          <w:noProof/>
        </w:rPr>
        <w:t>694</w:t>
      </w:r>
      <w:r>
        <w:rPr>
          <w:noProof/>
        </w:rPr>
        <w:fldChar w:fldCharType="end"/>
      </w:r>
    </w:p>
    <w:p w14:paraId="739F91C3" w14:textId="3E40EB3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12.8.04  Declarations by ASIC</w:t>
      </w:r>
      <w:r>
        <w:rPr>
          <w:noProof/>
        </w:rPr>
        <w:tab/>
      </w:r>
      <w:r>
        <w:rPr>
          <w:noProof/>
        </w:rPr>
        <w:fldChar w:fldCharType="begin"/>
      </w:r>
      <w:r>
        <w:rPr>
          <w:noProof/>
        </w:rPr>
        <w:instrText xml:space="preserve"> PAGEREF _Toc158713356 \h </w:instrText>
      </w:r>
      <w:r>
        <w:rPr>
          <w:noProof/>
        </w:rPr>
      </w:r>
      <w:r>
        <w:rPr>
          <w:noProof/>
        </w:rPr>
        <w:fldChar w:fldCharType="separate"/>
      </w:r>
      <w:r>
        <w:rPr>
          <w:noProof/>
        </w:rPr>
        <w:t>694</w:t>
      </w:r>
      <w:r>
        <w:rPr>
          <w:noProof/>
        </w:rPr>
        <w:fldChar w:fldCharType="end"/>
      </w:r>
    </w:p>
    <w:p w14:paraId="4BA7E358" w14:textId="29808C6C"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2—Member shares</w:t>
      </w:r>
      <w:r>
        <w:rPr>
          <w:noProof/>
        </w:rPr>
        <w:tab/>
      </w:r>
      <w:r>
        <w:rPr>
          <w:noProof/>
        </w:rPr>
        <w:fldChar w:fldCharType="begin"/>
      </w:r>
      <w:r>
        <w:rPr>
          <w:noProof/>
        </w:rPr>
        <w:instrText xml:space="preserve"> PAGEREF _Toc158713357 \h </w:instrText>
      </w:r>
      <w:r>
        <w:rPr>
          <w:noProof/>
        </w:rPr>
      </w:r>
      <w:r>
        <w:rPr>
          <w:noProof/>
        </w:rPr>
        <w:fldChar w:fldCharType="separate"/>
      </w:r>
      <w:r>
        <w:rPr>
          <w:noProof/>
        </w:rPr>
        <w:t>695</w:t>
      </w:r>
      <w:r>
        <w:rPr>
          <w:noProof/>
        </w:rPr>
        <w:fldChar w:fldCharType="end"/>
      </w:r>
    </w:p>
    <w:p w14:paraId="02C98A67" w14:textId="067D18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12.8.05  Notice requirements</w:t>
      </w:r>
      <w:r>
        <w:rPr>
          <w:noProof/>
        </w:rPr>
        <w:tab/>
      </w:r>
      <w:r>
        <w:rPr>
          <w:noProof/>
        </w:rPr>
        <w:fldChar w:fldCharType="begin"/>
      </w:r>
      <w:r>
        <w:rPr>
          <w:noProof/>
        </w:rPr>
        <w:instrText xml:space="preserve"> PAGEREF _Toc158713358 \h </w:instrText>
      </w:r>
      <w:r>
        <w:rPr>
          <w:noProof/>
        </w:rPr>
      </w:r>
      <w:r>
        <w:rPr>
          <w:noProof/>
        </w:rPr>
        <w:fldChar w:fldCharType="separate"/>
      </w:r>
      <w:r>
        <w:rPr>
          <w:noProof/>
        </w:rPr>
        <w:t>695</w:t>
      </w:r>
      <w:r>
        <w:rPr>
          <w:noProof/>
        </w:rPr>
        <w:fldChar w:fldCharType="end"/>
      </w:r>
    </w:p>
    <w:p w14:paraId="08CF4652" w14:textId="015F741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12.8.06  Registers of members</w:t>
      </w:r>
      <w:r>
        <w:rPr>
          <w:noProof/>
        </w:rPr>
        <w:tab/>
      </w:r>
      <w:r>
        <w:rPr>
          <w:noProof/>
        </w:rPr>
        <w:fldChar w:fldCharType="begin"/>
      </w:r>
      <w:r>
        <w:rPr>
          <w:noProof/>
        </w:rPr>
        <w:instrText xml:space="preserve"> PAGEREF _Toc158713359 \h </w:instrText>
      </w:r>
      <w:r>
        <w:rPr>
          <w:noProof/>
        </w:rPr>
      </w:r>
      <w:r>
        <w:rPr>
          <w:noProof/>
        </w:rPr>
        <w:fldChar w:fldCharType="separate"/>
      </w:r>
      <w:r>
        <w:rPr>
          <w:noProof/>
        </w:rPr>
        <w:t>695</w:t>
      </w:r>
      <w:r>
        <w:rPr>
          <w:noProof/>
        </w:rPr>
        <w:fldChar w:fldCharType="end"/>
      </w:r>
    </w:p>
    <w:p w14:paraId="12C97469" w14:textId="49B780D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12.8.06A  Member shares—liability to pay calls</w:t>
      </w:r>
      <w:r>
        <w:rPr>
          <w:noProof/>
        </w:rPr>
        <w:tab/>
      </w:r>
      <w:r>
        <w:rPr>
          <w:noProof/>
        </w:rPr>
        <w:fldChar w:fldCharType="begin"/>
      </w:r>
      <w:r>
        <w:rPr>
          <w:noProof/>
        </w:rPr>
        <w:instrText xml:space="preserve"> PAGEREF _Toc158713360 \h </w:instrText>
      </w:r>
      <w:r>
        <w:rPr>
          <w:noProof/>
        </w:rPr>
      </w:r>
      <w:r>
        <w:rPr>
          <w:noProof/>
        </w:rPr>
        <w:fldChar w:fldCharType="separate"/>
      </w:r>
      <w:r>
        <w:rPr>
          <w:noProof/>
        </w:rPr>
        <w:t>696</w:t>
      </w:r>
      <w:r>
        <w:rPr>
          <w:noProof/>
        </w:rPr>
        <w:fldChar w:fldCharType="end"/>
      </w:r>
    </w:p>
    <w:p w14:paraId="5583A897" w14:textId="32ED9A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12.8.07  Disclosure in annual returns</w:t>
      </w:r>
      <w:r>
        <w:rPr>
          <w:noProof/>
        </w:rPr>
        <w:tab/>
      </w:r>
      <w:r>
        <w:rPr>
          <w:noProof/>
        </w:rPr>
        <w:fldChar w:fldCharType="begin"/>
      </w:r>
      <w:r>
        <w:rPr>
          <w:noProof/>
        </w:rPr>
        <w:instrText xml:space="preserve"> PAGEREF _Toc158713361 \h </w:instrText>
      </w:r>
      <w:r>
        <w:rPr>
          <w:noProof/>
        </w:rPr>
      </w:r>
      <w:r>
        <w:rPr>
          <w:noProof/>
        </w:rPr>
        <w:fldChar w:fldCharType="separate"/>
      </w:r>
      <w:r>
        <w:rPr>
          <w:noProof/>
        </w:rPr>
        <w:t>696</w:t>
      </w:r>
      <w:r>
        <w:rPr>
          <w:noProof/>
        </w:rPr>
        <w:fldChar w:fldCharType="end"/>
      </w:r>
    </w:p>
    <w:p w14:paraId="36E78C40" w14:textId="5A3ABF3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12.8.08  Member shares—numbering and certificates</w:t>
      </w:r>
      <w:r>
        <w:rPr>
          <w:noProof/>
        </w:rPr>
        <w:tab/>
      </w:r>
      <w:r>
        <w:rPr>
          <w:noProof/>
        </w:rPr>
        <w:fldChar w:fldCharType="begin"/>
      </w:r>
      <w:r>
        <w:rPr>
          <w:noProof/>
        </w:rPr>
        <w:instrText xml:space="preserve"> PAGEREF _Toc158713362 \h </w:instrText>
      </w:r>
      <w:r>
        <w:rPr>
          <w:noProof/>
        </w:rPr>
      </w:r>
      <w:r>
        <w:rPr>
          <w:noProof/>
        </w:rPr>
        <w:fldChar w:fldCharType="separate"/>
      </w:r>
      <w:r>
        <w:rPr>
          <w:noProof/>
        </w:rPr>
        <w:t>696</w:t>
      </w:r>
      <w:r>
        <w:rPr>
          <w:noProof/>
        </w:rPr>
        <w:fldChar w:fldCharType="end"/>
      </w:r>
    </w:p>
    <w:p w14:paraId="6BFC37E2" w14:textId="33838C5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12.8.09  Member shares—unclaimed property</w:t>
      </w:r>
      <w:r>
        <w:rPr>
          <w:noProof/>
        </w:rPr>
        <w:tab/>
      </w:r>
      <w:r>
        <w:rPr>
          <w:noProof/>
        </w:rPr>
        <w:fldChar w:fldCharType="begin"/>
      </w:r>
      <w:r>
        <w:rPr>
          <w:noProof/>
        </w:rPr>
        <w:instrText xml:space="preserve"> PAGEREF _Toc158713363 \h </w:instrText>
      </w:r>
      <w:r>
        <w:rPr>
          <w:noProof/>
        </w:rPr>
      </w:r>
      <w:r>
        <w:rPr>
          <w:noProof/>
        </w:rPr>
        <w:fldChar w:fldCharType="separate"/>
      </w:r>
      <w:r>
        <w:rPr>
          <w:noProof/>
        </w:rPr>
        <w:t>696</w:t>
      </w:r>
      <w:r>
        <w:rPr>
          <w:noProof/>
        </w:rPr>
        <w:fldChar w:fldCharType="end"/>
      </w:r>
    </w:p>
    <w:p w14:paraId="45F8C1A0" w14:textId="5B8522B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3—Certain shares in transferring building societies and credit unions</w:t>
      </w:r>
      <w:r>
        <w:rPr>
          <w:noProof/>
        </w:rPr>
        <w:tab/>
      </w:r>
      <w:r>
        <w:rPr>
          <w:noProof/>
        </w:rPr>
        <w:fldChar w:fldCharType="begin"/>
      </w:r>
      <w:r>
        <w:rPr>
          <w:noProof/>
        </w:rPr>
        <w:instrText xml:space="preserve"> PAGEREF _Toc158713364 \h </w:instrText>
      </w:r>
      <w:r>
        <w:rPr>
          <w:noProof/>
        </w:rPr>
      </w:r>
      <w:r>
        <w:rPr>
          <w:noProof/>
        </w:rPr>
        <w:fldChar w:fldCharType="separate"/>
      </w:r>
      <w:r>
        <w:rPr>
          <w:noProof/>
        </w:rPr>
        <w:t>697</w:t>
      </w:r>
      <w:r>
        <w:rPr>
          <w:noProof/>
        </w:rPr>
        <w:fldChar w:fldCharType="end"/>
      </w:r>
    </w:p>
    <w:p w14:paraId="7328FFF2" w14:textId="44F39B9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12.8.10  Definitions for Division 3</w:t>
      </w:r>
      <w:r>
        <w:rPr>
          <w:noProof/>
        </w:rPr>
        <w:tab/>
      </w:r>
      <w:r>
        <w:rPr>
          <w:noProof/>
        </w:rPr>
        <w:fldChar w:fldCharType="begin"/>
      </w:r>
      <w:r>
        <w:rPr>
          <w:noProof/>
        </w:rPr>
        <w:instrText xml:space="preserve"> PAGEREF _Toc158713365 \h </w:instrText>
      </w:r>
      <w:r>
        <w:rPr>
          <w:noProof/>
        </w:rPr>
      </w:r>
      <w:r>
        <w:rPr>
          <w:noProof/>
        </w:rPr>
        <w:fldChar w:fldCharType="separate"/>
      </w:r>
      <w:r>
        <w:rPr>
          <w:noProof/>
        </w:rPr>
        <w:t>697</w:t>
      </w:r>
      <w:r>
        <w:rPr>
          <w:noProof/>
        </w:rPr>
        <w:fldChar w:fldCharType="end"/>
      </w:r>
    </w:p>
    <w:p w14:paraId="06EFEB8A" w14:textId="7F81C3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12.8.11  Transferring building societies may issue shares equivalent to membership shares</w:t>
      </w:r>
      <w:r>
        <w:rPr>
          <w:noProof/>
        </w:rPr>
        <w:tab/>
      </w:r>
      <w:r>
        <w:rPr>
          <w:noProof/>
        </w:rPr>
        <w:fldChar w:fldCharType="begin"/>
      </w:r>
      <w:r>
        <w:rPr>
          <w:noProof/>
        </w:rPr>
        <w:instrText xml:space="preserve"> PAGEREF _Toc158713366 \h </w:instrText>
      </w:r>
      <w:r>
        <w:rPr>
          <w:noProof/>
        </w:rPr>
      </w:r>
      <w:r>
        <w:rPr>
          <w:noProof/>
        </w:rPr>
        <w:fldChar w:fldCharType="separate"/>
      </w:r>
      <w:r>
        <w:rPr>
          <w:noProof/>
        </w:rPr>
        <w:t>697</w:t>
      </w:r>
      <w:r>
        <w:rPr>
          <w:noProof/>
        </w:rPr>
        <w:fldChar w:fldCharType="end"/>
      </w:r>
    </w:p>
    <w:p w14:paraId="3D2BD417" w14:textId="744207A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12.8.12  Transferring credit unions may issue shares equivalent to withdrawable shares</w:t>
      </w:r>
      <w:r>
        <w:rPr>
          <w:noProof/>
        </w:rPr>
        <w:tab/>
      </w:r>
      <w:r>
        <w:rPr>
          <w:noProof/>
        </w:rPr>
        <w:fldChar w:fldCharType="begin"/>
      </w:r>
      <w:r>
        <w:rPr>
          <w:noProof/>
        </w:rPr>
        <w:instrText xml:space="preserve"> PAGEREF _Toc158713367 \h </w:instrText>
      </w:r>
      <w:r>
        <w:rPr>
          <w:noProof/>
        </w:rPr>
      </w:r>
      <w:r>
        <w:rPr>
          <w:noProof/>
        </w:rPr>
        <w:fldChar w:fldCharType="separate"/>
      </w:r>
      <w:r>
        <w:rPr>
          <w:noProof/>
        </w:rPr>
        <w:t>697</w:t>
      </w:r>
      <w:r>
        <w:rPr>
          <w:noProof/>
        </w:rPr>
        <w:fldChar w:fldCharType="end"/>
      </w:r>
    </w:p>
    <w:p w14:paraId="557450B8" w14:textId="0A46FAE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12.9—Winding up and deregistration of certain transferring financial institutions</w:t>
      </w:r>
      <w:r>
        <w:rPr>
          <w:noProof/>
        </w:rPr>
        <w:tab/>
      </w:r>
      <w:r>
        <w:rPr>
          <w:noProof/>
        </w:rPr>
        <w:fldChar w:fldCharType="begin"/>
      </w:r>
      <w:r>
        <w:rPr>
          <w:noProof/>
        </w:rPr>
        <w:instrText xml:space="preserve"> PAGEREF _Toc158713368 \h </w:instrText>
      </w:r>
      <w:r>
        <w:rPr>
          <w:noProof/>
        </w:rPr>
      </w:r>
      <w:r>
        <w:rPr>
          <w:noProof/>
        </w:rPr>
        <w:fldChar w:fldCharType="separate"/>
      </w:r>
      <w:r>
        <w:rPr>
          <w:noProof/>
        </w:rPr>
        <w:t>698</w:t>
      </w:r>
      <w:r>
        <w:rPr>
          <w:noProof/>
        </w:rPr>
        <w:fldChar w:fldCharType="end"/>
      </w:r>
    </w:p>
    <w:p w14:paraId="6A497EEE" w14:textId="191EB9A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12.9.01  Application of Part 12.9</w:t>
      </w:r>
      <w:r>
        <w:rPr>
          <w:noProof/>
        </w:rPr>
        <w:tab/>
      </w:r>
      <w:r>
        <w:rPr>
          <w:noProof/>
        </w:rPr>
        <w:fldChar w:fldCharType="begin"/>
      </w:r>
      <w:r>
        <w:rPr>
          <w:noProof/>
        </w:rPr>
        <w:instrText xml:space="preserve"> PAGEREF _Toc158713369 \h </w:instrText>
      </w:r>
      <w:r>
        <w:rPr>
          <w:noProof/>
        </w:rPr>
      </w:r>
      <w:r>
        <w:rPr>
          <w:noProof/>
        </w:rPr>
        <w:fldChar w:fldCharType="separate"/>
      </w:r>
      <w:r>
        <w:rPr>
          <w:noProof/>
        </w:rPr>
        <w:t>698</w:t>
      </w:r>
      <w:r>
        <w:rPr>
          <w:noProof/>
        </w:rPr>
        <w:fldChar w:fldCharType="end"/>
      </w:r>
    </w:p>
    <w:p w14:paraId="2097535E" w14:textId="7C017E5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12.9.02  Winding up</w:t>
      </w:r>
      <w:r>
        <w:rPr>
          <w:noProof/>
        </w:rPr>
        <w:tab/>
      </w:r>
      <w:r>
        <w:rPr>
          <w:noProof/>
        </w:rPr>
        <w:fldChar w:fldCharType="begin"/>
      </w:r>
      <w:r>
        <w:rPr>
          <w:noProof/>
        </w:rPr>
        <w:instrText xml:space="preserve"> PAGEREF _Toc158713370 \h </w:instrText>
      </w:r>
      <w:r>
        <w:rPr>
          <w:noProof/>
        </w:rPr>
      </w:r>
      <w:r>
        <w:rPr>
          <w:noProof/>
        </w:rPr>
        <w:fldChar w:fldCharType="separate"/>
      </w:r>
      <w:r>
        <w:rPr>
          <w:noProof/>
        </w:rPr>
        <w:t>698</w:t>
      </w:r>
      <w:r>
        <w:rPr>
          <w:noProof/>
        </w:rPr>
        <w:fldChar w:fldCharType="end"/>
      </w:r>
    </w:p>
    <w:p w14:paraId="68660DFE" w14:textId="700BA1F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12.9.03  Deregistration</w:t>
      </w:r>
      <w:r>
        <w:rPr>
          <w:noProof/>
        </w:rPr>
        <w:tab/>
      </w:r>
      <w:r>
        <w:rPr>
          <w:noProof/>
        </w:rPr>
        <w:fldChar w:fldCharType="begin"/>
      </w:r>
      <w:r>
        <w:rPr>
          <w:noProof/>
        </w:rPr>
        <w:instrText xml:space="preserve"> PAGEREF _Toc158713371 \h </w:instrText>
      </w:r>
      <w:r>
        <w:rPr>
          <w:noProof/>
        </w:rPr>
      </w:r>
      <w:r>
        <w:rPr>
          <w:noProof/>
        </w:rPr>
        <w:fldChar w:fldCharType="separate"/>
      </w:r>
      <w:r>
        <w:rPr>
          <w:noProof/>
        </w:rPr>
        <w:t>698</w:t>
      </w:r>
      <w:r>
        <w:rPr>
          <w:noProof/>
        </w:rPr>
        <w:fldChar w:fldCharType="end"/>
      </w:r>
    </w:p>
    <w:p w14:paraId="2E33C91A" w14:textId="70BB955F"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Schedule 1—List of forms in Schedule 2</w:t>
      </w:r>
      <w:r>
        <w:rPr>
          <w:noProof/>
        </w:rPr>
        <w:tab/>
      </w:r>
      <w:r>
        <w:rPr>
          <w:noProof/>
        </w:rPr>
        <w:fldChar w:fldCharType="begin"/>
      </w:r>
      <w:r>
        <w:rPr>
          <w:noProof/>
        </w:rPr>
        <w:instrText xml:space="preserve"> PAGEREF _Toc158713372 \h </w:instrText>
      </w:r>
      <w:r>
        <w:rPr>
          <w:noProof/>
        </w:rPr>
      </w:r>
      <w:r>
        <w:rPr>
          <w:noProof/>
        </w:rPr>
        <w:fldChar w:fldCharType="separate"/>
      </w:r>
      <w:r>
        <w:rPr>
          <w:noProof/>
        </w:rPr>
        <w:t>699</w:t>
      </w:r>
      <w:r>
        <w:rPr>
          <w:noProof/>
        </w:rPr>
        <w:fldChar w:fldCharType="end"/>
      </w:r>
    </w:p>
    <w:p w14:paraId="13B6BFA4" w14:textId="38D825CC"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2—Forms</w:t>
      </w:r>
      <w:r>
        <w:rPr>
          <w:noProof/>
        </w:rPr>
        <w:tab/>
      </w:r>
      <w:r>
        <w:rPr>
          <w:noProof/>
        </w:rPr>
        <w:fldChar w:fldCharType="begin"/>
      </w:r>
      <w:r>
        <w:rPr>
          <w:noProof/>
        </w:rPr>
        <w:instrText xml:space="preserve"> PAGEREF _Toc158713373 \h </w:instrText>
      </w:r>
      <w:r>
        <w:rPr>
          <w:noProof/>
        </w:rPr>
      </w:r>
      <w:r>
        <w:rPr>
          <w:noProof/>
        </w:rPr>
        <w:fldChar w:fldCharType="separate"/>
      </w:r>
      <w:r>
        <w:rPr>
          <w:noProof/>
        </w:rPr>
        <w:t>702</w:t>
      </w:r>
      <w:r>
        <w:rPr>
          <w:noProof/>
        </w:rPr>
        <w:fldChar w:fldCharType="end"/>
      </w:r>
    </w:p>
    <w:p w14:paraId="64E2BE35" w14:textId="6FE1507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314</w:t>
      </w:r>
      <w:r>
        <w:rPr>
          <w:noProof/>
        </w:rPr>
        <w:tab/>
      </w:r>
      <w:r>
        <w:rPr>
          <w:noProof/>
        </w:rPr>
        <w:fldChar w:fldCharType="begin"/>
      </w:r>
      <w:r>
        <w:rPr>
          <w:noProof/>
        </w:rPr>
        <w:instrText xml:space="preserve"> PAGEREF _Toc158713374 \h </w:instrText>
      </w:r>
      <w:r>
        <w:rPr>
          <w:noProof/>
        </w:rPr>
      </w:r>
      <w:r>
        <w:rPr>
          <w:noProof/>
        </w:rPr>
        <w:fldChar w:fldCharType="separate"/>
      </w:r>
      <w:r>
        <w:rPr>
          <w:noProof/>
        </w:rPr>
        <w:t>707</w:t>
      </w:r>
      <w:r>
        <w:rPr>
          <w:noProof/>
        </w:rPr>
        <w:fldChar w:fldCharType="end"/>
      </w:r>
    </w:p>
    <w:p w14:paraId="69A7E9F8" w14:textId="03FA481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501</w:t>
      </w:r>
      <w:r>
        <w:rPr>
          <w:noProof/>
        </w:rPr>
        <w:tab/>
      </w:r>
      <w:r>
        <w:rPr>
          <w:noProof/>
        </w:rPr>
        <w:fldChar w:fldCharType="begin"/>
      </w:r>
      <w:r>
        <w:rPr>
          <w:noProof/>
        </w:rPr>
        <w:instrText xml:space="preserve"> PAGEREF _Toc158713375 \h </w:instrText>
      </w:r>
      <w:r>
        <w:rPr>
          <w:noProof/>
        </w:rPr>
      </w:r>
      <w:r>
        <w:rPr>
          <w:noProof/>
        </w:rPr>
        <w:fldChar w:fldCharType="separate"/>
      </w:r>
      <w:r>
        <w:rPr>
          <w:noProof/>
        </w:rPr>
        <w:t>709</w:t>
      </w:r>
      <w:r>
        <w:rPr>
          <w:noProof/>
        </w:rPr>
        <w:fldChar w:fldCharType="end"/>
      </w:r>
    </w:p>
    <w:p w14:paraId="69C7AC74" w14:textId="2A1ED9F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502</w:t>
      </w:r>
      <w:r>
        <w:rPr>
          <w:noProof/>
        </w:rPr>
        <w:tab/>
      </w:r>
      <w:r>
        <w:rPr>
          <w:noProof/>
        </w:rPr>
        <w:fldChar w:fldCharType="begin"/>
      </w:r>
      <w:r>
        <w:rPr>
          <w:noProof/>
        </w:rPr>
        <w:instrText xml:space="preserve"> PAGEREF _Toc158713376 \h </w:instrText>
      </w:r>
      <w:r>
        <w:rPr>
          <w:noProof/>
        </w:rPr>
      </w:r>
      <w:r>
        <w:rPr>
          <w:noProof/>
        </w:rPr>
        <w:fldChar w:fldCharType="separate"/>
      </w:r>
      <w:r>
        <w:rPr>
          <w:noProof/>
        </w:rPr>
        <w:t>711</w:t>
      </w:r>
      <w:r>
        <w:rPr>
          <w:noProof/>
        </w:rPr>
        <w:fldChar w:fldCharType="end"/>
      </w:r>
    </w:p>
    <w:p w14:paraId="2C2FC46B" w14:textId="19BCF79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503</w:t>
      </w:r>
      <w:r>
        <w:rPr>
          <w:noProof/>
        </w:rPr>
        <w:tab/>
      </w:r>
      <w:r>
        <w:rPr>
          <w:noProof/>
        </w:rPr>
        <w:fldChar w:fldCharType="begin"/>
      </w:r>
      <w:r>
        <w:rPr>
          <w:noProof/>
        </w:rPr>
        <w:instrText xml:space="preserve"> PAGEREF _Toc158713377 \h </w:instrText>
      </w:r>
      <w:r>
        <w:rPr>
          <w:noProof/>
        </w:rPr>
      </w:r>
      <w:r>
        <w:rPr>
          <w:noProof/>
        </w:rPr>
        <w:fldChar w:fldCharType="separate"/>
      </w:r>
      <w:r>
        <w:rPr>
          <w:noProof/>
        </w:rPr>
        <w:t>712</w:t>
      </w:r>
      <w:r>
        <w:rPr>
          <w:noProof/>
        </w:rPr>
        <w:fldChar w:fldCharType="end"/>
      </w:r>
    </w:p>
    <w:p w14:paraId="3F8F1463" w14:textId="4A64406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509A</w:t>
      </w:r>
      <w:r>
        <w:rPr>
          <w:noProof/>
        </w:rPr>
        <w:tab/>
      </w:r>
      <w:r>
        <w:rPr>
          <w:noProof/>
        </w:rPr>
        <w:fldChar w:fldCharType="begin"/>
      </w:r>
      <w:r>
        <w:rPr>
          <w:noProof/>
        </w:rPr>
        <w:instrText xml:space="preserve"> PAGEREF _Toc158713378 \h </w:instrText>
      </w:r>
      <w:r>
        <w:rPr>
          <w:noProof/>
        </w:rPr>
      </w:r>
      <w:r>
        <w:rPr>
          <w:noProof/>
        </w:rPr>
        <w:fldChar w:fldCharType="separate"/>
      </w:r>
      <w:r>
        <w:rPr>
          <w:noProof/>
        </w:rPr>
        <w:t>713</w:t>
      </w:r>
      <w:r>
        <w:rPr>
          <w:noProof/>
        </w:rPr>
        <w:fldChar w:fldCharType="end"/>
      </w:r>
    </w:p>
    <w:p w14:paraId="6F0DF9CC" w14:textId="7C4A390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509B</w:t>
      </w:r>
      <w:r>
        <w:rPr>
          <w:noProof/>
        </w:rPr>
        <w:tab/>
      </w:r>
      <w:r>
        <w:rPr>
          <w:noProof/>
        </w:rPr>
        <w:fldChar w:fldCharType="begin"/>
      </w:r>
      <w:r>
        <w:rPr>
          <w:noProof/>
        </w:rPr>
        <w:instrText xml:space="preserve"> PAGEREF _Toc158713379 \h </w:instrText>
      </w:r>
      <w:r>
        <w:rPr>
          <w:noProof/>
        </w:rPr>
      </w:r>
      <w:r>
        <w:rPr>
          <w:noProof/>
        </w:rPr>
        <w:fldChar w:fldCharType="separate"/>
      </w:r>
      <w:r>
        <w:rPr>
          <w:noProof/>
        </w:rPr>
        <w:t>714</w:t>
      </w:r>
      <w:r>
        <w:rPr>
          <w:noProof/>
        </w:rPr>
        <w:fldChar w:fldCharType="end"/>
      </w:r>
    </w:p>
    <w:p w14:paraId="0634ED2A" w14:textId="237B644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509E</w:t>
      </w:r>
      <w:r>
        <w:rPr>
          <w:noProof/>
        </w:rPr>
        <w:tab/>
      </w:r>
      <w:r>
        <w:rPr>
          <w:noProof/>
        </w:rPr>
        <w:fldChar w:fldCharType="begin"/>
      </w:r>
      <w:r>
        <w:rPr>
          <w:noProof/>
        </w:rPr>
        <w:instrText xml:space="preserve"> PAGEREF _Toc158713380 \h </w:instrText>
      </w:r>
      <w:r>
        <w:rPr>
          <w:noProof/>
        </w:rPr>
      </w:r>
      <w:r>
        <w:rPr>
          <w:noProof/>
        </w:rPr>
        <w:fldChar w:fldCharType="separate"/>
      </w:r>
      <w:r>
        <w:rPr>
          <w:noProof/>
        </w:rPr>
        <w:t>715</w:t>
      </w:r>
      <w:r>
        <w:rPr>
          <w:noProof/>
        </w:rPr>
        <w:fldChar w:fldCharType="end"/>
      </w:r>
    </w:p>
    <w:p w14:paraId="377B2705" w14:textId="512CC59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509H</w:t>
      </w:r>
      <w:r>
        <w:rPr>
          <w:noProof/>
        </w:rPr>
        <w:tab/>
      </w:r>
      <w:r>
        <w:rPr>
          <w:noProof/>
        </w:rPr>
        <w:fldChar w:fldCharType="begin"/>
      </w:r>
      <w:r>
        <w:rPr>
          <w:noProof/>
        </w:rPr>
        <w:instrText xml:space="preserve"> PAGEREF _Toc158713381 \h </w:instrText>
      </w:r>
      <w:r>
        <w:rPr>
          <w:noProof/>
        </w:rPr>
      </w:r>
      <w:r>
        <w:rPr>
          <w:noProof/>
        </w:rPr>
        <w:fldChar w:fldCharType="separate"/>
      </w:r>
      <w:r>
        <w:rPr>
          <w:noProof/>
        </w:rPr>
        <w:t>716</w:t>
      </w:r>
      <w:r>
        <w:rPr>
          <w:noProof/>
        </w:rPr>
        <w:fldChar w:fldCharType="end"/>
      </w:r>
    </w:p>
    <w:p w14:paraId="0A94BE97" w14:textId="2633010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527</w:t>
      </w:r>
      <w:r>
        <w:rPr>
          <w:noProof/>
        </w:rPr>
        <w:tab/>
      </w:r>
      <w:r>
        <w:rPr>
          <w:noProof/>
        </w:rPr>
        <w:fldChar w:fldCharType="begin"/>
      </w:r>
      <w:r>
        <w:rPr>
          <w:noProof/>
        </w:rPr>
        <w:instrText xml:space="preserve"> PAGEREF _Toc158713382 \h </w:instrText>
      </w:r>
      <w:r>
        <w:rPr>
          <w:noProof/>
        </w:rPr>
      </w:r>
      <w:r>
        <w:rPr>
          <w:noProof/>
        </w:rPr>
        <w:fldChar w:fldCharType="separate"/>
      </w:r>
      <w:r>
        <w:rPr>
          <w:noProof/>
        </w:rPr>
        <w:t>720</w:t>
      </w:r>
      <w:r>
        <w:rPr>
          <w:noProof/>
        </w:rPr>
        <w:fldChar w:fldCharType="end"/>
      </w:r>
    </w:p>
    <w:p w14:paraId="07605D2F" w14:textId="5720722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535</w:t>
      </w:r>
      <w:r>
        <w:rPr>
          <w:noProof/>
        </w:rPr>
        <w:tab/>
      </w:r>
      <w:r>
        <w:rPr>
          <w:noProof/>
        </w:rPr>
        <w:fldChar w:fldCharType="begin"/>
      </w:r>
      <w:r>
        <w:rPr>
          <w:noProof/>
        </w:rPr>
        <w:instrText xml:space="preserve"> PAGEREF _Toc158713383 \h </w:instrText>
      </w:r>
      <w:r>
        <w:rPr>
          <w:noProof/>
        </w:rPr>
      </w:r>
      <w:r>
        <w:rPr>
          <w:noProof/>
        </w:rPr>
        <w:fldChar w:fldCharType="separate"/>
      </w:r>
      <w:r>
        <w:rPr>
          <w:noProof/>
        </w:rPr>
        <w:t>723</w:t>
      </w:r>
      <w:r>
        <w:rPr>
          <w:noProof/>
        </w:rPr>
        <w:fldChar w:fldCharType="end"/>
      </w:r>
    </w:p>
    <w:p w14:paraId="16E37BA4" w14:textId="40D330C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536</w:t>
      </w:r>
      <w:r>
        <w:rPr>
          <w:noProof/>
        </w:rPr>
        <w:tab/>
      </w:r>
      <w:r>
        <w:rPr>
          <w:noProof/>
        </w:rPr>
        <w:fldChar w:fldCharType="begin"/>
      </w:r>
      <w:r>
        <w:rPr>
          <w:noProof/>
        </w:rPr>
        <w:instrText xml:space="preserve"> PAGEREF _Toc158713384 \h </w:instrText>
      </w:r>
      <w:r>
        <w:rPr>
          <w:noProof/>
        </w:rPr>
      </w:r>
      <w:r>
        <w:rPr>
          <w:noProof/>
        </w:rPr>
        <w:fldChar w:fldCharType="separate"/>
      </w:r>
      <w:r>
        <w:rPr>
          <w:noProof/>
        </w:rPr>
        <w:t>725</w:t>
      </w:r>
      <w:r>
        <w:rPr>
          <w:noProof/>
        </w:rPr>
        <w:fldChar w:fldCharType="end"/>
      </w:r>
    </w:p>
    <w:p w14:paraId="300AF275" w14:textId="59C7351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537</w:t>
      </w:r>
      <w:r>
        <w:rPr>
          <w:noProof/>
        </w:rPr>
        <w:tab/>
      </w:r>
      <w:r>
        <w:rPr>
          <w:noProof/>
        </w:rPr>
        <w:fldChar w:fldCharType="begin"/>
      </w:r>
      <w:r>
        <w:rPr>
          <w:noProof/>
        </w:rPr>
        <w:instrText xml:space="preserve"> PAGEREF _Toc158713385 \h </w:instrText>
      </w:r>
      <w:r>
        <w:rPr>
          <w:noProof/>
        </w:rPr>
      </w:r>
      <w:r>
        <w:rPr>
          <w:noProof/>
        </w:rPr>
        <w:fldChar w:fldCharType="separate"/>
      </w:r>
      <w:r>
        <w:rPr>
          <w:noProof/>
        </w:rPr>
        <w:t>726</w:t>
      </w:r>
      <w:r>
        <w:rPr>
          <w:noProof/>
        </w:rPr>
        <w:fldChar w:fldCharType="end"/>
      </w:r>
    </w:p>
    <w:p w14:paraId="2F044EF7" w14:textId="41BB2DA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538</w:t>
      </w:r>
      <w:r>
        <w:rPr>
          <w:noProof/>
        </w:rPr>
        <w:tab/>
      </w:r>
      <w:r>
        <w:rPr>
          <w:noProof/>
        </w:rPr>
        <w:fldChar w:fldCharType="begin"/>
      </w:r>
      <w:r>
        <w:rPr>
          <w:noProof/>
        </w:rPr>
        <w:instrText xml:space="preserve"> PAGEREF _Toc158713386 \h </w:instrText>
      </w:r>
      <w:r>
        <w:rPr>
          <w:noProof/>
        </w:rPr>
      </w:r>
      <w:r>
        <w:rPr>
          <w:noProof/>
        </w:rPr>
        <w:fldChar w:fldCharType="separate"/>
      </w:r>
      <w:r>
        <w:rPr>
          <w:noProof/>
        </w:rPr>
        <w:t>727</w:t>
      </w:r>
      <w:r>
        <w:rPr>
          <w:noProof/>
        </w:rPr>
        <w:fldChar w:fldCharType="end"/>
      </w:r>
    </w:p>
    <w:p w14:paraId="5356391D" w14:textId="7CC1D4A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539</w:t>
      </w:r>
      <w:r>
        <w:rPr>
          <w:noProof/>
        </w:rPr>
        <w:tab/>
      </w:r>
      <w:r>
        <w:rPr>
          <w:noProof/>
        </w:rPr>
        <w:fldChar w:fldCharType="begin"/>
      </w:r>
      <w:r>
        <w:rPr>
          <w:noProof/>
        </w:rPr>
        <w:instrText xml:space="preserve"> PAGEREF _Toc158713387 \h </w:instrText>
      </w:r>
      <w:r>
        <w:rPr>
          <w:noProof/>
        </w:rPr>
      </w:r>
      <w:r>
        <w:rPr>
          <w:noProof/>
        </w:rPr>
        <w:fldChar w:fldCharType="separate"/>
      </w:r>
      <w:r>
        <w:rPr>
          <w:noProof/>
        </w:rPr>
        <w:t>728</w:t>
      </w:r>
      <w:r>
        <w:rPr>
          <w:noProof/>
        </w:rPr>
        <w:fldChar w:fldCharType="end"/>
      </w:r>
    </w:p>
    <w:p w14:paraId="2DD9F024" w14:textId="2D192BF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541</w:t>
      </w:r>
      <w:r>
        <w:rPr>
          <w:noProof/>
        </w:rPr>
        <w:tab/>
      </w:r>
      <w:r>
        <w:rPr>
          <w:noProof/>
        </w:rPr>
        <w:fldChar w:fldCharType="begin"/>
      </w:r>
      <w:r>
        <w:rPr>
          <w:noProof/>
        </w:rPr>
        <w:instrText xml:space="preserve"> PAGEREF _Toc158713388 \h </w:instrText>
      </w:r>
      <w:r>
        <w:rPr>
          <w:noProof/>
        </w:rPr>
      </w:r>
      <w:r>
        <w:rPr>
          <w:noProof/>
        </w:rPr>
        <w:fldChar w:fldCharType="separate"/>
      </w:r>
      <w:r>
        <w:rPr>
          <w:noProof/>
        </w:rPr>
        <w:t>729</w:t>
      </w:r>
      <w:r>
        <w:rPr>
          <w:noProof/>
        </w:rPr>
        <w:fldChar w:fldCharType="end"/>
      </w:r>
    </w:p>
    <w:p w14:paraId="1CDE706B" w14:textId="3088209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542</w:t>
      </w:r>
      <w:r>
        <w:rPr>
          <w:noProof/>
        </w:rPr>
        <w:tab/>
      </w:r>
      <w:r>
        <w:rPr>
          <w:noProof/>
        </w:rPr>
        <w:fldChar w:fldCharType="begin"/>
      </w:r>
      <w:r>
        <w:rPr>
          <w:noProof/>
        </w:rPr>
        <w:instrText xml:space="preserve"> PAGEREF _Toc158713389 \h </w:instrText>
      </w:r>
      <w:r>
        <w:rPr>
          <w:noProof/>
        </w:rPr>
      </w:r>
      <w:r>
        <w:rPr>
          <w:noProof/>
        </w:rPr>
        <w:fldChar w:fldCharType="separate"/>
      </w:r>
      <w:r>
        <w:rPr>
          <w:noProof/>
        </w:rPr>
        <w:t>731</w:t>
      </w:r>
      <w:r>
        <w:rPr>
          <w:noProof/>
        </w:rPr>
        <w:fldChar w:fldCharType="end"/>
      </w:r>
    </w:p>
    <w:p w14:paraId="1C8B7C75" w14:textId="35740B3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543</w:t>
      </w:r>
      <w:r>
        <w:rPr>
          <w:noProof/>
        </w:rPr>
        <w:tab/>
      </w:r>
      <w:r>
        <w:rPr>
          <w:noProof/>
        </w:rPr>
        <w:fldChar w:fldCharType="begin"/>
      </w:r>
      <w:r>
        <w:rPr>
          <w:noProof/>
        </w:rPr>
        <w:instrText xml:space="preserve"> PAGEREF _Toc158713390 \h </w:instrText>
      </w:r>
      <w:r>
        <w:rPr>
          <w:noProof/>
        </w:rPr>
      </w:r>
      <w:r>
        <w:rPr>
          <w:noProof/>
        </w:rPr>
        <w:fldChar w:fldCharType="separate"/>
      </w:r>
      <w:r>
        <w:rPr>
          <w:noProof/>
        </w:rPr>
        <w:t>732</w:t>
      </w:r>
      <w:r>
        <w:rPr>
          <w:noProof/>
        </w:rPr>
        <w:fldChar w:fldCharType="end"/>
      </w:r>
    </w:p>
    <w:p w14:paraId="2E326833" w14:textId="68BFF65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544</w:t>
      </w:r>
      <w:r>
        <w:rPr>
          <w:noProof/>
        </w:rPr>
        <w:tab/>
      </w:r>
      <w:r>
        <w:rPr>
          <w:noProof/>
        </w:rPr>
        <w:fldChar w:fldCharType="begin"/>
      </w:r>
      <w:r>
        <w:rPr>
          <w:noProof/>
        </w:rPr>
        <w:instrText xml:space="preserve"> PAGEREF _Toc158713391 \h </w:instrText>
      </w:r>
      <w:r>
        <w:rPr>
          <w:noProof/>
        </w:rPr>
      </w:r>
      <w:r>
        <w:rPr>
          <w:noProof/>
        </w:rPr>
        <w:fldChar w:fldCharType="separate"/>
      </w:r>
      <w:r>
        <w:rPr>
          <w:noProof/>
        </w:rPr>
        <w:t>733</w:t>
      </w:r>
      <w:r>
        <w:rPr>
          <w:noProof/>
        </w:rPr>
        <w:fldChar w:fldCharType="end"/>
      </w:r>
    </w:p>
    <w:p w14:paraId="5ED4423E" w14:textId="12AD3A6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547</w:t>
      </w:r>
      <w:r>
        <w:rPr>
          <w:noProof/>
        </w:rPr>
        <w:tab/>
      </w:r>
      <w:r>
        <w:rPr>
          <w:noProof/>
        </w:rPr>
        <w:fldChar w:fldCharType="begin"/>
      </w:r>
      <w:r>
        <w:rPr>
          <w:noProof/>
        </w:rPr>
        <w:instrText xml:space="preserve"> PAGEREF _Toc158713392 \h </w:instrText>
      </w:r>
      <w:r>
        <w:rPr>
          <w:noProof/>
        </w:rPr>
      </w:r>
      <w:r>
        <w:rPr>
          <w:noProof/>
        </w:rPr>
        <w:fldChar w:fldCharType="separate"/>
      </w:r>
      <w:r>
        <w:rPr>
          <w:noProof/>
        </w:rPr>
        <w:t>734</w:t>
      </w:r>
      <w:r>
        <w:rPr>
          <w:noProof/>
        </w:rPr>
        <w:fldChar w:fldCharType="end"/>
      </w:r>
    </w:p>
    <w:p w14:paraId="0FFE3CF0" w14:textId="7D940DD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548</w:t>
      </w:r>
      <w:r>
        <w:rPr>
          <w:noProof/>
        </w:rPr>
        <w:tab/>
      </w:r>
      <w:r>
        <w:rPr>
          <w:noProof/>
        </w:rPr>
        <w:fldChar w:fldCharType="begin"/>
      </w:r>
      <w:r>
        <w:rPr>
          <w:noProof/>
        </w:rPr>
        <w:instrText xml:space="preserve"> PAGEREF _Toc158713393 \h </w:instrText>
      </w:r>
      <w:r>
        <w:rPr>
          <w:noProof/>
        </w:rPr>
      </w:r>
      <w:r>
        <w:rPr>
          <w:noProof/>
        </w:rPr>
        <w:fldChar w:fldCharType="separate"/>
      </w:r>
      <w:r>
        <w:rPr>
          <w:noProof/>
        </w:rPr>
        <w:t>735</w:t>
      </w:r>
      <w:r>
        <w:rPr>
          <w:noProof/>
        </w:rPr>
        <w:fldChar w:fldCharType="end"/>
      </w:r>
    </w:p>
    <w:p w14:paraId="277472B2" w14:textId="5DAC2B1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549</w:t>
      </w:r>
      <w:r>
        <w:rPr>
          <w:noProof/>
        </w:rPr>
        <w:tab/>
      </w:r>
      <w:r>
        <w:rPr>
          <w:noProof/>
        </w:rPr>
        <w:fldChar w:fldCharType="begin"/>
      </w:r>
      <w:r>
        <w:rPr>
          <w:noProof/>
        </w:rPr>
        <w:instrText xml:space="preserve"> PAGEREF _Toc158713394 \h </w:instrText>
      </w:r>
      <w:r>
        <w:rPr>
          <w:noProof/>
        </w:rPr>
      </w:r>
      <w:r>
        <w:rPr>
          <w:noProof/>
        </w:rPr>
        <w:fldChar w:fldCharType="separate"/>
      </w:r>
      <w:r>
        <w:rPr>
          <w:noProof/>
        </w:rPr>
        <w:t>736</w:t>
      </w:r>
      <w:r>
        <w:rPr>
          <w:noProof/>
        </w:rPr>
        <w:fldChar w:fldCharType="end"/>
      </w:r>
    </w:p>
    <w:p w14:paraId="3960D049" w14:textId="69C3016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550</w:t>
      </w:r>
      <w:r>
        <w:rPr>
          <w:noProof/>
        </w:rPr>
        <w:tab/>
      </w:r>
      <w:r>
        <w:rPr>
          <w:noProof/>
        </w:rPr>
        <w:fldChar w:fldCharType="begin"/>
      </w:r>
      <w:r>
        <w:rPr>
          <w:noProof/>
        </w:rPr>
        <w:instrText xml:space="preserve"> PAGEREF _Toc158713395 \h </w:instrText>
      </w:r>
      <w:r>
        <w:rPr>
          <w:noProof/>
        </w:rPr>
      </w:r>
      <w:r>
        <w:rPr>
          <w:noProof/>
        </w:rPr>
        <w:fldChar w:fldCharType="separate"/>
      </w:r>
      <w:r>
        <w:rPr>
          <w:noProof/>
        </w:rPr>
        <w:t>737</w:t>
      </w:r>
      <w:r>
        <w:rPr>
          <w:noProof/>
        </w:rPr>
        <w:fldChar w:fldCharType="end"/>
      </w:r>
    </w:p>
    <w:p w14:paraId="52234E25" w14:textId="2C09974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551</w:t>
      </w:r>
      <w:r>
        <w:rPr>
          <w:noProof/>
        </w:rPr>
        <w:tab/>
      </w:r>
      <w:r>
        <w:rPr>
          <w:noProof/>
        </w:rPr>
        <w:fldChar w:fldCharType="begin"/>
      </w:r>
      <w:r>
        <w:rPr>
          <w:noProof/>
        </w:rPr>
        <w:instrText xml:space="preserve"> PAGEREF _Toc158713396 \h </w:instrText>
      </w:r>
      <w:r>
        <w:rPr>
          <w:noProof/>
        </w:rPr>
      </w:r>
      <w:r>
        <w:rPr>
          <w:noProof/>
        </w:rPr>
        <w:fldChar w:fldCharType="separate"/>
      </w:r>
      <w:r>
        <w:rPr>
          <w:noProof/>
        </w:rPr>
        <w:t>738</w:t>
      </w:r>
      <w:r>
        <w:rPr>
          <w:noProof/>
        </w:rPr>
        <w:fldChar w:fldCharType="end"/>
      </w:r>
    </w:p>
    <w:p w14:paraId="2F79C22D" w14:textId="10C6DAB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552</w:t>
      </w:r>
      <w:r>
        <w:rPr>
          <w:noProof/>
        </w:rPr>
        <w:tab/>
      </w:r>
      <w:r>
        <w:rPr>
          <w:noProof/>
        </w:rPr>
        <w:fldChar w:fldCharType="begin"/>
      </w:r>
      <w:r>
        <w:rPr>
          <w:noProof/>
        </w:rPr>
        <w:instrText xml:space="preserve"> PAGEREF _Toc158713397 \h </w:instrText>
      </w:r>
      <w:r>
        <w:rPr>
          <w:noProof/>
        </w:rPr>
      </w:r>
      <w:r>
        <w:rPr>
          <w:noProof/>
        </w:rPr>
        <w:fldChar w:fldCharType="separate"/>
      </w:r>
      <w:r>
        <w:rPr>
          <w:noProof/>
        </w:rPr>
        <w:t>739</w:t>
      </w:r>
      <w:r>
        <w:rPr>
          <w:noProof/>
        </w:rPr>
        <w:fldChar w:fldCharType="end"/>
      </w:r>
    </w:p>
    <w:p w14:paraId="6D1AFEED" w14:textId="581078D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553</w:t>
      </w:r>
      <w:r>
        <w:rPr>
          <w:noProof/>
        </w:rPr>
        <w:tab/>
      </w:r>
      <w:r>
        <w:rPr>
          <w:noProof/>
        </w:rPr>
        <w:fldChar w:fldCharType="begin"/>
      </w:r>
      <w:r>
        <w:rPr>
          <w:noProof/>
        </w:rPr>
        <w:instrText xml:space="preserve"> PAGEREF _Toc158713398 \h </w:instrText>
      </w:r>
      <w:r>
        <w:rPr>
          <w:noProof/>
        </w:rPr>
      </w:r>
      <w:r>
        <w:rPr>
          <w:noProof/>
        </w:rPr>
        <w:fldChar w:fldCharType="separate"/>
      </w:r>
      <w:r>
        <w:rPr>
          <w:noProof/>
        </w:rPr>
        <w:t>740</w:t>
      </w:r>
      <w:r>
        <w:rPr>
          <w:noProof/>
        </w:rPr>
        <w:fldChar w:fldCharType="end"/>
      </w:r>
    </w:p>
    <w:p w14:paraId="3FB2CE59" w14:textId="31AB9B0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701</w:t>
      </w:r>
      <w:r>
        <w:rPr>
          <w:noProof/>
        </w:rPr>
        <w:tab/>
      </w:r>
      <w:r>
        <w:rPr>
          <w:noProof/>
        </w:rPr>
        <w:fldChar w:fldCharType="begin"/>
      </w:r>
      <w:r>
        <w:rPr>
          <w:noProof/>
        </w:rPr>
        <w:instrText xml:space="preserve"> PAGEREF _Toc158713399 \h </w:instrText>
      </w:r>
      <w:r>
        <w:rPr>
          <w:noProof/>
        </w:rPr>
      </w:r>
      <w:r>
        <w:rPr>
          <w:noProof/>
        </w:rPr>
        <w:fldChar w:fldCharType="separate"/>
      </w:r>
      <w:r>
        <w:rPr>
          <w:noProof/>
        </w:rPr>
        <w:t>741</w:t>
      </w:r>
      <w:r>
        <w:rPr>
          <w:noProof/>
        </w:rPr>
        <w:fldChar w:fldCharType="end"/>
      </w:r>
    </w:p>
    <w:p w14:paraId="49A2F6BC" w14:textId="1C9AD63E" w:rsidR="00D779FE" w:rsidRDefault="00D779FE">
      <w:pPr>
        <w:pStyle w:val="TOC2"/>
        <w:rPr>
          <w:rFonts w:asciiTheme="minorHAnsi" w:eastAsiaTheme="minorEastAsia" w:hAnsiTheme="minorHAnsi" w:cstheme="minorBidi"/>
          <w:b w:val="0"/>
          <w:noProof/>
          <w:kern w:val="2"/>
          <w:sz w:val="22"/>
          <w:szCs w:val="22"/>
          <w14:ligatures w14:val="standardContextual"/>
        </w:rPr>
      </w:pPr>
      <w:r w:rsidRPr="00FC743A">
        <w:rPr>
          <w:rFonts w:eastAsia="Calibri"/>
          <w:noProof/>
        </w:rPr>
        <w:t>Form 586</w:t>
      </w:r>
      <w:r>
        <w:rPr>
          <w:noProof/>
        </w:rPr>
        <w:tab/>
      </w:r>
      <w:r>
        <w:rPr>
          <w:noProof/>
        </w:rPr>
        <w:fldChar w:fldCharType="begin"/>
      </w:r>
      <w:r>
        <w:rPr>
          <w:noProof/>
        </w:rPr>
        <w:instrText xml:space="preserve"> PAGEREF _Toc158713400 \h </w:instrText>
      </w:r>
      <w:r>
        <w:rPr>
          <w:noProof/>
        </w:rPr>
      </w:r>
      <w:r>
        <w:rPr>
          <w:noProof/>
        </w:rPr>
        <w:fldChar w:fldCharType="separate"/>
      </w:r>
      <w:r>
        <w:rPr>
          <w:noProof/>
        </w:rPr>
        <w:t>747</w:t>
      </w:r>
      <w:r>
        <w:rPr>
          <w:noProof/>
        </w:rPr>
        <w:fldChar w:fldCharType="end"/>
      </w:r>
    </w:p>
    <w:p w14:paraId="0BE0724D" w14:textId="22D86EC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587</w:t>
      </w:r>
      <w:r>
        <w:rPr>
          <w:noProof/>
        </w:rPr>
        <w:tab/>
      </w:r>
      <w:r>
        <w:rPr>
          <w:noProof/>
        </w:rPr>
        <w:fldChar w:fldCharType="begin"/>
      </w:r>
      <w:r>
        <w:rPr>
          <w:noProof/>
        </w:rPr>
        <w:instrText xml:space="preserve"> PAGEREF _Toc158713401 \h </w:instrText>
      </w:r>
      <w:r>
        <w:rPr>
          <w:noProof/>
        </w:rPr>
      </w:r>
      <w:r>
        <w:rPr>
          <w:noProof/>
        </w:rPr>
        <w:fldChar w:fldCharType="separate"/>
      </w:r>
      <w:r>
        <w:rPr>
          <w:noProof/>
        </w:rPr>
        <w:t>750</w:t>
      </w:r>
      <w:r>
        <w:rPr>
          <w:noProof/>
        </w:rPr>
        <w:fldChar w:fldCharType="end"/>
      </w:r>
    </w:p>
    <w:p w14:paraId="3C8DABF2" w14:textId="68B65AF4" w:rsidR="00D779FE" w:rsidRDefault="00D779FE">
      <w:pPr>
        <w:pStyle w:val="TOC2"/>
        <w:rPr>
          <w:rFonts w:asciiTheme="minorHAnsi" w:eastAsiaTheme="minorEastAsia" w:hAnsiTheme="minorHAnsi" w:cstheme="minorBidi"/>
          <w:b w:val="0"/>
          <w:noProof/>
          <w:kern w:val="2"/>
          <w:sz w:val="22"/>
          <w:szCs w:val="22"/>
          <w14:ligatures w14:val="standardContextual"/>
        </w:rPr>
      </w:pPr>
      <w:r w:rsidRPr="00FC743A">
        <w:rPr>
          <w:rFonts w:eastAsia="Calibri"/>
          <w:noProof/>
        </w:rPr>
        <w:t>Form 588</w:t>
      </w:r>
      <w:r>
        <w:rPr>
          <w:noProof/>
        </w:rPr>
        <w:tab/>
      </w:r>
      <w:r>
        <w:rPr>
          <w:noProof/>
        </w:rPr>
        <w:fldChar w:fldCharType="begin"/>
      </w:r>
      <w:r>
        <w:rPr>
          <w:noProof/>
        </w:rPr>
        <w:instrText xml:space="preserve"> PAGEREF _Toc158713402 \h </w:instrText>
      </w:r>
      <w:r>
        <w:rPr>
          <w:noProof/>
        </w:rPr>
      </w:r>
      <w:r>
        <w:rPr>
          <w:noProof/>
        </w:rPr>
        <w:fldChar w:fldCharType="separate"/>
      </w:r>
      <w:r>
        <w:rPr>
          <w:noProof/>
        </w:rPr>
        <w:t>751</w:t>
      </w:r>
      <w:r>
        <w:rPr>
          <w:noProof/>
        </w:rPr>
        <w:fldChar w:fldCharType="end"/>
      </w:r>
    </w:p>
    <w:p w14:paraId="220A30B1" w14:textId="391AF03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589</w:t>
      </w:r>
      <w:r>
        <w:rPr>
          <w:noProof/>
        </w:rPr>
        <w:tab/>
      </w:r>
      <w:r>
        <w:rPr>
          <w:noProof/>
        </w:rPr>
        <w:fldChar w:fldCharType="begin"/>
      </w:r>
      <w:r>
        <w:rPr>
          <w:noProof/>
        </w:rPr>
        <w:instrText xml:space="preserve"> PAGEREF _Toc158713403 \h </w:instrText>
      </w:r>
      <w:r>
        <w:rPr>
          <w:noProof/>
        </w:rPr>
      </w:r>
      <w:r>
        <w:rPr>
          <w:noProof/>
        </w:rPr>
        <w:fldChar w:fldCharType="separate"/>
      </w:r>
      <w:r>
        <w:rPr>
          <w:noProof/>
        </w:rPr>
        <w:t>754</w:t>
      </w:r>
      <w:r>
        <w:rPr>
          <w:noProof/>
        </w:rPr>
        <w:fldChar w:fldCharType="end"/>
      </w:r>
    </w:p>
    <w:p w14:paraId="7BFABE9A" w14:textId="26D6D47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719</w:t>
      </w:r>
      <w:r>
        <w:rPr>
          <w:noProof/>
        </w:rPr>
        <w:tab/>
      </w:r>
      <w:r>
        <w:rPr>
          <w:noProof/>
        </w:rPr>
        <w:fldChar w:fldCharType="begin"/>
      </w:r>
      <w:r>
        <w:rPr>
          <w:noProof/>
        </w:rPr>
        <w:instrText xml:space="preserve"> PAGEREF _Toc158713404 \h </w:instrText>
      </w:r>
      <w:r>
        <w:rPr>
          <w:noProof/>
        </w:rPr>
      </w:r>
      <w:r>
        <w:rPr>
          <w:noProof/>
        </w:rPr>
        <w:fldChar w:fldCharType="separate"/>
      </w:r>
      <w:r>
        <w:rPr>
          <w:noProof/>
        </w:rPr>
        <w:t>766</w:t>
      </w:r>
      <w:r>
        <w:rPr>
          <w:noProof/>
        </w:rPr>
        <w:fldChar w:fldCharType="end"/>
      </w:r>
    </w:p>
    <w:p w14:paraId="5D6F2503" w14:textId="6DBDCB6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719A</w:t>
      </w:r>
      <w:r>
        <w:rPr>
          <w:noProof/>
        </w:rPr>
        <w:tab/>
      </w:r>
      <w:r>
        <w:rPr>
          <w:noProof/>
        </w:rPr>
        <w:fldChar w:fldCharType="begin"/>
      </w:r>
      <w:r>
        <w:rPr>
          <w:noProof/>
        </w:rPr>
        <w:instrText xml:space="preserve"> PAGEREF _Toc158713405 \h </w:instrText>
      </w:r>
      <w:r>
        <w:rPr>
          <w:noProof/>
        </w:rPr>
      </w:r>
      <w:r>
        <w:rPr>
          <w:noProof/>
        </w:rPr>
        <w:fldChar w:fldCharType="separate"/>
      </w:r>
      <w:r>
        <w:rPr>
          <w:noProof/>
        </w:rPr>
        <w:t>767</w:t>
      </w:r>
      <w:r>
        <w:rPr>
          <w:noProof/>
        </w:rPr>
        <w:fldChar w:fldCharType="end"/>
      </w:r>
    </w:p>
    <w:p w14:paraId="0BEBC2BA" w14:textId="1D5D06A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719B</w:t>
      </w:r>
      <w:r>
        <w:rPr>
          <w:noProof/>
        </w:rPr>
        <w:tab/>
      </w:r>
      <w:r>
        <w:rPr>
          <w:noProof/>
        </w:rPr>
        <w:fldChar w:fldCharType="begin"/>
      </w:r>
      <w:r>
        <w:rPr>
          <w:noProof/>
        </w:rPr>
        <w:instrText xml:space="preserve"> PAGEREF _Toc158713406 \h </w:instrText>
      </w:r>
      <w:r>
        <w:rPr>
          <w:noProof/>
        </w:rPr>
      </w:r>
      <w:r>
        <w:rPr>
          <w:noProof/>
        </w:rPr>
        <w:fldChar w:fldCharType="separate"/>
      </w:r>
      <w:r>
        <w:rPr>
          <w:noProof/>
        </w:rPr>
        <w:t>768</w:t>
      </w:r>
      <w:r>
        <w:rPr>
          <w:noProof/>
        </w:rPr>
        <w:fldChar w:fldCharType="end"/>
      </w:r>
    </w:p>
    <w:p w14:paraId="6E9A1CDA" w14:textId="64AB4B4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720</w:t>
      </w:r>
      <w:r>
        <w:rPr>
          <w:noProof/>
        </w:rPr>
        <w:tab/>
      </w:r>
      <w:r>
        <w:rPr>
          <w:noProof/>
        </w:rPr>
        <w:fldChar w:fldCharType="begin"/>
      </w:r>
      <w:r>
        <w:rPr>
          <w:noProof/>
        </w:rPr>
        <w:instrText xml:space="preserve"> PAGEREF _Toc158713407 \h </w:instrText>
      </w:r>
      <w:r>
        <w:rPr>
          <w:noProof/>
        </w:rPr>
      </w:r>
      <w:r>
        <w:rPr>
          <w:noProof/>
        </w:rPr>
        <w:fldChar w:fldCharType="separate"/>
      </w:r>
      <w:r>
        <w:rPr>
          <w:noProof/>
        </w:rPr>
        <w:t>769</w:t>
      </w:r>
      <w:r>
        <w:rPr>
          <w:noProof/>
        </w:rPr>
        <w:fldChar w:fldCharType="end"/>
      </w:r>
    </w:p>
    <w:p w14:paraId="2951DBBF" w14:textId="266B5F5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721</w:t>
      </w:r>
      <w:r>
        <w:rPr>
          <w:noProof/>
        </w:rPr>
        <w:tab/>
      </w:r>
      <w:r>
        <w:rPr>
          <w:noProof/>
        </w:rPr>
        <w:fldChar w:fldCharType="begin"/>
      </w:r>
      <w:r>
        <w:rPr>
          <w:noProof/>
        </w:rPr>
        <w:instrText xml:space="preserve"> PAGEREF _Toc158713408 \h </w:instrText>
      </w:r>
      <w:r>
        <w:rPr>
          <w:noProof/>
        </w:rPr>
      </w:r>
      <w:r>
        <w:rPr>
          <w:noProof/>
        </w:rPr>
        <w:fldChar w:fldCharType="separate"/>
      </w:r>
      <w:r>
        <w:rPr>
          <w:noProof/>
        </w:rPr>
        <w:t>770</w:t>
      </w:r>
      <w:r>
        <w:rPr>
          <w:noProof/>
        </w:rPr>
        <w:fldChar w:fldCharType="end"/>
      </w:r>
    </w:p>
    <w:p w14:paraId="4467EE4D" w14:textId="278913D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905</w:t>
      </w:r>
      <w:r>
        <w:rPr>
          <w:noProof/>
        </w:rPr>
        <w:tab/>
      </w:r>
      <w:r>
        <w:rPr>
          <w:noProof/>
        </w:rPr>
        <w:fldChar w:fldCharType="begin"/>
      </w:r>
      <w:r>
        <w:rPr>
          <w:noProof/>
        </w:rPr>
        <w:instrText xml:space="preserve"> PAGEREF _Toc158713409 \h </w:instrText>
      </w:r>
      <w:r>
        <w:rPr>
          <w:noProof/>
        </w:rPr>
      </w:r>
      <w:r>
        <w:rPr>
          <w:noProof/>
        </w:rPr>
        <w:fldChar w:fldCharType="separate"/>
      </w:r>
      <w:r>
        <w:rPr>
          <w:noProof/>
        </w:rPr>
        <w:t>771</w:t>
      </w:r>
      <w:r>
        <w:rPr>
          <w:noProof/>
        </w:rPr>
        <w:fldChar w:fldCharType="end"/>
      </w:r>
    </w:p>
    <w:p w14:paraId="622DD77D" w14:textId="0476D363"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2A</w:t>
      </w:r>
      <w:r w:rsidRPr="00FC743A">
        <w:rPr>
          <w:noProof/>
          <w:color w:val="000000"/>
        </w:rPr>
        <w:t>—</w:t>
      </w:r>
      <w:r>
        <w:rPr>
          <w:noProof/>
        </w:rPr>
        <w:t>Forms of transfer of Division 3 securities</w:t>
      </w:r>
      <w:r>
        <w:rPr>
          <w:noProof/>
        </w:rPr>
        <w:tab/>
      </w:r>
      <w:r>
        <w:rPr>
          <w:noProof/>
        </w:rPr>
        <w:fldChar w:fldCharType="begin"/>
      </w:r>
      <w:r>
        <w:rPr>
          <w:noProof/>
        </w:rPr>
        <w:instrText xml:space="preserve"> PAGEREF _Toc158713410 \h </w:instrText>
      </w:r>
      <w:r>
        <w:rPr>
          <w:noProof/>
        </w:rPr>
      </w:r>
      <w:r>
        <w:rPr>
          <w:noProof/>
        </w:rPr>
        <w:fldChar w:fldCharType="separate"/>
      </w:r>
      <w:r>
        <w:rPr>
          <w:noProof/>
        </w:rPr>
        <w:t>774</w:t>
      </w:r>
      <w:r>
        <w:rPr>
          <w:noProof/>
        </w:rPr>
        <w:fldChar w:fldCharType="end"/>
      </w:r>
    </w:p>
    <w:p w14:paraId="13B0B63F" w14:textId="0D19AEC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lastRenderedPageBreak/>
        <w:t>Form 1</w:t>
      </w:r>
      <w:r>
        <w:rPr>
          <w:noProof/>
        </w:rPr>
        <w:tab/>
      </w:r>
      <w:r>
        <w:rPr>
          <w:noProof/>
        </w:rPr>
        <w:fldChar w:fldCharType="begin"/>
      </w:r>
      <w:r>
        <w:rPr>
          <w:noProof/>
        </w:rPr>
        <w:instrText xml:space="preserve"> PAGEREF _Toc158713411 \h </w:instrText>
      </w:r>
      <w:r>
        <w:rPr>
          <w:noProof/>
        </w:rPr>
      </w:r>
      <w:r>
        <w:rPr>
          <w:noProof/>
        </w:rPr>
        <w:fldChar w:fldCharType="separate"/>
      </w:r>
      <w:r>
        <w:rPr>
          <w:noProof/>
        </w:rPr>
        <w:t>774</w:t>
      </w:r>
      <w:r>
        <w:rPr>
          <w:noProof/>
        </w:rPr>
        <w:fldChar w:fldCharType="end"/>
      </w:r>
    </w:p>
    <w:p w14:paraId="7D4C4E93" w14:textId="6FC6038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2</w:t>
      </w:r>
      <w:r>
        <w:rPr>
          <w:noProof/>
        </w:rPr>
        <w:tab/>
      </w:r>
      <w:r>
        <w:rPr>
          <w:noProof/>
        </w:rPr>
        <w:fldChar w:fldCharType="begin"/>
      </w:r>
      <w:r>
        <w:rPr>
          <w:noProof/>
        </w:rPr>
        <w:instrText xml:space="preserve"> PAGEREF _Toc158713412 \h </w:instrText>
      </w:r>
      <w:r>
        <w:rPr>
          <w:noProof/>
        </w:rPr>
      </w:r>
      <w:r>
        <w:rPr>
          <w:noProof/>
        </w:rPr>
        <w:fldChar w:fldCharType="separate"/>
      </w:r>
      <w:r>
        <w:rPr>
          <w:noProof/>
        </w:rPr>
        <w:t>776</w:t>
      </w:r>
      <w:r>
        <w:rPr>
          <w:noProof/>
        </w:rPr>
        <w:fldChar w:fldCharType="end"/>
      </w:r>
    </w:p>
    <w:p w14:paraId="736F4660" w14:textId="5DAA394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3</w:t>
      </w:r>
      <w:r>
        <w:rPr>
          <w:noProof/>
        </w:rPr>
        <w:tab/>
      </w:r>
      <w:r>
        <w:rPr>
          <w:noProof/>
        </w:rPr>
        <w:fldChar w:fldCharType="begin"/>
      </w:r>
      <w:r>
        <w:rPr>
          <w:noProof/>
        </w:rPr>
        <w:instrText xml:space="preserve"> PAGEREF _Toc158713413 \h </w:instrText>
      </w:r>
      <w:r>
        <w:rPr>
          <w:noProof/>
        </w:rPr>
      </w:r>
      <w:r>
        <w:rPr>
          <w:noProof/>
        </w:rPr>
        <w:fldChar w:fldCharType="separate"/>
      </w:r>
      <w:r>
        <w:rPr>
          <w:noProof/>
        </w:rPr>
        <w:t>777</w:t>
      </w:r>
      <w:r>
        <w:rPr>
          <w:noProof/>
        </w:rPr>
        <w:fldChar w:fldCharType="end"/>
      </w:r>
    </w:p>
    <w:p w14:paraId="0EEBBD26" w14:textId="2510A5E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4</w:t>
      </w:r>
      <w:r>
        <w:rPr>
          <w:noProof/>
        </w:rPr>
        <w:tab/>
      </w:r>
      <w:r>
        <w:rPr>
          <w:noProof/>
        </w:rPr>
        <w:fldChar w:fldCharType="begin"/>
      </w:r>
      <w:r>
        <w:rPr>
          <w:noProof/>
        </w:rPr>
        <w:instrText xml:space="preserve"> PAGEREF _Toc158713414 \h </w:instrText>
      </w:r>
      <w:r>
        <w:rPr>
          <w:noProof/>
        </w:rPr>
      </w:r>
      <w:r>
        <w:rPr>
          <w:noProof/>
        </w:rPr>
        <w:fldChar w:fldCharType="separate"/>
      </w:r>
      <w:r>
        <w:rPr>
          <w:noProof/>
        </w:rPr>
        <w:t>778</w:t>
      </w:r>
      <w:r>
        <w:rPr>
          <w:noProof/>
        </w:rPr>
        <w:fldChar w:fldCharType="end"/>
      </w:r>
    </w:p>
    <w:p w14:paraId="04C4206B" w14:textId="78D2B6A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5</w:t>
      </w:r>
      <w:r>
        <w:rPr>
          <w:noProof/>
        </w:rPr>
        <w:tab/>
      </w:r>
      <w:r>
        <w:rPr>
          <w:noProof/>
        </w:rPr>
        <w:fldChar w:fldCharType="begin"/>
      </w:r>
      <w:r>
        <w:rPr>
          <w:noProof/>
        </w:rPr>
        <w:instrText xml:space="preserve"> PAGEREF _Toc158713415 \h </w:instrText>
      </w:r>
      <w:r>
        <w:rPr>
          <w:noProof/>
        </w:rPr>
      </w:r>
      <w:r>
        <w:rPr>
          <w:noProof/>
        </w:rPr>
        <w:fldChar w:fldCharType="separate"/>
      </w:r>
      <w:r>
        <w:rPr>
          <w:noProof/>
        </w:rPr>
        <w:t>779</w:t>
      </w:r>
      <w:r>
        <w:rPr>
          <w:noProof/>
        </w:rPr>
        <w:fldChar w:fldCharType="end"/>
      </w:r>
    </w:p>
    <w:p w14:paraId="731C5287" w14:textId="719A429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6</w:t>
      </w:r>
      <w:r>
        <w:rPr>
          <w:noProof/>
        </w:rPr>
        <w:tab/>
      </w:r>
      <w:r>
        <w:rPr>
          <w:noProof/>
        </w:rPr>
        <w:fldChar w:fldCharType="begin"/>
      </w:r>
      <w:r>
        <w:rPr>
          <w:noProof/>
        </w:rPr>
        <w:instrText xml:space="preserve"> PAGEREF _Toc158713416 \h </w:instrText>
      </w:r>
      <w:r>
        <w:rPr>
          <w:noProof/>
        </w:rPr>
      </w:r>
      <w:r>
        <w:rPr>
          <w:noProof/>
        </w:rPr>
        <w:fldChar w:fldCharType="separate"/>
      </w:r>
      <w:r>
        <w:rPr>
          <w:noProof/>
        </w:rPr>
        <w:t>781</w:t>
      </w:r>
      <w:r>
        <w:rPr>
          <w:noProof/>
        </w:rPr>
        <w:fldChar w:fldCharType="end"/>
      </w:r>
    </w:p>
    <w:p w14:paraId="209704F3" w14:textId="3BE9510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7</w:t>
      </w:r>
      <w:r>
        <w:rPr>
          <w:noProof/>
        </w:rPr>
        <w:tab/>
      </w:r>
      <w:r>
        <w:rPr>
          <w:noProof/>
        </w:rPr>
        <w:fldChar w:fldCharType="begin"/>
      </w:r>
      <w:r>
        <w:rPr>
          <w:noProof/>
        </w:rPr>
        <w:instrText xml:space="preserve"> PAGEREF _Toc158713417 \h </w:instrText>
      </w:r>
      <w:r>
        <w:rPr>
          <w:noProof/>
        </w:rPr>
      </w:r>
      <w:r>
        <w:rPr>
          <w:noProof/>
        </w:rPr>
        <w:fldChar w:fldCharType="separate"/>
      </w:r>
      <w:r>
        <w:rPr>
          <w:noProof/>
        </w:rPr>
        <w:t>783</w:t>
      </w:r>
      <w:r>
        <w:rPr>
          <w:noProof/>
        </w:rPr>
        <w:fldChar w:fldCharType="end"/>
      </w:r>
    </w:p>
    <w:p w14:paraId="5CA59426" w14:textId="534F165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8</w:t>
      </w:r>
      <w:r>
        <w:rPr>
          <w:noProof/>
        </w:rPr>
        <w:tab/>
      </w:r>
      <w:r>
        <w:rPr>
          <w:noProof/>
        </w:rPr>
        <w:fldChar w:fldCharType="begin"/>
      </w:r>
      <w:r>
        <w:rPr>
          <w:noProof/>
        </w:rPr>
        <w:instrText xml:space="preserve"> PAGEREF _Toc158713418 \h </w:instrText>
      </w:r>
      <w:r>
        <w:rPr>
          <w:noProof/>
        </w:rPr>
      </w:r>
      <w:r>
        <w:rPr>
          <w:noProof/>
        </w:rPr>
        <w:fldChar w:fldCharType="separate"/>
      </w:r>
      <w:r>
        <w:rPr>
          <w:noProof/>
        </w:rPr>
        <w:t>784</w:t>
      </w:r>
      <w:r>
        <w:rPr>
          <w:noProof/>
        </w:rPr>
        <w:fldChar w:fldCharType="end"/>
      </w:r>
    </w:p>
    <w:p w14:paraId="573166A5" w14:textId="0E2B52F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9</w:t>
      </w:r>
      <w:r>
        <w:rPr>
          <w:noProof/>
        </w:rPr>
        <w:tab/>
      </w:r>
      <w:r>
        <w:rPr>
          <w:noProof/>
        </w:rPr>
        <w:fldChar w:fldCharType="begin"/>
      </w:r>
      <w:r>
        <w:rPr>
          <w:noProof/>
        </w:rPr>
        <w:instrText xml:space="preserve"> PAGEREF _Toc158713419 \h </w:instrText>
      </w:r>
      <w:r>
        <w:rPr>
          <w:noProof/>
        </w:rPr>
      </w:r>
      <w:r>
        <w:rPr>
          <w:noProof/>
        </w:rPr>
        <w:fldChar w:fldCharType="separate"/>
      </w:r>
      <w:r>
        <w:rPr>
          <w:noProof/>
        </w:rPr>
        <w:t>785</w:t>
      </w:r>
      <w:r>
        <w:rPr>
          <w:noProof/>
        </w:rPr>
        <w:fldChar w:fldCharType="end"/>
      </w:r>
    </w:p>
    <w:p w14:paraId="1D3BB6EA" w14:textId="2B9D5B7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Form 10</w:t>
      </w:r>
      <w:r>
        <w:rPr>
          <w:noProof/>
        </w:rPr>
        <w:tab/>
      </w:r>
      <w:r>
        <w:rPr>
          <w:noProof/>
        </w:rPr>
        <w:fldChar w:fldCharType="begin"/>
      </w:r>
      <w:r>
        <w:rPr>
          <w:noProof/>
        </w:rPr>
        <w:instrText xml:space="preserve"> PAGEREF _Toc158713420 \h </w:instrText>
      </w:r>
      <w:r>
        <w:rPr>
          <w:noProof/>
        </w:rPr>
      </w:r>
      <w:r>
        <w:rPr>
          <w:noProof/>
        </w:rPr>
        <w:fldChar w:fldCharType="separate"/>
      </w:r>
      <w:r>
        <w:rPr>
          <w:noProof/>
        </w:rPr>
        <w:t>786</w:t>
      </w:r>
      <w:r>
        <w:rPr>
          <w:noProof/>
        </w:rPr>
        <w:fldChar w:fldCharType="end"/>
      </w:r>
    </w:p>
    <w:p w14:paraId="16E4E2DC" w14:textId="495380B7"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3—Specified offices</w:t>
      </w:r>
      <w:r>
        <w:rPr>
          <w:noProof/>
        </w:rPr>
        <w:tab/>
      </w:r>
      <w:r>
        <w:rPr>
          <w:noProof/>
        </w:rPr>
        <w:fldChar w:fldCharType="begin"/>
      </w:r>
      <w:r>
        <w:rPr>
          <w:noProof/>
        </w:rPr>
        <w:instrText xml:space="preserve"> PAGEREF _Toc158713421 \h </w:instrText>
      </w:r>
      <w:r>
        <w:rPr>
          <w:noProof/>
        </w:rPr>
      </w:r>
      <w:r>
        <w:rPr>
          <w:noProof/>
        </w:rPr>
        <w:fldChar w:fldCharType="separate"/>
      </w:r>
      <w:r>
        <w:rPr>
          <w:noProof/>
        </w:rPr>
        <w:t>787</w:t>
      </w:r>
      <w:r>
        <w:rPr>
          <w:noProof/>
        </w:rPr>
        <w:fldChar w:fldCharType="end"/>
      </w:r>
    </w:p>
    <w:p w14:paraId="65DFE012" w14:textId="4993DFE1"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4—Prescribed amounts</w:t>
      </w:r>
      <w:r>
        <w:rPr>
          <w:noProof/>
        </w:rPr>
        <w:tab/>
      </w:r>
      <w:r>
        <w:rPr>
          <w:noProof/>
        </w:rPr>
        <w:fldChar w:fldCharType="begin"/>
      </w:r>
      <w:r>
        <w:rPr>
          <w:noProof/>
        </w:rPr>
        <w:instrText xml:space="preserve"> PAGEREF _Toc158713422 \h </w:instrText>
      </w:r>
      <w:r>
        <w:rPr>
          <w:noProof/>
        </w:rPr>
      </w:r>
      <w:r>
        <w:rPr>
          <w:noProof/>
        </w:rPr>
        <w:fldChar w:fldCharType="separate"/>
      </w:r>
      <w:r>
        <w:rPr>
          <w:noProof/>
        </w:rPr>
        <w:t>789</w:t>
      </w:r>
      <w:r>
        <w:rPr>
          <w:noProof/>
        </w:rPr>
        <w:fldChar w:fldCharType="end"/>
      </w:r>
    </w:p>
    <w:p w14:paraId="58A3FDAF" w14:textId="6A968129"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5C—Conduct of auditor—relevant relationships</w:t>
      </w:r>
      <w:r>
        <w:rPr>
          <w:noProof/>
        </w:rPr>
        <w:tab/>
      </w:r>
      <w:r>
        <w:rPr>
          <w:noProof/>
        </w:rPr>
        <w:fldChar w:fldCharType="begin"/>
      </w:r>
      <w:r>
        <w:rPr>
          <w:noProof/>
        </w:rPr>
        <w:instrText xml:space="preserve"> PAGEREF _Toc158713423 \h </w:instrText>
      </w:r>
      <w:r>
        <w:rPr>
          <w:noProof/>
        </w:rPr>
      </w:r>
      <w:r>
        <w:rPr>
          <w:noProof/>
        </w:rPr>
        <w:fldChar w:fldCharType="separate"/>
      </w:r>
      <w:r>
        <w:rPr>
          <w:noProof/>
        </w:rPr>
        <w:t>791</w:t>
      </w:r>
      <w:r>
        <w:rPr>
          <w:noProof/>
        </w:rPr>
        <w:fldChar w:fldCharType="end"/>
      </w:r>
    </w:p>
    <w:p w14:paraId="2648190A" w14:textId="774622D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Money owed—debt</w:t>
      </w:r>
      <w:r>
        <w:rPr>
          <w:noProof/>
        </w:rPr>
        <w:tab/>
      </w:r>
      <w:r>
        <w:rPr>
          <w:noProof/>
        </w:rPr>
        <w:fldChar w:fldCharType="begin"/>
      </w:r>
      <w:r>
        <w:rPr>
          <w:noProof/>
        </w:rPr>
        <w:instrText xml:space="preserve"> PAGEREF _Toc158713424 \h </w:instrText>
      </w:r>
      <w:r>
        <w:rPr>
          <w:noProof/>
        </w:rPr>
      </w:r>
      <w:r>
        <w:rPr>
          <w:noProof/>
        </w:rPr>
        <w:fldChar w:fldCharType="separate"/>
      </w:r>
      <w:r>
        <w:rPr>
          <w:noProof/>
        </w:rPr>
        <w:t>791</w:t>
      </w:r>
      <w:r>
        <w:rPr>
          <w:noProof/>
        </w:rPr>
        <w:fldChar w:fldCharType="end"/>
      </w:r>
    </w:p>
    <w:p w14:paraId="36F54EC7" w14:textId="763F935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Money owed—deposit account</w:t>
      </w:r>
      <w:r>
        <w:rPr>
          <w:noProof/>
        </w:rPr>
        <w:tab/>
      </w:r>
      <w:r>
        <w:rPr>
          <w:noProof/>
        </w:rPr>
        <w:fldChar w:fldCharType="begin"/>
      </w:r>
      <w:r>
        <w:rPr>
          <w:noProof/>
        </w:rPr>
        <w:instrText xml:space="preserve"> PAGEREF _Toc158713425 \h </w:instrText>
      </w:r>
      <w:r>
        <w:rPr>
          <w:noProof/>
        </w:rPr>
      </w:r>
      <w:r>
        <w:rPr>
          <w:noProof/>
        </w:rPr>
        <w:fldChar w:fldCharType="separate"/>
      </w:r>
      <w:r>
        <w:rPr>
          <w:noProof/>
        </w:rPr>
        <w:t>791</w:t>
      </w:r>
      <w:r>
        <w:rPr>
          <w:noProof/>
        </w:rPr>
        <w:fldChar w:fldCharType="end"/>
      </w:r>
    </w:p>
    <w:p w14:paraId="7BDC0055" w14:textId="5DC206B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  Public company auditor (annual appointments at AGMs to fill vacancies)</w:t>
      </w:r>
      <w:r>
        <w:rPr>
          <w:noProof/>
        </w:rPr>
        <w:tab/>
      </w:r>
      <w:r>
        <w:rPr>
          <w:noProof/>
        </w:rPr>
        <w:fldChar w:fldCharType="begin"/>
      </w:r>
      <w:r>
        <w:rPr>
          <w:noProof/>
        </w:rPr>
        <w:instrText xml:space="preserve"> PAGEREF _Toc158713426 \h </w:instrText>
      </w:r>
      <w:r>
        <w:rPr>
          <w:noProof/>
        </w:rPr>
      </w:r>
      <w:r>
        <w:rPr>
          <w:noProof/>
        </w:rPr>
        <w:fldChar w:fldCharType="separate"/>
      </w:r>
      <w:r>
        <w:rPr>
          <w:noProof/>
        </w:rPr>
        <w:t>792</w:t>
      </w:r>
      <w:r>
        <w:rPr>
          <w:noProof/>
        </w:rPr>
        <w:fldChar w:fldCharType="end"/>
      </w:r>
    </w:p>
    <w:p w14:paraId="4205A721" w14:textId="0C726CD3"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6—Availability of names</w:t>
      </w:r>
      <w:r>
        <w:rPr>
          <w:noProof/>
        </w:rPr>
        <w:tab/>
      </w:r>
      <w:r>
        <w:rPr>
          <w:noProof/>
        </w:rPr>
        <w:fldChar w:fldCharType="begin"/>
      </w:r>
      <w:r>
        <w:rPr>
          <w:noProof/>
        </w:rPr>
        <w:instrText xml:space="preserve"> PAGEREF _Toc158713427 \h </w:instrText>
      </w:r>
      <w:r>
        <w:rPr>
          <w:noProof/>
        </w:rPr>
      </w:r>
      <w:r>
        <w:rPr>
          <w:noProof/>
        </w:rPr>
        <w:fldChar w:fldCharType="separate"/>
      </w:r>
      <w:r>
        <w:rPr>
          <w:noProof/>
        </w:rPr>
        <w:t>793</w:t>
      </w:r>
      <w:r>
        <w:rPr>
          <w:noProof/>
        </w:rPr>
        <w:fldChar w:fldCharType="end"/>
      </w:r>
    </w:p>
    <w:p w14:paraId="6DE96657" w14:textId="13A1704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1—Rules for ascertaining whether names are identical</w:t>
      </w:r>
      <w:r>
        <w:rPr>
          <w:noProof/>
        </w:rPr>
        <w:tab/>
      </w:r>
      <w:r>
        <w:rPr>
          <w:noProof/>
        </w:rPr>
        <w:fldChar w:fldCharType="begin"/>
      </w:r>
      <w:r>
        <w:rPr>
          <w:noProof/>
        </w:rPr>
        <w:instrText xml:space="preserve"> PAGEREF _Toc158713428 \h </w:instrText>
      </w:r>
      <w:r>
        <w:rPr>
          <w:noProof/>
        </w:rPr>
      </w:r>
      <w:r>
        <w:rPr>
          <w:noProof/>
        </w:rPr>
        <w:fldChar w:fldCharType="separate"/>
      </w:r>
      <w:r>
        <w:rPr>
          <w:noProof/>
        </w:rPr>
        <w:t>793</w:t>
      </w:r>
      <w:r>
        <w:rPr>
          <w:noProof/>
        </w:rPr>
        <w:fldChar w:fldCharType="end"/>
      </w:r>
    </w:p>
    <w:p w14:paraId="2E081124" w14:textId="5DF0F67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2—Names unacceptable for registration</w:t>
      </w:r>
      <w:r>
        <w:rPr>
          <w:noProof/>
        </w:rPr>
        <w:tab/>
      </w:r>
      <w:r>
        <w:rPr>
          <w:noProof/>
        </w:rPr>
        <w:fldChar w:fldCharType="begin"/>
      </w:r>
      <w:r>
        <w:rPr>
          <w:noProof/>
        </w:rPr>
        <w:instrText xml:space="preserve"> PAGEREF _Toc158713429 \h </w:instrText>
      </w:r>
      <w:r>
        <w:rPr>
          <w:noProof/>
        </w:rPr>
      </w:r>
      <w:r>
        <w:rPr>
          <w:noProof/>
        </w:rPr>
        <w:fldChar w:fldCharType="separate"/>
      </w:r>
      <w:r>
        <w:rPr>
          <w:noProof/>
        </w:rPr>
        <w:t>794</w:t>
      </w:r>
      <w:r>
        <w:rPr>
          <w:noProof/>
        </w:rPr>
        <w:fldChar w:fldCharType="end"/>
      </w:r>
    </w:p>
    <w:p w14:paraId="06865D89" w14:textId="14B2FDB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3—Restricted words and phrases</w:t>
      </w:r>
      <w:r>
        <w:rPr>
          <w:noProof/>
        </w:rPr>
        <w:tab/>
      </w:r>
      <w:r>
        <w:rPr>
          <w:noProof/>
        </w:rPr>
        <w:fldChar w:fldCharType="begin"/>
      </w:r>
      <w:r>
        <w:rPr>
          <w:noProof/>
        </w:rPr>
        <w:instrText xml:space="preserve"> PAGEREF _Toc158713430 \h </w:instrText>
      </w:r>
      <w:r>
        <w:rPr>
          <w:noProof/>
        </w:rPr>
      </w:r>
      <w:r>
        <w:rPr>
          <w:noProof/>
        </w:rPr>
        <w:fldChar w:fldCharType="separate"/>
      </w:r>
      <w:r>
        <w:rPr>
          <w:noProof/>
        </w:rPr>
        <w:t>795</w:t>
      </w:r>
      <w:r>
        <w:rPr>
          <w:noProof/>
        </w:rPr>
        <w:fldChar w:fldCharType="end"/>
      </w:r>
    </w:p>
    <w:p w14:paraId="6BBF00DF" w14:textId="08F79CE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4—Consent required to use restricted words and phrases</w:t>
      </w:r>
      <w:r>
        <w:rPr>
          <w:noProof/>
        </w:rPr>
        <w:tab/>
      </w:r>
      <w:r>
        <w:rPr>
          <w:noProof/>
        </w:rPr>
        <w:fldChar w:fldCharType="begin"/>
      </w:r>
      <w:r>
        <w:rPr>
          <w:noProof/>
        </w:rPr>
        <w:instrText xml:space="preserve"> PAGEREF _Toc158713431 \h </w:instrText>
      </w:r>
      <w:r>
        <w:rPr>
          <w:noProof/>
        </w:rPr>
      </w:r>
      <w:r>
        <w:rPr>
          <w:noProof/>
        </w:rPr>
        <w:fldChar w:fldCharType="separate"/>
      </w:r>
      <w:r>
        <w:rPr>
          <w:noProof/>
        </w:rPr>
        <w:t>796</w:t>
      </w:r>
      <w:r>
        <w:rPr>
          <w:noProof/>
        </w:rPr>
        <w:fldChar w:fldCharType="end"/>
      </w:r>
    </w:p>
    <w:p w14:paraId="19915C62" w14:textId="2B87FA22"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5—Names relating to financial institutions for use of which consent is required</w:t>
      </w:r>
      <w:r>
        <w:rPr>
          <w:noProof/>
        </w:rPr>
        <w:tab/>
      </w:r>
      <w:r>
        <w:rPr>
          <w:noProof/>
        </w:rPr>
        <w:fldChar w:fldCharType="begin"/>
      </w:r>
      <w:r>
        <w:rPr>
          <w:noProof/>
        </w:rPr>
        <w:instrText xml:space="preserve"> PAGEREF _Toc158713432 \h </w:instrText>
      </w:r>
      <w:r>
        <w:rPr>
          <w:noProof/>
        </w:rPr>
      </w:r>
      <w:r>
        <w:rPr>
          <w:noProof/>
        </w:rPr>
        <w:fldChar w:fldCharType="separate"/>
      </w:r>
      <w:r>
        <w:rPr>
          <w:noProof/>
        </w:rPr>
        <w:t>797</w:t>
      </w:r>
      <w:r>
        <w:rPr>
          <w:noProof/>
        </w:rPr>
        <w:fldChar w:fldCharType="end"/>
      </w:r>
    </w:p>
    <w:p w14:paraId="7891C855" w14:textId="66FAE75C"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7—Exemptions from requirements to set out certain corporate particulars</w:t>
      </w:r>
      <w:r>
        <w:rPr>
          <w:noProof/>
        </w:rPr>
        <w:tab/>
      </w:r>
      <w:r>
        <w:rPr>
          <w:noProof/>
        </w:rPr>
        <w:fldChar w:fldCharType="begin"/>
      </w:r>
      <w:r>
        <w:rPr>
          <w:noProof/>
        </w:rPr>
        <w:instrText xml:space="preserve"> PAGEREF _Toc158713433 \h </w:instrText>
      </w:r>
      <w:r>
        <w:rPr>
          <w:noProof/>
        </w:rPr>
      </w:r>
      <w:r>
        <w:rPr>
          <w:noProof/>
        </w:rPr>
        <w:fldChar w:fldCharType="separate"/>
      </w:r>
      <w:r>
        <w:rPr>
          <w:noProof/>
        </w:rPr>
        <w:t>798</w:t>
      </w:r>
      <w:r>
        <w:rPr>
          <w:noProof/>
        </w:rPr>
        <w:fldChar w:fldCharType="end"/>
      </w:r>
    </w:p>
    <w:p w14:paraId="0BBF4F95" w14:textId="2AC6309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7001  Definitions for Schedule 7</w:t>
      </w:r>
      <w:r>
        <w:rPr>
          <w:noProof/>
        </w:rPr>
        <w:tab/>
      </w:r>
      <w:r>
        <w:rPr>
          <w:noProof/>
        </w:rPr>
        <w:fldChar w:fldCharType="begin"/>
      </w:r>
      <w:r>
        <w:rPr>
          <w:noProof/>
        </w:rPr>
        <w:instrText xml:space="preserve"> PAGEREF _Toc158713434 \h </w:instrText>
      </w:r>
      <w:r>
        <w:rPr>
          <w:noProof/>
        </w:rPr>
      </w:r>
      <w:r>
        <w:rPr>
          <w:noProof/>
        </w:rPr>
        <w:fldChar w:fldCharType="separate"/>
      </w:r>
      <w:r>
        <w:rPr>
          <w:noProof/>
        </w:rPr>
        <w:t>798</w:t>
      </w:r>
      <w:r>
        <w:rPr>
          <w:noProof/>
        </w:rPr>
        <w:fldChar w:fldCharType="end"/>
      </w:r>
    </w:p>
    <w:p w14:paraId="455CAD6B" w14:textId="0A81822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7002  Exemption for certain IATA documents</w:t>
      </w:r>
      <w:r>
        <w:rPr>
          <w:noProof/>
        </w:rPr>
        <w:tab/>
      </w:r>
      <w:r>
        <w:rPr>
          <w:noProof/>
        </w:rPr>
        <w:fldChar w:fldCharType="begin"/>
      </w:r>
      <w:r>
        <w:rPr>
          <w:noProof/>
        </w:rPr>
        <w:instrText xml:space="preserve"> PAGEREF _Toc158713435 \h </w:instrText>
      </w:r>
      <w:r>
        <w:rPr>
          <w:noProof/>
        </w:rPr>
      </w:r>
      <w:r>
        <w:rPr>
          <w:noProof/>
        </w:rPr>
        <w:fldChar w:fldCharType="separate"/>
      </w:r>
      <w:r>
        <w:rPr>
          <w:noProof/>
        </w:rPr>
        <w:t>798</w:t>
      </w:r>
      <w:r>
        <w:rPr>
          <w:noProof/>
        </w:rPr>
        <w:fldChar w:fldCharType="end"/>
      </w:r>
    </w:p>
    <w:p w14:paraId="0F75B4BF" w14:textId="745114E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7003  Exemption for bills of lading and sea waybills</w:t>
      </w:r>
      <w:r>
        <w:rPr>
          <w:noProof/>
        </w:rPr>
        <w:tab/>
      </w:r>
      <w:r>
        <w:rPr>
          <w:noProof/>
        </w:rPr>
        <w:fldChar w:fldCharType="begin"/>
      </w:r>
      <w:r>
        <w:rPr>
          <w:noProof/>
        </w:rPr>
        <w:instrText xml:space="preserve"> PAGEREF _Toc158713436 \h </w:instrText>
      </w:r>
      <w:r>
        <w:rPr>
          <w:noProof/>
        </w:rPr>
      </w:r>
      <w:r>
        <w:rPr>
          <w:noProof/>
        </w:rPr>
        <w:fldChar w:fldCharType="separate"/>
      </w:r>
      <w:r>
        <w:rPr>
          <w:noProof/>
        </w:rPr>
        <w:t>798</w:t>
      </w:r>
      <w:r>
        <w:rPr>
          <w:noProof/>
        </w:rPr>
        <w:fldChar w:fldCharType="end"/>
      </w:r>
    </w:p>
    <w:p w14:paraId="31A3B2D1" w14:textId="22E1EE9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7004  Exemptions—quotation of ACNs and ARBNs</w:t>
      </w:r>
      <w:r>
        <w:rPr>
          <w:noProof/>
        </w:rPr>
        <w:tab/>
      </w:r>
      <w:r>
        <w:rPr>
          <w:noProof/>
        </w:rPr>
        <w:fldChar w:fldCharType="begin"/>
      </w:r>
      <w:r>
        <w:rPr>
          <w:noProof/>
        </w:rPr>
        <w:instrText xml:space="preserve"> PAGEREF _Toc158713437 \h </w:instrText>
      </w:r>
      <w:r>
        <w:rPr>
          <w:noProof/>
        </w:rPr>
      </w:r>
      <w:r>
        <w:rPr>
          <w:noProof/>
        </w:rPr>
        <w:fldChar w:fldCharType="separate"/>
      </w:r>
      <w:r>
        <w:rPr>
          <w:noProof/>
        </w:rPr>
        <w:t>799</w:t>
      </w:r>
      <w:r>
        <w:rPr>
          <w:noProof/>
        </w:rPr>
        <w:fldChar w:fldCharType="end"/>
      </w:r>
    </w:p>
    <w:p w14:paraId="700FD4F0" w14:textId="2CA52CF5"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7A—Content of annual transparency report</w:t>
      </w:r>
      <w:r>
        <w:rPr>
          <w:noProof/>
        </w:rPr>
        <w:tab/>
      </w:r>
      <w:r>
        <w:rPr>
          <w:noProof/>
        </w:rPr>
        <w:fldChar w:fldCharType="begin"/>
      </w:r>
      <w:r>
        <w:rPr>
          <w:noProof/>
        </w:rPr>
        <w:instrText xml:space="preserve"> PAGEREF _Toc158713438 \h </w:instrText>
      </w:r>
      <w:r>
        <w:rPr>
          <w:noProof/>
        </w:rPr>
      </w:r>
      <w:r>
        <w:rPr>
          <w:noProof/>
        </w:rPr>
        <w:fldChar w:fldCharType="separate"/>
      </w:r>
      <w:r>
        <w:rPr>
          <w:noProof/>
        </w:rPr>
        <w:t>800</w:t>
      </w:r>
      <w:r>
        <w:rPr>
          <w:noProof/>
        </w:rPr>
        <w:fldChar w:fldCharType="end"/>
      </w:r>
    </w:p>
    <w:p w14:paraId="2A68F34D" w14:textId="7C50F30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1—Interpretation for Schedule 7A</w:t>
      </w:r>
      <w:r>
        <w:rPr>
          <w:noProof/>
        </w:rPr>
        <w:tab/>
      </w:r>
      <w:r>
        <w:rPr>
          <w:noProof/>
        </w:rPr>
        <w:fldChar w:fldCharType="begin"/>
      </w:r>
      <w:r>
        <w:rPr>
          <w:noProof/>
        </w:rPr>
        <w:instrText xml:space="preserve"> PAGEREF _Toc158713439 \h </w:instrText>
      </w:r>
      <w:r>
        <w:rPr>
          <w:noProof/>
        </w:rPr>
      </w:r>
      <w:r>
        <w:rPr>
          <w:noProof/>
        </w:rPr>
        <w:fldChar w:fldCharType="separate"/>
      </w:r>
      <w:r>
        <w:rPr>
          <w:noProof/>
        </w:rPr>
        <w:t>800</w:t>
      </w:r>
      <w:r>
        <w:rPr>
          <w:noProof/>
        </w:rPr>
        <w:fldChar w:fldCharType="end"/>
      </w:r>
    </w:p>
    <w:p w14:paraId="174A8B0B" w14:textId="15F2EE8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7A101  Interpretation</w:t>
      </w:r>
      <w:r>
        <w:rPr>
          <w:noProof/>
        </w:rPr>
        <w:tab/>
      </w:r>
      <w:r>
        <w:rPr>
          <w:noProof/>
        </w:rPr>
        <w:fldChar w:fldCharType="begin"/>
      </w:r>
      <w:r>
        <w:rPr>
          <w:noProof/>
        </w:rPr>
        <w:instrText xml:space="preserve"> PAGEREF _Toc158713440 \h </w:instrText>
      </w:r>
      <w:r>
        <w:rPr>
          <w:noProof/>
        </w:rPr>
      </w:r>
      <w:r>
        <w:rPr>
          <w:noProof/>
        </w:rPr>
        <w:fldChar w:fldCharType="separate"/>
      </w:r>
      <w:r>
        <w:rPr>
          <w:noProof/>
        </w:rPr>
        <w:t>800</w:t>
      </w:r>
      <w:r>
        <w:rPr>
          <w:noProof/>
        </w:rPr>
        <w:fldChar w:fldCharType="end"/>
      </w:r>
    </w:p>
    <w:p w14:paraId="21C4F612" w14:textId="5F2D0A0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2—Prescribed information for audit firm or authorised audit company</w:t>
      </w:r>
      <w:r>
        <w:rPr>
          <w:noProof/>
        </w:rPr>
        <w:tab/>
      </w:r>
      <w:r>
        <w:rPr>
          <w:noProof/>
        </w:rPr>
        <w:fldChar w:fldCharType="begin"/>
      </w:r>
      <w:r>
        <w:rPr>
          <w:noProof/>
        </w:rPr>
        <w:instrText xml:space="preserve"> PAGEREF _Toc158713441 \h </w:instrText>
      </w:r>
      <w:r>
        <w:rPr>
          <w:noProof/>
        </w:rPr>
      </w:r>
      <w:r>
        <w:rPr>
          <w:noProof/>
        </w:rPr>
        <w:fldChar w:fldCharType="separate"/>
      </w:r>
      <w:r>
        <w:rPr>
          <w:noProof/>
        </w:rPr>
        <w:t>801</w:t>
      </w:r>
      <w:r>
        <w:rPr>
          <w:noProof/>
        </w:rPr>
        <w:fldChar w:fldCharType="end"/>
      </w:r>
    </w:p>
    <w:p w14:paraId="1C20D88C" w14:textId="3946179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3—Prescribed information for individual auditor</w:t>
      </w:r>
      <w:r>
        <w:rPr>
          <w:noProof/>
        </w:rPr>
        <w:tab/>
      </w:r>
      <w:r>
        <w:rPr>
          <w:noProof/>
        </w:rPr>
        <w:fldChar w:fldCharType="begin"/>
      </w:r>
      <w:r>
        <w:rPr>
          <w:noProof/>
        </w:rPr>
        <w:instrText xml:space="preserve"> PAGEREF _Toc158713442 \h </w:instrText>
      </w:r>
      <w:r>
        <w:rPr>
          <w:noProof/>
        </w:rPr>
      </w:r>
      <w:r>
        <w:rPr>
          <w:noProof/>
        </w:rPr>
        <w:fldChar w:fldCharType="separate"/>
      </w:r>
      <w:r>
        <w:rPr>
          <w:noProof/>
        </w:rPr>
        <w:t>802</w:t>
      </w:r>
      <w:r>
        <w:rPr>
          <w:noProof/>
        </w:rPr>
        <w:fldChar w:fldCharType="end"/>
      </w:r>
    </w:p>
    <w:p w14:paraId="33203BB1" w14:textId="1415AF3E"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8—Schemes of arrangement under Part 5.1 of the Act</w:t>
      </w:r>
      <w:r>
        <w:rPr>
          <w:noProof/>
        </w:rPr>
        <w:tab/>
      </w:r>
      <w:r>
        <w:rPr>
          <w:noProof/>
        </w:rPr>
        <w:fldChar w:fldCharType="begin"/>
      </w:r>
      <w:r>
        <w:rPr>
          <w:noProof/>
        </w:rPr>
        <w:instrText xml:space="preserve"> PAGEREF _Toc158713443 \h </w:instrText>
      </w:r>
      <w:r>
        <w:rPr>
          <w:noProof/>
        </w:rPr>
      </w:r>
      <w:r>
        <w:rPr>
          <w:noProof/>
        </w:rPr>
        <w:fldChar w:fldCharType="separate"/>
      </w:r>
      <w:r>
        <w:rPr>
          <w:noProof/>
        </w:rPr>
        <w:t>803</w:t>
      </w:r>
      <w:r>
        <w:rPr>
          <w:noProof/>
        </w:rPr>
        <w:fldChar w:fldCharType="end"/>
      </w:r>
    </w:p>
    <w:p w14:paraId="769EBE0E" w14:textId="72019EC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Chapter 5—External administration</w:t>
      </w:r>
      <w:r>
        <w:rPr>
          <w:noProof/>
        </w:rPr>
        <w:tab/>
      </w:r>
      <w:r>
        <w:rPr>
          <w:noProof/>
        </w:rPr>
        <w:fldChar w:fldCharType="begin"/>
      </w:r>
      <w:r>
        <w:rPr>
          <w:noProof/>
        </w:rPr>
        <w:instrText xml:space="preserve"> PAGEREF _Toc158713444 \h </w:instrText>
      </w:r>
      <w:r>
        <w:rPr>
          <w:noProof/>
        </w:rPr>
      </w:r>
      <w:r>
        <w:rPr>
          <w:noProof/>
        </w:rPr>
        <w:fldChar w:fldCharType="separate"/>
      </w:r>
      <w:r>
        <w:rPr>
          <w:noProof/>
        </w:rPr>
        <w:t>803</w:t>
      </w:r>
      <w:r>
        <w:rPr>
          <w:noProof/>
        </w:rPr>
        <w:fldChar w:fldCharType="end"/>
      </w:r>
    </w:p>
    <w:p w14:paraId="42EE073D" w14:textId="19FBAB29" w:rsidR="00D779FE" w:rsidRDefault="00D779FE">
      <w:pPr>
        <w:pStyle w:val="TOC3"/>
        <w:rPr>
          <w:rFonts w:asciiTheme="minorHAnsi" w:eastAsiaTheme="minorEastAsia" w:hAnsiTheme="minorHAnsi" w:cstheme="minorBidi"/>
          <w:b w:val="0"/>
          <w:noProof/>
          <w:kern w:val="2"/>
          <w:szCs w:val="22"/>
          <w14:ligatures w14:val="standardContextual"/>
        </w:rPr>
      </w:pPr>
      <w:r>
        <w:rPr>
          <w:noProof/>
        </w:rPr>
        <w:t>Part 1—Interpretation and application</w:t>
      </w:r>
      <w:r>
        <w:rPr>
          <w:noProof/>
        </w:rPr>
        <w:tab/>
      </w:r>
      <w:r>
        <w:rPr>
          <w:noProof/>
        </w:rPr>
        <w:fldChar w:fldCharType="begin"/>
      </w:r>
      <w:r>
        <w:rPr>
          <w:noProof/>
        </w:rPr>
        <w:instrText xml:space="preserve"> PAGEREF _Toc158713445 \h </w:instrText>
      </w:r>
      <w:r>
        <w:rPr>
          <w:noProof/>
        </w:rPr>
      </w:r>
      <w:r>
        <w:rPr>
          <w:noProof/>
        </w:rPr>
        <w:fldChar w:fldCharType="separate"/>
      </w:r>
      <w:r>
        <w:rPr>
          <w:noProof/>
        </w:rPr>
        <w:t>803</w:t>
      </w:r>
      <w:r>
        <w:rPr>
          <w:noProof/>
        </w:rPr>
        <w:fldChar w:fldCharType="end"/>
      </w:r>
    </w:p>
    <w:p w14:paraId="40987538" w14:textId="10531A43" w:rsidR="00D779FE" w:rsidRDefault="00D779FE">
      <w:pPr>
        <w:pStyle w:val="TOC3"/>
        <w:rPr>
          <w:rFonts w:asciiTheme="minorHAnsi" w:eastAsiaTheme="minorEastAsia" w:hAnsiTheme="minorHAnsi" w:cstheme="minorBidi"/>
          <w:b w:val="0"/>
          <w:noProof/>
          <w:kern w:val="2"/>
          <w:szCs w:val="22"/>
          <w14:ligatures w14:val="standardContextual"/>
        </w:rPr>
      </w:pPr>
      <w:r>
        <w:rPr>
          <w:noProof/>
        </w:rPr>
        <w:t>Part 2—Prescribed information relating to proposed compromise or arrangement with creditors or class of creditors</w:t>
      </w:r>
      <w:r>
        <w:rPr>
          <w:noProof/>
        </w:rPr>
        <w:tab/>
      </w:r>
      <w:r>
        <w:rPr>
          <w:noProof/>
        </w:rPr>
        <w:fldChar w:fldCharType="begin"/>
      </w:r>
      <w:r>
        <w:rPr>
          <w:noProof/>
        </w:rPr>
        <w:instrText xml:space="preserve"> PAGEREF _Toc158713446 \h </w:instrText>
      </w:r>
      <w:r>
        <w:rPr>
          <w:noProof/>
        </w:rPr>
      </w:r>
      <w:r>
        <w:rPr>
          <w:noProof/>
        </w:rPr>
        <w:fldChar w:fldCharType="separate"/>
      </w:r>
      <w:r>
        <w:rPr>
          <w:noProof/>
        </w:rPr>
        <w:t>804</w:t>
      </w:r>
      <w:r>
        <w:rPr>
          <w:noProof/>
        </w:rPr>
        <w:fldChar w:fldCharType="end"/>
      </w:r>
    </w:p>
    <w:p w14:paraId="33D5B8D1" w14:textId="6069E3D3" w:rsidR="00D779FE" w:rsidRDefault="00D779FE">
      <w:pPr>
        <w:pStyle w:val="TOC3"/>
        <w:rPr>
          <w:rFonts w:asciiTheme="minorHAnsi" w:eastAsiaTheme="minorEastAsia" w:hAnsiTheme="minorHAnsi" w:cstheme="minorBidi"/>
          <w:b w:val="0"/>
          <w:noProof/>
          <w:kern w:val="2"/>
          <w:szCs w:val="22"/>
          <w14:ligatures w14:val="standardContextual"/>
        </w:rPr>
      </w:pPr>
      <w:r>
        <w:rPr>
          <w:noProof/>
        </w:rPr>
        <w:t>Part 3—Prescribed information relating to proposed compromise or arrangement with members or a class of members</w:t>
      </w:r>
      <w:r>
        <w:rPr>
          <w:noProof/>
        </w:rPr>
        <w:tab/>
      </w:r>
      <w:r>
        <w:rPr>
          <w:noProof/>
        </w:rPr>
        <w:fldChar w:fldCharType="begin"/>
      </w:r>
      <w:r>
        <w:rPr>
          <w:noProof/>
        </w:rPr>
        <w:instrText xml:space="preserve"> PAGEREF _Toc158713447 \h </w:instrText>
      </w:r>
      <w:r>
        <w:rPr>
          <w:noProof/>
        </w:rPr>
      </w:r>
      <w:r>
        <w:rPr>
          <w:noProof/>
        </w:rPr>
        <w:fldChar w:fldCharType="separate"/>
      </w:r>
      <w:r>
        <w:rPr>
          <w:noProof/>
        </w:rPr>
        <w:t>805</w:t>
      </w:r>
      <w:r>
        <w:rPr>
          <w:noProof/>
        </w:rPr>
        <w:fldChar w:fldCharType="end"/>
      </w:r>
    </w:p>
    <w:p w14:paraId="291FEABE" w14:textId="70BF8A12" w:rsidR="00D779FE" w:rsidRDefault="00D779FE">
      <w:pPr>
        <w:pStyle w:val="TOC3"/>
        <w:rPr>
          <w:rFonts w:asciiTheme="minorHAnsi" w:eastAsiaTheme="minorEastAsia" w:hAnsiTheme="minorHAnsi" w:cstheme="minorBidi"/>
          <w:b w:val="0"/>
          <w:noProof/>
          <w:kern w:val="2"/>
          <w:szCs w:val="22"/>
          <w14:ligatures w14:val="standardContextual"/>
        </w:rPr>
      </w:pPr>
      <w:r>
        <w:rPr>
          <w:noProof/>
        </w:rPr>
        <w:t>Part 4—Prescribed information relating to proposed compromise or arrangement with members or class of members for transfer to a trustee</w:t>
      </w:r>
      <w:r>
        <w:rPr>
          <w:noProof/>
        </w:rPr>
        <w:tab/>
      </w:r>
      <w:r>
        <w:rPr>
          <w:noProof/>
        </w:rPr>
        <w:fldChar w:fldCharType="begin"/>
      </w:r>
      <w:r>
        <w:rPr>
          <w:noProof/>
        </w:rPr>
        <w:instrText xml:space="preserve"> PAGEREF _Toc158713448 \h </w:instrText>
      </w:r>
      <w:r>
        <w:rPr>
          <w:noProof/>
        </w:rPr>
      </w:r>
      <w:r>
        <w:rPr>
          <w:noProof/>
        </w:rPr>
        <w:fldChar w:fldCharType="separate"/>
      </w:r>
      <w:r>
        <w:rPr>
          <w:noProof/>
        </w:rPr>
        <w:t>808</w:t>
      </w:r>
      <w:r>
        <w:rPr>
          <w:noProof/>
        </w:rPr>
        <w:fldChar w:fldCharType="end"/>
      </w:r>
    </w:p>
    <w:p w14:paraId="487D3312" w14:textId="2CC87951"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8A—Deed of company arrangement—prescribed provisions</w:t>
      </w:r>
      <w:r>
        <w:rPr>
          <w:noProof/>
        </w:rPr>
        <w:tab/>
      </w:r>
      <w:r>
        <w:rPr>
          <w:noProof/>
        </w:rPr>
        <w:fldChar w:fldCharType="begin"/>
      </w:r>
      <w:r>
        <w:rPr>
          <w:noProof/>
        </w:rPr>
        <w:instrText xml:space="preserve"> PAGEREF _Toc158713449 \h </w:instrText>
      </w:r>
      <w:r>
        <w:rPr>
          <w:noProof/>
        </w:rPr>
      </w:r>
      <w:r>
        <w:rPr>
          <w:noProof/>
        </w:rPr>
        <w:fldChar w:fldCharType="separate"/>
      </w:r>
      <w:r>
        <w:rPr>
          <w:noProof/>
        </w:rPr>
        <w:t>809</w:t>
      </w:r>
      <w:r>
        <w:rPr>
          <w:noProof/>
        </w:rPr>
        <w:fldChar w:fldCharType="end"/>
      </w:r>
    </w:p>
    <w:p w14:paraId="061D0E49" w14:textId="4FA3851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Administrator deemed agent of company</w:t>
      </w:r>
      <w:r>
        <w:rPr>
          <w:noProof/>
        </w:rPr>
        <w:tab/>
      </w:r>
      <w:r>
        <w:rPr>
          <w:noProof/>
        </w:rPr>
        <w:fldChar w:fldCharType="begin"/>
      </w:r>
      <w:r>
        <w:rPr>
          <w:noProof/>
        </w:rPr>
        <w:instrText xml:space="preserve"> PAGEREF _Toc158713450 \h </w:instrText>
      </w:r>
      <w:r>
        <w:rPr>
          <w:noProof/>
        </w:rPr>
      </w:r>
      <w:r>
        <w:rPr>
          <w:noProof/>
        </w:rPr>
        <w:fldChar w:fldCharType="separate"/>
      </w:r>
      <w:r>
        <w:rPr>
          <w:noProof/>
        </w:rPr>
        <w:t>809</w:t>
      </w:r>
      <w:r>
        <w:rPr>
          <w:noProof/>
        </w:rPr>
        <w:fldChar w:fldCharType="end"/>
      </w:r>
    </w:p>
    <w:p w14:paraId="23B9CAB5" w14:textId="70FD0D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Powers of administrator</w:t>
      </w:r>
      <w:r>
        <w:rPr>
          <w:noProof/>
        </w:rPr>
        <w:tab/>
      </w:r>
      <w:r>
        <w:rPr>
          <w:noProof/>
        </w:rPr>
        <w:fldChar w:fldCharType="begin"/>
      </w:r>
      <w:r>
        <w:rPr>
          <w:noProof/>
        </w:rPr>
        <w:instrText xml:space="preserve"> PAGEREF _Toc158713451 \h </w:instrText>
      </w:r>
      <w:r>
        <w:rPr>
          <w:noProof/>
        </w:rPr>
      </w:r>
      <w:r>
        <w:rPr>
          <w:noProof/>
        </w:rPr>
        <w:fldChar w:fldCharType="separate"/>
      </w:r>
      <w:r>
        <w:rPr>
          <w:noProof/>
        </w:rPr>
        <w:t>809</w:t>
      </w:r>
      <w:r>
        <w:rPr>
          <w:noProof/>
        </w:rPr>
        <w:fldChar w:fldCharType="end"/>
      </w:r>
    </w:p>
    <w:p w14:paraId="29A24078" w14:textId="3BD060F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3  Termination of deed where arrangement fails</w:t>
      </w:r>
      <w:r>
        <w:rPr>
          <w:noProof/>
        </w:rPr>
        <w:tab/>
      </w:r>
      <w:r>
        <w:rPr>
          <w:noProof/>
        </w:rPr>
        <w:fldChar w:fldCharType="begin"/>
      </w:r>
      <w:r>
        <w:rPr>
          <w:noProof/>
        </w:rPr>
        <w:instrText xml:space="preserve"> PAGEREF _Toc158713452 \h </w:instrText>
      </w:r>
      <w:r>
        <w:rPr>
          <w:noProof/>
        </w:rPr>
      </w:r>
      <w:r>
        <w:rPr>
          <w:noProof/>
        </w:rPr>
        <w:fldChar w:fldCharType="separate"/>
      </w:r>
      <w:r>
        <w:rPr>
          <w:noProof/>
        </w:rPr>
        <w:t>810</w:t>
      </w:r>
      <w:r>
        <w:rPr>
          <w:noProof/>
        </w:rPr>
        <w:fldChar w:fldCharType="end"/>
      </w:r>
    </w:p>
    <w:p w14:paraId="509016B5" w14:textId="16EBE1A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4  Priority</w:t>
      </w:r>
      <w:r>
        <w:rPr>
          <w:noProof/>
        </w:rPr>
        <w:tab/>
      </w:r>
      <w:r>
        <w:rPr>
          <w:noProof/>
        </w:rPr>
        <w:fldChar w:fldCharType="begin"/>
      </w:r>
      <w:r>
        <w:rPr>
          <w:noProof/>
        </w:rPr>
        <w:instrText xml:space="preserve"> PAGEREF _Toc158713453 \h </w:instrText>
      </w:r>
      <w:r>
        <w:rPr>
          <w:noProof/>
        </w:rPr>
      </w:r>
      <w:r>
        <w:rPr>
          <w:noProof/>
        </w:rPr>
        <w:fldChar w:fldCharType="separate"/>
      </w:r>
      <w:r>
        <w:rPr>
          <w:noProof/>
        </w:rPr>
        <w:t>810</w:t>
      </w:r>
      <w:r>
        <w:rPr>
          <w:noProof/>
        </w:rPr>
        <w:fldChar w:fldCharType="end"/>
      </w:r>
    </w:p>
    <w:p w14:paraId="42C3F2CC" w14:textId="6756ECD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  Discharge of debts</w:t>
      </w:r>
      <w:r>
        <w:rPr>
          <w:noProof/>
        </w:rPr>
        <w:tab/>
      </w:r>
      <w:r>
        <w:rPr>
          <w:noProof/>
        </w:rPr>
        <w:fldChar w:fldCharType="begin"/>
      </w:r>
      <w:r>
        <w:rPr>
          <w:noProof/>
        </w:rPr>
        <w:instrText xml:space="preserve"> PAGEREF _Toc158713454 \h </w:instrText>
      </w:r>
      <w:r>
        <w:rPr>
          <w:noProof/>
        </w:rPr>
      </w:r>
      <w:r>
        <w:rPr>
          <w:noProof/>
        </w:rPr>
        <w:fldChar w:fldCharType="separate"/>
      </w:r>
      <w:r>
        <w:rPr>
          <w:noProof/>
        </w:rPr>
        <w:t>810</w:t>
      </w:r>
      <w:r>
        <w:rPr>
          <w:noProof/>
        </w:rPr>
        <w:fldChar w:fldCharType="end"/>
      </w:r>
    </w:p>
    <w:p w14:paraId="72465C2A" w14:textId="0A09BA5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  Claims extinguished</w:t>
      </w:r>
      <w:r>
        <w:rPr>
          <w:noProof/>
        </w:rPr>
        <w:tab/>
      </w:r>
      <w:r>
        <w:rPr>
          <w:noProof/>
        </w:rPr>
        <w:fldChar w:fldCharType="begin"/>
      </w:r>
      <w:r>
        <w:rPr>
          <w:noProof/>
        </w:rPr>
        <w:instrText xml:space="preserve"> PAGEREF _Toc158713455 \h </w:instrText>
      </w:r>
      <w:r>
        <w:rPr>
          <w:noProof/>
        </w:rPr>
      </w:r>
      <w:r>
        <w:rPr>
          <w:noProof/>
        </w:rPr>
        <w:fldChar w:fldCharType="separate"/>
      </w:r>
      <w:r>
        <w:rPr>
          <w:noProof/>
        </w:rPr>
        <w:t>810</w:t>
      </w:r>
      <w:r>
        <w:rPr>
          <w:noProof/>
        </w:rPr>
        <w:fldChar w:fldCharType="end"/>
      </w:r>
    </w:p>
    <w:p w14:paraId="104AB238" w14:textId="1AE51A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  Bar to creditors’ claims</w:t>
      </w:r>
      <w:r>
        <w:rPr>
          <w:noProof/>
        </w:rPr>
        <w:tab/>
      </w:r>
      <w:r>
        <w:rPr>
          <w:noProof/>
        </w:rPr>
        <w:fldChar w:fldCharType="begin"/>
      </w:r>
      <w:r>
        <w:rPr>
          <w:noProof/>
        </w:rPr>
        <w:instrText xml:space="preserve"> PAGEREF _Toc158713456 \h </w:instrText>
      </w:r>
      <w:r>
        <w:rPr>
          <w:noProof/>
        </w:rPr>
      </w:r>
      <w:r>
        <w:rPr>
          <w:noProof/>
        </w:rPr>
        <w:fldChar w:fldCharType="separate"/>
      </w:r>
      <w:r>
        <w:rPr>
          <w:noProof/>
        </w:rPr>
        <w:t>810</w:t>
      </w:r>
      <w:r>
        <w:rPr>
          <w:noProof/>
        </w:rPr>
        <w:fldChar w:fldCharType="end"/>
      </w:r>
    </w:p>
    <w:p w14:paraId="1CA3C4AB" w14:textId="644C54F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  Making claims</w:t>
      </w:r>
      <w:r>
        <w:rPr>
          <w:noProof/>
        </w:rPr>
        <w:tab/>
      </w:r>
      <w:r>
        <w:rPr>
          <w:noProof/>
        </w:rPr>
        <w:fldChar w:fldCharType="begin"/>
      </w:r>
      <w:r>
        <w:rPr>
          <w:noProof/>
        </w:rPr>
        <w:instrText xml:space="preserve"> PAGEREF _Toc158713457 \h </w:instrText>
      </w:r>
      <w:r>
        <w:rPr>
          <w:noProof/>
        </w:rPr>
      </w:r>
      <w:r>
        <w:rPr>
          <w:noProof/>
        </w:rPr>
        <w:fldChar w:fldCharType="separate"/>
      </w:r>
      <w:r>
        <w:rPr>
          <w:noProof/>
        </w:rPr>
        <w:t>811</w:t>
      </w:r>
      <w:r>
        <w:rPr>
          <w:noProof/>
        </w:rPr>
        <w:fldChar w:fldCharType="end"/>
      </w:r>
    </w:p>
    <w:p w14:paraId="51BCA20C" w14:textId="7761901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  Lodging of accounts</w:t>
      </w:r>
      <w:r>
        <w:rPr>
          <w:noProof/>
        </w:rPr>
        <w:tab/>
      </w:r>
      <w:r>
        <w:rPr>
          <w:noProof/>
        </w:rPr>
        <w:fldChar w:fldCharType="begin"/>
      </w:r>
      <w:r>
        <w:rPr>
          <w:noProof/>
        </w:rPr>
        <w:instrText xml:space="preserve"> PAGEREF _Toc158713458 \h </w:instrText>
      </w:r>
      <w:r>
        <w:rPr>
          <w:noProof/>
        </w:rPr>
      </w:r>
      <w:r>
        <w:rPr>
          <w:noProof/>
        </w:rPr>
        <w:fldChar w:fldCharType="separate"/>
      </w:r>
      <w:r>
        <w:rPr>
          <w:noProof/>
        </w:rPr>
        <w:t>811</w:t>
      </w:r>
      <w:r>
        <w:rPr>
          <w:noProof/>
        </w:rPr>
        <w:fldChar w:fldCharType="end"/>
      </w:r>
    </w:p>
    <w:p w14:paraId="4CA17C9A" w14:textId="0B3CA92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11  Committee of inspection</w:t>
      </w:r>
      <w:r>
        <w:rPr>
          <w:noProof/>
        </w:rPr>
        <w:tab/>
      </w:r>
      <w:r>
        <w:rPr>
          <w:noProof/>
        </w:rPr>
        <w:fldChar w:fldCharType="begin"/>
      </w:r>
      <w:r>
        <w:rPr>
          <w:noProof/>
        </w:rPr>
        <w:instrText xml:space="preserve"> PAGEREF _Toc158713459 \h </w:instrText>
      </w:r>
      <w:r>
        <w:rPr>
          <w:noProof/>
        </w:rPr>
      </w:r>
      <w:r>
        <w:rPr>
          <w:noProof/>
        </w:rPr>
        <w:fldChar w:fldCharType="separate"/>
      </w:r>
      <w:r>
        <w:rPr>
          <w:noProof/>
        </w:rPr>
        <w:t>811</w:t>
      </w:r>
      <w:r>
        <w:rPr>
          <w:noProof/>
        </w:rPr>
        <w:fldChar w:fldCharType="end"/>
      </w:r>
    </w:p>
    <w:p w14:paraId="6A35FC68" w14:textId="0A47EFE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12  Termination of deed where arrangement achieves purpose</w:t>
      </w:r>
      <w:r>
        <w:rPr>
          <w:noProof/>
        </w:rPr>
        <w:tab/>
      </w:r>
      <w:r>
        <w:rPr>
          <w:noProof/>
        </w:rPr>
        <w:fldChar w:fldCharType="begin"/>
      </w:r>
      <w:r>
        <w:rPr>
          <w:noProof/>
        </w:rPr>
        <w:instrText xml:space="preserve"> PAGEREF _Toc158713460 \h </w:instrText>
      </w:r>
      <w:r>
        <w:rPr>
          <w:noProof/>
        </w:rPr>
      </w:r>
      <w:r>
        <w:rPr>
          <w:noProof/>
        </w:rPr>
        <w:fldChar w:fldCharType="separate"/>
      </w:r>
      <w:r>
        <w:rPr>
          <w:noProof/>
        </w:rPr>
        <w:t>811</w:t>
      </w:r>
      <w:r>
        <w:rPr>
          <w:noProof/>
        </w:rPr>
        <w:fldChar w:fldCharType="end"/>
      </w:r>
    </w:p>
    <w:p w14:paraId="3421012A" w14:textId="1972EE86"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8AA—Trustee companies</w:t>
      </w:r>
      <w:r>
        <w:rPr>
          <w:noProof/>
        </w:rPr>
        <w:tab/>
      </w:r>
      <w:r>
        <w:rPr>
          <w:noProof/>
        </w:rPr>
        <w:fldChar w:fldCharType="begin"/>
      </w:r>
      <w:r>
        <w:rPr>
          <w:noProof/>
        </w:rPr>
        <w:instrText xml:space="preserve"> PAGEREF _Toc158713461 \h </w:instrText>
      </w:r>
      <w:r>
        <w:rPr>
          <w:noProof/>
        </w:rPr>
      </w:r>
      <w:r>
        <w:rPr>
          <w:noProof/>
        </w:rPr>
        <w:fldChar w:fldCharType="separate"/>
      </w:r>
      <w:r>
        <w:rPr>
          <w:noProof/>
        </w:rPr>
        <w:t>812</w:t>
      </w:r>
      <w:r>
        <w:rPr>
          <w:noProof/>
        </w:rPr>
        <w:fldChar w:fldCharType="end"/>
      </w:r>
    </w:p>
    <w:p w14:paraId="71368ADC" w14:textId="064897BC"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8AB—Prescribed State and Territory provisions for paragraph 601RAE(4)(a) of the Act</w:t>
      </w:r>
      <w:r>
        <w:rPr>
          <w:noProof/>
        </w:rPr>
        <w:tab/>
      </w:r>
      <w:r>
        <w:rPr>
          <w:noProof/>
        </w:rPr>
        <w:fldChar w:fldCharType="begin"/>
      </w:r>
      <w:r>
        <w:rPr>
          <w:noProof/>
        </w:rPr>
        <w:instrText xml:space="preserve"> PAGEREF _Toc158713462 \h </w:instrText>
      </w:r>
      <w:r>
        <w:rPr>
          <w:noProof/>
        </w:rPr>
      </w:r>
      <w:r>
        <w:rPr>
          <w:noProof/>
        </w:rPr>
        <w:fldChar w:fldCharType="separate"/>
      </w:r>
      <w:r>
        <w:rPr>
          <w:noProof/>
        </w:rPr>
        <w:t>813</w:t>
      </w:r>
      <w:r>
        <w:rPr>
          <w:noProof/>
        </w:rPr>
        <w:fldChar w:fldCharType="end"/>
      </w:r>
    </w:p>
    <w:p w14:paraId="547A1B9F" w14:textId="22B67679"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8AC—Prescribed State and Territory laws and provisions for paragraph 601RAE(4)(b) of the Act—estate administration</w:t>
      </w:r>
      <w:r>
        <w:rPr>
          <w:noProof/>
        </w:rPr>
        <w:tab/>
      </w:r>
      <w:r>
        <w:rPr>
          <w:noProof/>
        </w:rPr>
        <w:fldChar w:fldCharType="begin"/>
      </w:r>
      <w:r>
        <w:rPr>
          <w:noProof/>
        </w:rPr>
        <w:instrText xml:space="preserve"> PAGEREF _Toc158713463 \h </w:instrText>
      </w:r>
      <w:r>
        <w:rPr>
          <w:noProof/>
        </w:rPr>
      </w:r>
      <w:r>
        <w:rPr>
          <w:noProof/>
        </w:rPr>
        <w:fldChar w:fldCharType="separate"/>
      </w:r>
      <w:r>
        <w:rPr>
          <w:noProof/>
        </w:rPr>
        <w:t>814</w:t>
      </w:r>
      <w:r>
        <w:rPr>
          <w:noProof/>
        </w:rPr>
        <w:fldChar w:fldCharType="end"/>
      </w:r>
    </w:p>
    <w:p w14:paraId="6B828CC8" w14:textId="0B8C43B3"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8AD—Prescribed State and Territory laws and provisions for paragraph 601RAE(4)(b) of the Act</w:t>
      </w:r>
      <w:r>
        <w:rPr>
          <w:noProof/>
        </w:rPr>
        <w:tab/>
      </w:r>
      <w:r>
        <w:rPr>
          <w:noProof/>
        </w:rPr>
        <w:fldChar w:fldCharType="begin"/>
      </w:r>
      <w:r>
        <w:rPr>
          <w:noProof/>
        </w:rPr>
        <w:instrText xml:space="preserve"> PAGEREF _Toc158713464 \h </w:instrText>
      </w:r>
      <w:r>
        <w:rPr>
          <w:noProof/>
        </w:rPr>
      </w:r>
      <w:r>
        <w:rPr>
          <w:noProof/>
        </w:rPr>
        <w:fldChar w:fldCharType="separate"/>
      </w:r>
      <w:r>
        <w:rPr>
          <w:noProof/>
        </w:rPr>
        <w:t>815</w:t>
      </w:r>
      <w:r>
        <w:rPr>
          <w:noProof/>
        </w:rPr>
        <w:fldChar w:fldCharType="end"/>
      </w:r>
    </w:p>
    <w:p w14:paraId="0A5FD5B0" w14:textId="1D36A76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8AE—Relevant State and Territory provisions</w:t>
      </w:r>
      <w:r>
        <w:rPr>
          <w:noProof/>
        </w:rPr>
        <w:tab/>
      </w:r>
      <w:r>
        <w:rPr>
          <w:noProof/>
        </w:rPr>
        <w:fldChar w:fldCharType="begin"/>
      </w:r>
      <w:r>
        <w:rPr>
          <w:noProof/>
        </w:rPr>
        <w:instrText xml:space="preserve"> PAGEREF _Toc158713465 \h </w:instrText>
      </w:r>
      <w:r>
        <w:rPr>
          <w:noProof/>
        </w:rPr>
      </w:r>
      <w:r>
        <w:rPr>
          <w:noProof/>
        </w:rPr>
        <w:fldChar w:fldCharType="separate"/>
      </w:r>
      <w:r>
        <w:rPr>
          <w:noProof/>
        </w:rPr>
        <w:t>817</w:t>
      </w:r>
      <w:r>
        <w:rPr>
          <w:noProof/>
        </w:rPr>
        <w:fldChar w:fldCharType="end"/>
      </w:r>
    </w:p>
    <w:p w14:paraId="19956C53" w14:textId="623521C0"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8C—Modifications of Part 7.5 of the Act—compensation regimes</w:t>
      </w:r>
      <w:r>
        <w:rPr>
          <w:noProof/>
        </w:rPr>
        <w:tab/>
      </w:r>
      <w:r>
        <w:rPr>
          <w:noProof/>
        </w:rPr>
        <w:fldChar w:fldCharType="begin"/>
      </w:r>
      <w:r>
        <w:rPr>
          <w:noProof/>
        </w:rPr>
        <w:instrText xml:space="preserve"> PAGEREF _Toc158713466 \h </w:instrText>
      </w:r>
      <w:r>
        <w:rPr>
          <w:noProof/>
        </w:rPr>
      </w:r>
      <w:r>
        <w:rPr>
          <w:noProof/>
        </w:rPr>
        <w:fldChar w:fldCharType="separate"/>
      </w:r>
      <w:r>
        <w:rPr>
          <w:noProof/>
        </w:rPr>
        <w:t>818</w:t>
      </w:r>
      <w:r>
        <w:rPr>
          <w:noProof/>
        </w:rPr>
        <w:fldChar w:fldCharType="end"/>
      </w:r>
    </w:p>
    <w:p w14:paraId="14696626" w14:textId="33DEB6E8"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8D—Tables for reporting portfolio holding information</w:t>
      </w:r>
      <w:r>
        <w:rPr>
          <w:noProof/>
        </w:rPr>
        <w:tab/>
      </w:r>
      <w:r>
        <w:rPr>
          <w:noProof/>
        </w:rPr>
        <w:fldChar w:fldCharType="begin"/>
      </w:r>
      <w:r>
        <w:rPr>
          <w:noProof/>
        </w:rPr>
        <w:instrText xml:space="preserve"> PAGEREF _Toc158713467 \h </w:instrText>
      </w:r>
      <w:r>
        <w:rPr>
          <w:noProof/>
        </w:rPr>
      </w:r>
      <w:r>
        <w:rPr>
          <w:noProof/>
        </w:rPr>
        <w:fldChar w:fldCharType="separate"/>
      </w:r>
      <w:r>
        <w:rPr>
          <w:noProof/>
        </w:rPr>
        <w:t>821</w:t>
      </w:r>
      <w:r>
        <w:rPr>
          <w:noProof/>
        </w:rPr>
        <w:fldChar w:fldCharType="end"/>
      </w:r>
    </w:p>
    <w:p w14:paraId="2A8089E9" w14:textId="7372ED8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Table 1—Assets</w:t>
      </w:r>
      <w:r>
        <w:rPr>
          <w:noProof/>
        </w:rPr>
        <w:tab/>
      </w:r>
      <w:r>
        <w:rPr>
          <w:noProof/>
        </w:rPr>
        <w:fldChar w:fldCharType="begin"/>
      </w:r>
      <w:r>
        <w:rPr>
          <w:noProof/>
        </w:rPr>
        <w:instrText xml:space="preserve"> PAGEREF _Toc158713468 \h </w:instrText>
      </w:r>
      <w:r>
        <w:rPr>
          <w:noProof/>
        </w:rPr>
      </w:r>
      <w:r>
        <w:rPr>
          <w:noProof/>
        </w:rPr>
        <w:fldChar w:fldCharType="separate"/>
      </w:r>
      <w:r>
        <w:rPr>
          <w:noProof/>
        </w:rPr>
        <w:t>821</w:t>
      </w:r>
      <w:r>
        <w:rPr>
          <w:noProof/>
        </w:rPr>
        <w:fldChar w:fldCharType="end"/>
      </w:r>
    </w:p>
    <w:p w14:paraId="20377BC6" w14:textId="412964E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Table 2—Derivatives by kind of derivative</w:t>
      </w:r>
      <w:r>
        <w:rPr>
          <w:noProof/>
        </w:rPr>
        <w:tab/>
      </w:r>
      <w:r>
        <w:rPr>
          <w:noProof/>
        </w:rPr>
        <w:fldChar w:fldCharType="begin"/>
      </w:r>
      <w:r>
        <w:rPr>
          <w:noProof/>
        </w:rPr>
        <w:instrText xml:space="preserve"> PAGEREF _Toc158713469 \h </w:instrText>
      </w:r>
      <w:r>
        <w:rPr>
          <w:noProof/>
        </w:rPr>
      </w:r>
      <w:r>
        <w:rPr>
          <w:noProof/>
        </w:rPr>
        <w:fldChar w:fldCharType="separate"/>
      </w:r>
      <w:r>
        <w:rPr>
          <w:noProof/>
        </w:rPr>
        <w:t>824</w:t>
      </w:r>
      <w:r>
        <w:rPr>
          <w:noProof/>
        </w:rPr>
        <w:fldChar w:fldCharType="end"/>
      </w:r>
    </w:p>
    <w:p w14:paraId="0B942364" w14:textId="09412BC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  Table 3—Derivatives by asset class</w:t>
      </w:r>
      <w:r>
        <w:rPr>
          <w:noProof/>
        </w:rPr>
        <w:tab/>
      </w:r>
      <w:r>
        <w:rPr>
          <w:noProof/>
        </w:rPr>
        <w:fldChar w:fldCharType="begin"/>
      </w:r>
      <w:r>
        <w:rPr>
          <w:noProof/>
        </w:rPr>
        <w:instrText xml:space="preserve"> PAGEREF _Toc158713470 \h </w:instrText>
      </w:r>
      <w:r>
        <w:rPr>
          <w:noProof/>
        </w:rPr>
      </w:r>
      <w:r>
        <w:rPr>
          <w:noProof/>
        </w:rPr>
        <w:fldChar w:fldCharType="separate"/>
      </w:r>
      <w:r>
        <w:rPr>
          <w:noProof/>
        </w:rPr>
        <w:t>824</w:t>
      </w:r>
      <w:r>
        <w:rPr>
          <w:noProof/>
        </w:rPr>
        <w:fldChar w:fldCharType="end"/>
      </w:r>
    </w:p>
    <w:p w14:paraId="4D1E593E" w14:textId="7C4AF02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4  Table 4—Derivatives by currency</w:t>
      </w:r>
      <w:r>
        <w:rPr>
          <w:noProof/>
        </w:rPr>
        <w:tab/>
      </w:r>
      <w:r>
        <w:rPr>
          <w:noProof/>
        </w:rPr>
        <w:fldChar w:fldCharType="begin"/>
      </w:r>
      <w:r>
        <w:rPr>
          <w:noProof/>
        </w:rPr>
        <w:instrText xml:space="preserve"> PAGEREF _Toc158713471 \h </w:instrText>
      </w:r>
      <w:r>
        <w:rPr>
          <w:noProof/>
        </w:rPr>
      </w:r>
      <w:r>
        <w:rPr>
          <w:noProof/>
        </w:rPr>
        <w:fldChar w:fldCharType="separate"/>
      </w:r>
      <w:r>
        <w:rPr>
          <w:noProof/>
        </w:rPr>
        <w:t>824</w:t>
      </w:r>
      <w:r>
        <w:rPr>
          <w:noProof/>
        </w:rPr>
        <w:fldChar w:fldCharType="end"/>
      </w:r>
    </w:p>
    <w:p w14:paraId="205275EB" w14:textId="4286AEE2"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9—Companies authorised to effect transfers under Part 7.11 of the Act</w:t>
      </w:r>
      <w:r>
        <w:rPr>
          <w:noProof/>
        </w:rPr>
        <w:tab/>
      </w:r>
      <w:r>
        <w:rPr>
          <w:noProof/>
        </w:rPr>
        <w:fldChar w:fldCharType="begin"/>
      </w:r>
      <w:r>
        <w:rPr>
          <w:noProof/>
        </w:rPr>
        <w:instrText xml:space="preserve"> PAGEREF _Toc158713472 \h </w:instrText>
      </w:r>
      <w:r>
        <w:rPr>
          <w:noProof/>
        </w:rPr>
      </w:r>
      <w:r>
        <w:rPr>
          <w:noProof/>
        </w:rPr>
        <w:fldChar w:fldCharType="separate"/>
      </w:r>
      <w:r>
        <w:rPr>
          <w:noProof/>
        </w:rPr>
        <w:t>825</w:t>
      </w:r>
      <w:r>
        <w:rPr>
          <w:noProof/>
        </w:rPr>
        <w:fldChar w:fldCharType="end"/>
      </w:r>
    </w:p>
    <w:p w14:paraId="16827C69" w14:textId="4B394E7E"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10—Disclosure of fees and other costs</w:t>
      </w:r>
      <w:r>
        <w:rPr>
          <w:noProof/>
        </w:rPr>
        <w:tab/>
      </w:r>
      <w:r>
        <w:rPr>
          <w:noProof/>
        </w:rPr>
        <w:fldChar w:fldCharType="begin"/>
      </w:r>
      <w:r>
        <w:rPr>
          <w:noProof/>
        </w:rPr>
        <w:instrText xml:space="preserve"> PAGEREF _Toc158713473 \h </w:instrText>
      </w:r>
      <w:r>
        <w:rPr>
          <w:noProof/>
        </w:rPr>
      </w:r>
      <w:r>
        <w:rPr>
          <w:noProof/>
        </w:rPr>
        <w:fldChar w:fldCharType="separate"/>
      </w:r>
      <w:r>
        <w:rPr>
          <w:noProof/>
        </w:rPr>
        <w:t>826</w:t>
      </w:r>
      <w:r>
        <w:rPr>
          <w:noProof/>
        </w:rPr>
        <w:fldChar w:fldCharType="end"/>
      </w:r>
    </w:p>
    <w:p w14:paraId="26EB78ED" w14:textId="40F9913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1—Interpretation</w:t>
      </w:r>
      <w:r>
        <w:rPr>
          <w:noProof/>
        </w:rPr>
        <w:tab/>
      </w:r>
      <w:r>
        <w:rPr>
          <w:noProof/>
        </w:rPr>
        <w:fldChar w:fldCharType="begin"/>
      </w:r>
      <w:r>
        <w:rPr>
          <w:noProof/>
        </w:rPr>
        <w:instrText xml:space="preserve"> PAGEREF _Toc158713474 \h </w:instrText>
      </w:r>
      <w:r>
        <w:rPr>
          <w:noProof/>
        </w:rPr>
      </w:r>
      <w:r>
        <w:rPr>
          <w:noProof/>
        </w:rPr>
        <w:fldChar w:fldCharType="separate"/>
      </w:r>
      <w:r>
        <w:rPr>
          <w:noProof/>
        </w:rPr>
        <w:t>826</w:t>
      </w:r>
      <w:r>
        <w:rPr>
          <w:noProof/>
        </w:rPr>
        <w:fldChar w:fldCharType="end"/>
      </w:r>
    </w:p>
    <w:p w14:paraId="328AD917" w14:textId="0EE6856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101  Definitions</w:t>
      </w:r>
      <w:r>
        <w:rPr>
          <w:noProof/>
        </w:rPr>
        <w:tab/>
      </w:r>
      <w:r>
        <w:rPr>
          <w:noProof/>
        </w:rPr>
        <w:fldChar w:fldCharType="begin"/>
      </w:r>
      <w:r>
        <w:rPr>
          <w:noProof/>
        </w:rPr>
        <w:instrText xml:space="preserve"> PAGEREF _Toc158713475 \h </w:instrText>
      </w:r>
      <w:r>
        <w:rPr>
          <w:noProof/>
        </w:rPr>
      </w:r>
      <w:r>
        <w:rPr>
          <w:noProof/>
        </w:rPr>
        <w:fldChar w:fldCharType="separate"/>
      </w:r>
      <w:r>
        <w:rPr>
          <w:noProof/>
        </w:rPr>
        <w:t>826</w:t>
      </w:r>
      <w:r>
        <w:rPr>
          <w:noProof/>
        </w:rPr>
        <w:fldChar w:fldCharType="end"/>
      </w:r>
    </w:p>
    <w:p w14:paraId="13B71BA7" w14:textId="1789CFE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102  Meaning of </w:t>
      </w:r>
      <w:r w:rsidRPr="00FC743A">
        <w:rPr>
          <w:i/>
          <w:noProof/>
        </w:rPr>
        <w:t>management costs</w:t>
      </w:r>
      <w:r>
        <w:rPr>
          <w:noProof/>
        </w:rPr>
        <w:tab/>
      </w:r>
      <w:r>
        <w:rPr>
          <w:noProof/>
        </w:rPr>
        <w:fldChar w:fldCharType="begin"/>
      </w:r>
      <w:r>
        <w:rPr>
          <w:noProof/>
        </w:rPr>
        <w:instrText xml:space="preserve"> PAGEREF _Toc158713476 \h </w:instrText>
      </w:r>
      <w:r>
        <w:rPr>
          <w:noProof/>
        </w:rPr>
      </w:r>
      <w:r>
        <w:rPr>
          <w:noProof/>
        </w:rPr>
        <w:fldChar w:fldCharType="separate"/>
      </w:r>
      <w:r>
        <w:rPr>
          <w:noProof/>
        </w:rPr>
        <w:t>827</w:t>
      </w:r>
      <w:r>
        <w:rPr>
          <w:noProof/>
        </w:rPr>
        <w:fldChar w:fldCharType="end"/>
      </w:r>
    </w:p>
    <w:p w14:paraId="72AC9667" w14:textId="0FF36C7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103  Meaning of </w:t>
      </w:r>
      <w:r w:rsidRPr="00FC743A">
        <w:rPr>
          <w:i/>
          <w:noProof/>
        </w:rPr>
        <w:t>transactional and operational costs</w:t>
      </w:r>
      <w:r>
        <w:rPr>
          <w:noProof/>
        </w:rPr>
        <w:tab/>
      </w:r>
      <w:r>
        <w:rPr>
          <w:noProof/>
        </w:rPr>
        <w:fldChar w:fldCharType="begin"/>
      </w:r>
      <w:r>
        <w:rPr>
          <w:noProof/>
        </w:rPr>
        <w:instrText xml:space="preserve"> PAGEREF _Toc158713477 \h </w:instrText>
      </w:r>
      <w:r>
        <w:rPr>
          <w:noProof/>
        </w:rPr>
      </w:r>
      <w:r>
        <w:rPr>
          <w:noProof/>
        </w:rPr>
        <w:fldChar w:fldCharType="separate"/>
      </w:r>
      <w:r>
        <w:rPr>
          <w:noProof/>
        </w:rPr>
        <w:t>828</w:t>
      </w:r>
      <w:r>
        <w:rPr>
          <w:noProof/>
        </w:rPr>
        <w:fldChar w:fldCharType="end"/>
      </w:r>
    </w:p>
    <w:p w14:paraId="6212EB39" w14:textId="7173E30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104  Meaning of </w:t>
      </w:r>
      <w:r w:rsidRPr="00FC743A">
        <w:rPr>
          <w:i/>
          <w:noProof/>
        </w:rPr>
        <w:t>indirect cost ratio (ICR)</w:t>
      </w:r>
      <w:r>
        <w:rPr>
          <w:noProof/>
        </w:rPr>
        <w:tab/>
      </w:r>
      <w:r>
        <w:rPr>
          <w:noProof/>
        </w:rPr>
        <w:fldChar w:fldCharType="begin"/>
      </w:r>
      <w:r>
        <w:rPr>
          <w:noProof/>
        </w:rPr>
        <w:instrText xml:space="preserve"> PAGEREF _Toc158713478 \h </w:instrText>
      </w:r>
      <w:r>
        <w:rPr>
          <w:noProof/>
        </w:rPr>
      </w:r>
      <w:r>
        <w:rPr>
          <w:noProof/>
        </w:rPr>
        <w:fldChar w:fldCharType="separate"/>
      </w:r>
      <w:r>
        <w:rPr>
          <w:noProof/>
        </w:rPr>
        <w:t>828</w:t>
      </w:r>
      <w:r>
        <w:rPr>
          <w:noProof/>
        </w:rPr>
        <w:fldChar w:fldCharType="end"/>
      </w:r>
    </w:p>
    <w:p w14:paraId="0AD6C2A7" w14:textId="05CB1A5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2—Fees and Costs Template, example of annual fees and costs and Consumer Advisory Warning for Product Disclosure Statements</w:t>
      </w:r>
      <w:r>
        <w:rPr>
          <w:noProof/>
        </w:rPr>
        <w:tab/>
      </w:r>
      <w:r>
        <w:rPr>
          <w:noProof/>
        </w:rPr>
        <w:fldChar w:fldCharType="begin"/>
      </w:r>
      <w:r>
        <w:rPr>
          <w:noProof/>
        </w:rPr>
        <w:instrText xml:space="preserve"> PAGEREF _Toc158713479 \h </w:instrText>
      </w:r>
      <w:r>
        <w:rPr>
          <w:noProof/>
        </w:rPr>
      </w:r>
      <w:r>
        <w:rPr>
          <w:noProof/>
        </w:rPr>
        <w:fldChar w:fldCharType="separate"/>
      </w:r>
      <w:r>
        <w:rPr>
          <w:noProof/>
        </w:rPr>
        <w:t>829</w:t>
      </w:r>
      <w:r>
        <w:rPr>
          <w:noProof/>
        </w:rPr>
        <w:fldChar w:fldCharType="end"/>
      </w:r>
    </w:p>
    <w:p w14:paraId="6BF62515" w14:textId="7C48952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1—The fees and costs template for superannuation products</w:t>
      </w:r>
      <w:r>
        <w:rPr>
          <w:noProof/>
        </w:rPr>
        <w:tab/>
      </w:r>
      <w:r>
        <w:rPr>
          <w:noProof/>
        </w:rPr>
        <w:fldChar w:fldCharType="begin"/>
      </w:r>
      <w:r>
        <w:rPr>
          <w:noProof/>
        </w:rPr>
        <w:instrText xml:space="preserve"> PAGEREF _Toc158713480 \h </w:instrText>
      </w:r>
      <w:r>
        <w:rPr>
          <w:noProof/>
        </w:rPr>
      </w:r>
      <w:r>
        <w:rPr>
          <w:noProof/>
        </w:rPr>
        <w:fldChar w:fldCharType="separate"/>
      </w:r>
      <w:r>
        <w:rPr>
          <w:noProof/>
        </w:rPr>
        <w:t>829</w:t>
      </w:r>
      <w:r>
        <w:rPr>
          <w:noProof/>
        </w:rPr>
        <w:fldChar w:fldCharType="end"/>
      </w:r>
    </w:p>
    <w:p w14:paraId="5CF97B1B" w14:textId="44D8954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201  Template for superannuation products</w:t>
      </w:r>
      <w:r>
        <w:rPr>
          <w:noProof/>
        </w:rPr>
        <w:tab/>
      </w:r>
      <w:r>
        <w:rPr>
          <w:noProof/>
        </w:rPr>
        <w:fldChar w:fldCharType="begin"/>
      </w:r>
      <w:r>
        <w:rPr>
          <w:noProof/>
        </w:rPr>
        <w:instrText xml:space="preserve"> PAGEREF _Toc158713481 \h </w:instrText>
      </w:r>
      <w:r>
        <w:rPr>
          <w:noProof/>
        </w:rPr>
      </w:r>
      <w:r>
        <w:rPr>
          <w:noProof/>
        </w:rPr>
        <w:fldChar w:fldCharType="separate"/>
      </w:r>
      <w:r>
        <w:rPr>
          <w:noProof/>
        </w:rPr>
        <w:t>829</w:t>
      </w:r>
      <w:r>
        <w:rPr>
          <w:noProof/>
        </w:rPr>
        <w:fldChar w:fldCharType="end"/>
      </w:r>
    </w:p>
    <w:p w14:paraId="69F4AAF9" w14:textId="349A37B3"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2—The fees and costs template for collective investment products</w:t>
      </w:r>
      <w:r>
        <w:rPr>
          <w:noProof/>
        </w:rPr>
        <w:tab/>
      </w:r>
      <w:r>
        <w:rPr>
          <w:noProof/>
        </w:rPr>
        <w:fldChar w:fldCharType="begin"/>
      </w:r>
      <w:r>
        <w:rPr>
          <w:noProof/>
        </w:rPr>
        <w:instrText xml:space="preserve"> PAGEREF _Toc158713482 \h </w:instrText>
      </w:r>
      <w:r>
        <w:rPr>
          <w:noProof/>
        </w:rPr>
      </w:r>
      <w:r>
        <w:rPr>
          <w:noProof/>
        </w:rPr>
        <w:fldChar w:fldCharType="separate"/>
      </w:r>
      <w:r>
        <w:rPr>
          <w:noProof/>
        </w:rPr>
        <w:t>830</w:t>
      </w:r>
      <w:r>
        <w:rPr>
          <w:noProof/>
        </w:rPr>
        <w:fldChar w:fldCharType="end"/>
      </w:r>
    </w:p>
    <w:p w14:paraId="6A500F6F" w14:textId="4707AC7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202  Template for a multiple fee structure—collective investment products</w:t>
      </w:r>
      <w:r>
        <w:rPr>
          <w:noProof/>
        </w:rPr>
        <w:tab/>
      </w:r>
      <w:r>
        <w:rPr>
          <w:noProof/>
        </w:rPr>
        <w:fldChar w:fldCharType="begin"/>
      </w:r>
      <w:r>
        <w:rPr>
          <w:noProof/>
        </w:rPr>
        <w:instrText xml:space="preserve"> PAGEREF _Toc158713483 \h </w:instrText>
      </w:r>
      <w:r>
        <w:rPr>
          <w:noProof/>
        </w:rPr>
      </w:r>
      <w:r>
        <w:rPr>
          <w:noProof/>
        </w:rPr>
        <w:fldChar w:fldCharType="separate"/>
      </w:r>
      <w:r>
        <w:rPr>
          <w:noProof/>
        </w:rPr>
        <w:t>830</w:t>
      </w:r>
      <w:r>
        <w:rPr>
          <w:noProof/>
        </w:rPr>
        <w:fldChar w:fldCharType="end"/>
      </w:r>
    </w:p>
    <w:p w14:paraId="1C6D14A1" w14:textId="2D07007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202A  Template for single fee structure—collective investment products</w:t>
      </w:r>
      <w:r>
        <w:rPr>
          <w:noProof/>
        </w:rPr>
        <w:tab/>
      </w:r>
      <w:r>
        <w:rPr>
          <w:noProof/>
        </w:rPr>
        <w:fldChar w:fldCharType="begin"/>
      </w:r>
      <w:r>
        <w:rPr>
          <w:noProof/>
        </w:rPr>
        <w:instrText xml:space="preserve"> PAGEREF _Toc158713484 \h </w:instrText>
      </w:r>
      <w:r>
        <w:rPr>
          <w:noProof/>
        </w:rPr>
      </w:r>
      <w:r>
        <w:rPr>
          <w:noProof/>
        </w:rPr>
        <w:fldChar w:fldCharType="separate"/>
      </w:r>
      <w:r>
        <w:rPr>
          <w:noProof/>
        </w:rPr>
        <w:t>830</w:t>
      </w:r>
      <w:r>
        <w:rPr>
          <w:noProof/>
        </w:rPr>
        <w:fldChar w:fldCharType="end"/>
      </w:r>
    </w:p>
    <w:p w14:paraId="1FBD2F45" w14:textId="7778010B"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3—How to fill in the template</w:t>
      </w:r>
      <w:r>
        <w:rPr>
          <w:noProof/>
        </w:rPr>
        <w:tab/>
      </w:r>
      <w:r>
        <w:rPr>
          <w:noProof/>
        </w:rPr>
        <w:fldChar w:fldCharType="begin"/>
      </w:r>
      <w:r>
        <w:rPr>
          <w:noProof/>
        </w:rPr>
        <w:instrText xml:space="preserve"> PAGEREF _Toc158713485 \h </w:instrText>
      </w:r>
      <w:r>
        <w:rPr>
          <w:noProof/>
        </w:rPr>
      </w:r>
      <w:r>
        <w:rPr>
          <w:noProof/>
        </w:rPr>
        <w:fldChar w:fldCharType="separate"/>
      </w:r>
      <w:r>
        <w:rPr>
          <w:noProof/>
        </w:rPr>
        <w:t>832</w:t>
      </w:r>
      <w:r>
        <w:rPr>
          <w:noProof/>
        </w:rPr>
        <w:fldChar w:fldCharType="end"/>
      </w:r>
    </w:p>
    <w:p w14:paraId="37CB282F" w14:textId="12D67C9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203  The preamble</w:t>
      </w:r>
      <w:r>
        <w:rPr>
          <w:noProof/>
        </w:rPr>
        <w:tab/>
      </w:r>
      <w:r>
        <w:rPr>
          <w:noProof/>
        </w:rPr>
        <w:fldChar w:fldCharType="begin"/>
      </w:r>
      <w:r>
        <w:rPr>
          <w:noProof/>
        </w:rPr>
        <w:instrText xml:space="preserve"> PAGEREF _Toc158713486 \h </w:instrText>
      </w:r>
      <w:r>
        <w:rPr>
          <w:noProof/>
        </w:rPr>
      </w:r>
      <w:r>
        <w:rPr>
          <w:noProof/>
        </w:rPr>
        <w:fldChar w:fldCharType="separate"/>
      </w:r>
      <w:r>
        <w:rPr>
          <w:noProof/>
        </w:rPr>
        <w:t>832</w:t>
      </w:r>
      <w:r>
        <w:rPr>
          <w:noProof/>
        </w:rPr>
        <w:fldChar w:fldCharType="end"/>
      </w:r>
    </w:p>
    <w:p w14:paraId="07D15CCF" w14:textId="199FA91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204  Column 2—presentation of amounts</w:t>
      </w:r>
      <w:r>
        <w:rPr>
          <w:noProof/>
        </w:rPr>
        <w:tab/>
      </w:r>
      <w:r>
        <w:rPr>
          <w:noProof/>
        </w:rPr>
        <w:fldChar w:fldCharType="begin"/>
      </w:r>
      <w:r>
        <w:rPr>
          <w:noProof/>
        </w:rPr>
        <w:instrText xml:space="preserve"> PAGEREF _Toc158713487 \h </w:instrText>
      </w:r>
      <w:r>
        <w:rPr>
          <w:noProof/>
        </w:rPr>
      </w:r>
      <w:r>
        <w:rPr>
          <w:noProof/>
        </w:rPr>
        <w:fldChar w:fldCharType="separate"/>
      </w:r>
      <w:r>
        <w:rPr>
          <w:noProof/>
        </w:rPr>
        <w:t>832</w:t>
      </w:r>
      <w:r>
        <w:rPr>
          <w:noProof/>
        </w:rPr>
        <w:fldChar w:fldCharType="end"/>
      </w:r>
    </w:p>
    <w:p w14:paraId="05E21A7D" w14:textId="7E1385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205  Column 2—include information for each MySuper product or investment option</w:t>
      </w:r>
      <w:r>
        <w:rPr>
          <w:noProof/>
        </w:rPr>
        <w:tab/>
      </w:r>
      <w:r>
        <w:rPr>
          <w:noProof/>
        </w:rPr>
        <w:fldChar w:fldCharType="begin"/>
      </w:r>
      <w:r>
        <w:rPr>
          <w:noProof/>
        </w:rPr>
        <w:instrText xml:space="preserve"> PAGEREF _Toc158713488 \h </w:instrText>
      </w:r>
      <w:r>
        <w:rPr>
          <w:noProof/>
        </w:rPr>
      </w:r>
      <w:r>
        <w:rPr>
          <w:noProof/>
        </w:rPr>
        <w:fldChar w:fldCharType="separate"/>
      </w:r>
      <w:r>
        <w:rPr>
          <w:noProof/>
        </w:rPr>
        <w:t>832</w:t>
      </w:r>
      <w:r>
        <w:rPr>
          <w:noProof/>
        </w:rPr>
        <w:fldChar w:fldCharType="end"/>
      </w:r>
    </w:p>
    <w:p w14:paraId="4E1EE41B" w14:textId="2B1D43C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206  Presentation of multiple fee payment options</w:t>
      </w:r>
      <w:r>
        <w:rPr>
          <w:noProof/>
        </w:rPr>
        <w:tab/>
      </w:r>
      <w:r>
        <w:rPr>
          <w:noProof/>
        </w:rPr>
        <w:fldChar w:fldCharType="begin"/>
      </w:r>
      <w:r>
        <w:rPr>
          <w:noProof/>
        </w:rPr>
        <w:instrText xml:space="preserve"> PAGEREF _Toc158713489 \h </w:instrText>
      </w:r>
      <w:r>
        <w:rPr>
          <w:noProof/>
        </w:rPr>
      </w:r>
      <w:r>
        <w:rPr>
          <w:noProof/>
        </w:rPr>
        <w:fldChar w:fldCharType="separate"/>
      </w:r>
      <w:r>
        <w:rPr>
          <w:noProof/>
        </w:rPr>
        <w:t>832</w:t>
      </w:r>
      <w:r>
        <w:rPr>
          <w:noProof/>
        </w:rPr>
        <w:fldChar w:fldCharType="end"/>
      </w:r>
    </w:p>
    <w:p w14:paraId="1221D094" w14:textId="7C6B927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207  Column 3—how and when fees and costs are payable</w:t>
      </w:r>
      <w:r>
        <w:rPr>
          <w:noProof/>
        </w:rPr>
        <w:tab/>
      </w:r>
      <w:r>
        <w:rPr>
          <w:noProof/>
        </w:rPr>
        <w:fldChar w:fldCharType="begin"/>
      </w:r>
      <w:r>
        <w:rPr>
          <w:noProof/>
        </w:rPr>
        <w:instrText xml:space="preserve"> PAGEREF _Toc158713490 \h </w:instrText>
      </w:r>
      <w:r>
        <w:rPr>
          <w:noProof/>
        </w:rPr>
      </w:r>
      <w:r>
        <w:rPr>
          <w:noProof/>
        </w:rPr>
        <w:fldChar w:fldCharType="separate"/>
      </w:r>
      <w:r>
        <w:rPr>
          <w:noProof/>
        </w:rPr>
        <w:t>832</w:t>
      </w:r>
      <w:r>
        <w:rPr>
          <w:noProof/>
        </w:rPr>
        <w:fldChar w:fldCharType="end"/>
      </w:r>
    </w:p>
    <w:p w14:paraId="364B7F67" w14:textId="55C46DA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208  Other material to be included in the template</w:t>
      </w:r>
      <w:r>
        <w:rPr>
          <w:noProof/>
        </w:rPr>
        <w:tab/>
      </w:r>
      <w:r>
        <w:rPr>
          <w:noProof/>
        </w:rPr>
        <w:fldChar w:fldCharType="begin"/>
      </w:r>
      <w:r>
        <w:rPr>
          <w:noProof/>
        </w:rPr>
        <w:instrText xml:space="preserve"> PAGEREF _Toc158713491 \h </w:instrText>
      </w:r>
      <w:r>
        <w:rPr>
          <w:noProof/>
        </w:rPr>
      </w:r>
      <w:r>
        <w:rPr>
          <w:noProof/>
        </w:rPr>
        <w:fldChar w:fldCharType="separate"/>
      </w:r>
      <w:r>
        <w:rPr>
          <w:noProof/>
        </w:rPr>
        <w:t>833</w:t>
      </w:r>
      <w:r>
        <w:rPr>
          <w:noProof/>
        </w:rPr>
        <w:fldChar w:fldCharType="end"/>
      </w:r>
    </w:p>
    <w:p w14:paraId="096370C2" w14:textId="50356031"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4—Additional explanation of fees and costs</w:t>
      </w:r>
      <w:r>
        <w:rPr>
          <w:noProof/>
        </w:rPr>
        <w:tab/>
      </w:r>
      <w:r>
        <w:rPr>
          <w:noProof/>
        </w:rPr>
        <w:fldChar w:fldCharType="begin"/>
      </w:r>
      <w:r>
        <w:rPr>
          <w:noProof/>
        </w:rPr>
        <w:instrText xml:space="preserve"> PAGEREF _Toc158713492 \h </w:instrText>
      </w:r>
      <w:r>
        <w:rPr>
          <w:noProof/>
        </w:rPr>
      </w:r>
      <w:r>
        <w:rPr>
          <w:noProof/>
        </w:rPr>
        <w:fldChar w:fldCharType="separate"/>
      </w:r>
      <w:r>
        <w:rPr>
          <w:noProof/>
        </w:rPr>
        <w:t>834</w:t>
      </w:r>
      <w:r>
        <w:rPr>
          <w:noProof/>
        </w:rPr>
        <w:fldChar w:fldCharType="end"/>
      </w:r>
    </w:p>
    <w:p w14:paraId="46E969E4" w14:textId="3C11A1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209  Matters to be included as additional explanation of fees and costs</w:t>
      </w:r>
      <w:r>
        <w:rPr>
          <w:noProof/>
        </w:rPr>
        <w:tab/>
      </w:r>
      <w:r>
        <w:rPr>
          <w:noProof/>
        </w:rPr>
        <w:fldChar w:fldCharType="begin"/>
      </w:r>
      <w:r>
        <w:rPr>
          <w:noProof/>
        </w:rPr>
        <w:instrText xml:space="preserve"> PAGEREF _Toc158713493 \h </w:instrText>
      </w:r>
      <w:r>
        <w:rPr>
          <w:noProof/>
        </w:rPr>
      </w:r>
      <w:r>
        <w:rPr>
          <w:noProof/>
        </w:rPr>
        <w:fldChar w:fldCharType="separate"/>
      </w:r>
      <w:r>
        <w:rPr>
          <w:noProof/>
        </w:rPr>
        <w:t>834</w:t>
      </w:r>
      <w:r>
        <w:rPr>
          <w:noProof/>
        </w:rPr>
        <w:fldChar w:fldCharType="end"/>
      </w:r>
    </w:p>
    <w:p w14:paraId="03901823" w14:textId="29501975"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4A—Defined fees for superannuation products</w:t>
      </w:r>
      <w:r>
        <w:rPr>
          <w:noProof/>
        </w:rPr>
        <w:tab/>
      </w:r>
      <w:r>
        <w:rPr>
          <w:noProof/>
        </w:rPr>
        <w:fldChar w:fldCharType="begin"/>
      </w:r>
      <w:r>
        <w:rPr>
          <w:noProof/>
        </w:rPr>
        <w:instrText xml:space="preserve"> PAGEREF _Toc158713494 \h </w:instrText>
      </w:r>
      <w:r>
        <w:rPr>
          <w:noProof/>
        </w:rPr>
      </w:r>
      <w:r>
        <w:rPr>
          <w:noProof/>
        </w:rPr>
        <w:fldChar w:fldCharType="separate"/>
      </w:r>
      <w:r>
        <w:rPr>
          <w:noProof/>
        </w:rPr>
        <w:t>835</w:t>
      </w:r>
      <w:r>
        <w:rPr>
          <w:noProof/>
        </w:rPr>
        <w:fldChar w:fldCharType="end"/>
      </w:r>
    </w:p>
    <w:p w14:paraId="49FAB50E" w14:textId="349899A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209A  Defined fees for superannuation products</w:t>
      </w:r>
      <w:r>
        <w:rPr>
          <w:noProof/>
        </w:rPr>
        <w:tab/>
      </w:r>
      <w:r>
        <w:rPr>
          <w:noProof/>
        </w:rPr>
        <w:fldChar w:fldCharType="begin"/>
      </w:r>
      <w:r>
        <w:rPr>
          <w:noProof/>
        </w:rPr>
        <w:instrText xml:space="preserve"> PAGEREF _Toc158713495 \h </w:instrText>
      </w:r>
      <w:r>
        <w:rPr>
          <w:noProof/>
        </w:rPr>
      </w:r>
      <w:r>
        <w:rPr>
          <w:noProof/>
        </w:rPr>
        <w:fldChar w:fldCharType="separate"/>
      </w:r>
      <w:r>
        <w:rPr>
          <w:noProof/>
        </w:rPr>
        <w:t>835</w:t>
      </w:r>
      <w:r>
        <w:rPr>
          <w:noProof/>
        </w:rPr>
        <w:fldChar w:fldCharType="end"/>
      </w:r>
    </w:p>
    <w:p w14:paraId="3200B8B9" w14:textId="6F4EF69A"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5—Example of annual fees and costs</w:t>
      </w:r>
      <w:r>
        <w:rPr>
          <w:noProof/>
        </w:rPr>
        <w:tab/>
      </w:r>
      <w:r>
        <w:rPr>
          <w:noProof/>
        </w:rPr>
        <w:fldChar w:fldCharType="begin"/>
      </w:r>
      <w:r>
        <w:rPr>
          <w:noProof/>
        </w:rPr>
        <w:instrText xml:space="preserve"> PAGEREF _Toc158713496 \h </w:instrText>
      </w:r>
      <w:r>
        <w:rPr>
          <w:noProof/>
        </w:rPr>
      </w:r>
      <w:r>
        <w:rPr>
          <w:noProof/>
        </w:rPr>
        <w:fldChar w:fldCharType="separate"/>
      </w:r>
      <w:r>
        <w:rPr>
          <w:noProof/>
        </w:rPr>
        <w:t>837</w:t>
      </w:r>
      <w:r>
        <w:rPr>
          <w:noProof/>
        </w:rPr>
        <w:fldChar w:fldCharType="end"/>
      </w:r>
    </w:p>
    <w:p w14:paraId="60BB547E" w14:textId="0A679D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210  Example of annual fees and costs</w:t>
      </w:r>
      <w:r>
        <w:rPr>
          <w:noProof/>
        </w:rPr>
        <w:tab/>
      </w:r>
      <w:r>
        <w:rPr>
          <w:noProof/>
        </w:rPr>
        <w:fldChar w:fldCharType="begin"/>
      </w:r>
      <w:r>
        <w:rPr>
          <w:noProof/>
        </w:rPr>
        <w:instrText xml:space="preserve"> PAGEREF _Toc158713497 \h </w:instrText>
      </w:r>
      <w:r>
        <w:rPr>
          <w:noProof/>
        </w:rPr>
      </w:r>
      <w:r>
        <w:rPr>
          <w:noProof/>
        </w:rPr>
        <w:fldChar w:fldCharType="separate"/>
      </w:r>
      <w:r>
        <w:rPr>
          <w:noProof/>
        </w:rPr>
        <w:t>837</w:t>
      </w:r>
      <w:r>
        <w:rPr>
          <w:noProof/>
        </w:rPr>
        <w:fldChar w:fldCharType="end"/>
      </w:r>
    </w:p>
    <w:p w14:paraId="0DA543F6" w14:textId="749BF9D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211  Superannuation products—Example of annual fees and costs for a MySuper product</w:t>
      </w:r>
      <w:r>
        <w:rPr>
          <w:noProof/>
        </w:rPr>
        <w:tab/>
      </w:r>
      <w:r>
        <w:rPr>
          <w:noProof/>
        </w:rPr>
        <w:fldChar w:fldCharType="begin"/>
      </w:r>
      <w:r>
        <w:rPr>
          <w:noProof/>
        </w:rPr>
        <w:instrText xml:space="preserve"> PAGEREF _Toc158713498 \h </w:instrText>
      </w:r>
      <w:r>
        <w:rPr>
          <w:noProof/>
        </w:rPr>
      </w:r>
      <w:r>
        <w:rPr>
          <w:noProof/>
        </w:rPr>
        <w:fldChar w:fldCharType="separate"/>
      </w:r>
      <w:r>
        <w:rPr>
          <w:noProof/>
        </w:rPr>
        <w:t>837</w:t>
      </w:r>
      <w:r>
        <w:rPr>
          <w:noProof/>
        </w:rPr>
        <w:fldChar w:fldCharType="end"/>
      </w:r>
    </w:p>
    <w:p w14:paraId="182CF435" w14:textId="37D8C16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212  Collective investment products—Example of annual fees and costs for a balanced investment option</w:t>
      </w:r>
      <w:r>
        <w:rPr>
          <w:noProof/>
        </w:rPr>
        <w:tab/>
      </w:r>
      <w:r>
        <w:rPr>
          <w:noProof/>
        </w:rPr>
        <w:fldChar w:fldCharType="begin"/>
      </w:r>
      <w:r>
        <w:rPr>
          <w:noProof/>
        </w:rPr>
        <w:instrText xml:space="preserve"> PAGEREF _Toc158713499 \h </w:instrText>
      </w:r>
      <w:r>
        <w:rPr>
          <w:noProof/>
        </w:rPr>
      </w:r>
      <w:r>
        <w:rPr>
          <w:noProof/>
        </w:rPr>
        <w:fldChar w:fldCharType="separate"/>
      </w:r>
      <w:r>
        <w:rPr>
          <w:noProof/>
        </w:rPr>
        <w:t>837</w:t>
      </w:r>
      <w:r>
        <w:rPr>
          <w:noProof/>
        </w:rPr>
        <w:fldChar w:fldCharType="end"/>
      </w:r>
    </w:p>
    <w:p w14:paraId="0FA165CE" w14:textId="38858D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lastRenderedPageBreak/>
        <w:t>213  Defined benefit funds</w:t>
      </w:r>
      <w:r>
        <w:rPr>
          <w:noProof/>
        </w:rPr>
        <w:tab/>
      </w:r>
      <w:r>
        <w:rPr>
          <w:noProof/>
        </w:rPr>
        <w:fldChar w:fldCharType="begin"/>
      </w:r>
      <w:r>
        <w:rPr>
          <w:noProof/>
        </w:rPr>
        <w:instrText xml:space="preserve"> PAGEREF _Toc158713500 \h </w:instrText>
      </w:r>
      <w:r>
        <w:rPr>
          <w:noProof/>
        </w:rPr>
      </w:r>
      <w:r>
        <w:rPr>
          <w:noProof/>
        </w:rPr>
        <w:fldChar w:fldCharType="separate"/>
      </w:r>
      <w:r>
        <w:rPr>
          <w:noProof/>
        </w:rPr>
        <w:t>837</w:t>
      </w:r>
      <w:r>
        <w:rPr>
          <w:noProof/>
        </w:rPr>
        <w:fldChar w:fldCharType="end"/>
      </w:r>
    </w:p>
    <w:p w14:paraId="3DCB4D6D" w14:textId="0472376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6—How to fill in the example of annual fees and costs</w:t>
      </w:r>
      <w:r>
        <w:rPr>
          <w:noProof/>
        </w:rPr>
        <w:tab/>
      </w:r>
      <w:r>
        <w:rPr>
          <w:noProof/>
        </w:rPr>
        <w:fldChar w:fldCharType="begin"/>
      </w:r>
      <w:r>
        <w:rPr>
          <w:noProof/>
        </w:rPr>
        <w:instrText xml:space="preserve"> PAGEREF _Toc158713501 \h </w:instrText>
      </w:r>
      <w:r>
        <w:rPr>
          <w:noProof/>
        </w:rPr>
      </w:r>
      <w:r>
        <w:rPr>
          <w:noProof/>
        </w:rPr>
        <w:fldChar w:fldCharType="separate"/>
      </w:r>
      <w:r>
        <w:rPr>
          <w:noProof/>
        </w:rPr>
        <w:t>839</w:t>
      </w:r>
      <w:r>
        <w:rPr>
          <w:noProof/>
        </w:rPr>
        <w:fldChar w:fldCharType="end"/>
      </w:r>
    </w:p>
    <w:p w14:paraId="3B663447" w14:textId="56B4DCC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214  Fees and costs must be ongoing amounts</w:t>
      </w:r>
      <w:r>
        <w:rPr>
          <w:noProof/>
        </w:rPr>
        <w:tab/>
      </w:r>
      <w:r>
        <w:rPr>
          <w:noProof/>
        </w:rPr>
        <w:fldChar w:fldCharType="begin"/>
      </w:r>
      <w:r>
        <w:rPr>
          <w:noProof/>
        </w:rPr>
        <w:instrText xml:space="preserve"> PAGEREF _Toc158713502 \h </w:instrText>
      </w:r>
      <w:r>
        <w:rPr>
          <w:noProof/>
        </w:rPr>
      </w:r>
      <w:r>
        <w:rPr>
          <w:noProof/>
        </w:rPr>
        <w:fldChar w:fldCharType="separate"/>
      </w:r>
      <w:r>
        <w:rPr>
          <w:noProof/>
        </w:rPr>
        <w:t>839</w:t>
      </w:r>
      <w:r>
        <w:rPr>
          <w:noProof/>
        </w:rPr>
        <w:fldChar w:fldCharType="end"/>
      </w:r>
    </w:p>
    <w:p w14:paraId="5AF04DED" w14:textId="59F62A3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214A  Example of annual fees and costs for a MySuper product—lifecycle MySuper product</w:t>
      </w:r>
      <w:r>
        <w:rPr>
          <w:noProof/>
        </w:rPr>
        <w:tab/>
      </w:r>
      <w:r>
        <w:rPr>
          <w:noProof/>
        </w:rPr>
        <w:fldChar w:fldCharType="begin"/>
      </w:r>
      <w:r>
        <w:rPr>
          <w:noProof/>
        </w:rPr>
        <w:instrText xml:space="preserve"> PAGEREF _Toc158713503 \h </w:instrText>
      </w:r>
      <w:r>
        <w:rPr>
          <w:noProof/>
        </w:rPr>
      </w:r>
      <w:r>
        <w:rPr>
          <w:noProof/>
        </w:rPr>
        <w:fldChar w:fldCharType="separate"/>
      </w:r>
      <w:r>
        <w:rPr>
          <w:noProof/>
        </w:rPr>
        <w:t>839</w:t>
      </w:r>
      <w:r>
        <w:rPr>
          <w:noProof/>
        </w:rPr>
        <w:fldChar w:fldCharType="end"/>
      </w:r>
    </w:p>
    <w:p w14:paraId="4FEA5789" w14:textId="367C954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215  Minimum entry balance rule</w:t>
      </w:r>
      <w:r>
        <w:rPr>
          <w:noProof/>
        </w:rPr>
        <w:tab/>
      </w:r>
      <w:r>
        <w:rPr>
          <w:noProof/>
        </w:rPr>
        <w:fldChar w:fldCharType="begin"/>
      </w:r>
      <w:r>
        <w:rPr>
          <w:noProof/>
        </w:rPr>
        <w:instrText xml:space="preserve"> PAGEREF _Toc158713504 \h </w:instrText>
      </w:r>
      <w:r>
        <w:rPr>
          <w:noProof/>
        </w:rPr>
      </w:r>
      <w:r>
        <w:rPr>
          <w:noProof/>
        </w:rPr>
        <w:fldChar w:fldCharType="separate"/>
      </w:r>
      <w:r>
        <w:rPr>
          <w:noProof/>
        </w:rPr>
        <w:t>839</w:t>
      </w:r>
      <w:r>
        <w:rPr>
          <w:noProof/>
        </w:rPr>
        <w:fldChar w:fldCharType="end"/>
      </w:r>
    </w:p>
    <w:p w14:paraId="6C2D05D3" w14:textId="1DC5893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216  Exit fees</w:t>
      </w:r>
      <w:r>
        <w:rPr>
          <w:noProof/>
        </w:rPr>
        <w:tab/>
      </w:r>
      <w:r>
        <w:rPr>
          <w:noProof/>
        </w:rPr>
        <w:fldChar w:fldCharType="begin"/>
      </w:r>
      <w:r>
        <w:rPr>
          <w:noProof/>
        </w:rPr>
        <w:instrText xml:space="preserve"> PAGEREF _Toc158713505 \h </w:instrText>
      </w:r>
      <w:r>
        <w:rPr>
          <w:noProof/>
        </w:rPr>
      </w:r>
      <w:r>
        <w:rPr>
          <w:noProof/>
        </w:rPr>
        <w:fldChar w:fldCharType="separate"/>
      </w:r>
      <w:r>
        <w:rPr>
          <w:noProof/>
        </w:rPr>
        <w:t>839</w:t>
      </w:r>
      <w:r>
        <w:rPr>
          <w:noProof/>
        </w:rPr>
        <w:fldChar w:fldCharType="end"/>
      </w:r>
    </w:p>
    <w:p w14:paraId="16454E71" w14:textId="62473C4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217  Contribution fees</w:t>
      </w:r>
      <w:r>
        <w:rPr>
          <w:noProof/>
        </w:rPr>
        <w:tab/>
      </w:r>
      <w:r>
        <w:rPr>
          <w:noProof/>
        </w:rPr>
        <w:fldChar w:fldCharType="begin"/>
      </w:r>
      <w:r>
        <w:rPr>
          <w:noProof/>
        </w:rPr>
        <w:instrText xml:space="preserve"> PAGEREF _Toc158713506 \h </w:instrText>
      </w:r>
      <w:r>
        <w:rPr>
          <w:noProof/>
        </w:rPr>
      </w:r>
      <w:r>
        <w:rPr>
          <w:noProof/>
        </w:rPr>
        <w:fldChar w:fldCharType="separate"/>
      </w:r>
      <w:r>
        <w:rPr>
          <w:noProof/>
        </w:rPr>
        <w:t>839</w:t>
      </w:r>
      <w:r>
        <w:rPr>
          <w:noProof/>
        </w:rPr>
        <w:fldChar w:fldCharType="end"/>
      </w:r>
    </w:p>
    <w:p w14:paraId="7BDEEFFB" w14:textId="6E23893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218  Administration fees and investment fees for a superannuation product</w:t>
      </w:r>
      <w:r>
        <w:rPr>
          <w:noProof/>
        </w:rPr>
        <w:tab/>
      </w:r>
      <w:r>
        <w:rPr>
          <w:noProof/>
        </w:rPr>
        <w:fldChar w:fldCharType="begin"/>
      </w:r>
      <w:r>
        <w:rPr>
          <w:noProof/>
        </w:rPr>
        <w:instrText xml:space="preserve"> PAGEREF _Toc158713507 \h </w:instrText>
      </w:r>
      <w:r>
        <w:rPr>
          <w:noProof/>
        </w:rPr>
      </w:r>
      <w:r>
        <w:rPr>
          <w:noProof/>
        </w:rPr>
        <w:fldChar w:fldCharType="separate"/>
      </w:r>
      <w:r>
        <w:rPr>
          <w:noProof/>
        </w:rPr>
        <w:t>839</w:t>
      </w:r>
      <w:r>
        <w:rPr>
          <w:noProof/>
        </w:rPr>
        <w:fldChar w:fldCharType="end"/>
      </w:r>
    </w:p>
    <w:p w14:paraId="32A97376" w14:textId="0DAE8DA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218A  Management costs for a collective investment product</w:t>
      </w:r>
      <w:r>
        <w:rPr>
          <w:noProof/>
        </w:rPr>
        <w:tab/>
      </w:r>
      <w:r>
        <w:rPr>
          <w:noProof/>
        </w:rPr>
        <w:fldChar w:fldCharType="begin"/>
      </w:r>
      <w:r>
        <w:rPr>
          <w:noProof/>
        </w:rPr>
        <w:instrText xml:space="preserve"> PAGEREF _Toc158713508 \h </w:instrText>
      </w:r>
      <w:r>
        <w:rPr>
          <w:noProof/>
        </w:rPr>
      </w:r>
      <w:r>
        <w:rPr>
          <w:noProof/>
        </w:rPr>
        <w:fldChar w:fldCharType="separate"/>
      </w:r>
      <w:r>
        <w:rPr>
          <w:noProof/>
        </w:rPr>
        <w:t>840</w:t>
      </w:r>
      <w:r>
        <w:rPr>
          <w:noProof/>
        </w:rPr>
        <w:fldChar w:fldCharType="end"/>
      </w:r>
    </w:p>
    <w:p w14:paraId="29BF3256" w14:textId="3C108F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219  Withdrawal fees and exit fees</w:t>
      </w:r>
      <w:r>
        <w:rPr>
          <w:noProof/>
        </w:rPr>
        <w:tab/>
      </w:r>
      <w:r>
        <w:rPr>
          <w:noProof/>
        </w:rPr>
        <w:fldChar w:fldCharType="begin"/>
      </w:r>
      <w:r>
        <w:rPr>
          <w:noProof/>
        </w:rPr>
        <w:instrText xml:space="preserve"> PAGEREF _Toc158713509 \h </w:instrText>
      </w:r>
      <w:r>
        <w:rPr>
          <w:noProof/>
        </w:rPr>
      </w:r>
      <w:r>
        <w:rPr>
          <w:noProof/>
        </w:rPr>
        <w:fldChar w:fldCharType="separate"/>
      </w:r>
      <w:r>
        <w:rPr>
          <w:noProof/>
        </w:rPr>
        <w:t>840</w:t>
      </w:r>
      <w:r>
        <w:rPr>
          <w:noProof/>
        </w:rPr>
        <w:fldChar w:fldCharType="end"/>
      </w:r>
    </w:p>
    <w:p w14:paraId="26FAD720" w14:textId="0F1D53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220  If there is no generic MySuper product or balanced investment option</w:t>
      </w:r>
      <w:r>
        <w:rPr>
          <w:noProof/>
        </w:rPr>
        <w:tab/>
      </w:r>
      <w:r>
        <w:rPr>
          <w:noProof/>
        </w:rPr>
        <w:fldChar w:fldCharType="begin"/>
      </w:r>
      <w:r>
        <w:rPr>
          <w:noProof/>
        </w:rPr>
        <w:instrText xml:space="preserve"> PAGEREF _Toc158713510 \h </w:instrText>
      </w:r>
      <w:r>
        <w:rPr>
          <w:noProof/>
        </w:rPr>
      </w:r>
      <w:r>
        <w:rPr>
          <w:noProof/>
        </w:rPr>
        <w:fldChar w:fldCharType="separate"/>
      </w:r>
      <w:r>
        <w:rPr>
          <w:noProof/>
        </w:rPr>
        <w:t>840</w:t>
      </w:r>
      <w:r>
        <w:rPr>
          <w:noProof/>
        </w:rPr>
        <w:fldChar w:fldCharType="end"/>
      </w:r>
    </w:p>
    <w:p w14:paraId="001B9DDA" w14:textId="0E477F89"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7—Consumer Advisory Warning</w:t>
      </w:r>
      <w:r>
        <w:rPr>
          <w:noProof/>
        </w:rPr>
        <w:tab/>
      </w:r>
      <w:r>
        <w:rPr>
          <w:noProof/>
        </w:rPr>
        <w:fldChar w:fldCharType="begin"/>
      </w:r>
      <w:r>
        <w:rPr>
          <w:noProof/>
        </w:rPr>
        <w:instrText xml:space="preserve"> PAGEREF _Toc158713511 \h </w:instrText>
      </w:r>
      <w:r>
        <w:rPr>
          <w:noProof/>
        </w:rPr>
      </w:r>
      <w:r>
        <w:rPr>
          <w:noProof/>
        </w:rPr>
        <w:fldChar w:fldCharType="separate"/>
      </w:r>
      <w:r>
        <w:rPr>
          <w:noProof/>
        </w:rPr>
        <w:t>842</w:t>
      </w:r>
      <w:r>
        <w:rPr>
          <w:noProof/>
        </w:rPr>
        <w:fldChar w:fldCharType="end"/>
      </w:r>
    </w:p>
    <w:p w14:paraId="3E8362A7" w14:textId="271061E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221  Consumer advisory warning</w:t>
      </w:r>
      <w:r>
        <w:rPr>
          <w:noProof/>
        </w:rPr>
        <w:tab/>
      </w:r>
      <w:r>
        <w:rPr>
          <w:noProof/>
        </w:rPr>
        <w:fldChar w:fldCharType="begin"/>
      </w:r>
      <w:r>
        <w:rPr>
          <w:noProof/>
        </w:rPr>
        <w:instrText xml:space="preserve"> PAGEREF _Toc158713512 \h </w:instrText>
      </w:r>
      <w:r>
        <w:rPr>
          <w:noProof/>
        </w:rPr>
      </w:r>
      <w:r>
        <w:rPr>
          <w:noProof/>
        </w:rPr>
        <w:fldChar w:fldCharType="separate"/>
      </w:r>
      <w:r>
        <w:rPr>
          <w:noProof/>
        </w:rPr>
        <w:t>842</w:t>
      </w:r>
      <w:r>
        <w:rPr>
          <w:noProof/>
        </w:rPr>
        <w:fldChar w:fldCharType="end"/>
      </w:r>
    </w:p>
    <w:p w14:paraId="516C6BD2" w14:textId="7DF2532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222  Where to place the Consumer Advisory Warning</w:t>
      </w:r>
      <w:r>
        <w:rPr>
          <w:noProof/>
        </w:rPr>
        <w:tab/>
      </w:r>
      <w:r>
        <w:rPr>
          <w:noProof/>
        </w:rPr>
        <w:fldChar w:fldCharType="begin"/>
      </w:r>
      <w:r>
        <w:rPr>
          <w:noProof/>
        </w:rPr>
        <w:instrText xml:space="preserve"> PAGEREF _Toc158713513 \h </w:instrText>
      </w:r>
      <w:r>
        <w:rPr>
          <w:noProof/>
        </w:rPr>
      </w:r>
      <w:r>
        <w:rPr>
          <w:noProof/>
        </w:rPr>
        <w:fldChar w:fldCharType="separate"/>
      </w:r>
      <w:r>
        <w:rPr>
          <w:noProof/>
        </w:rPr>
        <w:t>842</w:t>
      </w:r>
      <w:r>
        <w:rPr>
          <w:noProof/>
        </w:rPr>
        <w:fldChar w:fldCharType="end"/>
      </w:r>
    </w:p>
    <w:p w14:paraId="477146A2" w14:textId="4E56834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3—Fees and costs in periodic statements</w:t>
      </w:r>
      <w:r>
        <w:rPr>
          <w:noProof/>
        </w:rPr>
        <w:tab/>
      </w:r>
      <w:r>
        <w:rPr>
          <w:noProof/>
        </w:rPr>
        <w:fldChar w:fldCharType="begin"/>
      </w:r>
      <w:r>
        <w:rPr>
          <w:noProof/>
        </w:rPr>
        <w:instrText xml:space="preserve"> PAGEREF _Toc158713514 \h </w:instrText>
      </w:r>
      <w:r>
        <w:rPr>
          <w:noProof/>
        </w:rPr>
      </w:r>
      <w:r>
        <w:rPr>
          <w:noProof/>
        </w:rPr>
        <w:fldChar w:fldCharType="separate"/>
      </w:r>
      <w:r>
        <w:rPr>
          <w:noProof/>
        </w:rPr>
        <w:t>843</w:t>
      </w:r>
      <w:r>
        <w:rPr>
          <w:noProof/>
        </w:rPr>
        <w:fldChar w:fldCharType="end"/>
      </w:r>
    </w:p>
    <w:p w14:paraId="5FAF8B8B" w14:textId="37FFE7EE"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1—Other Management Costs</w:t>
      </w:r>
      <w:r>
        <w:rPr>
          <w:noProof/>
        </w:rPr>
        <w:tab/>
      </w:r>
      <w:r>
        <w:rPr>
          <w:noProof/>
        </w:rPr>
        <w:fldChar w:fldCharType="begin"/>
      </w:r>
      <w:r>
        <w:rPr>
          <w:noProof/>
        </w:rPr>
        <w:instrText xml:space="preserve"> PAGEREF _Toc158713515 \h </w:instrText>
      </w:r>
      <w:r>
        <w:rPr>
          <w:noProof/>
        </w:rPr>
      </w:r>
      <w:r>
        <w:rPr>
          <w:noProof/>
        </w:rPr>
        <w:fldChar w:fldCharType="separate"/>
      </w:r>
      <w:r>
        <w:rPr>
          <w:noProof/>
        </w:rPr>
        <w:t>843</w:t>
      </w:r>
      <w:r>
        <w:rPr>
          <w:noProof/>
        </w:rPr>
        <w:fldChar w:fldCharType="end"/>
      </w:r>
    </w:p>
    <w:p w14:paraId="6C893367" w14:textId="10EF519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301  Indirect costs related to investment and administration of accounts</w:t>
      </w:r>
      <w:r>
        <w:rPr>
          <w:noProof/>
        </w:rPr>
        <w:tab/>
      </w:r>
      <w:r>
        <w:rPr>
          <w:noProof/>
        </w:rPr>
        <w:fldChar w:fldCharType="begin"/>
      </w:r>
      <w:r>
        <w:rPr>
          <w:noProof/>
        </w:rPr>
        <w:instrText xml:space="preserve"> PAGEREF _Toc158713516 \h </w:instrText>
      </w:r>
      <w:r>
        <w:rPr>
          <w:noProof/>
        </w:rPr>
      </w:r>
      <w:r>
        <w:rPr>
          <w:noProof/>
        </w:rPr>
        <w:fldChar w:fldCharType="separate"/>
      </w:r>
      <w:r>
        <w:rPr>
          <w:noProof/>
        </w:rPr>
        <w:t>843</w:t>
      </w:r>
      <w:r>
        <w:rPr>
          <w:noProof/>
        </w:rPr>
        <w:fldChar w:fldCharType="end"/>
      </w:r>
    </w:p>
    <w:p w14:paraId="6685E370" w14:textId="2EDEF716"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2—Total fees</w:t>
      </w:r>
      <w:r>
        <w:rPr>
          <w:noProof/>
        </w:rPr>
        <w:tab/>
      </w:r>
      <w:r>
        <w:rPr>
          <w:noProof/>
        </w:rPr>
        <w:fldChar w:fldCharType="begin"/>
      </w:r>
      <w:r>
        <w:rPr>
          <w:noProof/>
        </w:rPr>
        <w:instrText xml:space="preserve"> PAGEREF _Toc158713517 \h </w:instrText>
      </w:r>
      <w:r>
        <w:rPr>
          <w:noProof/>
        </w:rPr>
      </w:r>
      <w:r>
        <w:rPr>
          <w:noProof/>
        </w:rPr>
        <w:fldChar w:fldCharType="separate"/>
      </w:r>
      <w:r>
        <w:rPr>
          <w:noProof/>
        </w:rPr>
        <w:t>844</w:t>
      </w:r>
      <w:r>
        <w:rPr>
          <w:noProof/>
        </w:rPr>
        <w:fldChar w:fldCharType="end"/>
      </w:r>
    </w:p>
    <w:p w14:paraId="3973249E" w14:textId="28CB43B7"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302  Total of fees in the periodic statement</w:t>
      </w:r>
      <w:r>
        <w:rPr>
          <w:noProof/>
        </w:rPr>
        <w:tab/>
      </w:r>
      <w:r>
        <w:rPr>
          <w:noProof/>
        </w:rPr>
        <w:fldChar w:fldCharType="begin"/>
      </w:r>
      <w:r>
        <w:rPr>
          <w:noProof/>
        </w:rPr>
        <w:instrText xml:space="preserve"> PAGEREF _Toc158713518 \h </w:instrText>
      </w:r>
      <w:r>
        <w:rPr>
          <w:noProof/>
        </w:rPr>
      </w:r>
      <w:r>
        <w:rPr>
          <w:noProof/>
        </w:rPr>
        <w:fldChar w:fldCharType="separate"/>
      </w:r>
      <w:r>
        <w:rPr>
          <w:noProof/>
        </w:rPr>
        <w:t>844</w:t>
      </w:r>
      <w:r>
        <w:rPr>
          <w:noProof/>
        </w:rPr>
        <w:fldChar w:fldCharType="end"/>
      </w:r>
    </w:p>
    <w:p w14:paraId="11508E94" w14:textId="0072B840" w:rsidR="00D779FE" w:rsidRDefault="00D779FE">
      <w:pPr>
        <w:pStyle w:val="TOC3"/>
        <w:rPr>
          <w:rFonts w:asciiTheme="minorHAnsi" w:eastAsiaTheme="minorEastAsia" w:hAnsiTheme="minorHAnsi" w:cstheme="minorBidi"/>
          <w:b w:val="0"/>
          <w:noProof/>
          <w:kern w:val="2"/>
          <w:szCs w:val="22"/>
          <w14:ligatures w14:val="standardContextual"/>
        </w:rPr>
      </w:pPr>
      <w:r>
        <w:rPr>
          <w:noProof/>
        </w:rPr>
        <w:t>Division 3—Additional Explanation of Fees and Costs</w:t>
      </w:r>
      <w:r>
        <w:rPr>
          <w:noProof/>
        </w:rPr>
        <w:tab/>
      </w:r>
      <w:r>
        <w:rPr>
          <w:noProof/>
        </w:rPr>
        <w:fldChar w:fldCharType="begin"/>
      </w:r>
      <w:r>
        <w:rPr>
          <w:noProof/>
        </w:rPr>
        <w:instrText xml:space="preserve"> PAGEREF _Toc158713519 \h </w:instrText>
      </w:r>
      <w:r>
        <w:rPr>
          <w:noProof/>
        </w:rPr>
      </w:r>
      <w:r>
        <w:rPr>
          <w:noProof/>
        </w:rPr>
        <w:fldChar w:fldCharType="separate"/>
      </w:r>
      <w:r>
        <w:rPr>
          <w:noProof/>
        </w:rPr>
        <w:t>845</w:t>
      </w:r>
      <w:r>
        <w:rPr>
          <w:noProof/>
        </w:rPr>
        <w:fldChar w:fldCharType="end"/>
      </w:r>
    </w:p>
    <w:p w14:paraId="5A7A7AB0" w14:textId="3E0BF5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303  Matters to be included as additional explanation of fees and costs</w:t>
      </w:r>
      <w:r>
        <w:rPr>
          <w:noProof/>
        </w:rPr>
        <w:tab/>
      </w:r>
      <w:r>
        <w:rPr>
          <w:noProof/>
        </w:rPr>
        <w:fldChar w:fldCharType="begin"/>
      </w:r>
      <w:r>
        <w:rPr>
          <w:noProof/>
        </w:rPr>
        <w:instrText xml:space="preserve"> PAGEREF _Toc158713520 \h </w:instrText>
      </w:r>
      <w:r>
        <w:rPr>
          <w:noProof/>
        </w:rPr>
      </w:r>
      <w:r>
        <w:rPr>
          <w:noProof/>
        </w:rPr>
        <w:fldChar w:fldCharType="separate"/>
      </w:r>
      <w:r>
        <w:rPr>
          <w:noProof/>
        </w:rPr>
        <w:t>845</w:t>
      </w:r>
      <w:r>
        <w:rPr>
          <w:noProof/>
        </w:rPr>
        <w:fldChar w:fldCharType="end"/>
      </w:r>
    </w:p>
    <w:p w14:paraId="27C19140" w14:textId="35F407D9"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Schedule 10A—Modifications of Part 7.9 of the Act</w:t>
      </w:r>
      <w:r>
        <w:rPr>
          <w:noProof/>
        </w:rPr>
        <w:tab/>
      </w:r>
      <w:r>
        <w:rPr>
          <w:noProof/>
        </w:rPr>
        <w:fldChar w:fldCharType="begin"/>
      </w:r>
      <w:r>
        <w:rPr>
          <w:noProof/>
        </w:rPr>
        <w:instrText xml:space="preserve"> PAGEREF _Toc158713521 \h </w:instrText>
      </w:r>
      <w:r>
        <w:rPr>
          <w:noProof/>
        </w:rPr>
      </w:r>
      <w:r>
        <w:rPr>
          <w:noProof/>
        </w:rPr>
        <w:fldChar w:fldCharType="separate"/>
      </w:r>
      <w:r>
        <w:rPr>
          <w:noProof/>
        </w:rPr>
        <w:t>846</w:t>
      </w:r>
      <w:r>
        <w:rPr>
          <w:noProof/>
        </w:rPr>
        <w:fldChar w:fldCharType="end"/>
      </w:r>
    </w:p>
    <w:p w14:paraId="47EDF986" w14:textId="33645CE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1—Modifications relating to sub</w:t>
      </w:r>
      <w:r>
        <w:rPr>
          <w:noProof/>
        </w:rPr>
        <w:noBreakHyphen/>
        <w:t>plans</w:t>
      </w:r>
      <w:r>
        <w:rPr>
          <w:noProof/>
        </w:rPr>
        <w:tab/>
      </w:r>
      <w:r>
        <w:rPr>
          <w:noProof/>
        </w:rPr>
        <w:fldChar w:fldCharType="begin"/>
      </w:r>
      <w:r>
        <w:rPr>
          <w:noProof/>
        </w:rPr>
        <w:instrText xml:space="preserve"> PAGEREF _Toc158713522 \h </w:instrText>
      </w:r>
      <w:r>
        <w:rPr>
          <w:noProof/>
        </w:rPr>
      </w:r>
      <w:r>
        <w:rPr>
          <w:noProof/>
        </w:rPr>
        <w:fldChar w:fldCharType="separate"/>
      </w:r>
      <w:r>
        <w:rPr>
          <w:noProof/>
        </w:rPr>
        <w:t>846</w:t>
      </w:r>
      <w:r>
        <w:rPr>
          <w:noProof/>
        </w:rPr>
        <w:fldChar w:fldCharType="end"/>
      </w:r>
    </w:p>
    <w:p w14:paraId="0F8A6924" w14:textId="776A0A4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2—Modifications relating to Product Disclosure Statements for RSAs</w:t>
      </w:r>
      <w:r>
        <w:rPr>
          <w:noProof/>
        </w:rPr>
        <w:tab/>
      </w:r>
      <w:r>
        <w:rPr>
          <w:noProof/>
        </w:rPr>
        <w:fldChar w:fldCharType="begin"/>
      </w:r>
      <w:r>
        <w:rPr>
          <w:noProof/>
        </w:rPr>
        <w:instrText xml:space="preserve"> PAGEREF _Toc158713523 \h </w:instrText>
      </w:r>
      <w:r>
        <w:rPr>
          <w:noProof/>
        </w:rPr>
      </w:r>
      <w:r>
        <w:rPr>
          <w:noProof/>
        </w:rPr>
        <w:fldChar w:fldCharType="separate"/>
      </w:r>
      <w:r>
        <w:rPr>
          <w:noProof/>
        </w:rPr>
        <w:t>847</w:t>
      </w:r>
      <w:r>
        <w:rPr>
          <w:noProof/>
        </w:rPr>
        <w:fldChar w:fldCharType="end"/>
      </w:r>
    </w:p>
    <w:p w14:paraId="4BF04D4A" w14:textId="5EDAA89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3—Modifications relating to insurance options under contract associated with superannuation interest</w:t>
      </w:r>
      <w:r>
        <w:rPr>
          <w:noProof/>
        </w:rPr>
        <w:tab/>
      </w:r>
      <w:r>
        <w:rPr>
          <w:noProof/>
        </w:rPr>
        <w:fldChar w:fldCharType="begin"/>
      </w:r>
      <w:r>
        <w:rPr>
          <w:noProof/>
        </w:rPr>
        <w:instrText xml:space="preserve"> PAGEREF _Toc158713524 \h </w:instrText>
      </w:r>
      <w:r>
        <w:rPr>
          <w:noProof/>
        </w:rPr>
      </w:r>
      <w:r>
        <w:rPr>
          <w:noProof/>
        </w:rPr>
        <w:fldChar w:fldCharType="separate"/>
      </w:r>
      <w:r>
        <w:rPr>
          <w:noProof/>
        </w:rPr>
        <w:t>848</w:t>
      </w:r>
      <w:r>
        <w:rPr>
          <w:noProof/>
        </w:rPr>
        <w:fldChar w:fldCharType="end"/>
      </w:r>
    </w:p>
    <w:p w14:paraId="5CD1E719" w14:textId="03C1896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5A—Modifications for standard margin lending facilities</w:t>
      </w:r>
      <w:r>
        <w:rPr>
          <w:noProof/>
        </w:rPr>
        <w:tab/>
      </w:r>
      <w:r>
        <w:rPr>
          <w:noProof/>
        </w:rPr>
        <w:fldChar w:fldCharType="begin"/>
      </w:r>
      <w:r>
        <w:rPr>
          <w:noProof/>
        </w:rPr>
        <w:instrText xml:space="preserve"> PAGEREF _Toc158713525 \h </w:instrText>
      </w:r>
      <w:r>
        <w:rPr>
          <w:noProof/>
        </w:rPr>
      </w:r>
      <w:r>
        <w:rPr>
          <w:noProof/>
        </w:rPr>
        <w:fldChar w:fldCharType="separate"/>
      </w:r>
      <w:r>
        <w:rPr>
          <w:noProof/>
        </w:rPr>
        <w:t>849</w:t>
      </w:r>
      <w:r>
        <w:rPr>
          <w:noProof/>
        </w:rPr>
        <w:fldChar w:fldCharType="end"/>
      </w:r>
    </w:p>
    <w:p w14:paraId="7B9B9467" w14:textId="630FFBE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5B—Modifications for superannuation products to which Subdivision 4.2B of Division 4 of Part 7.9 applies</w:t>
      </w:r>
      <w:r>
        <w:rPr>
          <w:noProof/>
        </w:rPr>
        <w:tab/>
      </w:r>
      <w:r>
        <w:rPr>
          <w:noProof/>
        </w:rPr>
        <w:fldChar w:fldCharType="begin"/>
      </w:r>
      <w:r>
        <w:rPr>
          <w:noProof/>
        </w:rPr>
        <w:instrText xml:space="preserve"> PAGEREF _Toc158713526 \h </w:instrText>
      </w:r>
      <w:r>
        <w:rPr>
          <w:noProof/>
        </w:rPr>
      </w:r>
      <w:r>
        <w:rPr>
          <w:noProof/>
        </w:rPr>
        <w:fldChar w:fldCharType="separate"/>
      </w:r>
      <w:r>
        <w:rPr>
          <w:noProof/>
        </w:rPr>
        <w:t>851</w:t>
      </w:r>
      <w:r>
        <w:rPr>
          <w:noProof/>
        </w:rPr>
        <w:fldChar w:fldCharType="end"/>
      </w:r>
    </w:p>
    <w:p w14:paraId="1A9929F5" w14:textId="2C02203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5C—Modifications for simple managed investment scheme</w:t>
      </w:r>
      <w:r>
        <w:rPr>
          <w:noProof/>
        </w:rPr>
        <w:tab/>
      </w:r>
      <w:r>
        <w:rPr>
          <w:noProof/>
        </w:rPr>
        <w:fldChar w:fldCharType="begin"/>
      </w:r>
      <w:r>
        <w:rPr>
          <w:noProof/>
        </w:rPr>
        <w:instrText xml:space="preserve"> PAGEREF _Toc158713527 \h </w:instrText>
      </w:r>
      <w:r>
        <w:rPr>
          <w:noProof/>
        </w:rPr>
      </w:r>
      <w:r>
        <w:rPr>
          <w:noProof/>
        </w:rPr>
        <w:fldChar w:fldCharType="separate"/>
      </w:r>
      <w:r>
        <w:rPr>
          <w:noProof/>
        </w:rPr>
        <w:t>853</w:t>
      </w:r>
      <w:r>
        <w:rPr>
          <w:noProof/>
        </w:rPr>
        <w:fldChar w:fldCharType="end"/>
      </w:r>
    </w:p>
    <w:p w14:paraId="00EB5D45" w14:textId="168B1B4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5D—Modifications for simple sub</w:t>
      </w:r>
      <w:r>
        <w:rPr>
          <w:noProof/>
        </w:rPr>
        <w:noBreakHyphen/>
        <w:t>fund product</w:t>
      </w:r>
      <w:r>
        <w:rPr>
          <w:noProof/>
        </w:rPr>
        <w:tab/>
      </w:r>
      <w:r>
        <w:rPr>
          <w:noProof/>
        </w:rPr>
        <w:fldChar w:fldCharType="begin"/>
      </w:r>
      <w:r>
        <w:rPr>
          <w:noProof/>
        </w:rPr>
        <w:instrText xml:space="preserve"> PAGEREF _Toc158713528 \h </w:instrText>
      </w:r>
      <w:r>
        <w:rPr>
          <w:noProof/>
        </w:rPr>
      </w:r>
      <w:r>
        <w:rPr>
          <w:noProof/>
        </w:rPr>
        <w:fldChar w:fldCharType="separate"/>
      </w:r>
      <w:r>
        <w:rPr>
          <w:noProof/>
        </w:rPr>
        <w:t>855</w:t>
      </w:r>
      <w:r>
        <w:rPr>
          <w:noProof/>
        </w:rPr>
        <w:fldChar w:fldCharType="end"/>
      </w:r>
    </w:p>
    <w:p w14:paraId="6065DB8F" w14:textId="248EA0A5"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6—Modifications relating to application forms and Product Disclosure Statements for standard employer</w:t>
      </w:r>
      <w:r>
        <w:rPr>
          <w:noProof/>
        </w:rPr>
        <w:noBreakHyphen/>
        <w:t>sponsor arrangements and successor funds</w:t>
      </w:r>
      <w:r>
        <w:rPr>
          <w:noProof/>
        </w:rPr>
        <w:tab/>
      </w:r>
      <w:r>
        <w:rPr>
          <w:noProof/>
        </w:rPr>
        <w:fldChar w:fldCharType="begin"/>
      </w:r>
      <w:r>
        <w:rPr>
          <w:noProof/>
        </w:rPr>
        <w:instrText xml:space="preserve"> PAGEREF _Toc158713529 \h </w:instrText>
      </w:r>
      <w:r>
        <w:rPr>
          <w:noProof/>
        </w:rPr>
      </w:r>
      <w:r>
        <w:rPr>
          <w:noProof/>
        </w:rPr>
        <w:fldChar w:fldCharType="separate"/>
      </w:r>
      <w:r>
        <w:rPr>
          <w:noProof/>
        </w:rPr>
        <w:t>857</w:t>
      </w:r>
      <w:r>
        <w:rPr>
          <w:noProof/>
        </w:rPr>
        <w:fldChar w:fldCharType="end"/>
      </w:r>
    </w:p>
    <w:p w14:paraId="3EA4DF55" w14:textId="193E0F10"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6A—Modifications relating to MySuper measures</w:t>
      </w:r>
      <w:r>
        <w:rPr>
          <w:noProof/>
        </w:rPr>
        <w:tab/>
      </w:r>
      <w:r>
        <w:rPr>
          <w:noProof/>
        </w:rPr>
        <w:fldChar w:fldCharType="begin"/>
      </w:r>
      <w:r>
        <w:rPr>
          <w:noProof/>
        </w:rPr>
        <w:instrText xml:space="preserve"> PAGEREF _Toc158713530 \h </w:instrText>
      </w:r>
      <w:r>
        <w:rPr>
          <w:noProof/>
        </w:rPr>
      </w:r>
      <w:r>
        <w:rPr>
          <w:noProof/>
        </w:rPr>
        <w:fldChar w:fldCharType="separate"/>
      </w:r>
      <w:r>
        <w:rPr>
          <w:noProof/>
        </w:rPr>
        <w:t>858</w:t>
      </w:r>
      <w:r>
        <w:rPr>
          <w:noProof/>
        </w:rPr>
        <w:fldChar w:fldCharType="end"/>
      </w:r>
    </w:p>
    <w:p w14:paraId="561891C6" w14:textId="7EFF9AEF"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7—Modifications relating to life pensioners, members subject to compulsory protection of small amounts and members with small amounts that are expected to grow quickly</w:t>
      </w:r>
      <w:r>
        <w:rPr>
          <w:noProof/>
        </w:rPr>
        <w:tab/>
      </w:r>
      <w:r>
        <w:rPr>
          <w:noProof/>
        </w:rPr>
        <w:fldChar w:fldCharType="begin"/>
      </w:r>
      <w:r>
        <w:rPr>
          <w:noProof/>
        </w:rPr>
        <w:instrText xml:space="preserve"> PAGEREF _Toc158713531 \h </w:instrText>
      </w:r>
      <w:r>
        <w:rPr>
          <w:noProof/>
        </w:rPr>
      </w:r>
      <w:r>
        <w:rPr>
          <w:noProof/>
        </w:rPr>
        <w:fldChar w:fldCharType="separate"/>
      </w:r>
      <w:r>
        <w:rPr>
          <w:noProof/>
        </w:rPr>
        <w:t>859</w:t>
      </w:r>
      <w:r>
        <w:rPr>
          <w:noProof/>
        </w:rPr>
        <w:fldChar w:fldCharType="end"/>
      </w:r>
    </w:p>
    <w:p w14:paraId="079D473A" w14:textId="59C4B42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8—Modifications relating to periodic statements for RSA providers</w:t>
      </w:r>
      <w:r>
        <w:rPr>
          <w:noProof/>
        </w:rPr>
        <w:tab/>
      </w:r>
      <w:r>
        <w:rPr>
          <w:noProof/>
        </w:rPr>
        <w:fldChar w:fldCharType="begin"/>
      </w:r>
      <w:r>
        <w:rPr>
          <w:noProof/>
        </w:rPr>
        <w:instrText xml:space="preserve"> PAGEREF _Toc158713532 \h </w:instrText>
      </w:r>
      <w:r>
        <w:rPr>
          <w:noProof/>
        </w:rPr>
      </w:r>
      <w:r>
        <w:rPr>
          <w:noProof/>
        </w:rPr>
        <w:fldChar w:fldCharType="separate"/>
      </w:r>
      <w:r>
        <w:rPr>
          <w:noProof/>
        </w:rPr>
        <w:t>861</w:t>
      </w:r>
      <w:r>
        <w:rPr>
          <w:noProof/>
        </w:rPr>
        <w:fldChar w:fldCharType="end"/>
      </w:r>
    </w:p>
    <w:p w14:paraId="37C23DEF" w14:textId="5BFC720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9—Modifications relating to periodic statements for superannuation entities and RSA providers</w:t>
      </w:r>
      <w:r>
        <w:rPr>
          <w:noProof/>
        </w:rPr>
        <w:tab/>
      </w:r>
      <w:r>
        <w:rPr>
          <w:noProof/>
        </w:rPr>
        <w:fldChar w:fldCharType="begin"/>
      </w:r>
      <w:r>
        <w:rPr>
          <w:noProof/>
        </w:rPr>
        <w:instrText xml:space="preserve"> PAGEREF _Toc158713533 \h </w:instrText>
      </w:r>
      <w:r>
        <w:rPr>
          <w:noProof/>
        </w:rPr>
      </w:r>
      <w:r>
        <w:rPr>
          <w:noProof/>
        </w:rPr>
        <w:fldChar w:fldCharType="separate"/>
      </w:r>
      <w:r>
        <w:rPr>
          <w:noProof/>
        </w:rPr>
        <w:t>863</w:t>
      </w:r>
      <w:r>
        <w:rPr>
          <w:noProof/>
        </w:rPr>
        <w:fldChar w:fldCharType="end"/>
      </w:r>
    </w:p>
    <w:p w14:paraId="31CEC6B4" w14:textId="3FC0F19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10—Modifications relating to ongoing disclosure of material changes and significant events in relation to superannuation products and RSAs</w:t>
      </w:r>
      <w:r>
        <w:rPr>
          <w:noProof/>
        </w:rPr>
        <w:tab/>
      </w:r>
      <w:r>
        <w:rPr>
          <w:noProof/>
        </w:rPr>
        <w:fldChar w:fldCharType="begin"/>
      </w:r>
      <w:r>
        <w:rPr>
          <w:noProof/>
        </w:rPr>
        <w:instrText xml:space="preserve"> PAGEREF _Toc158713534 \h </w:instrText>
      </w:r>
      <w:r>
        <w:rPr>
          <w:noProof/>
        </w:rPr>
      </w:r>
      <w:r>
        <w:rPr>
          <w:noProof/>
        </w:rPr>
        <w:fldChar w:fldCharType="separate"/>
      </w:r>
      <w:r>
        <w:rPr>
          <w:noProof/>
        </w:rPr>
        <w:t>864</w:t>
      </w:r>
      <w:r>
        <w:rPr>
          <w:noProof/>
        </w:rPr>
        <w:fldChar w:fldCharType="end"/>
      </w:r>
    </w:p>
    <w:p w14:paraId="64A9A8CD" w14:textId="00B25014"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11—Modifications relating to charges for information requested</w:t>
      </w:r>
      <w:r>
        <w:rPr>
          <w:noProof/>
        </w:rPr>
        <w:tab/>
      </w:r>
      <w:r>
        <w:rPr>
          <w:noProof/>
        </w:rPr>
        <w:fldChar w:fldCharType="begin"/>
      </w:r>
      <w:r>
        <w:rPr>
          <w:noProof/>
        </w:rPr>
        <w:instrText xml:space="preserve"> PAGEREF _Toc158713535 \h </w:instrText>
      </w:r>
      <w:r>
        <w:rPr>
          <w:noProof/>
        </w:rPr>
      </w:r>
      <w:r>
        <w:rPr>
          <w:noProof/>
        </w:rPr>
        <w:fldChar w:fldCharType="separate"/>
      </w:r>
      <w:r>
        <w:rPr>
          <w:noProof/>
        </w:rPr>
        <w:t>866</w:t>
      </w:r>
      <w:r>
        <w:rPr>
          <w:noProof/>
        </w:rPr>
        <w:fldChar w:fldCharType="end"/>
      </w:r>
    </w:p>
    <w:p w14:paraId="5BBDB044" w14:textId="3159DCD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12—Modifications relating to information when member leaves a fund</w:t>
      </w:r>
      <w:r>
        <w:rPr>
          <w:noProof/>
        </w:rPr>
        <w:tab/>
      </w:r>
      <w:r>
        <w:rPr>
          <w:noProof/>
        </w:rPr>
        <w:fldChar w:fldCharType="begin"/>
      </w:r>
      <w:r>
        <w:rPr>
          <w:noProof/>
        </w:rPr>
        <w:instrText xml:space="preserve"> PAGEREF _Toc158713536 \h </w:instrText>
      </w:r>
      <w:r>
        <w:rPr>
          <w:noProof/>
        </w:rPr>
      </w:r>
      <w:r>
        <w:rPr>
          <w:noProof/>
        </w:rPr>
        <w:fldChar w:fldCharType="separate"/>
      </w:r>
      <w:r>
        <w:rPr>
          <w:noProof/>
        </w:rPr>
        <w:t>867</w:t>
      </w:r>
      <w:r>
        <w:rPr>
          <w:noProof/>
        </w:rPr>
        <w:fldChar w:fldCharType="end"/>
      </w:r>
    </w:p>
    <w:p w14:paraId="171FFAD8" w14:textId="10651F07"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13—Modifications relating to exceptions to exit reporting period provisions</w:t>
      </w:r>
      <w:r>
        <w:rPr>
          <w:noProof/>
        </w:rPr>
        <w:tab/>
      </w:r>
      <w:r>
        <w:rPr>
          <w:noProof/>
        </w:rPr>
        <w:fldChar w:fldCharType="begin"/>
      </w:r>
      <w:r>
        <w:rPr>
          <w:noProof/>
        </w:rPr>
        <w:instrText xml:space="preserve"> PAGEREF _Toc158713537 \h </w:instrText>
      </w:r>
      <w:r>
        <w:rPr>
          <w:noProof/>
        </w:rPr>
      </w:r>
      <w:r>
        <w:rPr>
          <w:noProof/>
        </w:rPr>
        <w:fldChar w:fldCharType="separate"/>
      </w:r>
      <w:r>
        <w:rPr>
          <w:noProof/>
        </w:rPr>
        <w:t>868</w:t>
      </w:r>
      <w:r>
        <w:rPr>
          <w:noProof/>
        </w:rPr>
        <w:fldChar w:fldCharType="end"/>
      </w:r>
    </w:p>
    <w:p w14:paraId="40E6F7A7" w14:textId="3AF2B9DA"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14—Modifications relating to obligation to give information about financial products</w:t>
      </w:r>
      <w:r>
        <w:rPr>
          <w:noProof/>
        </w:rPr>
        <w:tab/>
      </w:r>
      <w:r>
        <w:rPr>
          <w:noProof/>
        </w:rPr>
        <w:fldChar w:fldCharType="begin"/>
      </w:r>
      <w:r>
        <w:rPr>
          <w:noProof/>
        </w:rPr>
        <w:instrText xml:space="preserve"> PAGEREF _Toc158713538 \h </w:instrText>
      </w:r>
      <w:r>
        <w:rPr>
          <w:noProof/>
        </w:rPr>
      </w:r>
      <w:r>
        <w:rPr>
          <w:noProof/>
        </w:rPr>
        <w:fldChar w:fldCharType="separate"/>
      </w:r>
      <w:r>
        <w:rPr>
          <w:noProof/>
        </w:rPr>
        <w:t>869</w:t>
      </w:r>
      <w:r>
        <w:rPr>
          <w:noProof/>
        </w:rPr>
        <w:fldChar w:fldCharType="end"/>
      </w:r>
    </w:p>
    <w:p w14:paraId="77B78A92" w14:textId="7E7AEF2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15—Modifications for confirmation of transactions</w:t>
      </w:r>
      <w:r>
        <w:rPr>
          <w:noProof/>
        </w:rPr>
        <w:tab/>
      </w:r>
      <w:r>
        <w:rPr>
          <w:noProof/>
        </w:rPr>
        <w:fldChar w:fldCharType="begin"/>
      </w:r>
      <w:r>
        <w:rPr>
          <w:noProof/>
        </w:rPr>
        <w:instrText xml:space="preserve"> PAGEREF _Toc158713539 \h </w:instrText>
      </w:r>
      <w:r>
        <w:rPr>
          <w:noProof/>
        </w:rPr>
      </w:r>
      <w:r>
        <w:rPr>
          <w:noProof/>
        </w:rPr>
        <w:fldChar w:fldCharType="separate"/>
      </w:r>
      <w:r>
        <w:rPr>
          <w:noProof/>
        </w:rPr>
        <w:t>871</w:t>
      </w:r>
      <w:r>
        <w:rPr>
          <w:noProof/>
        </w:rPr>
        <w:fldChar w:fldCharType="end"/>
      </w:r>
    </w:p>
    <w:p w14:paraId="574BF920" w14:textId="4979053B"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16—Modifications relating to reporting periods</w:t>
      </w:r>
      <w:r>
        <w:rPr>
          <w:noProof/>
        </w:rPr>
        <w:tab/>
      </w:r>
      <w:r>
        <w:rPr>
          <w:noProof/>
        </w:rPr>
        <w:fldChar w:fldCharType="begin"/>
      </w:r>
      <w:r>
        <w:rPr>
          <w:noProof/>
        </w:rPr>
        <w:instrText xml:space="preserve"> PAGEREF _Toc158713540 \h </w:instrText>
      </w:r>
      <w:r>
        <w:rPr>
          <w:noProof/>
        </w:rPr>
      </w:r>
      <w:r>
        <w:rPr>
          <w:noProof/>
        </w:rPr>
        <w:fldChar w:fldCharType="separate"/>
      </w:r>
      <w:r>
        <w:rPr>
          <w:noProof/>
        </w:rPr>
        <w:t>872</w:t>
      </w:r>
      <w:r>
        <w:rPr>
          <w:noProof/>
        </w:rPr>
        <w:fldChar w:fldCharType="end"/>
      </w:r>
    </w:p>
    <w:p w14:paraId="18A124A8" w14:textId="02262209"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17—Modifications relating to application forms for specified superannuation products</w:t>
      </w:r>
      <w:r>
        <w:rPr>
          <w:noProof/>
        </w:rPr>
        <w:tab/>
      </w:r>
      <w:r>
        <w:rPr>
          <w:noProof/>
        </w:rPr>
        <w:fldChar w:fldCharType="begin"/>
      </w:r>
      <w:r>
        <w:rPr>
          <w:noProof/>
        </w:rPr>
        <w:instrText xml:space="preserve"> PAGEREF _Toc158713541 \h </w:instrText>
      </w:r>
      <w:r>
        <w:rPr>
          <w:noProof/>
        </w:rPr>
      </w:r>
      <w:r>
        <w:rPr>
          <w:noProof/>
        </w:rPr>
        <w:fldChar w:fldCharType="separate"/>
      </w:r>
      <w:r>
        <w:rPr>
          <w:noProof/>
        </w:rPr>
        <w:t>873</w:t>
      </w:r>
      <w:r>
        <w:rPr>
          <w:noProof/>
        </w:rPr>
        <w:fldChar w:fldCharType="end"/>
      </w:r>
    </w:p>
    <w:p w14:paraId="79080750" w14:textId="68A2269D"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18—Modification of Part 7.9 of the Act—New Zealand offer documents replace Product Disclosure Statements where an offer relates to interests in a New Zealand managed investment scheme</w:t>
      </w:r>
      <w:r>
        <w:rPr>
          <w:noProof/>
        </w:rPr>
        <w:tab/>
      </w:r>
      <w:r>
        <w:rPr>
          <w:noProof/>
        </w:rPr>
        <w:fldChar w:fldCharType="begin"/>
      </w:r>
      <w:r>
        <w:rPr>
          <w:noProof/>
        </w:rPr>
        <w:instrText xml:space="preserve"> PAGEREF _Toc158713542 \h </w:instrText>
      </w:r>
      <w:r>
        <w:rPr>
          <w:noProof/>
        </w:rPr>
      </w:r>
      <w:r>
        <w:rPr>
          <w:noProof/>
        </w:rPr>
        <w:fldChar w:fldCharType="separate"/>
      </w:r>
      <w:r>
        <w:rPr>
          <w:noProof/>
        </w:rPr>
        <w:t>874</w:t>
      </w:r>
      <w:r>
        <w:rPr>
          <w:noProof/>
        </w:rPr>
        <w:fldChar w:fldCharType="end"/>
      </w:r>
    </w:p>
    <w:p w14:paraId="440D7070" w14:textId="4A721A28"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19—Modifications for carbon units, Australian carbon credit units and eligible international emissions units</w:t>
      </w:r>
      <w:r>
        <w:rPr>
          <w:noProof/>
        </w:rPr>
        <w:tab/>
      </w:r>
      <w:r>
        <w:rPr>
          <w:noProof/>
        </w:rPr>
        <w:fldChar w:fldCharType="begin"/>
      </w:r>
      <w:r>
        <w:rPr>
          <w:noProof/>
        </w:rPr>
        <w:instrText xml:space="preserve"> PAGEREF _Toc158713543 \h </w:instrText>
      </w:r>
      <w:r>
        <w:rPr>
          <w:noProof/>
        </w:rPr>
      </w:r>
      <w:r>
        <w:rPr>
          <w:noProof/>
        </w:rPr>
        <w:fldChar w:fldCharType="separate"/>
      </w:r>
      <w:r>
        <w:rPr>
          <w:noProof/>
        </w:rPr>
        <w:t>875</w:t>
      </w:r>
      <w:r>
        <w:rPr>
          <w:noProof/>
        </w:rPr>
        <w:fldChar w:fldCharType="end"/>
      </w:r>
    </w:p>
    <w:p w14:paraId="529F5393" w14:textId="02EAD47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10AA—Modifications of the Act in relation to their application in respect of a recognised offer or a proposed offer of securities that may become a recognised offer</w:t>
      </w:r>
      <w:r>
        <w:rPr>
          <w:noProof/>
        </w:rPr>
        <w:tab/>
      </w:r>
      <w:r>
        <w:rPr>
          <w:noProof/>
        </w:rPr>
        <w:fldChar w:fldCharType="begin"/>
      </w:r>
      <w:r>
        <w:rPr>
          <w:noProof/>
        </w:rPr>
        <w:instrText xml:space="preserve"> PAGEREF _Toc158713544 \h </w:instrText>
      </w:r>
      <w:r>
        <w:rPr>
          <w:noProof/>
        </w:rPr>
      </w:r>
      <w:r>
        <w:rPr>
          <w:noProof/>
        </w:rPr>
        <w:fldChar w:fldCharType="separate"/>
      </w:r>
      <w:r>
        <w:rPr>
          <w:noProof/>
        </w:rPr>
        <w:t>882</w:t>
      </w:r>
      <w:r>
        <w:rPr>
          <w:noProof/>
        </w:rPr>
        <w:fldChar w:fldCharType="end"/>
      </w:r>
    </w:p>
    <w:p w14:paraId="455614E7" w14:textId="7E8309CC"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1—Modification of Part 6D.2 of the Act—disclosure to investors not required for recognised offer under Chapter 8</w:t>
      </w:r>
      <w:r>
        <w:rPr>
          <w:noProof/>
        </w:rPr>
        <w:tab/>
      </w:r>
      <w:r>
        <w:rPr>
          <w:noProof/>
        </w:rPr>
        <w:fldChar w:fldCharType="begin"/>
      </w:r>
      <w:r>
        <w:rPr>
          <w:noProof/>
        </w:rPr>
        <w:instrText xml:space="preserve"> PAGEREF _Toc158713545 \h </w:instrText>
      </w:r>
      <w:r>
        <w:rPr>
          <w:noProof/>
        </w:rPr>
      </w:r>
      <w:r>
        <w:rPr>
          <w:noProof/>
        </w:rPr>
        <w:fldChar w:fldCharType="separate"/>
      </w:r>
      <w:r>
        <w:rPr>
          <w:noProof/>
        </w:rPr>
        <w:t>882</w:t>
      </w:r>
      <w:r>
        <w:rPr>
          <w:noProof/>
        </w:rPr>
        <w:fldChar w:fldCharType="end"/>
      </w:r>
    </w:p>
    <w:p w14:paraId="126CCE58" w14:textId="035B2D71"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2—Modification of Part 7.9 of the Act—disclosure to investors not required for recognised offer under Chapter 8</w:t>
      </w:r>
      <w:r>
        <w:rPr>
          <w:noProof/>
        </w:rPr>
        <w:tab/>
      </w:r>
      <w:r>
        <w:rPr>
          <w:noProof/>
        </w:rPr>
        <w:fldChar w:fldCharType="begin"/>
      </w:r>
      <w:r>
        <w:rPr>
          <w:noProof/>
        </w:rPr>
        <w:instrText xml:space="preserve"> PAGEREF _Toc158713546 \h </w:instrText>
      </w:r>
      <w:r>
        <w:rPr>
          <w:noProof/>
        </w:rPr>
      </w:r>
      <w:r>
        <w:rPr>
          <w:noProof/>
        </w:rPr>
        <w:fldChar w:fldCharType="separate"/>
      </w:r>
      <w:r>
        <w:rPr>
          <w:noProof/>
        </w:rPr>
        <w:t>883</w:t>
      </w:r>
      <w:r>
        <w:rPr>
          <w:noProof/>
        </w:rPr>
        <w:fldChar w:fldCharType="end"/>
      </w:r>
    </w:p>
    <w:p w14:paraId="7334B313" w14:textId="3C313E36"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10BA—Modifications of the Act relating to Short</w:t>
      </w:r>
      <w:r>
        <w:rPr>
          <w:noProof/>
        </w:rPr>
        <w:noBreakHyphen/>
        <w:t>Form Product Disclosure Statements</w:t>
      </w:r>
      <w:r>
        <w:rPr>
          <w:noProof/>
        </w:rPr>
        <w:tab/>
      </w:r>
      <w:r>
        <w:rPr>
          <w:noProof/>
        </w:rPr>
        <w:fldChar w:fldCharType="begin"/>
      </w:r>
      <w:r>
        <w:rPr>
          <w:noProof/>
        </w:rPr>
        <w:instrText xml:space="preserve"> PAGEREF _Toc158713547 \h </w:instrText>
      </w:r>
      <w:r>
        <w:rPr>
          <w:noProof/>
        </w:rPr>
      </w:r>
      <w:r>
        <w:rPr>
          <w:noProof/>
        </w:rPr>
        <w:fldChar w:fldCharType="separate"/>
      </w:r>
      <w:r>
        <w:rPr>
          <w:noProof/>
        </w:rPr>
        <w:t>884</w:t>
      </w:r>
      <w:r>
        <w:rPr>
          <w:noProof/>
        </w:rPr>
        <w:fldChar w:fldCharType="end"/>
      </w:r>
    </w:p>
    <w:p w14:paraId="47C6C714" w14:textId="42A41266"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1—Modifications of Part 7.7 of the Act</w:t>
      </w:r>
      <w:r>
        <w:rPr>
          <w:noProof/>
        </w:rPr>
        <w:tab/>
      </w:r>
      <w:r>
        <w:rPr>
          <w:noProof/>
        </w:rPr>
        <w:fldChar w:fldCharType="begin"/>
      </w:r>
      <w:r>
        <w:rPr>
          <w:noProof/>
        </w:rPr>
        <w:instrText xml:space="preserve"> PAGEREF _Toc158713548 \h </w:instrText>
      </w:r>
      <w:r>
        <w:rPr>
          <w:noProof/>
        </w:rPr>
      </w:r>
      <w:r>
        <w:rPr>
          <w:noProof/>
        </w:rPr>
        <w:fldChar w:fldCharType="separate"/>
      </w:r>
      <w:r>
        <w:rPr>
          <w:noProof/>
        </w:rPr>
        <w:t>884</w:t>
      </w:r>
      <w:r>
        <w:rPr>
          <w:noProof/>
        </w:rPr>
        <w:fldChar w:fldCharType="end"/>
      </w:r>
    </w:p>
    <w:p w14:paraId="2FD028C0" w14:textId="2FB658FE"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Part 3—Modifications of Part 7.9 of the Act</w:t>
      </w:r>
      <w:r>
        <w:rPr>
          <w:noProof/>
        </w:rPr>
        <w:tab/>
      </w:r>
      <w:r>
        <w:rPr>
          <w:noProof/>
        </w:rPr>
        <w:fldChar w:fldCharType="begin"/>
      </w:r>
      <w:r>
        <w:rPr>
          <w:noProof/>
        </w:rPr>
        <w:instrText xml:space="preserve"> PAGEREF _Toc158713549 \h </w:instrText>
      </w:r>
      <w:r>
        <w:rPr>
          <w:noProof/>
        </w:rPr>
      </w:r>
      <w:r>
        <w:rPr>
          <w:noProof/>
        </w:rPr>
        <w:fldChar w:fldCharType="separate"/>
      </w:r>
      <w:r>
        <w:rPr>
          <w:noProof/>
        </w:rPr>
        <w:t>885</w:t>
      </w:r>
      <w:r>
        <w:rPr>
          <w:noProof/>
        </w:rPr>
        <w:fldChar w:fldCharType="end"/>
      </w:r>
    </w:p>
    <w:p w14:paraId="5FB82976" w14:textId="75AA8227"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Schedule 10C—Form and content of Product Disclosure Statement—standard margin lending facility</w:t>
      </w:r>
      <w:r>
        <w:rPr>
          <w:noProof/>
        </w:rPr>
        <w:tab/>
      </w:r>
      <w:r>
        <w:rPr>
          <w:noProof/>
        </w:rPr>
        <w:fldChar w:fldCharType="begin"/>
      </w:r>
      <w:r>
        <w:rPr>
          <w:noProof/>
        </w:rPr>
        <w:instrText xml:space="preserve"> PAGEREF _Toc158713550 \h </w:instrText>
      </w:r>
      <w:r>
        <w:rPr>
          <w:noProof/>
        </w:rPr>
      </w:r>
      <w:r>
        <w:rPr>
          <w:noProof/>
        </w:rPr>
        <w:fldChar w:fldCharType="separate"/>
      </w:r>
      <w:r>
        <w:rPr>
          <w:noProof/>
        </w:rPr>
        <w:t>892</w:t>
      </w:r>
      <w:r>
        <w:rPr>
          <w:noProof/>
        </w:rPr>
        <w:fldChar w:fldCharType="end"/>
      </w:r>
    </w:p>
    <w:p w14:paraId="371B7A4C" w14:textId="41CAE20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Length and font size for Product Disclosure Statement for standard margin lending facility</w:t>
      </w:r>
      <w:r>
        <w:rPr>
          <w:noProof/>
        </w:rPr>
        <w:tab/>
      </w:r>
      <w:r>
        <w:rPr>
          <w:noProof/>
        </w:rPr>
        <w:fldChar w:fldCharType="begin"/>
      </w:r>
      <w:r>
        <w:rPr>
          <w:noProof/>
        </w:rPr>
        <w:instrText xml:space="preserve"> PAGEREF _Toc158713551 \h </w:instrText>
      </w:r>
      <w:r>
        <w:rPr>
          <w:noProof/>
        </w:rPr>
      </w:r>
      <w:r>
        <w:rPr>
          <w:noProof/>
        </w:rPr>
        <w:fldChar w:fldCharType="separate"/>
      </w:r>
      <w:r>
        <w:rPr>
          <w:noProof/>
        </w:rPr>
        <w:t>892</w:t>
      </w:r>
      <w:r>
        <w:rPr>
          <w:noProof/>
        </w:rPr>
        <w:fldChar w:fldCharType="end"/>
      </w:r>
    </w:p>
    <w:p w14:paraId="342F74B3" w14:textId="4A7BCFE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Minimum content of Product Disclosure Statement for standard margin lending facility</w:t>
      </w:r>
      <w:r>
        <w:rPr>
          <w:noProof/>
        </w:rPr>
        <w:tab/>
      </w:r>
      <w:r>
        <w:rPr>
          <w:noProof/>
        </w:rPr>
        <w:fldChar w:fldCharType="begin"/>
      </w:r>
      <w:r>
        <w:rPr>
          <w:noProof/>
        </w:rPr>
        <w:instrText xml:space="preserve"> PAGEREF _Toc158713552 \h </w:instrText>
      </w:r>
      <w:r>
        <w:rPr>
          <w:noProof/>
        </w:rPr>
      </w:r>
      <w:r>
        <w:rPr>
          <w:noProof/>
        </w:rPr>
        <w:fldChar w:fldCharType="separate"/>
      </w:r>
      <w:r>
        <w:rPr>
          <w:noProof/>
        </w:rPr>
        <w:t>892</w:t>
      </w:r>
      <w:r>
        <w:rPr>
          <w:noProof/>
        </w:rPr>
        <w:fldChar w:fldCharType="end"/>
      </w:r>
    </w:p>
    <w:p w14:paraId="1B9CCE9F" w14:textId="0C64DE5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  Contents of section 1 (About [name of provider of the standard margin lending facility] and [name of standard margin lending facility])</w:t>
      </w:r>
      <w:r>
        <w:rPr>
          <w:noProof/>
        </w:rPr>
        <w:tab/>
      </w:r>
      <w:r>
        <w:rPr>
          <w:noProof/>
        </w:rPr>
        <w:fldChar w:fldCharType="begin"/>
      </w:r>
      <w:r>
        <w:rPr>
          <w:noProof/>
        </w:rPr>
        <w:instrText xml:space="preserve"> PAGEREF _Toc158713553 \h </w:instrText>
      </w:r>
      <w:r>
        <w:rPr>
          <w:noProof/>
        </w:rPr>
      </w:r>
      <w:r>
        <w:rPr>
          <w:noProof/>
        </w:rPr>
        <w:fldChar w:fldCharType="separate"/>
      </w:r>
      <w:r>
        <w:rPr>
          <w:noProof/>
        </w:rPr>
        <w:t>893</w:t>
      </w:r>
      <w:r>
        <w:rPr>
          <w:noProof/>
        </w:rPr>
        <w:fldChar w:fldCharType="end"/>
      </w:r>
    </w:p>
    <w:p w14:paraId="69AF6A33" w14:textId="680136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4  Contents of section 2 (Benefits of [name of standard margin lending facility])</w:t>
      </w:r>
      <w:r>
        <w:rPr>
          <w:noProof/>
        </w:rPr>
        <w:tab/>
      </w:r>
      <w:r>
        <w:rPr>
          <w:noProof/>
        </w:rPr>
        <w:fldChar w:fldCharType="begin"/>
      </w:r>
      <w:r>
        <w:rPr>
          <w:noProof/>
        </w:rPr>
        <w:instrText xml:space="preserve"> PAGEREF _Toc158713554 \h </w:instrText>
      </w:r>
      <w:r>
        <w:rPr>
          <w:noProof/>
        </w:rPr>
      </w:r>
      <w:r>
        <w:rPr>
          <w:noProof/>
        </w:rPr>
        <w:fldChar w:fldCharType="separate"/>
      </w:r>
      <w:r>
        <w:rPr>
          <w:noProof/>
        </w:rPr>
        <w:t>893</w:t>
      </w:r>
      <w:r>
        <w:rPr>
          <w:noProof/>
        </w:rPr>
        <w:fldChar w:fldCharType="end"/>
      </w:r>
    </w:p>
    <w:p w14:paraId="098A0876" w14:textId="0E87AF7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  Contents of section 3 (How [name of standard margin lending facility] works)</w:t>
      </w:r>
      <w:r>
        <w:rPr>
          <w:noProof/>
        </w:rPr>
        <w:tab/>
      </w:r>
      <w:r>
        <w:rPr>
          <w:noProof/>
        </w:rPr>
        <w:fldChar w:fldCharType="begin"/>
      </w:r>
      <w:r>
        <w:rPr>
          <w:noProof/>
        </w:rPr>
        <w:instrText xml:space="preserve"> PAGEREF _Toc158713555 \h </w:instrText>
      </w:r>
      <w:r>
        <w:rPr>
          <w:noProof/>
        </w:rPr>
      </w:r>
      <w:r>
        <w:rPr>
          <w:noProof/>
        </w:rPr>
        <w:fldChar w:fldCharType="separate"/>
      </w:r>
      <w:r>
        <w:rPr>
          <w:noProof/>
        </w:rPr>
        <w:t>893</w:t>
      </w:r>
      <w:r>
        <w:rPr>
          <w:noProof/>
        </w:rPr>
        <w:fldChar w:fldCharType="end"/>
      </w:r>
    </w:p>
    <w:p w14:paraId="0F7359DB" w14:textId="4D666602"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  Contents of section 4 (What is a margin call?)</w:t>
      </w:r>
      <w:r>
        <w:rPr>
          <w:noProof/>
        </w:rPr>
        <w:tab/>
      </w:r>
      <w:r>
        <w:rPr>
          <w:noProof/>
        </w:rPr>
        <w:fldChar w:fldCharType="begin"/>
      </w:r>
      <w:r>
        <w:rPr>
          <w:noProof/>
        </w:rPr>
        <w:instrText xml:space="preserve"> PAGEREF _Toc158713556 \h </w:instrText>
      </w:r>
      <w:r>
        <w:rPr>
          <w:noProof/>
        </w:rPr>
      </w:r>
      <w:r>
        <w:rPr>
          <w:noProof/>
        </w:rPr>
        <w:fldChar w:fldCharType="separate"/>
      </w:r>
      <w:r>
        <w:rPr>
          <w:noProof/>
        </w:rPr>
        <w:t>894</w:t>
      </w:r>
      <w:r>
        <w:rPr>
          <w:noProof/>
        </w:rPr>
        <w:fldChar w:fldCharType="end"/>
      </w:r>
    </w:p>
    <w:p w14:paraId="574AE8DE" w14:textId="6CD84D1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  Contents of section 5 (The risk of losing money)</w:t>
      </w:r>
      <w:r>
        <w:rPr>
          <w:noProof/>
        </w:rPr>
        <w:tab/>
      </w:r>
      <w:r>
        <w:rPr>
          <w:noProof/>
        </w:rPr>
        <w:fldChar w:fldCharType="begin"/>
      </w:r>
      <w:r>
        <w:rPr>
          <w:noProof/>
        </w:rPr>
        <w:instrText xml:space="preserve"> PAGEREF _Toc158713557 \h </w:instrText>
      </w:r>
      <w:r>
        <w:rPr>
          <w:noProof/>
        </w:rPr>
      </w:r>
      <w:r>
        <w:rPr>
          <w:noProof/>
        </w:rPr>
        <w:fldChar w:fldCharType="separate"/>
      </w:r>
      <w:r>
        <w:rPr>
          <w:noProof/>
        </w:rPr>
        <w:t>895</w:t>
      </w:r>
      <w:r>
        <w:rPr>
          <w:noProof/>
        </w:rPr>
        <w:fldChar w:fldCharType="end"/>
      </w:r>
    </w:p>
    <w:p w14:paraId="6FD48355" w14:textId="05F4610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  Contents of section 6 (The costs)</w:t>
      </w:r>
      <w:r>
        <w:rPr>
          <w:noProof/>
        </w:rPr>
        <w:tab/>
      </w:r>
      <w:r>
        <w:rPr>
          <w:noProof/>
        </w:rPr>
        <w:fldChar w:fldCharType="begin"/>
      </w:r>
      <w:r>
        <w:rPr>
          <w:noProof/>
        </w:rPr>
        <w:instrText xml:space="preserve"> PAGEREF _Toc158713558 \h </w:instrText>
      </w:r>
      <w:r>
        <w:rPr>
          <w:noProof/>
        </w:rPr>
      </w:r>
      <w:r>
        <w:rPr>
          <w:noProof/>
        </w:rPr>
        <w:fldChar w:fldCharType="separate"/>
      </w:r>
      <w:r>
        <w:rPr>
          <w:noProof/>
        </w:rPr>
        <w:t>895</w:t>
      </w:r>
      <w:r>
        <w:rPr>
          <w:noProof/>
        </w:rPr>
        <w:fldChar w:fldCharType="end"/>
      </w:r>
    </w:p>
    <w:p w14:paraId="46BF494B" w14:textId="58DFA7B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  Contents of section 7 (How to apply)</w:t>
      </w:r>
      <w:r>
        <w:rPr>
          <w:noProof/>
        </w:rPr>
        <w:tab/>
      </w:r>
      <w:r>
        <w:rPr>
          <w:noProof/>
        </w:rPr>
        <w:fldChar w:fldCharType="begin"/>
      </w:r>
      <w:r>
        <w:rPr>
          <w:noProof/>
        </w:rPr>
        <w:instrText xml:space="preserve"> PAGEREF _Toc158713559 \h </w:instrText>
      </w:r>
      <w:r>
        <w:rPr>
          <w:noProof/>
        </w:rPr>
      </w:r>
      <w:r>
        <w:rPr>
          <w:noProof/>
        </w:rPr>
        <w:fldChar w:fldCharType="separate"/>
      </w:r>
      <w:r>
        <w:rPr>
          <w:noProof/>
        </w:rPr>
        <w:t>896</w:t>
      </w:r>
      <w:r>
        <w:rPr>
          <w:noProof/>
        </w:rPr>
        <w:fldChar w:fldCharType="end"/>
      </w:r>
    </w:p>
    <w:p w14:paraId="336B8E00" w14:textId="7B5D11C2"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10D—Form and content of Product Disclosure Statement—superannuation product to which Subdivision 4.2B of Division 4 of Part 7.9 applies</w:t>
      </w:r>
      <w:r>
        <w:rPr>
          <w:noProof/>
        </w:rPr>
        <w:tab/>
      </w:r>
      <w:r>
        <w:rPr>
          <w:noProof/>
        </w:rPr>
        <w:fldChar w:fldCharType="begin"/>
      </w:r>
      <w:r>
        <w:rPr>
          <w:noProof/>
        </w:rPr>
        <w:instrText xml:space="preserve"> PAGEREF _Toc158713560 \h </w:instrText>
      </w:r>
      <w:r>
        <w:rPr>
          <w:noProof/>
        </w:rPr>
      </w:r>
      <w:r>
        <w:rPr>
          <w:noProof/>
        </w:rPr>
        <w:fldChar w:fldCharType="separate"/>
      </w:r>
      <w:r>
        <w:rPr>
          <w:noProof/>
        </w:rPr>
        <w:t>897</w:t>
      </w:r>
      <w:r>
        <w:rPr>
          <w:noProof/>
        </w:rPr>
        <w:fldChar w:fldCharType="end"/>
      </w:r>
    </w:p>
    <w:p w14:paraId="403361FA" w14:textId="5688A44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Length and font size for Product Disclosure Statement for superannuation product</w:t>
      </w:r>
      <w:r>
        <w:rPr>
          <w:noProof/>
        </w:rPr>
        <w:tab/>
      </w:r>
      <w:r>
        <w:rPr>
          <w:noProof/>
        </w:rPr>
        <w:fldChar w:fldCharType="begin"/>
      </w:r>
      <w:r>
        <w:rPr>
          <w:noProof/>
        </w:rPr>
        <w:instrText xml:space="preserve"> PAGEREF _Toc158713561 \h </w:instrText>
      </w:r>
      <w:r>
        <w:rPr>
          <w:noProof/>
        </w:rPr>
      </w:r>
      <w:r>
        <w:rPr>
          <w:noProof/>
        </w:rPr>
        <w:fldChar w:fldCharType="separate"/>
      </w:r>
      <w:r>
        <w:rPr>
          <w:noProof/>
        </w:rPr>
        <w:t>897</w:t>
      </w:r>
      <w:r>
        <w:rPr>
          <w:noProof/>
        </w:rPr>
        <w:fldChar w:fldCharType="end"/>
      </w:r>
    </w:p>
    <w:p w14:paraId="0E4294B5" w14:textId="588077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Minimum content of Product Disclosure Statement for superannuation product</w:t>
      </w:r>
      <w:r>
        <w:rPr>
          <w:noProof/>
        </w:rPr>
        <w:tab/>
      </w:r>
      <w:r>
        <w:rPr>
          <w:noProof/>
        </w:rPr>
        <w:fldChar w:fldCharType="begin"/>
      </w:r>
      <w:r>
        <w:rPr>
          <w:noProof/>
        </w:rPr>
        <w:instrText xml:space="preserve"> PAGEREF _Toc158713562 \h </w:instrText>
      </w:r>
      <w:r>
        <w:rPr>
          <w:noProof/>
        </w:rPr>
      </w:r>
      <w:r>
        <w:rPr>
          <w:noProof/>
        </w:rPr>
        <w:fldChar w:fldCharType="separate"/>
      </w:r>
      <w:r>
        <w:rPr>
          <w:noProof/>
        </w:rPr>
        <w:t>897</w:t>
      </w:r>
      <w:r>
        <w:rPr>
          <w:noProof/>
        </w:rPr>
        <w:fldChar w:fldCharType="end"/>
      </w:r>
    </w:p>
    <w:p w14:paraId="2B4F91E9" w14:textId="6C7DEF7F"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 xml:space="preserve">3  Contents of section 1 (About </w:t>
      </w:r>
      <w:r w:rsidRPr="00FC743A">
        <w:rPr>
          <w:i/>
          <w:noProof/>
        </w:rPr>
        <w:t>[name of superannuation product]</w:t>
      </w:r>
      <w:r>
        <w:rPr>
          <w:noProof/>
        </w:rPr>
        <w:t>)</w:t>
      </w:r>
      <w:r>
        <w:rPr>
          <w:noProof/>
        </w:rPr>
        <w:tab/>
      </w:r>
      <w:r>
        <w:rPr>
          <w:noProof/>
        </w:rPr>
        <w:fldChar w:fldCharType="begin"/>
      </w:r>
      <w:r>
        <w:rPr>
          <w:noProof/>
        </w:rPr>
        <w:instrText xml:space="preserve"> PAGEREF _Toc158713563 \h </w:instrText>
      </w:r>
      <w:r>
        <w:rPr>
          <w:noProof/>
        </w:rPr>
      </w:r>
      <w:r>
        <w:rPr>
          <w:noProof/>
        </w:rPr>
        <w:fldChar w:fldCharType="separate"/>
      </w:r>
      <w:r>
        <w:rPr>
          <w:noProof/>
        </w:rPr>
        <w:t>898</w:t>
      </w:r>
      <w:r>
        <w:rPr>
          <w:noProof/>
        </w:rPr>
        <w:fldChar w:fldCharType="end"/>
      </w:r>
    </w:p>
    <w:p w14:paraId="269D6D4A" w14:textId="777A8DA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4  Contents of section 2 (How super works)</w:t>
      </w:r>
      <w:r>
        <w:rPr>
          <w:noProof/>
        </w:rPr>
        <w:tab/>
      </w:r>
      <w:r>
        <w:rPr>
          <w:noProof/>
        </w:rPr>
        <w:fldChar w:fldCharType="begin"/>
      </w:r>
      <w:r>
        <w:rPr>
          <w:noProof/>
        </w:rPr>
        <w:instrText xml:space="preserve"> PAGEREF _Toc158713564 \h </w:instrText>
      </w:r>
      <w:r>
        <w:rPr>
          <w:noProof/>
        </w:rPr>
      </w:r>
      <w:r>
        <w:rPr>
          <w:noProof/>
        </w:rPr>
        <w:fldChar w:fldCharType="separate"/>
      </w:r>
      <w:r>
        <w:rPr>
          <w:noProof/>
        </w:rPr>
        <w:t>898</w:t>
      </w:r>
      <w:r>
        <w:rPr>
          <w:noProof/>
        </w:rPr>
        <w:fldChar w:fldCharType="end"/>
      </w:r>
    </w:p>
    <w:p w14:paraId="00767AF7" w14:textId="4A7D31B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  Contents of section 3 (Benefits of investing with [name of superannuation product])</w:t>
      </w:r>
      <w:r>
        <w:rPr>
          <w:noProof/>
        </w:rPr>
        <w:tab/>
      </w:r>
      <w:r>
        <w:rPr>
          <w:noProof/>
        </w:rPr>
        <w:fldChar w:fldCharType="begin"/>
      </w:r>
      <w:r>
        <w:rPr>
          <w:noProof/>
        </w:rPr>
        <w:instrText xml:space="preserve"> PAGEREF _Toc158713565 \h </w:instrText>
      </w:r>
      <w:r>
        <w:rPr>
          <w:noProof/>
        </w:rPr>
      </w:r>
      <w:r>
        <w:rPr>
          <w:noProof/>
        </w:rPr>
        <w:fldChar w:fldCharType="separate"/>
      </w:r>
      <w:r>
        <w:rPr>
          <w:noProof/>
        </w:rPr>
        <w:t>898</w:t>
      </w:r>
      <w:r>
        <w:rPr>
          <w:noProof/>
        </w:rPr>
        <w:fldChar w:fldCharType="end"/>
      </w:r>
    </w:p>
    <w:p w14:paraId="5C58095B" w14:textId="5F5081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  Contents of section 4 (Risks of super)</w:t>
      </w:r>
      <w:r>
        <w:rPr>
          <w:noProof/>
        </w:rPr>
        <w:tab/>
      </w:r>
      <w:r>
        <w:rPr>
          <w:noProof/>
        </w:rPr>
        <w:fldChar w:fldCharType="begin"/>
      </w:r>
      <w:r>
        <w:rPr>
          <w:noProof/>
        </w:rPr>
        <w:instrText xml:space="preserve"> PAGEREF _Toc158713566 \h </w:instrText>
      </w:r>
      <w:r>
        <w:rPr>
          <w:noProof/>
        </w:rPr>
      </w:r>
      <w:r>
        <w:rPr>
          <w:noProof/>
        </w:rPr>
        <w:fldChar w:fldCharType="separate"/>
      </w:r>
      <w:r>
        <w:rPr>
          <w:noProof/>
        </w:rPr>
        <w:t>899</w:t>
      </w:r>
      <w:r>
        <w:rPr>
          <w:noProof/>
        </w:rPr>
        <w:fldChar w:fldCharType="end"/>
      </w:r>
    </w:p>
    <w:p w14:paraId="386BC7AB" w14:textId="4E8A583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  Contents of section 5 (How we invest your money)</w:t>
      </w:r>
      <w:r>
        <w:rPr>
          <w:noProof/>
        </w:rPr>
        <w:tab/>
      </w:r>
      <w:r>
        <w:rPr>
          <w:noProof/>
        </w:rPr>
        <w:fldChar w:fldCharType="begin"/>
      </w:r>
      <w:r>
        <w:rPr>
          <w:noProof/>
        </w:rPr>
        <w:instrText xml:space="preserve"> PAGEREF _Toc158713567 \h </w:instrText>
      </w:r>
      <w:r>
        <w:rPr>
          <w:noProof/>
        </w:rPr>
      </w:r>
      <w:r>
        <w:rPr>
          <w:noProof/>
        </w:rPr>
        <w:fldChar w:fldCharType="separate"/>
      </w:r>
      <w:r>
        <w:rPr>
          <w:noProof/>
        </w:rPr>
        <w:t>899</w:t>
      </w:r>
      <w:r>
        <w:rPr>
          <w:noProof/>
        </w:rPr>
        <w:fldChar w:fldCharType="end"/>
      </w:r>
    </w:p>
    <w:p w14:paraId="19D7C7BC" w14:textId="32BB6AC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  Contents of section 6 (Fees and costs)</w:t>
      </w:r>
      <w:r>
        <w:rPr>
          <w:noProof/>
        </w:rPr>
        <w:tab/>
      </w:r>
      <w:r>
        <w:rPr>
          <w:noProof/>
        </w:rPr>
        <w:fldChar w:fldCharType="begin"/>
      </w:r>
      <w:r>
        <w:rPr>
          <w:noProof/>
        </w:rPr>
        <w:instrText xml:space="preserve"> PAGEREF _Toc158713568 \h </w:instrText>
      </w:r>
      <w:r>
        <w:rPr>
          <w:noProof/>
        </w:rPr>
      </w:r>
      <w:r>
        <w:rPr>
          <w:noProof/>
        </w:rPr>
        <w:fldChar w:fldCharType="separate"/>
      </w:r>
      <w:r>
        <w:rPr>
          <w:noProof/>
        </w:rPr>
        <w:t>900</w:t>
      </w:r>
      <w:r>
        <w:rPr>
          <w:noProof/>
        </w:rPr>
        <w:fldChar w:fldCharType="end"/>
      </w:r>
    </w:p>
    <w:p w14:paraId="06163E42" w14:textId="73C3C32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  Contents of section 7 (How super is taxed)</w:t>
      </w:r>
      <w:r>
        <w:rPr>
          <w:noProof/>
        </w:rPr>
        <w:tab/>
      </w:r>
      <w:r>
        <w:rPr>
          <w:noProof/>
        </w:rPr>
        <w:fldChar w:fldCharType="begin"/>
      </w:r>
      <w:r>
        <w:rPr>
          <w:noProof/>
        </w:rPr>
        <w:instrText xml:space="preserve"> PAGEREF _Toc158713569 \h </w:instrText>
      </w:r>
      <w:r>
        <w:rPr>
          <w:noProof/>
        </w:rPr>
      </w:r>
      <w:r>
        <w:rPr>
          <w:noProof/>
        </w:rPr>
        <w:fldChar w:fldCharType="separate"/>
      </w:r>
      <w:r>
        <w:rPr>
          <w:noProof/>
        </w:rPr>
        <w:t>901</w:t>
      </w:r>
      <w:r>
        <w:rPr>
          <w:noProof/>
        </w:rPr>
        <w:fldChar w:fldCharType="end"/>
      </w:r>
    </w:p>
    <w:p w14:paraId="1E5F1DFB" w14:textId="6D1E85DD"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  Contents of section 8 (Insurance in your super)</w:t>
      </w:r>
      <w:r>
        <w:rPr>
          <w:noProof/>
        </w:rPr>
        <w:tab/>
      </w:r>
      <w:r>
        <w:rPr>
          <w:noProof/>
        </w:rPr>
        <w:fldChar w:fldCharType="begin"/>
      </w:r>
      <w:r>
        <w:rPr>
          <w:noProof/>
        </w:rPr>
        <w:instrText xml:space="preserve"> PAGEREF _Toc158713570 \h </w:instrText>
      </w:r>
      <w:r>
        <w:rPr>
          <w:noProof/>
        </w:rPr>
      </w:r>
      <w:r>
        <w:rPr>
          <w:noProof/>
        </w:rPr>
        <w:fldChar w:fldCharType="separate"/>
      </w:r>
      <w:r>
        <w:rPr>
          <w:noProof/>
        </w:rPr>
        <w:t>902</w:t>
      </w:r>
      <w:r>
        <w:rPr>
          <w:noProof/>
        </w:rPr>
        <w:fldChar w:fldCharType="end"/>
      </w:r>
    </w:p>
    <w:p w14:paraId="420DDBE8" w14:textId="70F70019"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11  Contents of section 9 (How to open an account)</w:t>
      </w:r>
      <w:r>
        <w:rPr>
          <w:noProof/>
        </w:rPr>
        <w:tab/>
      </w:r>
      <w:r>
        <w:rPr>
          <w:noProof/>
        </w:rPr>
        <w:fldChar w:fldCharType="begin"/>
      </w:r>
      <w:r>
        <w:rPr>
          <w:noProof/>
        </w:rPr>
        <w:instrText xml:space="preserve"> PAGEREF _Toc158713571 \h </w:instrText>
      </w:r>
      <w:r>
        <w:rPr>
          <w:noProof/>
        </w:rPr>
      </w:r>
      <w:r>
        <w:rPr>
          <w:noProof/>
        </w:rPr>
        <w:fldChar w:fldCharType="separate"/>
      </w:r>
      <w:r>
        <w:rPr>
          <w:noProof/>
        </w:rPr>
        <w:t>903</w:t>
      </w:r>
      <w:r>
        <w:rPr>
          <w:noProof/>
        </w:rPr>
        <w:fldChar w:fldCharType="end"/>
      </w:r>
    </w:p>
    <w:p w14:paraId="28BA3630" w14:textId="1197FB1F"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10E—Form and content of Product Disclosure Statement—simple managed investment scheme</w:t>
      </w:r>
      <w:r>
        <w:rPr>
          <w:noProof/>
        </w:rPr>
        <w:tab/>
      </w:r>
      <w:r>
        <w:rPr>
          <w:noProof/>
        </w:rPr>
        <w:fldChar w:fldCharType="begin"/>
      </w:r>
      <w:r>
        <w:rPr>
          <w:noProof/>
        </w:rPr>
        <w:instrText xml:space="preserve"> PAGEREF _Toc158713572 \h </w:instrText>
      </w:r>
      <w:r>
        <w:rPr>
          <w:noProof/>
        </w:rPr>
      </w:r>
      <w:r>
        <w:rPr>
          <w:noProof/>
        </w:rPr>
        <w:fldChar w:fldCharType="separate"/>
      </w:r>
      <w:r>
        <w:rPr>
          <w:noProof/>
        </w:rPr>
        <w:t>904</w:t>
      </w:r>
      <w:r>
        <w:rPr>
          <w:noProof/>
        </w:rPr>
        <w:fldChar w:fldCharType="end"/>
      </w:r>
    </w:p>
    <w:p w14:paraId="0ABDA04A" w14:textId="41F08D55"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Length and font size for Product Disclosure Statement for simple managed investment scheme</w:t>
      </w:r>
      <w:r>
        <w:rPr>
          <w:noProof/>
        </w:rPr>
        <w:tab/>
      </w:r>
      <w:r>
        <w:rPr>
          <w:noProof/>
        </w:rPr>
        <w:fldChar w:fldCharType="begin"/>
      </w:r>
      <w:r>
        <w:rPr>
          <w:noProof/>
        </w:rPr>
        <w:instrText xml:space="preserve"> PAGEREF _Toc158713573 \h </w:instrText>
      </w:r>
      <w:r>
        <w:rPr>
          <w:noProof/>
        </w:rPr>
      </w:r>
      <w:r>
        <w:rPr>
          <w:noProof/>
        </w:rPr>
        <w:fldChar w:fldCharType="separate"/>
      </w:r>
      <w:r>
        <w:rPr>
          <w:noProof/>
        </w:rPr>
        <w:t>904</w:t>
      </w:r>
      <w:r>
        <w:rPr>
          <w:noProof/>
        </w:rPr>
        <w:fldChar w:fldCharType="end"/>
      </w:r>
    </w:p>
    <w:p w14:paraId="27BAE9FC" w14:textId="4034D39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Minimum content of Product Disclosure Statement for simple managed investment scheme</w:t>
      </w:r>
      <w:r>
        <w:rPr>
          <w:noProof/>
        </w:rPr>
        <w:tab/>
      </w:r>
      <w:r>
        <w:rPr>
          <w:noProof/>
        </w:rPr>
        <w:fldChar w:fldCharType="begin"/>
      </w:r>
      <w:r>
        <w:rPr>
          <w:noProof/>
        </w:rPr>
        <w:instrText xml:space="preserve"> PAGEREF _Toc158713574 \h </w:instrText>
      </w:r>
      <w:r>
        <w:rPr>
          <w:noProof/>
        </w:rPr>
      </w:r>
      <w:r>
        <w:rPr>
          <w:noProof/>
        </w:rPr>
        <w:fldChar w:fldCharType="separate"/>
      </w:r>
      <w:r>
        <w:rPr>
          <w:noProof/>
        </w:rPr>
        <w:t>904</w:t>
      </w:r>
      <w:r>
        <w:rPr>
          <w:noProof/>
        </w:rPr>
        <w:fldChar w:fldCharType="end"/>
      </w:r>
    </w:p>
    <w:p w14:paraId="48AF3DBD" w14:textId="1DD5EB0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  Contents of section 1 (About [name of responsible entity])</w:t>
      </w:r>
      <w:r>
        <w:rPr>
          <w:noProof/>
        </w:rPr>
        <w:tab/>
      </w:r>
      <w:r>
        <w:rPr>
          <w:noProof/>
        </w:rPr>
        <w:fldChar w:fldCharType="begin"/>
      </w:r>
      <w:r>
        <w:rPr>
          <w:noProof/>
        </w:rPr>
        <w:instrText xml:space="preserve"> PAGEREF _Toc158713575 \h </w:instrText>
      </w:r>
      <w:r>
        <w:rPr>
          <w:noProof/>
        </w:rPr>
      </w:r>
      <w:r>
        <w:rPr>
          <w:noProof/>
        </w:rPr>
        <w:fldChar w:fldCharType="separate"/>
      </w:r>
      <w:r>
        <w:rPr>
          <w:noProof/>
        </w:rPr>
        <w:t>905</w:t>
      </w:r>
      <w:r>
        <w:rPr>
          <w:noProof/>
        </w:rPr>
        <w:fldChar w:fldCharType="end"/>
      </w:r>
    </w:p>
    <w:p w14:paraId="05E069A9" w14:textId="7485181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4  Contents of section 2 (How [name of simple managed investment scheme] works)</w:t>
      </w:r>
      <w:r>
        <w:rPr>
          <w:noProof/>
        </w:rPr>
        <w:tab/>
      </w:r>
      <w:r>
        <w:rPr>
          <w:noProof/>
        </w:rPr>
        <w:fldChar w:fldCharType="begin"/>
      </w:r>
      <w:r>
        <w:rPr>
          <w:noProof/>
        </w:rPr>
        <w:instrText xml:space="preserve"> PAGEREF _Toc158713576 \h </w:instrText>
      </w:r>
      <w:r>
        <w:rPr>
          <w:noProof/>
        </w:rPr>
      </w:r>
      <w:r>
        <w:rPr>
          <w:noProof/>
        </w:rPr>
        <w:fldChar w:fldCharType="separate"/>
      </w:r>
      <w:r>
        <w:rPr>
          <w:noProof/>
        </w:rPr>
        <w:t>905</w:t>
      </w:r>
      <w:r>
        <w:rPr>
          <w:noProof/>
        </w:rPr>
        <w:fldChar w:fldCharType="end"/>
      </w:r>
    </w:p>
    <w:p w14:paraId="0D421E63" w14:textId="72F011B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  Contents of section 3 (Benefits of investing in [name of simple managed investment scheme])</w:t>
      </w:r>
      <w:r>
        <w:rPr>
          <w:noProof/>
        </w:rPr>
        <w:tab/>
      </w:r>
      <w:r>
        <w:rPr>
          <w:noProof/>
        </w:rPr>
        <w:fldChar w:fldCharType="begin"/>
      </w:r>
      <w:r>
        <w:rPr>
          <w:noProof/>
        </w:rPr>
        <w:instrText xml:space="preserve"> PAGEREF _Toc158713577 \h </w:instrText>
      </w:r>
      <w:r>
        <w:rPr>
          <w:noProof/>
        </w:rPr>
      </w:r>
      <w:r>
        <w:rPr>
          <w:noProof/>
        </w:rPr>
        <w:fldChar w:fldCharType="separate"/>
      </w:r>
      <w:r>
        <w:rPr>
          <w:noProof/>
        </w:rPr>
        <w:t>905</w:t>
      </w:r>
      <w:r>
        <w:rPr>
          <w:noProof/>
        </w:rPr>
        <w:fldChar w:fldCharType="end"/>
      </w:r>
    </w:p>
    <w:p w14:paraId="3C9472F6" w14:textId="2ABB502B"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  Contents of section 4 (Risks of managed investment schemes)</w:t>
      </w:r>
      <w:r>
        <w:rPr>
          <w:noProof/>
        </w:rPr>
        <w:tab/>
      </w:r>
      <w:r>
        <w:rPr>
          <w:noProof/>
        </w:rPr>
        <w:fldChar w:fldCharType="begin"/>
      </w:r>
      <w:r>
        <w:rPr>
          <w:noProof/>
        </w:rPr>
        <w:instrText xml:space="preserve"> PAGEREF _Toc158713578 \h </w:instrText>
      </w:r>
      <w:r>
        <w:rPr>
          <w:noProof/>
        </w:rPr>
      </w:r>
      <w:r>
        <w:rPr>
          <w:noProof/>
        </w:rPr>
        <w:fldChar w:fldCharType="separate"/>
      </w:r>
      <w:r>
        <w:rPr>
          <w:noProof/>
        </w:rPr>
        <w:t>905</w:t>
      </w:r>
      <w:r>
        <w:rPr>
          <w:noProof/>
        </w:rPr>
        <w:fldChar w:fldCharType="end"/>
      </w:r>
    </w:p>
    <w:p w14:paraId="260B2DA5" w14:textId="4FB0B860"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  Contents of section 5 (How we invest your money)</w:t>
      </w:r>
      <w:r>
        <w:rPr>
          <w:noProof/>
        </w:rPr>
        <w:tab/>
      </w:r>
      <w:r>
        <w:rPr>
          <w:noProof/>
        </w:rPr>
        <w:fldChar w:fldCharType="begin"/>
      </w:r>
      <w:r>
        <w:rPr>
          <w:noProof/>
        </w:rPr>
        <w:instrText xml:space="preserve"> PAGEREF _Toc158713579 \h </w:instrText>
      </w:r>
      <w:r>
        <w:rPr>
          <w:noProof/>
        </w:rPr>
      </w:r>
      <w:r>
        <w:rPr>
          <w:noProof/>
        </w:rPr>
        <w:fldChar w:fldCharType="separate"/>
      </w:r>
      <w:r>
        <w:rPr>
          <w:noProof/>
        </w:rPr>
        <w:t>906</w:t>
      </w:r>
      <w:r>
        <w:rPr>
          <w:noProof/>
        </w:rPr>
        <w:fldChar w:fldCharType="end"/>
      </w:r>
    </w:p>
    <w:p w14:paraId="15E2EA76" w14:textId="33DE6356"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  Contents of section 6 (Fees and costs)</w:t>
      </w:r>
      <w:r>
        <w:rPr>
          <w:noProof/>
        </w:rPr>
        <w:tab/>
      </w:r>
      <w:r>
        <w:rPr>
          <w:noProof/>
        </w:rPr>
        <w:fldChar w:fldCharType="begin"/>
      </w:r>
      <w:r>
        <w:rPr>
          <w:noProof/>
        </w:rPr>
        <w:instrText xml:space="preserve"> PAGEREF _Toc158713580 \h </w:instrText>
      </w:r>
      <w:r>
        <w:rPr>
          <w:noProof/>
        </w:rPr>
      </w:r>
      <w:r>
        <w:rPr>
          <w:noProof/>
        </w:rPr>
        <w:fldChar w:fldCharType="separate"/>
      </w:r>
      <w:r>
        <w:rPr>
          <w:noProof/>
        </w:rPr>
        <w:t>907</w:t>
      </w:r>
      <w:r>
        <w:rPr>
          <w:noProof/>
        </w:rPr>
        <w:fldChar w:fldCharType="end"/>
      </w:r>
    </w:p>
    <w:p w14:paraId="3D496A56" w14:textId="2C55542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  Contents of section 7 (How managed investment schemes are taxed)</w:t>
      </w:r>
      <w:r>
        <w:rPr>
          <w:noProof/>
        </w:rPr>
        <w:tab/>
      </w:r>
      <w:r>
        <w:rPr>
          <w:noProof/>
        </w:rPr>
        <w:fldChar w:fldCharType="begin"/>
      </w:r>
      <w:r>
        <w:rPr>
          <w:noProof/>
        </w:rPr>
        <w:instrText xml:space="preserve"> PAGEREF _Toc158713581 \h </w:instrText>
      </w:r>
      <w:r>
        <w:rPr>
          <w:noProof/>
        </w:rPr>
      </w:r>
      <w:r>
        <w:rPr>
          <w:noProof/>
        </w:rPr>
        <w:fldChar w:fldCharType="separate"/>
      </w:r>
      <w:r>
        <w:rPr>
          <w:noProof/>
        </w:rPr>
        <w:t>908</w:t>
      </w:r>
      <w:r>
        <w:rPr>
          <w:noProof/>
        </w:rPr>
        <w:fldChar w:fldCharType="end"/>
      </w:r>
    </w:p>
    <w:p w14:paraId="44814B4B" w14:textId="42242A3C"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  Contents of section 8 (How to apply)</w:t>
      </w:r>
      <w:r>
        <w:rPr>
          <w:noProof/>
        </w:rPr>
        <w:tab/>
      </w:r>
      <w:r>
        <w:rPr>
          <w:noProof/>
        </w:rPr>
        <w:fldChar w:fldCharType="begin"/>
      </w:r>
      <w:r>
        <w:rPr>
          <w:noProof/>
        </w:rPr>
        <w:instrText xml:space="preserve"> PAGEREF _Toc158713582 \h </w:instrText>
      </w:r>
      <w:r>
        <w:rPr>
          <w:noProof/>
        </w:rPr>
      </w:r>
      <w:r>
        <w:rPr>
          <w:noProof/>
        </w:rPr>
        <w:fldChar w:fldCharType="separate"/>
      </w:r>
      <w:r>
        <w:rPr>
          <w:noProof/>
        </w:rPr>
        <w:t>909</w:t>
      </w:r>
      <w:r>
        <w:rPr>
          <w:noProof/>
        </w:rPr>
        <w:fldChar w:fldCharType="end"/>
      </w:r>
    </w:p>
    <w:p w14:paraId="2F326539" w14:textId="59B6A31B"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10F—Form and content of Product Disclosure Statement—simple sub</w:t>
      </w:r>
      <w:r>
        <w:rPr>
          <w:noProof/>
        </w:rPr>
        <w:noBreakHyphen/>
        <w:t>fund products</w:t>
      </w:r>
      <w:r>
        <w:rPr>
          <w:noProof/>
        </w:rPr>
        <w:tab/>
      </w:r>
      <w:r>
        <w:rPr>
          <w:noProof/>
        </w:rPr>
        <w:fldChar w:fldCharType="begin"/>
      </w:r>
      <w:r>
        <w:rPr>
          <w:noProof/>
        </w:rPr>
        <w:instrText xml:space="preserve"> PAGEREF _Toc158713583 \h </w:instrText>
      </w:r>
      <w:r>
        <w:rPr>
          <w:noProof/>
        </w:rPr>
      </w:r>
      <w:r>
        <w:rPr>
          <w:noProof/>
        </w:rPr>
        <w:fldChar w:fldCharType="separate"/>
      </w:r>
      <w:r>
        <w:rPr>
          <w:noProof/>
        </w:rPr>
        <w:t>910</w:t>
      </w:r>
      <w:r>
        <w:rPr>
          <w:noProof/>
        </w:rPr>
        <w:fldChar w:fldCharType="end"/>
      </w:r>
    </w:p>
    <w:p w14:paraId="3B62018A" w14:textId="3DFDA1B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  Length and font size for Product Disclosure Statement for simple sub</w:t>
      </w:r>
      <w:r>
        <w:rPr>
          <w:noProof/>
        </w:rPr>
        <w:noBreakHyphen/>
        <w:t>fund product</w:t>
      </w:r>
      <w:r>
        <w:rPr>
          <w:noProof/>
        </w:rPr>
        <w:tab/>
      </w:r>
      <w:r>
        <w:rPr>
          <w:noProof/>
        </w:rPr>
        <w:fldChar w:fldCharType="begin"/>
      </w:r>
      <w:r>
        <w:rPr>
          <w:noProof/>
        </w:rPr>
        <w:instrText xml:space="preserve"> PAGEREF _Toc158713584 \h </w:instrText>
      </w:r>
      <w:r>
        <w:rPr>
          <w:noProof/>
        </w:rPr>
      </w:r>
      <w:r>
        <w:rPr>
          <w:noProof/>
        </w:rPr>
        <w:fldChar w:fldCharType="separate"/>
      </w:r>
      <w:r>
        <w:rPr>
          <w:noProof/>
        </w:rPr>
        <w:t>910</w:t>
      </w:r>
      <w:r>
        <w:rPr>
          <w:noProof/>
        </w:rPr>
        <w:fldChar w:fldCharType="end"/>
      </w:r>
    </w:p>
    <w:p w14:paraId="39E1F010" w14:textId="17CB7B2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2  Minimum content of Product Disclosure Statement for simple sub</w:t>
      </w:r>
      <w:r>
        <w:rPr>
          <w:noProof/>
        </w:rPr>
        <w:noBreakHyphen/>
        <w:t>fund product</w:t>
      </w:r>
      <w:r>
        <w:rPr>
          <w:noProof/>
        </w:rPr>
        <w:tab/>
      </w:r>
      <w:r>
        <w:rPr>
          <w:noProof/>
        </w:rPr>
        <w:fldChar w:fldCharType="begin"/>
      </w:r>
      <w:r>
        <w:rPr>
          <w:noProof/>
        </w:rPr>
        <w:instrText xml:space="preserve"> PAGEREF _Toc158713585 \h </w:instrText>
      </w:r>
      <w:r>
        <w:rPr>
          <w:noProof/>
        </w:rPr>
      </w:r>
      <w:r>
        <w:rPr>
          <w:noProof/>
        </w:rPr>
        <w:fldChar w:fldCharType="separate"/>
      </w:r>
      <w:r>
        <w:rPr>
          <w:noProof/>
        </w:rPr>
        <w:t>910</w:t>
      </w:r>
      <w:r>
        <w:rPr>
          <w:noProof/>
        </w:rPr>
        <w:fldChar w:fldCharType="end"/>
      </w:r>
    </w:p>
    <w:p w14:paraId="2BC362FD" w14:textId="390F797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3  Contents of section 1 (About [name of corporate director])</w:t>
      </w:r>
      <w:r>
        <w:rPr>
          <w:noProof/>
        </w:rPr>
        <w:tab/>
      </w:r>
      <w:r>
        <w:rPr>
          <w:noProof/>
        </w:rPr>
        <w:fldChar w:fldCharType="begin"/>
      </w:r>
      <w:r>
        <w:rPr>
          <w:noProof/>
        </w:rPr>
        <w:instrText xml:space="preserve"> PAGEREF _Toc158713586 \h </w:instrText>
      </w:r>
      <w:r>
        <w:rPr>
          <w:noProof/>
        </w:rPr>
      </w:r>
      <w:r>
        <w:rPr>
          <w:noProof/>
        </w:rPr>
        <w:fldChar w:fldCharType="separate"/>
      </w:r>
      <w:r>
        <w:rPr>
          <w:noProof/>
        </w:rPr>
        <w:t>911</w:t>
      </w:r>
      <w:r>
        <w:rPr>
          <w:noProof/>
        </w:rPr>
        <w:fldChar w:fldCharType="end"/>
      </w:r>
    </w:p>
    <w:p w14:paraId="01B96133" w14:textId="66244C3E"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4  Contents of section 2 (How [name of CCIV and sub</w:t>
      </w:r>
      <w:r>
        <w:rPr>
          <w:noProof/>
        </w:rPr>
        <w:noBreakHyphen/>
        <w:t>fund] work)</w:t>
      </w:r>
      <w:r>
        <w:rPr>
          <w:noProof/>
        </w:rPr>
        <w:tab/>
      </w:r>
      <w:r>
        <w:rPr>
          <w:noProof/>
        </w:rPr>
        <w:fldChar w:fldCharType="begin"/>
      </w:r>
      <w:r>
        <w:rPr>
          <w:noProof/>
        </w:rPr>
        <w:instrText xml:space="preserve"> PAGEREF _Toc158713587 \h </w:instrText>
      </w:r>
      <w:r>
        <w:rPr>
          <w:noProof/>
        </w:rPr>
      </w:r>
      <w:r>
        <w:rPr>
          <w:noProof/>
        </w:rPr>
        <w:fldChar w:fldCharType="separate"/>
      </w:r>
      <w:r>
        <w:rPr>
          <w:noProof/>
        </w:rPr>
        <w:t>911</w:t>
      </w:r>
      <w:r>
        <w:rPr>
          <w:noProof/>
        </w:rPr>
        <w:fldChar w:fldCharType="end"/>
      </w:r>
    </w:p>
    <w:p w14:paraId="3FD29A79" w14:textId="15F4516A"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5  Contents of section 3 (Benefits of investing in [name of simple sub</w:t>
      </w:r>
      <w:r>
        <w:rPr>
          <w:noProof/>
        </w:rPr>
        <w:noBreakHyphen/>
        <w:t>fund product])</w:t>
      </w:r>
      <w:r>
        <w:rPr>
          <w:noProof/>
        </w:rPr>
        <w:tab/>
      </w:r>
      <w:r>
        <w:rPr>
          <w:noProof/>
        </w:rPr>
        <w:fldChar w:fldCharType="begin"/>
      </w:r>
      <w:r>
        <w:rPr>
          <w:noProof/>
        </w:rPr>
        <w:instrText xml:space="preserve"> PAGEREF _Toc158713588 \h </w:instrText>
      </w:r>
      <w:r>
        <w:rPr>
          <w:noProof/>
        </w:rPr>
      </w:r>
      <w:r>
        <w:rPr>
          <w:noProof/>
        </w:rPr>
        <w:fldChar w:fldCharType="separate"/>
      </w:r>
      <w:r>
        <w:rPr>
          <w:noProof/>
        </w:rPr>
        <w:t>911</w:t>
      </w:r>
      <w:r>
        <w:rPr>
          <w:noProof/>
        </w:rPr>
        <w:fldChar w:fldCharType="end"/>
      </w:r>
    </w:p>
    <w:p w14:paraId="0D7CEF9A" w14:textId="0F847A1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6  Contents of section 4 (Risks of simple sub</w:t>
      </w:r>
      <w:r>
        <w:rPr>
          <w:noProof/>
        </w:rPr>
        <w:noBreakHyphen/>
        <w:t>fund products)</w:t>
      </w:r>
      <w:r>
        <w:rPr>
          <w:noProof/>
        </w:rPr>
        <w:tab/>
      </w:r>
      <w:r>
        <w:rPr>
          <w:noProof/>
        </w:rPr>
        <w:fldChar w:fldCharType="begin"/>
      </w:r>
      <w:r>
        <w:rPr>
          <w:noProof/>
        </w:rPr>
        <w:instrText xml:space="preserve"> PAGEREF _Toc158713589 \h </w:instrText>
      </w:r>
      <w:r>
        <w:rPr>
          <w:noProof/>
        </w:rPr>
      </w:r>
      <w:r>
        <w:rPr>
          <w:noProof/>
        </w:rPr>
        <w:fldChar w:fldCharType="separate"/>
      </w:r>
      <w:r>
        <w:rPr>
          <w:noProof/>
        </w:rPr>
        <w:t>912</w:t>
      </w:r>
      <w:r>
        <w:rPr>
          <w:noProof/>
        </w:rPr>
        <w:fldChar w:fldCharType="end"/>
      </w:r>
    </w:p>
    <w:p w14:paraId="0D0090AF" w14:textId="1D2FE5B8"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7  Contents of section 5 (How we invest your money)</w:t>
      </w:r>
      <w:r>
        <w:rPr>
          <w:noProof/>
        </w:rPr>
        <w:tab/>
      </w:r>
      <w:r>
        <w:rPr>
          <w:noProof/>
        </w:rPr>
        <w:fldChar w:fldCharType="begin"/>
      </w:r>
      <w:r>
        <w:rPr>
          <w:noProof/>
        </w:rPr>
        <w:instrText xml:space="preserve"> PAGEREF _Toc158713590 \h </w:instrText>
      </w:r>
      <w:r>
        <w:rPr>
          <w:noProof/>
        </w:rPr>
      </w:r>
      <w:r>
        <w:rPr>
          <w:noProof/>
        </w:rPr>
        <w:fldChar w:fldCharType="separate"/>
      </w:r>
      <w:r>
        <w:rPr>
          <w:noProof/>
        </w:rPr>
        <w:t>912</w:t>
      </w:r>
      <w:r>
        <w:rPr>
          <w:noProof/>
        </w:rPr>
        <w:fldChar w:fldCharType="end"/>
      </w:r>
    </w:p>
    <w:p w14:paraId="69BB43B7" w14:textId="294BC193"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8  Contents of section 6 (Fees and costs)</w:t>
      </w:r>
      <w:r>
        <w:rPr>
          <w:noProof/>
        </w:rPr>
        <w:tab/>
      </w:r>
      <w:r>
        <w:rPr>
          <w:noProof/>
        </w:rPr>
        <w:fldChar w:fldCharType="begin"/>
      </w:r>
      <w:r>
        <w:rPr>
          <w:noProof/>
        </w:rPr>
        <w:instrText xml:space="preserve"> PAGEREF _Toc158713591 \h </w:instrText>
      </w:r>
      <w:r>
        <w:rPr>
          <w:noProof/>
        </w:rPr>
      </w:r>
      <w:r>
        <w:rPr>
          <w:noProof/>
        </w:rPr>
        <w:fldChar w:fldCharType="separate"/>
      </w:r>
      <w:r>
        <w:rPr>
          <w:noProof/>
        </w:rPr>
        <w:t>913</w:t>
      </w:r>
      <w:r>
        <w:rPr>
          <w:noProof/>
        </w:rPr>
        <w:fldChar w:fldCharType="end"/>
      </w:r>
    </w:p>
    <w:p w14:paraId="5021C1E2" w14:textId="3E18F511"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9  Contents of section 7 (How sub</w:t>
      </w:r>
      <w:r>
        <w:rPr>
          <w:noProof/>
        </w:rPr>
        <w:noBreakHyphen/>
        <w:t>funds of CCIVs are taxed)</w:t>
      </w:r>
      <w:r>
        <w:rPr>
          <w:noProof/>
        </w:rPr>
        <w:tab/>
      </w:r>
      <w:r>
        <w:rPr>
          <w:noProof/>
        </w:rPr>
        <w:fldChar w:fldCharType="begin"/>
      </w:r>
      <w:r>
        <w:rPr>
          <w:noProof/>
        </w:rPr>
        <w:instrText xml:space="preserve"> PAGEREF _Toc158713592 \h </w:instrText>
      </w:r>
      <w:r>
        <w:rPr>
          <w:noProof/>
        </w:rPr>
      </w:r>
      <w:r>
        <w:rPr>
          <w:noProof/>
        </w:rPr>
        <w:fldChar w:fldCharType="separate"/>
      </w:r>
      <w:r>
        <w:rPr>
          <w:noProof/>
        </w:rPr>
        <w:t>915</w:t>
      </w:r>
      <w:r>
        <w:rPr>
          <w:noProof/>
        </w:rPr>
        <w:fldChar w:fldCharType="end"/>
      </w:r>
    </w:p>
    <w:p w14:paraId="3A17E55A" w14:textId="0C35F354" w:rsidR="00D779FE" w:rsidRDefault="00D779FE">
      <w:pPr>
        <w:pStyle w:val="TOC5"/>
        <w:rPr>
          <w:rFonts w:asciiTheme="minorHAnsi" w:eastAsiaTheme="minorEastAsia" w:hAnsiTheme="minorHAnsi" w:cstheme="minorBidi"/>
          <w:noProof/>
          <w:kern w:val="2"/>
          <w:sz w:val="22"/>
          <w:szCs w:val="22"/>
          <w14:ligatures w14:val="standardContextual"/>
        </w:rPr>
      </w:pPr>
      <w:r>
        <w:rPr>
          <w:noProof/>
        </w:rPr>
        <w:t>10  Contents of section 8 (How to apply)</w:t>
      </w:r>
      <w:r>
        <w:rPr>
          <w:noProof/>
        </w:rPr>
        <w:tab/>
      </w:r>
      <w:r>
        <w:rPr>
          <w:noProof/>
        </w:rPr>
        <w:fldChar w:fldCharType="begin"/>
      </w:r>
      <w:r>
        <w:rPr>
          <w:noProof/>
        </w:rPr>
        <w:instrText xml:space="preserve"> PAGEREF _Toc158713593 \h </w:instrText>
      </w:r>
      <w:r>
        <w:rPr>
          <w:noProof/>
        </w:rPr>
      </w:r>
      <w:r>
        <w:rPr>
          <w:noProof/>
        </w:rPr>
        <w:fldChar w:fldCharType="separate"/>
      </w:r>
      <w:r>
        <w:rPr>
          <w:noProof/>
        </w:rPr>
        <w:t>915</w:t>
      </w:r>
      <w:r>
        <w:rPr>
          <w:noProof/>
        </w:rPr>
        <w:fldChar w:fldCharType="end"/>
      </w:r>
    </w:p>
    <w:p w14:paraId="41C676E7" w14:textId="366466D2"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lastRenderedPageBreak/>
        <w:t>Schedule 11—Persons who are not covered by section 1433 of the Act</w:t>
      </w:r>
      <w:r>
        <w:rPr>
          <w:noProof/>
        </w:rPr>
        <w:tab/>
      </w:r>
      <w:r>
        <w:rPr>
          <w:noProof/>
        </w:rPr>
        <w:fldChar w:fldCharType="begin"/>
      </w:r>
      <w:r>
        <w:rPr>
          <w:noProof/>
        </w:rPr>
        <w:instrText xml:space="preserve"> PAGEREF _Toc158713594 \h </w:instrText>
      </w:r>
      <w:r>
        <w:rPr>
          <w:noProof/>
        </w:rPr>
      </w:r>
      <w:r>
        <w:rPr>
          <w:noProof/>
        </w:rPr>
        <w:fldChar w:fldCharType="separate"/>
      </w:r>
      <w:r>
        <w:rPr>
          <w:noProof/>
        </w:rPr>
        <w:t>916</w:t>
      </w:r>
      <w:r>
        <w:rPr>
          <w:noProof/>
        </w:rPr>
        <w:fldChar w:fldCharType="end"/>
      </w:r>
    </w:p>
    <w:p w14:paraId="75CC4126" w14:textId="6FD18915"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12—ASIC transitional standards</w:t>
      </w:r>
      <w:r>
        <w:rPr>
          <w:noProof/>
        </w:rPr>
        <w:tab/>
      </w:r>
      <w:r>
        <w:rPr>
          <w:noProof/>
        </w:rPr>
        <w:fldChar w:fldCharType="begin"/>
      </w:r>
      <w:r>
        <w:rPr>
          <w:noProof/>
        </w:rPr>
        <w:instrText xml:space="preserve"> PAGEREF _Toc158713595 \h </w:instrText>
      </w:r>
      <w:r>
        <w:rPr>
          <w:noProof/>
        </w:rPr>
      </w:r>
      <w:r>
        <w:rPr>
          <w:noProof/>
        </w:rPr>
        <w:fldChar w:fldCharType="separate"/>
      </w:r>
      <w:r>
        <w:rPr>
          <w:noProof/>
        </w:rPr>
        <w:t>917</w:t>
      </w:r>
      <w:r>
        <w:rPr>
          <w:noProof/>
        </w:rPr>
        <w:fldChar w:fldCharType="end"/>
      </w:r>
    </w:p>
    <w:p w14:paraId="37EC48B7" w14:textId="490B6E64" w:rsidR="00D779FE" w:rsidRDefault="00D779FE">
      <w:pPr>
        <w:pStyle w:val="TOC1"/>
        <w:rPr>
          <w:rFonts w:asciiTheme="minorHAnsi" w:eastAsiaTheme="minorEastAsia" w:hAnsiTheme="minorHAnsi" w:cstheme="minorBidi"/>
          <w:b w:val="0"/>
          <w:noProof/>
          <w:kern w:val="2"/>
          <w:sz w:val="22"/>
          <w:szCs w:val="22"/>
          <w14:ligatures w14:val="standardContextual"/>
        </w:rPr>
      </w:pPr>
      <w:r>
        <w:rPr>
          <w:noProof/>
        </w:rPr>
        <w:t>Schedule 13—Transition to Part 3 of the Insolvency Practice Schedule (Corporations)</w:t>
      </w:r>
      <w:r>
        <w:rPr>
          <w:noProof/>
        </w:rPr>
        <w:tab/>
      </w:r>
      <w:r>
        <w:rPr>
          <w:noProof/>
        </w:rPr>
        <w:fldChar w:fldCharType="begin"/>
      </w:r>
      <w:r>
        <w:rPr>
          <w:noProof/>
        </w:rPr>
        <w:instrText xml:space="preserve"> PAGEREF _Toc158713596 \h </w:instrText>
      </w:r>
      <w:r>
        <w:rPr>
          <w:noProof/>
        </w:rPr>
      </w:r>
      <w:r>
        <w:rPr>
          <w:noProof/>
        </w:rPr>
        <w:fldChar w:fldCharType="separate"/>
      </w:r>
      <w:r>
        <w:rPr>
          <w:noProof/>
        </w:rPr>
        <w:t>918</w:t>
      </w:r>
      <w:r>
        <w:rPr>
          <w:noProof/>
        </w:rPr>
        <w:fldChar w:fldCharType="end"/>
      </w:r>
    </w:p>
    <w:p w14:paraId="7EAE5C55" w14:textId="520B99A3" w:rsidR="00D779FE" w:rsidRDefault="00D779FE">
      <w:pPr>
        <w:pStyle w:val="TOC2"/>
        <w:rPr>
          <w:rFonts w:asciiTheme="minorHAnsi" w:eastAsiaTheme="minorEastAsia" w:hAnsiTheme="minorHAnsi" w:cstheme="minorBidi"/>
          <w:b w:val="0"/>
          <w:noProof/>
          <w:kern w:val="2"/>
          <w:sz w:val="22"/>
          <w:szCs w:val="22"/>
          <w14:ligatures w14:val="standardContextual"/>
        </w:rPr>
      </w:pPr>
      <w:r>
        <w:rPr>
          <w:noProof/>
        </w:rPr>
        <w:t>Endnotes</w:t>
      </w:r>
      <w:r>
        <w:rPr>
          <w:noProof/>
        </w:rPr>
        <w:tab/>
      </w:r>
      <w:r>
        <w:rPr>
          <w:noProof/>
        </w:rPr>
        <w:fldChar w:fldCharType="begin"/>
      </w:r>
      <w:r>
        <w:rPr>
          <w:noProof/>
        </w:rPr>
        <w:instrText xml:space="preserve"> PAGEREF _Toc158713597 \h </w:instrText>
      </w:r>
      <w:r>
        <w:rPr>
          <w:noProof/>
        </w:rPr>
      </w:r>
      <w:r>
        <w:rPr>
          <w:noProof/>
        </w:rPr>
        <w:fldChar w:fldCharType="separate"/>
      </w:r>
      <w:r>
        <w:rPr>
          <w:noProof/>
        </w:rPr>
        <w:t>923</w:t>
      </w:r>
      <w:r>
        <w:rPr>
          <w:noProof/>
        </w:rPr>
        <w:fldChar w:fldCharType="end"/>
      </w:r>
    </w:p>
    <w:p w14:paraId="02193081" w14:textId="6366F6B4" w:rsidR="00D779FE" w:rsidRDefault="00D779FE">
      <w:pPr>
        <w:pStyle w:val="TOC3"/>
        <w:rPr>
          <w:rFonts w:asciiTheme="minorHAnsi" w:eastAsiaTheme="minorEastAsia" w:hAnsiTheme="minorHAnsi" w:cstheme="minorBidi"/>
          <w:b w:val="0"/>
          <w:noProof/>
          <w:kern w:val="2"/>
          <w:szCs w:val="22"/>
          <w14:ligatures w14:val="standardContextual"/>
        </w:rPr>
      </w:pPr>
      <w:r>
        <w:rPr>
          <w:noProof/>
        </w:rPr>
        <w:t>Endnote 1—About the endnotes</w:t>
      </w:r>
      <w:r>
        <w:rPr>
          <w:noProof/>
        </w:rPr>
        <w:tab/>
      </w:r>
      <w:r>
        <w:rPr>
          <w:noProof/>
        </w:rPr>
        <w:fldChar w:fldCharType="begin"/>
      </w:r>
      <w:r>
        <w:rPr>
          <w:noProof/>
        </w:rPr>
        <w:instrText xml:space="preserve"> PAGEREF _Toc158713598 \h </w:instrText>
      </w:r>
      <w:r>
        <w:rPr>
          <w:noProof/>
        </w:rPr>
      </w:r>
      <w:r>
        <w:rPr>
          <w:noProof/>
        </w:rPr>
        <w:fldChar w:fldCharType="separate"/>
      </w:r>
      <w:r>
        <w:rPr>
          <w:noProof/>
        </w:rPr>
        <w:t>923</w:t>
      </w:r>
      <w:r>
        <w:rPr>
          <w:noProof/>
        </w:rPr>
        <w:fldChar w:fldCharType="end"/>
      </w:r>
    </w:p>
    <w:p w14:paraId="1B666FA6" w14:textId="177EB661" w:rsidR="00D779FE" w:rsidRDefault="00D779FE">
      <w:pPr>
        <w:pStyle w:val="TOC3"/>
        <w:rPr>
          <w:rFonts w:asciiTheme="minorHAnsi" w:eastAsiaTheme="minorEastAsia" w:hAnsiTheme="minorHAnsi" w:cstheme="minorBidi"/>
          <w:b w:val="0"/>
          <w:noProof/>
          <w:kern w:val="2"/>
          <w:szCs w:val="22"/>
          <w14:ligatures w14:val="standardContextual"/>
        </w:rPr>
      </w:pPr>
      <w:r>
        <w:rPr>
          <w:noProof/>
        </w:rPr>
        <w:t>Endnote 2—Abbreviation key</w:t>
      </w:r>
      <w:r>
        <w:rPr>
          <w:noProof/>
        </w:rPr>
        <w:tab/>
      </w:r>
      <w:r>
        <w:rPr>
          <w:noProof/>
        </w:rPr>
        <w:fldChar w:fldCharType="begin"/>
      </w:r>
      <w:r>
        <w:rPr>
          <w:noProof/>
        </w:rPr>
        <w:instrText xml:space="preserve"> PAGEREF _Toc158713599 \h </w:instrText>
      </w:r>
      <w:r>
        <w:rPr>
          <w:noProof/>
        </w:rPr>
      </w:r>
      <w:r>
        <w:rPr>
          <w:noProof/>
        </w:rPr>
        <w:fldChar w:fldCharType="separate"/>
      </w:r>
      <w:r>
        <w:rPr>
          <w:noProof/>
        </w:rPr>
        <w:t>924</w:t>
      </w:r>
      <w:r>
        <w:rPr>
          <w:noProof/>
        </w:rPr>
        <w:fldChar w:fldCharType="end"/>
      </w:r>
    </w:p>
    <w:p w14:paraId="43D60248" w14:textId="3A89D865" w:rsidR="00D779FE" w:rsidRDefault="00D779FE">
      <w:pPr>
        <w:pStyle w:val="TOC3"/>
        <w:rPr>
          <w:rFonts w:asciiTheme="minorHAnsi" w:eastAsiaTheme="minorEastAsia" w:hAnsiTheme="minorHAnsi" w:cstheme="minorBidi"/>
          <w:b w:val="0"/>
          <w:noProof/>
          <w:kern w:val="2"/>
          <w:szCs w:val="22"/>
          <w14:ligatures w14:val="standardContextual"/>
        </w:rPr>
      </w:pPr>
      <w:r>
        <w:rPr>
          <w:noProof/>
        </w:rPr>
        <w:t>Endnote 3—Legislation history</w:t>
      </w:r>
      <w:r>
        <w:rPr>
          <w:noProof/>
        </w:rPr>
        <w:tab/>
      </w:r>
      <w:r>
        <w:rPr>
          <w:noProof/>
        </w:rPr>
        <w:fldChar w:fldCharType="begin"/>
      </w:r>
      <w:r>
        <w:rPr>
          <w:noProof/>
        </w:rPr>
        <w:instrText xml:space="preserve"> PAGEREF _Toc158713600 \h </w:instrText>
      </w:r>
      <w:r>
        <w:rPr>
          <w:noProof/>
        </w:rPr>
      </w:r>
      <w:r>
        <w:rPr>
          <w:noProof/>
        </w:rPr>
        <w:fldChar w:fldCharType="separate"/>
      </w:r>
      <w:r>
        <w:rPr>
          <w:noProof/>
        </w:rPr>
        <w:t>925</w:t>
      </w:r>
      <w:r>
        <w:rPr>
          <w:noProof/>
        </w:rPr>
        <w:fldChar w:fldCharType="end"/>
      </w:r>
    </w:p>
    <w:p w14:paraId="04225FDF" w14:textId="6A2F17B4" w:rsidR="00D779FE" w:rsidRDefault="00D779FE">
      <w:pPr>
        <w:pStyle w:val="TOC3"/>
        <w:rPr>
          <w:rFonts w:asciiTheme="minorHAnsi" w:eastAsiaTheme="minorEastAsia" w:hAnsiTheme="minorHAnsi" w:cstheme="minorBidi"/>
          <w:b w:val="0"/>
          <w:noProof/>
          <w:kern w:val="2"/>
          <w:szCs w:val="22"/>
          <w14:ligatures w14:val="standardContextual"/>
        </w:rPr>
      </w:pPr>
      <w:r>
        <w:rPr>
          <w:noProof/>
        </w:rPr>
        <w:t>Endnote 4—Amendment history</w:t>
      </w:r>
      <w:r>
        <w:rPr>
          <w:noProof/>
        </w:rPr>
        <w:tab/>
      </w:r>
      <w:r>
        <w:rPr>
          <w:noProof/>
        </w:rPr>
        <w:fldChar w:fldCharType="begin"/>
      </w:r>
      <w:r>
        <w:rPr>
          <w:noProof/>
        </w:rPr>
        <w:instrText xml:space="preserve"> PAGEREF _Toc158713601 \h </w:instrText>
      </w:r>
      <w:r>
        <w:rPr>
          <w:noProof/>
        </w:rPr>
      </w:r>
      <w:r>
        <w:rPr>
          <w:noProof/>
        </w:rPr>
        <w:fldChar w:fldCharType="separate"/>
      </w:r>
      <w:r>
        <w:rPr>
          <w:noProof/>
        </w:rPr>
        <w:t>933</w:t>
      </w:r>
      <w:r>
        <w:rPr>
          <w:noProof/>
        </w:rPr>
        <w:fldChar w:fldCharType="end"/>
      </w:r>
    </w:p>
    <w:p w14:paraId="2D6A5AE3" w14:textId="35C4AE14" w:rsidR="00D46430" w:rsidRPr="00CD5673" w:rsidRDefault="00D46430" w:rsidP="00D46430">
      <w:pPr>
        <w:rPr>
          <w:rFonts w:ascii="Arial" w:hAnsi="Arial" w:cs="Arial"/>
          <w:b/>
          <w:sz w:val="32"/>
          <w:szCs w:val="32"/>
        </w:rPr>
      </w:pPr>
      <w:r w:rsidRPr="00CD5673">
        <w:rPr>
          <w:rFonts w:cs="Times New Roman"/>
          <w:sz w:val="18"/>
        </w:rPr>
        <w:fldChar w:fldCharType="end"/>
      </w:r>
      <w:r w:rsidRPr="00CD5673">
        <w:rPr>
          <w:rFonts w:ascii="Arial" w:hAnsi="Arial" w:cs="Arial"/>
          <w:b/>
          <w:sz w:val="32"/>
          <w:szCs w:val="32"/>
        </w:rPr>
        <w:t>Note about these Regulations</w:t>
      </w:r>
    </w:p>
    <w:p w14:paraId="642D8823" w14:textId="77777777" w:rsidR="00D46430" w:rsidRPr="00CD5673" w:rsidRDefault="00D46430" w:rsidP="00D46430">
      <w:pPr>
        <w:spacing w:before="120"/>
      </w:pPr>
      <w:r w:rsidRPr="00CD5673">
        <w:t xml:space="preserve">These Regulations are made under the </w:t>
      </w:r>
      <w:r w:rsidRPr="00CD5673">
        <w:rPr>
          <w:i/>
        </w:rPr>
        <w:t>Corporations Act 2001</w:t>
      </w:r>
      <w:r w:rsidRPr="00CD5673">
        <w:t xml:space="preserve">. To assist users of these Regulations, these Regulations follow, as far as possible, the drafting style, structure and numbering of the </w:t>
      </w:r>
      <w:r w:rsidRPr="00CD5673">
        <w:rPr>
          <w:i/>
        </w:rPr>
        <w:t>Corporations Regulations 1990</w:t>
      </w:r>
      <w:r w:rsidRPr="00CD5673">
        <w:t xml:space="preserve"> that were made under the </w:t>
      </w:r>
      <w:r w:rsidRPr="00CD5673">
        <w:rPr>
          <w:i/>
        </w:rPr>
        <w:t>Corporations Act 1989</w:t>
      </w:r>
      <w:r w:rsidRPr="00CD5673">
        <w:t xml:space="preserve">. Because some provisions of the </w:t>
      </w:r>
      <w:r w:rsidRPr="00CD5673">
        <w:rPr>
          <w:i/>
        </w:rPr>
        <w:t>Corporations Regulations 1990</w:t>
      </w:r>
      <w:r w:rsidRPr="00CD5673">
        <w:t xml:space="preserve"> are not remade in these Regulations, some gaps appear in the numbering of these Regulations. Also, the drafting style departs in minor ways from that used in the </w:t>
      </w:r>
      <w:r w:rsidRPr="00CD5673">
        <w:rPr>
          <w:i/>
        </w:rPr>
        <w:t>Corporations Regulations 1990</w:t>
      </w:r>
      <w:r w:rsidRPr="00CD5673">
        <w:t>.</w:t>
      </w:r>
    </w:p>
    <w:p w14:paraId="41CC801B" w14:textId="77777777" w:rsidR="00D46430" w:rsidRPr="00CD5673" w:rsidRDefault="00D46430" w:rsidP="00D46430">
      <w:pPr>
        <w:pStyle w:val="ActHead1"/>
        <w:spacing w:before="360"/>
      </w:pPr>
      <w:bookmarkStart w:id="0" w:name="_Toc158711616"/>
      <w:r w:rsidRPr="00C614F1">
        <w:rPr>
          <w:rStyle w:val="CharChapNo"/>
        </w:rPr>
        <w:t>Chapter 1</w:t>
      </w:r>
      <w:r w:rsidRPr="00CD5673">
        <w:t>—</w:t>
      </w:r>
      <w:r w:rsidRPr="00C614F1">
        <w:rPr>
          <w:rStyle w:val="CharChapText"/>
        </w:rPr>
        <w:t>Introductory</w:t>
      </w:r>
      <w:bookmarkEnd w:id="0"/>
    </w:p>
    <w:p w14:paraId="5D5B5A08" w14:textId="77777777" w:rsidR="00D46430" w:rsidRPr="00CD5673" w:rsidRDefault="00D46430" w:rsidP="00D46430">
      <w:pPr>
        <w:pStyle w:val="ActHead2"/>
      </w:pPr>
      <w:bookmarkStart w:id="1" w:name="_Toc158711617"/>
      <w:r w:rsidRPr="00C614F1">
        <w:rPr>
          <w:rStyle w:val="CharPartNo"/>
        </w:rPr>
        <w:t>Part 1.0</w:t>
      </w:r>
      <w:r w:rsidRPr="00CD5673">
        <w:t>—</w:t>
      </w:r>
      <w:r w:rsidRPr="00C614F1">
        <w:rPr>
          <w:rStyle w:val="CharPartText"/>
        </w:rPr>
        <w:t>Miscellaneous</w:t>
      </w:r>
      <w:bookmarkEnd w:id="1"/>
    </w:p>
    <w:p w14:paraId="1499D706"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6CDACD28" w14:textId="77777777" w:rsidR="00D46430" w:rsidRPr="00CD5673" w:rsidRDefault="00D46430" w:rsidP="00D46430">
      <w:pPr>
        <w:pStyle w:val="ActHead5"/>
      </w:pPr>
      <w:bookmarkStart w:id="2" w:name="_Toc158711618"/>
      <w:r w:rsidRPr="00C614F1">
        <w:rPr>
          <w:rStyle w:val="CharSectno"/>
        </w:rPr>
        <w:t>1.0.01</w:t>
      </w:r>
      <w:r w:rsidRPr="00CD5673">
        <w:t xml:space="preserve">  Name of Regulations</w:t>
      </w:r>
      <w:bookmarkEnd w:id="2"/>
    </w:p>
    <w:p w14:paraId="20FD586A" w14:textId="77777777" w:rsidR="00D46430" w:rsidRPr="00CD5673" w:rsidRDefault="00D46430" w:rsidP="00D46430">
      <w:pPr>
        <w:pStyle w:val="subsection"/>
      </w:pPr>
      <w:r w:rsidRPr="00CD5673">
        <w:tab/>
      </w:r>
      <w:r w:rsidRPr="00CD5673">
        <w:tab/>
        <w:t xml:space="preserve">These Regulations are the </w:t>
      </w:r>
      <w:r w:rsidRPr="00CD5673">
        <w:rPr>
          <w:i/>
        </w:rPr>
        <w:t xml:space="preserve">Corporations </w:t>
      </w:r>
      <w:r w:rsidR="00C614F1">
        <w:rPr>
          <w:i/>
        </w:rPr>
        <w:t>Regulations 2</w:t>
      </w:r>
      <w:r w:rsidRPr="00CD5673">
        <w:rPr>
          <w:i/>
        </w:rPr>
        <w:t>001</w:t>
      </w:r>
      <w:r w:rsidRPr="00CD5673">
        <w:t>.</w:t>
      </w:r>
    </w:p>
    <w:p w14:paraId="3235AF1A" w14:textId="77777777" w:rsidR="00FC5D1E" w:rsidRPr="00BE1284" w:rsidRDefault="00FC5D1E" w:rsidP="00FC5D1E">
      <w:pPr>
        <w:pStyle w:val="ActHead5"/>
      </w:pPr>
      <w:bookmarkStart w:id="3" w:name="_Toc158711619"/>
      <w:r w:rsidRPr="00C614F1">
        <w:rPr>
          <w:rStyle w:val="CharSectno"/>
        </w:rPr>
        <w:t>1.0.02</w:t>
      </w:r>
      <w:r w:rsidRPr="00BE1284">
        <w:t xml:space="preserve">  Definitions</w:t>
      </w:r>
      <w:bookmarkEnd w:id="3"/>
    </w:p>
    <w:p w14:paraId="508B550E" w14:textId="77777777" w:rsidR="00FC5D1E" w:rsidRPr="00BE1284" w:rsidRDefault="00FC5D1E" w:rsidP="00FC5D1E">
      <w:pPr>
        <w:pStyle w:val="notetext"/>
      </w:pPr>
      <w:bookmarkStart w:id="4" w:name="_Hlk145662229"/>
      <w:r w:rsidRPr="00BE1284">
        <w:t>Note:</w:t>
      </w:r>
      <w:r w:rsidRPr="00BE1284">
        <w:tab/>
        <w:t>A number of expressions used in these Regulations are defined in the Act, including the following:</w:t>
      </w:r>
    </w:p>
    <w:p w14:paraId="0C4AE769" w14:textId="77777777" w:rsidR="00FC5D1E" w:rsidRPr="00BE1284" w:rsidRDefault="00FC5D1E" w:rsidP="00FC5D1E">
      <w:pPr>
        <w:pStyle w:val="notepara"/>
      </w:pPr>
      <w:r w:rsidRPr="00BE1284">
        <w:t>(a)</w:t>
      </w:r>
      <w:r w:rsidRPr="00BE1284">
        <w:tab/>
        <w:t>financial product;</w:t>
      </w:r>
    </w:p>
    <w:p w14:paraId="309C5B25" w14:textId="77777777" w:rsidR="00FC5D1E" w:rsidRPr="00BE1284" w:rsidRDefault="00FC5D1E" w:rsidP="00FC5D1E">
      <w:pPr>
        <w:pStyle w:val="notepara"/>
      </w:pPr>
      <w:r w:rsidRPr="00BE1284">
        <w:t>(b)</w:t>
      </w:r>
      <w:r w:rsidRPr="00BE1284">
        <w:tab/>
        <w:t>financial service;</w:t>
      </w:r>
    </w:p>
    <w:p w14:paraId="79617686" w14:textId="77777777" w:rsidR="00FC5D1E" w:rsidRPr="00BE1284" w:rsidRDefault="00FC5D1E" w:rsidP="00FC5D1E">
      <w:pPr>
        <w:pStyle w:val="notepara"/>
      </w:pPr>
      <w:r w:rsidRPr="00BE1284">
        <w:t>(c)</w:t>
      </w:r>
      <w:r w:rsidRPr="00BE1284">
        <w:tab/>
        <w:t>managed investment scheme;</w:t>
      </w:r>
    </w:p>
    <w:p w14:paraId="2B0CFBF3" w14:textId="77777777" w:rsidR="00FC5D1E" w:rsidRPr="00BE1284" w:rsidRDefault="00FC5D1E" w:rsidP="00FC5D1E">
      <w:pPr>
        <w:pStyle w:val="notepara"/>
      </w:pPr>
      <w:r w:rsidRPr="00BE1284">
        <w:t>(d)</w:t>
      </w:r>
      <w:r w:rsidRPr="00BE1284">
        <w:tab/>
      </w:r>
      <w:r w:rsidRPr="00BE1284">
        <w:rPr>
          <w:bCs/>
          <w:iCs/>
          <w:color w:val="000000"/>
          <w:szCs w:val="22"/>
          <w:shd w:val="clear" w:color="auto" w:fill="FFFFFF"/>
        </w:rPr>
        <w:t>superannuation entity;</w:t>
      </w:r>
    </w:p>
    <w:p w14:paraId="2C2A6A20" w14:textId="77777777" w:rsidR="00FC5D1E" w:rsidRPr="00BE1284" w:rsidRDefault="00FC5D1E" w:rsidP="00FC5D1E">
      <w:pPr>
        <w:pStyle w:val="notepara"/>
      </w:pPr>
      <w:r w:rsidRPr="00BE1284">
        <w:t>(e)</w:t>
      </w:r>
      <w:r w:rsidRPr="00BE1284">
        <w:tab/>
        <w:t>trustee.</w:t>
      </w:r>
    </w:p>
    <w:bookmarkEnd w:id="4"/>
    <w:p w14:paraId="72362716" w14:textId="77777777" w:rsidR="00D46430" w:rsidRPr="00CD5673" w:rsidRDefault="00D46430" w:rsidP="00D46430">
      <w:pPr>
        <w:pStyle w:val="subsection"/>
      </w:pPr>
      <w:r w:rsidRPr="00CD5673">
        <w:rPr>
          <w:color w:val="000000"/>
        </w:rPr>
        <w:tab/>
        <w:t>(1)</w:t>
      </w:r>
      <w:r w:rsidRPr="00CD5673">
        <w:rPr>
          <w:color w:val="000000"/>
        </w:rPr>
        <w:tab/>
        <w:t>In these Regulations:</w:t>
      </w:r>
    </w:p>
    <w:p w14:paraId="2286728D" w14:textId="77777777" w:rsidR="00D46430" w:rsidRPr="00CD5673" w:rsidRDefault="00D46430" w:rsidP="00D46430">
      <w:pPr>
        <w:pStyle w:val="Definition"/>
      </w:pPr>
      <w:r w:rsidRPr="00CD5673">
        <w:rPr>
          <w:b/>
          <w:i/>
        </w:rPr>
        <w:t>ACH</w:t>
      </w:r>
      <w:r w:rsidRPr="00CD5673">
        <w:t xml:space="preserve"> means Australian Clearing House Pty Limited.</w:t>
      </w:r>
    </w:p>
    <w:p w14:paraId="1AE552EE" w14:textId="77777777" w:rsidR="00D46430" w:rsidRPr="00CD5673" w:rsidRDefault="00D46430" w:rsidP="00D46430">
      <w:pPr>
        <w:pStyle w:val="Definition"/>
      </w:pPr>
      <w:r w:rsidRPr="00CD5673">
        <w:rPr>
          <w:b/>
          <w:i/>
        </w:rPr>
        <w:t>Act</w:t>
      </w:r>
      <w:r w:rsidRPr="00CD5673">
        <w:t xml:space="preserve"> means the </w:t>
      </w:r>
      <w:r w:rsidRPr="00CD5673">
        <w:rPr>
          <w:i/>
        </w:rPr>
        <w:t>Corporations Act 2001</w:t>
      </w:r>
      <w:r w:rsidRPr="00CD5673">
        <w:t>.</w:t>
      </w:r>
    </w:p>
    <w:p w14:paraId="6AAB47C7" w14:textId="77777777" w:rsidR="00D46430" w:rsidRPr="00CD5673" w:rsidRDefault="00D46430" w:rsidP="00D46430">
      <w:pPr>
        <w:pStyle w:val="Definition"/>
      </w:pPr>
      <w:r w:rsidRPr="00CD5673">
        <w:rPr>
          <w:b/>
          <w:i/>
        </w:rPr>
        <w:t>agent</w:t>
      </w:r>
      <w:r w:rsidRPr="00CD5673">
        <w:t xml:space="preserve"> means a person appointed under subsection 601CG(1) of the Act.</w:t>
      </w:r>
    </w:p>
    <w:p w14:paraId="47ED9CE5" w14:textId="77777777" w:rsidR="00D46430" w:rsidRPr="00CD5673" w:rsidRDefault="00D46430" w:rsidP="00D46430">
      <w:pPr>
        <w:pStyle w:val="Definition"/>
      </w:pPr>
      <w:r w:rsidRPr="00CD5673">
        <w:rPr>
          <w:b/>
          <w:i/>
          <w:color w:val="000000"/>
        </w:rPr>
        <w:t>approved foreign bank</w:t>
      </w:r>
      <w:r w:rsidRPr="00CD5673">
        <w:t>:</w:t>
      </w:r>
    </w:p>
    <w:p w14:paraId="01A8E3D9" w14:textId="77777777" w:rsidR="00D46430" w:rsidRPr="00CD5673" w:rsidRDefault="00D46430" w:rsidP="00D46430">
      <w:pPr>
        <w:pStyle w:val="paragraph"/>
      </w:pPr>
      <w:r w:rsidRPr="00CD5673">
        <w:tab/>
        <w:t>(a)</w:t>
      </w:r>
      <w:r w:rsidRPr="00CD5673">
        <w:tab/>
        <w:t>in relation to a participant of a licensed market, means a bank:</w:t>
      </w:r>
    </w:p>
    <w:p w14:paraId="4739A977" w14:textId="77777777" w:rsidR="00D46430" w:rsidRPr="00CD5673" w:rsidRDefault="00D46430" w:rsidP="00D46430">
      <w:pPr>
        <w:pStyle w:val="paragraphsub"/>
      </w:pPr>
      <w:r w:rsidRPr="00CD5673">
        <w:rPr>
          <w:color w:val="000000"/>
        </w:rPr>
        <w:tab/>
        <w:t>(i)</w:t>
      </w:r>
      <w:r w:rsidRPr="00CD5673">
        <w:rPr>
          <w:color w:val="000000"/>
        </w:rPr>
        <w:tab/>
        <w:t>established by or under the law of a foreign country; and</w:t>
      </w:r>
    </w:p>
    <w:p w14:paraId="0A270577" w14:textId="77777777" w:rsidR="00D46430" w:rsidRPr="00CD5673" w:rsidRDefault="00D46430" w:rsidP="00D46430">
      <w:pPr>
        <w:pStyle w:val="paragraphsub"/>
      </w:pPr>
      <w:r w:rsidRPr="00CD5673">
        <w:tab/>
        <w:t>(ii)</w:t>
      </w:r>
      <w:r w:rsidRPr="00CD5673">
        <w:tab/>
        <w:t>in relation to which there is in force an approval given by the market licensee in accordance with its operating rules or by ASIC under the market integrity rules; and</w:t>
      </w:r>
    </w:p>
    <w:p w14:paraId="16094CE5" w14:textId="77777777" w:rsidR="00D46430" w:rsidRPr="00CD5673" w:rsidRDefault="00D46430" w:rsidP="00D46430">
      <w:pPr>
        <w:pStyle w:val="paragraph"/>
      </w:pPr>
      <w:r w:rsidRPr="00CD5673">
        <w:tab/>
        <w:t>(b)</w:t>
      </w:r>
      <w:r w:rsidRPr="00CD5673">
        <w:tab/>
        <w:t>in relation to a financial services licensee other than a participant of a licensed market, means a bank:</w:t>
      </w:r>
    </w:p>
    <w:p w14:paraId="7DD7BC89" w14:textId="77777777" w:rsidR="00D46430" w:rsidRPr="00CD5673" w:rsidRDefault="00D46430" w:rsidP="00D46430">
      <w:pPr>
        <w:pStyle w:val="paragraphsub"/>
      </w:pPr>
      <w:r w:rsidRPr="00CD5673">
        <w:rPr>
          <w:color w:val="000000"/>
        </w:rPr>
        <w:tab/>
        <w:t>(i)</w:t>
      </w:r>
      <w:r w:rsidRPr="00CD5673">
        <w:rPr>
          <w:color w:val="000000"/>
        </w:rPr>
        <w:tab/>
        <w:t>regulated by an overseas regulator; and</w:t>
      </w:r>
    </w:p>
    <w:p w14:paraId="5868E1AF" w14:textId="77777777" w:rsidR="00D46430" w:rsidRPr="00CD5673" w:rsidRDefault="00D46430" w:rsidP="00D46430">
      <w:pPr>
        <w:pStyle w:val="paragraphsub"/>
      </w:pPr>
      <w:r w:rsidRPr="00CD5673">
        <w:tab/>
        <w:t>(ii)</w:t>
      </w:r>
      <w:r w:rsidRPr="00CD5673">
        <w:tab/>
        <w:t>in relation to which there is in force an approval given by ASIC for the purposes of this definition.</w:t>
      </w:r>
    </w:p>
    <w:p w14:paraId="4AA6D19D" w14:textId="77777777" w:rsidR="00D46430" w:rsidRPr="00CD5673" w:rsidRDefault="00D46430" w:rsidP="00D46430">
      <w:pPr>
        <w:pStyle w:val="Definition"/>
      </w:pPr>
      <w:r w:rsidRPr="00CD5673">
        <w:rPr>
          <w:b/>
          <w:i/>
        </w:rPr>
        <w:t>approved form</w:t>
      </w:r>
      <w:r w:rsidRPr="00CD5673">
        <w:t>, in relation to a provision of the Act or of these Regulations, means the form that is approved under paragraph 350(1)(b) of the Act for use for that provision.</w:t>
      </w:r>
    </w:p>
    <w:p w14:paraId="7CC4421B" w14:textId="77777777" w:rsidR="00D46430" w:rsidRPr="00CD5673" w:rsidRDefault="00D46430" w:rsidP="00D46430">
      <w:pPr>
        <w:pStyle w:val="Definition"/>
      </w:pPr>
      <w:r w:rsidRPr="00CD5673">
        <w:rPr>
          <w:b/>
          <w:i/>
          <w:color w:val="000000"/>
        </w:rPr>
        <w:t>associated provisions</w:t>
      </w:r>
      <w:r w:rsidRPr="00CD5673">
        <w:t xml:space="preserve">, in relation to provisions (the </w:t>
      </w:r>
      <w:r w:rsidRPr="00CD5673">
        <w:rPr>
          <w:b/>
          <w:i/>
        </w:rPr>
        <w:t>core provisions</w:t>
      </w:r>
      <w:r w:rsidRPr="00CD5673">
        <w:t>) of the relevant old legislation as in force at a particular time, include (but are not limited to):</w:t>
      </w:r>
    </w:p>
    <w:p w14:paraId="1029105B" w14:textId="77777777" w:rsidR="00D46430" w:rsidRPr="00CD5673" w:rsidRDefault="00D46430" w:rsidP="00D46430">
      <w:pPr>
        <w:pStyle w:val="paragraph"/>
      </w:pPr>
      <w:r w:rsidRPr="00CD5673">
        <w:rPr>
          <w:color w:val="000000"/>
        </w:rPr>
        <w:tab/>
        <w:t>(a)</w:t>
      </w:r>
      <w:r w:rsidRPr="00CD5673">
        <w:rPr>
          <w:color w:val="000000"/>
        </w:rPr>
        <w:tab/>
        <w:t>any regulations or other instruments that are or were in force for the purposes of any of the core provisions at that time; and</w:t>
      </w:r>
    </w:p>
    <w:p w14:paraId="126520FE" w14:textId="77777777" w:rsidR="00D46430" w:rsidRPr="00CD5673" w:rsidRDefault="00D46430" w:rsidP="00D46430">
      <w:pPr>
        <w:pStyle w:val="paragraph"/>
      </w:pPr>
      <w:r w:rsidRPr="00CD5673">
        <w:lastRenderedPageBreak/>
        <w:tab/>
        <w:t>(b)</w:t>
      </w:r>
      <w:r w:rsidRPr="00CD5673">
        <w:tab/>
        <w:t>any interpretation provisions that apply or applied in relation to any of the core provisions at that time (whether or not they also apply or applied for other purposes); and</w:t>
      </w:r>
    </w:p>
    <w:p w14:paraId="4CAF7103" w14:textId="77777777" w:rsidR="00D46430" w:rsidRPr="00CD5673" w:rsidRDefault="00D46430" w:rsidP="00D46430">
      <w:pPr>
        <w:pStyle w:val="paragraph"/>
      </w:pPr>
      <w:r w:rsidRPr="00CD5673">
        <w:tab/>
        <w:t>(c)</w:t>
      </w:r>
      <w:r w:rsidRPr="00CD5673">
        <w:tab/>
        <w:t>any provisions relating to liability (civil or criminal) that apply or applied in relation to any of the core provisions at that time (whether or not they also apply or applied for other purposes); and</w:t>
      </w:r>
    </w:p>
    <w:p w14:paraId="018F5789" w14:textId="77777777" w:rsidR="00D46430" w:rsidRPr="00CD5673" w:rsidRDefault="00D46430" w:rsidP="00D46430">
      <w:pPr>
        <w:pStyle w:val="paragraph"/>
      </w:pPr>
      <w:r w:rsidRPr="00CD5673">
        <w:tab/>
        <w:t>(d)</w:t>
      </w:r>
      <w:r w:rsidRPr="00CD5673">
        <w:tab/>
        <w:t>any provisions that limit or limited, or that otherwise affect or affected, the operation of any of the core provisions at that time (whether or not they also limit or limited, or affect or affected, the operation of other provisions).</w:t>
      </w:r>
    </w:p>
    <w:p w14:paraId="731DD545" w14:textId="77777777" w:rsidR="00D46430" w:rsidRPr="00CD5673" w:rsidRDefault="00D46430" w:rsidP="00D46430">
      <w:pPr>
        <w:pStyle w:val="Definition"/>
      </w:pPr>
      <w:r w:rsidRPr="00CD5673">
        <w:rPr>
          <w:b/>
          <w:i/>
        </w:rPr>
        <w:t>ASTC</w:t>
      </w:r>
      <w:r w:rsidRPr="00CD5673">
        <w:t xml:space="preserve"> means ASX Settlement and Transfer Corporation Pty Limited.</w:t>
      </w:r>
    </w:p>
    <w:p w14:paraId="5A8BA23D" w14:textId="77777777" w:rsidR="00D46430" w:rsidRPr="00CD5673" w:rsidRDefault="00D46430" w:rsidP="00D46430">
      <w:pPr>
        <w:pStyle w:val="Definition"/>
      </w:pPr>
      <w:r w:rsidRPr="00CD5673">
        <w:rPr>
          <w:b/>
          <w:i/>
          <w:color w:val="000000"/>
        </w:rPr>
        <w:t>ASTC certificate cancellation provisions</w:t>
      </w:r>
      <w:r w:rsidRPr="00CD5673">
        <w:t xml:space="preserve"> means the provisions of the ASTC operating rules that deal with:</w:t>
      </w:r>
    </w:p>
    <w:p w14:paraId="39DBF260" w14:textId="77777777" w:rsidR="00D46430" w:rsidRPr="00CD5673" w:rsidRDefault="00D46430" w:rsidP="00D46430">
      <w:pPr>
        <w:pStyle w:val="paragraph"/>
      </w:pPr>
      <w:r w:rsidRPr="00CD5673">
        <w:rPr>
          <w:color w:val="000000"/>
        </w:rPr>
        <w:tab/>
        <w:t>(a)</w:t>
      </w:r>
      <w:r w:rsidRPr="00CD5673">
        <w:rPr>
          <w:color w:val="000000"/>
        </w:rPr>
        <w:tab/>
        <w:t>the cancellation of certificates or other documents of title to Division 4 financial products; and</w:t>
      </w:r>
    </w:p>
    <w:p w14:paraId="45EE1C26" w14:textId="77777777" w:rsidR="00D46430" w:rsidRPr="00CD5673" w:rsidRDefault="00D46430" w:rsidP="00D46430">
      <w:pPr>
        <w:pStyle w:val="paragraph"/>
      </w:pPr>
      <w:r w:rsidRPr="00CD5673">
        <w:tab/>
        <w:t>(b)</w:t>
      </w:r>
      <w:r w:rsidRPr="00CD5673">
        <w:tab/>
        <w:t>matters incidental to the cancellation of those certificates or documents.</w:t>
      </w:r>
    </w:p>
    <w:p w14:paraId="5ABABE63" w14:textId="77777777" w:rsidR="00D46430" w:rsidRPr="00CD5673" w:rsidRDefault="00D46430" w:rsidP="00D46430">
      <w:pPr>
        <w:pStyle w:val="Definition"/>
      </w:pPr>
      <w:r w:rsidRPr="00CD5673">
        <w:rPr>
          <w:b/>
          <w:i/>
          <w:color w:val="000000"/>
        </w:rPr>
        <w:t>ASTC</w:t>
      </w:r>
      <w:r w:rsidR="00C614F1">
        <w:rPr>
          <w:b/>
          <w:i/>
          <w:color w:val="000000"/>
        </w:rPr>
        <w:noBreakHyphen/>
      </w:r>
      <w:r w:rsidRPr="00CD5673">
        <w:rPr>
          <w:b/>
          <w:i/>
          <w:color w:val="000000"/>
        </w:rPr>
        <w:t>regulated transfer</w:t>
      </w:r>
      <w:r w:rsidRPr="00CD5673">
        <w:t xml:space="preserve"> means a transfer</w:t>
      </w:r>
      <w:r w:rsidRPr="00CD5673">
        <w:rPr>
          <w:snapToGrid w:val="0"/>
        </w:rPr>
        <w:t xml:space="preserve"> of a Division 4 financial product</w:t>
      </w:r>
      <w:r w:rsidRPr="00CD5673">
        <w:t>:</w:t>
      </w:r>
    </w:p>
    <w:p w14:paraId="4926BAF9" w14:textId="77777777" w:rsidR="00D46430" w:rsidRPr="00CD5673" w:rsidRDefault="00D46430" w:rsidP="00D46430">
      <w:pPr>
        <w:pStyle w:val="paragraph"/>
        <w:rPr>
          <w:snapToGrid w:val="0"/>
        </w:rPr>
      </w:pPr>
      <w:r w:rsidRPr="00CD5673">
        <w:tab/>
        <w:t>(a)</w:t>
      </w:r>
      <w:r w:rsidRPr="00CD5673">
        <w:tab/>
        <w:t>within the meaning of</w:t>
      </w:r>
      <w:r w:rsidRPr="00CD5673">
        <w:rPr>
          <w:snapToGrid w:val="0"/>
        </w:rPr>
        <w:t>:</w:t>
      </w:r>
    </w:p>
    <w:p w14:paraId="6DDFC895" w14:textId="77777777" w:rsidR="00D46430" w:rsidRPr="00CD5673" w:rsidRDefault="00D46430" w:rsidP="00D46430">
      <w:pPr>
        <w:pStyle w:val="paragraphsub"/>
        <w:rPr>
          <w:snapToGrid w:val="0"/>
        </w:rPr>
      </w:pPr>
      <w:r w:rsidRPr="00CD5673">
        <w:rPr>
          <w:snapToGrid w:val="0"/>
          <w:color w:val="000000"/>
        </w:rPr>
        <w:tab/>
        <w:t>(i)</w:t>
      </w:r>
      <w:r w:rsidRPr="00CD5673">
        <w:rPr>
          <w:snapToGrid w:val="0"/>
          <w:color w:val="000000"/>
        </w:rPr>
        <w:tab/>
        <w:t>Division 4 of Part 7.11 of the Act; and</w:t>
      </w:r>
    </w:p>
    <w:p w14:paraId="3D1EEC13" w14:textId="77777777" w:rsidR="00D46430" w:rsidRPr="00CD5673" w:rsidRDefault="00D46430" w:rsidP="00D46430">
      <w:pPr>
        <w:pStyle w:val="paragraphsub"/>
        <w:rPr>
          <w:snapToGrid w:val="0"/>
        </w:rPr>
      </w:pPr>
      <w:r w:rsidRPr="00CD5673">
        <w:rPr>
          <w:snapToGrid w:val="0"/>
        </w:rPr>
        <w:tab/>
        <w:t>(ii)</w:t>
      </w:r>
      <w:r w:rsidRPr="00CD5673">
        <w:rPr>
          <w:snapToGrid w:val="0"/>
        </w:rPr>
        <w:tab/>
        <w:t>regulations relating to transfer made for sections 1074A and 1074E of the Act; and</w:t>
      </w:r>
    </w:p>
    <w:p w14:paraId="665356C3" w14:textId="77777777" w:rsidR="00D46430" w:rsidRPr="00CD5673" w:rsidRDefault="00D46430" w:rsidP="00D46430">
      <w:pPr>
        <w:pStyle w:val="paragraph"/>
        <w:rPr>
          <w:snapToGrid w:val="0"/>
        </w:rPr>
      </w:pPr>
      <w:r w:rsidRPr="00CD5673">
        <w:rPr>
          <w:snapToGrid w:val="0"/>
          <w:color w:val="000000"/>
        </w:rPr>
        <w:tab/>
        <w:t>(b)</w:t>
      </w:r>
      <w:r w:rsidRPr="00CD5673">
        <w:rPr>
          <w:snapToGrid w:val="0"/>
          <w:color w:val="000000"/>
        </w:rPr>
        <w:tab/>
        <w:t>that is effected through ASTC; and</w:t>
      </w:r>
    </w:p>
    <w:p w14:paraId="26346A15" w14:textId="77777777" w:rsidR="00D46430" w:rsidRPr="00CD5673" w:rsidRDefault="00D46430" w:rsidP="00D46430">
      <w:pPr>
        <w:pStyle w:val="paragraph"/>
      </w:pPr>
      <w:r w:rsidRPr="00CD5673">
        <w:rPr>
          <w:snapToGrid w:val="0"/>
        </w:rPr>
        <w:tab/>
        <w:t>(c)</w:t>
      </w:r>
      <w:r w:rsidRPr="00CD5673">
        <w:rPr>
          <w:snapToGrid w:val="0"/>
        </w:rPr>
        <w:tab/>
        <w:t xml:space="preserve">that, according to the ASTC </w:t>
      </w:r>
      <w:r w:rsidRPr="00CD5673">
        <w:t>operating rules, is an ASTC</w:t>
      </w:r>
      <w:r w:rsidR="00C614F1">
        <w:noBreakHyphen/>
      </w:r>
      <w:r w:rsidRPr="00CD5673">
        <w:t>regulated transfer.</w:t>
      </w:r>
    </w:p>
    <w:p w14:paraId="43D6690B" w14:textId="77777777" w:rsidR="00D46430" w:rsidRPr="00CD5673" w:rsidRDefault="00D46430" w:rsidP="00D46430">
      <w:pPr>
        <w:pStyle w:val="Definition"/>
      </w:pPr>
      <w:r w:rsidRPr="00CD5673">
        <w:rPr>
          <w:b/>
          <w:i/>
        </w:rPr>
        <w:t>benefit fund</w:t>
      </w:r>
      <w:r w:rsidRPr="00CD5673">
        <w:t xml:space="preserve"> has the meaning given by section 16B of the </w:t>
      </w:r>
      <w:r w:rsidRPr="00CD5673">
        <w:rPr>
          <w:i/>
        </w:rPr>
        <w:t>Life Insurance Act 1995</w:t>
      </w:r>
      <w:r w:rsidRPr="00CD5673">
        <w:t>.</w:t>
      </w:r>
    </w:p>
    <w:p w14:paraId="1388946E" w14:textId="77777777" w:rsidR="00D46430" w:rsidRPr="00CD5673" w:rsidRDefault="00D46430" w:rsidP="00D46430">
      <w:pPr>
        <w:pStyle w:val="Definition"/>
      </w:pPr>
      <w:r w:rsidRPr="00CD5673">
        <w:rPr>
          <w:b/>
          <w:i/>
        </w:rPr>
        <w:t>building society</w:t>
      </w:r>
      <w:r w:rsidRPr="00CD5673">
        <w:rPr>
          <w:b/>
        </w:rPr>
        <w:t xml:space="preserve"> </w:t>
      </w:r>
      <w:r w:rsidRPr="00CD5673">
        <w:t>has the same meaning as in section 16 of the RSA Act.</w:t>
      </w:r>
    </w:p>
    <w:p w14:paraId="79B2F3BC" w14:textId="77777777" w:rsidR="00D46430" w:rsidRPr="00CD5673" w:rsidRDefault="00D46430" w:rsidP="00D46430">
      <w:pPr>
        <w:pStyle w:val="Definition"/>
      </w:pPr>
      <w:r w:rsidRPr="00CD5673">
        <w:rPr>
          <w:b/>
          <w:i/>
        </w:rPr>
        <w:t>capital guaranteed</w:t>
      </w:r>
      <w:r w:rsidRPr="00CD5673">
        <w:t xml:space="preserve">, for a superannuation product or an </w:t>
      </w:r>
      <w:r w:rsidR="00352766" w:rsidRPr="00BE1284">
        <w:t>RSA</w:t>
      </w:r>
      <w:r w:rsidRPr="00CD5673">
        <w:t>, means that the contributions and accumulated earnings may not be reduced by a negative investment return or a reduction in the value of an asset in which the product is invested.</w:t>
      </w:r>
    </w:p>
    <w:p w14:paraId="613D60D7" w14:textId="77777777" w:rsidR="00D46430" w:rsidRPr="00CD5673" w:rsidRDefault="00D46430" w:rsidP="00D46430">
      <w:pPr>
        <w:pStyle w:val="Definition"/>
      </w:pPr>
      <w:r w:rsidRPr="00CD5673">
        <w:rPr>
          <w:b/>
          <w:i/>
          <w:color w:val="000000"/>
        </w:rPr>
        <w:t>capital guaranteed fund</w:t>
      </w:r>
      <w:r w:rsidRPr="00CD5673">
        <w:rPr>
          <w:b/>
        </w:rPr>
        <w:t xml:space="preserve"> </w:t>
      </w:r>
      <w:r w:rsidRPr="00CD5673">
        <w:t>means a public offer superannuation fund, or a sub</w:t>
      </w:r>
      <w:r w:rsidR="00C614F1">
        <w:noBreakHyphen/>
      </w:r>
      <w:r w:rsidRPr="00CD5673">
        <w:t>fund of a public offer superannuation fund, that has the following characteristics:</w:t>
      </w:r>
    </w:p>
    <w:p w14:paraId="0AB90787" w14:textId="77777777" w:rsidR="00D46430" w:rsidRPr="00CD5673" w:rsidRDefault="00D46430" w:rsidP="00D46430">
      <w:pPr>
        <w:pStyle w:val="paragraph"/>
      </w:pPr>
      <w:r w:rsidRPr="00CD5673">
        <w:tab/>
        <w:t>(a)</w:t>
      </w:r>
      <w:r w:rsidRPr="00CD5673">
        <w:tab/>
        <w:t>its investments comprise 1 or more of the following only:</w:t>
      </w:r>
    </w:p>
    <w:p w14:paraId="77627D56" w14:textId="77777777" w:rsidR="00D46430" w:rsidRPr="00CD5673" w:rsidRDefault="00D46430" w:rsidP="00D46430">
      <w:pPr>
        <w:pStyle w:val="paragraphsub"/>
      </w:pPr>
      <w:r w:rsidRPr="00CD5673">
        <w:rPr>
          <w:color w:val="000000"/>
        </w:rPr>
        <w:tab/>
        <w:t>(i)</w:t>
      </w:r>
      <w:r w:rsidRPr="00CD5673">
        <w:rPr>
          <w:color w:val="000000"/>
        </w:rPr>
        <w:tab/>
        <w:t>deposits with an ADI;</w:t>
      </w:r>
    </w:p>
    <w:p w14:paraId="186F4E65" w14:textId="77777777" w:rsidR="00D46430" w:rsidRPr="00CD5673" w:rsidRDefault="00D46430" w:rsidP="00D46430">
      <w:pPr>
        <w:pStyle w:val="paragraphsub"/>
      </w:pPr>
      <w:r w:rsidRPr="00CD5673">
        <w:tab/>
        <w:t>(ii)</w:t>
      </w:r>
      <w:r w:rsidRPr="00CD5673">
        <w:tab/>
        <w:t xml:space="preserve">investments in a capital guaranteed superannuation product or </w:t>
      </w:r>
      <w:r w:rsidR="00352766" w:rsidRPr="00BE1284">
        <w:t>RSA</w:t>
      </w:r>
      <w:r w:rsidRPr="00CD5673">
        <w:t>;</w:t>
      </w:r>
    </w:p>
    <w:p w14:paraId="011F3FCD" w14:textId="77777777" w:rsidR="00D46430" w:rsidRPr="00CD5673" w:rsidRDefault="00D46430" w:rsidP="00D46430">
      <w:pPr>
        <w:pStyle w:val="paragraph"/>
      </w:pPr>
      <w:r w:rsidRPr="00CD5673">
        <w:rPr>
          <w:color w:val="000000"/>
        </w:rPr>
        <w:tab/>
        <w:t>(b)</w:t>
      </w:r>
      <w:r w:rsidRPr="00CD5673">
        <w:rPr>
          <w:color w:val="000000"/>
        </w:rPr>
        <w:tab/>
        <w:t>the contributions and accumulated earnings of its members cannot be reduced by negative investment returns (within the meaning of subregulation 5.01(1) of the SIS Regulations) or by any reduction in the value of its assets.</w:t>
      </w:r>
    </w:p>
    <w:p w14:paraId="26DF5D69" w14:textId="77777777" w:rsidR="00D46430" w:rsidRPr="00CD5673" w:rsidRDefault="00D46430" w:rsidP="00D46430">
      <w:pPr>
        <w:pStyle w:val="Definition"/>
      </w:pPr>
      <w:r w:rsidRPr="00CD5673">
        <w:rPr>
          <w:b/>
          <w:i/>
        </w:rPr>
        <w:t>capital guaranteed member</w:t>
      </w:r>
      <w:r w:rsidRPr="00CD5673">
        <w:t xml:space="preserve"> means a member whose interest in a public offer superannuation fund is fully invested in a capital guaranteed fund.</w:t>
      </w:r>
    </w:p>
    <w:p w14:paraId="620F58FD" w14:textId="77777777" w:rsidR="00D46430" w:rsidRPr="00CD5673" w:rsidRDefault="00D46430" w:rsidP="00D46430">
      <w:pPr>
        <w:pStyle w:val="Definition"/>
      </w:pPr>
      <w:r w:rsidRPr="00CD5673">
        <w:rPr>
          <w:b/>
          <w:i/>
        </w:rPr>
        <w:t xml:space="preserve">carbon abatement contract </w:t>
      </w:r>
      <w:r w:rsidRPr="00CD5673">
        <w:t xml:space="preserve">has the same meaning as in the </w:t>
      </w:r>
      <w:r w:rsidRPr="00CD5673">
        <w:rPr>
          <w:i/>
        </w:rPr>
        <w:t>Carbon Credits (Carbon Farming Initiative) Act 2011</w:t>
      </w:r>
      <w:r w:rsidRPr="00CD5673">
        <w:t>.</w:t>
      </w:r>
    </w:p>
    <w:p w14:paraId="01D5D112" w14:textId="77777777" w:rsidR="003C34A0" w:rsidRPr="00CD5673" w:rsidRDefault="003C34A0" w:rsidP="003C34A0">
      <w:pPr>
        <w:pStyle w:val="Definition"/>
        <w:rPr>
          <w:b/>
          <w:i/>
        </w:rPr>
      </w:pPr>
      <w:r w:rsidRPr="00CD5673">
        <w:rPr>
          <w:b/>
          <w:i/>
        </w:rPr>
        <w:t>cash management trust interest</w:t>
      </w:r>
      <w:r w:rsidRPr="00CD5673">
        <w:t xml:space="preserve"> means an interest that:</w:t>
      </w:r>
    </w:p>
    <w:p w14:paraId="02C25198" w14:textId="77777777" w:rsidR="003C34A0" w:rsidRPr="00CD5673" w:rsidRDefault="003C34A0" w:rsidP="003C34A0">
      <w:pPr>
        <w:pStyle w:val="paragraph"/>
      </w:pPr>
      <w:r w:rsidRPr="00CD5673">
        <w:tab/>
        <w:t>(a)</w:t>
      </w:r>
      <w:r w:rsidRPr="00CD5673">
        <w:tab/>
        <w:t>is an interest in a registered scheme or a notified foreign passport fund; and</w:t>
      </w:r>
    </w:p>
    <w:p w14:paraId="73C0F495" w14:textId="77777777" w:rsidR="003C34A0" w:rsidRPr="00CD5673" w:rsidRDefault="003C34A0" w:rsidP="003C34A0">
      <w:pPr>
        <w:pStyle w:val="paragraph"/>
      </w:pPr>
      <w:r w:rsidRPr="00CD5673">
        <w:tab/>
        <w:t>(b)</w:t>
      </w:r>
      <w:r w:rsidRPr="00CD5673">
        <w:tab/>
        <w:t>relates to an undertaking of the kind commonly known as a cash management trust.</w:t>
      </w:r>
    </w:p>
    <w:p w14:paraId="4C73EA17" w14:textId="77777777" w:rsidR="00D46430" w:rsidRPr="00CD5673" w:rsidRDefault="00D46430" w:rsidP="00D46430">
      <w:pPr>
        <w:pStyle w:val="Definition"/>
      </w:pPr>
      <w:r w:rsidRPr="00CD5673">
        <w:rPr>
          <w:b/>
          <w:i/>
        </w:rPr>
        <w:t>client money reporting infringement notice</w:t>
      </w:r>
      <w:r w:rsidRPr="00CD5673">
        <w:t>: see regulation 7.8.05A.</w:t>
      </w:r>
    </w:p>
    <w:p w14:paraId="15E85132" w14:textId="77777777" w:rsidR="00D46430" w:rsidRPr="00CD5673" w:rsidRDefault="00D46430" w:rsidP="00D46430">
      <w:pPr>
        <w:pStyle w:val="Definition"/>
        <w:rPr>
          <w:color w:val="000000"/>
        </w:rPr>
      </w:pPr>
      <w:r w:rsidRPr="00CD5673">
        <w:rPr>
          <w:b/>
          <w:i/>
        </w:rPr>
        <w:t xml:space="preserve">client money reporting infringement notice </w:t>
      </w:r>
      <w:r w:rsidRPr="00CD5673">
        <w:rPr>
          <w:b/>
          <w:i/>
          <w:color w:val="000000"/>
        </w:rPr>
        <w:t>period</w:t>
      </w:r>
      <w:r w:rsidRPr="00CD5673">
        <w:t>: see regulation 7.8.05A.</w:t>
      </w:r>
    </w:p>
    <w:p w14:paraId="0C7FA0AB" w14:textId="77777777" w:rsidR="00D46430" w:rsidRPr="00CD5673" w:rsidRDefault="00D46430" w:rsidP="00D46430">
      <w:pPr>
        <w:pStyle w:val="Definition"/>
      </w:pPr>
      <w:r w:rsidRPr="00CD5673">
        <w:rPr>
          <w:b/>
          <w:i/>
        </w:rPr>
        <w:t>CPI</w:t>
      </w:r>
      <w:r w:rsidRPr="00CD5673">
        <w:t xml:space="preserve"> means the Consumer Price Index number (being the weighted average of the 8 capital cities) published by the Australian Bureau of Statistics.</w:t>
      </w:r>
    </w:p>
    <w:p w14:paraId="174367C3" w14:textId="77777777" w:rsidR="00D46430" w:rsidRPr="00CD5673" w:rsidRDefault="00D46430" w:rsidP="00D46430">
      <w:pPr>
        <w:pStyle w:val="Definition"/>
      </w:pPr>
      <w:r w:rsidRPr="00CD5673">
        <w:rPr>
          <w:b/>
          <w:i/>
          <w:color w:val="000000"/>
        </w:rPr>
        <w:t>Division 3 asset</w:t>
      </w:r>
      <w:r w:rsidRPr="00CD5673">
        <w:t xml:space="preserve"> means:</w:t>
      </w:r>
    </w:p>
    <w:p w14:paraId="0FF05AB1" w14:textId="77777777" w:rsidR="00D46430" w:rsidRPr="00CD5673" w:rsidRDefault="00D46430" w:rsidP="00D46430">
      <w:pPr>
        <w:pStyle w:val="paragraph"/>
      </w:pPr>
      <w:r w:rsidRPr="00CD5673">
        <w:rPr>
          <w:color w:val="000000"/>
        </w:rPr>
        <w:tab/>
        <w:t>(a)</w:t>
      </w:r>
      <w:r w:rsidRPr="00CD5673">
        <w:rPr>
          <w:color w:val="000000"/>
        </w:rPr>
        <w:tab/>
        <w:t>shares mentioned in paragraph 1073A(1)(a) of the Act; or</w:t>
      </w:r>
    </w:p>
    <w:p w14:paraId="12D3EA48" w14:textId="77777777" w:rsidR="00D46430" w:rsidRPr="00CD5673" w:rsidRDefault="00D46430" w:rsidP="00D46430">
      <w:pPr>
        <w:pStyle w:val="paragraph"/>
      </w:pPr>
      <w:r w:rsidRPr="00CD5673">
        <w:tab/>
        <w:t>(b)</w:t>
      </w:r>
      <w:r w:rsidRPr="00CD5673">
        <w:tab/>
        <w:t>debentures mentioned in paragraph 1073A(1)(b) of the Act; or</w:t>
      </w:r>
    </w:p>
    <w:p w14:paraId="66CF858D" w14:textId="77777777" w:rsidR="00D46430" w:rsidRPr="00CD5673" w:rsidRDefault="00D46430" w:rsidP="00D46430">
      <w:pPr>
        <w:pStyle w:val="paragraph"/>
      </w:pPr>
      <w:r w:rsidRPr="00CD5673">
        <w:tab/>
        <w:t>(c)</w:t>
      </w:r>
      <w:r w:rsidRPr="00CD5673">
        <w:tab/>
        <w:t>interests in a registered scheme mentioned in paragraph 1073A(1)(c) of the Act; or</w:t>
      </w:r>
    </w:p>
    <w:p w14:paraId="4243514F" w14:textId="77777777" w:rsidR="00D46430" w:rsidRPr="00CD5673" w:rsidRDefault="00D46430" w:rsidP="00D46430">
      <w:pPr>
        <w:pStyle w:val="paragraph"/>
      </w:pPr>
      <w:r w:rsidRPr="00CD5673">
        <w:tab/>
        <w:t>(ca)</w:t>
      </w:r>
      <w:r w:rsidRPr="00CD5673">
        <w:tab/>
        <w:t>a CGS depository interest mentioned in paragraph 1073A(1)(da) of the Act; or</w:t>
      </w:r>
    </w:p>
    <w:p w14:paraId="2B930A6F" w14:textId="77777777" w:rsidR="00D46430" w:rsidRPr="00CD5673" w:rsidRDefault="00D46430" w:rsidP="00D46430">
      <w:pPr>
        <w:pStyle w:val="paragraph"/>
      </w:pPr>
      <w:r w:rsidRPr="00CD5673">
        <w:tab/>
        <w:t>(d)</w:t>
      </w:r>
      <w:r w:rsidRPr="00CD5673">
        <w:tab/>
        <w:t>securities mentioned in paragraph 1073A(1)(e) of the Act.</w:t>
      </w:r>
    </w:p>
    <w:p w14:paraId="430409C8" w14:textId="77777777" w:rsidR="00D46430" w:rsidRPr="00CD5673" w:rsidRDefault="00D46430" w:rsidP="00D46430">
      <w:pPr>
        <w:pStyle w:val="Definition"/>
      </w:pPr>
      <w:r w:rsidRPr="00CD5673">
        <w:rPr>
          <w:b/>
          <w:i/>
          <w:color w:val="000000"/>
        </w:rPr>
        <w:t>Division 3 rights</w:t>
      </w:r>
      <w:r w:rsidRPr="00CD5673">
        <w:t xml:space="preserve"> means:</w:t>
      </w:r>
    </w:p>
    <w:p w14:paraId="0CF8261C" w14:textId="77777777" w:rsidR="00D46430" w:rsidRPr="00CD5673" w:rsidRDefault="00D46430" w:rsidP="00D46430">
      <w:pPr>
        <w:pStyle w:val="paragraph"/>
      </w:pPr>
      <w:r w:rsidRPr="00CD5673">
        <w:rPr>
          <w:color w:val="000000"/>
        </w:rPr>
        <w:lastRenderedPageBreak/>
        <w:tab/>
        <w:t>(a)</w:t>
      </w:r>
      <w:r w:rsidRPr="00CD5673">
        <w:rPr>
          <w:color w:val="000000"/>
        </w:rPr>
        <w:tab/>
        <w:t>rights mentioned in paragraph 1073A(1)(d) of the Act; and</w:t>
      </w:r>
    </w:p>
    <w:p w14:paraId="26DABB98" w14:textId="77777777" w:rsidR="00D46430" w:rsidRPr="00CD5673" w:rsidRDefault="00D46430" w:rsidP="00D46430">
      <w:pPr>
        <w:pStyle w:val="paragraph"/>
      </w:pPr>
      <w:r w:rsidRPr="00CD5673">
        <w:tab/>
        <w:t>(b)</w:t>
      </w:r>
      <w:r w:rsidRPr="00CD5673">
        <w:tab/>
        <w:t>rights related to securities mentioned in paragraph 1073A(1)(e) of the Act.</w:t>
      </w:r>
    </w:p>
    <w:p w14:paraId="305B6B45" w14:textId="77777777" w:rsidR="00D46430" w:rsidRPr="00CD5673" w:rsidRDefault="00D46430" w:rsidP="00D46430">
      <w:pPr>
        <w:pStyle w:val="Definition"/>
      </w:pPr>
      <w:r w:rsidRPr="00CD5673">
        <w:rPr>
          <w:b/>
          <w:i/>
        </w:rPr>
        <w:t xml:space="preserve">Division 3 securities </w:t>
      </w:r>
      <w:r w:rsidRPr="00CD5673">
        <w:t>means Division 3 assets and Division 3 rights.</w:t>
      </w:r>
    </w:p>
    <w:p w14:paraId="3E2F009F" w14:textId="77777777" w:rsidR="00D46430" w:rsidRPr="00CD5673" w:rsidRDefault="00D46430" w:rsidP="00D46430">
      <w:pPr>
        <w:pStyle w:val="Definition"/>
      </w:pPr>
      <w:r w:rsidRPr="00CD5673">
        <w:rPr>
          <w:b/>
          <w:i/>
        </w:rPr>
        <w:t>Division 4 financial product</w:t>
      </w:r>
      <w:r w:rsidRPr="00CD5673">
        <w:t xml:space="preserve"> has the meaning given by regulation 7.11.03.</w:t>
      </w:r>
    </w:p>
    <w:p w14:paraId="2C37A356" w14:textId="77777777" w:rsidR="00D46430" w:rsidRPr="00CD5673" w:rsidRDefault="00D46430" w:rsidP="00D46430">
      <w:pPr>
        <w:pStyle w:val="Definition"/>
      </w:pPr>
      <w:r w:rsidRPr="00CD5673">
        <w:rPr>
          <w:b/>
          <w:i/>
        </w:rPr>
        <w:t>enduring power of attorney</w:t>
      </w:r>
      <w:r w:rsidRPr="00CD5673">
        <w:t xml:space="preserve"> means an enduring power of attorney that complies with a law of a State or Territory.</w:t>
      </w:r>
    </w:p>
    <w:p w14:paraId="6D81F055" w14:textId="77777777" w:rsidR="00D46430" w:rsidRPr="00CD5673" w:rsidRDefault="00D46430" w:rsidP="00D46430">
      <w:pPr>
        <w:pStyle w:val="Definition"/>
      </w:pPr>
      <w:r w:rsidRPr="00CD5673">
        <w:rPr>
          <w:b/>
          <w:i/>
          <w:color w:val="000000"/>
        </w:rPr>
        <w:t>Exchange body</w:t>
      </w:r>
      <w:r w:rsidRPr="00CD5673">
        <w:t xml:space="preserve"> means:</w:t>
      </w:r>
    </w:p>
    <w:p w14:paraId="2CEDE1C5" w14:textId="77777777" w:rsidR="00D46430" w:rsidRPr="00CD5673" w:rsidRDefault="00D46430" w:rsidP="00D46430">
      <w:pPr>
        <w:pStyle w:val="paragraph"/>
      </w:pPr>
      <w:r w:rsidRPr="00CD5673">
        <w:rPr>
          <w:color w:val="000000"/>
        </w:rPr>
        <w:tab/>
        <w:t>(a)</w:t>
      </w:r>
      <w:r w:rsidRPr="00CD5673">
        <w:rPr>
          <w:color w:val="000000"/>
        </w:rPr>
        <w:tab/>
        <w:t>Australian Stock Exchange Limited; or</w:t>
      </w:r>
    </w:p>
    <w:p w14:paraId="3CFB03D4" w14:textId="77777777" w:rsidR="00D46430" w:rsidRPr="00CD5673" w:rsidRDefault="00D46430" w:rsidP="00D46430">
      <w:pPr>
        <w:pStyle w:val="paragraph"/>
      </w:pPr>
      <w:r w:rsidRPr="00CD5673">
        <w:tab/>
        <w:t>(b)</w:t>
      </w:r>
      <w:r w:rsidRPr="00CD5673">
        <w:tab/>
        <w:t>a subsidiary of Australian Stock Exchange Limited.</w:t>
      </w:r>
    </w:p>
    <w:p w14:paraId="04CEBDE0" w14:textId="77777777" w:rsidR="00D46430" w:rsidRPr="00CD5673" w:rsidRDefault="00D46430" w:rsidP="00D46430">
      <w:pPr>
        <w:pStyle w:val="Definition"/>
      </w:pPr>
      <w:r w:rsidRPr="00CD5673">
        <w:rPr>
          <w:b/>
          <w:i/>
        </w:rPr>
        <w:t>financial business</w:t>
      </w:r>
      <w:r w:rsidRPr="00CD5673">
        <w:rPr>
          <w:i/>
        </w:rPr>
        <w:t xml:space="preserve"> </w:t>
      </w:r>
      <w:r w:rsidRPr="00CD5673">
        <w:t>means a business that:</w:t>
      </w:r>
    </w:p>
    <w:p w14:paraId="0A56F665" w14:textId="77777777" w:rsidR="00D46430" w:rsidRPr="00CD5673" w:rsidRDefault="00D46430" w:rsidP="00D46430">
      <w:pPr>
        <w:pStyle w:val="paragraph"/>
      </w:pPr>
      <w:r w:rsidRPr="00CD5673">
        <w:rPr>
          <w:color w:val="000000"/>
        </w:rPr>
        <w:tab/>
        <w:t>(a)</w:t>
      </w:r>
      <w:r w:rsidRPr="00CD5673">
        <w:rPr>
          <w:color w:val="000000"/>
        </w:rPr>
        <w:tab/>
        <w:t>consists of, or includes, the provision of financial services; or</w:t>
      </w:r>
    </w:p>
    <w:p w14:paraId="45374720" w14:textId="77777777" w:rsidR="00D46430" w:rsidRPr="00CD5673" w:rsidRDefault="00D46430" w:rsidP="00D46430">
      <w:pPr>
        <w:pStyle w:val="paragraph"/>
      </w:pPr>
      <w:r w:rsidRPr="00CD5673">
        <w:tab/>
        <w:t>(b)</w:t>
      </w:r>
      <w:r w:rsidRPr="00CD5673">
        <w:tab/>
        <w:t>relates wholly or partly to the provision of financial services.</w:t>
      </w:r>
    </w:p>
    <w:p w14:paraId="74B06692" w14:textId="77777777" w:rsidR="00D46430" w:rsidRPr="00CD5673" w:rsidRDefault="00D46430" w:rsidP="00D46430">
      <w:pPr>
        <w:pStyle w:val="Definition"/>
      </w:pPr>
      <w:r w:rsidRPr="00CD5673">
        <w:rPr>
          <w:b/>
          <w:i/>
        </w:rPr>
        <w:t>form</w:t>
      </w:r>
      <w:r w:rsidRPr="00CD5673">
        <w:t xml:space="preserve"> means an approved form or a prescribed form.</w:t>
      </w:r>
    </w:p>
    <w:p w14:paraId="2E5BE7FA" w14:textId="77777777" w:rsidR="00D46430" w:rsidRPr="00CD5673" w:rsidRDefault="00D46430" w:rsidP="00D46430">
      <w:pPr>
        <w:pStyle w:val="Definition"/>
      </w:pPr>
      <w:r w:rsidRPr="00CD5673">
        <w:rPr>
          <w:b/>
          <w:i/>
        </w:rPr>
        <w:t>friendly society</w:t>
      </w:r>
      <w:r w:rsidRPr="00CD5673">
        <w:t xml:space="preserve"> has the meaning given by section 16C of the </w:t>
      </w:r>
      <w:r w:rsidRPr="00CD5673">
        <w:rPr>
          <w:i/>
        </w:rPr>
        <w:t>Life Insurance Act 1995</w:t>
      </w:r>
      <w:r w:rsidRPr="00CD5673">
        <w:t>.</w:t>
      </w:r>
    </w:p>
    <w:p w14:paraId="16DF1BE5" w14:textId="77777777" w:rsidR="00D46430" w:rsidRPr="00CD5673" w:rsidRDefault="00D46430" w:rsidP="00D46430">
      <w:pPr>
        <w:pStyle w:val="Definition"/>
      </w:pPr>
      <w:r w:rsidRPr="00CD5673">
        <w:rPr>
          <w:b/>
          <w:i/>
        </w:rPr>
        <w:t>friendly society funeral product</w:t>
      </w:r>
      <w:r w:rsidRPr="00CD5673">
        <w:t>: see subregulation 7.6.01(7).</w:t>
      </w:r>
    </w:p>
    <w:p w14:paraId="083DCAE7" w14:textId="77777777" w:rsidR="00D46430" w:rsidRPr="00CD5673" w:rsidRDefault="00D46430" w:rsidP="00D46430">
      <w:pPr>
        <w:pStyle w:val="Definition"/>
      </w:pPr>
      <w:r w:rsidRPr="00CD5673">
        <w:rPr>
          <w:b/>
          <w:i/>
        </w:rPr>
        <w:t xml:space="preserve">FSR commencement </w:t>
      </w:r>
      <w:r w:rsidRPr="00CD5673">
        <w:t xml:space="preserve">means the commencement of item 1 of Schedule 1 to the </w:t>
      </w:r>
      <w:r w:rsidRPr="00CD5673">
        <w:rPr>
          <w:i/>
        </w:rPr>
        <w:t>Financial Services Reform Act 2001</w:t>
      </w:r>
      <w:r w:rsidRPr="00CD5673">
        <w:t>.</w:t>
      </w:r>
    </w:p>
    <w:p w14:paraId="459DC7ED" w14:textId="77777777" w:rsidR="00D46430" w:rsidRPr="00CD5673" w:rsidRDefault="00D46430" w:rsidP="00D46430">
      <w:pPr>
        <w:pStyle w:val="Definition"/>
      </w:pPr>
      <w:r w:rsidRPr="00CD5673">
        <w:rPr>
          <w:b/>
          <w:i/>
        </w:rPr>
        <w:t>funeral services entity</w:t>
      </w:r>
      <w:r w:rsidRPr="00CD5673">
        <w:t>: see subregulation 7.6.01(7).</w:t>
      </w:r>
    </w:p>
    <w:p w14:paraId="510B97ED" w14:textId="77777777" w:rsidR="00D46430" w:rsidRPr="00CD5673" w:rsidRDefault="00D46430" w:rsidP="00D46430">
      <w:pPr>
        <w:pStyle w:val="Definition"/>
      </w:pPr>
      <w:r w:rsidRPr="00CD5673">
        <w:rPr>
          <w:b/>
          <w:i/>
        </w:rPr>
        <w:t>generic MySuper product</w:t>
      </w:r>
      <w:r w:rsidRPr="00CD5673">
        <w:t xml:space="preserve">: a class of beneficial interest in a superannuation entity is a </w:t>
      </w:r>
      <w:r w:rsidRPr="00CD5673">
        <w:rPr>
          <w:b/>
          <w:i/>
        </w:rPr>
        <w:t xml:space="preserve">generic MySuper product </w:t>
      </w:r>
      <w:r w:rsidRPr="00CD5673">
        <w:t>if:</w:t>
      </w:r>
    </w:p>
    <w:p w14:paraId="44D04E37" w14:textId="77777777" w:rsidR="00D46430" w:rsidRPr="00CD5673" w:rsidRDefault="00D46430" w:rsidP="00D46430">
      <w:pPr>
        <w:pStyle w:val="paragraph"/>
      </w:pPr>
      <w:r w:rsidRPr="00CD5673">
        <w:tab/>
        <w:t>(a)</w:t>
      </w:r>
      <w:r w:rsidRPr="00CD5673">
        <w:tab/>
        <w:t>the superannuation entity is a regulated superannuation fund; and</w:t>
      </w:r>
    </w:p>
    <w:p w14:paraId="06557C22" w14:textId="77777777" w:rsidR="00D46430" w:rsidRPr="00CD5673" w:rsidRDefault="00D46430" w:rsidP="00D46430">
      <w:pPr>
        <w:pStyle w:val="paragraph"/>
      </w:pPr>
      <w:r w:rsidRPr="00CD5673">
        <w:tab/>
        <w:t>(b)</w:t>
      </w:r>
      <w:r w:rsidRPr="00CD5673">
        <w:tab/>
        <w:t>the RSE licensee of the fund is authorised to offer that class of beneficial interest in the fund as a MySuper product under section 29T of the SIS Act; and</w:t>
      </w:r>
    </w:p>
    <w:p w14:paraId="1887EA43" w14:textId="77777777" w:rsidR="00D46430" w:rsidRPr="00CD5673" w:rsidRDefault="00D46430" w:rsidP="00D46430">
      <w:pPr>
        <w:pStyle w:val="paragraph"/>
      </w:pPr>
      <w:r w:rsidRPr="00CD5673">
        <w:tab/>
        <w:t>(c)</w:t>
      </w:r>
      <w:r w:rsidRPr="00CD5673">
        <w:tab/>
        <w:t>the RSE licensee of the fund is not authorised to offer that class of beneficial interest in the fund as a MySuper product because section 29TA or 29TB of the SIS Act is satisfied in relation to the class.</w:t>
      </w:r>
    </w:p>
    <w:p w14:paraId="3132D1E0" w14:textId="77777777" w:rsidR="00D46430" w:rsidRPr="00CD5673" w:rsidRDefault="00D46430" w:rsidP="00D46430">
      <w:pPr>
        <w:pStyle w:val="Definition"/>
      </w:pPr>
      <w:r w:rsidRPr="00CD5673">
        <w:rPr>
          <w:b/>
          <w:i/>
          <w:color w:val="000000"/>
        </w:rPr>
        <w:t>income stream financial product</w:t>
      </w:r>
      <w:r w:rsidRPr="00CD5673">
        <w:t xml:space="preserve"> means an annuity or other facility that is a financial product which provides an income stream, including:</w:t>
      </w:r>
    </w:p>
    <w:p w14:paraId="05AA476F" w14:textId="77777777" w:rsidR="00D46430" w:rsidRPr="00CD5673" w:rsidRDefault="00D46430" w:rsidP="00D46430">
      <w:pPr>
        <w:pStyle w:val="paragraph"/>
      </w:pPr>
      <w:r w:rsidRPr="00CD5673">
        <w:rPr>
          <w:color w:val="000000"/>
        </w:rPr>
        <w:tab/>
        <w:t>(a)</w:t>
      </w:r>
      <w:r w:rsidRPr="00CD5673">
        <w:rPr>
          <w:color w:val="000000"/>
        </w:rPr>
        <w:tab/>
        <w:t>an income stream that is an investment life insurance product; or</w:t>
      </w:r>
    </w:p>
    <w:p w14:paraId="7083249E" w14:textId="77777777" w:rsidR="00D46430" w:rsidRPr="00CD5673" w:rsidRDefault="00D46430" w:rsidP="00D46430">
      <w:pPr>
        <w:pStyle w:val="paragraph"/>
      </w:pPr>
      <w:r w:rsidRPr="00CD5673">
        <w:tab/>
        <w:t>(b)</w:t>
      </w:r>
      <w:r w:rsidRPr="00CD5673">
        <w:tab/>
        <w:t xml:space="preserve">an income designated under section 9 of the </w:t>
      </w:r>
      <w:r w:rsidRPr="00CD5673">
        <w:rPr>
          <w:i/>
        </w:rPr>
        <w:t>Social Security Act 1991</w:t>
      </w:r>
      <w:r w:rsidRPr="00CD5673">
        <w:t xml:space="preserve"> or section 5H of the </w:t>
      </w:r>
      <w:r w:rsidRPr="00CD5673">
        <w:rPr>
          <w:i/>
        </w:rPr>
        <w:t>Veterans’ Entitlements Act 1986</w:t>
      </w:r>
      <w:r w:rsidRPr="00CD5673">
        <w:t>;</w:t>
      </w:r>
    </w:p>
    <w:p w14:paraId="7220C38C" w14:textId="77777777" w:rsidR="00D46430" w:rsidRPr="00CD5673" w:rsidRDefault="00D46430" w:rsidP="00D46430">
      <w:pPr>
        <w:pStyle w:val="subsection2"/>
      </w:pPr>
      <w:r w:rsidRPr="00CD5673">
        <w:rPr>
          <w:color w:val="000000"/>
        </w:rPr>
        <w:t>but does not include any of the following:</w:t>
      </w:r>
    </w:p>
    <w:p w14:paraId="6DFABF54" w14:textId="77777777" w:rsidR="00D46430" w:rsidRPr="00CD5673" w:rsidRDefault="00D46430" w:rsidP="00D46430">
      <w:pPr>
        <w:pStyle w:val="paragraph"/>
      </w:pPr>
      <w:r w:rsidRPr="00CD5673">
        <w:rPr>
          <w:color w:val="000000"/>
        </w:rPr>
        <w:tab/>
        <w:t>(c)</w:t>
      </w:r>
      <w:r w:rsidRPr="00CD5673">
        <w:rPr>
          <w:color w:val="000000"/>
        </w:rPr>
        <w:tab/>
        <w:t>a financial product under paragraph 764A(1)(ba) of the Act;</w:t>
      </w:r>
    </w:p>
    <w:p w14:paraId="478AE1E4" w14:textId="77777777" w:rsidR="00D46430" w:rsidRPr="00CD5673" w:rsidRDefault="00D46430" w:rsidP="00D46430">
      <w:pPr>
        <w:pStyle w:val="paragraph"/>
      </w:pPr>
      <w:r w:rsidRPr="00CD5673">
        <w:tab/>
        <w:t>(d)</w:t>
      </w:r>
      <w:r w:rsidRPr="00CD5673">
        <w:tab/>
        <w:t>anything that is not a financial product under section 765A of the Act;</w:t>
      </w:r>
    </w:p>
    <w:p w14:paraId="3608C2B8" w14:textId="77777777" w:rsidR="00D46430" w:rsidRPr="00CD5673" w:rsidRDefault="00D46430" w:rsidP="00D46430">
      <w:pPr>
        <w:pStyle w:val="paragraph"/>
      </w:pPr>
      <w:r w:rsidRPr="00CD5673">
        <w:tab/>
        <w:t>(e)</w:t>
      </w:r>
      <w:r w:rsidRPr="00CD5673">
        <w:tab/>
        <w:t>available money;</w:t>
      </w:r>
    </w:p>
    <w:p w14:paraId="0922CCFC" w14:textId="77777777" w:rsidR="00D46430" w:rsidRPr="00CD5673" w:rsidRDefault="00D46430" w:rsidP="00D46430">
      <w:pPr>
        <w:pStyle w:val="paragraph"/>
      </w:pPr>
      <w:r w:rsidRPr="00CD5673">
        <w:tab/>
        <w:t>(f)</w:t>
      </w:r>
      <w:r w:rsidRPr="00CD5673">
        <w:tab/>
        <w:t>deposit money;</w:t>
      </w:r>
    </w:p>
    <w:p w14:paraId="171EA59C" w14:textId="77777777" w:rsidR="00D46430" w:rsidRPr="00CD5673" w:rsidRDefault="00D46430" w:rsidP="00D46430">
      <w:pPr>
        <w:pStyle w:val="paragraph"/>
      </w:pPr>
      <w:r w:rsidRPr="00CD5673">
        <w:tab/>
        <w:t>(g)</w:t>
      </w:r>
      <w:r w:rsidRPr="00CD5673">
        <w:tab/>
        <w:t>a managed investment product;</w:t>
      </w:r>
    </w:p>
    <w:p w14:paraId="0DC3FEC8" w14:textId="77777777" w:rsidR="00D46430" w:rsidRPr="00CD5673" w:rsidRDefault="00D46430" w:rsidP="00D46430">
      <w:pPr>
        <w:pStyle w:val="paragraph"/>
      </w:pPr>
      <w:r w:rsidRPr="00CD5673">
        <w:tab/>
        <w:t>(ga)</w:t>
      </w:r>
      <w:r w:rsidRPr="00CD5673">
        <w:tab/>
        <w:t>a foreign passport fund product;</w:t>
      </w:r>
    </w:p>
    <w:p w14:paraId="3311FF78" w14:textId="77777777" w:rsidR="00D46430" w:rsidRPr="00CD5673" w:rsidRDefault="00D46430" w:rsidP="00D46430">
      <w:pPr>
        <w:pStyle w:val="paragraph"/>
      </w:pPr>
      <w:r w:rsidRPr="00CD5673">
        <w:tab/>
        <w:t>(h)</w:t>
      </w:r>
      <w:r w:rsidRPr="00CD5673">
        <w:tab/>
        <w:t>a security;</w:t>
      </w:r>
    </w:p>
    <w:p w14:paraId="54827D01" w14:textId="77777777" w:rsidR="00D46430" w:rsidRPr="00CD5673" w:rsidRDefault="00D46430" w:rsidP="00D46430">
      <w:pPr>
        <w:pStyle w:val="paragraph"/>
      </w:pPr>
      <w:r w:rsidRPr="00CD5673">
        <w:tab/>
        <w:t>(i)</w:t>
      </w:r>
      <w:r w:rsidRPr="00CD5673">
        <w:tab/>
        <w:t>a loan that has not been repaid in full;</w:t>
      </w:r>
    </w:p>
    <w:p w14:paraId="2D02641C" w14:textId="77777777" w:rsidR="00D46430" w:rsidRPr="00CD5673" w:rsidRDefault="00D46430" w:rsidP="00D46430">
      <w:pPr>
        <w:pStyle w:val="paragraph"/>
      </w:pPr>
      <w:r w:rsidRPr="00CD5673">
        <w:tab/>
        <w:t>(j)</w:t>
      </w:r>
      <w:r w:rsidRPr="00CD5673">
        <w:tab/>
        <w:t>gold, silver or platinum bullion.</w:t>
      </w:r>
    </w:p>
    <w:p w14:paraId="4FC74A5B" w14:textId="77777777" w:rsidR="00D46430" w:rsidRPr="00CD5673" w:rsidRDefault="00D46430" w:rsidP="00D46430">
      <w:pPr>
        <w:pStyle w:val="notetext"/>
      </w:pPr>
      <w:r w:rsidRPr="00CD5673">
        <w:rPr>
          <w:color w:val="000000"/>
        </w:rPr>
        <w:t>Note:</w:t>
      </w:r>
      <w:r w:rsidRPr="00CD5673">
        <w:rPr>
          <w:color w:val="000000"/>
        </w:rPr>
        <w:tab/>
        <w:t xml:space="preserve">In accordance with subsections 761G(6) and (7) of the Act, superannuation products and </w:t>
      </w:r>
      <w:r w:rsidR="00E017C4" w:rsidRPr="00BE1284">
        <w:t>RSAs</w:t>
      </w:r>
      <w:r w:rsidRPr="00CD5673">
        <w:rPr>
          <w:color w:val="000000"/>
        </w:rPr>
        <w:t xml:space="preserve"> are not income stream financial products.</w:t>
      </w:r>
    </w:p>
    <w:p w14:paraId="2B7C6A23" w14:textId="77777777" w:rsidR="00D46430" w:rsidRPr="00CD5673" w:rsidRDefault="00D46430" w:rsidP="00D46430">
      <w:pPr>
        <w:pStyle w:val="Definition"/>
      </w:pPr>
      <w:r w:rsidRPr="00CD5673">
        <w:rPr>
          <w:b/>
          <w:i/>
          <w:color w:val="000000"/>
        </w:rPr>
        <w:t>investment</w:t>
      </w:r>
      <w:r w:rsidR="00C614F1">
        <w:rPr>
          <w:b/>
          <w:i/>
          <w:color w:val="000000"/>
        </w:rPr>
        <w:noBreakHyphen/>
      </w:r>
      <w:r w:rsidRPr="00CD5673">
        <w:rPr>
          <w:b/>
          <w:i/>
          <w:color w:val="000000"/>
        </w:rPr>
        <w:t>based financial product</w:t>
      </w:r>
      <w:r w:rsidRPr="00CD5673">
        <w:t xml:space="preserve"> means:</w:t>
      </w:r>
    </w:p>
    <w:p w14:paraId="5F009BD3" w14:textId="77777777" w:rsidR="00D46430" w:rsidRPr="00CD5673" w:rsidRDefault="00D46430" w:rsidP="00D46430">
      <w:pPr>
        <w:pStyle w:val="paragraph"/>
      </w:pPr>
      <w:r w:rsidRPr="00CD5673">
        <w:rPr>
          <w:color w:val="000000"/>
        </w:rPr>
        <w:tab/>
        <w:t>(a)</w:t>
      </w:r>
      <w:r w:rsidRPr="00CD5673">
        <w:rPr>
          <w:color w:val="000000"/>
        </w:rPr>
        <w:tab/>
        <w:t>a financial product under section 763B of the Act; or</w:t>
      </w:r>
    </w:p>
    <w:p w14:paraId="3566E90F" w14:textId="77777777" w:rsidR="00D46430" w:rsidRPr="00CD5673" w:rsidRDefault="00D46430" w:rsidP="00D46430">
      <w:pPr>
        <w:pStyle w:val="paragraph"/>
      </w:pPr>
      <w:r w:rsidRPr="00CD5673">
        <w:tab/>
        <w:t>(b)</w:t>
      </w:r>
      <w:r w:rsidRPr="00CD5673">
        <w:tab/>
        <w:t>a financial product under paragraph 764A(1)(ba), (bb) or (j) of the Act; or</w:t>
      </w:r>
    </w:p>
    <w:p w14:paraId="4807C482" w14:textId="77777777" w:rsidR="00D46430" w:rsidRPr="00CD5673" w:rsidRDefault="00D46430" w:rsidP="00D46430">
      <w:pPr>
        <w:pStyle w:val="paragraph"/>
      </w:pPr>
      <w:r w:rsidRPr="00CD5673">
        <w:tab/>
        <w:t>(c)</w:t>
      </w:r>
      <w:r w:rsidRPr="00CD5673">
        <w:tab/>
        <w:t>a financial product under paragraph 764A(1)(m) of the Act that is specified to be an investment</w:t>
      </w:r>
      <w:r w:rsidR="00C614F1">
        <w:noBreakHyphen/>
      </w:r>
      <w:r w:rsidRPr="00CD5673">
        <w:t>based financial product; or</w:t>
      </w:r>
    </w:p>
    <w:p w14:paraId="6D0A83D1" w14:textId="77777777" w:rsidR="00D46430" w:rsidRPr="00CD5673" w:rsidRDefault="00D46430" w:rsidP="00D46430">
      <w:pPr>
        <w:pStyle w:val="paragraph"/>
      </w:pPr>
      <w:r w:rsidRPr="00CD5673">
        <w:tab/>
        <w:t>(d)</w:t>
      </w:r>
      <w:r w:rsidRPr="00CD5673">
        <w:tab/>
        <w:t>a security; or</w:t>
      </w:r>
    </w:p>
    <w:p w14:paraId="476FEBE6" w14:textId="77777777" w:rsidR="00D46430" w:rsidRPr="00CD5673" w:rsidRDefault="00D46430" w:rsidP="00D46430">
      <w:pPr>
        <w:pStyle w:val="paragraph"/>
      </w:pPr>
      <w:r w:rsidRPr="00CD5673">
        <w:lastRenderedPageBreak/>
        <w:tab/>
        <w:t>(e)</w:t>
      </w:r>
      <w:r w:rsidRPr="00CD5673">
        <w:tab/>
        <w:t>a managed investment product; or</w:t>
      </w:r>
    </w:p>
    <w:p w14:paraId="2BB9C3E0" w14:textId="77777777" w:rsidR="00D46430" w:rsidRPr="00CD5673" w:rsidRDefault="00D46430" w:rsidP="00D46430">
      <w:pPr>
        <w:pStyle w:val="paragraph"/>
      </w:pPr>
      <w:r w:rsidRPr="00CD5673">
        <w:tab/>
        <w:t>(f)</w:t>
      </w:r>
      <w:r w:rsidRPr="00CD5673">
        <w:tab/>
        <w:t>an investment life insurance product; or</w:t>
      </w:r>
    </w:p>
    <w:p w14:paraId="109C42BE" w14:textId="77777777" w:rsidR="00D46430" w:rsidRPr="00CD5673" w:rsidRDefault="00D46430" w:rsidP="00D46430">
      <w:pPr>
        <w:pStyle w:val="paragraph"/>
      </w:pPr>
      <w:r w:rsidRPr="00CD5673">
        <w:tab/>
        <w:t>(g)</w:t>
      </w:r>
      <w:r w:rsidRPr="00CD5673">
        <w:tab/>
        <w:t>a deposit product; or</w:t>
      </w:r>
    </w:p>
    <w:p w14:paraId="55B928BF" w14:textId="77777777" w:rsidR="00D46430" w:rsidRPr="00CD5673" w:rsidRDefault="00D46430" w:rsidP="00D46430">
      <w:pPr>
        <w:pStyle w:val="paragraph"/>
      </w:pPr>
      <w:r w:rsidRPr="00CD5673">
        <w:tab/>
        <w:t>(ga)</w:t>
      </w:r>
      <w:r w:rsidRPr="00CD5673">
        <w:tab/>
        <w:t>a carbon unit;</w:t>
      </w:r>
    </w:p>
    <w:p w14:paraId="3B5D0A4B" w14:textId="77777777" w:rsidR="00D46430" w:rsidRPr="00CD5673" w:rsidRDefault="00D46430" w:rsidP="00D46430">
      <w:pPr>
        <w:pStyle w:val="paragraph"/>
      </w:pPr>
      <w:r w:rsidRPr="00CD5673">
        <w:tab/>
        <w:t>(gb)</w:t>
      </w:r>
      <w:r w:rsidRPr="00CD5673">
        <w:tab/>
        <w:t>an Australian carbon credit unit;</w:t>
      </w:r>
    </w:p>
    <w:p w14:paraId="7B60B017" w14:textId="77777777" w:rsidR="00D46430" w:rsidRPr="00CD5673" w:rsidRDefault="00D46430" w:rsidP="00D46430">
      <w:pPr>
        <w:pStyle w:val="paragraph"/>
      </w:pPr>
      <w:r w:rsidRPr="00CD5673">
        <w:tab/>
        <w:t>(gc)</w:t>
      </w:r>
      <w:r w:rsidRPr="00CD5673">
        <w:tab/>
        <w:t>an eligible international emissions unit;</w:t>
      </w:r>
    </w:p>
    <w:p w14:paraId="4750622F" w14:textId="77777777" w:rsidR="00D46430" w:rsidRPr="00CD5673" w:rsidRDefault="00D46430" w:rsidP="00D46430">
      <w:pPr>
        <w:pStyle w:val="subsection2"/>
      </w:pPr>
      <w:r w:rsidRPr="00CD5673">
        <w:rPr>
          <w:color w:val="000000"/>
        </w:rPr>
        <w:t>but does not include any of the following:</w:t>
      </w:r>
    </w:p>
    <w:p w14:paraId="71D37A6A" w14:textId="77777777" w:rsidR="00D46430" w:rsidRPr="00CD5673" w:rsidRDefault="00D46430" w:rsidP="00D46430">
      <w:pPr>
        <w:pStyle w:val="paragraph"/>
      </w:pPr>
      <w:r w:rsidRPr="00CD5673">
        <w:rPr>
          <w:color w:val="000000"/>
        </w:rPr>
        <w:tab/>
        <w:t>(h)</w:t>
      </w:r>
      <w:r w:rsidRPr="00CD5673">
        <w:rPr>
          <w:color w:val="000000"/>
        </w:rPr>
        <w:tab/>
        <w:t>anything that is not a financial product under section 765A of the Act;</w:t>
      </w:r>
    </w:p>
    <w:p w14:paraId="590C3070" w14:textId="77777777" w:rsidR="00D46430" w:rsidRPr="00CD5673" w:rsidRDefault="00D46430" w:rsidP="00D46430">
      <w:pPr>
        <w:pStyle w:val="paragraph"/>
      </w:pPr>
      <w:r w:rsidRPr="00CD5673">
        <w:tab/>
        <w:t>(i)</w:t>
      </w:r>
      <w:r w:rsidRPr="00CD5673">
        <w:tab/>
        <w:t>an income stream financial product.</w:t>
      </w:r>
    </w:p>
    <w:p w14:paraId="43AB2350" w14:textId="77777777" w:rsidR="00D46430" w:rsidRPr="00CD5673" w:rsidRDefault="00D46430" w:rsidP="00D46430">
      <w:pPr>
        <w:pStyle w:val="notetext"/>
      </w:pPr>
      <w:r w:rsidRPr="00CD5673">
        <w:rPr>
          <w:color w:val="000000"/>
        </w:rPr>
        <w:t>Note:</w:t>
      </w:r>
      <w:r w:rsidRPr="00CD5673">
        <w:rPr>
          <w:color w:val="000000"/>
        </w:rPr>
        <w:tab/>
        <w:t xml:space="preserve">In accordance with subsections 761G(6) and (7) of the Act, superannuation products and </w:t>
      </w:r>
      <w:r w:rsidR="00E017C4" w:rsidRPr="00BE1284">
        <w:t>RSAs</w:t>
      </w:r>
      <w:r w:rsidRPr="00CD5673">
        <w:rPr>
          <w:color w:val="000000"/>
        </w:rPr>
        <w:t xml:space="preserve"> are not income stream financial products.</w:t>
      </w:r>
    </w:p>
    <w:p w14:paraId="177679C0" w14:textId="77777777" w:rsidR="00D46430" w:rsidRPr="00CD5673" w:rsidRDefault="00D46430" w:rsidP="00D46430">
      <w:pPr>
        <w:pStyle w:val="Definition"/>
      </w:pPr>
      <w:r w:rsidRPr="00CD5673">
        <w:rPr>
          <w:b/>
          <w:i/>
        </w:rPr>
        <w:t>Lloyd’s</w:t>
      </w:r>
      <w:r w:rsidRPr="00CD5673">
        <w:t xml:space="preserve"> has the same meaning as in the </w:t>
      </w:r>
      <w:r w:rsidRPr="00CD5673">
        <w:rPr>
          <w:i/>
        </w:rPr>
        <w:t>Insurance Act 1973</w:t>
      </w:r>
      <w:r w:rsidRPr="00CD5673">
        <w:t>.</w:t>
      </w:r>
    </w:p>
    <w:p w14:paraId="37296B61" w14:textId="77777777" w:rsidR="00D46430" w:rsidRPr="00CD5673" w:rsidRDefault="00D46430" w:rsidP="00D46430">
      <w:pPr>
        <w:pStyle w:val="Definition"/>
      </w:pPr>
      <w:r w:rsidRPr="00CD5673">
        <w:rPr>
          <w:b/>
          <w:i/>
        </w:rPr>
        <w:t>medical indemnity insurance product</w:t>
      </w:r>
      <w:r w:rsidRPr="00CD5673">
        <w:t xml:space="preserve"> means an arrangement:</w:t>
      </w:r>
    </w:p>
    <w:p w14:paraId="4B093DA8" w14:textId="77777777" w:rsidR="00D46430" w:rsidRPr="00CD5673" w:rsidRDefault="00D46430" w:rsidP="00D46430">
      <w:pPr>
        <w:pStyle w:val="paragraph"/>
      </w:pPr>
      <w:r w:rsidRPr="00CD5673">
        <w:tab/>
        <w:t>(a)</w:t>
      </w:r>
      <w:r w:rsidRPr="00CD5673">
        <w:tab/>
        <w:t>under which medical indemnity cover is provided to:</w:t>
      </w:r>
    </w:p>
    <w:p w14:paraId="3C8F3291" w14:textId="77777777" w:rsidR="00D46430" w:rsidRPr="00CD5673" w:rsidRDefault="00D46430" w:rsidP="00D46430">
      <w:pPr>
        <w:pStyle w:val="paragraphsub"/>
      </w:pPr>
      <w:r w:rsidRPr="00CD5673">
        <w:tab/>
        <w:t>(i)</w:t>
      </w:r>
      <w:r w:rsidRPr="00CD5673">
        <w:tab/>
        <w:t xml:space="preserve">a medical practitioner as defined in section 4 of the </w:t>
      </w:r>
      <w:r w:rsidRPr="00CD5673">
        <w:rPr>
          <w:i/>
        </w:rPr>
        <w:t>Medical Indemnity (Prudential Supervision and Product Standards) Act 2003</w:t>
      </w:r>
      <w:r w:rsidRPr="00CD5673">
        <w:t>; or</w:t>
      </w:r>
    </w:p>
    <w:p w14:paraId="5C93CB07" w14:textId="77777777" w:rsidR="00D46430" w:rsidRPr="00CD5673" w:rsidRDefault="00D46430" w:rsidP="00D46430">
      <w:pPr>
        <w:pStyle w:val="paragraphsub"/>
      </w:pPr>
      <w:r w:rsidRPr="00CD5673">
        <w:tab/>
        <w:t>(ii)</w:t>
      </w:r>
      <w:r w:rsidRPr="00CD5673">
        <w:tab/>
        <w:t xml:space="preserve">a registered health professional prescribed by regulations made under the </w:t>
      </w:r>
      <w:r w:rsidRPr="00CD5673">
        <w:rPr>
          <w:i/>
        </w:rPr>
        <w:t>Medical Indemnity (Prudential Supervision and Product Standards) Act 2003</w:t>
      </w:r>
      <w:r w:rsidRPr="00CD5673">
        <w:t xml:space="preserve"> for the purposes of a provision of Part 3 of that Act; and</w:t>
      </w:r>
    </w:p>
    <w:p w14:paraId="2CE0AA07" w14:textId="77777777" w:rsidR="00D46430" w:rsidRPr="00CD5673" w:rsidRDefault="00D46430" w:rsidP="00D46430">
      <w:pPr>
        <w:pStyle w:val="paragraph"/>
      </w:pPr>
      <w:r w:rsidRPr="00CD5673">
        <w:tab/>
        <w:t>(b)</w:t>
      </w:r>
      <w:r w:rsidRPr="00CD5673">
        <w:tab/>
        <w:t xml:space="preserve">to which the </w:t>
      </w:r>
      <w:r w:rsidRPr="00CD5673">
        <w:rPr>
          <w:i/>
        </w:rPr>
        <w:t>Medical Indemnity (Prudential Supervision and Product Standards) Act 2003</w:t>
      </w:r>
      <w:r w:rsidRPr="00CD5673">
        <w:t xml:space="preserve"> applies.</w:t>
      </w:r>
    </w:p>
    <w:p w14:paraId="41E7AA41" w14:textId="77777777" w:rsidR="00C30A4D" w:rsidRPr="00BE1284" w:rsidRDefault="00C30A4D" w:rsidP="00C30A4D">
      <w:pPr>
        <w:pStyle w:val="Definition"/>
      </w:pPr>
      <w:r w:rsidRPr="00BE1284">
        <w:rPr>
          <w:b/>
          <w:i/>
        </w:rPr>
        <w:t>minor fee</w:t>
      </w:r>
      <w:r w:rsidRPr="00BE1284">
        <w:rPr>
          <w:i/>
        </w:rPr>
        <w:t xml:space="preserve">, </w:t>
      </w:r>
      <w:r w:rsidRPr="00BE1284">
        <w:t>for a standard margin lending facility, means a fee or cost for the facility</w:t>
      </w:r>
      <w:r>
        <w:t xml:space="preserve"> </w:t>
      </w:r>
      <w:r w:rsidRPr="00BE1284">
        <w:t>that:</w:t>
      </w:r>
    </w:p>
    <w:p w14:paraId="6F7B660A" w14:textId="77777777" w:rsidR="00C30A4D" w:rsidRPr="00BE1284" w:rsidRDefault="00C30A4D" w:rsidP="00C30A4D">
      <w:pPr>
        <w:pStyle w:val="paragraph"/>
      </w:pPr>
      <w:r w:rsidRPr="00BE1284">
        <w:tab/>
        <w:t>(a)</w:t>
      </w:r>
      <w:r w:rsidRPr="00BE1284">
        <w:tab/>
        <w:t>does not relate to the ordinary acquisition, operation or closure of the facility; and</w:t>
      </w:r>
    </w:p>
    <w:p w14:paraId="6C067315" w14:textId="77777777" w:rsidR="00C30A4D" w:rsidRPr="00BE1284" w:rsidRDefault="00C30A4D" w:rsidP="00C30A4D">
      <w:pPr>
        <w:pStyle w:val="paragraph"/>
        <w:rPr>
          <w:b/>
          <w:i/>
        </w:rPr>
      </w:pPr>
      <w:r w:rsidRPr="00BE1284">
        <w:tab/>
        <w:t>(b)</w:t>
      </w:r>
      <w:r w:rsidRPr="00BE1284">
        <w:tab/>
        <w:t>is less than $10.</w:t>
      </w:r>
    </w:p>
    <w:p w14:paraId="4E79EABC" w14:textId="77777777" w:rsidR="00D46430" w:rsidRPr="00CD5673" w:rsidRDefault="00D46430" w:rsidP="00D46430">
      <w:pPr>
        <w:pStyle w:val="Definition"/>
      </w:pPr>
      <w:r w:rsidRPr="00CD5673">
        <w:rPr>
          <w:b/>
          <w:i/>
        </w:rPr>
        <w:t>NFPFRN</w:t>
      </w:r>
      <w:r w:rsidRPr="00CD5673">
        <w:t xml:space="preserve">: see </w:t>
      </w:r>
      <w:r w:rsidRPr="00CD5673">
        <w:rPr>
          <w:b/>
          <w:i/>
        </w:rPr>
        <w:t>Notified Foreign Passport Fund Registration Number</w:t>
      </w:r>
      <w:r w:rsidRPr="00CD5673">
        <w:t>.</w:t>
      </w:r>
    </w:p>
    <w:p w14:paraId="362EFCBF" w14:textId="77777777" w:rsidR="00D46430" w:rsidRPr="00CD5673" w:rsidRDefault="00D46430" w:rsidP="00D46430">
      <w:pPr>
        <w:pStyle w:val="Definition"/>
      </w:pPr>
      <w:r w:rsidRPr="00CD5673">
        <w:rPr>
          <w:b/>
          <w:i/>
          <w:color w:val="000000"/>
        </w:rPr>
        <w:t>non</w:t>
      </w:r>
      <w:r w:rsidR="00C614F1">
        <w:rPr>
          <w:b/>
          <w:i/>
          <w:color w:val="000000"/>
        </w:rPr>
        <w:noBreakHyphen/>
      </w:r>
      <w:r w:rsidRPr="00CD5673">
        <w:rPr>
          <w:b/>
          <w:i/>
          <w:color w:val="000000"/>
        </w:rPr>
        <w:t>cash payment financial product</w:t>
      </w:r>
      <w:r w:rsidRPr="00CD5673">
        <w:t xml:space="preserve"> means a financial product under section 763D of the Act, other than:</w:t>
      </w:r>
    </w:p>
    <w:p w14:paraId="43A30C0B" w14:textId="77777777" w:rsidR="00D46430" w:rsidRPr="00CD5673" w:rsidRDefault="00D46430" w:rsidP="00D46430">
      <w:pPr>
        <w:pStyle w:val="paragraph"/>
      </w:pPr>
      <w:r w:rsidRPr="00CD5673">
        <w:rPr>
          <w:color w:val="000000"/>
        </w:rPr>
        <w:tab/>
        <w:t>(a)</w:t>
      </w:r>
      <w:r w:rsidRPr="00CD5673">
        <w:rPr>
          <w:color w:val="000000"/>
        </w:rPr>
        <w:tab/>
        <w:t>a derivative; or</w:t>
      </w:r>
    </w:p>
    <w:p w14:paraId="6111E7F9" w14:textId="77777777" w:rsidR="00D46430" w:rsidRPr="00CD5673" w:rsidRDefault="00D46430" w:rsidP="00D46430">
      <w:pPr>
        <w:pStyle w:val="paragraph"/>
      </w:pPr>
      <w:r w:rsidRPr="00CD5673">
        <w:tab/>
        <w:t>(b)</w:t>
      </w:r>
      <w:r w:rsidRPr="00CD5673">
        <w:tab/>
        <w:t>a financial product under paragraph 764A(1)(k) of the Act; or</w:t>
      </w:r>
    </w:p>
    <w:p w14:paraId="06FD1D78" w14:textId="77777777" w:rsidR="00D46430" w:rsidRPr="00CD5673" w:rsidRDefault="00D46430" w:rsidP="00D46430">
      <w:pPr>
        <w:pStyle w:val="paragraph"/>
      </w:pPr>
      <w:r w:rsidRPr="00CD5673">
        <w:tab/>
        <w:t>(c)</w:t>
      </w:r>
      <w:r w:rsidRPr="00CD5673">
        <w:tab/>
        <w:t>anything that is not a financial product under section 765A of the Act.</w:t>
      </w:r>
    </w:p>
    <w:p w14:paraId="3760282F" w14:textId="77777777" w:rsidR="00D46430" w:rsidRPr="00CD5673" w:rsidRDefault="00D46430" w:rsidP="00D46430">
      <w:pPr>
        <w:pStyle w:val="Definition"/>
      </w:pPr>
      <w:r w:rsidRPr="00CD5673">
        <w:rPr>
          <w:b/>
          <w:i/>
        </w:rPr>
        <w:t>non</w:t>
      </w:r>
      <w:r w:rsidR="00C614F1">
        <w:rPr>
          <w:b/>
          <w:i/>
        </w:rPr>
        <w:noBreakHyphen/>
      </w:r>
      <w:r w:rsidRPr="00CD5673">
        <w:rPr>
          <w:b/>
          <w:i/>
        </w:rPr>
        <w:t xml:space="preserve">Division 3 securities </w:t>
      </w:r>
      <w:r w:rsidRPr="00CD5673">
        <w:t>means financial products to which Division 3 or 4 of Part 7.11 of the Act applies because of a declaration made by ASIC under paragraph 1075A(1)(b) of the Act.</w:t>
      </w:r>
    </w:p>
    <w:p w14:paraId="7EF277A0" w14:textId="77777777" w:rsidR="00D46430" w:rsidRPr="00CD5673" w:rsidRDefault="00D46430" w:rsidP="00D46430">
      <w:pPr>
        <w:pStyle w:val="Definition"/>
      </w:pPr>
      <w:r w:rsidRPr="00CD5673">
        <w:rPr>
          <w:b/>
          <w:i/>
        </w:rPr>
        <w:t>Notified Foreign Passport Fund Registration Number</w:t>
      </w:r>
      <w:r w:rsidRPr="00CD5673">
        <w:rPr>
          <w:i/>
        </w:rPr>
        <w:t xml:space="preserve"> </w:t>
      </w:r>
      <w:r w:rsidRPr="00CD5673">
        <w:t xml:space="preserve">or </w:t>
      </w:r>
      <w:r w:rsidRPr="00CD5673">
        <w:rPr>
          <w:b/>
          <w:i/>
        </w:rPr>
        <w:t>NFPFRN</w:t>
      </w:r>
      <w:r w:rsidRPr="00CD5673">
        <w:rPr>
          <w:i/>
        </w:rPr>
        <w:t xml:space="preserve">, </w:t>
      </w:r>
      <w:r w:rsidRPr="00CD5673">
        <w:t>for a notified foreign passport fund, is the unique registration code allocated to the fund by the home regulator for the fund.</w:t>
      </w:r>
    </w:p>
    <w:p w14:paraId="36E42C30" w14:textId="77777777" w:rsidR="00D46430" w:rsidRPr="00CD5673" w:rsidRDefault="00D46430" w:rsidP="00D46430">
      <w:pPr>
        <w:pStyle w:val="Definition"/>
      </w:pPr>
      <w:r w:rsidRPr="00CD5673">
        <w:rPr>
          <w:b/>
          <w:i/>
        </w:rPr>
        <w:t>old Corporations Act</w:t>
      </w:r>
      <w:r w:rsidRPr="00CD5673">
        <w:t xml:space="preserve"> means the</w:t>
      </w:r>
      <w:r w:rsidRPr="00CD5673">
        <w:rPr>
          <w:i/>
        </w:rPr>
        <w:t xml:space="preserve"> Corporations Act 2001</w:t>
      </w:r>
      <w:r w:rsidRPr="00CD5673">
        <w:t xml:space="preserve"> as in force immediately before the FSR commencement.</w:t>
      </w:r>
    </w:p>
    <w:p w14:paraId="6A7FF90A" w14:textId="77777777" w:rsidR="00D46430" w:rsidRPr="00CD5673" w:rsidRDefault="00D46430" w:rsidP="00D46430">
      <w:pPr>
        <w:pStyle w:val="Definition"/>
      </w:pPr>
      <w:r w:rsidRPr="00CD5673">
        <w:rPr>
          <w:b/>
          <w:i/>
        </w:rPr>
        <w:t>policy committee</w:t>
      </w:r>
      <w:r w:rsidRPr="00CD5673">
        <w:t xml:space="preserve"> has the same meaning as in the SIS Act.</w:t>
      </w:r>
    </w:p>
    <w:p w14:paraId="4A81D909" w14:textId="77777777" w:rsidR="00D46430" w:rsidRPr="00CD5673" w:rsidRDefault="00D46430" w:rsidP="00D46430">
      <w:pPr>
        <w:pStyle w:val="Definition"/>
      </w:pPr>
      <w:r w:rsidRPr="00CD5673">
        <w:rPr>
          <w:b/>
          <w:i/>
        </w:rPr>
        <w:t>pre</w:t>
      </w:r>
      <w:r w:rsidR="00C614F1">
        <w:rPr>
          <w:b/>
          <w:i/>
        </w:rPr>
        <w:noBreakHyphen/>
      </w:r>
      <w:r w:rsidRPr="00CD5673">
        <w:rPr>
          <w:b/>
          <w:i/>
        </w:rPr>
        <w:t>FSR securities</w:t>
      </w:r>
      <w:r w:rsidRPr="00CD5673">
        <w:t xml:space="preserve"> means securities defined in subsection 92(3) of the old Corporations Act.</w:t>
      </w:r>
    </w:p>
    <w:p w14:paraId="72701764" w14:textId="77777777" w:rsidR="00D46430" w:rsidRPr="00CD5673" w:rsidRDefault="00D46430" w:rsidP="00D46430">
      <w:pPr>
        <w:pStyle w:val="Definition"/>
      </w:pPr>
      <w:r w:rsidRPr="00CD5673">
        <w:rPr>
          <w:b/>
          <w:i/>
          <w:color w:val="000000"/>
        </w:rPr>
        <w:t>preserved benefits</w:t>
      </w:r>
      <w:r w:rsidRPr="00CD5673">
        <w:t xml:space="preserve"> means preserved benefits under:</w:t>
      </w:r>
    </w:p>
    <w:p w14:paraId="513E5176" w14:textId="77777777" w:rsidR="00D46430" w:rsidRPr="00CD5673" w:rsidRDefault="00D46430" w:rsidP="00D46430">
      <w:pPr>
        <w:pStyle w:val="paragraph"/>
      </w:pPr>
      <w:r w:rsidRPr="00CD5673">
        <w:rPr>
          <w:color w:val="000000"/>
        </w:rPr>
        <w:tab/>
        <w:t>(a)</w:t>
      </w:r>
      <w:r w:rsidRPr="00CD5673">
        <w:rPr>
          <w:color w:val="000000"/>
        </w:rPr>
        <w:tab/>
        <w:t>Subdivision 6.1.2 of the SIS Regulations; or</w:t>
      </w:r>
    </w:p>
    <w:p w14:paraId="5EC7F8B4" w14:textId="77777777" w:rsidR="00D46430" w:rsidRPr="00CD5673" w:rsidRDefault="00D46430" w:rsidP="00D46430">
      <w:pPr>
        <w:pStyle w:val="paragraph"/>
      </w:pPr>
      <w:r w:rsidRPr="00CD5673">
        <w:tab/>
        <w:t>(b)</w:t>
      </w:r>
      <w:r w:rsidRPr="00CD5673">
        <w:tab/>
        <w:t>Subdivision 4.1.2 of the RSA Regulations.</w:t>
      </w:r>
    </w:p>
    <w:p w14:paraId="389CED41" w14:textId="77777777" w:rsidR="00D46430" w:rsidRPr="00CD5673" w:rsidRDefault="00D46430" w:rsidP="00D46430">
      <w:pPr>
        <w:pStyle w:val="Definition"/>
      </w:pPr>
      <w:r w:rsidRPr="00CD5673">
        <w:rPr>
          <w:b/>
          <w:i/>
          <w:color w:val="000000"/>
        </w:rPr>
        <w:t>proper ASTC transfer</w:t>
      </w:r>
      <w:r w:rsidRPr="00CD5673">
        <w:t xml:space="preserve"> means:</w:t>
      </w:r>
    </w:p>
    <w:p w14:paraId="7746A49C" w14:textId="77777777" w:rsidR="00D46430" w:rsidRPr="00CD5673" w:rsidRDefault="00D46430" w:rsidP="00D46430">
      <w:pPr>
        <w:pStyle w:val="paragraph"/>
      </w:pPr>
      <w:r w:rsidRPr="00CD5673">
        <w:tab/>
        <w:t>(a)</w:t>
      </w:r>
      <w:r w:rsidRPr="00CD5673">
        <w:tab/>
        <w:t>an ASTC</w:t>
      </w:r>
      <w:r w:rsidR="00C614F1">
        <w:noBreakHyphen/>
      </w:r>
      <w:r w:rsidRPr="00CD5673">
        <w:t>regulated transfer of a Division 4 financial product effected:</w:t>
      </w:r>
    </w:p>
    <w:p w14:paraId="6C25F83E" w14:textId="77777777" w:rsidR="00D46430" w:rsidRPr="00CD5673" w:rsidRDefault="00D46430" w:rsidP="00D46430">
      <w:pPr>
        <w:pStyle w:val="paragraphsub"/>
      </w:pPr>
      <w:r w:rsidRPr="00CD5673">
        <w:rPr>
          <w:color w:val="000000"/>
        </w:rPr>
        <w:tab/>
        <w:t>(i)</w:t>
      </w:r>
      <w:r w:rsidRPr="00CD5673">
        <w:rPr>
          <w:color w:val="000000"/>
        </w:rPr>
        <w:tab/>
        <w:t>through the prescribed CS facility operated by the ASTC; and</w:t>
      </w:r>
    </w:p>
    <w:p w14:paraId="07B1613B" w14:textId="77777777" w:rsidR="00D46430" w:rsidRPr="00CD5673" w:rsidRDefault="00D46430" w:rsidP="00D46430">
      <w:pPr>
        <w:pStyle w:val="paragraphsub"/>
      </w:pPr>
      <w:r w:rsidRPr="00CD5673">
        <w:tab/>
        <w:t>(ii)</w:t>
      </w:r>
      <w:r w:rsidRPr="00CD5673">
        <w:tab/>
        <w:t>in accordance with the operating rules of the ASTC; and</w:t>
      </w:r>
    </w:p>
    <w:p w14:paraId="3AEBCDE7" w14:textId="77777777" w:rsidR="00D46430" w:rsidRPr="00CD5673" w:rsidRDefault="00D46430" w:rsidP="00D46430">
      <w:pPr>
        <w:pStyle w:val="paragraph"/>
      </w:pPr>
      <w:r w:rsidRPr="00CD5673">
        <w:tab/>
        <w:t>(b)</w:t>
      </w:r>
      <w:r w:rsidRPr="00CD5673">
        <w:tab/>
        <w:t>an ASTC</w:t>
      </w:r>
      <w:r w:rsidR="00C614F1">
        <w:noBreakHyphen/>
      </w:r>
      <w:r w:rsidRPr="00CD5673">
        <w:t>regulated transfer that the ASTC, in accordance with its operating rules, determines:</w:t>
      </w:r>
    </w:p>
    <w:p w14:paraId="0346FCF9" w14:textId="77777777" w:rsidR="00D46430" w:rsidRPr="00CD5673" w:rsidRDefault="00D46430" w:rsidP="00D46430">
      <w:pPr>
        <w:pStyle w:val="paragraphsub"/>
      </w:pPr>
      <w:r w:rsidRPr="00CD5673">
        <w:rPr>
          <w:color w:val="000000"/>
        </w:rPr>
        <w:tab/>
        <w:t>(i)</w:t>
      </w:r>
      <w:r w:rsidRPr="00CD5673">
        <w:rPr>
          <w:color w:val="000000"/>
        </w:rPr>
        <w:tab/>
        <w:t>to comply substantially with the applicable provisions of those operating rules; and</w:t>
      </w:r>
    </w:p>
    <w:p w14:paraId="55639F11" w14:textId="77777777" w:rsidR="00D46430" w:rsidRPr="00CD5673" w:rsidRDefault="00D46430" w:rsidP="00D46430">
      <w:pPr>
        <w:pStyle w:val="paragraphsub"/>
      </w:pPr>
      <w:r w:rsidRPr="00CD5673">
        <w:tab/>
        <w:t>(ii)</w:t>
      </w:r>
      <w:r w:rsidRPr="00CD5673">
        <w:tab/>
        <w:t>to be taken to be, and always to have been, a proper ASTC transfer.</w:t>
      </w:r>
    </w:p>
    <w:p w14:paraId="69DA3B5F" w14:textId="77777777" w:rsidR="00D46430" w:rsidRPr="00CD5673" w:rsidRDefault="00D46430" w:rsidP="00D46430">
      <w:pPr>
        <w:pStyle w:val="Definition"/>
      </w:pPr>
      <w:r w:rsidRPr="00CD5673">
        <w:rPr>
          <w:b/>
          <w:i/>
        </w:rPr>
        <w:t>public offer entity</w:t>
      </w:r>
      <w:r w:rsidRPr="00CD5673">
        <w:t xml:space="preserve"> has the same meaning as in the SIS Act.</w:t>
      </w:r>
    </w:p>
    <w:p w14:paraId="7424A771" w14:textId="77777777" w:rsidR="00D46430" w:rsidRPr="00CD5673" w:rsidRDefault="00D46430" w:rsidP="00D46430">
      <w:pPr>
        <w:pStyle w:val="Definition"/>
      </w:pPr>
      <w:r w:rsidRPr="00CD5673">
        <w:rPr>
          <w:b/>
          <w:i/>
        </w:rPr>
        <w:t>public offer superannuation fund</w:t>
      </w:r>
      <w:r w:rsidRPr="00CD5673">
        <w:t xml:space="preserve"> has the same meaning as in the SIS Act.</w:t>
      </w:r>
    </w:p>
    <w:p w14:paraId="3D388486" w14:textId="77777777" w:rsidR="00D46430" w:rsidRPr="00CD5673" w:rsidRDefault="00D46430" w:rsidP="00D46430">
      <w:pPr>
        <w:pStyle w:val="Definition"/>
      </w:pPr>
      <w:r w:rsidRPr="00CD5673">
        <w:rPr>
          <w:b/>
          <w:i/>
        </w:rPr>
        <w:lastRenderedPageBreak/>
        <w:t xml:space="preserve">qualifying gas exchange product </w:t>
      </w:r>
      <w:r w:rsidRPr="00CD5673">
        <w:t>means an arrangement for the physical delivery of natural gas or related goods or services, including pipeline capacity.</w:t>
      </w:r>
    </w:p>
    <w:p w14:paraId="3C40E6DD" w14:textId="77777777" w:rsidR="00D46430" w:rsidRPr="00CD5673" w:rsidRDefault="00D46430" w:rsidP="00D46430">
      <w:pPr>
        <w:pStyle w:val="Definition"/>
      </w:pPr>
      <w:r w:rsidRPr="00CD5673">
        <w:rPr>
          <w:b/>
          <w:i/>
        </w:rPr>
        <w:t>qualifying gas trading exchange</w:t>
      </w:r>
      <w:r w:rsidRPr="00CD5673">
        <w:t xml:space="preserve"> means a facility:</w:t>
      </w:r>
    </w:p>
    <w:p w14:paraId="20E5927D" w14:textId="77777777" w:rsidR="00D46430" w:rsidRPr="00CD5673" w:rsidRDefault="00D46430" w:rsidP="00D46430">
      <w:pPr>
        <w:pStyle w:val="paragraph"/>
      </w:pPr>
      <w:r w:rsidRPr="00CD5673">
        <w:tab/>
        <w:t>(a)</w:t>
      </w:r>
      <w:r w:rsidRPr="00CD5673">
        <w:tab/>
        <w:t xml:space="preserve">established by the Australian Energy Market Operator Limited (ACN 072 010 327) exercising its functions under subsection 91BRK(1) of the </w:t>
      </w:r>
      <w:r w:rsidRPr="00CD5673">
        <w:rPr>
          <w:rFonts w:eastAsiaTheme="minorHAnsi"/>
          <w:i/>
        </w:rPr>
        <w:t>National Gas Law</w:t>
      </w:r>
      <w:r w:rsidRPr="00CD5673">
        <w:rPr>
          <w:rFonts w:eastAsiaTheme="minorHAnsi"/>
        </w:rPr>
        <w:t xml:space="preserve"> set out in the Schedule to the</w:t>
      </w:r>
      <w:r w:rsidRPr="00CD5673">
        <w:t xml:space="preserve"> </w:t>
      </w:r>
      <w:r w:rsidRPr="00CD5673">
        <w:rPr>
          <w:i/>
        </w:rPr>
        <w:t xml:space="preserve">National Gas (South Australia) Act 2008 </w:t>
      </w:r>
      <w:r w:rsidRPr="00CD5673">
        <w:t>(SA); and</w:t>
      </w:r>
    </w:p>
    <w:p w14:paraId="223195F6" w14:textId="77777777" w:rsidR="00D46430" w:rsidRPr="00CD5673" w:rsidRDefault="00D46430" w:rsidP="00D46430">
      <w:pPr>
        <w:pStyle w:val="paragraph"/>
        <w:rPr>
          <w:rFonts w:eastAsiaTheme="minorHAnsi"/>
        </w:rPr>
      </w:pPr>
      <w:r w:rsidRPr="00CD5673">
        <w:tab/>
        <w:t>(b)</w:t>
      </w:r>
      <w:r w:rsidRPr="00CD5673">
        <w:tab/>
      </w:r>
      <w:r w:rsidRPr="00CD5673">
        <w:rPr>
          <w:rFonts w:eastAsiaTheme="minorHAnsi"/>
        </w:rPr>
        <w:t>through which persons may elect to buy and sell natural gas or related goods or services (including pipeline capacity).</w:t>
      </w:r>
    </w:p>
    <w:p w14:paraId="6352BBF5" w14:textId="77777777" w:rsidR="003C34A0" w:rsidRPr="00CD5673" w:rsidRDefault="003C34A0" w:rsidP="003C34A0">
      <w:pPr>
        <w:pStyle w:val="Definition"/>
      </w:pPr>
      <w:r w:rsidRPr="00CD5673">
        <w:rPr>
          <w:b/>
          <w:i/>
        </w:rPr>
        <w:t>quarter day</w:t>
      </w:r>
      <w:r w:rsidRPr="00CD5673">
        <w:t xml:space="preserve"> means 31 March, 30 June, 30 September or 31 December.</w:t>
      </w:r>
    </w:p>
    <w:p w14:paraId="78018BAE" w14:textId="77777777" w:rsidR="00D46430" w:rsidRPr="00CD5673" w:rsidRDefault="00D46430" w:rsidP="00D46430">
      <w:pPr>
        <w:pStyle w:val="Definition"/>
      </w:pPr>
      <w:r w:rsidRPr="00CD5673">
        <w:rPr>
          <w:b/>
          <w:i/>
        </w:rPr>
        <w:t>recipient</w:t>
      </w:r>
      <w:r w:rsidRPr="00CD5673">
        <w:t>:</w:t>
      </w:r>
    </w:p>
    <w:p w14:paraId="6E587EB4" w14:textId="77777777" w:rsidR="00D46430" w:rsidRPr="00CD5673" w:rsidRDefault="00D46430" w:rsidP="00D46430">
      <w:pPr>
        <w:pStyle w:val="paragraph"/>
      </w:pPr>
      <w:r w:rsidRPr="00CD5673">
        <w:tab/>
        <w:t>(a)</w:t>
      </w:r>
      <w:r w:rsidRPr="00CD5673">
        <w:tab/>
        <w:t>in relation to an infringement notice given under regulation 7.2A.04, has the meaning given by regulation 7.2A.03; and</w:t>
      </w:r>
    </w:p>
    <w:p w14:paraId="5401C031" w14:textId="77777777" w:rsidR="00D46430" w:rsidRPr="00CD5673" w:rsidRDefault="00D46430" w:rsidP="00D46430">
      <w:pPr>
        <w:pStyle w:val="paragraph"/>
      </w:pPr>
      <w:r w:rsidRPr="00CD5673">
        <w:tab/>
        <w:t>(b)</w:t>
      </w:r>
      <w:r w:rsidRPr="00CD5673">
        <w:tab/>
        <w:t>in relation to a client money reporting infringement notice, has the meaning given by regulation 7.8.05A; and</w:t>
      </w:r>
    </w:p>
    <w:p w14:paraId="6236FAEE" w14:textId="77777777" w:rsidR="00D46430" w:rsidRPr="00CD5673" w:rsidRDefault="00D46430" w:rsidP="00D46430">
      <w:pPr>
        <w:pStyle w:val="paragraph"/>
      </w:pPr>
      <w:r w:rsidRPr="00CD5673">
        <w:tab/>
        <w:t>(c)</w:t>
      </w:r>
      <w:r w:rsidRPr="00CD5673">
        <w:tab/>
        <w:t>in relation to an infringement notice given under regulation 7.5A.104, has the meaning given by regulation 7.5A.103.</w:t>
      </w:r>
    </w:p>
    <w:p w14:paraId="72456236" w14:textId="77777777" w:rsidR="00D46430" w:rsidRPr="00CD5673" w:rsidRDefault="00D46430" w:rsidP="00D46430">
      <w:pPr>
        <w:pStyle w:val="Definition"/>
      </w:pPr>
      <w:r w:rsidRPr="00CD5673">
        <w:rPr>
          <w:b/>
          <w:i/>
        </w:rPr>
        <w:t>registration number</w:t>
      </w:r>
      <w:r w:rsidRPr="00CD5673">
        <w:t xml:space="preserve"> means:</w:t>
      </w:r>
    </w:p>
    <w:p w14:paraId="6AD5A514" w14:textId="77777777" w:rsidR="00D46430" w:rsidRPr="00CD5673" w:rsidRDefault="00D46430" w:rsidP="00D46430">
      <w:pPr>
        <w:pStyle w:val="paragraph"/>
      </w:pPr>
      <w:r w:rsidRPr="00CD5673">
        <w:rPr>
          <w:color w:val="000000"/>
        </w:rPr>
        <w:tab/>
        <w:t>(a)</w:t>
      </w:r>
      <w:r w:rsidRPr="00CD5673">
        <w:rPr>
          <w:color w:val="000000"/>
        </w:rPr>
        <w:tab/>
        <w:t>for a company—the number allotted to the company under paragraph 118(1)(a) or 601BD(1)(a) of the Act; or</w:t>
      </w:r>
    </w:p>
    <w:p w14:paraId="212AED06" w14:textId="77777777" w:rsidR="00D46430" w:rsidRPr="00CD5673" w:rsidRDefault="00D46430" w:rsidP="00D46430">
      <w:pPr>
        <w:pStyle w:val="paragraph"/>
      </w:pPr>
      <w:r w:rsidRPr="00CD5673">
        <w:tab/>
        <w:t>(b)</w:t>
      </w:r>
      <w:r w:rsidRPr="00CD5673">
        <w:tab/>
        <w:t>for a registered body—the number allotted to it under section 601CB or 601CE of the Act; or</w:t>
      </w:r>
    </w:p>
    <w:p w14:paraId="06D3C34B" w14:textId="77777777" w:rsidR="00D46430" w:rsidRPr="00CD5673" w:rsidRDefault="00D46430" w:rsidP="00D46430">
      <w:pPr>
        <w:pStyle w:val="paragraph"/>
      </w:pPr>
      <w:r w:rsidRPr="00CD5673">
        <w:tab/>
        <w:t>(c)</w:t>
      </w:r>
      <w:r w:rsidRPr="00CD5673">
        <w:tab/>
        <w:t>for an auditor—the number allotted to a person on registration of that person as an auditor.</w:t>
      </w:r>
    </w:p>
    <w:p w14:paraId="04F7CBFF" w14:textId="77777777" w:rsidR="00D46430" w:rsidRPr="00CD5673" w:rsidRDefault="00D46430" w:rsidP="00D46430">
      <w:pPr>
        <w:pStyle w:val="Definition"/>
      </w:pPr>
      <w:r w:rsidRPr="00CD5673">
        <w:rPr>
          <w:b/>
          <w:i/>
          <w:color w:val="000000"/>
        </w:rPr>
        <w:t>restricted non</w:t>
      </w:r>
      <w:r w:rsidR="00C614F1">
        <w:rPr>
          <w:b/>
          <w:i/>
          <w:color w:val="000000"/>
        </w:rPr>
        <w:noBreakHyphen/>
      </w:r>
      <w:r w:rsidRPr="00CD5673">
        <w:rPr>
          <w:b/>
          <w:i/>
          <w:color w:val="000000"/>
        </w:rPr>
        <w:t>preserved benefits</w:t>
      </w:r>
      <w:r w:rsidRPr="00CD5673">
        <w:t xml:space="preserve"> means restricted non</w:t>
      </w:r>
      <w:r w:rsidR="00C614F1">
        <w:noBreakHyphen/>
      </w:r>
      <w:r w:rsidRPr="00CD5673">
        <w:t>preserved benefits under:</w:t>
      </w:r>
    </w:p>
    <w:p w14:paraId="3159AE82" w14:textId="77777777" w:rsidR="00D46430" w:rsidRPr="00CD5673" w:rsidRDefault="00D46430" w:rsidP="00D46430">
      <w:pPr>
        <w:pStyle w:val="paragraph"/>
      </w:pPr>
      <w:r w:rsidRPr="00CD5673">
        <w:rPr>
          <w:color w:val="000000"/>
        </w:rPr>
        <w:tab/>
        <w:t>(a)</w:t>
      </w:r>
      <w:r w:rsidRPr="00CD5673">
        <w:rPr>
          <w:color w:val="000000"/>
        </w:rPr>
        <w:tab/>
        <w:t>Subdivision 6.1.3 of the SIS Regulations; or</w:t>
      </w:r>
    </w:p>
    <w:p w14:paraId="588885E5" w14:textId="77777777" w:rsidR="00D46430" w:rsidRPr="00CD5673" w:rsidRDefault="00D46430" w:rsidP="00D46430">
      <w:pPr>
        <w:pStyle w:val="paragraph"/>
      </w:pPr>
      <w:r w:rsidRPr="00CD5673">
        <w:tab/>
        <w:t>(b)</w:t>
      </w:r>
      <w:r w:rsidRPr="00CD5673">
        <w:tab/>
        <w:t>Subdivision 4.1.3 of the RSA Regulations.</w:t>
      </w:r>
    </w:p>
    <w:p w14:paraId="088585C6" w14:textId="77777777" w:rsidR="00D46430" w:rsidRPr="00CD5673" w:rsidRDefault="00D46430" w:rsidP="00D46430">
      <w:pPr>
        <w:pStyle w:val="Definition"/>
      </w:pPr>
      <w:r w:rsidRPr="00CD5673">
        <w:rPr>
          <w:b/>
          <w:i/>
          <w:color w:val="000000"/>
        </w:rPr>
        <w:t>risk</w:t>
      </w:r>
      <w:r w:rsidR="00C614F1">
        <w:rPr>
          <w:b/>
          <w:i/>
          <w:color w:val="000000"/>
        </w:rPr>
        <w:noBreakHyphen/>
      </w:r>
      <w:r w:rsidRPr="00CD5673">
        <w:rPr>
          <w:b/>
          <w:i/>
          <w:color w:val="000000"/>
        </w:rPr>
        <w:t>based financial product</w:t>
      </w:r>
      <w:r w:rsidRPr="00CD5673">
        <w:t xml:space="preserve"> means:</w:t>
      </w:r>
    </w:p>
    <w:p w14:paraId="0569BFC5" w14:textId="77777777" w:rsidR="00E47292" w:rsidRPr="00BE1284" w:rsidRDefault="00E47292" w:rsidP="00E47292">
      <w:pPr>
        <w:pStyle w:val="paragraph"/>
      </w:pPr>
      <w:r w:rsidRPr="00BE1284">
        <w:tab/>
        <w:t>(a)</w:t>
      </w:r>
      <w:r w:rsidRPr="00BE1284">
        <w:tab/>
      </w:r>
      <w:bookmarkStart w:id="5" w:name="_Hlk145662161"/>
      <w:r w:rsidRPr="00BE1284">
        <w:t>a financial product that is a facility through which, or through the acquisition of which, a person manages financial risk</w:t>
      </w:r>
      <w:bookmarkEnd w:id="5"/>
      <w:r w:rsidRPr="00BE1284">
        <w:t>; or</w:t>
      </w:r>
    </w:p>
    <w:p w14:paraId="44EE9CF1" w14:textId="77777777" w:rsidR="00D46430" w:rsidRPr="00CD5673" w:rsidRDefault="00D46430" w:rsidP="00D46430">
      <w:pPr>
        <w:pStyle w:val="paragraph"/>
      </w:pPr>
      <w:r w:rsidRPr="00CD5673">
        <w:tab/>
        <w:t>(b)</w:t>
      </w:r>
      <w:r w:rsidRPr="00CD5673">
        <w:tab/>
        <w:t>a life risk insurance product;</w:t>
      </w:r>
    </w:p>
    <w:p w14:paraId="1107A21F" w14:textId="77777777" w:rsidR="00D46430" w:rsidRPr="00CD5673" w:rsidRDefault="00D46430" w:rsidP="00D46430">
      <w:pPr>
        <w:pStyle w:val="subsection2"/>
      </w:pPr>
      <w:r w:rsidRPr="00CD5673">
        <w:rPr>
          <w:color w:val="000000"/>
        </w:rPr>
        <w:t>but does not include any of the following:</w:t>
      </w:r>
    </w:p>
    <w:p w14:paraId="6CE32732" w14:textId="77777777" w:rsidR="00D46430" w:rsidRPr="00CD5673" w:rsidRDefault="00D46430" w:rsidP="00D46430">
      <w:pPr>
        <w:pStyle w:val="paragraph"/>
      </w:pPr>
      <w:r w:rsidRPr="00CD5673">
        <w:rPr>
          <w:color w:val="000000"/>
        </w:rPr>
        <w:tab/>
        <w:t>(c)</w:t>
      </w:r>
      <w:r w:rsidRPr="00CD5673">
        <w:rPr>
          <w:color w:val="000000"/>
        </w:rPr>
        <w:tab/>
        <w:t>a derivative;</w:t>
      </w:r>
    </w:p>
    <w:p w14:paraId="6163A23F" w14:textId="77777777" w:rsidR="00D46430" w:rsidRPr="00CD5673" w:rsidRDefault="00D46430" w:rsidP="00D46430">
      <w:pPr>
        <w:pStyle w:val="paragraph"/>
        <w:rPr>
          <w:color w:val="000000"/>
        </w:rPr>
      </w:pPr>
      <w:r w:rsidRPr="00CD5673">
        <w:rPr>
          <w:color w:val="000000"/>
        </w:rPr>
        <w:tab/>
        <w:t>(d)</w:t>
      </w:r>
      <w:r w:rsidRPr="00CD5673">
        <w:rPr>
          <w:color w:val="000000"/>
        </w:rPr>
        <w:tab/>
        <w:t>anything that is not a financial product under section 765A of the Act.</w:t>
      </w:r>
    </w:p>
    <w:p w14:paraId="4654391B" w14:textId="77777777" w:rsidR="00D46430" w:rsidRPr="00CD5673" w:rsidRDefault="00D46430" w:rsidP="00D46430">
      <w:pPr>
        <w:pStyle w:val="notetext"/>
      </w:pPr>
      <w:r w:rsidRPr="00CD5673">
        <w:rPr>
          <w:color w:val="000000"/>
        </w:rPr>
        <w:t>Note:</w:t>
      </w:r>
      <w:r w:rsidRPr="00CD5673">
        <w:rPr>
          <w:color w:val="000000"/>
        </w:rPr>
        <w:tab/>
        <w:t>In accordance with subsections 761G(5) and (7) of the Act, general insurance products are not risk</w:t>
      </w:r>
      <w:r w:rsidR="00C614F1">
        <w:rPr>
          <w:color w:val="000000"/>
        </w:rPr>
        <w:noBreakHyphen/>
      </w:r>
      <w:r w:rsidRPr="00CD5673">
        <w:rPr>
          <w:color w:val="000000"/>
        </w:rPr>
        <w:t>based financial products.</w:t>
      </w:r>
    </w:p>
    <w:p w14:paraId="281FA211" w14:textId="77777777" w:rsidR="00D46430" w:rsidRPr="00CD5673" w:rsidRDefault="00D46430" w:rsidP="00D46430">
      <w:pPr>
        <w:pStyle w:val="Definition"/>
      </w:pPr>
      <w:r w:rsidRPr="00CD5673">
        <w:rPr>
          <w:b/>
          <w:i/>
        </w:rPr>
        <w:t>RSA Act</w:t>
      </w:r>
      <w:r w:rsidRPr="00CD5673">
        <w:t xml:space="preserve"> means the </w:t>
      </w:r>
      <w:r w:rsidRPr="00CD5673">
        <w:rPr>
          <w:i/>
        </w:rPr>
        <w:t>Retirement Savings Accounts Act 1997</w:t>
      </w:r>
      <w:r w:rsidRPr="00CD5673">
        <w:t>.</w:t>
      </w:r>
    </w:p>
    <w:p w14:paraId="6099372C" w14:textId="77777777" w:rsidR="00D46430" w:rsidRPr="00CD5673" w:rsidRDefault="00D46430" w:rsidP="00D46430">
      <w:pPr>
        <w:pStyle w:val="Definition"/>
      </w:pPr>
      <w:r w:rsidRPr="00CD5673">
        <w:rPr>
          <w:b/>
          <w:i/>
        </w:rPr>
        <w:t>RSA Regulations</w:t>
      </w:r>
      <w:r w:rsidRPr="00CD5673">
        <w:t xml:space="preserve"> means the </w:t>
      </w:r>
      <w:r w:rsidRPr="00CD5673">
        <w:rPr>
          <w:i/>
        </w:rPr>
        <w:t>Retirement Savings Accounts Regulations 1997</w:t>
      </w:r>
      <w:r w:rsidRPr="00CD5673">
        <w:t>.</w:t>
      </w:r>
    </w:p>
    <w:p w14:paraId="70E67A62" w14:textId="77777777" w:rsidR="00D46430" w:rsidRPr="00CD5673" w:rsidRDefault="00D46430" w:rsidP="00D46430">
      <w:pPr>
        <w:pStyle w:val="Definition"/>
        <w:rPr>
          <w:color w:val="000000"/>
        </w:rPr>
      </w:pPr>
      <w:r w:rsidRPr="00CD5673">
        <w:rPr>
          <w:b/>
          <w:i/>
          <w:color w:val="000000"/>
        </w:rPr>
        <w:t>settlement documents</w:t>
      </w:r>
      <w:r w:rsidRPr="00CD5673">
        <w:rPr>
          <w:color w:val="000000"/>
        </w:rPr>
        <w:t>, in relation to a transaction, means:</w:t>
      </w:r>
    </w:p>
    <w:p w14:paraId="54F1F4EA" w14:textId="77777777" w:rsidR="00D46430" w:rsidRPr="00CD5673" w:rsidRDefault="00D46430" w:rsidP="00D46430">
      <w:pPr>
        <w:pStyle w:val="paragraph"/>
      </w:pPr>
      <w:r w:rsidRPr="00CD5673">
        <w:rPr>
          <w:color w:val="000000"/>
        </w:rPr>
        <w:tab/>
        <w:t>(a)</w:t>
      </w:r>
      <w:r w:rsidRPr="00CD5673">
        <w:rPr>
          <w:color w:val="000000"/>
        </w:rPr>
        <w:tab/>
        <w:t>if the agreement for the transaction has not been discharged—documents the supply of which in accordance with the agreement is sufficient to discharge the obligations of the seller under the agreement, in so far as the obligations relate to the supply of documents in connection with the transaction; or</w:t>
      </w:r>
    </w:p>
    <w:p w14:paraId="614DA3D3" w14:textId="77777777" w:rsidR="00D46430" w:rsidRPr="00CD5673" w:rsidRDefault="00D46430" w:rsidP="00D46430">
      <w:pPr>
        <w:pStyle w:val="paragraph"/>
      </w:pPr>
      <w:r w:rsidRPr="00CD5673">
        <w:tab/>
        <w:t>(b)</w:t>
      </w:r>
      <w:r w:rsidRPr="00CD5673">
        <w:tab/>
        <w:t>if the agreement for the transaction has been discharged, whether by performance or otherwise—documents the supply of which in accordance with the agreement would, if the agreement had not been discharged, be sufficient to discharge the obligations of the seller under the agreement, in so far as the obligations relate to the supply of documents in connection with the transaction.</w:t>
      </w:r>
    </w:p>
    <w:p w14:paraId="7A92C84A" w14:textId="77777777" w:rsidR="00D46430" w:rsidRPr="00CD5673" w:rsidRDefault="00D46430" w:rsidP="00D46430">
      <w:pPr>
        <w:pStyle w:val="Definition"/>
      </w:pPr>
      <w:r w:rsidRPr="00CD5673">
        <w:rPr>
          <w:b/>
          <w:i/>
        </w:rPr>
        <w:t>simple managed investment scheme</w:t>
      </w:r>
      <w:r w:rsidRPr="00CD5673">
        <w:t xml:space="preserve"> means a registered scheme (other than a passport fund) which is or was offered because it meets 1 of the following requirements:</w:t>
      </w:r>
    </w:p>
    <w:p w14:paraId="6C1ABBA3" w14:textId="77777777" w:rsidR="00D46430" w:rsidRPr="00CD5673" w:rsidRDefault="00D46430" w:rsidP="00D46430">
      <w:pPr>
        <w:pStyle w:val="paragraph"/>
      </w:pPr>
      <w:r w:rsidRPr="00CD5673">
        <w:tab/>
        <w:t>(a)</w:t>
      </w:r>
      <w:r w:rsidRPr="00CD5673">
        <w:tab/>
        <w:t>the scheme invests at least 80% of its assets in money in an account with a bank on the basis that the money is available for withdrawal:</w:t>
      </w:r>
    </w:p>
    <w:p w14:paraId="589D46B0" w14:textId="77777777" w:rsidR="00D46430" w:rsidRPr="00CD5673" w:rsidRDefault="00D46430" w:rsidP="00D46430">
      <w:pPr>
        <w:pStyle w:val="paragraphsub"/>
      </w:pPr>
      <w:r w:rsidRPr="00CD5673">
        <w:tab/>
        <w:t>(i)</w:t>
      </w:r>
      <w:r w:rsidRPr="00CD5673">
        <w:tab/>
        <w:t>immediately during the bank’s normal business hours; or</w:t>
      </w:r>
    </w:p>
    <w:p w14:paraId="24ADAC20" w14:textId="77777777" w:rsidR="00D46430" w:rsidRPr="00CD5673" w:rsidRDefault="00D46430" w:rsidP="00D46430">
      <w:pPr>
        <w:pStyle w:val="paragraphsub"/>
      </w:pPr>
      <w:r w:rsidRPr="00CD5673">
        <w:tab/>
        <w:t>(ii)</w:t>
      </w:r>
      <w:r w:rsidRPr="00CD5673">
        <w:tab/>
        <w:t>at the end of a fixed</w:t>
      </w:r>
      <w:r w:rsidR="00C614F1">
        <w:noBreakHyphen/>
      </w:r>
      <w:r w:rsidRPr="00CD5673">
        <w:t>term period that does not exceed 3 months;</w:t>
      </w:r>
    </w:p>
    <w:p w14:paraId="35B10777" w14:textId="77777777" w:rsidR="00D46430" w:rsidRPr="00CD5673" w:rsidRDefault="00D46430" w:rsidP="00D46430">
      <w:pPr>
        <w:pStyle w:val="paragraph"/>
      </w:pPr>
      <w:r w:rsidRPr="00CD5673">
        <w:lastRenderedPageBreak/>
        <w:tab/>
        <w:t>(b)</w:t>
      </w:r>
      <w:r w:rsidRPr="00CD5673">
        <w:tab/>
        <w:t>the scheme invests at least 80% of its assets in money on deposit with a bank on the basis that the money is available for withdrawal:</w:t>
      </w:r>
    </w:p>
    <w:p w14:paraId="637830C7" w14:textId="77777777" w:rsidR="00D46430" w:rsidRPr="00CD5673" w:rsidRDefault="00D46430" w:rsidP="00D46430">
      <w:pPr>
        <w:pStyle w:val="paragraphsub"/>
      </w:pPr>
      <w:r w:rsidRPr="00CD5673">
        <w:tab/>
        <w:t>(i)</w:t>
      </w:r>
      <w:r w:rsidRPr="00CD5673">
        <w:tab/>
        <w:t>immediately during the bank’s normal business hours; or</w:t>
      </w:r>
    </w:p>
    <w:p w14:paraId="14F42640" w14:textId="77777777" w:rsidR="00D46430" w:rsidRPr="00CD5673" w:rsidRDefault="00D46430" w:rsidP="00D46430">
      <w:pPr>
        <w:pStyle w:val="paragraphsub"/>
      </w:pPr>
      <w:r w:rsidRPr="00CD5673">
        <w:tab/>
        <w:t>(ii)</w:t>
      </w:r>
      <w:r w:rsidRPr="00CD5673">
        <w:tab/>
        <w:t>at the end of a fixed</w:t>
      </w:r>
      <w:r w:rsidR="00C614F1">
        <w:noBreakHyphen/>
      </w:r>
      <w:r w:rsidRPr="00CD5673">
        <w:t>term period that does not exceed 3 months;</w:t>
      </w:r>
    </w:p>
    <w:p w14:paraId="756C2490" w14:textId="77777777" w:rsidR="00D46430" w:rsidRPr="00CD5673" w:rsidRDefault="00D46430" w:rsidP="00D46430">
      <w:pPr>
        <w:pStyle w:val="paragraph"/>
      </w:pPr>
      <w:r w:rsidRPr="00CD5673">
        <w:tab/>
        <w:t>(c)</w:t>
      </w:r>
      <w:r w:rsidRPr="00CD5673">
        <w:tab/>
        <w:t>the scheme invests at least 80% of its assets under 1 or more arrangements by which the responsible entity of the scheme can reasonably expect to realise the investment, at the market value of the assets, within 10 days.</w:t>
      </w:r>
    </w:p>
    <w:p w14:paraId="50C394CF" w14:textId="77777777" w:rsidR="00D46430" w:rsidRPr="00CD5673" w:rsidRDefault="00D46430" w:rsidP="00D46430">
      <w:pPr>
        <w:pStyle w:val="Definition"/>
      </w:pPr>
      <w:r w:rsidRPr="00CD5673">
        <w:rPr>
          <w:b/>
          <w:i/>
        </w:rPr>
        <w:t>simple sub</w:t>
      </w:r>
      <w:r w:rsidR="00C614F1">
        <w:rPr>
          <w:b/>
          <w:i/>
        </w:rPr>
        <w:noBreakHyphen/>
      </w:r>
      <w:r w:rsidRPr="00CD5673">
        <w:rPr>
          <w:b/>
          <w:i/>
        </w:rPr>
        <w:t>fund product</w:t>
      </w:r>
      <w:r w:rsidRPr="00CD5673">
        <w:t xml:space="preserve"> means a security in a retail CCIV that is, or was, offered because the security is referable to a sub</w:t>
      </w:r>
      <w:r w:rsidR="00C614F1">
        <w:noBreakHyphen/>
      </w:r>
      <w:r w:rsidRPr="00CD5673">
        <w:t>fund of the CCIV (other than a passport fund) that meets one of the following requirements:</w:t>
      </w:r>
    </w:p>
    <w:p w14:paraId="7A30A3A2" w14:textId="77777777" w:rsidR="00D46430" w:rsidRPr="00CD5673" w:rsidRDefault="00D46430" w:rsidP="00D46430">
      <w:pPr>
        <w:pStyle w:val="paragraph"/>
      </w:pPr>
      <w:r w:rsidRPr="00CD5673">
        <w:tab/>
        <w:t>(a)</w:t>
      </w:r>
      <w:r w:rsidRPr="00CD5673">
        <w:tab/>
        <w:t>the CCIV, in respect of the sub</w:t>
      </w:r>
      <w:r w:rsidR="00C614F1">
        <w:noBreakHyphen/>
      </w:r>
      <w:r w:rsidRPr="00CD5673">
        <w:t>fund, invests at least 80% of the assets of the sub</w:t>
      </w:r>
      <w:r w:rsidR="00C614F1">
        <w:noBreakHyphen/>
      </w:r>
      <w:r w:rsidRPr="00CD5673">
        <w:t>fund in money in an account with a bank on the basis that the money is available for withdrawal:</w:t>
      </w:r>
    </w:p>
    <w:p w14:paraId="37028745" w14:textId="77777777" w:rsidR="00D46430" w:rsidRPr="00CD5673" w:rsidRDefault="00D46430" w:rsidP="00D46430">
      <w:pPr>
        <w:pStyle w:val="paragraphsub"/>
      </w:pPr>
      <w:r w:rsidRPr="00CD5673">
        <w:tab/>
        <w:t>(i)</w:t>
      </w:r>
      <w:r w:rsidRPr="00CD5673">
        <w:tab/>
        <w:t>immediately during the bank’s normal business hours; or</w:t>
      </w:r>
    </w:p>
    <w:p w14:paraId="770C40FF" w14:textId="77777777" w:rsidR="00D46430" w:rsidRPr="00CD5673" w:rsidRDefault="00D46430" w:rsidP="00D46430">
      <w:pPr>
        <w:pStyle w:val="paragraphsub"/>
      </w:pPr>
      <w:r w:rsidRPr="00CD5673">
        <w:tab/>
        <w:t>(ii)</w:t>
      </w:r>
      <w:r w:rsidRPr="00CD5673">
        <w:tab/>
        <w:t>at the end of a fixed</w:t>
      </w:r>
      <w:r w:rsidR="00C614F1">
        <w:noBreakHyphen/>
      </w:r>
      <w:r w:rsidRPr="00CD5673">
        <w:t>term period that does not exceed 3 months;</w:t>
      </w:r>
    </w:p>
    <w:p w14:paraId="2C267C29" w14:textId="77777777" w:rsidR="00D46430" w:rsidRPr="00CD5673" w:rsidRDefault="00D46430" w:rsidP="00D46430">
      <w:pPr>
        <w:pStyle w:val="paragraph"/>
      </w:pPr>
      <w:r w:rsidRPr="00CD5673">
        <w:tab/>
        <w:t>(b)</w:t>
      </w:r>
      <w:r w:rsidRPr="00CD5673">
        <w:tab/>
        <w:t>the CCIV, in respect of the sub</w:t>
      </w:r>
      <w:r w:rsidR="00C614F1">
        <w:noBreakHyphen/>
      </w:r>
      <w:r w:rsidRPr="00CD5673">
        <w:t>fund, invests at least 80% of the assets of the sub</w:t>
      </w:r>
      <w:r w:rsidR="00C614F1">
        <w:noBreakHyphen/>
      </w:r>
      <w:r w:rsidRPr="00CD5673">
        <w:t>fund in money on deposit with a bank on the basis that the money is available for withdrawal:</w:t>
      </w:r>
    </w:p>
    <w:p w14:paraId="5B75FEBE" w14:textId="77777777" w:rsidR="00D46430" w:rsidRPr="00CD5673" w:rsidRDefault="00D46430" w:rsidP="00D46430">
      <w:pPr>
        <w:pStyle w:val="paragraphsub"/>
      </w:pPr>
      <w:r w:rsidRPr="00CD5673">
        <w:tab/>
        <w:t>(i)</w:t>
      </w:r>
      <w:r w:rsidRPr="00CD5673">
        <w:tab/>
        <w:t>immediately during the bank’s normal business hours; or</w:t>
      </w:r>
    </w:p>
    <w:p w14:paraId="58BAB4A9" w14:textId="77777777" w:rsidR="00D46430" w:rsidRPr="00CD5673" w:rsidRDefault="00D46430" w:rsidP="00D46430">
      <w:pPr>
        <w:pStyle w:val="paragraphsub"/>
      </w:pPr>
      <w:r w:rsidRPr="00CD5673">
        <w:tab/>
        <w:t>(ii)</w:t>
      </w:r>
      <w:r w:rsidRPr="00CD5673">
        <w:tab/>
        <w:t>at the end of a fixed</w:t>
      </w:r>
      <w:r w:rsidR="00C614F1">
        <w:noBreakHyphen/>
      </w:r>
      <w:r w:rsidRPr="00CD5673">
        <w:t>term period that does not exceed 3 months;</w:t>
      </w:r>
    </w:p>
    <w:p w14:paraId="0DB197FB" w14:textId="77777777" w:rsidR="00D46430" w:rsidRPr="00CD5673" w:rsidRDefault="00D46430" w:rsidP="00D46430">
      <w:pPr>
        <w:pStyle w:val="paragraph"/>
      </w:pPr>
      <w:r w:rsidRPr="00CD5673">
        <w:tab/>
        <w:t>(c)</w:t>
      </w:r>
      <w:r w:rsidRPr="00CD5673">
        <w:tab/>
        <w:t>the CCIV, in respect of the sub</w:t>
      </w:r>
      <w:r w:rsidR="00C614F1">
        <w:noBreakHyphen/>
      </w:r>
      <w:r w:rsidRPr="00CD5673">
        <w:t>fund, invests at least 80% of the assets of the sub</w:t>
      </w:r>
      <w:r w:rsidR="00C614F1">
        <w:noBreakHyphen/>
      </w:r>
      <w:r w:rsidRPr="00CD5673">
        <w:t>fund under one or more arrangements by which the corporate director of the CCIV can reasonably expect to realise the investment, at the market value of the assets, within 10 days.</w:t>
      </w:r>
    </w:p>
    <w:p w14:paraId="712030D4" w14:textId="77777777" w:rsidR="00D46430" w:rsidRPr="00CD5673" w:rsidRDefault="00D46430" w:rsidP="00D46430">
      <w:pPr>
        <w:pStyle w:val="Definition"/>
      </w:pPr>
      <w:r w:rsidRPr="00CD5673">
        <w:rPr>
          <w:b/>
          <w:i/>
        </w:rPr>
        <w:t>SIS Act</w:t>
      </w:r>
      <w:r w:rsidRPr="00CD5673">
        <w:t xml:space="preserve"> means the </w:t>
      </w:r>
      <w:r w:rsidRPr="00CD5673">
        <w:rPr>
          <w:i/>
        </w:rPr>
        <w:t>Superannuation Industry (Supervision) Act 1993</w:t>
      </w:r>
      <w:r w:rsidRPr="00CD5673">
        <w:t>.</w:t>
      </w:r>
    </w:p>
    <w:p w14:paraId="7AFE1B24" w14:textId="77777777" w:rsidR="00D46430" w:rsidRPr="00CD5673" w:rsidRDefault="00D46430" w:rsidP="00D46430">
      <w:pPr>
        <w:pStyle w:val="Definition"/>
      </w:pPr>
      <w:r w:rsidRPr="00CD5673">
        <w:rPr>
          <w:b/>
          <w:i/>
        </w:rPr>
        <w:t>SIS Regulations</w:t>
      </w:r>
      <w:r w:rsidRPr="00CD5673">
        <w:t xml:space="preserve"> means the </w:t>
      </w:r>
      <w:r w:rsidRPr="00CD5673">
        <w:rPr>
          <w:i/>
        </w:rPr>
        <w:t>Superannuation Industry (Supervision) Regulations 1994</w:t>
      </w:r>
      <w:r w:rsidRPr="00CD5673">
        <w:t>.</w:t>
      </w:r>
    </w:p>
    <w:p w14:paraId="0164241A" w14:textId="77777777" w:rsidR="00D46430" w:rsidRPr="00CD5673" w:rsidRDefault="00D46430" w:rsidP="00D46430">
      <w:pPr>
        <w:pStyle w:val="Definition"/>
      </w:pPr>
      <w:r w:rsidRPr="00CD5673">
        <w:rPr>
          <w:b/>
          <w:i/>
        </w:rPr>
        <w:t>sub</w:t>
      </w:r>
      <w:r w:rsidR="00C614F1">
        <w:rPr>
          <w:b/>
          <w:i/>
        </w:rPr>
        <w:noBreakHyphen/>
      </w:r>
      <w:r w:rsidRPr="00CD5673">
        <w:rPr>
          <w:b/>
          <w:i/>
        </w:rPr>
        <w:t>plan</w:t>
      </w:r>
      <w:r w:rsidRPr="00CD5673">
        <w:t>, in relation to a regulated superannuation fund, means a segment of the fund comprising a member or members of the fund, being a sub</w:t>
      </w:r>
      <w:r w:rsidR="00C614F1">
        <w:noBreakHyphen/>
      </w:r>
      <w:r w:rsidRPr="00CD5673">
        <w:t>plan that the trustee determines should be made.</w:t>
      </w:r>
    </w:p>
    <w:p w14:paraId="79C99BD6" w14:textId="77777777" w:rsidR="00D46430" w:rsidRPr="00CD5673" w:rsidRDefault="00D46430" w:rsidP="00D46430">
      <w:pPr>
        <w:pStyle w:val="Definition"/>
      </w:pPr>
      <w:r w:rsidRPr="00CD5673">
        <w:rPr>
          <w:b/>
          <w:i/>
        </w:rPr>
        <w:t>successor fund</w:t>
      </w:r>
      <w:r w:rsidRPr="00CD5673">
        <w:t xml:space="preserve"> has the same meaning as in the SIS Regulations.</w:t>
      </w:r>
    </w:p>
    <w:p w14:paraId="466C48E5" w14:textId="77777777" w:rsidR="00D46430" w:rsidRPr="00CD5673" w:rsidRDefault="00D46430" w:rsidP="00D46430">
      <w:pPr>
        <w:pStyle w:val="Definition"/>
      </w:pPr>
      <w:r w:rsidRPr="00CD5673">
        <w:rPr>
          <w:b/>
          <w:i/>
        </w:rPr>
        <w:t>superannuation interest</w:t>
      </w:r>
      <w:r w:rsidRPr="00CD5673">
        <w:t xml:space="preserve"> has the same meaning as in the SIS Act.</w:t>
      </w:r>
    </w:p>
    <w:p w14:paraId="43354AA3" w14:textId="77777777" w:rsidR="00D46430" w:rsidRPr="00CD5673" w:rsidRDefault="00D46430" w:rsidP="00D46430">
      <w:pPr>
        <w:pStyle w:val="Definition"/>
      </w:pPr>
      <w:r w:rsidRPr="00CD5673">
        <w:rPr>
          <w:b/>
          <w:i/>
        </w:rPr>
        <w:t xml:space="preserve">superannuation lump sum </w:t>
      </w:r>
      <w:r w:rsidRPr="00CD5673">
        <w:t>has the meaning given by subsection 995</w:t>
      </w:r>
      <w:r w:rsidR="00C614F1">
        <w:noBreakHyphen/>
      </w:r>
      <w:r w:rsidRPr="00CD5673">
        <w:t xml:space="preserve">1(1) of the </w:t>
      </w:r>
      <w:r w:rsidRPr="00CD5673">
        <w:rPr>
          <w:i/>
        </w:rPr>
        <w:t>Income Tax Assessment Act 1997</w:t>
      </w:r>
      <w:r w:rsidRPr="00CD5673">
        <w:t>.</w:t>
      </w:r>
    </w:p>
    <w:p w14:paraId="6E7D3A0F" w14:textId="77777777" w:rsidR="00D46430" w:rsidRPr="00CD5673" w:rsidRDefault="00D46430" w:rsidP="00D46430">
      <w:pPr>
        <w:pStyle w:val="Definition"/>
      </w:pPr>
      <w:r w:rsidRPr="00CD5673">
        <w:rPr>
          <w:b/>
          <w:i/>
        </w:rPr>
        <w:t xml:space="preserve">superannuation scheme </w:t>
      </w:r>
      <w:r w:rsidRPr="00CD5673">
        <w:t>means a complying superannuation fund within the meaning of subsection 995</w:t>
      </w:r>
      <w:r w:rsidR="00C614F1">
        <w:noBreakHyphen/>
      </w:r>
      <w:r w:rsidRPr="00CD5673">
        <w:t xml:space="preserve">1(1) of the </w:t>
      </w:r>
      <w:r w:rsidRPr="00CD5673">
        <w:rPr>
          <w:i/>
        </w:rPr>
        <w:t>Income Tax Assessment Act 1997</w:t>
      </w:r>
      <w:r w:rsidRPr="00CD5673">
        <w:t>.</w:t>
      </w:r>
    </w:p>
    <w:p w14:paraId="55295266" w14:textId="77777777" w:rsidR="00D46430" w:rsidRPr="00CD5673" w:rsidRDefault="00D46430" w:rsidP="00D46430">
      <w:pPr>
        <w:pStyle w:val="Definition"/>
      </w:pPr>
      <w:r w:rsidRPr="00CD5673">
        <w:rPr>
          <w:b/>
          <w:i/>
          <w:color w:val="000000"/>
        </w:rPr>
        <w:t>superannuation</w:t>
      </w:r>
      <w:r w:rsidR="00C614F1">
        <w:rPr>
          <w:b/>
          <w:i/>
          <w:color w:val="000000"/>
        </w:rPr>
        <w:noBreakHyphen/>
      </w:r>
      <w:r w:rsidRPr="00CD5673">
        <w:rPr>
          <w:b/>
          <w:i/>
          <w:color w:val="000000"/>
        </w:rPr>
        <w:t>sourced money</w:t>
      </w:r>
      <w:r w:rsidRPr="00CD5673">
        <w:t xml:space="preserve"> means money in relation to which:</w:t>
      </w:r>
    </w:p>
    <w:p w14:paraId="2D4B041F" w14:textId="77777777" w:rsidR="00D46430" w:rsidRPr="00CD5673" w:rsidRDefault="00D46430" w:rsidP="00D46430">
      <w:pPr>
        <w:pStyle w:val="paragraph"/>
      </w:pPr>
      <w:r w:rsidRPr="00CD5673">
        <w:tab/>
        <w:t>(a)</w:t>
      </w:r>
      <w:r w:rsidRPr="00CD5673">
        <w:tab/>
        <w:t>the provider of a financial service knows that the money:</w:t>
      </w:r>
    </w:p>
    <w:p w14:paraId="31E9F6C6" w14:textId="77777777" w:rsidR="00D46430" w:rsidRPr="00CD5673" w:rsidRDefault="00D46430" w:rsidP="00D46430">
      <w:pPr>
        <w:pStyle w:val="paragraphsub"/>
      </w:pPr>
      <w:r w:rsidRPr="00CD5673">
        <w:rPr>
          <w:color w:val="000000"/>
        </w:rPr>
        <w:tab/>
        <w:t>(i)</w:t>
      </w:r>
      <w:r w:rsidRPr="00CD5673">
        <w:rPr>
          <w:color w:val="000000"/>
        </w:rPr>
        <w:tab/>
        <w:t xml:space="preserve">will be paid to a person as </w:t>
      </w:r>
      <w:r w:rsidRPr="00CD5673">
        <w:t xml:space="preserve">a superannuation lump sum </w:t>
      </w:r>
      <w:r w:rsidRPr="00CD5673">
        <w:rPr>
          <w:color w:val="000000"/>
        </w:rPr>
        <w:t>by the trustee of a regulated superannuation fund; or</w:t>
      </w:r>
    </w:p>
    <w:p w14:paraId="77ACD7C7" w14:textId="77777777" w:rsidR="00D46430" w:rsidRPr="00CD5673" w:rsidRDefault="00D46430" w:rsidP="00D46430">
      <w:pPr>
        <w:pStyle w:val="paragraphsub"/>
      </w:pPr>
      <w:r w:rsidRPr="00CD5673">
        <w:tab/>
        <w:t>(ii)</w:t>
      </w:r>
      <w:r w:rsidRPr="00CD5673">
        <w:tab/>
        <w:t>has been paid as an eligible termination payment (within the meaning of these Regulations as in force immediately before 1 July 2007) or as a superannuation lump sum at any time during the previous 6 months; or</w:t>
      </w:r>
    </w:p>
    <w:p w14:paraId="3CDEE2EE" w14:textId="77777777" w:rsidR="00D46430" w:rsidRPr="00CD5673" w:rsidRDefault="00D46430" w:rsidP="00D46430">
      <w:pPr>
        <w:pStyle w:val="paragraph"/>
      </w:pPr>
      <w:r w:rsidRPr="00CD5673">
        <w:rPr>
          <w:color w:val="000000"/>
        </w:rPr>
        <w:tab/>
        <w:t>(b)</w:t>
      </w:r>
      <w:r w:rsidRPr="00CD5673">
        <w:rPr>
          <w:color w:val="000000"/>
        </w:rPr>
        <w:tab/>
        <w:t>the provider of the financial service ought reasonably to know that fact.</w:t>
      </w:r>
    </w:p>
    <w:p w14:paraId="4DB4A531" w14:textId="77777777" w:rsidR="00D46430" w:rsidRPr="00CD5673" w:rsidRDefault="00D46430" w:rsidP="00D46430">
      <w:pPr>
        <w:pStyle w:val="Definition"/>
      </w:pPr>
      <w:r w:rsidRPr="00CD5673">
        <w:rPr>
          <w:b/>
          <w:i/>
          <w:color w:val="000000"/>
        </w:rPr>
        <w:t>unrestricted non</w:t>
      </w:r>
      <w:r w:rsidR="00C614F1">
        <w:rPr>
          <w:b/>
          <w:i/>
          <w:color w:val="000000"/>
        </w:rPr>
        <w:noBreakHyphen/>
      </w:r>
      <w:r w:rsidRPr="00CD5673">
        <w:rPr>
          <w:b/>
          <w:i/>
          <w:color w:val="000000"/>
        </w:rPr>
        <w:t>preserved benefits</w:t>
      </w:r>
      <w:r w:rsidRPr="00CD5673">
        <w:t xml:space="preserve"> means unrestricted non</w:t>
      </w:r>
      <w:r w:rsidR="00C614F1">
        <w:noBreakHyphen/>
      </w:r>
      <w:r w:rsidRPr="00CD5673">
        <w:t>preserved benefits under:</w:t>
      </w:r>
    </w:p>
    <w:p w14:paraId="263235C0" w14:textId="77777777" w:rsidR="00D46430" w:rsidRPr="00CD5673" w:rsidRDefault="00D46430" w:rsidP="00D46430">
      <w:pPr>
        <w:pStyle w:val="paragraph"/>
      </w:pPr>
      <w:r w:rsidRPr="00CD5673">
        <w:rPr>
          <w:color w:val="000000"/>
        </w:rPr>
        <w:tab/>
        <w:t>(a)</w:t>
      </w:r>
      <w:r w:rsidRPr="00CD5673">
        <w:rPr>
          <w:color w:val="000000"/>
        </w:rPr>
        <w:tab/>
        <w:t>Subdivision 6.1.4 of the SIS Regulations; or</w:t>
      </w:r>
    </w:p>
    <w:p w14:paraId="6F44BE45" w14:textId="77777777" w:rsidR="00D46430" w:rsidRPr="00CD5673" w:rsidRDefault="00D46430" w:rsidP="00D46430">
      <w:pPr>
        <w:pStyle w:val="paragraph"/>
      </w:pPr>
      <w:r w:rsidRPr="00CD5673">
        <w:tab/>
        <w:t>(b)</w:t>
      </w:r>
      <w:r w:rsidRPr="00CD5673">
        <w:tab/>
        <w:t>Subdivision 4.1.4 of the RSA Regulations.</w:t>
      </w:r>
    </w:p>
    <w:p w14:paraId="3B444DC2" w14:textId="77777777" w:rsidR="00E47292" w:rsidRPr="00BE1284" w:rsidRDefault="00E47292" w:rsidP="00E47292">
      <w:pPr>
        <w:pStyle w:val="Definition"/>
      </w:pPr>
      <w:bookmarkStart w:id="6" w:name="_Hlk145662188"/>
      <w:r w:rsidRPr="00BE1284">
        <w:rPr>
          <w:b/>
          <w:i/>
        </w:rPr>
        <w:t>warrant</w:t>
      </w:r>
      <w:r w:rsidRPr="00BE1284">
        <w:t xml:space="preserve"> means:</w:t>
      </w:r>
    </w:p>
    <w:p w14:paraId="4667EC82" w14:textId="77777777" w:rsidR="00E47292" w:rsidRPr="00BE1284" w:rsidRDefault="00E47292" w:rsidP="00E47292">
      <w:pPr>
        <w:pStyle w:val="paragraph"/>
      </w:pPr>
      <w:r w:rsidRPr="00BE1284">
        <w:tab/>
        <w:t>(a)</w:t>
      </w:r>
      <w:r w:rsidRPr="00BE1284">
        <w:tab/>
        <w:t>a derivative that is transferable; or</w:t>
      </w:r>
    </w:p>
    <w:p w14:paraId="1BE919AF" w14:textId="77777777" w:rsidR="00E47292" w:rsidRPr="00BE1284" w:rsidRDefault="00E47292" w:rsidP="00E47292">
      <w:pPr>
        <w:pStyle w:val="paragraph"/>
      </w:pPr>
      <w:r w:rsidRPr="00BE1284">
        <w:tab/>
        <w:t>(b)</w:t>
      </w:r>
      <w:r w:rsidRPr="00BE1284">
        <w:tab/>
        <w:t>a financial product that is transferable and that would, apart from the effect of paragraph 761D(3)(c) of the Act, be a derivative, and is excluded by that paragraph only because it is:</w:t>
      </w:r>
    </w:p>
    <w:p w14:paraId="588B1BF9" w14:textId="77777777" w:rsidR="00E47292" w:rsidRPr="00BE1284" w:rsidRDefault="00E47292" w:rsidP="00E47292">
      <w:pPr>
        <w:pStyle w:val="paragraphsub"/>
      </w:pPr>
      <w:r w:rsidRPr="00BE1284">
        <w:tab/>
        <w:t>(i)</w:t>
      </w:r>
      <w:r w:rsidRPr="00BE1284">
        <w:tab/>
        <w:t xml:space="preserve">a security mentioned in </w:t>
      </w:r>
      <w:r>
        <w:t>paragraph 9</w:t>
      </w:r>
      <w:r w:rsidRPr="00BE1284">
        <w:t>2(5)(c) of the Act; or</w:t>
      </w:r>
    </w:p>
    <w:p w14:paraId="6BBD11A5" w14:textId="77777777" w:rsidR="00E47292" w:rsidRPr="00BE1284" w:rsidRDefault="00E47292" w:rsidP="00E47292">
      <w:pPr>
        <w:pStyle w:val="paragraphsub"/>
      </w:pPr>
      <w:r w:rsidRPr="00BE1284">
        <w:tab/>
        <w:t>(ii)</w:t>
      </w:r>
      <w:r w:rsidRPr="00BE1284">
        <w:tab/>
        <w:t>a legal or equitable right or interest mentioned in subparagraph 764A(1)(b)(ii) of the Act; or</w:t>
      </w:r>
    </w:p>
    <w:p w14:paraId="4F5AE040" w14:textId="77777777" w:rsidR="00E47292" w:rsidRPr="00BE1284" w:rsidRDefault="00E47292" w:rsidP="00E47292">
      <w:pPr>
        <w:pStyle w:val="paragraphsub"/>
      </w:pPr>
      <w:r w:rsidRPr="00BE1284">
        <w:tab/>
        <w:t>(iii)</w:t>
      </w:r>
      <w:r w:rsidRPr="00BE1284">
        <w:tab/>
        <w:t>a legal or equitable right or interest mentioned in subparagraph 764A(1)(ba)(ii) of the Act; or</w:t>
      </w:r>
    </w:p>
    <w:p w14:paraId="6C59D415" w14:textId="77777777" w:rsidR="00E47292" w:rsidRPr="00BE1284" w:rsidRDefault="00E47292" w:rsidP="00E47292">
      <w:pPr>
        <w:pStyle w:val="paragraphsub"/>
      </w:pPr>
      <w:r w:rsidRPr="00BE1284">
        <w:tab/>
        <w:t>(iv)</w:t>
      </w:r>
      <w:r w:rsidRPr="00BE1284">
        <w:tab/>
        <w:t>a legal or equitable right or interest mentioned in subparagraph 764A(1)(bb)(ii) of the Act.</w:t>
      </w:r>
    </w:p>
    <w:bookmarkEnd w:id="6"/>
    <w:p w14:paraId="4D2A2BDB" w14:textId="77777777" w:rsidR="00D46430" w:rsidRPr="00CD5673" w:rsidRDefault="00D46430" w:rsidP="00D46430">
      <w:pPr>
        <w:pStyle w:val="subsection"/>
      </w:pPr>
      <w:r w:rsidRPr="00CD5673">
        <w:rPr>
          <w:color w:val="000000"/>
        </w:rPr>
        <w:lastRenderedPageBreak/>
        <w:tab/>
        <w:t>(2)</w:t>
      </w:r>
      <w:r w:rsidRPr="00CD5673">
        <w:rPr>
          <w:color w:val="000000"/>
        </w:rPr>
        <w:tab/>
        <w:t>In these Regulations, a reference to a form by number is a reference to the form so numbered in Schedule 2.</w:t>
      </w:r>
    </w:p>
    <w:p w14:paraId="65E13EB5" w14:textId="77777777" w:rsidR="00E47292" w:rsidRPr="00BE1284" w:rsidRDefault="00E47292" w:rsidP="00E47292">
      <w:pPr>
        <w:pStyle w:val="ActHead5"/>
      </w:pPr>
      <w:bookmarkStart w:id="7" w:name="_Hlk151372036"/>
      <w:bookmarkStart w:id="8" w:name="_Toc158711620"/>
      <w:r w:rsidRPr="00C614F1">
        <w:rPr>
          <w:rStyle w:val="CharSectno"/>
        </w:rPr>
        <w:t>1.0.02AA</w:t>
      </w:r>
      <w:r w:rsidRPr="00BE1284">
        <w:t xml:space="preserve">  Meaning of </w:t>
      </w:r>
      <w:r w:rsidRPr="00BE1284">
        <w:rPr>
          <w:i/>
        </w:rPr>
        <w:t>basic deposit product—</w:t>
      </w:r>
      <w:r w:rsidRPr="00BE1284">
        <w:t>prescription of</w:t>
      </w:r>
      <w:r w:rsidRPr="00BE1284">
        <w:rPr>
          <w:i/>
        </w:rPr>
        <w:t xml:space="preserve"> </w:t>
      </w:r>
      <w:r w:rsidRPr="00BE1284">
        <w:t>prior notice requirement</w:t>
      </w:r>
      <w:bookmarkEnd w:id="8"/>
    </w:p>
    <w:p w14:paraId="0D2F90E8" w14:textId="77777777" w:rsidR="00E47292" w:rsidRDefault="00E47292" w:rsidP="00E47292">
      <w:pPr>
        <w:pStyle w:val="subsection"/>
      </w:pPr>
      <w:r w:rsidRPr="00BE1284">
        <w:tab/>
        <w:t>(1)</w:t>
      </w:r>
      <w:r w:rsidRPr="00BE1284">
        <w:tab/>
      </w:r>
      <w:r>
        <w:t>This regulation is made f</w:t>
      </w:r>
      <w:r w:rsidRPr="00BE1284">
        <w:t xml:space="preserve">or the purposes of </w:t>
      </w:r>
      <w:r>
        <w:t>subparagraph (</w:t>
      </w:r>
      <w:r w:rsidRPr="00BE1284">
        <w:t xml:space="preserve">d)(ii) of the definition of </w:t>
      </w:r>
      <w:r w:rsidRPr="00BE1284">
        <w:rPr>
          <w:b/>
          <w:i/>
        </w:rPr>
        <w:t>basic deposit product</w:t>
      </w:r>
      <w:r w:rsidRPr="00BE1284">
        <w:rPr>
          <w:i/>
        </w:rPr>
        <w:t xml:space="preserve"> </w:t>
      </w:r>
      <w:r w:rsidRPr="00BE1284">
        <w:t xml:space="preserve">in </w:t>
      </w:r>
      <w:r>
        <w:t>section 9</w:t>
      </w:r>
      <w:r w:rsidRPr="00BE1284">
        <w:t xml:space="preserve"> of the Act</w:t>
      </w:r>
      <w:r>
        <w:t>.</w:t>
      </w:r>
    </w:p>
    <w:p w14:paraId="74D6BE03" w14:textId="77777777" w:rsidR="00E47292" w:rsidRPr="00BE1284" w:rsidRDefault="00E47292" w:rsidP="00E47292">
      <w:pPr>
        <w:pStyle w:val="subsection"/>
      </w:pPr>
      <w:r>
        <w:tab/>
        <w:t>(2)</w:t>
      </w:r>
      <w:r>
        <w:tab/>
        <w:t>T</w:t>
      </w:r>
      <w:r w:rsidRPr="00BE1284">
        <w:t>he prior notice requirement for an ADI included in the class of ADIs specified in subregulation (</w:t>
      </w:r>
      <w:r>
        <w:t>3</w:t>
      </w:r>
      <w:r w:rsidRPr="00BE1284">
        <w:t>) is a period of not more than 7 days before a withdrawal or transfer of funds from a facility made available by the ADI.</w:t>
      </w:r>
    </w:p>
    <w:p w14:paraId="6D447FF5" w14:textId="77777777" w:rsidR="00E47292" w:rsidRPr="00BE1284" w:rsidRDefault="00E47292" w:rsidP="00E47292">
      <w:pPr>
        <w:pStyle w:val="subsection"/>
      </w:pPr>
      <w:r w:rsidRPr="00BE1284">
        <w:tab/>
        <w:t>(</w:t>
      </w:r>
      <w:r>
        <w:t>3</w:t>
      </w:r>
      <w:r w:rsidRPr="00BE1284">
        <w:t>)</w:t>
      </w:r>
      <w:r w:rsidRPr="00BE1284">
        <w:tab/>
        <w:t>Th</w:t>
      </w:r>
      <w:r>
        <w:t>e class of ADIs is</w:t>
      </w:r>
      <w:r w:rsidRPr="00BE1284">
        <w:t xml:space="preserve"> ADIs entitled under the </w:t>
      </w:r>
      <w:r w:rsidRPr="00BE1284">
        <w:rPr>
          <w:i/>
        </w:rPr>
        <w:t>Banking Act 1959</w:t>
      </w:r>
      <w:r w:rsidRPr="00BE1284">
        <w:t xml:space="preserve"> to use any of the following expressions in relation to their financial business:</w:t>
      </w:r>
    </w:p>
    <w:p w14:paraId="77EDD868" w14:textId="77777777" w:rsidR="00E47292" w:rsidRPr="00BE1284" w:rsidRDefault="00E47292" w:rsidP="00E47292">
      <w:pPr>
        <w:pStyle w:val="paragraph"/>
      </w:pPr>
      <w:r w:rsidRPr="00BE1284">
        <w:tab/>
        <w:t>(a)</w:t>
      </w:r>
      <w:r w:rsidRPr="00BE1284">
        <w:tab/>
        <w:t>credit union;</w:t>
      </w:r>
    </w:p>
    <w:p w14:paraId="7A93F81A" w14:textId="77777777" w:rsidR="00E47292" w:rsidRPr="00BE1284" w:rsidRDefault="00E47292" w:rsidP="00E47292">
      <w:pPr>
        <w:pStyle w:val="paragraph"/>
      </w:pPr>
      <w:r w:rsidRPr="00BE1284">
        <w:tab/>
        <w:t>(b)</w:t>
      </w:r>
      <w:r w:rsidRPr="00BE1284">
        <w:tab/>
        <w:t>credit society;</w:t>
      </w:r>
    </w:p>
    <w:p w14:paraId="19A1F40F" w14:textId="77777777" w:rsidR="00E47292" w:rsidRPr="00BE1284" w:rsidRDefault="00E47292" w:rsidP="00E47292">
      <w:pPr>
        <w:pStyle w:val="paragraph"/>
      </w:pPr>
      <w:r w:rsidRPr="00BE1284">
        <w:tab/>
        <w:t>(c)</w:t>
      </w:r>
      <w:r w:rsidRPr="00BE1284">
        <w:tab/>
        <w:t>credit co</w:t>
      </w:r>
      <w:r w:rsidR="00C614F1">
        <w:noBreakHyphen/>
      </w:r>
      <w:r w:rsidRPr="00BE1284">
        <w:t>operative;</w:t>
      </w:r>
    </w:p>
    <w:p w14:paraId="751CAB9A" w14:textId="77777777" w:rsidR="00E47292" w:rsidRPr="00BE1284" w:rsidRDefault="00E47292" w:rsidP="00E47292">
      <w:pPr>
        <w:pStyle w:val="paragraph"/>
      </w:pPr>
      <w:r w:rsidRPr="00BE1284">
        <w:tab/>
        <w:t>(d)</w:t>
      </w:r>
      <w:r w:rsidRPr="00BE1284">
        <w:tab/>
        <w:t>building society.</w:t>
      </w:r>
    </w:p>
    <w:p w14:paraId="67F03013" w14:textId="77777777" w:rsidR="00E47292" w:rsidRPr="00BE1284" w:rsidRDefault="00E47292" w:rsidP="00E47292">
      <w:pPr>
        <w:pStyle w:val="ActHead5"/>
        <w:rPr>
          <w:i/>
        </w:rPr>
      </w:pPr>
      <w:bookmarkStart w:id="9" w:name="_Toc158711621"/>
      <w:bookmarkEnd w:id="7"/>
      <w:r w:rsidRPr="00C614F1">
        <w:rPr>
          <w:rStyle w:val="CharSectno"/>
        </w:rPr>
        <w:t>1.0.02AB</w:t>
      </w:r>
      <w:r w:rsidRPr="00BE1284">
        <w:t xml:space="preserve">  Meaning of </w:t>
      </w:r>
      <w:r w:rsidRPr="00BE1284">
        <w:rPr>
          <w:i/>
        </w:rPr>
        <w:t>prescribed CS facility</w:t>
      </w:r>
      <w:bookmarkEnd w:id="9"/>
    </w:p>
    <w:p w14:paraId="04712FEF" w14:textId="77777777" w:rsidR="00E47292" w:rsidRPr="00BE1284" w:rsidRDefault="00E47292" w:rsidP="00E47292">
      <w:pPr>
        <w:pStyle w:val="subsection"/>
      </w:pPr>
      <w:r w:rsidRPr="00BE1284">
        <w:tab/>
      </w:r>
      <w:r w:rsidRPr="00BE1284">
        <w:tab/>
        <w:t xml:space="preserve">For the purposes of the definition of </w:t>
      </w:r>
      <w:r w:rsidRPr="00BE1284">
        <w:rPr>
          <w:b/>
          <w:i/>
        </w:rPr>
        <w:t>prescribed CS facility</w:t>
      </w:r>
      <w:r w:rsidRPr="00BE1284">
        <w:rPr>
          <w:i/>
        </w:rPr>
        <w:t xml:space="preserve"> </w:t>
      </w:r>
      <w:r w:rsidRPr="00BE1284">
        <w:t xml:space="preserve">in </w:t>
      </w:r>
      <w:r>
        <w:t>section 9</w:t>
      </w:r>
      <w:r w:rsidRPr="00BE1284">
        <w:t xml:space="preserve"> of the Act, ASX Settlement and Transfer Corporation Pty Limited (also known as ‘ASTC’) is prescribed.</w:t>
      </w:r>
    </w:p>
    <w:p w14:paraId="05488DF0" w14:textId="77777777" w:rsidR="00D46430" w:rsidRPr="00CD5673" w:rsidRDefault="00D46430" w:rsidP="00333980">
      <w:pPr>
        <w:pStyle w:val="ActHead5"/>
      </w:pPr>
      <w:bookmarkStart w:id="10" w:name="_Toc158711622"/>
      <w:r w:rsidRPr="00C614F1">
        <w:rPr>
          <w:rStyle w:val="CharSectno"/>
        </w:rPr>
        <w:t>1.0.02A</w:t>
      </w:r>
      <w:r w:rsidRPr="00CD5673">
        <w:t xml:space="preserve">  </w:t>
      </w:r>
      <w:r w:rsidR="003C34A0" w:rsidRPr="00CD5673">
        <w:t xml:space="preserve">Meaning of </w:t>
      </w:r>
      <w:r w:rsidR="003C34A0" w:rsidRPr="00CD5673">
        <w:rPr>
          <w:i/>
        </w:rPr>
        <w:t>prescribed financial market</w:t>
      </w:r>
      <w:bookmarkEnd w:id="10"/>
    </w:p>
    <w:p w14:paraId="4B79E6CF" w14:textId="77777777" w:rsidR="00D46430" w:rsidRPr="00CD5673" w:rsidRDefault="00D46430" w:rsidP="00333980">
      <w:pPr>
        <w:pStyle w:val="subsection"/>
        <w:keepNext/>
        <w:keepLines/>
      </w:pPr>
      <w:r w:rsidRPr="00CD5673">
        <w:tab/>
      </w:r>
      <w:r w:rsidRPr="00CD5673">
        <w:tab/>
        <w:t xml:space="preserve">For the definition of </w:t>
      </w:r>
      <w:r w:rsidRPr="00CD5673">
        <w:rPr>
          <w:b/>
          <w:i/>
        </w:rPr>
        <w:t>prescribed financial market</w:t>
      </w:r>
      <w:r w:rsidRPr="00CD5673">
        <w:t xml:space="preserve"> in section 9 of the Act, the following financial markets are prescribed:</w:t>
      </w:r>
    </w:p>
    <w:p w14:paraId="1E987D00" w14:textId="77777777" w:rsidR="00D46430" w:rsidRPr="00CD5673" w:rsidRDefault="00D46430" w:rsidP="00333980">
      <w:pPr>
        <w:pStyle w:val="paragraph"/>
        <w:keepNext/>
        <w:keepLines/>
      </w:pPr>
      <w:r w:rsidRPr="00CD5673">
        <w:tab/>
        <w:t>(a)</w:t>
      </w:r>
      <w:r w:rsidRPr="00CD5673">
        <w:tab/>
        <w:t>Asia Pacific Exchange Limited;</w:t>
      </w:r>
    </w:p>
    <w:p w14:paraId="5B002EC2" w14:textId="77777777" w:rsidR="00D46430" w:rsidRPr="00CD5673" w:rsidRDefault="00D46430" w:rsidP="00333980">
      <w:pPr>
        <w:pStyle w:val="paragraph"/>
        <w:keepNext/>
        <w:keepLines/>
      </w:pPr>
      <w:r w:rsidRPr="00CD5673">
        <w:tab/>
        <w:t>(b)</w:t>
      </w:r>
      <w:r w:rsidRPr="00CD5673">
        <w:tab/>
        <w:t>ASX Limited;</w:t>
      </w:r>
    </w:p>
    <w:p w14:paraId="310EA670" w14:textId="77777777" w:rsidR="00D46430" w:rsidRPr="00CD5673" w:rsidRDefault="00D46430" w:rsidP="00333980">
      <w:pPr>
        <w:pStyle w:val="paragraph"/>
        <w:keepNext/>
        <w:keepLines/>
      </w:pPr>
      <w:r w:rsidRPr="00CD5673">
        <w:tab/>
        <w:t>(c)</w:t>
      </w:r>
      <w:r w:rsidRPr="00CD5673">
        <w:tab/>
        <w:t>Chi</w:t>
      </w:r>
      <w:r w:rsidR="00C614F1">
        <w:noBreakHyphen/>
      </w:r>
      <w:r w:rsidRPr="00CD5673">
        <w:t>X Australia Pty Ltd;</w:t>
      </w:r>
    </w:p>
    <w:p w14:paraId="1A13E7FD" w14:textId="77777777" w:rsidR="00D46430" w:rsidRPr="00CD5673" w:rsidRDefault="00D46430" w:rsidP="00333980">
      <w:pPr>
        <w:pStyle w:val="paragraph"/>
        <w:keepNext/>
        <w:keepLines/>
      </w:pPr>
      <w:r w:rsidRPr="00CD5673">
        <w:tab/>
        <w:t>(d)</w:t>
      </w:r>
      <w:r w:rsidRPr="00CD5673">
        <w:tab/>
        <w:t>National Stock Exchange of Australia Limited;</w:t>
      </w:r>
    </w:p>
    <w:p w14:paraId="08B78B76" w14:textId="77777777" w:rsidR="00D46430" w:rsidRPr="00CD5673" w:rsidRDefault="00D46430" w:rsidP="00D46430">
      <w:pPr>
        <w:pStyle w:val="paragraph"/>
      </w:pPr>
      <w:r w:rsidRPr="00CD5673">
        <w:tab/>
        <w:t>(e)</w:t>
      </w:r>
      <w:r w:rsidRPr="00CD5673">
        <w:tab/>
        <w:t>SIM Venture Securities Exchange Ltd.</w:t>
      </w:r>
    </w:p>
    <w:p w14:paraId="046DEA57" w14:textId="77777777" w:rsidR="00D46430" w:rsidRPr="00CD5673" w:rsidRDefault="00D46430" w:rsidP="00D46430">
      <w:pPr>
        <w:pStyle w:val="ActHead5"/>
      </w:pPr>
      <w:bookmarkStart w:id="11" w:name="_Toc158711623"/>
      <w:r w:rsidRPr="00C614F1">
        <w:rPr>
          <w:rStyle w:val="CharSectno"/>
        </w:rPr>
        <w:t>1.0.02B</w:t>
      </w:r>
      <w:r w:rsidRPr="00CD5673">
        <w:t xml:space="preserve">  Proprietary company thresholds (Act s 45A)</w:t>
      </w:r>
      <w:bookmarkEnd w:id="11"/>
    </w:p>
    <w:p w14:paraId="07C3AF20" w14:textId="77777777" w:rsidR="00D46430" w:rsidRPr="00CD5673" w:rsidRDefault="00D46430" w:rsidP="00D46430">
      <w:pPr>
        <w:pStyle w:val="subsection"/>
      </w:pPr>
      <w:r w:rsidRPr="00CD5673">
        <w:tab/>
        <w:t>(1)</w:t>
      </w:r>
      <w:r w:rsidRPr="00CD5673">
        <w:tab/>
        <w:t>For the purposes of paragraphs 45A(2)(a) and (3)(a) of the Act, the amount of $50 million is prescribed.</w:t>
      </w:r>
    </w:p>
    <w:p w14:paraId="792215D8" w14:textId="77777777" w:rsidR="00D46430" w:rsidRPr="00CD5673" w:rsidRDefault="00D46430" w:rsidP="00D46430">
      <w:pPr>
        <w:pStyle w:val="subsection"/>
      </w:pPr>
      <w:r w:rsidRPr="00CD5673">
        <w:tab/>
        <w:t>(2)</w:t>
      </w:r>
      <w:r w:rsidRPr="00CD5673">
        <w:tab/>
        <w:t>For the purposes of paragraphs 45A(2)(b) and (3)(b) of the Act, the amount of $25 million is prescribed.</w:t>
      </w:r>
    </w:p>
    <w:p w14:paraId="2BACFAA7" w14:textId="77777777" w:rsidR="00D46430" w:rsidRPr="00CD5673" w:rsidRDefault="00D46430" w:rsidP="00D46430">
      <w:pPr>
        <w:pStyle w:val="subsection"/>
      </w:pPr>
      <w:r w:rsidRPr="00CD5673">
        <w:tab/>
        <w:t>(3)</w:t>
      </w:r>
      <w:r w:rsidRPr="00CD5673">
        <w:tab/>
        <w:t>For the purposes of paragraphs 45A(2)(c) and (3)(c) of the Act, the number 100 is prescribed.</w:t>
      </w:r>
    </w:p>
    <w:p w14:paraId="2618A3D3" w14:textId="77777777" w:rsidR="00D46430" w:rsidRPr="00CD5673" w:rsidRDefault="00D46430" w:rsidP="00D46430">
      <w:pPr>
        <w:pStyle w:val="ActHead5"/>
      </w:pPr>
      <w:bookmarkStart w:id="12" w:name="_Toc158711624"/>
      <w:r w:rsidRPr="00C614F1">
        <w:rPr>
          <w:rStyle w:val="CharSectno"/>
        </w:rPr>
        <w:t>1.0.03</w:t>
      </w:r>
      <w:r w:rsidRPr="00CD5673">
        <w:t xml:space="preserve">  Prescribed forms (Act s 350)</w:t>
      </w:r>
      <w:bookmarkEnd w:id="12"/>
    </w:p>
    <w:p w14:paraId="1A519040" w14:textId="77777777" w:rsidR="00D46430" w:rsidRPr="00CD5673" w:rsidRDefault="00D46430" w:rsidP="00D46430">
      <w:pPr>
        <w:pStyle w:val="subsection"/>
      </w:pPr>
      <w:r w:rsidRPr="00CD5673">
        <w:tab/>
        <w:t>(1)</w:t>
      </w:r>
      <w:r w:rsidRPr="00CD5673">
        <w:tab/>
        <w:t>A form in Schedule 2 mentioned in an item in column 4 of Schedule 1 is prescribed for the provision of the Act, or of these Regulations, that is specified in the item in column 2.</w:t>
      </w:r>
    </w:p>
    <w:p w14:paraId="46179C60" w14:textId="77777777" w:rsidR="00D46430" w:rsidRPr="00CD5673" w:rsidRDefault="00D46430" w:rsidP="00D46430">
      <w:pPr>
        <w:pStyle w:val="notetext"/>
      </w:pPr>
      <w:r w:rsidRPr="00CD5673">
        <w:t>Note:</w:t>
      </w:r>
      <w:r w:rsidRPr="00CD5673">
        <w:tab/>
        <w:t>Under section 350 of the Act, a document that the Act requires to be lodged with ASIC in a prescribed form must:</w:t>
      </w:r>
    </w:p>
    <w:p w14:paraId="12D6E066" w14:textId="77777777" w:rsidR="00D46430" w:rsidRPr="00CD5673" w:rsidRDefault="00D46430" w:rsidP="00D46430">
      <w:pPr>
        <w:pStyle w:val="notepara"/>
      </w:pPr>
      <w:r w:rsidRPr="00CD5673">
        <w:t>(a)</w:t>
      </w:r>
      <w:r w:rsidRPr="00CD5673">
        <w:tab/>
        <w:t>if a form for the document is prescribed in these Regulations, be in that prescribed form; and</w:t>
      </w:r>
    </w:p>
    <w:p w14:paraId="586B7482" w14:textId="77777777" w:rsidR="00D46430" w:rsidRPr="00CD5673" w:rsidRDefault="00D46430" w:rsidP="00D46430">
      <w:pPr>
        <w:pStyle w:val="notepara"/>
      </w:pPr>
      <w:r w:rsidRPr="00CD5673">
        <w:t>(b)</w:t>
      </w:r>
      <w:r w:rsidRPr="00CD5673">
        <w:tab/>
        <w:t>if a form for the document is not prescribed in these Regulations but ASIC has approved a form for the document, be in that approved form.</w:t>
      </w:r>
    </w:p>
    <w:p w14:paraId="2D6175B2" w14:textId="77777777" w:rsidR="00D46430" w:rsidRPr="00CD5673" w:rsidRDefault="00D46430" w:rsidP="00D46430">
      <w:pPr>
        <w:pStyle w:val="subsection"/>
      </w:pPr>
      <w:r w:rsidRPr="00CD5673">
        <w:tab/>
        <w:t>(2)</w:t>
      </w:r>
      <w:r w:rsidRPr="00CD5673">
        <w:tab/>
        <w:t>In a form, unless the contrary intention appears, a reference to a Chapter, Part, Division, section, subsection, paragraph or subparagraph is a reference to that Chapter, Part, Division, section, subsection, paragraph or subparagraph of the Act.</w:t>
      </w:r>
    </w:p>
    <w:p w14:paraId="0EECF8AC" w14:textId="77777777" w:rsidR="00D46430" w:rsidRPr="00CD5673" w:rsidRDefault="00D46430" w:rsidP="00D46430">
      <w:pPr>
        <w:pStyle w:val="ActHead5"/>
      </w:pPr>
      <w:bookmarkStart w:id="13" w:name="_Toc158711625"/>
      <w:r w:rsidRPr="00C614F1">
        <w:rPr>
          <w:rStyle w:val="CharSectno"/>
        </w:rPr>
        <w:t>1.0.03A</w:t>
      </w:r>
      <w:r w:rsidRPr="00CD5673">
        <w:t xml:space="preserve">  Documents that must be in the prescribed form</w:t>
      </w:r>
      <w:bookmarkEnd w:id="13"/>
    </w:p>
    <w:p w14:paraId="340C8B25" w14:textId="77777777" w:rsidR="00D46430" w:rsidRPr="00CD5673" w:rsidRDefault="00D46430" w:rsidP="00D46430">
      <w:pPr>
        <w:pStyle w:val="SubsectionHead"/>
      </w:pPr>
      <w:r w:rsidRPr="00CD5673">
        <w:t>Documents lodged under the Act</w:t>
      </w:r>
    </w:p>
    <w:p w14:paraId="6042C7CE" w14:textId="77777777" w:rsidR="00D46430" w:rsidRPr="00CD5673" w:rsidRDefault="00D46430" w:rsidP="00D46430">
      <w:pPr>
        <w:pStyle w:val="subsection"/>
      </w:pPr>
      <w:r w:rsidRPr="00CD5673">
        <w:tab/>
        <w:t>(1)</w:t>
      </w:r>
      <w:r w:rsidRPr="00CD5673">
        <w:tab/>
        <w:t>A document mentioned in the table under a provision of the Act mentioned in the table must be in the prescribed form.</w:t>
      </w:r>
    </w:p>
    <w:p w14:paraId="7CF820F8"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034"/>
        <w:gridCol w:w="7054"/>
        <w:gridCol w:w="2685"/>
      </w:tblGrid>
      <w:tr w:rsidR="00D46430" w:rsidRPr="00CD5673" w14:paraId="0259451C" w14:textId="77777777" w:rsidTr="00D46430">
        <w:trPr>
          <w:tblHeader/>
        </w:trPr>
        <w:tc>
          <w:tcPr>
            <w:tcW w:w="480" w:type="pct"/>
            <w:tcBorders>
              <w:top w:val="single" w:sz="12" w:space="0" w:color="auto"/>
              <w:bottom w:val="single" w:sz="12" w:space="0" w:color="auto"/>
            </w:tcBorders>
            <w:shd w:val="clear" w:color="auto" w:fill="auto"/>
          </w:tcPr>
          <w:p w14:paraId="5615C2F4" w14:textId="77777777" w:rsidR="00D46430" w:rsidRPr="00CD5673" w:rsidRDefault="00D46430" w:rsidP="00D46430">
            <w:pPr>
              <w:pStyle w:val="TableHeading"/>
            </w:pPr>
            <w:r w:rsidRPr="00CD5673">
              <w:lastRenderedPageBreak/>
              <w:t>Item</w:t>
            </w:r>
          </w:p>
        </w:tc>
        <w:tc>
          <w:tcPr>
            <w:tcW w:w="3274" w:type="pct"/>
            <w:tcBorders>
              <w:top w:val="single" w:sz="12" w:space="0" w:color="auto"/>
              <w:bottom w:val="single" w:sz="12" w:space="0" w:color="auto"/>
            </w:tcBorders>
            <w:shd w:val="clear" w:color="auto" w:fill="auto"/>
          </w:tcPr>
          <w:p w14:paraId="1BE4E408" w14:textId="77777777" w:rsidR="00D46430" w:rsidRPr="00CD5673" w:rsidRDefault="00D46430" w:rsidP="00D46430">
            <w:pPr>
              <w:pStyle w:val="TableHeading"/>
            </w:pPr>
            <w:r w:rsidRPr="00CD5673">
              <w:t>Document</w:t>
            </w:r>
          </w:p>
        </w:tc>
        <w:tc>
          <w:tcPr>
            <w:tcW w:w="1246" w:type="pct"/>
            <w:tcBorders>
              <w:top w:val="single" w:sz="12" w:space="0" w:color="auto"/>
              <w:bottom w:val="single" w:sz="12" w:space="0" w:color="auto"/>
            </w:tcBorders>
            <w:shd w:val="clear" w:color="auto" w:fill="auto"/>
          </w:tcPr>
          <w:p w14:paraId="370CD522" w14:textId="77777777" w:rsidR="00D46430" w:rsidRPr="00CD5673" w:rsidRDefault="00D46430" w:rsidP="00D46430">
            <w:pPr>
              <w:pStyle w:val="TableHeading"/>
            </w:pPr>
            <w:r w:rsidRPr="00CD5673">
              <w:t>Provision of the Act</w:t>
            </w:r>
          </w:p>
        </w:tc>
      </w:tr>
      <w:tr w:rsidR="00D46430" w:rsidRPr="00CD5673" w14:paraId="37AE3FA1" w14:textId="77777777" w:rsidTr="00D46430">
        <w:trPr>
          <w:cantSplit/>
        </w:trPr>
        <w:tc>
          <w:tcPr>
            <w:tcW w:w="480" w:type="pct"/>
            <w:tcBorders>
              <w:top w:val="single" w:sz="12" w:space="0" w:color="auto"/>
            </w:tcBorders>
            <w:shd w:val="clear" w:color="auto" w:fill="auto"/>
          </w:tcPr>
          <w:p w14:paraId="35BCE8C9" w14:textId="77777777" w:rsidR="00D46430" w:rsidRPr="00CD5673" w:rsidRDefault="00D46430" w:rsidP="00D46430">
            <w:pPr>
              <w:pStyle w:val="Tabletext"/>
            </w:pPr>
            <w:r w:rsidRPr="00CD5673">
              <w:t>1A</w:t>
            </w:r>
          </w:p>
        </w:tc>
        <w:tc>
          <w:tcPr>
            <w:tcW w:w="3274" w:type="pct"/>
            <w:tcBorders>
              <w:top w:val="single" w:sz="12" w:space="0" w:color="auto"/>
            </w:tcBorders>
            <w:shd w:val="clear" w:color="auto" w:fill="auto"/>
          </w:tcPr>
          <w:p w14:paraId="2B3B47E8" w14:textId="77777777" w:rsidR="00D46430" w:rsidRPr="00CD5673" w:rsidRDefault="00D46430" w:rsidP="00D46430">
            <w:pPr>
              <w:pStyle w:val="Tabletext"/>
            </w:pPr>
            <w:r w:rsidRPr="00CD5673">
              <w:rPr>
                <w:szCs w:val="22"/>
              </w:rPr>
              <w:t>Certificate to the effect that all documents accompanying a notice lodged under section 263 or 264 of the Act have been duly stamped as required by any applicable law relating to stamp duty</w:t>
            </w:r>
          </w:p>
        </w:tc>
        <w:tc>
          <w:tcPr>
            <w:tcW w:w="1246" w:type="pct"/>
            <w:tcBorders>
              <w:top w:val="single" w:sz="12" w:space="0" w:color="auto"/>
            </w:tcBorders>
            <w:shd w:val="clear" w:color="auto" w:fill="auto"/>
          </w:tcPr>
          <w:p w14:paraId="1C425471" w14:textId="77777777" w:rsidR="00D46430" w:rsidRPr="00CD5673" w:rsidRDefault="00D46430" w:rsidP="00D46430">
            <w:pPr>
              <w:pStyle w:val="Tabletext"/>
            </w:pPr>
            <w:r w:rsidRPr="00CD5673">
              <w:rPr>
                <w:szCs w:val="22"/>
              </w:rPr>
              <w:t>Paragraph 265(4)(b)</w:t>
            </w:r>
          </w:p>
        </w:tc>
      </w:tr>
      <w:tr w:rsidR="00D46430" w:rsidRPr="00CD5673" w14:paraId="0FDBE888" w14:textId="77777777" w:rsidTr="00D46430">
        <w:tc>
          <w:tcPr>
            <w:tcW w:w="480" w:type="pct"/>
            <w:shd w:val="clear" w:color="auto" w:fill="auto"/>
          </w:tcPr>
          <w:p w14:paraId="32CBCF64" w14:textId="77777777" w:rsidR="00D46430" w:rsidRPr="00CD5673" w:rsidRDefault="00D46430" w:rsidP="00D46430">
            <w:pPr>
              <w:pStyle w:val="Tabletext"/>
            </w:pPr>
            <w:r w:rsidRPr="00CD5673">
              <w:t>1B</w:t>
            </w:r>
          </w:p>
        </w:tc>
        <w:tc>
          <w:tcPr>
            <w:tcW w:w="3274" w:type="pct"/>
            <w:shd w:val="clear" w:color="auto" w:fill="auto"/>
          </w:tcPr>
          <w:p w14:paraId="4FE0093E" w14:textId="77777777" w:rsidR="00D46430" w:rsidRPr="00CD5673" w:rsidRDefault="00D46430" w:rsidP="00D46430">
            <w:pPr>
              <w:pStyle w:val="Tabletext"/>
            </w:pPr>
            <w:r w:rsidRPr="00CD5673">
              <w:t>Notice stating that a person other than the original chargee has become the holder of a registrable charge on property of a company</w:t>
            </w:r>
          </w:p>
        </w:tc>
        <w:tc>
          <w:tcPr>
            <w:tcW w:w="1246" w:type="pct"/>
            <w:shd w:val="clear" w:color="auto" w:fill="auto"/>
          </w:tcPr>
          <w:p w14:paraId="60CF6829" w14:textId="77777777" w:rsidR="00D46430" w:rsidRPr="00CD5673" w:rsidRDefault="00D46430" w:rsidP="00D46430">
            <w:pPr>
              <w:pStyle w:val="Tabletext"/>
            </w:pPr>
            <w:r w:rsidRPr="00CD5673">
              <w:t>Subsection 268(1)</w:t>
            </w:r>
          </w:p>
        </w:tc>
      </w:tr>
      <w:tr w:rsidR="00D46430" w:rsidRPr="00CD5673" w14:paraId="0292B49B" w14:textId="77777777" w:rsidTr="00D46430">
        <w:tc>
          <w:tcPr>
            <w:tcW w:w="480" w:type="pct"/>
            <w:shd w:val="clear" w:color="auto" w:fill="auto"/>
          </w:tcPr>
          <w:p w14:paraId="027451A6" w14:textId="77777777" w:rsidR="00D46430" w:rsidRPr="00CD5673" w:rsidRDefault="00D46430" w:rsidP="00D46430">
            <w:pPr>
              <w:pStyle w:val="Tabletext"/>
            </w:pPr>
            <w:r w:rsidRPr="00CD5673">
              <w:t>1C</w:t>
            </w:r>
          </w:p>
        </w:tc>
        <w:tc>
          <w:tcPr>
            <w:tcW w:w="3274" w:type="pct"/>
            <w:shd w:val="clear" w:color="auto" w:fill="auto"/>
          </w:tcPr>
          <w:p w14:paraId="436CEF2C" w14:textId="77777777" w:rsidR="00D46430" w:rsidRPr="00CD5673" w:rsidRDefault="00D46430" w:rsidP="00D46430">
            <w:pPr>
              <w:pStyle w:val="Tabletext"/>
            </w:pPr>
            <w:r w:rsidRPr="00CD5673">
              <w:rPr>
                <w:szCs w:val="22"/>
              </w:rPr>
              <w:t>Notice setting out particulars of a variation in the terms of a registrable charge on property of a company</w:t>
            </w:r>
          </w:p>
        </w:tc>
        <w:tc>
          <w:tcPr>
            <w:tcW w:w="1246" w:type="pct"/>
            <w:shd w:val="clear" w:color="auto" w:fill="auto"/>
          </w:tcPr>
          <w:p w14:paraId="452048B9" w14:textId="77777777" w:rsidR="00D46430" w:rsidRPr="00CD5673" w:rsidRDefault="00D46430" w:rsidP="00D46430">
            <w:pPr>
              <w:pStyle w:val="Tabletext"/>
            </w:pPr>
            <w:r w:rsidRPr="00CD5673">
              <w:t>Subsection 268(2)</w:t>
            </w:r>
          </w:p>
        </w:tc>
      </w:tr>
      <w:tr w:rsidR="00D46430" w:rsidRPr="00CD5673" w14:paraId="144AF623" w14:textId="77777777" w:rsidTr="00D46430">
        <w:tc>
          <w:tcPr>
            <w:tcW w:w="480" w:type="pct"/>
            <w:shd w:val="clear" w:color="auto" w:fill="auto"/>
          </w:tcPr>
          <w:p w14:paraId="51275827" w14:textId="77777777" w:rsidR="00D46430" w:rsidRPr="00CD5673" w:rsidRDefault="00D46430" w:rsidP="00D46430">
            <w:pPr>
              <w:pStyle w:val="Tabletext"/>
            </w:pPr>
            <w:r w:rsidRPr="00CD5673">
              <w:t>1</w:t>
            </w:r>
          </w:p>
        </w:tc>
        <w:tc>
          <w:tcPr>
            <w:tcW w:w="3274" w:type="pct"/>
            <w:shd w:val="clear" w:color="auto" w:fill="auto"/>
          </w:tcPr>
          <w:p w14:paraId="6D6DB2B3" w14:textId="77777777" w:rsidR="00D46430" w:rsidRPr="00CD5673" w:rsidRDefault="00D46430" w:rsidP="00D46430">
            <w:pPr>
              <w:pStyle w:val="Tabletext"/>
            </w:pPr>
            <w:r w:rsidRPr="00CD5673">
              <w:rPr>
                <w:szCs w:val="22"/>
              </w:rPr>
              <w:t>Notice of appointment to administer a compromise or arrangement</w:t>
            </w:r>
          </w:p>
        </w:tc>
        <w:tc>
          <w:tcPr>
            <w:tcW w:w="1246" w:type="pct"/>
            <w:shd w:val="clear" w:color="auto" w:fill="auto"/>
          </w:tcPr>
          <w:p w14:paraId="246D6867" w14:textId="77777777" w:rsidR="00D46430" w:rsidRPr="00CD5673" w:rsidRDefault="00D46430" w:rsidP="00D46430">
            <w:pPr>
              <w:pStyle w:val="Tabletext"/>
            </w:pPr>
            <w:r w:rsidRPr="00CD5673">
              <w:rPr>
                <w:szCs w:val="22"/>
              </w:rPr>
              <w:t>Subsection 415(1)</w:t>
            </w:r>
          </w:p>
        </w:tc>
      </w:tr>
      <w:tr w:rsidR="00D46430" w:rsidRPr="00CD5673" w14:paraId="7F5E6827" w14:textId="77777777" w:rsidTr="00D46430">
        <w:tc>
          <w:tcPr>
            <w:tcW w:w="480" w:type="pct"/>
            <w:shd w:val="clear" w:color="auto" w:fill="auto"/>
          </w:tcPr>
          <w:p w14:paraId="1AD15178" w14:textId="77777777" w:rsidR="00D46430" w:rsidRPr="00CD5673" w:rsidRDefault="00D46430" w:rsidP="00D46430">
            <w:pPr>
              <w:pStyle w:val="Tabletext"/>
            </w:pPr>
            <w:r w:rsidRPr="00CD5673">
              <w:t>2</w:t>
            </w:r>
          </w:p>
        </w:tc>
        <w:tc>
          <w:tcPr>
            <w:tcW w:w="3274" w:type="pct"/>
            <w:shd w:val="clear" w:color="auto" w:fill="auto"/>
          </w:tcPr>
          <w:p w14:paraId="6B2F1746" w14:textId="77777777" w:rsidR="00D46430" w:rsidRPr="00CD5673" w:rsidRDefault="00D46430" w:rsidP="00D46430">
            <w:pPr>
              <w:pStyle w:val="Tabletext"/>
            </w:pPr>
            <w:r w:rsidRPr="00CD5673">
              <w:rPr>
                <w:szCs w:val="22"/>
              </w:rPr>
              <w:t>Notice that an order for the appointment of a receiver of property has been obtained or of the appointment of a receiver</w:t>
            </w:r>
          </w:p>
        </w:tc>
        <w:tc>
          <w:tcPr>
            <w:tcW w:w="1246" w:type="pct"/>
            <w:shd w:val="clear" w:color="auto" w:fill="auto"/>
          </w:tcPr>
          <w:p w14:paraId="089CB87E" w14:textId="77777777" w:rsidR="00D46430" w:rsidRPr="00CD5673" w:rsidRDefault="00D46430" w:rsidP="00D46430">
            <w:pPr>
              <w:pStyle w:val="Tabletext"/>
            </w:pPr>
            <w:r w:rsidRPr="00CD5673">
              <w:rPr>
                <w:szCs w:val="22"/>
              </w:rPr>
              <w:t>Paragraph 427(1)(a)</w:t>
            </w:r>
          </w:p>
        </w:tc>
      </w:tr>
      <w:tr w:rsidR="00D46430" w:rsidRPr="00CD5673" w14:paraId="7C33DEA2" w14:textId="77777777" w:rsidTr="00D46430">
        <w:tc>
          <w:tcPr>
            <w:tcW w:w="480" w:type="pct"/>
            <w:shd w:val="clear" w:color="auto" w:fill="auto"/>
          </w:tcPr>
          <w:p w14:paraId="63CE8AB7" w14:textId="77777777" w:rsidR="00D46430" w:rsidRPr="00CD5673" w:rsidRDefault="00D46430" w:rsidP="00D46430">
            <w:pPr>
              <w:pStyle w:val="Tabletext"/>
            </w:pPr>
            <w:r w:rsidRPr="00CD5673">
              <w:t>3</w:t>
            </w:r>
          </w:p>
        </w:tc>
        <w:tc>
          <w:tcPr>
            <w:tcW w:w="3274" w:type="pct"/>
            <w:shd w:val="clear" w:color="auto" w:fill="auto"/>
          </w:tcPr>
          <w:p w14:paraId="05AC73B6" w14:textId="77777777" w:rsidR="00D46430" w:rsidRPr="00CD5673" w:rsidRDefault="00D46430" w:rsidP="00D46430">
            <w:pPr>
              <w:pStyle w:val="Tabletext"/>
            </w:pPr>
            <w:r w:rsidRPr="00CD5673">
              <w:rPr>
                <w:szCs w:val="22"/>
              </w:rPr>
              <w:t>Notice of the appointment of a person to enter into possession or take control of the property of a corporation</w:t>
            </w:r>
          </w:p>
        </w:tc>
        <w:tc>
          <w:tcPr>
            <w:tcW w:w="1246" w:type="pct"/>
            <w:shd w:val="clear" w:color="auto" w:fill="auto"/>
          </w:tcPr>
          <w:p w14:paraId="43DFCFCE" w14:textId="77777777" w:rsidR="00D46430" w:rsidRPr="00CD5673" w:rsidRDefault="00D46430" w:rsidP="00D46430">
            <w:pPr>
              <w:pStyle w:val="Tabletext"/>
            </w:pPr>
            <w:r w:rsidRPr="00CD5673">
              <w:rPr>
                <w:szCs w:val="22"/>
              </w:rPr>
              <w:t>Paragraph 427(1A)(a)</w:t>
            </w:r>
          </w:p>
        </w:tc>
      </w:tr>
      <w:tr w:rsidR="00D46430" w:rsidRPr="00CD5673" w14:paraId="6D5ACFAD" w14:textId="77777777" w:rsidTr="00D46430">
        <w:tc>
          <w:tcPr>
            <w:tcW w:w="480" w:type="pct"/>
            <w:shd w:val="clear" w:color="auto" w:fill="auto"/>
          </w:tcPr>
          <w:p w14:paraId="6CF0F405" w14:textId="77777777" w:rsidR="00D46430" w:rsidRPr="00CD5673" w:rsidRDefault="00D46430" w:rsidP="00D46430">
            <w:pPr>
              <w:pStyle w:val="Tabletext"/>
            </w:pPr>
            <w:r w:rsidRPr="00CD5673">
              <w:t>4</w:t>
            </w:r>
          </w:p>
        </w:tc>
        <w:tc>
          <w:tcPr>
            <w:tcW w:w="3274" w:type="pct"/>
            <w:shd w:val="clear" w:color="auto" w:fill="auto"/>
          </w:tcPr>
          <w:p w14:paraId="72CE57BA" w14:textId="77777777" w:rsidR="00D46430" w:rsidRPr="00CD5673" w:rsidRDefault="00D46430" w:rsidP="00D46430">
            <w:pPr>
              <w:pStyle w:val="Tabletext"/>
            </w:pPr>
            <w:r w:rsidRPr="00CD5673">
              <w:rPr>
                <w:szCs w:val="22"/>
              </w:rPr>
              <w:t>Notice of entering into possession or taking control</w:t>
            </w:r>
          </w:p>
        </w:tc>
        <w:tc>
          <w:tcPr>
            <w:tcW w:w="1246" w:type="pct"/>
            <w:shd w:val="clear" w:color="auto" w:fill="auto"/>
          </w:tcPr>
          <w:p w14:paraId="71087AC5" w14:textId="77777777" w:rsidR="00D46430" w:rsidRPr="00CD5673" w:rsidRDefault="00D46430" w:rsidP="00D46430">
            <w:pPr>
              <w:pStyle w:val="Tabletext"/>
            </w:pPr>
            <w:r w:rsidRPr="00CD5673">
              <w:rPr>
                <w:szCs w:val="22"/>
              </w:rPr>
              <w:t>Paragraph 427(1B)(a)</w:t>
            </w:r>
          </w:p>
        </w:tc>
      </w:tr>
      <w:tr w:rsidR="00D46430" w:rsidRPr="00CD5673" w14:paraId="6D2697C5" w14:textId="77777777" w:rsidTr="00D46430">
        <w:trPr>
          <w:cantSplit/>
        </w:trPr>
        <w:tc>
          <w:tcPr>
            <w:tcW w:w="480" w:type="pct"/>
            <w:shd w:val="clear" w:color="auto" w:fill="auto"/>
          </w:tcPr>
          <w:p w14:paraId="4FDE0048" w14:textId="77777777" w:rsidR="00D46430" w:rsidRPr="00CD5673" w:rsidRDefault="00D46430" w:rsidP="00D46430">
            <w:pPr>
              <w:pStyle w:val="Tabletext"/>
            </w:pPr>
            <w:r w:rsidRPr="00CD5673">
              <w:t>5</w:t>
            </w:r>
          </w:p>
        </w:tc>
        <w:tc>
          <w:tcPr>
            <w:tcW w:w="3274" w:type="pct"/>
            <w:shd w:val="clear" w:color="auto" w:fill="auto"/>
          </w:tcPr>
          <w:p w14:paraId="12BD9B4F" w14:textId="77777777" w:rsidR="00D46430" w:rsidRPr="00CD5673" w:rsidRDefault="00D46430" w:rsidP="00D46430">
            <w:pPr>
              <w:pStyle w:val="Tabletext"/>
            </w:pPr>
            <w:r w:rsidRPr="00CD5673">
              <w:rPr>
                <w:szCs w:val="22"/>
              </w:rPr>
              <w:t>Notice that the person has ceased to be a controller</w:t>
            </w:r>
          </w:p>
        </w:tc>
        <w:tc>
          <w:tcPr>
            <w:tcW w:w="1246" w:type="pct"/>
            <w:shd w:val="clear" w:color="auto" w:fill="auto"/>
          </w:tcPr>
          <w:p w14:paraId="0EFBCE50" w14:textId="77777777" w:rsidR="00D46430" w:rsidRPr="00CD5673" w:rsidRDefault="00D46430" w:rsidP="00D46430">
            <w:pPr>
              <w:pStyle w:val="Tabletext"/>
            </w:pPr>
            <w:r w:rsidRPr="00CD5673">
              <w:rPr>
                <w:szCs w:val="22"/>
              </w:rPr>
              <w:t>Paragraph 427(4)(a)</w:t>
            </w:r>
          </w:p>
        </w:tc>
      </w:tr>
      <w:tr w:rsidR="00D46430" w:rsidRPr="00CD5673" w14:paraId="37AE0A1A" w14:textId="77777777" w:rsidTr="00D46430">
        <w:tc>
          <w:tcPr>
            <w:tcW w:w="480" w:type="pct"/>
            <w:shd w:val="clear" w:color="auto" w:fill="auto"/>
          </w:tcPr>
          <w:p w14:paraId="7C99500E" w14:textId="77777777" w:rsidR="00D46430" w:rsidRPr="00CD5673" w:rsidRDefault="00D46430" w:rsidP="00D46430">
            <w:pPr>
              <w:pStyle w:val="Tabletext"/>
            </w:pPr>
            <w:r w:rsidRPr="00CD5673">
              <w:t>6</w:t>
            </w:r>
          </w:p>
        </w:tc>
        <w:tc>
          <w:tcPr>
            <w:tcW w:w="3274" w:type="pct"/>
            <w:shd w:val="clear" w:color="auto" w:fill="auto"/>
          </w:tcPr>
          <w:p w14:paraId="20A13415" w14:textId="77777777" w:rsidR="00D46430" w:rsidRPr="00CD5673" w:rsidRDefault="00D46430" w:rsidP="00D46430">
            <w:pPr>
              <w:pStyle w:val="Tabletext"/>
            </w:pPr>
            <w:r w:rsidRPr="00CD5673">
              <w:rPr>
                <w:szCs w:val="22"/>
              </w:rPr>
              <w:t>Written notice stating that a company is taken to have passed a resolution to wind up the company</w:t>
            </w:r>
          </w:p>
        </w:tc>
        <w:tc>
          <w:tcPr>
            <w:tcW w:w="1246" w:type="pct"/>
            <w:shd w:val="clear" w:color="auto" w:fill="auto"/>
          </w:tcPr>
          <w:p w14:paraId="6357BB01" w14:textId="77777777" w:rsidR="00D46430" w:rsidRPr="00CD5673" w:rsidRDefault="00D46430" w:rsidP="00D46430">
            <w:pPr>
              <w:pStyle w:val="Tabletext"/>
            </w:pPr>
            <w:r w:rsidRPr="00CD5673">
              <w:rPr>
                <w:szCs w:val="22"/>
              </w:rPr>
              <w:t>Paragraph 446A(5)(a)</w:t>
            </w:r>
          </w:p>
        </w:tc>
      </w:tr>
      <w:tr w:rsidR="00D46430" w:rsidRPr="00CD5673" w14:paraId="3CA0899F" w14:textId="77777777" w:rsidTr="00D46430">
        <w:tc>
          <w:tcPr>
            <w:tcW w:w="480" w:type="pct"/>
            <w:shd w:val="clear" w:color="auto" w:fill="auto"/>
          </w:tcPr>
          <w:p w14:paraId="2AC66123" w14:textId="77777777" w:rsidR="00D46430" w:rsidRPr="00CD5673" w:rsidRDefault="00D46430" w:rsidP="00D46430">
            <w:pPr>
              <w:pStyle w:val="Tabletext"/>
            </w:pPr>
            <w:r w:rsidRPr="00CD5673">
              <w:t>7</w:t>
            </w:r>
          </w:p>
        </w:tc>
        <w:tc>
          <w:tcPr>
            <w:tcW w:w="3274" w:type="pct"/>
            <w:shd w:val="clear" w:color="auto" w:fill="auto"/>
          </w:tcPr>
          <w:p w14:paraId="17893F74" w14:textId="77777777" w:rsidR="00D46430" w:rsidRPr="00CD5673" w:rsidRDefault="00D46430" w:rsidP="00D46430">
            <w:pPr>
              <w:pStyle w:val="Tabletext"/>
            </w:pPr>
            <w:r w:rsidRPr="00CD5673">
              <w:rPr>
                <w:szCs w:val="22"/>
              </w:rPr>
              <w:t>Notice of the appointment of an administrator</w:t>
            </w:r>
          </w:p>
        </w:tc>
        <w:tc>
          <w:tcPr>
            <w:tcW w:w="1246" w:type="pct"/>
            <w:shd w:val="clear" w:color="auto" w:fill="auto"/>
          </w:tcPr>
          <w:p w14:paraId="0754006A" w14:textId="77777777" w:rsidR="00D46430" w:rsidRPr="00CD5673" w:rsidRDefault="00D46430" w:rsidP="00D46430">
            <w:pPr>
              <w:pStyle w:val="Tabletext"/>
            </w:pPr>
            <w:r w:rsidRPr="00CD5673">
              <w:rPr>
                <w:szCs w:val="22"/>
              </w:rPr>
              <w:t>Paragraph 450A(1)(a)</w:t>
            </w:r>
          </w:p>
        </w:tc>
      </w:tr>
      <w:tr w:rsidR="00D46430" w:rsidRPr="00CD5673" w14:paraId="539C558C" w14:textId="77777777" w:rsidTr="00D46430">
        <w:tc>
          <w:tcPr>
            <w:tcW w:w="480" w:type="pct"/>
            <w:shd w:val="clear" w:color="auto" w:fill="auto"/>
          </w:tcPr>
          <w:p w14:paraId="75CC6B8E" w14:textId="77777777" w:rsidR="00D46430" w:rsidRPr="00CD5673" w:rsidRDefault="00D46430" w:rsidP="00D46430">
            <w:pPr>
              <w:pStyle w:val="Tabletext"/>
            </w:pPr>
            <w:r w:rsidRPr="00CD5673">
              <w:t>8</w:t>
            </w:r>
          </w:p>
        </w:tc>
        <w:tc>
          <w:tcPr>
            <w:tcW w:w="3274" w:type="pct"/>
            <w:shd w:val="clear" w:color="auto" w:fill="auto"/>
          </w:tcPr>
          <w:p w14:paraId="3E471BC6" w14:textId="77777777" w:rsidR="00D46430" w:rsidRPr="00CD5673" w:rsidRDefault="00D46430" w:rsidP="00D46430">
            <w:pPr>
              <w:pStyle w:val="Tabletext"/>
            </w:pPr>
            <w:r w:rsidRPr="00CD5673">
              <w:rPr>
                <w:szCs w:val="22"/>
              </w:rPr>
              <w:t>Notice of failure to execute deed of company arrangement</w:t>
            </w:r>
          </w:p>
        </w:tc>
        <w:tc>
          <w:tcPr>
            <w:tcW w:w="1246" w:type="pct"/>
            <w:shd w:val="clear" w:color="auto" w:fill="auto"/>
          </w:tcPr>
          <w:p w14:paraId="49015811" w14:textId="77777777" w:rsidR="00D46430" w:rsidRPr="00CD5673" w:rsidRDefault="00D46430" w:rsidP="00D46430">
            <w:pPr>
              <w:pStyle w:val="Tabletext"/>
            </w:pPr>
            <w:r w:rsidRPr="00CD5673">
              <w:rPr>
                <w:szCs w:val="22"/>
              </w:rPr>
              <w:t>Paragraph 450C(a)</w:t>
            </w:r>
          </w:p>
        </w:tc>
      </w:tr>
      <w:tr w:rsidR="00D46430" w:rsidRPr="00CD5673" w14:paraId="02519B59" w14:textId="77777777" w:rsidTr="00D46430">
        <w:tc>
          <w:tcPr>
            <w:tcW w:w="480" w:type="pct"/>
            <w:shd w:val="clear" w:color="auto" w:fill="auto"/>
          </w:tcPr>
          <w:p w14:paraId="2F8ABFBD" w14:textId="77777777" w:rsidR="00D46430" w:rsidRPr="00CD5673" w:rsidRDefault="00D46430" w:rsidP="00D46430">
            <w:pPr>
              <w:pStyle w:val="Tabletext"/>
            </w:pPr>
            <w:r w:rsidRPr="00CD5673">
              <w:t>9</w:t>
            </w:r>
          </w:p>
        </w:tc>
        <w:tc>
          <w:tcPr>
            <w:tcW w:w="3274" w:type="pct"/>
            <w:shd w:val="clear" w:color="auto" w:fill="auto"/>
          </w:tcPr>
          <w:p w14:paraId="78EA945E" w14:textId="77777777" w:rsidR="00D46430" w:rsidRPr="00CD5673" w:rsidRDefault="00D46430" w:rsidP="00D46430">
            <w:pPr>
              <w:pStyle w:val="Tabletext"/>
            </w:pPr>
            <w:r w:rsidRPr="00CD5673">
              <w:rPr>
                <w:szCs w:val="22"/>
              </w:rPr>
              <w:t>Notice of termination of deed of company arrangement</w:t>
            </w:r>
          </w:p>
        </w:tc>
        <w:tc>
          <w:tcPr>
            <w:tcW w:w="1246" w:type="pct"/>
            <w:shd w:val="clear" w:color="auto" w:fill="auto"/>
          </w:tcPr>
          <w:p w14:paraId="5A4ACAC4" w14:textId="77777777" w:rsidR="00D46430" w:rsidRPr="00CD5673" w:rsidRDefault="00D46430" w:rsidP="00D46430">
            <w:pPr>
              <w:pStyle w:val="Tabletext"/>
            </w:pPr>
            <w:r w:rsidRPr="00CD5673">
              <w:rPr>
                <w:szCs w:val="22"/>
              </w:rPr>
              <w:t>Paragraph 450D(a)</w:t>
            </w:r>
          </w:p>
        </w:tc>
      </w:tr>
      <w:tr w:rsidR="00D46430" w:rsidRPr="00CD5673" w14:paraId="672B2573" w14:textId="77777777" w:rsidTr="00D46430">
        <w:trPr>
          <w:cantSplit/>
        </w:trPr>
        <w:tc>
          <w:tcPr>
            <w:tcW w:w="480" w:type="pct"/>
            <w:shd w:val="clear" w:color="auto" w:fill="auto"/>
          </w:tcPr>
          <w:p w14:paraId="0FC14627" w14:textId="77777777" w:rsidR="00D46430" w:rsidRPr="00CD5673" w:rsidRDefault="00D46430" w:rsidP="00D46430">
            <w:pPr>
              <w:pStyle w:val="Tabletext"/>
            </w:pPr>
            <w:r w:rsidRPr="00CD5673">
              <w:t>10</w:t>
            </w:r>
          </w:p>
        </w:tc>
        <w:tc>
          <w:tcPr>
            <w:tcW w:w="3274" w:type="pct"/>
            <w:shd w:val="clear" w:color="auto" w:fill="auto"/>
          </w:tcPr>
          <w:p w14:paraId="04AD0F14" w14:textId="77777777" w:rsidR="00D46430" w:rsidRPr="00CD5673" w:rsidRDefault="00D46430" w:rsidP="00D46430">
            <w:pPr>
              <w:pStyle w:val="Tabletext"/>
            </w:pPr>
            <w:r w:rsidRPr="00CD5673">
              <w:rPr>
                <w:szCs w:val="22"/>
              </w:rPr>
              <w:t>Notice of filing of application to wind up a company</w:t>
            </w:r>
          </w:p>
        </w:tc>
        <w:tc>
          <w:tcPr>
            <w:tcW w:w="1246" w:type="pct"/>
            <w:shd w:val="clear" w:color="auto" w:fill="auto"/>
          </w:tcPr>
          <w:p w14:paraId="7E2832A0" w14:textId="77777777" w:rsidR="00D46430" w:rsidRPr="00CD5673" w:rsidRDefault="00D46430" w:rsidP="00D46430">
            <w:pPr>
              <w:pStyle w:val="Tabletext"/>
            </w:pPr>
            <w:r w:rsidRPr="00CD5673">
              <w:rPr>
                <w:szCs w:val="22"/>
              </w:rPr>
              <w:t>Paragraph 470(1)(a)</w:t>
            </w:r>
          </w:p>
        </w:tc>
      </w:tr>
      <w:tr w:rsidR="00D46430" w:rsidRPr="00CD5673" w14:paraId="34B5C1F5" w14:textId="77777777" w:rsidTr="00D46430">
        <w:tc>
          <w:tcPr>
            <w:tcW w:w="480" w:type="pct"/>
            <w:shd w:val="clear" w:color="auto" w:fill="auto"/>
          </w:tcPr>
          <w:p w14:paraId="7D489A65" w14:textId="77777777" w:rsidR="00D46430" w:rsidRPr="00CD5673" w:rsidRDefault="00D46430" w:rsidP="00D46430">
            <w:pPr>
              <w:pStyle w:val="Tabletext"/>
            </w:pPr>
            <w:r w:rsidRPr="00CD5673">
              <w:t>11</w:t>
            </w:r>
          </w:p>
        </w:tc>
        <w:tc>
          <w:tcPr>
            <w:tcW w:w="3274" w:type="pct"/>
            <w:shd w:val="clear" w:color="auto" w:fill="auto"/>
          </w:tcPr>
          <w:p w14:paraId="65580AED" w14:textId="77777777" w:rsidR="00D46430" w:rsidRPr="00CD5673" w:rsidRDefault="00D46430" w:rsidP="00D46430">
            <w:pPr>
              <w:pStyle w:val="Tabletext"/>
            </w:pPr>
            <w:r w:rsidRPr="00CD5673">
              <w:rPr>
                <w:szCs w:val="22"/>
              </w:rPr>
              <w:t>Notice of making of order to wind up a company</w:t>
            </w:r>
          </w:p>
        </w:tc>
        <w:tc>
          <w:tcPr>
            <w:tcW w:w="1246" w:type="pct"/>
            <w:shd w:val="clear" w:color="auto" w:fill="auto"/>
          </w:tcPr>
          <w:p w14:paraId="7DA81836" w14:textId="77777777" w:rsidR="00D46430" w:rsidRPr="00CD5673" w:rsidRDefault="00D46430" w:rsidP="00D46430">
            <w:pPr>
              <w:pStyle w:val="Tabletext"/>
            </w:pPr>
            <w:r w:rsidRPr="00CD5673">
              <w:rPr>
                <w:szCs w:val="22"/>
              </w:rPr>
              <w:t>Paragraph 470(1)(b)</w:t>
            </w:r>
          </w:p>
        </w:tc>
      </w:tr>
      <w:tr w:rsidR="00D46430" w:rsidRPr="00CD5673" w14:paraId="1EFD7449" w14:textId="77777777" w:rsidTr="00D46430">
        <w:trPr>
          <w:cantSplit/>
        </w:trPr>
        <w:tc>
          <w:tcPr>
            <w:tcW w:w="480" w:type="pct"/>
            <w:shd w:val="clear" w:color="auto" w:fill="auto"/>
          </w:tcPr>
          <w:p w14:paraId="3BDEB509" w14:textId="77777777" w:rsidR="00D46430" w:rsidRPr="00CD5673" w:rsidRDefault="00D46430" w:rsidP="00D46430">
            <w:pPr>
              <w:pStyle w:val="Tabletext"/>
            </w:pPr>
            <w:r w:rsidRPr="00CD5673">
              <w:t>12</w:t>
            </w:r>
          </w:p>
        </w:tc>
        <w:tc>
          <w:tcPr>
            <w:tcW w:w="3274" w:type="pct"/>
            <w:shd w:val="clear" w:color="auto" w:fill="auto"/>
          </w:tcPr>
          <w:p w14:paraId="69D3FCB9" w14:textId="77777777" w:rsidR="00D46430" w:rsidRPr="00CD5673" w:rsidRDefault="00D46430" w:rsidP="00D46430">
            <w:pPr>
              <w:pStyle w:val="Tabletext"/>
            </w:pPr>
            <w:r w:rsidRPr="00CD5673">
              <w:rPr>
                <w:szCs w:val="22"/>
              </w:rPr>
              <w:t>Notice of withdrawal or dismissal of application to wind up a company</w:t>
            </w:r>
          </w:p>
        </w:tc>
        <w:tc>
          <w:tcPr>
            <w:tcW w:w="1246" w:type="pct"/>
            <w:shd w:val="clear" w:color="auto" w:fill="auto"/>
          </w:tcPr>
          <w:p w14:paraId="049338FA" w14:textId="77777777" w:rsidR="00D46430" w:rsidRPr="00CD5673" w:rsidRDefault="00D46430" w:rsidP="00D46430">
            <w:pPr>
              <w:pStyle w:val="Tabletext"/>
            </w:pPr>
            <w:r w:rsidRPr="00CD5673">
              <w:rPr>
                <w:szCs w:val="22"/>
              </w:rPr>
              <w:t>Paragraph 470(1)(c)</w:t>
            </w:r>
          </w:p>
        </w:tc>
      </w:tr>
      <w:tr w:rsidR="00D46430" w:rsidRPr="00CD5673" w14:paraId="24C0B090" w14:textId="77777777" w:rsidTr="00D46430">
        <w:tc>
          <w:tcPr>
            <w:tcW w:w="480" w:type="pct"/>
            <w:tcBorders>
              <w:bottom w:val="single" w:sz="4" w:space="0" w:color="auto"/>
            </w:tcBorders>
            <w:shd w:val="clear" w:color="auto" w:fill="auto"/>
          </w:tcPr>
          <w:p w14:paraId="7C62E776" w14:textId="77777777" w:rsidR="00D46430" w:rsidRPr="00CD5673" w:rsidRDefault="00D46430" w:rsidP="00D46430">
            <w:pPr>
              <w:pStyle w:val="Tabletext"/>
            </w:pPr>
            <w:r w:rsidRPr="00CD5673">
              <w:t>15</w:t>
            </w:r>
          </w:p>
        </w:tc>
        <w:tc>
          <w:tcPr>
            <w:tcW w:w="3274" w:type="pct"/>
            <w:tcBorders>
              <w:bottom w:val="single" w:sz="4" w:space="0" w:color="auto"/>
            </w:tcBorders>
            <w:shd w:val="clear" w:color="auto" w:fill="auto"/>
          </w:tcPr>
          <w:p w14:paraId="79569CFD" w14:textId="77777777" w:rsidR="00D46430" w:rsidRPr="00CD5673" w:rsidRDefault="00D46430" w:rsidP="00D46430">
            <w:pPr>
              <w:pStyle w:val="Tabletext"/>
            </w:pPr>
            <w:r w:rsidRPr="00CD5673">
              <w:rPr>
                <w:szCs w:val="22"/>
              </w:rPr>
              <w:t>Written notice disclaiming property</w:t>
            </w:r>
          </w:p>
        </w:tc>
        <w:tc>
          <w:tcPr>
            <w:tcW w:w="1246" w:type="pct"/>
            <w:tcBorders>
              <w:bottom w:val="single" w:sz="4" w:space="0" w:color="auto"/>
            </w:tcBorders>
            <w:shd w:val="clear" w:color="auto" w:fill="auto"/>
          </w:tcPr>
          <w:p w14:paraId="0AD19152" w14:textId="77777777" w:rsidR="00D46430" w:rsidRPr="00CD5673" w:rsidRDefault="00D46430" w:rsidP="00D46430">
            <w:pPr>
              <w:pStyle w:val="Tabletext"/>
            </w:pPr>
            <w:r w:rsidRPr="00CD5673">
              <w:rPr>
                <w:szCs w:val="22"/>
              </w:rPr>
              <w:t>Subsection 568A(1)</w:t>
            </w:r>
          </w:p>
        </w:tc>
      </w:tr>
      <w:tr w:rsidR="00D46430" w:rsidRPr="00CD5673" w14:paraId="1D675736" w14:textId="77777777" w:rsidTr="00D46430">
        <w:tc>
          <w:tcPr>
            <w:tcW w:w="480" w:type="pct"/>
            <w:tcBorders>
              <w:top w:val="single" w:sz="4" w:space="0" w:color="auto"/>
              <w:bottom w:val="single" w:sz="12" w:space="0" w:color="auto"/>
            </w:tcBorders>
            <w:shd w:val="clear" w:color="auto" w:fill="auto"/>
          </w:tcPr>
          <w:p w14:paraId="0F423984" w14:textId="77777777" w:rsidR="00D46430" w:rsidRPr="00CD5673" w:rsidRDefault="00D46430" w:rsidP="00D46430">
            <w:pPr>
              <w:pStyle w:val="Tabletext"/>
            </w:pPr>
            <w:r w:rsidRPr="00CD5673">
              <w:t>20</w:t>
            </w:r>
          </w:p>
        </w:tc>
        <w:tc>
          <w:tcPr>
            <w:tcW w:w="3274" w:type="pct"/>
            <w:tcBorders>
              <w:top w:val="single" w:sz="4" w:space="0" w:color="auto"/>
              <w:bottom w:val="single" w:sz="12" w:space="0" w:color="auto"/>
            </w:tcBorders>
            <w:shd w:val="clear" w:color="auto" w:fill="auto"/>
          </w:tcPr>
          <w:p w14:paraId="7AA52F14" w14:textId="77777777" w:rsidR="00D46430" w:rsidRPr="00CD5673" w:rsidRDefault="00D46430" w:rsidP="00D46430">
            <w:pPr>
              <w:pStyle w:val="Tabletext"/>
            </w:pPr>
            <w:r w:rsidRPr="00CD5673">
              <w:t>A copy of the whole or a specified part of the register of members of a notified foreign passport fund</w:t>
            </w:r>
          </w:p>
        </w:tc>
        <w:tc>
          <w:tcPr>
            <w:tcW w:w="1246" w:type="pct"/>
            <w:tcBorders>
              <w:top w:val="single" w:sz="4" w:space="0" w:color="auto"/>
              <w:bottom w:val="single" w:sz="12" w:space="0" w:color="auto"/>
            </w:tcBorders>
            <w:shd w:val="clear" w:color="auto" w:fill="auto"/>
          </w:tcPr>
          <w:p w14:paraId="2E0BFFF6" w14:textId="77777777" w:rsidR="00D46430" w:rsidRPr="00CD5673" w:rsidRDefault="00D46430" w:rsidP="00D46430">
            <w:pPr>
              <w:pStyle w:val="Tabletext"/>
            </w:pPr>
            <w:r w:rsidRPr="00CD5673">
              <w:t>Subsection 1213P(4)</w:t>
            </w:r>
          </w:p>
        </w:tc>
      </w:tr>
    </w:tbl>
    <w:p w14:paraId="20897A1A" w14:textId="77777777" w:rsidR="00D46430" w:rsidRPr="00CD5673" w:rsidRDefault="00D46430" w:rsidP="00D46430">
      <w:pPr>
        <w:pStyle w:val="SubsectionHead"/>
      </w:pPr>
      <w:r w:rsidRPr="00CD5673">
        <w:t>Documents lodged under the Passport Rules</w:t>
      </w:r>
    </w:p>
    <w:p w14:paraId="551DF5DC" w14:textId="77777777" w:rsidR="00D46430" w:rsidRPr="00CD5673" w:rsidRDefault="00D46430" w:rsidP="00D46430">
      <w:pPr>
        <w:pStyle w:val="subsection"/>
      </w:pPr>
      <w:r w:rsidRPr="00CD5673">
        <w:tab/>
        <w:t>(2)</w:t>
      </w:r>
      <w:r w:rsidRPr="00CD5673">
        <w:tab/>
        <w:t>If the Passport Rules for this jurisdiction contain a requirement to lodge a document with ASIC (however the lodgement is described), the document must be lodged with ASIC in the prescribed form.</w:t>
      </w:r>
    </w:p>
    <w:p w14:paraId="796DDE85" w14:textId="77777777" w:rsidR="00D46430" w:rsidRPr="00CD5673" w:rsidRDefault="00D46430" w:rsidP="00D46430">
      <w:pPr>
        <w:pStyle w:val="notetext"/>
      </w:pPr>
      <w:r w:rsidRPr="00CD5673">
        <w:t>Note:</w:t>
      </w:r>
      <w:r w:rsidRPr="00CD5673">
        <w:tab/>
        <w:t>The requirement in the Passport Rules need not use the word “lodge”. For example, if the Passport Rules contain a requirement to notify ASIC of a matter or to provide a document to ASIC, subregulation (2) requires the notification or document to be in the prescribed form.</w:t>
      </w:r>
    </w:p>
    <w:p w14:paraId="06FEA036" w14:textId="77777777" w:rsidR="00D46430" w:rsidRPr="00CD5673" w:rsidRDefault="00D46430" w:rsidP="00D46430">
      <w:pPr>
        <w:pStyle w:val="notetext"/>
      </w:pPr>
      <w:r w:rsidRPr="00CD5673">
        <w:t>Note:</w:t>
      </w:r>
      <w:r w:rsidRPr="00CD5673">
        <w:tab/>
        <w:t>Under section 350 of the Act, a document that the Act requires to be lodged with ASIC in a prescribed form must:</w:t>
      </w:r>
    </w:p>
    <w:p w14:paraId="7154EFE3" w14:textId="77777777" w:rsidR="00D46430" w:rsidRPr="00CD5673" w:rsidRDefault="00D46430" w:rsidP="00D46430">
      <w:pPr>
        <w:pStyle w:val="notepara"/>
      </w:pPr>
      <w:r w:rsidRPr="00CD5673">
        <w:t>(a)</w:t>
      </w:r>
      <w:r w:rsidRPr="00CD5673">
        <w:tab/>
        <w:t>if a form for the document is prescribed in these Regulations, be in that prescribed form; and</w:t>
      </w:r>
    </w:p>
    <w:p w14:paraId="6283C11D" w14:textId="77777777" w:rsidR="00D46430" w:rsidRPr="00CD5673" w:rsidRDefault="00D46430" w:rsidP="00D46430">
      <w:pPr>
        <w:pStyle w:val="notepara"/>
      </w:pPr>
      <w:r w:rsidRPr="00CD5673">
        <w:t>(b)</w:t>
      </w:r>
      <w:r w:rsidRPr="00CD5673">
        <w:tab/>
        <w:t>if a form for the document is not prescribed in these Regulations but ASIC has approved a form for the document, be in that approved form.</w:t>
      </w:r>
    </w:p>
    <w:p w14:paraId="739453DE" w14:textId="77777777" w:rsidR="00D46430" w:rsidRPr="00CD5673" w:rsidRDefault="00D46430" w:rsidP="00D46430">
      <w:pPr>
        <w:pStyle w:val="ActHead5"/>
      </w:pPr>
      <w:bookmarkStart w:id="14" w:name="_Toc158711626"/>
      <w:r w:rsidRPr="00C614F1">
        <w:rPr>
          <w:rStyle w:val="CharSectno"/>
        </w:rPr>
        <w:t>1.0.03B</w:t>
      </w:r>
      <w:r w:rsidRPr="00CD5673">
        <w:t xml:space="preserve">  Documents that must be lodged with ASIC</w:t>
      </w:r>
      <w:bookmarkEnd w:id="14"/>
    </w:p>
    <w:p w14:paraId="1C625FCA" w14:textId="77777777" w:rsidR="00D46430" w:rsidRPr="00CD5673" w:rsidRDefault="00D46430" w:rsidP="00D46430">
      <w:pPr>
        <w:pStyle w:val="subsection"/>
      </w:pPr>
      <w:r w:rsidRPr="00CD5673">
        <w:tab/>
      </w:r>
      <w:r w:rsidRPr="00CD5673">
        <w:tab/>
        <w:t>A document mentioned in an item in the table for a provision mentioned in the item must be lodged:</w:t>
      </w:r>
    </w:p>
    <w:p w14:paraId="050190D8" w14:textId="77777777" w:rsidR="00D46430" w:rsidRPr="00CD5673" w:rsidRDefault="00D46430" w:rsidP="00D46430">
      <w:pPr>
        <w:pStyle w:val="paragraph"/>
      </w:pPr>
      <w:r w:rsidRPr="00CD5673">
        <w:tab/>
        <w:t>(a)</w:t>
      </w:r>
      <w:r w:rsidRPr="00CD5673">
        <w:tab/>
        <w:t>with ASIC; and</w:t>
      </w:r>
    </w:p>
    <w:p w14:paraId="281E5462" w14:textId="77777777" w:rsidR="00D46430" w:rsidRPr="00CD5673" w:rsidRDefault="00D46430" w:rsidP="00D46430">
      <w:pPr>
        <w:pStyle w:val="paragraph"/>
      </w:pPr>
      <w:r w:rsidRPr="00CD5673">
        <w:tab/>
        <w:t>(b)</w:t>
      </w:r>
      <w:r w:rsidRPr="00CD5673">
        <w:tab/>
        <w:t>if the document is mentioned for subsection 430(1) of the Act—by a controller, within 7 days of the controller receiving a report under that subsection.</w:t>
      </w:r>
    </w:p>
    <w:p w14:paraId="2E9809FF" w14:textId="77777777" w:rsidR="00D46430" w:rsidRPr="00CD5673" w:rsidRDefault="00D46430" w:rsidP="00D46430">
      <w:pPr>
        <w:pStyle w:val="Tabletext"/>
        <w:spacing w:before="0" w:line="60" w:lineRule="atLeast"/>
        <w:rPr>
          <w:sz w:val="16"/>
          <w:szCs w:val="16"/>
        </w:rPr>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043"/>
        <w:gridCol w:w="7058"/>
        <w:gridCol w:w="2672"/>
      </w:tblGrid>
      <w:tr w:rsidR="00D46430" w:rsidRPr="00CD5673" w14:paraId="25990BFB" w14:textId="77777777" w:rsidTr="00D46430">
        <w:trPr>
          <w:tblHeader/>
        </w:trPr>
        <w:tc>
          <w:tcPr>
            <w:tcW w:w="484" w:type="pct"/>
            <w:tcBorders>
              <w:top w:val="single" w:sz="12" w:space="0" w:color="auto"/>
              <w:bottom w:val="single" w:sz="12" w:space="0" w:color="auto"/>
            </w:tcBorders>
            <w:shd w:val="clear" w:color="auto" w:fill="auto"/>
          </w:tcPr>
          <w:p w14:paraId="19C43FAD" w14:textId="77777777" w:rsidR="00D46430" w:rsidRPr="00CD5673" w:rsidRDefault="00D46430" w:rsidP="00D46430">
            <w:pPr>
              <w:pStyle w:val="TableHeading"/>
            </w:pPr>
            <w:r w:rsidRPr="00CD5673">
              <w:t>Item</w:t>
            </w:r>
          </w:p>
        </w:tc>
        <w:tc>
          <w:tcPr>
            <w:tcW w:w="3276" w:type="pct"/>
            <w:tcBorders>
              <w:top w:val="single" w:sz="12" w:space="0" w:color="auto"/>
              <w:bottom w:val="single" w:sz="12" w:space="0" w:color="auto"/>
            </w:tcBorders>
            <w:shd w:val="clear" w:color="auto" w:fill="auto"/>
          </w:tcPr>
          <w:p w14:paraId="18CB80A1" w14:textId="77777777" w:rsidR="00D46430" w:rsidRPr="00CD5673" w:rsidRDefault="00D46430" w:rsidP="00D46430">
            <w:pPr>
              <w:pStyle w:val="TableHeading"/>
            </w:pPr>
            <w:r w:rsidRPr="00CD5673">
              <w:t>Document</w:t>
            </w:r>
          </w:p>
        </w:tc>
        <w:tc>
          <w:tcPr>
            <w:tcW w:w="1240" w:type="pct"/>
            <w:tcBorders>
              <w:top w:val="single" w:sz="12" w:space="0" w:color="auto"/>
              <w:bottom w:val="single" w:sz="12" w:space="0" w:color="auto"/>
            </w:tcBorders>
            <w:shd w:val="clear" w:color="auto" w:fill="auto"/>
          </w:tcPr>
          <w:p w14:paraId="52125D7B" w14:textId="77777777" w:rsidR="00D46430" w:rsidRPr="00CD5673" w:rsidRDefault="00D46430" w:rsidP="00D46430">
            <w:pPr>
              <w:pStyle w:val="TableHeading"/>
            </w:pPr>
            <w:r w:rsidRPr="00CD5673">
              <w:t>Provision of the Act</w:t>
            </w:r>
          </w:p>
        </w:tc>
      </w:tr>
      <w:tr w:rsidR="00D46430" w:rsidRPr="00CD5673" w14:paraId="019D25AA" w14:textId="77777777" w:rsidTr="00D46430">
        <w:tc>
          <w:tcPr>
            <w:tcW w:w="484" w:type="pct"/>
            <w:tcBorders>
              <w:top w:val="single" w:sz="12" w:space="0" w:color="auto"/>
              <w:bottom w:val="single" w:sz="4" w:space="0" w:color="auto"/>
            </w:tcBorders>
            <w:shd w:val="clear" w:color="auto" w:fill="auto"/>
          </w:tcPr>
          <w:p w14:paraId="7B6D5CEB" w14:textId="77777777" w:rsidR="00D46430" w:rsidRPr="00CD5673" w:rsidRDefault="00D46430" w:rsidP="00D46430">
            <w:pPr>
              <w:pStyle w:val="Tabletext"/>
            </w:pPr>
            <w:r w:rsidRPr="00CD5673">
              <w:t>1</w:t>
            </w:r>
          </w:p>
        </w:tc>
        <w:tc>
          <w:tcPr>
            <w:tcW w:w="3276" w:type="pct"/>
            <w:tcBorders>
              <w:top w:val="single" w:sz="12" w:space="0" w:color="auto"/>
              <w:bottom w:val="single" w:sz="4" w:space="0" w:color="auto"/>
            </w:tcBorders>
            <w:shd w:val="clear" w:color="auto" w:fill="auto"/>
          </w:tcPr>
          <w:p w14:paraId="2D92A12D" w14:textId="77777777" w:rsidR="00D46430" w:rsidRPr="00CD5673" w:rsidRDefault="00D46430" w:rsidP="00D46430">
            <w:pPr>
              <w:pStyle w:val="Tabletext"/>
            </w:pPr>
            <w:r w:rsidRPr="00CD5673">
              <w:t>Statement in writing in the prescribed form verifying a report about the affairs of a company</w:t>
            </w:r>
          </w:p>
        </w:tc>
        <w:tc>
          <w:tcPr>
            <w:tcW w:w="1240" w:type="pct"/>
            <w:tcBorders>
              <w:top w:val="single" w:sz="12" w:space="0" w:color="auto"/>
              <w:bottom w:val="single" w:sz="4" w:space="0" w:color="auto"/>
            </w:tcBorders>
            <w:shd w:val="clear" w:color="auto" w:fill="auto"/>
          </w:tcPr>
          <w:p w14:paraId="6D3E1449" w14:textId="77777777" w:rsidR="00D46430" w:rsidRPr="00CD5673" w:rsidRDefault="00D46430" w:rsidP="00D46430">
            <w:pPr>
              <w:pStyle w:val="Tabletext"/>
            </w:pPr>
            <w:r w:rsidRPr="00CD5673">
              <w:t>Subsection 430(1) or 475(1) or (2)</w:t>
            </w:r>
          </w:p>
        </w:tc>
      </w:tr>
      <w:tr w:rsidR="00D46430" w:rsidRPr="00CD5673" w14:paraId="518B5E22" w14:textId="77777777" w:rsidTr="00D46430">
        <w:tc>
          <w:tcPr>
            <w:tcW w:w="484" w:type="pct"/>
            <w:tcBorders>
              <w:bottom w:val="single" w:sz="12" w:space="0" w:color="auto"/>
            </w:tcBorders>
            <w:shd w:val="clear" w:color="auto" w:fill="auto"/>
          </w:tcPr>
          <w:p w14:paraId="04BAA907" w14:textId="77777777" w:rsidR="00D46430" w:rsidRPr="00CD5673" w:rsidRDefault="00D46430" w:rsidP="00D46430">
            <w:pPr>
              <w:pStyle w:val="Tabletext"/>
            </w:pPr>
            <w:r w:rsidRPr="00CD5673">
              <w:t>2</w:t>
            </w:r>
          </w:p>
        </w:tc>
        <w:tc>
          <w:tcPr>
            <w:tcW w:w="3276" w:type="pct"/>
            <w:tcBorders>
              <w:bottom w:val="single" w:sz="12" w:space="0" w:color="auto"/>
            </w:tcBorders>
            <w:shd w:val="clear" w:color="auto" w:fill="auto"/>
          </w:tcPr>
          <w:p w14:paraId="07F322DA" w14:textId="77777777" w:rsidR="00D46430" w:rsidRPr="00CD5673" w:rsidRDefault="00D46430" w:rsidP="00D46430">
            <w:pPr>
              <w:pStyle w:val="Tabletext"/>
            </w:pPr>
            <w:r w:rsidRPr="00CD5673">
              <w:t>Report about the affairs of a company</w:t>
            </w:r>
          </w:p>
        </w:tc>
        <w:tc>
          <w:tcPr>
            <w:tcW w:w="1240" w:type="pct"/>
            <w:tcBorders>
              <w:bottom w:val="single" w:sz="12" w:space="0" w:color="auto"/>
            </w:tcBorders>
            <w:shd w:val="clear" w:color="auto" w:fill="auto"/>
          </w:tcPr>
          <w:p w14:paraId="158CB1BD" w14:textId="77777777" w:rsidR="00D46430" w:rsidRPr="00CD5673" w:rsidRDefault="00D46430" w:rsidP="00D46430">
            <w:pPr>
              <w:pStyle w:val="Tabletext"/>
            </w:pPr>
            <w:r w:rsidRPr="00CD5673">
              <w:t>Subsection 430(1)</w:t>
            </w:r>
          </w:p>
        </w:tc>
      </w:tr>
    </w:tbl>
    <w:p w14:paraId="6AA70C68" w14:textId="77777777" w:rsidR="00D46430" w:rsidRPr="00CD5673" w:rsidRDefault="00D46430" w:rsidP="00D46430">
      <w:pPr>
        <w:pStyle w:val="notetext"/>
      </w:pPr>
      <w:r w:rsidRPr="00CD5673">
        <w:t>Note:</w:t>
      </w:r>
      <w:r w:rsidRPr="00CD5673">
        <w:tab/>
        <w:t>Under section 350 of the Act, a document that the Act requires to be lodged with ASIC in a prescribed form must:</w:t>
      </w:r>
    </w:p>
    <w:p w14:paraId="2593DDD4" w14:textId="77777777" w:rsidR="00D46430" w:rsidRPr="00CD5673" w:rsidRDefault="00D46430" w:rsidP="00D46430">
      <w:pPr>
        <w:pStyle w:val="notepara"/>
      </w:pPr>
      <w:r w:rsidRPr="00CD5673">
        <w:t>(a)</w:t>
      </w:r>
      <w:r w:rsidRPr="00CD5673">
        <w:tab/>
        <w:t>if a form for the document is prescribed in these Regulations, be in that prescribed form; and</w:t>
      </w:r>
    </w:p>
    <w:p w14:paraId="34B1E502" w14:textId="77777777" w:rsidR="00D46430" w:rsidRPr="00CD5673" w:rsidRDefault="00D46430" w:rsidP="00D46430">
      <w:pPr>
        <w:pStyle w:val="notepara"/>
      </w:pPr>
      <w:r w:rsidRPr="00CD5673">
        <w:t>(b)</w:t>
      </w:r>
      <w:r w:rsidRPr="00CD5673">
        <w:tab/>
        <w:t>if a form for the document is not prescribed in these Regulations but ASIC has approved a form for the document, be in that approved form.</w:t>
      </w:r>
    </w:p>
    <w:p w14:paraId="27AB5326" w14:textId="77777777" w:rsidR="00D46430" w:rsidRPr="00CD5673" w:rsidRDefault="00D46430" w:rsidP="00D46430">
      <w:pPr>
        <w:pStyle w:val="notetext"/>
      </w:pPr>
      <w:r w:rsidRPr="00CD5673">
        <w:tab/>
        <w:t>On 23 December 2004, forms for the documents mentioned in item 1 of the table are not prescribed in these Regulations.</w:t>
      </w:r>
    </w:p>
    <w:p w14:paraId="72A18EFA" w14:textId="77777777" w:rsidR="00D46430" w:rsidRPr="00CD5673" w:rsidRDefault="00D46430" w:rsidP="00D46430">
      <w:pPr>
        <w:pStyle w:val="ActHead5"/>
      </w:pPr>
      <w:bookmarkStart w:id="15" w:name="_Toc158711627"/>
      <w:r w:rsidRPr="00C614F1">
        <w:rPr>
          <w:rStyle w:val="CharSectno"/>
        </w:rPr>
        <w:lastRenderedPageBreak/>
        <w:t>1.0.03C</w:t>
      </w:r>
      <w:r w:rsidRPr="00CD5673">
        <w:t xml:space="preserve">  Documents that must be in a form approved by ASIC</w:t>
      </w:r>
      <w:bookmarkEnd w:id="15"/>
    </w:p>
    <w:p w14:paraId="3AF6F32C" w14:textId="77777777" w:rsidR="00D46430" w:rsidRPr="00CD5673" w:rsidRDefault="00D46430" w:rsidP="00D46430">
      <w:pPr>
        <w:pStyle w:val="subsection"/>
      </w:pPr>
      <w:r w:rsidRPr="00CD5673">
        <w:tab/>
      </w:r>
      <w:r w:rsidRPr="00CD5673">
        <w:tab/>
        <w:t>A document mentioned in the table under a provision of the Act mentioned in the table must be in a form approved by ASIC (if a form has been approved).</w:t>
      </w:r>
    </w:p>
    <w:p w14:paraId="2EDBBD9F"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030"/>
        <w:gridCol w:w="6860"/>
        <w:gridCol w:w="2883"/>
      </w:tblGrid>
      <w:tr w:rsidR="00D46430" w:rsidRPr="00CD5673" w14:paraId="3D28EF93" w14:textId="77777777" w:rsidTr="00D46430">
        <w:trPr>
          <w:tblHeader/>
        </w:trPr>
        <w:tc>
          <w:tcPr>
            <w:tcW w:w="478" w:type="pct"/>
            <w:tcBorders>
              <w:top w:val="single" w:sz="12" w:space="0" w:color="auto"/>
              <w:bottom w:val="single" w:sz="12" w:space="0" w:color="auto"/>
            </w:tcBorders>
            <w:shd w:val="clear" w:color="auto" w:fill="auto"/>
          </w:tcPr>
          <w:p w14:paraId="3F06400C" w14:textId="77777777" w:rsidR="00D46430" w:rsidRPr="00CD5673" w:rsidRDefault="00D46430" w:rsidP="00D46430">
            <w:pPr>
              <w:pStyle w:val="TableHeading"/>
            </w:pPr>
            <w:r w:rsidRPr="00CD5673">
              <w:t>Item</w:t>
            </w:r>
          </w:p>
        </w:tc>
        <w:tc>
          <w:tcPr>
            <w:tcW w:w="3184" w:type="pct"/>
            <w:tcBorders>
              <w:top w:val="single" w:sz="12" w:space="0" w:color="auto"/>
              <w:bottom w:val="single" w:sz="12" w:space="0" w:color="auto"/>
            </w:tcBorders>
            <w:shd w:val="clear" w:color="auto" w:fill="auto"/>
          </w:tcPr>
          <w:p w14:paraId="6DD3EA8B" w14:textId="77777777" w:rsidR="00D46430" w:rsidRPr="00CD5673" w:rsidRDefault="00D46430" w:rsidP="00D46430">
            <w:pPr>
              <w:pStyle w:val="TableHeading"/>
            </w:pPr>
            <w:r w:rsidRPr="00CD5673">
              <w:t>Document</w:t>
            </w:r>
          </w:p>
        </w:tc>
        <w:tc>
          <w:tcPr>
            <w:tcW w:w="1338" w:type="pct"/>
            <w:tcBorders>
              <w:top w:val="single" w:sz="12" w:space="0" w:color="auto"/>
              <w:bottom w:val="single" w:sz="12" w:space="0" w:color="auto"/>
            </w:tcBorders>
            <w:shd w:val="clear" w:color="auto" w:fill="auto"/>
          </w:tcPr>
          <w:p w14:paraId="75D9BCB2" w14:textId="77777777" w:rsidR="00D46430" w:rsidRPr="00CD5673" w:rsidRDefault="00D46430" w:rsidP="00D46430">
            <w:pPr>
              <w:pStyle w:val="TableHeading"/>
            </w:pPr>
            <w:r w:rsidRPr="00CD5673">
              <w:t>Provision of the Act</w:t>
            </w:r>
          </w:p>
        </w:tc>
      </w:tr>
      <w:tr w:rsidR="00D46430" w:rsidRPr="00CD5673" w14:paraId="330CCC63" w14:textId="77777777" w:rsidTr="00D46430">
        <w:tc>
          <w:tcPr>
            <w:tcW w:w="478" w:type="pct"/>
            <w:tcBorders>
              <w:top w:val="single" w:sz="12" w:space="0" w:color="auto"/>
              <w:bottom w:val="single" w:sz="12" w:space="0" w:color="auto"/>
            </w:tcBorders>
            <w:shd w:val="clear" w:color="auto" w:fill="auto"/>
          </w:tcPr>
          <w:p w14:paraId="667BBE6E" w14:textId="77777777" w:rsidR="00D46430" w:rsidRPr="00CD5673" w:rsidRDefault="00D46430" w:rsidP="00D46430">
            <w:pPr>
              <w:pStyle w:val="Tabletext"/>
            </w:pPr>
            <w:r w:rsidRPr="00CD5673">
              <w:t>3</w:t>
            </w:r>
          </w:p>
        </w:tc>
        <w:tc>
          <w:tcPr>
            <w:tcW w:w="3184" w:type="pct"/>
            <w:tcBorders>
              <w:top w:val="single" w:sz="12" w:space="0" w:color="auto"/>
              <w:bottom w:val="single" w:sz="12" w:space="0" w:color="auto"/>
            </w:tcBorders>
            <w:shd w:val="clear" w:color="auto" w:fill="auto"/>
          </w:tcPr>
          <w:p w14:paraId="34456E9C" w14:textId="77777777" w:rsidR="00D46430" w:rsidRPr="00CD5673" w:rsidRDefault="00D46430" w:rsidP="00D46430">
            <w:pPr>
              <w:pStyle w:val="Tabletext"/>
            </w:pPr>
            <w:r w:rsidRPr="00CD5673">
              <w:rPr>
                <w:szCs w:val="22"/>
              </w:rPr>
              <w:t>Notice of termination of deed of company arrangement</w:t>
            </w:r>
          </w:p>
        </w:tc>
        <w:tc>
          <w:tcPr>
            <w:tcW w:w="1338" w:type="pct"/>
            <w:tcBorders>
              <w:top w:val="single" w:sz="12" w:space="0" w:color="auto"/>
              <w:bottom w:val="single" w:sz="12" w:space="0" w:color="auto"/>
            </w:tcBorders>
            <w:shd w:val="clear" w:color="auto" w:fill="auto"/>
          </w:tcPr>
          <w:p w14:paraId="66B118AF" w14:textId="77777777" w:rsidR="00D46430" w:rsidRPr="00CD5673" w:rsidRDefault="00D46430" w:rsidP="00D46430">
            <w:pPr>
              <w:pStyle w:val="Tabletext"/>
            </w:pPr>
            <w:r w:rsidRPr="00CD5673">
              <w:rPr>
                <w:szCs w:val="22"/>
              </w:rPr>
              <w:t>Paragraph 450D(b)</w:t>
            </w:r>
          </w:p>
        </w:tc>
      </w:tr>
    </w:tbl>
    <w:p w14:paraId="0D09D180" w14:textId="77777777" w:rsidR="00D46430" w:rsidRPr="00CD5673" w:rsidRDefault="00D46430" w:rsidP="00D46430">
      <w:pPr>
        <w:pStyle w:val="notetext"/>
      </w:pPr>
      <w:r w:rsidRPr="00CD5673">
        <w:t>Note:</w:t>
      </w:r>
      <w:r w:rsidRPr="00CD5673">
        <w:tab/>
        <w:t>The documents mentioned in the table are not required to be lodged with ASIC under the Act, and are not documents to which section 350 of the Act applies.</w:t>
      </w:r>
    </w:p>
    <w:p w14:paraId="4CB6E5AE" w14:textId="77777777" w:rsidR="00D46430" w:rsidRPr="00CD5673" w:rsidRDefault="00D46430" w:rsidP="00D46430">
      <w:pPr>
        <w:pStyle w:val="ActHead5"/>
      </w:pPr>
      <w:bookmarkStart w:id="16" w:name="_Toc158711628"/>
      <w:r w:rsidRPr="00C614F1">
        <w:rPr>
          <w:rStyle w:val="CharSectno"/>
        </w:rPr>
        <w:t>1.0.04</w:t>
      </w:r>
      <w:r w:rsidRPr="00CD5673">
        <w:t xml:space="preserve">  Directions and instructions in forms</w:t>
      </w:r>
      <w:bookmarkEnd w:id="16"/>
    </w:p>
    <w:p w14:paraId="1F96174F" w14:textId="77777777" w:rsidR="00D46430" w:rsidRPr="00CD5673" w:rsidRDefault="00D46430" w:rsidP="00D46430">
      <w:pPr>
        <w:pStyle w:val="subsection"/>
      </w:pPr>
      <w:r w:rsidRPr="00CD5673">
        <w:tab/>
      </w:r>
      <w:r w:rsidRPr="00CD5673">
        <w:tab/>
        <w:t>A form must be completed in accordance with the directions and instructions specified in the form.</w:t>
      </w:r>
    </w:p>
    <w:p w14:paraId="5C08F608" w14:textId="77777777" w:rsidR="00D46430" w:rsidRPr="00CD5673" w:rsidRDefault="00D46430" w:rsidP="00D46430">
      <w:pPr>
        <w:pStyle w:val="ActHead5"/>
      </w:pPr>
      <w:bookmarkStart w:id="17" w:name="_Toc158711629"/>
      <w:r w:rsidRPr="00C614F1">
        <w:rPr>
          <w:rStyle w:val="CharSectno"/>
        </w:rPr>
        <w:t>1.0.05</w:t>
      </w:r>
      <w:r w:rsidRPr="00CD5673">
        <w:t xml:space="preserve">  Documents and information required by forms</w:t>
      </w:r>
      <w:bookmarkEnd w:id="17"/>
    </w:p>
    <w:p w14:paraId="5ED383EB" w14:textId="77777777" w:rsidR="00D46430" w:rsidRPr="00CD5673" w:rsidRDefault="00D46430" w:rsidP="00D46430">
      <w:pPr>
        <w:pStyle w:val="subsection"/>
      </w:pPr>
      <w:r w:rsidRPr="00CD5673">
        <w:tab/>
        <w:t>(1)</w:t>
      </w:r>
      <w:r w:rsidRPr="00CD5673">
        <w:tab/>
        <w:t>If a form requires:</w:t>
      </w:r>
    </w:p>
    <w:p w14:paraId="7378C79A" w14:textId="77777777" w:rsidR="00D46430" w:rsidRPr="00CD5673" w:rsidRDefault="00D46430" w:rsidP="00D46430">
      <w:pPr>
        <w:pStyle w:val="paragraph"/>
      </w:pPr>
      <w:r w:rsidRPr="00CD5673">
        <w:tab/>
        <w:t>(a)</w:t>
      </w:r>
      <w:r w:rsidRPr="00CD5673">
        <w:tab/>
        <w:t>the lodging of a document; or</w:t>
      </w:r>
    </w:p>
    <w:p w14:paraId="7B8E5B19" w14:textId="77777777" w:rsidR="00D46430" w:rsidRPr="00CD5673" w:rsidRDefault="00D46430" w:rsidP="00D46430">
      <w:pPr>
        <w:pStyle w:val="paragraph"/>
      </w:pPr>
      <w:r w:rsidRPr="00CD5673">
        <w:tab/>
        <w:t>(b)</w:t>
      </w:r>
      <w:r w:rsidRPr="00CD5673">
        <w:tab/>
        <w:t>the giving of information:</w:t>
      </w:r>
    </w:p>
    <w:p w14:paraId="1F49CD8A" w14:textId="77777777" w:rsidR="00D46430" w:rsidRPr="00CD5673" w:rsidRDefault="00D46430" w:rsidP="00D46430">
      <w:pPr>
        <w:pStyle w:val="paragraphsub"/>
      </w:pPr>
      <w:r w:rsidRPr="00CD5673">
        <w:tab/>
        <w:t>(i)</w:t>
      </w:r>
      <w:r w:rsidRPr="00CD5673">
        <w:tab/>
        <w:t>by completing the form in the prescribed manner; or</w:t>
      </w:r>
    </w:p>
    <w:p w14:paraId="6D5ED98F" w14:textId="77777777" w:rsidR="00D46430" w:rsidRPr="00CD5673" w:rsidRDefault="00D46430" w:rsidP="00D46430">
      <w:pPr>
        <w:pStyle w:val="paragraphsub"/>
      </w:pPr>
      <w:r w:rsidRPr="00CD5673">
        <w:tab/>
        <w:t>(ii)</w:t>
      </w:r>
      <w:r w:rsidRPr="00CD5673">
        <w:tab/>
        <w:t>by supplying or completing another document;</w:t>
      </w:r>
    </w:p>
    <w:p w14:paraId="6ACD2627" w14:textId="77777777" w:rsidR="00D46430" w:rsidRPr="00CD5673" w:rsidRDefault="00D46430" w:rsidP="00D46430">
      <w:pPr>
        <w:pStyle w:val="subsection2"/>
      </w:pPr>
      <w:r w:rsidRPr="00CD5673">
        <w:t xml:space="preserve">the document or information is taken to be the document or information required for the provision of the Act or of these Regulations for which the form is approved under </w:t>
      </w:r>
      <w:r w:rsidRPr="00CD5673">
        <w:rPr>
          <w:color w:val="000000"/>
        </w:rPr>
        <w:t>paragraph 350(1)(b)</w:t>
      </w:r>
      <w:r w:rsidRPr="00CD5673">
        <w:t xml:space="preserve"> of the Act or included in Schedule 2.</w:t>
      </w:r>
    </w:p>
    <w:p w14:paraId="5B3D92E3" w14:textId="77777777" w:rsidR="00D46430" w:rsidRPr="00CD5673" w:rsidRDefault="00D46430" w:rsidP="00D46430">
      <w:pPr>
        <w:pStyle w:val="subsection"/>
      </w:pPr>
      <w:r w:rsidRPr="00CD5673">
        <w:tab/>
        <w:t>(2)</w:t>
      </w:r>
      <w:r w:rsidRPr="00CD5673">
        <w:tab/>
        <w:t>If the Act requires particulars to be provided by the giving of information in a form, the particulars included in the form are taken to be the particulars required:</w:t>
      </w:r>
    </w:p>
    <w:p w14:paraId="6438FDE2" w14:textId="77777777" w:rsidR="00D46430" w:rsidRPr="00CD5673" w:rsidRDefault="00D46430" w:rsidP="00D46430">
      <w:pPr>
        <w:pStyle w:val="paragraph"/>
      </w:pPr>
      <w:r w:rsidRPr="00CD5673">
        <w:tab/>
        <w:t>(a)</w:t>
      </w:r>
      <w:r w:rsidRPr="00CD5673">
        <w:tab/>
        <w:t xml:space="preserve">if the form is an approved form—for the provision of the Act for which the form is approved under </w:t>
      </w:r>
      <w:r w:rsidRPr="00CD5673">
        <w:rPr>
          <w:color w:val="000000"/>
        </w:rPr>
        <w:t>paragraph 350(1)(b)</w:t>
      </w:r>
      <w:r w:rsidRPr="00CD5673">
        <w:t xml:space="preserve"> of the Act; and</w:t>
      </w:r>
    </w:p>
    <w:p w14:paraId="7970A4C2" w14:textId="77777777" w:rsidR="00D46430" w:rsidRPr="00CD5673" w:rsidRDefault="00D46430" w:rsidP="00D46430">
      <w:pPr>
        <w:pStyle w:val="paragraph"/>
      </w:pPr>
      <w:r w:rsidRPr="00CD5673">
        <w:tab/>
        <w:t>(b)</w:t>
      </w:r>
      <w:r w:rsidRPr="00CD5673">
        <w:tab/>
        <w:t>if the form is a prescribed form—for the provision of the Act for which the form is included in Schedule 2.</w:t>
      </w:r>
    </w:p>
    <w:p w14:paraId="716DA8A0" w14:textId="77777777" w:rsidR="00D46430" w:rsidRPr="00CD5673" w:rsidRDefault="00D46430" w:rsidP="00D46430">
      <w:pPr>
        <w:pStyle w:val="ActHead5"/>
      </w:pPr>
      <w:bookmarkStart w:id="18" w:name="_Toc158711630"/>
      <w:r w:rsidRPr="00C614F1">
        <w:rPr>
          <w:rStyle w:val="CharSectno"/>
        </w:rPr>
        <w:t>1.0.06</w:t>
      </w:r>
      <w:r w:rsidRPr="00CD5673">
        <w:t xml:space="preserve">  Annexures accompanying forms</w:t>
      </w:r>
      <w:bookmarkEnd w:id="18"/>
    </w:p>
    <w:p w14:paraId="16EAEF99" w14:textId="77777777" w:rsidR="00D46430" w:rsidRPr="00CD5673" w:rsidRDefault="00D46430" w:rsidP="00D46430">
      <w:pPr>
        <w:pStyle w:val="subsection"/>
      </w:pPr>
      <w:r w:rsidRPr="00CD5673">
        <w:tab/>
        <w:t>(1)</w:t>
      </w:r>
      <w:r w:rsidRPr="00CD5673">
        <w:tab/>
        <w:t>In this regulation:</w:t>
      </w:r>
    </w:p>
    <w:p w14:paraId="4DF68298" w14:textId="77777777" w:rsidR="00D46430" w:rsidRPr="00CD5673" w:rsidRDefault="00D46430" w:rsidP="00D46430">
      <w:pPr>
        <w:pStyle w:val="Definition"/>
      </w:pPr>
      <w:r w:rsidRPr="00CD5673">
        <w:rPr>
          <w:b/>
          <w:i/>
        </w:rPr>
        <w:t>annexure</w:t>
      </w:r>
      <w:r w:rsidRPr="00CD5673">
        <w:t> includes a document that is with a form.</w:t>
      </w:r>
    </w:p>
    <w:p w14:paraId="04FCDC09" w14:textId="77777777" w:rsidR="00D46430" w:rsidRPr="00CD5673" w:rsidRDefault="00D46430" w:rsidP="00D46430">
      <w:pPr>
        <w:pStyle w:val="subsection"/>
      </w:pPr>
      <w:r w:rsidRPr="00CD5673">
        <w:tab/>
        <w:t>(2)</w:t>
      </w:r>
      <w:r w:rsidRPr="00CD5673">
        <w:tab/>
        <w:t>An annexure to a form must:</w:t>
      </w:r>
    </w:p>
    <w:p w14:paraId="7391FE70" w14:textId="77777777" w:rsidR="00D46430" w:rsidRPr="00CD5673" w:rsidRDefault="00D46430" w:rsidP="00D46430">
      <w:pPr>
        <w:pStyle w:val="paragraph"/>
      </w:pPr>
      <w:r w:rsidRPr="00CD5673">
        <w:tab/>
        <w:t>(a)</w:t>
      </w:r>
      <w:r w:rsidRPr="00CD5673">
        <w:tab/>
        <w:t>have an identifying mark; and</w:t>
      </w:r>
    </w:p>
    <w:p w14:paraId="42DAFF3B" w14:textId="77777777" w:rsidR="00D46430" w:rsidRPr="00CD5673" w:rsidRDefault="00D46430" w:rsidP="00D46430">
      <w:pPr>
        <w:pStyle w:val="paragraph"/>
      </w:pPr>
      <w:r w:rsidRPr="00CD5673">
        <w:tab/>
        <w:t>(b)</w:t>
      </w:r>
      <w:r w:rsidRPr="00CD5673">
        <w:tab/>
        <w:t>be endorsed with the words:</w:t>
      </w:r>
    </w:p>
    <w:p w14:paraId="667E4DAD" w14:textId="77777777" w:rsidR="00D46430" w:rsidRPr="00CD5673" w:rsidRDefault="00D46430" w:rsidP="00D46430">
      <w:pPr>
        <w:pStyle w:val="paragraph"/>
      </w:pPr>
      <w:r w:rsidRPr="00CD5673">
        <w:tab/>
      </w:r>
      <w:r w:rsidRPr="00CD5673">
        <w:tab/>
        <w:t>‘This is the annexure of (</w:t>
      </w:r>
      <w:r w:rsidRPr="00CD5673">
        <w:rPr>
          <w:i/>
        </w:rPr>
        <w:t>insert the number of pages</w:t>
      </w:r>
      <w:r w:rsidRPr="00CD5673">
        <w:t>) pages marked (</w:t>
      </w:r>
      <w:r w:rsidRPr="00CD5673">
        <w:rPr>
          <w:i/>
        </w:rPr>
        <w:t>insert an identifying mark</w:t>
      </w:r>
      <w:r w:rsidRPr="00CD5673">
        <w:t>) mentioned in the (</w:t>
      </w:r>
      <w:r w:rsidRPr="00CD5673">
        <w:rPr>
          <w:i/>
        </w:rPr>
        <w:t>insert a description of the form</w:t>
      </w:r>
      <w:r w:rsidRPr="00CD5673">
        <w:t>) signed by (</w:t>
      </w:r>
      <w:r w:rsidRPr="00CD5673">
        <w:rPr>
          <w:i/>
        </w:rPr>
        <w:t>insert</w:t>
      </w:r>
      <w:r w:rsidRPr="00CD5673">
        <w:t xml:space="preserve"> ‘me’ </w:t>
      </w:r>
      <w:r w:rsidRPr="00CD5673">
        <w:rPr>
          <w:i/>
        </w:rPr>
        <w:t>or</w:t>
      </w:r>
      <w:r w:rsidRPr="00CD5673">
        <w:t xml:space="preserve"> ‘us’) and dated (</w:t>
      </w:r>
      <w:r w:rsidRPr="00CD5673">
        <w:rPr>
          <w:i/>
        </w:rPr>
        <w:t>insert the date of signing</w:t>
      </w:r>
      <w:r w:rsidRPr="00CD5673">
        <w:t>)’; and</w:t>
      </w:r>
    </w:p>
    <w:p w14:paraId="1676DE7C" w14:textId="77777777" w:rsidR="00D46430" w:rsidRPr="00CD5673" w:rsidRDefault="00D46430" w:rsidP="00D46430">
      <w:pPr>
        <w:pStyle w:val="paragraph"/>
      </w:pPr>
      <w:r w:rsidRPr="00CD5673">
        <w:tab/>
        <w:t>(c)</w:t>
      </w:r>
      <w:r w:rsidRPr="00CD5673">
        <w:tab/>
        <w:t>be signed by each person signing the form to which the document is annexed.</w:t>
      </w:r>
    </w:p>
    <w:p w14:paraId="6941FF74" w14:textId="77777777" w:rsidR="00D46430" w:rsidRPr="00CD5673" w:rsidRDefault="00D46430" w:rsidP="00D46430">
      <w:pPr>
        <w:pStyle w:val="subsection"/>
      </w:pPr>
      <w:r w:rsidRPr="00CD5673">
        <w:tab/>
        <w:t>(3)</w:t>
      </w:r>
      <w:r w:rsidRPr="00CD5673">
        <w:tab/>
        <w:t>The pages in an annexure must be numbered consecutively.</w:t>
      </w:r>
    </w:p>
    <w:p w14:paraId="23F1FF20" w14:textId="77777777" w:rsidR="00D46430" w:rsidRPr="00CD5673" w:rsidRDefault="00D46430" w:rsidP="00D46430">
      <w:pPr>
        <w:pStyle w:val="subsection"/>
      </w:pPr>
      <w:r w:rsidRPr="00CD5673">
        <w:tab/>
        <w:t>(4)</w:t>
      </w:r>
      <w:r w:rsidRPr="00CD5673">
        <w:tab/>
        <w:t>If a form has a document annexed, the following particulars of the annexure must be written on the form:</w:t>
      </w:r>
    </w:p>
    <w:p w14:paraId="15D53D61" w14:textId="77777777" w:rsidR="00D46430" w:rsidRPr="00CD5673" w:rsidRDefault="00D46430" w:rsidP="00D46430">
      <w:pPr>
        <w:pStyle w:val="paragraph"/>
      </w:pPr>
      <w:r w:rsidRPr="00CD5673">
        <w:tab/>
        <w:t>(a)</w:t>
      </w:r>
      <w:r w:rsidRPr="00CD5673">
        <w:tab/>
        <w:t>the identifying mark; and</w:t>
      </w:r>
    </w:p>
    <w:p w14:paraId="30A0620B" w14:textId="77777777" w:rsidR="00D46430" w:rsidRPr="00CD5673" w:rsidRDefault="00D46430" w:rsidP="00D46430">
      <w:pPr>
        <w:pStyle w:val="paragraph"/>
      </w:pPr>
      <w:r w:rsidRPr="00CD5673">
        <w:tab/>
        <w:t>(b)</w:t>
      </w:r>
      <w:r w:rsidRPr="00CD5673">
        <w:tab/>
        <w:t>the number of pages.</w:t>
      </w:r>
    </w:p>
    <w:p w14:paraId="13DE157E" w14:textId="77777777" w:rsidR="00D46430" w:rsidRPr="00CD5673" w:rsidRDefault="00D46430" w:rsidP="00D46430">
      <w:pPr>
        <w:pStyle w:val="ActHead5"/>
      </w:pPr>
      <w:bookmarkStart w:id="19" w:name="_Toc158711631"/>
      <w:r w:rsidRPr="00C614F1">
        <w:rPr>
          <w:rStyle w:val="CharSectno"/>
        </w:rPr>
        <w:t>1.0.07</w:t>
      </w:r>
      <w:r w:rsidRPr="00CD5673">
        <w:t xml:space="preserve">  General requirements for documents</w:t>
      </w:r>
      <w:bookmarkEnd w:id="19"/>
    </w:p>
    <w:p w14:paraId="49EB3FEA" w14:textId="77777777" w:rsidR="00D46430" w:rsidRPr="00CD5673" w:rsidRDefault="00D46430" w:rsidP="00D46430">
      <w:pPr>
        <w:pStyle w:val="subsection"/>
      </w:pPr>
      <w:r w:rsidRPr="00CD5673">
        <w:tab/>
      </w:r>
      <w:r w:rsidRPr="00CD5673">
        <w:tab/>
        <w:t>Unless ASIC otherwise approves, a document to be lodged must:</w:t>
      </w:r>
    </w:p>
    <w:p w14:paraId="60FFD63D" w14:textId="77777777" w:rsidR="00D46430" w:rsidRPr="00CD5673" w:rsidRDefault="00D46430" w:rsidP="00D46430">
      <w:pPr>
        <w:pStyle w:val="paragraph"/>
      </w:pPr>
      <w:r w:rsidRPr="00CD5673">
        <w:tab/>
        <w:t>(a)</w:t>
      </w:r>
      <w:r w:rsidRPr="00CD5673">
        <w:tab/>
        <w:t>be on white or light pastel colour paper:</w:t>
      </w:r>
    </w:p>
    <w:p w14:paraId="51CAC105" w14:textId="77777777" w:rsidR="00D46430" w:rsidRPr="00CD5673" w:rsidRDefault="00D46430" w:rsidP="00D46430">
      <w:pPr>
        <w:pStyle w:val="paragraphsub"/>
      </w:pPr>
      <w:r w:rsidRPr="00CD5673">
        <w:tab/>
        <w:t>(i)</w:t>
      </w:r>
      <w:r w:rsidRPr="00CD5673">
        <w:tab/>
        <w:t>of international A4 size; and</w:t>
      </w:r>
    </w:p>
    <w:p w14:paraId="6A5BB501" w14:textId="77777777" w:rsidR="00D46430" w:rsidRPr="00CD5673" w:rsidRDefault="00D46430" w:rsidP="00D46430">
      <w:pPr>
        <w:pStyle w:val="paragraphsub"/>
      </w:pPr>
      <w:r w:rsidRPr="00CD5673">
        <w:tab/>
        <w:t>(ii)</w:t>
      </w:r>
      <w:r w:rsidRPr="00CD5673">
        <w:tab/>
        <w:t>of medium weight and good quality; and</w:t>
      </w:r>
    </w:p>
    <w:p w14:paraId="5B3BDF8C" w14:textId="77777777" w:rsidR="00D46430" w:rsidRPr="00CD5673" w:rsidRDefault="00D46430" w:rsidP="00D46430">
      <w:pPr>
        <w:pStyle w:val="paragraph"/>
      </w:pPr>
      <w:r w:rsidRPr="00CD5673">
        <w:lastRenderedPageBreak/>
        <w:tab/>
        <w:t>(b)</w:t>
      </w:r>
      <w:r w:rsidRPr="00CD5673">
        <w:tab/>
        <w:t>be clearly printed or written in black or dark blue in a manner that is permanent and will make possible a reproduction, by photographic, computerised or other electronic means that is satisfactory to ASIC; and</w:t>
      </w:r>
    </w:p>
    <w:p w14:paraId="22FBE530" w14:textId="77777777" w:rsidR="00D46430" w:rsidRPr="00CD5673" w:rsidRDefault="00D46430" w:rsidP="00D46430">
      <w:pPr>
        <w:pStyle w:val="paragraph"/>
      </w:pPr>
      <w:r w:rsidRPr="00CD5673">
        <w:tab/>
        <w:t>(c)</w:t>
      </w:r>
      <w:r w:rsidRPr="00CD5673">
        <w:tab/>
        <w:t>not be a carbon copy or a copy reproduced by any spirit duplication method; and</w:t>
      </w:r>
    </w:p>
    <w:p w14:paraId="3494286C" w14:textId="77777777" w:rsidR="00D46430" w:rsidRPr="00CD5673" w:rsidRDefault="00D46430" w:rsidP="00D46430">
      <w:pPr>
        <w:pStyle w:val="paragraph"/>
      </w:pPr>
      <w:r w:rsidRPr="00CD5673">
        <w:tab/>
        <w:t>(d)</w:t>
      </w:r>
      <w:r w:rsidRPr="00CD5673">
        <w:tab/>
        <w:t>subject to paragraph (h), have margins of not less than 10 millimetres on all sides; and</w:t>
      </w:r>
    </w:p>
    <w:p w14:paraId="32DF83BD" w14:textId="77777777" w:rsidR="00D46430" w:rsidRPr="00CD5673" w:rsidRDefault="00D46430" w:rsidP="00D46430">
      <w:pPr>
        <w:pStyle w:val="paragraph"/>
      </w:pPr>
      <w:r w:rsidRPr="00CD5673">
        <w:tab/>
        <w:t>(e)</w:t>
      </w:r>
      <w:r w:rsidRPr="00CD5673">
        <w:tab/>
        <w:t>if it comprises 2 or more sheets, be fastened together securely in the top left</w:t>
      </w:r>
      <w:r w:rsidR="00C614F1">
        <w:noBreakHyphen/>
      </w:r>
      <w:r w:rsidRPr="00CD5673">
        <w:t>hand corner; and</w:t>
      </w:r>
    </w:p>
    <w:p w14:paraId="43CDAE98" w14:textId="77777777" w:rsidR="00D46430" w:rsidRPr="00CD5673" w:rsidRDefault="00D46430" w:rsidP="00D46430">
      <w:pPr>
        <w:pStyle w:val="paragraph"/>
      </w:pPr>
      <w:r w:rsidRPr="00CD5673">
        <w:tab/>
        <w:t>(f)</w:t>
      </w:r>
      <w:r w:rsidRPr="00CD5673">
        <w:tab/>
        <w:t>for a document for a corporation, managed investment scheme or sub</w:t>
      </w:r>
      <w:r w:rsidR="00C614F1">
        <w:noBreakHyphen/>
      </w:r>
      <w:r w:rsidRPr="00CD5673">
        <w:t xml:space="preserve">fund of a CCIV (the </w:t>
      </w:r>
      <w:r w:rsidRPr="00CD5673">
        <w:rPr>
          <w:b/>
          <w:i/>
        </w:rPr>
        <w:t>subject</w:t>
      </w:r>
      <w:r w:rsidRPr="00CD5673">
        <w:t>)—display on the first page of the document or, if the document is a single sheet, on that sheet:</w:t>
      </w:r>
    </w:p>
    <w:p w14:paraId="44AFDB41" w14:textId="77777777" w:rsidR="00D46430" w:rsidRPr="00CD5673" w:rsidRDefault="00D46430" w:rsidP="00D46430">
      <w:pPr>
        <w:pStyle w:val="paragraphsub"/>
      </w:pPr>
      <w:r w:rsidRPr="00CD5673">
        <w:tab/>
        <w:t>(i)</w:t>
      </w:r>
      <w:r w:rsidRPr="00CD5673">
        <w:tab/>
        <w:t>the subject’s name; and</w:t>
      </w:r>
    </w:p>
    <w:p w14:paraId="297B24E1" w14:textId="77777777" w:rsidR="00D46430" w:rsidRPr="00CD5673" w:rsidRDefault="00D46430" w:rsidP="00D46430">
      <w:pPr>
        <w:pStyle w:val="paragraphsub"/>
      </w:pPr>
      <w:r w:rsidRPr="00CD5673">
        <w:tab/>
        <w:t>(ii)</w:t>
      </w:r>
      <w:r w:rsidRPr="00CD5673">
        <w:tab/>
        <w:t>subject to regulation 7.6.03, the subject’s ACN, ARBN, ARSN or ARFN; and</w:t>
      </w:r>
    </w:p>
    <w:p w14:paraId="7442A487" w14:textId="77777777" w:rsidR="00D46430" w:rsidRPr="00CD5673" w:rsidRDefault="00D46430" w:rsidP="00D46430">
      <w:pPr>
        <w:pStyle w:val="paragraphsub"/>
      </w:pPr>
      <w:r w:rsidRPr="00CD5673">
        <w:tab/>
        <w:t>(iii)</w:t>
      </w:r>
      <w:r w:rsidRPr="00CD5673">
        <w:tab/>
        <w:t>subject to regulation 7.6.03, if the last 9 digits of the subject’s ABN are the same, and in the same order, as the last 9 digits of the subject’s ACN, ARBN, ARSN or ARFN—the subject’s ABN; and</w:t>
      </w:r>
    </w:p>
    <w:p w14:paraId="3BAEB240" w14:textId="77777777" w:rsidR="00D46430" w:rsidRPr="00CD5673" w:rsidRDefault="00D46430" w:rsidP="00D46430">
      <w:pPr>
        <w:pStyle w:val="paragraphsub"/>
      </w:pPr>
      <w:r w:rsidRPr="00CD5673">
        <w:tab/>
        <w:t>(iv)</w:t>
      </w:r>
      <w:r w:rsidRPr="00CD5673">
        <w:tab/>
        <w:t>if the subject is a managed investment scheme that is a notified foreign passport fund—the NFPFRN for the fund and any other unique number for the fund allocated to the fund by ASIC; and</w:t>
      </w:r>
    </w:p>
    <w:p w14:paraId="37F9079C" w14:textId="77777777" w:rsidR="00D46430" w:rsidRPr="00CD5673" w:rsidRDefault="00D46430" w:rsidP="00D46430">
      <w:pPr>
        <w:pStyle w:val="paragraph"/>
      </w:pPr>
      <w:r w:rsidRPr="00CD5673">
        <w:tab/>
        <w:t>(fa)</w:t>
      </w:r>
      <w:r w:rsidRPr="00CD5673">
        <w:tab/>
        <w:t>for all documents—display on the first page of the document or, if the document is a single sheet, on that sheet:</w:t>
      </w:r>
    </w:p>
    <w:p w14:paraId="67A5B4A6" w14:textId="77777777" w:rsidR="00D46430" w:rsidRPr="00CD5673" w:rsidRDefault="00D46430" w:rsidP="00D46430">
      <w:pPr>
        <w:pStyle w:val="paragraphsub"/>
      </w:pPr>
      <w:r w:rsidRPr="00CD5673">
        <w:tab/>
        <w:t>(i)</w:t>
      </w:r>
      <w:r w:rsidRPr="00CD5673">
        <w:tab/>
        <w:t>the title of the document; and</w:t>
      </w:r>
    </w:p>
    <w:p w14:paraId="5B10415C" w14:textId="77777777" w:rsidR="00D46430" w:rsidRPr="00CD5673" w:rsidRDefault="00D46430" w:rsidP="00D46430">
      <w:pPr>
        <w:pStyle w:val="paragraphsub"/>
      </w:pPr>
      <w:r w:rsidRPr="00CD5673">
        <w:tab/>
        <w:t>(ii)</w:t>
      </w:r>
      <w:r w:rsidRPr="00CD5673">
        <w:tab/>
        <w:t>the section number of the Act under which the document is being lodged; and</w:t>
      </w:r>
    </w:p>
    <w:p w14:paraId="19A84655" w14:textId="77777777" w:rsidR="00D46430" w:rsidRPr="00CD5673" w:rsidRDefault="00D46430" w:rsidP="00D46430">
      <w:pPr>
        <w:pStyle w:val="paragraph"/>
      </w:pPr>
      <w:r w:rsidRPr="00CD5673">
        <w:tab/>
        <w:t>(g)</w:t>
      </w:r>
      <w:r w:rsidRPr="00CD5673">
        <w:tab/>
        <w:t>have the following information at the top left</w:t>
      </w:r>
      <w:r w:rsidR="00C614F1">
        <w:noBreakHyphen/>
      </w:r>
      <w:r w:rsidRPr="00CD5673">
        <w:t>hand of the first sheet:</w:t>
      </w:r>
    </w:p>
    <w:p w14:paraId="679EF189" w14:textId="77777777" w:rsidR="00D46430" w:rsidRPr="00CD5673" w:rsidRDefault="00D46430" w:rsidP="00D46430">
      <w:pPr>
        <w:pStyle w:val="paragraphsub"/>
      </w:pPr>
      <w:r w:rsidRPr="00CD5673">
        <w:tab/>
        <w:t>(i)</w:t>
      </w:r>
      <w:r w:rsidRPr="00CD5673">
        <w:tab/>
        <w:t>registered agent number (if any); and</w:t>
      </w:r>
    </w:p>
    <w:p w14:paraId="57A4F99F" w14:textId="77777777" w:rsidR="00D46430" w:rsidRPr="00CD5673" w:rsidRDefault="00D46430" w:rsidP="00D46430">
      <w:pPr>
        <w:pStyle w:val="paragraphsub"/>
      </w:pPr>
      <w:r w:rsidRPr="00CD5673">
        <w:tab/>
        <w:t>(ii)</w:t>
      </w:r>
      <w:r w:rsidRPr="00CD5673">
        <w:tab/>
        <w:t>lodging party or agent name; and</w:t>
      </w:r>
    </w:p>
    <w:p w14:paraId="6F093555" w14:textId="77777777" w:rsidR="00D46430" w:rsidRPr="00CD5673" w:rsidRDefault="00D46430" w:rsidP="00D46430">
      <w:pPr>
        <w:pStyle w:val="paragraphsub"/>
      </w:pPr>
      <w:r w:rsidRPr="00CD5673">
        <w:tab/>
        <w:t>(iii)</w:t>
      </w:r>
      <w:r w:rsidRPr="00CD5673">
        <w:tab/>
        <w:t>address; and</w:t>
      </w:r>
    </w:p>
    <w:p w14:paraId="4F4FDF49" w14:textId="77777777" w:rsidR="00D46430" w:rsidRPr="00CD5673" w:rsidRDefault="00D46430" w:rsidP="00D46430">
      <w:pPr>
        <w:pStyle w:val="paragraphsub"/>
      </w:pPr>
      <w:r w:rsidRPr="00CD5673">
        <w:tab/>
        <w:t>(iv)</w:t>
      </w:r>
      <w:r w:rsidRPr="00CD5673">
        <w:tab/>
        <w:t>telephone number; and</w:t>
      </w:r>
    </w:p>
    <w:p w14:paraId="4635D274" w14:textId="77777777" w:rsidR="00D46430" w:rsidRPr="00CD5673" w:rsidRDefault="00D46430" w:rsidP="00D46430">
      <w:pPr>
        <w:pStyle w:val="paragraphsub"/>
      </w:pPr>
      <w:r w:rsidRPr="00CD5673">
        <w:tab/>
        <w:t>(v)</w:t>
      </w:r>
      <w:r w:rsidRPr="00CD5673">
        <w:tab/>
        <w:t>facsimile number (if any); and</w:t>
      </w:r>
    </w:p>
    <w:p w14:paraId="19D78B4D" w14:textId="77777777" w:rsidR="00D46430" w:rsidRPr="00CD5673" w:rsidRDefault="00D46430" w:rsidP="00D46430">
      <w:pPr>
        <w:pStyle w:val="paragraphsub"/>
      </w:pPr>
      <w:r w:rsidRPr="00CD5673">
        <w:tab/>
        <w:t>(vi)</w:t>
      </w:r>
      <w:r w:rsidRPr="00CD5673">
        <w:tab/>
        <w:t>DX number and applicable suburb or city (if any); and</w:t>
      </w:r>
    </w:p>
    <w:p w14:paraId="7D07D6AB" w14:textId="77777777" w:rsidR="00D46430" w:rsidRPr="00CD5673" w:rsidRDefault="00D46430" w:rsidP="00D46430">
      <w:pPr>
        <w:pStyle w:val="paragraph"/>
      </w:pPr>
      <w:r w:rsidRPr="00CD5673">
        <w:tab/>
        <w:t>(h)</w:t>
      </w:r>
      <w:r w:rsidRPr="00CD5673">
        <w:tab/>
        <w:t>at the top right</w:t>
      </w:r>
      <w:r w:rsidR="00C614F1">
        <w:noBreakHyphen/>
      </w:r>
      <w:r w:rsidRPr="00CD5673">
        <w:t>hand of the first sheet, have a blank space that measures 35 millimetres from the top of the page and 65 millimetres from the right</w:t>
      </w:r>
      <w:r w:rsidR="00C614F1">
        <w:noBreakHyphen/>
      </w:r>
      <w:r w:rsidRPr="00CD5673">
        <w:t>hand side of the page; and</w:t>
      </w:r>
    </w:p>
    <w:p w14:paraId="30C36C30" w14:textId="77777777" w:rsidR="00D46430" w:rsidRPr="00CD5673" w:rsidRDefault="00D46430" w:rsidP="00D46430">
      <w:pPr>
        <w:pStyle w:val="paragraph"/>
      </w:pPr>
      <w:r w:rsidRPr="00CD5673">
        <w:tab/>
        <w:t>(j)</w:t>
      </w:r>
      <w:r w:rsidRPr="00CD5673">
        <w:tab/>
        <w:t>if the document is a form relating to a no liability company, be completed by inserting the words ‘No Liability’ in place of the word ‘Limited’; and</w:t>
      </w:r>
    </w:p>
    <w:p w14:paraId="541A2FE6" w14:textId="77777777" w:rsidR="00D46430" w:rsidRPr="00CD5673" w:rsidRDefault="00D46430" w:rsidP="00D46430">
      <w:pPr>
        <w:pStyle w:val="paragraph"/>
      </w:pPr>
      <w:r w:rsidRPr="00CD5673">
        <w:tab/>
        <w:t>(k)</w:t>
      </w:r>
      <w:r w:rsidRPr="00CD5673">
        <w:tab/>
        <w:t>in the case of an unlimited company, have the word ‘Limited’ omitted; and</w:t>
      </w:r>
    </w:p>
    <w:p w14:paraId="0BAC68D1" w14:textId="77777777" w:rsidR="00D46430" w:rsidRPr="00CD5673" w:rsidRDefault="00D46430" w:rsidP="00D46430">
      <w:pPr>
        <w:pStyle w:val="paragraph"/>
      </w:pPr>
      <w:r w:rsidRPr="00CD5673">
        <w:tab/>
        <w:t>(l)</w:t>
      </w:r>
      <w:r w:rsidRPr="00CD5673">
        <w:tab/>
        <w:t>if the document contains maps or charts on which areas have been distinguished by colour, also distinguish those areas by hatching, numbering or lettering.</w:t>
      </w:r>
    </w:p>
    <w:p w14:paraId="703DE0BB" w14:textId="77777777" w:rsidR="00D46430" w:rsidRPr="00CD5673" w:rsidRDefault="00D46430" w:rsidP="00D46430">
      <w:pPr>
        <w:pStyle w:val="notetext"/>
      </w:pPr>
      <w:r w:rsidRPr="00CD5673">
        <w:t>Note:</w:t>
      </w:r>
      <w:r w:rsidRPr="00CD5673">
        <w:tab/>
        <w:t>In addition to the requirements in paragraph (f), if a managed investment scheme is also an Australian passport fund, all documents relating to the fund lodged with ASIC must also include the scheme’s APFRN: see section 1212B of the Act.</w:t>
      </w:r>
    </w:p>
    <w:p w14:paraId="10E358BA" w14:textId="77777777" w:rsidR="00D46430" w:rsidRPr="00CD5673" w:rsidRDefault="00D46430" w:rsidP="00D46430">
      <w:pPr>
        <w:pStyle w:val="ActHead5"/>
      </w:pPr>
      <w:bookmarkStart w:id="20" w:name="_Toc158711632"/>
      <w:r w:rsidRPr="00C614F1">
        <w:rPr>
          <w:rStyle w:val="CharSectno"/>
        </w:rPr>
        <w:t>1.0.08</w:t>
      </w:r>
      <w:r w:rsidRPr="00CD5673">
        <w:t xml:space="preserve">  Information to accompany financial documents lodged for financial years</w:t>
      </w:r>
      <w:bookmarkEnd w:id="20"/>
    </w:p>
    <w:p w14:paraId="7CCF9588" w14:textId="77777777" w:rsidR="00D46430" w:rsidRPr="00CD5673" w:rsidRDefault="00D46430" w:rsidP="00D46430">
      <w:pPr>
        <w:pStyle w:val="subsection"/>
      </w:pPr>
      <w:r w:rsidRPr="00CD5673">
        <w:tab/>
        <w:t>(1)</w:t>
      </w:r>
      <w:r w:rsidRPr="00CD5673">
        <w:tab/>
        <w:t>A document lodged under subsection 319(1) of the Act for a financial year must be accompanied by the approved form setting out the following information:</w:t>
      </w:r>
    </w:p>
    <w:p w14:paraId="42A88AED" w14:textId="77777777" w:rsidR="00D46430" w:rsidRPr="00CD5673" w:rsidRDefault="00D46430" w:rsidP="00D46430">
      <w:pPr>
        <w:pStyle w:val="paragraph"/>
      </w:pPr>
      <w:r w:rsidRPr="00CD5673">
        <w:tab/>
        <w:t>(a)</w:t>
      </w:r>
      <w:r w:rsidRPr="00CD5673">
        <w:tab/>
        <w:t>if the disclosing entity is a company (other than a retail CCIV):</w:t>
      </w:r>
    </w:p>
    <w:p w14:paraId="56E67E23" w14:textId="77777777" w:rsidR="00D46430" w:rsidRPr="00CD5673" w:rsidRDefault="00D46430" w:rsidP="00D46430">
      <w:pPr>
        <w:pStyle w:val="paragraphsub"/>
      </w:pPr>
      <w:r w:rsidRPr="00CD5673">
        <w:tab/>
        <w:t>(i)</w:t>
      </w:r>
      <w:r w:rsidRPr="00CD5673">
        <w:tab/>
        <w:t>the ACN of the company or, if the last 9 digits of its ABN are the same, and in the same order, as the last 9 digits of its ACN, the ABN of the company; and</w:t>
      </w:r>
    </w:p>
    <w:p w14:paraId="6381EEF6" w14:textId="77777777" w:rsidR="00D46430" w:rsidRPr="00CD5673" w:rsidRDefault="00D46430" w:rsidP="00D46430">
      <w:pPr>
        <w:pStyle w:val="paragraphsub"/>
      </w:pPr>
      <w:r w:rsidRPr="00CD5673">
        <w:tab/>
        <w:t>(ii)</w:t>
      </w:r>
      <w:r w:rsidRPr="00CD5673">
        <w:tab/>
        <w:t>the dates on which the financial year to which the document relates begins and ends; and</w:t>
      </w:r>
    </w:p>
    <w:p w14:paraId="0AB942F0" w14:textId="77777777" w:rsidR="00D46430" w:rsidRPr="00CD5673" w:rsidRDefault="00D46430" w:rsidP="00D46430">
      <w:pPr>
        <w:pStyle w:val="paragraphsub"/>
      </w:pPr>
      <w:r w:rsidRPr="00CD5673">
        <w:tab/>
        <w:t>(iii)</w:t>
      </w:r>
      <w:r w:rsidRPr="00CD5673">
        <w:tab/>
        <w:t>a statement of certification in accordance with regulation 1.0.16; or</w:t>
      </w:r>
    </w:p>
    <w:p w14:paraId="0049B66D" w14:textId="77777777" w:rsidR="00D46430" w:rsidRPr="00CD5673" w:rsidRDefault="00D46430" w:rsidP="00D46430">
      <w:pPr>
        <w:pStyle w:val="paragraph"/>
      </w:pPr>
      <w:r w:rsidRPr="00CD5673">
        <w:tab/>
        <w:t>(b)</w:t>
      </w:r>
      <w:r w:rsidRPr="00CD5673">
        <w:tab/>
        <w:t>if the disclosing entity is a body (other than a company):</w:t>
      </w:r>
    </w:p>
    <w:p w14:paraId="26E820C8" w14:textId="77777777" w:rsidR="00D46430" w:rsidRPr="00CD5673" w:rsidRDefault="00D46430" w:rsidP="00D46430">
      <w:pPr>
        <w:pStyle w:val="paragraphsub"/>
      </w:pPr>
      <w:r w:rsidRPr="00CD5673">
        <w:tab/>
        <w:t>(i)</w:t>
      </w:r>
      <w:r w:rsidRPr="00CD5673">
        <w:tab/>
        <w:t>the ARBN of the body or, if the last 9 digits of its ABN are the same, and in the same order, as the last 9 digits of its ARBN, the ABN of the body; and</w:t>
      </w:r>
    </w:p>
    <w:p w14:paraId="323E6071" w14:textId="77777777" w:rsidR="00D46430" w:rsidRPr="00CD5673" w:rsidRDefault="00D46430" w:rsidP="00D46430">
      <w:pPr>
        <w:pStyle w:val="paragraphsub"/>
      </w:pPr>
      <w:r w:rsidRPr="00CD5673">
        <w:tab/>
        <w:t>(ii)</w:t>
      </w:r>
      <w:r w:rsidRPr="00CD5673">
        <w:tab/>
        <w:t>the dates on which the financial year to which the document relates begins and ends; and</w:t>
      </w:r>
    </w:p>
    <w:p w14:paraId="1E06915D" w14:textId="77777777" w:rsidR="00D46430" w:rsidRPr="00CD5673" w:rsidRDefault="00D46430" w:rsidP="00D46430">
      <w:pPr>
        <w:pStyle w:val="paragraphsub"/>
      </w:pPr>
      <w:r w:rsidRPr="00CD5673">
        <w:tab/>
        <w:t>(iii)</w:t>
      </w:r>
      <w:r w:rsidRPr="00CD5673">
        <w:tab/>
        <w:t>a statement of certification in accordance with regulation 1.0.16; or</w:t>
      </w:r>
    </w:p>
    <w:p w14:paraId="7D036D1B" w14:textId="77777777" w:rsidR="00D46430" w:rsidRPr="00CD5673" w:rsidRDefault="00D46430" w:rsidP="00D46430">
      <w:pPr>
        <w:pStyle w:val="paragraph"/>
      </w:pPr>
      <w:r w:rsidRPr="00CD5673">
        <w:tab/>
        <w:t>(c)</w:t>
      </w:r>
      <w:r w:rsidRPr="00CD5673">
        <w:tab/>
        <w:t>if the disclosing entity is a registered scheme:</w:t>
      </w:r>
    </w:p>
    <w:p w14:paraId="077D9A3A" w14:textId="77777777" w:rsidR="00D46430" w:rsidRPr="00CD5673" w:rsidRDefault="00D46430" w:rsidP="00D46430">
      <w:pPr>
        <w:pStyle w:val="paragraphsub"/>
      </w:pPr>
      <w:r w:rsidRPr="00CD5673">
        <w:tab/>
        <w:t>(i)</w:t>
      </w:r>
      <w:r w:rsidRPr="00CD5673">
        <w:tab/>
        <w:t>the ARSN of the scheme or, if the last 9 digits of its ABN are the same, and in the same order, as the last 9 digits of its ARSN, the ABN of the scheme; and</w:t>
      </w:r>
    </w:p>
    <w:p w14:paraId="78924875" w14:textId="77777777" w:rsidR="00D46430" w:rsidRPr="00CD5673" w:rsidRDefault="00D46430" w:rsidP="00D46430">
      <w:pPr>
        <w:pStyle w:val="paragraphsub"/>
      </w:pPr>
      <w:r w:rsidRPr="00CD5673">
        <w:tab/>
        <w:t>(ii)</w:t>
      </w:r>
      <w:r w:rsidRPr="00CD5673">
        <w:tab/>
        <w:t>the dates of the beginning and end of the half</w:t>
      </w:r>
      <w:r w:rsidR="00C614F1">
        <w:noBreakHyphen/>
      </w:r>
      <w:r w:rsidRPr="00CD5673">
        <w:t>year to which the document relates; and</w:t>
      </w:r>
    </w:p>
    <w:p w14:paraId="1EF2A2D9" w14:textId="77777777" w:rsidR="00D46430" w:rsidRPr="00CD5673" w:rsidRDefault="00D46430" w:rsidP="00D46430">
      <w:pPr>
        <w:pStyle w:val="paragraphsub"/>
      </w:pPr>
      <w:r w:rsidRPr="00CD5673">
        <w:tab/>
        <w:t>(iii)</w:t>
      </w:r>
      <w:r w:rsidRPr="00CD5673">
        <w:tab/>
        <w:t>the name of the responsible entity of the scheme and the name of the scheme; and</w:t>
      </w:r>
    </w:p>
    <w:p w14:paraId="5D5E1980" w14:textId="77777777" w:rsidR="00D46430" w:rsidRPr="00CD5673" w:rsidRDefault="00D46430" w:rsidP="00D46430">
      <w:pPr>
        <w:pStyle w:val="paragraphsub"/>
      </w:pPr>
      <w:r w:rsidRPr="00CD5673">
        <w:tab/>
        <w:t>(iv)</w:t>
      </w:r>
      <w:r w:rsidRPr="00CD5673">
        <w:tab/>
        <w:t>a statement of certification in accordance with regulation 1.0.16; or</w:t>
      </w:r>
    </w:p>
    <w:p w14:paraId="7E0525F4" w14:textId="77777777" w:rsidR="00D46430" w:rsidRPr="00CD5673" w:rsidRDefault="00D46430" w:rsidP="00D46430">
      <w:pPr>
        <w:pStyle w:val="paragraph"/>
      </w:pPr>
      <w:r w:rsidRPr="00CD5673">
        <w:lastRenderedPageBreak/>
        <w:tab/>
        <w:t>(d)</w:t>
      </w:r>
      <w:r w:rsidRPr="00CD5673">
        <w:tab/>
        <w:t>if the disclosing entity is a retail CCIV:</w:t>
      </w:r>
    </w:p>
    <w:p w14:paraId="268DF568" w14:textId="77777777" w:rsidR="00D46430" w:rsidRPr="00CD5673" w:rsidRDefault="00D46430" w:rsidP="00D46430">
      <w:pPr>
        <w:pStyle w:val="paragraphsub"/>
      </w:pPr>
      <w:r w:rsidRPr="00CD5673">
        <w:tab/>
        <w:t>(i)</w:t>
      </w:r>
      <w:r w:rsidRPr="00CD5673">
        <w:tab/>
        <w:t>the name of the sub</w:t>
      </w:r>
      <w:r w:rsidR="00C614F1">
        <w:noBreakHyphen/>
      </w:r>
      <w:r w:rsidRPr="00CD5673">
        <w:t>fund of the CCIV in respect of which the document is lodged; and</w:t>
      </w:r>
    </w:p>
    <w:p w14:paraId="2F0C62AF" w14:textId="77777777" w:rsidR="00D46430" w:rsidRPr="00CD5673" w:rsidRDefault="00D46430" w:rsidP="00D46430">
      <w:pPr>
        <w:pStyle w:val="paragraphsub"/>
      </w:pPr>
      <w:r w:rsidRPr="00CD5673">
        <w:tab/>
        <w:t>(ii)</w:t>
      </w:r>
      <w:r w:rsidRPr="00CD5673">
        <w:tab/>
        <w:t>the name of the corporate director of the CCIV; and</w:t>
      </w:r>
    </w:p>
    <w:p w14:paraId="0932AD7E" w14:textId="77777777" w:rsidR="00D46430" w:rsidRPr="00CD5673" w:rsidRDefault="00D46430" w:rsidP="00D46430">
      <w:pPr>
        <w:pStyle w:val="paragraphsub"/>
      </w:pPr>
      <w:r w:rsidRPr="00CD5673">
        <w:tab/>
        <w:t>(iii)</w:t>
      </w:r>
      <w:r w:rsidRPr="00CD5673">
        <w:tab/>
        <w:t>the ACN of the CCIV or, if the last 9 digits of its ABN are the same, and in the same order, as the last 9 digits of its ACN, the ABN of the company; and</w:t>
      </w:r>
    </w:p>
    <w:p w14:paraId="78366D0C" w14:textId="77777777" w:rsidR="00D46430" w:rsidRPr="00CD5673" w:rsidRDefault="00D46430" w:rsidP="00D46430">
      <w:pPr>
        <w:pStyle w:val="paragraphsub"/>
      </w:pPr>
      <w:r w:rsidRPr="00CD5673">
        <w:tab/>
        <w:t>(iv)</w:t>
      </w:r>
      <w:r w:rsidRPr="00CD5673">
        <w:tab/>
        <w:t>the ARFN of that sub</w:t>
      </w:r>
      <w:r w:rsidR="00C614F1">
        <w:noBreakHyphen/>
      </w:r>
      <w:r w:rsidRPr="00CD5673">
        <w:t>fund of the CCIV or, if the last 9 digits of its ABN are the same, and in the same order, as the last 9 digits of its ARFN, the ABN of that sub</w:t>
      </w:r>
      <w:r w:rsidR="00C614F1">
        <w:noBreakHyphen/>
      </w:r>
      <w:r w:rsidRPr="00CD5673">
        <w:t>fund; and</w:t>
      </w:r>
    </w:p>
    <w:p w14:paraId="5B0260FD" w14:textId="77777777" w:rsidR="00D46430" w:rsidRPr="00CD5673" w:rsidRDefault="00D46430" w:rsidP="00D46430">
      <w:pPr>
        <w:pStyle w:val="paragraphsub"/>
      </w:pPr>
      <w:r w:rsidRPr="00CD5673">
        <w:tab/>
        <w:t>(v)</w:t>
      </w:r>
      <w:r w:rsidRPr="00CD5673">
        <w:tab/>
        <w:t>the dates on which the financial year to which the document relates begins and ends; and</w:t>
      </w:r>
    </w:p>
    <w:p w14:paraId="054FBF07" w14:textId="77777777" w:rsidR="00D46430" w:rsidRPr="00CD5673" w:rsidRDefault="00D46430" w:rsidP="00D46430">
      <w:pPr>
        <w:pStyle w:val="paragraphsub"/>
      </w:pPr>
      <w:r w:rsidRPr="00CD5673">
        <w:tab/>
        <w:t>(vi)</w:t>
      </w:r>
      <w:r w:rsidRPr="00CD5673">
        <w:tab/>
        <w:t>a statement of certification in accordance with regulation 1.0.16</w:t>
      </w:r>
      <w:r w:rsidR="002944F9" w:rsidRPr="00CD5673">
        <w:t>; or</w:t>
      </w:r>
    </w:p>
    <w:p w14:paraId="5F601F58" w14:textId="77777777" w:rsidR="00373FC0" w:rsidRPr="00CD5673" w:rsidRDefault="00373FC0" w:rsidP="00373FC0">
      <w:pPr>
        <w:pStyle w:val="paragraph"/>
      </w:pPr>
      <w:r w:rsidRPr="00CD5673">
        <w:tab/>
        <w:t>(e)</w:t>
      </w:r>
      <w:r w:rsidRPr="00CD5673">
        <w:tab/>
        <w:t>if the disclosing entity is a registrable superannuation entity:</w:t>
      </w:r>
    </w:p>
    <w:p w14:paraId="059F6ED4" w14:textId="77777777" w:rsidR="00373FC0" w:rsidRPr="00CD5673" w:rsidRDefault="00373FC0" w:rsidP="00373FC0">
      <w:pPr>
        <w:pStyle w:val="paragraphsub"/>
      </w:pPr>
      <w:r w:rsidRPr="00CD5673">
        <w:tab/>
        <w:t>(i)</w:t>
      </w:r>
      <w:r w:rsidRPr="00CD5673">
        <w:tab/>
        <w:t>the entity’s ABN; and</w:t>
      </w:r>
    </w:p>
    <w:p w14:paraId="506B7828" w14:textId="77777777" w:rsidR="00373FC0" w:rsidRPr="00CD5673" w:rsidRDefault="00373FC0" w:rsidP="00373FC0">
      <w:pPr>
        <w:pStyle w:val="paragraphsub"/>
      </w:pPr>
      <w:r w:rsidRPr="00CD5673">
        <w:tab/>
        <w:t>(ii)</w:t>
      </w:r>
      <w:r w:rsidRPr="00CD5673">
        <w:tab/>
        <w:t>the dates on which the financial year to which the document relates begins and ends; and</w:t>
      </w:r>
    </w:p>
    <w:p w14:paraId="45ED78C3" w14:textId="77777777" w:rsidR="00373FC0" w:rsidRPr="00CD5673" w:rsidRDefault="00373FC0" w:rsidP="00373FC0">
      <w:pPr>
        <w:pStyle w:val="paragraphsub"/>
      </w:pPr>
      <w:r w:rsidRPr="00CD5673">
        <w:tab/>
        <w:t>(iii)</w:t>
      </w:r>
      <w:r w:rsidRPr="00CD5673">
        <w:tab/>
        <w:t>the name of the entity and its RSE licensee; and</w:t>
      </w:r>
    </w:p>
    <w:p w14:paraId="423EAFB3" w14:textId="77777777" w:rsidR="00373FC0" w:rsidRPr="00CD5673" w:rsidRDefault="00373FC0" w:rsidP="00373FC0">
      <w:pPr>
        <w:pStyle w:val="paragraphsub"/>
      </w:pPr>
      <w:r w:rsidRPr="00CD5673">
        <w:tab/>
        <w:t>(iv)</w:t>
      </w:r>
      <w:r w:rsidRPr="00CD5673">
        <w:tab/>
        <w:t>a statement of certification in accordance with regulation 1.0.16.</w:t>
      </w:r>
    </w:p>
    <w:p w14:paraId="79E73E37" w14:textId="77777777" w:rsidR="00D46430" w:rsidRPr="00CD5673" w:rsidRDefault="00D46430" w:rsidP="00D46430">
      <w:pPr>
        <w:pStyle w:val="notetext"/>
      </w:pPr>
      <w:r w:rsidRPr="00CD5673">
        <w:t>Note:</w:t>
      </w:r>
      <w:r w:rsidRPr="00CD5673">
        <w:tab/>
        <w:t>Section 1232C of the Act extends section 292 of the Act to preparing annual financial reports and directors’ reports for sub</w:t>
      </w:r>
      <w:r w:rsidR="00C614F1">
        <w:noBreakHyphen/>
      </w:r>
      <w:r w:rsidRPr="00CD5673">
        <w:t>funds of retail CCIVs, and applies Division 1 of Part 2M.3 of the Act accordingly.</w:t>
      </w:r>
    </w:p>
    <w:p w14:paraId="374ABC2B" w14:textId="77777777" w:rsidR="00D46430" w:rsidRPr="00CD5673" w:rsidRDefault="00D46430" w:rsidP="00D46430">
      <w:pPr>
        <w:pStyle w:val="subsection"/>
      </w:pPr>
      <w:r w:rsidRPr="00CD5673">
        <w:tab/>
        <w:t>(2)</w:t>
      </w:r>
      <w:r w:rsidRPr="00CD5673">
        <w:tab/>
        <w:t>A document lodged by a notified foreign passport fund under subsection 319(1AA) of the Act for a financial year must be accompanied by the approved form setting out the following information:</w:t>
      </w:r>
    </w:p>
    <w:p w14:paraId="49217E95" w14:textId="77777777" w:rsidR="00D46430" w:rsidRPr="00CD5673" w:rsidRDefault="00D46430" w:rsidP="00D46430">
      <w:pPr>
        <w:pStyle w:val="paragraph"/>
      </w:pPr>
      <w:r w:rsidRPr="00CD5673">
        <w:tab/>
        <w:t>(a)</w:t>
      </w:r>
      <w:r w:rsidRPr="00CD5673">
        <w:tab/>
        <w:t>the NFPFRN for the fund and any other unique number for the fund allocated to the fund by ASIC;</w:t>
      </w:r>
    </w:p>
    <w:p w14:paraId="2502067A" w14:textId="77777777" w:rsidR="00D46430" w:rsidRPr="00CD5673" w:rsidRDefault="00D46430" w:rsidP="00D46430">
      <w:pPr>
        <w:pStyle w:val="paragraph"/>
      </w:pPr>
      <w:r w:rsidRPr="00CD5673">
        <w:tab/>
        <w:t>(b)</w:t>
      </w:r>
      <w:r w:rsidRPr="00CD5673">
        <w:tab/>
        <w:t>the name of the fund;</w:t>
      </w:r>
    </w:p>
    <w:p w14:paraId="59BF42D2" w14:textId="77777777" w:rsidR="00D46430" w:rsidRPr="00CD5673" w:rsidRDefault="00D46430" w:rsidP="00D46430">
      <w:pPr>
        <w:pStyle w:val="paragraph"/>
      </w:pPr>
      <w:r w:rsidRPr="00CD5673">
        <w:tab/>
        <w:t>(c)</w:t>
      </w:r>
      <w:r w:rsidRPr="00CD5673">
        <w:tab/>
        <w:t>the name and ARBN of the operator of the fund;</w:t>
      </w:r>
    </w:p>
    <w:p w14:paraId="19735D97" w14:textId="77777777" w:rsidR="00D46430" w:rsidRPr="00CD5673" w:rsidRDefault="00D46430" w:rsidP="00D46430">
      <w:pPr>
        <w:pStyle w:val="paragraph"/>
      </w:pPr>
      <w:r w:rsidRPr="00CD5673">
        <w:tab/>
        <w:t>(d)</w:t>
      </w:r>
      <w:r w:rsidRPr="00CD5673">
        <w:tab/>
        <w:t>the dates on which the financial year to which the document relates begins and ends;</w:t>
      </w:r>
    </w:p>
    <w:p w14:paraId="79DA2186" w14:textId="77777777" w:rsidR="00D46430" w:rsidRPr="00CD5673" w:rsidRDefault="00D46430" w:rsidP="00D46430">
      <w:pPr>
        <w:pStyle w:val="paragraph"/>
      </w:pPr>
      <w:r w:rsidRPr="00CD5673">
        <w:tab/>
        <w:t>(e)</w:t>
      </w:r>
      <w:r w:rsidRPr="00CD5673">
        <w:tab/>
        <w:t>a statement of certification in accordance with regulation 1.0.16.</w:t>
      </w:r>
    </w:p>
    <w:p w14:paraId="4045104F" w14:textId="77777777" w:rsidR="00D46430" w:rsidRPr="00CD5673" w:rsidRDefault="00D46430" w:rsidP="00D46430">
      <w:pPr>
        <w:pStyle w:val="ActHead5"/>
      </w:pPr>
      <w:bookmarkStart w:id="21" w:name="_Toc158711633"/>
      <w:r w:rsidRPr="00C614F1">
        <w:rPr>
          <w:rStyle w:val="CharSectno"/>
        </w:rPr>
        <w:t>1.0.09</w:t>
      </w:r>
      <w:r w:rsidRPr="00CD5673">
        <w:t xml:space="preserve">  Information to accompany financial documents etc lodged for half</w:t>
      </w:r>
      <w:r w:rsidR="00C614F1">
        <w:noBreakHyphen/>
      </w:r>
      <w:r w:rsidRPr="00CD5673">
        <w:t>years</w:t>
      </w:r>
      <w:bookmarkEnd w:id="21"/>
    </w:p>
    <w:p w14:paraId="348F7FA4" w14:textId="77777777" w:rsidR="00D46430" w:rsidRPr="00CD5673" w:rsidRDefault="00D46430" w:rsidP="00D46430">
      <w:pPr>
        <w:pStyle w:val="subsection"/>
      </w:pPr>
      <w:r w:rsidRPr="00CD5673">
        <w:tab/>
      </w:r>
      <w:r w:rsidRPr="00CD5673">
        <w:tab/>
        <w:t>A document lodged under section 320 of the Act for a half</w:t>
      </w:r>
      <w:r w:rsidR="00C614F1">
        <w:noBreakHyphen/>
      </w:r>
      <w:r w:rsidRPr="00CD5673">
        <w:t>year must be accompanied by the approved form setting out the following information:</w:t>
      </w:r>
    </w:p>
    <w:p w14:paraId="0020815C" w14:textId="77777777" w:rsidR="00D46430" w:rsidRPr="00CD5673" w:rsidRDefault="00D46430" w:rsidP="00D46430">
      <w:pPr>
        <w:pStyle w:val="paragraph"/>
      </w:pPr>
      <w:r w:rsidRPr="00CD5673">
        <w:tab/>
        <w:t>(a)</w:t>
      </w:r>
      <w:r w:rsidRPr="00CD5673">
        <w:tab/>
        <w:t>if the disclosing entity is a company (other than a retail CCIV):</w:t>
      </w:r>
    </w:p>
    <w:p w14:paraId="7A0F6489" w14:textId="77777777" w:rsidR="00D46430" w:rsidRPr="00CD5673" w:rsidRDefault="00D46430" w:rsidP="00D46430">
      <w:pPr>
        <w:pStyle w:val="paragraphsub"/>
      </w:pPr>
      <w:r w:rsidRPr="00CD5673">
        <w:tab/>
        <w:t>(i)</w:t>
      </w:r>
      <w:r w:rsidRPr="00CD5673">
        <w:tab/>
        <w:t>the ACN of the company or, if the last 9 digits of its ABN are the same, and in the same order, as the last 9 digits of its ACN, the ABN of the company; and</w:t>
      </w:r>
    </w:p>
    <w:p w14:paraId="3B90CBDD" w14:textId="77777777" w:rsidR="00D46430" w:rsidRPr="00CD5673" w:rsidRDefault="00D46430" w:rsidP="00D46430">
      <w:pPr>
        <w:pStyle w:val="paragraphsub"/>
      </w:pPr>
      <w:r w:rsidRPr="00CD5673">
        <w:tab/>
        <w:t>(ii)</w:t>
      </w:r>
      <w:r w:rsidRPr="00CD5673">
        <w:tab/>
        <w:t>the dates on which the half</w:t>
      </w:r>
      <w:r w:rsidR="00C614F1">
        <w:noBreakHyphen/>
      </w:r>
      <w:r w:rsidRPr="00CD5673">
        <w:t>year to which the document relates begins and ends; and</w:t>
      </w:r>
    </w:p>
    <w:p w14:paraId="3CE9BB52" w14:textId="77777777" w:rsidR="00D46430" w:rsidRPr="00CD5673" w:rsidRDefault="00D46430" w:rsidP="00D46430">
      <w:pPr>
        <w:pStyle w:val="paragraphsub"/>
      </w:pPr>
      <w:r w:rsidRPr="00CD5673">
        <w:tab/>
        <w:t>(iii)</w:t>
      </w:r>
      <w:r w:rsidRPr="00CD5673">
        <w:tab/>
        <w:t>a statement of certification in accordance with regulation 1.0.16; or</w:t>
      </w:r>
    </w:p>
    <w:p w14:paraId="6DC4110D" w14:textId="77777777" w:rsidR="00D46430" w:rsidRPr="00CD5673" w:rsidRDefault="00D46430" w:rsidP="00D46430">
      <w:pPr>
        <w:pStyle w:val="paragraph"/>
      </w:pPr>
      <w:r w:rsidRPr="00CD5673">
        <w:tab/>
        <w:t>(b)</w:t>
      </w:r>
      <w:r w:rsidRPr="00CD5673">
        <w:tab/>
        <w:t>if the disclosing entity is a body (other than a company):</w:t>
      </w:r>
    </w:p>
    <w:p w14:paraId="15CF1EE1" w14:textId="77777777" w:rsidR="00D46430" w:rsidRPr="00CD5673" w:rsidRDefault="00D46430" w:rsidP="00D46430">
      <w:pPr>
        <w:pStyle w:val="paragraphsub"/>
      </w:pPr>
      <w:r w:rsidRPr="00CD5673">
        <w:tab/>
        <w:t>(i)</w:t>
      </w:r>
      <w:r w:rsidRPr="00CD5673">
        <w:tab/>
        <w:t>the ARBN of the body or, if the last 9 digits of its ABN are the same, and in the same order, as the last 9 digits of its ARBN, the ABN of the body; and</w:t>
      </w:r>
    </w:p>
    <w:p w14:paraId="45E05AA8" w14:textId="77777777" w:rsidR="00D46430" w:rsidRPr="00CD5673" w:rsidRDefault="00D46430" w:rsidP="00D46430">
      <w:pPr>
        <w:pStyle w:val="paragraphsub"/>
      </w:pPr>
      <w:r w:rsidRPr="00CD5673">
        <w:tab/>
        <w:t>(ii)</w:t>
      </w:r>
      <w:r w:rsidRPr="00CD5673">
        <w:tab/>
        <w:t>the dates on which the half</w:t>
      </w:r>
      <w:r w:rsidR="00C614F1">
        <w:noBreakHyphen/>
      </w:r>
      <w:r w:rsidRPr="00CD5673">
        <w:t>year to which the document relates begins and ends; and</w:t>
      </w:r>
    </w:p>
    <w:p w14:paraId="4B02AC5B" w14:textId="77777777" w:rsidR="00D46430" w:rsidRPr="00CD5673" w:rsidRDefault="00D46430" w:rsidP="00D46430">
      <w:pPr>
        <w:pStyle w:val="paragraphsub"/>
      </w:pPr>
      <w:r w:rsidRPr="00CD5673">
        <w:tab/>
        <w:t>(iii)</w:t>
      </w:r>
      <w:r w:rsidRPr="00CD5673">
        <w:tab/>
        <w:t>a statement of certification in accordance with regulation 1.0.16; or</w:t>
      </w:r>
    </w:p>
    <w:p w14:paraId="409B0A48" w14:textId="77777777" w:rsidR="00D46430" w:rsidRPr="00CD5673" w:rsidRDefault="00D46430" w:rsidP="00D46430">
      <w:pPr>
        <w:pStyle w:val="paragraph"/>
      </w:pPr>
      <w:r w:rsidRPr="00CD5673">
        <w:tab/>
        <w:t>(c)</w:t>
      </w:r>
      <w:r w:rsidRPr="00CD5673">
        <w:tab/>
        <w:t>if the disclosing entity is a registered scheme:</w:t>
      </w:r>
    </w:p>
    <w:p w14:paraId="16E6433A" w14:textId="77777777" w:rsidR="00D46430" w:rsidRPr="00CD5673" w:rsidRDefault="00D46430" w:rsidP="00D46430">
      <w:pPr>
        <w:pStyle w:val="paragraphsub"/>
      </w:pPr>
      <w:r w:rsidRPr="00CD5673">
        <w:tab/>
        <w:t>(i)</w:t>
      </w:r>
      <w:r w:rsidRPr="00CD5673">
        <w:tab/>
        <w:t>the ARSN of the scheme or, if the last 9 digits of its ABN are the same, and in the same order, as the last 9 digits of its ARSN, the ABN of the scheme; and</w:t>
      </w:r>
    </w:p>
    <w:p w14:paraId="1AADBE19" w14:textId="77777777" w:rsidR="00D46430" w:rsidRPr="00CD5673" w:rsidRDefault="00D46430" w:rsidP="00D46430">
      <w:pPr>
        <w:pStyle w:val="paragraphsub"/>
      </w:pPr>
      <w:r w:rsidRPr="00CD5673">
        <w:tab/>
        <w:t>(ii)</w:t>
      </w:r>
      <w:r w:rsidRPr="00CD5673">
        <w:tab/>
        <w:t>the dates of the beginning and end of the half</w:t>
      </w:r>
      <w:r w:rsidR="00C614F1">
        <w:noBreakHyphen/>
      </w:r>
      <w:r w:rsidRPr="00CD5673">
        <w:t>years to which the document relates; and</w:t>
      </w:r>
    </w:p>
    <w:p w14:paraId="16627723" w14:textId="77777777" w:rsidR="00D46430" w:rsidRPr="00CD5673" w:rsidRDefault="00D46430" w:rsidP="00D46430">
      <w:pPr>
        <w:pStyle w:val="paragraphsub"/>
      </w:pPr>
      <w:r w:rsidRPr="00CD5673">
        <w:tab/>
        <w:t>(iii)</w:t>
      </w:r>
      <w:r w:rsidRPr="00CD5673">
        <w:tab/>
        <w:t>the name of the responsible entity of the scheme and the name of the scheme; and</w:t>
      </w:r>
    </w:p>
    <w:p w14:paraId="5A813A14" w14:textId="77777777" w:rsidR="00D46430" w:rsidRPr="00CD5673" w:rsidRDefault="00D46430" w:rsidP="00D46430">
      <w:pPr>
        <w:pStyle w:val="paragraphsub"/>
      </w:pPr>
      <w:r w:rsidRPr="00CD5673">
        <w:tab/>
        <w:t>(iv)</w:t>
      </w:r>
      <w:r w:rsidRPr="00CD5673">
        <w:tab/>
        <w:t>a statement of certification in accordance with regulation 1.0.16; or</w:t>
      </w:r>
    </w:p>
    <w:p w14:paraId="2A9DEC3B" w14:textId="77777777" w:rsidR="00D46430" w:rsidRPr="00CD5673" w:rsidRDefault="00D46430" w:rsidP="00D46430">
      <w:pPr>
        <w:pStyle w:val="paragraph"/>
      </w:pPr>
      <w:r w:rsidRPr="00CD5673">
        <w:tab/>
        <w:t>(d)</w:t>
      </w:r>
      <w:r w:rsidRPr="00CD5673">
        <w:tab/>
        <w:t>if the disclosing entity is a retail CCIV:</w:t>
      </w:r>
    </w:p>
    <w:p w14:paraId="077C5A8B" w14:textId="77777777" w:rsidR="00D46430" w:rsidRPr="00CD5673" w:rsidRDefault="00D46430" w:rsidP="00D46430">
      <w:pPr>
        <w:pStyle w:val="paragraphsub"/>
      </w:pPr>
      <w:r w:rsidRPr="00CD5673">
        <w:tab/>
        <w:t>(i)</w:t>
      </w:r>
      <w:r w:rsidRPr="00CD5673">
        <w:tab/>
        <w:t>the name of the sub</w:t>
      </w:r>
      <w:r w:rsidR="00C614F1">
        <w:noBreakHyphen/>
      </w:r>
      <w:r w:rsidRPr="00CD5673">
        <w:t>fund of the CCIV in respect of which the document is lodged; and</w:t>
      </w:r>
    </w:p>
    <w:p w14:paraId="48AA486F" w14:textId="77777777" w:rsidR="00D46430" w:rsidRPr="00CD5673" w:rsidRDefault="00D46430" w:rsidP="00D46430">
      <w:pPr>
        <w:pStyle w:val="paragraphsub"/>
      </w:pPr>
      <w:r w:rsidRPr="00CD5673">
        <w:tab/>
        <w:t>(ii)</w:t>
      </w:r>
      <w:r w:rsidRPr="00CD5673">
        <w:tab/>
        <w:t>the name of the corporate director of the CCIV; and</w:t>
      </w:r>
    </w:p>
    <w:p w14:paraId="47A99E2B" w14:textId="77777777" w:rsidR="00D46430" w:rsidRPr="00CD5673" w:rsidRDefault="00D46430" w:rsidP="00D46430">
      <w:pPr>
        <w:pStyle w:val="paragraphsub"/>
      </w:pPr>
      <w:r w:rsidRPr="00CD5673">
        <w:tab/>
        <w:t>(iii)</w:t>
      </w:r>
      <w:r w:rsidRPr="00CD5673">
        <w:tab/>
        <w:t>the ACN of the CCIV or, if the last 9 digits of its ABN are the same, and in the same order, as the last 9 digits of its ACN, the ABN of the company; and</w:t>
      </w:r>
    </w:p>
    <w:p w14:paraId="5125BB46" w14:textId="77777777" w:rsidR="00D46430" w:rsidRPr="00CD5673" w:rsidRDefault="00D46430" w:rsidP="00D46430">
      <w:pPr>
        <w:pStyle w:val="paragraphsub"/>
      </w:pPr>
      <w:r w:rsidRPr="00CD5673">
        <w:tab/>
        <w:t>(iv)</w:t>
      </w:r>
      <w:r w:rsidRPr="00CD5673">
        <w:tab/>
        <w:t>the ARFN of that sub</w:t>
      </w:r>
      <w:r w:rsidR="00C614F1">
        <w:noBreakHyphen/>
      </w:r>
      <w:r w:rsidRPr="00CD5673">
        <w:t>fund of the CCIV or, if the last 9 digits of its ABN are the same, and in the same order, as the last 9 digits of its ARFN, the ABN of that sub</w:t>
      </w:r>
      <w:r w:rsidR="00C614F1">
        <w:noBreakHyphen/>
      </w:r>
      <w:r w:rsidRPr="00CD5673">
        <w:t>fund; and</w:t>
      </w:r>
    </w:p>
    <w:p w14:paraId="2F8E5C99" w14:textId="77777777" w:rsidR="00D46430" w:rsidRPr="00CD5673" w:rsidRDefault="00D46430" w:rsidP="00D46430">
      <w:pPr>
        <w:pStyle w:val="paragraphsub"/>
      </w:pPr>
      <w:r w:rsidRPr="00CD5673">
        <w:tab/>
        <w:t>(v)</w:t>
      </w:r>
      <w:r w:rsidRPr="00CD5673">
        <w:tab/>
        <w:t>the dates on which the financial year to which the document relates begins and ends; and</w:t>
      </w:r>
    </w:p>
    <w:p w14:paraId="03833034" w14:textId="77777777" w:rsidR="00D46430" w:rsidRPr="00CD5673" w:rsidRDefault="00D46430" w:rsidP="00D46430">
      <w:pPr>
        <w:pStyle w:val="paragraphsub"/>
      </w:pPr>
      <w:r w:rsidRPr="00CD5673">
        <w:tab/>
        <w:t>(vi)</w:t>
      </w:r>
      <w:r w:rsidRPr="00CD5673">
        <w:tab/>
        <w:t>a statement of certification in accordance with regulation 1.0.16.</w:t>
      </w:r>
    </w:p>
    <w:p w14:paraId="5ADCED77" w14:textId="77777777" w:rsidR="00D46430" w:rsidRPr="00CD5673" w:rsidRDefault="00D46430" w:rsidP="00D46430">
      <w:pPr>
        <w:pStyle w:val="notetext"/>
      </w:pPr>
      <w:r w:rsidRPr="00CD5673">
        <w:lastRenderedPageBreak/>
        <w:t>Note:</w:t>
      </w:r>
      <w:r w:rsidRPr="00CD5673">
        <w:tab/>
        <w:t>Section 1232F of the Act extends section 302 of the Act to preparing half</w:t>
      </w:r>
      <w:r w:rsidR="00C614F1">
        <w:noBreakHyphen/>
      </w:r>
      <w:r w:rsidRPr="00CD5673">
        <w:t>year financial reports and directors’ reports for sub</w:t>
      </w:r>
      <w:r w:rsidR="00C614F1">
        <w:noBreakHyphen/>
      </w:r>
      <w:r w:rsidRPr="00CD5673">
        <w:t>funds of retail CCIVs (if there are ED securities referable to the sub</w:t>
      </w:r>
      <w:r w:rsidR="00C614F1">
        <w:noBreakHyphen/>
      </w:r>
      <w:r w:rsidRPr="00CD5673">
        <w:t>fund), and applies Division 2 of Part 2M.3 of the Act accordingly.</w:t>
      </w:r>
    </w:p>
    <w:p w14:paraId="688EDF5F" w14:textId="77777777" w:rsidR="00D46430" w:rsidRPr="00CD5673" w:rsidRDefault="00D46430" w:rsidP="00D46430">
      <w:pPr>
        <w:pStyle w:val="ActHead5"/>
      </w:pPr>
      <w:bookmarkStart w:id="22" w:name="_Toc158711634"/>
      <w:r w:rsidRPr="00C614F1">
        <w:rPr>
          <w:rStyle w:val="CharSectno"/>
        </w:rPr>
        <w:t>1.0.10</w:t>
      </w:r>
      <w:r w:rsidRPr="00CD5673">
        <w:t xml:space="preserve">  Continuous disclosure notices</w:t>
      </w:r>
      <w:bookmarkEnd w:id="22"/>
    </w:p>
    <w:p w14:paraId="4C1C23FD" w14:textId="77777777" w:rsidR="00D46430" w:rsidRPr="00CD5673" w:rsidRDefault="00D46430" w:rsidP="00D46430">
      <w:pPr>
        <w:pStyle w:val="subsection"/>
      </w:pPr>
      <w:r w:rsidRPr="00CD5673">
        <w:tab/>
      </w:r>
      <w:r w:rsidRPr="00CD5673">
        <w:tab/>
        <w:t xml:space="preserve">A document lodged under </w:t>
      </w:r>
      <w:r w:rsidR="00692693" w:rsidRPr="00CD5673">
        <w:t>section 675 or 675A</w:t>
      </w:r>
      <w:r w:rsidRPr="00CD5673">
        <w:t xml:space="preserve"> of the Act must be accompanied by Form 1003 setting out the following information:</w:t>
      </w:r>
    </w:p>
    <w:p w14:paraId="6E9D9100" w14:textId="77777777" w:rsidR="00D46430" w:rsidRPr="00CD5673" w:rsidRDefault="00D46430" w:rsidP="00D46430">
      <w:pPr>
        <w:pStyle w:val="paragraph"/>
      </w:pPr>
      <w:r w:rsidRPr="00CD5673">
        <w:tab/>
        <w:t>(a)</w:t>
      </w:r>
      <w:r w:rsidRPr="00CD5673">
        <w:tab/>
        <w:t>if the disclosing entity is a body:</w:t>
      </w:r>
    </w:p>
    <w:p w14:paraId="2DD0A303" w14:textId="77777777" w:rsidR="00D46430" w:rsidRPr="00CD5673" w:rsidRDefault="00D46430" w:rsidP="00D46430">
      <w:pPr>
        <w:pStyle w:val="paragraphsub"/>
      </w:pPr>
      <w:r w:rsidRPr="00CD5673">
        <w:tab/>
        <w:t>(i)</w:t>
      </w:r>
      <w:r w:rsidRPr="00CD5673">
        <w:tab/>
        <w:t>the ACN or ARBN of the body or, if the last 9 digits of its ABN are the same, and in the same order, as the last 9 digits of its ACN or ARBN, the ABN of the body; and</w:t>
      </w:r>
    </w:p>
    <w:p w14:paraId="380A873A" w14:textId="77777777" w:rsidR="00D46430" w:rsidRPr="00CD5673" w:rsidRDefault="00D46430" w:rsidP="00D46430">
      <w:pPr>
        <w:pStyle w:val="paragraphsub"/>
      </w:pPr>
      <w:r w:rsidRPr="00CD5673">
        <w:tab/>
        <w:t>(ii)</w:t>
      </w:r>
      <w:r w:rsidRPr="00CD5673">
        <w:tab/>
        <w:t>a statement of certification in accordance with regulation 1.0.16; or</w:t>
      </w:r>
    </w:p>
    <w:p w14:paraId="06F28D72" w14:textId="77777777" w:rsidR="00D46430" w:rsidRPr="00CD5673" w:rsidRDefault="00D46430" w:rsidP="00D46430">
      <w:pPr>
        <w:pStyle w:val="paragraph"/>
      </w:pPr>
      <w:r w:rsidRPr="00CD5673">
        <w:tab/>
        <w:t>(b)</w:t>
      </w:r>
      <w:r w:rsidRPr="00CD5673">
        <w:tab/>
        <w:t>if the disclosing entity is a registered scheme:</w:t>
      </w:r>
    </w:p>
    <w:p w14:paraId="22290BEF" w14:textId="77777777" w:rsidR="00D46430" w:rsidRPr="00CD5673" w:rsidRDefault="00D46430" w:rsidP="00D46430">
      <w:pPr>
        <w:pStyle w:val="paragraphsub"/>
      </w:pPr>
      <w:r w:rsidRPr="00CD5673">
        <w:tab/>
        <w:t>(i)</w:t>
      </w:r>
      <w:r w:rsidRPr="00CD5673">
        <w:tab/>
        <w:t>the ARSN of the scheme or, if the last 9 digits of its ABN are the same, and in the same order, as the last 9 digits of its ARSN, the ABN of the scheme; and</w:t>
      </w:r>
    </w:p>
    <w:p w14:paraId="1BBB882C" w14:textId="77777777" w:rsidR="00D46430" w:rsidRPr="00CD5673" w:rsidRDefault="00D46430" w:rsidP="00D46430">
      <w:pPr>
        <w:pStyle w:val="paragraphsub"/>
      </w:pPr>
      <w:r w:rsidRPr="00CD5673">
        <w:tab/>
        <w:t>(ii)</w:t>
      </w:r>
      <w:r w:rsidRPr="00CD5673">
        <w:tab/>
        <w:t>the name of the responsible entity of the scheme and the name of the scheme; and</w:t>
      </w:r>
    </w:p>
    <w:p w14:paraId="0463CA3E" w14:textId="77777777" w:rsidR="00D46430" w:rsidRPr="00CD5673" w:rsidRDefault="00D46430" w:rsidP="00D46430">
      <w:pPr>
        <w:pStyle w:val="paragraphsub"/>
      </w:pPr>
      <w:r w:rsidRPr="00CD5673">
        <w:tab/>
        <w:t>(iii)</w:t>
      </w:r>
      <w:r w:rsidRPr="00CD5673">
        <w:tab/>
        <w:t>a statement of certification in accordance with regulation 1.0.16.</w:t>
      </w:r>
    </w:p>
    <w:p w14:paraId="0352603A" w14:textId="77777777" w:rsidR="00D46430" w:rsidRPr="00CD5673" w:rsidRDefault="00D46430" w:rsidP="00D46430">
      <w:pPr>
        <w:pStyle w:val="ActHead5"/>
      </w:pPr>
      <w:bookmarkStart w:id="23" w:name="_Toc158711635"/>
      <w:r w:rsidRPr="00C614F1">
        <w:rPr>
          <w:rStyle w:val="CharSectno"/>
        </w:rPr>
        <w:t>1.0.11</w:t>
      </w:r>
      <w:r w:rsidRPr="00CD5673">
        <w:t xml:space="preserve">  Certain documents to be signed by personal representatives etc</w:t>
      </w:r>
      <w:bookmarkEnd w:id="23"/>
    </w:p>
    <w:p w14:paraId="0A42514A" w14:textId="77777777" w:rsidR="00D46430" w:rsidRPr="00CD5673" w:rsidRDefault="00D46430" w:rsidP="00D46430">
      <w:pPr>
        <w:pStyle w:val="subsection"/>
      </w:pPr>
      <w:r w:rsidRPr="00CD5673">
        <w:tab/>
      </w:r>
      <w:r w:rsidRPr="00CD5673">
        <w:tab/>
        <w:t>Unless these Regulations state otherwise, a document relating to a corporation that is a proprietary company to which section 201F of the Act applies that does not have a director or secretary must be signed by the personal representative or trustee mentioned in that section.</w:t>
      </w:r>
    </w:p>
    <w:p w14:paraId="2D352A8D" w14:textId="77777777" w:rsidR="00D46430" w:rsidRPr="00CD5673" w:rsidRDefault="00D46430" w:rsidP="00D46430">
      <w:pPr>
        <w:pStyle w:val="ActHead5"/>
      </w:pPr>
      <w:bookmarkStart w:id="24" w:name="_Toc158711636"/>
      <w:r w:rsidRPr="00C614F1">
        <w:rPr>
          <w:rStyle w:val="CharSectno"/>
        </w:rPr>
        <w:t>1.0.12</w:t>
      </w:r>
      <w:r w:rsidRPr="00CD5673">
        <w:t xml:space="preserve">  Form of notice of resolution</w:t>
      </w:r>
      <w:bookmarkEnd w:id="24"/>
    </w:p>
    <w:p w14:paraId="6BAE2333" w14:textId="77777777" w:rsidR="00D46430" w:rsidRPr="00CD5673" w:rsidRDefault="00D46430" w:rsidP="00D46430">
      <w:pPr>
        <w:pStyle w:val="subsection"/>
      </w:pPr>
      <w:r w:rsidRPr="00CD5673">
        <w:tab/>
      </w:r>
      <w:r w:rsidRPr="00CD5673">
        <w:tab/>
        <w:t>A copy of a resolution lodged under subsection 136(5), 157(2), 162(3), 246F(3), 254H(4), 254N(2), 256C(3), 260B(7), 461(2), 506(1B), 507(11) or 510(1A) of the Act must be set out in, or annexed to, a notice in accordance with the approved form.</w:t>
      </w:r>
    </w:p>
    <w:p w14:paraId="12895121" w14:textId="77777777" w:rsidR="00D46430" w:rsidRPr="00CD5673" w:rsidRDefault="00D46430" w:rsidP="00D46430">
      <w:pPr>
        <w:pStyle w:val="ActHead5"/>
      </w:pPr>
      <w:bookmarkStart w:id="25" w:name="_Toc158711637"/>
      <w:r w:rsidRPr="00C614F1">
        <w:rPr>
          <w:rStyle w:val="CharSectno"/>
        </w:rPr>
        <w:t>1.0.13</w:t>
      </w:r>
      <w:r w:rsidRPr="00CD5673">
        <w:t xml:space="preserve">  Time for lodging documents</w:t>
      </w:r>
      <w:bookmarkEnd w:id="25"/>
    </w:p>
    <w:p w14:paraId="38FA28F1" w14:textId="77777777" w:rsidR="00D46430" w:rsidRPr="00CD5673" w:rsidRDefault="00D46430" w:rsidP="00D46430">
      <w:pPr>
        <w:pStyle w:val="subsection"/>
      </w:pPr>
      <w:r w:rsidRPr="00CD5673">
        <w:tab/>
      </w:r>
      <w:r w:rsidRPr="00CD5673">
        <w:tab/>
        <w:t>If:</w:t>
      </w:r>
    </w:p>
    <w:p w14:paraId="70018A1A" w14:textId="77777777" w:rsidR="00D46430" w:rsidRPr="00CD5673" w:rsidRDefault="00D46430" w:rsidP="00D46430">
      <w:pPr>
        <w:pStyle w:val="paragraph"/>
      </w:pPr>
      <w:r w:rsidRPr="00CD5673">
        <w:tab/>
        <w:t>(a)</w:t>
      </w:r>
      <w:r w:rsidRPr="00CD5673">
        <w:tab/>
        <w:t>a document must be lodged; and</w:t>
      </w:r>
    </w:p>
    <w:p w14:paraId="061BFE83" w14:textId="77777777" w:rsidR="00D46430" w:rsidRPr="00CD5673" w:rsidRDefault="00D46430" w:rsidP="00D46430">
      <w:pPr>
        <w:pStyle w:val="paragraph"/>
      </w:pPr>
      <w:r w:rsidRPr="00CD5673">
        <w:tab/>
        <w:t>(b)</w:t>
      </w:r>
      <w:r w:rsidRPr="00CD5673">
        <w:tab/>
        <w:t>the period within which the document must be lodged is not prescribed;</w:t>
      </w:r>
    </w:p>
    <w:p w14:paraId="7AFF8CD3" w14:textId="77777777" w:rsidR="00D46430" w:rsidRPr="00CD5673" w:rsidRDefault="00D46430" w:rsidP="00D46430">
      <w:pPr>
        <w:pStyle w:val="subsection2"/>
      </w:pPr>
      <w:r w:rsidRPr="00CD5673">
        <w:t>the document must be lodged:</w:t>
      </w:r>
    </w:p>
    <w:p w14:paraId="38CA856C" w14:textId="77777777" w:rsidR="00D46430" w:rsidRPr="00CD5673" w:rsidRDefault="00D46430" w:rsidP="00D46430">
      <w:pPr>
        <w:pStyle w:val="paragraph"/>
      </w:pPr>
      <w:r w:rsidRPr="00CD5673">
        <w:tab/>
        <w:t>(c)</w:t>
      </w:r>
      <w:r w:rsidRPr="00CD5673">
        <w:tab/>
        <w:t>if paragraph (d) does not apply—within one month; or</w:t>
      </w:r>
    </w:p>
    <w:p w14:paraId="4C6D42FF" w14:textId="77777777" w:rsidR="00D46430" w:rsidRPr="00CD5673" w:rsidRDefault="00D46430" w:rsidP="00D46430">
      <w:pPr>
        <w:pStyle w:val="paragraph"/>
      </w:pPr>
      <w:r w:rsidRPr="00CD5673">
        <w:tab/>
        <w:t>(d)</w:t>
      </w:r>
      <w:r w:rsidRPr="00CD5673">
        <w:tab/>
        <w:t>if the document is to be lodged by a foreign company and ASIC allows a further period because of special circumstances—that further period;</w:t>
      </w:r>
    </w:p>
    <w:p w14:paraId="16B00469" w14:textId="77777777" w:rsidR="00D46430" w:rsidRPr="00CD5673" w:rsidRDefault="00D46430" w:rsidP="00D46430">
      <w:pPr>
        <w:pStyle w:val="subsection2"/>
      </w:pPr>
      <w:r w:rsidRPr="00CD5673">
        <w:t>after the happening of the event to which the document relates.</w:t>
      </w:r>
    </w:p>
    <w:p w14:paraId="79A5E677" w14:textId="77777777" w:rsidR="00D46430" w:rsidRPr="00CD5673" w:rsidRDefault="00D46430" w:rsidP="00D46430">
      <w:pPr>
        <w:pStyle w:val="ActHead5"/>
      </w:pPr>
      <w:bookmarkStart w:id="26" w:name="_Toc158711638"/>
      <w:r w:rsidRPr="00C614F1">
        <w:rPr>
          <w:rStyle w:val="CharSectno"/>
        </w:rPr>
        <w:t>1.0.14</w:t>
      </w:r>
      <w:r w:rsidRPr="00CD5673">
        <w:t xml:space="preserve">  Address of registered office or place of business</w:t>
      </w:r>
      <w:bookmarkEnd w:id="26"/>
    </w:p>
    <w:p w14:paraId="6C875784" w14:textId="77777777" w:rsidR="00D46430" w:rsidRPr="00CD5673" w:rsidRDefault="00D46430" w:rsidP="00D46430">
      <w:pPr>
        <w:pStyle w:val="subsection"/>
      </w:pPr>
      <w:r w:rsidRPr="00CD5673">
        <w:tab/>
      </w:r>
      <w:r w:rsidRPr="00CD5673">
        <w:tab/>
        <w:t>If notice must be given under these Regulations of:</w:t>
      </w:r>
    </w:p>
    <w:p w14:paraId="1F355F90" w14:textId="77777777" w:rsidR="00D46430" w:rsidRPr="00CD5673" w:rsidRDefault="00D46430" w:rsidP="00D46430">
      <w:pPr>
        <w:pStyle w:val="paragraph"/>
      </w:pPr>
      <w:r w:rsidRPr="00CD5673">
        <w:tab/>
        <w:t>(a)</w:t>
      </w:r>
      <w:r w:rsidRPr="00CD5673">
        <w:tab/>
        <w:t>the address of an office or a proposed office; or</w:t>
      </w:r>
    </w:p>
    <w:p w14:paraId="5D9FCD7C" w14:textId="77777777" w:rsidR="00D46430" w:rsidRPr="00CD5673" w:rsidRDefault="00D46430" w:rsidP="00D46430">
      <w:pPr>
        <w:pStyle w:val="paragraph"/>
      </w:pPr>
      <w:r w:rsidRPr="00CD5673">
        <w:tab/>
        <w:t>(b)</w:t>
      </w:r>
      <w:r w:rsidRPr="00CD5673">
        <w:tab/>
        <w:t>the address of a place of business;</w:t>
      </w:r>
    </w:p>
    <w:p w14:paraId="569AF466" w14:textId="77777777" w:rsidR="00D46430" w:rsidRPr="00CD5673" w:rsidRDefault="00D46430" w:rsidP="00D46430">
      <w:pPr>
        <w:pStyle w:val="subsection2"/>
      </w:pPr>
      <w:r w:rsidRPr="00CD5673">
        <w:t>of a corporation or a person, the notice must include:</w:t>
      </w:r>
    </w:p>
    <w:p w14:paraId="119ECB8B" w14:textId="77777777" w:rsidR="00D46430" w:rsidRPr="00CD5673" w:rsidRDefault="00D46430" w:rsidP="00D46430">
      <w:pPr>
        <w:pStyle w:val="paragraph"/>
      </w:pPr>
      <w:r w:rsidRPr="00CD5673">
        <w:tab/>
        <w:t>(c)</w:t>
      </w:r>
      <w:r w:rsidRPr="00CD5673">
        <w:tab/>
        <w:t>if applicable, the number of the room in which; and</w:t>
      </w:r>
    </w:p>
    <w:p w14:paraId="13F348D9" w14:textId="77777777" w:rsidR="00D46430" w:rsidRPr="00CD5673" w:rsidRDefault="00D46430" w:rsidP="00D46430">
      <w:pPr>
        <w:pStyle w:val="paragraph"/>
      </w:pPr>
      <w:r w:rsidRPr="00CD5673">
        <w:tab/>
        <w:t>(d)</w:t>
      </w:r>
      <w:r w:rsidRPr="00CD5673">
        <w:tab/>
        <w:t>if applicable, the number of the floor or level on which; and</w:t>
      </w:r>
    </w:p>
    <w:p w14:paraId="773E6CE5" w14:textId="77777777" w:rsidR="00D46430" w:rsidRPr="00CD5673" w:rsidRDefault="00D46430" w:rsidP="00D46430">
      <w:pPr>
        <w:pStyle w:val="paragraph"/>
      </w:pPr>
      <w:r w:rsidRPr="00CD5673">
        <w:tab/>
        <w:t>(e)</w:t>
      </w:r>
      <w:r w:rsidRPr="00CD5673">
        <w:tab/>
        <w:t>the place in Australia in which;</w:t>
      </w:r>
    </w:p>
    <w:p w14:paraId="30E472A5" w14:textId="77777777" w:rsidR="00D46430" w:rsidRPr="00CD5673" w:rsidRDefault="00D46430" w:rsidP="00D46430">
      <w:pPr>
        <w:pStyle w:val="subsection2"/>
      </w:pPr>
      <w:r w:rsidRPr="00CD5673">
        <w:t>the office or place of business is, or is to be, situated.</w:t>
      </w:r>
    </w:p>
    <w:p w14:paraId="470EFBAF" w14:textId="77777777" w:rsidR="00D46430" w:rsidRPr="00CD5673" w:rsidRDefault="00D46430" w:rsidP="00D46430">
      <w:pPr>
        <w:pStyle w:val="ActHead5"/>
      </w:pPr>
      <w:bookmarkStart w:id="27" w:name="_Toc158711639"/>
      <w:r w:rsidRPr="00C614F1">
        <w:rPr>
          <w:rStyle w:val="CharSectno"/>
        </w:rPr>
        <w:t>1.0.15</w:t>
      </w:r>
      <w:r w:rsidRPr="00CD5673">
        <w:t xml:space="preserve">  Affidavits and statements in writing</w:t>
      </w:r>
      <w:bookmarkEnd w:id="27"/>
    </w:p>
    <w:p w14:paraId="24DA36F4" w14:textId="77777777" w:rsidR="00D46430" w:rsidRPr="00CD5673" w:rsidRDefault="00D46430" w:rsidP="00D46430">
      <w:pPr>
        <w:pStyle w:val="subsection"/>
      </w:pPr>
      <w:r w:rsidRPr="00CD5673">
        <w:tab/>
        <w:t>(1)</w:t>
      </w:r>
      <w:r w:rsidRPr="00CD5673">
        <w:tab/>
        <w:t>An affidavit or statement in writing must be sworn or made, on behalf of a corporation, by a director or a secretary of the corporation.</w:t>
      </w:r>
    </w:p>
    <w:p w14:paraId="627AE1F7" w14:textId="77777777" w:rsidR="00D46430" w:rsidRPr="00CD5673" w:rsidRDefault="00D46430" w:rsidP="00D46430">
      <w:pPr>
        <w:pStyle w:val="subsection"/>
      </w:pPr>
      <w:r w:rsidRPr="00CD5673">
        <w:tab/>
        <w:t>(2)</w:t>
      </w:r>
      <w:r w:rsidRPr="00CD5673">
        <w:tab/>
        <w:t>If an affidavit is sworn outside Australia, the affidavit is sufficient if it appears to be sworn in accordance with the requirements of the law of that place.</w:t>
      </w:r>
    </w:p>
    <w:p w14:paraId="1F3BAAD5" w14:textId="77777777" w:rsidR="00D46430" w:rsidRPr="00CD5673" w:rsidRDefault="00D46430" w:rsidP="00D46430">
      <w:pPr>
        <w:pStyle w:val="ActHead5"/>
      </w:pPr>
      <w:bookmarkStart w:id="28" w:name="_Toc158711640"/>
      <w:r w:rsidRPr="00C614F1">
        <w:rPr>
          <w:rStyle w:val="CharSectno"/>
        </w:rPr>
        <w:lastRenderedPageBreak/>
        <w:t>1.0.16</w:t>
      </w:r>
      <w:r w:rsidRPr="00CD5673">
        <w:t xml:space="preserve">  Certification and verification of certain documents</w:t>
      </w:r>
      <w:bookmarkEnd w:id="28"/>
    </w:p>
    <w:p w14:paraId="4F1568A6" w14:textId="77777777" w:rsidR="00D46430" w:rsidRPr="00CD5673" w:rsidRDefault="00D46430" w:rsidP="00D46430">
      <w:pPr>
        <w:pStyle w:val="subsection"/>
      </w:pPr>
      <w:r w:rsidRPr="00CD5673">
        <w:tab/>
        <w:t>(1)</w:t>
      </w:r>
      <w:r w:rsidRPr="00CD5673">
        <w:tab/>
        <w:t>A document relating to a corporation or registered scheme that is to be certified or verified must be certified or verified in the approved form and signed by:</w:t>
      </w:r>
    </w:p>
    <w:p w14:paraId="035C75C9" w14:textId="77777777" w:rsidR="00D46430" w:rsidRPr="00CD5673" w:rsidRDefault="00D46430" w:rsidP="00D46430">
      <w:pPr>
        <w:pStyle w:val="paragraph"/>
      </w:pPr>
      <w:r w:rsidRPr="00CD5673">
        <w:tab/>
        <w:t>(a)</w:t>
      </w:r>
      <w:r w:rsidRPr="00CD5673">
        <w:tab/>
        <w:t>a director or secretary of the corporation, or of the responsible entity of the scheme, who resides in Australia or an external territory; or</w:t>
      </w:r>
    </w:p>
    <w:p w14:paraId="0D1F4C75" w14:textId="77777777" w:rsidR="00D46430" w:rsidRPr="00CD5673" w:rsidRDefault="00D46430" w:rsidP="00D46430">
      <w:pPr>
        <w:pStyle w:val="paragraph"/>
      </w:pPr>
      <w:r w:rsidRPr="00CD5673">
        <w:tab/>
        <w:t>(b)</w:t>
      </w:r>
      <w:r w:rsidRPr="00CD5673">
        <w:tab/>
        <w:t>an agent of the corporation or entity or, if the agent is a company, a director or secretary of the company who resides in Australia or an external territory.</w:t>
      </w:r>
    </w:p>
    <w:p w14:paraId="04C4CCF8" w14:textId="77777777" w:rsidR="00D46430" w:rsidRPr="00CD5673" w:rsidRDefault="00D46430" w:rsidP="00D46430">
      <w:pPr>
        <w:pStyle w:val="subsection"/>
      </w:pPr>
      <w:r w:rsidRPr="00CD5673">
        <w:tab/>
        <w:t>(2)</w:t>
      </w:r>
      <w:r w:rsidRPr="00CD5673">
        <w:tab/>
        <w:t>Subregulation (1) does not apply to a document relating to a notified foreign passport fund.</w:t>
      </w:r>
    </w:p>
    <w:p w14:paraId="0CF7FCDF" w14:textId="77777777" w:rsidR="00D46430" w:rsidRPr="00CD5673" w:rsidRDefault="00D46430" w:rsidP="00D46430">
      <w:pPr>
        <w:pStyle w:val="subsection"/>
      </w:pPr>
      <w:r w:rsidRPr="00CD5673">
        <w:tab/>
        <w:t>(3)</w:t>
      </w:r>
      <w:r w:rsidRPr="00CD5673">
        <w:tab/>
        <w:t>A document relating to a notified foreign passport fund that is to be certified or verified must be certified or verified in the approved form and signed by:</w:t>
      </w:r>
    </w:p>
    <w:p w14:paraId="20ACA206" w14:textId="77777777" w:rsidR="00D46430" w:rsidRPr="00CD5673" w:rsidRDefault="00D46430" w:rsidP="00D46430">
      <w:pPr>
        <w:pStyle w:val="paragraph"/>
      </w:pPr>
      <w:r w:rsidRPr="00CD5673">
        <w:tab/>
        <w:t>(a)</w:t>
      </w:r>
      <w:r w:rsidRPr="00CD5673">
        <w:tab/>
        <w:t>a director or secretary of the operator of the fund; or</w:t>
      </w:r>
    </w:p>
    <w:p w14:paraId="19D07DB3" w14:textId="77777777" w:rsidR="00D46430" w:rsidRPr="00CD5673" w:rsidRDefault="00D46430" w:rsidP="00D46430">
      <w:pPr>
        <w:pStyle w:val="paragraph"/>
      </w:pPr>
      <w:r w:rsidRPr="00CD5673">
        <w:tab/>
        <w:t>(b)</w:t>
      </w:r>
      <w:r w:rsidRPr="00CD5673">
        <w:tab/>
        <w:t>the local agent for the operator of the fund; or</w:t>
      </w:r>
    </w:p>
    <w:p w14:paraId="6E72F45F" w14:textId="77777777" w:rsidR="00D46430" w:rsidRPr="00CD5673" w:rsidRDefault="00D46430" w:rsidP="00D46430">
      <w:pPr>
        <w:pStyle w:val="paragraph"/>
      </w:pPr>
      <w:r w:rsidRPr="00CD5673">
        <w:tab/>
        <w:t>(c)</w:t>
      </w:r>
      <w:r w:rsidRPr="00CD5673">
        <w:tab/>
        <w:t>if the local agent is a company—a director or secretary of that company.</w:t>
      </w:r>
    </w:p>
    <w:p w14:paraId="4B15D121" w14:textId="77777777" w:rsidR="002944F9" w:rsidRPr="00CD5673" w:rsidRDefault="002944F9" w:rsidP="002944F9">
      <w:pPr>
        <w:pStyle w:val="subsection"/>
      </w:pPr>
      <w:r w:rsidRPr="00CD5673">
        <w:tab/>
        <w:t>(4)</w:t>
      </w:r>
      <w:r w:rsidRPr="00CD5673">
        <w:tab/>
        <w:t>A document relating to a registrable superannuation entity that is to be certified or verified must be certified or verified in the approved form and signed by a director of the entity.</w:t>
      </w:r>
    </w:p>
    <w:p w14:paraId="1F04B921" w14:textId="77777777" w:rsidR="00D46430" w:rsidRPr="00CD5673" w:rsidRDefault="00D46430" w:rsidP="00D46430">
      <w:pPr>
        <w:pStyle w:val="ActHead5"/>
      </w:pPr>
      <w:bookmarkStart w:id="29" w:name="_Toc158711641"/>
      <w:r w:rsidRPr="00C614F1">
        <w:rPr>
          <w:rStyle w:val="CharSectno"/>
        </w:rPr>
        <w:t>1.0.17</w:t>
      </w:r>
      <w:r w:rsidRPr="00CD5673">
        <w:t xml:space="preserve">  Documents signed or sworn in accordance with the </w:t>
      </w:r>
      <w:r w:rsidR="003C34A0" w:rsidRPr="00CD5673">
        <w:t>rules of court</w:t>
      </w:r>
      <w:bookmarkEnd w:id="29"/>
    </w:p>
    <w:p w14:paraId="133EEE2C" w14:textId="77777777" w:rsidR="00D46430" w:rsidRPr="00CD5673" w:rsidRDefault="00D46430" w:rsidP="00D46430">
      <w:pPr>
        <w:pStyle w:val="subsection"/>
      </w:pPr>
      <w:r w:rsidRPr="00CD5673">
        <w:tab/>
        <w:t>(1)</w:t>
      </w:r>
      <w:r w:rsidRPr="00CD5673">
        <w:tab/>
        <w:t xml:space="preserve">A document that is signed in accordance with the </w:t>
      </w:r>
      <w:r w:rsidR="003C34A0" w:rsidRPr="00CD5673">
        <w:t>rules of court</w:t>
      </w:r>
      <w:r w:rsidRPr="00CD5673">
        <w:t xml:space="preserve"> is taken to have been signed in accordance with regulation 1.0.11.</w:t>
      </w:r>
    </w:p>
    <w:p w14:paraId="7043D6E3" w14:textId="77777777" w:rsidR="00D46430" w:rsidRPr="00CD5673" w:rsidRDefault="00D46430" w:rsidP="00D46430">
      <w:pPr>
        <w:pStyle w:val="subsection"/>
      </w:pPr>
      <w:r w:rsidRPr="00CD5673">
        <w:tab/>
        <w:t>(2)</w:t>
      </w:r>
      <w:r w:rsidRPr="00CD5673">
        <w:tab/>
        <w:t xml:space="preserve">An affidavit or statement that is sworn or made in accordance with the </w:t>
      </w:r>
      <w:r w:rsidR="003C34A0" w:rsidRPr="00CD5673">
        <w:t>rules of court</w:t>
      </w:r>
      <w:r w:rsidRPr="00CD5673">
        <w:t xml:space="preserve"> is taken to have been sworn or made in accordance with regulation 1.0.15.</w:t>
      </w:r>
    </w:p>
    <w:p w14:paraId="7597B88D" w14:textId="77777777" w:rsidR="00D46430" w:rsidRPr="00CD5673" w:rsidRDefault="00D46430" w:rsidP="00D46430">
      <w:pPr>
        <w:pStyle w:val="ActHead5"/>
      </w:pPr>
      <w:bookmarkStart w:id="30" w:name="_Toc158711642"/>
      <w:r w:rsidRPr="00C614F1">
        <w:rPr>
          <w:rStyle w:val="CharSectno"/>
        </w:rPr>
        <w:t>1.0.18</w:t>
      </w:r>
      <w:r w:rsidRPr="00CD5673">
        <w:t xml:space="preserve">  Prescribed provisions (Act s 53)</w:t>
      </w:r>
      <w:bookmarkEnd w:id="30"/>
    </w:p>
    <w:p w14:paraId="588FDD40" w14:textId="77777777" w:rsidR="00D46430" w:rsidRPr="00CD5673" w:rsidRDefault="00D46430" w:rsidP="00D46430">
      <w:pPr>
        <w:pStyle w:val="subsection"/>
      </w:pPr>
      <w:r w:rsidRPr="00CD5673">
        <w:tab/>
      </w:r>
      <w:r w:rsidRPr="00CD5673">
        <w:tab/>
        <w:t>For section 53 of the Act, the following provisions of the Act are prescribed:</w:t>
      </w:r>
    </w:p>
    <w:p w14:paraId="2227CCF9" w14:textId="77777777" w:rsidR="00D46430" w:rsidRPr="00CD5673" w:rsidRDefault="00D46430" w:rsidP="00D46430">
      <w:pPr>
        <w:pStyle w:val="paragraph"/>
      </w:pPr>
      <w:r w:rsidRPr="00CD5673">
        <w:tab/>
        <w:t>(a)</w:t>
      </w:r>
      <w:r w:rsidRPr="00CD5673">
        <w:tab/>
        <w:t>section 657A;</w:t>
      </w:r>
    </w:p>
    <w:p w14:paraId="6BEF356F" w14:textId="77777777" w:rsidR="00D46430" w:rsidRPr="00CD5673" w:rsidRDefault="00D46430" w:rsidP="00D46430">
      <w:pPr>
        <w:pStyle w:val="paragraph"/>
        <w:rPr>
          <w:color w:val="000000"/>
        </w:rPr>
      </w:pPr>
      <w:r w:rsidRPr="00CD5673">
        <w:rPr>
          <w:color w:val="000000"/>
        </w:rPr>
        <w:tab/>
        <w:t>(b)</w:t>
      </w:r>
      <w:r w:rsidRPr="00CD5673">
        <w:rPr>
          <w:color w:val="000000"/>
        </w:rPr>
        <w:tab/>
        <w:t>paragraphs 12(2)(b) and (c) of the Act.</w:t>
      </w:r>
    </w:p>
    <w:p w14:paraId="52E1E061" w14:textId="77777777" w:rsidR="00D46430" w:rsidRPr="00CD5673" w:rsidRDefault="00D46430" w:rsidP="00D46430">
      <w:pPr>
        <w:pStyle w:val="ActHead5"/>
      </w:pPr>
      <w:bookmarkStart w:id="31" w:name="_Toc158711643"/>
      <w:r w:rsidRPr="00C614F1">
        <w:rPr>
          <w:rStyle w:val="CharSectno"/>
        </w:rPr>
        <w:t>1.0.20</w:t>
      </w:r>
      <w:r w:rsidRPr="00CD5673">
        <w:t xml:space="preserve">  Copies of orders to be lodged</w:t>
      </w:r>
      <w:bookmarkEnd w:id="31"/>
    </w:p>
    <w:p w14:paraId="3E69C939" w14:textId="77777777" w:rsidR="00D46430" w:rsidRPr="00CD5673" w:rsidRDefault="00D46430" w:rsidP="00D46430">
      <w:pPr>
        <w:pStyle w:val="subsection"/>
      </w:pPr>
      <w:r w:rsidRPr="00CD5673">
        <w:tab/>
      </w:r>
      <w:r w:rsidRPr="00CD5673">
        <w:tab/>
        <w:t>A person who obtains an order of the Court under or for:</w:t>
      </w:r>
    </w:p>
    <w:p w14:paraId="7B595D54" w14:textId="77777777" w:rsidR="00D46430" w:rsidRPr="00CD5673" w:rsidRDefault="00D46430" w:rsidP="00D46430">
      <w:pPr>
        <w:pStyle w:val="paragraph"/>
      </w:pPr>
      <w:r w:rsidRPr="00CD5673">
        <w:tab/>
        <w:t>(e)</w:t>
      </w:r>
      <w:r w:rsidRPr="00CD5673">
        <w:tab/>
        <w:t>subsection 484(1); or</w:t>
      </w:r>
    </w:p>
    <w:p w14:paraId="2E5E669D" w14:textId="77777777" w:rsidR="00D46430" w:rsidRPr="00CD5673" w:rsidRDefault="00D46430" w:rsidP="00D46430">
      <w:pPr>
        <w:pStyle w:val="paragraph"/>
      </w:pPr>
      <w:r w:rsidRPr="00CD5673">
        <w:tab/>
        <w:t>(ea)</w:t>
      </w:r>
      <w:r w:rsidRPr="00CD5673">
        <w:tab/>
        <w:t>paragraph 484(2)(c); or</w:t>
      </w:r>
    </w:p>
    <w:p w14:paraId="76935BB1" w14:textId="77777777" w:rsidR="00D46430" w:rsidRPr="00CD5673" w:rsidRDefault="00D46430" w:rsidP="00D46430">
      <w:pPr>
        <w:pStyle w:val="paragraph"/>
      </w:pPr>
      <w:r w:rsidRPr="00CD5673">
        <w:tab/>
        <w:t>(f)</w:t>
      </w:r>
      <w:r w:rsidRPr="00CD5673">
        <w:tab/>
        <w:t>section 583; or</w:t>
      </w:r>
    </w:p>
    <w:p w14:paraId="0E317A28" w14:textId="77777777" w:rsidR="00D46430" w:rsidRPr="00CD5673" w:rsidRDefault="00D46430" w:rsidP="00D46430">
      <w:pPr>
        <w:pStyle w:val="paragraph"/>
      </w:pPr>
      <w:r w:rsidRPr="00CD5673">
        <w:tab/>
        <w:t>(g)</w:t>
      </w:r>
      <w:r w:rsidRPr="00CD5673">
        <w:tab/>
        <w:t>section 585; or</w:t>
      </w:r>
    </w:p>
    <w:p w14:paraId="1B2816E4" w14:textId="77777777" w:rsidR="00D46430" w:rsidRPr="00CD5673" w:rsidRDefault="00D46430" w:rsidP="00D46430">
      <w:pPr>
        <w:pStyle w:val="paragraph"/>
      </w:pPr>
      <w:r w:rsidRPr="00CD5673">
        <w:tab/>
        <w:t>(h)</w:t>
      </w:r>
      <w:r w:rsidRPr="00CD5673">
        <w:tab/>
        <w:t>section 601ND; or</w:t>
      </w:r>
    </w:p>
    <w:p w14:paraId="6C02F1CE" w14:textId="77777777" w:rsidR="00D46430" w:rsidRPr="00CD5673" w:rsidRDefault="00D46430" w:rsidP="00D46430">
      <w:pPr>
        <w:pStyle w:val="paragraph"/>
      </w:pPr>
      <w:r w:rsidRPr="00CD5673">
        <w:tab/>
        <w:t>(j)</w:t>
      </w:r>
      <w:r w:rsidRPr="00CD5673">
        <w:tab/>
        <w:t>section 1322;</w:t>
      </w:r>
    </w:p>
    <w:p w14:paraId="480368E4" w14:textId="77777777" w:rsidR="00D46430" w:rsidRPr="00CD5673" w:rsidRDefault="00D46430" w:rsidP="00D46430">
      <w:pPr>
        <w:pStyle w:val="subsection2"/>
      </w:pPr>
      <w:r w:rsidRPr="00CD5673">
        <w:t>of the Act, must lodge an office copy of the order with ASIC.</w:t>
      </w:r>
    </w:p>
    <w:p w14:paraId="45DBD2D0" w14:textId="77777777" w:rsidR="00D46430" w:rsidRPr="00CD5673" w:rsidRDefault="00D46430" w:rsidP="00D46430">
      <w:pPr>
        <w:pStyle w:val="ActHead5"/>
      </w:pPr>
      <w:bookmarkStart w:id="32" w:name="_Toc158711644"/>
      <w:r w:rsidRPr="00C614F1">
        <w:rPr>
          <w:rStyle w:val="CharSectno"/>
        </w:rPr>
        <w:t>1.0.21</w:t>
      </w:r>
      <w:r w:rsidRPr="00CD5673">
        <w:t xml:space="preserve">  Identification of lodged orders</w:t>
      </w:r>
      <w:bookmarkEnd w:id="32"/>
    </w:p>
    <w:p w14:paraId="1D334331" w14:textId="77777777" w:rsidR="00D46430" w:rsidRPr="00CD5673" w:rsidRDefault="00D46430" w:rsidP="00D46430">
      <w:pPr>
        <w:pStyle w:val="subsection"/>
      </w:pPr>
      <w:r w:rsidRPr="00CD5673">
        <w:tab/>
      </w:r>
      <w:r w:rsidRPr="00CD5673">
        <w:tab/>
        <w:t>If an order or copy of an order of a court is lodged with ASIC, it must be accompanied by a cover page in Form 105 identifying the legislative provision or other law under which the order was made and the nature of the order.</w:t>
      </w:r>
    </w:p>
    <w:p w14:paraId="52A5692B" w14:textId="77777777" w:rsidR="00F733AF" w:rsidRPr="00BE1284" w:rsidRDefault="00F733AF" w:rsidP="00F733AF">
      <w:pPr>
        <w:pStyle w:val="ActHead5"/>
      </w:pPr>
      <w:bookmarkStart w:id="33" w:name="_Toc158711645"/>
      <w:r w:rsidRPr="00C614F1">
        <w:rPr>
          <w:rStyle w:val="CharSectno"/>
        </w:rPr>
        <w:t>1.0.22</w:t>
      </w:r>
      <w:r w:rsidRPr="00BE1284">
        <w:t xml:space="preserve">  Meaning of </w:t>
      </w:r>
      <w:r w:rsidRPr="00BE1284">
        <w:rPr>
          <w:i/>
        </w:rPr>
        <w:t>this jurisdiction</w:t>
      </w:r>
      <w:r w:rsidRPr="00BE1284">
        <w:t xml:space="preserve">—specification of external Territories for specified provisions of </w:t>
      </w:r>
      <w:r>
        <w:t>Chapter 7</w:t>
      </w:r>
      <w:r w:rsidRPr="00BE1284">
        <w:t xml:space="preserve"> of the Act</w:t>
      </w:r>
      <w:bookmarkEnd w:id="33"/>
    </w:p>
    <w:p w14:paraId="2EC08391" w14:textId="77777777" w:rsidR="00F733AF" w:rsidRPr="00BE1284" w:rsidRDefault="00F733AF" w:rsidP="00F733AF">
      <w:pPr>
        <w:pStyle w:val="subsection"/>
      </w:pPr>
      <w:r w:rsidRPr="00BE1284">
        <w:tab/>
      </w:r>
      <w:r w:rsidRPr="00BE1284">
        <w:tab/>
        <w:t xml:space="preserve">For the purposes of </w:t>
      </w:r>
      <w:r>
        <w:t>subsection 5</w:t>
      </w:r>
      <w:r w:rsidRPr="00BE1284">
        <w:t xml:space="preserve">(9) of the Act, each of the external Territories is included in </w:t>
      </w:r>
      <w:r w:rsidRPr="00BE1284">
        <w:rPr>
          <w:b/>
          <w:i/>
        </w:rPr>
        <w:t>this jurisdiction</w:t>
      </w:r>
      <w:r w:rsidRPr="00BE1284">
        <w:t xml:space="preserve"> for the purposes of </w:t>
      </w:r>
      <w:r>
        <w:t>Chapter 7</w:t>
      </w:r>
      <w:r w:rsidRPr="00BE1284">
        <w:t xml:space="preserve"> of the Act (except Parts 7.2 to 7.5 and </w:t>
      </w:r>
      <w:r>
        <w:t>Part 7</w:t>
      </w:r>
      <w:r w:rsidRPr="00BE1284">
        <w:t>.11) in relation to:</w:t>
      </w:r>
    </w:p>
    <w:p w14:paraId="2A842F90" w14:textId="77777777" w:rsidR="00F733AF" w:rsidRPr="00BE1284" w:rsidRDefault="00F733AF" w:rsidP="00F733AF">
      <w:pPr>
        <w:pStyle w:val="paragraph"/>
      </w:pPr>
      <w:r w:rsidRPr="00BE1284">
        <w:tab/>
        <w:t>(a)</w:t>
      </w:r>
      <w:r w:rsidRPr="00BE1284">
        <w:tab/>
        <w:t>a superannuation product; and</w:t>
      </w:r>
    </w:p>
    <w:p w14:paraId="2C2171A5" w14:textId="77777777" w:rsidR="00F733AF" w:rsidRPr="00BE1284" w:rsidRDefault="00F733AF" w:rsidP="00F733AF">
      <w:pPr>
        <w:pStyle w:val="paragraph"/>
      </w:pPr>
      <w:r w:rsidRPr="00BE1284">
        <w:tab/>
        <w:t>(b)</w:t>
      </w:r>
      <w:r w:rsidRPr="00BE1284">
        <w:tab/>
        <w:t>an RSA; and</w:t>
      </w:r>
    </w:p>
    <w:p w14:paraId="1A11819D" w14:textId="77777777" w:rsidR="00F733AF" w:rsidRPr="00BE1284" w:rsidRDefault="00F733AF" w:rsidP="00F733AF">
      <w:pPr>
        <w:pStyle w:val="paragraph"/>
      </w:pPr>
      <w:r w:rsidRPr="00BE1284">
        <w:tab/>
        <w:t>(c)</w:t>
      </w:r>
      <w:r w:rsidRPr="00BE1284">
        <w:tab/>
        <w:t>a financial service that relates to a superannuation product; and</w:t>
      </w:r>
    </w:p>
    <w:p w14:paraId="2CA62021" w14:textId="77777777" w:rsidR="00F733AF" w:rsidRPr="00BE1284" w:rsidRDefault="00F733AF" w:rsidP="00F733AF">
      <w:pPr>
        <w:pStyle w:val="paragraph"/>
      </w:pPr>
      <w:r w:rsidRPr="00BE1284">
        <w:tab/>
        <w:t>(d)</w:t>
      </w:r>
      <w:r w:rsidRPr="00BE1284">
        <w:tab/>
        <w:t>a financial service that relates to an RSA.</w:t>
      </w:r>
    </w:p>
    <w:p w14:paraId="7C2B5F63" w14:textId="77777777" w:rsidR="00D46430" w:rsidRPr="00CD5673" w:rsidRDefault="00D46430" w:rsidP="00D46430">
      <w:pPr>
        <w:pStyle w:val="ActHead2"/>
        <w:pageBreakBefore/>
      </w:pPr>
      <w:bookmarkStart w:id="34" w:name="_Toc158711646"/>
      <w:r w:rsidRPr="00C614F1">
        <w:rPr>
          <w:rStyle w:val="CharPartNo"/>
        </w:rPr>
        <w:lastRenderedPageBreak/>
        <w:t>Part 1.1</w:t>
      </w:r>
      <w:r w:rsidRPr="00CD5673">
        <w:t>—</w:t>
      </w:r>
      <w:r w:rsidRPr="00C614F1">
        <w:rPr>
          <w:rStyle w:val="CharPartText"/>
        </w:rPr>
        <w:t>Prescribed amounts</w:t>
      </w:r>
      <w:bookmarkEnd w:id="34"/>
    </w:p>
    <w:p w14:paraId="26F74B28"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780B1079" w14:textId="77777777" w:rsidR="00D46430" w:rsidRPr="00CD5673" w:rsidRDefault="00D46430" w:rsidP="00D46430">
      <w:pPr>
        <w:pStyle w:val="ActHead5"/>
      </w:pPr>
      <w:bookmarkStart w:id="35" w:name="_Toc158711647"/>
      <w:r w:rsidRPr="00C614F1">
        <w:rPr>
          <w:rStyle w:val="CharSectno"/>
        </w:rPr>
        <w:t>1.1.01</w:t>
      </w:r>
      <w:r w:rsidRPr="00CD5673">
        <w:t xml:space="preserve">  Prescribed amounts</w:t>
      </w:r>
      <w:bookmarkEnd w:id="35"/>
    </w:p>
    <w:p w14:paraId="5B83F515" w14:textId="77777777" w:rsidR="00D46430" w:rsidRPr="00CD5673" w:rsidRDefault="00D46430" w:rsidP="00D46430">
      <w:pPr>
        <w:pStyle w:val="subsection"/>
      </w:pPr>
      <w:r w:rsidRPr="00CD5673">
        <w:tab/>
      </w:r>
      <w:r w:rsidRPr="00CD5673">
        <w:tab/>
        <w:t>The amount specified in an item in column 3 of Schedule 4 is prescribed in relation to the matter specified in the item in column 2.</w:t>
      </w:r>
    </w:p>
    <w:p w14:paraId="705DFBAB" w14:textId="77777777" w:rsidR="00D46430" w:rsidRPr="00CD5673" w:rsidRDefault="00D46430" w:rsidP="00D46430">
      <w:pPr>
        <w:pStyle w:val="ActHead2"/>
        <w:pageBreakBefore/>
      </w:pPr>
      <w:bookmarkStart w:id="36" w:name="_Toc158711648"/>
      <w:r w:rsidRPr="00C614F1">
        <w:rPr>
          <w:rStyle w:val="CharPartNo"/>
        </w:rPr>
        <w:lastRenderedPageBreak/>
        <w:t>Part 1.2</w:t>
      </w:r>
      <w:r w:rsidRPr="00CD5673">
        <w:t>—</w:t>
      </w:r>
      <w:r w:rsidRPr="00C614F1">
        <w:rPr>
          <w:rStyle w:val="CharPartText"/>
        </w:rPr>
        <w:t>Interpretation</w:t>
      </w:r>
      <w:bookmarkEnd w:id="36"/>
    </w:p>
    <w:p w14:paraId="608CD58A" w14:textId="77777777" w:rsidR="00D46430" w:rsidRPr="00CD5673" w:rsidRDefault="00D46430" w:rsidP="00D46430">
      <w:pPr>
        <w:pStyle w:val="ActHead3"/>
        <w:rPr>
          <w:lang w:eastAsia="en-US"/>
        </w:rPr>
      </w:pPr>
      <w:bookmarkStart w:id="37" w:name="_Toc158711649"/>
      <w:r w:rsidRPr="00C614F1">
        <w:rPr>
          <w:rStyle w:val="CharDivNo"/>
        </w:rPr>
        <w:t>Division 1</w:t>
      </w:r>
      <w:r w:rsidRPr="00CD5673">
        <w:t>—</w:t>
      </w:r>
      <w:r w:rsidRPr="00C614F1">
        <w:rPr>
          <w:rStyle w:val="CharDivText"/>
        </w:rPr>
        <w:t>General</w:t>
      </w:r>
      <w:bookmarkEnd w:id="37"/>
    </w:p>
    <w:p w14:paraId="15E90A3E" w14:textId="77777777" w:rsidR="00D46430" w:rsidRPr="00CD5673" w:rsidRDefault="00D46430" w:rsidP="00D46430">
      <w:pPr>
        <w:pStyle w:val="ActHead5"/>
      </w:pPr>
      <w:bookmarkStart w:id="38" w:name="_Toc158711650"/>
      <w:r w:rsidRPr="00C614F1">
        <w:rPr>
          <w:rStyle w:val="CharSectno"/>
        </w:rPr>
        <w:t>1.2.01</w:t>
      </w:r>
      <w:r w:rsidRPr="00CD5673">
        <w:t xml:space="preserve">  Remuneration recommendations (Act s 9B)</w:t>
      </w:r>
      <w:bookmarkEnd w:id="38"/>
    </w:p>
    <w:p w14:paraId="283AB0B6" w14:textId="77777777" w:rsidR="00D46430" w:rsidRPr="00CD5673" w:rsidRDefault="00D46430" w:rsidP="00D46430">
      <w:pPr>
        <w:pStyle w:val="subsection"/>
      </w:pPr>
      <w:r w:rsidRPr="00CD5673">
        <w:tab/>
      </w:r>
      <w:r w:rsidRPr="00CD5673">
        <w:tab/>
        <w:t>For paragraph 9B(2)(f) of the Act, a recommendation, or advice or information, provided in relation to one or more members of the key management personnel for a company by an employee of a company within the same consolidated entity, is not a remuneration recommendation.</w:t>
      </w:r>
    </w:p>
    <w:p w14:paraId="6E99F4D4" w14:textId="77777777" w:rsidR="00D46430" w:rsidRPr="00CD5673" w:rsidRDefault="00D46430" w:rsidP="00D46430">
      <w:pPr>
        <w:pStyle w:val="ActHead2"/>
        <w:pageBreakBefore/>
      </w:pPr>
      <w:bookmarkStart w:id="39" w:name="_Toc158711651"/>
      <w:r w:rsidRPr="00C614F1">
        <w:rPr>
          <w:rStyle w:val="CharPartNo"/>
        </w:rPr>
        <w:lastRenderedPageBreak/>
        <w:t>Part 1.2A</w:t>
      </w:r>
      <w:r w:rsidRPr="00CD5673">
        <w:t>—</w:t>
      </w:r>
      <w:r w:rsidRPr="00C614F1">
        <w:rPr>
          <w:rStyle w:val="CharPartText"/>
        </w:rPr>
        <w:t>Disclosing entities</w:t>
      </w:r>
      <w:bookmarkEnd w:id="39"/>
    </w:p>
    <w:p w14:paraId="23526A7E"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2BCC38D2" w14:textId="77777777" w:rsidR="00D46430" w:rsidRPr="00CD5673" w:rsidRDefault="00D46430" w:rsidP="00D46430">
      <w:pPr>
        <w:pStyle w:val="ActHead5"/>
      </w:pPr>
      <w:bookmarkStart w:id="40" w:name="_Toc158711652"/>
      <w:r w:rsidRPr="00C614F1">
        <w:rPr>
          <w:rStyle w:val="CharSectno"/>
        </w:rPr>
        <w:t>1.2A.01</w:t>
      </w:r>
      <w:r w:rsidRPr="00CD5673">
        <w:t xml:space="preserve">  Securities declared not to be ED securities</w:t>
      </w:r>
      <w:bookmarkEnd w:id="40"/>
    </w:p>
    <w:p w14:paraId="54AC89FC" w14:textId="77777777" w:rsidR="00D46430" w:rsidRPr="00CD5673" w:rsidRDefault="00D46430" w:rsidP="00D46430">
      <w:pPr>
        <w:pStyle w:val="subsection"/>
      </w:pPr>
      <w:r w:rsidRPr="00CD5673">
        <w:tab/>
      </w:r>
      <w:r w:rsidRPr="00CD5673">
        <w:tab/>
        <w:t>For section 111AJ of the Act, the following securities are declared not to be ED securities:</w:t>
      </w:r>
    </w:p>
    <w:p w14:paraId="7A365D23" w14:textId="77777777" w:rsidR="00D46430" w:rsidRPr="00CD5673" w:rsidRDefault="00D46430" w:rsidP="00D46430">
      <w:pPr>
        <w:pStyle w:val="paragraph"/>
      </w:pPr>
      <w:r w:rsidRPr="00CD5673">
        <w:tab/>
        <w:t>(a)</w:t>
      </w:r>
      <w:r w:rsidRPr="00CD5673">
        <w:tab/>
        <w:t>securities of a body that, under the listing rules of the Australian Stock Exchange Limited, is an exempt foreign entity; or</w:t>
      </w:r>
    </w:p>
    <w:p w14:paraId="12A00AB1" w14:textId="77777777" w:rsidR="00D46430" w:rsidRPr="00CD5673" w:rsidRDefault="00D46430" w:rsidP="00D46430">
      <w:pPr>
        <w:pStyle w:val="paragraph"/>
      </w:pPr>
      <w:r w:rsidRPr="00CD5673">
        <w:tab/>
        <w:t>(b)</w:t>
      </w:r>
      <w:r w:rsidRPr="00CD5673">
        <w:tab/>
        <w:t>securities that are quoted on Australian Bloodstock Exchange Limited.</w:t>
      </w:r>
    </w:p>
    <w:p w14:paraId="20C6EF43" w14:textId="77777777" w:rsidR="00D46430" w:rsidRPr="00CD5673" w:rsidRDefault="00D46430" w:rsidP="00D46430">
      <w:pPr>
        <w:pStyle w:val="ActHead5"/>
      </w:pPr>
      <w:bookmarkStart w:id="41" w:name="_Toc158711653"/>
      <w:r w:rsidRPr="00C614F1">
        <w:rPr>
          <w:rStyle w:val="CharSectno"/>
        </w:rPr>
        <w:t>1.2A.02</w:t>
      </w:r>
      <w:r w:rsidRPr="00CD5673">
        <w:t xml:space="preserve">  Foreign companies issuing securities under foreign scrip offers etc exempt from disclosing entity provisions</w:t>
      </w:r>
      <w:bookmarkEnd w:id="41"/>
    </w:p>
    <w:p w14:paraId="0AD59158" w14:textId="77777777" w:rsidR="00D46430" w:rsidRPr="00CD5673" w:rsidRDefault="00D46430" w:rsidP="00D46430">
      <w:pPr>
        <w:pStyle w:val="subsection"/>
      </w:pPr>
      <w:r w:rsidRPr="00CD5673">
        <w:tab/>
        <w:t>(1)</w:t>
      </w:r>
      <w:r w:rsidRPr="00CD5673">
        <w:tab/>
        <w:t>For section 111AS of the Act, a foreign company is exempt from the disclosing entity provisions in respect of ED securities under section 111AG of the Act if:</w:t>
      </w:r>
    </w:p>
    <w:p w14:paraId="3E3592B1" w14:textId="77777777" w:rsidR="00D46430" w:rsidRPr="00CD5673" w:rsidRDefault="00D46430" w:rsidP="00D46430">
      <w:pPr>
        <w:pStyle w:val="paragraph"/>
      </w:pPr>
      <w:r w:rsidRPr="00CD5673">
        <w:tab/>
        <w:t>(a)</w:t>
      </w:r>
      <w:r w:rsidRPr="00CD5673">
        <w:tab/>
        <w:t>the company issues the securities in connection with a foreign takeover bid or foreign scheme of arrangement; and</w:t>
      </w:r>
    </w:p>
    <w:p w14:paraId="28497335" w14:textId="77777777" w:rsidR="00D46430" w:rsidRPr="00CD5673" w:rsidRDefault="00D46430" w:rsidP="00D46430">
      <w:pPr>
        <w:pStyle w:val="paragraph"/>
      </w:pPr>
      <w:r w:rsidRPr="00CD5673">
        <w:tab/>
        <w:t>(b)</w:t>
      </w:r>
      <w:r w:rsidRPr="00CD5673">
        <w:tab/>
        <w:t>the securities issued are, at the time of issue, securities in a class of securities quoted on an approved foreign exchange; and</w:t>
      </w:r>
    </w:p>
    <w:p w14:paraId="24D5891B" w14:textId="77777777" w:rsidR="00D46430" w:rsidRPr="00CD5673" w:rsidRDefault="00D46430" w:rsidP="00D46430">
      <w:pPr>
        <w:pStyle w:val="paragraph"/>
      </w:pPr>
      <w:r w:rsidRPr="00CD5673">
        <w:tab/>
        <w:t>(c)</w:t>
      </w:r>
      <w:r w:rsidRPr="00CD5673">
        <w:tab/>
        <w:t>the terms and conditions of the issue to citizens and Australian permanent residents are the same as those applying to each other person receiving securities that are in the same class; and</w:t>
      </w:r>
    </w:p>
    <w:p w14:paraId="2EF983E9" w14:textId="77777777" w:rsidR="00D46430" w:rsidRPr="00CD5673" w:rsidRDefault="00D46430" w:rsidP="00D46430">
      <w:pPr>
        <w:pStyle w:val="paragraph"/>
      </w:pPr>
      <w:r w:rsidRPr="00CD5673">
        <w:tab/>
        <w:t>(d)</w:t>
      </w:r>
      <w:r w:rsidRPr="00CD5673">
        <w:tab/>
        <w:t>the same notices, documents or other information (or, where applicable, an English translation of these) (modified, if necessary, to include any additional information for the purposes of complying with Chapter 6D of the Act) are given to Australian citizens or permanent residents as are given to each other person; and</w:t>
      </w:r>
    </w:p>
    <w:p w14:paraId="354656D7" w14:textId="77777777" w:rsidR="00D46430" w:rsidRPr="00CD5673" w:rsidRDefault="00D46430" w:rsidP="00D46430">
      <w:pPr>
        <w:pStyle w:val="paragraph"/>
      </w:pPr>
      <w:r w:rsidRPr="00CD5673">
        <w:tab/>
        <w:t>(e)</w:t>
      </w:r>
      <w:r w:rsidRPr="00CD5673">
        <w:tab/>
        <w:t>the notices, documents and other information are given to Australian citizens and permanent residents at the same time, or as soon as practicable after, they are given to those other persons; and</w:t>
      </w:r>
    </w:p>
    <w:p w14:paraId="667E3DBC" w14:textId="77777777" w:rsidR="00D46430" w:rsidRPr="00CD5673" w:rsidRDefault="00D46430" w:rsidP="00D46430">
      <w:pPr>
        <w:pStyle w:val="paragraph"/>
      </w:pPr>
      <w:r w:rsidRPr="00CD5673">
        <w:tab/>
        <w:t>(f)</w:t>
      </w:r>
      <w:r w:rsidRPr="00CD5673">
        <w:tab/>
        <w:t>in relation to the issue—the company complies with all legislative and stock exchange requirements in the place in which is located:</w:t>
      </w:r>
    </w:p>
    <w:p w14:paraId="14134804" w14:textId="77777777" w:rsidR="00D46430" w:rsidRPr="00CD5673" w:rsidRDefault="00D46430" w:rsidP="00D46430">
      <w:pPr>
        <w:pStyle w:val="paragraphsub"/>
      </w:pPr>
      <w:r w:rsidRPr="00CD5673">
        <w:tab/>
        <w:t>(i)</w:t>
      </w:r>
      <w:r w:rsidRPr="00CD5673">
        <w:tab/>
        <w:t>the approved foreign exchange; or</w:t>
      </w:r>
    </w:p>
    <w:p w14:paraId="42BE7873" w14:textId="77777777" w:rsidR="00D46430" w:rsidRPr="00CD5673" w:rsidRDefault="00D46430" w:rsidP="00D46430">
      <w:pPr>
        <w:pStyle w:val="paragraphsub"/>
      </w:pPr>
      <w:r w:rsidRPr="00CD5673">
        <w:tab/>
        <w:t>(ii)</w:t>
      </w:r>
      <w:r w:rsidRPr="00CD5673">
        <w:tab/>
        <w:t>if more than one—the principal approved exchange;</w:t>
      </w:r>
    </w:p>
    <w:p w14:paraId="201FBA0F" w14:textId="77777777" w:rsidR="00D46430" w:rsidRPr="00CD5673" w:rsidRDefault="00D46430" w:rsidP="00D46430">
      <w:pPr>
        <w:pStyle w:val="paragraph"/>
      </w:pPr>
      <w:r w:rsidRPr="00CD5673">
        <w:tab/>
      </w:r>
      <w:r w:rsidRPr="00CD5673">
        <w:tab/>
        <w:t>on which the company’s securities are quoted.</w:t>
      </w:r>
    </w:p>
    <w:p w14:paraId="7C318299" w14:textId="77777777" w:rsidR="00D46430" w:rsidRPr="00CD5673" w:rsidRDefault="00D46430" w:rsidP="00D46430">
      <w:pPr>
        <w:pStyle w:val="subsection"/>
      </w:pPr>
      <w:r w:rsidRPr="00CD5673">
        <w:tab/>
        <w:t>(2)</w:t>
      </w:r>
      <w:r w:rsidRPr="00CD5673">
        <w:tab/>
        <w:t>In this regulation:</w:t>
      </w:r>
    </w:p>
    <w:p w14:paraId="126C2DC8" w14:textId="77777777" w:rsidR="00D46430" w:rsidRPr="00CD5673" w:rsidRDefault="00D46430" w:rsidP="00D46430">
      <w:pPr>
        <w:pStyle w:val="Definition"/>
      </w:pPr>
      <w:r w:rsidRPr="00CD5673">
        <w:rPr>
          <w:b/>
          <w:i/>
        </w:rPr>
        <w:t>approved foreign exchange</w:t>
      </w:r>
      <w:r w:rsidRPr="00CD5673">
        <w:t xml:space="preserve"> includes:</w:t>
      </w:r>
    </w:p>
    <w:p w14:paraId="5B25116B" w14:textId="77777777" w:rsidR="00D46430" w:rsidRPr="00CD5673" w:rsidRDefault="00D46430" w:rsidP="00D46430">
      <w:pPr>
        <w:pStyle w:val="paragraph"/>
      </w:pPr>
      <w:r w:rsidRPr="00CD5673">
        <w:tab/>
        <w:t>(a)</w:t>
      </w:r>
      <w:r w:rsidRPr="00CD5673">
        <w:tab/>
        <w:t>American Stock Exchange Inc.;</w:t>
      </w:r>
    </w:p>
    <w:p w14:paraId="381A25D1" w14:textId="77777777" w:rsidR="00D46430" w:rsidRPr="00CD5673" w:rsidRDefault="00D46430" w:rsidP="00D46430">
      <w:pPr>
        <w:pStyle w:val="paragraph"/>
      </w:pPr>
      <w:r w:rsidRPr="00CD5673">
        <w:tab/>
        <w:t>(b)</w:t>
      </w:r>
      <w:r w:rsidRPr="00CD5673">
        <w:tab/>
        <w:t>New York Stock Exchange Inc.;</w:t>
      </w:r>
    </w:p>
    <w:p w14:paraId="5E2984A3" w14:textId="77777777" w:rsidR="00D46430" w:rsidRPr="00CD5673" w:rsidRDefault="00D46430" w:rsidP="00D46430">
      <w:pPr>
        <w:pStyle w:val="paragraph"/>
      </w:pPr>
      <w:r w:rsidRPr="00CD5673">
        <w:tab/>
        <w:t>(c)</w:t>
      </w:r>
      <w:r w:rsidRPr="00CD5673">
        <w:tab/>
        <w:t>New Zealand Stock Exchange;</w:t>
      </w:r>
    </w:p>
    <w:p w14:paraId="79D24684" w14:textId="77777777" w:rsidR="00D46430" w:rsidRPr="00CD5673" w:rsidRDefault="00D46430" w:rsidP="00D46430">
      <w:pPr>
        <w:pStyle w:val="paragraph"/>
      </w:pPr>
      <w:r w:rsidRPr="00CD5673">
        <w:tab/>
        <w:t>(d)</w:t>
      </w:r>
      <w:r w:rsidRPr="00CD5673">
        <w:tab/>
        <w:t>The Stock Exchange of Hong Kong Ltd;</w:t>
      </w:r>
    </w:p>
    <w:p w14:paraId="12E825F9" w14:textId="77777777" w:rsidR="00D46430" w:rsidRPr="00CD5673" w:rsidRDefault="00D46430" w:rsidP="00D46430">
      <w:pPr>
        <w:pStyle w:val="paragraph"/>
      </w:pPr>
      <w:r w:rsidRPr="00CD5673">
        <w:tab/>
        <w:t>(e)</w:t>
      </w:r>
      <w:r w:rsidRPr="00CD5673">
        <w:tab/>
        <w:t>Stock Exchange of Singapore Limited;</w:t>
      </w:r>
    </w:p>
    <w:p w14:paraId="6F058A36" w14:textId="77777777" w:rsidR="00D46430" w:rsidRPr="00CD5673" w:rsidRDefault="00D46430" w:rsidP="00D46430">
      <w:pPr>
        <w:pStyle w:val="paragraph"/>
      </w:pPr>
      <w:r w:rsidRPr="00CD5673">
        <w:tab/>
        <w:t>(f)</w:t>
      </w:r>
      <w:r w:rsidRPr="00CD5673">
        <w:tab/>
        <w:t>The Amsterdam Stock Exchange;</w:t>
      </w:r>
    </w:p>
    <w:p w14:paraId="429421C5" w14:textId="77777777" w:rsidR="00D46430" w:rsidRPr="00CD5673" w:rsidRDefault="00D46430" w:rsidP="00D46430">
      <w:pPr>
        <w:pStyle w:val="paragraph"/>
      </w:pPr>
      <w:r w:rsidRPr="00CD5673">
        <w:tab/>
        <w:t>(g)</w:t>
      </w:r>
      <w:r w:rsidRPr="00CD5673">
        <w:tab/>
        <w:t>the Frankfurt Stock Exchange;</w:t>
      </w:r>
    </w:p>
    <w:p w14:paraId="47E048A0" w14:textId="77777777" w:rsidR="00D46430" w:rsidRPr="00CD5673" w:rsidRDefault="00D46430" w:rsidP="00D46430">
      <w:pPr>
        <w:pStyle w:val="paragraph"/>
      </w:pPr>
      <w:r w:rsidRPr="00CD5673">
        <w:tab/>
        <w:t>(h)</w:t>
      </w:r>
      <w:r w:rsidRPr="00CD5673">
        <w:tab/>
        <w:t>The International Stock Exchange of the United Kingdom and the Republic of Ireland Limited;</w:t>
      </w:r>
    </w:p>
    <w:p w14:paraId="024EF599" w14:textId="77777777" w:rsidR="00D46430" w:rsidRPr="00CD5673" w:rsidRDefault="00D46430" w:rsidP="00D46430">
      <w:pPr>
        <w:pStyle w:val="paragraph"/>
      </w:pPr>
      <w:r w:rsidRPr="00CD5673">
        <w:tab/>
        <w:t>(i)</w:t>
      </w:r>
      <w:r w:rsidRPr="00CD5673">
        <w:tab/>
        <w:t>the Milan Stock Exchange;</w:t>
      </w:r>
    </w:p>
    <w:p w14:paraId="2A30AF66" w14:textId="77777777" w:rsidR="00D46430" w:rsidRPr="00CD5673" w:rsidRDefault="00D46430" w:rsidP="00D46430">
      <w:pPr>
        <w:pStyle w:val="paragraph"/>
      </w:pPr>
      <w:r w:rsidRPr="00CD5673">
        <w:tab/>
        <w:t>(j)</w:t>
      </w:r>
      <w:r w:rsidRPr="00CD5673">
        <w:tab/>
        <w:t>the NASDAQ National Market;</w:t>
      </w:r>
    </w:p>
    <w:p w14:paraId="28C5941B" w14:textId="77777777" w:rsidR="00D46430" w:rsidRPr="00CD5673" w:rsidRDefault="00D46430" w:rsidP="00D46430">
      <w:pPr>
        <w:pStyle w:val="paragraph"/>
      </w:pPr>
      <w:r w:rsidRPr="00CD5673">
        <w:tab/>
        <w:t>(k)</w:t>
      </w:r>
      <w:r w:rsidRPr="00CD5673">
        <w:tab/>
        <w:t>the Paris Bourse;</w:t>
      </w:r>
    </w:p>
    <w:p w14:paraId="3ECF9531" w14:textId="77777777" w:rsidR="00D46430" w:rsidRPr="00CD5673" w:rsidRDefault="00D46430" w:rsidP="00D46430">
      <w:pPr>
        <w:pStyle w:val="paragraph"/>
      </w:pPr>
      <w:r w:rsidRPr="00CD5673">
        <w:tab/>
        <w:t>(l)</w:t>
      </w:r>
      <w:r w:rsidRPr="00CD5673">
        <w:tab/>
        <w:t>the Tokyo Stock Exchange;</w:t>
      </w:r>
    </w:p>
    <w:p w14:paraId="3C9B5A48" w14:textId="77777777" w:rsidR="00D46430" w:rsidRPr="00CD5673" w:rsidRDefault="00D46430" w:rsidP="00D46430">
      <w:pPr>
        <w:pStyle w:val="paragraph"/>
      </w:pPr>
      <w:r w:rsidRPr="00CD5673">
        <w:tab/>
        <w:t>(m)</w:t>
      </w:r>
      <w:r w:rsidRPr="00CD5673">
        <w:tab/>
        <w:t>the Toronto Stock Exchange;</w:t>
      </w:r>
    </w:p>
    <w:p w14:paraId="2EE3620F" w14:textId="77777777" w:rsidR="00D46430" w:rsidRPr="00CD5673" w:rsidRDefault="00D46430" w:rsidP="00D46430">
      <w:pPr>
        <w:pStyle w:val="paragraph"/>
      </w:pPr>
      <w:r w:rsidRPr="00CD5673">
        <w:tab/>
        <w:t>(n)</w:t>
      </w:r>
      <w:r w:rsidRPr="00CD5673">
        <w:tab/>
        <w:t>the Zurich Stock Exchange.</w:t>
      </w:r>
    </w:p>
    <w:p w14:paraId="6435B47C" w14:textId="77777777" w:rsidR="00D46430" w:rsidRPr="00CD5673" w:rsidRDefault="00D46430" w:rsidP="00D46430">
      <w:pPr>
        <w:pStyle w:val="Definition"/>
      </w:pPr>
      <w:r w:rsidRPr="00CD5673">
        <w:rPr>
          <w:b/>
          <w:i/>
        </w:rPr>
        <w:t>foreign scheme of arrangement</w:t>
      </w:r>
      <w:r w:rsidRPr="00CD5673">
        <w:t xml:space="preserve"> means a compromise or arrangement that is subject to court approval under subsection 411(6) of the Act, between:</w:t>
      </w:r>
    </w:p>
    <w:p w14:paraId="7B59ED7B" w14:textId="77777777" w:rsidR="00D46430" w:rsidRPr="00CD5673" w:rsidRDefault="00D46430" w:rsidP="00D46430">
      <w:pPr>
        <w:pStyle w:val="paragraph"/>
      </w:pPr>
      <w:r w:rsidRPr="00CD5673">
        <w:tab/>
        <w:t>(a)</w:t>
      </w:r>
      <w:r w:rsidRPr="00CD5673">
        <w:tab/>
        <w:t>a foreign company and a class of its creditors; or</w:t>
      </w:r>
    </w:p>
    <w:p w14:paraId="43F8923A" w14:textId="77777777" w:rsidR="00D46430" w:rsidRPr="00CD5673" w:rsidRDefault="00D46430" w:rsidP="00D46430">
      <w:pPr>
        <w:pStyle w:val="paragraph"/>
      </w:pPr>
      <w:r w:rsidRPr="00CD5673">
        <w:tab/>
        <w:t>(b)</w:t>
      </w:r>
      <w:r w:rsidRPr="00CD5673">
        <w:tab/>
        <w:t>a foreign company and a class of its members.</w:t>
      </w:r>
    </w:p>
    <w:p w14:paraId="320E8F5E" w14:textId="77777777" w:rsidR="00D46430" w:rsidRPr="00CD5673" w:rsidRDefault="00D46430" w:rsidP="00D46430">
      <w:pPr>
        <w:pStyle w:val="Definition"/>
      </w:pPr>
      <w:r w:rsidRPr="00CD5673">
        <w:rPr>
          <w:b/>
          <w:i/>
        </w:rPr>
        <w:t>foreign takeover bid</w:t>
      </w:r>
      <w:r w:rsidRPr="00CD5673">
        <w:t xml:space="preserve"> means a bid to acquire some or all of the securities of:</w:t>
      </w:r>
    </w:p>
    <w:p w14:paraId="739EC9E2" w14:textId="77777777" w:rsidR="00D46430" w:rsidRPr="00CD5673" w:rsidRDefault="00D46430" w:rsidP="00D46430">
      <w:pPr>
        <w:pStyle w:val="paragraph"/>
      </w:pPr>
      <w:r w:rsidRPr="00CD5673">
        <w:lastRenderedPageBreak/>
        <w:tab/>
        <w:t>(a)</w:t>
      </w:r>
      <w:r w:rsidRPr="00CD5673">
        <w:tab/>
        <w:t>all holders of a class of securities of a foreign company; or</w:t>
      </w:r>
    </w:p>
    <w:p w14:paraId="2DB3E0E8" w14:textId="77777777" w:rsidR="00D46430" w:rsidRPr="00CD5673" w:rsidRDefault="00D46430" w:rsidP="00D46430">
      <w:pPr>
        <w:pStyle w:val="paragraph"/>
      </w:pPr>
      <w:r w:rsidRPr="00CD5673">
        <w:tab/>
        <w:t>(b)</w:t>
      </w:r>
      <w:r w:rsidRPr="00CD5673">
        <w:tab/>
        <w:t>all holders of those securities except the bidder or the bidder and associates of the bidder.</w:t>
      </w:r>
    </w:p>
    <w:p w14:paraId="68C7FD38" w14:textId="77777777" w:rsidR="00D46430" w:rsidRPr="00CD5673" w:rsidRDefault="00D46430" w:rsidP="00D46430">
      <w:pPr>
        <w:pStyle w:val="ActHead5"/>
      </w:pPr>
      <w:bookmarkStart w:id="42" w:name="_Toc158711654"/>
      <w:r w:rsidRPr="00C614F1">
        <w:rPr>
          <w:rStyle w:val="CharSectno"/>
        </w:rPr>
        <w:t>1.2A.03</w:t>
      </w:r>
      <w:r w:rsidRPr="00CD5673">
        <w:t xml:space="preserve">  Foreign companies issuing securities under employee share scheme exempt from the disclosing entity provisions</w:t>
      </w:r>
      <w:bookmarkEnd w:id="42"/>
    </w:p>
    <w:p w14:paraId="5B4A3E7C" w14:textId="77777777" w:rsidR="00D46430" w:rsidRPr="00CD5673" w:rsidRDefault="00D46430" w:rsidP="00D46430">
      <w:pPr>
        <w:pStyle w:val="subsection"/>
      </w:pPr>
      <w:r w:rsidRPr="00CD5673">
        <w:tab/>
        <w:t>(1)</w:t>
      </w:r>
      <w:r w:rsidRPr="00CD5673">
        <w:tab/>
        <w:t>For section 111AS of the Act, a foreign company is exempt from the disclosing entity provisions in respect of an offer of shares in the company for issue or sale:</w:t>
      </w:r>
    </w:p>
    <w:p w14:paraId="4A4BFF87" w14:textId="77777777" w:rsidR="00D46430" w:rsidRPr="00CD5673" w:rsidRDefault="00D46430" w:rsidP="00D46430">
      <w:pPr>
        <w:pStyle w:val="paragraph"/>
      </w:pPr>
      <w:r w:rsidRPr="00CD5673">
        <w:tab/>
        <w:t>(a)</w:t>
      </w:r>
      <w:r w:rsidRPr="00CD5673">
        <w:tab/>
        <w:t>that is made to employees of the company, or of an associated body corporate, under an employee share scheme; and</w:t>
      </w:r>
    </w:p>
    <w:p w14:paraId="6096A7C5" w14:textId="77777777" w:rsidR="00D46430" w:rsidRPr="00CD5673" w:rsidRDefault="00D46430" w:rsidP="00D46430">
      <w:pPr>
        <w:pStyle w:val="paragraph"/>
      </w:pPr>
      <w:r w:rsidRPr="00CD5673">
        <w:tab/>
        <w:t>(b)</w:t>
      </w:r>
      <w:r w:rsidRPr="00CD5673">
        <w:tab/>
        <w:t>in relation to which a disclosure document is lodged with ASIC.</w:t>
      </w:r>
    </w:p>
    <w:p w14:paraId="0EAF2695" w14:textId="77777777" w:rsidR="00D46430" w:rsidRPr="00CD5673" w:rsidRDefault="00D46430" w:rsidP="00D46430">
      <w:pPr>
        <w:pStyle w:val="subsection"/>
      </w:pPr>
      <w:r w:rsidRPr="00CD5673">
        <w:tab/>
        <w:t>(2)</w:t>
      </w:r>
      <w:r w:rsidRPr="00CD5673">
        <w:tab/>
        <w:t>Subregulation (1) is not affected by any action of an employee, the result of which is that another person who is not an employee acquires an interest in a share issued under the employee share scheme.</w:t>
      </w:r>
    </w:p>
    <w:p w14:paraId="7067D8D3" w14:textId="77777777" w:rsidR="00D46430" w:rsidRPr="00CD5673" w:rsidRDefault="00D46430" w:rsidP="00D46430">
      <w:pPr>
        <w:pStyle w:val="subsection"/>
      </w:pPr>
      <w:r w:rsidRPr="00CD5673">
        <w:tab/>
        <w:t>(3)</w:t>
      </w:r>
      <w:r w:rsidRPr="00CD5673">
        <w:tab/>
        <w:t>For this regulation:</w:t>
      </w:r>
    </w:p>
    <w:p w14:paraId="5AF6076B" w14:textId="77777777" w:rsidR="00D46430" w:rsidRPr="00CD5673" w:rsidRDefault="00D46430" w:rsidP="00D46430">
      <w:pPr>
        <w:pStyle w:val="paragraph"/>
      </w:pPr>
      <w:r w:rsidRPr="00CD5673">
        <w:tab/>
        <w:t>(a)</w:t>
      </w:r>
      <w:r w:rsidRPr="00CD5673">
        <w:tab/>
        <w:t xml:space="preserve">an </w:t>
      </w:r>
      <w:r w:rsidRPr="00CD5673">
        <w:rPr>
          <w:b/>
          <w:i/>
        </w:rPr>
        <w:t>employee share scheme</w:t>
      </w:r>
      <w:r w:rsidRPr="00CD5673">
        <w:t xml:space="preserve"> is a scheme under which a company offers for issue or sale shares (or options over issued shares) in the company only to a person who is a full</w:t>
      </w:r>
      <w:r w:rsidR="00C614F1">
        <w:noBreakHyphen/>
      </w:r>
      <w:r w:rsidRPr="00CD5673">
        <w:t>time or part</w:t>
      </w:r>
      <w:r w:rsidR="00C614F1">
        <w:noBreakHyphen/>
      </w:r>
      <w:r w:rsidRPr="00CD5673">
        <w:t>time director or employee of the company or of an associated body corporate when the offer is made; and</w:t>
      </w:r>
    </w:p>
    <w:p w14:paraId="2B877BF3" w14:textId="77777777" w:rsidR="00D46430" w:rsidRPr="00CD5673" w:rsidRDefault="00D46430" w:rsidP="00D46430">
      <w:pPr>
        <w:pStyle w:val="paragraph"/>
      </w:pPr>
      <w:r w:rsidRPr="00CD5673">
        <w:tab/>
        <w:t>(b)</w:t>
      </w:r>
      <w:r w:rsidRPr="00CD5673">
        <w:tab/>
        <w:t xml:space="preserve">a body corporate is an </w:t>
      </w:r>
      <w:r w:rsidRPr="00CD5673">
        <w:rPr>
          <w:b/>
          <w:i/>
        </w:rPr>
        <w:t>associated body corporate</w:t>
      </w:r>
      <w:r w:rsidRPr="00CD5673">
        <w:t xml:space="preserve"> in relation to a foreign company if:</w:t>
      </w:r>
    </w:p>
    <w:p w14:paraId="07AAD839" w14:textId="77777777" w:rsidR="00D46430" w:rsidRPr="00CD5673" w:rsidRDefault="00D46430" w:rsidP="00D46430">
      <w:pPr>
        <w:pStyle w:val="paragraphsub"/>
      </w:pPr>
      <w:r w:rsidRPr="00CD5673">
        <w:tab/>
        <w:t>(i)</w:t>
      </w:r>
      <w:r w:rsidRPr="00CD5673">
        <w:tab/>
        <w:t>the body corporate is related to the company within the meaning of section 50 of the Act; or</w:t>
      </w:r>
    </w:p>
    <w:p w14:paraId="4035A600" w14:textId="77777777" w:rsidR="00D46430" w:rsidRPr="00CD5673" w:rsidRDefault="00D46430" w:rsidP="00D46430">
      <w:pPr>
        <w:pStyle w:val="paragraphsub"/>
      </w:pPr>
      <w:r w:rsidRPr="00CD5673">
        <w:tab/>
        <w:t>(ii)</w:t>
      </w:r>
      <w:r w:rsidRPr="00CD5673">
        <w:tab/>
        <w:t>the body corporate is entitled to at least 20% of the voting shares of the company; or</w:t>
      </w:r>
    </w:p>
    <w:p w14:paraId="652E16AE" w14:textId="77777777" w:rsidR="00D46430" w:rsidRPr="00CD5673" w:rsidRDefault="00D46430" w:rsidP="00D46430">
      <w:pPr>
        <w:pStyle w:val="paragraphsub"/>
      </w:pPr>
      <w:r w:rsidRPr="00CD5673">
        <w:tab/>
        <w:t>(iii)</w:t>
      </w:r>
      <w:r w:rsidRPr="00CD5673">
        <w:tab/>
        <w:t>the company is entitled to at least 20% of the voting shares of the body corporate.</w:t>
      </w:r>
    </w:p>
    <w:p w14:paraId="3428F265" w14:textId="77777777" w:rsidR="00D46430" w:rsidRPr="00CD5673" w:rsidRDefault="00D46430" w:rsidP="00D46430">
      <w:pPr>
        <w:pStyle w:val="ActHead1"/>
        <w:pageBreakBefore/>
      </w:pPr>
      <w:bookmarkStart w:id="43" w:name="_Toc158711655"/>
      <w:r w:rsidRPr="00C614F1">
        <w:rPr>
          <w:rStyle w:val="CharChapNo"/>
        </w:rPr>
        <w:lastRenderedPageBreak/>
        <w:t>Chapter 2A</w:t>
      </w:r>
      <w:r w:rsidRPr="00CD5673">
        <w:t>—</w:t>
      </w:r>
      <w:r w:rsidRPr="00C614F1">
        <w:rPr>
          <w:rStyle w:val="CharChapText"/>
        </w:rPr>
        <w:t>Registration of companies</w:t>
      </w:r>
      <w:bookmarkEnd w:id="43"/>
    </w:p>
    <w:p w14:paraId="21E7D6B9" w14:textId="77777777" w:rsidR="00D46430" w:rsidRPr="00CD5673" w:rsidRDefault="00D46430" w:rsidP="00D46430">
      <w:pPr>
        <w:pStyle w:val="ActHead2"/>
      </w:pPr>
      <w:bookmarkStart w:id="44" w:name="_Toc158711656"/>
      <w:r w:rsidRPr="00C614F1">
        <w:rPr>
          <w:rStyle w:val="CharPartNo"/>
        </w:rPr>
        <w:t>Part 2A.1</w:t>
      </w:r>
      <w:r w:rsidRPr="00CD5673">
        <w:t>—</w:t>
      </w:r>
      <w:r w:rsidRPr="00C614F1">
        <w:rPr>
          <w:rStyle w:val="CharPartText"/>
        </w:rPr>
        <w:t>Size of partnerships or associations (Act s 115(2))</w:t>
      </w:r>
      <w:bookmarkEnd w:id="44"/>
    </w:p>
    <w:p w14:paraId="56253C5D"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6D89AEB9" w14:textId="77777777" w:rsidR="00D46430" w:rsidRPr="00CD5673" w:rsidRDefault="00D46430" w:rsidP="00D46430">
      <w:pPr>
        <w:pStyle w:val="ActHead5"/>
      </w:pPr>
      <w:bookmarkStart w:id="45" w:name="_Toc158711657"/>
      <w:r w:rsidRPr="00C614F1">
        <w:rPr>
          <w:rStyle w:val="CharSectno"/>
        </w:rPr>
        <w:t>2A.1.01</w:t>
      </w:r>
      <w:r w:rsidRPr="00CD5673">
        <w:t xml:space="preserve">  Size of partnerships or associations</w:t>
      </w:r>
      <w:bookmarkEnd w:id="45"/>
    </w:p>
    <w:p w14:paraId="5600E179" w14:textId="77777777" w:rsidR="00D46430" w:rsidRPr="00CD5673" w:rsidRDefault="00D46430" w:rsidP="00D46430">
      <w:pPr>
        <w:pStyle w:val="subsection"/>
      </w:pPr>
      <w:r w:rsidRPr="00CD5673">
        <w:tab/>
        <w:t>(1)</w:t>
      </w:r>
      <w:r w:rsidRPr="00CD5673">
        <w:tab/>
        <w:t>For paragraph 115(1)(b) of the Act, the number prescribed for a kind of partnership or association is the number specified in the following table for that kind of partnership or association:</w:t>
      </w:r>
    </w:p>
    <w:p w14:paraId="7AD6B8F1"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67"/>
        <w:gridCol w:w="7817"/>
        <w:gridCol w:w="1689"/>
      </w:tblGrid>
      <w:tr w:rsidR="00D46430" w:rsidRPr="00CD5673" w14:paraId="7ABCEFFB" w14:textId="77777777" w:rsidTr="00D46430">
        <w:trPr>
          <w:tblHeader/>
        </w:trPr>
        <w:tc>
          <w:tcPr>
            <w:tcW w:w="588" w:type="pct"/>
            <w:tcBorders>
              <w:top w:val="single" w:sz="12" w:space="0" w:color="auto"/>
              <w:bottom w:val="single" w:sz="12" w:space="0" w:color="auto"/>
            </w:tcBorders>
            <w:shd w:val="clear" w:color="auto" w:fill="auto"/>
          </w:tcPr>
          <w:p w14:paraId="1A81FB86" w14:textId="77777777" w:rsidR="00D46430" w:rsidRPr="00CD5673" w:rsidRDefault="00D46430" w:rsidP="00D46430">
            <w:pPr>
              <w:pStyle w:val="TableHeading"/>
            </w:pPr>
            <w:r w:rsidRPr="00CD5673">
              <w:t>Item</w:t>
            </w:r>
          </w:p>
        </w:tc>
        <w:tc>
          <w:tcPr>
            <w:tcW w:w="3628" w:type="pct"/>
            <w:tcBorders>
              <w:top w:val="single" w:sz="12" w:space="0" w:color="auto"/>
              <w:bottom w:val="single" w:sz="12" w:space="0" w:color="auto"/>
            </w:tcBorders>
            <w:shd w:val="clear" w:color="auto" w:fill="auto"/>
          </w:tcPr>
          <w:p w14:paraId="079B14D5" w14:textId="77777777" w:rsidR="00D46430" w:rsidRPr="00CD5673" w:rsidRDefault="00D46430" w:rsidP="00D46430">
            <w:pPr>
              <w:pStyle w:val="TableHeading"/>
            </w:pPr>
            <w:r w:rsidRPr="00CD5673">
              <w:t>Kind of partnership or association</w:t>
            </w:r>
          </w:p>
        </w:tc>
        <w:tc>
          <w:tcPr>
            <w:tcW w:w="784" w:type="pct"/>
            <w:tcBorders>
              <w:top w:val="single" w:sz="12" w:space="0" w:color="auto"/>
              <w:bottom w:val="single" w:sz="12" w:space="0" w:color="auto"/>
            </w:tcBorders>
            <w:shd w:val="clear" w:color="auto" w:fill="auto"/>
          </w:tcPr>
          <w:p w14:paraId="637AD7FD" w14:textId="77777777" w:rsidR="00D46430" w:rsidRPr="00CD5673" w:rsidRDefault="00D46430" w:rsidP="00D46430">
            <w:pPr>
              <w:pStyle w:val="TableHeading"/>
            </w:pPr>
            <w:r w:rsidRPr="00CD5673">
              <w:t>Number</w:t>
            </w:r>
          </w:p>
        </w:tc>
      </w:tr>
      <w:tr w:rsidR="00D46430" w:rsidRPr="00CD5673" w14:paraId="642B493C" w14:textId="77777777" w:rsidTr="00D46430">
        <w:tc>
          <w:tcPr>
            <w:tcW w:w="588" w:type="pct"/>
            <w:tcBorders>
              <w:top w:val="single" w:sz="12" w:space="0" w:color="auto"/>
            </w:tcBorders>
            <w:shd w:val="clear" w:color="auto" w:fill="auto"/>
          </w:tcPr>
          <w:p w14:paraId="3D4F5FAD" w14:textId="77777777" w:rsidR="00D46430" w:rsidRPr="00CD5673" w:rsidRDefault="00D46430" w:rsidP="00D46430">
            <w:pPr>
              <w:pStyle w:val="Tabletext"/>
            </w:pPr>
            <w:r w:rsidRPr="00CD5673">
              <w:t>1</w:t>
            </w:r>
          </w:p>
        </w:tc>
        <w:tc>
          <w:tcPr>
            <w:tcW w:w="3628" w:type="pct"/>
            <w:tcBorders>
              <w:top w:val="single" w:sz="12" w:space="0" w:color="auto"/>
            </w:tcBorders>
            <w:shd w:val="clear" w:color="auto" w:fill="auto"/>
          </w:tcPr>
          <w:p w14:paraId="2916547A" w14:textId="77777777" w:rsidR="00D46430" w:rsidRPr="00CD5673" w:rsidRDefault="00D46430" w:rsidP="00D46430">
            <w:pPr>
              <w:pStyle w:val="Tablea"/>
            </w:pPr>
            <w:r w:rsidRPr="00CD5673">
              <w:t>(a) Actuaries, medical practitioners, patent attorneys, sharebrokers, stockbrokers or trademark attorneys</w:t>
            </w:r>
          </w:p>
          <w:p w14:paraId="58B3A3FC" w14:textId="77777777" w:rsidR="00D46430" w:rsidRPr="00CD5673" w:rsidRDefault="00D46430" w:rsidP="00D46430">
            <w:pPr>
              <w:pStyle w:val="Tablea"/>
            </w:pPr>
            <w:r w:rsidRPr="00CD5673">
              <w:t>(b) Partnerships or associations of the kind specified in subregulation (2)</w:t>
            </w:r>
          </w:p>
        </w:tc>
        <w:tc>
          <w:tcPr>
            <w:tcW w:w="784" w:type="pct"/>
            <w:tcBorders>
              <w:top w:val="single" w:sz="12" w:space="0" w:color="auto"/>
            </w:tcBorders>
            <w:shd w:val="clear" w:color="auto" w:fill="auto"/>
          </w:tcPr>
          <w:p w14:paraId="7EA6E850" w14:textId="77777777" w:rsidR="00D46430" w:rsidRPr="00CD5673" w:rsidRDefault="00D46430" w:rsidP="00D46430">
            <w:pPr>
              <w:pStyle w:val="Tabletext"/>
            </w:pPr>
            <w:r w:rsidRPr="00CD5673">
              <w:t>50</w:t>
            </w:r>
          </w:p>
        </w:tc>
      </w:tr>
      <w:tr w:rsidR="00D46430" w:rsidRPr="00CD5673" w14:paraId="5A588D83" w14:textId="77777777" w:rsidTr="00D46430">
        <w:tc>
          <w:tcPr>
            <w:tcW w:w="588" w:type="pct"/>
            <w:shd w:val="clear" w:color="auto" w:fill="auto"/>
          </w:tcPr>
          <w:p w14:paraId="6BA56C85" w14:textId="77777777" w:rsidR="00D46430" w:rsidRPr="00CD5673" w:rsidRDefault="00D46430" w:rsidP="00D46430">
            <w:pPr>
              <w:pStyle w:val="Tabletext"/>
            </w:pPr>
            <w:r w:rsidRPr="00CD5673">
              <w:t>2</w:t>
            </w:r>
          </w:p>
        </w:tc>
        <w:tc>
          <w:tcPr>
            <w:tcW w:w="3628" w:type="pct"/>
            <w:shd w:val="clear" w:color="auto" w:fill="auto"/>
          </w:tcPr>
          <w:p w14:paraId="44410F78" w14:textId="77777777" w:rsidR="00D46430" w:rsidRPr="00CD5673" w:rsidRDefault="00D46430" w:rsidP="00D46430">
            <w:pPr>
              <w:pStyle w:val="Tabletext"/>
            </w:pPr>
            <w:r w:rsidRPr="00CD5673">
              <w:t>Architects, pharmaceutical chemists or veterinary surgeons</w:t>
            </w:r>
          </w:p>
        </w:tc>
        <w:tc>
          <w:tcPr>
            <w:tcW w:w="784" w:type="pct"/>
            <w:shd w:val="clear" w:color="auto" w:fill="auto"/>
          </w:tcPr>
          <w:p w14:paraId="0EFB50D4" w14:textId="77777777" w:rsidR="00D46430" w:rsidRPr="00CD5673" w:rsidRDefault="00D46430" w:rsidP="00D46430">
            <w:pPr>
              <w:pStyle w:val="Tabletext"/>
            </w:pPr>
            <w:r w:rsidRPr="00CD5673">
              <w:t>100</w:t>
            </w:r>
          </w:p>
        </w:tc>
      </w:tr>
      <w:tr w:rsidR="00D46430" w:rsidRPr="00CD5673" w14:paraId="5C5ECD49" w14:textId="77777777" w:rsidTr="00D46430">
        <w:tc>
          <w:tcPr>
            <w:tcW w:w="588" w:type="pct"/>
            <w:tcBorders>
              <w:bottom w:val="single" w:sz="4" w:space="0" w:color="auto"/>
            </w:tcBorders>
            <w:shd w:val="clear" w:color="auto" w:fill="auto"/>
          </w:tcPr>
          <w:p w14:paraId="1239B2C9" w14:textId="77777777" w:rsidR="00D46430" w:rsidRPr="00CD5673" w:rsidRDefault="00D46430" w:rsidP="00D46430">
            <w:pPr>
              <w:pStyle w:val="Tabletext"/>
            </w:pPr>
            <w:r w:rsidRPr="00CD5673">
              <w:t>3</w:t>
            </w:r>
          </w:p>
        </w:tc>
        <w:tc>
          <w:tcPr>
            <w:tcW w:w="3628" w:type="pct"/>
            <w:tcBorders>
              <w:bottom w:val="single" w:sz="4" w:space="0" w:color="auto"/>
            </w:tcBorders>
            <w:shd w:val="clear" w:color="auto" w:fill="auto"/>
          </w:tcPr>
          <w:p w14:paraId="4A8C747A" w14:textId="77777777" w:rsidR="00D46430" w:rsidRPr="00CD5673" w:rsidRDefault="00D46430" w:rsidP="00D46430">
            <w:pPr>
              <w:pStyle w:val="Tabletext"/>
            </w:pPr>
            <w:r w:rsidRPr="00CD5673">
              <w:t>Legal practitioners</w:t>
            </w:r>
          </w:p>
        </w:tc>
        <w:tc>
          <w:tcPr>
            <w:tcW w:w="784" w:type="pct"/>
            <w:tcBorders>
              <w:bottom w:val="single" w:sz="4" w:space="0" w:color="auto"/>
            </w:tcBorders>
            <w:shd w:val="clear" w:color="auto" w:fill="auto"/>
          </w:tcPr>
          <w:p w14:paraId="095D53A6" w14:textId="77777777" w:rsidR="00D46430" w:rsidRPr="00CD5673" w:rsidRDefault="00D46430" w:rsidP="00D46430">
            <w:pPr>
              <w:pStyle w:val="Tabletext"/>
            </w:pPr>
            <w:r w:rsidRPr="00CD5673">
              <w:t>400</w:t>
            </w:r>
          </w:p>
        </w:tc>
      </w:tr>
      <w:tr w:rsidR="00D46430" w:rsidRPr="00CD5673" w14:paraId="09011033" w14:textId="77777777" w:rsidTr="00D46430">
        <w:tc>
          <w:tcPr>
            <w:tcW w:w="588" w:type="pct"/>
            <w:tcBorders>
              <w:bottom w:val="single" w:sz="12" w:space="0" w:color="auto"/>
            </w:tcBorders>
            <w:shd w:val="clear" w:color="auto" w:fill="auto"/>
          </w:tcPr>
          <w:p w14:paraId="3BF65C63" w14:textId="77777777" w:rsidR="00D46430" w:rsidRPr="00CD5673" w:rsidRDefault="00D46430" w:rsidP="00D46430">
            <w:pPr>
              <w:pStyle w:val="Tabletext"/>
            </w:pPr>
            <w:r w:rsidRPr="00CD5673">
              <w:t>4</w:t>
            </w:r>
          </w:p>
        </w:tc>
        <w:tc>
          <w:tcPr>
            <w:tcW w:w="3628" w:type="pct"/>
            <w:tcBorders>
              <w:bottom w:val="single" w:sz="12" w:space="0" w:color="auto"/>
            </w:tcBorders>
            <w:shd w:val="clear" w:color="auto" w:fill="auto"/>
          </w:tcPr>
          <w:p w14:paraId="754306E5" w14:textId="77777777" w:rsidR="00D46430" w:rsidRPr="00CD5673" w:rsidRDefault="00D46430" w:rsidP="00D46430">
            <w:pPr>
              <w:pStyle w:val="Tabletext"/>
            </w:pPr>
            <w:r w:rsidRPr="00CD5673">
              <w:t>Accountants</w:t>
            </w:r>
          </w:p>
        </w:tc>
        <w:tc>
          <w:tcPr>
            <w:tcW w:w="784" w:type="pct"/>
            <w:tcBorders>
              <w:bottom w:val="single" w:sz="12" w:space="0" w:color="auto"/>
            </w:tcBorders>
            <w:shd w:val="clear" w:color="auto" w:fill="auto"/>
          </w:tcPr>
          <w:p w14:paraId="276C8397" w14:textId="77777777" w:rsidR="00D46430" w:rsidRPr="00CD5673" w:rsidRDefault="00D46430" w:rsidP="00D46430">
            <w:pPr>
              <w:pStyle w:val="Tabletext"/>
            </w:pPr>
            <w:r w:rsidRPr="00CD5673">
              <w:t>1 000</w:t>
            </w:r>
          </w:p>
        </w:tc>
      </w:tr>
    </w:tbl>
    <w:p w14:paraId="08D72DED" w14:textId="77777777" w:rsidR="00D46430" w:rsidRPr="00CD5673" w:rsidRDefault="00D46430" w:rsidP="00D46430">
      <w:pPr>
        <w:pStyle w:val="subsection"/>
      </w:pPr>
      <w:r w:rsidRPr="00CD5673">
        <w:tab/>
        <w:t>(2)</w:t>
      </w:r>
      <w:r w:rsidRPr="00CD5673">
        <w:tab/>
        <w:t>For paragraph (b) of item 1 of the table in subregulation (1), the partnership or association is one that:</w:t>
      </w:r>
    </w:p>
    <w:p w14:paraId="420995D2" w14:textId="77777777" w:rsidR="00D46430" w:rsidRPr="00CD5673" w:rsidRDefault="00D46430" w:rsidP="00D46430">
      <w:pPr>
        <w:pStyle w:val="paragraph"/>
      </w:pPr>
      <w:r w:rsidRPr="00CD5673">
        <w:tab/>
        <w:t>(a)</w:t>
      </w:r>
      <w:r w:rsidRPr="00CD5673">
        <w:tab/>
        <w:t>has as its primary purpose collaborative scientific research; and</w:t>
      </w:r>
    </w:p>
    <w:p w14:paraId="04C56006" w14:textId="77777777" w:rsidR="00D46430" w:rsidRPr="00CD5673" w:rsidRDefault="00D46430" w:rsidP="00D46430">
      <w:pPr>
        <w:pStyle w:val="paragraph"/>
      </w:pPr>
      <w:r w:rsidRPr="00CD5673">
        <w:tab/>
        <w:t>(b)</w:t>
      </w:r>
      <w:r w:rsidRPr="00CD5673">
        <w:tab/>
        <w:t>includes as members:</w:t>
      </w:r>
    </w:p>
    <w:p w14:paraId="23018BA4" w14:textId="77777777" w:rsidR="00D46430" w:rsidRPr="00CD5673" w:rsidRDefault="00D46430" w:rsidP="00D46430">
      <w:pPr>
        <w:pStyle w:val="paragraphsub"/>
      </w:pPr>
      <w:r w:rsidRPr="00CD5673">
        <w:tab/>
        <w:t>(i)</w:t>
      </w:r>
      <w:r w:rsidRPr="00CD5673">
        <w:tab/>
        <w:t>at least 1 university; and</w:t>
      </w:r>
    </w:p>
    <w:p w14:paraId="0D56D4AB" w14:textId="77777777" w:rsidR="00D46430" w:rsidRPr="00CD5673" w:rsidRDefault="00D46430" w:rsidP="00D46430">
      <w:pPr>
        <w:pStyle w:val="paragraphsub"/>
      </w:pPr>
      <w:r w:rsidRPr="00CD5673">
        <w:tab/>
        <w:t>(ii)</w:t>
      </w:r>
      <w:r w:rsidRPr="00CD5673">
        <w:tab/>
        <w:t>at least 1 private sector participant;</w:t>
      </w:r>
    </w:p>
    <w:p w14:paraId="57295F8A" w14:textId="77777777" w:rsidR="00D46430" w:rsidRPr="00CD5673" w:rsidRDefault="00D46430" w:rsidP="00D46430">
      <w:pPr>
        <w:pStyle w:val="paragraph"/>
      </w:pPr>
      <w:r w:rsidRPr="00CD5673">
        <w:tab/>
      </w:r>
      <w:r w:rsidRPr="00CD5673">
        <w:tab/>
        <w:t>whether or not it also includes government agencies or publicly funded research bodies.</w:t>
      </w:r>
    </w:p>
    <w:p w14:paraId="69430C8B" w14:textId="77777777" w:rsidR="00D46430" w:rsidRPr="00CD5673" w:rsidRDefault="00D46430" w:rsidP="00D46430">
      <w:pPr>
        <w:pStyle w:val="subsection"/>
      </w:pPr>
      <w:r w:rsidRPr="00CD5673">
        <w:tab/>
        <w:t>(3)</w:t>
      </w:r>
      <w:r w:rsidRPr="00CD5673">
        <w:tab/>
        <w:t>In subregulation (2):</w:t>
      </w:r>
    </w:p>
    <w:p w14:paraId="4C45216A" w14:textId="77777777" w:rsidR="00D46430" w:rsidRPr="00CD5673" w:rsidRDefault="00D46430" w:rsidP="00D46430">
      <w:pPr>
        <w:pStyle w:val="Definition"/>
      </w:pPr>
      <w:r w:rsidRPr="00CD5673">
        <w:rPr>
          <w:b/>
          <w:i/>
        </w:rPr>
        <w:t xml:space="preserve">private sector participant </w:t>
      </w:r>
      <w:r w:rsidRPr="00CD5673">
        <w:t>means an entity that obtains the majority of its revenue from sources other than Commonwealth, State or Territory appropriations.</w:t>
      </w:r>
    </w:p>
    <w:p w14:paraId="131FAF16" w14:textId="77777777" w:rsidR="00D46430" w:rsidRPr="00CD5673" w:rsidRDefault="00D46430" w:rsidP="00D46430">
      <w:pPr>
        <w:pStyle w:val="ActHead2"/>
        <w:pageBreakBefore/>
      </w:pPr>
      <w:bookmarkStart w:id="46" w:name="_Toc158711658"/>
      <w:r w:rsidRPr="00C614F1">
        <w:rPr>
          <w:rStyle w:val="CharPartNo"/>
        </w:rPr>
        <w:lastRenderedPageBreak/>
        <w:t>Part 2A.2</w:t>
      </w:r>
      <w:r w:rsidRPr="00CD5673">
        <w:t>—</w:t>
      </w:r>
      <w:r w:rsidRPr="00C614F1">
        <w:rPr>
          <w:rStyle w:val="CharPartText"/>
        </w:rPr>
        <w:t>Change of place of registration of company (Act s 119A(3))</w:t>
      </w:r>
      <w:bookmarkEnd w:id="46"/>
    </w:p>
    <w:p w14:paraId="418C8EB9"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84C1DBB" w14:textId="77777777" w:rsidR="00D46430" w:rsidRPr="00CD5673" w:rsidRDefault="00D46430" w:rsidP="00D46430">
      <w:pPr>
        <w:pStyle w:val="ActHead5"/>
      </w:pPr>
      <w:bookmarkStart w:id="47" w:name="_Toc158711659"/>
      <w:r w:rsidRPr="00C614F1">
        <w:rPr>
          <w:rStyle w:val="CharSectno"/>
        </w:rPr>
        <w:t>2A.2.01</w:t>
      </w:r>
      <w:r w:rsidRPr="00CD5673">
        <w:t xml:space="preserve">  Approval of application for change of place of registration</w:t>
      </w:r>
      <w:bookmarkEnd w:id="47"/>
    </w:p>
    <w:p w14:paraId="2B1D7690" w14:textId="77777777" w:rsidR="00D46430" w:rsidRPr="00CD5673" w:rsidRDefault="00D46430" w:rsidP="00D46430">
      <w:pPr>
        <w:pStyle w:val="subsection"/>
      </w:pPr>
      <w:r w:rsidRPr="00CD5673">
        <w:tab/>
        <w:t>(1)</w:t>
      </w:r>
      <w:r w:rsidRPr="00CD5673">
        <w:tab/>
        <w:t>An application to ASIC for a change in the State or Territory in this jurisdiction in which a company is taken to be registered must be approved by a special resolution of the company.</w:t>
      </w:r>
    </w:p>
    <w:p w14:paraId="245A2DCF" w14:textId="77777777" w:rsidR="00D46430" w:rsidRPr="00CD5673" w:rsidRDefault="00D46430" w:rsidP="00D46430">
      <w:pPr>
        <w:pStyle w:val="subsection"/>
      </w:pPr>
      <w:r w:rsidRPr="00CD5673">
        <w:tab/>
        <w:t>(2)</w:t>
      </w:r>
      <w:r w:rsidRPr="00CD5673">
        <w:tab/>
        <w:t>A copy of the special resolution must be given to ASIC within 14 days after the day on which it is passed.</w:t>
      </w:r>
    </w:p>
    <w:p w14:paraId="329C1A38" w14:textId="77777777" w:rsidR="00D46430" w:rsidRPr="00CD5673" w:rsidRDefault="00D46430" w:rsidP="00D46430">
      <w:pPr>
        <w:pStyle w:val="ActHead5"/>
      </w:pPr>
      <w:bookmarkStart w:id="48" w:name="_Toc158711660"/>
      <w:r w:rsidRPr="00C614F1">
        <w:rPr>
          <w:rStyle w:val="CharSectno"/>
        </w:rPr>
        <w:t>2A.2.02</w:t>
      </w:r>
      <w:r w:rsidRPr="00CD5673">
        <w:t xml:space="preserve">  Special resolution may be set aside by Court order</w:t>
      </w:r>
      <w:bookmarkEnd w:id="48"/>
    </w:p>
    <w:p w14:paraId="29A69CC7" w14:textId="77777777" w:rsidR="00D46430" w:rsidRPr="00CD5673" w:rsidRDefault="00D46430" w:rsidP="00D46430">
      <w:pPr>
        <w:pStyle w:val="subsection"/>
      </w:pPr>
      <w:r w:rsidRPr="00CD5673">
        <w:tab/>
        <w:t>(1)</w:t>
      </w:r>
      <w:r w:rsidRPr="00CD5673">
        <w:tab/>
        <w:t>Within 28 days after the passing of a special resolution approving an application for a change in the State or Territory in this jurisdiction in which a company is taken to be registered, a member, or members, of the company having at least 10% of the votes capable of being cast on the special resolution may apply in writing to the Court to have the resolution set aside.</w:t>
      </w:r>
    </w:p>
    <w:p w14:paraId="77D94E3D" w14:textId="77777777" w:rsidR="00D46430" w:rsidRPr="00CD5673" w:rsidRDefault="00D46430" w:rsidP="00D46430">
      <w:pPr>
        <w:pStyle w:val="subsection"/>
      </w:pPr>
      <w:r w:rsidRPr="00CD5673">
        <w:tab/>
        <w:t>(2)</w:t>
      </w:r>
      <w:r w:rsidRPr="00CD5673">
        <w:tab/>
        <w:t>A member may, with the written consent of other members mentioned in subregulation (1), apply on their behalf to the Court under that subregulation.</w:t>
      </w:r>
    </w:p>
    <w:p w14:paraId="669B7318" w14:textId="77777777" w:rsidR="00D46430" w:rsidRPr="00CD5673" w:rsidRDefault="00D46430" w:rsidP="00D46430">
      <w:pPr>
        <w:pStyle w:val="subsection"/>
      </w:pPr>
      <w:r w:rsidRPr="00CD5673">
        <w:tab/>
        <w:t>(3)</w:t>
      </w:r>
      <w:r w:rsidRPr="00CD5673">
        <w:tab/>
        <w:t>The Court may order the special resolution to be set aside if the Court is satisfied that it would unfairly prejudice the applicant or applicants if the State or Territory in which the company is taken to be registered were changed in accordance with the resolution.</w:t>
      </w:r>
    </w:p>
    <w:p w14:paraId="749B4026" w14:textId="77777777" w:rsidR="00D46430" w:rsidRPr="00CD5673" w:rsidRDefault="00D46430" w:rsidP="00D46430">
      <w:pPr>
        <w:pStyle w:val="subsection"/>
      </w:pPr>
      <w:r w:rsidRPr="00CD5673">
        <w:tab/>
        <w:t>(4)</w:t>
      </w:r>
      <w:r w:rsidRPr="00CD5673">
        <w:tab/>
        <w:t>The company must give ASIC a copy of the Court order within 14 days after the day on which it is made.</w:t>
      </w:r>
    </w:p>
    <w:p w14:paraId="02F8E93F" w14:textId="77777777" w:rsidR="00D46430" w:rsidRPr="00CD5673" w:rsidRDefault="00D46430" w:rsidP="00D46430">
      <w:pPr>
        <w:pStyle w:val="ActHead5"/>
      </w:pPr>
      <w:bookmarkStart w:id="49" w:name="_Toc158711661"/>
      <w:r w:rsidRPr="00C614F1">
        <w:rPr>
          <w:rStyle w:val="CharSectno"/>
        </w:rPr>
        <w:t>2A.2.03</w:t>
      </w:r>
      <w:r w:rsidRPr="00CD5673">
        <w:t xml:space="preserve">  Application for change of place of registration</w:t>
      </w:r>
      <w:bookmarkEnd w:id="49"/>
    </w:p>
    <w:p w14:paraId="2218B7AE" w14:textId="77777777" w:rsidR="00D46430" w:rsidRPr="00CD5673" w:rsidRDefault="00D46430" w:rsidP="00D46430">
      <w:pPr>
        <w:pStyle w:val="subsection"/>
      </w:pPr>
      <w:r w:rsidRPr="00CD5673">
        <w:tab/>
        <w:t>(1)</w:t>
      </w:r>
      <w:r w:rsidRPr="00CD5673">
        <w:tab/>
        <w:t>A company may, in accordance with a special resolution of the company, apply to ASIC for a change in the State or Territory in this jurisdiction in which the company is taken to be registered.</w:t>
      </w:r>
    </w:p>
    <w:p w14:paraId="294B64FB" w14:textId="77777777" w:rsidR="00D46430" w:rsidRPr="00CD5673" w:rsidRDefault="00D46430" w:rsidP="00D46430">
      <w:pPr>
        <w:pStyle w:val="subsection"/>
      </w:pPr>
      <w:r w:rsidRPr="00CD5673">
        <w:tab/>
        <w:t>(2)</w:t>
      </w:r>
      <w:r w:rsidRPr="00CD5673">
        <w:tab/>
        <w:t>The application must be in accordance with the approved form.</w:t>
      </w:r>
    </w:p>
    <w:p w14:paraId="4C6DC8B3" w14:textId="77777777" w:rsidR="00D46430" w:rsidRPr="00CD5673" w:rsidRDefault="00D46430" w:rsidP="00D46430">
      <w:pPr>
        <w:pStyle w:val="ActHead5"/>
      </w:pPr>
      <w:bookmarkStart w:id="50" w:name="_Toc158711662"/>
      <w:r w:rsidRPr="00C614F1">
        <w:rPr>
          <w:rStyle w:val="CharSectno"/>
        </w:rPr>
        <w:t>2A.2.04</w:t>
      </w:r>
      <w:r w:rsidRPr="00CD5673">
        <w:t xml:space="preserve">  Change of place of registration</w:t>
      </w:r>
      <w:bookmarkEnd w:id="50"/>
    </w:p>
    <w:p w14:paraId="2AB95ADD" w14:textId="77777777" w:rsidR="00D46430" w:rsidRPr="00CD5673" w:rsidRDefault="00D46430" w:rsidP="00D46430">
      <w:pPr>
        <w:pStyle w:val="subsection"/>
      </w:pPr>
      <w:r w:rsidRPr="00CD5673">
        <w:tab/>
        <w:t>(1)</w:t>
      </w:r>
      <w:r w:rsidRPr="00CD5673">
        <w:tab/>
        <w:t>On application under regulation 2A.2.03, ASIC must alter the details of the company’s registration to show the change in the State or Territory in this jurisdiction in which the company is taken to be registered if:</w:t>
      </w:r>
    </w:p>
    <w:p w14:paraId="23DF8FFA" w14:textId="77777777" w:rsidR="00D46430" w:rsidRPr="00CD5673" w:rsidRDefault="00D46430" w:rsidP="00D46430">
      <w:pPr>
        <w:pStyle w:val="paragraph"/>
      </w:pPr>
      <w:r w:rsidRPr="00CD5673">
        <w:tab/>
        <w:t>(a)</w:t>
      </w:r>
      <w:r w:rsidRPr="00CD5673">
        <w:tab/>
        <w:t>the company has passed a special resolution approving the application for the change; and</w:t>
      </w:r>
    </w:p>
    <w:p w14:paraId="52A32C6E" w14:textId="77777777" w:rsidR="00D46430" w:rsidRPr="00CD5673" w:rsidRDefault="00D46430" w:rsidP="00D46430">
      <w:pPr>
        <w:pStyle w:val="paragraph"/>
      </w:pPr>
      <w:r w:rsidRPr="00CD5673">
        <w:tab/>
        <w:t>(b)</w:t>
      </w:r>
      <w:r w:rsidRPr="00CD5673">
        <w:tab/>
        <w:t>the Court has not made an order setting aside the special resolution; and</w:t>
      </w:r>
    </w:p>
    <w:p w14:paraId="58EC6428" w14:textId="77777777" w:rsidR="00D46430" w:rsidRPr="00CD5673" w:rsidRDefault="00D46430" w:rsidP="00D46430">
      <w:pPr>
        <w:pStyle w:val="paragraph"/>
      </w:pPr>
      <w:r w:rsidRPr="00CD5673">
        <w:tab/>
        <w:t>(c)</w:t>
      </w:r>
      <w:r w:rsidRPr="00CD5673">
        <w:tab/>
        <w:t>the relevant Minister of the State or Territory in which the company is taken to be registered has approved the change under subparagraph 119A(3)(a)(i) of the Act; and</w:t>
      </w:r>
    </w:p>
    <w:p w14:paraId="7FCB3775" w14:textId="77777777" w:rsidR="00D46430" w:rsidRPr="00CD5673" w:rsidRDefault="00D46430" w:rsidP="00D46430">
      <w:pPr>
        <w:pStyle w:val="paragraph"/>
      </w:pPr>
      <w:r w:rsidRPr="00CD5673">
        <w:tab/>
        <w:t>(d)</w:t>
      </w:r>
      <w:r w:rsidRPr="00CD5673">
        <w:tab/>
        <w:t>ASIC is not aware of any other reason why the change should not be made.</w:t>
      </w:r>
    </w:p>
    <w:p w14:paraId="321B770B" w14:textId="77777777" w:rsidR="00D46430" w:rsidRPr="00CD5673" w:rsidRDefault="00D46430" w:rsidP="00D46430">
      <w:pPr>
        <w:pStyle w:val="subsection"/>
      </w:pPr>
      <w:r w:rsidRPr="00CD5673">
        <w:tab/>
        <w:t>(2)</w:t>
      </w:r>
      <w:r w:rsidRPr="00CD5673">
        <w:tab/>
        <w:t>ASIC must not alter details of the company’s registration until 28 days after the day on which the application was made.</w:t>
      </w:r>
    </w:p>
    <w:p w14:paraId="62B2BE6E" w14:textId="77777777" w:rsidR="00D46430" w:rsidRPr="00CD5673" w:rsidRDefault="00D46430" w:rsidP="00D46430">
      <w:pPr>
        <w:pStyle w:val="subsection"/>
      </w:pPr>
      <w:r w:rsidRPr="00CD5673">
        <w:tab/>
        <w:t>(3)</w:t>
      </w:r>
      <w:r w:rsidRPr="00CD5673">
        <w:tab/>
        <w:t>ASIC must give the company a new certificate of registration after it alters details of the company’s registration.</w:t>
      </w:r>
    </w:p>
    <w:p w14:paraId="7E406F34" w14:textId="77777777" w:rsidR="00D46430" w:rsidRPr="00CD5673" w:rsidRDefault="00D46430" w:rsidP="00D46430">
      <w:pPr>
        <w:pStyle w:val="ActHead1"/>
        <w:pageBreakBefore/>
      </w:pPr>
      <w:bookmarkStart w:id="51" w:name="_Toc158711663"/>
      <w:r w:rsidRPr="00C614F1">
        <w:rPr>
          <w:rStyle w:val="CharChapNo"/>
        </w:rPr>
        <w:lastRenderedPageBreak/>
        <w:t>Chapter 2B</w:t>
      </w:r>
      <w:r w:rsidRPr="00CD5673">
        <w:t>—</w:t>
      </w:r>
      <w:r w:rsidRPr="00C614F1">
        <w:rPr>
          <w:rStyle w:val="CharChapText"/>
        </w:rPr>
        <w:t>Basic features of a company</w:t>
      </w:r>
      <w:bookmarkEnd w:id="51"/>
    </w:p>
    <w:p w14:paraId="08F717A7" w14:textId="77777777" w:rsidR="00D46430" w:rsidRPr="00CD5673" w:rsidRDefault="00D46430" w:rsidP="00D46430">
      <w:pPr>
        <w:pStyle w:val="ActHead2"/>
      </w:pPr>
      <w:bookmarkStart w:id="52" w:name="_Toc158711664"/>
      <w:r w:rsidRPr="00C614F1">
        <w:rPr>
          <w:rStyle w:val="CharPartNo"/>
        </w:rPr>
        <w:t>Part 2B.6</w:t>
      </w:r>
      <w:r w:rsidRPr="00CD5673">
        <w:t>—</w:t>
      </w:r>
      <w:r w:rsidRPr="00C614F1">
        <w:rPr>
          <w:rStyle w:val="CharPartText"/>
        </w:rPr>
        <w:t>Names</w:t>
      </w:r>
      <w:bookmarkEnd w:id="52"/>
    </w:p>
    <w:p w14:paraId="0A531B97"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15632FE" w14:textId="77777777" w:rsidR="00D46430" w:rsidRPr="00CD5673" w:rsidRDefault="00D46430" w:rsidP="00D46430">
      <w:pPr>
        <w:pStyle w:val="ActHead5"/>
      </w:pPr>
      <w:bookmarkStart w:id="53" w:name="_Toc158711665"/>
      <w:r w:rsidRPr="00C614F1">
        <w:rPr>
          <w:rStyle w:val="CharSectno"/>
        </w:rPr>
        <w:t>2B.6.01</w:t>
      </w:r>
      <w:r w:rsidRPr="00CD5673">
        <w:t xml:space="preserve">  Availability of names (Act s 147)</w:t>
      </w:r>
      <w:bookmarkEnd w:id="53"/>
    </w:p>
    <w:p w14:paraId="52EF0A85" w14:textId="77777777" w:rsidR="00D46430" w:rsidRPr="00CD5673" w:rsidRDefault="00D46430" w:rsidP="00D46430">
      <w:pPr>
        <w:pStyle w:val="subsection"/>
      </w:pPr>
      <w:r w:rsidRPr="00CD5673">
        <w:tab/>
        <w:t>(1)</w:t>
      </w:r>
      <w:r w:rsidRPr="00CD5673">
        <w:tab/>
        <w:t>For paragraphs 147(1)(a) and (b) of the Act, the rules for ascertaining whether a name is identical with another name are the rules set out in Part 1 of Schedule 6.</w:t>
      </w:r>
    </w:p>
    <w:p w14:paraId="37737EC3" w14:textId="77777777" w:rsidR="00D46430" w:rsidRPr="00CD5673" w:rsidRDefault="00D46430" w:rsidP="00D46430">
      <w:pPr>
        <w:pStyle w:val="subsection"/>
      </w:pPr>
      <w:r w:rsidRPr="00CD5673">
        <w:tab/>
        <w:t>(2)</w:t>
      </w:r>
      <w:r w:rsidRPr="00CD5673">
        <w:tab/>
        <w:t>For paragraph 147(1)(c) of the Act, a name is unacceptable for registration under the regulations if it is unacceptable under the rules set out in Part 2 of Schedule 6.</w:t>
      </w:r>
    </w:p>
    <w:p w14:paraId="64D2CEA3" w14:textId="77777777" w:rsidR="00D46430" w:rsidRPr="00CD5673" w:rsidRDefault="00D46430" w:rsidP="00D46430">
      <w:pPr>
        <w:pStyle w:val="ActHead5"/>
      </w:pPr>
      <w:bookmarkStart w:id="54" w:name="_Toc158711666"/>
      <w:r w:rsidRPr="00C614F1">
        <w:rPr>
          <w:rStyle w:val="CharSectno"/>
        </w:rPr>
        <w:t>2B.6.02</w:t>
      </w:r>
      <w:r w:rsidRPr="00CD5673">
        <w:t xml:space="preserve">  Consents required for use of certain letters, words and expressions</w:t>
      </w:r>
      <w:bookmarkEnd w:id="54"/>
    </w:p>
    <w:p w14:paraId="064E2E37" w14:textId="77777777" w:rsidR="00D46430" w:rsidRPr="00CD5673" w:rsidRDefault="00D46430" w:rsidP="00D46430">
      <w:pPr>
        <w:pStyle w:val="subsection"/>
      </w:pPr>
      <w:r w:rsidRPr="00CD5673">
        <w:rPr>
          <w:color w:val="000000"/>
        </w:rPr>
        <w:tab/>
        <w:t>(1)</w:t>
      </w:r>
      <w:r w:rsidRPr="00CD5673">
        <w:rPr>
          <w:color w:val="000000"/>
        </w:rPr>
        <w:tab/>
        <w:t>This regulation applies to a name if:</w:t>
      </w:r>
    </w:p>
    <w:p w14:paraId="004FB625" w14:textId="77777777" w:rsidR="00D46430" w:rsidRPr="00CD5673" w:rsidRDefault="00D46430" w:rsidP="00D46430">
      <w:pPr>
        <w:pStyle w:val="paragraph"/>
      </w:pPr>
      <w:r w:rsidRPr="00CD5673">
        <w:rPr>
          <w:color w:val="000000"/>
        </w:rPr>
        <w:tab/>
        <w:t>(a)</w:t>
      </w:r>
      <w:r w:rsidRPr="00CD5673">
        <w:rPr>
          <w:color w:val="000000"/>
        </w:rPr>
        <w:tab/>
        <w:t>the name:</w:t>
      </w:r>
    </w:p>
    <w:p w14:paraId="0D0B6BD5" w14:textId="77777777" w:rsidR="00D46430" w:rsidRPr="00CD5673" w:rsidRDefault="00D46430" w:rsidP="00D46430">
      <w:pPr>
        <w:pStyle w:val="paragraphsub"/>
      </w:pPr>
      <w:r w:rsidRPr="00CD5673">
        <w:rPr>
          <w:color w:val="000000"/>
        </w:rPr>
        <w:tab/>
        <w:t>(i)</w:t>
      </w:r>
      <w:r w:rsidRPr="00CD5673">
        <w:rPr>
          <w:color w:val="000000"/>
        </w:rPr>
        <w:tab/>
        <w:t>is the subject of an application for registration of a name under section 117 of the Act; or</w:t>
      </w:r>
    </w:p>
    <w:p w14:paraId="0A347B50" w14:textId="77777777" w:rsidR="00D46430" w:rsidRPr="00CD5673" w:rsidRDefault="00D46430" w:rsidP="00D46430">
      <w:pPr>
        <w:pStyle w:val="paragraphsub"/>
      </w:pPr>
      <w:r w:rsidRPr="00CD5673">
        <w:rPr>
          <w:color w:val="000000"/>
        </w:rPr>
        <w:tab/>
        <w:t>(ii)</w:t>
      </w:r>
      <w:r w:rsidRPr="00CD5673">
        <w:rPr>
          <w:color w:val="000000"/>
        </w:rPr>
        <w:tab/>
        <w:t>is the subject of an application for reservation of a name under section 152 of that Act; or</w:t>
      </w:r>
    </w:p>
    <w:p w14:paraId="1A6B5F02" w14:textId="77777777" w:rsidR="00D46430" w:rsidRPr="00CD5673" w:rsidRDefault="00D46430" w:rsidP="00D46430">
      <w:pPr>
        <w:pStyle w:val="paragraphsub"/>
      </w:pPr>
      <w:r w:rsidRPr="00CD5673">
        <w:rPr>
          <w:color w:val="000000"/>
        </w:rPr>
        <w:tab/>
        <w:t>(iii)</w:t>
      </w:r>
      <w:r w:rsidRPr="00CD5673">
        <w:rPr>
          <w:color w:val="000000"/>
        </w:rPr>
        <w:tab/>
        <w:t>for an application for a change of name under section 157 of the Act—is the name to which the previous name is to be changed; and</w:t>
      </w:r>
    </w:p>
    <w:p w14:paraId="242887BA" w14:textId="77777777" w:rsidR="00D46430" w:rsidRPr="00CD5673" w:rsidRDefault="00D46430" w:rsidP="00D46430">
      <w:pPr>
        <w:pStyle w:val="paragraph"/>
      </w:pPr>
      <w:r w:rsidRPr="00CD5673">
        <w:rPr>
          <w:color w:val="000000"/>
        </w:rPr>
        <w:tab/>
        <w:t>(b)</w:t>
      </w:r>
      <w:r w:rsidRPr="00CD5673">
        <w:rPr>
          <w:color w:val="000000"/>
        </w:rPr>
        <w:tab/>
        <w:t>the name is, uses or includes:</w:t>
      </w:r>
    </w:p>
    <w:p w14:paraId="41EBBFC4" w14:textId="77777777" w:rsidR="00D46430" w:rsidRPr="00CD5673" w:rsidRDefault="00D46430" w:rsidP="00D46430">
      <w:pPr>
        <w:pStyle w:val="paragraphsub"/>
      </w:pPr>
      <w:r w:rsidRPr="00CD5673">
        <w:rPr>
          <w:color w:val="000000"/>
        </w:rPr>
        <w:tab/>
        <w:t>(i)</w:t>
      </w:r>
      <w:r w:rsidRPr="00CD5673">
        <w:rPr>
          <w:color w:val="000000"/>
        </w:rPr>
        <w:tab/>
        <w:t>letters, or a word or expression, specified in column 2 of an item in Part 4 or 5 of Schedule 6; or</w:t>
      </w:r>
    </w:p>
    <w:p w14:paraId="0C2889D7" w14:textId="77777777" w:rsidR="00D46430" w:rsidRPr="00CD5673" w:rsidRDefault="00D46430" w:rsidP="00D46430">
      <w:pPr>
        <w:pStyle w:val="paragraphsub"/>
      </w:pPr>
      <w:r w:rsidRPr="00CD5673">
        <w:rPr>
          <w:color w:val="000000"/>
        </w:rPr>
        <w:tab/>
        <w:t>(ii)</w:t>
      </w:r>
      <w:r w:rsidRPr="00CD5673">
        <w:rPr>
          <w:color w:val="000000"/>
        </w:rPr>
        <w:tab/>
        <w:t>other letters, or another word or expression (whether or not in English), that is of like import to the letters, word or expression specified in the item.</w:t>
      </w:r>
    </w:p>
    <w:p w14:paraId="0A3CA319" w14:textId="77777777" w:rsidR="00D46430" w:rsidRPr="00CD5673" w:rsidRDefault="00D46430" w:rsidP="00D46430">
      <w:pPr>
        <w:pStyle w:val="subsection"/>
      </w:pPr>
      <w:r w:rsidRPr="00CD5673">
        <w:rPr>
          <w:color w:val="000000"/>
        </w:rPr>
        <w:tab/>
        <w:t>(2)</w:t>
      </w:r>
      <w:r w:rsidRPr="00CD5673">
        <w:rPr>
          <w:color w:val="000000"/>
        </w:rPr>
        <w:tab/>
        <w:t>In paragraph (1)(b), a reference to letters, a word or an expression being used includes a reference to the letters, word or expression being used:</w:t>
      </w:r>
    </w:p>
    <w:p w14:paraId="5349AD14" w14:textId="77777777" w:rsidR="00D46430" w:rsidRPr="00CD5673" w:rsidRDefault="00D46430" w:rsidP="00D46430">
      <w:pPr>
        <w:pStyle w:val="paragraph"/>
      </w:pPr>
      <w:r w:rsidRPr="00CD5673">
        <w:rPr>
          <w:color w:val="000000"/>
        </w:rPr>
        <w:tab/>
        <w:t>(a)</w:t>
      </w:r>
      <w:r w:rsidRPr="00CD5673">
        <w:rPr>
          <w:color w:val="000000"/>
        </w:rPr>
        <w:tab/>
        <w:t>as part of another word or expression; or</w:t>
      </w:r>
    </w:p>
    <w:p w14:paraId="4C81BE8B" w14:textId="77777777" w:rsidR="00D46430" w:rsidRPr="00CD5673" w:rsidRDefault="00D46430" w:rsidP="00D46430">
      <w:pPr>
        <w:pStyle w:val="paragraph"/>
      </w:pPr>
      <w:r w:rsidRPr="00CD5673">
        <w:rPr>
          <w:color w:val="000000"/>
        </w:rPr>
        <w:tab/>
        <w:t>(b)</w:t>
      </w:r>
      <w:r w:rsidRPr="00CD5673">
        <w:rPr>
          <w:color w:val="000000"/>
        </w:rPr>
        <w:tab/>
        <w:t>in combination with other words or letters, or other symbols.</w:t>
      </w:r>
    </w:p>
    <w:p w14:paraId="2877B204" w14:textId="77777777" w:rsidR="00D46430" w:rsidRPr="00CD5673" w:rsidRDefault="00D46430" w:rsidP="00D46430">
      <w:pPr>
        <w:pStyle w:val="subsection"/>
      </w:pPr>
      <w:r w:rsidRPr="00CD5673">
        <w:tab/>
        <w:t>(3)</w:t>
      </w:r>
      <w:r w:rsidRPr="00CD5673">
        <w:tab/>
        <w:t>However, this regulation does not apply to use of the letters ADI as part of another word.</w:t>
      </w:r>
    </w:p>
    <w:p w14:paraId="12F4FCED" w14:textId="77777777" w:rsidR="00D46430" w:rsidRPr="00CD5673" w:rsidRDefault="00D46430" w:rsidP="00D46430">
      <w:pPr>
        <w:pStyle w:val="notemargin"/>
        <w:ind w:left="1985" w:hanging="851"/>
      </w:pPr>
      <w:r w:rsidRPr="00CD5673">
        <w:t>Example:</w:t>
      </w:r>
      <w:r w:rsidRPr="00CD5673">
        <w:tab/>
        <w:t xml:space="preserve">The letters </w:t>
      </w:r>
      <w:r w:rsidRPr="00CD5673">
        <w:rPr>
          <w:b/>
          <w:i/>
        </w:rPr>
        <w:t>adi</w:t>
      </w:r>
      <w:r w:rsidRPr="00CD5673">
        <w:t xml:space="preserve"> appear in the word </w:t>
      </w:r>
      <w:r w:rsidRPr="00CD5673">
        <w:rPr>
          <w:b/>
          <w:i/>
        </w:rPr>
        <w:t>traditional</w:t>
      </w:r>
      <w:r w:rsidRPr="00CD5673">
        <w:t xml:space="preserve">.  This regulation does not apply to use of the word </w:t>
      </w:r>
      <w:r w:rsidRPr="00CD5673">
        <w:rPr>
          <w:b/>
          <w:i/>
        </w:rPr>
        <w:t>traditional</w:t>
      </w:r>
      <w:r w:rsidRPr="00CD5673">
        <w:t>.</w:t>
      </w:r>
    </w:p>
    <w:p w14:paraId="5B97CFC9" w14:textId="77777777" w:rsidR="00D46430" w:rsidRPr="00CD5673" w:rsidRDefault="00D46430" w:rsidP="00D46430">
      <w:pPr>
        <w:pStyle w:val="subsection"/>
      </w:pPr>
      <w:r w:rsidRPr="00CD5673">
        <w:rPr>
          <w:color w:val="000000"/>
        </w:rPr>
        <w:tab/>
        <w:t>(4)</w:t>
      </w:r>
      <w:r w:rsidRPr="00CD5673">
        <w:rPr>
          <w:color w:val="000000"/>
        </w:rPr>
        <w:tab/>
        <w:t>If an item in Part 4 of Schedule 6 applies in relation to the name, the application must be accompanied by the written consent of the Minister who is specified in the item.</w:t>
      </w:r>
    </w:p>
    <w:p w14:paraId="6A0B3AFE" w14:textId="77777777" w:rsidR="00D46430" w:rsidRPr="00CD5673" w:rsidRDefault="00D46430" w:rsidP="00D46430">
      <w:pPr>
        <w:pStyle w:val="subsection"/>
      </w:pPr>
      <w:r w:rsidRPr="00CD5673">
        <w:rPr>
          <w:color w:val="000000"/>
        </w:rPr>
        <w:tab/>
        <w:t>(5)</w:t>
      </w:r>
      <w:r w:rsidRPr="00CD5673">
        <w:rPr>
          <w:color w:val="000000"/>
        </w:rPr>
        <w:tab/>
        <w:t>If an item in Part 5 of Schedule 6 applies in relation to the name, the application must be accompanied by the written consent of the public authority, instrumentality or agency that is specified in the item.</w:t>
      </w:r>
    </w:p>
    <w:p w14:paraId="4BE30E78" w14:textId="77777777" w:rsidR="00D46430" w:rsidRPr="00CD5673" w:rsidRDefault="00D46430" w:rsidP="00D46430">
      <w:pPr>
        <w:pStyle w:val="ActHead5"/>
      </w:pPr>
      <w:bookmarkStart w:id="55" w:name="_Toc158711667"/>
      <w:r w:rsidRPr="00C614F1">
        <w:rPr>
          <w:rStyle w:val="CharSectno"/>
        </w:rPr>
        <w:t>2B.6.02A</w:t>
      </w:r>
      <w:r w:rsidRPr="00CD5673">
        <w:t xml:space="preserve">  Exemption from requirement to include “Limited” in name</w:t>
      </w:r>
      <w:bookmarkEnd w:id="55"/>
    </w:p>
    <w:p w14:paraId="60AEF685" w14:textId="77777777" w:rsidR="00D46430" w:rsidRPr="00CD5673" w:rsidRDefault="00D46430" w:rsidP="00D46430">
      <w:pPr>
        <w:pStyle w:val="subsection"/>
      </w:pPr>
      <w:r w:rsidRPr="00CD5673">
        <w:tab/>
        <w:t>(1)</w:t>
      </w:r>
      <w:r w:rsidRPr="00CD5673">
        <w:tab/>
        <w:t>For the purposes of subsections 5H(5) and 5I(1) of the Act, subsection 148(2) of the Act does not apply in relation to Westpac Banking Corporation (ABN 33 007 457 141).</w:t>
      </w:r>
    </w:p>
    <w:p w14:paraId="33343FDB" w14:textId="77777777" w:rsidR="00D46430" w:rsidRPr="00CD5673" w:rsidRDefault="00D46430" w:rsidP="00D46430">
      <w:pPr>
        <w:pStyle w:val="subsection"/>
      </w:pPr>
      <w:r w:rsidRPr="00CD5673">
        <w:tab/>
        <w:t>(2)</w:t>
      </w:r>
      <w:r w:rsidRPr="00CD5673">
        <w:tab/>
        <w:t xml:space="preserve">For the purposes of subsection 5I(1) of the Act, the </w:t>
      </w:r>
      <w:r w:rsidRPr="00CD5673">
        <w:rPr>
          <w:i/>
        </w:rPr>
        <w:t>Westpac Banking Corporation (Transfer of Incorporation) Act 2000</w:t>
      </w:r>
      <w:r w:rsidRPr="00CD5673">
        <w:t xml:space="preserve"> (NSW) is the specified law.</w:t>
      </w:r>
    </w:p>
    <w:p w14:paraId="768291D7" w14:textId="77777777" w:rsidR="00D46430" w:rsidRPr="00CD5673" w:rsidRDefault="00D46430" w:rsidP="00D46430">
      <w:pPr>
        <w:pStyle w:val="ActHead5"/>
      </w:pPr>
      <w:bookmarkStart w:id="56" w:name="_Toc158711668"/>
      <w:r w:rsidRPr="00C614F1">
        <w:rPr>
          <w:rStyle w:val="CharSectno"/>
        </w:rPr>
        <w:t>2B.6.03</w:t>
      </w:r>
      <w:r w:rsidRPr="00CD5673">
        <w:t xml:space="preserve">  Exemptions from requirement to set out name and ACN on certain documents (Act s 155)</w:t>
      </w:r>
      <w:bookmarkEnd w:id="56"/>
    </w:p>
    <w:p w14:paraId="0A21EAC8" w14:textId="77777777" w:rsidR="00D46430" w:rsidRPr="00CD5673" w:rsidRDefault="00D46430" w:rsidP="00D46430">
      <w:pPr>
        <w:pStyle w:val="subsection"/>
      </w:pPr>
      <w:r w:rsidRPr="00CD5673">
        <w:tab/>
      </w:r>
      <w:r w:rsidRPr="00CD5673">
        <w:tab/>
        <w:t>For section 155 of the Act, the exemptions provided for in Schedule 7 apply in relation to the requirements of subsection 153(2) of the Act.</w:t>
      </w:r>
    </w:p>
    <w:p w14:paraId="5238AFEE" w14:textId="77777777" w:rsidR="00D46430" w:rsidRPr="00CD5673" w:rsidRDefault="00D46430" w:rsidP="00D46430">
      <w:pPr>
        <w:pStyle w:val="ActHead1"/>
        <w:pageBreakBefore/>
      </w:pPr>
      <w:bookmarkStart w:id="57" w:name="_Toc158711669"/>
      <w:r w:rsidRPr="00C614F1">
        <w:rPr>
          <w:rStyle w:val="CharChapNo"/>
        </w:rPr>
        <w:lastRenderedPageBreak/>
        <w:t>Chapter 2C</w:t>
      </w:r>
      <w:r w:rsidRPr="00CD5673">
        <w:t>—</w:t>
      </w:r>
      <w:r w:rsidRPr="00C614F1">
        <w:rPr>
          <w:rStyle w:val="CharChapText"/>
        </w:rPr>
        <w:t>Registers</w:t>
      </w:r>
      <w:bookmarkEnd w:id="57"/>
    </w:p>
    <w:p w14:paraId="63C21CEB" w14:textId="77777777" w:rsidR="00D46430" w:rsidRPr="00CD5673" w:rsidRDefault="00D46430" w:rsidP="00D46430">
      <w:pPr>
        <w:pStyle w:val="ActHead2"/>
      </w:pPr>
      <w:bookmarkStart w:id="58" w:name="_Toc158711670"/>
      <w:r w:rsidRPr="00C614F1">
        <w:rPr>
          <w:rStyle w:val="CharPartNo"/>
        </w:rPr>
        <w:t>Part 2C.1</w:t>
      </w:r>
      <w:r w:rsidRPr="00CD5673">
        <w:t>—</w:t>
      </w:r>
      <w:r w:rsidRPr="00C614F1">
        <w:rPr>
          <w:rStyle w:val="CharPartText"/>
        </w:rPr>
        <w:t>Registers generally</w:t>
      </w:r>
      <w:bookmarkEnd w:id="58"/>
    </w:p>
    <w:p w14:paraId="28DC4CF2" w14:textId="77777777" w:rsidR="00D46430" w:rsidRPr="00CD5673" w:rsidRDefault="00D46430" w:rsidP="00D46430">
      <w:pPr>
        <w:pStyle w:val="ActHead3"/>
      </w:pPr>
      <w:bookmarkStart w:id="59" w:name="_Toc158711671"/>
      <w:r w:rsidRPr="00C614F1">
        <w:rPr>
          <w:rStyle w:val="CharDivNo"/>
        </w:rPr>
        <w:t>Division 2C.1.1</w:t>
      </w:r>
      <w:r w:rsidRPr="00CD5673">
        <w:t>—</w:t>
      </w:r>
      <w:r w:rsidRPr="00C614F1">
        <w:rPr>
          <w:rStyle w:val="CharDivText"/>
        </w:rPr>
        <w:t>Location of register</w:t>
      </w:r>
      <w:bookmarkEnd w:id="59"/>
    </w:p>
    <w:p w14:paraId="2680B722" w14:textId="77777777" w:rsidR="00D46430" w:rsidRPr="00CD5673" w:rsidRDefault="00D46430" w:rsidP="00D46430">
      <w:pPr>
        <w:pStyle w:val="ActHead5"/>
      </w:pPr>
      <w:bookmarkStart w:id="60" w:name="_Toc158711672"/>
      <w:r w:rsidRPr="00C614F1">
        <w:rPr>
          <w:rStyle w:val="CharSectno"/>
        </w:rPr>
        <w:t>2C.1.01</w:t>
      </w:r>
      <w:r w:rsidRPr="00CD5673">
        <w:t xml:space="preserve">  Form of notice</w:t>
      </w:r>
      <w:bookmarkEnd w:id="60"/>
    </w:p>
    <w:p w14:paraId="32FE5750" w14:textId="77777777" w:rsidR="00D46430" w:rsidRPr="00CD5673" w:rsidRDefault="00D46430" w:rsidP="00D46430">
      <w:pPr>
        <w:pStyle w:val="subsection"/>
      </w:pPr>
      <w:r w:rsidRPr="00CD5673">
        <w:tab/>
      </w:r>
      <w:r w:rsidRPr="00CD5673">
        <w:tab/>
        <w:t>A notice to be lodged under subsection 172(2) of the Act must be in a form approved by ASIC (if a form has been approved).</w:t>
      </w:r>
    </w:p>
    <w:p w14:paraId="6268683C" w14:textId="77777777" w:rsidR="00D46430" w:rsidRPr="00CD5673" w:rsidRDefault="00D46430" w:rsidP="00D46430">
      <w:pPr>
        <w:pStyle w:val="ActHead3"/>
        <w:pageBreakBefore/>
      </w:pPr>
      <w:bookmarkStart w:id="61" w:name="_Toc158711673"/>
      <w:r w:rsidRPr="00C614F1">
        <w:rPr>
          <w:rStyle w:val="CharDivNo"/>
        </w:rPr>
        <w:lastRenderedPageBreak/>
        <w:t>Division 2C.1.2</w:t>
      </w:r>
      <w:r w:rsidRPr="00CD5673">
        <w:t>—</w:t>
      </w:r>
      <w:r w:rsidRPr="00C614F1">
        <w:rPr>
          <w:rStyle w:val="CharDivText"/>
        </w:rPr>
        <w:t>Right to inspect and get copies of register</w:t>
      </w:r>
      <w:bookmarkEnd w:id="61"/>
    </w:p>
    <w:p w14:paraId="5A73AD46" w14:textId="77777777" w:rsidR="00D46430" w:rsidRPr="00CD5673" w:rsidRDefault="00D46430" w:rsidP="00D46430">
      <w:pPr>
        <w:pStyle w:val="ActHead5"/>
      </w:pPr>
      <w:bookmarkStart w:id="62" w:name="_Toc158711674"/>
      <w:r w:rsidRPr="00C614F1">
        <w:rPr>
          <w:rStyle w:val="CharSectno"/>
        </w:rPr>
        <w:t>2C.1.02</w:t>
      </w:r>
      <w:r w:rsidRPr="00CD5673">
        <w:t xml:space="preserve">  Form of register</w:t>
      </w:r>
      <w:bookmarkEnd w:id="62"/>
    </w:p>
    <w:p w14:paraId="22CB2A5A" w14:textId="77777777" w:rsidR="00D46430" w:rsidRPr="00CD5673" w:rsidRDefault="00D46430" w:rsidP="00D46430">
      <w:pPr>
        <w:pStyle w:val="subsection"/>
      </w:pPr>
      <w:r w:rsidRPr="00CD5673">
        <w:tab/>
      </w:r>
      <w:r w:rsidRPr="00CD5673">
        <w:tab/>
        <w:t>For subsection 173(3) of the Act, a copy of a register must be provided as a delimited text file:</w:t>
      </w:r>
    </w:p>
    <w:p w14:paraId="672482F4" w14:textId="77777777" w:rsidR="00D46430" w:rsidRPr="00CD5673" w:rsidRDefault="00D46430" w:rsidP="00D46430">
      <w:pPr>
        <w:pStyle w:val="paragraph"/>
      </w:pPr>
      <w:r w:rsidRPr="00CD5673">
        <w:tab/>
        <w:t>(a)</w:t>
      </w:r>
      <w:r w:rsidRPr="00CD5673">
        <w:tab/>
        <w:t>produced by a commercially available spreadsheet or database application; and</w:t>
      </w:r>
    </w:p>
    <w:p w14:paraId="7EC0B6AF" w14:textId="77777777" w:rsidR="00D46430" w:rsidRPr="00CD5673" w:rsidRDefault="00D46430" w:rsidP="00D46430">
      <w:pPr>
        <w:pStyle w:val="paragraph"/>
      </w:pPr>
      <w:r w:rsidRPr="00CD5673">
        <w:tab/>
        <w:t>(b)</w:t>
      </w:r>
      <w:r w:rsidRPr="00CD5673">
        <w:tab/>
        <w:t>copied onto a CD</w:t>
      </w:r>
      <w:r w:rsidR="00C614F1">
        <w:noBreakHyphen/>
      </w:r>
      <w:r w:rsidRPr="00CD5673">
        <w:t>ROM or a USB portable memory device.</w:t>
      </w:r>
    </w:p>
    <w:p w14:paraId="422D54EE" w14:textId="77777777" w:rsidR="00D46430" w:rsidRPr="00CD5673" w:rsidRDefault="00D46430" w:rsidP="00D46430">
      <w:pPr>
        <w:pStyle w:val="ActHead5"/>
      </w:pPr>
      <w:bookmarkStart w:id="63" w:name="_Toc158711675"/>
      <w:r w:rsidRPr="00C614F1">
        <w:rPr>
          <w:rStyle w:val="CharSectno"/>
        </w:rPr>
        <w:t>2C.1.03</w:t>
      </w:r>
      <w:r w:rsidRPr="00CD5673">
        <w:t xml:space="preserve">  Improper purposes for getting copy of register</w:t>
      </w:r>
      <w:bookmarkEnd w:id="63"/>
    </w:p>
    <w:p w14:paraId="602003F4" w14:textId="77777777" w:rsidR="00D46430" w:rsidRPr="00CD5673" w:rsidRDefault="00D46430" w:rsidP="00D46430">
      <w:pPr>
        <w:pStyle w:val="subsection"/>
      </w:pPr>
      <w:r w:rsidRPr="00CD5673">
        <w:tab/>
      </w:r>
      <w:r w:rsidRPr="00CD5673">
        <w:tab/>
        <w:t>For paragraph 173(3A)(b) of the Act, the following purposes are prescribed:</w:t>
      </w:r>
    </w:p>
    <w:p w14:paraId="47448B25" w14:textId="77777777" w:rsidR="00D46430" w:rsidRPr="00CD5673" w:rsidRDefault="00D46430" w:rsidP="00D46430">
      <w:pPr>
        <w:pStyle w:val="paragraph"/>
      </w:pPr>
      <w:r w:rsidRPr="00CD5673">
        <w:tab/>
        <w:t>(a)</w:t>
      </w:r>
      <w:r w:rsidRPr="00CD5673">
        <w:tab/>
        <w:t>soliciting a donation from a member of a company;</w:t>
      </w:r>
    </w:p>
    <w:p w14:paraId="2B9AECAD" w14:textId="77777777" w:rsidR="00D46430" w:rsidRPr="00CD5673" w:rsidRDefault="00D46430" w:rsidP="00D46430">
      <w:pPr>
        <w:pStyle w:val="paragraph"/>
      </w:pPr>
      <w:r w:rsidRPr="00CD5673">
        <w:tab/>
        <w:t>(b)</w:t>
      </w:r>
      <w:r w:rsidRPr="00CD5673">
        <w:tab/>
        <w:t>soliciting a member of a company by a person who is authorised to assume or use the word stockbroker or sharebroker in accordance with section 923B of the Act;</w:t>
      </w:r>
    </w:p>
    <w:p w14:paraId="71766157" w14:textId="77777777" w:rsidR="00D46430" w:rsidRPr="00CD5673" w:rsidRDefault="00D46430" w:rsidP="00D46430">
      <w:pPr>
        <w:pStyle w:val="paragraph"/>
      </w:pPr>
      <w:r w:rsidRPr="00CD5673">
        <w:tab/>
        <w:t>(c)</w:t>
      </w:r>
      <w:r w:rsidRPr="00CD5673">
        <w:tab/>
        <w:t>gathering information about the personal wealth of a member of a company;</w:t>
      </w:r>
    </w:p>
    <w:p w14:paraId="65814528" w14:textId="77777777" w:rsidR="00D46430" w:rsidRPr="00CD5673" w:rsidRDefault="00D46430" w:rsidP="00D46430">
      <w:pPr>
        <w:pStyle w:val="paragraph"/>
      </w:pPr>
      <w:r w:rsidRPr="00CD5673">
        <w:tab/>
        <w:t>(d)</w:t>
      </w:r>
      <w:r w:rsidRPr="00CD5673">
        <w:tab/>
        <w:t>making an offer that satisfies paragraphs 1019D(1)(a) to (d) of the Act;</w:t>
      </w:r>
    </w:p>
    <w:p w14:paraId="2B4707CB" w14:textId="77777777" w:rsidR="00D46430" w:rsidRPr="00CD5673" w:rsidRDefault="00D46430" w:rsidP="00D46430">
      <w:pPr>
        <w:pStyle w:val="paragraph"/>
      </w:pPr>
      <w:r w:rsidRPr="00CD5673">
        <w:tab/>
        <w:t>(e)</w:t>
      </w:r>
      <w:r w:rsidRPr="00CD5673">
        <w:tab/>
        <w:t>making an invitation that, were it an offer to purchase a financial product, would be an offer that satisfies paragraphs 1019D(1)(a) to (d) of the Act.</w:t>
      </w:r>
    </w:p>
    <w:p w14:paraId="5F02BEAD" w14:textId="77777777" w:rsidR="00D46430" w:rsidRPr="00CD5673" w:rsidRDefault="00D46430" w:rsidP="00D46430">
      <w:pPr>
        <w:pStyle w:val="notetext"/>
      </w:pPr>
      <w:r w:rsidRPr="00CD5673">
        <w:t>Note:</w:t>
      </w:r>
      <w:r w:rsidRPr="00CD5673">
        <w:tab/>
        <w:t>See subsection 1019D(1) of the Act for a description of unsolicited offers to purchase financial products off</w:t>
      </w:r>
      <w:r w:rsidR="00C614F1">
        <w:noBreakHyphen/>
      </w:r>
      <w:r w:rsidRPr="00CD5673">
        <w:t>market.</w:t>
      </w:r>
    </w:p>
    <w:p w14:paraId="0759DB14" w14:textId="77777777" w:rsidR="00D46430" w:rsidRPr="00CD5673" w:rsidRDefault="00D46430" w:rsidP="00D46430">
      <w:pPr>
        <w:pStyle w:val="ActHead5"/>
      </w:pPr>
      <w:bookmarkStart w:id="64" w:name="_Toc158711676"/>
      <w:r w:rsidRPr="00C614F1">
        <w:rPr>
          <w:rStyle w:val="CharSectno"/>
        </w:rPr>
        <w:t>2C.1.04</w:t>
      </w:r>
      <w:r w:rsidRPr="00CD5673">
        <w:t xml:space="preserve">  Information to be included in application for copy of register</w:t>
      </w:r>
      <w:bookmarkEnd w:id="64"/>
    </w:p>
    <w:p w14:paraId="1D3634C8" w14:textId="77777777" w:rsidR="00D46430" w:rsidRPr="00CD5673" w:rsidRDefault="00D46430" w:rsidP="00D46430">
      <w:pPr>
        <w:pStyle w:val="subsection"/>
      </w:pPr>
      <w:r w:rsidRPr="00CD5673">
        <w:tab/>
      </w:r>
      <w:r w:rsidRPr="00CD5673">
        <w:tab/>
        <w:t>For paragraph 173(3A)(c) of the Act, the information that must be contained in an application is the name and address of the applicant.</w:t>
      </w:r>
    </w:p>
    <w:p w14:paraId="43939E12" w14:textId="77777777" w:rsidR="00D46430" w:rsidRPr="00CD5673" w:rsidRDefault="00D46430" w:rsidP="00D46430">
      <w:pPr>
        <w:pStyle w:val="notetext"/>
      </w:pPr>
      <w:r w:rsidRPr="00CD5673">
        <w:t>Note:</w:t>
      </w:r>
      <w:r w:rsidRPr="00CD5673">
        <w:tab/>
        <w:t>An application must also state the purpose for accessing a copy of a register—see subsection 173(3A) of the Act.</w:t>
      </w:r>
    </w:p>
    <w:p w14:paraId="1123E1F9" w14:textId="77777777" w:rsidR="00D46430" w:rsidRPr="00CD5673" w:rsidRDefault="00D46430" w:rsidP="00D46430">
      <w:pPr>
        <w:pStyle w:val="ActHead3"/>
        <w:pageBreakBefore/>
      </w:pPr>
      <w:bookmarkStart w:id="65" w:name="_Toc158711677"/>
      <w:r w:rsidRPr="00C614F1">
        <w:rPr>
          <w:rStyle w:val="CharDivNo"/>
        </w:rPr>
        <w:lastRenderedPageBreak/>
        <w:t>Division 2C.1.3</w:t>
      </w:r>
      <w:r w:rsidRPr="00CD5673">
        <w:t>—</w:t>
      </w:r>
      <w:r w:rsidRPr="00C614F1">
        <w:rPr>
          <w:rStyle w:val="CharDivText"/>
        </w:rPr>
        <w:t>Use of information on registers by bodies corporate</w:t>
      </w:r>
      <w:bookmarkEnd w:id="65"/>
    </w:p>
    <w:p w14:paraId="28A0C13C" w14:textId="77777777" w:rsidR="00D46430" w:rsidRPr="00CD5673" w:rsidRDefault="00D46430" w:rsidP="00D46430">
      <w:pPr>
        <w:pStyle w:val="ActHead5"/>
        <w:rPr>
          <w:color w:val="000000"/>
        </w:rPr>
      </w:pPr>
      <w:bookmarkStart w:id="66" w:name="_Toc158711678"/>
      <w:r w:rsidRPr="00C614F1">
        <w:rPr>
          <w:rStyle w:val="CharSectno"/>
        </w:rPr>
        <w:t>2C.1.05</w:t>
      </w:r>
      <w:r w:rsidRPr="00CD5673">
        <w:t xml:space="preserve">  Contact with members after failure to provide copy of register</w:t>
      </w:r>
      <w:bookmarkEnd w:id="66"/>
    </w:p>
    <w:p w14:paraId="3A21E1FB" w14:textId="77777777" w:rsidR="00D46430" w:rsidRPr="00CD5673" w:rsidRDefault="00D46430" w:rsidP="00D46430">
      <w:pPr>
        <w:pStyle w:val="subsection"/>
      </w:pPr>
      <w:r w:rsidRPr="00CD5673">
        <w:tab/>
        <w:t>(1)</w:t>
      </w:r>
      <w:r w:rsidRPr="00CD5673">
        <w:tab/>
        <w:t>This regulation applies if a body corporate mentioned in regulation 12.8.02 has failed to give a person a copy of the part of the register of members of the body who hold member shares:</w:t>
      </w:r>
    </w:p>
    <w:p w14:paraId="40E72317" w14:textId="77777777" w:rsidR="00D46430" w:rsidRPr="00CD5673" w:rsidRDefault="00D46430" w:rsidP="00D46430">
      <w:pPr>
        <w:pStyle w:val="paragraph"/>
      </w:pPr>
      <w:r w:rsidRPr="00CD5673">
        <w:tab/>
        <w:t>(a)</w:t>
      </w:r>
      <w:r w:rsidRPr="00CD5673">
        <w:tab/>
        <w:t>within 28 days after the person’s request for a copy; or</w:t>
      </w:r>
    </w:p>
    <w:p w14:paraId="7E39F913" w14:textId="77777777" w:rsidR="00D46430" w:rsidRPr="00CD5673" w:rsidRDefault="00D46430" w:rsidP="00D46430">
      <w:pPr>
        <w:pStyle w:val="paragraph"/>
      </w:pPr>
      <w:r w:rsidRPr="00CD5673">
        <w:tab/>
        <w:t>(b)</w:t>
      </w:r>
      <w:r w:rsidRPr="00CD5673">
        <w:tab/>
        <w:t>if a longer period has been allowed by ASIC—within the longer period.</w:t>
      </w:r>
    </w:p>
    <w:p w14:paraId="1115584C" w14:textId="77777777" w:rsidR="00D46430" w:rsidRPr="00CD5673" w:rsidRDefault="00D46430" w:rsidP="00D46430">
      <w:pPr>
        <w:pStyle w:val="subsection"/>
      </w:pPr>
      <w:r w:rsidRPr="00CD5673">
        <w:rPr>
          <w:color w:val="000000"/>
        </w:rPr>
        <w:tab/>
        <w:t>(2)</w:t>
      </w:r>
      <w:r w:rsidRPr="00CD5673">
        <w:rPr>
          <w:color w:val="000000"/>
        </w:rPr>
        <w:tab/>
        <w:t xml:space="preserve">If </w:t>
      </w:r>
      <w:r w:rsidRPr="00CD5673">
        <w:t>the person:</w:t>
      </w:r>
    </w:p>
    <w:p w14:paraId="7AE921F7" w14:textId="77777777" w:rsidR="00D46430" w:rsidRPr="00CD5673" w:rsidRDefault="00D46430" w:rsidP="00D46430">
      <w:pPr>
        <w:pStyle w:val="paragraph"/>
      </w:pPr>
      <w:r w:rsidRPr="00CD5673">
        <w:tab/>
        <w:t>(a)</w:t>
      </w:r>
      <w:r w:rsidRPr="00CD5673">
        <w:tab/>
        <w:t>makes a statutory declaration that the person intends to use information that is contained in that part of the register:</w:t>
      </w:r>
    </w:p>
    <w:p w14:paraId="5CC8F013" w14:textId="77777777" w:rsidR="00D46430" w:rsidRPr="00CD5673" w:rsidRDefault="00D46430" w:rsidP="00D46430">
      <w:pPr>
        <w:pStyle w:val="paragraphsub"/>
      </w:pPr>
      <w:r w:rsidRPr="00CD5673">
        <w:tab/>
        <w:t>(i)</w:t>
      </w:r>
      <w:r w:rsidRPr="00CD5673">
        <w:tab/>
        <w:t>for the purpose of contacting members of the body, or sending material to members of the body, for a purpose mentioned in subsection</w:t>
      </w:r>
      <w:r w:rsidRPr="00CD5673">
        <w:rPr>
          <w:caps/>
        </w:rPr>
        <w:t> </w:t>
      </w:r>
      <w:r w:rsidRPr="00CD5673">
        <w:t>177(1A) of the Act; and</w:t>
      </w:r>
    </w:p>
    <w:p w14:paraId="23AEDFBF" w14:textId="77777777" w:rsidR="00D46430" w:rsidRPr="00CD5673" w:rsidRDefault="00D46430" w:rsidP="00D46430">
      <w:pPr>
        <w:pStyle w:val="paragraphsub"/>
      </w:pPr>
      <w:r w:rsidRPr="00CD5673">
        <w:tab/>
        <w:t>(ii)</w:t>
      </w:r>
      <w:r w:rsidRPr="00CD5673">
        <w:tab/>
        <w:t>in a way that does not contravene that subsection or another law; and</w:t>
      </w:r>
    </w:p>
    <w:p w14:paraId="06CA69DF" w14:textId="77777777" w:rsidR="00D46430" w:rsidRPr="00CD5673" w:rsidRDefault="00D46430" w:rsidP="00D46430">
      <w:pPr>
        <w:pStyle w:val="paragraph"/>
      </w:pPr>
      <w:r w:rsidRPr="00CD5673">
        <w:tab/>
        <w:t>(b)</w:t>
      </w:r>
      <w:r w:rsidRPr="00CD5673">
        <w:tab/>
        <w:t>gives the statutory declaration to the body corporate; and</w:t>
      </w:r>
    </w:p>
    <w:p w14:paraId="1E4C4E6E" w14:textId="77777777" w:rsidR="00D46430" w:rsidRPr="00CD5673" w:rsidRDefault="00D46430" w:rsidP="00D46430">
      <w:pPr>
        <w:pStyle w:val="paragraph"/>
      </w:pPr>
      <w:r w:rsidRPr="00CD5673">
        <w:tab/>
        <w:t>(c)</w:t>
      </w:r>
      <w:r w:rsidRPr="00CD5673">
        <w:tab/>
        <w:t>pays the reasonable costs of contacting the members, or sending material to the members;</w:t>
      </w:r>
    </w:p>
    <w:p w14:paraId="70699133" w14:textId="77777777" w:rsidR="00D46430" w:rsidRPr="00CD5673" w:rsidRDefault="00D46430" w:rsidP="00D46430">
      <w:pPr>
        <w:pStyle w:val="subsection2"/>
      </w:pPr>
      <w:r w:rsidRPr="00CD5673">
        <w:t>the body corporate must do everything that is reasonably possible to</w:t>
      </w:r>
      <w:r w:rsidRPr="00CD5673">
        <w:rPr>
          <w:color w:val="0000FF"/>
        </w:rPr>
        <w:t xml:space="preserve"> </w:t>
      </w:r>
      <w:r w:rsidRPr="00CD5673">
        <w:t>arrange for the members to be contacted, or for the material to be sent to the members, on the person’s behalf by a third party service provider nominated by the body corporate.</w:t>
      </w:r>
    </w:p>
    <w:p w14:paraId="1CF4370F" w14:textId="77777777" w:rsidR="00D46430" w:rsidRPr="00CD5673" w:rsidRDefault="00D46430" w:rsidP="00D46430">
      <w:pPr>
        <w:pStyle w:val="subsection"/>
      </w:pPr>
      <w:r w:rsidRPr="00CD5673">
        <w:rPr>
          <w:color w:val="0000FF"/>
        </w:rPr>
        <w:tab/>
      </w:r>
      <w:r w:rsidRPr="00CD5673">
        <w:t>(3)</w:t>
      </w:r>
      <w:r w:rsidRPr="00CD5673">
        <w:tab/>
        <w:t>If the body corporate believes on reasonable grounds that the person intends to use information that is contained in that part of the register:</w:t>
      </w:r>
    </w:p>
    <w:p w14:paraId="5FF0F2B8" w14:textId="77777777" w:rsidR="00D46430" w:rsidRPr="00CD5673" w:rsidRDefault="00D46430" w:rsidP="00D46430">
      <w:pPr>
        <w:pStyle w:val="paragraph"/>
      </w:pPr>
      <w:r w:rsidRPr="00CD5673">
        <w:tab/>
        <w:t>(a)</w:t>
      </w:r>
      <w:r w:rsidRPr="00CD5673">
        <w:tab/>
        <w:t>for a purpose that is not in accordance with subparagraph (2)(a)(i); or</w:t>
      </w:r>
    </w:p>
    <w:p w14:paraId="399C667E" w14:textId="77777777" w:rsidR="00D46430" w:rsidRPr="00CD5673" w:rsidRDefault="00D46430" w:rsidP="00D46430">
      <w:pPr>
        <w:pStyle w:val="paragraph"/>
      </w:pPr>
      <w:r w:rsidRPr="00CD5673">
        <w:tab/>
        <w:t>(b)</w:t>
      </w:r>
      <w:r w:rsidRPr="00CD5673">
        <w:tab/>
        <w:t>in a way that is not in accordance with subparagraph (2)(a)(ii);</w:t>
      </w:r>
    </w:p>
    <w:p w14:paraId="4014CDF5" w14:textId="77777777" w:rsidR="00D46430" w:rsidRPr="00CD5673" w:rsidRDefault="00D46430" w:rsidP="00D46430">
      <w:pPr>
        <w:pStyle w:val="subsection2"/>
      </w:pPr>
      <w:r w:rsidRPr="00CD5673">
        <w:t>the body corporate is not required to arrange for the members to be contacted or for the material to be sent to the members on the person’s behalf, and may terminate any existing arrangement.</w:t>
      </w:r>
    </w:p>
    <w:p w14:paraId="792E1634" w14:textId="77777777" w:rsidR="00D46430" w:rsidRPr="00CD5673" w:rsidRDefault="00D46430" w:rsidP="00D46430">
      <w:pPr>
        <w:pStyle w:val="subsection"/>
      </w:pPr>
      <w:r w:rsidRPr="00CD5673">
        <w:rPr>
          <w:color w:val="000000"/>
        </w:rPr>
        <w:tab/>
        <w:t>(4)</w:t>
      </w:r>
      <w:r w:rsidRPr="00CD5673">
        <w:rPr>
          <w:color w:val="000000"/>
        </w:rPr>
        <w:tab/>
        <w:t>The arrangements made by the body corporate must ensure that</w:t>
      </w:r>
      <w:r w:rsidRPr="00CD5673">
        <w:t>, to the extent reasonably possible:</w:t>
      </w:r>
    </w:p>
    <w:p w14:paraId="7816BFCC" w14:textId="77777777" w:rsidR="00D46430" w:rsidRPr="00CD5673" w:rsidRDefault="00D46430" w:rsidP="00D46430">
      <w:pPr>
        <w:pStyle w:val="paragraph"/>
      </w:pPr>
      <w:r w:rsidRPr="00CD5673">
        <w:rPr>
          <w:color w:val="000000"/>
        </w:rPr>
        <w:tab/>
        <w:t>(a)</w:t>
      </w:r>
      <w:r w:rsidRPr="00CD5673">
        <w:rPr>
          <w:color w:val="000000"/>
        </w:rPr>
        <w:tab/>
      </w:r>
      <w:r w:rsidRPr="00CD5673">
        <w:t xml:space="preserve">the details, from the register of members, of </w:t>
      </w:r>
      <w:r w:rsidRPr="00CD5673">
        <w:rPr>
          <w:color w:val="000000"/>
        </w:rPr>
        <w:t>each member to whom material is to be sent, or with whom contact is to be made, will be provided to the third party service provider within 14 days after the person</w:t>
      </w:r>
      <w:r w:rsidRPr="00CD5673">
        <w:t xml:space="preserve"> pays the costs mentioned in subregulation (2);</w:t>
      </w:r>
      <w:r w:rsidRPr="00CD5673">
        <w:rPr>
          <w:color w:val="000000"/>
        </w:rPr>
        <w:t xml:space="preserve"> and</w:t>
      </w:r>
    </w:p>
    <w:p w14:paraId="1BC8FF81" w14:textId="77777777" w:rsidR="00D46430" w:rsidRPr="00CD5673" w:rsidRDefault="00D46430" w:rsidP="00D46430">
      <w:pPr>
        <w:pStyle w:val="paragraph"/>
      </w:pPr>
      <w:r w:rsidRPr="00CD5673">
        <w:tab/>
        <w:t>(b)</w:t>
      </w:r>
      <w:r w:rsidRPr="00CD5673">
        <w:tab/>
        <w:t>a copy of any material that is to be sent to a member will be provided to the third party service provider within 28 days after the person provides the material to the body corporate; and</w:t>
      </w:r>
    </w:p>
    <w:p w14:paraId="08FEBE3A" w14:textId="77777777" w:rsidR="00D46430" w:rsidRPr="00CD5673" w:rsidRDefault="00D46430" w:rsidP="00D46430">
      <w:pPr>
        <w:pStyle w:val="paragraph"/>
      </w:pPr>
      <w:r w:rsidRPr="00CD5673">
        <w:tab/>
        <w:t>(c)</w:t>
      </w:r>
      <w:r w:rsidRPr="00CD5673">
        <w:tab/>
        <w:t>if material is not to be sent to a member—written details of the contact that is to be made with a member must be provided to the third party service provider within 28 days after the person provides the written details to the body corporate; and</w:t>
      </w:r>
    </w:p>
    <w:p w14:paraId="2FD459B0" w14:textId="77777777" w:rsidR="00D46430" w:rsidRPr="00CD5673" w:rsidRDefault="00D46430" w:rsidP="00D46430">
      <w:pPr>
        <w:pStyle w:val="paragraph"/>
      </w:pPr>
      <w:r w:rsidRPr="00CD5673">
        <w:tab/>
        <w:t>(d)</w:t>
      </w:r>
      <w:r w:rsidRPr="00CD5673">
        <w:tab/>
        <w:t>for any material that is to be sent to a member—the material will be sent to the member within 14 days after the body corporate provides the material to the third party service provider; and</w:t>
      </w:r>
    </w:p>
    <w:p w14:paraId="00818BA2" w14:textId="77777777" w:rsidR="00D46430" w:rsidRPr="00CD5673" w:rsidRDefault="00D46430" w:rsidP="00D46430">
      <w:pPr>
        <w:pStyle w:val="paragraph"/>
      </w:pPr>
      <w:r w:rsidRPr="00CD5673">
        <w:tab/>
        <w:t>(e)</w:t>
      </w:r>
      <w:r w:rsidRPr="00CD5673">
        <w:tab/>
        <w:t>if material is not to be sent to a member—contact will be made with the member within 14 days after the body corporate provides, to the third party service provider, the written details of the contact that is to be made with the member.</w:t>
      </w:r>
    </w:p>
    <w:p w14:paraId="04D67F67" w14:textId="77777777" w:rsidR="00D46430" w:rsidRPr="00CD5673" w:rsidRDefault="00D46430" w:rsidP="00D46430">
      <w:pPr>
        <w:pStyle w:val="subsection"/>
      </w:pPr>
      <w:r w:rsidRPr="00CD5673">
        <w:tab/>
        <w:t>(5)</w:t>
      </w:r>
      <w:r w:rsidRPr="00CD5673">
        <w:tab/>
        <w:t>An arrangement made under subregulation (2) must:</w:t>
      </w:r>
    </w:p>
    <w:p w14:paraId="33E232B7" w14:textId="77777777" w:rsidR="00D46430" w:rsidRPr="00CD5673" w:rsidRDefault="00D46430" w:rsidP="00D46430">
      <w:pPr>
        <w:pStyle w:val="paragraph"/>
      </w:pPr>
      <w:r w:rsidRPr="00CD5673">
        <w:tab/>
        <w:t>(a)</w:t>
      </w:r>
      <w:r w:rsidRPr="00CD5673">
        <w:tab/>
        <w:t>allow for contact to be made, or material to be sent, for a period of 6 months after the period mentioned in subregulation (1); and</w:t>
      </w:r>
    </w:p>
    <w:p w14:paraId="07C06079" w14:textId="77777777" w:rsidR="00D46430" w:rsidRPr="00CD5673" w:rsidRDefault="00D46430" w:rsidP="00D46430">
      <w:pPr>
        <w:pStyle w:val="paragraph"/>
      </w:pPr>
      <w:r w:rsidRPr="00CD5673">
        <w:tab/>
        <w:t>(b)</w:t>
      </w:r>
      <w:r w:rsidRPr="00CD5673">
        <w:tab/>
        <w:t>require the person to pay the reasonable costs of contacting the members or sending material to the members to be paid on each occasion before the contact is made or the material is sent.</w:t>
      </w:r>
    </w:p>
    <w:p w14:paraId="7A41A8CE" w14:textId="77777777" w:rsidR="00D46430" w:rsidRPr="00CD5673" w:rsidRDefault="00D46430" w:rsidP="00D46430">
      <w:pPr>
        <w:pStyle w:val="subsection"/>
      </w:pPr>
      <w:r w:rsidRPr="00CD5673">
        <w:tab/>
        <w:t>(6)</w:t>
      </w:r>
      <w:r w:rsidRPr="00CD5673">
        <w:tab/>
        <w:t>A reference in subregulation (1) to the register of members of a body corporate who hold member shares includes a reference to:</w:t>
      </w:r>
    </w:p>
    <w:p w14:paraId="43F5DACA" w14:textId="77777777" w:rsidR="00D46430" w:rsidRPr="00CD5673" w:rsidRDefault="00D46430" w:rsidP="00D46430">
      <w:pPr>
        <w:pStyle w:val="paragraph"/>
      </w:pPr>
      <w:r w:rsidRPr="00CD5673">
        <w:tab/>
        <w:t>(a)</w:t>
      </w:r>
      <w:r w:rsidRPr="00CD5673">
        <w:tab/>
        <w:t>the register of members of a body corporate that is a company limited by guarantee; and</w:t>
      </w:r>
    </w:p>
    <w:p w14:paraId="49D7417D" w14:textId="77777777" w:rsidR="00D46430" w:rsidRPr="00CD5673" w:rsidRDefault="00D46430" w:rsidP="00D46430">
      <w:pPr>
        <w:pStyle w:val="paragraph"/>
      </w:pPr>
      <w:r w:rsidRPr="00CD5673">
        <w:tab/>
        <w:t>(b)</w:t>
      </w:r>
      <w:r w:rsidRPr="00CD5673">
        <w:tab/>
        <w:t>the register of members of a body corporate limited by shares and guarantee, who do not hold shares in the body.</w:t>
      </w:r>
    </w:p>
    <w:p w14:paraId="61F82489" w14:textId="77777777" w:rsidR="00D46430" w:rsidRPr="00CD5673" w:rsidRDefault="00D46430" w:rsidP="00D46430">
      <w:pPr>
        <w:pStyle w:val="ActHead1"/>
        <w:pageBreakBefore/>
      </w:pPr>
      <w:bookmarkStart w:id="67" w:name="_Toc158711679"/>
      <w:r w:rsidRPr="00C614F1">
        <w:rPr>
          <w:rStyle w:val="CharChapNo"/>
        </w:rPr>
        <w:lastRenderedPageBreak/>
        <w:t>Chapter 2D</w:t>
      </w:r>
      <w:r w:rsidRPr="00CD5673">
        <w:t>—</w:t>
      </w:r>
      <w:r w:rsidRPr="00C614F1">
        <w:rPr>
          <w:rStyle w:val="CharChapText"/>
        </w:rPr>
        <w:t>Officers and employees</w:t>
      </w:r>
      <w:bookmarkEnd w:id="67"/>
    </w:p>
    <w:p w14:paraId="079E8A98" w14:textId="77777777" w:rsidR="00D46430" w:rsidRPr="00CD5673" w:rsidRDefault="00D46430" w:rsidP="00D46430">
      <w:pPr>
        <w:pStyle w:val="ActHead2"/>
      </w:pPr>
      <w:bookmarkStart w:id="68" w:name="_Toc158711680"/>
      <w:r w:rsidRPr="00C614F1">
        <w:rPr>
          <w:rStyle w:val="CharPartNo"/>
        </w:rPr>
        <w:t>Part 2D.2</w:t>
      </w:r>
      <w:r w:rsidRPr="00CD5673">
        <w:t>—</w:t>
      </w:r>
      <w:r w:rsidRPr="00C614F1">
        <w:rPr>
          <w:rStyle w:val="CharPartText"/>
        </w:rPr>
        <w:t>Restrictions on indemnities, insurance and termination payments</w:t>
      </w:r>
      <w:bookmarkEnd w:id="68"/>
    </w:p>
    <w:p w14:paraId="68378F21" w14:textId="77777777" w:rsidR="00D46430" w:rsidRPr="00CD5673" w:rsidRDefault="00D46430" w:rsidP="00D46430">
      <w:pPr>
        <w:pStyle w:val="ActHead3"/>
      </w:pPr>
      <w:bookmarkStart w:id="69" w:name="_Toc158711681"/>
      <w:r w:rsidRPr="00C614F1">
        <w:rPr>
          <w:rStyle w:val="CharDivNo"/>
        </w:rPr>
        <w:t>Division 2D.2.2</w:t>
      </w:r>
      <w:r w:rsidRPr="00CD5673">
        <w:t>—</w:t>
      </w:r>
      <w:r w:rsidRPr="00C614F1">
        <w:rPr>
          <w:rStyle w:val="CharDivText"/>
        </w:rPr>
        <w:t>Termination payments</w:t>
      </w:r>
      <w:bookmarkEnd w:id="69"/>
    </w:p>
    <w:p w14:paraId="367AE1BF" w14:textId="77777777" w:rsidR="00D46430" w:rsidRPr="00CD5673" w:rsidRDefault="00D46430" w:rsidP="00D46430">
      <w:pPr>
        <w:pStyle w:val="ActHead5"/>
        <w:rPr>
          <w:i/>
        </w:rPr>
      </w:pPr>
      <w:bookmarkStart w:id="70" w:name="_Toc158711682"/>
      <w:r w:rsidRPr="00C614F1">
        <w:rPr>
          <w:rStyle w:val="CharSectno"/>
        </w:rPr>
        <w:t>2D.2.01</w:t>
      </w:r>
      <w:r w:rsidRPr="00CD5673">
        <w:t xml:space="preserve">  Meaning of </w:t>
      </w:r>
      <w:r w:rsidRPr="00CD5673">
        <w:rPr>
          <w:i/>
        </w:rPr>
        <w:t>base salary</w:t>
      </w:r>
      <w:bookmarkEnd w:id="70"/>
    </w:p>
    <w:p w14:paraId="2333206C" w14:textId="77777777" w:rsidR="00D46430" w:rsidRPr="00CD5673" w:rsidRDefault="00D46430" w:rsidP="00D46430">
      <w:pPr>
        <w:pStyle w:val="subsection"/>
      </w:pPr>
      <w:r w:rsidRPr="00CD5673">
        <w:tab/>
        <w:t>(1)</w:t>
      </w:r>
      <w:r w:rsidRPr="00CD5673">
        <w:tab/>
        <w:t xml:space="preserve">For the definition of </w:t>
      </w:r>
      <w:r w:rsidRPr="00CD5673">
        <w:rPr>
          <w:b/>
          <w:i/>
        </w:rPr>
        <w:t xml:space="preserve">base salary </w:t>
      </w:r>
      <w:r w:rsidRPr="00CD5673">
        <w:t>in section 9 of the Act, the matters specified in the following table are base salary.</w:t>
      </w:r>
    </w:p>
    <w:p w14:paraId="7B6FA65F"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09"/>
        <w:gridCol w:w="9864"/>
      </w:tblGrid>
      <w:tr w:rsidR="00D46430" w:rsidRPr="00CD5673" w14:paraId="4365D96A" w14:textId="77777777" w:rsidTr="00D46430">
        <w:trPr>
          <w:tblHeader/>
        </w:trPr>
        <w:tc>
          <w:tcPr>
            <w:tcW w:w="422" w:type="pct"/>
            <w:tcBorders>
              <w:top w:val="single" w:sz="12" w:space="0" w:color="auto"/>
              <w:bottom w:val="single" w:sz="12" w:space="0" w:color="auto"/>
            </w:tcBorders>
            <w:shd w:val="clear" w:color="auto" w:fill="auto"/>
          </w:tcPr>
          <w:p w14:paraId="054E943C" w14:textId="77777777" w:rsidR="00D46430" w:rsidRPr="00CD5673" w:rsidRDefault="00D46430" w:rsidP="00D46430">
            <w:pPr>
              <w:pStyle w:val="TableHeading"/>
            </w:pPr>
            <w:r w:rsidRPr="00CD5673">
              <w:t>Item</w:t>
            </w:r>
          </w:p>
        </w:tc>
        <w:tc>
          <w:tcPr>
            <w:tcW w:w="4578" w:type="pct"/>
            <w:tcBorders>
              <w:top w:val="single" w:sz="12" w:space="0" w:color="auto"/>
              <w:bottom w:val="single" w:sz="12" w:space="0" w:color="auto"/>
            </w:tcBorders>
            <w:shd w:val="clear" w:color="auto" w:fill="auto"/>
          </w:tcPr>
          <w:p w14:paraId="32996FE1" w14:textId="77777777" w:rsidR="00D46430" w:rsidRPr="00CD5673" w:rsidRDefault="00D46430" w:rsidP="00D46430">
            <w:pPr>
              <w:pStyle w:val="TableHeading"/>
            </w:pPr>
            <w:r w:rsidRPr="00CD5673">
              <w:t>Matter</w:t>
            </w:r>
          </w:p>
        </w:tc>
      </w:tr>
      <w:tr w:rsidR="00D46430" w:rsidRPr="00CD5673" w14:paraId="184EC3B0" w14:textId="77777777" w:rsidTr="00D46430">
        <w:tc>
          <w:tcPr>
            <w:tcW w:w="422" w:type="pct"/>
            <w:tcBorders>
              <w:top w:val="single" w:sz="12" w:space="0" w:color="auto"/>
            </w:tcBorders>
            <w:shd w:val="clear" w:color="auto" w:fill="auto"/>
          </w:tcPr>
          <w:p w14:paraId="355286B5" w14:textId="77777777" w:rsidR="00D46430" w:rsidRPr="00CD5673" w:rsidRDefault="00D46430" w:rsidP="00D46430">
            <w:pPr>
              <w:pStyle w:val="Tabletext"/>
            </w:pPr>
            <w:r w:rsidRPr="00CD5673">
              <w:t>1</w:t>
            </w:r>
          </w:p>
        </w:tc>
        <w:tc>
          <w:tcPr>
            <w:tcW w:w="4578" w:type="pct"/>
            <w:tcBorders>
              <w:top w:val="single" w:sz="12" w:space="0" w:color="auto"/>
            </w:tcBorders>
            <w:shd w:val="clear" w:color="auto" w:fill="auto"/>
          </w:tcPr>
          <w:p w14:paraId="3A06A75E" w14:textId="77777777" w:rsidR="00D46430" w:rsidRPr="00CD5673" w:rsidRDefault="00D46430" w:rsidP="00D46430">
            <w:pPr>
              <w:pStyle w:val="Tabletext"/>
            </w:pPr>
            <w:r w:rsidRPr="00CD5673">
              <w:t>The components of a short</w:t>
            </w:r>
            <w:r w:rsidR="00C614F1">
              <w:noBreakHyphen/>
            </w:r>
            <w:r w:rsidRPr="00CD5673">
              <w:t>term employee benefit that:</w:t>
            </w:r>
          </w:p>
          <w:p w14:paraId="2C4FA448" w14:textId="77777777" w:rsidR="00D46430" w:rsidRPr="00CD5673" w:rsidRDefault="00D46430" w:rsidP="00D46430">
            <w:pPr>
              <w:pStyle w:val="Tablea"/>
            </w:pPr>
            <w:r w:rsidRPr="00CD5673">
              <w:t>(a) are not dependent on the satisfaction of a performance condition; and</w:t>
            </w:r>
          </w:p>
          <w:p w14:paraId="065E1D8D" w14:textId="77777777" w:rsidR="00D46430" w:rsidRPr="00CD5673" w:rsidRDefault="00D46430" w:rsidP="00D46430">
            <w:pPr>
              <w:pStyle w:val="Tablea"/>
            </w:pPr>
            <w:r w:rsidRPr="00CD5673">
              <w:t>(b) are specified in paragraphs (a), (c) and (d) of column 3 of item 6 in the table in subregulation 2M.3.03(1); and</w:t>
            </w:r>
          </w:p>
          <w:p w14:paraId="63A050F5" w14:textId="77777777" w:rsidR="00D46430" w:rsidRPr="00CD5673" w:rsidRDefault="00D46430" w:rsidP="00D46430">
            <w:pPr>
              <w:pStyle w:val="Tablea"/>
            </w:pPr>
            <w:r w:rsidRPr="00CD5673">
              <w:t>(c) are paid during the relevant period</w:t>
            </w:r>
          </w:p>
        </w:tc>
      </w:tr>
      <w:tr w:rsidR="00D46430" w:rsidRPr="00CD5673" w14:paraId="48D7E46A" w14:textId="77777777" w:rsidTr="00D46430">
        <w:tc>
          <w:tcPr>
            <w:tcW w:w="422" w:type="pct"/>
            <w:shd w:val="clear" w:color="auto" w:fill="auto"/>
          </w:tcPr>
          <w:p w14:paraId="20B5F402" w14:textId="77777777" w:rsidR="00D46430" w:rsidRPr="00CD5673" w:rsidRDefault="00D46430" w:rsidP="00D46430">
            <w:pPr>
              <w:pStyle w:val="Tabletext"/>
            </w:pPr>
            <w:r w:rsidRPr="00CD5673">
              <w:t>2</w:t>
            </w:r>
          </w:p>
        </w:tc>
        <w:tc>
          <w:tcPr>
            <w:tcW w:w="4578" w:type="pct"/>
            <w:shd w:val="clear" w:color="auto" w:fill="auto"/>
          </w:tcPr>
          <w:p w14:paraId="7F5EA59F" w14:textId="77777777" w:rsidR="00D46430" w:rsidRPr="00CD5673" w:rsidRDefault="00D46430" w:rsidP="00D46430">
            <w:pPr>
              <w:pStyle w:val="Tabletext"/>
            </w:pPr>
            <w:r w:rsidRPr="00CD5673">
              <w:t>A superannuation contribution that:</w:t>
            </w:r>
          </w:p>
          <w:p w14:paraId="6D04CE1A" w14:textId="77777777" w:rsidR="00D46430" w:rsidRPr="00CD5673" w:rsidRDefault="00D46430" w:rsidP="00D46430">
            <w:pPr>
              <w:pStyle w:val="Tablea"/>
            </w:pPr>
            <w:r w:rsidRPr="00CD5673">
              <w:t>(a) is not dependent on the satisfaction of a performance condition; and</w:t>
            </w:r>
          </w:p>
          <w:p w14:paraId="6C63B9B2" w14:textId="77777777" w:rsidR="00D46430" w:rsidRPr="00CD5673" w:rsidRDefault="00D46430" w:rsidP="00D46430">
            <w:pPr>
              <w:pStyle w:val="Tablea"/>
            </w:pPr>
            <w:r w:rsidRPr="00CD5673">
              <w:t>(b) is paid during the relevant period</w:t>
            </w:r>
          </w:p>
        </w:tc>
      </w:tr>
      <w:tr w:rsidR="00D46430" w:rsidRPr="00CD5673" w14:paraId="11EA3F16" w14:textId="77777777" w:rsidTr="00D46430">
        <w:tc>
          <w:tcPr>
            <w:tcW w:w="422" w:type="pct"/>
            <w:shd w:val="clear" w:color="auto" w:fill="auto"/>
          </w:tcPr>
          <w:p w14:paraId="1D628F00" w14:textId="77777777" w:rsidR="00D46430" w:rsidRPr="00CD5673" w:rsidRDefault="00D46430" w:rsidP="00D46430">
            <w:pPr>
              <w:pStyle w:val="Tabletext"/>
            </w:pPr>
            <w:r w:rsidRPr="00CD5673">
              <w:t>3</w:t>
            </w:r>
          </w:p>
        </w:tc>
        <w:tc>
          <w:tcPr>
            <w:tcW w:w="4578" w:type="pct"/>
            <w:shd w:val="clear" w:color="auto" w:fill="auto"/>
          </w:tcPr>
          <w:p w14:paraId="6914BA54" w14:textId="77777777" w:rsidR="00D46430" w:rsidRPr="00CD5673" w:rsidRDefault="00D46430" w:rsidP="00D46430">
            <w:pPr>
              <w:pStyle w:val="Tabletext"/>
            </w:pPr>
            <w:r w:rsidRPr="00CD5673">
              <w:t>A share</w:t>
            </w:r>
            <w:r w:rsidR="00C614F1">
              <w:noBreakHyphen/>
            </w:r>
            <w:r w:rsidRPr="00CD5673">
              <w:t>based payment that:</w:t>
            </w:r>
          </w:p>
          <w:p w14:paraId="5B3D25B8" w14:textId="77777777" w:rsidR="00D46430" w:rsidRPr="00CD5673" w:rsidRDefault="00D46430" w:rsidP="00D46430">
            <w:pPr>
              <w:pStyle w:val="Tablea"/>
            </w:pPr>
            <w:r w:rsidRPr="00CD5673">
              <w:t>(a) is not dependent on the satisfaction of a performance condition; and</w:t>
            </w:r>
          </w:p>
          <w:p w14:paraId="53DCF1B0" w14:textId="77777777" w:rsidR="00D46430" w:rsidRPr="00CD5673" w:rsidRDefault="00D46430" w:rsidP="00D46430">
            <w:pPr>
              <w:pStyle w:val="Tablea"/>
            </w:pPr>
            <w:r w:rsidRPr="00CD5673">
              <w:t>(b) is specified in column 3 of item 11 in the table in subregulation 2M.3.03(1); and</w:t>
            </w:r>
          </w:p>
          <w:p w14:paraId="5E30D1B7" w14:textId="77777777" w:rsidR="00D46430" w:rsidRPr="00CD5673" w:rsidRDefault="00D46430" w:rsidP="00D46430">
            <w:pPr>
              <w:pStyle w:val="Tabletext"/>
            </w:pPr>
            <w:r w:rsidRPr="00CD5673">
              <w:t>(c) is paid during the relevant period</w:t>
            </w:r>
          </w:p>
        </w:tc>
      </w:tr>
      <w:tr w:rsidR="00D46430" w:rsidRPr="00CD5673" w14:paraId="32B88381" w14:textId="77777777" w:rsidTr="00D46430">
        <w:tc>
          <w:tcPr>
            <w:tcW w:w="422" w:type="pct"/>
            <w:tcBorders>
              <w:bottom w:val="single" w:sz="12" w:space="0" w:color="auto"/>
            </w:tcBorders>
            <w:shd w:val="clear" w:color="auto" w:fill="auto"/>
          </w:tcPr>
          <w:p w14:paraId="6282EE28" w14:textId="77777777" w:rsidR="00D46430" w:rsidRPr="00CD5673" w:rsidRDefault="00D46430" w:rsidP="00D46430">
            <w:pPr>
              <w:pStyle w:val="Tabletext"/>
            </w:pPr>
            <w:r w:rsidRPr="00CD5673">
              <w:t>4</w:t>
            </w:r>
          </w:p>
        </w:tc>
        <w:tc>
          <w:tcPr>
            <w:tcW w:w="4578" w:type="pct"/>
            <w:tcBorders>
              <w:bottom w:val="single" w:sz="12" w:space="0" w:color="auto"/>
            </w:tcBorders>
            <w:shd w:val="clear" w:color="auto" w:fill="auto"/>
          </w:tcPr>
          <w:p w14:paraId="53F75317" w14:textId="77777777" w:rsidR="00D46430" w:rsidRPr="00CD5673" w:rsidRDefault="00D46430" w:rsidP="00D46430">
            <w:pPr>
              <w:pStyle w:val="Tabletext"/>
            </w:pPr>
            <w:r w:rsidRPr="00CD5673">
              <w:t>A liability or prospective liability to pay tax in respect of a fringe benefit taxable amount under:</w:t>
            </w:r>
          </w:p>
          <w:p w14:paraId="523B7C09" w14:textId="77777777" w:rsidR="00D46430" w:rsidRPr="00CD5673" w:rsidRDefault="00D46430" w:rsidP="00D46430">
            <w:pPr>
              <w:pStyle w:val="Tablea"/>
            </w:pPr>
            <w:r w:rsidRPr="00CD5673">
              <w:t xml:space="preserve">(a) the </w:t>
            </w:r>
            <w:r w:rsidRPr="00CD5673">
              <w:rPr>
                <w:i/>
              </w:rPr>
              <w:t>Fringe Benefits Tax Assessment Act 1986</w:t>
            </w:r>
            <w:r w:rsidRPr="00CD5673">
              <w:t>; or</w:t>
            </w:r>
          </w:p>
          <w:p w14:paraId="4F124793" w14:textId="77777777" w:rsidR="00D46430" w:rsidRPr="00CD5673" w:rsidRDefault="00D46430" w:rsidP="00D46430">
            <w:pPr>
              <w:pStyle w:val="Tablea"/>
            </w:pPr>
            <w:r w:rsidRPr="00CD5673">
              <w:t xml:space="preserve">(b) the </w:t>
            </w:r>
            <w:r w:rsidRPr="00CD5673">
              <w:rPr>
                <w:i/>
              </w:rPr>
              <w:t>Fringe Benefits Tax Act 1986</w:t>
            </w:r>
            <w:r w:rsidRPr="00CD5673">
              <w:t>;</w:t>
            </w:r>
          </w:p>
          <w:p w14:paraId="0B50B83C" w14:textId="77777777" w:rsidR="00D46430" w:rsidRPr="00CD5673" w:rsidRDefault="00D46430" w:rsidP="00D46430">
            <w:pPr>
              <w:pStyle w:val="Tabletext"/>
            </w:pPr>
            <w:r w:rsidRPr="00CD5673">
              <w:t>that relates to the provision of a matter specified in item 1, 2 or 3</w:t>
            </w:r>
          </w:p>
        </w:tc>
      </w:tr>
    </w:tbl>
    <w:p w14:paraId="6B99BE0F" w14:textId="77777777" w:rsidR="00D46430" w:rsidRPr="00CD5673" w:rsidRDefault="00D46430" w:rsidP="00D46430">
      <w:pPr>
        <w:pStyle w:val="subsection"/>
      </w:pPr>
      <w:r w:rsidRPr="00CD5673">
        <w:tab/>
        <w:t>(2)</w:t>
      </w:r>
      <w:r w:rsidRPr="00CD5673">
        <w:tab/>
        <w:t>For subregulation (1):</w:t>
      </w:r>
    </w:p>
    <w:p w14:paraId="041D2942" w14:textId="77777777" w:rsidR="00D46430" w:rsidRPr="00CD5673" w:rsidRDefault="00D46430" w:rsidP="00D46430">
      <w:pPr>
        <w:pStyle w:val="paragraph"/>
      </w:pPr>
      <w:r w:rsidRPr="00CD5673">
        <w:tab/>
        <w:t>(a)</w:t>
      </w:r>
      <w:r w:rsidRPr="00CD5673">
        <w:tab/>
        <w:t>if a person has held an office in relation to a company:</w:t>
      </w:r>
    </w:p>
    <w:p w14:paraId="6DC47A5A" w14:textId="77777777" w:rsidR="00D46430" w:rsidRPr="00CD5673" w:rsidRDefault="00D46430" w:rsidP="00D46430">
      <w:pPr>
        <w:pStyle w:val="paragraphsub"/>
      </w:pPr>
      <w:r w:rsidRPr="00CD5673">
        <w:tab/>
        <w:t>(i)</w:t>
      </w:r>
      <w:r w:rsidRPr="00CD5673">
        <w:tab/>
        <w:t>throughout a period of more than 12 months; or</w:t>
      </w:r>
    </w:p>
    <w:p w14:paraId="2596C36F" w14:textId="77777777" w:rsidR="00D46430" w:rsidRPr="00CD5673" w:rsidRDefault="00D46430" w:rsidP="00D46430">
      <w:pPr>
        <w:pStyle w:val="paragraphsub"/>
      </w:pPr>
      <w:r w:rsidRPr="00CD5673">
        <w:tab/>
        <w:t>(ii)</w:t>
      </w:r>
      <w:r w:rsidRPr="00CD5673">
        <w:tab/>
        <w:t>throughout a number of periods of more than 12 months in total;</w:t>
      </w:r>
    </w:p>
    <w:p w14:paraId="23D4532A" w14:textId="77777777" w:rsidR="00D46430" w:rsidRPr="00CD5673" w:rsidRDefault="00D46430" w:rsidP="00D46430">
      <w:pPr>
        <w:pStyle w:val="paragraph"/>
      </w:pPr>
      <w:r w:rsidRPr="00CD5673">
        <w:rPr>
          <w:szCs w:val="22"/>
        </w:rPr>
        <w:tab/>
      </w:r>
      <w:r w:rsidRPr="00CD5673">
        <w:rPr>
          <w:szCs w:val="22"/>
        </w:rPr>
        <w:tab/>
      </w:r>
      <w:r w:rsidRPr="00CD5673">
        <w:t xml:space="preserve">the </w:t>
      </w:r>
      <w:r w:rsidRPr="00CD5673">
        <w:rPr>
          <w:b/>
          <w:i/>
        </w:rPr>
        <w:t>relevant period</w:t>
      </w:r>
      <w:r w:rsidRPr="00CD5673">
        <w:t xml:space="preserve"> for that person is the last 12 months of that period or the last 12 months of the total period; and</w:t>
      </w:r>
    </w:p>
    <w:p w14:paraId="238743EF" w14:textId="77777777" w:rsidR="00D46430" w:rsidRPr="00CD5673" w:rsidRDefault="00D46430" w:rsidP="00D46430">
      <w:pPr>
        <w:pStyle w:val="paragraph"/>
      </w:pPr>
      <w:r w:rsidRPr="00CD5673">
        <w:tab/>
        <w:t>(b)</w:t>
      </w:r>
      <w:r w:rsidRPr="00CD5673">
        <w:tab/>
        <w:t>if a person has held an office in relation to a company:</w:t>
      </w:r>
    </w:p>
    <w:p w14:paraId="1745DADA" w14:textId="77777777" w:rsidR="00D46430" w:rsidRPr="00CD5673" w:rsidRDefault="00D46430" w:rsidP="00D46430">
      <w:pPr>
        <w:pStyle w:val="paragraphsub"/>
      </w:pPr>
      <w:r w:rsidRPr="00CD5673">
        <w:tab/>
        <w:t>(i)</w:t>
      </w:r>
      <w:r w:rsidRPr="00CD5673">
        <w:tab/>
        <w:t>throughout a period of 12 months or less; or</w:t>
      </w:r>
    </w:p>
    <w:p w14:paraId="6DE9AB6B" w14:textId="77777777" w:rsidR="00D46430" w:rsidRPr="00CD5673" w:rsidRDefault="00D46430" w:rsidP="00D46430">
      <w:pPr>
        <w:pStyle w:val="paragraphsub"/>
      </w:pPr>
      <w:r w:rsidRPr="00CD5673">
        <w:tab/>
        <w:t>(ii)</w:t>
      </w:r>
      <w:r w:rsidRPr="00CD5673">
        <w:tab/>
        <w:t>throughout a number of periods of 12 months or less in total;</w:t>
      </w:r>
    </w:p>
    <w:p w14:paraId="386219FD" w14:textId="77777777" w:rsidR="00D46430" w:rsidRPr="00CD5673" w:rsidRDefault="00D46430" w:rsidP="00D46430">
      <w:pPr>
        <w:pStyle w:val="paragraph"/>
      </w:pPr>
      <w:r w:rsidRPr="00CD5673">
        <w:rPr>
          <w:szCs w:val="22"/>
        </w:rPr>
        <w:tab/>
      </w:r>
      <w:r w:rsidRPr="00CD5673">
        <w:rPr>
          <w:szCs w:val="22"/>
        </w:rPr>
        <w:tab/>
      </w:r>
      <w:r w:rsidRPr="00CD5673">
        <w:t xml:space="preserve">the </w:t>
      </w:r>
      <w:r w:rsidRPr="00CD5673">
        <w:rPr>
          <w:b/>
          <w:i/>
        </w:rPr>
        <w:t>relevant period</w:t>
      </w:r>
      <w:r w:rsidRPr="00CD5673">
        <w:t xml:space="preserve"> for that person is that period or the total period.</w:t>
      </w:r>
    </w:p>
    <w:p w14:paraId="268BCAF7" w14:textId="77777777" w:rsidR="00D46430" w:rsidRPr="00CD5673" w:rsidRDefault="00D46430" w:rsidP="00D46430">
      <w:pPr>
        <w:pStyle w:val="ActHead5"/>
        <w:rPr>
          <w:i/>
          <w:iCs/>
        </w:rPr>
      </w:pPr>
      <w:bookmarkStart w:id="71" w:name="_Toc158711683"/>
      <w:r w:rsidRPr="00C614F1">
        <w:rPr>
          <w:rStyle w:val="CharSectno"/>
        </w:rPr>
        <w:t>2D.2.02</w:t>
      </w:r>
      <w:r w:rsidRPr="00CD5673">
        <w:t xml:space="preserve">  Meaning of </w:t>
      </w:r>
      <w:r w:rsidRPr="00CD5673">
        <w:rPr>
          <w:i/>
          <w:iCs/>
        </w:rPr>
        <w:t>benefit</w:t>
      </w:r>
      <w:bookmarkEnd w:id="71"/>
    </w:p>
    <w:p w14:paraId="5BF62737" w14:textId="77777777" w:rsidR="00D46430" w:rsidRPr="00CD5673" w:rsidRDefault="00D46430" w:rsidP="00D46430">
      <w:pPr>
        <w:pStyle w:val="subsection"/>
      </w:pPr>
      <w:r w:rsidRPr="00CD5673">
        <w:tab/>
        <w:t>(1)</w:t>
      </w:r>
      <w:r w:rsidRPr="00CD5673">
        <w:tab/>
        <w:t>For paragraph 200AB(1)(e) of the Act, each of the following things is specified:</w:t>
      </w:r>
    </w:p>
    <w:p w14:paraId="0D4B5FBF" w14:textId="77777777" w:rsidR="00D46430" w:rsidRPr="00CD5673" w:rsidRDefault="00D46430" w:rsidP="00D46430">
      <w:pPr>
        <w:pStyle w:val="paragraph"/>
      </w:pPr>
      <w:r w:rsidRPr="00CD5673">
        <w:tab/>
        <w:t>(a)</w:t>
      </w:r>
      <w:r w:rsidRPr="00CD5673">
        <w:tab/>
        <w:t>any kind of pension, other than a pension paid from a superannuation fund or a superannuation annuity (whether it is paid from an Australian or a foreign fund);</w:t>
      </w:r>
    </w:p>
    <w:p w14:paraId="1FA4D20B" w14:textId="77777777" w:rsidR="00D46430" w:rsidRPr="00CD5673" w:rsidRDefault="00D46430" w:rsidP="00D46430">
      <w:pPr>
        <w:pStyle w:val="paragraph"/>
      </w:pPr>
      <w:r w:rsidRPr="00CD5673">
        <w:tab/>
        <w:t>(b)</w:t>
      </w:r>
      <w:r w:rsidRPr="00CD5673">
        <w:tab/>
        <w:t>an amount paid as a voluntary out</w:t>
      </w:r>
      <w:r w:rsidR="00C614F1">
        <w:noBreakHyphen/>
      </w:r>
      <w:r w:rsidRPr="00CD5673">
        <w:t>of</w:t>
      </w:r>
      <w:r w:rsidR="00C614F1">
        <w:noBreakHyphen/>
      </w:r>
      <w:r w:rsidRPr="00CD5673">
        <w:t>court settlement in a matter relating to the termination of employment;</w:t>
      </w:r>
    </w:p>
    <w:p w14:paraId="111AB78E" w14:textId="77777777" w:rsidR="00D46430" w:rsidRPr="00CD5673" w:rsidRDefault="00D46430" w:rsidP="00D46430">
      <w:pPr>
        <w:pStyle w:val="paragraph"/>
      </w:pPr>
      <w:r w:rsidRPr="00CD5673">
        <w:tab/>
        <w:t>(c)</w:t>
      </w:r>
      <w:r w:rsidRPr="00CD5673">
        <w:tab/>
        <w:t>a payment:</w:t>
      </w:r>
    </w:p>
    <w:p w14:paraId="490087F8" w14:textId="77777777" w:rsidR="00D46430" w:rsidRPr="00CD5673" w:rsidRDefault="00D46430" w:rsidP="00D46430">
      <w:pPr>
        <w:pStyle w:val="paragraphsub"/>
      </w:pPr>
      <w:r w:rsidRPr="00CD5673">
        <w:tab/>
        <w:t>(i)</w:t>
      </w:r>
      <w:r w:rsidRPr="00CD5673">
        <w:tab/>
        <w:t>that is made as part of a restrictive covenant, restraint</w:t>
      </w:r>
      <w:r w:rsidR="00C614F1">
        <w:noBreakHyphen/>
      </w:r>
      <w:r w:rsidRPr="00CD5673">
        <w:t>of</w:t>
      </w:r>
      <w:r w:rsidR="00C614F1">
        <w:noBreakHyphen/>
      </w:r>
      <w:r w:rsidRPr="00CD5673">
        <w:t>trade clause or non</w:t>
      </w:r>
      <w:r w:rsidR="00C614F1">
        <w:noBreakHyphen/>
      </w:r>
      <w:r w:rsidRPr="00CD5673">
        <w:t>compete clause (however described); and</w:t>
      </w:r>
    </w:p>
    <w:p w14:paraId="346D1694" w14:textId="77777777" w:rsidR="00D46430" w:rsidRPr="00CD5673" w:rsidRDefault="00D46430" w:rsidP="00D46430">
      <w:pPr>
        <w:pStyle w:val="paragraphsub"/>
      </w:pPr>
      <w:r w:rsidRPr="00CD5673">
        <w:tab/>
        <w:t>(ii)</w:t>
      </w:r>
      <w:r w:rsidRPr="00CD5673">
        <w:tab/>
        <w:t>the value of which, when added to the value of all other payments (if any) already made or payable in connection with the person’s retirement from board or managerial offices in the company and related bodies corporate, exceeds the payment limit set by section 200G of the</w:t>
      </w:r>
      <w:r w:rsidRPr="00CD5673">
        <w:rPr>
          <w:szCs w:val="22"/>
        </w:rPr>
        <w:t xml:space="preserve"> Act</w:t>
      </w:r>
      <w:r w:rsidRPr="00CD5673">
        <w:t>.</w:t>
      </w:r>
    </w:p>
    <w:p w14:paraId="5807EB4E" w14:textId="77777777" w:rsidR="00D46430" w:rsidRPr="00CD5673" w:rsidRDefault="00D46430" w:rsidP="00D46430">
      <w:pPr>
        <w:pStyle w:val="notetext"/>
      </w:pPr>
      <w:r w:rsidRPr="00CD5673">
        <w:rPr>
          <w:iCs/>
        </w:rPr>
        <w:t>Note:</w:t>
      </w:r>
      <w:r w:rsidRPr="00CD5673">
        <w:rPr>
          <w:iCs/>
        </w:rPr>
        <w:tab/>
      </w:r>
      <w:r w:rsidRPr="00CD5673">
        <w:t xml:space="preserve">Subsection 200AB(1) of the Act provides that a </w:t>
      </w:r>
      <w:r w:rsidRPr="00CD5673">
        <w:rPr>
          <w:bCs/>
          <w:iCs/>
        </w:rPr>
        <w:t xml:space="preserve">benefit </w:t>
      </w:r>
      <w:r w:rsidRPr="00CD5673">
        <w:t xml:space="preserve">includes specified things. Paragraph 200AB(1)(e) of the Act provides that a </w:t>
      </w:r>
      <w:r w:rsidRPr="00CD5673">
        <w:rPr>
          <w:bCs/>
          <w:iCs/>
        </w:rPr>
        <w:t>benefit</w:t>
      </w:r>
      <w:r w:rsidRPr="00CD5673">
        <w:rPr>
          <w:b/>
          <w:bCs/>
          <w:iCs/>
        </w:rPr>
        <w:t xml:space="preserve"> </w:t>
      </w:r>
      <w:r w:rsidRPr="00CD5673">
        <w:t>includes a thing specified in regulations. Things that are not specified in subsection 200AB(1) of the Act or subregulation (1) may also be benefits for the purposes of the Act.</w:t>
      </w:r>
    </w:p>
    <w:p w14:paraId="42DAEA60" w14:textId="77777777" w:rsidR="00D46430" w:rsidRPr="00CD5673" w:rsidRDefault="00D46430" w:rsidP="00D46430">
      <w:pPr>
        <w:pStyle w:val="subsection"/>
      </w:pPr>
      <w:r w:rsidRPr="00CD5673">
        <w:lastRenderedPageBreak/>
        <w:tab/>
        <w:t>(2)</w:t>
      </w:r>
      <w:r w:rsidRPr="00CD5673">
        <w:tab/>
        <w:t>For subsection 200AB(2) of the Act, each of the following things is specified:</w:t>
      </w:r>
    </w:p>
    <w:p w14:paraId="635E32F3" w14:textId="77777777" w:rsidR="00D46430" w:rsidRPr="00CD5673" w:rsidRDefault="00D46430" w:rsidP="00D46430">
      <w:pPr>
        <w:pStyle w:val="paragraph"/>
      </w:pPr>
      <w:r w:rsidRPr="00CD5673">
        <w:tab/>
        <w:t>(a)</w:t>
      </w:r>
      <w:r w:rsidRPr="00CD5673">
        <w:tab/>
        <w:t>a deferred bonus, including a benefit attributable to:</w:t>
      </w:r>
    </w:p>
    <w:p w14:paraId="2FD57875" w14:textId="77777777" w:rsidR="00D46430" w:rsidRPr="00CD5673" w:rsidRDefault="00D46430" w:rsidP="00D46430">
      <w:pPr>
        <w:pStyle w:val="paragraphsub"/>
      </w:pPr>
      <w:r w:rsidRPr="00CD5673">
        <w:tab/>
        <w:t>(i)</w:t>
      </w:r>
      <w:r w:rsidRPr="00CD5673">
        <w:tab/>
        <w:t>the release of the deferred bonus from a restriction relating to death or incapacity; or</w:t>
      </w:r>
    </w:p>
    <w:p w14:paraId="2B7AF4BA" w14:textId="77777777" w:rsidR="00D46430" w:rsidRPr="00CD5673" w:rsidRDefault="00D46430" w:rsidP="00D46430">
      <w:pPr>
        <w:pStyle w:val="paragraphsub"/>
      </w:pPr>
      <w:r w:rsidRPr="00CD5673">
        <w:tab/>
        <w:t>(ii)</w:t>
      </w:r>
      <w:r w:rsidRPr="00CD5673">
        <w:tab/>
        <w:t>the investment of the deferred bonus; or</w:t>
      </w:r>
    </w:p>
    <w:p w14:paraId="270B3D58" w14:textId="77777777" w:rsidR="00D46430" w:rsidRPr="00CD5673" w:rsidRDefault="00D46430" w:rsidP="00D46430">
      <w:pPr>
        <w:pStyle w:val="paragraphsub"/>
      </w:pPr>
      <w:r w:rsidRPr="00CD5673">
        <w:tab/>
        <w:t>(iii)</w:t>
      </w:r>
      <w:r w:rsidRPr="00CD5673">
        <w:tab/>
        <w:t>another change to the value of the deferred bonus;</w:t>
      </w:r>
    </w:p>
    <w:p w14:paraId="753D0E2A" w14:textId="77777777" w:rsidR="00D46430" w:rsidRPr="00CD5673" w:rsidRDefault="00D46430" w:rsidP="00D46430">
      <w:pPr>
        <w:pStyle w:val="paragraph"/>
      </w:pPr>
      <w:r w:rsidRPr="00CD5673">
        <w:tab/>
        <w:t>(b)</w:t>
      </w:r>
      <w:r w:rsidRPr="00CD5673">
        <w:tab/>
        <w:t>a payment from a defined benefits superannuation scheme that was in existence when this regulation commenced;</w:t>
      </w:r>
    </w:p>
    <w:p w14:paraId="4255601D" w14:textId="77777777" w:rsidR="00D46430" w:rsidRPr="00CD5673" w:rsidRDefault="00D46430" w:rsidP="00D46430">
      <w:pPr>
        <w:pStyle w:val="paragraph"/>
      </w:pPr>
      <w:r w:rsidRPr="00CD5673">
        <w:tab/>
        <w:t>(c)</w:t>
      </w:r>
      <w:r w:rsidRPr="00CD5673">
        <w:tab/>
        <w:t>a genuine superannuation contribution that is paid by an employer or employee on or after the commencement of this regulation;</w:t>
      </w:r>
    </w:p>
    <w:p w14:paraId="6054FFF1" w14:textId="77777777" w:rsidR="00D46430" w:rsidRPr="00CD5673" w:rsidRDefault="00D46430" w:rsidP="00D46430">
      <w:pPr>
        <w:pStyle w:val="paragraph"/>
      </w:pPr>
      <w:r w:rsidRPr="00CD5673">
        <w:tab/>
        <w:t>(d)</w:t>
      </w:r>
      <w:r w:rsidRPr="00CD5673">
        <w:tab/>
        <w:t>genuine accrued benefits that are payable under a law within the meaning of section 200H of the Act;</w:t>
      </w:r>
    </w:p>
    <w:p w14:paraId="37EB9E5D" w14:textId="77777777" w:rsidR="00D46430" w:rsidRPr="00CD5673" w:rsidRDefault="00D46430" w:rsidP="00D46430">
      <w:pPr>
        <w:pStyle w:val="paragraph"/>
      </w:pPr>
      <w:r w:rsidRPr="00CD5673">
        <w:tab/>
        <w:t>(e)</w:t>
      </w:r>
      <w:r w:rsidRPr="00CD5673">
        <w:tab/>
        <w:t>a payment made under a requirement imposed by a law of another country;</w:t>
      </w:r>
    </w:p>
    <w:p w14:paraId="65271925" w14:textId="77777777" w:rsidR="00D46430" w:rsidRPr="00CD5673" w:rsidRDefault="00D46430" w:rsidP="00D46430">
      <w:pPr>
        <w:pStyle w:val="paragraph"/>
      </w:pPr>
      <w:r w:rsidRPr="00CD5673">
        <w:tab/>
        <w:t>(f)</w:t>
      </w:r>
      <w:r w:rsidRPr="00CD5673">
        <w:tab/>
        <w:t>a reasonable payment that is made:</w:t>
      </w:r>
    </w:p>
    <w:p w14:paraId="27FC8599" w14:textId="77777777" w:rsidR="00D46430" w:rsidRPr="00CD5673" w:rsidRDefault="00D46430" w:rsidP="00D46430">
      <w:pPr>
        <w:pStyle w:val="paragraphsub"/>
      </w:pPr>
      <w:r w:rsidRPr="00CD5673">
        <w:tab/>
        <w:t>(i)</w:t>
      </w:r>
      <w:r w:rsidRPr="00CD5673">
        <w:tab/>
        <w:t>in accordance with a policy of the company or body that applies to all employees; and</w:t>
      </w:r>
    </w:p>
    <w:p w14:paraId="1D9DFA4D" w14:textId="77777777" w:rsidR="00D46430" w:rsidRPr="00CD5673" w:rsidRDefault="00D46430" w:rsidP="00D46430">
      <w:pPr>
        <w:pStyle w:val="paragraphsub"/>
      </w:pPr>
      <w:r w:rsidRPr="00CD5673">
        <w:tab/>
        <w:t>(ii)</w:t>
      </w:r>
      <w:r w:rsidRPr="00CD5673">
        <w:tab/>
        <w:t>as a result of a genuine redundancy; and</w:t>
      </w:r>
    </w:p>
    <w:p w14:paraId="50982CE5" w14:textId="77777777" w:rsidR="00D46430" w:rsidRPr="00CD5673" w:rsidRDefault="00D46430" w:rsidP="00D46430">
      <w:pPr>
        <w:pStyle w:val="paragraphsub"/>
      </w:pPr>
      <w:r w:rsidRPr="00CD5673">
        <w:tab/>
        <w:t>(iii)</w:t>
      </w:r>
      <w:r w:rsidRPr="00CD5673">
        <w:tab/>
        <w:t>having regard to the length of a person’s service in an office or position;</w:t>
      </w:r>
    </w:p>
    <w:p w14:paraId="78FF2D9F" w14:textId="77777777" w:rsidR="00D46430" w:rsidRPr="00CD5673" w:rsidRDefault="00D46430" w:rsidP="00D46430">
      <w:pPr>
        <w:pStyle w:val="paragraph"/>
      </w:pPr>
      <w:r w:rsidRPr="00CD5673">
        <w:tab/>
        <w:t>(g)</w:t>
      </w:r>
      <w:r w:rsidRPr="00CD5673">
        <w:tab/>
        <w:t>a payment from a prescribed superannuation fund due to death or incapacity.</w:t>
      </w:r>
    </w:p>
    <w:p w14:paraId="70862432" w14:textId="77777777" w:rsidR="00D46430" w:rsidRPr="00CD5673" w:rsidRDefault="00D46430" w:rsidP="00D46430">
      <w:pPr>
        <w:pStyle w:val="notemargin"/>
        <w:ind w:left="3402" w:hanging="2268"/>
      </w:pPr>
      <w:r w:rsidRPr="00CD5673">
        <w:t>Example for paragraph (d):</w:t>
      </w:r>
      <w:r w:rsidRPr="00CD5673">
        <w:tab/>
        <w:t>A payment of annual leave, long service leave or sick leave.</w:t>
      </w:r>
    </w:p>
    <w:p w14:paraId="652780AE" w14:textId="77777777" w:rsidR="00D46430" w:rsidRPr="00CD5673" w:rsidRDefault="00D46430" w:rsidP="00D46430">
      <w:pPr>
        <w:pStyle w:val="notetext"/>
      </w:pPr>
      <w:r w:rsidRPr="00CD5673">
        <w:rPr>
          <w:iCs/>
        </w:rPr>
        <w:t>Note:</w:t>
      </w:r>
      <w:r w:rsidRPr="00CD5673">
        <w:rPr>
          <w:iCs/>
        </w:rPr>
        <w:tab/>
      </w:r>
      <w:r w:rsidRPr="00CD5673">
        <w:t xml:space="preserve">Subsection 200AB(2) of the Act provides that a </w:t>
      </w:r>
      <w:r w:rsidRPr="00CD5673">
        <w:rPr>
          <w:bCs/>
          <w:iCs/>
        </w:rPr>
        <w:t xml:space="preserve">benefit </w:t>
      </w:r>
      <w:r w:rsidRPr="00CD5673">
        <w:t>does not include a thing specified in regulations. Things that are not specified in subregulation (2) may also not be benefits for the purposes of the Act.</w:t>
      </w:r>
    </w:p>
    <w:p w14:paraId="3780906B" w14:textId="77777777" w:rsidR="00D46430" w:rsidRPr="00CD5673" w:rsidRDefault="00D46430" w:rsidP="00D46430">
      <w:pPr>
        <w:pStyle w:val="subsection"/>
      </w:pPr>
      <w:r w:rsidRPr="00CD5673">
        <w:tab/>
        <w:t>(3)</w:t>
      </w:r>
      <w:r w:rsidRPr="00CD5673">
        <w:tab/>
        <w:t>In this regulation:</w:t>
      </w:r>
    </w:p>
    <w:p w14:paraId="5A31205A" w14:textId="77777777" w:rsidR="00D46430" w:rsidRPr="00CD5673" w:rsidRDefault="00D46430" w:rsidP="00D46430">
      <w:pPr>
        <w:pStyle w:val="Definition"/>
      </w:pPr>
      <w:r w:rsidRPr="00CD5673">
        <w:rPr>
          <w:b/>
          <w:i/>
        </w:rPr>
        <w:t>deferred bonus</w:t>
      </w:r>
      <w:r w:rsidRPr="00CD5673">
        <w:t xml:space="preserve"> includes an amount, or property, that:</w:t>
      </w:r>
    </w:p>
    <w:p w14:paraId="29B3017A" w14:textId="77777777" w:rsidR="00D46430" w:rsidRPr="00CD5673" w:rsidRDefault="00D46430" w:rsidP="00D46430">
      <w:pPr>
        <w:pStyle w:val="paragraph"/>
      </w:pPr>
      <w:r w:rsidRPr="00CD5673">
        <w:tab/>
        <w:t>(a)</w:t>
      </w:r>
      <w:r w:rsidRPr="00CD5673">
        <w:tab/>
        <w:t>is earned by, accrued by or allocated to a person as remuneration in respect of a period of employment before the person’s retirement; and</w:t>
      </w:r>
    </w:p>
    <w:p w14:paraId="534C648F" w14:textId="77777777" w:rsidR="00D46430" w:rsidRPr="00CD5673" w:rsidRDefault="00D46430" w:rsidP="00D46430">
      <w:pPr>
        <w:pStyle w:val="paragraph"/>
      </w:pPr>
      <w:r w:rsidRPr="00CD5673">
        <w:tab/>
        <w:t>(b)</w:t>
      </w:r>
      <w:r w:rsidRPr="00CD5673">
        <w:tab/>
        <w:t>is not paid, provided or released to the person at the time at which it is earned, accrued or allocated.</w:t>
      </w:r>
    </w:p>
    <w:p w14:paraId="34BAA77A" w14:textId="77777777" w:rsidR="00D46430" w:rsidRPr="00CD5673" w:rsidRDefault="00D46430" w:rsidP="00D46430">
      <w:pPr>
        <w:pStyle w:val="Definition"/>
      </w:pPr>
      <w:r w:rsidRPr="00CD5673">
        <w:rPr>
          <w:b/>
          <w:i/>
        </w:rPr>
        <w:t xml:space="preserve">prescribed superannuation fund </w:t>
      </w:r>
      <w:r w:rsidRPr="00CD5673">
        <w:t>has the meaning given by section 200B of the Act.</w:t>
      </w:r>
    </w:p>
    <w:p w14:paraId="77B7D1E0" w14:textId="77777777" w:rsidR="00D46430" w:rsidRPr="00CD5673" w:rsidRDefault="00D46430" w:rsidP="00D46430">
      <w:pPr>
        <w:pStyle w:val="ActHead5"/>
      </w:pPr>
      <w:bookmarkStart w:id="72" w:name="_Toc158711684"/>
      <w:r w:rsidRPr="00C614F1">
        <w:rPr>
          <w:rStyle w:val="CharSectno"/>
        </w:rPr>
        <w:t>2D.2.03</w:t>
      </w:r>
      <w:r w:rsidRPr="00CD5673">
        <w:t xml:space="preserve">  When benefit given in connection with retirement from an office or a position</w:t>
      </w:r>
      <w:bookmarkEnd w:id="72"/>
    </w:p>
    <w:p w14:paraId="61FB876B" w14:textId="77777777" w:rsidR="00D46430" w:rsidRPr="00CD5673" w:rsidRDefault="00D46430" w:rsidP="00D46430">
      <w:pPr>
        <w:pStyle w:val="subsection"/>
      </w:pPr>
      <w:r w:rsidRPr="00CD5673">
        <w:tab/>
        <w:t>(1)</w:t>
      </w:r>
      <w:r w:rsidRPr="00CD5673">
        <w:tab/>
        <w:t>For subsection 200A(1A) of the Act, each of the following circumstances is specified in relation to a benefit:</w:t>
      </w:r>
    </w:p>
    <w:p w14:paraId="0986F641" w14:textId="77777777" w:rsidR="00D46430" w:rsidRPr="00CD5673" w:rsidRDefault="00D46430" w:rsidP="00D46430">
      <w:pPr>
        <w:pStyle w:val="paragraph"/>
      </w:pPr>
      <w:r w:rsidRPr="00CD5673">
        <w:tab/>
        <w:t>(a)</w:t>
      </w:r>
      <w:r w:rsidRPr="00CD5673">
        <w:tab/>
        <w:t>circumstances in which the benefit is the automatic vesting of share</w:t>
      </w:r>
      <w:r w:rsidR="00C614F1">
        <w:noBreakHyphen/>
      </w:r>
      <w:r w:rsidRPr="00CD5673">
        <w:t>based payments for a person on or as a result of retirement from an office or a position;</w:t>
      </w:r>
    </w:p>
    <w:p w14:paraId="19A1E20C" w14:textId="77777777" w:rsidR="00D46430" w:rsidRPr="00CD5673" w:rsidRDefault="00D46430" w:rsidP="00D46430">
      <w:pPr>
        <w:pStyle w:val="paragraph"/>
      </w:pPr>
      <w:r w:rsidRPr="00CD5673">
        <w:tab/>
        <w:t>(b)</w:t>
      </w:r>
      <w:r w:rsidRPr="00CD5673">
        <w:tab/>
        <w:t>circumstances in which the benefit is the accelerated vesting of share</w:t>
      </w:r>
      <w:r w:rsidR="00C614F1">
        <w:noBreakHyphen/>
      </w:r>
      <w:r w:rsidRPr="00CD5673">
        <w:t>based payments for a person on or as a result of retirement from an office or a position; and</w:t>
      </w:r>
    </w:p>
    <w:p w14:paraId="7269B64E" w14:textId="77777777" w:rsidR="00D46430" w:rsidRPr="00CD5673" w:rsidRDefault="00D46430" w:rsidP="00D46430">
      <w:pPr>
        <w:pStyle w:val="paragraph"/>
      </w:pPr>
      <w:r w:rsidRPr="00CD5673">
        <w:tab/>
        <w:t>(c)</w:t>
      </w:r>
      <w:r w:rsidRPr="00CD5673">
        <w:tab/>
        <w:t>circumstances in which the benefit is a payment made to a person in lieu of the giving of notice of termination.</w:t>
      </w:r>
    </w:p>
    <w:p w14:paraId="5C83C745" w14:textId="77777777" w:rsidR="00D46430" w:rsidRPr="00CD5673" w:rsidRDefault="00D46430" w:rsidP="00D46430">
      <w:pPr>
        <w:pStyle w:val="notetext"/>
      </w:pPr>
      <w:r w:rsidRPr="00CD5673">
        <w:t>Note:</w:t>
      </w:r>
      <w:r w:rsidRPr="00CD5673">
        <w:tab/>
        <w:t>Subsection 200A(1A) of the Act provides that a benefit is given in connection with a person’s retirement from an office or a position if the benefit is given in circumstances specified in regulations.</w:t>
      </w:r>
    </w:p>
    <w:p w14:paraId="46808280" w14:textId="77777777" w:rsidR="00D46430" w:rsidRPr="00CD5673" w:rsidRDefault="00D46430" w:rsidP="00D46430">
      <w:pPr>
        <w:pStyle w:val="subsection"/>
      </w:pPr>
      <w:r w:rsidRPr="00CD5673">
        <w:tab/>
        <w:t>(2)</w:t>
      </w:r>
      <w:r w:rsidRPr="00CD5673">
        <w:tab/>
        <w:t>For paragraph 200F(1)(b) of the Act, a benefit requires shareholder approval:</w:t>
      </w:r>
    </w:p>
    <w:p w14:paraId="4B1B3992" w14:textId="77777777" w:rsidR="00D46430" w:rsidRPr="00CD5673" w:rsidRDefault="00D46430" w:rsidP="00D46430">
      <w:pPr>
        <w:pStyle w:val="paragraph"/>
      </w:pPr>
      <w:r w:rsidRPr="00CD5673">
        <w:tab/>
        <w:t>(a)</w:t>
      </w:r>
      <w:r w:rsidRPr="00CD5673">
        <w:tab/>
        <w:t>if it:</w:t>
      </w:r>
    </w:p>
    <w:p w14:paraId="6E7C8468" w14:textId="77777777" w:rsidR="00D46430" w:rsidRPr="00CD5673" w:rsidRDefault="00D46430" w:rsidP="00D46430">
      <w:pPr>
        <w:pStyle w:val="paragraphsub"/>
      </w:pPr>
      <w:r w:rsidRPr="00CD5673">
        <w:tab/>
        <w:t>(i)</w:t>
      </w:r>
      <w:r w:rsidRPr="00CD5673">
        <w:tab/>
        <w:t>is a deferred bonus under paragraph 2D.2.02(2)(a); and</w:t>
      </w:r>
    </w:p>
    <w:p w14:paraId="39F078FA" w14:textId="77777777" w:rsidR="00D46430" w:rsidRPr="00CD5673" w:rsidRDefault="00D46430" w:rsidP="00D46430">
      <w:pPr>
        <w:pStyle w:val="paragraphsub"/>
      </w:pPr>
      <w:r w:rsidRPr="00CD5673">
        <w:tab/>
        <w:t>(ii)</w:t>
      </w:r>
      <w:r w:rsidRPr="00CD5673">
        <w:tab/>
        <w:t>is subject to automatic or accelerated vesting under subregulation (1); and</w:t>
      </w:r>
    </w:p>
    <w:p w14:paraId="595DD793" w14:textId="77777777" w:rsidR="00D46430" w:rsidRPr="00CD5673" w:rsidRDefault="00D46430" w:rsidP="00D46430">
      <w:pPr>
        <w:pStyle w:val="paragraphsub"/>
      </w:pPr>
      <w:r w:rsidRPr="00CD5673">
        <w:tab/>
        <w:t>(iii)</w:t>
      </w:r>
      <w:r w:rsidRPr="00CD5673">
        <w:tab/>
        <w:t>exceeds the payment limit set by section 200G of the</w:t>
      </w:r>
      <w:r w:rsidRPr="00CD5673">
        <w:rPr>
          <w:szCs w:val="22"/>
        </w:rPr>
        <w:t xml:space="preserve"> Act</w:t>
      </w:r>
      <w:r w:rsidRPr="00CD5673">
        <w:t>; and</w:t>
      </w:r>
    </w:p>
    <w:p w14:paraId="00240A8F" w14:textId="77777777" w:rsidR="00D46430" w:rsidRPr="00CD5673" w:rsidRDefault="00D46430" w:rsidP="00D46430">
      <w:pPr>
        <w:pStyle w:val="paragraph"/>
      </w:pPr>
      <w:r w:rsidRPr="00CD5673">
        <w:tab/>
        <w:t>(b)</w:t>
      </w:r>
      <w:r w:rsidRPr="00CD5673">
        <w:tab/>
        <w:t>if it is not a benefit attributable to the release of a deferred bonus from a restriction due to death or incapacity.</w:t>
      </w:r>
    </w:p>
    <w:p w14:paraId="01B5AF80" w14:textId="77777777" w:rsidR="00D46430" w:rsidRPr="00CD5673" w:rsidRDefault="00D46430" w:rsidP="00D46430">
      <w:pPr>
        <w:pStyle w:val="ActHead2"/>
        <w:pageBreakBefore/>
      </w:pPr>
      <w:bookmarkStart w:id="73" w:name="_Toc158711685"/>
      <w:r w:rsidRPr="00C614F1">
        <w:rPr>
          <w:rStyle w:val="CharPartNo"/>
        </w:rPr>
        <w:lastRenderedPageBreak/>
        <w:t>Part 2D.6</w:t>
      </w:r>
      <w:r w:rsidRPr="00CD5673">
        <w:t>—</w:t>
      </w:r>
      <w:r w:rsidRPr="00C614F1">
        <w:rPr>
          <w:rStyle w:val="CharPartText"/>
        </w:rPr>
        <w:t>Disqualification from managing corporations</w:t>
      </w:r>
      <w:bookmarkEnd w:id="73"/>
    </w:p>
    <w:p w14:paraId="321A60AC" w14:textId="77777777" w:rsidR="00D46430" w:rsidRPr="00CD5673" w:rsidRDefault="00D46430" w:rsidP="00D46430">
      <w:pPr>
        <w:pStyle w:val="ActHead3"/>
      </w:pPr>
      <w:bookmarkStart w:id="74" w:name="_Toc158711686"/>
      <w:r w:rsidRPr="00C614F1">
        <w:rPr>
          <w:rStyle w:val="CharDivNo"/>
        </w:rPr>
        <w:t>Division 2D.6.1</w:t>
      </w:r>
      <w:r w:rsidRPr="00CD5673">
        <w:t>—</w:t>
      </w:r>
      <w:r w:rsidRPr="00C614F1">
        <w:rPr>
          <w:rStyle w:val="CharDivText"/>
        </w:rPr>
        <w:t>Automatic disqualification (Act s 206B)</w:t>
      </w:r>
      <w:bookmarkEnd w:id="74"/>
    </w:p>
    <w:p w14:paraId="38FB7DEA" w14:textId="77777777" w:rsidR="00D46430" w:rsidRPr="00CD5673" w:rsidRDefault="00D46430" w:rsidP="00D46430">
      <w:pPr>
        <w:pStyle w:val="ActHead5"/>
      </w:pPr>
      <w:bookmarkStart w:id="75" w:name="_Toc158711687"/>
      <w:r w:rsidRPr="00C614F1">
        <w:rPr>
          <w:rStyle w:val="CharSectno"/>
        </w:rPr>
        <w:t>2D.6.01</w:t>
      </w:r>
      <w:r w:rsidRPr="00CD5673">
        <w:t xml:space="preserve">  Prescribed foreign jurisdictions (Act s 206B(7))</w:t>
      </w:r>
      <w:bookmarkEnd w:id="75"/>
    </w:p>
    <w:p w14:paraId="231A52FD" w14:textId="77777777" w:rsidR="00D46430" w:rsidRPr="00CD5673" w:rsidRDefault="00D46430" w:rsidP="00D46430">
      <w:pPr>
        <w:pStyle w:val="subsection"/>
      </w:pPr>
      <w:r w:rsidRPr="00CD5673">
        <w:tab/>
      </w:r>
      <w:r w:rsidRPr="00CD5673">
        <w:tab/>
        <w:t>For section 206B of the Act, a foreign country, or part of a foreign country, mentioned in the following table is prescribed.</w:t>
      </w:r>
    </w:p>
    <w:p w14:paraId="43EE6EF4"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1E0" w:firstRow="1" w:lastRow="1" w:firstColumn="1" w:lastColumn="1" w:noHBand="0" w:noVBand="0"/>
      </w:tblPr>
      <w:tblGrid>
        <w:gridCol w:w="1280"/>
        <w:gridCol w:w="9493"/>
      </w:tblGrid>
      <w:tr w:rsidR="00D46430" w:rsidRPr="00CD5673" w14:paraId="124F3D04" w14:textId="77777777" w:rsidTr="00D46430">
        <w:trPr>
          <w:tblHeader/>
        </w:trPr>
        <w:tc>
          <w:tcPr>
            <w:tcW w:w="594" w:type="pct"/>
            <w:tcBorders>
              <w:top w:val="single" w:sz="12" w:space="0" w:color="auto"/>
              <w:bottom w:val="single" w:sz="12" w:space="0" w:color="auto"/>
            </w:tcBorders>
            <w:shd w:val="clear" w:color="auto" w:fill="auto"/>
          </w:tcPr>
          <w:p w14:paraId="2D236594" w14:textId="77777777" w:rsidR="00D46430" w:rsidRPr="00CD5673" w:rsidRDefault="00D46430" w:rsidP="00D46430">
            <w:pPr>
              <w:pStyle w:val="TableHeading"/>
            </w:pPr>
            <w:r w:rsidRPr="00CD5673">
              <w:t>Item</w:t>
            </w:r>
          </w:p>
        </w:tc>
        <w:tc>
          <w:tcPr>
            <w:tcW w:w="4406" w:type="pct"/>
            <w:tcBorders>
              <w:top w:val="single" w:sz="12" w:space="0" w:color="auto"/>
              <w:bottom w:val="single" w:sz="12" w:space="0" w:color="auto"/>
            </w:tcBorders>
            <w:shd w:val="clear" w:color="auto" w:fill="auto"/>
          </w:tcPr>
          <w:p w14:paraId="41FC9790" w14:textId="77777777" w:rsidR="00D46430" w:rsidRPr="00CD5673" w:rsidRDefault="00D46430" w:rsidP="00D46430">
            <w:pPr>
              <w:pStyle w:val="TableHeading"/>
            </w:pPr>
            <w:r w:rsidRPr="00CD5673">
              <w:t>Country or part of country</w:t>
            </w:r>
          </w:p>
        </w:tc>
      </w:tr>
      <w:tr w:rsidR="00D46430" w:rsidRPr="00CD5673" w14:paraId="2BBA6084" w14:textId="77777777" w:rsidTr="00D46430">
        <w:tc>
          <w:tcPr>
            <w:tcW w:w="594" w:type="pct"/>
            <w:tcBorders>
              <w:top w:val="single" w:sz="12" w:space="0" w:color="auto"/>
              <w:bottom w:val="single" w:sz="12" w:space="0" w:color="auto"/>
            </w:tcBorders>
            <w:shd w:val="clear" w:color="auto" w:fill="auto"/>
          </w:tcPr>
          <w:p w14:paraId="04E483CB" w14:textId="77777777" w:rsidR="00D46430" w:rsidRPr="00CD5673" w:rsidRDefault="00D46430" w:rsidP="00D46430">
            <w:pPr>
              <w:pStyle w:val="Tabletext"/>
            </w:pPr>
            <w:r w:rsidRPr="00CD5673">
              <w:t>1</w:t>
            </w:r>
          </w:p>
        </w:tc>
        <w:tc>
          <w:tcPr>
            <w:tcW w:w="4406" w:type="pct"/>
            <w:tcBorders>
              <w:top w:val="single" w:sz="12" w:space="0" w:color="auto"/>
              <w:bottom w:val="single" w:sz="12" w:space="0" w:color="auto"/>
            </w:tcBorders>
            <w:shd w:val="clear" w:color="auto" w:fill="auto"/>
          </w:tcPr>
          <w:p w14:paraId="4DA0C535" w14:textId="77777777" w:rsidR="00D46430" w:rsidRPr="00CD5673" w:rsidRDefault="00D46430" w:rsidP="00D46430">
            <w:pPr>
              <w:pStyle w:val="Tabletext"/>
            </w:pPr>
            <w:r w:rsidRPr="00CD5673">
              <w:t>New Zealand</w:t>
            </w:r>
          </w:p>
        </w:tc>
      </w:tr>
    </w:tbl>
    <w:p w14:paraId="28156EC3" w14:textId="77777777" w:rsidR="00D46430" w:rsidRPr="00CD5673" w:rsidRDefault="00D46430" w:rsidP="00D46430">
      <w:pPr>
        <w:pStyle w:val="ActHead2"/>
        <w:pageBreakBefore/>
      </w:pPr>
      <w:bookmarkStart w:id="76" w:name="_Toc158711688"/>
      <w:r w:rsidRPr="00C614F1">
        <w:rPr>
          <w:rStyle w:val="CharPartNo"/>
        </w:rPr>
        <w:lastRenderedPageBreak/>
        <w:t>Part 2D.7</w:t>
      </w:r>
      <w:r w:rsidRPr="00CD5673">
        <w:t>—</w:t>
      </w:r>
      <w:r w:rsidRPr="00C614F1">
        <w:rPr>
          <w:rStyle w:val="CharPartText"/>
        </w:rPr>
        <w:t>Ban on hedging remuneration of key management personnel</w:t>
      </w:r>
      <w:bookmarkEnd w:id="76"/>
    </w:p>
    <w:p w14:paraId="5946FB44"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13224409" w14:textId="77777777" w:rsidR="00D46430" w:rsidRPr="00CD5673" w:rsidRDefault="00D46430" w:rsidP="00D46430">
      <w:pPr>
        <w:pStyle w:val="ActHead5"/>
      </w:pPr>
      <w:bookmarkStart w:id="77" w:name="_Toc158711689"/>
      <w:r w:rsidRPr="00C614F1">
        <w:rPr>
          <w:rStyle w:val="CharSectno"/>
        </w:rPr>
        <w:t>2D.7.01</w:t>
      </w:r>
      <w:r w:rsidRPr="00CD5673">
        <w:t xml:space="preserve">  Hedging arrangements (Act s 206J(3))</w:t>
      </w:r>
      <w:bookmarkEnd w:id="77"/>
    </w:p>
    <w:p w14:paraId="2498C910" w14:textId="77777777" w:rsidR="00D46430" w:rsidRPr="00CD5673" w:rsidRDefault="00D46430" w:rsidP="00D46430">
      <w:pPr>
        <w:pStyle w:val="subsection"/>
      </w:pPr>
      <w:r w:rsidRPr="00CD5673">
        <w:tab/>
        <w:t>(1)</w:t>
      </w:r>
      <w:r w:rsidRPr="00CD5673">
        <w:tab/>
        <w:t>For subsection 206J(3) of the Act, an arrangement in the following table is to be treated as an arrangement that has the effect of limiting the exposure of a member mentioned in subsection 206J(1) of the Act to the risk mentioned in that subsection.</w:t>
      </w:r>
    </w:p>
    <w:p w14:paraId="146642B5"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70"/>
        <w:gridCol w:w="9803"/>
      </w:tblGrid>
      <w:tr w:rsidR="00D46430" w:rsidRPr="00CD5673" w14:paraId="35B3E597" w14:textId="77777777" w:rsidTr="00D46430">
        <w:tc>
          <w:tcPr>
            <w:tcW w:w="450" w:type="pct"/>
            <w:tcBorders>
              <w:top w:val="single" w:sz="12" w:space="0" w:color="auto"/>
              <w:bottom w:val="single" w:sz="12" w:space="0" w:color="auto"/>
            </w:tcBorders>
            <w:shd w:val="clear" w:color="auto" w:fill="auto"/>
          </w:tcPr>
          <w:p w14:paraId="3219CFB4" w14:textId="77777777" w:rsidR="00D46430" w:rsidRPr="00CD5673" w:rsidRDefault="00D46430" w:rsidP="00D46430">
            <w:pPr>
              <w:pStyle w:val="TableHeading"/>
            </w:pPr>
            <w:r w:rsidRPr="00CD5673">
              <w:t>Item</w:t>
            </w:r>
          </w:p>
        </w:tc>
        <w:tc>
          <w:tcPr>
            <w:tcW w:w="4550" w:type="pct"/>
            <w:tcBorders>
              <w:top w:val="single" w:sz="12" w:space="0" w:color="auto"/>
              <w:bottom w:val="single" w:sz="12" w:space="0" w:color="auto"/>
            </w:tcBorders>
            <w:shd w:val="clear" w:color="auto" w:fill="auto"/>
          </w:tcPr>
          <w:p w14:paraId="2341FDD7" w14:textId="77777777" w:rsidR="00D46430" w:rsidRPr="00CD5673" w:rsidRDefault="00D46430" w:rsidP="00D46430">
            <w:pPr>
              <w:pStyle w:val="TableHeading"/>
            </w:pPr>
            <w:r w:rsidRPr="00CD5673">
              <w:t>Arrangement</w:t>
            </w:r>
          </w:p>
        </w:tc>
      </w:tr>
      <w:tr w:rsidR="00D46430" w:rsidRPr="00CD5673" w14:paraId="003EE88B" w14:textId="77777777" w:rsidTr="00D46430">
        <w:tc>
          <w:tcPr>
            <w:tcW w:w="450" w:type="pct"/>
            <w:tcBorders>
              <w:top w:val="single" w:sz="12" w:space="0" w:color="auto"/>
            </w:tcBorders>
            <w:shd w:val="clear" w:color="auto" w:fill="auto"/>
          </w:tcPr>
          <w:p w14:paraId="517BAC71" w14:textId="77777777" w:rsidR="00D46430" w:rsidRPr="00CD5673" w:rsidRDefault="00D46430" w:rsidP="00D46430">
            <w:pPr>
              <w:pStyle w:val="Tabletext"/>
            </w:pPr>
            <w:r w:rsidRPr="00CD5673">
              <w:t>1</w:t>
            </w:r>
          </w:p>
        </w:tc>
        <w:tc>
          <w:tcPr>
            <w:tcW w:w="4550" w:type="pct"/>
            <w:tcBorders>
              <w:top w:val="single" w:sz="12" w:space="0" w:color="auto"/>
            </w:tcBorders>
            <w:shd w:val="clear" w:color="auto" w:fill="auto"/>
          </w:tcPr>
          <w:p w14:paraId="10935C0C" w14:textId="77777777" w:rsidR="00D46430" w:rsidRPr="00CD5673" w:rsidRDefault="00D46430" w:rsidP="00D46430">
            <w:pPr>
              <w:pStyle w:val="Tabletext"/>
            </w:pPr>
            <w:r w:rsidRPr="00CD5673">
              <w:t>A put option on incentive remuneration</w:t>
            </w:r>
          </w:p>
        </w:tc>
      </w:tr>
      <w:tr w:rsidR="00D46430" w:rsidRPr="00CD5673" w14:paraId="57EB4C3C" w14:textId="77777777" w:rsidTr="00D46430">
        <w:tc>
          <w:tcPr>
            <w:tcW w:w="450" w:type="pct"/>
            <w:tcBorders>
              <w:bottom w:val="single" w:sz="4" w:space="0" w:color="auto"/>
            </w:tcBorders>
            <w:shd w:val="clear" w:color="auto" w:fill="auto"/>
          </w:tcPr>
          <w:p w14:paraId="086BC81C" w14:textId="77777777" w:rsidR="00D46430" w:rsidRPr="00CD5673" w:rsidRDefault="00D46430" w:rsidP="00D46430">
            <w:pPr>
              <w:pStyle w:val="Tabletext"/>
            </w:pPr>
            <w:r w:rsidRPr="00CD5673">
              <w:t>2</w:t>
            </w:r>
          </w:p>
        </w:tc>
        <w:tc>
          <w:tcPr>
            <w:tcW w:w="4550" w:type="pct"/>
            <w:tcBorders>
              <w:bottom w:val="single" w:sz="4" w:space="0" w:color="auto"/>
            </w:tcBorders>
            <w:shd w:val="clear" w:color="auto" w:fill="auto"/>
          </w:tcPr>
          <w:p w14:paraId="29E882B6" w14:textId="77777777" w:rsidR="00D46430" w:rsidRPr="00CD5673" w:rsidRDefault="00D46430" w:rsidP="00D46430">
            <w:pPr>
              <w:pStyle w:val="Tabletext"/>
            </w:pPr>
            <w:r w:rsidRPr="00CD5673">
              <w:t>A short position on shares that forms part of incentive remuneration</w:t>
            </w:r>
          </w:p>
        </w:tc>
      </w:tr>
      <w:tr w:rsidR="00D46430" w:rsidRPr="00CD5673" w14:paraId="6ECCE38D" w14:textId="77777777" w:rsidTr="00D46430">
        <w:tc>
          <w:tcPr>
            <w:tcW w:w="450" w:type="pct"/>
            <w:tcBorders>
              <w:bottom w:val="single" w:sz="12" w:space="0" w:color="auto"/>
            </w:tcBorders>
            <w:shd w:val="clear" w:color="auto" w:fill="auto"/>
          </w:tcPr>
          <w:p w14:paraId="78D8795D" w14:textId="77777777" w:rsidR="00D46430" w:rsidRPr="00CD5673" w:rsidRDefault="00D46430" w:rsidP="00D46430">
            <w:pPr>
              <w:pStyle w:val="Tabletext"/>
            </w:pPr>
            <w:r w:rsidRPr="00CD5673">
              <w:t>3</w:t>
            </w:r>
          </w:p>
        </w:tc>
        <w:tc>
          <w:tcPr>
            <w:tcW w:w="4550" w:type="pct"/>
            <w:tcBorders>
              <w:bottom w:val="single" w:sz="12" w:space="0" w:color="auto"/>
            </w:tcBorders>
            <w:shd w:val="clear" w:color="auto" w:fill="auto"/>
          </w:tcPr>
          <w:p w14:paraId="23B4EBF5" w14:textId="77777777" w:rsidR="00D46430" w:rsidRPr="00CD5673" w:rsidRDefault="00D46430" w:rsidP="00D46430">
            <w:pPr>
              <w:pStyle w:val="Tabletext"/>
            </w:pPr>
            <w:r w:rsidRPr="00CD5673">
              <w:t>An income protection insurance contract in which the insurable risk event affects the financial value of remuneration or equity or an equity</w:t>
            </w:r>
            <w:r w:rsidR="00C614F1">
              <w:noBreakHyphen/>
            </w:r>
            <w:r w:rsidRPr="00CD5673">
              <w:t>related instrument for the key management personnel</w:t>
            </w:r>
          </w:p>
        </w:tc>
      </w:tr>
    </w:tbl>
    <w:p w14:paraId="4542985A" w14:textId="77777777" w:rsidR="00D46430" w:rsidRPr="00CD5673" w:rsidRDefault="00D46430" w:rsidP="00D46430">
      <w:pPr>
        <w:pStyle w:val="subsection"/>
      </w:pPr>
      <w:r w:rsidRPr="00CD5673">
        <w:tab/>
        <w:t>(2)</w:t>
      </w:r>
      <w:r w:rsidRPr="00CD5673">
        <w:tab/>
        <w:t>For subsection 206J(3) of the Act, an arrangement in the following table is not to be treated as an arrangement that has the effect of limiting the exposure of a member mentioned in subsection 206J(1) of the Act to the risk mentioned in that subsection.</w:t>
      </w:r>
    </w:p>
    <w:p w14:paraId="26DB7F8D"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50"/>
        <w:gridCol w:w="9823"/>
      </w:tblGrid>
      <w:tr w:rsidR="00D46430" w:rsidRPr="00CD5673" w14:paraId="731E63B8" w14:textId="77777777" w:rsidTr="00D46430">
        <w:tc>
          <w:tcPr>
            <w:tcW w:w="441" w:type="pct"/>
            <w:tcBorders>
              <w:top w:val="single" w:sz="12" w:space="0" w:color="auto"/>
              <w:bottom w:val="single" w:sz="12" w:space="0" w:color="auto"/>
            </w:tcBorders>
            <w:shd w:val="clear" w:color="auto" w:fill="auto"/>
          </w:tcPr>
          <w:p w14:paraId="4DB9094E" w14:textId="77777777" w:rsidR="00D46430" w:rsidRPr="00CD5673" w:rsidRDefault="00D46430" w:rsidP="00D46430">
            <w:pPr>
              <w:pStyle w:val="TableHeading"/>
            </w:pPr>
            <w:r w:rsidRPr="00CD5673">
              <w:t>Item</w:t>
            </w:r>
          </w:p>
        </w:tc>
        <w:tc>
          <w:tcPr>
            <w:tcW w:w="4559" w:type="pct"/>
            <w:tcBorders>
              <w:top w:val="single" w:sz="12" w:space="0" w:color="auto"/>
              <w:bottom w:val="single" w:sz="12" w:space="0" w:color="auto"/>
            </w:tcBorders>
            <w:shd w:val="clear" w:color="auto" w:fill="auto"/>
          </w:tcPr>
          <w:p w14:paraId="4EA6E14F" w14:textId="77777777" w:rsidR="00D46430" w:rsidRPr="00CD5673" w:rsidRDefault="00D46430" w:rsidP="00D46430">
            <w:pPr>
              <w:pStyle w:val="TableHeading"/>
            </w:pPr>
            <w:r w:rsidRPr="00CD5673">
              <w:t>Arrangement</w:t>
            </w:r>
          </w:p>
        </w:tc>
      </w:tr>
      <w:tr w:rsidR="00D46430" w:rsidRPr="00CD5673" w14:paraId="6C0D04AD" w14:textId="77777777" w:rsidTr="00D46430">
        <w:tc>
          <w:tcPr>
            <w:tcW w:w="441" w:type="pct"/>
            <w:tcBorders>
              <w:top w:val="single" w:sz="12" w:space="0" w:color="auto"/>
              <w:bottom w:val="single" w:sz="4" w:space="0" w:color="auto"/>
            </w:tcBorders>
            <w:shd w:val="clear" w:color="auto" w:fill="auto"/>
          </w:tcPr>
          <w:p w14:paraId="6FE489BE" w14:textId="77777777" w:rsidR="00D46430" w:rsidRPr="00CD5673" w:rsidRDefault="00D46430" w:rsidP="00D46430">
            <w:pPr>
              <w:pStyle w:val="Tabletext"/>
            </w:pPr>
            <w:r w:rsidRPr="00CD5673">
              <w:t>1</w:t>
            </w:r>
          </w:p>
        </w:tc>
        <w:tc>
          <w:tcPr>
            <w:tcW w:w="4559" w:type="pct"/>
            <w:tcBorders>
              <w:top w:val="single" w:sz="12" w:space="0" w:color="auto"/>
              <w:bottom w:val="single" w:sz="4" w:space="0" w:color="auto"/>
            </w:tcBorders>
            <w:shd w:val="clear" w:color="auto" w:fill="auto"/>
          </w:tcPr>
          <w:p w14:paraId="2D8540A0" w14:textId="77777777" w:rsidR="00D46430" w:rsidRPr="00CD5673" w:rsidRDefault="00D46430" w:rsidP="00D46430">
            <w:pPr>
              <w:pStyle w:val="Tabletext"/>
            </w:pPr>
            <w:r w:rsidRPr="00CD5673">
              <w:t>An income protection insurance contract in which the insurable risk event is the death, incapacity or illness of any of the key management personnel</w:t>
            </w:r>
          </w:p>
        </w:tc>
      </w:tr>
      <w:tr w:rsidR="00D46430" w:rsidRPr="00CD5673" w14:paraId="11D26DCE" w14:textId="77777777" w:rsidTr="00D46430">
        <w:tc>
          <w:tcPr>
            <w:tcW w:w="441" w:type="pct"/>
            <w:tcBorders>
              <w:bottom w:val="single" w:sz="12" w:space="0" w:color="auto"/>
            </w:tcBorders>
            <w:shd w:val="clear" w:color="auto" w:fill="auto"/>
          </w:tcPr>
          <w:p w14:paraId="4A7956C9" w14:textId="77777777" w:rsidR="00D46430" w:rsidRPr="00CD5673" w:rsidRDefault="00D46430" w:rsidP="00D46430">
            <w:pPr>
              <w:pStyle w:val="Tabletext"/>
            </w:pPr>
            <w:r w:rsidRPr="00CD5673">
              <w:t>2</w:t>
            </w:r>
          </w:p>
        </w:tc>
        <w:tc>
          <w:tcPr>
            <w:tcW w:w="4559" w:type="pct"/>
            <w:tcBorders>
              <w:bottom w:val="single" w:sz="12" w:space="0" w:color="auto"/>
            </w:tcBorders>
            <w:shd w:val="clear" w:color="auto" w:fill="auto"/>
          </w:tcPr>
          <w:p w14:paraId="2C033343" w14:textId="77777777" w:rsidR="00D46430" w:rsidRPr="00CD5673" w:rsidRDefault="00D46430" w:rsidP="00D46430">
            <w:pPr>
              <w:pStyle w:val="Tabletext"/>
            </w:pPr>
            <w:r w:rsidRPr="00CD5673">
              <w:t>A foreign currency risk arrangement</w:t>
            </w:r>
          </w:p>
        </w:tc>
      </w:tr>
    </w:tbl>
    <w:p w14:paraId="50CB30DB" w14:textId="77777777" w:rsidR="00D46430" w:rsidRPr="00CD5673" w:rsidRDefault="00D46430" w:rsidP="00D46430">
      <w:pPr>
        <w:pStyle w:val="subsection"/>
      </w:pPr>
      <w:r w:rsidRPr="00CD5673">
        <w:tab/>
        <w:t>(3)</w:t>
      </w:r>
      <w:r w:rsidRPr="00CD5673">
        <w:tab/>
        <w:t xml:space="preserve">In this regulation, a </w:t>
      </w:r>
      <w:r w:rsidRPr="00CD5673">
        <w:rPr>
          <w:b/>
          <w:i/>
        </w:rPr>
        <w:t>short position</w:t>
      </w:r>
      <w:r w:rsidRPr="00CD5673">
        <w:t xml:space="preserve"> is a position in relation to shares in a listed entity where the quantity of the shares that a person has is less than the quantity of the shares that the person has an obligation to deliver.</w:t>
      </w:r>
    </w:p>
    <w:p w14:paraId="1E1E242B" w14:textId="77777777" w:rsidR="00D46430" w:rsidRPr="00CD5673" w:rsidRDefault="00D46430" w:rsidP="00D46430">
      <w:pPr>
        <w:pStyle w:val="subsection"/>
      </w:pPr>
      <w:r w:rsidRPr="00CD5673">
        <w:tab/>
        <w:t>(4)</w:t>
      </w:r>
      <w:r w:rsidRPr="00CD5673">
        <w:tab/>
        <w:t>In subregulation (3), the person has the shares if:</w:t>
      </w:r>
    </w:p>
    <w:p w14:paraId="055E3A99" w14:textId="77777777" w:rsidR="00D46430" w:rsidRPr="00CD5673" w:rsidRDefault="00D46430" w:rsidP="00D46430">
      <w:pPr>
        <w:pStyle w:val="paragraph"/>
      </w:pPr>
      <w:r w:rsidRPr="00CD5673">
        <w:tab/>
        <w:t>(a)</w:t>
      </w:r>
      <w:r w:rsidRPr="00CD5673">
        <w:tab/>
        <w:t>the person is holding the shares on the person’s own behalf; or</w:t>
      </w:r>
    </w:p>
    <w:p w14:paraId="0AFAC32C" w14:textId="77777777" w:rsidR="00D46430" w:rsidRPr="00CD5673" w:rsidRDefault="00D46430" w:rsidP="00D46430">
      <w:pPr>
        <w:pStyle w:val="paragraph"/>
      </w:pPr>
      <w:r w:rsidRPr="00CD5673">
        <w:tab/>
        <w:t>(b)</w:t>
      </w:r>
      <w:r w:rsidRPr="00CD5673">
        <w:tab/>
        <w:t>another person is holding the shares on the person’s behalf; or</w:t>
      </w:r>
    </w:p>
    <w:p w14:paraId="511E1C51" w14:textId="77777777" w:rsidR="00D46430" w:rsidRPr="00CD5673" w:rsidRDefault="00D46430" w:rsidP="00D46430">
      <w:pPr>
        <w:pStyle w:val="paragraph"/>
      </w:pPr>
      <w:r w:rsidRPr="00CD5673">
        <w:tab/>
        <w:t>(c)</w:t>
      </w:r>
      <w:r w:rsidRPr="00CD5673">
        <w:tab/>
        <w:t>the person has entered into an agreement to buy the shares but has not received the shares; or</w:t>
      </w:r>
    </w:p>
    <w:p w14:paraId="0B312526" w14:textId="77777777" w:rsidR="00D46430" w:rsidRPr="00CD5673" w:rsidRDefault="00D46430" w:rsidP="00D46430">
      <w:pPr>
        <w:pStyle w:val="paragraph"/>
      </w:pPr>
      <w:r w:rsidRPr="00CD5673">
        <w:tab/>
        <w:t>(d)</w:t>
      </w:r>
      <w:r w:rsidRPr="00CD5673">
        <w:tab/>
        <w:t>the person has vested title in the shares in a borrower, or in an entity nominated by the borrower, under a securities lending arrangement.</w:t>
      </w:r>
    </w:p>
    <w:p w14:paraId="776ACE7C" w14:textId="77777777" w:rsidR="00D46430" w:rsidRPr="00CD5673" w:rsidRDefault="00D46430" w:rsidP="00D46430">
      <w:pPr>
        <w:pStyle w:val="subsection"/>
      </w:pPr>
      <w:r w:rsidRPr="00CD5673">
        <w:tab/>
        <w:t>(5)</w:t>
      </w:r>
      <w:r w:rsidRPr="00CD5673">
        <w:tab/>
        <w:t>In subregulation (3), the shares that the person has an obligation to deliver are the shares that the person:</w:t>
      </w:r>
    </w:p>
    <w:p w14:paraId="57806747" w14:textId="77777777" w:rsidR="00D46430" w:rsidRPr="00CD5673" w:rsidRDefault="00D46430" w:rsidP="00D46430">
      <w:pPr>
        <w:pStyle w:val="paragraph"/>
      </w:pPr>
      <w:r w:rsidRPr="00CD5673">
        <w:tab/>
        <w:t>(a)</w:t>
      </w:r>
      <w:r w:rsidRPr="00CD5673">
        <w:tab/>
        <w:t>has an obligation to deliver under a sale agreement where the shares have not been delivered; or</w:t>
      </w:r>
    </w:p>
    <w:p w14:paraId="7406EEEC" w14:textId="77777777" w:rsidR="00D46430" w:rsidRPr="00CD5673" w:rsidRDefault="00D46430" w:rsidP="00D46430">
      <w:pPr>
        <w:pStyle w:val="paragraph"/>
      </w:pPr>
      <w:r w:rsidRPr="00CD5673">
        <w:tab/>
        <w:t>(b)</w:t>
      </w:r>
      <w:r w:rsidRPr="00CD5673">
        <w:tab/>
        <w:t>has an obligation to vest title in a lender under a securities lending arrangement; or</w:t>
      </w:r>
    </w:p>
    <w:p w14:paraId="4908D5A9" w14:textId="77777777" w:rsidR="00D46430" w:rsidRPr="00CD5673" w:rsidRDefault="00D46430" w:rsidP="00D46430">
      <w:pPr>
        <w:pStyle w:val="paragraph"/>
      </w:pPr>
      <w:r w:rsidRPr="00CD5673">
        <w:tab/>
        <w:t>(c)</w:t>
      </w:r>
      <w:r w:rsidRPr="00CD5673">
        <w:tab/>
        <w:t>has any other non</w:t>
      </w:r>
      <w:r w:rsidR="00C614F1">
        <w:noBreakHyphen/>
      </w:r>
      <w:r w:rsidRPr="00CD5673">
        <w:t>contingent legal obligation to deliver.</w:t>
      </w:r>
    </w:p>
    <w:p w14:paraId="72F98D08" w14:textId="77777777" w:rsidR="00D46430" w:rsidRPr="00CD5673" w:rsidRDefault="00D46430" w:rsidP="00D46430">
      <w:pPr>
        <w:pStyle w:val="ActHead1"/>
        <w:pageBreakBefore/>
      </w:pPr>
      <w:bookmarkStart w:id="78" w:name="_Toc158711690"/>
      <w:r w:rsidRPr="00C614F1">
        <w:rPr>
          <w:rStyle w:val="CharChapNo"/>
        </w:rPr>
        <w:lastRenderedPageBreak/>
        <w:t>Chapter 2E</w:t>
      </w:r>
      <w:r w:rsidRPr="00CD5673">
        <w:t>—</w:t>
      </w:r>
      <w:r w:rsidRPr="00C614F1">
        <w:rPr>
          <w:rStyle w:val="CharChapText"/>
        </w:rPr>
        <w:t>Related party transactions</w:t>
      </w:r>
      <w:bookmarkEnd w:id="78"/>
    </w:p>
    <w:p w14:paraId="6AA46789" w14:textId="77777777" w:rsidR="00D46430" w:rsidRPr="00CD5673" w:rsidRDefault="00D46430" w:rsidP="00D46430">
      <w:pPr>
        <w:pStyle w:val="Header"/>
      </w:pPr>
      <w:r w:rsidRPr="00C614F1">
        <w:rPr>
          <w:rStyle w:val="CharPartNo"/>
        </w:rPr>
        <w:t xml:space="preserve"> </w:t>
      </w:r>
      <w:r w:rsidRPr="00C614F1">
        <w:rPr>
          <w:rStyle w:val="CharPartText"/>
        </w:rPr>
        <w:t xml:space="preserve"> </w:t>
      </w:r>
    </w:p>
    <w:p w14:paraId="4024E7E2"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62E09F44" w14:textId="77777777" w:rsidR="00D46430" w:rsidRPr="00CD5673" w:rsidRDefault="00D46430" w:rsidP="00D46430">
      <w:pPr>
        <w:pStyle w:val="ActHead5"/>
      </w:pPr>
      <w:bookmarkStart w:id="79" w:name="_Toc158711691"/>
      <w:r w:rsidRPr="00C614F1">
        <w:rPr>
          <w:rStyle w:val="CharSectno"/>
        </w:rPr>
        <w:t>2E.1.01</w:t>
      </w:r>
      <w:r w:rsidRPr="00CD5673">
        <w:t xml:space="preserve">  Small amounts given to related entity</w:t>
      </w:r>
      <w:bookmarkEnd w:id="79"/>
    </w:p>
    <w:p w14:paraId="5E4AEF8F" w14:textId="77777777" w:rsidR="00D46430" w:rsidRPr="00CD5673" w:rsidRDefault="00D46430" w:rsidP="00D46430">
      <w:pPr>
        <w:pStyle w:val="subsection"/>
      </w:pPr>
      <w:r w:rsidRPr="00CD5673">
        <w:tab/>
      </w:r>
      <w:r w:rsidRPr="00CD5673">
        <w:tab/>
        <w:t>For subsection 213(1) of the Act, $5 000 is prescribed.</w:t>
      </w:r>
    </w:p>
    <w:p w14:paraId="7BD52473" w14:textId="77777777" w:rsidR="00D46430" w:rsidRPr="00CD5673" w:rsidRDefault="00D46430" w:rsidP="00D46430">
      <w:pPr>
        <w:pStyle w:val="ActHead1"/>
        <w:pageBreakBefore/>
      </w:pPr>
      <w:bookmarkStart w:id="80" w:name="_Toc158711692"/>
      <w:r w:rsidRPr="00C614F1">
        <w:rPr>
          <w:rStyle w:val="CharChapNo"/>
        </w:rPr>
        <w:lastRenderedPageBreak/>
        <w:t>Chapter 2G</w:t>
      </w:r>
      <w:r w:rsidRPr="00CD5673">
        <w:t>—</w:t>
      </w:r>
      <w:r w:rsidRPr="00C614F1">
        <w:rPr>
          <w:rStyle w:val="CharChapText"/>
        </w:rPr>
        <w:t>Meetings</w:t>
      </w:r>
      <w:bookmarkEnd w:id="80"/>
    </w:p>
    <w:p w14:paraId="3AE4585F" w14:textId="77777777" w:rsidR="00D46430" w:rsidRPr="00CD5673" w:rsidRDefault="00D46430" w:rsidP="00D46430">
      <w:pPr>
        <w:pStyle w:val="ActHead2"/>
      </w:pPr>
      <w:bookmarkStart w:id="81" w:name="_Toc158711693"/>
      <w:r w:rsidRPr="00C614F1">
        <w:rPr>
          <w:rStyle w:val="CharPartNo"/>
        </w:rPr>
        <w:t>Part 2G.2</w:t>
      </w:r>
      <w:r w:rsidRPr="00CD5673">
        <w:t>—</w:t>
      </w:r>
      <w:r w:rsidRPr="00C614F1">
        <w:rPr>
          <w:rStyle w:val="CharPartText"/>
        </w:rPr>
        <w:t>Meetings of members of companies</w:t>
      </w:r>
      <w:bookmarkEnd w:id="81"/>
    </w:p>
    <w:p w14:paraId="651F1372" w14:textId="77777777" w:rsidR="00D46430" w:rsidRPr="00CD5673" w:rsidRDefault="00D46430" w:rsidP="00D46430">
      <w:pPr>
        <w:pStyle w:val="ActHead3"/>
      </w:pPr>
      <w:bookmarkStart w:id="82" w:name="_Toc158711694"/>
      <w:r w:rsidRPr="00C614F1">
        <w:rPr>
          <w:rStyle w:val="CharDivNo"/>
        </w:rPr>
        <w:t>Division 6</w:t>
      </w:r>
      <w:r w:rsidRPr="00CD5673">
        <w:t>—</w:t>
      </w:r>
      <w:r w:rsidRPr="00C614F1">
        <w:rPr>
          <w:rStyle w:val="CharDivText"/>
        </w:rPr>
        <w:t>Proxies and body corporate representatives</w:t>
      </w:r>
      <w:bookmarkEnd w:id="82"/>
    </w:p>
    <w:p w14:paraId="7439DB92" w14:textId="77777777" w:rsidR="00D46430" w:rsidRPr="00CD5673" w:rsidRDefault="00D46430" w:rsidP="00D46430">
      <w:pPr>
        <w:pStyle w:val="ActHead5"/>
      </w:pPr>
      <w:bookmarkStart w:id="83" w:name="_Toc158711695"/>
      <w:r w:rsidRPr="00C614F1">
        <w:rPr>
          <w:rStyle w:val="CharSectno"/>
        </w:rPr>
        <w:t>2G.2.01</w:t>
      </w:r>
      <w:r w:rsidRPr="00CD5673">
        <w:t xml:space="preserve">  Authentication of appointment of proxy (Act s 250A)</w:t>
      </w:r>
      <w:bookmarkEnd w:id="83"/>
    </w:p>
    <w:p w14:paraId="6AA9641A" w14:textId="77777777" w:rsidR="00D46430" w:rsidRPr="00CD5673" w:rsidRDefault="00D46430" w:rsidP="00D46430">
      <w:pPr>
        <w:pStyle w:val="subsection"/>
      </w:pPr>
      <w:r w:rsidRPr="00CD5673">
        <w:tab/>
        <w:t>(1)</w:t>
      </w:r>
      <w:r w:rsidRPr="00CD5673">
        <w:tab/>
        <w:t>For subsection 250A(1) of the Act, an electronic authentication of an appointment of a proxy must include:</w:t>
      </w:r>
    </w:p>
    <w:p w14:paraId="7F722138" w14:textId="77777777" w:rsidR="00D46430" w:rsidRPr="00CD5673" w:rsidRDefault="00D46430" w:rsidP="00D46430">
      <w:pPr>
        <w:pStyle w:val="paragraph"/>
      </w:pPr>
      <w:r w:rsidRPr="00CD5673">
        <w:tab/>
        <w:t>(a)</w:t>
      </w:r>
      <w:r w:rsidRPr="00CD5673">
        <w:tab/>
        <w:t>a method of identifying the member; and</w:t>
      </w:r>
    </w:p>
    <w:p w14:paraId="58715123" w14:textId="77777777" w:rsidR="00D46430" w:rsidRPr="00CD5673" w:rsidRDefault="00D46430" w:rsidP="00D46430">
      <w:pPr>
        <w:pStyle w:val="paragraph"/>
      </w:pPr>
      <w:r w:rsidRPr="00CD5673">
        <w:tab/>
        <w:t>(b)</w:t>
      </w:r>
      <w:r w:rsidRPr="00CD5673">
        <w:tab/>
        <w:t>an indication of the member’s approval of the information communicated.</w:t>
      </w:r>
    </w:p>
    <w:p w14:paraId="0E4285DB" w14:textId="77777777" w:rsidR="00D46430" w:rsidRPr="00CD5673" w:rsidRDefault="00D46430" w:rsidP="00D46430">
      <w:pPr>
        <w:pStyle w:val="subsection"/>
      </w:pPr>
      <w:r w:rsidRPr="00CD5673">
        <w:tab/>
        <w:t>(2)</w:t>
      </w:r>
      <w:r w:rsidRPr="00CD5673">
        <w:tab/>
        <w:t>If a member appoints a proxy by e</w:t>
      </w:r>
      <w:r w:rsidR="00C614F1">
        <w:noBreakHyphen/>
      </w:r>
      <w:r w:rsidRPr="00CD5673">
        <w:t>mail or Internet</w:t>
      </w:r>
      <w:r w:rsidR="00C614F1">
        <w:noBreakHyphen/>
      </w:r>
      <w:r w:rsidRPr="00CD5673">
        <w:t>based voting:</w:t>
      </w:r>
    </w:p>
    <w:p w14:paraId="2915E9BE" w14:textId="77777777" w:rsidR="00D46430" w:rsidRPr="00CD5673" w:rsidRDefault="00D46430" w:rsidP="00D46430">
      <w:pPr>
        <w:pStyle w:val="paragraph"/>
      </w:pPr>
      <w:r w:rsidRPr="00CD5673">
        <w:tab/>
        <w:t>(a)</w:t>
      </w:r>
      <w:r w:rsidRPr="00CD5673">
        <w:tab/>
        <w:t>the member must be identified by personal details (for example, the member’s name, address and date of birth); and</w:t>
      </w:r>
    </w:p>
    <w:p w14:paraId="48B4E6EE" w14:textId="77777777" w:rsidR="00D46430" w:rsidRPr="00CD5673" w:rsidRDefault="00D46430" w:rsidP="00D46430">
      <w:pPr>
        <w:pStyle w:val="paragraph"/>
      </w:pPr>
      <w:r w:rsidRPr="00CD5673">
        <w:tab/>
        <w:t>(b)</w:t>
      </w:r>
      <w:r w:rsidRPr="00CD5673">
        <w:tab/>
        <w:t>the member’s approval of the information communicated must be communicated by a form of security protection (for example, the entering of a confidential identification number such as a shareholder registration number or holder identification number).</w:t>
      </w:r>
    </w:p>
    <w:p w14:paraId="5F0C082F" w14:textId="77777777" w:rsidR="00D46430" w:rsidRPr="00CD5673" w:rsidRDefault="00D46430" w:rsidP="00D46430">
      <w:pPr>
        <w:pStyle w:val="ActHead1"/>
        <w:pageBreakBefore/>
      </w:pPr>
      <w:bookmarkStart w:id="84" w:name="_Toc158711696"/>
      <w:r w:rsidRPr="00C614F1">
        <w:rPr>
          <w:rStyle w:val="CharChapNo"/>
        </w:rPr>
        <w:lastRenderedPageBreak/>
        <w:t>Chapter 2K</w:t>
      </w:r>
      <w:r w:rsidRPr="00CD5673">
        <w:t>—</w:t>
      </w:r>
      <w:r w:rsidRPr="00C614F1">
        <w:rPr>
          <w:rStyle w:val="CharChapText"/>
        </w:rPr>
        <w:t>Charges</w:t>
      </w:r>
      <w:bookmarkEnd w:id="84"/>
    </w:p>
    <w:p w14:paraId="6BA2D71A" w14:textId="77777777" w:rsidR="00D46430" w:rsidRPr="00CD5673" w:rsidRDefault="00D46430" w:rsidP="00D46430">
      <w:pPr>
        <w:pStyle w:val="ActHead2"/>
      </w:pPr>
      <w:bookmarkStart w:id="85" w:name="_Toc158711697"/>
      <w:r w:rsidRPr="00C614F1">
        <w:rPr>
          <w:rStyle w:val="CharPartNo"/>
        </w:rPr>
        <w:t>Part 2K.2</w:t>
      </w:r>
      <w:r w:rsidRPr="00CD5673">
        <w:t>—</w:t>
      </w:r>
      <w:r w:rsidRPr="00C614F1">
        <w:rPr>
          <w:rStyle w:val="CharPartText"/>
        </w:rPr>
        <w:t>Registration</w:t>
      </w:r>
      <w:bookmarkEnd w:id="85"/>
    </w:p>
    <w:p w14:paraId="6122ED17"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13EE73E2" w14:textId="77777777" w:rsidR="00D46430" w:rsidRPr="00CD5673" w:rsidRDefault="00D46430" w:rsidP="00D46430">
      <w:pPr>
        <w:pStyle w:val="ActHead5"/>
      </w:pPr>
      <w:bookmarkStart w:id="86" w:name="_Toc158711698"/>
      <w:r w:rsidRPr="00C614F1">
        <w:rPr>
          <w:rStyle w:val="CharSectno"/>
        </w:rPr>
        <w:t>2K.2.01</w:t>
      </w:r>
      <w:r w:rsidRPr="00CD5673">
        <w:t xml:space="preserve">  Lien or charge on crop or wool, or stock mortgage, that is a registrable security: prescribed law—subsection 262(5) of the Act</w:t>
      </w:r>
      <w:bookmarkEnd w:id="86"/>
    </w:p>
    <w:p w14:paraId="3DE0677D" w14:textId="77777777" w:rsidR="00D46430" w:rsidRPr="00CD5673" w:rsidRDefault="00D46430" w:rsidP="00D46430">
      <w:pPr>
        <w:pStyle w:val="subsection"/>
      </w:pPr>
      <w:r w:rsidRPr="00CD5673">
        <w:tab/>
      </w:r>
      <w:r w:rsidRPr="00CD5673">
        <w:tab/>
        <w:t>For subsection 262(5) of the Act, each of the following laws is a prescribed law of a State or Territory:</w:t>
      </w:r>
    </w:p>
    <w:p w14:paraId="64EEFDB3" w14:textId="77777777" w:rsidR="00D46430" w:rsidRPr="00CD5673" w:rsidRDefault="00D46430" w:rsidP="00D46430">
      <w:pPr>
        <w:pStyle w:val="subsection"/>
        <w:jc w:val="center"/>
      </w:pPr>
      <w:r w:rsidRPr="00CD5673">
        <w:t>NEW SOUTH WALES</w:t>
      </w:r>
    </w:p>
    <w:p w14:paraId="3F87AD52" w14:textId="77777777" w:rsidR="00D46430" w:rsidRPr="00CD5673" w:rsidRDefault="00D46430" w:rsidP="00D46430">
      <w:pPr>
        <w:pStyle w:val="subsection"/>
      </w:pPr>
      <w:r w:rsidRPr="00CD5673">
        <w:tab/>
      </w:r>
      <w:r w:rsidRPr="00CD5673">
        <w:tab/>
        <w:t>Parts II and III of the Liens on Crops and Wool and Stock Mortgages Act 1898</w:t>
      </w:r>
    </w:p>
    <w:p w14:paraId="5310EED7" w14:textId="77777777" w:rsidR="00D46430" w:rsidRPr="00CD5673" w:rsidRDefault="00D46430" w:rsidP="00D46430">
      <w:pPr>
        <w:pStyle w:val="subsection"/>
      </w:pPr>
      <w:r w:rsidRPr="00CD5673">
        <w:tab/>
      </w:r>
      <w:r w:rsidRPr="00CD5673">
        <w:tab/>
        <w:t xml:space="preserve">Parts 2 and 3 (to the extent that Part 3 applies to agricultural goods mortgages) of the </w:t>
      </w:r>
      <w:r w:rsidRPr="00CD5673">
        <w:rPr>
          <w:i/>
        </w:rPr>
        <w:t>Security Interests in Goods Act 2005</w:t>
      </w:r>
    </w:p>
    <w:p w14:paraId="4BA795F5" w14:textId="77777777" w:rsidR="00D46430" w:rsidRPr="00CD5673" w:rsidRDefault="00D46430" w:rsidP="00D46430">
      <w:pPr>
        <w:pStyle w:val="subsection"/>
        <w:jc w:val="center"/>
      </w:pPr>
      <w:r w:rsidRPr="00CD5673">
        <w:t>VICTORIA</w:t>
      </w:r>
    </w:p>
    <w:p w14:paraId="7730A866" w14:textId="77777777" w:rsidR="00D46430" w:rsidRPr="00CD5673" w:rsidRDefault="00D46430" w:rsidP="00D46430">
      <w:pPr>
        <w:pStyle w:val="subsection"/>
      </w:pPr>
      <w:r w:rsidRPr="00CD5673">
        <w:tab/>
      </w:r>
      <w:r w:rsidRPr="00CD5673">
        <w:tab/>
        <w:t xml:space="preserve">Parts VII and VIII of the </w:t>
      </w:r>
      <w:r w:rsidRPr="00CD5673">
        <w:rPr>
          <w:i/>
        </w:rPr>
        <w:t>Instruments Act 1958</w:t>
      </w:r>
    </w:p>
    <w:p w14:paraId="20B94D70" w14:textId="77777777" w:rsidR="00D46430" w:rsidRPr="00CD5673" w:rsidRDefault="00D46430" w:rsidP="00D46430">
      <w:pPr>
        <w:pStyle w:val="subsection"/>
        <w:jc w:val="center"/>
      </w:pPr>
      <w:r w:rsidRPr="00CD5673">
        <w:t>QUEENSLAND</w:t>
      </w:r>
    </w:p>
    <w:p w14:paraId="7FDC893E" w14:textId="77777777" w:rsidR="00D46430" w:rsidRPr="00CD5673" w:rsidRDefault="00D46430" w:rsidP="00D46430">
      <w:pPr>
        <w:pStyle w:val="subsection"/>
      </w:pPr>
      <w:r w:rsidRPr="00CD5673">
        <w:tab/>
      </w:r>
      <w:r w:rsidRPr="00CD5673">
        <w:tab/>
        <w:t xml:space="preserve">Part II (being provisions that apply in relation to registration of instruments that are stock mortgages, liens upon crops and liens on wool) and Part IV (other than section 24) of the </w:t>
      </w:r>
      <w:r w:rsidRPr="00CD5673">
        <w:rPr>
          <w:i/>
        </w:rPr>
        <w:t>Bills of Sale and Other Instruments Act 1955</w:t>
      </w:r>
    </w:p>
    <w:p w14:paraId="4A89FB45" w14:textId="77777777" w:rsidR="00D46430" w:rsidRPr="00CD5673" w:rsidRDefault="00D46430" w:rsidP="00D46430">
      <w:pPr>
        <w:pStyle w:val="subsection"/>
        <w:rPr>
          <w:i/>
        </w:rPr>
      </w:pPr>
      <w:r w:rsidRPr="00CD5673">
        <w:tab/>
      </w:r>
      <w:r w:rsidRPr="00CD5673">
        <w:tab/>
      </w:r>
      <w:r w:rsidRPr="00CD5673">
        <w:rPr>
          <w:i/>
        </w:rPr>
        <w:t>The Liens on Crops of Sugar Cane Act 1931</w:t>
      </w:r>
    </w:p>
    <w:p w14:paraId="2A7967B3" w14:textId="77777777" w:rsidR="00D46430" w:rsidRPr="00CD5673" w:rsidRDefault="00D46430" w:rsidP="00D46430">
      <w:pPr>
        <w:pStyle w:val="subsection"/>
        <w:jc w:val="center"/>
      </w:pPr>
      <w:r w:rsidRPr="00CD5673">
        <w:t>WESTERN AUSTRALIA</w:t>
      </w:r>
    </w:p>
    <w:p w14:paraId="0E8C0B82" w14:textId="77777777" w:rsidR="00D46430" w:rsidRPr="00CD5673" w:rsidRDefault="00D46430" w:rsidP="00D46430">
      <w:pPr>
        <w:pStyle w:val="subsection"/>
      </w:pPr>
      <w:r w:rsidRPr="00CD5673">
        <w:tab/>
      </w:r>
      <w:r w:rsidRPr="00CD5673">
        <w:tab/>
        <w:t xml:space="preserve">Sections 7 and 8 and Parts IX, X and XI of the </w:t>
      </w:r>
      <w:r w:rsidRPr="00CD5673">
        <w:rPr>
          <w:i/>
        </w:rPr>
        <w:t>Bills of Sale Act 1899</w:t>
      </w:r>
    </w:p>
    <w:p w14:paraId="2DA226A9" w14:textId="77777777" w:rsidR="00D46430" w:rsidRPr="00CD5673" w:rsidRDefault="00D46430" w:rsidP="00D46430">
      <w:pPr>
        <w:pStyle w:val="subsection"/>
        <w:keepNext/>
        <w:keepLines/>
        <w:jc w:val="center"/>
      </w:pPr>
      <w:r w:rsidRPr="00CD5673">
        <w:t>SOUTH AUSTRALIA</w:t>
      </w:r>
    </w:p>
    <w:p w14:paraId="40B1F038" w14:textId="77777777" w:rsidR="00D46430" w:rsidRPr="00CD5673" w:rsidRDefault="00D46430" w:rsidP="00D46430">
      <w:pPr>
        <w:pStyle w:val="subsection"/>
        <w:keepNext/>
        <w:keepLines/>
      </w:pPr>
      <w:r w:rsidRPr="00CD5673">
        <w:rPr>
          <w:i/>
        </w:rPr>
        <w:tab/>
      </w:r>
      <w:r w:rsidRPr="00CD5673">
        <w:rPr>
          <w:i/>
        </w:rPr>
        <w:tab/>
        <w:t>Liens on Fruit Act, 1923</w:t>
      </w:r>
    </w:p>
    <w:p w14:paraId="0559717C" w14:textId="77777777" w:rsidR="00D46430" w:rsidRPr="00CD5673" w:rsidRDefault="00D46430" w:rsidP="00D46430">
      <w:pPr>
        <w:pStyle w:val="subsection"/>
      </w:pPr>
      <w:r w:rsidRPr="00CD5673">
        <w:tab/>
      </w:r>
      <w:r w:rsidRPr="00CD5673">
        <w:tab/>
      </w:r>
      <w:r w:rsidRPr="00CD5673">
        <w:rPr>
          <w:i/>
        </w:rPr>
        <w:t>Stock Mortgages and Wool Liens Act, 1924</w:t>
      </w:r>
    </w:p>
    <w:p w14:paraId="53634D0E" w14:textId="77777777" w:rsidR="00D46430" w:rsidRPr="00CD5673" w:rsidRDefault="00D46430" w:rsidP="00D46430">
      <w:pPr>
        <w:pStyle w:val="subsection"/>
        <w:jc w:val="center"/>
      </w:pPr>
      <w:r w:rsidRPr="00CD5673">
        <w:t>TASMANIA</w:t>
      </w:r>
    </w:p>
    <w:p w14:paraId="238FF5F8" w14:textId="77777777" w:rsidR="00D46430" w:rsidRPr="00CD5673" w:rsidRDefault="00D46430" w:rsidP="00D46430">
      <w:pPr>
        <w:pStyle w:val="subsection"/>
      </w:pPr>
      <w:r w:rsidRPr="00CD5673">
        <w:tab/>
      </w:r>
      <w:r w:rsidRPr="00CD5673">
        <w:tab/>
        <w:t xml:space="preserve">Sections 36 of the </w:t>
      </w:r>
      <w:r w:rsidRPr="00CD5673">
        <w:rPr>
          <w:i/>
        </w:rPr>
        <w:t>Bills of Sale Act 1900</w:t>
      </w:r>
    </w:p>
    <w:p w14:paraId="64DBE370" w14:textId="77777777" w:rsidR="00D46430" w:rsidRPr="00CD5673" w:rsidRDefault="00D46430" w:rsidP="00D46430">
      <w:pPr>
        <w:pStyle w:val="subsection"/>
      </w:pPr>
      <w:r w:rsidRPr="00CD5673">
        <w:tab/>
      </w:r>
      <w:r w:rsidRPr="00CD5673">
        <w:tab/>
        <w:t>S</w:t>
      </w:r>
      <w:r w:rsidRPr="00CD5673">
        <w:rPr>
          <w:i/>
        </w:rPr>
        <w:t>tock, Wool and Crop Mortgages Act 1930</w:t>
      </w:r>
    </w:p>
    <w:p w14:paraId="62B1304E" w14:textId="77777777" w:rsidR="00D46430" w:rsidRPr="00CD5673" w:rsidRDefault="00D46430" w:rsidP="00D46430">
      <w:pPr>
        <w:pStyle w:val="subsection"/>
        <w:jc w:val="center"/>
      </w:pPr>
      <w:r w:rsidRPr="00CD5673">
        <w:t>AUSTRALIAN CAPITAL TERRITORY</w:t>
      </w:r>
    </w:p>
    <w:p w14:paraId="4296FA66" w14:textId="77777777" w:rsidR="00D46430" w:rsidRPr="00CD5673" w:rsidRDefault="00D46430" w:rsidP="00D46430">
      <w:pPr>
        <w:pStyle w:val="subsection"/>
      </w:pPr>
      <w:r w:rsidRPr="00CD5673">
        <w:tab/>
      </w:r>
      <w:r w:rsidRPr="00CD5673">
        <w:tab/>
        <w:t xml:space="preserve">Parts IV and V of the </w:t>
      </w:r>
      <w:r w:rsidRPr="00CD5673">
        <w:rPr>
          <w:i/>
        </w:rPr>
        <w:t>Instruments Act 1933</w:t>
      </w:r>
      <w:r w:rsidRPr="00CD5673">
        <w:t>.</w:t>
      </w:r>
    </w:p>
    <w:p w14:paraId="351101A2" w14:textId="77777777" w:rsidR="00D46430" w:rsidRPr="00CD5673" w:rsidRDefault="00D46430" w:rsidP="00D46430">
      <w:pPr>
        <w:pStyle w:val="ActHead5"/>
      </w:pPr>
      <w:bookmarkStart w:id="87" w:name="_Toc158711699"/>
      <w:r w:rsidRPr="00C614F1">
        <w:rPr>
          <w:rStyle w:val="CharSectno"/>
        </w:rPr>
        <w:t>2K.2.02</w:t>
      </w:r>
      <w:r w:rsidRPr="00CD5673">
        <w:t xml:space="preserve">  Time period for the provisional registration of charges</w:t>
      </w:r>
      <w:bookmarkEnd w:id="87"/>
    </w:p>
    <w:p w14:paraId="687870E0" w14:textId="77777777" w:rsidR="00D46430" w:rsidRPr="00CD5673" w:rsidRDefault="00D46430" w:rsidP="00D46430">
      <w:pPr>
        <w:pStyle w:val="subsection"/>
      </w:pPr>
      <w:r w:rsidRPr="00CD5673">
        <w:tab/>
      </w:r>
      <w:r w:rsidRPr="00CD5673">
        <w:tab/>
        <w:t>For paragraph 265(5)(b) of the Act, the period in which a certificate to the effect set out in paragraph 265(4)(b) of the Act must be produced to ASIC is 90 days after the notice is lodged.</w:t>
      </w:r>
    </w:p>
    <w:p w14:paraId="6F8F3716" w14:textId="77777777" w:rsidR="00D46430" w:rsidRPr="00CD5673" w:rsidRDefault="00D46430" w:rsidP="00D46430">
      <w:pPr>
        <w:pStyle w:val="ActHead5"/>
      </w:pPr>
      <w:bookmarkStart w:id="88" w:name="_Toc158711700"/>
      <w:r w:rsidRPr="00C614F1">
        <w:rPr>
          <w:rStyle w:val="CharSectno"/>
        </w:rPr>
        <w:t>2K.2.03</w:t>
      </w:r>
      <w:r w:rsidRPr="00CD5673">
        <w:t xml:space="preserve">  Charge that is a registrable security: specified law—paragraphs 273A(4)(b), 273B(3)(b) and 273C(3)(b) of the Act</w:t>
      </w:r>
      <w:bookmarkEnd w:id="88"/>
    </w:p>
    <w:p w14:paraId="64412E8B" w14:textId="77777777" w:rsidR="00D46430" w:rsidRPr="00CD5673" w:rsidRDefault="00D46430" w:rsidP="00D46430">
      <w:pPr>
        <w:pStyle w:val="subsection"/>
      </w:pPr>
      <w:r w:rsidRPr="00CD5673">
        <w:tab/>
      </w:r>
      <w:r w:rsidRPr="00CD5673">
        <w:tab/>
        <w:t>For paragraphs 273A(4)(b), 273B(3)(b) and 273C(3)(b) of the Act the following law is a specified law of a State or Territory:</w:t>
      </w:r>
    </w:p>
    <w:p w14:paraId="33A36589" w14:textId="77777777" w:rsidR="00D46430" w:rsidRPr="00CD5673" w:rsidRDefault="00D46430" w:rsidP="00D46430">
      <w:pPr>
        <w:pStyle w:val="subsection"/>
        <w:jc w:val="center"/>
      </w:pPr>
      <w:r w:rsidRPr="00CD5673">
        <w:t>NEW SOUTH WALES</w:t>
      </w:r>
    </w:p>
    <w:p w14:paraId="1E7B06D9" w14:textId="77777777" w:rsidR="00D46430" w:rsidRPr="00CD5673" w:rsidRDefault="00D46430" w:rsidP="00D46430">
      <w:pPr>
        <w:pStyle w:val="subsection"/>
        <w:rPr>
          <w:i/>
        </w:rPr>
      </w:pPr>
      <w:r w:rsidRPr="00CD5673">
        <w:rPr>
          <w:i/>
        </w:rPr>
        <w:tab/>
      </w:r>
      <w:r w:rsidRPr="00CD5673">
        <w:rPr>
          <w:i/>
        </w:rPr>
        <w:tab/>
        <w:t>Security Interests in Goods Act 2005</w:t>
      </w:r>
    </w:p>
    <w:p w14:paraId="70C270A5" w14:textId="77777777" w:rsidR="00D46430" w:rsidRPr="00CD5673" w:rsidRDefault="00D46430" w:rsidP="00D46430">
      <w:pPr>
        <w:pStyle w:val="ActHead1"/>
        <w:pageBreakBefore/>
      </w:pPr>
      <w:bookmarkStart w:id="89" w:name="_Toc158711701"/>
      <w:r w:rsidRPr="00C614F1">
        <w:rPr>
          <w:rStyle w:val="CharChapNo"/>
        </w:rPr>
        <w:lastRenderedPageBreak/>
        <w:t>Chapter 2L</w:t>
      </w:r>
      <w:r w:rsidRPr="00CD5673">
        <w:t>—</w:t>
      </w:r>
      <w:r w:rsidRPr="00C614F1">
        <w:rPr>
          <w:rStyle w:val="CharChapText"/>
        </w:rPr>
        <w:t>Debentures</w:t>
      </w:r>
      <w:bookmarkEnd w:id="89"/>
    </w:p>
    <w:p w14:paraId="6E686486" w14:textId="77777777" w:rsidR="00D46430" w:rsidRPr="00CD5673" w:rsidRDefault="00D46430" w:rsidP="00D46430">
      <w:pPr>
        <w:pStyle w:val="ActHead2"/>
      </w:pPr>
      <w:bookmarkStart w:id="90" w:name="_Toc158711702"/>
      <w:r w:rsidRPr="00C614F1">
        <w:rPr>
          <w:rStyle w:val="CharPartNo"/>
        </w:rPr>
        <w:t>Part 2L.2</w:t>
      </w:r>
      <w:r w:rsidRPr="00CD5673">
        <w:t>—</w:t>
      </w:r>
      <w:r w:rsidRPr="00C614F1">
        <w:rPr>
          <w:rStyle w:val="CharPartText"/>
        </w:rPr>
        <w:t>Duties of borrower</w:t>
      </w:r>
      <w:bookmarkEnd w:id="90"/>
    </w:p>
    <w:p w14:paraId="35E548D0"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8272F33" w14:textId="77777777" w:rsidR="00D46430" w:rsidRPr="00CD5673" w:rsidRDefault="00D46430" w:rsidP="00D46430">
      <w:pPr>
        <w:pStyle w:val="ActHead5"/>
      </w:pPr>
      <w:bookmarkStart w:id="91" w:name="_Toc158711703"/>
      <w:r w:rsidRPr="00C614F1">
        <w:rPr>
          <w:rStyle w:val="CharSectno"/>
        </w:rPr>
        <w:t>2L.2.01</w:t>
      </w:r>
      <w:r w:rsidRPr="00CD5673">
        <w:t xml:space="preserve">  Register relating to trustees for debenture holders</w:t>
      </w:r>
      <w:bookmarkEnd w:id="91"/>
    </w:p>
    <w:p w14:paraId="524A96FC" w14:textId="77777777" w:rsidR="00D46430" w:rsidRPr="00CD5673" w:rsidRDefault="00D46430" w:rsidP="00D46430">
      <w:pPr>
        <w:pStyle w:val="subsection"/>
      </w:pPr>
      <w:r w:rsidRPr="00CD5673">
        <w:tab/>
        <w:t>(1)</w:t>
      </w:r>
      <w:r w:rsidRPr="00CD5673">
        <w:tab/>
        <w:t>For subsection 283BCA(2) of the Act, ASIC must enter the following details in the register in relation to a trustee for debenture holders:</w:t>
      </w:r>
    </w:p>
    <w:p w14:paraId="128F2B20" w14:textId="77777777" w:rsidR="00D46430" w:rsidRPr="00CD5673" w:rsidRDefault="00D46430" w:rsidP="00D46430">
      <w:pPr>
        <w:pStyle w:val="paragraph"/>
      </w:pPr>
      <w:r w:rsidRPr="00CD5673">
        <w:tab/>
        <w:t>(a)</w:t>
      </w:r>
      <w:r w:rsidRPr="00CD5673">
        <w:tab/>
        <w:t>the name and address of the trustee;</w:t>
      </w:r>
    </w:p>
    <w:p w14:paraId="19761B7B" w14:textId="77777777" w:rsidR="00D46430" w:rsidRPr="00CD5673" w:rsidRDefault="00D46430" w:rsidP="00D46430">
      <w:pPr>
        <w:pStyle w:val="paragraph"/>
      </w:pPr>
      <w:r w:rsidRPr="00CD5673">
        <w:tab/>
        <w:t>(b)</w:t>
      </w:r>
      <w:r w:rsidRPr="00CD5673">
        <w:tab/>
        <w:t>either:</w:t>
      </w:r>
    </w:p>
    <w:p w14:paraId="630901A4" w14:textId="77777777" w:rsidR="00D46430" w:rsidRPr="00CD5673" w:rsidRDefault="00D46430" w:rsidP="00D46430">
      <w:pPr>
        <w:pStyle w:val="paragraphsub"/>
      </w:pPr>
      <w:r w:rsidRPr="00CD5673">
        <w:tab/>
        <w:t>(i)</w:t>
      </w:r>
      <w:r w:rsidRPr="00CD5673">
        <w:tab/>
        <w:t>if the trustee has an ACN—the trustee’s ACN; or</w:t>
      </w:r>
    </w:p>
    <w:p w14:paraId="6B90E71D" w14:textId="77777777" w:rsidR="00D46430" w:rsidRPr="00CD5673" w:rsidRDefault="00D46430" w:rsidP="00D46430">
      <w:pPr>
        <w:pStyle w:val="paragraphsub"/>
      </w:pPr>
      <w:r w:rsidRPr="00CD5673">
        <w:tab/>
        <w:t>(ii)</w:t>
      </w:r>
      <w:r w:rsidRPr="00CD5673">
        <w:tab/>
        <w:t>the trustee’s ABN;</w:t>
      </w:r>
    </w:p>
    <w:p w14:paraId="30FF2B03" w14:textId="77777777" w:rsidR="00D46430" w:rsidRPr="00CD5673" w:rsidRDefault="00D46430" w:rsidP="00D46430">
      <w:pPr>
        <w:pStyle w:val="paragraph"/>
      </w:pPr>
      <w:r w:rsidRPr="00CD5673">
        <w:tab/>
        <w:t>(c)</w:t>
      </w:r>
      <w:r w:rsidRPr="00CD5673">
        <w:tab/>
        <w:t>the name and address of the borrower who appointed the trustee;</w:t>
      </w:r>
    </w:p>
    <w:p w14:paraId="4821E616" w14:textId="77777777" w:rsidR="00D46430" w:rsidRPr="00CD5673" w:rsidRDefault="00D46430" w:rsidP="00D46430">
      <w:pPr>
        <w:pStyle w:val="paragraph"/>
      </w:pPr>
      <w:r w:rsidRPr="00CD5673">
        <w:tab/>
        <w:t>(d)</w:t>
      </w:r>
      <w:r w:rsidRPr="00CD5673">
        <w:tab/>
        <w:t>the name of the trust for which the trustee has been appointed to act;</w:t>
      </w:r>
    </w:p>
    <w:p w14:paraId="5784A538" w14:textId="77777777" w:rsidR="00D46430" w:rsidRPr="00CD5673" w:rsidRDefault="00D46430" w:rsidP="00D46430">
      <w:pPr>
        <w:pStyle w:val="paragraph"/>
      </w:pPr>
      <w:r w:rsidRPr="00CD5673">
        <w:tab/>
        <w:t>(e)</w:t>
      </w:r>
      <w:r w:rsidRPr="00CD5673">
        <w:tab/>
        <w:t>the day the trust deed was executed.</w:t>
      </w:r>
    </w:p>
    <w:p w14:paraId="16C33D46" w14:textId="77777777" w:rsidR="00D46430" w:rsidRPr="00CD5673" w:rsidRDefault="00D46430" w:rsidP="00D46430">
      <w:pPr>
        <w:pStyle w:val="subsection"/>
      </w:pPr>
      <w:r w:rsidRPr="00CD5673">
        <w:tab/>
        <w:t>(2)</w:t>
      </w:r>
      <w:r w:rsidRPr="00CD5673">
        <w:tab/>
        <w:t>If ASIC receives a notice from a borrower under subsection 283BC(2) of the Act that the trustee has revoked the trust deed, it must amend the register by removing the details entered on the register in relation to the trustee.</w:t>
      </w:r>
    </w:p>
    <w:p w14:paraId="5B12576E" w14:textId="77777777" w:rsidR="00D46430" w:rsidRPr="00CD5673" w:rsidRDefault="00D46430" w:rsidP="00D46430">
      <w:pPr>
        <w:pStyle w:val="ActHead1"/>
        <w:pageBreakBefore/>
      </w:pPr>
      <w:bookmarkStart w:id="92" w:name="_Toc158711704"/>
      <w:r w:rsidRPr="00C614F1">
        <w:rPr>
          <w:rStyle w:val="CharChapNo"/>
        </w:rPr>
        <w:lastRenderedPageBreak/>
        <w:t>Chapter 2M</w:t>
      </w:r>
      <w:r w:rsidRPr="00CD5673">
        <w:t>—</w:t>
      </w:r>
      <w:r w:rsidRPr="00C614F1">
        <w:rPr>
          <w:rStyle w:val="CharChapText"/>
        </w:rPr>
        <w:t>Financial reports and audit</w:t>
      </w:r>
      <w:bookmarkEnd w:id="92"/>
    </w:p>
    <w:p w14:paraId="69B10F38" w14:textId="77777777" w:rsidR="00D46430" w:rsidRPr="00CD5673" w:rsidRDefault="00D46430" w:rsidP="00D46430">
      <w:pPr>
        <w:pStyle w:val="ActHead2"/>
      </w:pPr>
      <w:bookmarkStart w:id="93" w:name="_Toc158711705"/>
      <w:r w:rsidRPr="00C614F1">
        <w:rPr>
          <w:rStyle w:val="CharPartNo"/>
        </w:rPr>
        <w:t>Part 2M.3</w:t>
      </w:r>
      <w:r w:rsidRPr="00CD5673">
        <w:t>—</w:t>
      </w:r>
      <w:r w:rsidRPr="00C614F1">
        <w:rPr>
          <w:rStyle w:val="CharPartText"/>
        </w:rPr>
        <w:t>Financial reporting</w:t>
      </w:r>
      <w:bookmarkEnd w:id="93"/>
    </w:p>
    <w:p w14:paraId="48A1C5A3" w14:textId="77777777" w:rsidR="00D46430" w:rsidRPr="00CD5673" w:rsidRDefault="00D46430" w:rsidP="00D46430">
      <w:pPr>
        <w:pStyle w:val="ActHead3"/>
      </w:pPr>
      <w:bookmarkStart w:id="94" w:name="_Toc158711706"/>
      <w:r w:rsidRPr="00C614F1">
        <w:rPr>
          <w:rStyle w:val="CharDivNo"/>
        </w:rPr>
        <w:t>Division 1</w:t>
      </w:r>
      <w:r w:rsidRPr="00CD5673">
        <w:t>—</w:t>
      </w:r>
      <w:r w:rsidRPr="00C614F1">
        <w:rPr>
          <w:rStyle w:val="CharDivText"/>
        </w:rPr>
        <w:t>Annual financial reports and directors’ reports</w:t>
      </w:r>
      <w:bookmarkEnd w:id="94"/>
    </w:p>
    <w:p w14:paraId="0127E672" w14:textId="77777777" w:rsidR="00D46430" w:rsidRPr="00CD5673" w:rsidRDefault="00D46430" w:rsidP="00D46430">
      <w:pPr>
        <w:pStyle w:val="ActHead5"/>
      </w:pPr>
      <w:bookmarkStart w:id="95" w:name="_Toc158711707"/>
      <w:r w:rsidRPr="00C614F1">
        <w:rPr>
          <w:rStyle w:val="CharSectno"/>
        </w:rPr>
        <w:t>2M.3.01</w:t>
      </w:r>
      <w:r w:rsidRPr="00CD5673">
        <w:t xml:space="preserve">  Disclosures required by notes to consolidated financial statements—annual financial reports (Act s 295)</w:t>
      </w:r>
      <w:bookmarkEnd w:id="95"/>
    </w:p>
    <w:p w14:paraId="72C049ED" w14:textId="77777777" w:rsidR="00D46430" w:rsidRPr="00CD5673" w:rsidRDefault="00D46430" w:rsidP="00D46430">
      <w:pPr>
        <w:pStyle w:val="subsection"/>
      </w:pPr>
      <w:r w:rsidRPr="00CD5673">
        <w:tab/>
        <w:t>(1)</w:t>
      </w:r>
      <w:r w:rsidRPr="00CD5673">
        <w:tab/>
        <w:t>For paragraph 295(3)(a) of the Act, if paragraph 295(2)(b) of the Act applies to a parent entity, the following disclosures are required in the notes to the financial statements of the consolidated entity:</w:t>
      </w:r>
    </w:p>
    <w:p w14:paraId="55E0F0E0" w14:textId="77777777" w:rsidR="00D46430" w:rsidRPr="00CD5673" w:rsidRDefault="00D46430" w:rsidP="00D46430">
      <w:pPr>
        <w:pStyle w:val="paragraph"/>
      </w:pPr>
      <w:r w:rsidRPr="00CD5673">
        <w:tab/>
        <w:t>(a)</w:t>
      </w:r>
      <w:r w:rsidRPr="00CD5673">
        <w:tab/>
        <w:t>current assets of the parent entity;</w:t>
      </w:r>
    </w:p>
    <w:p w14:paraId="3185966B" w14:textId="77777777" w:rsidR="00D46430" w:rsidRPr="00CD5673" w:rsidRDefault="00D46430" w:rsidP="00D46430">
      <w:pPr>
        <w:pStyle w:val="paragraph"/>
      </w:pPr>
      <w:r w:rsidRPr="00CD5673">
        <w:tab/>
        <w:t>(b)</w:t>
      </w:r>
      <w:r w:rsidRPr="00CD5673">
        <w:tab/>
        <w:t>total assets of the parent entity;</w:t>
      </w:r>
    </w:p>
    <w:p w14:paraId="6CE866ED" w14:textId="77777777" w:rsidR="00D46430" w:rsidRPr="00CD5673" w:rsidRDefault="00D46430" w:rsidP="00D46430">
      <w:pPr>
        <w:pStyle w:val="paragraph"/>
      </w:pPr>
      <w:r w:rsidRPr="00CD5673">
        <w:tab/>
        <w:t>(c)</w:t>
      </w:r>
      <w:r w:rsidRPr="00CD5673">
        <w:tab/>
        <w:t>current liabilities of the parent entity;</w:t>
      </w:r>
    </w:p>
    <w:p w14:paraId="2AC18D0E" w14:textId="77777777" w:rsidR="00D46430" w:rsidRPr="00CD5673" w:rsidRDefault="00D46430" w:rsidP="00D46430">
      <w:pPr>
        <w:pStyle w:val="paragraph"/>
      </w:pPr>
      <w:r w:rsidRPr="00CD5673">
        <w:tab/>
        <w:t>(d)</w:t>
      </w:r>
      <w:r w:rsidRPr="00CD5673">
        <w:tab/>
        <w:t>total liabilities of the parent entity;</w:t>
      </w:r>
    </w:p>
    <w:p w14:paraId="5E4D2EC5" w14:textId="77777777" w:rsidR="00D46430" w:rsidRPr="00CD5673" w:rsidRDefault="00D46430" w:rsidP="00D46430">
      <w:pPr>
        <w:pStyle w:val="paragraph"/>
      </w:pPr>
      <w:r w:rsidRPr="00CD5673">
        <w:tab/>
        <w:t>(e)</w:t>
      </w:r>
      <w:r w:rsidRPr="00CD5673">
        <w:tab/>
        <w:t>shareholders’ equity in the parent entity separately showing issued capital and each reserve;</w:t>
      </w:r>
    </w:p>
    <w:p w14:paraId="52082FDB" w14:textId="77777777" w:rsidR="00D46430" w:rsidRPr="00CD5673" w:rsidRDefault="00D46430" w:rsidP="00D46430">
      <w:pPr>
        <w:pStyle w:val="paragraph"/>
      </w:pPr>
      <w:r w:rsidRPr="00CD5673">
        <w:tab/>
        <w:t>(f)</w:t>
      </w:r>
      <w:r w:rsidRPr="00CD5673">
        <w:tab/>
        <w:t>profit or loss of the parent entity;</w:t>
      </w:r>
    </w:p>
    <w:p w14:paraId="1F20BACE" w14:textId="77777777" w:rsidR="00D46430" w:rsidRPr="00CD5673" w:rsidRDefault="00D46430" w:rsidP="00D46430">
      <w:pPr>
        <w:pStyle w:val="paragraph"/>
      </w:pPr>
      <w:r w:rsidRPr="00CD5673">
        <w:tab/>
        <w:t>(g)</w:t>
      </w:r>
      <w:r w:rsidRPr="00CD5673">
        <w:tab/>
        <w:t>total comprehensive income of the parent company;</w:t>
      </w:r>
    </w:p>
    <w:p w14:paraId="45AB26EF" w14:textId="77777777" w:rsidR="00D46430" w:rsidRPr="00CD5673" w:rsidRDefault="00D46430" w:rsidP="00D46430">
      <w:pPr>
        <w:pStyle w:val="paragraph"/>
      </w:pPr>
      <w:r w:rsidRPr="00CD5673">
        <w:tab/>
        <w:t>(h)</w:t>
      </w:r>
      <w:r w:rsidRPr="00CD5673">
        <w:tab/>
        <w:t>details of any guarantees entered into by the parent entity in relation to the debts of its subsidiaries;</w:t>
      </w:r>
    </w:p>
    <w:p w14:paraId="52017E35" w14:textId="77777777" w:rsidR="00D46430" w:rsidRPr="00CD5673" w:rsidRDefault="00D46430" w:rsidP="00D46430">
      <w:pPr>
        <w:pStyle w:val="paragraph"/>
      </w:pPr>
      <w:r w:rsidRPr="00CD5673">
        <w:tab/>
        <w:t>(i)</w:t>
      </w:r>
      <w:r w:rsidRPr="00CD5673">
        <w:tab/>
        <w:t>details of any contingent liabilities of the parent entity;</w:t>
      </w:r>
    </w:p>
    <w:p w14:paraId="1E5399DD" w14:textId="77777777" w:rsidR="00D46430" w:rsidRPr="00CD5673" w:rsidRDefault="00D46430" w:rsidP="00D46430">
      <w:pPr>
        <w:pStyle w:val="paragraph"/>
      </w:pPr>
      <w:r w:rsidRPr="00CD5673">
        <w:tab/>
        <w:t>(j)</w:t>
      </w:r>
      <w:r w:rsidRPr="00CD5673">
        <w:tab/>
        <w:t>details of any contractual commitments by the parent entity for the acquisition of property, plant or equipment;</w:t>
      </w:r>
    </w:p>
    <w:p w14:paraId="08426843" w14:textId="77777777" w:rsidR="00D46430" w:rsidRPr="00CD5673" w:rsidRDefault="00D46430" w:rsidP="00D46430">
      <w:pPr>
        <w:pStyle w:val="paragraph"/>
      </w:pPr>
      <w:r w:rsidRPr="00CD5673">
        <w:tab/>
        <w:t>(k)</w:t>
      </w:r>
      <w:r w:rsidRPr="00CD5673">
        <w:tab/>
        <w:t>comparative information for the previous period for each of paragraphs (a) to (j).</w:t>
      </w:r>
    </w:p>
    <w:p w14:paraId="76A695EC" w14:textId="77777777" w:rsidR="00D46430" w:rsidRPr="00CD5673" w:rsidRDefault="00D46430" w:rsidP="00D46430">
      <w:pPr>
        <w:pStyle w:val="subsection"/>
      </w:pPr>
      <w:r w:rsidRPr="00CD5673">
        <w:tab/>
        <w:t>(2)</w:t>
      </w:r>
      <w:r w:rsidRPr="00CD5673">
        <w:tab/>
        <w:t>The disclosures in subregulation (1) must be calculated in accordance with accounting standards in force in the financial year to which the disclosure relates.</w:t>
      </w:r>
    </w:p>
    <w:p w14:paraId="6FD278CA" w14:textId="77777777" w:rsidR="00D46430" w:rsidRPr="00CD5673" w:rsidRDefault="00D46430" w:rsidP="00D46430">
      <w:pPr>
        <w:pStyle w:val="subsection"/>
        <w:keepNext/>
        <w:keepLines/>
      </w:pPr>
      <w:r w:rsidRPr="00CD5673">
        <w:tab/>
        <w:t>(3)</w:t>
      </w:r>
      <w:r w:rsidRPr="00CD5673">
        <w:tab/>
        <w:t>In this regulation:</w:t>
      </w:r>
    </w:p>
    <w:p w14:paraId="7870D989" w14:textId="77777777" w:rsidR="00D46430" w:rsidRPr="00CD5673" w:rsidRDefault="00D46430" w:rsidP="00D46430">
      <w:pPr>
        <w:pStyle w:val="Definition"/>
      </w:pPr>
      <w:r w:rsidRPr="00CD5673">
        <w:rPr>
          <w:b/>
          <w:i/>
        </w:rPr>
        <w:t>parent entity</w:t>
      </w:r>
      <w:r w:rsidRPr="00CD5673">
        <w:t xml:space="preserve"> means a company, registered scheme</w:t>
      </w:r>
      <w:r w:rsidR="00373FC0" w:rsidRPr="00CD5673">
        <w:t>, registrable superannuation entity</w:t>
      </w:r>
      <w:r w:rsidRPr="00CD5673">
        <w:t xml:space="preserve"> or disclosing entity that is required by the accounting standards to prepare financial statements in relation to a consolidated entity.</w:t>
      </w:r>
    </w:p>
    <w:p w14:paraId="1C565C3A" w14:textId="77777777" w:rsidR="00D46430" w:rsidRPr="00CD5673" w:rsidRDefault="00D46430" w:rsidP="00D46430">
      <w:pPr>
        <w:pStyle w:val="ActHead5"/>
      </w:pPr>
      <w:bookmarkStart w:id="96" w:name="_Toc158711708"/>
      <w:r w:rsidRPr="00C614F1">
        <w:rPr>
          <w:rStyle w:val="CharSectno"/>
        </w:rPr>
        <w:t>2M.3.03</w:t>
      </w:r>
      <w:r w:rsidRPr="00CD5673">
        <w:t xml:space="preserve">  Prescribed details (Act s 300A)</w:t>
      </w:r>
      <w:bookmarkEnd w:id="96"/>
    </w:p>
    <w:p w14:paraId="381CCF7F" w14:textId="77777777" w:rsidR="00D46430" w:rsidRPr="00CD5673" w:rsidRDefault="00D46430" w:rsidP="00D46430">
      <w:pPr>
        <w:pStyle w:val="subsection"/>
      </w:pPr>
      <w:r w:rsidRPr="00CD5673">
        <w:tab/>
        <w:t>(1)</w:t>
      </w:r>
      <w:r w:rsidRPr="00CD5673">
        <w:tab/>
        <w:t>For paragraph 300A(1)(c) of the Act, the details set out in the table relating to a person are prescribed.</w:t>
      </w:r>
    </w:p>
    <w:p w14:paraId="44511E58" w14:textId="77777777" w:rsidR="00D46430" w:rsidRPr="00CD5673" w:rsidRDefault="00D46430" w:rsidP="00D46430">
      <w:pPr>
        <w:pStyle w:val="Tabletext"/>
      </w:pPr>
    </w:p>
    <w:tbl>
      <w:tblPr>
        <w:tblW w:w="5000" w:type="pct"/>
        <w:tblLook w:val="0000" w:firstRow="0" w:lastRow="0" w:firstColumn="0" w:lastColumn="0" w:noHBand="0" w:noVBand="0"/>
      </w:tblPr>
      <w:tblGrid>
        <w:gridCol w:w="1438"/>
        <w:gridCol w:w="4546"/>
        <w:gridCol w:w="4772"/>
        <w:gridCol w:w="17"/>
      </w:tblGrid>
      <w:tr w:rsidR="00D46430" w:rsidRPr="00CD5673" w14:paraId="4EC5EDAA" w14:textId="77777777" w:rsidTr="00D46430">
        <w:trPr>
          <w:gridAfter w:val="1"/>
          <w:wAfter w:w="8" w:type="pct"/>
          <w:cantSplit/>
          <w:tblHeader/>
        </w:trPr>
        <w:tc>
          <w:tcPr>
            <w:tcW w:w="667" w:type="pct"/>
            <w:tcBorders>
              <w:top w:val="single" w:sz="12" w:space="0" w:color="auto"/>
              <w:bottom w:val="single" w:sz="12" w:space="0" w:color="auto"/>
            </w:tcBorders>
          </w:tcPr>
          <w:p w14:paraId="7705DC53" w14:textId="77777777" w:rsidR="00D46430" w:rsidRPr="00CD5673" w:rsidRDefault="00D46430" w:rsidP="00D46430">
            <w:pPr>
              <w:pStyle w:val="TableHeading"/>
            </w:pPr>
            <w:r w:rsidRPr="00CD5673">
              <w:t>Item</w:t>
            </w:r>
          </w:p>
        </w:tc>
        <w:tc>
          <w:tcPr>
            <w:tcW w:w="2110" w:type="pct"/>
            <w:tcBorders>
              <w:top w:val="single" w:sz="12" w:space="0" w:color="auto"/>
              <w:bottom w:val="single" w:sz="12" w:space="0" w:color="auto"/>
            </w:tcBorders>
          </w:tcPr>
          <w:p w14:paraId="36E24B7F" w14:textId="77777777" w:rsidR="00D46430" w:rsidRPr="00CD5673" w:rsidRDefault="00D46430" w:rsidP="00D46430">
            <w:pPr>
              <w:pStyle w:val="TableHeading"/>
            </w:pPr>
            <w:r w:rsidRPr="00CD5673">
              <w:t>Condition (if any)</w:t>
            </w:r>
          </w:p>
        </w:tc>
        <w:tc>
          <w:tcPr>
            <w:tcW w:w="2215" w:type="pct"/>
            <w:tcBorders>
              <w:top w:val="single" w:sz="12" w:space="0" w:color="auto"/>
              <w:bottom w:val="single" w:sz="12" w:space="0" w:color="auto"/>
            </w:tcBorders>
          </w:tcPr>
          <w:p w14:paraId="22771DFB" w14:textId="77777777" w:rsidR="00D46430" w:rsidRPr="00CD5673" w:rsidRDefault="00D46430" w:rsidP="00D46430">
            <w:pPr>
              <w:pStyle w:val="TableHeading"/>
            </w:pPr>
            <w:r w:rsidRPr="00CD5673">
              <w:t>Details</w:t>
            </w:r>
          </w:p>
        </w:tc>
      </w:tr>
      <w:tr w:rsidR="00D46430" w:rsidRPr="00CD5673" w14:paraId="7665A85F" w14:textId="77777777" w:rsidTr="00D46430">
        <w:trPr>
          <w:gridAfter w:val="1"/>
          <w:wAfter w:w="8" w:type="pct"/>
          <w:cantSplit/>
        </w:trPr>
        <w:tc>
          <w:tcPr>
            <w:tcW w:w="4992" w:type="pct"/>
            <w:gridSpan w:val="3"/>
            <w:tcBorders>
              <w:top w:val="single" w:sz="12" w:space="0" w:color="auto"/>
              <w:bottom w:val="single" w:sz="4" w:space="0" w:color="auto"/>
            </w:tcBorders>
          </w:tcPr>
          <w:p w14:paraId="1A3B778A" w14:textId="77777777" w:rsidR="00D46430" w:rsidRPr="00CD5673" w:rsidRDefault="00D46430" w:rsidP="00D46430">
            <w:pPr>
              <w:pStyle w:val="TableHeading"/>
              <w:rPr>
                <w:b w:val="0"/>
                <w:i/>
              </w:rPr>
            </w:pPr>
            <w:r w:rsidRPr="00CD5673">
              <w:rPr>
                <w:b w:val="0"/>
                <w:i/>
              </w:rPr>
              <w:t>General</w:t>
            </w:r>
          </w:p>
        </w:tc>
      </w:tr>
      <w:tr w:rsidR="00D46430" w:rsidRPr="00CD5673" w14:paraId="2BB66CE2" w14:textId="77777777" w:rsidTr="00D46430">
        <w:trPr>
          <w:gridAfter w:val="1"/>
          <w:wAfter w:w="8" w:type="pct"/>
          <w:cantSplit/>
        </w:trPr>
        <w:tc>
          <w:tcPr>
            <w:tcW w:w="667" w:type="pct"/>
            <w:tcBorders>
              <w:top w:val="single" w:sz="4" w:space="0" w:color="auto"/>
              <w:bottom w:val="single" w:sz="4" w:space="0" w:color="auto"/>
            </w:tcBorders>
          </w:tcPr>
          <w:p w14:paraId="34F92A0A" w14:textId="77777777" w:rsidR="00D46430" w:rsidRPr="00CD5673" w:rsidRDefault="00D46430" w:rsidP="00D46430">
            <w:pPr>
              <w:pStyle w:val="Tabletext"/>
            </w:pPr>
            <w:r w:rsidRPr="00CD5673">
              <w:t>1</w:t>
            </w:r>
          </w:p>
        </w:tc>
        <w:tc>
          <w:tcPr>
            <w:tcW w:w="2110" w:type="pct"/>
            <w:tcBorders>
              <w:top w:val="single" w:sz="4" w:space="0" w:color="auto"/>
              <w:bottom w:val="single" w:sz="4" w:space="0" w:color="auto"/>
            </w:tcBorders>
          </w:tcPr>
          <w:p w14:paraId="55CEA044" w14:textId="77777777" w:rsidR="00D46430" w:rsidRPr="00CD5673" w:rsidRDefault="00D46430" w:rsidP="00D46430">
            <w:pPr>
              <w:pStyle w:val="Tabletext"/>
            </w:pPr>
          </w:p>
        </w:tc>
        <w:tc>
          <w:tcPr>
            <w:tcW w:w="2215" w:type="pct"/>
            <w:tcBorders>
              <w:top w:val="single" w:sz="4" w:space="0" w:color="auto"/>
              <w:bottom w:val="single" w:sz="4" w:space="0" w:color="auto"/>
            </w:tcBorders>
          </w:tcPr>
          <w:p w14:paraId="72E73A59" w14:textId="77777777" w:rsidR="00D46430" w:rsidRPr="00CD5673" w:rsidRDefault="00D46430" w:rsidP="00D46430">
            <w:pPr>
              <w:pStyle w:val="Tabletext"/>
            </w:pPr>
            <w:r w:rsidRPr="00CD5673">
              <w:t>The person’s name</w:t>
            </w:r>
          </w:p>
        </w:tc>
      </w:tr>
      <w:tr w:rsidR="00D46430" w:rsidRPr="00CD5673" w14:paraId="65ABE139" w14:textId="77777777" w:rsidTr="00D46430">
        <w:trPr>
          <w:gridAfter w:val="1"/>
          <w:wAfter w:w="8" w:type="pct"/>
          <w:cantSplit/>
        </w:trPr>
        <w:tc>
          <w:tcPr>
            <w:tcW w:w="667" w:type="pct"/>
            <w:tcBorders>
              <w:top w:val="single" w:sz="4" w:space="0" w:color="auto"/>
              <w:bottom w:val="single" w:sz="4" w:space="0" w:color="auto"/>
            </w:tcBorders>
          </w:tcPr>
          <w:p w14:paraId="107BDA05" w14:textId="77777777" w:rsidR="00D46430" w:rsidRPr="00CD5673" w:rsidRDefault="00D46430" w:rsidP="00D46430">
            <w:pPr>
              <w:pStyle w:val="Tabletext"/>
            </w:pPr>
            <w:r w:rsidRPr="00CD5673">
              <w:t>2</w:t>
            </w:r>
          </w:p>
        </w:tc>
        <w:tc>
          <w:tcPr>
            <w:tcW w:w="2110" w:type="pct"/>
            <w:tcBorders>
              <w:top w:val="single" w:sz="4" w:space="0" w:color="auto"/>
              <w:bottom w:val="single" w:sz="4" w:space="0" w:color="auto"/>
            </w:tcBorders>
          </w:tcPr>
          <w:p w14:paraId="7A67A2F7" w14:textId="77777777" w:rsidR="00D46430" w:rsidRPr="00CD5673" w:rsidRDefault="00D46430" w:rsidP="00D46430">
            <w:pPr>
              <w:pStyle w:val="Tabletext"/>
            </w:pPr>
          </w:p>
        </w:tc>
        <w:tc>
          <w:tcPr>
            <w:tcW w:w="2215" w:type="pct"/>
            <w:tcBorders>
              <w:top w:val="single" w:sz="4" w:space="0" w:color="auto"/>
              <w:bottom w:val="single" w:sz="4" w:space="0" w:color="auto"/>
            </w:tcBorders>
          </w:tcPr>
          <w:p w14:paraId="74E3E3ED" w14:textId="77777777" w:rsidR="00D46430" w:rsidRPr="00CD5673" w:rsidRDefault="00D46430" w:rsidP="00D46430">
            <w:pPr>
              <w:pStyle w:val="Tabletext"/>
            </w:pPr>
            <w:r w:rsidRPr="00CD5673">
              <w:t>Each position held by the person in the financial year</w:t>
            </w:r>
          </w:p>
        </w:tc>
      </w:tr>
      <w:tr w:rsidR="00D46430" w:rsidRPr="00CD5673" w14:paraId="41140B38" w14:textId="77777777" w:rsidTr="00D46430">
        <w:trPr>
          <w:gridAfter w:val="1"/>
          <w:wAfter w:w="8" w:type="pct"/>
          <w:cantSplit/>
        </w:trPr>
        <w:tc>
          <w:tcPr>
            <w:tcW w:w="667" w:type="pct"/>
            <w:tcBorders>
              <w:top w:val="single" w:sz="4" w:space="0" w:color="auto"/>
              <w:bottom w:val="single" w:sz="4" w:space="0" w:color="auto"/>
            </w:tcBorders>
          </w:tcPr>
          <w:p w14:paraId="0DEC37BA" w14:textId="77777777" w:rsidR="00D46430" w:rsidRPr="00CD5673" w:rsidRDefault="00D46430" w:rsidP="00D46430">
            <w:pPr>
              <w:pStyle w:val="Tabletext"/>
            </w:pPr>
            <w:r w:rsidRPr="00CD5673">
              <w:t>3</w:t>
            </w:r>
          </w:p>
        </w:tc>
        <w:tc>
          <w:tcPr>
            <w:tcW w:w="2110" w:type="pct"/>
            <w:tcBorders>
              <w:top w:val="single" w:sz="4" w:space="0" w:color="auto"/>
              <w:bottom w:val="single" w:sz="4" w:space="0" w:color="auto"/>
            </w:tcBorders>
          </w:tcPr>
          <w:p w14:paraId="3A22A340" w14:textId="77777777" w:rsidR="00D46430" w:rsidRPr="00CD5673" w:rsidRDefault="00D46430" w:rsidP="00D46430">
            <w:pPr>
              <w:pStyle w:val="Tabletext"/>
            </w:pPr>
            <w:r w:rsidRPr="00CD5673">
              <w:t>If the person has held a position mentioned in item 2 for less than the whole financial year</w:t>
            </w:r>
          </w:p>
        </w:tc>
        <w:tc>
          <w:tcPr>
            <w:tcW w:w="2215" w:type="pct"/>
            <w:tcBorders>
              <w:top w:val="single" w:sz="4" w:space="0" w:color="auto"/>
              <w:bottom w:val="single" w:sz="4" w:space="0" w:color="auto"/>
            </w:tcBorders>
          </w:tcPr>
          <w:p w14:paraId="5DDDAF6E" w14:textId="77777777" w:rsidR="00D46430" w:rsidRPr="00CD5673" w:rsidRDefault="00D46430" w:rsidP="00D46430">
            <w:pPr>
              <w:pStyle w:val="Tablea"/>
            </w:pPr>
            <w:r w:rsidRPr="00CD5673">
              <w:t>(a) The date on which the person began holding the position</w:t>
            </w:r>
          </w:p>
          <w:p w14:paraId="1C9FFF5B" w14:textId="77777777" w:rsidR="00D46430" w:rsidRPr="00CD5673" w:rsidRDefault="00D46430" w:rsidP="00D46430">
            <w:pPr>
              <w:pStyle w:val="Tablea"/>
            </w:pPr>
            <w:r w:rsidRPr="00CD5673">
              <w:t>(b) The date (if any) on which the person ceased to hold the position</w:t>
            </w:r>
          </w:p>
        </w:tc>
      </w:tr>
      <w:tr w:rsidR="00D46430" w:rsidRPr="00CD5673" w14:paraId="036B23E0" w14:textId="77777777" w:rsidTr="00D46430">
        <w:trPr>
          <w:gridAfter w:val="1"/>
          <w:wAfter w:w="8" w:type="pct"/>
          <w:cantSplit/>
        </w:trPr>
        <w:tc>
          <w:tcPr>
            <w:tcW w:w="667" w:type="pct"/>
            <w:tcBorders>
              <w:top w:val="single" w:sz="4" w:space="0" w:color="auto"/>
              <w:bottom w:val="single" w:sz="4" w:space="0" w:color="auto"/>
            </w:tcBorders>
          </w:tcPr>
          <w:p w14:paraId="38FF2FEC" w14:textId="77777777" w:rsidR="00D46430" w:rsidRPr="00CD5673" w:rsidRDefault="00D46430" w:rsidP="00D46430">
            <w:pPr>
              <w:pStyle w:val="Tabletext"/>
            </w:pPr>
            <w:r w:rsidRPr="00CD5673">
              <w:t>4</w:t>
            </w:r>
          </w:p>
        </w:tc>
        <w:tc>
          <w:tcPr>
            <w:tcW w:w="2110" w:type="pct"/>
            <w:tcBorders>
              <w:top w:val="single" w:sz="4" w:space="0" w:color="auto"/>
              <w:bottom w:val="single" w:sz="4" w:space="0" w:color="auto"/>
            </w:tcBorders>
          </w:tcPr>
          <w:p w14:paraId="30DE3CA3" w14:textId="77777777" w:rsidR="00D46430" w:rsidRPr="00CD5673" w:rsidRDefault="00D46430" w:rsidP="00D46430">
            <w:pPr>
              <w:pStyle w:val="Tabletext"/>
            </w:pPr>
            <w:r w:rsidRPr="00CD5673">
              <w:t>If there has been a change in the chief executive officer or a director of the entity during the period:</w:t>
            </w:r>
          </w:p>
          <w:p w14:paraId="58C91321" w14:textId="77777777" w:rsidR="00D46430" w:rsidRPr="00CD5673" w:rsidRDefault="00D46430" w:rsidP="00D46430">
            <w:pPr>
              <w:pStyle w:val="Tablea"/>
            </w:pPr>
            <w:r w:rsidRPr="00CD5673">
              <w:t>(a) starting immediately after the reporting date; and</w:t>
            </w:r>
          </w:p>
          <w:p w14:paraId="34EFB1A1" w14:textId="77777777" w:rsidR="00D46430" w:rsidRPr="00CD5673" w:rsidRDefault="00D46430" w:rsidP="00D46430">
            <w:pPr>
              <w:pStyle w:val="Tablea"/>
            </w:pPr>
            <w:r w:rsidRPr="00CD5673">
              <w:t>(b) ending immediately before the date on which the financial report is authorised for issue</w:t>
            </w:r>
          </w:p>
        </w:tc>
        <w:tc>
          <w:tcPr>
            <w:tcW w:w="2215" w:type="pct"/>
            <w:tcBorders>
              <w:top w:val="single" w:sz="4" w:space="0" w:color="auto"/>
              <w:bottom w:val="single" w:sz="4" w:space="0" w:color="auto"/>
            </w:tcBorders>
          </w:tcPr>
          <w:p w14:paraId="6A7E42C1" w14:textId="77777777" w:rsidR="00D46430" w:rsidRPr="00CD5673" w:rsidRDefault="00D46430" w:rsidP="00D46430">
            <w:pPr>
              <w:pStyle w:val="Tablea"/>
            </w:pPr>
            <w:r w:rsidRPr="00CD5673">
              <w:t>(a) The name of each person involved in the change</w:t>
            </w:r>
          </w:p>
          <w:p w14:paraId="08D3DB14" w14:textId="77777777" w:rsidR="00D46430" w:rsidRPr="00CD5673" w:rsidRDefault="00D46430" w:rsidP="00D46430">
            <w:pPr>
              <w:pStyle w:val="Tablea"/>
            </w:pPr>
            <w:r w:rsidRPr="00CD5673">
              <w:t>(b) The position involved</w:t>
            </w:r>
          </w:p>
          <w:p w14:paraId="4288567F" w14:textId="77777777" w:rsidR="00D46430" w:rsidRPr="00CD5673" w:rsidRDefault="00D46430" w:rsidP="00D46430">
            <w:pPr>
              <w:pStyle w:val="Tablea"/>
            </w:pPr>
            <w:r w:rsidRPr="00CD5673">
              <w:t>(c) The date on which the change occurred</w:t>
            </w:r>
          </w:p>
        </w:tc>
      </w:tr>
      <w:tr w:rsidR="00D46430" w:rsidRPr="00CD5673" w14:paraId="4E2D7E23" w14:textId="77777777" w:rsidTr="00D46430">
        <w:trPr>
          <w:gridAfter w:val="1"/>
          <w:wAfter w:w="8" w:type="pct"/>
          <w:cantSplit/>
        </w:trPr>
        <w:tc>
          <w:tcPr>
            <w:tcW w:w="667" w:type="pct"/>
            <w:tcBorders>
              <w:top w:val="single" w:sz="4" w:space="0" w:color="auto"/>
              <w:bottom w:val="single" w:sz="4" w:space="0" w:color="auto"/>
            </w:tcBorders>
            <w:shd w:val="clear" w:color="auto" w:fill="auto"/>
          </w:tcPr>
          <w:p w14:paraId="404C04C4" w14:textId="77777777" w:rsidR="00D46430" w:rsidRPr="00CD5673" w:rsidRDefault="00D46430" w:rsidP="00D46430">
            <w:pPr>
              <w:pStyle w:val="Tabletext"/>
            </w:pPr>
            <w:r w:rsidRPr="00CD5673">
              <w:t>5</w:t>
            </w:r>
          </w:p>
        </w:tc>
        <w:tc>
          <w:tcPr>
            <w:tcW w:w="2110" w:type="pct"/>
            <w:tcBorders>
              <w:top w:val="single" w:sz="4" w:space="0" w:color="auto"/>
              <w:bottom w:val="single" w:sz="4" w:space="0" w:color="auto"/>
            </w:tcBorders>
            <w:shd w:val="clear" w:color="auto" w:fill="auto"/>
          </w:tcPr>
          <w:p w14:paraId="3F5FBC7A" w14:textId="77777777" w:rsidR="00D46430" w:rsidRPr="00CD5673" w:rsidRDefault="00D46430" w:rsidP="00D46430">
            <w:pPr>
              <w:pStyle w:val="Tabletext"/>
            </w:pPr>
            <w:r w:rsidRPr="00CD5673">
              <w:t>If a person (other than a director or chief executive officer) has retired during the period:</w:t>
            </w:r>
          </w:p>
          <w:p w14:paraId="56CE7607" w14:textId="77777777" w:rsidR="00D46430" w:rsidRPr="00CD5673" w:rsidRDefault="00D46430" w:rsidP="00D46430">
            <w:pPr>
              <w:pStyle w:val="Tablea"/>
            </w:pPr>
            <w:r w:rsidRPr="00CD5673">
              <w:t>(a) starting immediately after the reporting date; and</w:t>
            </w:r>
          </w:p>
          <w:p w14:paraId="4992BEFD" w14:textId="77777777" w:rsidR="00D46430" w:rsidRPr="00CD5673" w:rsidRDefault="00D46430" w:rsidP="00D46430">
            <w:pPr>
              <w:pStyle w:val="Tablea"/>
            </w:pPr>
            <w:r w:rsidRPr="00CD5673">
              <w:t>(b) ending immediately before the date on which the financial report is authorised for issue</w:t>
            </w:r>
          </w:p>
        </w:tc>
        <w:tc>
          <w:tcPr>
            <w:tcW w:w="2215" w:type="pct"/>
            <w:tcBorders>
              <w:top w:val="single" w:sz="4" w:space="0" w:color="auto"/>
              <w:bottom w:val="single" w:sz="4" w:space="0" w:color="auto"/>
            </w:tcBorders>
            <w:shd w:val="clear" w:color="auto" w:fill="auto"/>
          </w:tcPr>
          <w:p w14:paraId="1DB5BE96" w14:textId="77777777" w:rsidR="00D46430" w:rsidRPr="00CD5673" w:rsidRDefault="00D46430" w:rsidP="00D46430">
            <w:pPr>
              <w:pStyle w:val="Tablea"/>
            </w:pPr>
            <w:r w:rsidRPr="00CD5673">
              <w:t>(a) The person’s name</w:t>
            </w:r>
          </w:p>
          <w:p w14:paraId="605D4FB1" w14:textId="77777777" w:rsidR="00D46430" w:rsidRPr="00CD5673" w:rsidRDefault="00D46430" w:rsidP="00D46430">
            <w:pPr>
              <w:pStyle w:val="Tablea"/>
            </w:pPr>
            <w:r w:rsidRPr="00CD5673">
              <w:t>(b) The position involved</w:t>
            </w:r>
          </w:p>
          <w:p w14:paraId="76C712E9" w14:textId="77777777" w:rsidR="00D46430" w:rsidRPr="00CD5673" w:rsidRDefault="00D46430" w:rsidP="00D46430">
            <w:pPr>
              <w:pStyle w:val="Tablea"/>
            </w:pPr>
            <w:r w:rsidRPr="00CD5673">
              <w:t>(c) The date on which the retirement took effect</w:t>
            </w:r>
          </w:p>
        </w:tc>
      </w:tr>
      <w:tr w:rsidR="00D46430" w:rsidRPr="00CD5673" w14:paraId="1BCEAA91" w14:textId="77777777" w:rsidTr="00D46430">
        <w:trPr>
          <w:gridAfter w:val="1"/>
          <w:wAfter w:w="8" w:type="pct"/>
          <w:cantSplit/>
        </w:trPr>
        <w:tc>
          <w:tcPr>
            <w:tcW w:w="4992" w:type="pct"/>
            <w:gridSpan w:val="3"/>
            <w:tcBorders>
              <w:top w:val="single" w:sz="4" w:space="0" w:color="auto"/>
              <w:bottom w:val="single" w:sz="4" w:space="0" w:color="auto"/>
            </w:tcBorders>
          </w:tcPr>
          <w:p w14:paraId="424CEA8B" w14:textId="77777777" w:rsidR="00D46430" w:rsidRPr="00CD5673" w:rsidRDefault="00D46430" w:rsidP="00D46430">
            <w:pPr>
              <w:pStyle w:val="TableHeading"/>
              <w:rPr>
                <w:b w:val="0"/>
                <w:i/>
              </w:rPr>
            </w:pPr>
            <w:r w:rsidRPr="00CD5673">
              <w:rPr>
                <w:b w:val="0"/>
                <w:i/>
              </w:rPr>
              <w:lastRenderedPageBreak/>
              <w:t xml:space="preserve">Payments and benefits </w:t>
            </w:r>
          </w:p>
        </w:tc>
      </w:tr>
      <w:tr w:rsidR="00D46430" w:rsidRPr="00CD5673" w14:paraId="33C51C27" w14:textId="77777777" w:rsidTr="00D46430">
        <w:trPr>
          <w:gridAfter w:val="1"/>
          <w:wAfter w:w="8" w:type="pct"/>
          <w:cantSplit/>
        </w:trPr>
        <w:tc>
          <w:tcPr>
            <w:tcW w:w="667" w:type="pct"/>
            <w:tcBorders>
              <w:top w:val="single" w:sz="4" w:space="0" w:color="auto"/>
              <w:bottom w:val="single" w:sz="4" w:space="0" w:color="auto"/>
            </w:tcBorders>
          </w:tcPr>
          <w:p w14:paraId="62724EDF" w14:textId="77777777" w:rsidR="00D46430" w:rsidRPr="00CD5673" w:rsidRDefault="00D46430" w:rsidP="00D46430">
            <w:pPr>
              <w:pStyle w:val="Tabletext"/>
            </w:pPr>
            <w:r w:rsidRPr="00CD5673">
              <w:t>6</w:t>
            </w:r>
          </w:p>
        </w:tc>
        <w:tc>
          <w:tcPr>
            <w:tcW w:w="2110" w:type="pct"/>
            <w:tcBorders>
              <w:top w:val="single" w:sz="4" w:space="0" w:color="auto"/>
              <w:bottom w:val="single" w:sz="4" w:space="0" w:color="auto"/>
            </w:tcBorders>
          </w:tcPr>
          <w:p w14:paraId="5648A4D1" w14:textId="77777777" w:rsidR="00D46430" w:rsidRPr="00CD5673" w:rsidRDefault="00D46430" w:rsidP="00D46430">
            <w:pPr>
              <w:pStyle w:val="Tabletext"/>
            </w:pPr>
            <w:r w:rsidRPr="00CD5673">
              <w:t>Note:</w:t>
            </w:r>
            <w:r w:rsidRPr="00CD5673">
              <w:tab/>
              <w:t>See subregulation (2).</w:t>
            </w:r>
          </w:p>
        </w:tc>
        <w:tc>
          <w:tcPr>
            <w:tcW w:w="2215" w:type="pct"/>
            <w:tcBorders>
              <w:top w:val="single" w:sz="4" w:space="0" w:color="auto"/>
              <w:bottom w:val="single" w:sz="4" w:space="0" w:color="auto"/>
            </w:tcBorders>
          </w:tcPr>
          <w:p w14:paraId="3BE7BDAB" w14:textId="77777777" w:rsidR="00D46430" w:rsidRPr="00CD5673" w:rsidRDefault="00D46430" w:rsidP="00D46430">
            <w:pPr>
              <w:pStyle w:val="Tabletext"/>
            </w:pPr>
            <w:r w:rsidRPr="00CD5673">
              <w:t>The person’s short</w:t>
            </w:r>
            <w:r w:rsidR="00C614F1">
              <w:noBreakHyphen/>
            </w:r>
            <w:r w:rsidRPr="00CD5673">
              <w:t>term employee benefits, divided into at least the following components:</w:t>
            </w:r>
          </w:p>
          <w:p w14:paraId="4464177F" w14:textId="77777777" w:rsidR="00D46430" w:rsidRPr="00CD5673" w:rsidRDefault="00D46430" w:rsidP="00D46430">
            <w:pPr>
              <w:pStyle w:val="Tablea"/>
            </w:pPr>
            <w:r w:rsidRPr="00CD5673">
              <w:t>(a) cash salary, fees and short</w:t>
            </w:r>
            <w:r w:rsidR="00C614F1">
              <w:noBreakHyphen/>
            </w:r>
            <w:r w:rsidRPr="00CD5673">
              <w:t>term compensated absences;</w:t>
            </w:r>
          </w:p>
          <w:p w14:paraId="4EE63CD3" w14:textId="77777777" w:rsidR="00D46430" w:rsidRPr="00CD5673" w:rsidRDefault="00D46430" w:rsidP="00D46430">
            <w:pPr>
              <w:pStyle w:val="Tablea"/>
            </w:pPr>
            <w:r w:rsidRPr="00CD5673">
              <w:t>(b) short</w:t>
            </w:r>
            <w:r w:rsidR="00C614F1">
              <w:noBreakHyphen/>
            </w:r>
            <w:r w:rsidRPr="00CD5673">
              <w:t>term cash profit</w:t>
            </w:r>
            <w:r w:rsidR="00C614F1">
              <w:noBreakHyphen/>
            </w:r>
            <w:r w:rsidRPr="00CD5673">
              <w:t>sharing and other bonuses;</w:t>
            </w:r>
          </w:p>
          <w:p w14:paraId="71B854C0" w14:textId="77777777" w:rsidR="00D46430" w:rsidRPr="00CD5673" w:rsidRDefault="00D46430" w:rsidP="00D46430">
            <w:pPr>
              <w:pStyle w:val="Tablea"/>
            </w:pPr>
            <w:r w:rsidRPr="00CD5673">
              <w:t>(c) non</w:t>
            </w:r>
            <w:r w:rsidR="00C614F1">
              <w:noBreakHyphen/>
            </w:r>
            <w:r w:rsidRPr="00CD5673">
              <w:t>monetary benefits;</w:t>
            </w:r>
          </w:p>
          <w:p w14:paraId="47982B62" w14:textId="77777777" w:rsidR="00D46430" w:rsidRPr="00CD5673" w:rsidRDefault="00D46430" w:rsidP="00D46430">
            <w:pPr>
              <w:pStyle w:val="Tablea"/>
            </w:pPr>
            <w:r w:rsidRPr="00CD5673">
              <w:t>(d) other short</w:t>
            </w:r>
            <w:r w:rsidR="00C614F1">
              <w:noBreakHyphen/>
            </w:r>
            <w:r w:rsidRPr="00CD5673">
              <w:t>term employee benefits</w:t>
            </w:r>
          </w:p>
        </w:tc>
      </w:tr>
      <w:tr w:rsidR="00D46430" w:rsidRPr="00CD5673" w14:paraId="2059B1F4" w14:textId="77777777" w:rsidTr="00D46430">
        <w:trPr>
          <w:gridAfter w:val="1"/>
          <w:wAfter w:w="8" w:type="pct"/>
          <w:cantSplit/>
        </w:trPr>
        <w:tc>
          <w:tcPr>
            <w:tcW w:w="667" w:type="pct"/>
            <w:tcBorders>
              <w:top w:val="single" w:sz="4" w:space="0" w:color="auto"/>
              <w:bottom w:val="single" w:sz="4" w:space="0" w:color="auto"/>
            </w:tcBorders>
          </w:tcPr>
          <w:p w14:paraId="2BD5DDEF" w14:textId="77777777" w:rsidR="00D46430" w:rsidRPr="00CD5673" w:rsidRDefault="00D46430" w:rsidP="00D46430">
            <w:pPr>
              <w:pStyle w:val="Tabletext"/>
            </w:pPr>
            <w:r w:rsidRPr="00CD5673">
              <w:t>7</w:t>
            </w:r>
          </w:p>
        </w:tc>
        <w:tc>
          <w:tcPr>
            <w:tcW w:w="2110" w:type="pct"/>
            <w:tcBorders>
              <w:top w:val="single" w:sz="4" w:space="0" w:color="auto"/>
              <w:bottom w:val="single" w:sz="4" w:space="0" w:color="auto"/>
            </w:tcBorders>
          </w:tcPr>
          <w:p w14:paraId="46AFE487" w14:textId="77777777" w:rsidR="00D46430" w:rsidRPr="00CD5673" w:rsidRDefault="00D46430" w:rsidP="00D46430">
            <w:pPr>
              <w:pStyle w:val="Tabletext"/>
            </w:pPr>
            <w:r w:rsidRPr="00CD5673">
              <w:t>Note:</w:t>
            </w:r>
            <w:r w:rsidRPr="00CD5673">
              <w:tab/>
              <w:t>See subregulation (2).</w:t>
            </w:r>
          </w:p>
        </w:tc>
        <w:tc>
          <w:tcPr>
            <w:tcW w:w="2215" w:type="pct"/>
            <w:tcBorders>
              <w:top w:val="single" w:sz="4" w:space="0" w:color="auto"/>
              <w:bottom w:val="single" w:sz="4" w:space="0" w:color="auto"/>
            </w:tcBorders>
          </w:tcPr>
          <w:p w14:paraId="64DEEC8D" w14:textId="77777777" w:rsidR="00D46430" w:rsidRPr="00CD5673" w:rsidRDefault="00D46430" w:rsidP="00D46430">
            <w:pPr>
              <w:pStyle w:val="Tabletext"/>
            </w:pPr>
            <w:r w:rsidRPr="00CD5673">
              <w:t>The person’s post</w:t>
            </w:r>
            <w:r w:rsidR="00C614F1">
              <w:noBreakHyphen/>
            </w:r>
            <w:r w:rsidRPr="00CD5673">
              <w:t>employment benefits, divided into at least the following components:</w:t>
            </w:r>
          </w:p>
          <w:p w14:paraId="5725D16F" w14:textId="77777777" w:rsidR="00D46430" w:rsidRPr="00CD5673" w:rsidRDefault="00D46430" w:rsidP="00D46430">
            <w:pPr>
              <w:pStyle w:val="Tablea"/>
            </w:pPr>
            <w:r w:rsidRPr="00CD5673">
              <w:t>(a) pension and superannuation benefits;</w:t>
            </w:r>
          </w:p>
          <w:p w14:paraId="60E084F6" w14:textId="77777777" w:rsidR="00D46430" w:rsidRPr="00CD5673" w:rsidRDefault="00D46430" w:rsidP="00D46430">
            <w:pPr>
              <w:pStyle w:val="Tablea"/>
            </w:pPr>
            <w:r w:rsidRPr="00CD5673">
              <w:t>(b) other post</w:t>
            </w:r>
            <w:r w:rsidR="00C614F1">
              <w:noBreakHyphen/>
            </w:r>
            <w:r w:rsidRPr="00CD5673">
              <w:t>employment benefits</w:t>
            </w:r>
          </w:p>
        </w:tc>
      </w:tr>
      <w:tr w:rsidR="00D46430" w:rsidRPr="00CD5673" w14:paraId="6B171F53" w14:textId="77777777" w:rsidTr="00D46430">
        <w:trPr>
          <w:gridAfter w:val="1"/>
          <w:wAfter w:w="8" w:type="pct"/>
          <w:cantSplit/>
        </w:trPr>
        <w:tc>
          <w:tcPr>
            <w:tcW w:w="667" w:type="pct"/>
            <w:tcBorders>
              <w:top w:val="single" w:sz="4" w:space="0" w:color="auto"/>
              <w:bottom w:val="single" w:sz="4" w:space="0" w:color="auto"/>
            </w:tcBorders>
          </w:tcPr>
          <w:p w14:paraId="2C0C964A" w14:textId="77777777" w:rsidR="00D46430" w:rsidRPr="00CD5673" w:rsidRDefault="00D46430" w:rsidP="00D46430">
            <w:pPr>
              <w:pStyle w:val="Tabletext"/>
            </w:pPr>
            <w:r w:rsidRPr="00CD5673">
              <w:t>8</w:t>
            </w:r>
          </w:p>
        </w:tc>
        <w:tc>
          <w:tcPr>
            <w:tcW w:w="2110" w:type="pct"/>
            <w:tcBorders>
              <w:top w:val="single" w:sz="4" w:space="0" w:color="auto"/>
              <w:bottom w:val="single" w:sz="4" w:space="0" w:color="auto"/>
            </w:tcBorders>
          </w:tcPr>
          <w:p w14:paraId="79EE54A5" w14:textId="77777777" w:rsidR="00D46430" w:rsidRPr="00CD5673" w:rsidRDefault="00D46430" w:rsidP="00D46430">
            <w:pPr>
              <w:pStyle w:val="Tabletext"/>
            </w:pPr>
            <w:r w:rsidRPr="00CD5673">
              <w:t>Note:</w:t>
            </w:r>
            <w:r w:rsidRPr="00CD5673">
              <w:tab/>
              <w:t>See subregulation (2).</w:t>
            </w:r>
          </w:p>
        </w:tc>
        <w:tc>
          <w:tcPr>
            <w:tcW w:w="2215" w:type="pct"/>
            <w:tcBorders>
              <w:top w:val="single" w:sz="4" w:space="0" w:color="auto"/>
              <w:bottom w:val="single" w:sz="4" w:space="0" w:color="auto"/>
            </w:tcBorders>
          </w:tcPr>
          <w:p w14:paraId="47322DE2" w14:textId="77777777" w:rsidR="00D46430" w:rsidRPr="00CD5673" w:rsidRDefault="00D46430" w:rsidP="00D46430">
            <w:pPr>
              <w:pStyle w:val="Tabletext"/>
            </w:pPr>
            <w:r w:rsidRPr="00CD5673">
              <w:t>The person’s long</w:t>
            </w:r>
            <w:r w:rsidR="00C614F1">
              <w:noBreakHyphen/>
            </w:r>
            <w:r w:rsidRPr="00CD5673">
              <w:t>term employee benefits other than benefits mentioned in items 6 and 7, separately identifying any amount attributable to a long</w:t>
            </w:r>
            <w:r w:rsidR="00C614F1">
              <w:noBreakHyphen/>
            </w:r>
            <w:r w:rsidRPr="00CD5673">
              <w:t>term incentive plan</w:t>
            </w:r>
          </w:p>
        </w:tc>
      </w:tr>
      <w:tr w:rsidR="00D46430" w:rsidRPr="00CD5673" w14:paraId="59CB54F3" w14:textId="77777777" w:rsidTr="00D46430">
        <w:trPr>
          <w:gridAfter w:val="1"/>
          <w:wAfter w:w="8" w:type="pct"/>
          <w:cantSplit/>
        </w:trPr>
        <w:tc>
          <w:tcPr>
            <w:tcW w:w="667" w:type="pct"/>
            <w:tcBorders>
              <w:top w:val="single" w:sz="4" w:space="0" w:color="auto"/>
              <w:bottom w:val="single" w:sz="4" w:space="0" w:color="auto"/>
            </w:tcBorders>
            <w:shd w:val="clear" w:color="auto" w:fill="auto"/>
          </w:tcPr>
          <w:p w14:paraId="7119A664" w14:textId="77777777" w:rsidR="00D46430" w:rsidRPr="00CD5673" w:rsidRDefault="00D46430" w:rsidP="00D46430">
            <w:pPr>
              <w:pStyle w:val="Tabletext"/>
            </w:pPr>
            <w:r w:rsidRPr="00CD5673">
              <w:t>9</w:t>
            </w:r>
          </w:p>
        </w:tc>
        <w:tc>
          <w:tcPr>
            <w:tcW w:w="2110" w:type="pct"/>
            <w:tcBorders>
              <w:top w:val="single" w:sz="4" w:space="0" w:color="auto"/>
              <w:bottom w:val="single" w:sz="4" w:space="0" w:color="auto"/>
            </w:tcBorders>
            <w:shd w:val="clear" w:color="auto" w:fill="auto"/>
          </w:tcPr>
          <w:p w14:paraId="00113242" w14:textId="77777777" w:rsidR="00D46430" w:rsidRPr="00CD5673" w:rsidRDefault="00D46430" w:rsidP="00D46430">
            <w:pPr>
              <w:pStyle w:val="Tabletext"/>
            </w:pPr>
            <w:r w:rsidRPr="00CD5673">
              <w:t>Note:</w:t>
            </w:r>
            <w:r w:rsidRPr="00CD5673">
              <w:tab/>
              <w:t>See subregulation (2).</w:t>
            </w:r>
          </w:p>
        </w:tc>
        <w:tc>
          <w:tcPr>
            <w:tcW w:w="2215" w:type="pct"/>
            <w:tcBorders>
              <w:top w:val="single" w:sz="4" w:space="0" w:color="auto"/>
              <w:bottom w:val="single" w:sz="4" w:space="0" w:color="auto"/>
            </w:tcBorders>
            <w:shd w:val="clear" w:color="auto" w:fill="auto"/>
          </w:tcPr>
          <w:p w14:paraId="2EC1BF0E" w14:textId="77777777" w:rsidR="00D46430" w:rsidRPr="00CD5673" w:rsidRDefault="00D46430" w:rsidP="00D46430">
            <w:pPr>
              <w:pStyle w:val="Tabletext"/>
            </w:pPr>
            <w:r w:rsidRPr="00CD5673">
              <w:t>The person’s termination benefits</w:t>
            </w:r>
          </w:p>
        </w:tc>
      </w:tr>
      <w:tr w:rsidR="00D46430" w:rsidRPr="00CD5673" w14:paraId="5F45CB5A" w14:textId="77777777" w:rsidTr="00D46430">
        <w:trPr>
          <w:gridAfter w:val="1"/>
          <w:wAfter w:w="8" w:type="pct"/>
          <w:cantSplit/>
        </w:trPr>
        <w:tc>
          <w:tcPr>
            <w:tcW w:w="667" w:type="pct"/>
            <w:tcBorders>
              <w:top w:val="single" w:sz="4" w:space="0" w:color="auto"/>
              <w:bottom w:val="single" w:sz="4" w:space="0" w:color="auto"/>
            </w:tcBorders>
          </w:tcPr>
          <w:p w14:paraId="6886E616" w14:textId="77777777" w:rsidR="00D46430" w:rsidRPr="00CD5673" w:rsidRDefault="00D46430" w:rsidP="00D46430">
            <w:pPr>
              <w:pStyle w:val="Tabletext"/>
            </w:pPr>
            <w:r w:rsidRPr="00CD5673">
              <w:t>10</w:t>
            </w:r>
          </w:p>
        </w:tc>
        <w:tc>
          <w:tcPr>
            <w:tcW w:w="2110" w:type="pct"/>
            <w:tcBorders>
              <w:top w:val="single" w:sz="4" w:space="0" w:color="auto"/>
              <w:bottom w:val="single" w:sz="4" w:space="0" w:color="auto"/>
            </w:tcBorders>
          </w:tcPr>
          <w:p w14:paraId="1A35C4D8" w14:textId="77777777" w:rsidR="00D46430" w:rsidRPr="00CD5673" w:rsidRDefault="00D46430" w:rsidP="00D46430">
            <w:pPr>
              <w:pStyle w:val="Tabletext"/>
            </w:pPr>
            <w:r w:rsidRPr="00CD5673">
              <w:t>For any position the person started to hold during the financial year</w:t>
            </w:r>
          </w:p>
        </w:tc>
        <w:tc>
          <w:tcPr>
            <w:tcW w:w="2215" w:type="pct"/>
            <w:tcBorders>
              <w:top w:val="single" w:sz="4" w:space="0" w:color="auto"/>
              <w:bottom w:val="single" w:sz="4" w:space="0" w:color="auto"/>
            </w:tcBorders>
          </w:tcPr>
          <w:p w14:paraId="1BCD46B2" w14:textId="77777777" w:rsidR="00D46430" w:rsidRPr="00CD5673" w:rsidRDefault="00D46430" w:rsidP="00D46430">
            <w:pPr>
              <w:pStyle w:val="Tabletext"/>
            </w:pPr>
            <w:r w:rsidRPr="00CD5673">
              <w:t>Payments (if any) made to the person, before the person started to hold the position, as part of the consideration for the person agreeing to hold the position, including:</w:t>
            </w:r>
          </w:p>
          <w:p w14:paraId="2D1DE54B" w14:textId="77777777" w:rsidR="00D46430" w:rsidRPr="00CD5673" w:rsidRDefault="00D46430" w:rsidP="00D46430">
            <w:pPr>
              <w:pStyle w:val="Tablea"/>
            </w:pPr>
            <w:r w:rsidRPr="00CD5673">
              <w:t>(a) the monetary value of the payment; and</w:t>
            </w:r>
          </w:p>
          <w:p w14:paraId="6EF244C9" w14:textId="77777777" w:rsidR="00D46430" w:rsidRPr="00CD5673" w:rsidRDefault="00D46430" w:rsidP="00D46430">
            <w:pPr>
              <w:pStyle w:val="Tablea"/>
            </w:pPr>
            <w:r w:rsidRPr="00CD5673">
              <w:t>(b) the date of the payment</w:t>
            </w:r>
          </w:p>
        </w:tc>
      </w:tr>
      <w:tr w:rsidR="00D46430" w:rsidRPr="00CD5673" w14:paraId="3102CC6C" w14:textId="77777777" w:rsidTr="00D46430">
        <w:trPr>
          <w:gridAfter w:val="1"/>
          <w:wAfter w:w="8" w:type="pct"/>
          <w:cantSplit/>
        </w:trPr>
        <w:tc>
          <w:tcPr>
            <w:tcW w:w="667" w:type="pct"/>
            <w:tcBorders>
              <w:top w:val="single" w:sz="4" w:space="0" w:color="auto"/>
            </w:tcBorders>
          </w:tcPr>
          <w:p w14:paraId="1397311C" w14:textId="77777777" w:rsidR="00D46430" w:rsidRPr="00CD5673" w:rsidRDefault="00D46430" w:rsidP="00D46430">
            <w:pPr>
              <w:pStyle w:val="Tabletext"/>
            </w:pPr>
            <w:r w:rsidRPr="00CD5673">
              <w:t>11</w:t>
            </w:r>
          </w:p>
        </w:tc>
        <w:tc>
          <w:tcPr>
            <w:tcW w:w="2110" w:type="pct"/>
            <w:tcBorders>
              <w:top w:val="single" w:sz="4" w:space="0" w:color="auto"/>
            </w:tcBorders>
          </w:tcPr>
          <w:p w14:paraId="2A43CADA" w14:textId="77777777" w:rsidR="00D46430" w:rsidRPr="00CD5673" w:rsidRDefault="00D46430" w:rsidP="00D46430">
            <w:pPr>
              <w:pStyle w:val="Tabletext"/>
            </w:pPr>
            <w:r w:rsidRPr="00CD5673">
              <w:t>Note:</w:t>
            </w:r>
            <w:r w:rsidRPr="00CD5673">
              <w:tab/>
              <w:t>See subregulation (2).</w:t>
            </w:r>
          </w:p>
        </w:tc>
        <w:tc>
          <w:tcPr>
            <w:tcW w:w="2215" w:type="pct"/>
            <w:tcBorders>
              <w:top w:val="single" w:sz="4" w:space="0" w:color="auto"/>
            </w:tcBorders>
          </w:tcPr>
          <w:p w14:paraId="05C9D235" w14:textId="77777777" w:rsidR="00D46430" w:rsidRPr="00CD5673" w:rsidRDefault="00D46430" w:rsidP="00D46430">
            <w:pPr>
              <w:pStyle w:val="Tabletext"/>
            </w:pPr>
            <w:r w:rsidRPr="00CD5673">
              <w:t>Share</w:t>
            </w:r>
            <w:r w:rsidR="00C614F1">
              <w:noBreakHyphen/>
            </w:r>
            <w:r w:rsidRPr="00CD5673">
              <w:t>based payments made to the person, divided into at least the following components:</w:t>
            </w:r>
          </w:p>
          <w:p w14:paraId="2A91F9E5" w14:textId="77777777" w:rsidR="00D46430" w:rsidRPr="00CD5673" w:rsidRDefault="00D46430" w:rsidP="00D46430">
            <w:pPr>
              <w:pStyle w:val="Tablea"/>
            </w:pPr>
            <w:r w:rsidRPr="00CD5673">
              <w:t>(a) equity</w:t>
            </w:r>
            <w:r w:rsidR="00C614F1">
              <w:noBreakHyphen/>
            </w:r>
            <w:r w:rsidRPr="00CD5673">
              <w:t>settled share</w:t>
            </w:r>
            <w:r w:rsidR="00C614F1">
              <w:noBreakHyphen/>
            </w:r>
            <w:r w:rsidRPr="00CD5673">
              <w:t>based payment transactions, showing separately:</w:t>
            </w:r>
          </w:p>
          <w:p w14:paraId="3D2C9A56" w14:textId="77777777" w:rsidR="00D46430" w:rsidRPr="00CD5673" w:rsidRDefault="00D46430" w:rsidP="00D46430">
            <w:pPr>
              <w:pStyle w:val="Tablei"/>
            </w:pPr>
            <w:r w:rsidRPr="00CD5673">
              <w:t>(i) shares and units; and</w:t>
            </w:r>
          </w:p>
          <w:p w14:paraId="7329AE67" w14:textId="77777777" w:rsidR="00D46430" w:rsidRPr="00CD5673" w:rsidRDefault="00D46430" w:rsidP="00D46430">
            <w:pPr>
              <w:pStyle w:val="Tablei"/>
            </w:pPr>
            <w:r w:rsidRPr="00CD5673">
              <w:t>(ii) options and rights;</w:t>
            </w:r>
          </w:p>
          <w:p w14:paraId="2114AB78" w14:textId="77777777" w:rsidR="00D46430" w:rsidRPr="00CD5673" w:rsidRDefault="00D46430" w:rsidP="00D46430">
            <w:pPr>
              <w:pStyle w:val="Tablea"/>
            </w:pPr>
            <w:r w:rsidRPr="00CD5673">
              <w:t>(b) cash</w:t>
            </w:r>
            <w:r w:rsidR="00C614F1">
              <w:noBreakHyphen/>
            </w:r>
            <w:r w:rsidRPr="00CD5673">
              <w:t>settled share</w:t>
            </w:r>
            <w:r w:rsidR="00C614F1">
              <w:noBreakHyphen/>
            </w:r>
            <w:r w:rsidRPr="00CD5673">
              <w:t xml:space="preserve">based payment transactions; </w:t>
            </w:r>
          </w:p>
        </w:tc>
      </w:tr>
      <w:tr w:rsidR="00D46430" w:rsidRPr="00CD5673" w14:paraId="2DF54747" w14:textId="77777777" w:rsidTr="00D46430">
        <w:trPr>
          <w:gridAfter w:val="1"/>
          <w:wAfter w:w="8" w:type="pct"/>
          <w:cantSplit/>
        </w:trPr>
        <w:tc>
          <w:tcPr>
            <w:tcW w:w="667" w:type="pct"/>
            <w:tcBorders>
              <w:bottom w:val="single" w:sz="4" w:space="0" w:color="auto"/>
            </w:tcBorders>
          </w:tcPr>
          <w:p w14:paraId="53691D0E" w14:textId="77777777" w:rsidR="00D46430" w:rsidRPr="00CD5673" w:rsidRDefault="00D46430" w:rsidP="00D46430">
            <w:pPr>
              <w:ind w:left="113"/>
              <w:rPr>
                <w:sz w:val="20"/>
              </w:rPr>
            </w:pPr>
          </w:p>
        </w:tc>
        <w:tc>
          <w:tcPr>
            <w:tcW w:w="2110" w:type="pct"/>
            <w:tcBorders>
              <w:bottom w:val="single" w:sz="4" w:space="0" w:color="auto"/>
            </w:tcBorders>
          </w:tcPr>
          <w:p w14:paraId="028C896B" w14:textId="77777777" w:rsidR="00D46430" w:rsidRPr="00CD5673" w:rsidRDefault="00D46430" w:rsidP="00D46430">
            <w:pPr>
              <w:pStyle w:val="Tabletext"/>
            </w:pPr>
          </w:p>
        </w:tc>
        <w:tc>
          <w:tcPr>
            <w:tcW w:w="2215" w:type="pct"/>
            <w:tcBorders>
              <w:bottom w:val="single" w:sz="4" w:space="0" w:color="auto"/>
            </w:tcBorders>
          </w:tcPr>
          <w:p w14:paraId="64806D7D" w14:textId="77777777" w:rsidR="00D46430" w:rsidRPr="00CD5673" w:rsidRDefault="00D46430" w:rsidP="00D46430">
            <w:pPr>
              <w:pStyle w:val="Tablea"/>
            </w:pPr>
            <w:r w:rsidRPr="00CD5673">
              <w:t>(c) all other forms of share</w:t>
            </w:r>
            <w:r w:rsidR="00C614F1">
              <w:noBreakHyphen/>
            </w:r>
            <w:r w:rsidRPr="00CD5673">
              <w:t>based payment compensation (including hybrids)</w:t>
            </w:r>
          </w:p>
        </w:tc>
      </w:tr>
      <w:tr w:rsidR="00D46430" w:rsidRPr="00CD5673" w14:paraId="138BBCE8" w14:textId="77777777" w:rsidTr="00D46430">
        <w:trPr>
          <w:gridAfter w:val="1"/>
          <w:wAfter w:w="8" w:type="pct"/>
          <w:cantSplit/>
        </w:trPr>
        <w:tc>
          <w:tcPr>
            <w:tcW w:w="4992" w:type="pct"/>
            <w:gridSpan w:val="3"/>
            <w:tcBorders>
              <w:top w:val="single" w:sz="4" w:space="0" w:color="auto"/>
              <w:bottom w:val="single" w:sz="4" w:space="0" w:color="auto"/>
            </w:tcBorders>
          </w:tcPr>
          <w:p w14:paraId="35BC4ABB" w14:textId="77777777" w:rsidR="00D46430" w:rsidRPr="00CD5673" w:rsidRDefault="00D46430" w:rsidP="00D46430">
            <w:pPr>
              <w:pStyle w:val="TableHeading"/>
              <w:keepLines/>
              <w:rPr>
                <w:b w:val="0"/>
                <w:i/>
              </w:rPr>
            </w:pPr>
            <w:r w:rsidRPr="00CD5673">
              <w:rPr>
                <w:b w:val="0"/>
                <w:i/>
              </w:rPr>
              <w:t xml:space="preserve">Compensation </w:t>
            </w:r>
          </w:p>
        </w:tc>
      </w:tr>
      <w:tr w:rsidR="00D46430" w:rsidRPr="00CD5673" w14:paraId="55830A8A" w14:textId="77777777" w:rsidTr="00D46430">
        <w:trPr>
          <w:gridAfter w:val="1"/>
          <w:wAfter w:w="8" w:type="pct"/>
          <w:cantSplit/>
        </w:trPr>
        <w:tc>
          <w:tcPr>
            <w:tcW w:w="667" w:type="pct"/>
            <w:tcBorders>
              <w:top w:val="single" w:sz="4" w:space="0" w:color="auto"/>
            </w:tcBorders>
          </w:tcPr>
          <w:p w14:paraId="72DAC301" w14:textId="77777777" w:rsidR="00D46430" w:rsidRPr="00CD5673" w:rsidRDefault="00D46430" w:rsidP="00D46430">
            <w:pPr>
              <w:pStyle w:val="Tabletext"/>
            </w:pPr>
            <w:r w:rsidRPr="00CD5673">
              <w:t>12</w:t>
            </w:r>
          </w:p>
        </w:tc>
        <w:tc>
          <w:tcPr>
            <w:tcW w:w="2110" w:type="pct"/>
            <w:tcBorders>
              <w:top w:val="single" w:sz="4" w:space="0" w:color="auto"/>
            </w:tcBorders>
          </w:tcPr>
          <w:p w14:paraId="4D77FC71" w14:textId="77777777" w:rsidR="00D46430" w:rsidRPr="00CD5673" w:rsidRDefault="00D46430" w:rsidP="00D46430">
            <w:pPr>
              <w:pStyle w:val="Tabletext"/>
            </w:pPr>
            <w:r w:rsidRPr="00CD5673">
              <w:t>For each grant of a cash bonus, performance</w:t>
            </w:r>
            <w:r w:rsidR="00C614F1">
              <w:noBreakHyphen/>
            </w:r>
            <w:r w:rsidRPr="00CD5673">
              <w:t>related bonus or share</w:t>
            </w:r>
            <w:r w:rsidR="00C614F1">
              <w:noBreakHyphen/>
            </w:r>
            <w:r w:rsidRPr="00CD5673">
              <w:t>based payment compensation benefit made to a person, whether part of a specific contract for services or not</w:t>
            </w:r>
          </w:p>
        </w:tc>
        <w:tc>
          <w:tcPr>
            <w:tcW w:w="2215" w:type="pct"/>
            <w:tcBorders>
              <w:top w:val="single" w:sz="4" w:space="0" w:color="auto"/>
            </w:tcBorders>
          </w:tcPr>
          <w:p w14:paraId="0F1C574A" w14:textId="77777777" w:rsidR="00D46430" w:rsidRPr="00CD5673" w:rsidRDefault="00D46430" w:rsidP="00D46430">
            <w:pPr>
              <w:pStyle w:val="Tabletext"/>
            </w:pPr>
            <w:r w:rsidRPr="00CD5673">
              <w:t>The terms and conditions of each grant affecting compensation in the reporting period or a future reporting period, including the following:</w:t>
            </w:r>
          </w:p>
          <w:p w14:paraId="4D4D7C5C" w14:textId="77777777" w:rsidR="00D46430" w:rsidRPr="00CD5673" w:rsidRDefault="00D46430" w:rsidP="00D46430">
            <w:pPr>
              <w:pStyle w:val="Tablea"/>
            </w:pPr>
            <w:r w:rsidRPr="00CD5673">
              <w:t>(a) the grant date;</w:t>
            </w:r>
          </w:p>
          <w:p w14:paraId="30A8C464" w14:textId="77777777" w:rsidR="00D46430" w:rsidRPr="00CD5673" w:rsidRDefault="00D46430" w:rsidP="00D46430">
            <w:pPr>
              <w:pStyle w:val="Tablea"/>
            </w:pPr>
            <w:r w:rsidRPr="00CD5673">
              <w:t>(b) the nature of the compensation granted;</w:t>
            </w:r>
          </w:p>
        </w:tc>
      </w:tr>
      <w:tr w:rsidR="00D46430" w:rsidRPr="00CD5673" w14:paraId="2D6B1DA6" w14:textId="77777777" w:rsidTr="00D46430">
        <w:trPr>
          <w:gridAfter w:val="1"/>
          <w:wAfter w:w="8" w:type="pct"/>
          <w:cantSplit/>
        </w:trPr>
        <w:tc>
          <w:tcPr>
            <w:tcW w:w="667" w:type="pct"/>
          </w:tcPr>
          <w:p w14:paraId="1F3844A6" w14:textId="77777777" w:rsidR="00D46430" w:rsidRPr="00CD5673" w:rsidRDefault="00D46430" w:rsidP="00D46430">
            <w:pPr>
              <w:pStyle w:val="Tabletext"/>
            </w:pPr>
          </w:p>
        </w:tc>
        <w:tc>
          <w:tcPr>
            <w:tcW w:w="2110" w:type="pct"/>
          </w:tcPr>
          <w:p w14:paraId="4CAE5917" w14:textId="77777777" w:rsidR="00D46430" w:rsidRPr="00CD5673" w:rsidRDefault="00D46430" w:rsidP="00D46430">
            <w:pPr>
              <w:pStyle w:val="Tabletext"/>
            </w:pPr>
          </w:p>
        </w:tc>
        <w:tc>
          <w:tcPr>
            <w:tcW w:w="2215" w:type="pct"/>
          </w:tcPr>
          <w:p w14:paraId="579C9774" w14:textId="77777777" w:rsidR="00D46430" w:rsidRPr="00CD5673" w:rsidRDefault="00D46430" w:rsidP="00D46430">
            <w:pPr>
              <w:pStyle w:val="Tablea"/>
            </w:pPr>
            <w:r w:rsidRPr="00CD5673">
              <w:t xml:space="preserve">(c) the service and performance criteria used to determine the amount of compensation; </w:t>
            </w:r>
          </w:p>
        </w:tc>
      </w:tr>
      <w:tr w:rsidR="00D46430" w:rsidRPr="00CD5673" w14:paraId="7DCBFA11" w14:textId="77777777" w:rsidTr="00D46430">
        <w:trPr>
          <w:gridAfter w:val="1"/>
          <w:wAfter w:w="8" w:type="pct"/>
          <w:cantSplit/>
        </w:trPr>
        <w:tc>
          <w:tcPr>
            <w:tcW w:w="667" w:type="pct"/>
          </w:tcPr>
          <w:p w14:paraId="015D4159" w14:textId="77777777" w:rsidR="00D46430" w:rsidRPr="00CD5673" w:rsidRDefault="00D46430" w:rsidP="00D46430">
            <w:pPr>
              <w:rPr>
                <w:sz w:val="20"/>
              </w:rPr>
            </w:pPr>
          </w:p>
        </w:tc>
        <w:tc>
          <w:tcPr>
            <w:tcW w:w="2110" w:type="pct"/>
          </w:tcPr>
          <w:p w14:paraId="71A0B737" w14:textId="77777777" w:rsidR="00D46430" w:rsidRPr="00CD5673" w:rsidRDefault="00D46430" w:rsidP="00D46430">
            <w:pPr>
              <w:pStyle w:val="Tabletext"/>
            </w:pPr>
          </w:p>
        </w:tc>
        <w:tc>
          <w:tcPr>
            <w:tcW w:w="2215" w:type="pct"/>
          </w:tcPr>
          <w:p w14:paraId="3DA1A88D" w14:textId="77777777" w:rsidR="00D46430" w:rsidRPr="00CD5673" w:rsidRDefault="00D46430" w:rsidP="00D46430">
            <w:pPr>
              <w:pStyle w:val="Tablea"/>
            </w:pPr>
            <w:r w:rsidRPr="00CD5673">
              <w:t>(d) if there has been any alteration of the terms or conditions of the grant since the grant date—the date, details and effect of each alteration;</w:t>
            </w:r>
          </w:p>
        </w:tc>
      </w:tr>
      <w:tr w:rsidR="00D46430" w:rsidRPr="00CD5673" w14:paraId="14461E44" w14:textId="77777777" w:rsidTr="00D46430">
        <w:trPr>
          <w:gridAfter w:val="1"/>
          <w:wAfter w:w="8" w:type="pct"/>
        </w:trPr>
        <w:tc>
          <w:tcPr>
            <w:tcW w:w="667" w:type="pct"/>
          </w:tcPr>
          <w:p w14:paraId="15455E02" w14:textId="77777777" w:rsidR="00D46430" w:rsidRPr="00CD5673" w:rsidRDefault="00D46430" w:rsidP="00D46430">
            <w:pPr>
              <w:rPr>
                <w:sz w:val="20"/>
              </w:rPr>
            </w:pPr>
          </w:p>
        </w:tc>
        <w:tc>
          <w:tcPr>
            <w:tcW w:w="2110" w:type="pct"/>
          </w:tcPr>
          <w:p w14:paraId="213421B5" w14:textId="77777777" w:rsidR="00D46430" w:rsidRPr="00CD5673" w:rsidRDefault="00D46430" w:rsidP="00D46430">
            <w:pPr>
              <w:pStyle w:val="Tabletext"/>
            </w:pPr>
          </w:p>
        </w:tc>
        <w:tc>
          <w:tcPr>
            <w:tcW w:w="2215" w:type="pct"/>
          </w:tcPr>
          <w:p w14:paraId="67FDF252" w14:textId="77777777" w:rsidR="00D46430" w:rsidRPr="00CD5673" w:rsidRDefault="00D46430" w:rsidP="00D46430">
            <w:pPr>
              <w:pStyle w:val="Tablea"/>
            </w:pPr>
            <w:r w:rsidRPr="00CD5673">
              <w:t xml:space="preserve">(e) the percentage of the bonus or grant for the financial year that was paid to the person, or that vested in the person, in the financial year; </w:t>
            </w:r>
          </w:p>
        </w:tc>
      </w:tr>
      <w:tr w:rsidR="00D46430" w:rsidRPr="00CD5673" w14:paraId="391BFA0F" w14:textId="77777777" w:rsidTr="00D46430">
        <w:trPr>
          <w:gridAfter w:val="1"/>
          <w:wAfter w:w="8" w:type="pct"/>
          <w:cantSplit/>
        </w:trPr>
        <w:tc>
          <w:tcPr>
            <w:tcW w:w="667" w:type="pct"/>
          </w:tcPr>
          <w:p w14:paraId="6103CE73" w14:textId="77777777" w:rsidR="00D46430" w:rsidRPr="00CD5673" w:rsidRDefault="00D46430" w:rsidP="00D46430">
            <w:pPr>
              <w:rPr>
                <w:sz w:val="20"/>
              </w:rPr>
            </w:pPr>
          </w:p>
        </w:tc>
        <w:tc>
          <w:tcPr>
            <w:tcW w:w="2110" w:type="pct"/>
          </w:tcPr>
          <w:p w14:paraId="6A13F102" w14:textId="77777777" w:rsidR="00D46430" w:rsidRPr="00CD5673" w:rsidRDefault="00D46430" w:rsidP="00D46430">
            <w:pPr>
              <w:pStyle w:val="Tabletext"/>
            </w:pPr>
          </w:p>
        </w:tc>
        <w:tc>
          <w:tcPr>
            <w:tcW w:w="2215" w:type="pct"/>
          </w:tcPr>
          <w:p w14:paraId="1A11D4C3" w14:textId="77777777" w:rsidR="00D46430" w:rsidRPr="00CD5673" w:rsidRDefault="00D46430" w:rsidP="00D46430">
            <w:pPr>
              <w:pStyle w:val="Tablea"/>
            </w:pPr>
            <w:r w:rsidRPr="00CD5673">
              <w:t xml:space="preserve">(f) the percentage of the bonus or grant for the financial year that was forfeited by the person (because the person did not meet the service and performance criteria for the bonus or grant) in the financial year; </w:t>
            </w:r>
          </w:p>
        </w:tc>
      </w:tr>
      <w:tr w:rsidR="00D46430" w:rsidRPr="00CD5673" w14:paraId="2621814D" w14:textId="77777777" w:rsidTr="00D46430">
        <w:trPr>
          <w:gridAfter w:val="1"/>
          <w:wAfter w:w="8" w:type="pct"/>
        </w:trPr>
        <w:tc>
          <w:tcPr>
            <w:tcW w:w="667" w:type="pct"/>
          </w:tcPr>
          <w:p w14:paraId="0154D44A" w14:textId="77777777" w:rsidR="00D46430" w:rsidRPr="00CD5673" w:rsidRDefault="00D46430" w:rsidP="00D46430">
            <w:pPr>
              <w:rPr>
                <w:sz w:val="20"/>
              </w:rPr>
            </w:pPr>
          </w:p>
        </w:tc>
        <w:tc>
          <w:tcPr>
            <w:tcW w:w="2110" w:type="pct"/>
          </w:tcPr>
          <w:p w14:paraId="2E60CF42" w14:textId="77777777" w:rsidR="00D46430" w:rsidRPr="00CD5673" w:rsidRDefault="00D46430" w:rsidP="00D46430">
            <w:pPr>
              <w:pStyle w:val="Tabletext"/>
            </w:pPr>
          </w:p>
        </w:tc>
        <w:tc>
          <w:tcPr>
            <w:tcW w:w="2215" w:type="pct"/>
          </w:tcPr>
          <w:p w14:paraId="52FBEF8B" w14:textId="77777777" w:rsidR="00D46430" w:rsidRPr="00CD5673" w:rsidRDefault="00D46430" w:rsidP="00D46430">
            <w:pPr>
              <w:pStyle w:val="Tablea"/>
            </w:pPr>
            <w:r w:rsidRPr="00CD5673">
              <w:t>(g) the financial years, after the financial year to which the report relates, for which the bonus or grant will be payable if the person meets the service and performance criteria for the bonus or grant;</w:t>
            </w:r>
          </w:p>
        </w:tc>
      </w:tr>
      <w:tr w:rsidR="00D46430" w:rsidRPr="00CD5673" w14:paraId="60D11C45" w14:textId="77777777" w:rsidTr="00D46430">
        <w:trPr>
          <w:gridAfter w:val="1"/>
          <w:wAfter w:w="8" w:type="pct"/>
        </w:trPr>
        <w:tc>
          <w:tcPr>
            <w:tcW w:w="667" w:type="pct"/>
            <w:tcBorders>
              <w:bottom w:val="single" w:sz="4" w:space="0" w:color="auto"/>
            </w:tcBorders>
            <w:shd w:val="clear" w:color="auto" w:fill="auto"/>
          </w:tcPr>
          <w:p w14:paraId="6E6A2203" w14:textId="77777777" w:rsidR="00D46430" w:rsidRPr="00CD5673" w:rsidRDefault="00D46430" w:rsidP="00D46430">
            <w:pPr>
              <w:rPr>
                <w:sz w:val="20"/>
              </w:rPr>
            </w:pPr>
          </w:p>
        </w:tc>
        <w:tc>
          <w:tcPr>
            <w:tcW w:w="2110" w:type="pct"/>
            <w:tcBorders>
              <w:bottom w:val="single" w:sz="4" w:space="0" w:color="auto"/>
            </w:tcBorders>
            <w:shd w:val="clear" w:color="auto" w:fill="auto"/>
          </w:tcPr>
          <w:p w14:paraId="78A7D262" w14:textId="77777777" w:rsidR="00D46430" w:rsidRPr="00CD5673" w:rsidRDefault="00D46430" w:rsidP="00D46430">
            <w:pPr>
              <w:pStyle w:val="Tabletext"/>
            </w:pPr>
          </w:p>
        </w:tc>
        <w:tc>
          <w:tcPr>
            <w:tcW w:w="2215" w:type="pct"/>
            <w:tcBorders>
              <w:bottom w:val="single" w:sz="4" w:space="0" w:color="auto"/>
            </w:tcBorders>
            <w:shd w:val="clear" w:color="auto" w:fill="auto"/>
          </w:tcPr>
          <w:p w14:paraId="593EFF33" w14:textId="77777777" w:rsidR="00D46430" w:rsidRPr="00CD5673" w:rsidRDefault="00D46430" w:rsidP="00D46430">
            <w:pPr>
              <w:pStyle w:val="Tablea"/>
            </w:pPr>
            <w:r w:rsidRPr="00CD5673">
              <w:t>(h) estimates of the maximum and minimum possible total value of the bonus or grant (other than option grants) for financial years after the financial year to which the report relates</w:t>
            </w:r>
          </w:p>
        </w:tc>
      </w:tr>
      <w:tr w:rsidR="00D46430" w:rsidRPr="00CD5673" w14:paraId="37842959" w14:textId="77777777" w:rsidTr="00D46430">
        <w:trPr>
          <w:gridAfter w:val="1"/>
          <w:wAfter w:w="8" w:type="pct"/>
        </w:trPr>
        <w:tc>
          <w:tcPr>
            <w:tcW w:w="667" w:type="pct"/>
            <w:tcBorders>
              <w:top w:val="single" w:sz="4" w:space="0" w:color="auto"/>
            </w:tcBorders>
          </w:tcPr>
          <w:p w14:paraId="51366D9D" w14:textId="77777777" w:rsidR="00D46430" w:rsidRPr="00CD5673" w:rsidRDefault="00D46430" w:rsidP="00D46430">
            <w:pPr>
              <w:pStyle w:val="Tabletext"/>
              <w:keepNext/>
              <w:keepLines/>
            </w:pPr>
            <w:r w:rsidRPr="00CD5673">
              <w:lastRenderedPageBreak/>
              <w:t>13</w:t>
            </w:r>
          </w:p>
        </w:tc>
        <w:tc>
          <w:tcPr>
            <w:tcW w:w="2110" w:type="pct"/>
            <w:tcBorders>
              <w:top w:val="single" w:sz="4" w:space="0" w:color="auto"/>
            </w:tcBorders>
          </w:tcPr>
          <w:p w14:paraId="3018051D" w14:textId="77777777" w:rsidR="00D46430" w:rsidRPr="00CD5673" w:rsidRDefault="00D46430" w:rsidP="00D46430">
            <w:pPr>
              <w:pStyle w:val="Tabletext"/>
              <w:keepNext/>
              <w:keepLines/>
            </w:pPr>
            <w:r w:rsidRPr="00CD5673">
              <w:t>For each contract for services between a person and the disclosing entity (or any of its subsidiaries)</w:t>
            </w:r>
          </w:p>
        </w:tc>
        <w:tc>
          <w:tcPr>
            <w:tcW w:w="2215" w:type="pct"/>
            <w:tcBorders>
              <w:top w:val="single" w:sz="4" w:space="0" w:color="auto"/>
            </w:tcBorders>
          </w:tcPr>
          <w:p w14:paraId="248904A6" w14:textId="77777777" w:rsidR="00D46430" w:rsidRPr="00CD5673" w:rsidRDefault="00D46430" w:rsidP="00D46430">
            <w:pPr>
              <w:pStyle w:val="Tabletext"/>
              <w:keepNext/>
              <w:keepLines/>
            </w:pPr>
            <w:r w:rsidRPr="00CD5673">
              <w:t>Any further explanation that is necessary in addition to those prescribed in paragraph 300A(1)(ba) of the Act and item 12 to provide an understanding of:</w:t>
            </w:r>
          </w:p>
        </w:tc>
      </w:tr>
      <w:tr w:rsidR="00D46430" w:rsidRPr="00CD5673" w14:paraId="48B9064A" w14:textId="77777777" w:rsidTr="00D46430">
        <w:trPr>
          <w:gridAfter w:val="1"/>
          <w:wAfter w:w="8" w:type="pct"/>
        </w:trPr>
        <w:tc>
          <w:tcPr>
            <w:tcW w:w="667" w:type="pct"/>
          </w:tcPr>
          <w:p w14:paraId="64331B63" w14:textId="77777777" w:rsidR="00D46430" w:rsidRPr="00CD5673" w:rsidRDefault="00D46430" w:rsidP="00D46430">
            <w:pPr>
              <w:ind w:left="113"/>
              <w:rPr>
                <w:sz w:val="20"/>
              </w:rPr>
            </w:pPr>
          </w:p>
        </w:tc>
        <w:tc>
          <w:tcPr>
            <w:tcW w:w="2110" w:type="pct"/>
          </w:tcPr>
          <w:p w14:paraId="17AE9FED" w14:textId="77777777" w:rsidR="00D46430" w:rsidRPr="00CD5673" w:rsidRDefault="00D46430" w:rsidP="00D46430">
            <w:pPr>
              <w:pStyle w:val="Tabletext"/>
            </w:pPr>
          </w:p>
        </w:tc>
        <w:tc>
          <w:tcPr>
            <w:tcW w:w="2215" w:type="pct"/>
          </w:tcPr>
          <w:p w14:paraId="2139FD59" w14:textId="77777777" w:rsidR="00D46430" w:rsidRPr="00CD5673" w:rsidRDefault="00D46430" w:rsidP="00D46430">
            <w:pPr>
              <w:pStyle w:val="Tablea"/>
            </w:pPr>
            <w:r w:rsidRPr="00CD5673">
              <w:t xml:space="preserve">(a) how the amount of compensation in the current reporting period was determined; and </w:t>
            </w:r>
          </w:p>
        </w:tc>
      </w:tr>
      <w:tr w:rsidR="00D46430" w:rsidRPr="00CD5673" w14:paraId="4DC16E81" w14:textId="77777777" w:rsidTr="00D46430">
        <w:trPr>
          <w:gridAfter w:val="1"/>
          <w:wAfter w:w="8" w:type="pct"/>
          <w:cantSplit/>
        </w:trPr>
        <w:tc>
          <w:tcPr>
            <w:tcW w:w="667" w:type="pct"/>
            <w:tcBorders>
              <w:bottom w:val="single" w:sz="4" w:space="0" w:color="auto"/>
            </w:tcBorders>
          </w:tcPr>
          <w:p w14:paraId="7D331F3E" w14:textId="77777777" w:rsidR="00D46430" w:rsidRPr="00CD5673" w:rsidRDefault="00D46430" w:rsidP="00D46430">
            <w:pPr>
              <w:ind w:left="113"/>
              <w:rPr>
                <w:sz w:val="20"/>
              </w:rPr>
            </w:pPr>
          </w:p>
        </w:tc>
        <w:tc>
          <w:tcPr>
            <w:tcW w:w="2110" w:type="pct"/>
            <w:tcBorders>
              <w:bottom w:val="single" w:sz="4" w:space="0" w:color="auto"/>
            </w:tcBorders>
          </w:tcPr>
          <w:p w14:paraId="2D428FFA" w14:textId="77777777" w:rsidR="00D46430" w:rsidRPr="00CD5673" w:rsidRDefault="00D46430" w:rsidP="00D46430">
            <w:pPr>
              <w:pStyle w:val="Tabletext"/>
            </w:pPr>
          </w:p>
        </w:tc>
        <w:tc>
          <w:tcPr>
            <w:tcW w:w="2215" w:type="pct"/>
            <w:tcBorders>
              <w:bottom w:val="single" w:sz="4" w:space="0" w:color="auto"/>
            </w:tcBorders>
          </w:tcPr>
          <w:p w14:paraId="6D9A266F" w14:textId="77777777" w:rsidR="00D46430" w:rsidRPr="00CD5673" w:rsidRDefault="00D46430" w:rsidP="00D46430">
            <w:pPr>
              <w:pStyle w:val="Tablea"/>
            </w:pPr>
            <w:r w:rsidRPr="00CD5673">
              <w:t>(b) how the terms of the contract affect compensation in future periods</w:t>
            </w:r>
          </w:p>
        </w:tc>
      </w:tr>
      <w:tr w:rsidR="00D46430" w:rsidRPr="00CD5673" w14:paraId="6460D48E" w14:textId="77777777" w:rsidTr="00D46430">
        <w:trPr>
          <w:gridAfter w:val="1"/>
          <w:wAfter w:w="8" w:type="pct"/>
          <w:cantSplit/>
        </w:trPr>
        <w:tc>
          <w:tcPr>
            <w:tcW w:w="667" w:type="pct"/>
            <w:tcBorders>
              <w:top w:val="single" w:sz="4" w:space="0" w:color="auto"/>
            </w:tcBorders>
          </w:tcPr>
          <w:p w14:paraId="10B92036" w14:textId="77777777" w:rsidR="00D46430" w:rsidRPr="00CD5673" w:rsidRDefault="00D46430" w:rsidP="00D46430">
            <w:pPr>
              <w:pStyle w:val="Tabletext"/>
            </w:pPr>
            <w:r w:rsidRPr="00CD5673">
              <w:t>14</w:t>
            </w:r>
          </w:p>
        </w:tc>
        <w:tc>
          <w:tcPr>
            <w:tcW w:w="2110" w:type="pct"/>
            <w:tcBorders>
              <w:top w:val="single" w:sz="4" w:space="0" w:color="auto"/>
            </w:tcBorders>
          </w:tcPr>
          <w:p w14:paraId="291566D3" w14:textId="77777777" w:rsidR="00D46430" w:rsidRPr="00CD5673" w:rsidRDefault="00D46430" w:rsidP="00D46430">
            <w:pPr>
              <w:pStyle w:val="Tabletext"/>
            </w:pPr>
            <w:r w:rsidRPr="00CD5673">
              <w:t>If the terms of share</w:t>
            </w:r>
            <w:r w:rsidR="00C614F1">
              <w:noBreakHyphen/>
            </w:r>
            <w:r w:rsidRPr="00CD5673">
              <w:t>based payment transactions (including options or rights) granted as compensation to key management personnel have been altered or modified by the disclosing entity or any of its subsidiaries during the reporting period</w:t>
            </w:r>
          </w:p>
        </w:tc>
        <w:tc>
          <w:tcPr>
            <w:tcW w:w="2215" w:type="pct"/>
            <w:tcBorders>
              <w:top w:val="single" w:sz="4" w:space="0" w:color="auto"/>
            </w:tcBorders>
          </w:tcPr>
          <w:p w14:paraId="351670C3" w14:textId="77777777" w:rsidR="00D46430" w:rsidRPr="00CD5673" w:rsidRDefault="00D46430" w:rsidP="00D46430">
            <w:pPr>
              <w:pStyle w:val="Tablea"/>
            </w:pPr>
            <w:r w:rsidRPr="00CD5673">
              <w:t>(a) The date of the alteration</w:t>
            </w:r>
          </w:p>
          <w:p w14:paraId="38F0C6F3" w14:textId="77777777" w:rsidR="00D46430" w:rsidRPr="00CD5673" w:rsidRDefault="00D46430" w:rsidP="00D46430">
            <w:pPr>
              <w:pStyle w:val="Tablea"/>
            </w:pPr>
            <w:r w:rsidRPr="00CD5673">
              <w:t>(b) The market price of the underlying equity instrument at the date of the alteration</w:t>
            </w:r>
          </w:p>
          <w:p w14:paraId="080D3784" w14:textId="77777777" w:rsidR="00D46430" w:rsidRPr="00CD5673" w:rsidRDefault="00D46430" w:rsidP="00D46430">
            <w:pPr>
              <w:pStyle w:val="Tablea"/>
            </w:pPr>
            <w:r w:rsidRPr="00CD5673">
              <w:t>(c) The terms of the grant of compensation immediately before the alteration, including:</w:t>
            </w:r>
          </w:p>
          <w:p w14:paraId="7E177141" w14:textId="77777777" w:rsidR="00D46430" w:rsidRPr="00CD5673" w:rsidRDefault="00D46430" w:rsidP="00D46430">
            <w:pPr>
              <w:pStyle w:val="Tablei"/>
            </w:pPr>
            <w:r w:rsidRPr="00CD5673">
              <w:t>(i) the number and class of the underlying equity instruments, exercise price; and</w:t>
            </w:r>
          </w:p>
        </w:tc>
      </w:tr>
      <w:tr w:rsidR="00D46430" w:rsidRPr="00CD5673" w14:paraId="15861CC8" w14:textId="77777777" w:rsidTr="00D46430">
        <w:trPr>
          <w:gridAfter w:val="1"/>
          <w:wAfter w:w="8" w:type="pct"/>
          <w:cantSplit/>
        </w:trPr>
        <w:tc>
          <w:tcPr>
            <w:tcW w:w="667" w:type="pct"/>
          </w:tcPr>
          <w:p w14:paraId="71C734DC" w14:textId="77777777" w:rsidR="00D46430" w:rsidRPr="00CD5673" w:rsidRDefault="00D46430" w:rsidP="00D46430">
            <w:pPr>
              <w:rPr>
                <w:sz w:val="20"/>
              </w:rPr>
            </w:pPr>
          </w:p>
        </w:tc>
        <w:tc>
          <w:tcPr>
            <w:tcW w:w="2110" w:type="pct"/>
          </w:tcPr>
          <w:p w14:paraId="0243BDA2" w14:textId="77777777" w:rsidR="00D46430" w:rsidRPr="00CD5673" w:rsidRDefault="00D46430" w:rsidP="00D46430">
            <w:pPr>
              <w:pStyle w:val="Tabletext"/>
            </w:pPr>
          </w:p>
        </w:tc>
        <w:tc>
          <w:tcPr>
            <w:tcW w:w="2215" w:type="pct"/>
          </w:tcPr>
          <w:p w14:paraId="7BCE9DEE" w14:textId="77777777" w:rsidR="00D46430" w:rsidRPr="00CD5673" w:rsidRDefault="00D46430" w:rsidP="00D46430">
            <w:pPr>
              <w:pStyle w:val="Tablei"/>
            </w:pPr>
            <w:r w:rsidRPr="00CD5673">
              <w:t>(ii) the time remaining until expiry; and</w:t>
            </w:r>
          </w:p>
          <w:p w14:paraId="408DA880" w14:textId="77777777" w:rsidR="00D46430" w:rsidRPr="00CD5673" w:rsidRDefault="00D46430" w:rsidP="00D46430">
            <w:pPr>
              <w:pStyle w:val="Tablei"/>
            </w:pPr>
            <w:r w:rsidRPr="00CD5673">
              <w:t>(iii) each other condition in the terms that affects the vesting or exercise of an option or other right</w:t>
            </w:r>
          </w:p>
        </w:tc>
      </w:tr>
      <w:tr w:rsidR="00D46430" w:rsidRPr="00CD5673" w14:paraId="53D8EA61" w14:textId="77777777" w:rsidTr="00D46430">
        <w:trPr>
          <w:gridAfter w:val="1"/>
          <w:wAfter w:w="8" w:type="pct"/>
          <w:cantSplit/>
        </w:trPr>
        <w:tc>
          <w:tcPr>
            <w:tcW w:w="667" w:type="pct"/>
          </w:tcPr>
          <w:p w14:paraId="550AD5CF" w14:textId="77777777" w:rsidR="00D46430" w:rsidRPr="00CD5673" w:rsidRDefault="00D46430" w:rsidP="00D46430">
            <w:pPr>
              <w:rPr>
                <w:sz w:val="20"/>
              </w:rPr>
            </w:pPr>
          </w:p>
        </w:tc>
        <w:tc>
          <w:tcPr>
            <w:tcW w:w="2110" w:type="pct"/>
          </w:tcPr>
          <w:p w14:paraId="1BB94609" w14:textId="77777777" w:rsidR="00D46430" w:rsidRPr="00CD5673" w:rsidRDefault="00D46430" w:rsidP="00D46430">
            <w:pPr>
              <w:pStyle w:val="Tabletext"/>
            </w:pPr>
          </w:p>
        </w:tc>
        <w:tc>
          <w:tcPr>
            <w:tcW w:w="2215" w:type="pct"/>
          </w:tcPr>
          <w:p w14:paraId="2DC086F6" w14:textId="77777777" w:rsidR="00D46430" w:rsidRPr="00CD5673" w:rsidRDefault="00D46430" w:rsidP="00D46430">
            <w:pPr>
              <w:pStyle w:val="Tablea"/>
            </w:pPr>
            <w:r w:rsidRPr="00CD5673">
              <w:t>(d) The new terms</w:t>
            </w:r>
          </w:p>
          <w:p w14:paraId="4E064DFA" w14:textId="77777777" w:rsidR="00D46430" w:rsidRPr="00CD5673" w:rsidRDefault="00D46430" w:rsidP="00D46430">
            <w:pPr>
              <w:pStyle w:val="Tablea"/>
            </w:pPr>
            <w:r w:rsidRPr="00CD5673">
              <w:t>(e) The difference between:</w:t>
            </w:r>
          </w:p>
          <w:p w14:paraId="62EA5C04" w14:textId="77777777" w:rsidR="00D46430" w:rsidRPr="00CD5673" w:rsidRDefault="00D46430" w:rsidP="00D46430">
            <w:pPr>
              <w:pStyle w:val="Tablei"/>
            </w:pPr>
            <w:r w:rsidRPr="00CD5673">
              <w:t xml:space="preserve">(i) the total of the fair value of the options or other rights affected by the alteration immediately before the alteration; and </w:t>
            </w:r>
          </w:p>
        </w:tc>
      </w:tr>
      <w:tr w:rsidR="00D46430" w:rsidRPr="00CD5673" w14:paraId="42164A8A" w14:textId="77777777" w:rsidTr="00D46430">
        <w:trPr>
          <w:gridAfter w:val="1"/>
          <w:wAfter w:w="8" w:type="pct"/>
          <w:cantSplit/>
        </w:trPr>
        <w:tc>
          <w:tcPr>
            <w:tcW w:w="667" w:type="pct"/>
            <w:tcBorders>
              <w:bottom w:val="single" w:sz="4" w:space="0" w:color="auto"/>
            </w:tcBorders>
          </w:tcPr>
          <w:p w14:paraId="43A47EC7" w14:textId="77777777" w:rsidR="00D46430" w:rsidRPr="00CD5673" w:rsidRDefault="00D46430" w:rsidP="00D46430">
            <w:pPr>
              <w:rPr>
                <w:sz w:val="20"/>
              </w:rPr>
            </w:pPr>
          </w:p>
        </w:tc>
        <w:tc>
          <w:tcPr>
            <w:tcW w:w="2110" w:type="pct"/>
            <w:tcBorders>
              <w:bottom w:val="single" w:sz="4" w:space="0" w:color="auto"/>
            </w:tcBorders>
          </w:tcPr>
          <w:p w14:paraId="18A07595" w14:textId="77777777" w:rsidR="00D46430" w:rsidRPr="00CD5673" w:rsidRDefault="00D46430" w:rsidP="00D46430">
            <w:pPr>
              <w:pStyle w:val="Tabletext"/>
            </w:pPr>
          </w:p>
        </w:tc>
        <w:tc>
          <w:tcPr>
            <w:tcW w:w="2215" w:type="pct"/>
            <w:tcBorders>
              <w:bottom w:val="single" w:sz="4" w:space="0" w:color="auto"/>
            </w:tcBorders>
          </w:tcPr>
          <w:p w14:paraId="5ECB8E13" w14:textId="77777777" w:rsidR="00D46430" w:rsidRPr="00CD5673" w:rsidRDefault="00D46430" w:rsidP="00D46430">
            <w:pPr>
              <w:pStyle w:val="Tablei"/>
            </w:pPr>
            <w:r w:rsidRPr="00CD5673">
              <w:t>(ii) the total of the fair value of the options or other rights immediately after the alteration</w:t>
            </w:r>
          </w:p>
        </w:tc>
      </w:tr>
      <w:tr w:rsidR="00D46430" w:rsidRPr="00CD5673" w14:paraId="2FDBC326" w14:textId="77777777" w:rsidTr="00D46430">
        <w:trPr>
          <w:gridAfter w:val="1"/>
          <w:wAfter w:w="8" w:type="pct"/>
        </w:trPr>
        <w:tc>
          <w:tcPr>
            <w:tcW w:w="667" w:type="pct"/>
            <w:tcBorders>
              <w:top w:val="single" w:sz="4" w:space="0" w:color="auto"/>
            </w:tcBorders>
          </w:tcPr>
          <w:p w14:paraId="6C366F97" w14:textId="77777777" w:rsidR="00D46430" w:rsidRPr="00CD5673" w:rsidRDefault="00D46430" w:rsidP="00D46430">
            <w:pPr>
              <w:pStyle w:val="Tabletext"/>
            </w:pPr>
            <w:r w:rsidRPr="00CD5673">
              <w:t>15</w:t>
            </w:r>
          </w:p>
        </w:tc>
        <w:tc>
          <w:tcPr>
            <w:tcW w:w="2110" w:type="pct"/>
            <w:tcBorders>
              <w:top w:val="single" w:sz="4" w:space="0" w:color="auto"/>
            </w:tcBorders>
          </w:tcPr>
          <w:p w14:paraId="7F63DD6D" w14:textId="77777777" w:rsidR="00D46430" w:rsidRPr="00CD5673" w:rsidRDefault="00D46430" w:rsidP="00D46430">
            <w:pPr>
              <w:pStyle w:val="Tabletext"/>
            </w:pPr>
            <w:r w:rsidRPr="00CD5673">
              <w:t>If options and rights over an equity instrument issued or issuable by the disclosing entity or any of its subsidiaries have been provided as compensation to a person during the reporting period</w:t>
            </w:r>
          </w:p>
          <w:p w14:paraId="35329C41" w14:textId="77777777" w:rsidR="00D46430" w:rsidRPr="00CD5673" w:rsidRDefault="00D46430" w:rsidP="00D46430">
            <w:pPr>
              <w:pStyle w:val="Tabletext"/>
            </w:pPr>
            <w:r w:rsidRPr="00CD5673">
              <w:t>Note:</w:t>
            </w:r>
            <w:r w:rsidRPr="00CD5673">
              <w:tab/>
              <w:t>See subregulation (3).</w:t>
            </w:r>
          </w:p>
        </w:tc>
        <w:tc>
          <w:tcPr>
            <w:tcW w:w="2215" w:type="pct"/>
            <w:tcBorders>
              <w:top w:val="single" w:sz="4" w:space="0" w:color="auto"/>
            </w:tcBorders>
          </w:tcPr>
          <w:p w14:paraId="71A1349D" w14:textId="77777777" w:rsidR="00D46430" w:rsidRPr="00CD5673" w:rsidRDefault="00D46430" w:rsidP="00D46430">
            <w:pPr>
              <w:pStyle w:val="Tablea"/>
            </w:pPr>
            <w:r w:rsidRPr="00CD5673">
              <w:t>(a) The number of options and the number of rights that:</w:t>
            </w:r>
          </w:p>
          <w:p w14:paraId="506C646B" w14:textId="77777777" w:rsidR="00D46430" w:rsidRPr="00CD5673" w:rsidRDefault="00D46430" w:rsidP="00D46430">
            <w:pPr>
              <w:pStyle w:val="Tablei"/>
            </w:pPr>
            <w:r w:rsidRPr="00CD5673">
              <w:t>(i) have been granted; and</w:t>
            </w:r>
          </w:p>
          <w:p w14:paraId="69554099" w14:textId="77777777" w:rsidR="00D46430" w:rsidRPr="00CD5673" w:rsidRDefault="00D46430" w:rsidP="00D46430">
            <w:pPr>
              <w:pStyle w:val="Tablei"/>
            </w:pPr>
            <w:r w:rsidRPr="00CD5673">
              <w:t>(ii) have vested;</w:t>
            </w:r>
          </w:p>
          <w:p w14:paraId="069C24B9" w14:textId="77777777" w:rsidR="00D46430" w:rsidRPr="00CD5673" w:rsidRDefault="00D46430" w:rsidP="00D46430">
            <w:pPr>
              <w:pStyle w:val="Tablea"/>
            </w:pPr>
            <w:r w:rsidRPr="00CD5673">
              <w:tab/>
              <w:t>during the reporting period</w:t>
            </w:r>
          </w:p>
          <w:p w14:paraId="2F397957" w14:textId="77777777" w:rsidR="00D46430" w:rsidRPr="00CD5673" w:rsidRDefault="00D46430" w:rsidP="00D46430">
            <w:pPr>
              <w:pStyle w:val="Tablea"/>
            </w:pPr>
            <w:r w:rsidRPr="00CD5673">
              <w:t>(b) The terms and conditions of each grant made during the reporting period, including:</w:t>
            </w:r>
          </w:p>
          <w:p w14:paraId="4AF0D7EB" w14:textId="77777777" w:rsidR="00D46430" w:rsidRPr="00CD5673" w:rsidRDefault="00D46430" w:rsidP="00D46430">
            <w:pPr>
              <w:pStyle w:val="Tablei"/>
            </w:pPr>
            <w:r w:rsidRPr="00CD5673">
              <w:t>(i) the fair value per option or right at grant date; and</w:t>
            </w:r>
          </w:p>
          <w:p w14:paraId="14983FFF" w14:textId="77777777" w:rsidR="00D46430" w:rsidRPr="00CD5673" w:rsidRDefault="00D46430" w:rsidP="00D46430">
            <w:pPr>
              <w:pStyle w:val="Tablei"/>
            </w:pPr>
            <w:r w:rsidRPr="00CD5673">
              <w:t>(ii) the exercise price per share or unit; and</w:t>
            </w:r>
          </w:p>
        </w:tc>
      </w:tr>
      <w:tr w:rsidR="00D46430" w:rsidRPr="00CD5673" w14:paraId="4012422B" w14:textId="77777777" w:rsidTr="00D46430">
        <w:trPr>
          <w:gridAfter w:val="1"/>
          <w:wAfter w:w="8" w:type="pct"/>
          <w:cantSplit/>
        </w:trPr>
        <w:tc>
          <w:tcPr>
            <w:tcW w:w="667" w:type="pct"/>
          </w:tcPr>
          <w:p w14:paraId="1CDA5469" w14:textId="77777777" w:rsidR="00D46430" w:rsidRPr="00CD5673" w:rsidRDefault="00D46430" w:rsidP="00D46430">
            <w:pPr>
              <w:ind w:left="113"/>
              <w:rPr>
                <w:sz w:val="20"/>
              </w:rPr>
            </w:pPr>
          </w:p>
        </w:tc>
        <w:tc>
          <w:tcPr>
            <w:tcW w:w="2110" w:type="pct"/>
          </w:tcPr>
          <w:p w14:paraId="7EE4FE2F" w14:textId="77777777" w:rsidR="00D46430" w:rsidRPr="00CD5673" w:rsidRDefault="00D46430" w:rsidP="00D46430">
            <w:pPr>
              <w:pStyle w:val="Tabletext"/>
            </w:pPr>
          </w:p>
        </w:tc>
        <w:tc>
          <w:tcPr>
            <w:tcW w:w="2215" w:type="pct"/>
          </w:tcPr>
          <w:p w14:paraId="31F83A33" w14:textId="77777777" w:rsidR="00D46430" w:rsidRPr="00CD5673" w:rsidRDefault="00D46430" w:rsidP="00D46430">
            <w:pPr>
              <w:pStyle w:val="Tablei"/>
            </w:pPr>
            <w:r w:rsidRPr="00CD5673">
              <w:t>(iii) the amount, if any, paid or payable by the recipient; and</w:t>
            </w:r>
          </w:p>
          <w:p w14:paraId="1ADD8A60" w14:textId="77777777" w:rsidR="00D46430" w:rsidRPr="00CD5673" w:rsidRDefault="00D46430" w:rsidP="00D46430">
            <w:pPr>
              <w:pStyle w:val="Tablei"/>
            </w:pPr>
            <w:r w:rsidRPr="00CD5673">
              <w:t>(iv) the expiry date; and</w:t>
            </w:r>
          </w:p>
        </w:tc>
      </w:tr>
      <w:tr w:rsidR="00D46430" w:rsidRPr="00CD5673" w14:paraId="506EBB83" w14:textId="77777777" w:rsidTr="00D46430">
        <w:trPr>
          <w:gridAfter w:val="1"/>
          <w:wAfter w:w="8" w:type="pct"/>
          <w:cantSplit/>
        </w:trPr>
        <w:tc>
          <w:tcPr>
            <w:tcW w:w="667" w:type="pct"/>
          </w:tcPr>
          <w:p w14:paraId="1781356E" w14:textId="77777777" w:rsidR="00D46430" w:rsidRPr="00CD5673" w:rsidRDefault="00D46430" w:rsidP="00D46430">
            <w:pPr>
              <w:ind w:left="113"/>
              <w:rPr>
                <w:sz w:val="20"/>
              </w:rPr>
            </w:pPr>
          </w:p>
        </w:tc>
        <w:tc>
          <w:tcPr>
            <w:tcW w:w="2110" w:type="pct"/>
          </w:tcPr>
          <w:p w14:paraId="52EB6D37" w14:textId="77777777" w:rsidR="00D46430" w:rsidRPr="00CD5673" w:rsidRDefault="00D46430" w:rsidP="00D46430">
            <w:pPr>
              <w:pStyle w:val="Tabletext"/>
            </w:pPr>
          </w:p>
        </w:tc>
        <w:tc>
          <w:tcPr>
            <w:tcW w:w="2215" w:type="pct"/>
          </w:tcPr>
          <w:p w14:paraId="2CC9AFEC" w14:textId="77777777" w:rsidR="00D46430" w:rsidRPr="00CD5673" w:rsidRDefault="00D46430" w:rsidP="00D46430">
            <w:pPr>
              <w:pStyle w:val="Tablei"/>
            </w:pPr>
            <w:r w:rsidRPr="00CD5673">
              <w:t>(v) the date or dates when the options or rights may be exercised; and</w:t>
            </w:r>
          </w:p>
        </w:tc>
      </w:tr>
      <w:tr w:rsidR="00D46430" w:rsidRPr="00CD5673" w14:paraId="0DDFBC8B" w14:textId="77777777" w:rsidTr="00D46430">
        <w:trPr>
          <w:gridAfter w:val="1"/>
          <w:wAfter w:w="8" w:type="pct"/>
          <w:cantSplit/>
        </w:trPr>
        <w:tc>
          <w:tcPr>
            <w:tcW w:w="667" w:type="pct"/>
            <w:tcBorders>
              <w:bottom w:val="single" w:sz="4" w:space="0" w:color="auto"/>
            </w:tcBorders>
          </w:tcPr>
          <w:p w14:paraId="431C7512" w14:textId="77777777" w:rsidR="00D46430" w:rsidRPr="00CD5673" w:rsidRDefault="00D46430" w:rsidP="00D46430">
            <w:pPr>
              <w:ind w:left="113"/>
              <w:rPr>
                <w:sz w:val="20"/>
              </w:rPr>
            </w:pPr>
          </w:p>
        </w:tc>
        <w:tc>
          <w:tcPr>
            <w:tcW w:w="2110" w:type="pct"/>
            <w:tcBorders>
              <w:bottom w:val="single" w:sz="4" w:space="0" w:color="auto"/>
            </w:tcBorders>
          </w:tcPr>
          <w:p w14:paraId="35C3FD45" w14:textId="77777777" w:rsidR="00D46430" w:rsidRPr="00CD5673" w:rsidRDefault="00D46430" w:rsidP="00D46430">
            <w:pPr>
              <w:pStyle w:val="Tabletext"/>
            </w:pPr>
          </w:p>
        </w:tc>
        <w:tc>
          <w:tcPr>
            <w:tcW w:w="2215" w:type="pct"/>
            <w:tcBorders>
              <w:bottom w:val="single" w:sz="4" w:space="0" w:color="auto"/>
            </w:tcBorders>
          </w:tcPr>
          <w:p w14:paraId="3AD80FB7" w14:textId="77777777" w:rsidR="00D46430" w:rsidRPr="00CD5673" w:rsidRDefault="00D46430" w:rsidP="00D46430">
            <w:pPr>
              <w:pStyle w:val="Tablei"/>
            </w:pPr>
            <w:r w:rsidRPr="00CD5673">
              <w:t>(vi) a summary of the service and performance criteria that must be met before the beneficial interest vests in the person</w:t>
            </w:r>
          </w:p>
        </w:tc>
      </w:tr>
      <w:tr w:rsidR="00D46430" w:rsidRPr="00CD5673" w14:paraId="5F381A4D" w14:textId="77777777" w:rsidTr="00D46430">
        <w:tblPrEx>
          <w:tblBorders>
            <w:bottom w:val="single" w:sz="4" w:space="0" w:color="auto"/>
          </w:tblBorders>
        </w:tblPrEx>
        <w:trPr>
          <w:gridAfter w:val="1"/>
          <w:wAfter w:w="8" w:type="pct"/>
          <w:cantSplit/>
        </w:trPr>
        <w:tc>
          <w:tcPr>
            <w:tcW w:w="667" w:type="pct"/>
            <w:tcBorders>
              <w:top w:val="single" w:sz="4" w:space="0" w:color="auto"/>
              <w:bottom w:val="single" w:sz="4" w:space="0" w:color="auto"/>
            </w:tcBorders>
          </w:tcPr>
          <w:p w14:paraId="5B50EAE6" w14:textId="77777777" w:rsidR="00D46430" w:rsidRPr="00CD5673" w:rsidRDefault="00D46430" w:rsidP="00D46430">
            <w:pPr>
              <w:pStyle w:val="Tabletext"/>
            </w:pPr>
            <w:r w:rsidRPr="00CD5673">
              <w:t>16</w:t>
            </w:r>
          </w:p>
        </w:tc>
        <w:tc>
          <w:tcPr>
            <w:tcW w:w="2110" w:type="pct"/>
            <w:tcBorders>
              <w:top w:val="single" w:sz="4" w:space="0" w:color="auto"/>
              <w:bottom w:val="single" w:sz="4" w:space="0" w:color="auto"/>
            </w:tcBorders>
          </w:tcPr>
          <w:p w14:paraId="4A50618E" w14:textId="77777777" w:rsidR="00D46430" w:rsidRPr="00CD5673" w:rsidRDefault="00D46430" w:rsidP="00D46430">
            <w:pPr>
              <w:pStyle w:val="Tabletext"/>
            </w:pPr>
            <w:r w:rsidRPr="00CD5673">
              <w:t>If an equity instrument that is issued or issuable by the disclosing entity or any of its subsidiaries has been provided as a result of the exercise during the reporting period of options and rights that have been granted as compensation to a person</w:t>
            </w:r>
          </w:p>
          <w:p w14:paraId="08BB62ED" w14:textId="77777777" w:rsidR="00D46430" w:rsidRPr="00CD5673" w:rsidRDefault="00D46430" w:rsidP="00D46430">
            <w:pPr>
              <w:pStyle w:val="Tabletext"/>
            </w:pPr>
            <w:r w:rsidRPr="00CD5673">
              <w:t>Note:</w:t>
            </w:r>
            <w:r w:rsidRPr="00CD5673">
              <w:tab/>
              <w:t>See subregulation (3).</w:t>
            </w:r>
          </w:p>
        </w:tc>
        <w:tc>
          <w:tcPr>
            <w:tcW w:w="2215" w:type="pct"/>
            <w:tcBorders>
              <w:top w:val="single" w:sz="4" w:space="0" w:color="auto"/>
              <w:bottom w:val="single" w:sz="4" w:space="0" w:color="auto"/>
            </w:tcBorders>
          </w:tcPr>
          <w:p w14:paraId="17CEC583" w14:textId="77777777" w:rsidR="00D46430" w:rsidRPr="00CD5673" w:rsidRDefault="00D46430" w:rsidP="00D46430">
            <w:pPr>
              <w:pStyle w:val="Tablea"/>
            </w:pPr>
            <w:r w:rsidRPr="00CD5673">
              <w:t>(a) The number of equity instruments</w:t>
            </w:r>
          </w:p>
          <w:p w14:paraId="727BFAE5" w14:textId="77777777" w:rsidR="00D46430" w:rsidRPr="00CD5673" w:rsidRDefault="00D46430" w:rsidP="00D46430">
            <w:pPr>
              <w:pStyle w:val="Tablea"/>
            </w:pPr>
            <w:r w:rsidRPr="00CD5673">
              <w:t>(b) If the number of options or rights exercised differs from the number of equity instruments disclosed under paragraph (a)—the number of options or rights exercised</w:t>
            </w:r>
          </w:p>
          <w:p w14:paraId="195507E6" w14:textId="77777777" w:rsidR="00D46430" w:rsidRPr="00CD5673" w:rsidRDefault="00D46430" w:rsidP="00D46430">
            <w:pPr>
              <w:pStyle w:val="Tablea"/>
            </w:pPr>
            <w:r w:rsidRPr="00CD5673">
              <w:t>(c) The amount paid per instrument</w:t>
            </w:r>
          </w:p>
          <w:p w14:paraId="6E1CBAD3" w14:textId="77777777" w:rsidR="00D46430" w:rsidRPr="00CD5673" w:rsidRDefault="00D46430" w:rsidP="00D46430">
            <w:pPr>
              <w:pStyle w:val="Tablea"/>
            </w:pPr>
            <w:r w:rsidRPr="00CD5673">
              <w:t>(d) The amount unpaid per instrument</w:t>
            </w:r>
          </w:p>
        </w:tc>
      </w:tr>
      <w:tr w:rsidR="00D46430" w:rsidRPr="00CD5673" w14:paraId="4537B4D4" w14:textId="77777777" w:rsidTr="00D46430">
        <w:tblPrEx>
          <w:tblBorders>
            <w:top w:val="single" w:sz="4" w:space="0" w:color="auto"/>
            <w:bottom w:val="single" w:sz="2" w:space="0" w:color="auto"/>
            <w:insideH w:val="single" w:sz="4" w:space="0" w:color="auto"/>
          </w:tblBorders>
        </w:tblPrEx>
        <w:tc>
          <w:tcPr>
            <w:tcW w:w="667" w:type="pct"/>
            <w:tcBorders>
              <w:top w:val="nil"/>
              <w:bottom w:val="single" w:sz="4" w:space="0" w:color="auto"/>
            </w:tcBorders>
            <w:shd w:val="clear" w:color="auto" w:fill="auto"/>
          </w:tcPr>
          <w:p w14:paraId="0655DA50" w14:textId="77777777" w:rsidR="00D46430" w:rsidRPr="00CD5673" w:rsidRDefault="00D46430" w:rsidP="00D46430">
            <w:pPr>
              <w:pStyle w:val="Tabletext"/>
              <w:keepNext/>
              <w:keepLines/>
            </w:pPr>
          </w:p>
        </w:tc>
        <w:tc>
          <w:tcPr>
            <w:tcW w:w="2110" w:type="pct"/>
            <w:tcBorders>
              <w:top w:val="nil"/>
              <w:bottom w:val="single" w:sz="4" w:space="0" w:color="auto"/>
            </w:tcBorders>
            <w:shd w:val="clear" w:color="auto" w:fill="auto"/>
          </w:tcPr>
          <w:p w14:paraId="26A4D67A" w14:textId="77777777" w:rsidR="00D46430" w:rsidRPr="00CD5673" w:rsidRDefault="00D46430" w:rsidP="00D46430">
            <w:pPr>
              <w:pStyle w:val="Tabletext"/>
              <w:keepNext/>
              <w:keepLines/>
              <w:rPr>
                <w:i/>
              </w:rPr>
            </w:pPr>
            <w:r w:rsidRPr="00CD5673">
              <w:rPr>
                <w:i/>
              </w:rPr>
              <w:t>Remuneration disclosure</w:t>
            </w:r>
          </w:p>
        </w:tc>
        <w:tc>
          <w:tcPr>
            <w:tcW w:w="2223" w:type="pct"/>
            <w:gridSpan w:val="2"/>
            <w:tcBorders>
              <w:top w:val="nil"/>
              <w:bottom w:val="single" w:sz="4" w:space="0" w:color="auto"/>
            </w:tcBorders>
            <w:shd w:val="clear" w:color="auto" w:fill="auto"/>
          </w:tcPr>
          <w:p w14:paraId="1CC4CEA1" w14:textId="77777777" w:rsidR="00D46430" w:rsidRPr="00CD5673" w:rsidRDefault="00D46430" w:rsidP="00D46430">
            <w:pPr>
              <w:pStyle w:val="Tabletext"/>
              <w:keepNext/>
              <w:keepLines/>
            </w:pPr>
          </w:p>
        </w:tc>
      </w:tr>
      <w:tr w:rsidR="00D46430" w:rsidRPr="00CD5673" w14:paraId="26B1C6FC" w14:textId="77777777" w:rsidTr="00D46430">
        <w:tblPrEx>
          <w:tblBorders>
            <w:top w:val="single" w:sz="4" w:space="0" w:color="auto"/>
            <w:bottom w:val="single" w:sz="2" w:space="0" w:color="auto"/>
            <w:insideH w:val="single" w:sz="4" w:space="0" w:color="auto"/>
          </w:tblBorders>
        </w:tblPrEx>
        <w:tc>
          <w:tcPr>
            <w:tcW w:w="667" w:type="pct"/>
            <w:tcBorders>
              <w:top w:val="nil"/>
              <w:bottom w:val="single" w:sz="4" w:space="0" w:color="auto"/>
            </w:tcBorders>
            <w:shd w:val="clear" w:color="auto" w:fill="auto"/>
          </w:tcPr>
          <w:p w14:paraId="052107A7" w14:textId="77777777" w:rsidR="00D46430" w:rsidRPr="00CD5673" w:rsidRDefault="00D46430" w:rsidP="00D46430">
            <w:pPr>
              <w:pStyle w:val="Tabletext"/>
            </w:pPr>
            <w:r w:rsidRPr="00CD5673">
              <w:t>17</w:t>
            </w:r>
          </w:p>
        </w:tc>
        <w:tc>
          <w:tcPr>
            <w:tcW w:w="2110" w:type="pct"/>
            <w:tcBorders>
              <w:top w:val="nil"/>
              <w:bottom w:val="single" w:sz="4" w:space="0" w:color="auto"/>
            </w:tcBorders>
            <w:shd w:val="clear" w:color="auto" w:fill="auto"/>
          </w:tcPr>
          <w:p w14:paraId="5F2F54F4" w14:textId="77777777" w:rsidR="00D46430" w:rsidRPr="00CD5673" w:rsidRDefault="00D46430" w:rsidP="00D46430">
            <w:pPr>
              <w:pStyle w:val="Tabletext"/>
              <w:rPr>
                <w:bCs/>
              </w:rPr>
            </w:pPr>
            <w:r w:rsidRPr="00CD5673">
              <w:rPr>
                <w:szCs w:val="22"/>
              </w:rPr>
              <w:t xml:space="preserve">For </w:t>
            </w:r>
            <w:r w:rsidRPr="00CD5673">
              <w:t xml:space="preserve">an option or right </w:t>
            </w:r>
            <w:r w:rsidRPr="00CD5673">
              <w:rPr>
                <w:bCs/>
              </w:rPr>
              <w:t>over equity instruments:</w:t>
            </w:r>
          </w:p>
          <w:p w14:paraId="35DAF2D4" w14:textId="77777777" w:rsidR="00D46430" w:rsidRPr="00CD5673" w:rsidRDefault="00D46430" w:rsidP="00D46430">
            <w:pPr>
              <w:pStyle w:val="Tablea"/>
              <w:rPr>
                <w:bCs/>
              </w:rPr>
            </w:pPr>
            <w:r w:rsidRPr="00CD5673">
              <w:rPr>
                <w:bCs/>
              </w:rPr>
              <w:t>(a) issued or issuable by the disclosing entity or any of its subsidiaries; and</w:t>
            </w:r>
          </w:p>
          <w:p w14:paraId="2BA26EDB" w14:textId="77777777" w:rsidR="00D46430" w:rsidRPr="00CD5673" w:rsidRDefault="00D46430" w:rsidP="00D46430">
            <w:pPr>
              <w:pStyle w:val="Tablea"/>
            </w:pPr>
            <w:r w:rsidRPr="00CD5673">
              <w:rPr>
                <w:bCs/>
              </w:rPr>
              <w:t>(b)</w:t>
            </w:r>
            <w:r w:rsidRPr="00CD5673">
              <w:t xml:space="preserve"> held, whether directly, indirectly or beneficially, by any of the following:</w:t>
            </w:r>
          </w:p>
          <w:p w14:paraId="1183981C" w14:textId="77777777" w:rsidR="00D46430" w:rsidRPr="00CD5673" w:rsidRDefault="00D46430" w:rsidP="00D46430">
            <w:pPr>
              <w:pStyle w:val="Tablei"/>
            </w:pPr>
            <w:r w:rsidRPr="00CD5673">
              <w:t>(i) each key management person;</w:t>
            </w:r>
          </w:p>
          <w:p w14:paraId="006F27C4" w14:textId="77777777" w:rsidR="00D46430" w:rsidRPr="00CD5673" w:rsidRDefault="00D46430" w:rsidP="00D46430">
            <w:pPr>
              <w:pStyle w:val="Tablei"/>
            </w:pPr>
            <w:r w:rsidRPr="00CD5673">
              <w:t>(ii) a close member of the family of that person;</w:t>
            </w:r>
          </w:p>
          <w:p w14:paraId="43554985" w14:textId="77777777" w:rsidR="00D46430" w:rsidRPr="00CD5673" w:rsidRDefault="00D46430" w:rsidP="00D46430">
            <w:pPr>
              <w:pStyle w:val="Tablei"/>
            </w:pPr>
            <w:r w:rsidRPr="00CD5673">
              <w:t xml:space="preserve">(iii) an entity over which the person or the family member has, either directly or indirectly, control, joint control or </w:t>
            </w:r>
            <w:r w:rsidRPr="00CD5673">
              <w:lastRenderedPageBreak/>
              <w:t>significant influence</w:t>
            </w:r>
          </w:p>
        </w:tc>
        <w:tc>
          <w:tcPr>
            <w:tcW w:w="2223" w:type="pct"/>
            <w:gridSpan w:val="2"/>
            <w:tcBorders>
              <w:top w:val="nil"/>
              <w:bottom w:val="single" w:sz="4" w:space="0" w:color="auto"/>
            </w:tcBorders>
            <w:shd w:val="clear" w:color="auto" w:fill="auto"/>
          </w:tcPr>
          <w:p w14:paraId="39F23973" w14:textId="77777777" w:rsidR="00D46430" w:rsidRPr="00CD5673" w:rsidRDefault="00D46430" w:rsidP="00D46430">
            <w:pPr>
              <w:pStyle w:val="Tabletext"/>
            </w:pPr>
            <w:r w:rsidRPr="00CD5673">
              <w:lastRenderedPageBreak/>
              <w:t>The number of each of the following:</w:t>
            </w:r>
          </w:p>
          <w:p w14:paraId="1C92D6AF" w14:textId="77777777" w:rsidR="00D46430" w:rsidRPr="00CD5673" w:rsidRDefault="00D46430" w:rsidP="00D46430">
            <w:pPr>
              <w:pStyle w:val="Tablea"/>
            </w:pPr>
            <w:r w:rsidRPr="00CD5673">
              <w:t>(a) options and rights held at the start of the reporting period;</w:t>
            </w:r>
          </w:p>
          <w:p w14:paraId="4842AC40" w14:textId="77777777" w:rsidR="00D46430" w:rsidRPr="00CD5673" w:rsidRDefault="00D46430" w:rsidP="00D46430">
            <w:pPr>
              <w:pStyle w:val="Tablea"/>
            </w:pPr>
            <w:r w:rsidRPr="00CD5673">
              <w:t>(b) options and rights granted during the reporting period as compensation;</w:t>
            </w:r>
          </w:p>
          <w:p w14:paraId="40D6E153" w14:textId="77777777" w:rsidR="00D46430" w:rsidRPr="00CD5673" w:rsidRDefault="00D46430" w:rsidP="00D46430">
            <w:pPr>
              <w:pStyle w:val="Tablea"/>
            </w:pPr>
            <w:r w:rsidRPr="00CD5673">
              <w:t>(c) options and rights exercised during the reporting period;</w:t>
            </w:r>
          </w:p>
          <w:p w14:paraId="0E8F1156" w14:textId="77777777" w:rsidR="00D46430" w:rsidRPr="00CD5673" w:rsidRDefault="00D46430" w:rsidP="00D46430">
            <w:pPr>
              <w:pStyle w:val="Tablea"/>
            </w:pPr>
            <w:r w:rsidRPr="00CD5673">
              <w:t>(d) options and rights resulting from any other change during the reporting period;</w:t>
            </w:r>
          </w:p>
          <w:p w14:paraId="2198BE1A" w14:textId="77777777" w:rsidR="00D46430" w:rsidRPr="00CD5673" w:rsidRDefault="00D46430" w:rsidP="00D46430">
            <w:pPr>
              <w:pStyle w:val="Tablea"/>
            </w:pPr>
            <w:r w:rsidRPr="00CD5673">
              <w:lastRenderedPageBreak/>
              <w:t>(e) options and rights held at the end of the reporting period;</w:t>
            </w:r>
          </w:p>
          <w:p w14:paraId="7BC1A536" w14:textId="77777777" w:rsidR="00D46430" w:rsidRPr="00CD5673" w:rsidRDefault="00D46430" w:rsidP="00D46430">
            <w:pPr>
              <w:pStyle w:val="Tablea"/>
            </w:pPr>
            <w:r w:rsidRPr="00CD5673">
              <w:t>(f) options and rights vested at the end of the reporting period;</w:t>
            </w:r>
          </w:p>
          <w:p w14:paraId="4EEC0A8B" w14:textId="77777777" w:rsidR="00D46430" w:rsidRPr="00CD5673" w:rsidRDefault="00D46430" w:rsidP="00D46430">
            <w:pPr>
              <w:pStyle w:val="Tablea"/>
            </w:pPr>
            <w:r w:rsidRPr="00CD5673">
              <w:t>(g) options and rights vested and exercisable at the end of the reporting period;</w:t>
            </w:r>
          </w:p>
          <w:p w14:paraId="505D4F23" w14:textId="77777777" w:rsidR="00D46430" w:rsidRPr="00CD5673" w:rsidRDefault="00D46430" w:rsidP="00D46430">
            <w:pPr>
              <w:pStyle w:val="Tablea"/>
            </w:pPr>
            <w:r w:rsidRPr="00CD5673">
              <w:t>(h) options and rights vested and unexercisable at the end of the reporting period</w:t>
            </w:r>
          </w:p>
        </w:tc>
      </w:tr>
      <w:tr w:rsidR="00D46430" w:rsidRPr="00CD5673" w14:paraId="6FB5CFC3" w14:textId="77777777" w:rsidTr="00D46430">
        <w:tblPrEx>
          <w:tblBorders>
            <w:top w:val="single" w:sz="4" w:space="0" w:color="auto"/>
            <w:bottom w:val="single" w:sz="2" w:space="0" w:color="auto"/>
            <w:insideH w:val="single" w:sz="4" w:space="0" w:color="auto"/>
          </w:tblBorders>
        </w:tblPrEx>
        <w:tc>
          <w:tcPr>
            <w:tcW w:w="667" w:type="pct"/>
            <w:tcBorders>
              <w:top w:val="single" w:sz="4" w:space="0" w:color="auto"/>
              <w:bottom w:val="single" w:sz="4" w:space="0" w:color="auto"/>
            </w:tcBorders>
            <w:shd w:val="clear" w:color="auto" w:fill="auto"/>
          </w:tcPr>
          <w:p w14:paraId="0D2B8026" w14:textId="77777777" w:rsidR="00D46430" w:rsidRPr="00CD5673" w:rsidRDefault="00D46430" w:rsidP="00D46430">
            <w:pPr>
              <w:pStyle w:val="Tabletext"/>
            </w:pPr>
            <w:r w:rsidRPr="00CD5673">
              <w:t>18</w:t>
            </w:r>
          </w:p>
        </w:tc>
        <w:tc>
          <w:tcPr>
            <w:tcW w:w="2110" w:type="pct"/>
            <w:tcBorders>
              <w:top w:val="single" w:sz="4" w:space="0" w:color="auto"/>
              <w:bottom w:val="single" w:sz="4" w:space="0" w:color="auto"/>
            </w:tcBorders>
            <w:shd w:val="clear" w:color="auto" w:fill="auto"/>
          </w:tcPr>
          <w:p w14:paraId="58DFFA09" w14:textId="77777777" w:rsidR="00D46430" w:rsidRPr="00CD5673" w:rsidRDefault="00D46430" w:rsidP="00D46430">
            <w:pPr>
              <w:pStyle w:val="Tabletext"/>
              <w:rPr>
                <w:szCs w:val="22"/>
              </w:rPr>
            </w:pPr>
            <w:r w:rsidRPr="00CD5673">
              <w:rPr>
                <w:szCs w:val="22"/>
              </w:rPr>
              <w:t>For an equity instrument (other than an option or a right):</w:t>
            </w:r>
          </w:p>
          <w:p w14:paraId="23880902" w14:textId="77777777" w:rsidR="00D46430" w:rsidRPr="00CD5673" w:rsidRDefault="00D46430" w:rsidP="00D46430">
            <w:pPr>
              <w:pStyle w:val="Tablea"/>
            </w:pPr>
            <w:r w:rsidRPr="00CD5673">
              <w:t>(a) issued or issuable by the disclosing entity or any of its subsidiaries; and</w:t>
            </w:r>
          </w:p>
          <w:p w14:paraId="34CE4E1F" w14:textId="77777777" w:rsidR="00D46430" w:rsidRPr="00CD5673" w:rsidRDefault="00D46430" w:rsidP="00D46430">
            <w:pPr>
              <w:pStyle w:val="Tablea"/>
            </w:pPr>
            <w:r w:rsidRPr="00CD5673">
              <w:t>(b) held, whether directly, indirectly or beneficially, by any of the following:</w:t>
            </w:r>
          </w:p>
          <w:p w14:paraId="6997BE2C" w14:textId="77777777" w:rsidR="00D46430" w:rsidRPr="00CD5673" w:rsidRDefault="00D46430" w:rsidP="00D46430">
            <w:pPr>
              <w:pStyle w:val="Tablei"/>
            </w:pPr>
            <w:r w:rsidRPr="00CD5673">
              <w:t>(i) each key management person;</w:t>
            </w:r>
          </w:p>
          <w:p w14:paraId="7D677FB0" w14:textId="77777777" w:rsidR="00D46430" w:rsidRPr="00CD5673" w:rsidRDefault="00D46430" w:rsidP="00D46430">
            <w:pPr>
              <w:pStyle w:val="Tablei"/>
            </w:pPr>
            <w:r w:rsidRPr="00CD5673">
              <w:t>(ii) a close member of the family of that person;</w:t>
            </w:r>
          </w:p>
          <w:p w14:paraId="069A7DC0" w14:textId="77777777" w:rsidR="00D46430" w:rsidRPr="00CD5673" w:rsidRDefault="00D46430" w:rsidP="00D46430">
            <w:pPr>
              <w:pStyle w:val="Tablei"/>
            </w:pPr>
            <w:r w:rsidRPr="00CD5673">
              <w:t>(iii) an entity over which the person or the family member has, either directly or indirectly, control, joint control or significant influence</w:t>
            </w:r>
          </w:p>
        </w:tc>
        <w:tc>
          <w:tcPr>
            <w:tcW w:w="2223" w:type="pct"/>
            <w:gridSpan w:val="2"/>
            <w:tcBorders>
              <w:top w:val="single" w:sz="4" w:space="0" w:color="auto"/>
              <w:bottom w:val="single" w:sz="4" w:space="0" w:color="auto"/>
            </w:tcBorders>
            <w:shd w:val="clear" w:color="auto" w:fill="auto"/>
          </w:tcPr>
          <w:p w14:paraId="6FD6D722" w14:textId="77777777" w:rsidR="00D46430" w:rsidRPr="00CD5673" w:rsidRDefault="00D46430" w:rsidP="00D46430">
            <w:pPr>
              <w:pStyle w:val="Tabletext"/>
            </w:pPr>
            <w:r w:rsidRPr="00CD5673">
              <w:t>The number of each of the following:</w:t>
            </w:r>
          </w:p>
          <w:p w14:paraId="20082FE2" w14:textId="77777777" w:rsidR="00D46430" w:rsidRPr="00CD5673" w:rsidRDefault="00D46430" w:rsidP="00D46430">
            <w:pPr>
              <w:pStyle w:val="Tablea"/>
            </w:pPr>
            <w:r w:rsidRPr="00CD5673">
              <w:t xml:space="preserve">(a) </w:t>
            </w:r>
            <w:r w:rsidRPr="00CD5673">
              <w:rPr>
                <w:szCs w:val="22"/>
              </w:rPr>
              <w:t>equity instrument</w:t>
            </w:r>
            <w:r w:rsidRPr="00CD5673">
              <w:t>s held at the start of the reporting period;</w:t>
            </w:r>
          </w:p>
          <w:p w14:paraId="7521C6BE" w14:textId="77777777" w:rsidR="00D46430" w:rsidRPr="00CD5673" w:rsidRDefault="00D46430" w:rsidP="00D46430">
            <w:pPr>
              <w:pStyle w:val="Tablea"/>
            </w:pPr>
            <w:r w:rsidRPr="00CD5673">
              <w:t xml:space="preserve">(b) </w:t>
            </w:r>
            <w:r w:rsidRPr="00CD5673">
              <w:rPr>
                <w:szCs w:val="22"/>
              </w:rPr>
              <w:t>equity instrument</w:t>
            </w:r>
            <w:r w:rsidRPr="00CD5673">
              <w:t>s granted during the reporting period as compensation;</w:t>
            </w:r>
          </w:p>
          <w:p w14:paraId="2BD25877" w14:textId="77777777" w:rsidR="00D46430" w:rsidRPr="00CD5673" w:rsidRDefault="00D46430" w:rsidP="00D46430">
            <w:pPr>
              <w:pStyle w:val="Tablea"/>
            </w:pPr>
            <w:r w:rsidRPr="00CD5673">
              <w:t xml:space="preserve">(c) </w:t>
            </w:r>
            <w:r w:rsidRPr="00CD5673">
              <w:rPr>
                <w:szCs w:val="22"/>
              </w:rPr>
              <w:t>equity instrument</w:t>
            </w:r>
            <w:r w:rsidRPr="00CD5673">
              <w:t>s received during the reporting period on the exercise of an option or right;</w:t>
            </w:r>
          </w:p>
          <w:p w14:paraId="3F98A75F" w14:textId="77777777" w:rsidR="00D46430" w:rsidRPr="00CD5673" w:rsidRDefault="00D46430" w:rsidP="00D46430">
            <w:pPr>
              <w:pStyle w:val="Tablea"/>
            </w:pPr>
            <w:r w:rsidRPr="00CD5673">
              <w:t xml:space="preserve">(d) </w:t>
            </w:r>
            <w:r w:rsidRPr="00CD5673">
              <w:rPr>
                <w:szCs w:val="22"/>
              </w:rPr>
              <w:t>equity instrument</w:t>
            </w:r>
            <w:r w:rsidRPr="00CD5673">
              <w:t>s resulting from any other change during the reporting period;</w:t>
            </w:r>
          </w:p>
          <w:p w14:paraId="5E59AEB1" w14:textId="77777777" w:rsidR="00D46430" w:rsidRPr="00CD5673" w:rsidRDefault="00D46430" w:rsidP="00D46430">
            <w:pPr>
              <w:pStyle w:val="Tablea"/>
            </w:pPr>
            <w:r w:rsidRPr="00CD5673">
              <w:t xml:space="preserve">(e) </w:t>
            </w:r>
            <w:r w:rsidRPr="00CD5673">
              <w:rPr>
                <w:szCs w:val="22"/>
              </w:rPr>
              <w:t>equity instrument</w:t>
            </w:r>
            <w:r w:rsidRPr="00CD5673">
              <w:t>s held at the end of the reporting period;</w:t>
            </w:r>
          </w:p>
          <w:p w14:paraId="318FAB92" w14:textId="77777777" w:rsidR="00D46430" w:rsidRPr="00CD5673" w:rsidRDefault="00D46430" w:rsidP="00D46430">
            <w:pPr>
              <w:pStyle w:val="Tablea"/>
            </w:pPr>
            <w:r w:rsidRPr="00CD5673">
              <w:t xml:space="preserve">(f) </w:t>
            </w:r>
            <w:r w:rsidRPr="00CD5673">
              <w:rPr>
                <w:szCs w:val="22"/>
              </w:rPr>
              <w:t>equity instrument</w:t>
            </w:r>
            <w:r w:rsidRPr="00CD5673">
              <w:t>s if included in the number disclosed under paragraph (e), held nominally at the end of the reporting period</w:t>
            </w:r>
          </w:p>
        </w:tc>
      </w:tr>
      <w:tr w:rsidR="00D46430" w:rsidRPr="00CD5673" w14:paraId="14282EF3" w14:textId="77777777" w:rsidTr="00D46430">
        <w:tblPrEx>
          <w:tblBorders>
            <w:top w:val="single" w:sz="4" w:space="0" w:color="auto"/>
            <w:bottom w:val="single" w:sz="2" w:space="0" w:color="auto"/>
            <w:insideH w:val="single" w:sz="4" w:space="0" w:color="auto"/>
          </w:tblBorders>
        </w:tblPrEx>
        <w:tc>
          <w:tcPr>
            <w:tcW w:w="667" w:type="pct"/>
            <w:tcBorders>
              <w:bottom w:val="nil"/>
            </w:tcBorders>
            <w:shd w:val="clear" w:color="auto" w:fill="auto"/>
          </w:tcPr>
          <w:p w14:paraId="2CF04FDF" w14:textId="77777777" w:rsidR="00D46430" w:rsidRPr="00CD5673" w:rsidRDefault="00D46430" w:rsidP="00D46430">
            <w:pPr>
              <w:pStyle w:val="Tabletext"/>
            </w:pPr>
            <w:r w:rsidRPr="00CD5673">
              <w:t>19</w:t>
            </w:r>
          </w:p>
        </w:tc>
        <w:tc>
          <w:tcPr>
            <w:tcW w:w="2110" w:type="pct"/>
            <w:tcBorders>
              <w:bottom w:val="nil"/>
            </w:tcBorders>
            <w:shd w:val="clear" w:color="auto" w:fill="auto"/>
          </w:tcPr>
          <w:p w14:paraId="1A34E45F" w14:textId="77777777" w:rsidR="00D46430" w:rsidRPr="00CD5673" w:rsidRDefault="00D46430" w:rsidP="00D46430">
            <w:pPr>
              <w:pStyle w:val="Tabletext"/>
              <w:rPr>
                <w:szCs w:val="22"/>
              </w:rPr>
            </w:pPr>
            <w:r w:rsidRPr="00CD5673">
              <w:rPr>
                <w:szCs w:val="22"/>
              </w:rPr>
              <w:t>For a transaction (other than share</w:t>
            </w:r>
            <w:r w:rsidR="00C614F1">
              <w:rPr>
                <w:szCs w:val="22"/>
              </w:rPr>
              <w:noBreakHyphen/>
            </w:r>
            <w:r w:rsidRPr="00CD5673">
              <w:rPr>
                <w:szCs w:val="22"/>
              </w:rPr>
              <w:t>based payment compensation) that:</w:t>
            </w:r>
          </w:p>
          <w:p w14:paraId="7A29D97D" w14:textId="77777777" w:rsidR="00D46430" w:rsidRPr="00CD5673" w:rsidRDefault="00D46430" w:rsidP="00D46430">
            <w:pPr>
              <w:pStyle w:val="Tablea"/>
            </w:pPr>
            <w:r w:rsidRPr="00CD5673">
              <w:t>(a) involves an equity instrument issued or issuable by the disclosing entity or any of its subsidiaries; and</w:t>
            </w:r>
          </w:p>
          <w:p w14:paraId="32898D77" w14:textId="77777777" w:rsidR="00D46430" w:rsidRPr="00CD5673" w:rsidRDefault="00D46430" w:rsidP="00D46430">
            <w:pPr>
              <w:pStyle w:val="Tablea"/>
            </w:pPr>
            <w:r w:rsidRPr="00CD5673">
              <w:t>(b) has occurred, during the reporting period, between the disclosing entity or any of its subsidiaries and any of the following:</w:t>
            </w:r>
          </w:p>
          <w:p w14:paraId="6204EE36" w14:textId="77777777" w:rsidR="00D46430" w:rsidRPr="00CD5673" w:rsidRDefault="00D46430" w:rsidP="00D46430">
            <w:pPr>
              <w:pStyle w:val="Tablei"/>
            </w:pPr>
            <w:r w:rsidRPr="00CD5673">
              <w:t>(i) a key management person;</w:t>
            </w:r>
          </w:p>
          <w:p w14:paraId="7233819A" w14:textId="77777777" w:rsidR="00D46430" w:rsidRPr="00CD5673" w:rsidRDefault="00D46430" w:rsidP="00D46430">
            <w:pPr>
              <w:pStyle w:val="Tablei"/>
            </w:pPr>
            <w:r w:rsidRPr="00CD5673">
              <w:t>(ii) a close member of the family of that person;</w:t>
            </w:r>
          </w:p>
          <w:p w14:paraId="3CFFF80B" w14:textId="77777777" w:rsidR="00D46430" w:rsidRPr="00CD5673" w:rsidRDefault="00D46430" w:rsidP="00D46430">
            <w:pPr>
              <w:pStyle w:val="Tablei"/>
            </w:pPr>
            <w:r w:rsidRPr="00CD5673">
              <w:t>(iii) an entity over which the person or the family member has, either directly or indirectly, control, joint control or significant influence;</w:t>
            </w:r>
          </w:p>
          <w:p w14:paraId="42DB84A7" w14:textId="77777777" w:rsidR="00D46430" w:rsidRPr="00CD5673" w:rsidRDefault="00D46430" w:rsidP="00D46430">
            <w:pPr>
              <w:pStyle w:val="Tabletext"/>
            </w:pPr>
            <w:r w:rsidRPr="00CD5673">
              <w:t>if the terms or conditions of the transaction were more favourable than those that it is reasonable to expect the entity would adopt if dealing at arms</w:t>
            </w:r>
            <w:r w:rsidR="00C614F1">
              <w:noBreakHyphen/>
            </w:r>
            <w:r w:rsidRPr="00CD5673">
              <w:t>length with an unrelated person</w:t>
            </w:r>
          </w:p>
        </w:tc>
        <w:tc>
          <w:tcPr>
            <w:tcW w:w="2223" w:type="pct"/>
            <w:gridSpan w:val="2"/>
            <w:tcBorders>
              <w:bottom w:val="nil"/>
            </w:tcBorders>
            <w:shd w:val="clear" w:color="auto" w:fill="auto"/>
          </w:tcPr>
          <w:p w14:paraId="7A7CDF85" w14:textId="77777777" w:rsidR="00D46430" w:rsidRPr="00CD5673" w:rsidRDefault="00D46430" w:rsidP="00D46430">
            <w:pPr>
              <w:pStyle w:val="Tablea"/>
            </w:pPr>
            <w:r w:rsidRPr="00CD5673">
              <w:t>(a) The nature of each different type of transaction</w:t>
            </w:r>
          </w:p>
          <w:p w14:paraId="2397DDE4" w14:textId="77777777" w:rsidR="00D46430" w:rsidRPr="00CD5673" w:rsidRDefault="00D46430" w:rsidP="00D46430">
            <w:pPr>
              <w:pStyle w:val="Tablea"/>
            </w:pPr>
            <w:r w:rsidRPr="00CD5673">
              <w:t>(b) For each transaction, the terms and conditions of the transaction</w:t>
            </w:r>
          </w:p>
        </w:tc>
      </w:tr>
      <w:tr w:rsidR="00D46430" w:rsidRPr="00CD5673" w14:paraId="4CABDC8D" w14:textId="77777777" w:rsidTr="00D46430">
        <w:tblPrEx>
          <w:tblBorders>
            <w:top w:val="single" w:sz="4" w:space="0" w:color="auto"/>
            <w:bottom w:val="single" w:sz="2" w:space="0" w:color="auto"/>
            <w:insideH w:val="single" w:sz="4" w:space="0" w:color="auto"/>
          </w:tblBorders>
        </w:tblPrEx>
        <w:tc>
          <w:tcPr>
            <w:tcW w:w="667" w:type="pct"/>
            <w:tcBorders>
              <w:top w:val="single" w:sz="4" w:space="0" w:color="auto"/>
              <w:bottom w:val="single" w:sz="4" w:space="0" w:color="auto"/>
            </w:tcBorders>
            <w:shd w:val="clear" w:color="auto" w:fill="auto"/>
          </w:tcPr>
          <w:p w14:paraId="649DDFD1" w14:textId="77777777" w:rsidR="00D46430" w:rsidRPr="00CD5673" w:rsidRDefault="00D46430" w:rsidP="00D46430">
            <w:pPr>
              <w:pStyle w:val="Tabletext"/>
            </w:pPr>
            <w:r w:rsidRPr="00CD5673">
              <w:t>20</w:t>
            </w:r>
          </w:p>
        </w:tc>
        <w:tc>
          <w:tcPr>
            <w:tcW w:w="2110" w:type="pct"/>
            <w:tcBorders>
              <w:top w:val="single" w:sz="4" w:space="0" w:color="auto"/>
              <w:bottom w:val="single" w:sz="4" w:space="0" w:color="auto"/>
            </w:tcBorders>
            <w:shd w:val="clear" w:color="auto" w:fill="auto"/>
          </w:tcPr>
          <w:p w14:paraId="17A02FF7" w14:textId="77777777" w:rsidR="00D46430" w:rsidRPr="00CD5673" w:rsidRDefault="00D46430" w:rsidP="00D46430">
            <w:pPr>
              <w:pStyle w:val="Tabletext"/>
            </w:pPr>
            <w:r w:rsidRPr="00CD5673">
              <w:t>For the aggregate of loans made, guaranteed or secured, directly or indirectly, by the disclosing entity and any of its subsidiaries, in the reporting period in relation to:</w:t>
            </w:r>
          </w:p>
          <w:p w14:paraId="775CE4CD" w14:textId="77777777" w:rsidR="00D46430" w:rsidRPr="00CD5673" w:rsidRDefault="00D46430" w:rsidP="00D46430">
            <w:pPr>
              <w:pStyle w:val="Tablea"/>
            </w:pPr>
            <w:r w:rsidRPr="00CD5673">
              <w:t>(a) all key management personnel; and</w:t>
            </w:r>
          </w:p>
          <w:p w14:paraId="41C29704" w14:textId="77777777" w:rsidR="00D46430" w:rsidRPr="00CD5673" w:rsidRDefault="00D46430" w:rsidP="00D46430">
            <w:pPr>
              <w:pStyle w:val="Tablea"/>
            </w:pPr>
            <w:r w:rsidRPr="00CD5673">
              <w:t>(b) close members of the family of a member of the key management personnel; and</w:t>
            </w:r>
          </w:p>
          <w:p w14:paraId="612848BF" w14:textId="77777777" w:rsidR="00D46430" w:rsidRPr="00CD5673" w:rsidRDefault="00D46430" w:rsidP="00D46430">
            <w:pPr>
              <w:pStyle w:val="Tablea"/>
            </w:pPr>
            <w:r w:rsidRPr="00CD5673">
              <w:t>(c) an entity over which any of the persons mentioned in paragraphs (a) and (b) have, directly or indirectly, control, joint control or significant influence</w:t>
            </w:r>
          </w:p>
        </w:tc>
        <w:tc>
          <w:tcPr>
            <w:tcW w:w="2223" w:type="pct"/>
            <w:gridSpan w:val="2"/>
            <w:tcBorders>
              <w:top w:val="single" w:sz="4" w:space="0" w:color="auto"/>
              <w:bottom w:val="single" w:sz="4" w:space="0" w:color="auto"/>
            </w:tcBorders>
            <w:shd w:val="clear" w:color="auto" w:fill="auto"/>
          </w:tcPr>
          <w:p w14:paraId="617BAE7D" w14:textId="77777777" w:rsidR="00D46430" w:rsidRPr="00CD5673" w:rsidRDefault="00D46430" w:rsidP="00D46430">
            <w:pPr>
              <w:pStyle w:val="Tablea"/>
            </w:pPr>
            <w:r w:rsidRPr="00CD5673">
              <w:t>(a) The amount outstanding at the start of the reporting period</w:t>
            </w:r>
          </w:p>
          <w:p w14:paraId="60E1C8DA" w14:textId="77777777" w:rsidR="00D46430" w:rsidRPr="00CD5673" w:rsidRDefault="00D46430" w:rsidP="00D46430">
            <w:pPr>
              <w:pStyle w:val="Tablea"/>
            </w:pPr>
            <w:r w:rsidRPr="00CD5673">
              <w:t>(b) The amount of interest paid and payable in the reporting period to the disclosing entity or to any of the entity’s subsidiaries</w:t>
            </w:r>
          </w:p>
          <w:p w14:paraId="50E32C0F" w14:textId="77777777" w:rsidR="00D46430" w:rsidRPr="00CD5673" w:rsidRDefault="00D46430" w:rsidP="00D46430">
            <w:pPr>
              <w:pStyle w:val="Tablea"/>
            </w:pPr>
            <w:r w:rsidRPr="00CD5673">
              <w:t>(c) The difference between the amount disclosed under paragraph (b) and the amount of interest that would have been charged on an arms</w:t>
            </w:r>
            <w:r w:rsidR="00C614F1">
              <w:noBreakHyphen/>
            </w:r>
            <w:r w:rsidRPr="00CD5673">
              <w:t>length basis</w:t>
            </w:r>
          </w:p>
          <w:p w14:paraId="361E25A0" w14:textId="77777777" w:rsidR="00D46430" w:rsidRPr="00CD5673" w:rsidRDefault="00D46430" w:rsidP="00D46430">
            <w:pPr>
              <w:pStyle w:val="Tablea"/>
            </w:pPr>
            <w:r w:rsidRPr="00CD5673">
              <w:t>(d) Each write</w:t>
            </w:r>
            <w:r w:rsidR="00C614F1">
              <w:noBreakHyphen/>
            </w:r>
            <w:r w:rsidRPr="00CD5673">
              <w:t>down and each allowance for doubtful receivables recognised by the disclosing entity or by any of the entity’s subsidiaries</w:t>
            </w:r>
          </w:p>
          <w:p w14:paraId="3D962D5D" w14:textId="77777777" w:rsidR="00D46430" w:rsidRPr="00CD5673" w:rsidRDefault="00D46430" w:rsidP="00D46430">
            <w:pPr>
              <w:pStyle w:val="Tablea"/>
            </w:pPr>
            <w:r w:rsidRPr="00CD5673">
              <w:t>(e) The amount outstanding at the end of the reporting period</w:t>
            </w:r>
          </w:p>
          <w:p w14:paraId="45571224" w14:textId="77777777" w:rsidR="00D46430" w:rsidRPr="00CD5673" w:rsidRDefault="00D46430" w:rsidP="00D46430">
            <w:pPr>
              <w:pStyle w:val="Tablea"/>
            </w:pPr>
            <w:r w:rsidRPr="00CD5673">
              <w:t>(f) The number of key management personnel included in the group aggregate at the end of the reporting period</w:t>
            </w:r>
          </w:p>
          <w:p w14:paraId="385FC240" w14:textId="77777777" w:rsidR="00D46430" w:rsidRPr="00CD5673" w:rsidRDefault="00D46430" w:rsidP="00D46430">
            <w:pPr>
              <w:pStyle w:val="Tablea"/>
            </w:pPr>
            <w:r w:rsidRPr="00CD5673">
              <w:t>(g) A summary of the terms and conditions of the loans</w:t>
            </w:r>
          </w:p>
        </w:tc>
      </w:tr>
      <w:tr w:rsidR="00D46430" w:rsidRPr="00CD5673" w14:paraId="063C220F" w14:textId="77777777" w:rsidTr="00D46430">
        <w:tblPrEx>
          <w:tblBorders>
            <w:top w:val="single" w:sz="4" w:space="0" w:color="auto"/>
            <w:bottom w:val="single" w:sz="2" w:space="0" w:color="auto"/>
            <w:insideH w:val="single" w:sz="4" w:space="0" w:color="auto"/>
          </w:tblBorders>
        </w:tblPrEx>
        <w:trPr>
          <w:cantSplit/>
        </w:trPr>
        <w:tc>
          <w:tcPr>
            <w:tcW w:w="667" w:type="pct"/>
            <w:tcBorders>
              <w:top w:val="single" w:sz="4" w:space="0" w:color="auto"/>
              <w:bottom w:val="single" w:sz="4" w:space="0" w:color="auto"/>
            </w:tcBorders>
            <w:shd w:val="clear" w:color="auto" w:fill="auto"/>
          </w:tcPr>
          <w:p w14:paraId="7838FC1D" w14:textId="77777777" w:rsidR="00D46430" w:rsidRPr="00CD5673" w:rsidRDefault="00D46430" w:rsidP="00D46430">
            <w:pPr>
              <w:pStyle w:val="Tabletext"/>
            </w:pPr>
            <w:r w:rsidRPr="00CD5673">
              <w:lastRenderedPageBreak/>
              <w:t>21</w:t>
            </w:r>
          </w:p>
        </w:tc>
        <w:tc>
          <w:tcPr>
            <w:tcW w:w="2110" w:type="pct"/>
            <w:tcBorders>
              <w:top w:val="single" w:sz="4" w:space="0" w:color="auto"/>
              <w:bottom w:val="single" w:sz="4" w:space="0" w:color="auto"/>
            </w:tcBorders>
            <w:shd w:val="clear" w:color="auto" w:fill="auto"/>
          </w:tcPr>
          <w:p w14:paraId="3D2CDE25" w14:textId="77777777" w:rsidR="00D46430" w:rsidRPr="00CD5673" w:rsidRDefault="00D46430" w:rsidP="00D46430">
            <w:pPr>
              <w:pStyle w:val="Tabletext"/>
            </w:pPr>
            <w:r w:rsidRPr="00CD5673">
              <w:t>If the aggregate of loans made, guaranteed or secured, directly or indirectly, by the disclosing entity and any of its subsidiaries, in the reporting period in relation to:</w:t>
            </w:r>
          </w:p>
          <w:p w14:paraId="7D5303C9" w14:textId="77777777" w:rsidR="00D46430" w:rsidRPr="00CD5673" w:rsidRDefault="00D46430" w:rsidP="00D46430">
            <w:pPr>
              <w:pStyle w:val="Tablea"/>
            </w:pPr>
            <w:r w:rsidRPr="00CD5673">
              <w:t>(a) a particular key management person; and</w:t>
            </w:r>
          </w:p>
          <w:p w14:paraId="74C527C2" w14:textId="77777777" w:rsidR="00D46430" w:rsidRPr="00CD5673" w:rsidRDefault="00D46430" w:rsidP="00D46430">
            <w:pPr>
              <w:pStyle w:val="Tablea"/>
            </w:pPr>
            <w:r w:rsidRPr="00CD5673">
              <w:t>(b) close members of the family of the key management person; and</w:t>
            </w:r>
          </w:p>
          <w:p w14:paraId="4A93337D" w14:textId="77777777" w:rsidR="00D46430" w:rsidRPr="00CD5673" w:rsidRDefault="00D46430" w:rsidP="00D46430">
            <w:pPr>
              <w:pStyle w:val="Tablea"/>
            </w:pPr>
            <w:r w:rsidRPr="00CD5673">
              <w:t>(c) an entity over which any of the persons mentioned in paragraphs (a) and (b) has, directly or indirectly, control, joint control or significant influence;</w:t>
            </w:r>
          </w:p>
          <w:p w14:paraId="0C2B1F8D" w14:textId="77777777" w:rsidR="00D46430" w:rsidRPr="00CD5673" w:rsidRDefault="00D46430" w:rsidP="00D46430">
            <w:pPr>
              <w:pStyle w:val="Tabletext"/>
            </w:pPr>
            <w:r w:rsidRPr="00CD5673">
              <w:t>is greater than $100 000</w:t>
            </w:r>
          </w:p>
        </w:tc>
        <w:tc>
          <w:tcPr>
            <w:tcW w:w="2223" w:type="pct"/>
            <w:gridSpan w:val="2"/>
            <w:tcBorders>
              <w:top w:val="single" w:sz="4" w:space="0" w:color="auto"/>
              <w:bottom w:val="single" w:sz="4" w:space="0" w:color="auto"/>
            </w:tcBorders>
            <w:shd w:val="clear" w:color="auto" w:fill="auto"/>
          </w:tcPr>
          <w:p w14:paraId="6D660F3B" w14:textId="77777777" w:rsidR="00D46430" w:rsidRPr="00CD5673" w:rsidRDefault="00D46430" w:rsidP="00D46430">
            <w:pPr>
              <w:pStyle w:val="Tablea"/>
            </w:pPr>
            <w:r w:rsidRPr="00CD5673">
              <w:t>(a) The amount outstanding at the start of the reporting period</w:t>
            </w:r>
          </w:p>
          <w:p w14:paraId="7F632E4F" w14:textId="77777777" w:rsidR="00D46430" w:rsidRPr="00CD5673" w:rsidRDefault="00D46430" w:rsidP="00D46430">
            <w:pPr>
              <w:pStyle w:val="Tablea"/>
            </w:pPr>
            <w:r w:rsidRPr="00CD5673">
              <w:t>(b) The amount of interest paid and payable in the reporting period to the disclosing entity or to any of the entity’s subsidiaries</w:t>
            </w:r>
          </w:p>
          <w:p w14:paraId="1AF491D9" w14:textId="77777777" w:rsidR="00D46430" w:rsidRPr="00CD5673" w:rsidRDefault="00D46430" w:rsidP="00D46430">
            <w:pPr>
              <w:pStyle w:val="Tablea"/>
            </w:pPr>
            <w:r w:rsidRPr="00CD5673">
              <w:t>(c) The difference between the amount disclosed under paragraph (b) and the amount of interest that would have been charged on an arms</w:t>
            </w:r>
            <w:r w:rsidR="00C614F1">
              <w:noBreakHyphen/>
            </w:r>
            <w:r w:rsidRPr="00CD5673">
              <w:t>length basis</w:t>
            </w:r>
          </w:p>
          <w:p w14:paraId="338C0321" w14:textId="77777777" w:rsidR="00D46430" w:rsidRPr="00CD5673" w:rsidRDefault="00D46430" w:rsidP="00D46430">
            <w:pPr>
              <w:pStyle w:val="Tablea"/>
            </w:pPr>
            <w:r w:rsidRPr="00CD5673">
              <w:t>(d) Each write</w:t>
            </w:r>
            <w:r w:rsidR="00C614F1">
              <w:noBreakHyphen/>
            </w:r>
            <w:r w:rsidRPr="00CD5673">
              <w:t>down and each allowance for doubtful receivables recognised by the disclosing entity or by any of the entity’s subsidiaries</w:t>
            </w:r>
          </w:p>
          <w:p w14:paraId="1D60E5E7" w14:textId="77777777" w:rsidR="00D46430" w:rsidRPr="00CD5673" w:rsidRDefault="00D46430" w:rsidP="00D46430">
            <w:pPr>
              <w:pStyle w:val="Tablea"/>
            </w:pPr>
            <w:r w:rsidRPr="00CD5673">
              <w:t>(e) The amount outstanding at the end of the reporting period</w:t>
            </w:r>
          </w:p>
          <w:p w14:paraId="29608B63" w14:textId="77777777" w:rsidR="00D46430" w:rsidRPr="00CD5673" w:rsidRDefault="00D46430" w:rsidP="00D46430">
            <w:pPr>
              <w:pStyle w:val="Tablea"/>
            </w:pPr>
            <w:r w:rsidRPr="00CD5673">
              <w:t>(f) The highest amount of the key management person’s indebtedness during the reporting period</w:t>
            </w:r>
          </w:p>
          <w:p w14:paraId="77D01ED7" w14:textId="77777777" w:rsidR="00D46430" w:rsidRPr="00CD5673" w:rsidRDefault="00D46430" w:rsidP="00D46430">
            <w:pPr>
              <w:pStyle w:val="Tablea"/>
            </w:pPr>
            <w:r w:rsidRPr="00CD5673">
              <w:t>(g) A summary of the terms and conditions of the loans</w:t>
            </w:r>
          </w:p>
        </w:tc>
      </w:tr>
      <w:tr w:rsidR="00D46430" w:rsidRPr="00CD5673" w14:paraId="3B180AEC" w14:textId="77777777" w:rsidTr="00D46430">
        <w:tblPrEx>
          <w:tblBorders>
            <w:top w:val="single" w:sz="4" w:space="0" w:color="auto"/>
            <w:bottom w:val="single" w:sz="2" w:space="0" w:color="auto"/>
            <w:insideH w:val="single" w:sz="4" w:space="0" w:color="auto"/>
          </w:tblBorders>
        </w:tblPrEx>
        <w:trPr>
          <w:cantSplit/>
        </w:trPr>
        <w:tc>
          <w:tcPr>
            <w:tcW w:w="667" w:type="pct"/>
            <w:tcBorders>
              <w:top w:val="single" w:sz="4" w:space="0" w:color="auto"/>
              <w:bottom w:val="single" w:sz="4" w:space="0" w:color="auto"/>
            </w:tcBorders>
            <w:shd w:val="clear" w:color="auto" w:fill="auto"/>
          </w:tcPr>
          <w:p w14:paraId="4BF347FB" w14:textId="77777777" w:rsidR="00D46430" w:rsidRPr="00CD5673" w:rsidRDefault="00D46430" w:rsidP="00D46430">
            <w:pPr>
              <w:pStyle w:val="Tabletext"/>
            </w:pPr>
            <w:r w:rsidRPr="00CD5673">
              <w:t>22</w:t>
            </w:r>
          </w:p>
        </w:tc>
        <w:tc>
          <w:tcPr>
            <w:tcW w:w="2110" w:type="pct"/>
            <w:tcBorders>
              <w:top w:val="single" w:sz="4" w:space="0" w:color="auto"/>
              <w:bottom w:val="single" w:sz="4" w:space="0" w:color="auto"/>
            </w:tcBorders>
            <w:shd w:val="clear" w:color="auto" w:fill="auto"/>
          </w:tcPr>
          <w:p w14:paraId="4F1D3A4E" w14:textId="77777777" w:rsidR="00D46430" w:rsidRPr="00CD5673" w:rsidRDefault="00D46430" w:rsidP="00D46430">
            <w:pPr>
              <w:pStyle w:val="Tabletext"/>
            </w:pPr>
            <w:r w:rsidRPr="00CD5673">
              <w:t>For a transaction during the reporting period between the disclosing entity, or any of its subsidiaries, and a key management person, a close member of the family of that person, or an entity over which the key management person or the family member has, directly or indirectly, control, joint control or significant influence, other than a transaction mentioned in item 19, 20 or 21 or subregulation (3B)</w:t>
            </w:r>
          </w:p>
        </w:tc>
        <w:tc>
          <w:tcPr>
            <w:tcW w:w="2223" w:type="pct"/>
            <w:gridSpan w:val="2"/>
            <w:tcBorders>
              <w:top w:val="single" w:sz="4" w:space="0" w:color="auto"/>
              <w:bottom w:val="single" w:sz="4" w:space="0" w:color="auto"/>
            </w:tcBorders>
            <w:shd w:val="clear" w:color="auto" w:fill="auto"/>
          </w:tcPr>
          <w:p w14:paraId="2F529F2C" w14:textId="77777777" w:rsidR="00D46430" w:rsidRPr="00CD5673" w:rsidRDefault="00D46430" w:rsidP="00D46430">
            <w:pPr>
              <w:pStyle w:val="Tablea"/>
            </w:pPr>
            <w:r w:rsidRPr="00CD5673">
              <w:t>(a) Each type of transaction of a different nature</w:t>
            </w:r>
          </w:p>
          <w:p w14:paraId="0FB136DA" w14:textId="77777777" w:rsidR="00D46430" w:rsidRPr="00CD5673" w:rsidRDefault="00D46430" w:rsidP="00D46430">
            <w:pPr>
              <w:pStyle w:val="Tablea"/>
            </w:pPr>
            <w:r w:rsidRPr="00CD5673">
              <w:t>(b) The terms and conditions of each type of transaction or, if there are different categories of terms and conditions within a type of transaction, the terms and conditions of each category of transaction</w:t>
            </w:r>
          </w:p>
          <w:p w14:paraId="1C91F0D6" w14:textId="77777777" w:rsidR="00D46430" w:rsidRPr="00CD5673" w:rsidRDefault="00D46430" w:rsidP="00D46430">
            <w:pPr>
              <w:pStyle w:val="Tablea"/>
            </w:pPr>
            <w:r w:rsidRPr="00CD5673">
              <w:t>(c) For each type of transaction or, if there are different categories of terms and conditions within a type of transaction, for each category of transaction:</w:t>
            </w:r>
          </w:p>
          <w:p w14:paraId="25D0F897" w14:textId="77777777" w:rsidR="00D46430" w:rsidRPr="00CD5673" w:rsidRDefault="00D46430" w:rsidP="00D46430">
            <w:pPr>
              <w:pStyle w:val="Tablei"/>
            </w:pPr>
            <w:r w:rsidRPr="00CD5673">
              <w:t>(i) the names of the persons involved in the transaction; and</w:t>
            </w:r>
          </w:p>
          <w:p w14:paraId="5CDD9132" w14:textId="77777777" w:rsidR="00D46430" w:rsidRPr="00CD5673" w:rsidRDefault="00D46430" w:rsidP="00D46430">
            <w:pPr>
              <w:pStyle w:val="Tablei"/>
            </w:pPr>
            <w:r w:rsidRPr="00CD5673">
              <w:t>(ii) the aggregate amount recognised</w:t>
            </w:r>
          </w:p>
        </w:tc>
      </w:tr>
      <w:tr w:rsidR="00D46430" w:rsidRPr="00CD5673" w14:paraId="1AB22676" w14:textId="77777777" w:rsidTr="00D46430">
        <w:tblPrEx>
          <w:tblBorders>
            <w:top w:val="single" w:sz="4" w:space="0" w:color="auto"/>
            <w:bottom w:val="single" w:sz="2" w:space="0" w:color="auto"/>
            <w:insideH w:val="single" w:sz="4" w:space="0" w:color="auto"/>
          </w:tblBorders>
        </w:tblPrEx>
        <w:tc>
          <w:tcPr>
            <w:tcW w:w="667" w:type="pct"/>
            <w:tcBorders>
              <w:bottom w:val="nil"/>
            </w:tcBorders>
            <w:shd w:val="clear" w:color="auto" w:fill="auto"/>
          </w:tcPr>
          <w:p w14:paraId="2467DED2" w14:textId="77777777" w:rsidR="00D46430" w:rsidRPr="00CD5673" w:rsidRDefault="00D46430" w:rsidP="00D46430">
            <w:pPr>
              <w:pStyle w:val="Tabletext"/>
            </w:pPr>
            <w:r w:rsidRPr="00CD5673">
              <w:t>23</w:t>
            </w:r>
          </w:p>
        </w:tc>
        <w:tc>
          <w:tcPr>
            <w:tcW w:w="2110" w:type="pct"/>
            <w:tcBorders>
              <w:bottom w:val="nil"/>
            </w:tcBorders>
            <w:shd w:val="clear" w:color="auto" w:fill="auto"/>
          </w:tcPr>
          <w:p w14:paraId="3FDBE506" w14:textId="77777777" w:rsidR="00D46430" w:rsidRPr="00CD5673" w:rsidRDefault="00D46430" w:rsidP="00D46430">
            <w:pPr>
              <w:pStyle w:val="Tabletext"/>
            </w:pPr>
            <w:r w:rsidRPr="00CD5673">
              <w:t>For each aggregate amount disclosed under item 22</w:t>
            </w:r>
          </w:p>
        </w:tc>
        <w:tc>
          <w:tcPr>
            <w:tcW w:w="2223" w:type="pct"/>
            <w:gridSpan w:val="2"/>
            <w:tcBorders>
              <w:bottom w:val="nil"/>
            </w:tcBorders>
            <w:shd w:val="clear" w:color="auto" w:fill="auto"/>
          </w:tcPr>
          <w:p w14:paraId="71EDDCA3" w14:textId="77777777" w:rsidR="00D46430" w:rsidRPr="00CD5673" w:rsidRDefault="00D46430" w:rsidP="00D46430">
            <w:pPr>
              <w:pStyle w:val="Tablea"/>
            </w:pPr>
            <w:r w:rsidRPr="00CD5673">
              <w:t>(a) The total of amounts recognised as revenue, separately identifying, if applicable, the total amounts recognised as:</w:t>
            </w:r>
          </w:p>
          <w:p w14:paraId="4D3641AA" w14:textId="77777777" w:rsidR="00D46430" w:rsidRPr="00CD5673" w:rsidRDefault="00D46430" w:rsidP="00D46430">
            <w:pPr>
              <w:pStyle w:val="Tablei"/>
            </w:pPr>
            <w:r w:rsidRPr="00CD5673">
              <w:t>(i) interest revenue; or</w:t>
            </w:r>
          </w:p>
          <w:p w14:paraId="3581F8B1" w14:textId="77777777" w:rsidR="00D46430" w:rsidRPr="00CD5673" w:rsidRDefault="00D46430" w:rsidP="00D46430">
            <w:pPr>
              <w:pStyle w:val="Tablei"/>
            </w:pPr>
            <w:r w:rsidRPr="00CD5673">
              <w:t>(ii) dividend revenue</w:t>
            </w:r>
          </w:p>
          <w:p w14:paraId="562E6149" w14:textId="77777777" w:rsidR="00D46430" w:rsidRPr="00CD5673" w:rsidRDefault="00D46430" w:rsidP="00D46430">
            <w:pPr>
              <w:pStyle w:val="Tablea"/>
            </w:pPr>
            <w:r w:rsidRPr="00CD5673">
              <w:t>(b) The total of amounts recognised as expense, separately identifying, if applicable, the total amounts recognised as:</w:t>
            </w:r>
          </w:p>
          <w:p w14:paraId="4C571632" w14:textId="77777777" w:rsidR="00D46430" w:rsidRPr="00CD5673" w:rsidRDefault="00D46430" w:rsidP="00D46430">
            <w:pPr>
              <w:pStyle w:val="Tablei"/>
            </w:pPr>
            <w:r w:rsidRPr="00CD5673">
              <w:t>(i) interest expense; or</w:t>
            </w:r>
          </w:p>
          <w:p w14:paraId="43FB4C7D" w14:textId="77777777" w:rsidR="00D46430" w:rsidRPr="00CD5673" w:rsidRDefault="00D46430" w:rsidP="00D46430">
            <w:pPr>
              <w:pStyle w:val="Tablei"/>
            </w:pPr>
            <w:r w:rsidRPr="00CD5673">
              <w:t>(ii) write</w:t>
            </w:r>
            <w:r w:rsidR="00C614F1">
              <w:noBreakHyphen/>
            </w:r>
            <w:r w:rsidRPr="00CD5673">
              <w:t>downs of receivables and allowances made for doubtful receivables</w:t>
            </w:r>
          </w:p>
        </w:tc>
      </w:tr>
      <w:tr w:rsidR="00D46430" w:rsidRPr="00CD5673" w14:paraId="2B261ED0" w14:textId="77777777" w:rsidTr="00D46430">
        <w:tblPrEx>
          <w:tblBorders>
            <w:top w:val="single" w:sz="4" w:space="0" w:color="auto"/>
            <w:bottom w:val="single" w:sz="2" w:space="0" w:color="auto"/>
            <w:insideH w:val="single" w:sz="4" w:space="0" w:color="auto"/>
          </w:tblBorders>
        </w:tblPrEx>
        <w:tc>
          <w:tcPr>
            <w:tcW w:w="667" w:type="pct"/>
            <w:tcBorders>
              <w:top w:val="nil"/>
              <w:bottom w:val="single" w:sz="4" w:space="0" w:color="auto"/>
            </w:tcBorders>
            <w:shd w:val="clear" w:color="auto" w:fill="auto"/>
          </w:tcPr>
          <w:p w14:paraId="3F7A488C" w14:textId="77777777" w:rsidR="00D46430" w:rsidRPr="00CD5673" w:rsidRDefault="00D46430" w:rsidP="00D46430">
            <w:pPr>
              <w:pStyle w:val="Tabletext"/>
            </w:pPr>
          </w:p>
        </w:tc>
        <w:tc>
          <w:tcPr>
            <w:tcW w:w="2110" w:type="pct"/>
            <w:tcBorders>
              <w:top w:val="nil"/>
              <w:bottom w:val="single" w:sz="4" w:space="0" w:color="auto"/>
            </w:tcBorders>
            <w:shd w:val="clear" w:color="auto" w:fill="auto"/>
          </w:tcPr>
          <w:p w14:paraId="513DE7DE" w14:textId="77777777" w:rsidR="00D46430" w:rsidRPr="00CD5673" w:rsidRDefault="00D46430" w:rsidP="00D46430">
            <w:pPr>
              <w:pStyle w:val="Tabletext"/>
              <w:keepNext/>
              <w:keepLines/>
            </w:pPr>
          </w:p>
        </w:tc>
        <w:tc>
          <w:tcPr>
            <w:tcW w:w="2223" w:type="pct"/>
            <w:gridSpan w:val="2"/>
            <w:tcBorders>
              <w:top w:val="nil"/>
              <w:bottom w:val="single" w:sz="4" w:space="0" w:color="auto"/>
            </w:tcBorders>
            <w:shd w:val="clear" w:color="auto" w:fill="auto"/>
          </w:tcPr>
          <w:p w14:paraId="4EF514A7" w14:textId="77777777" w:rsidR="00D46430" w:rsidRPr="00CD5673" w:rsidRDefault="00D46430" w:rsidP="00D46430">
            <w:pPr>
              <w:pStyle w:val="Tablea"/>
              <w:keepNext/>
              <w:keepLines/>
            </w:pPr>
            <w:r w:rsidRPr="00CD5673">
              <w:t>(c) Any further disclosures necessary to provide an understanding of the effects of the transactions on the financial statements prepared in accordance with Australian Accounting Standards</w:t>
            </w:r>
          </w:p>
        </w:tc>
      </w:tr>
      <w:tr w:rsidR="00D46430" w:rsidRPr="00CD5673" w14:paraId="14C1C65C" w14:textId="77777777" w:rsidTr="00D46430">
        <w:tblPrEx>
          <w:tblBorders>
            <w:top w:val="single" w:sz="4" w:space="0" w:color="auto"/>
            <w:bottom w:val="single" w:sz="2" w:space="0" w:color="auto"/>
            <w:insideH w:val="single" w:sz="4" w:space="0" w:color="auto"/>
          </w:tblBorders>
        </w:tblPrEx>
        <w:tc>
          <w:tcPr>
            <w:tcW w:w="667" w:type="pct"/>
            <w:tcBorders>
              <w:bottom w:val="single" w:sz="12" w:space="0" w:color="auto"/>
            </w:tcBorders>
            <w:shd w:val="clear" w:color="auto" w:fill="auto"/>
          </w:tcPr>
          <w:p w14:paraId="7078EAB9" w14:textId="77777777" w:rsidR="00D46430" w:rsidRPr="00CD5673" w:rsidRDefault="00D46430" w:rsidP="00D46430">
            <w:pPr>
              <w:pStyle w:val="Tabletext"/>
            </w:pPr>
            <w:r w:rsidRPr="00CD5673">
              <w:t>24</w:t>
            </w:r>
          </w:p>
        </w:tc>
        <w:tc>
          <w:tcPr>
            <w:tcW w:w="2110" w:type="pct"/>
            <w:tcBorders>
              <w:bottom w:val="single" w:sz="12" w:space="0" w:color="auto"/>
            </w:tcBorders>
            <w:shd w:val="clear" w:color="auto" w:fill="auto"/>
          </w:tcPr>
          <w:p w14:paraId="69D1C140" w14:textId="77777777" w:rsidR="00D46430" w:rsidRPr="00CD5673" w:rsidRDefault="00D46430" w:rsidP="00D46430">
            <w:pPr>
              <w:pStyle w:val="Tabletext"/>
            </w:pPr>
            <w:r w:rsidRPr="00CD5673">
              <w:t>For each transaction identified under item 22</w:t>
            </w:r>
          </w:p>
        </w:tc>
        <w:tc>
          <w:tcPr>
            <w:tcW w:w="2223" w:type="pct"/>
            <w:gridSpan w:val="2"/>
            <w:tcBorders>
              <w:bottom w:val="single" w:sz="12" w:space="0" w:color="auto"/>
            </w:tcBorders>
            <w:shd w:val="clear" w:color="auto" w:fill="auto"/>
          </w:tcPr>
          <w:p w14:paraId="2EEFB2CE" w14:textId="77777777" w:rsidR="00D46430" w:rsidRPr="00CD5673" w:rsidRDefault="00D46430" w:rsidP="00D46430">
            <w:pPr>
              <w:pStyle w:val="Tablea"/>
            </w:pPr>
            <w:r w:rsidRPr="00CD5673">
              <w:rPr>
                <w:bCs/>
              </w:rPr>
              <w:t>(</w:t>
            </w:r>
            <w:r w:rsidRPr="00CD5673">
              <w:t>a) The total of all assets, classified into current and non</w:t>
            </w:r>
            <w:r w:rsidR="00C614F1">
              <w:noBreakHyphen/>
            </w:r>
            <w:r w:rsidRPr="00CD5673">
              <w:t>current assets, and, if applicable, any allowance for doubtful receivables at the end of the reporting period</w:t>
            </w:r>
          </w:p>
          <w:p w14:paraId="3CAB5AA8" w14:textId="77777777" w:rsidR="00D46430" w:rsidRPr="00CD5673" w:rsidRDefault="00D46430" w:rsidP="00D46430">
            <w:pPr>
              <w:pStyle w:val="Tablea"/>
            </w:pPr>
            <w:r w:rsidRPr="00CD5673">
              <w:t>(b) The total of all liabilities, classified into current and non</w:t>
            </w:r>
            <w:r w:rsidR="00C614F1">
              <w:noBreakHyphen/>
            </w:r>
            <w:r w:rsidRPr="00CD5673">
              <w:t>current liabilities</w:t>
            </w:r>
          </w:p>
        </w:tc>
      </w:tr>
    </w:tbl>
    <w:p w14:paraId="68E37D67" w14:textId="77777777" w:rsidR="00D46430" w:rsidRPr="00CD5673" w:rsidRDefault="00D46430" w:rsidP="00D46430">
      <w:pPr>
        <w:pStyle w:val="subsection"/>
      </w:pPr>
      <w:r w:rsidRPr="00CD5673">
        <w:tab/>
        <w:t>(2)</w:t>
      </w:r>
      <w:r w:rsidRPr="00CD5673">
        <w:tab/>
        <w:t>For items 6, 7, 8, 9 and 11 of the table:</w:t>
      </w:r>
    </w:p>
    <w:p w14:paraId="7A4ECB48" w14:textId="77777777" w:rsidR="00D46430" w:rsidRPr="00CD5673" w:rsidRDefault="00D46430" w:rsidP="00D46430">
      <w:pPr>
        <w:pStyle w:val="paragraph"/>
      </w:pPr>
      <w:r w:rsidRPr="00CD5673">
        <w:tab/>
        <w:t>(a)</w:t>
      </w:r>
      <w:r w:rsidRPr="00CD5673">
        <w:tab/>
        <w:t>the information of the kind described in the item for the previous financial year must also be disclosed in the financial year to which the item relates (to give comparative information for the purposes of the item); but</w:t>
      </w:r>
    </w:p>
    <w:p w14:paraId="3BD97474" w14:textId="77777777" w:rsidR="00D46430" w:rsidRPr="00CD5673" w:rsidRDefault="00D46430" w:rsidP="00D46430">
      <w:pPr>
        <w:pStyle w:val="paragraph"/>
      </w:pPr>
      <w:r w:rsidRPr="00CD5673">
        <w:tab/>
        <w:t>(b)</w:t>
      </w:r>
      <w:r w:rsidRPr="00CD5673">
        <w:tab/>
        <w:t>paragraph (a) does not apply in relation to the first financial year in which paragraph 300A(1)(c) of the Act applies in relation to a person.</w:t>
      </w:r>
    </w:p>
    <w:p w14:paraId="2055642E" w14:textId="77777777" w:rsidR="00D46430" w:rsidRPr="00CD5673" w:rsidRDefault="00D46430" w:rsidP="00D46430">
      <w:pPr>
        <w:pStyle w:val="notetext"/>
      </w:pPr>
      <w:r w:rsidRPr="00CD5673">
        <w:t>Note:</w:t>
      </w:r>
      <w:r w:rsidRPr="00CD5673">
        <w:tab/>
        <w:t>The effect of paragraph (b) is that no comparative information is required in the first period of reporting on a specific individual.</w:t>
      </w:r>
    </w:p>
    <w:p w14:paraId="06F0EA9E" w14:textId="77777777" w:rsidR="00D46430" w:rsidRPr="00CD5673" w:rsidRDefault="00D46430" w:rsidP="00D46430">
      <w:pPr>
        <w:pStyle w:val="subsection"/>
      </w:pPr>
      <w:r w:rsidRPr="00CD5673">
        <w:tab/>
        <w:t>(3)</w:t>
      </w:r>
      <w:r w:rsidRPr="00CD5673">
        <w:tab/>
        <w:t>For items 15 to 19 of the table, a disclosure required by the item must:</w:t>
      </w:r>
    </w:p>
    <w:p w14:paraId="636561D3" w14:textId="77777777" w:rsidR="00D46430" w:rsidRPr="00CD5673" w:rsidRDefault="00D46430" w:rsidP="00D46430">
      <w:pPr>
        <w:pStyle w:val="paragraph"/>
      </w:pPr>
      <w:r w:rsidRPr="00CD5673">
        <w:tab/>
        <w:t>(a)</w:t>
      </w:r>
      <w:r w:rsidRPr="00CD5673">
        <w:tab/>
        <w:t>be separated into each class of equity instrument; and</w:t>
      </w:r>
    </w:p>
    <w:p w14:paraId="4366BEDC" w14:textId="77777777" w:rsidR="00D46430" w:rsidRPr="00CD5673" w:rsidRDefault="00D46430" w:rsidP="00D46430">
      <w:pPr>
        <w:pStyle w:val="paragraph"/>
      </w:pPr>
      <w:r w:rsidRPr="00CD5673">
        <w:lastRenderedPageBreak/>
        <w:tab/>
        <w:t>(b)</w:t>
      </w:r>
      <w:r w:rsidRPr="00CD5673">
        <w:tab/>
        <w:t>identify each class of equity instrument by:</w:t>
      </w:r>
    </w:p>
    <w:p w14:paraId="57B4C447" w14:textId="77777777" w:rsidR="00D46430" w:rsidRPr="00CD5673" w:rsidRDefault="00D46430" w:rsidP="00D46430">
      <w:pPr>
        <w:pStyle w:val="paragraphsub"/>
      </w:pPr>
      <w:r w:rsidRPr="00CD5673">
        <w:tab/>
        <w:t>(i)</w:t>
      </w:r>
      <w:r w:rsidRPr="00CD5673">
        <w:tab/>
        <w:t>the name of the disclosing entity or the relevant subsidiary that issued the equity instrument; and</w:t>
      </w:r>
    </w:p>
    <w:p w14:paraId="4CDAC723" w14:textId="77777777" w:rsidR="00D46430" w:rsidRPr="00CD5673" w:rsidRDefault="00D46430" w:rsidP="00D46430">
      <w:pPr>
        <w:pStyle w:val="paragraphsub"/>
      </w:pPr>
      <w:r w:rsidRPr="00CD5673">
        <w:tab/>
        <w:t>(ii)</w:t>
      </w:r>
      <w:r w:rsidRPr="00CD5673">
        <w:tab/>
        <w:t>the class of equity instrument; and</w:t>
      </w:r>
    </w:p>
    <w:p w14:paraId="00166069" w14:textId="77777777" w:rsidR="00D46430" w:rsidRPr="00CD5673" w:rsidRDefault="00D46430" w:rsidP="00D46430">
      <w:pPr>
        <w:pStyle w:val="paragraphsub"/>
      </w:pPr>
      <w:r w:rsidRPr="00CD5673">
        <w:tab/>
        <w:t>(iii)</w:t>
      </w:r>
      <w:r w:rsidRPr="00CD5673">
        <w:tab/>
        <w:t>if the instrument is an option or right—the class and number of equity instruments for which it may be exercised.</w:t>
      </w:r>
    </w:p>
    <w:p w14:paraId="757D55B0" w14:textId="77777777" w:rsidR="00D46430" w:rsidRPr="00CD5673" w:rsidRDefault="00D46430" w:rsidP="00D46430">
      <w:pPr>
        <w:pStyle w:val="subsection"/>
      </w:pPr>
      <w:r w:rsidRPr="00CD5673">
        <w:tab/>
        <w:t>(3A)</w:t>
      </w:r>
      <w:r w:rsidRPr="00CD5673">
        <w:tab/>
        <w:t>For items 20 and 21 of the table in subregulation (1), loans do not include loans involved in transactions that are in substance options, including non</w:t>
      </w:r>
      <w:r w:rsidR="00C614F1">
        <w:noBreakHyphen/>
      </w:r>
      <w:r w:rsidRPr="00CD5673">
        <w:t>recourse loans.</w:t>
      </w:r>
    </w:p>
    <w:p w14:paraId="644D2DF5" w14:textId="77777777" w:rsidR="00D46430" w:rsidRPr="00CD5673" w:rsidRDefault="00D46430" w:rsidP="00D46430">
      <w:pPr>
        <w:pStyle w:val="subsection"/>
      </w:pPr>
      <w:r w:rsidRPr="00CD5673">
        <w:tab/>
        <w:t>(3B)</w:t>
      </w:r>
      <w:r w:rsidRPr="00CD5673">
        <w:tab/>
        <w:t>A transaction with, or an amount that is receivable from or payable under a transaction to, a key management person, a close member of the family of that person, or an entity over which the person or the family member has, directly or indirectly, control, joint control or significant influence, is excluded from the requirements of items 22 to 24 if:</w:t>
      </w:r>
    </w:p>
    <w:p w14:paraId="7FE90291" w14:textId="77777777" w:rsidR="00D46430" w:rsidRPr="00CD5673" w:rsidRDefault="00D46430" w:rsidP="00D46430">
      <w:pPr>
        <w:pStyle w:val="paragraph"/>
      </w:pPr>
      <w:r w:rsidRPr="00CD5673">
        <w:tab/>
        <w:t>(a)</w:t>
      </w:r>
      <w:r w:rsidRPr="00CD5673">
        <w:tab/>
        <w:t>the transaction occurs within a normal employee, customer or supplier relationship on terms and conditions no more favourable than those that it is reasonable to expect the entity would have adopted if dealing at arms</w:t>
      </w:r>
      <w:r w:rsidR="00C614F1">
        <w:noBreakHyphen/>
      </w:r>
      <w:r w:rsidRPr="00CD5673">
        <w:t>length with an unrelated person; and</w:t>
      </w:r>
    </w:p>
    <w:p w14:paraId="29146A77" w14:textId="77777777" w:rsidR="00D46430" w:rsidRPr="00CD5673" w:rsidRDefault="00D46430" w:rsidP="00D46430">
      <w:pPr>
        <w:pStyle w:val="paragraph"/>
      </w:pPr>
      <w:r w:rsidRPr="00CD5673">
        <w:tab/>
        <w:t>(b)</w:t>
      </w:r>
      <w:r w:rsidRPr="00CD5673">
        <w:tab/>
        <w:t>information about the transaction does not have the potential to affect adversely decisions about the allocation of scarce resources made by users of the financial statements, or the discharge of accountability by the key management person; and</w:t>
      </w:r>
    </w:p>
    <w:p w14:paraId="0F451F64" w14:textId="77777777" w:rsidR="00D46430" w:rsidRPr="00CD5673" w:rsidRDefault="00D46430" w:rsidP="00D46430">
      <w:pPr>
        <w:pStyle w:val="paragraph"/>
      </w:pPr>
      <w:r w:rsidRPr="00CD5673">
        <w:tab/>
        <w:t>(c)</w:t>
      </w:r>
      <w:r w:rsidRPr="00CD5673">
        <w:tab/>
        <w:t>the transaction is trivial or domestic in nature.</w:t>
      </w:r>
    </w:p>
    <w:p w14:paraId="69D1EFBB" w14:textId="77777777" w:rsidR="00D46430" w:rsidRPr="00CD5673" w:rsidRDefault="00D46430" w:rsidP="00D46430">
      <w:pPr>
        <w:pStyle w:val="subsection"/>
      </w:pPr>
      <w:r w:rsidRPr="00CD5673">
        <w:tab/>
        <w:t>(3C)</w:t>
      </w:r>
      <w:r w:rsidRPr="00CD5673">
        <w:tab/>
        <w:t>Items 17 to 24 of the table in subregulation (1) apply in relation to a directors’ report for a financial year commencing on or after 1 July 2013.</w:t>
      </w:r>
    </w:p>
    <w:p w14:paraId="35E6BFD0" w14:textId="77777777" w:rsidR="00D46430" w:rsidRPr="00CD5673" w:rsidRDefault="00D46430" w:rsidP="00D46430">
      <w:pPr>
        <w:pStyle w:val="subsection"/>
      </w:pPr>
      <w:r w:rsidRPr="00CD5673">
        <w:tab/>
        <w:t>(4)</w:t>
      </w:r>
      <w:r w:rsidRPr="00CD5673">
        <w:tab/>
        <w:t>For subregulation (1), a company must apply the requirements of relevant accounting standards when disclosing the information mentioned in the subregulation.</w:t>
      </w:r>
    </w:p>
    <w:p w14:paraId="70595119" w14:textId="77777777" w:rsidR="00D46430" w:rsidRPr="00CD5673" w:rsidRDefault="00D46430" w:rsidP="00D46430">
      <w:pPr>
        <w:pStyle w:val="subsection"/>
      </w:pPr>
      <w:r w:rsidRPr="00CD5673">
        <w:tab/>
        <w:t>(5)</w:t>
      </w:r>
      <w:r w:rsidRPr="00CD5673">
        <w:tab/>
        <w:t>In subregulation (1), an expression that is:</w:t>
      </w:r>
    </w:p>
    <w:p w14:paraId="2D891150" w14:textId="77777777" w:rsidR="00D46430" w:rsidRPr="00CD5673" w:rsidRDefault="00D46430" w:rsidP="00D46430">
      <w:pPr>
        <w:pStyle w:val="paragraph"/>
      </w:pPr>
      <w:r w:rsidRPr="00CD5673">
        <w:tab/>
        <w:t>(a)</w:t>
      </w:r>
      <w:r w:rsidRPr="00CD5673">
        <w:tab/>
        <w:t>used in the subregulation; and</w:t>
      </w:r>
    </w:p>
    <w:p w14:paraId="7E69ECD2" w14:textId="77777777" w:rsidR="00D46430" w:rsidRPr="00CD5673" w:rsidRDefault="00D46430" w:rsidP="00D46430">
      <w:pPr>
        <w:pStyle w:val="paragraph"/>
        <w:keepNext/>
        <w:keepLines/>
      </w:pPr>
      <w:r w:rsidRPr="00CD5673">
        <w:tab/>
        <w:t>(b)</w:t>
      </w:r>
      <w:r w:rsidRPr="00CD5673">
        <w:tab/>
        <w:t>defined in a relevant accounting standard that is applied for the purpose of disclosing information;</w:t>
      </w:r>
    </w:p>
    <w:p w14:paraId="40AF2E6C" w14:textId="77777777" w:rsidR="00D46430" w:rsidRPr="00CD5673" w:rsidRDefault="00D46430" w:rsidP="00D46430">
      <w:pPr>
        <w:pStyle w:val="subsection2"/>
      </w:pPr>
      <w:r w:rsidRPr="00CD5673">
        <w:t>has the meaning given by that accounting standard.</w:t>
      </w:r>
    </w:p>
    <w:p w14:paraId="1B94C213" w14:textId="77777777" w:rsidR="00373FC0" w:rsidRPr="00CD5673" w:rsidRDefault="00373FC0" w:rsidP="00373FC0">
      <w:pPr>
        <w:pStyle w:val="ActHead5"/>
      </w:pPr>
      <w:bookmarkStart w:id="97" w:name="_Toc158711709"/>
      <w:r w:rsidRPr="00C614F1">
        <w:rPr>
          <w:rStyle w:val="CharSectno"/>
        </w:rPr>
        <w:t>2M.3.04</w:t>
      </w:r>
      <w:r w:rsidRPr="00CD5673">
        <w:t xml:space="preserve">  Prescribed details—annual directors’ report of a registrable superannuation entity</w:t>
      </w:r>
      <w:bookmarkEnd w:id="97"/>
    </w:p>
    <w:p w14:paraId="34E60867" w14:textId="77777777" w:rsidR="00373FC0" w:rsidRPr="00CD5673" w:rsidRDefault="00373FC0" w:rsidP="00373FC0">
      <w:pPr>
        <w:pStyle w:val="subsection"/>
      </w:pPr>
      <w:r w:rsidRPr="00CD5673">
        <w:tab/>
        <w:t>(1)</w:t>
      </w:r>
      <w:r w:rsidRPr="00CD5673">
        <w:tab/>
        <w:t>For the purposes of paragraph 300C(1)(a) of the Act, the details in the following table in relation to the remuneration of each member of the key management personnel of a registrable superannuation entity are prescribed.</w:t>
      </w:r>
    </w:p>
    <w:p w14:paraId="77DD256A" w14:textId="77777777" w:rsidR="00373FC0" w:rsidRPr="00CD5673" w:rsidRDefault="00373FC0" w:rsidP="00373FC0">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1088"/>
        <w:gridCol w:w="4844"/>
        <w:gridCol w:w="4841"/>
      </w:tblGrid>
      <w:tr w:rsidR="00373FC0" w:rsidRPr="00CD5673" w14:paraId="3AA698F8" w14:textId="77777777" w:rsidTr="00373FC0">
        <w:trPr>
          <w:tblHeader/>
        </w:trPr>
        <w:tc>
          <w:tcPr>
            <w:tcW w:w="5000" w:type="pct"/>
            <w:gridSpan w:val="3"/>
            <w:tcBorders>
              <w:top w:val="single" w:sz="12" w:space="0" w:color="auto"/>
              <w:bottom w:val="single" w:sz="6" w:space="0" w:color="auto"/>
            </w:tcBorders>
            <w:shd w:val="clear" w:color="auto" w:fill="auto"/>
          </w:tcPr>
          <w:p w14:paraId="79F15714" w14:textId="77777777" w:rsidR="00373FC0" w:rsidRPr="00CD5673" w:rsidRDefault="00373FC0" w:rsidP="00373FC0">
            <w:pPr>
              <w:pStyle w:val="TableHeading"/>
              <w:keepNext w:val="0"/>
            </w:pPr>
            <w:r w:rsidRPr="00CD5673">
              <w:t>Prescribed details</w:t>
            </w:r>
          </w:p>
        </w:tc>
      </w:tr>
      <w:tr w:rsidR="00373FC0" w:rsidRPr="00CD5673" w14:paraId="543A2F7D" w14:textId="77777777" w:rsidTr="00373FC0">
        <w:trPr>
          <w:tblHeader/>
        </w:trPr>
        <w:tc>
          <w:tcPr>
            <w:tcW w:w="505" w:type="pct"/>
            <w:tcBorders>
              <w:top w:val="single" w:sz="6" w:space="0" w:color="auto"/>
              <w:bottom w:val="single" w:sz="12" w:space="0" w:color="auto"/>
            </w:tcBorders>
            <w:shd w:val="clear" w:color="auto" w:fill="auto"/>
          </w:tcPr>
          <w:p w14:paraId="244741EE" w14:textId="77777777" w:rsidR="00373FC0" w:rsidRPr="00CD5673" w:rsidRDefault="00373FC0" w:rsidP="00373FC0">
            <w:pPr>
              <w:pStyle w:val="TableHeading"/>
              <w:keepNext w:val="0"/>
            </w:pPr>
            <w:r w:rsidRPr="00CD5673">
              <w:t>Item</w:t>
            </w:r>
          </w:p>
        </w:tc>
        <w:tc>
          <w:tcPr>
            <w:tcW w:w="2248" w:type="pct"/>
            <w:tcBorders>
              <w:top w:val="single" w:sz="6" w:space="0" w:color="auto"/>
              <w:bottom w:val="single" w:sz="12" w:space="0" w:color="auto"/>
            </w:tcBorders>
            <w:shd w:val="clear" w:color="auto" w:fill="auto"/>
          </w:tcPr>
          <w:p w14:paraId="5CB90726" w14:textId="77777777" w:rsidR="00373FC0" w:rsidRPr="00CD5673" w:rsidRDefault="00373FC0" w:rsidP="00373FC0">
            <w:pPr>
              <w:pStyle w:val="TableHeading"/>
              <w:keepNext w:val="0"/>
            </w:pPr>
            <w:r w:rsidRPr="00CD5673">
              <w:t>Applicable members</w:t>
            </w:r>
          </w:p>
        </w:tc>
        <w:tc>
          <w:tcPr>
            <w:tcW w:w="2247" w:type="pct"/>
            <w:tcBorders>
              <w:top w:val="single" w:sz="6" w:space="0" w:color="auto"/>
              <w:bottom w:val="single" w:sz="12" w:space="0" w:color="auto"/>
            </w:tcBorders>
            <w:shd w:val="clear" w:color="auto" w:fill="auto"/>
          </w:tcPr>
          <w:p w14:paraId="415425C8" w14:textId="77777777" w:rsidR="00373FC0" w:rsidRPr="00CD5673" w:rsidRDefault="00373FC0" w:rsidP="00373FC0">
            <w:pPr>
              <w:pStyle w:val="TableHeading"/>
              <w:keepNext w:val="0"/>
            </w:pPr>
            <w:r w:rsidRPr="00CD5673">
              <w:t>Details</w:t>
            </w:r>
          </w:p>
        </w:tc>
      </w:tr>
      <w:tr w:rsidR="00373FC0" w:rsidRPr="00CD5673" w14:paraId="4EB8DDC8" w14:textId="77777777" w:rsidTr="00373FC0">
        <w:tc>
          <w:tcPr>
            <w:tcW w:w="5000" w:type="pct"/>
            <w:gridSpan w:val="3"/>
            <w:tcBorders>
              <w:top w:val="single" w:sz="12" w:space="0" w:color="auto"/>
            </w:tcBorders>
            <w:shd w:val="clear" w:color="auto" w:fill="auto"/>
          </w:tcPr>
          <w:p w14:paraId="573CB356" w14:textId="77777777" w:rsidR="00373FC0" w:rsidRPr="00CD5673" w:rsidRDefault="00373FC0" w:rsidP="00373FC0">
            <w:pPr>
              <w:pStyle w:val="TableHeading"/>
              <w:keepNext w:val="0"/>
            </w:pPr>
            <w:r w:rsidRPr="00CD5673">
              <w:t>General</w:t>
            </w:r>
          </w:p>
        </w:tc>
      </w:tr>
      <w:tr w:rsidR="00373FC0" w:rsidRPr="00CD5673" w14:paraId="22B1666A" w14:textId="77777777" w:rsidTr="00373FC0">
        <w:tc>
          <w:tcPr>
            <w:tcW w:w="505" w:type="pct"/>
            <w:shd w:val="clear" w:color="auto" w:fill="auto"/>
          </w:tcPr>
          <w:p w14:paraId="25211EF2" w14:textId="77777777" w:rsidR="00373FC0" w:rsidRPr="00CD5673" w:rsidRDefault="00373FC0" w:rsidP="00373FC0">
            <w:pPr>
              <w:pStyle w:val="Tabletext"/>
            </w:pPr>
            <w:r w:rsidRPr="00CD5673">
              <w:t>1</w:t>
            </w:r>
          </w:p>
        </w:tc>
        <w:tc>
          <w:tcPr>
            <w:tcW w:w="2248" w:type="pct"/>
            <w:shd w:val="clear" w:color="auto" w:fill="auto"/>
          </w:tcPr>
          <w:p w14:paraId="02ACE2DD" w14:textId="77777777" w:rsidR="00373FC0" w:rsidRPr="00CD5673" w:rsidRDefault="00373FC0" w:rsidP="00373FC0">
            <w:pPr>
              <w:pStyle w:val="Tabletext"/>
            </w:pPr>
            <w:r w:rsidRPr="00CD5673">
              <w:t>Each member</w:t>
            </w:r>
          </w:p>
        </w:tc>
        <w:tc>
          <w:tcPr>
            <w:tcW w:w="2247" w:type="pct"/>
            <w:shd w:val="clear" w:color="auto" w:fill="auto"/>
          </w:tcPr>
          <w:p w14:paraId="3D87ED8F" w14:textId="77777777" w:rsidR="00373FC0" w:rsidRPr="00CD5673" w:rsidRDefault="00373FC0" w:rsidP="00373FC0">
            <w:pPr>
              <w:pStyle w:val="Tabletext"/>
            </w:pPr>
            <w:r w:rsidRPr="00CD5673">
              <w:t>The name of the member</w:t>
            </w:r>
          </w:p>
        </w:tc>
      </w:tr>
      <w:tr w:rsidR="00373FC0" w:rsidRPr="00CD5673" w14:paraId="5E6886F5" w14:textId="77777777" w:rsidTr="00373FC0">
        <w:tc>
          <w:tcPr>
            <w:tcW w:w="505" w:type="pct"/>
            <w:shd w:val="clear" w:color="auto" w:fill="auto"/>
          </w:tcPr>
          <w:p w14:paraId="0AB2A45D" w14:textId="77777777" w:rsidR="00373FC0" w:rsidRPr="00CD5673" w:rsidRDefault="00373FC0" w:rsidP="00373FC0">
            <w:pPr>
              <w:pStyle w:val="Tabletext"/>
            </w:pPr>
            <w:r w:rsidRPr="00CD5673">
              <w:t>2</w:t>
            </w:r>
          </w:p>
        </w:tc>
        <w:tc>
          <w:tcPr>
            <w:tcW w:w="2248" w:type="pct"/>
            <w:shd w:val="clear" w:color="auto" w:fill="auto"/>
          </w:tcPr>
          <w:p w14:paraId="02582B94" w14:textId="77777777" w:rsidR="00373FC0" w:rsidRPr="00CD5673" w:rsidRDefault="00373FC0" w:rsidP="00373FC0">
            <w:pPr>
              <w:pStyle w:val="Tabletext"/>
            </w:pPr>
            <w:r w:rsidRPr="00CD5673">
              <w:t>Each member who:</w:t>
            </w:r>
          </w:p>
          <w:p w14:paraId="0B8C6B31" w14:textId="77777777" w:rsidR="00373FC0" w:rsidRPr="00CD5673" w:rsidRDefault="00373FC0" w:rsidP="00373FC0">
            <w:pPr>
              <w:pStyle w:val="Tablea"/>
            </w:pPr>
            <w:r w:rsidRPr="00CD5673">
              <w:t>(a) began to hold a position as a member of the key management personnel during the most recently completed financial year; or</w:t>
            </w:r>
          </w:p>
          <w:p w14:paraId="24F8E08A" w14:textId="77777777" w:rsidR="00373FC0" w:rsidRPr="00CD5673" w:rsidRDefault="00373FC0" w:rsidP="00373FC0">
            <w:pPr>
              <w:pStyle w:val="Tablea"/>
            </w:pPr>
            <w:r w:rsidRPr="00CD5673">
              <w:t>(b) retired from a position as a member of the key management personnel during the most recently completed financial year</w:t>
            </w:r>
          </w:p>
        </w:tc>
        <w:tc>
          <w:tcPr>
            <w:tcW w:w="2247" w:type="pct"/>
            <w:shd w:val="clear" w:color="auto" w:fill="auto"/>
          </w:tcPr>
          <w:p w14:paraId="7ACADF44" w14:textId="77777777" w:rsidR="00373FC0" w:rsidRPr="00CD5673" w:rsidRDefault="00373FC0" w:rsidP="00373FC0">
            <w:pPr>
              <w:pStyle w:val="Tabletext"/>
            </w:pPr>
            <w:r w:rsidRPr="00CD5673">
              <w:t>The date on which the member:</w:t>
            </w:r>
          </w:p>
          <w:p w14:paraId="53E44028" w14:textId="77777777" w:rsidR="00373FC0" w:rsidRPr="00CD5673" w:rsidRDefault="00373FC0" w:rsidP="00373FC0">
            <w:pPr>
              <w:pStyle w:val="Tablea"/>
            </w:pPr>
            <w:r w:rsidRPr="00CD5673">
              <w:t>(a) began holding the position; or</w:t>
            </w:r>
          </w:p>
          <w:p w14:paraId="767E17EB" w14:textId="77777777" w:rsidR="00373FC0" w:rsidRPr="00CD5673" w:rsidRDefault="00373FC0" w:rsidP="00373FC0">
            <w:pPr>
              <w:pStyle w:val="Tablea"/>
            </w:pPr>
            <w:r w:rsidRPr="00CD5673">
              <w:t>(b) retired from the position</w:t>
            </w:r>
          </w:p>
        </w:tc>
      </w:tr>
      <w:tr w:rsidR="00373FC0" w:rsidRPr="00CD5673" w14:paraId="26881111" w14:textId="77777777" w:rsidTr="00373FC0">
        <w:tc>
          <w:tcPr>
            <w:tcW w:w="505" w:type="pct"/>
            <w:shd w:val="clear" w:color="auto" w:fill="auto"/>
          </w:tcPr>
          <w:p w14:paraId="6B0E571E" w14:textId="77777777" w:rsidR="00373FC0" w:rsidRPr="00CD5673" w:rsidRDefault="00373FC0" w:rsidP="00373FC0">
            <w:pPr>
              <w:pStyle w:val="Tabletext"/>
            </w:pPr>
            <w:r w:rsidRPr="00CD5673">
              <w:t>3</w:t>
            </w:r>
          </w:p>
        </w:tc>
        <w:tc>
          <w:tcPr>
            <w:tcW w:w="2248" w:type="pct"/>
            <w:shd w:val="clear" w:color="auto" w:fill="auto"/>
          </w:tcPr>
          <w:p w14:paraId="20310C3E" w14:textId="77777777" w:rsidR="00373FC0" w:rsidRPr="00CD5673" w:rsidRDefault="00373FC0" w:rsidP="00373FC0">
            <w:pPr>
              <w:pStyle w:val="Tabletext"/>
            </w:pPr>
            <w:r w:rsidRPr="00CD5673">
              <w:t>Each member whose position changed during the most recently completed financial year</w:t>
            </w:r>
          </w:p>
        </w:tc>
        <w:tc>
          <w:tcPr>
            <w:tcW w:w="2247" w:type="pct"/>
            <w:shd w:val="clear" w:color="auto" w:fill="auto"/>
          </w:tcPr>
          <w:p w14:paraId="14AF6132" w14:textId="77777777" w:rsidR="00373FC0" w:rsidRPr="00CD5673" w:rsidRDefault="00373FC0" w:rsidP="00373FC0">
            <w:pPr>
              <w:pStyle w:val="Tabletext"/>
            </w:pPr>
            <w:r w:rsidRPr="00CD5673">
              <w:t>Both of the following:</w:t>
            </w:r>
          </w:p>
          <w:p w14:paraId="27307742" w14:textId="77777777" w:rsidR="00373FC0" w:rsidRPr="00CD5673" w:rsidRDefault="00373FC0" w:rsidP="00373FC0">
            <w:pPr>
              <w:pStyle w:val="Tablea"/>
            </w:pPr>
            <w:r w:rsidRPr="00CD5673">
              <w:t>(a) the member’s name and position;</w:t>
            </w:r>
          </w:p>
          <w:p w14:paraId="095BEC62" w14:textId="77777777" w:rsidR="00373FC0" w:rsidRPr="00CD5673" w:rsidRDefault="00373FC0" w:rsidP="00373FC0">
            <w:pPr>
              <w:pStyle w:val="Tablea"/>
            </w:pPr>
            <w:r w:rsidRPr="00CD5673">
              <w:t>(b) when the change occurred</w:t>
            </w:r>
          </w:p>
        </w:tc>
      </w:tr>
      <w:tr w:rsidR="00373FC0" w:rsidRPr="00CD5673" w14:paraId="3599F451" w14:textId="77777777" w:rsidTr="00373FC0">
        <w:tc>
          <w:tcPr>
            <w:tcW w:w="505" w:type="pct"/>
            <w:shd w:val="clear" w:color="auto" w:fill="auto"/>
          </w:tcPr>
          <w:p w14:paraId="4D038C1F" w14:textId="77777777" w:rsidR="00373FC0" w:rsidRPr="00CD5673" w:rsidRDefault="00373FC0" w:rsidP="00373FC0">
            <w:pPr>
              <w:pStyle w:val="Tabletext"/>
            </w:pPr>
            <w:r w:rsidRPr="00CD5673">
              <w:t>4</w:t>
            </w:r>
          </w:p>
        </w:tc>
        <w:tc>
          <w:tcPr>
            <w:tcW w:w="2248" w:type="pct"/>
            <w:shd w:val="clear" w:color="auto" w:fill="auto"/>
          </w:tcPr>
          <w:p w14:paraId="1C235E07" w14:textId="77777777" w:rsidR="00373FC0" w:rsidRPr="00CD5673" w:rsidRDefault="00373FC0" w:rsidP="00373FC0">
            <w:pPr>
              <w:pStyle w:val="Tabletext"/>
            </w:pPr>
            <w:r w:rsidRPr="00CD5673">
              <w:t>Each member who retired during the most recently completed financial year</w:t>
            </w:r>
          </w:p>
        </w:tc>
        <w:tc>
          <w:tcPr>
            <w:tcW w:w="2247" w:type="pct"/>
            <w:shd w:val="clear" w:color="auto" w:fill="auto"/>
          </w:tcPr>
          <w:p w14:paraId="13DAE114" w14:textId="77777777" w:rsidR="00373FC0" w:rsidRPr="00CD5673" w:rsidRDefault="00373FC0" w:rsidP="00373FC0">
            <w:pPr>
              <w:pStyle w:val="Tabletext"/>
            </w:pPr>
            <w:r w:rsidRPr="00CD5673">
              <w:t>Both of the following:</w:t>
            </w:r>
          </w:p>
          <w:p w14:paraId="4EF96806" w14:textId="77777777" w:rsidR="00373FC0" w:rsidRPr="00CD5673" w:rsidRDefault="00373FC0" w:rsidP="00373FC0">
            <w:pPr>
              <w:pStyle w:val="Tabletext"/>
            </w:pPr>
            <w:r w:rsidRPr="00CD5673">
              <w:t>(a) the member’s name and position;</w:t>
            </w:r>
          </w:p>
          <w:p w14:paraId="51188B04" w14:textId="77777777" w:rsidR="00373FC0" w:rsidRPr="00CD5673" w:rsidRDefault="00373FC0" w:rsidP="00373FC0">
            <w:pPr>
              <w:pStyle w:val="Tabletext"/>
            </w:pPr>
            <w:r w:rsidRPr="00CD5673">
              <w:t>(b) when the retirement took effect</w:t>
            </w:r>
          </w:p>
        </w:tc>
      </w:tr>
      <w:tr w:rsidR="00373FC0" w:rsidRPr="00CD5673" w14:paraId="71F753CE" w14:textId="77777777" w:rsidTr="00373FC0">
        <w:tc>
          <w:tcPr>
            <w:tcW w:w="5000" w:type="pct"/>
            <w:gridSpan w:val="3"/>
            <w:shd w:val="clear" w:color="auto" w:fill="auto"/>
          </w:tcPr>
          <w:p w14:paraId="6E3E956C" w14:textId="77777777" w:rsidR="00373FC0" w:rsidRPr="00CD5673" w:rsidRDefault="00373FC0" w:rsidP="00373FC0">
            <w:pPr>
              <w:pStyle w:val="TableHeading"/>
              <w:keepNext w:val="0"/>
            </w:pPr>
            <w:r w:rsidRPr="00CD5673">
              <w:t>Payments and benefits</w:t>
            </w:r>
          </w:p>
        </w:tc>
      </w:tr>
      <w:tr w:rsidR="00373FC0" w:rsidRPr="00CD5673" w14:paraId="1E0DAEA9" w14:textId="77777777" w:rsidTr="00373FC0">
        <w:tc>
          <w:tcPr>
            <w:tcW w:w="505" w:type="pct"/>
            <w:shd w:val="clear" w:color="auto" w:fill="auto"/>
          </w:tcPr>
          <w:p w14:paraId="3857048A" w14:textId="77777777" w:rsidR="00373FC0" w:rsidRPr="00CD5673" w:rsidRDefault="00373FC0" w:rsidP="00373FC0">
            <w:pPr>
              <w:pStyle w:val="Tabletext"/>
            </w:pPr>
            <w:r w:rsidRPr="00CD5673">
              <w:t>5</w:t>
            </w:r>
          </w:p>
        </w:tc>
        <w:tc>
          <w:tcPr>
            <w:tcW w:w="2248" w:type="pct"/>
            <w:shd w:val="clear" w:color="auto" w:fill="auto"/>
          </w:tcPr>
          <w:p w14:paraId="7D5601F6" w14:textId="77777777" w:rsidR="00373FC0" w:rsidRPr="00CD5673" w:rsidRDefault="00373FC0" w:rsidP="00373FC0">
            <w:pPr>
              <w:pStyle w:val="Tabletext"/>
            </w:pPr>
            <w:r w:rsidRPr="00CD5673">
              <w:t>Each member</w:t>
            </w:r>
          </w:p>
        </w:tc>
        <w:tc>
          <w:tcPr>
            <w:tcW w:w="2247" w:type="pct"/>
            <w:shd w:val="clear" w:color="auto" w:fill="auto"/>
          </w:tcPr>
          <w:p w14:paraId="679646C8" w14:textId="77777777" w:rsidR="00373FC0" w:rsidRPr="00CD5673" w:rsidRDefault="00373FC0" w:rsidP="00373FC0">
            <w:pPr>
              <w:pStyle w:val="Tabletext"/>
            </w:pPr>
            <w:r w:rsidRPr="00CD5673">
              <w:t>The short</w:t>
            </w:r>
            <w:r w:rsidR="00C614F1">
              <w:noBreakHyphen/>
            </w:r>
            <w:r w:rsidRPr="00CD5673">
              <w:t>term employee benefits of the member for the most recently completed financial year, divided into at least the following components:</w:t>
            </w:r>
          </w:p>
          <w:p w14:paraId="0B264FC9" w14:textId="77777777" w:rsidR="00373FC0" w:rsidRPr="00CD5673" w:rsidRDefault="00373FC0" w:rsidP="00373FC0">
            <w:pPr>
              <w:pStyle w:val="Tablea"/>
            </w:pPr>
            <w:r w:rsidRPr="00CD5673">
              <w:lastRenderedPageBreak/>
              <w:t>(a) cash salary, fees and short</w:t>
            </w:r>
            <w:r w:rsidR="00C614F1">
              <w:noBreakHyphen/>
            </w:r>
            <w:r w:rsidRPr="00CD5673">
              <w:t>term compensated absences;</w:t>
            </w:r>
          </w:p>
          <w:p w14:paraId="57CF7F6D" w14:textId="77777777" w:rsidR="00373FC0" w:rsidRPr="00CD5673" w:rsidRDefault="00373FC0" w:rsidP="00373FC0">
            <w:pPr>
              <w:pStyle w:val="Tablea"/>
            </w:pPr>
            <w:r w:rsidRPr="00CD5673">
              <w:t>(b) short</w:t>
            </w:r>
            <w:r w:rsidR="00C614F1">
              <w:noBreakHyphen/>
            </w:r>
            <w:r w:rsidRPr="00CD5673">
              <w:t>term cash profit</w:t>
            </w:r>
            <w:r w:rsidR="00C614F1">
              <w:noBreakHyphen/>
            </w:r>
            <w:r w:rsidRPr="00CD5673">
              <w:t>sharing and other bonuses;</w:t>
            </w:r>
          </w:p>
          <w:p w14:paraId="4E585549" w14:textId="77777777" w:rsidR="00373FC0" w:rsidRPr="00CD5673" w:rsidRDefault="00373FC0" w:rsidP="00373FC0">
            <w:pPr>
              <w:pStyle w:val="Tablea"/>
            </w:pPr>
            <w:r w:rsidRPr="00CD5673">
              <w:t>(c) non</w:t>
            </w:r>
            <w:r w:rsidR="00C614F1">
              <w:noBreakHyphen/>
            </w:r>
            <w:r w:rsidRPr="00CD5673">
              <w:t>monetary benefits;</w:t>
            </w:r>
          </w:p>
          <w:p w14:paraId="2DCC9F72" w14:textId="77777777" w:rsidR="00373FC0" w:rsidRPr="00CD5673" w:rsidRDefault="00373FC0" w:rsidP="00373FC0">
            <w:pPr>
              <w:pStyle w:val="Tablea"/>
            </w:pPr>
            <w:r w:rsidRPr="00CD5673">
              <w:t>(d) other short</w:t>
            </w:r>
            <w:r w:rsidR="00C614F1">
              <w:noBreakHyphen/>
            </w:r>
            <w:r w:rsidRPr="00CD5673">
              <w:t>term employee benefit</w:t>
            </w:r>
            <w:r w:rsidRPr="00CD5673">
              <w:rPr>
                <w:lang w:eastAsia="en-US"/>
              </w:rPr>
              <w:t>s</w:t>
            </w:r>
          </w:p>
        </w:tc>
      </w:tr>
      <w:tr w:rsidR="00373FC0" w:rsidRPr="00CD5673" w14:paraId="0FE21921" w14:textId="77777777" w:rsidTr="00373FC0">
        <w:tc>
          <w:tcPr>
            <w:tcW w:w="505" w:type="pct"/>
            <w:shd w:val="clear" w:color="auto" w:fill="auto"/>
          </w:tcPr>
          <w:p w14:paraId="0DF23F7F" w14:textId="77777777" w:rsidR="00373FC0" w:rsidRPr="00CD5673" w:rsidRDefault="00373FC0" w:rsidP="00373FC0">
            <w:pPr>
              <w:pStyle w:val="Tabletext"/>
            </w:pPr>
            <w:r w:rsidRPr="00CD5673">
              <w:t>6</w:t>
            </w:r>
          </w:p>
        </w:tc>
        <w:tc>
          <w:tcPr>
            <w:tcW w:w="2248" w:type="pct"/>
            <w:shd w:val="clear" w:color="auto" w:fill="auto"/>
          </w:tcPr>
          <w:p w14:paraId="217AA429" w14:textId="77777777" w:rsidR="00373FC0" w:rsidRPr="00CD5673" w:rsidRDefault="00373FC0" w:rsidP="00373FC0">
            <w:pPr>
              <w:pStyle w:val="Tabletext"/>
            </w:pPr>
            <w:r w:rsidRPr="00CD5673">
              <w:t>Each member</w:t>
            </w:r>
          </w:p>
        </w:tc>
        <w:tc>
          <w:tcPr>
            <w:tcW w:w="2247" w:type="pct"/>
            <w:shd w:val="clear" w:color="auto" w:fill="auto"/>
          </w:tcPr>
          <w:p w14:paraId="78F87522" w14:textId="77777777" w:rsidR="00373FC0" w:rsidRPr="00CD5673" w:rsidRDefault="00373FC0" w:rsidP="00373FC0">
            <w:pPr>
              <w:pStyle w:val="Tabletext"/>
            </w:pPr>
            <w:r w:rsidRPr="00CD5673">
              <w:t>The post</w:t>
            </w:r>
            <w:r w:rsidR="00C614F1">
              <w:noBreakHyphen/>
            </w:r>
            <w:r w:rsidRPr="00CD5673">
              <w:t>employment benefits of the member for the most recently completed financial year, divided into at least the following components:</w:t>
            </w:r>
          </w:p>
          <w:p w14:paraId="6EB29B0D" w14:textId="77777777" w:rsidR="00373FC0" w:rsidRPr="00CD5673" w:rsidRDefault="00373FC0" w:rsidP="00373FC0">
            <w:pPr>
              <w:pStyle w:val="Tablea"/>
            </w:pPr>
            <w:r w:rsidRPr="00CD5673">
              <w:t>(a) pension and superannuation benefits;</w:t>
            </w:r>
          </w:p>
          <w:p w14:paraId="54F32BBF" w14:textId="77777777" w:rsidR="00373FC0" w:rsidRPr="00CD5673" w:rsidRDefault="00373FC0" w:rsidP="00373FC0">
            <w:pPr>
              <w:pStyle w:val="Tabletext"/>
            </w:pPr>
            <w:r w:rsidRPr="00CD5673">
              <w:t>(b) other post</w:t>
            </w:r>
            <w:r w:rsidR="00C614F1">
              <w:noBreakHyphen/>
            </w:r>
            <w:r w:rsidRPr="00CD5673">
              <w:t>employment benefits</w:t>
            </w:r>
          </w:p>
        </w:tc>
      </w:tr>
      <w:tr w:rsidR="00373FC0" w:rsidRPr="00CD5673" w14:paraId="73766458" w14:textId="77777777" w:rsidTr="00373FC0">
        <w:tc>
          <w:tcPr>
            <w:tcW w:w="505" w:type="pct"/>
            <w:shd w:val="clear" w:color="auto" w:fill="auto"/>
          </w:tcPr>
          <w:p w14:paraId="6FEAB930" w14:textId="77777777" w:rsidR="00373FC0" w:rsidRPr="00CD5673" w:rsidRDefault="00373FC0" w:rsidP="00373FC0">
            <w:pPr>
              <w:pStyle w:val="Tabletext"/>
            </w:pPr>
            <w:r w:rsidRPr="00CD5673">
              <w:t>7</w:t>
            </w:r>
          </w:p>
        </w:tc>
        <w:tc>
          <w:tcPr>
            <w:tcW w:w="2248" w:type="pct"/>
            <w:shd w:val="clear" w:color="auto" w:fill="auto"/>
          </w:tcPr>
          <w:p w14:paraId="1ACF5B1A" w14:textId="77777777" w:rsidR="00373FC0" w:rsidRPr="00CD5673" w:rsidRDefault="00373FC0" w:rsidP="00373FC0">
            <w:pPr>
              <w:pStyle w:val="Tabletext"/>
            </w:pPr>
            <w:r w:rsidRPr="00CD5673">
              <w:t>Each member</w:t>
            </w:r>
          </w:p>
        </w:tc>
        <w:tc>
          <w:tcPr>
            <w:tcW w:w="2247" w:type="pct"/>
            <w:shd w:val="clear" w:color="auto" w:fill="auto"/>
          </w:tcPr>
          <w:p w14:paraId="1FE6C73E" w14:textId="77777777" w:rsidR="00373FC0" w:rsidRPr="00CD5673" w:rsidRDefault="00373FC0" w:rsidP="00373FC0">
            <w:pPr>
              <w:pStyle w:val="Tabletext"/>
            </w:pPr>
            <w:r w:rsidRPr="00CD5673">
              <w:t>The long</w:t>
            </w:r>
            <w:r w:rsidR="00C614F1">
              <w:noBreakHyphen/>
            </w:r>
            <w:r w:rsidRPr="00CD5673">
              <w:t>term employee benefits other than benefits mentioned in items 5 and 6 for the member for the most recently completed financial year (any amount attributable to a long</w:t>
            </w:r>
            <w:r w:rsidR="00C614F1">
              <w:noBreakHyphen/>
            </w:r>
            <w:r w:rsidRPr="00CD5673">
              <w:t>term incentive plan being separately identified)</w:t>
            </w:r>
          </w:p>
        </w:tc>
      </w:tr>
      <w:tr w:rsidR="00373FC0" w:rsidRPr="00CD5673" w14:paraId="7CDE6345" w14:textId="77777777" w:rsidTr="00373FC0">
        <w:tc>
          <w:tcPr>
            <w:tcW w:w="505" w:type="pct"/>
            <w:shd w:val="clear" w:color="auto" w:fill="auto"/>
          </w:tcPr>
          <w:p w14:paraId="1FF48778" w14:textId="77777777" w:rsidR="00373FC0" w:rsidRPr="00CD5673" w:rsidRDefault="00373FC0" w:rsidP="00373FC0">
            <w:pPr>
              <w:pStyle w:val="Tabletext"/>
            </w:pPr>
            <w:r w:rsidRPr="00CD5673">
              <w:t>8</w:t>
            </w:r>
          </w:p>
        </w:tc>
        <w:tc>
          <w:tcPr>
            <w:tcW w:w="2248" w:type="pct"/>
            <w:shd w:val="clear" w:color="auto" w:fill="auto"/>
          </w:tcPr>
          <w:p w14:paraId="02FDD80B" w14:textId="77777777" w:rsidR="00373FC0" w:rsidRPr="00CD5673" w:rsidRDefault="00373FC0" w:rsidP="00373FC0">
            <w:pPr>
              <w:pStyle w:val="Tabletext"/>
            </w:pPr>
            <w:r w:rsidRPr="00CD5673">
              <w:t>Each member whose position as a member of the key management personnel was terminated during the most recently completed financial year</w:t>
            </w:r>
          </w:p>
        </w:tc>
        <w:tc>
          <w:tcPr>
            <w:tcW w:w="2247" w:type="pct"/>
            <w:shd w:val="clear" w:color="auto" w:fill="auto"/>
          </w:tcPr>
          <w:p w14:paraId="5F55E27B" w14:textId="77777777" w:rsidR="00373FC0" w:rsidRPr="00CD5673" w:rsidRDefault="00373FC0" w:rsidP="00373FC0">
            <w:pPr>
              <w:pStyle w:val="Tabletext"/>
            </w:pPr>
            <w:r w:rsidRPr="00CD5673">
              <w:t>The member’s termination benefits</w:t>
            </w:r>
          </w:p>
        </w:tc>
      </w:tr>
      <w:tr w:rsidR="00373FC0" w:rsidRPr="00CD5673" w14:paraId="4724F606" w14:textId="77777777" w:rsidTr="00373FC0">
        <w:tc>
          <w:tcPr>
            <w:tcW w:w="505" w:type="pct"/>
            <w:shd w:val="clear" w:color="auto" w:fill="auto"/>
          </w:tcPr>
          <w:p w14:paraId="7A93560F" w14:textId="77777777" w:rsidR="00373FC0" w:rsidRPr="00CD5673" w:rsidRDefault="00373FC0" w:rsidP="00373FC0">
            <w:pPr>
              <w:pStyle w:val="Tabletext"/>
            </w:pPr>
            <w:r w:rsidRPr="00CD5673">
              <w:t>9</w:t>
            </w:r>
          </w:p>
        </w:tc>
        <w:tc>
          <w:tcPr>
            <w:tcW w:w="2248" w:type="pct"/>
            <w:shd w:val="clear" w:color="auto" w:fill="auto"/>
          </w:tcPr>
          <w:p w14:paraId="0159715E" w14:textId="77777777" w:rsidR="00373FC0" w:rsidRPr="00CD5673" w:rsidRDefault="00373FC0" w:rsidP="00373FC0">
            <w:pPr>
              <w:pStyle w:val="Tabletext"/>
            </w:pPr>
            <w:r w:rsidRPr="00CD5673">
              <w:t>Each member who:</w:t>
            </w:r>
          </w:p>
          <w:p w14:paraId="5F5ED69F" w14:textId="77777777" w:rsidR="00373FC0" w:rsidRPr="00CD5673" w:rsidRDefault="00373FC0" w:rsidP="00373FC0">
            <w:pPr>
              <w:pStyle w:val="Tablea"/>
            </w:pPr>
            <w:r w:rsidRPr="00CD5673">
              <w:t>(a) began to hold a position as a member of the key management personnel during the most recently completed financial year; and</w:t>
            </w:r>
          </w:p>
          <w:p w14:paraId="545C89CC" w14:textId="77777777" w:rsidR="00373FC0" w:rsidRPr="00CD5673" w:rsidRDefault="00373FC0" w:rsidP="00373FC0">
            <w:pPr>
              <w:pStyle w:val="Tablea"/>
            </w:pPr>
            <w:r w:rsidRPr="00CD5673">
              <w:t>(b) received a payment as part of the consideration for agreeing to hold the position</w:t>
            </w:r>
          </w:p>
        </w:tc>
        <w:tc>
          <w:tcPr>
            <w:tcW w:w="2247" w:type="pct"/>
            <w:shd w:val="clear" w:color="auto" w:fill="auto"/>
          </w:tcPr>
          <w:p w14:paraId="7D1F3BF6" w14:textId="77777777" w:rsidR="00373FC0" w:rsidRPr="00CD5673" w:rsidRDefault="00373FC0" w:rsidP="00373FC0">
            <w:pPr>
              <w:pStyle w:val="Tabletext"/>
            </w:pPr>
            <w:r w:rsidRPr="00CD5673">
              <w:t>Details of the payment, including:</w:t>
            </w:r>
          </w:p>
          <w:p w14:paraId="324C38F0" w14:textId="77777777" w:rsidR="00373FC0" w:rsidRPr="00CD5673" w:rsidRDefault="00373FC0" w:rsidP="00373FC0">
            <w:pPr>
              <w:pStyle w:val="Tablea"/>
            </w:pPr>
            <w:r w:rsidRPr="00CD5673">
              <w:t>(a) the monetary value of the payment; and</w:t>
            </w:r>
          </w:p>
          <w:p w14:paraId="313130AC" w14:textId="77777777" w:rsidR="00373FC0" w:rsidRPr="00CD5673" w:rsidRDefault="00373FC0" w:rsidP="00373FC0">
            <w:pPr>
              <w:pStyle w:val="Tablea"/>
            </w:pPr>
            <w:r w:rsidRPr="00CD5673">
              <w:t>(b) the date of the payment</w:t>
            </w:r>
          </w:p>
        </w:tc>
      </w:tr>
      <w:tr w:rsidR="00373FC0" w:rsidRPr="00CD5673" w14:paraId="1A090DD9" w14:textId="77777777" w:rsidTr="00373FC0">
        <w:tc>
          <w:tcPr>
            <w:tcW w:w="505" w:type="pct"/>
            <w:shd w:val="clear" w:color="auto" w:fill="auto"/>
          </w:tcPr>
          <w:p w14:paraId="6FFF1F37" w14:textId="77777777" w:rsidR="00373FC0" w:rsidRPr="00CD5673" w:rsidRDefault="00373FC0" w:rsidP="00373FC0">
            <w:pPr>
              <w:pStyle w:val="Tabletext"/>
            </w:pPr>
            <w:r w:rsidRPr="00CD5673">
              <w:t>10</w:t>
            </w:r>
          </w:p>
        </w:tc>
        <w:tc>
          <w:tcPr>
            <w:tcW w:w="2248" w:type="pct"/>
            <w:shd w:val="clear" w:color="auto" w:fill="auto"/>
          </w:tcPr>
          <w:p w14:paraId="295D756C" w14:textId="77777777" w:rsidR="00373FC0" w:rsidRPr="00CD5673" w:rsidRDefault="00373FC0" w:rsidP="00373FC0">
            <w:pPr>
              <w:pStyle w:val="Tabletext"/>
            </w:pPr>
            <w:r w:rsidRPr="00CD5673">
              <w:t>Each member</w:t>
            </w:r>
          </w:p>
        </w:tc>
        <w:tc>
          <w:tcPr>
            <w:tcW w:w="2247" w:type="pct"/>
            <w:shd w:val="clear" w:color="auto" w:fill="auto"/>
          </w:tcPr>
          <w:p w14:paraId="016E6E34" w14:textId="77777777" w:rsidR="00373FC0" w:rsidRPr="00CD5673" w:rsidRDefault="00373FC0" w:rsidP="00373FC0">
            <w:pPr>
              <w:pStyle w:val="Tabletext"/>
            </w:pPr>
            <w:r w:rsidRPr="00CD5673">
              <w:t>The share</w:t>
            </w:r>
            <w:r w:rsidR="00C614F1">
              <w:noBreakHyphen/>
            </w:r>
            <w:r w:rsidRPr="00CD5673">
              <w:t>based payments made to the member during the most recently completed financial year, divided into at least the following components:</w:t>
            </w:r>
          </w:p>
          <w:p w14:paraId="04867CB0" w14:textId="77777777" w:rsidR="00373FC0" w:rsidRPr="00CD5673" w:rsidRDefault="00373FC0" w:rsidP="00373FC0">
            <w:pPr>
              <w:pStyle w:val="Tablea"/>
            </w:pPr>
            <w:r w:rsidRPr="00CD5673">
              <w:t>(a) equity</w:t>
            </w:r>
            <w:r w:rsidR="00C614F1">
              <w:noBreakHyphen/>
            </w:r>
            <w:r w:rsidRPr="00CD5673">
              <w:t>settled share</w:t>
            </w:r>
            <w:r w:rsidR="00C614F1">
              <w:noBreakHyphen/>
            </w:r>
            <w:r w:rsidRPr="00CD5673">
              <w:t>based payment transactions, showing separately:</w:t>
            </w:r>
          </w:p>
          <w:p w14:paraId="366A1D78" w14:textId="77777777" w:rsidR="00373FC0" w:rsidRPr="00CD5673" w:rsidRDefault="00373FC0" w:rsidP="00373FC0">
            <w:pPr>
              <w:pStyle w:val="Tablei"/>
            </w:pPr>
            <w:r w:rsidRPr="00CD5673">
              <w:t>(i) shares and units; and</w:t>
            </w:r>
          </w:p>
          <w:p w14:paraId="1FF9460B" w14:textId="77777777" w:rsidR="00373FC0" w:rsidRPr="00CD5673" w:rsidRDefault="00373FC0" w:rsidP="00373FC0">
            <w:pPr>
              <w:pStyle w:val="Tablei"/>
            </w:pPr>
            <w:r w:rsidRPr="00CD5673">
              <w:t>(ii) options and rights;</w:t>
            </w:r>
          </w:p>
          <w:p w14:paraId="3900C620" w14:textId="77777777" w:rsidR="00373FC0" w:rsidRPr="00CD5673" w:rsidRDefault="00373FC0" w:rsidP="00373FC0">
            <w:pPr>
              <w:pStyle w:val="Tablea"/>
            </w:pPr>
            <w:r w:rsidRPr="00CD5673">
              <w:t>(b) cash</w:t>
            </w:r>
            <w:r w:rsidR="00C614F1">
              <w:noBreakHyphen/>
            </w:r>
            <w:r w:rsidRPr="00CD5673">
              <w:t>settled share</w:t>
            </w:r>
            <w:r w:rsidR="00C614F1">
              <w:noBreakHyphen/>
            </w:r>
            <w:r w:rsidRPr="00CD5673">
              <w:t>based payment transactions;</w:t>
            </w:r>
          </w:p>
          <w:p w14:paraId="6DBD80F4" w14:textId="77777777" w:rsidR="00373FC0" w:rsidRPr="00CD5673" w:rsidRDefault="00373FC0" w:rsidP="00373FC0">
            <w:pPr>
              <w:pStyle w:val="Tablea"/>
            </w:pPr>
            <w:r w:rsidRPr="00CD5673">
              <w:t>(c) all other forms of share</w:t>
            </w:r>
            <w:r w:rsidR="00C614F1">
              <w:noBreakHyphen/>
            </w:r>
            <w:r w:rsidRPr="00CD5673">
              <w:t>based payment compensation (including hybrids)</w:t>
            </w:r>
          </w:p>
        </w:tc>
      </w:tr>
      <w:tr w:rsidR="00373FC0" w:rsidRPr="00CD5673" w14:paraId="068C92B7" w14:textId="77777777" w:rsidTr="00373FC0">
        <w:tc>
          <w:tcPr>
            <w:tcW w:w="5000" w:type="pct"/>
            <w:gridSpan w:val="3"/>
            <w:shd w:val="clear" w:color="auto" w:fill="auto"/>
          </w:tcPr>
          <w:p w14:paraId="68650563" w14:textId="77777777" w:rsidR="00373FC0" w:rsidRPr="00CD5673" w:rsidRDefault="00373FC0" w:rsidP="00373FC0">
            <w:pPr>
              <w:pStyle w:val="TableHeading"/>
              <w:keepNext w:val="0"/>
            </w:pPr>
            <w:r w:rsidRPr="00CD5673">
              <w:t>Compensation</w:t>
            </w:r>
          </w:p>
        </w:tc>
      </w:tr>
      <w:tr w:rsidR="00373FC0" w:rsidRPr="00CD5673" w14:paraId="579D9423" w14:textId="77777777" w:rsidTr="00373FC0">
        <w:trPr>
          <w:trHeight w:val="8164"/>
        </w:trPr>
        <w:tc>
          <w:tcPr>
            <w:tcW w:w="505" w:type="pct"/>
            <w:shd w:val="clear" w:color="auto" w:fill="auto"/>
          </w:tcPr>
          <w:p w14:paraId="59E53199" w14:textId="77777777" w:rsidR="00373FC0" w:rsidRPr="00CD5673" w:rsidRDefault="00373FC0" w:rsidP="00373FC0">
            <w:pPr>
              <w:pStyle w:val="Tabletext"/>
            </w:pPr>
            <w:r w:rsidRPr="00CD5673">
              <w:lastRenderedPageBreak/>
              <w:t>11</w:t>
            </w:r>
          </w:p>
        </w:tc>
        <w:tc>
          <w:tcPr>
            <w:tcW w:w="2248" w:type="pct"/>
            <w:shd w:val="clear" w:color="auto" w:fill="auto"/>
          </w:tcPr>
          <w:p w14:paraId="48ACA07C" w14:textId="77777777" w:rsidR="00373FC0" w:rsidRPr="00CD5673" w:rsidRDefault="00373FC0" w:rsidP="00373FC0">
            <w:pPr>
              <w:pStyle w:val="Tabletext"/>
            </w:pPr>
            <w:r w:rsidRPr="00CD5673">
              <w:t>If a grant of a cash bonus, performance</w:t>
            </w:r>
            <w:r w:rsidR="00C614F1">
              <w:noBreakHyphen/>
            </w:r>
            <w:r w:rsidRPr="00CD5673">
              <w:t>related bonus or share</w:t>
            </w:r>
            <w:r w:rsidR="00C614F1">
              <w:noBreakHyphen/>
            </w:r>
            <w:r w:rsidRPr="00CD5673">
              <w:t>based payment compensation benefit, whether part of a specific contract for services or not, was made to a member during the most recently completed financial year—each such member</w:t>
            </w:r>
          </w:p>
        </w:tc>
        <w:tc>
          <w:tcPr>
            <w:tcW w:w="2247" w:type="pct"/>
            <w:shd w:val="clear" w:color="auto" w:fill="auto"/>
          </w:tcPr>
          <w:p w14:paraId="21959016" w14:textId="77777777" w:rsidR="00373FC0" w:rsidRPr="00CD5673" w:rsidRDefault="00373FC0" w:rsidP="00373FC0">
            <w:pPr>
              <w:pStyle w:val="Tabletext"/>
            </w:pPr>
            <w:r w:rsidRPr="00CD5673">
              <w:t>The terms and conditions of each grant affecting compensation, including the following:</w:t>
            </w:r>
          </w:p>
          <w:p w14:paraId="01C56A12" w14:textId="77777777" w:rsidR="00373FC0" w:rsidRPr="00CD5673" w:rsidRDefault="00373FC0" w:rsidP="00373FC0">
            <w:pPr>
              <w:pStyle w:val="Tablea"/>
            </w:pPr>
            <w:r w:rsidRPr="00CD5673">
              <w:t>(a) the grant date;</w:t>
            </w:r>
          </w:p>
          <w:p w14:paraId="0D82F25C" w14:textId="77777777" w:rsidR="00373FC0" w:rsidRPr="00CD5673" w:rsidRDefault="00373FC0" w:rsidP="00373FC0">
            <w:pPr>
              <w:pStyle w:val="Tablea"/>
            </w:pPr>
            <w:r w:rsidRPr="00CD5673">
              <w:t>(b) the nature of the compensation granted;</w:t>
            </w:r>
          </w:p>
          <w:p w14:paraId="73986147" w14:textId="77777777" w:rsidR="00373FC0" w:rsidRPr="00CD5673" w:rsidRDefault="00373FC0" w:rsidP="00373FC0">
            <w:pPr>
              <w:pStyle w:val="Tablea"/>
            </w:pPr>
            <w:r w:rsidRPr="00CD5673">
              <w:t>(c) the service and performance criteria used to determine the amount of compensation;</w:t>
            </w:r>
          </w:p>
          <w:p w14:paraId="37D8D7EE" w14:textId="77777777" w:rsidR="00373FC0" w:rsidRPr="00CD5673" w:rsidRDefault="00373FC0" w:rsidP="00373FC0">
            <w:pPr>
              <w:pStyle w:val="Tablea"/>
            </w:pPr>
            <w:r w:rsidRPr="00CD5673">
              <w:t>(d) if there has been any alteration of the terms or conditions of the grant since the grant date—the date, details and effect of each alteration;</w:t>
            </w:r>
          </w:p>
          <w:p w14:paraId="14E0981C" w14:textId="77777777" w:rsidR="00373FC0" w:rsidRPr="00CD5673" w:rsidRDefault="00373FC0" w:rsidP="00373FC0">
            <w:pPr>
              <w:pStyle w:val="Tablea"/>
            </w:pPr>
            <w:r w:rsidRPr="00CD5673">
              <w:t>(e) the percentage of the bonus or grant for the financial year that was paid to the member, or that vested in the member, in the financial year;</w:t>
            </w:r>
          </w:p>
          <w:p w14:paraId="07382B10" w14:textId="77777777" w:rsidR="00373FC0" w:rsidRPr="00CD5673" w:rsidRDefault="00373FC0" w:rsidP="00373FC0">
            <w:pPr>
              <w:pStyle w:val="Tablea"/>
            </w:pPr>
            <w:r w:rsidRPr="00CD5673">
              <w:t>(f) the percentage of the bonus or grant for the financial year that was forfeited by the member (because the member did not meet the service and performance criteria for the bonus or grant) in the financial year;</w:t>
            </w:r>
          </w:p>
          <w:p w14:paraId="10D8C3D5" w14:textId="77777777" w:rsidR="00373FC0" w:rsidRPr="00CD5673" w:rsidRDefault="00373FC0" w:rsidP="00373FC0">
            <w:pPr>
              <w:pStyle w:val="Tablea"/>
            </w:pPr>
            <w:r w:rsidRPr="00CD5673">
              <w:t>(g) the financial years, after the most recently completed financial year, for which the bonus or grant will be payable if the member meets the service and performance criteria for the bonus or grant;</w:t>
            </w:r>
          </w:p>
          <w:p w14:paraId="66DD6CA3" w14:textId="77777777" w:rsidR="00373FC0" w:rsidRPr="00CD5673" w:rsidRDefault="00373FC0" w:rsidP="00373FC0">
            <w:pPr>
              <w:pStyle w:val="Tablea"/>
            </w:pPr>
            <w:r w:rsidRPr="00CD5673">
              <w:t>(h) estimates of the maximum and minimum possible total value of the bonus or grant (other than option grants) for financial years after the most recently completed financial year</w:t>
            </w:r>
          </w:p>
        </w:tc>
      </w:tr>
      <w:tr w:rsidR="00373FC0" w:rsidRPr="00CD5673" w14:paraId="117157D5" w14:textId="77777777" w:rsidTr="00373FC0">
        <w:tc>
          <w:tcPr>
            <w:tcW w:w="505" w:type="pct"/>
            <w:shd w:val="clear" w:color="auto" w:fill="auto"/>
          </w:tcPr>
          <w:p w14:paraId="5348E445" w14:textId="77777777" w:rsidR="00373FC0" w:rsidRPr="00CD5673" w:rsidRDefault="00373FC0" w:rsidP="00373FC0">
            <w:pPr>
              <w:pStyle w:val="Tabletext"/>
            </w:pPr>
            <w:r w:rsidRPr="00CD5673">
              <w:t>12</w:t>
            </w:r>
          </w:p>
        </w:tc>
        <w:tc>
          <w:tcPr>
            <w:tcW w:w="2248" w:type="pct"/>
            <w:shd w:val="clear" w:color="auto" w:fill="auto"/>
          </w:tcPr>
          <w:p w14:paraId="2E6A17F0" w14:textId="77777777" w:rsidR="00373FC0" w:rsidRPr="00CD5673" w:rsidRDefault="00373FC0" w:rsidP="00373FC0">
            <w:pPr>
              <w:pStyle w:val="Tabletext"/>
            </w:pPr>
            <w:r w:rsidRPr="00CD5673">
              <w:t>If, during the most recently completed financial year, a contract for services was negotiated between the RSE licensee and a member—each such member</w:t>
            </w:r>
          </w:p>
        </w:tc>
        <w:tc>
          <w:tcPr>
            <w:tcW w:w="2247" w:type="pct"/>
            <w:shd w:val="clear" w:color="auto" w:fill="auto"/>
          </w:tcPr>
          <w:p w14:paraId="3725291B" w14:textId="77777777" w:rsidR="00373FC0" w:rsidRPr="00CD5673" w:rsidRDefault="00373FC0" w:rsidP="00373FC0">
            <w:pPr>
              <w:pStyle w:val="Tabletext"/>
            </w:pPr>
            <w:r w:rsidRPr="00CD5673">
              <w:t>An explanation of:</w:t>
            </w:r>
          </w:p>
          <w:p w14:paraId="27A6BF43" w14:textId="77777777" w:rsidR="00373FC0" w:rsidRPr="00CD5673" w:rsidRDefault="00373FC0" w:rsidP="00373FC0">
            <w:pPr>
              <w:pStyle w:val="Tablea"/>
            </w:pPr>
            <w:r w:rsidRPr="00CD5673">
              <w:t>(a) how the amount of compensation was determined; and</w:t>
            </w:r>
          </w:p>
          <w:p w14:paraId="430427A2" w14:textId="77777777" w:rsidR="00373FC0" w:rsidRPr="00CD5673" w:rsidRDefault="00373FC0" w:rsidP="00373FC0">
            <w:pPr>
              <w:pStyle w:val="Tablea"/>
            </w:pPr>
            <w:r w:rsidRPr="00CD5673">
              <w:t>(b) how the terms of the contract affect compensation in future periods</w:t>
            </w:r>
          </w:p>
        </w:tc>
      </w:tr>
      <w:tr w:rsidR="00373FC0" w:rsidRPr="00CD5673" w14:paraId="1BF6E101" w14:textId="77777777" w:rsidTr="00373FC0">
        <w:trPr>
          <w:trHeight w:val="7945"/>
        </w:trPr>
        <w:tc>
          <w:tcPr>
            <w:tcW w:w="505" w:type="pct"/>
            <w:shd w:val="clear" w:color="auto" w:fill="auto"/>
          </w:tcPr>
          <w:p w14:paraId="44434206" w14:textId="77777777" w:rsidR="00373FC0" w:rsidRPr="00CD5673" w:rsidRDefault="00373FC0" w:rsidP="00373FC0">
            <w:pPr>
              <w:pStyle w:val="Tabletext"/>
            </w:pPr>
            <w:r w:rsidRPr="00CD5673">
              <w:lastRenderedPageBreak/>
              <w:t>13</w:t>
            </w:r>
          </w:p>
        </w:tc>
        <w:tc>
          <w:tcPr>
            <w:tcW w:w="2248" w:type="pct"/>
            <w:shd w:val="clear" w:color="auto" w:fill="auto"/>
          </w:tcPr>
          <w:p w14:paraId="6348AA22" w14:textId="77777777" w:rsidR="00373FC0" w:rsidRPr="00CD5673" w:rsidRDefault="00373FC0" w:rsidP="00373FC0">
            <w:pPr>
              <w:pStyle w:val="Tabletext"/>
            </w:pPr>
            <w:r w:rsidRPr="00CD5673">
              <w:t>If the terms of share</w:t>
            </w:r>
            <w:r w:rsidR="00C614F1">
              <w:noBreakHyphen/>
            </w:r>
            <w:r w:rsidRPr="00CD5673">
              <w:t>based payment transactions (including options or rights) granted as compensation to a member were altered or modified by the RSE licensee during the most recently completed financial year—each such member</w:t>
            </w:r>
          </w:p>
        </w:tc>
        <w:tc>
          <w:tcPr>
            <w:tcW w:w="2247" w:type="pct"/>
            <w:shd w:val="clear" w:color="auto" w:fill="auto"/>
          </w:tcPr>
          <w:p w14:paraId="75B3BEE7" w14:textId="77777777" w:rsidR="00373FC0" w:rsidRPr="00CD5673" w:rsidRDefault="00373FC0" w:rsidP="00373FC0">
            <w:pPr>
              <w:pStyle w:val="Tabletext"/>
            </w:pPr>
            <w:r w:rsidRPr="00CD5673">
              <w:t>All of the following:</w:t>
            </w:r>
          </w:p>
          <w:p w14:paraId="0BAF9AFC" w14:textId="77777777" w:rsidR="00373FC0" w:rsidRPr="00CD5673" w:rsidRDefault="00373FC0" w:rsidP="00373FC0">
            <w:pPr>
              <w:pStyle w:val="Tablea"/>
            </w:pPr>
            <w:r w:rsidRPr="00CD5673">
              <w:t>(a) the date of the alteration or modification;</w:t>
            </w:r>
          </w:p>
          <w:p w14:paraId="6AD95AC9" w14:textId="77777777" w:rsidR="00373FC0" w:rsidRPr="00CD5673" w:rsidRDefault="00373FC0" w:rsidP="00373FC0">
            <w:pPr>
              <w:pStyle w:val="Tablea"/>
            </w:pPr>
            <w:r w:rsidRPr="00CD5673">
              <w:t>(b) the market price of the underlying equity instrument at the date of the alteration or modification;</w:t>
            </w:r>
          </w:p>
          <w:p w14:paraId="2F7CB56D" w14:textId="77777777" w:rsidR="00373FC0" w:rsidRPr="00CD5673" w:rsidRDefault="00373FC0" w:rsidP="00373FC0">
            <w:pPr>
              <w:pStyle w:val="Tablea"/>
            </w:pPr>
            <w:r w:rsidRPr="00CD5673">
              <w:t>(c) the terms of the grant of compensation immediately before the alteration or modification, including:</w:t>
            </w:r>
          </w:p>
          <w:p w14:paraId="5E48D95B" w14:textId="77777777" w:rsidR="00373FC0" w:rsidRPr="00CD5673" w:rsidRDefault="00373FC0" w:rsidP="00373FC0">
            <w:pPr>
              <w:pStyle w:val="Tablei"/>
            </w:pPr>
            <w:r w:rsidRPr="00CD5673">
              <w:t>(i) the number and class of the underlying equity instruments; and</w:t>
            </w:r>
          </w:p>
          <w:p w14:paraId="2BC77231" w14:textId="77777777" w:rsidR="00373FC0" w:rsidRPr="00CD5673" w:rsidRDefault="00373FC0" w:rsidP="00373FC0">
            <w:pPr>
              <w:pStyle w:val="Tablei"/>
            </w:pPr>
            <w:r w:rsidRPr="00CD5673">
              <w:t>(ii) the exercise price for any option or other right affected by the alteration or modification, immediately before and after the alteration or modification; and</w:t>
            </w:r>
          </w:p>
          <w:p w14:paraId="1D749E7D" w14:textId="77777777" w:rsidR="00373FC0" w:rsidRPr="00CD5673" w:rsidRDefault="00373FC0" w:rsidP="00373FC0">
            <w:pPr>
              <w:pStyle w:val="Tablei"/>
            </w:pPr>
            <w:r w:rsidRPr="00CD5673">
              <w:t>(iii) the time remaining until expiry of the underlying equity instruments; and</w:t>
            </w:r>
          </w:p>
          <w:p w14:paraId="1DF0EF57" w14:textId="77777777" w:rsidR="00373FC0" w:rsidRPr="00CD5673" w:rsidRDefault="00373FC0" w:rsidP="00373FC0">
            <w:pPr>
              <w:pStyle w:val="Tablei"/>
            </w:pPr>
            <w:r w:rsidRPr="00CD5673">
              <w:t>(iv) each other condition in the terms affecting the vesting or exercise of an option or other right;</w:t>
            </w:r>
          </w:p>
          <w:p w14:paraId="3F1A8C7C" w14:textId="77777777" w:rsidR="00373FC0" w:rsidRPr="00CD5673" w:rsidRDefault="00373FC0" w:rsidP="00373FC0">
            <w:pPr>
              <w:pStyle w:val="Tablea"/>
            </w:pPr>
            <w:r w:rsidRPr="00CD5673">
              <w:t>(d) the modified or altered terms;</w:t>
            </w:r>
          </w:p>
          <w:p w14:paraId="788C4D81" w14:textId="77777777" w:rsidR="00373FC0" w:rsidRPr="00CD5673" w:rsidRDefault="00373FC0" w:rsidP="00373FC0">
            <w:pPr>
              <w:pStyle w:val="Tablea"/>
            </w:pPr>
            <w:r w:rsidRPr="00CD5673">
              <w:t>(e) the difference between:</w:t>
            </w:r>
          </w:p>
          <w:p w14:paraId="3986539C" w14:textId="77777777" w:rsidR="00373FC0" w:rsidRPr="00CD5673" w:rsidRDefault="00373FC0" w:rsidP="00373FC0">
            <w:pPr>
              <w:pStyle w:val="Tablei"/>
            </w:pPr>
            <w:r w:rsidRPr="00CD5673">
              <w:t>(i) the total of the fair value of the options or other rights affected by the alteration or modification immediately before the alteration or modification; and</w:t>
            </w:r>
          </w:p>
          <w:p w14:paraId="71426A5A" w14:textId="77777777" w:rsidR="00373FC0" w:rsidRPr="00CD5673" w:rsidRDefault="00373FC0" w:rsidP="00373FC0">
            <w:pPr>
              <w:pStyle w:val="Tablei"/>
            </w:pPr>
            <w:r w:rsidRPr="00CD5673">
              <w:t>(ii) the total of the fair value of the options or other rights immediately after the alteration or modification</w:t>
            </w:r>
          </w:p>
        </w:tc>
      </w:tr>
      <w:tr w:rsidR="00373FC0" w:rsidRPr="00CD5673" w14:paraId="516D8439" w14:textId="77777777" w:rsidTr="00373FC0">
        <w:tc>
          <w:tcPr>
            <w:tcW w:w="505" w:type="pct"/>
            <w:shd w:val="clear" w:color="auto" w:fill="auto"/>
          </w:tcPr>
          <w:p w14:paraId="6922A2D3" w14:textId="77777777" w:rsidR="00373FC0" w:rsidRPr="00CD5673" w:rsidRDefault="00373FC0" w:rsidP="00373FC0">
            <w:pPr>
              <w:pStyle w:val="Tabletext"/>
            </w:pPr>
            <w:r w:rsidRPr="00CD5673">
              <w:t>14</w:t>
            </w:r>
          </w:p>
        </w:tc>
        <w:tc>
          <w:tcPr>
            <w:tcW w:w="2248" w:type="pct"/>
            <w:shd w:val="clear" w:color="auto" w:fill="auto"/>
          </w:tcPr>
          <w:p w14:paraId="70CD7315" w14:textId="77777777" w:rsidR="00373FC0" w:rsidRPr="00CD5673" w:rsidRDefault="00373FC0" w:rsidP="00373FC0">
            <w:pPr>
              <w:pStyle w:val="Tabletext"/>
            </w:pPr>
            <w:r w:rsidRPr="00CD5673">
              <w:t>If, during the most recently completed financial year, options and rights over an equity instrument issued or issuable by the RSE licensee or by a related body corporate were provided as compensation to a member—each such member</w:t>
            </w:r>
          </w:p>
        </w:tc>
        <w:tc>
          <w:tcPr>
            <w:tcW w:w="2247" w:type="pct"/>
            <w:shd w:val="clear" w:color="auto" w:fill="auto"/>
          </w:tcPr>
          <w:p w14:paraId="14C4E531" w14:textId="77777777" w:rsidR="00373FC0" w:rsidRPr="00CD5673" w:rsidRDefault="00373FC0" w:rsidP="00373FC0">
            <w:pPr>
              <w:pStyle w:val="Tabletext"/>
            </w:pPr>
            <w:r w:rsidRPr="00CD5673">
              <w:t>All of the following:</w:t>
            </w:r>
          </w:p>
          <w:p w14:paraId="60994651" w14:textId="77777777" w:rsidR="00373FC0" w:rsidRPr="00CD5673" w:rsidRDefault="00373FC0" w:rsidP="00373FC0">
            <w:pPr>
              <w:pStyle w:val="Tablea"/>
            </w:pPr>
            <w:r w:rsidRPr="00CD5673">
              <w:t>(a) the number of options and the number of rights that, during the financial year, were:</w:t>
            </w:r>
          </w:p>
          <w:p w14:paraId="732B7022" w14:textId="77777777" w:rsidR="00373FC0" w:rsidRPr="00CD5673" w:rsidRDefault="00373FC0" w:rsidP="00373FC0">
            <w:pPr>
              <w:pStyle w:val="Tablei"/>
            </w:pPr>
            <w:r w:rsidRPr="00CD5673">
              <w:t>(i) granted; and</w:t>
            </w:r>
          </w:p>
          <w:p w14:paraId="6479B8F8" w14:textId="77777777" w:rsidR="00373FC0" w:rsidRPr="00CD5673" w:rsidRDefault="00373FC0" w:rsidP="00373FC0">
            <w:pPr>
              <w:pStyle w:val="Tablei"/>
            </w:pPr>
            <w:r w:rsidRPr="00CD5673">
              <w:t>(ii) vested;</w:t>
            </w:r>
          </w:p>
          <w:p w14:paraId="2CB9DC3C" w14:textId="77777777" w:rsidR="00373FC0" w:rsidRPr="00CD5673" w:rsidRDefault="00373FC0" w:rsidP="00373FC0">
            <w:pPr>
              <w:pStyle w:val="Tablea"/>
            </w:pPr>
            <w:r w:rsidRPr="00CD5673">
              <w:t>(b) the terms and conditions of each grant made during the financial year, including:</w:t>
            </w:r>
          </w:p>
          <w:p w14:paraId="7142B0FA" w14:textId="77777777" w:rsidR="00373FC0" w:rsidRPr="00CD5673" w:rsidRDefault="00373FC0" w:rsidP="00373FC0">
            <w:pPr>
              <w:pStyle w:val="Tablei"/>
            </w:pPr>
            <w:r w:rsidRPr="00CD5673">
              <w:t>(i) the fair value per option or right at grant date; and</w:t>
            </w:r>
          </w:p>
          <w:p w14:paraId="268C5617" w14:textId="77777777" w:rsidR="00373FC0" w:rsidRPr="00CD5673" w:rsidRDefault="00373FC0" w:rsidP="00373FC0">
            <w:pPr>
              <w:pStyle w:val="Tablei"/>
            </w:pPr>
            <w:r w:rsidRPr="00CD5673">
              <w:t>(ii) the exercise price per share or unit; and</w:t>
            </w:r>
          </w:p>
          <w:p w14:paraId="70CF8027" w14:textId="77777777" w:rsidR="00373FC0" w:rsidRPr="00CD5673" w:rsidRDefault="00373FC0" w:rsidP="00373FC0">
            <w:pPr>
              <w:pStyle w:val="Tablei"/>
            </w:pPr>
            <w:r w:rsidRPr="00CD5673">
              <w:t>(iii) the amount, if any, paid or payable by the member; and</w:t>
            </w:r>
          </w:p>
          <w:p w14:paraId="6374432A" w14:textId="77777777" w:rsidR="00373FC0" w:rsidRPr="00CD5673" w:rsidRDefault="00373FC0" w:rsidP="00373FC0">
            <w:pPr>
              <w:pStyle w:val="Tablei"/>
            </w:pPr>
            <w:r w:rsidRPr="00CD5673">
              <w:t>(iv) the expiry date of the grant; and</w:t>
            </w:r>
          </w:p>
          <w:p w14:paraId="7E418AC8" w14:textId="77777777" w:rsidR="00373FC0" w:rsidRPr="00CD5673" w:rsidRDefault="00373FC0" w:rsidP="00373FC0">
            <w:pPr>
              <w:pStyle w:val="Tablei"/>
            </w:pPr>
            <w:r w:rsidRPr="00CD5673">
              <w:t>(v) when the options or rights may be exercised; and</w:t>
            </w:r>
          </w:p>
          <w:p w14:paraId="33760368" w14:textId="77777777" w:rsidR="00373FC0" w:rsidRPr="00CD5673" w:rsidRDefault="00373FC0" w:rsidP="00373FC0">
            <w:pPr>
              <w:pStyle w:val="Tablei"/>
            </w:pPr>
            <w:r w:rsidRPr="00CD5673">
              <w:t>(vi) a summary of the service and performance criteria that must be met before the beneficial interest vests in the member</w:t>
            </w:r>
          </w:p>
        </w:tc>
      </w:tr>
      <w:tr w:rsidR="00373FC0" w:rsidRPr="00CD5673" w14:paraId="5898DF89" w14:textId="77777777" w:rsidTr="00373FC0">
        <w:tc>
          <w:tcPr>
            <w:tcW w:w="505" w:type="pct"/>
            <w:tcBorders>
              <w:bottom w:val="single" w:sz="2" w:space="0" w:color="auto"/>
            </w:tcBorders>
            <w:shd w:val="clear" w:color="auto" w:fill="auto"/>
          </w:tcPr>
          <w:p w14:paraId="71765792" w14:textId="77777777" w:rsidR="00373FC0" w:rsidRPr="00CD5673" w:rsidRDefault="00373FC0" w:rsidP="00373FC0">
            <w:pPr>
              <w:pStyle w:val="Tabletext"/>
            </w:pPr>
            <w:r w:rsidRPr="00CD5673">
              <w:t>15</w:t>
            </w:r>
          </w:p>
        </w:tc>
        <w:tc>
          <w:tcPr>
            <w:tcW w:w="2248" w:type="pct"/>
            <w:tcBorders>
              <w:bottom w:val="single" w:sz="2" w:space="0" w:color="auto"/>
            </w:tcBorders>
            <w:shd w:val="clear" w:color="auto" w:fill="auto"/>
          </w:tcPr>
          <w:p w14:paraId="640A6636" w14:textId="77777777" w:rsidR="00373FC0" w:rsidRPr="00CD5673" w:rsidRDefault="00373FC0" w:rsidP="00373FC0">
            <w:pPr>
              <w:pStyle w:val="Tabletext"/>
            </w:pPr>
            <w:r w:rsidRPr="00CD5673">
              <w:t>If an equity instrument that is issuable by the RSE licensee or a related body corporate was issued as a result of the exercise, during the most recently completed financial year, of options and rights that were granted as compensation to a member—each such member</w:t>
            </w:r>
          </w:p>
        </w:tc>
        <w:tc>
          <w:tcPr>
            <w:tcW w:w="2247" w:type="pct"/>
            <w:tcBorders>
              <w:bottom w:val="single" w:sz="2" w:space="0" w:color="auto"/>
            </w:tcBorders>
            <w:shd w:val="clear" w:color="auto" w:fill="auto"/>
          </w:tcPr>
          <w:p w14:paraId="7E000E4A" w14:textId="77777777" w:rsidR="00373FC0" w:rsidRPr="00CD5673" w:rsidRDefault="00373FC0" w:rsidP="00373FC0">
            <w:pPr>
              <w:pStyle w:val="Tabletext"/>
            </w:pPr>
            <w:r w:rsidRPr="00CD5673">
              <w:t>All of the following:</w:t>
            </w:r>
          </w:p>
          <w:p w14:paraId="63312391" w14:textId="77777777" w:rsidR="00373FC0" w:rsidRPr="00CD5673" w:rsidRDefault="00373FC0" w:rsidP="00373FC0">
            <w:pPr>
              <w:pStyle w:val="Tablea"/>
            </w:pPr>
            <w:r w:rsidRPr="00CD5673">
              <w:t>(a) how many equity instruments were issued;</w:t>
            </w:r>
          </w:p>
          <w:p w14:paraId="6F2E6716" w14:textId="77777777" w:rsidR="00373FC0" w:rsidRPr="00CD5673" w:rsidRDefault="00373FC0" w:rsidP="00373FC0">
            <w:pPr>
              <w:pStyle w:val="Tablea"/>
            </w:pPr>
            <w:r w:rsidRPr="00CD5673">
              <w:t>(b) if the number of options or rights exercised differs from the number of equity instruments disclosed under paragraph (a)—how many options or rights were exercised;</w:t>
            </w:r>
          </w:p>
          <w:p w14:paraId="6235A908" w14:textId="77777777" w:rsidR="00373FC0" w:rsidRPr="00CD5673" w:rsidRDefault="00373FC0" w:rsidP="00373FC0">
            <w:pPr>
              <w:pStyle w:val="Tablea"/>
            </w:pPr>
            <w:r w:rsidRPr="00CD5673">
              <w:t>(c) the amount paid under each instrument;</w:t>
            </w:r>
          </w:p>
          <w:p w14:paraId="3FA2836E" w14:textId="77777777" w:rsidR="00373FC0" w:rsidRPr="00CD5673" w:rsidRDefault="00373FC0" w:rsidP="00373FC0">
            <w:pPr>
              <w:pStyle w:val="Tablea"/>
            </w:pPr>
            <w:r w:rsidRPr="00CD5673">
              <w:t>(d) the amount payable under each instrument that is yet to be paid</w:t>
            </w:r>
          </w:p>
        </w:tc>
      </w:tr>
      <w:tr w:rsidR="00373FC0" w:rsidRPr="00CD5673" w14:paraId="5C50DCED" w14:textId="77777777" w:rsidTr="00373FC0">
        <w:tc>
          <w:tcPr>
            <w:tcW w:w="505" w:type="pct"/>
            <w:tcBorders>
              <w:top w:val="single" w:sz="2" w:space="0" w:color="auto"/>
              <w:bottom w:val="single" w:sz="12" w:space="0" w:color="auto"/>
            </w:tcBorders>
            <w:shd w:val="clear" w:color="auto" w:fill="auto"/>
          </w:tcPr>
          <w:p w14:paraId="7BC47D08" w14:textId="77777777" w:rsidR="00373FC0" w:rsidRPr="00CD5673" w:rsidRDefault="00373FC0" w:rsidP="00373FC0">
            <w:pPr>
              <w:pStyle w:val="Tabletext"/>
            </w:pPr>
            <w:r w:rsidRPr="00CD5673">
              <w:lastRenderedPageBreak/>
              <w:t>16</w:t>
            </w:r>
          </w:p>
        </w:tc>
        <w:tc>
          <w:tcPr>
            <w:tcW w:w="2248" w:type="pct"/>
            <w:tcBorders>
              <w:top w:val="single" w:sz="2" w:space="0" w:color="auto"/>
              <w:bottom w:val="single" w:sz="12" w:space="0" w:color="auto"/>
            </w:tcBorders>
            <w:shd w:val="clear" w:color="auto" w:fill="auto"/>
          </w:tcPr>
          <w:p w14:paraId="3BFD9C2F" w14:textId="77777777" w:rsidR="00373FC0" w:rsidRPr="00CD5673" w:rsidRDefault="00373FC0" w:rsidP="00373FC0">
            <w:pPr>
              <w:pStyle w:val="Tabletext"/>
            </w:pPr>
            <w:r w:rsidRPr="00CD5673">
              <w:t>If an amount attributable to the service of a member for the most recently completed financial year is paid to an organisation or entity rather than to the member—each such member</w:t>
            </w:r>
          </w:p>
        </w:tc>
        <w:tc>
          <w:tcPr>
            <w:tcW w:w="2247" w:type="pct"/>
            <w:tcBorders>
              <w:top w:val="single" w:sz="2" w:space="0" w:color="auto"/>
              <w:bottom w:val="single" w:sz="12" w:space="0" w:color="auto"/>
            </w:tcBorders>
            <w:shd w:val="clear" w:color="auto" w:fill="auto"/>
          </w:tcPr>
          <w:p w14:paraId="0B5D8FB8" w14:textId="77777777" w:rsidR="00373FC0" w:rsidRPr="00CD5673" w:rsidRDefault="00373FC0" w:rsidP="00373FC0">
            <w:pPr>
              <w:pStyle w:val="Tabletext"/>
            </w:pPr>
            <w:r w:rsidRPr="00CD5673">
              <w:t>Both of the following:</w:t>
            </w:r>
          </w:p>
          <w:p w14:paraId="1F5F34C0" w14:textId="77777777" w:rsidR="00373FC0" w:rsidRPr="00CD5673" w:rsidRDefault="00373FC0" w:rsidP="00373FC0">
            <w:pPr>
              <w:pStyle w:val="Tablea"/>
            </w:pPr>
            <w:r w:rsidRPr="00CD5673">
              <w:t>(a) the amount;</w:t>
            </w:r>
          </w:p>
          <w:p w14:paraId="2277785A" w14:textId="77777777" w:rsidR="00373FC0" w:rsidRPr="00CD5673" w:rsidRDefault="00373FC0" w:rsidP="00373FC0">
            <w:pPr>
              <w:pStyle w:val="Tablea"/>
            </w:pPr>
            <w:r w:rsidRPr="00CD5673">
              <w:t>(b) the name of the organisation or entity</w:t>
            </w:r>
          </w:p>
        </w:tc>
      </w:tr>
    </w:tbl>
    <w:p w14:paraId="25384DD6" w14:textId="77777777" w:rsidR="00373FC0" w:rsidRPr="00CD5673" w:rsidRDefault="00373FC0" w:rsidP="00373FC0">
      <w:pPr>
        <w:pStyle w:val="subsection"/>
      </w:pPr>
      <w:r w:rsidRPr="00CD5673">
        <w:tab/>
        <w:t>(2)</w:t>
      </w:r>
      <w:r w:rsidRPr="00CD5673">
        <w:tab/>
        <w:t>If:</w:t>
      </w:r>
    </w:p>
    <w:p w14:paraId="7C0EC722" w14:textId="77777777" w:rsidR="00373FC0" w:rsidRPr="00CD5673" w:rsidRDefault="00373FC0" w:rsidP="00373FC0">
      <w:pPr>
        <w:pStyle w:val="paragraph"/>
      </w:pPr>
      <w:r w:rsidRPr="00CD5673">
        <w:tab/>
        <w:t>(a)</w:t>
      </w:r>
      <w:r w:rsidRPr="00CD5673">
        <w:tab/>
        <w:t>a member of the key management personnel receives a payment, benefit or compensation from a related party of the registrable superannuation entity; and</w:t>
      </w:r>
    </w:p>
    <w:p w14:paraId="5DFA4CA0" w14:textId="77777777" w:rsidR="00373FC0" w:rsidRPr="00CD5673" w:rsidRDefault="00373FC0" w:rsidP="00373FC0">
      <w:pPr>
        <w:pStyle w:val="paragraph"/>
      </w:pPr>
      <w:r w:rsidRPr="00CD5673">
        <w:tab/>
        <w:t>(b)</w:t>
      </w:r>
      <w:r w:rsidRPr="00CD5673">
        <w:tab/>
        <w:t>all or part of the payment, benefit or compensation relates to work performed for the registrable superannuation entity;</w:t>
      </w:r>
    </w:p>
    <w:p w14:paraId="665A77E8" w14:textId="77777777" w:rsidR="00373FC0" w:rsidRPr="00CD5673" w:rsidRDefault="00373FC0" w:rsidP="00373FC0">
      <w:pPr>
        <w:pStyle w:val="subsection2"/>
      </w:pPr>
      <w:r w:rsidRPr="00CD5673">
        <w:t>then, to the extent that the payment, benefit or compensation relates to that work, the table applies to the payment, benefit or compensation in the same way as if it were paid or given by the registrable superannuation entity.</w:t>
      </w:r>
    </w:p>
    <w:p w14:paraId="37B6DAB2" w14:textId="77777777" w:rsidR="00373FC0" w:rsidRPr="00CD5673" w:rsidRDefault="00373FC0" w:rsidP="00373FC0">
      <w:pPr>
        <w:pStyle w:val="subsection"/>
      </w:pPr>
      <w:r w:rsidRPr="00CD5673">
        <w:tab/>
        <w:t>(3)</w:t>
      </w:r>
      <w:r w:rsidRPr="00CD5673">
        <w:tab/>
        <w:t>The details referred to in item 14 or 15 of the table must be separated into each class of equity instrument, and each class of equity instrument must be identified by:</w:t>
      </w:r>
    </w:p>
    <w:p w14:paraId="7CF0A937" w14:textId="77777777" w:rsidR="00373FC0" w:rsidRPr="00CD5673" w:rsidRDefault="00373FC0" w:rsidP="00373FC0">
      <w:pPr>
        <w:pStyle w:val="paragraph"/>
      </w:pPr>
      <w:r w:rsidRPr="00CD5673">
        <w:tab/>
        <w:t>(a)</w:t>
      </w:r>
      <w:r w:rsidRPr="00CD5673">
        <w:tab/>
        <w:t>the name of the issuing entity; and</w:t>
      </w:r>
    </w:p>
    <w:p w14:paraId="379898EB" w14:textId="77777777" w:rsidR="00373FC0" w:rsidRPr="00CD5673" w:rsidRDefault="00373FC0" w:rsidP="00373FC0">
      <w:pPr>
        <w:pStyle w:val="paragraph"/>
      </w:pPr>
      <w:r w:rsidRPr="00CD5673">
        <w:tab/>
        <w:t>(b)</w:t>
      </w:r>
      <w:r w:rsidRPr="00CD5673">
        <w:tab/>
        <w:t>the class of equity instrument; and</w:t>
      </w:r>
    </w:p>
    <w:p w14:paraId="742F459C" w14:textId="77777777" w:rsidR="00373FC0" w:rsidRPr="00CD5673" w:rsidRDefault="00373FC0" w:rsidP="00373FC0">
      <w:pPr>
        <w:pStyle w:val="paragraph"/>
      </w:pPr>
      <w:r w:rsidRPr="00CD5673">
        <w:tab/>
        <w:t>(c)</w:t>
      </w:r>
      <w:r w:rsidRPr="00CD5673">
        <w:tab/>
        <w:t>if the instrument is an option or right—the class and number of equity instruments for which it may be exercised.</w:t>
      </w:r>
    </w:p>
    <w:p w14:paraId="548E747F" w14:textId="77777777" w:rsidR="00373FC0" w:rsidRPr="00CD5673" w:rsidRDefault="00373FC0" w:rsidP="00373FC0">
      <w:pPr>
        <w:pStyle w:val="SubsectionHead"/>
      </w:pPr>
      <w:r w:rsidRPr="00CD5673">
        <w:t>Accounting standards apply to the reporting of prescribed details</w:t>
      </w:r>
    </w:p>
    <w:p w14:paraId="78180BAB" w14:textId="77777777" w:rsidR="00373FC0" w:rsidRPr="00CD5673" w:rsidRDefault="00373FC0" w:rsidP="00373FC0">
      <w:pPr>
        <w:pStyle w:val="subsection"/>
      </w:pPr>
      <w:r w:rsidRPr="00CD5673">
        <w:tab/>
        <w:t>(4)</w:t>
      </w:r>
      <w:r w:rsidRPr="00CD5673">
        <w:tab/>
        <w:t>The details are to be determined in accordance with the requirements of any relevant accounting standards.</w:t>
      </w:r>
    </w:p>
    <w:p w14:paraId="4D848FAA" w14:textId="77777777" w:rsidR="00373FC0" w:rsidRPr="00CD5673" w:rsidRDefault="00373FC0" w:rsidP="00373FC0">
      <w:pPr>
        <w:pStyle w:val="subsection"/>
      </w:pPr>
      <w:r w:rsidRPr="00CD5673">
        <w:tab/>
        <w:t>(5)</w:t>
      </w:r>
      <w:r w:rsidRPr="00CD5673">
        <w:tab/>
        <w:t>If an expression used in the table, or in subregulation (2) or (3), is defined in a relevant accounting standard, the expression has the meaning given by the standard.</w:t>
      </w:r>
    </w:p>
    <w:p w14:paraId="71884000" w14:textId="77777777" w:rsidR="00D46430" w:rsidRPr="00CD5673" w:rsidRDefault="00D46430" w:rsidP="00D46430">
      <w:pPr>
        <w:pStyle w:val="ActHead2"/>
        <w:pageBreakBefore/>
      </w:pPr>
      <w:bookmarkStart w:id="98" w:name="_Toc158711710"/>
      <w:r w:rsidRPr="00C614F1">
        <w:rPr>
          <w:rStyle w:val="CharPartNo"/>
        </w:rPr>
        <w:lastRenderedPageBreak/>
        <w:t>Part 2M.4</w:t>
      </w:r>
      <w:r w:rsidRPr="00CD5673">
        <w:t>—</w:t>
      </w:r>
      <w:r w:rsidRPr="00C614F1">
        <w:rPr>
          <w:rStyle w:val="CharPartText"/>
        </w:rPr>
        <w:t>Auditor</w:t>
      </w:r>
      <w:bookmarkEnd w:id="98"/>
    </w:p>
    <w:p w14:paraId="130C38A3"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56E589C6" w14:textId="77777777" w:rsidR="00D46430" w:rsidRPr="00CD5673" w:rsidRDefault="00D46430" w:rsidP="00D46430">
      <w:pPr>
        <w:pStyle w:val="ActHead5"/>
      </w:pPr>
      <w:bookmarkStart w:id="99" w:name="_Toc158711711"/>
      <w:r w:rsidRPr="00C614F1">
        <w:rPr>
          <w:rStyle w:val="CharSectno"/>
        </w:rPr>
        <w:t>2M.4.01A</w:t>
      </w:r>
      <w:r w:rsidRPr="00CD5673">
        <w:t xml:space="preserve">  Membership designations (Act s 324BE)</w:t>
      </w:r>
      <w:bookmarkEnd w:id="99"/>
    </w:p>
    <w:p w14:paraId="3EE3527D" w14:textId="77777777" w:rsidR="00D46430" w:rsidRPr="00CD5673" w:rsidRDefault="00D46430" w:rsidP="00D46430">
      <w:pPr>
        <w:pStyle w:val="subsection"/>
      </w:pPr>
      <w:r w:rsidRPr="00CD5673">
        <w:tab/>
      </w:r>
      <w:r w:rsidRPr="00CD5673">
        <w:tab/>
        <w:t>For paragraph 324BE(1)(b) of the Act, a designation mentioned in an item of the table is prescribed for membership of the professional accounting body mentioned in the item.</w:t>
      </w:r>
    </w:p>
    <w:p w14:paraId="31E04BEB"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085"/>
        <w:gridCol w:w="4844"/>
        <w:gridCol w:w="4844"/>
      </w:tblGrid>
      <w:tr w:rsidR="00D46430" w:rsidRPr="00CD5673" w14:paraId="531ADE55" w14:textId="77777777" w:rsidTr="00D46430">
        <w:trPr>
          <w:tblHeader/>
        </w:trPr>
        <w:tc>
          <w:tcPr>
            <w:tcW w:w="5000" w:type="pct"/>
            <w:gridSpan w:val="3"/>
            <w:tcBorders>
              <w:top w:val="single" w:sz="12" w:space="0" w:color="auto"/>
              <w:bottom w:val="single" w:sz="6" w:space="0" w:color="auto"/>
            </w:tcBorders>
            <w:shd w:val="clear" w:color="auto" w:fill="auto"/>
          </w:tcPr>
          <w:p w14:paraId="04CD4D4B" w14:textId="77777777" w:rsidR="00D46430" w:rsidRPr="00CD5673" w:rsidRDefault="00D46430" w:rsidP="00D46430">
            <w:pPr>
              <w:pStyle w:val="TableHeading"/>
            </w:pPr>
            <w:r w:rsidRPr="00CD5673">
              <w:t>Membership designations</w:t>
            </w:r>
          </w:p>
        </w:tc>
      </w:tr>
      <w:tr w:rsidR="00D46430" w:rsidRPr="00CD5673" w14:paraId="4976ADA5" w14:textId="77777777" w:rsidTr="00D46430">
        <w:trPr>
          <w:tblHeader/>
        </w:trPr>
        <w:tc>
          <w:tcPr>
            <w:tcW w:w="504" w:type="pct"/>
            <w:tcBorders>
              <w:top w:val="single" w:sz="6" w:space="0" w:color="auto"/>
              <w:bottom w:val="single" w:sz="12" w:space="0" w:color="auto"/>
            </w:tcBorders>
            <w:shd w:val="clear" w:color="auto" w:fill="auto"/>
          </w:tcPr>
          <w:p w14:paraId="48D04389" w14:textId="77777777" w:rsidR="00D46430" w:rsidRPr="00CD5673" w:rsidRDefault="00D46430" w:rsidP="00D46430">
            <w:pPr>
              <w:pStyle w:val="TableHeading"/>
            </w:pPr>
            <w:r w:rsidRPr="00CD5673">
              <w:t>Item</w:t>
            </w:r>
          </w:p>
        </w:tc>
        <w:tc>
          <w:tcPr>
            <w:tcW w:w="2248" w:type="pct"/>
            <w:tcBorders>
              <w:top w:val="single" w:sz="6" w:space="0" w:color="auto"/>
              <w:bottom w:val="single" w:sz="12" w:space="0" w:color="auto"/>
            </w:tcBorders>
            <w:shd w:val="clear" w:color="auto" w:fill="auto"/>
          </w:tcPr>
          <w:p w14:paraId="78BBC4BE" w14:textId="77777777" w:rsidR="00D46430" w:rsidRPr="00CD5673" w:rsidRDefault="00D46430" w:rsidP="00D46430">
            <w:pPr>
              <w:pStyle w:val="TableHeading"/>
            </w:pPr>
            <w:r w:rsidRPr="00CD5673">
              <w:t>Professional accounting body</w:t>
            </w:r>
          </w:p>
        </w:tc>
        <w:tc>
          <w:tcPr>
            <w:tcW w:w="2248" w:type="pct"/>
            <w:tcBorders>
              <w:top w:val="single" w:sz="6" w:space="0" w:color="auto"/>
              <w:bottom w:val="single" w:sz="12" w:space="0" w:color="auto"/>
            </w:tcBorders>
            <w:shd w:val="clear" w:color="auto" w:fill="auto"/>
          </w:tcPr>
          <w:p w14:paraId="5677B564" w14:textId="77777777" w:rsidR="00D46430" w:rsidRPr="00CD5673" w:rsidRDefault="00D46430" w:rsidP="00D46430">
            <w:pPr>
              <w:pStyle w:val="TableHeading"/>
            </w:pPr>
            <w:r w:rsidRPr="00CD5673">
              <w:t>Designation</w:t>
            </w:r>
          </w:p>
        </w:tc>
      </w:tr>
      <w:tr w:rsidR="00D46430" w:rsidRPr="00CD5673" w14:paraId="7939E3BE" w14:textId="77777777" w:rsidTr="00D46430">
        <w:tc>
          <w:tcPr>
            <w:tcW w:w="504" w:type="pct"/>
            <w:tcBorders>
              <w:top w:val="single" w:sz="12" w:space="0" w:color="auto"/>
            </w:tcBorders>
            <w:shd w:val="clear" w:color="auto" w:fill="auto"/>
          </w:tcPr>
          <w:p w14:paraId="68F0777E" w14:textId="77777777" w:rsidR="00D46430" w:rsidRPr="00CD5673" w:rsidRDefault="00D46430" w:rsidP="00D46430">
            <w:pPr>
              <w:pStyle w:val="Tabletext"/>
            </w:pPr>
            <w:r w:rsidRPr="00CD5673">
              <w:t>1</w:t>
            </w:r>
          </w:p>
        </w:tc>
        <w:tc>
          <w:tcPr>
            <w:tcW w:w="2248" w:type="pct"/>
            <w:tcBorders>
              <w:top w:val="single" w:sz="12" w:space="0" w:color="auto"/>
            </w:tcBorders>
            <w:shd w:val="clear" w:color="auto" w:fill="auto"/>
          </w:tcPr>
          <w:p w14:paraId="6C2513D5" w14:textId="77777777" w:rsidR="00D46430" w:rsidRPr="00CD5673" w:rsidRDefault="00D46430" w:rsidP="00D46430">
            <w:pPr>
              <w:pStyle w:val="Tabletext"/>
            </w:pPr>
            <w:r w:rsidRPr="00CD5673">
              <w:t>Institute of Chartered Accountants in Australia</w:t>
            </w:r>
          </w:p>
        </w:tc>
        <w:tc>
          <w:tcPr>
            <w:tcW w:w="2248" w:type="pct"/>
            <w:tcBorders>
              <w:top w:val="single" w:sz="12" w:space="0" w:color="auto"/>
            </w:tcBorders>
            <w:shd w:val="clear" w:color="auto" w:fill="auto"/>
          </w:tcPr>
          <w:p w14:paraId="6576C445" w14:textId="77777777" w:rsidR="00D46430" w:rsidRPr="00CD5673" w:rsidRDefault="00D46430" w:rsidP="00D46430">
            <w:pPr>
              <w:pStyle w:val="Tabletext"/>
            </w:pPr>
            <w:r w:rsidRPr="00CD5673">
              <w:t>CA; or</w:t>
            </w:r>
          </w:p>
          <w:p w14:paraId="18546881" w14:textId="77777777" w:rsidR="00D46430" w:rsidRPr="00CD5673" w:rsidRDefault="00D46430" w:rsidP="00D46430">
            <w:pPr>
              <w:pStyle w:val="Tabletext"/>
            </w:pPr>
            <w:r w:rsidRPr="00CD5673">
              <w:t>FCA</w:t>
            </w:r>
          </w:p>
        </w:tc>
      </w:tr>
      <w:tr w:rsidR="00D46430" w:rsidRPr="00CD5673" w14:paraId="01C5BA86" w14:textId="77777777" w:rsidTr="00D46430">
        <w:tc>
          <w:tcPr>
            <w:tcW w:w="504" w:type="pct"/>
            <w:tcBorders>
              <w:bottom w:val="single" w:sz="4" w:space="0" w:color="auto"/>
            </w:tcBorders>
            <w:shd w:val="clear" w:color="auto" w:fill="auto"/>
          </w:tcPr>
          <w:p w14:paraId="3CE2E9C8" w14:textId="77777777" w:rsidR="00D46430" w:rsidRPr="00CD5673" w:rsidRDefault="00D46430" w:rsidP="00D46430">
            <w:pPr>
              <w:pStyle w:val="Tabletext"/>
            </w:pPr>
            <w:r w:rsidRPr="00CD5673">
              <w:t>2</w:t>
            </w:r>
          </w:p>
        </w:tc>
        <w:tc>
          <w:tcPr>
            <w:tcW w:w="2248" w:type="pct"/>
            <w:tcBorders>
              <w:bottom w:val="single" w:sz="4" w:space="0" w:color="auto"/>
            </w:tcBorders>
            <w:shd w:val="clear" w:color="auto" w:fill="auto"/>
          </w:tcPr>
          <w:p w14:paraId="682F7DF0" w14:textId="77777777" w:rsidR="00D46430" w:rsidRPr="00CD5673" w:rsidRDefault="00D46430" w:rsidP="00D46430">
            <w:pPr>
              <w:pStyle w:val="Tabletext"/>
            </w:pPr>
            <w:r w:rsidRPr="00CD5673">
              <w:t>CPA Australia</w:t>
            </w:r>
          </w:p>
        </w:tc>
        <w:tc>
          <w:tcPr>
            <w:tcW w:w="2248" w:type="pct"/>
            <w:tcBorders>
              <w:bottom w:val="single" w:sz="4" w:space="0" w:color="auto"/>
            </w:tcBorders>
            <w:shd w:val="clear" w:color="auto" w:fill="auto"/>
          </w:tcPr>
          <w:p w14:paraId="00FF49B1" w14:textId="77777777" w:rsidR="00D46430" w:rsidRPr="00CD5673" w:rsidRDefault="00D46430" w:rsidP="00D46430">
            <w:pPr>
              <w:pStyle w:val="Tabletext"/>
            </w:pPr>
            <w:r w:rsidRPr="00CD5673">
              <w:t>CPA; or</w:t>
            </w:r>
          </w:p>
          <w:p w14:paraId="5CBAB52F" w14:textId="77777777" w:rsidR="00D46430" w:rsidRPr="00CD5673" w:rsidRDefault="00D46430" w:rsidP="00D46430">
            <w:pPr>
              <w:pStyle w:val="Tabletext"/>
            </w:pPr>
            <w:r w:rsidRPr="00CD5673">
              <w:t>FCPA</w:t>
            </w:r>
          </w:p>
        </w:tc>
      </w:tr>
      <w:tr w:rsidR="00D46430" w:rsidRPr="00CD5673" w14:paraId="50A8D9BE" w14:textId="77777777" w:rsidTr="00D46430">
        <w:tc>
          <w:tcPr>
            <w:tcW w:w="504" w:type="pct"/>
            <w:tcBorders>
              <w:bottom w:val="single" w:sz="12" w:space="0" w:color="auto"/>
            </w:tcBorders>
            <w:shd w:val="clear" w:color="auto" w:fill="auto"/>
          </w:tcPr>
          <w:p w14:paraId="19915B95" w14:textId="77777777" w:rsidR="00D46430" w:rsidRPr="00CD5673" w:rsidRDefault="00D46430" w:rsidP="00D46430">
            <w:pPr>
              <w:pStyle w:val="Tabletext"/>
            </w:pPr>
            <w:r w:rsidRPr="00CD5673">
              <w:t>3</w:t>
            </w:r>
          </w:p>
        </w:tc>
        <w:tc>
          <w:tcPr>
            <w:tcW w:w="2248" w:type="pct"/>
            <w:tcBorders>
              <w:bottom w:val="single" w:sz="12" w:space="0" w:color="auto"/>
            </w:tcBorders>
            <w:shd w:val="clear" w:color="auto" w:fill="auto"/>
          </w:tcPr>
          <w:p w14:paraId="78731FBF" w14:textId="77777777" w:rsidR="00D46430" w:rsidRPr="00CD5673" w:rsidRDefault="00D46430" w:rsidP="00D46430">
            <w:pPr>
              <w:pStyle w:val="Tabletext"/>
            </w:pPr>
            <w:r w:rsidRPr="00CD5673">
              <w:t>Institute of Public Accountants</w:t>
            </w:r>
          </w:p>
        </w:tc>
        <w:tc>
          <w:tcPr>
            <w:tcW w:w="2248" w:type="pct"/>
            <w:tcBorders>
              <w:bottom w:val="single" w:sz="12" w:space="0" w:color="auto"/>
            </w:tcBorders>
            <w:shd w:val="clear" w:color="auto" w:fill="auto"/>
          </w:tcPr>
          <w:p w14:paraId="7395D134" w14:textId="77777777" w:rsidR="00D46430" w:rsidRPr="00CD5673" w:rsidRDefault="00D46430" w:rsidP="00D46430">
            <w:pPr>
              <w:pStyle w:val="Tabletext"/>
            </w:pPr>
            <w:r w:rsidRPr="00CD5673">
              <w:t>FIPA; or</w:t>
            </w:r>
          </w:p>
          <w:p w14:paraId="5587AA9B" w14:textId="77777777" w:rsidR="00D46430" w:rsidRPr="00CD5673" w:rsidRDefault="00D46430" w:rsidP="00D46430">
            <w:pPr>
              <w:pStyle w:val="Tabletext"/>
            </w:pPr>
            <w:r w:rsidRPr="00CD5673">
              <w:t>MIPA</w:t>
            </w:r>
          </w:p>
        </w:tc>
      </w:tr>
    </w:tbl>
    <w:p w14:paraId="78B63B44" w14:textId="77777777" w:rsidR="00D46430" w:rsidRPr="00CD5673" w:rsidRDefault="00D46430" w:rsidP="00D46430">
      <w:pPr>
        <w:pStyle w:val="ActHead5"/>
      </w:pPr>
      <w:bookmarkStart w:id="100" w:name="_Toc158711712"/>
      <w:r w:rsidRPr="00C614F1">
        <w:rPr>
          <w:rStyle w:val="CharSectno"/>
        </w:rPr>
        <w:t>2M.4.01</w:t>
      </w:r>
      <w:r w:rsidRPr="00CD5673">
        <w:t xml:space="preserve">  Notice of appointment of auditors</w:t>
      </w:r>
      <w:bookmarkEnd w:id="100"/>
    </w:p>
    <w:p w14:paraId="020C9977" w14:textId="77777777" w:rsidR="00D46430" w:rsidRPr="00CD5673" w:rsidRDefault="00D46430" w:rsidP="00D46430">
      <w:pPr>
        <w:pStyle w:val="subsection"/>
      </w:pPr>
      <w:r w:rsidRPr="00CD5673">
        <w:tab/>
      </w:r>
      <w:r w:rsidRPr="00CD5673">
        <w:tab/>
        <w:t>The responsible entity of a registered scheme must lodge a notice in the approved form telling ASIC of the appointment by the entity of an auditor of the scheme under section 331AB of the Act within 14 days of the appointment.</w:t>
      </w:r>
    </w:p>
    <w:p w14:paraId="38682427" w14:textId="77777777" w:rsidR="00D46430" w:rsidRPr="00CD5673" w:rsidRDefault="00D46430" w:rsidP="00D46430">
      <w:pPr>
        <w:pStyle w:val="ActHead2"/>
        <w:pageBreakBefore/>
      </w:pPr>
      <w:bookmarkStart w:id="101" w:name="_Toc158711713"/>
      <w:r w:rsidRPr="00C614F1">
        <w:rPr>
          <w:rStyle w:val="CharPartNo"/>
        </w:rPr>
        <w:lastRenderedPageBreak/>
        <w:t>Part 2M.4A</w:t>
      </w:r>
      <w:r w:rsidRPr="00CD5673">
        <w:t>—</w:t>
      </w:r>
      <w:r w:rsidRPr="00C614F1">
        <w:rPr>
          <w:rStyle w:val="CharPartText"/>
        </w:rPr>
        <w:t>Annual transparency reports for auditors</w:t>
      </w:r>
      <w:bookmarkEnd w:id="101"/>
    </w:p>
    <w:p w14:paraId="0E3FAF4F"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C352A96" w14:textId="77777777" w:rsidR="00D46430" w:rsidRPr="00CD5673" w:rsidRDefault="00D46430" w:rsidP="00D46430">
      <w:pPr>
        <w:pStyle w:val="ActHead5"/>
      </w:pPr>
      <w:bookmarkStart w:id="102" w:name="_Toc158711714"/>
      <w:r w:rsidRPr="00C614F1">
        <w:rPr>
          <w:rStyle w:val="CharSectno"/>
        </w:rPr>
        <w:t>2M.4A.01</w:t>
      </w:r>
      <w:r w:rsidRPr="00CD5673">
        <w:t xml:space="preserve">  Application</w:t>
      </w:r>
      <w:bookmarkEnd w:id="102"/>
    </w:p>
    <w:p w14:paraId="5EAFA1DE" w14:textId="77777777" w:rsidR="00D46430" w:rsidRPr="00CD5673" w:rsidRDefault="00D46430" w:rsidP="00D46430">
      <w:pPr>
        <w:pStyle w:val="subsection"/>
      </w:pPr>
      <w:r w:rsidRPr="00CD5673">
        <w:tab/>
      </w:r>
      <w:r w:rsidRPr="00CD5673">
        <w:tab/>
        <w:t>This Part applies in relation to annual transparency reports for:</w:t>
      </w:r>
    </w:p>
    <w:p w14:paraId="12E1B8A3" w14:textId="77777777" w:rsidR="00D46430" w:rsidRPr="00CD5673" w:rsidRDefault="00D46430" w:rsidP="00D46430">
      <w:pPr>
        <w:pStyle w:val="paragraph"/>
      </w:pPr>
      <w:r w:rsidRPr="00CD5673">
        <w:tab/>
        <w:t>(a)</w:t>
      </w:r>
      <w:r w:rsidRPr="00CD5673">
        <w:tab/>
        <w:t xml:space="preserve">the transparency reporting year in which Schedule 1 to the </w:t>
      </w:r>
      <w:r w:rsidRPr="00CD5673">
        <w:rPr>
          <w:i/>
        </w:rPr>
        <w:t xml:space="preserve">Corporations Legislation Amendment (Audit Enhancement) Act 2012 </w:t>
      </w:r>
      <w:r w:rsidRPr="00CD5673">
        <w:t>commences; and</w:t>
      </w:r>
    </w:p>
    <w:p w14:paraId="787509C5" w14:textId="77777777" w:rsidR="00D46430" w:rsidRPr="00CD5673" w:rsidRDefault="00D46430" w:rsidP="00D46430">
      <w:pPr>
        <w:pStyle w:val="paragraph"/>
      </w:pPr>
      <w:r w:rsidRPr="00CD5673">
        <w:tab/>
        <w:t>(b)</w:t>
      </w:r>
      <w:r w:rsidRPr="00CD5673">
        <w:tab/>
        <w:t>all later transparency reporting years.</w:t>
      </w:r>
    </w:p>
    <w:p w14:paraId="3D04D27D" w14:textId="77777777" w:rsidR="00D46430" w:rsidRPr="00CD5673" w:rsidRDefault="00D46430" w:rsidP="00D46430">
      <w:pPr>
        <w:pStyle w:val="notetext"/>
      </w:pPr>
      <w:r w:rsidRPr="00CD5673">
        <w:t>Note:</w:t>
      </w:r>
      <w:r w:rsidRPr="00CD5673">
        <w:tab/>
        <w:t xml:space="preserve">For the definitions of </w:t>
      </w:r>
      <w:r w:rsidRPr="00CD5673">
        <w:rPr>
          <w:b/>
          <w:i/>
        </w:rPr>
        <w:t>annual transparency report</w:t>
      </w:r>
      <w:r w:rsidRPr="00CD5673">
        <w:t xml:space="preserve"> and </w:t>
      </w:r>
      <w:r w:rsidRPr="00CD5673">
        <w:rPr>
          <w:b/>
          <w:i/>
        </w:rPr>
        <w:t>transparency reporting year</w:t>
      </w:r>
      <w:r w:rsidRPr="00CD5673">
        <w:t>, see section 9 of the Act.</w:t>
      </w:r>
    </w:p>
    <w:p w14:paraId="7D0BCC10" w14:textId="77777777" w:rsidR="00D46430" w:rsidRPr="00CD5673" w:rsidRDefault="00D46430" w:rsidP="00D46430">
      <w:pPr>
        <w:pStyle w:val="ActHead5"/>
      </w:pPr>
      <w:bookmarkStart w:id="103" w:name="_Toc158711715"/>
      <w:r w:rsidRPr="00C614F1">
        <w:rPr>
          <w:rStyle w:val="CharSectno"/>
        </w:rPr>
        <w:t>2M.4A.02</w:t>
      </w:r>
      <w:r w:rsidRPr="00CD5673">
        <w:t xml:space="preserve">  Content of annual transparency report (Act s 332B)</w:t>
      </w:r>
      <w:bookmarkEnd w:id="103"/>
    </w:p>
    <w:p w14:paraId="48A08D07" w14:textId="77777777" w:rsidR="00D46430" w:rsidRPr="00CD5673" w:rsidRDefault="00D46430" w:rsidP="00D46430">
      <w:pPr>
        <w:pStyle w:val="subsection"/>
      </w:pPr>
      <w:r w:rsidRPr="00CD5673">
        <w:tab/>
        <w:t>(1)</w:t>
      </w:r>
      <w:r w:rsidRPr="00CD5673">
        <w:tab/>
        <w:t>For subsection 332B(1) of the Act, Schedule 7A sets out the information that an annual transparency report published in accordance with subsection 332A(2) of the Act must contain.</w:t>
      </w:r>
    </w:p>
    <w:p w14:paraId="524F3243" w14:textId="77777777" w:rsidR="00D46430" w:rsidRPr="00CD5673" w:rsidRDefault="00D46430" w:rsidP="00D46430">
      <w:pPr>
        <w:pStyle w:val="subsection"/>
      </w:pPr>
      <w:r w:rsidRPr="00CD5673">
        <w:tab/>
        <w:t>(2)</w:t>
      </w:r>
      <w:r w:rsidRPr="00CD5673">
        <w:tab/>
        <w:t>If the report is published by an audit firm or authorised audit company, see Part 2 of Schedule 7A.</w:t>
      </w:r>
    </w:p>
    <w:p w14:paraId="434823AF" w14:textId="77777777" w:rsidR="00D46430" w:rsidRPr="00CD5673" w:rsidRDefault="00D46430" w:rsidP="00D46430">
      <w:pPr>
        <w:pStyle w:val="subsection"/>
      </w:pPr>
      <w:r w:rsidRPr="00CD5673">
        <w:tab/>
        <w:t>(3)</w:t>
      </w:r>
      <w:r w:rsidRPr="00CD5673">
        <w:tab/>
        <w:t>If the report is published by an individual auditor, see Part 3 of Schedule 7A.</w:t>
      </w:r>
    </w:p>
    <w:p w14:paraId="418DC744" w14:textId="77777777" w:rsidR="00D46430" w:rsidRPr="00CD5673" w:rsidRDefault="00D46430" w:rsidP="00D46430">
      <w:pPr>
        <w:pStyle w:val="ActHead2"/>
        <w:pageBreakBefore/>
      </w:pPr>
      <w:bookmarkStart w:id="104" w:name="_Toc158711716"/>
      <w:r w:rsidRPr="00C614F1">
        <w:rPr>
          <w:rStyle w:val="CharPartNo"/>
        </w:rPr>
        <w:lastRenderedPageBreak/>
        <w:t>Part 2M.6</w:t>
      </w:r>
      <w:r w:rsidRPr="00CD5673">
        <w:t>—</w:t>
      </w:r>
      <w:r w:rsidRPr="00C614F1">
        <w:rPr>
          <w:rStyle w:val="CharPartText"/>
        </w:rPr>
        <w:t>Modification of the operation of Chapter 2M of the Act</w:t>
      </w:r>
      <w:bookmarkEnd w:id="104"/>
    </w:p>
    <w:p w14:paraId="77225B9C"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7C215CB0" w14:textId="77777777" w:rsidR="00D46430" w:rsidRPr="00CD5673" w:rsidRDefault="00D46430" w:rsidP="00D46430">
      <w:pPr>
        <w:pStyle w:val="ActHead5"/>
      </w:pPr>
      <w:bookmarkStart w:id="105" w:name="_Toc158711717"/>
      <w:r w:rsidRPr="00C614F1">
        <w:rPr>
          <w:rStyle w:val="CharSectno"/>
        </w:rPr>
        <w:t>2M.6.01</w:t>
      </w:r>
      <w:r w:rsidRPr="00CD5673">
        <w:t xml:space="preserve">  Modifications (Act s 343)</w:t>
      </w:r>
      <w:bookmarkEnd w:id="105"/>
    </w:p>
    <w:p w14:paraId="26EDD73B" w14:textId="77777777" w:rsidR="00D46430" w:rsidRPr="00CD5673" w:rsidRDefault="00D46430" w:rsidP="00D46430">
      <w:pPr>
        <w:pStyle w:val="subsection"/>
      </w:pPr>
      <w:r w:rsidRPr="00CD5673">
        <w:tab/>
      </w:r>
      <w:r w:rsidRPr="00CD5673">
        <w:tab/>
        <w:t>For section 343 of the Act, the operation of Chapter 2M of the Act is modified in accordance with this Part.</w:t>
      </w:r>
    </w:p>
    <w:p w14:paraId="0D66BFB0" w14:textId="77777777" w:rsidR="00D46430" w:rsidRPr="00CD5673" w:rsidRDefault="00D46430" w:rsidP="00D46430">
      <w:pPr>
        <w:pStyle w:val="ActHead5"/>
      </w:pPr>
      <w:bookmarkStart w:id="106" w:name="_Toc158711718"/>
      <w:r w:rsidRPr="00C614F1">
        <w:rPr>
          <w:rStyle w:val="CharSectno"/>
        </w:rPr>
        <w:t>2M.6.05</w:t>
      </w:r>
      <w:r w:rsidRPr="00CD5673">
        <w:t xml:space="preserve">  Conduct of auditor—relevant relationships</w:t>
      </w:r>
      <w:bookmarkEnd w:id="106"/>
    </w:p>
    <w:p w14:paraId="39D480D4" w14:textId="77777777" w:rsidR="00D46430" w:rsidRPr="00CD5673" w:rsidRDefault="00D46430" w:rsidP="00D46430">
      <w:pPr>
        <w:pStyle w:val="subsection"/>
      </w:pPr>
      <w:r w:rsidRPr="00CD5673">
        <w:tab/>
      </w:r>
      <w:r w:rsidRPr="00CD5673">
        <w:tab/>
        <w:t>The operation of Chapter 2M of the Act in relation to:</w:t>
      </w:r>
    </w:p>
    <w:p w14:paraId="285F2035" w14:textId="77777777" w:rsidR="00D46430" w:rsidRPr="00CD5673" w:rsidRDefault="00D46430" w:rsidP="00D46430">
      <w:pPr>
        <w:pStyle w:val="paragraph"/>
      </w:pPr>
      <w:r w:rsidRPr="00CD5673">
        <w:tab/>
        <w:t>(a)</w:t>
      </w:r>
      <w:r w:rsidRPr="00CD5673">
        <w:tab/>
        <w:t>all companies; and</w:t>
      </w:r>
    </w:p>
    <w:p w14:paraId="646346E7" w14:textId="77777777" w:rsidR="00D46430" w:rsidRPr="00CD5673" w:rsidRDefault="00D46430" w:rsidP="00D46430">
      <w:pPr>
        <w:pStyle w:val="paragraph"/>
      </w:pPr>
      <w:r w:rsidRPr="00CD5673">
        <w:tab/>
        <w:t>(b)</w:t>
      </w:r>
      <w:r w:rsidRPr="00CD5673">
        <w:tab/>
        <w:t>all registered schemes; and</w:t>
      </w:r>
    </w:p>
    <w:p w14:paraId="4FA3E7DB" w14:textId="77777777" w:rsidR="00D46430" w:rsidRPr="00CD5673" w:rsidRDefault="00D46430" w:rsidP="00D46430">
      <w:pPr>
        <w:pStyle w:val="paragraph"/>
      </w:pPr>
      <w:r w:rsidRPr="00CD5673">
        <w:tab/>
        <w:t>(c)</w:t>
      </w:r>
      <w:r w:rsidRPr="00CD5673">
        <w:tab/>
        <w:t>all disclosing entities;</w:t>
      </w:r>
    </w:p>
    <w:p w14:paraId="5E029187" w14:textId="77777777" w:rsidR="00D46430" w:rsidRPr="00CD5673" w:rsidRDefault="00D46430" w:rsidP="00D46430">
      <w:pPr>
        <w:pStyle w:val="subsection2"/>
      </w:pPr>
      <w:r w:rsidRPr="00CD5673">
        <w:t>is modified as set out in Schedule 5C.</w:t>
      </w:r>
    </w:p>
    <w:p w14:paraId="2395C123" w14:textId="77777777" w:rsidR="00D46430" w:rsidRPr="00CD5673" w:rsidRDefault="00D46430" w:rsidP="00D46430">
      <w:pPr>
        <w:pStyle w:val="ActHead1"/>
        <w:pageBreakBefore/>
      </w:pPr>
      <w:bookmarkStart w:id="107" w:name="_Toc158711719"/>
      <w:r w:rsidRPr="00C614F1">
        <w:rPr>
          <w:rStyle w:val="CharChapNo"/>
        </w:rPr>
        <w:lastRenderedPageBreak/>
        <w:t>Chapter 2N</w:t>
      </w:r>
      <w:r w:rsidRPr="00CD5673">
        <w:t>—</w:t>
      </w:r>
      <w:r w:rsidRPr="00C614F1">
        <w:rPr>
          <w:rStyle w:val="CharChapText"/>
        </w:rPr>
        <w:t>Updating ASIC information about companies and registered schemes</w:t>
      </w:r>
      <w:bookmarkEnd w:id="107"/>
    </w:p>
    <w:p w14:paraId="431F0E11" w14:textId="77777777" w:rsidR="00D46430" w:rsidRPr="00CD5673" w:rsidRDefault="00D46430" w:rsidP="00D46430">
      <w:pPr>
        <w:pStyle w:val="ActHead2"/>
      </w:pPr>
      <w:bookmarkStart w:id="108" w:name="_Toc158711720"/>
      <w:r w:rsidRPr="00C614F1">
        <w:rPr>
          <w:rStyle w:val="CharPartNo"/>
        </w:rPr>
        <w:t>Part 2N.2</w:t>
      </w:r>
      <w:r w:rsidRPr="00CD5673">
        <w:t>—</w:t>
      </w:r>
      <w:r w:rsidRPr="00C614F1">
        <w:rPr>
          <w:rStyle w:val="CharPartText"/>
        </w:rPr>
        <w:t>Extract of particulars</w:t>
      </w:r>
      <w:bookmarkEnd w:id="108"/>
    </w:p>
    <w:p w14:paraId="196B7E6A"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BDD72FC" w14:textId="77777777" w:rsidR="00D46430" w:rsidRPr="00CD5673" w:rsidRDefault="00D46430" w:rsidP="00D46430">
      <w:pPr>
        <w:pStyle w:val="ActHead5"/>
      </w:pPr>
      <w:bookmarkStart w:id="109" w:name="_Toc158711721"/>
      <w:r w:rsidRPr="00C614F1">
        <w:rPr>
          <w:rStyle w:val="CharSectno"/>
        </w:rPr>
        <w:t>2N.2.01</w:t>
      </w:r>
      <w:r w:rsidRPr="00CD5673">
        <w:t xml:space="preserve">  Particulars ASIC may require in an extract of particulars (Act s 346B)</w:t>
      </w:r>
      <w:bookmarkEnd w:id="109"/>
    </w:p>
    <w:p w14:paraId="09911C85" w14:textId="77777777" w:rsidR="00D46430" w:rsidRPr="00CD5673" w:rsidRDefault="00D46430" w:rsidP="00D46430">
      <w:pPr>
        <w:pStyle w:val="SubsectionHead"/>
      </w:pPr>
      <w:r w:rsidRPr="00CD5673">
        <w:t>Particulars for a company</w:t>
      </w:r>
    </w:p>
    <w:p w14:paraId="1EFFCE2B" w14:textId="77777777" w:rsidR="00D46430" w:rsidRPr="00CD5673" w:rsidRDefault="00D46430" w:rsidP="00D46430">
      <w:pPr>
        <w:pStyle w:val="subsection"/>
      </w:pPr>
      <w:r w:rsidRPr="00CD5673">
        <w:tab/>
        <w:t>(1)</w:t>
      </w:r>
      <w:r w:rsidRPr="00CD5673">
        <w:tab/>
        <w:t>For the purposes of section 346B of the Act, the following particulars are prescribed for a company (other than a CCIV):</w:t>
      </w:r>
    </w:p>
    <w:p w14:paraId="569515C5" w14:textId="77777777" w:rsidR="00D46430" w:rsidRPr="00CD5673" w:rsidRDefault="00D46430" w:rsidP="00D46430">
      <w:pPr>
        <w:pStyle w:val="paragraph"/>
      </w:pPr>
      <w:r w:rsidRPr="00CD5673">
        <w:tab/>
        <w:t>(a)</w:t>
      </w:r>
      <w:r w:rsidRPr="00CD5673">
        <w:tab/>
        <w:t>ACN;</w:t>
      </w:r>
    </w:p>
    <w:p w14:paraId="307111B7" w14:textId="77777777" w:rsidR="00D46430" w:rsidRPr="00CD5673" w:rsidRDefault="00D46430" w:rsidP="00D46430">
      <w:pPr>
        <w:pStyle w:val="paragraph"/>
      </w:pPr>
      <w:r w:rsidRPr="00CD5673">
        <w:tab/>
        <w:t>(b)</w:t>
      </w:r>
      <w:r w:rsidRPr="00CD5673">
        <w:tab/>
        <w:t>name;</w:t>
      </w:r>
    </w:p>
    <w:p w14:paraId="7CC16993" w14:textId="77777777" w:rsidR="00D46430" w:rsidRPr="00CD5673" w:rsidRDefault="00D46430" w:rsidP="00D46430">
      <w:pPr>
        <w:pStyle w:val="paragraph"/>
      </w:pPr>
      <w:r w:rsidRPr="00CD5673">
        <w:tab/>
        <w:t>(c)</w:t>
      </w:r>
      <w:r w:rsidRPr="00CD5673">
        <w:tab/>
        <w:t>address of registered office;</w:t>
      </w:r>
    </w:p>
    <w:p w14:paraId="22FC3346" w14:textId="77777777" w:rsidR="00D46430" w:rsidRPr="00CD5673" w:rsidRDefault="00D46430" w:rsidP="00D46430">
      <w:pPr>
        <w:pStyle w:val="paragraph"/>
      </w:pPr>
      <w:r w:rsidRPr="00CD5673">
        <w:tab/>
        <w:t>(d)</w:t>
      </w:r>
      <w:r w:rsidRPr="00CD5673">
        <w:tab/>
        <w:t>address of principal place of business in this jurisdiction;</w:t>
      </w:r>
    </w:p>
    <w:p w14:paraId="4047DC79" w14:textId="77777777" w:rsidR="00D46430" w:rsidRPr="00CD5673" w:rsidRDefault="00D46430" w:rsidP="00D46430">
      <w:pPr>
        <w:pStyle w:val="paragraph"/>
      </w:pPr>
      <w:r w:rsidRPr="00CD5673">
        <w:tab/>
        <w:t>(e)</w:t>
      </w:r>
      <w:r w:rsidRPr="00CD5673">
        <w:tab/>
        <w:t>for each director and company secretary:</w:t>
      </w:r>
    </w:p>
    <w:p w14:paraId="1FE1D1D8" w14:textId="77777777" w:rsidR="00D46430" w:rsidRPr="00CD5673" w:rsidRDefault="00D46430" w:rsidP="00D46430">
      <w:pPr>
        <w:pStyle w:val="paragraphsub"/>
      </w:pPr>
      <w:r w:rsidRPr="00CD5673">
        <w:tab/>
        <w:t>(i)</w:t>
      </w:r>
      <w:r w:rsidRPr="00CD5673">
        <w:tab/>
        <w:t>the person’s name; and</w:t>
      </w:r>
    </w:p>
    <w:p w14:paraId="353C14AD" w14:textId="77777777" w:rsidR="00D46430" w:rsidRPr="00CD5673" w:rsidRDefault="00D46430" w:rsidP="00D46430">
      <w:pPr>
        <w:pStyle w:val="paragraphsub"/>
      </w:pPr>
      <w:r w:rsidRPr="00CD5673">
        <w:tab/>
        <w:t>(ii)</w:t>
      </w:r>
      <w:r w:rsidRPr="00CD5673">
        <w:tab/>
        <w:t>the person’s usual residential address, or, if the person is entitled to have an alternative address under subsection 205D(2) of the Act, that alternative address; and</w:t>
      </w:r>
    </w:p>
    <w:p w14:paraId="5CF1F614" w14:textId="77777777" w:rsidR="00D46430" w:rsidRPr="00CD5673" w:rsidRDefault="00D46430" w:rsidP="00D46430">
      <w:pPr>
        <w:pStyle w:val="paragraphsub"/>
      </w:pPr>
      <w:r w:rsidRPr="00CD5673">
        <w:tab/>
        <w:t>(iii)</w:t>
      </w:r>
      <w:r w:rsidRPr="00CD5673">
        <w:tab/>
        <w:t>the person’s date and place of birth;</w:t>
      </w:r>
    </w:p>
    <w:p w14:paraId="497A572C" w14:textId="77777777" w:rsidR="00D46430" w:rsidRPr="00CD5673" w:rsidRDefault="00D46430" w:rsidP="00D46430">
      <w:pPr>
        <w:pStyle w:val="paragraph"/>
      </w:pPr>
      <w:r w:rsidRPr="00CD5673">
        <w:tab/>
        <w:t>(f)</w:t>
      </w:r>
      <w:r w:rsidRPr="00CD5673">
        <w:tab/>
        <w:t>the date of appointment or cessation of each director, secretary or alternate director;</w:t>
      </w:r>
    </w:p>
    <w:p w14:paraId="756F2120" w14:textId="77777777" w:rsidR="00D46430" w:rsidRPr="00CD5673" w:rsidRDefault="00D46430" w:rsidP="00D46430">
      <w:pPr>
        <w:pStyle w:val="paragraph"/>
      </w:pPr>
      <w:r w:rsidRPr="00CD5673">
        <w:tab/>
        <w:t>(g)</w:t>
      </w:r>
      <w:r w:rsidRPr="00CD5673">
        <w:tab/>
        <w:t>for issued shares—the classes into which the shares are divided, and for each class of share issued:</w:t>
      </w:r>
    </w:p>
    <w:p w14:paraId="4356C947" w14:textId="77777777" w:rsidR="00D46430" w:rsidRPr="00CD5673" w:rsidRDefault="00D46430" w:rsidP="00D46430">
      <w:pPr>
        <w:pStyle w:val="paragraphsub"/>
      </w:pPr>
      <w:r w:rsidRPr="00CD5673">
        <w:tab/>
        <w:t>(i)</w:t>
      </w:r>
      <w:r w:rsidRPr="00CD5673">
        <w:tab/>
        <w:t>the number of shares in the class; and</w:t>
      </w:r>
    </w:p>
    <w:p w14:paraId="73747DFC" w14:textId="77777777" w:rsidR="00D46430" w:rsidRPr="00CD5673" w:rsidRDefault="00D46430" w:rsidP="00D46430">
      <w:pPr>
        <w:pStyle w:val="paragraphsub"/>
      </w:pPr>
      <w:r w:rsidRPr="00CD5673">
        <w:tab/>
        <w:t>(ii)</w:t>
      </w:r>
      <w:r w:rsidRPr="00CD5673">
        <w:tab/>
        <w:t>the total amount paid up for the class; and</w:t>
      </w:r>
    </w:p>
    <w:p w14:paraId="57121A8A" w14:textId="77777777" w:rsidR="00D46430" w:rsidRPr="00CD5673" w:rsidRDefault="00D46430" w:rsidP="00D46430">
      <w:pPr>
        <w:pStyle w:val="paragraphsub"/>
      </w:pPr>
      <w:r w:rsidRPr="00CD5673">
        <w:tab/>
        <w:t>(iii)</w:t>
      </w:r>
      <w:r w:rsidRPr="00CD5673">
        <w:tab/>
        <w:t>the total amount unpaid for the class;</w:t>
      </w:r>
    </w:p>
    <w:p w14:paraId="6C9112D8" w14:textId="77777777" w:rsidR="00D46430" w:rsidRPr="00CD5673" w:rsidRDefault="00D46430" w:rsidP="00D46430">
      <w:pPr>
        <w:pStyle w:val="paragraph"/>
      </w:pPr>
      <w:r w:rsidRPr="00CD5673">
        <w:tab/>
        <w:t>(h)</w:t>
      </w:r>
      <w:r w:rsidRPr="00CD5673">
        <w:tab/>
        <w:t>for a proprietary company—the names and addresses of:</w:t>
      </w:r>
    </w:p>
    <w:p w14:paraId="148CEC32" w14:textId="77777777" w:rsidR="00D46430" w:rsidRPr="00CD5673" w:rsidRDefault="00D46430" w:rsidP="00D46430">
      <w:pPr>
        <w:pStyle w:val="paragraphsub"/>
      </w:pPr>
      <w:r w:rsidRPr="00CD5673">
        <w:tab/>
        <w:t>(i)</w:t>
      </w:r>
      <w:r w:rsidRPr="00CD5673">
        <w:tab/>
        <w:t>if the company has 20 or fewer members—all members; or</w:t>
      </w:r>
    </w:p>
    <w:p w14:paraId="7D4DFA39" w14:textId="77777777" w:rsidR="00D46430" w:rsidRPr="00CD5673" w:rsidRDefault="00D46430" w:rsidP="00D46430">
      <w:pPr>
        <w:pStyle w:val="paragraphsub"/>
      </w:pPr>
      <w:r w:rsidRPr="00CD5673">
        <w:tab/>
        <w:t>(ii)</w:t>
      </w:r>
      <w:r w:rsidRPr="00CD5673">
        <w:tab/>
        <w:t>if the company has more than 20 members—the top 20 members in each class;</w:t>
      </w:r>
    </w:p>
    <w:p w14:paraId="33856886" w14:textId="77777777" w:rsidR="00D46430" w:rsidRPr="00CD5673" w:rsidRDefault="00D46430" w:rsidP="00D46430">
      <w:pPr>
        <w:pStyle w:val="paragraph"/>
      </w:pPr>
      <w:r w:rsidRPr="00CD5673">
        <w:tab/>
        <w:t>(i)</w:t>
      </w:r>
      <w:r w:rsidRPr="00CD5673">
        <w:tab/>
        <w:t>for a proprietary company that has a share capital:</w:t>
      </w:r>
    </w:p>
    <w:p w14:paraId="2007B46C" w14:textId="77777777" w:rsidR="00D46430" w:rsidRPr="00CD5673" w:rsidRDefault="00D46430" w:rsidP="00D46430">
      <w:pPr>
        <w:pStyle w:val="paragraphsub"/>
      </w:pPr>
      <w:r w:rsidRPr="00CD5673">
        <w:tab/>
        <w:t>(i)</w:t>
      </w:r>
      <w:r w:rsidRPr="00CD5673">
        <w:tab/>
        <w:t>the total number of shares in each class held by each of the members mentioned in paragraph (h); and</w:t>
      </w:r>
    </w:p>
    <w:p w14:paraId="62A1619C" w14:textId="77777777" w:rsidR="00D46430" w:rsidRPr="00CD5673" w:rsidRDefault="00D46430" w:rsidP="00D46430">
      <w:pPr>
        <w:pStyle w:val="paragraphsub"/>
      </w:pPr>
      <w:r w:rsidRPr="00CD5673">
        <w:tab/>
        <w:t>(ii)</w:t>
      </w:r>
      <w:r w:rsidRPr="00CD5673">
        <w:tab/>
        <w:t>whether or not the shares are fully paid; and</w:t>
      </w:r>
    </w:p>
    <w:p w14:paraId="642A775C" w14:textId="77777777" w:rsidR="00D46430" w:rsidRPr="00CD5673" w:rsidRDefault="00D46430" w:rsidP="00D46430">
      <w:pPr>
        <w:pStyle w:val="paragraphsub"/>
      </w:pPr>
      <w:r w:rsidRPr="00CD5673">
        <w:tab/>
        <w:t>(iii)</w:t>
      </w:r>
      <w:r w:rsidRPr="00CD5673">
        <w:tab/>
        <w:t>whether or not the shares are beneficially owned;</w:t>
      </w:r>
    </w:p>
    <w:p w14:paraId="4C31EE85" w14:textId="77777777" w:rsidR="00D46430" w:rsidRPr="00CD5673" w:rsidRDefault="00D46430" w:rsidP="00D46430">
      <w:pPr>
        <w:pStyle w:val="paragraph"/>
      </w:pPr>
      <w:r w:rsidRPr="00CD5673">
        <w:tab/>
        <w:t>(j)</w:t>
      </w:r>
      <w:r w:rsidRPr="00CD5673">
        <w:tab/>
        <w:t>for the ultimate holding company—its name and either:</w:t>
      </w:r>
    </w:p>
    <w:p w14:paraId="329845F3" w14:textId="77777777" w:rsidR="00D46430" w:rsidRPr="00CD5673" w:rsidRDefault="00D46430" w:rsidP="00D46430">
      <w:pPr>
        <w:pStyle w:val="paragraphsub"/>
      </w:pPr>
      <w:r w:rsidRPr="00CD5673">
        <w:tab/>
        <w:t>(i)</w:t>
      </w:r>
      <w:r w:rsidRPr="00CD5673">
        <w:tab/>
        <w:t>its ACN or ARBN if registered in this jurisdiction; or</w:t>
      </w:r>
    </w:p>
    <w:p w14:paraId="16C048C2" w14:textId="77777777" w:rsidR="00D46430" w:rsidRPr="00CD5673" w:rsidRDefault="00D46430" w:rsidP="00D46430">
      <w:pPr>
        <w:pStyle w:val="paragraphsub"/>
      </w:pPr>
      <w:r w:rsidRPr="00CD5673">
        <w:tab/>
        <w:t>(ii)</w:t>
      </w:r>
      <w:r w:rsidRPr="00CD5673">
        <w:tab/>
        <w:t>the place at which it was incorporated or formed if not registered in this jurisdiction.</w:t>
      </w:r>
    </w:p>
    <w:p w14:paraId="69B3E6E8" w14:textId="77777777" w:rsidR="00D46430" w:rsidRPr="00CD5673" w:rsidRDefault="00D46430" w:rsidP="00D46430">
      <w:pPr>
        <w:pStyle w:val="SubsectionHead"/>
      </w:pPr>
      <w:bookmarkStart w:id="110" w:name="_Hlk107386451"/>
      <w:r w:rsidRPr="00CD5673">
        <w:t>Particulars for a CCIV</w:t>
      </w:r>
    </w:p>
    <w:p w14:paraId="35AE4778" w14:textId="77777777" w:rsidR="00D46430" w:rsidRPr="00CD5673" w:rsidRDefault="00D46430" w:rsidP="00D46430">
      <w:pPr>
        <w:pStyle w:val="subsection"/>
      </w:pPr>
      <w:r w:rsidRPr="00CD5673">
        <w:tab/>
        <w:t>(1A)</w:t>
      </w:r>
      <w:r w:rsidRPr="00CD5673">
        <w:tab/>
        <w:t>For the purposes of section 346B of the Act, the following particulars are prescribed for a CCIV:</w:t>
      </w:r>
    </w:p>
    <w:p w14:paraId="79F8A3BA" w14:textId="77777777" w:rsidR="00D46430" w:rsidRPr="00CD5673" w:rsidRDefault="00D46430" w:rsidP="00D46430">
      <w:pPr>
        <w:pStyle w:val="paragraph"/>
      </w:pPr>
      <w:r w:rsidRPr="00CD5673">
        <w:tab/>
        <w:t>(a)</w:t>
      </w:r>
      <w:r w:rsidRPr="00CD5673">
        <w:tab/>
        <w:t>ACN;</w:t>
      </w:r>
    </w:p>
    <w:p w14:paraId="52AE0E4E" w14:textId="77777777" w:rsidR="00D46430" w:rsidRPr="00CD5673" w:rsidRDefault="00D46430" w:rsidP="00D46430">
      <w:pPr>
        <w:pStyle w:val="paragraph"/>
      </w:pPr>
      <w:r w:rsidRPr="00CD5673">
        <w:tab/>
        <w:t>(b)</w:t>
      </w:r>
      <w:r w:rsidRPr="00CD5673">
        <w:tab/>
        <w:t>name;</w:t>
      </w:r>
    </w:p>
    <w:p w14:paraId="7A67AA5D" w14:textId="77777777" w:rsidR="00D46430" w:rsidRPr="00CD5673" w:rsidRDefault="00D46430" w:rsidP="00D46430">
      <w:pPr>
        <w:pStyle w:val="paragraph"/>
      </w:pPr>
      <w:r w:rsidRPr="00CD5673">
        <w:tab/>
        <w:t>(c)</w:t>
      </w:r>
      <w:r w:rsidRPr="00CD5673">
        <w:tab/>
        <w:t>address of registered office;</w:t>
      </w:r>
    </w:p>
    <w:p w14:paraId="75FF9E6E" w14:textId="77777777" w:rsidR="00D46430" w:rsidRPr="00CD5673" w:rsidRDefault="00D46430" w:rsidP="00D46430">
      <w:pPr>
        <w:pStyle w:val="paragraph"/>
      </w:pPr>
      <w:r w:rsidRPr="00CD5673">
        <w:tab/>
        <w:t>(d)</w:t>
      </w:r>
      <w:r w:rsidRPr="00CD5673">
        <w:tab/>
        <w:t>for the corporate director of the CCIV:</w:t>
      </w:r>
    </w:p>
    <w:p w14:paraId="6A6DCA7C" w14:textId="77777777" w:rsidR="00D46430" w:rsidRPr="00CD5673" w:rsidRDefault="00D46430" w:rsidP="00D46430">
      <w:pPr>
        <w:pStyle w:val="paragraphsub"/>
      </w:pPr>
      <w:r w:rsidRPr="00CD5673">
        <w:tab/>
        <w:t>(i)</w:t>
      </w:r>
      <w:r w:rsidRPr="00CD5673">
        <w:tab/>
        <w:t>the ACN of the corporate director; and</w:t>
      </w:r>
    </w:p>
    <w:p w14:paraId="10FDDFE0" w14:textId="77777777" w:rsidR="00D46430" w:rsidRPr="00CD5673" w:rsidRDefault="00D46430" w:rsidP="00D46430">
      <w:pPr>
        <w:pStyle w:val="paragraphsub"/>
      </w:pPr>
      <w:r w:rsidRPr="00CD5673">
        <w:tab/>
        <w:t>(ii)</w:t>
      </w:r>
      <w:r w:rsidRPr="00CD5673">
        <w:tab/>
        <w:t>the name of the corporate director; and</w:t>
      </w:r>
    </w:p>
    <w:p w14:paraId="76824C45" w14:textId="77777777" w:rsidR="00D46430" w:rsidRPr="00CD5673" w:rsidRDefault="00D46430" w:rsidP="00D46430">
      <w:pPr>
        <w:pStyle w:val="paragraphsub"/>
      </w:pPr>
      <w:r w:rsidRPr="00CD5673">
        <w:tab/>
        <w:t>(iii)</w:t>
      </w:r>
      <w:r w:rsidRPr="00CD5673">
        <w:tab/>
        <w:t>the date of appointment of the corporate director;</w:t>
      </w:r>
    </w:p>
    <w:p w14:paraId="7FB4E03C" w14:textId="77777777" w:rsidR="00D46430" w:rsidRPr="00CD5673" w:rsidRDefault="00D46430" w:rsidP="00D46430">
      <w:pPr>
        <w:pStyle w:val="paragraph"/>
      </w:pPr>
      <w:r w:rsidRPr="00CD5673">
        <w:tab/>
        <w:t>(e)</w:t>
      </w:r>
      <w:r w:rsidRPr="00CD5673">
        <w:tab/>
        <w:t>for each sub</w:t>
      </w:r>
      <w:r w:rsidR="00C614F1">
        <w:noBreakHyphen/>
      </w:r>
      <w:r w:rsidRPr="00CD5673">
        <w:t>fund of the CCIV:</w:t>
      </w:r>
    </w:p>
    <w:p w14:paraId="590B50A9" w14:textId="77777777" w:rsidR="00D46430" w:rsidRPr="00CD5673" w:rsidRDefault="00D46430" w:rsidP="00D46430">
      <w:pPr>
        <w:pStyle w:val="paragraphsub"/>
      </w:pPr>
      <w:r w:rsidRPr="00CD5673">
        <w:tab/>
        <w:t>(i)</w:t>
      </w:r>
      <w:r w:rsidRPr="00CD5673">
        <w:tab/>
      </w:r>
      <w:bookmarkEnd w:id="110"/>
      <w:r w:rsidRPr="00CD5673">
        <w:t>the ARFN of the sub</w:t>
      </w:r>
      <w:r w:rsidR="00C614F1">
        <w:noBreakHyphen/>
      </w:r>
      <w:r w:rsidRPr="00CD5673">
        <w:t>fund; and</w:t>
      </w:r>
    </w:p>
    <w:p w14:paraId="22224EC5" w14:textId="77777777" w:rsidR="00D46430" w:rsidRPr="00CD5673" w:rsidRDefault="00D46430" w:rsidP="00D46430">
      <w:pPr>
        <w:pStyle w:val="paragraphsub"/>
      </w:pPr>
      <w:r w:rsidRPr="00CD5673">
        <w:tab/>
        <w:t>(ii)</w:t>
      </w:r>
      <w:r w:rsidRPr="00CD5673">
        <w:tab/>
        <w:t>the name of the sub</w:t>
      </w:r>
      <w:r w:rsidR="00C614F1">
        <w:noBreakHyphen/>
      </w:r>
      <w:r w:rsidRPr="00CD5673">
        <w:t>fund;</w:t>
      </w:r>
    </w:p>
    <w:p w14:paraId="19349A36" w14:textId="77777777" w:rsidR="00D46430" w:rsidRPr="00CD5673" w:rsidRDefault="00D46430" w:rsidP="00D46430">
      <w:pPr>
        <w:pStyle w:val="paragraph"/>
      </w:pPr>
      <w:r w:rsidRPr="00CD5673">
        <w:tab/>
        <w:t>(f)</w:t>
      </w:r>
      <w:r w:rsidRPr="00CD5673">
        <w:tab/>
        <w:t>for issued shares—the sub</w:t>
      </w:r>
      <w:r w:rsidR="00C614F1">
        <w:noBreakHyphen/>
      </w:r>
      <w:r w:rsidRPr="00CD5673">
        <w:t>funds to which the shares are referable, and for each sub</w:t>
      </w:r>
      <w:r w:rsidR="00C614F1">
        <w:noBreakHyphen/>
      </w:r>
      <w:r w:rsidRPr="00CD5673">
        <w:t>fund:</w:t>
      </w:r>
    </w:p>
    <w:p w14:paraId="120CB767" w14:textId="77777777" w:rsidR="00D46430" w:rsidRPr="00CD5673" w:rsidRDefault="00D46430" w:rsidP="00D46430">
      <w:pPr>
        <w:pStyle w:val="paragraphsub"/>
      </w:pPr>
      <w:r w:rsidRPr="00CD5673">
        <w:tab/>
        <w:t>(i)</w:t>
      </w:r>
      <w:r w:rsidRPr="00CD5673">
        <w:tab/>
        <w:t>the classes of shares referable to the sub</w:t>
      </w:r>
      <w:r w:rsidR="00C614F1">
        <w:noBreakHyphen/>
      </w:r>
      <w:r w:rsidRPr="00CD5673">
        <w:t>fund; and</w:t>
      </w:r>
    </w:p>
    <w:p w14:paraId="0CE49D39" w14:textId="77777777" w:rsidR="00D46430" w:rsidRPr="00CD5673" w:rsidRDefault="00D46430" w:rsidP="00D46430">
      <w:pPr>
        <w:pStyle w:val="paragraphsub"/>
      </w:pPr>
      <w:r w:rsidRPr="00CD5673">
        <w:tab/>
        <w:t>(ii)</w:t>
      </w:r>
      <w:r w:rsidRPr="00CD5673">
        <w:tab/>
        <w:t>the number of shares referable to the sub</w:t>
      </w:r>
      <w:r w:rsidR="00C614F1">
        <w:noBreakHyphen/>
      </w:r>
      <w:r w:rsidRPr="00CD5673">
        <w:t>fund in each of those classes; and</w:t>
      </w:r>
    </w:p>
    <w:p w14:paraId="39704D07" w14:textId="77777777" w:rsidR="00D46430" w:rsidRPr="00CD5673" w:rsidRDefault="00D46430" w:rsidP="00D46430">
      <w:pPr>
        <w:pStyle w:val="paragraphsub"/>
      </w:pPr>
      <w:r w:rsidRPr="00CD5673">
        <w:lastRenderedPageBreak/>
        <w:tab/>
        <w:t>(iii)</w:t>
      </w:r>
      <w:r w:rsidRPr="00CD5673">
        <w:tab/>
        <w:t>for each of those classes—the total amount paid up for shares referable to the sub</w:t>
      </w:r>
      <w:r w:rsidR="00C614F1">
        <w:noBreakHyphen/>
      </w:r>
      <w:r w:rsidRPr="00CD5673">
        <w:t>fund in the class; and</w:t>
      </w:r>
    </w:p>
    <w:p w14:paraId="2447DDA9" w14:textId="77777777" w:rsidR="00D46430" w:rsidRPr="00CD5673" w:rsidRDefault="00D46430" w:rsidP="00D46430">
      <w:pPr>
        <w:pStyle w:val="paragraphsub"/>
      </w:pPr>
      <w:r w:rsidRPr="00CD5673">
        <w:tab/>
        <w:t>(iv)</w:t>
      </w:r>
      <w:r w:rsidRPr="00CD5673">
        <w:tab/>
        <w:t>for each of those classes—the total amount unpaid for shares referable to the sub</w:t>
      </w:r>
      <w:r w:rsidR="00C614F1">
        <w:noBreakHyphen/>
      </w:r>
      <w:r w:rsidRPr="00CD5673">
        <w:t>fund in the class.</w:t>
      </w:r>
    </w:p>
    <w:p w14:paraId="740F673F" w14:textId="77777777" w:rsidR="00D46430" w:rsidRPr="00CD5673" w:rsidRDefault="00D46430" w:rsidP="00D46430">
      <w:pPr>
        <w:pStyle w:val="SubsectionHead"/>
      </w:pPr>
      <w:r w:rsidRPr="00CD5673">
        <w:t>Particulars for a registered scheme</w:t>
      </w:r>
    </w:p>
    <w:p w14:paraId="0DF8C756" w14:textId="77777777" w:rsidR="00D46430" w:rsidRPr="00CD5673" w:rsidRDefault="00D46430" w:rsidP="00D46430">
      <w:pPr>
        <w:pStyle w:val="subsection"/>
      </w:pPr>
      <w:r w:rsidRPr="00CD5673">
        <w:tab/>
        <w:t>(2)</w:t>
      </w:r>
      <w:r w:rsidRPr="00CD5673">
        <w:tab/>
        <w:t>For the purposes of section 346B of the Act, the following particulars are prescribed for a registered scheme:</w:t>
      </w:r>
    </w:p>
    <w:p w14:paraId="1C03F401" w14:textId="77777777" w:rsidR="00D46430" w:rsidRPr="00CD5673" w:rsidRDefault="00D46430" w:rsidP="00D46430">
      <w:pPr>
        <w:pStyle w:val="paragraph"/>
        <w:rPr>
          <w:color w:val="000000" w:themeColor="text1"/>
        </w:rPr>
      </w:pPr>
      <w:r w:rsidRPr="00CD5673">
        <w:tab/>
      </w:r>
      <w:r w:rsidRPr="00CD5673">
        <w:rPr>
          <w:color w:val="000000" w:themeColor="text1"/>
        </w:rPr>
        <w:t>(a)</w:t>
      </w:r>
      <w:r w:rsidRPr="00CD5673">
        <w:rPr>
          <w:color w:val="000000" w:themeColor="text1"/>
        </w:rPr>
        <w:tab/>
        <w:t>ARSN;</w:t>
      </w:r>
    </w:p>
    <w:p w14:paraId="5EB481F5" w14:textId="77777777" w:rsidR="00D46430" w:rsidRPr="00CD5673" w:rsidRDefault="00D46430" w:rsidP="00D46430">
      <w:pPr>
        <w:pStyle w:val="paragraph"/>
      </w:pPr>
      <w:r w:rsidRPr="00CD5673">
        <w:tab/>
        <w:t>(b)</w:t>
      </w:r>
      <w:r w:rsidRPr="00CD5673">
        <w:tab/>
        <w:t>name;</w:t>
      </w:r>
    </w:p>
    <w:p w14:paraId="4DEA8BAA" w14:textId="77777777" w:rsidR="00D46430" w:rsidRPr="00CD5673" w:rsidRDefault="00D46430" w:rsidP="00D46430">
      <w:pPr>
        <w:pStyle w:val="paragraph"/>
      </w:pPr>
      <w:r w:rsidRPr="00CD5673">
        <w:tab/>
        <w:t>(c)</w:t>
      </w:r>
      <w:r w:rsidRPr="00CD5673">
        <w:tab/>
        <w:t>name and ACN of the responsible entity;</w:t>
      </w:r>
    </w:p>
    <w:p w14:paraId="39FCD5AB" w14:textId="77777777" w:rsidR="00D46430" w:rsidRPr="00CD5673" w:rsidRDefault="00D46430" w:rsidP="00D46430">
      <w:pPr>
        <w:pStyle w:val="paragraph"/>
      </w:pPr>
      <w:r w:rsidRPr="00CD5673">
        <w:tab/>
        <w:t>(d)</w:t>
      </w:r>
      <w:r w:rsidRPr="00CD5673">
        <w:tab/>
        <w:t>if the scheme is a managed investment scheme that is a unit trust:</w:t>
      </w:r>
    </w:p>
    <w:p w14:paraId="339DE3F4" w14:textId="77777777" w:rsidR="00D46430" w:rsidRPr="00CD5673" w:rsidRDefault="00D46430" w:rsidP="00D46430">
      <w:pPr>
        <w:pStyle w:val="paragraphsub"/>
      </w:pPr>
      <w:r w:rsidRPr="00CD5673">
        <w:tab/>
        <w:t>(i)</w:t>
      </w:r>
      <w:r w:rsidRPr="00CD5673">
        <w:tab/>
        <w:t>issued interests in the scheme; and</w:t>
      </w:r>
    </w:p>
    <w:p w14:paraId="4B3ED185" w14:textId="77777777" w:rsidR="00D46430" w:rsidRPr="00CD5673" w:rsidRDefault="00D46430" w:rsidP="00D46430">
      <w:pPr>
        <w:pStyle w:val="paragraphsub"/>
      </w:pPr>
      <w:r w:rsidRPr="00CD5673">
        <w:tab/>
        <w:t>(ii)</w:t>
      </w:r>
      <w:r w:rsidRPr="00CD5673">
        <w:tab/>
        <w:t>the classes into which the interests are divided; and</w:t>
      </w:r>
    </w:p>
    <w:p w14:paraId="43F8B8E7" w14:textId="77777777" w:rsidR="00D46430" w:rsidRPr="00CD5673" w:rsidRDefault="00D46430" w:rsidP="00D46430">
      <w:pPr>
        <w:pStyle w:val="paragraphsub"/>
      </w:pPr>
      <w:r w:rsidRPr="00CD5673">
        <w:tab/>
        <w:t>(iii)</w:t>
      </w:r>
      <w:r w:rsidRPr="00CD5673">
        <w:tab/>
        <w:t>for each class of interest issued—the number of interests in the class, the total amount paid up for the class and the total amount unpaid for the class;</w:t>
      </w:r>
    </w:p>
    <w:p w14:paraId="37DA4ABD" w14:textId="77777777" w:rsidR="00D46430" w:rsidRPr="00CD5673" w:rsidRDefault="00D46430" w:rsidP="00D46430">
      <w:pPr>
        <w:pStyle w:val="paragraph"/>
      </w:pPr>
      <w:r w:rsidRPr="00CD5673">
        <w:tab/>
        <w:t>(e)</w:t>
      </w:r>
      <w:r w:rsidRPr="00CD5673">
        <w:tab/>
        <w:t>if the scheme is a managed investment scheme that is not a unit trust:</w:t>
      </w:r>
    </w:p>
    <w:p w14:paraId="4C71FFD0" w14:textId="77777777" w:rsidR="00D46430" w:rsidRPr="00CD5673" w:rsidRDefault="00D46430" w:rsidP="00D46430">
      <w:pPr>
        <w:pStyle w:val="paragraphsub"/>
      </w:pPr>
      <w:r w:rsidRPr="00CD5673">
        <w:tab/>
        <w:t>(i)</w:t>
      </w:r>
      <w:r w:rsidRPr="00CD5673">
        <w:tab/>
        <w:t>issued interests in the scheme; and</w:t>
      </w:r>
    </w:p>
    <w:p w14:paraId="4C6FAF85" w14:textId="77777777" w:rsidR="00D46430" w:rsidRPr="00CD5673" w:rsidRDefault="00D46430" w:rsidP="00D46430">
      <w:pPr>
        <w:pStyle w:val="paragraphsub"/>
      </w:pPr>
      <w:r w:rsidRPr="00CD5673">
        <w:tab/>
        <w:t>(ii)</w:t>
      </w:r>
      <w:r w:rsidRPr="00CD5673">
        <w:tab/>
        <w:t>a description of the nature of the interests (for example, interest in a limited partnership, right to participate in a timesharing scheme); and</w:t>
      </w:r>
    </w:p>
    <w:p w14:paraId="73AD5CCD" w14:textId="77777777" w:rsidR="00D46430" w:rsidRPr="00CD5673" w:rsidRDefault="00D46430" w:rsidP="00D46430">
      <w:pPr>
        <w:pStyle w:val="paragraphsub"/>
      </w:pPr>
      <w:r w:rsidRPr="00CD5673">
        <w:tab/>
        <w:t>(iii)</w:t>
      </w:r>
      <w:r w:rsidRPr="00CD5673">
        <w:tab/>
        <w:t>the number of the interests; and</w:t>
      </w:r>
    </w:p>
    <w:p w14:paraId="5CCE1C5B" w14:textId="77777777" w:rsidR="00D46430" w:rsidRPr="00CD5673" w:rsidRDefault="00D46430" w:rsidP="00D46430">
      <w:pPr>
        <w:pStyle w:val="paragraphsub"/>
      </w:pPr>
      <w:r w:rsidRPr="00CD5673">
        <w:tab/>
        <w:t>(iv)</w:t>
      </w:r>
      <w:r w:rsidRPr="00CD5673">
        <w:tab/>
        <w:t>the total amount paid for the interests; and</w:t>
      </w:r>
    </w:p>
    <w:p w14:paraId="6A22C0DF" w14:textId="77777777" w:rsidR="00D46430" w:rsidRPr="00CD5673" w:rsidRDefault="00D46430" w:rsidP="00D46430">
      <w:pPr>
        <w:pStyle w:val="paragraphsub"/>
      </w:pPr>
      <w:r w:rsidRPr="00CD5673">
        <w:tab/>
        <w:t>(v)</w:t>
      </w:r>
      <w:r w:rsidRPr="00CD5673">
        <w:tab/>
        <w:t>the total amount unpaid for the interests.</w:t>
      </w:r>
    </w:p>
    <w:p w14:paraId="524E27D7" w14:textId="77777777" w:rsidR="00D46430" w:rsidRPr="00CD5673" w:rsidRDefault="00D46430" w:rsidP="00D46430">
      <w:pPr>
        <w:pStyle w:val="SubsectionHead"/>
      </w:pPr>
      <w:r w:rsidRPr="00CD5673">
        <w:t>Additional particulars for an Australian passport fund</w:t>
      </w:r>
    </w:p>
    <w:p w14:paraId="1B5B5479" w14:textId="77777777" w:rsidR="00D46430" w:rsidRPr="00CD5673" w:rsidRDefault="00D46430" w:rsidP="00D46430">
      <w:pPr>
        <w:pStyle w:val="subsection"/>
        <w:rPr>
          <w:color w:val="000000" w:themeColor="text1"/>
        </w:rPr>
      </w:pPr>
      <w:r w:rsidRPr="00CD5673">
        <w:rPr>
          <w:color w:val="000000" w:themeColor="text1"/>
        </w:rPr>
        <w:tab/>
        <w:t>(3)</w:t>
      </w:r>
      <w:r w:rsidRPr="00CD5673">
        <w:rPr>
          <w:color w:val="000000" w:themeColor="text1"/>
        </w:rPr>
        <w:tab/>
      </w:r>
      <w:r w:rsidRPr="00CD5673">
        <w:t>For the purposes of</w:t>
      </w:r>
      <w:r w:rsidRPr="00CD5673">
        <w:rPr>
          <w:color w:val="000000" w:themeColor="text1"/>
        </w:rPr>
        <w:t xml:space="preserve"> section 346B of the Act, the following particulars are prescribed for a registered scheme that is an Australian passport fund, in addition to the particulars prescribed for the scheme under subregulation (2):</w:t>
      </w:r>
    </w:p>
    <w:p w14:paraId="19C478FB" w14:textId="77777777" w:rsidR="00D46430" w:rsidRPr="00CD5673" w:rsidRDefault="00D46430" w:rsidP="00D46430">
      <w:pPr>
        <w:pStyle w:val="paragraph"/>
      </w:pPr>
      <w:r w:rsidRPr="00CD5673">
        <w:tab/>
        <w:t>(a)</w:t>
      </w:r>
      <w:r w:rsidRPr="00CD5673">
        <w:tab/>
        <w:t>the APFRN for the fund;</w:t>
      </w:r>
    </w:p>
    <w:p w14:paraId="2161F28D" w14:textId="77777777" w:rsidR="00D46430" w:rsidRPr="00CD5673" w:rsidRDefault="00D46430" w:rsidP="00D46430">
      <w:pPr>
        <w:pStyle w:val="paragraph"/>
      </w:pPr>
      <w:r w:rsidRPr="00CD5673">
        <w:tab/>
        <w:t>(b)</w:t>
      </w:r>
      <w:r w:rsidRPr="00CD5673">
        <w:tab/>
        <w:t>if the fund has or had a name in a participating economy (including Australia) that is different from its current name in Australia, then for each name that the fund has or had in a participating economy:</w:t>
      </w:r>
    </w:p>
    <w:p w14:paraId="45A2DBFF" w14:textId="77777777" w:rsidR="00D46430" w:rsidRPr="00CD5673" w:rsidRDefault="00D46430" w:rsidP="00D46430">
      <w:pPr>
        <w:pStyle w:val="paragraphsub"/>
      </w:pPr>
      <w:r w:rsidRPr="00CD5673">
        <w:tab/>
        <w:t>(i)</w:t>
      </w:r>
      <w:r w:rsidRPr="00CD5673">
        <w:tab/>
        <w:t>that name; and</w:t>
      </w:r>
    </w:p>
    <w:p w14:paraId="13DE9823" w14:textId="77777777" w:rsidR="00D46430" w:rsidRPr="00CD5673" w:rsidRDefault="00D46430" w:rsidP="00D46430">
      <w:pPr>
        <w:pStyle w:val="paragraphsub"/>
      </w:pPr>
      <w:r w:rsidRPr="00CD5673">
        <w:tab/>
        <w:t>(ii)</w:t>
      </w:r>
      <w:r w:rsidRPr="00CD5673">
        <w:tab/>
        <w:t>the name of each participating economy in which the fund has or had that name; and</w:t>
      </w:r>
    </w:p>
    <w:p w14:paraId="5D7F29AA" w14:textId="77777777" w:rsidR="00D46430" w:rsidRPr="00CD5673" w:rsidRDefault="00D46430" w:rsidP="00D46430">
      <w:pPr>
        <w:pStyle w:val="paragraphsub"/>
      </w:pPr>
      <w:r w:rsidRPr="00CD5673">
        <w:tab/>
        <w:t>(iii)</w:t>
      </w:r>
      <w:r w:rsidRPr="00CD5673">
        <w:tab/>
        <w:t>for each such economy—the start date and (if applicable) the end date of each period during which the fund has or had that name in that economy.</w:t>
      </w:r>
    </w:p>
    <w:p w14:paraId="726E4C60" w14:textId="77777777" w:rsidR="00D46430" w:rsidRPr="00CD5673" w:rsidRDefault="00D46430" w:rsidP="00D46430">
      <w:pPr>
        <w:pStyle w:val="SubsectionHead"/>
      </w:pPr>
      <w:r w:rsidRPr="00CD5673">
        <w:t>Particulars for a notified foreign passport fund</w:t>
      </w:r>
    </w:p>
    <w:p w14:paraId="0C74F51E" w14:textId="77777777" w:rsidR="00D46430" w:rsidRPr="00CD5673" w:rsidRDefault="00D46430" w:rsidP="00D46430">
      <w:pPr>
        <w:pStyle w:val="subsection"/>
        <w:rPr>
          <w:color w:val="000000" w:themeColor="text1"/>
        </w:rPr>
      </w:pPr>
      <w:r w:rsidRPr="00CD5673">
        <w:rPr>
          <w:color w:val="000000" w:themeColor="text1"/>
        </w:rPr>
        <w:tab/>
        <w:t>(4)</w:t>
      </w:r>
      <w:r w:rsidRPr="00CD5673">
        <w:rPr>
          <w:color w:val="000000" w:themeColor="text1"/>
        </w:rPr>
        <w:tab/>
      </w:r>
      <w:r w:rsidRPr="00CD5673">
        <w:t>For the purposes of</w:t>
      </w:r>
      <w:r w:rsidRPr="00CD5673">
        <w:rPr>
          <w:color w:val="000000" w:themeColor="text1"/>
        </w:rPr>
        <w:t xml:space="preserve"> section 346B of the Act, the following particulars are prescribed for a notified foreign passport fund:</w:t>
      </w:r>
    </w:p>
    <w:p w14:paraId="7DEC2549" w14:textId="77777777" w:rsidR="00D46430" w:rsidRPr="00CD5673" w:rsidRDefault="00D46430" w:rsidP="00D46430">
      <w:pPr>
        <w:pStyle w:val="paragraph"/>
      </w:pPr>
      <w:r w:rsidRPr="00CD5673">
        <w:tab/>
        <w:t>(a)</w:t>
      </w:r>
      <w:r w:rsidRPr="00CD5673">
        <w:tab/>
        <w:t>the NFPFRN for the fund and any other unique number for the fund allocated to the fund by ASIC;</w:t>
      </w:r>
    </w:p>
    <w:p w14:paraId="675F53DC" w14:textId="77777777" w:rsidR="00D46430" w:rsidRPr="00CD5673" w:rsidRDefault="00D46430" w:rsidP="00D46430">
      <w:pPr>
        <w:pStyle w:val="paragraph"/>
        <w:rPr>
          <w:color w:val="000000" w:themeColor="text1"/>
        </w:rPr>
      </w:pPr>
      <w:r w:rsidRPr="00CD5673">
        <w:rPr>
          <w:color w:val="000000" w:themeColor="text1"/>
        </w:rPr>
        <w:tab/>
        <w:t>(b)</w:t>
      </w:r>
      <w:r w:rsidRPr="00CD5673">
        <w:rPr>
          <w:color w:val="000000" w:themeColor="text1"/>
        </w:rPr>
        <w:tab/>
        <w:t>the name of the fund;</w:t>
      </w:r>
    </w:p>
    <w:p w14:paraId="4F20FFF4" w14:textId="77777777" w:rsidR="00D46430" w:rsidRPr="00CD5673" w:rsidRDefault="00D46430" w:rsidP="00D46430">
      <w:pPr>
        <w:pStyle w:val="paragraph"/>
        <w:rPr>
          <w:color w:val="000000" w:themeColor="text1"/>
        </w:rPr>
      </w:pPr>
      <w:r w:rsidRPr="00CD5673">
        <w:rPr>
          <w:color w:val="000000" w:themeColor="text1"/>
        </w:rPr>
        <w:tab/>
        <w:t>(c)</w:t>
      </w:r>
      <w:r w:rsidRPr="00CD5673">
        <w:rPr>
          <w:color w:val="000000" w:themeColor="text1"/>
        </w:rPr>
        <w:tab/>
        <w:t>the name of the home economy for the fund;</w:t>
      </w:r>
    </w:p>
    <w:p w14:paraId="40081619" w14:textId="77777777" w:rsidR="00D46430" w:rsidRPr="00CD5673" w:rsidRDefault="00D46430" w:rsidP="00D46430">
      <w:pPr>
        <w:pStyle w:val="paragraph"/>
      </w:pPr>
      <w:r w:rsidRPr="00CD5673">
        <w:tab/>
        <w:t>(d)</w:t>
      </w:r>
      <w:r w:rsidRPr="00CD5673">
        <w:tab/>
        <w:t>in relation to the operator of the fund:</w:t>
      </w:r>
    </w:p>
    <w:p w14:paraId="11448A7C" w14:textId="77777777" w:rsidR="00D46430" w:rsidRPr="00CD5673" w:rsidRDefault="00D46430" w:rsidP="00D46430">
      <w:pPr>
        <w:pStyle w:val="paragraphsub"/>
      </w:pPr>
      <w:r w:rsidRPr="00CD5673">
        <w:tab/>
        <w:t>(i)</w:t>
      </w:r>
      <w:r w:rsidRPr="00CD5673">
        <w:tab/>
        <w:t>the name and ARBN of the operator; and</w:t>
      </w:r>
    </w:p>
    <w:p w14:paraId="0D8182E1" w14:textId="77777777" w:rsidR="00D46430" w:rsidRPr="00CD5673" w:rsidRDefault="00D46430" w:rsidP="00D46430">
      <w:pPr>
        <w:pStyle w:val="paragraphsub"/>
      </w:pPr>
      <w:r w:rsidRPr="00CD5673">
        <w:tab/>
        <w:t>(ii)</w:t>
      </w:r>
      <w:r w:rsidRPr="00CD5673">
        <w:tab/>
        <w:t>the name and address of each local agent of the operator; and</w:t>
      </w:r>
    </w:p>
    <w:p w14:paraId="3C869E52" w14:textId="77777777" w:rsidR="00D46430" w:rsidRPr="00CD5673" w:rsidRDefault="00D46430" w:rsidP="00D46430">
      <w:pPr>
        <w:pStyle w:val="paragraphsub"/>
      </w:pPr>
      <w:r w:rsidRPr="00CD5673">
        <w:tab/>
        <w:t>(iii)</w:t>
      </w:r>
      <w:r w:rsidRPr="00CD5673">
        <w:tab/>
        <w:t>the address of the operator’s registered office or principal place of business in its place of origin;</w:t>
      </w:r>
    </w:p>
    <w:p w14:paraId="13748C8E" w14:textId="77777777" w:rsidR="00D46430" w:rsidRPr="00CD5673" w:rsidRDefault="00D46430" w:rsidP="00D46430">
      <w:pPr>
        <w:pStyle w:val="paragraph"/>
      </w:pPr>
      <w:r w:rsidRPr="00CD5673">
        <w:tab/>
        <w:t>(e)</w:t>
      </w:r>
      <w:r w:rsidRPr="00CD5673">
        <w:tab/>
        <w:t>if the fund has or had a name in a participating economy (including Australia) that is different from its current name in Australia, then for each name that the fund has or had in a participating economy:</w:t>
      </w:r>
    </w:p>
    <w:p w14:paraId="7940D21D" w14:textId="77777777" w:rsidR="00D46430" w:rsidRPr="00CD5673" w:rsidRDefault="00D46430" w:rsidP="00D46430">
      <w:pPr>
        <w:pStyle w:val="paragraphsub"/>
      </w:pPr>
      <w:r w:rsidRPr="00CD5673">
        <w:tab/>
        <w:t>(i)</w:t>
      </w:r>
      <w:r w:rsidRPr="00CD5673">
        <w:tab/>
        <w:t>that name; and</w:t>
      </w:r>
    </w:p>
    <w:p w14:paraId="46C99B05" w14:textId="77777777" w:rsidR="00D46430" w:rsidRPr="00CD5673" w:rsidRDefault="00D46430" w:rsidP="00D46430">
      <w:pPr>
        <w:pStyle w:val="paragraphsub"/>
      </w:pPr>
      <w:r w:rsidRPr="00CD5673">
        <w:tab/>
        <w:t>(ii)</w:t>
      </w:r>
      <w:r w:rsidRPr="00CD5673">
        <w:tab/>
        <w:t>the name of each participating economy in which the fund has or had that name; and</w:t>
      </w:r>
    </w:p>
    <w:p w14:paraId="3F4CEBA7" w14:textId="77777777" w:rsidR="00D46430" w:rsidRPr="00CD5673" w:rsidRDefault="00D46430" w:rsidP="00D46430">
      <w:pPr>
        <w:pStyle w:val="paragraphsub"/>
      </w:pPr>
      <w:r w:rsidRPr="00CD5673">
        <w:tab/>
        <w:t>(iii)</w:t>
      </w:r>
      <w:r w:rsidRPr="00CD5673">
        <w:tab/>
        <w:t>for each such economy—the start date and (if applicable) the end date of each period during which the fund has or had that name in that economy.</w:t>
      </w:r>
    </w:p>
    <w:p w14:paraId="04F94189" w14:textId="77777777" w:rsidR="00D46430" w:rsidRPr="00CD5673" w:rsidRDefault="00D46430" w:rsidP="00D46430">
      <w:pPr>
        <w:pStyle w:val="ActHead2"/>
        <w:pageBreakBefore/>
      </w:pPr>
      <w:bookmarkStart w:id="111" w:name="_Toc158711722"/>
      <w:r w:rsidRPr="00C614F1">
        <w:rPr>
          <w:rStyle w:val="CharPartNo"/>
        </w:rPr>
        <w:lastRenderedPageBreak/>
        <w:t>Part 2N.4</w:t>
      </w:r>
      <w:r w:rsidRPr="00CD5673">
        <w:t>—</w:t>
      </w:r>
      <w:r w:rsidRPr="00C614F1">
        <w:rPr>
          <w:rStyle w:val="CharPartText"/>
        </w:rPr>
        <w:t>Return of particulars</w:t>
      </w:r>
      <w:bookmarkEnd w:id="111"/>
    </w:p>
    <w:p w14:paraId="6953CC68"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ED58EFE" w14:textId="77777777" w:rsidR="00D46430" w:rsidRPr="00CD5673" w:rsidRDefault="00D46430" w:rsidP="00D46430">
      <w:pPr>
        <w:pStyle w:val="ActHead5"/>
      </w:pPr>
      <w:bookmarkStart w:id="112" w:name="_Toc158711723"/>
      <w:r w:rsidRPr="00C614F1">
        <w:rPr>
          <w:rStyle w:val="CharSectno"/>
        </w:rPr>
        <w:t>2N.4.01</w:t>
      </w:r>
      <w:r w:rsidRPr="00CD5673">
        <w:t xml:space="preserve">  Particulars ASIC may require in a return of particulars (Act s 348B)</w:t>
      </w:r>
      <w:bookmarkEnd w:id="112"/>
    </w:p>
    <w:p w14:paraId="71DB7E9C" w14:textId="77777777" w:rsidR="00D46430" w:rsidRPr="00CD5673" w:rsidRDefault="00D46430" w:rsidP="00D46430">
      <w:pPr>
        <w:pStyle w:val="SubsectionHead"/>
      </w:pPr>
      <w:r w:rsidRPr="00CD5673">
        <w:t>Particulars for a company</w:t>
      </w:r>
    </w:p>
    <w:p w14:paraId="0C952CCC" w14:textId="77777777" w:rsidR="00D46430" w:rsidRPr="00CD5673" w:rsidRDefault="00D46430" w:rsidP="00D46430">
      <w:pPr>
        <w:pStyle w:val="subsection"/>
      </w:pPr>
      <w:r w:rsidRPr="00CD5673">
        <w:tab/>
        <w:t>(1)</w:t>
      </w:r>
      <w:r w:rsidRPr="00CD5673">
        <w:tab/>
        <w:t>For the purposes of section 348B of the Act, the following particulars are prescribed for a company (other than a CCIV):</w:t>
      </w:r>
    </w:p>
    <w:p w14:paraId="51E446FB" w14:textId="77777777" w:rsidR="00D46430" w:rsidRPr="00CD5673" w:rsidRDefault="00D46430" w:rsidP="00D46430">
      <w:pPr>
        <w:pStyle w:val="paragraph"/>
      </w:pPr>
      <w:r w:rsidRPr="00CD5673">
        <w:tab/>
        <w:t>(a)</w:t>
      </w:r>
      <w:r w:rsidRPr="00CD5673">
        <w:tab/>
        <w:t>the personal details of a director, secretary or alternate director mentioned in subsection 205B(3) of the Act;</w:t>
      </w:r>
    </w:p>
    <w:p w14:paraId="3D83DFDA" w14:textId="77777777" w:rsidR="00D46430" w:rsidRPr="00CD5673" w:rsidRDefault="00D46430" w:rsidP="00D46430">
      <w:pPr>
        <w:pStyle w:val="paragraph"/>
      </w:pPr>
      <w:r w:rsidRPr="00CD5673">
        <w:tab/>
        <w:t>(b)</w:t>
      </w:r>
      <w:r w:rsidRPr="00CD5673">
        <w:tab/>
        <w:t>the date of appointment or cessation of a director, secretary or alternate director;</w:t>
      </w:r>
    </w:p>
    <w:p w14:paraId="072F91C7" w14:textId="77777777" w:rsidR="00D46430" w:rsidRPr="00CD5673" w:rsidRDefault="00D46430" w:rsidP="00D46430">
      <w:pPr>
        <w:pStyle w:val="paragraph"/>
      </w:pPr>
      <w:r w:rsidRPr="00CD5673">
        <w:tab/>
        <w:t>(c)</w:t>
      </w:r>
      <w:r w:rsidRPr="00CD5673">
        <w:tab/>
        <w:t>the date of change of name or change of address of a director, secretary or alternate director;</w:t>
      </w:r>
    </w:p>
    <w:p w14:paraId="46F84221" w14:textId="77777777" w:rsidR="00D46430" w:rsidRPr="00CD5673" w:rsidRDefault="00D46430" w:rsidP="00D46430">
      <w:pPr>
        <w:pStyle w:val="paragraph"/>
      </w:pPr>
      <w:r w:rsidRPr="00CD5673">
        <w:tab/>
        <w:t>(d)</w:t>
      </w:r>
      <w:r w:rsidRPr="00CD5673">
        <w:tab/>
        <w:t>evidence that a specified person is (or is not) a director, secretary or alternate director;</w:t>
      </w:r>
    </w:p>
    <w:p w14:paraId="3D0DC6BA" w14:textId="77777777" w:rsidR="00D46430" w:rsidRPr="00CD5673" w:rsidRDefault="00D46430" w:rsidP="00D46430">
      <w:pPr>
        <w:pStyle w:val="paragraph"/>
      </w:pPr>
      <w:r w:rsidRPr="00CD5673">
        <w:tab/>
        <w:t>(e)</w:t>
      </w:r>
      <w:r w:rsidRPr="00CD5673">
        <w:tab/>
        <w:t xml:space="preserve">completion of a declaration indicating that the company is a special purpose company within the meaning of regulation 3 of the </w:t>
      </w:r>
      <w:r w:rsidRPr="00CD5673">
        <w:rPr>
          <w:i/>
        </w:rPr>
        <w:t xml:space="preserve">Corporations (Review Fees) </w:t>
      </w:r>
      <w:r w:rsidR="00C614F1">
        <w:rPr>
          <w:i/>
        </w:rPr>
        <w:t>Regulations 2</w:t>
      </w:r>
      <w:r w:rsidRPr="00CD5673">
        <w:rPr>
          <w:i/>
        </w:rPr>
        <w:t>003</w:t>
      </w:r>
      <w:r w:rsidRPr="00CD5673">
        <w:t>;</w:t>
      </w:r>
    </w:p>
    <w:p w14:paraId="548DA622" w14:textId="77777777" w:rsidR="00D46430" w:rsidRPr="00CD5673" w:rsidRDefault="00D46430" w:rsidP="00D46430">
      <w:pPr>
        <w:pStyle w:val="paragraph"/>
      </w:pPr>
      <w:r w:rsidRPr="00CD5673">
        <w:tab/>
        <w:t>(f)</w:t>
      </w:r>
      <w:r w:rsidRPr="00CD5673">
        <w:tab/>
        <w:t>the name of the ultimate holding company;</w:t>
      </w:r>
    </w:p>
    <w:p w14:paraId="592B5B04" w14:textId="77777777" w:rsidR="00D46430" w:rsidRPr="00CD5673" w:rsidRDefault="00D46430" w:rsidP="00D46430">
      <w:pPr>
        <w:pStyle w:val="paragraph"/>
      </w:pPr>
      <w:r w:rsidRPr="00CD5673">
        <w:tab/>
        <w:t>(g)</w:t>
      </w:r>
      <w:r w:rsidRPr="00CD5673">
        <w:tab/>
        <w:t>the date on which a company became, or ceased to be, the ultimate holding company;</w:t>
      </w:r>
    </w:p>
    <w:p w14:paraId="6F4F7B2C" w14:textId="77777777" w:rsidR="00D46430" w:rsidRPr="00CD5673" w:rsidRDefault="00D46430" w:rsidP="00D46430">
      <w:pPr>
        <w:pStyle w:val="paragraph"/>
      </w:pPr>
      <w:r w:rsidRPr="00CD5673">
        <w:tab/>
        <w:t>(h)</w:t>
      </w:r>
      <w:r w:rsidRPr="00CD5673">
        <w:tab/>
        <w:t>the previous name, or the new name, of the ultimate holding company;</w:t>
      </w:r>
    </w:p>
    <w:p w14:paraId="57353534" w14:textId="77777777" w:rsidR="00D46430" w:rsidRPr="00CD5673" w:rsidRDefault="00D46430" w:rsidP="00D46430">
      <w:pPr>
        <w:pStyle w:val="paragraph"/>
      </w:pPr>
      <w:r w:rsidRPr="00CD5673">
        <w:tab/>
        <w:t>(i)</w:t>
      </w:r>
      <w:r w:rsidRPr="00CD5673">
        <w:tab/>
        <w:t>the date of issue, cancellation, or transfer of shares;</w:t>
      </w:r>
    </w:p>
    <w:p w14:paraId="2F46ED39" w14:textId="77777777" w:rsidR="00D46430" w:rsidRPr="00CD5673" w:rsidRDefault="00D46430" w:rsidP="00D46430">
      <w:pPr>
        <w:pStyle w:val="paragraph"/>
      </w:pPr>
      <w:r w:rsidRPr="00CD5673">
        <w:tab/>
        <w:t>(j)</w:t>
      </w:r>
      <w:r w:rsidRPr="00CD5673">
        <w:tab/>
        <w:t>the date of any change to amounts paid on shares;</w:t>
      </w:r>
    </w:p>
    <w:p w14:paraId="4F077BAC" w14:textId="77777777" w:rsidR="00D46430" w:rsidRPr="00CD5673" w:rsidRDefault="00D46430" w:rsidP="00D46430">
      <w:pPr>
        <w:pStyle w:val="paragraph"/>
      </w:pPr>
      <w:r w:rsidRPr="00CD5673">
        <w:tab/>
        <w:t>(k)</w:t>
      </w:r>
      <w:r w:rsidRPr="00CD5673">
        <w:tab/>
        <w:t>a statement of whether or not shares for one or more members are beneficially owned;</w:t>
      </w:r>
    </w:p>
    <w:p w14:paraId="6D2058C3" w14:textId="77777777" w:rsidR="00D46430" w:rsidRPr="00CD5673" w:rsidRDefault="00D46430" w:rsidP="00D46430">
      <w:pPr>
        <w:pStyle w:val="paragraph"/>
      </w:pPr>
      <w:r w:rsidRPr="00CD5673">
        <w:tab/>
        <w:t>(l)</w:t>
      </w:r>
      <w:r w:rsidRPr="00CD5673">
        <w:tab/>
        <w:t>the date of any change to beneficial ownership of shares;</w:t>
      </w:r>
    </w:p>
    <w:p w14:paraId="0CFA2488" w14:textId="77777777" w:rsidR="00D46430" w:rsidRPr="00CD5673" w:rsidRDefault="00D46430" w:rsidP="00D46430">
      <w:pPr>
        <w:pStyle w:val="paragraph"/>
      </w:pPr>
      <w:r w:rsidRPr="00CD5673">
        <w:tab/>
        <w:t>(m)</w:t>
      </w:r>
      <w:r w:rsidRPr="00CD5673">
        <w:tab/>
        <w:t>any of the following information from the share structure table for a class of share:</w:t>
      </w:r>
    </w:p>
    <w:p w14:paraId="73583A43" w14:textId="77777777" w:rsidR="00D46430" w:rsidRPr="00CD5673" w:rsidRDefault="00D46430" w:rsidP="00D46430">
      <w:pPr>
        <w:pStyle w:val="paragraphsub"/>
      </w:pPr>
      <w:r w:rsidRPr="00CD5673">
        <w:tab/>
        <w:t>(i)</w:t>
      </w:r>
      <w:r w:rsidRPr="00CD5673">
        <w:tab/>
        <w:t>the share class code;</w:t>
      </w:r>
    </w:p>
    <w:p w14:paraId="1AC019C6" w14:textId="77777777" w:rsidR="00D46430" w:rsidRPr="00CD5673" w:rsidRDefault="00D46430" w:rsidP="00D46430">
      <w:pPr>
        <w:pStyle w:val="paragraphsub"/>
      </w:pPr>
      <w:r w:rsidRPr="00CD5673">
        <w:tab/>
        <w:t>(ii)</w:t>
      </w:r>
      <w:r w:rsidRPr="00CD5673">
        <w:tab/>
        <w:t>the full title of the class of share;</w:t>
      </w:r>
    </w:p>
    <w:p w14:paraId="56A9771A" w14:textId="77777777" w:rsidR="00D46430" w:rsidRPr="00CD5673" w:rsidRDefault="00D46430" w:rsidP="00D46430">
      <w:pPr>
        <w:pStyle w:val="paragraphsub"/>
      </w:pPr>
      <w:r w:rsidRPr="00CD5673">
        <w:tab/>
        <w:t>(iii)</w:t>
      </w:r>
      <w:r w:rsidRPr="00CD5673">
        <w:tab/>
        <w:t>the total number of shares in the class that have been issued;</w:t>
      </w:r>
    </w:p>
    <w:p w14:paraId="3E4B06CC" w14:textId="77777777" w:rsidR="00D46430" w:rsidRPr="00CD5673" w:rsidRDefault="00D46430" w:rsidP="00D46430">
      <w:pPr>
        <w:pStyle w:val="paragraphsub"/>
      </w:pPr>
      <w:r w:rsidRPr="00CD5673">
        <w:tab/>
        <w:t>(iv)</w:t>
      </w:r>
      <w:r w:rsidRPr="00CD5673">
        <w:tab/>
        <w:t>the total amount paid for shares in the class;</w:t>
      </w:r>
    </w:p>
    <w:p w14:paraId="5F509E98" w14:textId="77777777" w:rsidR="00D46430" w:rsidRPr="00CD5673" w:rsidRDefault="00D46430" w:rsidP="00D46430">
      <w:pPr>
        <w:pStyle w:val="paragraphsub"/>
      </w:pPr>
      <w:r w:rsidRPr="00CD5673">
        <w:tab/>
        <w:t>(v)</w:t>
      </w:r>
      <w:r w:rsidRPr="00CD5673">
        <w:tab/>
        <w:t>the total amount unpaid for shares in the class;</w:t>
      </w:r>
    </w:p>
    <w:p w14:paraId="32E108EF" w14:textId="77777777" w:rsidR="00D46430" w:rsidRPr="00CD5673" w:rsidRDefault="00D46430" w:rsidP="00D46430">
      <w:pPr>
        <w:pStyle w:val="paragraph"/>
      </w:pPr>
      <w:r w:rsidRPr="00CD5673">
        <w:tab/>
        <w:t>(n)</w:t>
      </w:r>
      <w:r w:rsidRPr="00CD5673">
        <w:tab/>
        <w:t>the date on which a new member’s name was entered in the register of members;</w:t>
      </w:r>
    </w:p>
    <w:p w14:paraId="7E2078E2" w14:textId="77777777" w:rsidR="00D46430" w:rsidRPr="00CD5673" w:rsidRDefault="00D46430" w:rsidP="00D46430">
      <w:pPr>
        <w:pStyle w:val="paragraph"/>
      </w:pPr>
      <w:r w:rsidRPr="00CD5673">
        <w:tab/>
        <w:t>(o)</w:t>
      </w:r>
      <w:r w:rsidRPr="00CD5673">
        <w:tab/>
        <w:t>a statement that the company is:</w:t>
      </w:r>
    </w:p>
    <w:p w14:paraId="3ECA81EB" w14:textId="77777777" w:rsidR="00D46430" w:rsidRPr="00CD5673" w:rsidRDefault="00D46430" w:rsidP="00D46430">
      <w:pPr>
        <w:pStyle w:val="paragraphsub"/>
      </w:pPr>
      <w:r w:rsidRPr="00CD5673">
        <w:tab/>
        <w:t>(i)</w:t>
      </w:r>
      <w:r w:rsidRPr="00CD5673">
        <w:tab/>
        <w:t>a small proprietary company mentioned in subsection 45A(2) of the Act; or</w:t>
      </w:r>
    </w:p>
    <w:p w14:paraId="79E6EC1C" w14:textId="77777777" w:rsidR="00D46430" w:rsidRPr="00CD5673" w:rsidRDefault="00D46430" w:rsidP="00D46430">
      <w:pPr>
        <w:pStyle w:val="paragraphsub"/>
      </w:pPr>
      <w:r w:rsidRPr="00CD5673">
        <w:tab/>
        <w:t>(ii)</w:t>
      </w:r>
      <w:r w:rsidRPr="00CD5673">
        <w:tab/>
        <w:t>a large proprietary company mentioned in subsection 45A(3) of the Act; or</w:t>
      </w:r>
    </w:p>
    <w:p w14:paraId="2AFCE2E9" w14:textId="77777777" w:rsidR="00D46430" w:rsidRPr="00CD5673" w:rsidRDefault="00D46430" w:rsidP="00D46430">
      <w:pPr>
        <w:pStyle w:val="paragraphsub"/>
      </w:pPr>
      <w:r w:rsidRPr="00CD5673">
        <w:tab/>
        <w:t>(iii)</w:t>
      </w:r>
      <w:r w:rsidRPr="00CD5673">
        <w:tab/>
        <w:t>a foreign controlled small proprietary company mentioned in paragraph 292(2)(b) of the Act;</w:t>
      </w:r>
    </w:p>
    <w:p w14:paraId="4299DE7C" w14:textId="77777777" w:rsidR="00D46430" w:rsidRPr="00CD5673" w:rsidRDefault="00D46430" w:rsidP="00D46430">
      <w:pPr>
        <w:pStyle w:val="paragraph"/>
      </w:pPr>
      <w:r w:rsidRPr="00CD5673">
        <w:tab/>
        <w:t>(p)</w:t>
      </w:r>
      <w:r w:rsidRPr="00CD5673">
        <w:tab/>
        <w:t>a statement that the company is listed (or not listed) on a financial market, and the name of the financial market (if any);</w:t>
      </w:r>
    </w:p>
    <w:p w14:paraId="23F90CB9" w14:textId="77777777" w:rsidR="00D46430" w:rsidRPr="00CD5673" w:rsidRDefault="00D46430" w:rsidP="00D46430">
      <w:pPr>
        <w:pStyle w:val="paragraph"/>
      </w:pPr>
      <w:r w:rsidRPr="00CD5673">
        <w:tab/>
        <w:t>(q)</w:t>
      </w:r>
      <w:r w:rsidRPr="00CD5673">
        <w:tab/>
        <w:t>a statement of whether the company complies with subsection 348C(2) or (3) of the Act;</w:t>
      </w:r>
    </w:p>
    <w:p w14:paraId="2469C83C" w14:textId="77777777" w:rsidR="00D46430" w:rsidRPr="00CD5673" w:rsidRDefault="00D46430" w:rsidP="00D46430">
      <w:pPr>
        <w:pStyle w:val="paragraph"/>
      </w:pPr>
      <w:r w:rsidRPr="00CD5673">
        <w:tab/>
        <w:t>(r)</w:t>
      </w:r>
      <w:r w:rsidRPr="00CD5673">
        <w:tab/>
        <w:t>information that the company is required to provide under subsection 142(2), 146(1), 205B(1) or (4), 254X(1) or 319(1) of the Act.</w:t>
      </w:r>
    </w:p>
    <w:p w14:paraId="09337407" w14:textId="77777777" w:rsidR="00D46430" w:rsidRPr="00CD5673" w:rsidRDefault="00D46430" w:rsidP="00D46430">
      <w:pPr>
        <w:pStyle w:val="SubsectionHead"/>
      </w:pPr>
      <w:r w:rsidRPr="00CD5673">
        <w:t>Particulars for a CCIV</w:t>
      </w:r>
    </w:p>
    <w:p w14:paraId="15F6D5EF" w14:textId="77777777" w:rsidR="00D46430" w:rsidRPr="00CD5673" w:rsidRDefault="00D46430" w:rsidP="00D46430">
      <w:pPr>
        <w:pStyle w:val="subsection"/>
      </w:pPr>
      <w:r w:rsidRPr="00CD5673">
        <w:tab/>
        <w:t>(1A)</w:t>
      </w:r>
      <w:r w:rsidRPr="00CD5673">
        <w:tab/>
        <w:t>For the purposes of section 348B of the Act, the following particulars are prescribed for a CCIV:</w:t>
      </w:r>
    </w:p>
    <w:p w14:paraId="3979FDCD" w14:textId="77777777" w:rsidR="00D46430" w:rsidRPr="00CD5673" w:rsidRDefault="00D46430" w:rsidP="00D46430">
      <w:pPr>
        <w:pStyle w:val="paragraph"/>
      </w:pPr>
      <w:r w:rsidRPr="00CD5673">
        <w:tab/>
        <w:t>(a)</w:t>
      </w:r>
      <w:r w:rsidRPr="00CD5673">
        <w:tab/>
        <w:t>for the corporate director of the CCIV:</w:t>
      </w:r>
    </w:p>
    <w:p w14:paraId="180A825C" w14:textId="77777777" w:rsidR="00D46430" w:rsidRPr="00CD5673" w:rsidRDefault="00D46430" w:rsidP="00D46430">
      <w:pPr>
        <w:pStyle w:val="paragraphsub"/>
      </w:pPr>
      <w:r w:rsidRPr="00CD5673">
        <w:tab/>
        <w:t>(i)</w:t>
      </w:r>
      <w:r w:rsidRPr="00CD5673">
        <w:tab/>
        <w:t>the name of the corporate director; and</w:t>
      </w:r>
    </w:p>
    <w:p w14:paraId="6637B193" w14:textId="77777777" w:rsidR="00D46430" w:rsidRPr="00CD5673" w:rsidRDefault="00D46430" w:rsidP="00D46430">
      <w:pPr>
        <w:pStyle w:val="paragraphsub"/>
      </w:pPr>
      <w:r w:rsidRPr="00CD5673">
        <w:tab/>
        <w:t>(ii)</w:t>
      </w:r>
      <w:r w:rsidRPr="00CD5673">
        <w:tab/>
        <w:t>the address of the corporate director; and</w:t>
      </w:r>
    </w:p>
    <w:p w14:paraId="01A4506A" w14:textId="77777777" w:rsidR="00D46430" w:rsidRPr="00CD5673" w:rsidRDefault="00D46430" w:rsidP="00D46430">
      <w:pPr>
        <w:pStyle w:val="paragraphsub"/>
      </w:pPr>
      <w:r w:rsidRPr="00CD5673">
        <w:tab/>
        <w:t>(iii)</w:t>
      </w:r>
      <w:r w:rsidRPr="00CD5673">
        <w:tab/>
        <w:t>the date of appointment or cessation of the corporate director; and</w:t>
      </w:r>
    </w:p>
    <w:p w14:paraId="17AD973A" w14:textId="77777777" w:rsidR="00D46430" w:rsidRPr="00CD5673" w:rsidRDefault="00D46430" w:rsidP="00D46430">
      <w:pPr>
        <w:pStyle w:val="paragraphsub"/>
      </w:pPr>
      <w:r w:rsidRPr="00CD5673">
        <w:tab/>
        <w:t>(iv)</w:t>
      </w:r>
      <w:r w:rsidRPr="00CD5673">
        <w:tab/>
        <w:t>the date of change of name or change of address of the corporate director; and</w:t>
      </w:r>
    </w:p>
    <w:p w14:paraId="798F3FB2" w14:textId="77777777" w:rsidR="00D46430" w:rsidRPr="00CD5673" w:rsidRDefault="00D46430" w:rsidP="00D46430">
      <w:pPr>
        <w:pStyle w:val="paragraphsub"/>
      </w:pPr>
      <w:r w:rsidRPr="00CD5673">
        <w:tab/>
        <w:t>(v)</w:t>
      </w:r>
      <w:r w:rsidRPr="00CD5673">
        <w:tab/>
        <w:t>evidence that a specified person is (or is not) the corporate director;</w:t>
      </w:r>
    </w:p>
    <w:p w14:paraId="078B7AC7" w14:textId="77777777" w:rsidR="00D46430" w:rsidRPr="00CD5673" w:rsidRDefault="00D46430" w:rsidP="00D46430">
      <w:pPr>
        <w:pStyle w:val="paragraph"/>
      </w:pPr>
      <w:r w:rsidRPr="00CD5673">
        <w:tab/>
        <w:t>(b)</w:t>
      </w:r>
      <w:r w:rsidRPr="00CD5673">
        <w:tab/>
        <w:t>the date on which a new member’s name was entered in the register of members kept by the CCIV;</w:t>
      </w:r>
    </w:p>
    <w:p w14:paraId="0CF1DDC4" w14:textId="77777777" w:rsidR="00D46430" w:rsidRPr="00CD5673" w:rsidRDefault="00D46430" w:rsidP="00D46430">
      <w:pPr>
        <w:pStyle w:val="paragraph"/>
      </w:pPr>
      <w:r w:rsidRPr="00CD5673">
        <w:tab/>
        <w:t>(c)</w:t>
      </w:r>
      <w:r w:rsidRPr="00CD5673">
        <w:tab/>
        <w:t>for each sub</w:t>
      </w:r>
      <w:r w:rsidR="00C614F1">
        <w:noBreakHyphen/>
      </w:r>
      <w:r w:rsidRPr="00CD5673">
        <w:t>fund of the CCIV:</w:t>
      </w:r>
    </w:p>
    <w:p w14:paraId="35D567E5" w14:textId="77777777" w:rsidR="00D46430" w:rsidRPr="00CD5673" w:rsidRDefault="00D46430" w:rsidP="00D46430">
      <w:pPr>
        <w:pStyle w:val="paragraphsub"/>
      </w:pPr>
      <w:r w:rsidRPr="00CD5673">
        <w:tab/>
        <w:t>(i)</w:t>
      </w:r>
      <w:r w:rsidRPr="00CD5673">
        <w:tab/>
        <w:t>the date of issue, cancellation, or transfer of shares referable to the sub</w:t>
      </w:r>
      <w:r w:rsidR="00C614F1">
        <w:noBreakHyphen/>
      </w:r>
      <w:r w:rsidRPr="00CD5673">
        <w:t>fund; and</w:t>
      </w:r>
    </w:p>
    <w:p w14:paraId="56FF7ECD" w14:textId="77777777" w:rsidR="00D46430" w:rsidRPr="00CD5673" w:rsidRDefault="00D46430" w:rsidP="00D46430">
      <w:pPr>
        <w:pStyle w:val="paragraphsub"/>
      </w:pPr>
      <w:r w:rsidRPr="00CD5673">
        <w:tab/>
        <w:t>(ii)</w:t>
      </w:r>
      <w:r w:rsidRPr="00CD5673">
        <w:tab/>
        <w:t>the classes of shares referable to the sub</w:t>
      </w:r>
      <w:r w:rsidR="00C614F1">
        <w:noBreakHyphen/>
      </w:r>
      <w:r w:rsidRPr="00CD5673">
        <w:t>fund; and</w:t>
      </w:r>
    </w:p>
    <w:p w14:paraId="22B06AAC" w14:textId="77777777" w:rsidR="00D46430" w:rsidRPr="00CD5673" w:rsidRDefault="00D46430" w:rsidP="00D46430">
      <w:pPr>
        <w:pStyle w:val="paragraphsub"/>
      </w:pPr>
      <w:r w:rsidRPr="00CD5673">
        <w:tab/>
        <w:t>(iii)</w:t>
      </w:r>
      <w:r w:rsidRPr="00CD5673">
        <w:tab/>
        <w:t>for each of those classes—the total number and value of shares referable to the sub</w:t>
      </w:r>
      <w:r w:rsidR="00C614F1">
        <w:noBreakHyphen/>
      </w:r>
      <w:r w:rsidRPr="00CD5673">
        <w:t>fund in the class; and</w:t>
      </w:r>
    </w:p>
    <w:p w14:paraId="64F9070C" w14:textId="77777777" w:rsidR="00D46430" w:rsidRPr="00CD5673" w:rsidRDefault="00D46430" w:rsidP="00D46430">
      <w:pPr>
        <w:pStyle w:val="paragraphsub"/>
      </w:pPr>
      <w:r w:rsidRPr="00CD5673">
        <w:lastRenderedPageBreak/>
        <w:tab/>
        <w:t>(iv)</w:t>
      </w:r>
      <w:r w:rsidRPr="00CD5673">
        <w:tab/>
        <w:t>for each of those classes—the total amount paid up for shares referable to the sub</w:t>
      </w:r>
      <w:r w:rsidR="00C614F1">
        <w:noBreakHyphen/>
      </w:r>
      <w:r w:rsidRPr="00CD5673">
        <w:t>fund in the class; and</w:t>
      </w:r>
    </w:p>
    <w:p w14:paraId="40904AE6" w14:textId="77777777" w:rsidR="00D46430" w:rsidRPr="00CD5673" w:rsidRDefault="00D46430" w:rsidP="00D46430">
      <w:pPr>
        <w:pStyle w:val="paragraphsub"/>
      </w:pPr>
      <w:r w:rsidRPr="00CD5673">
        <w:tab/>
        <w:t>(v)</w:t>
      </w:r>
      <w:r w:rsidRPr="00CD5673">
        <w:tab/>
        <w:t>for each of those classes—the total amount unpaid for shares referable to the sub</w:t>
      </w:r>
      <w:r w:rsidR="00C614F1">
        <w:noBreakHyphen/>
      </w:r>
      <w:r w:rsidRPr="00CD5673">
        <w:t>fund in the class;</w:t>
      </w:r>
    </w:p>
    <w:p w14:paraId="7A9636D6" w14:textId="77777777" w:rsidR="00D46430" w:rsidRPr="00CD5673" w:rsidRDefault="00D46430" w:rsidP="00D46430">
      <w:pPr>
        <w:pStyle w:val="paragraph"/>
      </w:pPr>
      <w:r w:rsidRPr="00CD5673">
        <w:tab/>
        <w:t>(d)</w:t>
      </w:r>
      <w:r w:rsidRPr="00CD5673">
        <w:tab/>
        <w:t>for each sub</w:t>
      </w:r>
      <w:r w:rsidR="00C614F1">
        <w:noBreakHyphen/>
      </w:r>
      <w:r w:rsidRPr="00CD5673">
        <w:t>fund of the CCIV—a statement that the sub</w:t>
      </w:r>
      <w:r w:rsidR="00C614F1">
        <w:noBreakHyphen/>
      </w:r>
      <w:r w:rsidRPr="00CD5673">
        <w:t>fund is listed (or not listed) and, if the sub</w:t>
      </w:r>
      <w:r w:rsidR="00C614F1">
        <w:noBreakHyphen/>
      </w:r>
      <w:r w:rsidRPr="00CD5673">
        <w:t>fund is listed, the name of the prescribed financial market for which the sub</w:t>
      </w:r>
      <w:r w:rsidR="00C614F1">
        <w:noBreakHyphen/>
      </w:r>
      <w:r w:rsidRPr="00CD5673">
        <w:t>fund or the CCIV is included in the official list;</w:t>
      </w:r>
    </w:p>
    <w:p w14:paraId="6FC2B569" w14:textId="77777777" w:rsidR="00D46430" w:rsidRPr="00CD5673" w:rsidRDefault="00D46430" w:rsidP="00D46430">
      <w:pPr>
        <w:pStyle w:val="paragraph"/>
      </w:pPr>
      <w:r w:rsidRPr="00CD5673">
        <w:tab/>
        <w:t>(e)</w:t>
      </w:r>
      <w:r w:rsidRPr="00CD5673">
        <w:tab/>
        <w:t>for each financial year specified in the return of particulars for each sub</w:t>
      </w:r>
      <w:r w:rsidR="00C614F1">
        <w:noBreakHyphen/>
      </w:r>
      <w:r w:rsidRPr="00CD5673">
        <w:t>fund of a retail CCIV—the name of each auditor of a financial report for the sub</w:t>
      </w:r>
      <w:r w:rsidR="00C614F1">
        <w:noBreakHyphen/>
      </w:r>
      <w:r w:rsidRPr="00CD5673">
        <w:t>fund for that year;</w:t>
      </w:r>
    </w:p>
    <w:p w14:paraId="1BB67F26" w14:textId="77777777" w:rsidR="00D46430" w:rsidRPr="00CD5673" w:rsidRDefault="00D46430" w:rsidP="00D46430">
      <w:pPr>
        <w:pStyle w:val="paragraph"/>
      </w:pPr>
      <w:r w:rsidRPr="00CD5673">
        <w:tab/>
        <w:t>(f)</w:t>
      </w:r>
      <w:r w:rsidRPr="00CD5673">
        <w:tab/>
        <w:t>for a retail CCIV—the name of the auditor of the compliance plan for the retail CCIV;</w:t>
      </w:r>
    </w:p>
    <w:p w14:paraId="43388DFA" w14:textId="77777777" w:rsidR="00D46430" w:rsidRPr="00CD5673" w:rsidRDefault="00D46430" w:rsidP="00D46430">
      <w:pPr>
        <w:pStyle w:val="paragraph"/>
      </w:pPr>
      <w:r w:rsidRPr="00CD5673">
        <w:tab/>
        <w:t>(g)</w:t>
      </w:r>
      <w:r w:rsidRPr="00CD5673">
        <w:tab/>
        <w:t>if a sub</w:t>
      </w:r>
      <w:r w:rsidR="00C614F1">
        <w:noBreakHyphen/>
      </w:r>
      <w:r w:rsidRPr="00CD5673">
        <w:t>fund of the CCIV is an Australian passport fund—the name of the implementation reviewer for the Australian passport fund for each review period for the Australian passport fund specified in the return of particulars.</w:t>
      </w:r>
    </w:p>
    <w:p w14:paraId="6BAB79FF" w14:textId="77777777" w:rsidR="00D46430" w:rsidRPr="00CD5673" w:rsidRDefault="00D46430" w:rsidP="00D46430">
      <w:pPr>
        <w:pStyle w:val="SubsectionHead"/>
      </w:pPr>
      <w:r w:rsidRPr="00CD5673">
        <w:t>Particulars for a registered scheme</w:t>
      </w:r>
    </w:p>
    <w:p w14:paraId="2C742519" w14:textId="77777777" w:rsidR="00D46430" w:rsidRPr="00CD5673" w:rsidRDefault="00D46430" w:rsidP="00D46430">
      <w:pPr>
        <w:pStyle w:val="subsection"/>
      </w:pPr>
      <w:r w:rsidRPr="00CD5673">
        <w:tab/>
        <w:t>(2)</w:t>
      </w:r>
      <w:r w:rsidRPr="00CD5673">
        <w:tab/>
        <w:t>For the purposes of section 348B of the Act, the following particulars are prescribed for a registered scheme:</w:t>
      </w:r>
    </w:p>
    <w:p w14:paraId="7EBFF47D" w14:textId="77777777" w:rsidR="00D46430" w:rsidRPr="00CD5673" w:rsidRDefault="00D46430" w:rsidP="00D46430">
      <w:pPr>
        <w:pStyle w:val="paragraph"/>
      </w:pPr>
      <w:r w:rsidRPr="00CD5673">
        <w:tab/>
        <w:t>(a)</w:t>
      </w:r>
      <w:r w:rsidRPr="00CD5673">
        <w:tab/>
        <w:t>the date on which a new member’s name was entered in the register of members;</w:t>
      </w:r>
    </w:p>
    <w:p w14:paraId="25135965" w14:textId="77777777" w:rsidR="00D46430" w:rsidRPr="00CD5673" w:rsidRDefault="00D46430" w:rsidP="00D46430">
      <w:pPr>
        <w:pStyle w:val="paragraph"/>
      </w:pPr>
      <w:r w:rsidRPr="00CD5673">
        <w:tab/>
        <w:t>(b)</w:t>
      </w:r>
      <w:r w:rsidRPr="00CD5673">
        <w:tab/>
        <w:t>the new name of the responsible entity of the scheme;</w:t>
      </w:r>
    </w:p>
    <w:p w14:paraId="72594670" w14:textId="77777777" w:rsidR="00D46430" w:rsidRPr="00CD5673" w:rsidRDefault="00D46430" w:rsidP="00D46430">
      <w:pPr>
        <w:pStyle w:val="paragraph"/>
      </w:pPr>
      <w:r w:rsidRPr="00CD5673">
        <w:tab/>
        <w:t>(c)</w:t>
      </w:r>
      <w:r w:rsidRPr="00CD5673">
        <w:tab/>
        <w:t>information that the scheme is required to provide under subsection 319(1) of the Act;</w:t>
      </w:r>
    </w:p>
    <w:p w14:paraId="65F03337" w14:textId="77777777" w:rsidR="00D46430" w:rsidRPr="00CD5673" w:rsidRDefault="00D46430" w:rsidP="00D46430">
      <w:pPr>
        <w:pStyle w:val="paragraph"/>
      </w:pPr>
      <w:r w:rsidRPr="00CD5673">
        <w:tab/>
        <w:t>(d)</w:t>
      </w:r>
      <w:r w:rsidRPr="00CD5673">
        <w:tab/>
        <w:t>for each financial year for the scheme specified in the return of particulars—the name of each auditor of a financial report for the scheme for that year;</w:t>
      </w:r>
    </w:p>
    <w:p w14:paraId="4AE9C0FD" w14:textId="77777777" w:rsidR="00D46430" w:rsidRPr="00CD5673" w:rsidRDefault="00D46430" w:rsidP="00D46430">
      <w:pPr>
        <w:pStyle w:val="paragraph"/>
      </w:pPr>
      <w:r w:rsidRPr="00CD5673">
        <w:tab/>
        <w:t>(e)</w:t>
      </w:r>
      <w:r w:rsidRPr="00CD5673">
        <w:tab/>
        <w:t>the name of the auditor of the compliance plan for the scheme;</w:t>
      </w:r>
    </w:p>
    <w:p w14:paraId="049D74FE" w14:textId="77777777" w:rsidR="00D46430" w:rsidRPr="00CD5673" w:rsidRDefault="00D46430" w:rsidP="00D46430">
      <w:pPr>
        <w:pStyle w:val="paragraph"/>
      </w:pPr>
      <w:r w:rsidRPr="00CD5673">
        <w:tab/>
        <w:t>(f)</w:t>
      </w:r>
      <w:r w:rsidRPr="00CD5673">
        <w:tab/>
        <w:t>if the scheme is an Australian passport fund—the name of the implementation reviewer for the fund for each review period for the fund specified in the return of particulars.</w:t>
      </w:r>
    </w:p>
    <w:p w14:paraId="279DE7E7" w14:textId="77777777" w:rsidR="00D46430" w:rsidRPr="00CD5673" w:rsidRDefault="00D46430" w:rsidP="00D46430">
      <w:pPr>
        <w:pStyle w:val="SubsectionHead"/>
      </w:pPr>
      <w:r w:rsidRPr="00CD5673">
        <w:t>Particulars for a notified foreign passport fund</w:t>
      </w:r>
    </w:p>
    <w:p w14:paraId="6FD64229" w14:textId="77777777" w:rsidR="00D46430" w:rsidRPr="00CD5673" w:rsidRDefault="00D46430" w:rsidP="00D46430">
      <w:pPr>
        <w:pStyle w:val="subsection"/>
      </w:pPr>
      <w:r w:rsidRPr="00CD5673">
        <w:tab/>
        <w:t>(3)</w:t>
      </w:r>
      <w:r w:rsidRPr="00CD5673">
        <w:tab/>
        <w:t>For the purposes of section 348B of the Act, the following particulars are prescribed for a notified foreign passport fund:</w:t>
      </w:r>
    </w:p>
    <w:p w14:paraId="09B51669" w14:textId="77777777" w:rsidR="00D46430" w:rsidRPr="00CD5673" w:rsidRDefault="00D46430" w:rsidP="00D46430">
      <w:pPr>
        <w:pStyle w:val="paragraph"/>
      </w:pPr>
      <w:r w:rsidRPr="00CD5673">
        <w:tab/>
        <w:t>(a)</w:t>
      </w:r>
      <w:r w:rsidRPr="00CD5673">
        <w:tab/>
        <w:t>the date on which a new member’s name was entered in the register of members;</w:t>
      </w:r>
    </w:p>
    <w:p w14:paraId="032962D6" w14:textId="77777777" w:rsidR="00D46430" w:rsidRPr="00CD5673" w:rsidRDefault="00D46430" w:rsidP="00D46430">
      <w:pPr>
        <w:pStyle w:val="paragraph"/>
      </w:pPr>
      <w:r w:rsidRPr="00CD5673">
        <w:tab/>
        <w:t>(b)</w:t>
      </w:r>
      <w:r w:rsidRPr="00CD5673">
        <w:tab/>
        <w:t>the new name of the operator of the fund;</w:t>
      </w:r>
    </w:p>
    <w:p w14:paraId="65C1510E" w14:textId="77777777" w:rsidR="00D46430" w:rsidRPr="00CD5673" w:rsidRDefault="00D46430" w:rsidP="00D46430">
      <w:pPr>
        <w:pStyle w:val="paragraph"/>
      </w:pPr>
      <w:r w:rsidRPr="00CD5673">
        <w:tab/>
        <w:t>(c)</w:t>
      </w:r>
      <w:r w:rsidRPr="00CD5673">
        <w:tab/>
        <w:t>information that the fund is required to provide under subsection 319(1AA) of the Act;</w:t>
      </w:r>
    </w:p>
    <w:p w14:paraId="444F7176" w14:textId="77777777" w:rsidR="00D46430" w:rsidRPr="00CD5673" w:rsidRDefault="00D46430" w:rsidP="00D46430">
      <w:pPr>
        <w:pStyle w:val="paragraph"/>
      </w:pPr>
      <w:r w:rsidRPr="00CD5673">
        <w:tab/>
        <w:t>(d)</w:t>
      </w:r>
      <w:r w:rsidRPr="00CD5673">
        <w:tab/>
        <w:t>for each financial year for the fund specified in the return of particulars—the name of each auditor of a report for the fund for that year that is prepared in accordance with the financial reporting requirements applying to the fund under the Passport Rules for the home economy for the fund;</w:t>
      </w:r>
    </w:p>
    <w:p w14:paraId="36C09183" w14:textId="77777777" w:rsidR="00D46430" w:rsidRPr="00CD5673" w:rsidRDefault="00D46430" w:rsidP="00D46430">
      <w:pPr>
        <w:pStyle w:val="paragraph"/>
      </w:pPr>
      <w:r w:rsidRPr="00CD5673">
        <w:tab/>
        <w:t>(e)</w:t>
      </w:r>
      <w:r w:rsidRPr="00CD5673">
        <w:tab/>
        <w:t>the name of the implementation reviewer for the fund for each review period for the fund specified in the return of particulars.</w:t>
      </w:r>
    </w:p>
    <w:p w14:paraId="149B19AC" w14:textId="77777777" w:rsidR="00D46430" w:rsidRPr="00CD5673" w:rsidRDefault="00D46430" w:rsidP="00D46430">
      <w:pPr>
        <w:pStyle w:val="SubsectionHead"/>
      </w:pPr>
      <w:r w:rsidRPr="00CD5673">
        <w:t>Definitions</w:t>
      </w:r>
    </w:p>
    <w:p w14:paraId="1D348F1D" w14:textId="77777777" w:rsidR="00D46430" w:rsidRPr="00CD5673" w:rsidRDefault="00D46430" w:rsidP="00D46430">
      <w:pPr>
        <w:pStyle w:val="subsection"/>
      </w:pPr>
      <w:r w:rsidRPr="00CD5673">
        <w:tab/>
        <w:t>(4)</w:t>
      </w:r>
      <w:r w:rsidRPr="00CD5673">
        <w:tab/>
        <w:t>In this regulation:</w:t>
      </w:r>
    </w:p>
    <w:p w14:paraId="046304C9" w14:textId="77777777" w:rsidR="00D46430" w:rsidRPr="00CD5673" w:rsidRDefault="00D46430" w:rsidP="00D46430">
      <w:pPr>
        <w:pStyle w:val="Definition"/>
      </w:pPr>
      <w:r w:rsidRPr="00CD5673">
        <w:rPr>
          <w:b/>
          <w:i/>
        </w:rPr>
        <w:t>implementation reviewer</w:t>
      </w:r>
      <w:r w:rsidRPr="00CD5673">
        <w:t>, for a passport fund, has the same meaning as in the Passport Rules for this jurisdiction.</w:t>
      </w:r>
    </w:p>
    <w:p w14:paraId="65BB3DCD" w14:textId="77777777" w:rsidR="00D46430" w:rsidRPr="00CD5673" w:rsidRDefault="00D46430" w:rsidP="00D46430">
      <w:pPr>
        <w:pStyle w:val="Definition"/>
      </w:pPr>
      <w:r w:rsidRPr="00CD5673">
        <w:rPr>
          <w:b/>
          <w:i/>
        </w:rPr>
        <w:t>review period</w:t>
      </w:r>
      <w:r w:rsidRPr="00CD5673">
        <w:t>, for a passport fund, has the meaning given by subsection 15(1) of the Passport Rules for this jurisdiction.</w:t>
      </w:r>
    </w:p>
    <w:p w14:paraId="5B3ED6CF" w14:textId="77777777" w:rsidR="00D46430" w:rsidRPr="00CD5673" w:rsidRDefault="00D46430" w:rsidP="00D46430">
      <w:pPr>
        <w:pStyle w:val="ActHead1"/>
        <w:pageBreakBefore/>
      </w:pPr>
      <w:bookmarkStart w:id="113" w:name="_Toc158711724"/>
      <w:r w:rsidRPr="00C614F1">
        <w:rPr>
          <w:rStyle w:val="CharChapNo"/>
        </w:rPr>
        <w:lastRenderedPageBreak/>
        <w:t>Chapter 5</w:t>
      </w:r>
      <w:r w:rsidRPr="00CD5673">
        <w:t>—</w:t>
      </w:r>
      <w:r w:rsidRPr="00C614F1">
        <w:rPr>
          <w:rStyle w:val="CharChapText"/>
        </w:rPr>
        <w:t>External administration</w:t>
      </w:r>
      <w:bookmarkEnd w:id="113"/>
    </w:p>
    <w:p w14:paraId="14C3AE46" w14:textId="77777777" w:rsidR="00D46430" w:rsidRPr="00CD5673" w:rsidRDefault="00D46430" w:rsidP="00D46430">
      <w:pPr>
        <w:pStyle w:val="ActHead2"/>
      </w:pPr>
      <w:bookmarkStart w:id="114" w:name="_Toc158711725"/>
      <w:r w:rsidRPr="00C614F1">
        <w:rPr>
          <w:rStyle w:val="CharPartNo"/>
        </w:rPr>
        <w:t>Part 5.1</w:t>
      </w:r>
      <w:r w:rsidRPr="00CD5673">
        <w:t>—</w:t>
      </w:r>
      <w:r w:rsidRPr="00C614F1">
        <w:rPr>
          <w:rStyle w:val="CharPartText"/>
        </w:rPr>
        <w:t>Arrangements and reconstructions</w:t>
      </w:r>
      <w:bookmarkEnd w:id="114"/>
    </w:p>
    <w:p w14:paraId="32017C90"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7E145E93" w14:textId="77777777" w:rsidR="00D46430" w:rsidRPr="00CD5673" w:rsidRDefault="00D46430" w:rsidP="00D46430">
      <w:pPr>
        <w:pStyle w:val="ActHead5"/>
      </w:pPr>
      <w:bookmarkStart w:id="115" w:name="_Toc158711726"/>
      <w:r w:rsidRPr="00C614F1">
        <w:rPr>
          <w:rStyle w:val="CharSectno"/>
        </w:rPr>
        <w:t>5.1.01</w:t>
      </w:r>
      <w:r w:rsidRPr="00CD5673">
        <w:t xml:space="preserve">  Prescribed information for paragraph 411(3)(b) and subparagraph 412(1)(a)(ii) of the Act</w:t>
      </w:r>
      <w:bookmarkEnd w:id="115"/>
    </w:p>
    <w:p w14:paraId="6E7D2B6E" w14:textId="77777777" w:rsidR="00D46430" w:rsidRPr="00CD5673" w:rsidRDefault="00D46430" w:rsidP="00D46430">
      <w:pPr>
        <w:pStyle w:val="subsection"/>
      </w:pPr>
      <w:r w:rsidRPr="00CD5673">
        <w:tab/>
        <w:t>(1)</w:t>
      </w:r>
      <w:r w:rsidRPr="00CD5673">
        <w:tab/>
        <w:t>For paragraph 411(3)(b) and subparagraph 412(1)(a)(ii) of the Act, unless ASIC otherwise allows, the explanatory statement must:</w:t>
      </w:r>
    </w:p>
    <w:p w14:paraId="52F808E1" w14:textId="77777777" w:rsidR="00D46430" w:rsidRPr="00CD5673" w:rsidRDefault="00D46430" w:rsidP="00D46430">
      <w:pPr>
        <w:pStyle w:val="paragraph"/>
      </w:pPr>
      <w:r w:rsidRPr="00CD5673">
        <w:tab/>
        <w:t>(a)</w:t>
      </w:r>
      <w:r w:rsidRPr="00CD5673">
        <w:tab/>
        <w:t>for a proposed arrangement between a Part 5.1 body and its creditors, or a class of its creditors:</w:t>
      </w:r>
    </w:p>
    <w:p w14:paraId="10798B90" w14:textId="77777777" w:rsidR="00D46430" w:rsidRPr="00CD5673" w:rsidRDefault="00D46430" w:rsidP="00D46430">
      <w:pPr>
        <w:pStyle w:val="paragraphsub"/>
      </w:pPr>
      <w:r w:rsidRPr="00CD5673">
        <w:tab/>
        <w:t>(i)</w:t>
      </w:r>
      <w:r w:rsidRPr="00CD5673">
        <w:tab/>
        <w:t>state the matters set out; and</w:t>
      </w:r>
    </w:p>
    <w:p w14:paraId="21EBD567" w14:textId="77777777" w:rsidR="00D46430" w:rsidRPr="00CD5673" w:rsidRDefault="00D46430" w:rsidP="00D46430">
      <w:pPr>
        <w:pStyle w:val="paragraphsub"/>
      </w:pPr>
      <w:r w:rsidRPr="00CD5673">
        <w:tab/>
        <w:t>(ii)</w:t>
      </w:r>
      <w:r w:rsidRPr="00CD5673">
        <w:tab/>
        <w:t>have annexed to it the reports and copies of documents mentioned;</w:t>
      </w:r>
    </w:p>
    <w:p w14:paraId="6F668BD5" w14:textId="77777777" w:rsidR="00D46430" w:rsidRPr="00CD5673" w:rsidRDefault="00D46430" w:rsidP="00D46430">
      <w:pPr>
        <w:pStyle w:val="paragraph"/>
      </w:pPr>
      <w:r w:rsidRPr="00CD5673">
        <w:tab/>
      </w:r>
      <w:r w:rsidRPr="00CD5673">
        <w:tab/>
        <w:t>in Part 2 of Schedule 8; and</w:t>
      </w:r>
    </w:p>
    <w:p w14:paraId="4C0F6C27" w14:textId="77777777" w:rsidR="00D46430" w:rsidRPr="00CD5673" w:rsidRDefault="00D46430" w:rsidP="00D46430">
      <w:pPr>
        <w:pStyle w:val="paragraph"/>
      </w:pPr>
      <w:r w:rsidRPr="00CD5673">
        <w:tab/>
        <w:t>(b)</w:t>
      </w:r>
      <w:r w:rsidRPr="00CD5673">
        <w:tab/>
        <w:t>for a proposed arrangement between a Part 5.1 body and its members, or a class of its members, other than a proposed arrangement mentioned in paragraph (c):</w:t>
      </w:r>
    </w:p>
    <w:p w14:paraId="06B50517" w14:textId="77777777" w:rsidR="00D46430" w:rsidRPr="00CD5673" w:rsidRDefault="00D46430" w:rsidP="00D46430">
      <w:pPr>
        <w:pStyle w:val="paragraphsub"/>
      </w:pPr>
      <w:r w:rsidRPr="00CD5673">
        <w:tab/>
        <w:t>(i)</w:t>
      </w:r>
      <w:r w:rsidRPr="00CD5673">
        <w:tab/>
        <w:t>state the matters set out; and</w:t>
      </w:r>
    </w:p>
    <w:p w14:paraId="6990EC90" w14:textId="77777777" w:rsidR="00D46430" w:rsidRPr="00CD5673" w:rsidRDefault="00D46430" w:rsidP="00D46430">
      <w:pPr>
        <w:pStyle w:val="paragraphsub"/>
      </w:pPr>
      <w:r w:rsidRPr="00CD5673">
        <w:tab/>
        <w:t>(ii)</w:t>
      </w:r>
      <w:r w:rsidRPr="00CD5673">
        <w:tab/>
        <w:t>have annexed to it the reports and copies of documents mentioned;</w:t>
      </w:r>
    </w:p>
    <w:p w14:paraId="77D04CC4" w14:textId="77777777" w:rsidR="00D46430" w:rsidRPr="00CD5673" w:rsidRDefault="00D46430" w:rsidP="00D46430">
      <w:pPr>
        <w:pStyle w:val="paragraph"/>
      </w:pPr>
      <w:r w:rsidRPr="00CD5673">
        <w:tab/>
      </w:r>
      <w:r w:rsidRPr="00CD5673">
        <w:tab/>
        <w:t>in Part 3 of Schedule 8; and</w:t>
      </w:r>
    </w:p>
    <w:p w14:paraId="0D1DF018" w14:textId="77777777" w:rsidR="00D46430" w:rsidRPr="00CD5673" w:rsidRDefault="00D46430" w:rsidP="00D46430">
      <w:pPr>
        <w:pStyle w:val="paragraph"/>
      </w:pPr>
      <w:r w:rsidRPr="00CD5673">
        <w:tab/>
        <w:t>(c)</w:t>
      </w:r>
      <w:r w:rsidRPr="00CD5673">
        <w:tab/>
        <w:t>for a proposed arrangement between a Part 5.1 body and its members, or a class of its members, in relation to the reconstruction of a corporation, or the amalgamation of 2 or more corporations, if:</w:t>
      </w:r>
    </w:p>
    <w:p w14:paraId="509089FB" w14:textId="77777777" w:rsidR="00D46430" w:rsidRPr="00CD5673" w:rsidRDefault="00D46430" w:rsidP="00D46430">
      <w:pPr>
        <w:pStyle w:val="paragraphsub"/>
      </w:pPr>
      <w:r w:rsidRPr="00CD5673">
        <w:tab/>
        <w:t>(i)</w:t>
      </w:r>
      <w:r w:rsidRPr="00CD5673">
        <w:tab/>
        <w:t>the whole or part of the undertaking or of the property of a corporation is to be transferred to a trustee to be held beneficially on behalf of the unit holders of the trust; or</w:t>
      </w:r>
    </w:p>
    <w:p w14:paraId="540A440A" w14:textId="77777777" w:rsidR="00D46430" w:rsidRPr="00CD5673" w:rsidRDefault="00D46430" w:rsidP="00D46430">
      <w:pPr>
        <w:pStyle w:val="paragraphsub"/>
      </w:pPr>
      <w:r w:rsidRPr="00CD5673">
        <w:tab/>
        <w:t>(ii)</w:t>
      </w:r>
      <w:r w:rsidRPr="00CD5673">
        <w:tab/>
        <w:t>the shares in the corporation that are held by members are to be cancelled and control is to pass to a trustee to be held on behalf of a unit holder of the trust;</w:t>
      </w:r>
    </w:p>
    <w:p w14:paraId="28E11604" w14:textId="77777777" w:rsidR="00D46430" w:rsidRPr="00CD5673" w:rsidRDefault="00D46430" w:rsidP="00D46430">
      <w:pPr>
        <w:pStyle w:val="paragraph"/>
      </w:pPr>
      <w:r w:rsidRPr="00CD5673">
        <w:tab/>
      </w:r>
      <w:r w:rsidRPr="00CD5673">
        <w:tab/>
        <w:t>state the matters set out and have annexed to it the documents and, if the trustee of that business operates no other business in relation to that trust, the reports mentioned, in Part 4 of Schedule 8.</w:t>
      </w:r>
    </w:p>
    <w:p w14:paraId="5E165DE2" w14:textId="77777777" w:rsidR="00D46430" w:rsidRPr="00CD5673" w:rsidRDefault="00D46430" w:rsidP="00D46430">
      <w:pPr>
        <w:pStyle w:val="subsection"/>
      </w:pPr>
      <w:r w:rsidRPr="00CD5673">
        <w:tab/>
        <w:t>(2)</w:t>
      </w:r>
      <w:r w:rsidRPr="00CD5673">
        <w:tab/>
        <w:t xml:space="preserve">For the purposes of Schedule 8, </w:t>
      </w:r>
      <w:r w:rsidRPr="00CD5673">
        <w:rPr>
          <w:b/>
          <w:i/>
        </w:rPr>
        <w:t>securities exchange</w:t>
      </w:r>
      <w:r w:rsidRPr="00CD5673">
        <w:t xml:space="preserve"> means Australian Stock Exchange Limited.</w:t>
      </w:r>
    </w:p>
    <w:p w14:paraId="1B1C9D6A" w14:textId="77777777" w:rsidR="00D46430" w:rsidRPr="00CD5673" w:rsidRDefault="00D46430" w:rsidP="00D46430">
      <w:pPr>
        <w:pStyle w:val="ActHead5"/>
      </w:pPr>
      <w:bookmarkStart w:id="116" w:name="_Toc158711727"/>
      <w:r w:rsidRPr="00C614F1">
        <w:rPr>
          <w:rStyle w:val="CharSectno"/>
        </w:rPr>
        <w:t>5.1.50</w:t>
      </w:r>
      <w:r w:rsidRPr="00CD5673">
        <w:t xml:space="preserve">  Prescribed kinds of contracts, agreements or arrangements under which rights are not subject to the stay in section 415D of the Act</w:t>
      </w:r>
      <w:bookmarkEnd w:id="116"/>
    </w:p>
    <w:p w14:paraId="33CFBE14" w14:textId="77777777" w:rsidR="00D46430" w:rsidRPr="00CD5673" w:rsidRDefault="00D46430" w:rsidP="00D46430">
      <w:pPr>
        <w:pStyle w:val="subsection"/>
      </w:pPr>
      <w:r w:rsidRPr="00CD5673">
        <w:tab/>
      </w:r>
      <w:r w:rsidRPr="00CD5673">
        <w:tab/>
        <w:t>For the purposes of subparagraph 415D(6)(b)(i) of the Act, each of the kinds of contracts, agreements or arrangements referred to in subregulation 5.3A.50(2) is prescribed.</w:t>
      </w:r>
    </w:p>
    <w:p w14:paraId="43BBE58C" w14:textId="77777777" w:rsidR="00D46430" w:rsidRPr="00CD5673" w:rsidRDefault="00D46430" w:rsidP="00D46430">
      <w:pPr>
        <w:pStyle w:val="ActHead2"/>
        <w:pageBreakBefore/>
      </w:pPr>
      <w:bookmarkStart w:id="117" w:name="_Toc158711728"/>
      <w:r w:rsidRPr="00C614F1">
        <w:rPr>
          <w:rStyle w:val="CharPartNo"/>
        </w:rPr>
        <w:lastRenderedPageBreak/>
        <w:t>Part 5.2</w:t>
      </w:r>
      <w:r w:rsidRPr="00CD5673">
        <w:t>—</w:t>
      </w:r>
      <w:r w:rsidRPr="00C614F1">
        <w:rPr>
          <w:rStyle w:val="CharPartText"/>
        </w:rPr>
        <w:t>Receivers, and other controllers, of corporations</w:t>
      </w:r>
      <w:bookmarkEnd w:id="117"/>
    </w:p>
    <w:p w14:paraId="1A62155C"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FDA3AAC" w14:textId="77777777" w:rsidR="00D46430" w:rsidRPr="00CD5673" w:rsidRDefault="00D46430" w:rsidP="00D46430">
      <w:pPr>
        <w:pStyle w:val="ActHead5"/>
      </w:pPr>
      <w:bookmarkStart w:id="118" w:name="_Toc158711729"/>
      <w:r w:rsidRPr="00C614F1">
        <w:rPr>
          <w:rStyle w:val="CharSectno"/>
        </w:rPr>
        <w:t>5.2.01</w:t>
      </w:r>
      <w:r w:rsidRPr="00CD5673">
        <w:t xml:space="preserve">  Controller’s notice to owner or lessor of property—how given</w:t>
      </w:r>
      <w:bookmarkEnd w:id="118"/>
    </w:p>
    <w:p w14:paraId="3209A091" w14:textId="77777777" w:rsidR="00D46430" w:rsidRPr="00CD5673" w:rsidRDefault="00D46430" w:rsidP="00D46430">
      <w:pPr>
        <w:pStyle w:val="subsection"/>
      </w:pPr>
      <w:r w:rsidRPr="00CD5673">
        <w:tab/>
      </w:r>
      <w:r w:rsidRPr="00CD5673">
        <w:tab/>
        <w:t>A notice under subsection 419A(3) of the Act must be given to the owner or lessor, as the case may be, by personal delivery or by prepaid post to the owner’s or lessor’s usual place of residence or business or the place of residence or business last known to the controller.</w:t>
      </w:r>
    </w:p>
    <w:p w14:paraId="3661AA7A" w14:textId="77777777" w:rsidR="00D46430" w:rsidRPr="00CD5673" w:rsidRDefault="00D46430" w:rsidP="00D46430">
      <w:pPr>
        <w:pStyle w:val="ActHead5"/>
      </w:pPr>
      <w:bookmarkStart w:id="119" w:name="_Toc158711730"/>
      <w:r w:rsidRPr="00C614F1">
        <w:rPr>
          <w:rStyle w:val="CharSectno"/>
        </w:rPr>
        <w:t>5.2.02</w:t>
      </w:r>
      <w:r w:rsidRPr="00CD5673">
        <w:t xml:space="preserve">  Certified copies of reports</w:t>
      </w:r>
      <w:bookmarkEnd w:id="119"/>
    </w:p>
    <w:p w14:paraId="5BD5CEF4" w14:textId="77777777" w:rsidR="00D46430" w:rsidRPr="00CD5673" w:rsidRDefault="00D46430" w:rsidP="00D46430">
      <w:pPr>
        <w:pStyle w:val="subsection"/>
      </w:pPr>
      <w:r w:rsidRPr="00CD5673">
        <w:tab/>
      </w:r>
      <w:r w:rsidRPr="00CD5673">
        <w:tab/>
        <w:t>A copy of:</w:t>
      </w:r>
    </w:p>
    <w:p w14:paraId="34714F2B" w14:textId="77777777" w:rsidR="00D46430" w:rsidRPr="00CD5673" w:rsidRDefault="00D46430" w:rsidP="00D46430">
      <w:pPr>
        <w:pStyle w:val="paragraph"/>
      </w:pPr>
      <w:r w:rsidRPr="00CD5673">
        <w:tab/>
        <w:t>(a)</w:t>
      </w:r>
      <w:r w:rsidRPr="00CD5673">
        <w:tab/>
        <w:t>a report that must be lodged; and</w:t>
      </w:r>
    </w:p>
    <w:p w14:paraId="79F6E701" w14:textId="77777777" w:rsidR="00D46430" w:rsidRPr="00CD5673" w:rsidRDefault="00D46430" w:rsidP="00D46430">
      <w:pPr>
        <w:pStyle w:val="paragraph"/>
      </w:pPr>
      <w:r w:rsidRPr="00CD5673">
        <w:tab/>
        <w:t>(b)</w:t>
      </w:r>
      <w:r w:rsidRPr="00CD5673">
        <w:tab/>
        <w:t>a certificate or other document annexed to that report;</w:t>
      </w:r>
    </w:p>
    <w:p w14:paraId="10090F05" w14:textId="77777777" w:rsidR="00D46430" w:rsidRPr="00CD5673" w:rsidRDefault="00D46430" w:rsidP="00D46430">
      <w:pPr>
        <w:pStyle w:val="subsection2"/>
      </w:pPr>
      <w:r w:rsidRPr="00CD5673">
        <w:t>must be certified in writing to be a true copy by:</w:t>
      </w:r>
    </w:p>
    <w:p w14:paraId="4691FDD2" w14:textId="77777777" w:rsidR="00D46430" w:rsidRPr="00CD5673" w:rsidRDefault="00D46430" w:rsidP="00D46430">
      <w:pPr>
        <w:pStyle w:val="paragraph"/>
      </w:pPr>
      <w:r w:rsidRPr="00CD5673">
        <w:tab/>
        <w:t>(c)</w:t>
      </w:r>
      <w:r w:rsidRPr="00CD5673">
        <w:tab/>
        <w:t>for a copy lodged for paragraph 429(2)(c) of the Act—the controller of property of the corporation; or</w:t>
      </w:r>
    </w:p>
    <w:p w14:paraId="69C3344F" w14:textId="77777777" w:rsidR="00D46430" w:rsidRPr="00CD5673" w:rsidRDefault="00D46430" w:rsidP="00D46430">
      <w:pPr>
        <w:pStyle w:val="paragraph"/>
      </w:pPr>
      <w:r w:rsidRPr="00CD5673">
        <w:tab/>
        <w:t>(f)</w:t>
      </w:r>
      <w:r w:rsidRPr="00CD5673">
        <w:tab/>
        <w:t>for a copy lodged for subsection 475(7) of the Act—by the liquidator or provisional liquidator of the company.</w:t>
      </w:r>
    </w:p>
    <w:p w14:paraId="00BA9E6F" w14:textId="77777777" w:rsidR="00D46430" w:rsidRPr="00CD5673" w:rsidRDefault="00D46430" w:rsidP="00D46430">
      <w:pPr>
        <w:pStyle w:val="ActHead5"/>
      </w:pPr>
      <w:bookmarkStart w:id="120" w:name="_Toc158711731"/>
      <w:r w:rsidRPr="00C614F1">
        <w:rPr>
          <w:rStyle w:val="CharSectno"/>
        </w:rPr>
        <w:t>5.2.50</w:t>
      </w:r>
      <w:r w:rsidRPr="00CD5673">
        <w:t xml:space="preserve">  Prescribed kinds of contracts, agreements or arrangements under which rights are not subject to the stay in section 434J of the Act</w:t>
      </w:r>
      <w:bookmarkEnd w:id="120"/>
    </w:p>
    <w:p w14:paraId="125CB2BD" w14:textId="77777777" w:rsidR="00D46430" w:rsidRPr="00CD5673" w:rsidRDefault="00D46430" w:rsidP="00D46430">
      <w:pPr>
        <w:pStyle w:val="subsection"/>
      </w:pPr>
      <w:r w:rsidRPr="00CD5673">
        <w:tab/>
      </w:r>
      <w:r w:rsidRPr="00CD5673">
        <w:tab/>
        <w:t>For the purposes of subparagraph 434J(5)(b)(i) of the Act, each of the kinds of contracts, agreements or arrangements referred to in subregulation 5.3A.50(2) is prescribed.</w:t>
      </w:r>
    </w:p>
    <w:p w14:paraId="0941A8CC" w14:textId="77777777" w:rsidR="00D46430" w:rsidRPr="00CD5673" w:rsidRDefault="00D46430" w:rsidP="00D46430">
      <w:pPr>
        <w:pStyle w:val="ActHead2"/>
        <w:pageBreakBefore/>
      </w:pPr>
      <w:bookmarkStart w:id="121" w:name="_Toc158711732"/>
      <w:r w:rsidRPr="00C614F1">
        <w:rPr>
          <w:rStyle w:val="CharPartNo"/>
        </w:rPr>
        <w:lastRenderedPageBreak/>
        <w:t>Part 5.3A</w:t>
      </w:r>
      <w:r w:rsidRPr="00CD5673">
        <w:t>—</w:t>
      </w:r>
      <w:r w:rsidRPr="00C614F1">
        <w:rPr>
          <w:rStyle w:val="CharPartText"/>
        </w:rPr>
        <w:t>Administration of a company’s affairs with a view to executing a deed of company arrangement</w:t>
      </w:r>
      <w:bookmarkEnd w:id="121"/>
    </w:p>
    <w:p w14:paraId="36F55890"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7D536237" w14:textId="77777777" w:rsidR="00D46430" w:rsidRPr="00CD5673" w:rsidRDefault="00D46430" w:rsidP="00D46430">
      <w:pPr>
        <w:pStyle w:val="ActHead5"/>
      </w:pPr>
      <w:bookmarkStart w:id="122" w:name="_Toc158711733"/>
      <w:r w:rsidRPr="00C614F1">
        <w:rPr>
          <w:rStyle w:val="CharSectno"/>
        </w:rPr>
        <w:t>5.3A.03A</w:t>
      </w:r>
      <w:r w:rsidRPr="00CD5673">
        <w:t xml:space="preserve">  Notice of first meeting of creditors</w:t>
      </w:r>
      <w:bookmarkEnd w:id="122"/>
    </w:p>
    <w:p w14:paraId="02EBCEAC" w14:textId="77777777" w:rsidR="00D46430" w:rsidRPr="00CD5673" w:rsidRDefault="00D46430" w:rsidP="00D46430">
      <w:pPr>
        <w:pStyle w:val="subsection"/>
      </w:pPr>
      <w:r w:rsidRPr="00CD5673">
        <w:tab/>
        <w:t>(1)</w:t>
      </w:r>
      <w:r w:rsidRPr="00CD5673">
        <w:tab/>
        <w:t>This regulation is made for paragraph 436E(3)(b) of the Act.</w:t>
      </w:r>
    </w:p>
    <w:p w14:paraId="2B64452C" w14:textId="77777777" w:rsidR="00D46430" w:rsidRPr="00CD5673" w:rsidRDefault="00D46430" w:rsidP="00D46430">
      <w:pPr>
        <w:pStyle w:val="subsection"/>
      </w:pPr>
      <w:r w:rsidRPr="00CD5673">
        <w:tab/>
        <w:t>(2)</w:t>
      </w:r>
      <w:r w:rsidRPr="00CD5673">
        <w:tab/>
        <w:t>The information about a meeting that is to be set out in a notice is at least the following information:</w:t>
      </w:r>
    </w:p>
    <w:p w14:paraId="40BE74AA" w14:textId="77777777" w:rsidR="00D46430" w:rsidRPr="00CD5673" w:rsidRDefault="00D46430" w:rsidP="00D46430">
      <w:pPr>
        <w:pStyle w:val="paragraph"/>
      </w:pPr>
      <w:r w:rsidRPr="00CD5673">
        <w:tab/>
        <w:t>(a)</w:t>
      </w:r>
      <w:r w:rsidRPr="00CD5673">
        <w:tab/>
        <w:t>the name of the company;</w:t>
      </w:r>
    </w:p>
    <w:p w14:paraId="658E79C5" w14:textId="77777777" w:rsidR="00D46430" w:rsidRPr="00CD5673" w:rsidRDefault="00D46430" w:rsidP="00D46430">
      <w:pPr>
        <w:pStyle w:val="paragraph"/>
      </w:pPr>
      <w:r w:rsidRPr="00CD5673">
        <w:tab/>
        <w:t>(b)</w:t>
      </w:r>
      <w:r w:rsidRPr="00CD5673">
        <w:tab/>
        <w:t>any trading name of the company;</w:t>
      </w:r>
    </w:p>
    <w:p w14:paraId="25E25681" w14:textId="77777777" w:rsidR="00D46430" w:rsidRPr="00CD5673" w:rsidRDefault="00D46430" w:rsidP="00D46430">
      <w:pPr>
        <w:pStyle w:val="paragraph"/>
      </w:pPr>
      <w:r w:rsidRPr="00CD5673">
        <w:tab/>
        <w:t>(c)</w:t>
      </w:r>
      <w:r w:rsidRPr="00CD5673">
        <w:tab/>
        <w:t>the ACN of the company;</w:t>
      </w:r>
    </w:p>
    <w:p w14:paraId="771D67D4" w14:textId="77777777" w:rsidR="00D46430" w:rsidRPr="00CD5673" w:rsidRDefault="00D46430" w:rsidP="00D46430">
      <w:pPr>
        <w:pStyle w:val="paragraph"/>
      </w:pPr>
      <w:r w:rsidRPr="00CD5673">
        <w:tab/>
        <w:t>(d)</w:t>
      </w:r>
      <w:r w:rsidRPr="00CD5673">
        <w:tab/>
        <w:t>the section of the Act or, in the case of a combined notice, the sections of the Act under which the notice is being given;</w:t>
      </w:r>
    </w:p>
    <w:p w14:paraId="3E252F78" w14:textId="77777777" w:rsidR="00D46430" w:rsidRPr="00CD5673" w:rsidRDefault="00D46430" w:rsidP="00D46430">
      <w:pPr>
        <w:pStyle w:val="paragraph"/>
      </w:pPr>
      <w:r w:rsidRPr="00CD5673">
        <w:tab/>
        <w:t>(e)</w:t>
      </w:r>
      <w:r w:rsidRPr="00CD5673">
        <w:tab/>
        <w:t>the time, date and place for the meeting;</w:t>
      </w:r>
    </w:p>
    <w:p w14:paraId="339AE763" w14:textId="77777777" w:rsidR="00D46430" w:rsidRPr="00CD5673" w:rsidRDefault="00D46430" w:rsidP="00D46430">
      <w:pPr>
        <w:pStyle w:val="paragraph"/>
      </w:pPr>
      <w:r w:rsidRPr="00CD5673">
        <w:tab/>
        <w:t>(f)</w:t>
      </w:r>
      <w:r w:rsidRPr="00CD5673">
        <w:tab/>
        <w:t>the purpose for which the meeting is being convened under that section;</w:t>
      </w:r>
    </w:p>
    <w:p w14:paraId="58AB7DCE" w14:textId="77777777" w:rsidR="00D46430" w:rsidRPr="00CD5673" w:rsidRDefault="00D46430" w:rsidP="00D46430">
      <w:pPr>
        <w:pStyle w:val="paragraph"/>
      </w:pPr>
      <w:r w:rsidRPr="00CD5673">
        <w:tab/>
        <w:t>(g)</w:t>
      </w:r>
      <w:r w:rsidRPr="00CD5673">
        <w:tab/>
        <w:t>the time and date by which proofs of debt, and proxies for the meeting, are to be submitted;</w:t>
      </w:r>
    </w:p>
    <w:p w14:paraId="4606348F" w14:textId="77777777" w:rsidR="00D46430" w:rsidRPr="00CD5673" w:rsidRDefault="00D46430" w:rsidP="00D46430">
      <w:pPr>
        <w:pStyle w:val="paragraph"/>
      </w:pPr>
      <w:r w:rsidRPr="00CD5673">
        <w:tab/>
        <w:t>(h)</w:t>
      </w:r>
      <w:r w:rsidRPr="00CD5673">
        <w:tab/>
        <w:t>the name and contact details of the administrator;</w:t>
      </w:r>
    </w:p>
    <w:p w14:paraId="771B1AED" w14:textId="77777777" w:rsidR="00D46430" w:rsidRPr="00CD5673" w:rsidRDefault="00D46430" w:rsidP="00D46430">
      <w:pPr>
        <w:pStyle w:val="paragraph"/>
      </w:pPr>
      <w:r w:rsidRPr="00CD5673">
        <w:tab/>
        <w:t>(i)</w:t>
      </w:r>
      <w:r w:rsidRPr="00CD5673">
        <w:tab/>
        <w:t>the date on which the administrator was appointed;</w:t>
      </w:r>
    </w:p>
    <w:p w14:paraId="65E4F327" w14:textId="77777777" w:rsidR="00D46430" w:rsidRPr="00CD5673" w:rsidRDefault="00D46430" w:rsidP="00D46430">
      <w:pPr>
        <w:pStyle w:val="paragraph"/>
      </w:pPr>
      <w:r w:rsidRPr="00CD5673">
        <w:tab/>
        <w:t>(j)</w:t>
      </w:r>
      <w:r w:rsidRPr="00CD5673">
        <w:tab/>
        <w:t>the section of the Act under which the administrator was appointed.</w:t>
      </w:r>
    </w:p>
    <w:p w14:paraId="1B50FF27" w14:textId="77777777" w:rsidR="00D46430" w:rsidRPr="00CD5673" w:rsidRDefault="00D46430" w:rsidP="00D46430">
      <w:pPr>
        <w:pStyle w:val="ActHead5"/>
      </w:pPr>
      <w:bookmarkStart w:id="123" w:name="_Toc158711734"/>
      <w:r w:rsidRPr="00C614F1">
        <w:rPr>
          <w:rStyle w:val="CharSectno"/>
        </w:rPr>
        <w:t>5.3A.05</w:t>
      </w:r>
      <w:r w:rsidRPr="00CD5673">
        <w:t xml:space="preserve">  Administrator’s notice to owner or lessor of property—how given</w:t>
      </w:r>
      <w:bookmarkEnd w:id="123"/>
    </w:p>
    <w:p w14:paraId="0D5948CC" w14:textId="77777777" w:rsidR="00D46430" w:rsidRPr="00CD5673" w:rsidRDefault="00D46430" w:rsidP="00D46430">
      <w:pPr>
        <w:pStyle w:val="subsection"/>
      </w:pPr>
      <w:r w:rsidRPr="00CD5673">
        <w:tab/>
      </w:r>
      <w:r w:rsidRPr="00CD5673">
        <w:tab/>
        <w:t>A notice under subsection 443B(3) of the Act must be given to the owner or lessor, as the case may be, by personal delivery or by prepaid post to the owner’s or lessor’s usual place of residence or business or the place of residence or business last known to the administrator.</w:t>
      </w:r>
    </w:p>
    <w:p w14:paraId="354A747B" w14:textId="77777777" w:rsidR="00D46430" w:rsidRPr="00CD5673" w:rsidRDefault="00D46430" w:rsidP="00D46430">
      <w:pPr>
        <w:pStyle w:val="ActHead5"/>
      </w:pPr>
      <w:bookmarkStart w:id="124" w:name="_Toc158711735"/>
      <w:r w:rsidRPr="00C614F1">
        <w:rPr>
          <w:rStyle w:val="CharSectno"/>
        </w:rPr>
        <w:t>5.3A.06</w:t>
      </w:r>
      <w:r w:rsidRPr="00CD5673">
        <w:t xml:space="preserve">  Provisions included in deed of company arrangement</w:t>
      </w:r>
      <w:bookmarkEnd w:id="124"/>
    </w:p>
    <w:p w14:paraId="04635945" w14:textId="77777777" w:rsidR="00D46430" w:rsidRPr="00CD5673" w:rsidRDefault="00D46430" w:rsidP="00D46430">
      <w:pPr>
        <w:pStyle w:val="subsection"/>
        <w:keepNext/>
        <w:keepLines/>
      </w:pPr>
      <w:r w:rsidRPr="00CD5673">
        <w:tab/>
      </w:r>
      <w:r w:rsidRPr="00CD5673">
        <w:tab/>
        <w:t>For subsection 444A(5) of the Act, the prescribed provisions are those set out in Schedule 8A.</w:t>
      </w:r>
    </w:p>
    <w:p w14:paraId="72646396" w14:textId="77777777" w:rsidR="00D46430" w:rsidRPr="00CD5673" w:rsidRDefault="00D46430" w:rsidP="00D46430">
      <w:pPr>
        <w:pStyle w:val="ActHead5"/>
      </w:pPr>
      <w:bookmarkStart w:id="125" w:name="_Toc158711736"/>
      <w:r w:rsidRPr="00C614F1">
        <w:rPr>
          <w:rStyle w:val="CharSectno"/>
        </w:rPr>
        <w:t>5.3A.06A</w:t>
      </w:r>
      <w:r w:rsidRPr="00CD5673">
        <w:t xml:space="preserve">  Notice of resolution to wind up voluntarily</w:t>
      </w:r>
      <w:bookmarkEnd w:id="125"/>
    </w:p>
    <w:p w14:paraId="104D6230" w14:textId="77777777" w:rsidR="00D46430" w:rsidRPr="00CD5673" w:rsidRDefault="00D46430" w:rsidP="00D46430">
      <w:pPr>
        <w:pStyle w:val="subsection"/>
      </w:pPr>
      <w:r w:rsidRPr="00CD5673">
        <w:tab/>
        <w:t>(1)</w:t>
      </w:r>
      <w:r w:rsidRPr="00CD5673">
        <w:tab/>
        <w:t>This regulation is made for paragraph 446A(5)(b) of the Act.</w:t>
      </w:r>
    </w:p>
    <w:p w14:paraId="03BC861C" w14:textId="77777777" w:rsidR="00D46430" w:rsidRPr="00CD5673" w:rsidRDefault="00D46430" w:rsidP="00D46430">
      <w:pPr>
        <w:pStyle w:val="subsection"/>
      </w:pPr>
      <w:r w:rsidRPr="00CD5673">
        <w:tab/>
        <w:t>(2)</w:t>
      </w:r>
      <w:r w:rsidRPr="00CD5673">
        <w:tab/>
        <w:t>The notice must be published by the end of the next business day after a liquidator is appointed to administer the winding up of the company.</w:t>
      </w:r>
    </w:p>
    <w:p w14:paraId="72719C43" w14:textId="77777777" w:rsidR="00D46430" w:rsidRPr="00CD5673" w:rsidRDefault="00D46430" w:rsidP="00D46430">
      <w:pPr>
        <w:pStyle w:val="ActHead5"/>
      </w:pPr>
      <w:bookmarkStart w:id="126" w:name="_Toc158711737"/>
      <w:r w:rsidRPr="00C614F1">
        <w:rPr>
          <w:rStyle w:val="CharSectno"/>
        </w:rPr>
        <w:t>5.3A.07A</w:t>
      </w:r>
      <w:r w:rsidRPr="00CD5673">
        <w:t xml:space="preserve">  Notice of appointment of administrator</w:t>
      </w:r>
      <w:bookmarkEnd w:id="126"/>
    </w:p>
    <w:p w14:paraId="0B84AA1C" w14:textId="77777777" w:rsidR="00D46430" w:rsidRPr="00CD5673" w:rsidRDefault="00D46430" w:rsidP="00D46430">
      <w:pPr>
        <w:pStyle w:val="subsection"/>
      </w:pPr>
      <w:r w:rsidRPr="00CD5673">
        <w:tab/>
        <w:t>(1)</w:t>
      </w:r>
      <w:r w:rsidRPr="00CD5673">
        <w:tab/>
        <w:t>This regulation is made for paragraph 450A(1)(b) of the Act.</w:t>
      </w:r>
    </w:p>
    <w:p w14:paraId="7B7E99B5" w14:textId="77777777" w:rsidR="00D46430" w:rsidRPr="00CD5673" w:rsidRDefault="00D46430" w:rsidP="00D46430">
      <w:pPr>
        <w:pStyle w:val="subsection"/>
      </w:pPr>
      <w:r w:rsidRPr="00CD5673">
        <w:tab/>
        <w:t>(2)</w:t>
      </w:r>
      <w:r w:rsidRPr="00CD5673">
        <w:tab/>
        <w:t>The information about an appointment that is to be set out in a notice is at least the following information:</w:t>
      </w:r>
    </w:p>
    <w:p w14:paraId="42DBB508" w14:textId="77777777" w:rsidR="00D46430" w:rsidRPr="00CD5673" w:rsidRDefault="00D46430" w:rsidP="00D46430">
      <w:pPr>
        <w:pStyle w:val="paragraph"/>
      </w:pPr>
      <w:r w:rsidRPr="00CD5673">
        <w:tab/>
        <w:t>(a)</w:t>
      </w:r>
      <w:r w:rsidRPr="00CD5673">
        <w:tab/>
        <w:t>the name of the company;</w:t>
      </w:r>
    </w:p>
    <w:p w14:paraId="01BCCC8D" w14:textId="77777777" w:rsidR="00D46430" w:rsidRPr="00CD5673" w:rsidRDefault="00D46430" w:rsidP="00D46430">
      <w:pPr>
        <w:pStyle w:val="paragraph"/>
      </w:pPr>
      <w:r w:rsidRPr="00CD5673">
        <w:tab/>
        <w:t>(b)</w:t>
      </w:r>
      <w:r w:rsidRPr="00CD5673">
        <w:tab/>
        <w:t>any trading name of the company;</w:t>
      </w:r>
    </w:p>
    <w:p w14:paraId="42FFEC21" w14:textId="77777777" w:rsidR="00D46430" w:rsidRPr="00CD5673" w:rsidRDefault="00D46430" w:rsidP="00D46430">
      <w:pPr>
        <w:pStyle w:val="paragraph"/>
      </w:pPr>
      <w:r w:rsidRPr="00CD5673">
        <w:tab/>
        <w:t>(c)</w:t>
      </w:r>
      <w:r w:rsidRPr="00CD5673">
        <w:tab/>
        <w:t>the ACN of the company;</w:t>
      </w:r>
    </w:p>
    <w:p w14:paraId="6F127C96" w14:textId="77777777" w:rsidR="00D46430" w:rsidRPr="00CD5673" w:rsidRDefault="00D46430" w:rsidP="00D46430">
      <w:pPr>
        <w:pStyle w:val="paragraph"/>
      </w:pPr>
      <w:r w:rsidRPr="00CD5673">
        <w:tab/>
        <w:t>(d)</w:t>
      </w:r>
      <w:r w:rsidRPr="00CD5673">
        <w:tab/>
        <w:t>the section of the Act or, in the case of a combined notice, the sections of the Act under which the notice is being given;</w:t>
      </w:r>
    </w:p>
    <w:p w14:paraId="33428C17" w14:textId="77777777" w:rsidR="00D46430" w:rsidRPr="00CD5673" w:rsidRDefault="00D46430" w:rsidP="00D46430">
      <w:pPr>
        <w:pStyle w:val="paragraph"/>
      </w:pPr>
      <w:r w:rsidRPr="00CD5673">
        <w:tab/>
        <w:t>(e)</w:t>
      </w:r>
      <w:r w:rsidRPr="00CD5673">
        <w:tab/>
        <w:t>the name and contact details of the administrator;</w:t>
      </w:r>
    </w:p>
    <w:p w14:paraId="1B05231A" w14:textId="77777777" w:rsidR="00D46430" w:rsidRPr="00CD5673" w:rsidRDefault="00D46430" w:rsidP="00D46430">
      <w:pPr>
        <w:pStyle w:val="paragraph"/>
      </w:pPr>
      <w:r w:rsidRPr="00CD5673">
        <w:tab/>
        <w:t>(f)</w:t>
      </w:r>
      <w:r w:rsidRPr="00CD5673">
        <w:tab/>
        <w:t>the date on which the administrator was appointed;</w:t>
      </w:r>
    </w:p>
    <w:p w14:paraId="2F2060A2" w14:textId="77777777" w:rsidR="00D46430" w:rsidRPr="00CD5673" w:rsidRDefault="00D46430" w:rsidP="00D46430">
      <w:pPr>
        <w:pStyle w:val="paragraph"/>
      </w:pPr>
      <w:r w:rsidRPr="00CD5673">
        <w:tab/>
        <w:t>(g)</w:t>
      </w:r>
      <w:r w:rsidRPr="00CD5673">
        <w:tab/>
        <w:t>the section of the Act under which the administrator was appointed.</w:t>
      </w:r>
    </w:p>
    <w:p w14:paraId="0827E592" w14:textId="77777777" w:rsidR="00D46430" w:rsidRPr="00CD5673" w:rsidRDefault="00D46430" w:rsidP="00D46430">
      <w:pPr>
        <w:pStyle w:val="subsection"/>
      </w:pPr>
      <w:r w:rsidRPr="00CD5673">
        <w:tab/>
        <w:t>(3)</w:t>
      </w:r>
      <w:r w:rsidRPr="00CD5673">
        <w:tab/>
        <w:t>The period within which the notice is to be published is 3 business days after an administrator is appointed.</w:t>
      </w:r>
    </w:p>
    <w:p w14:paraId="7D9EC6C9" w14:textId="77777777" w:rsidR="00D46430" w:rsidRPr="00CD5673" w:rsidRDefault="00D46430" w:rsidP="00D46430">
      <w:pPr>
        <w:pStyle w:val="ActHead5"/>
      </w:pPr>
      <w:bookmarkStart w:id="127" w:name="_Toc158711738"/>
      <w:r w:rsidRPr="00C614F1">
        <w:rPr>
          <w:rStyle w:val="CharSectno"/>
        </w:rPr>
        <w:t>5.3A.50</w:t>
      </w:r>
      <w:r w:rsidRPr="00CD5673">
        <w:t xml:space="preserve">  Prescribed kinds of contracts, agreements or arrangements under which rights are not subject to the stay in section 451E of the Act</w:t>
      </w:r>
      <w:bookmarkEnd w:id="127"/>
    </w:p>
    <w:p w14:paraId="4F3D086D" w14:textId="77777777" w:rsidR="00D46430" w:rsidRPr="00CD5673" w:rsidRDefault="00D46430" w:rsidP="00D46430">
      <w:pPr>
        <w:pStyle w:val="subsection"/>
      </w:pPr>
      <w:r w:rsidRPr="00CD5673">
        <w:tab/>
        <w:t>(1)</w:t>
      </w:r>
      <w:r w:rsidRPr="00CD5673">
        <w:tab/>
        <w:t>For the purposes of subparagraph 451E(5)(b)(i) of the Act, each of the kinds of contracts, agreements or arrangements referred to in subregulation (2) is prescribed.</w:t>
      </w:r>
    </w:p>
    <w:p w14:paraId="73791DBA" w14:textId="77777777" w:rsidR="00D46430" w:rsidRPr="00CD5673" w:rsidRDefault="00D46430" w:rsidP="00D46430">
      <w:pPr>
        <w:pStyle w:val="subsection"/>
      </w:pPr>
      <w:r w:rsidRPr="00CD5673">
        <w:lastRenderedPageBreak/>
        <w:tab/>
        <w:t>(2)</w:t>
      </w:r>
      <w:r w:rsidRPr="00CD5673">
        <w:tab/>
        <w:t>The kinds of contracts, agreements or arrangements are as follows:</w:t>
      </w:r>
    </w:p>
    <w:p w14:paraId="08766A80" w14:textId="77777777" w:rsidR="00D46430" w:rsidRPr="00CD5673" w:rsidRDefault="00D46430" w:rsidP="00D46430">
      <w:pPr>
        <w:pStyle w:val="paragraph"/>
      </w:pPr>
      <w:r w:rsidRPr="00CD5673">
        <w:tab/>
        <w:t>(a)</w:t>
      </w:r>
      <w:r w:rsidRPr="00CD5673">
        <w:tab/>
        <w:t xml:space="preserve">an agreement (within the meaning of the </w:t>
      </w:r>
      <w:r w:rsidRPr="00CD5673">
        <w:rPr>
          <w:b/>
          <w:i/>
        </w:rPr>
        <w:t>Convention</w:t>
      </w:r>
      <w:r w:rsidRPr="00CD5673">
        <w:t xml:space="preserve"> defined in section 3 of the </w:t>
      </w:r>
      <w:r w:rsidRPr="00CD5673">
        <w:rPr>
          <w:i/>
        </w:rPr>
        <w:t>International Interests in Mobile Equipment (Cape Town Convention) Act 2013</w:t>
      </w:r>
      <w:r w:rsidRPr="00CD5673">
        <w:t>);</w:t>
      </w:r>
    </w:p>
    <w:p w14:paraId="41E062C7" w14:textId="77777777" w:rsidR="00D46430" w:rsidRPr="00CD5673" w:rsidRDefault="00D46430" w:rsidP="00D46430">
      <w:pPr>
        <w:pStyle w:val="paragraph"/>
      </w:pPr>
      <w:r w:rsidRPr="00CD5673">
        <w:tab/>
        <w:t>(b)</w:t>
      </w:r>
      <w:r w:rsidRPr="00CD5673">
        <w:tab/>
        <w:t>a contract, agreement or arrangement that is a licence, permit or approval issued by:</w:t>
      </w:r>
    </w:p>
    <w:p w14:paraId="583A418F" w14:textId="77777777" w:rsidR="00D46430" w:rsidRPr="00CD5673" w:rsidRDefault="00D46430" w:rsidP="00D46430">
      <w:pPr>
        <w:pStyle w:val="paragraphsub"/>
      </w:pPr>
      <w:r w:rsidRPr="00CD5673">
        <w:tab/>
        <w:t>(i)</w:t>
      </w:r>
      <w:r w:rsidRPr="00CD5673">
        <w:tab/>
        <w:t>the Commonwealth, a State or a Territory; or</w:t>
      </w:r>
    </w:p>
    <w:p w14:paraId="4DF1FFE9" w14:textId="77777777" w:rsidR="00D46430" w:rsidRPr="00CD5673" w:rsidRDefault="00D46430" w:rsidP="00D46430">
      <w:pPr>
        <w:pStyle w:val="paragraphsub"/>
      </w:pPr>
      <w:r w:rsidRPr="00CD5673">
        <w:tab/>
        <w:t>(ii)</w:t>
      </w:r>
      <w:r w:rsidRPr="00CD5673">
        <w:tab/>
        <w:t>an authority of the Commonwealth or of a State or a Territory; or</w:t>
      </w:r>
    </w:p>
    <w:p w14:paraId="57F37C3D" w14:textId="77777777" w:rsidR="00D46430" w:rsidRPr="00CD5673" w:rsidRDefault="00D46430" w:rsidP="00D46430">
      <w:pPr>
        <w:pStyle w:val="paragraphsub"/>
      </w:pPr>
      <w:r w:rsidRPr="00CD5673">
        <w:tab/>
        <w:t>(iii)</w:t>
      </w:r>
      <w:r w:rsidRPr="00CD5673">
        <w:tab/>
        <w:t>a local governing body established by or under a law of a State or Territory;</w:t>
      </w:r>
    </w:p>
    <w:p w14:paraId="32F20DE6" w14:textId="77777777" w:rsidR="00D46430" w:rsidRPr="00CD5673" w:rsidRDefault="00D46430" w:rsidP="00D46430">
      <w:pPr>
        <w:pStyle w:val="paragraph"/>
      </w:pPr>
      <w:r w:rsidRPr="00CD5673">
        <w:tab/>
        <w:t>(c)</w:t>
      </w:r>
      <w:r w:rsidRPr="00CD5673">
        <w:tab/>
        <w:t>a contract, agreement or arrangement relating to Australia’s national security, border protection or defence capability;</w:t>
      </w:r>
    </w:p>
    <w:p w14:paraId="0B0BECF3" w14:textId="77777777" w:rsidR="00D46430" w:rsidRPr="00CD5673" w:rsidRDefault="00D46430" w:rsidP="00D46430">
      <w:pPr>
        <w:pStyle w:val="paragraph"/>
      </w:pPr>
      <w:r w:rsidRPr="00CD5673">
        <w:tab/>
        <w:t>(d)</w:t>
      </w:r>
      <w:r w:rsidRPr="00CD5673">
        <w:tab/>
        <w:t>a contract, agreement or arrangement for the supply of goods or services to a public hospital or a public health service;</w:t>
      </w:r>
    </w:p>
    <w:p w14:paraId="638DE930" w14:textId="77777777" w:rsidR="00D46430" w:rsidRPr="00CD5673" w:rsidRDefault="00D46430" w:rsidP="00D46430">
      <w:pPr>
        <w:pStyle w:val="paragraph"/>
      </w:pPr>
      <w:r w:rsidRPr="00CD5673">
        <w:tab/>
        <w:t>(e)</w:t>
      </w:r>
      <w:r w:rsidRPr="00CD5673">
        <w:tab/>
        <w:t>a contract, agreement or arrangement for the supply of goods or services by or on behalf of a public hospital or a public health service;</w:t>
      </w:r>
    </w:p>
    <w:p w14:paraId="5637B825" w14:textId="77777777" w:rsidR="00D46430" w:rsidRPr="00CD5673" w:rsidRDefault="00D46430" w:rsidP="00D46430">
      <w:pPr>
        <w:pStyle w:val="paragraph"/>
      </w:pPr>
      <w:r w:rsidRPr="00CD5673">
        <w:tab/>
        <w:t>(f)</w:t>
      </w:r>
      <w:r w:rsidRPr="00CD5673">
        <w:tab/>
        <w:t>a contract, agreement or arrangement for the supply of essential or critical goods or services to, or the carrying out of essential or critical works for:</w:t>
      </w:r>
    </w:p>
    <w:p w14:paraId="32A037E3" w14:textId="77777777" w:rsidR="00D46430" w:rsidRPr="00CD5673" w:rsidRDefault="00D46430" w:rsidP="00D46430">
      <w:pPr>
        <w:pStyle w:val="paragraphsub"/>
      </w:pPr>
      <w:r w:rsidRPr="00CD5673">
        <w:tab/>
        <w:t>(i)</w:t>
      </w:r>
      <w:r w:rsidRPr="00CD5673">
        <w:tab/>
        <w:t>the Commonwealth, a State or a Territory; or</w:t>
      </w:r>
    </w:p>
    <w:p w14:paraId="478CCE24" w14:textId="77777777" w:rsidR="00D46430" w:rsidRPr="00CD5673" w:rsidRDefault="00D46430" w:rsidP="00D46430">
      <w:pPr>
        <w:pStyle w:val="paragraphsub"/>
      </w:pPr>
      <w:r w:rsidRPr="00CD5673">
        <w:tab/>
        <w:t>(ii)</w:t>
      </w:r>
      <w:r w:rsidRPr="00CD5673">
        <w:tab/>
        <w:t>an authority of the Commonwealth or of a State or a Territory; or</w:t>
      </w:r>
    </w:p>
    <w:p w14:paraId="7FCD0A46" w14:textId="77777777" w:rsidR="00D46430" w:rsidRPr="00CD5673" w:rsidRDefault="00D46430" w:rsidP="00D46430">
      <w:pPr>
        <w:pStyle w:val="paragraphsub"/>
      </w:pPr>
      <w:r w:rsidRPr="00CD5673">
        <w:tab/>
        <w:t>(iii)</w:t>
      </w:r>
      <w:r w:rsidRPr="00CD5673">
        <w:tab/>
        <w:t>a local governing body established by or under a law of a State or Territory; or</w:t>
      </w:r>
    </w:p>
    <w:p w14:paraId="78101F67" w14:textId="77777777" w:rsidR="00D46430" w:rsidRPr="00CD5673" w:rsidRDefault="00D46430" w:rsidP="00D46430">
      <w:pPr>
        <w:pStyle w:val="paragraphsub"/>
      </w:pPr>
      <w:r w:rsidRPr="00CD5673">
        <w:tab/>
        <w:t>(iv)</w:t>
      </w:r>
      <w:r w:rsidRPr="00CD5673">
        <w:tab/>
        <w:t>the public on behalf of an entity covered by subparagraph (i), (ii) or (iii);</w:t>
      </w:r>
    </w:p>
    <w:p w14:paraId="1D91BBEA" w14:textId="77777777" w:rsidR="00D46430" w:rsidRPr="00CD5673" w:rsidRDefault="00D46430" w:rsidP="00D46430">
      <w:pPr>
        <w:pStyle w:val="noteToPara"/>
      </w:pPr>
      <w:r w:rsidRPr="00CD5673">
        <w:t>Note:</w:t>
      </w:r>
      <w:r w:rsidRPr="00CD5673">
        <w:tab/>
        <w:t xml:space="preserve">Examples of these essential or critical goods, services or works include public transport services, public security or safety services, and </w:t>
      </w:r>
      <w:r w:rsidRPr="00CD5673">
        <w:rPr>
          <w:szCs w:val="22"/>
        </w:rPr>
        <w:t>works affecting essential public infrastructure</w:t>
      </w:r>
      <w:r w:rsidRPr="00CD5673">
        <w:t>.</w:t>
      </w:r>
    </w:p>
    <w:p w14:paraId="7AE2BF78" w14:textId="77777777" w:rsidR="00D46430" w:rsidRPr="00CD5673" w:rsidRDefault="00D46430" w:rsidP="00D46430">
      <w:pPr>
        <w:pStyle w:val="paragraph"/>
      </w:pPr>
      <w:r w:rsidRPr="00CD5673">
        <w:tab/>
        <w:t>(g)</w:t>
      </w:r>
      <w:r w:rsidRPr="00CD5673">
        <w:tab/>
        <w:t>a contract, agreement or arrangement that is, or is directly connected with, a derivative;</w:t>
      </w:r>
    </w:p>
    <w:p w14:paraId="67D85906" w14:textId="77777777" w:rsidR="00D46430" w:rsidRPr="00CD5673" w:rsidRDefault="00D46430" w:rsidP="00D46430">
      <w:pPr>
        <w:pStyle w:val="paragraph"/>
      </w:pPr>
      <w:r w:rsidRPr="00CD5673">
        <w:tab/>
        <w:t>(h)</w:t>
      </w:r>
      <w:r w:rsidRPr="00CD5673">
        <w:tab/>
        <w:t>a contract, agreement or arrangement that is, or is directly connected with, a securities financing transaction;</w:t>
      </w:r>
    </w:p>
    <w:p w14:paraId="71DC33E3" w14:textId="77777777" w:rsidR="00D46430" w:rsidRPr="00CD5673" w:rsidRDefault="00D46430" w:rsidP="00D46430">
      <w:pPr>
        <w:pStyle w:val="paragraph"/>
      </w:pPr>
      <w:r w:rsidRPr="00CD5673">
        <w:tab/>
        <w:t>(i)</w:t>
      </w:r>
      <w:r w:rsidRPr="00CD5673">
        <w:tab/>
        <w:t>a contract, agreement or arrangement for the underwriting of an issue, or sale, of securities, financial products, bonds, promissory notes, or syndicated loans;</w:t>
      </w:r>
    </w:p>
    <w:p w14:paraId="27BF7D35" w14:textId="77777777" w:rsidR="00D46430" w:rsidRPr="00CD5673" w:rsidRDefault="00D46430" w:rsidP="00D46430">
      <w:pPr>
        <w:pStyle w:val="paragraph"/>
      </w:pPr>
      <w:r w:rsidRPr="00CD5673">
        <w:tab/>
        <w:t>(j)</w:t>
      </w:r>
      <w:r w:rsidRPr="00CD5673">
        <w:tab/>
        <w:t>a contract, agreement or arrangement under which a party is or may be liable to subscribe for, or to procure subscribers for, securities, financial products, bonds, promissory notes, or syndicated loans;</w:t>
      </w:r>
    </w:p>
    <w:p w14:paraId="783329E6" w14:textId="77777777" w:rsidR="00D46430" w:rsidRPr="00CD5673" w:rsidRDefault="00D46430" w:rsidP="00D46430">
      <w:pPr>
        <w:pStyle w:val="paragraph"/>
      </w:pPr>
      <w:r w:rsidRPr="00CD5673">
        <w:tab/>
        <w:t>(k)</w:t>
      </w:r>
      <w:r w:rsidRPr="00CD5673">
        <w:tab/>
        <w:t>a contract, agreement or arrangement that is, or governs, securities, financial products, bonds, promissory notes, or syndicated loans;</w:t>
      </w:r>
    </w:p>
    <w:p w14:paraId="5DDB5FFA" w14:textId="77777777" w:rsidR="00D46430" w:rsidRPr="00CD5673" w:rsidRDefault="00D46430" w:rsidP="00D46430">
      <w:pPr>
        <w:pStyle w:val="paragraph"/>
      </w:pPr>
      <w:r w:rsidRPr="00CD5673">
        <w:tab/>
        <w:t>(l)</w:t>
      </w:r>
      <w:r w:rsidRPr="00CD5673">
        <w:tab/>
        <w:t>a contract, agreement or arrangement under which securities are offered, or may be offered, under a rights issue;</w:t>
      </w:r>
    </w:p>
    <w:p w14:paraId="43FDEABD" w14:textId="77777777" w:rsidR="00D46430" w:rsidRPr="00CD5673" w:rsidRDefault="00D46430" w:rsidP="00D46430">
      <w:pPr>
        <w:pStyle w:val="paragraph"/>
      </w:pPr>
      <w:r w:rsidRPr="00CD5673">
        <w:tab/>
        <w:t>(m)</w:t>
      </w:r>
      <w:r w:rsidRPr="00CD5673">
        <w:tab/>
        <w:t>a contract, agreement or arrangement for the sale of all or part of a business, including by way of the sale of securities or financial products;</w:t>
      </w:r>
    </w:p>
    <w:p w14:paraId="7F23243B" w14:textId="77777777" w:rsidR="00D46430" w:rsidRPr="00CD5673" w:rsidRDefault="00D46430" w:rsidP="00D46430">
      <w:pPr>
        <w:pStyle w:val="paragraph"/>
      </w:pPr>
      <w:r w:rsidRPr="00CD5673">
        <w:tab/>
        <w:t>(n)</w:t>
      </w:r>
      <w:r w:rsidRPr="00CD5673">
        <w:tab/>
        <w:t>a contract, agreement or arrangement for the issue of an instrument that:</w:t>
      </w:r>
    </w:p>
    <w:p w14:paraId="0231E7E5" w14:textId="77777777" w:rsidR="00D46430" w:rsidRPr="00CD5673" w:rsidRDefault="00D46430" w:rsidP="00D46430">
      <w:pPr>
        <w:pStyle w:val="paragraphsub"/>
      </w:pPr>
      <w:r w:rsidRPr="00CD5673">
        <w:tab/>
        <w:t>(i)</w:t>
      </w:r>
      <w:r w:rsidRPr="00CD5673">
        <w:tab/>
        <w:t>is a security, financial product, bond, promissory note, or syndicated loan; and</w:t>
      </w:r>
    </w:p>
    <w:p w14:paraId="4F99E46D" w14:textId="77777777" w:rsidR="00D46430" w:rsidRPr="00CD5673" w:rsidRDefault="00D46430" w:rsidP="00D46430">
      <w:pPr>
        <w:pStyle w:val="paragraphsub"/>
      </w:pPr>
      <w:r w:rsidRPr="00CD5673">
        <w:tab/>
        <w:t>(ii)</w:t>
      </w:r>
      <w:r w:rsidRPr="00CD5673">
        <w:tab/>
        <w:t>belongs to a class of such instruments, each of which is fungible, and the first of which was issued before 1 July 2018;</w:t>
      </w:r>
    </w:p>
    <w:p w14:paraId="5DDD1831" w14:textId="77777777" w:rsidR="00D46430" w:rsidRPr="00CD5673" w:rsidRDefault="00D46430" w:rsidP="00D46430">
      <w:pPr>
        <w:pStyle w:val="paragraph"/>
      </w:pPr>
      <w:r w:rsidRPr="00CD5673">
        <w:tab/>
        <w:t>(o)</w:t>
      </w:r>
      <w:r w:rsidRPr="00CD5673">
        <w:tab/>
        <w:t>a contract, agreement or arrangement that is, or is directly connected with, a margin lending facility;</w:t>
      </w:r>
    </w:p>
    <w:p w14:paraId="05F6048B" w14:textId="77777777" w:rsidR="00D46430" w:rsidRPr="00CD5673" w:rsidRDefault="00D46430" w:rsidP="00D46430">
      <w:pPr>
        <w:pStyle w:val="paragraph"/>
      </w:pPr>
      <w:r w:rsidRPr="00CD5673">
        <w:tab/>
        <w:t>(p)</w:t>
      </w:r>
      <w:r w:rsidRPr="00CD5673">
        <w:tab/>
        <w:t>a contract, agreement or arrangement that is:</w:t>
      </w:r>
    </w:p>
    <w:p w14:paraId="4A18FBD2" w14:textId="77777777" w:rsidR="00D46430" w:rsidRPr="00CD5673" w:rsidRDefault="00D46430" w:rsidP="00D46430">
      <w:pPr>
        <w:pStyle w:val="paragraphsub"/>
      </w:pPr>
      <w:r w:rsidRPr="00CD5673">
        <w:tab/>
        <w:t>(i)</w:t>
      </w:r>
      <w:r w:rsidRPr="00CD5673">
        <w:tab/>
        <w:t xml:space="preserve">a covered bond (within the meaning of the </w:t>
      </w:r>
      <w:r w:rsidRPr="00CD5673">
        <w:rPr>
          <w:i/>
        </w:rPr>
        <w:t>Banking Act 1959</w:t>
      </w:r>
      <w:r w:rsidRPr="00CD5673">
        <w:t>); or</w:t>
      </w:r>
    </w:p>
    <w:p w14:paraId="3B819163" w14:textId="77777777" w:rsidR="00D46430" w:rsidRPr="00CD5673" w:rsidRDefault="00D46430" w:rsidP="00D46430">
      <w:pPr>
        <w:pStyle w:val="paragraphsub"/>
      </w:pPr>
      <w:r w:rsidRPr="00CD5673">
        <w:tab/>
        <w:t>(ii)</w:t>
      </w:r>
      <w:r w:rsidRPr="00CD5673">
        <w:tab/>
        <w:t>for issuing such a bond; or</w:t>
      </w:r>
    </w:p>
    <w:p w14:paraId="74B36498" w14:textId="77777777" w:rsidR="00D46430" w:rsidRPr="00CD5673" w:rsidRDefault="00D46430" w:rsidP="00D46430">
      <w:pPr>
        <w:pStyle w:val="paragraphsub"/>
      </w:pPr>
      <w:r w:rsidRPr="00CD5673">
        <w:tab/>
        <w:t>(iii)</w:t>
      </w:r>
      <w:r w:rsidRPr="00CD5673">
        <w:tab/>
        <w:t>directly connected with such a bond or the issuing of such a bond;</w:t>
      </w:r>
    </w:p>
    <w:p w14:paraId="21270F0F" w14:textId="77777777" w:rsidR="00D46430" w:rsidRPr="00CD5673" w:rsidRDefault="00D46430" w:rsidP="00D46430">
      <w:pPr>
        <w:pStyle w:val="paragraph"/>
      </w:pPr>
      <w:r w:rsidRPr="00CD5673">
        <w:tab/>
        <w:t>(q)</w:t>
      </w:r>
      <w:r w:rsidRPr="00CD5673">
        <w:tab/>
        <w:t>a contract, agreement or arrangement providing for the management of financial investments;</w:t>
      </w:r>
    </w:p>
    <w:p w14:paraId="72798564" w14:textId="77777777" w:rsidR="00D46430" w:rsidRPr="00CD5673" w:rsidRDefault="00D46430" w:rsidP="00D46430">
      <w:pPr>
        <w:pStyle w:val="paragraph"/>
      </w:pPr>
      <w:r w:rsidRPr="00CD5673">
        <w:rPr>
          <w:lang w:eastAsia="en-US"/>
        </w:rPr>
        <w:tab/>
        <w:t>(r)</w:t>
      </w:r>
      <w:r w:rsidRPr="00CD5673">
        <w:rPr>
          <w:lang w:eastAsia="en-US"/>
        </w:rPr>
        <w:tab/>
      </w:r>
      <w:r w:rsidRPr="00CD5673">
        <w:t xml:space="preserve">a contract, agreement or arrangement that </w:t>
      </w:r>
      <w:r w:rsidRPr="00CD5673">
        <w:rPr>
          <w:lang w:eastAsia="en-US"/>
        </w:rPr>
        <w:t xml:space="preserve">involves a special purpose vehicle, and that </w:t>
      </w:r>
      <w:r w:rsidRPr="00CD5673">
        <w:t>provides for</w:t>
      </w:r>
      <w:r w:rsidRPr="00CD5673">
        <w:rPr>
          <w:lang w:eastAsia="en-US"/>
        </w:rPr>
        <w:t xml:space="preserve"> </w:t>
      </w:r>
      <w:r w:rsidRPr="00CD5673">
        <w:t>securitisation or a public</w:t>
      </w:r>
      <w:r w:rsidR="00C614F1">
        <w:noBreakHyphen/>
      </w:r>
      <w:r w:rsidRPr="00CD5673">
        <w:t>private partnership;</w:t>
      </w:r>
    </w:p>
    <w:p w14:paraId="3AFF5074" w14:textId="77777777" w:rsidR="00D46430" w:rsidRPr="00CD5673" w:rsidRDefault="00D46430" w:rsidP="00D46430">
      <w:pPr>
        <w:pStyle w:val="paragraph"/>
      </w:pPr>
      <w:r w:rsidRPr="00CD5673">
        <w:rPr>
          <w:lang w:eastAsia="en-US"/>
        </w:rPr>
        <w:tab/>
        <w:t>(s)</w:t>
      </w:r>
      <w:r w:rsidRPr="00CD5673">
        <w:rPr>
          <w:lang w:eastAsia="en-US"/>
        </w:rPr>
        <w:tab/>
      </w:r>
      <w:r w:rsidRPr="00CD5673">
        <w:t xml:space="preserve">a contract, agreement or arrangement that </w:t>
      </w:r>
      <w:r w:rsidRPr="00CD5673">
        <w:rPr>
          <w:lang w:eastAsia="en-US"/>
        </w:rPr>
        <w:t xml:space="preserve">involves a special purpose vehicle, and that </w:t>
      </w:r>
      <w:r w:rsidRPr="00CD5673">
        <w:t>provides for</w:t>
      </w:r>
      <w:r w:rsidRPr="00CD5673">
        <w:rPr>
          <w:lang w:eastAsia="en-US"/>
        </w:rPr>
        <w:t xml:space="preserve"> </w:t>
      </w:r>
      <w:r w:rsidRPr="00CD5673">
        <w:t>a project finance arrangement under which:</w:t>
      </w:r>
    </w:p>
    <w:p w14:paraId="6FBE472F" w14:textId="77777777" w:rsidR="00D46430" w:rsidRPr="00CD5673" w:rsidRDefault="00D46430" w:rsidP="00D46430">
      <w:pPr>
        <w:pStyle w:val="paragraphsub"/>
      </w:pPr>
      <w:r w:rsidRPr="00CD5673">
        <w:tab/>
        <w:t>(i)</w:t>
      </w:r>
      <w:r w:rsidRPr="00CD5673">
        <w:tab/>
        <w:t>a financial accommodation is to be repaid or otherwise discharged primarily from the project’s cash flow; and</w:t>
      </w:r>
    </w:p>
    <w:p w14:paraId="71BDB621" w14:textId="77777777" w:rsidR="00D46430" w:rsidRPr="00CD5673" w:rsidRDefault="00D46430" w:rsidP="00D46430">
      <w:pPr>
        <w:pStyle w:val="paragraphsub"/>
      </w:pPr>
      <w:r w:rsidRPr="00CD5673">
        <w:tab/>
        <w:t>(ii)</w:t>
      </w:r>
      <w:r w:rsidRPr="00CD5673">
        <w:tab/>
        <w:t>all or substantially all of the project’s assets, rights and interests are to be held as security for the financial accommodation;</w:t>
      </w:r>
    </w:p>
    <w:p w14:paraId="16010B19" w14:textId="77777777" w:rsidR="00D46430" w:rsidRPr="00CD5673" w:rsidRDefault="00D46430" w:rsidP="00D46430">
      <w:pPr>
        <w:pStyle w:val="paragraph"/>
      </w:pPr>
      <w:r w:rsidRPr="00CD5673">
        <w:tab/>
        <w:t>(t)</w:t>
      </w:r>
      <w:r w:rsidRPr="00CD5673">
        <w:tab/>
        <w:t>a contract, agreement or arrangement for the keeping in escrow of:</w:t>
      </w:r>
    </w:p>
    <w:p w14:paraId="41138258" w14:textId="77777777" w:rsidR="00D46430" w:rsidRPr="00CD5673" w:rsidRDefault="00D46430" w:rsidP="00D46430">
      <w:pPr>
        <w:pStyle w:val="paragraphsub"/>
      </w:pPr>
      <w:r w:rsidRPr="00CD5673">
        <w:tab/>
        <w:t>(i)</w:t>
      </w:r>
      <w:r w:rsidRPr="00CD5673">
        <w:tab/>
        <w:t>code, or passwords, for computer software; or</w:t>
      </w:r>
    </w:p>
    <w:p w14:paraId="247C2FA7" w14:textId="77777777" w:rsidR="00D46430" w:rsidRPr="00CD5673" w:rsidRDefault="00D46430" w:rsidP="00D46430">
      <w:pPr>
        <w:pStyle w:val="paragraphsub"/>
      </w:pPr>
      <w:r w:rsidRPr="00CD5673">
        <w:tab/>
        <w:t>(ii)</w:t>
      </w:r>
      <w:r w:rsidRPr="00CD5673">
        <w:tab/>
        <w:t>material directly associated with such code or passwords;</w:t>
      </w:r>
    </w:p>
    <w:p w14:paraId="4B3CF0A9" w14:textId="77777777" w:rsidR="00D46430" w:rsidRPr="00CD5673" w:rsidRDefault="00D46430" w:rsidP="00D46430">
      <w:pPr>
        <w:pStyle w:val="paragraph"/>
      </w:pPr>
      <w:r w:rsidRPr="00CD5673">
        <w:tab/>
        <w:t>(u)</w:t>
      </w:r>
      <w:r w:rsidRPr="00CD5673">
        <w:tab/>
        <w:t>a contract, agreement or arrangement for the commercial charter of a ship if:</w:t>
      </w:r>
    </w:p>
    <w:p w14:paraId="7BE958CF" w14:textId="77777777" w:rsidR="00D46430" w:rsidRPr="00CD5673" w:rsidRDefault="00D46430" w:rsidP="00D46430">
      <w:pPr>
        <w:pStyle w:val="paragraphsub"/>
      </w:pPr>
      <w:r w:rsidRPr="00CD5673">
        <w:lastRenderedPageBreak/>
        <w:tab/>
        <w:t>(i)</w:t>
      </w:r>
      <w:r w:rsidRPr="00CD5673">
        <w:tab/>
        <w:t xml:space="preserve">the ship is not an Australian ship (within the meaning of the </w:t>
      </w:r>
      <w:r w:rsidRPr="00CD5673">
        <w:rPr>
          <w:i/>
        </w:rPr>
        <w:t>Shipping Registration Act 1981</w:t>
      </w:r>
      <w:r w:rsidRPr="00CD5673">
        <w:t>); and</w:t>
      </w:r>
    </w:p>
    <w:p w14:paraId="42010019" w14:textId="77777777" w:rsidR="00D46430" w:rsidRPr="00CD5673" w:rsidRDefault="00D46430" w:rsidP="00D46430">
      <w:pPr>
        <w:pStyle w:val="paragraphsub"/>
      </w:pPr>
      <w:r w:rsidRPr="00CD5673">
        <w:tab/>
        <w:t>(ii)</w:t>
      </w:r>
      <w:r w:rsidRPr="00CD5673">
        <w:tab/>
        <w:t>the charter is by an Australian national (within the meaning of that Act) for the purposes of exporting goods from Australia, or from an external Territory, to another country;</w:t>
      </w:r>
    </w:p>
    <w:p w14:paraId="3B6DA582" w14:textId="77777777" w:rsidR="00D46430" w:rsidRPr="00CD5673" w:rsidRDefault="00D46430" w:rsidP="00D46430">
      <w:pPr>
        <w:pStyle w:val="paragraph"/>
      </w:pPr>
      <w:r w:rsidRPr="00CD5673">
        <w:tab/>
        <w:t>(v)</w:t>
      </w:r>
      <w:r w:rsidRPr="00CD5673">
        <w:tab/>
        <w:t>a contract, agreement or arrangement under which the priority of security interests in particular property is changed or can change;</w:t>
      </w:r>
    </w:p>
    <w:p w14:paraId="787351AD" w14:textId="77777777" w:rsidR="00D46430" w:rsidRPr="00CD5673" w:rsidRDefault="00D46430" w:rsidP="00D46430">
      <w:pPr>
        <w:pStyle w:val="paragraph"/>
      </w:pPr>
      <w:r w:rsidRPr="00CD5673">
        <w:tab/>
        <w:t>(w)</w:t>
      </w:r>
      <w:r w:rsidRPr="00CD5673">
        <w:tab/>
        <w:t>a contract, agreement or arrangement that is a flawed asset arrangement;</w:t>
      </w:r>
    </w:p>
    <w:p w14:paraId="7B1157CD" w14:textId="77777777" w:rsidR="00D46430" w:rsidRPr="00CD5673" w:rsidRDefault="00D46430" w:rsidP="00D46430">
      <w:pPr>
        <w:pStyle w:val="paragraph"/>
      </w:pPr>
      <w:r w:rsidRPr="00CD5673">
        <w:tab/>
        <w:t>(x)</w:t>
      </w:r>
      <w:r w:rsidRPr="00CD5673">
        <w:tab/>
        <w:t xml:space="preserve">a contract, agreement or arrangement that is, or is directly connected with, a </w:t>
      </w:r>
      <w:r w:rsidRPr="00CD5673">
        <w:rPr>
          <w:bCs/>
        </w:rPr>
        <w:t xml:space="preserve">factoring arrangement (within the meaning of the </w:t>
      </w:r>
      <w:r w:rsidRPr="00CD5673">
        <w:rPr>
          <w:i/>
        </w:rPr>
        <w:t>ASIC Corporations (Factoring Arrangements) Instrument 2017/794</w:t>
      </w:r>
      <w:r w:rsidRPr="00CD5673">
        <w:t>);</w:t>
      </w:r>
    </w:p>
    <w:p w14:paraId="63623A59" w14:textId="77777777" w:rsidR="00D46430" w:rsidRPr="00CD5673" w:rsidRDefault="00D46430" w:rsidP="00D46430">
      <w:pPr>
        <w:pStyle w:val="paragraph"/>
      </w:pPr>
      <w:r w:rsidRPr="00CD5673">
        <w:tab/>
        <w:t>(y)</w:t>
      </w:r>
      <w:r w:rsidRPr="00CD5673">
        <w:tab/>
        <w:t>a contract, agreement or arrangement that is the operating rules (other than the listing rules) of a financial market;</w:t>
      </w:r>
    </w:p>
    <w:p w14:paraId="4A65514E" w14:textId="77777777" w:rsidR="00D46430" w:rsidRPr="00CD5673" w:rsidRDefault="00D46430" w:rsidP="00D46430">
      <w:pPr>
        <w:pStyle w:val="noteToPara"/>
      </w:pPr>
      <w:r w:rsidRPr="00CD5673">
        <w:t>Note:</w:t>
      </w:r>
      <w:r w:rsidRPr="00CD5673">
        <w:tab/>
        <w:t>The operating rules of a licensed market are a contract, see subsection 793B(1) of the Act.</w:t>
      </w:r>
    </w:p>
    <w:p w14:paraId="2BED0989" w14:textId="77777777" w:rsidR="00D46430" w:rsidRPr="00CD5673" w:rsidRDefault="00D46430" w:rsidP="00D46430">
      <w:pPr>
        <w:pStyle w:val="paragraph"/>
      </w:pPr>
      <w:r w:rsidRPr="00CD5673">
        <w:tab/>
        <w:t>(z)</w:t>
      </w:r>
      <w:r w:rsidRPr="00CD5673">
        <w:tab/>
        <w:t>a contract, agreement or arrangement that is the operating rules of a clearing and settlement facility;</w:t>
      </w:r>
    </w:p>
    <w:p w14:paraId="3F938B56" w14:textId="77777777" w:rsidR="00D46430" w:rsidRPr="00CD5673" w:rsidRDefault="00D46430" w:rsidP="00D46430">
      <w:pPr>
        <w:pStyle w:val="noteToPara"/>
      </w:pPr>
      <w:r w:rsidRPr="00CD5673">
        <w:t>Note:</w:t>
      </w:r>
      <w:r w:rsidRPr="00CD5673">
        <w:tab/>
        <w:t>The operating rules of a licensed CS facility are a contract, see subsection 822B(1) of the Act.</w:t>
      </w:r>
    </w:p>
    <w:p w14:paraId="1A552F6C" w14:textId="77777777" w:rsidR="00D46430" w:rsidRPr="00CD5673" w:rsidRDefault="00D46430" w:rsidP="00D46430">
      <w:pPr>
        <w:pStyle w:val="paragraph"/>
      </w:pPr>
      <w:r w:rsidRPr="00CD5673">
        <w:tab/>
        <w:t>(za)</w:t>
      </w:r>
      <w:r w:rsidRPr="00CD5673">
        <w:tab/>
        <w:t>a contract, agreement or arrangement that confers rights on the operator of a financial market, or the operator of a clearing and settlement facility, in relation to the operation of the market or facility;</w:t>
      </w:r>
    </w:p>
    <w:p w14:paraId="5108F928" w14:textId="77777777" w:rsidR="00D46430" w:rsidRPr="00CD5673" w:rsidRDefault="00D46430" w:rsidP="00D46430">
      <w:pPr>
        <w:pStyle w:val="paragraph"/>
      </w:pPr>
      <w:r w:rsidRPr="00CD5673">
        <w:tab/>
        <w:t>(zb)</w:t>
      </w:r>
      <w:r w:rsidRPr="00CD5673">
        <w:tab/>
        <w:t>a contract, agreement or arrangement of which the parties include the Reserve Bank of Australia and the operator of a clearing and settlement facility;</w:t>
      </w:r>
    </w:p>
    <w:p w14:paraId="604B52D7" w14:textId="77777777" w:rsidR="0020507E" w:rsidRPr="00BE1284" w:rsidRDefault="0020507E" w:rsidP="0020507E">
      <w:pPr>
        <w:pStyle w:val="paragraph"/>
      </w:pPr>
      <w:r w:rsidRPr="00BE1284">
        <w:tab/>
        <w:t>(zc)</w:t>
      </w:r>
      <w:r w:rsidRPr="00BE1284">
        <w:tab/>
        <w:t>a contract, agreement or arrangement under which participants in a clearing and settlement facility may settle obligations on behalf of other participants in the facility;</w:t>
      </w:r>
    </w:p>
    <w:p w14:paraId="44B5DDBE" w14:textId="77777777" w:rsidR="00D46430" w:rsidRPr="00CD5673" w:rsidRDefault="00D46430" w:rsidP="00D46430">
      <w:pPr>
        <w:pStyle w:val="paragraph"/>
      </w:pPr>
      <w:r w:rsidRPr="00CD5673">
        <w:tab/>
        <w:t>(zd)</w:t>
      </w:r>
      <w:r w:rsidRPr="00CD5673">
        <w:tab/>
        <w:t xml:space="preserve">a legally enforceable arrangement referred to in paragraph 9(1)(b) of the </w:t>
      </w:r>
      <w:r w:rsidRPr="00CD5673">
        <w:rPr>
          <w:i/>
        </w:rPr>
        <w:t>Payment Systems and Netting Act 1998</w:t>
      </w:r>
      <w:r w:rsidRPr="00CD5673">
        <w:t xml:space="preserve"> that supports an approved RTGS system (within the meaning of that Act);</w:t>
      </w:r>
    </w:p>
    <w:p w14:paraId="1008A17C" w14:textId="77777777" w:rsidR="00D46430" w:rsidRPr="00CD5673" w:rsidRDefault="00D46430" w:rsidP="00D46430">
      <w:pPr>
        <w:pStyle w:val="noteToPara"/>
      </w:pPr>
      <w:r w:rsidRPr="00CD5673">
        <w:t>Note:</w:t>
      </w:r>
      <w:r w:rsidRPr="00CD5673">
        <w:tab/>
        <w:t>The arrangement includes the rules that are part of that arrangement.</w:t>
      </w:r>
    </w:p>
    <w:p w14:paraId="3627D542" w14:textId="77777777" w:rsidR="00D46430" w:rsidRPr="00CD5673" w:rsidRDefault="00D46430" w:rsidP="00D46430">
      <w:pPr>
        <w:pStyle w:val="paragraph"/>
      </w:pPr>
      <w:r w:rsidRPr="00CD5673">
        <w:tab/>
        <w:t>(ze)</w:t>
      </w:r>
      <w:r w:rsidRPr="00CD5673">
        <w:tab/>
        <w:t xml:space="preserve">an approved netting arrangement (within the meaning of the </w:t>
      </w:r>
      <w:r w:rsidRPr="00CD5673">
        <w:rPr>
          <w:i/>
        </w:rPr>
        <w:t>Payment Systems and Netting Act 1998</w:t>
      </w:r>
      <w:r w:rsidRPr="00CD5673">
        <w:t>);</w:t>
      </w:r>
    </w:p>
    <w:p w14:paraId="312D1C32" w14:textId="77777777" w:rsidR="00D46430" w:rsidRPr="00CD5673" w:rsidRDefault="00D46430" w:rsidP="00D46430">
      <w:pPr>
        <w:pStyle w:val="noteToPara"/>
      </w:pPr>
      <w:r w:rsidRPr="00CD5673">
        <w:t>Note:</w:t>
      </w:r>
      <w:r w:rsidRPr="00CD5673">
        <w:tab/>
        <w:t>The arrangement includes the rules that are part of that arrangement.</w:t>
      </w:r>
    </w:p>
    <w:p w14:paraId="2A9F6E20" w14:textId="77777777" w:rsidR="00D46430" w:rsidRPr="00CD5673" w:rsidRDefault="00D46430" w:rsidP="00D46430">
      <w:pPr>
        <w:pStyle w:val="paragraph"/>
      </w:pPr>
      <w:r w:rsidRPr="00CD5673">
        <w:tab/>
        <w:t>(zf)</w:t>
      </w:r>
      <w:r w:rsidRPr="00CD5673">
        <w:tab/>
        <w:t>a contract, agreement or arrangement that confers rights on:</w:t>
      </w:r>
    </w:p>
    <w:p w14:paraId="415091CC" w14:textId="77777777" w:rsidR="00D46430" w:rsidRPr="00CD5673" w:rsidRDefault="00D46430" w:rsidP="00D46430">
      <w:pPr>
        <w:pStyle w:val="paragraphsub"/>
      </w:pPr>
      <w:r w:rsidRPr="00CD5673">
        <w:tab/>
        <w:t>(i)</w:t>
      </w:r>
      <w:r w:rsidRPr="00CD5673">
        <w:tab/>
        <w:t xml:space="preserve">the operator of an approved RTGS system (within the meaning of the </w:t>
      </w:r>
      <w:r w:rsidRPr="00CD5673">
        <w:rPr>
          <w:i/>
        </w:rPr>
        <w:t>Payment Systems and Netting Act 1998</w:t>
      </w:r>
      <w:r w:rsidRPr="00CD5673">
        <w:t>); or</w:t>
      </w:r>
    </w:p>
    <w:p w14:paraId="4AF62696" w14:textId="77777777" w:rsidR="00D46430" w:rsidRPr="00CD5673" w:rsidRDefault="00D46430" w:rsidP="00D46430">
      <w:pPr>
        <w:pStyle w:val="paragraphsub"/>
      </w:pPr>
      <w:r w:rsidRPr="00CD5673">
        <w:tab/>
        <w:t>(ii)</w:t>
      </w:r>
      <w:r w:rsidRPr="00CD5673">
        <w:tab/>
        <w:t>the coordinator of an approved netting arrangement (within the meaning of that Act);</w:t>
      </w:r>
    </w:p>
    <w:p w14:paraId="60331C69" w14:textId="77777777" w:rsidR="00D46430" w:rsidRPr="00CD5673" w:rsidRDefault="00D46430" w:rsidP="00D46430">
      <w:pPr>
        <w:pStyle w:val="paragraph"/>
      </w:pPr>
      <w:r w:rsidRPr="00CD5673">
        <w:tab/>
      </w:r>
      <w:r w:rsidRPr="00CD5673">
        <w:tab/>
        <w:t>in relation to the operation of that system or netting arrangement;</w:t>
      </w:r>
    </w:p>
    <w:p w14:paraId="23D5D2C5" w14:textId="77777777" w:rsidR="00D46430" w:rsidRPr="00CD5673" w:rsidRDefault="00D46430" w:rsidP="00D46430">
      <w:pPr>
        <w:pStyle w:val="paragraph"/>
      </w:pPr>
      <w:r w:rsidRPr="00CD5673">
        <w:tab/>
        <w:t>(zg)</w:t>
      </w:r>
      <w:r w:rsidRPr="00CD5673">
        <w:tab/>
        <w:t xml:space="preserve">a contract, agreement or arrangement under which the parties to an arrangement covered by paragraph (zd) or (ze) (the </w:t>
      </w:r>
      <w:r w:rsidRPr="00CD5673">
        <w:rPr>
          <w:b/>
          <w:i/>
        </w:rPr>
        <w:t>main arrangement</w:t>
      </w:r>
      <w:r w:rsidRPr="00CD5673">
        <w:t>) may settle obligations on behalf of other parties to the main arrangement;</w:t>
      </w:r>
    </w:p>
    <w:p w14:paraId="5D039540" w14:textId="77777777" w:rsidR="00D46430" w:rsidRPr="00CD5673" w:rsidRDefault="00D46430" w:rsidP="00D46430">
      <w:pPr>
        <w:pStyle w:val="paragraph"/>
      </w:pPr>
      <w:r w:rsidRPr="00CD5673">
        <w:tab/>
        <w:t>(zh)</w:t>
      </w:r>
      <w:r w:rsidRPr="00CD5673">
        <w:tab/>
        <w:t>a close</w:t>
      </w:r>
      <w:r w:rsidR="00C614F1">
        <w:noBreakHyphen/>
      </w:r>
      <w:r w:rsidRPr="00CD5673">
        <w:t xml:space="preserve">out netting contract (within the meaning of the </w:t>
      </w:r>
      <w:r w:rsidRPr="00CD5673">
        <w:rPr>
          <w:i/>
        </w:rPr>
        <w:t>Payment Systems and Netting Act 1998</w:t>
      </w:r>
      <w:r w:rsidRPr="00CD5673">
        <w:t>);</w:t>
      </w:r>
    </w:p>
    <w:p w14:paraId="6D818F3D" w14:textId="77777777" w:rsidR="00D46430" w:rsidRPr="00CD5673" w:rsidRDefault="00D46430" w:rsidP="00D46430">
      <w:pPr>
        <w:pStyle w:val="paragraph"/>
      </w:pPr>
      <w:r w:rsidRPr="00CD5673">
        <w:tab/>
        <w:t>(zi)</w:t>
      </w:r>
      <w:r w:rsidRPr="00CD5673">
        <w:tab/>
        <w:t xml:space="preserve">a contract, agreement or arrangement under which security is given over financial property (within the meaning of the </w:t>
      </w:r>
      <w:r w:rsidRPr="00CD5673">
        <w:rPr>
          <w:i/>
        </w:rPr>
        <w:t>Payment Systems and Netting Act 1998</w:t>
      </w:r>
      <w:r w:rsidRPr="00CD5673">
        <w:t>) in respect of eligible obligations (within the meaning of that Act) of a party to a contract covered by paragraph (zh);</w:t>
      </w:r>
    </w:p>
    <w:p w14:paraId="1E6112F2" w14:textId="77777777" w:rsidR="00D46430" w:rsidRPr="00CD5673" w:rsidRDefault="00D46430" w:rsidP="00D46430">
      <w:pPr>
        <w:pStyle w:val="paragraph"/>
      </w:pPr>
      <w:r w:rsidRPr="00CD5673">
        <w:tab/>
        <w:t>(zj)</w:t>
      </w:r>
      <w:r w:rsidRPr="00CD5673">
        <w:tab/>
        <w:t xml:space="preserve">a netting market (within the meaning of the </w:t>
      </w:r>
      <w:r w:rsidRPr="00CD5673">
        <w:rPr>
          <w:i/>
        </w:rPr>
        <w:t>Payment Systems and Netting Act 1998</w:t>
      </w:r>
      <w:r w:rsidRPr="00CD5673">
        <w:t>);</w:t>
      </w:r>
    </w:p>
    <w:p w14:paraId="0D208417" w14:textId="77777777" w:rsidR="00D46430" w:rsidRPr="00CD5673" w:rsidRDefault="00D46430" w:rsidP="00D46430">
      <w:pPr>
        <w:pStyle w:val="paragraph"/>
      </w:pPr>
      <w:r w:rsidRPr="00CD5673">
        <w:tab/>
        <w:t>(zk)</w:t>
      </w:r>
      <w:r w:rsidRPr="00CD5673">
        <w:tab/>
        <w:t xml:space="preserve">a market netting contract (within the meaning of the </w:t>
      </w:r>
      <w:r w:rsidRPr="00CD5673">
        <w:rPr>
          <w:i/>
        </w:rPr>
        <w:t>Payment Systems and Netting Act 1998</w:t>
      </w:r>
      <w:r w:rsidRPr="00CD5673">
        <w:t>);</w:t>
      </w:r>
    </w:p>
    <w:p w14:paraId="33782658" w14:textId="77777777" w:rsidR="00D46430" w:rsidRPr="00CD5673" w:rsidRDefault="00D46430" w:rsidP="00D46430">
      <w:pPr>
        <w:pStyle w:val="paragraph"/>
      </w:pPr>
      <w:r w:rsidRPr="00CD5673">
        <w:tab/>
        <w:t>(zl)</w:t>
      </w:r>
      <w:r w:rsidRPr="00CD5673">
        <w:tab/>
        <w:t>a contract, agreement or arrangement under which security is given, in accordance with a market netting contract covered by paragraph (zk), in respect of obligations of a party to the market netting contract;</w:t>
      </w:r>
    </w:p>
    <w:p w14:paraId="2363DC75" w14:textId="77777777" w:rsidR="00D46430" w:rsidRPr="00CD5673" w:rsidRDefault="00D46430" w:rsidP="00D46430">
      <w:pPr>
        <w:pStyle w:val="paragraph"/>
        <w:rPr>
          <w:bCs/>
          <w:szCs w:val="22"/>
        </w:rPr>
      </w:pPr>
      <w:r w:rsidRPr="00CD5673">
        <w:rPr>
          <w:szCs w:val="22"/>
        </w:rPr>
        <w:tab/>
        <w:t>(zm)</w:t>
      </w:r>
      <w:r w:rsidRPr="00CD5673">
        <w:rPr>
          <w:szCs w:val="22"/>
        </w:rPr>
        <w:tab/>
        <w:t xml:space="preserve">a contract, agreement or arrangement that is an </w:t>
      </w:r>
      <w:bookmarkStart w:id="128" w:name="_Ref144866494"/>
      <w:r w:rsidRPr="00CD5673">
        <w:rPr>
          <w:szCs w:val="22"/>
        </w:rPr>
        <w:t xml:space="preserve">outsourcing arrangement </w:t>
      </w:r>
      <w:bookmarkEnd w:id="128"/>
      <w:r w:rsidRPr="00CD5673">
        <w:rPr>
          <w:szCs w:val="22"/>
        </w:rPr>
        <w:t xml:space="preserve">for the purposes of </w:t>
      </w:r>
      <w:r w:rsidRPr="00CD5673">
        <w:rPr>
          <w:i/>
          <w:iCs/>
        </w:rPr>
        <w:t>Prudential Standard CPS 231 Outsourcing</w:t>
      </w:r>
      <w:r w:rsidRPr="00CD5673">
        <w:t xml:space="preserve"> or </w:t>
      </w:r>
      <w:r w:rsidRPr="00CD5673">
        <w:rPr>
          <w:i/>
          <w:iCs/>
          <w:szCs w:val="22"/>
        </w:rPr>
        <w:t>Prudential Standard SPS 231 Outsourcing</w:t>
      </w:r>
      <w:r w:rsidRPr="00CD5673">
        <w:rPr>
          <w:bCs/>
          <w:szCs w:val="22"/>
        </w:rPr>
        <w:t>;</w:t>
      </w:r>
    </w:p>
    <w:p w14:paraId="490D29DA" w14:textId="77777777" w:rsidR="00D46430" w:rsidRPr="00CD5673" w:rsidRDefault="00D46430" w:rsidP="00D46430">
      <w:pPr>
        <w:pStyle w:val="noteToPara"/>
      </w:pPr>
      <w:r w:rsidRPr="00CD5673">
        <w:t>Note 1:</w:t>
      </w:r>
      <w:r w:rsidRPr="00CD5673">
        <w:tab/>
        <w:t xml:space="preserve">In 2018, </w:t>
      </w:r>
      <w:r w:rsidRPr="00CD5673">
        <w:rPr>
          <w:i/>
          <w:iCs/>
        </w:rPr>
        <w:t>P</w:t>
      </w:r>
      <w:r w:rsidRPr="00CD5673">
        <w:rPr>
          <w:i/>
        </w:rPr>
        <w:t>rudential Standard CPS 231 Outsourcing</w:t>
      </w:r>
      <w:r w:rsidRPr="00CD5673">
        <w:t xml:space="preserve"> was set out in the Banking, Insurance and Life Insurance (prudential standard) determination No. 6 of 2016.</w:t>
      </w:r>
    </w:p>
    <w:p w14:paraId="190B76A0" w14:textId="77777777" w:rsidR="00D46430" w:rsidRPr="00CD5673" w:rsidRDefault="00D46430" w:rsidP="00D46430">
      <w:pPr>
        <w:pStyle w:val="noteToPara"/>
      </w:pPr>
      <w:r w:rsidRPr="00CD5673">
        <w:t>Note 2:</w:t>
      </w:r>
      <w:r w:rsidRPr="00CD5673">
        <w:tab/>
        <w:t xml:space="preserve">In 2018, </w:t>
      </w:r>
      <w:r w:rsidRPr="00CD5673">
        <w:rPr>
          <w:i/>
          <w:iCs/>
          <w:szCs w:val="22"/>
        </w:rPr>
        <w:t>Prudential Standard SPS 231 Outsourcing</w:t>
      </w:r>
      <w:r w:rsidRPr="00CD5673">
        <w:rPr>
          <w:szCs w:val="22"/>
        </w:rPr>
        <w:t xml:space="preserve"> was set out in the </w:t>
      </w:r>
      <w:r w:rsidRPr="00CD5673">
        <w:rPr>
          <w:bCs/>
          <w:szCs w:val="22"/>
        </w:rPr>
        <w:t>Superannuation (prudential standard) determination No. 3 of 2012.</w:t>
      </w:r>
    </w:p>
    <w:p w14:paraId="67D29736" w14:textId="77777777" w:rsidR="00D46430" w:rsidRPr="00CD5673" w:rsidRDefault="00D46430" w:rsidP="00D46430">
      <w:pPr>
        <w:pStyle w:val="paragraph"/>
      </w:pPr>
      <w:r w:rsidRPr="00CD5673">
        <w:tab/>
        <w:t>(zn)</w:t>
      </w:r>
      <w:r w:rsidRPr="00CD5673">
        <w:tab/>
        <w:t>a contract, agreement or arrangement entered into or renewed on or after 1 July 2018, but before 1 July 2023, as a result of either of the following:</w:t>
      </w:r>
    </w:p>
    <w:p w14:paraId="14FFF093" w14:textId="77777777" w:rsidR="00D46430" w:rsidRPr="00CD5673" w:rsidRDefault="00D46430" w:rsidP="00D46430">
      <w:pPr>
        <w:pStyle w:val="paragraphsub"/>
      </w:pPr>
      <w:r w:rsidRPr="00CD5673">
        <w:tab/>
        <w:t>(i)</w:t>
      </w:r>
      <w:r w:rsidRPr="00CD5673">
        <w:tab/>
        <w:t>the novation of, or the assignment of one or more rights under, a contract, agreement or arrangement entered into before 1 July 2018;</w:t>
      </w:r>
    </w:p>
    <w:p w14:paraId="39BCF7D7" w14:textId="77777777" w:rsidR="00D46430" w:rsidRPr="00CD5673" w:rsidRDefault="00D46430" w:rsidP="00D46430">
      <w:pPr>
        <w:pStyle w:val="paragraphsub"/>
      </w:pPr>
      <w:r w:rsidRPr="00CD5673">
        <w:tab/>
        <w:t>(ii)</w:t>
      </w:r>
      <w:r w:rsidRPr="00CD5673">
        <w:tab/>
        <w:t>a variation of a contract, agreement or arrangement entered into before 1 July 2018;</w:t>
      </w:r>
    </w:p>
    <w:p w14:paraId="217CD50A" w14:textId="77777777" w:rsidR="00D46430" w:rsidRPr="00CD5673" w:rsidRDefault="00D46430" w:rsidP="00D46430">
      <w:pPr>
        <w:pStyle w:val="paragraph"/>
      </w:pPr>
      <w:r w:rsidRPr="00CD5673">
        <w:tab/>
        <w:t>(zo)</w:t>
      </w:r>
      <w:r w:rsidRPr="00CD5673">
        <w:tab/>
        <w:t>a contract, agreement or arrangement entered into on or after 1 July 2018, but before 1 July 2023, for the provision of any of the following kinds of work, goods or services for a particular project:</w:t>
      </w:r>
    </w:p>
    <w:p w14:paraId="4D05A39E" w14:textId="77777777" w:rsidR="00D46430" w:rsidRPr="00CD5673" w:rsidRDefault="00D46430" w:rsidP="00D46430">
      <w:pPr>
        <w:pStyle w:val="paragraphsub"/>
      </w:pPr>
      <w:r w:rsidRPr="00CD5673">
        <w:tab/>
        <w:t>(i)</w:t>
      </w:r>
      <w:r w:rsidRPr="00CD5673">
        <w:tab/>
        <w:t xml:space="preserve">building work (within the meaning of the </w:t>
      </w:r>
      <w:r w:rsidR="009E188A" w:rsidRPr="00CD5673">
        <w:rPr>
          <w:i/>
        </w:rPr>
        <w:t>Federal Safety Commissioner Act 2022</w:t>
      </w:r>
      <w:r w:rsidRPr="00CD5673">
        <w:t>);</w:t>
      </w:r>
    </w:p>
    <w:p w14:paraId="6C62CD12" w14:textId="77777777" w:rsidR="00D46430" w:rsidRPr="00CD5673" w:rsidRDefault="00D46430" w:rsidP="00D46430">
      <w:pPr>
        <w:pStyle w:val="paragraphsub"/>
      </w:pPr>
      <w:r w:rsidRPr="00CD5673">
        <w:lastRenderedPageBreak/>
        <w:tab/>
        <w:t>(ii)</w:t>
      </w:r>
      <w:r w:rsidRPr="00CD5673">
        <w:tab/>
        <w:t xml:space="preserve">work to be carried out anywhere in Australia that, if carried out in New South Wales, would be covered by paragraph 5(1)(d) or (f) of the </w:t>
      </w:r>
      <w:r w:rsidRPr="00CD5673">
        <w:rPr>
          <w:i/>
        </w:rPr>
        <w:t>Building and Construction Industry Security of Payment Act 1999</w:t>
      </w:r>
      <w:r w:rsidRPr="00CD5673">
        <w:t xml:space="preserve"> (NSW) and not be excluded by subsection 5(2) of that Act;</w:t>
      </w:r>
    </w:p>
    <w:p w14:paraId="2562223A" w14:textId="77777777" w:rsidR="00D46430" w:rsidRPr="00CD5673" w:rsidRDefault="00D46430" w:rsidP="00D46430">
      <w:pPr>
        <w:pStyle w:val="paragraphsub"/>
        <w:rPr>
          <w:szCs w:val="22"/>
        </w:rPr>
      </w:pPr>
      <w:r w:rsidRPr="00CD5673">
        <w:tab/>
        <w:t>(iii)</w:t>
      </w:r>
      <w:r w:rsidRPr="00CD5673">
        <w:tab/>
        <w:t xml:space="preserve">goods or services to be provided anywhere in Australia that, if provided in New South Wales, would be </w:t>
      </w:r>
      <w:r w:rsidRPr="00CD5673">
        <w:rPr>
          <w:lang w:eastAsia="en-US"/>
        </w:rPr>
        <w:t xml:space="preserve">related goods and services (within the meaning of the </w:t>
      </w:r>
      <w:r w:rsidRPr="00CD5673">
        <w:rPr>
          <w:i/>
          <w:szCs w:val="22"/>
        </w:rPr>
        <w:t>Building and Construction Industry Security of Payment Act 1999</w:t>
      </w:r>
      <w:r w:rsidRPr="00CD5673">
        <w:rPr>
          <w:szCs w:val="22"/>
        </w:rPr>
        <w:t xml:space="preserve"> (NSW));</w:t>
      </w:r>
    </w:p>
    <w:p w14:paraId="40C7DA1F" w14:textId="77777777" w:rsidR="00D46430" w:rsidRPr="00CD5673" w:rsidRDefault="00D46430" w:rsidP="00D46430">
      <w:pPr>
        <w:pStyle w:val="paragraph"/>
      </w:pPr>
      <w:r w:rsidRPr="00CD5673">
        <w:tab/>
      </w:r>
      <w:r w:rsidRPr="00CD5673">
        <w:tab/>
        <w:t>if the total payments under all contracts, agreements or arrangements for the project for work, goods or services of those kinds is at least $1 billion;</w:t>
      </w:r>
    </w:p>
    <w:p w14:paraId="4E07A2F0" w14:textId="77777777" w:rsidR="00D46430" w:rsidRPr="00CD5673" w:rsidRDefault="00D46430" w:rsidP="00D46430">
      <w:pPr>
        <w:pStyle w:val="paragraph"/>
      </w:pPr>
      <w:r w:rsidRPr="00CD5673">
        <w:tab/>
        <w:t>(zp)</w:t>
      </w:r>
      <w:r w:rsidRPr="00CD5673">
        <w:tab/>
        <w:t>a contract, agreement or arrangement that:</w:t>
      </w:r>
    </w:p>
    <w:p w14:paraId="1602BC90" w14:textId="77777777" w:rsidR="00D46430" w:rsidRPr="00CD5673" w:rsidRDefault="00D46430" w:rsidP="00D46430">
      <w:pPr>
        <w:pStyle w:val="paragraphsub"/>
      </w:pPr>
      <w:r w:rsidRPr="00CD5673">
        <w:tab/>
        <w:t>(i)</w:t>
      </w:r>
      <w:r w:rsidRPr="00CD5673">
        <w:tab/>
        <w:t>is entered into to enable the satisfactory completion of a contract, agreement or arrangement covered by paragraph (zo); and</w:t>
      </w:r>
    </w:p>
    <w:p w14:paraId="02089EF5" w14:textId="77777777" w:rsidR="00D46430" w:rsidRPr="00CD5673" w:rsidRDefault="00D46430" w:rsidP="00D46430">
      <w:pPr>
        <w:pStyle w:val="paragraphsub"/>
      </w:pPr>
      <w:r w:rsidRPr="00CD5673">
        <w:tab/>
        <w:t>(ii)</w:t>
      </w:r>
      <w:r w:rsidRPr="00CD5673">
        <w:tab/>
        <w:t>is for the provision of a kind of work, goods or services covered by that paragraph;</w:t>
      </w:r>
    </w:p>
    <w:p w14:paraId="1FC6CACA" w14:textId="77777777" w:rsidR="00D46430" w:rsidRPr="00CD5673" w:rsidRDefault="00D46430" w:rsidP="00D46430">
      <w:pPr>
        <w:pStyle w:val="paragraph"/>
      </w:pPr>
      <w:r w:rsidRPr="00CD5673">
        <w:tab/>
        <w:t>(zq)</w:t>
      </w:r>
      <w:r w:rsidRPr="00CD5673">
        <w:tab/>
        <w:t>a contract, agreement or arrangement that is for reinsurance or retrocession.</w:t>
      </w:r>
    </w:p>
    <w:p w14:paraId="285E5A30" w14:textId="77777777" w:rsidR="00D46430" w:rsidRPr="00CD5673" w:rsidRDefault="00D46430" w:rsidP="00D46430">
      <w:pPr>
        <w:pStyle w:val="ActHead2"/>
        <w:pageBreakBefore/>
      </w:pPr>
      <w:bookmarkStart w:id="129" w:name="_Toc158711739"/>
      <w:r w:rsidRPr="00C614F1">
        <w:rPr>
          <w:rStyle w:val="CharPartNo"/>
        </w:rPr>
        <w:lastRenderedPageBreak/>
        <w:t>Part 5.3B</w:t>
      </w:r>
      <w:r w:rsidRPr="00CD5673">
        <w:t>—</w:t>
      </w:r>
      <w:r w:rsidRPr="00C614F1">
        <w:rPr>
          <w:rStyle w:val="CharPartText"/>
        </w:rPr>
        <w:t>Restructuring of a company</w:t>
      </w:r>
      <w:bookmarkEnd w:id="129"/>
    </w:p>
    <w:p w14:paraId="46B6B3C3" w14:textId="77777777" w:rsidR="00D46430" w:rsidRPr="00CD5673" w:rsidRDefault="00D46430" w:rsidP="00D46430">
      <w:pPr>
        <w:pStyle w:val="ActHead3"/>
      </w:pPr>
      <w:bookmarkStart w:id="130" w:name="_Toc158711740"/>
      <w:r w:rsidRPr="00C614F1">
        <w:rPr>
          <w:rStyle w:val="CharDivNo"/>
        </w:rPr>
        <w:t>Division 1</w:t>
      </w:r>
      <w:r w:rsidRPr="00CD5673">
        <w:t>—</w:t>
      </w:r>
      <w:r w:rsidRPr="00C614F1">
        <w:rPr>
          <w:rStyle w:val="CharDivText"/>
        </w:rPr>
        <w:t>Preliminary</w:t>
      </w:r>
      <w:bookmarkEnd w:id="130"/>
    </w:p>
    <w:p w14:paraId="6A1B0EE3" w14:textId="77777777" w:rsidR="00D46430" w:rsidRPr="00CD5673" w:rsidRDefault="00D46430" w:rsidP="00D46430">
      <w:pPr>
        <w:pStyle w:val="ActHead5"/>
      </w:pPr>
      <w:bookmarkStart w:id="131" w:name="_Toc158711741"/>
      <w:r w:rsidRPr="00C614F1">
        <w:rPr>
          <w:rStyle w:val="CharSectno"/>
        </w:rPr>
        <w:t>5.3B.01</w:t>
      </w:r>
      <w:r w:rsidRPr="00CD5673">
        <w:t xml:space="preserve">  Definitions</w:t>
      </w:r>
      <w:bookmarkEnd w:id="131"/>
    </w:p>
    <w:p w14:paraId="2B170C82" w14:textId="77777777" w:rsidR="00D46430" w:rsidRPr="00CD5673" w:rsidRDefault="00D46430" w:rsidP="00D46430">
      <w:pPr>
        <w:pStyle w:val="subsection"/>
      </w:pPr>
      <w:r w:rsidRPr="00CD5673">
        <w:tab/>
      </w:r>
      <w:r w:rsidRPr="00CD5673">
        <w:tab/>
        <w:t>In this Part, unless the contrary intention appears:</w:t>
      </w:r>
    </w:p>
    <w:p w14:paraId="2E479C3D" w14:textId="77777777" w:rsidR="00D46430" w:rsidRPr="00CD5673" w:rsidRDefault="00D46430" w:rsidP="00D46430">
      <w:pPr>
        <w:pStyle w:val="Definition"/>
      </w:pPr>
      <w:r w:rsidRPr="00CD5673">
        <w:rPr>
          <w:b/>
          <w:i/>
        </w:rPr>
        <w:t>accepted</w:t>
      </w:r>
      <w:r w:rsidRPr="00CD5673">
        <w:t>, in relation to a proposal to make a restructuring plan, has the meaning given by subregulation 5.3B.25(1).</w:t>
      </w:r>
    </w:p>
    <w:p w14:paraId="0C418ECE" w14:textId="77777777" w:rsidR="00D46430" w:rsidRPr="00CD5673" w:rsidRDefault="00D46430" w:rsidP="00D46430">
      <w:pPr>
        <w:pStyle w:val="Definition"/>
      </w:pPr>
      <w:r w:rsidRPr="00CD5673">
        <w:rPr>
          <w:b/>
          <w:i/>
        </w:rPr>
        <w:t>admissible debt or claim</w:t>
      </w:r>
      <w:r w:rsidRPr="00CD5673">
        <w:t>, in relation to a company under restructuring or a company’s restructuring plan, means a debt or claim that would be admissible to proof against the company under subsection 553(1) of the Act if:</w:t>
      </w:r>
    </w:p>
    <w:p w14:paraId="4A10229E" w14:textId="77777777" w:rsidR="00D46430" w:rsidRPr="00CD5673" w:rsidRDefault="00D46430" w:rsidP="00D46430">
      <w:pPr>
        <w:pStyle w:val="paragraph"/>
      </w:pPr>
      <w:r w:rsidRPr="00CD5673">
        <w:tab/>
        <w:t>(a)</w:t>
      </w:r>
      <w:r w:rsidRPr="00CD5673">
        <w:tab/>
        <w:t>the company were wound up; and</w:t>
      </w:r>
    </w:p>
    <w:p w14:paraId="680CE090" w14:textId="77777777" w:rsidR="00D46430" w:rsidRPr="00CD5673" w:rsidRDefault="00D46430" w:rsidP="00D46430">
      <w:pPr>
        <w:pStyle w:val="paragraph"/>
      </w:pPr>
      <w:r w:rsidRPr="00CD5673">
        <w:tab/>
        <w:t>(b)</w:t>
      </w:r>
      <w:r w:rsidRPr="00CD5673">
        <w:tab/>
        <w:t>the relevant date were:</w:t>
      </w:r>
    </w:p>
    <w:p w14:paraId="510FD3FF" w14:textId="77777777" w:rsidR="00D46430" w:rsidRPr="00CD5673" w:rsidRDefault="00D46430" w:rsidP="00D46430">
      <w:pPr>
        <w:pStyle w:val="paragraphsub"/>
      </w:pPr>
      <w:r w:rsidRPr="00CD5673">
        <w:tab/>
        <w:t>(i)</w:t>
      </w:r>
      <w:r w:rsidRPr="00CD5673">
        <w:tab/>
        <w:t>if the company is under restructuring—the beginning of the restructuring; and</w:t>
      </w:r>
    </w:p>
    <w:p w14:paraId="6744B5C0" w14:textId="77777777" w:rsidR="00D46430" w:rsidRPr="00CD5673" w:rsidRDefault="00D46430" w:rsidP="00D46430">
      <w:pPr>
        <w:pStyle w:val="paragraphsub"/>
      </w:pPr>
      <w:r w:rsidRPr="00CD5673">
        <w:tab/>
        <w:t>(ii)</w:t>
      </w:r>
      <w:r w:rsidRPr="00CD5673">
        <w:tab/>
        <w:t>if the company has made a restructuring plan—the beginning of the restructuring that ended when the plan was made;</w:t>
      </w:r>
    </w:p>
    <w:p w14:paraId="51FD77F7" w14:textId="77777777" w:rsidR="00D46430" w:rsidRPr="00CD5673" w:rsidRDefault="00D46430" w:rsidP="00D46430">
      <w:pPr>
        <w:pStyle w:val="subsection2"/>
      </w:pPr>
      <w:r w:rsidRPr="00CD5673">
        <w:t>but does not include:</w:t>
      </w:r>
    </w:p>
    <w:p w14:paraId="03F02A2E" w14:textId="77777777" w:rsidR="00D46430" w:rsidRPr="00CD5673" w:rsidRDefault="00D46430" w:rsidP="00D46430">
      <w:pPr>
        <w:pStyle w:val="paragraph"/>
      </w:pPr>
      <w:r w:rsidRPr="00CD5673">
        <w:tab/>
        <w:t>(c)</w:t>
      </w:r>
      <w:r w:rsidRPr="00CD5673">
        <w:tab/>
        <w:t>the entitlements of an employee of the company; or</w:t>
      </w:r>
    </w:p>
    <w:p w14:paraId="2F8EEC52" w14:textId="77777777" w:rsidR="00D46430" w:rsidRPr="00CD5673" w:rsidRDefault="00D46430" w:rsidP="00D46430">
      <w:pPr>
        <w:pStyle w:val="paragraph"/>
      </w:pPr>
      <w:r w:rsidRPr="00CD5673">
        <w:tab/>
        <w:t>(d)</w:t>
      </w:r>
      <w:r w:rsidRPr="00CD5673">
        <w:tab/>
        <w:t>a debt or claim that would be admissible to proof under subsection 553(1A) of the Act.</w:t>
      </w:r>
    </w:p>
    <w:p w14:paraId="190CD5D1" w14:textId="77777777" w:rsidR="00D46430" w:rsidRPr="00CD5673" w:rsidRDefault="00D46430" w:rsidP="00D46430">
      <w:pPr>
        <w:pStyle w:val="notetext"/>
      </w:pPr>
      <w:r w:rsidRPr="00CD5673">
        <w:t>Note:</w:t>
      </w:r>
      <w:r w:rsidRPr="00CD5673">
        <w:tab/>
        <w:t xml:space="preserve">Employee </w:t>
      </w:r>
      <w:r w:rsidRPr="00CD5673">
        <w:rPr>
          <w:b/>
          <w:i/>
        </w:rPr>
        <w:t>entitlements</w:t>
      </w:r>
      <w:r w:rsidRPr="00CD5673">
        <w:t xml:space="preserve"> are defined in subsections 596AA(2) and (3) of the Act and include superannuation contributions payable by the company.</w:t>
      </w:r>
    </w:p>
    <w:p w14:paraId="1C73661B" w14:textId="77777777" w:rsidR="00D46430" w:rsidRPr="00CD5673" w:rsidRDefault="00D46430" w:rsidP="00D46430">
      <w:pPr>
        <w:pStyle w:val="Definition"/>
      </w:pPr>
      <w:r w:rsidRPr="00CD5673">
        <w:rPr>
          <w:b/>
          <w:i/>
        </w:rPr>
        <w:t>affected creditor</w:t>
      </w:r>
      <w:r w:rsidRPr="00CD5673">
        <w:t xml:space="preserve"> means:</w:t>
      </w:r>
    </w:p>
    <w:p w14:paraId="1220CF9C" w14:textId="77777777" w:rsidR="00D46430" w:rsidRPr="00CD5673" w:rsidRDefault="00D46430" w:rsidP="00D46430">
      <w:pPr>
        <w:pStyle w:val="paragraph"/>
      </w:pPr>
      <w:r w:rsidRPr="00CD5673">
        <w:tab/>
        <w:t>(a)</w:t>
      </w:r>
      <w:r w:rsidRPr="00CD5673">
        <w:tab/>
        <w:t>in relation to a proposal to vary or terminate a company’s restructuring plan—a creditor of the company who is a party (as creditor) to the plan; or</w:t>
      </w:r>
    </w:p>
    <w:p w14:paraId="0FC9572F" w14:textId="77777777" w:rsidR="00D46430" w:rsidRPr="00CD5673" w:rsidRDefault="00D46430" w:rsidP="00D46430">
      <w:pPr>
        <w:pStyle w:val="paragraph"/>
      </w:pPr>
      <w:r w:rsidRPr="00CD5673">
        <w:tab/>
        <w:t>(b)</w:t>
      </w:r>
      <w:r w:rsidRPr="00CD5673">
        <w:tab/>
        <w:t>in relation to a proposal by a company to make a restructuring plan—a person who would be a party to the restructuring plan if it were made.</w:t>
      </w:r>
    </w:p>
    <w:p w14:paraId="3A2272CD" w14:textId="77777777" w:rsidR="00D46430" w:rsidRPr="00CD5673" w:rsidRDefault="00D46430" w:rsidP="00D46430">
      <w:pPr>
        <w:pStyle w:val="Definition"/>
        <w:outlineLvl w:val="3"/>
      </w:pPr>
      <w:r w:rsidRPr="00CD5673">
        <w:rPr>
          <w:b/>
          <w:i/>
        </w:rPr>
        <w:t>excluded creditor</w:t>
      </w:r>
      <w:r w:rsidRPr="00CD5673">
        <w:t>, in relation to a company under restructuring, means a creditor of the company who:</w:t>
      </w:r>
    </w:p>
    <w:p w14:paraId="569AFC50" w14:textId="77777777" w:rsidR="00D46430" w:rsidRPr="00CD5673" w:rsidRDefault="00D46430" w:rsidP="00D46430">
      <w:pPr>
        <w:pStyle w:val="paragraph"/>
        <w:outlineLvl w:val="3"/>
      </w:pPr>
      <w:r w:rsidRPr="00CD5673">
        <w:tab/>
        <w:t>(a)</w:t>
      </w:r>
      <w:r w:rsidRPr="00CD5673">
        <w:tab/>
        <w:t>is the restructuring practitioner for the company; or</w:t>
      </w:r>
    </w:p>
    <w:p w14:paraId="12CE5ABD" w14:textId="77777777" w:rsidR="00D46430" w:rsidRPr="00CD5673" w:rsidRDefault="00D46430" w:rsidP="00D46430">
      <w:pPr>
        <w:pStyle w:val="paragraph"/>
        <w:outlineLvl w:val="3"/>
      </w:pPr>
      <w:r w:rsidRPr="00CD5673">
        <w:tab/>
        <w:t>(b)</w:t>
      </w:r>
      <w:r w:rsidRPr="00CD5673">
        <w:tab/>
        <w:t>was, at the time the restructuring began, a related creditor of the company; or</w:t>
      </w:r>
    </w:p>
    <w:p w14:paraId="117BB7B1" w14:textId="77777777" w:rsidR="00D46430" w:rsidRPr="00CD5673" w:rsidRDefault="00D46430" w:rsidP="00D46430">
      <w:pPr>
        <w:pStyle w:val="paragraph"/>
        <w:outlineLvl w:val="3"/>
      </w:pPr>
      <w:r w:rsidRPr="00CD5673">
        <w:tab/>
        <w:t>(c)</w:t>
      </w:r>
      <w:r w:rsidRPr="00CD5673">
        <w:tab/>
        <w:t>was, on becoming an affected creditor, a related entity of the restructuring practitioner.</w:t>
      </w:r>
    </w:p>
    <w:p w14:paraId="5242A929" w14:textId="77777777" w:rsidR="00D46430" w:rsidRPr="00CD5673" w:rsidRDefault="00D46430" w:rsidP="00D46430">
      <w:pPr>
        <w:pStyle w:val="Definition"/>
      </w:pPr>
      <w:r w:rsidRPr="00CD5673">
        <w:rPr>
          <w:b/>
          <w:i/>
        </w:rPr>
        <w:t>make</w:t>
      </w:r>
      <w:r w:rsidRPr="00CD5673">
        <w:t>, in relation to a restructuring plan, has the meaning given by regulation 5.3B.26.</w:t>
      </w:r>
    </w:p>
    <w:p w14:paraId="62607C02" w14:textId="77777777" w:rsidR="00D46430" w:rsidRPr="00CD5673" w:rsidRDefault="00D46430" w:rsidP="00D46430">
      <w:pPr>
        <w:pStyle w:val="Definition"/>
      </w:pPr>
      <w:r w:rsidRPr="00CD5673">
        <w:rPr>
          <w:b/>
          <w:i/>
        </w:rPr>
        <w:t>proposal period</w:t>
      </w:r>
      <w:r w:rsidRPr="00CD5673">
        <w:t>, in relation to a company under restructuring, has the meaning given by regulation 5.3B.17.</w:t>
      </w:r>
    </w:p>
    <w:p w14:paraId="2A824B12" w14:textId="77777777" w:rsidR="00D46430" w:rsidRPr="00CD5673" w:rsidRDefault="00D46430" w:rsidP="00D46430">
      <w:pPr>
        <w:pStyle w:val="Definition"/>
      </w:pPr>
      <w:r w:rsidRPr="00CD5673">
        <w:rPr>
          <w:b/>
          <w:i/>
        </w:rPr>
        <w:t>propose</w:t>
      </w:r>
      <w:r w:rsidRPr="00CD5673">
        <w:t>, in relation to a restructuring plan, has the meaning given by regulation 5.3B.14.</w:t>
      </w:r>
    </w:p>
    <w:p w14:paraId="6386AC0E" w14:textId="77777777" w:rsidR="00D46430" w:rsidRPr="00CD5673" w:rsidRDefault="00D46430" w:rsidP="00D46430">
      <w:pPr>
        <w:pStyle w:val="Definition"/>
      </w:pPr>
      <w:r w:rsidRPr="00CD5673">
        <w:rPr>
          <w:b/>
          <w:i/>
        </w:rPr>
        <w:t>related creditor</w:t>
      </w:r>
      <w:r w:rsidRPr="00CD5673">
        <w:t xml:space="preserve"> of a company means a person who is a related entity, and a creditor, of the company.</w:t>
      </w:r>
    </w:p>
    <w:p w14:paraId="40838FF8" w14:textId="77777777" w:rsidR="00D46430" w:rsidRPr="00CD5673" w:rsidRDefault="00D46430" w:rsidP="00D46430">
      <w:pPr>
        <w:pStyle w:val="Definition"/>
      </w:pPr>
      <w:r w:rsidRPr="00CD5673">
        <w:rPr>
          <w:b/>
          <w:i/>
        </w:rPr>
        <w:t>restructuring proposal statement</w:t>
      </w:r>
      <w:r w:rsidRPr="00CD5673">
        <w:t xml:space="preserve"> means a statement made by a company under regulation 5.3B.16.</w:t>
      </w:r>
    </w:p>
    <w:p w14:paraId="1236F2BD" w14:textId="77777777" w:rsidR="00D46430" w:rsidRPr="00CD5673" w:rsidRDefault="00D46430" w:rsidP="00D46430">
      <w:pPr>
        <w:pStyle w:val="ActHead3"/>
        <w:pageBreakBefore/>
      </w:pPr>
      <w:bookmarkStart w:id="132" w:name="_Toc158711742"/>
      <w:r w:rsidRPr="00C614F1">
        <w:rPr>
          <w:rStyle w:val="CharDivNo"/>
        </w:rPr>
        <w:lastRenderedPageBreak/>
        <w:t>Division 2</w:t>
      </w:r>
      <w:r w:rsidRPr="00CD5673">
        <w:t>—</w:t>
      </w:r>
      <w:r w:rsidRPr="00C614F1">
        <w:rPr>
          <w:rStyle w:val="CharDivText"/>
        </w:rPr>
        <w:t>Restructuring</w:t>
      </w:r>
      <w:bookmarkEnd w:id="132"/>
    </w:p>
    <w:p w14:paraId="610B07BD" w14:textId="77777777" w:rsidR="00D46430" w:rsidRPr="00CD5673" w:rsidRDefault="00D46430" w:rsidP="00D46430">
      <w:pPr>
        <w:pStyle w:val="ActHead4"/>
      </w:pPr>
      <w:bookmarkStart w:id="133" w:name="_Toc158711743"/>
      <w:r w:rsidRPr="00C614F1">
        <w:rPr>
          <w:rStyle w:val="CharSubdNo"/>
        </w:rPr>
        <w:t>Subdivision A</w:t>
      </w:r>
      <w:r w:rsidRPr="00CD5673">
        <w:t>—</w:t>
      </w:r>
      <w:r w:rsidRPr="00C614F1">
        <w:rPr>
          <w:rStyle w:val="CharSubdText"/>
        </w:rPr>
        <w:t>Restructuring generally</w:t>
      </w:r>
      <w:bookmarkEnd w:id="133"/>
    </w:p>
    <w:p w14:paraId="7F34B7A5" w14:textId="77777777" w:rsidR="00D46430" w:rsidRPr="00CD5673" w:rsidRDefault="00D46430" w:rsidP="00D46430">
      <w:pPr>
        <w:pStyle w:val="ActHead5"/>
      </w:pPr>
      <w:bookmarkStart w:id="134" w:name="_Toc158711744"/>
      <w:r w:rsidRPr="00C614F1">
        <w:rPr>
          <w:rStyle w:val="CharSectno"/>
        </w:rPr>
        <w:t>5.3B.02</w:t>
      </w:r>
      <w:r w:rsidRPr="00CD5673">
        <w:t xml:space="preserve">  When restructuring ends</w:t>
      </w:r>
      <w:bookmarkEnd w:id="134"/>
    </w:p>
    <w:p w14:paraId="24763AEA" w14:textId="77777777" w:rsidR="00D46430" w:rsidRPr="00CD5673" w:rsidRDefault="00D46430" w:rsidP="00D46430">
      <w:pPr>
        <w:pStyle w:val="subsection"/>
        <w:outlineLvl w:val="3"/>
      </w:pPr>
      <w:r w:rsidRPr="00CD5673">
        <w:tab/>
        <w:t>(1)</w:t>
      </w:r>
      <w:r w:rsidRPr="00CD5673">
        <w:tab/>
        <w:t>For the purposes of paragraph 453A(b) of the Act, the restructuring of a company ends if:</w:t>
      </w:r>
    </w:p>
    <w:p w14:paraId="66BEF427" w14:textId="77777777" w:rsidR="00D46430" w:rsidRPr="00CD5673" w:rsidRDefault="00D46430" w:rsidP="00D46430">
      <w:pPr>
        <w:pStyle w:val="paragraph"/>
      </w:pPr>
      <w:r w:rsidRPr="00CD5673">
        <w:tab/>
        <w:t>(a)</w:t>
      </w:r>
      <w:r w:rsidRPr="00CD5673">
        <w:tab/>
        <w:t>the company makes a declaration under subregulation (2); or</w:t>
      </w:r>
    </w:p>
    <w:p w14:paraId="46A97181" w14:textId="77777777" w:rsidR="00D46430" w:rsidRPr="00CD5673" w:rsidRDefault="00D46430" w:rsidP="00D46430">
      <w:pPr>
        <w:pStyle w:val="paragraph"/>
      </w:pPr>
      <w:r w:rsidRPr="00CD5673">
        <w:tab/>
        <w:t>(b)</w:t>
      </w:r>
      <w:r w:rsidRPr="00CD5673">
        <w:tab/>
        <w:t>the company fails to propose a restructuring plan within the proposal period; or</w:t>
      </w:r>
    </w:p>
    <w:p w14:paraId="6D744CEF" w14:textId="77777777" w:rsidR="00D46430" w:rsidRPr="00CD5673" w:rsidRDefault="00D46430" w:rsidP="00D46430">
      <w:pPr>
        <w:pStyle w:val="paragraph"/>
        <w:outlineLvl w:val="3"/>
      </w:pPr>
      <w:r w:rsidRPr="00CD5673">
        <w:tab/>
        <w:t>(c)</w:t>
      </w:r>
      <w:r w:rsidRPr="00CD5673">
        <w:tab/>
        <w:t>the company’s proposal to make a restructuring plan lapses under regulation 5.3B.20; or</w:t>
      </w:r>
    </w:p>
    <w:p w14:paraId="21B85C52" w14:textId="77777777" w:rsidR="00D46430" w:rsidRPr="00CD5673" w:rsidRDefault="00D46430" w:rsidP="00D46430">
      <w:pPr>
        <w:pStyle w:val="paragraph"/>
        <w:outlineLvl w:val="3"/>
      </w:pPr>
      <w:r w:rsidRPr="00CD5673">
        <w:tab/>
        <w:t>(d)</w:t>
      </w:r>
      <w:r w:rsidRPr="00CD5673">
        <w:tab/>
        <w:t>the restructuring practitioner for the company terminates the restructuring under section 453J of the Act; or</w:t>
      </w:r>
    </w:p>
    <w:p w14:paraId="38BA740E" w14:textId="77777777" w:rsidR="00D46430" w:rsidRPr="00CD5673" w:rsidRDefault="00D46430" w:rsidP="00D46430">
      <w:pPr>
        <w:pStyle w:val="paragraph"/>
        <w:outlineLvl w:val="3"/>
      </w:pPr>
      <w:r w:rsidRPr="00CD5673">
        <w:tab/>
        <w:t>(e)</w:t>
      </w:r>
      <w:r w:rsidRPr="00CD5673">
        <w:tab/>
        <w:t>the Court orders that the restructuring of the company is to end; or</w:t>
      </w:r>
    </w:p>
    <w:p w14:paraId="640314C0" w14:textId="77777777" w:rsidR="00D46430" w:rsidRPr="00CD5673" w:rsidRDefault="00D46430" w:rsidP="00D46430">
      <w:pPr>
        <w:pStyle w:val="paragraph"/>
        <w:outlineLvl w:val="3"/>
      </w:pPr>
      <w:r w:rsidRPr="00CD5673">
        <w:tab/>
        <w:t>(f)</w:t>
      </w:r>
      <w:r w:rsidRPr="00CD5673">
        <w:tab/>
        <w:t>an administrator of the company is appointed under section 436A, 436B or 436C of the Act; or</w:t>
      </w:r>
    </w:p>
    <w:p w14:paraId="653FF785" w14:textId="77777777" w:rsidR="00D46430" w:rsidRPr="00CD5673" w:rsidRDefault="00D46430" w:rsidP="00D46430">
      <w:pPr>
        <w:pStyle w:val="paragraph"/>
        <w:outlineLvl w:val="3"/>
      </w:pPr>
      <w:r w:rsidRPr="00CD5673">
        <w:tab/>
        <w:t>(g)</w:t>
      </w:r>
      <w:r w:rsidRPr="00CD5673">
        <w:tab/>
        <w:t>a liquidator or provisional liquidator of the company is appointed; or</w:t>
      </w:r>
    </w:p>
    <w:p w14:paraId="62078720" w14:textId="77777777" w:rsidR="00D46430" w:rsidRPr="00CD5673" w:rsidRDefault="00D46430" w:rsidP="00D46430">
      <w:pPr>
        <w:pStyle w:val="paragraph"/>
        <w:outlineLvl w:val="3"/>
      </w:pPr>
      <w:r w:rsidRPr="00CD5673">
        <w:tab/>
        <w:t>(j)</w:t>
      </w:r>
      <w:r w:rsidRPr="00CD5673">
        <w:tab/>
        <w:t>the company makes a restructuring plan.</w:t>
      </w:r>
    </w:p>
    <w:p w14:paraId="55D7C059" w14:textId="77777777" w:rsidR="00D46430" w:rsidRPr="00CD5673" w:rsidRDefault="00D46430" w:rsidP="00D46430">
      <w:pPr>
        <w:pStyle w:val="subsection"/>
      </w:pPr>
      <w:r w:rsidRPr="00CD5673">
        <w:tab/>
        <w:t>(2)</w:t>
      </w:r>
      <w:r w:rsidRPr="00CD5673">
        <w:tab/>
        <w:t>The directors of a company under restructuring:</w:t>
      </w:r>
    </w:p>
    <w:p w14:paraId="50FAFB7C" w14:textId="77777777" w:rsidR="00D46430" w:rsidRPr="00CD5673" w:rsidRDefault="00D46430" w:rsidP="00D46430">
      <w:pPr>
        <w:pStyle w:val="paragraph"/>
      </w:pPr>
      <w:r w:rsidRPr="00CD5673">
        <w:tab/>
        <w:t>(a)</w:t>
      </w:r>
      <w:r w:rsidRPr="00CD5673">
        <w:tab/>
        <w:t>may make a declaration in writing that the restructuring of the company is to end on a specified day for any reason; and</w:t>
      </w:r>
    </w:p>
    <w:p w14:paraId="478EA621" w14:textId="77777777" w:rsidR="00D46430" w:rsidRPr="00CD5673" w:rsidRDefault="00D46430" w:rsidP="00D46430">
      <w:pPr>
        <w:pStyle w:val="paragraph"/>
      </w:pPr>
      <w:r w:rsidRPr="00CD5673">
        <w:tab/>
        <w:t>(b)</w:t>
      </w:r>
      <w:r w:rsidRPr="00CD5673">
        <w:tab/>
        <w:t>must give a copy of the declaration to:</w:t>
      </w:r>
    </w:p>
    <w:p w14:paraId="468810E9" w14:textId="77777777" w:rsidR="00D46430" w:rsidRPr="00CD5673" w:rsidRDefault="00D46430" w:rsidP="00D46430">
      <w:pPr>
        <w:pStyle w:val="paragraphsub"/>
      </w:pPr>
      <w:r w:rsidRPr="00CD5673">
        <w:tab/>
        <w:t>(i)</w:t>
      </w:r>
      <w:r w:rsidRPr="00CD5673">
        <w:tab/>
        <w:t>the company’s restructuring practitioner; and</w:t>
      </w:r>
    </w:p>
    <w:p w14:paraId="6CFD9B13" w14:textId="77777777" w:rsidR="00D46430" w:rsidRPr="00CD5673" w:rsidRDefault="00D46430" w:rsidP="00D46430">
      <w:pPr>
        <w:pStyle w:val="paragraphsub"/>
      </w:pPr>
      <w:r w:rsidRPr="00CD5673">
        <w:tab/>
        <w:t>(ii)</w:t>
      </w:r>
      <w:r w:rsidRPr="00CD5673">
        <w:tab/>
        <w:t>the company’s creditors;</w:t>
      </w:r>
    </w:p>
    <w:p w14:paraId="58331F56" w14:textId="77777777" w:rsidR="00D46430" w:rsidRPr="00CD5673" w:rsidRDefault="00D46430" w:rsidP="00D46430">
      <w:pPr>
        <w:pStyle w:val="paragraph"/>
      </w:pPr>
      <w:r w:rsidRPr="00CD5673">
        <w:tab/>
      </w:r>
      <w:r w:rsidRPr="00CD5673">
        <w:tab/>
        <w:t>before the day specified in the declaration.</w:t>
      </w:r>
    </w:p>
    <w:p w14:paraId="3C4614C3" w14:textId="77777777" w:rsidR="00D46430" w:rsidRPr="00CD5673" w:rsidRDefault="00D46430" w:rsidP="00D46430">
      <w:pPr>
        <w:pStyle w:val="ActHead5"/>
      </w:pPr>
      <w:bookmarkStart w:id="135" w:name="_Toc158711745"/>
      <w:r w:rsidRPr="00C614F1">
        <w:rPr>
          <w:rStyle w:val="CharSectno"/>
        </w:rPr>
        <w:t>5.3B.03</w:t>
      </w:r>
      <w:r w:rsidRPr="00CD5673">
        <w:t xml:space="preserve">  Eligibility criteria for restructuring</w:t>
      </w:r>
      <w:bookmarkEnd w:id="135"/>
    </w:p>
    <w:p w14:paraId="6797539B" w14:textId="77777777" w:rsidR="00D46430" w:rsidRPr="00CD5673" w:rsidRDefault="00D46430" w:rsidP="00D46430">
      <w:pPr>
        <w:pStyle w:val="subsection"/>
      </w:pPr>
      <w:r w:rsidRPr="00CD5673">
        <w:tab/>
        <w:t>(1)</w:t>
      </w:r>
      <w:r w:rsidRPr="00CD5673">
        <w:tab/>
        <w:t xml:space="preserve">For the purposes of paragraph 453C(1)(a) of the Act, the test for eligibility is that </w:t>
      </w:r>
      <w:r w:rsidR="007347CA" w:rsidRPr="009F08F6">
        <w:t>on the day the restructuring begins</w:t>
      </w:r>
      <w:r w:rsidR="007347CA">
        <w:t xml:space="preserve"> the </w:t>
      </w:r>
      <w:r w:rsidR="007347CA" w:rsidRPr="009F08F6">
        <w:t>total liabilities of the company</w:t>
      </w:r>
      <w:r w:rsidR="007347CA" w:rsidRPr="00BE1284">
        <w:t xml:space="preserve"> </w:t>
      </w:r>
      <w:r w:rsidR="007347CA">
        <w:t xml:space="preserve">to </w:t>
      </w:r>
      <w:r w:rsidR="007347CA" w:rsidRPr="00BE1284">
        <w:t>pay any admissible debt</w:t>
      </w:r>
      <w:r w:rsidR="007347CA">
        <w:t>s</w:t>
      </w:r>
      <w:r w:rsidR="007347CA" w:rsidRPr="00BE1284">
        <w:t xml:space="preserve"> </w:t>
      </w:r>
      <w:r w:rsidR="007347CA">
        <w:t>and</w:t>
      </w:r>
      <w:r w:rsidR="007347CA" w:rsidRPr="00BE1284">
        <w:t xml:space="preserve"> claim</w:t>
      </w:r>
      <w:r w:rsidR="007347CA">
        <w:t>s</w:t>
      </w:r>
      <w:r w:rsidRPr="00CD5673">
        <w:t xml:space="preserve"> must not exceed $1 million.</w:t>
      </w:r>
    </w:p>
    <w:p w14:paraId="336F4830" w14:textId="77777777" w:rsidR="00D46430" w:rsidRPr="00CD5673" w:rsidRDefault="00D46430" w:rsidP="00D46430">
      <w:pPr>
        <w:pStyle w:val="subsection"/>
      </w:pPr>
      <w:r w:rsidRPr="00CD5673">
        <w:tab/>
        <w:t>(2)</w:t>
      </w:r>
      <w:r w:rsidRPr="00CD5673">
        <w:tab/>
        <w:t>For the purposes of paragraph 453C(1)(b) of the Act, a period of 7 years is prescribed.</w:t>
      </w:r>
    </w:p>
    <w:p w14:paraId="4F311BF9" w14:textId="77777777" w:rsidR="00D46430" w:rsidRPr="00CD5673" w:rsidRDefault="00D46430" w:rsidP="00D46430">
      <w:pPr>
        <w:pStyle w:val="subsection"/>
      </w:pPr>
      <w:r w:rsidRPr="00CD5673">
        <w:tab/>
        <w:t>(3)</w:t>
      </w:r>
      <w:r w:rsidRPr="00CD5673">
        <w:tab/>
        <w:t>For the purposes of paragraph 453C(1)(c) of the Act, a period of 7 years is prescribed.</w:t>
      </w:r>
    </w:p>
    <w:p w14:paraId="2A0B04B0" w14:textId="77777777" w:rsidR="00D46430" w:rsidRPr="00CD5673" w:rsidRDefault="00D46430" w:rsidP="00D46430">
      <w:pPr>
        <w:pStyle w:val="subsection"/>
      </w:pPr>
      <w:r w:rsidRPr="00CD5673">
        <w:tab/>
        <w:t>(4)</w:t>
      </w:r>
      <w:r w:rsidRPr="00CD5673">
        <w:tab/>
        <w:t>For the purposes of paragraph 453C(2)(b) of the Act, a prescribed circumstance is that:</w:t>
      </w:r>
    </w:p>
    <w:p w14:paraId="03BF96A1" w14:textId="77777777" w:rsidR="00D46430" w:rsidRPr="00CD5673" w:rsidRDefault="00D46430" w:rsidP="00D46430">
      <w:pPr>
        <w:pStyle w:val="paragraph"/>
      </w:pPr>
      <w:r w:rsidRPr="00CD5673">
        <w:tab/>
        <w:t>(a)</w:t>
      </w:r>
      <w:r w:rsidRPr="00CD5673">
        <w:tab/>
        <w:t>the other company is a related body corporate of the company in relation to which the eligibility criteria are to be met; and</w:t>
      </w:r>
    </w:p>
    <w:p w14:paraId="680244ED" w14:textId="77777777" w:rsidR="00D46430" w:rsidRPr="00CD5673" w:rsidRDefault="00D46430" w:rsidP="00D46430">
      <w:pPr>
        <w:pStyle w:val="paragraph"/>
      </w:pPr>
      <w:r w:rsidRPr="00CD5673">
        <w:tab/>
        <w:t>(b)</w:t>
      </w:r>
      <w:r w:rsidRPr="00CD5673">
        <w:tab/>
        <w:t>the other company is, or has been:</w:t>
      </w:r>
    </w:p>
    <w:p w14:paraId="3A1B18E8" w14:textId="77777777" w:rsidR="00D46430" w:rsidRPr="00CD5673" w:rsidRDefault="00D46430" w:rsidP="00D46430">
      <w:pPr>
        <w:pStyle w:val="paragraphsub"/>
      </w:pPr>
      <w:r w:rsidRPr="00CD5673">
        <w:tab/>
        <w:t>(i)</w:t>
      </w:r>
      <w:r w:rsidRPr="00CD5673">
        <w:tab/>
        <w:t>under restructuring; or</w:t>
      </w:r>
    </w:p>
    <w:p w14:paraId="3C9749D5" w14:textId="77777777" w:rsidR="00D46430" w:rsidRPr="00CD5673" w:rsidRDefault="00D46430" w:rsidP="00D46430">
      <w:pPr>
        <w:pStyle w:val="paragraphsub"/>
      </w:pPr>
      <w:r w:rsidRPr="00CD5673">
        <w:tab/>
        <w:t>(ii)</w:t>
      </w:r>
      <w:r w:rsidRPr="00CD5673">
        <w:tab/>
        <w:t>the subject of a simplified liquidation process; and</w:t>
      </w:r>
    </w:p>
    <w:p w14:paraId="12F84A25" w14:textId="77777777" w:rsidR="00D46430" w:rsidRPr="00CD5673" w:rsidRDefault="00D46430" w:rsidP="00D46430">
      <w:pPr>
        <w:pStyle w:val="paragraph"/>
      </w:pPr>
      <w:r w:rsidRPr="00CD5673">
        <w:tab/>
        <w:t>(c)</w:t>
      </w:r>
      <w:r w:rsidRPr="00CD5673">
        <w:tab/>
        <w:t>if subparagraph (b)(i) applies—the restructuring practitioner for the other company was appointed no more than 20 business days before the day on which the restructuring of the company in relation to which the eligibility criteria are to be met began; and</w:t>
      </w:r>
    </w:p>
    <w:p w14:paraId="5A413825" w14:textId="77777777" w:rsidR="00D46430" w:rsidRPr="00CD5673" w:rsidRDefault="00D46430" w:rsidP="00D46430">
      <w:pPr>
        <w:pStyle w:val="paragraph"/>
      </w:pPr>
      <w:r w:rsidRPr="00CD5673">
        <w:tab/>
        <w:t>(d)</w:t>
      </w:r>
      <w:r w:rsidRPr="00CD5673">
        <w:tab/>
        <w:t>if subparagraph (b)(ii) applies—the other company began to follow the simplified liquidation process no more than 20 business days before the day on which the restructuring of the company in relation to which the eligibility criteria are to be met began.</w:t>
      </w:r>
    </w:p>
    <w:p w14:paraId="1313C0F4" w14:textId="77777777" w:rsidR="00D46430" w:rsidRPr="00CD5673" w:rsidRDefault="00D46430" w:rsidP="00D46430">
      <w:pPr>
        <w:pStyle w:val="ActHead5"/>
      </w:pPr>
      <w:bookmarkStart w:id="136" w:name="_Toc158711746"/>
      <w:r w:rsidRPr="00C614F1">
        <w:rPr>
          <w:rStyle w:val="CharSectno"/>
        </w:rPr>
        <w:t>5.3B.04</w:t>
      </w:r>
      <w:r w:rsidRPr="00CD5673">
        <w:t xml:space="preserve">  Transactions or dealings in the ordinary course of business</w:t>
      </w:r>
      <w:bookmarkEnd w:id="136"/>
    </w:p>
    <w:p w14:paraId="77DE1E7D" w14:textId="77777777" w:rsidR="00D46430" w:rsidRPr="00CD5673" w:rsidRDefault="00D46430" w:rsidP="00D46430">
      <w:pPr>
        <w:pStyle w:val="subsection"/>
      </w:pPr>
      <w:r w:rsidRPr="00CD5673">
        <w:tab/>
        <w:t>(1)</w:t>
      </w:r>
      <w:r w:rsidRPr="00CD5673">
        <w:tab/>
        <w:t>For the purposes of subsection 453L(4) of the Act, this regulation prescribes the circumstances in which entering into a transaction or dealing by a company is to not be treated as in the ordinary course of the company’s business.</w:t>
      </w:r>
    </w:p>
    <w:p w14:paraId="1F44970D" w14:textId="77777777" w:rsidR="00D46430" w:rsidRPr="00CD5673" w:rsidRDefault="00D46430" w:rsidP="00D46430">
      <w:pPr>
        <w:pStyle w:val="subsection"/>
      </w:pPr>
      <w:r w:rsidRPr="00CD5673">
        <w:tab/>
        <w:t>(2)</w:t>
      </w:r>
      <w:r w:rsidRPr="00CD5673">
        <w:tab/>
        <w:t>The circumstances are as follows:</w:t>
      </w:r>
    </w:p>
    <w:p w14:paraId="25638818" w14:textId="77777777" w:rsidR="00D46430" w:rsidRPr="00CD5673" w:rsidRDefault="00D46430" w:rsidP="00D46430">
      <w:pPr>
        <w:pStyle w:val="paragraph"/>
      </w:pPr>
      <w:r w:rsidRPr="00CD5673">
        <w:tab/>
        <w:t>(a)</w:t>
      </w:r>
      <w:r w:rsidRPr="00CD5673">
        <w:tab/>
        <w:t>the transaction or dealing is for the purposes of satisfying an admissible debt or claim;</w:t>
      </w:r>
    </w:p>
    <w:p w14:paraId="7668C74C" w14:textId="77777777" w:rsidR="00D46430" w:rsidRPr="00CD5673" w:rsidRDefault="00D46430" w:rsidP="00D46430">
      <w:pPr>
        <w:pStyle w:val="paragraph"/>
      </w:pPr>
      <w:r w:rsidRPr="00CD5673">
        <w:tab/>
        <w:t>(b)</w:t>
      </w:r>
      <w:r w:rsidRPr="00CD5673">
        <w:tab/>
        <w:t>the transaction or dealing relates to the transfer or sale of the whole or a part of the business;</w:t>
      </w:r>
    </w:p>
    <w:p w14:paraId="2CB2B2DC" w14:textId="77777777" w:rsidR="00D46430" w:rsidRPr="00CD5673" w:rsidRDefault="00D46430" w:rsidP="00D46430">
      <w:pPr>
        <w:pStyle w:val="paragraph"/>
      </w:pPr>
      <w:r w:rsidRPr="00CD5673">
        <w:tab/>
        <w:t>(c)</w:t>
      </w:r>
      <w:r w:rsidRPr="00CD5673">
        <w:tab/>
        <w:t>the transaction or dealing relates to the payment of a dividend.</w:t>
      </w:r>
    </w:p>
    <w:p w14:paraId="5E846C53" w14:textId="77777777" w:rsidR="00D46430" w:rsidRPr="00CD5673" w:rsidRDefault="00D46430" w:rsidP="00D46430">
      <w:pPr>
        <w:pStyle w:val="ActHead5"/>
      </w:pPr>
      <w:bookmarkStart w:id="137" w:name="_Toc158711747"/>
      <w:r w:rsidRPr="00C614F1">
        <w:rPr>
          <w:rStyle w:val="CharSectno"/>
        </w:rPr>
        <w:lastRenderedPageBreak/>
        <w:t>5.3B.05</w:t>
      </w:r>
      <w:r w:rsidRPr="00CD5673">
        <w:t xml:space="preserve">  Consent to transactions or dealings outside the ordinary course of business</w:t>
      </w:r>
      <w:bookmarkEnd w:id="137"/>
    </w:p>
    <w:p w14:paraId="193C9428" w14:textId="77777777" w:rsidR="00D46430" w:rsidRPr="00CD5673" w:rsidRDefault="00D46430" w:rsidP="00D46430">
      <w:pPr>
        <w:pStyle w:val="subsection"/>
      </w:pPr>
      <w:r w:rsidRPr="00CD5673">
        <w:tab/>
        <w:t>(1)</w:t>
      </w:r>
      <w:r w:rsidRPr="00CD5673">
        <w:tab/>
        <w:t>This regulation applies if the restructuring practitioner for a company under restructuring consents to a transaction or dealing under paragraph 453L(2)(b) of the Act.</w:t>
      </w:r>
    </w:p>
    <w:p w14:paraId="440C7A81" w14:textId="77777777" w:rsidR="00D46430" w:rsidRPr="00CD5673" w:rsidRDefault="00D46430" w:rsidP="00D46430">
      <w:pPr>
        <w:pStyle w:val="subsection"/>
      </w:pPr>
      <w:r w:rsidRPr="00CD5673">
        <w:tab/>
        <w:t>(2)</w:t>
      </w:r>
      <w:r w:rsidRPr="00CD5673">
        <w:tab/>
        <w:t>The consent must be given:</w:t>
      </w:r>
    </w:p>
    <w:p w14:paraId="2DC474A4" w14:textId="77777777" w:rsidR="00D46430" w:rsidRPr="00CD5673" w:rsidRDefault="00D46430" w:rsidP="00D46430">
      <w:pPr>
        <w:pStyle w:val="paragraph"/>
      </w:pPr>
      <w:r w:rsidRPr="00CD5673">
        <w:tab/>
        <w:t>(a)</w:t>
      </w:r>
      <w:r w:rsidRPr="00CD5673">
        <w:tab/>
        <w:t>in writing; or</w:t>
      </w:r>
    </w:p>
    <w:p w14:paraId="64BB7FE2" w14:textId="77777777" w:rsidR="00D46430" w:rsidRPr="00CD5673" w:rsidRDefault="00D46430" w:rsidP="00D46430">
      <w:pPr>
        <w:pStyle w:val="paragraph"/>
      </w:pPr>
      <w:r w:rsidRPr="00CD5673">
        <w:tab/>
        <w:t>(b)</w:t>
      </w:r>
      <w:r w:rsidRPr="00CD5673">
        <w:tab/>
        <w:t>if the restructuring practitioner is satisfied that the delay caused by giving a written consent would not be in the best interests of the company’s creditors as a whole—orally.</w:t>
      </w:r>
    </w:p>
    <w:p w14:paraId="0825E5CF" w14:textId="77777777" w:rsidR="00D46430" w:rsidRPr="00CD5673" w:rsidRDefault="00D46430" w:rsidP="00D46430">
      <w:pPr>
        <w:pStyle w:val="subsection"/>
      </w:pPr>
      <w:r w:rsidRPr="00CD5673">
        <w:tab/>
        <w:t>(3)</w:t>
      </w:r>
      <w:r w:rsidRPr="00CD5673">
        <w:tab/>
        <w:t>If the consent is given in writing, the written consent must specify any conditions imposed on the consent.</w:t>
      </w:r>
    </w:p>
    <w:p w14:paraId="30EDEE79" w14:textId="77777777" w:rsidR="00D46430" w:rsidRPr="00CD5673" w:rsidRDefault="00D46430" w:rsidP="00D46430">
      <w:pPr>
        <w:pStyle w:val="subsection"/>
      </w:pPr>
      <w:r w:rsidRPr="00CD5673">
        <w:tab/>
        <w:t>(4)</w:t>
      </w:r>
      <w:r w:rsidRPr="00CD5673">
        <w:tab/>
        <w:t>If the consent is given orally, the restructuring practitioner must, within 2 business days after the day on which the consent is given:</w:t>
      </w:r>
    </w:p>
    <w:p w14:paraId="32E25B3E" w14:textId="77777777" w:rsidR="00D46430" w:rsidRPr="00CD5673" w:rsidRDefault="00D46430" w:rsidP="00D46430">
      <w:pPr>
        <w:pStyle w:val="paragraph"/>
      </w:pPr>
      <w:r w:rsidRPr="00CD5673">
        <w:tab/>
        <w:t>(a)</w:t>
      </w:r>
      <w:r w:rsidRPr="00CD5673">
        <w:tab/>
        <w:t>make a written record of the consent and any conditions imposed on the consent; and</w:t>
      </w:r>
    </w:p>
    <w:p w14:paraId="30D337B6" w14:textId="77777777" w:rsidR="00D46430" w:rsidRPr="00CD5673" w:rsidRDefault="00D46430" w:rsidP="00D46430">
      <w:pPr>
        <w:pStyle w:val="paragraph"/>
      </w:pPr>
      <w:r w:rsidRPr="00CD5673">
        <w:tab/>
        <w:t>(b)</w:t>
      </w:r>
      <w:r w:rsidRPr="00CD5673">
        <w:tab/>
        <w:t>provide a copy of the written record to the company.</w:t>
      </w:r>
    </w:p>
    <w:p w14:paraId="320D00F5" w14:textId="77777777" w:rsidR="00D46430" w:rsidRPr="00CD5673" w:rsidRDefault="00D46430" w:rsidP="00D46430">
      <w:pPr>
        <w:pStyle w:val="subsection"/>
      </w:pPr>
      <w:r w:rsidRPr="00CD5673">
        <w:tab/>
        <w:t>(5)</w:t>
      </w:r>
      <w:r w:rsidRPr="00CD5673">
        <w:tab/>
        <w:t>The restructuring practitioner must keep a record of the consent for 5 years after the day on which the consent is given.</w:t>
      </w:r>
    </w:p>
    <w:p w14:paraId="37EA878D"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3B5F102D" w14:textId="77777777" w:rsidR="00D46430" w:rsidRPr="00CD5673" w:rsidRDefault="00D46430" w:rsidP="00D46430">
      <w:pPr>
        <w:pStyle w:val="ActHead5"/>
      </w:pPr>
      <w:bookmarkStart w:id="138" w:name="_Toc158711748"/>
      <w:r w:rsidRPr="00C614F1">
        <w:rPr>
          <w:rStyle w:val="CharSectno"/>
        </w:rPr>
        <w:t>5.3B.06</w:t>
      </w:r>
      <w:r w:rsidRPr="00CD5673">
        <w:t xml:space="preserve">  Termination of restructuring</w:t>
      </w:r>
      <w:bookmarkEnd w:id="138"/>
    </w:p>
    <w:p w14:paraId="48FC7406" w14:textId="77777777" w:rsidR="00D46430" w:rsidRPr="00CD5673" w:rsidRDefault="00D46430" w:rsidP="00D46430">
      <w:pPr>
        <w:pStyle w:val="subsection"/>
      </w:pPr>
      <w:r w:rsidRPr="00CD5673">
        <w:tab/>
      </w:r>
      <w:r w:rsidRPr="00CD5673">
        <w:tab/>
        <w:t>For the purposes of paragraph 453J(3)(b) of the Act, the following information is prescribed:</w:t>
      </w:r>
    </w:p>
    <w:p w14:paraId="17FBF6AE" w14:textId="77777777" w:rsidR="00D46430" w:rsidRPr="00CD5673" w:rsidRDefault="00D46430" w:rsidP="00D46430">
      <w:pPr>
        <w:pStyle w:val="paragraph"/>
      </w:pPr>
      <w:r w:rsidRPr="00CD5673">
        <w:tab/>
        <w:t>(a)</w:t>
      </w:r>
      <w:r w:rsidRPr="00CD5673">
        <w:tab/>
        <w:t>the following details about the company:</w:t>
      </w:r>
    </w:p>
    <w:p w14:paraId="38332549" w14:textId="77777777" w:rsidR="00D46430" w:rsidRPr="00CD5673" w:rsidRDefault="00D46430" w:rsidP="00D46430">
      <w:pPr>
        <w:pStyle w:val="paragraphsub"/>
      </w:pPr>
      <w:r w:rsidRPr="00CD5673">
        <w:tab/>
        <w:t>(i)</w:t>
      </w:r>
      <w:r w:rsidRPr="00CD5673">
        <w:tab/>
        <w:t>the name of the company;</w:t>
      </w:r>
    </w:p>
    <w:p w14:paraId="1D2A4494" w14:textId="77777777" w:rsidR="00D46430" w:rsidRPr="00CD5673" w:rsidRDefault="00D46430" w:rsidP="00D46430">
      <w:pPr>
        <w:pStyle w:val="paragraphsub"/>
      </w:pPr>
      <w:r w:rsidRPr="00CD5673">
        <w:tab/>
        <w:t>(ii)</w:t>
      </w:r>
      <w:r w:rsidRPr="00CD5673">
        <w:tab/>
        <w:t>any trading name of the company;</w:t>
      </w:r>
    </w:p>
    <w:p w14:paraId="79959A2F" w14:textId="77777777" w:rsidR="00D46430" w:rsidRPr="00CD5673" w:rsidRDefault="00D46430" w:rsidP="00D46430">
      <w:pPr>
        <w:pStyle w:val="paragraphsub"/>
      </w:pPr>
      <w:r w:rsidRPr="00CD5673">
        <w:tab/>
        <w:t>(iii)</w:t>
      </w:r>
      <w:r w:rsidRPr="00CD5673">
        <w:tab/>
        <w:t>the ACN of the company;</w:t>
      </w:r>
    </w:p>
    <w:p w14:paraId="7B48F4A8" w14:textId="77777777" w:rsidR="00D46430" w:rsidRPr="00CD5673" w:rsidRDefault="00D46430" w:rsidP="00D46430">
      <w:pPr>
        <w:pStyle w:val="paragraphsub"/>
      </w:pPr>
      <w:r w:rsidRPr="00CD5673">
        <w:tab/>
        <w:t>(iv)</w:t>
      </w:r>
      <w:r w:rsidRPr="00CD5673">
        <w:tab/>
        <w:t>the address of the company’s registered office;</w:t>
      </w:r>
    </w:p>
    <w:p w14:paraId="38DECD57" w14:textId="77777777" w:rsidR="00D46430" w:rsidRPr="00CD5673" w:rsidRDefault="00D46430" w:rsidP="00D46430">
      <w:pPr>
        <w:pStyle w:val="paragraphsub"/>
      </w:pPr>
      <w:r w:rsidRPr="00CD5673">
        <w:tab/>
        <w:t>(v)</w:t>
      </w:r>
      <w:r w:rsidRPr="00CD5673">
        <w:tab/>
        <w:t>any website maintained by or on behalf of the company;</w:t>
      </w:r>
    </w:p>
    <w:p w14:paraId="56784344" w14:textId="77777777" w:rsidR="00D46430" w:rsidRPr="00CD5673" w:rsidRDefault="00D46430" w:rsidP="00D46430">
      <w:pPr>
        <w:pStyle w:val="paragraphsub"/>
      </w:pPr>
      <w:r w:rsidRPr="00CD5673">
        <w:tab/>
        <w:t>(vi)</w:t>
      </w:r>
      <w:r w:rsidRPr="00CD5673">
        <w:tab/>
        <w:t>the company’s email address (if any);</w:t>
      </w:r>
    </w:p>
    <w:p w14:paraId="5EB97E8A" w14:textId="77777777" w:rsidR="00D46430" w:rsidRPr="00CD5673" w:rsidRDefault="00D46430" w:rsidP="00D46430">
      <w:pPr>
        <w:pStyle w:val="paragraph"/>
      </w:pPr>
      <w:r w:rsidRPr="00CD5673">
        <w:tab/>
        <w:t>(b)</w:t>
      </w:r>
      <w:r w:rsidRPr="00CD5673">
        <w:tab/>
        <w:t>the following details about the restructuring practitioner:</w:t>
      </w:r>
    </w:p>
    <w:p w14:paraId="0D38511F" w14:textId="77777777" w:rsidR="00D46430" w:rsidRPr="00CD5673" w:rsidRDefault="00D46430" w:rsidP="00D46430">
      <w:pPr>
        <w:pStyle w:val="paragraphsub"/>
      </w:pPr>
      <w:r w:rsidRPr="00CD5673">
        <w:tab/>
        <w:t>(i)</w:t>
      </w:r>
      <w:r w:rsidRPr="00CD5673">
        <w:tab/>
        <w:t>the restructuring practitioner’s name;</w:t>
      </w:r>
    </w:p>
    <w:p w14:paraId="448CD5B2" w14:textId="77777777" w:rsidR="00D46430" w:rsidRPr="00CD5673" w:rsidRDefault="00D46430" w:rsidP="00D46430">
      <w:pPr>
        <w:pStyle w:val="paragraphsub"/>
      </w:pPr>
      <w:r w:rsidRPr="00CD5673">
        <w:tab/>
        <w:t>(ii)</w:t>
      </w:r>
      <w:r w:rsidRPr="00CD5673">
        <w:tab/>
        <w:t>the address and telephone number of the principal place where the restructuring practitioner practises as a registered liquidator;</w:t>
      </w:r>
    </w:p>
    <w:p w14:paraId="69EEF9C9" w14:textId="77777777" w:rsidR="00D46430" w:rsidRPr="00CD5673" w:rsidRDefault="00D46430" w:rsidP="00D46430">
      <w:pPr>
        <w:pStyle w:val="paragraphsub"/>
      </w:pPr>
      <w:r w:rsidRPr="00CD5673">
        <w:tab/>
        <w:t>(iii)</w:t>
      </w:r>
      <w:r w:rsidRPr="00CD5673">
        <w:tab/>
        <w:t>if the restructuring practitioner practises as a registered liquidator as a member of a firm or under a name or style other than the person’s own name—the name of that firm or the name or style under which the person practises;</w:t>
      </w:r>
    </w:p>
    <w:p w14:paraId="0FF171FC" w14:textId="77777777" w:rsidR="00D46430" w:rsidRPr="00CD5673" w:rsidRDefault="00D46430" w:rsidP="00D46430">
      <w:pPr>
        <w:pStyle w:val="paragraphsub"/>
      </w:pPr>
      <w:r w:rsidRPr="00CD5673">
        <w:tab/>
        <w:t>(iv)</w:t>
      </w:r>
      <w:r w:rsidRPr="00CD5673">
        <w:tab/>
        <w:t>the Registered Liquidator Number for the restructuring practitioner as specified on the Register of Liquidators;</w:t>
      </w:r>
    </w:p>
    <w:p w14:paraId="3CAE7B7B" w14:textId="77777777" w:rsidR="00D46430" w:rsidRPr="00CD5673" w:rsidRDefault="00D46430" w:rsidP="00D46430">
      <w:pPr>
        <w:pStyle w:val="paragraph"/>
      </w:pPr>
      <w:r w:rsidRPr="00CD5673">
        <w:tab/>
        <w:t>(c)</w:t>
      </w:r>
      <w:r w:rsidRPr="00CD5673">
        <w:tab/>
        <w:t>the day on which the restructuring of the company began;</w:t>
      </w:r>
    </w:p>
    <w:p w14:paraId="0CC3FA99" w14:textId="77777777" w:rsidR="00D46430" w:rsidRPr="00CD5673" w:rsidRDefault="00D46430" w:rsidP="00D46430">
      <w:pPr>
        <w:pStyle w:val="paragraph"/>
      </w:pPr>
      <w:r w:rsidRPr="00CD5673">
        <w:tab/>
        <w:t>(d)</w:t>
      </w:r>
      <w:r w:rsidRPr="00CD5673">
        <w:tab/>
        <w:t>the day on which the notice is given to the company;</w:t>
      </w:r>
    </w:p>
    <w:p w14:paraId="55717C0C" w14:textId="77777777" w:rsidR="00D46430" w:rsidRPr="00CD5673" w:rsidRDefault="00D46430" w:rsidP="00D46430">
      <w:pPr>
        <w:pStyle w:val="paragraph"/>
      </w:pPr>
      <w:r w:rsidRPr="00CD5673">
        <w:tab/>
        <w:t>(e)</w:t>
      </w:r>
      <w:r w:rsidRPr="00CD5673">
        <w:tab/>
        <w:t>the reason for terminating the restructuring of the company;</w:t>
      </w:r>
    </w:p>
    <w:p w14:paraId="7DB0C899" w14:textId="77777777" w:rsidR="00D46430" w:rsidRPr="00CD5673" w:rsidRDefault="00D46430" w:rsidP="00D46430">
      <w:pPr>
        <w:pStyle w:val="paragraph"/>
      </w:pPr>
      <w:r w:rsidRPr="00CD5673">
        <w:tab/>
        <w:t>(f)</w:t>
      </w:r>
      <w:r w:rsidRPr="00CD5673">
        <w:tab/>
        <w:t>the signature of the restructuring practitioner;</w:t>
      </w:r>
    </w:p>
    <w:p w14:paraId="020C9989" w14:textId="77777777" w:rsidR="00D46430" w:rsidRPr="00CD5673" w:rsidRDefault="00D46430" w:rsidP="00D46430">
      <w:pPr>
        <w:pStyle w:val="paragraph"/>
      </w:pPr>
      <w:r w:rsidRPr="00CD5673">
        <w:tab/>
        <w:t>(g)</w:t>
      </w:r>
      <w:r w:rsidRPr="00CD5673">
        <w:tab/>
        <w:t>any other information that the restructuring practitioner considers appropriate.</w:t>
      </w:r>
    </w:p>
    <w:p w14:paraId="386ACB4D" w14:textId="77777777" w:rsidR="00D46430" w:rsidRPr="00CD5673" w:rsidRDefault="00D46430" w:rsidP="00D46430">
      <w:pPr>
        <w:pStyle w:val="ActHead4"/>
      </w:pPr>
      <w:bookmarkStart w:id="139" w:name="_Toc158711749"/>
      <w:r w:rsidRPr="00C614F1">
        <w:rPr>
          <w:rStyle w:val="CharSubdNo"/>
        </w:rPr>
        <w:t>Subdivision B</w:t>
      </w:r>
      <w:r w:rsidRPr="00CD5673">
        <w:t>—</w:t>
      </w:r>
      <w:r w:rsidRPr="00C614F1">
        <w:rPr>
          <w:rStyle w:val="CharSubdText"/>
        </w:rPr>
        <w:t>Restructuring practitioner for company under restructuring</w:t>
      </w:r>
      <w:bookmarkEnd w:id="139"/>
    </w:p>
    <w:p w14:paraId="74061B18" w14:textId="77777777" w:rsidR="00D46430" w:rsidRPr="00CD5673" w:rsidRDefault="00D46430" w:rsidP="00D46430">
      <w:pPr>
        <w:pStyle w:val="ActHead5"/>
      </w:pPr>
      <w:bookmarkStart w:id="140" w:name="_Toc158711750"/>
      <w:r w:rsidRPr="00C614F1">
        <w:rPr>
          <w:rStyle w:val="CharSectno"/>
        </w:rPr>
        <w:t>5.3B.07</w:t>
      </w:r>
      <w:r w:rsidRPr="00CD5673">
        <w:t xml:space="preserve">  Authority</w:t>
      </w:r>
      <w:bookmarkEnd w:id="140"/>
    </w:p>
    <w:p w14:paraId="294A5B8F" w14:textId="77777777" w:rsidR="00D46430" w:rsidRPr="00CD5673" w:rsidRDefault="00D46430" w:rsidP="00D46430">
      <w:pPr>
        <w:pStyle w:val="subsection"/>
      </w:pPr>
      <w:r w:rsidRPr="00CD5673">
        <w:tab/>
      </w:r>
      <w:r w:rsidRPr="00CD5673">
        <w:tab/>
        <w:t>This Subdivision is made for the purposes of subsection 453E(2) of the Act.</w:t>
      </w:r>
    </w:p>
    <w:p w14:paraId="24A74FE6" w14:textId="77777777" w:rsidR="00D46430" w:rsidRPr="00CD5673" w:rsidRDefault="00D46430" w:rsidP="00D46430">
      <w:pPr>
        <w:pStyle w:val="ActHead5"/>
      </w:pPr>
      <w:bookmarkStart w:id="141" w:name="_Toc158711751"/>
      <w:r w:rsidRPr="00C614F1">
        <w:rPr>
          <w:rStyle w:val="CharSectno"/>
        </w:rPr>
        <w:t>5.3B.08</w:t>
      </w:r>
      <w:r w:rsidRPr="00CD5673">
        <w:t xml:space="preserve">  Powers of restructuring practitioner for company under restructuring</w:t>
      </w:r>
      <w:bookmarkEnd w:id="141"/>
    </w:p>
    <w:p w14:paraId="41B0E0F4" w14:textId="77777777" w:rsidR="00D46430" w:rsidRPr="00CD5673" w:rsidRDefault="00D46430" w:rsidP="00D46430">
      <w:pPr>
        <w:pStyle w:val="subsection"/>
      </w:pPr>
      <w:r w:rsidRPr="00CD5673">
        <w:tab/>
      </w:r>
      <w:r w:rsidRPr="00CD5673">
        <w:tab/>
        <w:t>The restructuring practitioner for a company under restructuring has the power to investigate the company’s business, property, affairs and financial circumstances for the purposes of:</w:t>
      </w:r>
    </w:p>
    <w:p w14:paraId="39B2C589" w14:textId="77777777" w:rsidR="00D46430" w:rsidRPr="00CD5673" w:rsidRDefault="00D46430" w:rsidP="00D46430">
      <w:pPr>
        <w:pStyle w:val="paragraph"/>
      </w:pPr>
      <w:r w:rsidRPr="00CD5673">
        <w:tab/>
        <w:t>(a)</w:t>
      </w:r>
      <w:r w:rsidRPr="00CD5673">
        <w:tab/>
        <w:t>preparing a declaration under regulation 5.3B.18; or</w:t>
      </w:r>
    </w:p>
    <w:p w14:paraId="1A50EAE5" w14:textId="77777777" w:rsidR="00D46430" w:rsidRPr="00CD5673" w:rsidRDefault="00D46430" w:rsidP="00D46430">
      <w:pPr>
        <w:pStyle w:val="paragraph"/>
      </w:pPr>
      <w:r w:rsidRPr="00CD5673">
        <w:tab/>
        <w:t>(b)</w:t>
      </w:r>
      <w:r w:rsidRPr="00CD5673">
        <w:tab/>
        <w:t>deciding whether to terminate the restructuring of the company; or</w:t>
      </w:r>
    </w:p>
    <w:p w14:paraId="2D5009AA" w14:textId="77777777" w:rsidR="00D46430" w:rsidRPr="00CD5673" w:rsidRDefault="00D46430" w:rsidP="00D46430">
      <w:pPr>
        <w:pStyle w:val="paragraph"/>
      </w:pPr>
      <w:r w:rsidRPr="00CD5673">
        <w:tab/>
        <w:t>(c)</w:t>
      </w:r>
      <w:r w:rsidRPr="00CD5673">
        <w:tab/>
        <w:t>resolving a disagreement under regulation 5.3B.22; or</w:t>
      </w:r>
    </w:p>
    <w:p w14:paraId="728F9A9E" w14:textId="77777777" w:rsidR="00D46430" w:rsidRPr="00CD5673" w:rsidRDefault="00D46430" w:rsidP="00D46430">
      <w:pPr>
        <w:pStyle w:val="paragraph"/>
      </w:pPr>
      <w:r w:rsidRPr="00CD5673">
        <w:lastRenderedPageBreak/>
        <w:tab/>
        <w:t>(d)</w:t>
      </w:r>
      <w:r w:rsidRPr="00CD5673">
        <w:tab/>
        <w:t>performing or exercising any other function, duty or power as restructuring practitioner for the company.</w:t>
      </w:r>
    </w:p>
    <w:p w14:paraId="0A2B93C4" w14:textId="77777777" w:rsidR="00D46430" w:rsidRPr="00CD5673" w:rsidRDefault="00D46430" w:rsidP="00D46430">
      <w:pPr>
        <w:pStyle w:val="ActHead5"/>
      </w:pPr>
      <w:bookmarkStart w:id="142" w:name="_Toc158711752"/>
      <w:r w:rsidRPr="00C614F1">
        <w:rPr>
          <w:rStyle w:val="CharSectno"/>
        </w:rPr>
        <w:t>5.3B.09</w:t>
      </w:r>
      <w:r w:rsidRPr="00CD5673">
        <w:t xml:space="preserve">  Replacement restructuring practitioner must fulfil certain past requirements</w:t>
      </w:r>
      <w:bookmarkEnd w:id="142"/>
    </w:p>
    <w:p w14:paraId="44D07D20" w14:textId="77777777" w:rsidR="00D46430" w:rsidRPr="00CD5673" w:rsidRDefault="00D46430" w:rsidP="00D46430">
      <w:pPr>
        <w:pStyle w:val="subsection"/>
      </w:pPr>
      <w:r w:rsidRPr="00CD5673">
        <w:tab/>
        <w:t>(1)</w:t>
      </w:r>
      <w:r w:rsidRPr="00CD5673">
        <w:tab/>
        <w:t xml:space="preserve">This regulation applies in relation to a restructuring practitioner for a company (the </w:t>
      </w:r>
      <w:r w:rsidRPr="00CD5673">
        <w:rPr>
          <w:b/>
          <w:i/>
        </w:rPr>
        <w:t>replacement practitioner</w:t>
      </w:r>
      <w:r w:rsidRPr="00CD5673">
        <w:t>) who is appointed under subsection 456E(1) of the Act.</w:t>
      </w:r>
    </w:p>
    <w:p w14:paraId="0D5D13F0" w14:textId="77777777" w:rsidR="00D46430" w:rsidRPr="00CD5673" w:rsidRDefault="00D46430" w:rsidP="00D46430">
      <w:pPr>
        <w:pStyle w:val="SubsectionHead"/>
      </w:pPr>
      <w:r w:rsidRPr="00CD5673">
        <w:t>Replacement practitioner must resolve existing creditor disputes</w:t>
      </w:r>
    </w:p>
    <w:p w14:paraId="46D29376" w14:textId="77777777" w:rsidR="00D46430" w:rsidRPr="00CD5673" w:rsidRDefault="00D46430" w:rsidP="00D46430">
      <w:pPr>
        <w:pStyle w:val="subsection"/>
      </w:pPr>
      <w:r w:rsidRPr="00CD5673">
        <w:tab/>
        <w:t>(2)</w:t>
      </w:r>
      <w:r w:rsidRPr="00CD5673">
        <w:tab/>
        <w:t>If:</w:t>
      </w:r>
    </w:p>
    <w:p w14:paraId="176FF554" w14:textId="77777777" w:rsidR="00D46430" w:rsidRPr="00CD5673" w:rsidRDefault="00D46430" w:rsidP="00D46430">
      <w:pPr>
        <w:pStyle w:val="paragraph"/>
      </w:pPr>
      <w:r w:rsidRPr="00CD5673">
        <w:tab/>
        <w:t>(a)</w:t>
      </w:r>
      <w:r w:rsidRPr="00CD5673">
        <w:tab/>
        <w:t xml:space="preserve">before the appointment, a notice was given under subregulation 5.3B.22(2) to the restructuring practitioner for the company (the </w:t>
      </w:r>
      <w:r w:rsidRPr="00CD5673">
        <w:rPr>
          <w:b/>
          <w:i/>
        </w:rPr>
        <w:t>former practitioner</w:t>
      </w:r>
      <w:r w:rsidRPr="00CD5673">
        <w:t>) setting out a creditor’s disagreement with the schedule of debts and claims included with the company’s restructuring proposal statement; and</w:t>
      </w:r>
    </w:p>
    <w:p w14:paraId="3D235ABA" w14:textId="77777777" w:rsidR="00D46430" w:rsidRPr="00CD5673" w:rsidRDefault="00D46430" w:rsidP="00D46430">
      <w:pPr>
        <w:pStyle w:val="paragraph"/>
      </w:pPr>
      <w:r w:rsidRPr="00CD5673">
        <w:tab/>
        <w:t>(b)</w:t>
      </w:r>
      <w:r w:rsidRPr="00CD5673">
        <w:tab/>
        <w:t>at the time of the appointment, the former practitioner has not given notice under subregulation 5.3B.22(6) or (7) in relation to the disagreement;</w:t>
      </w:r>
    </w:p>
    <w:p w14:paraId="105C68CA" w14:textId="77777777" w:rsidR="00D46430" w:rsidRPr="00CD5673" w:rsidRDefault="00D46430" w:rsidP="00D46430">
      <w:pPr>
        <w:pStyle w:val="subsection2"/>
      </w:pPr>
      <w:r w:rsidRPr="00CD5673">
        <w:t>the replacement practitioner must give the notice under subregulation 5.3B.22(6) or (7), as the case requires, as soon as practicable after the appointment.</w:t>
      </w:r>
    </w:p>
    <w:p w14:paraId="442CD158" w14:textId="77777777" w:rsidR="00D46430" w:rsidRPr="00CD5673" w:rsidRDefault="00D46430" w:rsidP="00D46430">
      <w:pPr>
        <w:pStyle w:val="SubsectionHead"/>
      </w:pPr>
      <w:r w:rsidRPr="00CD5673">
        <w:t>Replacement practitioner must lodge outstanding notices etc.</w:t>
      </w:r>
    </w:p>
    <w:p w14:paraId="0667ED25" w14:textId="77777777" w:rsidR="00D46430" w:rsidRPr="00CD5673" w:rsidRDefault="00D46430" w:rsidP="00D46430">
      <w:pPr>
        <w:pStyle w:val="subsection"/>
      </w:pPr>
      <w:r w:rsidRPr="00CD5673">
        <w:tab/>
        <w:t>(3)</w:t>
      </w:r>
      <w:r w:rsidRPr="00CD5673">
        <w:tab/>
        <w:t>If:</w:t>
      </w:r>
    </w:p>
    <w:p w14:paraId="5C01658D" w14:textId="77777777" w:rsidR="00D46430" w:rsidRPr="00CD5673" w:rsidRDefault="00D46430" w:rsidP="00D46430">
      <w:pPr>
        <w:pStyle w:val="paragraph"/>
      </w:pPr>
      <w:r w:rsidRPr="00CD5673">
        <w:tab/>
        <w:t>(a)</w:t>
      </w:r>
      <w:r w:rsidRPr="00CD5673">
        <w:tab/>
        <w:t>before the appointment, a restructuring practitioner for the company was required to do a thing under Subdivision B or C of Division 5; and</w:t>
      </w:r>
    </w:p>
    <w:p w14:paraId="3CA1CC82" w14:textId="77777777" w:rsidR="00D46430" w:rsidRPr="00CD5673" w:rsidRDefault="00D46430" w:rsidP="00D46430">
      <w:pPr>
        <w:pStyle w:val="paragraph"/>
      </w:pPr>
      <w:r w:rsidRPr="00CD5673">
        <w:tab/>
        <w:t>(b)</w:t>
      </w:r>
      <w:r w:rsidRPr="00CD5673">
        <w:tab/>
        <w:t>at the time of the appointment, the thing has not been done;</w:t>
      </w:r>
    </w:p>
    <w:p w14:paraId="262F5B7D" w14:textId="77777777" w:rsidR="00D46430" w:rsidRPr="00CD5673" w:rsidRDefault="00D46430" w:rsidP="00D46430">
      <w:pPr>
        <w:pStyle w:val="subsection2"/>
      </w:pPr>
      <w:r w:rsidRPr="00CD5673">
        <w:t>the replacement practitioner must do the thing within 2 business days after the day on which the replacement practitioner is appointed.</w:t>
      </w:r>
    </w:p>
    <w:p w14:paraId="01D59019" w14:textId="77777777" w:rsidR="00D46430" w:rsidRPr="00CD5673" w:rsidRDefault="00D46430" w:rsidP="00D46430">
      <w:pPr>
        <w:pStyle w:val="ActHead5"/>
      </w:pPr>
      <w:bookmarkStart w:id="143" w:name="_Toc158711753"/>
      <w:r w:rsidRPr="00C614F1">
        <w:rPr>
          <w:rStyle w:val="CharSectno"/>
        </w:rPr>
        <w:t>5.3B.11</w:t>
      </w:r>
      <w:r w:rsidRPr="00CD5673">
        <w:t xml:space="preserve">  Protection from liability</w:t>
      </w:r>
      <w:bookmarkEnd w:id="143"/>
    </w:p>
    <w:p w14:paraId="7905BFB5" w14:textId="77777777" w:rsidR="00D46430" w:rsidRPr="00CD5673" w:rsidRDefault="00D46430" w:rsidP="00D46430">
      <w:pPr>
        <w:pStyle w:val="subsection"/>
      </w:pPr>
      <w:r w:rsidRPr="00CD5673">
        <w:tab/>
      </w:r>
      <w:r w:rsidRPr="00CD5673">
        <w:tab/>
        <w:t>A person who is or has been the restructuring practitioner for a company under restructuring is not subject to any liability to any person in respect of anything done, or omitted to be done, in good faith and without negligence in the exercise or performance, or the purported exercise or performance, of powers, functions or duties under the Act or these regulations relating to the restructuring of the company.</w:t>
      </w:r>
    </w:p>
    <w:p w14:paraId="6C987E89" w14:textId="77777777" w:rsidR="00D46430" w:rsidRPr="00CD5673" w:rsidRDefault="00D46430" w:rsidP="00D46430">
      <w:pPr>
        <w:pStyle w:val="ActHead4"/>
      </w:pPr>
      <w:bookmarkStart w:id="144" w:name="_Toc158711754"/>
      <w:r w:rsidRPr="00C614F1">
        <w:rPr>
          <w:rStyle w:val="CharSubdNo"/>
        </w:rPr>
        <w:t>Subdivision C</w:t>
      </w:r>
      <w:r w:rsidRPr="00CD5673">
        <w:t>—</w:t>
      </w:r>
      <w:r w:rsidRPr="00C614F1">
        <w:rPr>
          <w:rStyle w:val="CharSubdText"/>
        </w:rPr>
        <w:t>Stay on enforcing rights merely because the company is under restructuring etc.</w:t>
      </w:r>
      <w:bookmarkEnd w:id="144"/>
    </w:p>
    <w:p w14:paraId="313B4163" w14:textId="77777777" w:rsidR="00D46430" w:rsidRPr="00CD5673" w:rsidRDefault="00D46430" w:rsidP="00D46430">
      <w:pPr>
        <w:pStyle w:val="ActHead5"/>
      </w:pPr>
      <w:bookmarkStart w:id="145" w:name="_Toc158711755"/>
      <w:r w:rsidRPr="00C614F1">
        <w:rPr>
          <w:rStyle w:val="CharSectno"/>
        </w:rPr>
        <w:t>5.3B.12</w:t>
      </w:r>
      <w:r w:rsidRPr="00CD5673">
        <w:t xml:space="preserve">  Prescribed kinds of contracts, agreements or arrangements under which rights are not subject to the stay in section 454N of the Act</w:t>
      </w:r>
      <w:bookmarkEnd w:id="145"/>
    </w:p>
    <w:p w14:paraId="494830EE" w14:textId="77777777" w:rsidR="00D46430" w:rsidRPr="00CD5673" w:rsidRDefault="00D46430" w:rsidP="00D46430">
      <w:pPr>
        <w:pStyle w:val="subsection"/>
      </w:pPr>
      <w:r w:rsidRPr="00CD5673">
        <w:tab/>
      </w:r>
      <w:r w:rsidRPr="00CD5673">
        <w:tab/>
        <w:t>For the purposes of subparagraph 454N(5)(c)(i) of the Act, each of the kinds of contracts, agreements or arrangements referred to in subregulation 5.3A.50(2) is prescribed.</w:t>
      </w:r>
    </w:p>
    <w:p w14:paraId="7189FC9D" w14:textId="77777777" w:rsidR="00D46430" w:rsidRPr="00CD5673" w:rsidRDefault="00D46430" w:rsidP="00D46430">
      <w:pPr>
        <w:pStyle w:val="ActHead3"/>
        <w:pageBreakBefore/>
      </w:pPr>
      <w:bookmarkStart w:id="146" w:name="_Toc158711756"/>
      <w:r w:rsidRPr="00C614F1">
        <w:rPr>
          <w:rStyle w:val="CharDivNo"/>
        </w:rPr>
        <w:lastRenderedPageBreak/>
        <w:t>Division 3</w:t>
      </w:r>
      <w:r w:rsidRPr="00CD5673">
        <w:t>—</w:t>
      </w:r>
      <w:r w:rsidRPr="00C614F1">
        <w:rPr>
          <w:rStyle w:val="CharDivText"/>
        </w:rPr>
        <w:t>Restructuring plan</w:t>
      </w:r>
      <w:bookmarkEnd w:id="146"/>
    </w:p>
    <w:p w14:paraId="55AD114A" w14:textId="77777777" w:rsidR="00D46430" w:rsidRPr="00CD5673" w:rsidRDefault="00D46430" w:rsidP="00D46430">
      <w:pPr>
        <w:pStyle w:val="ActHead4"/>
      </w:pPr>
      <w:bookmarkStart w:id="147" w:name="_Toc158711757"/>
      <w:r w:rsidRPr="00C614F1">
        <w:rPr>
          <w:rStyle w:val="CharSubdNo"/>
        </w:rPr>
        <w:t>Subdivision A</w:t>
      </w:r>
      <w:r w:rsidRPr="00CD5673">
        <w:t>—</w:t>
      </w:r>
      <w:r w:rsidRPr="00C614F1">
        <w:rPr>
          <w:rStyle w:val="CharSubdText"/>
        </w:rPr>
        <w:t>Preliminary</w:t>
      </w:r>
      <w:bookmarkEnd w:id="147"/>
    </w:p>
    <w:p w14:paraId="6B7D2044" w14:textId="77777777" w:rsidR="00D46430" w:rsidRPr="00CD5673" w:rsidRDefault="00D46430" w:rsidP="00D46430">
      <w:pPr>
        <w:pStyle w:val="ActHead5"/>
      </w:pPr>
      <w:bookmarkStart w:id="148" w:name="_Toc158711758"/>
      <w:r w:rsidRPr="00C614F1">
        <w:rPr>
          <w:rStyle w:val="CharSectno"/>
        </w:rPr>
        <w:t>5.3B.13</w:t>
      </w:r>
      <w:r w:rsidRPr="00CD5673">
        <w:t xml:space="preserve">  Authority</w:t>
      </w:r>
      <w:bookmarkEnd w:id="148"/>
    </w:p>
    <w:p w14:paraId="3A4BCF7C" w14:textId="77777777" w:rsidR="00D46430" w:rsidRPr="00CD5673" w:rsidRDefault="00D46430" w:rsidP="00D46430">
      <w:pPr>
        <w:pStyle w:val="subsection"/>
      </w:pPr>
      <w:r w:rsidRPr="00CD5673">
        <w:tab/>
      </w:r>
      <w:r w:rsidRPr="00CD5673">
        <w:tab/>
        <w:t>Unless otherwise specified, this Division is made under section 455B of the Act.</w:t>
      </w:r>
    </w:p>
    <w:p w14:paraId="0963886A" w14:textId="77777777" w:rsidR="00D46430" w:rsidRPr="00CD5673" w:rsidRDefault="00D46430" w:rsidP="00D46430">
      <w:pPr>
        <w:pStyle w:val="ActHead4"/>
      </w:pPr>
      <w:bookmarkStart w:id="149" w:name="_Toc158711759"/>
      <w:r w:rsidRPr="00C614F1">
        <w:rPr>
          <w:rStyle w:val="CharSubdNo"/>
        </w:rPr>
        <w:t>Subdivision B</w:t>
      </w:r>
      <w:r w:rsidRPr="00CD5673">
        <w:t>—</w:t>
      </w:r>
      <w:r w:rsidRPr="00C614F1">
        <w:rPr>
          <w:rStyle w:val="CharSubdText"/>
        </w:rPr>
        <w:t>Proposing a restructuring plan</w:t>
      </w:r>
      <w:bookmarkEnd w:id="149"/>
    </w:p>
    <w:p w14:paraId="4A74FF1B" w14:textId="77777777" w:rsidR="00D46430" w:rsidRPr="00CD5673" w:rsidRDefault="00D46430" w:rsidP="00D46430">
      <w:pPr>
        <w:pStyle w:val="ActHead5"/>
        <w:rPr>
          <w:i/>
        </w:rPr>
      </w:pPr>
      <w:bookmarkStart w:id="150" w:name="_Toc158711760"/>
      <w:r w:rsidRPr="00C614F1">
        <w:rPr>
          <w:rStyle w:val="CharSectno"/>
        </w:rPr>
        <w:t>5.3B.14</w:t>
      </w:r>
      <w:r w:rsidRPr="00CD5673">
        <w:t xml:space="preserve">  How a restructuring plan is </w:t>
      </w:r>
      <w:r w:rsidRPr="00CD5673">
        <w:rPr>
          <w:i/>
        </w:rPr>
        <w:t>proposed</w:t>
      </w:r>
      <w:bookmarkEnd w:id="150"/>
    </w:p>
    <w:p w14:paraId="056B9C48" w14:textId="77777777" w:rsidR="00D46430" w:rsidRPr="00CD5673" w:rsidRDefault="00D46430" w:rsidP="00D46430">
      <w:pPr>
        <w:pStyle w:val="subsection"/>
      </w:pPr>
      <w:r w:rsidRPr="00CD5673">
        <w:tab/>
        <w:t>(1)</w:t>
      </w:r>
      <w:r w:rsidRPr="00CD5673">
        <w:tab/>
        <w:t xml:space="preserve">A company under restructuring </w:t>
      </w:r>
      <w:r w:rsidRPr="00CD5673">
        <w:rPr>
          <w:b/>
          <w:i/>
        </w:rPr>
        <w:t>proposes</w:t>
      </w:r>
      <w:r w:rsidRPr="00CD5673">
        <w:t xml:space="preserve"> a restructuring plan if:</w:t>
      </w:r>
    </w:p>
    <w:p w14:paraId="0C573819" w14:textId="77777777" w:rsidR="00D46430" w:rsidRPr="00CD5673" w:rsidRDefault="00D46430" w:rsidP="00D46430">
      <w:pPr>
        <w:pStyle w:val="paragraph"/>
      </w:pPr>
      <w:r w:rsidRPr="00CD5673">
        <w:tab/>
        <w:t>(a)</w:t>
      </w:r>
      <w:r w:rsidRPr="00CD5673">
        <w:tab/>
        <w:t>the company prepares:</w:t>
      </w:r>
    </w:p>
    <w:p w14:paraId="090FC491" w14:textId="77777777" w:rsidR="00D46430" w:rsidRPr="00CD5673" w:rsidRDefault="00D46430" w:rsidP="00D46430">
      <w:pPr>
        <w:pStyle w:val="paragraphsub"/>
      </w:pPr>
      <w:r w:rsidRPr="00CD5673">
        <w:tab/>
        <w:t>(i)</w:t>
      </w:r>
      <w:r w:rsidRPr="00CD5673">
        <w:tab/>
        <w:t>a restructuring plan that complies with the requirements in regulation 5.3B.15; and</w:t>
      </w:r>
    </w:p>
    <w:p w14:paraId="3CF4ABF8" w14:textId="77777777" w:rsidR="00D46430" w:rsidRPr="00CD5673" w:rsidRDefault="00D46430" w:rsidP="00D46430">
      <w:pPr>
        <w:pStyle w:val="paragraphsub"/>
      </w:pPr>
      <w:r w:rsidRPr="00CD5673">
        <w:tab/>
        <w:t>(ii)</w:t>
      </w:r>
      <w:r w:rsidRPr="00CD5673">
        <w:tab/>
        <w:t>a restructuring proposal statement that complies with the requirements in regulation 5.3B.16; and</w:t>
      </w:r>
    </w:p>
    <w:p w14:paraId="117612E7" w14:textId="77777777" w:rsidR="00D46430" w:rsidRPr="00CD5673" w:rsidRDefault="00D46430" w:rsidP="00D46430">
      <w:pPr>
        <w:pStyle w:val="paragraph"/>
      </w:pPr>
      <w:r w:rsidRPr="00CD5673">
        <w:tab/>
        <w:t>(b)</w:t>
      </w:r>
      <w:r w:rsidRPr="00CD5673">
        <w:tab/>
        <w:t>the company executes the restructuring plan during the proposal period; and</w:t>
      </w:r>
    </w:p>
    <w:p w14:paraId="79BFD82B" w14:textId="77777777" w:rsidR="00D46430" w:rsidRPr="00CD5673" w:rsidRDefault="00D46430" w:rsidP="00D46430">
      <w:pPr>
        <w:pStyle w:val="paragraph"/>
      </w:pPr>
      <w:r w:rsidRPr="00CD5673">
        <w:tab/>
        <w:t>(c)</w:t>
      </w:r>
      <w:r w:rsidRPr="00CD5673">
        <w:tab/>
        <w:t>the company’s restructuring practitioner prepares and signs a declaration in accordance with regulation 5.3B.18; and</w:t>
      </w:r>
    </w:p>
    <w:p w14:paraId="4FD4E8EC" w14:textId="77777777" w:rsidR="00D46430" w:rsidRPr="00CD5673" w:rsidRDefault="00D46430" w:rsidP="00D46430">
      <w:pPr>
        <w:pStyle w:val="paragraph"/>
      </w:pPr>
      <w:r w:rsidRPr="00CD5673">
        <w:tab/>
        <w:t>(d)</w:t>
      </w:r>
      <w:r w:rsidRPr="00CD5673">
        <w:tab/>
        <w:t>the restructuring practitioner gives a copy of the restructuring plan, restructuring proposal statement and declaration in accordance with subregulation 5.3B.21(1); and</w:t>
      </w:r>
    </w:p>
    <w:p w14:paraId="35F896F4" w14:textId="77777777" w:rsidR="00D46430" w:rsidRPr="00CD5673" w:rsidRDefault="00D46430" w:rsidP="00D46430">
      <w:pPr>
        <w:pStyle w:val="paragraph"/>
      </w:pPr>
      <w:r w:rsidRPr="00CD5673">
        <w:tab/>
        <w:t>(e)</w:t>
      </w:r>
      <w:r w:rsidRPr="00CD5673">
        <w:tab/>
        <w:t>immediately before the restructuring practitioner gives the copies in accordance with subregulation 5.3B.21(1), regulation 5.3B.24 is satisfied in relation to the company.</w:t>
      </w:r>
    </w:p>
    <w:p w14:paraId="1CC3D3BA" w14:textId="77777777" w:rsidR="00D46430" w:rsidRPr="00CD5673" w:rsidRDefault="00D46430" w:rsidP="00D46430">
      <w:pPr>
        <w:pStyle w:val="subsection"/>
        <w:outlineLvl w:val="3"/>
      </w:pPr>
      <w:r w:rsidRPr="00CD5673">
        <w:tab/>
        <w:t>(2)</w:t>
      </w:r>
      <w:r w:rsidRPr="00CD5673">
        <w:tab/>
        <w:t>For the purposes of subsection 455A(3) of the Act, the company is taken to have proposed the restructuring plan on the day the company’s restructuring practitioner does the things mentioned in paragraph (1)(d).</w:t>
      </w:r>
    </w:p>
    <w:p w14:paraId="1F9E4C2E" w14:textId="77777777" w:rsidR="00D46430" w:rsidRPr="00CD5673" w:rsidRDefault="00D46430" w:rsidP="00D46430">
      <w:pPr>
        <w:pStyle w:val="ActHead5"/>
      </w:pPr>
      <w:bookmarkStart w:id="151" w:name="_Toc158711761"/>
      <w:r w:rsidRPr="00C614F1">
        <w:rPr>
          <w:rStyle w:val="CharSectno"/>
        </w:rPr>
        <w:t>5.3B.15</w:t>
      </w:r>
      <w:r w:rsidRPr="00CD5673">
        <w:t xml:space="preserve">  Contents of restructuring plan</w:t>
      </w:r>
      <w:bookmarkEnd w:id="151"/>
    </w:p>
    <w:p w14:paraId="16DD50BD" w14:textId="77777777" w:rsidR="00D46430" w:rsidRPr="00CD5673" w:rsidRDefault="00D46430" w:rsidP="00D46430">
      <w:pPr>
        <w:pStyle w:val="subsection"/>
      </w:pPr>
      <w:r w:rsidRPr="00CD5673">
        <w:tab/>
        <w:t>(1)</w:t>
      </w:r>
      <w:r w:rsidRPr="00CD5673">
        <w:tab/>
        <w:t>A company under restructuring must prepare a restructuring plan that complies with the requirements of this regulation.</w:t>
      </w:r>
    </w:p>
    <w:p w14:paraId="436F15D6" w14:textId="77777777" w:rsidR="00D46430" w:rsidRPr="00CD5673" w:rsidRDefault="00D46430" w:rsidP="00D46430">
      <w:pPr>
        <w:pStyle w:val="subsection"/>
        <w:outlineLvl w:val="3"/>
      </w:pPr>
      <w:r w:rsidRPr="00CD5673">
        <w:tab/>
        <w:t>(2)</w:t>
      </w:r>
      <w:r w:rsidRPr="00CD5673">
        <w:tab/>
        <w:t>The restructuring plan must:</w:t>
      </w:r>
    </w:p>
    <w:p w14:paraId="17A58EE8" w14:textId="77777777" w:rsidR="00D46430" w:rsidRPr="00CD5673" w:rsidRDefault="00D46430" w:rsidP="00D46430">
      <w:pPr>
        <w:pStyle w:val="paragraph"/>
      </w:pPr>
      <w:r w:rsidRPr="00CD5673">
        <w:tab/>
        <w:t>(a)</w:t>
      </w:r>
      <w:r w:rsidRPr="00CD5673">
        <w:tab/>
        <w:t>be in the form approved under regulation 5.3B.65 (if any); and</w:t>
      </w:r>
    </w:p>
    <w:p w14:paraId="45681DCB" w14:textId="77777777" w:rsidR="00D46430" w:rsidRPr="00CD5673" w:rsidRDefault="00D46430" w:rsidP="00D46430">
      <w:pPr>
        <w:pStyle w:val="paragraph"/>
        <w:outlineLvl w:val="3"/>
      </w:pPr>
      <w:r w:rsidRPr="00CD5673">
        <w:tab/>
        <w:t>(b)</w:t>
      </w:r>
      <w:r w:rsidRPr="00CD5673">
        <w:tab/>
        <w:t>identify the company’s property that is to be dealt with; and</w:t>
      </w:r>
    </w:p>
    <w:p w14:paraId="464BC179" w14:textId="77777777" w:rsidR="00D46430" w:rsidRPr="00CD5673" w:rsidRDefault="00D46430" w:rsidP="00D46430">
      <w:pPr>
        <w:pStyle w:val="paragraph"/>
        <w:outlineLvl w:val="3"/>
      </w:pPr>
      <w:r w:rsidRPr="00CD5673">
        <w:tab/>
        <w:t>(c)</w:t>
      </w:r>
      <w:r w:rsidRPr="00CD5673">
        <w:tab/>
        <w:t>specify how the property is to be dealt with; and</w:t>
      </w:r>
    </w:p>
    <w:p w14:paraId="634A18CB" w14:textId="77777777" w:rsidR="00D46430" w:rsidRPr="00CD5673" w:rsidRDefault="00D46430" w:rsidP="00D46430">
      <w:pPr>
        <w:pStyle w:val="paragraph"/>
        <w:outlineLvl w:val="3"/>
      </w:pPr>
      <w:r w:rsidRPr="00CD5673">
        <w:tab/>
        <w:t>(d)</w:t>
      </w:r>
      <w:r w:rsidRPr="00CD5673">
        <w:tab/>
        <w:t>provide for the remuneration of the restructuring practitioner for the plan; and</w:t>
      </w:r>
    </w:p>
    <w:p w14:paraId="2CA61BC8" w14:textId="77777777" w:rsidR="00D46430" w:rsidRPr="00CD5673" w:rsidRDefault="00D46430" w:rsidP="00D46430">
      <w:pPr>
        <w:pStyle w:val="paragraph"/>
      </w:pPr>
      <w:r w:rsidRPr="00CD5673">
        <w:tab/>
        <w:t>(e)</w:t>
      </w:r>
      <w:r w:rsidRPr="00CD5673">
        <w:tab/>
        <w:t>specify the date on which the restructuring plan was executed.</w:t>
      </w:r>
    </w:p>
    <w:p w14:paraId="7B84A10B" w14:textId="77777777" w:rsidR="00D46430" w:rsidRPr="00CD5673" w:rsidRDefault="00D46430" w:rsidP="00D46430">
      <w:pPr>
        <w:pStyle w:val="subsection"/>
        <w:outlineLvl w:val="3"/>
      </w:pPr>
      <w:r w:rsidRPr="00CD5673">
        <w:tab/>
        <w:t>(3)</w:t>
      </w:r>
      <w:r w:rsidRPr="00CD5673">
        <w:tab/>
        <w:t>The restructuring plan may:</w:t>
      </w:r>
    </w:p>
    <w:p w14:paraId="2A231796" w14:textId="77777777" w:rsidR="00D46430" w:rsidRPr="00CD5673" w:rsidRDefault="00D46430" w:rsidP="00D46430">
      <w:pPr>
        <w:pStyle w:val="paragraph"/>
        <w:outlineLvl w:val="3"/>
      </w:pPr>
      <w:r w:rsidRPr="00CD5673">
        <w:tab/>
        <w:t>(a)</w:t>
      </w:r>
      <w:r w:rsidRPr="00CD5673">
        <w:tab/>
        <w:t>authorise the restructuring practitioner for the plan to deal with the identified property in the way specified in the plan; and</w:t>
      </w:r>
    </w:p>
    <w:p w14:paraId="1F4CA13F" w14:textId="77777777" w:rsidR="00D46430" w:rsidRPr="00CD5673" w:rsidRDefault="00D46430" w:rsidP="00D46430">
      <w:pPr>
        <w:pStyle w:val="paragraph"/>
      </w:pPr>
      <w:r w:rsidRPr="00CD5673">
        <w:tab/>
        <w:t>(aa)</w:t>
      </w:r>
      <w:r w:rsidRPr="00CD5673">
        <w:tab/>
        <w:t xml:space="preserve">provide that, </w:t>
      </w:r>
      <w:r w:rsidRPr="00CD5673">
        <w:rPr>
          <w:color w:val="000000"/>
          <w:szCs w:val="22"/>
          <w:shd w:val="clear" w:color="auto" w:fill="FFFFFF"/>
        </w:rPr>
        <w:t xml:space="preserve">when performing a function or duty, or exercising a power, as restructuring practitioner for </w:t>
      </w:r>
      <w:r w:rsidRPr="00CD5673">
        <w:t>the plan, the restructuring practitioner is taken to act as agent for and on behalf of the company; and</w:t>
      </w:r>
    </w:p>
    <w:p w14:paraId="59D2B9DD" w14:textId="77777777" w:rsidR="00D46430" w:rsidRPr="00CD5673" w:rsidRDefault="00D46430" w:rsidP="00D46430">
      <w:pPr>
        <w:pStyle w:val="paragraph"/>
        <w:outlineLvl w:val="3"/>
      </w:pPr>
      <w:r w:rsidRPr="00CD5673">
        <w:tab/>
        <w:t>(b)</w:t>
      </w:r>
      <w:r w:rsidRPr="00CD5673">
        <w:tab/>
        <w:t>provide for any matter relating to the company’s financial affairs; and</w:t>
      </w:r>
    </w:p>
    <w:p w14:paraId="0431342C" w14:textId="77777777" w:rsidR="00D46430" w:rsidRPr="00CD5673" w:rsidRDefault="00D46430" w:rsidP="00D46430">
      <w:pPr>
        <w:pStyle w:val="paragraph"/>
        <w:outlineLvl w:val="3"/>
      </w:pPr>
      <w:r w:rsidRPr="00CD5673">
        <w:tab/>
        <w:t>(c)</w:t>
      </w:r>
      <w:r w:rsidRPr="00CD5673">
        <w:tab/>
        <w:t>be expressed to be conditional on the occurrence of a specified event within a specified period of no longer than 10 business days after the day on which the proposal to make the restructuring plan is accepted.</w:t>
      </w:r>
    </w:p>
    <w:p w14:paraId="6EAB2A23" w14:textId="77777777" w:rsidR="00D46430" w:rsidRPr="00CD5673" w:rsidRDefault="00D46430" w:rsidP="00D46430">
      <w:pPr>
        <w:pStyle w:val="subsection"/>
        <w:outlineLvl w:val="3"/>
      </w:pPr>
      <w:r w:rsidRPr="00CD5673">
        <w:tab/>
        <w:t>(4)</w:t>
      </w:r>
      <w:r w:rsidRPr="00CD5673">
        <w:tab/>
        <w:t>The restructuring plan must not:</w:t>
      </w:r>
    </w:p>
    <w:p w14:paraId="377C7CB9" w14:textId="77777777" w:rsidR="00D46430" w:rsidRPr="00CD5673" w:rsidRDefault="00D46430" w:rsidP="00D46430">
      <w:pPr>
        <w:pStyle w:val="paragraph"/>
        <w:outlineLvl w:val="3"/>
      </w:pPr>
      <w:r w:rsidRPr="00CD5673">
        <w:tab/>
        <w:t>(a)</w:t>
      </w:r>
      <w:r w:rsidRPr="00CD5673">
        <w:tab/>
        <w:t>provide for the transfer of property (other than money) to a creditor; or</w:t>
      </w:r>
    </w:p>
    <w:p w14:paraId="3DC9905C" w14:textId="77777777" w:rsidR="00D46430" w:rsidRPr="00CD5673" w:rsidRDefault="00D46430" w:rsidP="00D46430">
      <w:pPr>
        <w:pStyle w:val="paragraph"/>
        <w:outlineLvl w:val="3"/>
      </w:pPr>
      <w:r w:rsidRPr="00CD5673">
        <w:tab/>
        <w:t>(b)</w:t>
      </w:r>
      <w:r w:rsidRPr="00CD5673">
        <w:tab/>
        <w:t>provide for the company to make payments under the plan, in respect of an admissible debt or claim, after 3 years beginning on the day the plan is made.</w:t>
      </w:r>
    </w:p>
    <w:p w14:paraId="78B3FA60" w14:textId="77777777" w:rsidR="00D46430" w:rsidRPr="00CD5673" w:rsidRDefault="00D46430" w:rsidP="00D46430">
      <w:pPr>
        <w:pStyle w:val="ActHead5"/>
      </w:pPr>
      <w:bookmarkStart w:id="152" w:name="_Toc158711762"/>
      <w:r w:rsidRPr="00C614F1">
        <w:rPr>
          <w:rStyle w:val="CharSectno"/>
        </w:rPr>
        <w:t>5.3B.16</w:t>
      </w:r>
      <w:r w:rsidRPr="00CD5673">
        <w:t xml:space="preserve">  Restructuring proposal statement</w:t>
      </w:r>
      <w:bookmarkEnd w:id="152"/>
    </w:p>
    <w:p w14:paraId="2B9936BA" w14:textId="77777777" w:rsidR="00D46430" w:rsidRPr="00CD5673" w:rsidRDefault="00D46430" w:rsidP="00D46430">
      <w:pPr>
        <w:pStyle w:val="subsection"/>
        <w:outlineLvl w:val="3"/>
      </w:pPr>
      <w:r w:rsidRPr="00CD5673">
        <w:tab/>
        <w:t>(1)</w:t>
      </w:r>
      <w:r w:rsidRPr="00CD5673">
        <w:tab/>
        <w:t>A restructuring plan must be accompanied by a restructuring proposal statement.</w:t>
      </w:r>
    </w:p>
    <w:p w14:paraId="2FD54F2B" w14:textId="77777777" w:rsidR="00D46430" w:rsidRPr="00CD5673" w:rsidRDefault="00D46430" w:rsidP="00D46430">
      <w:pPr>
        <w:pStyle w:val="subsection"/>
      </w:pPr>
      <w:r w:rsidRPr="00CD5673">
        <w:tab/>
        <w:t>(2)</w:t>
      </w:r>
      <w:r w:rsidRPr="00CD5673">
        <w:tab/>
        <w:t>The restructuring proposal statement must:</w:t>
      </w:r>
    </w:p>
    <w:p w14:paraId="254AF70B" w14:textId="77777777" w:rsidR="00D46430" w:rsidRPr="00CD5673" w:rsidRDefault="00D46430" w:rsidP="00D46430">
      <w:pPr>
        <w:pStyle w:val="paragraph"/>
      </w:pPr>
      <w:r w:rsidRPr="00CD5673">
        <w:lastRenderedPageBreak/>
        <w:tab/>
        <w:t>(a)</w:t>
      </w:r>
      <w:r w:rsidRPr="00CD5673">
        <w:tab/>
        <w:t>include a schedule of debts and claims; and</w:t>
      </w:r>
    </w:p>
    <w:p w14:paraId="47F43358" w14:textId="77777777" w:rsidR="00D46430" w:rsidRPr="00CD5673" w:rsidRDefault="00D46430" w:rsidP="00D46430">
      <w:pPr>
        <w:pStyle w:val="paragraph"/>
      </w:pPr>
      <w:r w:rsidRPr="00CD5673">
        <w:tab/>
        <w:t>(b)</w:t>
      </w:r>
      <w:r w:rsidRPr="00CD5673">
        <w:tab/>
        <w:t>be in the form approved under regulation 5.3B.65 (if any); and</w:t>
      </w:r>
    </w:p>
    <w:p w14:paraId="7E628258" w14:textId="77777777" w:rsidR="00D46430" w:rsidRPr="00CD5673" w:rsidRDefault="00D46430" w:rsidP="00D46430">
      <w:pPr>
        <w:pStyle w:val="paragraph"/>
      </w:pPr>
      <w:r w:rsidRPr="00CD5673">
        <w:tab/>
        <w:t>(c)</w:t>
      </w:r>
      <w:r w:rsidRPr="00CD5673">
        <w:tab/>
        <w:t>contain such information as the form requires.</w:t>
      </w:r>
    </w:p>
    <w:p w14:paraId="242F5FD5" w14:textId="77777777" w:rsidR="00D46430" w:rsidRPr="00CD5673" w:rsidRDefault="00D46430" w:rsidP="00D46430">
      <w:pPr>
        <w:pStyle w:val="ActHead5"/>
        <w:rPr>
          <w:i/>
        </w:rPr>
      </w:pPr>
      <w:bookmarkStart w:id="153" w:name="_Toc158711763"/>
      <w:r w:rsidRPr="00C614F1">
        <w:rPr>
          <w:rStyle w:val="CharSectno"/>
        </w:rPr>
        <w:t>5.3B.17</w:t>
      </w:r>
      <w:r w:rsidRPr="00CD5673">
        <w:t xml:space="preserve">  Meaning of </w:t>
      </w:r>
      <w:r w:rsidRPr="00CD5673">
        <w:rPr>
          <w:i/>
        </w:rPr>
        <w:t>proposal period</w:t>
      </w:r>
      <w:bookmarkEnd w:id="153"/>
    </w:p>
    <w:p w14:paraId="487C3D94" w14:textId="77777777" w:rsidR="00D46430" w:rsidRPr="00CD5673" w:rsidRDefault="00D46430" w:rsidP="00D46430">
      <w:pPr>
        <w:pStyle w:val="subsection"/>
        <w:outlineLvl w:val="3"/>
      </w:pPr>
      <w:r w:rsidRPr="00CD5673">
        <w:tab/>
        <w:t>(1)</w:t>
      </w:r>
      <w:r w:rsidRPr="00CD5673">
        <w:tab/>
        <w:t xml:space="preserve">The </w:t>
      </w:r>
      <w:r w:rsidRPr="00CD5673">
        <w:rPr>
          <w:b/>
          <w:i/>
        </w:rPr>
        <w:t>proposal period</w:t>
      </w:r>
      <w:r w:rsidRPr="00CD5673">
        <w:t>, in relation to a company that is under restructuring, is the period of 20 business days beginning on the day the restructuring begins.</w:t>
      </w:r>
    </w:p>
    <w:p w14:paraId="61533061" w14:textId="77777777" w:rsidR="00D46430" w:rsidRPr="00CD5673" w:rsidRDefault="00D46430" w:rsidP="00D46430">
      <w:pPr>
        <w:pStyle w:val="SubsectionHead"/>
      </w:pPr>
      <w:r w:rsidRPr="00CD5673">
        <w:t>Restructuring practitioner may extend proposal period</w:t>
      </w:r>
    </w:p>
    <w:p w14:paraId="4F73DC5E" w14:textId="77777777" w:rsidR="00D46430" w:rsidRPr="00CD5673" w:rsidRDefault="00D46430" w:rsidP="00D46430">
      <w:pPr>
        <w:pStyle w:val="subsection"/>
        <w:outlineLvl w:val="3"/>
      </w:pPr>
      <w:r w:rsidRPr="00CD5673">
        <w:tab/>
        <w:t>(2)</w:t>
      </w:r>
      <w:r w:rsidRPr="00CD5673">
        <w:tab/>
        <w:t>The company’s restructuring practitioner may, on application by the company, extend the proposal period by no more than 10 business days if the restructuring practitioner is satisfied on reasonable grounds that requiring the company to give a restructuring plan within the proposal period would not be reasonable in the circumstances.</w:t>
      </w:r>
    </w:p>
    <w:p w14:paraId="2AD9E7E7" w14:textId="77777777" w:rsidR="00D46430" w:rsidRPr="00CD5673" w:rsidRDefault="00D46430" w:rsidP="00D46430">
      <w:pPr>
        <w:pStyle w:val="subsection"/>
        <w:outlineLvl w:val="3"/>
      </w:pPr>
      <w:r w:rsidRPr="00CD5673">
        <w:tab/>
        <w:t>(3)</w:t>
      </w:r>
      <w:r w:rsidRPr="00CD5673">
        <w:tab/>
        <w:t>The restructuring practitioner may not extend the proposal period more than once under subregulation (2).</w:t>
      </w:r>
    </w:p>
    <w:p w14:paraId="04A25606" w14:textId="77777777" w:rsidR="00D46430" w:rsidRPr="00CD5673" w:rsidRDefault="00D46430" w:rsidP="00D46430">
      <w:pPr>
        <w:pStyle w:val="SubsectionHead"/>
      </w:pPr>
      <w:r w:rsidRPr="00CD5673">
        <w:t>Court may extend proposal period</w:t>
      </w:r>
    </w:p>
    <w:p w14:paraId="62CAD422" w14:textId="77777777" w:rsidR="00D46430" w:rsidRPr="00CD5673" w:rsidRDefault="00D46430" w:rsidP="00D46430">
      <w:pPr>
        <w:pStyle w:val="subsection"/>
        <w:outlineLvl w:val="3"/>
      </w:pPr>
      <w:r w:rsidRPr="00CD5673">
        <w:tab/>
        <w:t>(4)</w:t>
      </w:r>
      <w:r w:rsidRPr="00CD5673">
        <w:tab/>
        <w:t>The Court may, on application by the company, order an extension of the proposal period.</w:t>
      </w:r>
    </w:p>
    <w:p w14:paraId="1A38FFC9" w14:textId="77777777" w:rsidR="00D46430" w:rsidRPr="00CD5673" w:rsidRDefault="00D46430" w:rsidP="00D46430">
      <w:pPr>
        <w:pStyle w:val="SubsectionHead"/>
      </w:pPr>
      <w:r w:rsidRPr="00CD5673">
        <w:t>Notification of extension</w:t>
      </w:r>
    </w:p>
    <w:p w14:paraId="17B976EC" w14:textId="77777777" w:rsidR="00D46430" w:rsidRPr="00CD5673" w:rsidRDefault="00D46430" w:rsidP="00D46430">
      <w:pPr>
        <w:pStyle w:val="subsection"/>
      </w:pPr>
      <w:r w:rsidRPr="00CD5673">
        <w:tab/>
        <w:t>(5)</w:t>
      </w:r>
      <w:r w:rsidRPr="00CD5673">
        <w:tab/>
        <w:t>Within 2 business days after the day on which the proposal period is extended under subregulation (2) or (4), the restructuring practitioner must:</w:t>
      </w:r>
    </w:p>
    <w:p w14:paraId="4113F85A" w14:textId="77777777" w:rsidR="00D46430" w:rsidRPr="00CD5673" w:rsidRDefault="00D46430" w:rsidP="00D46430">
      <w:pPr>
        <w:pStyle w:val="paragraph"/>
      </w:pPr>
      <w:r w:rsidRPr="00CD5673">
        <w:tab/>
        <w:t>(a)</w:t>
      </w:r>
      <w:r w:rsidRPr="00CD5673">
        <w:tab/>
        <w:t>lodge with ASIC notice of the extension:</w:t>
      </w:r>
    </w:p>
    <w:p w14:paraId="362B6C83" w14:textId="77777777" w:rsidR="00D46430" w:rsidRPr="00CD5673" w:rsidRDefault="00D46430" w:rsidP="00D46430">
      <w:pPr>
        <w:pStyle w:val="paragraphsub"/>
      </w:pPr>
      <w:r w:rsidRPr="00CD5673">
        <w:tab/>
        <w:t>(i)</w:t>
      </w:r>
      <w:r w:rsidRPr="00CD5673">
        <w:tab/>
        <w:t>in the prescribed form (if any); and</w:t>
      </w:r>
    </w:p>
    <w:p w14:paraId="3AEEB2EF" w14:textId="77777777" w:rsidR="00D46430" w:rsidRPr="00CD5673" w:rsidRDefault="00D46430" w:rsidP="00D46430">
      <w:pPr>
        <w:pStyle w:val="paragraphsub"/>
      </w:pPr>
      <w:r w:rsidRPr="00CD5673">
        <w:tab/>
        <w:t>(ii)</w:t>
      </w:r>
      <w:r w:rsidRPr="00CD5673">
        <w:tab/>
        <w:t>in accordance with subregulation 5.6.75(4); and</w:t>
      </w:r>
    </w:p>
    <w:p w14:paraId="72535064" w14:textId="77777777" w:rsidR="00D46430" w:rsidRPr="00CD5673" w:rsidRDefault="00D46430" w:rsidP="00D46430">
      <w:pPr>
        <w:pStyle w:val="paragraph"/>
      </w:pPr>
      <w:r w:rsidRPr="00CD5673">
        <w:tab/>
        <w:t>(b)</w:t>
      </w:r>
      <w:r w:rsidRPr="00CD5673">
        <w:tab/>
        <w:t>give a copy of the notice to as many of the company’s creditors as reasonably practicable.</w:t>
      </w:r>
    </w:p>
    <w:p w14:paraId="013FF6CE" w14:textId="77777777" w:rsidR="00D46430" w:rsidRPr="00CD5673" w:rsidRDefault="00D46430" w:rsidP="00D46430">
      <w:pPr>
        <w:pStyle w:val="ActHead5"/>
      </w:pPr>
      <w:bookmarkStart w:id="154" w:name="_Toc158711764"/>
      <w:r w:rsidRPr="00C614F1">
        <w:rPr>
          <w:rStyle w:val="CharSectno"/>
        </w:rPr>
        <w:t>5.3B.18</w:t>
      </w:r>
      <w:r w:rsidRPr="00CD5673">
        <w:t xml:space="preserve">  Restructuring practitioner must make declaration in relation to restructuring plan</w:t>
      </w:r>
      <w:bookmarkEnd w:id="154"/>
    </w:p>
    <w:p w14:paraId="0DEBF4A9" w14:textId="77777777" w:rsidR="00D46430" w:rsidRPr="00CD5673" w:rsidRDefault="00D46430" w:rsidP="00D46430">
      <w:pPr>
        <w:pStyle w:val="subsection"/>
        <w:outlineLvl w:val="3"/>
      </w:pPr>
      <w:r w:rsidRPr="00CD5673">
        <w:tab/>
        <w:t>(1)</w:t>
      </w:r>
      <w:r w:rsidRPr="00CD5673">
        <w:tab/>
        <w:t>As soon as practicable after a company executes a restructuring plan, the company’s restructuring practitioner must make a declaration in accordance with this regulation.</w:t>
      </w:r>
    </w:p>
    <w:p w14:paraId="3015B73C" w14:textId="77777777" w:rsidR="00D46430" w:rsidRPr="00CD5673" w:rsidRDefault="00D46430" w:rsidP="00D46430">
      <w:pPr>
        <w:pStyle w:val="subsection"/>
        <w:outlineLvl w:val="3"/>
      </w:pPr>
      <w:r w:rsidRPr="00CD5673">
        <w:tab/>
        <w:t>(2)</w:t>
      </w:r>
      <w:r w:rsidRPr="00CD5673">
        <w:tab/>
        <w:t>The declaration must:</w:t>
      </w:r>
    </w:p>
    <w:p w14:paraId="4C2354D9" w14:textId="77777777" w:rsidR="00D46430" w:rsidRPr="00CD5673" w:rsidRDefault="00D46430" w:rsidP="00D46430">
      <w:pPr>
        <w:pStyle w:val="paragraph"/>
        <w:outlineLvl w:val="3"/>
      </w:pPr>
      <w:r w:rsidRPr="00CD5673">
        <w:tab/>
        <w:t>(a)</w:t>
      </w:r>
      <w:r w:rsidRPr="00CD5673">
        <w:tab/>
        <w:t>if the restructuring practitioner believes on reasonable grounds that:</w:t>
      </w:r>
    </w:p>
    <w:p w14:paraId="027AD513" w14:textId="77777777" w:rsidR="00D46430" w:rsidRPr="00CD5673" w:rsidRDefault="00D46430" w:rsidP="00D46430">
      <w:pPr>
        <w:pStyle w:val="paragraphsub"/>
      </w:pPr>
      <w:r w:rsidRPr="00CD5673">
        <w:tab/>
        <w:t>(i)</w:t>
      </w:r>
      <w:r w:rsidRPr="00CD5673">
        <w:tab/>
        <w:t>the eligibility criteria for restructuring are met in relation to the company; and</w:t>
      </w:r>
    </w:p>
    <w:p w14:paraId="3D4CF998" w14:textId="77777777" w:rsidR="00D46430" w:rsidRPr="00CD5673" w:rsidRDefault="00D46430" w:rsidP="00D46430">
      <w:pPr>
        <w:pStyle w:val="paragraphsub"/>
      </w:pPr>
      <w:r w:rsidRPr="00CD5673">
        <w:tab/>
        <w:t>(ii)</w:t>
      </w:r>
      <w:r w:rsidRPr="00CD5673">
        <w:tab/>
        <w:t>if the restructuring plan is made, the company is likely to be able to discharge the obligations created by the plan as and when they become due and payable;</w:t>
      </w:r>
    </w:p>
    <w:p w14:paraId="4D0FFED5" w14:textId="77777777" w:rsidR="00D46430" w:rsidRPr="00CD5673" w:rsidRDefault="00D46430" w:rsidP="00D46430">
      <w:pPr>
        <w:pStyle w:val="paragraph"/>
      </w:pPr>
      <w:r w:rsidRPr="00CD5673">
        <w:tab/>
      </w:r>
      <w:r w:rsidRPr="00CD5673">
        <w:tab/>
        <w:t>state that; and</w:t>
      </w:r>
    </w:p>
    <w:p w14:paraId="79B00E36" w14:textId="77777777" w:rsidR="00D46430" w:rsidRPr="00CD5673" w:rsidRDefault="00D46430" w:rsidP="00D46430">
      <w:pPr>
        <w:pStyle w:val="paragraph"/>
        <w:outlineLvl w:val="3"/>
      </w:pPr>
      <w:r w:rsidRPr="00CD5673">
        <w:tab/>
        <w:t>(b)</w:t>
      </w:r>
      <w:r w:rsidRPr="00CD5673">
        <w:tab/>
        <w:t>if the restructuring practitioner believes on reasonable grounds that all information required to be set out in the company’s restructuring proposal statement has been set out in that statement—state that; and</w:t>
      </w:r>
    </w:p>
    <w:p w14:paraId="721E2FD7" w14:textId="77777777" w:rsidR="00D46430" w:rsidRPr="00CD5673" w:rsidRDefault="00D46430" w:rsidP="00D46430">
      <w:pPr>
        <w:pStyle w:val="paragraph"/>
        <w:outlineLvl w:val="3"/>
      </w:pPr>
      <w:r w:rsidRPr="00CD5673">
        <w:tab/>
        <w:t>(c)</w:t>
      </w:r>
      <w:r w:rsidRPr="00CD5673">
        <w:tab/>
        <w:t>if the restructuring practitioner does not believe on reasonable grounds a matter mentioned in paragraph (a) or (b)—identify the matter in relation to which a belief on reasonable grounds could not be formed and set out the reasons for that conclusion; and</w:t>
      </w:r>
    </w:p>
    <w:p w14:paraId="0B1E3F9F" w14:textId="77777777" w:rsidR="00D46430" w:rsidRPr="00CD5673" w:rsidRDefault="00D46430" w:rsidP="00D46430">
      <w:pPr>
        <w:pStyle w:val="paragraph"/>
        <w:outlineLvl w:val="3"/>
      </w:pPr>
      <w:r w:rsidRPr="00CD5673">
        <w:tab/>
        <w:t>(d)</w:t>
      </w:r>
      <w:r w:rsidRPr="00CD5673">
        <w:tab/>
        <w:t>if, at the time a person became an affected creditor, the person was a related entity of the restructuring practitioner—specify the name of the affected creditor and the nature of the relationship between the affected creditor and the restructuring practitioner.</w:t>
      </w:r>
    </w:p>
    <w:p w14:paraId="227B7B9F" w14:textId="77777777" w:rsidR="00D46430" w:rsidRPr="00CD5673" w:rsidRDefault="00D46430" w:rsidP="00D46430">
      <w:pPr>
        <w:pStyle w:val="notetext"/>
      </w:pPr>
      <w:r w:rsidRPr="00CD5673">
        <w:t>Note:</w:t>
      </w:r>
      <w:r w:rsidRPr="00CD5673">
        <w:tab/>
        <w:t>A declaration must not be false or misleading in a material particular, or omit anything that would render it materially false or misleading: see section 1308 of the Act.</w:t>
      </w:r>
    </w:p>
    <w:p w14:paraId="764259D3" w14:textId="77777777" w:rsidR="00D46430" w:rsidRPr="00CD5673" w:rsidRDefault="00D46430" w:rsidP="00D46430">
      <w:pPr>
        <w:pStyle w:val="subsection"/>
      </w:pPr>
      <w:r w:rsidRPr="00CD5673">
        <w:tab/>
        <w:t>(3)</w:t>
      </w:r>
      <w:r w:rsidRPr="00CD5673">
        <w:tab/>
        <w:t>The declaration must be signed by the restructuring practitioner.</w:t>
      </w:r>
    </w:p>
    <w:p w14:paraId="6A7CF666" w14:textId="77777777" w:rsidR="00D46430" w:rsidRPr="00CD5673" w:rsidRDefault="00D46430" w:rsidP="00D46430">
      <w:pPr>
        <w:pStyle w:val="SubsectionHead"/>
      </w:pPr>
      <w:r w:rsidRPr="00CD5673">
        <w:t>Offence</w:t>
      </w:r>
    </w:p>
    <w:p w14:paraId="5705A5E8" w14:textId="77777777" w:rsidR="00D46430" w:rsidRPr="00CD5673" w:rsidRDefault="00D46430" w:rsidP="00D46430">
      <w:pPr>
        <w:pStyle w:val="subsection"/>
        <w:outlineLvl w:val="3"/>
      </w:pPr>
      <w:r w:rsidRPr="00CD5673">
        <w:tab/>
        <w:t>(4)</w:t>
      </w:r>
      <w:r w:rsidRPr="00CD5673">
        <w:tab/>
        <w:t>The restructuring practitioner for a company commits an offence if:</w:t>
      </w:r>
    </w:p>
    <w:p w14:paraId="0EBAA2FB" w14:textId="77777777" w:rsidR="00D46430" w:rsidRPr="00CD5673" w:rsidRDefault="00D46430" w:rsidP="00D46430">
      <w:pPr>
        <w:pStyle w:val="paragraph"/>
        <w:outlineLvl w:val="3"/>
      </w:pPr>
      <w:r w:rsidRPr="00CD5673">
        <w:tab/>
        <w:t>(a)</w:t>
      </w:r>
      <w:r w:rsidRPr="00CD5673">
        <w:tab/>
        <w:t>the restructuring practitioner prepares a declaration under this regulation; and</w:t>
      </w:r>
    </w:p>
    <w:p w14:paraId="290B27AA" w14:textId="77777777" w:rsidR="00D46430" w:rsidRPr="00CD5673" w:rsidRDefault="00D46430" w:rsidP="00D46430">
      <w:pPr>
        <w:pStyle w:val="paragraph"/>
        <w:outlineLvl w:val="3"/>
      </w:pPr>
      <w:r w:rsidRPr="00CD5673">
        <w:tab/>
        <w:t>(b)</w:t>
      </w:r>
      <w:r w:rsidRPr="00CD5673">
        <w:tab/>
        <w:t>the restructuring practitioner does not:</w:t>
      </w:r>
    </w:p>
    <w:p w14:paraId="2BFD6C3E" w14:textId="77777777" w:rsidR="00D46430" w:rsidRPr="00CD5673" w:rsidRDefault="00D46430" w:rsidP="00D46430">
      <w:pPr>
        <w:pStyle w:val="paragraphsub"/>
        <w:outlineLvl w:val="3"/>
      </w:pPr>
      <w:r w:rsidRPr="00CD5673">
        <w:lastRenderedPageBreak/>
        <w:tab/>
        <w:t>(i)</w:t>
      </w:r>
      <w:r w:rsidRPr="00CD5673">
        <w:tab/>
        <w:t>make reasonable inquiries into the company’s business, property, affairs and financial circumstances; or</w:t>
      </w:r>
    </w:p>
    <w:p w14:paraId="342E44F1" w14:textId="77777777" w:rsidR="00D46430" w:rsidRPr="00CD5673" w:rsidRDefault="00D46430" w:rsidP="00D46430">
      <w:pPr>
        <w:pStyle w:val="paragraphsub"/>
        <w:outlineLvl w:val="3"/>
      </w:pPr>
      <w:r w:rsidRPr="00CD5673">
        <w:tab/>
        <w:t>(ii)</w:t>
      </w:r>
      <w:r w:rsidRPr="00CD5673">
        <w:tab/>
        <w:t>take reasonable steps to verify the company’s business, property, affairs and financial circumstances;</w:t>
      </w:r>
    </w:p>
    <w:p w14:paraId="6E1790CA" w14:textId="77777777" w:rsidR="00D46430" w:rsidRPr="00CD5673" w:rsidRDefault="00D46430" w:rsidP="00D46430">
      <w:pPr>
        <w:pStyle w:val="paragraph"/>
      </w:pPr>
      <w:r w:rsidRPr="00CD5673">
        <w:tab/>
      </w:r>
      <w:r w:rsidRPr="00CD5673">
        <w:tab/>
        <w:t>for the purpose of assessing the accuracy and completeness of the information provided by the company in the restructuring plan and restructuring proposal statement.</w:t>
      </w:r>
    </w:p>
    <w:p w14:paraId="191A7AEA" w14:textId="77777777" w:rsidR="00D46430" w:rsidRPr="00CD5673" w:rsidRDefault="00D46430" w:rsidP="00D46430">
      <w:pPr>
        <w:pStyle w:val="Penalty"/>
        <w:outlineLvl w:val="3"/>
      </w:pPr>
      <w:r w:rsidRPr="00CD5673">
        <w:t>Penalty:</w:t>
      </w:r>
      <w:r w:rsidRPr="00CD5673">
        <w:tab/>
        <w:t>50 penalty units.</w:t>
      </w:r>
    </w:p>
    <w:p w14:paraId="27EA1B48" w14:textId="77777777" w:rsidR="00D46430" w:rsidRPr="00CD5673" w:rsidRDefault="00D46430" w:rsidP="00D46430">
      <w:pPr>
        <w:pStyle w:val="subsection"/>
        <w:outlineLvl w:val="3"/>
      </w:pPr>
      <w:r w:rsidRPr="00CD5673">
        <w:tab/>
        <w:t>(5)</w:t>
      </w:r>
      <w:r w:rsidRPr="00CD5673">
        <w:tab/>
        <w:t>An offence based on subregulation (4) is an offence of strict liability.</w:t>
      </w:r>
    </w:p>
    <w:p w14:paraId="5B255C71" w14:textId="77777777" w:rsidR="00D46430" w:rsidRPr="00CD5673" w:rsidRDefault="00D46430" w:rsidP="00D46430">
      <w:pPr>
        <w:pStyle w:val="ActHead5"/>
      </w:pPr>
      <w:bookmarkStart w:id="155" w:name="_Toc158711765"/>
      <w:r w:rsidRPr="00C614F1">
        <w:rPr>
          <w:rStyle w:val="CharSectno"/>
        </w:rPr>
        <w:t>5.3B.19</w:t>
      </w:r>
      <w:r w:rsidRPr="00CD5673">
        <w:t xml:space="preserve">  Restructuring practitioner must notify company of defect in restructuring plan</w:t>
      </w:r>
      <w:bookmarkEnd w:id="155"/>
    </w:p>
    <w:p w14:paraId="4358393C" w14:textId="77777777" w:rsidR="00D46430" w:rsidRPr="00CD5673" w:rsidRDefault="00D46430" w:rsidP="00D46430">
      <w:pPr>
        <w:pStyle w:val="subsection"/>
      </w:pPr>
      <w:r w:rsidRPr="00CD5673">
        <w:tab/>
        <w:t>(1)</w:t>
      </w:r>
      <w:r w:rsidRPr="00CD5673">
        <w:tab/>
        <w:t>The restructuring practitioner for a company under restructuring commits an offence if:</w:t>
      </w:r>
    </w:p>
    <w:p w14:paraId="2A989900" w14:textId="77777777" w:rsidR="00D46430" w:rsidRPr="00CD5673" w:rsidRDefault="00D46430" w:rsidP="00D46430">
      <w:pPr>
        <w:pStyle w:val="paragraph"/>
      </w:pPr>
      <w:r w:rsidRPr="00CD5673">
        <w:tab/>
        <w:t>(a)</w:t>
      </w:r>
      <w:r w:rsidRPr="00CD5673">
        <w:tab/>
        <w:t>at any time before the restructuring practitioner prepares a declaration under regulation 5.3B.18 in relation to the company’s restructuring plan:</w:t>
      </w:r>
    </w:p>
    <w:p w14:paraId="3B32658C" w14:textId="77777777" w:rsidR="00D46430" w:rsidRPr="00CD5673" w:rsidRDefault="00D46430" w:rsidP="00D46430">
      <w:pPr>
        <w:pStyle w:val="paragraphsub"/>
      </w:pPr>
      <w:r w:rsidRPr="00CD5673">
        <w:tab/>
        <w:t>(i)</w:t>
      </w:r>
      <w:r w:rsidRPr="00CD5673">
        <w:tab/>
        <w:t>the restructuring practitioner becomes aware that the information in the plan, or in the restructuring proposal statement that accompanies the plan, is incomplete or inaccurate; and</w:t>
      </w:r>
    </w:p>
    <w:p w14:paraId="176E8FD1" w14:textId="77777777" w:rsidR="00D46430" w:rsidRPr="00CD5673" w:rsidRDefault="00D46430" w:rsidP="00D46430">
      <w:pPr>
        <w:pStyle w:val="paragraphsub"/>
      </w:pPr>
      <w:r w:rsidRPr="00CD5673">
        <w:tab/>
        <w:t>(ii)</w:t>
      </w:r>
      <w:r w:rsidRPr="00CD5673">
        <w:tab/>
        <w:t>the restructuring practitioner has reasonable grounds to believe that, if the plan is made, the matter to which the incompleteness or inaccuracy relates is likely to affect the company’s ability to meet its obligations under the plan; and</w:t>
      </w:r>
    </w:p>
    <w:p w14:paraId="0790043E" w14:textId="77777777" w:rsidR="00D46430" w:rsidRPr="00CD5673" w:rsidRDefault="00D46430" w:rsidP="00D46430">
      <w:pPr>
        <w:pStyle w:val="paragraph"/>
      </w:pPr>
      <w:r w:rsidRPr="00CD5673">
        <w:tab/>
        <w:t>(b)</w:t>
      </w:r>
      <w:r w:rsidRPr="00CD5673">
        <w:tab/>
        <w:t>the restructuring practitioner does not, as soon as practicable after becoming so aware:</w:t>
      </w:r>
    </w:p>
    <w:p w14:paraId="3AFF84A8" w14:textId="77777777" w:rsidR="00D46430" w:rsidRPr="00CD5673" w:rsidRDefault="00D46430" w:rsidP="00D46430">
      <w:pPr>
        <w:pStyle w:val="paragraphsub"/>
      </w:pPr>
      <w:r w:rsidRPr="00CD5673">
        <w:tab/>
        <w:t>(i)</w:t>
      </w:r>
      <w:r w:rsidRPr="00CD5673">
        <w:tab/>
        <w:t>notify the company of the incompleteness or inaccuracy; and</w:t>
      </w:r>
    </w:p>
    <w:p w14:paraId="7790FB77" w14:textId="77777777" w:rsidR="00D46430" w:rsidRPr="00CD5673" w:rsidRDefault="00D46430" w:rsidP="00D46430">
      <w:pPr>
        <w:pStyle w:val="paragraphsub"/>
      </w:pPr>
      <w:r w:rsidRPr="00CD5673">
        <w:tab/>
        <w:t>(ii)</w:t>
      </w:r>
      <w:r w:rsidRPr="00CD5673">
        <w:tab/>
        <w:t>provide an opportunity for the company to address the incompleteness or inaccuracy.</w:t>
      </w:r>
    </w:p>
    <w:p w14:paraId="100C0DA7" w14:textId="77777777" w:rsidR="00D46430" w:rsidRPr="00CD5673" w:rsidRDefault="00D46430" w:rsidP="00D46430">
      <w:pPr>
        <w:pStyle w:val="Penalty"/>
        <w:outlineLvl w:val="3"/>
      </w:pPr>
      <w:r w:rsidRPr="00CD5673">
        <w:t>Penalty:</w:t>
      </w:r>
      <w:r w:rsidRPr="00CD5673">
        <w:tab/>
        <w:t>50 penalty units.</w:t>
      </w:r>
    </w:p>
    <w:p w14:paraId="3974783D" w14:textId="77777777" w:rsidR="00D46430" w:rsidRPr="00CD5673" w:rsidRDefault="00D46430" w:rsidP="00D46430">
      <w:pPr>
        <w:pStyle w:val="subsection"/>
        <w:outlineLvl w:val="3"/>
      </w:pPr>
      <w:r w:rsidRPr="00CD5673">
        <w:tab/>
        <w:t>(2)</w:t>
      </w:r>
      <w:r w:rsidRPr="00CD5673">
        <w:tab/>
        <w:t>An offence based on subregulation (1) is an offence of strict liability.</w:t>
      </w:r>
    </w:p>
    <w:p w14:paraId="44359B52" w14:textId="77777777" w:rsidR="00D46430" w:rsidRPr="00CD5673" w:rsidRDefault="00D46430" w:rsidP="00D46430">
      <w:pPr>
        <w:pStyle w:val="ActHead5"/>
      </w:pPr>
      <w:bookmarkStart w:id="156" w:name="_Toc158711766"/>
      <w:r w:rsidRPr="00C614F1">
        <w:rPr>
          <w:rStyle w:val="CharSectno"/>
        </w:rPr>
        <w:t>5.3B.20</w:t>
      </w:r>
      <w:r w:rsidRPr="00CD5673">
        <w:t xml:space="preserve">  Proposal to make restructuring plan lapses</w:t>
      </w:r>
      <w:bookmarkEnd w:id="156"/>
    </w:p>
    <w:p w14:paraId="5794667D" w14:textId="77777777" w:rsidR="00D46430" w:rsidRPr="00CD5673" w:rsidRDefault="00D46430" w:rsidP="00D46430">
      <w:pPr>
        <w:pStyle w:val="subsection"/>
        <w:outlineLvl w:val="3"/>
      </w:pPr>
      <w:r w:rsidRPr="00CD5673">
        <w:tab/>
        <w:t>(1)</w:t>
      </w:r>
      <w:r w:rsidRPr="00CD5673">
        <w:tab/>
        <w:t>A company’s proposal to make a restructuring plan lapses if:</w:t>
      </w:r>
    </w:p>
    <w:p w14:paraId="732CB11C" w14:textId="77777777" w:rsidR="00D46430" w:rsidRPr="00CD5673" w:rsidRDefault="00D46430" w:rsidP="00D46430">
      <w:pPr>
        <w:pStyle w:val="paragraph"/>
        <w:outlineLvl w:val="3"/>
      </w:pPr>
      <w:r w:rsidRPr="00CD5673">
        <w:tab/>
        <w:t>(a)</w:t>
      </w:r>
      <w:r w:rsidRPr="00CD5673">
        <w:tab/>
        <w:t>the restructuring plan is not accepted in accordance with subregulation 5.3B.25(1); or</w:t>
      </w:r>
    </w:p>
    <w:p w14:paraId="14936800" w14:textId="77777777" w:rsidR="00D46430" w:rsidRPr="00CD5673" w:rsidRDefault="00D46430" w:rsidP="00D46430">
      <w:pPr>
        <w:pStyle w:val="paragraph"/>
        <w:outlineLvl w:val="3"/>
      </w:pPr>
      <w:r w:rsidRPr="00CD5673">
        <w:tab/>
        <w:t>(b)</w:t>
      </w:r>
      <w:r w:rsidRPr="00CD5673">
        <w:tab/>
        <w:t>the company’s restructuring practitioner cancels the proposal to make the plan in accordance with subregulation (2).</w:t>
      </w:r>
    </w:p>
    <w:p w14:paraId="76097FF8" w14:textId="77777777" w:rsidR="00D46430" w:rsidRPr="00CD5673" w:rsidRDefault="00D46430" w:rsidP="00D46430">
      <w:pPr>
        <w:pStyle w:val="subsection"/>
      </w:pPr>
      <w:r w:rsidRPr="00CD5673">
        <w:tab/>
        <w:t>(2)</w:t>
      </w:r>
      <w:r w:rsidRPr="00CD5673">
        <w:tab/>
        <w:t>The restructuring practitioner for a company may cancel the company’s proposal to make a restructuring plan if, before the restructuring plan is made, the restructuring practitioner:</w:t>
      </w:r>
    </w:p>
    <w:p w14:paraId="657F413B" w14:textId="77777777" w:rsidR="00D46430" w:rsidRPr="00CD5673" w:rsidRDefault="00D46430" w:rsidP="00D46430">
      <w:pPr>
        <w:pStyle w:val="paragraph"/>
      </w:pPr>
      <w:r w:rsidRPr="00CD5673">
        <w:tab/>
        <w:t>(a)</w:t>
      </w:r>
      <w:r w:rsidRPr="00CD5673">
        <w:tab/>
        <w:t>becomes aware that the information in the plan is incomplete or inaccurate, and has reasonable grounds to believe that, if the plan is made, the matter to which the incompleteness or inaccuracy relates is likely to affect the company’s ability to meet its obligations under the plan; or</w:t>
      </w:r>
    </w:p>
    <w:p w14:paraId="5DF66340" w14:textId="77777777" w:rsidR="00D46430" w:rsidRPr="00CD5673" w:rsidRDefault="00D46430" w:rsidP="00D46430">
      <w:pPr>
        <w:pStyle w:val="paragraph"/>
        <w:outlineLvl w:val="3"/>
      </w:pPr>
      <w:r w:rsidRPr="00CD5673">
        <w:tab/>
        <w:t>(b)</w:t>
      </w:r>
      <w:r w:rsidRPr="00CD5673">
        <w:tab/>
        <w:t>becomes aware that one or more affected creditors were not disclosed in the company’s restructuring proposal statement; or</w:t>
      </w:r>
    </w:p>
    <w:p w14:paraId="504A80E4" w14:textId="77777777" w:rsidR="00D46430" w:rsidRPr="00CD5673" w:rsidRDefault="00D46430" w:rsidP="00D46430">
      <w:pPr>
        <w:pStyle w:val="paragraph"/>
        <w:outlineLvl w:val="3"/>
      </w:pPr>
      <w:r w:rsidRPr="00CD5673">
        <w:tab/>
        <w:t>(c)</w:t>
      </w:r>
      <w:r w:rsidRPr="00CD5673">
        <w:tab/>
        <w:t>becomes aware that the company’s restructuring proposal statement was deficient because it omitted a material particular or because it was incorrect in a material particular; or</w:t>
      </w:r>
    </w:p>
    <w:p w14:paraId="553F8138" w14:textId="77777777" w:rsidR="00D46430" w:rsidRPr="00CD5673" w:rsidRDefault="00D46430" w:rsidP="00D46430">
      <w:pPr>
        <w:pStyle w:val="paragraph"/>
        <w:outlineLvl w:val="3"/>
      </w:pPr>
      <w:r w:rsidRPr="00CD5673">
        <w:tab/>
        <w:t>(d)</w:t>
      </w:r>
      <w:r w:rsidRPr="00CD5673">
        <w:tab/>
        <w:t>becomes aware of a material change in the company’s circumstances that:</w:t>
      </w:r>
    </w:p>
    <w:p w14:paraId="004D2BBF" w14:textId="77777777" w:rsidR="00D46430" w:rsidRPr="00CD5673" w:rsidRDefault="00D46430" w:rsidP="00D46430">
      <w:pPr>
        <w:pStyle w:val="paragraphsub"/>
        <w:outlineLvl w:val="3"/>
      </w:pPr>
      <w:r w:rsidRPr="00CD5673">
        <w:tab/>
        <w:t>(i)</w:t>
      </w:r>
      <w:r w:rsidRPr="00CD5673">
        <w:tab/>
        <w:t>was not foreshadowed in the company’s restructuring proposal statement; and</w:t>
      </w:r>
    </w:p>
    <w:p w14:paraId="2B93EF2B" w14:textId="77777777" w:rsidR="00D46430" w:rsidRPr="00CD5673" w:rsidRDefault="00D46430" w:rsidP="00D46430">
      <w:pPr>
        <w:pStyle w:val="paragraphsub"/>
      </w:pPr>
      <w:r w:rsidRPr="00CD5673">
        <w:tab/>
        <w:t>(ii)</w:t>
      </w:r>
      <w:r w:rsidRPr="00CD5673">
        <w:tab/>
        <w:t>in the opinion of the restructuring practitioner, is capable of affecting an affected creditor’s decision whether or not to accept the restructuring plan.</w:t>
      </w:r>
    </w:p>
    <w:p w14:paraId="654B019D" w14:textId="77777777" w:rsidR="00D46430" w:rsidRPr="00CD5673" w:rsidRDefault="00D46430" w:rsidP="00D46430">
      <w:pPr>
        <w:pStyle w:val="ActHead5"/>
      </w:pPr>
      <w:bookmarkStart w:id="157" w:name="_Toc158711767"/>
      <w:r w:rsidRPr="00C614F1">
        <w:rPr>
          <w:rStyle w:val="CharSectno"/>
        </w:rPr>
        <w:t>5.3B.21</w:t>
      </w:r>
      <w:r w:rsidRPr="00CD5673">
        <w:t xml:space="preserve">  Proposing a restructuring plan to creditors</w:t>
      </w:r>
      <w:bookmarkEnd w:id="157"/>
    </w:p>
    <w:p w14:paraId="0989C6B8" w14:textId="77777777" w:rsidR="00D46430" w:rsidRPr="00CD5673" w:rsidRDefault="00D46430" w:rsidP="00D46430">
      <w:pPr>
        <w:pStyle w:val="subsection"/>
        <w:outlineLvl w:val="3"/>
      </w:pPr>
      <w:r w:rsidRPr="00CD5673">
        <w:tab/>
        <w:t>(1)</w:t>
      </w:r>
      <w:r w:rsidRPr="00CD5673">
        <w:tab/>
        <w:t>As soon as practicable after a company executes a restructuring plan, the restructuring practitioner for the company must do the following:</w:t>
      </w:r>
    </w:p>
    <w:p w14:paraId="05993CCA" w14:textId="77777777" w:rsidR="00D46430" w:rsidRPr="00CD5673" w:rsidRDefault="00D46430" w:rsidP="00D46430">
      <w:pPr>
        <w:pStyle w:val="paragraph"/>
        <w:outlineLvl w:val="3"/>
      </w:pPr>
      <w:r w:rsidRPr="00CD5673">
        <w:tab/>
        <w:t>(a)</w:t>
      </w:r>
      <w:r w:rsidRPr="00CD5673">
        <w:tab/>
        <w:t>give to as many of the company’s affected creditors as reasonably practicable a copy of:</w:t>
      </w:r>
    </w:p>
    <w:p w14:paraId="62BDD0D8" w14:textId="77777777" w:rsidR="00D46430" w:rsidRPr="00CD5673" w:rsidRDefault="00D46430" w:rsidP="00D46430">
      <w:pPr>
        <w:pStyle w:val="paragraphsub"/>
        <w:outlineLvl w:val="3"/>
      </w:pPr>
      <w:r w:rsidRPr="00CD5673">
        <w:tab/>
        <w:t>(i)</w:t>
      </w:r>
      <w:r w:rsidRPr="00CD5673">
        <w:tab/>
        <w:t>the company’s restructuring plan; and</w:t>
      </w:r>
    </w:p>
    <w:p w14:paraId="2701E8E7" w14:textId="77777777" w:rsidR="00D46430" w:rsidRPr="00CD5673" w:rsidRDefault="00D46430" w:rsidP="00D46430">
      <w:pPr>
        <w:pStyle w:val="paragraphsub"/>
        <w:outlineLvl w:val="3"/>
      </w:pPr>
      <w:r w:rsidRPr="00CD5673">
        <w:tab/>
        <w:t>(ii)</w:t>
      </w:r>
      <w:r w:rsidRPr="00CD5673">
        <w:tab/>
        <w:t>the restructuring plan standard terms; and</w:t>
      </w:r>
    </w:p>
    <w:p w14:paraId="0F50B81E" w14:textId="77777777" w:rsidR="00D46430" w:rsidRPr="00CD5673" w:rsidRDefault="00D46430" w:rsidP="00D46430">
      <w:pPr>
        <w:pStyle w:val="paragraphsub"/>
        <w:outlineLvl w:val="3"/>
      </w:pPr>
      <w:r w:rsidRPr="00CD5673">
        <w:tab/>
        <w:t>(iii)</w:t>
      </w:r>
      <w:r w:rsidRPr="00CD5673">
        <w:tab/>
        <w:t>the company’s restructuring proposal statement; and</w:t>
      </w:r>
    </w:p>
    <w:p w14:paraId="26B41457" w14:textId="77777777" w:rsidR="00D46430" w:rsidRPr="00CD5673" w:rsidRDefault="00D46430" w:rsidP="00D46430">
      <w:pPr>
        <w:pStyle w:val="paragraphsub"/>
        <w:outlineLvl w:val="3"/>
      </w:pPr>
      <w:r w:rsidRPr="00CD5673">
        <w:tab/>
        <w:t>(iv)</w:t>
      </w:r>
      <w:r w:rsidRPr="00CD5673">
        <w:tab/>
        <w:t>the declaration prepared by the restructuring practitioner under regulation 5.3B.18;</w:t>
      </w:r>
    </w:p>
    <w:p w14:paraId="657D2558" w14:textId="77777777" w:rsidR="00D46430" w:rsidRPr="00CD5673" w:rsidRDefault="00D46430" w:rsidP="00D46430">
      <w:pPr>
        <w:pStyle w:val="paragraph"/>
      </w:pPr>
      <w:r w:rsidRPr="00CD5673">
        <w:tab/>
        <w:t>(b)</w:t>
      </w:r>
      <w:r w:rsidRPr="00CD5673">
        <w:tab/>
        <w:t>ask each affected creditor to:</w:t>
      </w:r>
    </w:p>
    <w:p w14:paraId="0D0E95B6" w14:textId="77777777" w:rsidR="00D46430" w:rsidRPr="00CD5673" w:rsidRDefault="00D46430" w:rsidP="00D46430">
      <w:pPr>
        <w:pStyle w:val="paragraphsub"/>
      </w:pPr>
      <w:r w:rsidRPr="00CD5673">
        <w:lastRenderedPageBreak/>
        <w:tab/>
        <w:t>(i)</w:t>
      </w:r>
      <w:r w:rsidRPr="00CD5673">
        <w:tab/>
        <w:t>give a written statement setting out whether or not the restructuring plan should be accepted; and</w:t>
      </w:r>
    </w:p>
    <w:p w14:paraId="03921A72" w14:textId="77777777" w:rsidR="00D46430" w:rsidRPr="00CD5673" w:rsidRDefault="00D46430" w:rsidP="00D46430">
      <w:pPr>
        <w:pStyle w:val="paragraphsub"/>
      </w:pPr>
      <w:r w:rsidRPr="00CD5673">
        <w:tab/>
        <w:t>(ii)</w:t>
      </w:r>
      <w:r w:rsidRPr="00CD5673">
        <w:tab/>
        <w:t>if the creditor agrees with the company’s assessment of the amount of the creditor’s admissible debts or claims—verify the creditor’s admissible debts or claims as set out in the schedule of debts and claims included with the restructuring proposal statement; and</w:t>
      </w:r>
    </w:p>
    <w:p w14:paraId="170D4B27" w14:textId="77777777" w:rsidR="00D46430" w:rsidRPr="00CD5673" w:rsidRDefault="00D46430" w:rsidP="00D46430">
      <w:pPr>
        <w:pStyle w:val="paragraphsub"/>
      </w:pPr>
      <w:r w:rsidRPr="00CD5673">
        <w:tab/>
        <w:t>(iii)</w:t>
      </w:r>
      <w:r w:rsidRPr="00CD5673">
        <w:tab/>
        <w:t>if the creditor disagrees with the company’s assessment of the amount of the creditor’s admissible debts or claims—notify the restructuring practitioner in accordance with regulation 5.3B.22;</w:t>
      </w:r>
    </w:p>
    <w:p w14:paraId="7408D26F" w14:textId="77777777" w:rsidR="00D46430" w:rsidRPr="00CD5673" w:rsidRDefault="00D46430" w:rsidP="00D46430">
      <w:pPr>
        <w:pStyle w:val="paragraph"/>
        <w:outlineLvl w:val="3"/>
      </w:pPr>
      <w:r w:rsidRPr="00CD5673">
        <w:tab/>
        <w:t>(c)</w:t>
      </w:r>
      <w:r w:rsidRPr="00CD5673">
        <w:tab/>
        <w:t>inform each affected creditor of the person to whom the statement should be given and of the need to give the statement before the end of the acceptance period.</w:t>
      </w:r>
    </w:p>
    <w:p w14:paraId="117DE02B" w14:textId="77777777" w:rsidR="00D46430" w:rsidRPr="00CD5673" w:rsidRDefault="00D46430" w:rsidP="00D46430">
      <w:pPr>
        <w:pStyle w:val="subsection"/>
        <w:outlineLvl w:val="3"/>
      </w:pPr>
      <w:r w:rsidRPr="00CD5673">
        <w:tab/>
        <w:t>(2)</w:t>
      </w:r>
      <w:r w:rsidRPr="00CD5673">
        <w:tab/>
        <w:t>Paragraphs (1)(b) and (c) do not apply in relation to an excluded creditor.</w:t>
      </w:r>
    </w:p>
    <w:p w14:paraId="250D7E35" w14:textId="77777777" w:rsidR="00D46430" w:rsidRPr="00CD5673" w:rsidRDefault="00D46430" w:rsidP="00D46430">
      <w:pPr>
        <w:pStyle w:val="SubsectionHead"/>
      </w:pPr>
      <w:r w:rsidRPr="00CD5673">
        <w:t>Definitions</w:t>
      </w:r>
    </w:p>
    <w:p w14:paraId="11AF6DA8" w14:textId="77777777" w:rsidR="00D46430" w:rsidRPr="00CD5673" w:rsidRDefault="00D46430" w:rsidP="00D46430">
      <w:pPr>
        <w:pStyle w:val="subsection"/>
      </w:pPr>
      <w:r w:rsidRPr="00CD5673">
        <w:tab/>
        <w:t>(3)</w:t>
      </w:r>
      <w:r w:rsidRPr="00CD5673">
        <w:tab/>
        <w:t>In this regulation:</w:t>
      </w:r>
    </w:p>
    <w:p w14:paraId="120E7491" w14:textId="77777777" w:rsidR="00D46430" w:rsidRPr="00CD5673" w:rsidRDefault="00D46430" w:rsidP="00D46430">
      <w:pPr>
        <w:pStyle w:val="Definition"/>
        <w:outlineLvl w:val="3"/>
      </w:pPr>
      <w:r w:rsidRPr="00CD5673">
        <w:rPr>
          <w:b/>
          <w:i/>
        </w:rPr>
        <w:t>acceptance period</w:t>
      </w:r>
      <w:r w:rsidRPr="00CD5673">
        <w:t xml:space="preserve"> means:</w:t>
      </w:r>
    </w:p>
    <w:p w14:paraId="4F9A8A6F" w14:textId="77777777" w:rsidR="00D46430" w:rsidRPr="00CD5673" w:rsidRDefault="00D46430" w:rsidP="00D46430">
      <w:pPr>
        <w:pStyle w:val="paragraph"/>
        <w:outlineLvl w:val="3"/>
      </w:pPr>
      <w:r w:rsidRPr="00CD5673">
        <w:tab/>
        <w:t>(a)</w:t>
      </w:r>
      <w:r w:rsidRPr="00CD5673">
        <w:tab/>
        <w:t>the period of 15 business days beginning on the day the company’s restructuring practitioner gives documents in accordance with subregulation (1); or</w:t>
      </w:r>
    </w:p>
    <w:p w14:paraId="76BDA128" w14:textId="77777777" w:rsidR="00D46430" w:rsidRPr="00CD5673" w:rsidRDefault="00D46430" w:rsidP="00D46430">
      <w:pPr>
        <w:pStyle w:val="paragraph"/>
        <w:outlineLvl w:val="3"/>
      </w:pPr>
      <w:r w:rsidRPr="00CD5673">
        <w:tab/>
        <w:t>(b)</w:t>
      </w:r>
      <w:r w:rsidRPr="00CD5673">
        <w:tab/>
        <w:t>if creditors are given a notice under paragraph 5.3B.22(7)(d)—the longer of:</w:t>
      </w:r>
    </w:p>
    <w:p w14:paraId="63DC7DC1" w14:textId="77777777" w:rsidR="00D46430" w:rsidRPr="00CD5673" w:rsidRDefault="00D46430" w:rsidP="00D46430">
      <w:pPr>
        <w:pStyle w:val="paragraphsub"/>
      </w:pPr>
      <w:r w:rsidRPr="00CD5673">
        <w:tab/>
        <w:t>(i)</w:t>
      </w:r>
      <w:r w:rsidRPr="00CD5673">
        <w:tab/>
        <w:t>the period of 15 business days beginning on the day the company’s restructuring practitioner gives documents in accordance with subregulation (1) of this regulation; and</w:t>
      </w:r>
    </w:p>
    <w:p w14:paraId="1CD149A1" w14:textId="77777777" w:rsidR="00D46430" w:rsidRPr="00CD5673" w:rsidRDefault="00D46430" w:rsidP="00D46430">
      <w:pPr>
        <w:pStyle w:val="paragraphsub"/>
      </w:pPr>
      <w:r w:rsidRPr="00CD5673">
        <w:tab/>
        <w:t>(ii)</w:t>
      </w:r>
      <w:r w:rsidRPr="00CD5673">
        <w:tab/>
        <w:t>the period beginning on the day the company’s restructuring practitioner gives documents in accordance with subregulation (1) of this regulation and ending on the last day of the period of 5 business days after the day on which the notice under paragraph 5.3B.22(7)(d) is given; or</w:t>
      </w:r>
    </w:p>
    <w:p w14:paraId="24026A46" w14:textId="77777777" w:rsidR="00D46430" w:rsidRPr="00CD5673" w:rsidRDefault="00D46430" w:rsidP="00D46430">
      <w:pPr>
        <w:pStyle w:val="paragraph"/>
        <w:outlineLvl w:val="3"/>
      </w:pPr>
      <w:r w:rsidRPr="00CD5673">
        <w:tab/>
        <w:t>(c)</w:t>
      </w:r>
      <w:r w:rsidRPr="00CD5673">
        <w:tab/>
        <w:t>such other period as the Court orders under regulation 5.3B.60.</w:t>
      </w:r>
    </w:p>
    <w:p w14:paraId="0BB3CF88" w14:textId="77777777" w:rsidR="00D46430" w:rsidRPr="00CD5673" w:rsidRDefault="00D46430" w:rsidP="00D46430">
      <w:pPr>
        <w:pStyle w:val="Definition"/>
      </w:pPr>
      <w:r w:rsidRPr="00CD5673">
        <w:rPr>
          <w:b/>
          <w:i/>
        </w:rPr>
        <w:t>restructuring plan standard terms</w:t>
      </w:r>
      <w:r w:rsidRPr="00CD5673">
        <w:t xml:space="preserve"> means the terms specified in subregulation 5.3B.27(1).</w:t>
      </w:r>
    </w:p>
    <w:p w14:paraId="0C2D4E8E" w14:textId="77777777" w:rsidR="00D46430" w:rsidRPr="00CD5673" w:rsidRDefault="00D46430" w:rsidP="00D46430">
      <w:pPr>
        <w:pStyle w:val="ActHead5"/>
      </w:pPr>
      <w:bookmarkStart w:id="158" w:name="_Toc158711768"/>
      <w:r w:rsidRPr="00C614F1">
        <w:rPr>
          <w:rStyle w:val="CharSectno"/>
        </w:rPr>
        <w:t>5.3B.22</w:t>
      </w:r>
      <w:r w:rsidRPr="00CD5673">
        <w:t xml:space="preserve">  Creditors may dispute schedule of debts and claims before restructuring plan is made</w:t>
      </w:r>
      <w:bookmarkEnd w:id="158"/>
    </w:p>
    <w:p w14:paraId="412B4F43" w14:textId="77777777" w:rsidR="00D46430" w:rsidRPr="00CD5673" w:rsidRDefault="00D46430" w:rsidP="00D46430">
      <w:pPr>
        <w:pStyle w:val="subsection"/>
        <w:outlineLvl w:val="3"/>
      </w:pPr>
      <w:r w:rsidRPr="00CD5673">
        <w:tab/>
        <w:t>(1)</w:t>
      </w:r>
      <w:r w:rsidRPr="00CD5673">
        <w:tab/>
        <w:t>This regulation applies in relation to a person if:</w:t>
      </w:r>
    </w:p>
    <w:p w14:paraId="358CA797" w14:textId="77777777" w:rsidR="00D46430" w:rsidRPr="00CD5673" w:rsidRDefault="00D46430" w:rsidP="00D46430">
      <w:pPr>
        <w:pStyle w:val="paragraph"/>
      </w:pPr>
      <w:r w:rsidRPr="00CD5673">
        <w:tab/>
        <w:t>(a)</w:t>
      </w:r>
      <w:r w:rsidRPr="00CD5673">
        <w:tab/>
        <w:t>the person is a creditor of a company that is proposing to make a restructuring plan; and</w:t>
      </w:r>
    </w:p>
    <w:p w14:paraId="7006150F" w14:textId="77777777" w:rsidR="00D46430" w:rsidRPr="00CD5673" w:rsidRDefault="00D46430" w:rsidP="00D46430">
      <w:pPr>
        <w:pStyle w:val="paragraph"/>
      </w:pPr>
      <w:r w:rsidRPr="00CD5673">
        <w:tab/>
        <w:t>(b)</w:t>
      </w:r>
      <w:r w:rsidRPr="00CD5673">
        <w:tab/>
        <w:t>the plan has not been made; and</w:t>
      </w:r>
    </w:p>
    <w:p w14:paraId="3462CC0C" w14:textId="77777777" w:rsidR="00D46430" w:rsidRPr="00CD5673" w:rsidRDefault="00D46430" w:rsidP="00D46430">
      <w:pPr>
        <w:pStyle w:val="paragraph"/>
      </w:pPr>
      <w:r w:rsidRPr="00CD5673">
        <w:tab/>
        <w:t>(c)</w:t>
      </w:r>
      <w:r w:rsidRPr="00CD5673">
        <w:tab/>
        <w:t>the person disagrees with the schedule of debts and claims included with the company’s restructuring proposal statement because:</w:t>
      </w:r>
    </w:p>
    <w:p w14:paraId="4D3ABBE7" w14:textId="77777777" w:rsidR="00D46430" w:rsidRPr="00CD5673" w:rsidRDefault="00D46430" w:rsidP="00D46430">
      <w:pPr>
        <w:pStyle w:val="paragraphsub"/>
      </w:pPr>
      <w:r w:rsidRPr="00CD5673">
        <w:tab/>
        <w:t>(i)</w:t>
      </w:r>
      <w:r w:rsidRPr="00CD5673">
        <w:tab/>
        <w:t>the person’s admissible debts or claims are not specified; or</w:t>
      </w:r>
    </w:p>
    <w:p w14:paraId="61477B10" w14:textId="77777777" w:rsidR="00D46430" w:rsidRPr="00CD5673" w:rsidRDefault="00D46430" w:rsidP="00D46430">
      <w:pPr>
        <w:pStyle w:val="paragraphsub"/>
      </w:pPr>
      <w:r w:rsidRPr="00CD5673">
        <w:tab/>
        <w:t>(ii)</w:t>
      </w:r>
      <w:r w:rsidRPr="00CD5673">
        <w:tab/>
        <w:t>the company’s assessment of the person’s admissible debts or claims is incorrect; or</w:t>
      </w:r>
    </w:p>
    <w:p w14:paraId="0E48EF1B" w14:textId="77777777" w:rsidR="00D46430" w:rsidRPr="00CD5673" w:rsidRDefault="00D46430" w:rsidP="00D46430">
      <w:pPr>
        <w:pStyle w:val="paragraphsub"/>
      </w:pPr>
      <w:r w:rsidRPr="00CD5673">
        <w:tab/>
        <w:t>(iii)</w:t>
      </w:r>
      <w:r w:rsidRPr="00CD5673">
        <w:tab/>
        <w:t>the person is incorrectly specified as an excluded creditor.</w:t>
      </w:r>
    </w:p>
    <w:p w14:paraId="1F098D91" w14:textId="77777777" w:rsidR="00D46430" w:rsidRPr="00CD5673" w:rsidRDefault="00D46430" w:rsidP="00D46430">
      <w:pPr>
        <w:pStyle w:val="SubsectionHead"/>
      </w:pPr>
      <w:r w:rsidRPr="00CD5673">
        <w:t>Creditor may notify restructuring practitioner of disagreement</w:t>
      </w:r>
    </w:p>
    <w:p w14:paraId="4C88B457" w14:textId="77777777" w:rsidR="00D46430" w:rsidRPr="00CD5673" w:rsidRDefault="00D46430" w:rsidP="00D46430">
      <w:pPr>
        <w:pStyle w:val="subsection"/>
        <w:outlineLvl w:val="3"/>
      </w:pPr>
      <w:r w:rsidRPr="00CD5673">
        <w:tab/>
        <w:t>(2)</w:t>
      </w:r>
      <w:r w:rsidRPr="00CD5673">
        <w:tab/>
        <w:t>The person may give written notice of the disagreement to the company’s restructuring practitioner.</w:t>
      </w:r>
    </w:p>
    <w:p w14:paraId="337B3E14" w14:textId="77777777" w:rsidR="00D46430" w:rsidRPr="00CD5673" w:rsidRDefault="00D46430" w:rsidP="00D46430">
      <w:pPr>
        <w:pStyle w:val="subsection"/>
      </w:pPr>
      <w:r w:rsidRPr="00CD5673">
        <w:tab/>
        <w:t>(3)</w:t>
      </w:r>
      <w:r w:rsidRPr="00CD5673">
        <w:tab/>
        <w:t>The notice:</w:t>
      </w:r>
    </w:p>
    <w:p w14:paraId="1A096241" w14:textId="77777777" w:rsidR="00D46430" w:rsidRPr="00CD5673" w:rsidRDefault="00D46430" w:rsidP="00D46430">
      <w:pPr>
        <w:pStyle w:val="paragraph"/>
      </w:pPr>
      <w:r w:rsidRPr="00CD5673">
        <w:tab/>
        <w:t>(a)</w:t>
      </w:r>
      <w:r w:rsidRPr="00CD5673">
        <w:tab/>
        <w:t>may be given:</w:t>
      </w:r>
    </w:p>
    <w:p w14:paraId="750B1B0C" w14:textId="77777777" w:rsidR="00D46430" w:rsidRPr="00CD5673" w:rsidRDefault="00D46430" w:rsidP="00D46430">
      <w:pPr>
        <w:pStyle w:val="paragraphsub"/>
      </w:pPr>
      <w:r w:rsidRPr="00CD5673">
        <w:tab/>
        <w:t>(i)</w:t>
      </w:r>
      <w:r w:rsidRPr="00CD5673">
        <w:tab/>
        <w:t>if the person received a copy of the plan—within 5 business days after the day on which the person receives the plan; or</w:t>
      </w:r>
    </w:p>
    <w:p w14:paraId="4619877B" w14:textId="77777777" w:rsidR="00D46430" w:rsidRPr="00CD5673" w:rsidRDefault="00D46430" w:rsidP="00D46430">
      <w:pPr>
        <w:pStyle w:val="paragraphsub"/>
      </w:pPr>
      <w:r w:rsidRPr="00CD5673">
        <w:tab/>
        <w:t>(ii)</w:t>
      </w:r>
      <w:r w:rsidRPr="00CD5673">
        <w:tab/>
        <w:t>if the person otherwise became aware of the plan—within 5 business days after the day on which the person becomes so aware; or</w:t>
      </w:r>
    </w:p>
    <w:p w14:paraId="5C6F57B8" w14:textId="77777777" w:rsidR="00D46430" w:rsidRPr="00CD5673" w:rsidRDefault="00D46430" w:rsidP="00D46430">
      <w:pPr>
        <w:pStyle w:val="paragraphsub"/>
      </w:pPr>
      <w:r w:rsidRPr="00CD5673">
        <w:tab/>
        <w:t>(iii)</w:t>
      </w:r>
      <w:r w:rsidRPr="00CD5673">
        <w:tab/>
        <w:t>after the period specified in subparagraph (i) or (ii), if the notice includes a statement setting out the person’s reasons for not giving the notice within that period; and</w:t>
      </w:r>
    </w:p>
    <w:p w14:paraId="3685061C" w14:textId="77777777" w:rsidR="00D46430" w:rsidRPr="00CD5673" w:rsidRDefault="00D46430" w:rsidP="00D46430">
      <w:pPr>
        <w:pStyle w:val="paragraph"/>
      </w:pPr>
      <w:r w:rsidRPr="00CD5673">
        <w:tab/>
        <w:t>(b)</w:t>
      </w:r>
      <w:r w:rsidRPr="00CD5673">
        <w:tab/>
        <w:t>if the disagreement relates to the person’s admissible debts or claims:</w:t>
      </w:r>
    </w:p>
    <w:p w14:paraId="284838F7" w14:textId="77777777" w:rsidR="00D46430" w:rsidRPr="00CD5673" w:rsidRDefault="00D46430" w:rsidP="00D46430">
      <w:pPr>
        <w:pStyle w:val="paragraphsub"/>
      </w:pPr>
      <w:r w:rsidRPr="00CD5673">
        <w:tab/>
        <w:t>(i)</w:t>
      </w:r>
      <w:r w:rsidRPr="00CD5673">
        <w:tab/>
        <w:t>must include detailed particulars of the debt or claim sought to be proved; and</w:t>
      </w:r>
    </w:p>
    <w:p w14:paraId="75BE1892" w14:textId="77777777" w:rsidR="00D46430" w:rsidRPr="00CD5673" w:rsidRDefault="00D46430" w:rsidP="00D46430">
      <w:pPr>
        <w:pStyle w:val="paragraphsub"/>
      </w:pPr>
      <w:r w:rsidRPr="00CD5673">
        <w:tab/>
        <w:t>(ii)</w:t>
      </w:r>
      <w:r w:rsidRPr="00CD5673">
        <w:tab/>
        <w:t>in the case of a debt, must include a statement of account; and</w:t>
      </w:r>
    </w:p>
    <w:p w14:paraId="18C185C3" w14:textId="77777777" w:rsidR="00D46430" w:rsidRPr="00CD5673" w:rsidRDefault="00D46430" w:rsidP="00D46430">
      <w:pPr>
        <w:pStyle w:val="paragraphsub"/>
      </w:pPr>
      <w:r w:rsidRPr="00CD5673">
        <w:tab/>
        <w:t>(iii)</w:t>
      </w:r>
      <w:r w:rsidRPr="00CD5673">
        <w:tab/>
        <w:t>must specify the vouchers (if any) by which the statement can be substantiated; and</w:t>
      </w:r>
    </w:p>
    <w:p w14:paraId="533552E5" w14:textId="77777777" w:rsidR="00D46430" w:rsidRPr="00CD5673" w:rsidRDefault="00D46430" w:rsidP="00D46430">
      <w:pPr>
        <w:pStyle w:val="paragraph"/>
      </w:pPr>
      <w:r w:rsidRPr="00CD5673">
        <w:tab/>
        <w:t>(c)</w:t>
      </w:r>
      <w:r w:rsidRPr="00CD5673">
        <w:tab/>
        <w:t>if the disagreement relates to the person’s status as an excluded creditor—must include detail sufficient to resolve the disagreement.</w:t>
      </w:r>
    </w:p>
    <w:p w14:paraId="3FB9F8DA" w14:textId="77777777" w:rsidR="00D46430" w:rsidRPr="00CD5673" w:rsidRDefault="00D46430" w:rsidP="00D46430">
      <w:pPr>
        <w:pStyle w:val="subsection"/>
      </w:pPr>
      <w:r w:rsidRPr="00CD5673">
        <w:tab/>
        <w:t>(4)</w:t>
      </w:r>
      <w:r w:rsidRPr="00CD5673">
        <w:tab/>
        <w:t>The restructuring practitioner may, after receiving the notice, request that the person or the directors of the company:</w:t>
      </w:r>
    </w:p>
    <w:p w14:paraId="5C8C9EFB" w14:textId="77777777" w:rsidR="00D46430" w:rsidRPr="00CD5673" w:rsidRDefault="00D46430" w:rsidP="00D46430">
      <w:pPr>
        <w:pStyle w:val="paragraph"/>
      </w:pPr>
      <w:r w:rsidRPr="00CD5673">
        <w:lastRenderedPageBreak/>
        <w:tab/>
        <w:t>(a)</w:t>
      </w:r>
      <w:r w:rsidRPr="00CD5673">
        <w:tab/>
        <w:t>give the restructuring practitioner information about the company’s business, property, affairs and financial circumstances; and</w:t>
      </w:r>
    </w:p>
    <w:p w14:paraId="19BBF095" w14:textId="77777777" w:rsidR="00D46430" w:rsidRPr="00CD5673" w:rsidRDefault="00D46430" w:rsidP="00D46430">
      <w:pPr>
        <w:pStyle w:val="paragraph"/>
      </w:pPr>
      <w:r w:rsidRPr="00CD5673">
        <w:tab/>
        <w:t>(b)</w:t>
      </w:r>
      <w:r w:rsidRPr="00CD5673">
        <w:tab/>
        <w:t>verify the information by statutory declaration.</w:t>
      </w:r>
    </w:p>
    <w:p w14:paraId="5A093F19" w14:textId="77777777" w:rsidR="00D46430" w:rsidRPr="00CD5673" w:rsidRDefault="00D46430" w:rsidP="00D46430">
      <w:pPr>
        <w:pStyle w:val="SubsectionHead"/>
      </w:pPr>
      <w:r w:rsidRPr="00CD5673">
        <w:t>Restructuring practitioner may refuse to consider disagreement</w:t>
      </w:r>
    </w:p>
    <w:p w14:paraId="2FC67A0D" w14:textId="77777777" w:rsidR="00D46430" w:rsidRPr="00CD5673" w:rsidRDefault="00D46430" w:rsidP="00D46430">
      <w:pPr>
        <w:pStyle w:val="subsection"/>
      </w:pPr>
      <w:r w:rsidRPr="00CD5673">
        <w:tab/>
        <w:t>(5)</w:t>
      </w:r>
      <w:r w:rsidRPr="00CD5673">
        <w:tab/>
        <w:t>If the notice is given after the period specified in subparagraph (3)(a)(i) or (ii), the restructuring practitioner may refuse to consider the disagreement if the restructuring practitioner is satisfied that the person did not take all reasonable steps to give notice within that period.</w:t>
      </w:r>
    </w:p>
    <w:p w14:paraId="6C4501A3" w14:textId="77777777" w:rsidR="00D46430" w:rsidRPr="00CD5673" w:rsidRDefault="00D46430" w:rsidP="00D46430">
      <w:pPr>
        <w:pStyle w:val="subsection"/>
      </w:pPr>
      <w:r w:rsidRPr="00CD5673">
        <w:tab/>
        <w:t>(6)</w:t>
      </w:r>
      <w:r w:rsidRPr="00CD5673">
        <w:tab/>
        <w:t>If the restructuring practitioner refuses to consider the disagreement:</w:t>
      </w:r>
    </w:p>
    <w:p w14:paraId="2E5CBDE8" w14:textId="77777777" w:rsidR="00D46430" w:rsidRPr="00CD5673" w:rsidRDefault="00D46430" w:rsidP="00D46430">
      <w:pPr>
        <w:pStyle w:val="paragraph"/>
      </w:pPr>
      <w:r w:rsidRPr="00CD5673">
        <w:tab/>
        <w:t>(a)</w:t>
      </w:r>
      <w:r w:rsidRPr="00CD5673">
        <w:tab/>
        <w:t>the restructuring practitioner is taken to have recommended that the schedule of debts and claims not be varied; and</w:t>
      </w:r>
    </w:p>
    <w:p w14:paraId="36EE3224" w14:textId="77777777" w:rsidR="00D46430" w:rsidRPr="00CD5673" w:rsidRDefault="00D46430" w:rsidP="00D46430">
      <w:pPr>
        <w:pStyle w:val="paragraph"/>
      </w:pPr>
      <w:r w:rsidRPr="00CD5673">
        <w:tab/>
        <w:t>(b)</w:t>
      </w:r>
      <w:r w:rsidRPr="00CD5673">
        <w:tab/>
        <w:t>the restructuring practitioner must give written notice to the company and the person setting out the restructuring practitioner’s reasons for the refusal; and</w:t>
      </w:r>
    </w:p>
    <w:p w14:paraId="6B066624" w14:textId="77777777" w:rsidR="00D46430" w:rsidRPr="00CD5673" w:rsidRDefault="00D46430" w:rsidP="00D46430">
      <w:pPr>
        <w:pStyle w:val="paragraph"/>
      </w:pPr>
      <w:r w:rsidRPr="00CD5673">
        <w:tab/>
        <w:t>(c)</w:t>
      </w:r>
      <w:r w:rsidRPr="00CD5673">
        <w:tab/>
        <w:t>subregulation (7) does not apply.</w:t>
      </w:r>
    </w:p>
    <w:p w14:paraId="6F8975D3" w14:textId="77777777" w:rsidR="00D46430" w:rsidRPr="00CD5673" w:rsidRDefault="00D46430" w:rsidP="00D46430">
      <w:pPr>
        <w:pStyle w:val="SubsectionHead"/>
      </w:pPr>
      <w:r w:rsidRPr="00CD5673">
        <w:t>Restructuring practitioner must resolve disagreement as soon as practicable</w:t>
      </w:r>
    </w:p>
    <w:p w14:paraId="077A1E82" w14:textId="77777777" w:rsidR="00D46430" w:rsidRPr="00CD5673" w:rsidRDefault="00D46430" w:rsidP="00D46430">
      <w:pPr>
        <w:pStyle w:val="subsection"/>
        <w:outlineLvl w:val="3"/>
      </w:pPr>
      <w:r w:rsidRPr="00CD5673">
        <w:tab/>
        <w:t>(7)</w:t>
      </w:r>
      <w:r w:rsidRPr="00CD5673">
        <w:tab/>
        <w:t>If:</w:t>
      </w:r>
    </w:p>
    <w:p w14:paraId="72F128A1" w14:textId="77777777" w:rsidR="00D46430" w:rsidRPr="00CD5673" w:rsidRDefault="00D46430" w:rsidP="00D46430">
      <w:pPr>
        <w:pStyle w:val="paragraph"/>
      </w:pPr>
      <w:r w:rsidRPr="00CD5673">
        <w:tab/>
        <w:t>(a)</w:t>
      </w:r>
      <w:r w:rsidRPr="00CD5673">
        <w:tab/>
        <w:t>a person gives notice under subregulation (2) of a disagreement to the restructuring practitioner for a company; and</w:t>
      </w:r>
    </w:p>
    <w:p w14:paraId="28B0ACAA" w14:textId="77777777" w:rsidR="00D46430" w:rsidRPr="00CD5673" w:rsidRDefault="00D46430" w:rsidP="00D46430">
      <w:pPr>
        <w:pStyle w:val="paragraph"/>
      </w:pPr>
      <w:r w:rsidRPr="00CD5673">
        <w:tab/>
        <w:t>(b)</w:t>
      </w:r>
      <w:r w:rsidRPr="00CD5673">
        <w:tab/>
        <w:t>the restructuring practitioner has not refused to consider the disagreement under subregulation (5);</w:t>
      </w:r>
    </w:p>
    <w:p w14:paraId="1CDCB91F" w14:textId="77777777" w:rsidR="00D46430" w:rsidRPr="00CD5673" w:rsidRDefault="00D46430" w:rsidP="00D46430">
      <w:pPr>
        <w:pStyle w:val="subsection2"/>
      </w:pPr>
      <w:r w:rsidRPr="00CD5673">
        <w:t>the restructuring practitioner must:</w:t>
      </w:r>
    </w:p>
    <w:p w14:paraId="5AB6990D" w14:textId="77777777" w:rsidR="00D46430" w:rsidRPr="00CD5673" w:rsidRDefault="00D46430" w:rsidP="00D46430">
      <w:pPr>
        <w:pStyle w:val="paragraph"/>
      </w:pPr>
      <w:r w:rsidRPr="00CD5673">
        <w:tab/>
        <w:t>(c)</w:t>
      </w:r>
      <w:r w:rsidRPr="00CD5673">
        <w:tab/>
        <w:t>give written notice to the company and the person:</w:t>
      </w:r>
    </w:p>
    <w:p w14:paraId="2A1A69CE" w14:textId="77777777" w:rsidR="00D46430" w:rsidRPr="00CD5673" w:rsidRDefault="00D46430" w:rsidP="00D46430">
      <w:pPr>
        <w:pStyle w:val="paragraphsub"/>
      </w:pPr>
      <w:r w:rsidRPr="00CD5673">
        <w:tab/>
        <w:t>(i)</w:t>
      </w:r>
      <w:r w:rsidRPr="00CD5673">
        <w:tab/>
        <w:t>setting out the restructuring practitioner’s recommendations for resolving the disagreement; and</w:t>
      </w:r>
    </w:p>
    <w:p w14:paraId="5259D4C2" w14:textId="77777777" w:rsidR="00D46430" w:rsidRPr="00CD5673" w:rsidRDefault="00D46430" w:rsidP="00D46430">
      <w:pPr>
        <w:pStyle w:val="paragraphsub"/>
      </w:pPr>
      <w:r w:rsidRPr="00CD5673">
        <w:tab/>
        <w:t>(ii)</w:t>
      </w:r>
      <w:r w:rsidRPr="00CD5673">
        <w:tab/>
        <w:t>giving reasons for the recommendations; and</w:t>
      </w:r>
    </w:p>
    <w:p w14:paraId="5B43F6E8" w14:textId="77777777" w:rsidR="00D46430" w:rsidRPr="00CD5673" w:rsidRDefault="00D46430" w:rsidP="00D46430">
      <w:pPr>
        <w:pStyle w:val="paragraph"/>
      </w:pPr>
      <w:r w:rsidRPr="00CD5673">
        <w:tab/>
        <w:t>(d)</w:t>
      </w:r>
      <w:r w:rsidRPr="00CD5673">
        <w:tab/>
        <w:t>if the restructuring practitioner recommends that the schedule of debts and claims be varied and is of the opinion that the variation is significant—give written notice to the company and as many of the company’s creditors as reasonably practicable:</w:t>
      </w:r>
    </w:p>
    <w:p w14:paraId="596419B7" w14:textId="77777777" w:rsidR="00D46430" w:rsidRPr="00CD5673" w:rsidRDefault="00D46430" w:rsidP="00D46430">
      <w:pPr>
        <w:pStyle w:val="paragraphsub"/>
      </w:pPr>
      <w:r w:rsidRPr="00CD5673">
        <w:tab/>
        <w:t>(i)</w:t>
      </w:r>
      <w:r w:rsidRPr="00CD5673">
        <w:tab/>
        <w:t>stating that fact; and</w:t>
      </w:r>
    </w:p>
    <w:p w14:paraId="703B6FD9" w14:textId="77777777" w:rsidR="00D46430" w:rsidRPr="00CD5673" w:rsidRDefault="00D46430" w:rsidP="00D46430">
      <w:pPr>
        <w:pStyle w:val="paragraphsub"/>
      </w:pPr>
      <w:r w:rsidRPr="00CD5673">
        <w:tab/>
        <w:t>(ii)</w:t>
      </w:r>
      <w:r w:rsidRPr="00CD5673">
        <w:tab/>
        <w:t>outlining the creditors’ rights under regulation 5.3B.23.</w:t>
      </w:r>
    </w:p>
    <w:p w14:paraId="333EC707" w14:textId="77777777" w:rsidR="00D46430" w:rsidRPr="00CD5673" w:rsidRDefault="00D46430" w:rsidP="00D46430">
      <w:pPr>
        <w:pStyle w:val="subsection"/>
        <w:outlineLvl w:val="3"/>
      </w:pPr>
      <w:r w:rsidRPr="00CD5673">
        <w:tab/>
        <w:t>(8)</w:t>
      </w:r>
      <w:r w:rsidRPr="00CD5673">
        <w:tab/>
        <w:t>If the restructuring practitioner recommends that the schedule of debts and claims be varied, the company must vary the schedule in accordance with the recommendation as soon as practicable.</w:t>
      </w:r>
    </w:p>
    <w:p w14:paraId="0A66204D" w14:textId="77777777" w:rsidR="00D46430" w:rsidRPr="00CD5673" w:rsidRDefault="00D46430" w:rsidP="00333980">
      <w:pPr>
        <w:pStyle w:val="ActHead5"/>
      </w:pPr>
      <w:bookmarkStart w:id="159" w:name="_Toc158711769"/>
      <w:r w:rsidRPr="00C614F1">
        <w:rPr>
          <w:rStyle w:val="CharSectno"/>
        </w:rPr>
        <w:t>5.3B.23</w:t>
      </w:r>
      <w:r w:rsidRPr="00CD5673">
        <w:t xml:space="preserve">  Creditors may change vote</w:t>
      </w:r>
      <w:bookmarkEnd w:id="159"/>
    </w:p>
    <w:p w14:paraId="0AF1EBC3" w14:textId="77777777" w:rsidR="00D46430" w:rsidRPr="00CD5673" w:rsidRDefault="00D46430" w:rsidP="00333980">
      <w:pPr>
        <w:pStyle w:val="subsection"/>
        <w:keepNext/>
        <w:keepLines/>
      </w:pPr>
      <w:r w:rsidRPr="00CD5673">
        <w:tab/>
        <w:t>(1)</w:t>
      </w:r>
      <w:r w:rsidRPr="00CD5673">
        <w:tab/>
        <w:t>This regulation applies if:</w:t>
      </w:r>
    </w:p>
    <w:p w14:paraId="7DEE5DBF" w14:textId="77777777" w:rsidR="00D46430" w:rsidRPr="00CD5673" w:rsidRDefault="00D46430" w:rsidP="00333980">
      <w:pPr>
        <w:pStyle w:val="paragraph"/>
        <w:keepNext/>
        <w:keepLines/>
      </w:pPr>
      <w:r w:rsidRPr="00CD5673">
        <w:tab/>
        <w:t>(a)</w:t>
      </w:r>
      <w:r w:rsidRPr="00CD5673">
        <w:tab/>
        <w:t>a company proposes to make a restructuring plan; and</w:t>
      </w:r>
    </w:p>
    <w:p w14:paraId="3C8F5449" w14:textId="77777777" w:rsidR="00D46430" w:rsidRPr="00CD5673" w:rsidRDefault="00D46430" w:rsidP="00333980">
      <w:pPr>
        <w:pStyle w:val="paragraph"/>
        <w:keepNext/>
        <w:keepLines/>
      </w:pPr>
      <w:r w:rsidRPr="00CD5673">
        <w:tab/>
        <w:t>(b)</w:t>
      </w:r>
      <w:r w:rsidRPr="00CD5673">
        <w:tab/>
        <w:t>an affected creditor of the company gave a statement under paragraph 5.3B.21(1)(b) in relation to the plan.</w:t>
      </w:r>
    </w:p>
    <w:p w14:paraId="61A13D93" w14:textId="77777777" w:rsidR="00D46430" w:rsidRPr="00CD5673" w:rsidRDefault="00D46430" w:rsidP="00D46430">
      <w:pPr>
        <w:pStyle w:val="subsection"/>
      </w:pPr>
      <w:r w:rsidRPr="00CD5673">
        <w:tab/>
        <w:t>(2)</w:t>
      </w:r>
      <w:r w:rsidRPr="00CD5673">
        <w:tab/>
        <w:t>At any time before the end of the acceptance period, the creditor may:</w:t>
      </w:r>
    </w:p>
    <w:p w14:paraId="01C40E11" w14:textId="77777777" w:rsidR="00D46430" w:rsidRPr="00CD5673" w:rsidRDefault="00D46430" w:rsidP="00D46430">
      <w:pPr>
        <w:pStyle w:val="paragraph"/>
      </w:pPr>
      <w:r w:rsidRPr="00CD5673">
        <w:tab/>
        <w:t>(a)</w:t>
      </w:r>
      <w:r w:rsidRPr="00CD5673">
        <w:tab/>
        <w:t>withdraw the statement; and</w:t>
      </w:r>
    </w:p>
    <w:p w14:paraId="595C5799" w14:textId="77777777" w:rsidR="00D46430" w:rsidRPr="00CD5673" w:rsidRDefault="00D46430" w:rsidP="00D46430">
      <w:pPr>
        <w:pStyle w:val="paragraph"/>
      </w:pPr>
      <w:r w:rsidRPr="00CD5673">
        <w:tab/>
        <w:t>(b)</w:t>
      </w:r>
      <w:r w:rsidRPr="00CD5673">
        <w:tab/>
        <w:t>give a new statement under paragraph 5.3B.21(1)(b) in relation to the plan.</w:t>
      </w:r>
    </w:p>
    <w:p w14:paraId="469975FB" w14:textId="77777777" w:rsidR="00D46430" w:rsidRPr="00CD5673" w:rsidRDefault="00D46430" w:rsidP="00D46430">
      <w:pPr>
        <w:pStyle w:val="subsection"/>
      </w:pPr>
      <w:r w:rsidRPr="00CD5673">
        <w:tab/>
        <w:t>(3)</w:t>
      </w:r>
      <w:r w:rsidRPr="00CD5673">
        <w:tab/>
        <w:t>A statement may be withdrawn, and a new statement may be given, more than once before the end of the acceptance period.</w:t>
      </w:r>
    </w:p>
    <w:p w14:paraId="084FF029" w14:textId="77777777" w:rsidR="00D46430" w:rsidRPr="00CD5673" w:rsidRDefault="00D46430" w:rsidP="00D46430">
      <w:pPr>
        <w:pStyle w:val="SubsectionHead"/>
        <w:outlineLvl w:val="3"/>
      </w:pPr>
      <w:r w:rsidRPr="00CD5673">
        <w:t>Definitions</w:t>
      </w:r>
    </w:p>
    <w:p w14:paraId="7DBCFD6D" w14:textId="77777777" w:rsidR="00D46430" w:rsidRPr="00CD5673" w:rsidRDefault="00D46430" w:rsidP="00D46430">
      <w:pPr>
        <w:pStyle w:val="subsection"/>
        <w:outlineLvl w:val="3"/>
      </w:pPr>
      <w:r w:rsidRPr="00CD5673">
        <w:tab/>
        <w:t>(4)</w:t>
      </w:r>
      <w:r w:rsidRPr="00CD5673">
        <w:tab/>
        <w:t>In this regulation:</w:t>
      </w:r>
    </w:p>
    <w:p w14:paraId="56534910" w14:textId="77777777" w:rsidR="00D46430" w:rsidRPr="00CD5673" w:rsidRDefault="00D46430" w:rsidP="00D46430">
      <w:pPr>
        <w:pStyle w:val="Definition"/>
        <w:outlineLvl w:val="3"/>
      </w:pPr>
      <w:r w:rsidRPr="00CD5673">
        <w:rPr>
          <w:b/>
          <w:i/>
        </w:rPr>
        <w:t>acceptance period</w:t>
      </w:r>
      <w:r w:rsidRPr="00CD5673">
        <w:t xml:space="preserve"> has the same meaning as in subregulation 5.3B.21(3).</w:t>
      </w:r>
    </w:p>
    <w:p w14:paraId="5426DE6D" w14:textId="77777777" w:rsidR="00D46430" w:rsidRPr="00CD5673" w:rsidRDefault="00D46430" w:rsidP="00D46430">
      <w:pPr>
        <w:pStyle w:val="ActHead5"/>
      </w:pPr>
      <w:bookmarkStart w:id="160" w:name="_Toc158711770"/>
      <w:r w:rsidRPr="00C614F1">
        <w:rPr>
          <w:rStyle w:val="CharSectno"/>
        </w:rPr>
        <w:t>5.3B.24</w:t>
      </w:r>
      <w:r w:rsidRPr="00CD5673">
        <w:t xml:space="preserve">  Company under restructuring must do certain things</w:t>
      </w:r>
      <w:bookmarkEnd w:id="160"/>
    </w:p>
    <w:p w14:paraId="722FDFD9" w14:textId="77777777" w:rsidR="00D46430" w:rsidRPr="00CD5673" w:rsidRDefault="00D46430" w:rsidP="00D46430">
      <w:pPr>
        <w:pStyle w:val="subsection"/>
      </w:pPr>
      <w:r w:rsidRPr="00CD5673">
        <w:tab/>
      </w:r>
      <w:r w:rsidRPr="00CD5673">
        <w:tab/>
        <w:t>This regulation is satisfied in relation to a company under restructuring if:</w:t>
      </w:r>
    </w:p>
    <w:p w14:paraId="31AB8962" w14:textId="77777777" w:rsidR="00D46430" w:rsidRPr="00CD5673" w:rsidRDefault="00D46430" w:rsidP="00D46430">
      <w:pPr>
        <w:pStyle w:val="paragraph"/>
      </w:pPr>
      <w:r w:rsidRPr="00CD5673">
        <w:tab/>
        <w:t>(a)</w:t>
      </w:r>
      <w:r w:rsidRPr="00CD5673">
        <w:tab/>
        <w:t>the company has:</w:t>
      </w:r>
    </w:p>
    <w:p w14:paraId="1CC250B1" w14:textId="77777777" w:rsidR="00D46430" w:rsidRPr="00CD5673" w:rsidRDefault="00D46430" w:rsidP="00D46430">
      <w:pPr>
        <w:pStyle w:val="paragraphsub"/>
      </w:pPr>
      <w:r w:rsidRPr="00CD5673">
        <w:tab/>
        <w:t>(i)</w:t>
      </w:r>
      <w:r w:rsidRPr="00CD5673">
        <w:tab/>
        <w:t>paid the entitlements of its employees that are payable; and</w:t>
      </w:r>
    </w:p>
    <w:p w14:paraId="659E52D7" w14:textId="77777777" w:rsidR="00D46430" w:rsidRPr="00CD5673" w:rsidRDefault="00D46430" w:rsidP="00D46430">
      <w:pPr>
        <w:pStyle w:val="paragraphsub"/>
      </w:pPr>
      <w:r w:rsidRPr="00CD5673">
        <w:lastRenderedPageBreak/>
        <w:tab/>
        <w:t>(ii)</w:t>
      </w:r>
      <w:r w:rsidRPr="00CD5673">
        <w:tab/>
        <w:t xml:space="preserve">given returns, notices, statements, applications or other documents as required by taxation laws (within the meaning of the </w:t>
      </w:r>
      <w:r w:rsidRPr="00CD5673">
        <w:rPr>
          <w:i/>
        </w:rPr>
        <w:t>Income Tax Assessment Act 1997</w:t>
      </w:r>
      <w:r w:rsidRPr="00CD5673">
        <w:t>); or</w:t>
      </w:r>
    </w:p>
    <w:p w14:paraId="05DCF952" w14:textId="77777777" w:rsidR="00D46430" w:rsidRPr="00CD5673" w:rsidRDefault="00D46430" w:rsidP="00D46430">
      <w:pPr>
        <w:pStyle w:val="paragraph"/>
      </w:pPr>
      <w:r w:rsidRPr="00CD5673">
        <w:tab/>
        <w:t>(b)</w:t>
      </w:r>
      <w:r w:rsidRPr="00CD5673">
        <w:tab/>
        <w:t>the company is substantially complying with the matter concerned.</w:t>
      </w:r>
    </w:p>
    <w:p w14:paraId="095571E5" w14:textId="77777777" w:rsidR="00D46430" w:rsidRPr="00CD5673" w:rsidRDefault="00D46430" w:rsidP="00D46430">
      <w:pPr>
        <w:pStyle w:val="notetext"/>
      </w:pPr>
      <w:r w:rsidRPr="00CD5673">
        <w:t>Note:</w:t>
      </w:r>
      <w:r w:rsidRPr="00CD5673">
        <w:tab/>
        <w:t xml:space="preserve">Employee </w:t>
      </w:r>
      <w:r w:rsidRPr="00CD5673">
        <w:rPr>
          <w:b/>
          <w:i/>
        </w:rPr>
        <w:t>entitlements</w:t>
      </w:r>
      <w:r w:rsidRPr="00CD5673">
        <w:t xml:space="preserve"> are defined in subsections 596AA(2) and (3) of the Act and include superannuation contributions payable by the company.</w:t>
      </w:r>
    </w:p>
    <w:p w14:paraId="2DFF0D06" w14:textId="77777777" w:rsidR="00D46430" w:rsidRPr="00CD5673" w:rsidRDefault="00D46430" w:rsidP="00D46430">
      <w:pPr>
        <w:pStyle w:val="ActHead4"/>
      </w:pPr>
      <w:bookmarkStart w:id="161" w:name="_Toc158711771"/>
      <w:r w:rsidRPr="00C614F1">
        <w:rPr>
          <w:rStyle w:val="CharSubdNo"/>
        </w:rPr>
        <w:t>Subdivision C</w:t>
      </w:r>
      <w:r w:rsidRPr="00CD5673">
        <w:t>—</w:t>
      </w:r>
      <w:r w:rsidRPr="00C614F1">
        <w:rPr>
          <w:rStyle w:val="CharSubdText"/>
        </w:rPr>
        <w:t>Accepting a proposal for a restructuring plan</w:t>
      </w:r>
      <w:bookmarkEnd w:id="161"/>
    </w:p>
    <w:p w14:paraId="2CA366D0" w14:textId="77777777" w:rsidR="00D46430" w:rsidRPr="00CD5673" w:rsidRDefault="00D46430" w:rsidP="00D46430">
      <w:pPr>
        <w:pStyle w:val="ActHead5"/>
      </w:pPr>
      <w:bookmarkStart w:id="162" w:name="_Toc158711772"/>
      <w:r w:rsidRPr="00C614F1">
        <w:rPr>
          <w:rStyle w:val="CharSectno"/>
        </w:rPr>
        <w:t>5.3B.25</w:t>
      </w:r>
      <w:r w:rsidRPr="00CD5673">
        <w:t xml:space="preserve">  Acceptance of restructuring plan</w:t>
      </w:r>
      <w:bookmarkEnd w:id="162"/>
    </w:p>
    <w:p w14:paraId="13AC05EB" w14:textId="77777777" w:rsidR="00D46430" w:rsidRPr="00CD5673" w:rsidRDefault="00D46430" w:rsidP="00D46430">
      <w:pPr>
        <w:pStyle w:val="SubsectionHead"/>
        <w:outlineLvl w:val="3"/>
      </w:pPr>
      <w:r w:rsidRPr="00CD5673">
        <w:t>When restructuring plan is accepted</w:t>
      </w:r>
    </w:p>
    <w:p w14:paraId="496BBF5E" w14:textId="77777777" w:rsidR="00D46430" w:rsidRPr="00CD5673" w:rsidRDefault="00D46430" w:rsidP="00D46430">
      <w:pPr>
        <w:pStyle w:val="subsection"/>
        <w:rPr>
          <w:vertAlign w:val="subscript"/>
        </w:rPr>
      </w:pPr>
      <w:r w:rsidRPr="00CD5673">
        <w:tab/>
        <w:t>(1)</w:t>
      </w:r>
      <w:r w:rsidRPr="00CD5673">
        <w:tab/>
        <w:t xml:space="preserve">A company’s restructuring plan is </w:t>
      </w:r>
      <w:r w:rsidRPr="00CD5673">
        <w:rPr>
          <w:b/>
          <w:i/>
        </w:rPr>
        <w:t>accepted</w:t>
      </w:r>
      <w:r w:rsidRPr="00CD5673">
        <w:t xml:space="preserve"> if, at the end of the last day of the acceptance period, the majority in value of those creditors from whom the restructuring practitioner for the plan has received a statement under paragraph 5.3B.21(1)(b) stated that the restructuring plan should be accepted.</w:t>
      </w:r>
    </w:p>
    <w:p w14:paraId="45995F6D" w14:textId="77777777" w:rsidR="00D46430" w:rsidRPr="00CD5673" w:rsidRDefault="00D46430" w:rsidP="00D46430">
      <w:pPr>
        <w:pStyle w:val="subsection"/>
        <w:outlineLvl w:val="3"/>
      </w:pPr>
      <w:r w:rsidRPr="00CD5673">
        <w:tab/>
        <w:t>(2)</w:t>
      </w:r>
      <w:r w:rsidRPr="00CD5673">
        <w:tab/>
        <w:t>For the purposes of subregulation (1):</w:t>
      </w:r>
    </w:p>
    <w:p w14:paraId="27EEB01E" w14:textId="77777777" w:rsidR="00D46430" w:rsidRPr="00CD5673" w:rsidRDefault="00D46430" w:rsidP="00D46430">
      <w:pPr>
        <w:pStyle w:val="paragraph"/>
        <w:outlineLvl w:val="3"/>
      </w:pPr>
      <w:r w:rsidRPr="00CD5673">
        <w:tab/>
        <w:t>(a)</w:t>
      </w:r>
      <w:r w:rsidRPr="00CD5673">
        <w:tab/>
        <w:t>the value of an affected creditor is to be worked out:</w:t>
      </w:r>
    </w:p>
    <w:p w14:paraId="0AE7285F" w14:textId="77777777" w:rsidR="00D46430" w:rsidRPr="00CD5673" w:rsidRDefault="00D46430" w:rsidP="00D46430">
      <w:pPr>
        <w:pStyle w:val="paragraphsub"/>
        <w:outlineLvl w:val="3"/>
      </w:pPr>
      <w:r w:rsidRPr="00CD5673">
        <w:tab/>
        <w:t>(i)</w:t>
      </w:r>
      <w:r w:rsidRPr="00CD5673">
        <w:tab/>
        <w:t>by reference to the value of the creditor’s admissible debts or claims that are known at the time the restructuring began; or</w:t>
      </w:r>
    </w:p>
    <w:p w14:paraId="61048433" w14:textId="77777777" w:rsidR="00D46430" w:rsidRPr="00CD5673" w:rsidRDefault="00D46430" w:rsidP="00D46430">
      <w:pPr>
        <w:pStyle w:val="paragraphsub"/>
        <w:outlineLvl w:val="3"/>
      </w:pPr>
      <w:r w:rsidRPr="00CD5673">
        <w:tab/>
        <w:t>(ii)</w:t>
      </w:r>
      <w:r w:rsidRPr="00CD5673">
        <w:tab/>
        <w:t>if a person is an affected creditor because the person purchased another creditor’s admissible debts or claims—by reference to the value of the purchase price; and</w:t>
      </w:r>
    </w:p>
    <w:p w14:paraId="05508181" w14:textId="77777777" w:rsidR="00D46430" w:rsidRPr="00CD5673" w:rsidRDefault="00D46430" w:rsidP="00D46430">
      <w:pPr>
        <w:pStyle w:val="paragraph"/>
        <w:outlineLvl w:val="3"/>
      </w:pPr>
      <w:r w:rsidRPr="00CD5673">
        <w:tab/>
        <w:t>(b)</w:t>
      </w:r>
      <w:r w:rsidRPr="00CD5673">
        <w:tab/>
        <w:t>where there have been mutual credits, mutual debts or other mutual dealings between the company and an affected creditor:</w:t>
      </w:r>
    </w:p>
    <w:p w14:paraId="7C84F7B1" w14:textId="77777777" w:rsidR="00D46430" w:rsidRPr="00CD5673" w:rsidRDefault="00D46430" w:rsidP="00D46430">
      <w:pPr>
        <w:pStyle w:val="paragraphsub"/>
        <w:outlineLvl w:val="3"/>
      </w:pPr>
      <w:r w:rsidRPr="00CD5673">
        <w:tab/>
        <w:t>(i)</w:t>
      </w:r>
      <w:r w:rsidRPr="00CD5673">
        <w:tab/>
        <w:t>an account is to be taken of what is due from the one party to the other in respect of those mutual dealings; and</w:t>
      </w:r>
    </w:p>
    <w:p w14:paraId="141F4C98" w14:textId="77777777" w:rsidR="00D46430" w:rsidRPr="00CD5673" w:rsidRDefault="00D46430" w:rsidP="00D46430">
      <w:pPr>
        <w:pStyle w:val="paragraphsub"/>
        <w:outlineLvl w:val="3"/>
      </w:pPr>
      <w:r w:rsidRPr="00CD5673">
        <w:tab/>
        <w:t>(ii)</w:t>
      </w:r>
      <w:r w:rsidRPr="00CD5673">
        <w:tab/>
        <w:t>the sum due from the one party is to be set off against any sum due from the other party; and</w:t>
      </w:r>
    </w:p>
    <w:p w14:paraId="0FCA3079" w14:textId="77777777" w:rsidR="00D46430" w:rsidRPr="00CD5673" w:rsidRDefault="00D46430" w:rsidP="00D46430">
      <w:pPr>
        <w:pStyle w:val="paragraphsub"/>
        <w:outlineLvl w:val="3"/>
      </w:pPr>
      <w:r w:rsidRPr="00CD5673">
        <w:tab/>
        <w:t>(iii)</w:t>
      </w:r>
      <w:r w:rsidRPr="00CD5673">
        <w:tab/>
        <w:t>the value of the affected creditor is to be worked out only by reference to the balance of the account; and</w:t>
      </w:r>
    </w:p>
    <w:p w14:paraId="5AB24FD9" w14:textId="77777777" w:rsidR="00D46430" w:rsidRPr="00CD5673" w:rsidRDefault="00D46430" w:rsidP="00D46430">
      <w:pPr>
        <w:pStyle w:val="paragraph"/>
        <w:outlineLvl w:val="3"/>
      </w:pPr>
      <w:r w:rsidRPr="00CD5673">
        <w:tab/>
        <w:t>(c)</w:t>
      </w:r>
      <w:r w:rsidRPr="00CD5673">
        <w:tab/>
        <w:t>disregard an affected creditor who is an excluded creditor.</w:t>
      </w:r>
    </w:p>
    <w:p w14:paraId="05AE1306" w14:textId="77777777" w:rsidR="00D46430" w:rsidRPr="00CD5673" w:rsidRDefault="00D46430" w:rsidP="00D46430">
      <w:pPr>
        <w:pStyle w:val="notetext"/>
      </w:pPr>
      <w:r w:rsidRPr="00CD5673">
        <w:t>Note:</w:t>
      </w:r>
      <w:r w:rsidRPr="00CD5673">
        <w:tab/>
        <w:t>For the purposes of subparagraph (a)(ii), the purchase price would normally be the price stated in the contract for the purchase of the admissible debt or claim. However, if the amount paid by the person is different from the price stated in the contract, then the purchase price would be the amount that was actually paid.</w:t>
      </w:r>
    </w:p>
    <w:p w14:paraId="021C82D5" w14:textId="77777777" w:rsidR="00D46430" w:rsidRPr="00CD5673" w:rsidRDefault="00D46430" w:rsidP="00D46430">
      <w:pPr>
        <w:pStyle w:val="SubsectionHead"/>
        <w:outlineLvl w:val="3"/>
      </w:pPr>
      <w:r w:rsidRPr="00CD5673">
        <w:t>Offence</w:t>
      </w:r>
    </w:p>
    <w:p w14:paraId="1AD3DAF5" w14:textId="77777777" w:rsidR="00D46430" w:rsidRPr="00CD5673" w:rsidRDefault="00D46430" w:rsidP="00D46430">
      <w:pPr>
        <w:pStyle w:val="subsection"/>
        <w:outlineLvl w:val="3"/>
      </w:pPr>
      <w:r w:rsidRPr="00CD5673">
        <w:tab/>
        <w:t>(3)</w:t>
      </w:r>
      <w:r w:rsidRPr="00CD5673">
        <w:tab/>
        <w:t>A person commits an offence if:</w:t>
      </w:r>
    </w:p>
    <w:p w14:paraId="4C83979C" w14:textId="77777777" w:rsidR="00D46430" w:rsidRPr="00CD5673" w:rsidRDefault="00D46430" w:rsidP="00D46430">
      <w:pPr>
        <w:pStyle w:val="paragraph"/>
        <w:outlineLvl w:val="3"/>
      </w:pPr>
      <w:r w:rsidRPr="00CD5673">
        <w:tab/>
        <w:t>(a)</w:t>
      </w:r>
      <w:r w:rsidRPr="00CD5673">
        <w:tab/>
        <w:t>the person gives, or agrees or offers to give, to an affected creditor any valuable consideration; and</w:t>
      </w:r>
    </w:p>
    <w:p w14:paraId="6F5C2BC3" w14:textId="77777777" w:rsidR="00D46430" w:rsidRPr="00CD5673" w:rsidRDefault="00D46430" w:rsidP="00D46430">
      <w:pPr>
        <w:pStyle w:val="paragraph"/>
        <w:outlineLvl w:val="3"/>
      </w:pPr>
      <w:r w:rsidRPr="00CD5673">
        <w:tab/>
        <w:t>(b)</w:t>
      </w:r>
      <w:r w:rsidRPr="00CD5673">
        <w:tab/>
        <w:t>the person does so with the intention of securing the affected creditor’s acceptance or non</w:t>
      </w:r>
      <w:r w:rsidR="00C614F1">
        <w:noBreakHyphen/>
      </w:r>
      <w:r w:rsidRPr="00CD5673">
        <w:t>acceptance of the restructuring plan.</w:t>
      </w:r>
    </w:p>
    <w:p w14:paraId="3E07CDDA" w14:textId="77777777" w:rsidR="00D46430" w:rsidRPr="00CD5673" w:rsidRDefault="00D46430" w:rsidP="00D46430">
      <w:pPr>
        <w:pStyle w:val="Penalty"/>
        <w:outlineLvl w:val="3"/>
      </w:pPr>
      <w:r w:rsidRPr="00CD5673">
        <w:t>Penalty:</w:t>
      </w:r>
      <w:r w:rsidRPr="00CD5673">
        <w:tab/>
        <w:t>50 penalty units.</w:t>
      </w:r>
    </w:p>
    <w:p w14:paraId="4C710155" w14:textId="77777777" w:rsidR="00D46430" w:rsidRPr="00CD5673" w:rsidRDefault="00D46430" w:rsidP="00D46430">
      <w:pPr>
        <w:pStyle w:val="SubsectionHead"/>
        <w:outlineLvl w:val="3"/>
      </w:pPr>
      <w:r w:rsidRPr="00CD5673">
        <w:t>Definitions</w:t>
      </w:r>
    </w:p>
    <w:p w14:paraId="264CEB41" w14:textId="77777777" w:rsidR="00D46430" w:rsidRPr="00CD5673" w:rsidRDefault="00D46430" w:rsidP="00D46430">
      <w:pPr>
        <w:pStyle w:val="subsection"/>
        <w:outlineLvl w:val="3"/>
      </w:pPr>
      <w:r w:rsidRPr="00CD5673">
        <w:tab/>
        <w:t>(5)</w:t>
      </w:r>
      <w:r w:rsidRPr="00CD5673">
        <w:tab/>
        <w:t>In this regulation:</w:t>
      </w:r>
    </w:p>
    <w:p w14:paraId="6FE9DA20" w14:textId="77777777" w:rsidR="00D46430" w:rsidRPr="00CD5673" w:rsidRDefault="00D46430" w:rsidP="00D46430">
      <w:pPr>
        <w:pStyle w:val="Definition"/>
        <w:outlineLvl w:val="3"/>
      </w:pPr>
      <w:r w:rsidRPr="00CD5673">
        <w:rPr>
          <w:b/>
          <w:i/>
        </w:rPr>
        <w:t>acceptance period</w:t>
      </w:r>
      <w:r w:rsidRPr="00CD5673">
        <w:t xml:space="preserve"> has the same meaning as in subregulation 5.3B.21(3).</w:t>
      </w:r>
    </w:p>
    <w:p w14:paraId="796202B2" w14:textId="77777777" w:rsidR="00D46430" w:rsidRPr="00CD5673" w:rsidRDefault="00D46430" w:rsidP="00D46430">
      <w:pPr>
        <w:pStyle w:val="ActHead5"/>
        <w:rPr>
          <w:i/>
        </w:rPr>
      </w:pPr>
      <w:bookmarkStart w:id="163" w:name="_Toc158711773"/>
      <w:r w:rsidRPr="00C614F1">
        <w:rPr>
          <w:rStyle w:val="CharSectno"/>
        </w:rPr>
        <w:t>5.3B.26</w:t>
      </w:r>
      <w:r w:rsidRPr="00CD5673">
        <w:t xml:space="preserve">  How a restructuring plan is </w:t>
      </w:r>
      <w:r w:rsidRPr="00CD5673">
        <w:rPr>
          <w:i/>
        </w:rPr>
        <w:t>made</w:t>
      </w:r>
      <w:bookmarkEnd w:id="163"/>
    </w:p>
    <w:p w14:paraId="400E5748" w14:textId="77777777" w:rsidR="00D46430" w:rsidRPr="00CD5673" w:rsidRDefault="00D46430" w:rsidP="00D46430">
      <w:pPr>
        <w:pStyle w:val="subsection"/>
        <w:outlineLvl w:val="3"/>
      </w:pPr>
      <w:r w:rsidRPr="00CD5673">
        <w:tab/>
        <w:t>(1)</w:t>
      </w:r>
      <w:r w:rsidRPr="00CD5673">
        <w:tab/>
        <w:t xml:space="preserve">If a company’s proposal to make a restructuring plan is accepted in accordance with regulation 5.3B.25, the company is taken to have </w:t>
      </w:r>
      <w:r w:rsidRPr="00CD5673">
        <w:rPr>
          <w:b/>
          <w:i/>
        </w:rPr>
        <w:t>made</w:t>
      </w:r>
      <w:r w:rsidRPr="00CD5673">
        <w:t xml:space="preserve"> the restructuring plan.</w:t>
      </w:r>
    </w:p>
    <w:p w14:paraId="01373F4D" w14:textId="77777777" w:rsidR="00D46430" w:rsidRPr="00CD5673" w:rsidRDefault="00D46430" w:rsidP="00D46430">
      <w:pPr>
        <w:pStyle w:val="subsection"/>
      </w:pPr>
      <w:r w:rsidRPr="00CD5673">
        <w:tab/>
        <w:t>(2)</w:t>
      </w:r>
      <w:r w:rsidRPr="00CD5673">
        <w:tab/>
        <w:t xml:space="preserve">The restructuring plan is taken to have been </w:t>
      </w:r>
      <w:r w:rsidRPr="00CD5673">
        <w:rPr>
          <w:b/>
          <w:i/>
        </w:rPr>
        <w:t>made</w:t>
      </w:r>
      <w:r w:rsidRPr="00CD5673">
        <w:t>:</w:t>
      </w:r>
    </w:p>
    <w:p w14:paraId="3F840DCB" w14:textId="77777777" w:rsidR="00D46430" w:rsidRPr="00CD5673" w:rsidRDefault="00D46430" w:rsidP="00D46430">
      <w:pPr>
        <w:pStyle w:val="paragraph"/>
      </w:pPr>
      <w:r w:rsidRPr="00CD5673">
        <w:tab/>
        <w:t>(a)</w:t>
      </w:r>
      <w:r w:rsidRPr="00CD5673">
        <w:tab/>
        <w:t>if the plan is expressed to be conditional on the occurrence of a specified event within a specified period and the event occurs within that period—on the day after the end of that period; and</w:t>
      </w:r>
    </w:p>
    <w:p w14:paraId="4811EDA7" w14:textId="77777777" w:rsidR="00D46430" w:rsidRPr="00CD5673" w:rsidRDefault="00D46430" w:rsidP="00D46430">
      <w:pPr>
        <w:pStyle w:val="paragraph"/>
        <w:outlineLvl w:val="3"/>
      </w:pPr>
      <w:r w:rsidRPr="00CD5673">
        <w:tab/>
        <w:t>(b)</w:t>
      </w:r>
      <w:r w:rsidRPr="00CD5673">
        <w:tab/>
        <w:t>otherwise—on the day after the end of the acceptance period.</w:t>
      </w:r>
    </w:p>
    <w:p w14:paraId="72D6FADA" w14:textId="77777777" w:rsidR="00D46430" w:rsidRPr="00CD5673" w:rsidRDefault="00D46430" w:rsidP="00D46430">
      <w:pPr>
        <w:pStyle w:val="subsection"/>
      </w:pPr>
      <w:r w:rsidRPr="00CD5673">
        <w:tab/>
        <w:t>(3)</w:t>
      </w:r>
      <w:r w:rsidRPr="00CD5673">
        <w:tab/>
        <w:t>A restructuring plan that has been made has the same force and validity as if it were a deed executed by each of the parties to the plan.</w:t>
      </w:r>
    </w:p>
    <w:p w14:paraId="3C627F92" w14:textId="77777777" w:rsidR="00D46430" w:rsidRPr="00CD5673" w:rsidRDefault="00D46430" w:rsidP="00D46430">
      <w:pPr>
        <w:pStyle w:val="SubsectionHead"/>
      </w:pPr>
      <w:r w:rsidRPr="00CD5673">
        <w:lastRenderedPageBreak/>
        <w:t>Definitions</w:t>
      </w:r>
    </w:p>
    <w:p w14:paraId="29C4DFFA" w14:textId="77777777" w:rsidR="00D46430" w:rsidRPr="00CD5673" w:rsidRDefault="00D46430" w:rsidP="00D46430">
      <w:pPr>
        <w:pStyle w:val="subsection"/>
      </w:pPr>
      <w:r w:rsidRPr="00CD5673">
        <w:tab/>
        <w:t>(4)</w:t>
      </w:r>
      <w:r w:rsidRPr="00CD5673">
        <w:tab/>
        <w:t>In this regulation:</w:t>
      </w:r>
    </w:p>
    <w:p w14:paraId="00D14ECB" w14:textId="77777777" w:rsidR="00D46430" w:rsidRPr="00CD5673" w:rsidRDefault="00D46430" w:rsidP="00D46430">
      <w:pPr>
        <w:pStyle w:val="Definition"/>
        <w:outlineLvl w:val="3"/>
      </w:pPr>
      <w:r w:rsidRPr="00CD5673">
        <w:rPr>
          <w:b/>
          <w:i/>
        </w:rPr>
        <w:t>acceptance period</w:t>
      </w:r>
      <w:r w:rsidRPr="00CD5673">
        <w:t xml:space="preserve"> has the same meaning as in subregulation 5.3B.21(3).</w:t>
      </w:r>
    </w:p>
    <w:p w14:paraId="78C87478" w14:textId="77777777" w:rsidR="00D46430" w:rsidRPr="00CD5673" w:rsidRDefault="00D46430" w:rsidP="00D46430">
      <w:pPr>
        <w:pStyle w:val="ActHead5"/>
      </w:pPr>
      <w:bookmarkStart w:id="164" w:name="_Toc158711774"/>
      <w:r w:rsidRPr="00C614F1">
        <w:rPr>
          <w:rStyle w:val="CharSectno"/>
        </w:rPr>
        <w:t>5.3B.27</w:t>
      </w:r>
      <w:r w:rsidRPr="00CD5673">
        <w:t xml:space="preserve">  Standard terms for restructuring plans</w:t>
      </w:r>
      <w:bookmarkEnd w:id="164"/>
    </w:p>
    <w:p w14:paraId="3D291EAC" w14:textId="77777777" w:rsidR="00D46430" w:rsidRPr="00CD5673" w:rsidRDefault="00D46430" w:rsidP="00D46430">
      <w:pPr>
        <w:pStyle w:val="subsection"/>
      </w:pPr>
      <w:r w:rsidRPr="00CD5673">
        <w:tab/>
        <w:t>(1)</w:t>
      </w:r>
      <w:r w:rsidRPr="00CD5673">
        <w:tab/>
        <w:t>A restructuring plan made by a company is taken to include all of the following terms:</w:t>
      </w:r>
    </w:p>
    <w:p w14:paraId="6D8A9442" w14:textId="77777777" w:rsidR="00D46430" w:rsidRPr="00CD5673" w:rsidRDefault="00D46430" w:rsidP="00D46430">
      <w:pPr>
        <w:pStyle w:val="paragraph"/>
        <w:outlineLvl w:val="3"/>
      </w:pPr>
      <w:r w:rsidRPr="00CD5673">
        <w:tab/>
        <w:t>(a)</w:t>
      </w:r>
      <w:r w:rsidRPr="00CD5673">
        <w:tab/>
        <w:t>all admissible debts and claims rank equally;</w:t>
      </w:r>
    </w:p>
    <w:p w14:paraId="786697C4" w14:textId="77777777" w:rsidR="00D46430" w:rsidRPr="00CD5673" w:rsidRDefault="00D46430" w:rsidP="00D46430">
      <w:pPr>
        <w:pStyle w:val="paragraph"/>
      </w:pPr>
      <w:r w:rsidRPr="00CD5673">
        <w:tab/>
        <w:t>(b)</w:t>
      </w:r>
      <w:r w:rsidRPr="00CD5673">
        <w:tab/>
        <w:t>if the total amount paid by the company under the plan in respect of those debts or claims is insufficient to meet those debts or claims in full, those debts or claims will be paid proportionately;</w:t>
      </w:r>
    </w:p>
    <w:p w14:paraId="12D93AB5" w14:textId="77777777" w:rsidR="00D46430" w:rsidRPr="00CD5673" w:rsidRDefault="00D46430" w:rsidP="00D46430">
      <w:pPr>
        <w:pStyle w:val="paragraph"/>
        <w:outlineLvl w:val="3"/>
      </w:pPr>
      <w:r w:rsidRPr="00CD5673">
        <w:tab/>
        <w:t>(c)</w:t>
      </w:r>
      <w:r w:rsidRPr="00CD5673">
        <w:tab/>
        <w:t>a creditor is not entitled to receive, in respect of an admissible debt or claim, more than the amount of the debt or claim;</w:t>
      </w:r>
    </w:p>
    <w:p w14:paraId="32ADF903" w14:textId="77777777" w:rsidR="00D46430" w:rsidRPr="00CD5673" w:rsidRDefault="00D46430" w:rsidP="00D46430">
      <w:pPr>
        <w:pStyle w:val="paragraph"/>
        <w:outlineLvl w:val="3"/>
      </w:pPr>
      <w:r w:rsidRPr="00CD5673">
        <w:tab/>
        <w:t>(d)</w:t>
      </w:r>
      <w:r w:rsidRPr="00CD5673">
        <w:tab/>
        <w:t>the amount of an admissible debt or claim will be ascertained as at the time immediately before the restructuring began;</w:t>
      </w:r>
    </w:p>
    <w:p w14:paraId="5736B7F6" w14:textId="77777777" w:rsidR="00D46430" w:rsidRPr="00CD5673" w:rsidRDefault="00D46430" w:rsidP="00D46430">
      <w:pPr>
        <w:pStyle w:val="paragraph"/>
        <w:outlineLvl w:val="3"/>
      </w:pPr>
      <w:r w:rsidRPr="00CD5673">
        <w:tab/>
        <w:t>(e)</w:t>
      </w:r>
      <w:r w:rsidRPr="00CD5673">
        <w:tab/>
        <w:t>if a creditor is a secured creditor:</w:t>
      </w:r>
    </w:p>
    <w:p w14:paraId="693C4A55" w14:textId="77777777" w:rsidR="00D46430" w:rsidRPr="00CD5673" w:rsidRDefault="00D46430" w:rsidP="00D46430">
      <w:pPr>
        <w:pStyle w:val="paragraphsub"/>
      </w:pPr>
      <w:r w:rsidRPr="00CD5673">
        <w:tab/>
        <w:t>(i)</w:t>
      </w:r>
      <w:r w:rsidRPr="00CD5673">
        <w:tab/>
        <w:t>if the creditor does not realise the creditor’s security interest while the plan is in force, the creditor is taken, for the purposes of working out the amount payable to the creditor under the plan, to be a creditor only to the extent (if any) by which the amount of the creditor’s admissible debt or claim exceeds the value of the creditor’s security interest; and</w:t>
      </w:r>
    </w:p>
    <w:p w14:paraId="48FC8348" w14:textId="77777777" w:rsidR="00D46430" w:rsidRPr="00CD5673" w:rsidRDefault="00D46430" w:rsidP="00D46430">
      <w:pPr>
        <w:pStyle w:val="paragraphsub"/>
      </w:pPr>
      <w:r w:rsidRPr="00CD5673">
        <w:tab/>
        <w:t>(ii)</w:t>
      </w:r>
      <w:r w:rsidRPr="00CD5673">
        <w:tab/>
        <w:t>if the creditor realises the creditor’s security interest while the plan is in force, the creditor is taken, for the purposes of working out the amount payable to the creditor under the plan, to be a creditor only to the extent of any balance due to the creditor after deducting the net amount realised.</w:t>
      </w:r>
    </w:p>
    <w:p w14:paraId="1A454A49" w14:textId="77777777" w:rsidR="00D46430" w:rsidRPr="00CD5673" w:rsidRDefault="00D46430" w:rsidP="00D46430">
      <w:pPr>
        <w:pStyle w:val="subsection"/>
      </w:pPr>
      <w:r w:rsidRPr="00CD5673">
        <w:tab/>
        <w:t>(2)</w:t>
      </w:r>
      <w:r w:rsidRPr="00CD5673">
        <w:tab/>
        <w:t>A restructuring plan is void to the extent that it is inconsistent with any of the matters set out in subregulation (1).</w:t>
      </w:r>
    </w:p>
    <w:p w14:paraId="6F3F7FEC" w14:textId="77777777" w:rsidR="00D46430" w:rsidRPr="00CD5673" w:rsidRDefault="00D46430" w:rsidP="00D46430">
      <w:pPr>
        <w:pStyle w:val="ActHead5"/>
      </w:pPr>
      <w:bookmarkStart w:id="165" w:name="_Toc158711775"/>
      <w:r w:rsidRPr="00C614F1">
        <w:rPr>
          <w:rStyle w:val="CharSectno"/>
        </w:rPr>
        <w:t>5.3B.28</w:t>
      </w:r>
      <w:r w:rsidRPr="00CD5673">
        <w:t xml:space="preserve">  Parties to restructuring plan</w:t>
      </w:r>
      <w:bookmarkEnd w:id="165"/>
    </w:p>
    <w:p w14:paraId="721B83C8" w14:textId="77777777" w:rsidR="00D46430" w:rsidRPr="00CD5673" w:rsidRDefault="00D46430" w:rsidP="00D46430">
      <w:pPr>
        <w:pStyle w:val="subsection"/>
        <w:outlineLvl w:val="3"/>
      </w:pPr>
      <w:r w:rsidRPr="00CD5673">
        <w:tab/>
      </w:r>
      <w:r w:rsidRPr="00CD5673">
        <w:tab/>
        <w:t>The parties to a restructuring plan are:</w:t>
      </w:r>
    </w:p>
    <w:p w14:paraId="249B8406" w14:textId="77777777" w:rsidR="00D46430" w:rsidRPr="00CD5673" w:rsidRDefault="00D46430" w:rsidP="00D46430">
      <w:pPr>
        <w:pStyle w:val="paragraph"/>
        <w:outlineLvl w:val="3"/>
      </w:pPr>
      <w:r w:rsidRPr="00CD5673">
        <w:tab/>
        <w:t>(a)</w:t>
      </w:r>
      <w:r w:rsidRPr="00CD5673">
        <w:tab/>
        <w:t>the company to which the plan relates; and</w:t>
      </w:r>
    </w:p>
    <w:p w14:paraId="7D249119" w14:textId="77777777" w:rsidR="00D46430" w:rsidRPr="00CD5673" w:rsidRDefault="00D46430" w:rsidP="00D46430">
      <w:pPr>
        <w:pStyle w:val="paragraph"/>
      </w:pPr>
      <w:r w:rsidRPr="00CD5673">
        <w:tab/>
        <w:t>(b)</w:t>
      </w:r>
      <w:r w:rsidRPr="00CD5673">
        <w:tab/>
        <w:t>any person who has an admissible debt or claim in relation to the plan.</w:t>
      </w:r>
    </w:p>
    <w:p w14:paraId="7EDF71C0" w14:textId="77777777" w:rsidR="00D46430" w:rsidRPr="00CD5673" w:rsidRDefault="00D46430" w:rsidP="00D46430">
      <w:pPr>
        <w:pStyle w:val="ActHead5"/>
      </w:pPr>
      <w:bookmarkStart w:id="166" w:name="_Toc158711776"/>
      <w:r w:rsidRPr="00C614F1">
        <w:rPr>
          <w:rStyle w:val="CharSectno"/>
        </w:rPr>
        <w:t>5.3B.29</w:t>
      </w:r>
      <w:r w:rsidRPr="00CD5673">
        <w:t xml:space="preserve">  Effect of restructuring plan</w:t>
      </w:r>
      <w:bookmarkEnd w:id="166"/>
    </w:p>
    <w:p w14:paraId="5D1BD4C0" w14:textId="77777777" w:rsidR="00D46430" w:rsidRPr="00CD5673" w:rsidRDefault="00D46430" w:rsidP="00D46430">
      <w:pPr>
        <w:pStyle w:val="subsection"/>
        <w:outlineLvl w:val="3"/>
      </w:pPr>
      <w:r w:rsidRPr="00CD5673">
        <w:tab/>
        <w:t>(1)</w:t>
      </w:r>
      <w:r w:rsidRPr="00CD5673">
        <w:tab/>
        <w:t>This regulation applies on and after the day on which a restructuring plan is made in relation to a company.</w:t>
      </w:r>
    </w:p>
    <w:p w14:paraId="0FBDA949" w14:textId="77777777" w:rsidR="00D46430" w:rsidRPr="00CD5673" w:rsidRDefault="00D46430" w:rsidP="00D46430">
      <w:pPr>
        <w:pStyle w:val="subsection"/>
        <w:outlineLvl w:val="3"/>
      </w:pPr>
      <w:r w:rsidRPr="00CD5673">
        <w:tab/>
        <w:t>(2)</w:t>
      </w:r>
      <w:r w:rsidRPr="00CD5673">
        <w:tab/>
        <w:t>The plan is binding on:</w:t>
      </w:r>
    </w:p>
    <w:p w14:paraId="7A141FB2" w14:textId="77777777" w:rsidR="00D46430" w:rsidRPr="00CD5673" w:rsidRDefault="00D46430" w:rsidP="00D46430">
      <w:pPr>
        <w:pStyle w:val="paragraph"/>
        <w:outlineLvl w:val="3"/>
      </w:pPr>
      <w:r w:rsidRPr="00CD5673">
        <w:tab/>
        <w:t>(a)</w:t>
      </w:r>
      <w:r w:rsidRPr="00CD5673">
        <w:tab/>
        <w:t>subject to subregulations (3) and (4)—a creditor of the company to the extent that the creditor has an admissible debt or claim in relation to the plan; and</w:t>
      </w:r>
    </w:p>
    <w:p w14:paraId="7110E91F" w14:textId="77777777" w:rsidR="00D46430" w:rsidRPr="00CD5673" w:rsidRDefault="00D46430" w:rsidP="00D46430">
      <w:pPr>
        <w:pStyle w:val="paragraph"/>
        <w:outlineLvl w:val="3"/>
      </w:pPr>
      <w:r w:rsidRPr="00CD5673">
        <w:tab/>
        <w:t>(b)</w:t>
      </w:r>
      <w:r w:rsidRPr="00CD5673">
        <w:tab/>
        <w:t>the company; and</w:t>
      </w:r>
    </w:p>
    <w:p w14:paraId="30CC3509" w14:textId="77777777" w:rsidR="00D46430" w:rsidRPr="00CD5673" w:rsidRDefault="00D46430" w:rsidP="00D46430">
      <w:pPr>
        <w:pStyle w:val="paragraph"/>
        <w:outlineLvl w:val="3"/>
      </w:pPr>
      <w:r w:rsidRPr="00CD5673">
        <w:tab/>
        <w:t>(c)</w:t>
      </w:r>
      <w:r w:rsidRPr="00CD5673">
        <w:tab/>
        <w:t>the company’s officers and members; and</w:t>
      </w:r>
    </w:p>
    <w:p w14:paraId="251B6DF7" w14:textId="77777777" w:rsidR="00D46430" w:rsidRPr="00CD5673" w:rsidRDefault="00D46430" w:rsidP="00D46430">
      <w:pPr>
        <w:pStyle w:val="paragraph"/>
        <w:outlineLvl w:val="3"/>
      </w:pPr>
      <w:r w:rsidRPr="00CD5673">
        <w:tab/>
        <w:t>(d)</w:t>
      </w:r>
      <w:r w:rsidRPr="00CD5673">
        <w:tab/>
        <w:t>the restructuring practitioner for the plan.</w:t>
      </w:r>
    </w:p>
    <w:p w14:paraId="28567273" w14:textId="77777777" w:rsidR="00D46430" w:rsidRPr="00CD5673" w:rsidRDefault="00D46430" w:rsidP="00D46430">
      <w:pPr>
        <w:pStyle w:val="subsection"/>
      </w:pPr>
      <w:r w:rsidRPr="00CD5673">
        <w:tab/>
        <w:t>(3)</w:t>
      </w:r>
      <w:r w:rsidRPr="00CD5673">
        <w:tab/>
        <w:t>If a creditor of the company is a secured creditor, the plan is binding on the creditor:</w:t>
      </w:r>
    </w:p>
    <w:p w14:paraId="177177D4" w14:textId="77777777" w:rsidR="00D46430" w:rsidRPr="00CD5673" w:rsidRDefault="00D46430" w:rsidP="00D46430">
      <w:pPr>
        <w:pStyle w:val="paragraph"/>
        <w:outlineLvl w:val="3"/>
      </w:pPr>
      <w:r w:rsidRPr="00CD5673">
        <w:tab/>
        <w:t>(a)</w:t>
      </w:r>
      <w:r w:rsidRPr="00CD5673">
        <w:tab/>
        <w:t>if the value of the creditor’s security interest is less than the value of the creditor’s admissible debts or claims—only to the extent of the difference between the values; and</w:t>
      </w:r>
    </w:p>
    <w:p w14:paraId="770EAF84" w14:textId="77777777" w:rsidR="00D46430" w:rsidRPr="00CD5673" w:rsidRDefault="00D46430" w:rsidP="00D46430">
      <w:pPr>
        <w:pStyle w:val="paragraph"/>
        <w:outlineLvl w:val="3"/>
        <w:rPr>
          <w:sz w:val="20"/>
        </w:rPr>
      </w:pPr>
      <w:r w:rsidRPr="00CD5673">
        <w:tab/>
        <w:t>(b)</w:t>
      </w:r>
      <w:r w:rsidRPr="00CD5673">
        <w:tab/>
        <w:t>if the value of the creditor’s security interest is equal to or more than the value of the creditor’s admissible debts or claims—only to the extent that the creditor consents to be bound by the plan.</w:t>
      </w:r>
    </w:p>
    <w:p w14:paraId="0970614E" w14:textId="77777777" w:rsidR="00D46430" w:rsidRPr="00CD5673" w:rsidRDefault="00D46430" w:rsidP="00D46430">
      <w:pPr>
        <w:pStyle w:val="subsection"/>
        <w:outlineLvl w:val="3"/>
      </w:pPr>
      <w:r w:rsidRPr="00CD5673">
        <w:tab/>
        <w:t>(4)</w:t>
      </w:r>
      <w:r w:rsidRPr="00CD5673">
        <w:tab/>
        <w:t>The fact that a restructuring plan has been made does not prevent a secured creditor from realising or otherwise dealing with the security interest, unless:</w:t>
      </w:r>
    </w:p>
    <w:p w14:paraId="375194AD" w14:textId="77777777" w:rsidR="00D46430" w:rsidRPr="00CD5673" w:rsidRDefault="00D46430" w:rsidP="00D46430">
      <w:pPr>
        <w:pStyle w:val="paragraph"/>
        <w:outlineLvl w:val="3"/>
      </w:pPr>
      <w:r w:rsidRPr="00CD5673">
        <w:tab/>
        <w:t>(a)</w:t>
      </w:r>
      <w:r w:rsidRPr="00CD5673">
        <w:tab/>
        <w:t>the secured creditor accepted the proposal to make the plan and the plan prevents the secured creditor from doing so; or</w:t>
      </w:r>
    </w:p>
    <w:p w14:paraId="4FC1722F" w14:textId="77777777" w:rsidR="00D46430" w:rsidRPr="00CD5673" w:rsidRDefault="00D46430" w:rsidP="00D46430">
      <w:pPr>
        <w:pStyle w:val="paragraph"/>
        <w:outlineLvl w:val="3"/>
      </w:pPr>
      <w:r w:rsidRPr="00CD5673">
        <w:tab/>
        <w:t>(b)</w:t>
      </w:r>
      <w:r w:rsidRPr="00CD5673">
        <w:tab/>
        <w:t>the Court so orders under subregulation 5.3B.64(2).</w:t>
      </w:r>
    </w:p>
    <w:p w14:paraId="4B465DE6" w14:textId="77777777" w:rsidR="00D46430" w:rsidRPr="00CD5673" w:rsidRDefault="00D46430" w:rsidP="00D46430">
      <w:pPr>
        <w:pStyle w:val="subsection"/>
      </w:pPr>
      <w:r w:rsidRPr="00CD5673">
        <w:tab/>
        <w:t>(5)</w:t>
      </w:r>
      <w:r w:rsidRPr="00CD5673">
        <w:tab/>
        <w:t>The fact that a restructuring plan has been made does not affect a right that an owner or lessor of property has in relation to that property, unless:</w:t>
      </w:r>
    </w:p>
    <w:p w14:paraId="658D1ED0" w14:textId="77777777" w:rsidR="00D46430" w:rsidRPr="00CD5673" w:rsidRDefault="00D46430" w:rsidP="00D46430">
      <w:pPr>
        <w:pStyle w:val="paragraph"/>
      </w:pPr>
      <w:r w:rsidRPr="00CD5673">
        <w:tab/>
        <w:t>(a)</w:t>
      </w:r>
      <w:r w:rsidRPr="00CD5673">
        <w:tab/>
        <w:t>the owner or lessor accepted the proposal to make the plan and the plan affects that right; or</w:t>
      </w:r>
    </w:p>
    <w:p w14:paraId="71E3FEBB" w14:textId="77777777" w:rsidR="00D46430" w:rsidRPr="00CD5673" w:rsidRDefault="00D46430" w:rsidP="00D46430">
      <w:pPr>
        <w:pStyle w:val="paragraph"/>
      </w:pPr>
      <w:r w:rsidRPr="00CD5673">
        <w:lastRenderedPageBreak/>
        <w:tab/>
        <w:t>(b)</w:t>
      </w:r>
      <w:r w:rsidRPr="00CD5673">
        <w:tab/>
        <w:t>the Court so orders under subregulation 5.3B.64(4).</w:t>
      </w:r>
    </w:p>
    <w:p w14:paraId="52B03EB9" w14:textId="77777777" w:rsidR="00D46430" w:rsidRPr="00CD5673" w:rsidRDefault="00D46430" w:rsidP="00D46430">
      <w:pPr>
        <w:pStyle w:val="subsection"/>
      </w:pPr>
      <w:r w:rsidRPr="00CD5673">
        <w:tab/>
        <w:t>(6)</w:t>
      </w:r>
      <w:r w:rsidRPr="00CD5673">
        <w:tab/>
        <w:t>Subregulation (5) does not apply in relation to an owner or lessor of PPSA retention of title property of the company.</w:t>
      </w:r>
    </w:p>
    <w:p w14:paraId="4E632389" w14:textId="77777777" w:rsidR="00D46430" w:rsidRPr="00CD5673" w:rsidRDefault="00D46430" w:rsidP="00D46430">
      <w:pPr>
        <w:pStyle w:val="notetext"/>
      </w:pPr>
      <w:r w:rsidRPr="00CD5673">
        <w:t>Note:</w:t>
      </w:r>
      <w:r w:rsidRPr="00CD5673">
        <w:tab/>
        <w:t xml:space="preserve">Subregulation (3) applies in relation to an owner or lessor of PPSA retention of title property of the company. Such an owner or lessor is a secured creditor of the company (see section 51F of the Act (meaning of </w:t>
      </w:r>
      <w:r w:rsidRPr="00CD5673">
        <w:rPr>
          <w:b/>
          <w:i/>
        </w:rPr>
        <w:t>PPSA retention of title property</w:t>
      </w:r>
      <w:r w:rsidRPr="00CD5673">
        <w:t>)).</w:t>
      </w:r>
    </w:p>
    <w:p w14:paraId="4C5720ED" w14:textId="77777777" w:rsidR="00D46430" w:rsidRPr="00CD5673" w:rsidRDefault="00D46430" w:rsidP="00D46430">
      <w:pPr>
        <w:pStyle w:val="ActHead5"/>
      </w:pPr>
      <w:bookmarkStart w:id="167" w:name="_Toc158711777"/>
      <w:r w:rsidRPr="00C614F1">
        <w:rPr>
          <w:rStyle w:val="CharSectno"/>
        </w:rPr>
        <w:t>5.3B.30</w:t>
      </w:r>
      <w:r w:rsidRPr="00CD5673">
        <w:t xml:space="preserve">  Protection of company’s property from persons bound by restructuring plan</w:t>
      </w:r>
      <w:bookmarkEnd w:id="167"/>
    </w:p>
    <w:p w14:paraId="4596FBFD" w14:textId="77777777" w:rsidR="00D46430" w:rsidRPr="00CD5673" w:rsidRDefault="00D46430" w:rsidP="00D46430">
      <w:pPr>
        <w:pStyle w:val="subsection"/>
        <w:outlineLvl w:val="3"/>
      </w:pPr>
      <w:r w:rsidRPr="00CD5673">
        <w:tab/>
        <w:t>(1)</w:t>
      </w:r>
      <w:r w:rsidRPr="00CD5673">
        <w:tab/>
        <w:t>Until a restructuring plan terminates, this regulation applies to a person bound by the plan.</w:t>
      </w:r>
    </w:p>
    <w:p w14:paraId="4C4DF539" w14:textId="77777777" w:rsidR="00D46430" w:rsidRPr="00CD5673" w:rsidRDefault="00D46430" w:rsidP="00D46430">
      <w:pPr>
        <w:pStyle w:val="subsection"/>
        <w:outlineLvl w:val="3"/>
      </w:pPr>
      <w:r w:rsidRPr="00CD5673">
        <w:tab/>
        <w:t>(2)</w:t>
      </w:r>
      <w:r w:rsidRPr="00CD5673">
        <w:tab/>
        <w:t>A person bound by the plan cannot:</w:t>
      </w:r>
    </w:p>
    <w:p w14:paraId="65C55D27" w14:textId="77777777" w:rsidR="00D46430" w:rsidRPr="00CD5673" w:rsidRDefault="00D46430" w:rsidP="00D46430">
      <w:pPr>
        <w:pStyle w:val="paragraph"/>
        <w:outlineLvl w:val="3"/>
      </w:pPr>
      <w:r w:rsidRPr="00CD5673">
        <w:tab/>
        <w:t>(a)</w:t>
      </w:r>
      <w:r w:rsidRPr="00CD5673">
        <w:tab/>
        <w:t>make an application for an order to wind up the company on the basis of an admissible debt or claim; or</w:t>
      </w:r>
    </w:p>
    <w:p w14:paraId="5F938C04" w14:textId="77777777" w:rsidR="00D46430" w:rsidRPr="00CD5673" w:rsidRDefault="00D46430" w:rsidP="00D46430">
      <w:pPr>
        <w:pStyle w:val="paragraph"/>
        <w:outlineLvl w:val="3"/>
      </w:pPr>
      <w:r w:rsidRPr="00CD5673">
        <w:tab/>
        <w:t>(b)</w:t>
      </w:r>
      <w:r w:rsidRPr="00CD5673">
        <w:tab/>
        <w:t>proceed with such an application made before the plan became binding on the person.</w:t>
      </w:r>
    </w:p>
    <w:p w14:paraId="3A6F500B" w14:textId="77777777" w:rsidR="00D46430" w:rsidRPr="00CD5673" w:rsidRDefault="00D46430" w:rsidP="00D46430">
      <w:pPr>
        <w:pStyle w:val="subsection"/>
        <w:outlineLvl w:val="3"/>
      </w:pPr>
      <w:r w:rsidRPr="00CD5673">
        <w:tab/>
        <w:t>(3)</w:t>
      </w:r>
      <w:r w:rsidRPr="00CD5673">
        <w:tab/>
        <w:t>A person bound by the plan cannot:</w:t>
      </w:r>
    </w:p>
    <w:p w14:paraId="5B5E80A0" w14:textId="77777777" w:rsidR="00D46430" w:rsidRPr="00CD5673" w:rsidRDefault="00D46430" w:rsidP="00D46430">
      <w:pPr>
        <w:pStyle w:val="paragraph"/>
        <w:outlineLvl w:val="3"/>
      </w:pPr>
      <w:r w:rsidRPr="00CD5673">
        <w:tab/>
        <w:t>(a)</w:t>
      </w:r>
      <w:r w:rsidRPr="00CD5673">
        <w:tab/>
        <w:t>begin or proceed with a proceeding against the company or in relation to any of its property to recover an admissible debt or claim; or</w:t>
      </w:r>
    </w:p>
    <w:p w14:paraId="537950AB" w14:textId="77777777" w:rsidR="00D46430" w:rsidRPr="00CD5673" w:rsidRDefault="00D46430" w:rsidP="00D46430">
      <w:pPr>
        <w:pStyle w:val="paragraph"/>
        <w:outlineLvl w:val="3"/>
      </w:pPr>
      <w:r w:rsidRPr="00CD5673">
        <w:tab/>
        <w:t>(b)</w:t>
      </w:r>
      <w:r w:rsidRPr="00CD5673">
        <w:tab/>
        <w:t>begin or proceed with an enforcement process in relation to property of the company to recover an admissible debt or claim;</w:t>
      </w:r>
    </w:p>
    <w:p w14:paraId="70188217" w14:textId="77777777" w:rsidR="00D46430" w:rsidRPr="00CD5673" w:rsidRDefault="00D46430" w:rsidP="00D46430">
      <w:pPr>
        <w:pStyle w:val="subsection2"/>
        <w:outlineLvl w:val="3"/>
      </w:pPr>
      <w:r w:rsidRPr="00CD5673">
        <w:t>except:</w:t>
      </w:r>
    </w:p>
    <w:p w14:paraId="7743A19D" w14:textId="77777777" w:rsidR="00D46430" w:rsidRPr="00CD5673" w:rsidRDefault="00D46430" w:rsidP="00D46430">
      <w:pPr>
        <w:pStyle w:val="paragraph"/>
        <w:outlineLvl w:val="3"/>
      </w:pPr>
      <w:r w:rsidRPr="00CD5673">
        <w:tab/>
        <w:t>(c)</w:t>
      </w:r>
      <w:r w:rsidRPr="00CD5673">
        <w:tab/>
        <w:t>with the leave of the Court; and</w:t>
      </w:r>
    </w:p>
    <w:p w14:paraId="789C0E93" w14:textId="77777777" w:rsidR="00D46430" w:rsidRPr="00CD5673" w:rsidRDefault="00D46430" w:rsidP="00D46430">
      <w:pPr>
        <w:pStyle w:val="paragraph"/>
        <w:outlineLvl w:val="3"/>
      </w:pPr>
      <w:r w:rsidRPr="00CD5673">
        <w:tab/>
        <w:t>(d)</w:t>
      </w:r>
      <w:r w:rsidRPr="00CD5673">
        <w:tab/>
        <w:t>in accordance with such terms (if any) as the Court imposes.</w:t>
      </w:r>
    </w:p>
    <w:p w14:paraId="15E81810" w14:textId="77777777" w:rsidR="00D46430" w:rsidRPr="00CD5673" w:rsidRDefault="00D46430" w:rsidP="00D46430">
      <w:pPr>
        <w:pStyle w:val="ActHead5"/>
      </w:pPr>
      <w:bookmarkStart w:id="168" w:name="_Toc158711778"/>
      <w:r w:rsidRPr="00C614F1">
        <w:rPr>
          <w:rStyle w:val="CharSectno"/>
        </w:rPr>
        <w:t>5.3B.31</w:t>
      </w:r>
      <w:r w:rsidRPr="00CD5673">
        <w:t xml:space="preserve">  When restructuring plan terminates</w:t>
      </w:r>
      <w:bookmarkEnd w:id="168"/>
    </w:p>
    <w:p w14:paraId="03EFDEA1" w14:textId="77777777" w:rsidR="00D46430" w:rsidRPr="00CD5673" w:rsidRDefault="00D46430" w:rsidP="00D46430">
      <w:pPr>
        <w:pStyle w:val="subsection"/>
        <w:outlineLvl w:val="3"/>
      </w:pPr>
      <w:r w:rsidRPr="00CD5673">
        <w:tab/>
        <w:t>(1)</w:t>
      </w:r>
      <w:r w:rsidRPr="00CD5673">
        <w:tab/>
        <w:t>A company’s restructuring plan terminates:</w:t>
      </w:r>
    </w:p>
    <w:p w14:paraId="243C7E89" w14:textId="77777777" w:rsidR="00D46430" w:rsidRPr="00CD5673" w:rsidRDefault="00D46430" w:rsidP="00D46430">
      <w:pPr>
        <w:pStyle w:val="paragraph"/>
        <w:outlineLvl w:val="3"/>
      </w:pPr>
      <w:r w:rsidRPr="00CD5673">
        <w:tab/>
        <w:t>(a)</w:t>
      </w:r>
      <w:r w:rsidRPr="00CD5673">
        <w:tab/>
        <w:t>on the day on which all of the following conditions are satisfied:</w:t>
      </w:r>
    </w:p>
    <w:p w14:paraId="3FCF2284" w14:textId="77777777" w:rsidR="00D46430" w:rsidRPr="00CD5673" w:rsidRDefault="00D46430" w:rsidP="00D46430">
      <w:pPr>
        <w:pStyle w:val="paragraphsub"/>
        <w:outlineLvl w:val="3"/>
      </w:pPr>
      <w:r w:rsidRPr="00CD5673">
        <w:tab/>
        <w:t>(i)</w:t>
      </w:r>
      <w:r w:rsidRPr="00CD5673">
        <w:tab/>
        <w:t>the company’s obligations under the plan have been fulfilled;</w:t>
      </w:r>
    </w:p>
    <w:p w14:paraId="086BE624" w14:textId="77777777" w:rsidR="00D46430" w:rsidRPr="00CD5673" w:rsidRDefault="00D46430" w:rsidP="00D46430">
      <w:pPr>
        <w:pStyle w:val="paragraphsub"/>
        <w:outlineLvl w:val="3"/>
      </w:pPr>
      <w:r w:rsidRPr="00CD5673">
        <w:tab/>
        <w:t>(ii)</w:t>
      </w:r>
      <w:r w:rsidRPr="00CD5673">
        <w:tab/>
        <w:t>the obligations of any other party to the plan have been fulfilled;</w:t>
      </w:r>
    </w:p>
    <w:p w14:paraId="2E68B1CB" w14:textId="77777777" w:rsidR="00D46430" w:rsidRPr="00CD5673" w:rsidRDefault="00D46430" w:rsidP="00D46430">
      <w:pPr>
        <w:pStyle w:val="paragraphsub"/>
        <w:outlineLvl w:val="3"/>
      </w:pPr>
      <w:r w:rsidRPr="00CD5673">
        <w:tab/>
        <w:t>(iii)</w:t>
      </w:r>
      <w:r w:rsidRPr="00CD5673">
        <w:tab/>
        <w:t>all admissible debts or claims have been dealt with in accordance with the plan; or</w:t>
      </w:r>
    </w:p>
    <w:p w14:paraId="017993DD" w14:textId="77777777" w:rsidR="00D46430" w:rsidRPr="00CD5673" w:rsidRDefault="00D46430" w:rsidP="00D46430">
      <w:pPr>
        <w:pStyle w:val="paragraph"/>
        <w:outlineLvl w:val="3"/>
      </w:pPr>
      <w:r w:rsidRPr="00CD5673">
        <w:tab/>
        <w:t>(b)</w:t>
      </w:r>
      <w:r w:rsidRPr="00CD5673">
        <w:tab/>
        <w:t>if the Court makes an order under regulation 5.3B.63 terminating the plan—on the day the Court determines and specifies in the order; or</w:t>
      </w:r>
    </w:p>
    <w:p w14:paraId="302A33F7" w14:textId="77777777" w:rsidR="00D46430" w:rsidRPr="00CD5673" w:rsidRDefault="00D46430" w:rsidP="00D46430">
      <w:pPr>
        <w:pStyle w:val="paragraph"/>
      </w:pPr>
      <w:r w:rsidRPr="00CD5673">
        <w:tab/>
        <w:t>(c)</w:t>
      </w:r>
      <w:r w:rsidRPr="00CD5673">
        <w:tab/>
        <w:t>if both of the following conditions are satisfied:</w:t>
      </w:r>
    </w:p>
    <w:p w14:paraId="5E186ACA" w14:textId="77777777" w:rsidR="00D46430" w:rsidRPr="00CD5673" w:rsidRDefault="00D46430" w:rsidP="00D46430">
      <w:pPr>
        <w:pStyle w:val="paragraphsub"/>
      </w:pPr>
      <w:r w:rsidRPr="00CD5673">
        <w:tab/>
        <w:t>(i)</w:t>
      </w:r>
      <w:r w:rsidRPr="00CD5673">
        <w:tab/>
        <w:t>the plan is expressed to be subject to the occurrence of a specified event within a specified period of no longer than 10 business days after the day on which the plan is made;</w:t>
      </w:r>
    </w:p>
    <w:p w14:paraId="69C5A77A" w14:textId="77777777" w:rsidR="00D46430" w:rsidRPr="00CD5673" w:rsidRDefault="00D46430" w:rsidP="00D46430">
      <w:pPr>
        <w:pStyle w:val="paragraphsub"/>
      </w:pPr>
      <w:r w:rsidRPr="00CD5673">
        <w:tab/>
        <w:t>(ii)</w:t>
      </w:r>
      <w:r w:rsidRPr="00CD5673">
        <w:tab/>
        <w:t>the event does not occur within that period;</w:t>
      </w:r>
    </w:p>
    <w:p w14:paraId="5EB6DE9E" w14:textId="77777777" w:rsidR="00D46430" w:rsidRPr="00CD5673" w:rsidRDefault="00D46430" w:rsidP="00D46430">
      <w:pPr>
        <w:pStyle w:val="paragraph"/>
      </w:pPr>
      <w:r w:rsidRPr="00CD5673">
        <w:tab/>
      </w:r>
      <w:r w:rsidRPr="00CD5673">
        <w:tab/>
        <w:t>on the next business day after the end of that period; or</w:t>
      </w:r>
    </w:p>
    <w:p w14:paraId="2887316F" w14:textId="77777777" w:rsidR="00D46430" w:rsidRPr="00CD5673" w:rsidRDefault="00D46430" w:rsidP="00D46430">
      <w:pPr>
        <w:pStyle w:val="paragraph"/>
        <w:outlineLvl w:val="3"/>
      </w:pPr>
      <w:r w:rsidRPr="00CD5673">
        <w:tab/>
        <w:t>(d)</w:t>
      </w:r>
      <w:r w:rsidRPr="00CD5673">
        <w:tab/>
        <w:t>if both of the following conditions are satisfied:</w:t>
      </w:r>
    </w:p>
    <w:p w14:paraId="65804796" w14:textId="77777777" w:rsidR="00D46430" w:rsidRPr="00CD5673" w:rsidRDefault="00D46430" w:rsidP="00D46430">
      <w:pPr>
        <w:pStyle w:val="paragraphsub"/>
        <w:outlineLvl w:val="3"/>
      </w:pPr>
      <w:r w:rsidRPr="00CD5673">
        <w:tab/>
        <w:t>(i)</w:t>
      </w:r>
      <w:r w:rsidRPr="00CD5673">
        <w:tab/>
        <w:t>there has been a contravention of the plan by a person bound by the plan;</w:t>
      </w:r>
    </w:p>
    <w:p w14:paraId="054744A6" w14:textId="77777777" w:rsidR="00D46430" w:rsidRPr="00CD5673" w:rsidRDefault="00D46430" w:rsidP="00D46430">
      <w:pPr>
        <w:pStyle w:val="paragraphsub"/>
        <w:outlineLvl w:val="3"/>
      </w:pPr>
      <w:r w:rsidRPr="00CD5673">
        <w:tab/>
        <w:t>(ii)</w:t>
      </w:r>
      <w:r w:rsidRPr="00CD5673">
        <w:tab/>
        <w:t>the contravention has not been rectified within the period of 30 business days beginning on the day the contravention occurred;</w:t>
      </w:r>
    </w:p>
    <w:p w14:paraId="1A215126" w14:textId="77777777" w:rsidR="00D46430" w:rsidRPr="00CD5673" w:rsidRDefault="00D46430" w:rsidP="00D46430">
      <w:pPr>
        <w:pStyle w:val="paragraph"/>
      </w:pPr>
      <w:r w:rsidRPr="00CD5673">
        <w:tab/>
      </w:r>
      <w:r w:rsidRPr="00CD5673">
        <w:tab/>
        <w:t>on the next business day after the end of that period; or</w:t>
      </w:r>
    </w:p>
    <w:p w14:paraId="0B32E52A" w14:textId="77777777" w:rsidR="00D46430" w:rsidRPr="00CD5673" w:rsidRDefault="00D46430" w:rsidP="00D46430">
      <w:pPr>
        <w:pStyle w:val="paragraph"/>
      </w:pPr>
      <w:r w:rsidRPr="00CD5673">
        <w:tab/>
        <w:t>(e)</w:t>
      </w:r>
      <w:r w:rsidRPr="00CD5673">
        <w:tab/>
        <w:t>on the day on which an administrator of the company is appointed under section 436A, 436B or 436C of the Act; or</w:t>
      </w:r>
    </w:p>
    <w:p w14:paraId="3A8E453D" w14:textId="77777777" w:rsidR="00D46430" w:rsidRPr="00CD5673" w:rsidRDefault="00D46430" w:rsidP="00D46430">
      <w:pPr>
        <w:pStyle w:val="paragraph"/>
        <w:outlineLvl w:val="3"/>
      </w:pPr>
      <w:r w:rsidRPr="00CD5673">
        <w:tab/>
        <w:t>(f)</w:t>
      </w:r>
      <w:r w:rsidRPr="00CD5673">
        <w:tab/>
        <w:t>on the day on which a liquidator or provisional liquidator of the company is appointed;</w:t>
      </w:r>
    </w:p>
    <w:p w14:paraId="7F030BD9" w14:textId="77777777" w:rsidR="00D46430" w:rsidRPr="00CD5673" w:rsidRDefault="00D46430" w:rsidP="00D46430">
      <w:pPr>
        <w:pStyle w:val="subsection2"/>
      </w:pPr>
      <w:r w:rsidRPr="00CD5673">
        <w:t>whichever happens first.</w:t>
      </w:r>
    </w:p>
    <w:p w14:paraId="32EA8A1B" w14:textId="77777777" w:rsidR="00D46430" w:rsidRPr="00CD5673" w:rsidRDefault="00D46430" w:rsidP="00D46430">
      <w:pPr>
        <w:pStyle w:val="subsection"/>
        <w:outlineLvl w:val="3"/>
      </w:pPr>
      <w:r w:rsidRPr="00CD5673">
        <w:tab/>
        <w:t>(2)</w:t>
      </w:r>
      <w:r w:rsidRPr="00CD5673">
        <w:tab/>
        <w:t>If a company’s restructuring plan terminates because of the happening of the event mentioned in paragraph (1)(a):</w:t>
      </w:r>
    </w:p>
    <w:p w14:paraId="6AC0F477" w14:textId="77777777" w:rsidR="00D46430" w:rsidRPr="00CD5673" w:rsidRDefault="00D46430" w:rsidP="00D46430">
      <w:pPr>
        <w:pStyle w:val="paragraph"/>
        <w:outlineLvl w:val="3"/>
      </w:pPr>
      <w:r w:rsidRPr="00CD5673">
        <w:tab/>
        <w:t>(a)</w:t>
      </w:r>
      <w:r w:rsidRPr="00CD5673">
        <w:tab/>
        <w:t>the company is entitled to any property that was subject to the plan but that was not required by the plan to be distributed to creditors; and</w:t>
      </w:r>
    </w:p>
    <w:p w14:paraId="076F5E16" w14:textId="77777777" w:rsidR="00D46430" w:rsidRPr="00CD5673" w:rsidRDefault="00D46430" w:rsidP="00D46430">
      <w:pPr>
        <w:pStyle w:val="paragraph"/>
        <w:outlineLvl w:val="3"/>
      </w:pPr>
      <w:r w:rsidRPr="00CD5673">
        <w:tab/>
        <w:t>(b)</w:t>
      </w:r>
      <w:r w:rsidRPr="00CD5673">
        <w:tab/>
        <w:t>the company is released from all admissible debts or claims.</w:t>
      </w:r>
    </w:p>
    <w:p w14:paraId="56793833" w14:textId="77777777" w:rsidR="00D46430" w:rsidRPr="00CD5673" w:rsidRDefault="00D46430" w:rsidP="00D46430">
      <w:pPr>
        <w:pStyle w:val="subsection"/>
      </w:pPr>
      <w:r w:rsidRPr="00CD5673">
        <w:tab/>
        <w:t>(3)</w:t>
      </w:r>
      <w:r w:rsidRPr="00CD5673">
        <w:tab/>
        <w:t xml:space="preserve">If a company’s restructuring plan terminates because of the happening of an event mentioned in paragraph (1)(b), (c), (d), (e) or (f), any admissible debt or claim that has not been dealt with in accordance </w:t>
      </w:r>
      <w:r w:rsidRPr="00CD5673">
        <w:lastRenderedPageBreak/>
        <w:t>with the plan is taken to be due and payable on the business day after the day on which the termination occurs.</w:t>
      </w:r>
    </w:p>
    <w:p w14:paraId="036DDDF0" w14:textId="77777777" w:rsidR="00D46430" w:rsidRPr="00CD5673" w:rsidRDefault="00D46430" w:rsidP="00D46430">
      <w:pPr>
        <w:pStyle w:val="ActHead5"/>
      </w:pPr>
      <w:bookmarkStart w:id="169" w:name="_Toc158711779"/>
      <w:r w:rsidRPr="00C614F1">
        <w:rPr>
          <w:rStyle w:val="CharSectno"/>
        </w:rPr>
        <w:t>5.3B.32</w:t>
      </w:r>
      <w:r w:rsidRPr="00CD5673">
        <w:t xml:space="preserve">  Effect of termination or avoidance</w:t>
      </w:r>
      <w:bookmarkEnd w:id="169"/>
    </w:p>
    <w:p w14:paraId="28E7F8C3" w14:textId="77777777" w:rsidR="00D46430" w:rsidRPr="00CD5673" w:rsidRDefault="00D46430" w:rsidP="00D46430">
      <w:pPr>
        <w:pStyle w:val="subsection"/>
        <w:outlineLvl w:val="3"/>
      </w:pPr>
      <w:r w:rsidRPr="00CD5673">
        <w:tab/>
      </w:r>
      <w:r w:rsidRPr="00CD5673">
        <w:tab/>
        <w:t>The termination or avoidance, in whole or in part, of a restructuring plan does not affect the validity of anything that was done in good faith under the plan by a person before the person had notice of the termination or avoidance.</w:t>
      </w:r>
    </w:p>
    <w:p w14:paraId="663F09A2" w14:textId="77777777" w:rsidR="00D46430" w:rsidRPr="00CD5673" w:rsidRDefault="00D46430" w:rsidP="00D46430">
      <w:pPr>
        <w:pStyle w:val="ActHead4"/>
      </w:pPr>
      <w:bookmarkStart w:id="170" w:name="_Toc158711780"/>
      <w:r w:rsidRPr="00C614F1">
        <w:rPr>
          <w:rStyle w:val="CharSubdNo"/>
        </w:rPr>
        <w:t>Subdivision D</w:t>
      </w:r>
      <w:r w:rsidRPr="00CD5673">
        <w:t>—</w:t>
      </w:r>
      <w:r w:rsidRPr="00C614F1">
        <w:rPr>
          <w:rStyle w:val="CharSubdText"/>
        </w:rPr>
        <w:t>Restructuring practitioner for a restructuring plan</w:t>
      </w:r>
      <w:bookmarkEnd w:id="170"/>
    </w:p>
    <w:p w14:paraId="1B617FEB" w14:textId="77777777" w:rsidR="00D46430" w:rsidRPr="00CD5673" w:rsidRDefault="00D46430" w:rsidP="00D46430">
      <w:pPr>
        <w:pStyle w:val="ActHead5"/>
      </w:pPr>
      <w:bookmarkStart w:id="171" w:name="_Toc158711781"/>
      <w:r w:rsidRPr="00C614F1">
        <w:rPr>
          <w:rStyle w:val="CharSectno"/>
        </w:rPr>
        <w:t>5.3B.33</w:t>
      </w:r>
      <w:r w:rsidRPr="00CD5673">
        <w:t xml:space="preserve">  Appointment of restructuring practitioner for restructuring plan</w:t>
      </w:r>
      <w:bookmarkEnd w:id="171"/>
    </w:p>
    <w:p w14:paraId="06751BB6" w14:textId="77777777" w:rsidR="00D46430" w:rsidRPr="00CD5673" w:rsidRDefault="00D46430" w:rsidP="00D46430">
      <w:pPr>
        <w:pStyle w:val="subsection"/>
      </w:pPr>
      <w:r w:rsidRPr="00CD5673">
        <w:tab/>
      </w:r>
      <w:r w:rsidRPr="00CD5673">
        <w:tab/>
        <w:t>If a company under restructuring makes a restructuring plan, the company’s restructuring practitioner is to be the restructuring practitioner for the restructuring plan unless the company, by resolution of the board, appoints someone else to be the restructuring practitioner for the plan.</w:t>
      </w:r>
    </w:p>
    <w:p w14:paraId="55B4D794" w14:textId="77777777" w:rsidR="00D46430" w:rsidRPr="00CD5673" w:rsidRDefault="00D46430" w:rsidP="00D46430">
      <w:pPr>
        <w:pStyle w:val="ActHead5"/>
      </w:pPr>
      <w:bookmarkStart w:id="172" w:name="_Toc158711782"/>
      <w:r w:rsidRPr="00C614F1">
        <w:rPr>
          <w:rStyle w:val="CharSectno"/>
        </w:rPr>
        <w:t>5.3B.34</w:t>
      </w:r>
      <w:r w:rsidRPr="00CD5673">
        <w:t xml:space="preserve">  Vacancy in office of restructuring practitioner for restructuring plan</w:t>
      </w:r>
      <w:bookmarkEnd w:id="172"/>
    </w:p>
    <w:p w14:paraId="15BF2707" w14:textId="77777777" w:rsidR="00D46430" w:rsidRPr="00CD5673" w:rsidRDefault="00D46430" w:rsidP="00D46430">
      <w:pPr>
        <w:pStyle w:val="subsection"/>
        <w:outlineLvl w:val="3"/>
      </w:pPr>
      <w:r w:rsidRPr="00CD5673">
        <w:tab/>
        <w:t>(1)</w:t>
      </w:r>
      <w:r w:rsidRPr="00CD5673">
        <w:tab/>
        <w:t>Where the restructuring practitioner for a company’s restructuring plan:</w:t>
      </w:r>
    </w:p>
    <w:p w14:paraId="6148FE59" w14:textId="77777777" w:rsidR="00D46430" w:rsidRPr="00CD5673" w:rsidRDefault="00D46430" w:rsidP="00D46430">
      <w:pPr>
        <w:pStyle w:val="paragraph"/>
        <w:outlineLvl w:val="3"/>
      </w:pPr>
      <w:r w:rsidRPr="00CD5673">
        <w:tab/>
        <w:t>(a)</w:t>
      </w:r>
      <w:r w:rsidRPr="00CD5673">
        <w:tab/>
        <w:t>dies; or</w:t>
      </w:r>
    </w:p>
    <w:p w14:paraId="48528F1F" w14:textId="77777777" w:rsidR="00D46430" w:rsidRPr="00CD5673" w:rsidRDefault="00D46430" w:rsidP="00D46430">
      <w:pPr>
        <w:pStyle w:val="paragraph"/>
        <w:outlineLvl w:val="3"/>
      </w:pPr>
      <w:r w:rsidRPr="00CD5673">
        <w:tab/>
        <w:t>(b)</w:t>
      </w:r>
      <w:r w:rsidRPr="00CD5673">
        <w:tab/>
        <w:t>becomes prohibited from acting as restructuring practitioner for the plan; or</w:t>
      </w:r>
    </w:p>
    <w:p w14:paraId="22497C98" w14:textId="77777777" w:rsidR="00D46430" w:rsidRPr="00CD5673" w:rsidRDefault="00D46430" w:rsidP="00D46430">
      <w:pPr>
        <w:pStyle w:val="paragraph"/>
        <w:keepNext/>
        <w:outlineLvl w:val="3"/>
      </w:pPr>
      <w:r w:rsidRPr="00CD5673">
        <w:tab/>
        <w:t>(c)</w:t>
      </w:r>
      <w:r w:rsidRPr="00CD5673">
        <w:tab/>
        <w:t>resigns by notice in writing given to the company;</w:t>
      </w:r>
    </w:p>
    <w:p w14:paraId="783D8F02" w14:textId="77777777" w:rsidR="00D46430" w:rsidRPr="00CD5673" w:rsidRDefault="00D46430" w:rsidP="00D46430">
      <w:pPr>
        <w:pStyle w:val="subsection2"/>
        <w:outlineLvl w:val="3"/>
      </w:pPr>
      <w:r w:rsidRPr="00CD5673">
        <w:t>the appointer may appoint someone else as restructuring practitioner for the restructuring plan.</w:t>
      </w:r>
    </w:p>
    <w:p w14:paraId="6CA43DFA" w14:textId="77777777" w:rsidR="00D46430" w:rsidRPr="00CD5673" w:rsidRDefault="00D46430" w:rsidP="00D46430">
      <w:pPr>
        <w:pStyle w:val="subsection"/>
      </w:pPr>
      <w:r w:rsidRPr="00CD5673">
        <w:tab/>
        <w:t>(2)</w:t>
      </w:r>
      <w:r w:rsidRPr="00CD5673">
        <w:tab/>
        <w:t>In subregulation (1):</w:t>
      </w:r>
    </w:p>
    <w:p w14:paraId="73EAA291" w14:textId="77777777" w:rsidR="00D46430" w:rsidRPr="00CD5673" w:rsidRDefault="00D46430" w:rsidP="00D46430">
      <w:pPr>
        <w:pStyle w:val="Definition"/>
      </w:pPr>
      <w:r w:rsidRPr="00CD5673">
        <w:rPr>
          <w:b/>
          <w:i/>
        </w:rPr>
        <w:t>appointer</w:t>
      </w:r>
      <w:r w:rsidRPr="00CD5673">
        <w:t>, in relation to the restructuring practitioner for a company’s restructuring plan, means:</w:t>
      </w:r>
    </w:p>
    <w:p w14:paraId="0B6B9388" w14:textId="77777777" w:rsidR="00D46430" w:rsidRPr="00CD5673" w:rsidRDefault="00D46430" w:rsidP="00D46430">
      <w:pPr>
        <w:pStyle w:val="paragraph"/>
      </w:pPr>
      <w:r w:rsidRPr="00CD5673">
        <w:tab/>
        <w:t>(a)</w:t>
      </w:r>
      <w:r w:rsidRPr="00CD5673">
        <w:tab/>
        <w:t>if the restructuring practitioner was appointed by the Court under Division 90 of Schedule 2 to the Act (review of the external administration of a company) or subregulation (4) of this regulation—the Court; or</w:t>
      </w:r>
    </w:p>
    <w:p w14:paraId="39078FD0" w14:textId="77777777" w:rsidR="00D46430" w:rsidRPr="00CD5673" w:rsidRDefault="00D46430" w:rsidP="00D46430">
      <w:pPr>
        <w:pStyle w:val="paragraph"/>
      </w:pPr>
      <w:r w:rsidRPr="00CD5673">
        <w:tab/>
        <w:t>(b)</w:t>
      </w:r>
      <w:r w:rsidRPr="00CD5673">
        <w:tab/>
        <w:t>the company.</w:t>
      </w:r>
    </w:p>
    <w:p w14:paraId="7224FC5F" w14:textId="77777777" w:rsidR="00D46430" w:rsidRPr="00CD5673" w:rsidRDefault="00D46430" w:rsidP="00D46430">
      <w:pPr>
        <w:pStyle w:val="subsection"/>
        <w:outlineLvl w:val="3"/>
      </w:pPr>
      <w:r w:rsidRPr="00CD5673">
        <w:tab/>
        <w:t>(3)</w:t>
      </w:r>
      <w:r w:rsidRPr="00CD5673">
        <w:tab/>
        <w:t>An appointment under subregulation (1) by the company must be made by resolution of the board.</w:t>
      </w:r>
    </w:p>
    <w:p w14:paraId="0FF2B23D" w14:textId="77777777" w:rsidR="00D46430" w:rsidRPr="00CD5673" w:rsidRDefault="00D46430" w:rsidP="00D46430">
      <w:pPr>
        <w:pStyle w:val="subsection"/>
        <w:outlineLvl w:val="3"/>
      </w:pPr>
      <w:r w:rsidRPr="00CD5673">
        <w:tab/>
        <w:t>(4)</w:t>
      </w:r>
      <w:r w:rsidRPr="00CD5673">
        <w:tab/>
        <w:t>Where a company has made a restructuring plan, but for some reason no restructuring practitioner for the plan is acting, the Court may appoint a person as restructuring practitioner for the plan on the application of ASIC or of an officer, member or creditor of the company.</w:t>
      </w:r>
    </w:p>
    <w:p w14:paraId="6CAC8D06" w14:textId="77777777" w:rsidR="00D46430" w:rsidRPr="00CD5673" w:rsidRDefault="00D46430" w:rsidP="00D46430">
      <w:pPr>
        <w:pStyle w:val="ActHead5"/>
      </w:pPr>
      <w:bookmarkStart w:id="173" w:name="_Toc158711783"/>
      <w:r w:rsidRPr="00C614F1">
        <w:rPr>
          <w:rStyle w:val="CharSectno"/>
        </w:rPr>
        <w:t>5.3B.35</w:t>
      </w:r>
      <w:r w:rsidRPr="00CD5673">
        <w:t xml:space="preserve">  Declaration by new and replacement restructuring practitioners—relevant relationships</w:t>
      </w:r>
      <w:bookmarkEnd w:id="173"/>
    </w:p>
    <w:p w14:paraId="32AB083B" w14:textId="77777777" w:rsidR="00D46430" w:rsidRPr="00CD5673" w:rsidRDefault="00D46430" w:rsidP="00D46430">
      <w:pPr>
        <w:pStyle w:val="subsection"/>
      </w:pPr>
      <w:r w:rsidRPr="00CD5673">
        <w:tab/>
        <w:t>(1)</w:t>
      </w:r>
      <w:r w:rsidRPr="00CD5673">
        <w:tab/>
        <w:t>This regulation applies in relation to a person if:</w:t>
      </w:r>
    </w:p>
    <w:p w14:paraId="66678C62" w14:textId="77777777" w:rsidR="00D46430" w:rsidRPr="00CD5673" w:rsidRDefault="00D46430" w:rsidP="00D46430">
      <w:pPr>
        <w:pStyle w:val="paragraph"/>
      </w:pPr>
      <w:r w:rsidRPr="00CD5673">
        <w:tab/>
        <w:t>(a)</w:t>
      </w:r>
      <w:r w:rsidRPr="00CD5673">
        <w:tab/>
        <w:t>the person is the restructuring practitioner for a company’s restructuring plan; and</w:t>
      </w:r>
    </w:p>
    <w:p w14:paraId="2D817A59" w14:textId="77777777" w:rsidR="00D46430" w:rsidRPr="00CD5673" w:rsidRDefault="00D46430" w:rsidP="00D46430">
      <w:pPr>
        <w:pStyle w:val="paragraph"/>
      </w:pPr>
      <w:r w:rsidRPr="00CD5673">
        <w:tab/>
        <w:t>(b)</w:t>
      </w:r>
      <w:r w:rsidRPr="00CD5673">
        <w:tab/>
        <w:t>either:</w:t>
      </w:r>
    </w:p>
    <w:p w14:paraId="5B3F6DA4" w14:textId="77777777" w:rsidR="00D46430" w:rsidRPr="00CD5673" w:rsidRDefault="00D46430" w:rsidP="00D46430">
      <w:pPr>
        <w:pStyle w:val="paragraphsub"/>
      </w:pPr>
      <w:r w:rsidRPr="00CD5673">
        <w:tab/>
        <w:t>(i)</w:t>
      </w:r>
      <w:r w:rsidRPr="00CD5673">
        <w:tab/>
        <w:t>the person was not the company’s restructuring practitioner immediately before the person was appointed as the restructuring practitioner for the plan; or</w:t>
      </w:r>
    </w:p>
    <w:p w14:paraId="2B5E0718" w14:textId="77777777" w:rsidR="00D46430" w:rsidRPr="00CD5673" w:rsidRDefault="00D46430" w:rsidP="00D46430">
      <w:pPr>
        <w:pStyle w:val="paragraphsub"/>
      </w:pPr>
      <w:r w:rsidRPr="00CD5673">
        <w:tab/>
        <w:t>(ii)</w:t>
      </w:r>
      <w:r w:rsidRPr="00CD5673">
        <w:tab/>
        <w:t>the person was appointed as the restructuring practitioner for the plan under subregulation 5.3B.34(1) otherwise than by the Court.</w:t>
      </w:r>
    </w:p>
    <w:p w14:paraId="5142E761" w14:textId="77777777" w:rsidR="00D46430" w:rsidRPr="00CD5673" w:rsidRDefault="00D46430" w:rsidP="00D46430">
      <w:pPr>
        <w:pStyle w:val="subsection"/>
        <w:outlineLvl w:val="3"/>
      </w:pPr>
      <w:r w:rsidRPr="00CD5673">
        <w:tab/>
        <w:t>(2)</w:t>
      </w:r>
      <w:r w:rsidRPr="00CD5673">
        <w:tab/>
        <w:t>As soon as practicable after being appointed, the person must make a declaration of relevant relationships.</w:t>
      </w:r>
    </w:p>
    <w:p w14:paraId="0EB34EE8"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0FE6C585" w14:textId="77777777" w:rsidR="00D46430" w:rsidRPr="00CD5673" w:rsidRDefault="00D46430" w:rsidP="00D46430">
      <w:pPr>
        <w:pStyle w:val="subsection"/>
        <w:outlineLvl w:val="3"/>
      </w:pPr>
      <w:r w:rsidRPr="00CD5673">
        <w:tab/>
        <w:t>(3)</w:t>
      </w:r>
      <w:r w:rsidRPr="00CD5673">
        <w:tab/>
        <w:t>The person must give a copy of the declaration under subregulation (2) to as many of the company’s creditors as reasonably practicable.</w:t>
      </w:r>
    </w:p>
    <w:p w14:paraId="23342B60"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2370D439" w14:textId="77777777" w:rsidR="00D46430" w:rsidRPr="00CD5673" w:rsidRDefault="00D46430" w:rsidP="00D46430">
      <w:pPr>
        <w:pStyle w:val="subsection"/>
        <w:outlineLvl w:val="3"/>
      </w:pPr>
      <w:r w:rsidRPr="00CD5673">
        <w:tab/>
        <w:t>(4)</w:t>
      </w:r>
      <w:r w:rsidRPr="00CD5673">
        <w:tab/>
        <w:t>As soon as practicable after making a declaration under subregulation (2), the person must lodge a copy of the declaration with ASIC.</w:t>
      </w:r>
    </w:p>
    <w:p w14:paraId="3A8A5A16"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68AECD7D" w14:textId="77777777" w:rsidR="00D46430" w:rsidRPr="00CD5673" w:rsidRDefault="00D46430" w:rsidP="00D46430">
      <w:pPr>
        <w:pStyle w:val="subsection"/>
        <w:outlineLvl w:val="3"/>
      </w:pPr>
      <w:r w:rsidRPr="00CD5673">
        <w:tab/>
        <w:t>(5)</w:t>
      </w:r>
      <w:r w:rsidRPr="00CD5673">
        <w:tab/>
        <w:t>In a prosecution for an offence constituted by a failure to include a particular matter in a declaration under this regulation, it is a defence if the defendant proves that:</w:t>
      </w:r>
    </w:p>
    <w:p w14:paraId="150E29E7" w14:textId="77777777" w:rsidR="00D46430" w:rsidRPr="00CD5673" w:rsidRDefault="00D46430" w:rsidP="00D46430">
      <w:pPr>
        <w:pStyle w:val="paragraph"/>
        <w:outlineLvl w:val="3"/>
      </w:pPr>
      <w:r w:rsidRPr="00CD5673">
        <w:lastRenderedPageBreak/>
        <w:tab/>
        <w:t>(a)</w:t>
      </w:r>
      <w:r w:rsidRPr="00CD5673">
        <w:tab/>
        <w:t>the defendant made reasonable enquiries; and</w:t>
      </w:r>
    </w:p>
    <w:p w14:paraId="5B6A2F33" w14:textId="77777777" w:rsidR="00D46430" w:rsidRPr="00CD5673" w:rsidRDefault="00D46430" w:rsidP="00D46430">
      <w:pPr>
        <w:pStyle w:val="paragraph"/>
        <w:outlineLvl w:val="3"/>
      </w:pPr>
      <w:r w:rsidRPr="00CD5673">
        <w:tab/>
        <w:t>(b)</w:t>
      </w:r>
      <w:r w:rsidRPr="00CD5673">
        <w:tab/>
        <w:t>after making these enquiries, the defendant had no reasonable grounds for believing that the matter should have been included in the declaration.</w:t>
      </w:r>
    </w:p>
    <w:p w14:paraId="13A19EC8" w14:textId="77777777" w:rsidR="00D46430" w:rsidRPr="00CD5673" w:rsidRDefault="00D46430" w:rsidP="00D46430">
      <w:pPr>
        <w:pStyle w:val="ActHead5"/>
      </w:pPr>
      <w:bookmarkStart w:id="174" w:name="_Toc158711784"/>
      <w:r w:rsidRPr="00C614F1">
        <w:rPr>
          <w:rStyle w:val="CharSectno"/>
        </w:rPr>
        <w:t>5.3B.36</w:t>
      </w:r>
      <w:r w:rsidRPr="00CD5673">
        <w:t xml:space="preserve">  Replacement declarations—relevant relationships</w:t>
      </w:r>
      <w:bookmarkEnd w:id="174"/>
    </w:p>
    <w:p w14:paraId="3A551DAC" w14:textId="77777777" w:rsidR="00D46430" w:rsidRPr="00CD5673" w:rsidRDefault="00D46430" w:rsidP="00D46430">
      <w:pPr>
        <w:pStyle w:val="subsection"/>
        <w:outlineLvl w:val="3"/>
      </w:pPr>
      <w:r w:rsidRPr="00CD5673">
        <w:tab/>
        <w:t>(1)</w:t>
      </w:r>
      <w:r w:rsidRPr="00CD5673">
        <w:tab/>
        <w:t>If:</w:t>
      </w:r>
    </w:p>
    <w:p w14:paraId="6E60201B" w14:textId="77777777" w:rsidR="00D46430" w:rsidRPr="00CD5673" w:rsidRDefault="00D46430" w:rsidP="00D46430">
      <w:pPr>
        <w:pStyle w:val="paragraph"/>
        <w:outlineLvl w:val="3"/>
      </w:pPr>
      <w:r w:rsidRPr="00CD5673">
        <w:tab/>
        <w:t>(a)</w:t>
      </w:r>
      <w:r w:rsidRPr="00CD5673">
        <w:tab/>
        <w:t>at a particular time, the restructuring practitioner for a company’s restructuring plan makes a declaration of relevant relationships under section 453D of the Act or regulation 5.3B.35; and</w:t>
      </w:r>
    </w:p>
    <w:p w14:paraId="78BC96BA" w14:textId="77777777" w:rsidR="00D46430" w:rsidRPr="00CD5673" w:rsidRDefault="00D46430" w:rsidP="00D46430">
      <w:pPr>
        <w:pStyle w:val="paragraph"/>
        <w:outlineLvl w:val="3"/>
      </w:pPr>
      <w:r w:rsidRPr="00CD5673">
        <w:tab/>
        <w:t>(b)</w:t>
      </w:r>
      <w:r w:rsidRPr="00CD5673">
        <w:tab/>
        <w:t>at a later time:</w:t>
      </w:r>
    </w:p>
    <w:p w14:paraId="75EF6590" w14:textId="77777777" w:rsidR="00D46430" w:rsidRPr="00CD5673" w:rsidRDefault="00D46430" w:rsidP="00D46430">
      <w:pPr>
        <w:pStyle w:val="paragraphsub"/>
        <w:outlineLvl w:val="3"/>
      </w:pPr>
      <w:r w:rsidRPr="00CD5673">
        <w:tab/>
        <w:t>(i)</w:t>
      </w:r>
      <w:r w:rsidRPr="00CD5673">
        <w:tab/>
        <w:t>the declaration has become out</w:t>
      </w:r>
      <w:r w:rsidR="00C614F1">
        <w:noBreakHyphen/>
      </w:r>
      <w:r w:rsidRPr="00CD5673">
        <w:t>of</w:t>
      </w:r>
      <w:r w:rsidR="00C614F1">
        <w:noBreakHyphen/>
      </w:r>
      <w:r w:rsidRPr="00CD5673">
        <w:t>date; or</w:t>
      </w:r>
    </w:p>
    <w:p w14:paraId="7C183939" w14:textId="77777777" w:rsidR="00D46430" w:rsidRPr="00CD5673" w:rsidRDefault="00D46430" w:rsidP="00D46430">
      <w:pPr>
        <w:pStyle w:val="paragraphsub"/>
        <w:outlineLvl w:val="3"/>
      </w:pPr>
      <w:r w:rsidRPr="00CD5673">
        <w:tab/>
        <w:t>(ii)</w:t>
      </w:r>
      <w:r w:rsidRPr="00CD5673">
        <w:tab/>
        <w:t>the restructuring practitioner becomes aware of an error in the declaration;</w:t>
      </w:r>
    </w:p>
    <w:p w14:paraId="48583FE9" w14:textId="77777777" w:rsidR="00D46430" w:rsidRPr="00CD5673" w:rsidRDefault="00D46430" w:rsidP="00D46430">
      <w:pPr>
        <w:pStyle w:val="subsection2"/>
        <w:outlineLvl w:val="3"/>
      </w:pPr>
      <w:r w:rsidRPr="00CD5673">
        <w:t>the restructuring practitioner must, as soon as practicable, make a replacement declaration of relevant relationships.</w:t>
      </w:r>
    </w:p>
    <w:p w14:paraId="7C989F63"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06279FB1" w14:textId="77777777" w:rsidR="00D46430" w:rsidRPr="00CD5673" w:rsidRDefault="00D46430" w:rsidP="00D46430">
      <w:pPr>
        <w:pStyle w:val="subsection"/>
        <w:outlineLvl w:val="3"/>
      </w:pPr>
      <w:r w:rsidRPr="00CD5673">
        <w:tab/>
        <w:t>(2)</w:t>
      </w:r>
      <w:r w:rsidRPr="00CD5673">
        <w:tab/>
        <w:t>The restructuring practitioner must give a copy of the replacement declaration under subregulation (1) to as many of the company’s creditors as reasonably practicable.</w:t>
      </w:r>
    </w:p>
    <w:p w14:paraId="3925ED31"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7F094ADC" w14:textId="77777777" w:rsidR="00D46430" w:rsidRPr="00CD5673" w:rsidRDefault="00D46430" w:rsidP="00D46430">
      <w:pPr>
        <w:pStyle w:val="subsection"/>
        <w:outlineLvl w:val="3"/>
      </w:pPr>
      <w:r w:rsidRPr="00CD5673">
        <w:tab/>
        <w:t>(3)</w:t>
      </w:r>
      <w:r w:rsidRPr="00CD5673">
        <w:tab/>
        <w:t>As soon as practicable after making a replacement declaration under subregulation (1), the person must lodge a copy of the replacement declaration with ASIC.</w:t>
      </w:r>
    </w:p>
    <w:p w14:paraId="2289E6DD"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1F6A7964" w14:textId="77777777" w:rsidR="00D46430" w:rsidRPr="00CD5673" w:rsidRDefault="00D46430" w:rsidP="00D46430">
      <w:pPr>
        <w:pStyle w:val="subsection"/>
        <w:outlineLvl w:val="3"/>
      </w:pPr>
      <w:r w:rsidRPr="00CD5673">
        <w:tab/>
        <w:t>(4)</w:t>
      </w:r>
      <w:r w:rsidRPr="00CD5673">
        <w:tab/>
        <w:t>In a prosecution for an offence constituted by a failure to include a particular matter in a declaration under this regulation, it is a defence if the defendant proves that:</w:t>
      </w:r>
    </w:p>
    <w:p w14:paraId="52BFA148" w14:textId="77777777" w:rsidR="00D46430" w:rsidRPr="00CD5673" w:rsidRDefault="00D46430" w:rsidP="00D46430">
      <w:pPr>
        <w:pStyle w:val="paragraph"/>
        <w:outlineLvl w:val="3"/>
      </w:pPr>
      <w:r w:rsidRPr="00CD5673">
        <w:tab/>
        <w:t>(a)</w:t>
      </w:r>
      <w:r w:rsidRPr="00CD5673">
        <w:tab/>
        <w:t>the defendant made reasonable enquiries; and</w:t>
      </w:r>
    </w:p>
    <w:p w14:paraId="1C9B2A97" w14:textId="77777777" w:rsidR="00D46430" w:rsidRPr="00CD5673" w:rsidRDefault="00D46430" w:rsidP="00D46430">
      <w:pPr>
        <w:pStyle w:val="paragraph"/>
        <w:outlineLvl w:val="3"/>
      </w:pPr>
      <w:r w:rsidRPr="00CD5673">
        <w:tab/>
        <w:t>(b)</w:t>
      </w:r>
      <w:r w:rsidRPr="00CD5673">
        <w:tab/>
        <w:t>after making these enquiries, the defendant had no reasonable grounds for believing that the matter should have been included in the declaration.</w:t>
      </w:r>
    </w:p>
    <w:p w14:paraId="07BD97C2" w14:textId="77777777" w:rsidR="00D46430" w:rsidRPr="00CD5673" w:rsidRDefault="00D46430" w:rsidP="00D46430">
      <w:pPr>
        <w:pStyle w:val="ActHead5"/>
        <w:rPr>
          <w:strike/>
        </w:rPr>
      </w:pPr>
      <w:bookmarkStart w:id="175" w:name="_Toc158711785"/>
      <w:r w:rsidRPr="00C614F1">
        <w:rPr>
          <w:rStyle w:val="CharSectno"/>
        </w:rPr>
        <w:t>5.3B.37</w:t>
      </w:r>
      <w:r w:rsidRPr="00CD5673">
        <w:t xml:space="preserve">   Functions of restructuring practitioner for restructuring plan</w:t>
      </w:r>
      <w:bookmarkEnd w:id="175"/>
    </w:p>
    <w:p w14:paraId="0F73AA19" w14:textId="77777777" w:rsidR="00D46430" w:rsidRPr="00CD5673" w:rsidRDefault="00D46430" w:rsidP="00D46430">
      <w:pPr>
        <w:pStyle w:val="subsection"/>
      </w:pPr>
      <w:r w:rsidRPr="00CD5673">
        <w:tab/>
      </w:r>
      <w:r w:rsidRPr="00CD5673">
        <w:tab/>
        <w:t>The functions of the restructuring practitioner for a company’s restructuring plan are:</w:t>
      </w:r>
    </w:p>
    <w:p w14:paraId="63513288" w14:textId="77777777" w:rsidR="00D46430" w:rsidRPr="00CD5673" w:rsidRDefault="00D46430" w:rsidP="00D46430">
      <w:pPr>
        <w:pStyle w:val="paragraph"/>
      </w:pPr>
      <w:r w:rsidRPr="00CD5673">
        <w:tab/>
        <w:t>(a)</w:t>
      </w:r>
      <w:r w:rsidRPr="00CD5673">
        <w:tab/>
        <w:t>to receive money from, and hold money on trust for, the company; and</w:t>
      </w:r>
    </w:p>
    <w:p w14:paraId="3D0C871D" w14:textId="77777777" w:rsidR="00D46430" w:rsidRPr="00CD5673" w:rsidRDefault="00D46430" w:rsidP="00D46430">
      <w:pPr>
        <w:pStyle w:val="paragraph"/>
      </w:pPr>
      <w:r w:rsidRPr="00CD5673">
        <w:tab/>
        <w:t>(b)</w:t>
      </w:r>
      <w:r w:rsidRPr="00CD5673">
        <w:tab/>
        <w:t>to pay the money to creditors in accordance with the plan; and</w:t>
      </w:r>
    </w:p>
    <w:p w14:paraId="24A8391B" w14:textId="77777777" w:rsidR="00D46430" w:rsidRPr="00CD5673" w:rsidRDefault="00D46430" w:rsidP="00D46430">
      <w:pPr>
        <w:pStyle w:val="paragraph"/>
      </w:pPr>
      <w:r w:rsidRPr="00CD5673">
        <w:tab/>
        <w:t>(c)</w:t>
      </w:r>
      <w:r w:rsidRPr="00CD5673">
        <w:tab/>
        <w:t>if requested to do so by the company’s directors:</w:t>
      </w:r>
    </w:p>
    <w:p w14:paraId="64A384EB" w14:textId="77777777" w:rsidR="00D46430" w:rsidRPr="00CD5673" w:rsidRDefault="00D46430" w:rsidP="00D46430">
      <w:pPr>
        <w:pStyle w:val="paragraphsub"/>
      </w:pPr>
      <w:r w:rsidRPr="00CD5673">
        <w:tab/>
        <w:t>(i)</w:t>
      </w:r>
      <w:r w:rsidRPr="00CD5673">
        <w:tab/>
        <w:t>to realise the property of the company that is available to pay creditors in accordance with the plan; and</w:t>
      </w:r>
    </w:p>
    <w:p w14:paraId="702F097A" w14:textId="77777777" w:rsidR="00D46430" w:rsidRPr="00CD5673" w:rsidRDefault="00D46430" w:rsidP="00D46430">
      <w:pPr>
        <w:pStyle w:val="paragraphsub"/>
      </w:pPr>
      <w:r w:rsidRPr="00CD5673">
        <w:tab/>
        <w:t>(ii)</w:t>
      </w:r>
      <w:r w:rsidRPr="00CD5673">
        <w:tab/>
        <w:t>to distribute the proceeds of the realisation of the property among the creditors in accordance with the plan; and</w:t>
      </w:r>
    </w:p>
    <w:p w14:paraId="578B92EB" w14:textId="77777777" w:rsidR="00D46430" w:rsidRPr="00CD5673" w:rsidRDefault="00D46430" w:rsidP="00D46430">
      <w:pPr>
        <w:pStyle w:val="paragraph"/>
      </w:pPr>
      <w:r w:rsidRPr="00CD5673">
        <w:tab/>
        <w:t>(d)</w:t>
      </w:r>
      <w:r w:rsidRPr="00CD5673">
        <w:tab/>
        <w:t>to answer questions about the performance or exercise of any of the restructuring practitioner’s functions and powers as restructuring practitioner for the plan; and</w:t>
      </w:r>
    </w:p>
    <w:p w14:paraId="2090161E" w14:textId="77777777" w:rsidR="00D46430" w:rsidRPr="00CD5673" w:rsidRDefault="00D46430" w:rsidP="00D46430">
      <w:pPr>
        <w:pStyle w:val="paragraph"/>
      </w:pPr>
      <w:r w:rsidRPr="00CD5673">
        <w:tab/>
        <w:t>(e)</w:t>
      </w:r>
      <w:r w:rsidRPr="00CD5673">
        <w:tab/>
        <w:t>to do anything that is incidental to the performance or exercise of those functions and powers; and</w:t>
      </w:r>
    </w:p>
    <w:p w14:paraId="52AD4115" w14:textId="77777777" w:rsidR="00D46430" w:rsidRPr="00CD5673" w:rsidRDefault="00D46430" w:rsidP="00D46430">
      <w:pPr>
        <w:pStyle w:val="paragraph"/>
      </w:pPr>
      <w:r w:rsidRPr="00CD5673">
        <w:tab/>
        <w:t>(f)</w:t>
      </w:r>
      <w:r w:rsidRPr="00CD5673">
        <w:tab/>
        <w:t>to do anything else that is necessary or convenient for the purpose of administering the plan.</w:t>
      </w:r>
    </w:p>
    <w:p w14:paraId="5BA6A7B5" w14:textId="77777777" w:rsidR="00D46430" w:rsidRPr="00CD5673" w:rsidRDefault="00D46430" w:rsidP="00D46430">
      <w:pPr>
        <w:pStyle w:val="ActHead5"/>
      </w:pPr>
      <w:bookmarkStart w:id="176" w:name="_Toc158711786"/>
      <w:r w:rsidRPr="00C614F1">
        <w:rPr>
          <w:rStyle w:val="CharSectno"/>
        </w:rPr>
        <w:t>5.3B.38</w:t>
      </w:r>
      <w:r w:rsidRPr="00CD5673">
        <w:t xml:space="preserve">  Replacement restructuring practitioner must lodge outstanding notices etc.</w:t>
      </w:r>
      <w:bookmarkEnd w:id="176"/>
    </w:p>
    <w:p w14:paraId="237CA5DE" w14:textId="77777777" w:rsidR="00D46430" w:rsidRPr="00CD5673" w:rsidRDefault="00D46430" w:rsidP="00D46430">
      <w:pPr>
        <w:pStyle w:val="subsection"/>
      </w:pPr>
      <w:r w:rsidRPr="00CD5673">
        <w:tab/>
        <w:t>(1)</w:t>
      </w:r>
      <w:r w:rsidRPr="00CD5673">
        <w:tab/>
        <w:t xml:space="preserve">This regulation applies in relation to a restructuring practitioner for a restructuring plan (the </w:t>
      </w:r>
      <w:r w:rsidRPr="00CD5673">
        <w:rPr>
          <w:b/>
          <w:i/>
        </w:rPr>
        <w:t>replacement practitioner</w:t>
      </w:r>
      <w:r w:rsidRPr="00CD5673">
        <w:t>) who is appointed under subregulation 5.3B.34(1).</w:t>
      </w:r>
    </w:p>
    <w:p w14:paraId="7FF40AB0" w14:textId="77777777" w:rsidR="00D46430" w:rsidRPr="00CD5673" w:rsidRDefault="00D46430" w:rsidP="00D46430">
      <w:pPr>
        <w:pStyle w:val="subsection"/>
      </w:pPr>
      <w:r w:rsidRPr="00CD5673">
        <w:tab/>
        <w:t>(2)</w:t>
      </w:r>
      <w:r w:rsidRPr="00CD5673">
        <w:tab/>
        <w:t>If:</w:t>
      </w:r>
    </w:p>
    <w:p w14:paraId="504B085C" w14:textId="77777777" w:rsidR="00D46430" w:rsidRPr="00CD5673" w:rsidRDefault="00D46430" w:rsidP="00D46430">
      <w:pPr>
        <w:pStyle w:val="paragraph"/>
      </w:pPr>
      <w:r w:rsidRPr="00CD5673">
        <w:tab/>
        <w:t>(a)</w:t>
      </w:r>
      <w:r w:rsidRPr="00CD5673">
        <w:tab/>
        <w:t>before the appointment, a restructuring practitioner for the plan was required to do a thing under:</w:t>
      </w:r>
    </w:p>
    <w:p w14:paraId="698C862A" w14:textId="77777777" w:rsidR="00D46430" w:rsidRPr="00CD5673" w:rsidRDefault="00D46430" w:rsidP="00D46430">
      <w:pPr>
        <w:pStyle w:val="paragraphsub"/>
      </w:pPr>
      <w:r w:rsidRPr="00CD5673">
        <w:tab/>
        <w:t>(i)</w:t>
      </w:r>
      <w:r w:rsidRPr="00CD5673">
        <w:tab/>
        <w:t>Division 4; or</w:t>
      </w:r>
    </w:p>
    <w:p w14:paraId="4F03E3CE" w14:textId="77777777" w:rsidR="00D46430" w:rsidRPr="00CD5673" w:rsidRDefault="00D46430" w:rsidP="00D46430">
      <w:pPr>
        <w:pStyle w:val="paragraphsub"/>
      </w:pPr>
      <w:r w:rsidRPr="00CD5673">
        <w:tab/>
        <w:t>(ii)</w:t>
      </w:r>
      <w:r w:rsidRPr="00CD5673">
        <w:tab/>
        <w:t>Subdivision B or C of Division 5; and</w:t>
      </w:r>
    </w:p>
    <w:p w14:paraId="63473AEA" w14:textId="77777777" w:rsidR="00D46430" w:rsidRPr="00CD5673" w:rsidRDefault="00D46430" w:rsidP="00D46430">
      <w:pPr>
        <w:pStyle w:val="paragraph"/>
      </w:pPr>
      <w:r w:rsidRPr="00CD5673">
        <w:tab/>
        <w:t>(b)</w:t>
      </w:r>
      <w:r w:rsidRPr="00CD5673">
        <w:tab/>
        <w:t>at the time of the appointment, the thing has not been done;</w:t>
      </w:r>
    </w:p>
    <w:p w14:paraId="3EABFE1F" w14:textId="77777777" w:rsidR="00D46430" w:rsidRPr="00CD5673" w:rsidRDefault="00D46430" w:rsidP="00D46430">
      <w:pPr>
        <w:pStyle w:val="subsection2"/>
      </w:pPr>
      <w:r w:rsidRPr="00CD5673">
        <w:t>the replacement practitioner must do the thing within:</w:t>
      </w:r>
    </w:p>
    <w:p w14:paraId="6740C04E" w14:textId="77777777" w:rsidR="00D46430" w:rsidRPr="00CD5673" w:rsidRDefault="00D46430" w:rsidP="00D46430">
      <w:pPr>
        <w:pStyle w:val="paragraph"/>
      </w:pPr>
      <w:r w:rsidRPr="00CD5673">
        <w:tab/>
        <w:t>(c)</w:t>
      </w:r>
      <w:r w:rsidRPr="00CD5673">
        <w:tab/>
        <w:t>2 business days after the day on which the replacement practitioner is appointed; or</w:t>
      </w:r>
    </w:p>
    <w:p w14:paraId="3A1E5065" w14:textId="77777777" w:rsidR="00D46430" w:rsidRPr="00CD5673" w:rsidRDefault="00D46430" w:rsidP="00D46430">
      <w:pPr>
        <w:pStyle w:val="paragraph"/>
      </w:pPr>
      <w:r w:rsidRPr="00CD5673">
        <w:lastRenderedPageBreak/>
        <w:tab/>
        <w:t>(d)</w:t>
      </w:r>
      <w:r w:rsidRPr="00CD5673">
        <w:tab/>
        <w:t>if the requirement arose because the restructuring practitioner was given notice or became aware of a thing—within 2 business days after the day on which the replacement practitioner is given the notice or becomes so aware.</w:t>
      </w:r>
    </w:p>
    <w:p w14:paraId="37FF0749" w14:textId="77777777" w:rsidR="00D46430" w:rsidRPr="00CD5673" w:rsidRDefault="00D46430" w:rsidP="00D46430">
      <w:pPr>
        <w:pStyle w:val="ActHead5"/>
      </w:pPr>
      <w:bookmarkStart w:id="177" w:name="_Toc158711787"/>
      <w:r w:rsidRPr="00C614F1">
        <w:rPr>
          <w:rStyle w:val="CharSectno"/>
        </w:rPr>
        <w:t>5.3B.39</w:t>
      </w:r>
      <w:r w:rsidRPr="00CD5673">
        <w:t xml:space="preserve">  When restructuring practitioner may dispose of encumbered property</w:t>
      </w:r>
      <w:bookmarkEnd w:id="177"/>
    </w:p>
    <w:p w14:paraId="4DC75821" w14:textId="77777777" w:rsidR="00D46430" w:rsidRPr="00CD5673" w:rsidRDefault="00D46430" w:rsidP="00D46430">
      <w:pPr>
        <w:pStyle w:val="subsection"/>
      </w:pPr>
      <w:r w:rsidRPr="00CD5673">
        <w:tab/>
        <w:t>(1)</w:t>
      </w:r>
      <w:r w:rsidRPr="00CD5673">
        <w:tab/>
        <w:t>The restructuring practitioner for a company’s restructuring plan must not dispose of:</w:t>
      </w:r>
    </w:p>
    <w:p w14:paraId="738CD74E" w14:textId="77777777" w:rsidR="00D46430" w:rsidRPr="00CD5673" w:rsidRDefault="00D46430" w:rsidP="00D46430">
      <w:pPr>
        <w:pStyle w:val="paragraph"/>
      </w:pPr>
      <w:r w:rsidRPr="00CD5673">
        <w:tab/>
        <w:t>(a)</w:t>
      </w:r>
      <w:r w:rsidRPr="00CD5673">
        <w:tab/>
        <w:t>property of the company that is subject to a security interest; or</w:t>
      </w:r>
    </w:p>
    <w:p w14:paraId="7D2CCC0F" w14:textId="77777777" w:rsidR="00D46430" w:rsidRPr="00CD5673" w:rsidRDefault="00D46430" w:rsidP="00D46430">
      <w:pPr>
        <w:pStyle w:val="paragraph"/>
      </w:pPr>
      <w:r w:rsidRPr="00CD5673">
        <w:tab/>
        <w:t>(b)</w:t>
      </w:r>
      <w:r w:rsidRPr="00CD5673">
        <w:tab/>
        <w:t>property (other than PPSA retention of title property) that is used or occupied by, or is in the possession of, the company but of which someone else is the owner or lessor.</w:t>
      </w:r>
    </w:p>
    <w:p w14:paraId="3A9D5E0D" w14:textId="77777777" w:rsidR="00D46430" w:rsidRPr="00CD5673" w:rsidRDefault="00D46430" w:rsidP="00D46430">
      <w:pPr>
        <w:pStyle w:val="notetext"/>
      </w:pPr>
      <w:r w:rsidRPr="00CD5673">
        <w:t>Note:</w:t>
      </w:r>
      <w:r w:rsidRPr="00CD5673">
        <w:tab/>
        <w:t xml:space="preserve">PPSA retention of title property is subject to a PPSA security interest, and so is covered by paragraph (a) (see definition of </w:t>
      </w:r>
      <w:r w:rsidRPr="00CD5673">
        <w:rPr>
          <w:b/>
          <w:i/>
        </w:rPr>
        <w:t>PPSA retention of title property</w:t>
      </w:r>
      <w:r w:rsidRPr="00CD5673">
        <w:t xml:space="preserve"> in section 51F of the Act).</w:t>
      </w:r>
    </w:p>
    <w:p w14:paraId="422DE347" w14:textId="77777777" w:rsidR="00D46430" w:rsidRPr="00CD5673" w:rsidRDefault="00D46430" w:rsidP="00D46430">
      <w:pPr>
        <w:pStyle w:val="subsection"/>
      </w:pPr>
      <w:r w:rsidRPr="00CD5673">
        <w:tab/>
        <w:t>(2)</w:t>
      </w:r>
      <w:r w:rsidRPr="00CD5673">
        <w:tab/>
        <w:t>Subregulation (1) does not prevent a disposal:</w:t>
      </w:r>
    </w:p>
    <w:p w14:paraId="7574EA5D" w14:textId="77777777" w:rsidR="00D46430" w:rsidRPr="00CD5673" w:rsidRDefault="00D46430" w:rsidP="00D46430">
      <w:pPr>
        <w:pStyle w:val="paragraph"/>
      </w:pPr>
      <w:r w:rsidRPr="00CD5673">
        <w:tab/>
        <w:t>(a)</w:t>
      </w:r>
      <w:r w:rsidRPr="00CD5673">
        <w:tab/>
        <w:t>in the ordinary course of the company’s business; or</w:t>
      </w:r>
    </w:p>
    <w:p w14:paraId="214FEE3E" w14:textId="77777777" w:rsidR="00D46430" w:rsidRPr="00CD5673" w:rsidRDefault="00D46430" w:rsidP="00D46430">
      <w:pPr>
        <w:pStyle w:val="paragraph"/>
      </w:pPr>
      <w:r w:rsidRPr="00CD5673">
        <w:tab/>
        <w:t>(b)</w:t>
      </w:r>
      <w:r w:rsidRPr="00CD5673">
        <w:tab/>
        <w:t>with the written consent of the secured party, owner or lessor, as the case may be; or</w:t>
      </w:r>
    </w:p>
    <w:p w14:paraId="12738F20" w14:textId="77777777" w:rsidR="00D46430" w:rsidRPr="00CD5673" w:rsidRDefault="00D46430" w:rsidP="00D46430">
      <w:pPr>
        <w:pStyle w:val="paragraph"/>
      </w:pPr>
      <w:r w:rsidRPr="00CD5673">
        <w:tab/>
        <w:t>(c)</w:t>
      </w:r>
      <w:r w:rsidRPr="00CD5673">
        <w:tab/>
        <w:t>with the leave of the Court.</w:t>
      </w:r>
    </w:p>
    <w:p w14:paraId="764686DA" w14:textId="77777777" w:rsidR="00D46430" w:rsidRPr="00CD5673" w:rsidRDefault="00D46430" w:rsidP="00D46430">
      <w:pPr>
        <w:pStyle w:val="subsection"/>
      </w:pPr>
      <w:r w:rsidRPr="00CD5673">
        <w:tab/>
        <w:t>(3)</w:t>
      </w:r>
      <w:r w:rsidRPr="00CD5673">
        <w:tab/>
        <w:t>The Court may only give leave under paragraph (2)(c) if satisfied that arrangements have been made to adequately protect the interests of the secured party, owner or lessor, as the case may be.</w:t>
      </w:r>
    </w:p>
    <w:p w14:paraId="0AB05D4C" w14:textId="77777777" w:rsidR="00D46430" w:rsidRPr="00CD5673" w:rsidRDefault="00D46430" w:rsidP="00D46430">
      <w:pPr>
        <w:pStyle w:val="subsection"/>
      </w:pPr>
      <w:r w:rsidRPr="00CD5673">
        <w:tab/>
        <w:t>(4)</w:t>
      </w:r>
      <w:r w:rsidRPr="00CD5673">
        <w:tab/>
        <w:t>If the restructuring practitioner proposes to dispose of property under paragraph (2)(a), the Court may, by order, direct the restructuring practitioner not to carry out that proposal.</w:t>
      </w:r>
    </w:p>
    <w:p w14:paraId="2AF7E914" w14:textId="77777777" w:rsidR="00D46430" w:rsidRPr="00CD5673" w:rsidRDefault="00D46430" w:rsidP="00D46430">
      <w:pPr>
        <w:pStyle w:val="subsection"/>
      </w:pPr>
      <w:r w:rsidRPr="00CD5673">
        <w:tab/>
        <w:t>(5)</w:t>
      </w:r>
      <w:r w:rsidRPr="00CD5673">
        <w:tab/>
        <w:t>The Court may only make an order under subregulation (4) on the application of:</w:t>
      </w:r>
    </w:p>
    <w:p w14:paraId="03B56E26" w14:textId="77777777" w:rsidR="00D46430" w:rsidRPr="00CD5673" w:rsidRDefault="00D46430" w:rsidP="00D46430">
      <w:pPr>
        <w:pStyle w:val="paragraph"/>
      </w:pPr>
      <w:r w:rsidRPr="00CD5673">
        <w:tab/>
        <w:t>(a)</w:t>
      </w:r>
      <w:r w:rsidRPr="00CD5673">
        <w:tab/>
        <w:t>if paragraph (1)(a) applies—the secured party; or</w:t>
      </w:r>
    </w:p>
    <w:p w14:paraId="624F5F06" w14:textId="77777777" w:rsidR="00D46430" w:rsidRPr="00CD5673" w:rsidRDefault="00D46430" w:rsidP="00D46430">
      <w:pPr>
        <w:pStyle w:val="paragraph"/>
      </w:pPr>
      <w:r w:rsidRPr="00CD5673">
        <w:tab/>
        <w:t>(b)</w:t>
      </w:r>
      <w:r w:rsidRPr="00CD5673">
        <w:tab/>
        <w:t>if paragraph (1)(b) applies—the owner or lessor, as the case may be.</w:t>
      </w:r>
    </w:p>
    <w:p w14:paraId="19FD645D" w14:textId="77777777" w:rsidR="00D46430" w:rsidRPr="00CD5673" w:rsidRDefault="00D46430" w:rsidP="00D46430">
      <w:pPr>
        <w:pStyle w:val="subsection"/>
      </w:pPr>
      <w:r w:rsidRPr="00CD5673">
        <w:tab/>
        <w:t>(6)</w:t>
      </w:r>
      <w:r w:rsidRPr="00CD5673">
        <w:tab/>
        <w:t>The Court may only make an order under subregulation (4) if it is not satisfied that arrangements have been made to protect adequately the interests of the applicant for the order.</w:t>
      </w:r>
    </w:p>
    <w:p w14:paraId="29000EF1" w14:textId="77777777" w:rsidR="00D46430" w:rsidRPr="00CD5673" w:rsidRDefault="00D46430" w:rsidP="00D46430">
      <w:pPr>
        <w:pStyle w:val="subsection"/>
      </w:pPr>
      <w:r w:rsidRPr="00CD5673">
        <w:tab/>
        <w:t>(7)</w:t>
      </w:r>
      <w:r w:rsidRPr="00CD5673">
        <w:tab/>
        <w:t>If:</w:t>
      </w:r>
    </w:p>
    <w:p w14:paraId="0249EE26" w14:textId="77777777" w:rsidR="00D46430" w:rsidRPr="00CD5673" w:rsidRDefault="00D46430" w:rsidP="00D46430">
      <w:pPr>
        <w:pStyle w:val="paragraph"/>
      </w:pPr>
      <w:r w:rsidRPr="00CD5673">
        <w:tab/>
        <w:t>(a)</w:t>
      </w:r>
      <w:r w:rsidRPr="00CD5673">
        <w:tab/>
        <w:t>a company has made a restructuring plan that has not terminated; and</w:t>
      </w:r>
    </w:p>
    <w:p w14:paraId="6941DCED" w14:textId="77777777" w:rsidR="00D46430" w:rsidRPr="00CD5673" w:rsidRDefault="00D46430" w:rsidP="00D46430">
      <w:pPr>
        <w:pStyle w:val="paragraph"/>
      </w:pPr>
      <w:r w:rsidRPr="00CD5673">
        <w:tab/>
        <w:t>(b)</w:t>
      </w:r>
      <w:r w:rsidRPr="00CD5673">
        <w:tab/>
        <w:t>property of the company is subject to a security interest; and</w:t>
      </w:r>
    </w:p>
    <w:p w14:paraId="1EC567FD" w14:textId="77777777" w:rsidR="00D46430" w:rsidRPr="00CD5673" w:rsidRDefault="00D46430" w:rsidP="00D46430">
      <w:pPr>
        <w:pStyle w:val="paragraph"/>
      </w:pPr>
      <w:r w:rsidRPr="00CD5673">
        <w:tab/>
        <w:t>(c)</w:t>
      </w:r>
      <w:r w:rsidRPr="00CD5673">
        <w:tab/>
        <w:t>the restructuring practitioner disposes of the property;</w:t>
      </w:r>
    </w:p>
    <w:p w14:paraId="16331101" w14:textId="77777777" w:rsidR="00D46430" w:rsidRPr="00CD5673" w:rsidRDefault="00D46430" w:rsidP="00D46430">
      <w:pPr>
        <w:pStyle w:val="subsection2"/>
      </w:pPr>
      <w:r w:rsidRPr="00CD5673">
        <w:t>the disposal extinguishes the security interest.</w:t>
      </w:r>
    </w:p>
    <w:p w14:paraId="402020C4" w14:textId="77777777" w:rsidR="00D46430" w:rsidRPr="00CD5673" w:rsidRDefault="00D46430" w:rsidP="00D46430">
      <w:pPr>
        <w:pStyle w:val="subsection"/>
      </w:pPr>
      <w:r w:rsidRPr="00CD5673">
        <w:tab/>
        <w:t>(8)</w:t>
      </w:r>
      <w:r w:rsidRPr="00CD5673">
        <w:tab/>
        <w:t>For the purposes of paragraph (2)(a), if:</w:t>
      </w:r>
    </w:p>
    <w:p w14:paraId="2B95CB08" w14:textId="77777777" w:rsidR="00D46430" w:rsidRPr="00CD5673" w:rsidRDefault="00D46430" w:rsidP="00D46430">
      <w:pPr>
        <w:pStyle w:val="paragraph"/>
      </w:pPr>
      <w:r w:rsidRPr="00CD5673">
        <w:tab/>
        <w:t>(a)</w:t>
      </w:r>
      <w:r w:rsidRPr="00CD5673">
        <w:tab/>
        <w:t>property is used or occupied by, or is in the possession of, a company; and</w:t>
      </w:r>
    </w:p>
    <w:p w14:paraId="2C9AC4DA" w14:textId="77777777" w:rsidR="00D46430" w:rsidRPr="00CD5673" w:rsidRDefault="00D46430" w:rsidP="00D46430">
      <w:pPr>
        <w:pStyle w:val="paragraph"/>
      </w:pPr>
      <w:r w:rsidRPr="00CD5673">
        <w:tab/>
        <w:t>(b)</w:t>
      </w:r>
      <w:r w:rsidRPr="00CD5673">
        <w:tab/>
        <w:t>another person is the owner of the property; and</w:t>
      </w:r>
    </w:p>
    <w:p w14:paraId="487EBBF5" w14:textId="77777777" w:rsidR="00D46430" w:rsidRPr="00CD5673" w:rsidRDefault="00D46430" w:rsidP="00D46430">
      <w:pPr>
        <w:pStyle w:val="paragraph"/>
      </w:pPr>
      <w:r w:rsidRPr="00CD5673">
        <w:tab/>
        <w:t>(c)</w:t>
      </w:r>
      <w:r w:rsidRPr="00CD5673">
        <w:tab/>
        <w:t>either:</w:t>
      </w:r>
    </w:p>
    <w:p w14:paraId="40FD7AE6" w14:textId="77777777" w:rsidR="00D46430" w:rsidRPr="00CD5673" w:rsidRDefault="00D46430" w:rsidP="00D46430">
      <w:pPr>
        <w:pStyle w:val="paragraphsub"/>
      </w:pPr>
      <w:r w:rsidRPr="00CD5673">
        <w:tab/>
        <w:t>(i)</w:t>
      </w:r>
      <w:r w:rsidRPr="00CD5673">
        <w:tab/>
        <w:t>the property is PPSA retention of title property; or</w:t>
      </w:r>
    </w:p>
    <w:p w14:paraId="57609BAD" w14:textId="77777777" w:rsidR="00D46430" w:rsidRPr="00CD5673" w:rsidRDefault="00D46430" w:rsidP="00D46430">
      <w:pPr>
        <w:pStyle w:val="paragraphsub"/>
      </w:pPr>
      <w:r w:rsidRPr="00CD5673">
        <w:tab/>
        <w:t>(ii)</w:t>
      </w:r>
      <w:r w:rsidRPr="00CD5673">
        <w:tab/>
        <w:t>the property is subject to a retention of title clause under a contract; and</w:t>
      </w:r>
    </w:p>
    <w:p w14:paraId="304118AF" w14:textId="77777777" w:rsidR="00D46430" w:rsidRPr="00CD5673" w:rsidRDefault="00D46430" w:rsidP="00D46430">
      <w:pPr>
        <w:pStyle w:val="paragraph"/>
      </w:pPr>
      <w:r w:rsidRPr="00CD5673">
        <w:tab/>
        <w:t>(d)</w:t>
      </w:r>
      <w:r w:rsidRPr="00CD5673">
        <w:tab/>
        <w:t>the owner demands the return of the property;</w:t>
      </w:r>
    </w:p>
    <w:p w14:paraId="4C5CCD70" w14:textId="77777777" w:rsidR="00D46430" w:rsidRPr="00CD5673" w:rsidRDefault="00D46430" w:rsidP="00D46430">
      <w:pPr>
        <w:pStyle w:val="subsection2"/>
      </w:pPr>
      <w:r w:rsidRPr="00CD5673">
        <w:t>a disposal of the property that occurs after the demand is made does not mean that the disposal is not in the ordinary course of the company’s business.</w:t>
      </w:r>
    </w:p>
    <w:p w14:paraId="1F420FB1" w14:textId="77777777" w:rsidR="00D46430" w:rsidRPr="00CD5673" w:rsidRDefault="00D46430" w:rsidP="00D46430">
      <w:pPr>
        <w:pStyle w:val="ActHead5"/>
      </w:pPr>
      <w:bookmarkStart w:id="178" w:name="_Toc158711788"/>
      <w:r w:rsidRPr="00C614F1">
        <w:rPr>
          <w:rStyle w:val="CharSectno"/>
        </w:rPr>
        <w:t>5.3B.42</w:t>
      </w:r>
      <w:r w:rsidRPr="00CD5673">
        <w:t xml:space="preserve">  Protection from liability</w:t>
      </w:r>
      <w:bookmarkEnd w:id="178"/>
    </w:p>
    <w:p w14:paraId="4460B026" w14:textId="77777777" w:rsidR="00D46430" w:rsidRPr="00CD5673" w:rsidRDefault="00D46430" w:rsidP="00D46430">
      <w:pPr>
        <w:pStyle w:val="subsection"/>
      </w:pPr>
      <w:r w:rsidRPr="00CD5673">
        <w:tab/>
      </w:r>
      <w:r w:rsidRPr="00CD5673">
        <w:tab/>
        <w:t>A person who is or has been the restructuring practitioner for a company’s restructuring plan is not subject to any liability to any person in respect of anything done, or omitted to be done, in good faith and without negligence in the exercise or performance, or the purported exercise or performance, of powers, functions or duties under the Act or these regulations relating to the plan.</w:t>
      </w:r>
    </w:p>
    <w:p w14:paraId="4C527A25" w14:textId="77777777" w:rsidR="00D46430" w:rsidRPr="00CD5673" w:rsidRDefault="00D46430" w:rsidP="00D46430">
      <w:pPr>
        <w:pStyle w:val="ActHead5"/>
      </w:pPr>
      <w:bookmarkStart w:id="179" w:name="_Toc158711789"/>
      <w:r w:rsidRPr="00C614F1">
        <w:rPr>
          <w:rStyle w:val="CharSectno"/>
        </w:rPr>
        <w:t>5.3B.43</w:t>
      </w:r>
      <w:r w:rsidRPr="00CD5673">
        <w:t xml:space="preserve">  Right of indemnity</w:t>
      </w:r>
      <w:bookmarkEnd w:id="179"/>
    </w:p>
    <w:p w14:paraId="1324BD34" w14:textId="77777777" w:rsidR="00D46430" w:rsidRPr="00CD5673" w:rsidRDefault="00D46430" w:rsidP="00D46430">
      <w:pPr>
        <w:pStyle w:val="subsection"/>
      </w:pPr>
      <w:r w:rsidRPr="00CD5673">
        <w:tab/>
      </w:r>
      <w:r w:rsidRPr="00CD5673">
        <w:tab/>
        <w:t xml:space="preserve">A person who is or has been the restructuring practitioner for a company’s restructuring plan is entitled to be indemnified out of the company’s property (other than any PPSA retention of title property subject to a PPSA security interest that is perfected within the meaning of the </w:t>
      </w:r>
      <w:r w:rsidRPr="00CD5673">
        <w:rPr>
          <w:i/>
        </w:rPr>
        <w:t>Personal Property Securities Act 2009</w:t>
      </w:r>
      <w:r w:rsidRPr="00CD5673">
        <w:t>) for:</w:t>
      </w:r>
    </w:p>
    <w:p w14:paraId="037B2C9E" w14:textId="77777777" w:rsidR="00D46430" w:rsidRPr="00CD5673" w:rsidRDefault="00D46430" w:rsidP="00D46430">
      <w:pPr>
        <w:pStyle w:val="paragraph"/>
      </w:pPr>
      <w:r w:rsidRPr="00CD5673">
        <w:lastRenderedPageBreak/>
        <w:tab/>
        <w:t>(a)</w:t>
      </w:r>
      <w:r w:rsidRPr="00CD5673">
        <w:tab/>
        <w:t>any debts or liabilities incurred, or damages or losses sustained, in good faith and without negligence, by the restructuring practitioner:</w:t>
      </w:r>
    </w:p>
    <w:p w14:paraId="276B49C5" w14:textId="77777777" w:rsidR="00D46430" w:rsidRPr="00CD5673" w:rsidRDefault="00D46430" w:rsidP="00D46430">
      <w:pPr>
        <w:pStyle w:val="paragraphsub"/>
      </w:pPr>
      <w:r w:rsidRPr="00CD5673">
        <w:tab/>
        <w:t>(i)</w:t>
      </w:r>
      <w:r w:rsidRPr="00CD5673">
        <w:tab/>
        <w:t>in the performance or purported performance of the restructuring practitioner’s functions or duties; or</w:t>
      </w:r>
    </w:p>
    <w:p w14:paraId="59F9D006" w14:textId="77777777" w:rsidR="00D46430" w:rsidRPr="00CD5673" w:rsidRDefault="00D46430" w:rsidP="00D46430">
      <w:pPr>
        <w:pStyle w:val="paragraphsub"/>
      </w:pPr>
      <w:r w:rsidRPr="00CD5673">
        <w:tab/>
        <w:t>(ii)</w:t>
      </w:r>
      <w:r w:rsidRPr="00CD5673">
        <w:tab/>
        <w:t>in the exercise or purported exercise of the restructuring practitioner’s powers; and</w:t>
      </w:r>
    </w:p>
    <w:p w14:paraId="5FAE5EA1" w14:textId="77777777" w:rsidR="00D46430" w:rsidRPr="00CD5673" w:rsidRDefault="00D46430" w:rsidP="00D46430">
      <w:pPr>
        <w:pStyle w:val="paragraph"/>
      </w:pPr>
      <w:r w:rsidRPr="00CD5673">
        <w:tab/>
        <w:t>(b)</w:t>
      </w:r>
      <w:r w:rsidRPr="00CD5673">
        <w:tab/>
        <w:t>the remuneration to which the restructuring practitioner is entitled under Insolvency Practice Rules made under Subdivision DA of Division 60 of Schedule 2 to the Act.</w:t>
      </w:r>
    </w:p>
    <w:p w14:paraId="3F712845" w14:textId="77777777" w:rsidR="00D46430" w:rsidRPr="00CD5673" w:rsidRDefault="00D46430" w:rsidP="00D46430">
      <w:pPr>
        <w:pStyle w:val="ActHead5"/>
      </w:pPr>
      <w:bookmarkStart w:id="180" w:name="_Toc158711790"/>
      <w:r w:rsidRPr="00C614F1">
        <w:rPr>
          <w:rStyle w:val="CharSectno"/>
        </w:rPr>
        <w:t>5.3B.44</w:t>
      </w:r>
      <w:r w:rsidRPr="00CD5673">
        <w:t xml:space="preserve">  Right of indemnity has priority over other debts</w:t>
      </w:r>
      <w:bookmarkEnd w:id="180"/>
    </w:p>
    <w:p w14:paraId="7322BA7A" w14:textId="77777777" w:rsidR="00D46430" w:rsidRPr="00CD5673" w:rsidRDefault="00D46430" w:rsidP="00D46430">
      <w:pPr>
        <w:pStyle w:val="SubsectionHead"/>
      </w:pPr>
      <w:r w:rsidRPr="00CD5673">
        <w:t>General rule</w:t>
      </w:r>
    </w:p>
    <w:p w14:paraId="1658CB3D" w14:textId="77777777" w:rsidR="00D46430" w:rsidRPr="00CD5673" w:rsidRDefault="00D46430" w:rsidP="00D46430">
      <w:pPr>
        <w:pStyle w:val="subsection"/>
      </w:pPr>
      <w:r w:rsidRPr="00CD5673">
        <w:tab/>
        <w:t>(1)</w:t>
      </w:r>
      <w:r w:rsidRPr="00CD5673">
        <w:tab/>
        <w:t>Subject to section 556 of the Act, a right of indemnity under regulation 5.3B.43 has priority over:</w:t>
      </w:r>
    </w:p>
    <w:p w14:paraId="6779B2CF" w14:textId="77777777" w:rsidR="00D46430" w:rsidRPr="00CD5673" w:rsidRDefault="00D46430" w:rsidP="00D46430">
      <w:pPr>
        <w:pStyle w:val="paragraph"/>
      </w:pPr>
      <w:r w:rsidRPr="00CD5673">
        <w:tab/>
        <w:t>(a)</w:t>
      </w:r>
      <w:r w:rsidRPr="00CD5673">
        <w:tab/>
        <w:t>all the company’s unsecured debts; and</w:t>
      </w:r>
    </w:p>
    <w:p w14:paraId="42CD8C43" w14:textId="77777777" w:rsidR="00D46430" w:rsidRPr="00CD5673" w:rsidRDefault="00D46430" w:rsidP="00D46430">
      <w:pPr>
        <w:pStyle w:val="paragraph"/>
      </w:pPr>
      <w:r w:rsidRPr="00CD5673">
        <w:tab/>
        <w:t>(b)</w:t>
      </w:r>
      <w:r w:rsidRPr="00CD5673">
        <w:tab/>
        <w:t>any debts of the company secured by a PPSA security interest in property of the company if, when the restructuring of the company begins, the security interest is vested in the company because of the operation of any of the following provisions:</w:t>
      </w:r>
    </w:p>
    <w:p w14:paraId="628AB0BE" w14:textId="77777777" w:rsidR="00D46430" w:rsidRPr="00CD5673" w:rsidRDefault="00D46430" w:rsidP="00D46430">
      <w:pPr>
        <w:pStyle w:val="paragraphsub"/>
      </w:pPr>
      <w:r w:rsidRPr="00CD5673">
        <w:tab/>
        <w:t>(i)</w:t>
      </w:r>
      <w:r w:rsidRPr="00CD5673">
        <w:tab/>
        <w:t xml:space="preserve">section 267 or 267A of the </w:t>
      </w:r>
      <w:r w:rsidRPr="00CD5673">
        <w:rPr>
          <w:i/>
        </w:rPr>
        <w:t>Personal Property Securities Act 2009</w:t>
      </w:r>
      <w:r w:rsidRPr="00CD5673">
        <w:t xml:space="preserve"> (property subject to unperfected security interests);</w:t>
      </w:r>
    </w:p>
    <w:p w14:paraId="7DAB5105" w14:textId="77777777" w:rsidR="00D46430" w:rsidRPr="00CD5673" w:rsidRDefault="00D46430" w:rsidP="00D46430">
      <w:pPr>
        <w:pStyle w:val="paragraphsub"/>
      </w:pPr>
      <w:r w:rsidRPr="00CD5673">
        <w:tab/>
        <w:t>(ii)</w:t>
      </w:r>
      <w:r w:rsidRPr="00CD5673">
        <w:tab/>
        <w:t>section 588FL of the Act (collateral not registered within time); and</w:t>
      </w:r>
    </w:p>
    <w:p w14:paraId="30503184" w14:textId="77777777" w:rsidR="00D46430" w:rsidRPr="00CD5673" w:rsidRDefault="00D46430" w:rsidP="00D46430">
      <w:pPr>
        <w:pStyle w:val="paragraph"/>
      </w:pPr>
      <w:r w:rsidRPr="00CD5673">
        <w:tab/>
        <w:t>(c)</w:t>
      </w:r>
      <w:r w:rsidRPr="00CD5673">
        <w:tab/>
        <w:t>subject otherwise to this section—debts of the company secured by a circulating security interest in property of the company.</w:t>
      </w:r>
    </w:p>
    <w:p w14:paraId="0F8862CF" w14:textId="77777777" w:rsidR="00D46430" w:rsidRPr="00CD5673" w:rsidRDefault="00D46430" w:rsidP="00D46430">
      <w:pPr>
        <w:pStyle w:val="SubsectionHead"/>
      </w:pPr>
      <w:r w:rsidRPr="00CD5673">
        <w:t>Debts secured by circulating security interests—receiver appointed before the beginning of restructuring etc.</w:t>
      </w:r>
    </w:p>
    <w:p w14:paraId="7E43481B" w14:textId="77777777" w:rsidR="00D46430" w:rsidRPr="00CD5673" w:rsidRDefault="00D46430" w:rsidP="00D46430">
      <w:pPr>
        <w:pStyle w:val="subsection"/>
      </w:pPr>
      <w:r w:rsidRPr="00CD5673">
        <w:tab/>
        <w:t>(2)</w:t>
      </w:r>
      <w:r w:rsidRPr="00CD5673">
        <w:tab/>
        <w:t>A right of indemnity under regulation 5.3B.43 does not have priority over debts of the company that are secured by a circulating security interest in property of the company, except so far as the secured party agrees, if:</w:t>
      </w:r>
    </w:p>
    <w:p w14:paraId="76323AC0" w14:textId="77777777" w:rsidR="00D46430" w:rsidRPr="00CD5673" w:rsidRDefault="00D46430" w:rsidP="00D46430">
      <w:pPr>
        <w:pStyle w:val="paragraph"/>
      </w:pPr>
      <w:r w:rsidRPr="00CD5673">
        <w:tab/>
        <w:t>(a)</w:t>
      </w:r>
      <w:r w:rsidRPr="00CD5673">
        <w:tab/>
        <w:t>before the making of the restructuring plan, the secured party:</w:t>
      </w:r>
    </w:p>
    <w:p w14:paraId="0004DD34" w14:textId="77777777" w:rsidR="00D46430" w:rsidRPr="00CD5673" w:rsidRDefault="00D46430" w:rsidP="00D46430">
      <w:pPr>
        <w:pStyle w:val="paragraphsub"/>
      </w:pPr>
      <w:r w:rsidRPr="00CD5673">
        <w:tab/>
        <w:t>(i)</w:t>
      </w:r>
      <w:r w:rsidRPr="00CD5673">
        <w:tab/>
        <w:t>appointed a receiver of property of the company under a power contained in an instrument relating to the security interest; or</w:t>
      </w:r>
    </w:p>
    <w:p w14:paraId="55A6B455" w14:textId="77777777" w:rsidR="00D46430" w:rsidRPr="00CD5673" w:rsidRDefault="00D46430" w:rsidP="00D46430">
      <w:pPr>
        <w:pStyle w:val="paragraphsub"/>
      </w:pPr>
      <w:r w:rsidRPr="00CD5673">
        <w:tab/>
        <w:t>(ii)</w:t>
      </w:r>
      <w:r w:rsidRPr="00CD5673">
        <w:tab/>
        <w:t>obtained an order for the appointment of a receiver of property of the company for the purpose of enforcing the security interest; or</w:t>
      </w:r>
    </w:p>
    <w:p w14:paraId="776113AB" w14:textId="77777777" w:rsidR="00D46430" w:rsidRPr="00CD5673" w:rsidRDefault="00D46430" w:rsidP="00D46430">
      <w:pPr>
        <w:pStyle w:val="paragraphsub"/>
      </w:pPr>
      <w:r w:rsidRPr="00CD5673">
        <w:tab/>
        <w:t>(iii)</w:t>
      </w:r>
      <w:r w:rsidRPr="00CD5673">
        <w:tab/>
        <w:t>entered into possession, or assumed control, of property of the company for that purpose; or</w:t>
      </w:r>
    </w:p>
    <w:p w14:paraId="623C794F" w14:textId="77777777" w:rsidR="00D46430" w:rsidRPr="00CD5673" w:rsidRDefault="00D46430" w:rsidP="00D46430">
      <w:pPr>
        <w:pStyle w:val="paragraphsub"/>
      </w:pPr>
      <w:r w:rsidRPr="00CD5673">
        <w:tab/>
        <w:t>(iv)</w:t>
      </w:r>
      <w:r w:rsidRPr="00CD5673">
        <w:tab/>
        <w:t>appointed a person so as to enter into possession or assume control (whether as agent for the secured party or for the company); and</w:t>
      </w:r>
    </w:p>
    <w:p w14:paraId="4506C502" w14:textId="77777777" w:rsidR="00D46430" w:rsidRPr="00CD5673" w:rsidRDefault="00D46430" w:rsidP="00D46430">
      <w:pPr>
        <w:pStyle w:val="paragraph"/>
      </w:pPr>
      <w:r w:rsidRPr="00CD5673">
        <w:tab/>
        <w:t>(b)</w:t>
      </w:r>
      <w:r w:rsidRPr="00CD5673">
        <w:tab/>
        <w:t>the receiver or person is still in office, or the secured party is still in possession or control of the property.</w:t>
      </w:r>
    </w:p>
    <w:p w14:paraId="2FC0BA7D" w14:textId="77777777" w:rsidR="00D46430" w:rsidRPr="00CD5673" w:rsidRDefault="00D46430" w:rsidP="00D46430">
      <w:pPr>
        <w:pStyle w:val="SubsectionHead"/>
      </w:pPr>
      <w:r w:rsidRPr="00CD5673">
        <w:t>Debts secured by circulating security interests—receiver appointed after restructuring plan made etc.</w:t>
      </w:r>
    </w:p>
    <w:p w14:paraId="0FBF224F" w14:textId="77777777" w:rsidR="00D46430" w:rsidRPr="00CD5673" w:rsidRDefault="00D46430" w:rsidP="00D46430">
      <w:pPr>
        <w:pStyle w:val="subsection"/>
      </w:pPr>
      <w:r w:rsidRPr="00CD5673">
        <w:tab/>
        <w:t>(3)</w:t>
      </w:r>
      <w:r w:rsidRPr="00CD5673">
        <w:tab/>
        <w:t>Subregulation (4) applies if:</w:t>
      </w:r>
    </w:p>
    <w:p w14:paraId="3293DC75" w14:textId="77777777" w:rsidR="00D46430" w:rsidRPr="00CD5673" w:rsidRDefault="00D46430" w:rsidP="00D46430">
      <w:pPr>
        <w:pStyle w:val="paragraph"/>
      </w:pPr>
      <w:r w:rsidRPr="00CD5673">
        <w:tab/>
        <w:t>(a)</w:t>
      </w:r>
      <w:r w:rsidRPr="00CD5673">
        <w:tab/>
        <w:t>debts of the company are secured by a circulating security interest in property of the company; and</w:t>
      </w:r>
    </w:p>
    <w:p w14:paraId="6D7D5156" w14:textId="77777777" w:rsidR="00D46430" w:rsidRPr="00CD5673" w:rsidRDefault="00D46430" w:rsidP="00D46430">
      <w:pPr>
        <w:pStyle w:val="paragraph"/>
      </w:pPr>
      <w:r w:rsidRPr="00CD5673">
        <w:tab/>
        <w:t>(b)</w:t>
      </w:r>
      <w:r w:rsidRPr="00CD5673">
        <w:tab/>
        <w:t>after the company’s restructuring plan is made, the secured party, consistently with Part 5.3B of the Act:</w:t>
      </w:r>
    </w:p>
    <w:p w14:paraId="7BA65277" w14:textId="77777777" w:rsidR="00D46430" w:rsidRPr="00CD5673" w:rsidRDefault="00D46430" w:rsidP="00D46430">
      <w:pPr>
        <w:pStyle w:val="paragraphsub"/>
      </w:pPr>
      <w:r w:rsidRPr="00CD5673">
        <w:tab/>
        <w:t>(i)</w:t>
      </w:r>
      <w:r w:rsidRPr="00CD5673">
        <w:tab/>
        <w:t>appoints a receiver of property of the company under a power contained in an instrument relating to the security interest; or</w:t>
      </w:r>
    </w:p>
    <w:p w14:paraId="36B693BF" w14:textId="77777777" w:rsidR="00D46430" w:rsidRPr="00CD5673" w:rsidRDefault="00D46430" w:rsidP="00D46430">
      <w:pPr>
        <w:pStyle w:val="paragraphsub"/>
      </w:pPr>
      <w:r w:rsidRPr="00CD5673">
        <w:tab/>
        <w:t>(ii)</w:t>
      </w:r>
      <w:r w:rsidRPr="00CD5673">
        <w:tab/>
        <w:t>obtains an order for the appointment of a receiver of property of the company for the purpose of enforcing the security interest; or</w:t>
      </w:r>
    </w:p>
    <w:p w14:paraId="154ECB40" w14:textId="77777777" w:rsidR="00D46430" w:rsidRPr="00CD5673" w:rsidRDefault="00D46430" w:rsidP="00D46430">
      <w:pPr>
        <w:pStyle w:val="paragraphsub"/>
      </w:pPr>
      <w:r w:rsidRPr="00CD5673">
        <w:tab/>
        <w:t>(iii)</w:t>
      </w:r>
      <w:r w:rsidRPr="00CD5673">
        <w:tab/>
        <w:t>enters into possession, or assumes control, of property of the company for that purpose; or</w:t>
      </w:r>
    </w:p>
    <w:p w14:paraId="0AD806F5" w14:textId="77777777" w:rsidR="00D46430" w:rsidRPr="00CD5673" w:rsidRDefault="00D46430" w:rsidP="00D46430">
      <w:pPr>
        <w:pStyle w:val="paragraphsub"/>
      </w:pPr>
      <w:r w:rsidRPr="00CD5673">
        <w:tab/>
        <w:t>(iv)</w:t>
      </w:r>
      <w:r w:rsidRPr="00CD5673">
        <w:tab/>
        <w:t>appoints a person to enter into possession or assume control (whether as agent for the secured party or for the company).</w:t>
      </w:r>
    </w:p>
    <w:p w14:paraId="1C8F9B08" w14:textId="77777777" w:rsidR="00D46430" w:rsidRPr="00CD5673" w:rsidRDefault="00D46430" w:rsidP="00D46430">
      <w:pPr>
        <w:pStyle w:val="subsection"/>
      </w:pPr>
      <w:r w:rsidRPr="00CD5673">
        <w:tab/>
        <w:t>(4)</w:t>
      </w:r>
      <w:r w:rsidRPr="00CD5673">
        <w:tab/>
        <w:t>A right of indemnity of the restructuring practitioner under regulation 5.3B.43 has priority over those debts only in so far as it is a right of indemnity for debts incurred, or remuneration accruing, before written notice of the appointment, or of the entering into possession or assuming of control, as the case may be, was given to the restructuring practitioner.</w:t>
      </w:r>
    </w:p>
    <w:p w14:paraId="4C3B33F5" w14:textId="77777777" w:rsidR="00D46430" w:rsidRPr="00CD5673" w:rsidRDefault="00D46430" w:rsidP="00D46430">
      <w:pPr>
        <w:pStyle w:val="SubsectionHead"/>
      </w:pPr>
      <w:r w:rsidRPr="00CD5673">
        <w:lastRenderedPageBreak/>
        <w:t>Debts secured by circulating security interests—priority over right of indemnity in relation to repayment of money borrowed etc.</w:t>
      </w:r>
    </w:p>
    <w:p w14:paraId="164524BC" w14:textId="77777777" w:rsidR="00D46430" w:rsidRPr="00CD5673" w:rsidRDefault="00D46430" w:rsidP="00D46430">
      <w:pPr>
        <w:pStyle w:val="subsection"/>
      </w:pPr>
      <w:r w:rsidRPr="00CD5673">
        <w:tab/>
        <w:t>(5)</w:t>
      </w:r>
      <w:r w:rsidRPr="00CD5673">
        <w:tab/>
        <w:t>A right of indemnity under regulation 5.3B.43 does not have priority over debts of the company that are secured by a circulating security interest in property of the company, except so far as the secured party consents in writing, to the extent that the right of indemnity relates to debts incurred for:</w:t>
      </w:r>
    </w:p>
    <w:p w14:paraId="759EF4E5" w14:textId="77777777" w:rsidR="00D46430" w:rsidRPr="00CD5673" w:rsidRDefault="00D46430" w:rsidP="00D46430">
      <w:pPr>
        <w:pStyle w:val="paragraph"/>
      </w:pPr>
      <w:r w:rsidRPr="00CD5673">
        <w:tab/>
        <w:t>(a)</w:t>
      </w:r>
      <w:r w:rsidRPr="00CD5673">
        <w:tab/>
        <w:t>the repayment of money borrowed; or</w:t>
      </w:r>
    </w:p>
    <w:p w14:paraId="6E25E2A9" w14:textId="77777777" w:rsidR="00D46430" w:rsidRPr="00CD5673" w:rsidRDefault="00D46430" w:rsidP="00D46430">
      <w:pPr>
        <w:pStyle w:val="paragraph"/>
      </w:pPr>
      <w:r w:rsidRPr="00CD5673">
        <w:tab/>
        <w:t>(b)</w:t>
      </w:r>
      <w:r w:rsidRPr="00CD5673">
        <w:tab/>
        <w:t>interest in respect of money borrowed; or</w:t>
      </w:r>
    </w:p>
    <w:p w14:paraId="3E7555C5" w14:textId="77777777" w:rsidR="00D46430" w:rsidRPr="00CD5673" w:rsidRDefault="00D46430" w:rsidP="00D46430">
      <w:pPr>
        <w:pStyle w:val="paragraph"/>
      </w:pPr>
      <w:r w:rsidRPr="00CD5673">
        <w:tab/>
        <w:t>(c)</w:t>
      </w:r>
      <w:r w:rsidRPr="00CD5673">
        <w:tab/>
        <w:t>borrowing costs.</w:t>
      </w:r>
    </w:p>
    <w:p w14:paraId="36684175" w14:textId="77777777" w:rsidR="00D46430" w:rsidRPr="00CD5673" w:rsidRDefault="00D46430" w:rsidP="00D46430">
      <w:pPr>
        <w:pStyle w:val="ActHead5"/>
      </w:pPr>
      <w:bookmarkStart w:id="181" w:name="_Toc158711791"/>
      <w:r w:rsidRPr="00C614F1">
        <w:rPr>
          <w:rStyle w:val="CharSectno"/>
        </w:rPr>
        <w:t>5.3B.45</w:t>
      </w:r>
      <w:r w:rsidRPr="00CD5673">
        <w:t xml:space="preserve">  Lien to secure indemnity</w:t>
      </w:r>
      <w:bookmarkEnd w:id="181"/>
    </w:p>
    <w:p w14:paraId="58A3E5A4" w14:textId="77777777" w:rsidR="00D46430" w:rsidRPr="00CD5673" w:rsidRDefault="00D46430" w:rsidP="00D46430">
      <w:pPr>
        <w:pStyle w:val="subsection"/>
      </w:pPr>
      <w:r w:rsidRPr="00CD5673">
        <w:tab/>
        <w:t>(1)</w:t>
      </w:r>
      <w:r w:rsidRPr="00CD5673">
        <w:tab/>
        <w:t>To secure a right of indemnity under regulation 5.3B.43, the restructuring practitioner has a lien on the company’s property.</w:t>
      </w:r>
    </w:p>
    <w:p w14:paraId="22ADB100" w14:textId="77777777" w:rsidR="00D46430" w:rsidRPr="00CD5673" w:rsidRDefault="00D46430" w:rsidP="00D46430">
      <w:pPr>
        <w:pStyle w:val="subsection"/>
      </w:pPr>
      <w:r w:rsidRPr="00CD5673">
        <w:tab/>
        <w:t>(2)</w:t>
      </w:r>
      <w:r w:rsidRPr="00CD5673">
        <w:tab/>
        <w:t>A lien under subregulation (1) has priority over another security interest only in so far as the right of indemnity under regulation 5.3B.43 has priority over debts secured by the other security interest.</w:t>
      </w:r>
    </w:p>
    <w:p w14:paraId="7C6C2077" w14:textId="77777777" w:rsidR="00D46430" w:rsidRPr="00CD5673" w:rsidRDefault="00D46430" w:rsidP="00D46430">
      <w:pPr>
        <w:pStyle w:val="ActHead3"/>
        <w:pageBreakBefore/>
      </w:pPr>
      <w:bookmarkStart w:id="182" w:name="_Toc158711792"/>
      <w:r w:rsidRPr="00C614F1">
        <w:rPr>
          <w:rStyle w:val="CharDivNo"/>
        </w:rPr>
        <w:lastRenderedPageBreak/>
        <w:t>Division 4</w:t>
      </w:r>
      <w:r w:rsidRPr="00CD5673">
        <w:t>—</w:t>
      </w:r>
      <w:r w:rsidRPr="00C614F1">
        <w:rPr>
          <w:rStyle w:val="CharDivText"/>
        </w:rPr>
        <w:t>The restructuring practitioner</w:t>
      </w:r>
      <w:bookmarkEnd w:id="182"/>
    </w:p>
    <w:p w14:paraId="5B2682C5" w14:textId="77777777" w:rsidR="00D46430" w:rsidRPr="00CD5673" w:rsidRDefault="00D46430" w:rsidP="00D46430">
      <w:pPr>
        <w:pStyle w:val="ActHead5"/>
      </w:pPr>
      <w:bookmarkStart w:id="183" w:name="_Toc158711793"/>
      <w:r w:rsidRPr="00C614F1">
        <w:rPr>
          <w:rStyle w:val="CharSectno"/>
        </w:rPr>
        <w:t>5.3B.46</w:t>
      </w:r>
      <w:r w:rsidRPr="00CD5673">
        <w:t xml:space="preserve">  Authority</w:t>
      </w:r>
      <w:bookmarkEnd w:id="183"/>
    </w:p>
    <w:p w14:paraId="6F739E0C" w14:textId="77777777" w:rsidR="00D46430" w:rsidRPr="00CD5673" w:rsidRDefault="00D46430" w:rsidP="00D46430">
      <w:pPr>
        <w:pStyle w:val="subsection"/>
      </w:pPr>
      <w:r w:rsidRPr="00CD5673">
        <w:tab/>
      </w:r>
      <w:r w:rsidRPr="00CD5673">
        <w:tab/>
        <w:t>This Division is made for the purposes of subsection 456G(1) of the Act.</w:t>
      </w:r>
    </w:p>
    <w:p w14:paraId="4183346F" w14:textId="77777777" w:rsidR="00D46430" w:rsidRPr="00CD5673" w:rsidRDefault="00D46430" w:rsidP="00D46430">
      <w:pPr>
        <w:pStyle w:val="ActHead5"/>
      </w:pPr>
      <w:bookmarkStart w:id="184" w:name="_Toc158711794"/>
      <w:r w:rsidRPr="00C614F1">
        <w:rPr>
          <w:rStyle w:val="CharSectno"/>
        </w:rPr>
        <w:t>5.3B.47</w:t>
      </w:r>
      <w:r w:rsidRPr="00CD5673">
        <w:t xml:space="preserve">  Company must notify restructuring practitioner of certain matters</w:t>
      </w:r>
      <w:bookmarkEnd w:id="184"/>
    </w:p>
    <w:p w14:paraId="617F6CC0" w14:textId="77777777" w:rsidR="00D46430" w:rsidRPr="00CD5673" w:rsidRDefault="00D46430" w:rsidP="00D46430">
      <w:pPr>
        <w:pStyle w:val="subsection"/>
      </w:pPr>
      <w:r w:rsidRPr="00CD5673">
        <w:tab/>
        <w:t>(1)</w:t>
      </w:r>
      <w:r w:rsidRPr="00CD5673">
        <w:tab/>
        <w:t>The directors of a company that has made a restructuring plan that has not terminated must, within 2 business days after the day on which the directors become aware of the happening of an event mentioned in subregulation (4), give written notice of the event to the restructuring practitioner for the plan.</w:t>
      </w:r>
    </w:p>
    <w:p w14:paraId="707BE733" w14:textId="77777777" w:rsidR="00D46430" w:rsidRPr="00CD5673" w:rsidRDefault="00D46430" w:rsidP="00D46430">
      <w:pPr>
        <w:pStyle w:val="subsection"/>
      </w:pPr>
      <w:r w:rsidRPr="00CD5673">
        <w:tab/>
        <w:t>(2)</w:t>
      </w:r>
      <w:r w:rsidRPr="00CD5673">
        <w:tab/>
        <w:t>The restructuring practitioner must, within 2 business days after the day on which the restructuring practitioner receives the notice:</w:t>
      </w:r>
    </w:p>
    <w:p w14:paraId="5C618D7B" w14:textId="77777777" w:rsidR="00D46430" w:rsidRPr="00CD5673" w:rsidRDefault="00D46430" w:rsidP="00D46430">
      <w:pPr>
        <w:pStyle w:val="paragraph"/>
      </w:pPr>
      <w:r w:rsidRPr="00CD5673">
        <w:tab/>
        <w:t>(a)</w:t>
      </w:r>
      <w:r w:rsidRPr="00CD5673">
        <w:tab/>
        <w:t>lodge with ASIC notice in the prescribed form (if any) of the happening of the event; and</w:t>
      </w:r>
    </w:p>
    <w:p w14:paraId="257D8E90" w14:textId="77777777" w:rsidR="00D46430" w:rsidRPr="00CD5673" w:rsidRDefault="00D46430" w:rsidP="00D46430">
      <w:pPr>
        <w:pStyle w:val="paragraph"/>
      </w:pPr>
      <w:r w:rsidRPr="00CD5673">
        <w:tab/>
        <w:t>(b)</w:t>
      </w:r>
      <w:r w:rsidRPr="00CD5673">
        <w:tab/>
        <w:t>give a copy of the notice to as many of the company’s creditors as reasonably practicable.</w:t>
      </w:r>
    </w:p>
    <w:p w14:paraId="5CD2ECD9" w14:textId="77777777" w:rsidR="00D46430" w:rsidRPr="00CD5673" w:rsidRDefault="00D46430" w:rsidP="00D46430">
      <w:pPr>
        <w:pStyle w:val="subsection"/>
      </w:pPr>
      <w:r w:rsidRPr="00CD5673">
        <w:tab/>
        <w:t>(3)</w:t>
      </w:r>
      <w:r w:rsidRPr="00CD5673">
        <w:tab/>
        <w:t>If:</w:t>
      </w:r>
    </w:p>
    <w:p w14:paraId="22D52610" w14:textId="77777777" w:rsidR="00D46430" w:rsidRPr="00CD5673" w:rsidRDefault="00D46430" w:rsidP="00D46430">
      <w:pPr>
        <w:pStyle w:val="paragraph"/>
      </w:pPr>
      <w:r w:rsidRPr="00CD5673">
        <w:tab/>
        <w:t>(a)</w:t>
      </w:r>
      <w:r w:rsidRPr="00CD5673">
        <w:tab/>
        <w:t xml:space="preserve">a restructuring practitioner for the plan (the </w:t>
      </w:r>
      <w:r w:rsidRPr="00CD5673">
        <w:rPr>
          <w:b/>
          <w:i/>
        </w:rPr>
        <w:t>replacement practitioner</w:t>
      </w:r>
      <w:r w:rsidRPr="00CD5673">
        <w:t>) is appointed under subregulation 5.3B.34(1); and</w:t>
      </w:r>
    </w:p>
    <w:p w14:paraId="6621F67F" w14:textId="77777777" w:rsidR="00D46430" w:rsidRPr="00CD5673" w:rsidRDefault="00D46430" w:rsidP="00D46430">
      <w:pPr>
        <w:pStyle w:val="paragraph"/>
      </w:pPr>
      <w:r w:rsidRPr="00CD5673">
        <w:tab/>
        <w:t>(b)</w:t>
      </w:r>
      <w:r w:rsidRPr="00CD5673">
        <w:tab/>
        <w:t>at the time of the appointment, notice of the happening of the event has not been lodged or given in accordance with subregulation (2);</w:t>
      </w:r>
    </w:p>
    <w:p w14:paraId="3FFA594D" w14:textId="77777777" w:rsidR="00D46430" w:rsidRPr="00CD5673" w:rsidRDefault="00D46430" w:rsidP="00D46430">
      <w:pPr>
        <w:pStyle w:val="subsection2"/>
      </w:pPr>
      <w:r w:rsidRPr="00CD5673">
        <w:t>the directors must give written notice of the event to the replacement practitioner within 2 business days after the day on which the replacement practitioner is appointed.</w:t>
      </w:r>
    </w:p>
    <w:p w14:paraId="0240BFC9" w14:textId="77777777" w:rsidR="00D46430" w:rsidRPr="00CD5673" w:rsidRDefault="00D46430" w:rsidP="00D46430">
      <w:pPr>
        <w:pStyle w:val="subsection"/>
      </w:pPr>
      <w:r w:rsidRPr="00CD5673">
        <w:tab/>
        <w:t>(4)</w:t>
      </w:r>
      <w:r w:rsidRPr="00CD5673">
        <w:tab/>
        <w:t>The events that must be notified are as follows:</w:t>
      </w:r>
    </w:p>
    <w:p w14:paraId="090A2936" w14:textId="77777777" w:rsidR="00D46430" w:rsidRPr="00CD5673" w:rsidRDefault="00D46430" w:rsidP="00D46430">
      <w:pPr>
        <w:pStyle w:val="paragraph"/>
      </w:pPr>
      <w:r w:rsidRPr="00CD5673">
        <w:tab/>
        <w:t>(a)</w:t>
      </w:r>
      <w:r w:rsidRPr="00CD5673">
        <w:tab/>
        <w:t>an administrator of the company is appointed under section 436A, 436B or 436C of the Act;</w:t>
      </w:r>
    </w:p>
    <w:p w14:paraId="65DBB005" w14:textId="77777777" w:rsidR="00D46430" w:rsidRPr="00CD5673" w:rsidRDefault="00D46430" w:rsidP="00D46430">
      <w:pPr>
        <w:pStyle w:val="paragraph"/>
        <w:outlineLvl w:val="3"/>
      </w:pPr>
      <w:r w:rsidRPr="00CD5673">
        <w:tab/>
        <w:t>(b)</w:t>
      </w:r>
      <w:r w:rsidRPr="00CD5673">
        <w:tab/>
        <w:t>a liquidator or provisional liquidator of the company is appointed.</w:t>
      </w:r>
    </w:p>
    <w:p w14:paraId="37FC9184" w14:textId="77777777" w:rsidR="00D46430" w:rsidRPr="00CD5673" w:rsidRDefault="00D46430" w:rsidP="00D46430">
      <w:pPr>
        <w:pStyle w:val="ActHead3"/>
        <w:pageBreakBefore/>
      </w:pPr>
      <w:bookmarkStart w:id="185" w:name="_Toc158711795"/>
      <w:r w:rsidRPr="00C614F1">
        <w:rPr>
          <w:rStyle w:val="CharDivNo"/>
        </w:rPr>
        <w:lastRenderedPageBreak/>
        <w:t>Division 5</w:t>
      </w:r>
      <w:r w:rsidRPr="00CD5673">
        <w:t>—</w:t>
      </w:r>
      <w:r w:rsidRPr="00C614F1">
        <w:rPr>
          <w:rStyle w:val="CharDivText"/>
        </w:rPr>
        <w:t>Information, reports, documents etc.</w:t>
      </w:r>
      <w:bookmarkEnd w:id="185"/>
    </w:p>
    <w:p w14:paraId="6F673A1C" w14:textId="77777777" w:rsidR="00D46430" w:rsidRPr="00CD5673" w:rsidRDefault="00D46430" w:rsidP="00D46430">
      <w:pPr>
        <w:pStyle w:val="ActHead4"/>
      </w:pPr>
      <w:bookmarkStart w:id="186" w:name="_Toc158711796"/>
      <w:r w:rsidRPr="00C614F1">
        <w:rPr>
          <w:rStyle w:val="CharSubdNo"/>
        </w:rPr>
        <w:t>Subdivision A</w:t>
      </w:r>
      <w:r w:rsidRPr="00CD5673">
        <w:t>—</w:t>
      </w:r>
      <w:r w:rsidRPr="00C614F1">
        <w:rPr>
          <w:rStyle w:val="CharSubdText"/>
        </w:rPr>
        <w:t>Preliminary</w:t>
      </w:r>
      <w:bookmarkEnd w:id="186"/>
    </w:p>
    <w:p w14:paraId="662D371C" w14:textId="77777777" w:rsidR="00D46430" w:rsidRPr="00CD5673" w:rsidRDefault="00D46430" w:rsidP="00D46430">
      <w:pPr>
        <w:pStyle w:val="ActHead5"/>
      </w:pPr>
      <w:bookmarkStart w:id="187" w:name="_Toc158711797"/>
      <w:r w:rsidRPr="00C614F1">
        <w:rPr>
          <w:rStyle w:val="CharSectno"/>
        </w:rPr>
        <w:t>5.3B.48</w:t>
      </w:r>
      <w:r w:rsidRPr="00CD5673">
        <w:t xml:space="preserve">  Authority</w:t>
      </w:r>
      <w:bookmarkEnd w:id="187"/>
    </w:p>
    <w:p w14:paraId="6FA81F96" w14:textId="77777777" w:rsidR="00D46430" w:rsidRPr="00CD5673" w:rsidRDefault="00D46430" w:rsidP="00D46430">
      <w:pPr>
        <w:pStyle w:val="subsection"/>
      </w:pPr>
      <w:r w:rsidRPr="00CD5673">
        <w:tab/>
      </w:r>
      <w:r w:rsidRPr="00CD5673">
        <w:tab/>
        <w:t>This Division is made for the purposes of section 457A of the Act.</w:t>
      </w:r>
    </w:p>
    <w:p w14:paraId="1FD0A558" w14:textId="77777777" w:rsidR="00D46430" w:rsidRPr="00CD5673" w:rsidRDefault="00D46430" w:rsidP="00D46430">
      <w:pPr>
        <w:pStyle w:val="ActHead4"/>
      </w:pPr>
      <w:bookmarkStart w:id="188" w:name="_Toc158711798"/>
      <w:r w:rsidRPr="00C614F1">
        <w:rPr>
          <w:rStyle w:val="CharSubdNo"/>
        </w:rPr>
        <w:t>Subdivision B</w:t>
      </w:r>
      <w:r w:rsidRPr="00CD5673">
        <w:t>—</w:t>
      </w:r>
      <w:r w:rsidRPr="00C614F1">
        <w:rPr>
          <w:rStyle w:val="CharSubdText"/>
        </w:rPr>
        <w:t>Information, reports, documents etc. during restructuring</w:t>
      </w:r>
      <w:bookmarkEnd w:id="188"/>
    </w:p>
    <w:p w14:paraId="2263F185" w14:textId="77777777" w:rsidR="00D46430" w:rsidRPr="00CD5673" w:rsidRDefault="00D46430" w:rsidP="00D46430">
      <w:pPr>
        <w:pStyle w:val="ActHead5"/>
      </w:pPr>
      <w:bookmarkStart w:id="189" w:name="_Toc158711799"/>
      <w:r w:rsidRPr="00C614F1">
        <w:rPr>
          <w:rStyle w:val="CharSectno"/>
        </w:rPr>
        <w:t>5.3B.49</w:t>
      </w:r>
      <w:r w:rsidRPr="00CD5673">
        <w:t xml:space="preserve">  Declaration by directors—eligibility to be under restructuring and other matters</w:t>
      </w:r>
      <w:bookmarkEnd w:id="189"/>
    </w:p>
    <w:p w14:paraId="6F3538E8" w14:textId="77777777" w:rsidR="00D46430" w:rsidRPr="00CD5673" w:rsidRDefault="00D46430" w:rsidP="00D46430">
      <w:pPr>
        <w:pStyle w:val="subsection"/>
      </w:pPr>
      <w:r w:rsidRPr="00CD5673">
        <w:tab/>
        <w:t>(1)</w:t>
      </w:r>
      <w:r w:rsidRPr="00CD5673">
        <w:tab/>
        <w:t>Within 5 business days after the day on which the restructuring of a company begins or such longer period as the company’s restructuring practitioner allows, the directors of the company must give to the restructuring practitioner a declaration in accordance with this regulation.</w:t>
      </w:r>
    </w:p>
    <w:p w14:paraId="67D501F5"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71B90093" w14:textId="77777777" w:rsidR="00D46430" w:rsidRPr="00CD5673" w:rsidRDefault="00D46430" w:rsidP="00D46430">
      <w:pPr>
        <w:pStyle w:val="subsection"/>
      </w:pPr>
      <w:r w:rsidRPr="00CD5673">
        <w:tab/>
        <w:t>(2)</w:t>
      </w:r>
      <w:r w:rsidRPr="00CD5673">
        <w:tab/>
        <w:t>The declaration must:</w:t>
      </w:r>
    </w:p>
    <w:p w14:paraId="6157E8CF" w14:textId="77777777" w:rsidR="00D46430" w:rsidRPr="00CD5673" w:rsidRDefault="00D46430" w:rsidP="00D46430">
      <w:pPr>
        <w:pStyle w:val="paragraph"/>
      </w:pPr>
      <w:r w:rsidRPr="00CD5673">
        <w:tab/>
        <w:t>(a)</w:t>
      </w:r>
      <w:r w:rsidRPr="00CD5673">
        <w:tab/>
        <w:t>be in the form approved under regulation 5.3B.65 (if any); and</w:t>
      </w:r>
    </w:p>
    <w:p w14:paraId="048B2C23" w14:textId="77777777" w:rsidR="00D46430" w:rsidRPr="00CD5673" w:rsidRDefault="00D46430" w:rsidP="00D46430">
      <w:pPr>
        <w:pStyle w:val="paragraph"/>
      </w:pPr>
      <w:r w:rsidRPr="00CD5673">
        <w:tab/>
        <w:t>(b)</w:t>
      </w:r>
      <w:r w:rsidRPr="00CD5673">
        <w:tab/>
        <w:t>state whether, in the directors’ opinion, there are reasonable grounds to believe that the company has entered into a transaction that would be voidable under section 588FE of the Act if:</w:t>
      </w:r>
    </w:p>
    <w:p w14:paraId="6A28F382" w14:textId="77777777" w:rsidR="00D46430" w:rsidRPr="00CD5673" w:rsidRDefault="00D46430" w:rsidP="00D46430">
      <w:pPr>
        <w:pStyle w:val="paragraphsub"/>
      </w:pPr>
      <w:r w:rsidRPr="00CD5673">
        <w:tab/>
        <w:t>(i)</w:t>
      </w:r>
      <w:r w:rsidRPr="00CD5673">
        <w:tab/>
        <w:t>the company were being wound up because the company had resolved by special resolution that it be wound up voluntarily; and</w:t>
      </w:r>
    </w:p>
    <w:p w14:paraId="4012B64A" w14:textId="77777777" w:rsidR="00D46430" w:rsidRPr="00CD5673" w:rsidRDefault="00D46430" w:rsidP="00D46430">
      <w:pPr>
        <w:pStyle w:val="paragraphsub"/>
      </w:pPr>
      <w:r w:rsidRPr="00CD5673">
        <w:tab/>
        <w:t>(ii)</w:t>
      </w:r>
      <w:r w:rsidRPr="00CD5673">
        <w:tab/>
        <w:t>the resolution had been passed on the day on which the declaration is given; and</w:t>
      </w:r>
    </w:p>
    <w:p w14:paraId="28E81C96" w14:textId="77777777" w:rsidR="00D46430" w:rsidRPr="00CD5673" w:rsidRDefault="00D46430" w:rsidP="00D46430">
      <w:pPr>
        <w:pStyle w:val="paragraphsub"/>
      </w:pPr>
      <w:r w:rsidRPr="00CD5673">
        <w:tab/>
        <w:t>(iii)</w:t>
      </w:r>
      <w:r w:rsidRPr="00CD5673">
        <w:tab/>
        <w:t>the company were under restructuring immediately before the company passed the resolution; and</w:t>
      </w:r>
    </w:p>
    <w:p w14:paraId="6B9D68F4" w14:textId="77777777" w:rsidR="00D46430" w:rsidRPr="00CD5673" w:rsidRDefault="00D46430" w:rsidP="00D46430">
      <w:pPr>
        <w:pStyle w:val="paragraphsub"/>
      </w:pPr>
      <w:r w:rsidRPr="00CD5673">
        <w:tab/>
        <w:t>(iv)</w:t>
      </w:r>
      <w:r w:rsidRPr="00CD5673">
        <w:tab/>
        <w:t>the relation</w:t>
      </w:r>
      <w:r w:rsidR="00C614F1">
        <w:noBreakHyphen/>
      </w:r>
      <w:r w:rsidRPr="00CD5673">
        <w:t>back day were the day on which the restructuring of the company began;</w:t>
      </w:r>
    </w:p>
    <w:p w14:paraId="10D036E7" w14:textId="77777777" w:rsidR="00D46430" w:rsidRPr="00CD5673" w:rsidRDefault="00D46430" w:rsidP="00D46430">
      <w:pPr>
        <w:pStyle w:val="paragraph"/>
      </w:pPr>
      <w:r w:rsidRPr="00CD5673">
        <w:tab/>
      </w:r>
      <w:r w:rsidRPr="00CD5673">
        <w:tab/>
        <w:t>other than a transaction that would be an unfair preference; and</w:t>
      </w:r>
    </w:p>
    <w:p w14:paraId="1ED702E1" w14:textId="77777777" w:rsidR="00D46430" w:rsidRPr="00CD5673" w:rsidRDefault="00D46430" w:rsidP="00D46430">
      <w:pPr>
        <w:pStyle w:val="paragraph"/>
      </w:pPr>
      <w:r w:rsidRPr="00CD5673">
        <w:tab/>
        <w:t>(c)</w:t>
      </w:r>
      <w:r w:rsidRPr="00CD5673">
        <w:tab/>
        <w:t>state whether, in the directors’ opinion, there are reasonable grounds to believe that the eligibility criteria for restructuring were met in relation to the company at the time the restructuring began, and set out the reasons for that opinion.</w:t>
      </w:r>
    </w:p>
    <w:p w14:paraId="399625BD" w14:textId="77777777" w:rsidR="00D46430" w:rsidRPr="00CD5673" w:rsidRDefault="00D46430" w:rsidP="00D46430">
      <w:pPr>
        <w:pStyle w:val="notetext"/>
      </w:pPr>
      <w:r w:rsidRPr="00CD5673">
        <w:t>Note:</w:t>
      </w:r>
      <w:r w:rsidRPr="00CD5673">
        <w:tab/>
        <w:t>A declaration must not be false or misleading in a material particular, or omit anything that would render it misleading in a material respect: see section 1308 of the Act.</w:t>
      </w:r>
    </w:p>
    <w:p w14:paraId="50329FBF" w14:textId="77777777" w:rsidR="00D46430" w:rsidRPr="00CD5673" w:rsidRDefault="00D46430" w:rsidP="00D46430">
      <w:pPr>
        <w:pStyle w:val="subsection"/>
      </w:pPr>
      <w:r w:rsidRPr="00CD5673">
        <w:tab/>
        <w:t>(3)</w:t>
      </w:r>
      <w:r w:rsidRPr="00CD5673">
        <w:tab/>
        <w:t>The declaration must be signed by each director of the company.</w:t>
      </w:r>
    </w:p>
    <w:p w14:paraId="4127454B" w14:textId="77777777" w:rsidR="00D46430" w:rsidRPr="00CD5673" w:rsidRDefault="00D46430" w:rsidP="00D46430">
      <w:pPr>
        <w:pStyle w:val="ActHead5"/>
      </w:pPr>
      <w:bookmarkStart w:id="190" w:name="_Toc158711800"/>
      <w:r w:rsidRPr="00C614F1">
        <w:rPr>
          <w:rStyle w:val="CharSectno"/>
        </w:rPr>
        <w:t>5.3B.50</w:t>
      </w:r>
      <w:r w:rsidRPr="00CD5673">
        <w:t xml:space="preserve">  Notice of appointment of restructuring practitioner for company</w:t>
      </w:r>
      <w:bookmarkEnd w:id="190"/>
    </w:p>
    <w:p w14:paraId="1A9A1F19" w14:textId="77777777" w:rsidR="00D46430" w:rsidRPr="00CD5673" w:rsidRDefault="00D46430" w:rsidP="00D46430">
      <w:pPr>
        <w:pStyle w:val="subsection"/>
        <w:outlineLvl w:val="3"/>
      </w:pPr>
      <w:r w:rsidRPr="00CD5673">
        <w:tab/>
        <w:t>(1)</w:t>
      </w:r>
      <w:r w:rsidRPr="00CD5673">
        <w:tab/>
        <w:t>Within 1 business day after the day on which a restructuring practitioner for a company is appointed, the restructuring practitioner must lodge with ASIC notice of the appointment:</w:t>
      </w:r>
    </w:p>
    <w:p w14:paraId="25A7B52F" w14:textId="77777777" w:rsidR="00D46430" w:rsidRPr="00CD5673" w:rsidRDefault="00D46430" w:rsidP="00D46430">
      <w:pPr>
        <w:pStyle w:val="paragraph"/>
      </w:pPr>
      <w:r w:rsidRPr="00CD5673">
        <w:tab/>
        <w:t>(a)</w:t>
      </w:r>
      <w:r w:rsidRPr="00CD5673">
        <w:tab/>
        <w:t>in the prescribed form (if any); and</w:t>
      </w:r>
    </w:p>
    <w:p w14:paraId="2DDEA145" w14:textId="77777777" w:rsidR="00D46430" w:rsidRPr="00CD5673" w:rsidRDefault="00D46430" w:rsidP="00D46430">
      <w:pPr>
        <w:pStyle w:val="paragraph"/>
      </w:pPr>
      <w:r w:rsidRPr="00CD5673">
        <w:tab/>
        <w:t>(b)</w:t>
      </w:r>
      <w:r w:rsidRPr="00CD5673">
        <w:tab/>
        <w:t>in accordance with subregulation 5.6.75(4).</w:t>
      </w:r>
    </w:p>
    <w:p w14:paraId="50DD9BB2"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60AAEE61" w14:textId="77777777" w:rsidR="00D46430" w:rsidRPr="00CD5673" w:rsidRDefault="00D46430" w:rsidP="00D46430">
      <w:pPr>
        <w:pStyle w:val="subsection"/>
        <w:outlineLvl w:val="3"/>
      </w:pPr>
      <w:r w:rsidRPr="00CD5673">
        <w:tab/>
        <w:t>(2)</w:t>
      </w:r>
      <w:r w:rsidRPr="00CD5673">
        <w:tab/>
        <w:t>Within 1 business day after the day on which a restructuring practitioner for a company is appointed, the restructuring practitioner must give information about the following to as many of the company’s creditors as reasonably practicable:</w:t>
      </w:r>
    </w:p>
    <w:p w14:paraId="1887DC9A" w14:textId="77777777" w:rsidR="00D46430" w:rsidRPr="00CD5673" w:rsidRDefault="00D46430" w:rsidP="00D46430">
      <w:pPr>
        <w:pStyle w:val="paragraph"/>
        <w:outlineLvl w:val="3"/>
      </w:pPr>
      <w:r w:rsidRPr="00CD5673">
        <w:tab/>
        <w:t>(a)</w:t>
      </w:r>
      <w:r w:rsidRPr="00CD5673">
        <w:tab/>
        <w:t>the fact that the restructuring practitioner has been appointed in relation to the company;</w:t>
      </w:r>
    </w:p>
    <w:p w14:paraId="2F26BFDC" w14:textId="77777777" w:rsidR="00D46430" w:rsidRPr="00CD5673" w:rsidRDefault="00D46430" w:rsidP="00D46430">
      <w:pPr>
        <w:pStyle w:val="paragraph"/>
        <w:outlineLvl w:val="3"/>
      </w:pPr>
      <w:r w:rsidRPr="00CD5673">
        <w:tab/>
        <w:t>(b)</w:t>
      </w:r>
      <w:r w:rsidRPr="00CD5673">
        <w:tab/>
        <w:t>the name of the company;</w:t>
      </w:r>
    </w:p>
    <w:p w14:paraId="7C9B326F" w14:textId="77777777" w:rsidR="00D46430" w:rsidRPr="00CD5673" w:rsidRDefault="00D46430" w:rsidP="00D46430">
      <w:pPr>
        <w:pStyle w:val="paragraph"/>
        <w:outlineLvl w:val="3"/>
      </w:pPr>
      <w:r w:rsidRPr="00CD5673">
        <w:tab/>
        <w:t>(c)</w:t>
      </w:r>
      <w:r w:rsidRPr="00CD5673">
        <w:tab/>
        <w:t>any trading name of the company;</w:t>
      </w:r>
    </w:p>
    <w:p w14:paraId="68EAD285" w14:textId="77777777" w:rsidR="00D46430" w:rsidRPr="00CD5673" w:rsidRDefault="00D46430" w:rsidP="00D46430">
      <w:pPr>
        <w:pStyle w:val="paragraph"/>
        <w:outlineLvl w:val="3"/>
      </w:pPr>
      <w:r w:rsidRPr="00CD5673">
        <w:tab/>
        <w:t>(d)</w:t>
      </w:r>
      <w:r w:rsidRPr="00CD5673">
        <w:tab/>
        <w:t>the ACN of the company;</w:t>
      </w:r>
    </w:p>
    <w:p w14:paraId="139B1E72" w14:textId="77777777" w:rsidR="00D46430" w:rsidRPr="00CD5673" w:rsidRDefault="00D46430" w:rsidP="00D46430">
      <w:pPr>
        <w:pStyle w:val="paragraph"/>
        <w:outlineLvl w:val="3"/>
      </w:pPr>
      <w:r w:rsidRPr="00CD5673">
        <w:tab/>
        <w:t>(e)</w:t>
      </w:r>
      <w:r w:rsidRPr="00CD5673">
        <w:tab/>
        <w:t>the name and contact details of the restructuring practitioner;</w:t>
      </w:r>
    </w:p>
    <w:p w14:paraId="40EBC4FE" w14:textId="77777777" w:rsidR="00D46430" w:rsidRPr="00CD5673" w:rsidRDefault="00D46430" w:rsidP="00D46430">
      <w:pPr>
        <w:pStyle w:val="paragraph"/>
        <w:outlineLvl w:val="3"/>
      </w:pPr>
      <w:r w:rsidRPr="00CD5673">
        <w:tab/>
        <w:t>(f)</w:t>
      </w:r>
      <w:r w:rsidRPr="00CD5673">
        <w:tab/>
        <w:t>the date on which the restructuring practitioner was appointed;</w:t>
      </w:r>
    </w:p>
    <w:p w14:paraId="2FF12C5A" w14:textId="77777777" w:rsidR="00D46430" w:rsidRPr="00CD5673" w:rsidRDefault="00D46430" w:rsidP="00D46430">
      <w:pPr>
        <w:pStyle w:val="paragraph"/>
        <w:outlineLvl w:val="3"/>
      </w:pPr>
      <w:r w:rsidRPr="00CD5673">
        <w:tab/>
        <w:t>(g)</w:t>
      </w:r>
      <w:r w:rsidRPr="00CD5673">
        <w:tab/>
        <w:t>the restructuring process and the process of making a restructuring plan, including:</w:t>
      </w:r>
    </w:p>
    <w:p w14:paraId="523F37A2" w14:textId="77777777" w:rsidR="00D46430" w:rsidRPr="00CD5673" w:rsidRDefault="00D46430" w:rsidP="00D46430">
      <w:pPr>
        <w:pStyle w:val="paragraphsub"/>
      </w:pPr>
      <w:r w:rsidRPr="00CD5673">
        <w:tab/>
        <w:t>(i)</w:t>
      </w:r>
      <w:r w:rsidRPr="00CD5673">
        <w:tab/>
        <w:t>the proposal period in relation to the company; and</w:t>
      </w:r>
    </w:p>
    <w:p w14:paraId="5E4631DE" w14:textId="77777777" w:rsidR="00D46430" w:rsidRPr="00CD5673" w:rsidRDefault="00D46430" w:rsidP="00D46430">
      <w:pPr>
        <w:pStyle w:val="paragraphsub"/>
      </w:pPr>
      <w:r w:rsidRPr="00CD5673">
        <w:tab/>
        <w:t>(ii)</w:t>
      </w:r>
      <w:r w:rsidRPr="00CD5673">
        <w:tab/>
        <w:t>the amount of time in which an affected creditor may decide whether a proposed restructuring plan should be accepted; and</w:t>
      </w:r>
    </w:p>
    <w:p w14:paraId="45F400B1" w14:textId="77777777" w:rsidR="00D46430" w:rsidRPr="00CD5673" w:rsidRDefault="00D46430" w:rsidP="00D46430">
      <w:pPr>
        <w:pStyle w:val="paragraphsub"/>
      </w:pPr>
      <w:r w:rsidRPr="00CD5673">
        <w:tab/>
        <w:t>(iii)</w:t>
      </w:r>
      <w:r w:rsidRPr="00CD5673">
        <w:tab/>
        <w:t>how an affected creditor may verify or dispute the creditor’s admissible debts or claims;</w:t>
      </w:r>
    </w:p>
    <w:p w14:paraId="3CCB677C" w14:textId="77777777" w:rsidR="00D46430" w:rsidRPr="00CD5673" w:rsidRDefault="00D46430" w:rsidP="00D46430">
      <w:pPr>
        <w:pStyle w:val="paragraph"/>
        <w:outlineLvl w:val="3"/>
      </w:pPr>
      <w:r w:rsidRPr="00CD5673">
        <w:lastRenderedPageBreak/>
        <w:tab/>
        <w:t>(h)</w:t>
      </w:r>
      <w:r w:rsidRPr="00CD5673">
        <w:tab/>
        <w:t>how a person may obtain further information about the restructuring process and the process of making a restructuring plan;</w:t>
      </w:r>
    </w:p>
    <w:p w14:paraId="624DCA13" w14:textId="77777777" w:rsidR="00D46430" w:rsidRPr="00CD5673" w:rsidRDefault="00D46430" w:rsidP="00D46430">
      <w:pPr>
        <w:pStyle w:val="paragraph"/>
        <w:outlineLvl w:val="3"/>
      </w:pPr>
      <w:r w:rsidRPr="00CD5673">
        <w:tab/>
        <w:t>(i)</w:t>
      </w:r>
      <w:r w:rsidRPr="00CD5673">
        <w:tab/>
        <w:t>the right of creditors to request information, reports and documents under sections 70</w:t>
      </w:r>
      <w:r w:rsidR="00C614F1">
        <w:noBreakHyphen/>
      </w:r>
      <w:r w:rsidRPr="00CD5673">
        <w:t>40 and 70</w:t>
      </w:r>
      <w:r w:rsidR="00C614F1">
        <w:noBreakHyphen/>
      </w:r>
      <w:r w:rsidRPr="00CD5673">
        <w:t>45 of Schedule 2 to the Act.</w:t>
      </w:r>
    </w:p>
    <w:p w14:paraId="5D4E266C"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1A24F02D" w14:textId="77777777" w:rsidR="00D46430" w:rsidRPr="00CD5673" w:rsidRDefault="00D46430" w:rsidP="00D46430">
      <w:pPr>
        <w:pStyle w:val="ActHead5"/>
      </w:pPr>
      <w:bookmarkStart w:id="191" w:name="_Toc158711801"/>
      <w:r w:rsidRPr="00C614F1">
        <w:rPr>
          <w:rStyle w:val="CharSectno"/>
        </w:rPr>
        <w:t>5.3B.51</w:t>
      </w:r>
      <w:r w:rsidRPr="00CD5673">
        <w:t xml:space="preserve">  Notice of termination of appointment of restructuring practitioner for company</w:t>
      </w:r>
      <w:bookmarkEnd w:id="191"/>
    </w:p>
    <w:p w14:paraId="161EBA41" w14:textId="77777777" w:rsidR="00D46430" w:rsidRPr="00CD5673" w:rsidRDefault="00D46430" w:rsidP="00D46430">
      <w:pPr>
        <w:pStyle w:val="subsection"/>
      </w:pPr>
      <w:r w:rsidRPr="00CD5673">
        <w:tab/>
      </w:r>
      <w:r w:rsidRPr="00CD5673">
        <w:tab/>
        <w:t>Within 2 business days after the day on which the appointment of a person as restructuring practitioner for a company terminates, notice in the prescribed form (if any) of the termination must be lodged with ASIC:</w:t>
      </w:r>
    </w:p>
    <w:p w14:paraId="33DC032A" w14:textId="77777777" w:rsidR="00D46430" w:rsidRPr="00CD5673" w:rsidRDefault="00D46430" w:rsidP="00D46430">
      <w:pPr>
        <w:pStyle w:val="paragraph"/>
      </w:pPr>
      <w:r w:rsidRPr="00CD5673">
        <w:tab/>
        <w:t>(a)</w:t>
      </w:r>
      <w:r w:rsidRPr="00CD5673">
        <w:tab/>
        <w:t>if the termination is because of the death of the person—by the company; and</w:t>
      </w:r>
    </w:p>
    <w:p w14:paraId="1A723AE7" w14:textId="77777777" w:rsidR="00D46430" w:rsidRPr="00CD5673" w:rsidRDefault="00D46430" w:rsidP="00D46430">
      <w:pPr>
        <w:pStyle w:val="paragraph"/>
      </w:pPr>
      <w:r w:rsidRPr="00CD5673">
        <w:tab/>
        <w:t>(b)</w:t>
      </w:r>
      <w:r w:rsidRPr="00CD5673">
        <w:tab/>
        <w:t>otherwise—by the person.</w:t>
      </w:r>
    </w:p>
    <w:p w14:paraId="2B4A5ED3" w14:textId="77777777" w:rsidR="00D46430" w:rsidRPr="00CD5673" w:rsidRDefault="00D46430" w:rsidP="00D46430">
      <w:pPr>
        <w:pStyle w:val="ActHead5"/>
      </w:pPr>
      <w:bookmarkStart w:id="192" w:name="_Toc158711802"/>
      <w:r w:rsidRPr="00C614F1">
        <w:rPr>
          <w:rStyle w:val="CharSectno"/>
        </w:rPr>
        <w:t>5.3B.52</w:t>
      </w:r>
      <w:r w:rsidRPr="00CD5673">
        <w:t xml:space="preserve">  Notice of restructuring plan etc. given to affected creditors</w:t>
      </w:r>
      <w:bookmarkEnd w:id="192"/>
    </w:p>
    <w:p w14:paraId="5F249340" w14:textId="77777777" w:rsidR="00D46430" w:rsidRPr="00CD5673" w:rsidRDefault="00D46430" w:rsidP="00D46430">
      <w:pPr>
        <w:pStyle w:val="subsection"/>
      </w:pPr>
      <w:r w:rsidRPr="00CD5673">
        <w:tab/>
      </w:r>
      <w:r w:rsidRPr="00CD5673">
        <w:tab/>
        <w:t>Within 2 business days after the day on which the restructuring practitioner for a company gives, in accordance with subregulation 5.3B.21(1), a copy of:</w:t>
      </w:r>
    </w:p>
    <w:p w14:paraId="1931ECD9" w14:textId="77777777" w:rsidR="00D46430" w:rsidRPr="00CD5673" w:rsidRDefault="00D46430" w:rsidP="00D46430">
      <w:pPr>
        <w:pStyle w:val="paragraph"/>
      </w:pPr>
      <w:r w:rsidRPr="00CD5673">
        <w:tab/>
        <w:t>(a)</w:t>
      </w:r>
      <w:r w:rsidRPr="00CD5673">
        <w:tab/>
        <w:t>the company’s restructuring plan; and</w:t>
      </w:r>
    </w:p>
    <w:p w14:paraId="2B57F835" w14:textId="77777777" w:rsidR="00D46430" w:rsidRPr="00CD5673" w:rsidRDefault="00D46430" w:rsidP="00D46430">
      <w:pPr>
        <w:pStyle w:val="paragraph"/>
      </w:pPr>
      <w:r w:rsidRPr="00CD5673">
        <w:tab/>
        <w:t>(b)</w:t>
      </w:r>
      <w:r w:rsidRPr="00CD5673">
        <w:tab/>
        <w:t>the company’s restructuring proposal statement; and</w:t>
      </w:r>
    </w:p>
    <w:p w14:paraId="68D9C5A5" w14:textId="77777777" w:rsidR="00D46430" w:rsidRPr="00CD5673" w:rsidRDefault="00D46430" w:rsidP="00D46430">
      <w:pPr>
        <w:pStyle w:val="paragraph"/>
      </w:pPr>
      <w:r w:rsidRPr="00CD5673">
        <w:tab/>
        <w:t>(c)</w:t>
      </w:r>
      <w:r w:rsidRPr="00CD5673">
        <w:tab/>
        <w:t>the declaration prepared by the restructuring practitioner under regulation 5.3B.18;</w:t>
      </w:r>
    </w:p>
    <w:p w14:paraId="05803438" w14:textId="77777777" w:rsidR="00D46430" w:rsidRPr="00CD5673" w:rsidRDefault="00D46430" w:rsidP="00D46430">
      <w:pPr>
        <w:pStyle w:val="subsection2"/>
      </w:pPr>
      <w:r w:rsidRPr="00CD5673">
        <w:t>the restructuring practitioner must lodge with ASIC in the prescribed form (if any):</w:t>
      </w:r>
    </w:p>
    <w:p w14:paraId="226003B0" w14:textId="77777777" w:rsidR="00D46430" w:rsidRPr="00CD5673" w:rsidRDefault="00D46430" w:rsidP="00D46430">
      <w:pPr>
        <w:pStyle w:val="paragraph"/>
      </w:pPr>
      <w:r w:rsidRPr="00CD5673">
        <w:tab/>
        <w:t>(d)</w:t>
      </w:r>
      <w:r w:rsidRPr="00CD5673">
        <w:tab/>
        <w:t>the plan; and</w:t>
      </w:r>
    </w:p>
    <w:p w14:paraId="587A4B61" w14:textId="77777777" w:rsidR="00D46430" w:rsidRPr="00CD5673" w:rsidRDefault="00D46430" w:rsidP="00D46430">
      <w:pPr>
        <w:pStyle w:val="paragraph"/>
      </w:pPr>
      <w:r w:rsidRPr="00CD5673">
        <w:tab/>
        <w:t>(e)</w:t>
      </w:r>
      <w:r w:rsidRPr="00CD5673">
        <w:tab/>
        <w:t>the restructuring proposal statement; and</w:t>
      </w:r>
    </w:p>
    <w:p w14:paraId="66AABD46" w14:textId="77777777" w:rsidR="00D46430" w:rsidRPr="00CD5673" w:rsidRDefault="00D46430" w:rsidP="00D46430">
      <w:pPr>
        <w:pStyle w:val="paragraph"/>
      </w:pPr>
      <w:r w:rsidRPr="00CD5673">
        <w:tab/>
        <w:t>(f)</w:t>
      </w:r>
      <w:r w:rsidRPr="00CD5673">
        <w:tab/>
        <w:t>the declaration.</w:t>
      </w:r>
    </w:p>
    <w:p w14:paraId="3F2C1BFE" w14:textId="77777777" w:rsidR="00D46430" w:rsidRPr="00CD5673" w:rsidRDefault="00D46430" w:rsidP="00D46430">
      <w:pPr>
        <w:pStyle w:val="ActHead5"/>
      </w:pPr>
      <w:bookmarkStart w:id="193" w:name="_Toc158711803"/>
      <w:r w:rsidRPr="00C614F1">
        <w:rPr>
          <w:rStyle w:val="CharSectno"/>
        </w:rPr>
        <w:t>5.3B.53</w:t>
      </w:r>
      <w:r w:rsidRPr="00CD5673">
        <w:t xml:space="preserve">  Notice of end of restructuring</w:t>
      </w:r>
      <w:bookmarkEnd w:id="193"/>
    </w:p>
    <w:p w14:paraId="1A3AB8E4" w14:textId="77777777" w:rsidR="00D46430" w:rsidRPr="00CD5673" w:rsidRDefault="00D46430" w:rsidP="00D46430">
      <w:pPr>
        <w:pStyle w:val="subsection"/>
        <w:outlineLvl w:val="3"/>
      </w:pPr>
      <w:r w:rsidRPr="00CD5673">
        <w:tab/>
      </w:r>
      <w:r w:rsidRPr="00CD5673">
        <w:tab/>
        <w:t>If the restructuring of a company ends because of the happening of an event mentioned in subregulation 5.3B.02(1), the person who was the restructuring practitioner for the company immediately before the restructuring ended must, within 2 business days after the day on which the event happens:</w:t>
      </w:r>
    </w:p>
    <w:p w14:paraId="59D3BF98" w14:textId="77777777" w:rsidR="00D46430" w:rsidRPr="00CD5673" w:rsidRDefault="00D46430" w:rsidP="00D46430">
      <w:pPr>
        <w:pStyle w:val="paragraph"/>
      </w:pPr>
      <w:r w:rsidRPr="00CD5673">
        <w:tab/>
        <w:t>(a)</w:t>
      </w:r>
      <w:r w:rsidRPr="00CD5673">
        <w:tab/>
        <w:t>lodge with ASIC notice in the prescribed form (if any) of:</w:t>
      </w:r>
    </w:p>
    <w:p w14:paraId="2B6A0FF9" w14:textId="77777777" w:rsidR="00D46430" w:rsidRPr="00CD5673" w:rsidRDefault="00D46430" w:rsidP="00D46430">
      <w:pPr>
        <w:pStyle w:val="paragraphsub"/>
      </w:pPr>
      <w:r w:rsidRPr="00CD5673">
        <w:tab/>
        <w:t>(i)</w:t>
      </w:r>
      <w:r w:rsidRPr="00CD5673">
        <w:tab/>
        <w:t>the ending of the restructuring; and</w:t>
      </w:r>
    </w:p>
    <w:p w14:paraId="1EF39090" w14:textId="77777777" w:rsidR="00D46430" w:rsidRPr="00CD5673" w:rsidRDefault="00D46430" w:rsidP="00D46430">
      <w:pPr>
        <w:pStyle w:val="paragraphsub"/>
      </w:pPr>
      <w:r w:rsidRPr="00CD5673">
        <w:tab/>
        <w:t>(ii)</w:t>
      </w:r>
      <w:r w:rsidRPr="00CD5673">
        <w:tab/>
        <w:t>the reason for the ending; and</w:t>
      </w:r>
    </w:p>
    <w:p w14:paraId="00FD9445" w14:textId="77777777" w:rsidR="00D46430" w:rsidRPr="00CD5673" w:rsidRDefault="00D46430" w:rsidP="00D46430">
      <w:pPr>
        <w:pStyle w:val="paragraph"/>
      </w:pPr>
      <w:r w:rsidRPr="00CD5673">
        <w:tab/>
        <w:t>(b)</w:t>
      </w:r>
      <w:r w:rsidRPr="00CD5673">
        <w:tab/>
        <w:t>give a copy of the notice to as many of the company’s creditors as reasonably practicable.</w:t>
      </w:r>
    </w:p>
    <w:p w14:paraId="1B2DD823"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48C96B9D" w14:textId="77777777" w:rsidR="00D46430" w:rsidRPr="00CD5673" w:rsidRDefault="00D46430" w:rsidP="00D46430">
      <w:pPr>
        <w:pStyle w:val="ActHead4"/>
      </w:pPr>
      <w:bookmarkStart w:id="194" w:name="_Toc158711804"/>
      <w:r w:rsidRPr="00C614F1">
        <w:rPr>
          <w:rStyle w:val="CharSubdNo"/>
        </w:rPr>
        <w:t>Subdivision C</w:t>
      </w:r>
      <w:r w:rsidRPr="00CD5673">
        <w:t>—</w:t>
      </w:r>
      <w:r w:rsidRPr="00C614F1">
        <w:rPr>
          <w:rStyle w:val="CharSubdText"/>
        </w:rPr>
        <w:t>Information, reports, documents etc. once restructuring plan is made</w:t>
      </w:r>
      <w:bookmarkEnd w:id="194"/>
    </w:p>
    <w:p w14:paraId="72325484" w14:textId="77777777" w:rsidR="00D46430" w:rsidRPr="00CD5673" w:rsidRDefault="00D46430" w:rsidP="00D46430">
      <w:pPr>
        <w:pStyle w:val="ActHead5"/>
      </w:pPr>
      <w:bookmarkStart w:id="195" w:name="_Toc158711805"/>
      <w:r w:rsidRPr="00C614F1">
        <w:rPr>
          <w:rStyle w:val="CharSectno"/>
        </w:rPr>
        <w:t>5.3B.54</w:t>
      </w:r>
      <w:r w:rsidRPr="00CD5673">
        <w:t xml:space="preserve">  Notice of appointment of restructuring practitioner for restructuring plan</w:t>
      </w:r>
      <w:bookmarkEnd w:id="195"/>
    </w:p>
    <w:p w14:paraId="0FE13275" w14:textId="77777777" w:rsidR="00D46430" w:rsidRPr="00CD5673" w:rsidRDefault="00D46430" w:rsidP="00D46430">
      <w:pPr>
        <w:pStyle w:val="subsection"/>
        <w:outlineLvl w:val="3"/>
      </w:pPr>
      <w:r w:rsidRPr="00CD5673">
        <w:tab/>
      </w:r>
      <w:r w:rsidRPr="00CD5673">
        <w:tab/>
        <w:t>Within 2 business days after the day on which a restructuring practitioner for a restructuring plan is appointed, the restructuring practitioner must lodge with ASIC notice of the appointment:</w:t>
      </w:r>
    </w:p>
    <w:p w14:paraId="4D597890" w14:textId="77777777" w:rsidR="00D46430" w:rsidRPr="00CD5673" w:rsidRDefault="00D46430" w:rsidP="00D46430">
      <w:pPr>
        <w:pStyle w:val="paragraph"/>
      </w:pPr>
      <w:r w:rsidRPr="00CD5673">
        <w:tab/>
        <w:t>(a)</w:t>
      </w:r>
      <w:r w:rsidRPr="00CD5673">
        <w:tab/>
        <w:t>in the prescribed form (if any); and</w:t>
      </w:r>
    </w:p>
    <w:p w14:paraId="7C72FFC7" w14:textId="77777777" w:rsidR="00D46430" w:rsidRPr="00CD5673" w:rsidRDefault="00D46430" w:rsidP="00D46430">
      <w:pPr>
        <w:pStyle w:val="paragraph"/>
      </w:pPr>
      <w:r w:rsidRPr="00CD5673">
        <w:tab/>
        <w:t>(b)</w:t>
      </w:r>
      <w:r w:rsidRPr="00CD5673">
        <w:tab/>
        <w:t>in accordance with subregulation 5.6.75(4).</w:t>
      </w:r>
    </w:p>
    <w:p w14:paraId="62CB82D5"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346703DD" w14:textId="77777777" w:rsidR="00D46430" w:rsidRPr="00CD5673" w:rsidRDefault="00D46430" w:rsidP="00D46430">
      <w:pPr>
        <w:pStyle w:val="ActHead5"/>
      </w:pPr>
      <w:bookmarkStart w:id="196" w:name="_Toc158711806"/>
      <w:r w:rsidRPr="00C614F1">
        <w:rPr>
          <w:rStyle w:val="CharSectno"/>
        </w:rPr>
        <w:t>5.3B.55</w:t>
      </w:r>
      <w:r w:rsidRPr="00CD5673">
        <w:t xml:space="preserve">  Notice of making of restructuring plan</w:t>
      </w:r>
      <w:bookmarkEnd w:id="196"/>
    </w:p>
    <w:p w14:paraId="6F0C10FF" w14:textId="77777777" w:rsidR="00D46430" w:rsidRPr="00CD5673" w:rsidRDefault="00D46430" w:rsidP="00D46430">
      <w:pPr>
        <w:pStyle w:val="subsection"/>
        <w:outlineLvl w:val="3"/>
      </w:pPr>
      <w:r w:rsidRPr="00CD5673">
        <w:tab/>
      </w:r>
      <w:r w:rsidRPr="00CD5673">
        <w:tab/>
        <w:t>If a company makes a restructuring plan, the restructuring practitioner for the plan must, within 2 business days after the day on which the plan is made:</w:t>
      </w:r>
    </w:p>
    <w:p w14:paraId="3CF4ED10" w14:textId="77777777" w:rsidR="00D46430" w:rsidRPr="00CD5673" w:rsidRDefault="00D46430" w:rsidP="00D46430">
      <w:pPr>
        <w:pStyle w:val="paragraph"/>
        <w:outlineLvl w:val="3"/>
      </w:pPr>
      <w:r w:rsidRPr="00CD5673">
        <w:tab/>
        <w:t>(a)</w:t>
      </w:r>
      <w:r w:rsidRPr="00CD5673">
        <w:tab/>
        <w:t>give to as many of the company’s creditors as reasonably practicable a written notice:</w:t>
      </w:r>
    </w:p>
    <w:p w14:paraId="1B376458" w14:textId="77777777" w:rsidR="00D46430" w:rsidRPr="00CD5673" w:rsidRDefault="00D46430" w:rsidP="00D46430">
      <w:pPr>
        <w:pStyle w:val="paragraphsub"/>
        <w:outlineLvl w:val="3"/>
      </w:pPr>
      <w:r w:rsidRPr="00CD5673">
        <w:tab/>
        <w:t>(i)</w:t>
      </w:r>
      <w:r w:rsidRPr="00CD5673">
        <w:tab/>
        <w:t>stating that the plan has been made; and</w:t>
      </w:r>
    </w:p>
    <w:p w14:paraId="37113C2A" w14:textId="77777777" w:rsidR="00D46430" w:rsidRPr="00CD5673" w:rsidRDefault="00D46430" w:rsidP="00D46430">
      <w:pPr>
        <w:pStyle w:val="paragraphsub"/>
        <w:outlineLvl w:val="3"/>
      </w:pPr>
      <w:r w:rsidRPr="00CD5673">
        <w:tab/>
        <w:t>(ii)</w:t>
      </w:r>
      <w:r w:rsidRPr="00CD5673">
        <w:tab/>
        <w:t>specifying the day on which the plan was made; and</w:t>
      </w:r>
    </w:p>
    <w:p w14:paraId="2B3DF9F1" w14:textId="77777777" w:rsidR="00D46430" w:rsidRPr="00CD5673" w:rsidRDefault="00D46430" w:rsidP="00D46430">
      <w:pPr>
        <w:pStyle w:val="paragraph"/>
        <w:outlineLvl w:val="3"/>
      </w:pPr>
      <w:r w:rsidRPr="00CD5673">
        <w:tab/>
        <w:t>(b)</w:t>
      </w:r>
      <w:r w:rsidRPr="00CD5673">
        <w:tab/>
        <w:t>lodge with ASIC notice in the prescribed form (if any) of the making of the plan, including information about:</w:t>
      </w:r>
    </w:p>
    <w:p w14:paraId="03AA4E7F" w14:textId="77777777" w:rsidR="00D46430" w:rsidRPr="00CD5673" w:rsidRDefault="00D46430" w:rsidP="00D46430">
      <w:pPr>
        <w:pStyle w:val="paragraphsub"/>
      </w:pPr>
      <w:r w:rsidRPr="00CD5673">
        <w:tab/>
        <w:t>(i)</w:t>
      </w:r>
      <w:r w:rsidRPr="00CD5673">
        <w:tab/>
        <w:t>the total value of the debts and claims set out in the schedule of debts and claims included with the company’s restructuring proposal statement; and</w:t>
      </w:r>
    </w:p>
    <w:p w14:paraId="37921D9A" w14:textId="77777777" w:rsidR="00D46430" w:rsidRPr="00CD5673" w:rsidRDefault="00D46430" w:rsidP="00D46430">
      <w:pPr>
        <w:pStyle w:val="paragraphsub"/>
      </w:pPr>
      <w:r w:rsidRPr="00CD5673">
        <w:lastRenderedPageBreak/>
        <w:tab/>
        <w:t>(ii)</w:t>
      </w:r>
      <w:r w:rsidRPr="00CD5673">
        <w:tab/>
        <w:t>the number of affected creditors to whom the restructuring practitioner gave a copy of the documents mentioned in paragraph 5.3B.21(1)(a); and</w:t>
      </w:r>
    </w:p>
    <w:p w14:paraId="7B867103" w14:textId="77777777" w:rsidR="00D46430" w:rsidRPr="00CD5673" w:rsidRDefault="00D46430" w:rsidP="00D46430">
      <w:pPr>
        <w:pStyle w:val="paragraphsub"/>
      </w:pPr>
      <w:r w:rsidRPr="00CD5673">
        <w:tab/>
        <w:t>(iii)</w:t>
      </w:r>
      <w:r w:rsidRPr="00CD5673">
        <w:tab/>
        <w:t>the proportion in value of affected creditors that gave, before the end of the acceptance period, a statement under paragraph 5.3B.21(1)(b) that the plan should be accepted.</w:t>
      </w:r>
    </w:p>
    <w:p w14:paraId="6FAA78A6"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79E35C2E" w14:textId="77777777" w:rsidR="00D46430" w:rsidRPr="00CD5673" w:rsidRDefault="00D46430" w:rsidP="00D46430">
      <w:pPr>
        <w:pStyle w:val="ActHead5"/>
      </w:pPr>
      <w:bookmarkStart w:id="197" w:name="_Toc158711807"/>
      <w:r w:rsidRPr="00C614F1">
        <w:rPr>
          <w:rStyle w:val="CharSectno"/>
        </w:rPr>
        <w:t>5.3B.56</w:t>
      </w:r>
      <w:r w:rsidRPr="00CD5673">
        <w:t xml:space="preserve">  Notice of contravention of restructuring plan</w:t>
      </w:r>
      <w:bookmarkEnd w:id="197"/>
    </w:p>
    <w:p w14:paraId="225455DC" w14:textId="77777777" w:rsidR="00D46430" w:rsidRPr="00CD5673" w:rsidRDefault="00D46430" w:rsidP="00D46430">
      <w:pPr>
        <w:pStyle w:val="SubsectionHead"/>
      </w:pPr>
      <w:r w:rsidRPr="00CD5673">
        <w:t>Director to notify restructuring practitioner</w:t>
      </w:r>
    </w:p>
    <w:p w14:paraId="186EAA39" w14:textId="77777777" w:rsidR="00D46430" w:rsidRPr="00CD5673" w:rsidRDefault="00D46430" w:rsidP="00D46430">
      <w:pPr>
        <w:pStyle w:val="subsection"/>
      </w:pPr>
      <w:r w:rsidRPr="00CD5673">
        <w:tab/>
        <w:t>(1)</w:t>
      </w:r>
      <w:r w:rsidRPr="00CD5673">
        <w:tab/>
        <w:t>If a director of a company that has made a restructuring plan becomes aware that:</w:t>
      </w:r>
    </w:p>
    <w:p w14:paraId="68850341" w14:textId="77777777" w:rsidR="00D46430" w:rsidRPr="00CD5673" w:rsidRDefault="00D46430" w:rsidP="00D46430">
      <w:pPr>
        <w:pStyle w:val="paragraph"/>
      </w:pPr>
      <w:r w:rsidRPr="00CD5673">
        <w:tab/>
        <w:t>(a)</w:t>
      </w:r>
      <w:r w:rsidRPr="00CD5673">
        <w:tab/>
        <w:t>there has been a contravention of the plan by a person bound by the plan (who may be the director); or</w:t>
      </w:r>
    </w:p>
    <w:p w14:paraId="51DAB771" w14:textId="77777777" w:rsidR="00D46430" w:rsidRPr="00CD5673" w:rsidRDefault="00D46430" w:rsidP="00D46430">
      <w:pPr>
        <w:pStyle w:val="paragraph"/>
      </w:pPr>
      <w:r w:rsidRPr="00CD5673">
        <w:tab/>
        <w:t>(b)</w:t>
      </w:r>
      <w:r w:rsidRPr="00CD5673">
        <w:tab/>
        <w:t>there is likely to be a contravention of the plan by a person bound by the plan (who may be the director);</w:t>
      </w:r>
    </w:p>
    <w:p w14:paraId="4EBC5A4B" w14:textId="77777777" w:rsidR="00D46430" w:rsidRPr="00CD5673" w:rsidRDefault="00D46430" w:rsidP="00D46430">
      <w:pPr>
        <w:pStyle w:val="subsection2"/>
      </w:pPr>
      <w:r w:rsidRPr="00CD5673">
        <w:t>the director must, within 2 business days after the day on which the director becomes aware of the contravention or likely contravention, give written notice of the contravention or likely contravention to the restructuring practitioner for the plan.</w:t>
      </w:r>
    </w:p>
    <w:p w14:paraId="2AE0CCD5"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0D1EDC33" w14:textId="77777777" w:rsidR="00D46430" w:rsidRPr="00CD5673" w:rsidRDefault="00D46430" w:rsidP="00D46430">
      <w:pPr>
        <w:pStyle w:val="SubsectionHead"/>
      </w:pPr>
      <w:r w:rsidRPr="00CD5673">
        <w:t>Restructuring practitioner to notify company’s creditors</w:t>
      </w:r>
    </w:p>
    <w:p w14:paraId="73F25BAD" w14:textId="77777777" w:rsidR="00D46430" w:rsidRPr="00CD5673" w:rsidRDefault="00D46430" w:rsidP="00D46430">
      <w:pPr>
        <w:pStyle w:val="subsection"/>
      </w:pPr>
      <w:r w:rsidRPr="00CD5673">
        <w:tab/>
        <w:t>(2)</w:t>
      </w:r>
      <w:r w:rsidRPr="00CD5673">
        <w:tab/>
        <w:t>If the restructuring practitioner for a restructuring plan receives notice under subregulation (1), or otherwise becomes aware, that:</w:t>
      </w:r>
    </w:p>
    <w:p w14:paraId="33B4032B" w14:textId="77777777" w:rsidR="00D46430" w:rsidRPr="00CD5673" w:rsidRDefault="00D46430" w:rsidP="00D46430">
      <w:pPr>
        <w:pStyle w:val="paragraph"/>
      </w:pPr>
      <w:r w:rsidRPr="00CD5673">
        <w:tab/>
        <w:t>(a)</w:t>
      </w:r>
      <w:r w:rsidRPr="00CD5673">
        <w:tab/>
        <w:t>there has been a contravention of the plan by a person bound by the plan (who may be the restructuring practitioner); or</w:t>
      </w:r>
    </w:p>
    <w:p w14:paraId="1BEA6443" w14:textId="77777777" w:rsidR="00D46430" w:rsidRPr="00CD5673" w:rsidRDefault="00D46430" w:rsidP="00D46430">
      <w:pPr>
        <w:pStyle w:val="paragraph"/>
      </w:pPr>
      <w:r w:rsidRPr="00CD5673">
        <w:tab/>
        <w:t>(b)</w:t>
      </w:r>
      <w:r w:rsidRPr="00CD5673">
        <w:tab/>
        <w:t>there is likely to be a contravention of the plan by a person bound by the plan (who may be the restructuring practitioner);</w:t>
      </w:r>
    </w:p>
    <w:p w14:paraId="0A151770" w14:textId="77777777" w:rsidR="00D46430" w:rsidRPr="00CD5673" w:rsidRDefault="00D46430" w:rsidP="00D46430">
      <w:pPr>
        <w:pStyle w:val="subsection2"/>
      </w:pPr>
      <w:r w:rsidRPr="00CD5673">
        <w:t>the restructuring practitioner must, within 2 business days after the day on which the restructuring practitioner receives the notice or becomes so aware:</w:t>
      </w:r>
    </w:p>
    <w:p w14:paraId="6630E6E5" w14:textId="77777777" w:rsidR="00D46430" w:rsidRPr="00CD5673" w:rsidRDefault="00D46430" w:rsidP="00D46430">
      <w:pPr>
        <w:pStyle w:val="paragraph"/>
      </w:pPr>
      <w:r w:rsidRPr="00CD5673">
        <w:tab/>
        <w:t>(c)</w:t>
      </w:r>
      <w:r w:rsidRPr="00CD5673">
        <w:tab/>
        <w:t>lodge with ASIC notice in the prescribed form (if any) of the contravention or likely contravention; and</w:t>
      </w:r>
    </w:p>
    <w:p w14:paraId="7D16DCC5" w14:textId="77777777" w:rsidR="00D46430" w:rsidRPr="00CD5673" w:rsidRDefault="00D46430" w:rsidP="00D46430">
      <w:pPr>
        <w:pStyle w:val="paragraph"/>
      </w:pPr>
      <w:r w:rsidRPr="00CD5673">
        <w:tab/>
        <w:t>(d)</w:t>
      </w:r>
      <w:r w:rsidRPr="00CD5673">
        <w:tab/>
        <w:t>give a copy of the notice to as many of the company’s creditors as reasonably practicable.</w:t>
      </w:r>
    </w:p>
    <w:p w14:paraId="71205BE3"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01720A15" w14:textId="77777777" w:rsidR="00D46430" w:rsidRPr="00CD5673" w:rsidRDefault="00D46430" w:rsidP="00D46430">
      <w:pPr>
        <w:pStyle w:val="ActHead5"/>
      </w:pPr>
      <w:bookmarkStart w:id="198" w:name="_Toc158711808"/>
      <w:r w:rsidRPr="00C614F1">
        <w:rPr>
          <w:rStyle w:val="CharSectno"/>
        </w:rPr>
        <w:t>5.3B.57</w:t>
      </w:r>
      <w:r w:rsidRPr="00CD5673">
        <w:t xml:space="preserve">  Notice of termination of restructuring plan</w:t>
      </w:r>
      <w:bookmarkEnd w:id="198"/>
    </w:p>
    <w:p w14:paraId="0EF9696D" w14:textId="77777777" w:rsidR="00D46430" w:rsidRPr="00CD5673" w:rsidRDefault="00D46430" w:rsidP="00D46430">
      <w:pPr>
        <w:pStyle w:val="subsection"/>
        <w:outlineLvl w:val="3"/>
      </w:pPr>
      <w:r w:rsidRPr="00CD5673">
        <w:tab/>
        <w:t>(1)</w:t>
      </w:r>
      <w:r w:rsidRPr="00CD5673">
        <w:tab/>
        <w:t>If a company’s restructuring plan terminates because of the happening of the event mentioned in paragraph 5.3B.31(1)(a):</w:t>
      </w:r>
    </w:p>
    <w:p w14:paraId="114E2B01" w14:textId="77777777" w:rsidR="00D46430" w:rsidRPr="00CD5673" w:rsidRDefault="00D46430" w:rsidP="00D46430">
      <w:pPr>
        <w:pStyle w:val="paragraph"/>
      </w:pPr>
      <w:r w:rsidRPr="00CD5673">
        <w:tab/>
        <w:t>(a)</w:t>
      </w:r>
      <w:r w:rsidRPr="00CD5673">
        <w:tab/>
        <w:t xml:space="preserve">the directors of the company must, within 2 business days after the day on which the directors become aware of the happening of the event, give written notice of the termination to the person (the </w:t>
      </w:r>
      <w:r w:rsidRPr="00CD5673">
        <w:rPr>
          <w:b/>
          <w:i/>
        </w:rPr>
        <w:t>former practitioner</w:t>
      </w:r>
      <w:r w:rsidRPr="00CD5673">
        <w:t>) who was the restructuring practitioner for the plan immediately before the termination; and</w:t>
      </w:r>
    </w:p>
    <w:p w14:paraId="7ED49160" w14:textId="77777777" w:rsidR="00D46430" w:rsidRPr="00CD5673" w:rsidRDefault="00D46430" w:rsidP="00D46430">
      <w:pPr>
        <w:pStyle w:val="paragraph"/>
      </w:pPr>
      <w:r w:rsidRPr="00CD5673">
        <w:tab/>
        <w:t>(b)</w:t>
      </w:r>
      <w:r w:rsidRPr="00CD5673">
        <w:tab/>
        <w:t>the former practitioner must, within 2 business days after the day on which the former practitioner receives the notice:</w:t>
      </w:r>
    </w:p>
    <w:p w14:paraId="3BDA076C" w14:textId="77777777" w:rsidR="00D46430" w:rsidRPr="00CD5673" w:rsidRDefault="00D46430" w:rsidP="00D46430">
      <w:pPr>
        <w:pStyle w:val="paragraphsub"/>
      </w:pPr>
      <w:r w:rsidRPr="00CD5673">
        <w:tab/>
        <w:t>(i)</w:t>
      </w:r>
      <w:r w:rsidRPr="00CD5673">
        <w:tab/>
        <w:t>lodge with ASIC notice in the prescribed form (if any) of the termination; and</w:t>
      </w:r>
    </w:p>
    <w:p w14:paraId="365B9FEA" w14:textId="77777777" w:rsidR="00D46430" w:rsidRPr="00CD5673" w:rsidRDefault="00D46430" w:rsidP="00D46430">
      <w:pPr>
        <w:pStyle w:val="paragraphsub"/>
      </w:pPr>
      <w:r w:rsidRPr="00CD5673">
        <w:tab/>
        <w:t>(ii)</w:t>
      </w:r>
      <w:r w:rsidRPr="00CD5673">
        <w:tab/>
        <w:t>give a copy of the notice to as many of the company’s creditors as reasonably practicable.</w:t>
      </w:r>
    </w:p>
    <w:p w14:paraId="74129A23"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08B03185" w14:textId="77777777" w:rsidR="00D46430" w:rsidRPr="00CD5673" w:rsidRDefault="00D46430" w:rsidP="00D46430">
      <w:pPr>
        <w:pStyle w:val="subsection"/>
        <w:outlineLvl w:val="3"/>
      </w:pPr>
      <w:r w:rsidRPr="00CD5673">
        <w:tab/>
        <w:t>(2)</w:t>
      </w:r>
      <w:r w:rsidRPr="00CD5673">
        <w:tab/>
        <w:t>If a company’s restructuring plan terminates because of the happening of an event mentioned in paragraph 5.3B.31(1)(b), (c), (d), (e) or (f):</w:t>
      </w:r>
    </w:p>
    <w:p w14:paraId="6A687815" w14:textId="77777777" w:rsidR="00D46430" w:rsidRPr="00CD5673" w:rsidRDefault="00D46430" w:rsidP="00D46430">
      <w:pPr>
        <w:pStyle w:val="paragraph"/>
      </w:pPr>
      <w:r w:rsidRPr="00CD5673">
        <w:tab/>
        <w:t>(a)</w:t>
      </w:r>
      <w:r w:rsidRPr="00CD5673">
        <w:tab/>
        <w:t xml:space="preserve">the directors of the company must, within 2 business days after the day on which the directors become aware of the happening of the event, give written notice of the termination and the reason for the termination to the person (the </w:t>
      </w:r>
      <w:r w:rsidRPr="00CD5673">
        <w:rPr>
          <w:b/>
          <w:i/>
        </w:rPr>
        <w:t>former practitioner</w:t>
      </w:r>
      <w:r w:rsidRPr="00CD5673">
        <w:t>) who was the restructuring practitioner for the plan immediately before the termination; and</w:t>
      </w:r>
    </w:p>
    <w:p w14:paraId="44D3A362" w14:textId="77777777" w:rsidR="00D46430" w:rsidRPr="00CD5673" w:rsidRDefault="00D46430" w:rsidP="00D46430">
      <w:pPr>
        <w:pStyle w:val="paragraph"/>
      </w:pPr>
      <w:r w:rsidRPr="00CD5673">
        <w:tab/>
        <w:t>(b)</w:t>
      </w:r>
      <w:r w:rsidRPr="00CD5673">
        <w:tab/>
        <w:t>the former practitioner must, within 2 business days after the day on which the former practitioner receives the notice:</w:t>
      </w:r>
    </w:p>
    <w:p w14:paraId="062FB3B5" w14:textId="77777777" w:rsidR="00D46430" w:rsidRPr="00CD5673" w:rsidRDefault="00D46430" w:rsidP="00D46430">
      <w:pPr>
        <w:pStyle w:val="paragraphsub"/>
      </w:pPr>
      <w:r w:rsidRPr="00CD5673">
        <w:tab/>
        <w:t>(i)</w:t>
      </w:r>
      <w:r w:rsidRPr="00CD5673">
        <w:tab/>
        <w:t>lodge with ASIC notice in the prescribed form (if any) of the termination and the reason for the termination; and</w:t>
      </w:r>
    </w:p>
    <w:p w14:paraId="6F0DD6B5" w14:textId="77777777" w:rsidR="00D46430" w:rsidRPr="00CD5673" w:rsidRDefault="00D46430" w:rsidP="00D46430">
      <w:pPr>
        <w:pStyle w:val="paragraphsub"/>
      </w:pPr>
      <w:r w:rsidRPr="00CD5673">
        <w:tab/>
        <w:t>(ii)</w:t>
      </w:r>
      <w:r w:rsidRPr="00CD5673">
        <w:tab/>
        <w:t>give a copy of the notice to as many of the company’s creditors as reasonably practicable.</w:t>
      </w:r>
    </w:p>
    <w:p w14:paraId="00F2C130" w14:textId="77777777" w:rsidR="00D46430" w:rsidRPr="00CD5673" w:rsidRDefault="00D46430" w:rsidP="00D46430">
      <w:pPr>
        <w:pStyle w:val="notetext"/>
      </w:pPr>
      <w:r w:rsidRPr="00CD5673">
        <w:lastRenderedPageBreak/>
        <w:t>Note:</w:t>
      </w:r>
      <w:r w:rsidRPr="00CD5673">
        <w:tab/>
        <w:t>Failure to comply with this subregulation is an offence: see subsection 1311(1) of the Act.</w:t>
      </w:r>
    </w:p>
    <w:p w14:paraId="7BEA0369" w14:textId="77777777" w:rsidR="00D46430" w:rsidRPr="00CD5673" w:rsidRDefault="00D46430" w:rsidP="00D46430">
      <w:pPr>
        <w:pStyle w:val="ActHead5"/>
      </w:pPr>
      <w:bookmarkStart w:id="199" w:name="_Toc158711809"/>
      <w:r w:rsidRPr="00C614F1">
        <w:rPr>
          <w:rStyle w:val="CharSectno"/>
        </w:rPr>
        <w:t>5.3B.58</w:t>
      </w:r>
      <w:r w:rsidRPr="00CD5673">
        <w:t xml:space="preserve">  Notice of termination of appointment of restructuring practitioner for restructuring plan</w:t>
      </w:r>
      <w:bookmarkEnd w:id="199"/>
    </w:p>
    <w:p w14:paraId="5B91BD18" w14:textId="77777777" w:rsidR="00D46430" w:rsidRPr="00CD5673" w:rsidRDefault="00D46430" w:rsidP="00D46430">
      <w:pPr>
        <w:pStyle w:val="subsection"/>
      </w:pPr>
      <w:r w:rsidRPr="00CD5673">
        <w:tab/>
      </w:r>
      <w:r w:rsidRPr="00CD5673">
        <w:tab/>
        <w:t>Within 2 business days after the day on which the appointment of a person as restructuring practitioner for a company’s restructuring plan terminates, notice in the prescribed form (if any) of the termination must be lodged with ASIC:</w:t>
      </w:r>
    </w:p>
    <w:p w14:paraId="011020F5" w14:textId="77777777" w:rsidR="00D46430" w:rsidRPr="00CD5673" w:rsidRDefault="00D46430" w:rsidP="00D46430">
      <w:pPr>
        <w:pStyle w:val="paragraph"/>
      </w:pPr>
      <w:r w:rsidRPr="00CD5673">
        <w:tab/>
        <w:t>(a)</w:t>
      </w:r>
      <w:r w:rsidRPr="00CD5673">
        <w:tab/>
        <w:t>if the termination is because of the death of the person—by the company; and</w:t>
      </w:r>
    </w:p>
    <w:p w14:paraId="62CD054F" w14:textId="77777777" w:rsidR="00D46430" w:rsidRPr="00CD5673" w:rsidRDefault="00D46430" w:rsidP="00D46430">
      <w:pPr>
        <w:pStyle w:val="paragraph"/>
      </w:pPr>
      <w:r w:rsidRPr="00CD5673">
        <w:tab/>
        <w:t>(b)</w:t>
      </w:r>
      <w:r w:rsidRPr="00CD5673">
        <w:tab/>
        <w:t>otherwise—by the person.</w:t>
      </w:r>
    </w:p>
    <w:p w14:paraId="6E518B47" w14:textId="77777777" w:rsidR="00D46430" w:rsidRPr="00CD5673" w:rsidRDefault="00D46430" w:rsidP="00D46430">
      <w:pPr>
        <w:pStyle w:val="ActHead3"/>
        <w:pageBreakBefore/>
      </w:pPr>
      <w:bookmarkStart w:id="200" w:name="_Toc158711810"/>
      <w:r w:rsidRPr="00C614F1">
        <w:rPr>
          <w:rStyle w:val="CharDivNo"/>
        </w:rPr>
        <w:lastRenderedPageBreak/>
        <w:t>Division 6</w:t>
      </w:r>
      <w:r w:rsidRPr="00CD5673">
        <w:t>—</w:t>
      </w:r>
      <w:r w:rsidRPr="00C614F1">
        <w:rPr>
          <w:rStyle w:val="CharDivText"/>
        </w:rPr>
        <w:t>Powers of Court</w:t>
      </w:r>
      <w:bookmarkEnd w:id="200"/>
    </w:p>
    <w:p w14:paraId="49591775" w14:textId="77777777" w:rsidR="00D46430" w:rsidRPr="00CD5673" w:rsidRDefault="00D46430" w:rsidP="00D46430">
      <w:pPr>
        <w:pStyle w:val="ActHead5"/>
      </w:pPr>
      <w:bookmarkStart w:id="201" w:name="_Toc158711811"/>
      <w:r w:rsidRPr="00C614F1">
        <w:rPr>
          <w:rStyle w:val="CharSectno"/>
        </w:rPr>
        <w:t>5.3B.59</w:t>
      </w:r>
      <w:r w:rsidRPr="00CD5673">
        <w:t xml:space="preserve">  Authority</w:t>
      </w:r>
      <w:bookmarkEnd w:id="201"/>
    </w:p>
    <w:p w14:paraId="79E5B64C" w14:textId="77777777" w:rsidR="00D46430" w:rsidRPr="00CD5673" w:rsidRDefault="00D46430" w:rsidP="00D46430">
      <w:pPr>
        <w:pStyle w:val="subsection"/>
      </w:pPr>
      <w:r w:rsidRPr="00CD5673">
        <w:tab/>
      </w:r>
      <w:r w:rsidRPr="00CD5673">
        <w:tab/>
        <w:t>This Division is made for the purposes of subsection 458B(1) of the Act.</w:t>
      </w:r>
    </w:p>
    <w:p w14:paraId="7C8F76CB" w14:textId="77777777" w:rsidR="00D46430" w:rsidRPr="00CD5673" w:rsidRDefault="00D46430" w:rsidP="00D46430">
      <w:pPr>
        <w:pStyle w:val="ActHead5"/>
      </w:pPr>
      <w:bookmarkStart w:id="202" w:name="_Toc158711812"/>
      <w:r w:rsidRPr="00C614F1">
        <w:rPr>
          <w:rStyle w:val="CharSectno"/>
        </w:rPr>
        <w:t>5.3B.60</w:t>
      </w:r>
      <w:r w:rsidRPr="00CD5673">
        <w:t xml:space="preserve">  Court may make orders in relation to creditor disputes before restructuring plan is made</w:t>
      </w:r>
      <w:bookmarkEnd w:id="202"/>
    </w:p>
    <w:p w14:paraId="26CD4D3F" w14:textId="77777777" w:rsidR="00D46430" w:rsidRPr="00CD5673" w:rsidRDefault="00D46430" w:rsidP="00D46430">
      <w:pPr>
        <w:pStyle w:val="subsection"/>
      </w:pPr>
      <w:r w:rsidRPr="00CD5673">
        <w:tab/>
        <w:t>(1)</w:t>
      </w:r>
      <w:r w:rsidRPr="00CD5673">
        <w:tab/>
        <w:t>This regulation applies if:</w:t>
      </w:r>
    </w:p>
    <w:p w14:paraId="2D193B56" w14:textId="77777777" w:rsidR="00D46430" w:rsidRPr="00CD5673" w:rsidRDefault="00D46430" w:rsidP="00D46430">
      <w:pPr>
        <w:pStyle w:val="paragraph"/>
      </w:pPr>
      <w:r w:rsidRPr="00CD5673">
        <w:tab/>
        <w:t>(a)</w:t>
      </w:r>
      <w:r w:rsidRPr="00CD5673">
        <w:tab/>
        <w:t>a company proposes to make a restructuring plan; and</w:t>
      </w:r>
    </w:p>
    <w:p w14:paraId="3C0616BA" w14:textId="77777777" w:rsidR="00D46430" w:rsidRPr="00CD5673" w:rsidRDefault="00D46430" w:rsidP="00D46430">
      <w:pPr>
        <w:pStyle w:val="paragraph"/>
        <w:outlineLvl w:val="3"/>
      </w:pPr>
      <w:r w:rsidRPr="00CD5673">
        <w:tab/>
        <w:t>(b)</w:t>
      </w:r>
      <w:r w:rsidRPr="00CD5673">
        <w:tab/>
        <w:t>a person notifies the company’s restructuring practitioner under subregulation 5.3B.22(2) that the person disagrees with the schedule of debts and claims included with the company’s restructuring proposal statement; and</w:t>
      </w:r>
    </w:p>
    <w:p w14:paraId="50A2B828" w14:textId="77777777" w:rsidR="00D46430" w:rsidRPr="00CD5673" w:rsidRDefault="00D46430" w:rsidP="00D46430">
      <w:pPr>
        <w:pStyle w:val="paragraph"/>
      </w:pPr>
      <w:r w:rsidRPr="00CD5673">
        <w:tab/>
        <w:t>(c)</w:t>
      </w:r>
      <w:r w:rsidRPr="00CD5673">
        <w:tab/>
        <w:t>the restructuring practitioner:</w:t>
      </w:r>
    </w:p>
    <w:p w14:paraId="0D7FC787" w14:textId="77777777" w:rsidR="00D46430" w:rsidRPr="00CD5673" w:rsidRDefault="00D46430" w:rsidP="00D46430">
      <w:pPr>
        <w:pStyle w:val="paragraphsub"/>
      </w:pPr>
      <w:r w:rsidRPr="00CD5673">
        <w:tab/>
        <w:t>(i)</w:t>
      </w:r>
      <w:r w:rsidRPr="00CD5673">
        <w:tab/>
        <w:t>refuses to consider the disagreement under subregulation 5.3B.22(5); or</w:t>
      </w:r>
    </w:p>
    <w:p w14:paraId="7A163638" w14:textId="77777777" w:rsidR="00D46430" w:rsidRPr="00CD5673" w:rsidRDefault="00D46430" w:rsidP="00D46430">
      <w:pPr>
        <w:pStyle w:val="paragraphsub"/>
      </w:pPr>
      <w:r w:rsidRPr="00CD5673">
        <w:tab/>
        <w:t>(ii)</w:t>
      </w:r>
      <w:r w:rsidRPr="00CD5673">
        <w:tab/>
        <w:t>makes, or refuses to make, a recommendation under subregulation 5.3B.22(7)</w:t>
      </w:r>
      <w:r w:rsidRPr="00CD5673">
        <w:rPr>
          <w:i/>
        </w:rPr>
        <w:t xml:space="preserve"> </w:t>
      </w:r>
      <w:r w:rsidRPr="00CD5673">
        <w:t>to vary the schedule of debts and claims.</w:t>
      </w:r>
    </w:p>
    <w:p w14:paraId="412AFAAE" w14:textId="77777777" w:rsidR="00D46430" w:rsidRPr="00CD5673" w:rsidRDefault="00D46430" w:rsidP="00D46430">
      <w:pPr>
        <w:pStyle w:val="subsection"/>
      </w:pPr>
      <w:r w:rsidRPr="00CD5673">
        <w:tab/>
        <w:t>(2)</w:t>
      </w:r>
      <w:r w:rsidRPr="00CD5673">
        <w:tab/>
        <w:t>The Court may, on the application of the company or a creditor of the company, make one or more of the following orders:</w:t>
      </w:r>
    </w:p>
    <w:p w14:paraId="28DFB443" w14:textId="77777777" w:rsidR="00D46430" w:rsidRPr="00CD5673" w:rsidRDefault="00D46430" w:rsidP="00D46430">
      <w:pPr>
        <w:pStyle w:val="paragraph"/>
      </w:pPr>
      <w:r w:rsidRPr="00CD5673">
        <w:tab/>
        <w:t>(a)</w:t>
      </w:r>
      <w:r w:rsidRPr="00CD5673">
        <w:tab/>
        <w:t>that the restructuring practitioner consider the disagreement and make a recommendation in accordance with subregulation 5.3B.22(7);</w:t>
      </w:r>
    </w:p>
    <w:p w14:paraId="29133A05" w14:textId="77777777" w:rsidR="00D46430" w:rsidRPr="00CD5673" w:rsidRDefault="00D46430" w:rsidP="00D46430">
      <w:pPr>
        <w:pStyle w:val="paragraph"/>
      </w:pPr>
      <w:r w:rsidRPr="00CD5673">
        <w:tab/>
        <w:t>(b)</w:t>
      </w:r>
      <w:r w:rsidRPr="00CD5673">
        <w:tab/>
        <w:t>that the schedule of debts and claims be varied as set out in the order;</w:t>
      </w:r>
    </w:p>
    <w:p w14:paraId="61A596D3" w14:textId="77777777" w:rsidR="00D46430" w:rsidRPr="00CD5673" w:rsidRDefault="00D46430" w:rsidP="00D46430">
      <w:pPr>
        <w:pStyle w:val="paragraph"/>
      </w:pPr>
      <w:r w:rsidRPr="00CD5673">
        <w:tab/>
        <w:t>(c)</w:t>
      </w:r>
      <w:r w:rsidRPr="00CD5673">
        <w:tab/>
        <w:t>that the acceptance period for the proposal to make the restructuring plan be extended.</w:t>
      </w:r>
    </w:p>
    <w:p w14:paraId="289801A8" w14:textId="77777777" w:rsidR="00D46430" w:rsidRPr="00CD5673" w:rsidRDefault="00D46430" w:rsidP="00D46430">
      <w:pPr>
        <w:pStyle w:val="subsection"/>
        <w:outlineLvl w:val="3"/>
      </w:pPr>
      <w:r w:rsidRPr="00CD5673">
        <w:tab/>
        <w:t>(3)</w:t>
      </w:r>
      <w:r w:rsidRPr="00CD5673">
        <w:tab/>
        <w:t>If the Court makes an order under subregulation (2), the restructuring practitioner must, within 2 business days after the day on which the order is made:</w:t>
      </w:r>
    </w:p>
    <w:p w14:paraId="6A845E2C" w14:textId="77777777" w:rsidR="00D46430" w:rsidRPr="00CD5673" w:rsidRDefault="00D46430" w:rsidP="00D46430">
      <w:pPr>
        <w:pStyle w:val="paragraph"/>
      </w:pPr>
      <w:r w:rsidRPr="00CD5673">
        <w:tab/>
        <w:t>(a)</w:t>
      </w:r>
      <w:r w:rsidRPr="00CD5673">
        <w:tab/>
        <w:t>lodge with ASIC notice in the prescribed form (if any):</w:t>
      </w:r>
    </w:p>
    <w:p w14:paraId="731DBD82" w14:textId="77777777" w:rsidR="00D46430" w:rsidRPr="00CD5673" w:rsidRDefault="00D46430" w:rsidP="00D46430">
      <w:pPr>
        <w:pStyle w:val="paragraphsub"/>
      </w:pPr>
      <w:r w:rsidRPr="00CD5673">
        <w:tab/>
        <w:t>(i)</w:t>
      </w:r>
      <w:r w:rsidRPr="00CD5673">
        <w:tab/>
        <w:t>setting out the terms of the order; and</w:t>
      </w:r>
    </w:p>
    <w:p w14:paraId="56FC2A46" w14:textId="77777777" w:rsidR="00D46430" w:rsidRPr="00CD5673" w:rsidRDefault="00D46430" w:rsidP="00D46430">
      <w:pPr>
        <w:pStyle w:val="paragraphsub"/>
      </w:pPr>
      <w:r w:rsidRPr="00CD5673">
        <w:tab/>
        <w:t>(ii)</w:t>
      </w:r>
      <w:r w:rsidRPr="00CD5673">
        <w:tab/>
        <w:t>outlining the creditors’ rights under regulation 5.3B.23; and</w:t>
      </w:r>
    </w:p>
    <w:p w14:paraId="22EE979F" w14:textId="77777777" w:rsidR="00D46430" w:rsidRPr="00CD5673" w:rsidRDefault="00D46430" w:rsidP="00D46430">
      <w:pPr>
        <w:pStyle w:val="paragraph"/>
      </w:pPr>
      <w:r w:rsidRPr="00CD5673">
        <w:tab/>
        <w:t>(b)</w:t>
      </w:r>
      <w:r w:rsidRPr="00CD5673">
        <w:tab/>
        <w:t>give a copy of the notice to as many of the company’s creditors as reasonably practicable.</w:t>
      </w:r>
    </w:p>
    <w:p w14:paraId="363B8096"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23C0BB75" w14:textId="77777777" w:rsidR="00D46430" w:rsidRPr="00CD5673" w:rsidRDefault="00D46430" w:rsidP="00D46430">
      <w:pPr>
        <w:pStyle w:val="ActHead5"/>
      </w:pPr>
      <w:bookmarkStart w:id="203" w:name="_Toc158711813"/>
      <w:r w:rsidRPr="00C614F1">
        <w:rPr>
          <w:rStyle w:val="CharSectno"/>
        </w:rPr>
        <w:t>5.3B.61</w:t>
      </w:r>
      <w:r w:rsidRPr="00CD5673">
        <w:t xml:space="preserve">  When Court may vary restructuring plan</w:t>
      </w:r>
      <w:bookmarkEnd w:id="203"/>
    </w:p>
    <w:p w14:paraId="33E43D7D" w14:textId="77777777" w:rsidR="00D46430" w:rsidRPr="00CD5673" w:rsidRDefault="00D46430" w:rsidP="00D46430">
      <w:pPr>
        <w:pStyle w:val="subsection"/>
        <w:outlineLvl w:val="3"/>
      </w:pPr>
      <w:r w:rsidRPr="00CD5673">
        <w:tab/>
        <w:t>(1)</w:t>
      </w:r>
      <w:r w:rsidRPr="00CD5673">
        <w:tab/>
        <w:t>A restructuring plan that has been made by a company must not be varied except in accordance with this regulation.</w:t>
      </w:r>
    </w:p>
    <w:p w14:paraId="5617B0E9" w14:textId="77777777" w:rsidR="00D46430" w:rsidRPr="00CD5673" w:rsidRDefault="00D46430" w:rsidP="00D46430">
      <w:pPr>
        <w:pStyle w:val="subsection"/>
        <w:outlineLvl w:val="3"/>
      </w:pPr>
      <w:r w:rsidRPr="00CD5673">
        <w:tab/>
        <w:t>(2)</w:t>
      </w:r>
      <w:r w:rsidRPr="00CD5673">
        <w:tab/>
        <w:t>The Court may make an order varying a restructuring plan:</w:t>
      </w:r>
    </w:p>
    <w:p w14:paraId="65EAC5F1" w14:textId="77777777" w:rsidR="00D46430" w:rsidRPr="00CD5673" w:rsidRDefault="00D46430" w:rsidP="00D46430">
      <w:pPr>
        <w:pStyle w:val="paragraph"/>
        <w:outlineLvl w:val="3"/>
      </w:pPr>
      <w:r w:rsidRPr="00CD5673">
        <w:tab/>
        <w:t>(a)</w:t>
      </w:r>
      <w:r w:rsidRPr="00CD5673">
        <w:tab/>
        <w:t>on its own initiative; or</w:t>
      </w:r>
    </w:p>
    <w:p w14:paraId="7AB88C95" w14:textId="77777777" w:rsidR="00D46430" w:rsidRPr="00CD5673" w:rsidRDefault="00D46430" w:rsidP="00D46430">
      <w:pPr>
        <w:pStyle w:val="paragraph"/>
        <w:outlineLvl w:val="3"/>
      </w:pPr>
      <w:r w:rsidRPr="00CD5673">
        <w:tab/>
        <w:t>(b)</w:t>
      </w:r>
      <w:r w:rsidRPr="00CD5673">
        <w:tab/>
        <w:t>on the application of:</w:t>
      </w:r>
    </w:p>
    <w:p w14:paraId="14F62EC3" w14:textId="77777777" w:rsidR="00D46430" w:rsidRPr="00CD5673" w:rsidRDefault="00D46430" w:rsidP="00D46430">
      <w:pPr>
        <w:pStyle w:val="paragraphsub"/>
        <w:outlineLvl w:val="3"/>
      </w:pPr>
      <w:r w:rsidRPr="00CD5673">
        <w:tab/>
        <w:t>(i)</w:t>
      </w:r>
      <w:r w:rsidRPr="00CD5673">
        <w:tab/>
        <w:t>the company; or</w:t>
      </w:r>
    </w:p>
    <w:p w14:paraId="436CA16B" w14:textId="77777777" w:rsidR="00D46430" w:rsidRPr="00CD5673" w:rsidRDefault="00D46430" w:rsidP="00D46430">
      <w:pPr>
        <w:pStyle w:val="paragraphsub"/>
        <w:outlineLvl w:val="3"/>
      </w:pPr>
      <w:r w:rsidRPr="00CD5673">
        <w:tab/>
        <w:t>(ii)</w:t>
      </w:r>
      <w:r w:rsidRPr="00CD5673">
        <w:tab/>
        <w:t>an affected creditor; or</w:t>
      </w:r>
    </w:p>
    <w:p w14:paraId="397950A6" w14:textId="77777777" w:rsidR="00D46430" w:rsidRPr="00CD5673" w:rsidRDefault="00D46430" w:rsidP="00D46430">
      <w:pPr>
        <w:pStyle w:val="paragraphsub"/>
        <w:outlineLvl w:val="3"/>
      </w:pPr>
      <w:r w:rsidRPr="00CD5673">
        <w:tab/>
        <w:t>(iii)</w:t>
      </w:r>
      <w:r w:rsidRPr="00CD5673">
        <w:tab/>
        <w:t>the restructuring practitioner for the plan; or</w:t>
      </w:r>
    </w:p>
    <w:p w14:paraId="7E17D4C8" w14:textId="77777777" w:rsidR="00D46430" w:rsidRPr="00CD5673" w:rsidRDefault="00D46430" w:rsidP="00D46430">
      <w:pPr>
        <w:pStyle w:val="paragraphsub"/>
        <w:outlineLvl w:val="3"/>
      </w:pPr>
      <w:r w:rsidRPr="00CD5673">
        <w:tab/>
        <w:t>(iv)</w:t>
      </w:r>
      <w:r w:rsidRPr="00CD5673">
        <w:tab/>
        <w:t>ASIC.</w:t>
      </w:r>
    </w:p>
    <w:p w14:paraId="734AECBF" w14:textId="77777777" w:rsidR="00D46430" w:rsidRPr="00CD5673" w:rsidRDefault="00D46430" w:rsidP="00D46430">
      <w:pPr>
        <w:pStyle w:val="ActHead5"/>
      </w:pPr>
      <w:bookmarkStart w:id="204" w:name="_Toc158711814"/>
      <w:r w:rsidRPr="00C614F1">
        <w:rPr>
          <w:rStyle w:val="CharSectno"/>
        </w:rPr>
        <w:t>5.3B.62</w:t>
      </w:r>
      <w:r w:rsidRPr="00CD5673">
        <w:t xml:space="preserve">  When Court may void or validate restructuring plan</w:t>
      </w:r>
      <w:bookmarkEnd w:id="204"/>
    </w:p>
    <w:p w14:paraId="1C695167" w14:textId="77777777" w:rsidR="00D46430" w:rsidRPr="00CD5673" w:rsidRDefault="00D46430" w:rsidP="00D46430">
      <w:pPr>
        <w:pStyle w:val="SubsectionHead"/>
        <w:outlineLvl w:val="3"/>
      </w:pPr>
      <w:r w:rsidRPr="00CD5673">
        <w:t>Voiding of restructuring plan</w:t>
      </w:r>
    </w:p>
    <w:p w14:paraId="0F649332" w14:textId="77777777" w:rsidR="00D46430" w:rsidRPr="00CD5673" w:rsidRDefault="00D46430" w:rsidP="00D46430">
      <w:pPr>
        <w:pStyle w:val="subsection"/>
        <w:outlineLvl w:val="3"/>
      </w:pPr>
      <w:r w:rsidRPr="00CD5673">
        <w:tab/>
        <w:t>(1)</w:t>
      </w:r>
      <w:r w:rsidRPr="00CD5673">
        <w:tab/>
        <w:t>The Court may make an order declaring that all or part of a company’s restructuring plan is void if the Court is satisfied that:</w:t>
      </w:r>
    </w:p>
    <w:p w14:paraId="206F902D" w14:textId="77777777" w:rsidR="00D46430" w:rsidRPr="00CD5673" w:rsidRDefault="00D46430" w:rsidP="00D46430">
      <w:pPr>
        <w:pStyle w:val="paragraph"/>
        <w:outlineLvl w:val="3"/>
      </w:pPr>
      <w:r w:rsidRPr="00CD5673">
        <w:tab/>
        <w:t>(a)</w:t>
      </w:r>
      <w:r w:rsidRPr="00CD5673">
        <w:tab/>
        <w:t>there are reasonable grounds to believe that the plan, or a part of the plan, was not made in accordance with, or does not comply with, the Act or these regulations; or</w:t>
      </w:r>
    </w:p>
    <w:p w14:paraId="72FACBDC" w14:textId="77777777" w:rsidR="00D46430" w:rsidRPr="00CD5673" w:rsidRDefault="00D46430" w:rsidP="00D46430">
      <w:pPr>
        <w:pStyle w:val="paragraph"/>
        <w:outlineLvl w:val="3"/>
      </w:pPr>
      <w:r w:rsidRPr="00CD5673">
        <w:tab/>
        <w:t>(b)</w:t>
      </w:r>
      <w:r w:rsidRPr="00CD5673">
        <w:tab/>
        <w:t>the restructuring practitioner for the plan has committed a breach of duty in relation to the plan; or</w:t>
      </w:r>
    </w:p>
    <w:p w14:paraId="1A6BBBFF" w14:textId="77777777" w:rsidR="00D46430" w:rsidRPr="00CD5673" w:rsidRDefault="00D46430" w:rsidP="00D46430">
      <w:pPr>
        <w:pStyle w:val="paragraph"/>
        <w:outlineLvl w:val="3"/>
      </w:pPr>
      <w:r w:rsidRPr="00CD5673">
        <w:tab/>
        <w:t>(c)</w:t>
      </w:r>
      <w:r w:rsidRPr="00CD5673">
        <w:tab/>
        <w:t>the restructuring practitioner for the plan has breached a condition of the restructuring practitioner’s registration as a liquidator; or</w:t>
      </w:r>
    </w:p>
    <w:p w14:paraId="3217EFE4" w14:textId="77777777" w:rsidR="00D46430" w:rsidRPr="00CD5673" w:rsidRDefault="00D46430" w:rsidP="00D46430">
      <w:pPr>
        <w:pStyle w:val="paragraph"/>
        <w:outlineLvl w:val="3"/>
      </w:pPr>
      <w:r w:rsidRPr="00CD5673">
        <w:lastRenderedPageBreak/>
        <w:tab/>
        <w:t>(d)</w:t>
      </w:r>
      <w:r w:rsidRPr="00CD5673">
        <w:tab/>
        <w:t>the restructuring practitioner for the plan has breached a condition imposed under section 20</w:t>
      </w:r>
      <w:r w:rsidR="00C614F1">
        <w:noBreakHyphen/>
      </w:r>
      <w:r w:rsidRPr="00CD5673">
        <w:t>35 of Schedule 2 to the Act, to the extent that the condition relates to restructuring plans.</w:t>
      </w:r>
    </w:p>
    <w:p w14:paraId="5B5AD7E4" w14:textId="77777777" w:rsidR="00D46430" w:rsidRPr="00CD5673" w:rsidRDefault="00D46430" w:rsidP="00D46430">
      <w:pPr>
        <w:pStyle w:val="subsection"/>
        <w:outlineLvl w:val="3"/>
      </w:pPr>
      <w:r w:rsidRPr="00CD5673">
        <w:tab/>
        <w:t>(2)</w:t>
      </w:r>
      <w:r w:rsidRPr="00CD5673">
        <w:tab/>
        <w:t>The Court may make any other order that it thinks appropriate in relation to the declaration.</w:t>
      </w:r>
    </w:p>
    <w:p w14:paraId="47192C68" w14:textId="77777777" w:rsidR="00D46430" w:rsidRPr="00CD5673" w:rsidRDefault="00D46430" w:rsidP="00D46430">
      <w:pPr>
        <w:pStyle w:val="SubsectionHead"/>
        <w:outlineLvl w:val="3"/>
      </w:pPr>
      <w:r w:rsidRPr="00CD5673">
        <w:t>Validity of plan despite contravention</w:t>
      </w:r>
    </w:p>
    <w:p w14:paraId="2BC95ECF" w14:textId="77777777" w:rsidR="00D46430" w:rsidRPr="00CD5673" w:rsidRDefault="00D46430" w:rsidP="00D46430">
      <w:pPr>
        <w:pStyle w:val="subsection"/>
        <w:outlineLvl w:val="3"/>
      </w:pPr>
      <w:r w:rsidRPr="00CD5673">
        <w:tab/>
        <w:t>(3)</w:t>
      </w:r>
      <w:r w:rsidRPr="00CD5673">
        <w:tab/>
        <w:t>The Court may make an order declaring that all or part of a company’s restructuring plan is valid, despite a contravention of a provision of the Act or these regulations, if the Court is satisfied that:</w:t>
      </w:r>
    </w:p>
    <w:p w14:paraId="6746FA8C" w14:textId="77777777" w:rsidR="00D46430" w:rsidRPr="00CD5673" w:rsidRDefault="00D46430" w:rsidP="00D46430">
      <w:pPr>
        <w:pStyle w:val="paragraph"/>
        <w:outlineLvl w:val="3"/>
      </w:pPr>
      <w:r w:rsidRPr="00CD5673">
        <w:tab/>
        <w:t>(a)</w:t>
      </w:r>
      <w:r w:rsidRPr="00CD5673">
        <w:tab/>
        <w:t>the provision was substantially complied with; and</w:t>
      </w:r>
    </w:p>
    <w:p w14:paraId="2906B469" w14:textId="77777777" w:rsidR="00D46430" w:rsidRPr="00CD5673" w:rsidRDefault="00D46430" w:rsidP="00D46430">
      <w:pPr>
        <w:pStyle w:val="paragraph"/>
        <w:outlineLvl w:val="3"/>
      </w:pPr>
      <w:r w:rsidRPr="00CD5673">
        <w:tab/>
        <w:t>(b)</w:t>
      </w:r>
      <w:r w:rsidRPr="00CD5673">
        <w:tab/>
        <w:t>no injustice will result for anyone bound by the plan if the contravention is disregarded.</w:t>
      </w:r>
    </w:p>
    <w:p w14:paraId="0143FB09" w14:textId="77777777" w:rsidR="00D46430" w:rsidRPr="00CD5673" w:rsidRDefault="00D46430" w:rsidP="00D46430">
      <w:pPr>
        <w:pStyle w:val="SubsectionHead"/>
        <w:outlineLvl w:val="3"/>
      </w:pPr>
      <w:r w:rsidRPr="00CD5673">
        <w:t>Applications for orders under this regulation</w:t>
      </w:r>
    </w:p>
    <w:p w14:paraId="28024869" w14:textId="77777777" w:rsidR="00D46430" w:rsidRPr="00CD5673" w:rsidRDefault="00D46430" w:rsidP="00D46430">
      <w:pPr>
        <w:pStyle w:val="subsection"/>
        <w:outlineLvl w:val="3"/>
      </w:pPr>
      <w:r w:rsidRPr="00CD5673">
        <w:tab/>
        <w:t>(4)</w:t>
      </w:r>
      <w:r w:rsidRPr="00CD5673">
        <w:tab/>
        <w:t>The Court may make an order under this regulation on the application of:</w:t>
      </w:r>
    </w:p>
    <w:p w14:paraId="7AA0AA33" w14:textId="77777777" w:rsidR="00D46430" w:rsidRPr="00CD5673" w:rsidRDefault="00D46430" w:rsidP="00D46430">
      <w:pPr>
        <w:pStyle w:val="paragraph"/>
        <w:outlineLvl w:val="3"/>
      </w:pPr>
      <w:r w:rsidRPr="00CD5673">
        <w:tab/>
        <w:t>(a)</w:t>
      </w:r>
      <w:r w:rsidRPr="00CD5673">
        <w:tab/>
        <w:t>the company; or</w:t>
      </w:r>
    </w:p>
    <w:p w14:paraId="00AE6BDE" w14:textId="77777777" w:rsidR="00D46430" w:rsidRPr="00CD5673" w:rsidRDefault="00D46430" w:rsidP="00D46430">
      <w:pPr>
        <w:pStyle w:val="paragraph"/>
        <w:outlineLvl w:val="3"/>
      </w:pPr>
      <w:r w:rsidRPr="00CD5673">
        <w:tab/>
        <w:t>(b)</w:t>
      </w:r>
      <w:r w:rsidRPr="00CD5673">
        <w:tab/>
        <w:t>an affected creditor; or</w:t>
      </w:r>
    </w:p>
    <w:p w14:paraId="3E6CCCC9" w14:textId="77777777" w:rsidR="00D46430" w:rsidRPr="00CD5673" w:rsidRDefault="00D46430" w:rsidP="00D46430">
      <w:pPr>
        <w:pStyle w:val="paragraph"/>
        <w:outlineLvl w:val="3"/>
      </w:pPr>
      <w:r w:rsidRPr="00CD5673">
        <w:tab/>
        <w:t>(c)</w:t>
      </w:r>
      <w:r w:rsidRPr="00CD5673">
        <w:tab/>
        <w:t>the company’s restructuring practitioner; or</w:t>
      </w:r>
    </w:p>
    <w:p w14:paraId="6EF90A24" w14:textId="77777777" w:rsidR="00D46430" w:rsidRPr="00CD5673" w:rsidRDefault="00D46430" w:rsidP="00D46430">
      <w:pPr>
        <w:pStyle w:val="paragraph"/>
        <w:outlineLvl w:val="3"/>
      </w:pPr>
      <w:r w:rsidRPr="00CD5673">
        <w:tab/>
        <w:t>(d)</w:t>
      </w:r>
      <w:r w:rsidRPr="00CD5673">
        <w:tab/>
        <w:t>ASIC.</w:t>
      </w:r>
    </w:p>
    <w:p w14:paraId="63070B8D" w14:textId="77777777" w:rsidR="00D46430" w:rsidRPr="00CD5673" w:rsidRDefault="00D46430" w:rsidP="00D46430">
      <w:pPr>
        <w:pStyle w:val="subsection"/>
        <w:outlineLvl w:val="3"/>
      </w:pPr>
      <w:r w:rsidRPr="00CD5673">
        <w:tab/>
        <w:t>(5)</w:t>
      </w:r>
      <w:r w:rsidRPr="00CD5673">
        <w:tab/>
        <w:t>However, an application for an order under this regulation must not be made if the plan has terminated because of paragraph 5.3B.31(1)(a).</w:t>
      </w:r>
    </w:p>
    <w:p w14:paraId="2052FF75" w14:textId="77777777" w:rsidR="00D46430" w:rsidRPr="00CD5673" w:rsidRDefault="00D46430" w:rsidP="00D46430">
      <w:pPr>
        <w:pStyle w:val="ActHead5"/>
      </w:pPr>
      <w:bookmarkStart w:id="205" w:name="_Toc158711815"/>
      <w:r w:rsidRPr="00C614F1">
        <w:rPr>
          <w:rStyle w:val="CharSectno"/>
        </w:rPr>
        <w:t>5.3B.63</w:t>
      </w:r>
      <w:r w:rsidRPr="00CD5673">
        <w:t xml:space="preserve">  When Court may terminate restructuring plan</w:t>
      </w:r>
      <w:bookmarkEnd w:id="205"/>
    </w:p>
    <w:p w14:paraId="2B1F002D" w14:textId="77777777" w:rsidR="00D46430" w:rsidRPr="00CD5673" w:rsidRDefault="00D46430" w:rsidP="00D46430">
      <w:pPr>
        <w:pStyle w:val="subsection"/>
        <w:outlineLvl w:val="3"/>
      </w:pPr>
      <w:r w:rsidRPr="00CD5673">
        <w:tab/>
        <w:t>(1)</w:t>
      </w:r>
      <w:r w:rsidRPr="00CD5673">
        <w:tab/>
        <w:t>The Court may make an order terminating a company’s restructuring plan if the Court is satisfied that:</w:t>
      </w:r>
    </w:p>
    <w:p w14:paraId="5F567B90" w14:textId="77777777" w:rsidR="00D46430" w:rsidRPr="00CD5673" w:rsidRDefault="00D46430" w:rsidP="00D46430">
      <w:pPr>
        <w:pStyle w:val="paragraph"/>
        <w:outlineLvl w:val="3"/>
      </w:pPr>
      <w:r w:rsidRPr="00CD5673">
        <w:tab/>
        <w:t>(a)</w:t>
      </w:r>
      <w:r w:rsidRPr="00CD5673">
        <w:tab/>
        <w:t>information about the company’s business, property, affairs or financial circumstances that:</w:t>
      </w:r>
    </w:p>
    <w:p w14:paraId="13CF2C84" w14:textId="77777777" w:rsidR="00D46430" w:rsidRPr="00CD5673" w:rsidRDefault="00D46430" w:rsidP="00D46430">
      <w:pPr>
        <w:pStyle w:val="paragraphsub"/>
        <w:outlineLvl w:val="3"/>
      </w:pPr>
      <w:r w:rsidRPr="00CD5673">
        <w:tab/>
        <w:t>(i)</w:t>
      </w:r>
      <w:r w:rsidRPr="00CD5673">
        <w:tab/>
        <w:t>was false or misleading; and</w:t>
      </w:r>
    </w:p>
    <w:p w14:paraId="0DEB7855" w14:textId="77777777" w:rsidR="00D46430" w:rsidRPr="00CD5673" w:rsidRDefault="00D46430" w:rsidP="00D46430">
      <w:pPr>
        <w:pStyle w:val="paragraphsub"/>
        <w:outlineLvl w:val="3"/>
      </w:pPr>
      <w:r w:rsidRPr="00CD5673">
        <w:tab/>
        <w:t>(ii)</w:t>
      </w:r>
      <w:r w:rsidRPr="00CD5673">
        <w:tab/>
        <w:t>can reasonably be expected to have been material to the affected creditors in deciding whether to accept the plan;</w:t>
      </w:r>
    </w:p>
    <w:p w14:paraId="1D740715" w14:textId="77777777" w:rsidR="00D46430" w:rsidRPr="00CD5673" w:rsidRDefault="00D46430" w:rsidP="00D46430">
      <w:pPr>
        <w:pStyle w:val="paragraph"/>
        <w:outlineLvl w:val="3"/>
      </w:pPr>
      <w:r w:rsidRPr="00CD5673">
        <w:tab/>
      </w:r>
      <w:r w:rsidRPr="00CD5673">
        <w:tab/>
        <w:t>was contained in the plan or the restructuring proposal statement that accompanied the plan; or</w:t>
      </w:r>
    </w:p>
    <w:p w14:paraId="07407EEF" w14:textId="77777777" w:rsidR="00D46430" w:rsidRPr="00CD5673" w:rsidRDefault="00D46430" w:rsidP="00D46430">
      <w:pPr>
        <w:pStyle w:val="paragraph"/>
        <w:outlineLvl w:val="3"/>
      </w:pPr>
      <w:r w:rsidRPr="00CD5673">
        <w:tab/>
        <w:t>(b)</w:t>
      </w:r>
      <w:r w:rsidRPr="00CD5673">
        <w:tab/>
        <w:t>there was an omission from the plan or statement and the omission can reasonably be expected to have been material to such creditors in so deciding; or</w:t>
      </w:r>
    </w:p>
    <w:p w14:paraId="5052432E" w14:textId="77777777" w:rsidR="00D46430" w:rsidRPr="00CD5673" w:rsidRDefault="00D46430" w:rsidP="00D46430">
      <w:pPr>
        <w:pStyle w:val="paragraph"/>
        <w:outlineLvl w:val="3"/>
      </w:pPr>
      <w:r w:rsidRPr="00CD5673">
        <w:tab/>
        <w:t>(c)</w:t>
      </w:r>
      <w:r w:rsidRPr="00CD5673">
        <w:tab/>
        <w:t>there has been a material contravention of the plan by a person bound by the plan; or</w:t>
      </w:r>
    </w:p>
    <w:p w14:paraId="7EE829ED" w14:textId="77777777" w:rsidR="00D46430" w:rsidRPr="00CD5673" w:rsidRDefault="00D46430" w:rsidP="00D46430">
      <w:pPr>
        <w:pStyle w:val="paragraph"/>
        <w:outlineLvl w:val="3"/>
      </w:pPr>
      <w:r w:rsidRPr="00CD5673">
        <w:tab/>
        <w:t>(d)</w:t>
      </w:r>
      <w:r w:rsidRPr="00CD5673">
        <w:tab/>
        <w:t>effect cannot be given to the plan without injustice or undue delay; or</w:t>
      </w:r>
    </w:p>
    <w:p w14:paraId="2B9D70B8" w14:textId="77777777" w:rsidR="00D46430" w:rsidRPr="00CD5673" w:rsidRDefault="00D46430" w:rsidP="00D46430">
      <w:pPr>
        <w:pStyle w:val="paragraph"/>
        <w:outlineLvl w:val="3"/>
      </w:pPr>
      <w:r w:rsidRPr="00CD5673">
        <w:tab/>
        <w:t>(e)</w:t>
      </w:r>
      <w:r w:rsidRPr="00CD5673">
        <w:tab/>
        <w:t>the plan or a provision of it is, an act or omission done or made under the plan was, or an act or omission proposed to be so done or made would be contrary to the interests of the creditors of the company as a whole; or</w:t>
      </w:r>
    </w:p>
    <w:p w14:paraId="51FA13FE" w14:textId="77777777" w:rsidR="00D46430" w:rsidRPr="00CD5673" w:rsidRDefault="00D46430" w:rsidP="00D46430">
      <w:pPr>
        <w:pStyle w:val="paragraph"/>
        <w:outlineLvl w:val="3"/>
      </w:pPr>
      <w:r w:rsidRPr="00CD5673">
        <w:tab/>
        <w:t>(f)</w:t>
      </w:r>
      <w:r w:rsidRPr="00CD5673">
        <w:tab/>
        <w:t>the plan should be terminated for some other reason.</w:t>
      </w:r>
    </w:p>
    <w:p w14:paraId="01DDC641" w14:textId="77777777" w:rsidR="00D46430" w:rsidRPr="00CD5673" w:rsidRDefault="00D46430" w:rsidP="00D46430">
      <w:pPr>
        <w:pStyle w:val="subsection"/>
        <w:outlineLvl w:val="3"/>
      </w:pPr>
      <w:r w:rsidRPr="00CD5673">
        <w:tab/>
        <w:t>(2)</w:t>
      </w:r>
      <w:r w:rsidRPr="00CD5673">
        <w:tab/>
        <w:t>The Court may make an order under this regulation:</w:t>
      </w:r>
    </w:p>
    <w:p w14:paraId="340B49F6" w14:textId="77777777" w:rsidR="00D46430" w:rsidRPr="00CD5673" w:rsidRDefault="00D46430" w:rsidP="00D46430">
      <w:pPr>
        <w:pStyle w:val="paragraph"/>
        <w:outlineLvl w:val="3"/>
      </w:pPr>
      <w:r w:rsidRPr="00CD5673">
        <w:tab/>
        <w:t>(a)</w:t>
      </w:r>
      <w:r w:rsidRPr="00CD5673">
        <w:tab/>
        <w:t>on its own initiative; or</w:t>
      </w:r>
    </w:p>
    <w:p w14:paraId="30212B80" w14:textId="77777777" w:rsidR="00D46430" w:rsidRPr="00CD5673" w:rsidRDefault="00D46430" w:rsidP="00D46430">
      <w:pPr>
        <w:pStyle w:val="paragraph"/>
        <w:outlineLvl w:val="3"/>
      </w:pPr>
      <w:r w:rsidRPr="00CD5673">
        <w:tab/>
        <w:t>(b)</w:t>
      </w:r>
      <w:r w:rsidRPr="00CD5673">
        <w:tab/>
        <w:t>on the application of:</w:t>
      </w:r>
    </w:p>
    <w:p w14:paraId="038EA2C6" w14:textId="77777777" w:rsidR="00D46430" w:rsidRPr="00CD5673" w:rsidRDefault="00D46430" w:rsidP="00D46430">
      <w:pPr>
        <w:pStyle w:val="paragraphsub"/>
        <w:outlineLvl w:val="3"/>
      </w:pPr>
      <w:r w:rsidRPr="00CD5673">
        <w:tab/>
        <w:t>(i)</w:t>
      </w:r>
      <w:r w:rsidRPr="00CD5673">
        <w:tab/>
        <w:t>the company; or</w:t>
      </w:r>
    </w:p>
    <w:p w14:paraId="12072E2B" w14:textId="77777777" w:rsidR="00D46430" w:rsidRPr="00CD5673" w:rsidRDefault="00D46430" w:rsidP="00D46430">
      <w:pPr>
        <w:pStyle w:val="paragraphsub"/>
        <w:outlineLvl w:val="3"/>
      </w:pPr>
      <w:r w:rsidRPr="00CD5673">
        <w:tab/>
        <w:t>(ii)</w:t>
      </w:r>
      <w:r w:rsidRPr="00CD5673">
        <w:tab/>
        <w:t>an affected creditor; or</w:t>
      </w:r>
    </w:p>
    <w:p w14:paraId="3882EFDA" w14:textId="77777777" w:rsidR="00D46430" w:rsidRPr="00CD5673" w:rsidRDefault="00D46430" w:rsidP="00D46430">
      <w:pPr>
        <w:pStyle w:val="paragraphsub"/>
        <w:outlineLvl w:val="3"/>
      </w:pPr>
      <w:r w:rsidRPr="00CD5673">
        <w:tab/>
        <w:t>(iii)</w:t>
      </w:r>
      <w:r w:rsidRPr="00CD5673">
        <w:tab/>
        <w:t>the restructuring practitioner for the company or for the plan; or</w:t>
      </w:r>
    </w:p>
    <w:p w14:paraId="12385BEF" w14:textId="77777777" w:rsidR="00D46430" w:rsidRPr="00CD5673" w:rsidRDefault="00D46430" w:rsidP="00D46430">
      <w:pPr>
        <w:pStyle w:val="paragraphsub"/>
        <w:outlineLvl w:val="3"/>
      </w:pPr>
      <w:r w:rsidRPr="00CD5673">
        <w:tab/>
        <w:t>(iv)</w:t>
      </w:r>
      <w:r w:rsidRPr="00CD5673">
        <w:tab/>
        <w:t>ASIC.</w:t>
      </w:r>
    </w:p>
    <w:p w14:paraId="172B9C38" w14:textId="77777777" w:rsidR="00D46430" w:rsidRPr="00CD5673" w:rsidRDefault="00D46430" w:rsidP="00D46430">
      <w:pPr>
        <w:pStyle w:val="ActHead5"/>
      </w:pPr>
      <w:bookmarkStart w:id="206" w:name="_Toc158711816"/>
      <w:r w:rsidRPr="00C614F1">
        <w:rPr>
          <w:rStyle w:val="CharSectno"/>
        </w:rPr>
        <w:t>5.3B.64</w:t>
      </w:r>
      <w:r w:rsidRPr="00CD5673">
        <w:t xml:space="preserve">  Court may limit rights of secured creditor or owner or lessor</w:t>
      </w:r>
      <w:bookmarkEnd w:id="206"/>
    </w:p>
    <w:p w14:paraId="7F14D340" w14:textId="77777777" w:rsidR="00D46430" w:rsidRPr="00CD5673" w:rsidRDefault="00D46430" w:rsidP="00D46430">
      <w:pPr>
        <w:pStyle w:val="subsection"/>
      </w:pPr>
      <w:r w:rsidRPr="00CD5673">
        <w:tab/>
        <w:t>(1)</w:t>
      </w:r>
      <w:r w:rsidRPr="00CD5673">
        <w:tab/>
        <w:t>This regulation applies where:</w:t>
      </w:r>
    </w:p>
    <w:p w14:paraId="5CF94651" w14:textId="77777777" w:rsidR="00D46430" w:rsidRPr="00CD5673" w:rsidRDefault="00D46430" w:rsidP="00D46430">
      <w:pPr>
        <w:pStyle w:val="paragraph"/>
      </w:pPr>
      <w:r w:rsidRPr="00CD5673">
        <w:tab/>
        <w:t>(a)</w:t>
      </w:r>
      <w:r w:rsidRPr="00CD5673">
        <w:tab/>
        <w:t>a company is under restructuring; or</w:t>
      </w:r>
    </w:p>
    <w:p w14:paraId="620B8C3B" w14:textId="77777777" w:rsidR="00D46430" w:rsidRPr="00CD5673" w:rsidRDefault="00D46430" w:rsidP="00D46430">
      <w:pPr>
        <w:pStyle w:val="paragraph"/>
      </w:pPr>
      <w:r w:rsidRPr="00CD5673">
        <w:tab/>
        <w:t>(b)</w:t>
      </w:r>
      <w:r w:rsidRPr="00CD5673">
        <w:tab/>
        <w:t>a company makes a restructuring plan that has not terminated.</w:t>
      </w:r>
    </w:p>
    <w:p w14:paraId="700FA878" w14:textId="77777777" w:rsidR="00D46430" w:rsidRPr="00CD5673" w:rsidRDefault="00D46430" w:rsidP="00D46430">
      <w:pPr>
        <w:pStyle w:val="subsection"/>
      </w:pPr>
      <w:r w:rsidRPr="00CD5673">
        <w:tab/>
        <w:t>(2)</w:t>
      </w:r>
      <w:r w:rsidRPr="00CD5673">
        <w:tab/>
        <w:t>Subject to subsection 454C(3) of the Act, the Court may order a secured creditor of the company not to realise or otherwise deal with the security interest, except as permitted by the order.</w:t>
      </w:r>
    </w:p>
    <w:p w14:paraId="23BEF929" w14:textId="77777777" w:rsidR="00D46430" w:rsidRPr="00CD5673" w:rsidRDefault="00D46430" w:rsidP="00D46430">
      <w:pPr>
        <w:pStyle w:val="subsection"/>
      </w:pPr>
      <w:r w:rsidRPr="00CD5673">
        <w:tab/>
        <w:t>(3)</w:t>
      </w:r>
      <w:r w:rsidRPr="00CD5673">
        <w:tab/>
        <w:t>The Court may only make an order under subregulation (2) if satisfied that:</w:t>
      </w:r>
    </w:p>
    <w:p w14:paraId="70694D38" w14:textId="77777777" w:rsidR="00D46430" w:rsidRPr="00CD5673" w:rsidRDefault="00D46430" w:rsidP="00D46430">
      <w:pPr>
        <w:pStyle w:val="paragraph"/>
      </w:pPr>
      <w:r w:rsidRPr="00CD5673">
        <w:tab/>
        <w:t>(a)</w:t>
      </w:r>
      <w:r w:rsidRPr="00CD5673">
        <w:tab/>
        <w:t>for the creditor to realise or otherwise deal with the security interest would have a material adverse effect on achieving the purposes of the plan; and</w:t>
      </w:r>
    </w:p>
    <w:p w14:paraId="12C44772" w14:textId="77777777" w:rsidR="00D46430" w:rsidRPr="00CD5673" w:rsidRDefault="00D46430" w:rsidP="00D46430">
      <w:pPr>
        <w:pStyle w:val="paragraph"/>
      </w:pPr>
      <w:r w:rsidRPr="00CD5673">
        <w:lastRenderedPageBreak/>
        <w:tab/>
        <w:t>(b)</w:t>
      </w:r>
      <w:r w:rsidRPr="00CD5673">
        <w:tab/>
        <w:t>having regard to:</w:t>
      </w:r>
    </w:p>
    <w:p w14:paraId="0EF59BB0" w14:textId="77777777" w:rsidR="00D46430" w:rsidRPr="00CD5673" w:rsidRDefault="00D46430" w:rsidP="00D46430">
      <w:pPr>
        <w:pStyle w:val="paragraphsub"/>
      </w:pPr>
      <w:r w:rsidRPr="00CD5673">
        <w:tab/>
        <w:t>(i)</w:t>
      </w:r>
      <w:r w:rsidRPr="00CD5673">
        <w:tab/>
        <w:t>the terms of the plan; and</w:t>
      </w:r>
    </w:p>
    <w:p w14:paraId="7F62560C" w14:textId="77777777" w:rsidR="00D46430" w:rsidRPr="00CD5673" w:rsidRDefault="00D46430" w:rsidP="00D46430">
      <w:pPr>
        <w:pStyle w:val="paragraphsub"/>
      </w:pPr>
      <w:r w:rsidRPr="00CD5673">
        <w:tab/>
        <w:t>(ii)</w:t>
      </w:r>
      <w:r w:rsidRPr="00CD5673">
        <w:tab/>
        <w:t>the terms of the order; and</w:t>
      </w:r>
    </w:p>
    <w:p w14:paraId="7A8C0384" w14:textId="77777777" w:rsidR="00D46430" w:rsidRPr="00CD5673" w:rsidRDefault="00D46430" w:rsidP="00D46430">
      <w:pPr>
        <w:pStyle w:val="paragraphsub"/>
      </w:pPr>
      <w:r w:rsidRPr="00CD5673">
        <w:tab/>
        <w:t>(iii)</w:t>
      </w:r>
      <w:r w:rsidRPr="00CD5673">
        <w:tab/>
        <w:t>any other relevant matter;</w:t>
      </w:r>
    </w:p>
    <w:p w14:paraId="686FD437" w14:textId="77777777" w:rsidR="00D46430" w:rsidRPr="00CD5673" w:rsidRDefault="00D46430" w:rsidP="00D46430">
      <w:pPr>
        <w:pStyle w:val="paragraph"/>
      </w:pPr>
      <w:r w:rsidRPr="00CD5673">
        <w:tab/>
      </w:r>
      <w:r w:rsidRPr="00CD5673">
        <w:tab/>
        <w:t>the creditor’s interests will be adequately protected.</w:t>
      </w:r>
    </w:p>
    <w:p w14:paraId="252D2629" w14:textId="77777777" w:rsidR="00D46430" w:rsidRPr="00CD5673" w:rsidRDefault="00D46430" w:rsidP="00D46430">
      <w:pPr>
        <w:pStyle w:val="subsection"/>
      </w:pPr>
      <w:r w:rsidRPr="00CD5673">
        <w:tab/>
        <w:t>(4)</w:t>
      </w:r>
      <w:r w:rsidRPr="00CD5673">
        <w:tab/>
        <w:t>The Court may order the owner or lessor of property that is used or occupied by, or is in the possession of, the company not to take possession of the property or otherwise recover it.</w:t>
      </w:r>
    </w:p>
    <w:p w14:paraId="501DC71D" w14:textId="77777777" w:rsidR="00D46430" w:rsidRPr="00CD5673" w:rsidRDefault="00D46430" w:rsidP="00D46430">
      <w:pPr>
        <w:pStyle w:val="subsection"/>
      </w:pPr>
      <w:r w:rsidRPr="00CD5673">
        <w:tab/>
        <w:t>(5)</w:t>
      </w:r>
      <w:r w:rsidRPr="00CD5673">
        <w:tab/>
        <w:t>Subregulation (4) does not apply in relation to PPSA retention of title property of the company.</w:t>
      </w:r>
    </w:p>
    <w:p w14:paraId="216C83AC" w14:textId="77777777" w:rsidR="00D46430" w:rsidRPr="00CD5673" w:rsidRDefault="00D46430" w:rsidP="00D46430">
      <w:pPr>
        <w:pStyle w:val="subsection"/>
      </w:pPr>
      <w:r w:rsidRPr="00CD5673">
        <w:tab/>
        <w:t>(6)</w:t>
      </w:r>
      <w:r w:rsidRPr="00CD5673">
        <w:tab/>
        <w:t>The Court may only make an order under subregulation (4) if satisfied that:</w:t>
      </w:r>
    </w:p>
    <w:p w14:paraId="5B0412AF" w14:textId="77777777" w:rsidR="00D46430" w:rsidRPr="00CD5673" w:rsidRDefault="00D46430" w:rsidP="00D46430">
      <w:pPr>
        <w:pStyle w:val="paragraph"/>
      </w:pPr>
      <w:r w:rsidRPr="00CD5673">
        <w:tab/>
        <w:t>(a)</w:t>
      </w:r>
      <w:r w:rsidRPr="00CD5673">
        <w:tab/>
        <w:t>for the owner or lessor to take possession of the property or otherwise recover it would have a material adverse effect on achieving the purposes of the plan; and</w:t>
      </w:r>
    </w:p>
    <w:p w14:paraId="464D9C11" w14:textId="77777777" w:rsidR="00D46430" w:rsidRPr="00CD5673" w:rsidRDefault="00D46430" w:rsidP="00D46430">
      <w:pPr>
        <w:pStyle w:val="paragraph"/>
      </w:pPr>
      <w:r w:rsidRPr="00CD5673">
        <w:tab/>
        <w:t>(b)</w:t>
      </w:r>
      <w:r w:rsidRPr="00CD5673">
        <w:tab/>
        <w:t>having regard to:</w:t>
      </w:r>
    </w:p>
    <w:p w14:paraId="2A68FF82" w14:textId="77777777" w:rsidR="00D46430" w:rsidRPr="00CD5673" w:rsidRDefault="00D46430" w:rsidP="00D46430">
      <w:pPr>
        <w:pStyle w:val="paragraphsub"/>
      </w:pPr>
      <w:r w:rsidRPr="00CD5673">
        <w:tab/>
        <w:t>(i)</w:t>
      </w:r>
      <w:r w:rsidRPr="00CD5673">
        <w:tab/>
        <w:t>the terms of the plan; and</w:t>
      </w:r>
    </w:p>
    <w:p w14:paraId="191EF512" w14:textId="77777777" w:rsidR="00D46430" w:rsidRPr="00CD5673" w:rsidRDefault="00D46430" w:rsidP="00D46430">
      <w:pPr>
        <w:pStyle w:val="paragraphsub"/>
      </w:pPr>
      <w:r w:rsidRPr="00CD5673">
        <w:tab/>
        <w:t>(ii)</w:t>
      </w:r>
      <w:r w:rsidRPr="00CD5673">
        <w:tab/>
        <w:t>the terms of the order; and</w:t>
      </w:r>
    </w:p>
    <w:p w14:paraId="53AC7B05" w14:textId="77777777" w:rsidR="00D46430" w:rsidRPr="00CD5673" w:rsidRDefault="00D46430" w:rsidP="00D46430">
      <w:pPr>
        <w:pStyle w:val="paragraphsub"/>
      </w:pPr>
      <w:r w:rsidRPr="00CD5673">
        <w:tab/>
        <w:t>(iii)</w:t>
      </w:r>
      <w:r w:rsidRPr="00CD5673">
        <w:tab/>
        <w:t>any other relevant matter;</w:t>
      </w:r>
    </w:p>
    <w:p w14:paraId="1AF85399" w14:textId="77777777" w:rsidR="00D46430" w:rsidRPr="00CD5673" w:rsidRDefault="00D46430" w:rsidP="00D46430">
      <w:pPr>
        <w:pStyle w:val="paragraph"/>
      </w:pPr>
      <w:r w:rsidRPr="00CD5673">
        <w:tab/>
      </w:r>
      <w:r w:rsidRPr="00CD5673">
        <w:tab/>
        <w:t>the interests of the owner or lessor will be adequately protected.</w:t>
      </w:r>
    </w:p>
    <w:p w14:paraId="43ABD3D2" w14:textId="77777777" w:rsidR="00D46430" w:rsidRPr="00CD5673" w:rsidRDefault="00D46430" w:rsidP="00D46430">
      <w:pPr>
        <w:pStyle w:val="subsection"/>
      </w:pPr>
      <w:r w:rsidRPr="00CD5673">
        <w:tab/>
        <w:t>(7)</w:t>
      </w:r>
      <w:r w:rsidRPr="00CD5673">
        <w:tab/>
        <w:t>An order under this regulation may be made subject to conditions.</w:t>
      </w:r>
    </w:p>
    <w:p w14:paraId="31EA04D1" w14:textId="77777777" w:rsidR="00D46430" w:rsidRPr="00CD5673" w:rsidRDefault="00D46430" w:rsidP="00D46430">
      <w:pPr>
        <w:pStyle w:val="subsection"/>
      </w:pPr>
      <w:r w:rsidRPr="00CD5673">
        <w:tab/>
        <w:t>(8)</w:t>
      </w:r>
      <w:r w:rsidRPr="00CD5673">
        <w:tab/>
        <w:t>An order under this regulation may only be made on the application of:</w:t>
      </w:r>
    </w:p>
    <w:p w14:paraId="79C7A47B" w14:textId="77777777" w:rsidR="00D46430" w:rsidRPr="00CD5673" w:rsidRDefault="00D46430" w:rsidP="00D46430">
      <w:pPr>
        <w:pStyle w:val="paragraph"/>
      </w:pPr>
      <w:r w:rsidRPr="00CD5673">
        <w:tab/>
        <w:t>(a)</w:t>
      </w:r>
      <w:r w:rsidRPr="00CD5673">
        <w:tab/>
        <w:t>if paragraph (1)(a) applies—the restructuring practitioner for the company; or</w:t>
      </w:r>
    </w:p>
    <w:p w14:paraId="7AFE0BB9" w14:textId="77777777" w:rsidR="00D46430" w:rsidRPr="00CD5673" w:rsidRDefault="00D46430" w:rsidP="00D46430">
      <w:pPr>
        <w:pStyle w:val="paragraph"/>
      </w:pPr>
      <w:r w:rsidRPr="00CD5673">
        <w:tab/>
        <w:t>(b)</w:t>
      </w:r>
      <w:r w:rsidRPr="00CD5673">
        <w:tab/>
        <w:t>if paragraph (1)(b) applies—the restructuring practitioner for the plan.</w:t>
      </w:r>
    </w:p>
    <w:p w14:paraId="7F14C0F3" w14:textId="77777777" w:rsidR="00D46430" w:rsidRPr="00CD5673" w:rsidRDefault="00D46430" w:rsidP="00D46430">
      <w:pPr>
        <w:pStyle w:val="ActHead3"/>
        <w:pageBreakBefore/>
      </w:pPr>
      <w:bookmarkStart w:id="207" w:name="_Toc158711817"/>
      <w:r w:rsidRPr="00C614F1">
        <w:rPr>
          <w:rStyle w:val="CharDivNo"/>
        </w:rPr>
        <w:lastRenderedPageBreak/>
        <w:t>Division 7</w:t>
      </w:r>
      <w:r w:rsidRPr="00CD5673">
        <w:t>—</w:t>
      </w:r>
      <w:r w:rsidRPr="00C614F1">
        <w:rPr>
          <w:rStyle w:val="CharDivText"/>
        </w:rPr>
        <w:t>Other matters</w:t>
      </w:r>
      <w:bookmarkEnd w:id="207"/>
    </w:p>
    <w:p w14:paraId="5A3B1726" w14:textId="77777777" w:rsidR="00D46430" w:rsidRPr="00CD5673" w:rsidRDefault="00D46430" w:rsidP="00D46430">
      <w:pPr>
        <w:pStyle w:val="ActHead5"/>
      </w:pPr>
      <w:bookmarkStart w:id="208" w:name="_Toc158711818"/>
      <w:r w:rsidRPr="00C614F1">
        <w:rPr>
          <w:rStyle w:val="CharSectno"/>
        </w:rPr>
        <w:t>5.3B.65</w:t>
      </w:r>
      <w:r w:rsidRPr="00CD5673">
        <w:t xml:space="preserve">  Approved forms</w:t>
      </w:r>
      <w:bookmarkEnd w:id="208"/>
    </w:p>
    <w:p w14:paraId="27F3E3CC" w14:textId="77777777" w:rsidR="00D46430" w:rsidRPr="00CD5673" w:rsidRDefault="00D46430" w:rsidP="00D46430">
      <w:pPr>
        <w:pStyle w:val="subsection"/>
      </w:pPr>
      <w:r w:rsidRPr="00CD5673">
        <w:tab/>
      </w:r>
      <w:r w:rsidRPr="00CD5673">
        <w:tab/>
        <w:t>ASIC may, in writing, approve a form for the purposes of a provision of this Part.</w:t>
      </w:r>
    </w:p>
    <w:p w14:paraId="5276DE87" w14:textId="77777777" w:rsidR="00D46430" w:rsidRPr="00CD5673" w:rsidRDefault="00D46430" w:rsidP="00D46430">
      <w:pPr>
        <w:pStyle w:val="ActHead2"/>
        <w:pageBreakBefore/>
      </w:pPr>
      <w:bookmarkStart w:id="209" w:name="_Toc158711819"/>
      <w:r w:rsidRPr="00C614F1">
        <w:rPr>
          <w:rStyle w:val="CharPartNo"/>
        </w:rPr>
        <w:lastRenderedPageBreak/>
        <w:t>Part 5.4</w:t>
      </w:r>
      <w:r w:rsidRPr="00CD5673">
        <w:t>—</w:t>
      </w:r>
      <w:r w:rsidRPr="00C614F1">
        <w:rPr>
          <w:rStyle w:val="CharPartText"/>
        </w:rPr>
        <w:t>Winding up in insolvency</w:t>
      </w:r>
      <w:bookmarkEnd w:id="209"/>
    </w:p>
    <w:p w14:paraId="3543BD95"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02CCBD1F" w14:textId="77777777" w:rsidR="00D46430" w:rsidRPr="00CD5673" w:rsidRDefault="00D46430" w:rsidP="00D46430">
      <w:pPr>
        <w:pStyle w:val="ActHead5"/>
        <w:rPr>
          <w:rFonts w:eastAsia="Calibri"/>
        </w:rPr>
      </w:pPr>
      <w:bookmarkStart w:id="210" w:name="_Toc158711820"/>
      <w:r w:rsidRPr="00C614F1">
        <w:rPr>
          <w:rStyle w:val="CharSectno"/>
          <w:rFonts w:eastAsia="Calibri"/>
        </w:rPr>
        <w:t>5.4.01AAA</w:t>
      </w:r>
      <w:r w:rsidRPr="00CD5673">
        <w:rPr>
          <w:rFonts w:eastAsia="Calibri"/>
        </w:rPr>
        <w:t xml:space="preserve">  </w:t>
      </w:r>
      <w:r w:rsidR="003C34A0" w:rsidRPr="00CD5673">
        <w:t xml:space="preserve">Meaning of </w:t>
      </w:r>
      <w:r w:rsidR="003C34A0" w:rsidRPr="00CD5673">
        <w:rPr>
          <w:i/>
        </w:rPr>
        <w:t>statutory minimum</w:t>
      </w:r>
      <w:r w:rsidR="003C34A0" w:rsidRPr="00CD5673">
        <w:t xml:space="preserve"> and </w:t>
      </w:r>
      <w:r w:rsidR="003C34A0" w:rsidRPr="00CD5673">
        <w:rPr>
          <w:i/>
        </w:rPr>
        <w:t>statutory period—</w:t>
      </w:r>
      <w:r w:rsidR="003C34A0" w:rsidRPr="00CD5673">
        <w:t>prescribed amounts</w:t>
      </w:r>
      <w:bookmarkEnd w:id="210"/>
    </w:p>
    <w:p w14:paraId="03800663" w14:textId="77777777" w:rsidR="00D46430" w:rsidRPr="00CD5673" w:rsidRDefault="00D46430" w:rsidP="00D46430">
      <w:pPr>
        <w:pStyle w:val="subsection"/>
      </w:pPr>
      <w:r w:rsidRPr="00CD5673">
        <w:tab/>
        <w:t>(1)</w:t>
      </w:r>
      <w:r w:rsidRPr="00CD5673">
        <w:tab/>
        <w:t xml:space="preserve">For the purposes of paragraph (a) of the definition of </w:t>
      </w:r>
      <w:r w:rsidRPr="00CD5673">
        <w:rPr>
          <w:b/>
          <w:i/>
        </w:rPr>
        <w:t>statutory minimum</w:t>
      </w:r>
      <w:r w:rsidRPr="00CD5673">
        <w:t xml:space="preserve"> in section 9 of the Act, the amount prescribed is:</w:t>
      </w:r>
    </w:p>
    <w:p w14:paraId="6181B950" w14:textId="77777777" w:rsidR="00D46430" w:rsidRPr="00CD5673" w:rsidRDefault="00D46430" w:rsidP="00D46430">
      <w:pPr>
        <w:pStyle w:val="paragraph"/>
      </w:pPr>
      <w:r w:rsidRPr="00CD5673">
        <w:tab/>
        <w:t>(a)</w:t>
      </w:r>
      <w:r w:rsidRPr="00CD5673">
        <w:tab/>
        <w:t>in relation to a company that is eligible for temporary restructuring relief—$20,000; and</w:t>
      </w:r>
    </w:p>
    <w:p w14:paraId="48AF2F7C" w14:textId="77777777" w:rsidR="00D46430" w:rsidRPr="00CD5673" w:rsidRDefault="00D46430" w:rsidP="00D46430">
      <w:pPr>
        <w:pStyle w:val="paragraph"/>
      </w:pPr>
      <w:r w:rsidRPr="00CD5673">
        <w:tab/>
        <w:t>(b)</w:t>
      </w:r>
      <w:r w:rsidRPr="00CD5673">
        <w:tab/>
        <w:t>otherwise—</w:t>
      </w:r>
      <w:r w:rsidRPr="00CD5673">
        <w:rPr>
          <w:rFonts w:eastAsia="Calibri"/>
        </w:rPr>
        <w:t>$4,000</w:t>
      </w:r>
      <w:r w:rsidRPr="00CD5673">
        <w:t>.</w:t>
      </w:r>
    </w:p>
    <w:p w14:paraId="03BD7527" w14:textId="77777777" w:rsidR="00D46430" w:rsidRPr="00CD5673" w:rsidRDefault="00D46430" w:rsidP="00D46430">
      <w:pPr>
        <w:pStyle w:val="subsection"/>
      </w:pPr>
      <w:r w:rsidRPr="00CD5673">
        <w:tab/>
        <w:t>(2)</w:t>
      </w:r>
      <w:r w:rsidRPr="00CD5673">
        <w:tab/>
        <w:t xml:space="preserve">For the purposes of paragraph (a) of the definition of </w:t>
      </w:r>
      <w:r w:rsidRPr="00CD5673">
        <w:rPr>
          <w:b/>
          <w:i/>
        </w:rPr>
        <w:t>statutory period</w:t>
      </w:r>
      <w:r w:rsidRPr="00CD5673">
        <w:t xml:space="preserve"> in section 9 of the Act, the period prescribed is:</w:t>
      </w:r>
    </w:p>
    <w:p w14:paraId="16440920" w14:textId="77777777" w:rsidR="00D46430" w:rsidRPr="00CD5673" w:rsidRDefault="00D46430" w:rsidP="00D46430">
      <w:pPr>
        <w:pStyle w:val="paragraph"/>
      </w:pPr>
      <w:r w:rsidRPr="00CD5673">
        <w:tab/>
        <w:t>(a)</w:t>
      </w:r>
      <w:r w:rsidRPr="00CD5673">
        <w:tab/>
        <w:t>in relation to a company that is eligible for temporary restructuring relief—6 months; and</w:t>
      </w:r>
    </w:p>
    <w:p w14:paraId="4B1ECDB1" w14:textId="77777777" w:rsidR="00D46430" w:rsidRPr="00CD5673" w:rsidRDefault="00D46430" w:rsidP="00D46430">
      <w:pPr>
        <w:pStyle w:val="paragraph"/>
      </w:pPr>
      <w:r w:rsidRPr="00CD5673">
        <w:tab/>
        <w:t>(b)</w:t>
      </w:r>
      <w:r w:rsidRPr="00CD5673">
        <w:tab/>
        <w:t>otherwise—21 days.</w:t>
      </w:r>
    </w:p>
    <w:p w14:paraId="77C5DA8F" w14:textId="77777777" w:rsidR="00D46430" w:rsidRPr="00CD5673" w:rsidRDefault="00D46430" w:rsidP="00D46430">
      <w:pPr>
        <w:pStyle w:val="subsection"/>
        <w:rPr>
          <w:rFonts w:eastAsia="Calibri"/>
        </w:rPr>
      </w:pPr>
      <w:r w:rsidRPr="00CD5673">
        <w:rPr>
          <w:rFonts w:eastAsia="Calibri"/>
        </w:rPr>
        <w:tab/>
        <w:t>(3)</w:t>
      </w:r>
      <w:r w:rsidRPr="00CD5673">
        <w:rPr>
          <w:rFonts w:eastAsia="Calibri"/>
        </w:rPr>
        <w:tab/>
        <w:t>Paragraphs (1)(a) and (2)(a) do not apply in relation to statutory demands served on or after 1 August 2021.</w:t>
      </w:r>
    </w:p>
    <w:p w14:paraId="7C5EA94A" w14:textId="77777777" w:rsidR="00D46430" w:rsidRPr="00CD5673" w:rsidRDefault="00D46430" w:rsidP="00D46430">
      <w:pPr>
        <w:pStyle w:val="ActHead5"/>
      </w:pPr>
      <w:bookmarkStart w:id="211" w:name="_Toc158711821"/>
      <w:r w:rsidRPr="00C614F1">
        <w:rPr>
          <w:rStyle w:val="CharSectno"/>
        </w:rPr>
        <w:t>5.4.01</w:t>
      </w:r>
      <w:r w:rsidRPr="00CD5673">
        <w:t xml:space="preserve">  Application to Court for winding up—prescribed agency</w:t>
      </w:r>
      <w:bookmarkEnd w:id="211"/>
    </w:p>
    <w:p w14:paraId="56917A23" w14:textId="77777777" w:rsidR="00D46430" w:rsidRPr="00CD5673" w:rsidRDefault="00D46430" w:rsidP="00D46430">
      <w:pPr>
        <w:pStyle w:val="subsection"/>
      </w:pPr>
      <w:r w:rsidRPr="00CD5673">
        <w:tab/>
      </w:r>
      <w:r w:rsidRPr="00CD5673">
        <w:tab/>
        <w:t>The Australian Prudential Regulation Authority is a prescribed agency for paragraph 459P(1)(g) of the Act.</w:t>
      </w:r>
    </w:p>
    <w:p w14:paraId="26076D1A" w14:textId="77777777" w:rsidR="00D46430" w:rsidRPr="00CD5673" w:rsidRDefault="00D46430" w:rsidP="00D46430">
      <w:pPr>
        <w:pStyle w:val="ActHead5"/>
      </w:pPr>
      <w:bookmarkStart w:id="212" w:name="_Toc158711822"/>
      <w:r w:rsidRPr="00C614F1">
        <w:rPr>
          <w:rStyle w:val="CharSectno"/>
        </w:rPr>
        <w:t>5.4.01A</w:t>
      </w:r>
      <w:r w:rsidRPr="00CD5673">
        <w:t xml:space="preserve">  Notice of application to wind up a company</w:t>
      </w:r>
      <w:bookmarkEnd w:id="212"/>
    </w:p>
    <w:p w14:paraId="05F156DD" w14:textId="77777777" w:rsidR="00D46430" w:rsidRPr="00CD5673" w:rsidRDefault="00D46430" w:rsidP="00D46430">
      <w:pPr>
        <w:pStyle w:val="subsection"/>
      </w:pPr>
      <w:r w:rsidRPr="00CD5673">
        <w:tab/>
        <w:t>(1)</w:t>
      </w:r>
      <w:r w:rsidRPr="00CD5673">
        <w:tab/>
        <w:t>This regulation is made for paragraph 465A(1)(c) of the Act.</w:t>
      </w:r>
    </w:p>
    <w:p w14:paraId="169E1CA7" w14:textId="77777777" w:rsidR="00D46430" w:rsidRPr="00CD5673" w:rsidRDefault="00D46430" w:rsidP="00D46430">
      <w:pPr>
        <w:pStyle w:val="subsection"/>
      </w:pPr>
      <w:r w:rsidRPr="00CD5673">
        <w:tab/>
        <w:t>(2)</w:t>
      </w:r>
      <w:r w:rsidRPr="00CD5673">
        <w:tab/>
        <w:t>The information about an application that is to be set out in a notice is at least the following information:</w:t>
      </w:r>
    </w:p>
    <w:p w14:paraId="4ABDE744" w14:textId="77777777" w:rsidR="00D46430" w:rsidRPr="00CD5673" w:rsidRDefault="00D46430" w:rsidP="00D46430">
      <w:pPr>
        <w:pStyle w:val="paragraph"/>
      </w:pPr>
      <w:r w:rsidRPr="00CD5673">
        <w:tab/>
        <w:t>(a)</w:t>
      </w:r>
      <w:r w:rsidRPr="00CD5673">
        <w:tab/>
        <w:t xml:space="preserve">if the </w:t>
      </w:r>
      <w:r w:rsidR="003C34A0" w:rsidRPr="00CD5673">
        <w:t>rules of court</w:t>
      </w:r>
      <w:r w:rsidRPr="00CD5673">
        <w:t xml:space="preserve"> require particular information to be published for the application and the court has not dispensed with publication under the </w:t>
      </w:r>
      <w:bookmarkStart w:id="213" w:name="_Hlk146189486"/>
      <w:r w:rsidR="00987532" w:rsidRPr="00CD5673">
        <w:t>rules of court</w:t>
      </w:r>
      <w:bookmarkEnd w:id="213"/>
      <w:r w:rsidRPr="00CD5673">
        <w:t>—that information;</w:t>
      </w:r>
    </w:p>
    <w:p w14:paraId="725E092C" w14:textId="77777777" w:rsidR="00D46430" w:rsidRPr="00CD5673" w:rsidRDefault="00D46430" w:rsidP="00D46430">
      <w:pPr>
        <w:pStyle w:val="paragraph"/>
      </w:pPr>
      <w:r w:rsidRPr="00CD5673">
        <w:tab/>
        <w:t>(b)</w:t>
      </w:r>
      <w:r w:rsidRPr="00CD5673">
        <w:tab/>
        <w:t xml:space="preserve">if the </w:t>
      </w:r>
      <w:r w:rsidR="003C34A0" w:rsidRPr="00CD5673">
        <w:t>rules of court</w:t>
      </w:r>
      <w:r w:rsidRPr="00CD5673">
        <w:t xml:space="preserve"> do not require particular information to be published, or the court has dispensed with publication under the </w:t>
      </w:r>
      <w:r w:rsidR="00987532" w:rsidRPr="00CD5673">
        <w:t>rules of court</w:t>
      </w:r>
      <w:r w:rsidRPr="00CD5673">
        <w:t>:</w:t>
      </w:r>
    </w:p>
    <w:p w14:paraId="1C92C549" w14:textId="77777777" w:rsidR="00D46430" w:rsidRPr="00CD5673" w:rsidRDefault="00D46430" w:rsidP="00D46430">
      <w:pPr>
        <w:pStyle w:val="paragraphsub"/>
      </w:pPr>
      <w:r w:rsidRPr="00CD5673">
        <w:tab/>
        <w:t>(i)</w:t>
      </w:r>
      <w:r w:rsidRPr="00CD5673">
        <w:tab/>
        <w:t>the name of the company; and</w:t>
      </w:r>
    </w:p>
    <w:p w14:paraId="45A7555D" w14:textId="77777777" w:rsidR="00D46430" w:rsidRPr="00CD5673" w:rsidRDefault="00D46430" w:rsidP="00D46430">
      <w:pPr>
        <w:pStyle w:val="paragraphsub"/>
      </w:pPr>
      <w:r w:rsidRPr="00CD5673">
        <w:tab/>
        <w:t>(ii)</w:t>
      </w:r>
      <w:r w:rsidRPr="00CD5673">
        <w:tab/>
        <w:t>any trading name of the company; and</w:t>
      </w:r>
    </w:p>
    <w:p w14:paraId="3F82B471" w14:textId="77777777" w:rsidR="00D46430" w:rsidRPr="00CD5673" w:rsidRDefault="00D46430" w:rsidP="00D46430">
      <w:pPr>
        <w:pStyle w:val="paragraphsub"/>
      </w:pPr>
      <w:r w:rsidRPr="00CD5673">
        <w:tab/>
        <w:t>(iii)</w:t>
      </w:r>
      <w:r w:rsidRPr="00CD5673">
        <w:tab/>
        <w:t>the ACN of the company; and</w:t>
      </w:r>
    </w:p>
    <w:p w14:paraId="14511CDC" w14:textId="77777777" w:rsidR="00D46430" w:rsidRPr="00CD5673" w:rsidRDefault="00D46430" w:rsidP="00D46430">
      <w:pPr>
        <w:pStyle w:val="paragraphsub"/>
      </w:pPr>
      <w:r w:rsidRPr="00CD5673">
        <w:tab/>
        <w:t>(iiia)</w:t>
      </w:r>
      <w:r w:rsidRPr="00CD5673">
        <w:tab/>
        <w:t>if paragraph 465A(1)(c) of the Act applies for a sub</w:t>
      </w:r>
      <w:r w:rsidR="00C614F1">
        <w:noBreakHyphen/>
      </w:r>
      <w:r w:rsidRPr="00CD5673">
        <w:t>fund of a CCIV because of section 1237B of the Act—the ARFN of the sub</w:t>
      </w:r>
      <w:r w:rsidR="00C614F1">
        <w:noBreakHyphen/>
      </w:r>
      <w:r w:rsidRPr="00CD5673">
        <w:t>fund; and</w:t>
      </w:r>
    </w:p>
    <w:p w14:paraId="06CCD42E" w14:textId="77777777" w:rsidR="00D46430" w:rsidRPr="00CD5673" w:rsidRDefault="00D46430" w:rsidP="00D46430">
      <w:pPr>
        <w:pStyle w:val="paragraphsub"/>
      </w:pPr>
      <w:r w:rsidRPr="00CD5673">
        <w:tab/>
        <w:t>(iv)</w:t>
      </w:r>
      <w:r w:rsidRPr="00CD5673">
        <w:tab/>
        <w:t>the date on which the application was filed; and</w:t>
      </w:r>
    </w:p>
    <w:p w14:paraId="7AF49B49" w14:textId="77777777" w:rsidR="00D46430" w:rsidRPr="00CD5673" w:rsidRDefault="00D46430" w:rsidP="00D46430">
      <w:pPr>
        <w:pStyle w:val="paragraphsub"/>
      </w:pPr>
      <w:r w:rsidRPr="00CD5673">
        <w:tab/>
        <w:t>(v)</w:t>
      </w:r>
      <w:r w:rsidRPr="00CD5673">
        <w:tab/>
        <w:t>the identifying number allocated by the court when the application was filed; and</w:t>
      </w:r>
    </w:p>
    <w:p w14:paraId="14F630AA" w14:textId="77777777" w:rsidR="00D46430" w:rsidRPr="00CD5673" w:rsidRDefault="00D46430" w:rsidP="00D46430">
      <w:pPr>
        <w:pStyle w:val="paragraphsub"/>
      </w:pPr>
      <w:r w:rsidRPr="00CD5673">
        <w:tab/>
        <w:t>(vi)</w:t>
      </w:r>
      <w:r w:rsidRPr="00CD5673">
        <w:tab/>
        <w:t>the name of the applicant; and</w:t>
      </w:r>
    </w:p>
    <w:p w14:paraId="43B5A806" w14:textId="77777777" w:rsidR="00D46430" w:rsidRPr="00CD5673" w:rsidRDefault="00D46430" w:rsidP="00D46430">
      <w:pPr>
        <w:pStyle w:val="paragraphsub"/>
      </w:pPr>
      <w:r w:rsidRPr="00CD5673">
        <w:tab/>
        <w:t>(vii)</w:t>
      </w:r>
      <w:r w:rsidRPr="00CD5673">
        <w:tab/>
        <w:t>the address for service of the applicant; and</w:t>
      </w:r>
    </w:p>
    <w:p w14:paraId="2AFBC5D9" w14:textId="77777777" w:rsidR="00D46430" w:rsidRPr="00CD5673" w:rsidRDefault="00D46430" w:rsidP="00D46430">
      <w:pPr>
        <w:pStyle w:val="paragraphsub"/>
      </w:pPr>
      <w:r w:rsidRPr="00CD5673">
        <w:tab/>
        <w:t>(viii)</w:t>
      </w:r>
      <w:r w:rsidRPr="00CD5673">
        <w:tab/>
        <w:t>the name and address of the court where the application will be heard; and</w:t>
      </w:r>
    </w:p>
    <w:p w14:paraId="17E1DD3E" w14:textId="77777777" w:rsidR="00D46430" w:rsidRPr="00CD5673" w:rsidRDefault="00D46430" w:rsidP="00D46430">
      <w:pPr>
        <w:pStyle w:val="paragraphsub"/>
      </w:pPr>
      <w:r w:rsidRPr="00CD5673">
        <w:tab/>
        <w:t>(ix)</w:t>
      </w:r>
      <w:r w:rsidRPr="00CD5673">
        <w:tab/>
        <w:t>the time and date of the court hearing; and</w:t>
      </w:r>
    </w:p>
    <w:p w14:paraId="4EF14AF8" w14:textId="77777777" w:rsidR="00D46430" w:rsidRPr="00CD5673" w:rsidRDefault="00D46430" w:rsidP="00D46430">
      <w:pPr>
        <w:pStyle w:val="paragraphsub"/>
      </w:pPr>
      <w:r w:rsidRPr="00CD5673">
        <w:tab/>
        <w:t>(x)</w:t>
      </w:r>
      <w:r w:rsidRPr="00CD5673">
        <w:tab/>
        <w:t>the way in which documents that are filed in relation to the application may be obtained.</w:t>
      </w:r>
    </w:p>
    <w:p w14:paraId="19D5F5D2" w14:textId="77777777" w:rsidR="00D46430" w:rsidRPr="00CD5673" w:rsidRDefault="00D46430" w:rsidP="00D46430">
      <w:pPr>
        <w:pStyle w:val="notetext"/>
      </w:pPr>
      <w:r w:rsidRPr="00CD5673">
        <w:t>Note:</w:t>
      </w:r>
      <w:r w:rsidRPr="00CD5673">
        <w:tab/>
        <w:t>If paragraph 465A(1)(c) of the Act applies for a sub</w:t>
      </w:r>
      <w:r w:rsidR="00C614F1">
        <w:noBreakHyphen/>
      </w:r>
      <w:r w:rsidRPr="00CD5673">
        <w:t>fund of a CCIV because of section 1237B of the Act, that section translates most of this sub</w:t>
      </w:r>
      <w:r w:rsidR="00C614F1">
        <w:noBreakHyphen/>
      </w:r>
      <w:r w:rsidRPr="00CD5673">
        <w:t>regulation’s references to the company so that they are references to the sub</w:t>
      </w:r>
      <w:r w:rsidR="00C614F1">
        <w:noBreakHyphen/>
      </w:r>
      <w:r w:rsidRPr="00CD5673">
        <w:t>fund.</w:t>
      </w:r>
    </w:p>
    <w:p w14:paraId="40443814" w14:textId="77777777" w:rsidR="00D46430" w:rsidRPr="00CD5673" w:rsidRDefault="00D46430" w:rsidP="00D46430">
      <w:pPr>
        <w:pStyle w:val="ActHead5"/>
      </w:pPr>
      <w:bookmarkStart w:id="214" w:name="_Toc158711823"/>
      <w:r w:rsidRPr="00C614F1">
        <w:rPr>
          <w:rStyle w:val="CharSectno"/>
        </w:rPr>
        <w:t>5.4.01B</w:t>
      </w:r>
      <w:r w:rsidRPr="00CD5673">
        <w:t xml:space="preserve">  Notice of Court</w:t>
      </w:r>
      <w:r w:rsidR="00C614F1">
        <w:noBreakHyphen/>
      </w:r>
      <w:r w:rsidRPr="00CD5673">
        <w:t>ordered winding up</w:t>
      </w:r>
      <w:bookmarkEnd w:id="214"/>
    </w:p>
    <w:p w14:paraId="1428395A" w14:textId="77777777" w:rsidR="00D46430" w:rsidRPr="00CD5673" w:rsidRDefault="00D46430" w:rsidP="00D46430">
      <w:pPr>
        <w:pStyle w:val="subsection"/>
      </w:pPr>
      <w:r w:rsidRPr="00CD5673">
        <w:tab/>
        <w:t>(1)</w:t>
      </w:r>
      <w:r w:rsidRPr="00CD5673">
        <w:tab/>
        <w:t>This regulation is made for the purposes of subsection 465A(2) of the Act.</w:t>
      </w:r>
    </w:p>
    <w:p w14:paraId="662CDC41" w14:textId="77777777" w:rsidR="00D46430" w:rsidRPr="00CD5673" w:rsidRDefault="00D46430" w:rsidP="00D46430">
      <w:pPr>
        <w:pStyle w:val="subsection"/>
      </w:pPr>
      <w:r w:rsidRPr="00CD5673">
        <w:tab/>
        <w:t>(2)</w:t>
      </w:r>
      <w:r w:rsidRPr="00CD5673">
        <w:tab/>
        <w:t>The information about an order by the Court that must be set out in a notice is at least the following information:</w:t>
      </w:r>
    </w:p>
    <w:p w14:paraId="620A8A0B" w14:textId="77777777" w:rsidR="00D46430" w:rsidRPr="00CD5673" w:rsidRDefault="00D46430" w:rsidP="00D46430">
      <w:pPr>
        <w:pStyle w:val="paragraph"/>
      </w:pPr>
      <w:r w:rsidRPr="00CD5673">
        <w:tab/>
        <w:t>(a)</w:t>
      </w:r>
      <w:r w:rsidRPr="00CD5673">
        <w:tab/>
        <w:t>the Court that made the order;</w:t>
      </w:r>
    </w:p>
    <w:p w14:paraId="495EBF6E" w14:textId="77777777" w:rsidR="00D46430" w:rsidRPr="00CD5673" w:rsidRDefault="00D46430" w:rsidP="00D46430">
      <w:pPr>
        <w:pStyle w:val="paragraph"/>
      </w:pPr>
      <w:r w:rsidRPr="00CD5673">
        <w:tab/>
        <w:t>(b)</w:t>
      </w:r>
      <w:r w:rsidRPr="00CD5673">
        <w:tab/>
        <w:t>the date the order was made;</w:t>
      </w:r>
    </w:p>
    <w:p w14:paraId="52E2CD54" w14:textId="77777777" w:rsidR="00D46430" w:rsidRPr="00CD5673" w:rsidRDefault="00D46430" w:rsidP="00D46430">
      <w:pPr>
        <w:pStyle w:val="paragraph"/>
      </w:pPr>
      <w:r w:rsidRPr="00CD5673">
        <w:tab/>
        <w:t>(c)</w:t>
      </w:r>
      <w:r w:rsidRPr="00CD5673">
        <w:tab/>
        <w:t>the name of the liquidator appointed to administer the winding up;</w:t>
      </w:r>
    </w:p>
    <w:p w14:paraId="61EBFEB5" w14:textId="77777777" w:rsidR="00D46430" w:rsidRPr="00CD5673" w:rsidRDefault="00D46430" w:rsidP="00D46430">
      <w:pPr>
        <w:pStyle w:val="paragraph"/>
      </w:pPr>
      <w:r w:rsidRPr="00CD5673">
        <w:tab/>
        <w:t>(d)</w:t>
      </w:r>
      <w:r w:rsidRPr="00CD5673">
        <w:tab/>
        <w:t>the name of the company;</w:t>
      </w:r>
    </w:p>
    <w:p w14:paraId="359754E0" w14:textId="77777777" w:rsidR="00D46430" w:rsidRPr="00CD5673" w:rsidRDefault="00D46430" w:rsidP="00D46430">
      <w:pPr>
        <w:pStyle w:val="paragraph"/>
      </w:pPr>
      <w:r w:rsidRPr="00CD5673">
        <w:tab/>
        <w:t>(e)</w:t>
      </w:r>
      <w:r w:rsidRPr="00CD5673">
        <w:tab/>
        <w:t>any business name of the company;</w:t>
      </w:r>
    </w:p>
    <w:p w14:paraId="099FD72A" w14:textId="77777777" w:rsidR="00D46430" w:rsidRPr="00CD5673" w:rsidRDefault="00D46430" w:rsidP="00D46430">
      <w:pPr>
        <w:pStyle w:val="paragraph"/>
      </w:pPr>
      <w:r w:rsidRPr="00CD5673">
        <w:tab/>
        <w:t>(f)</w:t>
      </w:r>
      <w:r w:rsidRPr="00CD5673">
        <w:tab/>
        <w:t>any ABN of the company;</w:t>
      </w:r>
    </w:p>
    <w:p w14:paraId="540E2C2A" w14:textId="77777777" w:rsidR="00D46430" w:rsidRPr="00CD5673" w:rsidRDefault="00D46430" w:rsidP="00D46430">
      <w:pPr>
        <w:pStyle w:val="paragraph"/>
      </w:pPr>
      <w:r w:rsidRPr="00CD5673">
        <w:tab/>
        <w:t>(g)</w:t>
      </w:r>
      <w:r w:rsidRPr="00CD5673">
        <w:tab/>
        <w:t>any ACN of the company;</w:t>
      </w:r>
    </w:p>
    <w:p w14:paraId="3EC13328" w14:textId="77777777" w:rsidR="00D46430" w:rsidRPr="00CD5673" w:rsidRDefault="00D46430" w:rsidP="00D46430">
      <w:pPr>
        <w:pStyle w:val="paragraph"/>
      </w:pPr>
      <w:r w:rsidRPr="00CD5673">
        <w:lastRenderedPageBreak/>
        <w:tab/>
        <w:t>(h)</w:t>
      </w:r>
      <w:r w:rsidRPr="00CD5673">
        <w:tab/>
        <w:t>if subsection 465A(2) of the Act applies for a sub</w:t>
      </w:r>
      <w:r w:rsidR="00C614F1">
        <w:noBreakHyphen/>
      </w:r>
      <w:r w:rsidRPr="00CD5673">
        <w:t>fund of a CCIV because of section 1237B of the Act—the ARFN of the sub</w:t>
      </w:r>
      <w:r w:rsidR="00C614F1">
        <w:noBreakHyphen/>
      </w:r>
      <w:r w:rsidRPr="00CD5673">
        <w:t>fund.</w:t>
      </w:r>
    </w:p>
    <w:p w14:paraId="14D44E97" w14:textId="77777777" w:rsidR="00D46430" w:rsidRPr="00CD5673" w:rsidRDefault="00D46430" w:rsidP="00D46430">
      <w:pPr>
        <w:pStyle w:val="notetext"/>
      </w:pPr>
      <w:r w:rsidRPr="00CD5673">
        <w:t>Note:</w:t>
      </w:r>
      <w:r w:rsidRPr="00CD5673">
        <w:tab/>
        <w:t>If subsection 465A(2) of the Act applies for a sub</w:t>
      </w:r>
      <w:r w:rsidR="00C614F1">
        <w:noBreakHyphen/>
      </w:r>
      <w:r w:rsidRPr="00CD5673">
        <w:t>fund of a CCIV because of section 1237B of the Act, that section translates most of this sub</w:t>
      </w:r>
      <w:r w:rsidR="00C614F1">
        <w:noBreakHyphen/>
      </w:r>
      <w:r w:rsidRPr="00CD5673">
        <w:t>regulation’s references to the company so that they are references to the sub</w:t>
      </w:r>
      <w:r w:rsidR="00C614F1">
        <w:noBreakHyphen/>
      </w:r>
      <w:r w:rsidRPr="00CD5673">
        <w:t>fund.</w:t>
      </w:r>
    </w:p>
    <w:p w14:paraId="2FD7AE27" w14:textId="77777777" w:rsidR="00D46430" w:rsidRPr="00CD5673" w:rsidRDefault="00D46430" w:rsidP="00D46430">
      <w:pPr>
        <w:pStyle w:val="ActHead5"/>
      </w:pPr>
      <w:bookmarkStart w:id="215" w:name="_Toc158711824"/>
      <w:r w:rsidRPr="00C614F1">
        <w:rPr>
          <w:rStyle w:val="CharSectno"/>
        </w:rPr>
        <w:t>5.4.02</w:t>
      </w:r>
      <w:r w:rsidRPr="00CD5673">
        <w:t xml:space="preserve">  Compromise of debt by liquidator—prescribed amount</w:t>
      </w:r>
      <w:bookmarkEnd w:id="215"/>
    </w:p>
    <w:p w14:paraId="0040E9F6" w14:textId="77777777" w:rsidR="00D46430" w:rsidRPr="00CD5673" w:rsidRDefault="00D46430" w:rsidP="00D46430">
      <w:pPr>
        <w:pStyle w:val="subsection"/>
        <w:keepNext/>
        <w:keepLines/>
      </w:pPr>
      <w:r w:rsidRPr="00CD5673">
        <w:tab/>
      </w:r>
      <w:r w:rsidRPr="00CD5673">
        <w:tab/>
        <w:t>For paragraph 477(2A)(a) of the Act, the amount of $100,000 is prescribed.</w:t>
      </w:r>
    </w:p>
    <w:p w14:paraId="555C2309" w14:textId="77777777" w:rsidR="00D46430" w:rsidRPr="00CD5673" w:rsidRDefault="00D46430" w:rsidP="00D46430">
      <w:pPr>
        <w:pStyle w:val="ActHead2"/>
        <w:pageBreakBefore/>
      </w:pPr>
      <w:bookmarkStart w:id="216" w:name="_Toc158711825"/>
      <w:r w:rsidRPr="00C614F1">
        <w:rPr>
          <w:rStyle w:val="CharPartNo"/>
        </w:rPr>
        <w:lastRenderedPageBreak/>
        <w:t>Part 5.4C</w:t>
      </w:r>
      <w:r w:rsidRPr="00CD5673">
        <w:t>—</w:t>
      </w:r>
      <w:r w:rsidRPr="00C614F1">
        <w:rPr>
          <w:rStyle w:val="CharPartText"/>
        </w:rPr>
        <w:t>Winding up by ASIC</w:t>
      </w:r>
      <w:bookmarkEnd w:id="216"/>
    </w:p>
    <w:p w14:paraId="4AB8F19A"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419874C" w14:textId="77777777" w:rsidR="00D46430" w:rsidRPr="00CD5673" w:rsidRDefault="00D46430" w:rsidP="00D46430">
      <w:pPr>
        <w:pStyle w:val="ActHead5"/>
      </w:pPr>
      <w:bookmarkStart w:id="217" w:name="_Toc158711826"/>
      <w:r w:rsidRPr="00C614F1">
        <w:rPr>
          <w:rStyle w:val="CharSectno"/>
        </w:rPr>
        <w:t>5.4C.01</w:t>
      </w:r>
      <w:r w:rsidRPr="00CD5673">
        <w:t xml:space="preserve">  Notice of intention to order winding up of a company</w:t>
      </w:r>
      <w:bookmarkEnd w:id="217"/>
    </w:p>
    <w:p w14:paraId="52684D18" w14:textId="77777777" w:rsidR="00D46430" w:rsidRPr="00CD5673" w:rsidRDefault="00D46430" w:rsidP="00D46430">
      <w:pPr>
        <w:pStyle w:val="subsection"/>
      </w:pPr>
      <w:r w:rsidRPr="00CD5673">
        <w:tab/>
        <w:t>(1)</w:t>
      </w:r>
      <w:r w:rsidRPr="00CD5673">
        <w:tab/>
        <w:t>For subparagraph 489EA(6)(b)(ii) of the Act, this regulation prescribes the manner of publishing notice of ASIC’s intention to make an order under subsection 489EA(1), (2), (3) or (4) of the Act.</w:t>
      </w:r>
    </w:p>
    <w:p w14:paraId="06626D6F" w14:textId="77777777" w:rsidR="00D46430" w:rsidRPr="00CD5673" w:rsidRDefault="00D46430" w:rsidP="00D46430">
      <w:pPr>
        <w:pStyle w:val="subsection"/>
      </w:pPr>
      <w:r w:rsidRPr="00CD5673">
        <w:tab/>
        <w:t>(2)</w:t>
      </w:r>
      <w:r w:rsidRPr="00CD5673">
        <w:tab/>
        <w:t>Notice is to be published on the publication website, established under subsection 5.6.75(1), at least 10 business days before ASIC makes the order.</w:t>
      </w:r>
    </w:p>
    <w:p w14:paraId="090CFB64" w14:textId="77777777" w:rsidR="00D46430" w:rsidRPr="00CD5673" w:rsidRDefault="00D46430" w:rsidP="00D46430">
      <w:pPr>
        <w:pStyle w:val="ActHead2"/>
        <w:pageBreakBefore/>
      </w:pPr>
      <w:bookmarkStart w:id="218" w:name="_Toc158711827"/>
      <w:r w:rsidRPr="00C614F1">
        <w:rPr>
          <w:rStyle w:val="CharPartNo"/>
        </w:rPr>
        <w:lastRenderedPageBreak/>
        <w:t>Part 5.5</w:t>
      </w:r>
      <w:r w:rsidRPr="00CD5673">
        <w:t>—</w:t>
      </w:r>
      <w:r w:rsidRPr="00C614F1">
        <w:rPr>
          <w:rStyle w:val="CharPartText"/>
        </w:rPr>
        <w:t>Voluntary winding up</w:t>
      </w:r>
      <w:bookmarkEnd w:id="218"/>
    </w:p>
    <w:p w14:paraId="5214EA6B" w14:textId="77777777" w:rsidR="00D46430" w:rsidRPr="00CD5673" w:rsidRDefault="00D46430" w:rsidP="00D46430">
      <w:pPr>
        <w:pStyle w:val="ActHead3"/>
      </w:pPr>
      <w:bookmarkStart w:id="219" w:name="_Toc158711828"/>
      <w:r w:rsidRPr="00C614F1">
        <w:rPr>
          <w:rStyle w:val="CharDivNo"/>
        </w:rPr>
        <w:t>Division 1</w:t>
      </w:r>
      <w:r w:rsidRPr="00CD5673">
        <w:t>—</w:t>
      </w:r>
      <w:r w:rsidRPr="00C614F1">
        <w:rPr>
          <w:rStyle w:val="CharDivText"/>
        </w:rPr>
        <w:t>Resolution for winding up</w:t>
      </w:r>
      <w:bookmarkEnd w:id="219"/>
    </w:p>
    <w:p w14:paraId="0771E277" w14:textId="77777777" w:rsidR="00D46430" w:rsidRPr="00CD5673" w:rsidRDefault="00D46430" w:rsidP="00D46430">
      <w:pPr>
        <w:pStyle w:val="ActHead5"/>
      </w:pPr>
      <w:bookmarkStart w:id="220" w:name="_Toc158711829"/>
      <w:r w:rsidRPr="00C614F1">
        <w:rPr>
          <w:rStyle w:val="CharSectno"/>
        </w:rPr>
        <w:t>5.5.01</w:t>
      </w:r>
      <w:r w:rsidRPr="00CD5673">
        <w:t xml:space="preserve">  Notice of resolution to wind up voluntarily</w:t>
      </w:r>
      <w:bookmarkEnd w:id="220"/>
    </w:p>
    <w:p w14:paraId="3709AFAB" w14:textId="77777777" w:rsidR="00D46430" w:rsidRPr="00CD5673" w:rsidRDefault="00D46430" w:rsidP="00D46430">
      <w:pPr>
        <w:pStyle w:val="subsection"/>
      </w:pPr>
      <w:r w:rsidRPr="00CD5673">
        <w:tab/>
        <w:t>(1)</w:t>
      </w:r>
      <w:r w:rsidRPr="00CD5673">
        <w:tab/>
        <w:t>This regulation is made for paragraph 491(2)(b) of the Act.</w:t>
      </w:r>
    </w:p>
    <w:p w14:paraId="09A5150E" w14:textId="77777777" w:rsidR="00D46430" w:rsidRPr="00CD5673" w:rsidRDefault="00D46430" w:rsidP="00D46430">
      <w:pPr>
        <w:pStyle w:val="subsection"/>
      </w:pPr>
      <w:r w:rsidRPr="00CD5673">
        <w:tab/>
        <w:t>(2)</w:t>
      </w:r>
      <w:r w:rsidRPr="00CD5673">
        <w:tab/>
        <w:t>The information about a resolution that is to be set out in a notice is at least the following information:</w:t>
      </w:r>
    </w:p>
    <w:p w14:paraId="1D257D13" w14:textId="77777777" w:rsidR="00D46430" w:rsidRPr="00CD5673" w:rsidRDefault="00D46430" w:rsidP="00D46430">
      <w:pPr>
        <w:pStyle w:val="paragraph"/>
      </w:pPr>
      <w:r w:rsidRPr="00CD5673">
        <w:tab/>
        <w:t>(a)</w:t>
      </w:r>
      <w:r w:rsidRPr="00CD5673">
        <w:tab/>
        <w:t>the name of the company;</w:t>
      </w:r>
    </w:p>
    <w:p w14:paraId="423C0437" w14:textId="77777777" w:rsidR="00D46430" w:rsidRPr="00CD5673" w:rsidRDefault="00D46430" w:rsidP="00D46430">
      <w:pPr>
        <w:pStyle w:val="paragraph"/>
      </w:pPr>
      <w:r w:rsidRPr="00CD5673">
        <w:tab/>
        <w:t>(b)</w:t>
      </w:r>
      <w:r w:rsidRPr="00CD5673">
        <w:tab/>
        <w:t>any business name of the company;</w:t>
      </w:r>
    </w:p>
    <w:p w14:paraId="137A824F" w14:textId="77777777" w:rsidR="00D46430" w:rsidRPr="00CD5673" w:rsidRDefault="00D46430" w:rsidP="00D46430">
      <w:pPr>
        <w:pStyle w:val="paragraph"/>
      </w:pPr>
      <w:r w:rsidRPr="00CD5673">
        <w:tab/>
        <w:t>(c)</w:t>
      </w:r>
      <w:r w:rsidRPr="00CD5673">
        <w:tab/>
        <w:t>the ACN of the company;</w:t>
      </w:r>
    </w:p>
    <w:p w14:paraId="5DE5B962" w14:textId="77777777" w:rsidR="00D46430" w:rsidRPr="00CD5673" w:rsidRDefault="00D46430" w:rsidP="00D46430">
      <w:pPr>
        <w:pStyle w:val="paragraph"/>
      </w:pPr>
      <w:r w:rsidRPr="00CD5673">
        <w:tab/>
        <w:t>(ca)</w:t>
      </w:r>
      <w:r w:rsidRPr="00CD5673">
        <w:tab/>
        <w:t>if paragraph 491(2)(b) of the Act applies for a sub</w:t>
      </w:r>
      <w:r w:rsidR="00C614F1">
        <w:noBreakHyphen/>
      </w:r>
      <w:r w:rsidRPr="00CD5673">
        <w:t>fund of a CCIV because of section 1237B of the Act—the ARFN of the sub</w:t>
      </w:r>
      <w:r w:rsidR="00C614F1">
        <w:noBreakHyphen/>
      </w:r>
      <w:r w:rsidRPr="00CD5673">
        <w:t>fund;</w:t>
      </w:r>
    </w:p>
    <w:p w14:paraId="5105D6A4" w14:textId="77777777" w:rsidR="00D46430" w:rsidRPr="00CD5673" w:rsidRDefault="00D46430" w:rsidP="00D46430">
      <w:pPr>
        <w:pStyle w:val="paragraph"/>
      </w:pPr>
      <w:r w:rsidRPr="00CD5673">
        <w:tab/>
        <w:t>(d)</w:t>
      </w:r>
      <w:r w:rsidRPr="00CD5673">
        <w:tab/>
        <w:t>the section of the Act under which the notice is being given;</w:t>
      </w:r>
    </w:p>
    <w:p w14:paraId="68083CF3" w14:textId="77777777" w:rsidR="00D46430" w:rsidRPr="00CD5673" w:rsidRDefault="00D46430" w:rsidP="00D46430">
      <w:pPr>
        <w:pStyle w:val="paragraph"/>
      </w:pPr>
      <w:r w:rsidRPr="00CD5673">
        <w:tab/>
        <w:t>(e)</w:t>
      </w:r>
      <w:r w:rsidRPr="00CD5673">
        <w:tab/>
        <w:t>the name and contact details of the liquidator;</w:t>
      </w:r>
    </w:p>
    <w:p w14:paraId="1F171B48" w14:textId="77777777" w:rsidR="00D46430" w:rsidRPr="00CD5673" w:rsidRDefault="00D46430" w:rsidP="00D46430">
      <w:pPr>
        <w:pStyle w:val="paragraph"/>
      </w:pPr>
      <w:r w:rsidRPr="00CD5673">
        <w:tab/>
        <w:t>(f)</w:t>
      </w:r>
      <w:r w:rsidRPr="00CD5673">
        <w:tab/>
        <w:t>the date on which the resolution was passed.</w:t>
      </w:r>
    </w:p>
    <w:p w14:paraId="547E6D4D" w14:textId="77777777" w:rsidR="00D46430" w:rsidRPr="00CD5673" w:rsidRDefault="00D46430" w:rsidP="00D46430">
      <w:pPr>
        <w:pStyle w:val="subsection"/>
      </w:pPr>
      <w:r w:rsidRPr="00CD5673">
        <w:tab/>
        <w:t>(3)</w:t>
      </w:r>
      <w:r w:rsidRPr="00CD5673">
        <w:tab/>
        <w:t>The notice must be published by the end of the next business day after a liquidator is appointed to administer the winding up of the company.</w:t>
      </w:r>
    </w:p>
    <w:p w14:paraId="1133FC24" w14:textId="77777777" w:rsidR="00D46430" w:rsidRPr="00CD5673" w:rsidRDefault="00D46430" w:rsidP="00D46430">
      <w:pPr>
        <w:pStyle w:val="notetext"/>
      </w:pPr>
      <w:r w:rsidRPr="00CD5673">
        <w:t>Note:</w:t>
      </w:r>
      <w:r w:rsidRPr="00CD5673">
        <w:tab/>
        <w:t>If paragraph 491(2)(b) of the Act applies for a sub</w:t>
      </w:r>
      <w:r w:rsidR="00C614F1">
        <w:noBreakHyphen/>
      </w:r>
      <w:r w:rsidRPr="00CD5673">
        <w:t>fund of a CCIV because of section 1237B of the Act, that section translates most of this regulation’s references to the company so that they are references to the sub</w:t>
      </w:r>
      <w:r w:rsidR="00C614F1">
        <w:noBreakHyphen/>
      </w:r>
      <w:r w:rsidRPr="00CD5673">
        <w:t>fund.</w:t>
      </w:r>
    </w:p>
    <w:p w14:paraId="125CAA67" w14:textId="77777777" w:rsidR="00D46430" w:rsidRPr="00CD5673" w:rsidRDefault="00D46430" w:rsidP="00D46430">
      <w:pPr>
        <w:pStyle w:val="ActHead3"/>
        <w:pageBreakBefore/>
      </w:pPr>
      <w:bookmarkStart w:id="221" w:name="_Toc158711830"/>
      <w:r w:rsidRPr="00C614F1">
        <w:rPr>
          <w:rStyle w:val="CharDivNo"/>
        </w:rPr>
        <w:lastRenderedPageBreak/>
        <w:t>Division 2</w:t>
      </w:r>
      <w:r w:rsidRPr="00CD5673">
        <w:t>—</w:t>
      </w:r>
      <w:r w:rsidRPr="00C614F1">
        <w:rPr>
          <w:rStyle w:val="CharDivText"/>
        </w:rPr>
        <w:t>Simplified liquidation process</w:t>
      </w:r>
      <w:bookmarkEnd w:id="221"/>
    </w:p>
    <w:p w14:paraId="0801E32D" w14:textId="77777777" w:rsidR="00D46430" w:rsidRPr="00CD5673" w:rsidRDefault="00D46430" w:rsidP="00D46430">
      <w:pPr>
        <w:pStyle w:val="ActHead4"/>
      </w:pPr>
      <w:bookmarkStart w:id="222" w:name="_Toc158711831"/>
      <w:r w:rsidRPr="00C614F1">
        <w:rPr>
          <w:rStyle w:val="CharSubdNo"/>
        </w:rPr>
        <w:t>Subdivision A</w:t>
      </w:r>
      <w:r w:rsidRPr="00CD5673">
        <w:t>—</w:t>
      </w:r>
      <w:r w:rsidRPr="00C614F1">
        <w:rPr>
          <w:rStyle w:val="CharSubdText"/>
        </w:rPr>
        <w:t>Preliminary</w:t>
      </w:r>
      <w:bookmarkEnd w:id="222"/>
    </w:p>
    <w:p w14:paraId="4B74D9D6" w14:textId="77777777" w:rsidR="00D46430" w:rsidRPr="00CD5673" w:rsidRDefault="00D46430" w:rsidP="00D46430">
      <w:pPr>
        <w:pStyle w:val="ActHead5"/>
      </w:pPr>
      <w:bookmarkStart w:id="223" w:name="_Toc158711832"/>
      <w:r w:rsidRPr="00C614F1">
        <w:rPr>
          <w:rStyle w:val="CharSectno"/>
        </w:rPr>
        <w:t>5.5.02</w:t>
      </w:r>
      <w:r w:rsidRPr="00CD5673">
        <w:t xml:space="preserve">  Declaration about eligibility for simplified liquidation process and other matters</w:t>
      </w:r>
      <w:bookmarkEnd w:id="223"/>
    </w:p>
    <w:p w14:paraId="5CD5D230" w14:textId="77777777" w:rsidR="00D46430" w:rsidRPr="00CD5673" w:rsidRDefault="00D46430" w:rsidP="00D46430">
      <w:pPr>
        <w:pStyle w:val="subsection"/>
      </w:pPr>
      <w:r w:rsidRPr="00CD5673">
        <w:tab/>
      </w:r>
      <w:r w:rsidRPr="00CD5673">
        <w:tab/>
        <w:t>For the purposes of subsection 498(3) of the Act, the following information is prescribed:</w:t>
      </w:r>
    </w:p>
    <w:p w14:paraId="11ED676A" w14:textId="77777777" w:rsidR="00D46430" w:rsidRPr="00CD5673" w:rsidRDefault="00D46430" w:rsidP="00D46430">
      <w:pPr>
        <w:pStyle w:val="paragraph"/>
      </w:pPr>
      <w:r w:rsidRPr="00CD5673">
        <w:tab/>
        <w:t>(a)</w:t>
      </w:r>
      <w:r w:rsidRPr="00CD5673">
        <w:tab/>
        <w:t>whether, in the directors’ opinion, there are reasonable grounds to believe that the company has entered into a transaction that would be voidable under section 588FE of the Act, other than a transaction that would be an unfair preference;</w:t>
      </w:r>
    </w:p>
    <w:p w14:paraId="5BA4F72B" w14:textId="77777777" w:rsidR="00D46430" w:rsidRPr="00CD5673" w:rsidRDefault="00D46430" w:rsidP="00D46430">
      <w:pPr>
        <w:pStyle w:val="paragraph"/>
      </w:pPr>
      <w:r w:rsidRPr="00CD5673">
        <w:tab/>
        <w:t>(b)</w:t>
      </w:r>
      <w:r w:rsidRPr="00CD5673">
        <w:tab/>
        <w:t>whether, in the directors’ opinion, there are reasonable grounds to believe that, on the declaration being given, the eligibility criteria for the simplified liquidation process will be met in relation to the company, and the reasons for that opinion.</w:t>
      </w:r>
    </w:p>
    <w:p w14:paraId="62AB0629" w14:textId="77777777" w:rsidR="00D46430" w:rsidRPr="00CD5673" w:rsidRDefault="00D46430" w:rsidP="00D46430">
      <w:pPr>
        <w:pStyle w:val="ActHead5"/>
      </w:pPr>
      <w:bookmarkStart w:id="224" w:name="_Toc158711833"/>
      <w:r w:rsidRPr="00C614F1">
        <w:rPr>
          <w:rStyle w:val="CharSectno"/>
        </w:rPr>
        <w:t>5.5.03</w:t>
      </w:r>
      <w:r w:rsidRPr="00CD5673">
        <w:t xml:space="preserve">  Eligibility criteria for simplified liquidation process</w:t>
      </w:r>
      <w:bookmarkEnd w:id="224"/>
    </w:p>
    <w:p w14:paraId="56182F0E" w14:textId="77777777" w:rsidR="00D46430" w:rsidRPr="00CD5673" w:rsidRDefault="00D46430" w:rsidP="00D46430">
      <w:pPr>
        <w:pStyle w:val="subsection"/>
      </w:pPr>
      <w:r w:rsidRPr="00CD5673">
        <w:tab/>
        <w:t>(1)</w:t>
      </w:r>
      <w:r w:rsidRPr="00CD5673">
        <w:tab/>
        <w:t>For the purposes of paragraph 500AA(1)(d) of the Act, the test for eligibility is that the total liabilities of the company on the day on which the triggering event occurred must not exceed $1 million.</w:t>
      </w:r>
    </w:p>
    <w:p w14:paraId="78D215F5" w14:textId="77777777" w:rsidR="00D46430" w:rsidRPr="00CD5673" w:rsidRDefault="00D46430" w:rsidP="00D46430">
      <w:pPr>
        <w:pStyle w:val="subsection"/>
      </w:pPr>
      <w:r w:rsidRPr="00CD5673">
        <w:tab/>
        <w:t>(2)</w:t>
      </w:r>
      <w:r w:rsidRPr="00CD5673">
        <w:tab/>
        <w:t>For the purposes of paragraph 500AA(1)(e) of the Act, a period of 7 years is prescribed.</w:t>
      </w:r>
    </w:p>
    <w:p w14:paraId="2EA14B18" w14:textId="77777777" w:rsidR="00D46430" w:rsidRPr="00CD5673" w:rsidRDefault="00D46430" w:rsidP="00D46430">
      <w:pPr>
        <w:pStyle w:val="subsection"/>
      </w:pPr>
      <w:r w:rsidRPr="00CD5673">
        <w:tab/>
        <w:t>(3)</w:t>
      </w:r>
      <w:r w:rsidRPr="00CD5673">
        <w:tab/>
        <w:t>For the purposes of paragraph 500AA(1)(f) of the Act, a period of 7 years is prescribed.</w:t>
      </w:r>
    </w:p>
    <w:p w14:paraId="7CCAB18E" w14:textId="77777777" w:rsidR="00D46430" w:rsidRPr="00CD5673" w:rsidRDefault="00D46430" w:rsidP="00D46430">
      <w:pPr>
        <w:pStyle w:val="subsection"/>
      </w:pPr>
      <w:r w:rsidRPr="00CD5673">
        <w:tab/>
        <w:t>(4)</w:t>
      </w:r>
      <w:r w:rsidRPr="00CD5673">
        <w:tab/>
        <w:t>For the purposes of paragraph 500AA(2)(b) of the Act, a prescribed circumstance is that:</w:t>
      </w:r>
    </w:p>
    <w:p w14:paraId="070A8CA0" w14:textId="77777777" w:rsidR="00D46430" w:rsidRPr="00CD5673" w:rsidRDefault="00D46430" w:rsidP="00D46430">
      <w:pPr>
        <w:pStyle w:val="paragraph"/>
      </w:pPr>
      <w:r w:rsidRPr="00CD5673">
        <w:tab/>
        <w:t>(a)</w:t>
      </w:r>
      <w:r w:rsidRPr="00CD5673">
        <w:tab/>
        <w:t>the other company is a related body corporate of the company in relation to which the eligibility criteria are to be met; and</w:t>
      </w:r>
    </w:p>
    <w:p w14:paraId="3AC1894D" w14:textId="77777777" w:rsidR="00D46430" w:rsidRPr="00CD5673" w:rsidRDefault="00D46430" w:rsidP="00D46430">
      <w:pPr>
        <w:pStyle w:val="paragraph"/>
      </w:pPr>
      <w:r w:rsidRPr="00CD5673">
        <w:tab/>
        <w:t>(b)</w:t>
      </w:r>
      <w:r w:rsidRPr="00CD5673">
        <w:tab/>
        <w:t>the other company is, or has been:</w:t>
      </w:r>
    </w:p>
    <w:p w14:paraId="2DBD2B23" w14:textId="77777777" w:rsidR="00D46430" w:rsidRPr="00CD5673" w:rsidRDefault="00D46430" w:rsidP="00D46430">
      <w:pPr>
        <w:pStyle w:val="paragraphsub"/>
      </w:pPr>
      <w:r w:rsidRPr="00CD5673">
        <w:tab/>
        <w:t>(i)</w:t>
      </w:r>
      <w:r w:rsidRPr="00CD5673">
        <w:tab/>
        <w:t>under restructuring; or</w:t>
      </w:r>
    </w:p>
    <w:p w14:paraId="4D2CA13A" w14:textId="77777777" w:rsidR="00D46430" w:rsidRPr="00CD5673" w:rsidRDefault="00D46430" w:rsidP="00D46430">
      <w:pPr>
        <w:pStyle w:val="paragraphsub"/>
      </w:pPr>
      <w:r w:rsidRPr="00CD5673">
        <w:tab/>
        <w:t>(ii)</w:t>
      </w:r>
      <w:r w:rsidRPr="00CD5673">
        <w:tab/>
        <w:t>the subject of a simplified liquidation process; and</w:t>
      </w:r>
    </w:p>
    <w:p w14:paraId="4431FACC" w14:textId="77777777" w:rsidR="00D46430" w:rsidRPr="00CD5673" w:rsidRDefault="00D46430" w:rsidP="00D46430">
      <w:pPr>
        <w:pStyle w:val="paragraph"/>
      </w:pPr>
      <w:r w:rsidRPr="00CD5673">
        <w:tab/>
        <w:t>(c)</w:t>
      </w:r>
      <w:r w:rsidRPr="00CD5673">
        <w:tab/>
        <w:t>if subparagraph (b)(i) applies—the restructuring practitioner for the other company was appointed no more than 20 business days before the day on which the company in relation to which the eligibility criteria are to be met began to follow the simplified liquidation process; and</w:t>
      </w:r>
    </w:p>
    <w:p w14:paraId="4C6F3DF3" w14:textId="77777777" w:rsidR="00D46430" w:rsidRPr="00CD5673" w:rsidRDefault="00D46430" w:rsidP="00D46430">
      <w:pPr>
        <w:pStyle w:val="paragraph"/>
      </w:pPr>
      <w:r w:rsidRPr="00CD5673">
        <w:tab/>
        <w:t>(d)</w:t>
      </w:r>
      <w:r w:rsidRPr="00CD5673">
        <w:tab/>
        <w:t>if subparagraph (b)(ii) applies—the other company began to follow the simplified liquidation process no more than 20 business days before the day on which the company in relation to which the eligibility criteria are to be met began to follow the simplified liquidation process.</w:t>
      </w:r>
    </w:p>
    <w:p w14:paraId="62A864F3" w14:textId="77777777" w:rsidR="00D46430" w:rsidRPr="00CD5673" w:rsidRDefault="00D46430" w:rsidP="00D46430">
      <w:pPr>
        <w:pStyle w:val="subsection"/>
      </w:pPr>
      <w:r w:rsidRPr="00CD5673">
        <w:tab/>
        <w:t>(5)</w:t>
      </w:r>
      <w:r w:rsidRPr="00CD5673">
        <w:tab/>
        <w:t>For the purposes of paragraph 500AA(2)(c) of the Act, a prescribed circumstance is that:</w:t>
      </w:r>
    </w:p>
    <w:p w14:paraId="713597AA" w14:textId="77777777" w:rsidR="00D46430" w:rsidRPr="00CD5673" w:rsidRDefault="00D46430" w:rsidP="00D46430">
      <w:pPr>
        <w:pStyle w:val="paragraph"/>
      </w:pPr>
      <w:r w:rsidRPr="00CD5673">
        <w:tab/>
        <w:t>(a)</w:t>
      </w:r>
      <w:r w:rsidRPr="00CD5673">
        <w:tab/>
        <w:t>the company has been under restructuring; and</w:t>
      </w:r>
    </w:p>
    <w:p w14:paraId="30084959" w14:textId="77777777" w:rsidR="00D46430" w:rsidRPr="00CD5673" w:rsidRDefault="00D46430" w:rsidP="00D46430">
      <w:pPr>
        <w:pStyle w:val="paragraph"/>
      </w:pPr>
      <w:r w:rsidRPr="00CD5673">
        <w:tab/>
        <w:t>(b)</w:t>
      </w:r>
      <w:r w:rsidRPr="00CD5673">
        <w:tab/>
        <w:t>the restructuring terminated no more than 20 business days before the day on which the company began to follow the simplified liquidation process.</w:t>
      </w:r>
    </w:p>
    <w:p w14:paraId="48F2A716" w14:textId="77777777" w:rsidR="00D46430" w:rsidRPr="00CD5673" w:rsidRDefault="00D46430" w:rsidP="00D46430">
      <w:pPr>
        <w:pStyle w:val="ActHead4"/>
      </w:pPr>
      <w:bookmarkStart w:id="225" w:name="_Toc158711834"/>
      <w:r w:rsidRPr="00C614F1">
        <w:rPr>
          <w:rStyle w:val="CharSubdNo"/>
        </w:rPr>
        <w:t>Subdivision B</w:t>
      </w:r>
      <w:r w:rsidRPr="00CD5673">
        <w:t>—</w:t>
      </w:r>
      <w:r w:rsidRPr="00C614F1">
        <w:rPr>
          <w:rStyle w:val="CharSubdText"/>
        </w:rPr>
        <w:t>Simplified liquidation process</w:t>
      </w:r>
      <w:bookmarkEnd w:id="225"/>
    </w:p>
    <w:p w14:paraId="2000C2F9" w14:textId="77777777" w:rsidR="00D46430" w:rsidRPr="00CD5673" w:rsidRDefault="00D46430" w:rsidP="00D46430">
      <w:pPr>
        <w:pStyle w:val="ActHead5"/>
        <w:rPr>
          <w:b w:val="0"/>
          <w:i/>
        </w:rPr>
      </w:pPr>
      <w:bookmarkStart w:id="226" w:name="_Toc158711835"/>
      <w:r w:rsidRPr="00C614F1">
        <w:rPr>
          <w:rStyle w:val="CharSectno"/>
        </w:rPr>
        <w:t>5.5.04</w:t>
      </w:r>
      <w:r w:rsidRPr="00CD5673">
        <w:t xml:space="preserve">  Transactions that are not voidable</w:t>
      </w:r>
      <w:bookmarkEnd w:id="226"/>
    </w:p>
    <w:p w14:paraId="584484FA" w14:textId="77777777" w:rsidR="00D46430" w:rsidRPr="00CD5673" w:rsidRDefault="00D46430" w:rsidP="00D46430">
      <w:pPr>
        <w:pStyle w:val="subsection"/>
      </w:pPr>
      <w:r w:rsidRPr="00CD5673">
        <w:tab/>
        <w:t>(1)</w:t>
      </w:r>
      <w:r w:rsidRPr="00CD5673">
        <w:tab/>
        <w:t>This regulation is made for the purposes of paragraph 500AE(3)(b) of the Act.</w:t>
      </w:r>
    </w:p>
    <w:p w14:paraId="57AE3F57" w14:textId="77777777" w:rsidR="00D46430" w:rsidRPr="00CD5673" w:rsidRDefault="00D46430" w:rsidP="00D46430">
      <w:pPr>
        <w:pStyle w:val="subsection"/>
      </w:pPr>
      <w:r w:rsidRPr="00CD5673">
        <w:tab/>
        <w:t>(2)</w:t>
      </w:r>
      <w:r w:rsidRPr="00CD5673">
        <w:tab/>
        <w:t>An unfair preference of a company is not voidable despite subsection 588FE(2) of the Act, provided either subregulation (3) or (4) is satisfied.</w:t>
      </w:r>
    </w:p>
    <w:p w14:paraId="52C0C23F" w14:textId="77777777" w:rsidR="00D46430" w:rsidRPr="00CD5673" w:rsidRDefault="00D46430" w:rsidP="00D46430">
      <w:pPr>
        <w:pStyle w:val="subsection"/>
      </w:pPr>
      <w:r w:rsidRPr="00CD5673">
        <w:tab/>
        <w:t>(3)</w:t>
      </w:r>
      <w:r w:rsidRPr="00CD5673">
        <w:tab/>
        <w:t>This subregulation is satisfied if:</w:t>
      </w:r>
    </w:p>
    <w:p w14:paraId="47E8DC54" w14:textId="77777777" w:rsidR="00D46430" w:rsidRPr="00CD5673" w:rsidRDefault="00D46430" w:rsidP="00D46430">
      <w:pPr>
        <w:pStyle w:val="paragraph"/>
      </w:pPr>
      <w:r w:rsidRPr="00CD5673">
        <w:tab/>
        <w:t>(a)</w:t>
      </w:r>
      <w:r w:rsidRPr="00CD5673">
        <w:tab/>
        <w:t>the company is subject to the simplified liquidation process; and</w:t>
      </w:r>
    </w:p>
    <w:p w14:paraId="4B595C81" w14:textId="77777777" w:rsidR="00D46430" w:rsidRPr="00CD5673" w:rsidRDefault="00D46430" w:rsidP="00D46430">
      <w:pPr>
        <w:pStyle w:val="paragraph"/>
      </w:pPr>
      <w:r w:rsidRPr="00CD5673">
        <w:tab/>
        <w:t>(b)</w:t>
      </w:r>
      <w:r w:rsidRPr="00CD5673">
        <w:tab/>
        <w:t>the transaction was entered into, or an act was done for the purposes of giving effect to it, before the day that is 3 months before the relation</w:t>
      </w:r>
      <w:r w:rsidR="00C614F1">
        <w:noBreakHyphen/>
      </w:r>
      <w:r w:rsidRPr="00CD5673">
        <w:t>back day; and</w:t>
      </w:r>
    </w:p>
    <w:p w14:paraId="3E3EA079" w14:textId="77777777" w:rsidR="00D46430" w:rsidRPr="00CD5673" w:rsidRDefault="00D46430" w:rsidP="00D46430">
      <w:pPr>
        <w:pStyle w:val="paragraph"/>
      </w:pPr>
      <w:r w:rsidRPr="00CD5673">
        <w:tab/>
        <w:t>(c)</w:t>
      </w:r>
      <w:r w:rsidRPr="00CD5673">
        <w:tab/>
        <w:t>no creditor under the transaction is a related entity of the company.</w:t>
      </w:r>
    </w:p>
    <w:p w14:paraId="039F131C" w14:textId="77777777" w:rsidR="00D46430" w:rsidRPr="00CD5673" w:rsidRDefault="00D46430" w:rsidP="00D46430">
      <w:pPr>
        <w:pStyle w:val="subsection"/>
      </w:pPr>
      <w:r w:rsidRPr="00CD5673">
        <w:tab/>
        <w:t>(4)</w:t>
      </w:r>
      <w:r w:rsidRPr="00CD5673">
        <w:tab/>
        <w:t>This subregulation is satisfied if:</w:t>
      </w:r>
    </w:p>
    <w:p w14:paraId="08ACC1C9" w14:textId="77777777" w:rsidR="00D46430" w:rsidRPr="00CD5673" w:rsidRDefault="00D46430" w:rsidP="00D46430">
      <w:pPr>
        <w:pStyle w:val="paragraph"/>
      </w:pPr>
      <w:r w:rsidRPr="00CD5673">
        <w:tab/>
        <w:t>(a)</w:t>
      </w:r>
      <w:r w:rsidRPr="00CD5673">
        <w:tab/>
        <w:t>the company is subject to the simplified liquidation process; and</w:t>
      </w:r>
    </w:p>
    <w:p w14:paraId="669300BA" w14:textId="77777777" w:rsidR="00D46430" w:rsidRPr="00CD5673" w:rsidRDefault="00D46430" w:rsidP="00D46430">
      <w:pPr>
        <w:pStyle w:val="paragraph"/>
      </w:pPr>
      <w:r w:rsidRPr="00CD5673">
        <w:tab/>
        <w:t>(b)</w:t>
      </w:r>
      <w:r w:rsidRPr="00CD5673">
        <w:tab/>
        <w:t>the transaction was entered into, or an act was done for the purposes of giving effect to it:</w:t>
      </w:r>
    </w:p>
    <w:p w14:paraId="308FCF11" w14:textId="77777777" w:rsidR="00D46430" w:rsidRPr="00CD5673" w:rsidRDefault="00D46430" w:rsidP="00D46430">
      <w:pPr>
        <w:pStyle w:val="paragraphsub"/>
      </w:pPr>
      <w:r w:rsidRPr="00CD5673">
        <w:tab/>
        <w:t>(i)</w:t>
      </w:r>
      <w:r w:rsidRPr="00CD5673">
        <w:tab/>
        <w:t>during the 3 months ending on the relation</w:t>
      </w:r>
      <w:r w:rsidR="00C614F1">
        <w:noBreakHyphen/>
      </w:r>
      <w:r w:rsidRPr="00CD5673">
        <w:t>back day; or</w:t>
      </w:r>
    </w:p>
    <w:p w14:paraId="18077D72" w14:textId="77777777" w:rsidR="00D46430" w:rsidRPr="00CD5673" w:rsidRDefault="00D46430" w:rsidP="00D46430">
      <w:pPr>
        <w:pStyle w:val="paragraphsub"/>
      </w:pPr>
      <w:r w:rsidRPr="00CD5673">
        <w:lastRenderedPageBreak/>
        <w:tab/>
        <w:t>(ii)</w:t>
      </w:r>
      <w:r w:rsidRPr="00CD5673">
        <w:tab/>
        <w:t>after that day but on or before the day when the winding up began; and</w:t>
      </w:r>
    </w:p>
    <w:p w14:paraId="72642FB7" w14:textId="77777777" w:rsidR="00D46430" w:rsidRPr="00CD5673" w:rsidRDefault="00D46430" w:rsidP="00D46430">
      <w:pPr>
        <w:pStyle w:val="paragraph"/>
      </w:pPr>
      <w:r w:rsidRPr="00CD5673">
        <w:tab/>
        <w:t>(c)</w:t>
      </w:r>
      <w:r w:rsidRPr="00CD5673">
        <w:tab/>
        <w:t>either:</w:t>
      </w:r>
    </w:p>
    <w:p w14:paraId="08876D41" w14:textId="77777777" w:rsidR="00D46430" w:rsidRPr="00CD5673" w:rsidRDefault="00D46430" w:rsidP="00D46430">
      <w:pPr>
        <w:pStyle w:val="paragraphsub"/>
      </w:pPr>
      <w:r w:rsidRPr="00CD5673">
        <w:tab/>
        <w:t>(i)</w:t>
      </w:r>
      <w:r w:rsidRPr="00CD5673">
        <w:tab/>
        <w:t>the transaction results in the creditor receiving from the company no more than $30,000 in value; or</w:t>
      </w:r>
    </w:p>
    <w:p w14:paraId="4E770E22" w14:textId="77777777" w:rsidR="00D46430" w:rsidRPr="00CD5673" w:rsidRDefault="00D46430" w:rsidP="00D46430">
      <w:pPr>
        <w:pStyle w:val="paragraphsub"/>
      </w:pPr>
      <w:r w:rsidRPr="00CD5673">
        <w:tab/>
        <w:t>(ii)</w:t>
      </w:r>
      <w:r w:rsidRPr="00CD5673">
        <w:tab/>
        <w:t>if the transaction forms part of a series of related transactions, all of the related transactions result in the creditor receiving from the company no more than $30,000 in value; and</w:t>
      </w:r>
    </w:p>
    <w:p w14:paraId="48661F0B" w14:textId="77777777" w:rsidR="00D46430" w:rsidRPr="00CD5673" w:rsidRDefault="00D46430" w:rsidP="00D46430">
      <w:pPr>
        <w:pStyle w:val="paragraph"/>
      </w:pPr>
      <w:r w:rsidRPr="00CD5673">
        <w:tab/>
        <w:t>(d)</w:t>
      </w:r>
      <w:r w:rsidRPr="00CD5673">
        <w:tab/>
        <w:t>no creditor under the transaction is a related entity of the company.</w:t>
      </w:r>
    </w:p>
    <w:p w14:paraId="10C1CA08" w14:textId="77777777" w:rsidR="00D46430" w:rsidRPr="00CD5673" w:rsidRDefault="00D46430" w:rsidP="00D46430">
      <w:pPr>
        <w:pStyle w:val="ActHead5"/>
      </w:pPr>
      <w:bookmarkStart w:id="227" w:name="_Toc158711836"/>
      <w:r w:rsidRPr="00C614F1">
        <w:rPr>
          <w:rStyle w:val="CharSectno"/>
        </w:rPr>
        <w:t>5.5.05</w:t>
      </w:r>
      <w:r w:rsidRPr="00CD5673">
        <w:t xml:space="preserve">  Reports by liquidator</w:t>
      </w:r>
      <w:bookmarkEnd w:id="227"/>
    </w:p>
    <w:p w14:paraId="757050FF" w14:textId="77777777" w:rsidR="00D46430" w:rsidRPr="00CD5673" w:rsidRDefault="00D46430" w:rsidP="00D46430">
      <w:pPr>
        <w:pStyle w:val="subsection"/>
      </w:pPr>
      <w:r w:rsidRPr="00CD5673">
        <w:tab/>
        <w:t>(1)</w:t>
      </w:r>
      <w:r w:rsidRPr="00CD5673">
        <w:tab/>
        <w:t>This regulation is made for the purposes of paragraph 500AE(3)(f) of the Act and applies in relation to the liquidator of a company that is subject to the simplified liquidation process.</w:t>
      </w:r>
    </w:p>
    <w:p w14:paraId="70E03A66" w14:textId="77777777" w:rsidR="00D46430" w:rsidRPr="00CD5673" w:rsidRDefault="00D46430" w:rsidP="00D46430">
      <w:pPr>
        <w:pStyle w:val="subsection"/>
      </w:pPr>
      <w:r w:rsidRPr="00CD5673">
        <w:tab/>
        <w:t>(2)</w:t>
      </w:r>
      <w:r w:rsidRPr="00CD5673">
        <w:tab/>
        <w:t>If, in the opinion of the liquidator, there are reasonable grounds to believe that:</w:t>
      </w:r>
    </w:p>
    <w:p w14:paraId="652D4D52" w14:textId="77777777" w:rsidR="00D46430" w:rsidRPr="00CD5673" w:rsidRDefault="00D46430" w:rsidP="00D46430">
      <w:pPr>
        <w:pStyle w:val="paragraph"/>
      </w:pPr>
      <w:r w:rsidRPr="00CD5673">
        <w:tab/>
        <w:t>(a)</w:t>
      </w:r>
      <w:r w:rsidRPr="00CD5673">
        <w:tab/>
        <w:t>a past or present officer or employee, or a member or contributory, of the company; or</w:t>
      </w:r>
    </w:p>
    <w:p w14:paraId="15FC1CC8" w14:textId="77777777" w:rsidR="00D46430" w:rsidRPr="00CD5673" w:rsidRDefault="00D46430" w:rsidP="00D46430">
      <w:pPr>
        <w:pStyle w:val="paragraph"/>
      </w:pPr>
      <w:r w:rsidRPr="00CD5673">
        <w:tab/>
        <w:t>(b)</w:t>
      </w:r>
      <w:r w:rsidRPr="00CD5673">
        <w:tab/>
        <w:t>a person who has taken part in the formation, promotion, administration, management or winding up of the company;</w:t>
      </w:r>
    </w:p>
    <w:p w14:paraId="03E8DDE8" w14:textId="77777777" w:rsidR="00D46430" w:rsidRPr="00CD5673" w:rsidRDefault="00D46430" w:rsidP="00D46430">
      <w:pPr>
        <w:pStyle w:val="subsection2"/>
      </w:pPr>
      <w:r w:rsidRPr="00CD5673">
        <w:t>may have engaged in conduct constituting an offence under a law of the Commonwealth or a State or Territory in relation to the company that has had, or is likely to have, a material adverse effect on the interests of the creditors as a whole or of a class of creditors as a whole, the liquidator must:</w:t>
      </w:r>
    </w:p>
    <w:p w14:paraId="1795B811" w14:textId="77777777" w:rsidR="00D46430" w:rsidRPr="00CD5673" w:rsidRDefault="00D46430" w:rsidP="00D46430">
      <w:pPr>
        <w:pStyle w:val="paragraph"/>
      </w:pPr>
      <w:r w:rsidRPr="00CD5673">
        <w:tab/>
        <w:t>(c)</w:t>
      </w:r>
      <w:r w:rsidRPr="00CD5673">
        <w:tab/>
        <w:t>as soon as practicable, and in any event within 6 months, after first forming the opinion, lodge with ASIC a report in the prescribed form (if any) with respect to the matter and state in the report whether the liquidator proposes to make an application for an examination or order under section 597 of the Act; and</w:t>
      </w:r>
    </w:p>
    <w:p w14:paraId="65C33326" w14:textId="77777777" w:rsidR="00D46430" w:rsidRPr="00CD5673" w:rsidRDefault="00D46430" w:rsidP="00D46430">
      <w:pPr>
        <w:pStyle w:val="paragraph"/>
      </w:pPr>
      <w:r w:rsidRPr="00CD5673">
        <w:tab/>
        <w:t>(d)</w:t>
      </w:r>
      <w:r w:rsidRPr="00CD5673">
        <w:tab/>
        <w:t>give ASIC such information, and give to it such access to and facilities for inspecting and taking copies of any documents, as ASIC requires.</w:t>
      </w:r>
    </w:p>
    <w:p w14:paraId="0C8E23E1" w14:textId="77777777" w:rsidR="00D46430" w:rsidRPr="00CD5673" w:rsidRDefault="00D46430" w:rsidP="00D46430">
      <w:pPr>
        <w:pStyle w:val="subsection"/>
      </w:pPr>
      <w:r w:rsidRPr="00CD5673">
        <w:tab/>
        <w:t>(3)</w:t>
      </w:r>
      <w:r w:rsidRPr="00CD5673">
        <w:tab/>
        <w:t>The liquidator may also, if the liquidator thinks fit, lodge further reports specifying any other matter that, in the liquidator’s opinion, it is desirable to bring to the notice of ASIC.</w:t>
      </w:r>
    </w:p>
    <w:p w14:paraId="440337DE" w14:textId="77777777" w:rsidR="00D46430" w:rsidRPr="00CD5673" w:rsidRDefault="00D46430" w:rsidP="00D46430">
      <w:pPr>
        <w:pStyle w:val="subsection"/>
      </w:pPr>
      <w:r w:rsidRPr="00CD5673">
        <w:tab/>
        <w:t>(4)</w:t>
      </w:r>
      <w:r w:rsidRPr="00CD5673">
        <w:tab/>
        <w:t>If it appears to the Court, in the course of winding up a company, that:</w:t>
      </w:r>
    </w:p>
    <w:p w14:paraId="4A832447" w14:textId="77777777" w:rsidR="00D46430" w:rsidRPr="00CD5673" w:rsidRDefault="00D46430" w:rsidP="00D46430">
      <w:pPr>
        <w:pStyle w:val="paragraph"/>
      </w:pPr>
      <w:r w:rsidRPr="00CD5673">
        <w:tab/>
        <w:t>(a)</w:t>
      </w:r>
      <w:r w:rsidRPr="00CD5673">
        <w:tab/>
        <w:t>a person mentioned in paragraph (2)(a) or (b) has engaged in conduct constituting an offence under a law of the Commonwealth or a State or Territory in relation to the company that has had, or is likely to have, a material adverse effect on the interests of the creditors as a whole or of a class of creditors as a whole; and</w:t>
      </w:r>
    </w:p>
    <w:p w14:paraId="24138F76" w14:textId="77777777" w:rsidR="00D46430" w:rsidRPr="00CD5673" w:rsidRDefault="00D46430" w:rsidP="00D46430">
      <w:pPr>
        <w:pStyle w:val="paragraph"/>
      </w:pPr>
      <w:r w:rsidRPr="00CD5673">
        <w:tab/>
        <w:t>(b)</w:t>
      </w:r>
      <w:r w:rsidRPr="00CD5673">
        <w:tab/>
        <w:t>the liquidator has not lodged with ASIC a report with respect to the matter;</w:t>
      </w:r>
    </w:p>
    <w:p w14:paraId="1D736947" w14:textId="77777777" w:rsidR="00D46430" w:rsidRPr="00CD5673" w:rsidRDefault="00D46430" w:rsidP="00D46430">
      <w:pPr>
        <w:pStyle w:val="subsection2"/>
      </w:pPr>
      <w:r w:rsidRPr="00CD5673">
        <w:t>the Court may, on the application of a person interested in the winding up, direct the liquidator to lodge such a report.</w:t>
      </w:r>
    </w:p>
    <w:p w14:paraId="6F9A803D" w14:textId="77777777" w:rsidR="00D46430" w:rsidRPr="00CD5673" w:rsidRDefault="00D46430" w:rsidP="00D46430">
      <w:pPr>
        <w:pStyle w:val="ActHead5"/>
      </w:pPr>
      <w:bookmarkStart w:id="228" w:name="_Toc158711837"/>
      <w:r w:rsidRPr="00C614F1">
        <w:rPr>
          <w:rStyle w:val="CharSectno"/>
        </w:rPr>
        <w:t>5.5.06</w:t>
      </w:r>
      <w:r w:rsidRPr="00CD5673">
        <w:t xml:space="preserve">  Notice of adoption of simplified liquidation process</w:t>
      </w:r>
      <w:bookmarkEnd w:id="228"/>
    </w:p>
    <w:p w14:paraId="15368DE3" w14:textId="77777777" w:rsidR="00D46430" w:rsidRPr="00CD5673" w:rsidRDefault="00D46430" w:rsidP="00D46430">
      <w:pPr>
        <w:pStyle w:val="subsection"/>
      </w:pPr>
      <w:r w:rsidRPr="00CD5673">
        <w:tab/>
        <w:t>(1)</w:t>
      </w:r>
      <w:r w:rsidRPr="00CD5673">
        <w:tab/>
        <w:t>This regulation is made for the purposes of paragraph 500AE(3)(f) of the Act.</w:t>
      </w:r>
    </w:p>
    <w:p w14:paraId="68EDFC54" w14:textId="77777777" w:rsidR="00D46430" w:rsidRPr="00CD5673" w:rsidRDefault="00D46430" w:rsidP="00D46430">
      <w:pPr>
        <w:pStyle w:val="subsection"/>
      </w:pPr>
      <w:r w:rsidRPr="00CD5673">
        <w:tab/>
        <w:t>(2)</w:t>
      </w:r>
      <w:r w:rsidRPr="00CD5673">
        <w:tab/>
        <w:t>If the liquidator of a company adopts the simplified liquidation process on a day, the liquidator must, within 2 business days after that day, lodge with ASIC:</w:t>
      </w:r>
    </w:p>
    <w:p w14:paraId="0CF60B92" w14:textId="77777777" w:rsidR="00D46430" w:rsidRPr="00CD5673" w:rsidRDefault="00D46430" w:rsidP="00D46430">
      <w:pPr>
        <w:pStyle w:val="paragraph"/>
      </w:pPr>
      <w:r w:rsidRPr="00CD5673">
        <w:tab/>
        <w:t>(a)</w:t>
      </w:r>
      <w:r w:rsidRPr="00CD5673">
        <w:tab/>
        <w:t>notice in the prescribed form (if any) of the adoption; and</w:t>
      </w:r>
    </w:p>
    <w:p w14:paraId="5626867A" w14:textId="77777777" w:rsidR="00D46430" w:rsidRPr="00CD5673" w:rsidRDefault="00D46430" w:rsidP="00D46430">
      <w:pPr>
        <w:pStyle w:val="paragraph"/>
      </w:pPr>
      <w:r w:rsidRPr="00CD5673">
        <w:tab/>
        <w:t>(b)</w:t>
      </w:r>
      <w:r w:rsidRPr="00CD5673">
        <w:tab/>
        <w:t>a copy of the declaration given by the directors of the company to the liquidator in accordance with section 498 of the Act.</w:t>
      </w:r>
    </w:p>
    <w:p w14:paraId="1F01D721"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24A6DA8B" w14:textId="77777777" w:rsidR="00D46430" w:rsidRPr="00CD5673" w:rsidRDefault="00D46430" w:rsidP="00D46430">
      <w:pPr>
        <w:pStyle w:val="ActHead4"/>
      </w:pPr>
      <w:bookmarkStart w:id="229" w:name="_Toc158711838"/>
      <w:r w:rsidRPr="00C614F1">
        <w:rPr>
          <w:rStyle w:val="CharSubdNo"/>
        </w:rPr>
        <w:t>Subdivision C</w:t>
      </w:r>
      <w:r w:rsidRPr="00CD5673">
        <w:t>—</w:t>
      </w:r>
      <w:r w:rsidRPr="00C614F1">
        <w:rPr>
          <w:rStyle w:val="CharSubdText"/>
        </w:rPr>
        <w:t>Ceasing of simplified liquidation process</w:t>
      </w:r>
      <w:bookmarkEnd w:id="229"/>
    </w:p>
    <w:p w14:paraId="301AB9E6" w14:textId="77777777" w:rsidR="00D46430" w:rsidRPr="00CD5673" w:rsidRDefault="00D46430" w:rsidP="00D46430">
      <w:pPr>
        <w:pStyle w:val="ActHead5"/>
      </w:pPr>
      <w:bookmarkStart w:id="230" w:name="_Toc158711839"/>
      <w:r w:rsidRPr="00C614F1">
        <w:rPr>
          <w:rStyle w:val="CharSectno"/>
        </w:rPr>
        <w:t>5.5.07</w:t>
      </w:r>
      <w:r w:rsidRPr="00CD5673">
        <w:t xml:space="preserve">  Liquidator must cease to follow the simplified liquidation process</w:t>
      </w:r>
      <w:bookmarkEnd w:id="230"/>
    </w:p>
    <w:p w14:paraId="0C5A7743" w14:textId="77777777" w:rsidR="00D46430" w:rsidRPr="00CD5673" w:rsidRDefault="00D46430" w:rsidP="00D46430">
      <w:pPr>
        <w:pStyle w:val="subsection"/>
      </w:pPr>
      <w:r w:rsidRPr="00CD5673">
        <w:tab/>
        <w:t>(1)</w:t>
      </w:r>
      <w:r w:rsidRPr="00CD5673">
        <w:tab/>
        <w:t>For the purposes of paragraph 500AC(1)(b) of the Act, a prescribed circumstance is that the liquidator believes on reasonable grounds that:</w:t>
      </w:r>
    </w:p>
    <w:p w14:paraId="059DFC7E" w14:textId="77777777" w:rsidR="00D46430" w:rsidRPr="00CD5673" w:rsidRDefault="00D46430" w:rsidP="00D46430">
      <w:pPr>
        <w:pStyle w:val="paragraph"/>
      </w:pPr>
      <w:r w:rsidRPr="00CD5673">
        <w:tab/>
        <w:t>(a)</w:t>
      </w:r>
      <w:r w:rsidRPr="00CD5673">
        <w:tab/>
        <w:t>the company, or a director of the company, has engaged in conduct; and</w:t>
      </w:r>
    </w:p>
    <w:p w14:paraId="18EC1543" w14:textId="77777777" w:rsidR="00D46430" w:rsidRPr="00CD5673" w:rsidRDefault="00D46430" w:rsidP="00D46430">
      <w:pPr>
        <w:pStyle w:val="paragraph"/>
      </w:pPr>
      <w:r w:rsidRPr="00CD5673">
        <w:tab/>
        <w:t>(b)</w:t>
      </w:r>
      <w:r w:rsidRPr="00CD5673">
        <w:tab/>
        <w:t>the conduct involved fraud or dishonesty; and</w:t>
      </w:r>
    </w:p>
    <w:p w14:paraId="33F87A9D" w14:textId="77777777" w:rsidR="00D46430" w:rsidRPr="00CD5673" w:rsidRDefault="00D46430" w:rsidP="00D46430">
      <w:pPr>
        <w:pStyle w:val="paragraph"/>
      </w:pPr>
      <w:r w:rsidRPr="00CD5673">
        <w:tab/>
        <w:t>(c)</w:t>
      </w:r>
      <w:r w:rsidRPr="00CD5673">
        <w:tab/>
        <w:t>the conduct has had, or is likely to have, a material adverse effect on the interests of the creditors as a whole or of a class of creditors as a whole.</w:t>
      </w:r>
    </w:p>
    <w:p w14:paraId="5E84B99E" w14:textId="77777777" w:rsidR="00D46430" w:rsidRPr="00CD5673" w:rsidRDefault="00D46430" w:rsidP="00D46430">
      <w:pPr>
        <w:pStyle w:val="subsection"/>
      </w:pPr>
      <w:r w:rsidRPr="00CD5673">
        <w:lastRenderedPageBreak/>
        <w:tab/>
        <w:t>(2)</w:t>
      </w:r>
      <w:r w:rsidRPr="00CD5673">
        <w:tab/>
        <w:t>The liquidator is taken to have ceased to follow the simplified liquidation process on the day on which the liquidator first held the belief.</w:t>
      </w:r>
    </w:p>
    <w:p w14:paraId="24D1C169" w14:textId="77777777" w:rsidR="00D46430" w:rsidRPr="00CD5673" w:rsidRDefault="00D46430" w:rsidP="00D46430">
      <w:pPr>
        <w:pStyle w:val="ActHead5"/>
      </w:pPr>
      <w:bookmarkStart w:id="231" w:name="_Toc158711840"/>
      <w:r w:rsidRPr="00C614F1">
        <w:rPr>
          <w:rStyle w:val="CharSectno"/>
        </w:rPr>
        <w:t>5.5.08</w:t>
      </w:r>
      <w:r w:rsidRPr="00CD5673">
        <w:t xml:space="preserve">  Transition from simplified liquidation process</w:t>
      </w:r>
      <w:bookmarkEnd w:id="231"/>
    </w:p>
    <w:p w14:paraId="1DF598E9" w14:textId="77777777" w:rsidR="00D46430" w:rsidRPr="00CD5673" w:rsidRDefault="00D46430" w:rsidP="00D46430">
      <w:pPr>
        <w:pStyle w:val="subsection"/>
      </w:pPr>
      <w:r w:rsidRPr="00CD5673">
        <w:tab/>
        <w:t>(1)</w:t>
      </w:r>
      <w:r w:rsidRPr="00CD5673">
        <w:tab/>
        <w:t>This regulation is made for the purposes of subsection 500AC(2) of the Act.</w:t>
      </w:r>
    </w:p>
    <w:p w14:paraId="71F7EC39" w14:textId="77777777" w:rsidR="00D46430" w:rsidRPr="00CD5673" w:rsidRDefault="00D46430" w:rsidP="00D46430">
      <w:pPr>
        <w:pStyle w:val="SubsectionHead"/>
      </w:pPr>
      <w:r w:rsidRPr="00CD5673">
        <w:t>Notice of cessation of process</w:t>
      </w:r>
    </w:p>
    <w:p w14:paraId="4F2E2EC8" w14:textId="77777777" w:rsidR="00D46430" w:rsidRPr="00CD5673" w:rsidRDefault="00D46430" w:rsidP="00D46430">
      <w:pPr>
        <w:pStyle w:val="subsection"/>
      </w:pPr>
      <w:r w:rsidRPr="00CD5673">
        <w:tab/>
        <w:t>(2)</w:t>
      </w:r>
      <w:r w:rsidRPr="00CD5673">
        <w:tab/>
        <w:t>If the liquidator of a company ceases to follow the simplified liquidation process on a day, the liquidator must, within 2 business days after that day, lodge with ASIC notice in the prescribed form (if any) of the cessation.</w:t>
      </w:r>
    </w:p>
    <w:p w14:paraId="39C59409" w14:textId="77777777" w:rsidR="00D46430" w:rsidRPr="00CD5673" w:rsidRDefault="00D46430" w:rsidP="00D46430">
      <w:pPr>
        <w:pStyle w:val="notetext"/>
      </w:pPr>
      <w:r w:rsidRPr="00CD5673">
        <w:t>Note:</w:t>
      </w:r>
      <w:r w:rsidRPr="00CD5673">
        <w:tab/>
        <w:t>Failure to comply with this subregulation is an offence: see subsection 1311(1) of the Act.</w:t>
      </w:r>
    </w:p>
    <w:p w14:paraId="6BCCEDE4" w14:textId="77777777" w:rsidR="00D46430" w:rsidRPr="00CD5673" w:rsidRDefault="00D46430" w:rsidP="00D46430">
      <w:pPr>
        <w:pStyle w:val="SubsectionHead"/>
      </w:pPr>
      <w:r w:rsidRPr="00CD5673">
        <w:t>Validity of things done during process</w:t>
      </w:r>
    </w:p>
    <w:p w14:paraId="2FCF2EC1" w14:textId="77777777" w:rsidR="00D46430" w:rsidRPr="00CD5673" w:rsidRDefault="00D46430" w:rsidP="00D46430">
      <w:pPr>
        <w:pStyle w:val="subsection"/>
      </w:pPr>
      <w:r w:rsidRPr="00CD5673">
        <w:tab/>
        <w:t>(3)</w:t>
      </w:r>
      <w:r w:rsidRPr="00CD5673">
        <w:tab/>
        <w:t>Subject to this regulation, the cessation of the simplified liquidation process in relation to a company does not affect the validity of anything that was done in good faith in relation to the company before the cessation.</w:t>
      </w:r>
    </w:p>
    <w:p w14:paraId="3A415D62" w14:textId="77777777" w:rsidR="00D46430" w:rsidRPr="00CD5673" w:rsidRDefault="00D46430" w:rsidP="00D46430">
      <w:pPr>
        <w:pStyle w:val="SubsectionHead"/>
      </w:pPr>
      <w:r w:rsidRPr="00CD5673">
        <w:t>Reports by liquidator</w:t>
      </w:r>
    </w:p>
    <w:p w14:paraId="78A84613" w14:textId="77777777" w:rsidR="00D46430" w:rsidRPr="00CD5673" w:rsidRDefault="00D46430" w:rsidP="00D46430">
      <w:pPr>
        <w:pStyle w:val="subsection"/>
      </w:pPr>
      <w:r w:rsidRPr="00CD5673">
        <w:tab/>
        <w:t>(4)</w:t>
      </w:r>
      <w:r w:rsidRPr="00CD5673">
        <w:tab/>
        <w:t>If, at any time during the simplified liquidation process, it appeared to the liquidator that one or more of the circumstances in paragraph 533(1)(a), (b) or (c) existed, section 533 of the Act applies in relation to the liquidator as if paragraph 533(1)(d) were modified by omitting “within 6 months” and substituting “within 6 months after the day on which the simplified liquidation process in relation to the company ended”.</w:t>
      </w:r>
    </w:p>
    <w:p w14:paraId="6A95400F" w14:textId="77777777" w:rsidR="00D46430" w:rsidRPr="00CD5673" w:rsidRDefault="00D46430" w:rsidP="00D46430">
      <w:pPr>
        <w:pStyle w:val="ActHead5"/>
      </w:pPr>
      <w:bookmarkStart w:id="232" w:name="_Toc158711841"/>
      <w:r w:rsidRPr="00C614F1">
        <w:rPr>
          <w:rStyle w:val="CharSectno"/>
        </w:rPr>
        <w:t>5.5.09</w:t>
      </w:r>
      <w:r w:rsidRPr="00CD5673">
        <w:t xml:space="preserve">  Working out whether the 25% in value of creditors test met</w:t>
      </w:r>
      <w:bookmarkEnd w:id="232"/>
    </w:p>
    <w:p w14:paraId="7AC774B5" w14:textId="77777777" w:rsidR="00D46430" w:rsidRPr="00CD5673" w:rsidRDefault="00D46430" w:rsidP="00D46430">
      <w:pPr>
        <w:pStyle w:val="subsection"/>
      </w:pPr>
      <w:r w:rsidRPr="00CD5673">
        <w:tab/>
      </w:r>
      <w:r w:rsidRPr="00CD5673">
        <w:tab/>
        <w:t>For the purposes of paragraph 500AD(b) of the Act, a person who is a related entity, and a creditor, of the company is not to be taken into account.</w:t>
      </w:r>
    </w:p>
    <w:p w14:paraId="50D54E38" w14:textId="77777777" w:rsidR="00D46430" w:rsidRPr="00CD5673" w:rsidRDefault="00D46430" w:rsidP="00D46430">
      <w:pPr>
        <w:pStyle w:val="ActHead2"/>
        <w:pageBreakBefore/>
      </w:pPr>
      <w:bookmarkStart w:id="233" w:name="_Toc158711842"/>
      <w:r w:rsidRPr="00C614F1">
        <w:rPr>
          <w:rStyle w:val="CharPartNo"/>
        </w:rPr>
        <w:lastRenderedPageBreak/>
        <w:t>Part 5.6</w:t>
      </w:r>
      <w:r w:rsidRPr="00CD5673">
        <w:t>—</w:t>
      </w:r>
      <w:r w:rsidRPr="00C614F1">
        <w:rPr>
          <w:rStyle w:val="CharPartText"/>
        </w:rPr>
        <w:t>Winding up generally</w:t>
      </w:r>
      <w:bookmarkEnd w:id="233"/>
    </w:p>
    <w:p w14:paraId="2226ADF6"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0EC7442" w14:textId="77777777" w:rsidR="00D46430" w:rsidRPr="00CD5673" w:rsidRDefault="00D46430" w:rsidP="00D46430">
      <w:pPr>
        <w:pStyle w:val="ActHead5"/>
      </w:pPr>
      <w:bookmarkStart w:id="234" w:name="_Toc158711843"/>
      <w:r w:rsidRPr="00C614F1">
        <w:rPr>
          <w:rStyle w:val="CharSectno"/>
        </w:rPr>
        <w:t>5.6.11</w:t>
      </w:r>
      <w:r w:rsidRPr="00CD5673">
        <w:t xml:space="preserve">  </w:t>
      </w:r>
      <w:r w:rsidR="003C34A0" w:rsidRPr="00CD5673">
        <w:t xml:space="preserve">Meaning of </w:t>
      </w:r>
      <w:r w:rsidR="003C34A0" w:rsidRPr="00CD5673">
        <w:rPr>
          <w:i/>
        </w:rPr>
        <w:t>proof of debt or claim</w:t>
      </w:r>
      <w:bookmarkEnd w:id="234"/>
    </w:p>
    <w:p w14:paraId="4A34E32A" w14:textId="77777777" w:rsidR="00D46430" w:rsidRPr="00CD5673" w:rsidRDefault="00D46430" w:rsidP="00D46430">
      <w:pPr>
        <w:pStyle w:val="subsection"/>
      </w:pPr>
      <w:r w:rsidRPr="00CD5673">
        <w:tab/>
      </w:r>
      <w:r w:rsidRPr="00CD5673">
        <w:tab/>
        <w:t>In regulations 5.6.37 to 5.6.57, unless the contrary intention appears:</w:t>
      </w:r>
    </w:p>
    <w:p w14:paraId="69FB9E44" w14:textId="77777777" w:rsidR="00D46430" w:rsidRPr="00CD5673" w:rsidRDefault="00D46430" w:rsidP="00D46430">
      <w:pPr>
        <w:pStyle w:val="Definition"/>
      </w:pPr>
      <w:r w:rsidRPr="00CD5673">
        <w:rPr>
          <w:b/>
          <w:i/>
        </w:rPr>
        <w:t>proof of debt or claim</w:t>
      </w:r>
      <w:r w:rsidRPr="00CD5673">
        <w:t xml:space="preserve"> includes a statement of particulars of a debt or claim submitted in accordance with regulation 5.6.39, as well as a formal proof of debt or claim.</w:t>
      </w:r>
    </w:p>
    <w:p w14:paraId="74F39900" w14:textId="77777777" w:rsidR="00D46430" w:rsidRPr="00CD5673" w:rsidRDefault="00D46430" w:rsidP="00D46430">
      <w:pPr>
        <w:pStyle w:val="ActHead5"/>
      </w:pPr>
      <w:bookmarkStart w:id="235" w:name="_Toc158711844"/>
      <w:r w:rsidRPr="00C614F1">
        <w:rPr>
          <w:rStyle w:val="CharSectno"/>
        </w:rPr>
        <w:t>5.6.37</w:t>
      </w:r>
      <w:r w:rsidRPr="00CD5673">
        <w:t xml:space="preserve">  Establishing title to priority</w:t>
      </w:r>
      <w:bookmarkEnd w:id="235"/>
    </w:p>
    <w:p w14:paraId="40419055" w14:textId="77777777" w:rsidR="00D46430" w:rsidRPr="00CD5673" w:rsidRDefault="00D46430" w:rsidP="00D46430">
      <w:pPr>
        <w:pStyle w:val="subsection"/>
      </w:pPr>
      <w:r w:rsidRPr="00CD5673">
        <w:tab/>
      </w:r>
      <w:r w:rsidRPr="00CD5673">
        <w:tab/>
        <w:t>Regulations 5.6.39 to 5.6.57 (inclusive) apply to the establishment of a title to priority as if it were a debt or claim.</w:t>
      </w:r>
    </w:p>
    <w:p w14:paraId="2E4AE61F" w14:textId="77777777" w:rsidR="00D46430" w:rsidRPr="00CD5673" w:rsidRDefault="00D46430" w:rsidP="00D46430">
      <w:pPr>
        <w:pStyle w:val="ActHead5"/>
      </w:pPr>
      <w:bookmarkStart w:id="236" w:name="_Toc158711845"/>
      <w:r w:rsidRPr="00C614F1">
        <w:rPr>
          <w:rStyle w:val="CharSectno"/>
        </w:rPr>
        <w:t>5.6.39</w:t>
      </w:r>
      <w:r w:rsidRPr="00CD5673">
        <w:t xml:space="preserve">  Notice to submit particulars of debt or claim</w:t>
      </w:r>
      <w:bookmarkEnd w:id="236"/>
    </w:p>
    <w:p w14:paraId="0A6AF38E" w14:textId="77777777" w:rsidR="00D46430" w:rsidRPr="00CD5673" w:rsidRDefault="00D46430" w:rsidP="00D46430">
      <w:pPr>
        <w:pStyle w:val="SubsectionHead"/>
      </w:pPr>
      <w:r w:rsidRPr="00CD5673">
        <w:t>Companies not subject to the simplified liquidation process</w:t>
      </w:r>
    </w:p>
    <w:p w14:paraId="440E3C38" w14:textId="77777777" w:rsidR="00D46430" w:rsidRPr="00CD5673" w:rsidRDefault="00D46430" w:rsidP="00D46430">
      <w:pPr>
        <w:pStyle w:val="subsection"/>
      </w:pPr>
      <w:r w:rsidRPr="00CD5673">
        <w:tab/>
        <w:t>(1)</w:t>
      </w:r>
      <w:r w:rsidRPr="00CD5673">
        <w:tab/>
        <w:t>Subject to subregulations (1A) and (1B), a liquidator may from time to time fix a day, not less than 14 days after the day on which notice is given in accordance with subregulation (2), on or before which a creditor may submit particulars of his or her debt or claim.</w:t>
      </w:r>
    </w:p>
    <w:p w14:paraId="7128FB92" w14:textId="77777777" w:rsidR="00D46430" w:rsidRPr="00CD5673" w:rsidRDefault="00D46430" w:rsidP="00D46430">
      <w:pPr>
        <w:pStyle w:val="SubsectionHead"/>
      </w:pPr>
      <w:r w:rsidRPr="00CD5673">
        <w:t>Companies subject to the simplified liquidation process</w:t>
      </w:r>
    </w:p>
    <w:p w14:paraId="4C47F7F7" w14:textId="77777777" w:rsidR="00D46430" w:rsidRPr="00CD5673" w:rsidRDefault="00D46430" w:rsidP="00D46430">
      <w:pPr>
        <w:pStyle w:val="subsection"/>
      </w:pPr>
      <w:r w:rsidRPr="00CD5673">
        <w:tab/>
        <w:t>(1A)</w:t>
      </w:r>
      <w:r w:rsidRPr="00CD5673">
        <w:tab/>
        <w:t>Subregulation (1) does not apply in relation to a liquidator of a company that is subject to the simplified liquidation process.</w:t>
      </w:r>
    </w:p>
    <w:p w14:paraId="0000962D" w14:textId="77777777" w:rsidR="00D46430" w:rsidRPr="00CD5673" w:rsidRDefault="00D46430" w:rsidP="00D46430">
      <w:pPr>
        <w:pStyle w:val="subsection"/>
      </w:pPr>
      <w:r w:rsidRPr="00CD5673">
        <w:tab/>
        <w:t>(1B)</w:t>
      </w:r>
      <w:r w:rsidRPr="00CD5673">
        <w:tab/>
        <w:t>A liquidator of a company that is subject to the simplified liquidation process must fix a single day that is 14 days after the day on which notice is given in accordance with subregulation (2), on or before which a creditor may submit particulars of his or her debt or claim.</w:t>
      </w:r>
    </w:p>
    <w:p w14:paraId="318DEEDA" w14:textId="77777777" w:rsidR="00D46430" w:rsidRPr="00CD5673" w:rsidRDefault="00D46430" w:rsidP="00D46430">
      <w:pPr>
        <w:pStyle w:val="SubsectionHead"/>
      </w:pPr>
      <w:r w:rsidRPr="00CD5673">
        <w:t>Notice requirements</w:t>
      </w:r>
    </w:p>
    <w:p w14:paraId="2D10E502" w14:textId="77777777" w:rsidR="00D46430" w:rsidRPr="00CD5673" w:rsidRDefault="00D46430" w:rsidP="00D46430">
      <w:pPr>
        <w:pStyle w:val="subsection"/>
      </w:pPr>
      <w:r w:rsidRPr="00CD5673">
        <w:tab/>
        <w:t>(2)</w:t>
      </w:r>
      <w:r w:rsidRPr="00CD5673">
        <w:tab/>
        <w:t>A notice under subregulation (1) or (1B) must be lodged with ASIC in accordance with subregulation 5.6.75(4).</w:t>
      </w:r>
    </w:p>
    <w:p w14:paraId="7C2E4DBF" w14:textId="77777777" w:rsidR="00D46430" w:rsidRPr="00CD5673" w:rsidRDefault="00D46430" w:rsidP="00D46430">
      <w:pPr>
        <w:pStyle w:val="subsection"/>
      </w:pPr>
      <w:r w:rsidRPr="00CD5673">
        <w:tab/>
        <w:t>(3)</w:t>
      </w:r>
      <w:r w:rsidRPr="00CD5673">
        <w:tab/>
        <w:t>A notice under subregulation (1) or (1B) must state at least the following information:</w:t>
      </w:r>
    </w:p>
    <w:p w14:paraId="1769984B" w14:textId="77777777" w:rsidR="00D46430" w:rsidRPr="00CD5673" w:rsidRDefault="00D46430" w:rsidP="00D46430">
      <w:pPr>
        <w:pStyle w:val="paragraph"/>
      </w:pPr>
      <w:r w:rsidRPr="00CD5673">
        <w:tab/>
        <w:t>(a)</w:t>
      </w:r>
      <w:r w:rsidRPr="00CD5673">
        <w:tab/>
        <w:t>the name of the company;</w:t>
      </w:r>
    </w:p>
    <w:p w14:paraId="49042B1F" w14:textId="77777777" w:rsidR="00D46430" w:rsidRPr="00CD5673" w:rsidRDefault="00D46430" w:rsidP="00D46430">
      <w:pPr>
        <w:pStyle w:val="paragraph"/>
      </w:pPr>
      <w:r w:rsidRPr="00CD5673">
        <w:tab/>
        <w:t>(b)</w:t>
      </w:r>
      <w:r w:rsidRPr="00CD5673">
        <w:tab/>
        <w:t>any trading name of the company;</w:t>
      </w:r>
    </w:p>
    <w:p w14:paraId="3FF70EBE" w14:textId="77777777" w:rsidR="00D46430" w:rsidRPr="00CD5673" w:rsidRDefault="00D46430" w:rsidP="00D46430">
      <w:pPr>
        <w:pStyle w:val="paragraph"/>
      </w:pPr>
      <w:r w:rsidRPr="00CD5673">
        <w:tab/>
        <w:t>(c)</w:t>
      </w:r>
      <w:r w:rsidRPr="00CD5673">
        <w:tab/>
        <w:t>the ACN of the company;</w:t>
      </w:r>
    </w:p>
    <w:p w14:paraId="03FD57A2" w14:textId="77777777" w:rsidR="00D46430" w:rsidRPr="00CD5673" w:rsidRDefault="00D46430" w:rsidP="00D46430">
      <w:pPr>
        <w:pStyle w:val="paragraph"/>
      </w:pPr>
      <w:r w:rsidRPr="00CD5673">
        <w:tab/>
        <w:t>(ca)</w:t>
      </w:r>
      <w:r w:rsidRPr="00CD5673">
        <w:tab/>
        <w:t>if Division 1 of Part 5.6 of the Act applies for a sub</w:t>
      </w:r>
      <w:r w:rsidR="00C614F1">
        <w:noBreakHyphen/>
      </w:r>
      <w:r w:rsidRPr="00CD5673">
        <w:t>fund of a CCIV because of section 1237B of the Act—the ARFN of the sub</w:t>
      </w:r>
      <w:r w:rsidR="00C614F1">
        <w:noBreakHyphen/>
      </w:r>
      <w:r w:rsidRPr="00CD5673">
        <w:t>fund;</w:t>
      </w:r>
    </w:p>
    <w:p w14:paraId="291795B4" w14:textId="77777777" w:rsidR="00D46430" w:rsidRPr="00CD5673" w:rsidRDefault="00D46430" w:rsidP="00D46430">
      <w:pPr>
        <w:pStyle w:val="paragraph"/>
      </w:pPr>
      <w:r w:rsidRPr="00CD5673">
        <w:tab/>
        <w:t>(d)</w:t>
      </w:r>
      <w:r w:rsidRPr="00CD5673">
        <w:tab/>
        <w:t>the day fixed under subregulation (1) or (1B), as the case requires.</w:t>
      </w:r>
    </w:p>
    <w:p w14:paraId="08D6E88B" w14:textId="77777777" w:rsidR="00D46430" w:rsidRPr="00CD5673" w:rsidRDefault="00D46430" w:rsidP="00D46430">
      <w:pPr>
        <w:pStyle w:val="subsection"/>
      </w:pPr>
      <w:r w:rsidRPr="00CD5673">
        <w:tab/>
        <w:t>(4)</w:t>
      </w:r>
      <w:r w:rsidRPr="00CD5673">
        <w:tab/>
        <w:t>A notice under subregulation (1B) may include a requirement that all, or a specified class, of debts or claims must be proved formally.</w:t>
      </w:r>
    </w:p>
    <w:p w14:paraId="37A3E148" w14:textId="77777777" w:rsidR="00D46430" w:rsidRPr="00CD5673" w:rsidRDefault="00D46430" w:rsidP="00D46430">
      <w:pPr>
        <w:pStyle w:val="notetext"/>
      </w:pPr>
      <w:r w:rsidRPr="00CD5673">
        <w:t>Note:</w:t>
      </w:r>
      <w:r w:rsidRPr="00CD5673">
        <w:tab/>
        <w:t>If Division 1 of Part 5.6 of the Act applies for a sub</w:t>
      </w:r>
      <w:r w:rsidR="00C614F1">
        <w:noBreakHyphen/>
      </w:r>
      <w:r w:rsidRPr="00CD5673">
        <w:t>fund of a CCIV because of section 1237B of the Act, that section translates most of this regulation’s references to the company so that they are references to the sub</w:t>
      </w:r>
      <w:r w:rsidR="00C614F1">
        <w:noBreakHyphen/>
      </w:r>
      <w:r w:rsidRPr="00CD5673">
        <w:t>fund.</w:t>
      </w:r>
    </w:p>
    <w:p w14:paraId="25065742" w14:textId="77777777" w:rsidR="00D46430" w:rsidRPr="00CD5673" w:rsidRDefault="00D46430" w:rsidP="00D46430">
      <w:pPr>
        <w:pStyle w:val="ActHead5"/>
      </w:pPr>
      <w:bookmarkStart w:id="237" w:name="_Toc158711846"/>
      <w:r w:rsidRPr="00C614F1">
        <w:rPr>
          <w:rStyle w:val="CharSectno"/>
        </w:rPr>
        <w:t>5.6.40</w:t>
      </w:r>
      <w:r w:rsidRPr="00CD5673">
        <w:t xml:space="preserve">  Preparation of a proof of debt or claim</w:t>
      </w:r>
      <w:bookmarkEnd w:id="237"/>
    </w:p>
    <w:p w14:paraId="7F4E391E" w14:textId="77777777" w:rsidR="00D46430" w:rsidRPr="00CD5673" w:rsidRDefault="00D46430" w:rsidP="00D46430">
      <w:pPr>
        <w:pStyle w:val="subsection"/>
      </w:pPr>
      <w:r w:rsidRPr="00CD5673">
        <w:tab/>
        <w:t>(1)</w:t>
      </w:r>
      <w:r w:rsidRPr="00CD5673">
        <w:tab/>
        <w:t>A proof of debt or claim may be prepared by the creditor personally or by a person authorised by the creditor.</w:t>
      </w:r>
    </w:p>
    <w:p w14:paraId="76F2324D" w14:textId="77777777" w:rsidR="00D46430" w:rsidRPr="00CD5673" w:rsidRDefault="00D46430" w:rsidP="00D46430">
      <w:pPr>
        <w:pStyle w:val="subsection"/>
      </w:pPr>
      <w:r w:rsidRPr="00CD5673">
        <w:tab/>
        <w:t>(2)</w:t>
      </w:r>
      <w:r w:rsidRPr="00CD5673">
        <w:tab/>
        <w:t>A proof prepared by an authorised person must state his or her authority and means of knowledge.</w:t>
      </w:r>
    </w:p>
    <w:p w14:paraId="44809E4C" w14:textId="77777777" w:rsidR="00D46430" w:rsidRPr="00CD5673" w:rsidRDefault="00D46430" w:rsidP="00D46430">
      <w:pPr>
        <w:pStyle w:val="ActHead5"/>
      </w:pPr>
      <w:bookmarkStart w:id="238" w:name="_Toc158711847"/>
      <w:r w:rsidRPr="00C614F1">
        <w:rPr>
          <w:rStyle w:val="CharSectno"/>
        </w:rPr>
        <w:t>5.6.41</w:t>
      </w:r>
      <w:r w:rsidRPr="00CD5673">
        <w:t xml:space="preserve">  Disclosure of security</w:t>
      </w:r>
      <w:bookmarkEnd w:id="238"/>
    </w:p>
    <w:p w14:paraId="154599DC" w14:textId="77777777" w:rsidR="00D46430" w:rsidRPr="00CD5673" w:rsidRDefault="00D46430" w:rsidP="00D46430">
      <w:pPr>
        <w:pStyle w:val="subsection"/>
      </w:pPr>
      <w:r w:rsidRPr="00CD5673">
        <w:tab/>
      </w:r>
      <w:r w:rsidRPr="00CD5673">
        <w:tab/>
        <w:t>A proof of debt or claim must state:</w:t>
      </w:r>
    </w:p>
    <w:p w14:paraId="2A2C5501" w14:textId="77777777" w:rsidR="00D46430" w:rsidRPr="00CD5673" w:rsidRDefault="00D46430" w:rsidP="00D46430">
      <w:pPr>
        <w:pStyle w:val="paragraph"/>
      </w:pPr>
      <w:r w:rsidRPr="00CD5673">
        <w:tab/>
        <w:t>(a)</w:t>
      </w:r>
      <w:r w:rsidRPr="00CD5673">
        <w:tab/>
        <w:t>whether the creditor is or is not a secured creditor; and</w:t>
      </w:r>
    </w:p>
    <w:p w14:paraId="01C5D72B" w14:textId="77777777" w:rsidR="00D46430" w:rsidRPr="00CD5673" w:rsidRDefault="00D46430" w:rsidP="00D46430">
      <w:pPr>
        <w:pStyle w:val="paragraph"/>
      </w:pPr>
      <w:r w:rsidRPr="00CD5673">
        <w:tab/>
        <w:t>(b)</w:t>
      </w:r>
      <w:r w:rsidRPr="00CD5673">
        <w:tab/>
        <w:t>the value and nature of the creditor’s security (if any); and</w:t>
      </w:r>
    </w:p>
    <w:p w14:paraId="1DDC2AE5" w14:textId="77777777" w:rsidR="00D46430" w:rsidRPr="00CD5673" w:rsidRDefault="00D46430" w:rsidP="00D46430">
      <w:pPr>
        <w:pStyle w:val="paragraph"/>
      </w:pPr>
      <w:r w:rsidRPr="00CD5673">
        <w:lastRenderedPageBreak/>
        <w:tab/>
        <w:t>(c)</w:t>
      </w:r>
      <w:r w:rsidRPr="00CD5673">
        <w:tab/>
        <w:t>whether the debt is secured wholly or in part.</w:t>
      </w:r>
    </w:p>
    <w:p w14:paraId="2266555C" w14:textId="77777777" w:rsidR="00D46430" w:rsidRPr="00CD5673" w:rsidRDefault="00D46430" w:rsidP="00D46430">
      <w:pPr>
        <w:pStyle w:val="ActHead5"/>
      </w:pPr>
      <w:bookmarkStart w:id="239" w:name="_Toc158711848"/>
      <w:r w:rsidRPr="00C614F1">
        <w:rPr>
          <w:rStyle w:val="CharSectno"/>
        </w:rPr>
        <w:t>5.6.42</w:t>
      </w:r>
      <w:r w:rsidRPr="00CD5673">
        <w:t xml:space="preserve">  Discounts</w:t>
      </w:r>
      <w:bookmarkEnd w:id="239"/>
    </w:p>
    <w:p w14:paraId="4AE55D73" w14:textId="77777777" w:rsidR="00D46430" w:rsidRPr="00CD5673" w:rsidRDefault="00D46430" w:rsidP="00D46430">
      <w:pPr>
        <w:pStyle w:val="subsection"/>
      </w:pPr>
      <w:r w:rsidRPr="00CD5673">
        <w:tab/>
      </w:r>
      <w:r w:rsidRPr="00CD5673">
        <w:tab/>
        <w:t>In preparing a proof of debt or claim, a creditor must allow for all discounts for which an allowance would have been made if the company were not being wound up.</w:t>
      </w:r>
    </w:p>
    <w:p w14:paraId="5C3ED300" w14:textId="77777777" w:rsidR="00D46430" w:rsidRPr="00CD5673" w:rsidRDefault="00D46430" w:rsidP="00D46430">
      <w:pPr>
        <w:pStyle w:val="ActHead5"/>
      </w:pPr>
      <w:bookmarkStart w:id="240" w:name="_Toc158711849"/>
      <w:r w:rsidRPr="00C614F1">
        <w:rPr>
          <w:rStyle w:val="CharSectno"/>
        </w:rPr>
        <w:t>5.6.43</w:t>
      </w:r>
      <w:r w:rsidRPr="00CD5673">
        <w:t xml:space="preserve">  Periodical payments</w:t>
      </w:r>
      <w:bookmarkEnd w:id="240"/>
    </w:p>
    <w:p w14:paraId="7131991D" w14:textId="77777777" w:rsidR="00D46430" w:rsidRPr="00CD5673" w:rsidRDefault="00D46430" w:rsidP="00D46430">
      <w:pPr>
        <w:pStyle w:val="subsection"/>
      </w:pPr>
      <w:r w:rsidRPr="00CD5673">
        <w:tab/>
        <w:t>(1)</w:t>
      </w:r>
      <w:r w:rsidRPr="00CD5673">
        <w:tab/>
        <w:t>If rent or any other payment:</w:t>
      </w:r>
    </w:p>
    <w:p w14:paraId="16CBDFE1" w14:textId="77777777" w:rsidR="00D46430" w:rsidRPr="00CD5673" w:rsidRDefault="00D46430" w:rsidP="00D46430">
      <w:pPr>
        <w:pStyle w:val="paragraph"/>
      </w:pPr>
      <w:r w:rsidRPr="00CD5673">
        <w:tab/>
        <w:t>(a)</w:t>
      </w:r>
      <w:r w:rsidRPr="00CD5673">
        <w:tab/>
        <w:t>falls due at stated times; and</w:t>
      </w:r>
    </w:p>
    <w:p w14:paraId="26587569" w14:textId="77777777" w:rsidR="00D46430" w:rsidRPr="00CD5673" w:rsidRDefault="00D46430" w:rsidP="00D46430">
      <w:pPr>
        <w:pStyle w:val="paragraph"/>
      </w:pPr>
      <w:r w:rsidRPr="00CD5673">
        <w:tab/>
        <w:t>(b)</w:t>
      </w:r>
      <w:r w:rsidRPr="00CD5673">
        <w:tab/>
        <w:t>the relevant date is a time other than one of those times;</w:t>
      </w:r>
    </w:p>
    <w:p w14:paraId="2A9CF93D" w14:textId="77777777" w:rsidR="00D46430" w:rsidRPr="00CD5673" w:rsidRDefault="00D46430" w:rsidP="00D46430">
      <w:pPr>
        <w:pStyle w:val="subsection2"/>
      </w:pPr>
      <w:r w:rsidRPr="00CD5673">
        <w:t>the person entitled to the rent or other payment may submit a proof of debt or claim for a proportionate part of the rent or other payment, up to the date of the winding up order or resolution, as if the rent or payment accrued from day to day.</w:t>
      </w:r>
    </w:p>
    <w:p w14:paraId="6312668F" w14:textId="77777777" w:rsidR="00D46430" w:rsidRPr="00CD5673" w:rsidRDefault="00D46430" w:rsidP="00D46430">
      <w:pPr>
        <w:pStyle w:val="subsection"/>
      </w:pPr>
      <w:r w:rsidRPr="00CD5673">
        <w:tab/>
        <w:t>(2)</w:t>
      </w:r>
      <w:r w:rsidRPr="00CD5673">
        <w:tab/>
        <w:t>If the liquidator remains in control of premises rented to a company that is being wound up, subregulation (1) does not affect the right of the landlord of the premises to claim payment of rent by the company or the liquidator during the period of the company’s occupation or the liquidator’s control.</w:t>
      </w:r>
    </w:p>
    <w:p w14:paraId="53F56E24" w14:textId="77777777" w:rsidR="00D46430" w:rsidRPr="00CD5673" w:rsidRDefault="00D46430" w:rsidP="00D46430">
      <w:pPr>
        <w:pStyle w:val="ActHead5"/>
      </w:pPr>
      <w:bookmarkStart w:id="241" w:name="_Toc158711850"/>
      <w:r w:rsidRPr="00C614F1">
        <w:rPr>
          <w:rStyle w:val="CharSectno"/>
        </w:rPr>
        <w:t>5.6.43A</w:t>
      </w:r>
      <w:r w:rsidRPr="00CD5673">
        <w:t xml:space="preserve">  Debt or claim of uncertain value—appeal to Court</w:t>
      </w:r>
      <w:bookmarkEnd w:id="241"/>
    </w:p>
    <w:p w14:paraId="098F2E07" w14:textId="77777777" w:rsidR="00D46430" w:rsidRPr="00CD5673" w:rsidRDefault="00D46430" w:rsidP="00D46430">
      <w:pPr>
        <w:pStyle w:val="subsection"/>
      </w:pPr>
      <w:r w:rsidRPr="00CD5673">
        <w:tab/>
        <w:t>(1)</w:t>
      </w:r>
      <w:r w:rsidRPr="00CD5673">
        <w:tab/>
        <w:t>An appeal to the Court under subsection 554A(3) of the Act must be made:</w:t>
      </w:r>
    </w:p>
    <w:p w14:paraId="54E578F1" w14:textId="77777777" w:rsidR="00D46430" w:rsidRPr="00CD5673" w:rsidRDefault="00D46430" w:rsidP="00D46430">
      <w:pPr>
        <w:pStyle w:val="paragraph"/>
      </w:pPr>
      <w:r w:rsidRPr="00CD5673">
        <w:tab/>
        <w:t>(a)</w:t>
      </w:r>
      <w:r w:rsidRPr="00CD5673">
        <w:tab/>
        <w:t>within 21 days after the person aggrieved becomes aware of the liquidator’s estimate or, if the period is extended under subregulation (2), within the extended period; and</w:t>
      </w:r>
    </w:p>
    <w:p w14:paraId="025D8A73" w14:textId="77777777" w:rsidR="00D46430" w:rsidRPr="00CD5673" w:rsidRDefault="00D46430" w:rsidP="00D46430">
      <w:pPr>
        <w:pStyle w:val="paragraph"/>
      </w:pPr>
      <w:r w:rsidRPr="00CD5673">
        <w:tab/>
        <w:t>(b)</w:t>
      </w:r>
      <w:r w:rsidRPr="00CD5673">
        <w:tab/>
        <w:t xml:space="preserve">in accordance with the </w:t>
      </w:r>
      <w:r w:rsidR="003C34A0" w:rsidRPr="00CD5673">
        <w:t>rules of court</w:t>
      </w:r>
      <w:r w:rsidRPr="00CD5673">
        <w:t>.</w:t>
      </w:r>
    </w:p>
    <w:p w14:paraId="59950989" w14:textId="77777777" w:rsidR="00D46430" w:rsidRPr="00CD5673" w:rsidRDefault="00D46430" w:rsidP="00D46430">
      <w:pPr>
        <w:pStyle w:val="subsection"/>
      </w:pPr>
      <w:r w:rsidRPr="00CD5673">
        <w:tab/>
        <w:t>(2)</w:t>
      </w:r>
      <w:r w:rsidRPr="00CD5673">
        <w:tab/>
        <w:t>On application by the person aggrieved before or after the end of the period of 21 days mentioned in subregulation (1), the Court may extend the period within which an appeal must be made.</w:t>
      </w:r>
    </w:p>
    <w:p w14:paraId="459BA99C" w14:textId="77777777" w:rsidR="00D46430" w:rsidRPr="00CD5673" w:rsidRDefault="00D46430" w:rsidP="00D46430">
      <w:pPr>
        <w:pStyle w:val="ActHead5"/>
      </w:pPr>
      <w:bookmarkStart w:id="242" w:name="_Toc158711851"/>
      <w:r w:rsidRPr="00C614F1">
        <w:rPr>
          <w:rStyle w:val="CharSectno"/>
        </w:rPr>
        <w:t>5.6.44</w:t>
      </w:r>
      <w:r w:rsidRPr="00CD5673">
        <w:t xml:space="preserve">  Debt discount rate (Act s 554B)</w:t>
      </w:r>
      <w:bookmarkEnd w:id="242"/>
    </w:p>
    <w:p w14:paraId="7FC6922C" w14:textId="77777777" w:rsidR="00D46430" w:rsidRPr="00CD5673" w:rsidRDefault="00D46430" w:rsidP="00D46430">
      <w:pPr>
        <w:pStyle w:val="subsection"/>
      </w:pPr>
      <w:r w:rsidRPr="00CD5673">
        <w:tab/>
      </w:r>
      <w:r w:rsidRPr="00CD5673">
        <w:tab/>
        <w:t>The discount by which the amount payable on the future date is to be reduced under section 554B of the Act is 8% a year calculated from the declaration of the dividend to the time when the debt would have become payable according to the terms on which it was contracted.</w:t>
      </w:r>
    </w:p>
    <w:p w14:paraId="7FE28D47" w14:textId="77777777" w:rsidR="00D46430" w:rsidRPr="00CD5673" w:rsidRDefault="00D46430" w:rsidP="00D46430">
      <w:pPr>
        <w:pStyle w:val="ActHead5"/>
      </w:pPr>
      <w:bookmarkStart w:id="243" w:name="_Toc158711852"/>
      <w:r w:rsidRPr="00C614F1">
        <w:rPr>
          <w:rStyle w:val="CharSectno"/>
        </w:rPr>
        <w:t>5.6.45</w:t>
      </w:r>
      <w:r w:rsidRPr="00CD5673">
        <w:t xml:space="preserve">  Employees’ wages</w:t>
      </w:r>
      <w:bookmarkEnd w:id="243"/>
    </w:p>
    <w:p w14:paraId="3152E131" w14:textId="77777777" w:rsidR="00D46430" w:rsidRPr="00CD5673" w:rsidRDefault="00D46430" w:rsidP="00D46430">
      <w:pPr>
        <w:pStyle w:val="subsection"/>
      </w:pPr>
      <w:r w:rsidRPr="00CD5673">
        <w:tab/>
        <w:t>(1)</w:t>
      </w:r>
      <w:r w:rsidRPr="00CD5673">
        <w:tab/>
        <w:t>If the employees of a company make demands:</w:t>
      </w:r>
    </w:p>
    <w:p w14:paraId="5395ED24" w14:textId="77777777" w:rsidR="00D46430" w:rsidRPr="00CD5673" w:rsidRDefault="00D46430" w:rsidP="00D46430">
      <w:pPr>
        <w:pStyle w:val="paragraph"/>
      </w:pPr>
      <w:r w:rsidRPr="00CD5673">
        <w:tab/>
        <w:t>(a)</w:t>
      </w:r>
      <w:r w:rsidRPr="00CD5673">
        <w:tab/>
        <w:t>for wages or salaries (whether or not earned wholly or in part by way of commission), whether or not payable to the employees for annual leave or long service leave; or</w:t>
      </w:r>
    </w:p>
    <w:p w14:paraId="39B75DD6" w14:textId="77777777" w:rsidR="00D46430" w:rsidRPr="00CD5673" w:rsidRDefault="00D46430" w:rsidP="00D46430">
      <w:pPr>
        <w:pStyle w:val="paragraph"/>
        <w:keepNext/>
        <w:keepLines/>
      </w:pPr>
      <w:r w:rsidRPr="00CD5673">
        <w:tab/>
        <w:t>(b)</w:t>
      </w:r>
      <w:r w:rsidRPr="00CD5673">
        <w:tab/>
        <w:t>for retrenchment payments;</w:t>
      </w:r>
    </w:p>
    <w:p w14:paraId="4A97B9D3" w14:textId="77777777" w:rsidR="00D46430" w:rsidRPr="00CD5673" w:rsidRDefault="00D46430" w:rsidP="00D46430">
      <w:pPr>
        <w:pStyle w:val="subsection2"/>
      </w:pPr>
      <w:r w:rsidRPr="00CD5673">
        <w:t>one proof of debt or claim may be prepared and submitted on behalf of those employees.</w:t>
      </w:r>
    </w:p>
    <w:p w14:paraId="39C0C0C0" w14:textId="77777777" w:rsidR="00D46430" w:rsidRPr="00CD5673" w:rsidRDefault="00D46430" w:rsidP="00D46430">
      <w:pPr>
        <w:pStyle w:val="subsection"/>
      </w:pPr>
      <w:r w:rsidRPr="00CD5673">
        <w:tab/>
        <w:t>(2)</w:t>
      </w:r>
      <w:r w:rsidRPr="00CD5673">
        <w:tab/>
        <w:t>A proof of debt or claim prepared and submitted under subregulation (1):</w:t>
      </w:r>
    </w:p>
    <w:p w14:paraId="32AF4B36" w14:textId="77777777" w:rsidR="00D46430" w:rsidRPr="00CD5673" w:rsidRDefault="00D46430" w:rsidP="00D46430">
      <w:pPr>
        <w:pStyle w:val="paragraph"/>
      </w:pPr>
      <w:r w:rsidRPr="00CD5673">
        <w:tab/>
        <w:t>(a)</w:t>
      </w:r>
      <w:r w:rsidRPr="00CD5673">
        <w:tab/>
        <w:t>must have annexed to it a schedule setting out the names of the employees and the amounts due to each of them; and</w:t>
      </w:r>
    </w:p>
    <w:p w14:paraId="09E518B5" w14:textId="77777777" w:rsidR="00D46430" w:rsidRPr="00CD5673" w:rsidRDefault="00D46430" w:rsidP="00D46430">
      <w:pPr>
        <w:pStyle w:val="paragraph"/>
      </w:pPr>
      <w:r w:rsidRPr="00CD5673">
        <w:tab/>
        <w:t>(b)</w:t>
      </w:r>
      <w:r w:rsidRPr="00CD5673">
        <w:tab/>
        <w:t>has the same effect as if separate proofs had been prepared and submitted by each of the employees named in the schedule.</w:t>
      </w:r>
    </w:p>
    <w:p w14:paraId="34F1932C" w14:textId="77777777" w:rsidR="00D46430" w:rsidRPr="00CD5673" w:rsidRDefault="00D46430" w:rsidP="00D46430">
      <w:pPr>
        <w:pStyle w:val="ActHead5"/>
      </w:pPr>
      <w:bookmarkStart w:id="244" w:name="_Toc158711853"/>
      <w:r w:rsidRPr="00C614F1">
        <w:rPr>
          <w:rStyle w:val="CharSectno"/>
        </w:rPr>
        <w:t>5.6.46</w:t>
      </w:r>
      <w:r w:rsidRPr="00CD5673">
        <w:t xml:space="preserve">  Production of bill of exchange and promissory note</w:t>
      </w:r>
      <w:bookmarkEnd w:id="244"/>
    </w:p>
    <w:p w14:paraId="32A7DA66" w14:textId="77777777" w:rsidR="00D46430" w:rsidRPr="00CD5673" w:rsidRDefault="00D46430" w:rsidP="00D46430">
      <w:pPr>
        <w:pStyle w:val="subsection"/>
      </w:pPr>
      <w:r w:rsidRPr="00CD5673">
        <w:tab/>
      </w:r>
      <w:r w:rsidRPr="00CD5673">
        <w:tab/>
        <w:t>If a company is, or may become, liable on:</w:t>
      </w:r>
    </w:p>
    <w:p w14:paraId="6C72459B" w14:textId="77777777" w:rsidR="00D46430" w:rsidRPr="00CD5673" w:rsidRDefault="00D46430" w:rsidP="00D46430">
      <w:pPr>
        <w:pStyle w:val="paragraph"/>
      </w:pPr>
      <w:r w:rsidRPr="00CD5673">
        <w:tab/>
        <w:t>(a)</w:t>
      </w:r>
      <w:r w:rsidRPr="00CD5673">
        <w:tab/>
        <w:t>a bill of exchange; or</w:t>
      </w:r>
    </w:p>
    <w:p w14:paraId="76E5413E" w14:textId="77777777" w:rsidR="00D46430" w:rsidRPr="00CD5673" w:rsidRDefault="00D46430" w:rsidP="00D46430">
      <w:pPr>
        <w:pStyle w:val="paragraph"/>
      </w:pPr>
      <w:r w:rsidRPr="00CD5673">
        <w:tab/>
        <w:t>(b)</w:t>
      </w:r>
      <w:r w:rsidRPr="00CD5673">
        <w:tab/>
        <w:t>a promissory note; or</w:t>
      </w:r>
    </w:p>
    <w:p w14:paraId="5404E421" w14:textId="77777777" w:rsidR="00D46430" w:rsidRPr="00CD5673" w:rsidRDefault="00D46430" w:rsidP="00D46430">
      <w:pPr>
        <w:pStyle w:val="paragraph"/>
      </w:pPr>
      <w:r w:rsidRPr="00CD5673">
        <w:tab/>
        <w:t>(c)</w:t>
      </w:r>
      <w:r w:rsidRPr="00CD5673">
        <w:tab/>
        <w:t>any other negotiable instrument or security;</w:t>
      </w:r>
    </w:p>
    <w:p w14:paraId="5AB0A286" w14:textId="77777777" w:rsidR="00D46430" w:rsidRPr="00CD5673" w:rsidRDefault="00D46430" w:rsidP="00D46430">
      <w:pPr>
        <w:pStyle w:val="subsection2"/>
      </w:pPr>
      <w:r w:rsidRPr="00CD5673">
        <w:t>it must be produced to the liquidator before a proof of debt or claim for the liability can be admitted, unless the Court otherwise orders.</w:t>
      </w:r>
    </w:p>
    <w:p w14:paraId="4557D508" w14:textId="77777777" w:rsidR="00D46430" w:rsidRPr="00CD5673" w:rsidRDefault="00D46430" w:rsidP="00D46430">
      <w:pPr>
        <w:pStyle w:val="ActHead5"/>
      </w:pPr>
      <w:bookmarkStart w:id="245" w:name="_Toc158711854"/>
      <w:r w:rsidRPr="00C614F1">
        <w:rPr>
          <w:rStyle w:val="CharSectno"/>
        </w:rPr>
        <w:lastRenderedPageBreak/>
        <w:t>5.6.47</w:t>
      </w:r>
      <w:r w:rsidRPr="00CD5673">
        <w:t xml:space="preserve">  Admission of debt or claim without formal proof</w:t>
      </w:r>
      <w:bookmarkEnd w:id="245"/>
    </w:p>
    <w:p w14:paraId="55947264" w14:textId="77777777" w:rsidR="00D46430" w:rsidRPr="00CD5673" w:rsidRDefault="00D46430" w:rsidP="00D46430">
      <w:pPr>
        <w:pStyle w:val="subsection"/>
      </w:pPr>
      <w:r w:rsidRPr="00CD5673">
        <w:tab/>
        <w:t>(2)</w:t>
      </w:r>
      <w:r w:rsidRPr="00CD5673">
        <w:tab/>
        <w:t>If a liquidator admits a debt or claim without formal proof, it is not necessary for the liquidator formally to admit the debt or claim in writing.</w:t>
      </w:r>
    </w:p>
    <w:p w14:paraId="3AF5420A" w14:textId="77777777" w:rsidR="00D46430" w:rsidRPr="00CD5673" w:rsidRDefault="00D46430" w:rsidP="00D46430">
      <w:pPr>
        <w:pStyle w:val="subsection"/>
      </w:pPr>
      <w:r w:rsidRPr="00CD5673">
        <w:tab/>
        <w:t>(3)</w:t>
      </w:r>
      <w:r w:rsidRPr="00CD5673">
        <w:tab/>
        <w:t>If a creditor’s debt or claim has been admitted without formal proof, a notice of dividend is sufficient notice of the admission.</w:t>
      </w:r>
    </w:p>
    <w:p w14:paraId="6DF3600F" w14:textId="77777777" w:rsidR="00D46430" w:rsidRPr="00CD5673" w:rsidRDefault="00D46430" w:rsidP="00D46430">
      <w:pPr>
        <w:pStyle w:val="subsection"/>
      </w:pPr>
      <w:r w:rsidRPr="00CD5673">
        <w:tab/>
        <w:t>(4)</w:t>
      </w:r>
      <w:r w:rsidRPr="00CD5673">
        <w:tab/>
        <w:t>A liquidator must not reject a debt or claim without:</w:t>
      </w:r>
    </w:p>
    <w:p w14:paraId="2CB904E7" w14:textId="77777777" w:rsidR="00D46430" w:rsidRPr="00CD5673" w:rsidRDefault="00D46430" w:rsidP="00D46430">
      <w:pPr>
        <w:pStyle w:val="paragraph"/>
      </w:pPr>
      <w:r w:rsidRPr="00CD5673">
        <w:tab/>
        <w:t>(a)</w:t>
      </w:r>
      <w:r w:rsidRPr="00CD5673">
        <w:tab/>
        <w:t>notifying the creditor of the grounds of the liquidator’s rejection; and</w:t>
      </w:r>
    </w:p>
    <w:p w14:paraId="50FDE9A9" w14:textId="77777777" w:rsidR="00D46430" w:rsidRPr="00CD5673" w:rsidRDefault="00D46430" w:rsidP="00D46430">
      <w:pPr>
        <w:pStyle w:val="paragraph"/>
      </w:pPr>
      <w:r w:rsidRPr="00CD5673">
        <w:tab/>
        <w:t>(b)</w:t>
      </w:r>
      <w:r w:rsidRPr="00CD5673">
        <w:tab/>
        <w:t>requiring that a formal proof of debt or claim be submitted for that debt or claim.</w:t>
      </w:r>
    </w:p>
    <w:p w14:paraId="37F9C6C5" w14:textId="77777777" w:rsidR="00D46430" w:rsidRPr="00CD5673" w:rsidRDefault="00D46430" w:rsidP="00D46430">
      <w:pPr>
        <w:pStyle w:val="ActHead5"/>
      </w:pPr>
      <w:bookmarkStart w:id="246" w:name="_Toc158711855"/>
      <w:r w:rsidRPr="00C614F1">
        <w:rPr>
          <w:rStyle w:val="CharSectno"/>
        </w:rPr>
        <w:t>5.6.48</w:t>
      </w:r>
      <w:r w:rsidRPr="00CD5673">
        <w:t xml:space="preserve">  Notice to creditors to submit formal proof</w:t>
      </w:r>
      <w:bookmarkEnd w:id="246"/>
    </w:p>
    <w:p w14:paraId="044B4D42" w14:textId="77777777" w:rsidR="00D46430" w:rsidRPr="00CD5673" w:rsidRDefault="00D46430" w:rsidP="00D46430">
      <w:pPr>
        <w:pStyle w:val="SubsectionHead"/>
      </w:pPr>
      <w:r w:rsidRPr="00CD5673">
        <w:t>Companies not subject to the simplified liquidation process</w:t>
      </w:r>
    </w:p>
    <w:p w14:paraId="57DFA0B6" w14:textId="77777777" w:rsidR="00D46430" w:rsidRPr="00CD5673" w:rsidRDefault="00D46430" w:rsidP="00D46430">
      <w:pPr>
        <w:pStyle w:val="subsection"/>
        <w:keepNext/>
        <w:keepLines/>
      </w:pPr>
      <w:r w:rsidRPr="00CD5673">
        <w:tab/>
        <w:t>(1)</w:t>
      </w:r>
      <w:r w:rsidRPr="00CD5673">
        <w:tab/>
        <w:t>Subject to subregulation (1A), a liquidator may from time to time fix a day, not less than 14 days after the day on which notice is given in accordance with subregulation (2), on or before which creditors of the company whose debts or claims have not been admitted are formally to prove their debts or claims.</w:t>
      </w:r>
    </w:p>
    <w:p w14:paraId="392547C0" w14:textId="77777777" w:rsidR="00D46430" w:rsidRPr="00CD5673" w:rsidRDefault="00D46430" w:rsidP="00D46430">
      <w:pPr>
        <w:pStyle w:val="SubsectionHead"/>
      </w:pPr>
      <w:r w:rsidRPr="00CD5673">
        <w:t>Companies subject to the simplified liquidation process</w:t>
      </w:r>
    </w:p>
    <w:p w14:paraId="663E5E39" w14:textId="77777777" w:rsidR="00D46430" w:rsidRPr="00CD5673" w:rsidRDefault="00D46430" w:rsidP="00D46430">
      <w:pPr>
        <w:pStyle w:val="subsection"/>
      </w:pPr>
      <w:r w:rsidRPr="00CD5673">
        <w:tab/>
        <w:t>(1A)</w:t>
      </w:r>
      <w:r w:rsidRPr="00CD5673">
        <w:tab/>
        <w:t>Subregulation (1) does not apply in relation to a liquidator of a company that is subject to the simplified liquidation process.</w:t>
      </w:r>
    </w:p>
    <w:p w14:paraId="01B1A9DF" w14:textId="77777777" w:rsidR="00D46430" w:rsidRPr="00CD5673" w:rsidRDefault="00D46430" w:rsidP="00D46430">
      <w:pPr>
        <w:pStyle w:val="notetext"/>
      </w:pPr>
      <w:r w:rsidRPr="00CD5673">
        <w:t>Note:</w:t>
      </w:r>
      <w:r w:rsidRPr="00CD5673">
        <w:tab/>
        <w:t>A notice given under subregulation 5.6.39(1B) may include a requirement that the creditors of a company that is subject to the simplified liquidation process must formally prove all or a specified class of debts or claims (see subregulation 5.6.39(4)).</w:t>
      </w:r>
    </w:p>
    <w:p w14:paraId="17CE787A" w14:textId="77777777" w:rsidR="00D46430" w:rsidRPr="00CD5673" w:rsidRDefault="00D46430" w:rsidP="00D46430">
      <w:pPr>
        <w:pStyle w:val="SubsectionHead"/>
      </w:pPr>
      <w:r w:rsidRPr="00CD5673">
        <w:t>Notice requirements</w:t>
      </w:r>
    </w:p>
    <w:p w14:paraId="66F09718" w14:textId="77777777" w:rsidR="00D46430" w:rsidRPr="00CD5673" w:rsidRDefault="00D46430" w:rsidP="00D46430">
      <w:pPr>
        <w:pStyle w:val="subsection"/>
      </w:pPr>
      <w:r w:rsidRPr="00CD5673">
        <w:tab/>
        <w:t>(2)</w:t>
      </w:r>
      <w:r w:rsidRPr="00CD5673">
        <w:tab/>
        <w:t>A liquidator must give a notice under subregulation (1):</w:t>
      </w:r>
    </w:p>
    <w:p w14:paraId="36E15C18" w14:textId="77777777" w:rsidR="00D46430" w:rsidRPr="00CD5673" w:rsidRDefault="00D46430" w:rsidP="00D46430">
      <w:pPr>
        <w:pStyle w:val="paragraph"/>
      </w:pPr>
      <w:r w:rsidRPr="00CD5673">
        <w:tab/>
        <w:t>(a)</w:t>
      </w:r>
      <w:r w:rsidRPr="00CD5673">
        <w:tab/>
        <w:t>by lodging the notice with ASIC in accordance with subregulation 5.6.75(4); and</w:t>
      </w:r>
    </w:p>
    <w:p w14:paraId="7E96DF87" w14:textId="77777777" w:rsidR="00D46430" w:rsidRPr="00CD5673" w:rsidRDefault="00D46430" w:rsidP="00D46430">
      <w:pPr>
        <w:pStyle w:val="paragraph"/>
      </w:pPr>
      <w:r w:rsidRPr="00CD5673">
        <w:tab/>
        <w:t>(b)</w:t>
      </w:r>
      <w:r w:rsidRPr="00CD5673">
        <w:tab/>
        <w:t>to every person who, to the knowledge of the liquidator, claims to be a creditor of the company, and whose debt or claim has not been admitted.</w:t>
      </w:r>
    </w:p>
    <w:p w14:paraId="7D0A43F0" w14:textId="77777777" w:rsidR="00D46430" w:rsidRPr="00CD5673" w:rsidRDefault="00D46430" w:rsidP="00D46430">
      <w:pPr>
        <w:pStyle w:val="subsection"/>
      </w:pPr>
      <w:r w:rsidRPr="00CD5673">
        <w:tab/>
        <w:t>(3)</w:t>
      </w:r>
      <w:r w:rsidRPr="00CD5673">
        <w:tab/>
        <w:t>A notice under subregulation (1) must state at least the following information:</w:t>
      </w:r>
    </w:p>
    <w:p w14:paraId="0DDD3ECF" w14:textId="77777777" w:rsidR="00D46430" w:rsidRPr="00CD5673" w:rsidRDefault="00D46430" w:rsidP="00D46430">
      <w:pPr>
        <w:pStyle w:val="paragraph"/>
      </w:pPr>
      <w:r w:rsidRPr="00CD5673">
        <w:tab/>
        <w:t>(a)</w:t>
      </w:r>
      <w:r w:rsidRPr="00CD5673">
        <w:tab/>
        <w:t>the name of the company;</w:t>
      </w:r>
    </w:p>
    <w:p w14:paraId="7BBF3EF9" w14:textId="77777777" w:rsidR="00D46430" w:rsidRPr="00CD5673" w:rsidRDefault="00D46430" w:rsidP="00D46430">
      <w:pPr>
        <w:pStyle w:val="paragraph"/>
      </w:pPr>
      <w:r w:rsidRPr="00CD5673">
        <w:tab/>
        <w:t>(b)</w:t>
      </w:r>
      <w:r w:rsidRPr="00CD5673">
        <w:tab/>
        <w:t>any trading name of the company;</w:t>
      </w:r>
    </w:p>
    <w:p w14:paraId="72DFC400" w14:textId="77777777" w:rsidR="00D46430" w:rsidRPr="00CD5673" w:rsidRDefault="00D46430" w:rsidP="00D46430">
      <w:pPr>
        <w:pStyle w:val="paragraph"/>
      </w:pPr>
      <w:r w:rsidRPr="00CD5673">
        <w:tab/>
        <w:t>(c)</w:t>
      </w:r>
      <w:r w:rsidRPr="00CD5673">
        <w:tab/>
        <w:t>the ACN of the company;</w:t>
      </w:r>
    </w:p>
    <w:p w14:paraId="0D6F236C" w14:textId="77777777" w:rsidR="00D46430" w:rsidRPr="00CD5673" w:rsidRDefault="00D46430" w:rsidP="00D46430">
      <w:pPr>
        <w:pStyle w:val="paragraph"/>
      </w:pPr>
      <w:r w:rsidRPr="00CD5673">
        <w:tab/>
        <w:t>(ca)</w:t>
      </w:r>
      <w:r w:rsidRPr="00CD5673">
        <w:tab/>
        <w:t>if Division 1 of Part 5.6 of the Act applies for a sub</w:t>
      </w:r>
      <w:r w:rsidR="00C614F1">
        <w:noBreakHyphen/>
      </w:r>
      <w:r w:rsidRPr="00CD5673">
        <w:t>fund of a CCIV because of section 1237B of the Act—the ARFN of the sub</w:t>
      </w:r>
      <w:r w:rsidR="00C614F1">
        <w:noBreakHyphen/>
      </w:r>
      <w:r w:rsidRPr="00CD5673">
        <w:t>fund;</w:t>
      </w:r>
    </w:p>
    <w:p w14:paraId="7BAE9D9A" w14:textId="77777777" w:rsidR="00D46430" w:rsidRPr="00CD5673" w:rsidRDefault="00D46430" w:rsidP="00D46430">
      <w:pPr>
        <w:pStyle w:val="paragraph"/>
      </w:pPr>
      <w:r w:rsidRPr="00CD5673">
        <w:tab/>
        <w:t>(d)</w:t>
      </w:r>
      <w:r w:rsidRPr="00CD5673">
        <w:tab/>
        <w:t>the day fixed under subregulation (1).</w:t>
      </w:r>
    </w:p>
    <w:p w14:paraId="74E12610" w14:textId="77777777" w:rsidR="00D46430" w:rsidRPr="00CD5673" w:rsidRDefault="00D46430" w:rsidP="00D46430">
      <w:pPr>
        <w:pStyle w:val="SubsectionHead"/>
      </w:pPr>
      <w:r w:rsidRPr="00CD5673">
        <w:t>Failure to comply with liquidator’s requirements</w:t>
      </w:r>
    </w:p>
    <w:p w14:paraId="7C7E1D3C" w14:textId="77777777" w:rsidR="00D46430" w:rsidRPr="00CD5673" w:rsidRDefault="00D46430" w:rsidP="00D46430">
      <w:pPr>
        <w:pStyle w:val="subsection"/>
      </w:pPr>
      <w:r w:rsidRPr="00CD5673">
        <w:tab/>
        <w:t>(4)</w:t>
      </w:r>
      <w:r w:rsidRPr="00CD5673">
        <w:tab/>
        <w:t>A creditor of the company who fails to comply with a requirement of a liquidator under subregulation (1) is excluded:</w:t>
      </w:r>
    </w:p>
    <w:p w14:paraId="0D347685" w14:textId="77777777" w:rsidR="00D46430" w:rsidRPr="00CD5673" w:rsidRDefault="00D46430" w:rsidP="00D46430">
      <w:pPr>
        <w:pStyle w:val="paragraph"/>
      </w:pPr>
      <w:r w:rsidRPr="00CD5673">
        <w:tab/>
        <w:t>(a)</w:t>
      </w:r>
      <w:r w:rsidRPr="00CD5673">
        <w:tab/>
        <w:t>from the benefit of a distribution made before his or her debt or claim is admitted; and</w:t>
      </w:r>
    </w:p>
    <w:p w14:paraId="30B37933" w14:textId="77777777" w:rsidR="00D46430" w:rsidRPr="00CD5673" w:rsidRDefault="00D46430" w:rsidP="00D46430">
      <w:pPr>
        <w:pStyle w:val="paragraph"/>
      </w:pPr>
      <w:r w:rsidRPr="00CD5673">
        <w:tab/>
        <w:t>(b)</w:t>
      </w:r>
      <w:r w:rsidRPr="00CD5673">
        <w:tab/>
        <w:t>from objecting to that distribution.</w:t>
      </w:r>
    </w:p>
    <w:p w14:paraId="703D6BCC" w14:textId="77777777" w:rsidR="00D46430" w:rsidRPr="00CD5673" w:rsidRDefault="00D46430" w:rsidP="00D46430">
      <w:pPr>
        <w:pStyle w:val="notetext"/>
      </w:pPr>
      <w:r w:rsidRPr="00CD5673">
        <w:t>Note:</w:t>
      </w:r>
      <w:r w:rsidRPr="00CD5673">
        <w:tab/>
        <w:t>If Division 1 of Part 5.6 of the Act applies for a sub</w:t>
      </w:r>
      <w:r w:rsidR="00C614F1">
        <w:noBreakHyphen/>
      </w:r>
      <w:r w:rsidRPr="00CD5673">
        <w:t>fund of a CCIV because of section 1237B of the Act, that section translates most of this regulation’s references to the company so that they are references to the sub</w:t>
      </w:r>
      <w:r w:rsidR="00C614F1">
        <w:noBreakHyphen/>
      </w:r>
      <w:r w:rsidRPr="00CD5673">
        <w:t>fund.</w:t>
      </w:r>
    </w:p>
    <w:p w14:paraId="7F5D5BE1" w14:textId="77777777" w:rsidR="00D46430" w:rsidRPr="00CD5673" w:rsidRDefault="00D46430" w:rsidP="00D46430">
      <w:pPr>
        <w:pStyle w:val="ActHead5"/>
      </w:pPr>
      <w:bookmarkStart w:id="247" w:name="_Toc158711856"/>
      <w:r w:rsidRPr="00C614F1">
        <w:rPr>
          <w:rStyle w:val="CharSectno"/>
        </w:rPr>
        <w:t>5.6.49</w:t>
      </w:r>
      <w:r w:rsidRPr="00CD5673">
        <w:t xml:space="preserve">  Formal proof of debt or claim</w:t>
      </w:r>
      <w:bookmarkEnd w:id="247"/>
    </w:p>
    <w:p w14:paraId="3B9AC0CC" w14:textId="77777777" w:rsidR="00D46430" w:rsidRPr="00CD5673" w:rsidRDefault="00D46430" w:rsidP="00D46430">
      <w:pPr>
        <w:pStyle w:val="subsection"/>
      </w:pPr>
      <w:r w:rsidRPr="00CD5673">
        <w:tab/>
        <w:t>(1)</w:t>
      </w:r>
      <w:r w:rsidRPr="00CD5673">
        <w:tab/>
        <w:t>A debt or claim may be formally proved by delivering or sending by post a formal proof of debt or claim to the liquidator.</w:t>
      </w:r>
    </w:p>
    <w:p w14:paraId="3AE327E7" w14:textId="77777777" w:rsidR="00D46430" w:rsidRPr="00CD5673" w:rsidRDefault="00D46430" w:rsidP="00D46430">
      <w:pPr>
        <w:pStyle w:val="subsection"/>
      </w:pPr>
      <w:r w:rsidRPr="00CD5673">
        <w:tab/>
        <w:t>(2)</w:t>
      </w:r>
      <w:r w:rsidRPr="00CD5673">
        <w:tab/>
        <w:t>A formal proof of debt or claim:</w:t>
      </w:r>
    </w:p>
    <w:p w14:paraId="377EA1EF" w14:textId="77777777" w:rsidR="00D46430" w:rsidRPr="00CD5673" w:rsidRDefault="00D46430" w:rsidP="00D46430">
      <w:pPr>
        <w:pStyle w:val="paragraph"/>
      </w:pPr>
      <w:r w:rsidRPr="00CD5673">
        <w:tab/>
        <w:t>(a)</w:t>
      </w:r>
      <w:r w:rsidRPr="00CD5673">
        <w:tab/>
        <w:t>that is prepared and submitted in accordance with regulation 5.6.45—must be in accordance with Form 536; and</w:t>
      </w:r>
    </w:p>
    <w:p w14:paraId="10171F93" w14:textId="77777777" w:rsidR="00D46430" w:rsidRPr="00CD5673" w:rsidRDefault="00D46430" w:rsidP="00D46430">
      <w:pPr>
        <w:pStyle w:val="paragraph"/>
      </w:pPr>
      <w:r w:rsidRPr="00CD5673">
        <w:tab/>
        <w:t>(b)</w:t>
      </w:r>
      <w:r w:rsidRPr="00CD5673">
        <w:tab/>
        <w:t>in any other case—must be in accordance with Form 535.</w:t>
      </w:r>
    </w:p>
    <w:p w14:paraId="62230465" w14:textId="77777777" w:rsidR="00D46430" w:rsidRPr="00CD5673" w:rsidRDefault="00D46430" w:rsidP="00D46430">
      <w:pPr>
        <w:pStyle w:val="ActHead5"/>
      </w:pPr>
      <w:bookmarkStart w:id="248" w:name="_Toc158711857"/>
      <w:r w:rsidRPr="00C614F1">
        <w:rPr>
          <w:rStyle w:val="CharSectno"/>
        </w:rPr>
        <w:lastRenderedPageBreak/>
        <w:t>5.6.50</w:t>
      </w:r>
      <w:r w:rsidRPr="00CD5673">
        <w:t xml:space="preserve">  Contents of formal proof of debt or claim</w:t>
      </w:r>
      <w:bookmarkEnd w:id="248"/>
    </w:p>
    <w:p w14:paraId="746C8728" w14:textId="77777777" w:rsidR="00D46430" w:rsidRPr="00CD5673" w:rsidRDefault="00D46430" w:rsidP="00D46430">
      <w:pPr>
        <w:pStyle w:val="subsection"/>
      </w:pPr>
      <w:r w:rsidRPr="00CD5673">
        <w:tab/>
        <w:t>(1)</w:t>
      </w:r>
      <w:r w:rsidRPr="00CD5673">
        <w:tab/>
        <w:t>A formal proof of debt or claim must:</w:t>
      </w:r>
    </w:p>
    <w:p w14:paraId="0289FC07" w14:textId="77777777" w:rsidR="00D46430" w:rsidRPr="00CD5673" w:rsidRDefault="00D46430" w:rsidP="00D46430">
      <w:pPr>
        <w:pStyle w:val="paragraph"/>
      </w:pPr>
      <w:r w:rsidRPr="00CD5673">
        <w:tab/>
        <w:t>(a)</w:t>
      </w:r>
      <w:r w:rsidRPr="00CD5673">
        <w:tab/>
        <w:t>contain detailed particulars of the debt or claim sought to be proved; and</w:t>
      </w:r>
    </w:p>
    <w:p w14:paraId="02963AA4" w14:textId="77777777" w:rsidR="00D46430" w:rsidRPr="00CD5673" w:rsidRDefault="00D46430" w:rsidP="00D46430">
      <w:pPr>
        <w:pStyle w:val="paragraph"/>
      </w:pPr>
      <w:r w:rsidRPr="00CD5673">
        <w:tab/>
        <w:t>(b)</w:t>
      </w:r>
      <w:r w:rsidRPr="00CD5673">
        <w:tab/>
        <w:t>in the case of a debt, include a statement of account; and</w:t>
      </w:r>
    </w:p>
    <w:p w14:paraId="58544B7E" w14:textId="77777777" w:rsidR="00D46430" w:rsidRPr="00CD5673" w:rsidRDefault="00D46430" w:rsidP="00D46430">
      <w:pPr>
        <w:pStyle w:val="paragraph"/>
      </w:pPr>
      <w:r w:rsidRPr="00CD5673">
        <w:tab/>
        <w:t>(c)</w:t>
      </w:r>
      <w:r w:rsidRPr="00CD5673">
        <w:tab/>
        <w:t>specify the vouchers (if any) by which the statement can be substantiated.</w:t>
      </w:r>
    </w:p>
    <w:p w14:paraId="34E10E2A" w14:textId="77777777" w:rsidR="00D46430" w:rsidRPr="00CD5673" w:rsidRDefault="00D46430" w:rsidP="00D46430">
      <w:pPr>
        <w:pStyle w:val="subsection"/>
      </w:pPr>
      <w:r w:rsidRPr="00CD5673">
        <w:tab/>
        <w:t>(2)</w:t>
      </w:r>
      <w:r w:rsidRPr="00CD5673">
        <w:tab/>
        <w:t>The liquidator may at any time call for the production of the vouchers mentioned in subregulation (1).</w:t>
      </w:r>
    </w:p>
    <w:p w14:paraId="38E93AF3" w14:textId="77777777" w:rsidR="00D46430" w:rsidRPr="00CD5673" w:rsidRDefault="00D46430" w:rsidP="00D46430">
      <w:pPr>
        <w:pStyle w:val="ActHead5"/>
      </w:pPr>
      <w:bookmarkStart w:id="249" w:name="_Toc158711858"/>
      <w:r w:rsidRPr="00C614F1">
        <w:rPr>
          <w:rStyle w:val="CharSectno"/>
        </w:rPr>
        <w:t>5.6.51</w:t>
      </w:r>
      <w:r w:rsidRPr="00CD5673">
        <w:t xml:space="preserve">  Costs of proof</w:t>
      </w:r>
      <w:bookmarkEnd w:id="249"/>
    </w:p>
    <w:p w14:paraId="66874003" w14:textId="77777777" w:rsidR="00D46430" w:rsidRPr="00CD5673" w:rsidRDefault="00D46430" w:rsidP="00D46430">
      <w:pPr>
        <w:pStyle w:val="subsection"/>
      </w:pPr>
      <w:r w:rsidRPr="00CD5673">
        <w:tab/>
      </w:r>
      <w:r w:rsidRPr="00CD5673">
        <w:tab/>
        <w:t>A creditor must bear the cost:</w:t>
      </w:r>
    </w:p>
    <w:p w14:paraId="6DAF94B8" w14:textId="77777777" w:rsidR="00D46430" w:rsidRPr="00CD5673" w:rsidRDefault="00D46430" w:rsidP="00D46430">
      <w:pPr>
        <w:pStyle w:val="paragraph"/>
      </w:pPr>
      <w:r w:rsidRPr="00CD5673">
        <w:tab/>
        <w:t>(a)</w:t>
      </w:r>
      <w:r w:rsidRPr="00CD5673">
        <w:tab/>
        <w:t>of proving his or her debt or claim; or</w:t>
      </w:r>
    </w:p>
    <w:p w14:paraId="03E94AB0" w14:textId="77777777" w:rsidR="00D46430" w:rsidRPr="00CD5673" w:rsidRDefault="00D46430" w:rsidP="00D46430">
      <w:pPr>
        <w:pStyle w:val="paragraph"/>
      </w:pPr>
      <w:r w:rsidRPr="00CD5673">
        <w:tab/>
        <w:t>(b)</w:t>
      </w:r>
      <w:r w:rsidRPr="00CD5673">
        <w:tab/>
        <w:t>of amending a proof of debt or claim;</w:t>
      </w:r>
    </w:p>
    <w:p w14:paraId="27E2EE86" w14:textId="77777777" w:rsidR="00D46430" w:rsidRPr="00CD5673" w:rsidRDefault="00D46430" w:rsidP="00D46430">
      <w:pPr>
        <w:pStyle w:val="subsection2"/>
      </w:pPr>
      <w:r w:rsidRPr="00CD5673">
        <w:t>unless the Court otherwise orders.</w:t>
      </w:r>
    </w:p>
    <w:p w14:paraId="47E54114" w14:textId="77777777" w:rsidR="00D46430" w:rsidRPr="00CD5673" w:rsidRDefault="00D46430" w:rsidP="00D46430">
      <w:pPr>
        <w:pStyle w:val="ActHead5"/>
      </w:pPr>
      <w:bookmarkStart w:id="250" w:name="_Toc158711859"/>
      <w:r w:rsidRPr="00C614F1">
        <w:rPr>
          <w:rStyle w:val="CharSectno"/>
        </w:rPr>
        <w:t>5.6.52</w:t>
      </w:r>
      <w:r w:rsidRPr="00CD5673">
        <w:t xml:space="preserve">  Liquidator to notify receipt of proof of debt or claim</w:t>
      </w:r>
      <w:bookmarkEnd w:id="250"/>
    </w:p>
    <w:p w14:paraId="40FE7129" w14:textId="77777777" w:rsidR="00D46430" w:rsidRPr="00CD5673" w:rsidRDefault="00D46430" w:rsidP="00D46430">
      <w:pPr>
        <w:pStyle w:val="subsection"/>
      </w:pPr>
      <w:r w:rsidRPr="00CD5673">
        <w:tab/>
      </w:r>
      <w:r w:rsidRPr="00CD5673">
        <w:tab/>
        <w:t>If a liquidator is requested to do so by the person submitting a proof of debt or claim, the liquidator must notify that person of the receipt of the proof and whether or not it has been admitted under regulation 5.6.47.</w:t>
      </w:r>
    </w:p>
    <w:p w14:paraId="7C480403" w14:textId="77777777" w:rsidR="00D46430" w:rsidRPr="00CD5673" w:rsidRDefault="00D46430" w:rsidP="00D46430">
      <w:pPr>
        <w:pStyle w:val="ActHead5"/>
      </w:pPr>
      <w:bookmarkStart w:id="251" w:name="_Toc158711860"/>
      <w:r w:rsidRPr="00C614F1">
        <w:rPr>
          <w:rStyle w:val="CharSectno"/>
        </w:rPr>
        <w:t>5.6.53</w:t>
      </w:r>
      <w:r w:rsidRPr="00CD5673">
        <w:t xml:space="preserve">  Time for liquidator to deal with proofs</w:t>
      </w:r>
      <w:bookmarkEnd w:id="251"/>
    </w:p>
    <w:p w14:paraId="71CEEA49" w14:textId="77777777" w:rsidR="00D46430" w:rsidRPr="00CD5673" w:rsidRDefault="00D46430" w:rsidP="00D46430">
      <w:pPr>
        <w:pStyle w:val="subsection"/>
      </w:pPr>
      <w:r w:rsidRPr="00CD5673">
        <w:tab/>
        <w:t>(1)</w:t>
      </w:r>
      <w:r w:rsidRPr="00CD5673">
        <w:tab/>
        <w:t>A liquidator must, within:</w:t>
      </w:r>
    </w:p>
    <w:p w14:paraId="29FEF4D2" w14:textId="77777777" w:rsidR="00D46430" w:rsidRPr="00CD5673" w:rsidRDefault="00D46430" w:rsidP="00D46430">
      <w:pPr>
        <w:pStyle w:val="paragraph"/>
      </w:pPr>
      <w:r w:rsidRPr="00CD5673">
        <w:tab/>
        <w:t>(a)</w:t>
      </w:r>
      <w:r w:rsidRPr="00CD5673">
        <w:tab/>
        <w:t>28 days after receiving a request in writing from a creditor to do so; or</w:t>
      </w:r>
    </w:p>
    <w:p w14:paraId="3502F155" w14:textId="77777777" w:rsidR="00D46430" w:rsidRPr="00CD5673" w:rsidRDefault="00D46430" w:rsidP="00D46430">
      <w:pPr>
        <w:pStyle w:val="paragraph"/>
        <w:keepNext/>
        <w:keepLines/>
      </w:pPr>
      <w:r w:rsidRPr="00CD5673">
        <w:tab/>
        <w:t>(b)</w:t>
      </w:r>
      <w:r w:rsidRPr="00CD5673">
        <w:tab/>
        <w:t>if ASIC allows—any further period;</w:t>
      </w:r>
    </w:p>
    <w:p w14:paraId="4CF129F0" w14:textId="77777777" w:rsidR="00D46430" w:rsidRPr="00CD5673" w:rsidRDefault="00D46430" w:rsidP="00D46430">
      <w:pPr>
        <w:pStyle w:val="subsection2"/>
      </w:pPr>
      <w:r w:rsidRPr="00CD5673">
        <w:t>in writing:</w:t>
      </w:r>
    </w:p>
    <w:p w14:paraId="5AE2B0C8" w14:textId="77777777" w:rsidR="00D46430" w:rsidRPr="00CD5673" w:rsidRDefault="00D46430" w:rsidP="00D46430">
      <w:pPr>
        <w:pStyle w:val="paragraph"/>
      </w:pPr>
      <w:r w:rsidRPr="00CD5673">
        <w:tab/>
        <w:t>(c)</w:t>
      </w:r>
      <w:r w:rsidRPr="00CD5673">
        <w:tab/>
        <w:t>admit all or part of the formal proof of debt or claim submitted by the creditor; or</w:t>
      </w:r>
    </w:p>
    <w:p w14:paraId="45A4C545" w14:textId="77777777" w:rsidR="00D46430" w:rsidRPr="00CD5673" w:rsidRDefault="00D46430" w:rsidP="00D46430">
      <w:pPr>
        <w:pStyle w:val="paragraph"/>
      </w:pPr>
      <w:r w:rsidRPr="00CD5673">
        <w:tab/>
        <w:t>(d)</w:t>
      </w:r>
      <w:r w:rsidRPr="00CD5673">
        <w:tab/>
        <w:t>reject all or part of the formal proof of debt or claim; or</w:t>
      </w:r>
    </w:p>
    <w:p w14:paraId="5D30AF06" w14:textId="77777777" w:rsidR="00D46430" w:rsidRPr="00CD5673" w:rsidRDefault="00D46430" w:rsidP="00D46430">
      <w:pPr>
        <w:pStyle w:val="paragraph"/>
      </w:pPr>
      <w:r w:rsidRPr="00CD5673">
        <w:tab/>
        <w:t>(e)</w:t>
      </w:r>
      <w:r w:rsidRPr="00CD5673">
        <w:tab/>
        <w:t>require further evidence in support of it.</w:t>
      </w:r>
    </w:p>
    <w:p w14:paraId="2FB7538B" w14:textId="77777777" w:rsidR="00D46430" w:rsidRPr="00CD5673" w:rsidRDefault="00D46430" w:rsidP="00D46430">
      <w:pPr>
        <w:pStyle w:val="subsection"/>
      </w:pPr>
      <w:r w:rsidRPr="00CD5673">
        <w:tab/>
        <w:t>(2)</w:t>
      </w:r>
      <w:r w:rsidRPr="00CD5673">
        <w:tab/>
        <w:t>If the liquidator does not deal with a request under subregulation (1) in accordance with that subregulation, the creditor who submitted the proof may apply to the Court for a decision in respect of it.</w:t>
      </w:r>
    </w:p>
    <w:p w14:paraId="270CD796" w14:textId="77777777" w:rsidR="00D46430" w:rsidRPr="00CD5673" w:rsidRDefault="00D46430" w:rsidP="00D46430">
      <w:pPr>
        <w:pStyle w:val="subsection"/>
      </w:pPr>
      <w:r w:rsidRPr="00CD5673">
        <w:tab/>
        <w:t>(3)</w:t>
      </w:r>
      <w:r w:rsidRPr="00CD5673">
        <w:tab/>
        <w:t>If the liquidator gives notice in writing to a creditor that further evidence is required in support of the formal proof of debt or claim submitted by the creditor under subregulation (1), the period mentioned in that subregulation is taken not to have begun to run until the day on which the liquidator receives a sufficient written answer to his or her notice.</w:t>
      </w:r>
    </w:p>
    <w:p w14:paraId="32B75209" w14:textId="77777777" w:rsidR="00D46430" w:rsidRPr="00CD5673" w:rsidRDefault="00D46430" w:rsidP="00D46430">
      <w:pPr>
        <w:pStyle w:val="ActHead5"/>
      </w:pPr>
      <w:bookmarkStart w:id="252" w:name="_Toc158711861"/>
      <w:r w:rsidRPr="00C614F1">
        <w:rPr>
          <w:rStyle w:val="CharSectno"/>
        </w:rPr>
        <w:t>5.6.54</w:t>
      </w:r>
      <w:r w:rsidRPr="00CD5673">
        <w:t xml:space="preserve">  Grounds of rejection and notice to creditor</w:t>
      </w:r>
      <w:bookmarkEnd w:id="252"/>
    </w:p>
    <w:p w14:paraId="3DD2F41E" w14:textId="77777777" w:rsidR="00D46430" w:rsidRPr="00CD5673" w:rsidRDefault="00D46430" w:rsidP="00D46430">
      <w:pPr>
        <w:pStyle w:val="subsection"/>
      </w:pPr>
      <w:r w:rsidRPr="00CD5673">
        <w:tab/>
        <w:t>(1)</w:t>
      </w:r>
      <w:r w:rsidRPr="00CD5673">
        <w:tab/>
        <w:t>Within 7 days after the liquidator has rejected all or part of a formal proof of debt or claim, the liquidator must:</w:t>
      </w:r>
    </w:p>
    <w:p w14:paraId="60EBFC5C" w14:textId="77777777" w:rsidR="00D46430" w:rsidRPr="00CD5673" w:rsidRDefault="00D46430" w:rsidP="00D46430">
      <w:pPr>
        <w:pStyle w:val="paragraph"/>
      </w:pPr>
      <w:r w:rsidRPr="00CD5673">
        <w:tab/>
        <w:t>(a)</w:t>
      </w:r>
      <w:r w:rsidRPr="00CD5673">
        <w:tab/>
        <w:t>notify the creditor of the grounds for that rejection in accordance with Form 537; and</w:t>
      </w:r>
    </w:p>
    <w:p w14:paraId="583D50FA" w14:textId="77777777" w:rsidR="00D46430" w:rsidRPr="00CD5673" w:rsidRDefault="00D46430" w:rsidP="00D46430">
      <w:pPr>
        <w:pStyle w:val="paragraph"/>
      </w:pPr>
      <w:r w:rsidRPr="00CD5673">
        <w:tab/>
        <w:t>(b)</w:t>
      </w:r>
      <w:r w:rsidRPr="00CD5673">
        <w:tab/>
        <w:t>give notice to the creditor at the same time:</w:t>
      </w:r>
    </w:p>
    <w:p w14:paraId="435874D1" w14:textId="77777777" w:rsidR="00D46430" w:rsidRPr="00CD5673" w:rsidRDefault="00D46430" w:rsidP="00D46430">
      <w:pPr>
        <w:pStyle w:val="paragraphsub"/>
      </w:pPr>
      <w:r w:rsidRPr="00CD5673">
        <w:tab/>
        <w:t>(i)</w:t>
      </w:r>
      <w:r w:rsidRPr="00CD5673">
        <w:tab/>
        <w:t>that the creditor may appeal to the Court against the rejection within the time specified in the notice, being not less than 14 days after service of the notice, or such further period as the Court allows; and</w:t>
      </w:r>
    </w:p>
    <w:p w14:paraId="33864247" w14:textId="77777777" w:rsidR="00D46430" w:rsidRPr="00CD5673" w:rsidRDefault="00D46430" w:rsidP="00D46430">
      <w:pPr>
        <w:pStyle w:val="paragraphsub"/>
      </w:pPr>
      <w:r w:rsidRPr="00CD5673">
        <w:tab/>
        <w:t>(ii)</w:t>
      </w:r>
      <w:r w:rsidRPr="00CD5673">
        <w:tab/>
        <w:t>that unless the creditor appeals in accordance with subparagraph (i), the amount of his or her debt or claim will be assessed in accordance with the liquidator’s endorsement on the creditor’s proof.</w:t>
      </w:r>
    </w:p>
    <w:p w14:paraId="40A97B27" w14:textId="77777777" w:rsidR="00D46430" w:rsidRPr="00CD5673" w:rsidRDefault="00D46430" w:rsidP="00D46430">
      <w:pPr>
        <w:pStyle w:val="subsection"/>
      </w:pPr>
      <w:r w:rsidRPr="00CD5673">
        <w:tab/>
        <w:t>(2)</w:t>
      </w:r>
      <w:r w:rsidRPr="00CD5673">
        <w:tab/>
        <w:t>A person may appeal against the rejection of a formal proof of debt or claim within:</w:t>
      </w:r>
    </w:p>
    <w:p w14:paraId="40E66D72" w14:textId="77777777" w:rsidR="00D46430" w:rsidRPr="00CD5673" w:rsidRDefault="00D46430" w:rsidP="00D46430">
      <w:pPr>
        <w:pStyle w:val="paragraph"/>
      </w:pPr>
      <w:r w:rsidRPr="00CD5673">
        <w:tab/>
        <w:t>(a)</w:t>
      </w:r>
      <w:r w:rsidRPr="00CD5673">
        <w:tab/>
        <w:t>the time specified in the notice of the grounds of rejection; or</w:t>
      </w:r>
    </w:p>
    <w:p w14:paraId="630185EE" w14:textId="77777777" w:rsidR="00D46430" w:rsidRPr="00CD5673" w:rsidRDefault="00D46430" w:rsidP="00D46430">
      <w:pPr>
        <w:pStyle w:val="paragraph"/>
      </w:pPr>
      <w:r w:rsidRPr="00CD5673">
        <w:tab/>
        <w:t>(b)</w:t>
      </w:r>
      <w:r w:rsidRPr="00CD5673">
        <w:tab/>
        <w:t>if the Court allows—any further period.</w:t>
      </w:r>
    </w:p>
    <w:p w14:paraId="4C7BDB4B" w14:textId="77777777" w:rsidR="00D46430" w:rsidRPr="00CD5673" w:rsidRDefault="00D46430" w:rsidP="00D46430">
      <w:pPr>
        <w:pStyle w:val="subsection"/>
      </w:pPr>
      <w:r w:rsidRPr="00CD5673">
        <w:tab/>
        <w:t>(3)</w:t>
      </w:r>
      <w:r w:rsidRPr="00CD5673">
        <w:tab/>
        <w:t>The Court may extend the time for filing an appeal under subregulation (2), even if the period specified in the notice has expired.</w:t>
      </w:r>
    </w:p>
    <w:p w14:paraId="4698B24C" w14:textId="77777777" w:rsidR="00D46430" w:rsidRPr="00CD5673" w:rsidRDefault="00D46430" w:rsidP="00D46430">
      <w:pPr>
        <w:pStyle w:val="subsection"/>
      </w:pPr>
      <w:r w:rsidRPr="00CD5673">
        <w:tab/>
        <w:t>(4)</w:t>
      </w:r>
      <w:r w:rsidRPr="00CD5673">
        <w:tab/>
        <w:t>If the liquidator has admitted a formal proof of debt or claim, the notice of dividend is sufficient notice of the admission.</w:t>
      </w:r>
    </w:p>
    <w:p w14:paraId="6AFCF695" w14:textId="77777777" w:rsidR="00D46430" w:rsidRPr="00CD5673" w:rsidRDefault="00D46430" w:rsidP="00D46430">
      <w:pPr>
        <w:pStyle w:val="ActHead5"/>
      </w:pPr>
      <w:bookmarkStart w:id="253" w:name="_Toc158711862"/>
      <w:r w:rsidRPr="00C614F1">
        <w:rPr>
          <w:rStyle w:val="CharSectno"/>
        </w:rPr>
        <w:lastRenderedPageBreak/>
        <w:t>5.6.55</w:t>
      </w:r>
      <w:r w:rsidRPr="00CD5673">
        <w:t xml:space="preserve">  Revocation or amendment of decision of liquidator</w:t>
      </w:r>
      <w:bookmarkEnd w:id="253"/>
    </w:p>
    <w:p w14:paraId="058C9E54" w14:textId="77777777" w:rsidR="00D46430" w:rsidRPr="00CD5673" w:rsidRDefault="00D46430" w:rsidP="00D46430">
      <w:pPr>
        <w:pStyle w:val="subsection"/>
      </w:pPr>
      <w:r w:rsidRPr="00CD5673">
        <w:tab/>
        <w:t>(1)</w:t>
      </w:r>
      <w:r w:rsidRPr="00CD5673">
        <w:tab/>
        <w:t>If the liquidator considers that a proof of debt or claim has been wrongly admitted, the liquidator may:</w:t>
      </w:r>
    </w:p>
    <w:p w14:paraId="7EA2BB14" w14:textId="77777777" w:rsidR="00D46430" w:rsidRPr="00CD5673" w:rsidRDefault="00D46430" w:rsidP="00D46430">
      <w:pPr>
        <w:pStyle w:val="paragraph"/>
      </w:pPr>
      <w:r w:rsidRPr="00CD5673">
        <w:tab/>
        <w:t>(a)</w:t>
      </w:r>
      <w:r w:rsidRPr="00CD5673">
        <w:tab/>
        <w:t>revoke the decision to admit the proof and reject all of it; or</w:t>
      </w:r>
    </w:p>
    <w:p w14:paraId="43EFE1CE" w14:textId="77777777" w:rsidR="00D46430" w:rsidRPr="00CD5673" w:rsidRDefault="00D46430" w:rsidP="00D46430">
      <w:pPr>
        <w:pStyle w:val="paragraph"/>
      </w:pPr>
      <w:r w:rsidRPr="00CD5673">
        <w:tab/>
        <w:t>(b)</w:t>
      </w:r>
      <w:r w:rsidRPr="00CD5673">
        <w:tab/>
        <w:t>amend the decision to admit the proof by increasing or reducing the amount of the admitted debt or claim.</w:t>
      </w:r>
    </w:p>
    <w:p w14:paraId="64B67945" w14:textId="77777777" w:rsidR="00D46430" w:rsidRPr="00CD5673" w:rsidRDefault="00D46430" w:rsidP="00D46430">
      <w:pPr>
        <w:pStyle w:val="subsection"/>
      </w:pPr>
      <w:r w:rsidRPr="00CD5673">
        <w:tab/>
        <w:t>(2)</w:t>
      </w:r>
      <w:r w:rsidRPr="00CD5673">
        <w:tab/>
        <w:t>If the liquidator considers that all of a proof of debt or claim has been wrongly rejected, the liquidator may:</w:t>
      </w:r>
    </w:p>
    <w:p w14:paraId="47573950" w14:textId="77777777" w:rsidR="00D46430" w:rsidRPr="00CD5673" w:rsidRDefault="00D46430" w:rsidP="00D46430">
      <w:pPr>
        <w:pStyle w:val="paragraph"/>
      </w:pPr>
      <w:r w:rsidRPr="00CD5673">
        <w:tab/>
        <w:t>(a)</w:t>
      </w:r>
      <w:r w:rsidRPr="00CD5673">
        <w:tab/>
        <w:t>revoke the decision to reject the proof of debt or claim; and</w:t>
      </w:r>
    </w:p>
    <w:p w14:paraId="783E8574" w14:textId="77777777" w:rsidR="00D46430" w:rsidRPr="00CD5673" w:rsidRDefault="00D46430" w:rsidP="00D46430">
      <w:pPr>
        <w:pStyle w:val="paragraph"/>
      </w:pPr>
      <w:r w:rsidRPr="00CD5673">
        <w:tab/>
        <w:t>(b)</w:t>
      </w:r>
      <w:r w:rsidRPr="00CD5673">
        <w:tab/>
        <w:t>admit all of the proof or admit part of it and reject part of it.</w:t>
      </w:r>
    </w:p>
    <w:p w14:paraId="1192B9B7" w14:textId="77777777" w:rsidR="00D46430" w:rsidRPr="00CD5673" w:rsidRDefault="00D46430" w:rsidP="00D46430">
      <w:pPr>
        <w:pStyle w:val="subsection"/>
      </w:pPr>
      <w:r w:rsidRPr="00CD5673">
        <w:tab/>
        <w:t>(3)</w:t>
      </w:r>
      <w:r w:rsidRPr="00CD5673">
        <w:tab/>
        <w:t>If the liquidator:</w:t>
      </w:r>
    </w:p>
    <w:p w14:paraId="44EB5DA6" w14:textId="77777777" w:rsidR="00D46430" w:rsidRPr="00CD5673" w:rsidRDefault="00D46430" w:rsidP="00D46430">
      <w:pPr>
        <w:pStyle w:val="paragraph"/>
      </w:pPr>
      <w:r w:rsidRPr="00CD5673">
        <w:tab/>
        <w:t>(a)</w:t>
      </w:r>
      <w:r w:rsidRPr="00CD5673">
        <w:tab/>
        <w:t>revokes a decision to admit a proof of debt or claim and rejects all of it; or</w:t>
      </w:r>
    </w:p>
    <w:p w14:paraId="14747DAD" w14:textId="77777777" w:rsidR="00D46430" w:rsidRPr="00CD5673" w:rsidRDefault="00D46430" w:rsidP="00D46430">
      <w:pPr>
        <w:pStyle w:val="paragraph"/>
      </w:pPr>
      <w:r w:rsidRPr="00CD5673">
        <w:tab/>
        <w:t>(b)</w:t>
      </w:r>
      <w:r w:rsidRPr="00CD5673">
        <w:tab/>
        <w:t>amends that decision by reducing the amount of the admitted debt or claim;</w:t>
      </w:r>
    </w:p>
    <w:p w14:paraId="54061D8E" w14:textId="77777777" w:rsidR="00D46430" w:rsidRPr="00CD5673" w:rsidRDefault="00D46430" w:rsidP="00D46430">
      <w:pPr>
        <w:pStyle w:val="subsection2"/>
      </w:pPr>
      <w:r w:rsidRPr="00CD5673">
        <w:t>the liquidator must inform the creditor by whom it was lodged, in writing, of his or her grounds for the revocation or amendment.</w:t>
      </w:r>
    </w:p>
    <w:p w14:paraId="09A8A3E9" w14:textId="77777777" w:rsidR="00D46430" w:rsidRPr="00CD5673" w:rsidRDefault="00D46430" w:rsidP="00D46430">
      <w:pPr>
        <w:pStyle w:val="subsection"/>
      </w:pPr>
      <w:r w:rsidRPr="00CD5673">
        <w:tab/>
        <w:t>(4)</w:t>
      </w:r>
      <w:r w:rsidRPr="00CD5673">
        <w:tab/>
        <w:t>If the liquidator revokes a decision to admit a proof of debt or claim and rejects all of it, or amends that decision by reducing the amount of the admitted debt or claim, the creditor must at once repay to the liquidator:</w:t>
      </w:r>
    </w:p>
    <w:p w14:paraId="25A4D486" w14:textId="77777777" w:rsidR="00D46430" w:rsidRPr="00CD5673" w:rsidRDefault="00D46430" w:rsidP="00D46430">
      <w:pPr>
        <w:pStyle w:val="paragraph"/>
      </w:pPr>
      <w:r w:rsidRPr="00CD5673">
        <w:tab/>
        <w:t>(a)</w:t>
      </w:r>
      <w:r w:rsidRPr="00CD5673">
        <w:tab/>
        <w:t>the amount received as dividend for the proof; or</w:t>
      </w:r>
    </w:p>
    <w:p w14:paraId="3F79D8F8" w14:textId="77777777" w:rsidR="00D46430" w:rsidRPr="00CD5673" w:rsidRDefault="00D46430" w:rsidP="00D46430">
      <w:pPr>
        <w:pStyle w:val="paragraph"/>
      </w:pPr>
      <w:r w:rsidRPr="00CD5673">
        <w:tab/>
        <w:t>(b)</w:t>
      </w:r>
      <w:r w:rsidRPr="00CD5673">
        <w:tab/>
        <w:t>the amount received as dividend that exceeds the amount that the creditor would have been entitled to receive if his or her debt or claim had been originally admitted for the reduced amount.</w:t>
      </w:r>
    </w:p>
    <w:p w14:paraId="40857617" w14:textId="77777777" w:rsidR="00D46430" w:rsidRPr="00CD5673" w:rsidRDefault="00D46430" w:rsidP="00D46430">
      <w:pPr>
        <w:pStyle w:val="subsection"/>
      </w:pPr>
      <w:r w:rsidRPr="00CD5673">
        <w:tab/>
        <w:t>(5)</w:t>
      </w:r>
      <w:r w:rsidRPr="00CD5673">
        <w:tab/>
        <w:t>If the liquidator:</w:t>
      </w:r>
    </w:p>
    <w:p w14:paraId="5B101B95" w14:textId="77777777" w:rsidR="00D46430" w:rsidRPr="00CD5673" w:rsidRDefault="00D46430" w:rsidP="00D46430">
      <w:pPr>
        <w:pStyle w:val="paragraph"/>
      </w:pPr>
      <w:r w:rsidRPr="00CD5673">
        <w:tab/>
        <w:t>(a)</w:t>
      </w:r>
      <w:r w:rsidRPr="00CD5673">
        <w:tab/>
        <w:t>revokes a decision to reject all of a proof of debt or claim; or</w:t>
      </w:r>
    </w:p>
    <w:p w14:paraId="13FF0B0F" w14:textId="77777777" w:rsidR="00D46430" w:rsidRPr="00CD5673" w:rsidRDefault="00D46430" w:rsidP="00D46430">
      <w:pPr>
        <w:pStyle w:val="paragraph"/>
      </w:pPr>
      <w:r w:rsidRPr="00CD5673">
        <w:tab/>
        <w:t>(b)</w:t>
      </w:r>
      <w:r w:rsidRPr="00CD5673">
        <w:tab/>
        <w:t>amends a decision to admit part of a proof of debt or claim;</w:t>
      </w:r>
    </w:p>
    <w:p w14:paraId="3A57EF74" w14:textId="77777777" w:rsidR="00D46430" w:rsidRPr="00CD5673" w:rsidRDefault="00D46430" w:rsidP="00D46430">
      <w:pPr>
        <w:pStyle w:val="subsection2"/>
      </w:pPr>
      <w:r w:rsidRPr="00CD5673">
        <w:t>by increasing the amount of the admitted debt or claim, the creditor by whom it was lodged is entitled to be paid, out of available money for the time being in the hands of the liquidator:</w:t>
      </w:r>
    </w:p>
    <w:p w14:paraId="5A8A0709" w14:textId="77777777" w:rsidR="00D46430" w:rsidRPr="00CD5673" w:rsidRDefault="00D46430" w:rsidP="00D46430">
      <w:pPr>
        <w:pStyle w:val="paragraph"/>
      </w:pPr>
      <w:r w:rsidRPr="00CD5673">
        <w:tab/>
        <w:t>(c)</w:t>
      </w:r>
      <w:r w:rsidRPr="00CD5673">
        <w:tab/>
        <w:t>the dividend; or</w:t>
      </w:r>
    </w:p>
    <w:p w14:paraId="7C3CD290" w14:textId="77777777" w:rsidR="00D46430" w:rsidRPr="00CD5673" w:rsidRDefault="00D46430" w:rsidP="00D46430">
      <w:pPr>
        <w:pStyle w:val="paragraph"/>
      </w:pPr>
      <w:r w:rsidRPr="00CD5673">
        <w:tab/>
        <w:t>(d)</w:t>
      </w:r>
      <w:r w:rsidRPr="00CD5673">
        <w:tab/>
        <w:t>an additional amount of dividend;</w:t>
      </w:r>
    </w:p>
    <w:p w14:paraId="4466C68A" w14:textId="77777777" w:rsidR="00D46430" w:rsidRPr="00CD5673" w:rsidRDefault="00D46430" w:rsidP="00D46430">
      <w:pPr>
        <w:pStyle w:val="subsection2"/>
      </w:pPr>
      <w:r w:rsidRPr="00CD5673">
        <w:t>that the creditor would have been entitled to receive if all of the debt or claim had been originally admitted, or the increased amount had been admitted, before the available money is applied to pay a further dividend.</w:t>
      </w:r>
    </w:p>
    <w:p w14:paraId="35DB6916" w14:textId="77777777" w:rsidR="00D46430" w:rsidRPr="00CD5673" w:rsidRDefault="00D46430" w:rsidP="00D46430">
      <w:pPr>
        <w:pStyle w:val="subsection"/>
      </w:pPr>
      <w:r w:rsidRPr="00CD5673">
        <w:tab/>
        <w:t>(6)</w:t>
      </w:r>
      <w:r w:rsidRPr="00CD5673">
        <w:tab/>
        <w:t>The creditor is not entitled to disturb the distribution of any dividends declared before the liquidator revoked or amended the decision.</w:t>
      </w:r>
    </w:p>
    <w:p w14:paraId="3D5B3960" w14:textId="77777777" w:rsidR="00D46430" w:rsidRPr="00CD5673" w:rsidRDefault="00D46430" w:rsidP="00D46430">
      <w:pPr>
        <w:pStyle w:val="ActHead5"/>
      </w:pPr>
      <w:bookmarkStart w:id="254" w:name="_Toc158711863"/>
      <w:r w:rsidRPr="00C614F1">
        <w:rPr>
          <w:rStyle w:val="CharSectno"/>
        </w:rPr>
        <w:t>5.6.56</w:t>
      </w:r>
      <w:r w:rsidRPr="00CD5673">
        <w:t xml:space="preserve">  Withdrawal or variation of proof of debt or claim</w:t>
      </w:r>
      <w:bookmarkEnd w:id="254"/>
    </w:p>
    <w:p w14:paraId="6FB4DD2E" w14:textId="77777777" w:rsidR="00D46430" w:rsidRPr="00CD5673" w:rsidRDefault="00D46430" w:rsidP="00D46430">
      <w:pPr>
        <w:pStyle w:val="subsection"/>
      </w:pPr>
      <w:r w:rsidRPr="00CD5673">
        <w:tab/>
      </w:r>
      <w:r w:rsidRPr="00CD5673">
        <w:tab/>
        <w:t>A proof of debt or claim may be withdrawn, reduced or varied by a creditor with the consent of the liquidator.</w:t>
      </w:r>
    </w:p>
    <w:p w14:paraId="08962E97" w14:textId="77777777" w:rsidR="00D46430" w:rsidRPr="00CD5673" w:rsidRDefault="00D46430" w:rsidP="00D46430">
      <w:pPr>
        <w:pStyle w:val="ActHead5"/>
      </w:pPr>
      <w:bookmarkStart w:id="255" w:name="_Toc158711864"/>
      <w:r w:rsidRPr="00C614F1">
        <w:rPr>
          <w:rStyle w:val="CharSectno"/>
        </w:rPr>
        <w:t>5.6.57</w:t>
      </w:r>
      <w:r w:rsidRPr="00CD5673">
        <w:t xml:space="preserve">  Oaths</w:t>
      </w:r>
      <w:bookmarkEnd w:id="255"/>
    </w:p>
    <w:p w14:paraId="04861A85" w14:textId="77777777" w:rsidR="00D46430" w:rsidRPr="00CD5673" w:rsidRDefault="00D46430" w:rsidP="00D46430">
      <w:pPr>
        <w:pStyle w:val="subsection"/>
        <w:keepNext/>
        <w:keepLines/>
      </w:pPr>
      <w:r w:rsidRPr="00CD5673">
        <w:tab/>
      </w:r>
      <w:r w:rsidRPr="00CD5673">
        <w:tab/>
        <w:t>The liquidator in a winding up by the Court may:</w:t>
      </w:r>
    </w:p>
    <w:p w14:paraId="27B4149E" w14:textId="77777777" w:rsidR="00D46430" w:rsidRPr="00CD5673" w:rsidRDefault="00D46430" w:rsidP="00D46430">
      <w:pPr>
        <w:pStyle w:val="paragraph"/>
      </w:pPr>
      <w:r w:rsidRPr="00CD5673">
        <w:tab/>
        <w:t>(a)</w:t>
      </w:r>
      <w:r w:rsidRPr="00CD5673">
        <w:tab/>
        <w:t>administer an affirmation or oath; and</w:t>
      </w:r>
    </w:p>
    <w:p w14:paraId="4287C2FF" w14:textId="77777777" w:rsidR="00D46430" w:rsidRPr="00CD5673" w:rsidRDefault="00D46430" w:rsidP="00D46430">
      <w:pPr>
        <w:pStyle w:val="paragraph"/>
      </w:pPr>
      <w:r w:rsidRPr="00CD5673">
        <w:tab/>
        <w:t>(b)</w:t>
      </w:r>
      <w:r w:rsidRPr="00CD5673">
        <w:tab/>
        <w:t>take an affidavit;</w:t>
      </w:r>
    </w:p>
    <w:p w14:paraId="6D50830E" w14:textId="77777777" w:rsidR="00D46430" w:rsidRPr="00CD5673" w:rsidRDefault="00D46430" w:rsidP="00D46430">
      <w:pPr>
        <w:pStyle w:val="subsection2"/>
      </w:pPr>
      <w:r w:rsidRPr="00CD5673">
        <w:t>for the purposes of the liquidator’s duties in relation to admitting a debt or claim.</w:t>
      </w:r>
    </w:p>
    <w:p w14:paraId="44C0A8CC" w14:textId="77777777" w:rsidR="00D46430" w:rsidRPr="00CD5673" w:rsidRDefault="00D46430" w:rsidP="00D46430">
      <w:pPr>
        <w:pStyle w:val="ActHead5"/>
      </w:pPr>
      <w:bookmarkStart w:id="256" w:name="_Toc158711865"/>
      <w:r w:rsidRPr="00C614F1">
        <w:rPr>
          <w:rStyle w:val="CharSectno"/>
        </w:rPr>
        <w:t>5.6.58</w:t>
      </w:r>
      <w:r w:rsidRPr="00CD5673">
        <w:t xml:space="preserve">  Liquidator to make out provisional list of contributories</w:t>
      </w:r>
      <w:bookmarkEnd w:id="256"/>
    </w:p>
    <w:p w14:paraId="2E186590" w14:textId="77777777" w:rsidR="00D46430" w:rsidRPr="00CD5673" w:rsidRDefault="00D46430" w:rsidP="00D46430">
      <w:pPr>
        <w:pStyle w:val="subsection"/>
      </w:pPr>
      <w:r w:rsidRPr="00CD5673">
        <w:tab/>
      </w:r>
      <w:r w:rsidRPr="00CD5673">
        <w:tab/>
        <w:t>If the liquidator of a company considers it necessary to make calls on or adjust the rights of contributories, the liquidator must, as soon as practicable, make out a provisional list of contributories in accordance with Form 538.</w:t>
      </w:r>
    </w:p>
    <w:p w14:paraId="78FD1BC7" w14:textId="77777777" w:rsidR="00D46430" w:rsidRPr="00CD5673" w:rsidRDefault="00D46430" w:rsidP="00D46430">
      <w:pPr>
        <w:pStyle w:val="ActHead5"/>
      </w:pPr>
      <w:bookmarkStart w:id="257" w:name="_Toc158711866"/>
      <w:r w:rsidRPr="00C614F1">
        <w:rPr>
          <w:rStyle w:val="CharSectno"/>
        </w:rPr>
        <w:t>5.6.59</w:t>
      </w:r>
      <w:r w:rsidRPr="00CD5673">
        <w:t xml:space="preserve">  Time and place for settlement of list</w:t>
      </w:r>
      <w:bookmarkEnd w:id="257"/>
    </w:p>
    <w:p w14:paraId="211F92A9" w14:textId="77777777" w:rsidR="00D46430" w:rsidRPr="00CD5673" w:rsidRDefault="00D46430" w:rsidP="00D46430">
      <w:pPr>
        <w:pStyle w:val="subsection"/>
      </w:pPr>
      <w:r w:rsidRPr="00CD5673">
        <w:tab/>
        <w:t>(1)</w:t>
      </w:r>
      <w:r w:rsidRPr="00CD5673">
        <w:tab/>
        <w:t>The liquidator must give to each person included in the list not less than 14 days’ notice in writing, in accordance with Form 539, of the time and place appointed to settle the list.</w:t>
      </w:r>
    </w:p>
    <w:p w14:paraId="534A307D" w14:textId="77777777" w:rsidR="00D46430" w:rsidRPr="00CD5673" w:rsidRDefault="00D46430" w:rsidP="00D46430">
      <w:pPr>
        <w:pStyle w:val="subsection"/>
      </w:pPr>
      <w:r w:rsidRPr="00CD5673">
        <w:lastRenderedPageBreak/>
        <w:tab/>
        <w:t>(2)</w:t>
      </w:r>
      <w:r w:rsidRPr="00CD5673">
        <w:tab/>
        <w:t>The liquidator or a person acting on his or her behalf must lodge a statement in writing in the prescribed form that notice under subregulation (1) was given to each person included in the provisional list of contributories.</w:t>
      </w:r>
    </w:p>
    <w:p w14:paraId="6033161B" w14:textId="77777777" w:rsidR="00D46430" w:rsidRPr="00CD5673" w:rsidRDefault="00D46430" w:rsidP="00D46430">
      <w:pPr>
        <w:pStyle w:val="notetext"/>
      </w:pPr>
      <w:r w:rsidRPr="00CD5673">
        <w:t>Note:</w:t>
      </w:r>
      <w:r w:rsidRPr="00CD5673">
        <w:tab/>
        <w:t>Under section 350 of the Act, a document that the Act requires to be lodged with ASIC in a prescribed form must:</w:t>
      </w:r>
    </w:p>
    <w:p w14:paraId="22E3FCD3" w14:textId="77777777" w:rsidR="00D46430" w:rsidRPr="00CD5673" w:rsidRDefault="00D46430" w:rsidP="00D46430">
      <w:pPr>
        <w:pStyle w:val="notepara"/>
      </w:pPr>
      <w:r w:rsidRPr="00CD5673">
        <w:t>(a)</w:t>
      </w:r>
      <w:r w:rsidRPr="00CD5673">
        <w:tab/>
        <w:t>if a form for the document is prescribed in these Regulations, be in that prescribed form; and</w:t>
      </w:r>
    </w:p>
    <w:p w14:paraId="1F66FD86" w14:textId="77777777" w:rsidR="00D46430" w:rsidRPr="00CD5673" w:rsidRDefault="00D46430" w:rsidP="00D46430">
      <w:pPr>
        <w:pStyle w:val="notepara"/>
      </w:pPr>
      <w:r w:rsidRPr="00CD5673">
        <w:t>(b)</w:t>
      </w:r>
      <w:r w:rsidRPr="00CD5673">
        <w:tab/>
        <w:t>if a form for the document is not prescribed in these Regulations but ASIC has approved a form for the document, be in that approved form.</w:t>
      </w:r>
    </w:p>
    <w:p w14:paraId="4D18D379" w14:textId="77777777" w:rsidR="00D46430" w:rsidRPr="00CD5673" w:rsidRDefault="00D46430" w:rsidP="00D46430">
      <w:pPr>
        <w:pStyle w:val="notetext"/>
      </w:pPr>
      <w:r w:rsidRPr="00CD5673">
        <w:tab/>
        <w:t>On 23 December 2004, a form for the document mentioned in subregulation (2) is not prescribed in these Regulations.</w:t>
      </w:r>
    </w:p>
    <w:p w14:paraId="4C75A1F9" w14:textId="77777777" w:rsidR="00D46430" w:rsidRPr="00CD5673" w:rsidRDefault="00D46430" w:rsidP="00D46430">
      <w:pPr>
        <w:pStyle w:val="subsection"/>
      </w:pPr>
      <w:r w:rsidRPr="00CD5673">
        <w:tab/>
        <w:t>(3)</w:t>
      </w:r>
      <w:r w:rsidRPr="00CD5673">
        <w:tab/>
        <w:t>A statement under subregulation (2) is evidence that the notice was sent to a person on the list at the address shown for that person, in the absence of evidence to the contrary.</w:t>
      </w:r>
    </w:p>
    <w:p w14:paraId="57D39F34" w14:textId="77777777" w:rsidR="00D46430" w:rsidRPr="00CD5673" w:rsidRDefault="00D46430" w:rsidP="00D46430">
      <w:pPr>
        <w:pStyle w:val="ActHead5"/>
      </w:pPr>
      <w:bookmarkStart w:id="258" w:name="_Toc158711867"/>
      <w:r w:rsidRPr="00C614F1">
        <w:rPr>
          <w:rStyle w:val="CharSectno"/>
        </w:rPr>
        <w:t>5.6.60</w:t>
      </w:r>
      <w:r w:rsidRPr="00CD5673">
        <w:t xml:space="preserve">  Settlement of list of contributories</w:t>
      </w:r>
      <w:bookmarkEnd w:id="258"/>
    </w:p>
    <w:p w14:paraId="6C8F6E3F" w14:textId="77777777" w:rsidR="00D46430" w:rsidRPr="00CD5673" w:rsidRDefault="00D46430" w:rsidP="00D46430">
      <w:pPr>
        <w:pStyle w:val="subsection"/>
      </w:pPr>
      <w:r w:rsidRPr="00CD5673">
        <w:tab/>
        <w:t>(1)</w:t>
      </w:r>
      <w:r w:rsidRPr="00CD5673">
        <w:tab/>
        <w:t>Before settling the list of contributories, the liquidator must hear and determine any objection by a person to being included in the list.</w:t>
      </w:r>
    </w:p>
    <w:p w14:paraId="5585575A" w14:textId="77777777" w:rsidR="00D46430" w:rsidRPr="00CD5673" w:rsidRDefault="00D46430" w:rsidP="00D46430">
      <w:pPr>
        <w:pStyle w:val="subsection"/>
      </w:pPr>
      <w:r w:rsidRPr="00CD5673">
        <w:tab/>
        <w:t>(2)</w:t>
      </w:r>
      <w:r w:rsidRPr="00CD5673">
        <w:tab/>
        <w:t>The liquidator must settle the list of contributories and certify it, in accordance with Form 541, at the time and place specified in the notice given under regulation 5.6.59.</w:t>
      </w:r>
    </w:p>
    <w:p w14:paraId="77750A42" w14:textId="77777777" w:rsidR="00D46430" w:rsidRPr="00CD5673" w:rsidRDefault="00D46430" w:rsidP="00D46430">
      <w:pPr>
        <w:pStyle w:val="ActHead5"/>
      </w:pPr>
      <w:bookmarkStart w:id="259" w:name="_Toc158711868"/>
      <w:r w:rsidRPr="00C614F1">
        <w:rPr>
          <w:rStyle w:val="CharSectno"/>
        </w:rPr>
        <w:t>5.6.61</w:t>
      </w:r>
      <w:r w:rsidRPr="00CD5673">
        <w:t xml:space="preserve">  Supplementary list</w:t>
      </w:r>
      <w:bookmarkEnd w:id="259"/>
    </w:p>
    <w:p w14:paraId="60177BC3" w14:textId="77777777" w:rsidR="00D46430" w:rsidRPr="00CD5673" w:rsidRDefault="00D46430" w:rsidP="00D46430">
      <w:pPr>
        <w:pStyle w:val="subsection"/>
      </w:pPr>
      <w:r w:rsidRPr="00CD5673">
        <w:tab/>
        <w:t>(1)</w:t>
      </w:r>
      <w:r w:rsidRPr="00CD5673">
        <w:tab/>
        <w:t>The liquidator may at any time vary or add to the list of contributories by:</w:t>
      </w:r>
    </w:p>
    <w:p w14:paraId="7FF3D65B" w14:textId="77777777" w:rsidR="00D46430" w:rsidRPr="00CD5673" w:rsidRDefault="00D46430" w:rsidP="00D46430">
      <w:pPr>
        <w:pStyle w:val="paragraph"/>
      </w:pPr>
      <w:r w:rsidRPr="00CD5673">
        <w:tab/>
        <w:t>(a)</w:t>
      </w:r>
      <w:r w:rsidRPr="00CD5673">
        <w:tab/>
        <w:t>making out a provisional supplementary list of contributories in accordance with Form 542; and</w:t>
      </w:r>
    </w:p>
    <w:p w14:paraId="48735E30" w14:textId="77777777" w:rsidR="00D46430" w:rsidRPr="00CD5673" w:rsidRDefault="00D46430" w:rsidP="00D46430">
      <w:pPr>
        <w:pStyle w:val="paragraph"/>
      </w:pPr>
      <w:r w:rsidRPr="00CD5673">
        <w:tab/>
        <w:t>(b)</w:t>
      </w:r>
      <w:r w:rsidRPr="00CD5673">
        <w:tab/>
        <w:t>settling and certifying that list in accordance with Form 543.</w:t>
      </w:r>
    </w:p>
    <w:p w14:paraId="0CF13E78" w14:textId="77777777" w:rsidR="00D46430" w:rsidRPr="00CD5673" w:rsidRDefault="00D46430" w:rsidP="00D46430">
      <w:pPr>
        <w:pStyle w:val="subsection"/>
      </w:pPr>
      <w:r w:rsidRPr="00CD5673">
        <w:tab/>
        <w:t>(2)</w:t>
      </w:r>
      <w:r w:rsidRPr="00CD5673">
        <w:tab/>
        <w:t>Regulation 5.6.59 and subregulation 5.6.60(1) apply to making out, or settling and certifying, a supplementary list by the liquidator.</w:t>
      </w:r>
    </w:p>
    <w:p w14:paraId="1DF62BB5" w14:textId="77777777" w:rsidR="00D46430" w:rsidRPr="00CD5673" w:rsidRDefault="00D46430" w:rsidP="00D46430">
      <w:pPr>
        <w:pStyle w:val="ActHead5"/>
      </w:pPr>
      <w:bookmarkStart w:id="260" w:name="_Toc158711869"/>
      <w:r w:rsidRPr="00C614F1">
        <w:rPr>
          <w:rStyle w:val="CharSectno"/>
        </w:rPr>
        <w:t>5.6.62</w:t>
      </w:r>
      <w:r w:rsidRPr="00CD5673">
        <w:t xml:space="preserve">  Notice to contributories</w:t>
      </w:r>
      <w:bookmarkEnd w:id="260"/>
    </w:p>
    <w:p w14:paraId="07F77561" w14:textId="77777777" w:rsidR="00D46430" w:rsidRPr="00CD5673" w:rsidRDefault="00D46430" w:rsidP="00D46430">
      <w:pPr>
        <w:pStyle w:val="subsection"/>
      </w:pPr>
      <w:r w:rsidRPr="00CD5673">
        <w:tab/>
        <w:t>(1)</w:t>
      </w:r>
      <w:r w:rsidRPr="00CD5673">
        <w:tab/>
        <w:t>Within 14 days after the settlement of the list, or supplementary list, of contributories, the liquidator must:</w:t>
      </w:r>
    </w:p>
    <w:p w14:paraId="3B5ECDAD" w14:textId="77777777" w:rsidR="00D46430" w:rsidRPr="00CD5673" w:rsidRDefault="00D46430" w:rsidP="00D46430">
      <w:pPr>
        <w:pStyle w:val="paragraph"/>
      </w:pPr>
      <w:r w:rsidRPr="00CD5673">
        <w:tab/>
        <w:t>(a)</w:t>
      </w:r>
      <w:r w:rsidRPr="00CD5673">
        <w:tab/>
        <w:t>notify each person included in the list, or supplementary list, of his or her inclusion; and</w:t>
      </w:r>
    </w:p>
    <w:p w14:paraId="3F052B9B" w14:textId="77777777" w:rsidR="00D46430" w:rsidRPr="00CD5673" w:rsidRDefault="00D46430" w:rsidP="00D46430">
      <w:pPr>
        <w:pStyle w:val="paragraph"/>
      </w:pPr>
      <w:r w:rsidRPr="00CD5673">
        <w:tab/>
        <w:t>(b)</w:t>
      </w:r>
      <w:r w:rsidRPr="00CD5673">
        <w:tab/>
        <w:t>at the same time give each person notice that he or she may appeal to the Court against his or her inclusion within:</w:t>
      </w:r>
    </w:p>
    <w:p w14:paraId="4466B745" w14:textId="77777777" w:rsidR="00D46430" w:rsidRPr="00CD5673" w:rsidRDefault="00D46430" w:rsidP="00D46430">
      <w:pPr>
        <w:pStyle w:val="paragraphsub"/>
      </w:pPr>
      <w:r w:rsidRPr="00CD5673">
        <w:tab/>
        <w:t>(i)</w:t>
      </w:r>
      <w:r w:rsidRPr="00CD5673">
        <w:tab/>
        <w:t>21 days after service of the notice; or</w:t>
      </w:r>
    </w:p>
    <w:p w14:paraId="3391A35D" w14:textId="77777777" w:rsidR="00D46430" w:rsidRPr="00CD5673" w:rsidRDefault="00D46430" w:rsidP="00D46430">
      <w:pPr>
        <w:pStyle w:val="paragraphsub"/>
      </w:pPr>
      <w:r w:rsidRPr="00CD5673">
        <w:tab/>
        <w:t>(ii)</w:t>
      </w:r>
      <w:r w:rsidRPr="00CD5673">
        <w:tab/>
        <w:t>if the Court allows—any further period.</w:t>
      </w:r>
    </w:p>
    <w:p w14:paraId="753503B1" w14:textId="77777777" w:rsidR="00D46430" w:rsidRPr="00CD5673" w:rsidRDefault="00D46430" w:rsidP="00D46430">
      <w:pPr>
        <w:pStyle w:val="subsection"/>
      </w:pPr>
      <w:r w:rsidRPr="00CD5673">
        <w:tab/>
        <w:t>(2)</w:t>
      </w:r>
      <w:r w:rsidRPr="00CD5673">
        <w:tab/>
        <w:t>A person may appeal against his or her inclusion in the list, or supplementary list, of contributories, within:</w:t>
      </w:r>
    </w:p>
    <w:p w14:paraId="0DDBA67F" w14:textId="77777777" w:rsidR="00D46430" w:rsidRPr="00CD5673" w:rsidRDefault="00D46430" w:rsidP="00D46430">
      <w:pPr>
        <w:pStyle w:val="paragraph"/>
      </w:pPr>
      <w:r w:rsidRPr="00CD5673">
        <w:tab/>
        <w:t>(a)</w:t>
      </w:r>
      <w:r w:rsidRPr="00CD5673">
        <w:tab/>
        <w:t>21 days after service on the person of the notice under subregulation (1); or</w:t>
      </w:r>
    </w:p>
    <w:p w14:paraId="3E8F2017" w14:textId="77777777" w:rsidR="00D46430" w:rsidRPr="00CD5673" w:rsidRDefault="00D46430" w:rsidP="00D46430">
      <w:pPr>
        <w:pStyle w:val="paragraph"/>
      </w:pPr>
      <w:r w:rsidRPr="00CD5673">
        <w:tab/>
        <w:t>(b)</w:t>
      </w:r>
      <w:r w:rsidRPr="00CD5673">
        <w:tab/>
        <w:t>if the Court allows—any further period.</w:t>
      </w:r>
    </w:p>
    <w:p w14:paraId="13CEF6EA" w14:textId="77777777" w:rsidR="00D46430" w:rsidRPr="00CD5673" w:rsidRDefault="00D46430" w:rsidP="00D46430">
      <w:pPr>
        <w:pStyle w:val="subsection"/>
      </w:pPr>
      <w:r w:rsidRPr="00CD5673">
        <w:rPr>
          <w:b/>
        </w:rPr>
        <w:tab/>
      </w:r>
      <w:r w:rsidRPr="00CD5673">
        <w:t>(3)</w:t>
      </w:r>
      <w:r w:rsidRPr="00CD5673">
        <w:tab/>
        <w:t>The Court may extend the time for filing an appeal under subregulation (2), even if the period of 21 days specified in subregulation (1) has expired.</w:t>
      </w:r>
    </w:p>
    <w:p w14:paraId="05E31959" w14:textId="77777777" w:rsidR="00D46430" w:rsidRPr="00CD5673" w:rsidRDefault="00D46430" w:rsidP="00D46430">
      <w:pPr>
        <w:pStyle w:val="subsection"/>
      </w:pPr>
      <w:r w:rsidRPr="00CD5673">
        <w:tab/>
        <w:t>(4)</w:t>
      </w:r>
      <w:r w:rsidRPr="00CD5673">
        <w:tab/>
        <w:t>A notice for subregulation (1) must be in accordance with Form 544.</w:t>
      </w:r>
    </w:p>
    <w:p w14:paraId="7450107E" w14:textId="77777777" w:rsidR="00D46430" w:rsidRPr="00CD5673" w:rsidRDefault="00D46430" w:rsidP="00D46430">
      <w:pPr>
        <w:pStyle w:val="subsection"/>
      </w:pPr>
      <w:r w:rsidRPr="00CD5673">
        <w:tab/>
        <w:t>(5)</w:t>
      </w:r>
      <w:r w:rsidRPr="00CD5673">
        <w:tab/>
        <w:t>The liquidator, or a person acting on the liquidator’s behalf, must lodge a statement in writing in the prescribed form that notice under subregulation (1) was given to each person placed on the list, or supplementary list, of contributories.</w:t>
      </w:r>
    </w:p>
    <w:p w14:paraId="3E95B593" w14:textId="77777777" w:rsidR="00D46430" w:rsidRPr="00CD5673" w:rsidRDefault="00D46430" w:rsidP="00D46430">
      <w:pPr>
        <w:pStyle w:val="notetext"/>
      </w:pPr>
      <w:r w:rsidRPr="00CD5673">
        <w:t>Note:</w:t>
      </w:r>
      <w:r w:rsidRPr="00CD5673">
        <w:tab/>
        <w:t>Under section 350 of the Act, a document that the Act requires to be lodged with ASIC in a prescribed form must:</w:t>
      </w:r>
    </w:p>
    <w:p w14:paraId="10638F5D" w14:textId="77777777" w:rsidR="00D46430" w:rsidRPr="00CD5673" w:rsidRDefault="00D46430" w:rsidP="00D46430">
      <w:pPr>
        <w:pStyle w:val="notepara"/>
      </w:pPr>
      <w:r w:rsidRPr="00CD5673">
        <w:t>(a)</w:t>
      </w:r>
      <w:r w:rsidRPr="00CD5673">
        <w:tab/>
        <w:t>if a form for the document is prescribed in these Regulations, be in that prescribed form; and</w:t>
      </w:r>
    </w:p>
    <w:p w14:paraId="567F96C9" w14:textId="77777777" w:rsidR="00D46430" w:rsidRPr="00CD5673" w:rsidRDefault="00D46430" w:rsidP="00D46430">
      <w:pPr>
        <w:pStyle w:val="notepara"/>
      </w:pPr>
      <w:r w:rsidRPr="00CD5673">
        <w:t>(b)</w:t>
      </w:r>
      <w:r w:rsidRPr="00CD5673">
        <w:tab/>
        <w:t>if a form for the document is not prescribed in these Regulations but ASIC has approved a form for the document, be in that approved form.</w:t>
      </w:r>
    </w:p>
    <w:p w14:paraId="77C8791A" w14:textId="77777777" w:rsidR="00D46430" w:rsidRPr="00CD5673" w:rsidRDefault="00D46430" w:rsidP="00D46430">
      <w:pPr>
        <w:pStyle w:val="notetext"/>
      </w:pPr>
      <w:r w:rsidRPr="00CD5673">
        <w:tab/>
        <w:t>On 23 December 2004, a form for the document mentioned in subregulation (5) is not prescribed in these Regulations.</w:t>
      </w:r>
    </w:p>
    <w:p w14:paraId="60DAE3B6" w14:textId="77777777" w:rsidR="00D46430" w:rsidRPr="00CD5673" w:rsidRDefault="00D46430" w:rsidP="00D46430">
      <w:pPr>
        <w:pStyle w:val="subsection"/>
      </w:pPr>
      <w:r w:rsidRPr="00CD5673">
        <w:tab/>
        <w:t>(6)</w:t>
      </w:r>
      <w:r w:rsidRPr="00CD5673">
        <w:tab/>
        <w:t>A statement under subregulation (5) is sufficient evidence that the notice was sent to a person on the list at the address shown for that person, in the absence of evidence to the contrary.</w:t>
      </w:r>
    </w:p>
    <w:p w14:paraId="485EB454" w14:textId="77777777" w:rsidR="00D46430" w:rsidRPr="00CD5673" w:rsidRDefault="00D46430" w:rsidP="00D46430">
      <w:pPr>
        <w:pStyle w:val="ActHead5"/>
      </w:pPr>
      <w:bookmarkStart w:id="261" w:name="_Toc158711870"/>
      <w:r w:rsidRPr="00C614F1">
        <w:rPr>
          <w:rStyle w:val="CharSectno"/>
        </w:rPr>
        <w:lastRenderedPageBreak/>
        <w:t>5.6.63</w:t>
      </w:r>
      <w:r w:rsidRPr="00CD5673">
        <w:t xml:space="preserve">  Dividend payable only on admission of a debt or claim</w:t>
      </w:r>
      <w:bookmarkEnd w:id="261"/>
    </w:p>
    <w:p w14:paraId="7438D3FA" w14:textId="77777777" w:rsidR="00D46430" w:rsidRPr="00CD5673" w:rsidRDefault="00D46430" w:rsidP="00D46430">
      <w:pPr>
        <w:pStyle w:val="subsection"/>
      </w:pPr>
      <w:r w:rsidRPr="00CD5673">
        <w:tab/>
      </w:r>
      <w:r w:rsidRPr="00CD5673">
        <w:tab/>
        <w:t>A dividend in the winding up of the affairs of a company may be paid only to a creditor whose debt or claim has been admitted by the liquidator at the date of the distribution of dividends.</w:t>
      </w:r>
    </w:p>
    <w:p w14:paraId="43291961" w14:textId="77777777" w:rsidR="00D46430" w:rsidRPr="00CD5673" w:rsidRDefault="00D46430" w:rsidP="00D46430">
      <w:pPr>
        <w:pStyle w:val="ActHead5"/>
      </w:pPr>
      <w:bookmarkStart w:id="262" w:name="_Toc158711871"/>
      <w:r w:rsidRPr="00C614F1">
        <w:rPr>
          <w:rStyle w:val="CharSectno"/>
        </w:rPr>
        <w:t>5.6.64</w:t>
      </w:r>
      <w:r w:rsidRPr="00CD5673">
        <w:t xml:space="preserve">  Application of regulations 5.6.37 to 5.6.57</w:t>
      </w:r>
      <w:bookmarkEnd w:id="262"/>
    </w:p>
    <w:p w14:paraId="1ABF65F2" w14:textId="77777777" w:rsidR="00D46430" w:rsidRPr="00CD5673" w:rsidRDefault="00D46430" w:rsidP="00D46430">
      <w:pPr>
        <w:pStyle w:val="subsection"/>
        <w:keepNext/>
        <w:keepLines/>
      </w:pPr>
      <w:r w:rsidRPr="00CD5673">
        <w:tab/>
      </w:r>
      <w:r w:rsidRPr="00CD5673">
        <w:tab/>
        <w:t>For regulations 5.6.64 to 5.6.71, regulations 5.6.37 to 5.6.57 apply:</w:t>
      </w:r>
    </w:p>
    <w:p w14:paraId="3BB6C83C" w14:textId="77777777" w:rsidR="00D46430" w:rsidRPr="00CD5673" w:rsidRDefault="00D46430" w:rsidP="00D46430">
      <w:pPr>
        <w:pStyle w:val="paragraph"/>
        <w:keepNext/>
        <w:keepLines/>
      </w:pPr>
      <w:r w:rsidRPr="00CD5673">
        <w:tab/>
        <w:t>(a)</w:t>
      </w:r>
      <w:r w:rsidRPr="00CD5673">
        <w:tab/>
        <w:t>to the formal proof of a debt or claim; and</w:t>
      </w:r>
    </w:p>
    <w:p w14:paraId="6E2C7F09" w14:textId="77777777" w:rsidR="00D46430" w:rsidRPr="00CD5673" w:rsidRDefault="00D46430" w:rsidP="00D46430">
      <w:pPr>
        <w:pStyle w:val="paragraph"/>
      </w:pPr>
      <w:r w:rsidRPr="00CD5673">
        <w:tab/>
        <w:t>(b)</w:t>
      </w:r>
      <w:r w:rsidRPr="00CD5673">
        <w:tab/>
        <w:t>to the rejection and to an appeal against the rejection of all or part of a formal proof of a debt or claim.</w:t>
      </w:r>
    </w:p>
    <w:p w14:paraId="3C1262EC" w14:textId="77777777" w:rsidR="00D46430" w:rsidRPr="00CD5673" w:rsidRDefault="00D46430" w:rsidP="00D46430">
      <w:pPr>
        <w:pStyle w:val="ActHead5"/>
      </w:pPr>
      <w:bookmarkStart w:id="263" w:name="_Toc158711872"/>
      <w:r w:rsidRPr="00C614F1">
        <w:rPr>
          <w:rStyle w:val="CharSectno"/>
        </w:rPr>
        <w:t>5.6.65</w:t>
      </w:r>
      <w:r w:rsidRPr="00CD5673">
        <w:t xml:space="preserve">  Liquidator to give notice of intention to declare a dividend</w:t>
      </w:r>
      <w:bookmarkEnd w:id="263"/>
    </w:p>
    <w:p w14:paraId="2869CBE1" w14:textId="77777777" w:rsidR="00D46430" w:rsidRPr="00CD5673" w:rsidRDefault="00D46430" w:rsidP="00D46430">
      <w:pPr>
        <w:pStyle w:val="subsection"/>
      </w:pPr>
      <w:r w:rsidRPr="00CD5673">
        <w:tab/>
        <w:t>(1)</w:t>
      </w:r>
      <w:r w:rsidRPr="00CD5673">
        <w:tab/>
        <w:t>Subject to subregulation (1A), the liquidator must give notice of his or her intention to declare a dividend not more than 2 months before the intended date:</w:t>
      </w:r>
    </w:p>
    <w:p w14:paraId="7DBF4FE6" w14:textId="77777777" w:rsidR="00D46430" w:rsidRPr="00CD5673" w:rsidRDefault="00D46430" w:rsidP="00D46430">
      <w:pPr>
        <w:pStyle w:val="paragraph"/>
      </w:pPr>
      <w:r w:rsidRPr="00CD5673">
        <w:tab/>
        <w:t>(a)</w:t>
      </w:r>
      <w:r w:rsidRPr="00CD5673">
        <w:tab/>
        <w:t>by lodging a notice with ASIC in accordance with subregulation 5.6.75(4); and</w:t>
      </w:r>
    </w:p>
    <w:p w14:paraId="2F69309A" w14:textId="77777777" w:rsidR="00D46430" w:rsidRPr="00CD5673" w:rsidRDefault="00D46430" w:rsidP="00D46430">
      <w:pPr>
        <w:pStyle w:val="paragraph"/>
      </w:pPr>
      <w:r w:rsidRPr="00CD5673">
        <w:tab/>
        <w:t>(b)</w:t>
      </w:r>
      <w:r w:rsidRPr="00CD5673">
        <w:tab/>
        <w:t>in writing, in accordance with Form 547 or, for a final dividend, in accordance with Form 548, to any person whose debt or claim has not been admitted and who:</w:t>
      </w:r>
    </w:p>
    <w:p w14:paraId="717A5C22" w14:textId="77777777" w:rsidR="00D46430" w:rsidRPr="00CD5673" w:rsidRDefault="00D46430" w:rsidP="00D46430">
      <w:pPr>
        <w:pStyle w:val="paragraphsub"/>
      </w:pPr>
      <w:r w:rsidRPr="00CD5673">
        <w:tab/>
        <w:t>(i)</w:t>
      </w:r>
      <w:r w:rsidRPr="00CD5673">
        <w:tab/>
        <w:t>for a winding up by the Court—is shown as a creditor in the report on the affairs of the company under subsection 475(1) of the Act; or</w:t>
      </w:r>
    </w:p>
    <w:p w14:paraId="7E2D7C88" w14:textId="77777777" w:rsidR="00D46430" w:rsidRPr="00CD5673" w:rsidRDefault="00D46430" w:rsidP="00D46430">
      <w:pPr>
        <w:pStyle w:val="paragraphsub"/>
      </w:pPr>
      <w:r w:rsidRPr="00CD5673">
        <w:tab/>
        <w:t>(ii)</w:t>
      </w:r>
      <w:r w:rsidRPr="00CD5673">
        <w:tab/>
        <w:t>for a members’ voluntary winding up—appears in the company’s records to be a creditor; or</w:t>
      </w:r>
    </w:p>
    <w:p w14:paraId="320F7B19" w14:textId="77777777" w:rsidR="00D46430" w:rsidRPr="00CD5673" w:rsidRDefault="00D46430" w:rsidP="00D46430">
      <w:pPr>
        <w:pStyle w:val="paragraphsub"/>
      </w:pPr>
      <w:r w:rsidRPr="00CD5673">
        <w:tab/>
        <w:t>(iii)</w:t>
      </w:r>
      <w:r w:rsidRPr="00CD5673">
        <w:tab/>
        <w:t>for a creditors’ voluntary winding up—is shown as a creditor in the list of creditors prepared in accordance with subparagraph 497(1)(a)(ii) of the Act; or</w:t>
      </w:r>
    </w:p>
    <w:p w14:paraId="16F23425" w14:textId="77777777" w:rsidR="00D46430" w:rsidRPr="00CD5673" w:rsidRDefault="00D46430" w:rsidP="00D46430">
      <w:pPr>
        <w:pStyle w:val="paragraphsub"/>
      </w:pPr>
      <w:r w:rsidRPr="00CD5673">
        <w:tab/>
        <w:t>(iv)</w:t>
      </w:r>
      <w:r w:rsidRPr="00CD5673">
        <w:tab/>
        <w:t>to the knowledge of the liquidator claims to be, or might claim to be, a creditor of the company.</w:t>
      </w:r>
    </w:p>
    <w:p w14:paraId="64C71C8C" w14:textId="77777777" w:rsidR="00D46430" w:rsidRPr="00CD5673" w:rsidRDefault="00D46430" w:rsidP="00D46430">
      <w:pPr>
        <w:pStyle w:val="subsection"/>
      </w:pPr>
      <w:r w:rsidRPr="00CD5673">
        <w:tab/>
        <w:t>(1A)</w:t>
      </w:r>
      <w:r w:rsidRPr="00CD5673">
        <w:tab/>
        <w:t>The requirement in subregulation (1) that the notice must be given not more than 2 months before the intended date does not apply in relation to a liquidator of a company that is subject to the simplified liquidation process.</w:t>
      </w:r>
    </w:p>
    <w:p w14:paraId="459F0E09" w14:textId="77777777" w:rsidR="00D46430" w:rsidRPr="00CD5673" w:rsidRDefault="00D46430" w:rsidP="00D46430">
      <w:pPr>
        <w:pStyle w:val="subsection"/>
      </w:pPr>
      <w:r w:rsidRPr="00CD5673">
        <w:tab/>
        <w:t>(2)</w:t>
      </w:r>
      <w:r w:rsidRPr="00CD5673">
        <w:tab/>
        <w:t>A notice in accordance with subregulation (1) must specify a date, not less than 21 days after the date of the notice, on or before which formal proof, in accordance with Form 535 or 536, of a debt or claim must be submitted to participate in the distribution.</w:t>
      </w:r>
    </w:p>
    <w:p w14:paraId="01EA4DAF" w14:textId="77777777" w:rsidR="00D46430" w:rsidRPr="00CD5673" w:rsidRDefault="00D46430" w:rsidP="00D46430">
      <w:pPr>
        <w:pStyle w:val="subsection"/>
      </w:pPr>
      <w:r w:rsidRPr="00CD5673">
        <w:tab/>
        <w:t>(2A)</w:t>
      </w:r>
      <w:r w:rsidRPr="00CD5673">
        <w:tab/>
        <w:t>Also, the notice must state at least the following information:</w:t>
      </w:r>
    </w:p>
    <w:p w14:paraId="14B2E0F5" w14:textId="77777777" w:rsidR="00D46430" w:rsidRPr="00CD5673" w:rsidRDefault="00D46430" w:rsidP="00D46430">
      <w:pPr>
        <w:pStyle w:val="paragraph"/>
      </w:pPr>
      <w:r w:rsidRPr="00CD5673">
        <w:tab/>
        <w:t>(a)</w:t>
      </w:r>
      <w:r w:rsidRPr="00CD5673">
        <w:tab/>
        <w:t>the name of the company;</w:t>
      </w:r>
    </w:p>
    <w:p w14:paraId="2D6CDB31" w14:textId="77777777" w:rsidR="00D46430" w:rsidRPr="00CD5673" w:rsidRDefault="00D46430" w:rsidP="00D46430">
      <w:pPr>
        <w:pStyle w:val="paragraph"/>
      </w:pPr>
      <w:r w:rsidRPr="00CD5673">
        <w:tab/>
        <w:t>(b)</w:t>
      </w:r>
      <w:r w:rsidRPr="00CD5673">
        <w:tab/>
        <w:t>any trading name of the company;</w:t>
      </w:r>
    </w:p>
    <w:p w14:paraId="4421BC85" w14:textId="77777777" w:rsidR="00D46430" w:rsidRPr="00CD5673" w:rsidRDefault="00D46430" w:rsidP="00D46430">
      <w:pPr>
        <w:pStyle w:val="paragraph"/>
      </w:pPr>
      <w:r w:rsidRPr="00CD5673">
        <w:tab/>
        <w:t>(c)</w:t>
      </w:r>
      <w:r w:rsidRPr="00CD5673">
        <w:tab/>
        <w:t>the ACN of the company;</w:t>
      </w:r>
    </w:p>
    <w:p w14:paraId="5D4A0C5D" w14:textId="77777777" w:rsidR="00D46430" w:rsidRPr="00CD5673" w:rsidRDefault="00D46430" w:rsidP="00D46430">
      <w:pPr>
        <w:pStyle w:val="paragraph"/>
      </w:pPr>
      <w:r w:rsidRPr="00CD5673">
        <w:tab/>
        <w:t>(d)</w:t>
      </w:r>
      <w:r w:rsidRPr="00CD5673">
        <w:tab/>
        <w:t>if Division 1 of Part 5.6 of the Act applies for a sub</w:t>
      </w:r>
      <w:r w:rsidR="00C614F1">
        <w:noBreakHyphen/>
      </w:r>
      <w:r w:rsidRPr="00CD5673">
        <w:t>fund of a CCIV because of section 1237B of the Act—the ARFN of the sub</w:t>
      </w:r>
      <w:r w:rsidR="00C614F1">
        <w:noBreakHyphen/>
      </w:r>
      <w:r w:rsidRPr="00CD5673">
        <w:t>fund.</w:t>
      </w:r>
    </w:p>
    <w:p w14:paraId="7CC921A6" w14:textId="77777777" w:rsidR="00D46430" w:rsidRPr="00CD5673" w:rsidRDefault="00D46430" w:rsidP="00D46430">
      <w:pPr>
        <w:pStyle w:val="subsection"/>
      </w:pPr>
      <w:r w:rsidRPr="00CD5673">
        <w:tab/>
        <w:t>(3)</w:t>
      </w:r>
      <w:r w:rsidRPr="00CD5673">
        <w:tab/>
        <w:t>Subject to regulation 5.6.68, a person:</w:t>
      </w:r>
    </w:p>
    <w:p w14:paraId="4B1CE3A7" w14:textId="77777777" w:rsidR="00D46430" w:rsidRPr="00CD5673" w:rsidRDefault="00D46430" w:rsidP="00D46430">
      <w:pPr>
        <w:pStyle w:val="paragraph"/>
      </w:pPr>
      <w:r w:rsidRPr="00CD5673">
        <w:tab/>
        <w:t>(a)</w:t>
      </w:r>
      <w:r w:rsidRPr="00CD5673">
        <w:tab/>
        <w:t>who claims to be a creditor; and</w:t>
      </w:r>
    </w:p>
    <w:p w14:paraId="2E564B5F" w14:textId="77777777" w:rsidR="00D46430" w:rsidRPr="00CD5673" w:rsidRDefault="00D46430" w:rsidP="00D46430">
      <w:pPr>
        <w:pStyle w:val="paragraph"/>
      </w:pPr>
      <w:r w:rsidRPr="00CD5673">
        <w:tab/>
        <w:t>(b)</w:t>
      </w:r>
      <w:r w:rsidRPr="00CD5673">
        <w:tab/>
        <w:t>who does not submit a formal proof of a debt or claim on or before the date specified in the notice given under subregulation (1);</w:t>
      </w:r>
    </w:p>
    <w:p w14:paraId="3F963CD9" w14:textId="77777777" w:rsidR="00D46430" w:rsidRPr="00CD5673" w:rsidRDefault="00D46430" w:rsidP="00D46430">
      <w:pPr>
        <w:pStyle w:val="subsection2"/>
      </w:pPr>
      <w:r w:rsidRPr="00CD5673">
        <w:t>is excluded from participating in the distribution to which that notice relates.</w:t>
      </w:r>
    </w:p>
    <w:p w14:paraId="01A939A9" w14:textId="77777777" w:rsidR="00D46430" w:rsidRPr="00CD5673" w:rsidRDefault="00D46430" w:rsidP="00D46430">
      <w:pPr>
        <w:pStyle w:val="notetext"/>
      </w:pPr>
      <w:r w:rsidRPr="00CD5673">
        <w:t>Note:</w:t>
      </w:r>
      <w:r w:rsidRPr="00CD5673">
        <w:tab/>
        <w:t>If Division 1 of Part 5.6 of the Act applies for a sub</w:t>
      </w:r>
      <w:r w:rsidR="00C614F1">
        <w:noBreakHyphen/>
      </w:r>
      <w:r w:rsidRPr="00CD5673">
        <w:t>fund of a CCIV because of section 1237B of the Act, that section translates most of this regulation’s references to the company so that they are references to the sub</w:t>
      </w:r>
      <w:r w:rsidR="00C614F1">
        <w:noBreakHyphen/>
      </w:r>
      <w:r w:rsidRPr="00CD5673">
        <w:t>fund.</w:t>
      </w:r>
    </w:p>
    <w:p w14:paraId="5415C04A" w14:textId="77777777" w:rsidR="00D46430" w:rsidRPr="00CD5673" w:rsidRDefault="00D46430" w:rsidP="00D46430">
      <w:pPr>
        <w:pStyle w:val="ActHead5"/>
      </w:pPr>
      <w:bookmarkStart w:id="264" w:name="_Toc158711873"/>
      <w:r w:rsidRPr="00C614F1">
        <w:rPr>
          <w:rStyle w:val="CharSectno"/>
        </w:rPr>
        <w:t>5.6.66</w:t>
      </w:r>
      <w:r w:rsidRPr="00CD5673">
        <w:t xml:space="preserve">  Time allowed for dealing with formal proof of debt or claim</w:t>
      </w:r>
      <w:bookmarkEnd w:id="264"/>
    </w:p>
    <w:p w14:paraId="617EC40E" w14:textId="77777777" w:rsidR="00D46430" w:rsidRPr="00CD5673" w:rsidRDefault="00D46430" w:rsidP="00D46430">
      <w:pPr>
        <w:pStyle w:val="subsection"/>
      </w:pPr>
      <w:r w:rsidRPr="00CD5673">
        <w:tab/>
        <w:t>(1)</w:t>
      </w:r>
      <w:r w:rsidRPr="00CD5673">
        <w:tab/>
        <w:t>If the liquidator has given notice in accordance with subregulation 5.6.65(1), the liquidator must:</w:t>
      </w:r>
    </w:p>
    <w:p w14:paraId="573424FA" w14:textId="77777777" w:rsidR="00D46430" w:rsidRPr="00CD5673" w:rsidRDefault="00D46430" w:rsidP="00D46430">
      <w:pPr>
        <w:pStyle w:val="paragraph"/>
      </w:pPr>
      <w:r w:rsidRPr="00CD5673">
        <w:tab/>
        <w:t>(a)</w:t>
      </w:r>
      <w:r w:rsidRPr="00CD5673">
        <w:tab/>
        <w:t>within 14 days after the date shown in the notice; or</w:t>
      </w:r>
    </w:p>
    <w:p w14:paraId="067B6723" w14:textId="77777777" w:rsidR="00D46430" w:rsidRPr="00CD5673" w:rsidRDefault="00D46430" w:rsidP="00D46430">
      <w:pPr>
        <w:pStyle w:val="paragraph"/>
      </w:pPr>
      <w:r w:rsidRPr="00CD5673">
        <w:tab/>
        <w:t>(b)</w:t>
      </w:r>
      <w:r w:rsidRPr="00CD5673">
        <w:tab/>
        <w:t>within such further period as ASIC allows;</w:t>
      </w:r>
    </w:p>
    <w:p w14:paraId="473054CC" w14:textId="77777777" w:rsidR="00D46430" w:rsidRPr="00CD5673" w:rsidRDefault="00D46430" w:rsidP="00D46430">
      <w:pPr>
        <w:pStyle w:val="subsection2"/>
      </w:pPr>
      <w:r w:rsidRPr="00CD5673">
        <w:t>in writing:</w:t>
      </w:r>
    </w:p>
    <w:p w14:paraId="243200F6" w14:textId="77777777" w:rsidR="00D46430" w:rsidRPr="00CD5673" w:rsidRDefault="00D46430" w:rsidP="00D46430">
      <w:pPr>
        <w:pStyle w:val="paragraph"/>
      </w:pPr>
      <w:r w:rsidRPr="00CD5673">
        <w:tab/>
        <w:t>(c)</w:t>
      </w:r>
      <w:r w:rsidRPr="00CD5673">
        <w:tab/>
        <w:t>before the end of that period:</w:t>
      </w:r>
    </w:p>
    <w:p w14:paraId="2D5B9198" w14:textId="77777777" w:rsidR="00D46430" w:rsidRPr="00CD5673" w:rsidRDefault="00D46430" w:rsidP="00D46430">
      <w:pPr>
        <w:pStyle w:val="paragraphsub"/>
      </w:pPr>
      <w:r w:rsidRPr="00CD5673">
        <w:tab/>
        <w:t>(i)</w:t>
      </w:r>
      <w:r w:rsidRPr="00CD5673">
        <w:tab/>
        <w:t>admit a formal proof of debt or claim received by the liquidator; or</w:t>
      </w:r>
    </w:p>
    <w:p w14:paraId="2CED3ED9" w14:textId="77777777" w:rsidR="00D46430" w:rsidRPr="00CD5673" w:rsidRDefault="00D46430" w:rsidP="00D46430">
      <w:pPr>
        <w:pStyle w:val="paragraphsub"/>
      </w:pPr>
      <w:r w:rsidRPr="00CD5673">
        <w:tab/>
        <w:t>(ii)</w:t>
      </w:r>
      <w:r w:rsidRPr="00CD5673">
        <w:tab/>
        <w:t>reject it; or</w:t>
      </w:r>
    </w:p>
    <w:p w14:paraId="2490E160" w14:textId="77777777" w:rsidR="00D46430" w:rsidRPr="00CD5673" w:rsidRDefault="00D46430" w:rsidP="00D46430">
      <w:pPr>
        <w:pStyle w:val="paragraphsub"/>
      </w:pPr>
      <w:r w:rsidRPr="00CD5673">
        <w:tab/>
        <w:t>(iii)</w:t>
      </w:r>
      <w:r w:rsidRPr="00CD5673">
        <w:tab/>
        <w:t>admit part of it and reject part of it; or</w:t>
      </w:r>
    </w:p>
    <w:p w14:paraId="6522F1D8" w14:textId="77777777" w:rsidR="00D46430" w:rsidRPr="00CD5673" w:rsidRDefault="00D46430" w:rsidP="00D46430">
      <w:pPr>
        <w:pStyle w:val="paragraphsub"/>
      </w:pPr>
      <w:r w:rsidRPr="00CD5673">
        <w:tab/>
        <w:t>(iv)</w:t>
      </w:r>
      <w:r w:rsidRPr="00CD5673">
        <w:tab/>
        <w:t>require further evidence in support of it; and</w:t>
      </w:r>
    </w:p>
    <w:p w14:paraId="08A4E0BC" w14:textId="77777777" w:rsidR="00D46430" w:rsidRPr="00CD5673" w:rsidRDefault="00D46430" w:rsidP="00D46430">
      <w:pPr>
        <w:pStyle w:val="paragraph"/>
      </w:pPr>
      <w:r w:rsidRPr="00CD5673">
        <w:lastRenderedPageBreak/>
        <w:tab/>
        <w:t>(d)</w:t>
      </w:r>
      <w:r w:rsidRPr="00CD5673">
        <w:tab/>
        <w:t>give notice of the liquidator’s decision to the creditor who submitted the proof.</w:t>
      </w:r>
    </w:p>
    <w:p w14:paraId="384E4A0A" w14:textId="77777777" w:rsidR="00D46430" w:rsidRPr="00CD5673" w:rsidRDefault="00D46430" w:rsidP="00D46430">
      <w:pPr>
        <w:pStyle w:val="subsection"/>
      </w:pPr>
      <w:r w:rsidRPr="00CD5673">
        <w:tab/>
        <w:t>(2)</w:t>
      </w:r>
      <w:r w:rsidRPr="00CD5673">
        <w:tab/>
        <w:t>If, within whichever period is applicable under paragraph (1)(a) or (b) or subregulation (3), the liquidator does not, in writing, deal with a formal proof of debt or claim in accordance with paragraphs (1)(c) and (d), the creditor who submitted the proof may apply to the Court for a decision on it.</w:t>
      </w:r>
    </w:p>
    <w:p w14:paraId="2E7B2EE3" w14:textId="77777777" w:rsidR="00D46430" w:rsidRPr="00CD5673" w:rsidRDefault="00D46430" w:rsidP="00D46430">
      <w:pPr>
        <w:pStyle w:val="subsection"/>
      </w:pPr>
      <w:r w:rsidRPr="00CD5673">
        <w:tab/>
        <w:t>(3)</w:t>
      </w:r>
      <w:r w:rsidRPr="00CD5673">
        <w:tab/>
        <w:t>If the liquidator gives notice to a creditor that further evidence is required in relation to a formal proof of debt or claim submitted by the creditor:</w:t>
      </w:r>
    </w:p>
    <w:p w14:paraId="46C2785B" w14:textId="77777777" w:rsidR="00D46430" w:rsidRPr="00CD5673" w:rsidRDefault="00D46430" w:rsidP="00D46430">
      <w:pPr>
        <w:pStyle w:val="paragraph"/>
      </w:pPr>
      <w:r w:rsidRPr="00CD5673">
        <w:tab/>
        <w:t>(a)</w:t>
      </w:r>
      <w:r w:rsidRPr="00CD5673">
        <w:tab/>
        <w:t>the liquidator must, in writing, deal with the formal proof of debt or claim in accordance with paragraphs (1)(c) and (d), within whichever period mentioned in paragraph (1)(a) or (b) is applicable; and</w:t>
      </w:r>
    </w:p>
    <w:p w14:paraId="2D90163F" w14:textId="77777777" w:rsidR="00D46430" w:rsidRPr="00CD5673" w:rsidRDefault="00D46430" w:rsidP="00D46430">
      <w:pPr>
        <w:pStyle w:val="paragraph"/>
      </w:pPr>
      <w:r w:rsidRPr="00CD5673">
        <w:tab/>
        <w:t>(b)</w:t>
      </w:r>
      <w:r w:rsidRPr="00CD5673">
        <w:tab/>
        <w:t>that period must be taken not to have begun to run until the day on which the liquidator receives a sufficient written answer to his or her request.</w:t>
      </w:r>
    </w:p>
    <w:p w14:paraId="0BB24AE7" w14:textId="77777777" w:rsidR="00D46430" w:rsidRPr="00CD5673" w:rsidRDefault="00D46430" w:rsidP="00D46430">
      <w:pPr>
        <w:pStyle w:val="ActHead5"/>
      </w:pPr>
      <w:bookmarkStart w:id="265" w:name="_Toc158711874"/>
      <w:r w:rsidRPr="00C614F1">
        <w:rPr>
          <w:rStyle w:val="CharSectno"/>
        </w:rPr>
        <w:t>5.6.67</w:t>
      </w:r>
      <w:r w:rsidRPr="00CD5673">
        <w:t xml:space="preserve">  Declaration and distribution of dividend</w:t>
      </w:r>
      <w:bookmarkEnd w:id="265"/>
    </w:p>
    <w:p w14:paraId="51F0357E" w14:textId="77777777" w:rsidR="00D46430" w:rsidRPr="00CD5673" w:rsidRDefault="00D46430" w:rsidP="00D46430">
      <w:pPr>
        <w:pStyle w:val="subsection"/>
      </w:pPr>
      <w:r w:rsidRPr="00CD5673">
        <w:tab/>
        <w:t>(1)</w:t>
      </w:r>
      <w:r w:rsidRPr="00CD5673">
        <w:tab/>
        <w:t>The liquidator must, as soon as practicable, declare and distribute a dividend among the creditors whose debts or claims have been admitted.</w:t>
      </w:r>
    </w:p>
    <w:p w14:paraId="0740F7BF" w14:textId="77777777" w:rsidR="00D46430" w:rsidRPr="00CD5673" w:rsidRDefault="00D46430" w:rsidP="00D46430">
      <w:pPr>
        <w:pStyle w:val="subsection"/>
      </w:pPr>
      <w:r w:rsidRPr="00CD5673">
        <w:tab/>
        <w:t>(2)</w:t>
      </w:r>
      <w:r w:rsidRPr="00CD5673">
        <w:tab/>
        <w:t>The liquidator must distribute as dividend all money in hand except enough:</w:t>
      </w:r>
    </w:p>
    <w:p w14:paraId="626D0D1D" w14:textId="77777777" w:rsidR="00D46430" w:rsidRPr="00CD5673" w:rsidRDefault="00D46430" w:rsidP="00D46430">
      <w:pPr>
        <w:pStyle w:val="paragraph"/>
      </w:pPr>
      <w:r w:rsidRPr="00CD5673">
        <w:tab/>
        <w:t>(a)</w:t>
      </w:r>
      <w:r w:rsidRPr="00CD5673">
        <w:tab/>
        <w:t>to meet the costs of administration; or</w:t>
      </w:r>
    </w:p>
    <w:p w14:paraId="0C9CEA41" w14:textId="77777777" w:rsidR="00D46430" w:rsidRPr="00CD5673" w:rsidRDefault="00D46430" w:rsidP="00D46430">
      <w:pPr>
        <w:pStyle w:val="paragraph"/>
      </w:pPr>
      <w:r w:rsidRPr="00CD5673">
        <w:tab/>
        <w:t>(b)</w:t>
      </w:r>
      <w:r w:rsidRPr="00CD5673">
        <w:tab/>
        <w:t>to give effect to the provisions of the Act.</w:t>
      </w:r>
    </w:p>
    <w:p w14:paraId="7AD3757C" w14:textId="77777777" w:rsidR="00D46430" w:rsidRPr="00CD5673" w:rsidRDefault="00D46430" w:rsidP="00D46430">
      <w:pPr>
        <w:pStyle w:val="subsection"/>
      </w:pPr>
      <w:r w:rsidRPr="00CD5673">
        <w:tab/>
        <w:t>(3)</w:t>
      </w:r>
      <w:r w:rsidRPr="00CD5673">
        <w:tab/>
        <w:t>If the liquidator declares a dividend, he or she must send a notice of that declaration, in accordance with Form 549, to every person entitled to receive payment of the dividend.</w:t>
      </w:r>
    </w:p>
    <w:p w14:paraId="1D4F06E4" w14:textId="77777777" w:rsidR="00D46430" w:rsidRPr="00CD5673" w:rsidRDefault="00D46430" w:rsidP="00D46430">
      <w:pPr>
        <w:pStyle w:val="ActHead5"/>
      </w:pPr>
      <w:bookmarkStart w:id="266" w:name="_Toc158711875"/>
      <w:r w:rsidRPr="00C614F1">
        <w:rPr>
          <w:rStyle w:val="CharSectno"/>
        </w:rPr>
        <w:t>5.6.67A</w:t>
      </w:r>
      <w:r w:rsidRPr="00CD5673">
        <w:t xml:space="preserve">  Single declaration and distribution of dividend for companies in simplified liquidation</w:t>
      </w:r>
      <w:bookmarkEnd w:id="266"/>
    </w:p>
    <w:p w14:paraId="7BC82195" w14:textId="77777777" w:rsidR="00D46430" w:rsidRPr="00CD5673" w:rsidRDefault="00D46430" w:rsidP="00D46430">
      <w:pPr>
        <w:pStyle w:val="subsection"/>
      </w:pPr>
      <w:r w:rsidRPr="00CD5673">
        <w:tab/>
      </w:r>
      <w:r w:rsidRPr="00CD5673">
        <w:tab/>
        <w:t>The liquidator of a company that is subject to the simplified liquidation process may declare and distribute a dividend only once among creditors whose debts or claims have been admitted.</w:t>
      </w:r>
    </w:p>
    <w:p w14:paraId="47BD3947" w14:textId="77777777" w:rsidR="00D46430" w:rsidRPr="00CD5673" w:rsidRDefault="00D46430" w:rsidP="00D46430">
      <w:pPr>
        <w:pStyle w:val="ActHead5"/>
      </w:pPr>
      <w:bookmarkStart w:id="267" w:name="_Toc158711876"/>
      <w:r w:rsidRPr="00C614F1">
        <w:rPr>
          <w:rStyle w:val="CharSectno"/>
        </w:rPr>
        <w:t>5.6.68</w:t>
      </w:r>
      <w:r w:rsidRPr="00CD5673">
        <w:t xml:space="preserve">  Rights of creditor who has not proved debt before declaration of dividend</w:t>
      </w:r>
      <w:bookmarkEnd w:id="267"/>
    </w:p>
    <w:p w14:paraId="414B4537" w14:textId="77777777" w:rsidR="00D46430" w:rsidRPr="00CD5673" w:rsidRDefault="00D46430" w:rsidP="00D46430">
      <w:pPr>
        <w:pStyle w:val="subsection"/>
      </w:pPr>
      <w:r w:rsidRPr="00CD5673">
        <w:tab/>
        <w:t>(1)</w:t>
      </w:r>
      <w:r w:rsidRPr="00CD5673">
        <w:tab/>
        <w:t>If:</w:t>
      </w:r>
    </w:p>
    <w:p w14:paraId="7FAB2272" w14:textId="77777777" w:rsidR="00D46430" w:rsidRPr="00CD5673" w:rsidRDefault="00D46430" w:rsidP="00D46430">
      <w:pPr>
        <w:pStyle w:val="paragraph"/>
      </w:pPr>
      <w:r w:rsidRPr="00CD5673">
        <w:tab/>
        <w:t>(a)</w:t>
      </w:r>
      <w:r w:rsidRPr="00CD5673">
        <w:tab/>
        <w:t>a creditor’s debt or claim has not been admitted before the declaration of a dividend; and</w:t>
      </w:r>
    </w:p>
    <w:p w14:paraId="63557CF4" w14:textId="77777777" w:rsidR="00D46430" w:rsidRPr="00CD5673" w:rsidRDefault="00D46430" w:rsidP="00D46430">
      <w:pPr>
        <w:pStyle w:val="paragraph"/>
        <w:keepNext/>
        <w:keepLines/>
      </w:pPr>
      <w:r w:rsidRPr="00CD5673">
        <w:tab/>
        <w:t>(b)</w:t>
      </w:r>
      <w:r w:rsidRPr="00CD5673">
        <w:tab/>
        <w:t>the debt or claim is admitted;</w:t>
      </w:r>
    </w:p>
    <w:p w14:paraId="61A77B20" w14:textId="77777777" w:rsidR="00D46430" w:rsidRPr="00CD5673" w:rsidRDefault="00D46430" w:rsidP="00D46430">
      <w:pPr>
        <w:pStyle w:val="subsection2"/>
      </w:pPr>
      <w:r w:rsidRPr="00CD5673">
        <w:t>the creditor is entitled to be paid dividends that the creditor has failed to receive, out of any available money for the time being in the hands of the liquidator, before that money is applied to the payment of a further dividend.</w:t>
      </w:r>
    </w:p>
    <w:p w14:paraId="712B5656" w14:textId="77777777" w:rsidR="00D46430" w:rsidRPr="00CD5673" w:rsidRDefault="00D46430" w:rsidP="00D46430">
      <w:pPr>
        <w:pStyle w:val="subsection"/>
      </w:pPr>
      <w:r w:rsidRPr="00CD5673">
        <w:tab/>
        <w:t>(2)</w:t>
      </w:r>
      <w:r w:rsidRPr="00CD5673">
        <w:tab/>
        <w:t>A creditor is not entitled to disturb the distribution of a dividend declared before the creditor’s debt or claim was admitted.</w:t>
      </w:r>
    </w:p>
    <w:p w14:paraId="269C07AC" w14:textId="77777777" w:rsidR="00D46430" w:rsidRPr="00CD5673" w:rsidRDefault="00D46430" w:rsidP="00D46430">
      <w:pPr>
        <w:pStyle w:val="subsection"/>
      </w:pPr>
      <w:r w:rsidRPr="00CD5673">
        <w:tab/>
        <w:t>(3)</w:t>
      </w:r>
      <w:r w:rsidRPr="00CD5673">
        <w:tab/>
        <w:t>This regulation does not apply in relation to a creditor of a company that is subject to the simplified liquidation process.</w:t>
      </w:r>
    </w:p>
    <w:p w14:paraId="4ADF10A6" w14:textId="77777777" w:rsidR="00D46430" w:rsidRPr="00CD5673" w:rsidRDefault="00D46430" w:rsidP="00D46430">
      <w:pPr>
        <w:pStyle w:val="ActHead5"/>
      </w:pPr>
      <w:bookmarkStart w:id="268" w:name="_Toc158711877"/>
      <w:r w:rsidRPr="00C614F1">
        <w:rPr>
          <w:rStyle w:val="CharSectno"/>
        </w:rPr>
        <w:t>5.6.69</w:t>
      </w:r>
      <w:r w:rsidRPr="00CD5673">
        <w:t xml:space="preserve">  Postponement of declaration</w:t>
      </w:r>
      <w:bookmarkEnd w:id="268"/>
    </w:p>
    <w:p w14:paraId="6A8E8EDD" w14:textId="77777777" w:rsidR="00D46430" w:rsidRPr="00CD5673" w:rsidRDefault="00D46430" w:rsidP="00D46430">
      <w:pPr>
        <w:pStyle w:val="subsection"/>
      </w:pPr>
      <w:r w:rsidRPr="00CD5673">
        <w:tab/>
      </w:r>
      <w:r w:rsidRPr="00CD5673">
        <w:tab/>
        <w:t>If the liquidator postpones the declaration of a dividend past the date shown for that purpose in the notice lodged with ASIC in accordance with subregulation 5.6.75(4), the liquidator must lodge another notice with ASIC for publication on the publication website of the liquidator’s intention to declare a dividend.</w:t>
      </w:r>
    </w:p>
    <w:p w14:paraId="7A0B96F6" w14:textId="77777777" w:rsidR="00D46430" w:rsidRPr="00CD5673" w:rsidRDefault="00D46430" w:rsidP="00D46430">
      <w:pPr>
        <w:pStyle w:val="ActHead5"/>
      </w:pPr>
      <w:bookmarkStart w:id="269" w:name="_Toc158711878"/>
      <w:r w:rsidRPr="00C614F1">
        <w:rPr>
          <w:rStyle w:val="CharSectno"/>
        </w:rPr>
        <w:t>5.6.70</w:t>
      </w:r>
      <w:r w:rsidRPr="00CD5673">
        <w:t xml:space="preserve">  Payment of dividend to a person named</w:t>
      </w:r>
      <w:bookmarkEnd w:id="269"/>
    </w:p>
    <w:p w14:paraId="29AB640A" w14:textId="77777777" w:rsidR="00D46430" w:rsidRPr="00CD5673" w:rsidRDefault="00D46430" w:rsidP="00D46430">
      <w:pPr>
        <w:pStyle w:val="subsection"/>
      </w:pPr>
      <w:r w:rsidRPr="00CD5673">
        <w:tab/>
      </w:r>
      <w:r w:rsidRPr="00CD5673">
        <w:tab/>
        <w:t>If a person to whom a dividend is payable lodges an authority in accordance with Form 550 with the liquidator, the liquidator must pay the dividend to the person to whom payment is directed by that authority.</w:t>
      </w:r>
    </w:p>
    <w:p w14:paraId="2F299319" w14:textId="77777777" w:rsidR="00D46430" w:rsidRPr="00CD5673" w:rsidRDefault="00D46430" w:rsidP="00D46430">
      <w:pPr>
        <w:pStyle w:val="ActHead5"/>
      </w:pPr>
      <w:bookmarkStart w:id="270" w:name="_Toc158711879"/>
      <w:r w:rsidRPr="00C614F1">
        <w:rPr>
          <w:rStyle w:val="CharSectno"/>
        </w:rPr>
        <w:t>5.6.70A</w:t>
      </w:r>
      <w:r w:rsidRPr="00CD5673">
        <w:t xml:space="preserve">  Prescribed rate of interest on debts and claims from relevant date to date of payment</w:t>
      </w:r>
      <w:bookmarkEnd w:id="270"/>
    </w:p>
    <w:p w14:paraId="68FCFA26" w14:textId="77777777" w:rsidR="00D46430" w:rsidRPr="00CD5673" w:rsidRDefault="00D46430" w:rsidP="00D46430">
      <w:pPr>
        <w:pStyle w:val="subsection"/>
      </w:pPr>
      <w:r w:rsidRPr="00CD5673">
        <w:tab/>
      </w:r>
      <w:r w:rsidRPr="00CD5673">
        <w:tab/>
        <w:t>For section 563B of the Act, the prescribed rate of interest on the amount paid in respect of an admitted debt or claim for the period starting on the relevant date and ending on the day on which the payment is made is 8% a year.</w:t>
      </w:r>
    </w:p>
    <w:p w14:paraId="4C157C5D" w14:textId="77777777" w:rsidR="00D46430" w:rsidRPr="00CD5673" w:rsidRDefault="00D46430" w:rsidP="00D46430">
      <w:pPr>
        <w:pStyle w:val="ActHead5"/>
      </w:pPr>
      <w:bookmarkStart w:id="271" w:name="_Toc158711880"/>
      <w:r w:rsidRPr="00C614F1">
        <w:rPr>
          <w:rStyle w:val="CharSectno"/>
        </w:rPr>
        <w:lastRenderedPageBreak/>
        <w:t>5.6.70B</w:t>
      </w:r>
      <w:r w:rsidRPr="00CD5673">
        <w:t xml:space="preserve">  Notice of disclaimer</w:t>
      </w:r>
      <w:bookmarkEnd w:id="271"/>
    </w:p>
    <w:p w14:paraId="6F50DF96" w14:textId="77777777" w:rsidR="00D46430" w:rsidRPr="00CD5673" w:rsidRDefault="00D46430" w:rsidP="00D46430">
      <w:pPr>
        <w:pStyle w:val="subsection"/>
      </w:pPr>
      <w:r w:rsidRPr="00CD5673">
        <w:tab/>
        <w:t>(1)</w:t>
      </w:r>
      <w:r w:rsidRPr="00CD5673">
        <w:tab/>
        <w:t>This regulation is made for subsection 568A(2) of the Act.</w:t>
      </w:r>
    </w:p>
    <w:p w14:paraId="0C9E7B9A" w14:textId="77777777" w:rsidR="00D46430" w:rsidRPr="00CD5673" w:rsidRDefault="00D46430" w:rsidP="00D46430">
      <w:pPr>
        <w:pStyle w:val="subsection"/>
      </w:pPr>
      <w:r w:rsidRPr="00CD5673">
        <w:tab/>
        <w:t>(2)</w:t>
      </w:r>
      <w:r w:rsidRPr="00CD5673">
        <w:tab/>
        <w:t>The information about a disclaimer that is to be set out in a notice is at least the following information:</w:t>
      </w:r>
    </w:p>
    <w:p w14:paraId="36F86B08" w14:textId="77777777" w:rsidR="00D46430" w:rsidRPr="00CD5673" w:rsidRDefault="00D46430" w:rsidP="00D46430">
      <w:pPr>
        <w:pStyle w:val="paragraph"/>
      </w:pPr>
      <w:r w:rsidRPr="00CD5673">
        <w:tab/>
        <w:t>(a)</w:t>
      </w:r>
      <w:r w:rsidRPr="00CD5673">
        <w:tab/>
        <w:t>the name of the company;</w:t>
      </w:r>
    </w:p>
    <w:p w14:paraId="732EF290" w14:textId="77777777" w:rsidR="00D46430" w:rsidRPr="00CD5673" w:rsidRDefault="00D46430" w:rsidP="00D46430">
      <w:pPr>
        <w:pStyle w:val="paragraph"/>
      </w:pPr>
      <w:r w:rsidRPr="00CD5673">
        <w:tab/>
        <w:t>(b)</w:t>
      </w:r>
      <w:r w:rsidRPr="00CD5673">
        <w:tab/>
        <w:t>any trading name of the company;</w:t>
      </w:r>
    </w:p>
    <w:p w14:paraId="6B1C644A" w14:textId="77777777" w:rsidR="00D46430" w:rsidRPr="00CD5673" w:rsidRDefault="00D46430" w:rsidP="00D46430">
      <w:pPr>
        <w:pStyle w:val="paragraph"/>
      </w:pPr>
      <w:r w:rsidRPr="00CD5673">
        <w:tab/>
        <w:t>(c)</w:t>
      </w:r>
      <w:r w:rsidRPr="00CD5673">
        <w:tab/>
        <w:t>the ACN of the company;</w:t>
      </w:r>
    </w:p>
    <w:p w14:paraId="3B404CF7" w14:textId="77777777" w:rsidR="00D46430" w:rsidRPr="00CD5673" w:rsidRDefault="00D46430" w:rsidP="00D46430">
      <w:pPr>
        <w:pStyle w:val="paragraph"/>
      </w:pPr>
      <w:r w:rsidRPr="00CD5673">
        <w:tab/>
        <w:t>(ca)</w:t>
      </w:r>
      <w:r w:rsidRPr="00CD5673">
        <w:tab/>
        <w:t>if subsection 568A(2) of the Act applies for a sub</w:t>
      </w:r>
      <w:r w:rsidR="00C614F1">
        <w:noBreakHyphen/>
      </w:r>
      <w:r w:rsidRPr="00CD5673">
        <w:t>fund of a CCIV because of section 1237B of the Act—the ARFN of the sub</w:t>
      </w:r>
      <w:r w:rsidR="00C614F1">
        <w:noBreakHyphen/>
      </w:r>
      <w:r w:rsidRPr="00CD5673">
        <w:t>fund;</w:t>
      </w:r>
    </w:p>
    <w:p w14:paraId="2CD570BB" w14:textId="77777777" w:rsidR="00D46430" w:rsidRPr="00CD5673" w:rsidRDefault="00D46430" w:rsidP="00D46430">
      <w:pPr>
        <w:pStyle w:val="paragraph"/>
      </w:pPr>
      <w:r w:rsidRPr="00CD5673">
        <w:tab/>
        <w:t>(d)</w:t>
      </w:r>
      <w:r w:rsidRPr="00CD5673">
        <w:tab/>
        <w:t>the paragraph of subsection 568(1) of the Act under which the property is disclaimed;</w:t>
      </w:r>
    </w:p>
    <w:p w14:paraId="135276F9" w14:textId="77777777" w:rsidR="00D46430" w:rsidRPr="00CD5673" w:rsidRDefault="00D46430" w:rsidP="00D46430">
      <w:pPr>
        <w:pStyle w:val="paragraph"/>
      </w:pPr>
      <w:r w:rsidRPr="00CD5673">
        <w:tab/>
        <w:t>(e)</w:t>
      </w:r>
      <w:r w:rsidRPr="00CD5673">
        <w:tab/>
        <w:t>a description of the property;</w:t>
      </w:r>
    </w:p>
    <w:p w14:paraId="5DAAFB68" w14:textId="77777777" w:rsidR="00D46430" w:rsidRPr="00CD5673" w:rsidRDefault="00D46430" w:rsidP="00D46430">
      <w:pPr>
        <w:pStyle w:val="paragraph"/>
      </w:pPr>
      <w:r w:rsidRPr="00CD5673">
        <w:tab/>
        <w:t>(f)</w:t>
      </w:r>
      <w:r w:rsidRPr="00CD5673">
        <w:tab/>
        <w:t>if the property is a contract (other than an unprofitable contract or a lease of land)—the date on which the Court granted leave under subsection 568(1A) of the Act;</w:t>
      </w:r>
    </w:p>
    <w:p w14:paraId="037BB387" w14:textId="77777777" w:rsidR="00D46430" w:rsidRPr="00CD5673" w:rsidRDefault="00D46430" w:rsidP="00D46430">
      <w:pPr>
        <w:pStyle w:val="paragraph"/>
      </w:pPr>
      <w:r w:rsidRPr="00CD5673">
        <w:tab/>
        <w:t>(g)</w:t>
      </w:r>
      <w:r w:rsidRPr="00CD5673">
        <w:tab/>
        <w:t>the name and contact details of the liquidator.</w:t>
      </w:r>
    </w:p>
    <w:p w14:paraId="3BA3075A" w14:textId="77777777" w:rsidR="00D46430" w:rsidRPr="00CD5673" w:rsidRDefault="00D46430" w:rsidP="00D46430">
      <w:pPr>
        <w:pStyle w:val="notetext"/>
      </w:pPr>
      <w:r w:rsidRPr="00CD5673">
        <w:t>Note:</w:t>
      </w:r>
      <w:r w:rsidRPr="00CD5673">
        <w:tab/>
        <w:t>If subsection 568A(2) of the Act applies for a sub</w:t>
      </w:r>
      <w:r w:rsidR="00C614F1">
        <w:noBreakHyphen/>
      </w:r>
      <w:r w:rsidRPr="00CD5673">
        <w:t>fund of a CCIV because of section 1237B of the Act, that section translates most of this sub</w:t>
      </w:r>
      <w:r w:rsidR="00C614F1">
        <w:noBreakHyphen/>
      </w:r>
      <w:r w:rsidRPr="00CD5673">
        <w:t>regulation’s references to the company so that they are references to the sub</w:t>
      </w:r>
      <w:r w:rsidR="00C614F1">
        <w:noBreakHyphen/>
      </w:r>
      <w:r w:rsidRPr="00CD5673">
        <w:t>fund.</w:t>
      </w:r>
    </w:p>
    <w:p w14:paraId="785DE235" w14:textId="77777777" w:rsidR="00D46430" w:rsidRPr="00CD5673" w:rsidRDefault="00D46430" w:rsidP="00D46430">
      <w:pPr>
        <w:pStyle w:val="ActHead5"/>
      </w:pPr>
      <w:bookmarkStart w:id="272" w:name="_Toc158711881"/>
      <w:r w:rsidRPr="00C614F1">
        <w:rPr>
          <w:rStyle w:val="CharSectno"/>
        </w:rPr>
        <w:t>5.6.71</w:t>
      </w:r>
      <w:r w:rsidRPr="00CD5673">
        <w:t xml:space="preserve">  Distribution of surplus in a winding up by the Court</w:t>
      </w:r>
      <w:bookmarkEnd w:id="272"/>
    </w:p>
    <w:p w14:paraId="44BBF547" w14:textId="77777777" w:rsidR="00D46430" w:rsidRPr="00CD5673" w:rsidRDefault="00D46430" w:rsidP="00D46430">
      <w:pPr>
        <w:pStyle w:val="subsection"/>
      </w:pPr>
      <w:r w:rsidRPr="00CD5673">
        <w:tab/>
        <w:t>(1)</w:t>
      </w:r>
      <w:r w:rsidRPr="00CD5673">
        <w:tab/>
        <w:t>An order in a winding up by the Court authorising the liquidator to distribute any surplus to a person entitled to it must, unless the Court otherwise directs, have annexed to it a schedule in accordance with Form 551.</w:t>
      </w:r>
    </w:p>
    <w:p w14:paraId="79BD7F87" w14:textId="77777777" w:rsidR="00D46430" w:rsidRPr="00CD5673" w:rsidRDefault="00D46430" w:rsidP="00D46430">
      <w:pPr>
        <w:pStyle w:val="subsection"/>
      </w:pPr>
      <w:r w:rsidRPr="00CD5673">
        <w:tab/>
        <w:t>(2)</w:t>
      </w:r>
      <w:r w:rsidRPr="00CD5673">
        <w:tab/>
        <w:t>The liquidator must send to each person to whom any surplus is distributed a notice in accordance with Form 552.</w:t>
      </w:r>
    </w:p>
    <w:p w14:paraId="75D25CF8" w14:textId="77777777" w:rsidR="00D46430" w:rsidRPr="00CD5673" w:rsidRDefault="00D46430" w:rsidP="00D46430">
      <w:pPr>
        <w:pStyle w:val="ActHead5"/>
      </w:pPr>
      <w:bookmarkStart w:id="273" w:name="_Toc158711882"/>
      <w:r w:rsidRPr="00C614F1">
        <w:rPr>
          <w:rStyle w:val="CharSectno"/>
        </w:rPr>
        <w:t>5.6.72</w:t>
      </w:r>
      <w:r w:rsidRPr="00CD5673">
        <w:t xml:space="preserve">  Distribution of surplus as directed</w:t>
      </w:r>
      <w:bookmarkEnd w:id="273"/>
    </w:p>
    <w:p w14:paraId="22458AE9" w14:textId="77777777" w:rsidR="00D46430" w:rsidRPr="00CD5673" w:rsidRDefault="00D46430" w:rsidP="00D46430">
      <w:pPr>
        <w:pStyle w:val="subsection"/>
      </w:pPr>
      <w:r w:rsidRPr="00CD5673">
        <w:tab/>
      </w:r>
      <w:r w:rsidRPr="00CD5673">
        <w:tab/>
        <w:t>If a person who receives a notice of distribution of surplus in accordance with subregulation 5.6.71(2) lodges with the liquidator an authority in accordance with Form 553, the liquidator must distribute that surplus to the person to whom payment is directed by that authority.</w:t>
      </w:r>
    </w:p>
    <w:p w14:paraId="60EEC703" w14:textId="77777777" w:rsidR="00D46430" w:rsidRPr="00CD5673" w:rsidRDefault="00D46430" w:rsidP="00D46430">
      <w:pPr>
        <w:pStyle w:val="ActHead5"/>
      </w:pPr>
      <w:bookmarkStart w:id="274" w:name="_Toc158711883"/>
      <w:r w:rsidRPr="00C614F1">
        <w:rPr>
          <w:rStyle w:val="CharSectno"/>
        </w:rPr>
        <w:t>5.6.73</w:t>
      </w:r>
      <w:r w:rsidRPr="00CD5673">
        <w:t xml:space="preserve">  Eligible unsecured creditor</w:t>
      </w:r>
      <w:bookmarkEnd w:id="274"/>
    </w:p>
    <w:p w14:paraId="4355AB09" w14:textId="77777777" w:rsidR="00D46430" w:rsidRPr="00CD5673" w:rsidRDefault="00D46430" w:rsidP="00D46430">
      <w:pPr>
        <w:pStyle w:val="SubsectionHead"/>
      </w:pPr>
      <w:r w:rsidRPr="00CD5673">
        <w:t>Creditors that are eligible unsecured creditors</w:t>
      </w:r>
    </w:p>
    <w:p w14:paraId="488F5628" w14:textId="77777777" w:rsidR="00D46430" w:rsidRPr="00CD5673" w:rsidRDefault="00D46430" w:rsidP="00D46430">
      <w:pPr>
        <w:pStyle w:val="subsection"/>
      </w:pPr>
      <w:r w:rsidRPr="00CD5673">
        <w:tab/>
        <w:t>(1)</w:t>
      </w:r>
      <w:r w:rsidRPr="00CD5673">
        <w:tab/>
        <w:t>For paragraph 579Q(1)(b) of the Act, the following creditors are specified:</w:t>
      </w:r>
    </w:p>
    <w:p w14:paraId="3DE906DC" w14:textId="77777777" w:rsidR="00D46430" w:rsidRPr="00CD5673" w:rsidRDefault="00D46430" w:rsidP="00D46430">
      <w:pPr>
        <w:pStyle w:val="paragraph"/>
      </w:pPr>
      <w:r w:rsidRPr="00CD5673">
        <w:tab/>
        <w:t>(a)</w:t>
      </w:r>
      <w:r w:rsidRPr="00CD5673">
        <w:tab/>
        <w:t>a creditor to which either of the following applies as a result of a modification of the Act made under paragraph 571(1)(d) of the Act:</w:t>
      </w:r>
    </w:p>
    <w:p w14:paraId="2FB906F5" w14:textId="77777777" w:rsidR="00D46430" w:rsidRPr="00CD5673" w:rsidRDefault="00D46430" w:rsidP="00D46430">
      <w:pPr>
        <w:pStyle w:val="paragraphsub"/>
      </w:pPr>
      <w:r w:rsidRPr="00CD5673">
        <w:tab/>
        <w:t>(i)</w:t>
      </w:r>
      <w:r w:rsidRPr="00CD5673">
        <w:tab/>
        <w:t>a debt payable by a company or companies in a group to any other company or companies in the group is not extinguished;</w:t>
      </w:r>
    </w:p>
    <w:p w14:paraId="684CA118" w14:textId="77777777" w:rsidR="00D46430" w:rsidRPr="00CD5673" w:rsidRDefault="00D46430" w:rsidP="00D46430">
      <w:pPr>
        <w:pStyle w:val="paragraphsub"/>
      </w:pPr>
      <w:r w:rsidRPr="00CD5673">
        <w:tab/>
        <w:t>(ii)</w:t>
      </w:r>
      <w:r w:rsidRPr="00CD5673">
        <w:tab/>
        <w:t>a claim that a company or companies in a group has against any other company or companies in the group is not extinguished;</w:t>
      </w:r>
    </w:p>
    <w:p w14:paraId="5ECD097B" w14:textId="77777777" w:rsidR="00D46430" w:rsidRPr="00CD5673" w:rsidRDefault="00D46430" w:rsidP="00D46430">
      <w:pPr>
        <w:pStyle w:val="paragraph"/>
      </w:pPr>
      <w:r w:rsidRPr="00CD5673">
        <w:tab/>
        <w:t>(b)</w:t>
      </w:r>
      <w:r w:rsidRPr="00CD5673">
        <w:tab/>
        <w:t>a creditor that is determined by a Court to be an eligible unsecured creditor.</w:t>
      </w:r>
    </w:p>
    <w:p w14:paraId="7AF1A5DF" w14:textId="77777777" w:rsidR="00D46430" w:rsidRPr="00CD5673" w:rsidRDefault="00D46430" w:rsidP="00D46430">
      <w:pPr>
        <w:pStyle w:val="SubsectionHead"/>
      </w:pPr>
      <w:r w:rsidRPr="00CD5673">
        <w:t>Creditors that are not eligible unsecured creditors</w:t>
      </w:r>
    </w:p>
    <w:p w14:paraId="23755553" w14:textId="77777777" w:rsidR="00D46430" w:rsidRPr="00CD5673" w:rsidRDefault="00D46430" w:rsidP="00D46430">
      <w:pPr>
        <w:pStyle w:val="subsection"/>
      </w:pPr>
      <w:r w:rsidRPr="00CD5673">
        <w:tab/>
        <w:t>(2)</w:t>
      </w:r>
      <w:r w:rsidRPr="00CD5673">
        <w:tab/>
        <w:t>For subsection 579Q(2) of the Act, a creditor that is determined by a Court not to be an eligible unsecured creditor is specified.</w:t>
      </w:r>
    </w:p>
    <w:p w14:paraId="675707A0" w14:textId="77777777" w:rsidR="009D16C0" w:rsidRPr="00BE1284" w:rsidRDefault="009D16C0" w:rsidP="009D16C0">
      <w:pPr>
        <w:pStyle w:val="ActHead5"/>
      </w:pPr>
      <w:bookmarkStart w:id="275" w:name="_Toc158711884"/>
      <w:r w:rsidRPr="00C614F1">
        <w:rPr>
          <w:rStyle w:val="CharSectno"/>
        </w:rPr>
        <w:t>5.6.74</w:t>
      </w:r>
      <w:r w:rsidRPr="00BE1284">
        <w:t xml:space="preserve">  </w:t>
      </w:r>
      <w:r>
        <w:t>E</w:t>
      </w:r>
      <w:r w:rsidRPr="00BE1284">
        <w:t>xternal administration matters—prescribed countries</w:t>
      </w:r>
      <w:bookmarkEnd w:id="275"/>
    </w:p>
    <w:p w14:paraId="10CC60FE" w14:textId="77777777" w:rsidR="009D16C0" w:rsidRPr="00BE1284" w:rsidRDefault="009D16C0" w:rsidP="009D16C0">
      <w:pPr>
        <w:pStyle w:val="subsection"/>
      </w:pPr>
      <w:r w:rsidRPr="00BE1284">
        <w:tab/>
      </w:r>
      <w:r w:rsidRPr="00BE1284">
        <w:tab/>
        <w:t xml:space="preserve">For the purposes of </w:t>
      </w:r>
      <w:r>
        <w:t>subparagraph 5</w:t>
      </w:r>
      <w:r w:rsidRPr="00BE1284">
        <w:t>81(2)(a)(iii) of the Act, the following countries are prescribed:</w:t>
      </w:r>
    </w:p>
    <w:p w14:paraId="0BB197EA" w14:textId="77777777" w:rsidR="009D16C0" w:rsidRPr="00BE1284" w:rsidRDefault="009D16C0" w:rsidP="009D16C0">
      <w:pPr>
        <w:pStyle w:val="paragraph"/>
      </w:pPr>
      <w:r w:rsidRPr="00BE1284">
        <w:tab/>
        <w:t>(a)</w:t>
      </w:r>
      <w:r w:rsidRPr="00BE1284">
        <w:tab/>
        <w:t>the Bailiwick of Jersey;</w:t>
      </w:r>
    </w:p>
    <w:p w14:paraId="371DA2DB" w14:textId="77777777" w:rsidR="009D16C0" w:rsidRPr="00BE1284" w:rsidRDefault="009D16C0" w:rsidP="009D16C0">
      <w:pPr>
        <w:pStyle w:val="paragraph"/>
      </w:pPr>
      <w:r w:rsidRPr="00BE1284">
        <w:tab/>
        <w:t>(b)</w:t>
      </w:r>
      <w:r w:rsidRPr="00BE1284">
        <w:tab/>
        <w:t>Canada;</w:t>
      </w:r>
    </w:p>
    <w:p w14:paraId="06FD83E7" w14:textId="77777777" w:rsidR="009D16C0" w:rsidRPr="00BE1284" w:rsidRDefault="009D16C0" w:rsidP="009D16C0">
      <w:pPr>
        <w:pStyle w:val="paragraph"/>
      </w:pPr>
      <w:r w:rsidRPr="00BE1284">
        <w:tab/>
        <w:t>(c)</w:t>
      </w:r>
      <w:r w:rsidRPr="00BE1284">
        <w:tab/>
        <w:t>the Independent State of Papua New Guinea;</w:t>
      </w:r>
    </w:p>
    <w:p w14:paraId="46B9EE50" w14:textId="77777777" w:rsidR="009D16C0" w:rsidRPr="00BE1284" w:rsidRDefault="009D16C0" w:rsidP="009D16C0">
      <w:pPr>
        <w:pStyle w:val="paragraph"/>
      </w:pPr>
      <w:r w:rsidRPr="00BE1284">
        <w:tab/>
        <w:t>(d)</w:t>
      </w:r>
      <w:r w:rsidRPr="00BE1284">
        <w:tab/>
        <w:t>Malaysia;</w:t>
      </w:r>
    </w:p>
    <w:p w14:paraId="65F85225" w14:textId="77777777" w:rsidR="009D16C0" w:rsidRPr="00BE1284" w:rsidRDefault="009D16C0" w:rsidP="009D16C0">
      <w:pPr>
        <w:pStyle w:val="paragraph"/>
      </w:pPr>
      <w:r w:rsidRPr="00BE1284">
        <w:tab/>
        <w:t>(e)</w:t>
      </w:r>
      <w:r w:rsidRPr="00BE1284">
        <w:tab/>
        <w:t>New Zealand;</w:t>
      </w:r>
    </w:p>
    <w:p w14:paraId="0274428B" w14:textId="77777777" w:rsidR="009D16C0" w:rsidRPr="00BE1284" w:rsidRDefault="009D16C0" w:rsidP="009D16C0">
      <w:pPr>
        <w:pStyle w:val="paragraph"/>
      </w:pPr>
      <w:r w:rsidRPr="00BE1284">
        <w:tab/>
        <w:t>(f)</w:t>
      </w:r>
      <w:r w:rsidRPr="00BE1284">
        <w:tab/>
        <w:t>the Republic of Singapore;</w:t>
      </w:r>
    </w:p>
    <w:p w14:paraId="41296D97" w14:textId="77777777" w:rsidR="009D16C0" w:rsidRPr="00BE1284" w:rsidRDefault="009D16C0" w:rsidP="009D16C0">
      <w:pPr>
        <w:pStyle w:val="paragraph"/>
      </w:pPr>
      <w:r w:rsidRPr="00BE1284">
        <w:tab/>
        <w:t>(g)</w:t>
      </w:r>
      <w:r w:rsidRPr="00BE1284">
        <w:tab/>
        <w:t>Switzerland;</w:t>
      </w:r>
    </w:p>
    <w:p w14:paraId="6D5E224E" w14:textId="77777777" w:rsidR="009D16C0" w:rsidRPr="00BE1284" w:rsidRDefault="009D16C0" w:rsidP="009D16C0">
      <w:pPr>
        <w:pStyle w:val="paragraph"/>
      </w:pPr>
      <w:r w:rsidRPr="00BE1284">
        <w:lastRenderedPageBreak/>
        <w:tab/>
        <w:t>(h)</w:t>
      </w:r>
      <w:r w:rsidRPr="00BE1284">
        <w:tab/>
        <w:t>the United Kingdom;</w:t>
      </w:r>
    </w:p>
    <w:p w14:paraId="4F57031F" w14:textId="77777777" w:rsidR="009D16C0" w:rsidRPr="00BE1284" w:rsidRDefault="009D16C0" w:rsidP="009D16C0">
      <w:pPr>
        <w:pStyle w:val="paragraph"/>
      </w:pPr>
      <w:r w:rsidRPr="00BE1284">
        <w:tab/>
        <w:t>(i)</w:t>
      </w:r>
      <w:r w:rsidRPr="00BE1284">
        <w:tab/>
        <w:t>the United States of America.</w:t>
      </w:r>
    </w:p>
    <w:p w14:paraId="581F8E9B" w14:textId="77777777" w:rsidR="00D46430" w:rsidRPr="00CD5673" w:rsidRDefault="00D46430" w:rsidP="00D46430">
      <w:pPr>
        <w:pStyle w:val="ActHead5"/>
      </w:pPr>
      <w:bookmarkStart w:id="276" w:name="_Toc158711885"/>
      <w:r w:rsidRPr="00C614F1">
        <w:rPr>
          <w:rStyle w:val="CharSectno"/>
        </w:rPr>
        <w:t>5.6.75</w:t>
      </w:r>
      <w:r w:rsidRPr="00CD5673">
        <w:t xml:space="preserve">  Publication in the prescribed manner</w:t>
      </w:r>
      <w:bookmarkEnd w:id="276"/>
    </w:p>
    <w:p w14:paraId="4DAEC20D" w14:textId="77777777" w:rsidR="00D46430" w:rsidRPr="00CD5673" w:rsidRDefault="00D46430" w:rsidP="00D46430">
      <w:pPr>
        <w:pStyle w:val="subsection"/>
      </w:pPr>
      <w:r w:rsidRPr="00CD5673">
        <w:tab/>
        <w:t>(1)</w:t>
      </w:r>
      <w:r w:rsidRPr="00CD5673">
        <w:tab/>
        <w:t xml:space="preserve">ASIC must establish and maintain a website (the </w:t>
      </w:r>
      <w:r w:rsidRPr="00CD5673">
        <w:rPr>
          <w:b/>
          <w:i/>
        </w:rPr>
        <w:t>publication website</w:t>
      </w:r>
      <w:r w:rsidRPr="00CD5673">
        <w:t>) on which it publishes notices that have to be:</w:t>
      </w:r>
    </w:p>
    <w:p w14:paraId="44573C39" w14:textId="77777777" w:rsidR="00D46430" w:rsidRPr="00CD5673" w:rsidRDefault="00D46430" w:rsidP="00D46430">
      <w:pPr>
        <w:pStyle w:val="paragraph"/>
      </w:pPr>
      <w:r w:rsidRPr="00CD5673">
        <w:tab/>
        <w:t>(a)</w:t>
      </w:r>
      <w:r w:rsidRPr="00CD5673">
        <w:tab/>
        <w:t>published in the prescribed manner under Part 5.1, 5.3A, 5.3B, 5.4, 5.4B, 5.4C, 5.5, 5.6, 5.8 or 5A.1 of the Act; or</w:t>
      </w:r>
    </w:p>
    <w:p w14:paraId="61AE25D4" w14:textId="77777777" w:rsidR="00D46430" w:rsidRPr="00CD5673" w:rsidRDefault="00D46430" w:rsidP="00D46430">
      <w:pPr>
        <w:pStyle w:val="paragraph"/>
      </w:pPr>
      <w:r w:rsidRPr="00CD5673">
        <w:tab/>
        <w:t>(b)</w:t>
      </w:r>
      <w:r w:rsidRPr="00CD5673">
        <w:tab/>
        <w:t>lodged in accordance with this section.</w:t>
      </w:r>
    </w:p>
    <w:p w14:paraId="70EE2F06" w14:textId="77777777" w:rsidR="00D46430" w:rsidRPr="00CD5673" w:rsidRDefault="00D46430" w:rsidP="00D46430">
      <w:pPr>
        <w:pStyle w:val="subsection"/>
      </w:pPr>
      <w:r w:rsidRPr="00CD5673">
        <w:tab/>
        <w:t>(2)</w:t>
      </w:r>
      <w:r w:rsidRPr="00CD5673">
        <w:tab/>
        <w:t>ASIC is taken to have complied with a requirement to publish a notice, or a copy of a notice, in the prescribed manner if ASIC publishes the notice on the publication website.</w:t>
      </w:r>
    </w:p>
    <w:p w14:paraId="7C8EE06D" w14:textId="77777777" w:rsidR="00D46430" w:rsidRPr="00CD5673" w:rsidRDefault="00D46430" w:rsidP="00D46430">
      <w:pPr>
        <w:pStyle w:val="subsection"/>
      </w:pPr>
      <w:r w:rsidRPr="00CD5673">
        <w:tab/>
        <w:t>(3)</w:t>
      </w:r>
      <w:r w:rsidRPr="00CD5673">
        <w:tab/>
        <w:t>A person (other than ASIC) is taken to have complied with a requirement to publish a notice, or a copy of a notice, in the prescribed manner if the person electronically lodges the notice with ASIC for publication by ASIC.</w:t>
      </w:r>
    </w:p>
    <w:p w14:paraId="1044C17E" w14:textId="77777777" w:rsidR="00D46430" w:rsidRPr="00CD5673" w:rsidRDefault="00D46430" w:rsidP="00D46430">
      <w:pPr>
        <w:pStyle w:val="subsection"/>
      </w:pPr>
      <w:r w:rsidRPr="00CD5673">
        <w:tab/>
        <w:t>(4)</w:t>
      </w:r>
      <w:r w:rsidRPr="00CD5673">
        <w:tab/>
        <w:t>A person electronically lodges a notice, or a copy of a notice, with ASIC if:</w:t>
      </w:r>
    </w:p>
    <w:p w14:paraId="38BFB70C" w14:textId="77777777" w:rsidR="00D46430" w:rsidRPr="00CD5673" w:rsidRDefault="00D46430" w:rsidP="00D46430">
      <w:pPr>
        <w:pStyle w:val="paragraph"/>
      </w:pPr>
      <w:r w:rsidRPr="00CD5673">
        <w:tab/>
        <w:t>(a)</w:t>
      </w:r>
      <w:r w:rsidRPr="00CD5673">
        <w:tab/>
        <w:t>the person:</w:t>
      </w:r>
    </w:p>
    <w:p w14:paraId="2DDE0AA5" w14:textId="77777777" w:rsidR="00D46430" w:rsidRPr="00CD5673" w:rsidRDefault="00D46430" w:rsidP="00D46430">
      <w:pPr>
        <w:pStyle w:val="paragraphsub"/>
      </w:pPr>
      <w:r w:rsidRPr="00CD5673">
        <w:tab/>
        <w:t>(i)</w:t>
      </w:r>
      <w:r w:rsidRPr="00CD5673">
        <w:tab/>
        <w:t xml:space="preserve">pays the fee prescribed under the </w:t>
      </w:r>
      <w:r w:rsidRPr="00CD5673">
        <w:rPr>
          <w:i/>
          <w:iCs/>
        </w:rPr>
        <w:t xml:space="preserve">Corporations (Fees) </w:t>
      </w:r>
      <w:r w:rsidR="00C614F1">
        <w:rPr>
          <w:i/>
          <w:iCs/>
        </w:rPr>
        <w:t>Regulations 2</w:t>
      </w:r>
      <w:r w:rsidRPr="00CD5673">
        <w:rPr>
          <w:i/>
          <w:iCs/>
        </w:rPr>
        <w:t>001</w:t>
      </w:r>
      <w:r w:rsidRPr="00CD5673">
        <w:t>; and</w:t>
      </w:r>
    </w:p>
    <w:p w14:paraId="3A4B3A20" w14:textId="77777777" w:rsidR="00D46430" w:rsidRPr="00CD5673" w:rsidRDefault="00D46430" w:rsidP="00D46430">
      <w:pPr>
        <w:pStyle w:val="paragraphsub"/>
      </w:pPr>
      <w:r w:rsidRPr="00CD5673">
        <w:tab/>
        <w:t>(ii)</w:t>
      </w:r>
      <w:r w:rsidRPr="00CD5673">
        <w:tab/>
        <w:t>sends the notice in an electronic communication to the portal for ASIC’s publication website, in the format required by ASIC; and</w:t>
      </w:r>
    </w:p>
    <w:p w14:paraId="7301C3D3" w14:textId="77777777" w:rsidR="00D46430" w:rsidRPr="00CD5673" w:rsidRDefault="00D46430" w:rsidP="00D46430">
      <w:pPr>
        <w:pStyle w:val="paragraphsub"/>
      </w:pPr>
      <w:r w:rsidRPr="00CD5673">
        <w:tab/>
        <w:t>(iii)</w:t>
      </w:r>
      <w:r w:rsidRPr="00CD5673">
        <w:tab/>
        <w:t>receives an electronic communication from ASIC that confirms the fee has been paid and the notice has been lodged; or</w:t>
      </w:r>
    </w:p>
    <w:p w14:paraId="25C26C91" w14:textId="77777777" w:rsidR="00D46430" w:rsidRPr="00CD5673" w:rsidRDefault="00D46430" w:rsidP="00D46430">
      <w:pPr>
        <w:pStyle w:val="paragraph"/>
      </w:pPr>
      <w:r w:rsidRPr="00CD5673">
        <w:tab/>
        <w:t>(b)</w:t>
      </w:r>
      <w:r w:rsidRPr="00CD5673">
        <w:tab/>
        <w:t>the notice, or a copy of the notice, appears on the publication website.</w:t>
      </w:r>
    </w:p>
    <w:p w14:paraId="2ECBB458" w14:textId="77777777" w:rsidR="00D46430" w:rsidRPr="00CD5673" w:rsidRDefault="00D46430" w:rsidP="00D46430">
      <w:pPr>
        <w:pStyle w:val="subsection"/>
      </w:pPr>
      <w:r w:rsidRPr="00CD5673">
        <w:tab/>
        <w:t>(5)</w:t>
      </w:r>
      <w:r w:rsidRPr="00CD5673">
        <w:tab/>
        <w:t>If a person lodges a notice, or a copy of a notice, in accordance with subsection (4), ASIC must publish the notice or copy of the notice on the publication website.</w:t>
      </w:r>
    </w:p>
    <w:p w14:paraId="57D25A40" w14:textId="77777777" w:rsidR="00D46430" w:rsidRPr="00CD5673" w:rsidRDefault="00D46430" w:rsidP="00D46430">
      <w:pPr>
        <w:pStyle w:val="notetext"/>
      </w:pPr>
      <w:r w:rsidRPr="00CD5673">
        <w:t>Note:</w:t>
      </w:r>
      <w:r w:rsidRPr="00CD5673">
        <w:tab/>
        <w:t>This regulation is made for section 1367A of the Act.</w:t>
      </w:r>
    </w:p>
    <w:p w14:paraId="3BDD31A0" w14:textId="77777777" w:rsidR="00D46430" w:rsidRPr="00CD5673" w:rsidRDefault="00D46430" w:rsidP="00D46430">
      <w:pPr>
        <w:pStyle w:val="ActHead2"/>
        <w:pageBreakBefore/>
      </w:pPr>
      <w:bookmarkStart w:id="277" w:name="_Toc158711886"/>
      <w:r w:rsidRPr="00C614F1">
        <w:rPr>
          <w:rStyle w:val="CharPartNo"/>
        </w:rPr>
        <w:lastRenderedPageBreak/>
        <w:t>Part 5.7B</w:t>
      </w:r>
      <w:r w:rsidRPr="00CD5673">
        <w:t>—</w:t>
      </w:r>
      <w:r w:rsidRPr="00C614F1">
        <w:rPr>
          <w:rStyle w:val="CharPartText"/>
        </w:rPr>
        <w:t>Recovering property or compensation for the benefit of creditors of insolvent company</w:t>
      </w:r>
      <w:bookmarkEnd w:id="277"/>
    </w:p>
    <w:p w14:paraId="2FC5A1F0"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BE253B8" w14:textId="77777777" w:rsidR="00D46430" w:rsidRPr="00CD5673" w:rsidRDefault="00D46430" w:rsidP="00D46430">
      <w:pPr>
        <w:pStyle w:val="ActHead5"/>
      </w:pPr>
      <w:bookmarkStart w:id="278" w:name="_Toc158711887"/>
      <w:r w:rsidRPr="00C614F1">
        <w:rPr>
          <w:rStyle w:val="CharSectno"/>
        </w:rPr>
        <w:t>5.7B.01</w:t>
      </w:r>
      <w:r w:rsidRPr="00CD5673">
        <w:t xml:space="preserve">  Extension of temporary relief for insolvent trading safe harbour</w:t>
      </w:r>
      <w:bookmarkEnd w:id="278"/>
    </w:p>
    <w:p w14:paraId="44B2AA63" w14:textId="77777777" w:rsidR="00D46430" w:rsidRPr="00CD5673" w:rsidRDefault="00D46430" w:rsidP="00D46430">
      <w:pPr>
        <w:pStyle w:val="subsection"/>
      </w:pPr>
      <w:r w:rsidRPr="00CD5673">
        <w:tab/>
      </w:r>
      <w:r w:rsidRPr="00CD5673">
        <w:tab/>
        <w:t>For the purposes of subparagraph 588GAAA(1)(b)(ii) of the Act, the period prescribed is the period starting on the day that section 588GAAA of the Act commenced and ending at the end of 31 December 2020.</w:t>
      </w:r>
    </w:p>
    <w:p w14:paraId="153F6B10" w14:textId="77777777" w:rsidR="00D46430" w:rsidRPr="00CD5673" w:rsidRDefault="00D46430" w:rsidP="00D46430">
      <w:pPr>
        <w:pStyle w:val="ActHead1"/>
        <w:pageBreakBefore/>
        <w:spacing w:before="120"/>
      </w:pPr>
      <w:bookmarkStart w:id="279" w:name="_Toc158711888"/>
      <w:r w:rsidRPr="00C614F1">
        <w:rPr>
          <w:rStyle w:val="CharChapNo"/>
        </w:rPr>
        <w:lastRenderedPageBreak/>
        <w:t>Chapter 5B</w:t>
      </w:r>
      <w:r w:rsidRPr="00CD5673">
        <w:t>—</w:t>
      </w:r>
      <w:r w:rsidRPr="00C614F1">
        <w:rPr>
          <w:rStyle w:val="CharChapText"/>
        </w:rPr>
        <w:t>Bodies corporate registered as companies, and registrable bodies</w:t>
      </w:r>
      <w:bookmarkEnd w:id="279"/>
    </w:p>
    <w:p w14:paraId="3CFB0926" w14:textId="77777777" w:rsidR="00D46430" w:rsidRPr="00CD5673" w:rsidRDefault="00D46430" w:rsidP="00D46430">
      <w:pPr>
        <w:pStyle w:val="ActHead2"/>
      </w:pPr>
      <w:bookmarkStart w:id="280" w:name="_Toc158711889"/>
      <w:r w:rsidRPr="00C614F1">
        <w:rPr>
          <w:rStyle w:val="CharPartNo"/>
        </w:rPr>
        <w:t>Part 5B.2</w:t>
      </w:r>
      <w:r w:rsidRPr="00CD5673">
        <w:t>—</w:t>
      </w:r>
      <w:r w:rsidRPr="00C614F1">
        <w:rPr>
          <w:rStyle w:val="CharPartText"/>
        </w:rPr>
        <w:t>Registrable bodies</w:t>
      </w:r>
      <w:bookmarkEnd w:id="280"/>
    </w:p>
    <w:p w14:paraId="059AC376"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1D493261" w14:textId="77777777" w:rsidR="00D46430" w:rsidRPr="00CD5673" w:rsidRDefault="00D46430" w:rsidP="00D46430">
      <w:pPr>
        <w:pStyle w:val="ActHead5"/>
      </w:pPr>
      <w:bookmarkStart w:id="281" w:name="_Toc158711890"/>
      <w:r w:rsidRPr="00C614F1">
        <w:rPr>
          <w:rStyle w:val="CharSectno"/>
        </w:rPr>
        <w:t>5B.2.01</w:t>
      </w:r>
      <w:r w:rsidRPr="00CD5673">
        <w:t xml:space="preserve">  Certified copies of certificates of incorporation etc</w:t>
      </w:r>
      <w:bookmarkEnd w:id="281"/>
    </w:p>
    <w:p w14:paraId="1C1E62AC" w14:textId="77777777" w:rsidR="00D46430" w:rsidRPr="00CD5673" w:rsidRDefault="00D46430" w:rsidP="00D46430">
      <w:pPr>
        <w:pStyle w:val="subsection"/>
      </w:pPr>
      <w:r w:rsidRPr="00CD5673">
        <w:tab/>
      </w:r>
      <w:r w:rsidRPr="00CD5673">
        <w:tab/>
        <w:t>For paragraphs 601CB(a) and 601CE(a) of the Act, a certified copy of a current certificate of the incorporation or registration in its place of origin, or a document of similar effect, of:</w:t>
      </w:r>
    </w:p>
    <w:p w14:paraId="54BC1323" w14:textId="77777777" w:rsidR="00D46430" w:rsidRPr="00CD5673" w:rsidRDefault="00D46430" w:rsidP="00D46430">
      <w:pPr>
        <w:pStyle w:val="paragraph"/>
      </w:pPr>
      <w:r w:rsidRPr="00CD5673">
        <w:tab/>
        <w:t>(a)</w:t>
      </w:r>
      <w:r w:rsidRPr="00CD5673">
        <w:tab/>
        <w:t>a registrable Australian body; or</w:t>
      </w:r>
    </w:p>
    <w:p w14:paraId="4E36F776" w14:textId="77777777" w:rsidR="00D46430" w:rsidRPr="00CD5673" w:rsidRDefault="00D46430" w:rsidP="00D46430">
      <w:pPr>
        <w:pStyle w:val="paragraph"/>
      </w:pPr>
      <w:r w:rsidRPr="00CD5673">
        <w:tab/>
        <w:t>(b)</w:t>
      </w:r>
      <w:r w:rsidRPr="00CD5673">
        <w:tab/>
        <w:t>a foreign company;</w:t>
      </w:r>
    </w:p>
    <w:p w14:paraId="2DC04A3A" w14:textId="77777777" w:rsidR="00D46430" w:rsidRPr="00CD5673" w:rsidRDefault="00D46430" w:rsidP="00D46430">
      <w:pPr>
        <w:pStyle w:val="subsection2"/>
      </w:pPr>
      <w:r w:rsidRPr="00CD5673">
        <w:t>that is lodged with an application for registration under Division 1 or 2 of Part 5B.2 of the Act, must be a copy that:</w:t>
      </w:r>
    </w:p>
    <w:p w14:paraId="44EC5D2D" w14:textId="77777777" w:rsidR="00D46430" w:rsidRPr="00CD5673" w:rsidRDefault="00D46430" w:rsidP="00D46430">
      <w:pPr>
        <w:pStyle w:val="paragraph"/>
      </w:pPr>
      <w:r w:rsidRPr="00CD5673">
        <w:tab/>
        <w:t>(c)</w:t>
      </w:r>
      <w:r w:rsidRPr="00CD5673">
        <w:tab/>
        <w:t>within the 3 months immediately before the day on which it is lodged; or</w:t>
      </w:r>
    </w:p>
    <w:p w14:paraId="3ABF537A" w14:textId="77777777" w:rsidR="00D46430" w:rsidRPr="00CD5673" w:rsidRDefault="00D46430" w:rsidP="00D46430">
      <w:pPr>
        <w:pStyle w:val="paragraph"/>
      </w:pPr>
      <w:r w:rsidRPr="00CD5673">
        <w:tab/>
        <w:t>(d)</w:t>
      </w:r>
      <w:r w:rsidRPr="00CD5673">
        <w:tab/>
        <w:t>if ASIC permits—within a longer period;</w:t>
      </w:r>
    </w:p>
    <w:p w14:paraId="58F237C6" w14:textId="77777777" w:rsidR="00D46430" w:rsidRPr="00CD5673" w:rsidRDefault="00D46430" w:rsidP="00D46430">
      <w:pPr>
        <w:pStyle w:val="subsection2"/>
      </w:pPr>
      <w:r w:rsidRPr="00CD5673">
        <w:t>has been certified to be a true copy by a person:</w:t>
      </w:r>
    </w:p>
    <w:p w14:paraId="5F529992" w14:textId="77777777" w:rsidR="00D46430" w:rsidRPr="00CD5673" w:rsidRDefault="00D46430" w:rsidP="00D46430">
      <w:pPr>
        <w:pStyle w:val="paragraph"/>
      </w:pPr>
      <w:r w:rsidRPr="00CD5673">
        <w:tab/>
        <w:t>(e)</w:t>
      </w:r>
      <w:r w:rsidRPr="00CD5673">
        <w:tab/>
        <w:t>who has the custody of the original document under a law in force in the place of origin of the corporation or company; and</w:t>
      </w:r>
    </w:p>
    <w:p w14:paraId="7EDA4C6E" w14:textId="77777777" w:rsidR="00D46430" w:rsidRPr="00CD5673" w:rsidRDefault="00D46430" w:rsidP="00D46430">
      <w:pPr>
        <w:pStyle w:val="paragraph"/>
      </w:pPr>
      <w:r w:rsidRPr="00CD5673">
        <w:tab/>
        <w:t>(f)</w:t>
      </w:r>
      <w:r w:rsidRPr="00CD5673">
        <w:tab/>
        <w:t>who exercises under that law functions similar to those exercised by ASIC.</w:t>
      </w:r>
    </w:p>
    <w:p w14:paraId="17B3025D" w14:textId="77777777" w:rsidR="00D46430" w:rsidRPr="00CD5673" w:rsidRDefault="00D46430" w:rsidP="00D46430">
      <w:pPr>
        <w:pStyle w:val="ActHead5"/>
      </w:pPr>
      <w:bookmarkStart w:id="282" w:name="_Toc158711891"/>
      <w:r w:rsidRPr="00C614F1">
        <w:rPr>
          <w:rStyle w:val="CharSectno"/>
        </w:rPr>
        <w:t>5B.2.02</w:t>
      </w:r>
      <w:r w:rsidRPr="00CD5673">
        <w:t xml:space="preserve">  Manner of certifying constituent documents</w:t>
      </w:r>
      <w:bookmarkEnd w:id="282"/>
    </w:p>
    <w:p w14:paraId="496E5A90" w14:textId="77777777" w:rsidR="00D46430" w:rsidRPr="00CD5673" w:rsidRDefault="00D46430" w:rsidP="00D46430">
      <w:pPr>
        <w:pStyle w:val="subsection"/>
      </w:pPr>
      <w:r w:rsidRPr="00CD5673">
        <w:tab/>
      </w:r>
      <w:r w:rsidRPr="00CD5673">
        <w:tab/>
        <w:t>For paragraphs 601CB(b) and 601CE(b) of the Act, a certified copy of a constitution of:</w:t>
      </w:r>
    </w:p>
    <w:p w14:paraId="299529AB" w14:textId="77777777" w:rsidR="00D46430" w:rsidRPr="00CD5673" w:rsidRDefault="00D46430" w:rsidP="00D46430">
      <w:pPr>
        <w:pStyle w:val="paragraph"/>
      </w:pPr>
      <w:r w:rsidRPr="00CD5673">
        <w:tab/>
        <w:t>(a)</w:t>
      </w:r>
      <w:r w:rsidRPr="00CD5673">
        <w:tab/>
        <w:t>a registrable Australian body; or</w:t>
      </w:r>
    </w:p>
    <w:p w14:paraId="5A6C596A" w14:textId="77777777" w:rsidR="00D46430" w:rsidRPr="00CD5673" w:rsidRDefault="00D46430" w:rsidP="00D46430">
      <w:pPr>
        <w:pStyle w:val="paragraph"/>
      </w:pPr>
      <w:r w:rsidRPr="00CD5673">
        <w:tab/>
        <w:t>(b)</w:t>
      </w:r>
      <w:r w:rsidRPr="00CD5673">
        <w:tab/>
        <w:t>a foreign company;</w:t>
      </w:r>
    </w:p>
    <w:p w14:paraId="09AF1E9D" w14:textId="77777777" w:rsidR="00D46430" w:rsidRPr="00CD5673" w:rsidRDefault="00D46430" w:rsidP="00D46430">
      <w:pPr>
        <w:pStyle w:val="subsection2"/>
      </w:pPr>
      <w:r w:rsidRPr="00CD5673">
        <w:t>must be a copy that:</w:t>
      </w:r>
    </w:p>
    <w:p w14:paraId="1E361E1E" w14:textId="77777777" w:rsidR="00D46430" w:rsidRPr="00CD5673" w:rsidRDefault="00D46430" w:rsidP="00D46430">
      <w:pPr>
        <w:pStyle w:val="paragraph"/>
      </w:pPr>
      <w:r w:rsidRPr="00CD5673">
        <w:tab/>
        <w:t>(c)</w:t>
      </w:r>
      <w:r w:rsidRPr="00CD5673">
        <w:tab/>
        <w:t>within the period of 3 months immediately preceding the day on which it is lodged; or</w:t>
      </w:r>
    </w:p>
    <w:p w14:paraId="1D2E1767" w14:textId="77777777" w:rsidR="00D46430" w:rsidRPr="00CD5673" w:rsidRDefault="00D46430" w:rsidP="00D46430">
      <w:pPr>
        <w:pStyle w:val="paragraph"/>
      </w:pPr>
      <w:r w:rsidRPr="00CD5673">
        <w:tab/>
        <w:t>(d)</w:t>
      </w:r>
      <w:r w:rsidRPr="00CD5673">
        <w:tab/>
        <w:t>if ASIC permits—a longer period;</w:t>
      </w:r>
    </w:p>
    <w:p w14:paraId="0C448E3B" w14:textId="77777777" w:rsidR="00D46430" w:rsidRPr="00CD5673" w:rsidRDefault="00D46430" w:rsidP="00D46430">
      <w:pPr>
        <w:pStyle w:val="subsection2"/>
      </w:pPr>
      <w:r w:rsidRPr="00CD5673">
        <w:t>has been certified to be a true copy:</w:t>
      </w:r>
    </w:p>
    <w:p w14:paraId="3D112FAC" w14:textId="77777777" w:rsidR="00D46430" w:rsidRPr="00CD5673" w:rsidRDefault="00D46430" w:rsidP="00D46430">
      <w:pPr>
        <w:pStyle w:val="paragraph"/>
      </w:pPr>
      <w:r w:rsidRPr="00CD5673">
        <w:tab/>
        <w:t>(e)</w:t>
      </w:r>
      <w:r w:rsidRPr="00CD5673">
        <w:tab/>
        <w:t>by a person:</w:t>
      </w:r>
    </w:p>
    <w:p w14:paraId="575EA2D7" w14:textId="77777777" w:rsidR="00D46430" w:rsidRPr="00CD5673" w:rsidRDefault="00D46430" w:rsidP="00D46430">
      <w:pPr>
        <w:pStyle w:val="paragraphsub"/>
      </w:pPr>
      <w:r w:rsidRPr="00CD5673">
        <w:tab/>
        <w:t>(i)</w:t>
      </w:r>
      <w:r w:rsidRPr="00CD5673">
        <w:tab/>
        <w:t>to whom the custody of the original document is committed under a law in force in the place of origin of the corporation or company; and</w:t>
      </w:r>
    </w:p>
    <w:p w14:paraId="6499E546" w14:textId="77777777" w:rsidR="00D46430" w:rsidRPr="00CD5673" w:rsidRDefault="00D46430" w:rsidP="00D46430">
      <w:pPr>
        <w:pStyle w:val="paragraphsub"/>
      </w:pPr>
      <w:r w:rsidRPr="00CD5673">
        <w:tab/>
        <w:t>(ii)</w:t>
      </w:r>
      <w:r w:rsidRPr="00CD5673">
        <w:tab/>
        <w:t>who exercises under that law functions similar to those exercised by ASIC; or</w:t>
      </w:r>
    </w:p>
    <w:p w14:paraId="7EFDA018" w14:textId="77777777" w:rsidR="00D46430" w:rsidRPr="00CD5673" w:rsidRDefault="00D46430" w:rsidP="00D46430">
      <w:pPr>
        <w:pStyle w:val="paragraph"/>
      </w:pPr>
      <w:r w:rsidRPr="00CD5673">
        <w:tab/>
        <w:t>(f)</w:t>
      </w:r>
      <w:r w:rsidRPr="00CD5673">
        <w:tab/>
        <w:t>by a notary public; or</w:t>
      </w:r>
    </w:p>
    <w:p w14:paraId="62F3A79C" w14:textId="77777777" w:rsidR="00D46430" w:rsidRPr="00CD5673" w:rsidRDefault="00D46430" w:rsidP="00D46430">
      <w:pPr>
        <w:pStyle w:val="paragraph"/>
      </w:pPr>
      <w:r w:rsidRPr="00CD5673">
        <w:tab/>
        <w:t>(g)</w:t>
      </w:r>
      <w:r w:rsidRPr="00CD5673">
        <w:tab/>
        <w:t>by a director or secretary of the body:</w:t>
      </w:r>
    </w:p>
    <w:p w14:paraId="38720548" w14:textId="77777777" w:rsidR="00D46430" w:rsidRPr="00CD5673" w:rsidRDefault="00D46430" w:rsidP="00D46430">
      <w:pPr>
        <w:pStyle w:val="paragraphsub"/>
      </w:pPr>
      <w:r w:rsidRPr="00CD5673">
        <w:tab/>
        <w:t>(i)</w:t>
      </w:r>
      <w:r w:rsidRPr="00CD5673">
        <w:tab/>
        <w:t>if the body is a registrable Australian body—by a statement in writing; or</w:t>
      </w:r>
    </w:p>
    <w:p w14:paraId="09416D6E" w14:textId="77777777" w:rsidR="00D46430" w:rsidRPr="00CD5673" w:rsidRDefault="00D46430" w:rsidP="00D46430">
      <w:pPr>
        <w:pStyle w:val="paragraphsub"/>
      </w:pPr>
      <w:r w:rsidRPr="00CD5673">
        <w:tab/>
        <w:t>(ii)</w:t>
      </w:r>
      <w:r w:rsidRPr="00CD5673">
        <w:tab/>
        <w:t>if the body is a foreign company—by affidavit.</w:t>
      </w:r>
    </w:p>
    <w:p w14:paraId="2E0FD95F" w14:textId="77777777" w:rsidR="00D46430" w:rsidRPr="00CD5673" w:rsidRDefault="00D46430" w:rsidP="00D46430">
      <w:pPr>
        <w:pStyle w:val="ActHead5"/>
      </w:pPr>
      <w:bookmarkStart w:id="283" w:name="_Toc158711892"/>
      <w:r w:rsidRPr="00C614F1">
        <w:rPr>
          <w:rStyle w:val="CharSectno"/>
        </w:rPr>
        <w:t>5B.2.03</w:t>
      </w:r>
      <w:r w:rsidRPr="00CD5673">
        <w:t xml:space="preserve">  Manner of sending letters (Act ss 601CC(2) and 601CL(3))</w:t>
      </w:r>
      <w:bookmarkEnd w:id="283"/>
    </w:p>
    <w:p w14:paraId="3112E522" w14:textId="77777777" w:rsidR="00D46430" w:rsidRPr="00CD5673" w:rsidRDefault="00D46430" w:rsidP="00D46430">
      <w:pPr>
        <w:pStyle w:val="subsection"/>
      </w:pPr>
      <w:r w:rsidRPr="00CD5673">
        <w:tab/>
      </w:r>
      <w:r w:rsidRPr="00CD5673">
        <w:tab/>
        <w:t>For subsections 601CC(2) and 601CL(3) of the Act, a letter must be sent by post.</w:t>
      </w:r>
    </w:p>
    <w:p w14:paraId="3CED181A" w14:textId="77777777" w:rsidR="00D46430" w:rsidRPr="00CD5673" w:rsidRDefault="00D46430" w:rsidP="00D46430">
      <w:pPr>
        <w:pStyle w:val="ActHead5"/>
      </w:pPr>
      <w:bookmarkStart w:id="284" w:name="_Toc158711893"/>
      <w:r w:rsidRPr="00C614F1">
        <w:rPr>
          <w:rStyle w:val="CharSectno"/>
        </w:rPr>
        <w:t>5B.2.04</w:t>
      </w:r>
      <w:r w:rsidRPr="00CD5673">
        <w:t xml:space="preserve">  Manner of sending notices (Act ss 601CC(3) and 601CL(4))</w:t>
      </w:r>
      <w:bookmarkEnd w:id="284"/>
    </w:p>
    <w:p w14:paraId="6EC2739C" w14:textId="77777777" w:rsidR="00D46430" w:rsidRPr="00CD5673" w:rsidRDefault="00D46430" w:rsidP="00D46430">
      <w:pPr>
        <w:pStyle w:val="subsection"/>
      </w:pPr>
      <w:r w:rsidRPr="00CD5673">
        <w:tab/>
      </w:r>
      <w:r w:rsidRPr="00CD5673">
        <w:tab/>
        <w:t>For subsections 601CC(3) and 601CL(4) of the Act, a notice must be sent by prepaid certified mail.</w:t>
      </w:r>
    </w:p>
    <w:p w14:paraId="34DA2388" w14:textId="77777777" w:rsidR="00D46430" w:rsidRPr="00CD5673" w:rsidRDefault="00D46430" w:rsidP="00D46430">
      <w:pPr>
        <w:pStyle w:val="ActHead5"/>
      </w:pPr>
      <w:bookmarkStart w:id="285" w:name="_Toc158711894"/>
      <w:r w:rsidRPr="00C614F1">
        <w:rPr>
          <w:rStyle w:val="CharSectno"/>
        </w:rPr>
        <w:t>5B.2.05</w:t>
      </w:r>
      <w:r w:rsidRPr="00CD5673">
        <w:t xml:space="preserve">  Prescribed countries (Act s 601CDA(a))</w:t>
      </w:r>
      <w:bookmarkEnd w:id="285"/>
    </w:p>
    <w:p w14:paraId="2F91D5A0" w14:textId="77777777" w:rsidR="00D46430" w:rsidRPr="00CD5673" w:rsidRDefault="00D46430" w:rsidP="00D46430">
      <w:pPr>
        <w:pStyle w:val="subsection"/>
      </w:pPr>
      <w:r w:rsidRPr="00CD5673">
        <w:tab/>
      </w:r>
      <w:r w:rsidRPr="00CD5673">
        <w:tab/>
        <w:t>For paragraph 601CDA(a) of the Act, a country mentioned in the following table is prescribed:</w:t>
      </w:r>
    </w:p>
    <w:p w14:paraId="08BD1DF7" w14:textId="77777777" w:rsidR="00D46430" w:rsidRPr="00CD5673" w:rsidRDefault="00D46430" w:rsidP="00D46430">
      <w:pPr>
        <w:pStyle w:val="Tabletext"/>
      </w:pPr>
    </w:p>
    <w:tbl>
      <w:tblPr>
        <w:tblW w:w="5000" w:type="pct"/>
        <w:tblBorders>
          <w:top w:val="single" w:sz="4" w:space="0" w:color="auto"/>
          <w:bottom w:val="single" w:sz="2" w:space="0" w:color="auto"/>
          <w:insideH w:val="single" w:sz="4" w:space="0" w:color="auto"/>
        </w:tblBorders>
        <w:tblLook w:val="01E0" w:firstRow="1" w:lastRow="1" w:firstColumn="1" w:lastColumn="1" w:noHBand="0" w:noVBand="0"/>
      </w:tblPr>
      <w:tblGrid>
        <w:gridCol w:w="1127"/>
        <w:gridCol w:w="9646"/>
      </w:tblGrid>
      <w:tr w:rsidR="00D46430" w:rsidRPr="00CD5673" w14:paraId="1A510E2D" w14:textId="77777777" w:rsidTr="00D46430">
        <w:trPr>
          <w:tblHeader/>
        </w:trPr>
        <w:tc>
          <w:tcPr>
            <w:tcW w:w="523" w:type="pct"/>
            <w:tcBorders>
              <w:top w:val="single" w:sz="12" w:space="0" w:color="auto"/>
              <w:bottom w:val="single" w:sz="12" w:space="0" w:color="auto"/>
            </w:tcBorders>
            <w:shd w:val="clear" w:color="auto" w:fill="auto"/>
          </w:tcPr>
          <w:p w14:paraId="5A33411B" w14:textId="77777777" w:rsidR="00D46430" w:rsidRPr="00CD5673" w:rsidRDefault="00D46430" w:rsidP="00D46430">
            <w:pPr>
              <w:pStyle w:val="TableHeading"/>
            </w:pPr>
            <w:r w:rsidRPr="00CD5673">
              <w:t>Item</w:t>
            </w:r>
          </w:p>
        </w:tc>
        <w:tc>
          <w:tcPr>
            <w:tcW w:w="4477" w:type="pct"/>
            <w:tcBorders>
              <w:top w:val="single" w:sz="12" w:space="0" w:color="auto"/>
              <w:bottom w:val="single" w:sz="12" w:space="0" w:color="auto"/>
            </w:tcBorders>
            <w:shd w:val="clear" w:color="auto" w:fill="auto"/>
          </w:tcPr>
          <w:p w14:paraId="7B55815F" w14:textId="77777777" w:rsidR="00D46430" w:rsidRPr="00CD5673" w:rsidRDefault="00D46430" w:rsidP="00D46430">
            <w:pPr>
              <w:pStyle w:val="TableHeading"/>
            </w:pPr>
            <w:r w:rsidRPr="00CD5673">
              <w:t>Country</w:t>
            </w:r>
          </w:p>
        </w:tc>
      </w:tr>
      <w:tr w:rsidR="00D46430" w:rsidRPr="00CD5673" w14:paraId="6E0CDED6" w14:textId="77777777" w:rsidTr="00D46430">
        <w:tc>
          <w:tcPr>
            <w:tcW w:w="523" w:type="pct"/>
            <w:tcBorders>
              <w:top w:val="single" w:sz="12" w:space="0" w:color="auto"/>
              <w:bottom w:val="single" w:sz="12" w:space="0" w:color="auto"/>
            </w:tcBorders>
            <w:shd w:val="clear" w:color="auto" w:fill="auto"/>
          </w:tcPr>
          <w:p w14:paraId="3299A725" w14:textId="77777777" w:rsidR="00D46430" w:rsidRPr="00CD5673" w:rsidRDefault="00D46430" w:rsidP="00D46430">
            <w:pPr>
              <w:pStyle w:val="Tabletext"/>
            </w:pPr>
            <w:r w:rsidRPr="00CD5673">
              <w:t>1</w:t>
            </w:r>
          </w:p>
        </w:tc>
        <w:tc>
          <w:tcPr>
            <w:tcW w:w="4477" w:type="pct"/>
            <w:tcBorders>
              <w:top w:val="single" w:sz="12" w:space="0" w:color="auto"/>
              <w:bottom w:val="single" w:sz="12" w:space="0" w:color="auto"/>
            </w:tcBorders>
            <w:shd w:val="clear" w:color="auto" w:fill="auto"/>
          </w:tcPr>
          <w:p w14:paraId="4BAE0544" w14:textId="77777777" w:rsidR="00D46430" w:rsidRPr="00CD5673" w:rsidRDefault="00D46430" w:rsidP="00D46430">
            <w:pPr>
              <w:pStyle w:val="Tabletext"/>
            </w:pPr>
            <w:r w:rsidRPr="00CD5673">
              <w:t>New Zealand</w:t>
            </w:r>
          </w:p>
        </w:tc>
      </w:tr>
    </w:tbl>
    <w:p w14:paraId="7ECDAF79" w14:textId="77777777" w:rsidR="00D46430" w:rsidRPr="00CD5673" w:rsidRDefault="00D46430" w:rsidP="00D46430">
      <w:pPr>
        <w:pStyle w:val="ActHead5"/>
      </w:pPr>
      <w:bookmarkStart w:id="286" w:name="_Toc158711895"/>
      <w:r w:rsidRPr="00C614F1">
        <w:rPr>
          <w:rStyle w:val="CharSectno"/>
        </w:rPr>
        <w:lastRenderedPageBreak/>
        <w:t>5B.2.06</w:t>
      </w:r>
      <w:r w:rsidRPr="00CD5673">
        <w:t xml:space="preserve">  Notices (Act s 601CV(1))</w:t>
      </w:r>
      <w:bookmarkEnd w:id="286"/>
    </w:p>
    <w:p w14:paraId="33D1BF5A" w14:textId="77777777" w:rsidR="00D46430" w:rsidRPr="00CD5673" w:rsidRDefault="00D46430" w:rsidP="00D46430">
      <w:pPr>
        <w:pStyle w:val="subsection"/>
        <w:keepNext/>
        <w:keepLines/>
      </w:pPr>
      <w:r w:rsidRPr="00CD5673">
        <w:tab/>
        <w:t>(1)</w:t>
      </w:r>
      <w:r w:rsidRPr="00CD5673">
        <w:tab/>
        <w:t>A notice in writing of a change in a constitution or other document, in accordance with paragraph 601CV(1)(b) of the Act, must be accompanied by a copy of the instrument effecting the change or a copy of the document as changed, being a copy that is certified to be a true copy of that instrument or document by a person mentioned in paragraph 5B.2.02(e), (f) or (g).</w:t>
      </w:r>
    </w:p>
    <w:p w14:paraId="10A6A60E" w14:textId="77777777" w:rsidR="00D46430" w:rsidRPr="00CD5673" w:rsidRDefault="00D46430" w:rsidP="00D46430">
      <w:pPr>
        <w:pStyle w:val="subsection"/>
      </w:pPr>
      <w:r w:rsidRPr="00CD5673">
        <w:tab/>
        <w:t>(2)</w:t>
      </w:r>
      <w:r w:rsidRPr="00CD5673">
        <w:tab/>
        <w:t>A notice in writing of a change in director’s powers, in accordance with subparagraph 601CV(1)(d)(i) of the Act, must be accompanied by a memorandum in writing executed by or on behalf of the foreign company after a change in those powers stating the powers of its directors as changed.</w:t>
      </w:r>
    </w:p>
    <w:p w14:paraId="643D3010" w14:textId="77777777" w:rsidR="00D46430" w:rsidRPr="00CD5673" w:rsidRDefault="00D46430" w:rsidP="00D46430">
      <w:pPr>
        <w:pStyle w:val="ActHead2"/>
        <w:pageBreakBefore/>
      </w:pPr>
      <w:bookmarkStart w:id="287" w:name="_Toc158711896"/>
      <w:r w:rsidRPr="00C614F1">
        <w:rPr>
          <w:rStyle w:val="CharPartNo"/>
        </w:rPr>
        <w:lastRenderedPageBreak/>
        <w:t>Part 5B.3</w:t>
      </w:r>
      <w:r w:rsidRPr="00CD5673">
        <w:t>—</w:t>
      </w:r>
      <w:r w:rsidRPr="00C614F1">
        <w:rPr>
          <w:rStyle w:val="CharPartText"/>
        </w:rPr>
        <w:t>Names of registrable Australian bodies and foreign companies</w:t>
      </w:r>
      <w:bookmarkEnd w:id="287"/>
    </w:p>
    <w:p w14:paraId="1A69D2DF"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68CB6E8E" w14:textId="77777777" w:rsidR="00D46430" w:rsidRPr="00CD5673" w:rsidRDefault="00D46430" w:rsidP="00D46430">
      <w:pPr>
        <w:pStyle w:val="ActHead5"/>
      </w:pPr>
      <w:bookmarkStart w:id="288" w:name="_Toc158711897"/>
      <w:r w:rsidRPr="00C614F1">
        <w:rPr>
          <w:rStyle w:val="CharSectno"/>
        </w:rPr>
        <w:t>5B.3.01</w:t>
      </w:r>
      <w:r w:rsidRPr="00CD5673">
        <w:t xml:space="preserve">  Availability of names (Act s 601DC)</w:t>
      </w:r>
      <w:bookmarkEnd w:id="288"/>
    </w:p>
    <w:p w14:paraId="5F5D2A9B" w14:textId="77777777" w:rsidR="00D46430" w:rsidRPr="00CD5673" w:rsidRDefault="00D46430" w:rsidP="00D46430">
      <w:pPr>
        <w:pStyle w:val="subsection"/>
      </w:pPr>
      <w:r w:rsidRPr="00CD5673">
        <w:tab/>
        <w:t>(1)</w:t>
      </w:r>
      <w:r w:rsidRPr="00CD5673">
        <w:tab/>
        <w:t>For paragraphs 601DC(1)(a) and (b) of the Act, the rules for ascertaining whether a name is identical with another name are the rules set out in Part 1 of Schedule 6.</w:t>
      </w:r>
    </w:p>
    <w:p w14:paraId="1438612A" w14:textId="77777777" w:rsidR="00D46430" w:rsidRPr="00CD5673" w:rsidRDefault="00D46430" w:rsidP="00D46430">
      <w:pPr>
        <w:pStyle w:val="subsection"/>
      </w:pPr>
      <w:r w:rsidRPr="00CD5673">
        <w:tab/>
        <w:t>(2)</w:t>
      </w:r>
      <w:r w:rsidRPr="00CD5673">
        <w:tab/>
        <w:t>For paragraph 601DC(1)(c) of the Act, a name is unacceptable for registration under the regulations if the name is unacceptable under the rules set out in Part 2 of Schedule 6.</w:t>
      </w:r>
    </w:p>
    <w:p w14:paraId="51F44E77" w14:textId="77777777" w:rsidR="00D46430" w:rsidRPr="00CD5673" w:rsidRDefault="00D46430" w:rsidP="00D46430">
      <w:pPr>
        <w:pStyle w:val="ActHead5"/>
      </w:pPr>
      <w:bookmarkStart w:id="289" w:name="_Toc158711898"/>
      <w:r w:rsidRPr="00C614F1">
        <w:rPr>
          <w:rStyle w:val="CharSectno"/>
        </w:rPr>
        <w:t>5B.3.02</w:t>
      </w:r>
      <w:r w:rsidRPr="00CD5673">
        <w:t xml:space="preserve">  Consents required for use of certain letters, words and expressions</w:t>
      </w:r>
      <w:bookmarkEnd w:id="289"/>
    </w:p>
    <w:p w14:paraId="24730CA4" w14:textId="77777777" w:rsidR="00D46430" w:rsidRPr="00CD5673" w:rsidRDefault="00D46430" w:rsidP="00D46430">
      <w:pPr>
        <w:pStyle w:val="subsection"/>
      </w:pPr>
      <w:r w:rsidRPr="00CD5673">
        <w:rPr>
          <w:color w:val="000000"/>
        </w:rPr>
        <w:tab/>
        <w:t>(1)</w:t>
      </w:r>
      <w:r w:rsidRPr="00CD5673">
        <w:rPr>
          <w:color w:val="000000"/>
        </w:rPr>
        <w:tab/>
        <w:t>This regulation applies to a name if:</w:t>
      </w:r>
    </w:p>
    <w:p w14:paraId="6CB8A826" w14:textId="77777777" w:rsidR="00D46430" w:rsidRPr="00CD5673" w:rsidRDefault="00D46430" w:rsidP="00D46430">
      <w:pPr>
        <w:pStyle w:val="paragraph"/>
      </w:pPr>
      <w:r w:rsidRPr="00CD5673">
        <w:rPr>
          <w:color w:val="000000"/>
        </w:rPr>
        <w:tab/>
        <w:t>(a)</w:t>
      </w:r>
      <w:r w:rsidRPr="00CD5673">
        <w:rPr>
          <w:color w:val="000000"/>
        </w:rPr>
        <w:tab/>
        <w:t>the name:</w:t>
      </w:r>
    </w:p>
    <w:p w14:paraId="031798F8" w14:textId="77777777" w:rsidR="00D46430" w:rsidRPr="00CD5673" w:rsidRDefault="00D46430" w:rsidP="00D46430">
      <w:pPr>
        <w:pStyle w:val="paragraphsub"/>
      </w:pPr>
      <w:r w:rsidRPr="00CD5673">
        <w:rPr>
          <w:color w:val="000000"/>
        </w:rPr>
        <w:tab/>
        <w:t>(i)</w:t>
      </w:r>
      <w:r w:rsidRPr="00CD5673">
        <w:rPr>
          <w:color w:val="000000"/>
        </w:rPr>
        <w:tab/>
        <w:t>is the subject of an application for registration of a name under section 601BC, 601CB or 601CE of the Act; or</w:t>
      </w:r>
    </w:p>
    <w:p w14:paraId="3B540995" w14:textId="77777777" w:rsidR="00D46430" w:rsidRPr="00CD5673" w:rsidRDefault="00D46430" w:rsidP="00D46430">
      <w:pPr>
        <w:pStyle w:val="paragraphsub"/>
      </w:pPr>
      <w:r w:rsidRPr="00CD5673">
        <w:tab/>
        <w:t>(ii)</w:t>
      </w:r>
      <w:r w:rsidRPr="00CD5673">
        <w:tab/>
        <w:t>is the subject of an application for reservation of a name under section 601DA of that Act; or</w:t>
      </w:r>
    </w:p>
    <w:p w14:paraId="22006868" w14:textId="77777777" w:rsidR="00D46430" w:rsidRPr="00CD5673" w:rsidRDefault="00D46430" w:rsidP="00D46430">
      <w:pPr>
        <w:pStyle w:val="paragraphsub"/>
      </w:pPr>
      <w:r w:rsidRPr="00CD5673">
        <w:tab/>
        <w:t>(iii)</w:t>
      </w:r>
      <w:r w:rsidRPr="00CD5673">
        <w:tab/>
        <w:t>for a notice of change of name under section 601DH of the Act—is the name to which the previous name is to be changed; and</w:t>
      </w:r>
    </w:p>
    <w:p w14:paraId="04B22F02" w14:textId="77777777" w:rsidR="00D46430" w:rsidRPr="00CD5673" w:rsidRDefault="00D46430" w:rsidP="00D46430">
      <w:pPr>
        <w:pStyle w:val="paragraph"/>
      </w:pPr>
      <w:r w:rsidRPr="00CD5673">
        <w:rPr>
          <w:color w:val="000000"/>
        </w:rPr>
        <w:tab/>
        <w:t>(b)</w:t>
      </w:r>
      <w:r w:rsidRPr="00CD5673">
        <w:rPr>
          <w:color w:val="000000"/>
        </w:rPr>
        <w:tab/>
        <w:t>the name is, uses or includes:</w:t>
      </w:r>
    </w:p>
    <w:p w14:paraId="42C20F4E" w14:textId="77777777" w:rsidR="00D46430" w:rsidRPr="00CD5673" w:rsidRDefault="00D46430" w:rsidP="00D46430">
      <w:pPr>
        <w:pStyle w:val="paragraphsub"/>
      </w:pPr>
      <w:r w:rsidRPr="00CD5673">
        <w:rPr>
          <w:color w:val="000000"/>
        </w:rPr>
        <w:tab/>
        <w:t>(i)</w:t>
      </w:r>
      <w:r w:rsidRPr="00CD5673">
        <w:rPr>
          <w:color w:val="000000"/>
        </w:rPr>
        <w:tab/>
        <w:t>letters, or a word or expression, specified in column 2 of an item in Part 4 or 5 of Schedule 6; or</w:t>
      </w:r>
    </w:p>
    <w:p w14:paraId="29D20A4A" w14:textId="77777777" w:rsidR="00D46430" w:rsidRPr="00CD5673" w:rsidRDefault="00D46430" w:rsidP="00D46430">
      <w:pPr>
        <w:pStyle w:val="paragraphsub"/>
      </w:pPr>
      <w:r w:rsidRPr="00CD5673">
        <w:tab/>
        <w:t>(ii)</w:t>
      </w:r>
      <w:r w:rsidRPr="00CD5673">
        <w:tab/>
        <w:t>other letters, or another word or expression (whether or not in English), that is of like import to the letters, word or expression specified in the item.</w:t>
      </w:r>
    </w:p>
    <w:p w14:paraId="79E18262" w14:textId="77777777" w:rsidR="00D46430" w:rsidRPr="00CD5673" w:rsidRDefault="00D46430" w:rsidP="00D46430">
      <w:pPr>
        <w:pStyle w:val="subsection"/>
      </w:pPr>
      <w:r w:rsidRPr="00CD5673">
        <w:rPr>
          <w:color w:val="000000"/>
        </w:rPr>
        <w:tab/>
        <w:t>(2)</w:t>
      </w:r>
      <w:r w:rsidRPr="00CD5673">
        <w:rPr>
          <w:color w:val="000000"/>
        </w:rPr>
        <w:tab/>
        <w:t>In paragraph (1)(b), a reference to letters, a word or an expression being used includes a reference to the letters, word or expression being used:</w:t>
      </w:r>
    </w:p>
    <w:p w14:paraId="5B53F112" w14:textId="77777777" w:rsidR="00D46430" w:rsidRPr="00CD5673" w:rsidRDefault="00D46430" w:rsidP="00D46430">
      <w:pPr>
        <w:pStyle w:val="paragraph"/>
      </w:pPr>
      <w:r w:rsidRPr="00CD5673">
        <w:rPr>
          <w:color w:val="000000"/>
        </w:rPr>
        <w:tab/>
        <w:t>(a)</w:t>
      </w:r>
      <w:r w:rsidRPr="00CD5673">
        <w:rPr>
          <w:color w:val="000000"/>
        </w:rPr>
        <w:tab/>
        <w:t>as part of another word or expression; or</w:t>
      </w:r>
    </w:p>
    <w:p w14:paraId="3E5428F7" w14:textId="77777777" w:rsidR="00D46430" w:rsidRPr="00CD5673" w:rsidRDefault="00D46430" w:rsidP="00D46430">
      <w:pPr>
        <w:pStyle w:val="paragraph"/>
      </w:pPr>
      <w:r w:rsidRPr="00CD5673">
        <w:tab/>
        <w:t>(b)</w:t>
      </w:r>
      <w:r w:rsidRPr="00CD5673">
        <w:tab/>
        <w:t>in combination with other words or letters, or other symbols.</w:t>
      </w:r>
    </w:p>
    <w:p w14:paraId="3DB45503" w14:textId="77777777" w:rsidR="00D46430" w:rsidRPr="00CD5673" w:rsidRDefault="00D46430" w:rsidP="00D46430">
      <w:pPr>
        <w:pStyle w:val="subsection"/>
      </w:pPr>
      <w:r w:rsidRPr="00CD5673">
        <w:tab/>
        <w:t>(3)</w:t>
      </w:r>
      <w:r w:rsidRPr="00CD5673">
        <w:tab/>
        <w:t>However, this regulation does not apply to use of the letters ADI as part of another word.</w:t>
      </w:r>
    </w:p>
    <w:p w14:paraId="4A2E204B" w14:textId="77777777" w:rsidR="00D46430" w:rsidRPr="00CD5673" w:rsidRDefault="00D46430" w:rsidP="00D46430">
      <w:pPr>
        <w:pStyle w:val="notemargin"/>
        <w:ind w:left="1985" w:hanging="851"/>
      </w:pPr>
      <w:r w:rsidRPr="00CD5673">
        <w:t>Example:</w:t>
      </w:r>
      <w:r w:rsidRPr="00CD5673">
        <w:tab/>
        <w:t xml:space="preserve">The letters </w:t>
      </w:r>
      <w:r w:rsidRPr="00CD5673">
        <w:rPr>
          <w:b/>
          <w:i/>
        </w:rPr>
        <w:t>adi</w:t>
      </w:r>
      <w:r w:rsidRPr="00CD5673">
        <w:t xml:space="preserve"> appear in the word </w:t>
      </w:r>
      <w:r w:rsidRPr="00CD5673">
        <w:rPr>
          <w:b/>
          <w:i/>
        </w:rPr>
        <w:t>traditional</w:t>
      </w:r>
      <w:r w:rsidRPr="00CD5673">
        <w:t xml:space="preserve">. This regulation does not apply to use of the word </w:t>
      </w:r>
      <w:r w:rsidRPr="00CD5673">
        <w:rPr>
          <w:b/>
          <w:i/>
        </w:rPr>
        <w:t>traditional</w:t>
      </w:r>
      <w:r w:rsidRPr="00CD5673">
        <w:t>.</w:t>
      </w:r>
    </w:p>
    <w:p w14:paraId="6699ACAB" w14:textId="77777777" w:rsidR="00D46430" w:rsidRPr="00CD5673" w:rsidRDefault="00D46430" w:rsidP="00D46430">
      <w:pPr>
        <w:pStyle w:val="subsection"/>
      </w:pPr>
      <w:r w:rsidRPr="00CD5673">
        <w:rPr>
          <w:color w:val="000000"/>
        </w:rPr>
        <w:tab/>
        <w:t>(4)</w:t>
      </w:r>
      <w:r w:rsidRPr="00CD5673">
        <w:rPr>
          <w:color w:val="000000"/>
        </w:rPr>
        <w:tab/>
        <w:t>If an item in Part 4 of Schedule 6 applies in relation to the name, the application or notice must be accompanied by the written consent of the Minister who is specified in the item.</w:t>
      </w:r>
    </w:p>
    <w:p w14:paraId="30820AA4" w14:textId="77777777" w:rsidR="00D46430" w:rsidRPr="00CD5673" w:rsidRDefault="00D46430" w:rsidP="00D46430">
      <w:pPr>
        <w:pStyle w:val="subsection"/>
      </w:pPr>
      <w:r w:rsidRPr="00CD5673">
        <w:tab/>
        <w:t>(5)</w:t>
      </w:r>
      <w:r w:rsidRPr="00CD5673">
        <w:tab/>
        <w:t>If an item in Part 5 of Schedule 6 applies in relation to the name, the application or notice must be accompanied by the written consent of the public authority, instrumentality or agency that is specified in the item.</w:t>
      </w:r>
    </w:p>
    <w:p w14:paraId="07DF0C59" w14:textId="77777777" w:rsidR="00D46430" w:rsidRPr="00CD5673" w:rsidRDefault="00D46430" w:rsidP="00D46430">
      <w:pPr>
        <w:pStyle w:val="ActHead5"/>
      </w:pPr>
      <w:bookmarkStart w:id="290" w:name="_Toc158711899"/>
      <w:r w:rsidRPr="00C614F1">
        <w:rPr>
          <w:rStyle w:val="CharSectno"/>
        </w:rPr>
        <w:t>5B.3.03</w:t>
      </w:r>
      <w:r w:rsidRPr="00CD5673">
        <w:t xml:space="preserve">  Exemptions from requirement to set out ARBN etc on certain documents (Act s 601DG)</w:t>
      </w:r>
      <w:bookmarkEnd w:id="290"/>
    </w:p>
    <w:p w14:paraId="12E972D9" w14:textId="77777777" w:rsidR="00D46430" w:rsidRPr="00CD5673" w:rsidRDefault="00D46430" w:rsidP="00D46430">
      <w:pPr>
        <w:pStyle w:val="subsection"/>
      </w:pPr>
      <w:r w:rsidRPr="00CD5673">
        <w:tab/>
      </w:r>
      <w:r w:rsidRPr="00CD5673">
        <w:tab/>
        <w:t>For section 601DG of the Act, the exemptions provided for in Schedule 7 apply in relation to the requirements of paragraphs 601DE(1)(b), (c) and (d) of the Act.</w:t>
      </w:r>
    </w:p>
    <w:p w14:paraId="20E7B15F" w14:textId="77777777" w:rsidR="00D46430" w:rsidRPr="00CD5673" w:rsidRDefault="00D46430" w:rsidP="00D46430">
      <w:pPr>
        <w:pStyle w:val="ActHead5"/>
      </w:pPr>
      <w:bookmarkStart w:id="291" w:name="_Toc158711900"/>
      <w:r w:rsidRPr="00C614F1">
        <w:rPr>
          <w:rStyle w:val="CharSectno"/>
        </w:rPr>
        <w:t>5B.3.04</w:t>
      </w:r>
      <w:r w:rsidRPr="00CD5673">
        <w:t xml:space="preserve">  Notices (Act s 601DH(1))</w:t>
      </w:r>
      <w:bookmarkEnd w:id="291"/>
    </w:p>
    <w:p w14:paraId="738C4860" w14:textId="77777777" w:rsidR="00D46430" w:rsidRPr="00CD5673" w:rsidRDefault="00D46430" w:rsidP="00D46430">
      <w:pPr>
        <w:pStyle w:val="subsection"/>
      </w:pPr>
      <w:r w:rsidRPr="00CD5673">
        <w:tab/>
        <w:t>(1)</w:t>
      </w:r>
      <w:r w:rsidRPr="00CD5673">
        <w:tab/>
        <w:t xml:space="preserve">A notice in writing of a change of name in accordance with </w:t>
      </w:r>
      <w:r w:rsidRPr="00CD5673">
        <w:rPr>
          <w:color w:val="000000"/>
        </w:rPr>
        <w:t>subsection 601DH(1) of the Act</w:t>
      </w:r>
      <w:r w:rsidRPr="00CD5673">
        <w:t>, must have annexed to it:</w:t>
      </w:r>
    </w:p>
    <w:p w14:paraId="67C173EC" w14:textId="77777777" w:rsidR="00D46430" w:rsidRPr="00CD5673" w:rsidRDefault="00D46430" w:rsidP="00D46430">
      <w:pPr>
        <w:pStyle w:val="paragraph"/>
      </w:pPr>
      <w:r w:rsidRPr="00CD5673">
        <w:tab/>
        <w:t>(a)</w:t>
      </w:r>
      <w:r w:rsidRPr="00CD5673">
        <w:tab/>
        <w:t>a copy of the certificate of incorporation or registration of the registered body, or a document of similar effect, being a certificate or document evidencing the change; or</w:t>
      </w:r>
    </w:p>
    <w:p w14:paraId="0389180E" w14:textId="77777777" w:rsidR="00D46430" w:rsidRPr="00CD5673" w:rsidRDefault="00D46430" w:rsidP="00D46430">
      <w:pPr>
        <w:pStyle w:val="paragraph"/>
      </w:pPr>
      <w:r w:rsidRPr="00CD5673">
        <w:tab/>
        <w:t>(b)</w:t>
      </w:r>
      <w:r w:rsidRPr="00CD5673">
        <w:tab/>
        <w:t>if no certificate or document of that kind exists—a copy of the instrument effecting the change;</w:t>
      </w:r>
    </w:p>
    <w:p w14:paraId="3D6C731B" w14:textId="77777777" w:rsidR="00D46430" w:rsidRPr="00CD5673" w:rsidRDefault="00D46430" w:rsidP="00D46430">
      <w:pPr>
        <w:pStyle w:val="subsection2"/>
      </w:pPr>
      <w:r w:rsidRPr="00CD5673">
        <w:t>being a copy that is certified by a person mentioned in paragraph 5B.2.02(e), (f) or (g) to be a true copy of that certificate, document or instrument.</w:t>
      </w:r>
    </w:p>
    <w:p w14:paraId="0488981F" w14:textId="77777777" w:rsidR="00D46430" w:rsidRPr="00CD5673" w:rsidRDefault="00D46430" w:rsidP="00D46430">
      <w:pPr>
        <w:pStyle w:val="ActHead1"/>
        <w:pageBreakBefore/>
      </w:pPr>
      <w:bookmarkStart w:id="292" w:name="_Toc158711901"/>
      <w:r w:rsidRPr="00C614F1">
        <w:rPr>
          <w:rStyle w:val="CharChapNo"/>
        </w:rPr>
        <w:lastRenderedPageBreak/>
        <w:t>Chapter 5C</w:t>
      </w:r>
      <w:r w:rsidRPr="00CD5673">
        <w:t>—</w:t>
      </w:r>
      <w:r w:rsidRPr="00C614F1">
        <w:rPr>
          <w:rStyle w:val="CharChapText"/>
        </w:rPr>
        <w:t>Managed investment schemes</w:t>
      </w:r>
      <w:bookmarkEnd w:id="292"/>
    </w:p>
    <w:p w14:paraId="0740916A" w14:textId="77777777" w:rsidR="00D46430" w:rsidRPr="00CD5673" w:rsidRDefault="00D46430" w:rsidP="00D46430">
      <w:pPr>
        <w:pStyle w:val="ActHead2"/>
      </w:pPr>
      <w:bookmarkStart w:id="293" w:name="_Toc158711902"/>
      <w:r w:rsidRPr="00C614F1">
        <w:rPr>
          <w:rStyle w:val="CharPartNo"/>
        </w:rPr>
        <w:t>Part 5C.1</w:t>
      </w:r>
      <w:r w:rsidRPr="00CD5673">
        <w:t>—</w:t>
      </w:r>
      <w:r w:rsidRPr="00C614F1">
        <w:rPr>
          <w:rStyle w:val="CharPartText"/>
        </w:rPr>
        <w:t>Registration of managed investment schemes</w:t>
      </w:r>
      <w:bookmarkEnd w:id="293"/>
    </w:p>
    <w:p w14:paraId="5317532B"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0DE7349" w14:textId="77777777" w:rsidR="00D46430" w:rsidRPr="00CD5673" w:rsidRDefault="00D46430" w:rsidP="00D46430">
      <w:pPr>
        <w:pStyle w:val="ActHead5"/>
      </w:pPr>
      <w:bookmarkStart w:id="294" w:name="_Toc158711903"/>
      <w:r w:rsidRPr="00C614F1">
        <w:rPr>
          <w:rStyle w:val="CharSectno"/>
        </w:rPr>
        <w:t>5C.1.01</w:t>
      </w:r>
      <w:r w:rsidRPr="00CD5673">
        <w:t xml:space="preserve">  Applying for registration</w:t>
      </w:r>
      <w:bookmarkEnd w:id="294"/>
    </w:p>
    <w:p w14:paraId="30F9891E" w14:textId="77777777" w:rsidR="00D46430" w:rsidRPr="00CD5673" w:rsidRDefault="00D46430" w:rsidP="00D46430">
      <w:pPr>
        <w:pStyle w:val="subsection"/>
      </w:pPr>
      <w:r w:rsidRPr="00CD5673">
        <w:tab/>
        <w:t>(1)</w:t>
      </w:r>
      <w:r w:rsidRPr="00CD5673">
        <w:tab/>
        <w:t>An application under section 601EA of the Act to register a managed investment scheme must be in the approved form.</w:t>
      </w:r>
    </w:p>
    <w:p w14:paraId="700E1651" w14:textId="77777777" w:rsidR="00D46430" w:rsidRPr="00CD5673" w:rsidRDefault="00D46430" w:rsidP="00D46430">
      <w:pPr>
        <w:pStyle w:val="subsection"/>
      </w:pPr>
      <w:r w:rsidRPr="00CD5673">
        <w:tab/>
        <w:t>(2)</w:t>
      </w:r>
      <w:r w:rsidRPr="00CD5673">
        <w:tab/>
        <w:t>The form must state the name of the managed investment scheme.</w:t>
      </w:r>
    </w:p>
    <w:p w14:paraId="677B1A22" w14:textId="77777777" w:rsidR="00D46430" w:rsidRPr="00CD5673" w:rsidRDefault="00D46430" w:rsidP="00D46430">
      <w:pPr>
        <w:pStyle w:val="subsection"/>
      </w:pPr>
      <w:r w:rsidRPr="00CD5673">
        <w:tab/>
        <w:t>(3)</w:t>
      </w:r>
      <w:r w:rsidRPr="00CD5673">
        <w:tab/>
        <w:t>The stated name must not be the same as the name of:</w:t>
      </w:r>
    </w:p>
    <w:p w14:paraId="78A67C2A" w14:textId="77777777" w:rsidR="00D46430" w:rsidRPr="00CD5673" w:rsidRDefault="00D46430" w:rsidP="00D46430">
      <w:pPr>
        <w:pStyle w:val="paragraph"/>
      </w:pPr>
      <w:r w:rsidRPr="00CD5673">
        <w:tab/>
        <w:t>(a)</w:t>
      </w:r>
      <w:r w:rsidRPr="00CD5673">
        <w:tab/>
        <w:t>another managed investment scheme that is the subject of an application for registration under section 601EA of the Act that is lodged but not yet determined; or</w:t>
      </w:r>
    </w:p>
    <w:p w14:paraId="25F65417" w14:textId="77777777" w:rsidR="00D46430" w:rsidRPr="00CD5673" w:rsidRDefault="00D46430" w:rsidP="00D46430">
      <w:pPr>
        <w:pStyle w:val="paragraph"/>
      </w:pPr>
      <w:r w:rsidRPr="00CD5673">
        <w:tab/>
        <w:t>(b)</w:t>
      </w:r>
      <w:r w:rsidRPr="00CD5673">
        <w:tab/>
        <w:t>a registered scheme; or</w:t>
      </w:r>
    </w:p>
    <w:p w14:paraId="7604C181" w14:textId="77777777" w:rsidR="00D46430" w:rsidRPr="00CD5673" w:rsidRDefault="00D46430" w:rsidP="00D46430">
      <w:pPr>
        <w:pStyle w:val="paragraph"/>
      </w:pPr>
      <w:r w:rsidRPr="00CD5673">
        <w:tab/>
        <w:t>(c)</w:t>
      </w:r>
      <w:r w:rsidRPr="00CD5673">
        <w:tab/>
        <w:t>a foreign passport fund in relation to which a notice of intention has been lodged under section 1213 of the Act if:</w:t>
      </w:r>
    </w:p>
    <w:p w14:paraId="2F80792F" w14:textId="77777777" w:rsidR="00D46430" w:rsidRPr="00CD5673" w:rsidRDefault="00D46430" w:rsidP="00D46430">
      <w:pPr>
        <w:pStyle w:val="paragraphsub"/>
      </w:pPr>
      <w:r w:rsidRPr="00CD5673">
        <w:tab/>
        <w:t>(i)</w:t>
      </w:r>
      <w:r w:rsidRPr="00CD5673">
        <w:tab/>
        <w:t>the operator of the fund has not withdrawn the notice under subsection 1213(3) of the Act; and</w:t>
      </w:r>
    </w:p>
    <w:p w14:paraId="6EB5DBB6" w14:textId="77777777" w:rsidR="00D46430" w:rsidRPr="00CD5673" w:rsidRDefault="00D46430" w:rsidP="00D46430">
      <w:pPr>
        <w:pStyle w:val="paragraphsub"/>
      </w:pPr>
      <w:r w:rsidRPr="00CD5673">
        <w:tab/>
        <w:t>(ii)</w:t>
      </w:r>
      <w:r w:rsidRPr="00CD5673">
        <w:tab/>
        <w:t>ASIC has not rejected the notice of intention under section 1213B of the Act; or</w:t>
      </w:r>
    </w:p>
    <w:p w14:paraId="51BAB493" w14:textId="77777777" w:rsidR="00D46430" w:rsidRPr="00CD5673" w:rsidRDefault="00D46430" w:rsidP="00D46430">
      <w:pPr>
        <w:pStyle w:val="paragraph"/>
      </w:pPr>
      <w:r w:rsidRPr="00CD5673">
        <w:tab/>
        <w:t>(d)</w:t>
      </w:r>
      <w:r w:rsidRPr="00CD5673">
        <w:tab/>
        <w:t>a notified foreign passport fund.</w:t>
      </w:r>
    </w:p>
    <w:p w14:paraId="02AE5521" w14:textId="77777777" w:rsidR="00D46430" w:rsidRPr="00CD5673" w:rsidRDefault="00D46430" w:rsidP="00D46430">
      <w:pPr>
        <w:pStyle w:val="subsection"/>
      </w:pPr>
      <w:r w:rsidRPr="00CD5673">
        <w:tab/>
        <w:t>(4)</w:t>
      </w:r>
      <w:r w:rsidRPr="00CD5673">
        <w:tab/>
        <w:t>A statement made for paragraph 601EA(4)(c) of the Act must be in the approved form.</w:t>
      </w:r>
    </w:p>
    <w:p w14:paraId="750491C6" w14:textId="77777777" w:rsidR="00D46430" w:rsidRPr="00CD5673" w:rsidRDefault="00D46430" w:rsidP="00D46430">
      <w:pPr>
        <w:pStyle w:val="ActHead5"/>
      </w:pPr>
      <w:bookmarkStart w:id="295" w:name="_Toc158711904"/>
      <w:r w:rsidRPr="00C614F1">
        <w:rPr>
          <w:rStyle w:val="CharSectno"/>
        </w:rPr>
        <w:t>5C.1.02</w:t>
      </w:r>
      <w:r w:rsidRPr="00CD5673">
        <w:t xml:space="preserve">  Change of name of registered schemes</w:t>
      </w:r>
      <w:bookmarkEnd w:id="295"/>
    </w:p>
    <w:p w14:paraId="4B596160" w14:textId="77777777" w:rsidR="00D46430" w:rsidRPr="00CD5673" w:rsidRDefault="00D46430" w:rsidP="00D46430">
      <w:pPr>
        <w:pStyle w:val="subsection"/>
      </w:pPr>
      <w:r w:rsidRPr="00CD5673">
        <w:tab/>
        <w:t>(1)</w:t>
      </w:r>
      <w:r w:rsidRPr="00CD5673">
        <w:tab/>
        <w:t>To change the name of a registered scheme, the responsible entity of the scheme must lodge a notice in the approved form stating the proposed name of the scheme.</w:t>
      </w:r>
    </w:p>
    <w:p w14:paraId="3EF987CD" w14:textId="77777777" w:rsidR="00D46430" w:rsidRPr="00CD5673" w:rsidRDefault="00D46430" w:rsidP="00D46430">
      <w:pPr>
        <w:pStyle w:val="subsection"/>
      </w:pPr>
      <w:r w:rsidRPr="00CD5673">
        <w:tab/>
        <w:t>(2)</w:t>
      </w:r>
      <w:r w:rsidRPr="00CD5673">
        <w:tab/>
        <w:t>The stated name must not be the same as the name of:</w:t>
      </w:r>
    </w:p>
    <w:p w14:paraId="05DB9AD8" w14:textId="77777777" w:rsidR="00D46430" w:rsidRPr="00CD5673" w:rsidRDefault="00D46430" w:rsidP="00D46430">
      <w:pPr>
        <w:pStyle w:val="paragraph"/>
      </w:pPr>
      <w:r w:rsidRPr="00CD5673">
        <w:tab/>
        <w:t>(a)</w:t>
      </w:r>
      <w:r w:rsidRPr="00CD5673">
        <w:tab/>
        <w:t>another managed investment scheme that is the subject of an application for registration under section 601EB of the Act that is lodged but not yet determined; or</w:t>
      </w:r>
    </w:p>
    <w:p w14:paraId="54CFFC00" w14:textId="77777777" w:rsidR="00D46430" w:rsidRPr="00CD5673" w:rsidRDefault="00D46430" w:rsidP="00D46430">
      <w:pPr>
        <w:pStyle w:val="paragraph"/>
      </w:pPr>
      <w:r w:rsidRPr="00CD5673">
        <w:tab/>
        <w:t>(b)</w:t>
      </w:r>
      <w:r w:rsidRPr="00CD5673">
        <w:tab/>
        <w:t>a registered scheme; or</w:t>
      </w:r>
    </w:p>
    <w:p w14:paraId="4A037A4B" w14:textId="77777777" w:rsidR="00D46430" w:rsidRPr="00CD5673" w:rsidRDefault="00D46430" w:rsidP="00D46430">
      <w:pPr>
        <w:pStyle w:val="paragraph"/>
      </w:pPr>
      <w:r w:rsidRPr="00CD5673">
        <w:tab/>
        <w:t>(c)</w:t>
      </w:r>
      <w:r w:rsidRPr="00CD5673">
        <w:tab/>
        <w:t>a foreign passport fund in relation to which a notice of intention has been lodged under section 1213 of the Act if:</w:t>
      </w:r>
    </w:p>
    <w:p w14:paraId="0277777A" w14:textId="77777777" w:rsidR="00D46430" w:rsidRPr="00CD5673" w:rsidRDefault="00D46430" w:rsidP="00D46430">
      <w:pPr>
        <w:pStyle w:val="paragraphsub"/>
      </w:pPr>
      <w:r w:rsidRPr="00CD5673">
        <w:tab/>
        <w:t>(i)</w:t>
      </w:r>
      <w:r w:rsidRPr="00CD5673">
        <w:tab/>
        <w:t>the operator of the fund has not withdrawn the notice under subsection 1213(3) of the Act; and</w:t>
      </w:r>
    </w:p>
    <w:p w14:paraId="3C2F29D6" w14:textId="77777777" w:rsidR="00D46430" w:rsidRPr="00CD5673" w:rsidRDefault="00D46430" w:rsidP="00D46430">
      <w:pPr>
        <w:pStyle w:val="paragraphsub"/>
      </w:pPr>
      <w:r w:rsidRPr="00CD5673">
        <w:tab/>
        <w:t>(ii)</w:t>
      </w:r>
      <w:r w:rsidRPr="00CD5673">
        <w:tab/>
        <w:t>ASIC has not rejected the notice of intention under section 1213B of the Act; or</w:t>
      </w:r>
    </w:p>
    <w:p w14:paraId="7864B827" w14:textId="77777777" w:rsidR="00D46430" w:rsidRPr="00CD5673" w:rsidRDefault="00D46430" w:rsidP="00D46430">
      <w:pPr>
        <w:pStyle w:val="paragraph"/>
      </w:pPr>
      <w:r w:rsidRPr="00CD5673">
        <w:tab/>
        <w:t>(d)</w:t>
      </w:r>
      <w:r w:rsidRPr="00CD5673">
        <w:tab/>
        <w:t>a notified foreign passport fund.</w:t>
      </w:r>
    </w:p>
    <w:p w14:paraId="4AF9B6F7" w14:textId="77777777" w:rsidR="00D46430" w:rsidRPr="00CD5673" w:rsidRDefault="00D46430" w:rsidP="00D46430">
      <w:pPr>
        <w:pStyle w:val="subsection"/>
      </w:pPr>
      <w:r w:rsidRPr="00CD5673">
        <w:tab/>
        <w:t>(3)</w:t>
      </w:r>
      <w:r w:rsidRPr="00CD5673">
        <w:tab/>
        <w:t>On application in accordance with this regulation, ASIC must amend the record of the registration of the scheme to include the name of the scheme as proposed to be amended.</w:t>
      </w:r>
    </w:p>
    <w:p w14:paraId="68ECF2E0" w14:textId="77777777" w:rsidR="00D46430" w:rsidRPr="00CD5673" w:rsidRDefault="00D46430" w:rsidP="00D46430">
      <w:pPr>
        <w:pStyle w:val="ActHead5"/>
      </w:pPr>
      <w:bookmarkStart w:id="296" w:name="_Toc158711905"/>
      <w:r w:rsidRPr="00C614F1">
        <w:rPr>
          <w:rStyle w:val="CharSectno"/>
        </w:rPr>
        <w:t>5C.1.03</w:t>
      </w:r>
      <w:r w:rsidRPr="00CD5673">
        <w:t xml:space="preserve">  Modification (Act s 601QB)</w:t>
      </w:r>
      <w:bookmarkEnd w:id="296"/>
    </w:p>
    <w:p w14:paraId="652E70B6" w14:textId="77777777" w:rsidR="00D46430" w:rsidRPr="00CD5673" w:rsidRDefault="00D46430" w:rsidP="00D46430">
      <w:pPr>
        <w:pStyle w:val="subsection"/>
        <w:keepNext/>
        <w:keepLines/>
      </w:pPr>
      <w:r w:rsidRPr="00CD5673">
        <w:tab/>
        <w:t>(1)</w:t>
      </w:r>
      <w:r w:rsidRPr="00CD5673">
        <w:tab/>
        <w:t>For section 601QB of the Act, the operation of Chapter 5C of the Act is modified in accordance with this regulation.</w:t>
      </w:r>
    </w:p>
    <w:p w14:paraId="41A6E131" w14:textId="77777777" w:rsidR="00D46430" w:rsidRPr="00CD5673" w:rsidRDefault="00D46430" w:rsidP="00D46430">
      <w:pPr>
        <w:pStyle w:val="subsection"/>
      </w:pPr>
      <w:r w:rsidRPr="00CD5673">
        <w:tab/>
        <w:t>(2)</w:t>
      </w:r>
      <w:r w:rsidRPr="00CD5673">
        <w:tab/>
        <w:t>If:</w:t>
      </w:r>
    </w:p>
    <w:p w14:paraId="3A19DDEE" w14:textId="77777777" w:rsidR="00D46430" w:rsidRPr="00CD5673" w:rsidRDefault="00D46430" w:rsidP="00D46430">
      <w:pPr>
        <w:pStyle w:val="paragraph"/>
      </w:pPr>
      <w:r w:rsidRPr="00CD5673">
        <w:tab/>
        <w:t>(a)</w:t>
      </w:r>
      <w:r w:rsidRPr="00CD5673">
        <w:tab/>
        <w:t>a managed investment scheme is registered under section 601EB of the Act; and</w:t>
      </w:r>
    </w:p>
    <w:p w14:paraId="0D63D818" w14:textId="77777777" w:rsidR="00D46430" w:rsidRPr="00CD5673" w:rsidRDefault="00D46430" w:rsidP="00D46430">
      <w:pPr>
        <w:pStyle w:val="paragraph"/>
      </w:pPr>
      <w:r w:rsidRPr="00CD5673">
        <w:tab/>
        <w:t>(b)</w:t>
      </w:r>
      <w:r w:rsidRPr="00CD5673">
        <w:tab/>
        <w:t>the managed investment scheme is also registered on the Australian Business Register; and</w:t>
      </w:r>
    </w:p>
    <w:p w14:paraId="4A65C205" w14:textId="77777777" w:rsidR="00D46430" w:rsidRPr="00CD5673" w:rsidRDefault="00D46430" w:rsidP="00D46430">
      <w:pPr>
        <w:pStyle w:val="paragraph"/>
      </w:pPr>
      <w:r w:rsidRPr="00CD5673">
        <w:tab/>
        <w:t>(c)</w:t>
      </w:r>
      <w:r w:rsidRPr="00CD5673">
        <w:tab/>
        <w:t>the last 9 digits of the ABN of the registered scheme are the same, and in the same order, as the last 9 digits of its ARSN; and</w:t>
      </w:r>
    </w:p>
    <w:p w14:paraId="3CD12796" w14:textId="77777777" w:rsidR="00D46430" w:rsidRPr="00CD5673" w:rsidRDefault="00D46430" w:rsidP="00D46430">
      <w:pPr>
        <w:pStyle w:val="paragraph"/>
      </w:pPr>
      <w:r w:rsidRPr="00CD5673">
        <w:tab/>
        <w:t>(d)</w:t>
      </w:r>
      <w:r w:rsidRPr="00CD5673">
        <w:tab/>
        <w:t>a document relating to the scheme is lodged with ASIC, and displays that ABN;</w:t>
      </w:r>
    </w:p>
    <w:p w14:paraId="3EE8834E" w14:textId="77777777" w:rsidR="00D46430" w:rsidRPr="00CD5673" w:rsidRDefault="00D46430" w:rsidP="00D46430">
      <w:pPr>
        <w:pStyle w:val="subsection2"/>
      </w:pPr>
      <w:r w:rsidRPr="00CD5673">
        <w:t>section 601EC of the Act does not apply to the document.</w:t>
      </w:r>
    </w:p>
    <w:p w14:paraId="79020AB1" w14:textId="77777777" w:rsidR="00D46430" w:rsidRPr="00CD5673" w:rsidRDefault="00D46430" w:rsidP="00D46430">
      <w:pPr>
        <w:pStyle w:val="ActHead2"/>
        <w:pageBreakBefore/>
      </w:pPr>
      <w:bookmarkStart w:id="297" w:name="_Toc158711906"/>
      <w:r w:rsidRPr="00C614F1">
        <w:rPr>
          <w:rStyle w:val="CharPartNo"/>
        </w:rPr>
        <w:lastRenderedPageBreak/>
        <w:t>Part 5C.2</w:t>
      </w:r>
      <w:r w:rsidRPr="00CD5673">
        <w:t>—</w:t>
      </w:r>
      <w:r w:rsidRPr="00C614F1">
        <w:rPr>
          <w:rStyle w:val="CharPartText"/>
        </w:rPr>
        <w:t>The responsible entity</w:t>
      </w:r>
      <w:bookmarkEnd w:id="297"/>
    </w:p>
    <w:p w14:paraId="5E6133D1"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520DBB28" w14:textId="77777777" w:rsidR="00D46430" w:rsidRPr="00CD5673" w:rsidRDefault="00D46430" w:rsidP="00D46430">
      <w:pPr>
        <w:pStyle w:val="ActHead5"/>
      </w:pPr>
      <w:bookmarkStart w:id="298" w:name="_Toc158711907"/>
      <w:r w:rsidRPr="00C614F1">
        <w:rPr>
          <w:rStyle w:val="CharSectno"/>
        </w:rPr>
        <w:t>5C.2.01</w:t>
      </w:r>
      <w:r w:rsidRPr="00CD5673">
        <w:t xml:space="preserve">  Duty of responsible entities’ agents—surveillance checks</w:t>
      </w:r>
      <w:bookmarkEnd w:id="298"/>
    </w:p>
    <w:p w14:paraId="73D1CC63" w14:textId="77777777" w:rsidR="00D46430" w:rsidRPr="00CD5673" w:rsidRDefault="00D46430" w:rsidP="00D46430">
      <w:pPr>
        <w:pStyle w:val="subsection"/>
      </w:pPr>
      <w:r w:rsidRPr="00CD5673">
        <w:tab/>
      </w:r>
      <w:r w:rsidRPr="00CD5673">
        <w:tab/>
        <w:t>The agent of a responsible entity must take all reasonable steps to assist the entity and ASIC when ASIC is conducting a check whether the entity is complying with the constitution and compliance plan of a registered scheme and with the Act.</w:t>
      </w:r>
    </w:p>
    <w:p w14:paraId="529AF085" w14:textId="77777777" w:rsidR="00D46430" w:rsidRPr="00CD5673" w:rsidRDefault="00D46430" w:rsidP="00D46430">
      <w:pPr>
        <w:pStyle w:val="ActHead5"/>
      </w:pPr>
      <w:bookmarkStart w:id="299" w:name="_Toc158711908"/>
      <w:r w:rsidRPr="00C614F1">
        <w:rPr>
          <w:rStyle w:val="CharSectno"/>
        </w:rPr>
        <w:t>5C.2.02</w:t>
      </w:r>
      <w:r w:rsidRPr="00CD5673">
        <w:t xml:space="preserve">  Appointment of temporary responsible entities</w:t>
      </w:r>
      <w:bookmarkEnd w:id="299"/>
    </w:p>
    <w:p w14:paraId="1D09F037" w14:textId="77777777" w:rsidR="00D46430" w:rsidRPr="00CD5673" w:rsidRDefault="00D46430" w:rsidP="00D46430">
      <w:pPr>
        <w:pStyle w:val="subsection"/>
      </w:pPr>
      <w:r w:rsidRPr="00CD5673">
        <w:tab/>
      </w:r>
      <w:r w:rsidRPr="00CD5673">
        <w:tab/>
        <w:t>ASIC, or a member of a registered scheme, may apply to the Court for the appointment of a temporary responsible entity of the scheme if ASIC or member reasonably believes that the appointment is necessary to protect scheme property or the interests of members of the scheme.</w:t>
      </w:r>
    </w:p>
    <w:p w14:paraId="215135EA" w14:textId="77777777" w:rsidR="00D46430" w:rsidRPr="00CD5673" w:rsidRDefault="00D46430" w:rsidP="00D46430">
      <w:pPr>
        <w:pStyle w:val="ActHead5"/>
      </w:pPr>
      <w:bookmarkStart w:id="300" w:name="_Toc158711909"/>
      <w:r w:rsidRPr="00C614F1">
        <w:rPr>
          <w:rStyle w:val="CharSectno"/>
        </w:rPr>
        <w:t>5C.2.03</w:t>
      </w:r>
      <w:r w:rsidRPr="00CD5673">
        <w:t xml:space="preserve">  Form of notices (Act ss 601FL(2) and 601FM(2))</w:t>
      </w:r>
      <w:bookmarkEnd w:id="300"/>
    </w:p>
    <w:p w14:paraId="438E13DF" w14:textId="77777777" w:rsidR="00D46430" w:rsidRPr="00CD5673" w:rsidRDefault="00D46430" w:rsidP="00D46430">
      <w:pPr>
        <w:pStyle w:val="subsection"/>
      </w:pPr>
      <w:r w:rsidRPr="00CD5673">
        <w:tab/>
      </w:r>
      <w:r w:rsidRPr="00CD5673">
        <w:tab/>
        <w:t>A notice to be lodged under subsection 601FL(2) or 601FM(2) of the Act must be in the approved form.</w:t>
      </w:r>
    </w:p>
    <w:p w14:paraId="3C9D1EE4" w14:textId="77777777" w:rsidR="00D46430" w:rsidRPr="00CD5673" w:rsidRDefault="00D46430" w:rsidP="00D46430">
      <w:pPr>
        <w:pStyle w:val="ActHead5"/>
      </w:pPr>
      <w:bookmarkStart w:id="301" w:name="_Toc158711910"/>
      <w:r w:rsidRPr="00C614F1">
        <w:rPr>
          <w:rStyle w:val="CharSectno"/>
        </w:rPr>
        <w:t>5C.2.04</w:t>
      </w:r>
      <w:r w:rsidRPr="00CD5673">
        <w:t xml:space="preserve">  Notice of appointment of temporary responsible entities</w:t>
      </w:r>
      <w:bookmarkEnd w:id="301"/>
    </w:p>
    <w:p w14:paraId="72B6D23D" w14:textId="77777777" w:rsidR="00D46430" w:rsidRPr="00CD5673" w:rsidRDefault="00D46430" w:rsidP="00D46430">
      <w:pPr>
        <w:pStyle w:val="subsection"/>
      </w:pPr>
      <w:r w:rsidRPr="00CD5673">
        <w:tab/>
      </w:r>
      <w:r w:rsidRPr="00CD5673">
        <w:tab/>
        <w:t>As soon as practicable after the Court appoints a temporary responsible entity for a registered scheme on application by a member of the scheme under section 601FN of the Act, the member must lodge a notice in the approved form that tells ASIC of the appointment.</w:t>
      </w:r>
    </w:p>
    <w:p w14:paraId="6AAC5DF3" w14:textId="77777777" w:rsidR="00D46430" w:rsidRPr="00CD5673" w:rsidRDefault="00D46430" w:rsidP="00D46430">
      <w:pPr>
        <w:pStyle w:val="ActHead5"/>
      </w:pPr>
      <w:bookmarkStart w:id="302" w:name="_Toc158711911"/>
      <w:r w:rsidRPr="00C614F1">
        <w:rPr>
          <w:rStyle w:val="CharSectno"/>
        </w:rPr>
        <w:t>5C.2.05</w:t>
      </w:r>
      <w:r w:rsidRPr="00CD5673">
        <w:t xml:space="preserve">  Form of notices (Act s 601FP(3))</w:t>
      </w:r>
      <w:bookmarkEnd w:id="302"/>
    </w:p>
    <w:p w14:paraId="719D33C7" w14:textId="77777777" w:rsidR="00D46430" w:rsidRPr="00CD5673" w:rsidRDefault="00D46430" w:rsidP="00D46430">
      <w:pPr>
        <w:pStyle w:val="subsection"/>
      </w:pPr>
      <w:r w:rsidRPr="00CD5673">
        <w:tab/>
      </w:r>
      <w:r w:rsidRPr="00CD5673">
        <w:tab/>
        <w:t>A notice to be lodged under subsection 601FP(3) of the Act must be in the approved form.</w:t>
      </w:r>
    </w:p>
    <w:p w14:paraId="36D846D7" w14:textId="77777777" w:rsidR="00D46430" w:rsidRPr="00CD5673" w:rsidRDefault="00D46430" w:rsidP="00D46430">
      <w:pPr>
        <w:pStyle w:val="ActHead2"/>
        <w:pageBreakBefore/>
      </w:pPr>
      <w:bookmarkStart w:id="303" w:name="_Toc158711912"/>
      <w:r w:rsidRPr="00C614F1">
        <w:rPr>
          <w:rStyle w:val="CharPartNo"/>
        </w:rPr>
        <w:lastRenderedPageBreak/>
        <w:t>Part 5C.4</w:t>
      </w:r>
      <w:r w:rsidRPr="00CD5673">
        <w:t>—</w:t>
      </w:r>
      <w:r w:rsidRPr="00C614F1">
        <w:rPr>
          <w:rStyle w:val="CharPartText"/>
        </w:rPr>
        <w:t>The compliance plan</w:t>
      </w:r>
      <w:bookmarkEnd w:id="303"/>
    </w:p>
    <w:p w14:paraId="22226F2A"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1E0F558F" w14:textId="77777777" w:rsidR="00D46430" w:rsidRPr="00CD5673" w:rsidRDefault="00D46430" w:rsidP="00D46430">
      <w:pPr>
        <w:pStyle w:val="ActHead5"/>
      </w:pPr>
      <w:bookmarkStart w:id="304" w:name="_Toc158711913"/>
      <w:r w:rsidRPr="00C614F1">
        <w:rPr>
          <w:rStyle w:val="CharSectno"/>
        </w:rPr>
        <w:t>5C.4.01</w:t>
      </w:r>
      <w:r w:rsidRPr="00CD5673">
        <w:t xml:space="preserve">  Agents’ authorities to be lodged</w:t>
      </w:r>
      <w:bookmarkEnd w:id="304"/>
    </w:p>
    <w:p w14:paraId="4D52045F" w14:textId="77777777" w:rsidR="00D46430" w:rsidRPr="00CD5673" w:rsidRDefault="00D46430" w:rsidP="00D46430">
      <w:pPr>
        <w:pStyle w:val="subsection"/>
      </w:pPr>
      <w:r w:rsidRPr="00CD5673">
        <w:tab/>
      </w:r>
      <w:r w:rsidRPr="00CD5673">
        <w:tab/>
        <w:t>If a compliance plan, or modification of a plan, lodged with ASIC under section 601HC or subsection 601HE(3) of the Act is signed by an agent of the directors of the responsible entity of the registered scheme to which the plan relates, the authority to do so, or a copy of the authority verified by a director of the entity, must be attached to the plan or modification.</w:t>
      </w:r>
    </w:p>
    <w:p w14:paraId="5E7E9DE8" w14:textId="77777777" w:rsidR="00D46430" w:rsidRPr="00CD5673" w:rsidRDefault="00D46430" w:rsidP="00D46430">
      <w:pPr>
        <w:pStyle w:val="ActHead5"/>
      </w:pPr>
      <w:bookmarkStart w:id="305" w:name="_Toc158711914"/>
      <w:r w:rsidRPr="00C614F1">
        <w:rPr>
          <w:rStyle w:val="CharSectno"/>
        </w:rPr>
        <w:t>5C.4.02</w:t>
      </w:r>
      <w:r w:rsidRPr="00CD5673">
        <w:t xml:space="preserve">  Agents to assist auditors of compliance plans</w:t>
      </w:r>
      <w:bookmarkEnd w:id="305"/>
    </w:p>
    <w:p w14:paraId="3A7CAE9D" w14:textId="77777777" w:rsidR="00D46430" w:rsidRPr="00CD5673" w:rsidRDefault="00D46430" w:rsidP="00D46430">
      <w:pPr>
        <w:pStyle w:val="subsection"/>
      </w:pPr>
      <w:r w:rsidRPr="00CD5673">
        <w:tab/>
      </w:r>
      <w:r w:rsidRPr="00CD5673">
        <w:tab/>
        <w:t>An agent of the responsible entity of a registered scheme, and an officer of the agent, must:</w:t>
      </w:r>
    </w:p>
    <w:p w14:paraId="5C439500" w14:textId="77777777" w:rsidR="00D46430" w:rsidRPr="00CD5673" w:rsidRDefault="00D46430" w:rsidP="00D46430">
      <w:pPr>
        <w:pStyle w:val="paragraph"/>
      </w:pPr>
      <w:r w:rsidRPr="00CD5673">
        <w:tab/>
        <w:t>(a)</w:t>
      </w:r>
      <w:r w:rsidRPr="00CD5673">
        <w:tab/>
        <w:t>allow the auditor of the scheme’s compliance plan to have access to the books of the scheme; and</w:t>
      </w:r>
    </w:p>
    <w:p w14:paraId="27B80448" w14:textId="77777777" w:rsidR="00D46430" w:rsidRPr="00CD5673" w:rsidRDefault="00D46430" w:rsidP="00D46430">
      <w:pPr>
        <w:pStyle w:val="paragraph"/>
      </w:pPr>
      <w:r w:rsidRPr="00CD5673">
        <w:tab/>
        <w:t>(b)</w:t>
      </w:r>
      <w:r w:rsidRPr="00CD5673">
        <w:tab/>
        <w:t>if the auditor requires the agent or entity to give the auditor information or an explanation for the audit—give the information or explanation to the auditor; and</w:t>
      </w:r>
    </w:p>
    <w:p w14:paraId="59890B7B" w14:textId="77777777" w:rsidR="00D46430" w:rsidRPr="00CD5673" w:rsidRDefault="00D46430" w:rsidP="00D46430">
      <w:pPr>
        <w:pStyle w:val="paragraph"/>
      </w:pPr>
      <w:r w:rsidRPr="00CD5673">
        <w:tab/>
        <w:t>(c)</w:t>
      </w:r>
      <w:r w:rsidRPr="00CD5673">
        <w:tab/>
        <w:t>otherwise assist the conduct of the audit.</w:t>
      </w:r>
    </w:p>
    <w:p w14:paraId="798A58E7" w14:textId="77777777" w:rsidR="00D46430" w:rsidRPr="00CD5673" w:rsidRDefault="00D46430" w:rsidP="00D46430">
      <w:pPr>
        <w:pStyle w:val="ActHead2"/>
        <w:pageBreakBefore/>
      </w:pPr>
      <w:bookmarkStart w:id="306" w:name="_Toc158711915"/>
      <w:r w:rsidRPr="00C614F1">
        <w:rPr>
          <w:rStyle w:val="CharPartNo"/>
        </w:rPr>
        <w:lastRenderedPageBreak/>
        <w:t>Part 5C.5</w:t>
      </w:r>
      <w:r w:rsidRPr="00CD5673">
        <w:t>—</w:t>
      </w:r>
      <w:r w:rsidRPr="00C614F1">
        <w:rPr>
          <w:rStyle w:val="CharPartText"/>
        </w:rPr>
        <w:t>The compliance committee</w:t>
      </w:r>
      <w:bookmarkEnd w:id="306"/>
    </w:p>
    <w:p w14:paraId="4B819359"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4FE99DE" w14:textId="77777777" w:rsidR="00D46430" w:rsidRPr="00CD5673" w:rsidRDefault="00D46430" w:rsidP="00D46430">
      <w:pPr>
        <w:pStyle w:val="ActHead5"/>
      </w:pPr>
      <w:bookmarkStart w:id="307" w:name="_Toc158711916"/>
      <w:r w:rsidRPr="00C614F1">
        <w:rPr>
          <w:rStyle w:val="CharSectno"/>
        </w:rPr>
        <w:t>5C.5.01</w:t>
      </w:r>
      <w:r w:rsidRPr="00CD5673">
        <w:t xml:space="preserve">  Responsible entities etc to assist compliance committees</w:t>
      </w:r>
      <w:bookmarkEnd w:id="307"/>
    </w:p>
    <w:p w14:paraId="7661BFFF" w14:textId="77777777" w:rsidR="00D46430" w:rsidRPr="00CD5673" w:rsidRDefault="00D46430" w:rsidP="00D46430">
      <w:pPr>
        <w:pStyle w:val="subsection"/>
      </w:pPr>
      <w:r w:rsidRPr="00CD5673">
        <w:tab/>
        <w:t>(1)</w:t>
      </w:r>
      <w:r w:rsidRPr="00CD5673">
        <w:tab/>
        <w:t>This regulation applies to a person who is the responsible entity of a registered scheme, an officer of the entity, an agent of the entity or an officer of the agent.</w:t>
      </w:r>
    </w:p>
    <w:p w14:paraId="1F0F9E7D" w14:textId="77777777" w:rsidR="00D46430" w:rsidRPr="00CD5673" w:rsidRDefault="00D46430" w:rsidP="00D46430">
      <w:pPr>
        <w:pStyle w:val="subsection"/>
      </w:pPr>
      <w:r w:rsidRPr="00CD5673">
        <w:tab/>
        <w:t>(2)</w:t>
      </w:r>
      <w:r w:rsidRPr="00CD5673">
        <w:tab/>
        <w:t>The person must:</w:t>
      </w:r>
    </w:p>
    <w:p w14:paraId="353FD6D6" w14:textId="77777777" w:rsidR="00D46430" w:rsidRPr="00CD5673" w:rsidRDefault="00D46430" w:rsidP="00D46430">
      <w:pPr>
        <w:pStyle w:val="paragraph"/>
      </w:pPr>
      <w:r w:rsidRPr="00CD5673">
        <w:tab/>
        <w:t>(a)</w:t>
      </w:r>
      <w:r w:rsidRPr="00CD5673">
        <w:tab/>
        <w:t>allow the compliance committee to have access to the books of the scheme; and</w:t>
      </w:r>
    </w:p>
    <w:p w14:paraId="6D2196C6" w14:textId="77777777" w:rsidR="00D46430" w:rsidRPr="00CD5673" w:rsidRDefault="00D46430" w:rsidP="00D46430">
      <w:pPr>
        <w:pStyle w:val="paragraph"/>
      </w:pPr>
      <w:r w:rsidRPr="00CD5673">
        <w:tab/>
        <w:t>(b)</w:t>
      </w:r>
      <w:r w:rsidRPr="00CD5673">
        <w:tab/>
        <w:t>if the committee requires the person to give the committee information or an explanation about the scheme—give the information or explanation to the committee; and</w:t>
      </w:r>
    </w:p>
    <w:p w14:paraId="3CA20B43" w14:textId="77777777" w:rsidR="00D46430" w:rsidRPr="00CD5673" w:rsidRDefault="00D46430" w:rsidP="00D46430">
      <w:pPr>
        <w:pStyle w:val="paragraph"/>
      </w:pPr>
      <w:r w:rsidRPr="00CD5673">
        <w:tab/>
        <w:t>(c)</w:t>
      </w:r>
      <w:r w:rsidRPr="00CD5673">
        <w:tab/>
        <w:t>otherwise assist the committee in the performance of its functions.</w:t>
      </w:r>
    </w:p>
    <w:p w14:paraId="2F96E162" w14:textId="77777777" w:rsidR="00D46430" w:rsidRPr="00CD5673" w:rsidRDefault="00D46430" w:rsidP="00D46430">
      <w:pPr>
        <w:pStyle w:val="ActHead2"/>
        <w:pageBreakBefore/>
      </w:pPr>
      <w:bookmarkStart w:id="308" w:name="_Toc158711917"/>
      <w:r w:rsidRPr="00C614F1">
        <w:rPr>
          <w:rStyle w:val="CharPartNo"/>
        </w:rPr>
        <w:lastRenderedPageBreak/>
        <w:t>Part 5C.9</w:t>
      </w:r>
      <w:r w:rsidRPr="00CD5673">
        <w:t>—</w:t>
      </w:r>
      <w:r w:rsidRPr="00C614F1">
        <w:rPr>
          <w:rStyle w:val="CharPartText"/>
        </w:rPr>
        <w:t>Winding up</w:t>
      </w:r>
      <w:bookmarkEnd w:id="308"/>
    </w:p>
    <w:p w14:paraId="4A51307C"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27BDF49E" w14:textId="77777777" w:rsidR="00D46430" w:rsidRPr="00CD5673" w:rsidRDefault="00D46430" w:rsidP="00D46430">
      <w:pPr>
        <w:pStyle w:val="ActHead5"/>
      </w:pPr>
      <w:bookmarkStart w:id="309" w:name="_Toc158711918"/>
      <w:r w:rsidRPr="00C614F1">
        <w:rPr>
          <w:rStyle w:val="CharSectno"/>
        </w:rPr>
        <w:t>5C.9.01</w:t>
      </w:r>
      <w:r w:rsidRPr="00CD5673">
        <w:t xml:space="preserve">  Notice of commencement of winding up</w:t>
      </w:r>
      <w:bookmarkEnd w:id="309"/>
    </w:p>
    <w:p w14:paraId="3D5E16A2" w14:textId="77777777" w:rsidR="00D46430" w:rsidRPr="00CD5673" w:rsidRDefault="00D46430" w:rsidP="00D46430">
      <w:pPr>
        <w:pStyle w:val="subsection"/>
      </w:pPr>
      <w:r w:rsidRPr="00CD5673">
        <w:tab/>
      </w:r>
      <w:r w:rsidRPr="00CD5673">
        <w:tab/>
        <w:t>The responsible entity of a registered scheme must lodge a notice in the approved form telling ASIC that winding up of the scheme has commenced, or been completed, within 14 days of the commencement or completion.</w:t>
      </w:r>
    </w:p>
    <w:p w14:paraId="5D971865" w14:textId="77777777" w:rsidR="00D46430" w:rsidRPr="00CD5673" w:rsidRDefault="00D46430" w:rsidP="00D46430">
      <w:pPr>
        <w:pStyle w:val="ActHead2"/>
        <w:pageBreakBefore/>
      </w:pPr>
      <w:bookmarkStart w:id="310" w:name="_Toc158711919"/>
      <w:r w:rsidRPr="00C614F1">
        <w:rPr>
          <w:rStyle w:val="CharPartNo"/>
        </w:rPr>
        <w:lastRenderedPageBreak/>
        <w:t>Part 5C.11</w:t>
      </w:r>
      <w:r w:rsidRPr="00CD5673">
        <w:t>—</w:t>
      </w:r>
      <w:r w:rsidRPr="00C614F1">
        <w:rPr>
          <w:rStyle w:val="CharPartText"/>
        </w:rPr>
        <w:t>Exemptions and modifications</w:t>
      </w:r>
      <w:bookmarkEnd w:id="310"/>
    </w:p>
    <w:p w14:paraId="088FC8D7" w14:textId="77777777" w:rsidR="00D46430" w:rsidRPr="00CD5673" w:rsidRDefault="00D46430" w:rsidP="00D46430">
      <w:pPr>
        <w:pStyle w:val="ActHead3"/>
      </w:pPr>
      <w:bookmarkStart w:id="311" w:name="_Toc158711920"/>
      <w:r w:rsidRPr="00C614F1">
        <w:rPr>
          <w:rStyle w:val="CharDivNo"/>
        </w:rPr>
        <w:t>Division 1</w:t>
      </w:r>
      <w:r w:rsidRPr="00CD5673">
        <w:t>—</w:t>
      </w:r>
      <w:r w:rsidRPr="00C614F1">
        <w:rPr>
          <w:rStyle w:val="CharDivText"/>
        </w:rPr>
        <w:t>Exemptions</w:t>
      </w:r>
      <w:bookmarkEnd w:id="311"/>
    </w:p>
    <w:p w14:paraId="0F189409" w14:textId="77777777" w:rsidR="00D46430" w:rsidRPr="00CD5673" w:rsidRDefault="00D46430" w:rsidP="00D46430">
      <w:pPr>
        <w:pStyle w:val="ActHead5"/>
      </w:pPr>
      <w:bookmarkStart w:id="312" w:name="_Toc158711921"/>
      <w:r w:rsidRPr="00C614F1">
        <w:rPr>
          <w:rStyle w:val="CharSectno"/>
        </w:rPr>
        <w:t>5C.11.01</w:t>
      </w:r>
      <w:r w:rsidRPr="00CD5673">
        <w:t xml:space="preserve">  Certain schemes not managed investment schemes</w:t>
      </w:r>
      <w:bookmarkEnd w:id="312"/>
    </w:p>
    <w:p w14:paraId="3CF3CC06" w14:textId="77777777" w:rsidR="00D46430" w:rsidRPr="00CD5673" w:rsidRDefault="00D46430" w:rsidP="00D46430">
      <w:pPr>
        <w:pStyle w:val="subsection"/>
      </w:pPr>
      <w:r w:rsidRPr="00CD5673">
        <w:tab/>
        <w:t>(1)</w:t>
      </w:r>
      <w:r w:rsidRPr="00CD5673">
        <w:tab/>
        <w:t xml:space="preserve">This regulation is made for the purposes of paragraph (n) of the definition of </w:t>
      </w:r>
      <w:r w:rsidRPr="00CD5673">
        <w:rPr>
          <w:b/>
          <w:i/>
        </w:rPr>
        <w:t>managed investment scheme</w:t>
      </w:r>
      <w:r w:rsidRPr="00CD5673">
        <w:t xml:space="preserve"> in section 9 of the Act.</w:t>
      </w:r>
    </w:p>
    <w:p w14:paraId="6FE6E934" w14:textId="77777777" w:rsidR="00D46430" w:rsidRPr="00CD5673" w:rsidRDefault="00D46430" w:rsidP="00D46430">
      <w:pPr>
        <w:pStyle w:val="subsection"/>
      </w:pPr>
      <w:r w:rsidRPr="00CD5673">
        <w:tab/>
        <w:t>(2)</w:t>
      </w:r>
      <w:r w:rsidRPr="00CD5673">
        <w:tab/>
        <w:t xml:space="preserve">An approved benefit fund (within the meaning of subsection 16B(1) of the </w:t>
      </w:r>
      <w:r w:rsidRPr="00CD5673">
        <w:rPr>
          <w:i/>
        </w:rPr>
        <w:t>Life Insurance Act 1995</w:t>
      </w:r>
      <w:r w:rsidRPr="00CD5673">
        <w:t>) is declared not to be a managed investment scheme.</w:t>
      </w:r>
    </w:p>
    <w:p w14:paraId="088D66BB" w14:textId="77777777" w:rsidR="00547FCB" w:rsidRPr="00CD5673" w:rsidRDefault="00547FCB" w:rsidP="00547FCB">
      <w:pPr>
        <w:pStyle w:val="subsection"/>
      </w:pPr>
      <w:r w:rsidRPr="00CD5673">
        <w:tab/>
        <w:t>(2A)</w:t>
      </w:r>
      <w:r w:rsidRPr="00CD5673">
        <w:tab/>
        <w:t xml:space="preserve">A scheme (a </w:t>
      </w:r>
      <w:r w:rsidRPr="00CD5673">
        <w:rPr>
          <w:b/>
          <w:i/>
        </w:rPr>
        <w:t>litigation funding scheme</w:t>
      </w:r>
      <w:r w:rsidRPr="00CD5673">
        <w:t>) that has all of the following features is declared not to be a managed investment scheme:</w:t>
      </w:r>
    </w:p>
    <w:p w14:paraId="33AACAB5" w14:textId="77777777" w:rsidR="00547FCB" w:rsidRPr="00CD5673" w:rsidRDefault="00547FCB" w:rsidP="00547FCB">
      <w:pPr>
        <w:pStyle w:val="paragraph"/>
      </w:pPr>
      <w:r w:rsidRPr="00CD5673">
        <w:tab/>
        <w:t>(a)</w:t>
      </w:r>
      <w:r w:rsidRPr="00CD5673">
        <w:tab/>
        <w:t>the dominant purpose of the scheme is for each of its general members to seek remedies to which the general member may be legally entitled;</w:t>
      </w:r>
    </w:p>
    <w:p w14:paraId="3A2F5320" w14:textId="77777777" w:rsidR="00547FCB" w:rsidRPr="00CD5673" w:rsidRDefault="00547FCB" w:rsidP="00547FCB">
      <w:pPr>
        <w:pStyle w:val="paragraph"/>
      </w:pPr>
      <w:r w:rsidRPr="00CD5673">
        <w:tab/>
        <w:t>(b)</w:t>
      </w:r>
      <w:r w:rsidRPr="00CD5673">
        <w:tab/>
        <w:t>the possible entitlement of each of its general members to remedies arises out of:</w:t>
      </w:r>
    </w:p>
    <w:p w14:paraId="4494D681" w14:textId="77777777" w:rsidR="00547FCB" w:rsidRPr="00CD5673" w:rsidRDefault="00547FCB" w:rsidP="00547FCB">
      <w:pPr>
        <w:pStyle w:val="paragraphsub"/>
      </w:pPr>
      <w:r w:rsidRPr="00CD5673">
        <w:tab/>
        <w:t>(i)</w:t>
      </w:r>
      <w:r w:rsidRPr="00CD5673">
        <w:tab/>
        <w:t>the same, similar or related transactions or circumstances that give rise to a common issue of law or fact; or</w:t>
      </w:r>
    </w:p>
    <w:p w14:paraId="1CF5F193" w14:textId="77777777" w:rsidR="00547FCB" w:rsidRPr="00CD5673" w:rsidRDefault="00547FCB" w:rsidP="00547FCB">
      <w:pPr>
        <w:pStyle w:val="paragraphsub"/>
      </w:pPr>
      <w:r w:rsidRPr="00CD5673">
        <w:tab/>
        <w:t>(ii)</w:t>
      </w:r>
      <w:r w:rsidRPr="00CD5673">
        <w:tab/>
        <w:t>different transactions or circumstances but the claims of the general members can be appropriately dealt with together;</w:t>
      </w:r>
    </w:p>
    <w:p w14:paraId="22415EA9" w14:textId="77777777" w:rsidR="00547FCB" w:rsidRPr="00CD5673" w:rsidRDefault="00547FCB" w:rsidP="00547FCB">
      <w:pPr>
        <w:pStyle w:val="paragraph"/>
      </w:pPr>
      <w:r w:rsidRPr="00CD5673">
        <w:tab/>
        <w:t>(c)</w:t>
      </w:r>
      <w:r w:rsidRPr="00CD5673">
        <w:tab/>
        <w:t>the possible entitlement of each of its general members to remedies relates to transactions or circumstances that occurred before or after the first funding agreement (dealing with any issue of interests in the scheme) is finalised;</w:t>
      </w:r>
    </w:p>
    <w:p w14:paraId="40D92D18" w14:textId="77777777" w:rsidR="00547FCB" w:rsidRPr="00CD5673" w:rsidRDefault="00547FCB" w:rsidP="00547FCB">
      <w:pPr>
        <w:pStyle w:val="paragraph"/>
      </w:pPr>
      <w:r w:rsidRPr="00CD5673">
        <w:tab/>
        <w:t>(d)</w:t>
      </w:r>
      <w:r w:rsidRPr="00CD5673">
        <w:tab/>
        <w:t>the steps taken to seek remedies for each of its general members include a lawyer providing services in relation to:</w:t>
      </w:r>
    </w:p>
    <w:p w14:paraId="66A3D84B" w14:textId="77777777" w:rsidR="00547FCB" w:rsidRPr="00CD5673" w:rsidRDefault="00547FCB" w:rsidP="00547FCB">
      <w:pPr>
        <w:pStyle w:val="paragraphsub"/>
      </w:pPr>
      <w:r w:rsidRPr="00CD5673">
        <w:tab/>
        <w:t>(i)</w:t>
      </w:r>
      <w:r w:rsidRPr="00CD5673">
        <w:tab/>
        <w:t>making a demand for payment in relation to a claim; or</w:t>
      </w:r>
    </w:p>
    <w:p w14:paraId="36ADA8A3" w14:textId="77777777" w:rsidR="00547FCB" w:rsidRPr="00CD5673" w:rsidRDefault="00547FCB" w:rsidP="00547FCB">
      <w:pPr>
        <w:pStyle w:val="paragraphsub"/>
      </w:pPr>
      <w:r w:rsidRPr="00CD5673">
        <w:tab/>
        <w:t>(ii)</w:t>
      </w:r>
      <w:r w:rsidRPr="00CD5673">
        <w:tab/>
        <w:t>lodging a proof of debt; or</w:t>
      </w:r>
    </w:p>
    <w:p w14:paraId="3F2B4490" w14:textId="77777777" w:rsidR="00547FCB" w:rsidRPr="00CD5673" w:rsidRDefault="00547FCB" w:rsidP="00547FCB">
      <w:pPr>
        <w:pStyle w:val="paragraphsub"/>
      </w:pPr>
      <w:r w:rsidRPr="00CD5673">
        <w:tab/>
        <w:t>(iii)</w:t>
      </w:r>
      <w:r w:rsidRPr="00CD5673">
        <w:tab/>
        <w:t>commencing or undertaking legal proceedings; or</w:t>
      </w:r>
    </w:p>
    <w:p w14:paraId="79F22FDC" w14:textId="77777777" w:rsidR="00547FCB" w:rsidRPr="00CD5673" w:rsidRDefault="00547FCB" w:rsidP="00547FCB">
      <w:pPr>
        <w:pStyle w:val="paragraphsub"/>
      </w:pPr>
      <w:r w:rsidRPr="00CD5673">
        <w:tab/>
        <w:t>(iv)</w:t>
      </w:r>
      <w:r w:rsidRPr="00CD5673">
        <w:tab/>
        <w:t>investigating a potential or actual claim; or</w:t>
      </w:r>
    </w:p>
    <w:p w14:paraId="5B230C2C" w14:textId="77777777" w:rsidR="00547FCB" w:rsidRPr="00CD5673" w:rsidRDefault="00547FCB" w:rsidP="00547FCB">
      <w:pPr>
        <w:pStyle w:val="paragraphsub"/>
      </w:pPr>
      <w:r w:rsidRPr="00CD5673">
        <w:tab/>
        <w:t>(v)</w:t>
      </w:r>
      <w:r w:rsidRPr="00CD5673">
        <w:tab/>
        <w:t>negotiating a settlement of a claim; or</w:t>
      </w:r>
    </w:p>
    <w:p w14:paraId="6A96DA8F" w14:textId="77777777" w:rsidR="00547FCB" w:rsidRPr="00CD5673" w:rsidRDefault="00547FCB" w:rsidP="00547FCB">
      <w:pPr>
        <w:pStyle w:val="paragraphsub"/>
      </w:pPr>
      <w:r w:rsidRPr="00CD5673">
        <w:tab/>
        <w:t>(vi)</w:t>
      </w:r>
      <w:r w:rsidRPr="00CD5673">
        <w:tab/>
        <w:t>administering a deed of settlement or scheme of settlement relating to a claim;</w:t>
      </w:r>
    </w:p>
    <w:p w14:paraId="384B9357" w14:textId="77777777" w:rsidR="00547FCB" w:rsidRPr="00CD5673" w:rsidRDefault="00547FCB" w:rsidP="00547FCB">
      <w:pPr>
        <w:pStyle w:val="paragraph"/>
      </w:pPr>
      <w:r w:rsidRPr="00CD5673">
        <w:tab/>
        <w:t>(e)</w:t>
      </w:r>
      <w:r w:rsidRPr="00CD5673">
        <w:tab/>
        <w:t xml:space="preserve">a person (the </w:t>
      </w:r>
      <w:r w:rsidRPr="00CD5673">
        <w:rPr>
          <w:b/>
          <w:i/>
        </w:rPr>
        <w:t>funder</w:t>
      </w:r>
      <w:r w:rsidRPr="00CD5673">
        <w:t>) provides funds, indemnities or both under a funding agreement (including an agreement under which no fee is payable to the funder or lawyer if the scheme is not successful in seeking remedies) to enable the general members of the scheme to seek remedies;</w:t>
      </w:r>
    </w:p>
    <w:p w14:paraId="46603FF4" w14:textId="77777777" w:rsidR="00547FCB" w:rsidRPr="00CD5673" w:rsidRDefault="00547FCB" w:rsidP="00547FCB">
      <w:pPr>
        <w:pStyle w:val="paragraph"/>
      </w:pPr>
      <w:r w:rsidRPr="00CD5673">
        <w:tab/>
        <w:t>(f)</w:t>
      </w:r>
      <w:r w:rsidRPr="00CD5673">
        <w:tab/>
        <w:t>the funder is not a lawyer or legal practice that provides a service for which some or all of the fees, disbursements or both are payable only on success.</w:t>
      </w:r>
    </w:p>
    <w:p w14:paraId="75825B30" w14:textId="77777777" w:rsidR="00D46430" w:rsidRPr="00CD5673" w:rsidRDefault="00D46430" w:rsidP="00D46430">
      <w:pPr>
        <w:pStyle w:val="subsection"/>
      </w:pPr>
      <w:r w:rsidRPr="00CD5673">
        <w:tab/>
        <w:t>(3)</w:t>
      </w:r>
      <w:r w:rsidRPr="00CD5673">
        <w:tab/>
        <w:t>A scheme (</w:t>
      </w:r>
      <w:r w:rsidR="00547FCB" w:rsidRPr="00CD5673">
        <w:t>a</w:t>
      </w:r>
      <w:r w:rsidRPr="00CD5673">
        <w:rPr>
          <w:b/>
          <w:i/>
        </w:rPr>
        <w:t xml:space="preserve"> litigation funding scheme</w:t>
      </w:r>
      <w:r w:rsidRPr="00CD5673">
        <w:t>) that has all of the following features is declared not to be a managed investment scheme:</w:t>
      </w:r>
    </w:p>
    <w:p w14:paraId="24F141B1" w14:textId="77777777" w:rsidR="00D46430" w:rsidRPr="00CD5673" w:rsidRDefault="00D46430" w:rsidP="00D46430">
      <w:pPr>
        <w:pStyle w:val="paragraph"/>
      </w:pPr>
      <w:r w:rsidRPr="00CD5673">
        <w:tab/>
        <w:t>(a)</w:t>
      </w:r>
      <w:r w:rsidRPr="00CD5673">
        <w:tab/>
        <w:t>the scheme relates to a Chapter 5 body corporate;</w:t>
      </w:r>
    </w:p>
    <w:p w14:paraId="5671E383" w14:textId="77777777" w:rsidR="00D46430" w:rsidRPr="00CD5673" w:rsidRDefault="00D46430" w:rsidP="00D46430">
      <w:pPr>
        <w:pStyle w:val="paragraph"/>
      </w:pPr>
      <w:r w:rsidRPr="00CD5673">
        <w:tab/>
        <w:t>(b)</w:t>
      </w:r>
      <w:r w:rsidRPr="00CD5673">
        <w:tab/>
        <w:t>the creditors or members of the body corporate provide funds (including through a trust), indemnities or both to the body corporate or external administrator;</w:t>
      </w:r>
    </w:p>
    <w:p w14:paraId="6A320BFA" w14:textId="77777777" w:rsidR="00D46430" w:rsidRPr="00CD5673" w:rsidRDefault="00D46430" w:rsidP="00D46430">
      <w:pPr>
        <w:pStyle w:val="paragraph"/>
      </w:pPr>
      <w:r w:rsidRPr="00CD5673">
        <w:tab/>
        <w:t>(c)</w:t>
      </w:r>
      <w:r w:rsidRPr="00CD5673">
        <w:tab/>
        <w:t>the funds, indemnities or both enable the external administrator or the body corporate to:</w:t>
      </w:r>
    </w:p>
    <w:p w14:paraId="1D026B89" w14:textId="77777777" w:rsidR="00D46430" w:rsidRPr="00CD5673" w:rsidRDefault="00D46430" w:rsidP="00D46430">
      <w:pPr>
        <w:pStyle w:val="paragraphsub"/>
      </w:pPr>
      <w:r w:rsidRPr="00CD5673">
        <w:tab/>
        <w:t>(i)</w:t>
      </w:r>
      <w:r w:rsidRPr="00CD5673">
        <w:tab/>
        <w:t>conduct investigations; or</w:t>
      </w:r>
    </w:p>
    <w:p w14:paraId="00E427F6" w14:textId="77777777" w:rsidR="00D46430" w:rsidRPr="00CD5673" w:rsidRDefault="00D46430" w:rsidP="00D46430">
      <w:pPr>
        <w:pStyle w:val="paragraphsub"/>
      </w:pPr>
      <w:r w:rsidRPr="00CD5673">
        <w:tab/>
        <w:t>(ii)</w:t>
      </w:r>
      <w:r w:rsidRPr="00CD5673">
        <w:tab/>
        <w:t>seek or enforce a remedy against a third party; or</w:t>
      </w:r>
    </w:p>
    <w:p w14:paraId="4BDDBCE4" w14:textId="77777777" w:rsidR="00D46430" w:rsidRPr="00CD5673" w:rsidRDefault="00D46430" w:rsidP="00D46430">
      <w:pPr>
        <w:pStyle w:val="paragraphsub"/>
      </w:pPr>
      <w:r w:rsidRPr="00CD5673">
        <w:tab/>
        <w:t>(iii)</w:t>
      </w:r>
      <w:r w:rsidRPr="00CD5673">
        <w:tab/>
        <w:t>defend proceedings brought against the body corporate in relation to the external administration of the body corporate (other than in relation to allegations, made by creditors or members of the body corporate, of negligence or non</w:t>
      </w:r>
      <w:r w:rsidR="00C614F1">
        <w:noBreakHyphen/>
      </w:r>
      <w:r w:rsidRPr="00CD5673">
        <w:t>performance of duties by the external administrator).</w:t>
      </w:r>
    </w:p>
    <w:p w14:paraId="14A45D56" w14:textId="77777777" w:rsidR="00D46430" w:rsidRPr="00CD5673" w:rsidRDefault="00D46430" w:rsidP="00D46430">
      <w:pPr>
        <w:pStyle w:val="subsection"/>
      </w:pPr>
      <w:r w:rsidRPr="00CD5673">
        <w:tab/>
        <w:t>(4)</w:t>
      </w:r>
      <w:r w:rsidRPr="00CD5673">
        <w:tab/>
        <w:t xml:space="preserve">An arrangement (a </w:t>
      </w:r>
      <w:r w:rsidRPr="00CD5673">
        <w:rPr>
          <w:b/>
          <w:i/>
        </w:rPr>
        <w:t>litigation funding arrangement</w:t>
      </w:r>
      <w:r w:rsidRPr="00CD5673">
        <w:t>) that has all of the following features is declared not to be a managed investment scheme:</w:t>
      </w:r>
    </w:p>
    <w:p w14:paraId="009D5768" w14:textId="77777777" w:rsidR="00D46430" w:rsidRPr="00CD5673" w:rsidRDefault="00D46430" w:rsidP="00D46430">
      <w:pPr>
        <w:pStyle w:val="paragraph"/>
      </w:pPr>
      <w:r w:rsidRPr="00CD5673">
        <w:tab/>
        <w:t>(a)</w:t>
      </w:r>
      <w:r w:rsidRPr="00CD5673">
        <w:tab/>
        <w:t xml:space="preserve">the dominant purpose of the arrangement is </w:t>
      </w:r>
      <w:r w:rsidRPr="00CD5673">
        <w:rPr>
          <w:rFonts w:eastAsia="Calibri"/>
        </w:rPr>
        <w:t>proving claims made by a general member who is an individual under Division 6 of Part 5.6 of the Act (which may include the funding of the preparation and the lodgement of the proofs);</w:t>
      </w:r>
    </w:p>
    <w:p w14:paraId="2F2ED5DF" w14:textId="77777777" w:rsidR="00D46430" w:rsidRPr="00CD5673" w:rsidRDefault="00D46430" w:rsidP="00D46430">
      <w:pPr>
        <w:pStyle w:val="paragraph"/>
      </w:pPr>
      <w:r w:rsidRPr="00CD5673">
        <w:tab/>
        <w:t>(b)</w:t>
      </w:r>
      <w:r w:rsidRPr="00CD5673">
        <w:tab/>
        <w:t>the steps taken under the arrangement include a lawyer providing services in relation to:</w:t>
      </w:r>
    </w:p>
    <w:p w14:paraId="32CFA27B" w14:textId="77777777" w:rsidR="00D46430" w:rsidRPr="00CD5673" w:rsidRDefault="00D46430" w:rsidP="00D46430">
      <w:pPr>
        <w:pStyle w:val="paragraphsub"/>
      </w:pPr>
      <w:r w:rsidRPr="00CD5673">
        <w:tab/>
        <w:t>(i)</w:t>
      </w:r>
      <w:r w:rsidRPr="00CD5673">
        <w:tab/>
        <w:t>making a demand for payment in relation to a claim; or</w:t>
      </w:r>
    </w:p>
    <w:p w14:paraId="62991F30" w14:textId="77777777" w:rsidR="00D46430" w:rsidRPr="00CD5673" w:rsidRDefault="00D46430" w:rsidP="00D46430">
      <w:pPr>
        <w:pStyle w:val="paragraphsub"/>
      </w:pPr>
      <w:r w:rsidRPr="00CD5673">
        <w:lastRenderedPageBreak/>
        <w:tab/>
        <w:t>(ii)</w:t>
      </w:r>
      <w:r w:rsidRPr="00CD5673">
        <w:tab/>
        <w:t>lodging a proof of debt; or</w:t>
      </w:r>
    </w:p>
    <w:p w14:paraId="274E561C" w14:textId="77777777" w:rsidR="00D46430" w:rsidRPr="00CD5673" w:rsidRDefault="00D46430" w:rsidP="00D46430">
      <w:pPr>
        <w:pStyle w:val="paragraphsub"/>
      </w:pPr>
      <w:r w:rsidRPr="00CD5673">
        <w:tab/>
        <w:t>(iii)</w:t>
      </w:r>
      <w:r w:rsidRPr="00CD5673">
        <w:tab/>
        <w:t>commencing or undertaking legal proceedings; or</w:t>
      </w:r>
    </w:p>
    <w:p w14:paraId="034A2DEB" w14:textId="77777777" w:rsidR="00D46430" w:rsidRPr="00CD5673" w:rsidRDefault="00D46430" w:rsidP="00D46430">
      <w:pPr>
        <w:pStyle w:val="paragraphsub"/>
      </w:pPr>
      <w:r w:rsidRPr="00CD5673">
        <w:tab/>
        <w:t>(iv)</w:t>
      </w:r>
      <w:r w:rsidRPr="00CD5673">
        <w:tab/>
        <w:t>investigating a potential or actual claim; or</w:t>
      </w:r>
    </w:p>
    <w:p w14:paraId="4FD03742" w14:textId="77777777" w:rsidR="00D46430" w:rsidRPr="00CD5673" w:rsidRDefault="00D46430" w:rsidP="00D46430">
      <w:pPr>
        <w:pStyle w:val="paragraphsub"/>
      </w:pPr>
      <w:r w:rsidRPr="00CD5673">
        <w:tab/>
        <w:t>(v)</w:t>
      </w:r>
      <w:r w:rsidRPr="00CD5673">
        <w:tab/>
        <w:t>negotiating a settlement of a claim; or</w:t>
      </w:r>
    </w:p>
    <w:p w14:paraId="01E4C33D" w14:textId="77777777" w:rsidR="00D46430" w:rsidRPr="00CD5673" w:rsidRDefault="00D46430" w:rsidP="00D46430">
      <w:pPr>
        <w:pStyle w:val="paragraphsub"/>
      </w:pPr>
      <w:r w:rsidRPr="00CD5673">
        <w:tab/>
        <w:t>(vi)</w:t>
      </w:r>
      <w:r w:rsidRPr="00CD5673">
        <w:tab/>
        <w:t>administering a deed of settlement or scheme of settlement relating to a claim;</w:t>
      </w:r>
    </w:p>
    <w:p w14:paraId="4022A0A0" w14:textId="77777777" w:rsidR="00D46430" w:rsidRPr="00CD5673" w:rsidRDefault="00D46430" w:rsidP="00D46430">
      <w:pPr>
        <w:pStyle w:val="paragraph"/>
      </w:pPr>
      <w:r w:rsidRPr="00CD5673">
        <w:tab/>
        <w:t>(c)</w:t>
      </w:r>
      <w:r w:rsidRPr="00CD5673">
        <w:tab/>
        <w:t xml:space="preserve">a person (the </w:t>
      </w:r>
      <w:r w:rsidRPr="00CD5673">
        <w:rPr>
          <w:b/>
          <w:i/>
        </w:rPr>
        <w:t>funder</w:t>
      </w:r>
      <w:r w:rsidRPr="00CD5673">
        <w:t>) provides funds, indemnities or both under a funding agreement (including an agreement under which no fee is payable to the funder or lawyer if the arrangement is not successful in proving claims) to enable the general member to prove the claims;</w:t>
      </w:r>
    </w:p>
    <w:p w14:paraId="0B78ED14" w14:textId="77777777" w:rsidR="00D46430" w:rsidRPr="00CD5673" w:rsidRDefault="00D46430" w:rsidP="00D46430">
      <w:pPr>
        <w:pStyle w:val="paragraph"/>
      </w:pPr>
      <w:r w:rsidRPr="00CD5673">
        <w:tab/>
        <w:t>(d)</w:t>
      </w:r>
      <w:r w:rsidRPr="00CD5673">
        <w:tab/>
        <w:t>the funder is not a lawyer or legal practice that provides a service for which some or all of the fees, disbursements or both are payable only on success;</w:t>
      </w:r>
    </w:p>
    <w:p w14:paraId="392BBF4E" w14:textId="77777777" w:rsidR="00547FCB" w:rsidRPr="00CD5673" w:rsidRDefault="00547FCB" w:rsidP="00547FCB">
      <w:pPr>
        <w:pStyle w:val="paragraph"/>
      </w:pPr>
      <w:bookmarkStart w:id="313" w:name="_Hlk124319089"/>
      <w:r w:rsidRPr="00CD5673">
        <w:tab/>
        <w:t>(e)</w:t>
      </w:r>
      <w:r w:rsidRPr="00CD5673">
        <w:tab/>
        <w:t>the arrangement is not a litigation funding scheme.</w:t>
      </w:r>
      <w:bookmarkEnd w:id="313"/>
    </w:p>
    <w:p w14:paraId="5E56DF29" w14:textId="77777777" w:rsidR="00D46430" w:rsidRPr="00CD5673" w:rsidRDefault="00D46430" w:rsidP="00D46430">
      <w:pPr>
        <w:pStyle w:val="subsection"/>
      </w:pPr>
      <w:r w:rsidRPr="00CD5673">
        <w:tab/>
        <w:t>(5)</w:t>
      </w:r>
      <w:r w:rsidRPr="00CD5673">
        <w:tab/>
        <w:t xml:space="preserve">An arrangement (a </w:t>
      </w:r>
      <w:r w:rsidRPr="00CD5673">
        <w:rPr>
          <w:b/>
          <w:i/>
        </w:rPr>
        <w:t>litigation</w:t>
      </w:r>
      <w:r w:rsidRPr="00CD5673">
        <w:t xml:space="preserve"> </w:t>
      </w:r>
      <w:r w:rsidRPr="00CD5673">
        <w:rPr>
          <w:b/>
          <w:i/>
        </w:rPr>
        <w:t>funding arrangement</w:t>
      </w:r>
      <w:r w:rsidRPr="00CD5673">
        <w:t>) that has all of the following features is declared not to be a managed investment scheme:</w:t>
      </w:r>
    </w:p>
    <w:p w14:paraId="45BC2134" w14:textId="77777777" w:rsidR="00D46430" w:rsidRPr="00CD5673" w:rsidRDefault="00D46430" w:rsidP="00D46430">
      <w:pPr>
        <w:pStyle w:val="paragraph"/>
      </w:pPr>
      <w:r w:rsidRPr="00CD5673">
        <w:tab/>
        <w:t>(a)</w:t>
      </w:r>
      <w:r w:rsidRPr="00CD5673">
        <w:tab/>
        <w:t>the dominant purpose of the arrangement is for a general member to seek remedies to which the general member may be legally entitled</w:t>
      </w:r>
      <w:r w:rsidRPr="00CD5673">
        <w:rPr>
          <w:rFonts w:eastAsia="Calibri"/>
        </w:rPr>
        <w:t>;</w:t>
      </w:r>
    </w:p>
    <w:p w14:paraId="5D52A4A6" w14:textId="77777777" w:rsidR="00D46430" w:rsidRPr="00CD5673" w:rsidRDefault="00D46430" w:rsidP="00D46430">
      <w:pPr>
        <w:pStyle w:val="paragraph"/>
      </w:pPr>
      <w:r w:rsidRPr="00CD5673">
        <w:tab/>
        <w:t>(b)</w:t>
      </w:r>
      <w:r w:rsidRPr="00CD5673">
        <w:tab/>
        <w:t>the steps taken to seek remedies include a lawyer providing services in relation to:</w:t>
      </w:r>
    </w:p>
    <w:p w14:paraId="46836F90" w14:textId="77777777" w:rsidR="00D46430" w:rsidRPr="00CD5673" w:rsidRDefault="00D46430" w:rsidP="00D46430">
      <w:pPr>
        <w:pStyle w:val="paragraphsub"/>
      </w:pPr>
      <w:r w:rsidRPr="00CD5673">
        <w:tab/>
        <w:t>(i)</w:t>
      </w:r>
      <w:r w:rsidRPr="00CD5673">
        <w:tab/>
        <w:t>making a demand for payment in relation to a claim; or</w:t>
      </w:r>
    </w:p>
    <w:p w14:paraId="3B5BB96F" w14:textId="77777777" w:rsidR="00D46430" w:rsidRPr="00CD5673" w:rsidRDefault="00D46430" w:rsidP="00D46430">
      <w:pPr>
        <w:pStyle w:val="paragraphsub"/>
      </w:pPr>
      <w:r w:rsidRPr="00CD5673">
        <w:tab/>
        <w:t>(ii)</w:t>
      </w:r>
      <w:r w:rsidRPr="00CD5673">
        <w:tab/>
        <w:t>lodging a proof of debt; or</w:t>
      </w:r>
    </w:p>
    <w:p w14:paraId="48E5B429" w14:textId="77777777" w:rsidR="00D46430" w:rsidRPr="00CD5673" w:rsidRDefault="00D46430" w:rsidP="00D46430">
      <w:pPr>
        <w:pStyle w:val="paragraphsub"/>
      </w:pPr>
      <w:r w:rsidRPr="00CD5673">
        <w:tab/>
        <w:t>(iii)</w:t>
      </w:r>
      <w:r w:rsidRPr="00CD5673">
        <w:tab/>
        <w:t>commencing or undertaking legal proceedings; or</w:t>
      </w:r>
    </w:p>
    <w:p w14:paraId="2F3D64C2" w14:textId="77777777" w:rsidR="00D46430" w:rsidRPr="00CD5673" w:rsidRDefault="00D46430" w:rsidP="00D46430">
      <w:pPr>
        <w:pStyle w:val="paragraphsub"/>
      </w:pPr>
      <w:r w:rsidRPr="00CD5673">
        <w:tab/>
        <w:t>(iv)</w:t>
      </w:r>
      <w:r w:rsidRPr="00CD5673">
        <w:tab/>
        <w:t>investigating a potential or actual claim; or</w:t>
      </w:r>
    </w:p>
    <w:p w14:paraId="614F347A" w14:textId="77777777" w:rsidR="00D46430" w:rsidRPr="00CD5673" w:rsidRDefault="00D46430" w:rsidP="00D46430">
      <w:pPr>
        <w:pStyle w:val="paragraphsub"/>
      </w:pPr>
      <w:r w:rsidRPr="00CD5673">
        <w:tab/>
        <w:t>(v)</w:t>
      </w:r>
      <w:r w:rsidRPr="00CD5673">
        <w:tab/>
        <w:t>negotiating a settlement of a claim; or</w:t>
      </w:r>
    </w:p>
    <w:p w14:paraId="369D0988" w14:textId="77777777" w:rsidR="00D46430" w:rsidRPr="00CD5673" w:rsidRDefault="00D46430" w:rsidP="00D46430">
      <w:pPr>
        <w:pStyle w:val="paragraphsub"/>
      </w:pPr>
      <w:r w:rsidRPr="00CD5673">
        <w:tab/>
        <w:t>(vi)</w:t>
      </w:r>
      <w:r w:rsidRPr="00CD5673">
        <w:tab/>
        <w:t>administering a deed of settlement or scheme of settlement relating to a claim;</w:t>
      </w:r>
    </w:p>
    <w:p w14:paraId="41837EBF" w14:textId="77777777" w:rsidR="00D46430" w:rsidRPr="00CD5673" w:rsidRDefault="00D46430" w:rsidP="00D46430">
      <w:pPr>
        <w:pStyle w:val="paragraph"/>
      </w:pPr>
      <w:r w:rsidRPr="00CD5673">
        <w:tab/>
        <w:t>(c)</w:t>
      </w:r>
      <w:r w:rsidRPr="00CD5673">
        <w:tab/>
        <w:t xml:space="preserve">a person (the </w:t>
      </w:r>
      <w:r w:rsidRPr="00CD5673">
        <w:rPr>
          <w:b/>
          <w:i/>
        </w:rPr>
        <w:t>funder</w:t>
      </w:r>
      <w:r w:rsidRPr="00CD5673">
        <w:t>) provides funds, indemnities or both under a funding agreement (including an agreement under which no fee is payable to the funder or lawyer if the arrangement is not successful in seeking remedies) to enable the general member to seek remedies;</w:t>
      </w:r>
    </w:p>
    <w:p w14:paraId="6CA24525" w14:textId="77777777" w:rsidR="00D46430" w:rsidRPr="00CD5673" w:rsidRDefault="00D46430" w:rsidP="00D46430">
      <w:pPr>
        <w:pStyle w:val="paragraph"/>
      </w:pPr>
      <w:r w:rsidRPr="00CD5673">
        <w:tab/>
        <w:t>(d)</w:t>
      </w:r>
      <w:r w:rsidRPr="00CD5673">
        <w:tab/>
        <w:t>the funder is not a lawyer or legal practice that provides a service for which some or all of the fees, disbursements or both are payable only on success;</w:t>
      </w:r>
    </w:p>
    <w:p w14:paraId="28437B87" w14:textId="77777777" w:rsidR="00547FCB" w:rsidRPr="00CD5673" w:rsidRDefault="00547FCB" w:rsidP="00547FCB">
      <w:pPr>
        <w:pStyle w:val="paragraph"/>
      </w:pPr>
      <w:r w:rsidRPr="00CD5673">
        <w:tab/>
        <w:t>(e)</w:t>
      </w:r>
      <w:r w:rsidRPr="00CD5673">
        <w:tab/>
        <w:t>the arrangement is not a litigation funding scheme.</w:t>
      </w:r>
    </w:p>
    <w:p w14:paraId="3FE6B0DA" w14:textId="77777777" w:rsidR="00D46430" w:rsidRPr="00CD5673" w:rsidRDefault="00D46430" w:rsidP="00D46430">
      <w:pPr>
        <w:pStyle w:val="subsection"/>
      </w:pPr>
      <w:r w:rsidRPr="00CD5673">
        <w:tab/>
        <w:t>(6)</w:t>
      </w:r>
      <w:r w:rsidRPr="00CD5673">
        <w:tab/>
        <w:t>In this regulation:</w:t>
      </w:r>
    </w:p>
    <w:p w14:paraId="101B67A0" w14:textId="77777777" w:rsidR="00D46430" w:rsidRPr="00CD5673" w:rsidRDefault="00D46430" w:rsidP="00D46430">
      <w:pPr>
        <w:pStyle w:val="Definition"/>
      </w:pPr>
      <w:r w:rsidRPr="00CD5673">
        <w:rPr>
          <w:b/>
          <w:i/>
        </w:rPr>
        <w:t xml:space="preserve">external administrator </w:t>
      </w:r>
      <w:r w:rsidRPr="00CD5673">
        <w:t>includes an administrator, a liquidator (including a provisional liquidator) and a controller.</w:t>
      </w:r>
    </w:p>
    <w:p w14:paraId="06632318" w14:textId="77777777" w:rsidR="00547FCB" w:rsidRPr="00CD5673" w:rsidRDefault="00547FCB" w:rsidP="00547FCB">
      <w:pPr>
        <w:pStyle w:val="Definition"/>
        <w:keepNext/>
        <w:keepLines/>
      </w:pPr>
      <w:r w:rsidRPr="00CD5673">
        <w:rPr>
          <w:b/>
          <w:i/>
        </w:rPr>
        <w:t>general member</w:t>
      </w:r>
      <w:r w:rsidRPr="00CD5673">
        <w:t>:</w:t>
      </w:r>
    </w:p>
    <w:p w14:paraId="24460B83" w14:textId="77777777" w:rsidR="00547FCB" w:rsidRPr="00CD5673" w:rsidRDefault="00547FCB" w:rsidP="00547FCB">
      <w:pPr>
        <w:pStyle w:val="paragraph"/>
        <w:keepNext/>
        <w:keepLines/>
      </w:pPr>
      <w:r w:rsidRPr="00CD5673">
        <w:tab/>
        <w:t>(a)</w:t>
      </w:r>
      <w:r w:rsidRPr="00CD5673">
        <w:tab/>
        <w:t>in relation to a litigation funding scheme—means a member of the scheme who:</w:t>
      </w:r>
    </w:p>
    <w:p w14:paraId="2E34787B" w14:textId="77777777" w:rsidR="00547FCB" w:rsidRPr="00CD5673" w:rsidRDefault="00547FCB" w:rsidP="00547FCB">
      <w:pPr>
        <w:pStyle w:val="paragraphsub"/>
      </w:pPr>
      <w:r w:rsidRPr="00CD5673">
        <w:tab/>
        <w:t>(i)</w:t>
      </w:r>
      <w:r w:rsidRPr="00CD5673">
        <w:tab/>
        <w:t>is not the funder; and</w:t>
      </w:r>
    </w:p>
    <w:p w14:paraId="2DFEE2FF" w14:textId="77777777" w:rsidR="00547FCB" w:rsidRPr="00CD5673" w:rsidRDefault="00547FCB" w:rsidP="00547FCB">
      <w:pPr>
        <w:pStyle w:val="paragraphsub"/>
      </w:pPr>
      <w:r w:rsidRPr="00CD5673">
        <w:tab/>
        <w:t>(ii)</w:t>
      </w:r>
      <w:r w:rsidRPr="00CD5673">
        <w:tab/>
        <w:t>is not a lawyer providing services for the purposes of the scheme; and</w:t>
      </w:r>
    </w:p>
    <w:p w14:paraId="26572216" w14:textId="77777777" w:rsidR="00547FCB" w:rsidRPr="00CD5673" w:rsidRDefault="00547FCB" w:rsidP="00547FCB">
      <w:pPr>
        <w:pStyle w:val="paragraph"/>
      </w:pPr>
      <w:r w:rsidRPr="00CD5673">
        <w:tab/>
        <w:t>(b)</w:t>
      </w:r>
      <w:r w:rsidRPr="00CD5673">
        <w:tab/>
        <w:t>in relation to a litigation funding arrangement—means the party to the arrangement who:</w:t>
      </w:r>
    </w:p>
    <w:p w14:paraId="77C36A79" w14:textId="77777777" w:rsidR="00547FCB" w:rsidRPr="00CD5673" w:rsidRDefault="00547FCB" w:rsidP="00547FCB">
      <w:pPr>
        <w:pStyle w:val="paragraphsub"/>
      </w:pPr>
      <w:r w:rsidRPr="00CD5673">
        <w:tab/>
        <w:t>(i)</w:t>
      </w:r>
      <w:r w:rsidRPr="00CD5673">
        <w:tab/>
        <w:t>is not the funder; and</w:t>
      </w:r>
    </w:p>
    <w:p w14:paraId="1ED8A4E9" w14:textId="77777777" w:rsidR="00547FCB" w:rsidRPr="00CD5673" w:rsidRDefault="00547FCB" w:rsidP="00547FCB">
      <w:pPr>
        <w:pStyle w:val="paragraphsub"/>
      </w:pPr>
      <w:r w:rsidRPr="00CD5673">
        <w:tab/>
        <w:t>(ii)</w:t>
      </w:r>
      <w:r w:rsidRPr="00CD5673">
        <w:tab/>
        <w:t>is not a lawyer providing services for the purposes of the arrangement.</w:t>
      </w:r>
    </w:p>
    <w:p w14:paraId="783B4958" w14:textId="77777777" w:rsidR="00D46430" w:rsidRPr="00CD5673" w:rsidRDefault="00D46430" w:rsidP="00D46430">
      <w:pPr>
        <w:pStyle w:val="ActHead3"/>
        <w:pageBreakBefore/>
      </w:pPr>
      <w:bookmarkStart w:id="314" w:name="_Toc158711922"/>
      <w:r w:rsidRPr="00C614F1">
        <w:rPr>
          <w:rStyle w:val="CharDivNo"/>
        </w:rPr>
        <w:lastRenderedPageBreak/>
        <w:t>Division 2</w:t>
      </w:r>
      <w:r w:rsidRPr="00CD5673">
        <w:t>—</w:t>
      </w:r>
      <w:r w:rsidRPr="00C614F1">
        <w:rPr>
          <w:rStyle w:val="CharDivText"/>
        </w:rPr>
        <w:t>Modifications</w:t>
      </w:r>
      <w:bookmarkEnd w:id="314"/>
    </w:p>
    <w:p w14:paraId="1579B8D8" w14:textId="77777777" w:rsidR="00D46430" w:rsidRPr="00CD5673" w:rsidRDefault="00D46430" w:rsidP="00D46430">
      <w:pPr>
        <w:pStyle w:val="ActHead5"/>
      </w:pPr>
      <w:bookmarkStart w:id="315" w:name="_Toc158711923"/>
      <w:r w:rsidRPr="00C614F1">
        <w:rPr>
          <w:rStyle w:val="CharSectno"/>
        </w:rPr>
        <w:t>5C.11.02</w:t>
      </w:r>
      <w:r w:rsidRPr="00CD5673">
        <w:t xml:space="preserve">  Modifications</w:t>
      </w:r>
      <w:bookmarkEnd w:id="315"/>
    </w:p>
    <w:p w14:paraId="79B50451" w14:textId="77777777" w:rsidR="00D46430" w:rsidRPr="00CD5673" w:rsidRDefault="00D46430" w:rsidP="00D46430">
      <w:pPr>
        <w:pStyle w:val="subsection"/>
      </w:pPr>
      <w:r w:rsidRPr="00CD5673">
        <w:tab/>
      </w:r>
      <w:r w:rsidRPr="00CD5673">
        <w:tab/>
        <w:t>For section 601QB of the Act, the operation of the Act is modified in accordance with this Division.</w:t>
      </w:r>
    </w:p>
    <w:p w14:paraId="30738D11" w14:textId="77777777" w:rsidR="00D46430" w:rsidRPr="00CD5673" w:rsidRDefault="00D46430" w:rsidP="00D46430">
      <w:pPr>
        <w:pStyle w:val="ActHead5"/>
      </w:pPr>
      <w:bookmarkStart w:id="316" w:name="_Toc158711924"/>
      <w:r w:rsidRPr="00C614F1">
        <w:rPr>
          <w:rStyle w:val="CharSectno"/>
        </w:rPr>
        <w:t>5C.11.03</w:t>
      </w:r>
      <w:r w:rsidRPr="00CD5673">
        <w:t xml:space="preserve">  Register of members of registered schemes (Act s 169(1))</w:t>
      </w:r>
      <w:bookmarkEnd w:id="316"/>
    </w:p>
    <w:p w14:paraId="5BF77F8B" w14:textId="77777777" w:rsidR="00D46430" w:rsidRPr="00CD5673" w:rsidRDefault="00D46430" w:rsidP="00D46430">
      <w:pPr>
        <w:pStyle w:val="subsection"/>
      </w:pPr>
      <w:r w:rsidRPr="00CD5673">
        <w:tab/>
      </w:r>
      <w:r w:rsidRPr="00CD5673">
        <w:tab/>
        <w:t>The register of members of a registered scheme need not contain information about a member whose only interest in the scheme is as the holder of an option.</w:t>
      </w:r>
    </w:p>
    <w:p w14:paraId="40E4E471" w14:textId="77777777" w:rsidR="00D46430" w:rsidRPr="00CD5673" w:rsidRDefault="00D46430" w:rsidP="00D46430">
      <w:pPr>
        <w:pStyle w:val="ActHead5"/>
      </w:pPr>
      <w:bookmarkStart w:id="317" w:name="_Toc158711925"/>
      <w:r w:rsidRPr="00C614F1">
        <w:rPr>
          <w:rStyle w:val="CharSectno"/>
        </w:rPr>
        <w:t>5C.11.03A</w:t>
      </w:r>
      <w:r w:rsidRPr="00CD5673">
        <w:t xml:space="preserve">  How to work out the value of an interest</w:t>
      </w:r>
      <w:bookmarkEnd w:id="317"/>
    </w:p>
    <w:p w14:paraId="281CA0F0" w14:textId="77777777" w:rsidR="00D46430" w:rsidRPr="00CD5673" w:rsidRDefault="00D46430" w:rsidP="00D46430">
      <w:pPr>
        <w:pStyle w:val="subsection"/>
      </w:pPr>
      <w:r w:rsidRPr="00CD5673">
        <w:tab/>
      </w:r>
      <w:r w:rsidRPr="00CD5673">
        <w:tab/>
        <w:t>If a registered scheme is quoted on 2 or more prescribed financial markets, paragraph 253F(a) of the Act is to be applied so that the value of an interest in the registered scheme is taken to be the last sale price, on the market on which the scheme is listed, on the trading day immediately before the day on which the poll is taken.</w:t>
      </w:r>
    </w:p>
    <w:p w14:paraId="6D56E184" w14:textId="77777777" w:rsidR="00D46430" w:rsidRPr="00CD5673" w:rsidRDefault="00D46430" w:rsidP="00D46430">
      <w:pPr>
        <w:pStyle w:val="ActHead5"/>
      </w:pPr>
      <w:bookmarkStart w:id="318" w:name="_Toc158711926"/>
      <w:r w:rsidRPr="00C614F1">
        <w:rPr>
          <w:rStyle w:val="CharSectno"/>
        </w:rPr>
        <w:t>5C.11.04</w:t>
      </w:r>
      <w:r w:rsidRPr="00CD5673">
        <w:t xml:space="preserve">  Names of registered schemes (Act s 601EB(1))</w:t>
      </w:r>
      <w:bookmarkEnd w:id="318"/>
    </w:p>
    <w:p w14:paraId="391665FC" w14:textId="77777777" w:rsidR="00D46430" w:rsidRPr="00CD5673" w:rsidRDefault="00D46430" w:rsidP="00D46430">
      <w:pPr>
        <w:pStyle w:val="subsection"/>
      </w:pPr>
      <w:r w:rsidRPr="00CD5673">
        <w:tab/>
      </w:r>
      <w:r w:rsidRPr="00CD5673">
        <w:tab/>
        <w:t>ASIC must not register a managed investment scheme under Part 5C.1 of the Act if the name of the scheme stated under subregulation 5C.1.01(2) does not comply with subregulation 5C.1.01(3).</w:t>
      </w:r>
    </w:p>
    <w:p w14:paraId="2B535714" w14:textId="77777777" w:rsidR="00D46430" w:rsidRPr="00CD5673" w:rsidRDefault="00D46430" w:rsidP="00D46430">
      <w:pPr>
        <w:pStyle w:val="ActHead5"/>
      </w:pPr>
      <w:bookmarkStart w:id="319" w:name="_Toc158711927"/>
      <w:r w:rsidRPr="00C614F1">
        <w:rPr>
          <w:rStyle w:val="CharSectno"/>
        </w:rPr>
        <w:t>5C.11.05A</w:t>
      </w:r>
      <w:r w:rsidRPr="00CD5673">
        <w:t xml:space="preserve">  Schemes not required to be registered (Act s 601ED)</w:t>
      </w:r>
      <w:bookmarkEnd w:id="319"/>
    </w:p>
    <w:p w14:paraId="37406EA3" w14:textId="77777777" w:rsidR="00D46430" w:rsidRPr="00CD5673" w:rsidRDefault="00D46430" w:rsidP="00D46430">
      <w:pPr>
        <w:pStyle w:val="subsection"/>
      </w:pPr>
      <w:r w:rsidRPr="00CD5673">
        <w:tab/>
      </w:r>
      <w:r w:rsidRPr="00CD5673">
        <w:tab/>
        <w:t>Subsection 601ED(2) of the Act has effect as if the words ‘and Division 2 of Part 7.9 applied to the interests at that time’ were inserted after the words ‘when the issues were made’.</w:t>
      </w:r>
    </w:p>
    <w:p w14:paraId="3DE12AEC" w14:textId="77777777" w:rsidR="00D46430" w:rsidRPr="00CD5673" w:rsidRDefault="00D46430" w:rsidP="00D46430">
      <w:pPr>
        <w:pStyle w:val="ActHead5"/>
      </w:pPr>
      <w:bookmarkStart w:id="320" w:name="_Toc158711928"/>
      <w:r w:rsidRPr="00C614F1">
        <w:rPr>
          <w:rStyle w:val="CharSectno"/>
        </w:rPr>
        <w:t>5C.11.06</w:t>
      </w:r>
      <w:r w:rsidRPr="00CD5673">
        <w:t xml:space="preserve">  Liability of responsible entities (Act s 601FB(4))</w:t>
      </w:r>
      <w:bookmarkEnd w:id="320"/>
    </w:p>
    <w:p w14:paraId="0238730F" w14:textId="77777777" w:rsidR="00D46430" w:rsidRPr="00CD5673" w:rsidRDefault="00D46430" w:rsidP="00D46430">
      <w:pPr>
        <w:pStyle w:val="subsection"/>
        <w:keepNext/>
        <w:keepLines/>
      </w:pPr>
      <w:r w:rsidRPr="00CD5673">
        <w:tab/>
      </w:r>
      <w:r w:rsidRPr="00CD5673">
        <w:tab/>
        <w:t>In determining the liability under subsection 601FB(2) of the Act of the responsible entity of a registered scheme to the members of the scheme for an act or omission of an agent appointed by the entity under that subsection, the amount recovered under subsection 601FB(4) of the Act is to be disregarded.</w:t>
      </w:r>
    </w:p>
    <w:p w14:paraId="4AA2B953" w14:textId="77777777" w:rsidR="00D46430" w:rsidRPr="00CD5673" w:rsidRDefault="00D46430" w:rsidP="00D46430">
      <w:pPr>
        <w:pStyle w:val="ActHead1"/>
        <w:pageBreakBefore/>
      </w:pPr>
      <w:bookmarkStart w:id="321" w:name="_Toc158711929"/>
      <w:r w:rsidRPr="00C614F1">
        <w:rPr>
          <w:rStyle w:val="CharChapNo"/>
        </w:rPr>
        <w:lastRenderedPageBreak/>
        <w:t>Chapter 5D</w:t>
      </w:r>
      <w:r w:rsidRPr="00CD5673">
        <w:t>—</w:t>
      </w:r>
      <w:r w:rsidRPr="00C614F1">
        <w:rPr>
          <w:rStyle w:val="CharChapText"/>
        </w:rPr>
        <w:t>Licensed trustee companies</w:t>
      </w:r>
      <w:bookmarkEnd w:id="321"/>
    </w:p>
    <w:p w14:paraId="5FAC8BCE" w14:textId="77777777" w:rsidR="00D46430" w:rsidRPr="00CD5673" w:rsidRDefault="00D46430" w:rsidP="00D46430">
      <w:pPr>
        <w:pStyle w:val="ActHead2"/>
      </w:pPr>
      <w:bookmarkStart w:id="322" w:name="_Toc158711930"/>
      <w:r w:rsidRPr="00C614F1">
        <w:rPr>
          <w:rStyle w:val="CharPartNo"/>
        </w:rPr>
        <w:t>Part 5D.1</w:t>
      </w:r>
      <w:r w:rsidRPr="00CD5673">
        <w:t>—</w:t>
      </w:r>
      <w:r w:rsidRPr="00C614F1">
        <w:rPr>
          <w:rStyle w:val="CharPartText"/>
        </w:rPr>
        <w:t>Preliminary</w:t>
      </w:r>
      <w:bookmarkEnd w:id="322"/>
    </w:p>
    <w:p w14:paraId="797C48D5"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002FBE8" w14:textId="77777777" w:rsidR="00D46430" w:rsidRPr="00CD5673" w:rsidRDefault="00D46430" w:rsidP="00D46430">
      <w:pPr>
        <w:pStyle w:val="ActHead5"/>
      </w:pPr>
      <w:bookmarkStart w:id="323" w:name="_Toc158711931"/>
      <w:r w:rsidRPr="00C614F1">
        <w:rPr>
          <w:rStyle w:val="CharSectno"/>
        </w:rPr>
        <w:t>5D.1.01</w:t>
      </w:r>
      <w:r w:rsidRPr="00CD5673">
        <w:t xml:space="preserve">  Prescribed requirements for publication</w:t>
      </w:r>
      <w:bookmarkEnd w:id="323"/>
    </w:p>
    <w:p w14:paraId="7D86B5BD" w14:textId="77777777" w:rsidR="00D46430" w:rsidRPr="00CD5673" w:rsidRDefault="00D46430" w:rsidP="00D46430">
      <w:pPr>
        <w:pStyle w:val="subsection"/>
      </w:pPr>
      <w:r w:rsidRPr="00CD5673">
        <w:tab/>
      </w:r>
      <w:r w:rsidRPr="00CD5673">
        <w:tab/>
        <w:t xml:space="preserve">For the definition of </w:t>
      </w:r>
      <w:r w:rsidRPr="00CD5673">
        <w:rPr>
          <w:b/>
          <w:i/>
        </w:rPr>
        <w:t xml:space="preserve">publish </w:t>
      </w:r>
      <w:r w:rsidRPr="00CD5673">
        <w:t>in section 601RAA of the Act:</w:t>
      </w:r>
    </w:p>
    <w:p w14:paraId="33F71849" w14:textId="77777777" w:rsidR="00D46430" w:rsidRPr="00CD5673" w:rsidRDefault="00D46430" w:rsidP="00D46430">
      <w:pPr>
        <w:pStyle w:val="paragraph"/>
      </w:pPr>
      <w:r w:rsidRPr="00CD5673">
        <w:tab/>
        <w:t>(a)</w:t>
      </w:r>
      <w:r w:rsidRPr="00CD5673">
        <w:tab/>
        <w:t xml:space="preserve">a notice mentioned in paragraph 601WBH(b) of the Act is to be published in the </w:t>
      </w:r>
      <w:r w:rsidRPr="00CD5673">
        <w:rPr>
          <w:i/>
        </w:rPr>
        <w:t>Gazette</w:t>
      </w:r>
      <w:r w:rsidRPr="00CD5673">
        <w:t xml:space="preserve"> and on the ASIC website; and</w:t>
      </w:r>
    </w:p>
    <w:p w14:paraId="296B6F7A" w14:textId="77777777" w:rsidR="00D46430" w:rsidRPr="00CD5673" w:rsidRDefault="00D46430" w:rsidP="00D46430">
      <w:pPr>
        <w:pStyle w:val="paragraph"/>
      </w:pPr>
      <w:r w:rsidRPr="00CD5673">
        <w:tab/>
        <w:t>(b)</w:t>
      </w:r>
      <w:r w:rsidRPr="00CD5673">
        <w:tab/>
        <w:t>a notice mentioned in paragraph 601WDA(1)(b) or subsection 601WDA(3) of the Act is to be published in a national newspaper and on the transferring company’s website.</w:t>
      </w:r>
    </w:p>
    <w:p w14:paraId="19A075B0" w14:textId="77777777" w:rsidR="00D46430" w:rsidRPr="00CD5673" w:rsidRDefault="00D46430" w:rsidP="00D46430">
      <w:pPr>
        <w:pStyle w:val="ActHead5"/>
      </w:pPr>
      <w:bookmarkStart w:id="324" w:name="_Toc158711932"/>
      <w:r w:rsidRPr="00C614F1">
        <w:rPr>
          <w:rStyle w:val="CharSectno"/>
        </w:rPr>
        <w:t>5D.1.01A</w:t>
      </w:r>
      <w:r w:rsidRPr="00CD5673">
        <w:t xml:space="preserve">  Meaning of </w:t>
      </w:r>
      <w:r w:rsidRPr="00CD5673">
        <w:rPr>
          <w:i/>
        </w:rPr>
        <w:t>trustee company</w:t>
      </w:r>
      <w:bookmarkEnd w:id="324"/>
    </w:p>
    <w:p w14:paraId="3BCF96A9" w14:textId="77777777" w:rsidR="00D46430" w:rsidRPr="00CD5673" w:rsidRDefault="00D46430" w:rsidP="00D46430">
      <w:pPr>
        <w:pStyle w:val="subsection"/>
      </w:pPr>
      <w:r w:rsidRPr="00CD5673">
        <w:tab/>
        <w:t>(1)</w:t>
      </w:r>
      <w:r w:rsidRPr="00CD5673">
        <w:tab/>
        <w:t>For subsection 601RAB(1) of the Act, a company that is listed in Schedule 8AA is a trustee company for the purpose of the Act.</w:t>
      </w:r>
    </w:p>
    <w:p w14:paraId="25D3B44D" w14:textId="77777777" w:rsidR="00D46430" w:rsidRPr="00CD5673" w:rsidRDefault="00D46430" w:rsidP="00D46430">
      <w:pPr>
        <w:pStyle w:val="subsection"/>
      </w:pPr>
      <w:r w:rsidRPr="00CD5673">
        <w:tab/>
        <w:t>(2)</w:t>
      </w:r>
      <w:r w:rsidRPr="00CD5673">
        <w:tab/>
        <w:t>A company that performs the function of the Public Trustee of a State or Territory may only be listed in Schedule 8AA if:</w:t>
      </w:r>
    </w:p>
    <w:p w14:paraId="45B8BED2" w14:textId="77777777" w:rsidR="00D46430" w:rsidRPr="00CD5673" w:rsidRDefault="00D46430" w:rsidP="00D46430">
      <w:pPr>
        <w:pStyle w:val="paragraph"/>
      </w:pPr>
      <w:r w:rsidRPr="00CD5673">
        <w:tab/>
        <w:t>(a)</w:t>
      </w:r>
      <w:r w:rsidRPr="00CD5673">
        <w:tab/>
        <w:t>the State or Territory requests the Minister to prescribe the company as a trustee company; and</w:t>
      </w:r>
    </w:p>
    <w:p w14:paraId="5B7D57C1" w14:textId="77777777" w:rsidR="00D46430" w:rsidRPr="00CD5673" w:rsidRDefault="00D46430" w:rsidP="00D46430">
      <w:pPr>
        <w:pStyle w:val="paragraph"/>
      </w:pPr>
      <w:r w:rsidRPr="00CD5673">
        <w:tab/>
        <w:t>(b)</w:t>
      </w:r>
      <w:r w:rsidRPr="00CD5673">
        <w:tab/>
        <w:t>the Minister agrees to the request.</w:t>
      </w:r>
    </w:p>
    <w:p w14:paraId="729C5C4E" w14:textId="77777777" w:rsidR="00D46430" w:rsidRPr="00CD5673" w:rsidRDefault="00D46430" w:rsidP="00D46430">
      <w:pPr>
        <w:pStyle w:val="ActHead5"/>
      </w:pPr>
      <w:bookmarkStart w:id="325" w:name="_Toc158711933"/>
      <w:r w:rsidRPr="00C614F1">
        <w:rPr>
          <w:rStyle w:val="CharSectno"/>
        </w:rPr>
        <w:t>5D.1.02</w:t>
      </w:r>
      <w:r w:rsidRPr="00CD5673">
        <w:t xml:space="preserve">  Meaning of </w:t>
      </w:r>
      <w:r w:rsidRPr="00CD5673">
        <w:rPr>
          <w:i/>
        </w:rPr>
        <w:t xml:space="preserve">traditional trustee company services </w:t>
      </w:r>
      <w:r w:rsidRPr="00CD5673">
        <w:t xml:space="preserve">and </w:t>
      </w:r>
      <w:r w:rsidRPr="00CD5673">
        <w:rPr>
          <w:i/>
        </w:rPr>
        <w:t>estate management functions</w:t>
      </w:r>
      <w:bookmarkEnd w:id="325"/>
    </w:p>
    <w:p w14:paraId="738E0A54" w14:textId="77777777" w:rsidR="00D46430" w:rsidRPr="00CD5673" w:rsidRDefault="00D46430" w:rsidP="00D46430">
      <w:pPr>
        <w:pStyle w:val="subsection"/>
      </w:pPr>
      <w:r w:rsidRPr="00CD5673">
        <w:tab/>
        <w:t>(1)</w:t>
      </w:r>
      <w:r w:rsidRPr="00CD5673">
        <w:tab/>
        <w:t>For paragraph 601RAC(3)(f) of the Act, acting in any of the following capacities is prescribed:</w:t>
      </w:r>
    </w:p>
    <w:p w14:paraId="2B2F2B3C" w14:textId="77777777" w:rsidR="00D46430" w:rsidRPr="00CD5673" w:rsidRDefault="00D46430" w:rsidP="00D46430">
      <w:pPr>
        <w:pStyle w:val="paragraph"/>
      </w:pPr>
      <w:r w:rsidRPr="00CD5673">
        <w:tab/>
        <w:t>(a)</w:t>
      </w:r>
      <w:r w:rsidRPr="00CD5673">
        <w:tab/>
        <w:t>as trustee for the holders of debt securities of a body;</w:t>
      </w:r>
    </w:p>
    <w:p w14:paraId="4B9A53DE" w14:textId="77777777" w:rsidR="00D46430" w:rsidRPr="00CD5673" w:rsidRDefault="00D46430" w:rsidP="00D46430">
      <w:pPr>
        <w:pStyle w:val="paragraph"/>
      </w:pPr>
      <w:r w:rsidRPr="00CD5673">
        <w:tab/>
        <w:t>(b)</w:t>
      </w:r>
      <w:r w:rsidRPr="00CD5673">
        <w:tab/>
        <w:t>as trustee of a trust established for purposes that include issuing debt securities (including loan</w:t>
      </w:r>
      <w:r w:rsidR="00C614F1">
        <w:noBreakHyphen/>
      </w:r>
      <w:r w:rsidRPr="00CD5673">
        <w:t>backed securities and mortgage</w:t>
      </w:r>
      <w:r w:rsidR="00C614F1">
        <w:noBreakHyphen/>
      </w:r>
      <w:r w:rsidRPr="00CD5673">
        <w:t>backed securities) or managing or servicing the assets of the trust;</w:t>
      </w:r>
    </w:p>
    <w:p w14:paraId="7A9058E4" w14:textId="77777777" w:rsidR="00D46430" w:rsidRPr="00CD5673" w:rsidRDefault="00D46430" w:rsidP="00D46430">
      <w:pPr>
        <w:pStyle w:val="paragraph"/>
      </w:pPr>
      <w:r w:rsidRPr="00CD5673">
        <w:tab/>
        <w:t>(c)</w:t>
      </w:r>
      <w:r w:rsidRPr="00CD5673">
        <w:tab/>
        <w:t>as trustee for the benefit of present or future creditors of another person when holding:</w:t>
      </w:r>
    </w:p>
    <w:p w14:paraId="0EAF1C97" w14:textId="77777777" w:rsidR="00D46430" w:rsidRPr="00CD5673" w:rsidRDefault="00D46430" w:rsidP="00D46430">
      <w:pPr>
        <w:pStyle w:val="paragraphsub"/>
      </w:pPr>
      <w:r w:rsidRPr="00CD5673">
        <w:tab/>
        <w:t>(i)</w:t>
      </w:r>
      <w:r w:rsidRPr="00CD5673">
        <w:tab/>
        <w:t>mortgages, charges, guarantees, indemnities or other rights or benefits that have been given to secure debts owing to the creditors; and</w:t>
      </w:r>
    </w:p>
    <w:p w14:paraId="6EE886C6" w14:textId="77777777" w:rsidR="00D46430" w:rsidRPr="00CD5673" w:rsidRDefault="00D46430" w:rsidP="00D46430">
      <w:pPr>
        <w:pStyle w:val="paragraphsub"/>
      </w:pPr>
      <w:r w:rsidRPr="00CD5673">
        <w:tab/>
        <w:t>(ii)</w:t>
      </w:r>
      <w:r w:rsidRPr="00CD5673">
        <w:tab/>
        <w:t xml:space="preserve">the proceeds from the enforcement of </w:t>
      </w:r>
      <w:r w:rsidR="00913F7D">
        <w:t>any of those things that have been given</w:t>
      </w:r>
      <w:r w:rsidRPr="00CD5673">
        <w:t xml:space="preserve"> in subparagraph (i);</w:t>
      </w:r>
    </w:p>
    <w:p w14:paraId="6987436D" w14:textId="77777777" w:rsidR="00D46430" w:rsidRPr="00CD5673" w:rsidRDefault="00D46430" w:rsidP="00D46430">
      <w:pPr>
        <w:pStyle w:val="paragraph"/>
      </w:pPr>
      <w:r w:rsidRPr="00CD5673">
        <w:tab/>
        <w:t>(d)</w:t>
      </w:r>
      <w:r w:rsidRPr="00CD5673">
        <w:tab/>
        <w:t>as custodian for another trustee or for the responsible entity of a registered scheme or other commercial entity;</w:t>
      </w:r>
    </w:p>
    <w:p w14:paraId="0532A337" w14:textId="77777777" w:rsidR="00D46430" w:rsidRPr="00CD5673" w:rsidRDefault="00D46430" w:rsidP="00D46430">
      <w:pPr>
        <w:pStyle w:val="paragraph"/>
      </w:pPr>
      <w:r w:rsidRPr="00CD5673">
        <w:tab/>
        <w:t>(e)</w:t>
      </w:r>
      <w:r w:rsidRPr="00CD5673">
        <w:tab/>
        <w:t>as trustee of a managed investment scheme the main assets of which consist of land and improvements on the land where the trustee is not responsible for the daily management of the land or any business conducted on the land;</w:t>
      </w:r>
    </w:p>
    <w:p w14:paraId="02AC16B4" w14:textId="77777777" w:rsidR="00D46430" w:rsidRPr="00CD5673" w:rsidRDefault="00D46430" w:rsidP="00D46430">
      <w:pPr>
        <w:pStyle w:val="paragraph"/>
      </w:pPr>
      <w:r w:rsidRPr="00CD5673">
        <w:tab/>
        <w:t>(f)</w:t>
      </w:r>
      <w:r w:rsidRPr="00CD5673">
        <w:tab/>
        <w:t>as trustee for employee share or benefit schemes;</w:t>
      </w:r>
    </w:p>
    <w:p w14:paraId="1EEFA0D4" w14:textId="77777777" w:rsidR="00D46430" w:rsidRPr="00CD5673" w:rsidRDefault="00D46430" w:rsidP="00D46430">
      <w:pPr>
        <w:pStyle w:val="paragraph"/>
      </w:pPr>
      <w:r w:rsidRPr="00CD5673">
        <w:tab/>
        <w:t>(g)</w:t>
      </w:r>
      <w:r w:rsidRPr="00CD5673">
        <w:tab/>
        <w:t>as trustee for trusts the main activities of which consist of making loans to, or otherwise investing in, companies or other commercial entities;</w:t>
      </w:r>
    </w:p>
    <w:p w14:paraId="69F9A9A6" w14:textId="77777777" w:rsidR="00D46430" w:rsidRPr="00CD5673" w:rsidRDefault="00D46430" w:rsidP="00D46430">
      <w:pPr>
        <w:pStyle w:val="paragraph"/>
      </w:pPr>
      <w:r w:rsidRPr="00CD5673">
        <w:tab/>
        <w:t>(h)</w:t>
      </w:r>
      <w:r w:rsidRPr="00CD5673">
        <w:tab/>
        <w:t>as an escrow agent;</w:t>
      </w:r>
    </w:p>
    <w:p w14:paraId="29EE44D6" w14:textId="77777777" w:rsidR="00D46430" w:rsidRPr="00CD5673" w:rsidRDefault="00D46430" w:rsidP="00D46430">
      <w:pPr>
        <w:pStyle w:val="paragraph"/>
      </w:pPr>
      <w:r w:rsidRPr="00CD5673">
        <w:tab/>
        <w:t>(i)</w:t>
      </w:r>
      <w:r w:rsidRPr="00CD5673">
        <w:tab/>
        <w:t>as a person named in a will as an executor when not actively providing a service or function;</w:t>
      </w:r>
    </w:p>
    <w:p w14:paraId="34D37F10" w14:textId="77777777" w:rsidR="00D46430" w:rsidRPr="00CD5673" w:rsidRDefault="00D46430" w:rsidP="00D46430">
      <w:pPr>
        <w:pStyle w:val="paragraph"/>
      </w:pPr>
      <w:r w:rsidRPr="00CD5673">
        <w:tab/>
        <w:t>(j)</w:t>
      </w:r>
      <w:r w:rsidRPr="00CD5673">
        <w:tab/>
        <w:t>as a person named in a power of attorney as an attorney when not actively providing a service or function;</w:t>
      </w:r>
    </w:p>
    <w:p w14:paraId="30BE60EE" w14:textId="77777777" w:rsidR="00D46430" w:rsidRPr="00CD5673" w:rsidRDefault="00D46430" w:rsidP="00D46430">
      <w:pPr>
        <w:pStyle w:val="paragraph"/>
      </w:pPr>
      <w:r w:rsidRPr="00CD5673">
        <w:tab/>
        <w:t>(k)</w:t>
      </w:r>
      <w:r w:rsidRPr="00CD5673">
        <w:tab/>
        <w:t>preparing a power of attorney for a person’s medical treatment or for guardianship of a person’s affairs;</w:t>
      </w:r>
    </w:p>
    <w:p w14:paraId="12995551" w14:textId="77777777" w:rsidR="00D46430" w:rsidRPr="00CD5673" w:rsidRDefault="00D46430" w:rsidP="00D46430">
      <w:pPr>
        <w:pStyle w:val="paragraph"/>
      </w:pPr>
      <w:r w:rsidRPr="00CD5673">
        <w:tab/>
        <w:t>(l)</w:t>
      </w:r>
      <w:r w:rsidRPr="00CD5673">
        <w:tab/>
        <w:t>preparing a living will or advance health directive of any kind.</w:t>
      </w:r>
    </w:p>
    <w:p w14:paraId="1F6AC983" w14:textId="77777777" w:rsidR="00A60CB4" w:rsidRDefault="00A60CB4" w:rsidP="00A60CB4">
      <w:pPr>
        <w:pStyle w:val="subsection"/>
      </w:pPr>
      <w:r w:rsidRPr="00BE1284">
        <w:tab/>
        <w:t>(1A)</w:t>
      </w:r>
      <w:r w:rsidRPr="00BE1284">
        <w:tab/>
      </w:r>
      <w:r>
        <w:t>Paragraph (</w:t>
      </w:r>
      <w:r w:rsidRPr="00BE1284">
        <w:t>1)(d) does not apply to a custodian that is a trustee establishing and operating a common fund.</w:t>
      </w:r>
    </w:p>
    <w:p w14:paraId="5EC16C32" w14:textId="77777777" w:rsidR="00D46430" w:rsidRPr="00CD5673" w:rsidRDefault="00D46430" w:rsidP="00D46430">
      <w:pPr>
        <w:pStyle w:val="subsection"/>
      </w:pPr>
      <w:r w:rsidRPr="00CD5673">
        <w:tab/>
        <w:t>(2)</w:t>
      </w:r>
      <w:r w:rsidRPr="00CD5673">
        <w:tab/>
        <w:t>In this regulation:</w:t>
      </w:r>
    </w:p>
    <w:p w14:paraId="3D60B08D" w14:textId="77777777" w:rsidR="00D46430" w:rsidRPr="00CD5673" w:rsidRDefault="00D46430" w:rsidP="00D46430">
      <w:pPr>
        <w:pStyle w:val="Definition"/>
        <w:keepNext/>
        <w:keepLines/>
      </w:pPr>
      <w:r w:rsidRPr="00CD5673">
        <w:rPr>
          <w:b/>
          <w:i/>
        </w:rPr>
        <w:t xml:space="preserve">debt security </w:t>
      </w:r>
      <w:r w:rsidRPr="00CD5673">
        <w:t>means:</w:t>
      </w:r>
    </w:p>
    <w:p w14:paraId="4161EAC3" w14:textId="77777777" w:rsidR="00D46430" w:rsidRPr="00CD5673" w:rsidRDefault="00D46430" w:rsidP="00D46430">
      <w:pPr>
        <w:pStyle w:val="paragraph"/>
      </w:pPr>
      <w:r w:rsidRPr="00CD5673">
        <w:tab/>
        <w:t>(a)</w:t>
      </w:r>
      <w:r w:rsidRPr="00CD5673">
        <w:tab/>
        <w:t>any debenture, debenture stock, bond, note or other security of a corporation or body; or</w:t>
      </w:r>
    </w:p>
    <w:p w14:paraId="64781700" w14:textId="77777777" w:rsidR="00D46430" w:rsidRPr="00CD5673" w:rsidRDefault="00D46430" w:rsidP="00D46430">
      <w:pPr>
        <w:pStyle w:val="paragraph"/>
      </w:pPr>
      <w:r w:rsidRPr="00CD5673">
        <w:tab/>
        <w:t>(b)</w:t>
      </w:r>
      <w:r w:rsidRPr="00CD5673">
        <w:tab/>
        <w:t>any convertible note issued by a company or any convertible note in a unit trust scheme issued by the trustee of a unit trust scheme; or</w:t>
      </w:r>
    </w:p>
    <w:p w14:paraId="6E1744DF" w14:textId="77777777" w:rsidR="00D46430" w:rsidRPr="00CD5673" w:rsidRDefault="00D46430" w:rsidP="00D46430">
      <w:pPr>
        <w:pStyle w:val="paragraph"/>
      </w:pPr>
      <w:r w:rsidRPr="00CD5673">
        <w:tab/>
        <w:t>(c)</w:t>
      </w:r>
      <w:r w:rsidRPr="00CD5673">
        <w:tab/>
        <w:t>any right to a security mentioned in paragraph (a) or (b);</w:t>
      </w:r>
    </w:p>
    <w:p w14:paraId="0DBA121B" w14:textId="77777777" w:rsidR="00D46430" w:rsidRPr="00CD5673" w:rsidRDefault="00D46430" w:rsidP="00D46430">
      <w:pPr>
        <w:pStyle w:val="subsection2"/>
      </w:pPr>
      <w:r w:rsidRPr="00CD5673">
        <w:t>whether or not it is a charge on the assets of the corporation, company, society or unit trust scheme.</w:t>
      </w:r>
    </w:p>
    <w:p w14:paraId="36554949" w14:textId="77777777" w:rsidR="00D46430" w:rsidRPr="00CD5673" w:rsidRDefault="00D46430" w:rsidP="00D46430">
      <w:pPr>
        <w:pStyle w:val="Definition"/>
      </w:pPr>
      <w:r w:rsidRPr="00CD5673">
        <w:rPr>
          <w:b/>
          <w:bCs/>
          <w:i/>
          <w:iCs/>
        </w:rPr>
        <w:lastRenderedPageBreak/>
        <w:t xml:space="preserve">employee share or benefit scheme </w:t>
      </w:r>
      <w:r w:rsidRPr="00CD5673">
        <w:rPr>
          <w:bCs/>
          <w:iCs/>
        </w:rPr>
        <w:t>means</w:t>
      </w:r>
      <w:r w:rsidRPr="00CD5673">
        <w:t xml:space="preserve"> a scheme under which a company offers for issue or sale shares (or options over issued shares) in the company, or some other benefit in the company, only to a director or employee of the company, or of an associated body corporate, when the offer is made.</w:t>
      </w:r>
    </w:p>
    <w:p w14:paraId="00E94732" w14:textId="77777777" w:rsidR="00D46430" w:rsidRPr="00CD5673" w:rsidRDefault="00D46430" w:rsidP="00D46430">
      <w:pPr>
        <w:pStyle w:val="Definition"/>
      </w:pPr>
      <w:r w:rsidRPr="00CD5673">
        <w:rPr>
          <w:b/>
          <w:i/>
        </w:rPr>
        <w:t>escrow agent</w:t>
      </w:r>
      <w:r w:rsidRPr="00CD5673">
        <w:t xml:space="preserve"> means a person with whom is deposited a contract, deed, bond or other written agreement or property for delivery to the grantee, promisee or some other person on resolution of a dispute or fulfilment of some condition.</w:t>
      </w:r>
    </w:p>
    <w:p w14:paraId="105CFC32" w14:textId="77777777" w:rsidR="00D46430" w:rsidRPr="00CD5673" w:rsidRDefault="00D46430" w:rsidP="00D46430">
      <w:pPr>
        <w:pStyle w:val="Definition"/>
      </w:pPr>
      <w:r w:rsidRPr="00CD5673">
        <w:rPr>
          <w:b/>
          <w:i/>
        </w:rPr>
        <w:t>loan</w:t>
      </w:r>
      <w:r w:rsidR="00C614F1">
        <w:rPr>
          <w:b/>
          <w:i/>
        </w:rPr>
        <w:noBreakHyphen/>
      </w:r>
      <w:r w:rsidRPr="00CD5673">
        <w:rPr>
          <w:b/>
          <w:i/>
        </w:rPr>
        <w:t>backed security</w:t>
      </w:r>
      <w:r w:rsidRPr="00CD5673">
        <w:t xml:space="preserve"> means:</w:t>
      </w:r>
    </w:p>
    <w:p w14:paraId="5A43B207" w14:textId="77777777" w:rsidR="00D46430" w:rsidRPr="00CD5673" w:rsidRDefault="00D46430" w:rsidP="00D46430">
      <w:pPr>
        <w:pStyle w:val="paragraph"/>
      </w:pPr>
      <w:r w:rsidRPr="00CD5673">
        <w:tab/>
        <w:t>(a)</w:t>
      </w:r>
      <w:r w:rsidRPr="00CD5673">
        <w:tab/>
        <w:t>an instrument or property:</w:t>
      </w:r>
    </w:p>
    <w:p w14:paraId="72118DCB" w14:textId="77777777" w:rsidR="00D46430" w:rsidRPr="00CD5673" w:rsidRDefault="00D46430" w:rsidP="00D46430">
      <w:pPr>
        <w:pStyle w:val="paragraphsub"/>
      </w:pPr>
      <w:r w:rsidRPr="00CD5673">
        <w:tab/>
        <w:t>(i)</w:t>
      </w:r>
      <w:r w:rsidRPr="00CD5673">
        <w:tab/>
        <w:t>creating a right or interest (whether described as a unit, bond or otherwise) for a beneficiary; or</w:t>
      </w:r>
    </w:p>
    <w:p w14:paraId="2679A5C6" w14:textId="77777777" w:rsidR="00D46430" w:rsidRPr="00CD5673" w:rsidRDefault="00D46430" w:rsidP="00D46430">
      <w:pPr>
        <w:pStyle w:val="paragraphsub"/>
      </w:pPr>
      <w:r w:rsidRPr="00CD5673">
        <w:tab/>
        <w:t>(ii)</w:t>
      </w:r>
      <w:r w:rsidRPr="00CD5673">
        <w:tab/>
        <w:t>conferring a right or interest (whether described as a unit, bond or otherwise) on a beneficiary; or</w:t>
      </w:r>
    </w:p>
    <w:p w14:paraId="23D96EAE" w14:textId="77777777" w:rsidR="00D46430" w:rsidRPr="00CD5673" w:rsidRDefault="00D46430" w:rsidP="00D46430">
      <w:pPr>
        <w:pStyle w:val="paragraphsub"/>
      </w:pPr>
      <w:r w:rsidRPr="00CD5673">
        <w:tab/>
        <w:t>(iii)</w:t>
      </w:r>
      <w:r w:rsidRPr="00CD5673">
        <w:tab/>
        <w:t>consisting of a right or interest (whether described as a unit, bond or otherwise) of a beneficiary;</w:t>
      </w:r>
    </w:p>
    <w:p w14:paraId="6777C334" w14:textId="77777777" w:rsidR="00D46430" w:rsidRPr="00CD5673" w:rsidRDefault="00D46430" w:rsidP="00D46430">
      <w:pPr>
        <w:pStyle w:val="paragraph"/>
      </w:pPr>
      <w:r w:rsidRPr="00CD5673">
        <w:tab/>
      </w:r>
      <w:r w:rsidRPr="00CD5673">
        <w:tab/>
        <w:t>in a scheme under which the profits, distributions of capital or income in which beneficiaries share arise or arises from the acquisition, holding, management or disposal of a loan or pool of loans; or</w:t>
      </w:r>
    </w:p>
    <w:p w14:paraId="7888925B" w14:textId="77777777" w:rsidR="00D46430" w:rsidRPr="00CD5673" w:rsidRDefault="00D46430" w:rsidP="00D46430">
      <w:pPr>
        <w:pStyle w:val="paragraph"/>
      </w:pPr>
      <w:r w:rsidRPr="00CD5673">
        <w:tab/>
        <w:t>(b)</w:t>
      </w:r>
      <w:r w:rsidRPr="00CD5673">
        <w:tab/>
        <w:t>an instrument which evidences a right or interest mentioned in paragraph (a); or</w:t>
      </w:r>
    </w:p>
    <w:p w14:paraId="2A639F8D" w14:textId="77777777" w:rsidR="00D46430" w:rsidRPr="00CD5673" w:rsidRDefault="00D46430" w:rsidP="00D46430">
      <w:pPr>
        <w:pStyle w:val="paragraph"/>
        <w:keepNext/>
        <w:keepLines/>
      </w:pPr>
      <w:r w:rsidRPr="00CD5673">
        <w:tab/>
        <w:t>(c)</w:t>
      </w:r>
      <w:r w:rsidRPr="00CD5673">
        <w:tab/>
        <w:t>a debt security:</w:t>
      </w:r>
    </w:p>
    <w:p w14:paraId="4AECACAE" w14:textId="77777777" w:rsidR="00D46430" w:rsidRPr="00CD5673" w:rsidRDefault="00D46430" w:rsidP="00D46430">
      <w:pPr>
        <w:pStyle w:val="paragraphsub"/>
      </w:pPr>
      <w:r w:rsidRPr="00CD5673">
        <w:tab/>
        <w:t>(i)</w:t>
      </w:r>
      <w:r w:rsidRPr="00CD5673">
        <w:tab/>
        <w:t>the payments under which by the person that issues or makes the instrument are derived mainly from the acquisition, holding, management or disposal of a loan or pool of loans; and</w:t>
      </w:r>
    </w:p>
    <w:p w14:paraId="74A95B7C" w14:textId="77777777" w:rsidR="00D46430" w:rsidRPr="00CD5673" w:rsidRDefault="00D46430" w:rsidP="00D46430">
      <w:pPr>
        <w:pStyle w:val="paragraphsub"/>
      </w:pPr>
      <w:r w:rsidRPr="00CD5673">
        <w:tab/>
        <w:t>(ii)</w:t>
      </w:r>
      <w:r w:rsidRPr="00CD5673">
        <w:tab/>
        <w:t>that is secured by a mortgage or charge over a loan or pool of loans.</w:t>
      </w:r>
    </w:p>
    <w:p w14:paraId="2027A0CE" w14:textId="77777777" w:rsidR="00D46430" w:rsidRPr="00CD5673" w:rsidRDefault="00D46430" w:rsidP="00D46430">
      <w:pPr>
        <w:pStyle w:val="Definition"/>
      </w:pPr>
      <w:r w:rsidRPr="00CD5673">
        <w:rPr>
          <w:b/>
          <w:i/>
        </w:rPr>
        <w:t>mortgage</w:t>
      </w:r>
      <w:r w:rsidR="00C614F1">
        <w:rPr>
          <w:b/>
          <w:i/>
        </w:rPr>
        <w:noBreakHyphen/>
      </w:r>
      <w:r w:rsidRPr="00CD5673">
        <w:rPr>
          <w:b/>
          <w:i/>
        </w:rPr>
        <w:t>backed security</w:t>
      </w:r>
      <w:r w:rsidRPr="00CD5673">
        <w:t xml:space="preserve"> has the meaning given in regulation 5D.1.03.</w:t>
      </w:r>
    </w:p>
    <w:p w14:paraId="2B50C2F3" w14:textId="77777777" w:rsidR="00D46430" w:rsidRPr="00CD5673" w:rsidRDefault="00D46430" w:rsidP="00D46430">
      <w:pPr>
        <w:pStyle w:val="ActHead5"/>
      </w:pPr>
      <w:bookmarkStart w:id="326" w:name="_Toc158711934"/>
      <w:r w:rsidRPr="00C614F1">
        <w:rPr>
          <w:rStyle w:val="CharSectno"/>
        </w:rPr>
        <w:t>5D.1.03</w:t>
      </w:r>
      <w:r w:rsidRPr="00CD5673">
        <w:t xml:space="preserve">  Meaning of </w:t>
      </w:r>
      <w:r w:rsidRPr="00CD5673">
        <w:rPr>
          <w:i/>
        </w:rPr>
        <w:t>mortgage</w:t>
      </w:r>
      <w:r w:rsidR="00C614F1">
        <w:rPr>
          <w:i/>
        </w:rPr>
        <w:noBreakHyphen/>
      </w:r>
      <w:r w:rsidRPr="00CD5673">
        <w:rPr>
          <w:i/>
        </w:rPr>
        <w:t>backed security</w:t>
      </w:r>
      <w:bookmarkEnd w:id="326"/>
    </w:p>
    <w:p w14:paraId="54539C06" w14:textId="77777777" w:rsidR="00D46430" w:rsidRPr="00CD5673" w:rsidRDefault="00D46430" w:rsidP="00D46430">
      <w:pPr>
        <w:pStyle w:val="subsection"/>
      </w:pPr>
      <w:r w:rsidRPr="00CD5673">
        <w:tab/>
        <w:t>(1)</w:t>
      </w:r>
      <w:r w:rsidRPr="00CD5673">
        <w:tab/>
        <w:t xml:space="preserve">A </w:t>
      </w:r>
      <w:r w:rsidRPr="00CD5673">
        <w:rPr>
          <w:b/>
          <w:i/>
        </w:rPr>
        <w:t>mortgage</w:t>
      </w:r>
      <w:r w:rsidR="00C614F1">
        <w:rPr>
          <w:b/>
          <w:i/>
        </w:rPr>
        <w:noBreakHyphen/>
      </w:r>
      <w:r w:rsidRPr="00CD5673">
        <w:rPr>
          <w:b/>
          <w:i/>
        </w:rPr>
        <w:t>backed security</w:t>
      </w:r>
      <w:r w:rsidRPr="00CD5673">
        <w:t xml:space="preserve"> is:</w:t>
      </w:r>
    </w:p>
    <w:p w14:paraId="2695716A" w14:textId="77777777" w:rsidR="00D46430" w:rsidRPr="00CD5673" w:rsidRDefault="00D46430" w:rsidP="00D46430">
      <w:pPr>
        <w:pStyle w:val="paragraph"/>
      </w:pPr>
      <w:r w:rsidRPr="00CD5673">
        <w:tab/>
        <w:t>(a)</w:t>
      </w:r>
      <w:r w:rsidRPr="00CD5673">
        <w:tab/>
        <w:t>an interest in a trust that entitles the holder of, or beneficial owner under, the interest to:</w:t>
      </w:r>
    </w:p>
    <w:p w14:paraId="4E2CC42D" w14:textId="77777777" w:rsidR="00D46430" w:rsidRPr="00CD5673" w:rsidRDefault="00D46430" w:rsidP="00D46430">
      <w:pPr>
        <w:pStyle w:val="paragraphsub"/>
      </w:pPr>
      <w:r w:rsidRPr="00CD5673">
        <w:tab/>
        <w:t>(i)</w:t>
      </w:r>
      <w:r w:rsidRPr="00CD5673">
        <w:tab/>
        <w:t>the whole, or any part, of the rights or entitlements of a mortgagee and any other rights or entitlements in respect of a mortgage or pool of mortgages; or</w:t>
      </w:r>
    </w:p>
    <w:p w14:paraId="266ED5EE" w14:textId="77777777" w:rsidR="00D46430" w:rsidRPr="00CD5673" w:rsidRDefault="00D46430" w:rsidP="00D46430">
      <w:pPr>
        <w:pStyle w:val="paragraphsub"/>
      </w:pPr>
      <w:r w:rsidRPr="00CD5673">
        <w:tab/>
        <w:t>(ii)</w:t>
      </w:r>
      <w:r w:rsidRPr="00CD5673">
        <w:tab/>
        <w:t>any amount payable by the mortgagor or mortgagors under a mortgage or mortgages (whether or not the amount is payable to the holder of, or beneficial owner under, the interest on the same terms as under the mortgage or mortgages); or</w:t>
      </w:r>
    </w:p>
    <w:p w14:paraId="0511CE4D" w14:textId="77777777" w:rsidR="00D46430" w:rsidRPr="00CD5673" w:rsidRDefault="00D46430" w:rsidP="00D46430">
      <w:pPr>
        <w:pStyle w:val="paragraphsub"/>
      </w:pPr>
      <w:r w:rsidRPr="00CD5673">
        <w:tab/>
        <w:t>(iii)</w:t>
      </w:r>
      <w:r w:rsidRPr="00CD5673">
        <w:tab/>
        <w:t>payments that are derived mainly from the income or receipts of a mortgage or pool of mortgages;</w:t>
      </w:r>
    </w:p>
    <w:p w14:paraId="1724145A" w14:textId="77777777" w:rsidR="00D46430" w:rsidRPr="00CD5673" w:rsidRDefault="00D46430" w:rsidP="00D46430">
      <w:pPr>
        <w:pStyle w:val="paragraph"/>
      </w:pPr>
      <w:r w:rsidRPr="00CD5673">
        <w:tab/>
      </w:r>
      <w:r w:rsidRPr="00CD5673">
        <w:tab/>
        <w:t>and that may, in addition, entitle the holder, or beneficial owner, to a transfer or assignment of the mortgage or mortgages; or</w:t>
      </w:r>
    </w:p>
    <w:p w14:paraId="5E2D72E5" w14:textId="77777777" w:rsidR="00D46430" w:rsidRPr="00CD5673" w:rsidRDefault="00D46430" w:rsidP="00D46430">
      <w:pPr>
        <w:pStyle w:val="paragraph"/>
      </w:pPr>
      <w:r w:rsidRPr="00CD5673">
        <w:tab/>
        <w:t>(b)</w:t>
      </w:r>
      <w:r w:rsidRPr="00CD5673">
        <w:tab/>
        <w:t>a debt security (whether or not in writing) the payments under which by the person who issues or makes the debt security are derived mainly from the income or receipts of a mortgage or pool of mortgages; or</w:t>
      </w:r>
    </w:p>
    <w:p w14:paraId="109DAFDC" w14:textId="77777777" w:rsidR="00D46430" w:rsidRPr="00CD5673" w:rsidRDefault="00D46430" w:rsidP="00D46430">
      <w:pPr>
        <w:pStyle w:val="paragraph"/>
      </w:pPr>
      <w:r w:rsidRPr="00CD5673">
        <w:tab/>
        <w:t>(c)</w:t>
      </w:r>
      <w:r w:rsidRPr="00CD5673">
        <w:tab/>
        <w:t>any of the following:</w:t>
      </w:r>
    </w:p>
    <w:p w14:paraId="0C703748" w14:textId="77777777" w:rsidR="00D46430" w:rsidRPr="00CD5673" w:rsidRDefault="00D46430" w:rsidP="00D46430">
      <w:pPr>
        <w:pStyle w:val="paragraphsub"/>
      </w:pPr>
      <w:r w:rsidRPr="00CD5673">
        <w:tab/>
        <w:t>(i)</w:t>
      </w:r>
      <w:r w:rsidRPr="00CD5673">
        <w:tab/>
        <w:t>an interest in a trust:</w:t>
      </w:r>
    </w:p>
    <w:p w14:paraId="48058D03" w14:textId="77777777" w:rsidR="00D46430" w:rsidRPr="00CD5673" w:rsidRDefault="00D46430" w:rsidP="00D46430">
      <w:pPr>
        <w:pStyle w:val="paragraphsub-sub"/>
      </w:pPr>
      <w:r w:rsidRPr="00CD5673">
        <w:tab/>
        <w:t>(A)</w:t>
      </w:r>
      <w:r w:rsidRPr="00CD5673">
        <w:tab/>
        <w:t>creating a right or interest (whether described as a unit, bond or otherwise) for a beneficiary; or</w:t>
      </w:r>
    </w:p>
    <w:p w14:paraId="17FF8D59" w14:textId="77777777" w:rsidR="00D46430" w:rsidRPr="00CD5673" w:rsidRDefault="00D46430" w:rsidP="00D46430">
      <w:pPr>
        <w:pStyle w:val="paragraphsub-sub"/>
      </w:pPr>
      <w:r w:rsidRPr="00CD5673">
        <w:tab/>
        <w:t>(B)</w:t>
      </w:r>
      <w:r w:rsidRPr="00CD5673">
        <w:tab/>
        <w:t>conferring a right or interest (whether described as a unit, bond or otherwise) on a beneficiary; or</w:t>
      </w:r>
    </w:p>
    <w:p w14:paraId="41DE6054" w14:textId="77777777" w:rsidR="00D46430" w:rsidRPr="00CD5673" w:rsidRDefault="00D46430" w:rsidP="00D46430">
      <w:pPr>
        <w:pStyle w:val="paragraphsub-sub"/>
      </w:pPr>
      <w:r w:rsidRPr="00CD5673">
        <w:tab/>
        <w:t>(C)</w:t>
      </w:r>
      <w:r w:rsidRPr="00CD5673">
        <w:tab/>
        <w:t>consisting of a right or interest (whether described as a unit, bond or otherwise) of a beneficiary;</w:t>
      </w:r>
    </w:p>
    <w:p w14:paraId="0B225DEC" w14:textId="77777777" w:rsidR="00D46430" w:rsidRPr="00CD5673" w:rsidRDefault="00D46430" w:rsidP="00D46430">
      <w:pPr>
        <w:pStyle w:val="paragraphsub"/>
      </w:pPr>
      <w:r w:rsidRPr="00CD5673">
        <w:tab/>
      </w:r>
      <w:r w:rsidRPr="00CD5673">
        <w:tab/>
        <w:t>in a scheme under which any profit or income in which the beneficiaries share arises from the acquisition, holding, management or disposal of a mortgage, pool of mortgages or the income or receipts of a mortgage or pool of mortgages;</w:t>
      </w:r>
    </w:p>
    <w:p w14:paraId="4079CD53" w14:textId="77777777" w:rsidR="00D46430" w:rsidRPr="00CD5673" w:rsidRDefault="00D46430" w:rsidP="00D46430">
      <w:pPr>
        <w:pStyle w:val="paragraphsub"/>
      </w:pPr>
      <w:r w:rsidRPr="00CD5673">
        <w:tab/>
        <w:t>(ii)</w:t>
      </w:r>
      <w:r w:rsidRPr="00CD5673">
        <w:tab/>
        <w:t>any instrument that evidences a right or interest mentioned in subparagraph (i);</w:t>
      </w:r>
    </w:p>
    <w:p w14:paraId="1BC6B189" w14:textId="77777777" w:rsidR="00D46430" w:rsidRPr="00CD5673" w:rsidRDefault="00D46430" w:rsidP="00D46430">
      <w:pPr>
        <w:pStyle w:val="paragraphsub"/>
      </w:pPr>
      <w:r w:rsidRPr="00CD5673">
        <w:tab/>
        <w:t>(iii)</w:t>
      </w:r>
      <w:r w:rsidRPr="00CD5673">
        <w:tab/>
        <w:t>a security (whether or not in writing) the payments under which by the person who issues or makes the security are derived mainly from the income or receipts of a mortgage or pool of mortgages;</w:t>
      </w:r>
    </w:p>
    <w:p w14:paraId="30959A14" w14:textId="77777777" w:rsidR="00D46430" w:rsidRPr="00CD5673" w:rsidRDefault="00D46430" w:rsidP="00D46430">
      <w:pPr>
        <w:pStyle w:val="paragraphsub"/>
      </w:pPr>
      <w:r w:rsidRPr="00CD5673">
        <w:tab/>
        <w:t>(iv)</w:t>
      </w:r>
      <w:r w:rsidRPr="00CD5673">
        <w:tab/>
        <w:t>an interest in a trust or a debt security (whether or not in writing);</w:t>
      </w:r>
    </w:p>
    <w:p w14:paraId="7644CBC7" w14:textId="77777777" w:rsidR="00D46430" w:rsidRPr="00CD5673" w:rsidRDefault="00D46430" w:rsidP="00D46430">
      <w:pPr>
        <w:pStyle w:val="paragraphsub"/>
      </w:pPr>
      <w:r w:rsidRPr="00CD5673">
        <w:tab/>
        <w:t>(v)</w:t>
      </w:r>
      <w:r w:rsidRPr="00CD5673">
        <w:tab/>
        <w:t>an instrument or property that creates an interest in, or charge over an interest in, a trust;</w:t>
      </w:r>
    </w:p>
    <w:p w14:paraId="484A7B51" w14:textId="77777777" w:rsidR="00D46430" w:rsidRPr="00CD5673" w:rsidRDefault="00D46430" w:rsidP="00D46430">
      <w:pPr>
        <w:pStyle w:val="paragraphsub"/>
      </w:pPr>
      <w:r w:rsidRPr="00CD5673">
        <w:tab/>
        <w:t>(vi)</w:t>
      </w:r>
      <w:r w:rsidRPr="00CD5673">
        <w:tab/>
        <w:t>a debt security (whether or not in writing);</w:t>
      </w:r>
    </w:p>
    <w:p w14:paraId="6C69AD29" w14:textId="77777777" w:rsidR="00D46430" w:rsidRPr="00CD5673" w:rsidRDefault="00D46430" w:rsidP="00D46430">
      <w:pPr>
        <w:pStyle w:val="paragraphsub"/>
      </w:pPr>
      <w:r w:rsidRPr="00CD5673">
        <w:tab/>
        <w:t>(vii)</w:t>
      </w:r>
      <w:r w:rsidRPr="00CD5673">
        <w:tab/>
        <w:t>any other property to which paragraph (a) or (b) or subparagraph (i), (ii) or (iii) applies.</w:t>
      </w:r>
    </w:p>
    <w:p w14:paraId="2D24FCD3" w14:textId="77777777" w:rsidR="00D46430" w:rsidRPr="00CD5673" w:rsidRDefault="00D46430" w:rsidP="00D46430">
      <w:pPr>
        <w:pStyle w:val="subsection"/>
      </w:pPr>
      <w:r w:rsidRPr="00CD5673">
        <w:lastRenderedPageBreak/>
        <w:tab/>
        <w:t>(2)</w:t>
      </w:r>
      <w:r w:rsidRPr="00CD5673">
        <w:tab/>
        <w:t>However, a mortgage</w:t>
      </w:r>
      <w:r w:rsidR="00C614F1">
        <w:noBreakHyphen/>
      </w:r>
      <w:r w:rsidRPr="00CD5673">
        <w:t>backed security does not include an instrument or property consisting of any of the following:</w:t>
      </w:r>
    </w:p>
    <w:p w14:paraId="7F03F919" w14:textId="77777777" w:rsidR="00D46430" w:rsidRPr="00CD5673" w:rsidRDefault="00D46430" w:rsidP="00D46430">
      <w:pPr>
        <w:pStyle w:val="paragraph"/>
      </w:pPr>
      <w:r w:rsidRPr="00CD5673">
        <w:tab/>
        <w:t>(a)</w:t>
      </w:r>
      <w:r w:rsidRPr="00CD5673">
        <w:tab/>
        <w:t>a mortgage;</w:t>
      </w:r>
    </w:p>
    <w:p w14:paraId="56783B1A" w14:textId="77777777" w:rsidR="00D46430" w:rsidRPr="00CD5673" w:rsidRDefault="00D46430" w:rsidP="00D46430">
      <w:pPr>
        <w:pStyle w:val="paragraph"/>
      </w:pPr>
      <w:r w:rsidRPr="00CD5673">
        <w:tab/>
        <w:t>(b)</w:t>
      </w:r>
      <w:r w:rsidRPr="00CD5673">
        <w:tab/>
        <w:t>the transfer of a mortgage;</w:t>
      </w:r>
    </w:p>
    <w:p w14:paraId="5D803A92" w14:textId="77777777" w:rsidR="00D46430" w:rsidRPr="00CD5673" w:rsidRDefault="00D46430" w:rsidP="00D46430">
      <w:pPr>
        <w:pStyle w:val="paragraph"/>
      </w:pPr>
      <w:r w:rsidRPr="00CD5673">
        <w:tab/>
        <w:t>(c)</w:t>
      </w:r>
      <w:r w:rsidRPr="00CD5673">
        <w:tab/>
        <w:t>a declaration of trust.</w:t>
      </w:r>
    </w:p>
    <w:p w14:paraId="1B53E2FC" w14:textId="77777777" w:rsidR="00D46430" w:rsidRPr="00CD5673" w:rsidRDefault="00D46430" w:rsidP="00D46430">
      <w:pPr>
        <w:pStyle w:val="ActHead5"/>
      </w:pPr>
      <w:bookmarkStart w:id="327" w:name="_Toc158711935"/>
      <w:r w:rsidRPr="00C614F1">
        <w:rPr>
          <w:rStyle w:val="CharSectno"/>
        </w:rPr>
        <w:t>5D.1.04</w:t>
      </w:r>
      <w:r w:rsidRPr="00CD5673">
        <w:t xml:space="preserve">  Interaction between trustee company provisions and State and Territory laws</w:t>
      </w:r>
      <w:bookmarkEnd w:id="327"/>
    </w:p>
    <w:p w14:paraId="7C379F41" w14:textId="77777777" w:rsidR="00D46430" w:rsidRPr="00CD5673" w:rsidRDefault="00D46430" w:rsidP="00D46430">
      <w:pPr>
        <w:pStyle w:val="subsection"/>
      </w:pPr>
      <w:r w:rsidRPr="00CD5673">
        <w:tab/>
        <w:t>(1)</w:t>
      </w:r>
      <w:r w:rsidRPr="00CD5673">
        <w:tab/>
        <w:t>For paragraph 601RAE(4)(a) of the Act, the trustee company provisions are intended to apply to the exclusion of the provisions of State or Territory laws prescribed in Schedule 8AB.</w:t>
      </w:r>
    </w:p>
    <w:p w14:paraId="7CE58C47" w14:textId="77777777" w:rsidR="00D46430" w:rsidRPr="00CD5673" w:rsidRDefault="00D46430" w:rsidP="00D46430">
      <w:pPr>
        <w:pStyle w:val="subsection"/>
        <w:keepNext/>
        <w:keepLines/>
      </w:pPr>
      <w:r w:rsidRPr="00CD5673">
        <w:tab/>
        <w:t>(2)</w:t>
      </w:r>
      <w:r w:rsidRPr="00CD5673">
        <w:tab/>
        <w:t>For paragraph 601RAE(4)(b) of the Act, the trustee company provisions are intended not to apply to the exclusion of the State or Territory laws, or the provisions of State or Territory laws, prescribed in Schedule 8AC, so far as those laws relate to an administrator of a person’s estate.</w:t>
      </w:r>
    </w:p>
    <w:p w14:paraId="0D436FD0" w14:textId="77777777" w:rsidR="00D46430" w:rsidRPr="00CD5673" w:rsidRDefault="00D46430" w:rsidP="00D46430">
      <w:pPr>
        <w:pStyle w:val="subsection"/>
      </w:pPr>
      <w:r w:rsidRPr="00CD5673">
        <w:tab/>
        <w:t>(3)</w:t>
      </w:r>
      <w:r w:rsidRPr="00CD5673">
        <w:tab/>
        <w:t>For paragraph 601RAE(4)(b) of the Act, the trustee company provisions are intended not to apply to the exclusion of the State or Territory laws, or the provisions of State or Territory laws, prescribed in Schedule 8AD.</w:t>
      </w:r>
    </w:p>
    <w:p w14:paraId="6F254751" w14:textId="77777777" w:rsidR="00D46430" w:rsidRPr="00CD5673" w:rsidRDefault="00D46430" w:rsidP="00D46430">
      <w:pPr>
        <w:pStyle w:val="ActHead2"/>
        <w:pageBreakBefore/>
      </w:pPr>
      <w:bookmarkStart w:id="328" w:name="_Toc158711936"/>
      <w:r w:rsidRPr="00C614F1">
        <w:rPr>
          <w:rStyle w:val="CharPartNo"/>
        </w:rPr>
        <w:lastRenderedPageBreak/>
        <w:t>Part 5D.2</w:t>
      </w:r>
      <w:r w:rsidRPr="00CD5673">
        <w:t>—</w:t>
      </w:r>
      <w:r w:rsidRPr="00C614F1">
        <w:rPr>
          <w:rStyle w:val="CharPartText"/>
        </w:rPr>
        <w:t>Powers etc of licensed trustee companies</w:t>
      </w:r>
      <w:bookmarkEnd w:id="328"/>
    </w:p>
    <w:p w14:paraId="042DD695" w14:textId="77777777" w:rsidR="00D46430" w:rsidRPr="00CD5673" w:rsidRDefault="00D46430" w:rsidP="00D46430">
      <w:pPr>
        <w:pStyle w:val="ActHead3"/>
        <w:rPr>
          <w:lang w:eastAsia="en-US"/>
        </w:rPr>
      </w:pPr>
      <w:bookmarkStart w:id="329" w:name="_Toc158711937"/>
      <w:r w:rsidRPr="00C614F1">
        <w:rPr>
          <w:rStyle w:val="CharDivNo"/>
        </w:rPr>
        <w:t>Division 2.1</w:t>
      </w:r>
      <w:r w:rsidRPr="00CD5673">
        <w:t>—</w:t>
      </w:r>
      <w:r w:rsidRPr="00C614F1">
        <w:rPr>
          <w:rStyle w:val="CharDivText"/>
        </w:rPr>
        <w:t>Annual Information Returns</w:t>
      </w:r>
      <w:bookmarkEnd w:id="329"/>
    </w:p>
    <w:p w14:paraId="6D8DB1D2" w14:textId="77777777" w:rsidR="00D46430" w:rsidRPr="00CD5673" w:rsidRDefault="00D46430" w:rsidP="00D46430">
      <w:pPr>
        <w:pStyle w:val="ActHead5"/>
      </w:pPr>
      <w:bookmarkStart w:id="330" w:name="_Toc158711938"/>
      <w:r w:rsidRPr="00C614F1">
        <w:rPr>
          <w:rStyle w:val="CharSectno"/>
        </w:rPr>
        <w:t>5D.2.01</w:t>
      </w:r>
      <w:r w:rsidRPr="00CD5673">
        <w:t xml:space="preserve">  Obligation on licensed trustee company to provide an annual information return if requested</w:t>
      </w:r>
      <w:bookmarkEnd w:id="330"/>
    </w:p>
    <w:p w14:paraId="6FEBBF1F" w14:textId="77777777" w:rsidR="00D46430" w:rsidRPr="00CD5673" w:rsidRDefault="00D46430" w:rsidP="00D46430">
      <w:pPr>
        <w:pStyle w:val="subsection"/>
      </w:pPr>
      <w:r w:rsidRPr="00CD5673">
        <w:tab/>
        <w:t>(1)</w:t>
      </w:r>
      <w:r w:rsidRPr="00CD5673">
        <w:tab/>
        <w:t>For section 601SAB of the Act, this regulation prescribes the obligation of a licensed trustee company to provide an annual information return.</w:t>
      </w:r>
    </w:p>
    <w:p w14:paraId="420FEF97" w14:textId="77777777" w:rsidR="00D46430" w:rsidRPr="00CD5673" w:rsidRDefault="00D46430" w:rsidP="00D46430">
      <w:pPr>
        <w:pStyle w:val="subsection"/>
      </w:pPr>
      <w:r w:rsidRPr="00CD5673">
        <w:tab/>
        <w:t>(2)</w:t>
      </w:r>
      <w:r w:rsidRPr="00CD5673">
        <w:tab/>
        <w:t>The licensed trustee company commits an offence if:</w:t>
      </w:r>
    </w:p>
    <w:p w14:paraId="786739E9" w14:textId="77777777" w:rsidR="00D46430" w:rsidRPr="00CD5673" w:rsidRDefault="00D46430" w:rsidP="00D46430">
      <w:pPr>
        <w:pStyle w:val="paragraph"/>
      </w:pPr>
      <w:r w:rsidRPr="00CD5673">
        <w:tab/>
        <w:t>(a)</w:t>
      </w:r>
      <w:r w:rsidRPr="00CD5673">
        <w:tab/>
        <w:t>a person mentioned in subregulation (3) requests an annual information return; and</w:t>
      </w:r>
    </w:p>
    <w:p w14:paraId="2B25997B" w14:textId="77777777" w:rsidR="00D46430" w:rsidRPr="00CD5673" w:rsidRDefault="00D46430" w:rsidP="00D46430">
      <w:pPr>
        <w:pStyle w:val="paragraph"/>
      </w:pPr>
      <w:r w:rsidRPr="00CD5673">
        <w:tab/>
        <w:t>(b)</w:t>
      </w:r>
      <w:r w:rsidRPr="00CD5673">
        <w:tab/>
        <w:t>the company does not provide the return to the person in accordance with the requirements in subregulations (5), (6) and (8) and regulation 5D.2.02.</w:t>
      </w:r>
    </w:p>
    <w:p w14:paraId="5C7DC4A5" w14:textId="77777777" w:rsidR="00D46430" w:rsidRPr="00CD5673" w:rsidRDefault="00D46430" w:rsidP="00D46430">
      <w:pPr>
        <w:pStyle w:val="Penalty"/>
      </w:pPr>
      <w:r w:rsidRPr="00CD5673">
        <w:t>Penalty:</w:t>
      </w:r>
      <w:r w:rsidRPr="00CD5673">
        <w:tab/>
        <w:t>500 penalty units.</w:t>
      </w:r>
    </w:p>
    <w:p w14:paraId="5FEDDA49" w14:textId="77777777" w:rsidR="00D46430" w:rsidRPr="00CD5673" w:rsidRDefault="00D46430" w:rsidP="00D46430">
      <w:pPr>
        <w:pStyle w:val="subsection"/>
      </w:pPr>
      <w:r w:rsidRPr="00CD5673">
        <w:tab/>
        <w:t>(2A)</w:t>
      </w:r>
      <w:r w:rsidRPr="00CD5673">
        <w:tab/>
        <w:t>A person commits an offence if the person is involved in a contravention of subregulation (1) by a licensed trustee company.</w:t>
      </w:r>
    </w:p>
    <w:p w14:paraId="42DC1562" w14:textId="77777777" w:rsidR="00D46430" w:rsidRPr="00CD5673" w:rsidRDefault="00D46430" w:rsidP="00D46430">
      <w:pPr>
        <w:pStyle w:val="Penalty"/>
      </w:pPr>
      <w:r w:rsidRPr="00CD5673">
        <w:t>Penalty:</w:t>
      </w:r>
    </w:p>
    <w:p w14:paraId="102D3BE7" w14:textId="77777777" w:rsidR="00D46430" w:rsidRPr="00CD5673" w:rsidRDefault="00D46430" w:rsidP="00D46430">
      <w:pPr>
        <w:pStyle w:val="paragraph"/>
      </w:pPr>
      <w:r w:rsidRPr="00CD5673">
        <w:tab/>
        <w:t>(a)</w:t>
      </w:r>
      <w:r w:rsidRPr="00CD5673">
        <w:tab/>
        <w:t>for an individual—50 penalty units; and</w:t>
      </w:r>
    </w:p>
    <w:p w14:paraId="325FC497" w14:textId="77777777" w:rsidR="00D46430" w:rsidRPr="00CD5673" w:rsidRDefault="00D46430" w:rsidP="00D46430">
      <w:pPr>
        <w:pStyle w:val="paragraph"/>
      </w:pPr>
      <w:r w:rsidRPr="00CD5673">
        <w:tab/>
        <w:t>(b)</w:t>
      </w:r>
      <w:r w:rsidRPr="00CD5673">
        <w:tab/>
        <w:t>for a body corporate—500 penalty units.</w:t>
      </w:r>
    </w:p>
    <w:p w14:paraId="1F05AD20" w14:textId="77777777" w:rsidR="00D46430" w:rsidRPr="00CD5673" w:rsidRDefault="00D46430" w:rsidP="00D46430">
      <w:pPr>
        <w:pStyle w:val="subsection"/>
      </w:pPr>
      <w:r w:rsidRPr="00CD5673">
        <w:tab/>
        <w:t>(3)</w:t>
      </w:r>
      <w:r w:rsidRPr="00CD5673">
        <w:tab/>
        <w:t>A person may request an annual information return if the person is one of the following:</w:t>
      </w:r>
    </w:p>
    <w:p w14:paraId="37CF570D" w14:textId="77777777" w:rsidR="00D46430" w:rsidRPr="00CD5673" w:rsidRDefault="00D46430" w:rsidP="00D46430">
      <w:pPr>
        <w:pStyle w:val="paragraph"/>
      </w:pPr>
      <w:r w:rsidRPr="00CD5673">
        <w:tab/>
        <w:t>(a)</w:t>
      </w:r>
      <w:r w:rsidRPr="00CD5673">
        <w:tab/>
        <w:t>in the case of the estate of a deceased person:</w:t>
      </w:r>
    </w:p>
    <w:p w14:paraId="284B70EE" w14:textId="77777777" w:rsidR="00D46430" w:rsidRPr="00CD5673" w:rsidRDefault="00D46430" w:rsidP="00D46430">
      <w:pPr>
        <w:pStyle w:val="paragraphsub"/>
      </w:pPr>
      <w:r w:rsidRPr="00CD5673">
        <w:tab/>
        <w:t>(i)</w:t>
      </w:r>
      <w:r w:rsidRPr="00CD5673">
        <w:tab/>
        <w:t>if the person died testate—a beneficiary under the deceased person’s will; or</w:t>
      </w:r>
    </w:p>
    <w:p w14:paraId="713820D1" w14:textId="77777777" w:rsidR="00D46430" w:rsidRPr="00CD5673" w:rsidRDefault="00D46430" w:rsidP="00D46430">
      <w:pPr>
        <w:pStyle w:val="paragraphsub"/>
      </w:pPr>
      <w:r w:rsidRPr="00CD5673">
        <w:tab/>
        <w:t>(ii)</w:t>
      </w:r>
      <w:r w:rsidRPr="00CD5673">
        <w:tab/>
        <w:t>if the person died intestate—a person who, under a law of a State or Territory, has, is entitled to, or claims to be entitled to, an interest in the deceased person’s estate; or</w:t>
      </w:r>
    </w:p>
    <w:p w14:paraId="114FE146" w14:textId="77777777" w:rsidR="00D46430" w:rsidRPr="00CD5673" w:rsidRDefault="00D46430" w:rsidP="00D46430">
      <w:pPr>
        <w:pStyle w:val="paragraphsub"/>
      </w:pPr>
      <w:r w:rsidRPr="00CD5673">
        <w:tab/>
        <w:t>(iii)</w:t>
      </w:r>
      <w:r w:rsidRPr="00CD5673">
        <w:tab/>
        <w:t>a person who has commenced a proceeding in a court, under a law of a State or Territory, to seek to be included as a beneficiary of the deceased person’s estate;</w:t>
      </w:r>
    </w:p>
    <w:p w14:paraId="4081EAE9" w14:textId="77777777" w:rsidR="00D46430" w:rsidRPr="00CD5673" w:rsidRDefault="00D46430" w:rsidP="00D46430">
      <w:pPr>
        <w:pStyle w:val="paragraph"/>
      </w:pPr>
      <w:r w:rsidRPr="00CD5673">
        <w:tab/>
        <w:t>(b)</w:t>
      </w:r>
      <w:r w:rsidRPr="00CD5673">
        <w:tab/>
        <w:t>in relation to a charitable trust:</w:t>
      </w:r>
    </w:p>
    <w:p w14:paraId="531DB420" w14:textId="77777777" w:rsidR="00D46430" w:rsidRPr="00CD5673" w:rsidRDefault="00D46430" w:rsidP="00D46430">
      <w:pPr>
        <w:pStyle w:val="paragraphsub"/>
      </w:pPr>
      <w:r w:rsidRPr="00CD5673">
        <w:tab/>
        <w:t>(i)</w:t>
      </w:r>
      <w:r w:rsidRPr="00CD5673">
        <w:tab/>
        <w:t>the settlor, or one of the settlors, of the trust; or</w:t>
      </w:r>
    </w:p>
    <w:p w14:paraId="35941468" w14:textId="77777777" w:rsidR="00D46430" w:rsidRPr="00CD5673" w:rsidRDefault="00D46430" w:rsidP="00D46430">
      <w:pPr>
        <w:pStyle w:val="paragraphsub"/>
      </w:pPr>
      <w:r w:rsidRPr="00CD5673">
        <w:tab/>
        <w:t>(ii)</w:t>
      </w:r>
      <w:r w:rsidRPr="00CD5673">
        <w:tab/>
        <w:t>a person who, under the terms of the trust, has power to appoint or remove a trustee of the trust or to vary (or cause to be varied) any of the terms of the trust; or</w:t>
      </w:r>
    </w:p>
    <w:p w14:paraId="0CDF9906" w14:textId="77777777" w:rsidR="00D46430" w:rsidRPr="00CD5673" w:rsidRDefault="00D46430" w:rsidP="00D46430">
      <w:pPr>
        <w:pStyle w:val="paragraphsub"/>
      </w:pPr>
      <w:r w:rsidRPr="00CD5673">
        <w:tab/>
        <w:t>(iii)</w:t>
      </w:r>
      <w:r w:rsidRPr="00CD5673">
        <w:tab/>
        <w:t>a person, or a person’s appointed successor, who is named in the instrument establishing the trust as a person who must, or may, be consulted by the trustee or trustees before distributing or applying money or other property for the purposes of the trust;</w:t>
      </w:r>
    </w:p>
    <w:p w14:paraId="78FE3A57" w14:textId="77777777" w:rsidR="00D46430" w:rsidRPr="00CD5673" w:rsidRDefault="00D46430" w:rsidP="00D46430">
      <w:pPr>
        <w:pStyle w:val="paragraph"/>
      </w:pPr>
      <w:r w:rsidRPr="00CD5673">
        <w:tab/>
        <w:t>(c)</w:t>
      </w:r>
      <w:r w:rsidRPr="00CD5673">
        <w:tab/>
        <w:t>in the case of any other trust:</w:t>
      </w:r>
    </w:p>
    <w:p w14:paraId="4C112087" w14:textId="77777777" w:rsidR="00D46430" w:rsidRPr="00CD5673" w:rsidRDefault="00D46430" w:rsidP="00D46430">
      <w:pPr>
        <w:pStyle w:val="paragraphsub"/>
      </w:pPr>
      <w:r w:rsidRPr="00CD5673">
        <w:tab/>
        <w:t>(i)</w:t>
      </w:r>
      <w:r w:rsidRPr="00CD5673">
        <w:tab/>
        <w:t>the settlor, or one of the settlors, of the trust; or</w:t>
      </w:r>
    </w:p>
    <w:p w14:paraId="4819BDE0" w14:textId="77777777" w:rsidR="00D46430" w:rsidRPr="00CD5673" w:rsidRDefault="00D46430" w:rsidP="00D46430">
      <w:pPr>
        <w:pStyle w:val="paragraphsub"/>
      </w:pPr>
      <w:r w:rsidRPr="00CD5673">
        <w:tab/>
        <w:t>(ii)</w:t>
      </w:r>
      <w:r w:rsidRPr="00CD5673">
        <w:tab/>
        <w:t>a person who, under the terms of the trust, has power to appoint or remove a trustee of the trust or to vary (or cause to be varied) any of the terms of the trust; or</w:t>
      </w:r>
    </w:p>
    <w:p w14:paraId="1E960442" w14:textId="77777777" w:rsidR="00D46430" w:rsidRPr="00CD5673" w:rsidRDefault="00D46430" w:rsidP="00D46430">
      <w:pPr>
        <w:pStyle w:val="paragraphsub"/>
      </w:pPr>
      <w:r w:rsidRPr="00CD5673">
        <w:tab/>
        <w:t>(iii)</w:t>
      </w:r>
      <w:r w:rsidRPr="00CD5673">
        <w:tab/>
        <w:t>a beneficiary of the trust.</w:t>
      </w:r>
    </w:p>
    <w:p w14:paraId="7C2E0F32" w14:textId="77777777" w:rsidR="00D46430" w:rsidRPr="00CD5673" w:rsidRDefault="00D46430" w:rsidP="00D46430">
      <w:pPr>
        <w:pStyle w:val="subsection"/>
      </w:pPr>
      <w:r w:rsidRPr="00CD5673">
        <w:tab/>
        <w:t>(4)</w:t>
      </w:r>
      <w:r w:rsidRPr="00CD5673">
        <w:tab/>
        <w:t>The person must make the request for an annual information return in writing to the licensed trustee company and may indicate in the request which one of the following forms of return is required:</w:t>
      </w:r>
    </w:p>
    <w:p w14:paraId="0E09EC59" w14:textId="77777777" w:rsidR="00D46430" w:rsidRPr="00CD5673" w:rsidRDefault="00D46430" w:rsidP="00D46430">
      <w:pPr>
        <w:pStyle w:val="paragraph"/>
      </w:pPr>
      <w:r w:rsidRPr="00CD5673">
        <w:tab/>
        <w:t>(a)</w:t>
      </w:r>
      <w:r w:rsidRPr="00CD5673">
        <w:tab/>
        <w:t>by sending it to the person’s postal address;</w:t>
      </w:r>
    </w:p>
    <w:p w14:paraId="2DBCDD7D" w14:textId="77777777" w:rsidR="00D46430" w:rsidRPr="00CD5673" w:rsidRDefault="00D46430" w:rsidP="00D46430">
      <w:pPr>
        <w:pStyle w:val="paragraph"/>
      </w:pPr>
      <w:r w:rsidRPr="00CD5673">
        <w:tab/>
        <w:t>(b)</w:t>
      </w:r>
      <w:r w:rsidRPr="00CD5673">
        <w:tab/>
        <w:t>by emailing it to a nominated email address.</w:t>
      </w:r>
    </w:p>
    <w:p w14:paraId="4189BF01" w14:textId="77777777" w:rsidR="00D46430" w:rsidRPr="00CD5673" w:rsidRDefault="00D46430" w:rsidP="00D46430">
      <w:pPr>
        <w:pStyle w:val="subsection"/>
      </w:pPr>
      <w:r w:rsidRPr="00CD5673">
        <w:tab/>
        <w:t>(5)</w:t>
      </w:r>
      <w:r w:rsidRPr="00CD5673">
        <w:tab/>
        <w:t>The annual information return must be provided within 30 days after the request from the person is received by the licensed trustee company, and then annually.</w:t>
      </w:r>
    </w:p>
    <w:p w14:paraId="5C7164D9" w14:textId="77777777" w:rsidR="00D46430" w:rsidRPr="00CD5673" w:rsidRDefault="00D46430" w:rsidP="00D46430">
      <w:pPr>
        <w:pStyle w:val="subsection"/>
      </w:pPr>
      <w:r w:rsidRPr="00CD5673">
        <w:tab/>
        <w:t>(6)</w:t>
      </w:r>
      <w:r w:rsidRPr="00CD5673">
        <w:tab/>
        <w:t>The annual information return must be for the last financial year that the licensed trustee company has provided a service to the person who has requested the return.</w:t>
      </w:r>
    </w:p>
    <w:p w14:paraId="0536D0B9" w14:textId="77777777" w:rsidR="00D46430" w:rsidRPr="00CD5673" w:rsidRDefault="00D46430" w:rsidP="00D46430">
      <w:pPr>
        <w:pStyle w:val="subsection"/>
      </w:pPr>
      <w:r w:rsidRPr="00CD5673">
        <w:tab/>
        <w:t>(7)</w:t>
      </w:r>
      <w:r w:rsidRPr="00CD5673">
        <w:tab/>
        <w:t>However, the licensed trustee company is not required to provide an annual information return covering a period:</w:t>
      </w:r>
    </w:p>
    <w:p w14:paraId="22F1EE4C" w14:textId="77777777" w:rsidR="00D46430" w:rsidRPr="00CD5673" w:rsidRDefault="00D46430" w:rsidP="00D46430">
      <w:pPr>
        <w:pStyle w:val="paragraph"/>
      </w:pPr>
      <w:r w:rsidRPr="00CD5673">
        <w:tab/>
        <w:t>(a)</w:t>
      </w:r>
      <w:r w:rsidRPr="00CD5673">
        <w:tab/>
        <w:t>before 1 July 2010; or</w:t>
      </w:r>
    </w:p>
    <w:p w14:paraId="364FB014" w14:textId="77777777" w:rsidR="00D46430" w:rsidRPr="00CD5673" w:rsidRDefault="00D46430" w:rsidP="00D46430">
      <w:pPr>
        <w:pStyle w:val="paragraph"/>
      </w:pPr>
      <w:r w:rsidRPr="00CD5673">
        <w:tab/>
        <w:t>(b)</w:t>
      </w:r>
      <w:r w:rsidRPr="00CD5673">
        <w:tab/>
        <w:t>before it provided a service to the person.</w:t>
      </w:r>
    </w:p>
    <w:p w14:paraId="2A22BA45" w14:textId="77777777" w:rsidR="00D46430" w:rsidRPr="00CD5673" w:rsidRDefault="00D46430" w:rsidP="00D46430">
      <w:pPr>
        <w:pStyle w:val="subsection"/>
      </w:pPr>
      <w:r w:rsidRPr="00CD5673">
        <w:tab/>
        <w:t>(8)</w:t>
      </w:r>
      <w:r w:rsidRPr="00CD5673">
        <w:tab/>
        <w:t>The annual information return must be provided as follows:</w:t>
      </w:r>
    </w:p>
    <w:p w14:paraId="1150BC17" w14:textId="77777777" w:rsidR="00D46430" w:rsidRPr="00CD5673" w:rsidRDefault="00D46430" w:rsidP="00D46430">
      <w:pPr>
        <w:pStyle w:val="paragraph"/>
      </w:pPr>
      <w:r w:rsidRPr="00CD5673">
        <w:lastRenderedPageBreak/>
        <w:tab/>
        <w:t>(a)</w:t>
      </w:r>
      <w:r w:rsidRPr="00CD5673">
        <w:tab/>
        <w:t>if requested in a particular form—in the form requested;</w:t>
      </w:r>
    </w:p>
    <w:p w14:paraId="614C7BB8" w14:textId="77777777" w:rsidR="00D46430" w:rsidRPr="00CD5673" w:rsidRDefault="00D46430" w:rsidP="00D46430">
      <w:pPr>
        <w:pStyle w:val="paragraph"/>
      </w:pPr>
      <w:r w:rsidRPr="00CD5673">
        <w:tab/>
        <w:t>(b)</w:t>
      </w:r>
      <w:r w:rsidRPr="00CD5673">
        <w:tab/>
        <w:t>in all other cases—by sending it to the person’s postal address.</w:t>
      </w:r>
    </w:p>
    <w:p w14:paraId="4E3338FB" w14:textId="77777777" w:rsidR="00D46430" w:rsidRPr="00CD5673" w:rsidRDefault="00D46430" w:rsidP="00D46430">
      <w:pPr>
        <w:pStyle w:val="ActHead5"/>
      </w:pPr>
      <w:bookmarkStart w:id="331" w:name="_Toc158711939"/>
      <w:r w:rsidRPr="00C614F1">
        <w:rPr>
          <w:rStyle w:val="CharSectno"/>
        </w:rPr>
        <w:t>5D.2.02</w:t>
      </w:r>
      <w:r w:rsidRPr="00CD5673">
        <w:t xml:space="preserve">  Information to be included in annual information return</w:t>
      </w:r>
      <w:bookmarkEnd w:id="331"/>
    </w:p>
    <w:p w14:paraId="1E1DC7AF" w14:textId="77777777" w:rsidR="00D46430" w:rsidRPr="00CD5673" w:rsidRDefault="00D46430" w:rsidP="00D46430">
      <w:pPr>
        <w:pStyle w:val="subsection"/>
        <w:keepNext/>
        <w:keepLines/>
      </w:pPr>
      <w:r w:rsidRPr="00CD5673">
        <w:tab/>
      </w:r>
      <w:r w:rsidRPr="00CD5673">
        <w:tab/>
        <w:t>The annual information return provided by a licensed trustee company must include the following:</w:t>
      </w:r>
    </w:p>
    <w:p w14:paraId="77823786" w14:textId="77777777" w:rsidR="00D46430" w:rsidRPr="00CD5673" w:rsidRDefault="00D46430" w:rsidP="00D46430">
      <w:pPr>
        <w:pStyle w:val="paragraph"/>
        <w:keepNext/>
        <w:keepLines/>
      </w:pPr>
      <w:r w:rsidRPr="00CD5673">
        <w:tab/>
        <w:t>(a)</w:t>
      </w:r>
      <w:r w:rsidRPr="00CD5673">
        <w:tab/>
        <w:t>for a person mentioned in subparagraphs 5D.2.01(3)(a)(i) and (ii) and (c)(iii):</w:t>
      </w:r>
    </w:p>
    <w:p w14:paraId="5998FD4C" w14:textId="77777777" w:rsidR="00D46430" w:rsidRPr="00CD5673" w:rsidRDefault="00D46430" w:rsidP="00D46430">
      <w:pPr>
        <w:pStyle w:val="paragraphsub"/>
      </w:pPr>
      <w:r w:rsidRPr="00CD5673">
        <w:tab/>
        <w:t>(i)</w:t>
      </w:r>
      <w:r w:rsidRPr="00CD5673">
        <w:tab/>
        <w:t>details of income earned on the person’s interest in the trust or estate; and</w:t>
      </w:r>
    </w:p>
    <w:p w14:paraId="5D3A42EB" w14:textId="77777777" w:rsidR="00D46430" w:rsidRPr="00CD5673" w:rsidRDefault="00D46430" w:rsidP="00D46430">
      <w:pPr>
        <w:pStyle w:val="paragraphsub"/>
      </w:pPr>
      <w:r w:rsidRPr="00CD5673">
        <w:tab/>
        <w:t>(ii)</w:t>
      </w:r>
      <w:r w:rsidRPr="00CD5673">
        <w:tab/>
        <w:t>details of expenses in operating the trust or estate in relation to the person’s interest in the trust or estate; and</w:t>
      </w:r>
    </w:p>
    <w:p w14:paraId="1F262A4F" w14:textId="77777777" w:rsidR="00D46430" w:rsidRPr="00CD5673" w:rsidRDefault="00D46430" w:rsidP="00D46430">
      <w:pPr>
        <w:pStyle w:val="paragraphsub"/>
      </w:pPr>
      <w:r w:rsidRPr="00CD5673">
        <w:tab/>
        <w:t>(iii)</w:t>
      </w:r>
      <w:r w:rsidRPr="00CD5673">
        <w:tab/>
        <w:t>the net value of the person’s interest in the trust or estate;</w:t>
      </w:r>
    </w:p>
    <w:p w14:paraId="1631D29F" w14:textId="77777777" w:rsidR="00D46430" w:rsidRPr="00CD5673" w:rsidRDefault="00D46430" w:rsidP="00D46430">
      <w:pPr>
        <w:pStyle w:val="paragraph"/>
      </w:pPr>
      <w:r w:rsidRPr="00CD5673">
        <w:tab/>
        <w:t>(b)</w:t>
      </w:r>
      <w:r w:rsidRPr="00CD5673">
        <w:tab/>
        <w:t>for any other person mentioned in subregulation 5D.2.01(3):</w:t>
      </w:r>
    </w:p>
    <w:p w14:paraId="1069E0E7" w14:textId="77777777" w:rsidR="00D46430" w:rsidRPr="00CD5673" w:rsidRDefault="00D46430" w:rsidP="00D46430">
      <w:pPr>
        <w:pStyle w:val="paragraphsub"/>
      </w:pPr>
      <w:r w:rsidRPr="00CD5673">
        <w:tab/>
        <w:t>(i)</w:t>
      </w:r>
      <w:r w:rsidRPr="00CD5673">
        <w:tab/>
        <w:t>details of income earned on the trust’s assets; and</w:t>
      </w:r>
    </w:p>
    <w:p w14:paraId="48E5A7CD" w14:textId="77777777" w:rsidR="00D46430" w:rsidRPr="00CD5673" w:rsidRDefault="00D46430" w:rsidP="00D46430">
      <w:pPr>
        <w:pStyle w:val="paragraphsub"/>
      </w:pPr>
      <w:r w:rsidRPr="00CD5673">
        <w:tab/>
        <w:t>(ii)</w:t>
      </w:r>
      <w:r w:rsidRPr="00CD5673">
        <w:tab/>
        <w:t>details of expenses in operating the trust’s assets, including remuneration, commission or other benefits received by the trustee company; and</w:t>
      </w:r>
    </w:p>
    <w:p w14:paraId="2D6351EB" w14:textId="77777777" w:rsidR="00D46430" w:rsidRPr="00CD5673" w:rsidRDefault="00D46430" w:rsidP="00D46430">
      <w:pPr>
        <w:pStyle w:val="paragraphsub"/>
      </w:pPr>
      <w:r w:rsidRPr="00CD5673">
        <w:tab/>
        <w:t>(iii)</w:t>
      </w:r>
      <w:r w:rsidRPr="00CD5673">
        <w:tab/>
        <w:t>the net value of the trust’s assets;</w:t>
      </w:r>
    </w:p>
    <w:p w14:paraId="564A742B" w14:textId="77777777" w:rsidR="00D46430" w:rsidRPr="00CD5673" w:rsidRDefault="00D46430" w:rsidP="00D46430">
      <w:pPr>
        <w:pStyle w:val="paragraph"/>
      </w:pPr>
      <w:r w:rsidRPr="00CD5673">
        <w:tab/>
        <w:t>(c)</w:t>
      </w:r>
      <w:r w:rsidRPr="00CD5673">
        <w:tab/>
        <w:t>if required under the terms of the trust—a copy of the trust’s audit report and financial statements for the year.</w:t>
      </w:r>
    </w:p>
    <w:p w14:paraId="0157809F" w14:textId="77777777" w:rsidR="00D46430" w:rsidRPr="00CD5673" w:rsidRDefault="00D46430" w:rsidP="00D46430">
      <w:pPr>
        <w:pStyle w:val="ActHead3"/>
        <w:pageBreakBefore/>
      </w:pPr>
      <w:bookmarkStart w:id="332" w:name="_Toc158711940"/>
      <w:r w:rsidRPr="00C614F1">
        <w:rPr>
          <w:rStyle w:val="CharDivNo"/>
        </w:rPr>
        <w:lastRenderedPageBreak/>
        <w:t>Division 2.2</w:t>
      </w:r>
      <w:r w:rsidRPr="00CD5673">
        <w:t>—</w:t>
      </w:r>
      <w:r w:rsidRPr="00C614F1">
        <w:rPr>
          <w:rStyle w:val="CharDivText"/>
        </w:rPr>
        <w:t>Common funds</w:t>
      </w:r>
      <w:bookmarkEnd w:id="332"/>
    </w:p>
    <w:p w14:paraId="14EE15ED" w14:textId="77777777" w:rsidR="00D46430" w:rsidRPr="00CD5673" w:rsidRDefault="00D46430" w:rsidP="00D46430">
      <w:pPr>
        <w:pStyle w:val="ActHead5"/>
      </w:pPr>
      <w:bookmarkStart w:id="333" w:name="_Toc158711941"/>
      <w:r w:rsidRPr="00C614F1">
        <w:rPr>
          <w:rStyle w:val="CharSectno"/>
        </w:rPr>
        <w:t>5D.2.03</w:t>
      </w:r>
      <w:r w:rsidRPr="00CD5673">
        <w:t xml:space="preserve">  Common funds</w:t>
      </w:r>
      <w:bookmarkEnd w:id="333"/>
    </w:p>
    <w:p w14:paraId="0CCBE77D" w14:textId="77777777" w:rsidR="00D46430" w:rsidRPr="00CD5673" w:rsidRDefault="00D46430" w:rsidP="00D46430">
      <w:pPr>
        <w:pStyle w:val="subsection"/>
      </w:pPr>
      <w:r w:rsidRPr="00CD5673">
        <w:tab/>
      </w:r>
      <w:r w:rsidRPr="00CD5673">
        <w:tab/>
        <w:t>This Division is made for section 601SCC of the Act.</w:t>
      </w:r>
    </w:p>
    <w:p w14:paraId="057C62D8" w14:textId="77777777" w:rsidR="00D46430" w:rsidRPr="00CD5673" w:rsidRDefault="00D46430" w:rsidP="00D46430">
      <w:pPr>
        <w:pStyle w:val="ActHead5"/>
      </w:pPr>
      <w:bookmarkStart w:id="334" w:name="_Toc158711942"/>
      <w:r w:rsidRPr="00C614F1">
        <w:rPr>
          <w:rStyle w:val="CharSectno"/>
        </w:rPr>
        <w:t>5D.2.04</w:t>
      </w:r>
      <w:r w:rsidRPr="00CD5673">
        <w:t xml:space="preserve">  Establishment of common funds</w:t>
      </w:r>
      <w:bookmarkEnd w:id="334"/>
    </w:p>
    <w:p w14:paraId="0FE8ABAF" w14:textId="77777777" w:rsidR="00D46430" w:rsidRPr="00CD5673" w:rsidRDefault="00D46430" w:rsidP="00D46430">
      <w:pPr>
        <w:pStyle w:val="subsection"/>
      </w:pPr>
      <w:r w:rsidRPr="00CD5673">
        <w:tab/>
        <w:t>(1)</w:t>
      </w:r>
      <w:r w:rsidRPr="00CD5673">
        <w:tab/>
        <w:t>A licensed trustee company may:</w:t>
      </w:r>
    </w:p>
    <w:p w14:paraId="6C0F2509" w14:textId="77777777" w:rsidR="00D46430" w:rsidRPr="00CD5673" w:rsidRDefault="00D46430" w:rsidP="00D46430">
      <w:pPr>
        <w:pStyle w:val="paragraph"/>
      </w:pPr>
      <w:r w:rsidRPr="00CD5673">
        <w:tab/>
        <w:t>(a)</w:t>
      </w:r>
      <w:r w:rsidRPr="00CD5673">
        <w:tab/>
        <w:t>establish accounts within a common fund; and</w:t>
      </w:r>
    </w:p>
    <w:p w14:paraId="1C0CC544" w14:textId="77777777" w:rsidR="00D46430" w:rsidRPr="00CD5673" w:rsidRDefault="00D46430" w:rsidP="00D46430">
      <w:pPr>
        <w:pStyle w:val="paragraph"/>
      </w:pPr>
      <w:r w:rsidRPr="00CD5673">
        <w:tab/>
        <w:t>(b)</w:t>
      </w:r>
      <w:r w:rsidRPr="00CD5673">
        <w:tab/>
        <w:t>establish a common fund on the basis of units or another suitable basis.</w:t>
      </w:r>
    </w:p>
    <w:p w14:paraId="30F88EA8" w14:textId="77777777" w:rsidR="00D46430" w:rsidRPr="00CD5673" w:rsidRDefault="00D46430" w:rsidP="00D46430">
      <w:pPr>
        <w:pStyle w:val="subsection"/>
      </w:pPr>
      <w:r w:rsidRPr="00CD5673">
        <w:tab/>
        <w:t>(2)</w:t>
      </w:r>
      <w:r w:rsidRPr="00CD5673">
        <w:tab/>
        <w:t>If the common fund includes money that is not estate money and that is not otherwise held in trust, the licensed trustee company is taken to hold the money in trust for the person on whose behalf the money is invested in the common fund.</w:t>
      </w:r>
    </w:p>
    <w:p w14:paraId="4A858B69" w14:textId="77777777" w:rsidR="00D46430" w:rsidRPr="00CD5673" w:rsidRDefault="00D46430" w:rsidP="00D46430">
      <w:pPr>
        <w:pStyle w:val="ActHead5"/>
      </w:pPr>
      <w:bookmarkStart w:id="335" w:name="_Toc158711943"/>
      <w:r w:rsidRPr="00C614F1">
        <w:rPr>
          <w:rStyle w:val="CharSectno"/>
        </w:rPr>
        <w:t>5D.2.05</w:t>
      </w:r>
      <w:r w:rsidRPr="00CD5673">
        <w:t xml:space="preserve">  Deciding details about common funds</w:t>
      </w:r>
      <w:bookmarkEnd w:id="335"/>
    </w:p>
    <w:p w14:paraId="004226D2" w14:textId="77777777" w:rsidR="00D46430" w:rsidRPr="00CD5673" w:rsidRDefault="00D46430" w:rsidP="00D46430">
      <w:pPr>
        <w:pStyle w:val="subsection"/>
      </w:pPr>
      <w:r w:rsidRPr="00CD5673">
        <w:tab/>
        <w:t>(1)</w:t>
      </w:r>
      <w:r w:rsidRPr="00CD5673">
        <w:tab/>
        <w:t>A licensed trustee company that is establishing a common fund commits an offence if, at the time of establishing the fund, it does not ensure that its Board makes a decision, in writing, about the following:</w:t>
      </w:r>
    </w:p>
    <w:p w14:paraId="04D7FA71" w14:textId="77777777" w:rsidR="00D46430" w:rsidRPr="00CD5673" w:rsidRDefault="00D46430" w:rsidP="00D46430">
      <w:pPr>
        <w:pStyle w:val="paragraph"/>
      </w:pPr>
      <w:r w:rsidRPr="00CD5673">
        <w:tab/>
        <w:t>(a)</w:t>
      </w:r>
      <w:r w:rsidRPr="00CD5673">
        <w:tab/>
        <w:t>any limitation on the amount of money that will form the common fund;</w:t>
      </w:r>
    </w:p>
    <w:p w14:paraId="6CAF84B6" w14:textId="77777777" w:rsidR="00D46430" w:rsidRPr="00CD5673" w:rsidRDefault="00D46430" w:rsidP="00D46430">
      <w:pPr>
        <w:pStyle w:val="paragraph"/>
      </w:pPr>
      <w:r w:rsidRPr="00CD5673">
        <w:tab/>
        <w:t>(b)</w:t>
      </w:r>
      <w:r w:rsidRPr="00CD5673">
        <w:tab/>
        <w:t>the investment strategy for the common fund, including the following:</w:t>
      </w:r>
    </w:p>
    <w:p w14:paraId="24832328" w14:textId="77777777" w:rsidR="00D46430" w:rsidRPr="00CD5673" w:rsidRDefault="00D46430" w:rsidP="00D46430">
      <w:pPr>
        <w:pStyle w:val="paragraphsub"/>
      </w:pPr>
      <w:r w:rsidRPr="00CD5673">
        <w:tab/>
        <w:t>(i)</w:t>
      </w:r>
      <w:r w:rsidRPr="00CD5673">
        <w:tab/>
        <w:t>the class of investments in which the common fund may be invested;</w:t>
      </w:r>
    </w:p>
    <w:p w14:paraId="55E86B8E" w14:textId="77777777" w:rsidR="00D46430" w:rsidRPr="00CD5673" w:rsidRDefault="00D46430" w:rsidP="00D46430">
      <w:pPr>
        <w:pStyle w:val="paragraphsub"/>
      </w:pPr>
      <w:r w:rsidRPr="00CD5673">
        <w:tab/>
        <w:t>(ii)</w:t>
      </w:r>
      <w:r w:rsidRPr="00CD5673">
        <w:tab/>
        <w:t>the procedure for valuing the investments;</w:t>
      </w:r>
    </w:p>
    <w:p w14:paraId="5072FF00" w14:textId="77777777" w:rsidR="00D46430" w:rsidRPr="00CD5673" w:rsidRDefault="00D46430" w:rsidP="00D46430">
      <w:pPr>
        <w:pStyle w:val="paragraphsub"/>
      </w:pPr>
      <w:r w:rsidRPr="00CD5673">
        <w:tab/>
        <w:t>(iii)</w:t>
      </w:r>
      <w:r w:rsidRPr="00CD5673">
        <w:tab/>
        <w:t>if the trustee company is to seek expert advice about proposed investments—the type of expert advice to be sought;</w:t>
      </w:r>
    </w:p>
    <w:p w14:paraId="66AD89BA" w14:textId="77777777" w:rsidR="00D46430" w:rsidRPr="00CD5673" w:rsidRDefault="00D46430" w:rsidP="00D46430">
      <w:pPr>
        <w:pStyle w:val="paragraph"/>
        <w:keepNext/>
        <w:keepLines/>
      </w:pPr>
      <w:r w:rsidRPr="00CD5673">
        <w:tab/>
        <w:t>(c)</w:t>
      </w:r>
      <w:r w:rsidRPr="00CD5673">
        <w:tab/>
        <w:t>the amount of fees that are to be paid by:</w:t>
      </w:r>
    </w:p>
    <w:p w14:paraId="2A897F89" w14:textId="77777777" w:rsidR="00D46430" w:rsidRPr="00CD5673" w:rsidRDefault="00D46430" w:rsidP="00D46430">
      <w:pPr>
        <w:pStyle w:val="paragraphsub"/>
      </w:pPr>
      <w:r w:rsidRPr="00CD5673">
        <w:tab/>
        <w:t>(i)</w:t>
      </w:r>
      <w:r w:rsidRPr="00CD5673">
        <w:tab/>
        <w:t>the common fund for the provision of traditional trustee company services; and</w:t>
      </w:r>
    </w:p>
    <w:p w14:paraId="77EE71E0" w14:textId="77777777" w:rsidR="00D46430" w:rsidRPr="00CD5673" w:rsidRDefault="00D46430" w:rsidP="00D46430">
      <w:pPr>
        <w:pStyle w:val="paragraphsub"/>
      </w:pPr>
      <w:r w:rsidRPr="00CD5673">
        <w:tab/>
        <w:t>(ii)</w:t>
      </w:r>
      <w:r w:rsidRPr="00CD5673">
        <w:tab/>
        <w:t>each account in the common fund;</w:t>
      </w:r>
    </w:p>
    <w:p w14:paraId="119386AE" w14:textId="77777777" w:rsidR="00D46430" w:rsidRPr="00CD5673" w:rsidRDefault="00D46430" w:rsidP="00D46430">
      <w:pPr>
        <w:pStyle w:val="paragraph"/>
      </w:pPr>
      <w:r w:rsidRPr="00CD5673">
        <w:tab/>
        <w:t>(d)</w:t>
      </w:r>
      <w:r w:rsidRPr="00CD5673">
        <w:tab/>
        <w:t>the manner in which a withdrawal can be made from the common fund;</w:t>
      </w:r>
    </w:p>
    <w:p w14:paraId="63A26EB1" w14:textId="77777777" w:rsidR="00D46430" w:rsidRPr="00CD5673" w:rsidRDefault="00D46430" w:rsidP="00D46430">
      <w:pPr>
        <w:pStyle w:val="paragraph"/>
      </w:pPr>
      <w:r w:rsidRPr="00CD5673">
        <w:tab/>
        <w:t>(e)</w:t>
      </w:r>
      <w:r w:rsidRPr="00CD5673">
        <w:tab/>
        <w:t>the procedure for auditing the common fund;</w:t>
      </w:r>
    </w:p>
    <w:p w14:paraId="697D5FF4" w14:textId="77777777" w:rsidR="00D46430" w:rsidRPr="00CD5673" w:rsidRDefault="00D46430" w:rsidP="00D46430">
      <w:pPr>
        <w:pStyle w:val="paragraph"/>
      </w:pPr>
      <w:r w:rsidRPr="00CD5673">
        <w:tab/>
        <w:t>(f)</w:t>
      </w:r>
      <w:r w:rsidRPr="00CD5673">
        <w:tab/>
        <w:t>if the common fund is to have a limited life—the duration of the common fund;</w:t>
      </w:r>
    </w:p>
    <w:p w14:paraId="09D703D0" w14:textId="77777777" w:rsidR="00D46430" w:rsidRPr="00CD5673" w:rsidRDefault="00D46430" w:rsidP="00D46430">
      <w:pPr>
        <w:pStyle w:val="paragraph"/>
      </w:pPr>
      <w:r w:rsidRPr="00CD5673">
        <w:tab/>
        <w:t>(g)</w:t>
      </w:r>
      <w:r w:rsidRPr="00CD5673">
        <w:tab/>
        <w:t>if the common fund is to have a minimum amount that may be invested in the fund on account of each estate—the minimum amount.</w:t>
      </w:r>
    </w:p>
    <w:p w14:paraId="18B9F2D2" w14:textId="77777777" w:rsidR="00D46430" w:rsidRPr="00CD5673" w:rsidRDefault="00D46430" w:rsidP="00D46430">
      <w:pPr>
        <w:pStyle w:val="Penalty"/>
      </w:pPr>
      <w:r w:rsidRPr="00CD5673">
        <w:t>Penalty:</w:t>
      </w:r>
      <w:r w:rsidRPr="00CD5673">
        <w:tab/>
        <w:t>500 penalty units.</w:t>
      </w:r>
    </w:p>
    <w:p w14:paraId="30A514DE" w14:textId="77777777" w:rsidR="00D46430" w:rsidRPr="00CD5673" w:rsidRDefault="00D46430" w:rsidP="00D46430">
      <w:pPr>
        <w:pStyle w:val="subsection"/>
      </w:pPr>
      <w:r w:rsidRPr="00CD5673">
        <w:tab/>
        <w:t>(2)</w:t>
      </w:r>
      <w:r w:rsidRPr="00CD5673">
        <w:tab/>
        <w:t>The licensed trustee company commits an offence if it does not:</w:t>
      </w:r>
    </w:p>
    <w:p w14:paraId="481E536D" w14:textId="77777777" w:rsidR="00D46430" w:rsidRPr="00CD5673" w:rsidRDefault="00D46430" w:rsidP="00D46430">
      <w:pPr>
        <w:pStyle w:val="paragraph"/>
      </w:pPr>
      <w:r w:rsidRPr="00CD5673">
        <w:tab/>
        <w:t>(a)</w:t>
      </w:r>
      <w:r w:rsidRPr="00CD5673">
        <w:tab/>
        <w:t>within 14 days of making the decision:</w:t>
      </w:r>
    </w:p>
    <w:p w14:paraId="4E736113" w14:textId="77777777" w:rsidR="00D46430" w:rsidRPr="00CD5673" w:rsidRDefault="00D46430" w:rsidP="00D46430">
      <w:pPr>
        <w:pStyle w:val="paragraphsub"/>
      </w:pPr>
      <w:r w:rsidRPr="00CD5673">
        <w:tab/>
        <w:t>(i)</w:t>
      </w:r>
      <w:r w:rsidRPr="00CD5673">
        <w:tab/>
        <w:t>send a copy of the decision to ASIC; and</w:t>
      </w:r>
    </w:p>
    <w:p w14:paraId="3B6005FF" w14:textId="77777777" w:rsidR="00D46430" w:rsidRPr="00CD5673" w:rsidRDefault="00D46430" w:rsidP="00D46430">
      <w:pPr>
        <w:pStyle w:val="paragraphsub"/>
      </w:pPr>
      <w:r w:rsidRPr="00CD5673">
        <w:tab/>
        <w:t>(ii)</w:t>
      </w:r>
      <w:r w:rsidRPr="00CD5673">
        <w:tab/>
        <w:t>publish a copy of the decision on its website; and</w:t>
      </w:r>
    </w:p>
    <w:p w14:paraId="6DD2D748" w14:textId="77777777" w:rsidR="00D46430" w:rsidRPr="00CD5673" w:rsidRDefault="00D46430" w:rsidP="00D46430">
      <w:pPr>
        <w:pStyle w:val="paragraph"/>
      </w:pPr>
      <w:r w:rsidRPr="00CD5673">
        <w:tab/>
        <w:t>(b)</w:t>
      </w:r>
      <w:r w:rsidRPr="00CD5673">
        <w:tab/>
        <w:t>if requested by a person entitled to request an annual information return under subregulation 5D.2.01(3), make a copy of the decision available to the person within 30 days of the request being received.</w:t>
      </w:r>
    </w:p>
    <w:p w14:paraId="4C99E894" w14:textId="77777777" w:rsidR="00D46430" w:rsidRPr="00CD5673" w:rsidRDefault="00D46430" w:rsidP="00D46430">
      <w:pPr>
        <w:pStyle w:val="Penalty"/>
      </w:pPr>
      <w:r w:rsidRPr="00CD5673">
        <w:t>Penalty:</w:t>
      </w:r>
      <w:r w:rsidRPr="00CD5673">
        <w:tab/>
        <w:t>500 penalty units.</w:t>
      </w:r>
    </w:p>
    <w:p w14:paraId="477C66AF" w14:textId="77777777" w:rsidR="00D46430" w:rsidRPr="00CD5673" w:rsidRDefault="00D46430" w:rsidP="00D46430">
      <w:pPr>
        <w:pStyle w:val="subsection"/>
      </w:pPr>
      <w:r w:rsidRPr="00CD5673">
        <w:tab/>
        <w:t>(3)</w:t>
      </w:r>
      <w:r w:rsidRPr="00CD5673">
        <w:tab/>
        <w:t>A person commits an offence if the person is involved in a contravention of subregulation (1) or (2) by a licensed trustee company.</w:t>
      </w:r>
    </w:p>
    <w:p w14:paraId="0A7C1727" w14:textId="77777777" w:rsidR="00D46430" w:rsidRPr="00CD5673" w:rsidRDefault="00D46430" w:rsidP="00D46430">
      <w:pPr>
        <w:pStyle w:val="Penalty"/>
      </w:pPr>
      <w:r w:rsidRPr="00CD5673">
        <w:t>Penalty:</w:t>
      </w:r>
    </w:p>
    <w:p w14:paraId="5590E2E5" w14:textId="77777777" w:rsidR="00D46430" w:rsidRPr="00CD5673" w:rsidRDefault="00D46430" w:rsidP="00D46430">
      <w:pPr>
        <w:pStyle w:val="paragraph"/>
      </w:pPr>
      <w:r w:rsidRPr="00CD5673">
        <w:tab/>
        <w:t>(a)</w:t>
      </w:r>
      <w:r w:rsidRPr="00CD5673">
        <w:tab/>
        <w:t>for an individual—50 penalty units; and</w:t>
      </w:r>
    </w:p>
    <w:p w14:paraId="325D6015" w14:textId="77777777" w:rsidR="00D46430" w:rsidRPr="00CD5673" w:rsidRDefault="00D46430" w:rsidP="00D46430">
      <w:pPr>
        <w:pStyle w:val="paragraph"/>
      </w:pPr>
      <w:r w:rsidRPr="00CD5673">
        <w:tab/>
        <w:t>(b)</w:t>
      </w:r>
      <w:r w:rsidRPr="00CD5673">
        <w:tab/>
        <w:t>for a body corporate—500 penalty units.</w:t>
      </w:r>
    </w:p>
    <w:p w14:paraId="433BC6E4" w14:textId="77777777" w:rsidR="00D46430" w:rsidRPr="00CD5673" w:rsidRDefault="00D46430" w:rsidP="00D46430">
      <w:pPr>
        <w:pStyle w:val="ActHead5"/>
      </w:pPr>
      <w:bookmarkStart w:id="336" w:name="_Toc158711944"/>
      <w:r w:rsidRPr="00C614F1">
        <w:rPr>
          <w:rStyle w:val="CharSectno"/>
        </w:rPr>
        <w:lastRenderedPageBreak/>
        <w:t>5D.2.06</w:t>
      </w:r>
      <w:r w:rsidRPr="00CD5673">
        <w:t xml:space="preserve">  Operation of common funds</w:t>
      </w:r>
      <w:bookmarkEnd w:id="336"/>
    </w:p>
    <w:p w14:paraId="6749FAAF" w14:textId="77777777" w:rsidR="00D46430" w:rsidRPr="00CD5673" w:rsidRDefault="00D46430" w:rsidP="00D46430">
      <w:pPr>
        <w:pStyle w:val="SubsectionHead"/>
      </w:pPr>
      <w:r w:rsidRPr="00CD5673">
        <w:t>Compliance with the Act and regulations</w:t>
      </w:r>
    </w:p>
    <w:p w14:paraId="1C22EDF5" w14:textId="77777777" w:rsidR="00D46430" w:rsidRPr="00CD5673" w:rsidRDefault="00D46430" w:rsidP="00D46430">
      <w:pPr>
        <w:pStyle w:val="subsection"/>
      </w:pPr>
      <w:r w:rsidRPr="00CD5673">
        <w:tab/>
        <w:t>(1)</w:t>
      </w:r>
      <w:r w:rsidRPr="00CD5673">
        <w:tab/>
        <w:t>A licensed trustee company may, from time to time and without liability for breach of trust, pay into or withdraw an amount from a common fund in accordance with the Act and these Regulations.</w:t>
      </w:r>
    </w:p>
    <w:p w14:paraId="030F9671" w14:textId="77777777" w:rsidR="00D46430" w:rsidRPr="00CD5673" w:rsidRDefault="00D46430" w:rsidP="00D46430">
      <w:pPr>
        <w:pStyle w:val="notetext"/>
      </w:pPr>
      <w:r w:rsidRPr="00CD5673">
        <w:t>Note:</w:t>
      </w:r>
      <w:r w:rsidRPr="00CD5673">
        <w:tab/>
        <w:t>Payments into a common fund may be prohibited where this is contrary to the conditions on which the company holds the money: see subsection 601SCB(3) of the Act.</w:t>
      </w:r>
    </w:p>
    <w:p w14:paraId="080B16A4" w14:textId="77777777" w:rsidR="00D46430" w:rsidRPr="00CD5673" w:rsidRDefault="00D46430" w:rsidP="00D46430">
      <w:pPr>
        <w:pStyle w:val="SubsectionHead"/>
      </w:pPr>
      <w:r w:rsidRPr="00CD5673">
        <w:t>Withdrawals</w:t>
      </w:r>
    </w:p>
    <w:p w14:paraId="2C703DCA" w14:textId="77777777" w:rsidR="00D46430" w:rsidRPr="00CD5673" w:rsidRDefault="00D46430" w:rsidP="00D46430">
      <w:pPr>
        <w:pStyle w:val="subsection"/>
      </w:pPr>
      <w:r w:rsidRPr="00CD5673">
        <w:tab/>
        <w:t>(2)</w:t>
      </w:r>
      <w:r w:rsidRPr="00CD5673">
        <w:tab/>
        <w:t>A licensed trustee company may do the following:</w:t>
      </w:r>
    </w:p>
    <w:p w14:paraId="68FF3F4B" w14:textId="77777777" w:rsidR="00D46430" w:rsidRPr="00CD5673" w:rsidRDefault="00D46430" w:rsidP="00D46430">
      <w:pPr>
        <w:pStyle w:val="paragraph"/>
      </w:pPr>
      <w:r w:rsidRPr="00CD5673">
        <w:tab/>
        <w:t>(a)</w:t>
      </w:r>
      <w:r w:rsidRPr="00CD5673">
        <w:tab/>
        <w:t>withdraw an amount from a common fund for a purpose relating to a trust or estate that is part of the fund and is managed or administered by the company;</w:t>
      </w:r>
    </w:p>
    <w:p w14:paraId="232C17CC" w14:textId="77777777" w:rsidR="00D46430" w:rsidRPr="00CD5673" w:rsidRDefault="00D46430" w:rsidP="00D46430">
      <w:pPr>
        <w:pStyle w:val="paragraph"/>
      </w:pPr>
      <w:r w:rsidRPr="00CD5673">
        <w:tab/>
        <w:t>(b)</w:t>
      </w:r>
      <w:r w:rsidRPr="00CD5673">
        <w:tab/>
        <w:t>withdraw from a common fund an amount at credit in the fund on account of a trust matter or a managed estate and invest the amount on the separate account of the matter or estate.</w:t>
      </w:r>
    </w:p>
    <w:p w14:paraId="6D99AC59" w14:textId="77777777" w:rsidR="00D46430" w:rsidRPr="00CD5673" w:rsidRDefault="00D46430" w:rsidP="00D46430">
      <w:pPr>
        <w:pStyle w:val="subsection"/>
      </w:pPr>
      <w:r w:rsidRPr="00CD5673">
        <w:tab/>
        <w:t>(3)</w:t>
      </w:r>
      <w:r w:rsidRPr="00CD5673">
        <w:tab/>
        <w:t>A licensed trustee company commits an offence if it pays interest from the common fund on withdrawn amounts on or after the day of the withdrawal.</w:t>
      </w:r>
    </w:p>
    <w:p w14:paraId="3B75B7DC" w14:textId="77777777" w:rsidR="00D46430" w:rsidRPr="00CD5673" w:rsidRDefault="00D46430" w:rsidP="00D46430">
      <w:pPr>
        <w:pStyle w:val="Penalty"/>
      </w:pPr>
      <w:r w:rsidRPr="00CD5673">
        <w:t>Penalty:</w:t>
      </w:r>
      <w:r w:rsidRPr="00CD5673">
        <w:tab/>
        <w:t>500 penalty units.</w:t>
      </w:r>
    </w:p>
    <w:p w14:paraId="2E1B518F" w14:textId="77777777" w:rsidR="00D46430" w:rsidRPr="00CD5673" w:rsidRDefault="00D46430" w:rsidP="00D46430">
      <w:pPr>
        <w:pStyle w:val="SubsectionHead"/>
      </w:pPr>
      <w:r w:rsidRPr="00CD5673">
        <w:t>Derivatives</w:t>
      </w:r>
    </w:p>
    <w:p w14:paraId="69149E3C" w14:textId="77777777" w:rsidR="00D46430" w:rsidRPr="00CD5673" w:rsidRDefault="00D46430" w:rsidP="00D46430">
      <w:pPr>
        <w:pStyle w:val="subsection"/>
      </w:pPr>
      <w:r w:rsidRPr="00CD5673">
        <w:tab/>
        <w:t>(4)</w:t>
      </w:r>
      <w:r w:rsidRPr="00CD5673">
        <w:tab/>
        <w:t>A licensed trustee company commits an offence if:</w:t>
      </w:r>
    </w:p>
    <w:p w14:paraId="570741FB" w14:textId="77777777" w:rsidR="00D46430" w:rsidRPr="00CD5673" w:rsidRDefault="00D46430" w:rsidP="00D46430">
      <w:pPr>
        <w:pStyle w:val="paragraph"/>
      </w:pPr>
      <w:r w:rsidRPr="00CD5673">
        <w:tab/>
        <w:t>(a)</w:t>
      </w:r>
      <w:r w:rsidRPr="00CD5673">
        <w:tab/>
        <w:t>when managing and administering a common fund, the trustee company enters into a derivative; and</w:t>
      </w:r>
    </w:p>
    <w:p w14:paraId="4C7B2063" w14:textId="77777777" w:rsidR="00D46430" w:rsidRPr="00CD5673" w:rsidRDefault="00D46430" w:rsidP="00D46430">
      <w:pPr>
        <w:pStyle w:val="paragraph"/>
      </w:pPr>
      <w:r w:rsidRPr="00CD5673">
        <w:tab/>
        <w:t>(b)</w:t>
      </w:r>
      <w:r w:rsidRPr="00CD5673">
        <w:tab/>
        <w:t>at the time of entering into the derivative:</w:t>
      </w:r>
    </w:p>
    <w:p w14:paraId="2A964684" w14:textId="77777777" w:rsidR="00D46430" w:rsidRPr="00CD5673" w:rsidRDefault="00D46430" w:rsidP="00D46430">
      <w:pPr>
        <w:pStyle w:val="paragraphsub"/>
      </w:pPr>
      <w:r w:rsidRPr="00CD5673">
        <w:tab/>
        <w:t>(i)</w:t>
      </w:r>
      <w:r w:rsidRPr="00CD5673">
        <w:tab/>
        <w:t>the trustee company did not do so for the purpose of managing a financial risk arising from:</w:t>
      </w:r>
    </w:p>
    <w:p w14:paraId="621BF38B" w14:textId="77777777" w:rsidR="00D46430" w:rsidRPr="00CD5673" w:rsidRDefault="00D46430" w:rsidP="00D46430">
      <w:pPr>
        <w:pStyle w:val="paragraphsub-sub"/>
      </w:pPr>
      <w:r w:rsidRPr="00CD5673">
        <w:tab/>
        <w:t>(A)</w:t>
      </w:r>
      <w:r w:rsidRPr="00CD5673">
        <w:tab/>
        <w:t>variations in the expenses of the common fund; or</w:t>
      </w:r>
    </w:p>
    <w:p w14:paraId="655B012C" w14:textId="77777777" w:rsidR="00D46430" w:rsidRPr="00CD5673" w:rsidRDefault="00D46430" w:rsidP="00D46430">
      <w:pPr>
        <w:pStyle w:val="paragraphsub-sub"/>
      </w:pPr>
      <w:r w:rsidRPr="00CD5673">
        <w:tab/>
        <w:t>(B)</w:t>
      </w:r>
      <w:r w:rsidRPr="00CD5673">
        <w:tab/>
        <w:t>variations in the revenue obtainable from investments made by the common fund; and</w:t>
      </w:r>
    </w:p>
    <w:p w14:paraId="6F48E17A" w14:textId="77777777" w:rsidR="00D46430" w:rsidRPr="00CD5673" w:rsidRDefault="00D46430" w:rsidP="00D46430">
      <w:pPr>
        <w:pStyle w:val="paragraphsub"/>
      </w:pPr>
      <w:r w:rsidRPr="00CD5673">
        <w:tab/>
        <w:t>(ii)</w:t>
      </w:r>
      <w:r w:rsidRPr="00CD5673">
        <w:tab/>
        <w:t>the arrangement was not in accordance with the trustee company’s equitable and other duties as a trustee under the relevant State or Territory provisions set out in Schedule 8AE.</w:t>
      </w:r>
    </w:p>
    <w:p w14:paraId="59FF061F" w14:textId="77777777" w:rsidR="00D46430" w:rsidRPr="00CD5673" w:rsidRDefault="00D46430" w:rsidP="00D46430">
      <w:pPr>
        <w:pStyle w:val="Penalty"/>
      </w:pPr>
      <w:r w:rsidRPr="00CD5673">
        <w:t>Penalty:</w:t>
      </w:r>
      <w:r w:rsidRPr="00CD5673">
        <w:tab/>
        <w:t>500 penalty units.</w:t>
      </w:r>
    </w:p>
    <w:p w14:paraId="279AB665" w14:textId="77777777" w:rsidR="00D46430" w:rsidRPr="00CD5673" w:rsidRDefault="00D46430" w:rsidP="00D46430">
      <w:pPr>
        <w:pStyle w:val="SubsectionHead"/>
      </w:pPr>
      <w:r w:rsidRPr="00CD5673">
        <w:t>Applying income from investment</w:t>
      </w:r>
    </w:p>
    <w:p w14:paraId="75540014" w14:textId="77777777" w:rsidR="00D46430" w:rsidRPr="00CD5673" w:rsidRDefault="00D46430" w:rsidP="00D46430">
      <w:pPr>
        <w:pStyle w:val="subsection"/>
      </w:pPr>
      <w:r w:rsidRPr="00CD5673">
        <w:tab/>
        <w:t>(5)</w:t>
      </w:r>
      <w:r w:rsidRPr="00CD5673">
        <w:tab/>
        <w:t>A licensed trustee company commits an offence if it applies income from investment of a common fund other than for:</w:t>
      </w:r>
    </w:p>
    <w:p w14:paraId="3293F2BB" w14:textId="77777777" w:rsidR="00D46430" w:rsidRPr="00CD5673" w:rsidRDefault="00D46430" w:rsidP="00D46430">
      <w:pPr>
        <w:pStyle w:val="paragraph"/>
      </w:pPr>
      <w:r w:rsidRPr="00CD5673">
        <w:tab/>
        <w:t>(a)</w:t>
      </w:r>
      <w:r w:rsidRPr="00CD5673">
        <w:tab/>
        <w:t>payment of the company’s fee for the proper administration and management of the fund under the Act, regulations and terms of the common fund, proportionate to the value of the work done or the services rendered; and</w:t>
      </w:r>
    </w:p>
    <w:p w14:paraId="70D3C653" w14:textId="77777777" w:rsidR="00D46430" w:rsidRPr="00CD5673" w:rsidRDefault="00D46430" w:rsidP="00D46430">
      <w:pPr>
        <w:pStyle w:val="paragraph"/>
      </w:pPr>
      <w:r w:rsidRPr="00CD5673">
        <w:tab/>
        <w:t>(b)</w:t>
      </w:r>
      <w:r w:rsidRPr="00CD5673">
        <w:tab/>
        <w:t>allocation in accordance with subregulation (6) in relation to the accounts from which the fund is derived.</w:t>
      </w:r>
    </w:p>
    <w:p w14:paraId="076C488E" w14:textId="77777777" w:rsidR="00D46430" w:rsidRPr="00CD5673" w:rsidRDefault="00D46430" w:rsidP="00D46430">
      <w:pPr>
        <w:pStyle w:val="Penalty"/>
      </w:pPr>
      <w:r w:rsidRPr="00CD5673">
        <w:t>Penalty:</w:t>
      </w:r>
      <w:r w:rsidRPr="00CD5673">
        <w:tab/>
        <w:t>500 penalty units.</w:t>
      </w:r>
    </w:p>
    <w:p w14:paraId="6028205D" w14:textId="77777777" w:rsidR="00D46430" w:rsidRPr="00CD5673" w:rsidRDefault="00D46430" w:rsidP="00D46430">
      <w:pPr>
        <w:pStyle w:val="subsection"/>
      </w:pPr>
      <w:r w:rsidRPr="00CD5673">
        <w:tab/>
        <w:t>(6)</w:t>
      </w:r>
      <w:r w:rsidRPr="00CD5673">
        <w:tab/>
        <w:t>For paragraph (5)(b), the allocation must be made at intervals not exceeding 6 months.</w:t>
      </w:r>
    </w:p>
    <w:p w14:paraId="7E6E7323" w14:textId="77777777" w:rsidR="00D46430" w:rsidRPr="00CD5673" w:rsidRDefault="00D46430" w:rsidP="00D46430">
      <w:pPr>
        <w:pStyle w:val="SubsectionHead"/>
      </w:pPr>
      <w:r w:rsidRPr="00CD5673">
        <w:t>Investments</w:t>
      </w:r>
    </w:p>
    <w:p w14:paraId="6E44005F" w14:textId="77777777" w:rsidR="00D46430" w:rsidRPr="00CD5673" w:rsidRDefault="00D46430" w:rsidP="00D46430">
      <w:pPr>
        <w:pStyle w:val="subsection"/>
      </w:pPr>
      <w:r w:rsidRPr="00CD5673">
        <w:tab/>
        <w:t>(7)</w:t>
      </w:r>
      <w:r w:rsidRPr="00CD5673">
        <w:tab/>
        <w:t>A licensed trustee company commits an offence if:</w:t>
      </w:r>
    </w:p>
    <w:p w14:paraId="41CF23B0" w14:textId="77777777" w:rsidR="00D46430" w:rsidRPr="00CD5673" w:rsidRDefault="00D46430" w:rsidP="00D46430">
      <w:pPr>
        <w:pStyle w:val="paragraph"/>
      </w:pPr>
      <w:r w:rsidRPr="00CD5673">
        <w:tab/>
        <w:t>(a)</w:t>
      </w:r>
      <w:r w:rsidRPr="00CD5673">
        <w:tab/>
        <w:t>the trustee company invests money committed to its administration or management; and</w:t>
      </w:r>
    </w:p>
    <w:p w14:paraId="4298F56C" w14:textId="77777777" w:rsidR="00D46430" w:rsidRPr="00CD5673" w:rsidRDefault="00D46430" w:rsidP="00D46430">
      <w:pPr>
        <w:pStyle w:val="paragraph"/>
      </w:pPr>
      <w:r w:rsidRPr="00CD5673">
        <w:tab/>
        <w:t>(b)</w:t>
      </w:r>
      <w:r w:rsidRPr="00CD5673">
        <w:tab/>
        <w:t>the investment is:</w:t>
      </w:r>
    </w:p>
    <w:p w14:paraId="010C0BF3" w14:textId="77777777" w:rsidR="00D46430" w:rsidRPr="00CD5673" w:rsidRDefault="00D46430" w:rsidP="00D46430">
      <w:pPr>
        <w:pStyle w:val="paragraphsub"/>
      </w:pPr>
      <w:r w:rsidRPr="00CD5673">
        <w:tab/>
        <w:t>(i)</w:t>
      </w:r>
      <w:r w:rsidRPr="00CD5673">
        <w:tab/>
        <w:t>not in accordance with a decision of the Board made for the purpose of regulation 5D.2.05; and</w:t>
      </w:r>
    </w:p>
    <w:p w14:paraId="46332957" w14:textId="77777777" w:rsidR="00D46430" w:rsidRPr="00CD5673" w:rsidRDefault="00D46430" w:rsidP="00D46430">
      <w:pPr>
        <w:pStyle w:val="paragraphsub"/>
      </w:pPr>
      <w:r w:rsidRPr="00CD5673">
        <w:tab/>
        <w:t>(ii)</w:t>
      </w:r>
      <w:r w:rsidRPr="00CD5673">
        <w:tab/>
        <w:t>not made in a manner in which trust funds may be invested by a trustee under the relevant State or Territory provisions set out in Schedule 8AE.</w:t>
      </w:r>
    </w:p>
    <w:p w14:paraId="33C5D410" w14:textId="77777777" w:rsidR="00D46430" w:rsidRPr="00CD5673" w:rsidRDefault="00D46430" w:rsidP="00D46430">
      <w:pPr>
        <w:pStyle w:val="Penalty"/>
      </w:pPr>
      <w:r w:rsidRPr="00CD5673">
        <w:t>Penalty:</w:t>
      </w:r>
      <w:r w:rsidRPr="00CD5673">
        <w:tab/>
        <w:t>500 penalty units.</w:t>
      </w:r>
    </w:p>
    <w:p w14:paraId="47652681" w14:textId="77777777" w:rsidR="00D46430" w:rsidRPr="00CD5673" w:rsidRDefault="00D46430" w:rsidP="00D46430">
      <w:pPr>
        <w:pStyle w:val="SubsectionHead"/>
      </w:pPr>
      <w:r w:rsidRPr="00CD5673">
        <w:lastRenderedPageBreak/>
        <w:t>Valuation of investments</w:t>
      </w:r>
    </w:p>
    <w:p w14:paraId="0E8301A7" w14:textId="77777777" w:rsidR="00D46430" w:rsidRPr="00CD5673" w:rsidRDefault="00D46430" w:rsidP="00D46430">
      <w:pPr>
        <w:pStyle w:val="subsection"/>
      </w:pPr>
      <w:r w:rsidRPr="00CD5673">
        <w:tab/>
        <w:t>(8)</w:t>
      </w:r>
      <w:r w:rsidRPr="00CD5673">
        <w:tab/>
        <w:t>A licensed trustee company commits an offence if it does not comply with the following requirements about the valuation of investments of common funds:</w:t>
      </w:r>
    </w:p>
    <w:p w14:paraId="52E30E87" w14:textId="77777777" w:rsidR="00D46430" w:rsidRPr="00CD5673" w:rsidRDefault="00D46430" w:rsidP="00D46430">
      <w:pPr>
        <w:pStyle w:val="paragraph"/>
      </w:pPr>
      <w:r w:rsidRPr="00CD5673">
        <w:tab/>
        <w:t>(a)</w:t>
      </w:r>
      <w:r w:rsidRPr="00CD5673">
        <w:tab/>
        <w:t>by the third business day of each month, the trustee company must decide the value of the investments in each common fund as at the first business day of the month;</w:t>
      </w:r>
    </w:p>
    <w:p w14:paraId="6BB126FC" w14:textId="77777777" w:rsidR="00D46430" w:rsidRPr="00CD5673" w:rsidRDefault="00D46430" w:rsidP="00D46430">
      <w:pPr>
        <w:pStyle w:val="paragraph"/>
      </w:pPr>
      <w:r w:rsidRPr="00CD5673">
        <w:tab/>
        <w:t>(b)</w:t>
      </w:r>
      <w:r w:rsidRPr="00CD5673">
        <w:tab/>
        <w:t>subject to subregulation (9), in deciding the value of securities listed on a financial market for a month, the trustee company must take the last sale price of the first business day of the month published by the market operator as the value of the listed securities;</w:t>
      </w:r>
    </w:p>
    <w:p w14:paraId="06317881" w14:textId="77777777" w:rsidR="00D46430" w:rsidRPr="00CD5673" w:rsidRDefault="00D46430" w:rsidP="00D46430">
      <w:pPr>
        <w:pStyle w:val="paragraph"/>
      </w:pPr>
      <w:r w:rsidRPr="00CD5673">
        <w:tab/>
        <w:t>(c)</w:t>
      </w:r>
      <w:r w:rsidRPr="00CD5673">
        <w:tab/>
        <w:t>the trustee company must make withdrawals from the common fund and further investments on the basis of the last valuation of investments made by the company.</w:t>
      </w:r>
    </w:p>
    <w:p w14:paraId="32E89028" w14:textId="77777777" w:rsidR="00D46430" w:rsidRPr="00CD5673" w:rsidRDefault="00D46430" w:rsidP="00D46430">
      <w:pPr>
        <w:pStyle w:val="Penalty"/>
      </w:pPr>
      <w:r w:rsidRPr="00CD5673">
        <w:t>Penalty:</w:t>
      </w:r>
      <w:r w:rsidRPr="00CD5673">
        <w:tab/>
        <w:t>500 penalty units.</w:t>
      </w:r>
    </w:p>
    <w:p w14:paraId="1EEF1737" w14:textId="77777777" w:rsidR="00D46430" w:rsidRPr="00CD5673" w:rsidRDefault="00D46430" w:rsidP="00D46430">
      <w:pPr>
        <w:pStyle w:val="subsection"/>
      </w:pPr>
      <w:r w:rsidRPr="00CD5673">
        <w:tab/>
        <w:t>(9)</w:t>
      </w:r>
      <w:r w:rsidRPr="00CD5673">
        <w:tab/>
        <w:t>The requirement in paragraph 8(b) does not apply if, in a particular month, the licensed trustee company decides it is in the best interests of each account in the common fund that a sale price used for the valuation be one taken later in that month.</w:t>
      </w:r>
    </w:p>
    <w:p w14:paraId="555A53CC" w14:textId="77777777" w:rsidR="00D46430" w:rsidRPr="00CD5673" w:rsidRDefault="00D46430" w:rsidP="00D46430">
      <w:pPr>
        <w:pStyle w:val="SubsectionHead"/>
      </w:pPr>
      <w:r w:rsidRPr="00CD5673">
        <w:t>Realising investments</w:t>
      </w:r>
    </w:p>
    <w:p w14:paraId="054DA981" w14:textId="77777777" w:rsidR="00D46430" w:rsidRPr="00CD5673" w:rsidRDefault="00D46430" w:rsidP="00D46430">
      <w:pPr>
        <w:pStyle w:val="subsection"/>
      </w:pPr>
      <w:r w:rsidRPr="00CD5673">
        <w:tab/>
        <w:t>(10)</w:t>
      </w:r>
      <w:r w:rsidRPr="00CD5673">
        <w:tab/>
        <w:t>A licensed trustee company may sell investments belonging to a common fund.</w:t>
      </w:r>
    </w:p>
    <w:p w14:paraId="0F6C7F06" w14:textId="77777777" w:rsidR="00D46430" w:rsidRPr="00CD5673" w:rsidRDefault="00D46430" w:rsidP="00D46430">
      <w:pPr>
        <w:pStyle w:val="subsection"/>
      </w:pPr>
      <w:r w:rsidRPr="00CD5673">
        <w:tab/>
        <w:t>(11)</w:t>
      </w:r>
      <w:r w:rsidRPr="00CD5673">
        <w:tab/>
        <w:t>A licensed trustee company that has realised an investment in a common fund commits an offence if it does not credit or debit a profit or loss from the investment to the unit holders of the common fund:</w:t>
      </w:r>
    </w:p>
    <w:p w14:paraId="5051D5C1" w14:textId="77777777" w:rsidR="00D46430" w:rsidRPr="00CD5673" w:rsidRDefault="00D46430" w:rsidP="00D46430">
      <w:pPr>
        <w:pStyle w:val="paragraph"/>
      </w:pPr>
      <w:r w:rsidRPr="00CD5673">
        <w:tab/>
        <w:t>(a)</w:t>
      </w:r>
      <w:r w:rsidRPr="00CD5673">
        <w:tab/>
        <w:t>in proportion to the amount invested in the common fund by the unit holders at the time of the realisation; and</w:t>
      </w:r>
    </w:p>
    <w:p w14:paraId="6E823F60" w14:textId="77777777" w:rsidR="00D46430" w:rsidRPr="00CD5673" w:rsidRDefault="00D46430" w:rsidP="00D46430">
      <w:pPr>
        <w:pStyle w:val="paragraph"/>
      </w:pPr>
      <w:r w:rsidRPr="00CD5673">
        <w:tab/>
        <w:t>(b)</w:t>
      </w:r>
      <w:r w:rsidRPr="00CD5673">
        <w:tab/>
        <w:t>within 14 days of the realisation.</w:t>
      </w:r>
    </w:p>
    <w:p w14:paraId="15C64628" w14:textId="77777777" w:rsidR="00D46430" w:rsidRPr="00CD5673" w:rsidRDefault="00D46430" w:rsidP="00D46430">
      <w:pPr>
        <w:pStyle w:val="Penalty"/>
      </w:pPr>
      <w:r w:rsidRPr="00CD5673">
        <w:t>Penalty:</w:t>
      </w:r>
      <w:r w:rsidRPr="00CD5673">
        <w:tab/>
        <w:t>500 penalty units.</w:t>
      </w:r>
    </w:p>
    <w:p w14:paraId="727E1ECE" w14:textId="77777777" w:rsidR="00D46430" w:rsidRPr="00CD5673" w:rsidRDefault="00D46430" w:rsidP="00D46430">
      <w:pPr>
        <w:pStyle w:val="SubsectionHead"/>
      </w:pPr>
      <w:r w:rsidRPr="00CD5673">
        <w:t>Offence for involvement in contravention</w:t>
      </w:r>
    </w:p>
    <w:p w14:paraId="6B70C077" w14:textId="77777777" w:rsidR="00D46430" w:rsidRPr="00CD5673" w:rsidRDefault="00D46430" w:rsidP="00D46430">
      <w:pPr>
        <w:pStyle w:val="subsection"/>
      </w:pPr>
      <w:r w:rsidRPr="00CD5673">
        <w:tab/>
        <w:t>(12)</w:t>
      </w:r>
      <w:r w:rsidRPr="00CD5673">
        <w:tab/>
        <w:t>A person commits an offence if the person is involved in a contravention of subregulation (3), (4), (5), (7), (8) or (11) by a licensed trustee company.</w:t>
      </w:r>
    </w:p>
    <w:p w14:paraId="5F948A57" w14:textId="77777777" w:rsidR="00D46430" w:rsidRPr="00CD5673" w:rsidRDefault="00D46430" w:rsidP="00D46430">
      <w:pPr>
        <w:pStyle w:val="Penalty"/>
      </w:pPr>
      <w:r w:rsidRPr="00CD5673">
        <w:t>Penalty:</w:t>
      </w:r>
    </w:p>
    <w:p w14:paraId="608C2836" w14:textId="77777777" w:rsidR="00D46430" w:rsidRPr="00CD5673" w:rsidRDefault="00D46430" w:rsidP="00D46430">
      <w:pPr>
        <w:pStyle w:val="paragraph"/>
      </w:pPr>
      <w:r w:rsidRPr="00CD5673">
        <w:tab/>
        <w:t>(a)</w:t>
      </w:r>
      <w:r w:rsidRPr="00CD5673">
        <w:tab/>
        <w:t>for an individual—50 penalty units; and</w:t>
      </w:r>
    </w:p>
    <w:p w14:paraId="7BEF7C13" w14:textId="77777777" w:rsidR="00D46430" w:rsidRPr="00CD5673" w:rsidRDefault="00D46430" w:rsidP="00D46430">
      <w:pPr>
        <w:pStyle w:val="paragraph"/>
      </w:pPr>
      <w:r w:rsidRPr="00CD5673">
        <w:tab/>
        <w:t>(b)</w:t>
      </w:r>
      <w:r w:rsidRPr="00CD5673">
        <w:tab/>
        <w:t>for a body corporate—500 penalty units.</w:t>
      </w:r>
    </w:p>
    <w:p w14:paraId="2D77EAA7" w14:textId="77777777" w:rsidR="00D46430" w:rsidRPr="00CD5673" w:rsidRDefault="00D46430" w:rsidP="00D46430">
      <w:pPr>
        <w:pStyle w:val="ActHead5"/>
      </w:pPr>
      <w:bookmarkStart w:id="337" w:name="_Toc158711945"/>
      <w:r w:rsidRPr="00C614F1">
        <w:rPr>
          <w:rStyle w:val="CharSectno"/>
        </w:rPr>
        <w:t>5D.2.07</w:t>
      </w:r>
      <w:r w:rsidRPr="00CD5673">
        <w:t xml:space="preserve">  Register of investments</w:t>
      </w:r>
      <w:bookmarkEnd w:id="337"/>
    </w:p>
    <w:p w14:paraId="6C71C4FC" w14:textId="77777777" w:rsidR="00D46430" w:rsidRPr="00CD5673" w:rsidRDefault="00D46430" w:rsidP="00D46430">
      <w:pPr>
        <w:pStyle w:val="subsection"/>
      </w:pPr>
      <w:r w:rsidRPr="00CD5673">
        <w:tab/>
        <w:t>(1)</w:t>
      </w:r>
      <w:r w:rsidRPr="00CD5673">
        <w:tab/>
        <w:t>A licensed trustee company commits an offence if it does not maintain a register of investments for each common fund in accordance with subregulation (2).</w:t>
      </w:r>
    </w:p>
    <w:p w14:paraId="639ED9DA" w14:textId="77777777" w:rsidR="00D46430" w:rsidRPr="00CD5673" w:rsidRDefault="00D46430" w:rsidP="00D46430">
      <w:pPr>
        <w:pStyle w:val="Penalty"/>
      </w:pPr>
      <w:r w:rsidRPr="00CD5673">
        <w:t>Penalty:</w:t>
      </w:r>
      <w:r w:rsidRPr="00CD5673">
        <w:tab/>
        <w:t>500 penalty units.</w:t>
      </w:r>
    </w:p>
    <w:p w14:paraId="60186605" w14:textId="77777777" w:rsidR="00D46430" w:rsidRPr="00CD5673" w:rsidRDefault="00D46430" w:rsidP="00D46430">
      <w:pPr>
        <w:pStyle w:val="subsection"/>
      </w:pPr>
      <w:r w:rsidRPr="00CD5673">
        <w:tab/>
        <w:t>(2)</w:t>
      </w:r>
      <w:r w:rsidRPr="00CD5673">
        <w:tab/>
        <w:t>The register must contain:</w:t>
      </w:r>
    </w:p>
    <w:p w14:paraId="230EC840" w14:textId="77777777" w:rsidR="00D46430" w:rsidRPr="00CD5673" w:rsidRDefault="00D46430" w:rsidP="00D46430">
      <w:pPr>
        <w:pStyle w:val="paragraph"/>
      </w:pPr>
      <w:r w:rsidRPr="00CD5673">
        <w:tab/>
        <w:t>(a)</w:t>
      </w:r>
      <w:r w:rsidRPr="00CD5673">
        <w:tab/>
        <w:t>a record identifying each investment made by the common fund; and</w:t>
      </w:r>
    </w:p>
    <w:p w14:paraId="09251173" w14:textId="77777777" w:rsidR="00D46430" w:rsidRPr="00CD5673" w:rsidRDefault="00D46430" w:rsidP="00D46430">
      <w:pPr>
        <w:pStyle w:val="paragraph"/>
      </w:pPr>
      <w:r w:rsidRPr="00CD5673">
        <w:tab/>
        <w:t>(b)</w:t>
      </w:r>
      <w:r w:rsidRPr="00CD5673">
        <w:tab/>
        <w:t>details of amounts held to the credit of the common fund.</w:t>
      </w:r>
    </w:p>
    <w:p w14:paraId="6E1B2637" w14:textId="77777777" w:rsidR="00D46430" w:rsidRPr="00CD5673" w:rsidRDefault="00D46430" w:rsidP="00D46430">
      <w:pPr>
        <w:pStyle w:val="notetext"/>
      </w:pPr>
      <w:r w:rsidRPr="00CD5673">
        <w:t>Note:</w:t>
      </w:r>
      <w:r w:rsidRPr="00CD5673">
        <w:tab/>
        <w:t>For other obligations relating to common funds: see section 601SCB of the Act.</w:t>
      </w:r>
    </w:p>
    <w:p w14:paraId="22960A16" w14:textId="77777777" w:rsidR="00D46430" w:rsidRPr="00CD5673" w:rsidRDefault="00D46430" w:rsidP="00D46430">
      <w:pPr>
        <w:pStyle w:val="subsection"/>
      </w:pPr>
      <w:r w:rsidRPr="00CD5673">
        <w:tab/>
        <w:t>(3)</w:t>
      </w:r>
      <w:r w:rsidRPr="00CD5673">
        <w:tab/>
        <w:t>A person commits an offence if the person is involved in a contravention of subregulation (1) by a licensed trustee company.</w:t>
      </w:r>
    </w:p>
    <w:p w14:paraId="710DBC70" w14:textId="77777777" w:rsidR="00D46430" w:rsidRPr="00CD5673" w:rsidRDefault="00D46430" w:rsidP="00D46430">
      <w:pPr>
        <w:pStyle w:val="Penalty"/>
      </w:pPr>
      <w:r w:rsidRPr="00CD5673">
        <w:t>Penalty:</w:t>
      </w:r>
    </w:p>
    <w:p w14:paraId="37031BB6" w14:textId="77777777" w:rsidR="00D46430" w:rsidRPr="00CD5673" w:rsidRDefault="00D46430" w:rsidP="00D46430">
      <w:pPr>
        <w:pStyle w:val="paragraph"/>
      </w:pPr>
      <w:r w:rsidRPr="00CD5673">
        <w:tab/>
        <w:t>(a)</w:t>
      </w:r>
      <w:r w:rsidRPr="00CD5673">
        <w:tab/>
        <w:t>for an individual—50 penalty units; and</w:t>
      </w:r>
    </w:p>
    <w:p w14:paraId="0D4AD4E2" w14:textId="77777777" w:rsidR="00D46430" w:rsidRPr="00CD5673" w:rsidRDefault="00D46430" w:rsidP="00D46430">
      <w:pPr>
        <w:pStyle w:val="paragraph"/>
      </w:pPr>
      <w:r w:rsidRPr="00CD5673">
        <w:tab/>
        <w:t>(b)</w:t>
      </w:r>
      <w:r w:rsidRPr="00CD5673">
        <w:tab/>
        <w:t>for a body corporate—500 penalty units.</w:t>
      </w:r>
    </w:p>
    <w:p w14:paraId="0AD5ABAF" w14:textId="77777777" w:rsidR="00D46430" w:rsidRPr="00CD5673" w:rsidRDefault="00D46430" w:rsidP="00D46430">
      <w:pPr>
        <w:pStyle w:val="ActHead5"/>
      </w:pPr>
      <w:bookmarkStart w:id="338" w:name="_Toc158711946"/>
      <w:r w:rsidRPr="00C614F1">
        <w:rPr>
          <w:rStyle w:val="CharSectno"/>
        </w:rPr>
        <w:t>5D.2.08</w:t>
      </w:r>
      <w:r w:rsidRPr="00CD5673">
        <w:t xml:space="preserve">  Financial reports</w:t>
      </w:r>
      <w:bookmarkEnd w:id="338"/>
    </w:p>
    <w:p w14:paraId="42281A49" w14:textId="77777777" w:rsidR="00D46430" w:rsidRPr="00CD5673" w:rsidRDefault="00D46430" w:rsidP="00D46430">
      <w:pPr>
        <w:pStyle w:val="subsection"/>
      </w:pPr>
      <w:r w:rsidRPr="00CD5673">
        <w:tab/>
        <w:t>(1)</w:t>
      </w:r>
      <w:r w:rsidRPr="00CD5673">
        <w:tab/>
        <w:t>A licensed trustee company must comply with this regulation in relation to each common fund established by the company that is not a registered scheme.</w:t>
      </w:r>
    </w:p>
    <w:p w14:paraId="178547D3" w14:textId="77777777" w:rsidR="00D46430" w:rsidRPr="00CD5673" w:rsidRDefault="00D46430" w:rsidP="00D46430">
      <w:pPr>
        <w:pStyle w:val="SubsectionHead"/>
      </w:pPr>
      <w:r w:rsidRPr="00CD5673">
        <w:lastRenderedPageBreak/>
        <w:t>Account keeping</w:t>
      </w:r>
    </w:p>
    <w:p w14:paraId="6F21334E" w14:textId="77777777" w:rsidR="00D46430" w:rsidRPr="00CD5673" w:rsidRDefault="00D46430" w:rsidP="00D46430">
      <w:pPr>
        <w:pStyle w:val="subsection"/>
      </w:pPr>
      <w:r w:rsidRPr="00CD5673">
        <w:tab/>
        <w:t>(2)</w:t>
      </w:r>
      <w:r w:rsidRPr="00CD5673">
        <w:tab/>
        <w:t>The licensed trustee company commits an offence if it does not keep accounts that:</w:t>
      </w:r>
    </w:p>
    <w:p w14:paraId="67BA2661" w14:textId="77777777" w:rsidR="00D46430" w:rsidRPr="00CD5673" w:rsidRDefault="00D46430" w:rsidP="00D46430">
      <w:pPr>
        <w:pStyle w:val="paragraph"/>
      </w:pPr>
      <w:r w:rsidRPr="00CD5673">
        <w:tab/>
        <w:t>(a)</w:t>
      </w:r>
      <w:r w:rsidRPr="00CD5673">
        <w:tab/>
        <w:t>correctly record and explain its transactions for the common fund and the fund’s financial position and performance; and</w:t>
      </w:r>
    </w:p>
    <w:p w14:paraId="6B5F3891" w14:textId="77777777" w:rsidR="00D46430" w:rsidRPr="00CD5673" w:rsidRDefault="00D46430" w:rsidP="00D46430">
      <w:pPr>
        <w:pStyle w:val="paragraph"/>
      </w:pPr>
      <w:r w:rsidRPr="00CD5673">
        <w:tab/>
        <w:t>(b)</w:t>
      </w:r>
      <w:r w:rsidRPr="00CD5673">
        <w:tab/>
        <w:t>would enable true and fair financial statements to be prepared and audited.</w:t>
      </w:r>
    </w:p>
    <w:p w14:paraId="3F0A1101" w14:textId="77777777" w:rsidR="00D46430" w:rsidRPr="00CD5673" w:rsidRDefault="00D46430" w:rsidP="00D46430">
      <w:pPr>
        <w:pStyle w:val="Penalty"/>
      </w:pPr>
      <w:r w:rsidRPr="00CD5673">
        <w:t>Penalty:</w:t>
      </w:r>
      <w:r w:rsidRPr="00CD5673">
        <w:tab/>
        <w:t>500 penalty units.</w:t>
      </w:r>
    </w:p>
    <w:p w14:paraId="003B36CC" w14:textId="77777777" w:rsidR="00D46430" w:rsidRPr="00CD5673" w:rsidRDefault="00D46430" w:rsidP="00D46430">
      <w:pPr>
        <w:pStyle w:val="SubsectionHead"/>
      </w:pPr>
      <w:r w:rsidRPr="00CD5673">
        <w:t>Auditing</w:t>
      </w:r>
    </w:p>
    <w:p w14:paraId="7AB1E501" w14:textId="77777777" w:rsidR="00D46430" w:rsidRPr="00CD5673" w:rsidRDefault="00D46430" w:rsidP="00D46430">
      <w:pPr>
        <w:pStyle w:val="subsection"/>
      </w:pPr>
      <w:r w:rsidRPr="00CD5673">
        <w:tab/>
        <w:t>(3)</w:t>
      </w:r>
      <w:r w:rsidRPr="00CD5673">
        <w:tab/>
        <w:t>The licensed trustee company commits an offence if it does not:</w:t>
      </w:r>
    </w:p>
    <w:p w14:paraId="15AB60B6" w14:textId="77777777" w:rsidR="00D46430" w:rsidRPr="00CD5673" w:rsidRDefault="00D46430" w:rsidP="00D46430">
      <w:pPr>
        <w:pStyle w:val="paragraph"/>
      </w:pPr>
      <w:r w:rsidRPr="00CD5673">
        <w:tab/>
        <w:t>(a)</w:t>
      </w:r>
      <w:r w:rsidRPr="00CD5673">
        <w:tab/>
        <w:t>have the financial statements for a financial year for the common fund audited by a registered company auditor; and</w:t>
      </w:r>
    </w:p>
    <w:p w14:paraId="6AA9E607" w14:textId="77777777" w:rsidR="00D46430" w:rsidRPr="00CD5673" w:rsidRDefault="00D46430" w:rsidP="00D46430">
      <w:pPr>
        <w:pStyle w:val="paragraph"/>
      </w:pPr>
      <w:r w:rsidRPr="00CD5673">
        <w:tab/>
        <w:t>(b)</w:t>
      </w:r>
      <w:r w:rsidRPr="00CD5673">
        <w:tab/>
        <w:t>obtain an auditor’s report for the financial statements.</w:t>
      </w:r>
    </w:p>
    <w:p w14:paraId="12EA986D" w14:textId="77777777" w:rsidR="00D46430" w:rsidRPr="00CD5673" w:rsidRDefault="00D46430" w:rsidP="00D46430">
      <w:pPr>
        <w:pStyle w:val="Penalty"/>
      </w:pPr>
      <w:r w:rsidRPr="00CD5673">
        <w:t>Penalty:</w:t>
      </w:r>
      <w:r w:rsidRPr="00CD5673">
        <w:tab/>
        <w:t>500 penalty units.</w:t>
      </w:r>
    </w:p>
    <w:p w14:paraId="4CE64711" w14:textId="77777777" w:rsidR="00D46430" w:rsidRPr="00CD5673" w:rsidRDefault="00D46430" w:rsidP="00D46430">
      <w:pPr>
        <w:pStyle w:val="SubsectionHead"/>
      </w:pPr>
      <w:r w:rsidRPr="00CD5673">
        <w:t>Lodging financial statements with ASIC</w:t>
      </w:r>
    </w:p>
    <w:p w14:paraId="39413D3B" w14:textId="77777777" w:rsidR="00D46430" w:rsidRPr="00CD5673" w:rsidRDefault="00D46430" w:rsidP="00D46430">
      <w:pPr>
        <w:pStyle w:val="subsection"/>
      </w:pPr>
      <w:r w:rsidRPr="00CD5673">
        <w:tab/>
        <w:t>(4)</w:t>
      </w:r>
      <w:r w:rsidRPr="00CD5673">
        <w:tab/>
        <w:t>The licensed trustee company commits an offence if it does not lodge the audited financial statements for the fund with ASIC within 3 months of the end of the financial year.</w:t>
      </w:r>
    </w:p>
    <w:p w14:paraId="16D6C30C" w14:textId="77777777" w:rsidR="00D46430" w:rsidRPr="00CD5673" w:rsidRDefault="00D46430" w:rsidP="00D46430">
      <w:pPr>
        <w:pStyle w:val="Penalty"/>
      </w:pPr>
      <w:r w:rsidRPr="00CD5673">
        <w:t>Penalty:</w:t>
      </w:r>
      <w:r w:rsidRPr="00CD5673">
        <w:tab/>
        <w:t>500 penalty units.</w:t>
      </w:r>
    </w:p>
    <w:p w14:paraId="48056931" w14:textId="77777777" w:rsidR="00D46430" w:rsidRPr="00CD5673" w:rsidRDefault="00D46430" w:rsidP="00D46430">
      <w:pPr>
        <w:pStyle w:val="SubsectionHead"/>
      </w:pPr>
      <w:r w:rsidRPr="00CD5673">
        <w:t>Request for financial information</w:t>
      </w:r>
    </w:p>
    <w:p w14:paraId="12A161BB" w14:textId="77777777" w:rsidR="00D46430" w:rsidRPr="00CD5673" w:rsidRDefault="00D46430" w:rsidP="00D46430">
      <w:pPr>
        <w:pStyle w:val="subsection"/>
      </w:pPr>
      <w:r w:rsidRPr="00CD5673">
        <w:tab/>
        <w:t>(5)</w:t>
      </w:r>
      <w:r w:rsidRPr="00CD5673">
        <w:tab/>
        <w:t>A person who is entitled to request an annual information return under subregulation 5D.2.01(3) may request, in writing, that the licensed trustee company provide the information mentioned in subregulation (7).</w:t>
      </w:r>
    </w:p>
    <w:p w14:paraId="542F101C" w14:textId="77777777" w:rsidR="00D46430" w:rsidRPr="00CD5673" w:rsidRDefault="00D46430" w:rsidP="00D46430">
      <w:pPr>
        <w:pStyle w:val="subsection"/>
      </w:pPr>
      <w:r w:rsidRPr="00CD5673">
        <w:tab/>
        <w:t>(6)</w:t>
      </w:r>
      <w:r w:rsidRPr="00CD5673">
        <w:tab/>
        <w:t>The licensed trustee company commits an offence if it does not provide the information mentioned in subregulation (7) to the person within 30 days of receiving the request under subregulation (5).</w:t>
      </w:r>
    </w:p>
    <w:p w14:paraId="2C89DF76" w14:textId="77777777" w:rsidR="00D46430" w:rsidRPr="00CD5673" w:rsidRDefault="00D46430" w:rsidP="00D46430">
      <w:pPr>
        <w:pStyle w:val="Penalty"/>
      </w:pPr>
      <w:r w:rsidRPr="00CD5673">
        <w:t>Penalty:</w:t>
      </w:r>
      <w:r w:rsidRPr="00CD5673">
        <w:tab/>
        <w:t>500 penalty units.</w:t>
      </w:r>
    </w:p>
    <w:p w14:paraId="404E6AD0" w14:textId="77777777" w:rsidR="00D46430" w:rsidRPr="00CD5673" w:rsidRDefault="00D46430" w:rsidP="00D46430">
      <w:pPr>
        <w:pStyle w:val="subsection"/>
      </w:pPr>
      <w:r w:rsidRPr="00CD5673">
        <w:tab/>
        <w:t>(7)</w:t>
      </w:r>
      <w:r w:rsidRPr="00CD5673">
        <w:tab/>
        <w:t>The information that must be provided is:</w:t>
      </w:r>
    </w:p>
    <w:p w14:paraId="1B648934" w14:textId="77777777" w:rsidR="00D46430" w:rsidRPr="00CD5673" w:rsidRDefault="00D46430" w:rsidP="00D46430">
      <w:pPr>
        <w:pStyle w:val="paragraph"/>
      </w:pPr>
      <w:r w:rsidRPr="00CD5673">
        <w:tab/>
        <w:t>(a)</w:t>
      </w:r>
      <w:r w:rsidRPr="00CD5673">
        <w:tab/>
        <w:t>a copy of the common fund’s financial statements and audit report; and</w:t>
      </w:r>
    </w:p>
    <w:p w14:paraId="7AF048FC" w14:textId="77777777" w:rsidR="00D46430" w:rsidRPr="00CD5673" w:rsidRDefault="00D46430" w:rsidP="00D46430">
      <w:pPr>
        <w:pStyle w:val="paragraph"/>
      </w:pPr>
      <w:r w:rsidRPr="00CD5673">
        <w:tab/>
        <w:t>(b)</w:t>
      </w:r>
      <w:r w:rsidRPr="00CD5673">
        <w:tab/>
        <w:t>the classes of investments in which the common fund is invested and how the investment is divided between each class; and</w:t>
      </w:r>
    </w:p>
    <w:p w14:paraId="6F2CD51E" w14:textId="77777777" w:rsidR="00D46430" w:rsidRPr="00CD5673" w:rsidRDefault="00D46430" w:rsidP="00D46430">
      <w:pPr>
        <w:pStyle w:val="paragraph"/>
      </w:pPr>
      <w:r w:rsidRPr="00CD5673">
        <w:tab/>
        <w:t>(c)</w:t>
      </w:r>
      <w:r w:rsidRPr="00CD5673">
        <w:tab/>
        <w:t>the trustee company’s investment strategy for the common fund.</w:t>
      </w:r>
    </w:p>
    <w:p w14:paraId="25F8DD8E" w14:textId="77777777" w:rsidR="00D46430" w:rsidRPr="00CD5673" w:rsidRDefault="00D46430" w:rsidP="00D46430">
      <w:pPr>
        <w:pStyle w:val="SubsectionHead"/>
      </w:pPr>
      <w:r w:rsidRPr="00CD5673">
        <w:t>Offence for involvement in contravention</w:t>
      </w:r>
    </w:p>
    <w:p w14:paraId="57585B97" w14:textId="77777777" w:rsidR="00D46430" w:rsidRPr="00CD5673" w:rsidRDefault="00D46430" w:rsidP="00D46430">
      <w:pPr>
        <w:pStyle w:val="subsection"/>
      </w:pPr>
      <w:r w:rsidRPr="00CD5673">
        <w:tab/>
        <w:t>(8)</w:t>
      </w:r>
      <w:r w:rsidRPr="00CD5673">
        <w:tab/>
        <w:t>A person commits an offence if the person is involved in a contravention of subregulation (2), (3), (4), or (6) by a licensed trustee company.</w:t>
      </w:r>
    </w:p>
    <w:p w14:paraId="73BE82E0" w14:textId="77777777" w:rsidR="00D46430" w:rsidRPr="00CD5673" w:rsidRDefault="00D46430" w:rsidP="00D46430">
      <w:pPr>
        <w:pStyle w:val="Penalty"/>
      </w:pPr>
      <w:r w:rsidRPr="00CD5673">
        <w:t>Penalty:</w:t>
      </w:r>
    </w:p>
    <w:p w14:paraId="6EAFAF1A" w14:textId="77777777" w:rsidR="00D46430" w:rsidRPr="00CD5673" w:rsidRDefault="00D46430" w:rsidP="00D46430">
      <w:pPr>
        <w:pStyle w:val="paragraph"/>
      </w:pPr>
      <w:r w:rsidRPr="00CD5673">
        <w:tab/>
        <w:t>(a)</w:t>
      </w:r>
      <w:r w:rsidRPr="00CD5673">
        <w:tab/>
        <w:t>for an individual—50 penalty units; and</w:t>
      </w:r>
    </w:p>
    <w:p w14:paraId="64DD6FA8" w14:textId="77777777" w:rsidR="00D46430" w:rsidRPr="00CD5673" w:rsidRDefault="00D46430" w:rsidP="00D46430">
      <w:pPr>
        <w:pStyle w:val="paragraph"/>
      </w:pPr>
      <w:r w:rsidRPr="00CD5673">
        <w:tab/>
        <w:t>(b)</w:t>
      </w:r>
      <w:r w:rsidRPr="00CD5673">
        <w:tab/>
        <w:t>for a body corporate—500 penalty units.</w:t>
      </w:r>
    </w:p>
    <w:p w14:paraId="1E115993" w14:textId="77777777" w:rsidR="00D46430" w:rsidRPr="00CD5673" w:rsidRDefault="00D46430" w:rsidP="00D46430">
      <w:pPr>
        <w:pStyle w:val="ActHead2"/>
        <w:pageBreakBefore/>
      </w:pPr>
      <w:bookmarkStart w:id="339" w:name="_Toc158711947"/>
      <w:r w:rsidRPr="00C614F1">
        <w:rPr>
          <w:rStyle w:val="CharPartNo"/>
        </w:rPr>
        <w:lastRenderedPageBreak/>
        <w:t>Part 5D.3</w:t>
      </w:r>
      <w:r w:rsidRPr="00CD5673">
        <w:t>—</w:t>
      </w:r>
      <w:r w:rsidRPr="00C614F1">
        <w:rPr>
          <w:rStyle w:val="CharPartText"/>
        </w:rPr>
        <w:t>Regulation of fees charged by licensed trustee companies</w:t>
      </w:r>
      <w:bookmarkEnd w:id="339"/>
    </w:p>
    <w:p w14:paraId="1AA61234"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70151866" w14:textId="77777777" w:rsidR="00D46430" w:rsidRPr="00CD5673" w:rsidRDefault="00D46430" w:rsidP="00D46430">
      <w:pPr>
        <w:pStyle w:val="ActHead5"/>
      </w:pPr>
      <w:bookmarkStart w:id="340" w:name="_Toc158711948"/>
      <w:r w:rsidRPr="00C614F1">
        <w:rPr>
          <w:rStyle w:val="CharSectno"/>
        </w:rPr>
        <w:t>5D.3.01</w:t>
      </w:r>
      <w:r w:rsidRPr="00CD5673">
        <w:t xml:space="preserve">  Modification of section 601TAB of the Act: disclosure to clients of changed fees</w:t>
      </w:r>
      <w:bookmarkEnd w:id="340"/>
    </w:p>
    <w:p w14:paraId="7455F424" w14:textId="77777777" w:rsidR="00D46430" w:rsidRPr="00CD5673" w:rsidRDefault="00D46430" w:rsidP="00D46430">
      <w:pPr>
        <w:pStyle w:val="subsection"/>
      </w:pPr>
      <w:r w:rsidRPr="00CD5673">
        <w:tab/>
      </w:r>
      <w:r w:rsidRPr="00CD5673">
        <w:tab/>
        <w:t>For paragraph 601YAB(1)(b) of the Act, Chapter 5D of the Act applies as if section 601TAB of the Act were modified by inserting after subsection (3) the following subsections:</w:t>
      </w:r>
    </w:p>
    <w:p w14:paraId="20840948" w14:textId="77777777" w:rsidR="00D46430" w:rsidRPr="00CD5673" w:rsidRDefault="00D46430" w:rsidP="00D46430">
      <w:pPr>
        <w:pStyle w:val="subsection"/>
      </w:pPr>
      <w:r w:rsidRPr="00CD5673">
        <w:tab/>
        <w:t>‘(4)</w:t>
      </w:r>
      <w:r w:rsidRPr="00CD5673">
        <w:tab/>
        <w:t>A licensed trustee company is not required to comply with paragraph (1)(a) or (b) or (3)(a) in relation to a client who is a lost client, or an agent who is a lost agent.</w:t>
      </w:r>
    </w:p>
    <w:p w14:paraId="0464E0E8" w14:textId="77777777" w:rsidR="00D46430" w:rsidRPr="00CD5673" w:rsidRDefault="00D46430" w:rsidP="00D46430">
      <w:pPr>
        <w:pStyle w:val="subsection"/>
      </w:pPr>
      <w:r w:rsidRPr="00CD5673">
        <w:tab/>
        <w:t>(5)</w:t>
      </w:r>
      <w:r w:rsidRPr="00CD5673">
        <w:tab/>
        <w:t>In subsection (4):</w:t>
      </w:r>
    </w:p>
    <w:p w14:paraId="2D14DE47" w14:textId="77777777" w:rsidR="00D46430" w:rsidRPr="00CD5673" w:rsidRDefault="00D46430" w:rsidP="00D46430">
      <w:pPr>
        <w:pStyle w:val="Definition"/>
      </w:pPr>
      <w:r w:rsidRPr="00CD5673">
        <w:rPr>
          <w:b/>
          <w:i/>
        </w:rPr>
        <w:t>lost client</w:t>
      </w:r>
      <w:r w:rsidRPr="00CD5673">
        <w:t xml:space="preserve"> means a client who, at a particular time, is uncontactable.</w:t>
      </w:r>
    </w:p>
    <w:p w14:paraId="14A013E6" w14:textId="77777777" w:rsidR="00D46430" w:rsidRPr="00CD5673" w:rsidRDefault="00D46430" w:rsidP="00D46430">
      <w:pPr>
        <w:pStyle w:val="Definition"/>
      </w:pPr>
      <w:r w:rsidRPr="00CD5673">
        <w:rPr>
          <w:b/>
          <w:i/>
        </w:rPr>
        <w:t>lost agent</w:t>
      </w:r>
      <w:r w:rsidRPr="00CD5673">
        <w:t xml:space="preserve"> means an agent who, at a particular time, is uncontactable.</w:t>
      </w:r>
    </w:p>
    <w:p w14:paraId="5C282AAE" w14:textId="77777777" w:rsidR="00D46430" w:rsidRPr="00CD5673" w:rsidRDefault="00D46430" w:rsidP="00D46430">
      <w:pPr>
        <w:pStyle w:val="subsection"/>
      </w:pPr>
      <w:r w:rsidRPr="00CD5673">
        <w:tab/>
        <w:t>(6)</w:t>
      </w:r>
      <w:r w:rsidRPr="00CD5673">
        <w:tab/>
        <w:t>In subsection (5):</w:t>
      </w:r>
    </w:p>
    <w:p w14:paraId="0BFA4409" w14:textId="77777777" w:rsidR="00D46430" w:rsidRPr="00CD5673" w:rsidRDefault="00D46430" w:rsidP="00D46430">
      <w:pPr>
        <w:pStyle w:val="Definition"/>
      </w:pPr>
      <w:r w:rsidRPr="00CD5673">
        <w:rPr>
          <w:b/>
          <w:i/>
        </w:rPr>
        <w:t>uncontactable</w:t>
      </w:r>
      <w:r w:rsidRPr="00CD5673">
        <w:t>, in relation to a person who is a client or an agent of a licensed trustee company, means:</w:t>
      </w:r>
    </w:p>
    <w:p w14:paraId="1B10B330" w14:textId="77777777" w:rsidR="00D46430" w:rsidRPr="00CD5673" w:rsidRDefault="00D46430" w:rsidP="00D46430">
      <w:pPr>
        <w:pStyle w:val="paragraph"/>
      </w:pPr>
      <w:r w:rsidRPr="00CD5673">
        <w:tab/>
        <w:t>(a)</w:t>
      </w:r>
      <w:r w:rsidRPr="00CD5673">
        <w:tab/>
        <w:t>the licensed trustee company:</w:t>
      </w:r>
    </w:p>
    <w:p w14:paraId="6AB6E877" w14:textId="77777777" w:rsidR="00D46430" w:rsidRPr="00CD5673" w:rsidRDefault="00D46430" w:rsidP="00D46430">
      <w:pPr>
        <w:pStyle w:val="paragraphsub"/>
      </w:pPr>
      <w:r w:rsidRPr="00CD5673">
        <w:tab/>
        <w:t>(i)</w:t>
      </w:r>
      <w:r w:rsidRPr="00CD5673">
        <w:tab/>
        <w:t>never had an address for the person; or</w:t>
      </w:r>
    </w:p>
    <w:p w14:paraId="060107A2" w14:textId="77777777" w:rsidR="00D46430" w:rsidRPr="00CD5673" w:rsidRDefault="00D46430" w:rsidP="00D46430">
      <w:pPr>
        <w:pStyle w:val="paragraphsub"/>
      </w:pPr>
      <w:r w:rsidRPr="00CD5673">
        <w:tab/>
        <w:t>(ii)</w:t>
      </w:r>
      <w:r w:rsidRPr="00CD5673">
        <w:tab/>
        <w:t>sent at least 1 written communication to the person’s last known address which was returned unclaimed and the person has not, since the communication, given the company a contact address; and</w:t>
      </w:r>
    </w:p>
    <w:p w14:paraId="708E82A1" w14:textId="77777777" w:rsidR="00D46430" w:rsidRPr="00CD5673" w:rsidRDefault="00D46430" w:rsidP="00D46430">
      <w:pPr>
        <w:pStyle w:val="paragraph"/>
      </w:pPr>
      <w:r w:rsidRPr="00CD5673">
        <w:tab/>
        <w:t>(b)</w:t>
      </w:r>
      <w:r w:rsidRPr="00CD5673">
        <w:tab/>
        <w:t>if the person is an agent, the licensed trustee company made a reasonable attempt to get the agent’s address from the agent’s client or the client’s carers.’</w:t>
      </w:r>
    </w:p>
    <w:p w14:paraId="26363DD8" w14:textId="77777777" w:rsidR="00D46430" w:rsidRPr="00CD5673" w:rsidRDefault="00D46430" w:rsidP="00D46430">
      <w:pPr>
        <w:pStyle w:val="ActHead2"/>
        <w:pageBreakBefore/>
      </w:pPr>
      <w:bookmarkStart w:id="341" w:name="_Toc158711949"/>
      <w:r w:rsidRPr="00C614F1">
        <w:rPr>
          <w:rStyle w:val="CharPartNo"/>
        </w:rPr>
        <w:lastRenderedPageBreak/>
        <w:t>Part 5D.4</w:t>
      </w:r>
      <w:r w:rsidRPr="00CD5673">
        <w:t>—</w:t>
      </w:r>
      <w:r w:rsidRPr="00C614F1">
        <w:rPr>
          <w:rStyle w:val="CharPartText"/>
        </w:rPr>
        <w:t>Obligations of receiving company after transfer</w:t>
      </w:r>
      <w:bookmarkEnd w:id="341"/>
    </w:p>
    <w:p w14:paraId="09EF5BEB"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EA5EEAF" w14:textId="77777777" w:rsidR="00D46430" w:rsidRPr="00CD5673" w:rsidRDefault="00D46430" w:rsidP="00D46430">
      <w:pPr>
        <w:pStyle w:val="ActHead5"/>
      </w:pPr>
      <w:bookmarkStart w:id="342" w:name="_Toc158711950"/>
      <w:r w:rsidRPr="00C614F1">
        <w:rPr>
          <w:rStyle w:val="CharSectno"/>
        </w:rPr>
        <w:t>5D.4.01</w:t>
      </w:r>
      <w:r w:rsidRPr="00CD5673">
        <w:t xml:space="preserve">  Preserving rights under dispute resolution systems and </w:t>
      </w:r>
      <w:r w:rsidR="00BD4347" w:rsidRPr="00BD4347">
        <w:t>arrangements for compensation</w:t>
      </w:r>
      <w:bookmarkEnd w:id="342"/>
    </w:p>
    <w:p w14:paraId="7EC27EC5" w14:textId="77777777" w:rsidR="00D46430" w:rsidRPr="00CD5673" w:rsidRDefault="00D46430" w:rsidP="00D46430">
      <w:pPr>
        <w:pStyle w:val="subsection"/>
      </w:pPr>
      <w:r w:rsidRPr="00CD5673">
        <w:tab/>
        <w:t>(1)</w:t>
      </w:r>
      <w:r w:rsidRPr="00CD5673">
        <w:tab/>
        <w:t>This regulation applies if ASIC makes a determination under subsection 601WBA(1) of the Act that there is to be a transfer of estate assets and liabilities from a transferring company to a receiving company.</w:t>
      </w:r>
    </w:p>
    <w:p w14:paraId="06864B8C" w14:textId="77777777" w:rsidR="00BD4347" w:rsidRPr="00BE1284" w:rsidRDefault="00BD4347" w:rsidP="00BD4347">
      <w:pPr>
        <w:pStyle w:val="subsection"/>
      </w:pPr>
      <w:r w:rsidRPr="00BE1284">
        <w:tab/>
        <w:t>(2)</w:t>
      </w:r>
      <w:r w:rsidRPr="00BE1284">
        <w:tab/>
        <w:t>For the purposes of section 601SAB of the Act, the obligations of the receiving company include the provision to retail clients of access to the following in relation to a complaint arising from the provision of traditional trustee services by the transferring company:</w:t>
      </w:r>
    </w:p>
    <w:p w14:paraId="690CF6A0" w14:textId="77777777" w:rsidR="00BD4347" w:rsidRPr="00BE1284" w:rsidRDefault="00BD4347" w:rsidP="00BD4347">
      <w:pPr>
        <w:pStyle w:val="paragraph"/>
      </w:pPr>
      <w:r w:rsidRPr="00BE1284">
        <w:tab/>
        <w:t>(a)</w:t>
      </w:r>
      <w:r w:rsidRPr="00BE1284">
        <w:tab/>
        <w:t xml:space="preserve">the arrangements for compensation the receiving company is required to have under </w:t>
      </w:r>
      <w:r>
        <w:t>subsection 9</w:t>
      </w:r>
      <w:r w:rsidRPr="00BE1284">
        <w:t>12B(1) of the Act;</w:t>
      </w:r>
    </w:p>
    <w:p w14:paraId="315E3DE1" w14:textId="77777777" w:rsidR="00BD4347" w:rsidRDefault="00BD4347" w:rsidP="00BD4347">
      <w:pPr>
        <w:pStyle w:val="paragraph"/>
        <w:rPr>
          <w:shd w:val="clear" w:color="auto" w:fill="FFFFFF"/>
        </w:rPr>
      </w:pPr>
      <w:r w:rsidRPr="00BE1284">
        <w:rPr>
          <w:shd w:val="clear" w:color="auto" w:fill="FFFFFF"/>
        </w:rPr>
        <w:tab/>
        <w:t>(b)</w:t>
      </w:r>
      <w:r w:rsidRPr="00BE1284">
        <w:rPr>
          <w:shd w:val="clear" w:color="auto" w:fill="FFFFFF"/>
        </w:rPr>
        <w:tab/>
        <w:t xml:space="preserve">the dispute resolution system the receiving company is required to have under </w:t>
      </w:r>
      <w:r>
        <w:rPr>
          <w:shd w:val="clear" w:color="auto" w:fill="FFFFFF"/>
        </w:rPr>
        <w:t>subparagraph 9</w:t>
      </w:r>
      <w:r w:rsidRPr="00BE1284">
        <w:rPr>
          <w:shd w:val="clear" w:color="auto" w:fill="FFFFFF"/>
        </w:rPr>
        <w:t>12A(1)(g)</w:t>
      </w:r>
      <w:r>
        <w:rPr>
          <w:shd w:val="clear" w:color="auto" w:fill="FFFFFF"/>
        </w:rPr>
        <w:t>(i)</w:t>
      </w:r>
      <w:r w:rsidRPr="00BE1284">
        <w:rPr>
          <w:shd w:val="clear" w:color="auto" w:fill="FFFFFF"/>
        </w:rPr>
        <w:t xml:space="preserve"> of the Act.</w:t>
      </w:r>
    </w:p>
    <w:p w14:paraId="0778ADD8" w14:textId="77777777" w:rsidR="00D46430" w:rsidRPr="00CD5673" w:rsidRDefault="00D46430" w:rsidP="00D46430">
      <w:pPr>
        <w:pStyle w:val="ActHead1"/>
        <w:pageBreakBefore/>
      </w:pPr>
      <w:bookmarkStart w:id="343" w:name="_Toc158711951"/>
      <w:r w:rsidRPr="00C614F1">
        <w:rPr>
          <w:rStyle w:val="CharChapNo"/>
        </w:rPr>
        <w:lastRenderedPageBreak/>
        <w:t>Chapter 6</w:t>
      </w:r>
      <w:r w:rsidRPr="00CD5673">
        <w:t>—</w:t>
      </w:r>
      <w:r w:rsidRPr="00C614F1">
        <w:rPr>
          <w:rStyle w:val="CharChapText"/>
        </w:rPr>
        <w:t>Takeovers</w:t>
      </w:r>
      <w:bookmarkEnd w:id="343"/>
    </w:p>
    <w:p w14:paraId="3BB1E76C" w14:textId="77777777" w:rsidR="00D46430" w:rsidRPr="00CD5673" w:rsidRDefault="00D46430" w:rsidP="00D46430">
      <w:pPr>
        <w:pStyle w:val="ActHead2"/>
      </w:pPr>
      <w:bookmarkStart w:id="344" w:name="_Toc158711952"/>
      <w:r w:rsidRPr="00C614F1">
        <w:rPr>
          <w:rStyle w:val="CharPartNo"/>
        </w:rPr>
        <w:t>Part 6.2</w:t>
      </w:r>
      <w:r w:rsidRPr="00CD5673">
        <w:t>—</w:t>
      </w:r>
      <w:r w:rsidRPr="00C614F1">
        <w:rPr>
          <w:rStyle w:val="CharPartText"/>
        </w:rPr>
        <w:t>Exceptions to the prohibition</w:t>
      </w:r>
      <w:bookmarkEnd w:id="344"/>
    </w:p>
    <w:p w14:paraId="3307FDAA"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549B3E05" w14:textId="77777777" w:rsidR="00D46430" w:rsidRPr="00CD5673" w:rsidRDefault="00D46430" w:rsidP="00D46430">
      <w:pPr>
        <w:pStyle w:val="ActHead5"/>
      </w:pPr>
      <w:bookmarkStart w:id="345" w:name="_Toc158711953"/>
      <w:r w:rsidRPr="00C614F1">
        <w:rPr>
          <w:rStyle w:val="CharSectno"/>
        </w:rPr>
        <w:t>6.2.01A</w:t>
      </w:r>
      <w:r w:rsidRPr="00CD5673">
        <w:t xml:space="preserve">  Prescribed requirements</w:t>
      </w:r>
      <w:bookmarkEnd w:id="345"/>
    </w:p>
    <w:p w14:paraId="62A728CB" w14:textId="77777777" w:rsidR="00D46430" w:rsidRPr="00CD5673" w:rsidRDefault="00D46430" w:rsidP="00D46430">
      <w:pPr>
        <w:pStyle w:val="subsection"/>
      </w:pPr>
      <w:r w:rsidRPr="00CD5673">
        <w:tab/>
      </w:r>
      <w:r w:rsidRPr="00CD5673">
        <w:tab/>
        <w:t>For the purposes of paragraph (b) of item 19A of the table in section 611 of the Act, the requirement that the company is an eligible CSF company at the time of the acquisition of the relevant interest is prescribed.</w:t>
      </w:r>
    </w:p>
    <w:p w14:paraId="41D4F1ED" w14:textId="77777777" w:rsidR="00D46430" w:rsidRPr="00CD5673" w:rsidRDefault="00D46430" w:rsidP="00D46430">
      <w:pPr>
        <w:pStyle w:val="ActHead5"/>
      </w:pPr>
      <w:bookmarkStart w:id="346" w:name="_Toc158711954"/>
      <w:r w:rsidRPr="00C614F1">
        <w:rPr>
          <w:rStyle w:val="CharSectno"/>
        </w:rPr>
        <w:t>6.2.01</w:t>
      </w:r>
      <w:r w:rsidRPr="00CD5673">
        <w:t xml:space="preserve">  Prescribed circumstances (Act s 611)</w:t>
      </w:r>
      <w:bookmarkEnd w:id="346"/>
    </w:p>
    <w:p w14:paraId="2151E671" w14:textId="77777777" w:rsidR="00D46430" w:rsidRPr="00CD5673" w:rsidRDefault="00D46430" w:rsidP="00D46430">
      <w:pPr>
        <w:pStyle w:val="subsection"/>
      </w:pPr>
      <w:r w:rsidRPr="00CD5673">
        <w:tab/>
      </w:r>
      <w:r w:rsidRPr="00CD5673">
        <w:tab/>
        <w:t>For item 20 in the table in section 611 of the Act, the acquisition of a relevant interest in voting shares in a following body corporate is prescribed:</w:t>
      </w:r>
    </w:p>
    <w:p w14:paraId="5E02529E" w14:textId="77777777" w:rsidR="00D46430" w:rsidRPr="00CD5673" w:rsidRDefault="00D46430" w:rsidP="00D46430">
      <w:pPr>
        <w:pStyle w:val="paragraph"/>
      </w:pPr>
      <w:r w:rsidRPr="00CD5673">
        <w:tab/>
        <w:t>(a)</w:t>
      </w:r>
      <w:r w:rsidRPr="00CD5673">
        <w:tab/>
        <w:t>a body corporate that is incorporated within Australia or an external Territory and is a public authority or an instrumentality or agency of the Crown in right of a State or Territory;</w:t>
      </w:r>
    </w:p>
    <w:p w14:paraId="1A2861E0" w14:textId="77777777" w:rsidR="00D46430" w:rsidRPr="00CD5673" w:rsidRDefault="00D46430" w:rsidP="00D46430">
      <w:pPr>
        <w:pStyle w:val="paragraph"/>
      </w:pPr>
      <w:r w:rsidRPr="00CD5673">
        <w:tab/>
        <w:t>(b)</w:t>
      </w:r>
      <w:r w:rsidRPr="00CD5673">
        <w:tab/>
        <w:t>a corporation sole;</w:t>
      </w:r>
    </w:p>
    <w:p w14:paraId="1A3F8620" w14:textId="77777777" w:rsidR="00D46430" w:rsidRPr="00CD5673" w:rsidRDefault="00D46430" w:rsidP="00D46430">
      <w:pPr>
        <w:pStyle w:val="paragraph"/>
      </w:pPr>
      <w:r w:rsidRPr="00CD5673">
        <w:tab/>
        <w:t>(f)</w:t>
      </w:r>
      <w:r w:rsidRPr="00CD5673">
        <w:tab/>
        <w:t xml:space="preserve">a foreign company or recognised company in respect of which an exemption from compliance with subsection 61(1) of the </w:t>
      </w:r>
      <w:r w:rsidRPr="00CD5673">
        <w:rPr>
          <w:i/>
        </w:rPr>
        <w:t>Co</w:t>
      </w:r>
      <w:r w:rsidR="00C614F1">
        <w:rPr>
          <w:i/>
        </w:rPr>
        <w:noBreakHyphen/>
      </w:r>
      <w:r w:rsidRPr="00CD5673">
        <w:rPr>
          <w:i/>
        </w:rPr>
        <w:t xml:space="preserve">operation Act 1923 </w:t>
      </w:r>
      <w:r w:rsidRPr="00CD5673">
        <w:t>of New South Wales is in force;</w:t>
      </w:r>
    </w:p>
    <w:p w14:paraId="12093280" w14:textId="77777777" w:rsidR="00D46430" w:rsidRPr="00CD5673" w:rsidRDefault="00D46430" w:rsidP="00D46430">
      <w:pPr>
        <w:pStyle w:val="paragraph"/>
      </w:pPr>
      <w:r w:rsidRPr="00CD5673">
        <w:tab/>
        <w:t>(g)</w:t>
      </w:r>
      <w:r w:rsidRPr="00CD5673">
        <w:tab/>
        <w:t xml:space="preserve">a society within the meaning of </w:t>
      </w:r>
      <w:r w:rsidRPr="00CD5673">
        <w:rPr>
          <w:i/>
        </w:rPr>
        <w:t>The Co</w:t>
      </w:r>
      <w:r w:rsidR="00C614F1">
        <w:rPr>
          <w:i/>
        </w:rPr>
        <w:noBreakHyphen/>
      </w:r>
      <w:r w:rsidRPr="00CD5673">
        <w:rPr>
          <w:i/>
        </w:rPr>
        <w:t xml:space="preserve">operative and Other Societies Act of 1967 </w:t>
      </w:r>
      <w:r w:rsidRPr="00CD5673">
        <w:t xml:space="preserve">or </w:t>
      </w:r>
      <w:r w:rsidRPr="00CD5673">
        <w:rPr>
          <w:i/>
        </w:rPr>
        <w:t>The Co</w:t>
      </w:r>
      <w:r w:rsidR="00C614F1">
        <w:rPr>
          <w:i/>
        </w:rPr>
        <w:noBreakHyphen/>
      </w:r>
      <w:r w:rsidRPr="00CD5673">
        <w:rPr>
          <w:i/>
        </w:rPr>
        <w:t xml:space="preserve">operative Housing Societies Act of 1958 </w:t>
      </w:r>
      <w:r w:rsidRPr="00CD5673">
        <w:t>of Queensland;</w:t>
      </w:r>
    </w:p>
    <w:p w14:paraId="05E306CF" w14:textId="77777777" w:rsidR="00D46430" w:rsidRPr="00CD5673" w:rsidRDefault="00D46430" w:rsidP="00D46430">
      <w:pPr>
        <w:pStyle w:val="paragraph"/>
      </w:pPr>
      <w:r w:rsidRPr="00CD5673">
        <w:tab/>
        <w:t>(i)</w:t>
      </w:r>
      <w:r w:rsidRPr="00CD5673">
        <w:tab/>
        <w:t xml:space="preserve">an association within the meaning of </w:t>
      </w:r>
      <w:r w:rsidRPr="00CD5673">
        <w:rPr>
          <w:i/>
        </w:rPr>
        <w:t>The Primary Producers’ Co</w:t>
      </w:r>
      <w:r w:rsidR="00C614F1">
        <w:rPr>
          <w:i/>
        </w:rPr>
        <w:noBreakHyphen/>
      </w:r>
      <w:r w:rsidRPr="00CD5673">
        <w:rPr>
          <w:i/>
        </w:rPr>
        <w:t xml:space="preserve">operative Associations Act of 1923 </w:t>
      </w:r>
      <w:r w:rsidRPr="00CD5673">
        <w:t>of Queensland;</w:t>
      </w:r>
    </w:p>
    <w:p w14:paraId="7188F06A" w14:textId="77777777" w:rsidR="00D46430" w:rsidRPr="00CD5673" w:rsidRDefault="00D46430" w:rsidP="00D46430">
      <w:pPr>
        <w:pStyle w:val="paragraph"/>
      </w:pPr>
      <w:r w:rsidRPr="00CD5673">
        <w:tab/>
        <w:t>(j)</w:t>
      </w:r>
      <w:r w:rsidRPr="00CD5673">
        <w:tab/>
        <w:t xml:space="preserve">an association, society, institution or body incorporated under the </w:t>
      </w:r>
      <w:r w:rsidRPr="00CD5673">
        <w:rPr>
          <w:i/>
        </w:rPr>
        <w:t xml:space="preserve">Associations Incorporation Act 1981 </w:t>
      </w:r>
      <w:r w:rsidRPr="00CD5673">
        <w:t>of Queensland;</w:t>
      </w:r>
    </w:p>
    <w:p w14:paraId="2D7BFBB5" w14:textId="77777777" w:rsidR="00D46430" w:rsidRPr="00CD5673" w:rsidRDefault="00D46430" w:rsidP="00D46430">
      <w:pPr>
        <w:pStyle w:val="paragraph"/>
      </w:pPr>
      <w:r w:rsidRPr="00CD5673">
        <w:tab/>
        <w:t>(k)</w:t>
      </w:r>
      <w:r w:rsidRPr="00CD5673">
        <w:tab/>
        <w:t>a body incorporated or deemed to be incorporated by or under a law of South Australia other than the Corporations Law of South Australia, the Companies Code (South Australia) or a corresponding previous enactment of South Australia;</w:t>
      </w:r>
    </w:p>
    <w:p w14:paraId="0874297F" w14:textId="77777777" w:rsidR="00D46430" w:rsidRPr="00CD5673" w:rsidRDefault="00D46430" w:rsidP="00D46430">
      <w:pPr>
        <w:pStyle w:val="paragraph"/>
      </w:pPr>
      <w:r w:rsidRPr="00CD5673">
        <w:tab/>
        <w:t>(l)</w:t>
      </w:r>
      <w:r w:rsidRPr="00CD5673">
        <w:tab/>
        <w:t xml:space="preserve">a society (other than a society that is a financial institution) within the meaning of section 5 of the </w:t>
      </w:r>
      <w:r w:rsidRPr="00CD5673">
        <w:rPr>
          <w:i/>
        </w:rPr>
        <w:t xml:space="preserve">Building Societies Act 1976 </w:t>
      </w:r>
      <w:r w:rsidRPr="00CD5673">
        <w:t>of Western Australia;</w:t>
      </w:r>
    </w:p>
    <w:p w14:paraId="6B689F56" w14:textId="77777777" w:rsidR="00D46430" w:rsidRPr="00CD5673" w:rsidRDefault="00D46430" w:rsidP="00D46430">
      <w:pPr>
        <w:pStyle w:val="paragraph"/>
      </w:pPr>
      <w:r w:rsidRPr="00CD5673">
        <w:tab/>
        <w:t>(n)</w:t>
      </w:r>
      <w:r w:rsidRPr="00CD5673">
        <w:tab/>
        <w:t>a co</w:t>
      </w:r>
      <w:r w:rsidR="00C614F1">
        <w:noBreakHyphen/>
      </w:r>
      <w:r w:rsidRPr="00CD5673">
        <w:t xml:space="preserve">operative company registered under Part VI of the </w:t>
      </w:r>
      <w:r w:rsidRPr="00CD5673">
        <w:rPr>
          <w:i/>
        </w:rPr>
        <w:t>Companies (Co</w:t>
      </w:r>
      <w:r w:rsidR="00C614F1">
        <w:rPr>
          <w:i/>
        </w:rPr>
        <w:noBreakHyphen/>
      </w:r>
      <w:r w:rsidRPr="00CD5673">
        <w:rPr>
          <w:i/>
        </w:rPr>
        <w:t xml:space="preserve">operative) Act 1943 </w:t>
      </w:r>
      <w:r w:rsidRPr="00CD5673">
        <w:t>or a corresponding previous enactment of Western Australia;</w:t>
      </w:r>
    </w:p>
    <w:p w14:paraId="27B59AE8" w14:textId="77777777" w:rsidR="00D46430" w:rsidRPr="00CD5673" w:rsidRDefault="00D46430" w:rsidP="00D46430">
      <w:pPr>
        <w:pStyle w:val="paragraph"/>
      </w:pPr>
      <w:r w:rsidRPr="00CD5673">
        <w:tab/>
        <w:t>(o)</w:t>
      </w:r>
      <w:r w:rsidRPr="00CD5673">
        <w:tab/>
        <w:t xml:space="preserve">a society registered under the </w:t>
      </w:r>
      <w:r w:rsidRPr="00CD5673">
        <w:rPr>
          <w:i/>
        </w:rPr>
        <w:t>Co</w:t>
      </w:r>
      <w:r w:rsidR="00C614F1">
        <w:rPr>
          <w:i/>
        </w:rPr>
        <w:noBreakHyphen/>
      </w:r>
      <w:r w:rsidRPr="00CD5673">
        <w:rPr>
          <w:i/>
        </w:rPr>
        <w:t xml:space="preserve">operative and Provident Societies Act 1903 </w:t>
      </w:r>
      <w:r w:rsidRPr="00CD5673">
        <w:t>of Western Australia;</w:t>
      </w:r>
    </w:p>
    <w:p w14:paraId="7D048913" w14:textId="77777777" w:rsidR="00D46430" w:rsidRPr="00CD5673" w:rsidRDefault="00D46430" w:rsidP="00D46430">
      <w:pPr>
        <w:pStyle w:val="paragraph"/>
      </w:pPr>
      <w:r w:rsidRPr="00CD5673">
        <w:tab/>
        <w:t>(p)</w:t>
      </w:r>
      <w:r w:rsidRPr="00CD5673">
        <w:tab/>
        <w:t xml:space="preserve">an association, society, institution or body incorporated under the </w:t>
      </w:r>
      <w:r w:rsidRPr="00CD5673">
        <w:rPr>
          <w:i/>
        </w:rPr>
        <w:t xml:space="preserve">Associations Incorporation Act 1895 </w:t>
      </w:r>
      <w:r w:rsidRPr="00CD5673">
        <w:t>of Western Australia;</w:t>
      </w:r>
    </w:p>
    <w:p w14:paraId="320B9317" w14:textId="77777777" w:rsidR="00D46430" w:rsidRPr="00CD5673" w:rsidRDefault="00D46430" w:rsidP="00D46430">
      <w:pPr>
        <w:pStyle w:val="paragraph"/>
      </w:pPr>
      <w:r w:rsidRPr="00CD5673">
        <w:tab/>
        <w:t>(q)</w:t>
      </w:r>
      <w:r w:rsidRPr="00CD5673">
        <w:tab/>
        <w:t xml:space="preserve">a trustee bank registered under the </w:t>
      </w:r>
      <w:r w:rsidRPr="00CD5673">
        <w:rPr>
          <w:i/>
        </w:rPr>
        <w:t xml:space="preserve">Trustee Banks Act 1984 </w:t>
      </w:r>
      <w:r w:rsidRPr="00CD5673">
        <w:t>of Tasmania;</w:t>
      </w:r>
    </w:p>
    <w:p w14:paraId="0116B67F" w14:textId="77777777" w:rsidR="00D46430" w:rsidRPr="00CD5673" w:rsidRDefault="00D46430" w:rsidP="00D46430">
      <w:pPr>
        <w:pStyle w:val="paragraph"/>
      </w:pPr>
      <w:r w:rsidRPr="00CD5673">
        <w:tab/>
        <w:t>(r)</w:t>
      </w:r>
      <w:r w:rsidRPr="00CD5673">
        <w:tab/>
        <w:t xml:space="preserve">a society (other than a society that is a financial institution) registered under the </w:t>
      </w:r>
      <w:r w:rsidRPr="00CD5673">
        <w:rPr>
          <w:i/>
        </w:rPr>
        <w:t>Co</w:t>
      </w:r>
      <w:r w:rsidR="00C614F1">
        <w:rPr>
          <w:i/>
        </w:rPr>
        <w:noBreakHyphen/>
      </w:r>
      <w:r w:rsidRPr="00CD5673">
        <w:rPr>
          <w:i/>
        </w:rPr>
        <w:t xml:space="preserve">operative Industrial Societies Act 1928 </w:t>
      </w:r>
      <w:r w:rsidRPr="00CD5673">
        <w:t>of Tasmania;</w:t>
      </w:r>
    </w:p>
    <w:p w14:paraId="5F63D125" w14:textId="77777777" w:rsidR="00D46430" w:rsidRPr="00CD5673" w:rsidRDefault="00D46430" w:rsidP="00D46430">
      <w:pPr>
        <w:pStyle w:val="paragraph"/>
      </w:pPr>
      <w:r w:rsidRPr="00CD5673">
        <w:tab/>
        <w:t>(ra)</w:t>
      </w:r>
      <w:r w:rsidRPr="00CD5673">
        <w:tab/>
        <w:t xml:space="preserve">a society registered under the </w:t>
      </w:r>
      <w:r w:rsidRPr="00CD5673">
        <w:rPr>
          <w:i/>
        </w:rPr>
        <w:t>Co</w:t>
      </w:r>
      <w:r w:rsidR="00C614F1">
        <w:rPr>
          <w:i/>
        </w:rPr>
        <w:noBreakHyphen/>
      </w:r>
      <w:r w:rsidRPr="00CD5673">
        <w:rPr>
          <w:i/>
        </w:rPr>
        <w:t xml:space="preserve">operative Housing Societies Act 1963 </w:t>
      </w:r>
      <w:r w:rsidRPr="00CD5673">
        <w:t>of Tasmania;</w:t>
      </w:r>
    </w:p>
    <w:p w14:paraId="135B5C53" w14:textId="77777777" w:rsidR="00D46430" w:rsidRPr="00CD5673" w:rsidRDefault="00D46430" w:rsidP="00D46430">
      <w:pPr>
        <w:pStyle w:val="paragraph"/>
      </w:pPr>
      <w:r w:rsidRPr="00CD5673">
        <w:tab/>
        <w:t>(s)</w:t>
      </w:r>
      <w:r w:rsidRPr="00CD5673">
        <w:tab/>
        <w:t xml:space="preserve">an association, society, institution or body incorporated under the </w:t>
      </w:r>
      <w:r w:rsidRPr="00CD5673">
        <w:rPr>
          <w:i/>
        </w:rPr>
        <w:t xml:space="preserve">Associations Incorporations Act 1964 </w:t>
      </w:r>
      <w:r w:rsidRPr="00CD5673">
        <w:t>of Tasmania;</w:t>
      </w:r>
    </w:p>
    <w:p w14:paraId="32F19FF7" w14:textId="77777777" w:rsidR="00D46430" w:rsidRPr="00CD5673" w:rsidRDefault="00D46430" w:rsidP="00D46430">
      <w:pPr>
        <w:pStyle w:val="paragraph"/>
      </w:pPr>
      <w:r w:rsidRPr="00CD5673">
        <w:tab/>
        <w:t>(t)</w:t>
      </w:r>
      <w:r w:rsidRPr="00CD5673">
        <w:tab/>
        <w:t xml:space="preserve">a body corporate created by section 75Q of the </w:t>
      </w:r>
      <w:r w:rsidRPr="00CD5673">
        <w:rPr>
          <w:i/>
        </w:rPr>
        <w:t xml:space="preserve">Conveyancing and Law of Property Act 1884 </w:t>
      </w:r>
      <w:r w:rsidRPr="00CD5673">
        <w:t>of Tasmania;</w:t>
      </w:r>
    </w:p>
    <w:p w14:paraId="7A9288F7" w14:textId="77777777" w:rsidR="00D46430" w:rsidRPr="00CD5673" w:rsidRDefault="00D46430" w:rsidP="00D46430">
      <w:pPr>
        <w:pStyle w:val="paragraph"/>
      </w:pPr>
      <w:r w:rsidRPr="00CD5673">
        <w:tab/>
        <w:t>(u)</w:t>
      </w:r>
      <w:r w:rsidRPr="00CD5673">
        <w:tab/>
        <w:t xml:space="preserve">a society (other than a society that is a financial institution) registered under the </w:t>
      </w:r>
      <w:r w:rsidRPr="00CD5673">
        <w:rPr>
          <w:i/>
        </w:rPr>
        <w:t>Co</w:t>
      </w:r>
      <w:r w:rsidR="00C614F1">
        <w:rPr>
          <w:i/>
        </w:rPr>
        <w:noBreakHyphen/>
      </w:r>
      <w:r w:rsidRPr="00CD5673">
        <w:rPr>
          <w:i/>
        </w:rPr>
        <w:t xml:space="preserve">operative Societies Act 1939 </w:t>
      </w:r>
      <w:r w:rsidRPr="00CD5673">
        <w:t>of the Australian Capital Territory;</w:t>
      </w:r>
    </w:p>
    <w:p w14:paraId="629D5B72" w14:textId="77777777" w:rsidR="00D46430" w:rsidRPr="00CD5673" w:rsidRDefault="00D46430" w:rsidP="00D46430">
      <w:pPr>
        <w:pStyle w:val="paragraph"/>
      </w:pPr>
      <w:r w:rsidRPr="00CD5673">
        <w:tab/>
        <w:t>(v)</w:t>
      </w:r>
      <w:r w:rsidRPr="00CD5673">
        <w:tab/>
        <w:t xml:space="preserve">an association, society, institution or body incorporated under the </w:t>
      </w:r>
      <w:r w:rsidRPr="00CD5673">
        <w:rPr>
          <w:i/>
        </w:rPr>
        <w:t xml:space="preserve">Associations Incorporation Act 1953 </w:t>
      </w:r>
      <w:r w:rsidRPr="00CD5673">
        <w:t>of the Australian Capital Territory;</w:t>
      </w:r>
    </w:p>
    <w:p w14:paraId="49CA1E06" w14:textId="77777777" w:rsidR="00D46430" w:rsidRPr="00CD5673" w:rsidRDefault="00D46430" w:rsidP="00D46430">
      <w:pPr>
        <w:pStyle w:val="paragraph"/>
      </w:pPr>
      <w:r w:rsidRPr="00CD5673">
        <w:tab/>
        <w:t>(w)</w:t>
      </w:r>
      <w:r w:rsidRPr="00CD5673">
        <w:tab/>
        <w:t xml:space="preserve">a corporation constituted under the </w:t>
      </w:r>
      <w:r w:rsidRPr="00CD5673">
        <w:rPr>
          <w:i/>
        </w:rPr>
        <w:t xml:space="preserve">Unit Titles Act 1970 </w:t>
      </w:r>
      <w:r w:rsidRPr="00CD5673">
        <w:t>of the Australian Capital Territory;</w:t>
      </w:r>
    </w:p>
    <w:p w14:paraId="69EE9E73" w14:textId="77777777" w:rsidR="00D46430" w:rsidRPr="00CD5673" w:rsidRDefault="00D46430" w:rsidP="00D46430">
      <w:pPr>
        <w:pStyle w:val="paragraph"/>
      </w:pPr>
      <w:r w:rsidRPr="00CD5673">
        <w:tab/>
        <w:t>(x)</w:t>
      </w:r>
      <w:r w:rsidRPr="00CD5673">
        <w:tab/>
        <w:t xml:space="preserve">a society registered under the </w:t>
      </w:r>
      <w:r w:rsidRPr="00CD5673">
        <w:rPr>
          <w:i/>
        </w:rPr>
        <w:t>Co</w:t>
      </w:r>
      <w:r w:rsidR="00C614F1">
        <w:rPr>
          <w:i/>
        </w:rPr>
        <w:noBreakHyphen/>
      </w:r>
      <w:r w:rsidRPr="00CD5673">
        <w:rPr>
          <w:i/>
        </w:rPr>
        <w:t>operatives Act 1997</w:t>
      </w:r>
      <w:r w:rsidRPr="00CD5673">
        <w:t xml:space="preserve"> of the Northern Territory.</w:t>
      </w:r>
    </w:p>
    <w:p w14:paraId="02418C8E" w14:textId="77777777" w:rsidR="00D46430" w:rsidRPr="00CD5673" w:rsidRDefault="00D46430" w:rsidP="00D46430">
      <w:pPr>
        <w:pStyle w:val="ActHead5"/>
      </w:pPr>
      <w:bookmarkStart w:id="347" w:name="_Toc158711955"/>
      <w:r w:rsidRPr="00C614F1">
        <w:rPr>
          <w:rStyle w:val="CharSectno"/>
        </w:rPr>
        <w:t>6.2.02</w:t>
      </w:r>
      <w:r w:rsidRPr="00CD5673">
        <w:t xml:space="preserve">  Other prescribed circumstances (Act s 611)</w:t>
      </w:r>
      <w:bookmarkEnd w:id="347"/>
    </w:p>
    <w:p w14:paraId="27B9D0D8" w14:textId="77777777" w:rsidR="00D46430" w:rsidRPr="00CD5673" w:rsidRDefault="00D46430" w:rsidP="00D46430">
      <w:pPr>
        <w:pStyle w:val="subsection"/>
      </w:pPr>
      <w:r w:rsidRPr="00CD5673">
        <w:tab/>
      </w:r>
      <w:r w:rsidRPr="00CD5673">
        <w:tab/>
        <w:t>For item 20 in the table in section 611 of the Act, the acquisition by a person of a relevant interest in voting shares in a body corporate that results from the person holding an office specified in Schedule 3 is prescribed.</w:t>
      </w:r>
    </w:p>
    <w:p w14:paraId="1E8DBD39" w14:textId="77777777" w:rsidR="00D46430" w:rsidRPr="00CD5673" w:rsidRDefault="00D46430" w:rsidP="00D46430">
      <w:pPr>
        <w:pStyle w:val="ActHead2"/>
        <w:pageBreakBefore/>
        <w:rPr>
          <w:color w:val="000000"/>
        </w:rPr>
      </w:pPr>
      <w:bookmarkStart w:id="348" w:name="_Toc158711956"/>
      <w:r w:rsidRPr="00C614F1">
        <w:rPr>
          <w:rStyle w:val="CharPartNo"/>
        </w:rPr>
        <w:lastRenderedPageBreak/>
        <w:t>Part 6.6</w:t>
      </w:r>
      <w:r w:rsidRPr="00CD5673">
        <w:rPr>
          <w:color w:val="000000"/>
        </w:rPr>
        <w:t>—</w:t>
      </w:r>
      <w:r w:rsidRPr="00C614F1">
        <w:rPr>
          <w:rStyle w:val="CharPartText"/>
        </w:rPr>
        <w:t>Variation of offers</w:t>
      </w:r>
      <w:bookmarkEnd w:id="348"/>
    </w:p>
    <w:p w14:paraId="3EA0FA84"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40B76661" w14:textId="77777777" w:rsidR="00D46430" w:rsidRPr="00CD5673" w:rsidRDefault="00D46430" w:rsidP="00D46430">
      <w:pPr>
        <w:pStyle w:val="ActHead5"/>
      </w:pPr>
      <w:bookmarkStart w:id="349" w:name="_Toc158711957"/>
      <w:r w:rsidRPr="00C614F1">
        <w:rPr>
          <w:rStyle w:val="CharSectno"/>
        </w:rPr>
        <w:t>6.6.01</w:t>
      </w:r>
      <w:r w:rsidRPr="00CD5673">
        <w:t xml:space="preserve">  Right to withdraw acceptance</w:t>
      </w:r>
      <w:bookmarkEnd w:id="349"/>
    </w:p>
    <w:p w14:paraId="56DF7B91" w14:textId="77777777" w:rsidR="00D46430" w:rsidRPr="00CD5673" w:rsidRDefault="00D46430" w:rsidP="00D46430">
      <w:pPr>
        <w:pStyle w:val="subsection"/>
      </w:pPr>
      <w:r w:rsidRPr="00CD5673">
        <w:rPr>
          <w:color w:val="000000"/>
        </w:rPr>
        <w:tab/>
        <w:t>(1)</w:t>
      </w:r>
      <w:r w:rsidRPr="00CD5673">
        <w:rPr>
          <w:color w:val="000000"/>
        </w:rPr>
        <w:tab/>
        <w:t>For paragraph 650E(3)(a) of the Act, a notice under paragraph 650E(2)(a) of the Act relating to securities entered on a register or subregister of a prescribed CS facility must be in a form approved by the operating rules of that prescribed CS facility for Part 6.6 of the Act (which may include an electronic form).</w:t>
      </w:r>
    </w:p>
    <w:p w14:paraId="56944BD5" w14:textId="77777777" w:rsidR="00D46430" w:rsidRPr="00CD5673" w:rsidRDefault="00D46430" w:rsidP="00D46430">
      <w:pPr>
        <w:pStyle w:val="subsection"/>
      </w:pPr>
      <w:r w:rsidRPr="00CD5673">
        <w:rPr>
          <w:color w:val="000000"/>
        </w:rPr>
        <w:tab/>
        <w:t>(2)</w:t>
      </w:r>
      <w:r w:rsidRPr="00CD5673">
        <w:rPr>
          <w:color w:val="000000"/>
        </w:rPr>
        <w:tab/>
        <w:t>For paragraph 650E(4)(a) of the Act, if securities are entered on a register or subregister of a prescribed CS facility, a person to whom section 650E of the Act applies must take the action that the operating rules of the prescribed CS facility require in relation to the return of the securities.</w:t>
      </w:r>
    </w:p>
    <w:p w14:paraId="122E0246" w14:textId="77777777" w:rsidR="00D46430" w:rsidRPr="00CD5673" w:rsidRDefault="00D46430" w:rsidP="00D46430">
      <w:pPr>
        <w:pStyle w:val="subsection"/>
      </w:pPr>
      <w:r w:rsidRPr="00CD5673">
        <w:tab/>
        <w:t>(3)</w:t>
      </w:r>
      <w:r w:rsidRPr="00CD5673">
        <w:tab/>
        <w:t>For paragraph 650E(5)(a) of the Act, if a person withdraws an acceptance of an offer, the bidder must take any action that the operating rules of the prescribed CS facility require in relation to any of the securities:</w:t>
      </w:r>
    </w:p>
    <w:p w14:paraId="0A19ED62" w14:textId="77777777" w:rsidR="00D46430" w:rsidRPr="00CD5673" w:rsidRDefault="00D46430" w:rsidP="00D46430">
      <w:pPr>
        <w:pStyle w:val="paragraph"/>
      </w:pPr>
      <w:r w:rsidRPr="00CD5673">
        <w:rPr>
          <w:color w:val="000000"/>
        </w:rPr>
        <w:tab/>
        <w:t>(a)</w:t>
      </w:r>
      <w:r w:rsidRPr="00CD5673">
        <w:rPr>
          <w:color w:val="000000"/>
        </w:rPr>
        <w:tab/>
        <w:t>to which the acceptance relates; and</w:t>
      </w:r>
    </w:p>
    <w:p w14:paraId="1FB473B0" w14:textId="77777777" w:rsidR="00D46430" w:rsidRPr="00CD5673" w:rsidRDefault="00D46430" w:rsidP="00D46430">
      <w:pPr>
        <w:pStyle w:val="paragraph"/>
      </w:pPr>
      <w:r w:rsidRPr="00CD5673">
        <w:tab/>
        <w:t>(b)</w:t>
      </w:r>
      <w:r w:rsidRPr="00CD5673">
        <w:tab/>
        <w:t>that are entered on a register or subregister of the prescribed CS facility.</w:t>
      </w:r>
    </w:p>
    <w:p w14:paraId="68C6EB6B" w14:textId="77777777" w:rsidR="00D46430" w:rsidRPr="00CD5673" w:rsidRDefault="00D46430" w:rsidP="00D46430">
      <w:pPr>
        <w:pStyle w:val="ActHead2"/>
        <w:pageBreakBefore/>
        <w:rPr>
          <w:color w:val="000000"/>
        </w:rPr>
      </w:pPr>
      <w:bookmarkStart w:id="350" w:name="_Toc158711958"/>
      <w:r w:rsidRPr="00C614F1">
        <w:rPr>
          <w:rStyle w:val="CharPartNo"/>
        </w:rPr>
        <w:lastRenderedPageBreak/>
        <w:t>Part 6.8</w:t>
      </w:r>
      <w:r w:rsidRPr="00CD5673">
        <w:rPr>
          <w:color w:val="000000"/>
        </w:rPr>
        <w:t>—</w:t>
      </w:r>
      <w:r w:rsidRPr="00C614F1">
        <w:rPr>
          <w:rStyle w:val="CharPartText"/>
        </w:rPr>
        <w:t>Acceptances</w:t>
      </w:r>
      <w:bookmarkEnd w:id="350"/>
    </w:p>
    <w:p w14:paraId="324268D3"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8BC3148" w14:textId="77777777" w:rsidR="00D46430" w:rsidRPr="00CD5673" w:rsidRDefault="00D46430" w:rsidP="00D46430">
      <w:pPr>
        <w:pStyle w:val="ActHead5"/>
      </w:pPr>
      <w:bookmarkStart w:id="351" w:name="_Toc158711959"/>
      <w:r w:rsidRPr="00C614F1">
        <w:rPr>
          <w:rStyle w:val="CharSectno"/>
        </w:rPr>
        <w:t>6.8.01</w:t>
      </w:r>
      <w:r w:rsidRPr="00CD5673">
        <w:t xml:space="preserve">  Acceptance of offers made under off</w:t>
      </w:r>
      <w:r w:rsidR="00C614F1">
        <w:noBreakHyphen/>
      </w:r>
      <w:r w:rsidRPr="00CD5673">
        <w:t>market bid</w:t>
      </w:r>
      <w:bookmarkEnd w:id="351"/>
    </w:p>
    <w:p w14:paraId="26BB6DB3" w14:textId="77777777" w:rsidR="00D46430" w:rsidRPr="00CD5673" w:rsidRDefault="00D46430" w:rsidP="00D46430">
      <w:pPr>
        <w:pStyle w:val="subsection"/>
      </w:pPr>
      <w:r w:rsidRPr="00CD5673">
        <w:rPr>
          <w:color w:val="000000"/>
        </w:rPr>
        <w:tab/>
      </w:r>
      <w:r w:rsidRPr="00CD5673">
        <w:rPr>
          <w:color w:val="000000"/>
        </w:rPr>
        <w:tab/>
        <w:t>For paragraph 653A(b) of the Act, if the operating rules of a prescribed CS facility require an acceptance of an offer to which paragraph 653A(a) applies to be made in a particular way, to the extent that the acceptance relates to the securities in the offer, the acceptance must be made in that way.</w:t>
      </w:r>
    </w:p>
    <w:p w14:paraId="7F6C3DFF" w14:textId="77777777" w:rsidR="00D46430" w:rsidRPr="00CD5673" w:rsidRDefault="00D46430" w:rsidP="00D46430">
      <w:pPr>
        <w:pStyle w:val="ActHead5"/>
      </w:pPr>
      <w:bookmarkStart w:id="352" w:name="_Toc158711960"/>
      <w:r w:rsidRPr="00C614F1">
        <w:rPr>
          <w:rStyle w:val="CharSectno"/>
        </w:rPr>
        <w:t>6.8.02</w:t>
      </w:r>
      <w:r w:rsidRPr="00CD5673">
        <w:t xml:space="preserve">  Acceptances by transferees and nominees of offers made under off</w:t>
      </w:r>
      <w:r w:rsidR="00C614F1">
        <w:noBreakHyphen/>
      </w:r>
      <w:r w:rsidRPr="00CD5673">
        <w:t>market bid</w:t>
      </w:r>
      <w:bookmarkEnd w:id="352"/>
    </w:p>
    <w:p w14:paraId="769354E6" w14:textId="77777777" w:rsidR="00D46430" w:rsidRPr="00CD5673" w:rsidRDefault="00D46430" w:rsidP="00D46430">
      <w:pPr>
        <w:pStyle w:val="subsection"/>
      </w:pPr>
      <w:r w:rsidRPr="00CD5673">
        <w:rPr>
          <w:color w:val="000000"/>
        </w:rPr>
        <w:tab/>
      </w:r>
      <w:r w:rsidRPr="00CD5673">
        <w:rPr>
          <w:color w:val="000000"/>
        </w:rPr>
        <w:tab/>
        <w:t>For paragraph 653B(4)(a) of the Act, a notice relating to securities entered on a register or subregister of a prescribed CS facility must be in a form approved by the operating rules of the prescribed CS facility for Part 6.8 of the Act (which may include an electronic form).</w:t>
      </w:r>
    </w:p>
    <w:p w14:paraId="0D2CDFBD" w14:textId="77777777" w:rsidR="00D46430" w:rsidRPr="00CD5673" w:rsidRDefault="00D46430" w:rsidP="00D46430">
      <w:pPr>
        <w:pStyle w:val="ActHead2"/>
        <w:pageBreakBefore/>
      </w:pPr>
      <w:bookmarkStart w:id="353" w:name="_Toc158711961"/>
      <w:r w:rsidRPr="00C614F1">
        <w:rPr>
          <w:rStyle w:val="CharPartNo"/>
        </w:rPr>
        <w:lastRenderedPageBreak/>
        <w:t>Part 6.10</w:t>
      </w:r>
      <w:r w:rsidRPr="00CD5673">
        <w:t>—</w:t>
      </w:r>
      <w:r w:rsidRPr="00C614F1">
        <w:rPr>
          <w:rStyle w:val="CharPartText"/>
        </w:rPr>
        <w:t>Review and intervention</w:t>
      </w:r>
      <w:bookmarkEnd w:id="353"/>
    </w:p>
    <w:p w14:paraId="0D900398"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68E69EF4" w14:textId="77777777" w:rsidR="00D46430" w:rsidRPr="00CD5673" w:rsidRDefault="00D46430" w:rsidP="00D46430">
      <w:pPr>
        <w:pStyle w:val="ActHead5"/>
      </w:pPr>
      <w:bookmarkStart w:id="354" w:name="_Toc158711962"/>
      <w:r w:rsidRPr="00C614F1">
        <w:rPr>
          <w:rStyle w:val="CharSectno"/>
        </w:rPr>
        <w:t>6.10.01</w:t>
      </w:r>
      <w:r w:rsidRPr="00CD5673">
        <w:t xml:space="preserve">  Application for review of </w:t>
      </w:r>
      <w:r w:rsidR="00FC5BA6" w:rsidRPr="00FC5BA6">
        <w:t>Takeovers Panel decision</w:t>
      </w:r>
      <w:bookmarkEnd w:id="354"/>
    </w:p>
    <w:p w14:paraId="726CF471" w14:textId="77777777" w:rsidR="00D46430" w:rsidRPr="00CD5673" w:rsidRDefault="00D46430" w:rsidP="00D46430">
      <w:pPr>
        <w:pStyle w:val="subsection"/>
      </w:pPr>
      <w:r w:rsidRPr="00CD5673">
        <w:tab/>
      </w:r>
      <w:r w:rsidRPr="00CD5673">
        <w:tab/>
        <w:t xml:space="preserve">For subsection 657EA(3) of the Act, an application for review of a decision of the </w:t>
      </w:r>
      <w:r w:rsidR="003576DB" w:rsidRPr="00BE1284">
        <w:t>Takeovers Panel</w:t>
      </w:r>
      <w:r w:rsidRPr="00CD5673">
        <w:t xml:space="preserve"> must not be made later than 2 business days after the day on which the decision was made.</w:t>
      </w:r>
    </w:p>
    <w:p w14:paraId="58EA9247" w14:textId="77777777" w:rsidR="00D46430" w:rsidRPr="00CD5673" w:rsidRDefault="00D46430" w:rsidP="00D46430">
      <w:pPr>
        <w:pStyle w:val="ActHead1"/>
        <w:pageBreakBefore/>
      </w:pPr>
      <w:bookmarkStart w:id="355" w:name="_Toc158711963"/>
      <w:r w:rsidRPr="00C614F1">
        <w:rPr>
          <w:rStyle w:val="CharChapNo"/>
        </w:rPr>
        <w:lastRenderedPageBreak/>
        <w:t>Chapter 6A</w:t>
      </w:r>
      <w:r w:rsidRPr="00CD5673">
        <w:t>—</w:t>
      </w:r>
      <w:r w:rsidRPr="00C614F1">
        <w:rPr>
          <w:rStyle w:val="CharChapText"/>
        </w:rPr>
        <w:t>Compulsory acquisitions and buy</w:t>
      </w:r>
      <w:r w:rsidR="00C614F1" w:rsidRPr="00C614F1">
        <w:rPr>
          <w:rStyle w:val="CharChapText"/>
        </w:rPr>
        <w:noBreakHyphen/>
      </w:r>
      <w:r w:rsidRPr="00C614F1">
        <w:rPr>
          <w:rStyle w:val="CharChapText"/>
        </w:rPr>
        <w:t>outs</w:t>
      </w:r>
      <w:bookmarkEnd w:id="355"/>
    </w:p>
    <w:p w14:paraId="39FA981E" w14:textId="77777777" w:rsidR="00D46430" w:rsidRPr="00CD5673" w:rsidRDefault="00D46430" w:rsidP="00D46430">
      <w:pPr>
        <w:pStyle w:val="ActHead2"/>
        <w:rPr>
          <w:color w:val="000000"/>
        </w:rPr>
      </w:pPr>
      <w:bookmarkStart w:id="356" w:name="_Toc158711964"/>
      <w:r w:rsidRPr="00C614F1">
        <w:rPr>
          <w:rStyle w:val="CharPartNo"/>
        </w:rPr>
        <w:t>Part 6A.1</w:t>
      </w:r>
      <w:r w:rsidRPr="00CD5673">
        <w:rPr>
          <w:color w:val="000000"/>
        </w:rPr>
        <w:t>—</w:t>
      </w:r>
      <w:r w:rsidRPr="00C614F1">
        <w:rPr>
          <w:rStyle w:val="CharPartText"/>
        </w:rPr>
        <w:t>Compulsory acquisitions and buy</w:t>
      </w:r>
      <w:r w:rsidR="00C614F1" w:rsidRPr="00C614F1">
        <w:rPr>
          <w:rStyle w:val="CharPartText"/>
        </w:rPr>
        <w:noBreakHyphen/>
      </w:r>
      <w:r w:rsidRPr="00C614F1">
        <w:rPr>
          <w:rStyle w:val="CharPartText"/>
        </w:rPr>
        <w:t>outs after takeover bid</w:t>
      </w:r>
      <w:bookmarkEnd w:id="356"/>
    </w:p>
    <w:p w14:paraId="5DAA8712"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720CA503" w14:textId="77777777" w:rsidR="00D46430" w:rsidRPr="00CD5673" w:rsidRDefault="00D46430" w:rsidP="00D46430">
      <w:pPr>
        <w:pStyle w:val="ActHead5"/>
      </w:pPr>
      <w:bookmarkStart w:id="357" w:name="_Toc158711965"/>
      <w:r w:rsidRPr="00C614F1">
        <w:rPr>
          <w:rStyle w:val="CharSectno"/>
        </w:rPr>
        <w:t>6A.1.01</w:t>
      </w:r>
      <w:r w:rsidRPr="00CD5673">
        <w:t xml:space="preserve">  Terms on which securities to be acquired</w:t>
      </w:r>
      <w:bookmarkEnd w:id="357"/>
    </w:p>
    <w:p w14:paraId="6A235E5F" w14:textId="77777777" w:rsidR="00D46430" w:rsidRPr="00CD5673" w:rsidRDefault="00D46430" w:rsidP="00D46430">
      <w:pPr>
        <w:pStyle w:val="subsection"/>
      </w:pPr>
      <w:r w:rsidRPr="00CD5673">
        <w:rPr>
          <w:color w:val="000000"/>
        </w:rPr>
        <w:tab/>
      </w:r>
      <w:r w:rsidRPr="00CD5673">
        <w:rPr>
          <w:color w:val="000000"/>
        </w:rPr>
        <w:tab/>
        <w:t>For paragraph 661C(4)(a) of the Act, an election relating to securities entered on an electronic register or subregister of a prescribed CS facility must be in an electronic form approved by the operating rules of the prescribed CS facility.</w:t>
      </w:r>
    </w:p>
    <w:p w14:paraId="69E84D22" w14:textId="77777777" w:rsidR="00D46430" w:rsidRPr="00CD5673" w:rsidRDefault="00D46430" w:rsidP="00D46430">
      <w:pPr>
        <w:pStyle w:val="ActHead1"/>
        <w:pageBreakBefore/>
      </w:pPr>
      <w:bookmarkStart w:id="358" w:name="_Toc158711966"/>
      <w:r w:rsidRPr="00C614F1">
        <w:rPr>
          <w:rStyle w:val="CharChapNo"/>
        </w:rPr>
        <w:lastRenderedPageBreak/>
        <w:t>Chapter 6CA</w:t>
      </w:r>
      <w:r w:rsidRPr="00CD5673">
        <w:t>—</w:t>
      </w:r>
      <w:r w:rsidRPr="00C614F1">
        <w:rPr>
          <w:rStyle w:val="CharChapText"/>
        </w:rPr>
        <w:t>Continuous disclosure</w:t>
      </w:r>
      <w:bookmarkEnd w:id="358"/>
    </w:p>
    <w:p w14:paraId="0FE3FD67" w14:textId="77777777" w:rsidR="00D46430" w:rsidRPr="00CD5673" w:rsidRDefault="00D46430" w:rsidP="00D46430">
      <w:pPr>
        <w:pStyle w:val="Header"/>
      </w:pPr>
      <w:bookmarkStart w:id="359" w:name="f_Check_Lines_below"/>
      <w:bookmarkEnd w:id="359"/>
      <w:r w:rsidRPr="00C614F1">
        <w:rPr>
          <w:rStyle w:val="CharPartNo"/>
        </w:rPr>
        <w:t xml:space="preserve"> </w:t>
      </w:r>
      <w:r w:rsidRPr="00C614F1">
        <w:rPr>
          <w:rStyle w:val="CharPartText"/>
        </w:rPr>
        <w:t xml:space="preserve"> </w:t>
      </w:r>
    </w:p>
    <w:p w14:paraId="387D090C"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2FD0E6C7" w14:textId="77777777" w:rsidR="00D46430" w:rsidRPr="00CD5673" w:rsidRDefault="00D46430" w:rsidP="00D46430">
      <w:pPr>
        <w:pStyle w:val="ActHead5"/>
      </w:pPr>
      <w:bookmarkStart w:id="360" w:name="_Toc158711967"/>
      <w:r w:rsidRPr="00C614F1">
        <w:rPr>
          <w:rStyle w:val="CharSectno"/>
        </w:rPr>
        <w:t>6CA.1.01</w:t>
      </w:r>
      <w:r w:rsidRPr="00CD5673">
        <w:t xml:space="preserve">  Continuous disclosure: other disclosing entities</w:t>
      </w:r>
      <w:bookmarkEnd w:id="360"/>
    </w:p>
    <w:p w14:paraId="7C323CD3" w14:textId="77777777" w:rsidR="00D46430" w:rsidRPr="00CD5673" w:rsidRDefault="00D46430" w:rsidP="00D46430">
      <w:pPr>
        <w:pStyle w:val="subsection"/>
      </w:pPr>
      <w:r w:rsidRPr="00CD5673">
        <w:tab/>
      </w:r>
      <w:r w:rsidRPr="00CD5673">
        <w:tab/>
        <w:t>For paragraph 675(2)(d) of the Act, the disclosure of information under section 675 of the Act is not required if:</w:t>
      </w:r>
    </w:p>
    <w:p w14:paraId="2E54775E" w14:textId="77777777" w:rsidR="00D46430" w:rsidRPr="00CD5673" w:rsidRDefault="00D46430" w:rsidP="00D46430">
      <w:pPr>
        <w:pStyle w:val="paragraph"/>
      </w:pPr>
      <w:r w:rsidRPr="00CD5673">
        <w:tab/>
        <w:t>(a)</w:t>
      </w:r>
      <w:r w:rsidRPr="00CD5673">
        <w:tab/>
        <w:t>a reasonable person would not expect the information to be disclosed; and</w:t>
      </w:r>
    </w:p>
    <w:p w14:paraId="79742FC8" w14:textId="77777777" w:rsidR="00D46430" w:rsidRPr="00CD5673" w:rsidRDefault="00D46430" w:rsidP="00D46430">
      <w:pPr>
        <w:pStyle w:val="paragraph"/>
      </w:pPr>
      <w:r w:rsidRPr="00CD5673">
        <w:tab/>
        <w:t>(b)</w:t>
      </w:r>
      <w:r w:rsidRPr="00CD5673">
        <w:tab/>
        <w:t>the information is confidential; and</w:t>
      </w:r>
    </w:p>
    <w:p w14:paraId="7959F54D" w14:textId="77777777" w:rsidR="00D46430" w:rsidRPr="00CD5673" w:rsidRDefault="00D46430" w:rsidP="00D46430">
      <w:pPr>
        <w:pStyle w:val="paragraph"/>
      </w:pPr>
      <w:r w:rsidRPr="00CD5673">
        <w:tab/>
        <w:t>(c)</w:t>
      </w:r>
      <w:r w:rsidRPr="00CD5673">
        <w:tab/>
        <w:t>at least 1 of the following applies:</w:t>
      </w:r>
    </w:p>
    <w:p w14:paraId="0B248FAD" w14:textId="77777777" w:rsidR="00D46430" w:rsidRPr="00CD5673" w:rsidRDefault="00D46430" w:rsidP="00D46430">
      <w:pPr>
        <w:pStyle w:val="paragraphsub"/>
      </w:pPr>
      <w:r w:rsidRPr="00CD5673">
        <w:tab/>
        <w:t>(i)</w:t>
      </w:r>
      <w:r w:rsidRPr="00CD5673">
        <w:tab/>
        <w:t>the disclosure of the information would contravene a law;</w:t>
      </w:r>
    </w:p>
    <w:p w14:paraId="14A88756" w14:textId="77777777" w:rsidR="00D46430" w:rsidRPr="00CD5673" w:rsidRDefault="00D46430" w:rsidP="00D46430">
      <w:pPr>
        <w:pStyle w:val="paragraphsub"/>
      </w:pPr>
      <w:r w:rsidRPr="00CD5673">
        <w:tab/>
        <w:t>(ii)</w:t>
      </w:r>
      <w:r w:rsidRPr="00CD5673">
        <w:tab/>
        <w:t>the information is about a matter of supposition;</w:t>
      </w:r>
    </w:p>
    <w:p w14:paraId="205CBD85" w14:textId="77777777" w:rsidR="00D46430" w:rsidRPr="00CD5673" w:rsidRDefault="00D46430" w:rsidP="00D46430">
      <w:pPr>
        <w:pStyle w:val="paragraphsub"/>
      </w:pPr>
      <w:r w:rsidRPr="00CD5673">
        <w:tab/>
        <w:t>(iii)</w:t>
      </w:r>
      <w:r w:rsidRPr="00CD5673">
        <w:tab/>
        <w:t>the information is not definite enough to make disclosure appropriate;</w:t>
      </w:r>
    </w:p>
    <w:p w14:paraId="20DF518A" w14:textId="77777777" w:rsidR="00D46430" w:rsidRPr="00CD5673" w:rsidRDefault="00D46430" w:rsidP="00D46430">
      <w:pPr>
        <w:pStyle w:val="paragraphsub"/>
      </w:pPr>
      <w:r w:rsidRPr="00CD5673">
        <w:tab/>
        <w:t>(iv)</w:t>
      </w:r>
      <w:r w:rsidRPr="00CD5673">
        <w:tab/>
        <w:t>the information relates to an incomplete proposal or a matter that is in the course of negotiation;</w:t>
      </w:r>
    </w:p>
    <w:p w14:paraId="3247D3C8" w14:textId="77777777" w:rsidR="00D46430" w:rsidRPr="00CD5673" w:rsidRDefault="00D46430" w:rsidP="00D46430">
      <w:pPr>
        <w:pStyle w:val="paragraphsub"/>
      </w:pPr>
      <w:r w:rsidRPr="00CD5673">
        <w:tab/>
        <w:t>(v)</w:t>
      </w:r>
      <w:r w:rsidRPr="00CD5673">
        <w:tab/>
        <w:t>the information was prepared or created for the internal management purposes of the entity;</w:t>
      </w:r>
    </w:p>
    <w:p w14:paraId="08945F6D" w14:textId="77777777" w:rsidR="00D46430" w:rsidRPr="00CD5673" w:rsidRDefault="00D46430" w:rsidP="00D46430">
      <w:pPr>
        <w:pStyle w:val="paragraphsub"/>
      </w:pPr>
      <w:r w:rsidRPr="00CD5673">
        <w:tab/>
        <w:t>(vi)</w:t>
      </w:r>
      <w:r w:rsidRPr="00CD5673">
        <w:tab/>
        <w:t>the information is a trade secret.</w:t>
      </w:r>
    </w:p>
    <w:p w14:paraId="3F1D7BD0" w14:textId="77777777" w:rsidR="00D46430" w:rsidRPr="00CD5673" w:rsidRDefault="00D46430" w:rsidP="00D46430">
      <w:pPr>
        <w:pStyle w:val="ActHead1"/>
        <w:pageBreakBefore/>
      </w:pPr>
      <w:bookmarkStart w:id="361" w:name="_Toc158711968"/>
      <w:r w:rsidRPr="00C614F1">
        <w:rPr>
          <w:rStyle w:val="CharChapNo"/>
        </w:rPr>
        <w:lastRenderedPageBreak/>
        <w:t>Chapter 6D</w:t>
      </w:r>
      <w:r w:rsidRPr="00CD5673">
        <w:t>—</w:t>
      </w:r>
      <w:r w:rsidRPr="00C614F1">
        <w:rPr>
          <w:rStyle w:val="CharChapText"/>
        </w:rPr>
        <w:t>Fundraising</w:t>
      </w:r>
      <w:bookmarkEnd w:id="361"/>
    </w:p>
    <w:p w14:paraId="6923C2A3" w14:textId="77777777" w:rsidR="00D46430" w:rsidRPr="00CD5673" w:rsidRDefault="00D46430" w:rsidP="00D46430">
      <w:pPr>
        <w:pStyle w:val="ActHead2"/>
      </w:pPr>
      <w:bookmarkStart w:id="362" w:name="_Toc158711969"/>
      <w:r w:rsidRPr="00C614F1">
        <w:rPr>
          <w:rStyle w:val="CharPartNo"/>
        </w:rPr>
        <w:t>Part 6D.2</w:t>
      </w:r>
      <w:r w:rsidRPr="00CD5673">
        <w:t>—</w:t>
      </w:r>
      <w:r w:rsidRPr="00C614F1">
        <w:rPr>
          <w:rStyle w:val="CharPartText"/>
        </w:rPr>
        <w:t>Disclosure to investors about securities</w:t>
      </w:r>
      <w:bookmarkEnd w:id="362"/>
    </w:p>
    <w:p w14:paraId="1BEECC85"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328D3F9" w14:textId="77777777" w:rsidR="00D46430" w:rsidRPr="00CD5673" w:rsidRDefault="00D46430" w:rsidP="00D46430">
      <w:pPr>
        <w:pStyle w:val="ActHead5"/>
      </w:pPr>
      <w:bookmarkStart w:id="363" w:name="_Toc158711970"/>
      <w:r w:rsidRPr="00C614F1">
        <w:rPr>
          <w:rStyle w:val="CharSectno"/>
        </w:rPr>
        <w:t>6D.2.01</w:t>
      </w:r>
      <w:r w:rsidRPr="00CD5673">
        <w:t xml:space="preserve">  Exemption—member shares</w:t>
      </w:r>
      <w:bookmarkEnd w:id="363"/>
    </w:p>
    <w:p w14:paraId="4058C023" w14:textId="77777777" w:rsidR="00D46430" w:rsidRPr="00CD5673" w:rsidRDefault="00D46430" w:rsidP="00D46430">
      <w:pPr>
        <w:pStyle w:val="subsection"/>
      </w:pPr>
      <w:r w:rsidRPr="00CD5673">
        <w:tab/>
      </w:r>
      <w:r w:rsidRPr="00CD5673">
        <w:tab/>
        <w:t>Part 6D.2 of the Act does not apply to an offer of a member share within the meaning given by regulation 12.8.03.</w:t>
      </w:r>
    </w:p>
    <w:p w14:paraId="27CFDFE6" w14:textId="77777777" w:rsidR="00D46430" w:rsidRPr="00CD5673" w:rsidRDefault="00D46430" w:rsidP="00D46430">
      <w:pPr>
        <w:pStyle w:val="ActHead5"/>
      </w:pPr>
      <w:bookmarkStart w:id="364" w:name="_Toc158711971"/>
      <w:r w:rsidRPr="00C614F1">
        <w:rPr>
          <w:rStyle w:val="CharSectno"/>
        </w:rPr>
        <w:t>6D.2.02</w:t>
      </w:r>
      <w:r w:rsidRPr="00CD5673">
        <w:t xml:space="preserve">  Exemption—foreign companies</w:t>
      </w:r>
      <w:bookmarkEnd w:id="364"/>
    </w:p>
    <w:p w14:paraId="6CCD4495" w14:textId="77777777" w:rsidR="00D46430" w:rsidRPr="00CD5673" w:rsidRDefault="00D46430" w:rsidP="00D46430">
      <w:pPr>
        <w:pStyle w:val="subsection"/>
      </w:pPr>
      <w:r w:rsidRPr="00CD5673">
        <w:tab/>
      </w:r>
      <w:r w:rsidRPr="00CD5673">
        <w:tab/>
        <w:t>Part 6D.2 of the Act does not apply to an offer under a dividend reinvestment plan or bonus share plan of fully</w:t>
      </w:r>
      <w:r w:rsidR="00C614F1">
        <w:noBreakHyphen/>
      </w:r>
      <w:r w:rsidRPr="00CD5673">
        <w:t>paid shares in a foreign company to an existing holder of shares in the foreign company.</w:t>
      </w:r>
    </w:p>
    <w:p w14:paraId="19CCF3A7" w14:textId="77777777" w:rsidR="00D46430" w:rsidRPr="00CD5673" w:rsidRDefault="00D46430" w:rsidP="00D46430">
      <w:pPr>
        <w:pStyle w:val="ActHead5"/>
      </w:pPr>
      <w:bookmarkStart w:id="365" w:name="_Toc158711972"/>
      <w:r w:rsidRPr="00C614F1">
        <w:rPr>
          <w:rStyle w:val="CharSectno"/>
        </w:rPr>
        <w:t>6D.2.03</w:t>
      </w:r>
      <w:r w:rsidRPr="00CD5673">
        <w:t xml:space="preserve">  Sophisticated investors</w:t>
      </w:r>
      <w:bookmarkEnd w:id="365"/>
    </w:p>
    <w:p w14:paraId="66AC1A51" w14:textId="77777777" w:rsidR="00D46430" w:rsidRPr="00CD5673" w:rsidRDefault="00D46430" w:rsidP="00D46430">
      <w:pPr>
        <w:pStyle w:val="subsection"/>
      </w:pPr>
      <w:r w:rsidRPr="00CD5673">
        <w:rPr>
          <w:color w:val="000000"/>
        </w:rPr>
        <w:tab/>
        <w:t>(1)</w:t>
      </w:r>
      <w:r w:rsidRPr="00CD5673">
        <w:rPr>
          <w:color w:val="000000"/>
        </w:rPr>
        <w:tab/>
        <w:t>For subparagraph 708(8)(c)(i) of the Act, $2.5 million is specified.</w:t>
      </w:r>
    </w:p>
    <w:p w14:paraId="737A8EA8" w14:textId="77777777" w:rsidR="00D46430" w:rsidRPr="00CD5673" w:rsidRDefault="00D46430" w:rsidP="00D46430">
      <w:pPr>
        <w:pStyle w:val="subsection"/>
      </w:pPr>
      <w:r w:rsidRPr="00CD5673">
        <w:rPr>
          <w:color w:val="000000"/>
        </w:rPr>
        <w:tab/>
        <w:t>(2)</w:t>
      </w:r>
      <w:r w:rsidRPr="00CD5673">
        <w:rPr>
          <w:color w:val="000000"/>
        </w:rPr>
        <w:tab/>
        <w:t>For subparagraph 708(8)(c)(ii) of the Act, $250 000 is specified.</w:t>
      </w:r>
    </w:p>
    <w:p w14:paraId="3FBFBF30" w14:textId="77777777" w:rsidR="00D46430" w:rsidRPr="00CD5673" w:rsidRDefault="00D46430" w:rsidP="00D46430">
      <w:pPr>
        <w:pStyle w:val="notetext"/>
      </w:pPr>
      <w:r w:rsidRPr="00CD5673">
        <w:rPr>
          <w:color w:val="000000"/>
        </w:rPr>
        <w:t>Note:</w:t>
      </w:r>
      <w:r w:rsidRPr="00CD5673">
        <w:rPr>
          <w:color w:val="000000"/>
        </w:rPr>
        <w:tab/>
        <w:t>Under subsection 708(8) of the Act, an offer of a body’s securities does not need disclosure to investors under Part 6D.2 of the Act if it appears from a certificate given by a qualified accountant no more than 6 months before the offer is made that the person to whom the offer is made:</w:t>
      </w:r>
    </w:p>
    <w:p w14:paraId="3A166D87" w14:textId="77777777" w:rsidR="00D46430" w:rsidRPr="00CD5673" w:rsidRDefault="00D46430" w:rsidP="00D46430">
      <w:pPr>
        <w:pStyle w:val="notepara"/>
      </w:pPr>
      <w:r w:rsidRPr="00CD5673">
        <w:rPr>
          <w:color w:val="000000"/>
        </w:rPr>
        <w:t>(a)</w:t>
      </w:r>
      <w:r w:rsidRPr="00CD5673">
        <w:rPr>
          <w:color w:val="000000"/>
        </w:rPr>
        <w:tab/>
        <w:t>has net assets of at least the amount specified in regulations made for the purposes of subparagraph 708(8)(c)(i); or</w:t>
      </w:r>
    </w:p>
    <w:p w14:paraId="0974ACC3" w14:textId="77777777" w:rsidR="00D46430" w:rsidRPr="00CD5673" w:rsidRDefault="00D46430" w:rsidP="00D46430">
      <w:pPr>
        <w:pStyle w:val="notepara"/>
      </w:pPr>
      <w:r w:rsidRPr="00CD5673">
        <w:t>(b)</w:t>
      </w:r>
      <w:r w:rsidRPr="00CD5673">
        <w:tab/>
        <w:t>has a gross income for each of the last 2 financial years of at least the amount specified in regulations made for the purposes of subparagraph 708(8)(c)(ii).</w:t>
      </w:r>
    </w:p>
    <w:p w14:paraId="5C146AB6" w14:textId="77777777" w:rsidR="00D46430" w:rsidRPr="00CD5673" w:rsidRDefault="00D46430" w:rsidP="00D46430">
      <w:pPr>
        <w:pStyle w:val="ActHead5"/>
      </w:pPr>
      <w:bookmarkStart w:id="366" w:name="_Toc158711973"/>
      <w:r w:rsidRPr="00C614F1">
        <w:rPr>
          <w:rStyle w:val="CharSectno"/>
        </w:rPr>
        <w:t>6D.2.04</w:t>
      </w:r>
      <w:r w:rsidRPr="00CD5673">
        <w:t xml:space="preserve">  Simple corporate bonds—base prospectus</w:t>
      </w:r>
      <w:bookmarkEnd w:id="366"/>
    </w:p>
    <w:p w14:paraId="164EB8F6" w14:textId="77777777" w:rsidR="00D46430" w:rsidRPr="00CD5673" w:rsidRDefault="00D46430" w:rsidP="00D46430">
      <w:pPr>
        <w:pStyle w:val="subsection"/>
      </w:pPr>
      <w:r w:rsidRPr="00CD5673">
        <w:tab/>
        <w:t>(1)</w:t>
      </w:r>
      <w:r w:rsidRPr="00CD5673">
        <w:tab/>
        <w:t>For subsections 713C(5) and (6) of the Act, this regulation specifies:</w:t>
      </w:r>
    </w:p>
    <w:p w14:paraId="651A7DF9" w14:textId="77777777" w:rsidR="00D46430" w:rsidRPr="00CD5673" w:rsidRDefault="00D46430" w:rsidP="00D46430">
      <w:pPr>
        <w:pStyle w:val="paragraph"/>
      </w:pPr>
      <w:r w:rsidRPr="00CD5673">
        <w:tab/>
        <w:t>(a)</w:t>
      </w:r>
      <w:r w:rsidRPr="00CD5673">
        <w:tab/>
        <w:t>the information that must be contained in a base prospectus for simple corporate bonds; and</w:t>
      </w:r>
    </w:p>
    <w:p w14:paraId="445F93AC" w14:textId="77777777" w:rsidR="00D46430" w:rsidRPr="00CD5673" w:rsidRDefault="00D46430" w:rsidP="00D46430">
      <w:pPr>
        <w:pStyle w:val="paragraph"/>
      </w:pPr>
      <w:r w:rsidRPr="00CD5673">
        <w:tab/>
        <w:t>(b)</w:t>
      </w:r>
      <w:r w:rsidRPr="00CD5673">
        <w:tab/>
        <w:t>the statements that must be set out in a base prospectus for simple corporate bonds.</w:t>
      </w:r>
    </w:p>
    <w:p w14:paraId="21B0FBA3" w14:textId="77777777" w:rsidR="00D46430" w:rsidRPr="00CD5673" w:rsidRDefault="00D46430" w:rsidP="00D46430">
      <w:pPr>
        <w:pStyle w:val="subsection"/>
      </w:pPr>
      <w:r w:rsidRPr="00CD5673">
        <w:tab/>
        <w:t>(2)</w:t>
      </w:r>
      <w:r w:rsidRPr="00CD5673">
        <w:tab/>
        <w:t>Subregulation (1) does not prevent a base prospectus from containing other material or setting out other statements.</w:t>
      </w:r>
    </w:p>
    <w:p w14:paraId="1DB26100" w14:textId="77777777" w:rsidR="00D46430" w:rsidRPr="00CD5673" w:rsidRDefault="00D46430" w:rsidP="00D46430">
      <w:pPr>
        <w:pStyle w:val="subsection"/>
      </w:pPr>
      <w:r w:rsidRPr="00CD5673">
        <w:tab/>
        <w:t>(3)</w:t>
      </w:r>
      <w:r w:rsidRPr="00CD5673">
        <w:tab/>
        <w:t>A base prospectus must contain a table of contents and sections dealing with the following matters:</w:t>
      </w:r>
    </w:p>
    <w:p w14:paraId="5F400D19" w14:textId="77777777" w:rsidR="00D46430" w:rsidRPr="00CD5673" w:rsidRDefault="00D46430" w:rsidP="00D46430">
      <w:pPr>
        <w:pStyle w:val="paragraph"/>
      </w:pPr>
      <w:r w:rsidRPr="00CD5673">
        <w:tab/>
        <w:t>(a)</w:t>
      </w:r>
      <w:r w:rsidRPr="00CD5673">
        <w:tab/>
        <w:t>Section 1: What you need to know;</w:t>
      </w:r>
    </w:p>
    <w:p w14:paraId="37435897" w14:textId="77777777" w:rsidR="00D46430" w:rsidRPr="00CD5673" w:rsidRDefault="00D46430" w:rsidP="00D46430">
      <w:pPr>
        <w:pStyle w:val="paragraph"/>
      </w:pPr>
      <w:r w:rsidRPr="00CD5673">
        <w:tab/>
        <w:t>(b)</w:t>
      </w:r>
      <w:r w:rsidRPr="00CD5673">
        <w:tab/>
        <w:t>Section 2: About the bonds;</w:t>
      </w:r>
    </w:p>
    <w:p w14:paraId="2DAA70E6" w14:textId="77777777" w:rsidR="00D46430" w:rsidRPr="00CD5673" w:rsidRDefault="00D46430" w:rsidP="00D46430">
      <w:pPr>
        <w:pStyle w:val="paragraph"/>
      </w:pPr>
      <w:r w:rsidRPr="00CD5673">
        <w:tab/>
        <w:t>(c)</w:t>
      </w:r>
      <w:r w:rsidRPr="00CD5673">
        <w:tab/>
        <w:t>Section 3: About the issuer;</w:t>
      </w:r>
    </w:p>
    <w:p w14:paraId="7EB9EB70" w14:textId="77777777" w:rsidR="00D46430" w:rsidRPr="00CD5673" w:rsidRDefault="00D46430" w:rsidP="00D46430">
      <w:pPr>
        <w:pStyle w:val="paragraph"/>
      </w:pPr>
      <w:r w:rsidRPr="00CD5673">
        <w:tab/>
        <w:t>(d)</w:t>
      </w:r>
      <w:r w:rsidRPr="00CD5673">
        <w:tab/>
        <w:t>Section 4: Risks;</w:t>
      </w:r>
    </w:p>
    <w:p w14:paraId="3D8A1742" w14:textId="77777777" w:rsidR="00D46430" w:rsidRPr="00CD5673" w:rsidRDefault="00D46430" w:rsidP="00D46430">
      <w:pPr>
        <w:pStyle w:val="paragraph"/>
      </w:pPr>
      <w:r w:rsidRPr="00CD5673">
        <w:tab/>
        <w:t>(e)</w:t>
      </w:r>
      <w:r w:rsidRPr="00CD5673">
        <w:tab/>
        <w:t>Section 5: Other information you should consider;</w:t>
      </w:r>
    </w:p>
    <w:p w14:paraId="75AB0448" w14:textId="77777777" w:rsidR="00D46430" w:rsidRPr="00CD5673" w:rsidRDefault="00D46430" w:rsidP="00D46430">
      <w:pPr>
        <w:pStyle w:val="paragraph"/>
      </w:pPr>
      <w:r w:rsidRPr="00CD5673">
        <w:tab/>
        <w:t>(f)</w:t>
      </w:r>
      <w:r w:rsidRPr="00CD5673">
        <w:tab/>
        <w:t>Section 6: Glossary.</w:t>
      </w:r>
    </w:p>
    <w:p w14:paraId="3CD03F09" w14:textId="77777777" w:rsidR="00D46430" w:rsidRPr="00CD5673" w:rsidRDefault="00D46430" w:rsidP="00D46430">
      <w:pPr>
        <w:pStyle w:val="SubsectionHead"/>
      </w:pPr>
      <w:r w:rsidRPr="00CD5673">
        <w:t>Section 1: What you need to know</w:t>
      </w:r>
    </w:p>
    <w:p w14:paraId="1C0EFFEF" w14:textId="77777777" w:rsidR="00D46430" w:rsidRPr="00CD5673" w:rsidRDefault="00D46430" w:rsidP="00D46430">
      <w:pPr>
        <w:pStyle w:val="subsection"/>
      </w:pPr>
      <w:r w:rsidRPr="00CD5673">
        <w:tab/>
        <w:t>(4)</w:t>
      </w:r>
      <w:r w:rsidRPr="00CD5673">
        <w:tab/>
        <w:t>The following statements, or statements to the same effect as the following statements, must be set out in section 1 of a base prospectus:</w:t>
      </w:r>
    </w:p>
    <w:p w14:paraId="067D2821" w14:textId="77777777" w:rsidR="00D46430" w:rsidRPr="00CD5673" w:rsidRDefault="00D46430" w:rsidP="00D46430">
      <w:pPr>
        <w:pStyle w:val="paragraph"/>
      </w:pPr>
      <w:r w:rsidRPr="00CD5673">
        <w:tab/>
        <w:t>(a)</w:t>
      </w:r>
      <w:r w:rsidRPr="00CD5673">
        <w:tab/>
        <w:t>This document will be the base prospectus for these bonds for 3 years from the time it is lodged with the Australian Securities and Investments Commission.</w:t>
      </w:r>
    </w:p>
    <w:p w14:paraId="0A79253A" w14:textId="77777777" w:rsidR="00D46430" w:rsidRPr="00CD5673" w:rsidRDefault="00D46430" w:rsidP="00D46430">
      <w:pPr>
        <w:pStyle w:val="paragraph"/>
      </w:pPr>
      <w:r w:rsidRPr="00CD5673">
        <w:tab/>
        <w:t>(b)</w:t>
      </w:r>
      <w:r w:rsidRPr="00CD5673">
        <w:tab/>
        <w:t>There will be a separate offer</w:t>
      </w:r>
      <w:r w:rsidR="00C614F1">
        <w:noBreakHyphen/>
      </w:r>
      <w:r w:rsidRPr="00CD5673">
        <w:t>specific prospectus for each offer of bonds during the life of this base prospectus.</w:t>
      </w:r>
    </w:p>
    <w:p w14:paraId="6495CE20" w14:textId="77777777" w:rsidR="00D46430" w:rsidRPr="00CD5673" w:rsidRDefault="00D46430" w:rsidP="00D46430">
      <w:pPr>
        <w:pStyle w:val="paragraph"/>
      </w:pPr>
      <w:r w:rsidRPr="00CD5673">
        <w:tab/>
        <w:t>(c)</w:t>
      </w:r>
      <w:r w:rsidRPr="00CD5673">
        <w:tab/>
        <w:t>To make an informed investment decision about these bonds, you should read the offer</w:t>
      </w:r>
      <w:r w:rsidR="00C614F1">
        <w:noBreakHyphen/>
      </w:r>
      <w:r w:rsidRPr="00CD5673">
        <w:t>specific prospectus and this base prospectus before investing.</w:t>
      </w:r>
    </w:p>
    <w:p w14:paraId="62119A55" w14:textId="77777777" w:rsidR="00D46430" w:rsidRPr="00CD5673" w:rsidRDefault="00D46430" w:rsidP="00D46430">
      <w:pPr>
        <w:pStyle w:val="paragraph"/>
      </w:pPr>
      <w:r w:rsidRPr="00CD5673">
        <w:tab/>
        <w:t>(d)</w:t>
      </w:r>
      <w:r w:rsidRPr="00CD5673">
        <w:tab/>
        <w:t>This base prospectus alone is not an offer. The offer is contained in the offer</w:t>
      </w:r>
      <w:r w:rsidR="00C614F1">
        <w:noBreakHyphen/>
      </w:r>
      <w:r w:rsidRPr="00CD5673">
        <w:t>specific prospectus, this base prospectus and other information that is incorporated by reference into the offer</w:t>
      </w:r>
      <w:r w:rsidR="00C614F1">
        <w:noBreakHyphen/>
      </w:r>
      <w:r w:rsidRPr="00CD5673">
        <w:t>specific prospectus and this base prospectus.</w:t>
      </w:r>
    </w:p>
    <w:p w14:paraId="585AA09E" w14:textId="77777777" w:rsidR="00D46430" w:rsidRPr="00CD5673" w:rsidRDefault="00D46430" w:rsidP="00D46430">
      <w:pPr>
        <w:pStyle w:val="paragraph"/>
      </w:pPr>
      <w:r w:rsidRPr="00CD5673">
        <w:tab/>
        <w:t>(e)</w:t>
      </w:r>
      <w:r w:rsidRPr="00CD5673">
        <w:tab/>
        <w:t>To find out more about the pros and cons of investing in corporate bonds, visit ASIC’s MoneySmart website: http://moneysmart.gov.au.</w:t>
      </w:r>
    </w:p>
    <w:p w14:paraId="27D0C343" w14:textId="77777777" w:rsidR="00D46430" w:rsidRPr="00CD5673" w:rsidRDefault="00D46430" w:rsidP="00D46430">
      <w:pPr>
        <w:pStyle w:val="SubsectionHead"/>
      </w:pPr>
      <w:r w:rsidRPr="00CD5673">
        <w:lastRenderedPageBreak/>
        <w:t>Section 2: About the bonds</w:t>
      </w:r>
    </w:p>
    <w:p w14:paraId="0EDFB078" w14:textId="77777777" w:rsidR="00D46430" w:rsidRPr="00CD5673" w:rsidRDefault="00D46430" w:rsidP="00D46430">
      <w:pPr>
        <w:pStyle w:val="subsection"/>
      </w:pPr>
      <w:r w:rsidRPr="00CD5673">
        <w:tab/>
        <w:t>(5)</w:t>
      </w:r>
      <w:r w:rsidRPr="00CD5673">
        <w:tab/>
        <w:t>The following information must be contained in section 2 of a base prospectus:</w:t>
      </w:r>
    </w:p>
    <w:p w14:paraId="368197E1" w14:textId="77777777" w:rsidR="00D46430" w:rsidRPr="00CD5673" w:rsidRDefault="00D46430" w:rsidP="00D46430">
      <w:pPr>
        <w:pStyle w:val="paragraph"/>
      </w:pPr>
      <w:r w:rsidRPr="00CD5673">
        <w:tab/>
        <w:t>(a)</w:t>
      </w:r>
      <w:r w:rsidRPr="00CD5673">
        <w:tab/>
        <w:t>information on the program of the bonds (if applicable), including any pre</w:t>
      </w:r>
      <w:r w:rsidR="00C614F1">
        <w:noBreakHyphen/>
      </w:r>
      <w:r w:rsidRPr="00CD5673">
        <w:t>planned future issues of bonds;</w:t>
      </w:r>
    </w:p>
    <w:p w14:paraId="24AC53A1" w14:textId="77777777" w:rsidR="00D46430" w:rsidRPr="00CD5673" w:rsidRDefault="00D46430" w:rsidP="00D46430">
      <w:pPr>
        <w:pStyle w:val="paragraph"/>
      </w:pPr>
      <w:r w:rsidRPr="00CD5673">
        <w:tab/>
        <w:t>(b)</w:t>
      </w:r>
      <w:r w:rsidRPr="00CD5673">
        <w:tab/>
        <w:t>details of the key aspects of the bonds, including information about the following matters:</w:t>
      </w:r>
    </w:p>
    <w:p w14:paraId="02110682" w14:textId="77777777" w:rsidR="00D46430" w:rsidRPr="00CD5673" w:rsidRDefault="00D46430" w:rsidP="00D46430">
      <w:pPr>
        <w:pStyle w:val="paragraphsub"/>
      </w:pPr>
      <w:r w:rsidRPr="00CD5673">
        <w:tab/>
        <w:t>(i)</w:t>
      </w:r>
      <w:r w:rsidRPr="00CD5673">
        <w:tab/>
        <w:t>the interaction between the coupon rate and yield;</w:t>
      </w:r>
    </w:p>
    <w:p w14:paraId="6233537C" w14:textId="77777777" w:rsidR="00D46430" w:rsidRPr="00CD5673" w:rsidRDefault="00D46430" w:rsidP="00D46430">
      <w:pPr>
        <w:pStyle w:val="paragraphsub"/>
      </w:pPr>
      <w:r w:rsidRPr="00CD5673">
        <w:tab/>
        <w:t>(ii)</w:t>
      </w:r>
      <w:r w:rsidRPr="00CD5673">
        <w:tab/>
        <w:t>the interest rate of the bonds;</w:t>
      </w:r>
    </w:p>
    <w:p w14:paraId="6616A6F8" w14:textId="77777777" w:rsidR="00D46430" w:rsidRPr="00CD5673" w:rsidRDefault="00D46430" w:rsidP="00D46430">
      <w:pPr>
        <w:pStyle w:val="paragraphsub"/>
      </w:pPr>
      <w:r w:rsidRPr="00CD5673">
        <w:tab/>
        <w:t>(iii)</w:t>
      </w:r>
      <w:r w:rsidRPr="00CD5673">
        <w:tab/>
        <w:t>the term of the bonds;</w:t>
      </w:r>
    </w:p>
    <w:p w14:paraId="0E1070A8" w14:textId="77777777" w:rsidR="00D46430" w:rsidRPr="00CD5673" w:rsidRDefault="00D46430" w:rsidP="00D46430">
      <w:pPr>
        <w:pStyle w:val="paragraphsub"/>
      </w:pPr>
      <w:r w:rsidRPr="00CD5673">
        <w:tab/>
        <w:t>(iv)</w:t>
      </w:r>
      <w:r w:rsidRPr="00CD5673">
        <w:tab/>
        <w:t>the maturity and redemption of the bonds;</w:t>
      </w:r>
    </w:p>
    <w:p w14:paraId="27BE9A79" w14:textId="77777777" w:rsidR="00D46430" w:rsidRPr="00CD5673" w:rsidRDefault="00D46430" w:rsidP="00D46430">
      <w:pPr>
        <w:pStyle w:val="paragraphsub"/>
      </w:pPr>
      <w:r w:rsidRPr="00CD5673">
        <w:tab/>
        <w:t>(v)</w:t>
      </w:r>
      <w:r w:rsidRPr="00CD5673">
        <w:tab/>
        <w:t>events that will constitute default;</w:t>
      </w:r>
    </w:p>
    <w:p w14:paraId="5638EBB2" w14:textId="77777777" w:rsidR="00D46430" w:rsidRPr="00CD5673" w:rsidRDefault="00D46430" w:rsidP="00D46430">
      <w:pPr>
        <w:pStyle w:val="paragraphsub"/>
      </w:pPr>
      <w:r w:rsidRPr="00CD5673">
        <w:tab/>
        <w:t>(vi)</w:t>
      </w:r>
      <w:r w:rsidRPr="00CD5673">
        <w:tab/>
        <w:t>guarantees in relation to the bonds and information about any guarantors;</w:t>
      </w:r>
    </w:p>
    <w:p w14:paraId="60B70067" w14:textId="77777777" w:rsidR="00D46430" w:rsidRPr="00CD5673" w:rsidRDefault="00D46430" w:rsidP="00D46430">
      <w:pPr>
        <w:pStyle w:val="paragraphsub"/>
      </w:pPr>
      <w:r w:rsidRPr="00CD5673">
        <w:tab/>
        <w:t>(vii)</w:t>
      </w:r>
      <w:r w:rsidRPr="00CD5673">
        <w:tab/>
        <w:t>security and ranking.</w:t>
      </w:r>
    </w:p>
    <w:p w14:paraId="6797491B" w14:textId="77777777" w:rsidR="00D46430" w:rsidRPr="00CD5673" w:rsidRDefault="00D46430" w:rsidP="00D46430">
      <w:pPr>
        <w:pStyle w:val="notetext"/>
      </w:pPr>
      <w:r w:rsidRPr="00CD5673">
        <w:t>Note:</w:t>
      </w:r>
      <w:r w:rsidRPr="00CD5673">
        <w:tab/>
        <w:t>If information mentioned in this subregulation is contained in another document that has been lodged with ASIC, a base prospectus may refer to that lodged document instead of setting out the information (see section 713E of the Act).</w:t>
      </w:r>
    </w:p>
    <w:p w14:paraId="31DC7AE9" w14:textId="77777777" w:rsidR="00D46430" w:rsidRPr="00CD5673" w:rsidRDefault="00D46430" w:rsidP="00D46430">
      <w:pPr>
        <w:pStyle w:val="SubsectionHead"/>
      </w:pPr>
      <w:r w:rsidRPr="00CD5673">
        <w:t>Section 3: About the issuer</w:t>
      </w:r>
    </w:p>
    <w:p w14:paraId="7263F7E9" w14:textId="77777777" w:rsidR="00D46430" w:rsidRPr="00CD5673" w:rsidRDefault="00D46430" w:rsidP="00D46430">
      <w:pPr>
        <w:pStyle w:val="subsection"/>
      </w:pPr>
      <w:r w:rsidRPr="00CD5673">
        <w:tab/>
        <w:t>(6)</w:t>
      </w:r>
      <w:r w:rsidRPr="00CD5673">
        <w:tab/>
        <w:t>The following information must be contained in section 3 of a base prospectus:</w:t>
      </w:r>
    </w:p>
    <w:p w14:paraId="002A997D" w14:textId="77777777" w:rsidR="00D46430" w:rsidRPr="00CD5673" w:rsidRDefault="00D46430" w:rsidP="00D46430">
      <w:pPr>
        <w:pStyle w:val="paragraph"/>
      </w:pPr>
      <w:r w:rsidRPr="00CD5673">
        <w:tab/>
        <w:t>(a)</w:t>
      </w:r>
      <w:r w:rsidRPr="00CD5673">
        <w:tab/>
        <w:t>brief information about the issuing body that includes a summary of the body’s:</w:t>
      </w:r>
    </w:p>
    <w:p w14:paraId="7D4EFCFD" w14:textId="77777777" w:rsidR="00D46430" w:rsidRPr="00CD5673" w:rsidRDefault="00D46430" w:rsidP="00D46430">
      <w:pPr>
        <w:pStyle w:val="paragraphsub"/>
      </w:pPr>
      <w:r w:rsidRPr="00CD5673">
        <w:tab/>
        <w:t>(i)</w:t>
      </w:r>
      <w:r w:rsidRPr="00CD5673">
        <w:tab/>
        <w:t>business; and</w:t>
      </w:r>
    </w:p>
    <w:p w14:paraId="5A4C7909" w14:textId="77777777" w:rsidR="00D46430" w:rsidRPr="00CD5673" w:rsidRDefault="00D46430" w:rsidP="00D46430">
      <w:pPr>
        <w:pStyle w:val="paragraphsub"/>
      </w:pPr>
      <w:r w:rsidRPr="00CD5673">
        <w:tab/>
        <w:t>(ii)</w:t>
      </w:r>
      <w:r w:rsidRPr="00CD5673">
        <w:tab/>
        <w:t>management personnel (including directors and senior managers); and</w:t>
      </w:r>
    </w:p>
    <w:p w14:paraId="42CC318D" w14:textId="77777777" w:rsidR="00D46430" w:rsidRPr="00CD5673" w:rsidRDefault="00D46430" w:rsidP="00D46430">
      <w:pPr>
        <w:pStyle w:val="paragraphsub"/>
      </w:pPr>
      <w:r w:rsidRPr="00CD5673">
        <w:tab/>
        <w:t>(iii)</w:t>
      </w:r>
      <w:r w:rsidRPr="00CD5673">
        <w:tab/>
        <w:t>business strategy; and</w:t>
      </w:r>
    </w:p>
    <w:p w14:paraId="2E95BB8D" w14:textId="77777777" w:rsidR="00D46430" w:rsidRPr="00CD5673" w:rsidRDefault="00D46430" w:rsidP="00D46430">
      <w:pPr>
        <w:pStyle w:val="paragraphsub"/>
      </w:pPr>
      <w:r w:rsidRPr="00CD5673">
        <w:tab/>
        <w:t>(iv)</w:t>
      </w:r>
      <w:r w:rsidRPr="00CD5673">
        <w:tab/>
        <w:t>governance arrangements;</w:t>
      </w:r>
    </w:p>
    <w:p w14:paraId="4148D515" w14:textId="77777777" w:rsidR="00D46430" w:rsidRPr="00CD5673" w:rsidRDefault="00D46430" w:rsidP="00D46430">
      <w:pPr>
        <w:pStyle w:val="paragraph"/>
      </w:pPr>
      <w:r w:rsidRPr="00CD5673">
        <w:tab/>
        <w:t>(b)</w:t>
      </w:r>
      <w:r w:rsidRPr="00CD5673">
        <w:tab/>
        <w:t>the trust deed relating to the issuing body;</w:t>
      </w:r>
    </w:p>
    <w:p w14:paraId="22235DB3" w14:textId="77777777" w:rsidR="00D46430" w:rsidRPr="00CD5673" w:rsidRDefault="00D46430" w:rsidP="00D46430">
      <w:pPr>
        <w:pStyle w:val="paragraph"/>
      </w:pPr>
      <w:r w:rsidRPr="00CD5673">
        <w:tab/>
        <w:t>(c)</w:t>
      </w:r>
      <w:r w:rsidRPr="00CD5673">
        <w:tab/>
        <w:t>an explanation of the role of the trustee;</w:t>
      </w:r>
    </w:p>
    <w:p w14:paraId="41CE520D" w14:textId="77777777" w:rsidR="00D46430" w:rsidRPr="00CD5673" w:rsidRDefault="00D46430" w:rsidP="00D46430">
      <w:pPr>
        <w:pStyle w:val="paragraph"/>
      </w:pPr>
      <w:r w:rsidRPr="00CD5673">
        <w:tab/>
        <w:t>(d)</w:t>
      </w:r>
      <w:r w:rsidRPr="00CD5673">
        <w:tab/>
        <w:t>additional information about the issuing body that relates to the investment decision, and where that information can be obtained, including:</w:t>
      </w:r>
    </w:p>
    <w:p w14:paraId="232E9524" w14:textId="77777777" w:rsidR="00D46430" w:rsidRPr="00CD5673" w:rsidRDefault="00D46430" w:rsidP="00D46430">
      <w:pPr>
        <w:pStyle w:val="paragraphsub"/>
      </w:pPr>
      <w:r w:rsidRPr="00CD5673">
        <w:tab/>
        <w:t>(i)</w:t>
      </w:r>
      <w:r w:rsidRPr="00CD5673">
        <w:tab/>
        <w:t>a reference to the issuing body’s annual report and financial report; and</w:t>
      </w:r>
    </w:p>
    <w:p w14:paraId="4D1C4671" w14:textId="77777777" w:rsidR="00D46430" w:rsidRPr="00CD5673" w:rsidRDefault="00D46430" w:rsidP="00D46430">
      <w:pPr>
        <w:pStyle w:val="paragraphsub"/>
      </w:pPr>
      <w:r w:rsidRPr="00CD5673">
        <w:tab/>
        <w:t>(ii)</w:t>
      </w:r>
      <w:r w:rsidRPr="00CD5673">
        <w:tab/>
        <w:t>a reference to any half</w:t>
      </w:r>
      <w:r w:rsidR="00C614F1">
        <w:noBreakHyphen/>
      </w:r>
      <w:r w:rsidRPr="00CD5673">
        <w:t>year report that the issuing body lodged with ASIC after it lodged an annual financial report and before it lodged the most recent copy of the base prospectus with ASIC; and</w:t>
      </w:r>
    </w:p>
    <w:p w14:paraId="50C73803" w14:textId="77777777" w:rsidR="00D46430" w:rsidRPr="00CD5673" w:rsidRDefault="00D46430" w:rsidP="00D46430">
      <w:pPr>
        <w:pStyle w:val="paragraph"/>
      </w:pPr>
      <w:r w:rsidRPr="00CD5673">
        <w:tab/>
        <w:t>(e)</w:t>
      </w:r>
      <w:r w:rsidRPr="00CD5673">
        <w:tab/>
        <w:t>the key financial ratios, calculated in accordance with regulation 6D.2.06, that are relevant to the issuing body, accompanied by:</w:t>
      </w:r>
    </w:p>
    <w:p w14:paraId="05BCB890" w14:textId="77777777" w:rsidR="00D46430" w:rsidRPr="00CD5673" w:rsidRDefault="00D46430" w:rsidP="00D46430">
      <w:pPr>
        <w:pStyle w:val="paragraphsub"/>
      </w:pPr>
      <w:r w:rsidRPr="00CD5673">
        <w:tab/>
        <w:t>(i)</w:t>
      </w:r>
      <w:r w:rsidRPr="00CD5673">
        <w:tab/>
        <w:t>an explanation of those key financial ratios; and</w:t>
      </w:r>
    </w:p>
    <w:p w14:paraId="34012E40" w14:textId="77777777" w:rsidR="00D46430" w:rsidRPr="00CD5673" w:rsidRDefault="00D46430" w:rsidP="00D46430">
      <w:pPr>
        <w:pStyle w:val="paragraphsub"/>
      </w:pPr>
      <w:r w:rsidRPr="00CD5673">
        <w:tab/>
        <w:t>(ii)</w:t>
      </w:r>
      <w:r w:rsidRPr="00CD5673">
        <w:tab/>
        <w:t>information about how a change to those key financial ratios may affect the bonds to be issued under the base prospectus.</w:t>
      </w:r>
    </w:p>
    <w:p w14:paraId="2C582119" w14:textId="77777777" w:rsidR="00D46430" w:rsidRPr="00CD5673" w:rsidRDefault="00D46430" w:rsidP="00D46430">
      <w:pPr>
        <w:pStyle w:val="notetext"/>
      </w:pPr>
      <w:r w:rsidRPr="00CD5673">
        <w:t>Note:</w:t>
      </w:r>
      <w:r w:rsidRPr="00CD5673">
        <w:tab/>
        <w:t>If information mentioned in this subregulation is contained in another document that has been lodged with ASIC, a base prospectus may refer to that lodged document instead of setting out the information (see section 713E of the Act).</w:t>
      </w:r>
    </w:p>
    <w:p w14:paraId="4BFA795F" w14:textId="77777777" w:rsidR="00D46430" w:rsidRPr="00CD5673" w:rsidRDefault="00D46430" w:rsidP="00D46430">
      <w:pPr>
        <w:pStyle w:val="subsection"/>
      </w:pPr>
      <w:r w:rsidRPr="00CD5673">
        <w:tab/>
        <w:t>(7)</w:t>
      </w:r>
      <w:r w:rsidRPr="00CD5673">
        <w:tab/>
        <w:t>The following statements, or statements to the same effect as the following statements, must be set out in section 3 of a base prospectus:</w:t>
      </w:r>
    </w:p>
    <w:p w14:paraId="630F21AD" w14:textId="77777777" w:rsidR="00D46430" w:rsidRPr="00CD5673" w:rsidRDefault="00D46430" w:rsidP="00D46430">
      <w:pPr>
        <w:pStyle w:val="subsection2"/>
      </w:pPr>
      <w:r w:rsidRPr="00CD5673">
        <w:t>A publicly listed entity must release financial reports and continuously disclose information that may have an impact on its share or bond price. This information is available publicly on the relevant market exchange. You should consider this information when making an investment decision about bonds. While this information is important, it is not considered part of the disclosure document for the offer of bonds using this base prospectus.</w:t>
      </w:r>
    </w:p>
    <w:p w14:paraId="568BE6D4" w14:textId="77777777" w:rsidR="00D46430" w:rsidRPr="00CD5673" w:rsidRDefault="00D46430" w:rsidP="00D46430">
      <w:pPr>
        <w:pStyle w:val="SubsectionHead"/>
      </w:pPr>
      <w:r w:rsidRPr="00CD5673">
        <w:t>Section 4: Risks</w:t>
      </w:r>
    </w:p>
    <w:p w14:paraId="50232BF4" w14:textId="77777777" w:rsidR="00D46430" w:rsidRPr="00CD5673" w:rsidRDefault="00D46430" w:rsidP="00D46430">
      <w:pPr>
        <w:pStyle w:val="subsection"/>
      </w:pPr>
      <w:r w:rsidRPr="00CD5673">
        <w:tab/>
        <w:t>(8)</w:t>
      </w:r>
      <w:r w:rsidRPr="00CD5673">
        <w:tab/>
        <w:t>The following information must be contained in section 4 of a base prospectus:</w:t>
      </w:r>
    </w:p>
    <w:p w14:paraId="705A20C8" w14:textId="77777777" w:rsidR="00D46430" w:rsidRPr="00CD5673" w:rsidRDefault="00D46430" w:rsidP="00D46430">
      <w:pPr>
        <w:pStyle w:val="paragraph"/>
      </w:pPr>
      <w:r w:rsidRPr="00CD5673">
        <w:tab/>
        <w:t>(a)</w:t>
      </w:r>
      <w:r w:rsidRPr="00CD5673">
        <w:tab/>
        <w:t>the main risks associated with bonds and an explanation of those risks;</w:t>
      </w:r>
    </w:p>
    <w:p w14:paraId="4CA87D22" w14:textId="77777777" w:rsidR="00D46430" w:rsidRPr="00CD5673" w:rsidRDefault="00D46430" w:rsidP="00D46430">
      <w:pPr>
        <w:pStyle w:val="paragraph"/>
      </w:pPr>
      <w:r w:rsidRPr="00CD5673">
        <w:tab/>
        <w:t>(b)</w:t>
      </w:r>
      <w:r w:rsidRPr="00CD5673">
        <w:tab/>
        <w:t>the issuing body’s main business risks;</w:t>
      </w:r>
    </w:p>
    <w:p w14:paraId="76D57184" w14:textId="77777777" w:rsidR="00D46430" w:rsidRPr="00CD5673" w:rsidRDefault="00D46430" w:rsidP="00D46430">
      <w:pPr>
        <w:pStyle w:val="paragraph"/>
      </w:pPr>
      <w:r w:rsidRPr="00CD5673">
        <w:tab/>
        <w:t>(c)</w:t>
      </w:r>
      <w:r w:rsidRPr="00CD5673">
        <w:tab/>
        <w:t>if other risks specific to bonds may be relevant to a consumer’s investment decision—an explanation of those other risks;</w:t>
      </w:r>
    </w:p>
    <w:p w14:paraId="7570D1EE" w14:textId="77777777" w:rsidR="00D46430" w:rsidRPr="00CD5673" w:rsidRDefault="00D46430" w:rsidP="00D46430">
      <w:pPr>
        <w:pStyle w:val="paragraph"/>
      </w:pPr>
      <w:r w:rsidRPr="00CD5673">
        <w:tab/>
        <w:t>(d)</w:t>
      </w:r>
      <w:r w:rsidRPr="00CD5673">
        <w:tab/>
        <w:t>if other business risks may be relevant to a consumer’s investment decision—an explanation of those other risks.</w:t>
      </w:r>
    </w:p>
    <w:p w14:paraId="043296C5" w14:textId="77777777" w:rsidR="00D46430" w:rsidRPr="00CD5673" w:rsidRDefault="00D46430" w:rsidP="00D46430">
      <w:pPr>
        <w:pStyle w:val="notetext"/>
      </w:pPr>
      <w:r w:rsidRPr="00CD5673">
        <w:lastRenderedPageBreak/>
        <w:t>Note:</w:t>
      </w:r>
      <w:r w:rsidRPr="00CD5673">
        <w:tab/>
        <w:t>If information mentioned in this subregulation is contained in another document that has been lodged with ASIC, a base prospectus may refer to that lodged document instead of setting out the information (see section 713E of the Act).</w:t>
      </w:r>
    </w:p>
    <w:p w14:paraId="23CEA80F" w14:textId="77777777" w:rsidR="00D46430" w:rsidRPr="00CD5673" w:rsidRDefault="00D46430" w:rsidP="00D46430">
      <w:pPr>
        <w:pStyle w:val="SubsectionHead"/>
      </w:pPr>
      <w:r w:rsidRPr="00CD5673">
        <w:t>Section 5: Other information you should consider</w:t>
      </w:r>
    </w:p>
    <w:p w14:paraId="4A120C88" w14:textId="77777777" w:rsidR="00D46430" w:rsidRPr="00CD5673" w:rsidRDefault="00D46430" w:rsidP="00D46430">
      <w:pPr>
        <w:pStyle w:val="subsection"/>
      </w:pPr>
      <w:r w:rsidRPr="00CD5673">
        <w:tab/>
        <w:t>(9)</w:t>
      </w:r>
      <w:r w:rsidRPr="00CD5673">
        <w:tab/>
        <w:t>The following information must be contained in section 5 of a base prospectus:</w:t>
      </w:r>
    </w:p>
    <w:p w14:paraId="3177A961" w14:textId="77777777" w:rsidR="00D46430" w:rsidRPr="00CD5673" w:rsidRDefault="00D46430" w:rsidP="00D46430">
      <w:pPr>
        <w:pStyle w:val="paragraph"/>
      </w:pPr>
      <w:r w:rsidRPr="00CD5673">
        <w:tab/>
        <w:t>(a)</w:t>
      </w:r>
      <w:r w:rsidRPr="00CD5673">
        <w:tab/>
        <w:t>an explanation of the consequences, relating to taxation, of investing in bonds;</w:t>
      </w:r>
    </w:p>
    <w:p w14:paraId="56A9BE43" w14:textId="77777777" w:rsidR="00D46430" w:rsidRPr="00CD5673" w:rsidRDefault="00D46430" w:rsidP="00D46430">
      <w:pPr>
        <w:pStyle w:val="paragraph"/>
      </w:pPr>
      <w:r w:rsidRPr="00CD5673">
        <w:tab/>
        <w:t>(b)</w:t>
      </w:r>
      <w:r w:rsidRPr="00CD5673">
        <w:tab/>
        <w:t>information relating to privacy in general and the issuing body’s obligations under privacy laws;</w:t>
      </w:r>
    </w:p>
    <w:p w14:paraId="48F4E9E1" w14:textId="77777777" w:rsidR="00D46430" w:rsidRPr="00CD5673" w:rsidRDefault="00D46430" w:rsidP="00D46430">
      <w:pPr>
        <w:pStyle w:val="paragraph"/>
      </w:pPr>
      <w:r w:rsidRPr="00CD5673">
        <w:tab/>
        <w:t>(c)</w:t>
      </w:r>
      <w:r w:rsidRPr="00CD5673">
        <w:tab/>
        <w:t>any applicable selling restrictions.</w:t>
      </w:r>
    </w:p>
    <w:p w14:paraId="76BD38E6" w14:textId="77777777" w:rsidR="00D46430" w:rsidRPr="00CD5673" w:rsidRDefault="00D46430" w:rsidP="00D46430">
      <w:pPr>
        <w:pStyle w:val="notetext"/>
      </w:pPr>
      <w:r w:rsidRPr="00CD5673">
        <w:t>Note:</w:t>
      </w:r>
      <w:r w:rsidRPr="00CD5673">
        <w:tab/>
        <w:t>If information mentioned in this subregulation is contained in another document that has been lodged with ASIC, a base prospectus may refer to that lodged document instead of setting out the information (see section 713E of the Act).</w:t>
      </w:r>
    </w:p>
    <w:p w14:paraId="543CB96D" w14:textId="77777777" w:rsidR="00D46430" w:rsidRPr="00CD5673" w:rsidRDefault="00D46430" w:rsidP="00D46430">
      <w:pPr>
        <w:pStyle w:val="subsection"/>
      </w:pPr>
      <w:r w:rsidRPr="00CD5673">
        <w:tab/>
        <w:t>(10)</w:t>
      </w:r>
      <w:r w:rsidRPr="00CD5673">
        <w:tab/>
        <w:t>The following statements, or statements to the same effect as the following statements, must be set out in section 5 of a base prospectus:</w:t>
      </w:r>
    </w:p>
    <w:p w14:paraId="38A27DC3" w14:textId="77777777" w:rsidR="00D46430" w:rsidRPr="00CD5673" w:rsidRDefault="00D46430" w:rsidP="00D46430">
      <w:pPr>
        <w:pStyle w:val="paragraph"/>
      </w:pPr>
      <w:r w:rsidRPr="00CD5673">
        <w:tab/>
        <w:t>(a)</w:t>
      </w:r>
      <w:r w:rsidRPr="00CD5673">
        <w:tab/>
        <w:t>More information on the tax implications associated with investing in bonds can be found on the Australian Taxation Office’s website: http://www.ato.gov.au.</w:t>
      </w:r>
    </w:p>
    <w:p w14:paraId="4CBF82A6" w14:textId="77777777" w:rsidR="00D46430" w:rsidRPr="00CD5673" w:rsidRDefault="00D46430" w:rsidP="00D46430">
      <w:pPr>
        <w:pStyle w:val="paragraph"/>
      </w:pPr>
      <w:r w:rsidRPr="00CD5673">
        <w:tab/>
        <w:t>(b)</w:t>
      </w:r>
      <w:r w:rsidRPr="00CD5673">
        <w:tab/>
        <w:t>The following is a list of material referred to, but not set out in full, in this base prospectus. However, the material (or relevant extracts of the material) is incorporated by reference and, as such, forms part of the offer of bonds covered by this base prospectus.</w:t>
      </w:r>
    </w:p>
    <w:p w14:paraId="6A03E7DA" w14:textId="77777777" w:rsidR="00D46430" w:rsidRPr="00CD5673" w:rsidRDefault="00D46430" w:rsidP="00D46430">
      <w:pPr>
        <w:pStyle w:val="subsection"/>
      </w:pPr>
      <w:r w:rsidRPr="00CD5673">
        <w:tab/>
        <w:t>(11)</w:t>
      </w:r>
      <w:r w:rsidRPr="00CD5673">
        <w:tab/>
        <w:t>Section 5 of a base prospectus must contain a list of material referred to, but not set out in full, in the prospectus.</w:t>
      </w:r>
    </w:p>
    <w:p w14:paraId="32E29653" w14:textId="77777777" w:rsidR="00D46430" w:rsidRPr="00CD5673" w:rsidRDefault="00D46430" w:rsidP="00D46430">
      <w:pPr>
        <w:pStyle w:val="SubsectionHead"/>
      </w:pPr>
      <w:r w:rsidRPr="00CD5673">
        <w:t>Section 6: Glossary</w:t>
      </w:r>
    </w:p>
    <w:p w14:paraId="39ADB8DB" w14:textId="77777777" w:rsidR="00D46430" w:rsidRPr="00CD5673" w:rsidRDefault="00D46430" w:rsidP="00D46430">
      <w:pPr>
        <w:pStyle w:val="subsection"/>
      </w:pPr>
      <w:r w:rsidRPr="00CD5673">
        <w:tab/>
        <w:t>(12)</w:t>
      </w:r>
      <w:r w:rsidRPr="00CD5673">
        <w:tab/>
        <w:t>The information that section 6 of a base prospectus must contain is information that is adequate to explain the meanings of terms required to understand the content of:</w:t>
      </w:r>
    </w:p>
    <w:p w14:paraId="58998711" w14:textId="77777777" w:rsidR="00D46430" w:rsidRPr="00CD5673" w:rsidRDefault="00D46430" w:rsidP="00D46430">
      <w:pPr>
        <w:pStyle w:val="paragraph"/>
      </w:pPr>
      <w:r w:rsidRPr="00CD5673">
        <w:tab/>
        <w:t>(a)</w:t>
      </w:r>
      <w:r w:rsidRPr="00CD5673">
        <w:tab/>
        <w:t>the base prospectus; or</w:t>
      </w:r>
    </w:p>
    <w:p w14:paraId="14DF8B64" w14:textId="77777777" w:rsidR="00D46430" w:rsidRPr="00CD5673" w:rsidRDefault="00D46430" w:rsidP="00D46430">
      <w:pPr>
        <w:pStyle w:val="paragraph"/>
      </w:pPr>
      <w:r w:rsidRPr="00CD5673">
        <w:tab/>
        <w:t>(b)</w:t>
      </w:r>
      <w:r w:rsidRPr="00CD5673">
        <w:tab/>
        <w:t>the offer</w:t>
      </w:r>
      <w:r w:rsidR="00C614F1">
        <w:noBreakHyphen/>
      </w:r>
      <w:r w:rsidRPr="00CD5673">
        <w:t>specific prospectus that is combined with the base prospectus to create a 2</w:t>
      </w:r>
      <w:r w:rsidR="00C614F1">
        <w:noBreakHyphen/>
      </w:r>
      <w:r w:rsidRPr="00CD5673">
        <w:t>part simple corporate bonds prospectus.</w:t>
      </w:r>
    </w:p>
    <w:p w14:paraId="5EF34A9A" w14:textId="77777777" w:rsidR="00D46430" w:rsidRPr="00CD5673" w:rsidRDefault="00D46430" w:rsidP="00D46430">
      <w:pPr>
        <w:pStyle w:val="notetext"/>
      </w:pPr>
      <w:r w:rsidRPr="00CD5673">
        <w:t>Note:</w:t>
      </w:r>
      <w:r w:rsidRPr="00CD5673">
        <w:tab/>
        <w:t>See section 713B of the Act.</w:t>
      </w:r>
    </w:p>
    <w:p w14:paraId="3681D687" w14:textId="77777777" w:rsidR="00D46430" w:rsidRPr="00CD5673" w:rsidRDefault="00D46430" w:rsidP="00D46430">
      <w:pPr>
        <w:pStyle w:val="ActHead5"/>
      </w:pPr>
      <w:bookmarkStart w:id="367" w:name="_Toc158711974"/>
      <w:r w:rsidRPr="00C614F1">
        <w:rPr>
          <w:rStyle w:val="CharSectno"/>
        </w:rPr>
        <w:t>6D.2.05</w:t>
      </w:r>
      <w:r w:rsidRPr="00CD5673">
        <w:t xml:space="preserve">  Simple corporate bonds—offer</w:t>
      </w:r>
      <w:r w:rsidR="00C614F1">
        <w:noBreakHyphen/>
      </w:r>
      <w:r w:rsidRPr="00CD5673">
        <w:t>specific prospectus</w:t>
      </w:r>
      <w:bookmarkEnd w:id="367"/>
    </w:p>
    <w:p w14:paraId="2E0FD80E" w14:textId="77777777" w:rsidR="00D46430" w:rsidRPr="00CD5673" w:rsidRDefault="00D46430" w:rsidP="00D46430">
      <w:pPr>
        <w:pStyle w:val="subsection"/>
      </w:pPr>
      <w:r w:rsidRPr="00CD5673">
        <w:tab/>
        <w:t>(1)</w:t>
      </w:r>
      <w:r w:rsidRPr="00CD5673">
        <w:tab/>
        <w:t>For subsections 713D(6) and (7) of the Act, this regulation specifies:</w:t>
      </w:r>
    </w:p>
    <w:p w14:paraId="30E050DA" w14:textId="77777777" w:rsidR="00D46430" w:rsidRPr="00CD5673" w:rsidRDefault="00D46430" w:rsidP="00D46430">
      <w:pPr>
        <w:pStyle w:val="paragraph"/>
      </w:pPr>
      <w:r w:rsidRPr="00CD5673">
        <w:tab/>
        <w:t>(a)</w:t>
      </w:r>
      <w:r w:rsidRPr="00CD5673">
        <w:tab/>
        <w:t>the information that must be contained in an offer</w:t>
      </w:r>
      <w:r w:rsidR="00C614F1">
        <w:noBreakHyphen/>
      </w:r>
      <w:r w:rsidRPr="00CD5673">
        <w:t>specific prospectus for an offer of simple corporate bonds; and</w:t>
      </w:r>
    </w:p>
    <w:p w14:paraId="288A84C7" w14:textId="77777777" w:rsidR="00D46430" w:rsidRPr="00CD5673" w:rsidRDefault="00D46430" w:rsidP="00D46430">
      <w:pPr>
        <w:pStyle w:val="paragraph"/>
      </w:pPr>
      <w:r w:rsidRPr="00CD5673">
        <w:tab/>
        <w:t>(b)</w:t>
      </w:r>
      <w:r w:rsidRPr="00CD5673">
        <w:tab/>
        <w:t>the statements that must be set out in an offer</w:t>
      </w:r>
      <w:r w:rsidR="00C614F1">
        <w:noBreakHyphen/>
      </w:r>
      <w:r w:rsidRPr="00CD5673">
        <w:t>specific prospectus for an offer of simple corporate bonds.</w:t>
      </w:r>
    </w:p>
    <w:p w14:paraId="65148801" w14:textId="77777777" w:rsidR="00D46430" w:rsidRPr="00CD5673" w:rsidRDefault="00D46430" w:rsidP="00D46430">
      <w:pPr>
        <w:pStyle w:val="subsection"/>
      </w:pPr>
      <w:r w:rsidRPr="00CD5673">
        <w:tab/>
        <w:t>(2)</w:t>
      </w:r>
      <w:r w:rsidRPr="00CD5673">
        <w:tab/>
        <w:t>Subregulation (1) does not prevent an offer</w:t>
      </w:r>
      <w:r w:rsidR="00C614F1">
        <w:noBreakHyphen/>
      </w:r>
      <w:r w:rsidRPr="00CD5673">
        <w:t>specific prospectus from containing other material or setting out other statements.</w:t>
      </w:r>
    </w:p>
    <w:p w14:paraId="5FB273AA" w14:textId="77777777" w:rsidR="00D46430" w:rsidRPr="00CD5673" w:rsidRDefault="00D46430" w:rsidP="00D46430">
      <w:pPr>
        <w:pStyle w:val="subsection"/>
      </w:pPr>
      <w:r w:rsidRPr="00CD5673">
        <w:tab/>
        <w:t>(3)</w:t>
      </w:r>
      <w:r w:rsidRPr="00CD5673">
        <w:tab/>
        <w:t>An offer</w:t>
      </w:r>
      <w:r w:rsidR="00C614F1">
        <w:noBreakHyphen/>
      </w:r>
      <w:r w:rsidRPr="00CD5673">
        <w:t>specific prospectus for an offer of simple corporate bonds must contain a table of contents and sections dealing with the following matters:</w:t>
      </w:r>
    </w:p>
    <w:p w14:paraId="5C0C30C6" w14:textId="77777777" w:rsidR="00D46430" w:rsidRPr="00CD5673" w:rsidRDefault="00D46430" w:rsidP="00D46430">
      <w:pPr>
        <w:pStyle w:val="paragraph"/>
      </w:pPr>
      <w:r w:rsidRPr="00CD5673">
        <w:tab/>
        <w:t>(a)</w:t>
      </w:r>
      <w:r w:rsidRPr="00CD5673">
        <w:tab/>
        <w:t>Section 1: What you need to know;</w:t>
      </w:r>
    </w:p>
    <w:p w14:paraId="5AB80AF9" w14:textId="77777777" w:rsidR="00D46430" w:rsidRPr="00CD5673" w:rsidRDefault="00D46430" w:rsidP="00D46430">
      <w:pPr>
        <w:pStyle w:val="paragraph"/>
      </w:pPr>
      <w:r w:rsidRPr="00CD5673">
        <w:tab/>
        <w:t>(b)</w:t>
      </w:r>
      <w:r w:rsidRPr="00CD5673">
        <w:tab/>
        <w:t>Section 2: Key dates and offer details;</w:t>
      </w:r>
    </w:p>
    <w:p w14:paraId="6189D3A3" w14:textId="77777777" w:rsidR="00D46430" w:rsidRPr="00CD5673" w:rsidRDefault="00D46430" w:rsidP="00D46430">
      <w:pPr>
        <w:pStyle w:val="paragraph"/>
      </w:pPr>
      <w:r w:rsidRPr="00CD5673">
        <w:tab/>
        <w:t>(c)</w:t>
      </w:r>
      <w:r w:rsidRPr="00CD5673">
        <w:tab/>
        <w:t>Section 3: Offer</w:t>
      </w:r>
      <w:r w:rsidR="00C614F1">
        <w:noBreakHyphen/>
      </w:r>
      <w:r w:rsidRPr="00CD5673">
        <w:t>specific information you should consider.</w:t>
      </w:r>
    </w:p>
    <w:p w14:paraId="7F89049B" w14:textId="77777777" w:rsidR="00D46430" w:rsidRPr="00CD5673" w:rsidRDefault="00D46430" w:rsidP="00D46430">
      <w:pPr>
        <w:pStyle w:val="SubsectionHead"/>
      </w:pPr>
      <w:r w:rsidRPr="00CD5673">
        <w:t>Section 1: What you need to know</w:t>
      </w:r>
    </w:p>
    <w:p w14:paraId="468299D5" w14:textId="77777777" w:rsidR="00D46430" w:rsidRPr="00CD5673" w:rsidRDefault="00D46430" w:rsidP="00D46430">
      <w:pPr>
        <w:pStyle w:val="subsection"/>
      </w:pPr>
      <w:r w:rsidRPr="00CD5673">
        <w:tab/>
        <w:t>(4)</w:t>
      </w:r>
      <w:r w:rsidRPr="00CD5673">
        <w:tab/>
        <w:t>The following statements, or statements to the same effect as the following statements, must be set out in section 1 of an offer</w:t>
      </w:r>
      <w:r w:rsidR="00C614F1">
        <w:noBreakHyphen/>
      </w:r>
      <w:r w:rsidRPr="00CD5673">
        <w:t>specific prospectus:</w:t>
      </w:r>
    </w:p>
    <w:p w14:paraId="1B544D08" w14:textId="77777777" w:rsidR="00D46430" w:rsidRPr="00CD5673" w:rsidRDefault="00D46430" w:rsidP="00D46430">
      <w:pPr>
        <w:pStyle w:val="paragraph"/>
      </w:pPr>
      <w:r w:rsidRPr="00CD5673">
        <w:tab/>
        <w:t>(a)</w:t>
      </w:r>
      <w:r w:rsidRPr="00CD5673">
        <w:tab/>
        <w:t>This offer</w:t>
      </w:r>
      <w:r w:rsidR="00C614F1">
        <w:noBreakHyphen/>
      </w:r>
      <w:r w:rsidRPr="00CD5673">
        <w:t>specific prospectus is not a summary of the information contained in the base prospectus.</w:t>
      </w:r>
    </w:p>
    <w:p w14:paraId="0C1BFEC8" w14:textId="77777777" w:rsidR="00D46430" w:rsidRPr="00CD5673" w:rsidRDefault="00D46430" w:rsidP="00D46430">
      <w:pPr>
        <w:pStyle w:val="paragraph"/>
      </w:pPr>
      <w:r w:rsidRPr="00CD5673">
        <w:tab/>
        <w:t>(b)</w:t>
      </w:r>
      <w:r w:rsidRPr="00CD5673">
        <w:tab/>
        <w:t>This offer</w:t>
      </w:r>
      <w:r w:rsidR="00C614F1">
        <w:noBreakHyphen/>
      </w:r>
      <w:r w:rsidRPr="00CD5673">
        <w:t>specific prospectus is only relevant for this offer of bonds.</w:t>
      </w:r>
    </w:p>
    <w:p w14:paraId="2909EE16" w14:textId="77777777" w:rsidR="00D46430" w:rsidRPr="00CD5673" w:rsidRDefault="00D46430" w:rsidP="00D46430">
      <w:pPr>
        <w:pStyle w:val="paragraph"/>
      </w:pPr>
      <w:r w:rsidRPr="00CD5673">
        <w:tab/>
        <w:t>(c)</w:t>
      </w:r>
      <w:r w:rsidRPr="00CD5673">
        <w:tab/>
        <w:t>A base prospectus applies to this offer of bonds.</w:t>
      </w:r>
    </w:p>
    <w:p w14:paraId="7CFF9B01" w14:textId="77777777" w:rsidR="00D46430" w:rsidRPr="00CD5673" w:rsidRDefault="00D46430" w:rsidP="00D46430">
      <w:pPr>
        <w:pStyle w:val="paragraph"/>
      </w:pPr>
      <w:r w:rsidRPr="00CD5673">
        <w:tab/>
        <w:t>(d)</w:t>
      </w:r>
      <w:r w:rsidRPr="00CD5673">
        <w:tab/>
        <w:t>This offer</w:t>
      </w:r>
      <w:r w:rsidR="00C614F1">
        <w:noBreakHyphen/>
      </w:r>
      <w:r w:rsidRPr="00CD5673">
        <w:t>specific prospectus provides offer details, key dates and other relevant information for the offer. The base prospectus for this offer provides additional information that is also critical to your decision. You should take all of the information in the base prospectus into consideration before making your decision in relation to this offer.</w:t>
      </w:r>
    </w:p>
    <w:p w14:paraId="74EA6D78" w14:textId="77777777" w:rsidR="00D46430" w:rsidRPr="00CD5673" w:rsidRDefault="00D46430" w:rsidP="00D46430">
      <w:pPr>
        <w:pStyle w:val="paragraph"/>
      </w:pPr>
      <w:r w:rsidRPr="00CD5673">
        <w:lastRenderedPageBreak/>
        <w:tab/>
        <w:t>(e)</w:t>
      </w:r>
      <w:r w:rsidRPr="00CD5673">
        <w:tab/>
        <w:t>To find out more about the pros and cons of investing in corporate bonds, visit ASIC’s MoneySmart website: http://moneysmart.gov.au.</w:t>
      </w:r>
    </w:p>
    <w:p w14:paraId="60769B63" w14:textId="77777777" w:rsidR="00D46430" w:rsidRPr="00CD5673" w:rsidRDefault="00D46430" w:rsidP="00D46430">
      <w:pPr>
        <w:pStyle w:val="SubsectionHead"/>
      </w:pPr>
      <w:r w:rsidRPr="00CD5673">
        <w:t>Section 2: Key dates and offer details</w:t>
      </w:r>
    </w:p>
    <w:p w14:paraId="41341C7A" w14:textId="77777777" w:rsidR="00D46430" w:rsidRPr="00CD5673" w:rsidRDefault="00D46430" w:rsidP="00D46430">
      <w:pPr>
        <w:pStyle w:val="subsection"/>
      </w:pPr>
      <w:r w:rsidRPr="00CD5673">
        <w:tab/>
        <w:t>(5)</w:t>
      </w:r>
      <w:r w:rsidRPr="00CD5673">
        <w:tab/>
        <w:t>The following information must be contained in section 2 of an offer</w:t>
      </w:r>
      <w:r w:rsidR="00C614F1">
        <w:noBreakHyphen/>
      </w:r>
      <w:r w:rsidRPr="00CD5673">
        <w:t>specific prospectus:</w:t>
      </w:r>
    </w:p>
    <w:p w14:paraId="0735434C" w14:textId="77777777" w:rsidR="00D46430" w:rsidRPr="00CD5673" w:rsidRDefault="00D46430" w:rsidP="00D46430">
      <w:pPr>
        <w:pStyle w:val="paragraph"/>
      </w:pPr>
      <w:r w:rsidRPr="00CD5673">
        <w:tab/>
        <w:t>(a)</w:t>
      </w:r>
      <w:r w:rsidRPr="00CD5673">
        <w:tab/>
        <w:t>the terms of the offer, which must include the following:</w:t>
      </w:r>
    </w:p>
    <w:p w14:paraId="21637F52" w14:textId="77777777" w:rsidR="00D46430" w:rsidRPr="00CD5673" w:rsidRDefault="00D46430" w:rsidP="00D46430">
      <w:pPr>
        <w:pStyle w:val="paragraphsub"/>
      </w:pPr>
      <w:r w:rsidRPr="00CD5673">
        <w:tab/>
        <w:t>(i)</w:t>
      </w:r>
      <w:r w:rsidRPr="00CD5673">
        <w:tab/>
        <w:t>the name of the issuing body;</w:t>
      </w:r>
    </w:p>
    <w:p w14:paraId="011835EC" w14:textId="77777777" w:rsidR="00D46430" w:rsidRPr="00CD5673" w:rsidRDefault="00D46430" w:rsidP="00D46430">
      <w:pPr>
        <w:pStyle w:val="paragraphsub"/>
      </w:pPr>
      <w:r w:rsidRPr="00CD5673">
        <w:tab/>
        <w:t>(ii)</w:t>
      </w:r>
      <w:r w:rsidRPr="00CD5673">
        <w:tab/>
        <w:t>the size of the series, or tranche, to which the offer relates;</w:t>
      </w:r>
    </w:p>
    <w:p w14:paraId="18D95D01" w14:textId="77777777" w:rsidR="00D46430" w:rsidRPr="00CD5673" w:rsidRDefault="00D46430" w:rsidP="00D46430">
      <w:pPr>
        <w:pStyle w:val="paragraphsub"/>
      </w:pPr>
      <w:r w:rsidRPr="00CD5673">
        <w:tab/>
        <w:t>(iii)</w:t>
      </w:r>
      <w:r w:rsidRPr="00CD5673">
        <w:tab/>
        <w:t>the face value of the bonds;</w:t>
      </w:r>
    </w:p>
    <w:p w14:paraId="65D1A0AA" w14:textId="77777777" w:rsidR="00D46430" w:rsidRPr="00CD5673" w:rsidRDefault="00D46430" w:rsidP="00D46430">
      <w:pPr>
        <w:pStyle w:val="paragraphsub"/>
      </w:pPr>
      <w:r w:rsidRPr="00CD5673">
        <w:tab/>
        <w:t>(iv)</w:t>
      </w:r>
      <w:r w:rsidRPr="00CD5673">
        <w:tab/>
        <w:t>the term of the bonds;</w:t>
      </w:r>
    </w:p>
    <w:p w14:paraId="360D9308" w14:textId="77777777" w:rsidR="00D46430" w:rsidRPr="00CD5673" w:rsidRDefault="00D46430" w:rsidP="00D46430">
      <w:pPr>
        <w:pStyle w:val="paragraphsub"/>
      </w:pPr>
      <w:r w:rsidRPr="00CD5673">
        <w:tab/>
        <w:t>(v)</w:t>
      </w:r>
      <w:r w:rsidRPr="00CD5673">
        <w:tab/>
        <w:t>the maturity date of the bonds;</w:t>
      </w:r>
    </w:p>
    <w:p w14:paraId="41CE600A" w14:textId="77777777" w:rsidR="00D46430" w:rsidRPr="00CD5673" w:rsidRDefault="00D46430" w:rsidP="00D46430">
      <w:pPr>
        <w:pStyle w:val="paragraphsub"/>
      </w:pPr>
      <w:r w:rsidRPr="00CD5673">
        <w:tab/>
        <w:t>(vi)</w:t>
      </w:r>
      <w:r w:rsidRPr="00CD5673">
        <w:tab/>
        <w:t>guarantees in relation to the bonds and information about any guarantors;</w:t>
      </w:r>
    </w:p>
    <w:p w14:paraId="25473A13" w14:textId="77777777" w:rsidR="00D46430" w:rsidRPr="00CD5673" w:rsidRDefault="00D46430" w:rsidP="00D46430">
      <w:pPr>
        <w:pStyle w:val="paragraphsub"/>
      </w:pPr>
      <w:r w:rsidRPr="00CD5673">
        <w:tab/>
        <w:t>(vii)</w:t>
      </w:r>
      <w:r w:rsidRPr="00CD5673">
        <w:tab/>
        <w:t>the interest rate of the bonds;</w:t>
      </w:r>
    </w:p>
    <w:p w14:paraId="388BA798" w14:textId="77777777" w:rsidR="00D46430" w:rsidRPr="00CD5673" w:rsidRDefault="00D46430" w:rsidP="00D46430">
      <w:pPr>
        <w:pStyle w:val="paragraphsub"/>
      </w:pPr>
      <w:r w:rsidRPr="00CD5673">
        <w:tab/>
        <w:t>(viii)</w:t>
      </w:r>
      <w:r w:rsidRPr="00CD5673">
        <w:tab/>
        <w:t>interest payment dates;</w:t>
      </w:r>
    </w:p>
    <w:p w14:paraId="60A95100" w14:textId="77777777" w:rsidR="00D46430" w:rsidRPr="00CD5673" w:rsidRDefault="00D46430" w:rsidP="00D46430">
      <w:pPr>
        <w:pStyle w:val="paragraphsub"/>
      </w:pPr>
      <w:r w:rsidRPr="00CD5673">
        <w:tab/>
        <w:t>(ix)</w:t>
      </w:r>
      <w:r w:rsidRPr="00CD5673">
        <w:tab/>
        <w:t>events that will constitute default;</w:t>
      </w:r>
    </w:p>
    <w:p w14:paraId="5A956496" w14:textId="77777777" w:rsidR="00D46430" w:rsidRPr="00CD5673" w:rsidRDefault="00D46430" w:rsidP="00D46430">
      <w:pPr>
        <w:pStyle w:val="paragraphsub"/>
      </w:pPr>
      <w:r w:rsidRPr="00CD5673">
        <w:tab/>
        <w:t>(x)</w:t>
      </w:r>
      <w:r w:rsidRPr="00CD5673">
        <w:tab/>
        <w:t>details of any existing security;</w:t>
      </w:r>
    </w:p>
    <w:p w14:paraId="3040A470" w14:textId="77777777" w:rsidR="00D46430" w:rsidRPr="00CD5673" w:rsidRDefault="00D46430" w:rsidP="00D46430">
      <w:pPr>
        <w:pStyle w:val="paragraphsub"/>
      </w:pPr>
      <w:r w:rsidRPr="00CD5673">
        <w:tab/>
        <w:t>(xi)</w:t>
      </w:r>
      <w:r w:rsidRPr="00CD5673">
        <w:tab/>
        <w:t>the structure of the offer;</w:t>
      </w:r>
    </w:p>
    <w:p w14:paraId="3AF11D47" w14:textId="77777777" w:rsidR="00D46430" w:rsidRPr="00CD5673" w:rsidRDefault="00D46430" w:rsidP="00D46430">
      <w:pPr>
        <w:pStyle w:val="paragraphsub"/>
      </w:pPr>
      <w:r w:rsidRPr="00CD5673">
        <w:tab/>
        <w:t>(xii)</w:t>
      </w:r>
      <w:r w:rsidRPr="00CD5673">
        <w:tab/>
        <w:t>the minimum size of an application for the bonds;</w:t>
      </w:r>
    </w:p>
    <w:p w14:paraId="4EFCF64C" w14:textId="77777777" w:rsidR="00D46430" w:rsidRPr="00CD5673" w:rsidRDefault="00D46430" w:rsidP="00D46430">
      <w:pPr>
        <w:pStyle w:val="paragraphsub"/>
      </w:pPr>
      <w:r w:rsidRPr="00CD5673">
        <w:tab/>
        <w:t>(xiii)</w:t>
      </w:r>
      <w:r w:rsidRPr="00CD5673">
        <w:tab/>
        <w:t>the prescribed financial market on which the bonds will be listed;</w:t>
      </w:r>
    </w:p>
    <w:p w14:paraId="5981A2B7" w14:textId="77777777" w:rsidR="00D46430" w:rsidRPr="00CD5673" w:rsidRDefault="00D46430" w:rsidP="00D46430">
      <w:pPr>
        <w:pStyle w:val="paragraph"/>
      </w:pPr>
      <w:r w:rsidRPr="00CD5673">
        <w:tab/>
        <w:t>(b)</w:t>
      </w:r>
      <w:r w:rsidRPr="00CD5673">
        <w:tab/>
        <w:t>a short explanation of the circumstances in which the bonds can be redeemed;</w:t>
      </w:r>
    </w:p>
    <w:p w14:paraId="5D4C2FE7" w14:textId="77777777" w:rsidR="00D46430" w:rsidRPr="00CD5673" w:rsidRDefault="00D46430" w:rsidP="00D46430">
      <w:pPr>
        <w:pStyle w:val="paragraph"/>
      </w:pPr>
      <w:r w:rsidRPr="00CD5673">
        <w:tab/>
        <w:t>(c)</w:t>
      </w:r>
      <w:r w:rsidRPr="00CD5673">
        <w:tab/>
        <w:t>any fees and costs associated with the offer;</w:t>
      </w:r>
    </w:p>
    <w:p w14:paraId="4ED6A08F" w14:textId="77777777" w:rsidR="00D46430" w:rsidRPr="00CD5673" w:rsidRDefault="00D46430" w:rsidP="00D46430">
      <w:pPr>
        <w:pStyle w:val="paragraph"/>
      </w:pPr>
      <w:r w:rsidRPr="00CD5673">
        <w:tab/>
        <w:t>(d)</w:t>
      </w:r>
      <w:r w:rsidRPr="00CD5673">
        <w:tab/>
        <w:t>either:</w:t>
      </w:r>
    </w:p>
    <w:p w14:paraId="1ADA8084" w14:textId="77777777" w:rsidR="00D46430" w:rsidRPr="00CD5673" w:rsidRDefault="00D46430" w:rsidP="00D46430">
      <w:pPr>
        <w:pStyle w:val="paragraphsub"/>
      </w:pPr>
      <w:r w:rsidRPr="00CD5673">
        <w:tab/>
        <w:t>(i)</w:t>
      </w:r>
      <w:r w:rsidRPr="00CD5673">
        <w:tab/>
        <w:t>if a provision of the base prospectus contains information about any selling restrictions—a reference to the provision; or</w:t>
      </w:r>
    </w:p>
    <w:p w14:paraId="4B811760" w14:textId="77777777" w:rsidR="00D46430" w:rsidRPr="00CD5673" w:rsidRDefault="00D46430" w:rsidP="00D46430">
      <w:pPr>
        <w:pStyle w:val="paragraphsub"/>
      </w:pPr>
      <w:r w:rsidRPr="00CD5673">
        <w:tab/>
        <w:t>(ii)</w:t>
      </w:r>
      <w:r w:rsidRPr="00CD5673">
        <w:tab/>
        <w:t>if subparagraph (i) does not apply—information about any selling restrictions;</w:t>
      </w:r>
    </w:p>
    <w:p w14:paraId="326AAC65" w14:textId="77777777" w:rsidR="00D46430" w:rsidRPr="00CD5673" w:rsidRDefault="00D46430" w:rsidP="00D46430">
      <w:pPr>
        <w:pStyle w:val="paragraph"/>
      </w:pPr>
      <w:r w:rsidRPr="00CD5673">
        <w:tab/>
        <w:t>(e)</w:t>
      </w:r>
      <w:r w:rsidRPr="00CD5673">
        <w:tab/>
        <w:t>an explanation of where investors can obtain additional information about the offer, including:</w:t>
      </w:r>
    </w:p>
    <w:p w14:paraId="41647575" w14:textId="77777777" w:rsidR="00D46430" w:rsidRPr="00CD5673" w:rsidRDefault="00D46430" w:rsidP="00D46430">
      <w:pPr>
        <w:pStyle w:val="paragraphsub"/>
      </w:pPr>
      <w:r w:rsidRPr="00CD5673">
        <w:tab/>
        <w:t>(i)</w:t>
      </w:r>
      <w:r w:rsidRPr="00CD5673">
        <w:tab/>
        <w:t>a reference to financial advisors or other professional advisors; and</w:t>
      </w:r>
    </w:p>
    <w:p w14:paraId="45FAF061" w14:textId="77777777" w:rsidR="00D46430" w:rsidRPr="00CD5673" w:rsidRDefault="00D46430" w:rsidP="00D46430">
      <w:pPr>
        <w:pStyle w:val="paragraphsub"/>
      </w:pPr>
      <w:r w:rsidRPr="00CD5673">
        <w:tab/>
        <w:t>(ii)</w:t>
      </w:r>
      <w:r w:rsidRPr="00CD5673">
        <w:tab/>
        <w:t>the contact details of the issuing body.</w:t>
      </w:r>
    </w:p>
    <w:p w14:paraId="46E4A223" w14:textId="77777777" w:rsidR="00D46430" w:rsidRPr="00CD5673" w:rsidRDefault="00D46430" w:rsidP="00D46430">
      <w:pPr>
        <w:pStyle w:val="notetext"/>
      </w:pPr>
      <w:r w:rsidRPr="00CD5673">
        <w:t>Note:</w:t>
      </w:r>
      <w:r w:rsidRPr="00CD5673">
        <w:tab/>
        <w:t>If information mentioned in this subregulation is contained in another document that has been lodged with ASIC, an offer</w:t>
      </w:r>
      <w:r w:rsidR="00C614F1">
        <w:noBreakHyphen/>
      </w:r>
      <w:r w:rsidRPr="00CD5673">
        <w:t>specific prospectus may refer to that lodged document instead of setting out the information (see section 713E of the Act).</w:t>
      </w:r>
    </w:p>
    <w:p w14:paraId="4C2CFDF1" w14:textId="77777777" w:rsidR="00D46430" w:rsidRPr="00CD5673" w:rsidRDefault="00D46430" w:rsidP="00D46430">
      <w:pPr>
        <w:pStyle w:val="SubsectionHead"/>
      </w:pPr>
      <w:r w:rsidRPr="00CD5673">
        <w:t>Section 3: Offer</w:t>
      </w:r>
      <w:r w:rsidR="00C614F1">
        <w:noBreakHyphen/>
      </w:r>
      <w:r w:rsidRPr="00CD5673">
        <w:t>specific information you should consider</w:t>
      </w:r>
    </w:p>
    <w:p w14:paraId="7516EF99" w14:textId="77777777" w:rsidR="00D46430" w:rsidRPr="00CD5673" w:rsidRDefault="00D46430" w:rsidP="00D46430">
      <w:pPr>
        <w:pStyle w:val="subsection"/>
      </w:pPr>
      <w:r w:rsidRPr="00CD5673">
        <w:tab/>
        <w:t>(6)</w:t>
      </w:r>
      <w:r w:rsidRPr="00CD5673">
        <w:tab/>
        <w:t>The following information must be contained in section 3 of an offer</w:t>
      </w:r>
      <w:r w:rsidR="00C614F1">
        <w:noBreakHyphen/>
      </w:r>
      <w:r w:rsidRPr="00CD5673">
        <w:t>specific prospectus:</w:t>
      </w:r>
    </w:p>
    <w:p w14:paraId="0BF2B3C0" w14:textId="77777777" w:rsidR="00D46430" w:rsidRPr="00CD5673" w:rsidRDefault="00D46430" w:rsidP="00D46430">
      <w:pPr>
        <w:pStyle w:val="paragraph"/>
      </w:pPr>
      <w:r w:rsidRPr="00CD5673">
        <w:tab/>
        <w:t>(a)</w:t>
      </w:r>
      <w:r w:rsidRPr="00CD5673">
        <w:tab/>
        <w:t>any significant information necessary to update the information in the base prospectus;</w:t>
      </w:r>
    </w:p>
    <w:p w14:paraId="78E68744" w14:textId="77777777" w:rsidR="00D46430" w:rsidRPr="00CD5673" w:rsidRDefault="00D46430" w:rsidP="00D46430">
      <w:pPr>
        <w:pStyle w:val="paragraph"/>
      </w:pPr>
      <w:r w:rsidRPr="00CD5673">
        <w:tab/>
        <w:t>(b)</w:t>
      </w:r>
      <w:r w:rsidRPr="00CD5673">
        <w:tab/>
        <w:t>any notices that the issuing body has issued to explain changes that have occurred to the base prospectus since it was lodged with ASIC;</w:t>
      </w:r>
    </w:p>
    <w:p w14:paraId="3EE03696" w14:textId="77777777" w:rsidR="00D46430" w:rsidRPr="00CD5673" w:rsidRDefault="00D46430" w:rsidP="00D46430">
      <w:pPr>
        <w:pStyle w:val="paragraph"/>
      </w:pPr>
      <w:r w:rsidRPr="00CD5673">
        <w:tab/>
        <w:t>(c)</w:t>
      </w:r>
      <w:r w:rsidRPr="00CD5673">
        <w:tab/>
        <w:t>the key financial ratios, calculated in accordance with regulation 6D.2.06, that are relevant to the issuing body, accompanied by:</w:t>
      </w:r>
    </w:p>
    <w:p w14:paraId="3A9AEE23" w14:textId="77777777" w:rsidR="00D46430" w:rsidRPr="00CD5673" w:rsidRDefault="00D46430" w:rsidP="00D46430">
      <w:pPr>
        <w:pStyle w:val="paragraphsub"/>
      </w:pPr>
      <w:r w:rsidRPr="00CD5673">
        <w:tab/>
        <w:t>(i)</w:t>
      </w:r>
      <w:r w:rsidRPr="00CD5673">
        <w:tab/>
        <w:t>details of any change in those key financial ratios since the last offer</w:t>
      </w:r>
      <w:r w:rsidR="00C614F1">
        <w:noBreakHyphen/>
      </w:r>
      <w:r w:rsidRPr="00CD5673">
        <w:t>specific prospectus was issued; or</w:t>
      </w:r>
    </w:p>
    <w:p w14:paraId="64AE7FCB" w14:textId="77777777" w:rsidR="00D46430" w:rsidRPr="00CD5673" w:rsidRDefault="00D46430" w:rsidP="00D46430">
      <w:pPr>
        <w:pStyle w:val="paragraphsub"/>
      </w:pPr>
      <w:r w:rsidRPr="00CD5673">
        <w:tab/>
        <w:t>(ii)</w:t>
      </w:r>
      <w:r w:rsidRPr="00CD5673">
        <w:tab/>
        <w:t>if no offer</w:t>
      </w:r>
      <w:r w:rsidR="00C614F1">
        <w:noBreakHyphen/>
      </w:r>
      <w:r w:rsidRPr="00CD5673">
        <w:t>specific prospectus has previously been issued—details of any change in those key financial ratios compared with the key financial ratios at the time the base prospectus was lodged with ASIC;</w:t>
      </w:r>
    </w:p>
    <w:p w14:paraId="156968BD" w14:textId="77777777" w:rsidR="00D46430" w:rsidRPr="00CD5673" w:rsidRDefault="00D46430" w:rsidP="00D46430">
      <w:pPr>
        <w:pStyle w:val="paragraph"/>
      </w:pPr>
      <w:r w:rsidRPr="00CD5673">
        <w:tab/>
        <w:t>(d)</w:t>
      </w:r>
      <w:r w:rsidRPr="00CD5673">
        <w:tab/>
        <w:t>an explanation of how the issuing body will use the funds raised by issuing the bonds;</w:t>
      </w:r>
    </w:p>
    <w:p w14:paraId="07E3D3E9" w14:textId="77777777" w:rsidR="00D46430" w:rsidRPr="00CD5673" w:rsidRDefault="00D46430" w:rsidP="00D46430">
      <w:pPr>
        <w:pStyle w:val="paragraph"/>
      </w:pPr>
      <w:r w:rsidRPr="00CD5673">
        <w:tab/>
        <w:t>(e)</w:t>
      </w:r>
      <w:r w:rsidRPr="00CD5673">
        <w:tab/>
        <w:t>a brief summary of the effect of the offer on the issuing body;</w:t>
      </w:r>
    </w:p>
    <w:p w14:paraId="4A453C6E" w14:textId="77777777" w:rsidR="00D46430" w:rsidRPr="00CD5673" w:rsidRDefault="00D46430" w:rsidP="00D46430">
      <w:pPr>
        <w:pStyle w:val="paragraph"/>
      </w:pPr>
      <w:r w:rsidRPr="00CD5673">
        <w:tab/>
        <w:t>(f)</w:t>
      </w:r>
      <w:r w:rsidRPr="00CD5673">
        <w:tab/>
        <w:t>the ranking of the bonds and any other debt on issue;</w:t>
      </w:r>
    </w:p>
    <w:p w14:paraId="5D2C16EF" w14:textId="77777777" w:rsidR="00D46430" w:rsidRPr="00CD5673" w:rsidRDefault="00D46430" w:rsidP="00D46430">
      <w:pPr>
        <w:pStyle w:val="paragraph"/>
      </w:pPr>
      <w:r w:rsidRPr="00CD5673">
        <w:tab/>
        <w:t>(g)</w:t>
      </w:r>
      <w:r w:rsidRPr="00CD5673">
        <w:tab/>
        <w:t>an explanation of any changes to the risks disclosed in the base prospectus;</w:t>
      </w:r>
    </w:p>
    <w:p w14:paraId="7F78B9E5" w14:textId="77777777" w:rsidR="00D46430" w:rsidRPr="00CD5673" w:rsidRDefault="00D46430" w:rsidP="00D46430">
      <w:pPr>
        <w:pStyle w:val="paragraph"/>
      </w:pPr>
      <w:r w:rsidRPr="00CD5673">
        <w:tab/>
        <w:t>(h)</w:t>
      </w:r>
      <w:r w:rsidRPr="00CD5673">
        <w:tab/>
        <w:t>the amount that anyone has paid or agreed to pay, or the nature and value of any benefit that anyone has given or agreed to give, to:</w:t>
      </w:r>
    </w:p>
    <w:p w14:paraId="558075AF" w14:textId="77777777" w:rsidR="00D46430" w:rsidRPr="00CD5673" w:rsidRDefault="00D46430" w:rsidP="00D46430">
      <w:pPr>
        <w:pStyle w:val="paragraphsub"/>
      </w:pPr>
      <w:r w:rsidRPr="00CD5673">
        <w:tab/>
        <w:t>(i)</w:t>
      </w:r>
      <w:r w:rsidRPr="00CD5673">
        <w:tab/>
        <w:t>any directors or proposed directors of the issuing body; or</w:t>
      </w:r>
    </w:p>
    <w:p w14:paraId="3C2F9F34" w14:textId="77777777" w:rsidR="00D46430" w:rsidRPr="00CD5673" w:rsidRDefault="00D46430" w:rsidP="00D46430">
      <w:pPr>
        <w:pStyle w:val="paragraphsub"/>
      </w:pPr>
      <w:r w:rsidRPr="00CD5673">
        <w:tab/>
        <w:t>(ii)</w:t>
      </w:r>
      <w:r w:rsidRPr="00CD5673">
        <w:tab/>
        <w:t>a person named in the prospectus as performing a function in a professional, advisory or other capacity in connection with the preparation or distribution of the prospectus; or</w:t>
      </w:r>
    </w:p>
    <w:p w14:paraId="09FB658F" w14:textId="77777777" w:rsidR="00D46430" w:rsidRPr="00CD5673" w:rsidRDefault="00D46430" w:rsidP="00D46430">
      <w:pPr>
        <w:pStyle w:val="paragraphsub"/>
      </w:pPr>
      <w:r w:rsidRPr="00CD5673">
        <w:tab/>
        <w:t>(iii)</w:t>
      </w:r>
      <w:r w:rsidRPr="00CD5673">
        <w:tab/>
        <w:t>a promoter of the issuing body; or</w:t>
      </w:r>
    </w:p>
    <w:p w14:paraId="0C73E65C" w14:textId="77777777" w:rsidR="00D46430" w:rsidRPr="00CD5673" w:rsidRDefault="00D46430" w:rsidP="00D46430">
      <w:pPr>
        <w:pStyle w:val="paragraphsub"/>
      </w:pPr>
      <w:r w:rsidRPr="00CD5673">
        <w:lastRenderedPageBreak/>
        <w:tab/>
        <w:t>(iv)</w:t>
      </w:r>
      <w:r w:rsidRPr="00CD5673">
        <w:tab/>
        <w:t>an underwriter (but not a sub</w:t>
      </w:r>
      <w:r w:rsidR="00C614F1">
        <w:noBreakHyphen/>
      </w:r>
      <w:r w:rsidRPr="00CD5673">
        <w:t>underwriter) to the issue or sale or a financial services licensee named in the prospectus as a financial services licensee involved in the issue or sale.</w:t>
      </w:r>
    </w:p>
    <w:p w14:paraId="55590EDE" w14:textId="77777777" w:rsidR="00D46430" w:rsidRPr="00CD5673" w:rsidRDefault="00D46430" w:rsidP="00D46430">
      <w:pPr>
        <w:pStyle w:val="notetext"/>
      </w:pPr>
      <w:r w:rsidRPr="00CD5673">
        <w:t>Note:</w:t>
      </w:r>
      <w:r w:rsidRPr="00CD5673">
        <w:tab/>
        <w:t>If information mentioned in this subregulation is contained in another document that has been lodged with ASIC, an offer</w:t>
      </w:r>
      <w:r w:rsidR="00C614F1">
        <w:noBreakHyphen/>
      </w:r>
      <w:r w:rsidRPr="00CD5673">
        <w:t>specific prospectus may refer to that lodged document instead of setting out the information (see section 713E of the Act).</w:t>
      </w:r>
    </w:p>
    <w:p w14:paraId="549C445F" w14:textId="77777777" w:rsidR="00D46430" w:rsidRPr="00CD5673" w:rsidRDefault="00D46430" w:rsidP="00D46430">
      <w:pPr>
        <w:pStyle w:val="ActHead5"/>
      </w:pPr>
      <w:bookmarkStart w:id="368" w:name="_Toc158711975"/>
      <w:r w:rsidRPr="00C614F1">
        <w:rPr>
          <w:rStyle w:val="CharSectno"/>
        </w:rPr>
        <w:t>6D.2.06</w:t>
      </w:r>
      <w:r w:rsidRPr="00CD5673">
        <w:t xml:space="preserve">  Simple corporate bonds—key financial ratios relevant to issuing body</w:t>
      </w:r>
      <w:bookmarkEnd w:id="368"/>
    </w:p>
    <w:p w14:paraId="09F7D5AB" w14:textId="77777777" w:rsidR="00D46430" w:rsidRPr="00CD5673" w:rsidRDefault="00D46430" w:rsidP="00D46430">
      <w:pPr>
        <w:pStyle w:val="subsection"/>
      </w:pPr>
      <w:r w:rsidRPr="00CD5673">
        <w:tab/>
        <w:t>(1)</w:t>
      </w:r>
      <w:r w:rsidRPr="00CD5673">
        <w:tab/>
        <w:t>For paragraphs 6D.2.04(6)(e) and 6D.2.05(6)(c), the key financial ratios that are relevant to an issuing body are:</w:t>
      </w:r>
    </w:p>
    <w:p w14:paraId="03CCBCD8" w14:textId="77777777" w:rsidR="00D46430" w:rsidRPr="00CD5673" w:rsidRDefault="00D46430" w:rsidP="00D46430">
      <w:pPr>
        <w:pStyle w:val="paragraph"/>
      </w:pPr>
      <w:r w:rsidRPr="00CD5673">
        <w:tab/>
        <w:t>(a)</w:t>
      </w:r>
      <w:r w:rsidRPr="00CD5673">
        <w:tab/>
        <w:t>the gearing ratio; and</w:t>
      </w:r>
    </w:p>
    <w:p w14:paraId="60755507" w14:textId="77777777" w:rsidR="00D46430" w:rsidRPr="00CD5673" w:rsidRDefault="00D46430" w:rsidP="00D46430">
      <w:pPr>
        <w:pStyle w:val="paragraph"/>
      </w:pPr>
      <w:r w:rsidRPr="00CD5673">
        <w:tab/>
        <w:t>(b)</w:t>
      </w:r>
      <w:r w:rsidRPr="00CD5673">
        <w:tab/>
        <w:t>the working capital ratio; and</w:t>
      </w:r>
    </w:p>
    <w:p w14:paraId="104BCDFB" w14:textId="77777777" w:rsidR="00D46430" w:rsidRPr="00CD5673" w:rsidRDefault="00D46430" w:rsidP="00D46430">
      <w:pPr>
        <w:pStyle w:val="paragraph"/>
      </w:pPr>
      <w:r w:rsidRPr="00CD5673">
        <w:tab/>
        <w:t>(c)</w:t>
      </w:r>
      <w:r w:rsidRPr="00CD5673">
        <w:tab/>
        <w:t>the interest cover ratio.</w:t>
      </w:r>
    </w:p>
    <w:p w14:paraId="4729C0E5" w14:textId="77777777" w:rsidR="00D46430" w:rsidRPr="00CD5673" w:rsidRDefault="00D46430" w:rsidP="00D46430">
      <w:pPr>
        <w:pStyle w:val="subsection"/>
        <w:keepNext/>
        <w:keepLines/>
      </w:pPr>
      <w:r w:rsidRPr="00CD5673">
        <w:tab/>
        <w:t>(2)</w:t>
      </w:r>
      <w:r w:rsidRPr="00CD5673">
        <w:tab/>
        <w:t>The key financial ratios referred to in subregulation (1) must be calculated in accordance with subregulations (3) to (5), based on the issuing body’s most recent financial statements or, if applicable, the issuing body’s consolidated financial statements.</w:t>
      </w:r>
    </w:p>
    <w:p w14:paraId="27D9D933" w14:textId="77777777" w:rsidR="00D46430" w:rsidRPr="00CD5673" w:rsidRDefault="00D46430" w:rsidP="00D46430">
      <w:pPr>
        <w:pStyle w:val="subsection"/>
      </w:pPr>
      <w:r w:rsidRPr="00CD5673">
        <w:tab/>
        <w:t>(3)</w:t>
      </w:r>
      <w:r w:rsidRPr="00CD5673">
        <w:tab/>
        <w:t>The gearing ratio must be calculated using the following formula:</w:t>
      </w:r>
    </w:p>
    <w:p w14:paraId="6B6E425B" w14:textId="77777777" w:rsidR="00D46430" w:rsidRPr="00CD5673" w:rsidRDefault="00D46430" w:rsidP="00D46430">
      <w:pPr>
        <w:pStyle w:val="subsection2"/>
      </w:pPr>
      <w:r w:rsidRPr="00CD5673">
        <w:rPr>
          <w:noProof/>
        </w:rPr>
        <w:drawing>
          <wp:inline distT="0" distB="0" distL="0" distR="0" wp14:anchorId="34BE8C58" wp14:editId="0D1AE390">
            <wp:extent cx="838200" cy="504825"/>
            <wp:effectExtent l="0" t="0" r="0" b="0"/>
            <wp:docPr id="1" name="Picture 1" descr="start formula start fraction Total liabilities over Total equity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p w14:paraId="7FF48C2C" w14:textId="77777777" w:rsidR="00D46430" w:rsidRPr="00CD5673" w:rsidRDefault="00D46430" w:rsidP="00D46430">
      <w:pPr>
        <w:pStyle w:val="subsection"/>
      </w:pPr>
      <w:r w:rsidRPr="00CD5673">
        <w:tab/>
        <w:t>(4)</w:t>
      </w:r>
      <w:r w:rsidRPr="00CD5673">
        <w:tab/>
        <w:t>The working capital ratio must be calculated using the following formula:</w:t>
      </w:r>
    </w:p>
    <w:p w14:paraId="63B28292" w14:textId="77777777" w:rsidR="00D46430" w:rsidRPr="00CD5673" w:rsidRDefault="00D46430" w:rsidP="00D46430">
      <w:pPr>
        <w:pStyle w:val="subsection2"/>
      </w:pPr>
      <w:r w:rsidRPr="00CD5673">
        <w:rPr>
          <w:noProof/>
        </w:rPr>
        <w:drawing>
          <wp:inline distT="0" distB="0" distL="0" distR="0" wp14:anchorId="5B98CBC0" wp14:editId="0FCD66AF">
            <wp:extent cx="952500" cy="485775"/>
            <wp:effectExtent l="0" t="0" r="0" b="0"/>
            <wp:docPr id="2" name="Picture 2" descr="start formula start fraction Current assets over Current liabilitie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52480E5A" w14:textId="77777777" w:rsidR="00D46430" w:rsidRPr="00CD5673" w:rsidRDefault="00D46430" w:rsidP="00D46430">
      <w:pPr>
        <w:pStyle w:val="subsection"/>
      </w:pPr>
      <w:r w:rsidRPr="00CD5673">
        <w:tab/>
        <w:t>(5)</w:t>
      </w:r>
      <w:r w:rsidRPr="00CD5673">
        <w:tab/>
        <w:t>The interest cover ratio must be calculated using the following formula:</w:t>
      </w:r>
    </w:p>
    <w:p w14:paraId="315B8171" w14:textId="77777777" w:rsidR="00D46430" w:rsidRPr="00CD5673" w:rsidRDefault="00D46430" w:rsidP="00D46430">
      <w:pPr>
        <w:pStyle w:val="subsection2"/>
      </w:pPr>
      <w:r w:rsidRPr="00CD5673">
        <w:rPr>
          <w:noProof/>
        </w:rPr>
        <w:drawing>
          <wp:inline distT="0" distB="0" distL="0" distR="0" wp14:anchorId="55E90A8F" wp14:editId="6846F89F">
            <wp:extent cx="1104900" cy="504825"/>
            <wp:effectExtent l="0" t="0" r="0" b="0"/>
            <wp:docPr id="3" name="Picture 3" descr="start formula start fraction EBITDA over Net interest expens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p w14:paraId="1E81915D" w14:textId="77777777" w:rsidR="00D46430" w:rsidRPr="00CD5673" w:rsidRDefault="00D46430" w:rsidP="00D46430">
      <w:pPr>
        <w:pStyle w:val="subsection2"/>
      </w:pPr>
      <w:r w:rsidRPr="00CD5673">
        <w:t>where:</w:t>
      </w:r>
    </w:p>
    <w:p w14:paraId="6BB250EF" w14:textId="77777777" w:rsidR="00D46430" w:rsidRPr="00CD5673" w:rsidRDefault="00D46430" w:rsidP="00D46430">
      <w:pPr>
        <w:pStyle w:val="Definition"/>
      </w:pPr>
      <w:r w:rsidRPr="00CD5673">
        <w:rPr>
          <w:b/>
          <w:i/>
        </w:rPr>
        <w:t>EBITDA</w:t>
      </w:r>
      <w:r w:rsidRPr="00CD5673">
        <w:t xml:space="preserve"> means earnings before net interest expense, taxes, depreciation and amortisation, for the period to which the issuing body’s most recent financial statements relate.</w:t>
      </w:r>
    </w:p>
    <w:p w14:paraId="32D7CAD9" w14:textId="77777777" w:rsidR="00D46430" w:rsidRPr="00CD5673" w:rsidRDefault="00D46430" w:rsidP="00D46430">
      <w:pPr>
        <w:pStyle w:val="Definition"/>
      </w:pPr>
      <w:r w:rsidRPr="00CD5673">
        <w:rPr>
          <w:b/>
          <w:i/>
        </w:rPr>
        <w:t>net interest expense</w:t>
      </w:r>
      <w:r w:rsidRPr="00CD5673">
        <w:t xml:space="preserve"> means the interest expense net of interest revenue, taking account of any related hedging arrangements recognised in the profit and loss statements, for the period to which the issuing body’s most recent financial statements relate.</w:t>
      </w:r>
    </w:p>
    <w:p w14:paraId="1B8DC193" w14:textId="77777777" w:rsidR="00D46430" w:rsidRPr="00CD5673" w:rsidRDefault="00D46430" w:rsidP="00D46430">
      <w:pPr>
        <w:pStyle w:val="notetext"/>
      </w:pPr>
      <w:r w:rsidRPr="00CD5673">
        <w:t>Note:</w:t>
      </w:r>
      <w:r w:rsidRPr="00CD5673">
        <w:tab/>
        <w:t>The issuing body’s most recent financial statements may relate to a period that is less than 12 months.</w:t>
      </w:r>
    </w:p>
    <w:p w14:paraId="2847D69B" w14:textId="77777777" w:rsidR="00D46430" w:rsidRPr="00CD5673" w:rsidRDefault="00D46430" w:rsidP="00D46430">
      <w:pPr>
        <w:pStyle w:val="ActHead2"/>
        <w:pageBreakBefore/>
      </w:pPr>
      <w:bookmarkStart w:id="369" w:name="_Toc158711976"/>
      <w:r w:rsidRPr="00C614F1">
        <w:rPr>
          <w:rStyle w:val="CharPartNo"/>
        </w:rPr>
        <w:lastRenderedPageBreak/>
        <w:t>Part 6D.3A</w:t>
      </w:r>
      <w:r w:rsidRPr="00CD5673">
        <w:t>—</w:t>
      </w:r>
      <w:r w:rsidRPr="00C614F1">
        <w:rPr>
          <w:rStyle w:val="CharPartText"/>
        </w:rPr>
        <w:t>Crowd</w:t>
      </w:r>
      <w:r w:rsidR="00C614F1" w:rsidRPr="00C614F1">
        <w:rPr>
          <w:rStyle w:val="CharPartText"/>
        </w:rPr>
        <w:noBreakHyphen/>
      </w:r>
      <w:r w:rsidRPr="00C614F1">
        <w:rPr>
          <w:rStyle w:val="CharPartText"/>
        </w:rPr>
        <w:t>sourced funding</w:t>
      </w:r>
      <w:bookmarkEnd w:id="369"/>
    </w:p>
    <w:p w14:paraId="6700C69B"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23D02165" w14:textId="77777777" w:rsidR="00D46430" w:rsidRPr="00CD5673" w:rsidRDefault="00D46430" w:rsidP="00D46430">
      <w:pPr>
        <w:pStyle w:val="ActHead5"/>
      </w:pPr>
      <w:bookmarkStart w:id="370" w:name="_Toc158711977"/>
      <w:r w:rsidRPr="00C614F1">
        <w:rPr>
          <w:rStyle w:val="CharSectno"/>
        </w:rPr>
        <w:t>6D.3A.01</w:t>
      </w:r>
      <w:r w:rsidRPr="00CD5673">
        <w:t xml:space="preserve">  Offers that are eligible to be made under Part 6D.3A of the Act</w:t>
      </w:r>
      <w:bookmarkEnd w:id="370"/>
    </w:p>
    <w:p w14:paraId="029DE78D" w14:textId="77777777" w:rsidR="00D46430" w:rsidRPr="00CD5673" w:rsidRDefault="00D46430" w:rsidP="00D46430">
      <w:pPr>
        <w:pStyle w:val="SubsectionHead"/>
      </w:pPr>
      <w:r w:rsidRPr="00CD5673">
        <w:t>Class of securities</w:t>
      </w:r>
    </w:p>
    <w:p w14:paraId="7EC8C71D" w14:textId="77777777" w:rsidR="00D46430" w:rsidRPr="00CD5673" w:rsidRDefault="00D46430" w:rsidP="00D46430">
      <w:pPr>
        <w:pStyle w:val="subsection"/>
      </w:pPr>
      <w:r w:rsidRPr="00CD5673">
        <w:tab/>
        <w:t>(1)</w:t>
      </w:r>
      <w:r w:rsidRPr="00CD5673">
        <w:tab/>
        <w:t>For the purposes of paragraph 738G(1)(c) of the Act, this subregulation specifies fully</w:t>
      </w:r>
      <w:r w:rsidR="00C614F1">
        <w:noBreakHyphen/>
      </w:r>
      <w:r w:rsidRPr="00CD5673">
        <w:t>paid ordinary shares as a class of securities.</w:t>
      </w:r>
    </w:p>
    <w:p w14:paraId="778B9AE5" w14:textId="77777777" w:rsidR="00D46430" w:rsidRPr="00CD5673" w:rsidRDefault="00D46430" w:rsidP="00D46430">
      <w:pPr>
        <w:pStyle w:val="notetext"/>
      </w:pPr>
      <w:r w:rsidRPr="00CD5673">
        <w:t>Note:</w:t>
      </w:r>
      <w:r w:rsidRPr="00CD5673">
        <w:tab/>
        <w:t>Paragraph 738G(1)(c) of the Act requires securities to be of a class specified in the regulations for an offer for the issue of the securities to be eligible to be made under Part 6D.3A of the Act.</w:t>
      </w:r>
    </w:p>
    <w:p w14:paraId="41C24198" w14:textId="77777777" w:rsidR="00D46430" w:rsidRPr="00CD5673" w:rsidRDefault="00D46430" w:rsidP="00D46430">
      <w:pPr>
        <w:pStyle w:val="SubsectionHead"/>
      </w:pPr>
      <w:r w:rsidRPr="00CD5673">
        <w:t>Other requirements</w:t>
      </w:r>
    </w:p>
    <w:p w14:paraId="545B4E8B" w14:textId="77777777" w:rsidR="00D46430" w:rsidRPr="00CD5673" w:rsidRDefault="00D46430" w:rsidP="00D46430">
      <w:pPr>
        <w:pStyle w:val="subsection"/>
      </w:pPr>
      <w:r w:rsidRPr="00CD5673">
        <w:tab/>
        <w:t>(2)</w:t>
      </w:r>
      <w:r w:rsidRPr="00CD5673">
        <w:tab/>
        <w:t>For the purposes of paragraph 738G(1)(f) of the Act, this subregulation specifies the requirement that the funds sought to be raised by the offer are not intended by the company to be used, to any extent, by:</w:t>
      </w:r>
    </w:p>
    <w:p w14:paraId="4DE0FAAB" w14:textId="77777777" w:rsidR="00D46430" w:rsidRPr="00CD5673" w:rsidRDefault="00D46430" w:rsidP="00D46430">
      <w:pPr>
        <w:pStyle w:val="paragraph"/>
      </w:pPr>
      <w:r w:rsidRPr="00CD5673">
        <w:tab/>
        <w:t>(a)</w:t>
      </w:r>
      <w:r w:rsidRPr="00CD5673">
        <w:tab/>
        <w:t>the company to issue a credit facility (within the meaning of regulation 7.1.06) to a related party of the company that is not a wholly</w:t>
      </w:r>
      <w:r w:rsidR="00C614F1">
        <w:noBreakHyphen/>
      </w:r>
      <w:r w:rsidRPr="00CD5673">
        <w:t>owned subsidiary of the company; or</w:t>
      </w:r>
    </w:p>
    <w:p w14:paraId="4AFD5999" w14:textId="77777777" w:rsidR="00D46430" w:rsidRPr="00CD5673" w:rsidRDefault="00D46430" w:rsidP="00D46430">
      <w:pPr>
        <w:pStyle w:val="paragraph"/>
      </w:pPr>
      <w:r w:rsidRPr="00CD5673">
        <w:tab/>
        <w:t>(b)</w:t>
      </w:r>
      <w:r w:rsidRPr="00CD5673">
        <w:tab/>
        <w:t>a related party of the company to issue a credit facility (within the meaning of regulation 7.1.06) to the company or to another related party of the company.</w:t>
      </w:r>
    </w:p>
    <w:p w14:paraId="74631680" w14:textId="77777777" w:rsidR="00D46430" w:rsidRPr="00CD5673" w:rsidRDefault="00D46430" w:rsidP="00D46430">
      <w:pPr>
        <w:pStyle w:val="ActHead5"/>
      </w:pPr>
      <w:bookmarkStart w:id="371" w:name="_Toc158711978"/>
      <w:r w:rsidRPr="00C614F1">
        <w:rPr>
          <w:rStyle w:val="CharSectno"/>
        </w:rPr>
        <w:t>6D.3A.02</w:t>
      </w:r>
      <w:r w:rsidRPr="00CD5673">
        <w:t xml:space="preserve">  Contents of CSF offer document—general</w:t>
      </w:r>
      <w:bookmarkEnd w:id="371"/>
    </w:p>
    <w:p w14:paraId="18631720" w14:textId="77777777" w:rsidR="00D46430" w:rsidRPr="00CD5673" w:rsidRDefault="00D46430" w:rsidP="00D46430">
      <w:pPr>
        <w:pStyle w:val="subsection"/>
      </w:pPr>
      <w:r w:rsidRPr="00CD5673">
        <w:tab/>
        <w:t>(1)</w:t>
      </w:r>
      <w:r w:rsidRPr="00CD5673">
        <w:tab/>
        <w:t xml:space="preserve">For the purposes of subsection 738J(2) of the Act, this regulation, and regulations 6D.3A.03, 6D.3A.04, 6D.3A.05 and 6D.3A.06, specify the information that must be contained in a CSF offer document for a CSF offer of securities (the </w:t>
      </w:r>
      <w:r w:rsidRPr="00CD5673">
        <w:rPr>
          <w:b/>
          <w:i/>
        </w:rPr>
        <w:t>securities on offer</w:t>
      </w:r>
      <w:r w:rsidRPr="00CD5673">
        <w:t xml:space="preserve">) made by a company (the </w:t>
      </w:r>
      <w:r w:rsidRPr="00CD5673">
        <w:rPr>
          <w:b/>
          <w:i/>
        </w:rPr>
        <w:t>offering company</w:t>
      </w:r>
      <w:r w:rsidRPr="00CD5673">
        <w:t>).</w:t>
      </w:r>
    </w:p>
    <w:p w14:paraId="2C7AEC62" w14:textId="77777777" w:rsidR="00D46430" w:rsidRPr="00CD5673" w:rsidRDefault="00D46430" w:rsidP="00D46430">
      <w:pPr>
        <w:pStyle w:val="subsection"/>
      </w:pPr>
      <w:r w:rsidRPr="00CD5673">
        <w:tab/>
        <w:t>(2)</w:t>
      </w:r>
      <w:r w:rsidRPr="00CD5673">
        <w:tab/>
        <w:t>Subregulation (1) does not prevent a CSF offer document from containing other information.</w:t>
      </w:r>
    </w:p>
    <w:p w14:paraId="02CB4991" w14:textId="77777777" w:rsidR="00D46430" w:rsidRPr="00CD5673" w:rsidRDefault="00D46430" w:rsidP="00D46430">
      <w:pPr>
        <w:pStyle w:val="notetext"/>
      </w:pPr>
      <w:r w:rsidRPr="00CD5673">
        <w:t>Note 1:</w:t>
      </w:r>
      <w:r w:rsidRPr="00CD5673">
        <w:tab/>
        <w:t>The other information may be contained in a section identified in subregulation (3), in another section of the offer document or in an appendix to the offer document.</w:t>
      </w:r>
    </w:p>
    <w:p w14:paraId="4BD1EA9C" w14:textId="77777777" w:rsidR="00D46430" w:rsidRPr="00CD5673" w:rsidRDefault="00D46430" w:rsidP="00D46430">
      <w:pPr>
        <w:pStyle w:val="notetext"/>
      </w:pPr>
      <w:r w:rsidRPr="00CD5673">
        <w:t>Note 2:</w:t>
      </w:r>
      <w:r w:rsidRPr="00CD5673">
        <w:tab/>
        <w:t>An appendix to the offer document is part of the offer document.</w:t>
      </w:r>
    </w:p>
    <w:p w14:paraId="4F223F96" w14:textId="77777777" w:rsidR="00D46430" w:rsidRPr="00CD5673" w:rsidRDefault="00D46430" w:rsidP="00D46430">
      <w:pPr>
        <w:pStyle w:val="subsection"/>
      </w:pPr>
      <w:r w:rsidRPr="00CD5673">
        <w:tab/>
        <w:t>(3)</w:t>
      </w:r>
      <w:r w:rsidRPr="00CD5673">
        <w:tab/>
        <w:t>The offer document must contain a table of contents and sections dealing with the following matters:</w:t>
      </w:r>
    </w:p>
    <w:p w14:paraId="6FEE30F6" w14:textId="77777777" w:rsidR="00D46430" w:rsidRPr="00CD5673" w:rsidRDefault="00D46430" w:rsidP="00D46430">
      <w:pPr>
        <w:pStyle w:val="paragraph"/>
      </w:pPr>
      <w:r w:rsidRPr="00CD5673">
        <w:tab/>
        <w:t>(a)</w:t>
      </w:r>
      <w:r w:rsidRPr="00CD5673">
        <w:tab/>
        <w:t>Section 1: Risk warnings;</w:t>
      </w:r>
    </w:p>
    <w:p w14:paraId="1FD9348C" w14:textId="77777777" w:rsidR="00D46430" w:rsidRPr="00CD5673" w:rsidRDefault="00D46430" w:rsidP="00D46430">
      <w:pPr>
        <w:pStyle w:val="paragraph"/>
      </w:pPr>
      <w:r w:rsidRPr="00CD5673">
        <w:tab/>
        <w:t>(b)</w:t>
      </w:r>
      <w:r w:rsidRPr="00CD5673">
        <w:tab/>
        <w:t>Section 2: Information about the offering company;</w:t>
      </w:r>
    </w:p>
    <w:p w14:paraId="6AC196FA" w14:textId="77777777" w:rsidR="00D46430" w:rsidRPr="00CD5673" w:rsidRDefault="00D46430" w:rsidP="00D46430">
      <w:pPr>
        <w:pStyle w:val="paragraph"/>
      </w:pPr>
      <w:r w:rsidRPr="00CD5673">
        <w:tab/>
        <w:t>(c)</w:t>
      </w:r>
      <w:r w:rsidRPr="00CD5673">
        <w:tab/>
        <w:t>Section 3: Information about the offer;</w:t>
      </w:r>
    </w:p>
    <w:p w14:paraId="1FC9F6E6" w14:textId="77777777" w:rsidR="00D46430" w:rsidRPr="00CD5673" w:rsidRDefault="00D46430" w:rsidP="00D46430">
      <w:pPr>
        <w:pStyle w:val="paragraph"/>
      </w:pPr>
      <w:r w:rsidRPr="00CD5673">
        <w:tab/>
        <w:t>(d)</w:t>
      </w:r>
      <w:r w:rsidRPr="00CD5673">
        <w:tab/>
        <w:t>Section 4: Information about investor rights.</w:t>
      </w:r>
    </w:p>
    <w:p w14:paraId="2211959F" w14:textId="77777777" w:rsidR="00D46430" w:rsidRPr="00CD5673" w:rsidRDefault="00D46430" w:rsidP="00D46430">
      <w:pPr>
        <w:pStyle w:val="subsection"/>
      </w:pPr>
      <w:r w:rsidRPr="00CD5673">
        <w:tab/>
        <w:t>(4)</w:t>
      </w:r>
      <w:r w:rsidRPr="00CD5673">
        <w:tab/>
        <w:t>Information required to be contained in a section of the offer document may be presented in any order within the section.</w:t>
      </w:r>
    </w:p>
    <w:p w14:paraId="17A5B3DB" w14:textId="77777777" w:rsidR="00D46430" w:rsidRPr="00CD5673" w:rsidRDefault="00D46430" w:rsidP="00D46430">
      <w:pPr>
        <w:pStyle w:val="notetext"/>
      </w:pPr>
      <w:r w:rsidRPr="00CD5673">
        <w:t>Note:</w:t>
      </w:r>
      <w:r w:rsidRPr="00CD5673">
        <w:tab/>
        <w:t>The contents of the CSF offer document may be published in a commonly accessible digital format.</w:t>
      </w:r>
    </w:p>
    <w:p w14:paraId="4AF189C9" w14:textId="77777777" w:rsidR="00D46430" w:rsidRPr="00CD5673" w:rsidRDefault="00D46430" w:rsidP="00D46430">
      <w:pPr>
        <w:pStyle w:val="ActHead5"/>
      </w:pPr>
      <w:bookmarkStart w:id="372" w:name="_Toc158711979"/>
      <w:r w:rsidRPr="00C614F1">
        <w:rPr>
          <w:rStyle w:val="CharSectno"/>
        </w:rPr>
        <w:t>6D.3A.03</w:t>
      </w:r>
      <w:r w:rsidRPr="00CD5673">
        <w:t xml:space="preserve">  Contents of CSF offer document—Section 1: Risk warnings</w:t>
      </w:r>
      <w:bookmarkEnd w:id="372"/>
    </w:p>
    <w:p w14:paraId="2F3FCAD3" w14:textId="77777777" w:rsidR="00D46430" w:rsidRPr="00CD5673" w:rsidRDefault="00D46430" w:rsidP="00D46430">
      <w:pPr>
        <w:pStyle w:val="subsection"/>
      </w:pPr>
      <w:r w:rsidRPr="00CD5673">
        <w:tab/>
      </w:r>
      <w:r w:rsidRPr="00CD5673">
        <w:tab/>
        <w:t>The following statement must be set out in section 1 of the offer document:</w:t>
      </w:r>
    </w:p>
    <w:p w14:paraId="3D54BC39" w14:textId="77777777" w:rsidR="00D46430" w:rsidRPr="00CD5673" w:rsidRDefault="00D46430" w:rsidP="00D46430">
      <w:pPr>
        <w:pStyle w:val="subsection"/>
        <w:rPr>
          <w:szCs w:val="22"/>
          <w:lang w:eastAsia="en-US"/>
        </w:rPr>
      </w:pPr>
      <w:r w:rsidRPr="00CD5673">
        <w:tab/>
      </w:r>
      <w:r w:rsidRPr="00CD5673">
        <w:tab/>
        <w:t>“C</w:t>
      </w:r>
      <w:r w:rsidRPr="00CD5673">
        <w:rPr>
          <w:szCs w:val="22"/>
          <w:lang w:eastAsia="en-US"/>
        </w:rPr>
        <w:t>rowd</w:t>
      </w:r>
      <w:r w:rsidR="00C614F1">
        <w:rPr>
          <w:szCs w:val="22"/>
          <w:lang w:eastAsia="en-US"/>
        </w:rPr>
        <w:noBreakHyphen/>
      </w:r>
      <w:r w:rsidRPr="00CD5673">
        <w:rPr>
          <w:szCs w:val="22"/>
          <w:lang w:eastAsia="en-US"/>
        </w:rPr>
        <w:t>sourced funding is risky. Issuers using this facility include new or rapidly growing ventures. Investment in these types of ventures is speculative and carries high risks.</w:t>
      </w:r>
    </w:p>
    <w:p w14:paraId="76C599B1" w14:textId="77777777" w:rsidR="00D46430" w:rsidRPr="00CD5673" w:rsidRDefault="00D46430" w:rsidP="00D46430">
      <w:pPr>
        <w:pStyle w:val="subsection"/>
        <w:rPr>
          <w:szCs w:val="22"/>
          <w:lang w:eastAsia="en-US"/>
        </w:rPr>
      </w:pPr>
      <w:r w:rsidRPr="00CD5673">
        <w:rPr>
          <w:szCs w:val="22"/>
          <w:lang w:eastAsia="en-US"/>
        </w:rPr>
        <w:tab/>
      </w:r>
      <w:r w:rsidRPr="00CD5673">
        <w:rPr>
          <w:szCs w:val="22"/>
          <w:lang w:eastAsia="en-US"/>
        </w:rPr>
        <w:tab/>
        <w:t>You may lose your entire investment, and you should be in a position to bear this risk without undue hardship.</w:t>
      </w:r>
    </w:p>
    <w:p w14:paraId="15A603FB" w14:textId="77777777" w:rsidR="00D46430" w:rsidRPr="00CD5673" w:rsidRDefault="00D46430" w:rsidP="00D46430">
      <w:pPr>
        <w:pStyle w:val="subsection"/>
      </w:pPr>
      <w:r w:rsidRPr="00CD5673">
        <w:tab/>
      </w:r>
      <w:r w:rsidRPr="00CD5673">
        <w:tab/>
        <w:t>Even if the company is successful, the value of your investment and any return on the investment could be reduced if the company issues more shares.</w:t>
      </w:r>
    </w:p>
    <w:p w14:paraId="1CF35E39" w14:textId="77777777" w:rsidR="00D46430" w:rsidRPr="00CD5673" w:rsidRDefault="00D46430" w:rsidP="00D46430">
      <w:pPr>
        <w:pStyle w:val="subsection"/>
      </w:pPr>
      <w:r w:rsidRPr="00CD5673">
        <w:tab/>
      </w:r>
      <w:r w:rsidRPr="00CD5673">
        <w:tab/>
        <w:t>Your investment is unlikely to be liquid. This means you are unlikely to be able to sell your shares quickly or at all if you need the money or decide that this investment is not right for you.</w:t>
      </w:r>
    </w:p>
    <w:p w14:paraId="3F72605D" w14:textId="77777777" w:rsidR="00D46430" w:rsidRPr="00CD5673" w:rsidRDefault="00D46430" w:rsidP="00D46430">
      <w:pPr>
        <w:pStyle w:val="subsection"/>
      </w:pPr>
      <w:r w:rsidRPr="00CD5673">
        <w:tab/>
      </w:r>
      <w:r w:rsidRPr="00CD5673">
        <w:tab/>
        <w:t>Even though you have remedies for misleading statements in the offer document or misconduct by the company, you may have difficulty recovering your money.</w:t>
      </w:r>
    </w:p>
    <w:p w14:paraId="21E79758" w14:textId="77777777" w:rsidR="00D46430" w:rsidRPr="00CD5673" w:rsidRDefault="00D46430" w:rsidP="00D46430">
      <w:pPr>
        <w:pStyle w:val="subsection"/>
      </w:pPr>
      <w:r w:rsidRPr="00CD5673">
        <w:lastRenderedPageBreak/>
        <w:tab/>
      </w:r>
      <w:r w:rsidRPr="00CD5673">
        <w:tab/>
        <w:t>There are rules for handling your money. However, if your money is handled inappropriately or the person operating the platform on which this offer is published becomes insolvent, you may have difficulty recovering your money.</w:t>
      </w:r>
    </w:p>
    <w:p w14:paraId="4CA5D05A" w14:textId="77777777" w:rsidR="00D46430" w:rsidRPr="00CD5673" w:rsidRDefault="00D46430" w:rsidP="00D46430">
      <w:pPr>
        <w:pStyle w:val="subsection"/>
      </w:pPr>
      <w:r w:rsidRPr="00CD5673">
        <w:tab/>
      </w:r>
      <w:r w:rsidRPr="00CD5673">
        <w:tab/>
      </w:r>
      <w:r w:rsidRPr="00CD5673">
        <w:rPr>
          <w:szCs w:val="22"/>
          <w:lang w:eastAsia="en-US"/>
        </w:rPr>
        <w:t>Ask questions, read all information given carefully, and seek independent financial advice before committing yourself to any investment.</w:t>
      </w:r>
      <w:r w:rsidRPr="00CD5673">
        <w:t>”.</w:t>
      </w:r>
    </w:p>
    <w:p w14:paraId="1036EE2E" w14:textId="77777777" w:rsidR="00D46430" w:rsidRPr="00CD5673" w:rsidRDefault="00D46430" w:rsidP="00D46430">
      <w:pPr>
        <w:pStyle w:val="ActHead5"/>
      </w:pPr>
      <w:bookmarkStart w:id="373" w:name="_Toc158711980"/>
      <w:r w:rsidRPr="00C614F1">
        <w:rPr>
          <w:rStyle w:val="CharSectno"/>
        </w:rPr>
        <w:t>6D.3A.04</w:t>
      </w:r>
      <w:r w:rsidRPr="00CD5673">
        <w:t xml:space="preserve">  Contents of CSF offer document—Section 2: Information about the offering company</w:t>
      </w:r>
      <w:bookmarkEnd w:id="373"/>
    </w:p>
    <w:p w14:paraId="265C1A41" w14:textId="77777777" w:rsidR="00D46430" w:rsidRPr="00CD5673" w:rsidRDefault="00D46430" w:rsidP="00D46430">
      <w:pPr>
        <w:pStyle w:val="subsection"/>
      </w:pPr>
      <w:r w:rsidRPr="00CD5673">
        <w:tab/>
        <w:t>(1)</w:t>
      </w:r>
      <w:r w:rsidRPr="00CD5673">
        <w:tab/>
        <w:t>The following information must be contained in section 2 of the offer document:</w:t>
      </w:r>
    </w:p>
    <w:p w14:paraId="3667E44A" w14:textId="77777777" w:rsidR="00D46430" w:rsidRPr="00CD5673" w:rsidRDefault="00D46430" w:rsidP="00D46430">
      <w:pPr>
        <w:pStyle w:val="paragraph"/>
      </w:pPr>
      <w:r w:rsidRPr="00CD5673">
        <w:tab/>
        <w:t>(a)</w:t>
      </w:r>
      <w:r w:rsidRPr="00CD5673">
        <w:tab/>
        <w:t>the name, ACN and type of the offering company;</w:t>
      </w:r>
    </w:p>
    <w:p w14:paraId="4AADB8F5" w14:textId="77777777" w:rsidR="00D46430" w:rsidRPr="00CD5673" w:rsidRDefault="00D46430" w:rsidP="00D46430">
      <w:pPr>
        <w:pStyle w:val="paragraph"/>
      </w:pPr>
      <w:r w:rsidRPr="00CD5673">
        <w:tab/>
        <w:t>(b)</w:t>
      </w:r>
      <w:r w:rsidRPr="00CD5673">
        <w:tab/>
        <w:t>the address of the registered office of the offering company;</w:t>
      </w:r>
    </w:p>
    <w:p w14:paraId="059D7330" w14:textId="77777777" w:rsidR="00D46430" w:rsidRPr="00CD5673" w:rsidRDefault="00D46430" w:rsidP="00D46430">
      <w:pPr>
        <w:pStyle w:val="paragraph"/>
      </w:pPr>
      <w:r w:rsidRPr="00CD5673">
        <w:tab/>
        <w:t>(c)</w:t>
      </w:r>
      <w:r w:rsidRPr="00CD5673">
        <w:tab/>
        <w:t>the address of the principal place of business of the offering company;</w:t>
      </w:r>
    </w:p>
    <w:p w14:paraId="0458A64C" w14:textId="77777777" w:rsidR="00D46430" w:rsidRPr="00CD5673" w:rsidRDefault="00D46430" w:rsidP="00D46430">
      <w:pPr>
        <w:pStyle w:val="paragraph"/>
      </w:pPr>
      <w:r w:rsidRPr="00CD5673">
        <w:tab/>
        <w:t>(d)</w:t>
      </w:r>
      <w:r w:rsidRPr="00CD5673">
        <w:tab/>
        <w:t>the names of each of the following persons, as well as his or her skills and experience relevant to the management of the offering company:</w:t>
      </w:r>
    </w:p>
    <w:p w14:paraId="57F06B61" w14:textId="77777777" w:rsidR="00D46430" w:rsidRPr="00CD5673" w:rsidRDefault="00D46430" w:rsidP="00D46430">
      <w:pPr>
        <w:pStyle w:val="paragraphsub"/>
      </w:pPr>
      <w:r w:rsidRPr="00CD5673">
        <w:tab/>
        <w:t>(i)</w:t>
      </w:r>
      <w:r w:rsidRPr="00CD5673">
        <w:tab/>
        <w:t>each director of the offering company, and any person proposed by the offering company to be a director of the offering company;</w:t>
      </w:r>
    </w:p>
    <w:p w14:paraId="3D5443CD" w14:textId="77777777" w:rsidR="00D46430" w:rsidRPr="00CD5673" w:rsidRDefault="00D46430" w:rsidP="00D46430">
      <w:pPr>
        <w:pStyle w:val="paragraphsub"/>
      </w:pPr>
      <w:r w:rsidRPr="00CD5673">
        <w:tab/>
        <w:t>(ii)</w:t>
      </w:r>
      <w:r w:rsidRPr="00CD5673">
        <w:tab/>
        <w:t>each senior manager of the offering company, and any person proposed by the offering company to be a senior manager of the offering company;</w:t>
      </w:r>
    </w:p>
    <w:p w14:paraId="64B9E7F6" w14:textId="77777777" w:rsidR="00D46430" w:rsidRPr="00CD5673" w:rsidRDefault="00D46430" w:rsidP="00D46430">
      <w:pPr>
        <w:pStyle w:val="paragraph"/>
      </w:pPr>
      <w:r w:rsidRPr="00CD5673">
        <w:tab/>
        <w:t>(e)</w:t>
      </w:r>
      <w:r w:rsidRPr="00CD5673">
        <w:tab/>
        <w:t>a description of the offering company’s business and its organisational structure;</w:t>
      </w:r>
    </w:p>
    <w:p w14:paraId="4B04B610" w14:textId="77777777" w:rsidR="00D46430" w:rsidRPr="00CD5673" w:rsidRDefault="00D46430" w:rsidP="00D46430">
      <w:pPr>
        <w:pStyle w:val="paragraph"/>
      </w:pPr>
      <w:r w:rsidRPr="00CD5673">
        <w:tab/>
        <w:t>(f)</w:t>
      </w:r>
      <w:r w:rsidRPr="00CD5673">
        <w:tab/>
        <w:t>a description, or a summary, of the capital structure of the offering company (relating to both equity and debt in the offering company), including the classes (if any) of securities in the offering company, and the rights associated with the securities in the offering company;</w:t>
      </w:r>
    </w:p>
    <w:p w14:paraId="0EC95AA8" w14:textId="77777777" w:rsidR="00D46430" w:rsidRPr="00CD5673" w:rsidRDefault="00D46430" w:rsidP="00D46430">
      <w:pPr>
        <w:pStyle w:val="paragraph"/>
      </w:pPr>
      <w:r w:rsidRPr="00CD5673">
        <w:tab/>
        <w:t>(g)</w:t>
      </w:r>
      <w:r w:rsidRPr="00CD5673">
        <w:tab/>
        <w:t>a description of the main risks facing the offering company’s business;</w:t>
      </w:r>
    </w:p>
    <w:p w14:paraId="5DA7A683" w14:textId="77777777" w:rsidR="00D46430" w:rsidRPr="00CD5673" w:rsidRDefault="00D46430" w:rsidP="00D46430">
      <w:pPr>
        <w:pStyle w:val="paragraph"/>
      </w:pPr>
      <w:r w:rsidRPr="00CD5673">
        <w:tab/>
        <w:t>(h)</w:t>
      </w:r>
      <w:r w:rsidRPr="00CD5673">
        <w:tab/>
        <w:t>a description, or a summary, of the key provisions of the offering company’s constitution that deal with any rights and liabilities that attach to the securities in the issuing company;</w:t>
      </w:r>
    </w:p>
    <w:p w14:paraId="03ABD45F" w14:textId="77777777" w:rsidR="00D46430" w:rsidRPr="00CD5673" w:rsidRDefault="00D46430" w:rsidP="00D46430">
      <w:pPr>
        <w:pStyle w:val="paragraph"/>
      </w:pPr>
      <w:r w:rsidRPr="00CD5673">
        <w:tab/>
        <w:t>(i)</w:t>
      </w:r>
      <w:r w:rsidRPr="00CD5673">
        <w:tab/>
        <w:t>if the offering company is a proprietary company, a description or summary of the following:</w:t>
      </w:r>
    </w:p>
    <w:p w14:paraId="71FEFFC0" w14:textId="77777777" w:rsidR="00D46430" w:rsidRPr="00CD5673" w:rsidRDefault="00D46430" w:rsidP="00D46430">
      <w:pPr>
        <w:pStyle w:val="paragraphsub"/>
      </w:pPr>
      <w:r w:rsidRPr="00CD5673">
        <w:tab/>
        <w:t>(i)</w:t>
      </w:r>
      <w:r w:rsidRPr="00CD5673">
        <w:tab/>
        <w:t>the key provisions of any agreement or proposed agreement between shareholders that deal with any rights and liabilities that attach to, or may affect, the securities in the issuing company;</w:t>
      </w:r>
    </w:p>
    <w:p w14:paraId="5EA64E47" w14:textId="77777777" w:rsidR="00D46430" w:rsidRPr="00CD5673" w:rsidRDefault="00D46430" w:rsidP="00D46430">
      <w:pPr>
        <w:pStyle w:val="paragraphsub"/>
      </w:pPr>
      <w:r w:rsidRPr="00CD5673">
        <w:tab/>
        <w:t>(ii)</w:t>
      </w:r>
      <w:r w:rsidRPr="00CD5673">
        <w:tab/>
        <w:t>any right of the directors of the company to refuse to register a transfer of shares in the company.</w:t>
      </w:r>
    </w:p>
    <w:p w14:paraId="2D15D86E" w14:textId="77777777" w:rsidR="00D46430" w:rsidRPr="00CD5673" w:rsidRDefault="00D46430" w:rsidP="00D46430">
      <w:pPr>
        <w:pStyle w:val="notetext"/>
      </w:pPr>
      <w:r w:rsidRPr="00CD5673">
        <w:t>Note:</w:t>
      </w:r>
      <w:r w:rsidRPr="00CD5673">
        <w:tab/>
        <w:t>For paragraph (a), the offering company will be one of the types set out in subsection 112(1) of the Act.</w:t>
      </w:r>
    </w:p>
    <w:p w14:paraId="3A1CB73F" w14:textId="77777777" w:rsidR="00D46430" w:rsidRPr="00CD5673" w:rsidRDefault="00D46430" w:rsidP="00D46430">
      <w:pPr>
        <w:pStyle w:val="subsection"/>
      </w:pPr>
      <w:r w:rsidRPr="00CD5673">
        <w:tab/>
        <w:t>(1A)</w:t>
      </w:r>
      <w:r w:rsidRPr="00CD5673">
        <w:tab/>
        <w:t>If a summary of the information in paragraph (1)(f) is contained in section 2 of the offer document, then:</w:t>
      </w:r>
    </w:p>
    <w:p w14:paraId="7AAECA11" w14:textId="77777777" w:rsidR="00D46430" w:rsidRPr="00CD5673" w:rsidRDefault="00D46430" w:rsidP="00D46430">
      <w:pPr>
        <w:pStyle w:val="paragraph"/>
      </w:pPr>
      <w:r w:rsidRPr="00CD5673">
        <w:tab/>
        <w:t>(a)</w:t>
      </w:r>
      <w:r w:rsidRPr="00CD5673">
        <w:tab/>
        <w:t>the information in full must be contained in another section of, or in an appendix to, the offer document; and</w:t>
      </w:r>
    </w:p>
    <w:p w14:paraId="1E8AFABE" w14:textId="77777777" w:rsidR="00D46430" w:rsidRPr="00CD5673" w:rsidRDefault="00D46430" w:rsidP="00D46430">
      <w:pPr>
        <w:pStyle w:val="paragraph"/>
      </w:pPr>
      <w:r w:rsidRPr="00CD5673">
        <w:tab/>
        <w:t>(b)</w:t>
      </w:r>
      <w:r w:rsidRPr="00CD5673">
        <w:tab/>
        <w:t>section 2 of the offer document must include a cross reference to the location of that information.</w:t>
      </w:r>
    </w:p>
    <w:p w14:paraId="54C21B92" w14:textId="77777777" w:rsidR="00D46430" w:rsidRPr="00CD5673" w:rsidRDefault="00D46430" w:rsidP="00D46430">
      <w:pPr>
        <w:pStyle w:val="subsection"/>
      </w:pPr>
      <w:r w:rsidRPr="00CD5673">
        <w:tab/>
        <w:t>(2)</w:t>
      </w:r>
      <w:r w:rsidRPr="00CD5673">
        <w:tab/>
        <w:t>Section 2 of the offer document must also contain a copy, or a summary, of:</w:t>
      </w:r>
    </w:p>
    <w:p w14:paraId="35A893FF" w14:textId="77777777" w:rsidR="00D46430" w:rsidRPr="00CD5673" w:rsidRDefault="00D46430" w:rsidP="00D46430">
      <w:pPr>
        <w:pStyle w:val="paragraph"/>
      </w:pPr>
      <w:r w:rsidRPr="00CD5673">
        <w:tab/>
        <w:t>(a)</w:t>
      </w:r>
      <w:r w:rsidRPr="00CD5673">
        <w:tab/>
        <w:t>if the offering company was registered before the financial year in which the CSF offer is to be made—the financial statements, that comply with the accounting standards, for the company for the most recently completed financial year; or</w:t>
      </w:r>
    </w:p>
    <w:p w14:paraId="1F425CF4" w14:textId="77777777" w:rsidR="00D46430" w:rsidRPr="00CD5673" w:rsidRDefault="00D46430" w:rsidP="00D46430">
      <w:pPr>
        <w:pStyle w:val="paragraph"/>
      </w:pPr>
      <w:r w:rsidRPr="00CD5673">
        <w:tab/>
        <w:t>(b)</w:t>
      </w:r>
      <w:r w:rsidRPr="00CD5673">
        <w:tab/>
        <w:t>if the offering company was registered during the financial year in which the CSF offer is to be made—the financial statements for the company for at least so much of that financial year as ends 1 month before the CSF offer is to be made.</w:t>
      </w:r>
    </w:p>
    <w:p w14:paraId="4FF4C2C6" w14:textId="77777777" w:rsidR="00D46430" w:rsidRPr="00CD5673" w:rsidRDefault="00D46430" w:rsidP="00D46430">
      <w:pPr>
        <w:pStyle w:val="subsection"/>
      </w:pPr>
      <w:r w:rsidRPr="00CD5673">
        <w:tab/>
        <w:t>(2A)</w:t>
      </w:r>
      <w:r w:rsidRPr="00CD5673">
        <w:tab/>
        <w:t>If a summary of the financial statements mentioned in subregulation (2) is contained in section 2 of the offer document, then:</w:t>
      </w:r>
    </w:p>
    <w:p w14:paraId="7BE1005D" w14:textId="77777777" w:rsidR="00D46430" w:rsidRPr="00CD5673" w:rsidRDefault="00D46430" w:rsidP="00D46430">
      <w:pPr>
        <w:pStyle w:val="paragraph"/>
      </w:pPr>
      <w:r w:rsidRPr="00CD5673">
        <w:tab/>
        <w:t>(a)</w:t>
      </w:r>
      <w:r w:rsidRPr="00CD5673">
        <w:tab/>
        <w:t>a copy of the statements must be contained in another section of, or in an appendix to, the offer document; and</w:t>
      </w:r>
    </w:p>
    <w:p w14:paraId="01D7F935" w14:textId="77777777" w:rsidR="00D46430" w:rsidRPr="00CD5673" w:rsidRDefault="00D46430" w:rsidP="00D46430">
      <w:pPr>
        <w:pStyle w:val="paragraph"/>
      </w:pPr>
      <w:r w:rsidRPr="00CD5673">
        <w:tab/>
        <w:t>(b)</w:t>
      </w:r>
      <w:r w:rsidRPr="00CD5673">
        <w:tab/>
        <w:t>section 2 of the offer document must include a cross reference to the location of the statements.</w:t>
      </w:r>
    </w:p>
    <w:p w14:paraId="55801ED3" w14:textId="77777777" w:rsidR="00D46430" w:rsidRPr="00CD5673" w:rsidRDefault="00D46430" w:rsidP="00D46430">
      <w:pPr>
        <w:pStyle w:val="subsection"/>
      </w:pPr>
      <w:r w:rsidRPr="00CD5673">
        <w:tab/>
        <w:t>(3)</w:t>
      </w:r>
      <w:r w:rsidRPr="00CD5673">
        <w:tab/>
        <w:t>Section 2 of the offer document must also contain the following information:</w:t>
      </w:r>
    </w:p>
    <w:p w14:paraId="2F2B63D1" w14:textId="77777777" w:rsidR="00D46430" w:rsidRPr="00CD5673" w:rsidRDefault="00D46430" w:rsidP="00D46430">
      <w:pPr>
        <w:pStyle w:val="paragraph"/>
      </w:pPr>
      <w:r w:rsidRPr="00CD5673">
        <w:tab/>
        <w:t>(a)</w:t>
      </w:r>
      <w:r w:rsidRPr="00CD5673">
        <w:tab/>
        <w:t>if the offering company, or any person referred to in paragraph (1)(d), has been convicted of an offence against the Act—details of the offence, including a description of the circumstances giving rise to it;</w:t>
      </w:r>
    </w:p>
    <w:p w14:paraId="2EA10744" w14:textId="77777777" w:rsidR="00D46430" w:rsidRPr="00CD5673" w:rsidRDefault="00D46430" w:rsidP="00D46430">
      <w:pPr>
        <w:pStyle w:val="paragraph"/>
      </w:pPr>
      <w:r w:rsidRPr="00CD5673">
        <w:tab/>
        <w:t>(b)</w:t>
      </w:r>
      <w:r w:rsidRPr="00CD5673">
        <w:tab/>
        <w:t>if a civil penalty under the Act has been imposed on the offering company, or any person referred to in paragraph (1)(d)—details of the penalty, including a description of the circumstances giving rise it;</w:t>
      </w:r>
    </w:p>
    <w:p w14:paraId="72A09A56" w14:textId="77777777" w:rsidR="00D46430" w:rsidRPr="00CD5673" w:rsidRDefault="00D46430" w:rsidP="00D46430">
      <w:pPr>
        <w:pStyle w:val="paragraph"/>
      </w:pPr>
      <w:r w:rsidRPr="00CD5673">
        <w:tab/>
        <w:t>(c)</w:t>
      </w:r>
      <w:r w:rsidRPr="00CD5673">
        <w:tab/>
        <w:t>if a person referred to in paragraph (1)(d) is or has been disqualified from managing corporations under Part 2D.6 of the Act—details of the disqualification, including a description of the circumstances giving rise to it;</w:t>
      </w:r>
    </w:p>
    <w:p w14:paraId="164DBEE5" w14:textId="77777777" w:rsidR="00D46430" w:rsidRPr="00CD5673" w:rsidRDefault="00D46430" w:rsidP="00D46430">
      <w:pPr>
        <w:pStyle w:val="paragraph"/>
      </w:pPr>
      <w:r w:rsidRPr="00CD5673">
        <w:lastRenderedPageBreak/>
        <w:tab/>
        <w:t>(d)</w:t>
      </w:r>
      <w:r w:rsidRPr="00CD5673">
        <w:tab/>
        <w:t>if a person referred to in paragraph (1)(d) is or has been subject to a banning order under section 920A of the Act—details of the order, including a description of the circumstances giving rise to it;</w:t>
      </w:r>
    </w:p>
    <w:p w14:paraId="3FA10F2A" w14:textId="77777777" w:rsidR="00D46430" w:rsidRPr="00CD5673" w:rsidRDefault="00D46430" w:rsidP="00D46430">
      <w:pPr>
        <w:pStyle w:val="paragraph"/>
      </w:pPr>
      <w:r w:rsidRPr="00CD5673">
        <w:tab/>
        <w:t>(e)</w:t>
      </w:r>
      <w:r w:rsidRPr="00CD5673">
        <w:tab/>
        <w:t>if a person referred to in paragraph (1)(d) is or has been subject to a court order under paragraph 921A(2)(a) of the Act—details of the order, including a description of the circumstances giving rise to it;</w:t>
      </w:r>
    </w:p>
    <w:p w14:paraId="20CF8C09" w14:textId="77777777" w:rsidR="00D46430" w:rsidRPr="00CD5673" w:rsidRDefault="00D46430" w:rsidP="00D46430">
      <w:pPr>
        <w:pStyle w:val="paragraph"/>
      </w:pPr>
      <w:r w:rsidRPr="00CD5673">
        <w:tab/>
        <w:t>(f)</w:t>
      </w:r>
      <w:r w:rsidRPr="00CD5673">
        <w:tab/>
        <w:t>if a person referred to in paragraph (1)(d) is or has been a director, secretary or senior manager of a corporation when it became insolvent—details of the insolvency, including a description of the circumstances giving rise to it;</w:t>
      </w:r>
    </w:p>
    <w:p w14:paraId="553BFD93" w14:textId="77777777" w:rsidR="00D46430" w:rsidRPr="00CD5673" w:rsidRDefault="00D46430" w:rsidP="00D46430">
      <w:pPr>
        <w:pStyle w:val="paragraph"/>
      </w:pPr>
      <w:r w:rsidRPr="00CD5673">
        <w:tab/>
        <w:t>(g)</w:t>
      </w:r>
      <w:r w:rsidRPr="00CD5673">
        <w:tab/>
        <w:t>if ASIC has accepted under subsection 93AA(1) of the ASIC Act an undertaking given by the offering company, or by any person referred to in paragraph (1)(d) in relation to the offering company—details of the undertaking, including a description of the circumstances giving rise to it;</w:t>
      </w:r>
    </w:p>
    <w:p w14:paraId="797BD51A" w14:textId="77777777" w:rsidR="00D46430" w:rsidRPr="00CD5673" w:rsidRDefault="00D46430" w:rsidP="00D46430">
      <w:pPr>
        <w:pStyle w:val="paragraph"/>
      </w:pPr>
      <w:r w:rsidRPr="00CD5673">
        <w:tab/>
        <w:t>(h)</w:t>
      </w:r>
      <w:r w:rsidRPr="00CD5673">
        <w:tab/>
        <w:t>if, during the 10</w:t>
      </w:r>
      <w:r w:rsidR="00C614F1">
        <w:noBreakHyphen/>
      </w:r>
      <w:r w:rsidRPr="00CD5673">
        <w:t>year period before the CSF offer is to be made, the offering company has:</w:t>
      </w:r>
    </w:p>
    <w:p w14:paraId="1EAB4B72" w14:textId="77777777" w:rsidR="00D46430" w:rsidRPr="00CD5673" w:rsidRDefault="00D46430" w:rsidP="00D46430">
      <w:pPr>
        <w:pStyle w:val="paragraphsub"/>
      </w:pPr>
      <w:r w:rsidRPr="00CD5673">
        <w:tab/>
        <w:t>(i)</w:t>
      </w:r>
      <w:r w:rsidRPr="00CD5673">
        <w:tab/>
        <w:t>been convicted of any offence other than one against the Act; or</w:t>
      </w:r>
    </w:p>
    <w:p w14:paraId="2C7A17C7" w14:textId="77777777" w:rsidR="00D46430" w:rsidRPr="00CD5673" w:rsidRDefault="00D46430" w:rsidP="00D46430">
      <w:pPr>
        <w:pStyle w:val="paragraphsub"/>
      </w:pPr>
      <w:r w:rsidRPr="00CD5673">
        <w:tab/>
        <w:t>(ii)</w:t>
      </w:r>
      <w:r w:rsidRPr="00CD5673">
        <w:tab/>
        <w:t>had imposed on it any penalty under any law other than the Act;</w:t>
      </w:r>
    </w:p>
    <w:p w14:paraId="62EEEC15" w14:textId="77777777" w:rsidR="00D46430" w:rsidRPr="00CD5673" w:rsidRDefault="00D46430" w:rsidP="00D46430">
      <w:pPr>
        <w:pStyle w:val="paragraph"/>
      </w:pPr>
      <w:r w:rsidRPr="00CD5673">
        <w:tab/>
      </w:r>
      <w:r w:rsidRPr="00CD5673">
        <w:tab/>
        <w:t>details of the offence or penalty, including a description of the circumstances giving rise to it;</w:t>
      </w:r>
    </w:p>
    <w:p w14:paraId="02E3C3B7" w14:textId="77777777" w:rsidR="00D46430" w:rsidRPr="00CD5673" w:rsidRDefault="00D46430" w:rsidP="00D46430">
      <w:pPr>
        <w:pStyle w:val="paragraph"/>
      </w:pPr>
      <w:r w:rsidRPr="00CD5673">
        <w:tab/>
        <w:t>(i)</w:t>
      </w:r>
      <w:r w:rsidRPr="00CD5673">
        <w:tab/>
        <w:t>if, during the 10</w:t>
      </w:r>
      <w:r w:rsidR="00C614F1">
        <w:noBreakHyphen/>
      </w:r>
      <w:r w:rsidRPr="00CD5673">
        <w:t>year period before the CSF offer is to be made, any person referred to in paragraph (1)(d) has, in any of the capacities referred to in that paragraph with any company:</w:t>
      </w:r>
    </w:p>
    <w:p w14:paraId="76D7EE09" w14:textId="77777777" w:rsidR="00D46430" w:rsidRPr="00CD5673" w:rsidRDefault="00D46430" w:rsidP="00D46430">
      <w:pPr>
        <w:pStyle w:val="paragraphsub"/>
      </w:pPr>
      <w:r w:rsidRPr="00CD5673">
        <w:tab/>
        <w:t>(i)</w:t>
      </w:r>
      <w:r w:rsidRPr="00CD5673">
        <w:tab/>
        <w:t>been convicted of any offence other than one against the Act; or</w:t>
      </w:r>
    </w:p>
    <w:p w14:paraId="54D3D611" w14:textId="77777777" w:rsidR="00D46430" w:rsidRPr="00CD5673" w:rsidRDefault="00D46430" w:rsidP="00D46430">
      <w:pPr>
        <w:pStyle w:val="paragraphsub"/>
      </w:pPr>
      <w:r w:rsidRPr="00CD5673">
        <w:tab/>
        <w:t>(ii)</w:t>
      </w:r>
      <w:r w:rsidRPr="00CD5673">
        <w:tab/>
        <w:t>had imposed on him or her a penalty under any law other than the Act;</w:t>
      </w:r>
    </w:p>
    <w:p w14:paraId="5DC83240" w14:textId="77777777" w:rsidR="00D46430" w:rsidRPr="00CD5673" w:rsidRDefault="00D46430" w:rsidP="00D46430">
      <w:pPr>
        <w:pStyle w:val="paragraph"/>
      </w:pPr>
      <w:r w:rsidRPr="00CD5673">
        <w:tab/>
      </w:r>
      <w:r w:rsidRPr="00CD5673">
        <w:tab/>
        <w:t>details of the offence or penalty, including a description of the circumstances giving rise to it.</w:t>
      </w:r>
    </w:p>
    <w:p w14:paraId="643CA68D" w14:textId="77777777" w:rsidR="00D46430" w:rsidRPr="00CD5673" w:rsidRDefault="00D46430" w:rsidP="00D46430">
      <w:pPr>
        <w:pStyle w:val="ActHead5"/>
      </w:pPr>
      <w:bookmarkStart w:id="374" w:name="_Toc158711981"/>
      <w:r w:rsidRPr="00C614F1">
        <w:rPr>
          <w:rStyle w:val="CharSectno"/>
        </w:rPr>
        <w:t>6D.3A.05</w:t>
      </w:r>
      <w:r w:rsidRPr="00CD5673">
        <w:t xml:space="preserve">  Contents of CSF offer document—Section 3: Information about the offer</w:t>
      </w:r>
      <w:bookmarkEnd w:id="374"/>
    </w:p>
    <w:p w14:paraId="05CE5F3F" w14:textId="77777777" w:rsidR="00D46430" w:rsidRPr="00CD5673" w:rsidRDefault="00D46430" w:rsidP="00D46430">
      <w:pPr>
        <w:pStyle w:val="subsection"/>
        <w:keepNext/>
        <w:keepLines/>
      </w:pPr>
      <w:r w:rsidRPr="00CD5673">
        <w:tab/>
        <w:t>(1)</w:t>
      </w:r>
      <w:r w:rsidRPr="00CD5673">
        <w:tab/>
        <w:t>The following information must be contained in section 3 of the offer document:</w:t>
      </w:r>
    </w:p>
    <w:p w14:paraId="59289634" w14:textId="77777777" w:rsidR="00D46430" w:rsidRPr="00CD5673" w:rsidRDefault="00D46430" w:rsidP="00D46430">
      <w:pPr>
        <w:pStyle w:val="paragraph"/>
      </w:pPr>
      <w:r w:rsidRPr="00CD5673">
        <w:tab/>
        <w:t>(a)</w:t>
      </w:r>
      <w:r w:rsidRPr="00CD5673">
        <w:tab/>
        <w:t>a description, or a summary, of the securities on offer, including information on the rights associated with those securities;</w:t>
      </w:r>
    </w:p>
    <w:p w14:paraId="05172A14" w14:textId="77777777" w:rsidR="00D46430" w:rsidRPr="00CD5673" w:rsidRDefault="00D46430" w:rsidP="00D46430">
      <w:pPr>
        <w:pStyle w:val="paragraph"/>
        <w:keepNext/>
        <w:keepLines/>
      </w:pPr>
      <w:r w:rsidRPr="00CD5673">
        <w:tab/>
        <w:t>(b)</w:t>
      </w:r>
      <w:r w:rsidRPr="00CD5673">
        <w:tab/>
        <w:t>the minimum subscription amount for the offer (see subsection 738L(8) of the Act);</w:t>
      </w:r>
    </w:p>
    <w:p w14:paraId="64B5E4EE" w14:textId="77777777" w:rsidR="00D46430" w:rsidRPr="00CD5673" w:rsidRDefault="00D46430" w:rsidP="00D46430">
      <w:pPr>
        <w:pStyle w:val="paragraph"/>
      </w:pPr>
      <w:r w:rsidRPr="00CD5673">
        <w:tab/>
        <w:t>(c)</w:t>
      </w:r>
      <w:r w:rsidRPr="00CD5673">
        <w:tab/>
        <w:t>the maximum subscription amount for the offer (see subsection 738L(7) of the Act);</w:t>
      </w:r>
    </w:p>
    <w:p w14:paraId="311C69FC" w14:textId="77777777" w:rsidR="00D46430" w:rsidRPr="00CD5673" w:rsidRDefault="00D46430" w:rsidP="00D46430">
      <w:pPr>
        <w:pStyle w:val="paragraph"/>
      </w:pPr>
      <w:r w:rsidRPr="00CD5673">
        <w:tab/>
        <w:t>(d)</w:t>
      </w:r>
      <w:r w:rsidRPr="00CD5673">
        <w:tab/>
        <w:t>the period that the offering company expects the offer to remain open;</w:t>
      </w:r>
    </w:p>
    <w:p w14:paraId="2A1AB520" w14:textId="77777777" w:rsidR="00D46430" w:rsidRPr="00CD5673" w:rsidRDefault="00D46430" w:rsidP="00D46430">
      <w:pPr>
        <w:pStyle w:val="paragraph"/>
      </w:pPr>
      <w:r w:rsidRPr="00CD5673">
        <w:tab/>
        <w:t>(e)</w:t>
      </w:r>
      <w:r w:rsidRPr="00CD5673">
        <w:tab/>
        <w:t>a description of how the offering company intends to use the proceeds from the offer (including a description of how the company intends to use any proceeds of the offer in excess of the minimum subscription amount for the offer).</w:t>
      </w:r>
    </w:p>
    <w:p w14:paraId="5DA35887" w14:textId="77777777" w:rsidR="00D46430" w:rsidRPr="00CD5673" w:rsidRDefault="00D46430" w:rsidP="00D46430">
      <w:pPr>
        <w:pStyle w:val="subsection"/>
      </w:pPr>
      <w:r w:rsidRPr="00CD5673">
        <w:tab/>
        <w:t>(1A)</w:t>
      </w:r>
      <w:r w:rsidRPr="00CD5673">
        <w:tab/>
        <w:t>If a summary of the information mentioned in paragraph (1)(a) is contained in section 3 of the offer document, then:</w:t>
      </w:r>
    </w:p>
    <w:p w14:paraId="5E880CF5" w14:textId="77777777" w:rsidR="00D46430" w:rsidRPr="00CD5673" w:rsidRDefault="00D46430" w:rsidP="00D46430">
      <w:pPr>
        <w:pStyle w:val="paragraph"/>
      </w:pPr>
      <w:r w:rsidRPr="00CD5673">
        <w:tab/>
        <w:t>(a)</w:t>
      </w:r>
      <w:r w:rsidRPr="00CD5673">
        <w:tab/>
        <w:t>the information in full must be contained in another section of, or in an appendix to, the offer document; and</w:t>
      </w:r>
    </w:p>
    <w:p w14:paraId="2465EBA5" w14:textId="77777777" w:rsidR="00D46430" w:rsidRPr="00CD5673" w:rsidRDefault="00D46430" w:rsidP="00D46430">
      <w:pPr>
        <w:pStyle w:val="paragraph"/>
      </w:pPr>
      <w:r w:rsidRPr="00CD5673">
        <w:tab/>
        <w:t>(b)</w:t>
      </w:r>
      <w:r w:rsidRPr="00CD5673">
        <w:tab/>
        <w:t>section 3 of the offer document must include a cross reference to the location of that information.</w:t>
      </w:r>
    </w:p>
    <w:p w14:paraId="750DEE35" w14:textId="77777777" w:rsidR="00D46430" w:rsidRPr="00CD5673" w:rsidRDefault="00D46430" w:rsidP="00D46430">
      <w:pPr>
        <w:pStyle w:val="subsection"/>
      </w:pPr>
      <w:r w:rsidRPr="00CD5673">
        <w:tab/>
        <w:t>(2)</w:t>
      </w:r>
      <w:r w:rsidRPr="00CD5673">
        <w:tab/>
        <w:t>If any of the proceeds of the offer will be paid, directly or indirectly, to any of the following persons, section 3 of the offer document must also contain a description of the payment:</w:t>
      </w:r>
    </w:p>
    <w:p w14:paraId="32785C38" w14:textId="77777777" w:rsidR="00D46430" w:rsidRPr="00CD5673" w:rsidRDefault="00D46430" w:rsidP="00D46430">
      <w:pPr>
        <w:pStyle w:val="paragraph"/>
      </w:pPr>
      <w:r w:rsidRPr="00CD5673">
        <w:tab/>
        <w:t>(a)</w:t>
      </w:r>
      <w:r w:rsidRPr="00CD5673">
        <w:tab/>
        <w:t>a person referred to in paragraph 6D.3A.04(1)(d);</w:t>
      </w:r>
    </w:p>
    <w:p w14:paraId="4E7698A6" w14:textId="77777777" w:rsidR="00D46430" w:rsidRPr="00CD5673" w:rsidRDefault="00D46430" w:rsidP="00D46430">
      <w:pPr>
        <w:pStyle w:val="paragraph"/>
      </w:pPr>
      <w:r w:rsidRPr="00CD5673">
        <w:tab/>
        <w:t>(b)</w:t>
      </w:r>
      <w:r w:rsidRPr="00CD5673">
        <w:tab/>
        <w:t>the CSF intermediary that will publish the offer, or any other person that is a related party (within the meaning of subsection 738G(3) of the Act) of that CSF intermediary;</w:t>
      </w:r>
    </w:p>
    <w:p w14:paraId="36CAFD02" w14:textId="77777777" w:rsidR="00D46430" w:rsidRPr="00CD5673" w:rsidRDefault="00D46430" w:rsidP="00D46430">
      <w:pPr>
        <w:pStyle w:val="paragraph"/>
      </w:pPr>
      <w:r w:rsidRPr="00CD5673">
        <w:tab/>
        <w:t>(c)</w:t>
      </w:r>
      <w:r w:rsidRPr="00CD5673">
        <w:tab/>
        <w:t>a person promoting or marketing the offer;</w:t>
      </w:r>
    </w:p>
    <w:p w14:paraId="2459145D" w14:textId="77777777" w:rsidR="00D46430" w:rsidRPr="00CD5673" w:rsidRDefault="00D46430" w:rsidP="00D46430">
      <w:pPr>
        <w:pStyle w:val="paragraph"/>
      </w:pPr>
      <w:r w:rsidRPr="00CD5673">
        <w:tab/>
        <w:t>(d)</w:t>
      </w:r>
      <w:r w:rsidRPr="00CD5673">
        <w:tab/>
        <w:t>a person that holds securities entitling the person to exercise more than 20% of the rights to vote at a general meeting of the offering company;</w:t>
      </w:r>
    </w:p>
    <w:p w14:paraId="086EF713" w14:textId="77777777" w:rsidR="00D46430" w:rsidRPr="00CD5673" w:rsidRDefault="00D46430" w:rsidP="00D46430">
      <w:pPr>
        <w:pStyle w:val="paragraph"/>
      </w:pPr>
      <w:r w:rsidRPr="00CD5673">
        <w:tab/>
        <w:t>(e)</w:t>
      </w:r>
      <w:r w:rsidRPr="00CD5673">
        <w:tab/>
        <w:t>a person that controls the offering company;</w:t>
      </w:r>
    </w:p>
    <w:p w14:paraId="24094BBA" w14:textId="77777777" w:rsidR="00D46430" w:rsidRPr="00CD5673" w:rsidRDefault="00D46430" w:rsidP="00D46430">
      <w:pPr>
        <w:pStyle w:val="paragraph"/>
      </w:pPr>
      <w:r w:rsidRPr="00CD5673">
        <w:tab/>
        <w:t>(f)</w:t>
      </w:r>
      <w:r w:rsidRPr="00CD5673">
        <w:tab/>
        <w:t>any other person that is a related party (within the meaning of subsection 738G(3) of the Act) of the offering company.</w:t>
      </w:r>
    </w:p>
    <w:p w14:paraId="13AADE6A" w14:textId="77777777" w:rsidR="00D46430" w:rsidRPr="00CD5673" w:rsidRDefault="00D46430" w:rsidP="00D46430">
      <w:pPr>
        <w:pStyle w:val="subsection"/>
      </w:pPr>
      <w:r w:rsidRPr="00CD5673">
        <w:tab/>
        <w:t>(3)</w:t>
      </w:r>
      <w:r w:rsidRPr="00CD5673">
        <w:tab/>
        <w:t>Without limiting subregulation (2), proceeds of the offer will be paid indirectly to a person if those proceeds will be paid for the benefit of the person by an intermediary entity such as a nominee, trust or partnership.</w:t>
      </w:r>
    </w:p>
    <w:p w14:paraId="1D2332B2" w14:textId="77777777" w:rsidR="00D46430" w:rsidRPr="00CD5673" w:rsidRDefault="00D46430" w:rsidP="00D46430">
      <w:pPr>
        <w:pStyle w:val="subsection"/>
      </w:pPr>
      <w:r w:rsidRPr="00CD5673">
        <w:tab/>
        <w:t>(4)</w:t>
      </w:r>
      <w:r w:rsidRPr="00CD5673">
        <w:tab/>
        <w:t>Section 3 of the offer document must also contain a description of each previous CSF offer (if any) of securities by the following entities:</w:t>
      </w:r>
    </w:p>
    <w:p w14:paraId="6A5C9441" w14:textId="77777777" w:rsidR="00D46430" w:rsidRPr="00CD5673" w:rsidRDefault="00D46430" w:rsidP="00D46430">
      <w:pPr>
        <w:pStyle w:val="paragraph"/>
      </w:pPr>
      <w:r w:rsidRPr="00CD5673">
        <w:tab/>
        <w:t>(a)</w:t>
      </w:r>
      <w:r w:rsidRPr="00CD5673">
        <w:tab/>
        <w:t>the offering company;</w:t>
      </w:r>
    </w:p>
    <w:p w14:paraId="7CB0674A" w14:textId="77777777" w:rsidR="00D46430" w:rsidRPr="00CD5673" w:rsidRDefault="00D46430" w:rsidP="00D46430">
      <w:pPr>
        <w:pStyle w:val="paragraph"/>
      </w:pPr>
      <w:r w:rsidRPr="00CD5673">
        <w:lastRenderedPageBreak/>
        <w:tab/>
        <w:t>(b)</w:t>
      </w:r>
      <w:r w:rsidRPr="00CD5673">
        <w:tab/>
        <w:t>for each person referred to in paragraph 6D.3A.04(1)(d) for the offering company—any other company that had, at the time of a previous CSF offer by that other company, the person as a director or senior manager;</w:t>
      </w:r>
    </w:p>
    <w:p w14:paraId="16776E62" w14:textId="77777777" w:rsidR="00D46430" w:rsidRPr="00CD5673" w:rsidRDefault="00D46430" w:rsidP="00D46430">
      <w:pPr>
        <w:pStyle w:val="paragraph"/>
      </w:pPr>
      <w:r w:rsidRPr="00CD5673">
        <w:tab/>
        <w:t>(c)</w:t>
      </w:r>
      <w:r w:rsidRPr="00CD5673">
        <w:tab/>
        <w:t>for each person that controls the offering company—any other company that the person controlled at the time of a previous CSF offer by that other company;</w:t>
      </w:r>
    </w:p>
    <w:p w14:paraId="7ED259AC" w14:textId="77777777" w:rsidR="00D46430" w:rsidRPr="00CD5673" w:rsidRDefault="00D46430" w:rsidP="00D46430">
      <w:pPr>
        <w:pStyle w:val="paragraph"/>
      </w:pPr>
      <w:r w:rsidRPr="00CD5673">
        <w:tab/>
        <w:t>(d)</w:t>
      </w:r>
      <w:r w:rsidRPr="00CD5673">
        <w:tab/>
        <w:t>any other company that is a related party (within the meaning of subsection 738G(3) of the Act) of the offering company.</w:t>
      </w:r>
    </w:p>
    <w:p w14:paraId="66C724E7" w14:textId="77777777" w:rsidR="00D46430" w:rsidRPr="00CD5673" w:rsidRDefault="00D46430" w:rsidP="00D46430">
      <w:pPr>
        <w:pStyle w:val="subsection"/>
      </w:pPr>
      <w:r w:rsidRPr="00CD5673">
        <w:tab/>
        <w:t>(5)</w:t>
      </w:r>
      <w:r w:rsidRPr="00CD5673">
        <w:tab/>
        <w:t>The description of a previous CSF offer referred to in subregulation (4) must include a description of the outcome of the offer.</w:t>
      </w:r>
    </w:p>
    <w:p w14:paraId="00DF90DB" w14:textId="77777777" w:rsidR="00D46430" w:rsidRPr="00CD5673" w:rsidRDefault="00D46430" w:rsidP="00D46430">
      <w:pPr>
        <w:pStyle w:val="ActHead5"/>
      </w:pPr>
      <w:bookmarkStart w:id="375" w:name="_Toc158711982"/>
      <w:r w:rsidRPr="00C614F1">
        <w:rPr>
          <w:rStyle w:val="CharSectno"/>
        </w:rPr>
        <w:t>6D.3A.06</w:t>
      </w:r>
      <w:r w:rsidRPr="00CD5673">
        <w:t xml:space="preserve">  Contents of CSF offer document—Section 4: Information about investor rights</w:t>
      </w:r>
      <w:bookmarkEnd w:id="375"/>
    </w:p>
    <w:p w14:paraId="1BC4DA5B" w14:textId="77777777" w:rsidR="00D46430" w:rsidRPr="00CD5673" w:rsidRDefault="00D46430" w:rsidP="00D46430">
      <w:pPr>
        <w:pStyle w:val="subsection"/>
      </w:pPr>
      <w:r w:rsidRPr="00CD5673">
        <w:tab/>
        <w:t>(1)</w:t>
      </w:r>
      <w:r w:rsidRPr="00CD5673">
        <w:tab/>
        <w:t>The following information must be contained in section 4 of the offer document:</w:t>
      </w:r>
    </w:p>
    <w:p w14:paraId="69F9A2C2" w14:textId="77777777" w:rsidR="00D46430" w:rsidRPr="00CD5673" w:rsidRDefault="00D46430" w:rsidP="00D46430">
      <w:pPr>
        <w:pStyle w:val="paragraph"/>
      </w:pPr>
      <w:r w:rsidRPr="00CD5673">
        <w:tab/>
        <w:t>(a)</w:t>
      </w:r>
      <w:r w:rsidRPr="00CD5673">
        <w:tab/>
        <w:t>a description of the cooling off rights contained in section 738ZD of the Act;</w:t>
      </w:r>
    </w:p>
    <w:p w14:paraId="28E5DFAE" w14:textId="77777777" w:rsidR="00D46430" w:rsidRPr="00CD5673" w:rsidRDefault="00D46430" w:rsidP="00D46430">
      <w:pPr>
        <w:pStyle w:val="paragraph"/>
      </w:pPr>
      <w:r w:rsidRPr="00CD5673">
        <w:tab/>
        <w:t>(b)</w:t>
      </w:r>
      <w:r w:rsidRPr="00CD5673">
        <w:tab/>
        <w:t>a description of the effect of subsection 738ZA(5) of the Act (responsible intermediary for CSF offer to provide communication facility).</w:t>
      </w:r>
    </w:p>
    <w:p w14:paraId="15C2E749" w14:textId="77777777" w:rsidR="00D46430" w:rsidRPr="00CD5673" w:rsidRDefault="00D46430" w:rsidP="00D46430">
      <w:pPr>
        <w:pStyle w:val="subsection"/>
      </w:pPr>
      <w:r w:rsidRPr="00CD5673">
        <w:tab/>
        <w:t>(2)</w:t>
      </w:r>
      <w:r w:rsidRPr="00CD5673">
        <w:tab/>
        <w:t>To the extent that any of the following provisions apply to the offering company, section 4 of the offer document must also contain a description of the effect of those provisions:</w:t>
      </w:r>
    </w:p>
    <w:p w14:paraId="712FA386" w14:textId="77777777" w:rsidR="00D46430" w:rsidRPr="00CD5673" w:rsidRDefault="00D46430" w:rsidP="00D46430">
      <w:pPr>
        <w:pStyle w:val="paragraph"/>
      </w:pPr>
      <w:r w:rsidRPr="00CD5673">
        <w:tab/>
        <w:t>(aa)</w:t>
      </w:r>
      <w:r w:rsidRPr="00CD5673">
        <w:tab/>
        <w:t>subsection 301(2) of the Act (about when financial reports have to be audited);</w:t>
      </w:r>
    </w:p>
    <w:p w14:paraId="4BA13ADF" w14:textId="77777777" w:rsidR="00D46430" w:rsidRPr="00CD5673" w:rsidRDefault="00D46430" w:rsidP="00D46430">
      <w:pPr>
        <w:pStyle w:val="paragraph"/>
      </w:pPr>
      <w:r w:rsidRPr="00CD5673">
        <w:tab/>
        <w:t>(a)</w:t>
      </w:r>
      <w:r w:rsidRPr="00CD5673">
        <w:tab/>
        <w:t>subsection 301(5) of the Act (about financial accounts not required to be audited for up to 5 years);</w:t>
      </w:r>
    </w:p>
    <w:p w14:paraId="035C6C22" w14:textId="77777777" w:rsidR="00D46430" w:rsidRPr="00CD5673" w:rsidRDefault="00D46430" w:rsidP="00D46430">
      <w:pPr>
        <w:pStyle w:val="paragraph"/>
      </w:pPr>
      <w:r w:rsidRPr="00CD5673">
        <w:tab/>
        <w:t>(b)</w:t>
      </w:r>
      <w:r w:rsidRPr="00CD5673">
        <w:tab/>
        <w:t>subsections 250N(5) and (6) of the Act (about company not required to hold an AGM for up to 5 years);</w:t>
      </w:r>
    </w:p>
    <w:p w14:paraId="0BAD1624" w14:textId="77777777" w:rsidR="00D46430" w:rsidRPr="00CD5673" w:rsidRDefault="00D46430" w:rsidP="00D46430">
      <w:pPr>
        <w:pStyle w:val="paragraph"/>
      </w:pPr>
      <w:r w:rsidRPr="00CD5673">
        <w:tab/>
        <w:t>(c)</w:t>
      </w:r>
      <w:r w:rsidRPr="00CD5673">
        <w:tab/>
        <w:t>subsections 314(1AF) and (2A) of the Act (about annual financial reporting to members and making the reports accessible online);</w:t>
      </w:r>
    </w:p>
    <w:p w14:paraId="0A3728FD" w14:textId="77777777" w:rsidR="00D46430" w:rsidRPr="00CD5673" w:rsidRDefault="00D46430" w:rsidP="00D46430">
      <w:pPr>
        <w:pStyle w:val="paragraph"/>
      </w:pPr>
      <w:r w:rsidRPr="00CD5673">
        <w:tab/>
        <w:t>(d)</w:t>
      </w:r>
      <w:r w:rsidRPr="00CD5673">
        <w:tab/>
        <w:t>item 19A of the table in section 611 of the Act (about the exception to the prohibition on acquiring relevant interests in voting shares);</w:t>
      </w:r>
    </w:p>
    <w:p w14:paraId="012C3773" w14:textId="77777777" w:rsidR="00D46430" w:rsidRPr="00CD5673" w:rsidRDefault="00D46430" w:rsidP="00D46430">
      <w:pPr>
        <w:pStyle w:val="paragraph"/>
      </w:pPr>
      <w:r w:rsidRPr="00CD5673">
        <w:tab/>
        <w:t>(e)</w:t>
      </w:r>
      <w:r w:rsidRPr="00CD5673">
        <w:tab/>
        <w:t>section 738ZK of the Act (about Chapter 2E of the Act applying to proprietary companies that have one or more CSF shareholders).</w:t>
      </w:r>
    </w:p>
    <w:p w14:paraId="1857D979" w14:textId="77777777" w:rsidR="00D46430" w:rsidRPr="00CD5673" w:rsidRDefault="00D46430" w:rsidP="00D46430">
      <w:pPr>
        <w:pStyle w:val="notetext"/>
      </w:pPr>
      <w:r w:rsidRPr="00CD5673">
        <w:t>Note:</w:t>
      </w:r>
      <w:r w:rsidRPr="00CD5673">
        <w:tab/>
        <w:t>The provisions mentioned in paragraph (2)(a) or (b) only apply to an offering company covered under section 738ZI of the Act.</w:t>
      </w:r>
    </w:p>
    <w:p w14:paraId="7D3EAE40" w14:textId="77777777" w:rsidR="00D46430" w:rsidRPr="00CD5673" w:rsidRDefault="00D46430" w:rsidP="00D46430">
      <w:pPr>
        <w:pStyle w:val="ActHead5"/>
      </w:pPr>
      <w:bookmarkStart w:id="376" w:name="_Toc158711983"/>
      <w:r w:rsidRPr="00C614F1">
        <w:rPr>
          <w:rStyle w:val="CharSectno"/>
        </w:rPr>
        <w:t>6D.3A.07</w:t>
      </w:r>
      <w:r w:rsidRPr="00CD5673">
        <w:t xml:space="preserve">  Obligation of CSF intermediary relating to their platforms—applicant risk acknowledgement</w:t>
      </w:r>
      <w:bookmarkEnd w:id="376"/>
    </w:p>
    <w:p w14:paraId="68AFDAE6" w14:textId="77777777" w:rsidR="00D46430" w:rsidRPr="00CD5673" w:rsidRDefault="00D46430" w:rsidP="00D46430">
      <w:pPr>
        <w:pStyle w:val="subsection"/>
      </w:pPr>
      <w:r w:rsidRPr="00CD5673">
        <w:tab/>
        <w:t>(1)</w:t>
      </w:r>
      <w:r w:rsidRPr="00CD5673">
        <w:tab/>
        <w:t>For the purposes of paragraph 738ZA(3)(b) of the Act, this regulation sets out the requirements for an acknowledgement by a person making an application pursuant to a CSF offer.</w:t>
      </w:r>
    </w:p>
    <w:p w14:paraId="3D6DA5B6" w14:textId="77777777" w:rsidR="00D46430" w:rsidRPr="00CD5673" w:rsidRDefault="00D46430" w:rsidP="00D46430">
      <w:pPr>
        <w:pStyle w:val="subsection"/>
      </w:pPr>
      <w:r w:rsidRPr="00CD5673">
        <w:tab/>
        <w:t>(2)</w:t>
      </w:r>
      <w:r w:rsidRPr="00CD5673">
        <w:tab/>
        <w:t>The following statement must be set out in the acknowledgement:</w:t>
      </w:r>
    </w:p>
    <w:p w14:paraId="327B1022" w14:textId="77777777" w:rsidR="00D46430" w:rsidRPr="00CD5673" w:rsidRDefault="00D46430" w:rsidP="00D46430">
      <w:pPr>
        <w:pStyle w:val="subsection"/>
      </w:pPr>
      <w:r w:rsidRPr="00CD5673">
        <w:tab/>
      </w:r>
      <w:r w:rsidRPr="00CD5673">
        <w:tab/>
        <w:t>“I have read the CSF offer document. I understand this document is not a prospectus and contains less information than a prospectus.</w:t>
      </w:r>
    </w:p>
    <w:p w14:paraId="3626BA19" w14:textId="77777777" w:rsidR="00D46430" w:rsidRPr="00CD5673" w:rsidRDefault="00D46430" w:rsidP="00D46430">
      <w:pPr>
        <w:pStyle w:val="subsection"/>
      </w:pPr>
      <w:r w:rsidRPr="00CD5673">
        <w:tab/>
      </w:r>
      <w:r w:rsidRPr="00CD5673">
        <w:tab/>
        <w:t>I have read the risk warning and I understand that it contains some of the important information for making a decision about investing. However:</w:t>
      </w:r>
    </w:p>
    <w:p w14:paraId="06BE3172" w14:textId="77777777" w:rsidR="00D46430" w:rsidRPr="00CD5673" w:rsidRDefault="00D46430" w:rsidP="00D46430">
      <w:pPr>
        <w:pStyle w:val="paragraph"/>
        <w:rPr>
          <w:szCs w:val="22"/>
          <w:lang w:eastAsia="en-US"/>
        </w:rPr>
      </w:pPr>
      <w:r w:rsidRPr="00CD5673">
        <w:tab/>
        <w:t>(a)</w:t>
      </w:r>
      <w:r w:rsidRPr="00CD5673">
        <w:tab/>
        <w:t>I understand that c</w:t>
      </w:r>
      <w:r w:rsidRPr="00CD5673">
        <w:rPr>
          <w:szCs w:val="22"/>
          <w:lang w:eastAsia="en-US"/>
        </w:rPr>
        <w:t>rowd</w:t>
      </w:r>
      <w:r w:rsidR="00C614F1">
        <w:rPr>
          <w:szCs w:val="22"/>
          <w:lang w:eastAsia="en-US"/>
        </w:rPr>
        <w:noBreakHyphen/>
      </w:r>
      <w:r w:rsidRPr="00CD5673">
        <w:rPr>
          <w:szCs w:val="22"/>
          <w:lang w:eastAsia="en-US"/>
        </w:rPr>
        <w:t xml:space="preserve">sourced funding </w:t>
      </w:r>
      <w:r w:rsidRPr="00CD5673">
        <w:t xml:space="preserve">is risky and that </w:t>
      </w:r>
      <w:r w:rsidRPr="00CD5673">
        <w:rPr>
          <w:szCs w:val="22"/>
          <w:lang w:eastAsia="en-US"/>
        </w:rPr>
        <w:t>I may lose my entire investment; and</w:t>
      </w:r>
    </w:p>
    <w:p w14:paraId="497B8628" w14:textId="77777777" w:rsidR="00D46430" w:rsidRPr="00CD5673" w:rsidRDefault="00D46430" w:rsidP="00D46430">
      <w:pPr>
        <w:pStyle w:val="paragraph"/>
      </w:pPr>
      <w:r w:rsidRPr="00CD5673">
        <w:tab/>
        <w:t>(b)</w:t>
      </w:r>
      <w:r w:rsidRPr="00CD5673">
        <w:tab/>
      </w:r>
      <w:r w:rsidRPr="00CD5673">
        <w:rPr>
          <w:szCs w:val="22"/>
          <w:lang w:eastAsia="en-US"/>
        </w:rPr>
        <w:t>I confirm that I could bear that loss without suffering undue hardship; and</w:t>
      </w:r>
    </w:p>
    <w:p w14:paraId="22D678A9" w14:textId="77777777" w:rsidR="00D46430" w:rsidRPr="00CD5673" w:rsidRDefault="00D46430" w:rsidP="00D46430">
      <w:pPr>
        <w:pStyle w:val="paragraph"/>
      </w:pPr>
      <w:r w:rsidRPr="00CD5673">
        <w:tab/>
        <w:t>(c)</w:t>
      </w:r>
      <w:r w:rsidRPr="00CD5673">
        <w:tab/>
        <w:t>I understand that I may never be able to sell my shares and the value of my investment may be diluted over time.</w:t>
      </w:r>
    </w:p>
    <w:p w14:paraId="18DFB3DA" w14:textId="77777777" w:rsidR="00D46430" w:rsidRPr="00CD5673" w:rsidRDefault="00D46430" w:rsidP="00D46430">
      <w:pPr>
        <w:pStyle w:val="subsection"/>
        <w:spacing w:before="0"/>
      </w:pPr>
      <w:r w:rsidRPr="00CD5673">
        <w:tab/>
      </w:r>
      <w:r w:rsidRPr="00CD5673">
        <w:tab/>
        <w:t>I am aware that I can use the communication facility to ask questions and that there is a 5 business day cooling off period in relation to this investment.”.</w:t>
      </w:r>
    </w:p>
    <w:p w14:paraId="59037E79" w14:textId="77777777" w:rsidR="00D46430" w:rsidRPr="00CD5673" w:rsidRDefault="00D46430" w:rsidP="00D46430">
      <w:pPr>
        <w:pStyle w:val="ActHead5"/>
      </w:pPr>
      <w:bookmarkStart w:id="377" w:name="_Toc158711984"/>
      <w:r w:rsidRPr="00C614F1">
        <w:rPr>
          <w:rStyle w:val="CharSectno"/>
        </w:rPr>
        <w:t>6D.3A.08</w:t>
      </w:r>
      <w:r w:rsidRPr="00CD5673">
        <w:t xml:space="preserve">  Gatekeeper obligation of CSF intermediary—checks</w:t>
      </w:r>
      <w:bookmarkEnd w:id="377"/>
    </w:p>
    <w:p w14:paraId="7617BE59" w14:textId="77777777" w:rsidR="00D46430" w:rsidRPr="00CD5673" w:rsidRDefault="00D46430" w:rsidP="00D46430">
      <w:pPr>
        <w:pStyle w:val="subsection"/>
      </w:pPr>
      <w:r w:rsidRPr="00CD5673">
        <w:tab/>
        <w:t>(1)</w:t>
      </w:r>
      <w:r w:rsidRPr="00CD5673">
        <w:tab/>
        <w:t xml:space="preserve">For the purposes of subsection 738Q(1) of the Act, this regulation prescribes the checks that a CSF intermediary needs to conduct before publishing any of the following documents (the </w:t>
      </w:r>
      <w:r w:rsidRPr="00CD5673">
        <w:rPr>
          <w:b/>
          <w:i/>
        </w:rPr>
        <w:t>offer document</w:t>
      </w:r>
      <w:r w:rsidRPr="00CD5673">
        <w:t>) on a platform of the intermediary:</w:t>
      </w:r>
    </w:p>
    <w:p w14:paraId="07EE46BC" w14:textId="77777777" w:rsidR="00D46430" w:rsidRPr="00CD5673" w:rsidRDefault="00D46430" w:rsidP="00D46430">
      <w:pPr>
        <w:pStyle w:val="paragraph"/>
      </w:pPr>
      <w:r w:rsidRPr="00CD5673">
        <w:tab/>
        <w:t>(a)</w:t>
      </w:r>
      <w:r w:rsidRPr="00CD5673">
        <w:tab/>
        <w:t>a CSF offer document (or a document purporting to be a CSF offer document);</w:t>
      </w:r>
    </w:p>
    <w:p w14:paraId="5B1C4B13" w14:textId="77777777" w:rsidR="00D46430" w:rsidRPr="00CD5673" w:rsidRDefault="00D46430" w:rsidP="00D46430">
      <w:pPr>
        <w:pStyle w:val="paragraph"/>
      </w:pPr>
      <w:r w:rsidRPr="00CD5673">
        <w:tab/>
        <w:t>(b)</w:t>
      </w:r>
      <w:r w:rsidRPr="00CD5673">
        <w:tab/>
        <w:t>a supplementary CSF offer document (or a document purporting to be a supplementary CSF offer document);</w:t>
      </w:r>
    </w:p>
    <w:p w14:paraId="6778FB41" w14:textId="77777777" w:rsidR="00D46430" w:rsidRPr="00CD5673" w:rsidRDefault="00D46430" w:rsidP="00D46430">
      <w:pPr>
        <w:pStyle w:val="paragraph"/>
      </w:pPr>
      <w:r w:rsidRPr="00CD5673">
        <w:lastRenderedPageBreak/>
        <w:tab/>
        <w:t>(c)</w:t>
      </w:r>
      <w:r w:rsidRPr="00CD5673">
        <w:tab/>
        <w:t>a replacement CSF offer document (or a document purporting to be a replacement CSF offer document);</w:t>
      </w:r>
    </w:p>
    <w:p w14:paraId="274BE746" w14:textId="77777777" w:rsidR="00D46430" w:rsidRPr="00CD5673" w:rsidRDefault="00D46430" w:rsidP="00D46430">
      <w:pPr>
        <w:pStyle w:val="subsection2"/>
      </w:pPr>
      <w:r w:rsidRPr="00CD5673">
        <w:t xml:space="preserve">for a CSF offer of securities made by a company (the </w:t>
      </w:r>
      <w:r w:rsidRPr="00CD5673">
        <w:rPr>
          <w:b/>
          <w:i/>
        </w:rPr>
        <w:t>offering company</w:t>
      </w:r>
      <w:r w:rsidRPr="00CD5673">
        <w:t>).</w:t>
      </w:r>
    </w:p>
    <w:p w14:paraId="25F4292B" w14:textId="77777777" w:rsidR="00D46430" w:rsidRPr="00CD5673" w:rsidRDefault="00D46430" w:rsidP="00D46430">
      <w:pPr>
        <w:pStyle w:val="SubsectionHead"/>
      </w:pPr>
      <w:r w:rsidRPr="00CD5673">
        <w:t>Identity of offering company</w:t>
      </w:r>
    </w:p>
    <w:p w14:paraId="22DC2E11" w14:textId="77777777" w:rsidR="00D46430" w:rsidRPr="00CD5673" w:rsidRDefault="00D46430" w:rsidP="00D46430">
      <w:pPr>
        <w:pStyle w:val="subsection"/>
      </w:pPr>
      <w:r w:rsidRPr="00CD5673">
        <w:tab/>
        <w:t>(2)</w:t>
      </w:r>
      <w:r w:rsidRPr="00CD5673">
        <w:tab/>
        <w:t>The CSF intermediary must check the following information:</w:t>
      </w:r>
    </w:p>
    <w:p w14:paraId="73DFF4AD" w14:textId="77777777" w:rsidR="00D46430" w:rsidRPr="00CD5673" w:rsidRDefault="00D46430" w:rsidP="00D46430">
      <w:pPr>
        <w:pStyle w:val="paragraph"/>
      </w:pPr>
      <w:r w:rsidRPr="00CD5673">
        <w:tab/>
        <w:t>(a)</w:t>
      </w:r>
      <w:r w:rsidRPr="00CD5673">
        <w:tab/>
        <w:t>the name, ACN and type of the offering company;</w:t>
      </w:r>
    </w:p>
    <w:p w14:paraId="71BA7B05" w14:textId="77777777" w:rsidR="00D46430" w:rsidRPr="00CD5673" w:rsidRDefault="00D46430" w:rsidP="00D46430">
      <w:pPr>
        <w:pStyle w:val="paragraph"/>
      </w:pPr>
      <w:r w:rsidRPr="00CD5673">
        <w:tab/>
        <w:t>(b)</w:t>
      </w:r>
      <w:r w:rsidRPr="00CD5673">
        <w:tab/>
        <w:t>the address of the registered office of the offering company;</w:t>
      </w:r>
    </w:p>
    <w:p w14:paraId="1A0E577E" w14:textId="77777777" w:rsidR="00D46430" w:rsidRPr="00CD5673" w:rsidRDefault="00D46430" w:rsidP="00D46430">
      <w:pPr>
        <w:pStyle w:val="paragraph"/>
      </w:pPr>
      <w:r w:rsidRPr="00CD5673">
        <w:tab/>
        <w:t>(c)</w:t>
      </w:r>
      <w:r w:rsidRPr="00CD5673">
        <w:tab/>
        <w:t>the address of the principal place of business of the offering company.</w:t>
      </w:r>
    </w:p>
    <w:p w14:paraId="333F4D2C" w14:textId="77777777" w:rsidR="00D46430" w:rsidRPr="00CD5673" w:rsidRDefault="00D46430" w:rsidP="00D46430">
      <w:pPr>
        <w:pStyle w:val="SubsectionHead"/>
      </w:pPr>
      <w:r w:rsidRPr="00CD5673">
        <w:t>Eligibility to crowd fund</w:t>
      </w:r>
    </w:p>
    <w:p w14:paraId="1E806701" w14:textId="77777777" w:rsidR="00D46430" w:rsidRPr="00CD5673" w:rsidRDefault="00D46430" w:rsidP="00D46430">
      <w:pPr>
        <w:pStyle w:val="subsection"/>
      </w:pPr>
      <w:r w:rsidRPr="00CD5673">
        <w:tab/>
        <w:t>(3)</w:t>
      </w:r>
      <w:r w:rsidRPr="00CD5673">
        <w:tab/>
        <w:t>The CSF intermediary must check whether:</w:t>
      </w:r>
    </w:p>
    <w:p w14:paraId="3EFC58EC" w14:textId="77777777" w:rsidR="00D46430" w:rsidRPr="00CD5673" w:rsidRDefault="00D46430" w:rsidP="00D46430">
      <w:pPr>
        <w:pStyle w:val="paragraph"/>
      </w:pPr>
      <w:r w:rsidRPr="00CD5673">
        <w:tab/>
        <w:t>(a)</w:t>
      </w:r>
      <w:r w:rsidRPr="00CD5673">
        <w:tab/>
        <w:t>the company satisfies the requirements in paragraphs 738H(1)(a), (b), (c), (d), (e) and (f) of the Act; and</w:t>
      </w:r>
    </w:p>
    <w:p w14:paraId="71EC1B1E" w14:textId="77777777" w:rsidR="00D46430" w:rsidRPr="00CD5673" w:rsidRDefault="00D46430" w:rsidP="00D46430">
      <w:pPr>
        <w:pStyle w:val="paragraph"/>
      </w:pPr>
      <w:r w:rsidRPr="00CD5673">
        <w:tab/>
        <w:t>(b)</w:t>
      </w:r>
      <w:r w:rsidRPr="00CD5673">
        <w:tab/>
        <w:t>the offer document satisfies the requirements in subsection 738J(2) and section 738K of the Act.</w:t>
      </w:r>
    </w:p>
    <w:p w14:paraId="09D92F62" w14:textId="77777777" w:rsidR="00D46430" w:rsidRPr="00CD5673" w:rsidRDefault="00D46430" w:rsidP="00D46430">
      <w:pPr>
        <w:pStyle w:val="SubsectionHead"/>
      </w:pPr>
      <w:r w:rsidRPr="00CD5673">
        <w:t>Information on directors etc.</w:t>
      </w:r>
    </w:p>
    <w:p w14:paraId="6BFB8237" w14:textId="77777777" w:rsidR="00D46430" w:rsidRPr="00CD5673" w:rsidRDefault="00D46430" w:rsidP="00D46430">
      <w:pPr>
        <w:pStyle w:val="subsection"/>
      </w:pPr>
      <w:r w:rsidRPr="00CD5673">
        <w:tab/>
        <w:t>(4)</w:t>
      </w:r>
      <w:r w:rsidRPr="00CD5673">
        <w:tab/>
        <w:t>The CSF intermediary must check the following:</w:t>
      </w:r>
    </w:p>
    <w:p w14:paraId="2ABF59FD" w14:textId="77777777" w:rsidR="00D46430" w:rsidRPr="00CD5673" w:rsidRDefault="00D46430" w:rsidP="00D46430">
      <w:pPr>
        <w:pStyle w:val="paragraph"/>
      </w:pPr>
      <w:r w:rsidRPr="00CD5673">
        <w:tab/>
        <w:t>(a)</w:t>
      </w:r>
      <w:r w:rsidRPr="00CD5673">
        <w:tab/>
        <w:t>the names and addresses of each person referred to in paragraph 6D.3A.04(1)(d);</w:t>
      </w:r>
    </w:p>
    <w:p w14:paraId="09EC08DE" w14:textId="77777777" w:rsidR="00D46430" w:rsidRPr="00CD5673" w:rsidRDefault="00D46430" w:rsidP="00D46430">
      <w:pPr>
        <w:pStyle w:val="paragraph"/>
      </w:pPr>
      <w:r w:rsidRPr="00CD5673">
        <w:tab/>
        <w:t>(b)</w:t>
      </w:r>
      <w:r w:rsidRPr="00CD5673">
        <w:tab/>
        <w:t>whether the offer document contains the information required by subregulation 6D.3A.04(3).</w:t>
      </w:r>
    </w:p>
    <w:p w14:paraId="3F1CEAD7" w14:textId="77777777" w:rsidR="00D46430" w:rsidRPr="00CD5673" w:rsidRDefault="00D46430" w:rsidP="00D46430">
      <w:pPr>
        <w:pStyle w:val="ActHead5"/>
      </w:pPr>
      <w:bookmarkStart w:id="378" w:name="_Toc158711985"/>
      <w:r w:rsidRPr="00C614F1">
        <w:rPr>
          <w:rStyle w:val="CharSectno"/>
        </w:rPr>
        <w:t>6D.3A.09</w:t>
      </w:r>
      <w:r w:rsidRPr="00CD5673">
        <w:t xml:space="preserve">  Gatekeeper obligation of CSF intermediary—reasonable standard of checks</w:t>
      </w:r>
      <w:bookmarkEnd w:id="378"/>
    </w:p>
    <w:p w14:paraId="536A0ACD" w14:textId="77777777" w:rsidR="00D46430" w:rsidRPr="00CD5673" w:rsidRDefault="00D46430" w:rsidP="00D46430">
      <w:pPr>
        <w:pStyle w:val="subsection"/>
      </w:pPr>
      <w:r w:rsidRPr="00CD5673">
        <w:tab/>
        <w:t>(1)</w:t>
      </w:r>
      <w:r w:rsidRPr="00CD5673">
        <w:tab/>
        <w:t>For the purposes of subsection 738Q(2) of the Act, this regulation prescribes what constitutes a reasonable standard in relation to all the checks referred to in regulation 6D.3A.08.</w:t>
      </w:r>
    </w:p>
    <w:p w14:paraId="262D4C5E" w14:textId="77777777" w:rsidR="00D46430" w:rsidRPr="00CD5673" w:rsidRDefault="00D46430" w:rsidP="00D46430">
      <w:pPr>
        <w:pStyle w:val="subsection"/>
      </w:pPr>
      <w:r w:rsidRPr="00CD5673">
        <w:tab/>
        <w:t>(2)</w:t>
      </w:r>
      <w:r w:rsidRPr="00CD5673">
        <w:tab/>
        <w:t>To the extent that information to be checked is of a kind that is included in a register kept by ASIC under the Act, or on ASIC’s website, a reasonable standard is to check:</w:t>
      </w:r>
    </w:p>
    <w:p w14:paraId="32D76939" w14:textId="77777777" w:rsidR="00D46430" w:rsidRPr="00CD5673" w:rsidRDefault="00D46430" w:rsidP="00D46430">
      <w:pPr>
        <w:pStyle w:val="paragraph"/>
      </w:pPr>
      <w:r w:rsidRPr="00CD5673">
        <w:tab/>
        <w:t>(a)</w:t>
      </w:r>
      <w:r w:rsidRPr="00CD5673">
        <w:tab/>
        <w:t>whether the information is included in that register or on that website; and</w:t>
      </w:r>
    </w:p>
    <w:p w14:paraId="0CEC7698" w14:textId="77777777" w:rsidR="00D46430" w:rsidRPr="00CD5673" w:rsidRDefault="00D46430" w:rsidP="00D46430">
      <w:pPr>
        <w:pStyle w:val="paragraph"/>
      </w:pPr>
      <w:r w:rsidRPr="00CD5673">
        <w:tab/>
        <w:t>(b)</w:t>
      </w:r>
      <w:r w:rsidRPr="00CD5673">
        <w:tab/>
        <w:t>if the information is so included—whether the information is contrary to any other information that the CSF intermediary has; and</w:t>
      </w:r>
    </w:p>
    <w:p w14:paraId="668E5240" w14:textId="77777777" w:rsidR="00D46430" w:rsidRPr="00CD5673" w:rsidRDefault="00D46430" w:rsidP="00D46430">
      <w:pPr>
        <w:pStyle w:val="paragraph"/>
      </w:pPr>
      <w:r w:rsidRPr="00CD5673">
        <w:tab/>
        <w:t>(c)</w:t>
      </w:r>
      <w:r w:rsidRPr="00CD5673">
        <w:tab/>
        <w:t>if the information is the name and address of a person referred to in paragraph 6D.3A.04(1)(d)—whether the name and address is consistent with the name and address used by that person on an original, a certified copy or an authenticated electronic copy of:</w:t>
      </w:r>
    </w:p>
    <w:p w14:paraId="7CF64174" w14:textId="77777777" w:rsidR="00D46430" w:rsidRPr="00CD5673" w:rsidRDefault="00D46430" w:rsidP="00D46430">
      <w:pPr>
        <w:pStyle w:val="paragraphsub"/>
      </w:pPr>
      <w:r w:rsidRPr="00CD5673">
        <w:tab/>
        <w:t>(i)</w:t>
      </w:r>
      <w:r w:rsidRPr="00CD5673">
        <w:tab/>
        <w:t>a primary photographic identification document; or</w:t>
      </w:r>
    </w:p>
    <w:p w14:paraId="0E3A080A" w14:textId="77777777" w:rsidR="00D46430" w:rsidRPr="00CD5673" w:rsidRDefault="00D46430" w:rsidP="00D46430">
      <w:pPr>
        <w:pStyle w:val="paragraphsub"/>
      </w:pPr>
      <w:r w:rsidRPr="00CD5673">
        <w:tab/>
        <w:t>(ii)</w:t>
      </w:r>
      <w:r w:rsidRPr="00CD5673">
        <w:tab/>
        <w:t>both a primary non</w:t>
      </w:r>
      <w:r w:rsidR="00C614F1">
        <w:noBreakHyphen/>
      </w:r>
      <w:r w:rsidRPr="00CD5673">
        <w:t>photographic identification document and a secondary identification document.</w:t>
      </w:r>
    </w:p>
    <w:p w14:paraId="635315B6" w14:textId="77777777" w:rsidR="00D46430" w:rsidRPr="00CD5673" w:rsidRDefault="00D46430" w:rsidP="00D46430">
      <w:pPr>
        <w:pStyle w:val="subsection"/>
      </w:pPr>
      <w:r w:rsidRPr="00CD5673">
        <w:tab/>
        <w:t>(3)</w:t>
      </w:r>
      <w:r w:rsidRPr="00CD5673">
        <w:tab/>
        <w:t>Subject to subregulation (4), for all other kinds of information or matters to be checked, a reasonable standard is to:</w:t>
      </w:r>
    </w:p>
    <w:p w14:paraId="0574DC29" w14:textId="77777777" w:rsidR="00D46430" w:rsidRPr="00CD5673" w:rsidRDefault="00D46430" w:rsidP="00D46430">
      <w:pPr>
        <w:pStyle w:val="paragraph"/>
      </w:pPr>
      <w:r w:rsidRPr="00CD5673">
        <w:tab/>
        <w:t>(a)</w:t>
      </w:r>
      <w:r w:rsidRPr="00CD5673">
        <w:tab/>
        <w:t>explain in writing to the offering company what information or matters are required, including the level of detail required for such information and matters; and</w:t>
      </w:r>
    </w:p>
    <w:p w14:paraId="6F2EB9BA" w14:textId="77777777" w:rsidR="00D46430" w:rsidRPr="00CD5673" w:rsidRDefault="00D46430" w:rsidP="00D46430">
      <w:pPr>
        <w:pStyle w:val="paragraph"/>
      </w:pPr>
      <w:r w:rsidRPr="00CD5673">
        <w:tab/>
        <w:t>(b)</w:t>
      </w:r>
      <w:r w:rsidRPr="00CD5673">
        <w:tab/>
        <w:t>require the offering company to provide such information and matters to the CSF intermediary in accordance with a reasonable process that the CSF intermediary has developed, documented and implemented for this purpose.</w:t>
      </w:r>
    </w:p>
    <w:p w14:paraId="6E98148C" w14:textId="77777777" w:rsidR="00D46430" w:rsidRPr="00CD5673" w:rsidRDefault="00D46430" w:rsidP="00D46430">
      <w:pPr>
        <w:pStyle w:val="subsection"/>
      </w:pPr>
      <w:r w:rsidRPr="00CD5673">
        <w:tab/>
        <w:t>(4)</w:t>
      </w:r>
      <w:r w:rsidRPr="00CD5673">
        <w:tab/>
        <w:t>A reasonable standard for checking whether the offer document (see subregulation 6D.3A.08(1)) satisfies the requirements in section 738K of the Act is to check the offer document in accordance with a reasonable process that the CSF intermediary has developed, documented and implemented for this purpose.</w:t>
      </w:r>
    </w:p>
    <w:p w14:paraId="5B5921FD" w14:textId="77777777" w:rsidR="00D46430" w:rsidRPr="00CD5673" w:rsidRDefault="00D46430" w:rsidP="00D46430">
      <w:pPr>
        <w:pStyle w:val="subsection"/>
      </w:pPr>
      <w:r w:rsidRPr="00CD5673">
        <w:tab/>
        <w:t>(5)</w:t>
      </w:r>
      <w:r w:rsidRPr="00CD5673">
        <w:tab/>
        <w:t>In this regulation:</w:t>
      </w:r>
    </w:p>
    <w:p w14:paraId="0579CCBE" w14:textId="77777777" w:rsidR="00D46430" w:rsidRPr="00CD5673" w:rsidRDefault="00D46430" w:rsidP="00D46430">
      <w:pPr>
        <w:pStyle w:val="Definition"/>
      </w:pPr>
      <w:r w:rsidRPr="00CD5673">
        <w:rPr>
          <w:b/>
          <w:i/>
        </w:rPr>
        <w:t xml:space="preserve">certified copy </w:t>
      </w:r>
      <w:r w:rsidRPr="00CD5673">
        <w:t xml:space="preserve">has the same meaning as in the </w:t>
      </w:r>
      <w:r w:rsidRPr="00CD5673">
        <w:rPr>
          <w:i/>
        </w:rPr>
        <w:t>Anti</w:t>
      </w:r>
      <w:r w:rsidR="00C614F1">
        <w:rPr>
          <w:i/>
        </w:rPr>
        <w:noBreakHyphen/>
      </w:r>
      <w:r w:rsidRPr="00CD5673">
        <w:rPr>
          <w:i/>
        </w:rPr>
        <w:t>Money Laundering and Counter</w:t>
      </w:r>
      <w:r w:rsidR="00C614F1">
        <w:rPr>
          <w:i/>
        </w:rPr>
        <w:noBreakHyphen/>
      </w:r>
      <w:r w:rsidRPr="00CD5673">
        <w:rPr>
          <w:i/>
        </w:rPr>
        <w:t>Terrorism Financing Rules Instrument 2007 (No. 1)</w:t>
      </w:r>
      <w:r w:rsidRPr="00CD5673">
        <w:t>.</w:t>
      </w:r>
    </w:p>
    <w:p w14:paraId="2CB042BB" w14:textId="77777777" w:rsidR="00D46430" w:rsidRPr="00CD5673" w:rsidRDefault="00D46430" w:rsidP="00D46430">
      <w:pPr>
        <w:pStyle w:val="Definition"/>
      </w:pPr>
      <w:r w:rsidRPr="00CD5673">
        <w:rPr>
          <w:b/>
          <w:i/>
        </w:rPr>
        <w:t>primary non</w:t>
      </w:r>
      <w:r w:rsidR="00C614F1">
        <w:rPr>
          <w:b/>
          <w:i/>
        </w:rPr>
        <w:noBreakHyphen/>
      </w:r>
      <w:r w:rsidRPr="00CD5673">
        <w:rPr>
          <w:b/>
          <w:i/>
        </w:rPr>
        <w:t>photographic identification document</w:t>
      </w:r>
      <w:r w:rsidRPr="00CD5673">
        <w:t xml:space="preserve"> has the same meaning as in the </w:t>
      </w:r>
      <w:r w:rsidRPr="00CD5673">
        <w:rPr>
          <w:i/>
        </w:rPr>
        <w:t>Anti</w:t>
      </w:r>
      <w:r w:rsidR="00C614F1">
        <w:rPr>
          <w:i/>
        </w:rPr>
        <w:noBreakHyphen/>
      </w:r>
      <w:r w:rsidRPr="00CD5673">
        <w:rPr>
          <w:i/>
        </w:rPr>
        <w:t>Money Laundering and Counter</w:t>
      </w:r>
      <w:r w:rsidR="00C614F1">
        <w:rPr>
          <w:i/>
        </w:rPr>
        <w:noBreakHyphen/>
      </w:r>
      <w:r w:rsidRPr="00CD5673">
        <w:rPr>
          <w:i/>
        </w:rPr>
        <w:t>Terrorism Financing Rules Instrument 2007 (No. 1)</w:t>
      </w:r>
      <w:r w:rsidRPr="00CD5673">
        <w:t>.</w:t>
      </w:r>
    </w:p>
    <w:p w14:paraId="00FCD222" w14:textId="77777777" w:rsidR="00D46430" w:rsidRPr="00CD5673" w:rsidRDefault="00D46430" w:rsidP="00D46430">
      <w:pPr>
        <w:pStyle w:val="Definition"/>
      </w:pPr>
      <w:r w:rsidRPr="00CD5673">
        <w:rPr>
          <w:b/>
          <w:i/>
        </w:rPr>
        <w:lastRenderedPageBreak/>
        <w:t xml:space="preserve">primary photographic identification document </w:t>
      </w:r>
      <w:r w:rsidRPr="00CD5673">
        <w:t xml:space="preserve">has the same meaning as in the </w:t>
      </w:r>
      <w:r w:rsidRPr="00CD5673">
        <w:rPr>
          <w:i/>
        </w:rPr>
        <w:t>Anti</w:t>
      </w:r>
      <w:r w:rsidR="00C614F1">
        <w:rPr>
          <w:i/>
        </w:rPr>
        <w:noBreakHyphen/>
      </w:r>
      <w:r w:rsidRPr="00CD5673">
        <w:rPr>
          <w:i/>
        </w:rPr>
        <w:t>Money Laundering and Counter</w:t>
      </w:r>
      <w:r w:rsidR="00C614F1">
        <w:rPr>
          <w:i/>
        </w:rPr>
        <w:noBreakHyphen/>
      </w:r>
      <w:r w:rsidRPr="00CD5673">
        <w:rPr>
          <w:i/>
        </w:rPr>
        <w:t>Terrorism Financing Rules Instrument 2007 (No. 1)</w:t>
      </w:r>
      <w:r w:rsidRPr="00CD5673">
        <w:t>.</w:t>
      </w:r>
    </w:p>
    <w:p w14:paraId="7E161FCA" w14:textId="77777777" w:rsidR="00D46430" w:rsidRPr="00CD5673" w:rsidRDefault="00D46430" w:rsidP="00D46430">
      <w:pPr>
        <w:pStyle w:val="Definition"/>
      </w:pPr>
      <w:r w:rsidRPr="00CD5673">
        <w:rPr>
          <w:b/>
          <w:i/>
        </w:rPr>
        <w:t xml:space="preserve">secondary identification document </w:t>
      </w:r>
      <w:r w:rsidRPr="00CD5673">
        <w:t xml:space="preserve">has the same meaning as in the </w:t>
      </w:r>
      <w:r w:rsidRPr="00CD5673">
        <w:rPr>
          <w:i/>
        </w:rPr>
        <w:t>Anti</w:t>
      </w:r>
      <w:r w:rsidR="00C614F1">
        <w:rPr>
          <w:i/>
        </w:rPr>
        <w:noBreakHyphen/>
      </w:r>
      <w:r w:rsidRPr="00CD5673">
        <w:rPr>
          <w:i/>
        </w:rPr>
        <w:t>Money Laundering and Counter</w:t>
      </w:r>
      <w:r w:rsidR="00C614F1">
        <w:rPr>
          <w:i/>
        </w:rPr>
        <w:noBreakHyphen/>
      </w:r>
      <w:r w:rsidRPr="00CD5673">
        <w:rPr>
          <w:i/>
        </w:rPr>
        <w:t>Terrorism Financing Rules Instrument 2007 (No. 1)</w:t>
      </w:r>
      <w:r w:rsidRPr="00CD5673">
        <w:t>.</w:t>
      </w:r>
    </w:p>
    <w:p w14:paraId="31CE867D" w14:textId="77777777" w:rsidR="00D46430" w:rsidRPr="00CD5673" w:rsidRDefault="00D46430" w:rsidP="00D46430">
      <w:pPr>
        <w:pStyle w:val="ActHead5"/>
      </w:pPr>
      <w:bookmarkStart w:id="379" w:name="_Toc158711986"/>
      <w:r w:rsidRPr="00C614F1">
        <w:rPr>
          <w:rStyle w:val="CharSectno"/>
        </w:rPr>
        <w:t>6D.3A.10</w:t>
      </w:r>
      <w:r w:rsidRPr="00CD5673">
        <w:t xml:space="preserve">  Obligation of CSF intermediary relating to their platforms—general CSF risk warning</w:t>
      </w:r>
      <w:bookmarkEnd w:id="379"/>
    </w:p>
    <w:p w14:paraId="5B0A4366" w14:textId="77777777" w:rsidR="00D46430" w:rsidRPr="00CD5673" w:rsidRDefault="00D46430" w:rsidP="00D46430">
      <w:pPr>
        <w:pStyle w:val="subsection"/>
      </w:pPr>
      <w:r w:rsidRPr="00CD5673">
        <w:tab/>
        <w:t>(1)</w:t>
      </w:r>
      <w:r w:rsidRPr="00CD5673">
        <w:tab/>
        <w:t>For the purposes of subsection 738ZA(2) of the Act, this regulation specifies the terms of a general CSF risk warning.</w:t>
      </w:r>
    </w:p>
    <w:p w14:paraId="33C87FAA" w14:textId="77777777" w:rsidR="00D46430" w:rsidRPr="00CD5673" w:rsidRDefault="00D46430" w:rsidP="00D46430">
      <w:pPr>
        <w:pStyle w:val="subsection"/>
      </w:pPr>
      <w:r w:rsidRPr="00CD5673">
        <w:tab/>
        <w:t>(2)</w:t>
      </w:r>
      <w:r w:rsidRPr="00CD5673">
        <w:tab/>
        <w:t>Those terms are as follows:</w:t>
      </w:r>
    </w:p>
    <w:p w14:paraId="2DD66DE8" w14:textId="77777777" w:rsidR="00D46430" w:rsidRPr="00CD5673" w:rsidRDefault="00D46430" w:rsidP="00D46430">
      <w:pPr>
        <w:pStyle w:val="subsection"/>
        <w:rPr>
          <w:szCs w:val="22"/>
          <w:lang w:eastAsia="en-US"/>
        </w:rPr>
      </w:pPr>
      <w:r w:rsidRPr="00CD5673">
        <w:tab/>
      </w:r>
      <w:r w:rsidRPr="00CD5673">
        <w:tab/>
        <w:t>“C</w:t>
      </w:r>
      <w:r w:rsidRPr="00CD5673">
        <w:rPr>
          <w:szCs w:val="22"/>
          <w:lang w:eastAsia="en-US"/>
        </w:rPr>
        <w:t>rowd</w:t>
      </w:r>
      <w:r w:rsidR="00C614F1">
        <w:rPr>
          <w:szCs w:val="22"/>
          <w:lang w:eastAsia="en-US"/>
        </w:rPr>
        <w:noBreakHyphen/>
      </w:r>
      <w:r w:rsidRPr="00CD5673">
        <w:rPr>
          <w:szCs w:val="22"/>
          <w:lang w:eastAsia="en-US"/>
        </w:rPr>
        <w:t>sourced funding is risky. Issuers using this facility include new or rapidly growing ventures. Investment in these types of ventures is speculative and carries high risks.</w:t>
      </w:r>
    </w:p>
    <w:p w14:paraId="16432C42" w14:textId="77777777" w:rsidR="00D46430" w:rsidRPr="00CD5673" w:rsidRDefault="00D46430" w:rsidP="00D46430">
      <w:pPr>
        <w:pStyle w:val="subsection"/>
        <w:rPr>
          <w:szCs w:val="22"/>
          <w:lang w:eastAsia="en-US"/>
        </w:rPr>
      </w:pPr>
      <w:r w:rsidRPr="00CD5673">
        <w:rPr>
          <w:szCs w:val="22"/>
          <w:lang w:eastAsia="en-US"/>
        </w:rPr>
        <w:tab/>
      </w:r>
      <w:r w:rsidRPr="00CD5673">
        <w:rPr>
          <w:szCs w:val="22"/>
          <w:lang w:eastAsia="en-US"/>
        </w:rPr>
        <w:tab/>
        <w:t>You may lose your entire investment, and you should be in a position to bear this risk without undue hardship.</w:t>
      </w:r>
    </w:p>
    <w:p w14:paraId="2A05A4B0" w14:textId="77777777" w:rsidR="00D46430" w:rsidRPr="00CD5673" w:rsidRDefault="00D46430" w:rsidP="00D46430">
      <w:pPr>
        <w:pStyle w:val="subsection"/>
        <w:rPr>
          <w:szCs w:val="22"/>
          <w:lang w:eastAsia="en-US"/>
        </w:rPr>
      </w:pPr>
      <w:r w:rsidRPr="00CD5673">
        <w:rPr>
          <w:szCs w:val="22"/>
          <w:lang w:eastAsia="en-US"/>
        </w:rPr>
        <w:tab/>
      </w:r>
      <w:r w:rsidRPr="00CD5673">
        <w:rPr>
          <w:szCs w:val="22"/>
          <w:lang w:eastAsia="en-US"/>
        </w:rPr>
        <w:tab/>
        <w:t>Even if the company is successful, the value of your investment and any return on the investment could be reduced if the company issues more shares.</w:t>
      </w:r>
    </w:p>
    <w:p w14:paraId="358BBD12" w14:textId="77777777" w:rsidR="00D46430" w:rsidRPr="00CD5673" w:rsidRDefault="00D46430" w:rsidP="00D46430">
      <w:pPr>
        <w:pStyle w:val="subsection"/>
      </w:pPr>
      <w:r w:rsidRPr="00CD5673">
        <w:tab/>
      </w:r>
      <w:r w:rsidRPr="00CD5673">
        <w:tab/>
        <w:t>Your investment is unlikely to be liquid. This means you are unlikely to be able to sell your shares quickly or at all if you need the money or decide that this investment is not right for you.</w:t>
      </w:r>
    </w:p>
    <w:p w14:paraId="4CE119CE" w14:textId="77777777" w:rsidR="00D46430" w:rsidRPr="00CD5673" w:rsidRDefault="00D46430" w:rsidP="00D46430">
      <w:pPr>
        <w:pStyle w:val="subsection"/>
      </w:pPr>
      <w:r w:rsidRPr="00CD5673">
        <w:tab/>
      </w:r>
      <w:r w:rsidRPr="00CD5673">
        <w:tab/>
        <w:t>Even though you have remedies for misleading statements in the offer document or misconduct by the company, you may have difficulty recovering your money.</w:t>
      </w:r>
    </w:p>
    <w:p w14:paraId="72A7CB80" w14:textId="77777777" w:rsidR="00D46430" w:rsidRPr="00CD5673" w:rsidRDefault="00D46430" w:rsidP="00D46430">
      <w:pPr>
        <w:pStyle w:val="subsection"/>
      </w:pPr>
      <w:r w:rsidRPr="00CD5673">
        <w:tab/>
      </w:r>
      <w:r w:rsidRPr="00CD5673">
        <w:tab/>
        <w:t>There are rules for handling your money. However, if your money is handled inappropriately or the person operating this platform becomes insolvent, you may have difficulty recovering your money.</w:t>
      </w:r>
    </w:p>
    <w:p w14:paraId="2A36DB46" w14:textId="77777777" w:rsidR="00D46430" w:rsidRPr="00CD5673" w:rsidRDefault="00D46430" w:rsidP="00D46430">
      <w:pPr>
        <w:pStyle w:val="subsection"/>
      </w:pPr>
      <w:r w:rsidRPr="00CD5673">
        <w:rPr>
          <w:szCs w:val="22"/>
          <w:lang w:eastAsia="en-US"/>
        </w:rPr>
        <w:tab/>
      </w:r>
      <w:r w:rsidRPr="00CD5673">
        <w:rPr>
          <w:szCs w:val="22"/>
          <w:lang w:eastAsia="en-US"/>
        </w:rPr>
        <w:tab/>
        <w:t>Ask questions, read all information given carefully, and seek independent financial advice before committing yourself to any investment.</w:t>
      </w:r>
      <w:r w:rsidRPr="00CD5673">
        <w:t>”.</w:t>
      </w:r>
    </w:p>
    <w:p w14:paraId="1586C3F4" w14:textId="77777777" w:rsidR="00D46430" w:rsidRPr="00CD5673" w:rsidRDefault="00D46430" w:rsidP="00D46430">
      <w:pPr>
        <w:pStyle w:val="ActHead2"/>
        <w:pageBreakBefore/>
      </w:pPr>
      <w:bookmarkStart w:id="380" w:name="_Toc158711987"/>
      <w:r w:rsidRPr="00C614F1">
        <w:rPr>
          <w:rStyle w:val="CharPartNo"/>
        </w:rPr>
        <w:lastRenderedPageBreak/>
        <w:t>Part 6D.5</w:t>
      </w:r>
      <w:r w:rsidRPr="00CD5673">
        <w:t>—</w:t>
      </w:r>
      <w:r w:rsidRPr="00C614F1">
        <w:rPr>
          <w:rStyle w:val="CharPartText"/>
        </w:rPr>
        <w:t>Fundraising—miscellaneous</w:t>
      </w:r>
      <w:bookmarkEnd w:id="380"/>
    </w:p>
    <w:p w14:paraId="6E1831F8" w14:textId="77777777" w:rsidR="00D46430" w:rsidRPr="00CD5673" w:rsidRDefault="00D46430" w:rsidP="00D46430">
      <w:pPr>
        <w:pStyle w:val="Header"/>
      </w:pPr>
      <w:r w:rsidRPr="00C614F1">
        <w:rPr>
          <w:rStyle w:val="CharDivNo"/>
        </w:rPr>
        <w:t xml:space="preserve"> </w:t>
      </w:r>
      <w:r w:rsidRPr="00C614F1">
        <w:rPr>
          <w:rStyle w:val="CharDivText"/>
        </w:rPr>
        <w:t xml:space="preserve"> </w:t>
      </w:r>
    </w:p>
    <w:p w14:paraId="3141D821" w14:textId="77777777" w:rsidR="00D46430" w:rsidRPr="00CD5673" w:rsidRDefault="00D46430" w:rsidP="00D46430">
      <w:pPr>
        <w:pStyle w:val="ActHead5"/>
      </w:pPr>
      <w:bookmarkStart w:id="381" w:name="_Toc158711988"/>
      <w:r w:rsidRPr="00C614F1">
        <w:rPr>
          <w:rStyle w:val="CharSectno"/>
        </w:rPr>
        <w:t>6D.5.01</w:t>
      </w:r>
      <w:r w:rsidRPr="00CD5673">
        <w:t xml:space="preserve">  Warrants that are securities</w:t>
      </w:r>
      <w:bookmarkEnd w:id="381"/>
    </w:p>
    <w:p w14:paraId="460D2628" w14:textId="77777777" w:rsidR="00D46430" w:rsidRPr="00CD5673" w:rsidRDefault="00D46430" w:rsidP="00D46430">
      <w:pPr>
        <w:pStyle w:val="subsection"/>
      </w:pPr>
      <w:r w:rsidRPr="00CD5673">
        <w:tab/>
      </w:r>
      <w:r w:rsidRPr="00CD5673">
        <w:tab/>
        <w:t>For paragraph 742(1)(b) of the Act, a warrant that is a security is exempted from all provisions of Chapter 6D of the Act.</w:t>
      </w:r>
    </w:p>
    <w:p w14:paraId="017DA0E8" w14:textId="77777777" w:rsidR="00D46430" w:rsidRPr="00CD5673" w:rsidRDefault="00D46430" w:rsidP="00D46430">
      <w:pPr>
        <w:pStyle w:val="ActHead5"/>
      </w:pPr>
      <w:bookmarkStart w:id="382" w:name="_Toc158711989"/>
      <w:r w:rsidRPr="00C614F1">
        <w:rPr>
          <w:rStyle w:val="CharSectno"/>
        </w:rPr>
        <w:t>6D.5.02</w:t>
      </w:r>
      <w:r w:rsidRPr="00CD5673">
        <w:t xml:space="preserve">  Modification of paragraph 708(8)(c) of the Act: renewal period for accountants’ certificates</w:t>
      </w:r>
      <w:bookmarkEnd w:id="382"/>
    </w:p>
    <w:p w14:paraId="4B9285A0" w14:textId="77777777" w:rsidR="00D46430" w:rsidRPr="00CD5673" w:rsidRDefault="00D46430" w:rsidP="00D46430">
      <w:pPr>
        <w:pStyle w:val="subsection"/>
      </w:pPr>
      <w:r w:rsidRPr="00CD5673">
        <w:tab/>
      </w:r>
      <w:r w:rsidRPr="00CD5673">
        <w:tab/>
        <w:t>For paragraph 742(1)(c) of the Act, section 708 of the Act applies as if paragraph 708(8)(c) of the Act were modified by omitting “6 months” and substituting “2 years”.</w:t>
      </w:r>
    </w:p>
    <w:p w14:paraId="4F1D1E72" w14:textId="77777777" w:rsidR="00D46430" w:rsidRPr="00CD5673" w:rsidRDefault="00D46430" w:rsidP="00D46430">
      <w:pPr>
        <w:pStyle w:val="ActHead5"/>
      </w:pPr>
      <w:bookmarkStart w:id="383" w:name="_Toc158711990"/>
      <w:r w:rsidRPr="00C614F1">
        <w:rPr>
          <w:rStyle w:val="CharSectno"/>
        </w:rPr>
        <w:t>6D.5.03</w:t>
      </w:r>
      <w:r w:rsidRPr="00CD5673">
        <w:t xml:space="preserve">  Modification of section 738X of the Act: requirement to notify right to withdraw application only applies if defect is materially adverse</w:t>
      </w:r>
      <w:bookmarkEnd w:id="383"/>
    </w:p>
    <w:p w14:paraId="2B25E01F" w14:textId="77777777" w:rsidR="00D46430" w:rsidRPr="00CD5673" w:rsidRDefault="00D46430" w:rsidP="00D46430">
      <w:pPr>
        <w:pStyle w:val="subsection"/>
      </w:pPr>
      <w:r w:rsidRPr="00CD5673">
        <w:tab/>
      </w:r>
      <w:r w:rsidRPr="00CD5673">
        <w:tab/>
        <w:t>For the purposes of paragraph 742(1)(c) of the Act, Chapter 6D of the Act applies as if section 738X of the Act were modified so that subsection 738X(7) of the Act only applies if the defect in the CSF offer document referred to in paragraph 738X(5)(a) of the Act is materially adverse from the point of view of an investor.</w:t>
      </w:r>
    </w:p>
    <w:p w14:paraId="482FADB5" w14:textId="77777777" w:rsidR="00E93F58" w:rsidRPr="00A35C95" w:rsidRDefault="00E93F58" w:rsidP="00366AB5">
      <w:pPr>
        <w:pStyle w:val="ActHead1"/>
        <w:pageBreakBefore/>
        <w:tabs>
          <w:tab w:val="left" w:pos="2835"/>
        </w:tabs>
        <w:rPr>
          <w:color w:val="000000"/>
        </w:rPr>
      </w:pPr>
      <w:bookmarkStart w:id="384" w:name="_Toc152057768"/>
      <w:bookmarkStart w:id="385" w:name="_Toc158711991"/>
      <w:r w:rsidRPr="00844D11">
        <w:rPr>
          <w:rStyle w:val="CharChapNo"/>
        </w:rPr>
        <w:lastRenderedPageBreak/>
        <w:t>Chapter 7</w:t>
      </w:r>
      <w:r w:rsidRPr="00A35C95">
        <w:rPr>
          <w:color w:val="000000"/>
        </w:rPr>
        <w:t>—</w:t>
      </w:r>
      <w:r w:rsidRPr="00844D11">
        <w:rPr>
          <w:rStyle w:val="CharChapText"/>
        </w:rPr>
        <w:t>Financial services and markets</w:t>
      </w:r>
      <w:bookmarkEnd w:id="384"/>
      <w:bookmarkEnd w:id="385"/>
    </w:p>
    <w:p w14:paraId="6827D4D7" w14:textId="77777777" w:rsidR="00E93F58" w:rsidRPr="00A35C95" w:rsidRDefault="00E93F58" w:rsidP="00366AB5">
      <w:pPr>
        <w:pStyle w:val="ActHead2"/>
        <w:tabs>
          <w:tab w:val="left" w:pos="2835"/>
        </w:tabs>
        <w:rPr>
          <w:color w:val="000000"/>
        </w:rPr>
      </w:pPr>
      <w:bookmarkStart w:id="386" w:name="_Toc152057769"/>
      <w:bookmarkStart w:id="387" w:name="_Toc158711992"/>
      <w:r w:rsidRPr="00844D11">
        <w:rPr>
          <w:rStyle w:val="CharPartNo"/>
        </w:rPr>
        <w:t>Part 7.1</w:t>
      </w:r>
      <w:r w:rsidRPr="00A35C95">
        <w:rPr>
          <w:color w:val="000000"/>
        </w:rPr>
        <w:t>—</w:t>
      </w:r>
      <w:r w:rsidRPr="00844D11">
        <w:rPr>
          <w:rStyle w:val="CharPartText"/>
        </w:rPr>
        <w:t>Preliminary</w:t>
      </w:r>
      <w:bookmarkEnd w:id="386"/>
      <w:bookmarkEnd w:id="387"/>
    </w:p>
    <w:p w14:paraId="5B1D1F02" w14:textId="77777777" w:rsidR="00E93F58" w:rsidRPr="00A35C95" w:rsidRDefault="00E93F58" w:rsidP="00366AB5">
      <w:pPr>
        <w:pStyle w:val="ActHead3"/>
        <w:tabs>
          <w:tab w:val="left" w:pos="2835"/>
        </w:tabs>
        <w:rPr>
          <w:color w:val="000000"/>
        </w:rPr>
      </w:pPr>
      <w:bookmarkStart w:id="388" w:name="_Toc152057770"/>
      <w:bookmarkStart w:id="389" w:name="_Toc158711993"/>
      <w:r w:rsidRPr="00844D11">
        <w:rPr>
          <w:rStyle w:val="CharDivNo"/>
        </w:rPr>
        <w:t>Division 1</w:t>
      </w:r>
      <w:r w:rsidRPr="00A35C95">
        <w:rPr>
          <w:color w:val="000000"/>
        </w:rPr>
        <w:t>—</w:t>
      </w:r>
      <w:r w:rsidRPr="00844D11">
        <w:rPr>
          <w:rStyle w:val="CharDivText"/>
        </w:rPr>
        <w:t>General</w:t>
      </w:r>
      <w:bookmarkEnd w:id="388"/>
      <w:bookmarkEnd w:id="389"/>
    </w:p>
    <w:p w14:paraId="073B86F1" w14:textId="77777777" w:rsidR="00E93F58" w:rsidRPr="00A35C95" w:rsidRDefault="00E93F58" w:rsidP="00366AB5">
      <w:pPr>
        <w:pStyle w:val="ActHead5"/>
        <w:tabs>
          <w:tab w:val="left" w:pos="2835"/>
        </w:tabs>
      </w:pPr>
      <w:bookmarkStart w:id="390" w:name="_Toc152057771"/>
      <w:bookmarkStart w:id="391" w:name="_Toc158711994"/>
      <w:r w:rsidRPr="00844D11">
        <w:rPr>
          <w:rStyle w:val="CharSectno"/>
        </w:rPr>
        <w:t>7.1.04</w:t>
      </w:r>
      <w:r w:rsidRPr="00A35C95">
        <w:rPr>
          <w:sz w:val="16"/>
        </w:rPr>
        <w:t xml:space="preserve">  </w:t>
      </w:r>
      <w:r w:rsidRPr="00A35C95">
        <w:t>Derivatives</w:t>
      </w:r>
      <w:bookmarkEnd w:id="390"/>
      <w:bookmarkEnd w:id="391"/>
    </w:p>
    <w:p w14:paraId="11B47EA8" w14:textId="77777777" w:rsidR="00E93F58" w:rsidRPr="00A35C95" w:rsidRDefault="00E93F58" w:rsidP="00366AB5">
      <w:pPr>
        <w:pStyle w:val="subsection"/>
        <w:tabs>
          <w:tab w:val="left" w:pos="2835"/>
        </w:tabs>
      </w:pPr>
      <w:r w:rsidRPr="00A35C95">
        <w:tab/>
        <w:t>(1)</w:t>
      </w:r>
      <w:r w:rsidRPr="00A35C95">
        <w:tab/>
        <w:t>For paragraph 761D(1)(b) of the Act, the prescribed period is:</w:t>
      </w:r>
    </w:p>
    <w:p w14:paraId="546BA1DC" w14:textId="77777777" w:rsidR="00E93F58" w:rsidRPr="00A35C95" w:rsidRDefault="00E93F58" w:rsidP="00366AB5">
      <w:pPr>
        <w:pStyle w:val="paragraph"/>
        <w:tabs>
          <w:tab w:val="left" w:pos="2835"/>
        </w:tabs>
      </w:pPr>
      <w:r w:rsidRPr="00A35C95">
        <w:rPr>
          <w:color w:val="000000"/>
        </w:rPr>
        <w:tab/>
        <w:t>(a)</w:t>
      </w:r>
      <w:r w:rsidRPr="00A35C95">
        <w:rPr>
          <w:color w:val="000000"/>
        </w:rPr>
        <w:tab/>
        <w:t>for a foreign exchange contract—</w:t>
      </w:r>
      <w:r w:rsidRPr="00A35C95">
        <w:t>3 business days; and</w:t>
      </w:r>
    </w:p>
    <w:p w14:paraId="402D62EB" w14:textId="77777777" w:rsidR="00E93F58" w:rsidRPr="00A35C95" w:rsidRDefault="00E93F58" w:rsidP="00366AB5">
      <w:pPr>
        <w:pStyle w:val="paragraph"/>
        <w:tabs>
          <w:tab w:val="left" w:pos="2835"/>
        </w:tabs>
      </w:pPr>
      <w:r w:rsidRPr="00A35C95">
        <w:tab/>
        <w:t>(b)</w:t>
      </w:r>
      <w:r w:rsidRPr="00A35C95">
        <w:tab/>
        <w:t>in any other case—1 business day.</w:t>
      </w:r>
    </w:p>
    <w:p w14:paraId="28389DBA" w14:textId="77777777" w:rsidR="00E93F58" w:rsidRPr="00A35C95" w:rsidRDefault="00E93F58" w:rsidP="00366AB5">
      <w:pPr>
        <w:pStyle w:val="subsection"/>
        <w:tabs>
          <w:tab w:val="left" w:pos="2835"/>
        </w:tabs>
      </w:pPr>
      <w:r w:rsidRPr="00A35C95">
        <w:tab/>
        <w:t>(2)</w:t>
      </w:r>
      <w:r w:rsidRPr="00A35C95">
        <w:tab/>
        <w:t>For subsection 761D(2) of the Act, and subject to this regulation, an arrangement is declared to be a derivative if the following conditions are satisfied in relation to the arrangement:</w:t>
      </w:r>
    </w:p>
    <w:p w14:paraId="1F079F92" w14:textId="77777777" w:rsidR="00E93F58" w:rsidRPr="00A35C95" w:rsidRDefault="00E93F58" w:rsidP="00366AB5">
      <w:pPr>
        <w:pStyle w:val="paragraph"/>
        <w:tabs>
          <w:tab w:val="left" w:pos="2835"/>
        </w:tabs>
      </w:pPr>
      <w:r w:rsidRPr="00A35C95">
        <w:rPr>
          <w:color w:val="000000"/>
        </w:rPr>
        <w:tab/>
        <w:t>(a)</w:t>
      </w:r>
      <w:r w:rsidRPr="00A35C95">
        <w:rPr>
          <w:color w:val="000000"/>
        </w:rPr>
        <w:tab/>
        <w:t>the arrangement is not a foreign exchange contract;</w:t>
      </w:r>
    </w:p>
    <w:p w14:paraId="028163F5" w14:textId="77777777" w:rsidR="00E93F58" w:rsidRPr="00A35C95" w:rsidRDefault="00E93F58" w:rsidP="00366AB5">
      <w:pPr>
        <w:pStyle w:val="paragraph"/>
        <w:tabs>
          <w:tab w:val="left" w:pos="2835"/>
        </w:tabs>
      </w:pPr>
      <w:r w:rsidRPr="00A35C95">
        <w:tab/>
        <w:t>(b)</w:t>
      </w:r>
      <w:r w:rsidRPr="00A35C95">
        <w:tab/>
        <w:t>under the arrangement, a party to the arrangement must, or may be required to, provide at some future time (which may be less than 1 day after the arrangement is entered into) consideration of a particular kind or kinds to someone;</w:t>
      </w:r>
    </w:p>
    <w:p w14:paraId="38E45F28" w14:textId="77777777" w:rsidR="00E93F58" w:rsidRPr="00A35C95" w:rsidRDefault="00E93F58" w:rsidP="00366AB5">
      <w:pPr>
        <w:pStyle w:val="paragraph"/>
        <w:tabs>
          <w:tab w:val="left" w:pos="2835"/>
        </w:tabs>
      </w:pPr>
      <w:r w:rsidRPr="00A35C95">
        <w:tab/>
        <w:t>(c)</w:t>
      </w:r>
      <w:r w:rsidRPr="00A35C95">
        <w:tab/>
        <w:t>the amount of the consideration, or the value of the arrangement, is ultimately determined, derived from or varies by reference to (wholly or in part) the value or amount of something else (of any nature whatsoever and whether or not deliverable), including, for example, one or more of the following:</w:t>
      </w:r>
    </w:p>
    <w:p w14:paraId="2C23615E" w14:textId="77777777" w:rsidR="00E93F58" w:rsidRPr="00A35C95" w:rsidRDefault="00E93F58" w:rsidP="00366AB5">
      <w:pPr>
        <w:pStyle w:val="paragraphsub"/>
        <w:tabs>
          <w:tab w:val="left" w:pos="2835"/>
        </w:tabs>
      </w:pPr>
      <w:r w:rsidRPr="00A35C95">
        <w:rPr>
          <w:color w:val="000000"/>
        </w:rPr>
        <w:tab/>
        <w:t>(i)</w:t>
      </w:r>
      <w:r w:rsidRPr="00A35C95">
        <w:rPr>
          <w:color w:val="000000"/>
        </w:rPr>
        <w:tab/>
        <w:t>an asset;</w:t>
      </w:r>
    </w:p>
    <w:p w14:paraId="645B29D7" w14:textId="77777777" w:rsidR="00E93F58" w:rsidRPr="00A35C95" w:rsidRDefault="00E93F58" w:rsidP="00366AB5">
      <w:pPr>
        <w:pStyle w:val="paragraphsub"/>
        <w:tabs>
          <w:tab w:val="left" w:pos="2835"/>
        </w:tabs>
      </w:pPr>
      <w:r w:rsidRPr="00A35C95">
        <w:tab/>
        <w:t>(ii)</w:t>
      </w:r>
      <w:r w:rsidRPr="00A35C95">
        <w:tab/>
        <w:t>a rate (including an interest rate or exchange rate);</w:t>
      </w:r>
    </w:p>
    <w:p w14:paraId="1860FD04" w14:textId="77777777" w:rsidR="00E93F58" w:rsidRPr="00A35C95" w:rsidRDefault="00E93F58" w:rsidP="00366AB5">
      <w:pPr>
        <w:pStyle w:val="paragraphsub"/>
        <w:tabs>
          <w:tab w:val="left" w:pos="2835"/>
        </w:tabs>
      </w:pPr>
      <w:r w:rsidRPr="00A35C95">
        <w:tab/>
        <w:t>(iii)</w:t>
      </w:r>
      <w:r w:rsidRPr="00A35C95">
        <w:tab/>
        <w:t>an index;</w:t>
      </w:r>
    </w:p>
    <w:p w14:paraId="5BD7491C" w14:textId="77777777" w:rsidR="00E93F58" w:rsidRPr="00A35C95" w:rsidRDefault="00E93F58" w:rsidP="00366AB5">
      <w:pPr>
        <w:pStyle w:val="paragraphsub"/>
        <w:tabs>
          <w:tab w:val="left" w:pos="2835"/>
        </w:tabs>
      </w:pPr>
      <w:r w:rsidRPr="00A35C95">
        <w:tab/>
        <w:t>(iv)</w:t>
      </w:r>
      <w:r w:rsidRPr="00A35C95">
        <w:tab/>
        <w:t>a commodity.</w:t>
      </w:r>
    </w:p>
    <w:p w14:paraId="6D1C9C06" w14:textId="77777777" w:rsidR="00E93F58" w:rsidRPr="00A35C95" w:rsidRDefault="00E93F58" w:rsidP="00366AB5">
      <w:pPr>
        <w:pStyle w:val="subsection"/>
        <w:tabs>
          <w:tab w:val="left" w:pos="2835"/>
        </w:tabs>
      </w:pPr>
      <w:r w:rsidRPr="00A35C95">
        <w:tab/>
        <w:t>(4)</w:t>
      </w:r>
      <w:r w:rsidRPr="00A35C95">
        <w:tab/>
        <w:t>An arrangement under which:</w:t>
      </w:r>
    </w:p>
    <w:p w14:paraId="7D9A7EBF" w14:textId="77777777" w:rsidR="00E93F58" w:rsidRPr="00A35C95" w:rsidRDefault="00E93F58" w:rsidP="00366AB5">
      <w:pPr>
        <w:pStyle w:val="paragraph"/>
        <w:tabs>
          <w:tab w:val="left" w:pos="2835"/>
        </w:tabs>
      </w:pPr>
      <w:r w:rsidRPr="00A35C95">
        <w:tab/>
        <w:t>(a)</w:t>
      </w:r>
      <w:r w:rsidRPr="00A35C95">
        <w:tab/>
        <w:t>a party has, or may have, an obligation to buy tangible property (other than Australian or foreign currency) at a price and on a date in the future; and</w:t>
      </w:r>
    </w:p>
    <w:p w14:paraId="2AFD6D3C" w14:textId="77777777" w:rsidR="00E93F58" w:rsidRPr="00A35C95" w:rsidRDefault="00E93F58" w:rsidP="00366AB5">
      <w:pPr>
        <w:pStyle w:val="paragraph"/>
        <w:tabs>
          <w:tab w:val="left" w:pos="2835"/>
        </w:tabs>
      </w:pPr>
      <w:r w:rsidRPr="00A35C95">
        <w:tab/>
        <w:t>(b)</w:t>
      </w:r>
      <w:r w:rsidRPr="00A35C95">
        <w:tab/>
        <w:t>another party has, or may have, an obligation to sell that property; and</w:t>
      </w:r>
    </w:p>
    <w:p w14:paraId="57545669" w14:textId="77777777" w:rsidR="00E93F58" w:rsidRPr="00A35C95" w:rsidRDefault="00E93F58" w:rsidP="00366AB5">
      <w:pPr>
        <w:pStyle w:val="paragraph"/>
        <w:tabs>
          <w:tab w:val="left" w:pos="2835"/>
        </w:tabs>
      </w:pPr>
      <w:r w:rsidRPr="00A35C95">
        <w:tab/>
        <w:t>(c)</w:t>
      </w:r>
      <w:r w:rsidRPr="00A35C95">
        <w:tab/>
        <w:t>the arrangement does not permit the seller’s obligations to be wholly settled by cash, or by set</w:t>
      </w:r>
      <w:r>
        <w:noBreakHyphen/>
      </w:r>
      <w:r w:rsidRPr="00A35C95">
        <w:t>off between the parties, rather than by delivery of the property; and</w:t>
      </w:r>
    </w:p>
    <w:p w14:paraId="5983DC26" w14:textId="77777777" w:rsidR="00E93F58" w:rsidRPr="00A35C95" w:rsidRDefault="00E93F58" w:rsidP="00366AB5">
      <w:pPr>
        <w:pStyle w:val="paragraph"/>
        <w:tabs>
          <w:tab w:val="left" w:pos="2835"/>
        </w:tabs>
      </w:pPr>
      <w:r w:rsidRPr="00A35C95">
        <w:tab/>
        <w:t>(d)</w:t>
      </w:r>
      <w:r w:rsidRPr="00A35C95">
        <w:tab/>
        <w:t>neither usual market practice, nor the rules of a licensed market or a licensed CS facility, permits the seller’s obligations to be closed out by the matching up of the arrangement with another arrangement of the same kind under which the seller has offsetting obligations to buy;</w:t>
      </w:r>
    </w:p>
    <w:p w14:paraId="32A18E20" w14:textId="77777777" w:rsidR="00E93F58" w:rsidRPr="00A35C95" w:rsidRDefault="00E93F58" w:rsidP="00366AB5">
      <w:pPr>
        <w:pStyle w:val="subsection2"/>
        <w:tabs>
          <w:tab w:val="left" w:pos="2835"/>
        </w:tabs>
      </w:pPr>
      <w:r w:rsidRPr="00A35C95">
        <w:t>is not an arrangement to which subregulation (2) applies to the extent only that the arrangement deals with that purchase and sale.</w:t>
      </w:r>
    </w:p>
    <w:p w14:paraId="7AD61FD0" w14:textId="77777777" w:rsidR="00E93F58" w:rsidRPr="00A35C95" w:rsidRDefault="00E93F58" w:rsidP="00366AB5">
      <w:pPr>
        <w:pStyle w:val="subsection"/>
        <w:tabs>
          <w:tab w:val="left" w:pos="2835"/>
        </w:tabs>
      </w:pPr>
      <w:r w:rsidRPr="00A35C95">
        <w:tab/>
        <w:t>(5)</w:t>
      </w:r>
      <w:r w:rsidRPr="00A35C95">
        <w:tab/>
        <w:t>An arrangement under which:</w:t>
      </w:r>
    </w:p>
    <w:p w14:paraId="038F65A1" w14:textId="77777777" w:rsidR="00E93F58" w:rsidRPr="00A35C95" w:rsidRDefault="00E93F58" w:rsidP="00366AB5">
      <w:pPr>
        <w:pStyle w:val="paragraph"/>
        <w:tabs>
          <w:tab w:val="left" w:pos="2835"/>
        </w:tabs>
      </w:pPr>
      <w:r w:rsidRPr="00A35C95">
        <w:tab/>
        <w:t>(a)</w:t>
      </w:r>
      <w:r w:rsidRPr="00A35C95">
        <w:tab/>
        <w:t>a party has an obligation to buy property; and</w:t>
      </w:r>
    </w:p>
    <w:p w14:paraId="2F3A76BB" w14:textId="77777777" w:rsidR="00E93F58" w:rsidRPr="00A35C95" w:rsidRDefault="00E93F58" w:rsidP="00366AB5">
      <w:pPr>
        <w:pStyle w:val="paragraph"/>
        <w:tabs>
          <w:tab w:val="left" w:pos="2835"/>
        </w:tabs>
      </w:pPr>
      <w:r w:rsidRPr="00A35C95">
        <w:tab/>
        <w:t>(b)</w:t>
      </w:r>
      <w:r w:rsidRPr="00A35C95">
        <w:tab/>
        <w:t>another party has an obligation to sell the property;</w:t>
      </w:r>
    </w:p>
    <w:p w14:paraId="70E9A1F9" w14:textId="77777777" w:rsidR="00E93F58" w:rsidRPr="00A35C95" w:rsidRDefault="00E93F58" w:rsidP="00366AB5">
      <w:pPr>
        <w:pStyle w:val="subsection2"/>
        <w:tabs>
          <w:tab w:val="left" w:pos="2835"/>
        </w:tabs>
      </w:pPr>
      <w:r w:rsidRPr="00A35C95">
        <w:t>is not an arrangement to which subregulation (2) applies merely because the arrangement provides for the consideration to be varied by reference to a general inflation index (for example, the Consumer Price Index).</w:t>
      </w:r>
    </w:p>
    <w:p w14:paraId="4DF7B695" w14:textId="77777777" w:rsidR="00E93F58" w:rsidRPr="00A35C95" w:rsidRDefault="00E93F58" w:rsidP="00366AB5">
      <w:pPr>
        <w:pStyle w:val="subsection"/>
        <w:tabs>
          <w:tab w:val="left" w:pos="2835"/>
        </w:tabs>
      </w:pPr>
      <w:r w:rsidRPr="00A35C95">
        <w:tab/>
        <w:t>(6)</w:t>
      </w:r>
      <w:r w:rsidRPr="00A35C95">
        <w:tab/>
        <w:t>A contract for the future provision of services is not an arrangement to which subregulation (2) applies.</w:t>
      </w:r>
    </w:p>
    <w:p w14:paraId="332445FA" w14:textId="77777777" w:rsidR="00E93F58" w:rsidRPr="00A35C95" w:rsidRDefault="00E93F58" w:rsidP="00366AB5">
      <w:pPr>
        <w:pStyle w:val="subsection"/>
        <w:tabs>
          <w:tab w:val="left" w:pos="2835"/>
        </w:tabs>
      </w:pPr>
      <w:r w:rsidRPr="00A35C95">
        <w:tab/>
        <w:t>(7)</w:t>
      </w:r>
      <w:r w:rsidRPr="00A35C95">
        <w:tab/>
        <w:t>A thing that is described in subsection 764A(1) of the Act, other than paragraph 764A(1)(c), is not an arrangement to which subregulation (2) applies.</w:t>
      </w:r>
    </w:p>
    <w:p w14:paraId="119D451D" w14:textId="77777777" w:rsidR="00E93F58" w:rsidRPr="00A35C95" w:rsidRDefault="00E93F58" w:rsidP="00366AB5">
      <w:pPr>
        <w:pStyle w:val="subsection"/>
        <w:tabs>
          <w:tab w:val="left" w:pos="2835"/>
        </w:tabs>
      </w:pPr>
      <w:r w:rsidRPr="00A35C95">
        <w:tab/>
        <w:t>(8)</w:t>
      </w:r>
      <w:r w:rsidRPr="00A35C95">
        <w:tab/>
        <w:t>For paragraph 761D(3)(d) of the Act, each of the following is declared not to be a derivative:</w:t>
      </w:r>
    </w:p>
    <w:p w14:paraId="59713357" w14:textId="77777777" w:rsidR="00E93F58" w:rsidRPr="00A35C95" w:rsidRDefault="00E93F58" w:rsidP="00366AB5">
      <w:pPr>
        <w:pStyle w:val="paragraph"/>
        <w:tabs>
          <w:tab w:val="left" w:pos="2835"/>
        </w:tabs>
      </w:pPr>
      <w:r w:rsidRPr="00A35C95">
        <w:tab/>
        <w:t>(a)</w:t>
      </w:r>
      <w:r w:rsidRPr="00A35C95">
        <w:tab/>
        <w:t>tradeable water rights;</w:t>
      </w:r>
    </w:p>
    <w:p w14:paraId="66CB6738" w14:textId="77777777" w:rsidR="00E93F58" w:rsidRPr="00A35C95" w:rsidRDefault="00E93F58" w:rsidP="00366AB5">
      <w:pPr>
        <w:pStyle w:val="paragraph"/>
        <w:tabs>
          <w:tab w:val="left" w:pos="2835"/>
        </w:tabs>
      </w:pPr>
      <w:r w:rsidRPr="00A35C95">
        <w:tab/>
        <w:t>(b)</w:t>
      </w:r>
      <w:r w:rsidRPr="00A35C95">
        <w:tab/>
        <w:t>an arrangement:</w:t>
      </w:r>
    </w:p>
    <w:p w14:paraId="2443CEA6" w14:textId="77777777" w:rsidR="00E93F58" w:rsidRPr="00A35C95" w:rsidRDefault="00E93F58" w:rsidP="00366AB5">
      <w:pPr>
        <w:pStyle w:val="paragraphsub"/>
        <w:tabs>
          <w:tab w:val="left" w:pos="2835"/>
        </w:tabs>
      </w:pPr>
      <w:r w:rsidRPr="00A35C95">
        <w:tab/>
        <w:t>(i)</w:t>
      </w:r>
      <w:r w:rsidRPr="00A35C95">
        <w:tab/>
        <w:t xml:space="preserve">under which a person (the </w:t>
      </w:r>
      <w:r w:rsidRPr="00A35C95">
        <w:rPr>
          <w:b/>
          <w:i/>
        </w:rPr>
        <w:t>seller</w:t>
      </w:r>
      <w:r w:rsidRPr="00A35C95">
        <w:t>) has, or may have, an obligation to sell tradeable water rights at a future date; and</w:t>
      </w:r>
    </w:p>
    <w:p w14:paraId="585B8115" w14:textId="77777777" w:rsidR="00E93F58" w:rsidRPr="00A35C95" w:rsidRDefault="00E93F58" w:rsidP="00366AB5">
      <w:pPr>
        <w:pStyle w:val="paragraphsub"/>
        <w:tabs>
          <w:tab w:val="left" w:pos="2835"/>
        </w:tabs>
      </w:pPr>
      <w:r w:rsidRPr="00A35C95">
        <w:tab/>
        <w:t>(ii)</w:t>
      </w:r>
      <w:r w:rsidRPr="00A35C95">
        <w:tab/>
        <w:t xml:space="preserve">under which another person (the </w:t>
      </w:r>
      <w:r w:rsidRPr="00A35C95">
        <w:rPr>
          <w:b/>
          <w:i/>
        </w:rPr>
        <w:t>buyer</w:t>
      </w:r>
      <w:r w:rsidRPr="00A35C95">
        <w:t>) has, or may have, an obligation to buy the tradeable water rights, or replacement water rights, at a future date; and</w:t>
      </w:r>
    </w:p>
    <w:p w14:paraId="4973E71C" w14:textId="77777777" w:rsidR="00E93F58" w:rsidRPr="00A35C95" w:rsidRDefault="00E93F58" w:rsidP="00366AB5">
      <w:pPr>
        <w:pStyle w:val="paragraphsub"/>
        <w:tabs>
          <w:tab w:val="left" w:pos="2835"/>
        </w:tabs>
      </w:pPr>
      <w:r w:rsidRPr="00A35C95">
        <w:tab/>
        <w:t>(iii)</w:t>
      </w:r>
      <w:r w:rsidRPr="00A35C95">
        <w:tab/>
        <w:t>that does not permit the seller’s obligations to be wholly settled by cash, or by set</w:t>
      </w:r>
      <w:r>
        <w:noBreakHyphen/>
      </w:r>
      <w:r w:rsidRPr="00A35C95">
        <w:t>off between the seller and the buyer, rather than by transfer of ownership of the tradeable water rights or replacement water rights; and</w:t>
      </w:r>
    </w:p>
    <w:p w14:paraId="7E75E6E6" w14:textId="77777777" w:rsidR="00E93F58" w:rsidRPr="00A35C95" w:rsidRDefault="00E93F58" w:rsidP="00366AB5">
      <w:pPr>
        <w:pStyle w:val="paragraphsub"/>
        <w:tabs>
          <w:tab w:val="left" w:pos="2835"/>
        </w:tabs>
      </w:pPr>
      <w:r w:rsidRPr="00A35C95">
        <w:lastRenderedPageBreak/>
        <w:tab/>
        <w:t>(iv)</w:t>
      </w:r>
      <w:r w:rsidRPr="00A35C95">
        <w:tab/>
        <w:t xml:space="preserve">in relation to which neither usual market practice, nor the rules of a licensed market or of a licensed CS facility, allow the seller’s obligations to be closed out by matching up the arrangement with another arrangement of the same kind under which the seller has offsetting obligations to buy the tradeable water rights or replacement water rights; </w:t>
      </w:r>
    </w:p>
    <w:p w14:paraId="0C27FB92" w14:textId="77777777" w:rsidR="00E93F58" w:rsidRPr="00A35C95" w:rsidRDefault="00E93F58" w:rsidP="00366AB5">
      <w:pPr>
        <w:pStyle w:val="paragraph"/>
        <w:tabs>
          <w:tab w:val="left" w:pos="2835"/>
        </w:tabs>
      </w:pPr>
      <w:r w:rsidRPr="00A35C95">
        <w:tab/>
        <w:t>(c)</w:t>
      </w:r>
      <w:r w:rsidRPr="00A35C95">
        <w:tab/>
        <w:t>a carbon abatement contract.</w:t>
      </w:r>
    </w:p>
    <w:p w14:paraId="74EAC6CF" w14:textId="77777777" w:rsidR="00E93F58" w:rsidRPr="00A35C95" w:rsidRDefault="00E93F58" w:rsidP="00366AB5">
      <w:pPr>
        <w:pStyle w:val="notetext"/>
        <w:tabs>
          <w:tab w:val="left" w:pos="2835"/>
        </w:tabs>
      </w:pPr>
      <w:r w:rsidRPr="00A35C95">
        <w:t>Note:</w:t>
      </w:r>
      <w:r w:rsidRPr="00A35C95">
        <w:tab/>
        <w:t xml:space="preserve">For </w:t>
      </w:r>
      <w:r w:rsidRPr="00A35C95">
        <w:rPr>
          <w:b/>
          <w:i/>
        </w:rPr>
        <w:t>carbon abatement contract</w:t>
      </w:r>
      <w:r w:rsidRPr="00A35C95">
        <w:t>, see subregulation 1.0.02(1).</w:t>
      </w:r>
    </w:p>
    <w:p w14:paraId="6DD9EAEF" w14:textId="77777777" w:rsidR="00E93F58" w:rsidRPr="00A35C95" w:rsidRDefault="00E93F58" w:rsidP="00366AB5">
      <w:pPr>
        <w:pStyle w:val="subsection"/>
        <w:tabs>
          <w:tab w:val="left" w:pos="2835"/>
        </w:tabs>
      </w:pPr>
      <w:r w:rsidRPr="00A35C95">
        <w:tab/>
        <w:t>(9)</w:t>
      </w:r>
      <w:r w:rsidRPr="00A35C95">
        <w:tab/>
        <w:t>Subregulations (4) to (8) apply whether or not a matter mentioned in those subregulations is described in subsection 761D(1) of the Act.</w:t>
      </w:r>
    </w:p>
    <w:p w14:paraId="5C16B6DA" w14:textId="77777777" w:rsidR="00E93F58" w:rsidRPr="00A35C95" w:rsidRDefault="00E93F58" w:rsidP="00366AB5">
      <w:pPr>
        <w:pStyle w:val="subsection"/>
        <w:tabs>
          <w:tab w:val="left" w:pos="2835"/>
        </w:tabs>
      </w:pPr>
      <w:r w:rsidRPr="00A35C95">
        <w:tab/>
        <w:t>(10)</w:t>
      </w:r>
      <w:r w:rsidRPr="00A35C95">
        <w:tab/>
        <w:t>In subregulation (8):</w:t>
      </w:r>
    </w:p>
    <w:p w14:paraId="6E71B5EA" w14:textId="77777777" w:rsidR="00E93F58" w:rsidRPr="00A35C95" w:rsidRDefault="00E93F58" w:rsidP="00366AB5">
      <w:pPr>
        <w:pStyle w:val="Definition"/>
        <w:tabs>
          <w:tab w:val="left" w:pos="2835"/>
        </w:tabs>
      </w:pPr>
      <w:r w:rsidRPr="00A35C95">
        <w:rPr>
          <w:b/>
          <w:i/>
        </w:rPr>
        <w:t>replacement water rights</w:t>
      </w:r>
      <w:r w:rsidRPr="00A35C95">
        <w:t xml:space="preserve"> means tradeable water rights that are granted, issued or authorised as a replacement for the seller’s tradeable water rights, including as a result of transformation arrangements mentioned in subsection 97(1) of the </w:t>
      </w:r>
      <w:r w:rsidRPr="00A35C95">
        <w:rPr>
          <w:i/>
        </w:rPr>
        <w:t>Water Act 2007</w:t>
      </w:r>
      <w:r w:rsidRPr="00A35C95">
        <w:t>.</w:t>
      </w:r>
    </w:p>
    <w:p w14:paraId="1B5CC15B" w14:textId="77777777" w:rsidR="00E93F58" w:rsidRPr="00A35C95" w:rsidRDefault="00E93F58" w:rsidP="00366AB5">
      <w:pPr>
        <w:pStyle w:val="Definition"/>
        <w:tabs>
          <w:tab w:val="left" w:pos="2835"/>
        </w:tabs>
      </w:pPr>
      <w:r w:rsidRPr="00A35C95">
        <w:rPr>
          <w:b/>
          <w:i/>
        </w:rPr>
        <w:t xml:space="preserve">tradeable water rights </w:t>
      </w:r>
      <w:r w:rsidRPr="00A35C95">
        <w:t xml:space="preserve">has the same meaning as in the </w:t>
      </w:r>
      <w:r w:rsidRPr="00A35C95">
        <w:rPr>
          <w:i/>
        </w:rPr>
        <w:t>Water Act 2007</w:t>
      </w:r>
      <w:r w:rsidRPr="00A35C95">
        <w:t>.</w:t>
      </w:r>
    </w:p>
    <w:p w14:paraId="50727089" w14:textId="77777777" w:rsidR="00E93F58" w:rsidRPr="00A35C95" w:rsidRDefault="00E93F58" w:rsidP="00366AB5">
      <w:pPr>
        <w:pStyle w:val="ActHead5"/>
        <w:tabs>
          <w:tab w:val="left" w:pos="2835"/>
        </w:tabs>
      </w:pPr>
      <w:bookmarkStart w:id="392" w:name="_Toc152057772"/>
      <w:bookmarkStart w:id="393" w:name="_Toc158711995"/>
      <w:r w:rsidRPr="00844D11">
        <w:rPr>
          <w:rStyle w:val="CharSectno"/>
        </w:rPr>
        <w:t>7.1.04A</w:t>
      </w:r>
      <w:r w:rsidRPr="00A35C95">
        <w:t xml:space="preserve">  Meaning of </w:t>
      </w:r>
      <w:r w:rsidRPr="00A35C95">
        <w:rPr>
          <w:i/>
        </w:rPr>
        <w:t xml:space="preserve">kind </w:t>
      </w:r>
      <w:r w:rsidRPr="00A35C95">
        <w:t>of financial products (section 1012IA of the Act)</w:t>
      </w:r>
      <w:bookmarkEnd w:id="392"/>
      <w:bookmarkEnd w:id="393"/>
    </w:p>
    <w:p w14:paraId="5154259D" w14:textId="77777777" w:rsidR="00E93F58" w:rsidRPr="00A35C95" w:rsidRDefault="00E93F58" w:rsidP="00366AB5">
      <w:pPr>
        <w:pStyle w:val="subsection"/>
        <w:tabs>
          <w:tab w:val="left" w:pos="2835"/>
        </w:tabs>
      </w:pPr>
      <w:r w:rsidRPr="00A35C95">
        <w:tab/>
        <w:t>(1)</w:t>
      </w:r>
      <w:r w:rsidRPr="00A35C95">
        <w:tab/>
        <w:t xml:space="preserve">For section 761CA of the Act, this regulation applies in relation to paragraph (a) of the definition of </w:t>
      </w:r>
      <w:r w:rsidRPr="00A35C95">
        <w:rPr>
          <w:b/>
          <w:i/>
        </w:rPr>
        <w:t>custodial arrangement</w:t>
      </w:r>
      <w:r w:rsidRPr="00A35C95">
        <w:t xml:space="preserve"> in subsection 1012IA(1) of the Act.</w:t>
      </w:r>
    </w:p>
    <w:p w14:paraId="2433DCD1" w14:textId="77777777" w:rsidR="00E93F58" w:rsidRPr="00A35C95" w:rsidRDefault="00E93F58" w:rsidP="00366AB5">
      <w:pPr>
        <w:pStyle w:val="subsection"/>
        <w:tabs>
          <w:tab w:val="left" w:pos="2835"/>
        </w:tabs>
      </w:pPr>
      <w:r w:rsidRPr="00A35C95">
        <w:tab/>
        <w:t>(2)</w:t>
      </w:r>
      <w:r w:rsidRPr="00A35C95">
        <w:tab/>
        <w:t>Each of the following is a kind of financial product:</w:t>
      </w:r>
    </w:p>
    <w:p w14:paraId="74AAFD2A" w14:textId="77777777" w:rsidR="00E93F58" w:rsidRPr="00A35C95" w:rsidRDefault="00E93F58" w:rsidP="00366AB5">
      <w:pPr>
        <w:pStyle w:val="paragraph"/>
        <w:tabs>
          <w:tab w:val="left" w:pos="2835"/>
        </w:tabs>
        <w:rPr>
          <w:snapToGrid w:val="0"/>
        </w:rPr>
      </w:pPr>
      <w:r w:rsidRPr="00A35C95">
        <w:rPr>
          <w:snapToGrid w:val="0"/>
        </w:rPr>
        <w:tab/>
        <w:t>(a)</w:t>
      </w:r>
      <w:r w:rsidRPr="00A35C95">
        <w:rPr>
          <w:snapToGrid w:val="0"/>
        </w:rPr>
        <w:tab/>
        <w:t>for interests in a managed investment scheme, all the interests in that managed investment scheme;</w:t>
      </w:r>
    </w:p>
    <w:p w14:paraId="5EBF19C9" w14:textId="77777777" w:rsidR="00E93F58" w:rsidRPr="00A35C95" w:rsidRDefault="00E93F58" w:rsidP="00366AB5">
      <w:pPr>
        <w:pStyle w:val="paragraph"/>
        <w:tabs>
          <w:tab w:val="left" w:pos="2835"/>
        </w:tabs>
        <w:rPr>
          <w:snapToGrid w:val="0"/>
        </w:rPr>
      </w:pPr>
      <w:r w:rsidRPr="00A35C95">
        <w:rPr>
          <w:snapToGrid w:val="0"/>
        </w:rPr>
        <w:tab/>
        <w:t>(b)</w:t>
      </w:r>
      <w:r w:rsidRPr="00A35C95">
        <w:rPr>
          <w:snapToGrid w:val="0"/>
        </w:rPr>
        <w:tab/>
        <w:t xml:space="preserve">in any other case, all the financial products issued by a </w:t>
      </w:r>
      <w:r w:rsidRPr="00A35C95">
        <w:t>person or the person’s related bodies corporate.</w:t>
      </w:r>
    </w:p>
    <w:p w14:paraId="644D12A7" w14:textId="77777777" w:rsidR="00E93F58" w:rsidRPr="00A35C95" w:rsidRDefault="00E93F58" w:rsidP="00366AB5">
      <w:pPr>
        <w:pStyle w:val="ActHead5"/>
        <w:tabs>
          <w:tab w:val="left" w:pos="2835"/>
        </w:tabs>
      </w:pPr>
      <w:bookmarkStart w:id="394" w:name="_Toc152057773"/>
      <w:bookmarkStart w:id="395" w:name="_Toc158711996"/>
      <w:r w:rsidRPr="00844D11">
        <w:rPr>
          <w:rStyle w:val="CharSectno"/>
        </w:rPr>
        <w:t>7.1.04B</w:t>
      </w:r>
      <w:r w:rsidRPr="00A35C95">
        <w:t xml:space="preserve">  Meaning of </w:t>
      </w:r>
      <w:r w:rsidRPr="00A35C95">
        <w:rPr>
          <w:i/>
        </w:rPr>
        <w:t xml:space="preserve">class </w:t>
      </w:r>
      <w:r w:rsidRPr="00A35C95">
        <w:t>of financial products (managed investment schemes)</w:t>
      </w:r>
      <w:bookmarkEnd w:id="394"/>
      <w:bookmarkEnd w:id="395"/>
    </w:p>
    <w:p w14:paraId="7BD17A50" w14:textId="77777777" w:rsidR="00E93F58" w:rsidRPr="00A35C95" w:rsidRDefault="00E93F58" w:rsidP="00366AB5">
      <w:pPr>
        <w:pStyle w:val="subsection"/>
        <w:tabs>
          <w:tab w:val="left" w:pos="2835"/>
        </w:tabs>
      </w:pPr>
      <w:r w:rsidRPr="00A35C95">
        <w:tab/>
        <w:t>(1)</w:t>
      </w:r>
      <w:r w:rsidRPr="00A35C95">
        <w:tab/>
        <w:t>For section 761CA of the Act, this regulation applies in relation to paragraph 1017F(4)(d) of the Act.</w:t>
      </w:r>
    </w:p>
    <w:p w14:paraId="2E4E539D" w14:textId="77777777" w:rsidR="00E93F58" w:rsidRPr="00A35C95" w:rsidRDefault="00E93F58" w:rsidP="00366AB5">
      <w:pPr>
        <w:pStyle w:val="subsection"/>
        <w:tabs>
          <w:tab w:val="left" w:pos="2835"/>
        </w:tabs>
      </w:pPr>
      <w:r w:rsidRPr="00A35C95">
        <w:tab/>
        <w:t>(2)</w:t>
      </w:r>
      <w:r w:rsidRPr="00A35C95">
        <w:tab/>
        <w:t>An interest in a managed investment scheme is in the same class as another interest in a managed investment scheme if they are both interests in the same managed investment scheme.</w:t>
      </w:r>
    </w:p>
    <w:p w14:paraId="0DEA6DF4" w14:textId="77777777" w:rsidR="00E93F58" w:rsidRPr="00A35C95" w:rsidRDefault="00E93F58" w:rsidP="00366AB5">
      <w:pPr>
        <w:pStyle w:val="ActHead5"/>
        <w:tabs>
          <w:tab w:val="left" w:pos="2835"/>
        </w:tabs>
      </w:pPr>
      <w:bookmarkStart w:id="396" w:name="_Toc152057774"/>
      <w:bookmarkStart w:id="397" w:name="_Toc158711997"/>
      <w:r w:rsidRPr="00844D11">
        <w:rPr>
          <w:rStyle w:val="CharSectno"/>
        </w:rPr>
        <w:t>7.1.04C</w:t>
      </w:r>
      <w:r w:rsidRPr="00A35C95">
        <w:t xml:space="preserve">  Meaning of </w:t>
      </w:r>
      <w:r w:rsidRPr="00A35C95">
        <w:rPr>
          <w:i/>
        </w:rPr>
        <w:t xml:space="preserve">class </w:t>
      </w:r>
      <w:r w:rsidRPr="00A35C95">
        <w:t>of financial products (superannuation products)</w:t>
      </w:r>
      <w:bookmarkEnd w:id="396"/>
      <w:bookmarkEnd w:id="397"/>
    </w:p>
    <w:p w14:paraId="7588DACA" w14:textId="77777777" w:rsidR="00E93F58" w:rsidRPr="00A35C95" w:rsidRDefault="00E93F58" w:rsidP="00366AB5">
      <w:pPr>
        <w:pStyle w:val="subsection"/>
        <w:tabs>
          <w:tab w:val="left" w:pos="2835"/>
        </w:tabs>
      </w:pPr>
      <w:r w:rsidRPr="00A35C95">
        <w:tab/>
        <w:t>(1)</w:t>
      </w:r>
      <w:r w:rsidRPr="00A35C95">
        <w:tab/>
        <w:t>For section 761CA of the Act, this regulation applies in relation to paragraph 1017F(4)(d) of the Act.</w:t>
      </w:r>
    </w:p>
    <w:p w14:paraId="1E3E7D95" w14:textId="77777777" w:rsidR="00E93F58" w:rsidRPr="00A35C95" w:rsidRDefault="00E93F58" w:rsidP="00366AB5">
      <w:pPr>
        <w:pStyle w:val="subsection"/>
        <w:tabs>
          <w:tab w:val="left" w:pos="2835"/>
        </w:tabs>
      </w:pPr>
      <w:r w:rsidRPr="00A35C95">
        <w:tab/>
        <w:t>(2)</w:t>
      </w:r>
      <w:r w:rsidRPr="00A35C95">
        <w:tab/>
        <w:t>A superannuation product is in the same class as another superannuation product if they are both issued by the same superannuation entity.</w:t>
      </w:r>
    </w:p>
    <w:p w14:paraId="5E647CE4" w14:textId="77777777" w:rsidR="00E93F58" w:rsidRPr="00A35C95" w:rsidRDefault="00E93F58" w:rsidP="00366AB5">
      <w:pPr>
        <w:pStyle w:val="ActHead5"/>
        <w:tabs>
          <w:tab w:val="left" w:pos="2835"/>
        </w:tabs>
      </w:pPr>
      <w:bookmarkStart w:id="398" w:name="_Toc152057775"/>
      <w:bookmarkStart w:id="399" w:name="_Toc158711998"/>
      <w:r w:rsidRPr="00844D11">
        <w:rPr>
          <w:rStyle w:val="CharSectno"/>
        </w:rPr>
        <w:t>7.1.04CAA</w:t>
      </w:r>
      <w:r w:rsidRPr="00A35C95">
        <w:t xml:space="preserve">  Meaning of </w:t>
      </w:r>
      <w:r w:rsidRPr="00A35C95">
        <w:rPr>
          <w:i/>
        </w:rPr>
        <w:t>claimant intermediary</w:t>
      </w:r>
      <w:r w:rsidRPr="00A35C95">
        <w:t>—persons excluded from being claimant intermediaries</w:t>
      </w:r>
      <w:bookmarkEnd w:id="398"/>
      <w:bookmarkEnd w:id="399"/>
    </w:p>
    <w:p w14:paraId="501826C5" w14:textId="77777777" w:rsidR="00E93F58" w:rsidRPr="00A35C95" w:rsidRDefault="00E93F58" w:rsidP="00366AB5">
      <w:pPr>
        <w:pStyle w:val="subsection"/>
        <w:tabs>
          <w:tab w:val="left" w:pos="2835"/>
        </w:tabs>
      </w:pPr>
      <w:r w:rsidRPr="00A35C95">
        <w:tab/>
        <w:t>(1)</w:t>
      </w:r>
      <w:r w:rsidRPr="00A35C95">
        <w:tab/>
        <w:t>For the purposes of subsection 761CAA(2) of the Act, a person is not a claimant intermediary in the circumstances set out in subregulation (2), (4), (5), (6), (7), (8), (9), (10), (11) or (12).</w:t>
      </w:r>
    </w:p>
    <w:p w14:paraId="49943BA4" w14:textId="77777777" w:rsidR="00E93F58" w:rsidRPr="00A35C95" w:rsidRDefault="00E93F58" w:rsidP="00366AB5">
      <w:pPr>
        <w:pStyle w:val="SubsectionHead"/>
        <w:tabs>
          <w:tab w:val="left" w:pos="2835"/>
        </w:tabs>
      </w:pPr>
      <w:r w:rsidRPr="00A35C95">
        <w:t>Mortgage brokers and mortgage intermediaries</w:t>
      </w:r>
    </w:p>
    <w:p w14:paraId="56C0E7E1" w14:textId="77777777" w:rsidR="00E93F58" w:rsidRPr="00A35C95" w:rsidRDefault="00E93F58" w:rsidP="00366AB5">
      <w:pPr>
        <w:pStyle w:val="subsection"/>
        <w:tabs>
          <w:tab w:val="left" w:pos="2835"/>
        </w:tabs>
      </w:pPr>
      <w:r w:rsidRPr="00A35C95">
        <w:tab/>
        <w:t>(2)</w:t>
      </w:r>
      <w:r w:rsidRPr="00A35C95">
        <w:tab/>
        <w:t>The circumstances are:</w:t>
      </w:r>
    </w:p>
    <w:p w14:paraId="418C92C2" w14:textId="77777777" w:rsidR="00E93F58" w:rsidRPr="00A35C95" w:rsidRDefault="00E93F58" w:rsidP="00366AB5">
      <w:pPr>
        <w:pStyle w:val="paragraph"/>
        <w:tabs>
          <w:tab w:val="left" w:pos="2835"/>
        </w:tabs>
      </w:pPr>
      <w:r w:rsidRPr="00A35C95">
        <w:tab/>
        <w:t>(a)</w:t>
      </w:r>
      <w:r w:rsidRPr="00A35C95">
        <w:tab/>
        <w:t>the person is a mortgage broker or mortgage intermediary; and</w:t>
      </w:r>
    </w:p>
    <w:p w14:paraId="48E6E528" w14:textId="77777777" w:rsidR="00E93F58" w:rsidRPr="00A35C95" w:rsidRDefault="00E93F58" w:rsidP="00366AB5">
      <w:pPr>
        <w:pStyle w:val="paragraph"/>
        <w:tabs>
          <w:tab w:val="left" w:pos="2835"/>
        </w:tabs>
      </w:pPr>
      <w:r w:rsidRPr="00A35C95">
        <w:tab/>
        <w:t>(b)</w:t>
      </w:r>
      <w:r w:rsidRPr="00A35C95">
        <w:tab/>
        <w:t>the mortgage broker or mortgage intermediary provides a credit service to a consumer; and</w:t>
      </w:r>
    </w:p>
    <w:p w14:paraId="5CF210B6" w14:textId="77777777" w:rsidR="00E93F58" w:rsidRPr="00A35C95" w:rsidRDefault="00E93F58" w:rsidP="00366AB5">
      <w:pPr>
        <w:pStyle w:val="paragraph"/>
        <w:tabs>
          <w:tab w:val="left" w:pos="2835"/>
        </w:tabs>
      </w:pPr>
      <w:r w:rsidRPr="00A35C95">
        <w:tab/>
        <w:t>(c)</w:t>
      </w:r>
      <w:r w:rsidRPr="00A35C95">
        <w:tab/>
        <w:t>the mortgage broker or mortgage intermediary represents the consumer in pursuing a claim under an insurance product.</w:t>
      </w:r>
    </w:p>
    <w:p w14:paraId="4D780682" w14:textId="77777777" w:rsidR="00E93F58" w:rsidRPr="00A35C95" w:rsidRDefault="00E93F58" w:rsidP="00366AB5">
      <w:pPr>
        <w:pStyle w:val="subsection"/>
        <w:tabs>
          <w:tab w:val="left" w:pos="2835"/>
        </w:tabs>
      </w:pPr>
      <w:r w:rsidRPr="00A35C95">
        <w:tab/>
        <w:t>(3)</w:t>
      </w:r>
      <w:r w:rsidRPr="00A35C95">
        <w:tab/>
        <w:t xml:space="preserve">Expressions used in subregulation (2) that are also used in the </w:t>
      </w:r>
      <w:r w:rsidRPr="00A35C95">
        <w:rPr>
          <w:i/>
        </w:rPr>
        <w:t>National Consumer Credit Protection Act 2009</w:t>
      </w:r>
      <w:r w:rsidRPr="00A35C95">
        <w:t xml:space="preserve"> have the same meaning in that subregulation as they have in that Act.</w:t>
      </w:r>
    </w:p>
    <w:p w14:paraId="109E94C0" w14:textId="77777777" w:rsidR="00E93F58" w:rsidRPr="00A35C95" w:rsidRDefault="00E93F58" w:rsidP="00366AB5">
      <w:pPr>
        <w:pStyle w:val="SubsectionHead"/>
        <w:tabs>
          <w:tab w:val="left" w:pos="2835"/>
        </w:tabs>
      </w:pPr>
      <w:r w:rsidRPr="00A35C95">
        <w:t>Insurance brokers</w:t>
      </w:r>
    </w:p>
    <w:p w14:paraId="2EBD5654" w14:textId="77777777" w:rsidR="00E93F58" w:rsidRPr="00A35C95" w:rsidRDefault="00E93F58" w:rsidP="00366AB5">
      <w:pPr>
        <w:pStyle w:val="subsection"/>
        <w:tabs>
          <w:tab w:val="left" w:pos="2835"/>
        </w:tabs>
      </w:pPr>
      <w:r w:rsidRPr="00A35C95">
        <w:tab/>
        <w:t>(4)</w:t>
      </w:r>
      <w:r w:rsidRPr="00A35C95">
        <w:tab/>
        <w:t xml:space="preserve">The circumstances are that the person is an insurance broker (within the meaning of the </w:t>
      </w:r>
      <w:r w:rsidRPr="00A35C95">
        <w:rPr>
          <w:i/>
        </w:rPr>
        <w:t>Insurance Contracts Act 1984</w:t>
      </w:r>
      <w:r w:rsidRPr="00A35C95">
        <w:t>).</w:t>
      </w:r>
    </w:p>
    <w:p w14:paraId="30A5A06B" w14:textId="77777777" w:rsidR="00E93F58" w:rsidRPr="00A35C95" w:rsidRDefault="00E93F58" w:rsidP="00366AB5">
      <w:pPr>
        <w:pStyle w:val="SubsectionHead"/>
        <w:tabs>
          <w:tab w:val="left" w:pos="2835"/>
        </w:tabs>
      </w:pPr>
      <w:r w:rsidRPr="00A35C95">
        <w:lastRenderedPageBreak/>
        <w:t>Qualified accountants</w:t>
      </w:r>
    </w:p>
    <w:p w14:paraId="5D0802C9" w14:textId="77777777" w:rsidR="00E93F58" w:rsidRPr="00A35C95" w:rsidRDefault="00E93F58" w:rsidP="00366AB5">
      <w:pPr>
        <w:pStyle w:val="subsection"/>
        <w:tabs>
          <w:tab w:val="left" w:pos="2835"/>
        </w:tabs>
      </w:pPr>
      <w:r w:rsidRPr="00A35C95">
        <w:tab/>
        <w:t>(5)</w:t>
      </w:r>
      <w:r w:rsidRPr="00A35C95">
        <w:tab/>
        <w:t>The circumstances are:</w:t>
      </w:r>
    </w:p>
    <w:p w14:paraId="175FB1AA" w14:textId="77777777" w:rsidR="00E93F58" w:rsidRPr="00A35C95" w:rsidRDefault="00E93F58" w:rsidP="00366AB5">
      <w:pPr>
        <w:pStyle w:val="paragraph"/>
        <w:tabs>
          <w:tab w:val="left" w:pos="2835"/>
        </w:tabs>
      </w:pPr>
      <w:r w:rsidRPr="00A35C95">
        <w:tab/>
        <w:t>(a)</w:t>
      </w:r>
      <w:r w:rsidRPr="00A35C95">
        <w:tab/>
        <w:t>the person is a qualified accountant; and</w:t>
      </w:r>
    </w:p>
    <w:p w14:paraId="4D2F75AA" w14:textId="77777777" w:rsidR="00E93F58" w:rsidRPr="00A35C95" w:rsidRDefault="00E93F58" w:rsidP="00366AB5">
      <w:pPr>
        <w:pStyle w:val="paragraph"/>
        <w:tabs>
          <w:tab w:val="left" w:pos="2835"/>
        </w:tabs>
      </w:pPr>
      <w:r w:rsidRPr="00A35C95">
        <w:tab/>
        <w:t>(b)</w:t>
      </w:r>
      <w:r w:rsidRPr="00A35C95">
        <w:tab/>
        <w:t xml:space="preserve">the qualified accountant provides one or more of the following services to a person (the </w:t>
      </w:r>
      <w:r w:rsidRPr="00A35C95">
        <w:rPr>
          <w:b/>
          <w:i/>
        </w:rPr>
        <w:t>client</w:t>
      </w:r>
      <w:r w:rsidRPr="00A35C95">
        <w:t>):</w:t>
      </w:r>
    </w:p>
    <w:p w14:paraId="30C1C95C" w14:textId="77777777" w:rsidR="00E93F58" w:rsidRPr="00A35C95" w:rsidRDefault="00E93F58" w:rsidP="00366AB5">
      <w:pPr>
        <w:pStyle w:val="paragraphsub"/>
        <w:tabs>
          <w:tab w:val="left" w:pos="2835"/>
        </w:tabs>
      </w:pPr>
      <w:r w:rsidRPr="00A35C95">
        <w:tab/>
        <w:t>(i)</w:t>
      </w:r>
      <w:r w:rsidRPr="00A35C95">
        <w:tab/>
        <w:t>preparing a financial report or financial statements (including, but not limited to, a financial report or financial statements required under the Act);</w:t>
      </w:r>
    </w:p>
    <w:p w14:paraId="155696A8" w14:textId="77777777" w:rsidR="00E93F58" w:rsidRPr="00A35C95" w:rsidRDefault="00E93F58" w:rsidP="00366AB5">
      <w:pPr>
        <w:pStyle w:val="paragraphsub"/>
        <w:tabs>
          <w:tab w:val="left" w:pos="2835"/>
        </w:tabs>
      </w:pPr>
      <w:r w:rsidRPr="00A35C95">
        <w:tab/>
        <w:t>(ii)</w:t>
      </w:r>
      <w:r w:rsidRPr="00A35C95">
        <w:tab/>
        <w:t>auditing financial records;</w:t>
      </w:r>
    </w:p>
    <w:p w14:paraId="35DE6267" w14:textId="77777777" w:rsidR="00E93F58" w:rsidRPr="00A35C95" w:rsidRDefault="00E93F58" w:rsidP="00366AB5">
      <w:pPr>
        <w:pStyle w:val="paragraphsub"/>
        <w:tabs>
          <w:tab w:val="left" w:pos="2835"/>
        </w:tabs>
      </w:pPr>
      <w:r w:rsidRPr="00A35C95">
        <w:tab/>
        <w:t>(iii)</w:t>
      </w:r>
      <w:r w:rsidRPr="00A35C95">
        <w:tab/>
        <w:t xml:space="preserve">a tax agent service (within the meaning of the </w:t>
      </w:r>
      <w:r w:rsidRPr="00A35C95">
        <w:rPr>
          <w:i/>
        </w:rPr>
        <w:t>Tax Agent Services Act 2009</w:t>
      </w:r>
      <w:r w:rsidRPr="00A35C95">
        <w:t>);</w:t>
      </w:r>
    </w:p>
    <w:p w14:paraId="2F71EC2D" w14:textId="77777777" w:rsidR="00E93F58" w:rsidRPr="00A35C95" w:rsidRDefault="00E93F58" w:rsidP="00366AB5">
      <w:pPr>
        <w:pStyle w:val="paragraphsub"/>
        <w:tabs>
          <w:tab w:val="left" w:pos="2835"/>
        </w:tabs>
        <w:rPr>
          <w:i/>
        </w:rPr>
      </w:pPr>
      <w:r w:rsidRPr="00A35C95">
        <w:tab/>
        <w:t>(iv)</w:t>
      </w:r>
      <w:r w:rsidRPr="00A35C95">
        <w:tab/>
        <w:t>if the qualified accountant is a limited licensee (within the meaning of subregulation 7.6.04(3)) or supervises and has responsibility for the provision of financial services covered by the financial services licence of a limited licensee—a financial service covered by the financial services licence of the limited licensee; and</w:t>
      </w:r>
    </w:p>
    <w:p w14:paraId="407E3D42" w14:textId="77777777" w:rsidR="00E93F58" w:rsidRPr="00A35C95" w:rsidRDefault="00E93F58" w:rsidP="00366AB5">
      <w:pPr>
        <w:pStyle w:val="paragraph"/>
        <w:tabs>
          <w:tab w:val="left" w:pos="2835"/>
        </w:tabs>
      </w:pPr>
      <w:r w:rsidRPr="00A35C95">
        <w:tab/>
        <w:t>(c)</w:t>
      </w:r>
      <w:r w:rsidRPr="00A35C95">
        <w:tab/>
        <w:t>the qualified accountant represents the client in pursuing a claim under an insurance product.</w:t>
      </w:r>
    </w:p>
    <w:p w14:paraId="4600EEAF" w14:textId="77777777" w:rsidR="00E93F58" w:rsidRPr="00A35C95" w:rsidRDefault="00E93F58" w:rsidP="00366AB5">
      <w:pPr>
        <w:pStyle w:val="SubsectionHead"/>
        <w:tabs>
          <w:tab w:val="left" w:pos="2835"/>
        </w:tabs>
      </w:pPr>
      <w:r w:rsidRPr="00A35C95">
        <w:t>Veterinarians</w:t>
      </w:r>
    </w:p>
    <w:p w14:paraId="2CD18405" w14:textId="77777777" w:rsidR="00E93F58" w:rsidRPr="00A35C95" w:rsidRDefault="00E93F58" w:rsidP="00366AB5">
      <w:pPr>
        <w:pStyle w:val="subsection"/>
        <w:tabs>
          <w:tab w:val="left" w:pos="2835"/>
        </w:tabs>
      </w:pPr>
      <w:r w:rsidRPr="00A35C95">
        <w:tab/>
        <w:t>(6)</w:t>
      </w:r>
      <w:r w:rsidRPr="00A35C95">
        <w:tab/>
        <w:t>The circumstances are:</w:t>
      </w:r>
    </w:p>
    <w:p w14:paraId="7CC2827D" w14:textId="77777777" w:rsidR="00E93F58" w:rsidRPr="00A35C95" w:rsidRDefault="00E93F58" w:rsidP="00366AB5">
      <w:pPr>
        <w:pStyle w:val="paragraph"/>
        <w:tabs>
          <w:tab w:val="left" w:pos="2835"/>
        </w:tabs>
      </w:pPr>
      <w:r w:rsidRPr="00A35C95">
        <w:tab/>
        <w:t>(a)</w:t>
      </w:r>
      <w:r w:rsidRPr="00A35C95">
        <w:tab/>
        <w:t xml:space="preserve">the person (the </w:t>
      </w:r>
      <w:r w:rsidRPr="00A35C95">
        <w:rPr>
          <w:b/>
          <w:i/>
        </w:rPr>
        <w:t>veterinarian</w:t>
      </w:r>
      <w:r w:rsidRPr="00A35C95">
        <w:t>) is registered under the law of a State or Territory as a veterinarian, veterinary practitioner or veterinary surgeon; and</w:t>
      </w:r>
    </w:p>
    <w:p w14:paraId="4D14EAF9" w14:textId="77777777" w:rsidR="00E93F58" w:rsidRPr="00A35C95" w:rsidRDefault="00E93F58" w:rsidP="00366AB5">
      <w:pPr>
        <w:pStyle w:val="paragraph"/>
        <w:tabs>
          <w:tab w:val="left" w:pos="2835"/>
        </w:tabs>
      </w:pPr>
      <w:r w:rsidRPr="00A35C95">
        <w:tab/>
        <w:t>(b)</w:t>
      </w:r>
      <w:r w:rsidRPr="00A35C95">
        <w:tab/>
        <w:t>the veterinarian represents a person insured under an insurance product in pursuing a claim under the product; and</w:t>
      </w:r>
    </w:p>
    <w:p w14:paraId="36872C26" w14:textId="77777777" w:rsidR="00E93F58" w:rsidRPr="00A35C95" w:rsidRDefault="00E93F58" w:rsidP="00366AB5">
      <w:pPr>
        <w:pStyle w:val="paragraph"/>
        <w:tabs>
          <w:tab w:val="left" w:pos="2835"/>
        </w:tabs>
      </w:pPr>
      <w:r w:rsidRPr="00A35C95">
        <w:tab/>
        <w:t>(c)</w:t>
      </w:r>
      <w:r w:rsidRPr="00A35C95">
        <w:tab/>
        <w:t>the claim relates to the management or prevention of a disease, injury or condition of an animal covered by the insurance product.</w:t>
      </w:r>
    </w:p>
    <w:p w14:paraId="7AB57189" w14:textId="77777777" w:rsidR="00E93F58" w:rsidRPr="00A35C95" w:rsidRDefault="00E93F58" w:rsidP="00366AB5">
      <w:pPr>
        <w:pStyle w:val="SubsectionHead"/>
        <w:tabs>
          <w:tab w:val="left" w:pos="2835"/>
        </w:tabs>
      </w:pPr>
      <w:r w:rsidRPr="00A35C95">
        <w:t>Travel agents</w:t>
      </w:r>
    </w:p>
    <w:p w14:paraId="1DD19CC4" w14:textId="77777777" w:rsidR="00E93F58" w:rsidRPr="00A35C95" w:rsidRDefault="00E93F58" w:rsidP="00366AB5">
      <w:pPr>
        <w:pStyle w:val="subsection"/>
        <w:tabs>
          <w:tab w:val="left" w:pos="2835"/>
        </w:tabs>
      </w:pPr>
      <w:r w:rsidRPr="00A35C95">
        <w:tab/>
        <w:t>(7)</w:t>
      </w:r>
      <w:r w:rsidRPr="00A35C95">
        <w:tab/>
        <w:t>The circumstances are:</w:t>
      </w:r>
    </w:p>
    <w:p w14:paraId="0D77D8C2" w14:textId="77777777" w:rsidR="00E93F58" w:rsidRPr="00A35C95" w:rsidRDefault="00E93F58" w:rsidP="00366AB5">
      <w:pPr>
        <w:pStyle w:val="paragraph"/>
        <w:tabs>
          <w:tab w:val="left" w:pos="2835"/>
        </w:tabs>
      </w:pPr>
      <w:r w:rsidRPr="00A35C95">
        <w:tab/>
        <w:t>(a)</w:t>
      </w:r>
      <w:r w:rsidRPr="00A35C95">
        <w:tab/>
        <w:t>the person is a travel agent; and</w:t>
      </w:r>
    </w:p>
    <w:p w14:paraId="49C33DE1" w14:textId="77777777" w:rsidR="00E93F58" w:rsidRPr="00A35C95" w:rsidRDefault="00E93F58" w:rsidP="00366AB5">
      <w:pPr>
        <w:pStyle w:val="paragraph"/>
        <w:tabs>
          <w:tab w:val="left" w:pos="2835"/>
        </w:tabs>
      </w:pPr>
      <w:r w:rsidRPr="00A35C95">
        <w:tab/>
        <w:t>(b)</w:t>
      </w:r>
      <w:r w:rsidRPr="00A35C95">
        <w:tab/>
        <w:t>the travel agent represents a person insured under an insurance product in pursuing a claim under the product; and</w:t>
      </w:r>
    </w:p>
    <w:p w14:paraId="6229AB71" w14:textId="77777777" w:rsidR="00E93F58" w:rsidRPr="00A35C95" w:rsidRDefault="00E93F58" w:rsidP="00366AB5">
      <w:pPr>
        <w:pStyle w:val="paragraph"/>
        <w:tabs>
          <w:tab w:val="left" w:pos="2835"/>
        </w:tabs>
      </w:pPr>
      <w:r w:rsidRPr="00A35C95">
        <w:tab/>
        <w:t>(c)</w:t>
      </w:r>
      <w:r w:rsidRPr="00A35C95">
        <w:tab/>
        <w:t>the claim relates to any of the following matters covered by the insurance product:</w:t>
      </w:r>
    </w:p>
    <w:p w14:paraId="73A2EB8F" w14:textId="77777777" w:rsidR="00E93F58" w:rsidRPr="00A35C95" w:rsidRDefault="00E93F58" w:rsidP="00366AB5">
      <w:pPr>
        <w:pStyle w:val="paragraphsub"/>
        <w:tabs>
          <w:tab w:val="left" w:pos="2835"/>
        </w:tabs>
      </w:pPr>
      <w:r w:rsidRPr="00A35C95">
        <w:tab/>
        <w:t>(i)</w:t>
      </w:r>
      <w:r w:rsidRPr="00A35C95">
        <w:tab/>
        <w:t>financial loss for fares for any form of transport or accommodation to be used in the course of a specified journey if the insured person does not start or complete the journey;</w:t>
      </w:r>
    </w:p>
    <w:p w14:paraId="4C33C12A" w14:textId="77777777" w:rsidR="00E93F58" w:rsidRPr="00A35C95" w:rsidRDefault="00E93F58" w:rsidP="00366AB5">
      <w:pPr>
        <w:pStyle w:val="paragraphsub"/>
        <w:tabs>
          <w:tab w:val="left" w:pos="2835"/>
        </w:tabs>
      </w:pPr>
      <w:r w:rsidRPr="00A35C95">
        <w:tab/>
        <w:t>(ii)</w:t>
      </w:r>
      <w:r w:rsidRPr="00A35C95">
        <w:tab/>
        <w:t>loss or damage to personal belongings while the insured person is on a specified journey;</w:t>
      </w:r>
    </w:p>
    <w:p w14:paraId="7886379B" w14:textId="77777777" w:rsidR="00E93F58" w:rsidRPr="00A35C95" w:rsidRDefault="00E93F58" w:rsidP="00366AB5">
      <w:pPr>
        <w:pStyle w:val="paragraphsub"/>
        <w:tabs>
          <w:tab w:val="left" w:pos="2835"/>
        </w:tabs>
      </w:pPr>
      <w:r w:rsidRPr="00A35C95">
        <w:tab/>
        <w:t>(iii)</w:t>
      </w:r>
      <w:r w:rsidRPr="00A35C95">
        <w:tab/>
        <w:t>a sickness or disease contracted, or injury sustained, by the insured person on a specified journey;</w:t>
      </w:r>
    </w:p>
    <w:p w14:paraId="50101CDC" w14:textId="77777777" w:rsidR="00E93F58" w:rsidRPr="00A35C95" w:rsidRDefault="00E93F58" w:rsidP="00366AB5">
      <w:pPr>
        <w:pStyle w:val="paragraphsub"/>
        <w:tabs>
          <w:tab w:val="left" w:pos="2835"/>
        </w:tabs>
      </w:pPr>
      <w:r w:rsidRPr="00A35C95">
        <w:tab/>
        <w:t>(iv)</w:t>
      </w:r>
      <w:r w:rsidRPr="00A35C95">
        <w:tab/>
        <w:t>loss, damage or compensation for an event affecting the insured person on a specified journey that ordinarily forms a part of insurance commonly regarded as travel insurance, including loss of cash or credit cards, legal liability, hijack, kidnap or ransom.</w:t>
      </w:r>
    </w:p>
    <w:p w14:paraId="152FFEF6" w14:textId="77777777" w:rsidR="00E93F58" w:rsidRPr="00A35C95" w:rsidRDefault="00E93F58" w:rsidP="00366AB5">
      <w:pPr>
        <w:pStyle w:val="SubsectionHead"/>
        <w:tabs>
          <w:tab w:val="left" w:pos="2835"/>
        </w:tabs>
      </w:pPr>
      <w:r w:rsidRPr="00A35C95">
        <w:t>Financial advisers</w:t>
      </w:r>
    </w:p>
    <w:p w14:paraId="6D54F171" w14:textId="77777777" w:rsidR="00E93F58" w:rsidRPr="00A35C95" w:rsidRDefault="00E93F58" w:rsidP="00366AB5">
      <w:pPr>
        <w:pStyle w:val="subsection"/>
        <w:tabs>
          <w:tab w:val="left" w:pos="2835"/>
        </w:tabs>
      </w:pPr>
      <w:r w:rsidRPr="00A35C95">
        <w:tab/>
        <w:t>(8)</w:t>
      </w:r>
      <w:r w:rsidRPr="00A35C95">
        <w:tab/>
        <w:t>The circumstances are:</w:t>
      </w:r>
    </w:p>
    <w:p w14:paraId="6EBF603A" w14:textId="77777777" w:rsidR="00E93F58" w:rsidRPr="00A35C95" w:rsidRDefault="00E93F58" w:rsidP="00366AB5">
      <w:pPr>
        <w:pStyle w:val="paragraph"/>
        <w:tabs>
          <w:tab w:val="left" w:pos="2835"/>
        </w:tabs>
      </w:pPr>
      <w:r w:rsidRPr="00A35C95">
        <w:tab/>
        <w:t>(a)</w:t>
      </w:r>
      <w:r w:rsidRPr="00A35C95">
        <w:tab/>
        <w:t>the person is a financial services licensee whose Australian financial services licence covers the provision of financial product advice; or</w:t>
      </w:r>
    </w:p>
    <w:p w14:paraId="3EDB8BBA" w14:textId="77777777" w:rsidR="00E93F58" w:rsidRPr="00A35C95" w:rsidRDefault="00E93F58" w:rsidP="00366AB5">
      <w:pPr>
        <w:pStyle w:val="paragraph"/>
        <w:tabs>
          <w:tab w:val="left" w:pos="2835"/>
        </w:tabs>
      </w:pPr>
      <w:r w:rsidRPr="00A35C95">
        <w:tab/>
        <w:t>(b)</w:t>
      </w:r>
      <w:r w:rsidRPr="00A35C95">
        <w:tab/>
        <w:t>both of the following are satisfied:</w:t>
      </w:r>
    </w:p>
    <w:p w14:paraId="078C45C0" w14:textId="77777777" w:rsidR="00E93F58" w:rsidRPr="00A35C95" w:rsidRDefault="00E93F58" w:rsidP="00366AB5">
      <w:pPr>
        <w:pStyle w:val="paragraphsub"/>
        <w:tabs>
          <w:tab w:val="left" w:pos="2835"/>
        </w:tabs>
      </w:pPr>
      <w:r w:rsidRPr="00A35C95">
        <w:tab/>
        <w:t>(i)</w:t>
      </w:r>
      <w:r w:rsidRPr="00A35C95">
        <w:tab/>
        <w:t>the person is an authorised representative of a financial services licensee whose Australian financial services licence covers the provision of financial product advice;</w:t>
      </w:r>
    </w:p>
    <w:p w14:paraId="2B5C8ECC" w14:textId="77777777" w:rsidR="00E93F58" w:rsidRPr="00A35C95" w:rsidRDefault="00E93F58" w:rsidP="00366AB5">
      <w:pPr>
        <w:pStyle w:val="paragraphsub"/>
        <w:tabs>
          <w:tab w:val="left" w:pos="2835"/>
        </w:tabs>
      </w:pPr>
      <w:r w:rsidRPr="00A35C95">
        <w:tab/>
        <w:t>(ii)</w:t>
      </w:r>
      <w:r w:rsidRPr="00A35C95">
        <w:tab/>
        <w:t>the person is authorised by the licensee to provide financial product advice on behalf of the licensee.</w:t>
      </w:r>
    </w:p>
    <w:p w14:paraId="18DEFCDB" w14:textId="77777777" w:rsidR="00E93F58" w:rsidRPr="00A35C95" w:rsidRDefault="00E93F58" w:rsidP="00366AB5">
      <w:pPr>
        <w:pStyle w:val="SubsectionHead"/>
        <w:tabs>
          <w:tab w:val="left" w:pos="2835"/>
        </w:tabs>
      </w:pPr>
      <w:r w:rsidRPr="00A35C95">
        <w:t>Financial counsellors</w:t>
      </w:r>
    </w:p>
    <w:p w14:paraId="3D9721BE" w14:textId="77777777" w:rsidR="00E93F58" w:rsidRPr="00A35C95" w:rsidRDefault="00E93F58" w:rsidP="00366AB5">
      <w:pPr>
        <w:pStyle w:val="subsection"/>
        <w:tabs>
          <w:tab w:val="left" w:pos="2835"/>
        </w:tabs>
      </w:pPr>
      <w:r w:rsidRPr="00A35C95">
        <w:tab/>
        <w:t>(9)</w:t>
      </w:r>
      <w:r w:rsidRPr="00A35C95">
        <w:tab/>
        <w:t>The circumstances are that the person is a member of one of</w:t>
      </w:r>
      <w:r w:rsidRPr="00A35C95">
        <w:rPr>
          <w:i/>
        </w:rPr>
        <w:t xml:space="preserve"> </w:t>
      </w:r>
      <w:r w:rsidRPr="00A35C95">
        <w:t>the following bodies, acting in that capacity:</w:t>
      </w:r>
    </w:p>
    <w:p w14:paraId="69F65B19" w14:textId="77777777" w:rsidR="00E93F58" w:rsidRPr="00A35C95" w:rsidRDefault="00E93F58" w:rsidP="00366AB5">
      <w:pPr>
        <w:pStyle w:val="paragraph"/>
        <w:tabs>
          <w:tab w:val="left" w:pos="2835"/>
        </w:tabs>
      </w:pPr>
      <w:r w:rsidRPr="00A35C95">
        <w:tab/>
        <w:t>(a)</w:t>
      </w:r>
      <w:r w:rsidRPr="00A35C95">
        <w:tab/>
        <w:t>Financial Counselling Australia Ltd;</w:t>
      </w:r>
    </w:p>
    <w:p w14:paraId="2B11CF8F" w14:textId="77777777" w:rsidR="00E93F58" w:rsidRPr="00A35C95" w:rsidRDefault="00E93F58" w:rsidP="00366AB5">
      <w:pPr>
        <w:pStyle w:val="paragraph"/>
        <w:tabs>
          <w:tab w:val="left" w:pos="2835"/>
        </w:tabs>
      </w:pPr>
      <w:r w:rsidRPr="00A35C95">
        <w:tab/>
        <w:t>(b)</w:t>
      </w:r>
      <w:r w:rsidRPr="00A35C95">
        <w:tab/>
        <w:t>Financial Counsellors Association of New South Wales Inc;</w:t>
      </w:r>
    </w:p>
    <w:p w14:paraId="655475FE" w14:textId="77777777" w:rsidR="00E93F58" w:rsidRPr="00A35C95" w:rsidRDefault="00E93F58" w:rsidP="00366AB5">
      <w:pPr>
        <w:pStyle w:val="paragraph"/>
        <w:tabs>
          <w:tab w:val="left" w:pos="2835"/>
        </w:tabs>
      </w:pPr>
      <w:r w:rsidRPr="00A35C95">
        <w:tab/>
        <w:t>(c)</w:t>
      </w:r>
      <w:r w:rsidRPr="00A35C95">
        <w:tab/>
        <w:t>Financial and Consumer Rights Council Inc.;</w:t>
      </w:r>
    </w:p>
    <w:p w14:paraId="743F7154" w14:textId="77777777" w:rsidR="00E93F58" w:rsidRPr="00A35C95" w:rsidRDefault="00E93F58" w:rsidP="00366AB5">
      <w:pPr>
        <w:pStyle w:val="paragraph"/>
        <w:tabs>
          <w:tab w:val="left" w:pos="2835"/>
        </w:tabs>
      </w:pPr>
      <w:r w:rsidRPr="00A35C95">
        <w:tab/>
        <w:t>(d)</w:t>
      </w:r>
      <w:r w:rsidRPr="00A35C95">
        <w:tab/>
        <w:t>Financial Counsellors Association of Queensland Inc.;</w:t>
      </w:r>
    </w:p>
    <w:p w14:paraId="40EB9E79" w14:textId="77777777" w:rsidR="00E93F58" w:rsidRPr="00A35C95" w:rsidRDefault="00E93F58" w:rsidP="00366AB5">
      <w:pPr>
        <w:pStyle w:val="paragraph"/>
        <w:tabs>
          <w:tab w:val="left" w:pos="2835"/>
        </w:tabs>
      </w:pPr>
      <w:r w:rsidRPr="00A35C95">
        <w:tab/>
        <w:t>(e)</w:t>
      </w:r>
      <w:r w:rsidRPr="00A35C95">
        <w:tab/>
        <w:t>Financial Counsellors Association of Western Australia Inc;</w:t>
      </w:r>
    </w:p>
    <w:p w14:paraId="2A2B64A5" w14:textId="77777777" w:rsidR="00E93F58" w:rsidRPr="00A35C95" w:rsidRDefault="00E93F58" w:rsidP="00366AB5">
      <w:pPr>
        <w:pStyle w:val="paragraph"/>
        <w:tabs>
          <w:tab w:val="left" w:pos="2835"/>
        </w:tabs>
      </w:pPr>
      <w:r w:rsidRPr="00A35C95">
        <w:lastRenderedPageBreak/>
        <w:tab/>
        <w:t>(f)</w:t>
      </w:r>
      <w:r w:rsidRPr="00A35C95">
        <w:tab/>
        <w:t>The South Australian Financial Counsellors’ Association Incorporated;</w:t>
      </w:r>
    </w:p>
    <w:p w14:paraId="5DC0DBDE" w14:textId="77777777" w:rsidR="00E93F58" w:rsidRPr="00A35C95" w:rsidRDefault="00E93F58" w:rsidP="00366AB5">
      <w:pPr>
        <w:pStyle w:val="paragraph"/>
        <w:tabs>
          <w:tab w:val="left" w:pos="2835"/>
        </w:tabs>
      </w:pPr>
      <w:r w:rsidRPr="00A35C95">
        <w:tab/>
        <w:t>(g)</w:t>
      </w:r>
      <w:r w:rsidRPr="00A35C95">
        <w:tab/>
        <w:t>Financial Counselling Tasmania Inc.;</w:t>
      </w:r>
    </w:p>
    <w:p w14:paraId="4ABFA9E4" w14:textId="77777777" w:rsidR="00E93F58" w:rsidRPr="00A35C95" w:rsidRDefault="00E93F58" w:rsidP="00366AB5">
      <w:pPr>
        <w:pStyle w:val="paragraph"/>
        <w:tabs>
          <w:tab w:val="left" w:pos="2835"/>
        </w:tabs>
      </w:pPr>
      <w:r w:rsidRPr="00A35C95">
        <w:tab/>
        <w:t>(h)</w:t>
      </w:r>
      <w:r w:rsidRPr="00A35C95">
        <w:tab/>
        <w:t>Financial Counsellors ACT;</w:t>
      </w:r>
    </w:p>
    <w:p w14:paraId="35E56C4A" w14:textId="77777777" w:rsidR="00E93F58" w:rsidRPr="00A35C95" w:rsidRDefault="00E93F58" w:rsidP="00366AB5">
      <w:pPr>
        <w:pStyle w:val="paragraph"/>
        <w:tabs>
          <w:tab w:val="left" w:pos="2835"/>
        </w:tabs>
      </w:pPr>
      <w:r w:rsidRPr="00A35C95">
        <w:tab/>
        <w:t>(i)</w:t>
      </w:r>
      <w:r w:rsidRPr="00A35C95">
        <w:tab/>
        <w:t>Money Workers Association of the Northern Territory Incorporated.</w:t>
      </w:r>
    </w:p>
    <w:p w14:paraId="3D783244" w14:textId="77777777" w:rsidR="00E93F58" w:rsidRPr="00A35C95" w:rsidRDefault="00E93F58" w:rsidP="00366AB5">
      <w:pPr>
        <w:pStyle w:val="SubsectionHead"/>
        <w:tabs>
          <w:tab w:val="left" w:pos="2835"/>
        </w:tabs>
      </w:pPr>
      <w:r w:rsidRPr="00A35C95">
        <w:t>Property managers</w:t>
      </w:r>
    </w:p>
    <w:p w14:paraId="472D3D4F" w14:textId="77777777" w:rsidR="00E93F58" w:rsidRPr="00A35C95" w:rsidRDefault="00E93F58" w:rsidP="00366AB5">
      <w:pPr>
        <w:pStyle w:val="subsection"/>
        <w:tabs>
          <w:tab w:val="left" w:pos="2835"/>
        </w:tabs>
      </w:pPr>
      <w:r w:rsidRPr="00A35C95">
        <w:tab/>
        <w:t>(10)</w:t>
      </w:r>
      <w:r w:rsidRPr="00A35C95">
        <w:tab/>
        <w:t>The circumstances are:</w:t>
      </w:r>
    </w:p>
    <w:p w14:paraId="2D95DB0A" w14:textId="77777777" w:rsidR="00E93F58" w:rsidRPr="00A35C95" w:rsidRDefault="00E93F58" w:rsidP="00366AB5">
      <w:pPr>
        <w:pStyle w:val="paragraph"/>
        <w:tabs>
          <w:tab w:val="left" w:pos="2835"/>
        </w:tabs>
      </w:pPr>
      <w:r w:rsidRPr="00A35C95">
        <w:tab/>
        <w:t>(a)</w:t>
      </w:r>
      <w:r w:rsidRPr="00A35C95">
        <w:tab/>
        <w:t xml:space="preserve">the person (the </w:t>
      </w:r>
      <w:r w:rsidRPr="00A35C95">
        <w:rPr>
          <w:b/>
          <w:i/>
        </w:rPr>
        <w:t>property manager</w:t>
      </w:r>
      <w:r w:rsidRPr="00A35C95">
        <w:t>) carries on a business of managing property; and</w:t>
      </w:r>
    </w:p>
    <w:p w14:paraId="6900D237" w14:textId="77777777" w:rsidR="00E93F58" w:rsidRPr="00A35C95" w:rsidRDefault="00E93F58" w:rsidP="00366AB5">
      <w:pPr>
        <w:pStyle w:val="paragraph"/>
        <w:tabs>
          <w:tab w:val="left" w:pos="2835"/>
        </w:tabs>
      </w:pPr>
      <w:r w:rsidRPr="00A35C95">
        <w:tab/>
        <w:t>(b)</w:t>
      </w:r>
      <w:r w:rsidRPr="00A35C95">
        <w:tab/>
        <w:t>the property manager manages property on behalf of one or more other persons; and</w:t>
      </w:r>
    </w:p>
    <w:p w14:paraId="5F8D8209" w14:textId="77777777" w:rsidR="00E93F58" w:rsidRPr="00A35C95" w:rsidRDefault="00E93F58" w:rsidP="00366AB5">
      <w:pPr>
        <w:pStyle w:val="paragraph"/>
        <w:tabs>
          <w:tab w:val="left" w:pos="2835"/>
        </w:tabs>
      </w:pPr>
      <w:r w:rsidRPr="00A35C95">
        <w:tab/>
        <w:t>(c)</w:t>
      </w:r>
      <w:r w:rsidRPr="00A35C95">
        <w:tab/>
        <w:t>the property manager represents a person insured under an insurance product in pursuing a claim in relation to the property under the insurance product.</w:t>
      </w:r>
    </w:p>
    <w:p w14:paraId="52C28F5A" w14:textId="77777777" w:rsidR="00E93F58" w:rsidRPr="00A35C95" w:rsidRDefault="00E93F58" w:rsidP="00366AB5">
      <w:pPr>
        <w:pStyle w:val="SubsectionHead"/>
        <w:tabs>
          <w:tab w:val="left" w:pos="2835"/>
        </w:tabs>
      </w:pPr>
      <w:r w:rsidRPr="00A35C95">
        <w:t>Estate management</w:t>
      </w:r>
    </w:p>
    <w:p w14:paraId="0D0241BF" w14:textId="77777777" w:rsidR="00E93F58" w:rsidRPr="00A35C95" w:rsidRDefault="00E93F58" w:rsidP="00366AB5">
      <w:pPr>
        <w:pStyle w:val="subsection"/>
        <w:tabs>
          <w:tab w:val="left" w:pos="2835"/>
        </w:tabs>
      </w:pPr>
      <w:r w:rsidRPr="00A35C95">
        <w:tab/>
        <w:t>(11)</w:t>
      </w:r>
      <w:r w:rsidRPr="00A35C95">
        <w:tab/>
        <w:t>The circumstances are:</w:t>
      </w:r>
    </w:p>
    <w:p w14:paraId="2AA0EBE5" w14:textId="77777777" w:rsidR="00E93F58" w:rsidRPr="00A35C95" w:rsidRDefault="00E93F58" w:rsidP="00366AB5">
      <w:pPr>
        <w:pStyle w:val="paragraph"/>
        <w:tabs>
          <w:tab w:val="left" w:pos="2835"/>
        </w:tabs>
      </w:pPr>
      <w:r w:rsidRPr="00A35C95">
        <w:tab/>
        <w:t>(a)</w:t>
      </w:r>
      <w:r w:rsidRPr="00A35C95">
        <w:tab/>
        <w:t xml:space="preserve">the person (the </w:t>
      </w:r>
      <w:r w:rsidRPr="00A35C95">
        <w:rPr>
          <w:b/>
          <w:i/>
        </w:rPr>
        <w:t>estate manager</w:t>
      </w:r>
      <w:r w:rsidRPr="00A35C95">
        <w:t>) administers the estate of a person who is:</w:t>
      </w:r>
    </w:p>
    <w:p w14:paraId="7A8669CF" w14:textId="77777777" w:rsidR="00E93F58" w:rsidRPr="00A35C95" w:rsidRDefault="00E93F58" w:rsidP="00366AB5">
      <w:pPr>
        <w:pStyle w:val="paragraphsub"/>
        <w:tabs>
          <w:tab w:val="left" w:pos="2835"/>
        </w:tabs>
      </w:pPr>
      <w:r w:rsidRPr="00A35C95">
        <w:tab/>
        <w:t>(i)</w:t>
      </w:r>
      <w:r w:rsidRPr="00A35C95">
        <w:tab/>
        <w:t>deceased; or</w:t>
      </w:r>
    </w:p>
    <w:p w14:paraId="11961E31" w14:textId="77777777" w:rsidR="00E93F58" w:rsidRPr="00A35C95" w:rsidRDefault="00E93F58" w:rsidP="00366AB5">
      <w:pPr>
        <w:pStyle w:val="paragraphsub"/>
        <w:tabs>
          <w:tab w:val="left" w:pos="2835"/>
        </w:tabs>
        <w:rPr>
          <w:i/>
        </w:rPr>
      </w:pPr>
      <w:r w:rsidRPr="00A35C95">
        <w:tab/>
        <w:t>(ii)</w:t>
      </w:r>
      <w:r w:rsidRPr="00A35C95">
        <w:tab/>
        <w:t>incapable of managing the person’s own affairs because of physical or mental incapacity; and</w:t>
      </w:r>
    </w:p>
    <w:p w14:paraId="4710F82B" w14:textId="77777777" w:rsidR="00E93F58" w:rsidRPr="00A35C95" w:rsidRDefault="00E93F58" w:rsidP="00366AB5">
      <w:pPr>
        <w:pStyle w:val="paragraph"/>
        <w:tabs>
          <w:tab w:val="left" w:pos="2835"/>
        </w:tabs>
      </w:pPr>
      <w:r w:rsidRPr="00A35C95">
        <w:tab/>
        <w:t>(b)</w:t>
      </w:r>
      <w:r w:rsidRPr="00A35C95">
        <w:tab/>
        <w:t>the estate manager represents a person insured under an insurance product in pursuing a claim under the insurance product; and</w:t>
      </w:r>
    </w:p>
    <w:p w14:paraId="710D7690" w14:textId="77777777" w:rsidR="00E93F58" w:rsidRPr="00A35C95" w:rsidRDefault="00E93F58" w:rsidP="00366AB5">
      <w:pPr>
        <w:pStyle w:val="paragraph"/>
        <w:tabs>
          <w:tab w:val="left" w:pos="2835"/>
        </w:tabs>
      </w:pPr>
      <w:r w:rsidRPr="00A35C95">
        <w:tab/>
        <w:t>(c)</w:t>
      </w:r>
      <w:r w:rsidRPr="00A35C95">
        <w:tab/>
        <w:t>the claim relates to the estate or its administration.</w:t>
      </w:r>
    </w:p>
    <w:p w14:paraId="2C8A7690" w14:textId="77777777" w:rsidR="00E93F58" w:rsidRPr="00A35C95" w:rsidRDefault="00E93F58" w:rsidP="00366AB5">
      <w:pPr>
        <w:pStyle w:val="SubsectionHead"/>
        <w:tabs>
          <w:tab w:val="left" w:pos="2835"/>
        </w:tabs>
      </w:pPr>
      <w:r w:rsidRPr="00A35C95">
        <w:t>Public Trustees etc.</w:t>
      </w:r>
    </w:p>
    <w:p w14:paraId="56F33CB7" w14:textId="77777777" w:rsidR="00E93F58" w:rsidRPr="00A35C95" w:rsidRDefault="00E93F58" w:rsidP="00366AB5">
      <w:pPr>
        <w:pStyle w:val="subsection"/>
        <w:tabs>
          <w:tab w:val="left" w:pos="2835"/>
        </w:tabs>
      </w:pPr>
      <w:r w:rsidRPr="00A35C95">
        <w:tab/>
        <w:t>(12)</w:t>
      </w:r>
      <w:r w:rsidRPr="00A35C95">
        <w:tab/>
        <w:t>The circumstances are:</w:t>
      </w:r>
    </w:p>
    <w:p w14:paraId="4C6D207B" w14:textId="77777777" w:rsidR="00E93F58" w:rsidRPr="00A35C95" w:rsidRDefault="00E93F58" w:rsidP="00366AB5">
      <w:pPr>
        <w:pStyle w:val="paragraph"/>
        <w:tabs>
          <w:tab w:val="left" w:pos="2835"/>
        </w:tabs>
      </w:pPr>
      <w:r w:rsidRPr="00A35C95">
        <w:tab/>
        <w:t>(a)</w:t>
      </w:r>
      <w:r w:rsidRPr="00A35C95">
        <w:tab/>
        <w:t xml:space="preserve">the person (the </w:t>
      </w:r>
      <w:r w:rsidRPr="00A35C95">
        <w:rPr>
          <w:b/>
          <w:i/>
        </w:rPr>
        <w:t>estate manager</w:t>
      </w:r>
      <w:r w:rsidRPr="00A35C95">
        <w:t>) is the Public Trustee (however described) of a State or Territory; and</w:t>
      </w:r>
    </w:p>
    <w:p w14:paraId="1183ED05" w14:textId="77777777" w:rsidR="00E93F58" w:rsidRPr="00A35C95" w:rsidRDefault="00E93F58" w:rsidP="00366AB5">
      <w:pPr>
        <w:pStyle w:val="paragraph"/>
        <w:tabs>
          <w:tab w:val="left" w:pos="2835"/>
        </w:tabs>
      </w:pPr>
      <w:r w:rsidRPr="00A35C95">
        <w:tab/>
        <w:t>(b)</w:t>
      </w:r>
      <w:r w:rsidRPr="00A35C95">
        <w:tab/>
        <w:t>the estate manager administers the estate of a person; and</w:t>
      </w:r>
    </w:p>
    <w:p w14:paraId="0D28A698" w14:textId="77777777" w:rsidR="00E93F58" w:rsidRPr="00A35C95" w:rsidRDefault="00E93F58" w:rsidP="00366AB5">
      <w:pPr>
        <w:pStyle w:val="paragraph"/>
        <w:tabs>
          <w:tab w:val="left" w:pos="2835"/>
        </w:tabs>
      </w:pPr>
      <w:r w:rsidRPr="00A35C95">
        <w:tab/>
        <w:t>(c)</w:t>
      </w:r>
      <w:r w:rsidRPr="00A35C95">
        <w:tab/>
        <w:t>the estate manager represents a person insured under an insurance product in pursuing a claim under the insurance product; and</w:t>
      </w:r>
    </w:p>
    <w:p w14:paraId="6B8BDD86" w14:textId="77777777" w:rsidR="00E93F58" w:rsidRPr="00A35C95" w:rsidRDefault="00E93F58" w:rsidP="00366AB5">
      <w:pPr>
        <w:pStyle w:val="paragraph"/>
        <w:tabs>
          <w:tab w:val="left" w:pos="2835"/>
        </w:tabs>
      </w:pPr>
      <w:r w:rsidRPr="00A35C95">
        <w:tab/>
        <w:t>(d)</w:t>
      </w:r>
      <w:r w:rsidRPr="00A35C95">
        <w:tab/>
        <w:t>the claim relates to the estate or its administration.</w:t>
      </w:r>
    </w:p>
    <w:p w14:paraId="6FBE4261" w14:textId="77777777" w:rsidR="00E93F58" w:rsidRPr="00A35C95" w:rsidRDefault="00E93F58" w:rsidP="00366AB5">
      <w:pPr>
        <w:pStyle w:val="ActHead5"/>
        <w:tabs>
          <w:tab w:val="left" w:pos="2835"/>
        </w:tabs>
      </w:pPr>
      <w:bookmarkStart w:id="400" w:name="_Toc152057776"/>
      <w:bookmarkStart w:id="401" w:name="_Toc158711999"/>
      <w:r w:rsidRPr="00844D11">
        <w:rPr>
          <w:rStyle w:val="CharSectno"/>
        </w:rPr>
        <w:t>7.1.04CA</w:t>
      </w:r>
      <w:r w:rsidRPr="00A35C95">
        <w:t xml:space="preserve">  Kinds of financial products</w:t>
      </w:r>
      <w:bookmarkEnd w:id="400"/>
      <w:bookmarkEnd w:id="401"/>
    </w:p>
    <w:p w14:paraId="7105883C" w14:textId="77777777" w:rsidR="00E93F58" w:rsidRPr="00A35C95" w:rsidRDefault="00E93F58" w:rsidP="00366AB5">
      <w:pPr>
        <w:pStyle w:val="subsection"/>
        <w:tabs>
          <w:tab w:val="left" w:pos="2835"/>
        </w:tabs>
      </w:pPr>
      <w:r w:rsidRPr="00A35C95">
        <w:tab/>
        <w:t>(1)</w:t>
      </w:r>
      <w:r w:rsidRPr="00A35C95">
        <w:tab/>
        <w:t>For section 761CA of the Act, this regulation applies in relation to paragraph 917C(3)(ba) of the Act.</w:t>
      </w:r>
    </w:p>
    <w:p w14:paraId="7C484F84" w14:textId="77777777" w:rsidR="00E93F58" w:rsidRPr="00A35C95" w:rsidRDefault="00E93F58" w:rsidP="00366AB5">
      <w:pPr>
        <w:pStyle w:val="subsection"/>
        <w:tabs>
          <w:tab w:val="left" w:pos="2835"/>
        </w:tabs>
      </w:pPr>
      <w:r w:rsidRPr="00A35C95">
        <w:tab/>
        <w:t>(2)</w:t>
      </w:r>
      <w:r w:rsidRPr="00A35C95">
        <w:tab/>
        <w:t>The following are kinds of financial product:</w:t>
      </w:r>
    </w:p>
    <w:p w14:paraId="7D1F868B" w14:textId="77777777" w:rsidR="00E93F58" w:rsidRPr="00A35C95" w:rsidRDefault="00E93F58" w:rsidP="00366AB5">
      <w:pPr>
        <w:pStyle w:val="paragraph"/>
        <w:tabs>
          <w:tab w:val="left" w:pos="2835"/>
        </w:tabs>
      </w:pPr>
      <w:r w:rsidRPr="00A35C95">
        <w:tab/>
        <w:t>(a)</w:t>
      </w:r>
      <w:r w:rsidRPr="00A35C95">
        <w:tab/>
        <w:t>motor vehicle insurance;</w:t>
      </w:r>
    </w:p>
    <w:p w14:paraId="3D796B9F" w14:textId="77777777" w:rsidR="00E93F58" w:rsidRPr="00A35C95" w:rsidRDefault="00E93F58" w:rsidP="00366AB5">
      <w:pPr>
        <w:pStyle w:val="paragraph"/>
        <w:tabs>
          <w:tab w:val="left" w:pos="2835"/>
        </w:tabs>
      </w:pPr>
      <w:r w:rsidRPr="00A35C95">
        <w:tab/>
        <w:t>(b)</w:t>
      </w:r>
      <w:r w:rsidRPr="00A35C95">
        <w:tab/>
        <w:t>home building insurance;</w:t>
      </w:r>
    </w:p>
    <w:p w14:paraId="7622869A" w14:textId="77777777" w:rsidR="00E93F58" w:rsidRPr="00A35C95" w:rsidRDefault="00E93F58" w:rsidP="00366AB5">
      <w:pPr>
        <w:pStyle w:val="paragraph"/>
        <w:tabs>
          <w:tab w:val="left" w:pos="2835"/>
        </w:tabs>
      </w:pPr>
      <w:r w:rsidRPr="00A35C95">
        <w:tab/>
        <w:t>(c)</w:t>
      </w:r>
      <w:r w:rsidRPr="00A35C95">
        <w:tab/>
        <w:t>home contents insurance;</w:t>
      </w:r>
    </w:p>
    <w:p w14:paraId="2592CBF7" w14:textId="77777777" w:rsidR="00E93F58" w:rsidRPr="00A35C95" w:rsidRDefault="00E93F58" w:rsidP="00366AB5">
      <w:pPr>
        <w:pStyle w:val="paragraph"/>
        <w:tabs>
          <w:tab w:val="left" w:pos="2835"/>
        </w:tabs>
      </w:pPr>
      <w:r w:rsidRPr="00A35C95">
        <w:tab/>
        <w:t>(d)</w:t>
      </w:r>
      <w:r w:rsidRPr="00A35C95">
        <w:tab/>
        <w:t>sickness and accident insurance;</w:t>
      </w:r>
    </w:p>
    <w:p w14:paraId="0BA78CB0" w14:textId="77777777" w:rsidR="00E93F58" w:rsidRPr="00A35C95" w:rsidRDefault="00E93F58" w:rsidP="00366AB5">
      <w:pPr>
        <w:pStyle w:val="paragraph"/>
        <w:tabs>
          <w:tab w:val="left" w:pos="2835"/>
        </w:tabs>
      </w:pPr>
      <w:r w:rsidRPr="00A35C95">
        <w:tab/>
        <w:t>(e)</w:t>
      </w:r>
      <w:r w:rsidRPr="00A35C95">
        <w:tab/>
        <w:t>consumer credit insurance;</w:t>
      </w:r>
    </w:p>
    <w:p w14:paraId="35CCFA21" w14:textId="77777777" w:rsidR="00E93F58" w:rsidRPr="00A35C95" w:rsidRDefault="00E93F58" w:rsidP="00366AB5">
      <w:pPr>
        <w:pStyle w:val="paragraph"/>
        <w:tabs>
          <w:tab w:val="left" w:pos="2835"/>
        </w:tabs>
      </w:pPr>
      <w:r w:rsidRPr="00A35C95">
        <w:tab/>
        <w:t>(f)</w:t>
      </w:r>
      <w:r w:rsidRPr="00A35C95">
        <w:tab/>
        <w:t>travel insurance.</w:t>
      </w:r>
    </w:p>
    <w:p w14:paraId="13A494B0" w14:textId="77777777" w:rsidR="00E93F58" w:rsidRPr="00A35C95" w:rsidRDefault="00E93F58" w:rsidP="00366AB5">
      <w:pPr>
        <w:pStyle w:val="ActHead5"/>
        <w:tabs>
          <w:tab w:val="left" w:pos="2835"/>
        </w:tabs>
      </w:pPr>
      <w:bookmarkStart w:id="402" w:name="_Toc152057777"/>
      <w:bookmarkStart w:id="403" w:name="_Toc158712000"/>
      <w:r w:rsidRPr="00844D11">
        <w:rPr>
          <w:rStyle w:val="CharSectno"/>
        </w:rPr>
        <w:t>7.1.04CB</w:t>
      </w:r>
      <w:r w:rsidRPr="00A35C95">
        <w:t xml:space="preserve">  When providing certain claims handing and settling services is not the primary part of a business</w:t>
      </w:r>
      <w:bookmarkEnd w:id="402"/>
      <w:bookmarkEnd w:id="403"/>
    </w:p>
    <w:p w14:paraId="2BE8EF77" w14:textId="77777777" w:rsidR="00E93F58" w:rsidRPr="00A35C95" w:rsidRDefault="00E93F58" w:rsidP="00366AB5">
      <w:pPr>
        <w:pStyle w:val="subsection"/>
        <w:tabs>
          <w:tab w:val="left" w:pos="2835"/>
        </w:tabs>
      </w:pPr>
      <w:r w:rsidRPr="00A35C95">
        <w:tab/>
      </w:r>
      <w:r w:rsidRPr="00A35C95">
        <w:tab/>
        <w:t>For the purposes of paragraph 761DA(2)(b) of the Act, circumstances in which a person’s provision of claims handling and settling services on behalf of one or more insurers is taken not to be the primary part of a business carried on by the person are when those services are:</w:t>
      </w:r>
    </w:p>
    <w:p w14:paraId="223785AB" w14:textId="77777777" w:rsidR="00E93F58" w:rsidRPr="00A35C95" w:rsidRDefault="00E93F58" w:rsidP="00366AB5">
      <w:pPr>
        <w:pStyle w:val="paragraph"/>
        <w:tabs>
          <w:tab w:val="left" w:pos="2835"/>
        </w:tabs>
      </w:pPr>
      <w:r w:rsidRPr="00A35C95">
        <w:tab/>
        <w:t>(a)</w:t>
      </w:r>
      <w:r w:rsidRPr="00A35C95">
        <w:tab/>
        <w:t>investigating the validity of claims under insurance products, or providing assistance in relation to such investigations; or</w:t>
      </w:r>
    </w:p>
    <w:p w14:paraId="470FB801" w14:textId="77777777" w:rsidR="00E93F58" w:rsidRPr="00A35C95" w:rsidRDefault="00E93F58" w:rsidP="00366AB5">
      <w:pPr>
        <w:pStyle w:val="paragraph"/>
        <w:tabs>
          <w:tab w:val="left" w:pos="2835"/>
        </w:tabs>
      </w:pPr>
      <w:r w:rsidRPr="00A35C95">
        <w:tab/>
        <w:t>(b)</w:t>
      </w:r>
      <w:r w:rsidRPr="00A35C95">
        <w:tab/>
        <w:t>assessing the extent of insurers’ liabilities to other persons under insurance products under which claims are made, or providing assistance in relation to such assessments.</w:t>
      </w:r>
    </w:p>
    <w:p w14:paraId="4112D1C2" w14:textId="77777777" w:rsidR="00E93F58" w:rsidRPr="00A35C95" w:rsidRDefault="00E93F58" w:rsidP="00366AB5">
      <w:pPr>
        <w:pStyle w:val="ActHead5"/>
        <w:tabs>
          <w:tab w:val="left" w:pos="2835"/>
        </w:tabs>
      </w:pPr>
      <w:bookmarkStart w:id="404" w:name="_Toc152057778"/>
      <w:bookmarkStart w:id="405" w:name="_Toc158712001"/>
      <w:r w:rsidRPr="00844D11">
        <w:rPr>
          <w:rStyle w:val="CharSectno"/>
        </w:rPr>
        <w:lastRenderedPageBreak/>
        <w:t>7.1.04D</w:t>
      </w:r>
      <w:r w:rsidRPr="00A35C95">
        <w:t xml:space="preserve">  Meaning of </w:t>
      </w:r>
      <w:r w:rsidRPr="00A35C95">
        <w:rPr>
          <w:i/>
        </w:rPr>
        <w:t xml:space="preserve">issuer </w:t>
      </w:r>
      <w:r w:rsidRPr="00A35C95">
        <w:t>for certain derivatives</w:t>
      </w:r>
      <w:bookmarkEnd w:id="404"/>
      <w:bookmarkEnd w:id="405"/>
    </w:p>
    <w:p w14:paraId="0A05DFB0" w14:textId="77777777" w:rsidR="00E93F58" w:rsidRPr="00A35C95" w:rsidRDefault="00E93F58" w:rsidP="00366AB5">
      <w:pPr>
        <w:pStyle w:val="subsection"/>
        <w:keepNext/>
        <w:keepLines/>
        <w:tabs>
          <w:tab w:val="left" w:pos="2835"/>
        </w:tabs>
      </w:pPr>
      <w:r w:rsidRPr="00A35C95">
        <w:tab/>
        <w:t>(1)</w:t>
      </w:r>
      <w:r w:rsidRPr="00A35C95">
        <w:tab/>
        <w:t>This regulation applies in relation to a financial product that:</w:t>
      </w:r>
    </w:p>
    <w:p w14:paraId="1E631F1B" w14:textId="77777777" w:rsidR="00E93F58" w:rsidRPr="00A35C95" w:rsidRDefault="00E93F58" w:rsidP="00366AB5">
      <w:pPr>
        <w:pStyle w:val="paragraph"/>
        <w:keepNext/>
        <w:keepLines/>
        <w:tabs>
          <w:tab w:val="left" w:pos="2835"/>
        </w:tabs>
      </w:pPr>
      <w:r w:rsidRPr="00A35C95">
        <w:tab/>
        <w:t>(a)</w:t>
      </w:r>
      <w:r w:rsidRPr="00A35C95">
        <w:tab/>
        <w:t>is a derivative; and</w:t>
      </w:r>
    </w:p>
    <w:p w14:paraId="5BAD232D" w14:textId="77777777" w:rsidR="00E93F58" w:rsidRPr="00A35C95" w:rsidRDefault="00E93F58" w:rsidP="00366AB5">
      <w:pPr>
        <w:pStyle w:val="paragraph"/>
        <w:tabs>
          <w:tab w:val="left" w:pos="2835"/>
        </w:tabs>
      </w:pPr>
      <w:r w:rsidRPr="00A35C95">
        <w:tab/>
        <w:t>(b)</w:t>
      </w:r>
      <w:r w:rsidRPr="00A35C95">
        <w:tab/>
        <w:t>is entered into, or acquired through a facility conducted in accordance with:</w:t>
      </w:r>
    </w:p>
    <w:p w14:paraId="1C2B636B" w14:textId="77777777" w:rsidR="00E93F58" w:rsidRPr="00A35C95" w:rsidRDefault="00E93F58" w:rsidP="00366AB5">
      <w:pPr>
        <w:pStyle w:val="paragraphsub"/>
        <w:tabs>
          <w:tab w:val="left" w:pos="2835"/>
        </w:tabs>
      </w:pPr>
      <w:r w:rsidRPr="00A35C95">
        <w:tab/>
        <w:t>(i)</w:t>
      </w:r>
      <w:r w:rsidRPr="00A35C95">
        <w:tab/>
        <w:t xml:space="preserve">the </w:t>
      </w:r>
      <w:r w:rsidRPr="00A35C95">
        <w:rPr>
          <w:i/>
        </w:rPr>
        <w:t>Corporations (Exempt Futures Market—National Wholesale Electricity) Declaration 1999</w:t>
      </w:r>
      <w:r w:rsidRPr="00A35C95">
        <w:t>; or</w:t>
      </w:r>
    </w:p>
    <w:p w14:paraId="4791D331" w14:textId="77777777" w:rsidR="00E93F58" w:rsidRPr="00A35C95" w:rsidRDefault="00E93F58" w:rsidP="00366AB5">
      <w:pPr>
        <w:pStyle w:val="paragraphsub"/>
        <w:tabs>
          <w:tab w:val="left" w:pos="2835"/>
        </w:tabs>
      </w:pPr>
      <w:r w:rsidRPr="00A35C95">
        <w:tab/>
        <w:t>(ii)</w:t>
      </w:r>
      <w:r w:rsidRPr="00A35C95">
        <w:tab/>
        <w:t xml:space="preserve">the </w:t>
      </w:r>
      <w:r w:rsidRPr="00A35C95">
        <w:rPr>
          <w:i/>
        </w:rPr>
        <w:t>Corporations (Exempt Futures Market) Declaration 2001</w:t>
      </w:r>
      <w:r w:rsidRPr="00A35C95">
        <w:t>.</w:t>
      </w:r>
    </w:p>
    <w:p w14:paraId="405FD80A" w14:textId="77777777" w:rsidR="00E93F58" w:rsidRPr="00A35C95" w:rsidRDefault="00E93F58" w:rsidP="00366AB5">
      <w:pPr>
        <w:pStyle w:val="subsection"/>
        <w:tabs>
          <w:tab w:val="left" w:pos="2835"/>
        </w:tabs>
      </w:pPr>
      <w:r w:rsidRPr="00A35C95">
        <w:tab/>
        <w:t>(2)</w:t>
      </w:r>
      <w:r w:rsidRPr="00A35C95">
        <w:tab/>
        <w:t>For paragraph 761E(7)(a) of the Act, each person who is a party to the financial product is taken to be an issuer of the financial product.</w:t>
      </w:r>
    </w:p>
    <w:p w14:paraId="37EFDE49" w14:textId="77777777" w:rsidR="00E93F58" w:rsidRPr="00A35C95" w:rsidRDefault="00E93F58" w:rsidP="00366AB5">
      <w:pPr>
        <w:pStyle w:val="subsection"/>
        <w:tabs>
          <w:tab w:val="left" w:pos="2835"/>
        </w:tabs>
      </w:pPr>
      <w:r w:rsidRPr="00A35C95">
        <w:tab/>
        <w:t>(3)</w:t>
      </w:r>
      <w:r w:rsidRPr="00A35C95">
        <w:tab/>
        <w:t>For paragraph 761E(7)(a) of the Act, subsections 761E(5) and (6) of the Act do not apply to the financial product.</w:t>
      </w:r>
    </w:p>
    <w:p w14:paraId="082F6A85" w14:textId="77777777" w:rsidR="00E93F58" w:rsidRPr="00A35C95" w:rsidRDefault="00E93F58" w:rsidP="00366AB5">
      <w:pPr>
        <w:pStyle w:val="ActHead5"/>
        <w:tabs>
          <w:tab w:val="left" w:pos="2835"/>
        </w:tabs>
      </w:pPr>
      <w:bookmarkStart w:id="406" w:name="_Toc152057779"/>
      <w:bookmarkStart w:id="407" w:name="_Toc158712002"/>
      <w:r w:rsidRPr="00844D11">
        <w:rPr>
          <w:rStyle w:val="CharSectno"/>
        </w:rPr>
        <w:t>7.1.04E</w:t>
      </w:r>
      <w:r w:rsidRPr="00A35C95">
        <w:t xml:space="preserve">  Issue of a new interest in a superannuation fund</w:t>
      </w:r>
      <w:bookmarkEnd w:id="406"/>
      <w:bookmarkEnd w:id="407"/>
    </w:p>
    <w:p w14:paraId="1E16152F" w14:textId="77777777" w:rsidR="00E93F58" w:rsidRPr="00A35C95" w:rsidRDefault="00E93F58" w:rsidP="00366AB5">
      <w:pPr>
        <w:pStyle w:val="subsection"/>
        <w:tabs>
          <w:tab w:val="left" w:pos="2835"/>
        </w:tabs>
      </w:pPr>
      <w:r w:rsidRPr="00A35C95">
        <w:tab/>
        <w:t>(1)</w:t>
      </w:r>
      <w:r w:rsidRPr="00A35C95">
        <w:tab/>
        <w:t>This regulation applies if a member of a superannuation fund, who has a superannuation interest in the growth phase, elects to receive a pension in relation to that interest or part of that interest.</w:t>
      </w:r>
    </w:p>
    <w:p w14:paraId="50376DA3" w14:textId="77777777" w:rsidR="00E93F58" w:rsidRPr="00A35C95" w:rsidRDefault="00E93F58" w:rsidP="00366AB5">
      <w:pPr>
        <w:pStyle w:val="subsection"/>
        <w:tabs>
          <w:tab w:val="left" w:pos="2835"/>
        </w:tabs>
      </w:pPr>
      <w:r w:rsidRPr="00A35C95">
        <w:tab/>
        <w:t>(2)</w:t>
      </w:r>
      <w:r w:rsidRPr="00A35C95">
        <w:tab/>
        <w:t>For paragraph 761E(7)(a) of the Act, the superannuation fund is taken to issue a new financial product when:</w:t>
      </w:r>
    </w:p>
    <w:p w14:paraId="7975DD94" w14:textId="77777777" w:rsidR="00E93F58" w:rsidRPr="00A35C95" w:rsidRDefault="00E93F58" w:rsidP="00366AB5">
      <w:pPr>
        <w:pStyle w:val="paragraph"/>
        <w:tabs>
          <w:tab w:val="left" w:pos="2835"/>
        </w:tabs>
      </w:pPr>
      <w:r w:rsidRPr="00A35C95">
        <w:tab/>
        <w:t>(a)</w:t>
      </w:r>
      <w:r w:rsidRPr="00A35C95">
        <w:tab/>
        <w:t>it acknowledges receipt of the member’s election; or</w:t>
      </w:r>
    </w:p>
    <w:p w14:paraId="39C26F07" w14:textId="77777777" w:rsidR="00E93F58" w:rsidRPr="00A35C95" w:rsidRDefault="00E93F58" w:rsidP="00366AB5">
      <w:pPr>
        <w:pStyle w:val="paragraph"/>
        <w:tabs>
          <w:tab w:val="left" w:pos="2835"/>
        </w:tabs>
      </w:pPr>
      <w:r w:rsidRPr="00A35C95">
        <w:tab/>
        <w:t>(b)</w:t>
      </w:r>
      <w:r w:rsidRPr="00A35C95">
        <w:tab/>
        <w:t>it makes the first payment of the pension;</w:t>
      </w:r>
    </w:p>
    <w:p w14:paraId="732A278C" w14:textId="77777777" w:rsidR="00E93F58" w:rsidRPr="00A35C95" w:rsidRDefault="00E93F58" w:rsidP="00366AB5">
      <w:pPr>
        <w:pStyle w:val="subsection2"/>
        <w:tabs>
          <w:tab w:val="left" w:pos="2835"/>
        </w:tabs>
      </w:pPr>
      <w:r w:rsidRPr="00A35C95">
        <w:t>whichever occurs first.</w:t>
      </w:r>
    </w:p>
    <w:p w14:paraId="333C150E" w14:textId="77777777" w:rsidR="00E93F58" w:rsidRPr="00A35C95" w:rsidRDefault="00E93F58" w:rsidP="00366AB5">
      <w:pPr>
        <w:pStyle w:val="subsection"/>
        <w:tabs>
          <w:tab w:val="left" w:pos="2835"/>
        </w:tabs>
      </w:pPr>
      <w:r w:rsidRPr="00A35C95">
        <w:tab/>
        <w:t>(3)</w:t>
      </w:r>
      <w:r w:rsidRPr="00A35C95">
        <w:tab/>
        <w:t>For this regulation:</w:t>
      </w:r>
    </w:p>
    <w:p w14:paraId="230082D8" w14:textId="77777777" w:rsidR="00E93F58" w:rsidRPr="00A35C95" w:rsidRDefault="00E93F58" w:rsidP="00366AB5">
      <w:pPr>
        <w:pStyle w:val="Definition"/>
        <w:tabs>
          <w:tab w:val="left" w:pos="2835"/>
        </w:tabs>
      </w:pPr>
      <w:r w:rsidRPr="00A35C95">
        <w:rPr>
          <w:b/>
          <w:i/>
        </w:rPr>
        <w:t>growth phase</w:t>
      </w:r>
      <w:r w:rsidRPr="00A35C95">
        <w:t xml:space="preserve"> has the meaning given by regulation 1.03AB of the SIS Regulations.</w:t>
      </w:r>
    </w:p>
    <w:p w14:paraId="65A85A41" w14:textId="77777777" w:rsidR="00E93F58" w:rsidRPr="00A35C95" w:rsidRDefault="00E93F58" w:rsidP="00366AB5">
      <w:pPr>
        <w:pStyle w:val="Definition"/>
        <w:tabs>
          <w:tab w:val="left" w:pos="2835"/>
        </w:tabs>
      </w:pPr>
      <w:r w:rsidRPr="00A35C95">
        <w:rPr>
          <w:b/>
          <w:i/>
        </w:rPr>
        <w:t xml:space="preserve">pension </w:t>
      </w:r>
      <w:r w:rsidRPr="00A35C95">
        <w:t>has the meaning given by subregulation 1.06(1) of the SIS Regulations.</w:t>
      </w:r>
    </w:p>
    <w:p w14:paraId="069B5BE3" w14:textId="77777777" w:rsidR="00E93F58" w:rsidRPr="00A35C95" w:rsidRDefault="00E93F58" w:rsidP="00366AB5">
      <w:pPr>
        <w:pStyle w:val="ActHead5"/>
        <w:tabs>
          <w:tab w:val="left" w:pos="2835"/>
        </w:tabs>
      </w:pPr>
      <w:bookmarkStart w:id="408" w:name="_Toc152057780"/>
      <w:bookmarkStart w:id="409" w:name="_Toc158712003"/>
      <w:r w:rsidRPr="00844D11">
        <w:rPr>
          <w:rStyle w:val="CharSectno"/>
        </w:rPr>
        <w:t>7.1.04F</w:t>
      </w:r>
      <w:r w:rsidRPr="00A35C95">
        <w:t xml:space="preserve">  Meaning of </w:t>
      </w:r>
      <w:r w:rsidRPr="00A35C95">
        <w:rPr>
          <w:i/>
        </w:rPr>
        <w:t xml:space="preserve">class </w:t>
      </w:r>
      <w:r w:rsidRPr="00A35C95">
        <w:t>of financial services (subsections 917A(3), 917C(2) and 917C(3) of the Act)</w:t>
      </w:r>
      <w:bookmarkEnd w:id="408"/>
      <w:bookmarkEnd w:id="409"/>
    </w:p>
    <w:p w14:paraId="1120D900" w14:textId="77777777" w:rsidR="00E93F58" w:rsidRPr="00A35C95" w:rsidRDefault="00E93F58" w:rsidP="00366AB5">
      <w:pPr>
        <w:pStyle w:val="subsection"/>
        <w:keepNext/>
        <w:keepLines/>
        <w:tabs>
          <w:tab w:val="left" w:pos="2835"/>
        </w:tabs>
      </w:pPr>
      <w:r w:rsidRPr="00A35C95">
        <w:tab/>
        <w:t>(1)</w:t>
      </w:r>
      <w:r w:rsidRPr="00A35C95">
        <w:tab/>
        <w:t>For section 761CA of the Act, this regulation applies for subsections 917A(3), 917C(2) and 917C(3) of the Act.</w:t>
      </w:r>
    </w:p>
    <w:p w14:paraId="34319E0E" w14:textId="77777777" w:rsidR="00E93F58" w:rsidRPr="00A35C95" w:rsidRDefault="00E93F58" w:rsidP="00366AB5">
      <w:pPr>
        <w:pStyle w:val="subsection"/>
        <w:tabs>
          <w:tab w:val="left" w:pos="2835"/>
        </w:tabs>
      </w:pPr>
      <w:r w:rsidRPr="00A35C95">
        <w:tab/>
        <w:t>(2)</w:t>
      </w:r>
      <w:r w:rsidRPr="00A35C95">
        <w:tab/>
        <w:t>Each of the following is a class of financial services:</w:t>
      </w:r>
    </w:p>
    <w:p w14:paraId="6E895CBE" w14:textId="77777777" w:rsidR="00E93F58" w:rsidRPr="00A35C95" w:rsidRDefault="00E93F58" w:rsidP="00366AB5">
      <w:pPr>
        <w:pStyle w:val="paragraph"/>
        <w:tabs>
          <w:tab w:val="left" w:pos="2835"/>
        </w:tabs>
      </w:pPr>
      <w:r w:rsidRPr="00A35C95">
        <w:tab/>
        <w:t>(a)</w:t>
      </w:r>
      <w:r w:rsidRPr="00A35C95">
        <w:tab/>
        <w:t>the provision of financial product advice relating to a general insurance product;</w:t>
      </w:r>
    </w:p>
    <w:p w14:paraId="26B7E72D" w14:textId="77777777" w:rsidR="00E93F58" w:rsidRPr="00A35C95" w:rsidRDefault="00E93F58" w:rsidP="00366AB5">
      <w:pPr>
        <w:pStyle w:val="paragraph"/>
        <w:tabs>
          <w:tab w:val="left" w:pos="2835"/>
        </w:tabs>
      </w:pPr>
      <w:r w:rsidRPr="00A35C95">
        <w:tab/>
        <w:t>(b)</w:t>
      </w:r>
      <w:r w:rsidRPr="00A35C95">
        <w:tab/>
        <w:t>the provision of financial product advice relating to an investment life insurance product;</w:t>
      </w:r>
    </w:p>
    <w:p w14:paraId="782C7074" w14:textId="77777777" w:rsidR="00E93F58" w:rsidRPr="00A35C95" w:rsidRDefault="00E93F58" w:rsidP="00366AB5">
      <w:pPr>
        <w:pStyle w:val="paragraph"/>
        <w:tabs>
          <w:tab w:val="left" w:pos="2835"/>
        </w:tabs>
      </w:pPr>
      <w:r w:rsidRPr="00A35C95">
        <w:tab/>
        <w:t>(c)</w:t>
      </w:r>
      <w:r w:rsidRPr="00A35C95">
        <w:tab/>
        <w:t>the provision of financial product advice relating to a life risk insurance product;</w:t>
      </w:r>
    </w:p>
    <w:p w14:paraId="5BE2FA70" w14:textId="77777777" w:rsidR="00E93F58" w:rsidRPr="00A35C95" w:rsidRDefault="00E93F58" w:rsidP="00366AB5">
      <w:pPr>
        <w:pStyle w:val="paragraph"/>
        <w:tabs>
          <w:tab w:val="left" w:pos="2835"/>
        </w:tabs>
      </w:pPr>
      <w:r w:rsidRPr="00A35C95">
        <w:tab/>
        <w:t>(d)</w:t>
      </w:r>
      <w:r w:rsidRPr="00A35C95">
        <w:tab/>
        <w:t>dealing in a financial product that is a general insurance product;</w:t>
      </w:r>
    </w:p>
    <w:p w14:paraId="2DAE94E6" w14:textId="77777777" w:rsidR="00E93F58" w:rsidRPr="00A35C95" w:rsidRDefault="00E93F58" w:rsidP="00366AB5">
      <w:pPr>
        <w:pStyle w:val="paragraph"/>
        <w:tabs>
          <w:tab w:val="left" w:pos="2835"/>
        </w:tabs>
      </w:pPr>
      <w:r w:rsidRPr="00A35C95">
        <w:tab/>
        <w:t>(e)</w:t>
      </w:r>
      <w:r w:rsidRPr="00A35C95">
        <w:tab/>
        <w:t>dealing in a financial product that is an investment life insurance product;</w:t>
      </w:r>
    </w:p>
    <w:p w14:paraId="1D92F8D9" w14:textId="77777777" w:rsidR="00E93F58" w:rsidRPr="00A35C95" w:rsidRDefault="00E93F58" w:rsidP="00366AB5">
      <w:pPr>
        <w:pStyle w:val="paragraph"/>
        <w:tabs>
          <w:tab w:val="left" w:pos="2835"/>
        </w:tabs>
      </w:pPr>
      <w:r w:rsidRPr="00A35C95">
        <w:tab/>
        <w:t>(f)</w:t>
      </w:r>
      <w:r w:rsidRPr="00A35C95">
        <w:tab/>
        <w:t>dealing in a financial product that is a life risk insurance product</w:t>
      </w:r>
      <w:bookmarkStart w:id="410" w:name="_Hlk65737801"/>
      <w:r w:rsidRPr="00A35C95">
        <w:t>;</w:t>
      </w:r>
    </w:p>
    <w:p w14:paraId="2A6166A3" w14:textId="77777777" w:rsidR="00E93F58" w:rsidRPr="00A35C95" w:rsidRDefault="00E93F58" w:rsidP="00366AB5">
      <w:pPr>
        <w:pStyle w:val="paragraph"/>
        <w:tabs>
          <w:tab w:val="left" w:pos="2835"/>
        </w:tabs>
      </w:pPr>
      <w:r w:rsidRPr="00A35C95">
        <w:tab/>
        <w:t>(g)</w:t>
      </w:r>
      <w:r w:rsidRPr="00A35C95">
        <w:tab/>
        <w:t>the provision of a claims handling and settling service in relation to a general insurance product;</w:t>
      </w:r>
    </w:p>
    <w:p w14:paraId="75AB51D4" w14:textId="77777777" w:rsidR="00E93F58" w:rsidRPr="00A35C95" w:rsidRDefault="00E93F58" w:rsidP="00366AB5">
      <w:pPr>
        <w:pStyle w:val="paragraph"/>
        <w:tabs>
          <w:tab w:val="left" w:pos="2835"/>
        </w:tabs>
      </w:pPr>
      <w:r w:rsidRPr="00A35C95">
        <w:tab/>
        <w:t>(h)</w:t>
      </w:r>
      <w:r w:rsidRPr="00A35C95">
        <w:tab/>
        <w:t>the provision of a claims handling and settling service in relation to an investment life insurance product;</w:t>
      </w:r>
    </w:p>
    <w:p w14:paraId="486F3152" w14:textId="77777777" w:rsidR="00E93F58" w:rsidRPr="00A35C95" w:rsidRDefault="00E93F58" w:rsidP="00366AB5">
      <w:pPr>
        <w:pStyle w:val="paragraph"/>
        <w:tabs>
          <w:tab w:val="left" w:pos="2835"/>
        </w:tabs>
      </w:pPr>
      <w:r w:rsidRPr="00A35C95">
        <w:tab/>
        <w:t>(i)</w:t>
      </w:r>
      <w:r w:rsidRPr="00A35C95">
        <w:tab/>
        <w:t>the provision of a claims handling and settling service in relation to a life risk insurance product.</w:t>
      </w:r>
    </w:p>
    <w:p w14:paraId="6CC3E1A4" w14:textId="77777777" w:rsidR="00E93F58" w:rsidRPr="00A35C95" w:rsidRDefault="00E93F58" w:rsidP="00366AB5">
      <w:pPr>
        <w:pStyle w:val="ActHead5"/>
        <w:tabs>
          <w:tab w:val="left" w:pos="2835"/>
        </w:tabs>
      </w:pPr>
      <w:bookmarkStart w:id="411" w:name="_Toc152057781"/>
      <w:bookmarkStart w:id="412" w:name="_Toc158712004"/>
      <w:bookmarkEnd w:id="410"/>
      <w:r w:rsidRPr="00844D11">
        <w:rPr>
          <w:rStyle w:val="CharSectno"/>
        </w:rPr>
        <w:t>7.1.04G</w:t>
      </w:r>
      <w:r w:rsidRPr="00A35C95">
        <w:t xml:space="preserve">  Meaning of </w:t>
      </w:r>
      <w:r w:rsidRPr="00A35C95">
        <w:rPr>
          <w:i/>
        </w:rPr>
        <w:t xml:space="preserve">issuer </w:t>
      </w:r>
      <w:r w:rsidRPr="00A35C95">
        <w:t>for a foreign exchange contract</w:t>
      </w:r>
      <w:bookmarkEnd w:id="411"/>
      <w:bookmarkEnd w:id="412"/>
    </w:p>
    <w:p w14:paraId="31B43C07" w14:textId="77777777" w:rsidR="00E93F58" w:rsidRPr="00A35C95" w:rsidRDefault="00E93F58" w:rsidP="00366AB5">
      <w:pPr>
        <w:pStyle w:val="subsection"/>
        <w:tabs>
          <w:tab w:val="left" w:pos="2835"/>
        </w:tabs>
      </w:pPr>
      <w:r w:rsidRPr="00A35C95">
        <w:tab/>
        <w:t>(1)</w:t>
      </w:r>
      <w:r w:rsidRPr="00A35C95">
        <w:tab/>
        <w:t>This regulation applies to a financial product that is a foreign exchange contract that is not entered into, or traded, on a financial market.</w:t>
      </w:r>
    </w:p>
    <w:p w14:paraId="6A6F9E4D" w14:textId="77777777" w:rsidR="00E93F58" w:rsidRPr="00A35C95" w:rsidRDefault="00E93F58" w:rsidP="00366AB5">
      <w:pPr>
        <w:pStyle w:val="subsection"/>
        <w:tabs>
          <w:tab w:val="left" w:pos="2835"/>
        </w:tabs>
      </w:pPr>
      <w:r w:rsidRPr="00A35C95">
        <w:tab/>
        <w:t>(2)</w:t>
      </w:r>
      <w:r w:rsidRPr="00A35C95">
        <w:tab/>
        <w:t>For paragraph 761E(7)(a) of the Act, each party to the foreign exchange contract is an issuer of the product.</w:t>
      </w:r>
    </w:p>
    <w:p w14:paraId="5718CDEF" w14:textId="77777777" w:rsidR="00E93F58" w:rsidRPr="00A35C95" w:rsidRDefault="00E93F58" w:rsidP="00366AB5">
      <w:pPr>
        <w:pStyle w:val="ActHead5"/>
        <w:tabs>
          <w:tab w:val="left" w:pos="2835"/>
        </w:tabs>
      </w:pPr>
      <w:bookmarkStart w:id="413" w:name="_Toc152057782"/>
      <w:bookmarkStart w:id="414" w:name="_Toc158712005"/>
      <w:r w:rsidRPr="00844D11">
        <w:rPr>
          <w:rStyle w:val="CharSectno"/>
        </w:rPr>
        <w:t>7.1.04N</w:t>
      </w:r>
      <w:r w:rsidRPr="00A35C95">
        <w:t xml:space="preserve">  Specific things that are financial products—litigation funding schemes and arrangements</w:t>
      </w:r>
      <w:bookmarkEnd w:id="413"/>
      <w:bookmarkEnd w:id="414"/>
    </w:p>
    <w:p w14:paraId="6DA11B1E" w14:textId="77777777" w:rsidR="00E93F58" w:rsidRPr="00A35C95" w:rsidRDefault="00E93F58" w:rsidP="00366AB5">
      <w:pPr>
        <w:pStyle w:val="subsection"/>
        <w:tabs>
          <w:tab w:val="left" w:pos="2835"/>
        </w:tabs>
      </w:pPr>
      <w:r w:rsidRPr="00A35C95">
        <w:tab/>
        <w:t>(1)</w:t>
      </w:r>
      <w:r w:rsidRPr="00A35C95">
        <w:tab/>
        <w:t>This regulation is made for the purposes of paragraph 764A(1)(m) of the Act.</w:t>
      </w:r>
    </w:p>
    <w:p w14:paraId="589A512C" w14:textId="77777777" w:rsidR="00E93F58" w:rsidRPr="00A35C95" w:rsidRDefault="00E93F58" w:rsidP="00366AB5">
      <w:pPr>
        <w:pStyle w:val="subsection"/>
        <w:tabs>
          <w:tab w:val="left" w:pos="2835"/>
        </w:tabs>
      </w:pPr>
      <w:r w:rsidRPr="00A35C95">
        <w:tab/>
        <w:t>(2)</w:t>
      </w:r>
      <w:r w:rsidRPr="00A35C95">
        <w:tab/>
        <w:t>The following are declared to be financial products:</w:t>
      </w:r>
    </w:p>
    <w:p w14:paraId="3328E7D1" w14:textId="77777777" w:rsidR="00E93F58" w:rsidRPr="00A35C95" w:rsidRDefault="00E93F58" w:rsidP="00366AB5">
      <w:pPr>
        <w:pStyle w:val="paragraph"/>
        <w:tabs>
          <w:tab w:val="left" w:pos="2835"/>
        </w:tabs>
      </w:pPr>
      <w:r w:rsidRPr="00A35C95">
        <w:tab/>
        <w:t>(a)</w:t>
      </w:r>
      <w:r w:rsidRPr="00A35C95">
        <w:tab/>
        <w:t>an interest in a litigation funding scheme mentioned in regulation 5C.11.01;</w:t>
      </w:r>
    </w:p>
    <w:p w14:paraId="435206CE" w14:textId="77777777" w:rsidR="00E93F58" w:rsidRPr="00A35C95" w:rsidRDefault="00E93F58" w:rsidP="00366AB5">
      <w:pPr>
        <w:pStyle w:val="paragraph"/>
        <w:tabs>
          <w:tab w:val="left" w:pos="2835"/>
        </w:tabs>
      </w:pPr>
      <w:r w:rsidRPr="00A35C95">
        <w:tab/>
        <w:t>(b)</w:t>
      </w:r>
      <w:r w:rsidRPr="00A35C95">
        <w:tab/>
        <w:t>an interest in a litigation funding arrangement mentioned in that regulation.</w:t>
      </w:r>
    </w:p>
    <w:p w14:paraId="3CDBEA6C" w14:textId="77777777" w:rsidR="00E93F58" w:rsidRPr="00A35C95" w:rsidRDefault="00E93F58" w:rsidP="00366AB5">
      <w:pPr>
        <w:pStyle w:val="ActHead5"/>
        <w:tabs>
          <w:tab w:val="left" w:pos="2835"/>
        </w:tabs>
      </w:pPr>
      <w:bookmarkStart w:id="415" w:name="_Toc152057783"/>
      <w:bookmarkStart w:id="416" w:name="_Toc158712006"/>
      <w:r w:rsidRPr="00844D11">
        <w:rPr>
          <w:rStyle w:val="CharSectno"/>
        </w:rPr>
        <w:lastRenderedPageBreak/>
        <w:t>7.1.05</w:t>
      </w:r>
      <w:r w:rsidRPr="00A35C95">
        <w:rPr>
          <w:sz w:val="16"/>
        </w:rPr>
        <w:t xml:space="preserve">  </w:t>
      </w:r>
      <w:r w:rsidRPr="00A35C95">
        <w:t>Specific things that are not financial products: superannuation interests</w:t>
      </w:r>
      <w:bookmarkEnd w:id="415"/>
      <w:bookmarkEnd w:id="416"/>
    </w:p>
    <w:p w14:paraId="5BBD060D" w14:textId="77777777" w:rsidR="00E93F58" w:rsidRPr="00A35C95" w:rsidRDefault="00E93F58" w:rsidP="00366AB5">
      <w:pPr>
        <w:pStyle w:val="subsection"/>
        <w:keepNext/>
        <w:keepLines/>
        <w:tabs>
          <w:tab w:val="left" w:pos="2835"/>
        </w:tabs>
      </w:pPr>
      <w:r w:rsidRPr="00A35C95">
        <w:rPr>
          <w:color w:val="000000"/>
        </w:rPr>
        <w:tab/>
      </w:r>
      <w:r w:rsidRPr="00A35C95">
        <w:rPr>
          <w:color w:val="000000"/>
        </w:rPr>
        <w:tab/>
        <w:t>For paragraph 765A(1)(q) of the Act, an exempt public sector superannuation scheme is prescribed.</w:t>
      </w:r>
    </w:p>
    <w:p w14:paraId="7D9E123C" w14:textId="77777777" w:rsidR="00E93F58" w:rsidRPr="00A35C95" w:rsidRDefault="00E93F58" w:rsidP="00366AB5">
      <w:pPr>
        <w:pStyle w:val="ActHead5"/>
        <w:tabs>
          <w:tab w:val="left" w:pos="2835"/>
        </w:tabs>
      </w:pPr>
      <w:bookmarkStart w:id="417" w:name="_Toc152057784"/>
      <w:bookmarkStart w:id="418" w:name="_Toc158712007"/>
      <w:r w:rsidRPr="00844D11">
        <w:rPr>
          <w:rStyle w:val="CharSectno"/>
        </w:rPr>
        <w:t>7.1.06</w:t>
      </w:r>
      <w:r w:rsidRPr="00A35C95">
        <w:rPr>
          <w:sz w:val="16"/>
        </w:rPr>
        <w:t xml:space="preserve">  </w:t>
      </w:r>
      <w:r w:rsidRPr="00A35C95">
        <w:t>Specific things that are not financial products: credit facility</w:t>
      </w:r>
      <w:bookmarkEnd w:id="417"/>
      <w:bookmarkEnd w:id="418"/>
    </w:p>
    <w:p w14:paraId="342E8F1E" w14:textId="77777777" w:rsidR="00E93F58" w:rsidRPr="00A35C95" w:rsidRDefault="00E93F58" w:rsidP="00366AB5">
      <w:pPr>
        <w:pStyle w:val="subsection"/>
        <w:tabs>
          <w:tab w:val="left" w:pos="2835"/>
        </w:tabs>
      </w:pPr>
      <w:r w:rsidRPr="00A35C95">
        <w:tab/>
        <w:t>(1)</w:t>
      </w:r>
      <w:r w:rsidRPr="00A35C95">
        <w:tab/>
        <w:t xml:space="preserve">For subparagraph 765A(1)(h)(i) of the Act, each of the following is a </w:t>
      </w:r>
      <w:r w:rsidRPr="00A35C95">
        <w:rPr>
          <w:b/>
          <w:i/>
        </w:rPr>
        <w:t>credit facility</w:t>
      </w:r>
      <w:r w:rsidRPr="00A35C95">
        <w:t>:</w:t>
      </w:r>
    </w:p>
    <w:p w14:paraId="79354D88" w14:textId="77777777" w:rsidR="00E93F58" w:rsidRPr="00A35C95" w:rsidRDefault="00E93F58" w:rsidP="00366AB5">
      <w:pPr>
        <w:pStyle w:val="paragraph"/>
        <w:tabs>
          <w:tab w:val="left" w:pos="2835"/>
        </w:tabs>
      </w:pPr>
      <w:r w:rsidRPr="00A35C95">
        <w:tab/>
        <w:t>(a)</w:t>
      </w:r>
      <w:r w:rsidRPr="00A35C95">
        <w:tab/>
        <w:t>the provision of credit:</w:t>
      </w:r>
    </w:p>
    <w:p w14:paraId="0CEC603B" w14:textId="77777777" w:rsidR="00E93F58" w:rsidRPr="00A35C95" w:rsidRDefault="00E93F58" w:rsidP="00366AB5">
      <w:pPr>
        <w:pStyle w:val="paragraphsub"/>
        <w:tabs>
          <w:tab w:val="left" w:pos="2835"/>
        </w:tabs>
      </w:pPr>
      <w:r w:rsidRPr="00A35C95">
        <w:rPr>
          <w:color w:val="000000"/>
        </w:rPr>
        <w:tab/>
        <w:t>(i)</w:t>
      </w:r>
      <w:r w:rsidRPr="00A35C95">
        <w:rPr>
          <w:color w:val="000000"/>
        </w:rPr>
        <w:tab/>
        <w:t>for any period; and</w:t>
      </w:r>
    </w:p>
    <w:p w14:paraId="63347ACB" w14:textId="77777777" w:rsidR="00E93F58" w:rsidRPr="00A35C95" w:rsidRDefault="00E93F58" w:rsidP="00366AB5">
      <w:pPr>
        <w:pStyle w:val="paragraphsub"/>
        <w:tabs>
          <w:tab w:val="left" w:pos="2835"/>
        </w:tabs>
      </w:pPr>
      <w:r w:rsidRPr="00A35C95">
        <w:tab/>
        <w:t>(ii)</w:t>
      </w:r>
      <w:r w:rsidRPr="00A35C95">
        <w:tab/>
        <w:t>with or without prior agreement between the credit provider and the debtor; and</w:t>
      </w:r>
    </w:p>
    <w:p w14:paraId="6F57A2E6" w14:textId="77777777" w:rsidR="00E93F58" w:rsidRPr="00A35C95" w:rsidRDefault="00E93F58" w:rsidP="00366AB5">
      <w:pPr>
        <w:pStyle w:val="paragraphsub"/>
        <w:tabs>
          <w:tab w:val="left" w:pos="2835"/>
        </w:tabs>
      </w:pPr>
      <w:r w:rsidRPr="00A35C95">
        <w:tab/>
        <w:t>(iii)</w:t>
      </w:r>
      <w:r w:rsidRPr="00A35C95">
        <w:tab/>
        <w:t>whether or not both credit and debit facilities are available; and</w:t>
      </w:r>
    </w:p>
    <w:p w14:paraId="101133A4" w14:textId="77777777" w:rsidR="00E93F58" w:rsidRPr="00A35C95" w:rsidRDefault="00E93F58" w:rsidP="00366AB5">
      <w:pPr>
        <w:pStyle w:val="paragraphsub"/>
        <w:tabs>
          <w:tab w:val="left" w:pos="2835"/>
        </w:tabs>
      </w:pPr>
      <w:r w:rsidRPr="00A35C95">
        <w:tab/>
        <w:t>(iv)</w:t>
      </w:r>
      <w:r w:rsidRPr="00A35C95">
        <w:tab/>
        <w:t>that is not a financial product mentioned in paragraph 763A(1)(a) of the Act; and</w:t>
      </w:r>
    </w:p>
    <w:p w14:paraId="7EF6C535" w14:textId="77777777" w:rsidR="00E93F58" w:rsidRPr="003B0738" w:rsidRDefault="00E93F58" w:rsidP="00A95145">
      <w:pPr>
        <w:pStyle w:val="paragraphsub"/>
      </w:pPr>
      <w:r w:rsidRPr="003B0738">
        <w:tab/>
        <w:t>(v)</w:t>
      </w:r>
      <w:r w:rsidRPr="003B0738">
        <w:tab/>
        <w:t>that is not a</w:t>
      </w:r>
      <w:r>
        <w:t xml:space="preserve"> security, a</w:t>
      </w:r>
      <w:r w:rsidRPr="003B0738">
        <w:t xml:space="preserve"> managed investment product, a </w:t>
      </w:r>
      <w:bookmarkStart w:id="419" w:name="_Hlk121390822"/>
      <w:r w:rsidRPr="003B0738">
        <w:t>foreign passport fund product</w:t>
      </w:r>
      <w:bookmarkEnd w:id="419"/>
      <w:r w:rsidRPr="003B0738">
        <w:t>, an investment life insurance product, a superannuation product or an RSA; and</w:t>
      </w:r>
    </w:p>
    <w:p w14:paraId="5BF89004" w14:textId="77777777" w:rsidR="00E93F58" w:rsidRPr="003B0738" w:rsidRDefault="00E93F58" w:rsidP="00A95145">
      <w:pPr>
        <w:pStyle w:val="paragraphsub"/>
      </w:pPr>
      <w:r w:rsidRPr="003B0738">
        <w:tab/>
        <w:t>(va)</w:t>
      </w:r>
      <w:r w:rsidRPr="003B0738">
        <w:tab/>
        <w:t>that is not a financial product mentioned in paragraph 764A(1)(ba), or (j) of the Act; and</w:t>
      </w:r>
    </w:p>
    <w:p w14:paraId="69B9DCC4" w14:textId="77777777" w:rsidR="00E93F58" w:rsidRPr="00A35C95" w:rsidRDefault="00E93F58" w:rsidP="00366AB5">
      <w:pPr>
        <w:pStyle w:val="paragraphsub"/>
        <w:tabs>
          <w:tab w:val="left" w:pos="2835"/>
        </w:tabs>
      </w:pPr>
      <w:r w:rsidRPr="00A35C95">
        <w:tab/>
        <w:t>(vi)</w:t>
      </w:r>
      <w:r w:rsidRPr="00A35C95">
        <w:tab/>
        <w:t>that is not a financial product mentioned in paragraph 764A(1)(i) of the Act, other than a product the whole or predominant purpose of which is, or is intended to be, the provision of credit;</w:t>
      </w:r>
    </w:p>
    <w:p w14:paraId="1A5739F3" w14:textId="77777777" w:rsidR="00E93F58" w:rsidRPr="00A35C95" w:rsidRDefault="00E93F58" w:rsidP="00366AB5">
      <w:pPr>
        <w:pStyle w:val="paragraph"/>
        <w:tabs>
          <w:tab w:val="left" w:pos="2835"/>
        </w:tabs>
      </w:pPr>
      <w:r w:rsidRPr="00A35C95">
        <w:tab/>
        <w:t>(b)</w:t>
      </w:r>
      <w:r w:rsidRPr="00A35C95">
        <w:tab/>
        <w:t>a facility:</w:t>
      </w:r>
    </w:p>
    <w:p w14:paraId="1F56E497" w14:textId="77777777" w:rsidR="00E93F58" w:rsidRPr="00A35C95" w:rsidRDefault="00E93F58" w:rsidP="00366AB5">
      <w:pPr>
        <w:pStyle w:val="paragraphsub"/>
        <w:tabs>
          <w:tab w:val="left" w:pos="2835"/>
        </w:tabs>
      </w:pPr>
      <w:r w:rsidRPr="00A35C95">
        <w:rPr>
          <w:color w:val="000000"/>
        </w:rPr>
        <w:tab/>
        <w:t>(i)</w:t>
      </w:r>
      <w:r w:rsidRPr="00A35C95">
        <w:rPr>
          <w:color w:val="000000"/>
        </w:rPr>
        <w:tab/>
        <w:t>known as a bill facility; and</w:t>
      </w:r>
    </w:p>
    <w:p w14:paraId="638C2901" w14:textId="77777777" w:rsidR="00E93F58" w:rsidRPr="00A35C95" w:rsidRDefault="00E93F58" w:rsidP="00366AB5">
      <w:pPr>
        <w:pStyle w:val="paragraphsub"/>
        <w:tabs>
          <w:tab w:val="left" w:pos="2835"/>
        </w:tabs>
      </w:pPr>
      <w:r w:rsidRPr="00A35C95">
        <w:tab/>
        <w:t>(ii)</w:t>
      </w:r>
      <w:r w:rsidRPr="00A35C95">
        <w:tab/>
        <w:t>under which a credit provider provides credit by accepting, drawing, discounting or indorsing a bill of exchange or promissory note;</w:t>
      </w:r>
    </w:p>
    <w:p w14:paraId="130DF564" w14:textId="77777777" w:rsidR="00E93F58" w:rsidRPr="00A35C95" w:rsidRDefault="00E93F58" w:rsidP="00366AB5">
      <w:pPr>
        <w:pStyle w:val="paragraph"/>
        <w:tabs>
          <w:tab w:val="left" w:pos="2835"/>
        </w:tabs>
      </w:pPr>
      <w:r w:rsidRPr="00A35C95">
        <w:rPr>
          <w:color w:val="000000"/>
        </w:rPr>
        <w:tab/>
        <w:t>(c)</w:t>
      </w:r>
      <w:r w:rsidRPr="00A35C95">
        <w:rPr>
          <w:color w:val="000000"/>
        </w:rPr>
        <w:tab/>
        <w:t>the provision of credit by a pawnbroker in the ordinary course of a pawnbroker’s business (being a business which is being lawfully conducted by the pawnbroker);</w:t>
      </w:r>
    </w:p>
    <w:p w14:paraId="198BB1A1" w14:textId="77777777" w:rsidR="00E93F58" w:rsidRPr="00A35C95" w:rsidRDefault="00E93F58" w:rsidP="00366AB5">
      <w:pPr>
        <w:pStyle w:val="paragraph"/>
        <w:tabs>
          <w:tab w:val="left" w:pos="2835"/>
        </w:tabs>
      </w:pPr>
      <w:r w:rsidRPr="00A35C95">
        <w:tab/>
        <w:t>(d)</w:t>
      </w:r>
      <w:r w:rsidRPr="00A35C95">
        <w:tab/>
        <w:t>the provision of credit by the trustee of the estate of a deceased person by way of an advance to a beneficiary or prospective beneficiary of the estate;</w:t>
      </w:r>
    </w:p>
    <w:p w14:paraId="1F2A3F16" w14:textId="77777777" w:rsidR="00E93F58" w:rsidRPr="00A35C95" w:rsidRDefault="00E93F58" w:rsidP="00366AB5">
      <w:pPr>
        <w:pStyle w:val="paragraph"/>
        <w:tabs>
          <w:tab w:val="left" w:pos="2835"/>
        </w:tabs>
      </w:pPr>
      <w:r w:rsidRPr="00A35C95">
        <w:tab/>
        <w:t>(e)</w:t>
      </w:r>
      <w:r w:rsidRPr="00A35C95">
        <w:tab/>
        <w:t>the provision of credit by an employer, or a related body corporate of an employer, to an employee or former employee (whether or not it is provided to the employee or former employee with another person);</w:t>
      </w:r>
    </w:p>
    <w:p w14:paraId="32C3016A" w14:textId="77777777" w:rsidR="00E93F58" w:rsidRPr="00A35C95" w:rsidRDefault="00E93F58" w:rsidP="00366AB5">
      <w:pPr>
        <w:pStyle w:val="paragraph"/>
        <w:tabs>
          <w:tab w:val="left" w:pos="2835"/>
        </w:tabs>
      </w:pPr>
      <w:r w:rsidRPr="00A35C95">
        <w:tab/>
        <w:t>(f)</w:t>
      </w:r>
      <w:r w:rsidRPr="00A35C95">
        <w:tab/>
        <w:t>a mortgage:</w:t>
      </w:r>
    </w:p>
    <w:p w14:paraId="7E1A11DA" w14:textId="77777777" w:rsidR="00E93F58" w:rsidRPr="00A35C95" w:rsidRDefault="00E93F58" w:rsidP="00366AB5">
      <w:pPr>
        <w:pStyle w:val="paragraphsub"/>
        <w:tabs>
          <w:tab w:val="left" w:pos="2835"/>
        </w:tabs>
      </w:pPr>
      <w:r w:rsidRPr="00A35C95">
        <w:tab/>
        <w:t>(i)</w:t>
      </w:r>
      <w:r w:rsidRPr="00A35C95">
        <w:tab/>
        <w:t>that secures obligations under a credit contract (other than a lien or charge arising by operation of any law or by custom); and</w:t>
      </w:r>
    </w:p>
    <w:p w14:paraId="492BC9F0" w14:textId="77777777" w:rsidR="00E93F58" w:rsidRPr="00A35C95" w:rsidRDefault="00E93F58" w:rsidP="00366AB5">
      <w:pPr>
        <w:pStyle w:val="paragraphsub"/>
        <w:tabs>
          <w:tab w:val="left" w:pos="2835"/>
        </w:tabs>
      </w:pPr>
      <w:r w:rsidRPr="00A35C95">
        <w:tab/>
        <w:t>(ii)</w:t>
      </w:r>
      <w:r w:rsidRPr="00A35C95">
        <w:tab/>
        <w:t>that is not a financial product mentioned in paragraph 763A(1)(a) of the Act; and</w:t>
      </w:r>
    </w:p>
    <w:p w14:paraId="2FEECBD6" w14:textId="77777777" w:rsidR="00E93F58" w:rsidRPr="003B0738" w:rsidRDefault="00E93F58" w:rsidP="003134C4">
      <w:pPr>
        <w:pStyle w:val="paragraphsub"/>
      </w:pPr>
      <w:r w:rsidRPr="003B0738">
        <w:tab/>
        <w:t>(iii)</w:t>
      </w:r>
      <w:r w:rsidRPr="003B0738">
        <w:tab/>
        <w:t xml:space="preserve">that is not a </w:t>
      </w:r>
      <w:r>
        <w:t xml:space="preserve">security, a </w:t>
      </w:r>
      <w:r w:rsidRPr="003B0738">
        <w:t>managed investment product, a foreign passport fund product, an investment life insurance product, a superannuation product or an RSA; and</w:t>
      </w:r>
    </w:p>
    <w:p w14:paraId="770EADCD" w14:textId="77777777" w:rsidR="00E93F58" w:rsidRPr="003B0738" w:rsidRDefault="00E93F58" w:rsidP="003134C4">
      <w:pPr>
        <w:pStyle w:val="paragraphsub"/>
      </w:pPr>
      <w:r w:rsidRPr="003B0738">
        <w:tab/>
        <w:t>(iiia)</w:t>
      </w:r>
      <w:r w:rsidRPr="003B0738">
        <w:tab/>
        <w:t>that is not a financial product mentioned in paragraph 764A(1)(ba), or (j) of the Act; and</w:t>
      </w:r>
    </w:p>
    <w:p w14:paraId="092E823E" w14:textId="77777777" w:rsidR="00E93F58" w:rsidRPr="00A35C95" w:rsidRDefault="00E93F58" w:rsidP="00366AB5">
      <w:pPr>
        <w:pStyle w:val="paragraphsub"/>
        <w:tabs>
          <w:tab w:val="left" w:pos="2835"/>
        </w:tabs>
      </w:pPr>
      <w:r w:rsidRPr="00A35C95">
        <w:tab/>
        <w:t>(iv)</w:t>
      </w:r>
      <w:r w:rsidRPr="00A35C95">
        <w:tab/>
        <w:t>that is not a financial product mentioned in paragraph 764A(1)(i) of the Act, other than a product the whole or predominant purpose of which is, or is intended to be, the provision of credit;</w:t>
      </w:r>
    </w:p>
    <w:p w14:paraId="5847463C" w14:textId="77777777" w:rsidR="00E93F58" w:rsidRPr="00A35C95" w:rsidRDefault="00E93F58" w:rsidP="00366AB5">
      <w:pPr>
        <w:pStyle w:val="paragraph"/>
        <w:tabs>
          <w:tab w:val="left" w:pos="2835"/>
        </w:tabs>
      </w:pPr>
      <w:r w:rsidRPr="00A35C95">
        <w:rPr>
          <w:color w:val="000000"/>
        </w:rPr>
        <w:tab/>
        <w:t>(g)</w:t>
      </w:r>
      <w:r w:rsidRPr="00A35C95">
        <w:rPr>
          <w:color w:val="000000"/>
        </w:rPr>
        <w:tab/>
        <w:t>a guarantee related to a mortgage mentioned in paragraph (f);</w:t>
      </w:r>
    </w:p>
    <w:p w14:paraId="415E511A" w14:textId="77777777" w:rsidR="00E93F58" w:rsidRPr="00A35C95" w:rsidRDefault="00E93F58" w:rsidP="00366AB5">
      <w:pPr>
        <w:pStyle w:val="paragraph"/>
        <w:tabs>
          <w:tab w:val="left" w:pos="2835"/>
        </w:tabs>
      </w:pPr>
      <w:r w:rsidRPr="00A35C95">
        <w:tab/>
        <w:t>(h)</w:t>
      </w:r>
      <w:r w:rsidRPr="00A35C95">
        <w:tab/>
        <w:t>a guarantee of obligations under a credit contract.</w:t>
      </w:r>
    </w:p>
    <w:p w14:paraId="5A5A1C19" w14:textId="77777777" w:rsidR="00E93F58" w:rsidRPr="00A35C95" w:rsidRDefault="00E93F58" w:rsidP="00366AB5">
      <w:pPr>
        <w:pStyle w:val="subsection"/>
        <w:tabs>
          <w:tab w:val="left" w:pos="2835"/>
        </w:tabs>
      </w:pPr>
      <w:r w:rsidRPr="00A35C95">
        <w:rPr>
          <w:color w:val="000000"/>
        </w:rPr>
        <w:tab/>
        <w:t>(2)</w:t>
      </w:r>
      <w:r w:rsidRPr="00A35C95">
        <w:rPr>
          <w:color w:val="000000"/>
        </w:rPr>
        <w:tab/>
        <w:t xml:space="preserve">The provision of consumer credit insurance that includes a contract of general insurance for the </w:t>
      </w:r>
      <w:r w:rsidRPr="00A35C95">
        <w:rPr>
          <w:i/>
          <w:color w:val="000000"/>
        </w:rPr>
        <w:t>Insurance Contracts Act 1984</w:t>
      </w:r>
      <w:r w:rsidRPr="00A35C95">
        <w:rPr>
          <w:color w:val="000000"/>
        </w:rPr>
        <w:t xml:space="preserve"> is not a credit facility.</w:t>
      </w:r>
    </w:p>
    <w:p w14:paraId="4DF4DA20" w14:textId="77777777" w:rsidR="00E93F58" w:rsidRPr="00A35C95" w:rsidRDefault="00E93F58" w:rsidP="00366AB5">
      <w:pPr>
        <w:pStyle w:val="subsection"/>
        <w:tabs>
          <w:tab w:val="left" w:pos="2835"/>
        </w:tabs>
      </w:pPr>
      <w:r w:rsidRPr="00A35C95">
        <w:tab/>
        <w:t>(2A)</w:t>
      </w:r>
      <w:r w:rsidRPr="00A35C95">
        <w:tab/>
        <w:t>The following are not credit facilities:</w:t>
      </w:r>
    </w:p>
    <w:p w14:paraId="4560DECF" w14:textId="77777777" w:rsidR="00E93F58" w:rsidRPr="00A35C95" w:rsidRDefault="00E93F58" w:rsidP="00366AB5">
      <w:pPr>
        <w:pStyle w:val="paragraph"/>
        <w:tabs>
          <w:tab w:val="left" w:pos="2835"/>
        </w:tabs>
      </w:pPr>
      <w:r w:rsidRPr="00A35C95">
        <w:tab/>
        <w:t>(a)</w:t>
      </w:r>
      <w:r w:rsidRPr="00A35C95">
        <w:tab/>
        <w:t>a litigation funding scheme mentioned in regulation 5C.11.01;</w:t>
      </w:r>
    </w:p>
    <w:p w14:paraId="3050753B" w14:textId="77777777" w:rsidR="00E93F58" w:rsidRPr="00A35C95" w:rsidRDefault="00E93F58" w:rsidP="00366AB5">
      <w:pPr>
        <w:pStyle w:val="paragraph"/>
        <w:tabs>
          <w:tab w:val="left" w:pos="2835"/>
        </w:tabs>
      </w:pPr>
      <w:r w:rsidRPr="00A35C95">
        <w:tab/>
        <w:t>(b)</w:t>
      </w:r>
      <w:r w:rsidRPr="00A35C95">
        <w:tab/>
        <w:t>a litigation funding arrangement mentioned in regulation 5C.11.01.</w:t>
      </w:r>
    </w:p>
    <w:p w14:paraId="19AE1D98" w14:textId="77777777" w:rsidR="00E93F58" w:rsidRPr="00A35C95" w:rsidRDefault="00E93F58" w:rsidP="00366AB5">
      <w:pPr>
        <w:pStyle w:val="subsection"/>
        <w:tabs>
          <w:tab w:val="left" w:pos="2835"/>
        </w:tabs>
      </w:pPr>
      <w:r w:rsidRPr="00A35C95">
        <w:tab/>
        <w:t>(3)</w:t>
      </w:r>
      <w:r w:rsidRPr="00A35C95">
        <w:tab/>
        <w:t>In this regulation:</w:t>
      </w:r>
    </w:p>
    <w:p w14:paraId="47B21CCC" w14:textId="77777777" w:rsidR="00E93F58" w:rsidRPr="00A35C95" w:rsidRDefault="00E93F58" w:rsidP="00366AB5">
      <w:pPr>
        <w:pStyle w:val="Definition"/>
        <w:tabs>
          <w:tab w:val="left" w:pos="2835"/>
        </w:tabs>
      </w:pPr>
      <w:r w:rsidRPr="00A35C95">
        <w:rPr>
          <w:b/>
          <w:i/>
          <w:color w:val="000000"/>
        </w:rPr>
        <w:t>credit</w:t>
      </w:r>
      <w:r w:rsidRPr="00A35C95">
        <w:t xml:space="preserve"> means a contract, arrangement or understanding:</w:t>
      </w:r>
    </w:p>
    <w:p w14:paraId="17078A04" w14:textId="77777777" w:rsidR="00E93F58" w:rsidRPr="00A35C95" w:rsidRDefault="00E93F58" w:rsidP="00366AB5">
      <w:pPr>
        <w:pStyle w:val="paragraph"/>
        <w:tabs>
          <w:tab w:val="left" w:pos="2835"/>
        </w:tabs>
      </w:pPr>
      <w:r w:rsidRPr="00A35C95">
        <w:tab/>
        <w:t>(a)</w:t>
      </w:r>
      <w:r w:rsidRPr="00A35C95">
        <w:tab/>
        <w:t>under which:</w:t>
      </w:r>
    </w:p>
    <w:p w14:paraId="17466F02"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payment of a debt owed by one person (a </w:t>
      </w:r>
      <w:r w:rsidRPr="00A35C95">
        <w:rPr>
          <w:b/>
          <w:i/>
          <w:color w:val="000000"/>
        </w:rPr>
        <w:t>debtor</w:t>
      </w:r>
      <w:r w:rsidRPr="00A35C95">
        <w:rPr>
          <w:color w:val="000000"/>
        </w:rPr>
        <w:t xml:space="preserve">) to another person (a </w:t>
      </w:r>
      <w:r w:rsidRPr="00A35C95">
        <w:rPr>
          <w:b/>
          <w:i/>
          <w:color w:val="000000"/>
        </w:rPr>
        <w:t>credit provider</w:t>
      </w:r>
      <w:r w:rsidRPr="00A35C95">
        <w:rPr>
          <w:color w:val="000000"/>
        </w:rPr>
        <w:t>) is deferred; or</w:t>
      </w:r>
    </w:p>
    <w:p w14:paraId="041D5202" w14:textId="77777777" w:rsidR="00E93F58" w:rsidRPr="00A35C95" w:rsidRDefault="00E93F58" w:rsidP="00366AB5">
      <w:pPr>
        <w:pStyle w:val="paragraphsub"/>
        <w:tabs>
          <w:tab w:val="left" w:pos="2835"/>
        </w:tabs>
      </w:pPr>
      <w:r w:rsidRPr="00A35C95">
        <w:tab/>
        <w:t>(ii)</w:t>
      </w:r>
      <w:r w:rsidRPr="00A35C95">
        <w:tab/>
        <w:t xml:space="preserve">one person (a </w:t>
      </w:r>
      <w:r w:rsidRPr="00A35C95">
        <w:rPr>
          <w:b/>
          <w:i/>
        </w:rPr>
        <w:t>debtor</w:t>
      </w:r>
      <w:r w:rsidRPr="00A35C95">
        <w:t xml:space="preserve">) incurs a deferred debt to another person (a </w:t>
      </w:r>
      <w:r w:rsidRPr="00A35C95">
        <w:rPr>
          <w:b/>
          <w:i/>
        </w:rPr>
        <w:t>credit provider</w:t>
      </w:r>
      <w:r w:rsidRPr="00A35C95">
        <w:t>); and</w:t>
      </w:r>
    </w:p>
    <w:p w14:paraId="73DFC5A1" w14:textId="77777777" w:rsidR="00E93F58" w:rsidRPr="00A35C95" w:rsidRDefault="00E93F58" w:rsidP="00366AB5">
      <w:pPr>
        <w:pStyle w:val="paragraph"/>
        <w:tabs>
          <w:tab w:val="left" w:pos="2835"/>
        </w:tabs>
      </w:pPr>
      <w:r w:rsidRPr="00A35C95">
        <w:tab/>
        <w:t>(b)</w:t>
      </w:r>
      <w:r w:rsidRPr="00A35C95">
        <w:tab/>
        <w:t>including any of the following:</w:t>
      </w:r>
    </w:p>
    <w:p w14:paraId="6AADA673" w14:textId="77777777" w:rsidR="00E93F58" w:rsidRPr="00A35C95" w:rsidRDefault="00E93F58" w:rsidP="00366AB5">
      <w:pPr>
        <w:pStyle w:val="paragraphsub"/>
        <w:tabs>
          <w:tab w:val="left" w:pos="2835"/>
        </w:tabs>
      </w:pPr>
      <w:r w:rsidRPr="00A35C95">
        <w:rPr>
          <w:color w:val="000000"/>
        </w:rPr>
        <w:tab/>
        <w:t>(i)</w:t>
      </w:r>
      <w:r w:rsidRPr="00A35C95">
        <w:rPr>
          <w:color w:val="000000"/>
        </w:rPr>
        <w:tab/>
        <w:t>any form of financial accommodation;</w:t>
      </w:r>
    </w:p>
    <w:p w14:paraId="22D77873" w14:textId="77777777" w:rsidR="00E93F58" w:rsidRPr="00A35C95" w:rsidRDefault="00E93F58" w:rsidP="00366AB5">
      <w:pPr>
        <w:pStyle w:val="paragraphsub"/>
        <w:tabs>
          <w:tab w:val="left" w:pos="2835"/>
        </w:tabs>
      </w:pPr>
      <w:r w:rsidRPr="00A35C95">
        <w:tab/>
        <w:t>(ii)</w:t>
      </w:r>
      <w:r w:rsidRPr="00A35C95">
        <w:tab/>
        <w:t>a hire purchase agreement;</w:t>
      </w:r>
    </w:p>
    <w:p w14:paraId="3F34921E" w14:textId="77777777" w:rsidR="00E93F58" w:rsidRPr="00A35C95" w:rsidRDefault="00E93F58" w:rsidP="00366AB5">
      <w:pPr>
        <w:pStyle w:val="paragraphsub"/>
        <w:tabs>
          <w:tab w:val="left" w:pos="2835"/>
        </w:tabs>
      </w:pPr>
      <w:r w:rsidRPr="00A35C95">
        <w:tab/>
        <w:t>(iii)</w:t>
      </w:r>
      <w:r w:rsidRPr="00A35C95">
        <w:tab/>
        <w:t>credit provided for the purchase of goods or services;</w:t>
      </w:r>
    </w:p>
    <w:p w14:paraId="5ED66788" w14:textId="77777777" w:rsidR="00E93F58" w:rsidRPr="00A35C95" w:rsidRDefault="00E93F58" w:rsidP="00366AB5">
      <w:pPr>
        <w:pStyle w:val="paragraphsub"/>
        <w:tabs>
          <w:tab w:val="left" w:pos="2835"/>
        </w:tabs>
      </w:pPr>
      <w:r w:rsidRPr="00A35C95">
        <w:lastRenderedPageBreak/>
        <w:tab/>
        <w:t>(iv)</w:t>
      </w:r>
      <w:r w:rsidRPr="00A35C95">
        <w:tab/>
        <w:t>a contract, arrangement or understanding for the hire, lease or rental of goods or services, other than a contract, arrangement or understanding under which:</w:t>
      </w:r>
    </w:p>
    <w:p w14:paraId="624EB60E" w14:textId="77777777" w:rsidR="00E93F58" w:rsidRPr="00A35C95" w:rsidRDefault="00E93F58" w:rsidP="00366AB5">
      <w:pPr>
        <w:pStyle w:val="paragraphsub-sub"/>
        <w:tabs>
          <w:tab w:val="left" w:pos="2835"/>
        </w:tabs>
      </w:pPr>
      <w:r w:rsidRPr="00A35C95">
        <w:rPr>
          <w:color w:val="000000"/>
        </w:rPr>
        <w:tab/>
        <w:t>(A)</w:t>
      </w:r>
      <w:r w:rsidRPr="00A35C95">
        <w:rPr>
          <w:color w:val="000000"/>
        </w:rPr>
        <w:tab/>
        <w:t>full payment is made before or when the goods or services are provided; and</w:t>
      </w:r>
    </w:p>
    <w:p w14:paraId="00AB1546" w14:textId="77777777" w:rsidR="00E93F58" w:rsidRPr="00A35C95" w:rsidRDefault="00E93F58" w:rsidP="00366AB5">
      <w:pPr>
        <w:pStyle w:val="paragraphsub-sub"/>
        <w:tabs>
          <w:tab w:val="left" w:pos="2835"/>
        </w:tabs>
      </w:pPr>
      <w:r w:rsidRPr="00A35C95">
        <w:tab/>
        <w:t>(B)</w:t>
      </w:r>
      <w:r w:rsidRPr="00A35C95">
        <w:tab/>
        <w:t>for the hire, lease or rental of goods—an amount at least equal to the value of the goods is paid as a deposit in relation to the return of the goods;</w:t>
      </w:r>
    </w:p>
    <w:p w14:paraId="3E5BDE45" w14:textId="77777777" w:rsidR="00E93F58" w:rsidRPr="00A35C95" w:rsidRDefault="00E93F58" w:rsidP="00366AB5">
      <w:pPr>
        <w:pStyle w:val="paragraphsub"/>
        <w:tabs>
          <w:tab w:val="left" w:pos="2835"/>
        </w:tabs>
      </w:pPr>
      <w:r w:rsidRPr="00A35C95">
        <w:rPr>
          <w:color w:val="000000"/>
        </w:rPr>
        <w:tab/>
        <w:t>(v)</w:t>
      </w:r>
      <w:r w:rsidRPr="00A35C95">
        <w:rPr>
          <w:color w:val="000000"/>
        </w:rPr>
        <w:tab/>
        <w:t>an article known as a credit card or charge card;</w:t>
      </w:r>
    </w:p>
    <w:p w14:paraId="656ACD9D" w14:textId="77777777" w:rsidR="00E93F58" w:rsidRPr="00A35C95" w:rsidRDefault="00E93F58" w:rsidP="00366AB5">
      <w:pPr>
        <w:pStyle w:val="paragraphsub"/>
        <w:tabs>
          <w:tab w:val="left" w:pos="2835"/>
        </w:tabs>
      </w:pPr>
      <w:r w:rsidRPr="00A35C95">
        <w:tab/>
        <w:t>(vi)</w:t>
      </w:r>
      <w:r w:rsidRPr="00A35C95">
        <w:tab/>
        <w:t>an article, other than a credit card or a charge card, intended to be used to obtain cash, goods or services;</w:t>
      </w:r>
    </w:p>
    <w:p w14:paraId="4D5EEF74" w14:textId="77777777" w:rsidR="00E93F58" w:rsidRPr="00A35C95" w:rsidRDefault="00E93F58" w:rsidP="00366AB5">
      <w:pPr>
        <w:pStyle w:val="paragraphsub"/>
        <w:tabs>
          <w:tab w:val="left" w:pos="2835"/>
        </w:tabs>
      </w:pPr>
      <w:r w:rsidRPr="00A35C95">
        <w:tab/>
        <w:t>(vii)</w:t>
      </w:r>
      <w:r w:rsidRPr="00A35C95">
        <w:tab/>
        <w:t>an article, other than a credit card or a charge card, commonly issued to customers or prospective customers by persons who carry on business for the purpose of obtaining goods or services from those persons by way of a loan;</w:t>
      </w:r>
    </w:p>
    <w:p w14:paraId="4E1512CD" w14:textId="77777777" w:rsidR="00E93F58" w:rsidRPr="00A35C95" w:rsidRDefault="00E93F58" w:rsidP="00366AB5">
      <w:pPr>
        <w:pStyle w:val="paragraphsub"/>
        <w:tabs>
          <w:tab w:val="left" w:pos="2835"/>
        </w:tabs>
      </w:pPr>
      <w:r w:rsidRPr="00A35C95">
        <w:tab/>
        <w:t>(viii)</w:t>
      </w:r>
      <w:r w:rsidRPr="00A35C95">
        <w:tab/>
        <w:t>a liability in respect of redeemable preference shares;</w:t>
      </w:r>
    </w:p>
    <w:p w14:paraId="197F1E43" w14:textId="77777777" w:rsidR="00E93F58" w:rsidRPr="00A35C95" w:rsidRDefault="00E93F58" w:rsidP="00366AB5">
      <w:pPr>
        <w:pStyle w:val="paragraphsub"/>
        <w:tabs>
          <w:tab w:val="left" w:pos="2835"/>
        </w:tabs>
      </w:pPr>
      <w:r w:rsidRPr="00A35C95">
        <w:tab/>
        <w:t>(ix)</w:t>
      </w:r>
      <w:r w:rsidRPr="00A35C95">
        <w:tab/>
        <w:t>a financial benefit arising from or as a result of a loan;</w:t>
      </w:r>
    </w:p>
    <w:p w14:paraId="3CB8B75F" w14:textId="77777777" w:rsidR="00E93F58" w:rsidRPr="00A35C95" w:rsidRDefault="00E93F58" w:rsidP="00366AB5">
      <w:pPr>
        <w:pStyle w:val="paragraphsub"/>
        <w:tabs>
          <w:tab w:val="left" w:pos="2835"/>
        </w:tabs>
      </w:pPr>
      <w:r w:rsidRPr="00A35C95">
        <w:tab/>
        <w:t>(x)</w:t>
      </w:r>
      <w:r w:rsidRPr="00A35C95">
        <w:tab/>
        <w:t>assistance in obtaining a financial benefit arising from or as a result of a loan;</w:t>
      </w:r>
    </w:p>
    <w:p w14:paraId="155F98D9" w14:textId="77777777" w:rsidR="00E93F58" w:rsidRPr="00A35C95" w:rsidRDefault="00E93F58" w:rsidP="00366AB5">
      <w:pPr>
        <w:pStyle w:val="paragraphsub"/>
        <w:tabs>
          <w:tab w:val="left" w:pos="2835"/>
        </w:tabs>
      </w:pPr>
      <w:r w:rsidRPr="00A35C95">
        <w:tab/>
        <w:t>(xi)</w:t>
      </w:r>
      <w:r w:rsidRPr="00A35C95">
        <w:tab/>
        <w:t>issuing, indorsing or otherwise dealing in a promissory note;</w:t>
      </w:r>
    </w:p>
    <w:p w14:paraId="0F776E70" w14:textId="77777777" w:rsidR="00E93F58" w:rsidRPr="00A35C95" w:rsidRDefault="00E93F58" w:rsidP="00366AB5">
      <w:pPr>
        <w:pStyle w:val="paragraphsub"/>
        <w:tabs>
          <w:tab w:val="left" w:pos="2835"/>
        </w:tabs>
      </w:pPr>
      <w:r w:rsidRPr="00A35C95">
        <w:tab/>
        <w:t>(xii)</w:t>
      </w:r>
      <w:r w:rsidRPr="00A35C95">
        <w:tab/>
        <w:t>drawing, accepting, indorsing or otherwise dealing in a negotiable instrument (including a bill of exchange);</w:t>
      </w:r>
    </w:p>
    <w:p w14:paraId="73D47B9A" w14:textId="77777777" w:rsidR="00E93F58" w:rsidRPr="00A35C95" w:rsidRDefault="00E93F58" w:rsidP="00366AB5">
      <w:pPr>
        <w:pStyle w:val="paragraphsub"/>
        <w:tabs>
          <w:tab w:val="left" w:pos="2835"/>
        </w:tabs>
      </w:pPr>
      <w:r w:rsidRPr="00A35C95">
        <w:tab/>
        <w:t>(xiii)</w:t>
      </w:r>
      <w:r w:rsidRPr="00A35C95">
        <w:tab/>
        <w:t>granting or taking a lease over real or personal property;</w:t>
      </w:r>
    </w:p>
    <w:p w14:paraId="3996B6A3" w14:textId="77777777" w:rsidR="00E93F58" w:rsidRPr="00A35C95" w:rsidRDefault="00E93F58" w:rsidP="00366AB5">
      <w:pPr>
        <w:pStyle w:val="paragraphsub"/>
        <w:tabs>
          <w:tab w:val="left" w:pos="2835"/>
        </w:tabs>
      </w:pPr>
      <w:r w:rsidRPr="00A35C95">
        <w:tab/>
        <w:t>(xiv)</w:t>
      </w:r>
      <w:r w:rsidRPr="00A35C95">
        <w:tab/>
        <w:t>a letter of credit.</w:t>
      </w:r>
    </w:p>
    <w:p w14:paraId="65E95012" w14:textId="77777777" w:rsidR="00E93F58" w:rsidRPr="00A35C95" w:rsidRDefault="00E93F58" w:rsidP="00366AB5">
      <w:pPr>
        <w:pStyle w:val="ActHead5"/>
        <w:tabs>
          <w:tab w:val="left" w:pos="2835"/>
        </w:tabs>
      </w:pPr>
      <w:bookmarkStart w:id="420" w:name="_Toc152057785"/>
      <w:bookmarkStart w:id="421" w:name="_Toc158712008"/>
      <w:r w:rsidRPr="00844D11">
        <w:rPr>
          <w:rStyle w:val="CharSectno"/>
        </w:rPr>
        <w:t>7.1.06A</w:t>
      </w:r>
      <w:r w:rsidRPr="00A35C95">
        <w:t xml:space="preserve">  Arrangements for certain financial products that are not credit facilities</w:t>
      </w:r>
      <w:bookmarkEnd w:id="420"/>
      <w:bookmarkEnd w:id="421"/>
    </w:p>
    <w:p w14:paraId="42B1BFF8" w14:textId="77777777" w:rsidR="00E93F58" w:rsidRPr="00A35C95" w:rsidRDefault="00E93F58" w:rsidP="00366AB5">
      <w:pPr>
        <w:pStyle w:val="subsection"/>
        <w:keepNext/>
        <w:keepLines/>
        <w:tabs>
          <w:tab w:val="left" w:pos="2835"/>
        </w:tabs>
      </w:pPr>
      <w:r w:rsidRPr="00A35C95">
        <w:tab/>
        <w:t>(1)</w:t>
      </w:r>
      <w:r w:rsidRPr="00A35C95">
        <w:tab/>
        <w:t>This regulation applies in relation to a financial product that would be a credit facility in accordance with regulation 7.1.06 if subparagraphs 7.1.06(1)(a)(iv), (v)</w:t>
      </w:r>
      <w:r w:rsidRPr="00BE1284">
        <w:t>, (va)</w:t>
      </w:r>
      <w:r w:rsidRPr="00A35C95">
        <w:t xml:space="preserve"> and (vi), and 7.1.06(1)(f)(ii), (iii)</w:t>
      </w:r>
      <w:r w:rsidRPr="00BE1284">
        <w:t>, (iiia)</w:t>
      </w:r>
      <w:r w:rsidRPr="00A35C95">
        <w:t xml:space="preserve"> and (iv) did not apply.</w:t>
      </w:r>
    </w:p>
    <w:p w14:paraId="381E697B" w14:textId="77777777" w:rsidR="00E93F58" w:rsidRPr="00A35C95" w:rsidRDefault="00E93F58" w:rsidP="00366AB5">
      <w:pPr>
        <w:pStyle w:val="subsection"/>
        <w:tabs>
          <w:tab w:val="left" w:pos="2835"/>
        </w:tabs>
      </w:pPr>
      <w:r w:rsidRPr="00A35C95">
        <w:tab/>
        <w:t>(2)</w:t>
      </w:r>
      <w:r w:rsidRPr="00A35C95">
        <w:tab/>
        <w:t>For paragraph 761E(7)(a) of the Act, and in relation to the financial product:</w:t>
      </w:r>
    </w:p>
    <w:p w14:paraId="01C16C1A" w14:textId="77777777" w:rsidR="00E93F58" w:rsidRPr="00A35C95" w:rsidRDefault="00E93F58" w:rsidP="00366AB5">
      <w:pPr>
        <w:pStyle w:val="paragraph"/>
        <w:tabs>
          <w:tab w:val="left" w:pos="2835"/>
        </w:tabs>
      </w:pPr>
      <w:r w:rsidRPr="00A35C95">
        <w:tab/>
        <w:t>(a)</w:t>
      </w:r>
      <w:r w:rsidRPr="00A35C95">
        <w:tab/>
        <w:t>the credit provider is not taken to be the issuer of the financial product; and</w:t>
      </w:r>
    </w:p>
    <w:p w14:paraId="745CE1CE" w14:textId="77777777" w:rsidR="00E93F58" w:rsidRPr="00A35C95" w:rsidRDefault="00E93F58" w:rsidP="00366AB5">
      <w:pPr>
        <w:pStyle w:val="paragraph"/>
        <w:tabs>
          <w:tab w:val="left" w:pos="2835"/>
        </w:tabs>
      </w:pPr>
      <w:r w:rsidRPr="00A35C95">
        <w:tab/>
        <w:t>(b)</w:t>
      </w:r>
      <w:r w:rsidRPr="00A35C95">
        <w:tab/>
        <w:t>the debtor is taken to be the issuer of the financial product.</w:t>
      </w:r>
    </w:p>
    <w:p w14:paraId="2A4F9D2B" w14:textId="77777777" w:rsidR="00E93F58" w:rsidRPr="00A35C95" w:rsidRDefault="00E93F58" w:rsidP="00366AB5">
      <w:pPr>
        <w:pStyle w:val="subsection"/>
        <w:tabs>
          <w:tab w:val="left" w:pos="2835"/>
        </w:tabs>
      </w:pPr>
      <w:r w:rsidRPr="00A35C95">
        <w:tab/>
        <w:t>(3)</w:t>
      </w:r>
      <w:r w:rsidRPr="00A35C95">
        <w:tab/>
        <w:t>For paragraph 766A(2)(b) of the Act, and in relation to the financial product:</w:t>
      </w:r>
    </w:p>
    <w:p w14:paraId="4B4D3271" w14:textId="77777777" w:rsidR="00E93F58" w:rsidRPr="00A35C95" w:rsidRDefault="00E93F58" w:rsidP="00366AB5">
      <w:pPr>
        <w:pStyle w:val="paragraph"/>
        <w:tabs>
          <w:tab w:val="left" w:pos="2835"/>
        </w:tabs>
      </w:pPr>
      <w:r w:rsidRPr="00A35C95">
        <w:tab/>
        <w:t>(a)</w:t>
      </w:r>
      <w:r w:rsidRPr="00A35C95">
        <w:tab/>
        <w:t>the provision of financial product advice to the debtor, or the debtor’s representative, is taken not to be the provision of a financial service; and</w:t>
      </w:r>
    </w:p>
    <w:p w14:paraId="6B94FF40" w14:textId="77777777" w:rsidR="00E93F58" w:rsidRPr="00A35C95" w:rsidRDefault="00E93F58" w:rsidP="00366AB5">
      <w:pPr>
        <w:pStyle w:val="paragraph"/>
        <w:tabs>
          <w:tab w:val="left" w:pos="2835"/>
        </w:tabs>
      </w:pPr>
      <w:r w:rsidRPr="00A35C95">
        <w:tab/>
        <w:t>(b)</w:t>
      </w:r>
      <w:r w:rsidRPr="00A35C95">
        <w:tab/>
        <w:t>a dealing in the credit facility by the credit provider, or the credit provider’s representative, is taken not to be the provision of a financial service.</w:t>
      </w:r>
    </w:p>
    <w:p w14:paraId="4E113129" w14:textId="77777777" w:rsidR="00E93F58" w:rsidRPr="00A35C95" w:rsidRDefault="00E93F58" w:rsidP="00366AB5">
      <w:pPr>
        <w:pStyle w:val="subsection"/>
        <w:tabs>
          <w:tab w:val="left" w:pos="2835"/>
        </w:tabs>
      </w:pPr>
      <w:r w:rsidRPr="00A35C95">
        <w:tab/>
        <w:t>(4)</w:t>
      </w:r>
      <w:r w:rsidRPr="00A35C95">
        <w:tab/>
        <w:t>In this regulation:</w:t>
      </w:r>
    </w:p>
    <w:p w14:paraId="0497D5EE" w14:textId="77777777" w:rsidR="00E93F58" w:rsidRPr="00A35C95" w:rsidRDefault="00E93F58" w:rsidP="00366AB5">
      <w:pPr>
        <w:pStyle w:val="Definition"/>
        <w:tabs>
          <w:tab w:val="left" w:pos="2835"/>
        </w:tabs>
      </w:pPr>
      <w:r w:rsidRPr="00A35C95">
        <w:rPr>
          <w:b/>
          <w:i/>
          <w:color w:val="000000"/>
        </w:rPr>
        <w:t>credit</w:t>
      </w:r>
      <w:r w:rsidRPr="00A35C95">
        <w:rPr>
          <w:color w:val="000000"/>
        </w:rPr>
        <w:t xml:space="preserve">, </w:t>
      </w:r>
      <w:r w:rsidRPr="00A35C95">
        <w:rPr>
          <w:b/>
          <w:i/>
          <w:color w:val="000000"/>
        </w:rPr>
        <w:t>credit provider</w:t>
      </w:r>
      <w:r w:rsidRPr="00A35C95">
        <w:rPr>
          <w:color w:val="000000"/>
        </w:rPr>
        <w:t xml:space="preserve"> and </w:t>
      </w:r>
      <w:r w:rsidRPr="00A35C95">
        <w:rPr>
          <w:b/>
          <w:i/>
          <w:color w:val="000000"/>
        </w:rPr>
        <w:t>debtor</w:t>
      </w:r>
      <w:r w:rsidRPr="00A35C95">
        <w:t xml:space="preserve"> have the same meanings as in subregulation 7.1.06(3).</w:t>
      </w:r>
    </w:p>
    <w:p w14:paraId="4FF6AB61" w14:textId="77777777" w:rsidR="00E93F58" w:rsidRPr="00A35C95" w:rsidRDefault="00E93F58" w:rsidP="00366AB5">
      <w:pPr>
        <w:pStyle w:val="ActHead5"/>
        <w:tabs>
          <w:tab w:val="left" w:pos="2835"/>
        </w:tabs>
      </w:pPr>
      <w:bookmarkStart w:id="422" w:name="_Toc152057786"/>
      <w:bookmarkStart w:id="423" w:name="_Toc158712009"/>
      <w:r w:rsidRPr="00844D11">
        <w:rPr>
          <w:rStyle w:val="CharSectno"/>
        </w:rPr>
        <w:t>7.1.07</w:t>
      </w:r>
      <w:r w:rsidRPr="00A35C95">
        <w:t xml:space="preserve">  Specific things that are not financial products: surety bonds</w:t>
      </w:r>
      <w:bookmarkEnd w:id="422"/>
      <w:bookmarkEnd w:id="423"/>
    </w:p>
    <w:p w14:paraId="4519909D" w14:textId="77777777" w:rsidR="00E93F58" w:rsidRPr="00A35C95" w:rsidRDefault="00E93F58" w:rsidP="00366AB5">
      <w:pPr>
        <w:pStyle w:val="subsection"/>
        <w:tabs>
          <w:tab w:val="left" w:pos="2835"/>
        </w:tabs>
      </w:pPr>
      <w:r w:rsidRPr="00A35C95">
        <w:tab/>
        <w:t>(1)</w:t>
      </w:r>
      <w:r w:rsidRPr="00A35C95">
        <w:tab/>
        <w:t>This regulation applies to an arrangement between 2 persons (</w:t>
      </w:r>
      <w:r w:rsidRPr="00A35C95">
        <w:rPr>
          <w:b/>
          <w:i/>
        </w:rPr>
        <w:t xml:space="preserve">person 1 </w:t>
      </w:r>
      <w:r w:rsidRPr="00A35C95">
        <w:t xml:space="preserve">and </w:t>
      </w:r>
      <w:r w:rsidRPr="00A35C95">
        <w:rPr>
          <w:b/>
          <w:i/>
        </w:rPr>
        <w:t>person 2</w:t>
      </w:r>
      <w:r w:rsidRPr="00A35C95">
        <w:t>) made in the following circumstances:</w:t>
      </w:r>
    </w:p>
    <w:p w14:paraId="00CDB1DA" w14:textId="77777777" w:rsidR="00E93F58" w:rsidRPr="00A35C95" w:rsidRDefault="00E93F58" w:rsidP="00366AB5">
      <w:pPr>
        <w:pStyle w:val="paragraph"/>
        <w:tabs>
          <w:tab w:val="left" w:pos="2835"/>
        </w:tabs>
      </w:pPr>
      <w:r w:rsidRPr="00A35C95">
        <w:tab/>
        <w:t>(a)</w:t>
      </w:r>
      <w:r w:rsidRPr="00A35C95">
        <w:tab/>
        <w:t>person 1 enters into the arrangement in order to meet a requirement of another arrangement between person 1 and a person other than person 2 (</w:t>
      </w:r>
      <w:r w:rsidRPr="00A35C95">
        <w:rPr>
          <w:b/>
          <w:i/>
        </w:rPr>
        <w:t>person 3</w:t>
      </w:r>
      <w:r w:rsidRPr="00A35C95">
        <w:t>);</w:t>
      </w:r>
    </w:p>
    <w:p w14:paraId="6E2CB15D" w14:textId="77777777" w:rsidR="00E93F58" w:rsidRPr="00A35C95" w:rsidRDefault="00E93F58" w:rsidP="00366AB5">
      <w:pPr>
        <w:pStyle w:val="paragraph"/>
        <w:tabs>
          <w:tab w:val="left" w:pos="2835"/>
        </w:tabs>
      </w:pPr>
      <w:r w:rsidRPr="00A35C95">
        <w:tab/>
        <w:t>(b)</w:t>
      </w:r>
      <w:r w:rsidRPr="00A35C95">
        <w:tab/>
        <w:t>under the arrangement, person 2 undertakes to make a payment to, or perform an obligation for the benefit of, person 3 in circumstances specified as part of the arrangement;</w:t>
      </w:r>
    </w:p>
    <w:p w14:paraId="439D2D54" w14:textId="77777777" w:rsidR="00E93F58" w:rsidRPr="00A35C95" w:rsidRDefault="00E93F58" w:rsidP="00366AB5">
      <w:pPr>
        <w:pStyle w:val="paragraph"/>
        <w:tabs>
          <w:tab w:val="left" w:pos="2835"/>
        </w:tabs>
      </w:pPr>
      <w:r w:rsidRPr="00A35C95">
        <w:tab/>
        <w:t>(c)</w:t>
      </w:r>
      <w:r w:rsidRPr="00A35C95">
        <w:tab/>
        <w:t>under the arrangement, person 1 is liable to person 2 for any payments made, or liabilities, costs or expenses incurred, by person 2 in making the payment to, or performing the obligation for the benefit of, person 3;</w:t>
      </w:r>
    </w:p>
    <w:p w14:paraId="7FE0CE25" w14:textId="77777777" w:rsidR="00E93F58" w:rsidRPr="00A35C95" w:rsidRDefault="00E93F58" w:rsidP="00366AB5">
      <w:pPr>
        <w:pStyle w:val="paragraph"/>
        <w:tabs>
          <w:tab w:val="left" w:pos="2835"/>
        </w:tabs>
      </w:pPr>
      <w:r w:rsidRPr="00A35C95">
        <w:tab/>
        <w:t>(d)</w:t>
      </w:r>
      <w:r w:rsidRPr="00A35C95">
        <w:tab/>
        <w:t>the arrangement does not constitute a financial product under section 764A of the Act, other than a derivative.</w:t>
      </w:r>
    </w:p>
    <w:p w14:paraId="6E517173" w14:textId="77777777" w:rsidR="00E93F58" w:rsidRPr="00A35C95" w:rsidRDefault="00E93F58" w:rsidP="00366AB5">
      <w:pPr>
        <w:pStyle w:val="subsection"/>
        <w:tabs>
          <w:tab w:val="left" w:pos="2835"/>
        </w:tabs>
      </w:pPr>
      <w:r w:rsidRPr="00A35C95">
        <w:tab/>
        <w:t>(2)</w:t>
      </w:r>
      <w:r w:rsidRPr="00A35C95">
        <w:tab/>
      </w:r>
      <w:r w:rsidRPr="00A35C95">
        <w:rPr>
          <w:color w:val="000000"/>
        </w:rPr>
        <w:t>For paragraph 765A(1)(y) of the Act, the arrangement is not a financial product.</w:t>
      </w:r>
    </w:p>
    <w:p w14:paraId="457A4D7A" w14:textId="77777777" w:rsidR="00E93F58" w:rsidRPr="00A35C95" w:rsidRDefault="00E93F58" w:rsidP="00366AB5">
      <w:pPr>
        <w:pStyle w:val="ActHead5"/>
        <w:tabs>
          <w:tab w:val="left" w:pos="2835"/>
        </w:tabs>
      </w:pPr>
      <w:bookmarkStart w:id="424" w:name="_Toc152057787"/>
      <w:bookmarkStart w:id="425" w:name="_Toc158712010"/>
      <w:r w:rsidRPr="00844D11">
        <w:rPr>
          <w:rStyle w:val="CharSectno"/>
        </w:rPr>
        <w:t>7.1.07A</w:t>
      </w:r>
      <w:r w:rsidRPr="00A35C95">
        <w:t xml:space="preserve">  Specific things that are not financial products: rental agreements</w:t>
      </w:r>
      <w:bookmarkEnd w:id="424"/>
      <w:bookmarkEnd w:id="425"/>
    </w:p>
    <w:p w14:paraId="7FFB0F2B" w14:textId="77777777" w:rsidR="00E93F58" w:rsidRPr="00A35C95" w:rsidRDefault="00E93F58" w:rsidP="00366AB5">
      <w:pPr>
        <w:pStyle w:val="subsection"/>
        <w:tabs>
          <w:tab w:val="left" w:pos="2835"/>
        </w:tabs>
      </w:pPr>
      <w:r w:rsidRPr="00A35C95">
        <w:tab/>
        <w:t>(1)</w:t>
      </w:r>
      <w:r w:rsidRPr="00A35C95">
        <w:tab/>
        <w:t>This regulation applies to an arrangement between 2 persons (</w:t>
      </w:r>
      <w:r w:rsidRPr="00A35C95">
        <w:rPr>
          <w:b/>
          <w:i/>
        </w:rPr>
        <w:t xml:space="preserve">person 1 </w:t>
      </w:r>
      <w:r w:rsidRPr="00A35C95">
        <w:t xml:space="preserve">and </w:t>
      </w:r>
      <w:r w:rsidRPr="00A35C95">
        <w:rPr>
          <w:b/>
          <w:i/>
        </w:rPr>
        <w:t>person 2</w:t>
      </w:r>
      <w:r w:rsidRPr="00A35C95">
        <w:t>) made in the following circumstances:</w:t>
      </w:r>
    </w:p>
    <w:p w14:paraId="5D81DA42" w14:textId="77777777" w:rsidR="00E93F58" w:rsidRPr="00A35C95" w:rsidRDefault="00E93F58" w:rsidP="00366AB5">
      <w:pPr>
        <w:pStyle w:val="paragraph"/>
        <w:tabs>
          <w:tab w:val="left" w:pos="2835"/>
        </w:tabs>
      </w:pPr>
      <w:r w:rsidRPr="00A35C95">
        <w:lastRenderedPageBreak/>
        <w:tab/>
        <w:t>(a)</w:t>
      </w:r>
      <w:r w:rsidRPr="00A35C95">
        <w:tab/>
        <w:t>person 1 leases or rents something from person 2;</w:t>
      </w:r>
    </w:p>
    <w:p w14:paraId="599EF6B5" w14:textId="77777777" w:rsidR="00E93F58" w:rsidRPr="00A35C95" w:rsidRDefault="00E93F58" w:rsidP="00366AB5">
      <w:pPr>
        <w:pStyle w:val="paragraph"/>
        <w:tabs>
          <w:tab w:val="left" w:pos="2835"/>
        </w:tabs>
      </w:pPr>
      <w:r w:rsidRPr="00A35C95">
        <w:tab/>
        <w:t>(b)</w:t>
      </w:r>
      <w:r w:rsidRPr="00A35C95">
        <w:tab/>
        <w:t>under the arrangement, person 1 makes a payment to person 2 to reduce the amount that person 1 would otherwise have to pay to person 2 under the leasing or rental agreement;</w:t>
      </w:r>
    </w:p>
    <w:p w14:paraId="426B6AB3" w14:textId="77777777" w:rsidR="00E93F58" w:rsidRPr="00A35C95" w:rsidRDefault="00E93F58" w:rsidP="00366AB5">
      <w:pPr>
        <w:pStyle w:val="paragraph"/>
        <w:tabs>
          <w:tab w:val="left" w:pos="2835"/>
        </w:tabs>
      </w:pPr>
      <w:r w:rsidRPr="00A35C95">
        <w:tab/>
        <w:t>(c)</w:t>
      </w:r>
      <w:r w:rsidRPr="00A35C95">
        <w:tab/>
        <w:t>the payment relates to the event of an accident or other eventuality affecting the thing that is being leased or rented.</w:t>
      </w:r>
    </w:p>
    <w:p w14:paraId="2DE932EA" w14:textId="77777777" w:rsidR="00E93F58" w:rsidRPr="00A35C95" w:rsidRDefault="00E93F58" w:rsidP="00366AB5">
      <w:pPr>
        <w:pStyle w:val="notetext"/>
        <w:tabs>
          <w:tab w:val="left" w:pos="2835"/>
        </w:tabs>
      </w:pPr>
      <w:r w:rsidRPr="00A35C95">
        <w:t>Example:</w:t>
      </w:r>
      <w:r w:rsidRPr="00A35C95">
        <w:tab/>
        <w:t>Collision damage waiver insurance for a rental car.</w:t>
      </w:r>
    </w:p>
    <w:p w14:paraId="66530556" w14:textId="77777777" w:rsidR="00E93F58" w:rsidRPr="00A35C95" w:rsidRDefault="00E93F58" w:rsidP="00366AB5">
      <w:pPr>
        <w:pStyle w:val="subsection"/>
        <w:tabs>
          <w:tab w:val="left" w:pos="2835"/>
        </w:tabs>
      </w:pPr>
      <w:r w:rsidRPr="00A35C95">
        <w:tab/>
        <w:t>(2)</w:t>
      </w:r>
      <w:r w:rsidRPr="00A35C95">
        <w:tab/>
      </w:r>
      <w:r w:rsidRPr="00A35C95">
        <w:rPr>
          <w:color w:val="000000"/>
        </w:rPr>
        <w:t>For paragraph 765A(1)(y) of the Act, the arrangement is not a financial product.</w:t>
      </w:r>
    </w:p>
    <w:p w14:paraId="1A009547" w14:textId="77777777" w:rsidR="00E93F58" w:rsidRPr="00A35C95" w:rsidRDefault="00E93F58" w:rsidP="00366AB5">
      <w:pPr>
        <w:pStyle w:val="ActHead5"/>
        <w:tabs>
          <w:tab w:val="left" w:pos="2835"/>
        </w:tabs>
      </w:pPr>
      <w:bookmarkStart w:id="426" w:name="_Toc152057788"/>
      <w:bookmarkStart w:id="427" w:name="_Toc158712011"/>
      <w:r w:rsidRPr="00844D11">
        <w:rPr>
          <w:rStyle w:val="CharSectno"/>
        </w:rPr>
        <w:t>7.1.07B</w:t>
      </w:r>
      <w:r w:rsidRPr="00A35C95">
        <w:rPr>
          <w:sz w:val="16"/>
        </w:rPr>
        <w:t xml:space="preserve">  </w:t>
      </w:r>
      <w:r w:rsidRPr="00A35C95">
        <w:t>Specific things that are not financial products: bank drafts</w:t>
      </w:r>
      <w:bookmarkEnd w:id="426"/>
      <w:bookmarkEnd w:id="427"/>
    </w:p>
    <w:p w14:paraId="236B80E3" w14:textId="77777777" w:rsidR="00E93F58" w:rsidRPr="00A35C95" w:rsidRDefault="00E93F58" w:rsidP="00366AB5">
      <w:pPr>
        <w:pStyle w:val="subsection"/>
        <w:tabs>
          <w:tab w:val="left" w:pos="2835"/>
        </w:tabs>
      </w:pPr>
      <w:r w:rsidRPr="00A35C95">
        <w:tab/>
      </w:r>
      <w:r w:rsidRPr="00A35C95">
        <w:tab/>
        <w:t>For paragraph 765A(1)(y) of the Act, a bank draft, including (but not limited to):</w:t>
      </w:r>
    </w:p>
    <w:p w14:paraId="6E3C51DD" w14:textId="77777777" w:rsidR="00E93F58" w:rsidRPr="00A35C95" w:rsidRDefault="00E93F58" w:rsidP="00366AB5">
      <w:pPr>
        <w:pStyle w:val="paragraph"/>
        <w:tabs>
          <w:tab w:val="left" w:pos="2835"/>
        </w:tabs>
      </w:pPr>
      <w:r w:rsidRPr="00A35C95">
        <w:rPr>
          <w:color w:val="000000"/>
        </w:rPr>
        <w:tab/>
        <w:t>(a)</w:t>
      </w:r>
      <w:r w:rsidRPr="00A35C95">
        <w:rPr>
          <w:color w:val="000000"/>
        </w:rPr>
        <w:tab/>
        <w:t>a cheque drawn by a financial institution on itself; or</w:t>
      </w:r>
    </w:p>
    <w:p w14:paraId="1B1D7D7A" w14:textId="77777777" w:rsidR="00E93F58" w:rsidRPr="00A35C95" w:rsidRDefault="00E93F58" w:rsidP="00366AB5">
      <w:pPr>
        <w:pStyle w:val="paragraph"/>
        <w:tabs>
          <w:tab w:val="left" w:pos="2835"/>
        </w:tabs>
      </w:pPr>
      <w:r w:rsidRPr="00A35C95">
        <w:tab/>
        <w:t>(b)</w:t>
      </w:r>
      <w:r w:rsidRPr="00A35C95">
        <w:tab/>
        <w:t>a cheque drawn by a financial institution on a financial institution other than itself;</w:t>
      </w:r>
    </w:p>
    <w:p w14:paraId="55638444" w14:textId="77777777" w:rsidR="00E93F58" w:rsidRPr="00A35C95" w:rsidRDefault="00E93F58" w:rsidP="00366AB5">
      <w:pPr>
        <w:pStyle w:val="subsection2"/>
        <w:tabs>
          <w:tab w:val="left" w:pos="2835"/>
        </w:tabs>
      </w:pPr>
      <w:r w:rsidRPr="00A35C95">
        <w:rPr>
          <w:color w:val="000000"/>
        </w:rPr>
        <w:t>is not a financial product.</w:t>
      </w:r>
    </w:p>
    <w:p w14:paraId="65D60176" w14:textId="77777777" w:rsidR="00E93F58" w:rsidRPr="00A35C95" w:rsidRDefault="00E93F58" w:rsidP="00366AB5">
      <w:pPr>
        <w:pStyle w:val="ActHead5"/>
        <w:tabs>
          <w:tab w:val="left" w:pos="2835"/>
        </w:tabs>
      </w:pPr>
      <w:bookmarkStart w:id="428" w:name="_Toc152057789"/>
      <w:bookmarkStart w:id="429" w:name="_Toc158712012"/>
      <w:r w:rsidRPr="00844D11">
        <w:rPr>
          <w:rStyle w:val="CharSectno"/>
        </w:rPr>
        <w:t>7.1.07C</w:t>
      </w:r>
      <w:r w:rsidRPr="00A35C95">
        <w:t xml:space="preserve">  Specific things that are not financial products: insurance under an overseas student health insurance contract</w:t>
      </w:r>
      <w:bookmarkEnd w:id="428"/>
      <w:bookmarkEnd w:id="429"/>
    </w:p>
    <w:p w14:paraId="5E03071F" w14:textId="77777777" w:rsidR="00E93F58" w:rsidRPr="00A35C95" w:rsidRDefault="00E93F58" w:rsidP="00366AB5">
      <w:pPr>
        <w:pStyle w:val="subsection"/>
        <w:tabs>
          <w:tab w:val="left" w:pos="2835"/>
        </w:tabs>
      </w:pPr>
      <w:r w:rsidRPr="00A35C95">
        <w:tab/>
        <w:t>(1)</w:t>
      </w:r>
      <w:r w:rsidRPr="00A35C95">
        <w:tab/>
        <w:t>For paragraph 765A(1)(y) of the Act, insurance under an overseas student health insurance contract is not a financial product.</w:t>
      </w:r>
    </w:p>
    <w:p w14:paraId="353528BF" w14:textId="77777777" w:rsidR="00E93F58" w:rsidRPr="00A35C95" w:rsidRDefault="00E93F58" w:rsidP="00366AB5">
      <w:pPr>
        <w:pStyle w:val="subsection"/>
        <w:tabs>
          <w:tab w:val="left" w:pos="2835"/>
        </w:tabs>
      </w:pPr>
      <w:r w:rsidRPr="00A35C95">
        <w:tab/>
        <w:t>(2)</w:t>
      </w:r>
      <w:r w:rsidRPr="00A35C95">
        <w:tab/>
        <w:t>In this regulation:</w:t>
      </w:r>
    </w:p>
    <w:p w14:paraId="53690439" w14:textId="77777777" w:rsidR="00E93F58" w:rsidRPr="00A35C95" w:rsidRDefault="00E93F58" w:rsidP="00366AB5">
      <w:pPr>
        <w:pStyle w:val="Definition"/>
        <w:tabs>
          <w:tab w:val="left" w:pos="2835"/>
        </w:tabs>
      </w:pPr>
      <w:r w:rsidRPr="00A35C95">
        <w:rPr>
          <w:b/>
          <w:i/>
        </w:rPr>
        <w:t xml:space="preserve">overseas student health insurance contract </w:t>
      </w:r>
      <w:r w:rsidRPr="00A35C95">
        <w:t>has the same meaning as in Private Health Insurance Rules made for the purposes of Part 4</w:t>
      </w:r>
      <w:r>
        <w:noBreakHyphen/>
      </w:r>
      <w:r w:rsidRPr="00A35C95">
        <w:t xml:space="preserve">2 of the </w:t>
      </w:r>
      <w:r w:rsidRPr="00A35C95">
        <w:rPr>
          <w:i/>
        </w:rPr>
        <w:t>Private Health Insurance Act 2007</w:t>
      </w:r>
      <w:r w:rsidRPr="00A35C95">
        <w:t xml:space="preserve"> (which is about health insurance business).</w:t>
      </w:r>
    </w:p>
    <w:p w14:paraId="7ED3DA91" w14:textId="77777777" w:rsidR="00E93F58" w:rsidRPr="00A35C95" w:rsidRDefault="00E93F58" w:rsidP="00366AB5">
      <w:pPr>
        <w:pStyle w:val="notetext"/>
        <w:tabs>
          <w:tab w:val="left" w:pos="2835"/>
        </w:tabs>
      </w:pPr>
      <w:r w:rsidRPr="00A35C95">
        <w:t>Note:</w:t>
      </w:r>
      <w:r w:rsidRPr="00A35C95">
        <w:tab/>
        <w:t xml:space="preserve">In 2019, the meaning was given by rule 18 of the </w:t>
      </w:r>
      <w:r w:rsidRPr="00A35C95">
        <w:rPr>
          <w:i/>
        </w:rPr>
        <w:t>Private Health Insurance (Health Insurance Business) Rules 2018</w:t>
      </w:r>
      <w:r w:rsidRPr="00A35C95">
        <w:t>.</w:t>
      </w:r>
    </w:p>
    <w:p w14:paraId="2074E10B" w14:textId="77777777" w:rsidR="00E93F58" w:rsidRPr="00A35C95" w:rsidRDefault="00E93F58" w:rsidP="00366AB5">
      <w:pPr>
        <w:pStyle w:val="ActHead5"/>
        <w:tabs>
          <w:tab w:val="left" w:pos="2835"/>
        </w:tabs>
      </w:pPr>
      <w:bookmarkStart w:id="430" w:name="_Toc152057790"/>
      <w:bookmarkStart w:id="431" w:name="_Toc158712013"/>
      <w:r w:rsidRPr="00844D11">
        <w:rPr>
          <w:rStyle w:val="CharSectno"/>
        </w:rPr>
        <w:t>7.1.07E</w:t>
      </w:r>
      <w:r w:rsidRPr="00A35C95">
        <w:t xml:space="preserve">  Specific things that are not financial products: rights of the holder of a debenture</w:t>
      </w:r>
      <w:bookmarkEnd w:id="430"/>
      <w:bookmarkEnd w:id="431"/>
    </w:p>
    <w:p w14:paraId="3EEA19EB" w14:textId="77777777" w:rsidR="00E93F58" w:rsidRPr="00A35C95" w:rsidRDefault="00E93F58" w:rsidP="00366AB5">
      <w:pPr>
        <w:pStyle w:val="subsection"/>
        <w:tabs>
          <w:tab w:val="left" w:pos="2835"/>
        </w:tabs>
      </w:pPr>
      <w:r w:rsidRPr="00A35C95">
        <w:tab/>
        <w:t>(1)</w:t>
      </w:r>
      <w:r w:rsidRPr="00A35C95">
        <w:tab/>
        <w:t>This regulation applies to a facility that consists of the rights of the holder of a debenture against a trustee under a trust deed entered into under:</w:t>
      </w:r>
    </w:p>
    <w:p w14:paraId="35F12BAE" w14:textId="77777777" w:rsidR="00E93F58" w:rsidRPr="00A35C95" w:rsidRDefault="00E93F58" w:rsidP="00366AB5">
      <w:pPr>
        <w:pStyle w:val="paragraph"/>
        <w:tabs>
          <w:tab w:val="left" w:pos="2835"/>
        </w:tabs>
      </w:pPr>
      <w:r w:rsidRPr="00A35C95">
        <w:tab/>
        <w:t>(a)</w:t>
      </w:r>
      <w:r w:rsidRPr="00A35C95">
        <w:tab/>
        <w:t>section 283AA of the Act; or</w:t>
      </w:r>
    </w:p>
    <w:p w14:paraId="00258DDA" w14:textId="77777777" w:rsidR="00E93F58" w:rsidRPr="00A35C95" w:rsidRDefault="00E93F58" w:rsidP="00366AB5">
      <w:pPr>
        <w:pStyle w:val="paragraph"/>
        <w:tabs>
          <w:tab w:val="left" w:pos="2835"/>
        </w:tabs>
      </w:pPr>
      <w:r w:rsidRPr="00A35C95">
        <w:tab/>
        <w:t>(b)</w:t>
      </w:r>
      <w:r w:rsidRPr="00A35C95">
        <w:tab/>
        <w:t>Chapter 2L or Division 4 of Part 7.12 of the old Corporations Law.</w:t>
      </w:r>
    </w:p>
    <w:p w14:paraId="3BBF9D4B" w14:textId="77777777" w:rsidR="00E93F58" w:rsidRPr="00A35C95" w:rsidRDefault="00E93F58" w:rsidP="00366AB5">
      <w:pPr>
        <w:pStyle w:val="subsection"/>
        <w:tabs>
          <w:tab w:val="left" w:pos="2835"/>
        </w:tabs>
      </w:pPr>
      <w:r w:rsidRPr="00A35C95">
        <w:tab/>
        <w:t>(2)</w:t>
      </w:r>
      <w:r w:rsidRPr="00A35C95">
        <w:tab/>
        <w:t>For paragraph 765A(1)(y) of the Act, the facility is not a financial product.</w:t>
      </w:r>
    </w:p>
    <w:p w14:paraId="41020975" w14:textId="77777777" w:rsidR="00E93F58" w:rsidRPr="00A35C95" w:rsidRDefault="00E93F58" w:rsidP="00366AB5">
      <w:pPr>
        <w:pStyle w:val="ActHead5"/>
        <w:tabs>
          <w:tab w:val="left" w:pos="2835"/>
        </w:tabs>
      </w:pPr>
      <w:bookmarkStart w:id="432" w:name="_Toc152057791"/>
      <w:bookmarkStart w:id="433" w:name="_Toc158712014"/>
      <w:r w:rsidRPr="00844D11">
        <w:rPr>
          <w:rStyle w:val="CharSectno"/>
        </w:rPr>
        <w:t>7.1.07F</w:t>
      </w:r>
      <w:r w:rsidRPr="00A35C95">
        <w:t xml:space="preserve">  Specific things that are not financial products: money orders</w:t>
      </w:r>
      <w:bookmarkEnd w:id="432"/>
      <w:bookmarkEnd w:id="433"/>
    </w:p>
    <w:p w14:paraId="0631B31C" w14:textId="77777777" w:rsidR="00E93F58" w:rsidRPr="00A35C95" w:rsidRDefault="00E93F58" w:rsidP="00366AB5">
      <w:pPr>
        <w:pStyle w:val="subsection"/>
        <w:tabs>
          <w:tab w:val="left" w:pos="2835"/>
        </w:tabs>
      </w:pPr>
      <w:r w:rsidRPr="00A35C95">
        <w:tab/>
      </w:r>
      <w:r w:rsidRPr="00A35C95">
        <w:tab/>
        <w:t>For paragraph 765A(1)(y) of the Act, a money order issued as a money order by, or for, Australia Post is not a financial product.</w:t>
      </w:r>
    </w:p>
    <w:p w14:paraId="3BB0F856" w14:textId="77777777" w:rsidR="00E93F58" w:rsidRPr="00A35C95" w:rsidRDefault="00E93F58" w:rsidP="00366AB5">
      <w:pPr>
        <w:pStyle w:val="ActHead5"/>
        <w:tabs>
          <w:tab w:val="left" w:pos="2835"/>
        </w:tabs>
      </w:pPr>
      <w:bookmarkStart w:id="434" w:name="_Toc152057792"/>
      <w:bookmarkStart w:id="435" w:name="_Toc158712015"/>
      <w:r w:rsidRPr="00844D11">
        <w:rPr>
          <w:rStyle w:val="CharSectno"/>
        </w:rPr>
        <w:t>7.1.07G</w:t>
      </w:r>
      <w:r w:rsidRPr="00A35C95">
        <w:t xml:space="preserve">  Specific things that are not financial products: electronic funds transfers</w:t>
      </w:r>
      <w:bookmarkEnd w:id="434"/>
      <w:bookmarkEnd w:id="435"/>
    </w:p>
    <w:p w14:paraId="0F33D9CE" w14:textId="77777777" w:rsidR="00E93F58" w:rsidRPr="00A35C95" w:rsidRDefault="00E93F58" w:rsidP="00366AB5">
      <w:pPr>
        <w:pStyle w:val="subsection"/>
        <w:tabs>
          <w:tab w:val="left" w:pos="2835"/>
        </w:tabs>
      </w:pPr>
      <w:r w:rsidRPr="00A35C95">
        <w:tab/>
      </w:r>
      <w:r w:rsidRPr="00A35C95">
        <w:tab/>
        <w:t>For paragraph 765A(1)(y) of the Act, a non</w:t>
      </w:r>
      <w:r>
        <w:noBreakHyphen/>
      </w:r>
      <w:r w:rsidRPr="00A35C95">
        <w:t>cash payment facility is not a financial product if:</w:t>
      </w:r>
    </w:p>
    <w:p w14:paraId="53377027" w14:textId="77777777" w:rsidR="00E93F58" w:rsidRPr="00A35C95" w:rsidRDefault="00E93F58" w:rsidP="00366AB5">
      <w:pPr>
        <w:pStyle w:val="paragraph"/>
        <w:tabs>
          <w:tab w:val="left" w:pos="2835"/>
        </w:tabs>
      </w:pPr>
      <w:r w:rsidRPr="00A35C95">
        <w:tab/>
        <w:t>(a)</w:t>
      </w:r>
      <w:r w:rsidRPr="00A35C95">
        <w:tab/>
        <w:t>the issuer is:</w:t>
      </w:r>
    </w:p>
    <w:p w14:paraId="10D66A7A" w14:textId="77777777" w:rsidR="00E93F58" w:rsidRPr="00A35C95" w:rsidRDefault="00E93F58" w:rsidP="00366AB5">
      <w:pPr>
        <w:pStyle w:val="paragraphsub"/>
        <w:tabs>
          <w:tab w:val="left" w:pos="2835"/>
        </w:tabs>
      </w:pPr>
      <w:r w:rsidRPr="00A35C95">
        <w:tab/>
        <w:t>(i)</w:t>
      </w:r>
      <w:r w:rsidRPr="00A35C95">
        <w:tab/>
        <w:t xml:space="preserve">a body corporate that is an ADI (within the meaning of the </w:t>
      </w:r>
      <w:r w:rsidRPr="00A35C95">
        <w:rPr>
          <w:i/>
        </w:rPr>
        <w:t>Banking Act 1959</w:t>
      </w:r>
      <w:r w:rsidRPr="00A35C95">
        <w:t>); or</w:t>
      </w:r>
    </w:p>
    <w:p w14:paraId="0CBF89CA" w14:textId="77777777" w:rsidR="00E93F58" w:rsidRPr="00A35C95" w:rsidRDefault="00E93F58" w:rsidP="00366AB5">
      <w:pPr>
        <w:pStyle w:val="paragraphsub"/>
        <w:tabs>
          <w:tab w:val="left" w:pos="2835"/>
        </w:tabs>
      </w:pPr>
      <w:r w:rsidRPr="00A35C95">
        <w:tab/>
        <w:t>(ii)</w:t>
      </w:r>
      <w:r w:rsidRPr="00A35C95">
        <w:tab/>
        <w:t>an operator of a payment system; and</w:t>
      </w:r>
    </w:p>
    <w:p w14:paraId="2B15B817" w14:textId="77777777" w:rsidR="00E93F58" w:rsidRPr="00A35C95" w:rsidRDefault="00E93F58" w:rsidP="00366AB5">
      <w:pPr>
        <w:pStyle w:val="paragraph"/>
        <w:tabs>
          <w:tab w:val="left" w:pos="2835"/>
        </w:tabs>
      </w:pPr>
      <w:r w:rsidRPr="00A35C95">
        <w:tab/>
        <w:t>(b)</w:t>
      </w:r>
      <w:r w:rsidRPr="00A35C95">
        <w:tab/>
        <w:t>under the facility, as instructed by the client, the issuer makes money available (or causes it to be made available) to a person nominated by the client:</w:t>
      </w:r>
    </w:p>
    <w:p w14:paraId="7B441C8C" w14:textId="77777777" w:rsidR="00E93F58" w:rsidRPr="00A35C95" w:rsidRDefault="00E93F58" w:rsidP="00366AB5">
      <w:pPr>
        <w:pStyle w:val="paragraphsub"/>
        <w:tabs>
          <w:tab w:val="left" w:pos="2835"/>
        </w:tabs>
      </w:pPr>
      <w:r w:rsidRPr="00A35C95">
        <w:tab/>
        <w:t>(i)</w:t>
      </w:r>
      <w:r w:rsidRPr="00A35C95">
        <w:tab/>
        <w:t>within 2 business days of receiving the client’s instruction; or</w:t>
      </w:r>
    </w:p>
    <w:p w14:paraId="7F083106" w14:textId="77777777" w:rsidR="00E93F58" w:rsidRPr="00A35C95" w:rsidRDefault="00E93F58" w:rsidP="00366AB5">
      <w:pPr>
        <w:pStyle w:val="paragraphsub"/>
        <w:tabs>
          <w:tab w:val="left" w:pos="2835"/>
        </w:tabs>
      </w:pPr>
      <w:r w:rsidRPr="00A35C95">
        <w:tab/>
        <w:t>(ii)</w:t>
      </w:r>
      <w:r w:rsidRPr="00A35C95">
        <w:tab/>
        <w:t>within the time reasonably required to complete the transaction subject to any constraints imposed by law; and</w:t>
      </w:r>
    </w:p>
    <w:p w14:paraId="784DB148" w14:textId="77777777" w:rsidR="00E93F58" w:rsidRPr="00A35C95" w:rsidRDefault="00E93F58" w:rsidP="00366AB5">
      <w:pPr>
        <w:pStyle w:val="paragraph"/>
        <w:tabs>
          <w:tab w:val="left" w:pos="2835"/>
        </w:tabs>
      </w:pPr>
      <w:r w:rsidRPr="00A35C95">
        <w:tab/>
        <w:t>(c)</w:t>
      </w:r>
      <w:r w:rsidRPr="00A35C95">
        <w:tab/>
        <w:t>under the facility the funds are transferred by electronic means for collection by, or for the credit of, the payer or another person; and</w:t>
      </w:r>
    </w:p>
    <w:p w14:paraId="57970BF8" w14:textId="77777777" w:rsidR="00E93F58" w:rsidRPr="00A35C95" w:rsidRDefault="00E93F58" w:rsidP="00366AB5">
      <w:pPr>
        <w:pStyle w:val="paragraph"/>
        <w:tabs>
          <w:tab w:val="left" w:pos="2835"/>
        </w:tabs>
      </w:pPr>
      <w:r w:rsidRPr="00A35C95">
        <w:tab/>
        <w:t>(d)</w:t>
      </w:r>
      <w:r w:rsidRPr="00A35C95">
        <w:tab/>
        <w:t>the issuer and the payer do not have a standing arrangement to transfer funds in this manner.</w:t>
      </w:r>
    </w:p>
    <w:p w14:paraId="58B309D3" w14:textId="77777777" w:rsidR="00E93F58" w:rsidRPr="00A35C95" w:rsidRDefault="00E93F58" w:rsidP="00366AB5">
      <w:pPr>
        <w:pStyle w:val="notetext"/>
        <w:tabs>
          <w:tab w:val="left" w:pos="2835"/>
        </w:tabs>
      </w:pPr>
      <w:r w:rsidRPr="00A35C95">
        <w:t>Example:</w:t>
      </w:r>
      <w:r w:rsidRPr="00A35C95">
        <w:tab/>
        <w:t>Telegraphic transfers and international money transfers offered by banks and remittance dealers.</w:t>
      </w:r>
    </w:p>
    <w:p w14:paraId="678CD099" w14:textId="77777777" w:rsidR="00E93F58" w:rsidRPr="00A35C95" w:rsidRDefault="00E93F58" w:rsidP="00366AB5">
      <w:pPr>
        <w:pStyle w:val="ActHead5"/>
        <w:tabs>
          <w:tab w:val="left" w:pos="2835"/>
        </w:tabs>
      </w:pPr>
      <w:bookmarkStart w:id="436" w:name="_Toc152057793"/>
      <w:bookmarkStart w:id="437" w:name="_Toc158712016"/>
      <w:r w:rsidRPr="00844D11">
        <w:rPr>
          <w:rStyle w:val="CharSectno"/>
        </w:rPr>
        <w:lastRenderedPageBreak/>
        <w:t>7.1.07H</w:t>
      </w:r>
      <w:r w:rsidRPr="00A35C95">
        <w:t xml:space="preserve">  Specific things that are not financial products: ACT insurance</w:t>
      </w:r>
      <w:bookmarkEnd w:id="436"/>
      <w:bookmarkEnd w:id="437"/>
    </w:p>
    <w:p w14:paraId="202B5B78" w14:textId="77777777" w:rsidR="00E93F58" w:rsidRPr="00A35C95" w:rsidRDefault="00E93F58" w:rsidP="00366AB5">
      <w:pPr>
        <w:pStyle w:val="subsection"/>
        <w:keepNext/>
        <w:keepLines/>
        <w:tabs>
          <w:tab w:val="left" w:pos="2835"/>
        </w:tabs>
      </w:pPr>
      <w:r w:rsidRPr="00A35C95">
        <w:tab/>
      </w:r>
      <w:r w:rsidRPr="00A35C95">
        <w:tab/>
        <w:t>For paragraph 765A(1)(y) of the Act, Australian Capital Territory insurance, including insurance entered into by the Australian Capital Territory and another insurer as joint insurers, is not a financial product.</w:t>
      </w:r>
    </w:p>
    <w:p w14:paraId="3A60D4EC" w14:textId="77777777" w:rsidR="00E93F58" w:rsidRPr="00A35C95" w:rsidRDefault="00E93F58" w:rsidP="00366AB5">
      <w:pPr>
        <w:pStyle w:val="ActHead5"/>
        <w:tabs>
          <w:tab w:val="left" w:pos="2835"/>
        </w:tabs>
      </w:pPr>
      <w:bookmarkStart w:id="438" w:name="_Toc152057794"/>
      <w:bookmarkStart w:id="439" w:name="_Toc158712017"/>
      <w:r w:rsidRPr="00844D11">
        <w:rPr>
          <w:rStyle w:val="CharSectno"/>
        </w:rPr>
        <w:t>7.1.07J</w:t>
      </w:r>
      <w:r w:rsidRPr="00A35C95">
        <w:t xml:space="preserve">  Specific things that are not financial products—carbon abatement</w:t>
      </w:r>
      <w:bookmarkEnd w:id="438"/>
      <w:bookmarkEnd w:id="439"/>
    </w:p>
    <w:p w14:paraId="2FD542C5" w14:textId="77777777" w:rsidR="00E93F58" w:rsidRPr="00A35C95" w:rsidRDefault="00E93F58" w:rsidP="00366AB5">
      <w:pPr>
        <w:pStyle w:val="subsection"/>
        <w:tabs>
          <w:tab w:val="left" w:pos="2835"/>
        </w:tabs>
      </w:pPr>
      <w:r w:rsidRPr="00A35C95">
        <w:tab/>
      </w:r>
      <w:r w:rsidRPr="00A35C95">
        <w:tab/>
        <w:t>For paragraph 765A(1)(y) of the Act, a carbon abatement contract is declared not to be a financial product.</w:t>
      </w:r>
    </w:p>
    <w:p w14:paraId="236F3BA9" w14:textId="77777777" w:rsidR="00E93F58" w:rsidRPr="00A35C95" w:rsidRDefault="00E93F58" w:rsidP="00366AB5">
      <w:pPr>
        <w:pStyle w:val="notetext"/>
        <w:tabs>
          <w:tab w:val="left" w:pos="2835"/>
        </w:tabs>
      </w:pPr>
      <w:r w:rsidRPr="00A35C95">
        <w:t>Note:</w:t>
      </w:r>
      <w:r w:rsidRPr="00A35C95">
        <w:tab/>
        <w:t xml:space="preserve">For </w:t>
      </w:r>
      <w:r w:rsidRPr="00A35C95">
        <w:rPr>
          <w:b/>
          <w:i/>
        </w:rPr>
        <w:t>carbon abatement contract</w:t>
      </w:r>
      <w:r w:rsidRPr="00A35C95">
        <w:t>, see subregulation 1.0.02(1).</w:t>
      </w:r>
    </w:p>
    <w:p w14:paraId="7D508FCB" w14:textId="77777777" w:rsidR="00E93F58" w:rsidRPr="00A35C95" w:rsidRDefault="00E93F58" w:rsidP="00366AB5">
      <w:pPr>
        <w:pStyle w:val="ActHead5"/>
        <w:tabs>
          <w:tab w:val="left" w:pos="2835"/>
        </w:tabs>
      </w:pPr>
      <w:bookmarkStart w:id="440" w:name="_Toc152057795"/>
      <w:bookmarkStart w:id="441" w:name="_Hlk65738444"/>
      <w:bookmarkStart w:id="442" w:name="_Toc158712018"/>
      <w:r w:rsidRPr="00844D11">
        <w:rPr>
          <w:rStyle w:val="CharSectno"/>
        </w:rPr>
        <w:t>7.1.08AA</w:t>
      </w:r>
      <w:r w:rsidRPr="00A35C95">
        <w:t xml:space="preserve">  Meaning of </w:t>
      </w:r>
      <w:r w:rsidRPr="00A35C95">
        <w:rPr>
          <w:i/>
        </w:rPr>
        <w:t>financial product advice</w:t>
      </w:r>
      <w:r w:rsidRPr="00A35C95">
        <w:t>—advice that is not regarded as a necessary part of providing claims handling and settling services</w:t>
      </w:r>
      <w:bookmarkEnd w:id="440"/>
      <w:bookmarkEnd w:id="442"/>
    </w:p>
    <w:p w14:paraId="16A950F1" w14:textId="77777777" w:rsidR="00E93F58" w:rsidRPr="00A35C95" w:rsidRDefault="00E93F58" w:rsidP="00366AB5">
      <w:pPr>
        <w:pStyle w:val="SubsectionHead"/>
        <w:tabs>
          <w:tab w:val="left" w:pos="2835"/>
        </w:tabs>
      </w:pPr>
      <w:r w:rsidRPr="00A35C95">
        <w:t>Advice about how to structure or use insurance claim payouts</w:t>
      </w:r>
    </w:p>
    <w:p w14:paraId="7892DA21" w14:textId="77777777" w:rsidR="00E93F58" w:rsidRPr="00A35C95" w:rsidRDefault="00E93F58" w:rsidP="00366AB5">
      <w:pPr>
        <w:pStyle w:val="subsection"/>
        <w:tabs>
          <w:tab w:val="left" w:pos="2835"/>
        </w:tabs>
      </w:pPr>
      <w:r w:rsidRPr="00A35C95">
        <w:tab/>
        <w:t>(1)</w:t>
      </w:r>
      <w:r w:rsidRPr="00A35C95">
        <w:tab/>
        <w:t>For the purposes of paragraph 766B(7B)(b) of the Act, giving a recommendation or statement of opinion, or a report of either of those things, cannot reasonably be regarded as a necessary part of providing a claims handling and settling service if the recommendation, statement or report relates to:</w:t>
      </w:r>
    </w:p>
    <w:p w14:paraId="34C7271D" w14:textId="77777777" w:rsidR="00E93F58" w:rsidRPr="00A35C95" w:rsidRDefault="00E93F58" w:rsidP="00366AB5">
      <w:pPr>
        <w:pStyle w:val="paragraph"/>
        <w:tabs>
          <w:tab w:val="left" w:pos="2835"/>
        </w:tabs>
      </w:pPr>
      <w:r w:rsidRPr="00A35C95">
        <w:tab/>
        <w:t>(a)</w:t>
      </w:r>
      <w:r w:rsidRPr="00A35C95">
        <w:tab/>
        <w:t>how an amount to be paid to a person in settlement of a claim under an insurance product should be structured; or</w:t>
      </w:r>
    </w:p>
    <w:p w14:paraId="57345894" w14:textId="77777777" w:rsidR="00E93F58" w:rsidRPr="00A35C95" w:rsidRDefault="00E93F58" w:rsidP="00366AB5">
      <w:pPr>
        <w:pStyle w:val="paragraph"/>
        <w:tabs>
          <w:tab w:val="left" w:pos="2835"/>
        </w:tabs>
      </w:pPr>
      <w:r w:rsidRPr="00A35C95">
        <w:tab/>
        <w:t>(b)</w:t>
      </w:r>
      <w:r w:rsidRPr="00A35C95">
        <w:tab/>
        <w:t>the management or use of an amount paid, or to be paid, to a person in settlement of a claim under an insurance product.</w:t>
      </w:r>
    </w:p>
    <w:p w14:paraId="0E3705D4" w14:textId="77777777" w:rsidR="00E93F58" w:rsidRPr="00A35C95" w:rsidRDefault="00E93F58" w:rsidP="00366AB5">
      <w:pPr>
        <w:pStyle w:val="SubsectionHead"/>
        <w:tabs>
          <w:tab w:val="left" w:pos="2835"/>
        </w:tabs>
      </w:pPr>
      <w:r w:rsidRPr="00A35C95">
        <w:t>Advice about other insurance products or financial products</w:t>
      </w:r>
    </w:p>
    <w:p w14:paraId="6FE7443E" w14:textId="77777777" w:rsidR="00E93F58" w:rsidRPr="00A35C95" w:rsidRDefault="00E93F58" w:rsidP="00366AB5">
      <w:pPr>
        <w:pStyle w:val="subsection"/>
        <w:tabs>
          <w:tab w:val="left" w:pos="2835"/>
        </w:tabs>
      </w:pPr>
      <w:r w:rsidRPr="00A35C95">
        <w:tab/>
        <w:t>(2)</w:t>
      </w:r>
      <w:r w:rsidRPr="00A35C95">
        <w:tab/>
        <w:t>For the purposes of paragraph 766B(7B)(b) of the Act, giving a recommendation or statement of opinion, or a report of either of those things, cannot reasonably be regarded as a necessary part of providing a claims handling and settling service if the recommendation, statement or report:</w:t>
      </w:r>
    </w:p>
    <w:p w14:paraId="16320180" w14:textId="77777777" w:rsidR="00E93F58" w:rsidRPr="00A35C95" w:rsidRDefault="00E93F58" w:rsidP="00366AB5">
      <w:pPr>
        <w:pStyle w:val="paragraph"/>
        <w:tabs>
          <w:tab w:val="left" w:pos="2835"/>
        </w:tabs>
      </w:pPr>
      <w:r w:rsidRPr="00A35C95">
        <w:tab/>
        <w:t>(a)</w:t>
      </w:r>
      <w:r w:rsidRPr="00A35C95">
        <w:tab/>
        <w:t>is given in response to a claim, or potential claim, made under an insurance product; and</w:t>
      </w:r>
    </w:p>
    <w:p w14:paraId="17705276" w14:textId="77777777" w:rsidR="00E93F58" w:rsidRPr="00A35C95" w:rsidRDefault="00E93F58" w:rsidP="00366AB5">
      <w:pPr>
        <w:pStyle w:val="paragraph"/>
        <w:tabs>
          <w:tab w:val="left" w:pos="2835"/>
        </w:tabs>
      </w:pPr>
      <w:r w:rsidRPr="00A35C95">
        <w:tab/>
        <w:t>(b)</w:t>
      </w:r>
      <w:r w:rsidRPr="00A35C95">
        <w:tab/>
        <w:t>relates to other insurance products not held by the person making the claim or financial products.</w:t>
      </w:r>
    </w:p>
    <w:p w14:paraId="4B182CDE" w14:textId="77777777" w:rsidR="00E93F58" w:rsidRPr="00A35C95" w:rsidRDefault="00E93F58" w:rsidP="00366AB5">
      <w:pPr>
        <w:pStyle w:val="ActHead5"/>
        <w:tabs>
          <w:tab w:val="left" w:pos="2835"/>
        </w:tabs>
      </w:pPr>
      <w:bookmarkStart w:id="443" w:name="_Toc152057796"/>
      <w:bookmarkStart w:id="444" w:name="_Toc158712019"/>
      <w:bookmarkEnd w:id="441"/>
      <w:r w:rsidRPr="00844D11">
        <w:rPr>
          <w:rStyle w:val="CharSectno"/>
        </w:rPr>
        <w:t>7.1.08</w:t>
      </w:r>
      <w:r w:rsidRPr="00A35C95">
        <w:t xml:space="preserve">  Meaning of </w:t>
      </w:r>
      <w:r w:rsidRPr="00A35C95">
        <w:rPr>
          <w:i/>
        </w:rPr>
        <w:t>financial product advice</w:t>
      </w:r>
      <w:r w:rsidRPr="00A35C95">
        <w:t>: exempt document or statement</w:t>
      </w:r>
      <w:bookmarkEnd w:id="443"/>
      <w:bookmarkEnd w:id="444"/>
    </w:p>
    <w:p w14:paraId="797E1CBB" w14:textId="77777777" w:rsidR="00E93F58" w:rsidRPr="00A35C95" w:rsidRDefault="00E93F58" w:rsidP="00366AB5">
      <w:pPr>
        <w:pStyle w:val="subsection"/>
        <w:tabs>
          <w:tab w:val="left" w:pos="2835"/>
        </w:tabs>
      </w:pPr>
      <w:r w:rsidRPr="00A35C95">
        <w:tab/>
        <w:t>(1)</w:t>
      </w:r>
      <w:r w:rsidRPr="00A35C95">
        <w:tab/>
        <w:t xml:space="preserve">For subparagraph (a)(ii) of the definition of </w:t>
      </w:r>
      <w:r w:rsidRPr="00A35C95">
        <w:rPr>
          <w:b/>
          <w:i/>
        </w:rPr>
        <w:t xml:space="preserve">exempt document or statement </w:t>
      </w:r>
      <w:r w:rsidRPr="00A35C95">
        <w:t>in subsection 766B(9) of the Act, the following documents and statements are prescribed (and so excluded from the definition):</w:t>
      </w:r>
    </w:p>
    <w:p w14:paraId="76213B33" w14:textId="77777777" w:rsidR="00E93F58" w:rsidRPr="00A35C95" w:rsidRDefault="00E93F58" w:rsidP="00366AB5">
      <w:pPr>
        <w:pStyle w:val="paragraph"/>
        <w:tabs>
          <w:tab w:val="left" w:pos="2835"/>
        </w:tabs>
      </w:pPr>
      <w:r w:rsidRPr="00A35C95">
        <w:tab/>
        <w:t>(a)</w:t>
      </w:r>
      <w:r w:rsidRPr="00A35C95">
        <w:tab/>
        <w:t>a Product Disclosure Statement that:</w:t>
      </w:r>
    </w:p>
    <w:p w14:paraId="73E90ABC" w14:textId="77777777" w:rsidR="00E93F58" w:rsidRPr="00A35C95" w:rsidRDefault="00E93F58" w:rsidP="00366AB5">
      <w:pPr>
        <w:pStyle w:val="paragraphsub"/>
        <w:tabs>
          <w:tab w:val="left" w:pos="2835"/>
        </w:tabs>
      </w:pPr>
      <w:r w:rsidRPr="00A35C95">
        <w:tab/>
        <w:t>(i)</w:t>
      </w:r>
      <w:r w:rsidRPr="00A35C95">
        <w:tab/>
        <w:t>contains personal advice; or</w:t>
      </w:r>
    </w:p>
    <w:p w14:paraId="4E4DCE33" w14:textId="77777777" w:rsidR="00E93F58" w:rsidRPr="00A35C95" w:rsidRDefault="00E93F58" w:rsidP="00366AB5">
      <w:pPr>
        <w:pStyle w:val="paragraphsub"/>
        <w:tabs>
          <w:tab w:val="left" w:pos="2835"/>
        </w:tabs>
      </w:pPr>
      <w:r w:rsidRPr="00A35C95">
        <w:tab/>
        <w:t>(ii)</w:t>
      </w:r>
      <w:r w:rsidRPr="00A35C95">
        <w:tab/>
        <w:t>contains general advice about a financial product other than a financial product to which the Statement relates;</w:t>
      </w:r>
    </w:p>
    <w:p w14:paraId="19EC56C4" w14:textId="77777777" w:rsidR="00E93F58" w:rsidRPr="00A35C95" w:rsidRDefault="00E93F58" w:rsidP="00366AB5">
      <w:pPr>
        <w:pStyle w:val="paragraph"/>
        <w:tabs>
          <w:tab w:val="left" w:pos="2835"/>
        </w:tabs>
      </w:pPr>
      <w:r w:rsidRPr="00A35C95">
        <w:tab/>
        <w:t>(b)</w:t>
      </w:r>
      <w:r w:rsidRPr="00A35C95">
        <w:tab/>
        <w:t>a Financial Services Guide that contains personal advice;</w:t>
      </w:r>
    </w:p>
    <w:p w14:paraId="1AC967AF" w14:textId="77777777" w:rsidR="00E93F58" w:rsidRPr="00A35C95" w:rsidRDefault="00E93F58" w:rsidP="00366AB5">
      <w:pPr>
        <w:pStyle w:val="paragraph"/>
        <w:tabs>
          <w:tab w:val="left" w:pos="2835"/>
        </w:tabs>
      </w:pPr>
      <w:r w:rsidRPr="00A35C95">
        <w:tab/>
        <w:t>(c)</w:t>
      </w:r>
      <w:r w:rsidRPr="00A35C95">
        <w:tab/>
        <w:t>a document or statement that would, but for this regulation, be an exempt document or statement only because it is prepared or given in accordance with section 1018A of the Act;</w:t>
      </w:r>
    </w:p>
    <w:p w14:paraId="3B9B6D2E" w14:textId="77777777" w:rsidR="00E93F58" w:rsidRPr="00A35C95" w:rsidRDefault="00E93F58" w:rsidP="00366AB5">
      <w:pPr>
        <w:pStyle w:val="paragraph"/>
        <w:tabs>
          <w:tab w:val="left" w:pos="2835"/>
        </w:tabs>
      </w:pPr>
      <w:r w:rsidRPr="00A35C95">
        <w:tab/>
        <w:t>(d)</w:t>
      </w:r>
      <w:r w:rsidRPr="00A35C95">
        <w:tab/>
        <w:t>a record of advice mentioned in subsection 946B(3A) of the Act.</w:t>
      </w:r>
    </w:p>
    <w:p w14:paraId="54B857EC" w14:textId="77777777" w:rsidR="00E93F58" w:rsidRPr="00A35C95" w:rsidRDefault="00E93F58" w:rsidP="00366AB5">
      <w:pPr>
        <w:pStyle w:val="subsection"/>
        <w:tabs>
          <w:tab w:val="left" w:pos="2835"/>
        </w:tabs>
      </w:pPr>
      <w:r w:rsidRPr="00A35C95">
        <w:tab/>
        <w:t>(2)</w:t>
      </w:r>
      <w:r w:rsidRPr="00A35C95">
        <w:tab/>
        <w:t>For subregulation (1), if a person:</w:t>
      </w:r>
    </w:p>
    <w:p w14:paraId="3F11ED40" w14:textId="77777777" w:rsidR="00E93F58" w:rsidRPr="00A35C95" w:rsidRDefault="00E93F58" w:rsidP="00366AB5">
      <w:pPr>
        <w:pStyle w:val="paragraph"/>
        <w:tabs>
          <w:tab w:val="left" w:pos="2835"/>
        </w:tabs>
      </w:pPr>
      <w:r w:rsidRPr="00A35C95">
        <w:tab/>
        <w:t>(a)</w:t>
      </w:r>
      <w:r w:rsidRPr="00A35C95">
        <w:tab/>
        <w:t>acquires a financial product (</w:t>
      </w:r>
      <w:r w:rsidRPr="00A35C95">
        <w:rPr>
          <w:b/>
          <w:i/>
        </w:rPr>
        <w:t>product 1</w:t>
      </w:r>
      <w:r w:rsidRPr="00A35C95">
        <w:t>); and</w:t>
      </w:r>
    </w:p>
    <w:p w14:paraId="2DC77509" w14:textId="77777777" w:rsidR="00E93F58" w:rsidRPr="00A35C95" w:rsidRDefault="00E93F58" w:rsidP="00366AB5">
      <w:pPr>
        <w:pStyle w:val="paragraph"/>
        <w:tabs>
          <w:tab w:val="left" w:pos="2835"/>
        </w:tabs>
      </w:pPr>
      <w:r w:rsidRPr="00A35C95">
        <w:tab/>
        <w:t>(b)</w:t>
      </w:r>
      <w:r w:rsidRPr="00A35C95">
        <w:tab/>
        <w:t>will be able, by acquiring product 1, to give the product issuer an instruction to acquire a particular financial product or a financial product of a particular kind (within the meaning of section 1012IA of the Act) under a custodial arrangement (within the meaning of section 1012IA of the Act);</w:t>
      </w:r>
    </w:p>
    <w:p w14:paraId="57E1AA5E" w14:textId="77777777" w:rsidR="00E93F58" w:rsidRPr="00A35C95" w:rsidRDefault="00E93F58" w:rsidP="00366AB5">
      <w:pPr>
        <w:pStyle w:val="subsection2"/>
        <w:tabs>
          <w:tab w:val="left" w:pos="2835"/>
        </w:tabs>
      </w:pPr>
      <w:r w:rsidRPr="00A35C95">
        <w:t>the Product Disclosure Statement for product 1 is taken to relate to the other financial product.</w:t>
      </w:r>
    </w:p>
    <w:p w14:paraId="0751B8A9" w14:textId="77777777" w:rsidR="00E93F58" w:rsidRPr="00A35C95" w:rsidRDefault="00E93F58" w:rsidP="00366AB5">
      <w:pPr>
        <w:pStyle w:val="subsection"/>
        <w:tabs>
          <w:tab w:val="left" w:pos="2835"/>
        </w:tabs>
      </w:pPr>
      <w:r w:rsidRPr="00A35C95">
        <w:tab/>
        <w:t>(3)</w:t>
      </w:r>
      <w:r w:rsidRPr="00A35C95">
        <w:tab/>
        <w:t xml:space="preserve">For paragraph (b) of the definition of </w:t>
      </w:r>
      <w:r w:rsidRPr="00A35C95">
        <w:rPr>
          <w:b/>
          <w:i/>
        </w:rPr>
        <w:t>exempt document or statement</w:t>
      </w:r>
      <w:r w:rsidRPr="00A35C95">
        <w:t xml:space="preserve"> in subsection 766B(9) of the Act, documents, information and statements that:</w:t>
      </w:r>
    </w:p>
    <w:p w14:paraId="6525DD12" w14:textId="77777777" w:rsidR="00E93F58" w:rsidRPr="00A35C95" w:rsidRDefault="00E93F58" w:rsidP="00366AB5">
      <w:pPr>
        <w:pStyle w:val="paragraph"/>
        <w:tabs>
          <w:tab w:val="left" w:pos="2835"/>
        </w:tabs>
      </w:pPr>
      <w:r w:rsidRPr="00A35C95">
        <w:tab/>
        <w:t>(a)</w:t>
      </w:r>
      <w:r w:rsidRPr="00A35C95">
        <w:tab/>
        <w:t>do not contain personal advice; and</w:t>
      </w:r>
    </w:p>
    <w:p w14:paraId="789EE5C9" w14:textId="77777777" w:rsidR="00E93F58" w:rsidRPr="00A35C95" w:rsidRDefault="00E93F58" w:rsidP="00366AB5">
      <w:pPr>
        <w:pStyle w:val="paragraph"/>
        <w:tabs>
          <w:tab w:val="left" w:pos="2835"/>
        </w:tabs>
      </w:pPr>
      <w:r w:rsidRPr="00A35C95">
        <w:tab/>
        <w:t>(b)</w:t>
      </w:r>
      <w:r w:rsidRPr="00A35C95">
        <w:tab/>
        <w:t>are required by, and prepared as a result of, a requirement under an Australian law; and</w:t>
      </w:r>
    </w:p>
    <w:p w14:paraId="02E23F98" w14:textId="77777777" w:rsidR="00E93F58" w:rsidRPr="00A35C95" w:rsidRDefault="00E93F58" w:rsidP="00366AB5">
      <w:pPr>
        <w:pStyle w:val="paragraph"/>
        <w:tabs>
          <w:tab w:val="left" w:pos="2835"/>
        </w:tabs>
      </w:pPr>
      <w:r w:rsidRPr="00A35C95">
        <w:tab/>
        <w:t>(c)</w:t>
      </w:r>
      <w:r w:rsidRPr="00A35C95">
        <w:tab/>
        <w:t xml:space="preserve">are included in a class of documents, information or statements specified by ASIC in a list published in the </w:t>
      </w:r>
      <w:r w:rsidRPr="00A35C95">
        <w:rPr>
          <w:i/>
        </w:rPr>
        <w:t>Gazette</w:t>
      </w:r>
      <w:r w:rsidRPr="00A35C95">
        <w:t xml:space="preserve"> for this subregulation;</w:t>
      </w:r>
    </w:p>
    <w:p w14:paraId="3CAE492A" w14:textId="77777777" w:rsidR="00E93F58" w:rsidRPr="00A35C95" w:rsidRDefault="00E93F58" w:rsidP="00366AB5">
      <w:pPr>
        <w:pStyle w:val="subsection2"/>
        <w:tabs>
          <w:tab w:val="left" w:pos="2835"/>
        </w:tabs>
      </w:pPr>
      <w:r w:rsidRPr="00A35C95">
        <w:t>are prescribed (and so included in the definition).</w:t>
      </w:r>
    </w:p>
    <w:p w14:paraId="0539AAC7" w14:textId="77777777" w:rsidR="00E93F58" w:rsidRPr="00A35C95" w:rsidRDefault="00E93F58" w:rsidP="00366AB5">
      <w:pPr>
        <w:pStyle w:val="subsection"/>
        <w:tabs>
          <w:tab w:val="left" w:pos="2835"/>
        </w:tabs>
      </w:pPr>
      <w:r w:rsidRPr="00A35C95">
        <w:lastRenderedPageBreak/>
        <w:tab/>
        <w:t>(3A)</w:t>
      </w:r>
      <w:r w:rsidRPr="00A35C95">
        <w:tab/>
        <w:t xml:space="preserve">For the purposes of paragraph (b) of the definition of </w:t>
      </w:r>
      <w:r w:rsidRPr="00A35C95">
        <w:rPr>
          <w:b/>
          <w:i/>
        </w:rPr>
        <w:t>exempt document or statement</w:t>
      </w:r>
      <w:r w:rsidRPr="00A35C95">
        <w:t xml:space="preserve"> in subsection 766B(9) of the Act, the following documents and statements are prescribed (and so included in the definition):</w:t>
      </w:r>
    </w:p>
    <w:p w14:paraId="10594899" w14:textId="77777777" w:rsidR="00E93F58" w:rsidRPr="00A35C95" w:rsidRDefault="00E93F58" w:rsidP="00366AB5">
      <w:pPr>
        <w:pStyle w:val="paragraph"/>
        <w:tabs>
          <w:tab w:val="left" w:pos="2835"/>
        </w:tabs>
      </w:pPr>
      <w:r w:rsidRPr="00A35C95">
        <w:tab/>
        <w:t>(a)</w:t>
      </w:r>
      <w:r w:rsidRPr="00A35C95">
        <w:tab/>
        <w:t>a CSF offer document that does not contain personal advice;</w:t>
      </w:r>
    </w:p>
    <w:p w14:paraId="4C42C0D1" w14:textId="77777777" w:rsidR="00E93F58" w:rsidRPr="00A35C95" w:rsidRDefault="00E93F58" w:rsidP="00366AB5">
      <w:pPr>
        <w:pStyle w:val="paragraph"/>
        <w:tabs>
          <w:tab w:val="left" w:pos="2835"/>
        </w:tabs>
      </w:pPr>
      <w:r w:rsidRPr="00A35C95">
        <w:tab/>
        <w:t>(b)</w:t>
      </w:r>
      <w:r w:rsidRPr="00A35C95">
        <w:tab/>
        <w:t>a document or statement to the extent that it contains or draws information from a CSF offer document and attributes that information to the CSF offer document, if:</w:t>
      </w:r>
    </w:p>
    <w:p w14:paraId="37EBE459" w14:textId="77777777" w:rsidR="00E93F58" w:rsidRPr="00A35C95" w:rsidRDefault="00E93F58" w:rsidP="00366AB5">
      <w:pPr>
        <w:pStyle w:val="paragraphsub"/>
        <w:tabs>
          <w:tab w:val="left" w:pos="2835"/>
        </w:tabs>
      </w:pPr>
      <w:r w:rsidRPr="00A35C95">
        <w:tab/>
        <w:t>(i)</w:t>
      </w:r>
      <w:r w:rsidRPr="00A35C95">
        <w:tab/>
        <w:t>the information is published on the platform on which the CSF offer document is published, and does not contain personal advice; or</w:t>
      </w:r>
    </w:p>
    <w:p w14:paraId="6FA3FCAD" w14:textId="77777777" w:rsidR="00E93F58" w:rsidRPr="00A35C95" w:rsidRDefault="00E93F58" w:rsidP="00366AB5">
      <w:pPr>
        <w:pStyle w:val="paragraphsub"/>
        <w:tabs>
          <w:tab w:val="left" w:pos="2835"/>
        </w:tabs>
      </w:pPr>
      <w:r w:rsidRPr="00A35C95">
        <w:tab/>
        <w:t>(ii)</w:t>
      </w:r>
      <w:r w:rsidRPr="00A35C95">
        <w:tab/>
        <w:t>the information is a statement made on the communication facility for the CSF offer, and does not contain personal advice;</w:t>
      </w:r>
    </w:p>
    <w:p w14:paraId="01216A98" w14:textId="77777777" w:rsidR="00E93F58" w:rsidRPr="00A35C95" w:rsidRDefault="00E93F58" w:rsidP="00366AB5">
      <w:pPr>
        <w:pStyle w:val="paragraph"/>
        <w:tabs>
          <w:tab w:val="left" w:pos="2835"/>
        </w:tabs>
      </w:pPr>
      <w:r w:rsidRPr="00A35C95">
        <w:tab/>
        <w:t>(c)</w:t>
      </w:r>
      <w:r w:rsidRPr="00A35C95">
        <w:tab/>
        <w:t>an advertisement or publication to the extent that the advertisement or publication:</w:t>
      </w:r>
    </w:p>
    <w:p w14:paraId="7A02F280" w14:textId="77777777" w:rsidR="00E93F58" w:rsidRPr="00A35C95" w:rsidRDefault="00E93F58" w:rsidP="00366AB5">
      <w:pPr>
        <w:pStyle w:val="paragraphsub"/>
        <w:tabs>
          <w:tab w:val="left" w:pos="2835"/>
        </w:tabs>
      </w:pPr>
      <w:r w:rsidRPr="00A35C95">
        <w:tab/>
        <w:t>(i)</w:t>
      </w:r>
      <w:r w:rsidRPr="00A35C95">
        <w:tab/>
        <w:t>contains or draws information from a CSF offer document and attributes that information to the CSF offer document; and</w:t>
      </w:r>
    </w:p>
    <w:p w14:paraId="5E1E1BED" w14:textId="77777777" w:rsidR="00E93F58" w:rsidRPr="00A35C95" w:rsidRDefault="00E93F58" w:rsidP="00366AB5">
      <w:pPr>
        <w:pStyle w:val="paragraphsub"/>
        <w:tabs>
          <w:tab w:val="left" w:pos="2835"/>
        </w:tabs>
      </w:pPr>
      <w:r w:rsidRPr="00A35C95">
        <w:tab/>
        <w:t>(ii)</w:t>
      </w:r>
      <w:r w:rsidRPr="00A35C95">
        <w:tab/>
        <w:t>does not contravene subsection 738ZG(1) of the Act; and</w:t>
      </w:r>
    </w:p>
    <w:p w14:paraId="4422290A" w14:textId="77777777" w:rsidR="00E93F58" w:rsidRPr="00A35C95" w:rsidRDefault="00E93F58" w:rsidP="00366AB5">
      <w:pPr>
        <w:pStyle w:val="paragraphsub"/>
        <w:tabs>
          <w:tab w:val="left" w:pos="2835"/>
        </w:tabs>
      </w:pPr>
      <w:r w:rsidRPr="00A35C95">
        <w:tab/>
        <w:t>(iii)</w:t>
      </w:r>
      <w:r w:rsidRPr="00A35C95">
        <w:tab/>
        <w:t>does not contain personal advice.</w:t>
      </w:r>
    </w:p>
    <w:p w14:paraId="6D8D4B95" w14:textId="77777777" w:rsidR="00E93F58" w:rsidRPr="00A35C95" w:rsidRDefault="00E93F58" w:rsidP="00366AB5">
      <w:pPr>
        <w:pStyle w:val="subsection"/>
        <w:tabs>
          <w:tab w:val="left" w:pos="2835"/>
        </w:tabs>
      </w:pPr>
      <w:r w:rsidRPr="00A35C95">
        <w:tab/>
        <w:t>(4)</w:t>
      </w:r>
      <w:r w:rsidRPr="00A35C95">
        <w:tab/>
        <w:t xml:space="preserve">For paragraph (b) of the definition of </w:t>
      </w:r>
      <w:r w:rsidRPr="00A35C95">
        <w:rPr>
          <w:b/>
          <w:i/>
        </w:rPr>
        <w:t>exempt document or statement</w:t>
      </w:r>
      <w:r w:rsidRPr="00A35C95">
        <w:t xml:space="preserve"> in subsection 766B(9) of the Act:</w:t>
      </w:r>
    </w:p>
    <w:p w14:paraId="609982FF" w14:textId="77777777" w:rsidR="00E93F58" w:rsidRPr="00A35C95" w:rsidRDefault="00E93F58" w:rsidP="00366AB5">
      <w:pPr>
        <w:pStyle w:val="paragraph"/>
        <w:tabs>
          <w:tab w:val="left" w:pos="2835"/>
        </w:tabs>
      </w:pPr>
      <w:r w:rsidRPr="00A35C95">
        <w:tab/>
        <w:t>(a)</w:t>
      </w:r>
      <w:r w:rsidRPr="00A35C95">
        <w:tab/>
        <w:t>an assessment under subsection 985E(1) of the Act that a margin lending facility will not be unsuitable for the person to whom the margin lending facility is to be issued is prescribed (and so excluded from the definition); and</w:t>
      </w:r>
    </w:p>
    <w:p w14:paraId="7C4351D1" w14:textId="77777777" w:rsidR="00E93F58" w:rsidRPr="00A35C95" w:rsidRDefault="00E93F58" w:rsidP="00366AB5">
      <w:pPr>
        <w:pStyle w:val="paragraph"/>
        <w:tabs>
          <w:tab w:val="left" w:pos="2835"/>
        </w:tabs>
      </w:pPr>
      <w:r w:rsidRPr="00A35C95">
        <w:tab/>
        <w:t>(b)</w:t>
      </w:r>
      <w:r w:rsidRPr="00A35C95">
        <w:tab/>
        <w:t>an assessment under subsection 985E(1) of the Act that a margin lending facility whose limit is proposed to be increased will not be unsuitable for the person for whom the limit of the margin lending facility is to be increased is prescribed (and so excluded from the definition).</w:t>
      </w:r>
    </w:p>
    <w:p w14:paraId="3DA6AF52" w14:textId="77777777" w:rsidR="00E93F58" w:rsidRPr="00A35C95" w:rsidRDefault="00E93F58" w:rsidP="00366AB5">
      <w:pPr>
        <w:pStyle w:val="notetext"/>
        <w:tabs>
          <w:tab w:val="left" w:pos="2835"/>
        </w:tabs>
      </w:pPr>
      <w:r w:rsidRPr="00A35C95">
        <w:t>Note:</w:t>
      </w:r>
      <w:r w:rsidRPr="00A35C95">
        <w:tab/>
        <w:t xml:space="preserve">The effect of paragraph (b) of the definition of </w:t>
      </w:r>
      <w:r w:rsidRPr="00A35C95">
        <w:rPr>
          <w:b/>
          <w:i/>
        </w:rPr>
        <w:t>exempt document or statement</w:t>
      </w:r>
      <w:r w:rsidRPr="00A35C95">
        <w:t xml:space="preserve"> in subsection 766B(9), is that a prescribed document or statement is an exempt document or statement.</w:t>
      </w:r>
    </w:p>
    <w:p w14:paraId="3EA0A1F3" w14:textId="77777777" w:rsidR="00E93F58" w:rsidRPr="00A35C95" w:rsidRDefault="00E93F58" w:rsidP="00366AB5">
      <w:pPr>
        <w:pStyle w:val="ActHead5"/>
        <w:tabs>
          <w:tab w:val="left" w:pos="2835"/>
        </w:tabs>
      </w:pPr>
      <w:bookmarkStart w:id="445" w:name="_Toc152057797"/>
      <w:bookmarkStart w:id="446" w:name="_Toc158712020"/>
      <w:r w:rsidRPr="00844D11">
        <w:rPr>
          <w:rStyle w:val="CharSectno"/>
        </w:rPr>
        <w:t>7.1.08A</w:t>
      </w:r>
      <w:r w:rsidRPr="00A35C95">
        <w:t xml:space="preserve">  Modification of section 766D of the Act—free carbon units</w:t>
      </w:r>
      <w:bookmarkEnd w:id="445"/>
      <w:bookmarkEnd w:id="446"/>
    </w:p>
    <w:p w14:paraId="3371B3DB" w14:textId="77777777" w:rsidR="00E93F58" w:rsidRPr="00A35C95" w:rsidRDefault="00E93F58" w:rsidP="00366AB5">
      <w:pPr>
        <w:pStyle w:val="subsection"/>
        <w:tabs>
          <w:tab w:val="left" w:pos="2835"/>
        </w:tabs>
      </w:pPr>
      <w:r w:rsidRPr="00A35C95">
        <w:tab/>
      </w:r>
      <w:r w:rsidRPr="00A35C95">
        <w:tab/>
        <w:t xml:space="preserve">For paragraph 926B(1)(c) of the Act, Part 7.6 of the Act applies in relation to free carbon units (within the meaning of the </w:t>
      </w:r>
      <w:r w:rsidRPr="00A35C95">
        <w:rPr>
          <w:i/>
        </w:rPr>
        <w:t>Clean Energy Act 2011</w:t>
      </w:r>
      <w:r w:rsidRPr="00A35C95">
        <w:t>) as if section 766D of the Act were modified by inserting after subsection 766D(2) the following subsection:</w:t>
      </w:r>
    </w:p>
    <w:p w14:paraId="2C0DA476" w14:textId="77777777" w:rsidR="00E93F58" w:rsidRPr="00A35C95" w:rsidRDefault="00E93F58" w:rsidP="00366AB5">
      <w:pPr>
        <w:pStyle w:val="subsection"/>
        <w:keepLines/>
        <w:tabs>
          <w:tab w:val="left" w:pos="2835"/>
        </w:tabs>
      </w:pPr>
      <w:r w:rsidRPr="00A35C95">
        <w:tab/>
        <w:t>(3)</w:t>
      </w:r>
      <w:r w:rsidRPr="00A35C95">
        <w:tab/>
        <w:t xml:space="preserve">A person who holds a free carbon unit (within the meaning of the </w:t>
      </w:r>
      <w:r w:rsidRPr="00A35C95">
        <w:rPr>
          <w:i/>
        </w:rPr>
        <w:t>Clean Energy Act 2011</w:t>
      </w:r>
      <w:r w:rsidRPr="00A35C95">
        <w:t>) that has been issued to the person by the Clean Energy Regulator is taken not to be making a market for a financial product if the person states the price of the free carbon unit.</w:t>
      </w:r>
    </w:p>
    <w:p w14:paraId="226B1CC9" w14:textId="77777777" w:rsidR="00E93F58" w:rsidRPr="00A35C95" w:rsidRDefault="00E93F58" w:rsidP="00366AB5">
      <w:pPr>
        <w:pStyle w:val="ActHead5"/>
        <w:tabs>
          <w:tab w:val="left" w:pos="2835"/>
        </w:tabs>
      </w:pPr>
      <w:bookmarkStart w:id="447" w:name="_Toc152057798"/>
      <w:bookmarkStart w:id="448" w:name="_Toc158712021"/>
      <w:r w:rsidRPr="00844D11">
        <w:rPr>
          <w:rStyle w:val="CharSectno"/>
        </w:rPr>
        <w:t>7.1.09</w:t>
      </w:r>
      <w:r w:rsidRPr="00A35C95">
        <w:rPr>
          <w:sz w:val="16"/>
        </w:rPr>
        <w:t xml:space="preserve">  </w:t>
      </w:r>
      <w:r w:rsidRPr="00A35C95">
        <w:t>Obligations related to clearing and settlement facility</w:t>
      </w:r>
      <w:bookmarkEnd w:id="447"/>
      <w:bookmarkEnd w:id="448"/>
    </w:p>
    <w:p w14:paraId="023BFD4D" w14:textId="77777777" w:rsidR="00E93F58" w:rsidRPr="00A35C95" w:rsidRDefault="00E93F58" w:rsidP="00366AB5">
      <w:pPr>
        <w:pStyle w:val="subsection"/>
        <w:tabs>
          <w:tab w:val="left" w:pos="2835"/>
        </w:tabs>
      </w:pPr>
      <w:r w:rsidRPr="00A35C95">
        <w:tab/>
        <w:t>(1)</w:t>
      </w:r>
      <w:r w:rsidRPr="00A35C95">
        <w:tab/>
        <w:t>For paragraph 768A(1)(b) of the Act, the following obligations are prescribed:</w:t>
      </w:r>
    </w:p>
    <w:p w14:paraId="527121E1"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each obligation arising from a contract to transfer a </w:t>
      </w:r>
      <w:r>
        <w:t>security</w:t>
      </w:r>
      <w:r w:rsidRPr="00A35C95">
        <w:rPr>
          <w:color w:val="000000"/>
        </w:rPr>
        <w:t>;</w:t>
      </w:r>
    </w:p>
    <w:p w14:paraId="592D8357" w14:textId="77777777" w:rsidR="00E93F58" w:rsidRPr="00A35C95" w:rsidRDefault="00E93F58" w:rsidP="00366AB5">
      <w:pPr>
        <w:pStyle w:val="paragraph"/>
        <w:tabs>
          <w:tab w:val="left" w:pos="2835"/>
        </w:tabs>
      </w:pPr>
      <w:r w:rsidRPr="00A35C95">
        <w:tab/>
        <w:t>(b)</w:t>
      </w:r>
      <w:r w:rsidRPr="00A35C95">
        <w:tab/>
        <w:t xml:space="preserve">each obligation arising from a contract to transfer a </w:t>
      </w:r>
      <w:r w:rsidRPr="00BE1284">
        <w:t>managed investment product</w:t>
      </w:r>
      <w:r w:rsidRPr="00A35C95">
        <w:t>;</w:t>
      </w:r>
    </w:p>
    <w:p w14:paraId="42147FD7" w14:textId="77777777" w:rsidR="00E93F58" w:rsidRPr="00A35C95" w:rsidRDefault="00E93F58" w:rsidP="00366AB5">
      <w:pPr>
        <w:pStyle w:val="paragraph"/>
        <w:tabs>
          <w:tab w:val="left" w:pos="2835"/>
        </w:tabs>
      </w:pPr>
      <w:r w:rsidRPr="00A35C95">
        <w:tab/>
        <w:t>(c)</w:t>
      </w:r>
      <w:r w:rsidRPr="00A35C95">
        <w:tab/>
        <w:t>each obligation arising from acquiring or providing a financial product mentioned in paragraph 764A(1)(c) of the Act;</w:t>
      </w:r>
    </w:p>
    <w:p w14:paraId="27792FC7" w14:textId="77777777" w:rsidR="00E93F58" w:rsidRPr="00A35C95" w:rsidRDefault="00E93F58" w:rsidP="00366AB5">
      <w:pPr>
        <w:pStyle w:val="paragraph"/>
        <w:tabs>
          <w:tab w:val="left" w:pos="2835"/>
        </w:tabs>
      </w:pPr>
      <w:r w:rsidRPr="00A35C95">
        <w:tab/>
        <w:t>(d)</w:t>
      </w:r>
      <w:r w:rsidRPr="00A35C95">
        <w:tab/>
        <w:t>each obligation arising from a contract to transfer a financial product mentioned in paragraph 764A(1)(j) of the Act;</w:t>
      </w:r>
    </w:p>
    <w:p w14:paraId="6F2AA282" w14:textId="77777777" w:rsidR="00E93F58" w:rsidRPr="00A35C95" w:rsidRDefault="00E93F58" w:rsidP="00366AB5">
      <w:pPr>
        <w:pStyle w:val="paragraph"/>
        <w:tabs>
          <w:tab w:val="left" w:pos="2835"/>
        </w:tabs>
      </w:pPr>
      <w:r w:rsidRPr="00A35C95">
        <w:tab/>
        <w:t>(e)</w:t>
      </w:r>
      <w:r w:rsidRPr="00A35C95">
        <w:tab/>
        <w:t>each obligation arising from a contract to transfer a financial product mentioned in paragraph 764A(1)(ba) of the Act;</w:t>
      </w:r>
    </w:p>
    <w:p w14:paraId="51A93E6D" w14:textId="77777777" w:rsidR="00E93F58" w:rsidRPr="00A35C95" w:rsidRDefault="00E93F58" w:rsidP="00366AB5">
      <w:pPr>
        <w:pStyle w:val="paragraph"/>
        <w:tabs>
          <w:tab w:val="left" w:pos="2835"/>
        </w:tabs>
      </w:pPr>
      <w:r w:rsidRPr="00A35C95">
        <w:tab/>
        <w:t>(ea)</w:t>
      </w:r>
      <w:r w:rsidRPr="00A35C95">
        <w:tab/>
        <w:t xml:space="preserve">each obligation arising from a contract to transfer a </w:t>
      </w:r>
      <w:r w:rsidRPr="00BE1284">
        <w:t>foreign passport fund product</w:t>
      </w:r>
      <w:r w:rsidRPr="00A35C95">
        <w:t>;</w:t>
      </w:r>
    </w:p>
    <w:p w14:paraId="64CCB655" w14:textId="77777777" w:rsidR="00E93F58" w:rsidRPr="00A35C95" w:rsidRDefault="00E93F58" w:rsidP="00366AB5">
      <w:pPr>
        <w:pStyle w:val="paragraph"/>
        <w:tabs>
          <w:tab w:val="left" w:pos="2835"/>
        </w:tabs>
      </w:pPr>
      <w:r w:rsidRPr="00A35C95">
        <w:tab/>
        <w:t>(f)</w:t>
      </w:r>
      <w:r w:rsidRPr="00A35C95">
        <w:tab/>
        <w:t>each obligation arising from a contract to transfer a financial product mentioned in paragraph 764A(1)(k) of the Act;</w:t>
      </w:r>
    </w:p>
    <w:p w14:paraId="1C7BD9CF" w14:textId="77777777" w:rsidR="00E93F58" w:rsidRPr="00A35C95" w:rsidRDefault="00E93F58" w:rsidP="00366AB5">
      <w:pPr>
        <w:pStyle w:val="paragraph"/>
        <w:tabs>
          <w:tab w:val="left" w:pos="2835"/>
        </w:tabs>
      </w:pPr>
      <w:r w:rsidRPr="00A35C95">
        <w:tab/>
        <w:t>(fa)</w:t>
      </w:r>
      <w:r w:rsidRPr="00A35C95">
        <w:tab/>
        <w:t>each obligation arising from a contract to transfer a carbon unit, an Australian carbon credit unit or an eligible international emissions unit;</w:t>
      </w:r>
    </w:p>
    <w:p w14:paraId="565FA880" w14:textId="77777777" w:rsidR="00E93F58" w:rsidRPr="00A35C95" w:rsidRDefault="00E93F58" w:rsidP="00366AB5">
      <w:pPr>
        <w:pStyle w:val="notetext"/>
        <w:tabs>
          <w:tab w:val="left" w:pos="2835"/>
        </w:tabs>
      </w:pPr>
      <w:r w:rsidRPr="00A35C95">
        <w:t>Note:</w:t>
      </w:r>
      <w:r w:rsidRPr="00A35C95">
        <w:tab/>
        <w:t>See paragraphs 764A(1)(ka) and (kb) of the Act.</w:t>
      </w:r>
    </w:p>
    <w:p w14:paraId="2ED00939" w14:textId="77777777" w:rsidR="00E93F58" w:rsidRPr="00A35C95" w:rsidRDefault="00E93F58" w:rsidP="00366AB5">
      <w:pPr>
        <w:pStyle w:val="paragraph"/>
        <w:tabs>
          <w:tab w:val="left" w:pos="2835"/>
        </w:tabs>
      </w:pPr>
      <w:r w:rsidRPr="00A35C95">
        <w:tab/>
        <w:t>(g)</w:t>
      </w:r>
      <w:r w:rsidRPr="00A35C95">
        <w:tab/>
        <w:t>each obligation arising from a contract to transfer a right that includes an undertaking by a body to repay, as a debt, money deposited with or lent to the body;</w:t>
      </w:r>
    </w:p>
    <w:p w14:paraId="7DFE978F" w14:textId="77777777" w:rsidR="00E93F58" w:rsidRPr="00A35C95" w:rsidRDefault="00E93F58" w:rsidP="00366AB5">
      <w:pPr>
        <w:pStyle w:val="paragraph"/>
        <w:tabs>
          <w:tab w:val="left" w:pos="2835"/>
        </w:tabs>
      </w:pPr>
      <w:r w:rsidRPr="00A35C95">
        <w:tab/>
        <w:t>(h)</w:t>
      </w:r>
      <w:r w:rsidRPr="00A35C95">
        <w:tab/>
        <w:t>each obligation arising from the entry into a repurchase agreement.</w:t>
      </w:r>
    </w:p>
    <w:p w14:paraId="2B095092" w14:textId="77777777" w:rsidR="00E93F58" w:rsidRPr="00A35C95" w:rsidRDefault="00E93F58" w:rsidP="00366AB5">
      <w:pPr>
        <w:pStyle w:val="subsection"/>
        <w:tabs>
          <w:tab w:val="left" w:pos="2835"/>
        </w:tabs>
      </w:pPr>
      <w:r w:rsidRPr="00A35C95">
        <w:tab/>
        <w:t>(2)</w:t>
      </w:r>
      <w:r w:rsidRPr="00A35C95">
        <w:tab/>
        <w:t xml:space="preserve">In this regulation, </w:t>
      </w:r>
      <w:r w:rsidRPr="00A35C95">
        <w:rPr>
          <w:b/>
          <w:i/>
        </w:rPr>
        <w:t>repurchase agreement</w:t>
      </w:r>
      <w:r w:rsidRPr="00A35C95">
        <w:t xml:space="preserve"> means a repurchase transaction, in relation to a financial product, entered into pursuant to:</w:t>
      </w:r>
    </w:p>
    <w:p w14:paraId="1F64C230" w14:textId="77777777" w:rsidR="00E93F58" w:rsidRPr="00A35C95" w:rsidRDefault="00E93F58" w:rsidP="00366AB5">
      <w:pPr>
        <w:pStyle w:val="paragraph"/>
        <w:tabs>
          <w:tab w:val="left" w:pos="2835"/>
        </w:tabs>
      </w:pPr>
      <w:r w:rsidRPr="00A35C95">
        <w:lastRenderedPageBreak/>
        <w:tab/>
        <w:t>(a)</w:t>
      </w:r>
      <w:r w:rsidRPr="00A35C95">
        <w:tab/>
        <w:t>The Bond Market Association and the International Securities Market Association Global Master Repurchase Agreement (known as the TBMA/ISMA Global Master Repurchase Agreement); or</w:t>
      </w:r>
    </w:p>
    <w:p w14:paraId="777A7A69" w14:textId="77777777" w:rsidR="00E93F58" w:rsidRPr="00A35C95" w:rsidRDefault="00E93F58" w:rsidP="00366AB5">
      <w:pPr>
        <w:pStyle w:val="paragraph"/>
        <w:tabs>
          <w:tab w:val="left" w:pos="2835"/>
        </w:tabs>
      </w:pPr>
      <w:r w:rsidRPr="00A35C95">
        <w:tab/>
        <w:t>(b)</w:t>
      </w:r>
      <w:r w:rsidRPr="00A35C95">
        <w:tab/>
        <w:t>another commonly used master agreement for repurchase transactions.</w:t>
      </w:r>
    </w:p>
    <w:p w14:paraId="30B6F938" w14:textId="77777777" w:rsidR="00E93F58" w:rsidRPr="00A35C95" w:rsidRDefault="00E93F58" w:rsidP="00366AB5">
      <w:pPr>
        <w:pStyle w:val="ActHead5"/>
        <w:tabs>
          <w:tab w:val="left" w:pos="2835"/>
        </w:tabs>
      </w:pPr>
      <w:bookmarkStart w:id="449" w:name="_Toc152057799"/>
      <w:bookmarkStart w:id="450" w:name="_Toc158712022"/>
      <w:r w:rsidRPr="00844D11">
        <w:rPr>
          <w:rStyle w:val="CharSectno"/>
        </w:rPr>
        <w:t>7.1.10</w:t>
      </w:r>
      <w:r w:rsidRPr="00A35C95">
        <w:rPr>
          <w:sz w:val="16"/>
        </w:rPr>
        <w:t xml:space="preserve">  </w:t>
      </w:r>
      <w:r w:rsidRPr="00A35C95">
        <w:t>Conduct that does not constitute operating a clearing and settlement facility</w:t>
      </w:r>
      <w:bookmarkEnd w:id="449"/>
      <w:bookmarkEnd w:id="450"/>
    </w:p>
    <w:p w14:paraId="7683A28C" w14:textId="77777777" w:rsidR="00E93F58" w:rsidRPr="00A35C95" w:rsidRDefault="00E93F58" w:rsidP="00366AB5">
      <w:pPr>
        <w:pStyle w:val="subsection"/>
        <w:tabs>
          <w:tab w:val="left" w:pos="2835"/>
        </w:tabs>
      </w:pPr>
      <w:r w:rsidRPr="00A35C95">
        <w:tab/>
        <w:t>(2)</w:t>
      </w:r>
      <w:r w:rsidRPr="00A35C95">
        <w:tab/>
        <w:t>For paragraph 768A(2)(i) of the Act, the conduct of:</w:t>
      </w:r>
    </w:p>
    <w:p w14:paraId="32FFC075" w14:textId="77777777" w:rsidR="00E93F58" w:rsidRPr="00A35C95" w:rsidRDefault="00E93F58" w:rsidP="00366AB5">
      <w:pPr>
        <w:pStyle w:val="paragraph"/>
        <w:tabs>
          <w:tab w:val="left" w:pos="2835"/>
        </w:tabs>
      </w:pPr>
      <w:r w:rsidRPr="00A35C95">
        <w:rPr>
          <w:color w:val="000000"/>
        </w:rPr>
        <w:tab/>
        <w:t>(a)</w:t>
      </w:r>
      <w:r w:rsidRPr="00A35C95">
        <w:rPr>
          <w:color w:val="000000"/>
        </w:rPr>
        <w:tab/>
      </w:r>
      <w:r w:rsidRPr="00A35C95">
        <w:t>National Stock Exchange of Australia Limited,</w:t>
      </w:r>
      <w:r w:rsidRPr="00A35C95">
        <w:rPr>
          <w:color w:val="000000"/>
        </w:rPr>
        <w:t xml:space="preserve"> or an agent of that body; or</w:t>
      </w:r>
    </w:p>
    <w:p w14:paraId="18871C0D" w14:textId="77777777" w:rsidR="00E93F58" w:rsidRPr="00A35C95" w:rsidRDefault="00E93F58" w:rsidP="00366AB5">
      <w:pPr>
        <w:pStyle w:val="paragraph"/>
        <w:tabs>
          <w:tab w:val="left" w:pos="2835"/>
        </w:tabs>
      </w:pPr>
      <w:r w:rsidRPr="00A35C95">
        <w:tab/>
        <w:t>(b)</w:t>
      </w:r>
      <w:r w:rsidRPr="00A35C95">
        <w:tab/>
        <w:t>a participant of the National Stock Exchange of Australia Limited, or an agent of the participant; or</w:t>
      </w:r>
    </w:p>
    <w:p w14:paraId="124BE682" w14:textId="77777777" w:rsidR="00E93F58" w:rsidRPr="00A35C95" w:rsidRDefault="00E93F58" w:rsidP="00366AB5">
      <w:pPr>
        <w:pStyle w:val="paragraph"/>
        <w:tabs>
          <w:tab w:val="left" w:pos="2835"/>
        </w:tabs>
      </w:pPr>
      <w:r w:rsidRPr="00A35C95">
        <w:tab/>
        <w:t>(c)</w:t>
      </w:r>
      <w:r w:rsidRPr="00A35C95">
        <w:tab/>
        <w:t>Bendigo Stock Exchange Limited, or an agent of that body; or</w:t>
      </w:r>
    </w:p>
    <w:p w14:paraId="04D6BD28" w14:textId="77777777" w:rsidR="00E93F58" w:rsidRPr="00A35C95" w:rsidRDefault="00E93F58" w:rsidP="00366AB5">
      <w:pPr>
        <w:pStyle w:val="paragraph"/>
        <w:tabs>
          <w:tab w:val="left" w:pos="2835"/>
        </w:tabs>
      </w:pPr>
      <w:r w:rsidRPr="00A35C95">
        <w:tab/>
        <w:t>(d)</w:t>
      </w:r>
      <w:r w:rsidRPr="00A35C95">
        <w:tab/>
        <w:t>a participant of the Bendigo Stock Exchange Limited, or an agent of the participant;</w:t>
      </w:r>
    </w:p>
    <w:p w14:paraId="3D235649" w14:textId="77777777" w:rsidR="00E93F58" w:rsidRPr="00A35C95" w:rsidRDefault="00E93F58" w:rsidP="00366AB5">
      <w:pPr>
        <w:pStyle w:val="subsection2"/>
        <w:tabs>
          <w:tab w:val="left" w:pos="2835"/>
        </w:tabs>
      </w:pPr>
      <w:r w:rsidRPr="00A35C95">
        <w:rPr>
          <w:color w:val="000000"/>
        </w:rPr>
        <w:t xml:space="preserve">in operating a facility in accordance with the operating rules of a licensed market does not constitute operating a </w:t>
      </w:r>
      <w:r w:rsidRPr="00A35C95">
        <w:rPr>
          <w:b/>
          <w:i/>
          <w:color w:val="000000"/>
        </w:rPr>
        <w:t>clearing and settlement facility</w:t>
      </w:r>
      <w:r w:rsidRPr="00A35C95">
        <w:rPr>
          <w:color w:val="000000"/>
        </w:rPr>
        <w:t xml:space="preserve"> if the requirements of subregulation (3) are met.</w:t>
      </w:r>
    </w:p>
    <w:p w14:paraId="0FB2158D" w14:textId="77777777" w:rsidR="00E93F58" w:rsidRPr="00A35C95" w:rsidRDefault="00E93F58" w:rsidP="00366AB5">
      <w:pPr>
        <w:pStyle w:val="subsection"/>
        <w:tabs>
          <w:tab w:val="left" w:pos="2835"/>
        </w:tabs>
      </w:pPr>
      <w:r w:rsidRPr="00A35C95">
        <w:tab/>
        <w:t>(3)</w:t>
      </w:r>
      <w:r w:rsidRPr="00A35C95">
        <w:tab/>
        <w:t>For subregulation (2), the requirements are:</w:t>
      </w:r>
    </w:p>
    <w:p w14:paraId="3DF16C55" w14:textId="77777777" w:rsidR="00E93F58" w:rsidRPr="00A35C95" w:rsidRDefault="00E93F58" w:rsidP="00366AB5">
      <w:pPr>
        <w:pStyle w:val="paragraph"/>
        <w:tabs>
          <w:tab w:val="left" w:pos="2835"/>
        </w:tabs>
      </w:pPr>
      <w:r w:rsidRPr="00A35C95">
        <w:rPr>
          <w:color w:val="000000"/>
        </w:rPr>
        <w:tab/>
        <w:t>(a)</w:t>
      </w:r>
      <w:r w:rsidRPr="00A35C95">
        <w:rPr>
          <w:color w:val="000000"/>
        </w:rPr>
        <w:tab/>
        <w:t>the market licensee must have, and must be responsible for enforcing, operating rules that apply to a participant of the licensed market in relation to the participant’s obligations arising from transactions carried out on the licensed market; and</w:t>
      </w:r>
    </w:p>
    <w:p w14:paraId="71D5D5DD" w14:textId="77777777" w:rsidR="00E93F58" w:rsidRPr="00A35C95" w:rsidRDefault="00E93F58" w:rsidP="00366AB5">
      <w:pPr>
        <w:pStyle w:val="paragraph"/>
        <w:tabs>
          <w:tab w:val="left" w:pos="2835"/>
        </w:tabs>
      </w:pPr>
      <w:r w:rsidRPr="00A35C95">
        <w:tab/>
        <w:t>(b)</w:t>
      </w:r>
      <w:r w:rsidRPr="00A35C95">
        <w:tab/>
        <w:t>a participant mentioned in paragraph (a), or an agent of the participant appointed in accordance with the operating rules of the licensed market, must be responsible for fulfilling the obligations owed to another participant or agent arising from transactions carried out on the licensed market; and</w:t>
      </w:r>
    </w:p>
    <w:p w14:paraId="337A6916" w14:textId="77777777" w:rsidR="00E93F58" w:rsidRPr="00A35C95" w:rsidRDefault="00E93F58" w:rsidP="00366AB5">
      <w:pPr>
        <w:pStyle w:val="paragraph"/>
        <w:tabs>
          <w:tab w:val="left" w:pos="2835"/>
        </w:tabs>
      </w:pPr>
      <w:r w:rsidRPr="00A35C95">
        <w:tab/>
        <w:t>(c)</w:t>
      </w:r>
      <w:r w:rsidRPr="00A35C95">
        <w:tab/>
        <w:t>the market licensee is not the operator of any other clearing and settlement facility; and</w:t>
      </w:r>
    </w:p>
    <w:p w14:paraId="7A1E36BF" w14:textId="77777777" w:rsidR="00E93F58" w:rsidRPr="00A35C95" w:rsidRDefault="00E93F58" w:rsidP="00366AB5">
      <w:pPr>
        <w:pStyle w:val="paragraph"/>
        <w:tabs>
          <w:tab w:val="left" w:pos="2835"/>
        </w:tabs>
      </w:pPr>
      <w:r w:rsidRPr="00A35C95">
        <w:tab/>
        <w:t>(d)</w:t>
      </w:r>
      <w:r w:rsidRPr="00A35C95">
        <w:tab/>
        <w:t>each participant of the licensed market is not the operator of any other clearing and settlement facility; and</w:t>
      </w:r>
    </w:p>
    <w:p w14:paraId="742741B5" w14:textId="77777777" w:rsidR="00E93F58" w:rsidRPr="00A35C95" w:rsidRDefault="00E93F58" w:rsidP="00366AB5">
      <w:pPr>
        <w:pStyle w:val="paragraph"/>
        <w:tabs>
          <w:tab w:val="left" w:pos="2835"/>
        </w:tabs>
      </w:pPr>
      <w:r w:rsidRPr="00A35C95">
        <w:tab/>
        <w:t>(e)</w:t>
      </w:r>
      <w:r w:rsidRPr="00A35C95">
        <w:tab/>
        <w:t>each agent of a participant of the licensed market is not the operator of any other clearing and settlement facility.</w:t>
      </w:r>
    </w:p>
    <w:p w14:paraId="2110B491" w14:textId="77777777" w:rsidR="00E93F58" w:rsidRPr="00A35C95" w:rsidRDefault="00E93F58" w:rsidP="00366AB5">
      <w:pPr>
        <w:pStyle w:val="ActHead3"/>
        <w:pageBreakBefore/>
        <w:tabs>
          <w:tab w:val="left" w:pos="2835"/>
        </w:tabs>
        <w:rPr>
          <w:color w:val="000000"/>
        </w:rPr>
      </w:pPr>
      <w:bookmarkStart w:id="451" w:name="_Toc152057800"/>
      <w:bookmarkStart w:id="452" w:name="_Toc158712023"/>
      <w:r w:rsidRPr="00844D11">
        <w:rPr>
          <w:rStyle w:val="CharDivNo"/>
        </w:rPr>
        <w:lastRenderedPageBreak/>
        <w:t>Division 2</w:t>
      </w:r>
      <w:r w:rsidRPr="00A35C95">
        <w:rPr>
          <w:color w:val="000000"/>
        </w:rPr>
        <w:t>—</w:t>
      </w:r>
      <w:r w:rsidRPr="00844D11">
        <w:rPr>
          <w:rStyle w:val="CharDivText"/>
        </w:rPr>
        <w:t>Retail clients and wholesale clients</w:t>
      </w:r>
      <w:bookmarkEnd w:id="451"/>
      <w:bookmarkEnd w:id="452"/>
    </w:p>
    <w:p w14:paraId="18EBE33D" w14:textId="77777777" w:rsidR="00E93F58" w:rsidRPr="00A35C95" w:rsidRDefault="00E93F58" w:rsidP="00366AB5">
      <w:pPr>
        <w:pStyle w:val="ActHead5"/>
        <w:tabs>
          <w:tab w:val="left" w:pos="2835"/>
        </w:tabs>
      </w:pPr>
      <w:bookmarkStart w:id="453" w:name="_Toc152057801"/>
      <w:bookmarkStart w:id="454" w:name="_Toc158712024"/>
      <w:r w:rsidRPr="00844D11">
        <w:rPr>
          <w:rStyle w:val="CharSectno"/>
        </w:rPr>
        <w:t>7.1.11</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motor vehicle insurance product</w:t>
      </w:r>
      <w:bookmarkEnd w:id="453"/>
      <w:bookmarkEnd w:id="454"/>
    </w:p>
    <w:p w14:paraId="2C79565B"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For subparagraph 761G(5)(b)(i) of the Act, a </w:t>
      </w:r>
      <w:r w:rsidRPr="00A35C95">
        <w:rPr>
          <w:b/>
          <w:i/>
          <w:color w:val="000000"/>
        </w:rPr>
        <w:t>motor vehicle insurance product</w:t>
      </w:r>
      <w:r w:rsidRPr="00A35C95">
        <w:rPr>
          <w:color w:val="000000"/>
        </w:rPr>
        <w:t xml:space="preserve"> is a contract </w:t>
      </w:r>
      <w:r w:rsidRPr="00A35C95">
        <w:t>or part of a contract</w:t>
      </w:r>
      <w:r w:rsidRPr="00A35C95">
        <w:rPr>
          <w:color w:val="000000"/>
        </w:rPr>
        <w:t xml:space="preserve"> that provides insurance cover (whether or not the cover is limited or restricted in any way) in respect of one or more of the following:</w:t>
      </w:r>
    </w:p>
    <w:p w14:paraId="45F2A791" w14:textId="77777777" w:rsidR="00E93F58" w:rsidRPr="00A35C95" w:rsidRDefault="00E93F58" w:rsidP="00366AB5">
      <w:pPr>
        <w:pStyle w:val="paragraph"/>
        <w:tabs>
          <w:tab w:val="left" w:pos="2835"/>
        </w:tabs>
      </w:pPr>
      <w:r w:rsidRPr="00A35C95">
        <w:rPr>
          <w:color w:val="000000"/>
        </w:rPr>
        <w:tab/>
        <w:t>(a)</w:t>
      </w:r>
      <w:r w:rsidRPr="00A35C95">
        <w:rPr>
          <w:color w:val="000000"/>
        </w:rPr>
        <w:tab/>
        <w:t>loss of, or damage to, a motor vehicle;</w:t>
      </w:r>
    </w:p>
    <w:p w14:paraId="09133C99" w14:textId="77777777" w:rsidR="00E93F58" w:rsidRPr="00A35C95" w:rsidRDefault="00E93F58" w:rsidP="00366AB5">
      <w:pPr>
        <w:pStyle w:val="paragraph"/>
        <w:tabs>
          <w:tab w:val="left" w:pos="2835"/>
        </w:tabs>
      </w:pPr>
      <w:r w:rsidRPr="00A35C95">
        <w:tab/>
        <w:t>(b)</w:t>
      </w:r>
      <w:r w:rsidRPr="00A35C95">
        <w:tab/>
        <w:t>liability for loss of, or damage to, property caused by or resulting from impact of a motor vehicle with some other thing.</w:t>
      </w:r>
    </w:p>
    <w:p w14:paraId="420861AB" w14:textId="77777777" w:rsidR="00E93F58" w:rsidRPr="00A35C95" w:rsidRDefault="00E93F58" w:rsidP="00366AB5">
      <w:pPr>
        <w:pStyle w:val="subsection"/>
        <w:tabs>
          <w:tab w:val="left" w:pos="2835"/>
        </w:tabs>
      </w:pPr>
      <w:r w:rsidRPr="00A35C95">
        <w:tab/>
        <w:t>(2)</w:t>
      </w:r>
      <w:r w:rsidRPr="00A35C95">
        <w:tab/>
        <w:t>A motor vehicle insurance product does not include:</w:t>
      </w:r>
    </w:p>
    <w:p w14:paraId="5697BDC7"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insurance to or in relation to which the </w:t>
      </w:r>
      <w:r w:rsidRPr="00A35C95">
        <w:rPr>
          <w:i/>
          <w:color w:val="000000"/>
        </w:rPr>
        <w:t>Marine Insurance Act 1909</w:t>
      </w:r>
      <w:r w:rsidRPr="00A35C95">
        <w:rPr>
          <w:color w:val="000000"/>
        </w:rPr>
        <w:t xml:space="preserve"> applies; or</w:t>
      </w:r>
    </w:p>
    <w:p w14:paraId="16586146" w14:textId="77777777" w:rsidR="00E93F58" w:rsidRPr="00A35C95" w:rsidRDefault="00E93F58" w:rsidP="00366AB5">
      <w:pPr>
        <w:pStyle w:val="paragraph"/>
        <w:tabs>
          <w:tab w:val="left" w:pos="2835"/>
        </w:tabs>
      </w:pPr>
      <w:r w:rsidRPr="00A35C95">
        <w:tab/>
        <w:t>(b)</w:t>
      </w:r>
      <w:r w:rsidRPr="00A35C95">
        <w:tab/>
        <w:t>insurance entered into, or proposed to be entered into, for the purposes of a law (including a law of a State or Territory) that relates to:</w:t>
      </w:r>
    </w:p>
    <w:p w14:paraId="57987612" w14:textId="77777777" w:rsidR="00E93F58" w:rsidRPr="00A35C95" w:rsidRDefault="00E93F58" w:rsidP="00366AB5">
      <w:pPr>
        <w:pStyle w:val="paragraphsub"/>
        <w:tabs>
          <w:tab w:val="left" w:pos="2835"/>
        </w:tabs>
      </w:pPr>
      <w:r w:rsidRPr="00A35C95">
        <w:rPr>
          <w:color w:val="000000"/>
        </w:rPr>
        <w:tab/>
        <w:t>(i)</w:t>
      </w:r>
      <w:r w:rsidRPr="00A35C95">
        <w:rPr>
          <w:color w:val="000000"/>
        </w:rPr>
        <w:tab/>
        <w:t>workers’ compensation; or</w:t>
      </w:r>
    </w:p>
    <w:p w14:paraId="0EF680DC" w14:textId="77777777" w:rsidR="00E93F58" w:rsidRPr="00A35C95" w:rsidRDefault="00E93F58" w:rsidP="00366AB5">
      <w:pPr>
        <w:pStyle w:val="paragraphsub"/>
        <w:tabs>
          <w:tab w:val="left" w:pos="2835"/>
        </w:tabs>
      </w:pPr>
      <w:r w:rsidRPr="00A35C95">
        <w:tab/>
        <w:t>(ii)</w:t>
      </w:r>
      <w:r w:rsidRPr="00A35C95">
        <w:tab/>
        <w:t>compulsory third party compensation.</w:t>
      </w:r>
    </w:p>
    <w:p w14:paraId="21BA361D" w14:textId="77777777" w:rsidR="00E93F58" w:rsidRPr="00A35C95" w:rsidRDefault="00E93F58" w:rsidP="00366AB5">
      <w:pPr>
        <w:pStyle w:val="subsection"/>
        <w:tabs>
          <w:tab w:val="left" w:pos="2835"/>
        </w:tabs>
      </w:pPr>
      <w:r w:rsidRPr="00A35C95">
        <w:tab/>
        <w:t>(3)</w:t>
      </w:r>
      <w:r w:rsidRPr="00A35C95">
        <w:tab/>
        <w:t>In this regulation:</w:t>
      </w:r>
    </w:p>
    <w:p w14:paraId="7FBAC73B" w14:textId="77777777" w:rsidR="00E93F58" w:rsidRPr="00A35C95" w:rsidRDefault="00E93F58" w:rsidP="00366AB5">
      <w:pPr>
        <w:pStyle w:val="Definition"/>
        <w:tabs>
          <w:tab w:val="left" w:pos="2835"/>
        </w:tabs>
      </w:pPr>
      <w:r w:rsidRPr="00A35C95">
        <w:rPr>
          <w:b/>
          <w:i/>
          <w:color w:val="000000"/>
        </w:rPr>
        <w:t>motor vehicle</w:t>
      </w:r>
      <w:r w:rsidRPr="00A35C95">
        <w:t xml:space="preserve"> means a vehicle that is designed:</w:t>
      </w:r>
    </w:p>
    <w:p w14:paraId="3B7A1453" w14:textId="77777777" w:rsidR="00E93F58" w:rsidRPr="00A35C95" w:rsidRDefault="00E93F58" w:rsidP="00366AB5">
      <w:pPr>
        <w:pStyle w:val="paragraph"/>
        <w:tabs>
          <w:tab w:val="left" w:pos="2835"/>
        </w:tabs>
      </w:pPr>
      <w:r w:rsidRPr="00A35C95">
        <w:rPr>
          <w:color w:val="000000"/>
        </w:rPr>
        <w:tab/>
        <w:t>(a)</w:t>
      </w:r>
      <w:r w:rsidRPr="00A35C95">
        <w:rPr>
          <w:color w:val="000000"/>
        </w:rPr>
        <w:tab/>
        <w:t>to travel by road; and</w:t>
      </w:r>
    </w:p>
    <w:p w14:paraId="556A9196" w14:textId="77777777" w:rsidR="00E93F58" w:rsidRPr="00A35C95" w:rsidRDefault="00E93F58" w:rsidP="00366AB5">
      <w:pPr>
        <w:pStyle w:val="paragraph"/>
        <w:tabs>
          <w:tab w:val="left" w:pos="2835"/>
        </w:tabs>
      </w:pPr>
      <w:r w:rsidRPr="00A35C95">
        <w:tab/>
        <w:t>(b)</w:t>
      </w:r>
      <w:r w:rsidRPr="00A35C95">
        <w:tab/>
        <w:t>to use volatile spirit, steam, gas, oil, electricity or any other power (not being human power or animal power) as its principal means of propulsion; and</w:t>
      </w:r>
    </w:p>
    <w:p w14:paraId="746014BC" w14:textId="77777777" w:rsidR="00E93F58" w:rsidRPr="00A35C95" w:rsidRDefault="00E93F58" w:rsidP="00366AB5">
      <w:pPr>
        <w:pStyle w:val="paragraph"/>
        <w:tabs>
          <w:tab w:val="left" w:pos="2835"/>
        </w:tabs>
      </w:pPr>
      <w:r w:rsidRPr="00A35C95">
        <w:tab/>
        <w:t>(c)</w:t>
      </w:r>
      <w:r w:rsidRPr="00A35C95">
        <w:tab/>
        <w:t>to carry passengers;</w:t>
      </w:r>
    </w:p>
    <w:p w14:paraId="25086A0F" w14:textId="77777777" w:rsidR="00E93F58" w:rsidRPr="00A35C95" w:rsidRDefault="00E93F58" w:rsidP="00366AB5">
      <w:pPr>
        <w:pStyle w:val="subsection2"/>
        <w:tabs>
          <w:tab w:val="left" w:pos="2835"/>
        </w:tabs>
      </w:pPr>
      <w:r w:rsidRPr="00A35C95">
        <w:rPr>
          <w:color w:val="000000"/>
        </w:rPr>
        <w:t>and includes a motor cycle.</w:t>
      </w:r>
    </w:p>
    <w:p w14:paraId="4ED97B5E" w14:textId="77777777" w:rsidR="00E93F58" w:rsidRPr="00A35C95" w:rsidRDefault="00E93F58" w:rsidP="00366AB5">
      <w:pPr>
        <w:pStyle w:val="subsection"/>
        <w:tabs>
          <w:tab w:val="left" w:pos="2835"/>
        </w:tabs>
      </w:pPr>
      <w:r w:rsidRPr="00A35C95">
        <w:tab/>
        <w:t>(4)</w:t>
      </w:r>
      <w:r w:rsidRPr="00A35C95">
        <w:tab/>
        <w:t>However, a motor vehicle does not include:</w:t>
      </w:r>
    </w:p>
    <w:p w14:paraId="085EAEA7" w14:textId="77777777" w:rsidR="00E93F58" w:rsidRPr="00A35C95" w:rsidRDefault="00E93F58" w:rsidP="00366AB5">
      <w:pPr>
        <w:pStyle w:val="paragraph"/>
        <w:tabs>
          <w:tab w:val="left" w:pos="2835"/>
        </w:tabs>
      </w:pPr>
      <w:r w:rsidRPr="00A35C95">
        <w:rPr>
          <w:color w:val="000000"/>
        </w:rPr>
        <w:tab/>
        <w:t>(a)</w:t>
      </w:r>
      <w:r w:rsidRPr="00A35C95">
        <w:rPr>
          <w:color w:val="000000"/>
        </w:rPr>
        <w:tab/>
        <w:t>an omnibus; or</w:t>
      </w:r>
    </w:p>
    <w:p w14:paraId="335EE68E" w14:textId="77777777" w:rsidR="00E93F58" w:rsidRPr="00A35C95" w:rsidRDefault="00E93F58" w:rsidP="00366AB5">
      <w:pPr>
        <w:pStyle w:val="paragraph"/>
        <w:tabs>
          <w:tab w:val="left" w:pos="2835"/>
        </w:tabs>
      </w:pPr>
      <w:r w:rsidRPr="00A35C95">
        <w:tab/>
        <w:t>(b)</w:t>
      </w:r>
      <w:r w:rsidRPr="00A35C95">
        <w:tab/>
        <w:t>a tram; or</w:t>
      </w:r>
    </w:p>
    <w:p w14:paraId="5ABF9DAA" w14:textId="77777777" w:rsidR="00E93F58" w:rsidRPr="00A35C95" w:rsidRDefault="00E93F58" w:rsidP="00366AB5">
      <w:pPr>
        <w:pStyle w:val="paragraph"/>
        <w:tabs>
          <w:tab w:val="left" w:pos="2835"/>
        </w:tabs>
      </w:pPr>
      <w:r w:rsidRPr="00A35C95">
        <w:tab/>
        <w:t>(c)</w:t>
      </w:r>
      <w:r w:rsidRPr="00A35C95">
        <w:tab/>
        <w:t>a motor vehicle the carrying capacity of which exceeds 2 tonnes.</w:t>
      </w:r>
    </w:p>
    <w:p w14:paraId="041078EC" w14:textId="77777777" w:rsidR="00E93F58" w:rsidRPr="00A35C95" w:rsidRDefault="00E93F58" w:rsidP="00366AB5">
      <w:pPr>
        <w:pStyle w:val="ActHead5"/>
        <w:tabs>
          <w:tab w:val="left" w:pos="2835"/>
        </w:tabs>
      </w:pPr>
      <w:bookmarkStart w:id="455" w:name="_Toc152057802"/>
      <w:bookmarkStart w:id="456" w:name="_Toc158712025"/>
      <w:r w:rsidRPr="00844D11">
        <w:rPr>
          <w:rStyle w:val="CharSectno"/>
        </w:rPr>
        <w:t>7.1.12</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home building insurance product</w:t>
      </w:r>
      <w:bookmarkEnd w:id="455"/>
      <w:bookmarkEnd w:id="456"/>
    </w:p>
    <w:p w14:paraId="06FBBA5F"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For subparagraph 761G(5)(b)(ii) of the Act, a </w:t>
      </w:r>
      <w:r w:rsidRPr="00A35C95">
        <w:rPr>
          <w:b/>
          <w:i/>
          <w:color w:val="000000"/>
        </w:rPr>
        <w:t>home building insurance product</w:t>
      </w:r>
      <w:r w:rsidRPr="00A35C95">
        <w:rPr>
          <w:color w:val="000000"/>
        </w:rPr>
        <w:t xml:space="preserve"> is a contract </w:t>
      </w:r>
      <w:r w:rsidRPr="00A35C95">
        <w:t>or part of a contract</w:t>
      </w:r>
      <w:r w:rsidRPr="00A35C95">
        <w:rPr>
          <w:color w:val="000000"/>
        </w:rPr>
        <w:t xml:space="preserve"> that provides insurance cover (whether or not the cover is limited or restricted in any way) in respect of destruction of or damage to a home building.</w:t>
      </w:r>
    </w:p>
    <w:p w14:paraId="022990AD" w14:textId="77777777" w:rsidR="00E93F58" w:rsidRPr="00A35C95" w:rsidRDefault="00E93F58" w:rsidP="00366AB5">
      <w:pPr>
        <w:pStyle w:val="subsection"/>
        <w:tabs>
          <w:tab w:val="left" w:pos="2835"/>
        </w:tabs>
      </w:pPr>
      <w:r w:rsidRPr="00A35C95">
        <w:rPr>
          <w:color w:val="000000"/>
        </w:rPr>
        <w:tab/>
        <w:t>(2)</w:t>
      </w:r>
      <w:r w:rsidRPr="00A35C95">
        <w:rPr>
          <w:color w:val="000000"/>
        </w:rPr>
        <w:tab/>
        <w:t>A home building insurance product does not include insurance entered into, or proposed to be entered into, for the purposes of a law (including a law of a State or Territory) that relates to building or construction work in relation to a home building.</w:t>
      </w:r>
    </w:p>
    <w:p w14:paraId="0F9FFF3D" w14:textId="77777777" w:rsidR="00E93F58" w:rsidRPr="00A35C95" w:rsidRDefault="00E93F58" w:rsidP="00366AB5">
      <w:pPr>
        <w:pStyle w:val="subsection"/>
        <w:tabs>
          <w:tab w:val="left" w:pos="2835"/>
        </w:tabs>
      </w:pPr>
      <w:r w:rsidRPr="00A35C95">
        <w:tab/>
        <w:t>(3)</w:t>
      </w:r>
      <w:r w:rsidRPr="00A35C95">
        <w:tab/>
        <w:t>In this regulation:</w:t>
      </w:r>
    </w:p>
    <w:p w14:paraId="080F7818" w14:textId="77777777" w:rsidR="00E93F58" w:rsidRPr="00A35C95" w:rsidRDefault="00E93F58" w:rsidP="00366AB5">
      <w:pPr>
        <w:pStyle w:val="Definition"/>
        <w:tabs>
          <w:tab w:val="left" w:pos="2835"/>
        </w:tabs>
      </w:pPr>
      <w:r w:rsidRPr="00A35C95">
        <w:rPr>
          <w:b/>
          <w:i/>
          <w:color w:val="000000"/>
        </w:rPr>
        <w:t>home building</w:t>
      </w:r>
      <w:r w:rsidRPr="00A35C95">
        <w:t xml:space="preserve"> means:</w:t>
      </w:r>
    </w:p>
    <w:p w14:paraId="547EEC49" w14:textId="77777777" w:rsidR="00E93F58" w:rsidRPr="00A35C95" w:rsidRDefault="00E93F58" w:rsidP="00366AB5">
      <w:pPr>
        <w:pStyle w:val="paragraph"/>
        <w:tabs>
          <w:tab w:val="left" w:pos="2835"/>
        </w:tabs>
      </w:pPr>
      <w:r w:rsidRPr="00A35C95">
        <w:rPr>
          <w:color w:val="000000"/>
        </w:rPr>
        <w:tab/>
        <w:t>(a)</w:t>
      </w:r>
      <w:r w:rsidRPr="00A35C95">
        <w:rPr>
          <w:color w:val="000000"/>
        </w:rPr>
        <w:tab/>
        <w:t>a building used, or intended to be used, principally and primarily as a place of residence; and</w:t>
      </w:r>
    </w:p>
    <w:p w14:paraId="243B95DF" w14:textId="77777777" w:rsidR="00E93F58" w:rsidRPr="00A35C95" w:rsidRDefault="00E93F58" w:rsidP="00366AB5">
      <w:pPr>
        <w:pStyle w:val="paragraph"/>
        <w:tabs>
          <w:tab w:val="left" w:pos="2835"/>
        </w:tabs>
      </w:pPr>
      <w:r w:rsidRPr="00A35C95">
        <w:tab/>
        <w:t>(b)</w:t>
      </w:r>
      <w:r w:rsidRPr="00A35C95">
        <w:tab/>
        <w:t>out</w:t>
      </w:r>
      <w:r>
        <w:noBreakHyphen/>
      </w:r>
      <w:r w:rsidRPr="00A35C95">
        <w:t>buildings, fixtures and structural improvements used for domestic purposes, being purposes related to the use of the principal residence;</w:t>
      </w:r>
    </w:p>
    <w:p w14:paraId="1CF14E53" w14:textId="77777777" w:rsidR="00E93F58" w:rsidRPr="00A35C95" w:rsidRDefault="00E93F58" w:rsidP="00366AB5">
      <w:pPr>
        <w:pStyle w:val="subsection2"/>
        <w:tabs>
          <w:tab w:val="left" w:pos="2835"/>
        </w:tabs>
      </w:pPr>
      <w:r w:rsidRPr="00A35C95">
        <w:rPr>
          <w:color w:val="000000"/>
        </w:rPr>
        <w:t>on the site and, without limiting the generality of the expression, includes:</w:t>
      </w:r>
    </w:p>
    <w:p w14:paraId="70569679" w14:textId="77777777" w:rsidR="00E93F58" w:rsidRPr="00A35C95" w:rsidRDefault="00E93F58" w:rsidP="00366AB5">
      <w:pPr>
        <w:pStyle w:val="paragraph"/>
        <w:tabs>
          <w:tab w:val="left" w:pos="2835"/>
        </w:tabs>
      </w:pPr>
      <w:r w:rsidRPr="00A35C95">
        <w:rPr>
          <w:color w:val="000000"/>
        </w:rPr>
        <w:tab/>
        <w:t>(c)</w:t>
      </w:r>
      <w:r w:rsidRPr="00A35C95">
        <w:rPr>
          <w:color w:val="000000"/>
        </w:rPr>
        <w:tab/>
        <w:t>fixed wall coverings, fixed ceiling coverings and fixed floor coverings (other than carpets); and</w:t>
      </w:r>
    </w:p>
    <w:p w14:paraId="44D7955F" w14:textId="77777777" w:rsidR="00E93F58" w:rsidRPr="00A35C95" w:rsidRDefault="00E93F58" w:rsidP="00366AB5">
      <w:pPr>
        <w:pStyle w:val="paragraph"/>
        <w:tabs>
          <w:tab w:val="left" w:pos="2835"/>
        </w:tabs>
      </w:pPr>
      <w:r w:rsidRPr="00A35C95">
        <w:tab/>
        <w:t>(d)</w:t>
      </w:r>
      <w:r w:rsidRPr="00A35C95">
        <w:tab/>
        <w:t>services (whether underground or not) that are the property of the insured or that the insured is liable to repair or replace or pay the cost of repairing and replacing; and</w:t>
      </w:r>
    </w:p>
    <w:p w14:paraId="1D8A2944" w14:textId="77777777" w:rsidR="00E93F58" w:rsidRPr="00A35C95" w:rsidRDefault="00E93F58" w:rsidP="00366AB5">
      <w:pPr>
        <w:pStyle w:val="paragraph"/>
        <w:tabs>
          <w:tab w:val="left" w:pos="2835"/>
        </w:tabs>
      </w:pPr>
      <w:r w:rsidRPr="00A35C95">
        <w:tab/>
        <w:t>(e)</w:t>
      </w:r>
      <w:r w:rsidRPr="00A35C95">
        <w:tab/>
        <w:t>fences and gates wholly or partly on the site.</w:t>
      </w:r>
    </w:p>
    <w:p w14:paraId="585DE1AE" w14:textId="77777777" w:rsidR="00E93F58" w:rsidRPr="00A35C95" w:rsidRDefault="00E93F58" w:rsidP="00366AB5">
      <w:pPr>
        <w:pStyle w:val="Definition"/>
        <w:tabs>
          <w:tab w:val="left" w:pos="2835"/>
        </w:tabs>
      </w:pPr>
      <w:r w:rsidRPr="00A35C95">
        <w:rPr>
          <w:b/>
          <w:i/>
          <w:color w:val="000000"/>
        </w:rPr>
        <w:t>site</w:t>
      </w:r>
      <w:r w:rsidRPr="00A35C95">
        <w:rPr>
          <w:color w:val="000000"/>
        </w:rPr>
        <w:t>, in relation to a building, means the site specified in the relevant contract of insurance as the site on which the building is situated.</w:t>
      </w:r>
    </w:p>
    <w:p w14:paraId="24A7B118" w14:textId="77777777" w:rsidR="00E93F58" w:rsidRPr="00A35C95" w:rsidRDefault="00E93F58" w:rsidP="00366AB5">
      <w:pPr>
        <w:pStyle w:val="subsection"/>
        <w:tabs>
          <w:tab w:val="left" w:pos="2835"/>
        </w:tabs>
      </w:pPr>
      <w:r w:rsidRPr="00A35C95">
        <w:tab/>
        <w:t>(4)</w:t>
      </w:r>
      <w:r w:rsidRPr="00A35C95">
        <w:tab/>
        <w:t>A home building does not include:</w:t>
      </w:r>
    </w:p>
    <w:p w14:paraId="5041BA3D" w14:textId="77777777" w:rsidR="00E93F58" w:rsidRPr="00A35C95" w:rsidRDefault="00E93F58" w:rsidP="00366AB5">
      <w:pPr>
        <w:pStyle w:val="paragraph"/>
        <w:tabs>
          <w:tab w:val="left" w:pos="2835"/>
        </w:tabs>
      </w:pPr>
      <w:r w:rsidRPr="00A35C95">
        <w:rPr>
          <w:color w:val="000000"/>
        </w:rPr>
        <w:tab/>
        <w:t>(a)</w:t>
      </w:r>
      <w:r w:rsidRPr="00A35C95">
        <w:rPr>
          <w:color w:val="000000"/>
        </w:rPr>
        <w:tab/>
        <w:t>a hotel; or</w:t>
      </w:r>
    </w:p>
    <w:p w14:paraId="04928BCF" w14:textId="77777777" w:rsidR="00E93F58" w:rsidRPr="00A35C95" w:rsidRDefault="00E93F58" w:rsidP="00366AB5">
      <w:pPr>
        <w:pStyle w:val="paragraph"/>
        <w:tabs>
          <w:tab w:val="left" w:pos="2835"/>
        </w:tabs>
      </w:pPr>
      <w:r w:rsidRPr="00A35C95">
        <w:tab/>
        <w:t>(b)</w:t>
      </w:r>
      <w:r w:rsidRPr="00A35C95">
        <w:tab/>
        <w:t>a motel; or</w:t>
      </w:r>
    </w:p>
    <w:p w14:paraId="050A28EB" w14:textId="77777777" w:rsidR="00E93F58" w:rsidRPr="00A35C95" w:rsidRDefault="00E93F58" w:rsidP="00366AB5">
      <w:pPr>
        <w:pStyle w:val="paragraph"/>
        <w:tabs>
          <w:tab w:val="left" w:pos="2835"/>
        </w:tabs>
      </w:pPr>
      <w:r w:rsidRPr="00A35C95">
        <w:lastRenderedPageBreak/>
        <w:tab/>
        <w:t>(c)</w:t>
      </w:r>
      <w:r w:rsidRPr="00A35C95">
        <w:tab/>
        <w:t>a boarding house; or</w:t>
      </w:r>
    </w:p>
    <w:p w14:paraId="71D072FE" w14:textId="77777777" w:rsidR="00E93F58" w:rsidRPr="00A35C95" w:rsidRDefault="00E93F58" w:rsidP="00366AB5">
      <w:pPr>
        <w:pStyle w:val="paragraph"/>
        <w:tabs>
          <w:tab w:val="left" w:pos="2835"/>
        </w:tabs>
      </w:pPr>
      <w:r w:rsidRPr="00A35C95">
        <w:tab/>
        <w:t>(d)</w:t>
      </w:r>
      <w:r w:rsidRPr="00A35C95">
        <w:tab/>
        <w:t>a building that:</w:t>
      </w:r>
    </w:p>
    <w:p w14:paraId="64D8803E" w14:textId="77777777" w:rsidR="00E93F58" w:rsidRPr="00A35C95" w:rsidRDefault="00E93F58" w:rsidP="00366AB5">
      <w:pPr>
        <w:pStyle w:val="paragraphsub"/>
        <w:tabs>
          <w:tab w:val="left" w:pos="2835"/>
        </w:tabs>
      </w:pPr>
      <w:r w:rsidRPr="00A35C95">
        <w:rPr>
          <w:color w:val="000000"/>
        </w:rPr>
        <w:tab/>
        <w:t>(i)</w:t>
      </w:r>
      <w:r w:rsidRPr="00A35C95">
        <w:rPr>
          <w:color w:val="000000"/>
        </w:rPr>
        <w:tab/>
        <w:t>is in the course of construction; and</w:t>
      </w:r>
    </w:p>
    <w:p w14:paraId="60BCC208" w14:textId="77777777" w:rsidR="00E93F58" w:rsidRPr="00A35C95" w:rsidRDefault="00E93F58" w:rsidP="00366AB5">
      <w:pPr>
        <w:pStyle w:val="paragraphsub"/>
        <w:tabs>
          <w:tab w:val="left" w:pos="2835"/>
        </w:tabs>
      </w:pPr>
      <w:r w:rsidRPr="00A35C95">
        <w:tab/>
        <w:t>(ii)</w:t>
      </w:r>
      <w:r w:rsidRPr="00A35C95">
        <w:tab/>
        <w:t>is being constructed by the insured, or an intending insured, in the course of a construction business; or</w:t>
      </w:r>
    </w:p>
    <w:p w14:paraId="446CA23E" w14:textId="77777777" w:rsidR="00E93F58" w:rsidRPr="00A35C95" w:rsidRDefault="00E93F58" w:rsidP="00366AB5">
      <w:pPr>
        <w:pStyle w:val="paragraph"/>
        <w:tabs>
          <w:tab w:val="left" w:pos="2835"/>
        </w:tabs>
      </w:pPr>
      <w:r w:rsidRPr="00A35C95">
        <w:rPr>
          <w:color w:val="000000"/>
        </w:rPr>
        <w:tab/>
        <w:t>(e)</w:t>
      </w:r>
      <w:r w:rsidRPr="00A35C95">
        <w:rPr>
          <w:color w:val="000000"/>
        </w:rPr>
        <w:tab/>
        <w:t>a temporary building or structure or a demountable or moveable structure; or</w:t>
      </w:r>
    </w:p>
    <w:p w14:paraId="16990F99" w14:textId="77777777" w:rsidR="00E93F58" w:rsidRPr="00A35C95" w:rsidRDefault="00E93F58" w:rsidP="00366AB5">
      <w:pPr>
        <w:pStyle w:val="paragraph"/>
        <w:tabs>
          <w:tab w:val="left" w:pos="2835"/>
        </w:tabs>
      </w:pPr>
      <w:r w:rsidRPr="00A35C95">
        <w:tab/>
        <w:t>(f)</w:t>
      </w:r>
      <w:r w:rsidRPr="00A35C95">
        <w:tab/>
        <w:t>a caravan (whether fixed to the site or not).</w:t>
      </w:r>
    </w:p>
    <w:p w14:paraId="08F829B7" w14:textId="77777777" w:rsidR="00E93F58" w:rsidRPr="00A35C95" w:rsidRDefault="00E93F58" w:rsidP="00366AB5">
      <w:pPr>
        <w:pStyle w:val="ActHead5"/>
        <w:tabs>
          <w:tab w:val="left" w:pos="2835"/>
        </w:tabs>
      </w:pPr>
      <w:bookmarkStart w:id="457" w:name="_Toc152057803"/>
      <w:bookmarkStart w:id="458" w:name="_Toc158712026"/>
      <w:r w:rsidRPr="00844D11">
        <w:rPr>
          <w:rStyle w:val="CharSectno"/>
        </w:rPr>
        <w:t>7.1.13</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home contents insurance product</w:t>
      </w:r>
      <w:bookmarkEnd w:id="457"/>
      <w:bookmarkEnd w:id="458"/>
    </w:p>
    <w:p w14:paraId="33650FBF"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For subparagraph 761G(5)(b)(iii) of the Act, a </w:t>
      </w:r>
      <w:r w:rsidRPr="00A35C95">
        <w:rPr>
          <w:b/>
          <w:i/>
          <w:color w:val="000000"/>
        </w:rPr>
        <w:t>home contents insurance product</w:t>
      </w:r>
      <w:r w:rsidRPr="00A35C95">
        <w:rPr>
          <w:color w:val="000000"/>
        </w:rPr>
        <w:t xml:space="preserve"> is a contract </w:t>
      </w:r>
      <w:r w:rsidRPr="00A35C95">
        <w:t>or part of a contract</w:t>
      </w:r>
      <w:r w:rsidRPr="00A35C95">
        <w:rPr>
          <w:color w:val="000000"/>
        </w:rPr>
        <w:t xml:space="preserve"> that provides insurance cover (whether or not the cover is limited or restricted in any way) in respect of loss of or damage to the contents of a residential building.</w:t>
      </w:r>
    </w:p>
    <w:p w14:paraId="4719EA0D" w14:textId="77777777" w:rsidR="00E93F58" w:rsidRPr="00A35C95" w:rsidRDefault="00E93F58" w:rsidP="00366AB5">
      <w:pPr>
        <w:pStyle w:val="subsection"/>
        <w:tabs>
          <w:tab w:val="left" w:pos="2835"/>
        </w:tabs>
      </w:pPr>
      <w:r w:rsidRPr="00A35C95">
        <w:tab/>
        <w:t>(2)</w:t>
      </w:r>
      <w:r w:rsidRPr="00A35C95">
        <w:tab/>
        <w:t>A home contents insurance product does not include:</w:t>
      </w:r>
    </w:p>
    <w:p w14:paraId="4834E27E"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insurance to or in relation to which the </w:t>
      </w:r>
      <w:r w:rsidRPr="00A35C95">
        <w:rPr>
          <w:i/>
          <w:color w:val="000000"/>
        </w:rPr>
        <w:t>Marine Insurance Act 1909</w:t>
      </w:r>
      <w:r w:rsidRPr="00A35C95">
        <w:rPr>
          <w:color w:val="000000"/>
        </w:rPr>
        <w:t xml:space="preserve"> applies; or</w:t>
      </w:r>
    </w:p>
    <w:p w14:paraId="2FE1D996" w14:textId="77777777" w:rsidR="00E93F58" w:rsidRPr="00A35C95" w:rsidRDefault="00E93F58" w:rsidP="00366AB5">
      <w:pPr>
        <w:pStyle w:val="paragraph"/>
        <w:tabs>
          <w:tab w:val="left" w:pos="2835"/>
        </w:tabs>
      </w:pPr>
      <w:r w:rsidRPr="00A35C95">
        <w:tab/>
        <w:t>(b)</w:t>
      </w:r>
      <w:r w:rsidRPr="00A35C95">
        <w:tab/>
        <w:t>insurance entered into, or proposed to be entered into, for the purposes of a law (including a law of a State or Territory) that relates to:</w:t>
      </w:r>
    </w:p>
    <w:p w14:paraId="066512DB" w14:textId="77777777" w:rsidR="00E93F58" w:rsidRPr="00A35C95" w:rsidRDefault="00E93F58" w:rsidP="00366AB5">
      <w:pPr>
        <w:pStyle w:val="paragraphsub"/>
        <w:tabs>
          <w:tab w:val="left" w:pos="2835"/>
        </w:tabs>
      </w:pPr>
      <w:r w:rsidRPr="00A35C95">
        <w:rPr>
          <w:color w:val="000000"/>
        </w:rPr>
        <w:tab/>
        <w:t>(i)</w:t>
      </w:r>
      <w:r w:rsidRPr="00A35C95">
        <w:rPr>
          <w:color w:val="000000"/>
        </w:rPr>
        <w:tab/>
        <w:t>workers’ compensation; or</w:t>
      </w:r>
    </w:p>
    <w:p w14:paraId="6E911A59" w14:textId="77777777" w:rsidR="00E93F58" w:rsidRPr="00A35C95" w:rsidRDefault="00E93F58" w:rsidP="00366AB5">
      <w:pPr>
        <w:pStyle w:val="paragraphsub"/>
        <w:tabs>
          <w:tab w:val="left" w:pos="2835"/>
        </w:tabs>
      </w:pPr>
      <w:r w:rsidRPr="00A35C95">
        <w:tab/>
        <w:t>(ii)</w:t>
      </w:r>
      <w:r w:rsidRPr="00A35C95">
        <w:tab/>
        <w:t>compulsory third party compensation.</w:t>
      </w:r>
    </w:p>
    <w:p w14:paraId="4FACAA6A" w14:textId="77777777" w:rsidR="00E93F58" w:rsidRPr="00A35C95" w:rsidRDefault="00E93F58" w:rsidP="00366AB5">
      <w:pPr>
        <w:pStyle w:val="subsection"/>
        <w:tabs>
          <w:tab w:val="left" w:pos="2835"/>
        </w:tabs>
      </w:pPr>
      <w:r w:rsidRPr="00A35C95">
        <w:tab/>
        <w:t>(3)</w:t>
      </w:r>
      <w:r w:rsidRPr="00A35C95">
        <w:tab/>
        <w:t>In this regulation:</w:t>
      </w:r>
    </w:p>
    <w:p w14:paraId="2E127582" w14:textId="77777777" w:rsidR="00E93F58" w:rsidRPr="00A35C95" w:rsidRDefault="00E93F58" w:rsidP="00366AB5">
      <w:pPr>
        <w:pStyle w:val="Definition"/>
        <w:tabs>
          <w:tab w:val="left" w:pos="2835"/>
        </w:tabs>
      </w:pPr>
      <w:r w:rsidRPr="00A35C95">
        <w:rPr>
          <w:b/>
          <w:i/>
          <w:color w:val="000000"/>
        </w:rPr>
        <w:t>contents</w:t>
      </w:r>
      <w:r w:rsidRPr="00A35C95">
        <w:t>, in relation to a residential building, means any of the following items:</w:t>
      </w:r>
    </w:p>
    <w:p w14:paraId="1532BD44" w14:textId="77777777" w:rsidR="00E93F58" w:rsidRPr="00A35C95" w:rsidRDefault="00E93F58" w:rsidP="00366AB5">
      <w:pPr>
        <w:pStyle w:val="paragraph"/>
        <w:tabs>
          <w:tab w:val="left" w:pos="2835"/>
        </w:tabs>
      </w:pPr>
      <w:r w:rsidRPr="00A35C95">
        <w:rPr>
          <w:color w:val="000000"/>
        </w:rPr>
        <w:tab/>
        <w:t>(a)</w:t>
      </w:r>
      <w:r w:rsidRPr="00A35C95">
        <w:rPr>
          <w:color w:val="000000"/>
        </w:rPr>
        <w:tab/>
        <w:t>furniture, furnishings and carpets (whether fixed or unfixed);</w:t>
      </w:r>
    </w:p>
    <w:p w14:paraId="5693A6A7" w14:textId="77777777" w:rsidR="00E93F58" w:rsidRPr="00A35C95" w:rsidRDefault="00E93F58" w:rsidP="00366AB5">
      <w:pPr>
        <w:pStyle w:val="paragraph"/>
        <w:tabs>
          <w:tab w:val="left" w:pos="2835"/>
        </w:tabs>
      </w:pPr>
      <w:r w:rsidRPr="00A35C95">
        <w:tab/>
        <w:t>(b)</w:t>
      </w:r>
      <w:r w:rsidRPr="00A35C95">
        <w:tab/>
        <w:t>household goods;</w:t>
      </w:r>
    </w:p>
    <w:p w14:paraId="796D4369" w14:textId="77777777" w:rsidR="00E93F58" w:rsidRPr="00A35C95" w:rsidRDefault="00E93F58" w:rsidP="00366AB5">
      <w:pPr>
        <w:pStyle w:val="paragraph"/>
        <w:tabs>
          <w:tab w:val="left" w:pos="2835"/>
        </w:tabs>
      </w:pPr>
      <w:r w:rsidRPr="00A35C95">
        <w:tab/>
        <w:t>(c)</w:t>
      </w:r>
      <w:r w:rsidRPr="00A35C95">
        <w:tab/>
        <w:t>clothing and other personal effects;</w:t>
      </w:r>
    </w:p>
    <w:p w14:paraId="6FBFFED0" w14:textId="77777777" w:rsidR="00E93F58" w:rsidRPr="00A35C95" w:rsidRDefault="00E93F58" w:rsidP="00366AB5">
      <w:pPr>
        <w:pStyle w:val="paragraph"/>
        <w:tabs>
          <w:tab w:val="left" w:pos="2835"/>
        </w:tabs>
      </w:pPr>
      <w:r w:rsidRPr="00A35C95">
        <w:tab/>
        <w:t>(d)</w:t>
      </w:r>
      <w:r w:rsidRPr="00A35C95">
        <w:tab/>
        <w:t>a picture;</w:t>
      </w:r>
    </w:p>
    <w:p w14:paraId="339F7284" w14:textId="77777777" w:rsidR="00E93F58" w:rsidRPr="00A35C95" w:rsidRDefault="00E93F58" w:rsidP="00366AB5">
      <w:pPr>
        <w:pStyle w:val="paragraph"/>
        <w:tabs>
          <w:tab w:val="left" w:pos="2835"/>
        </w:tabs>
      </w:pPr>
      <w:r w:rsidRPr="00A35C95">
        <w:tab/>
        <w:t>(e)</w:t>
      </w:r>
      <w:r w:rsidRPr="00A35C95">
        <w:tab/>
        <w:t>a work of art;</w:t>
      </w:r>
    </w:p>
    <w:p w14:paraId="06F8FCA9" w14:textId="77777777" w:rsidR="00E93F58" w:rsidRPr="00A35C95" w:rsidRDefault="00E93F58" w:rsidP="00366AB5">
      <w:pPr>
        <w:pStyle w:val="paragraph"/>
        <w:tabs>
          <w:tab w:val="left" w:pos="2835"/>
        </w:tabs>
      </w:pPr>
      <w:r w:rsidRPr="00A35C95">
        <w:tab/>
        <w:t>(f)</w:t>
      </w:r>
      <w:r w:rsidRPr="00A35C95">
        <w:tab/>
        <w:t>a fur;</w:t>
      </w:r>
    </w:p>
    <w:p w14:paraId="1901968B" w14:textId="77777777" w:rsidR="00E93F58" w:rsidRPr="00A35C95" w:rsidRDefault="00E93F58" w:rsidP="00366AB5">
      <w:pPr>
        <w:pStyle w:val="paragraph"/>
        <w:tabs>
          <w:tab w:val="left" w:pos="2835"/>
        </w:tabs>
      </w:pPr>
      <w:r w:rsidRPr="00A35C95">
        <w:tab/>
        <w:t>(g)</w:t>
      </w:r>
      <w:r w:rsidRPr="00A35C95">
        <w:tab/>
        <w:t>a piece of jewellery;</w:t>
      </w:r>
    </w:p>
    <w:p w14:paraId="6CF92058" w14:textId="77777777" w:rsidR="00E93F58" w:rsidRPr="00A35C95" w:rsidRDefault="00E93F58" w:rsidP="00366AB5">
      <w:pPr>
        <w:pStyle w:val="paragraph"/>
        <w:tabs>
          <w:tab w:val="left" w:pos="2835"/>
        </w:tabs>
      </w:pPr>
      <w:r w:rsidRPr="00A35C95">
        <w:tab/>
        <w:t>(h)</w:t>
      </w:r>
      <w:r w:rsidRPr="00A35C95">
        <w:tab/>
        <w:t>a gold or silver article;</w:t>
      </w:r>
    </w:p>
    <w:p w14:paraId="2C5AC59C" w14:textId="77777777" w:rsidR="00E93F58" w:rsidRPr="00A35C95" w:rsidRDefault="00E93F58" w:rsidP="00366AB5">
      <w:pPr>
        <w:pStyle w:val="paragraph"/>
        <w:tabs>
          <w:tab w:val="left" w:pos="2835"/>
        </w:tabs>
      </w:pPr>
      <w:r w:rsidRPr="00A35C95">
        <w:tab/>
        <w:t>(i)</w:t>
      </w:r>
      <w:r w:rsidRPr="00A35C95">
        <w:tab/>
        <w:t>a document of any kind;</w:t>
      </w:r>
    </w:p>
    <w:p w14:paraId="315BAC0B" w14:textId="77777777" w:rsidR="00E93F58" w:rsidRPr="00A35C95" w:rsidRDefault="00E93F58" w:rsidP="00366AB5">
      <w:pPr>
        <w:pStyle w:val="paragraph"/>
        <w:tabs>
          <w:tab w:val="left" w:pos="2835"/>
        </w:tabs>
      </w:pPr>
      <w:r w:rsidRPr="00A35C95">
        <w:tab/>
        <w:t>(j)</w:t>
      </w:r>
      <w:r w:rsidRPr="00A35C95">
        <w:tab/>
        <w:t>a collection of any kind;</w:t>
      </w:r>
    </w:p>
    <w:p w14:paraId="24E3E895" w14:textId="77777777" w:rsidR="00E93F58" w:rsidRPr="00A35C95" w:rsidRDefault="00E93F58" w:rsidP="00366AB5">
      <w:pPr>
        <w:pStyle w:val="paragraph"/>
        <w:tabs>
          <w:tab w:val="left" w:pos="2835"/>
        </w:tabs>
      </w:pPr>
      <w:r w:rsidRPr="00A35C95">
        <w:tab/>
        <w:t>(k)</w:t>
      </w:r>
      <w:r w:rsidRPr="00A35C95">
        <w:tab/>
        <w:t>swimming pools that:</w:t>
      </w:r>
    </w:p>
    <w:p w14:paraId="565E53A6" w14:textId="77777777" w:rsidR="00E93F58" w:rsidRPr="00A35C95" w:rsidRDefault="00E93F58" w:rsidP="00366AB5">
      <w:pPr>
        <w:pStyle w:val="paragraphsub"/>
        <w:tabs>
          <w:tab w:val="left" w:pos="2835"/>
        </w:tabs>
      </w:pPr>
      <w:r w:rsidRPr="00A35C95">
        <w:rPr>
          <w:color w:val="000000"/>
        </w:rPr>
        <w:tab/>
        <w:t>(i)</w:t>
      </w:r>
      <w:r w:rsidRPr="00A35C95">
        <w:rPr>
          <w:color w:val="000000"/>
        </w:rPr>
        <w:tab/>
        <w:t>are not fixtures; and</w:t>
      </w:r>
    </w:p>
    <w:p w14:paraId="7BBBF7FE" w14:textId="77777777" w:rsidR="00E93F58" w:rsidRPr="00A35C95" w:rsidRDefault="00E93F58" w:rsidP="00366AB5">
      <w:pPr>
        <w:pStyle w:val="paragraphsub"/>
        <w:tabs>
          <w:tab w:val="left" w:pos="2835"/>
        </w:tabs>
      </w:pPr>
      <w:r w:rsidRPr="00A35C95">
        <w:tab/>
        <w:t>(ii)</w:t>
      </w:r>
      <w:r w:rsidRPr="00A35C95">
        <w:tab/>
        <w:t>are owned by the insured or by a member of the insured’s family ordinarily residing with the insured;</w:t>
      </w:r>
    </w:p>
    <w:p w14:paraId="7525D2AA" w14:textId="77777777" w:rsidR="00E93F58" w:rsidRPr="00A35C95" w:rsidRDefault="00E93F58" w:rsidP="00366AB5">
      <w:pPr>
        <w:pStyle w:val="paragraph"/>
        <w:tabs>
          <w:tab w:val="left" w:pos="2835"/>
        </w:tabs>
      </w:pPr>
      <w:r w:rsidRPr="00A35C95">
        <w:rPr>
          <w:color w:val="000000"/>
        </w:rPr>
        <w:tab/>
      </w:r>
      <w:r w:rsidRPr="00A35C95">
        <w:rPr>
          <w:color w:val="000000"/>
        </w:rPr>
        <w:tab/>
        <w:t xml:space="preserve">but does not include an article or thing to which the definition of </w:t>
      </w:r>
      <w:r w:rsidRPr="00A35C95">
        <w:rPr>
          <w:b/>
          <w:i/>
          <w:color w:val="000000"/>
        </w:rPr>
        <w:t>residential building</w:t>
      </w:r>
      <w:r w:rsidRPr="00A35C95">
        <w:rPr>
          <w:color w:val="000000"/>
        </w:rPr>
        <w:t xml:space="preserve"> applies.</w:t>
      </w:r>
    </w:p>
    <w:p w14:paraId="470FCCA7" w14:textId="77777777" w:rsidR="00E93F58" w:rsidRPr="00A35C95" w:rsidRDefault="00E93F58" w:rsidP="00366AB5">
      <w:pPr>
        <w:pStyle w:val="Definition"/>
        <w:tabs>
          <w:tab w:val="left" w:pos="2835"/>
        </w:tabs>
      </w:pPr>
      <w:r w:rsidRPr="00A35C95">
        <w:rPr>
          <w:b/>
          <w:i/>
          <w:color w:val="000000"/>
        </w:rPr>
        <w:t>residential building</w:t>
      </w:r>
      <w:r w:rsidRPr="00A35C95">
        <w:t xml:space="preserve"> means:</w:t>
      </w:r>
    </w:p>
    <w:p w14:paraId="442AF71D" w14:textId="77777777" w:rsidR="00E93F58" w:rsidRPr="00A35C95" w:rsidRDefault="00E93F58" w:rsidP="00366AB5">
      <w:pPr>
        <w:pStyle w:val="paragraph"/>
        <w:tabs>
          <w:tab w:val="left" w:pos="2835"/>
        </w:tabs>
      </w:pPr>
      <w:r w:rsidRPr="00A35C95">
        <w:rPr>
          <w:color w:val="000000"/>
        </w:rPr>
        <w:tab/>
        <w:t>(a)</w:t>
      </w:r>
      <w:r w:rsidRPr="00A35C95">
        <w:rPr>
          <w:color w:val="000000"/>
        </w:rPr>
        <w:tab/>
        <w:t>a building used principally and primarily as a place of residence on the site; and</w:t>
      </w:r>
    </w:p>
    <w:p w14:paraId="3F56E236" w14:textId="77777777" w:rsidR="00E93F58" w:rsidRPr="00A35C95" w:rsidRDefault="00E93F58" w:rsidP="00366AB5">
      <w:pPr>
        <w:pStyle w:val="paragraph"/>
        <w:tabs>
          <w:tab w:val="left" w:pos="2835"/>
        </w:tabs>
      </w:pPr>
      <w:r w:rsidRPr="00A35C95">
        <w:tab/>
        <w:t>(b)</w:t>
      </w:r>
      <w:r w:rsidRPr="00A35C95">
        <w:tab/>
        <w:t>out</w:t>
      </w:r>
      <w:r>
        <w:noBreakHyphen/>
      </w:r>
      <w:r w:rsidRPr="00A35C95">
        <w:t>buildings used for domestic purposes, being purposes related to the use of the principal residence on the site.</w:t>
      </w:r>
    </w:p>
    <w:p w14:paraId="033100D2" w14:textId="77777777" w:rsidR="00E93F58" w:rsidRPr="00A35C95" w:rsidRDefault="00E93F58" w:rsidP="00366AB5">
      <w:pPr>
        <w:pStyle w:val="subsection"/>
        <w:tabs>
          <w:tab w:val="left" w:pos="2835"/>
        </w:tabs>
      </w:pPr>
      <w:r w:rsidRPr="00A35C95">
        <w:tab/>
        <w:t>(4)</w:t>
      </w:r>
      <w:r w:rsidRPr="00A35C95">
        <w:tab/>
        <w:t>A residential building does not include:</w:t>
      </w:r>
    </w:p>
    <w:p w14:paraId="09F92B8B" w14:textId="77777777" w:rsidR="00E93F58" w:rsidRPr="00A35C95" w:rsidRDefault="00E93F58" w:rsidP="00366AB5">
      <w:pPr>
        <w:pStyle w:val="paragraph"/>
        <w:tabs>
          <w:tab w:val="left" w:pos="2835"/>
        </w:tabs>
      </w:pPr>
      <w:r w:rsidRPr="00A35C95">
        <w:rPr>
          <w:color w:val="000000"/>
        </w:rPr>
        <w:tab/>
        <w:t>(a)</w:t>
      </w:r>
      <w:r w:rsidRPr="00A35C95">
        <w:rPr>
          <w:color w:val="000000"/>
        </w:rPr>
        <w:tab/>
        <w:t>a hotel; or</w:t>
      </w:r>
    </w:p>
    <w:p w14:paraId="37083044" w14:textId="77777777" w:rsidR="00E93F58" w:rsidRPr="00A35C95" w:rsidRDefault="00E93F58" w:rsidP="00366AB5">
      <w:pPr>
        <w:pStyle w:val="paragraph"/>
        <w:tabs>
          <w:tab w:val="left" w:pos="2835"/>
        </w:tabs>
      </w:pPr>
      <w:r w:rsidRPr="00A35C95">
        <w:tab/>
        <w:t>(b)</w:t>
      </w:r>
      <w:r w:rsidRPr="00A35C95">
        <w:tab/>
        <w:t>a motel; or</w:t>
      </w:r>
    </w:p>
    <w:p w14:paraId="50307716" w14:textId="77777777" w:rsidR="00E93F58" w:rsidRPr="00A35C95" w:rsidRDefault="00E93F58" w:rsidP="00366AB5">
      <w:pPr>
        <w:pStyle w:val="paragraph"/>
        <w:tabs>
          <w:tab w:val="left" w:pos="2835"/>
        </w:tabs>
      </w:pPr>
      <w:r w:rsidRPr="00A35C95">
        <w:tab/>
        <w:t>(c)</w:t>
      </w:r>
      <w:r w:rsidRPr="00A35C95">
        <w:tab/>
        <w:t>a boarding house; or</w:t>
      </w:r>
    </w:p>
    <w:p w14:paraId="6E55621A" w14:textId="77777777" w:rsidR="00E93F58" w:rsidRPr="00A35C95" w:rsidRDefault="00E93F58" w:rsidP="00366AB5">
      <w:pPr>
        <w:pStyle w:val="paragraph"/>
        <w:tabs>
          <w:tab w:val="left" w:pos="2835"/>
        </w:tabs>
      </w:pPr>
      <w:r w:rsidRPr="00A35C95">
        <w:tab/>
        <w:t>(d)</w:t>
      </w:r>
      <w:r w:rsidRPr="00A35C95">
        <w:tab/>
        <w:t>a building that is in the course of construction; or</w:t>
      </w:r>
    </w:p>
    <w:p w14:paraId="5CA17ADA" w14:textId="77777777" w:rsidR="00E93F58" w:rsidRPr="00A35C95" w:rsidRDefault="00E93F58" w:rsidP="00366AB5">
      <w:pPr>
        <w:pStyle w:val="paragraph"/>
        <w:tabs>
          <w:tab w:val="left" w:pos="2835"/>
        </w:tabs>
      </w:pPr>
      <w:r w:rsidRPr="00A35C95">
        <w:tab/>
        <w:t>(e)</w:t>
      </w:r>
      <w:r w:rsidRPr="00A35C95">
        <w:tab/>
        <w:t>a temporary building or structure or a demountable or moveable structure.</w:t>
      </w:r>
    </w:p>
    <w:p w14:paraId="39F2DD54" w14:textId="77777777" w:rsidR="00E93F58" w:rsidRPr="00A35C95" w:rsidRDefault="00E93F58" w:rsidP="00366AB5">
      <w:pPr>
        <w:pStyle w:val="ActHead5"/>
        <w:tabs>
          <w:tab w:val="left" w:pos="2835"/>
        </w:tabs>
      </w:pPr>
      <w:bookmarkStart w:id="459" w:name="_Toc152057804"/>
      <w:bookmarkStart w:id="460" w:name="_Toc158712027"/>
      <w:r w:rsidRPr="00844D11">
        <w:rPr>
          <w:rStyle w:val="CharSectno"/>
        </w:rPr>
        <w:t>7.1.14</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sickness and accident insurance product</w:t>
      </w:r>
      <w:bookmarkEnd w:id="459"/>
      <w:bookmarkEnd w:id="460"/>
    </w:p>
    <w:p w14:paraId="3521BB14" w14:textId="77777777" w:rsidR="00E93F58" w:rsidRPr="00A35C95" w:rsidRDefault="00E93F58" w:rsidP="00366AB5">
      <w:pPr>
        <w:pStyle w:val="subsection"/>
        <w:tabs>
          <w:tab w:val="left" w:pos="2835"/>
        </w:tabs>
      </w:pPr>
      <w:r w:rsidRPr="00A35C95">
        <w:tab/>
        <w:t>(1)</w:t>
      </w:r>
      <w:r w:rsidRPr="00A35C95">
        <w:tab/>
        <w:t xml:space="preserve">For subparagraph 761G(5)(b)(iv) of the Act, a </w:t>
      </w:r>
      <w:r w:rsidRPr="00A35C95">
        <w:rPr>
          <w:b/>
          <w:i/>
        </w:rPr>
        <w:t>sickness and accident insurance product</w:t>
      </w:r>
      <w:r w:rsidRPr="00A35C95">
        <w:t xml:space="preserve"> is a contract or part of a contract that has either of the following characteristics:</w:t>
      </w:r>
    </w:p>
    <w:p w14:paraId="6A12C6C1" w14:textId="77777777" w:rsidR="00E93F58" w:rsidRPr="00A35C95" w:rsidRDefault="00E93F58" w:rsidP="00366AB5">
      <w:pPr>
        <w:pStyle w:val="paragraph"/>
        <w:tabs>
          <w:tab w:val="left" w:pos="2835"/>
        </w:tabs>
      </w:pPr>
      <w:r w:rsidRPr="00A35C95">
        <w:rPr>
          <w:color w:val="000000"/>
        </w:rPr>
        <w:lastRenderedPageBreak/>
        <w:tab/>
        <w:t>(a)</w:t>
      </w:r>
      <w:r w:rsidRPr="00A35C95">
        <w:rPr>
          <w:color w:val="000000"/>
        </w:rPr>
        <w:tab/>
        <w:t>the contract provides insurance cover (whether the cover is limited or restricted in any way) in respect of the insured person contracting a sickness or disease or a specified sickness or disease or sustaining an injury or a specified injury;</w:t>
      </w:r>
    </w:p>
    <w:p w14:paraId="6D5FC7CE" w14:textId="77777777" w:rsidR="00E93F58" w:rsidRPr="00A35C95" w:rsidRDefault="00E93F58" w:rsidP="00366AB5">
      <w:pPr>
        <w:pStyle w:val="paragraph"/>
        <w:tabs>
          <w:tab w:val="left" w:pos="2835"/>
        </w:tabs>
      </w:pPr>
      <w:r w:rsidRPr="00A35C95">
        <w:tab/>
        <w:t>(b)</w:t>
      </w:r>
      <w:r w:rsidRPr="00A35C95">
        <w:tab/>
        <w:t>if the insured person dies as a result of the sickness, disease or injury, the contract provides insurance cover (whether the cover is limited or restricted in any way) in respect of the death.</w:t>
      </w:r>
    </w:p>
    <w:p w14:paraId="0E81270B" w14:textId="77777777" w:rsidR="00E93F58" w:rsidRPr="00A35C95" w:rsidRDefault="00E93F58" w:rsidP="00366AB5">
      <w:pPr>
        <w:pStyle w:val="subsection"/>
        <w:tabs>
          <w:tab w:val="left" w:pos="2835"/>
        </w:tabs>
      </w:pPr>
      <w:r w:rsidRPr="00A35C95">
        <w:tab/>
        <w:t>(2)</w:t>
      </w:r>
      <w:r w:rsidRPr="00A35C95">
        <w:tab/>
        <w:t>A sickness and accident insurance product does not include:</w:t>
      </w:r>
    </w:p>
    <w:p w14:paraId="0BC3988E" w14:textId="77777777" w:rsidR="00E93F58" w:rsidRPr="00A35C95" w:rsidRDefault="00E93F58" w:rsidP="00366AB5">
      <w:pPr>
        <w:pStyle w:val="paragraph"/>
        <w:tabs>
          <w:tab w:val="left" w:pos="2835"/>
        </w:tabs>
      </w:pPr>
      <w:r w:rsidRPr="00A35C95">
        <w:rPr>
          <w:color w:val="000000"/>
        </w:rPr>
        <w:tab/>
        <w:t>(a)</w:t>
      </w:r>
      <w:r w:rsidRPr="00A35C95">
        <w:rPr>
          <w:color w:val="000000"/>
        </w:rPr>
        <w:tab/>
        <w:t>sickness and accident policies which are guaranteed ‘renewable’ at the option of the insured or where the insurer guarantees not to cancel the policy in response to a change in the risk where such a policy has been effected for a predetermined period of years in excess of 1 year; or</w:t>
      </w:r>
    </w:p>
    <w:p w14:paraId="69C044F8" w14:textId="77777777" w:rsidR="00E93F58" w:rsidRPr="00A35C95" w:rsidRDefault="00E93F58" w:rsidP="00366AB5">
      <w:pPr>
        <w:pStyle w:val="paragraph"/>
        <w:tabs>
          <w:tab w:val="left" w:pos="2835"/>
        </w:tabs>
      </w:pPr>
      <w:r w:rsidRPr="00A35C95">
        <w:tab/>
        <w:t>(b)</w:t>
      </w:r>
      <w:r w:rsidRPr="00A35C95">
        <w:tab/>
        <w:t xml:space="preserve">insurance to or in relation to which the </w:t>
      </w:r>
      <w:r w:rsidRPr="00A35C95">
        <w:rPr>
          <w:i/>
        </w:rPr>
        <w:t>Marine Insurance Act 1909</w:t>
      </w:r>
      <w:r w:rsidRPr="00A35C95">
        <w:t xml:space="preserve"> applies; or</w:t>
      </w:r>
    </w:p>
    <w:p w14:paraId="1022BF94" w14:textId="77777777" w:rsidR="00E93F58" w:rsidRPr="00A35C95" w:rsidRDefault="00E93F58" w:rsidP="00366AB5">
      <w:pPr>
        <w:pStyle w:val="paragraph"/>
        <w:tabs>
          <w:tab w:val="left" w:pos="2835"/>
        </w:tabs>
      </w:pPr>
      <w:r w:rsidRPr="00A35C95">
        <w:tab/>
        <w:t>(c)</w:t>
      </w:r>
      <w:r w:rsidRPr="00A35C95">
        <w:tab/>
        <w:t>insurance entered into, or proposed to be entered into, for the purposes of a law (including a law of a State or Territory) that relates to:</w:t>
      </w:r>
    </w:p>
    <w:p w14:paraId="201C504F" w14:textId="77777777" w:rsidR="00E93F58" w:rsidRPr="00A35C95" w:rsidRDefault="00E93F58" w:rsidP="00366AB5">
      <w:pPr>
        <w:pStyle w:val="paragraphsub"/>
        <w:tabs>
          <w:tab w:val="left" w:pos="2835"/>
        </w:tabs>
      </w:pPr>
      <w:r w:rsidRPr="00A35C95">
        <w:rPr>
          <w:color w:val="000000"/>
        </w:rPr>
        <w:tab/>
        <w:t>(i)</w:t>
      </w:r>
      <w:r w:rsidRPr="00A35C95">
        <w:rPr>
          <w:color w:val="000000"/>
        </w:rPr>
        <w:tab/>
        <w:t>workers’ compensation; or</w:t>
      </w:r>
    </w:p>
    <w:p w14:paraId="79419B5F" w14:textId="77777777" w:rsidR="00E93F58" w:rsidRPr="00A35C95" w:rsidRDefault="00E93F58" w:rsidP="00366AB5">
      <w:pPr>
        <w:pStyle w:val="paragraphsub"/>
        <w:tabs>
          <w:tab w:val="left" w:pos="2835"/>
        </w:tabs>
      </w:pPr>
      <w:r w:rsidRPr="00A35C95">
        <w:tab/>
        <w:t>(ii)</w:t>
      </w:r>
      <w:r w:rsidRPr="00A35C95">
        <w:tab/>
        <w:t>compulsory third party compensation; or</w:t>
      </w:r>
    </w:p>
    <w:p w14:paraId="64F27FF3" w14:textId="77777777" w:rsidR="00E93F58" w:rsidRPr="00A35C95" w:rsidRDefault="00E93F58" w:rsidP="00366AB5">
      <w:pPr>
        <w:pStyle w:val="paragraph"/>
        <w:tabs>
          <w:tab w:val="left" w:pos="2835"/>
        </w:tabs>
      </w:pPr>
      <w:r w:rsidRPr="00A35C95">
        <w:tab/>
        <w:t>(d)</w:t>
      </w:r>
      <w:r w:rsidRPr="00A35C95">
        <w:tab/>
        <w:t>insurance that:</w:t>
      </w:r>
    </w:p>
    <w:p w14:paraId="4623719B" w14:textId="77777777" w:rsidR="00E93F58" w:rsidRPr="00A35C95" w:rsidRDefault="00E93F58" w:rsidP="00366AB5">
      <w:pPr>
        <w:pStyle w:val="paragraphsub"/>
        <w:tabs>
          <w:tab w:val="left" w:pos="2835"/>
        </w:tabs>
      </w:pPr>
      <w:r w:rsidRPr="00A35C95">
        <w:tab/>
        <w:t>(i)</w:t>
      </w:r>
      <w:r w:rsidRPr="00A35C95">
        <w:tab/>
        <w:t>provides cover for the death of, or injury to, a driver of a motor vehicle which is caused by the fault of that person when driving; and</w:t>
      </w:r>
    </w:p>
    <w:p w14:paraId="58CA2977" w14:textId="77777777" w:rsidR="00E93F58" w:rsidRPr="00A35C95" w:rsidRDefault="00E93F58" w:rsidP="00366AB5">
      <w:pPr>
        <w:pStyle w:val="paragraphsub"/>
        <w:tabs>
          <w:tab w:val="left" w:pos="2835"/>
        </w:tabs>
      </w:pPr>
      <w:r w:rsidRPr="00A35C95">
        <w:tab/>
        <w:t>(ii)</w:t>
      </w:r>
      <w:r w:rsidRPr="00A35C95">
        <w:tab/>
        <w:t>is provided only in conjunction with, and at no extra cost to, insurance mentioned in subparagraph (c)(ii).</w:t>
      </w:r>
    </w:p>
    <w:p w14:paraId="5EA5921F" w14:textId="77777777" w:rsidR="00E93F58" w:rsidRPr="00A35C95" w:rsidRDefault="00E93F58" w:rsidP="00366AB5">
      <w:pPr>
        <w:pStyle w:val="notetext"/>
        <w:tabs>
          <w:tab w:val="left" w:pos="2835"/>
        </w:tabs>
      </w:pPr>
      <w:r w:rsidRPr="00A35C95">
        <w:t>Note:</w:t>
      </w:r>
      <w:r w:rsidRPr="00A35C95">
        <w:tab/>
        <w:t>See also regulation 7.9.14B.</w:t>
      </w:r>
    </w:p>
    <w:p w14:paraId="10E38B94" w14:textId="77777777" w:rsidR="00E93F58" w:rsidRPr="00A35C95" w:rsidRDefault="00E93F58" w:rsidP="00366AB5">
      <w:pPr>
        <w:pStyle w:val="ActHead5"/>
        <w:tabs>
          <w:tab w:val="left" w:pos="2835"/>
        </w:tabs>
      </w:pPr>
      <w:bookmarkStart w:id="461" w:name="_Toc152057805"/>
      <w:bookmarkStart w:id="462" w:name="_Toc158712028"/>
      <w:r w:rsidRPr="00844D11">
        <w:rPr>
          <w:rStyle w:val="CharSectno"/>
        </w:rPr>
        <w:t>7.1.15</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consumer credit insurance product</w:t>
      </w:r>
      <w:bookmarkEnd w:id="461"/>
      <w:bookmarkEnd w:id="462"/>
    </w:p>
    <w:p w14:paraId="046E57DA" w14:textId="77777777" w:rsidR="00E93F58" w:rsidRPr="00A35C95" w:rsidRDefault="00E93F58" w:rsidP="00366AB5">
      <w:pPr>
        <w:pStyle w:val="subsection"/>
        <w:tabs>
          <w:tab w:val="left" w:pos="2835"/>
        </w:tabs>
      </w:pPr>
      <w:r w:rsidRPr="00A35C95">
        <w:tab/>
        <w:t>(1)</w:t>
      </w:r>
      <w:r w:rsidRPr="00A35C95">
        <w:tab/>
        <w:t xml:space="preserve">For subparagraph 761G(5)(b)(v) of the Act, a </w:t>
      </w:r>
      <w:r w:rsidRPr="00A35C95">
        <w:rPr>
          <w:b/>
          <w:i/>
        </w:rPr>
        <w:t>consumer credit insurance product</w:t>
      </w:r>
      <w:r w:rsidRPr="00A35C95">
        <w:t xml:space="preserve"> is a contract or part of a contract that has the following characteristics:</w:t>
      </w:r>
    </w:p>
    <w:p w14:paraId="182D0AAF" w14:textId="77777777" w:rsidR="00E93F58" w:rsidRPr="00A35C95" w:rsidRDefault="00E93F58" w:rsidP="00366AB5">
      <w:pPr>
        <w:pStyle w:val="paragraph"/>
        <w:tabs>
          <w:tab w:val="left" w:pos="2835"/>
        </w:tabs>
      </w:pPr>
      <w:r w:rsidRPr="00A35C95">
        <w:tab/>
        <w:t>(a)</w:t>
      </w:r>
      <w:r w:rsidRPr="00A35C95">
        <w:tab/>
        <w:t>the contract provides insurance cover (whether the cover is limited or restricted in any way) in respect of:</w:t>
      </w:r>
    </w:p>
    <w:p w14:paraId="12FF8FCD" w14:textId="77777777" w:rsidR="00E93F58" w:rsidRPr="00A35C95" w:rsidRDefault="00E93F58" w:rsidP="00366AB5">
      <w:pPr>
        <w:pStyle w:val="paragraphsub"/>
        <w:tabs>
          <w:tab w:val="left" w:pos="2835"/>
        </w:tabs>
      </w:pPr>
      <w:r w:rsidRPr="00A35C95">
        <w:rPr>
          <w:color w:val="000000"/>
        </w:rPr>
        <w:tab/>
        <w:t>(i)</w:t>
      </w:r>
      <w:r w:rsidRPr="00A35C95">
        <w:rPr>
          <w:color w:val="000000"/>
        </w:rPr>
        <w:tab/>
        <w:t>the death of the insured person; or</w:t>
      </w:r>
    </w:p>
    <w:p w14:paraId="713C7619" w14:textId="77777777" w:rsidR="00E93F58" w:rsidRPr="00A35C95" w:rsidRDefault="00E93F58" w:rsidP="00366AB5">
      <w:pPr>
        <w:pStyle w:val="paragraphsub"/>
        <w:tabs>
          <w:tab w:val="left" w:pos="2835"/>
        </w:tabs>
      </w:pPr>
      <w:r w:rsidRPr="00A35C95">
        <w:tab/>
        <w:t>(ii)</w:t>
      </w:r>
      <w:r w:rsidRPr="00A35C95">
        <w:tab/>
        <w:t>the insured person contracting a sickness or disease; or</w:t>
      </w:r>
    </w:p>
    <w:p w14:paraId="378B99FD" w14:textId="77777777" w:rsidR="00E93F58" w:rsidRPr="00A35C95" w:rsidRDefault="00E93F58" w:rsidP="00366AB5">
      <w:pPr>
        <w:pStyle w:val="paragraphsub"/>
        <w:tabs>
          <w:tab w:val="left" w:pos="2835"/>
        </w:tabs>
      </w:pPr>
      <w:r w:rsidRPr="00A35C95">
        <w:tab/>
        <w:t>(iii)</w:t>
      </w:r>
      <w:r w:rsidRPr="00A35C95">
        <w:tab/>
        <w:t>the insured person sustaining an injury; or</w:t>
      </w:r>
    </w:p>
    <w:p w14:paraId="019F50F6" w14:textId="77777777" w:rsidR="00E93F58" w:rsidRPr="00A35C95" w:rsidRDefault="00E93F58" w:rsidP="00366AB5">
      <w:pPr>
        <w:pStyle w:val="paragraphsub"/>
        <w:tabs>
          <w:tab w:val="left" w:pos="2835"/>
        </w:tabs>
      </w:pPr>
      <w:r w:rsidRPr="00A35C95">
        <w:tab/>
        <w:t>(iv)</w:t>
      </w:r>
      <w:r w:rsidRPr="00A35C95">
        <w:tab/>
        <w:t>the insured person becoming unemployed;</w:t>
      </w:r>
    </w:p>
    <w:p w14:paraId="57F19CDF" w14:textId="77777777" w:rsidR="00E93F58" w:rsidRPr="00A35C95" w:rsidRDefault="00E93F58" w:rsidP="00366AB5">
      <w:pPr>
        <w:pStyle w:val="paragraph"/>
        <w:tabs>
          <w:tab w:val="left" w:pos="2835"/>
        </w:tabs>
      </w:pPr>
      <w:r w:rsidRPr="00A35C95">
        <w:rPr>
          <w:color w:val="000000"/>
        </w:rPr>
        <w:tab/>
        <w:t>(b)</w:t>
      </w:r>
      <w:r w:rsidRPr="00A35C95">
        <w:rPr>
          <w:color w:val="000000"/>
        </w:rPr>
        <w:tab/>
        <w:t>the amount of the liability of the insurer under the contract is to be ascertained by reference to a liability of the insured person under a specified agreement to which the insured person is a party.</w:t>
      </w:r>
    </w:p>
    <w:p w14:paraId="6B1BF6FE" w14:textId="77777777" w:rsidR="00E93F58" w:rsidRPr="00A35C95" w:rsidRDefault="00E93F58" w:rsidP="00366AB5">
      <w:pPr>
        <w:pStyle w:val="subsection"/>
        <w:tabs>
          <w:tab w:val="left" w:pos="2835"/>
        </w:tabs>
      </w:pPr>
      <w:r w:rsidRPr="00A35C95">
        <w:tab/>
        <w:t>(2)</w:t>
      </w:r>
      <w:r w:rsidRPr="00A35C95">
        <w:tab/>
        <w:t>A consumer credit insurance product does not include:</w:t>
      </w:r>
    </w:p>
    <w:p w14:paraId="2ADF6DBA"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insurance to or in relation to which the </w:t>
      </w:r>
      <w:r w:rsidRPr="00A35C95">
        <w:rPr>
          <w:i/>
          <w:color w:val="000000"/>
        </w:rPr>
        <w:t>Marine Insurance Act 1909</w:t>
      </w:r>
      <w:r w:rsidRPr="00A35C95">
        <w:rPr>
          <w:color w:val="000000"/>
        </w:rPr>
        <w:t xml:space="preserve"> applies; or</w:t>
      </w:r>
    </w:p>
    <w:p w14:paraId="5881515C" w14:textId="77777777" w:rsidR="00E93F58" w:rsidRPr="00A35C95" w:rsidRDefault="00E93F58" w:rsidP="00366AB5">
      <w:pPr>
        <w:pStyle w:val="paragraph"/>
        <w:tabs>
          <w:tab w:val="left" w:pos="2835"/>
        </w:tabs>
      </w:pPr>
      <w:r w:rsidRPr="00A35C95">
        <w:tab/>
        <w:t>(b)</w:t>
      </w:r>
      <w:r w:rsidRPr="00A35C95">
        <w:tab/>
        <w:t>insurance entered into, or proposed to be entered into, for the purposes of a law (including a law of a State or Territory) that relates to:</w:t>
      </w:r>
    </w:p>
    <w:p w14:paraId="741B19A0" w14:textId="77777777" w:rsidR="00E93F58" w:rsidRPr="00A35C95" w:rsidRDefault="00E93F58" w:rsidP="00366AB5">
      <w:pPr>
        <w:pStyle w:val="paragraphsub"/>
        <w:tabs>
          <w:tab w:val="left" w:pos="2835"/>
        </w:tabs>
      </w:pPr>
      <w:r w:rsidRPr="00A35C95">
        <w:rPr>
          <w:color w:val="000000"/>
        </w:rPr>
        <w:tab/>
        <w:t>(i)</w:t>
      </w:r>
      <w:r w:rsidRPr="00A35C95">
        <w:rPr>
          <w:color w:val="000000"/>
        </w:rPr>
        <w:tab/>
        <w:t>workers’ compensation; or</w:t>
      </w:r>
    </w:p>
    <w:p w14:paraId="4EB2FBD8" w14:textId="77777777" w:rsidR="00E93F58" w:rsidRPr="00A35C95" w:rsidRDefault="00E93F58" w:rsidP="00366AB5">
      <w:pPr>
        <w:pStyle w:val="paragraphsub"/>
        <w:tabs>
          <w:tab w:val="left" w:pos="2835"/>
        </w:tabs>
      </w:pPr>
      <w:r w:rsidRPr="00A35C95">
        <w:tab/>
        <w:t>(ii)</w:t>
      </w:r>
      <w:r w:rsidRPr="00A35C95">
        <w:tab/>
        <w:t>compulsory third party compensation.</w:t>
      </w:r>
    </w:p>
    <w:p w14:paraId="43747CE3" w14:textId="77777777" w:rsidR="00E93F58" w:rsidRPr="00A35C95" w:rsidRDefault="00E93F58" w:rsidP="00366AB5">
      <w:pPr>
        <w:pStyle w:val="ActHead5"/>
        <w:tabs>
          <w:tab w:val="left" w:pos="2835"/>
        </w:tabs>
      </w:pPr>
      <w:bookmarkStart w:id="463" w:name="_Toc152057806"/>
      <w:bookmarkStart w:id="464" w:name="_Toc158712029"/>
      <w:r w:rsidRPr="00844D11">
        <w:rPr>
          <w:rStyle w:val="CharSectno"/>
        </w:rPr>
        <w:t>7.1.16</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travel insurance product</w:t>
      </w:r>
      <w:bookmarkEnd w:id="463"/>
      <w:bookmarkEnd w:id="464"/>
    </w:p>
    <w:p w14:paraId="66E7EE20" w14:textId="77777777" w:rsidR="00E93F58" w:rsidRPr="00A35C95" w:rsidRDefault="00E93F58" w:rsidP="00366AB5">
      <w:pPr>
        <w:pStyle w:val="subsection"/>
        <w:tabs>
          <w:tab w:val="left" w:pos="2835"/>
        </w:tabs>
      </w:pPr>
      <w:r w:rsidRPr="00A35C95">
        <w:tab/>
        <w:t>(1)</w:t>
      </w:r>
      <w:r w:rsidRPr="00A35C95">
        <w:tab/>
        <w:t xml:space="preserve">For subparagraph 761G(5)(b)(vi) of the Act, a </w:t>
      </w:r>
      <w:r w:rsidRPr="00A35C95">
        <w:rPr>
          <w:b/>
          <w:i/>
        </w:rPr>
        <w:t>travel insurance product</w:t>
      </w:r>
      <w:r w:rsidRPr="00A35C95">
        <w:t xml:space="preserve"> is a contract or part of a contract that provides insurance cover (whether or not the cover is limited or restricted in any way) in respect of one or more of the following:</w:t>
      </w:r>
    </w:p>
    <w:p w14:paraId="6AA71D69" w14:textId="77777777" w:rsidR="00E93F58" w:rsidRPr="00A35C95" w:rsidRDefault="00E93F58" w:rsidP="00366AB5">
      <w:pPr>
        <w:pStyle w:val="paragraph"/>
        <w:tabs>
          <w:tab w:val="left" w:pos="2835"/>
        </w:tabs>
      </w:pPr>
      <w:r w:rsidRPr="00A35C95">
        <w:tab/>
        <w:t>(a)</w:t>
      </w:r>
      <w:r w:rsidRPr="00A35C95">
        <w:tab/>
        <w:t>financial loss in respect of:</w:t>
      </w:r>
    </w:p>
    <w:p w14:paraId="2820328B" w14:textId="77777777" w:rsidR="00E93F58" w:rsidRPr="00A35C95" w:rsidRDefault="00E93F58" w:rsidP="00366AB5">
      <w:pPr>
        <w:pStyle w:val="paragraphsub"/>
        <w:tabs>
          <w:tab w:val="left" w:pos="2835"/>
        </w:tabs>
      </w:pPr>
      <w:r w:rsidRPr="00A35C95">
        <w:rPr>
          <w:color w:val="000000"/>
        </w:rPr>
        <w:tab/>
        <w:t>(i)</w:t>
      </w:r>
      <w:r w:rsidRPr="00A35C95">
        <w:rPr>
          <w:color w:val="000000"/>
        </w:rPr>
        <w:tab/>
        <w:t>fares for any form of transport to be used; or</w:t>
      </w:r>
    </w:p>
    <w:p w14:paraId="763FB976" w14:textId="77777777" w:rsidR="00E93F58" w:rsidRPr="00A35C95" w:rsidRDefault="00E93F58" w:rsidP="00366AB5">
      <w:pPr>
        <w:pStyle w:val="paragraphsub"/>
        <w:tabs>
          <w:tab w:val="left" w:pos="2835"/>
        </w:tabs>
      </w:pPr>
      <w:r w:rsidRPr="00A35C95">
        <w:tab/>
        <w:t>(ii)</w:t>
      </w:r>
      <w:r w:rsidRPr="00A35C95">
        <w:tab/>
        <w:t>accommodation to be used;</w:t>
      </w:r>
    </w:p>
    <w:p w14:paraId="05BAE233" w14:textId="77777777" w:rsidR="00E93F58" w:rsidRPr="00A35C95" w:rsidRDefault="00E93F58" w:rsidP="00366AB5">
      <w:pPr>
        <w:pStyle w:val="paragraph"/>
        <w:tabs>
          <w:tab w:val="left" w:pos="2835"/>
        </w:tabs>
      </w:pPr>
      <w:r w:rsidRPr="00A35C95">
        <w:rPr>
          <w:color w:val="000000"/>
        </w:rPr>
        <w:tab/>
      </w:r>
      <w:r w:rsidRPr="00A35C95">
        <w:rPr>
          <w:color w:val="000000"/>
        </w:rPr>
        <w:tab/>
        <w:t>in the course of the specified journey in the event that the insured person does not commence or complete the specified journey;</w:t>
      </w:r>
    </w:p>
    <w:p w14:paraId="6D847B97" w14:textId="77777777" w:rsidR="00E93F58" w:rsidRPr="00A35C95" w:rsidRDefault="00E93F58" w:rsidP="00366AB5">
      <w:pPr>
        <w:pStyle w:val="paragraph"/>
        <w:tabs>
          <w:tab w:val="left" w:pos="2835"/>
        </w:tabs>
      </w:pPr>
      <w:r w:rsidRPr="00A35C95">
        <w:tab/>
        <w:t>(b)</w:t>
      </w:r>
      <w:r w:rsidRPr="00A35C95">
        <w:tab/>
        <w:t>loss of or damage to personal belongings that occurs while the insured person is on the specified journey;</w:t>
      </w:r>
    </w:p>
    <w:p w14:paraId="0E86517C" w14:textId="77777777" w:rsidR="00E93F58" w:rsidRPr="00A35C95" w:rsidRDefault="00E93F58" w:rsidP="00366AB5">
      <w:pPr>
        <w:pStyle w:val="paragraph"/>
        <w:tabs>
          <w:tab w:val="left" w:pos="2835"/>
        </w:tabs>
      </w:pPr>
      <w:r w:rsidRPr="00A35C95">
        <w:tab/>
        <w:t>(c)</w:t>
      </w:r>
      <w:r w:rsidRPr="00A35C95">
        <w:tab/>
        <w:t>a sickness or disease contracted or an injury sustained by the insured person while on the specified journey;</w:t>
      </w:r>
    </w:p>
    <w:p w14:paraId="51F0BED0" w14:textId="77777777" w:rsidR="00E93F58" w:rsidRPr="00A35C95" w:rsidRDefault="00E93F58" w:rsidP="00366AB5">
      <w:pPr>
        <w:pStyle w:val="paragraph"/>
        <w:tabs>
          <w:tab w:val="left" w:pos="2835"/>
        </w:tabs>
      </w:pPr>
      <w:r w:rsidRPr="00A35C95">
        <w:tab/>
        <w:t>(d)</w:t>
      </w:r>
      <w:r w:rsidRPr="00A35C95">
        <w:tab/>
        <w:t>loss, damage or compensation for an event occurring to the insured person during a specified journey that ordinarily forms a part of insurance commonly regarded as travel insurance, including</w:t>
      </w:r>
    </w:p>
    <w:p w14:paraId="1BD51751" w14:textId="77777777" w:rsidR="00E93F58" w:rsidRPr="00A35C95" w:rsidRDefault="00E93F58" w:rsidP="00366AB5">
      <w:pPr>
        <w:pStyle w:val="paragraphsub"/>
        <w:tabs>
          <w:tab w:val="left" w:pos="2835"/>
        </w:tabs>
      </w:pPr>
      <w:r w:rsidRPr="00A35C95">
        <w:rPr>
          <w:color w:val="000000"/>
        </w:rPr>
        <w:lastRenderedPageBreak/>
        <w:tab/>
        <w:t>(i)</w:t>
      </w:r>
      <w:r w:rsidRPr="00A35C95">
        <w:rPr>
          <w:color w:val="000000"/>
        </w:rPr>
        <w:tab/>
        <w:t>loss of cash or credit cards; and</w:t>
      </w:r>
    </w:p>
    <w:p w14:paraId="58EC4B87" w14:textId="77777777" w:rsidR="00E93F58" w:rsidRPr="00A35C95" w:rsidRDefault="00E93F58" w:rsidP="00366AB5">
      <w:pPr>
        <w:pStyle w:val="paragraphsub"/>
        <w:tabs>
          <w:tab w:val="left" w:pos="2835"/>
        </w:tabs>
      </w:pPr>
      <w:r w:rsidRPr="00A35C95">
        <w:tab/>
        <w:t>(ii)</w:t>
      </w:r>
      <w:r w:rsidRPr="00A35C95">
        <w:tab/>
        <w:t>legal liability; and</w:t>
      </w:r>
    </w:p>
    <w:p w14:paraId="7C1A505B" w14:textId="77777777" w:rsidR="00E93F58" w:rsidRPr="00A35C95" w:rsidRDefault="00E93F58" w:rsidP="00366AB5">
      <w:pPr>
        <w:pStyle w:val="paragraphsub"/>
        <w:tabs>
          <w:tab w:val="left" w:pos="2835"/>
        </w:tabs>
      </w:pPr>
      <w:r w:rsidRPr="00A35C95">
        <w:tab/>
        <w:t>(iii)</w:t>
      </w:r>
      <w:r w:rsidRPr="00A35C95">
        <w:tab/>
        <w:t>hijack; and</w:t>
      </w:r>
    </w:p>
    <w:p w14:paraId="1889BCDB" w14:textId="77777777" w:rsidR="00E93F58" w:rsidRPr="00A35C95" w:rsidRDefault="00E93F58" w:rsidP="00366AB5">
      <w:pPr>
        <w:pStyle w:val="paragraphsub"/>
        <w:tabs>
          <w:tab w:val="left" w:pos="2835"/>
        </w:tabs>
      </w:pPr>
      <w:r w:rsidRPr="00A35C95">
        <w:tab/>
        <w:t>(iv)</w:t>
      </w:r>
      <w:r w:rsidRPr="00A35C95">
        <w:tab/>
        <w:t>kidnap; and</w:t>
      </w:r>
    </w:p>
    <w:p w14:paraId="771ED288" w14:textId="77777777" w:rsidR="00E93F58" w:rsidRPr="00A35C95" w:rsidRDefault="00E93F58" w:rsidP="00366AB5">
      <w:pPr>
        <w:pStyle w:val="paragraphsub"/>
        <w:tabs>
          <w:tab w:val="left" w:pos="2835"/>
        </w:tabs>
      </w:pPr>
      <w:r w:rsidRPr="00A35C95">
        <w:tab/>
        <w:t>(v)</w:t>
      </w:r>
      <w:r w:rsidRPr="00A35C95">
        <w:tab/>
        <w:t>ransom.</w:t>
      </w:r>
    </w:p>
    <w:p w14:paraId="747F955A" w14:textId="77777777" w:rsidR="00E93F58" w:rsidRPr="00A35C95" w:rsidRDefault="00E93F58" w:rsidP="00366AB5">
      <w:pPr>
        <w:pStyle w:val="subsection"/>
        <w:tabs>
          <w:tab w:val="left" w:pos="2835"/>
        </w:tabs>
      </w:pPr>
      <w:r w:rsidRPr="00A35C95">
        <w:tab/>
        <w:t>(2)</w:t>
      </w:r>
      <w:r w:rsidRPr="00A35C95">
        <w:tab/>
        <w:t>A travel insurance product does not include:</w:t>
      </w:r>
    </w:p>
    <w:p w14:paraId="5D9197E7"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insurance to or in relation to which the </w:t>
      </w:r>
      <w:r w:rsidRPr="00A35C95">
        <w:rPr>
          <w:i/>
          <w:color w:val="000000"/>
        </w:rPr>
        <w:t>Marine Insurance Act 1909</w:t>
      </w:r>
      <w:r w:rsidRPr="00A35C95">
        <w:rPr>
          <w:color w:val="000000"/>
        </w:rPr>
        <w:t xml:space="preserve"> applies; or</w:t>
      </w:r>
    </w:p>
    <w:p w14:paraId="357D5CA6" w14:textId="77777777" w:rsidR="00E93F58" w:rsidRPr="00A35C95" w:rsidRDefault="00E93F58" w:rsidP="00366AB5">
      <w:pPr>
        <w:pStyle w:val="paragraph"/>
        <w:tabs>
          <w:tab w:val="left" w:pos="2835"/>
        </w:tabs>
      </w:pPr>
      <w:r w:rsidRPr="00A35C95">
        <w:tab/>
        <w:t>(b)</w:t>
      </w:r>
      <w:r w:rsidRPr="00A35C95">
        <w:tab/>
        <w:t>insurance entered into, or proposed to be entered into, for the purposes of a law (including a law of a State or Territory) that relates to:</w:t>
      </w:r>
    </w:p>
    <w:p w14:paraId="25581D14" w14:textId="77777777" w:rsidR="00E93F58" w:rsidRPr="00A35C95" w:rsidRDefault="00E93F58" w:rsidP="00366AB5">
      <w:pPr>
        <w:pStyle w:val="paragraphsub"/>
        <w:tabs>
          <w:tab w:val="left" w:pos="2835"/>
        </w:tabs>
      </w:pPr>
      <w:r w:rsidRPr="00A35C95">
        <w:rPr>
          <w:color w:val="000000"/>
        </w:rPr>
        <w:tab/>
        <w:t>(i)</w:t>
      </w:r>
      <w:r w:rsidRPr="00A35C95">
        <w:rPr>
          <w:color w:val="000000"/>
        </w:rPr>
        <w:tab/>
        <w:t>workers’ compensation; or</w:t>
      </w:r>
    </w:p>
    <w:p w14:paraId="40605AC3" w14:textId="77777777" w:rsidR="00E93F58" w:rsidRPr="00A35C95" w:rsidRDefault="00E93F58" w:rsidP="00366AB5">
      <w:pPr>
        <w:pStyle w:val="paragraphsub"/>
        <w:tabs>
          <w:tab w:val="left" w:pos="2835"/>
        </w:tabs>
      </w:pPr>
      <w:r w:rsidRPr="00A35C95">
        <w:tab/>
        <w:t>(ii)</w:t>
      </w:r>
      <w:r w:rsidRPr="00A35C95">
        <w:tab/>
        <w:t>compulsory third party compensation.</w:t>
      </w:r>
    </w:p>
    <w:p w14:paraId="4B86C427" w14:textId="77777777" w:rsidR="00E93F58" w:rsidRPr="00A35C95" w:rsidRDefault="00E93F58" w:rsidP="00366AB5">
      <w:pPr>
        <w:pStyle w:val="subsection"/>
        <w:tabs>
          <w:tab w:val="left" w:pos="2835"/>
        </w:tabs>
      </w:pPr>
      <w:r w:rsidRPr="00A35C95">
        <w:tab/>
        <w:t>(3)</w:t>
      </w:r>
      <w:r w:rsidRPr="00A35C95">
        <w:tab/>
        <w:t>In this regulation:</w:t>
      </w:r>
    </w:p>
    <w:p w14:paraId="0C1FF9CB" w14:textId="77777777" w:rsidR="00E93F58" w:rsidRPr="00A35C95" w:rsidRDefault="00E93F58" w:rsidP="00366AB5">
      <w:pPr>
        <w:pStyle w:val="Definition"/>
        <w:tabs>
          <w:tab w:val="left" w:pos="2835"/>
        </w:tabs>
      </w:pPr>
      <w:r w:rsidRPr="00A35C95">
        <w:rPr>
          <w:b/>
          <w:i/>
          <w:color w:val="000000"/>
        </w:rPr>
        <w:t>specified journey</w:t>
      </w:r>
      <w:r w:rsidRPr="00A35C95">
        <w:rPr>
          <w:color w:val="000000"/>
        </w:rPr>
        <w:t xml:space="preserve"> means a journey in relation to which insurance cover is provided by the contract.</w:t>
      </w:r>
    </w:p>
    <w:p w14:paraId="41BE8A42" w14:textId="77777777" w:rsidR="00E93F58" w:rsidRPr="00A35C95" w:rsidRDefault="00E93F58" w:rsidP="00366AB5">
      <w:pPr>
        <w:pStyle w:val="ActHead5"/>
        <w:tabs>
          <w:tab w:val="left" w:pos="2835"/>
        </w:tabs>
      </w:pPr>
      <w:bookmarkStart w:id="465" w:name="_Toc152057807"/>
      <w:bookmarkStart w:id="466" w:name="_Toc158712030"/>
      <w:r w:rsidRPr="00844D11">
        <w:rPr>
          <w:rStyle w:val="CharSectno"/>
        </w:rPr>
        <w:t>7.1.17</w:t>
      </w:r>
      <w:r w:rsidRPr="00A35C95">
        <w:rPr>
          <w:sz w:val="16"/>
        </w:rPr>
        <w:t xml:space="preserve">  </w:t>
      </w:r>
      <w:r w:rsidRPr="00A35C95">
        <w:t xml:space="preserve">Meaning of </w:t>
      </w:r>
      <w:r w:rsidRPr="00A35C95">
        <w:rPr>
          <w:i/>
        </w:rPr>
        <w:t xml:space="preserve">retail client </w:t>
      </w:r>
      <w:r w:rsidRPr="00A35C95">
        <w:t xml:space="preserve">and </w:t>
      </w:r>
      <w:r w:rsidRPr="00A35C95">
        <w:rPr>
          <w:i/>
        </w:rPr>
        <w:t>wholesale client</w:t>
      </w:r>
      <w:r w:rsidRPr="00A35C95">
        <w:t>: personal and domestic property insurance product</w:t>
      </w:r>
      <w:bookmarkEnd w:id="465"/>
      <w:bookmarkEnd w:id="466"/>
    </w:p>
    <w:p w14:paraId="45CAD194" w14:textId="77777777" w:rsidR="00E93F58" w:rsidRPr="00A35C95" w:rsidRDefault="00E93F58" w:rsidP="00366AB5">
      <w:pPr>
        <w:pStyle w:val="subsection"/>
        <w:tabs>
          <w:tab w:val="left" w:pos="2835"/>
        </w:tabs>
      </w:pPr>
      <w:r w:rsidRPr="00A35C95">
        <w:tab/>
        <w:t>(1)</w:t>
      </w:r>
      <w:r w:rsidRPr="00A35C95">
        <w:tab/>
        <w:t xml:space="preserve">For subparagraph 761G(5)(b)(vii) of the Act, a </w:t>
      </w:r>
      <w:r w:rsidRPr="00A35C95">
        <w:rPr>
          <w:b/>
          <w:i/>
        </w:rPr>
        <w:t>personal and domestic property insurance product</w:t>
      </w:r>
      <w:r w:rsidRPr="00A35C95">
        <w:t xml:space="preserve"> is a contract or part of a contract that provides insurance cover (whether or not the cover is limited or restricted in any way) in respect of loss or damage to property that is:</w:t>
      </w:r>
    </w:p>
    <w:p w14:paraId="10D6FF2C" w14:textId="77777777" w:rsidR="00E93F58" w:rsidRPr="00A35C95" w:rsidRDefault="00E93F58" w:rsidP="00366AB5">
      <w:pPr>
        <w:pStyle w:val="paragraph"/>
        <w:tabs>
          <w:tab w:val="left" w:pos="2835"/>
        </w:tabs>
      </w:pPr>
      <w:r w:rsidRPr="00A35C95">
        <w:tab/>
        <w:t>(a)</w:t>
      </w:r>
      <w:r w:rsidRPr="00A35C95">
        <w:tab/>
        <w:t>wholly or predominantly used for personal, domestic or household purposes by:</w:t>
      </w:r>
    </w:p>
    <w:p w14:paraId="2307FDBF" w14:textId="77777777" w:rsidR="00E93F58" w:rsidRPr="00A35C95" w:rsidRDefault="00E93F58" w:rsidP="00366AB5">
      <w:pPr>
        <w:pStyle w:val="paragraphsub"/>
        <w:tabs>
          <w:tab w:val="left" w:pos="2835"/>
        </w:tabs>
      </w:pPr>
      <w:r w:rsidRPr="00A35C95">
        <w:rPr>
          <w:color w:val="000000"/>
        </w:rPr>
        <w:tab/>
        <w:t>(i)</w:t>
      </w:r>
      <w:r w:rsidRPr="00A35C95">
        <w:rPr>
          <w:color w:val="000000"/>
        </w:rPr>
        <w:tab/>
        <w:t>the insured; or</w:t>
      </w:r>
    </w:p>
    <w:p w14:paraId="049E5C29" w14:textId="77777777" w:rsidR="00E93F58" w:rsidRPr="00A35C95" w:rsidRDefault="00E93F58" w:rsidP="00366AB5">
      <w:pPr>
        <w:pStyle w:val="paragraphsub"/>
        <w:tabs>
          <w:tab w:val="left" w:pos="2835"/>
        </w:tabs>
      </w:pPr>
      <w:r w:rsidRPr="00A35C95">
        <w:tab/>
        <w:t>(ii)</w:t>
      </w:r>
      <w:r w:rsidRPr="00A35C95">
        <w:tab/>
        <w:t>a relative of the insured; or</w:t>
      </w:r>
    </w:p>
    <w:p w14:paraId="4A424738" w14:textId="77777777" w:rsidR="00E93F58" w:rsidRPr="00A35C95" w:rsidRDefault="00E93F58" w:rsidP="00366AB5">
      <w:pPr>
        <w:pStyle w:val="paragraphsub"/>
        <w:tabs>
          <w:tab w:val="left" w:pos="2835"/>
        </w:tabs>
      </w:pPr>
      <w:r w:rsidRPr="00A35C95">
        <w:tab/>
        <w:t>(iii)</w:t>
      </w:r>
      <w:r w:rsidRPr="00A35C95">
        <w:tab/>
        <w:t>any person with whom the insured resides; and</w:t>
      </w:r>
    </w:p>
    <w:p w14:paraId="6BB2FD44" w14:textId="77777777" w:rsidR="00E93F58" w:rsidRPr="00A35C95" w:rsidRDefault="00E93F58" w:rsidP="00366AB5">
      <w:pPr>
        <w:pStyle w:val="paragraph"/>
        <w:tabs>
          <w:tab w:val="left" w:pos="2835"/>
        </w:tabs>
      </w:pPr>
      <w:r w:rsidRPr="00A35C95">
        <w:rPr>
          <w:color w:val="000000"/>
        </w:rPr>
        <w:tab/>
        <w:t>(b)</w:t>
      </w:r>
      <w:r w:rsidRPr="00A35C95">
        <w:rPr>
          <w:color w:val="000000"/>
        </w:rPr>
        <w:tab/>
        <w:t>ordinarily used for that purpose.</w:t>
      </w:r>
    </w:p>
    <w:p w14:paraId="4CAB164F" w14:textId="77777777" w:rsidR="00E93F58" w:rsidRPr="00A35C95" w:rsidRDefault="00E93F58" w:rsidP="00366AB5">
      <w:pPr>
        <w:pStyle w:val="subsection"/>
        <w:tabs>
          <w:tab w:val="left" w:pos="2835"/>
        </w:tabs>
      </w:pPr>
      <w:r w:rsidRPr="00A35C95">
        <w:tab/>
        <w:t>(2)</w:t>
      </w:r>
      <w:r w:rsidRPr="00A35C95">
        <w:tab/>
        <w:t>A personal and domestic property insurance product does not include:</w:t>
      </w:r>
    </w:p>
    <w:p w14:paraId="5A83B13C"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insurance to or in relation to which the </w:t>
      </w:r>
      <w:r w:rsidRPr="00A35C95">
        <w:rPr>
          <w:i/>
          <w:color w:val="000000"/>
        </w:rPr>
        <w:t>Marine Insurance Act 1909</w:t>
      </w:r>
      <w:r w:rsidRPr="00A35C95">
        <w:rPr>
          <w:color w:val="000000"/>
        </w:rPr>
        <w:t xml:space="preserve"> applies; or</w:t>
      </w:r>
    </w:p>
    <w:p w14:paraId="09333127" w14:textId="77777777" w:rsidR="00E93F58" w:rsidRPr="00A35C95" w:rsidRDefault="00E93F58" w:rsidP="00366AB5">
      <w:pPr>
        <w:pStyle w:val="paragraph"/>
        <w:tabs>
          <w:tab w:val="left" w:pos="2835"/>
        </w:tabs>
      </w:pPr>
      <w:r w:rsidRPr="00A35C95">
        <w:tab/>
        <w:t>(b)</w:t>
      </w:r>
      <w:r w:rsidRPr="00A35C95">
        <w:tab/>
        <w:t>insurance entered into, or proposed to be entered into, for the purposes of a law (including a law of a State or Territory) that relates to:</w:t>
      </w:r>
    </w:p>
    <w:p w14:paraId="0BF15D4B" w14:textId="77777777" w:rsidR="00E93F58" w:rsidRPr="00A35C95" w:rsidRDefault="00E93F58" w:rsidP="00366AB5">
      <w:pPr>
        <w:pStyle w:val="paragraphsub"/>
        <w:tabs>
          <w:tab w:val="left" w:pos="2835"/>
        </w:tabs>
      </w:pPr>
      <w:r w:rsidRPr="00A35C95">
        <w:rPr>
          <w:color w:val="000000"/>
        </w:rPr>
        <w:tab/>
        <w:t>(i)</w:t>
      </w:r>
      <w:r w:rsidRPr="00A35C95">
        <w:rPr>
          <w:color w:val="000000"/>
        </w:rPr>
        <w:tab/>
        <w:t>workers’ compensation; or</w:t>
      </w:r>
    </w:p>
    <w:p w14:paraId="4594BB98" w14:textId="77777777" w:rsidR="00E93F58" w:rsidRPr="00A35C95" w:rsidRDefault="00E93F58" w:rsidP="00366AB5">
      <w:pPr>
        <w:pStyle w:val="paragraphsub"/>
        <w:tabs>
          <w:tab w:val="left" w:pos="2835"/>
        </w:tabs>
      </w:pPr>
      <w:r w:rsidRPr="00A35C95">
        <w:tab/>
        <w:t>(ii)</w:t>
      </w:r>
      <w:r w:rsidRPr="00A35C95">
        <w:tab/>
        <w:t>compulsory third party compensation.</w:t>
      </w:r>
    </w:p>
    <w:p w14:paraId="75ED9CA5" w14:textId="77777777" w:rsidR="00E93F58" w:rsidRPr="00A35C95" w:rsidRDefault="00E93F58" w:rsidP="00366AB5">
      <w:pPr>
        <w:pStyle w:val="subsection"/>
        <w:tabs>
          <w:tab w:val="left" w:pos="2835"/>
        </w:tabs>
      </w:pPr>
      <w:r w:rsidRPr="00A35C95">
        <w:tab/>
        <w:t>(3)</w:t>
      </w:r>
      <w:r w:rsidRPr="00A35C95">
        <w:tab/>
        <w:t>In this regulation:</w:t>
      </w:r>
    </w:p>
    <w:p w14:paraId="379F4B65" w14:textId="77777777" w:rsidR="00E93F58" w:rsidRPr="00A35C95" w:rsidRDefault="00E93F58" w:rsidP="00366AB5">
      <w:pPr>
        <w:pStyle w:val="Definition"/>
        <w:tabs>
          <w:tab w:val="left" w:pos="2835"/>
        </w:tabs>
      </w:pPr>
      <w:r w:rsidRPr="00A35C95">
        <w:rPr>
          <w:b/>
          <w:i/>
          <w:color w:val="000000"/>
        </w:rPr>
        <w:t>property</w:t>
      </w:r>
      <w:r w:rsidRPr="00A35C95">
        <w:t xml:space="preserve"> includes any of the following:</w:t>
      </w:r>
    </w:p>
    <w:p w14:paraId="751C396E" w14:textId="77777777" w:rsidR="00E93F58" w:rsidRPr="00A35C95" w:rsidRDefault="00E93F58" w:rsidP="00366AB5">
      <w:pPr>
        <w:pStyle w:val="paragraph"/>
        <w:tabs>
          <w:tab w:val="left" w:pos="2835"/>
        </w:tabs>
      </w:pPr>
      <w:r w:rsidRPr="00A35C95">
        <w:rPr>
          <w:color w:val="000000"/>
        </w:rPr>
        <w:tab/>
        <w:t>(a)</w:t>
      </w:r>
      <w:r w:rsidRPr="00A35C95">
        <w:rPr>
          <w:color w:val="000000"/>
        </w:rPr>
        <w:tab/>
        <w:t>moveables;</w:t>
      </w:r>
    </w:p>
    <w:p w14:paraId="56D425B3" w14:textId="77777777" w:rsidR="00E93F58" w:rsidRPr="00A35C95" w:rsidRDefault="00E93F58" w:rsidP="00366AB5">
      <w:pPr>
        <w:pStyle w:val="paragraph"/>
        <w:tabs>
          <w:tab w:val="left" w:pos="2835"/>
        </w:tabs>
      </w:pPr>
      <w:r w:rsidRPr="00A35C95">
        <w:tab/>
        <w:t>(b)</w:t>
      </w:r>
      <w:r w:rsidRPr="00A35C95">
        <w:tab/>
        <w:t>valuables;</w:t>
      </w:r>
    </w:p>
    <w:p w14:paraId="23B71DDE" w14:textId="77777777" w:rsidR="00E93F58" w:rsidRPr="00A35C95" w:rsidRDefault="00E93F58" w:rsidP="00366AB5">
      <w:pPr>
        <w:pStyle w:val="paragraph"/>
        <w:tabs>
          <w:tab w:val="left" w:pos="2835"/>
        </w:tabs>
      </w:pPr>
      <w:r w:rsidRPr="00A35C95">
        <w:tab/>
        <w:t>(c)</w:t>
      </w:r>
      <w:r w:rsidRPr="00A35C95">
        <w:tab/>
        <w:t>a caravan or mobile home;</w:t>
      </w:r>
    </w:p>
    <w:p w14:paraId="43019F52" w14:textId="77777777" w:rsidR="00E93F58" w:rsidRPr="00A35C95" w:rsidRDefault="00E93F58" w:rsidP="00366AB5">
      <w:pPr>
        <w:pStyle w:val="paragraph"/>
        <w:tabs>
          <w:tab w:val="left" w:pos="2835"/>
        </w:tabs>
      </w:pPr>
      <w:r w:rsidRPr="00A35C95">
        <w:tab/>
        <w:t>(d)</w:t>
      </w:r>
      <w:r w:rsidRPr="00A35C95">
        <w:tab/>
        <w:t>an on</w:t>
      </w:r>
      <w:r>
        <w:noBreakHyphen/>
      </w:r>
      <w:r w:rsidRPr="00A35C95">
        <w:t>site mobile home;</w:t>
      </w:r>
    </w:p>
    <w:p w14:paraId="3049E62E" w14:textId="77777777" w:rsidR="00E93F58" w:rsidRPr="00A35C95" w:rsidRDefault="00E93F58" w:rsidP="00366AB5">
      <w:pPr>
        <w:pStyle w:val="paragraph"/>
        <w:tabs>
          <w:tab w:val="left" w:pos="2835"/>
        </w:tabs>
      </w:pPr>
      <w:r w:rsidRPr="00A35C95">
        <w:tab/>
        <w:t>(e)</w:t>
      </w:r>
      <w:r w:rsidRPr="00A35C95">
        <w:tab/>
        <w:t>a trailer;</w:t>
      </w:r>
    </w:p>
    <w:p w14:paraId="1E1040F0" w14:textId="77777777" w:rsidR="00E93F58" w:rsidRPr="00A35C95" w:rsidRDefault="00E93F58" w:rsidP="00366AB5">
      <w:pPr>
        <w:pStyle w:val="paragraph"/>
        <w:tabs>
          <w:tab w:val="left" w:pos="2835"/>
        </w:tabs>
      </w:pPr>
      <w:r w:rsidRPr="00A35C95">
        <w:tab/>
        <w:t>(f)</w:t>
      </w:r>
      <w:r w:rsidRPr="00A35C95">
        <w:tab/>
        <w:t>a marine pleasure craft;</w:t>
      </w:r>
    </w:p>
    <w:p w14:paraId="709802F0" w14:textId="77777777" w:rsidR="00E93F58" w:rsidRPr="00A35C95" w:rsidRDefault="00E93F58" w:rsidP="00366AB5">
      <w:pPr>
        <w:pStyle w:val="paragraph"/>
        <w:tabs>
          <w:tab w:val="left" w:pos="2835"/>
        </w:tabs>
      </w:pPr>
      <w:r w:rsidRPr="00A35C95">
        <w:tab/>
        <w:t>(g)</w:t>
      </w:r>
      <w:r w:rsidRPr="00A35C95">
        <w:tab/>
        <w:t>a horse;</w:t>
      </w:r>
    </w:p>
    <w:p w14:paraId="12B5A388" w14:textId="77777777" w:rsidR="00E93F58" w:rsidRPr="00A35C95" w:rsidRDefault="00E93F58" w:rsidP="00366AB5">
      <w:pPr>
        <w:pStyle w:val="paragraph"/>
        <w:tabs>
          <w:tab w:val="left" w:pos="2835"/>
        </w:tabs>
      </w:pPr>
      <w:r w:rsidRPr="00A35C95">
        <w:tab/>
        <w:t>(h)</w:t>
      </w:r>
      <w:r w:rsidRPr="00A35C95">
        <w:tab/>
        <w:t>a domestic pet;</w:t>
      </w:r>
    </w:p>
    <w:p w14:paraId="5D4F5313" w14:textId="77777777" w:rsidR="00E93F58" w:rsidRPr="00A35C95" w:rsidRDefault="00E93F58" w:rsidP="00366AB5">
      <w:pPr>
        <w:pStyle w:val="paragraph"/>
        <w:tabs>
          <w:tab w:val="left" w:pos="2835"/>
        </w:tabs>
      </w:pPr>
      <w:r w:rsidRPr="00A35C95">
        <w:tab/>
        <w:t>(i)</w:t>
      </w:r>
      <w:r w:rsidRPr="00A35C95">
        <w:tab/>
        <w:t>a mobile phone.</w:t>
      </w:r>
    </w:p>
    <w:p w14:paraId="4732E25C" w14:textId="77777777" w:rsidR="00E93F58" w:rsidRPr="00A35C95" w:rsidRDefault="00E93F58" w:rsidP="00366AB5">
      <w:pPr>
        <w:pStyle w:val="Definition"/>
        <w:tabs>
          <w:tab w:val="left" w:pos="2835"/>
        </w:tabs>
      </w:pPr>
      <w:r w:rsidRPr="00A35C95">
        <w:rPr>
          <w:b/>
          <w:i/>
          <w:color w:val="000000"/>
        </w:rPr>
        <w:t>relative</w:t>
      </w:r>
      <w:r w:rsidRPr="00A35C95">
        <w:t xml:space="preserve"> means any of the following relatives of an insured person:</w:t>
      </w:r>
    </w:p>
    <w:p w14:paraId="0622B0D4" w14:textId="77777777" w:rsidR="00E93F58" w:rsidRPr="00A35C95" w:rsidRDefault="00E93F58" w:rsidP="00366AB5">
      <w:pPr>
        <w:pStyle w:val="paragraph"/>
        <w:tabs>
          <w:tab w:val="left" w:pos="2835"/>
        </w:tabs>
      </w:pPr>
      <w:r w:rsidRPr="00A35C95">
        <w:rPr>
          <w:color w:val="000000"/>
        </w:rPr>
        <w:tab/>
        <w:t>(a)</w:t>
      </w:r>
      <w:r w:rsidRPr="00A35C95">
        <w:rPr>
          <w:color w:val="000000"/>
        </w:rPr>
        <w:tab/>
        <w:t>mother;</w:t>
      </w:r>
    </w:p>
    <w:p w14:paraId="7BE65A7A" w14:textId="77777777" w:rsidR="00E93F58" w:rsidRPr="00A35C95" w:rsidRDefault="00E93F58" w:rsidP="00366AB5">
      <w:pPr>
        <w:pStyle w:val="paragraph"/>
        <w:tabs>
          <w:tab w:val="left" w:pos="2835"/>
        </w:tabs>
      </w:pPr>
      <w:r w:rsidRPr="00A35C95">
        <w:tab/>
        <w:t>(b)</w:t>
      </w:r>
      <w:r w:rsidRPr="00A35C95">
        <w:tab/>
        <w:t>step</w:t>
      </w:r>
      <w:r>
        <w:noBreakHyphen/>
      </w:r>
      <w:r w:rsidRPr="00A35C95">
        <w:t>mother;</w:t>
      </w:r>
    </w:p>
    <w:p w14:paraId="4F29F3A1" w14:textId="77777777" w:rsidR="00E93F58" w:rsidRPr="00A35C95" w:rsidRDefault="00E93F58" w:rsidP="00366AB5">
      <w:pPr>
        <w:pStyle w:val="paragraph"/>
        <w:tabs>
          <w:tab w:val="left" w:pos="2835"/>
        </w:tabs>
      </w:pPr>
      <w:r w:rsidRPr="00A35C95">
        <w:tab/>
        <w:t>(c)</w:t>
      </w:r>
      <w:r w:rsidRPr="00A35C95">
        <w:tab/>
        <w:t>father;</w:t>
      </w:r>
    </w:p>
    <w:p w14:paraId="17744454" w14:textId="77777777" w:rsidR="00E93F58" w:rsidRPr="00A35C95" w:rsidRDefault="00E93F58" w:rsidP="00366AB5">
      <w:pPr>
        <w:pStyle w:val="paragraph"/>
        <w:tabs>
          <w:tab w:val="left" w:pos="2835"/>
        </w:tabs>
      </w:pPr>
      <w:r w:rsidRPr="00A35C95">
        <w:tab/>
        <w:t>(d)</w:t>
      </w:r>
      <w:r w:rsidRPr="00A35C95">
        <w:tab/>
        <w:t>step</w:t>
      </w:r>
      <w:r>
        <w:noBreakHyphen/>
      </w:r>
      <w:r w:rsidRPr="00A35C95">
        <w:t>father;</w:t>
      </w:r>
    </w:p>
    <w:p w14:paraId="626E0003" w14:textId="77777777" w:rsidR="00E93F58" w:rsidRPr="00A35C95" w:rsidRDefault="00E93F58" w:rsidP="00366AB5">
      <w:pPr>
        <w:pStyle w:val="paragraph"/>
        <w:tabs>
          <w:tab w:val="left" w:pos="2835"/>
        </w:tabs>
      </w:pPr>
      <w:r w:rsidRPr="00A35C95">
        <w:tab/>
        <w:t>(e)</w:t>
      </w:r>
      <w:r w:rsidRPr="00A35C95">
        <w:tab/>
        <w:t>brother;</w:t>
      </w:r>
    </w:p>
    <w:p w14:paraId="31036774" w14:textId="77777777" w:rsidR="00E93F58" w:rsidRPr="00A35C95" w:rsidRDefault="00E93F58" w:rsidP="00366AB5">
      <w:pPr>
        <w:pStyle w:val="paragraph"/>
        <w:tabs>
          <w:tab w:val="left" w:pos="2835"/>
        </w:tabs>
      </w:pPr>
      <w:r w:rsidRPr="00A35C95">
        <w:tab/>
        <w:t>(f)</w:t>
      </w:r>
      <w:r w:rsidRPr="00A35C95">
        <w:tab/>
        <w:t>half</w:t>
      </w:r>
      <w:r>
        <w:noBreakHyphen/>
      </w:r>
      <w:r w:rsidRPr="00A35C95">
        <w:t>brother;</w:t>
      </w:r>
    </w:p>
    <w:p w14:paraId="6AA4AA59" w14:textId="77777777" w:rsidR="00E93F58" w:rsidRPr="00A35C95" w:rsidRDefault="00E93F58" w:rsidP="00366AB5">
      <w:pPr>
        <w:pStyle w:val="paragraph"/>
        <w:tabs>
          <w:tab w:val="left" w:pos="2835"/>
        </w:tabs>
      </w:pPr>
      <w:r w:rsidRPr="00A35C95">
        <w:tab/>
        <w:t>(g)</w:t>
      </w:r>
      <w:r w:rsidRPr="00A35C95">
        <w:tab/>
        <w:t>sister;</w:t>
      </w:r>
    </w:p>
    <w:p w14:paraId="4A281709" w14:textId="77777777" w:rsidR="00E93F58" w:rsidRPr="00A35C95" w:rsidRDefault="00E93F58" w:rsidP="00366AB5">
      <w:pPr>
        <w:pStyle w:val="paragraph"/>
        <w:tabs>
          <w:tab w:val="left" w:pos="2835"/>
        </w:tabs>
      </w:pPr>
      <w:r w:rsidRPr="00A35C95">
        <w:tab/>
        <w:t>(h)</w:t>
      </w:r>
      <w:r w:rsidRPr="00A35C95">
        <w:tab/>
        <w:t>half</w:t>
      </w:r>
      <w:r>
        <w:noBreakHyphen/>
      </w:r>
      <w:r w:rsidRPr="00A35C95">
        <w:t>sister;</w:t>
      </w:r>
    </w:p>
    <w:p w14:paraId="7F089406" w14:textId="77777777" w:rsidR="00E93F58" w:rsidRPr="00A35C95" w:rsidRDefault="00E93F58" w:rsidP="00366AB5">
      <w:pPr>
        <w:pStyle w:val="paragraph"/>
        <w:tabs>
          <w:tab w:val="left" w:pos="2835"/>
        </w:tabs>
      </w:pPr>
      <w:r w:rsidRPr="00A35C95">
        <w:tab/>
        <w:t>(i)</w:t>
      </w:r>
      <w:r w:rsidRPr="00A35C95">
        <w:tab/>
        <w:t>spouse (including de facto spouse);</w:t>
      </w:r>
    </w:p>
    <w:p w14:paraId="0723AFA1" w14:textId="77777777" w:rsidR="00E93F58" w:rsidRPr="00A35C95" w:rsidRDefault="00E93F58" w:rsidP="00366AB5">
      <w:pPr>
        <w:pStyle w:val="paragraph"/>
        <w:tabs>
          <w:tab w:val="left" w:pos="2835"/>
        </w:tabs>
      </w:pPr>
      <w:r w:rsidRPr="00A35C95">
        <w:lastRenderedPageBreak/>
        <w:tab/>
        <w:t>(j)</w:t>
      </w:r>
      <w:r w:rsidRPr="00A35C95">
        <w:tab/>
        <w:t>son;</w:t>
      </w:r>
    </w:p>
    <w:p w14:paraId="7F157A4B" w14:textId="77777777" w:rsidR="00E93F58" w:rsidRPr="00A35C95" w:rsidRDefault="00E93F58" w:rsidP="00366AB5">
      <w:pPr>
        <w:pStyle w:val="paragraph"/>
        <w:tabs>
          <w:tab w:val="left" w:pos="2835"/>
        </w:tabs>
      </w:pPr>
      <w:r w:rsidRPr="00A35C95">
        <w:tab/>
        <w:t>(k)</w:t>
      </w:r>
      <w:r w:rsidRPr="00A35C95">
        <w:tab/>
        <w:t>step</w:t>
      </w:r>
      <w:r>
        <w:noBreakHyphen/>
      </w:r>
      <w:r w:rsidRPr="00A35C95">
        <w:t>son;</w:t>
      </w:r>
    </w:p>
    <w:p w14:paraId="76018209" w14:textId="77777777" w:rsidR="00E93F58" w:rsidRPr="00A35C95" w:rsidRDefault="00E93F58" w:rsidP="00366AB5">
      <w:pPr>
        <w:pStyle w:val="paragraph"/>
        <w:tabs>
          <w:tab w:val="left" w:pos="2835"/>
        </w:tabs>
      </w:pPr>
      <w:r w:rsidRPr="00A35C95">
        <w:tab/>
        <w:t>(l)</w:t>
      </w:r>
      <w:r w:rsidRPr="00A35C95">
        <w:tab/>
        <w:t>adopted son;</w:t>
      </w:r>
    </w:p>
    <w:p w14:paraId="32E6779A" w14:textId="77777777" w:rsidR="00E93F58" w:rsidRPr="00A35C95" w:rsidRDefault="00E93F58" w:rsidP="00366AB5">
      <w:pPr>
        <w:pStyle w:val="paragraph"/>
        <w:tabs>
          <w:tab w:val="left" w:pos="2835"/>
        </w:tabs>
      </w:pPr>
      <w:r w:rsidRPr="00A35C95">
        <w:tab/>
        <w:t>(m)</w:t>
      </w:r>
      <w:r w:rsidRPr="00A35C95">
        <w:tab/>
        <w:t>daughter;</w:t>
      </w:r>
    </w:p>
    <w:p w14:paraId="4E870AD0" w14:textId="77777777" w:rsidR="00E93F58" w:rsidRPr="00A35C95" w:rsidRDefault="00E93F58" w:rsidP="00366AB5">
      <w:pPr>
        <w:pStyle w:val="paragraph"/>
        <w:tabs>
          <w:tab w:val="left" w:pos="2835"/>
        </w:tabs>
      </w:pPr>
      <w:r w:rsidRPr="00A35C95">
        <w:tab/>
        <w:t>(n)</w:t>
      </w:r>
      <w:r w:rsidRPr="00A35C95">
        <w:tab/>
        <w:t>step</w:t>
      </w:r>
      <w:r>
        <w:noBreakHyphen/>
      </w:r>
      <w:r w:rsidRPr="00A35C95">
        <w:t>daughter;</w:t>
      </w:r>
    </w:p>
    <w:p w14:paraId="2DB6AC6C" w14:textId="77777777" w:rsidR="00E93F58" w:rsidRPr="00A35C95" w:rsidRDefault="00E93F58" w:rsidP="00366AB5">
      <w:pPr>
        <w:pStyle w:val="paragraph"/>
        <w:tabs>
          <w:tab w:val="left" w:pos="2835"/>
        </w:tabs>
      </w:pPr>
      <w:r w:rsidRPr="00A35C95">
        <w:tab/>
        <w:t>(o)</w:t>
      </w:r>
      <w:r w:rsidRPr="00A35C95">
        <w:tab/>
        <w:t>adopted daughter;</w:t>
      </w:r>
    </w:p>
    <w:p w14:paraId="5401836D" w14:textId="77777777" w:rsidR="00E93F58" w:rsidRPr="00A35C95" w:rsidRDefault="00E93F58" w:rsidP="00366AB5">
      <w:pPr>
        <w:pStyle w:val="paragraph"/>
        <w:tabs>
          <w:tab w:val="left" w:pos="2835"/>
        </w:tabs>
      </w:pPr>
      <w:r w:rsidRPr="00A35C95">
        <w:tab/>
        <w:t>(p)</w:t>
      </w:r>
      <w:r w:rsidRPr="00A35C95">
        <w:tab/>
        <w:t>grandparent;</w:t>
      </w:r>
    </w:p>
    <w:p w14:paraId="591BBE6B" w14:textId="77777777" w:rsidR="00E93F58" w:rsidRPr="00A35C95" w:rsidRDefault="00E93F58" w:rsidP="00366AB5">
      <w:pPr>
        <w:pStyle w:val="paragraph"/>
        <w:tabs>
          <w:tab w:val="left" w:pos="2835"/>
        </w:tabs>
      </w:pPr>
      <w:r w:rsidRPr="00A35C95">
        <w:tab/>
        <w:t>(q)</w:t>
      </w:r>
      <w:r w:rsidRPr="00A35C95">
        <w:tab/>
        <w:t>grandchild;</w:t>
      </w:r>
    </w:p>
    <w:p w14:paraId="1864F633" w14:textId="77777777" w:rsidR="00E93F58" w:rsidRPr="00A35C95" w:rsidRDefault="00E93F58" w:rsidP="00366AB5">
      <w:pPr>
        <w:pStyle w:val="paragraph"/>
        <w:tabs>
          <w:tab w:val="left" w:pos="2835"/>
        </w:tabs>
      </w:pPr>
      <w:r w:rsidRPr="00A35C95">
        <w:tab/>
        <w:t>(r)</w:t>
      </w:r>
      <w:r w:rsidRPr="00A35C95">
        <w:tab/>
        <w:t>nephew;</w:t>
      </w:r>
    </w:p>
    <w:p w14:paraId="7445C882" w14:textId="77777777" w:rsidR="00E93F58" w:rsidRPr="00A35C95" w:rsidRDefault="00E93F58" w:rsidP="00366AB5">
      <w:pPr>
        <w:pStyle w:val="paragraph"/>
        <w:tabs>
          <w:tab w:val="left" w:pos="2835"/>
        </w:tabs>
      </w:pPr>
      <w:r w:rsidRPr="00A35C95">
        <w:tab/>
        <w:t>(s)</w:t>
      </w:r>
      <w:r w:rsidRPr="00A35C95">
        <w:tab/>
        <w:t>niece;</w:t>
      </w:r>
    </w:p>
    <w:p w14:paraId="342A1618" w14:textId="77777777" w:rsidR="00E93F58" w:rsidRPr="00A35C95" w:rsidRDefault="00E93F58" w:rsidP="00366AB5">
      <w:pPr>
        <w:pStyle w:val="paragraph"/>
        <w:tabs>
          <w:tab w:val="left" w:pos="2835"/>
        </w:tabs>
      </w:pPr>
      <w:r w:rsidRPr="00A35C95">
        <w:tab/>
        <w:t>(t)</w:t>
      </w:r>
      <w:r w:rsidRPr="00A35C95">
        <w:tab/>
        <w:t>uncle;</w:t>
      </w:r>
    </w:p>
    <w:p w14:paraId="4D9E5BBA" w14:textId="77777777" w:rsidR="00E93F58" w:rsidRPr="00A35C95" w:rsidRDefault="00E93F58" w:rsidP="00366AB5">
      <w:pPr>
        <w:pStyle w:val="paragraph"/>
        <w:tabs>
          <w:tab w:val="left" w:pos="2835"/>
        </w:tabs>
      </w:pPr>
      <w:r w:rsidRPr="00A35C95">
        <w:tab/>
        <w:t>(u)</w:t>
      </w:r>
      <w:r w:rsidRPr="00A35C95">
        <w:tab/>
        <w:t>aunt;</w:t>
      </w:r>
    </w:p>
    <w:p w14:paraId="4F31D393" w14:textId="77777777" w:rsidR="00E93F58" w:rsidRPr="00A35C95" w:rsidRDefault="00E93F58" w:rsidP="00366AB5">
      <w:pPr>
        <w:pStyle w:val="paragraph"/>
        <w:tabs>
          <w:tab w:val="left" w:pos="2835"/>
        </w:tabs>
      </w:pPr>
      <w:r w:rsidRPr="00A35C95">
        <w:tab/>
        <w:t>(v)</w:t>
      </w:r>
      <w:r w:rsidRPr="00A35C95">
        <w:tab/>
        <w:t>mother</w:t>
      </w:r>
      <w:r>
        <w:noBreakHyphen/>
      </w:r>
      <w:r w:rsidRPr="00A35C95">
        <w:t>in</w:t>
      </w:r>
      <w:r>
        <w:noBreakHyphen/>
      </w:r>
      <w:r w:rsidRPr="00A35C95">
        <w:t>law;</w:t>
      </w:r>
    </w:p>
    <w:p w14:paraId="458E828C" w14:textId="77777777" w:rsidR="00E93F58" w:rsidRPr="00A35C95" w:rsidRDefault="00E93F58" w:rsidP="00366AB5">
      <w:pPr>
        <w:pStyle w:val="paragraph"/>
        <w:tabs>
          <w:tab w:val="left" w:pos="2835"/>
        </w:tabs>
      </w:pPr>
      <w:r w:rsidRPr="00A35C95">
        <w:tab/>
        <w:t>(w)</w:t>
      </w:r>
      <w:r w:rsidRPr="00A35C95">
        <w:tab/>
        <w:t>father</w:t>
      </w:r>
      <w:r>
        <w:noBreakHyphen/>
      </w:r>
      <w:r w:rsidRPr="00A35C95">
        <w:t>in</w:t>
      </w:r>
      <w:r>
        <w:noBreakHyphen/>
      </w:r>
      <w:r w:rsidRPr="00A35C95">
        <w:t>law.</w:t>
      </w:r>
    </w:p>
    <w:p w14:paraId="07330E07" w14:textId="77777777" w:rsidR="00E93F58" w:rsidRPr="00A35C95" w:rsidRDefault="00E93F58" w:rsidP="00366AB5">
      <w:pPr>
        <w:pStyle w:val="subsection"/>
        <w:tabs>
          <w:tab w:val="left" w:pos="2835"/>
        </w:tabs>
      </w:pPr>
      <w:r w:rsidRPr="00A35C95">
        <w:rPr>
          <w:color w:val="000000"/>
        </w:rPr>
        <w:tab/>
        <w:t>(4)</w:t>
      </w:r>
      <w:r w:rsidRPr="00A35C95">
        <w:rPr>
          <w:color w:val="000000"/>
        </w:rPr>
        <w:tab/>
        <w:t>For paragraph (1)(a), property is taken to be wholly or predominantly used for personal, domestic or household purposes if the insured gives the insurer a statement, before the insurance product is issued, that the property is intended to be used wholly or predominantly for 1 or more of those purposes.</w:t>
      </w:r>
    </w:p>
    <w:p w14:paraId="4CADDBDD" w14:textId="77777777" w:rsidR="00E93F58" w:rsidRPr="00A35C95" w:rsidRDefault="00E93F58" w:rsidP="00366AB5">
      <w:pPr>
        <w:pStyle w:val="ActHead5"/>
        <w:tabs>
          <w:tab w:val="left" w:pos="2835"/>
        </w:tabs>
      </w:pPr>
      <w:bookmarkStart w:id="467" w:name="_Toc152057808"/>
      <w:bookmarkStart w:id="468" w:name="_Toc158712031"/>
      <w:r w:rsidRPr="00844D11">
        <w:rPr>
          <w:rStyle w:val="CharSectno"/>
        </w:rPr>
        <w:t>7.1.17A</w:t>
      </w:r>
      <w:r w:rsidRPr="00A35C95">
        <w:t xml:space="preserve">  General insurance products: medical indemnity insurance products</w:t>
      </w:r>
      <w:bookmarkEnd w:id="467"/>
      <w:bookmarkEnd w:id="468"/>
    </w:p>
    <w:p w14:paraId="44D88567" w14:textId="77777777" w:rsidR="00E93F58" w:rsidRPr="00A35C95" w:rsidRDefault="00E93F58" w:rsidP="00366AB5">
      <w:pPr>
        <w:pStyle w:val="subsection"/>
        <w:tabs>
          <w:tab w:val="left" w:pos="2835"/>
        </w:tabs>
      </w:pPr>
      <w:r w:rsidRPr="00A35C95">
        <w:tab/>
      </w:r>
      <w:r w:rsidRPr="00A35C95">
        <w:tab/>
        <w:t>For subparagraph 761G(5)(b)(viii) of the Act, a medical indemnity insurance product is prescribed.</w:t>
      </w:r>
    </w:p>
    <w:p w14:paraId="41828B46" w14:textId="77777777" w:rsidR="00E93F58" w:rsidRPr="00A35C95" w:rsidRDefault="00E93F58" w:rsidP="00366AB5">
      <w:pPr>
        <w:pStyle w:val="ActHead5"/>
        <w:tabs>
          <w:tab w:val="left" w:pos="2835"/>
        </w:tabs>
      </w:pPr>
      <w:bookmarkStart w:id="469" w:name="_Toc152057809"/>
      <w:bookmarkStart w:id="470" w:name="_Toc158712032"/>
      <w:r w:rsidRPr="00844D11">
        <w:rPr>
          <w:rStyle w:val="CharSectno"/>
        </w:rPr>
        <w:t>7.1.17B</w:t>
      </w:r>
      <w:r w:rsidRPr="00A35C95">
        <w:t xml:space="preserve">  Retail clients and wholesale clients: aggregation of amounts for price or value of financial product</w:t>
      </w:r>
      <w:bookmarkEnd w:id="469"/>
      <w:bookmarkEnd w:id="470"/>
    </w:p>
    <w:p w14:paraId="4825C183" w14:textId="77777777" w:rsidR="00E93F58" w:rsidRPr="00A35C95" w:rsidRDefault="00E93F58" w:rsidP="00366AB5">
      <w:pPr>
        <w:pStyle w:val="subsection"/>
        <w:tabs>
          <w:tab w:val="left" w:pos="2835"/>
        </w:tabs>
      </w:pPr>
      <w:r w:rsidRPr="00A35C95">
        <w:tab/>
        <w:t>(1)</w:t>
      </w:r>
      <w:r w:rsidRPr="00A35C95">
        <w:tab/>
        <w:t>For paragraph 761G(10)(a) of the Act, this regulation applies in relation to a class of financial products that:</w:t>
      </w:r>
    </w:p>
    <w:p w14:paraId="6B7DAA8F" w14:textId="77777777" w:rsidR="00E93F58" w:rsidRPr="00A35C95" w:rsidRDefault="00E93F58" w:rsidP="00366AB5">
      <w:pPr>
        <w:pStyle w:val="paragraph"/>
        <w:tabs>
          <w:tab w:val="left" w:pos="2835"/>
        </w:tabs>
      </w:pPr>
      <w:r w:rsidRPr="00A35C95">
        <w:tab/>
        <w:t>(a)</w:t>
      </w:r>
      <w:r w:rsidRPr="00A35C95">
        <w:tab/>
        <w:t>are provided by the same product issuer to:</w:t>
      </w:r>
    </w:p>
    <w:p w14:paraId="4F052656" w14:textId="77777777" w:rsidR="00E93F58" w:rsidRPr="00A35C95" w:rsidRDefault="00E93F58" w:rsidP="00366AB5">
      <w:pPr>
        <w:pStyle w:val="paragraphsub"/>
        <w:tabs>
          <w:tab w:val="left" w:pos="2835"/>
        </w:tabs>
      </w:pPr>
      <w:r w:rsidRPr="00A35C95">
        <w:tab/>
        <w:t>(i)</w:t>
      </w:r>
      <w:r w:rsidRPr="00A35C95">
        <w:tab/>
        <w:t>a particular person; or</w:t>
      </w:r>
    </w:p>
    <w:p w14:paraId="139C8AC9" w14:textId="77777777" w:rsidR="00E93F58" w:rsidRPr="00A35C95" w:rsidRDefault="00E93F58" w:rsidP="00366AB5">
      <w:pPr>
        <w:pStyle w:val="paragraphsub"/>
        <w:tabs>
          <w:tab w:val="left" w:pos="2835"/>
        </w:tabs>
      </w:pPr>
      <w:r w:rsidRPr="00A35C95">
        <w:tab/>
        <w:t>(ii)</w:t>
      </w:r>
      <w:r w:rsidRPr="00A35C95">
        <w:tab/>
        <w:t>an associate of the person; or</w:t>
      </w:r>
    </w:p>
    <w:p w14:paraId="7784F6D1" w14:textId="77777777" w:rsidR="00E93F58" w:rsidRPr="00A35C95" w:rsidRDefault="00E93F58" w:rsidP="00366AB5">
      <w:pPr>
        <w:pStyle w:val="paragraphsub"/>
        <w:tabs>
          <w:tab w:val="left" w:pos="2835"/>
        </w:tabs>
      </w:pPr>
      <w:r w:rsidRPr="00A35C95">
        <w:tab/>
        <w:t>(iii)</w:t>
      </w:r>
      <w:r w:rsidRPr="00A35C95">
        <w:tab/>
        <w:t>a body corporate controlled and wholly owned by the person; and</w:t>
      </w:r>
    </w:p>
    <w:p w14:paraId="42FD99CD" w14:textId="77777777" w:rsidR="00E93F58" w:rsidRPr="00A35C95" w:rsidRDefault="00E93F58" w:rsidP="00366AB5">
      <w:pPr>
        <w:pStyle w:val="paragraph"/>
        <w:tabs>
          <w:tab w:val="left" w:pos="2835"/>
        </w:tabs>
      </w:pPr>
      <w:r w:rsidRPr="00A35C95">
        <w:tab/>
        <w:t>(b)</w:t>
      </w:r>
      <w:r w:rsidRPr="00A35C95">
        <w:tab/>
        <w:t>are provided at or about the same time.</w:t>
      </w:r>
    </w:p>
    <w:p w14:paraId="16021A47" w14:textId="77777777" w:rsidR="00E93F58" w:rsidRPr="00A35C95" w:rsidRDefault="00E93F58" w:rsidP="00366AB5">
      <w:pPr>
        <w:pStyle w:val="subsection"/>
        <w:tabs>
          <w:tab w:val="left" w:pos="2835"/>
        </w:tabs>
      </w:pPr>
      <w:r w:rsidRPr="00A35C95">
        <w:tab/>
        <w:t>(2)</w:t>
      </w:r>
      <w:r w:rsidRPr="00A35C95">
        <w:tab/>
        <w:t>The price for the provision of the financial products may be calculated by:</w:t>
      </w:r>
    </w:p>
    <w:p w14:paraId="69B6D03C" w14:textId="77777777" w:rsidR="00E93F58" w:rsidRPr="00A35C95" w:rsidRDefault="00E93F58" w:rsidP="00366AB5">
      <w:pPr>
        <w:pStyle w:val="paragraph"/>
        <w:tabs>
          <w:tab w:val="left" w:pos="2835"/>
        </w:tabs>
      </w:pPr>
      <w:r w:rsidRPr="00A35C95">
        <w:tab/>
        <w:t>(a)</w:t>
      </w:r>
      <w:r w:rsidRPr="00A35C95">
        <w:tab/>
        <w:t>calculating the total price for the provision of all of the financial products in the class; and</w:t>
      </w:r>
    </w:p>
    <w:p w14:paraId="255F81B7" w14:textId="77777777" w:rsidR="00E93F58" w:rsidRPr="00A35C95" w:rsidRDefault="00E93F58" w:rsidP="00366AB5">
      <w:pPr>
        <w:pStyle w:val="paragraph"/>
        <w:tabs>
          <w:tab w:val="left" w:pos="2835"/>
        </w:tabs>
      </w:pPr>
      <w:r w:rsidRPr="00A35C95">
        <w:tab/>
        <w:t>(b)</w:t>
      </w:r>
      <w:r w:rsidRPr="00A35C95">
        <w:tab/>
        <w:t>treating the total price as the price for the provision to the particular person of a single financial product.</w:t>
      </w:r>
    </w:p>
    <w:p w14:paraId="5BFFFCE1" w14:textId="77777777" w:rsidR="00E93F58" w:rsidRPr="00A35C95" w:rsidRDefault="00E93F58" w:rsidP="00366AB5">
      <w:pPr>
        <w:pStyle w:val="subsection"/>
        <w:tabs>
          <w:tab w:val="left" w:pos="2835"/>
        </w:tabs>
      </w:pPr>
      <w:r w:rsidRPr="00A35C95">
        <w:tab/>
        <w:t>(3)</w:t>
      </w:r>
      <w:r w:rsidRPr="00A35C95">
        <w:tab/>
        <w:t>The value of the financial products may be calculated by:</w:t>
      </w:r>
    </w:p>
    <w:p w14:paraId="069534CF" w14:textId="77777777" w:rsidR="00E93F58" w:rsidRPr="00A35C95" w:rsidRDefault="00E93F58" w:rsidP="00366AB5">
      <w:pPr>
        <w:pStyle w:val="paragraph"/>
        <w:tabs>
          <w:tab w:val="left" w:pos="2835"/>
        </w:tabs>
      </w:pPr>
      <w:r w:rsidRPr="00A35C95">
        <w:tab/>
        <w:t>(a)</w:t>
      </w:r>
      <w:r w:rsidRPr="00A35C95">
        <w:tab/>
        <w:t>calculating the total value of all of the financial products in the class; and</w:t>
      </w:r>
    </w:p>
    <w:p w14:paraId="2517A059" w14:textId="77777777" w:rsidR="00E93F58" w:rsidRPr="00A35C95" w:rsidRDefault="00E93F58" w:rsidP="00366AB5">
      <w:pPr>
        <w:pStyle w:val="paragraph"/>
        <w:tabs>
          <w:tab w:val="left" w:pos="2835"/>
        </w:tabs>
      </w:pPr>
      <w:r w:rsidRPr="00A35C95">
        <w:tab/>
        <w:t>(b)</w:t>
      </w:r>
      <w:r w:rsidRPr="00A35C95">
        <w:tab/>
        <w:t>treating the total value as the value of a single financial product provided to the particular person.</w:t>
      </w:r>
    </w:p>
    <w:p w14:paraId="166F442F" w14:textId="77777777" w:rsidR="00E93F58" w:rsidRPr="00A35C95" w:rsidRDefault="00E93F58" w:rsidP="00366AB5">
      <w:pPr>
        <w:pStyle w:val="ActHead5"/>
        <w:tabs>
          <w:tab w:val="left" w:pos="2835"/>
        </w:tabs>
      </w:pPr>
      <w:bookmarkStart w:id="471" w:name="_Toc152057810"/>
      <w:bookmarkStart w:id="472" w:name="_Toc158712033"/>
      <w:r w:rsidRPr="00844D11">
        <w:rPr>
          <w:rStyle w:val="CharSectno"/>
        </w:rPr>
        <w:t>7.1.17C</w:t>
      </w:r>
      <w:r w:rsidRPr="00A35C95">
        <w:t xml:space="preserve">  Retail clients: traditional trustee company services</w:t>
      </w:r>
      <w:bookmarkEnd w:id="471"/>
      <w:bookmarkEnd w:id="472"/>
    </w:p>
    <w:p w14:paraId="45978E59" w14:textId="77777777" w:rsidR="00E93F58" w:rsidRPr="00A35C95" w:rsidRDefault="00E93F58" w:rsidP="00366AB5">
      <w:pPr>
        <w:pStyle w:val="subsection"/>
        <w:tabs>
          <w:tab w:val="left" w:pos="2835"/>
        </w:tabs>
      </w:pPr>
      <w:r w:rsidRPr="00A35C95">
        <w:tab/>
      </w:r>
      <w:r w:rsidRPr="00A35C95">
        <w:tab/>
        <w:t>For subsection 761G(6A) of the Act, a traditional trustee company service is not provided to a person as a retail client if:</w:t>
      </w:r>
    </w:p>
    <w:p w14:paraId="623CCCEA" w14:textId="77777777" w:rsidR="00E93F58" w:rsidRPr="00A35C95" w:rsidRDefault="00E93F58" w:rsidP="00366AB5">
      <w:pPr>
        <w:pStyle w:val="paragraph"/>
        <w:tabs>
          <w:tab w:val="left" w:pos="2835"/>
        </w:tabs>
      </w:pPr>
      <w:r w:rsidRPr="00A35C95">
        <w:tab/>
        <w:t>(a)</w:t>
      </w:r>
      <w:r w:rsidRPr="00A35C95">
        <w:tab/>
        <w:t>the service is provided to the person for use in relation to a business that is not a small business; or</w:t>
      </w:r>
    </w:p>
    <w:p w14:paraId="518E0C04" w14:textId="77777777" w:rsidR="00E93F58" w:rsidRPr="00A35C95" w:rsidRDefault="00E93F58" w:rsidP="00366AB5">
      <w:pPr>
        <w:pStyle w:val="paragraph"/>
        <w:tabs>
          <w:tab w:val="left" w:pos="2835"/>
        </w:tabs>
      </w:pPr>
      <w:r w:rsidRPr="00A35C95">
        <w:tab/>
        <w:t>(b)</w:t>
      </w:r>
      <w:r w:rsidRPr="00A35C95">
        <w:tab/>
        <w:t>the person to whom the service is provided is a professional investor.</w:t>
      </w:r>
    </w:p>
    <w:p w14:paraId="516FDB94" w14:textId="77777777" w:rsidR="00E93F58" w:rsidRPr="00A35C95" w:rsidRDefault="00E93F58" w:rsidP="00366AB5">
      <w:pPr>
        <w:pStyle w:val="notetext"/>
        <w:tabs>
          <w:tab w:val="left" w:pos="2835"/>
        </w:tabs>
      </w:pPr>
      <w:r w:rsidRPr="00A35C95">
        <w:t>Note:</w:t>
      </w:r>
      <w:r w:rsidRPr="00A35C95">
        <w:tab/>
      </w:r>
      <w:r w:rsidRPr="00A35C95">
        <w:rPr>
          <w:b/>
          <w:i/>
        </w:rPr>
        <w:t>Small business</w:t>
      </w:r>
      <w:r w:rsidRPr="00A35C95">
        <w:t xml:space="preserve"> is defined in subsection 761G(12) of the Act and </w:t>
      </w:r>
      <w:r w:rsidRPr="00A35C95">
        <w:rPr>
          <w:b/>
          <w:i/>
        </w:rPr>
        <w:t>professional investor</w:t>
      </w:r>
      <w:r w:rsidRPr="00A35C95">
        <w:t xml:space="preserve"> is defined in section 9 of the Act.</w:t>
      </w:r>
    </w:p>
    <w:p w14:paraId="4B47ACB5" w14:textId="77777777" w:rsidR="00E93F58" w:rsidRPr="00A35C95" w:rsidRDefault="00E93F58" w:rsidP="00366AB5">
      <w:pPr>
        <w:pStyle w:val="ActHead5"/>
        <w:tabs>
          <w:tab w:val="left" w:pos="2835"/>
        </w:tabs>
      </w:pPr>
      <w:bookmarkStart w:id="473" w:name="_Toc152057811"/>
      <w:bookmarkStart w:id="474" w:name="_Toc158712034"/>
      <w:r w:rsidRPr="00844D11">
        <w:rPr>
          <w:rStyle w:val="CharSectno"/>
        </w:rPr>
        <w:t>7.1.18</w:t>
      </w:r>
      <w:r w:rsidRPr="00A35C95">
        <w:rPr>
          <w:sz w:val="16"/>
        </w:rPr>
        <w:t xml:space="preserve">  </w:t>
      </w:r>
      <w:r w:rsidRPr="00A35C95">
        <w:t>Retail clients and wholesale clients: price of investment</w:t>
      </w:r>
      <w:r>
        <w:noBreakHyphen/>
      </w:r>
      <w:r w:rsidRPr="00A35C95">
        <w:t>based financial products</w:t>
      </w:r>
      <w:bookmarkEnd w:id="473"/>
      <w:bookmarkEnd w:id="474"/>
    </w:p>
    <w:p w14:paraId="17B983D5"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makes arrangements about the price for the provision of an investment</w:t>
      </w:r>
      <w:r>
        <w:rPr>
          <w:color w:val="000000"/>
        </w:rPr>
        <w:noBreakHyphen/>
      </w:r>
      <w:r w:rsidRPr="00A35C95">
        <w:rPr>
          <w:color w:val="000000"/>
        </w:rPr>
        <w:t>based financial product.</w:t>
      </w:r>
    </w:p>
    <w:p w14:paraId="43034152"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6EEDB071" w14:textId="77777777" w:rsidR="00E93F58" w:rsidRPr="00A35C95" w:rsidRDefault="00E93F58" w:rsidP="00366AB5">
      <w:pPr>
        <w:pStyle w:val="notetext"/>
        <w:tabs>
          <w:tab w:val="left" w:pos="2835"/>
        </w:tabs>
      </w:pPr>
      <w:r w:rsidRPr="00A35C95">
        <w:lastRenderedPageBreak/>
        <w:tab/>
        <w:t>Under paragraph 761G(10)(a) of the Act, the regulations may also deal with how a price or value referred to in that paragraph is to be calculated, either generally or in relation to a specified class of financial products.</w:t>
      </w:r>
    </w:p>
    <w:p w14:paraId="2F96CE19" w14:textId="77777777" w:rsidR="00E93F58" w:rsidRPr="00A35C95" w:rsidRDefault="00E93F58" w:rsidP="00366AB5">
      <w:pPr>
        <w:pStyle w:val="notetext"/>
        <w:tabs>
          <w:tab w:val="left" w:pos="2835"/>
        </w:tabs>
      </w:pPr>
      <w:r w:rsidRPr="00A35C95">
        <w:tab/>
        <w:t>In general, the ‘price’ of a product will be the amount that is paid to acquire or be issued with the financial product. The test for the price of the product in paragraph 761G(7)(a) of the Act will be determined at or before the time the client acquires, or is issued with, the financial product. If a client pays over $500 000 to acquire or be issued with the financial product, the client will be a wholesale client in respect of the product.</w:t>
      </w:r>
    </w:p>
    <w:p w14:paraId="476D500D" w14:textId="77777777" w:rsidR="00E93F58" w:rsidRPr="00A35C95" w:rsidRDefault="00E93F58" w:rsidP="00366AB5">
      <w:pPr>
        <w:pStyle w:val="SubsectionHead"/>
        <w:tabs>
          <w:tab w:val="left" w:pos="2835"/>
        </w:tabs>
      </w:pPr>
      <w:r w:rsidRPr="00A35C95">
        <w:t>Price</w:t>
      </w:r>
    </w:p>
    <w:p w14:paraId="47A4DAB0"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761G(7)(a) of the Act, the amount applicable in relation to an investment</w:t>
      </w:r>
      <w:r>
        <w:rPr>
          <w:color w:val="000000"/>
        </w:rPr>
        <w:noBreakHyphen/>
      </w:r>
      <w:r w:rsidRPr="00A35C95">
        <w:rPr>
          <w:color w:val="000000"/>
        </w:rPr>
        <w:t>based financial product is $500 000.</w:t>
      </w:r>
    </w:p>
    <w:p w14:paraId="1A667538" w14:textId="77777777" w:rsidR="00E93F58" w:rsidRPr="00A35C95" w:rsidRDefault="00E93F58" w:rsidP="00366AB5">
      <w:pPr>
        <w:pStyle w:val="SubsectionHead"/>
        <w:tabs>
          <w:tab w:val="left" w:pos="2835"/>
        </w:tabs>
      </w:pPr>
      <w:r w:rsidRPr="00A35C95">
        <w:t>Working out price: general rule</w:t>
      </w:r>
    </w:p>
    <w:p w14:paraId="67ABB2AB" w14:textId="77777777" w:rsidR="00E93F58" w:rsidRPr="00A35C95" w:rsidRDefault="00E93F58" w:rsidP="00366AB5">
      <w:pPr>
        <w:pStyle w:val="subsection"/>
        <w:tabs>
          <w:tab w:val="left" w:pos="2835"/>
        </w:tabs>
      </w:pPr>
      <w:r w:rsidRPr="00A35C95">
        <w:tab/>
        <w:t>(3)</w:t>
      </w:r>
      <w:r w:rsidRPr="00A35C95">
        <w:tab/>
        <w:t>For paragraph 761G(10)(a) of the Act, the price of an investment</w:t>
      </w:r>
      <w:r>
        <w:noBreakHyphen/>
      </w:r>
      <w:r w:rsidRPr="00A35C95">
        <w:t>based financial product:</w:t>
      </w:r>
    </w:p>
    <w:p w14:paraId="40F23558" w14:textId="77777777" w:rsidR="00E93F58" w:rsidRPr="00A35C95" w:rsidRDefault="00E93F58" w:rsidP="00366AB5">
      <w:pPr>
        <w:pStyle w:val="paragraph"/>
        <w:tabs>
          <w:tab w:val="left" w:pos="2835"/>
        </w:tabs>
      </w:pPr>
      <w:r w:rsidRPr="00A35C95">
        <w:rPr>
          <w:color w:val="000000"/>
        </w:rPr>
        <w:tab/>
        <w:t>(a)</w:t>
      </w:r>
      <w:r w:rsidRPr="00A35C95">
        <w:rPr>
          <w:color w:val="000000"/>
        </w:rPr>
        <w:tab/>
        <w:t>is the amount that is paid or payable to acquire or purchase the investment</w:t>
      </w:r>
      <w:r>
        <w:rPr>
          <w:color w:val="000000"/>
        </w:rPr>
        <w:noBreakHyphen/>
      </w:r>
      <w:r w:rsidRPr="00A35C95">
        <w:rPr>
          <w:color w:val="000000"/>
        </w:rPr>
        <w:t>based financial product; and</w:t>
      </w:r>
    </w:p>
    <w:p w14:paraId="26F5480A" w14:textId="77777777" w:rsidR="00E93F58" w:rsidRPr="00A35C95" w:rsidRDefault="00E93F58" w:rsidP="00366AB5">
      <w:pPr>
        <w:pStyle w:val="paragraph"/>
        <w:tabs>
          <w:tab w:val="left" w:pos="2835"/>
        </w:tabs>
      </w:pPr>
      <w:r w:rsidRPr="00A35C95">
        <w:tab/>
        <w:t>(b)</w:t>
      </w:r>
      <w:r w:rsidRPr="00A35C95">
        <w:tab/>
        <w:t>does not include any amount paid for or in respect of the investment</w:t>
      </w:r>
      <w:r>
        <w:noBreakHyphen/>
      </w:r>
      <w:r w:rsidRPr="00A35C95">
        <w:t>based financial product following its issue or acquisition unless the issue or acquisition would not have taken place without an arrangement to pay the amount.</w:t>
      </w:r>
    </w:p>
    <w:p w14:paraId="2AD95DA8" w14:textId="77777777" w:rsidR="00E93F58" w:rsidRPr="00A35C95" w:rsidRDefault="00E93F58" w:rsidP="00366AB5">
      <w:pPr>
        <w:pStyle w:val="notetext"/>
        <w:tabs>
          <w:tab w:val="left" w:pos="2835"/>
        </w:tabs>
      </w:pPr>
      <w:r w:rsidRPr="00A35C95">
        <w:rPr>
          <w:color w:val="000000"/>
        </w:rPr>
        <w:t>Note:</w:t>
      </w:r>
      <w:r w:rsidRPr="00A35C95">
        <w:rPr>
          <w:color w:val="000000"/>
        </w:rPr>
        <w:tab/>
        <w:t>An amount deposited in a deposit account will not generally be regarded as part of the ‘price’ paid to acquire or purchase the financial product.</w:t>
      </w:r>
    </w:p>
    <w:p w14:paraId="6FEACE72" w14:textId="77777777" w:rsidR="00E93F58" w:rsidRPr="00A35C95" w:rsidRDefault="00E93F58" w:rsidP="00366AB5">
      <w:pPr>
        <w:pStyle w:val="subsection"/>
        <w:tabs>
          <w:tab w:val="left" w:pos="2835"/>
        </w:tabs>
      </w:pPr>
      <w:r w:rsidRPr="00A35C95">
        <w:tab/>
        <w:t>(4)</w:t>
      </w:r>
      <w:r w:rsidRPr="00A35C95">
        <w:tab/>
        <w:t>For subregulation (3), in calculating any amount payable or paid to acquire or purchase the investment</w:t>
      </w:r>
      <w:r>
        <w:noBreakHyphen/>
      </w:r>
      <w:r w:rsidRPr="00A35C95">
        <w:t>based financial product:</w:t>
      </w:r>
    </w:p>
    <w:p w14:paraId="1DFED225" w14:textId="77777777" w:rsidR="00E93F58" w:rsidRPr="00A35C95" w:rsidRDefault="00E93F58" w:rsidP="00366AB5">
      <w:pPr>
        <w:pStyle w:val="paragraph"/>
        <w:tabs>
          <w:tab w:val="left" w:pos="2835"/>
        </w:tabs>
      </w:pPr>
      <w:r w:rsidRPr="00A35C95">
        <w:tab/>
        <w:t>(a)</w:t>
      </w:r>
      <w:r w:rsidRPr="00A35C95">
        <w:tab/>
        <w:t>disregard any amount payable to the extent to which it is to be paid out of money lent by:</w:t>
      </w:r>
    </w:p>
    <w:p w14:paraId="53D08A1D"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 offering the investment</w:t>
      </w:r>
      <w:r>
        <w:rPr>
          <w:color w:val="000000"/>
        </w:rPr>
        <w:noBreakHyphen/>
      </w:r>
      <w:r w:rsidRPr="00A35C95">
        <w:rPr>
          <w:color w:val="000000"/>
        </w:rPr>
        <w:t>based financial product; or</w:t>
      </w:r>
    </w:p>
    <w:p w14:paraId="024F6EFA" w14:textId="77777777" w:rsidR="00E93F58" w:rsidRPr="00A35C95" w:rsidRDefault="00E93F58" w:rsidP="00366AB5">
      <w:pPr>
        <w:pStyle w:val="paragraphsub"/>
        <w:tabs>
          <w:tab w:val="left" w:pos="2835"/>
        </w:tabs>
      </w:pPr>
      <w:r w:rsidRPr="00A35C95">
        <w:tab/>
        <w:t>(ii)</w:t>
      </w:r>
      <w:r w:rsidRPr="00A35C95">
        <w:tab/>
        <w:t>an associate of that person; and</w:t>
      </w:r>
    </w:p>
    <w:p w14:paraId="3C612AA3" w14:textId="77777777" w:rsidR="00E93F58" w:rsidRPr="00A35C95" w:rsidRDefault="00E93F58" w:rsidP="00366AB5">
      <w:pPr>
        <w:pStyle w:val="paragraph"/>
        <w:tabs>
          <w:tab w:val="left" w:pos="2835"/>
        </w:tabs>
      </w:pPr>
      <w:r w:rsidRPr="00A35C95">
        <w:tab/>
        <w:t>(b)</w:t>
      </w:r>
      <w:r w:rsidRPr="00A35C95">
        <w:tab/>
        <w:t>disregard any amount paid to the extent to which it was paid out of money lent by:</w:t>
      </w:r>
    </w:p>
    <w:p w14:paraId="76AD836F"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 offering the investment</w:t>
      </w:r>
      <w:r>
        <w:rPr>
          <w:color w:val="000000"/>
        </w:rPr>
        <w:noBreakHyphen/>
      </w:r>
      <w:r w:rsidRPr="00A35C95">
        <w:rPr>
          <w:color w:val="000000"/>
        </w:rPr>
        <w:t>based financial product; or</w:t>
      </w:r>
    </w:p>
    <w:p w14:paraId="79983075" w14:textId="77777777" w:rsidR="00E93F58" w:rsidRPr="00A35C95" w:rsidRDefault="00E93F58" w:rsidP="00366AB5">
      <w:pPr>
        <w:pStyle w:val="paragraphsub"/>
        <w:tabs>
          <w:tab w:val="left" w:pos="2835"/>
        </w:tabs>
      </w:pPr>
      <w:r w:rsidRPr="00A35C95">
        <w:tab/>
        <w:t>(ii)</w:t>
      </w:r>
      <w:r w:rsidRPr="00A35C95">
        <w:tab/>
        <w:t>an associate of that person; and</w:t>
      </w:r>
    </w:p>
    <w:p w14:paraId="5E87F183" w14:textId="77777777" w:rsidR="00E93F58" w:rsidRPr="00A35C95" w:rsidRDefault="00E93F58" w:rsidP="00366AB5">
      <w:pPr>
        <w:pStyle w:val="paragraph"/>
        <w:tabs>
          <w:tab w:val="left" w:pos="2835"/>
        </w:tabs>
      </w:pPr>
      <w:r w:rsidRPr="00A35C95">
        <w:tab/>
        <w:t>(c)</w:t>
      </w:r>
      <w:r w:rsidRPr="00A35C95">
        <w:tab/>
        <w:t>include any amount paid or payable to cover:</w:t>
      </w:r>
    </w:p>
    <w:p w14:paraId="204915EB" w14:textId="77777777" w:rsidR="00E93F58" w:rsidRPr="00A35C95" w:rsidRDefault="00E93F58" w:rsidP="00366AB5">
      <w:pPr>
        <w:pStyle w:val="paragraphsub"/>
        <w:tabs>
          <w:tab w:val="left" w:pos="2835"/>
        </w:tabs>
      </w:pPr>
      <w:r w:rsidRPr="00A35C95">
        <w:rPr>
          <w:color w:val="000000"/>
        </w:rPr>
        <w:tab/>
        <w:t>(i)</w:t>
      </w:r>
      <w:r w:rsidRPr="00A35C95">
        <w:rPr>
          <w:color w:val="000000"/>
        </w:rPr>
        <w:tab/>
        <w:t>fees or charges that are paid to the issuer or any other person that relates to the issue of the investment</w:t>
      </w:r>
      <w:r>
        <w:rPr>
          <w:color w:val="000000"/>
        </w:rPr>
        <w:noBreakHyphen/>
      </w:r>
      <w:r w:rsidRPr="00A35C95">
        <w:rPr>
          <w:color w:val="000000"/>
        </w:rPr>
        <w:t>based financial product; and</w:t>
      </w:r>
    </w:p>
    <w:p w14:paraId="2EDA9E5B" w14:textId="77777777" w:rsidR="00E93F58" w:rsidRPr="00A35C95" w:rsidRDefault="00E93F58" w:rsidP="00366AB5">
      <w:pPr>
        <w:pStyle w:val="paragraphsub"/>
        <w:tabs>
          <w:tab w:val="left" w:pos="2835"/>
        </w:tabs>
      </w:pPr>
      <w:r w:rsidRPr="00A35C95">
        <w:tab/>
        <w:t>(ii)</w:t>
      </w:r>
      <w:r w:rsidRPr="00A35C95">
        <w:tab/>
        <w:t>fees or charges that are paid to the issuer or any other person that relates to the issue of the investment</w:t>
      </w:r>
      <w:r>
        <w:noBreakHyphen/>
      </w:r>
      <w:r w:rsidRPr="00A35C95">
        <w:t>based financial product; and</w:t>
      </w:r>
    </w:p>
    <w:p w14:paraId="13F9D590" w14:textId="77777777" w:rsidR="00E93F58" w:rsidRPr="00A35C95" w:rsidRDefault="00E93F58" w:rsidP="00366AB5">
      <w:pPr>
        <w:pStyle w:val="paragraph"/>
        <w:tabs>
          <w:tab w:val="left" w:pos="2835"/>
        </w:tabs>
      </w:pPr>
      <w:r w:rsidRPr="00A35C95">
        <w:tab/>
        <w:t>(d)</w:t>
      </w:r>
      <w:r w:rsidRPr="00A35C95">
        <w:tab/>
        <w:t>despite paragraph (c), disregard any amount of remuneration or other benefits paid or payable to a person for the provision of financial product advice or other related services provided directly to:</w:t>
      </w:r>
    </w:p>
    <w:p w14:paraId="7282BA3E" w14:textId="77777777" w:rsidR="00E93F58" w:rsidRPr="00A35C95" w:rsidRDefault="00E93F58" w:rsidP="00366AB5">
      <w:pPr>
        <w:pStyle w:val="paragraphsub"/>
        <w:tabs>
          <w:tab w:val="left" w:pos="2835"/>
        </w:tabs>
      </w:pPr>
      <w:r w:rsidRPr="00A35C95">
        <w:rPr>
          <w:color w:val="000000"/>
        </w:rPr>
        <w:tab/>
        <w:t>(i)</w:t>
      </w:r>
      <w:r w:rsidRPr="00A35C95">
        <w:rPr>
          <w:color w:val="000000"/>
        </w:rPr>
        <w:tab/>
        <w:t>the client; or</w:t>
      </w:r>
    </w:p>
    <w:p w14:paraId="1C2FE0ED" w14:textId="77777777" w:rsidR="00E93F58" w:rsidRPr="00A35C95" w:rsidRDefault="00E93F58" w:rsidP="00366AB5">
      <w:pPr>
        <w:pStyle w:val="paragraphsub"/>
        <w:tabs>
          <w:tab w:val="left" w:pos="2835"/>
        </w:tabs>
      </w:pPr>
      <w:r w:rsidRPr="00A35C95">
        <w:tab/>
        <w:t>(ii)</w:t>
      </w:r>
      <w:r w:rsidRPr="00A35C95">
        <w:tab/>
        <w:t>another person acting on behalf of the client.</w:t>
      </w:r>
    </w:p>
    <w:p w14:paraId="73D49612" w14:textId="77777777" w:rsidR="00E93F58" w:rsidRPr="00A35C95" w:rsidRDefault="00E93F58" w:rsidP="00366AB5">
      <w:pPr>
        <w:pStyle w:val="SubsectionHead"/>
        <w:tabs>
          <w:tab w:val="left" w:pos="2835"/>
        </w:tabs>
      </w:pPr>
      <w:r w:rsidRPr="00A35C95">
        <w:t>Group products</w:t>
      </w:r>
    </w:p>
    <w:p w14:paraId="3D8E36A9" w14:textId="77777777" w:rsidR="00E93F58" w:rsidRPr="00A35C95" w:rsidRDefault="00E93F58" w:rsidP="00366AB5">
      <w:pPr>
        <w:pStyle w:val="subsection"/>
        <w:tabs>
          <w:tab w:val="left" w:pos="2835"/>
        </w:tabs>
      </w:pPr>
      <w:r w:rsidRPr="00A35C95">
        <w:tab/>
        <w:t>(5)</w:t>
      </w:r>
      <w:r w:rsidRPr="00A35C95">
        <w:tab/>
        <w:t>If the investment</w:t>
      </w:r>
      <w:r>
        <w:noBreakHyphen/>
      </w:r>
      <w:r w:rsidRPr="00A35C95">
        <w:t>based financial product is a group product covered by section 1012H of the Act:</w:t>
      </w:r>
    </w:p>
    <w:p w14:paraId="13D3D0A2" w14:textId="77777777" w:rsidR="00E93F58" w:rsidRPr="00A35C95" w:rsidRDefault="00E93F58" w:rsidP="00366AB5">
      <w:pPr>
        <w:pStyle w:val="paragraph"/>
        <w:tabs>
          <w:tab w:val="left" w:pos="2835"/>
        </w:tabs>
      </w:pPr>
      <w:r w:rsidRPr="00A35C95">
        <w:rPr>
          <w:color w:val="000000"/>
        </w:rPr>
        <w:tab/>
        <w:t>(a)</w:t>
      </w:r>
      <w:r w:rsidRPr="00A35C95">
        <w:rPr>
          <w:color w:val="000000"/>
        </w:rPr>
        <w:tab/>
        <w:t>the amount in subregulation (2) is to be used to determine the status of each person who elects, or may elect, to be covered by the investment</w:t>
      </w:r>
      <w:r>
        <w:rPr>
          <w:color w:val="000000"/>
        </w:rPr>
        <w:noBreakHyphen/>
      </w:r>
      <w:r w:rsidRPr="00A35C95">
        <w:rPr>
          <w:color w:val="000000"/>
        </w:rPr>
        <w:t>based financial product; and</w:t>
      </w:r>
    </w:p>
    <w:p w14:paraId="3FF78528" w14:textId="77777777" w:rsidR="00E93F58" w:rsidRPr="00A35C95" w:rsidRDefault="00E93F58" w:rsidP="00366AB5">
      <w:pPr>
        <w:pStyle w:val="paragraph"/>
        <w:tabs>
          <w:tab w:val="left" w:pos="2835"/>
        </w:tabs>
      </w:pPr>
      <w:r w:rsidRPr="00A35C95">
        <w:tab/>
        <w:t>(b)</w:t>
      </w:r>
      <w:r w:rsidRPr="00A35C95">
        <w:tab/>
        <w:t>subregulation (3) is to be used to determine the amount to be paid for the person to be covered by the investment</w:t>
      </w:r>
      <w:r>
        <w:noBreakHyphen/>
      </w:r>
      <w:r w:rsidRPr="00A35C95">
        <w:t>based financial product.</w:t>
      </w:r>
    </w:p>
    <w:p w14:paraId="15BC331D" w14:textId="77777777" w:rsidR="00E93F58" w:rsidRPr="00A35C95" w:rsidRDefault="00E93F58" w:rsidP="00366AB5">
      <w:pPr>
        <w:pStyle w:val="ActHead5"/>
        <w:tabs>
          <w:tab w:val="left" w:pos="2835"/>
        </w:tabs>
      </w:pPr>
      <w:bookmarkStart w:id="475" w:name="_Toc152057812"/>
      <w:bookmarkStart w:id="476" w:name="_Toc158712035"/>
      <w:r w:rsidRPr="00844D11">
        <w:rPr>
          <w:rStyle w:val="CharSectno"/>
        </w:rPr>
        <w:t>7.1.19</w:t>
      </w:r>
      <w:r w:rsidRPr="00A35C95">
        <w:rPr>
          <w:sz w:val="16"/>
        </w:rPr>
        <w:t xml:space="preserve">  </w:t>
      </w:r>
      <w:r w:rsidRPr="00A35C95">
        <w:t>Retail clients and wholesale clients: value of investment</w:t>
      </w:r>
      <w:r>
        <w:noBreakHyphen/>
      </w:r>
      <w:r w:rsidRPr="00A35C95">
        <w:t>based financial products</w:t>
      </w:r>
      <w:bookmarkEnd w:id="475"/>
      <w:bookmarkEnd w:id="476"/>
    </w:p>
    <w:p w14:paraId="7001A25E"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makes arrangements about the value of an investment</w:t>
      </w:r>
      <w:r>
        <w:rPr>
          <w:color w:val="000000"/>
        </w:rPr>
        <w:noBreakHyphen/>
      </w:r>
      <w:r w:rsidRPr="00A35C95">
        <w:rPr>
          <w:color w:val="000000"/>
        </w:rPr>
        <w:t>based financial product to which a financial service relates.</w:t>
      </w:r>
    </w:p>
    <w:p w14:paraId="09BEF141"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7D39FCE3" w14:textId="77777777" w:rsidR="00E93F58" w:rsidRPr="00A35C95" w:rsidRDefault="00E93F58" w:rsidP="00366AB5">
      <w:pPr>
        <w:pStyle w:val="notetext"/>
        <w:tabs>
          <w:tab w:val="left" w:pos="2835"/>
        </w:tabs>
      </w:pPr>
      <w:r w:rsidRPr="00A35C95">
        <w:tab/>
        <w:t>Under paragraph 761G(10)(a) of the Act, the regulations may also deal with how a price or value referred to in that paragraph is to be calculated, either generally or in relation to a specified class of financial products.</w:t>
      </w:r>
    </w:p>
    <w:p w14:paraId="34A78C19" w14:textId="77777777" w:rsidR="00E93F58" w:rsidRPr="00A35C95" w:rsidRDefault="00E93F58" w:rsidP="00366AB5">
      <w:pPr>
        <w:pStyle w:val="notetext"/>
        <w:tabs>
          <w:tab w:val="left" w:pos="2835"/>
        </w:tabs>
      </w:pPr>
      <w:r w:rsidRPr="00A35C95">
        <w:tab/>
        <w:t xml:space="preserve">In general, the ‘value’ of a product will be the amount that the product is worth once it is issued or acquired by the client. It is anticipated that the test for the value of the product in paragraph 761G(7)(a) of the Act will usually be used to assess </w:t>
      </w:r>
      <w:r w:rsidRPr="00A35C95">
        <w:lastRenderedPageBreak/>
        <w:t>a client’s status as a retail or wholesale client at or before the time that a financial service (eg financial product advice, disposal of the product) is provided to the client in respect of an existing product.</w:t>
      </w:r>
    </w:p>
    <w:p w14:paraId="1AB669D6" w14:textId="77777777" w:rsidR="00E93F58" w:rsidRPr="00A35C95" w:rsidRDefault="00E93F58" w:rsidP="00366AB5">
      <w:pPr>
        <w:pStyle w:val="SubsectionHead"/>
        <w:tabs>
          <w:tab w:val="left" w:pos="2835"/>
        </w:tabs>
      </w:pPr>
      <w:r w:rsidRPr="00A35C95">
        <w:t>Value</w:t>
      </w:r>
    </w:p>
    <w:p w14:paraId="6306E68B"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761G(7)(a) of the Act, the amount applicable in relation to an investment</w:t>
      </w:r>
      <w:r>
        <w:rPr>
          <w:color w:val="000000"/>
        </w:rPr>
        <w:noBreakHyphen/>
      </w:r>
      <w:r w:rsidRPr="00A35C95">
        <w:rPr>
          <w:color w:val="000000"/>
        </w:rPr>
        <w:t>based financial product is $500 000.</w:t>
      </w:r>
    </w:p>
    <w:p w14:paraId="1AC75E5B" w14:textId="77777777" w:rsidR="00E93F58" w:rsidRPr="00A35C95" w:rsidRDefault="00E93F58" w:rsidP="00366AB5">
      <w:pPr>
        <w:pStyle w:val="SubsectionHead"/>
        <w:tabs>
          <w:tab w:val="left" w:pos="2835"/>
        </w:tabs>
      </w:pPr>
      <w:r w:rsidRPr="00A35C95">
        <w:t>Working out value: general rule</w:t>
      </w:r>
    </w:p>
    <w:p w14:paraId="6D7B8633" w14:textId="77777777" w:rsidR="00E93F58" w:rsidRPr="00A35C95" w:rsidRDefault="00E93F58" w:rsidP="00366AB5">
      <w:pPr>
        <w:pStyle w:val="subsection"/>
        <w:tabs>
          <w:tab w:val="left" w:pos="2835"/>
        </w:tabs>
      </w:pPr>
      <w:r w:rsidRPr="00A35C95">
        <w:tab/>
        <w:t>(3)</w:t>
      </w:r>
      <w:r w:rsidRPr="00A35C95">
        <w:tab/>
        <w:t>For paragraph 761G(10)(a) of the Act, the value of an investment</w:t>
      </w:r>
      <w:r>
        <w:noBreakHyphen/>
      </w:r>
      <w:r w:rsidRPr="00A35C95">
        <w:t>based financial product on a day is:</w:t>
      </w:r>
    </w:p>
    <w:p w14:paraId="36D834C2" w14:textId="77777777" w:rsidR="00E93F58" w:rsidRPr="00A35C95" w:rsidRDefault="00E93F58" w:rsidP="00366AB5">
      <w:pPr>
        <w:pStyle w:val="paragraph"/>
        <w:tabs>
          <w:tab w:val="left" w:pos="2835"/>
        </w:tabs>
      </w:pPr>
      <w:r w:rsidRPr="00A35C95">
        <w:rPr>
          <w:color w:val="000000"/>
        </w:rPr>
        <w:tab/>
        <w:t>(a)</w:t>
      </w:r>
      <w:r w:rsidRPr="00A35C95">
        <w:rPr>
          <w:color w:val="000000"/>
        </w:rPr>
        <w:tab/>
        <w:t>if the financial product is a security, or a financial product under paragraph 764A(1)(j) of the Act—the market value of the investment</w:t>
      </w:r>
      <w:r>
        <w:rPr>
          <w:color w:val="000000"/>
        </w:rPr>
        <w:noBreakHyphen/>
      </w:r>
      <w:r w:rsidRPr="00A35C95">
        <w:rPr>
          <w:color w:val="000000"/>
        </w:rPr>
        <w:t>based financial product; or</w:t>
      </w:r>
    </w:p>
    <w:p w14:paraId="1F6CD56A" w14:textId="77777777" w:rsidR="00E93F58" w:rsidRPr="00A35C95" w:rsidRDefault="00E93F58" w:rsidP="00366AB5">
      <w:pPr>
        <w:pStyle w:val="paragraph"/>
        <w:tabs>
          <w:tab w:val="left" w:pos="2835"/>
        </w:tabs>
      </w:pPr>
      <w:r w:rsidRPr="00A35C95">
        <w:tab/>
        <w:t>(b)</w:t>
      </w:r>
      <w:r w:rsidRPr="00A35C95">
        <w:tab/>
        <w:t>if paragraph (a) does not apply—the amount of money that stands to the client’s credit in relation to that investment</w:t>
      </w:r>
      <w:r>
        <w:noBreakHyphen/>
      </w:r>
      <w:r w:rsidRPr="00A35C95">
        <w:t>based financial product.</w:t>
      </w:r>
    </w:p>
    <w:p w14:paraId="2D43FC4E" w14:textId="77777777" w:rsidR="00E93F58" w:rsidRPr="00A35C95" w:rsidRDefault="00E93F58" w:rsidP="00366AB5">
      <w:pPr>
        <w:pStyle w:val="subsection"/>
        <w:tabs>
          <w:tab w:val="left" w:pos="2835"/>
        </w:tabs>
      </w:pPr>
      <w:r w:rsidRPr="00A35C95">
        <w:tab/>
        <w:t>(4)</w:t>
      </w:r>
      <w:r w:rsidRPr="00A35C95">
        <w:tab/>
        <w:t>For subregulation (3), in calculating the value of an investment</w:t>
      </w:r>
      <w:r>
        <w:noBreakHyphen/>
      </w:r>
      <w:r w:rsidRPr="00A35C95">
        <w:t>based financial product:</w:t>
      </w:r>
    </w:p>
    <w:p w14:paraId="24330A0A" w14:textId="77777777" w:rsidR="00E93F58" w:rsidRPr="00A35C95" w:rsidRDefault="00E93F58" w:rsidP="00366AB5">
      <w:pPr>
        <w:pStyle w:val="paragraph"/>
        <w:tabs>
          <w:tab w:val="left" w:pos="2835"/>
        </w:tabs>
      </w:pPr>
      <w:r w:rsidRPr="00A35C95">
        <w:tab/>
        <w:t>(a)</w:t>
      </w:r>
      <w:r w:rsidRPr="00A35C95">
        <w:tab/>
        <w:t>disregard any amount standing to the client’s credit in relation to the investment</w:t>
      </w:r>
      <w:r>
        <w:noBreakHyphen/>
      </w:r>
      <w:r w:rsidRPr="00A35C95">
        <w:t>based financial product to the extent that it is to be paid, or was paid, out of money lent by:</w:t>
      </w:r>
    </w:p>
    <w:p w14:paraId="5514E2F8"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 offering the investment</w:t>
      </w:r>
      <w:r>
        <w:rPr>
          <w:color w:val="000000"/>
        </w:rPr>
        <w:noBreakHyphen/>
      </w:r>
      <w:r w:rsidRPr="00A35C95">
        <w:rPr>
          <w:color w:val="000000"/>
        </w:rPr>
        <w:t>based financial product; or</w:t>
      </w:r>
    </w:p>
    <w:p w14:paraId="1D542CEC" w14:textId="77777777" w:rsidR="00E93F58" w:rsidRPr="00A35C95" w:rsidRDefault="00E93F58" w:rsidP="00366AB5">
      <w:pPr>
        <w:pStyle w:val="paragraphsub"/>
        <w:tabs>
          <w:tab w:val="left" w:pos="2835"/>
        </w:tabs>
      </w:pPr>
      <w:r w:rsidRPr="00A35C95">
        <w:tab/>
        <w:t>(ii)</w:t>
      </w:r>
      <w:r w:rsidRPr="00A35C95">
        <w:tab/>
        <w:t>an associate of that person; and</w:t>
      </w:r>
    </w:p>
    <w:p w14:paraId="414C11A2" w14:textId="77777777" w:rsidR="00E93F58" w:rsidRPr="00A35C95" w:rsidRDefault="00E93F58" w:rsidP="00366AB5">
      <w:pPr>
        <w:pStyle w:val="paragraph"/>
        <w:tabs>
          <w:tab w:val="left" w:pos="2835"/>
        </w:tabs>
      </w:pPr>
      <w:r w:rsidRPr="00A35C95">
        <w:tab/>
        <w:t>(b)</w:t>
      </w:r>
      <w:r w:rsidRPr="00A35C95">
        <w:tab/>
        <w:t>disregard any amount of fees or charges:</w:t>
      </w:r>
    </w:p>
    <w:p w14:paraId="1E4D3AA9" w14:textId="77777777" w:rsidR="00E93F58" w:rsidRPr="00A35C95" w:rsidRDefault="00E93F58" w:rsidP="00366AB5">
      <w:pPr>
        <w:pStyle w:val="paragraphsub"/>
        <w:tabs>
          <w:tab w:val="left" w:pos="2835"/>
        </w:tabs>
      </w:pPr>
      <w:r w:rsidRPr="00A35C95">
        <w:rPr>
          <w:color w:val="000000"/>
        </w:rPr>
        <w:tab/>
        <w:t>(i)</w:t>
      </w:r>
      <w:r w:rsidRPr="00A35C95">
        <w:rPr>
          <w:color w:val="000000"/>
        </w:rPr>
        <w:tab/>
        <w:t>that the product issuer has an actual or accrued right to deduct, or otherwise to have access to, from the value of the investment</w:t>
      </w:r>
      <w:r>
        <w:rPr>
          <w:color w:val="000000"/>
        </w:rPr>
        <w:noBreakHyphen/>
      </w:r>
      <w:r w:rsidRPr="00A35C95">
        <w:rPr>
          <w:color w:val="000000"/>
        </w:rPr>
        <w:t>based financial product (whether or not the amount has been deducted); or</w:t>
      </w:r>
    </w:p>
    <w:p w14:paraId="13D031D3" w14:textId="77777777" w:rsidR="00E93F58" w:rsidRPr="00A35C95" w:rsidRDefault="00E93F58" w:rsidP="00366AB5">
      <w:pPr>
        <w:pStyle w:val="paragraphsub"/>
        <w:tabs>
          <w:tab w:val="left" w:pos="2835"/>
        </w:tabs>
      </w:pPr>
      <w:r w:rsidRPr="00A35C95">
        <w:tab/>
        <w:t>(ii)</w:t>
      </w:r>
      <w:r w:rsidRPr="00A35C95">
        <w:tab/>
        <w:t>that has accrued as at the time that the client’s status as a retail or wholesale client is assessed.</w:t>
      </w:r>
    </w:p>
    <w:p w14:paraId="3514299E" w14:textId="77777777" w:rsidR="00E93F58" w:rsidRPr="00A35C95" w:rsidRDefault="00E93F58" w:rsidP="00366AB5">
      <w:pPr>
        <w:pStyle w:val="SubsectionHead"/>
        <w:tabs>
          <w:tab w:val="left" w:pos="2835"/>
        </w:tabs>
      </w:pPr>
      <w:r w:rsidRPr="00A35C95">
        <w:t>Cumulative value of products</w:t>
      </w:r>
    </w:p>
    <w:p w14:paraId="618D748E" w14:textId="77777777" w:rsidR="00E93F58" w:rsidRPr="00A35C95" w:rsidRDefault="00E93F58" w:rsidP="00366AB5">
      <w:pPr>
        <w:pStyle w:val="subsection"/>
        <w:tabs>
          <w:tab w:val="left" w:pos="2835"/>
        </w:tabs>
      </w:pPr>
      <w:r w:rsidRPr="00A35C95">
        <w:tab/>
        <w:t>(5)</w:t>
      </w:r>
      <w:r w:rsidRPr="00A35C95">
        <w:tab/>
        <w:t>If, at a single point in time:</w:t>
      </w:r>
    </w:p>
    <w:p w14:paraId="0ABD437B" w14:textId="77777777" w:rsidR="00E93F58" w:rsidRPr="00A35C95" w:rsidRDefault="00E93F58" w:rsidP="00366AB5">
      <w:pPr>
        <w:pStyle w:val="paragraph"/>
        <w:tabs>
          <w:tab w:val="left" w:pos="2835"/>
        </w:tabs>
      </w:pPr>
      <w:r w:rsidRPr="00A35C95">
        <w:tab/>
        <w:t>(a)</w:t>
      </w:r>
      <w:r w:rsidRPr="00A35C95">
        <w:tab/>
        <w:t>a financial service that is being provided to a client is:</w:t>
      </w:r>
    </w:p>
    <w:p w14:paraId="19D27BA2" w14:textId="77777777" w:rsidR="00E93F58" w:rsidRPr="00A35C95" w:rsidRDefault="00E93F58" w:rsidP="00366AB5">
      <w:pPr>
        <w:pStyle w:val="paragraphsub"/>
        <w:tabs>
          <w:tab w:val="left" w:pos="2835"/>
        </w:tabs>
      </w:pPr>
      <w:r w:rsidRPr="00A35C95">
        <w:rPr>
          <w:color w:val="000000"/>
        </w:rPr>
        <w:tab/>
        <w:t>(i)</w:t>
      </w:r>
      <w:r w:rsidRPr="00A35C95">
        <w:rPr>
          <w:color w:val="000000"/>
        </w:rPr>
        <w:tab/>
        <w:t>financial product advice; or</w:t>
      </w:r>
    </w:p>
    <w:p w14:paraId="3ADDC74D" w14:textId="77777777" w:rsidR="00E93F58" w:rsidRPr="00A35C95" w:rsidRDefault="00E93F58" w:rsidP="00366AB5">
      <w:pPr>
        <w:pStyle w:val="paragraphsub"/>
        <w:tabs>
          <w:tab w:val="left" w:pos="2835"/>
        </w:tabs>
      </w:pPr>
      <w:r w:rsidRPr="00A35C95">
        <w:tab/>
        <w:t>(ii)</w:t>
      </w:r>
      <w:r w:rsidRPr="00A35C95">
        <w:tab/>
        <w:t>arranging for a person to engage in conduct in accordance with subsection 766C(2) of the Act; and</w:t>
      </w:r>
    </w:p>
    <w:p w14:paraId="69339974" w14:textId="77777777" w:rsidR="00E93F58" w:rsidRPr="00A35C95" w:rsidRDefault="00E93F58" w:rsidP="00366AB5">
      <w:pPr>
        <w:pStyle w:val="paragraph"/>
        <w:tabs>
          <w:tab w:val="left" w:pos="2835"/>
        </w:tabs>
      </w:pPr>
      <w:r w:rsidRPr="00A35C95">
        <w:tab/>
        <w:t>(b)</w:t>
      </w:r>
      <w:r w:rsidRPr="00A35C95">
        <w:tab/>
        <w:t>the financial service is provided in respect of:</w:t>
      </w:r>
    </w:p>
    <w:p w14:paraId="7B92F817" w14:textId="77777777" w:rsidR="00E93F58" w:rsidRPr="00A35C95" w:rsidRDefault="00E93F58" w:rsidP="00366AB5">
      <w:pPr>
        <w:pStyle w:val="paragraphsub"/>
        <w:tabs>
          <w:tab w:val="left" w:pos="2835"/>
        </w:tabs>
      </w:pPr>
      <w:r w:rsidRPr="00A35C95">
        <w:rPr>
          <w:color w:val="000000"/>
        </w:rPr>
        <w:tab/>
        <w:t>(i)</w:t>
      </w:r>
      <w:r w:rsidRPr="00A35C95">
        <w:rPr>
          <w:color w:val="000000"/>
        </w:rPr>
        <w:tab/>
        <w:t>more than 1 investment</w:t>
      </w:r>
      <w:r>
        <w:rPr>
          <w:color w:val="000000"/>
        </w:rPr>
        <w:noBreakHyphen/>
      </w:r>
      <w:r w:rsidRPr="00A35C95">
        <w:rPr>
          <w:color w:val="000000"/>
        </w:rPr>
        <w:t>based financial product; or</w:t>
      </w:r>
    </w:p>
    <w:p w14:paraId="50447B59" w14:textId="77777777" w:rsidR="00E93F58" w:rsidRPr="00A35C95" w:rsidRDefault="00E93F58" w:rsidP="00366AB5">
      <w:pPr>
        <w:pStyle w:val="paragraphsub"/>
        <w:tabs>
          <w:tab w:val="left" w:pos="2835"/>
        </w:tabs>
      </w:pPr>
      <w:r w:rsidRPr="00A35C95">
        <w:tab/>
        <w:t>(ii)</w:t>
      </w:r>
      <w:r w:rsidRPr="00A35C95">
        <w:tab/>
        <w:t>more than 1 income financial stream financial product; or</w:t>
      </w:r>
    </w:p>
    <w:p w14:paraId="6E3CDBDF" w14:textId="77777777" w:rsidR="00E93F58" w:rsidRPr="00A35C95" w:rsidRDefault="00E93F58" w:rsidP="00366AB5">
      <w:pPr>
        <w:pStyle w:val="paragraphsub"/>
        <w:tabs>
          <w:tab w:val="left" w:pos="2835"/>
        </w:tabs>
      </w:pPr>
      <w:r w:rsidRPr="00A35C95">
        <w:tab/>
        <w:t>(iii)</w:t>
      </w:r>
      <w:r w:rsidRPr="00A35C95">
        <w:tab/>
        <w:t>a combination of investment</w:t>
      </w:r>
      <w:r>
        <w:noBreakHyphen/>
      </w:r>
      <w:r w:rsidRPr="00A35C95">
        <w:t>based financial products and income financial stream financial products; and</w:t>
      </w:r>
    </w:p>
    <w:p w14:paraId="2FCBF259" w14:textId="77777777" w:rsidR="00E93F58" w:rsidRPr="00A35C95" w:rsidRDefault="00E93F58" w:rsidP="00366AB5">
      <w:pPr>
        <w:pStyle w:val="paragraph"/>
        <w:tabs>
          <w:tab w:val="left" w:pos="2835"/>
        </w:tabs>
      </w:pPr>
      <w:r w:rsidRPr="00A35C95">
        <w:tab/>
        <w:t>(c)</w:t>
      </w:r>
      <w:r w:rsidRPr="00A35C95">
        <w:tab/>
        <w:t>either:</w:t>
      </w:r>
    </w:p>
    <w:p w14:paraId="3E1D0F62" w14:textId="77777777" w:rsidR="00E93F58" w:rsidRPr="00A35C95" w:rsidRDefault="00E93F58" w:rsidP="00366AB5">
      <w:pPr>
        <w:pStyle w:val="paragraphsub"/>
        <w:tabs>
          <w:tab w:val="left" w:pos="2835"/>
        </w:tabs>
      </w:pPr>
      <w:r w:rsidRPr="00A35C95">
        <w:rPr>
          <w:color w:val="000000"/>
        </w:rPr>
        <w:tab/>
        <w:t>(i)</w:t>
      </w:r>
      <w:r w:rsidRPr="00A35C95">
        <w:rPr>
          <w:color w:val="000000"/>
        </w:rPr>
        <w:tab/>
        <w:t>the total price for the provision of those financial products is at least $500 000; or</w:t>
      </w:r>
    </w:p>
    <w:p w14:paraId="7BE3EE47" w14:textId="77777777" w:rsidR="00E93F58" w:rsidRPr="00A35C95" w:rsidRDefault="00E93F58" w:rsidP="00366AB5">
      <w:pPr>
        <w:pStyle w:val="paragraphsub"/>
        <w:tabs>
          <w:tab w:val="left" w:pos="2835"/>
        </w:tabs>
      </w:pPr>
      <w:r w:rsidRPr="00A35C95">
        <w:tab/>
        <w:t>(ii)</w:t>
      </w:r>
      <w:r w:rsidRPr="00A35C95">
        <w:tab/>
        <w:t>the price or value of all of those financial products is at least $500 000;</w:t>
      </w:r>
    </w:p>
    <w:p w14:paraId="7239052A" w14:textId="77777777" w:rsidR="00E93F58" w:rsidRPr="00A35C95" w:rsidRDefault="00E93F58" w:rsidP="00366AB5">
      <w:pPr>
        <w:pStyle w:val="subsection2"/>
        <w:tabs>
          <w:tab w:val="left" w:pos="2835"/>
        </w:tabs>
      </w:pPr>
      <w:r w:rsidRPr="00A35C95">
        <w:rPr>
          <w:color w:val="000000"/>
        </w:rPr>
        <w:t>the value of the financial products is taken, for subregulation (3), to be greater than the amount mentioned in subregulation (2).</w:t>
      </w:r>
    </w:p>
    <w:p w14:paraId="10880157" w14:textId="77777777" w:rsidR="00E93F58" w:rsidRPr="00A35C95" w:rsidRDefault="00E93F58" w:rsidP="00366AB5">
      <w:pPr>
        <w:pStyle w:val="subsection"/>
        <w:tabs>
          <w:tab w:val="left" w:pos="2835"/>
        </w:tabs>
      </w:pPr>
      <w:r w:rsidRPr="00A35C95">
        <w:rPr>
          <w:color w:val="000000"/>
        </w:rPr>
        <w:tab/>
        <w:t>(6)</w:t>
      </w:r>
      <w:r w:rsidRPr="00A35C95">
        <w:rPr>
          <w:color w:val="000000"/>
        </w:rPr>
        <w:tab/>
        <w:t>Subregulation (5) does not affect the operation of Part 7.9 of the Act, and Part 7.9 of these Regulations, to the extent that they require the provision of a Product Disclosure Statement in relation to the financial product advice.</w:t>
      </w:r>
    </w:p>
    <w:p w14:paraId="4CA81B6E" w14:textId="77777777" w:rsidR="00E93F58" w:rsidRPr="00A35C95" w:rsidRDefault="00E93F58" w:rsidP="00366AB5">
      <w:pPr>
        <w:pStyle w:val="notetext"/>
        <w:tabs>
          <w:tab w:val="left" w:pos="2835"/>
        </w:tabs>
      </w:pPr>
      <w:r w:rsidRPr="00A35C95">
        <w:rPr>
          <w:color w:val="000000"/>
        </w:rPr>
        <w:t>Note:</w:t>
      </w:r>
      <w:r w:rsidRPr="00A35C95">
        <w:rPr>
          <w:color w:val="000000"/>
        </w:rPr>
        <w:tab/>
        <w:t>Although the effect of subregulation (5) is that the value of the investment</w:t>
      </w:r>
      <w:r>
        <w:rPr>
          <w:color w:val="000000"/>
        </w:rPr>
        <w:noBreakHyphen/>
      </w:r>
      <w:r w:rsidRPr="00A35C95">
        <w:rPr>
          <w:color w:val="000000"/>
        </w:rPr>
        <w:t>based financial products is taken to be at least $500 000 in the circumstances mentioned in that subregulation, a client must still be provided with appropriate product disclosure and other requirements in accordance with Part 7.9 of the Act as a retail client in relation to a particular investment</w:t>
      </w:r>
      <w:r>
        <w:rPr>
          <w:color w:val="000000"/>
        </w:rPr>
        <w:noBreakHyphen/>
      </w:r>
      <w:r w:rsidRPr="00A35C95">
        <w:rPr>
          <w:color w:val="000000"/>
        </w:rPr>
        <w:t>based financial product where the price of the product is less than $500 000.</w:t>
      </w:r>
    </w:p>
    <w:p w14:paraId="683126F9" w14:textId="77777777" w:rsidR="00E93F58" w:rsidRPr="00A35C95" w:rsidRDefault="00E93F58" w:rsidP="00366AB5">
      <w:pPr>
        <w:pStyle w:val="notetext"/>
        <w:tabs>
          <w:tab w:val="left" w:pos="2835"/>
        </w:tabs>
      </w:pPr>
      <w:r w:rsidRPr="00A35C95">
        <w:tab/>
        <w:t>In any situation in which a Product Disclosure Statement would be required for a retail client (the situations described in Subdivision B of Division 2 of Part 7.9 of the Act), the limit of $500 000 must be reached for any single investment</w:t>
      </w:r>
      <w:r>
        <w:noBreakHyphen/>
      </w:r>
      <w:r w:rsidRPr="00A35C95">
        <w:t>based financial product, or income stream financial product, before the client will be treated as a wholesale client.</w:t>
      </w:r>
    </w:p>
    <w:p w14:paraId="40B0FA65" w14:textId="77777777" w:rsidR="00E93F58" w:rsidRPr="00A35C95" w:rsidRDefault="00E93F58" w:rsidP="00366AB5">
      <w:pPr>
        <w:pStyle w:val="SubsectionHead"/>
        <w:tabs>
          <w:tab w:val="left" w:pos="2835"/>
        </w:tabs>
      </w:pPr>
      <w:r w:rsidRPr="00A35C95">
        <w:t>Group products</w:t>
      </w:r>
    </w:p>
    <w:p w14:paraId="6082C9A9" w14:textId="77777777" w:rsidR="00E93F58" w:rsidRPr="00A35C95" w:rsidRDefault="00E93F58" w:rsidP="00366AB5">
      <w:pPr>
        <w:pStyle w:val="subsection"/>
        <w:tabs>
          <w:tab w:val="left" w:pos="2835"/>
        </w:tabs>
      </w:pPr>
      <w:r w:rsidRPr="00A35C95">
        <w:tab/>
        <w:t>(7)</w:t>
      </w:r>
      <w:r w:rsidRPr="00A35C95">
        <w:tab/>
        <w:t>If the investment</w:t>
      </w:r>
      <w:r>
        <w:noBreakHyphen/>
      </w:r>
      <w:r w:rsidRPr="00A35C95">
        <w:t>based financial product is a group product covered by subsection 1012H(1) of the Act:</w:t>
      </w:r>
    </w:p>
    <w:p w14:paraId="147F317D" w14:textId="77777777" w:rsidR="00E93F58" w:rsidRPr="00A35C95" w:rsidRDefault="00E93F58" w:rsidP="00366AB5">
      <w:pPr>
        <w:pStyle w:val="paragraph"/>
        <w:tabs>
          <w:tab w:val="left" w:pos="2835"/>
        </w:tabs>
      </w:pPr>
      <w:r w:rsidRPr="00A35C95">
        <w:rPr>
          <w:color w:val="000000"/>
        </w:rPr>
        <w:lastRenderedPageBreak/>
        <w:tab/>
        <w:t>(a)</w:t>
      </w:r>
      <w:r w:rsidRPr="00A35C95">
        <w:rPr>
          <w:color w:val="000000"/>
        </w:rPr>
        <w:tab/>
        <w:t>the amount in subregulation (2) is to be used to determine the status of each person who elects, or may elect, to be covered by the investment</w:t>
      </w:r>
      <w:r>
        <w:rPr>
          <w:color w:val="000000"/>
        </w:rPr>
        <w:noBreakHyphen/>
      </w:r>
      <w:r w:rsidRPr="00A35C95">
        <w:rPr>
          <w:color w:val="000000"/>
        </w:rPr>
        <w:t>based financial product; and</w:t>
      </w:r>
    </w:p>
    <w:p w14:paraId="6E9A3AC2" w14:textId="77777777" w:rsidR="00E93F58" w:rsidRPr="00A35C95" w:rsidRDefault="00E93F58" w:rsidP="00366AB5">
      <w:pPr>
        <w:pStyle w:val="paragraph"/>
        <w:tabs>
          <w:tab w:val="left" w:pos="2835"/>
        </w:tabs>
      </w:pPr>
      <w:r w:rsidRPr="00A35C95">
        <w:tab/>
        <w:t>(b)</w:t>
      </w:r>
      <w:r w:rsidRPr="00A35C95">
        <w:tab/>
        <w:t>subregulation (3) is to be used to determine the value of the investment</w:t>
      </w:r>
      <w:r>
        <w:noBreakHyphen/>
      </w:r>
      <w:r w:rsidRPr="00A35C95">
        <w:t>based financial product to the extent that it stands, or will stand, to the credit of, each person who elects, or may elect, to be covered by the investment</w:t>
      </w:r>
      <w:r>
        <w:noBreakHyphen/>
      </w:r>
      <w:r w:rsidRPr="00A35C95">
        <w:t>based financial product.</w:t>
      </w:r>
    </w:p>
    <w:p w14:paraId="2DCD2714" w14:textId="77777777" w:rsidR="00E93F58" w:rsidRPr="00A35C95" w:rsidRDefault="00E93F58" w:rsidP="00366AB5">
      <w:pPr>
        <w:pStyle w:val="SubsectionHead"/>
        <w:tabs>
          <w:tab w:val="left" w:pos="2835"/>
        </w:tabs>
      </w:pPr>
      <w:r w:rsidRPr="00A35C95">
        <w:t>Time of assessment</w:t>
      </w:r>
    </w:p>
    <w:p w14:paraId="3260F4D2" w14:textId="77777777" w:rsidR="00E93F58" w:rsidRPr="00A35C95" w:rsidRDefault="00E93F58" w:rsidP="00366AB5">
      <w:pPr>
        <w:pStyle w:val="subsection"/>
        <w:tabs>
          <w:tab w:val="left" w:pos="2835"/>
        </w:tabs>
      </w:pPr>
      <w:r w:rsidRPr="00A35C95">
        <w:rPr>
          <w:color w:val="000000"/>
        </w:rPr>
        <w:tab/>
        <w:t>(8)</w:t>
      </w:r>
      <w:r w:rsidRPr="00A35C95">
        <w:rPr>
          <w:color w:val="000000"/>
        </w:rPr>
        <w:tab/>
        <w:t>If a financial services provider needs to assess the status of a client as either retail or wholesale at a particular time in order to ensure that the client complies with the Act, or for any related purpose, the value of a financial product may be assessed at any time, whether or not a financial service is being provided at that time in relation to that product.</w:t>
      </w:r>
    </w:p>
    <w:p w14:paraId="4C9CEBDD" w14:textId="77777777" w:rsidR="00E93F58" w:rsidRPr="00A35C95" w:rsidRDefault="00E93F58" w:rsidP="00366AB5">
      <w:pPr>
        <w:pStyle w:val="notetext"/>
        <w:tabs>
          <w:tab w:val="left" w:pos="2835"/>
        </w:tabs>
      </w:pPr>
      <w:r w:rsidRPr="00A35C95">
        <w:rPr>
          <w:color w:val="000000"/>
        </w:rPr>
        <w:t>Note:</w:t>
      </w:r>
      <w:r w:rsidRPr="00A35C95">
        <w:rPr>
          <w:color w:val="000000"/>
        </w:rPr>
        <w:tab/>
        <w:t>Subregulation (8) will ensure that a provider of financial services may assess a client’s status at any time (for example, the provider may need to ascertain whether a periodic statement must be sent to the client under section 1017D of the Act because the client is a retail client).</w:t>
      </w:r>
    </w:p>
    <w:p w14:paraId="3B115361" w14:textId="77777777" w:rsidR="00E93F58" w:rsidRPr="00A35C95" w:rsidRDefault="00E93F58" w:rsidP="00366AB5">
      <w:pPr>
        <w:pStyle w:val="ActHead5"/>
        <w:tabs>
          <w:tab w:val="left" w:pos="2835"/>
        </w:tabs>
      </w:pPr>
      <w:bookmarkStart w:id="477" w:name="_Toc152057813"/>
      <w:bookmarkStart w:id="478" w:name="_Toc158712036"/>
      <w:r w:rsidRPr="00844D11">
        <w:rPr>
          <w:rStyle w:val="CharSectno"/>
        </w:rPr>
        <w:t>7.1.19A</w:t>
      </w:r>
      <w:r w:rsidRPr="00A35C95">
        <w:t xml:space="preserve">  Retail clients and wholesale clients: price of margin lending facilities</w:t>
      </w:r>
      <w:bookmarkEnd w:id="477"/>
      <w:bookmarkEnd w:id="478"/>
    </w:p>
    <w:p w14:paraId="22B87EC4" w14:textId="77777777" w:rsidR="00E93F58" w:rsidRPr="00A35C95" w:rsidRDefault="00E93F58" w:rsidP="00366AB5">
      <w:pPr>
        <w:pStyle w:val="subsection"/>
        <w:tabs>
          <w:tab w:val="left" w:pos="2835"/>
        </w:tabs>
      </w:pPr>
      <w:r w:rsidRPr="00A35C95">
        <w:tab/>
        <w:t>(1)</w:t>
      </w:r>
      <w:r w:rsidRPr="00A35C95">
        <w:tab/>
        <w:t>This regulation makes arrangements about the price for the provision of a margin lending facility, or a margin lending facility whose limit is proposed to be increased, within the meaning of subsection 761EA(1) of the Act.</w:t>
      </w:r>
    </w:p>
    <w:p w14:paraId="1AE3E678" w14:textId="77777777" w:rsidR="00E93F58" w:rsidRPr="00A35C95" w:rsidRDefault="00E93F58" w:rsidP="00366AB5">
      <w:pPr>
        <w:pStyle w:val="notetext"/>
        <w:tabs>
          <w:tab w:val="left" w:pos="2835"/>
        </w:tabs>
      </w:pPr>
      <w:r w:rsidRPr="00A35C95">
        <w:t>Note:</w:t>
      </w:r>
      <w:r w:rsidRPr="00A35C95">
        <w:tab/>
        <w:t xml:space="preserve">Under paragraph 761G(7)(a) of the Act, if a financial product is not, or a financial service provided to a person does not relate to, a general insurance product, a superannuation product or an </w:t>
      </w:r>
      <w:r w:rsidRPr="00BE1284">
        <w:t>RSA</w:t>
      </w:r>
      <w:r w:rsidRPr="00A35C95">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340D4516" w14:textId="77777777" w:rsidR="00E93F58" w:rsidRPr="00A35C95" w:rsidRDefault="00E93F58" w:rsidP="00366AB5">
      <w:pPr>
        <w:pStyle w:val="notetext"/>
        <w:tabs>
          <w:tab w:val="left" w:pos="2835"/>
        </w:tabs>
      </w:pPr>
      <w:r w:rsidRPr="00A35C95">
        <w:tab/>
        <w:t>Under paragraph 761G(10)(a) of the Act, the regulations may also deal with how a price or value referred to in that paragraph is to be calculated, either generally or in relation to a specified class of financial products.</w:t>
      </w:r>
    </w:p>
    <w:p w14:paraId="7C203F5F" w14:textId="77777777" w:rsidR="00E93F58" w:rsidRPr="00A35C95" w:rsidRDefault="00E93F58" w:rsidP="00366AB5">
      <w:pPr>
        <w:pStyle w:val="notetext"/>
        <w:tabs>
          <w:tab w:val="left" w:pos="2835"/>
        </w:tabs>
      </w:pPr>
      <w:r w:rsidRPr="00A35C95">
        <w:tab/>
        <w:t>In general, the ‘price’ of a product will be the amount that is paid to acquire or be issued with the financial product. The test for the price of the product in paragraph 761G(7)(a) of the Act will be determined at or before the time the client acquires, or is issued with, the financial product. If a client pays $500 000 or more to acquire or be issued with the financial product, the client will be a wholesale client in respect of the product.</w:t>
      </w:r>
    </w:p>
    <w:p w14:paraId="7C2C0C4E" w14:textId="77777777" w:rsidR="00E93F58" w:rsidRPr="00A35C95" w:rsidRDefault="00E93F58" w:rsidP="00366AB5">
      <w:pPr>
        <w:pStyle w:val="SubsectionHead"/>
        <w:tabs>
          <w:tab w:val="left" w:pos="2835"/>
        </w:tabs>
      </w:pPr>
      <w:r w:rsidRPr="00A35C95">
        <w:t>Price</w:t>
      </w:r>
    </w:p>
    <w:p w14:paraId="40E102A6" w14:textId="77777777" w:rsidR="00E93F58" w:rsidRPr="00A35C95" w:rsidRDefault="00E93F58" w:rsidP="00366AB5">
      <w:pPr>
        <w:pStyle w:val="subsection"/>
        <w:tabs>
          <w:tab w:val="left" w:pos="2835"/>
        </w:tabs>
      </w:pPr>
      <w:r w:rsidRPr="00A35C95">
        <w:tab/>
        <w:t>(2)</w:t>
      </w:r>
      <w:r w:rsidRPr="00A35C95">
        <w:tab/>
        <w:t>For paragraph 761G(7)(a) of the Act, the amount applicable in relation to the margin lending facility is $500 000.</w:t>
      </w:r>
    </w:p>
    <w:p w14:paraId="132F6CF4" w14:textId="77777777" w:rsidR="00E93F58" w:rsidRPr="00A35C95" w:rsidRDefault="00E93F58" w:rsidP="00366AB5">
      <w:pPr>
        <w:pStyle w:val="SubsectionHead"/>
        <w:tabs>
          <w:tab w:val="left" w:pos="2835"/>
        </w:tabs>
      </w:pPr>
      <w:r w:rsidRPr="00A35C95">
        <w:t>Working out price</w:t>
      </w:r>
    </w:p>
    <w:p w14:paraId="1D738D88" w14:textId="77777777" w:rsidR="00E93F58" w:rsidRPr="00A35C95" w:rsidRDefault="00E93F58" w:rsidP="00366AB5">
      <w:pPr>
        <w:pStyle w:val="subsection"/>
        <w:tabs>
          <w:tab w:val="left" w:pos="2835"/>
        </w:tabs>
      </w:pPr>
      <w:r w:rsidRPr="00A35C95">
        <w:tab/>
        <w:t>(3)</w:t>
      </w:r>
      <w:r w:rsidRPr="00A35C95">
        <w:tab/>
        <w:t>For paragraph 761G(10)(a) of the Act, the price of a margin lending facility is to be worked out so that it is the same as the value of the secured property or transferred securities contributed by the client for establishing the facility.</w:t>
      </w:r>
    </w:p>
    <w:p w14:paraId="7509596B" w14:textId="77777777" w:rsidR="00E93F58" w:rsidRPr="00A35C95" w:rsidRDefault="00E93F58" w:rsidP="00366AB5">
      <w:pPr>
        <w:pStyle w:val="subsection"/>
        <w:tabs>
          <w:tab w:val="left" w:pos="2835"/>
        </w:tabs>
      </w:pPr>
      <w:r w:rsidRPr="00A35C95">
        <w:tab/>
        <w:t>(4)</w:t>
      </w:r>
      <w:r w:rsidRPr="00A35C95">
        <w:tab/>
        <w:t>For paragraph 761G(10)(a) of the Act, the price of a margin lending facility whose limit is proposed to be increased is to be worked out so that it is the sum of:</w:t>
      </w:r>
    </w:p>
    <w:p w14:paraId="02B854DC" w14:textId="77777777" w:rsidR="00E93F58" w:rsidRPr="00A35C95" w:rsidRDefault="00E93F58" w:rsidP="00366AB5">
      <w:pPr>
        <w:pStyle w:val="paragraph"/>
        <w:tabs>
          <w:tab w:val="left" w:pos="2835"/>
        </w:tabs>
      </w:pPr>
      <w:r w:rsidRPr="00A35C95">
        <w:tab/>
        <w:t>(a)</w:t>
      </w:r>
      <w:r w:rsidRPr="00A35C95">
        <w:tab/>
        <w:t>the current value of any secured property or transferred securities previously contributed by a client for establishing the facility or increasing the limit; and</w:t>
      </w:r>
    </w:p>
    <w:p w14:paraId="749C407A" w14:textId="77777777" w:rsidR="00E93F58" w:rsidRPr="00A35C95" w:rsidRDefault="00E93F58" w:rsidP="00366AB5">
      <w:pPr>
        <w:pStyle w:val="paragraph"/>
        <w:tabs>
          <w:tab w:val="left" w:pos="2835"/>
        </w:tabs>
      </w:pPr>
      <w:r w:rsidRPr="00A35C95">
        <w:tab/>
        <w:t>(b)</w:t>
      </w:r>
      <w:r w:rsidRPr="00A35C95">
        <w:tab/>
        <w:t>the value of any additional secured property or transferred securities contributed by the client in relation to the latest increase of the limit of the facility.</w:t>
      </w:r>
    </w:p>
    <w:p w14:paraId="2962903F" w14:textId="77777777" w:rsidR="00E93F58" w:rsidRPr="00A35C95" w:rsidRDefault="00E93F58" w:rsidP="00366AB5">
      <w:pPr>
        <w:pStyle w:val="subsection"/>
        <w:tabs>
          <w:tab w:val="left" w:pos="2835"/>
        </w:tabs>
      </w:pPr>
      <w:r w:rsidRPr="00A35C95">
        <w:tab/>
        <w:t>(5)</w:t>
      </w:r>
      <w:r w:rsidRPr="00A35C95">
        <w:tab/>
        <w:t>For subregulations (3) and (4), any secured property or transferred securities contributed by the client that is funded by borrowings from a third party is not to be taken into consideration when working out the price of a margin lending facility.</w:t>
      </w:r>
    </w:p>
    <w:p w14:paraId="4544781C" w14:textId="77777777" w:rsidR="00E93F58" w:rsidRPr="00A35C95" w:rsidRDefault="00E93F58" w:rsidP="00366AB5">
      <w:pPr>
        <w:pStyle w:val="ActHead5"/>
        <w:tabs>
          <w:tab w:val="left" w:pos="2835"/>
        </w:tabs>
      </w:pPr>
      <w:bookmarkStart w:id="479" w:name="_Toc152057814"/>
      <w:bookmarkStart w:id="480" w:name="_Toc158712037"/>
      <w:r w:rsidRPr="00844D11">
        <w:rPr>
          <w:rStyle w:val="CharSectno"/>
        </w:rPr>
        <w:t>7.1.20</w:t>
      </w:r>
      <w:r w:rsidRPr="00A35C95">
        <w:rPr>
          <w:sz w:val="16"/>
        </w:rPr>
        <w:t xml:space="preserve">  </w:t>
      </w:r>
      <w:r w:rsidRPr="00A35C95">
        <w:t>Retail clients and wholesale clients: price of income stream financial products</w:t>
      </w:r>
      <w:bookmarkEnd w:id="479"/>
      <w:bookmarkEnd w:id="480"/>
    </w:p>
    <w:p w14:paraId="6EC09EFD"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makes arrangements about the price for the provision of an income stream financial product.</w:t>
      </w:r>
    </w:p>
    <w:p w14:paraId="6EA0416D"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14FAD3A2" w14:textId="77777777" w:rsidR="00E93F58" w:rsidRPr="00A35C95" w:rsidRDefault="00E93F58" w:rsidP="00366AB5">
      <w:pPr>
        <w:pStyle w:val="notetext"/>
        <w:tabs>
          <w:tab w:val="left" w:pos="2835"/>
        </w:tabs>
      </w:pPr>
      <w:r w:rsidRPr="00A35C95">
        <w:lastRenderedPageBreak/>
        <w:tab/>
        <w:t>Under paragraph 761G(10)(a) of the Act, the regulations may also deal with how a price or value referred to in that paragraph is to be calculated, either generally or in relation to a specified class of financial products.</w:t>
      </w:r>
    </w:p>
    <w:p w14:paraId="7595AA04" w14:textId="77777777" w:rsidR="00E93F58" w:rsidRPr="00A35C95" w:rsidRDefault="00E93F58" w:rsidP="00366AB5">
      <w:pPr>
        <w:pStyle w:val="notetext"/>
        <w:tabs>
          <w:tab w:val="left" w:pos="2835"/>
        </w:tabs>
      </w:pPr>
      <w:r w:rsidRPr="00A35C95">
        <w:tab/>
        <w:t>In general, the ‘price’ of a product will be the amount that is paid to acquire or be issued with the financial product. The test for the price of the product in paragraph 761G(7)(a) of the Act will be determined at or before the time the client acquires, or is issued with, the financial product. If a client pays over $500 000 to acquire or be issued with the financial product, the client will be a wholesale client in respect of the product.</w:t>
      </w:r>
    </w:p>
    <w:p w14:paraId="09A85630" w14:textId="77777777" w:rsidR="00E93F58" w:rsidRPr="00A35C95" w:rsidRDefault="00E93F58" w:rsidP="00366AB5">
      <w:pPr>
        <w:pStyle w:val="SubsectionHead"/>
        <w:tabs>
          <w:tab w:val="left" w:pos="2835"/>
        </w:tabs>
      </w:pPr>
      <w:r w:rsidRPr="00A35C95">
        <w:t>Price</w:t>
      </w:r>
    </w:p>
    <w:p w14:paraId="19FF374C"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761G(7)(a) of the Act, the amount applicable in relation to an income stream financial product is $500 000.</w:t>
      </w:r>
    </w:p>
    <w:p w14:paraId="6EF91980" w14:textId="77777777" w:rsidR="00E93F58" w:rsidRPr="00A35C95" w:rsidRDefault="00E93F58" w:rsidP="00366AB5">
      <w:pPr>
        <w:pStyle w:val="SubsectionHead"/>
        <w:tabs>
          <w:tab w:val="left" w:pos="2835"/>
        </w:tabs>
      </w:pPr>
      <w:r w:rsidRPr="00A35C95">
        <w:t>Working out price: general rule</w:t>
      </w:r>
    </w:p>
    <w:p w14:paraId="65543ADC" w14:textId="77777777" w:rsidR="00E93F58" w:rsidRPr="00A35C95" w:rsidRDefault="00E93F58" w:rsidP="00366AB5">
      <w:pPr>
        <w:pStyle w:val="subsection"/>
        <w:tabs>
          <w:tab w:val="left" w:pos="2835"/>
        </w:tabs>
      </w:pPr>
      <w:r w:rsidRPr="00A35C95">
        <w:tab/>
        <w:t>(3)</w:t>
      </w:r>
      <w:r w:rsidRPr="00A35C95">
        <w:tab/>
        <w:t>The price of an income stream financial product:</w:t>
      </w:r>
    </w:p>
    <w:p w14:paraId="6B62F165" w14:textId="77777777" w:rsidR="00E93F58" w:rsidRPr="00A35C95" w:rsidRDefault="00E93F58" w:rsidP="00366AB5">
      <w:pPr>
        <w:pStyle w:val="paragraph"/>
        <w:tabs>
          <w:tab w:val="left" w:pos="2835"/>
        </w:tabs>
      </w:pPr>
      <w:r w:rsidRPr="00A35C95">
        <w:rPr>
          <w:color w:val="000000"/>
        </w:rPr>
        <w:tab/>
        <w:t>(a)</w:t>
      </w:r>
      <w:r w:rsidRPr="00A35C95">
        <w:rPr>
          <w:color w:val="000000"/>
        </w:rPr>
        <w:tab/>
        <w:t>is the amount that is paid or payable to acquire or purchase the income stream financial product; and</w:t>
      </w:r>
    </w:p>
    <w:p w14:paraId="4DD3A9F9" w14:textId="77777777" w:rsidR="00E93F58" w:rsidRPr="00A35C95" w:rsidRDefault="00E93F58" w:rsidP="00366AB5">
      <w:pPr>
        <w:pStyle w:val="paragraph"/>
        <w:tabs>
          <w:tab w:val="left" w:pos="2835"/>
        </w:tabs>
      </w:pPr>
      <w:r w:rsidRPr="00A35C95">
        <w:tab/>
        <w:t>(b)</w:t>
      </w:r>
      <w:r w:rsidRPr="00A35C95">
        <w:tab/>
        <w:t>does not include any amount paid for or in respect of the income stream financial product following its issue or acquisition unless the issue or acquisition would not have taken place without an arrangement to pay the amount.</w:t>
      </w:r>
    </w:p>
    <w:p w14:paraId="4C2CA014" w14:textId="77777777" w:rsidR="00E93F58" w:rsidRPr="00A35C95" w:rsidRDefault="00E93F58" w:rsidP="00366AB5">
      <w:pPr>
        <w:pStyle w:val="notetext"/>
        <w:tabs>
          <w:tab w:val="left" w:pos="2835"/>
        </w:tabs>
      </w:pPr>
      <w:r w:rsidRPr="00A35C95">
        <w:rPr>
          <w:color w:val="000000"/>
        </w:rPr>
        <w:t>Note:</w:t>
      </w:r>
      <w:r w:rsidRPr="00A35C95">
        <w:rPr>
          <w:color w:val="000000"/>
        </w:rPr>
        <w:tab/>
        <w:t>Additional amounts contributed to an allocated annuity will not generally be regarded as part of the ‘price’ paid to acquire or purchase the financial product.</w:t>
      </w:r>
    </w:p>
    <w:p w14:paraId="67060B4F" w14:textId="77777777" w:rsidR="00E93F58" w:rsidRPr="00A35C95" w:rsidRDefault="00E93F58" w:rsidP="00366AB5">
      <w:pPr>
        <w:pStyle w:val="subsection"/>
        <w:tabs>
          <w:tab w:val="left" w:pos="2835"/>
        </w:tabs>
      </w:pPr>
      <w:r w:rsidRPr="00A35C95">
        <w:tab/>
        <w:t>(4)</w:t>
      </w:r>
      <w:r w:rsidRPr="00A35C95">
        <w:tab/>
        <w:t>For subregulation (3), in calculating any amount payable or paid to acquire or purchase the income stream financial product:</w:t>
      </w:r>
    </w:p>
    <w:p w14:paraId="6DECD30D" w14:textId="77777777" w:rsidR="00E93F58" w:rsidRPr="00A35C95" w:rsidRDefault="00E93F58" w:rsidP="00366AB5">
      <w:pPr>
        <w:pStyle w:val="paragraph"/>
        <w:tabs>
          <w:tab w:val="left" w:pos="2835"/>
        </w:tabs>
      </w:pPr>
      <w:r w:rsidRPr="00A35C95">
        <w:tab/>
        <w:t>(a)</w:t>
      </w:r>
      <w:r w:rsidRPr="00A35C95">
        <w:tab/>
        <w:t>disregard any amount payable to the extent to which it is to be paid out of money lent by:</w:t>
      </w:r>
    </w:p>
    <w:p w14:paraId="31699581"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 offering the income stream financial product; or</w:t>
      </w:r>
    </w:p>
    <w:p w14:paraId="3A995266" w14:textId="77777777" w:rsidR="00E93F58" w:rsidRPr="00A35C95" w:rsidRDefault="00E93F58" w:rsidP="00366AB5">
      <w:pPr>
        <w:pStyle w:val="paragraphsub"/>
        <w:tabs>
          <w:tab w:val="left" w:pos="2835"/>
        </w:tabs>
      </w:pPr>
      <w:r w:rsidRPr="00A35C95">
        <w:tab/>
        <w:t>(ii)</w:t>
      </w:r>
      <w:r w:rsidRPr="00A35C95">
        <w:tab/>
        <w:t>an associate of that person; and</w:t>
      </w:r>
    </w:p>
    <w:p w14:paraId="26FAF969" w14:textId="77777777" w:rsidR="00E93F58" w:rsidRPr="00A35C95" w:rsidRDefault="00E93F58" w:rsidP="00366AB5">
      <w:pPr>
        <w:pStyle w:val="paragraph"/>
        <w:tabs>
          <w:tab w:val="left" w:pos="2835"/>
        </w:tabs>
      </w:pPr>
      <w:r w:rsidRPr="00A35C95">
        <w:tab/>
        <w:t>(b)</w:t>
      </w:r>
      <w:r w:rsidRPr="00A35C95">
        <w:tab/>
        <w:t>disregard any amount paid to the extent to which it was paid out of money lent by:</w:t>
      </w:r>
    </w:p>
    <w:p w14:paraId="053EE945"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 offering the income stream financial product; or</w:t>
      </w:r>
    </w:p>
    <w:p w14:paraId="5987B16A" w14:textId="77777777" w:rsidR="00E93F58" w:rsidRPr="00A35C95" w:rsidRDefault="00E93F58" w:rsidP="00366AB5">
      <w:pPr>
        <w:pStyle w:val="paragraphsub"/>
        <w:tabs>
          <w:tab w:val="left" w:pos="2835"/>
        </w:tabs>
      </w:pPr>
      <w:r w:rsidRPr="00A35C95">
        <w:tab/>
        <w:t>(ii)</w:t>
      </w:r>
      <w:r w:rsidRPr="00A35C95">
        <w:tab/>
        <w:t>an associate of that person; and</w:t>
      </w:r>
    </w:p>
    <w:p w14:paraId="45AE15EF" w14:textId="77777777" w:rsidR="00E93F58" w:rsidRPr="00A35C95" w:rsidRDefault="00E93F58" w:rsidP="00366AB5">
      <w:pPr>
        <w:pStyle w:val="paragraph"/>
        <w:tabs>
          <w:tab w:val="left" w:pos="2835"/>
        </w:tabs>
      </w:pPr>
      <w:r w:rsidRPr="00A35C95">
        <w:tab/>
        <w:t>(c)</w:t>
      </w:r>
      <w:r w:rsidRPr="00A35C95">
        <w:tab/>
        <w:t>include any amount paid or payable to cover:</w:t>
      </w:r>
    </w:p>
    <w:p w14:paraId="428C5747" w14:textId="77777777" w:rsidR="00E93F58" w:rsidRPr="00A35C95" w:rsidRDefault="00E93F58" w:rsidP="00366AB5">
      <w:pPr>
        <w:pStyle w:val="paragraphsub"/>
        <w:tabs>
          <w:tab w:val="left" w:pos="2835"/>
        </w:tabs>
      </w:pPr>
      <w:r w:rsidRPr="00A35C95">
        <w:rPr>
          <w:color w:val="000000"/>
        </w:rPr>
        <w:tab/>
        <w:t>(i)</w:t>
      </w:r>
      <w:r w:rsidRPr="00A35C95">
        <w:rPr>
          <w:color w:val="000000"/>
        </w:rPr>
        <w:tab/>
        <w:t>fees or charges that are paid to the issuer or any other person that relates to the issue of the income stream financial product; and</w:t>
      </w:r>
    </w:p>
    <w:p w14:paraId="1CFD1663" w14:textId="77777777" w:rsidR="00E93F58" w:rsidRPr="00A35C95" w:rsidRDefault="00E93F58" w:rsidP="00366AB5">
      <w:pPr>
        <w:pStyle w:val="paragraphsub"/>
        <w:tabs>
          <w:tab w:val="left" w:pos="2835"/>
        </w:tabs>
      </w:pPr>
      <w:r w:rsidRPr="00A35C95">
        <w:tab/>
        <w:t>(ii)</w:t>
      </w:r>
      <w:r w:rsidRPr="00A35C95">
        <w:tab/>
        <w:t>fees or charges that are paid to the issuer or any other person that relates to the issue of the income stream financial product; and</w:t>
      </w:r>
    </w:p>
    <w:p w14:paraId="34509467" w14:textId="77777777" w:rsidR="00E93F58" w:rsidRPr="00A35C95" w:rsidRDefault="00E93F58" w:rsidP="00366AB5">
      <w:pPr>
        <w:pStyle w:val="paragraph"/>
        <w:tabs>
          <w:tab w:val="left" w:pos="2835"/>
        </w:tabs>
      </w:pPr>
      <w:r w:rsidRPr="00A35C95">
        <w:tab/>
        <w:t>(d)</w:t>
      </w:r>
      <w:r w:rsidRPr="00A35C95">
        <w:tab/>
        <w:t>despite paragraph (c), disregard any amount of remuneration or other benefits paid or payable to a person for the provision of financial product advice or other related services provided directly to:</w:t>
      </w:r>
    </w:p>
    <w:p w14:paraId="125A155A" w14:textId="77777777" w:rsidR="00E93F58" w:rsidRPr="00A35C95" w:rsidRDefault="00E93F58" w:rsidP="00366AB5">
      <w:pPr>
        <w:pStyle w:val="paragraphsub"/>
        <w:tabs>
          <w:tab w:val="left" w:pos="2835"/>
        </w:tabs>
      </w:pPr>
      <w:r w:rsidRPr="00A35C95">
        <w:rPr>
          <w:color w:val="000000"/>
        </w:rPr>
        <w:tab/>
        <w:t>(i)</w:t>
      </w:r>
      <w:r w:rsidRPr="00A35C95">
        <w:rPr>
          <w:color w:val="000000"/>
        </w:rPr>
        <w:tab/>
        <w:t>the client; or</w:t>
      </w:r>
    </w:p>
    <w:p w14:paraId="24F1E0AF" w14:textId="77777777" w:rsidR="00E93F58" w:rsidRPr="00A35C95" w:rsidRDefault="00E93F58" w:rsidP="00366AB5">
      <w:pPr>
        <w:pStyle w:val="paragraphsub"/>
        <w:tabs>
          <w:tab w:val="left" w:pos="2835"/>
        </w:tabs>
      </w:pPr>
      <w:r w:rsidRPr="00A35C95">
        <w:tab/>
        <w:t>(ii)</w:t>
      </w:r>
      <w:r w:rsidRPr="00A35C95">
        <w:tab/>
        <w:t>another person acting on behalf of the client.</w:t>
      </w:r>
    </w:p>
    <w:p w14:paraId="6E455BE2" w14:textId="77777777" w:rsidR="00E93F58" w:rsidRPr="00A35C95" w:rsidRDefault="00E93F58" w:rsidP="00366AB5">
      <w:pPr>
        <w:pStyle w:val="ActHead5"/>
        <w:tabs>
          <w:tab w:val="left" w:pos="2835"/>
        </w:tabs>
      </w:pPr>
      <w:bookmarkStart w:id="481" w:name="_Toc152057815"/>
      <w:bookmarkStart w:id="482" w:name="_Toc158712038"/>
      <w:r w:rsidRPr="00844D11">
        <w:rPr>
          <w:rStyle w:val="CharSectno"/>
        </w:rPr>
        <w:t>7.1.21</w:t>
      </w:r>
      <w:r w:rsidRPr="00A35C95">
        <w:rPr>
          <w:sz w:val="16"/>
        </w:rPr>
        <w:t xml:space="preserve">  </w:t>
      </w:r>
      <w:r w:rsidRPr="00A35C95">
        <w:t>Retail clients and wholesale clients: value of income stream financial products</w:t>
      </w:r>
      <w:bookmarkEnd w:id="481"/>
      <w:bookmarkEnd w:id="482"/>
    </w:p>
    <w:p w14:paraId="75E2E3C9"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makes arrangements about the value of an income stream financial product.</w:t>
      </w:r>
    </w:p>
    <w:p w14:paraId="1C498B6F"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4C76ED14" w14:textId="77777777" w:rsidR="00E93F58" w:rsidRPr="00A35C95" w:rsidRDefault="00E93F58" w:rsidP="00366AB5">
      <w:pPr>
        <w:pStyle w:val="notetext"/>
        <w:tabs>
          <w:tab w:val="left" w:pos="2835"/>
        </w:tabs>
      </w:pPr>
      <w:r w:rsidRPr="00A35C95">
        <w:tab/>
        <w:t>Under paragraph 761G(10)(a) of the Act, the regulations may also deal with how a price or value referred to in that paragraph is to be calculated, either generally or in relation to a specified class of financial products.</w:t>
      </w:r>
    </w:p>
    <w:p w14:paraId="0971E43F" w14:textId="77777777" w:rsidR="00E93F58" w:rsidRPr="00A35C95" w:rsidRDefault="00E93F58" w:rsidP="00366AB5">
      <w:pPr>
        <w:pStyle w:val="notetext"/>
        <w:tabs>
          <w:tab w:val="left" w:pos="2835"/>
        </w:tabs>
      </w:pPr>
      <w:r w:rsidRPr="00A35C95">
        <w:tab/>
        <w:t>In general, the ‘value’ of a product will be the amount that the product is worth once it is issued or acquired by the client. It is anticipated that the test for the value of the product in paragraph 761G(7)(a) of the Act will usually be used to assess a client’s status as a retail or wholesale client at or before the time that a financial service (eg financial product advice, disposal of the product) is provided to the client in respect of an existing product.</w:t>
      </w:r>
    </w:p>
    <w:p w14:paraId="714DFF67" w14:textId="77777777" w:rsidR="00E93F58" w:rsidRPr="00A35C95" w:rsidRDefault="00E93F58" w:rsidP="00366AB5">
      <w:pPr>
        <w:pStyle w:val="SubsectionHead"/>
        <w:tabs>
          <w:tab w:val="left" w:pos="2835"/>
        </w:tabs>
      </w:pPr>
      <w:r w:rsidRPr="00A35C95">
        <w:t>Value</w:t>
      </w:r>
    </w:p>
    <w:p w14:paraId="584C0D4D"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761G(7)(a) of the Act, the amount applicable in relation to an income stream financial product is $500 000.</w:t>
      </w:r>
    </w:p>
    <w:p w14:paraId="78A7189D" w14:textId="77777777" w:rsidR="00E93F58" w:rsidRPr="00A35C95" w:rsidRDefault="00E93F58" w:rsidP="00366AB5">
      <w:pPr>
        <w:pStyle w:val="SubsectionHead"/>
        <w:tabs>
          <w:tab w:val="left" w:pos="2835"/>
        </w:tabs>
      </w:pPr>
      <w:r w:rsidRPr="00A35C95">
        <w:lastRenderedPageBreak/>
        <w:t>Working out value: general rule</w:t>
      </w:r>
    </w:p>
    <w:p w14:paraId="3D68307A" w14:textId="77777777" w:rsidR="00E93F58" w:rsidRPr="00A35C95" w:rsidRDefault="00E93F58" w:rsidP="00366AB5">
      <w:pPr>
        <w:pStyle w:val="subsection"/>
        <w:tabs>
          <w:tab w:val="left" w:pos="2835"/>
        </w:tabs>
      </w:pPr>
      <w:r w:rsidRPr="00A35C95">
        <w:tab/>
        <w:t>(3)</w:t>
      </w:r>
      <w:r w:rsidRPr="00A35C95">
        <w:tab/>
        <w:t>For paragraph 761G(10)(a) of the Act, the value of an income stream product is the amount worked out in accordance with any of the following paragraphs:</w:t>
      </w:r>
    </w:p>
    <w:p w14:paraId="61189275" w14:textId="77777777" w:rsidR="00E93F58" w:rsidRPr="00A35C95" w:rsidRDefault="00E93F58" w:rsidP="00366AB5">
      <w:pPr>
        <w:pStyle w:val="paragraph"/>
        <w:tabs>
          <w:tab w:val="left" w:pos="2835"/>
        </w:tabs>
      </w:pPr>
      <w:r w:rsidRPr="00A35C95">
        <w:rPr>
          <w:color w:val="000000"/>
        </w:rPr>
        <w:tab/>
        <w:t>(a)</w:t>
      </w:r>
      <w:r w:rsidRPr="00A35C95">
        <w:rPr>
          <w:color w:val="000000"/>
        </w:rPr>
        <w:tab/>
        <w:t>if the terms of the income stream financial product provide for the calculation of a commutation value—the commutation value;</w:t>
      </w:r>
    </w:p>
    <w:p w14:paraId="06B7800E" w14:textId="77777777" w:rsidR="00E93F58" w:rsidRPr="00A35C95" w:rsidRDefault="00E93F58" w:rsidP="00366AB5">
      <w:pPr>
        <w:pStyle w:val="paragraph"/>
        <w:tabs>
          <w:tab w:val="left" w:pos="2835"/>
        </w:tabs>
      </w:pPr>
      <w:r w:rsidRPr="00A35C95">
        <w:tab/>
        <w:t>(b)</w:t>
      </w:r>
      <w:r w:rsidRPr="00A35C95">
        <w:tab/>
        <w:t>if the terms of the income stream financial product do not permit commutation—the minimum commutation amount calculated in accordance with ordinarily accepted actuarial standards;</w:t>
      </w:r>
    </w:p>
    <w:p w14:paraId="48B83BA1" w14:textId="77777777" w:rsidR="00E93F58" w:rsidRPr="00A35C95" w:rsidRDefault="00E93F58" w:rsidP="00366AB5">
      <w:pPr>
        <w:pStyle w:val="paragraph"/>
        <w:tabs>
          <w:tab w:val="left" w:pos="2835"/>
        </w:tabs>
      </w:pPr>
      <w:r w:rsidRPr="00A35C95">
        <w:tab/>
        <w:t>(c)</w:t>
      </w:r>
      <w:r w:rsidRPr="00A35C95">
        <w:tab/>
        <w:t>if the income stream financial product is of a kind in relation to which money stands to the client’s credit for the income stream financial product—the amount of money standing to the client’s credit.</w:t>
      </w:r>
    </w:p>
    <w:p w14:paraId="5ED45F36" w14:textId="77777777" w:rsidR="00E93F58" w:rsidRPr="00A35C95" w:rsidRDefault="00E93F58" w:rsidP="00366AB5">
      <w:pPr>
        <w:pStyle w:val="subsection"/>
        <w:tabs>
          <w:tab w:val="left" w:pos="2835"/>
        </w:tabs>
      </w:pPr>
      <w:r w:rsidRPr="00A35C95">
        <w:tab/>
        <w:t>(4)</w:t>
      </w:r>
      <w:r w:rsidRPr="00A35C95">
        <w:tab/>
        <w:t>For subregulation (3), in calculating the value of an income stream financial product:</w:t>
      </w:r>
    </w:p>
    <w:p w14:paraId="14557EA6" w14:textId="77777777" w:rsidR="00E93F58" w:rsidRPr="00A35C95" w:rsidRDefault="00E93F58" w:rsidP="00366AB5">
      <w:pPr>
        <w:pStyle w:val="paragraph"/>
        <w:tabs>
          <w:tab w:val="left" w:pos="2835"/>
        </w:tabs>
      </w:pPr>
      <w:r w:rsidRPr="00A35C95">
        <w:tab/>
        <w:t>(a)</w:t>
      </w:r>
      <w:r w:rsidRPr="00A35C95">
        <w:tab/>
        <w:t>disregard any amount standing to the client’s credit in relation to the income stream financial product to the extent that it is to be paid, or was to be paid, out of money lent by:</w:t>
      </w:r>
    </w:p>
    <w:p w14:paraId="2EE86C97"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 offering the income stream financial product; or</w:t>
      </w:r>
    </w:p>
    <w:p w14:paraId="259A9EDF" w14:textId="77777777" w:rsidR="00E93F58" w:rsidRPr="00A35C95" w:rsidRDefault="00E93F58" w:rsidP="00366AB5">
      <w:pPr>
        <w:pStyle w:val="paragraphsub"/>
        <w:tabs>
          <w:tab w:val="left" w:pos="2835"/>
        </w:tabs>
      </w:pPr>
      <w:r w:rsidRPr="00A35C95">
        <w:tab/>
        <w:t>(ii)</w:t>
      </w:r>
      <w:r w:rsidRPr="00A35C95">
        <w:tab/>
        <w:t>an associate of that person; and</w:t>
      </w:r>
    </w:p>
    <w:p w14:paraId="37CD8576" w14:textId="77777777" w:rsidR="00E93F58" w:rsidRPr="00A35C95" w:rsidRDefault="00E93F58" w:rsidP="00366AB5">
      <w:pPr>
        <w:pStyle w:val="paragraph"/>
        <w:tabs>
          <w:tab w:val="left" w:pos="2835"/>
        </w:tabs>
      </w:pPr>
      <w:r w:rsidRPr="00A35C95">
        <w:tab/>
        <w:t>(b)</w:t>
      </w:r>
      <w:r w:rsidRPr="00A35C95">
        <w:tab/>
        <w:t>disregard any amount of fees or charges:</w:t>
      </w:r>
    </w:p>
    <w:p w14:paraId="6285DF66" w14:textId="77777777" w:rsidR="00E93F58" w:rsidRPr="00A35C95" w:rsidRDefault="00E93F58" w:rsidP="00366AB5">
      <w:pPr>
        <w:pStyle w:val="paragraphsub"/>
        <w:tabs>
          <w:tab w:val="left" w:pos="2835"/>
        </w:tabs>
      </w:pPr>
      <w:r w:rsidRPr="00A35C95">
        <w:rPr>
          <w:color w:val="000000"/>
        </w:rPr>
        <w:tab/>
        <w:t>(i)</w:t>
      </w:r>
      <w:r w:rsidRPr="00A35C95">
        <w:rPr>
          <w:color w:val="000000"/>
        </w:rPr>
        <w:tab/>
        <w:t>that the product issuer has an actual or accrued right to deduct from the value of the income stream financial product (whether or not the amount has been deducted); or</w:t>
      </w:r>
    </w:p>
    <w:p w14:paraId="44D83C99" w14:textId="77777777" w:rsidR="00E93F58" w:rsidRPr="00A35C95" w:rsidRDefault="00E93F58" w:rsidP="00366AB5">
      <w:pPr>
        <w:pStyle w:val="paragraphsub"/>
        <w:tabs>
          <w:tab w:val="left" w:pos="2835"/>
        </w:tabs>
      </w:pPr>
      <w:r w:rsidRPr="00A35C95">
        <w:tab/>
        <w:t>(ii)</w:t>
      </w:r>
      <w:r w:rsidRPr="00A35C95">
        <w:tab/>
        <w:t>that has accrued as at the time that the client’s status as a retail or wholesale client is assessed.</w:t>
      </w:r>
    </w:p>
    <w:p w14:paraId="36998CAE" w14:textId="77777777" w:rsidR="00E93F58" w:rsidRPr="00A35C95" w:rsidRDefault="00E93F58" w:rsidP="00366AB5">
      <w:pPr>
        <w:pStyle w:val="subsection"/>
        <w:tabs>
          <w:tab w:val="left" w:pos="2835"/>
        </w:tabs>
      </w:pPr>
      <w:r w:rsidRPr="00A35C95">
        <w:tab/>
        <w:t>(5)</w:t>
      </w:r>
      <w:r w:rsidRPr="00A35C95">
        <w:tab/>
        <w:t>If it is not reasonably practicable to ascertain an amount in accordance with subregulation (3), the value of the income stream product is an amount calculated as follows:</w:t>
      </w:r>
    </w:p>
    <w:p w14:paraId="3BB6B38C" w14:textId="77777777" w:rsidR="00E93F58" w:rsidRPr="00A35C95" w:rsidRDefault="00E93F58" w:rsidP="00366AB5">
      <w:pPr>
        <w:pStyle w:val="paragraph"/>
        <w:tabs>
          <w:tab w:val="left" w:pos="2835"/>
        </w:tabs>
      </w:pPr>
      <w:r w:rsidRPr="00A35C95">
        <w:rPr>
          <w:color w:val="000000"/>
        </w:rPr>
        <w:tab/>
        <w:t>(a)</w:t>
      </w:r>
      <w:r w:rsidRPr="00A35C95">
        <w:rPr>
          <w:color w:val="000000"/>
        </w:rPr>
        <w:tab/>
        <w:t>identify the price for the provision of the income stream;</w:t>
      </w:r>
    </w:p>
    <w:p w14:paraId="6B12CE82" w14:textId="77777777" w:rsidR="00E93F58" w:rsidRPr="00A35C95" w:rsidRDefault="00E93F58" w:rsidP="00366AB5">
      <w:pPr>
        <w:pStyle w:val="paragraph"/>
        <w:tabs>
          <w:tab w:val="left" w:pos="2835"/>
        </w:tabs>
      </w:pPr>
      <w:r w:rsidRPr="00A35C95">
        <w:tab/>
        <w:t>(b)</w:t>
      </w:r>
      <w:r w:rsidRPr="00A35C95">
        <w:tab/>
        <w:t>subtract the total of any amounts paid out of the income stream (including any regular payments and any capital amounts);</w:t>
      </w:r>
    </w:p>
    <w:p w14:paraId="4B894A76" w14:textId="77777777" w:rsidR="00E93F58" w:rsidRPr="00A35C95" w:rsidRDefault="00E93F58" w:rsidP="00366AB5">
      <w:pPr>
        <w:pStyle w:val="paragraph"/>
        <w:tabs>
          <w:tab w:val="left" w:pos="2835"/>
        </w:tabs>
      </w:pPr>
      <w:r w:rsidRPr="00A35C95">
        <w:tab/>
        <w:t>(c)</w:t>
      </w:r>
      <w:r w:rsidRPr="00A35C95">
        <w:tab/>
        <w:t>subtract an amount representing the reasonable administrative fees or other expenses of the issuer (including any costs or fees relating to the product that were disclosed to the client at or before the time the product was issued);</w:t>
      </w:r>
    </w:p>
    <w:p w14:paraId="6CFA66CF" w14:textId="77777777" w:rsidR="00E93F58" w:rsidRPr="00A35C95" w:rsidRDefault="00E93F58" w:rsidP="00366AB5">
      <w:pPr>
        <w:pStyle w:val="paragraph"/>
        <w:tabs>
          <w:tab w:val="left" w:pos="2835"/>
        </w:tabs>
      </w:pPr>
      <w:r w:rsidRPr="00A35C95">
        <w:tab/>
        <w:t>(d)</w:t>
      </w:r>
      <w:r w:rsidRPr="00A35C95">
        <w:tab/>
        <w:t>add interest on:</w:t>
      </w:r>
    </w:p>
    <w:p w14:paraId="5D46FA26" w14:textId="77777777" w:rsidR="00E93F58" w:rsidRPr="00A35C95" w:rsidRDefault="00E93F58" w:rsidP="00366AB5">
      <w:pPr>
        <w:pStyle w:val="paragraphsub"/>
        <w:tabs>
          <w:tab w:val="left" w:pos="2835"/>
        </w:tabs>
      </w:pPr>
      <w:r w:rsidRPr="00A35C95">
        <w:rPr>
          <w:color w:val="000000"/>
        </w:rPr>
        <w:tab/>
        <w:t>(i)</w:t>
      </w:r>
      <w:r w:rsidRPr="00A35C95">
        <w:rPr>
          <w:color w:val="000000"/>
        </w:rPr>
        <w:tab/>
        <w:t>the amount paid for the income stream financial product; or</w:t>
      </w:r>
    </w:p>
    <w:p w14:paraId="06F773D4" w14:textId="77777777" w:rsidR="00E93F58" w:rsidRPr="00A35C95" w:rsidRDefault="00E93F58" w:rsidP="00366AB5">
      <w:pPr>
        <w:pStyle w:val="paragraphsub"/>
        <w:tabs>
          <w:tab w:val="left" w:pos="2835"/>
        </w:tabs>
      </w:pPr>
      <w:r w:rsidRPr="00A35C95">
        <w:tab/>
        <w:t>(ii)</w:t>
      </w:r>
      <w:r w:rsidRPr="00A35C95">
        <w:tab/>
        <w:t>an amount, or a reasonable notional amount, representing the value of the income stream financial product;</w:t>
      </w:r>
    </w:p>
    <w:p w14:paraId="5E232E55" w14:textId="77777777" w:rsidR="00E93F58" w:rsidRPr="00A35C95" w:rsidRDefault="00E93F58" w:rsidP="00366AB5">
      <w:pPr>
        <w:pStyle w:val="paragraph"/>
        <w:tabs>
          <w:tab w:val="left" w:pos="2835"/>
        </w:tabs>
      </w:pPr>
      <w:r w:rsidRPr="00A35C95">
        <w:rPr>
          <w:color w:val="000000"/>
        </w:rPr>
        <w:tab/>
      </w:r>
      <w:r w:rsidRPr="00A35C95">
        <w:rPr>
          <w:color w:val="000000"/>
        </w:rPr>
        <w:tab/>
        <w:t>based on movements in the rate of the All Groups Consumer Price Index number (being the weighted average of the 8 Australian capital cities) published by the Australian Statistician.</w:t>
      </w:r>
    </w:p>
    <w:p w14:paraId="06B55411" w14:textId="77777777" w:rsidR="00E93F58" w:rsidRPr="00A35C95" w:rsidRDefault="00E93F58" w:rsidP="00366AB5">
      <w:pPr>
        <w:pStyle w:val="SubsectionHead"/>
        <w:tabs>
          <w:tab w:val="left" w:pos="2835"/>
        </w:tabs>
      </w:pPr>
      <w:r w:rsidRPr="00A35C95">
        <w:t>Group products</w:t>
      </w:r>
    </w:p>
    <w:p w14:paraId="7566B3D7" w14:textId="77777777" w:rsidR="00E93F58" w:rsidRPr="00A35C95" w:rsidRDefault="00E93F58" w:rsidP="00366AB5">
      <w:pPr>
        <w:pStyle w:val="subsection"/>
        <w:tabs>
          <w:tab w:val="left" w:pos="2835"/>
        </w:tabs>
      </w:pPr>
      <w:r w:rsidRPr="00A35C95">
        <w:tab/>
        <w:t>(6)</w:t>
      </w:r>
      <w:r w:rsidRPr="00A35C95">
        <w:tab/>
        <w:t>If the income stream financial product is a group product covered by subsection 1012H(1) of the Act:</w:t>
      </w:r>
    </w:p>
    <w:p w14:paraId="000E2AA2" w14:textId="77777777" w:rsidR="00E93F58" w:rsidRPr="00A35C95" w:rsidRDefault="00E93F58" w:rsidP="00366AB5">
      <w:pPr>
        <w:pStyle w:val="paragraph"/>
        <w:tabs>
          <w:tab w:val="left" w:pos="2835"/>
        </w:tabs>
      </w:pPr>
      <w:r w:rsidRPr="00A35C95">
        <w:rPr>
          <w:color w:val="000000"/>
        </w:rPr>
        <w:tab/>
        <w:t>(a)</w:t>
      </w:r>
      <w:r w:rsidRPr="00A35C95">
        <w:rPr>
          <w:color w:val="000000"/>
        </w:rPr>
        <w:tab/>
        <w:t>the amount in subregulation (2) is to be used to determine the status of each person who elects, or may elect, to be covered by the income stream financial product; and</w:t>
      </w:r>
    </w:p>
    <w:p w14:paraId="3A862F24" w14:textId="77777777" w:rsidR="00E93F58" w:rsidRPr="00A35C95" w:rsidRDefault="00E93F58" w:rsidP="00366AB5">
      <w:pPr>
        <w:pStyle w:val="paragraph"/>
        <w:tabs>
          <w:tab w:val="left" w:pos="2835"/>
        </w:tabs>
      </w:pPr>
      <w:r w:rsidRPr="00A35C95">
        <w:tab/>
        <w:t>(b)</w:t>
      </w:r>
      <w:r w:rsidRPr="00A35C95">
        <w:tab/>
        <w:t>subregulation (3) is to be used to determine the value of the income stream financial product to the extent that it stands, or will stand, to the credit of, each person who elects, or may elect, to be covered by the income stream financial product.</w:t>
      </w:r>
    </w:p>
    <w:p w14:paraId="48CB4AF3" w14:textId="77777777" w:rsidR="00E93F58" w:rsidRPr="00A35C95" w:rsidRDefault="00E93F58" w:rsidP="00366AB5">
      <w:pPr>
        <w:pStyle w:val="SubsectionHead"/>
        <w:tabs>
          <w:tab w:val="left" w:pos="2835"/>
        </w:tabs>
      </w:pPr>
      <w:r w:rsidRPr="00A35C95">
        <w:t>Time of assessment</w:t>
      </w:r>
    </w:p>
    <w:p w14:paraId="3A072FB5" w14:textId="77777777" w:rsidR="00E93F58" w:rsidRPr="00A35C95" w:rsidRDefault="00E93F58" w:rsidP="00366AB5">
      <w:pPr>
        <w:pStyle w:val="subsection"/>
        <w:tabs>
          <w:tab w:val="left" w:pos="2835"/>
        </w:tabs>
      </w:pPr>
      <w:r w:rsidRPr="00A35C95">
        <w:rPr>
          <w:color w:val="000000"/>
        </w:rPr>
        <w:tab/>
        <w:t>(7)</w:t>
      </w:r>
      <w:r w:rsidRPr="00A35C95">
        <w:rPr>
          <w:color w:val="000000"/>
        </w:rPr>
        <w:tab/>
        <w:t>If a financial services provider needs to assess the status of a client as either retail or wholesale at a particular time in order to ensure that the client complies with the Act, or for any related purpose, the value of a financial product may be assessed at any time, whether or not a financial service is being provided at that time in relation to that product.</w:t>
      </w:r>
    </w:p>
    <w:p w14:paraId="40BE0E04" w14:textId="77777777" w:rsidR="00E93F58" w:rsidRPr="00A35C95" w:rsidRDefault="00E93F58" w:rsidP="00366AB5">
      <w:pPr>
        <w:pStyle w:val="notetext"/>
        <w:tabs>
          <w:tab w:val="left" w:pos="2835"/>
        </w:tabs>
      </w:pPr>
      <w:r w:rsidRPr="00A35C95">
        <w:rPr>
          <w:color w:val="000000"/>
        </w:rPr>
        <w:t>Note:</w:t>
      </w:r>
      <w:r w:rsidRPr="00A35C95">
        <w:rPr>
          <w:color w:val="000000"/>
        </w:rPr>
        <w:tab/>
        <w:t>Subregulation (7) will ensure that a provider of financial services may assess a client’s status at any time (for example, the provider may need to ascertain whether a periodic statement must be sent to the client under section 1017D of the Act because the client is a retail client).</w:t>
      </w:r>
    </w:p>
    <w:p w14:paraId="562C926F" w14:textId="77777777" w:rsidR="00E93F58" w:rsidRPr="00A35C95" w:rsidRDefault="00E93F58" w:rsidP="00366AB5">
      <w:pPr>
        <w:pStyle w:val="ActHead5"/>
        <w:tabs>
          <w:tab w:val="left" w:pos="2835"/>
        </w:tabs>
      </w:pPr>
      <w:bookmarkStart w:id="483" w:name="_Toc152057816"/>
      <w:bookmarkStart w:id="484" w:name="_Toc158712039"/>
      <w:r w:rsidRPr="00844D11">
        <w:rPr>
          <w:rStyle w:val="CharSectno"/>
        </w:rPr>
        <w:t>7.1.22</w:t>
      </w:r>
      <w:r w:rsidRPr="00A35C95">
        <w:rPr>
          <w:sz w:val="16"/>
        </w:rPr>
        <w:t xml:space="preserve">  </w:t>
      </w:r>
      <w:r w:rsidRPr="00A35C95">
        <w:t>Retail clients and wholesale clients: value of derivatives</w:t>
      </w:r>
      <w:bookmarkEnd w:id="483"/>
      <w:bookmarkEnd w:id="484"/>
    </w:p>
    <w:p w14:paraId="06FA8425" w14:textId="77777777" w:rsidR="00E93F58" w:rsidRPr="00A35C95" w:rsidRDefault="00E93F58" w:rsidP="00366AB5">
      <w:pPr>
        <w:pStyle w:val="subsection"/>
        <w:tabs>
          <w:tab w:val="left" w:pos="2835"/>
        </w:tabs>
      </w:pPr>
      <w:r w:rsidRPr="00A35C95">
        <w:tab/>
        <w:t>(1)</w:t>
      </w:r>
      <w:r w:rsidRPr="00A35C95">
        <w:tab/>
        <w:t>This regulation makes arrangements about the value of a derivative:</w:t>
      </w:r>
    </w:p>
    <w:p w14:paraId="53AC2E6C" w14:textId="77777777" w:rsidR="00E93F58" w:rsidRPr="00A35C95" w:rsidRDefault="00E93F58" w:rsidP="00366AB5">
      <w:pPr>
        <w:pStyle w:val="paragraph"/>
        <w:tabs>
          <w:tab w:val="left" w:pos="2835"/>
        </w:tabs>
      </w:pPr>
      <w:r w:rsidRPr="00A35C95">
        <w:rPr>
          <w:color w:val="000000"/>
        </w:rPr>
        <w:tab/>
        <w:t>(a)</w:t>
      </w:r>
      <w:r w:rsidRPr="00A35C95">
        <w:rPr>
          <w:color w:val="000000"/>
        </w:rPr>
        <w:tab/>
        <w:t>that is a financial product; and</w:t>
      </w:r>
    </w:p>
    <w:p w14:paraId="0F7DBACE" w14:textId="77777777" w:rsidR="00E93F58" w:rsidRPr="00A35C95" w:rsidRDefault="00E93F58" w:rsidP="00366AB5">
      <w:pPr>
        <w:pStyle w:val="paragraph"/>
        <w:tabs>
          <w:tab w:val="left" w:pos="2835"/>
        </w:tabs>
      </w:pPr>
      <w:r w:rsidRPr="00A35C95">
        <w:tab/>
        <w:t>(b)</w:t>
      </w:r>
      <w:r w:rsidRPr="00A35C95">
        <w:tab/>
        <w:t>to which section 765A of the Act does not apply; and</w:t>
      </w:r>
    </w:p>
    <w:p w14:paraId="657434F2" w14:textId="77777777" w:rsidR="00E93F58" w:rsidRPr="00A35C95" w:rsidRDefault="00E93F58" w:rsidP="00366AB5">
      <w:pPr>
        <w:pStyle w:val="paragraph"/>
        <w:tabs>
          <w:tab w:val="left" w:pos="2835"/>
        </w:tabs>
      </w:pPr>
      <w:r w:rsidRPr="00A35C95">
        <w:lastRenderedPageBreak/>
        <w:tab/>
        <w:t>(c)</w:t>
      </w:r>
      <w:r w:rsidRPr="00A35C95">
        <w:tab/>
        <w:t>to which regulation 7.1.22AA does not apply.</w:t>
      </w:r>
    </w:p>
    <w:p w14:paraId="36200606"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0593F36B" w14:textId="77777777" w:rsidR="00E93F58" w:rsidRPr="00A35C95" w:rsidRDefault="00E93F58" w:rsidP="00366AB5">
      <w:pPr>
        <w:pStyle w:val="notetext"/>
        <w:tabs>
          <w:tab w:val="left" w:pos="2835"/>
        </w:tabs>
      </w:pPr>
      <w:r w:rsidRPr="00A35C95">
        <w:tab/>
        <w:t>Under paragraph 761G(10)(a) of the Act, the regulations may also deal with how a price or value referred to in that paragraph is to be calculated, either generally or in relation to a specified class of financial products.</w:t>
      </w:r>
    </w:p>
    <w:p w14:paraId="17EDFE2E" w14:textId="77777777" w:rsidR="00E93F58" w:rsidRPr="00A35C95" w:rsidRDefault="00E93F58" w:rsidP="00366AB5">
      <w:pPr>
        <w:pStyle w:val="SubsectionHead"/>
        <w:tabs>
          <w:tab w:val="left" w:pos="2835"/>
        </w:tabs>
      </w:pPr>
      <w:r w:rsidRPr="00A35C95">
        <w:t>Value</w:t>
      </w:r>
    </w:p>
    <w:p w14:paraId="203CE7EE" w14:textId="77777777" w:rsidR="00E93F58" w:rsidRPr="00A35C95" w:rsidRDefault="00E93F58" w:rsidP="00366AB5">
      <w:pPr>
        <w:pStyle w:val="subsection"/>
        <w:tabs>
          <w:tab w:val="left" w:pos="2835"/>
        </w:tabs>
      </w:pPr>
      <w:r w:rsidRPr="00A35C95">
        <w:tab/>
        <w:t>(2)</w:t>
      </w:r>
      <w:r w:rsidRPr="00A35C95">
        <w:tab/>
        <w:t>For paragraph 761G(7)(a) of the Act:</w:t>
      </w:r>
    </w:p>
    <w:p w14:paraId="5B9A584C"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the amount applicable in relation to a single derivative is </w:t>
      </w:r>
      <w:r w:rsidRPr="00A35C95">
        <w:t>$500 000; and</w:t>
      </w:r>
    </w:p>
    <w:p w14:paraId="4B3A3659" w14:textId="77777777" w:rsidR="00E93F58" w:rsidRPr="00A35C95" w:rsidRDefault="00E93F58" w:rsidP="00366AB5">
      <w:pPr>
        <w:pStyle w:val="paragraph"/>
        <w:tabs>
          <w:tab w:val="left" w:pos="2835"/>
        </w:tabs>
      </w:pPr>
      <w:r w:rsidRPr="00A35C95">
        <w:tab/>
        <w:t>(b)</w:t>
      </w:r>
      <w:r w:rsidRPr="00A35C95">
        <w:tab/>
        <w:t>if the derivative is included in 2 or more related financial products, the amount applicable in relation to the related financial products is $500 000.</w:t>
      </w:r>
    </w:p>
    <w:p w14:paraId="1343CCE6" w14:textId="77777777" w:rsidR="00E93F58" w:rsidRPr="00A35C95" w:rsidRDefault="00E93F58" w:rsidP="00366AB5">
      <w:pPr>
        <w:pStyle w:val="SubsectionHead"/>
        <w:tabs>
          <w:tab w:val="left" w:pos="2835"/>
        </w:tabs>
      </w:pPr>
      <w:r w:rsidRPr="00A35C95">
        <w:t>Working out value: general rule</w:t>
      </w:r>
    </w:p>
    <w:p w14:paraId="2B1861DB" w14:textId="77777777" w:rsidR="00E93F58" w:rsidRPr="00A35C95" w:rsidRDefault="00E93F58" w:rsidP="00366AB5">
      <w:pPr>
        <w:pStyle w:val="subsection"/>
        <w:tabs>
          <w:tab w:val="left" w:pos="2835"/>
        </w:tabs>
      </w:pPr>
      <w:r w:rsidRPr="00A35C95">
        <w:rPr>
          <w:color w:val="000000"/>
        </w:rPr>
        <w:tab/>
        <w:t>(3)</w:t>
      </w:r>
      <w:r w:rsidRPr="00A35C95">
        <w:rPr>
          <w:color w:val="000000"/>
        </w:rPr>
        <w:tab/>
        <w:t>For paragraph 761G(10)(a) of the Act, the value of a derivative is the face value, or the notional amount in respect of, the financial product (in dollar terms) as at the date on which the relevant arrangement is entered into by the parties.</w:t>
      </w:r>
    </w:p>
    <w:p w14:paraId="616EE147" w14:textId="77777777" w:rsidR="00E93F58" w:rsidRPr="00A35C95" w:rsidRDefault="00E93F58" w:rsidP="00366AB5">
      <w:pPr>
        <w:pStyle w:val="SubsectionHead"/>
        <w:tabs>
          <w:tab w:val="left" w:pos="2835"/>
        </w:tabs>
      </w:pPr>
      <w:r w:rsidRPr="00A35C95">
        <w:t>Time of assessment</w:t>
      </w:r>
    </w:p>
    <w:p w14:paraId="75C54F02" w14:textId="77777777" w:rsidR="00E93F58" w:rsidRPr="00A35C95" w:rsidRDefault="00E93F58" w:rsidP="00366AB5">
      <w:pPr>
        <w:pStyle w:val="subsection"/>
        <w:tabs>
          <w:tab w:val="left" w:pos="2835"/>
        </w:tabs>
      </w:pPr>
      <w:r w:rsidRPr="00A35C95">
        <w:rPr>
          <w:color w:val="000000"/>
        </w:rPr>
        <w:tab/>
        <w:t>(4)</w:t>
      </w:r>
      <w:r w:rsidRPr="00A35C95">
        <w:rPr>
          <w:color w:val="000000"/>
        </w:rPr>
        <w:tab/>
        <w:t>If a financial services provider needs to assess the status of a client as either retail or wholesale at a particular time in order to ensure that the client complies with the Act, or for any related purpose, the value of a financial product may be assessed at any time, whether or not a financial service is being provided at that time in relation to that product.</w:t>
      </w:r>
    </w:p>
    <w:p w14:paraId="2D750759" w14:textId="77777777" w:rsidR="00E93F58" w:rsidRPr="00A35C95" w:rsidRDefault="00E93F58" w:rsidP="00366AB5">
      <w:pPr>
        <w:pStyle w:val="notetext"/>
        <w:tabs>
          <w:tab w:val="left" w:pos="2835"/>
        </w:tabs>
      </w:pPr>
      <w:r w:rsidRPr="00A35C95">
        <w:rPr>
          <w:color w:val="000000"/>
        </w:rPr>
        <w:t>Note:</w:t>
      </w:r>
      <w:r w:rsidRPr="00A35C95">
        <w:rPr>
          <w:color w:val="000000"/>
        </w:rPr>
        <w:tab/>
        <w:t>Subregulation (4) will ensure that a provider of financial services may assess a client’s status at any time (for example, the provider may need to ascertain whether ongoing disclosure of a significant event must be sent to the client under section 1017B of the Act because the client is a retail client).</w:t>
      </w:r>
    </w:p>
    <w:p w14:paraId="7DA7B27A" w14:textId="77777777" w:rsidR="00E93F58" w:rsidRPr="00A35C95" w:rsidRDefault="00E93F58" w:rsidP="00366AB5">
      <w:pPr>
        <w:pStyle w:val="ActHead5"/>
        <w:tabs>
          <w:tab w:val="left" w:pos="2835"/>
        </w:tabs>
      </w:pPr>
      <w:bookmarkStart w:id="485" w:name="_Toc152057817"/>
      <w:bookmarkStart w:id="486" w:name="_Toc158712040"/>
      <w:r w:rsidRPr="00844D11">
        <w:rPr>
          <w:rStyle w:val="CharSectno"/>
        </w:rPr>
        <w:t>7.1.22AA</w:t>
      </w:r>
      <w:r w:rsidRPr="00A35C95">
        <w:rPr>
          <w:szCs w:val="24"/>
        </w:rPr>
        <w:t xml:space="preserve">  </w:t>
      </w:r>
      <w:r w:rsidRPr="00A35C95">
        <w:t>Retail clients and wholesale clients: contract for difference</w:t>
      </w:r>
      <w:bookmarkEnd w:id="485"/>
      <w:bookmarkEnd w:id="486"/>
    </w:p>
    <w:p w14:paraId="2576E7A9" w14:textId="77777777" w:rsidR="00E93F58" w:rsidRPr="00A35C95" w:rsidRDefault="00E93F58" w:rsidP="00366AB5">
      <w:pPr>
        <w:pStyle w:val="subsection"/>
        <w:tabs>
          <w:tab w:val="left" w:pos="2835"/>
        </w:tabs>
      </w:pPr>
      <w:r w:rsidRPr="00A35C95">
        <w:tab/>
        <w:t>(1)</w:t>
      </w:r>
      <w:r w:rsidRPr="00A35C95">
        <w:tab/>
        <w:t>This regulation makes arrangements about the value of a derivative that:</w:t>
      </w:r>
    </w:p>
    <w:p w14:paraId="5DA20341" w14:textId="77777777" w:rsidR="00E93F58" w:rsidRPr="00A35C95" w:rsidRDefault="00E93F58" w:rsidP="00366AB5">
      <w:pPr>
        <w:pStyle w:val="paragraph"/>
        <w:tabs>
          <w:tab w:val="left" w:pos="2835"/>
        </w:tabs>
      </w:pPr>
      <w:r w:rsidRPr="00A35C95">
        <w:tab/>
        <w:t>(a)</w:t>
      </w:r>
      <w:r w:rsidRPr="00A35C95">
        <w:tab/>
        <w:t>is a contract for difference; and</w:t>
      </w:r>
    </w:p>
    <w:p w14:paraId="2B63ABAE" w14:textId="77777777" w:rsidR="00E93F58" w:rsidRPr="00A35C95" w:rsidRDefault="00E93F58" w:rsidP="00366AB5">
      <w:pPr>
        <w:pStyle w:val="paragraph"/>
        <w:tabs>
          <w:tab w:val="left" w:pos="2835"/>
        </w:tabs>
      </w:pPr>
      <w:r w:rsidRPr="00A35C95">
        <w:tab/>
        <w:t>(b)</w:t>
      </w:r>
      <w:r w:rsidRPr="00A35C95">
        <w:tab/>
        <w:t>is provided by a person who carries on a business of issuing contracts for difference to other persons (</w:t>
      </w:r>
      <w:r w:rsidRPr="00A35C95">
        <w:rPr>
          <w:b/>
          <w:i/>
        </w:rPr>
        <w:t>holders</w:t>
      </w:r>
      <w:r w:rsidRPr="00A35C95">
        <w:t>).</w:t>
      </w:r>
    </w:p>
    <w:p w14:paraId="29BE0E99" w14:textId="77777777" w:rsidR="00E93F58" w:rsidRPr="00A35C95" w:rsidRDefault="00E93F58" w:rsidP="00366AB5">
      <w:pPr>
        <w:pStyle w:val="subsection"/>
        <w:tabs>
          <w:tab w:val="left" w:pos="2835"/>
        </w:tabs>
      </w:pPr>
      <w:r w:rsidRPr="00A35C95">
        <w:tab/>
        <w:t>(2)</w:t>
      </w:r>
      <w:r w:rsidRPr="00A35C95">
        <w:tab/>
        <w:t>Paragraph 761G(7)(a) of the Act does not apply to the derivative.</w:t>
      </w:r>
    </w:p>
    <w:p w14:paraId="7B42DBFE" w14:textId="77777777" w:rsidR="00E93F58" w:rsidRPr="00A35C95" w:rsidRDefault="00E93F58" w:rsidP="00366AB5">
      <w:pPr>
        <w:pStyle w:val="subsection"/>
        <w:tabs>
          <w:tab w:val="left" w:pos="2835"/>
        </w:tabs>
      </w:pPr>
      <w:r w:rsidRPr="00A35C95">
        <w:tab/>
        <w:t>(3)</w:t>
      </w:r>
      <w:r w:rsidRPr="00A35C95">
        <w:tab/>
        <w:t>In this regulation:</w:t>
      </w:r>
    </w:p>
    <w:p w14:paraId="4EFEAC5D" w14:textId="77777777" w:rsidR="00E93F58" w:rsidRPr="00A35C95" w:rsidRDefault="00E93F58" w:rsidP="00366AB5">
      <w:pPr>
        <w:pStyle w:val="Definition"/>
        <w:tabs>
          <w:tab w:val="left" w:pos="2835"/>
        </w:tabs>
      </w:pPr>
      <w:r w:rsidRPr="00A35C95">
        <w:rPr>
          <w:b/>
          <w:i/>
        </w:rPr>
        <w:t>contract for difference</w:t>
      </w:r>
      <w:r w:rsidRPr="00A35C95">
        <w:t xml:space="preserve"> means a derivative to which all of the following apply:</w:t>
      </w:r>
    </w:p>
    <w:p w14:paraId="1B2746D3" w14:textId="77777777" w:rsidR="00E93F58" w:rsidRPr="00A35C95" w:rsidRDefault="00E93F58" w:rsidP="00366AB5">
      <w:pPr>
        <w:pStyle w:val="paragraph"/>
        <w:tabs>
          <w:tab w:val="left" w:pos="2835"/>
        </w:tabs>
      </w:pPr>
      <w:r w:rsidRPr="00A35C95">
        <w:tab/>
        <w:t>(a)</w:t>
      </w:r>
      <w:r w:rsidRPr="00A35C95">
        <w:tab/>
        <w:t>the value of the derivative, or the amount of consideration to be provided under the derivative, is ultimately determined, derived from or varies by reference to (wholly or in part) the change, between the acquisition and termination of the derivative, in the amount or value of an underlying specified under the terms of the derivative;</w:t>
      </w:r>
    </w:p>
    <w:p w14:paraId="4CD4DABA" w14:textId="77777777" w:rsidR="00E93F58" w:rsidRPr="00A35C95" w:rsidRDefault="00E93F58" w:rsidP="00366AB5">
      <w:pPr>
        <w:pStyle w:val="noteToPara"/>
        <w:tabs>
          <w:tab w:val="left" w:pos="2835"/>
        </w:tabs>
      </w:pPr>
      <w:r w:rsidRPr="00A35C95">
        <w:t>Note 1:</w:t>
      </w:r>
      <w:r w:rsidRPr="00A35C95">
        <w:tab/>
        <w:t>For example, a derivative under which, at termination, the amount of consideration payable depends (wholly or in part) on the change in the level of a stock market index over the term of the derivative.</w:t>
      </w:r>
    </w:p>
    <w:p w14:paraId="1CD7F5C0" w14:textId="77777777" w:rsidR="00E93F58" w:rsidRPr="00A35C95" w:rsidRDefault="00E93F58" w:rsidP="00366AB5">
      <w:pPr>
        <w:pStyle w:val="noteToPara"/>
        <w:tabs>
          <w:tab w:val="left" w:pos="2835"/>
        </w:tabs>
      </w:pPr>
      <w:r w:rsidRPr="00A35C95">
        <w:t>Note 2:</w:t>
      </w:r>
      <w:r w:rsidRPr="00A35C95">
        <w:tab/>
        <w:t>There may be other factors that affect the value of the derivative. For example, fees and costs.</w:t>
      </w:r>
    </w:p>
    <w:p w14:paraId="23FB9AF9" w14:textId="77777777" w:rsidR="00E93F58" w:rsidRPr="00A35C95" w:rsidRDefault="00E93F58" w:rsidP="00366AB5">
      <w:pPr>
        <w:pStyle w:val="paragraph"/>
        <w:tabs>
          <w:tab w:val="left" w:pos="2835"/>
        </w:tabs>
      </w:pPr>
      <w:r w:rsidRPr="00A35C95">
        <w:tab/>
        <w:t>(b)</w:t>
      </w:r>
      <w:r w:rsidRPr="00A35C95">
        <w:tab/>
        <w:t>the derivative is not able to be traded on a licensed market;</w:t>
      </w:r>
    </w:p>
    <w:p w14:paraId="0674FC3B" w14:textId="77777777" w:rsidR="00E93F58" w:rsidRPr="00A35C95" w:rsidRDefault="00E93F58" w:rsidP="00366AB5">
      <w:pPr>
        <w:pStyle w:val="paragraph"/>
        <w:tabs>
          <w:tab w:val="left" w:pos="2835"/>
        </w:tabs>
      </w:pPr>
      <w:r w:rsidRPr="00A35C95">
        <w:tab/>
        <w:t>(c)</w:t>
      </w:r>
      <w:r w:rsidRPr="00A35C95">
        <w:tab/>
        <w:t>the derivative:</w:t>
      </w:r>
    </w:p>
    <w:p w14:paraId="50FD18A2" w14:textId="77777777" w:rsidR="00E93F58" w:rsidRPr="00A35C95" w:rsidRDefault="00E93F58" w:rsidP="00366AB5">
      <w:pPr>
        <w:pStyle w:val="paragraphsub"/>
        <w:tabs>
          <w:tab w:val="left" w:pos="2835"/>
        </w:tabs>
      </w:pPr>
      <w:r w:rsidRPr="00A35C95">
        <w:tab/>
        <w:t>(i)</w:t>
      </w:r>
      <w:r w:rsidRPr="00A35C95">
        <w:tab/>
        <w:t>does not terminate on a fixed date; or</w:t>
      </w:r>
    </w:p>
    <w:p w14:paraId="18A6D758" w14:textId="77777777" w:rsidR="00E93F58" w:rsidRPr="00A35C95" w:rsidRDefault="00E93F58" w:rsidP="00366AB5">
      <w:pPr>
        <w:pStyle w:val="paragraphsub"/>
        <w:tabs>
          <w:tab w:val="left" w:pos="2835"/>
        </w:tabs>
      </w:pPr>
      <w:r w:rsidRPr="00A35C95">
        <w:tab/>
        <w:t>(ii)</w:t>
      </w:r>
      <w:r w:rsidRPr="00A35C95">
        <w:tab/>
        <w:t>if the derivative terminates on a fixed date—it is a derivative of a kind that are typically terminated before the fixed date;</w:t>
      </w:r>
    </w:p>
    <w:p w14:paraId="53A0124D" w14:textId="77777777" w:rsidR="00E93F58" w:rsidRPr="00A35C95" w:rsidRDefault="00E93F58" w:rsidP="00366AB5">
      <w:pPr>
        <w:pStyle w:val="noteToPara"/>
        <w:tabs>
          <w:tab w:val="left" w:pos="2835"/>
        </w:tabs>
      </w:pPr>
      <w:r w:rsidRPr="00A35C95">
        <w:t>Note 1:</w:t>
      </w:r>
      <w:r w:rsidRPr="00A35C95">
        <w:tab/>
        <w:t>For example, the derivative may have a fixed termination date if the underlying has a fixed termination date.</w:t>
      </w:r>
    </w:p>
    <w:p w14:paraId="3EEAEAD1" w14:textId="77777777" w:rsidR="00E93F58" w:rsidRPr="00A35C95" w:rsidRDefault="00E93F58" w:rsidP="00366AB5">
      <w:pPr>
        <w:pStyle w:val="noteToPara"/>
        <w:tabs>
          <w:tab w:val="left" w:pos="2835"/>
        </w:tabs>
      </w:pPr>
      <w:r w:rsidRPr="00A35C95">
        <w:t>Note 2:</w:t>
      </w:r>
      <w:r w:rsidRPr="00A35C95">
        <w:tab/>
        <w:t>This means that options, futures, swaps and forward rate agreements will generally not be contracts for difference.</w:t>
      </w:r>
    </w:p>
    <w:p w14:paraId="553F1B68" w14:textId="77777777" w:rsidR="00E93F58" w:rsidRPr="00A35C95" w:rsidRDefault="00E93F58" w:rsidP="00366AB5">
      <w:pPr>
        <w:pStyle w:val="paragraph"/>
        <w:tabs>
          <w:tab w:val="left" w:pos="2835"/>
        </w:tabs>
      </w:pPr>
      <w:r w:rsidRPr="00A35C95">
        <w:tab/>
        <w:t>(d)</w:t>
      </w:r>
      <w:r w:rsidRPr="00A35C95">
        <w:tab/>
        <w:t>the holder has the right to terminate the derivative;</w:t>
      </w:r>
    </w:p>
    <w:p w14:paraId="710B498F" w14:textId="77777777" w:rsidR="00E93F58" w:rsidRPr="00A35C95" w:rsidRDefault="00E93F58" w:rsidP="00366AB5">
      <w:pPr>
        <w:pStyle w:val="noteToPara"/>
        <w:tabs>
          <w:tab w:val="left" w:pos="2835"/>
        </w:tabs>
      </w:pPr>
      <w:r w:rsidRPr="00A35C95">
        <w:t>Note:</w:t>
      </w:r>
      <w:r w:rsidRPr="00A35C95">
        <w:tab/>
        <w:t>The terms of the derivative may provide for its termination in other circumstances. For example, on the occurrence of an event of default or on the issuer (other than the holder) exercising a right to terminate the derivative.</w:t>
      </w:r>
    </w:p>
    <w:p w14:paraId="5911D88D" w14:textId="77777777" w:rsidR="00E93F58" w:rsidRPr="00A35C95" w:rsidRDefault="00E93F58" w:rsidP="00366AB5">
      <w:pPr>
        <w:pStyle w:val="paragraph"/>
        <w:tabs>
          <w:tab w:val="left" w:pos="2835"/>
        </w:tabs>
      </w:pPr>
      <w:r w:rsidRPr="00A35C95">
        <w:lastRenderedPageBreak/>
        <w:tab/>
        <w:t>(e)</w:t>
      </w:r>
      <w:r w:rsidRPr="00A35C95">
        <w:tab/>
        <w:t>on termination, the obligations of the parties are settled in cash or by set</w:t>
      </w:r>
      <w:r>
        <w:noBreakHyphen/>
      </w:r>
      <w:r w:rsidRPr="00A35C95">
        <w:t>off between the parties.</w:t>
      </w:r>
    </w:p>
    <w:p w14:paraId="1CAD7EC1" w14:textId="77777777" w:rsidR="00E93F58" w:rsidRPr="00A35C95" w:rsidRDefault="00E93F58" w:rsidP="00366AB5">
      <w:pPr>
        <w:pStyle w:val="Definition"/>
        <w:tabs>
          <w:tab w:val="left" w:pos="2835"/>
        </w:tabs>
      </w:pPr>
      <w:r w:rsidRPr="00A35C95">
        <w:rPr>
          <w:b/>
          <w:i/>
        </w:rPr>
        <w:t>terminate</w:t>
      </w:r>
      <w:r w:rsidRPr="00A35C95">
        <w:t>, in relation to a derivative, includes the derivative being closed out.</w:t>
      </w:r>
    </w:p>
    <w:p w14:paraId="46E46A4F" w14:textId="77777777" w:rsidR="00E93F58" w:rsidRPr="00A35C95" w:rsidRDefault="00E93F58" w:rsidP="00366AB5">
      <w:pPr>
        <w:pStyle w:val="Definition"/>
        <w:tabs>
          <w:tab w:val="left" w:pos="2835"/>
        </w:tabs>
      </w:pPr>
      <w:r w:rsidRPr="00A35C95">
        <w:rPr>
          <w:b/>
          <w:i/>
        </w:rPr>
        <w:t>underlying</w:t>
      </w:r>
      <w:r w:rsidRPr="00A35C95">
        <w:t>, in relation to a derivative, means any thing (of any nature whatsoever and whether or not deliverable) other than the derivative, including, for example, one or more of the following:</w:t>
      </w:r>
    </w:p>
    <w:p w14:paraId="43CF3B61" w14:textId="77777777" w:rsidR="00E93F58" w:rsidRPr="00A35C95" w:rsidRDefault="00E93F58" w:rsidP="00366AB5">
      <w:pPr>
        <w:pStyle w:val="paragraph"/>
        <w:tabs>
          <w:tab w:val="left" w:pos="2835"/>
        </w:tabs>
      </w:pPr>
      <w:r w:rsidRPr="00A35C95">
        <w:tab/>
        <w:t>(a)</w:t>
      </w:r>
      <w:r w:rsidRPr="00A35C95">
        <w:tab/>
        <w:t>an asset;</w:t>
      </w:r>
    </w:p>
    <w:p w14:paraId="0025DA8C" w14:textId="77777777" w:rsidR="00E93F58" w:rsidRPr="00A35C95" w:rsidRDefault="00E93F58" w:rsidP="00366AB5">
      <w:pPr>
        <w:pStyle w:val="paragraph"/>
        <w:tabs>
          <w:tab w:val="left" w:pos="2835"/>
        </w:tabs>
      </w:pPr>
      <w:r w:rsidRPr="00A35C95">
        <w:tab/>
        <w:t>(b)</w:t>
      </w:r>
      <w:r w:rsidRPr="00A35C95">
        <w:tab/>
        <w:t>a rate (including an interest rate or exchange rate);</w:t>
      </w:r>
    </w:p>
    <w:p w14:paraId="473DEC53" w14:textId="77777777" w:rsidR="00E93F58" w:rsidRPr="00A35C95" w:rsidRDefault="00E93F58" w:rsidP="00366AB5">
      <w:pPr>
        <w:pStyle w:val="paragraph"/>
        <w:tabs>
          <w:tab w:val="left" w:pos="2835"/>
        </w:tabs>
      </w:pPr>
      <w:r w:rsidRPr="00A35C95">
        <w:tab/>
        <w:t>(c)</w:t>
      </w:r>
      <w:r w:rsidRPr="00A35C95">
        <w:tab/>
        <w:t>an index;</w:t>
      </w:r>
    </w:p>
    <w:p w14:paraId="2DA0003A" w14:textId="77777777" w:rsidR="00E93F58" w:rsidRPr="00A35C95" w:rsidRDefault="00E93F58" w:rsidP="00366AB5">
      <w:pPr>
        <w:pStyle w:val="paragraph"/>
        <w:tabs>
          <w:tab w:val="left" w:pos="2835"/>
        </w:tabs>
      </w:pPr>
      <w:r w:rsidRPr="00A35C95">
        <w:tab/>
        <w:t>(d)</w:t>
      </w:r>
      <w:r w:rsidRPr="00A35C95">
        <w:tab/>
        <w:t>a commodity.</w:t>
      </w:r>
    </w:p>
    <w:p w14:paraId="6E356B49" w14:textId="77777777" w:rsidR="00E93F58" w:rsidRPr="00A35C95" w:rsidRDefault="00E93F58" w:rsidP="00366AB5">
      <w:pPr>
        <w:pStyle w:val="ActHead5"/>
        <w:tabs>
          <w:tab w:val="left" w:pos="2835"/>
        </w:tabs>
      </w:pPr>
      <w:bookmarkStart w:id="487" w:name="_Toc152057818"/>
      <w:bookmarkStart w:id="488" w:name="_Toc158712041"/>
      <w:r w:rsidRPr="00844D11">
        <w:rPr>
          <w:rStyle w:val="CharSectno"/>
        </w:rPr>
        <w:t>7.1.22A</w:t>
      </w:r>
      <w:r w:rsidRPr="00A35C95">
        <w:t xml:space="preserve">  Retail clients and wholesale clients: value of foreign exchange contracts</w:t>
      </w:r>
      <w:bookmarkEnd w:id="487"/>
      <w:bookmarkEnd w:id="488"/>
    </w:p>
    <w:p w14:paraId="1261D4E5" w14:textId="77777777" w:rsidR="00E93F58" w:rsidRPr="00A35C95" w:rsidRDefault="00E93F58" w:rsidP="00366AB5">
      <w:pPr>
        <w:pStyle w:val="subsection"/>
        <w:tabs>
          <w:tab w:val="left" w:pos="2835"/>
        </w:tabs>
      </w:pPr>
      <w:r w:rsidRPr="00A35C95">
        <w:tab/>
        <w:t>(1)</w:t>
      </w:r>
      <w:r w:rsidRPr="00A35C95">
        <w:tab/>
        <w:t>This regulation makes arrangements about the value of a foreign exchange contract that is not a derivative.</w:t>
      </w:r>
    </w:p>
    <w:p w14:paraId="4E3114F4" w14:textId="77777777" w:rsidR="00E93F58" w:rsidRPr="00A35C95" w:rsidRDefault="00E93F58" w:rsidP="00366AB5">
      <w:pPr>
        <w:pStyle w:val="SubsectionHead"/>
        <w:tabs>
          <w:tab w:val="left" w:pos="2835"/>
        </w:tabs>
      </w:pPr>
      <w:r w:rsidRPr="00A35C95">
        <w:t>Value</w:t>
      </w:r>
    </w:p>
    <w:p w14:paraId="4BFDC495" w14:textId="77777777" w:rsidR="00E93F58" w:rsidRPr="00A35C95" w:rsidRDefault="00E93F58" w:rsidP="00366AB5">
      <w:pPr>
        <w:pStyle w:val="subsection"/>
        <w:tabs>
          <w:tab w:val="left" w:pos="2835"/>
        </w:tabs>
      </w:pPr>
      <w:r w:rsidRPr="00A35C95">
        <w:tab/>
        <w:t>(2)</w:t>
      </w:r>
      <w:r w:rsidRPr="00A35C95">
        <w:tab/>
        <w:t>For paragraph 761G(7)(a) of the Act, the amount applicable to a foreign exchange contract is $500 000.</w:t>
      </w:r>
    </w:p>
    <w:p w14:paraId="616B7034" w14:textId="77777777" w:rsidR="00E93F58" w:rsidRPr="00A35C95" w:rsidRDefault="00E93F58" w:rsidP="00366AB5">
      <w:pPr>
        <w:pStyle w:val="SubsectionHead"/>
        <w:tabs>
          <w:tab w:val="left" w:pos="2835"/>
        </w:tabs>
      </w:pPr>
      <w:r w:rsidRPr="00A35C95">
        <w:t>Working out value: general rule</w:t>
      </w:r>
    </w:p>
    <w:p w14:paraId="71BC6031" w14:textId="77777777" w:rsidR="00E93F58" w:rsidRPr="00A35C95" w:rsidRDefault="00E93F58" w:rsidP="00366AB5">
      <w:pPr>
        <w:pStyle w:val="subsection"/>
        <w:tabs>
          <w:tab w:val="left" w:pos="2835"/>
        </w:tabs>
      </w:pPr>
      <w:r w:rsidRPr="00A35C95">
        <w:tab/>
        <w:t>(3)</w:t>
      </w:r>
      <w:r w:rsidRPr="00A35C95">
        <w:tab/>
        <w:t>For paragraph 761G(10)(a) of the Act, the value of a foreign exchange contract is the amount paid or payable under the foreign exchange contract.</w:t>
      </w:r>
    </w:p>
    <w:p w14:paraId="62C327D1" w14:textId="77777777" w:rsidR="00E93F58" w:rsidRPr="00A35C95" w:rsidRDefault="00E93F58" w:rsidP="00366AB5">
      <w:pPr>
        <w:pStyle w:val="ActHead5"/>
        <w:tabs>
          <w:tab w:val="left" w:pos="2835"/>
        </w:tabs>
      </w:pPr>
      <w:bookmarkStart w:id="489" w:name="_Toc152057819"/>
      <w:bookmarkStart w:id="490" w:name="_Toc158712042"/>
      <w:r w:rsidRPr="00844D11">
        <w:rPr>
          <w:rStyle w:val="CharSectno"/>
        </w:rPr>
        <w:t>7.1.23</w:t>
      </w:r>
      <w:r w:rsidRPr="00A35C95">
        <w:rPr>
          <w:sz w:val="16"/>
        </w:rPr>
        <w:t xml:space="preserve">  </w:t>
      </w:r>
      <w:r w:rsidRPr="00A35C95">
        <w:t>Retail clients and wholesale clients: price of non</w:t>
      </w:r>
      <w:r>
        <w:noBreakHyphen/>
      </w:r>
      <w:r w:rsidRPr="00A35C95">
        <w:t>cash payment financial products</w:t>
      </w:r>
      <w:bookmarkEnd w:id="489"/>
      <w:bookmarkEnd w:id="490"/>
    </w:p>
    <w:p w14:paraId="73DB6C0B"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makes arrangements about the price for the provision of a non</w:t>
      </w:r>
      <w:r>
        <w:rPr>
          <w:color w:val="000000"/>
        </w:rPr>
        <w:noBreakHyphen/>
      </w:r>
      <w:r w:rsidRPr="00A35C95">
        <w:rPr>
          <w:color w:val="000000"/>
        </w:rPr>
        <w:t>cash payment financial product.</w:t>
      </w:r>
    </w:p>
    <w:p w14:paraId="43CCCA26"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2273D9DD" w14:textId="77777777" w:rsidR="00E93F58" w:rsidRPr="00A35C95" w:rsidRDefault="00E93F58" w:rsidP="00366AB5">
      <w:pPr>
        <w:pStyle w:val="notetext"/>
        <w:tabs>
          <w:tab w:val="left" w:pos="2835"/>
        </w:tabs>
      </w:pPr>
      <w:r w:rsidRPr="00A35C95">
        <w:tab/>
        <w:t>In general, the ‘price’ of a product will be the amount that is paid to acquire or be issued with the financial product. The test for the price of the product in paragraph 761G(7)(a) of the Act will be determined at or before the time the client acquires, or is issued with, the financial product. If a client pays over $500 000 to acquire or be issued with the financial product, the client will be a wholesale client in respect of the product.</w:t>
      </w:r>
    </w:p>
    <w:p w14:paraId="5179C6C1" w14:textId="77777777" w:rsidR="00E93F58" w:rsidRPr="00A35C95" w:rsidRDefault="00E93F58" w:rsidP="00366AB5">
      <w:pPr>
        <w:pStyle w:val="SubsectionHead"/>
        <w:tabs>
          <w:tab w:val="left" w:pos="2835"/>
        </w:tabs>
      </w:pPr>
      <w:r w:rsidRPr="00A35C95">
        <w:t>Price</w:t>
      </w:r>
    </w:p>
    <w:p w14:paraId="47CAC14A"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761G(7)(a) of the Act, the amount applicable in relation to a non</w:t>
      </w:r>
      <w:r>
        <w:rPr>
          <w:color w:val="000000"/>
        </w:rPr>
        <w:noBreakHyphen/>
      </w:r>
      <w:r w:rsidRPr="00A35C95">
        <w:rPr>
          <w:color w:val="000000"/>
        </w:rPr>
        <w:t>cash payment financial product is $500 000.</w:t>
      </w:r>
    </w:p>
    <w:p w14:paraId="4866124B" w14:textId="77777777" w:rsidR="00E93F58" w:rsidRPr="00A35C95" w:rsidRDefault="00E93F58" w:rsidP="00366AB5">
      <w:pPr>
        <w:pStyle w:val="SubsectionHead"/>
        <w:tabs>
          <w:tab w:val="left" w:pos="2835"/>
        </w:tabs>
      </w:pPr>
      <w:r w:rsidRPr="00A35C95">
        <w:t>Working out price: general rule</w:t>
      </w:r>
    </w:p>
    <w:p w14:paraId="0ED89BFE" w14:textId="77777777" w:rsidR="00E93F58" w:rsidRPr="00A35C95" w:rsidRDefault="00E93F58" w:rsidP="00366AB5">
      <w:pPr>
        <w:pStyle w:val="subsection"/>
        <w:tabs>
          <w:tab w:val="left" w:pos="2835"/>
        </w:tabs>
      </w:pPr>
      <w:r w:rsidRPr="00A35C95">
        <w:tab/>
        <w:t>(3)</w:t>
      </w:r>
      <w:r w:rsidRPr="00A35C95">
        <w:tab/>
        <w:t>The price of a non</w:t>
      </w:r>
      <w:r>
        <w:noBreakHyphen/>
      </w:r>
      <w:r w:rsidRPr="00A35C95">
        <w:t>cash payment financial product:</w:t>
      </w:r>
    </w:p>
    <w:p w14:paraId="26E52376" w14:textId="77777777" w:rsidR="00E93F58" w:rsidRPr="00A35C95" w:rsidRDefault="00E93F58" w:rsidP="00366AB5">
      <w:pPr>
        <w:pStyle w:val="paragraph"/>
        <w:tabs>
          <w:tab w:val="left" w:pos="2835"/>
        </w:tabs>
      </w:pPr>
      <w:r w:rsidRPr="00A35C95">
        <w:rPr>
          <w:color w:val="000000"/>
        </w:rPr>
        <w:tab/>
        <w:t>(a)</w:t>
      </w:r>
      <w:r w:rsidRPr="00A35C95">
        <w:rPr>
          <w:color w:val="000000"/>
        </w:rPr>
        <w:tab/>
        <w:t>is the amount that is paid or payable to acquire or purchase the non</w:t>
      </w:r>
      <w:r>
        <w:rPr>
          <w:color w:val="000000"/>
        </w:rPr>
        <w:noBreakHyphen/>
      </w:r>
      <w:r w:rsidRPr="00A35C95">
        <w:rPr>
          <w:color w:val="000000"/>
        </w:rPr>
        <w:t>cash payment financial product; and</w:t>
      </w:r>
    </w:p>
    <w:p w14:paraId="3F8E2495" w14:textId="77777777" w:rsidR="00E93F58" w:rsidRPr="00A35C95" w:rsidRDefault="00E93F58" w:rsidP="00366AB5">
      <w:pPr>
        <w:pStyle w:val="paragraph"/>
        <w:tabs>
          <w:tab w:val="left" w:pos="2835"/>
        </w:tabs>
      </w:pPr>
      <w:r w:rsidRPr="00A35C95">
        <w:tab/>
        <w:t>(b)</w:t>
      </w:r>
      <w:r w:rsidRPr="00A35C95">
        <w:tab/>
        <w:t>does not include any amount paid for or in respect of the non</w:t>
      </w:r>
      <w:r>
        <w:noBreakHyphen/>
      </w:r>
      <w:r w:rsidRPr="00A35C95">
        <w:t>cash payment financial product following its issue or acquisition unless the issue or acquisition would not have taken place without an arrangement to pay the amount.</w:t>
      </w:r>
    </w:p>
    <w:p w14:paraId="4B1E433E" w14:textId="77777777" w:rsidR="00E93F58" w:rsidRPr="00A35C95" w:rsidRDefault="00E93F58" w:rsidP="00366AB5">
      <w:pPr>
        <w:pStyle w:val="notetext"/>
        <w:tabs>
          <w:tab w:val="left" w:pos="2835"/>
        </w:tabs>
      </w:pPr>
      <w:r w:rsidRPr="00A35C95">
        <w:rPr>
          <w:color w:val="000000"/>
        </w:rPr>
        <w:t>Note:</w:t>
      </w:r>
      <w:r w:rsidRPr="00A35C95">
        <w:rPr>
          <w:color w:val="000000"/>
        </w:rPr>
        <w:tab/>
        <w:t>Additional amounts paid into a smart card or cheque account after its issue will not generally be regarded as part of the ‘price’ paid to acquire or purchase the financial product.</w:t>
      </w:r>
    </w:p>
    <w:p w14:paraId="63067691" w14:textId="77777777" w:rsidR="00E93F58" w:rsidRPr="00A35C95" w:rsidRDefault="00E93F58" w:rsidP="00366AB5">
      <w:pPr>
        <w:pStyle w:val="subsection"/>
        <w:tabs>
          <w:tab w:val="left" w:pos="2835"/>
        </w:tabs>
      </w:pPr>
      <w:r w:rsidRPr="00A35C95">
        <w:tab/>
        <w:t>(4)</w:t>
      </w:r>
      <w:r w:rsidRPr="00A35C95">
        <w:tab/>
        <w:t>For subregulation (3), in calculating any amount payable or paid to acquire or purchase the non</w:t>
      </w:r>
      <w:r>
        <w:noBreakHyphen/>
      </w:r>
      <w:r w:rsidRPr="00A35C95">
        <w:t>cash payment financial product:</w:t>
      </w:r>
    </w:p>
    <w:p w14:paraId="09FF78BD" w14:textId="77777777" w:rsidR="00E93F58" w:rsidRPr="00A35C95" w:rsidRDefault="00E93F58" w:rsidP="00366AB5">
      <w:pPr>
        <w:pStyle w:val="paragraph"/>
        <w:tabs>
          <w:tab w:val="left" w:pos="2835"/>
        </w:tabs>
      </w:pPr>
      <w:r w:rsidRPr="00A35C95">
        <w:tab/>
        <w:t>(a)</w:t>
      </w:r>
      <w:r w:rsidRPr="00A35C95">
        <w:tab/>
        <w:t>include any amount paid or payable to cover:</w:t>
      </w:r>
    </w:p>
    <w:p w14:paraId="28C798E5" w14:textId="77777777" w:rsidR="00E93F58" w:rsidRPr="00A35C95" w:rsidRDefault="00E93F58" w:rsidP="00366AB5">
      <w:pPr>
        <w:pStyle w:val="paragraphsub"/>
        <w:tabs>
          <w:tab w:val="left" w:pos="2835"/>
        </w:tabs>
      </w:pPr>
      <w:r w:rsidRPr="00A35C95">
        <w:rPr>
          <w:color w:val="000000"/>
        </w:rPr>
        <w:tab/>
        <w:t>(i)</w:t>
      </w:r>
      <w:r w:rsidRPr="00A35C95">
        <w:rPr>
          <w:color w:val="000000"/>
        </w:rPr>
        <w:tab/>
        <w:t>fees or charges that are paid to the issuer or any other person that relates to the issue of the non</w:t>
      </w:r>
      <w:r>
        <w:rPr>
          <w:color w:val="000000"/>
        </w:rPr>
        <w:noBreakHyphen/>
      </w:r>
      <w:r w:rsidRPr="00A35C95">
        <w:rPr>
          <w:color w:val="000000"/>
        </w:rPr>
        <w:t>cash payment financial product; and</w:t>
      </w:r>
    </w:p>
    <w:p w14:paraId="0C413F71" w14:textId="77777777" w:rsidR="00E93F58" w:rsidRPr="00A35C95" w:rsidRDefault="00E93F58" w:rsidP="00366AB5">
      <w:pPr>
        <w:pStyle w:val="paragraphsub"/>
        <w:tabs>
          <w:tab w:val="left" w:pos="2835"/>
        </w:tabs>
      </w:pPr>
      <w:r w:rsidRPr="00A35C95">
        <w:tab/>
        <w:t>(ii)</w:t>
      </w:r>
      <w:r w:rsidRPr="00A35C95">
        <w:tab/>
        <w:t>fees or charges that are paid to the issuer or any other person that relates to the issue of the non</w:t>
      </w:r>
      <w:r>
        <w:noBreakHyphen/>
      </w:r>
      <w:r w:rsidRPr="00A35C95">
        <w:t>cash payment financial product; and</w:t>
      </w:r>
    </w:p>
    <w:p w14:paraId="3E2B9902" w14:textId="77777777" w:rsidR="00E93F58" w:rsidRPr="00A35C95" w:rsidRDefault="00E93F58" w:rsidP="00366AB5">
      <w:pPr>
        <w:pStyle w:val="paragraph"/>
        <w:tabs>
          <w:tab w:val="left" w:pos="2835"/>
        </w:tabs>
      </w:pPr>
      <w:r w:rsidRPr="00A35C95">
        <w:tab/>
        <w:t>(b)</w:t>
      </w:r>
      <w:r w:rsidRPr="00A35C95">
        <w:tab/>
        <w:t>despite paragraph (a), disregard any amount of remuneration or other benefits paid or payable to a person for the provision of financial product advice or other related services provided directly to:</w:t>
      </w:r>
    </w:p>
    <w:p w14:paraId="2999BC17" w14:textId="77777777" w:rsidR="00E93F58" w:rsidRPr="00A35C95" w:rsidRDefault="00E93F58" w:rsidP="00366AB5">
      <w:pPr>
        <w:pStyle w:val="paragraphsub"/>
        <w:tabs>
          <w:tab w:val="left" w:pos="2835"/>
        </w:tabs>
      </w:pPr>
      <w:r w:rsidRPr="00A35C95">
        <w:rPr>
          <w:color w:val="000000"/>
        </w:rPr>
        <w:lastRenderedPageBreak/>
        <w:tab/>
        <w:t>(i)</w:t>
      </w:r>
      <w:r w:rsidRPr="00A35C95">
        <w:rPr>
          <w:color w:val="000000"/>
        </w:rPr>
        <w:tab/>
        <w:t>the client; or</w:t>
      </w:r>
    </w:p>
    <w:p w14:paraId="09D19A72" w14:textId="77777777" w:rsidR="00E93F58" w:rsidRPr="00A35C95" w:rsidRDefault="00E93F58" w:rsidP="00366AB5">
      <w:pPr>
        <w:pStyle w:val="paragraphsub"/>
        <w:tabs>
          <w:tab w:val="left" w:pos="2835"/>
        </w:tabs>
      </w:pPr>
      <w:r w:rsidRPr="00A35C95">
        <w:tab/>
        <w:t>(ii)</w:t>
      </w:r>
      <w:r w:rsidRPr="00A35C95">
        <w:tab/>
        <w:t>another person acting on behalf of the client.</w:t>
      </w:r>
    </w:p>
    <w:p w14:paraId="491EC3F5" w14:textId="77777777" w:rsidR="00E93F58" w:rsidRPr="00A35C95" w:rsidRDefault="00E93F58" w:rsidP="00366AB5">
      <w:pPr>
        <w:pStyle w:val="ActHead5"/>
        <w:tabs>
          <w:tab w:val="left" w:pos="2835"/>
        </w:tabs>
      </w:pPr>
      <w:bookmarkStart w:id="491" w:name="_Toc152057820"/>
      <w:bookmarkStart w:id="492" w:name="_Toc158712043"/>
      <w:r w:rsidRPr="00844D11">
        <w:rPr>
          <w:rStyle w:val="CharSectno"/>
        </w:rPr>
        <w:t>7.1.24</w:t>
      </w:r>
      <w:r w:rsidRPr="00A35C95">
        <w:rPr>
          <w:sz w:val="16"/>
        </w:rPr>
        <w:t xml:space="preserve">  </w:t>
      </w:r>
      <w:r w:rsidRPr="00A35C95">
        <w:t>Retail clients and wholesale clients: value of non</w:t>
      </w:r>
      <w:r>
        <w:noBreakHyphen/>
      </w:r>
      <w:r w:rsidRPr="00A35C95">
        <w:t>cash payment products</w:t>
      </w:r>
      <w:bookmarkEnd w:id="491"/>
      <w:bookmarkEnd w:id="492"/>
    </w:p>
    <w:p w14:paraId="3C505EDA"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makes arrangements about the value of a non</w:t>
      </w:r>
      <w:r>
        <w:rPr>
          <w:color w:val="000000"/>
        </w:rPr>
        <w:noBreakHyphen/>
      </w:r>
      <w:r w:rsidRPr="00A35C95">
        <w:rPr>
          <w:color w:val="000000"/>
        </w:rPr>
        <w:t>cash payment financial product to which a financial service relates.</w:t>
      </w:r>
    </w:p>
    <w:p w14:paraId="7253AAA8"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0EC6EA97" w14:textId="77777777" w:rsidR="00E93F58" w:rsidRPr="00A35C95" w:rsidRDefault="00E93F58" w:rsidP="00366AB5">
      <w:pPr>
        <w:pStyle w:val="notetext"/>
        <w:tabs>
          <w:tab w:val="left" w:pos="2835"/>
        </w:tabs>
      </w:pPr>
      <w:r w:rsidRPr="00A35C95">
        <w:tab/>
        <w:t>In general, the ‘value’ of a product will be the amount that the product is worth once it is issued or acquired by the client. It is anticipated that the test for the value of the product in paragraph 761G(7)(a) of the Act will usually be used to assess a client’s status as a retail or wholesale client at or before the time that a financial service (eg financial product advice, disposal of the product) is provided to the client in respect of an existing product.</w:t>
      </w:r>
    </w:p>
    <w:p w14:paraId="00226A91" w14:textId="77777777" w:rsidR="00E93F58" w:rsidRPr="00A35C95" w:rsidRDefault="00E93F58" w:rsidP="00366AB5">
      <w:pPr>
        <w:pStyle w:val="SubsectionHead"/>
        <w:tabs>
          <w:tab w:val="left" w:pos="2835"/>
        </w:tabs>
      </w:pPr>
      <w:r w:rsidRPr="00A35C95">
        <w:t>Value</w:t>
      </w:r>
    </w:p>
    <w:p w14:paraId="435EE9A2"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761G(7)(a) of the Act, the amount applicable in relation to a non</w:t>
      </w:r>
      <w:r>
        <w:rPr>
          <w:color w:val="000000"/>
        </w:rPr>
        <w:noBreakHyphen/>
      </w:r>
      <w:r w:rsidRPr="00A35C95">
        <w:rPr>
          <w:color w:val="000000"/>
        </w:rPr>
        <w:t>cash payment financial product is $500 000.</w:t>
      </w:r>
    </w:p>
    <w:p w14:paraId="2B35C518" w14:textId="77777777" w:rsidR="00E93F58" w:rsidRPr="00A35C95" w:rsidRDefault="00E93F58" w:rsidP="00366AB5">
      <w:pPr>
        <w:pStyle w:val="SubsectionHead"/>
        <w:tabs>
          <w:tab w:val="left" w:pos="2835"/>
        </w:tabs>
      </w:pPr>
      <w:r w:rsidRPr="00A35C95">
        <w:t>Working out value: general rule</w:t>
      </w:r>
    </w:p>
    <w:p w14:paraId="48D6F865" w14:textId="77777777" w:rsidR="00E93F58" w:rsidRPr="00A35C95" w:rsidRDefault="00E93F58" w:rsidP="00366AB5">
      <w:pPr>
        <w:pStyle w:val="subsection"/>
        <w:tabs>
          <w:tab w:val="left" w:pos="2835"/>
        </w:tabs>
      </w:pPr>
      <w:r w:rsidRPr="00A35C95">
        <w:rPr>
          <w:color w:val="000000"/>
        </w:rPr>
        <w:tab/>
        <w:t>(3)</w:t>
      </w:r>
      <w:r w:rsidRPr="00A35C95">
        <w:rPr>
          <w:color w:val="000000"/>
        </w:rPr>
        <w:tab/>
        <w:t>For paragraph 761G(10)(a) of the Act, the value of a non</w:t>
      </w:r>
      <w:r>
        <w:rPr>
          <w:color w:val="000000"/>
        </w:rPr>
        <w:noBreakHyphen/>
      </w:r>
      <w:r w:rsidRPr="00A35C95">
        <w:rPr>
          <w:color w:val="000000"/>
        </w:rPr>
        <w:t>cash payment financial product on a day is the amount of money that stands to the client’s credit in respect of that product.</w:t>
      </w:r>
    </w:p>
    <w:p w14:paraId="7A0409E3" w14:textId="77777777" w:rsidR="00E93F58" w:rsidRPr="00A35C95" w:rsidRDefault="00E93F58" w:rsidP="00366AB5">
      <w:pPr>
        <w:pStyle w:val="subsection"/>
        <w:tabs>
          <w:tab w:val="left" w:pos="2835"/>
        </w:tabs>
      </w:pPr>
      <w:r w:rsidRPr="00A35C95">
        <w:tab/>
        <w:t>(4)</w:t>
      </w:r>
      <w:r w:rsidRPr="00A35C95">
        <w:tab/>
        <w:t>For subregulation (3), in calculating an amount of money, disregard any amount of fees or charges:</w:t>
      </w:r>
    </w:p>
    <w:p w14:paraId="07FC4972" w14:textId="77777777" w:rsidR="00E93F58" w:rsidRPr="00A35C95" w:rsidRDefault="00E93F58" w:rsidP="00366AB5">
      <w:pPr>
        <w:pStyle w:val="paragraph"/>
        <w:tabs>
          <w:tab w:val="left" w:pos="2835"/>
        </w:tabs>
      </w:pPr>
      <w:r w:rsidRPr="00A35C95">
        <w:rPr>
          <w:color w:val="000000"/>
        </w:rPr>
        <w:tab/>
        <w:t>(a)</w:t>
      </w:r>
      <w:r w:rsidRPr="00A35C95">
        <w:rPr>
          <w:color w:val="000000"/>
        </w:rPr>
        <w:tab/>
        <w:t>that the product issuer has an actual or accrued right to deduct, or otherwise to have access to, from the value of the non</w:t>
      </w:r>
      <w:r>
        <w:rPr>
          <w:color w:val="000000"/>
        </w:rPr>
        <w:noBreakHyphen/>
      </w:r>
      <w:r w:rsidRPr="00A35C95">
        <w:rPr>
          <w:color w:val="000000"/>
        </w:rPr>
        <w:t>cash payment financial product (whether or not the amount has been deducted); or</w:t>
      </w:r>
    </w:p>
    <w:p w14:paraId="749A572E" w14:textId="77777777" w:rsidR="00E93F58" w:rsidRPr="00A35C95" w:rsidRDefault="00E93F58" w:rsidP="00366AB5">
      <w:pPr>
        <w:pStyle w:val="paragraph"/>
        <w:tabs>
          <w:tab w:val="left" w:pos="2835"/>
        </w:tabs>
      </w:pPr>
      <w:r w:rsidRPr="00A35C95">
        <w:tab/>
        <w:t>(b)</w:t>
      </w:r>
      <w:r w:rsidRPr="00A35C95">
        <w:tab/>
        <w:t>that has accrued as at the time that the client’s status as a retail or wholesale client is assessed.</w:t>
      </w:r>
    </w:p>
    <w:p w14:paraId="600F6576" w14:textId="77777777" w:rsidR="00E93F58" w:rsidRPr="00A35C95" w:rsidRDefault="00E93F58" w:rsidP="00366AB5">
      <w:pPr>
        <w:pStyle w:val="SubsectionHead"/>
        <w:tabs>
          <w:tab w:val="left" w:pos="2835"/>
        </w:tabs>
      </w:pPr>
      <w:r w:rsidRPr="00A35C95">
        <w:t>Time of assessment</w:t>
      </w:r>
    </w:p>
    <w:p w14:paraId="49B4537B" w14:textId="77777777" w:rsidR="00E93F58" w:rsidRPr="00A35C95" w:rsidRDefault="00E93F58" w:rsidP="00366AB5">
      <w:pPr>
        <w:pStyle w:val="subsection"/>
        <w:tabs>
          <w:tab w:val="left" w:pos="2835"/>
        </w:tabs>
      </w:pPr>
      <w:r w:rsidRPr="00A35C95">
        <w:rPr>
          <w:color w:val="000000"/>
        </w:rPr>
        <w:tab/>
        <w:t>(5)</w:t>
      </w:r>
      <w:r w:rsidRPr="00A35C95">
        <w:rPr>
          <w:color w:val="000000"/>
        </w:rPr>
        <w:tab/>
        <w:t>If a financial services provider needs to assess the status of a client as either retail or wholesale at a particular time in order to ensure that the client complies with the Act, or for any related purpose, the value of a financial product may be assessed at any time, whether or not a financial service is being provided at that time in relation to that product.</w:t>
      </w:r>
    </w:p>
    <w:p w14:paraId="25F379F1" w14:textId="77777777" w:rsidR="00E93F58" w:rsidRPr="00A35C95" w:rsidRDefault="00E93F58" w:rsidP="00366AB5">
      <w:pPr>
        <w:pStyle w:val="notetext"/>
        <w:tabs>
          <w:tab w:val="left" w:pos="2835"/>
        </w:tabs>
      </w:pPr>
      <w:r w:rsidRPr="00A35C95">
        <w:rPr>
          <w:color w:val="000000"/>
        </w:rPr>
        <w:t>Note:</w:t>
      </w:r>
      <w:r w:rsidRPr="00A35C95">
        <w:rPr>
          <w:color w:val="000000"/>
        </w:rPr>
        <w:tab/>
        <w:t>Subregulation (5) will ensure that a provider of financial services may assess a client’s status at any time (for example, the provider may need to ascertain whether ongoing disclosure of a significant event must be sent to the client under section 1017B of the Act because the client is a retail client).</w:t>
      </w:r>
    </w:p>
    <w:p w14:paraId="0899C761" w14:textId="77777777" w:rsidR="00E93F58" w:rsidRPr="00A35C95" w:rsidRDefault="00E93F58" w:rsidP="00366AB5">
      <w:pPr>
        <w:pStyle w:val="ActHead5"/>
        <w:tabs>
          <w:tab w:val="left" w:pos="2835"/>
        </w:tabs>
      </w:pPr>
      <w:bookmarkStart w:id="493" w:name="_Toc152057821"/>
      <w:bookmarkStart w:id="494" w:name="_Toc158712044"/>
      <w:r w:rsidRPr="00844D11">
        <w:rPr>
          <w:rStyle w:val="CharSectno"/>
        </w:rPr>
        <w:t>7.1.25</w:t>
      </w:r>
      <w:r w:rsidRPr="00A35C95">
        <w:rPr>
          <w:sz w:val="16"/>
        </w:rPr>
        <w:t xml:space="preserve">  </w:t>
      </w:r>
      <w:r w:rsidRPr="00A35C95">
        <w:t>Retail clients and wholesale clients: life risk insurance and other risk</w:t>
      </w:r>
      <w:r>
        <w:noBreakHyphen/>
      </w:r>
      <w:r w:rsidRPr="00A35C95">
        <w:t>based financial products</w:t>
      </w:r>
      <w:bookmarkEnd w:id="493"/>
      <w:bookmarkEnd w:id="494"/>
    </w:p>
    <w:p w14:paraId="0E8289E4" w14:textId="77777777" w:rsidR="00E93F58" w:rsidRPr="00A35C95" w:rsidRDefault="00E93F58" w:rsidP="00366AB5">
      <w:pPr>
        <w:pStyle w:val="subsection"/>
        <w:keepNext/>
        <w:keepLines/>
        <w:tabs>
          <w:tab w:val="left" w:pos="2835"/>
        </w:tabs>
      </w:pPr>
      <w:r w:rsidRPr="00A35C95">
        <w:rPr>
          <w:color w:val="000000"/>
        </w:rPr>
        <w:tab/>
        <w:t>(1)</w:t>
      </w:r>
      <w:r w:rsidRPr="00A35C95">
        <w:rPr>
          <w:color w:val="000000"/>
        </w:rPr>
        <w:tab/>
        <w:t>This regulation makes arrangements about the value of a risk</w:t>
      </w:r>
      <w:r>
        <w:rPr>
          <w:color w:val="000000"/>
        </w:rPr>
        <w:noBreakHyphen/>
      </w:r>
      <w:r w:rsidRPr="00A35C95">
        <w:rPr>
          <w:color w:val="000000"/>
        </w:rPr>
        <w:t>based financial product.</w:t>
      </w:r>
    </w:p>
    <w:p w14:paraId="40F0A567" w14:textId="77777777" w:rsidR="00E93F58" w:rsidRPr="00A35C95" w:rsidRDefault="00E93F58" w:rsidP="00366AB5">
      <w:pPr>
        <w:pStyle w:val="subsection"/>
        <w:tabs>
          <w:tab w:val="left" w:pos="2835"/>
        </w:tabs>
      </w:pPr>
      <w:r w:rsidRPr="00A35C95">
        <w:rPr>
          <w:color w:val="000000"/>
        </w:rPr>
        <w:tab/>
        <w:t>(2)</w:t>
      </w:r>
      <w:r w:rsidRPr="00A35C95">
        <w:rPr>
          <w:color w:val="000000"/>
        </w:rPr>
        <w:tab/>
        <w:t>Paragraph 761G(7)(a) of the Act does not apply to a risk</w:t>
      </w:r>
      <w:r>
        <w:rPr>
          <w:color w:val="000000"/>
        </w:rPr>
        <w:noBreakHyphen/>
      </w:r>
      <w:r w:rsidRPr="00A35C95">
        <w:rPr>
          <w:color w:val="000000"/>
        </w:rPr>
        <w:t>based financial product.</w:t>
      </w:r>
    </w:p>
    <w:p w14:paraId="6B063562"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paragraph 761G(7)(a) of the Act, if a financial product is not, or a financial service provided to a person does not relate to, a general insurance product, a superannuation product or an </w:t>
      </w:r>
      <w:r w:rsidRPr="00BE1284">
        <w:t>RSA</w:t>
      </w:r>
      <w:r w:rsidRPr="00A35C95">
        <w:rPr>
          <w:color w:val="000000"/>
        </w:rPr>
        <w:t>, the financial product or financial service is provided to the person as a retail client unless the price for the provision of the financial product, or the value of the financial product to which the financial service relates, equals or exceeds the amount specified in regulations made for the purposes of that paragraph as being applicable in the circumstances.</w:t>
      </w:r>
    </w:p>
    <w:p w14:paraId="683AF00D" w14:textId="77777777" w:rsidR="00E93F58" w:rsidRPr="00A35C95" w:rsidRDefault="00E93F58" w:rsidP="00366AB5">
      <w:pPr>
        <w:pStyle w:val="notetext"/>
        <w:tabs>
          <w:tab w:val="left" w:pos="2835"/>
        </w:tabs>
      </w:pPr>
      <w:r w:rsidRPr="00A35C95">
        <w:tab/>
        <w:t>Under paragraph 761G(10)(a) of the Act, the regulations may also deal with how a price or value referred to in that paragraph is to be calculated, either generally or in relation to a specified class of financial products.</w:t>
      </w:r>
    </w:p>
    <w:p w14:paraId="381821E0" w14:textId="77777777" w:rsidR="00E93F58" w:rsidRPr="00A35C95" w:rsidRDefault="00E93F58" w:rsidP="00366AB5">
      <w:pPr>
        <w:pStyle w:val="notetext"/>
        <w:tabs>
          <w:tab w:val="left" w:pos="2835"/>
        </w:tabs>
      </w:pPr>
      <w:r w:rsidRPr="00A35C95">
        <w:tab/>
        <w:t>Under paragraph 761G(10)(b) of the Act, the regulations may also modify the way in which paragraph 761G(7)(a) applies in particular circumstances.</w:t>
      </w:r>
    </w:p>
    <w:p w14:paraId="10D87195" w14:textId="77777777" w:rsidR="00E93F58" w:rsidRPr="00A35C95" w:rsidRDefault="00E93F58" w:rsidP="00366AB5">
      <w:pPr>
        <w:pStyle w:val="ActHead5"/>
        <w:tabs>
          <w:tab w:val="left" w:pos="2835"/>
        </w:tabs>
      </w:pPr>
      <w:bookmarkStart w:id="495" w:name="_Toc152057822"/>
      <w:bookmarkStart w:id="496" w:name="_Toc158712045"/>
      <w:r w:rsidRPr="00844D11">
        <w:rPr>
          <w:rStyle w:val="CharSectno"/>
        </w:rPr>
        <w:t>7.1.26</w:t>
      </w:r>
      <w:r w:rsidRPr="00A35C95">
        <w:rPr>
          <w:sz w:val="16"/>
        </w:rPr>
        <w:t xml:space="preserve">  </w:t>
      </w:r>
      <w:r w:rsidRPr="00A35C95">
        <w:t>Superannuation</w:t>
      </w:r>
      <w:r>
        <w:noBreakHyphen/>
      </w:r>
      <w:r w:rsidRPr="00A35C95">
        <w:t>sourced money</w:t>
      </w:r>
      <w:bookmarkEnd w:id="495"/>
      <w:bookmarkEnd w:id="496"/>
    </w:p>
    <w:p w14:paraId="5A8A277C" w14:textId="77777777" w:rsidR="00E93F58" w:rsidRPr="00A35C95" w:rsidRDefault="00E93F58" w:rsidP="00366AB5">
      <w:pPr>
        <w:pStyle w:val="subsection"/>
        <w:tabs>
          <w:tab w:val="left" w:pos="2835"/>
        </w:tabs>
      </w:pPr>
      <w:r w:rsidRPr="00A35C95">
        <w:tab/>
      </w:r>
      <w:r w:rsidRPr="00A35C95">
        <w:tab/>
        <w:t>For the purpose of assessing the price of a financial product, or the value of a financial product to which a financial service relates, under paragraph 761G(7)(a) of the Act, superannuation</w:t>
      </w:r>
      <w:r>
        <w:noBreakHyphen/>
      </w:r>
      <w:r w:rsidRPr="00A35C95">
        <w:t>sourced money is not to be counted if:</w:t>
      </w:r>
    </w:p>
    <w:p w14:paraId="0119AF65" w14:textId="77777777" w:rsidR="00E93F58" w:rsidRPr="00A35C95" w:rsidRDefault="00E93F58" w:rsidP="00366AB5">
      <w:pPr>
        <w:pStyle w:val="paragraph"/>
        <w:tabs>
          <w:tab w:val="left" w:pos="2835"/>
        </w:tabs>
      </w:pPr>
      <w:r w:rsidRPr="00A35C95">
        <w:tab/>
        <w:t>(a)</w:t>
      </w:r>
      <w:r w:rsidRPr="00A35C95">
        <w:tab/>
        <w:t>the financial service provided to a person is:</w:t>
      </w:r>
    </w:p>
    <w:p w14:paraId="516A6605" w14:textId="77777777" w:rsidR="00E93F58" w:rsidRPr="00A35C95" w:rsidRDefault="00E93F58" w:rsidP="00366AB5">
      <w:pPr>
        <w:pStyle w:val="paragraphsub"/>
        <w:tabs>
          <w:tab w:val="left" w:pos="2835"/>
        </w:tabs>
      </w:pPr>
      <w:r w:rsidRPr="00A35C95">
        <w:rPr>
          <w:color w:val="000000"/>
        </w:rPr>
        <w:tab/>
        <w:t>(i)</w:t>
      </w:r>
      <w:r w:rsidRPr="00A35C95">
        <w:rPr>
          <w:color w:val="000000"/>
        </w:rPr>
        <w:tab/>
        <w:t>financial product advice; or</w:t>
      </w:r>
    </w:p>
    <w:p w14:paraId="79D8ADB9" w14:textId="77777777" w:rsidR="00E93F58" w:rsidRPr="00A35C95" w:rsidRDefault="00E93F58" w:rsidP="00366AB5">
      <w:pPr>
        <w:pStyle w:val="paragraphsub"/>
        <w:tabs>
          <w:tab w:val="left" w:pos="2835"/>
        </w:tabs>
      </w:pPr>
      <w:r w:rsidRPr="00A35C95">
        <w:lastRenderedPageBreak/>
        <w:tab/>
        <w:t>(ii)</w:t>
      </w:r>
      <w:r w:rsidRPr="00A35C95">
        <w:tab/>
        <w:t>if the person was a retail client—the provision of a financial product in circumstances in which a Product Disclosure Statement would need to be given to the client under Part 7.9 of the Act (including section 1012A, 1012B, 1012C or 1012IA);</w:t>
      </w:r>
      <w:r w:rsidRPr="00A35C95">
        <w:rPr>
          <w:b/>
        </w:rPr>
        <w:t xml:space="preserve"> </w:t>
      </w:r>
      <w:r w:rsidRPr="00A35C95">
        <w:t>and</w:t>
      </w:r>
    </w:p>
    <w:p w14:paraId="088D8AB2" w14:textId="77777777" w:rsidR="00E93F58" w:rsidRPr="00A35C95" w:rsidRDefault="00E93F58" w:rsidP="00366AB5">
      <w:pPr>
        <w:pStyle w:val="paragraph"/>
        <w:tabs>
          <w:tab w:val="left" w:pos="2835"/>
        </w:tabs>
      </w:pPr>
      <w:r w:rsidRPr="00A35C95">
        <w:rPr>
          <w:color w:val="000000"/>
        </w:rPr>
        <w:tab/>
        <w:t>(b)</w:t>
      </w:r>
      <w:r w:rsidRPr="00A35C95">
        <w:rPr>
          <w:color w:val="000000"/>
        </w:rPr>
        <w:tab/>
        <w:t>the financial product to which the financial service relates is a product other than a non</w:t>
      </w:r>
      <w:r>
        <w:rPr>
          <w:color w:val="000000"/>
        </w:rPr>
        <w:noBreakHyphen/>
      </w:r>
      <w:r w:rsidRPr="00A35C95">
        <w:rPr>
          <w:color w:val="000000"/>
        </w:rPr>
        <w:t>cash payment financial product; and</w:t>
      </w:r>
    </w:p>
    <w:p w14:paraId="390E8523" w14:textId="77777777" w:rsidR="00E93F58" w:rsidRPr="00A35C95" w:rsidRDefault="00E93F58" w:rsidP="00366AB5">
      <w:pPr>
        <w:pStyle w:val="paragraph"/>
        <w:tabs>
          <w:tab w:val="left" w:pos="2835"/>
        </w:tabs>
      </w:pPr>
      <w:r w:rsidRPr="00A35C95">
        <w:tab/>
        <w:t>(c)</w:t>
      </w:r>
      <w:r w:rsidRPr="00A35C95">
        <w:tab/>
        <w:t>the person who was the holder of the relevant superannuation interest in the regulated superannuation fund was or would have been a retail client under subsection 761G(6) of the Act if they had held or acquired the product after FSR commencement.</w:t>
      </w:r>
    </w:p>
    <w:p w14:paraId="7D166B93" w14:textId="77777777" w:rsidR="00E93F58" w:rsidRPr="00A35C95" w:rsidRDefault="00E93F58" w:rsidP="00366AB5">
      <w:pPr>
        <w:pStyle w:val="notetext"/>
        <w:tabs>
          <w:tab w:val="left" w:pos="2835"/>
        </w:tabs>
        <w:rPr>
          <w:szCs w:val="18"/>
        </w:rPr>
      </w:pPr>
      <w:r w:rsidRPr="00A35C95">
        <w:t>Example:</w:t>
      </w:r>
      <w:r w:rsidRPr="00A35C95">
        <w:tab/>
      </w:r>
      <w:r w:rsidRPr="00A35C95">
        <w:rPr>
          <w:szCs w:val="18"/>
        </w:rPr>
        <w:t>If:</w:t>
      </w:r>
    </w:p>
    <w:p w14:paraId="6029DAC4" w14:textId="77777777" w:rsidR="00E93F58" w:rsidRPr="00A35C95" w:rsidRDefault="00E93F58" w:rsidP="00366AB5">
      <w:pPr>
        <w:pStyle w:val="notepara"/>
        <w:tabs>
          <w:tab w:val="left" w:pos="2835"/>
        </w:tabs>
      </w:pPr>
      <w:r w:rsidRPr="00A35C95">
        <w:t>(a)</w:t>
      </w:r>
      <w:r w:rsidRPr="00A35C95">
        <w:tab/>
        <w:t>the price for an income stream financial product or an investment</w:t>
      </w:r>
      <w:r>
        <w:noBreakHyphen/>
      </w:r>
      <w:r w:rsidRPr="00A35C95">
        <w:t>based financial product is $700 000; and</w:t>
      </w:r>
    </w:p>
    <w:p w14:paraId="40BA6E7D" w14:textId="77777777" w:rsidR="00E93F58" w:rsidRPr="00A35C95" w:rsidRDefault="00E93F58" w:rsidP="00366AB5">
      <w:pPr>
        <w:pStyle w:val="notepara"/>
        <w:tabs>
          <w:tab w:val="left" w:pos="2835"/>
        </w:tabs>
      </w:pPr>
      <w:r w:rsidRPr="00A35C95">
        <w:t>(b)</w:t>
      </w:r>
      <w:r w:rsidRPr="00A35C95">
        <w:tab/>
        <w:t>the client uses $400 000 of superannuation</w:t>
      </w:r>
      <w:r>
        <w:noBreakHyphen/>
      </w:r>
      <w:r w:rsidRPr="00A35C95">
        <w:t>sourced money and $300 000 of other funds;</w:t>
      </w:r>
    </w:p>
    <w:p w14:paraId="4B2D90B8" w14:textId="77777777" w:rsidR="00E93F58" w:rsidRPr="00A35C95" w:rsidRDefault="00E93F58" w:rsidP="00366AB5">
      <w:pPr>
        <w:pStyle w:val="notetext"/>
        <w:tabs>
          <w:tab w:val="left" w:pos="2835"/>
        </w:tabs>
      </w:pPr>
      <w:r w:rsidRPr="00A35C95">
        <w:rPr>
          <w:color w:val="000000"/>
        </w:rPr>
        <w:tab/>
        <w:t>then, unless the client is a wholesale client for another reason, the client will be a retail client due to the operation of paragraph 761G(7)(a) of the Act.</w:t>
      </w:r>
    </w:p>
    <w:p w14:paraId="2E15BE7C"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Under subsections 761G(5), (6) and (7) of the Act, general insurance products, superannuation products and </w:t>
      </w:r>
      <w:r w:rsidRPr="00BE1284">
        <w:t>RSAs</w:t>
      </w:r>
      <w:r w:rsidRPr="00A35C95">
        <w:rPr>
          <w:color w:val="000000"/>
        </w:rPr>
        <w:t xml:space="preserve"> are not financial products to which the restriction on counting superannuation</w:t>
      </w:r>
      <w:r>
        <w:rPr>
          <w:color w:val="000000"/>
        </w:rPr>
        <w:noBreakHyphen/>
      </w:r>
      <w:r w:rsidRPr="00A35C95">
        <w:rPr>
          <w:color w:val="000000"/>
        </w:rPr>
        <w:t>sourced money towards the price applies. This applies in addition to the exclusion for non</w:t>
      </w:r>
      <w:r>
        <w:rPr>
          <w:color w:val="000000"/>
        </w:rPr>
        <w:noBreakHyphen/>
      </w:r>
      <w:r w:rsidRPr="00A35C95">
        <w:rPr>
          <w:color w:val="000000"/>
        </w:rPr>
        <w:t>cash payment products under paragraph (b) of this regulation.</w:t>
      </w:r>
    </w:p>
    <w:p w14:paraId="13395425" w14:textId="77777777" w:rsidR="00E93F58" w:rsidRPr="00A35C95" w:rsidRDefault="00E93F58" w:rsidP="00366AB5">
      <w:pPr>
        <w:pStyle w:val="ActHead5"/>
        <w:tabs>
          <w:tab w:val="left" w:pos="2835"/>
        </w:tabs>
      </w:pPr>
      <w:bookmarkStart w:id="497" w:name="_Toc152057823"/>
      <w:bookmarkStart w:id="498" w:name="_Toc158712046"/>
      <w:r w:rsidRPr="00844D11">
        <w:rPr>
          <w:rStyle w:val="CharSectno"/>
        </w:rPr>
        <w:t>7.1.27</w:t>
      </w:r>
      <w:r w:rsidRPr="00A35C95">
        <w:rPr>
          <w:sz w:val="16"/>
        </w:rPr>
        <w:t xml:space="preserve">  </w:t>
      </w:r>
      <w:r w:rsidRPr="00A35C95">
        <w:t>Retail clients and wholesale clients: effect of wholesale status</w:t>
      </w:r>
      <w:bookmarkEnd w:id="497"/>
      <w:bookmarkEnd w:id="498"/>
    </w:p>
    <w:p w14:paraId="195DD2A8" w14:textId="77777777" w:rsidR="00E93F58" w:rsidRPr="00A35C95" w:rsidRDefault="00E93F58" w:rsidP="00366AB5">
      <w:pPr>
        <w:pStyle w:val="subsection"/>
        <w:tabs>
          <w:tab w:val="left" w:pos="2835"/>
        </w:tabs>
      </w:pPr>
      <w:r w:rsidRPr="00A35C95">
        <w:tab/>
        <w:t>(1)</w:t>
      </w:r>
      <w:r w:rsidRPr="00A35C95">
        <w:tab/>
        <w:t>For subsection 761G(10) of the Act if, at any time, the holder of a financial product is a wholesale client in relation to the product because of paragraph 761G(7)(a) of the Act:</w:t>
      </w:r>
    </w:p>
    <w:p w14:paraId="3F6727E3" w14:textId="77777777" w:rsidR="00E93F58" w:rsidRPr="00A35C95" w:rsidRDefault="00E93F58" w:rsidP="00366AB5">
      <w:pPr>
        <w:pStyle w:val="paragraph"/>
        <w:tabs>
          <w:tab w:val="left" w:pos="2835"/>
        </w:tabs>
      </w:pPr>
      <w:r w:rsidRPr="00A35C95">
        <w:tab/>
        <w:t>(a)</w:t>
      </w:r>
      <w:r w:rsidRPr="00A35C95">
        <w:tab/>
        <w:t>the holder is taken, on and after that time, to be a wholesale client in relation to the product as between the holder and:</w:t>
      </w:r>
    </w:p>
    <w:p w14:paraId="7371F36C" w14:textId="77777777" w:rsidR="00E93F58" w:rsidRPr="00A35C95" w:rsidRDefault="00E93F58" w:rsidP="00366AB5">
      <w:pPr>
        <w:pStyle w:val="paragraphsub"/>
        <w:tabs>
          <w:tab w:val="left" w:pos="2835"/>
        </w:tabs>
      </w:pPr>
      <w:r w:rsidRPr="00A35C95">
        <w:tab/>
        <w:t>(i)</w:t>
      </w:r>
      <w:r w:rsidRPr="00A35C95">
        <w:tab/>
        <w:t>the issuer of the product; or</w:t>
      </w:r>
    </w:p>
    <w:p w14:paraId="75946CC5" w14:textId="77777777" w:rsidR="00E93F58" w:rsidRPr="00A35C95" w:rsidRDefault="00E93F58" w:rsidP="00366AB5">
      <w:pPr>
        <w:pStyle w:val="paragraphsub"/>
        <w:tabs>
          <w:tab w:val="left" w:pos="2835"/>
        </w:tabs>
      </w:pPr>
      <w:r w:rsidRPr="00A35C95">
        <w:tab/>
        <w:t>(ii)</w:t>
      </w:r>
      <w:r w:rsidRPr="00A35C95">
        <w:tab/>
        <w:t>if a related body corporate of the issuer of the product provides a custodial or depository service to the holder of the product in relation to the product—the related body corporate;</w:t>
      </w:r>
    </w:p>
    <w:p w14:paraId="5A1DA931" w14:textId="77777777" w:rsidR="00E93F58" w:rsidRPr="00A35C95" w:rsidRDefault="00E93F58" w:rsidP="00366AB5">
      <w:pPr>
        <w:pStyle w:val="paragraph"/>
        <w:tabs>
          <w:tab w:val="left" w:pos="2835"/>
        </w:tabs>
      </w:pPr>
      <w:r w:rsidRPr="00A35C95">
        <w:tab/>
      </w:r>
      <w:r w:rsidRPr="00A35C95">
        <w:tab/>
        <w:t>for the period during which the holder holds the product; and</w:t>
      </w:r>
    </w:p>
    <w:p w14:paraId="3EF09EBC" w14:textId="77777777" w:rsidR="00E93F58" w:rsidRPr="00A35C95" w:rsidRDefault="00E93F58" w:rsidP="00366AB5">
      <w:pPr>
        <w:pStyle w:val="paragraph"/>
        <w:tabs>
          <w:tab w:val="left" w:pos="2835"/>
        </w:tabs>
      </w:pPr>
      <w:r w:rsidRPr="00A35C95">
        <w:rPr>
          <w:color w:val="000000"/>
        </w:rPr>
        <w:tab/>
        <w:t>(b)</w:t>
      </w:r>
      <w:r w:rsidRPr="00A35C95">
        <w:rPr>
          <w:color w:val="000000"/>
        </w:rPr>
        <w:tab/>
        <w:t>paragraph (a) applies whether or not the holder would, but for that paragraph, have otherwise been or become a retail client in relation to that product at some time.</w:t>
      </w:r>
    </w:p>
    <w:p w14:paraId="30065549" w14:textId="77777777" w:rsidR="00E93F58" w:rsidRPr="00A35C95" w:rsidRDefault="00E93F58" w:rsidP="00366AB5">
      <w:pPr>
        <w:pStyle w:val="subsection"/>
        <w:tabs>
          <w:tab w:val="left" w:pos="2835"/>
        </w:tabs>
      </w:pPr>
      <w:r w:rsidRPr="00A35C95">
        <w:tab/>
        <w:t>(2)</w:t>
      </w:r>
      <w:r w:rsidRPr="00A35C95">
        <w:tab/>
        <w:t>For subsection 761G(10) of the Act, if:</w:t>
      </w:r>
    </w:p>
    <w:p w14:paraId="7E0293D4" w14:textId="77777777" w:rsidR="00E93F58" w:rsidRPr="00A35C95" w:rsidRDefault="00E93F58" w:rsidP="00366AB5">
      <w:pPr>
        <w:pStyle w:val="paragraph"/>
        <w:tabs>
          <w:tab w:val="left" w:pos="2835"/>
        </w:tabs>
      </w:pPr>
      <w:r w:rsidRPr="00A35C95">
        <w:rPr>
          <w:color w:val="000000"/>
        </w:rPr>
        <w:tab/>
        <w:t>(a)</w:t>
      </w:r>
      <w:r w:rsidRPr="00A35C95">
        <w:rPr>
          <w:color w:val="000000"/>
        </w:rPr>
        <w:tab/>
        <w:t>a person is a wholesale client in relation to the product because of paragraph 761G(7)(a) or paragraph (1)(a); and</w:t>
      </w:r>
    </w:p>
    <w:p w14:paraId="43EE22B4" w14:textId="77777777" w:rsidR="00E93F58" w:rsidRPr="00A35C95" w:rsidRDefault="00E93F58" w:rsidP="00366AB5">
      <w:pPr>
        <w:pStyle w:val="paragraph"/>
        <w:tabs>
          <w:tab w:val="left" w:pos="2835"/>
        </w:tabs>
      </w:pPr>
      <w:r w:rsidRPr="00A35C95">
        <w:tab/>
        <w:t>(b)</w:t>
      </w:r>
      <w:r w:rsidRPr="00A35C95">
        <w:tab/>
        <w:t>another person becomes a holder of the financial product; and</w:t>
      </w:r>
    </w:p>
    <w:p w14:paraId="21B62271" w14:textId="77777777" w:rsidR="00E93F58" w:rsidRPr="00A35C95" w:rsidRDefault="00E93F58" w:rsidP="00366AB5">
      <w:pPr>
        <w:pStyle w:val="paragraph"/>
        <w:tabs>
          <w:tab w:val="left" w:pos="2835"/>
        </w:tabs>
      </w:pPr>
      <w:r w:rsidRPr="00A35C95">
        <w:tab/>
        <w:t>(c)</w:t>
      </w:r>
      <w:r w:rsidRPr="00A35C95">
        <w:tab/>
        <w:t>the issuer did not know, and could not reasonably be expected to have known:</w:t>
      </w:r>
    </w:p>
    <w:p w14:paraId="635414BA" w14:textId="77777777" w:rsidR="00E93F58" w:rsidRPr="00A35C95" w:rsidRDefault="00E93F58" w:rsidP="00366AB5">
      <w:pPr>
        <w:pStyle w:val="paragraphsub"/>
        <w:tabs>
          <w:tab w:val="left" w:pos="2835"/>
        </w:tabs>
      </w:pPr>
      <w:r w:rsidRPr="00A35C95">
        <w:rPr>
          <w:color w:val="000000"/>
        </w:rPr>
        <w:tab/>
        <w:t>(i)</w:t>
      </w:r>
      <w:r w:rsidRPr="00A35C95">
        <w:rPr>
          <w:color w:val="000000"/>
        </w:rPr>
        <w:tab/>
        <w:t>whether another person had become the holder of the financial product; or</w:t>
      </w:r>
    </w:p>
    <w:p w14:paraId="2BAC0EF2" w14:textId="77777777" w:rsidR="00E93F58" w:rsidRPr="00A35C95" w:rsidRDefault="00E93F58" w:rsidP="00366AB5">
      <w:pPr>
        <w:pStyle w:val="paragraphsub"/>
        <w:tabs>
          <w:tab w:val="left" w:pos="2835"/>
        </w:tabs>
      </w:pPr>
      <w:r w:rsidRPr="00A35C95">
        <w:tab/>
        <w:t>(ii)</w:t>
      </w:r>
      <w:r w:rsidRPr="00A35C95">
        <w:tab/>
        <w:t>whether any subsequent holder of the financial product was a retail client or a wholesale client;</w:t>
      </w:r>
    </w:p>
    <w:p w14:paraId="02C6188F" w14:textId="77777777" w:rsidR="00E93F58" w:rsidRPr="00A35C95" w:rsidRDefault="00E93F58" w:rsidP="00366AB5">
      <w:pPr>
        <w:pStyle w:val="subsection2"/>
        <w:tabs>
          <w:tab w:val="left" w:pos="2835"/>
        </w:tabs>
      </w:pPr>
      <w:r w:rsidRPr="00A35C95">
        <w:rPr>
          <w:color w:val="000000"/>
        </w:rPr>
        <w:t>the issuer is taken not to be guilty of any offence, or to be liable under civil penalty or civil liability provisions under the Act, merely because the issuer has not treated any subsequent holder of that financial product as a retail client.</w:t>
      </w:r>
    </w:p>
    <w:p w14:paraId="04A8D3BC" w14:textId="77777777" w:rsidR="00E93F58" w:rsidRPr="00A35C95" w:rsidRDefault="00E93F58" w:rsidP="00366AB5">
      <w:pPr>
        <w:pStyle w:val="ActHead5"/>
        <w:tabs>
          <w:tab w:val="left" w:pos="2835"/>
        </w:tabs>
      </w:pPr>
      <w:bookmarkStart w:id="499" w:name="_Toc152057824"/>
      <w:bookmarkStart w:id="500" w:name="_Toc158712047"/>
      <w:r w:rsidRPr="00844D11">
        <w:rPr>
          <w:rStyle w:val="CharSectno"/>
        </w:rPr>
        <w:t>7.1.28</w:t>
      </w:r>
      <w:r w:rsidRPr="00A35C95">
        <w:rPr>
          <w:sz w:val="16"/>
        </w:rPr>
        <w:t xml:space="preserve">  </w:t>
      </w:r>
      <w:r w:rsidRPr="00A35C95">
        <w:t>Retail clients and wholesale clients: assets and income</w:t>
      </w:r>
      <w:bookmarkEnd w:id="499"/>
      <w:bookmarkEnd w:id="500"/>
    </w:p>
    <w:p w14:paraId="5BCF8619" w14:textId="77777777" w:rsidR="00E93F58" w:rsidRPr="00A35C95" w:rsidRDefault="00E93F58" w:rsidP="00366AB5">
      <w:pPr>
        <w:pStyle w:val="subsection"/>
        <w:tabs>
          <w:tab w:val="left" w:pos="2835"/>
        </w:tabs>
      </w:pPr>
      <w:r w:rsidRPr="00A35C95">
        <w:rPr>
          <w:color w:val="000000"/>
        </w:rPr>
        <w:tab/>
        <w:t>(1)</w:t>
      </w:r>
      <w:r w:rsidRPr="00A35C95">
        <w:rPr>
          <w:color w:val="000000"/>
        </w:rPr>
        <w:tab/>
        <w:t>For subparagraph 761G(7)(c)(i) of the Act, $2.5 million is specified.</w:t>
      </w:r>
    </w:p>
    <w:p w14:paraId="435863C2" w14:textId="77777777" w:rsidR="00E93F58" w:rsidRPr="00A35C95" w:rsidRDefault="00E93F58" w:rsidP="00366AB5">
      <w:pPr>
        <w:pStyle w:val="subsection"/>
        <w:tabs>
          <w:tab w:val="left" w:pos="2835"/>
        </w:tabs>
      </w:pPr>
      <w:r w:rsidRPr="00A35C95">
        <w:rPr>
          <w:color w:val="000000"/>
        </w:rPr>
        <w:tab/>
        <w:t>(2)</w:t>
      </w:r>
      <w:r w:rsidRPr="00A35C95">
        <w:rPr>
          <w:color w:val="000000"/>
        </w:rPr>
        <w:tab/>
        <w:t>For subparagraph 761G(7)(c)(ii) of the Act, $250 000 is specified.</w:t>
      </w:r>
    </w:p>
    <w:p w14:paraId="30F7EF9B" w14:textId="77777777" w:rsidR="00E93F58" w:rsidRPr="00A35C95" w:rsidRDefault="00E93F58" w:rsidP="00366AB5">
      <w:pPr>
        <w:pStyle w:val="notetext"/>
        <w:tabs>
          <w:tab w:val="left" w:pos="2835"/>
        </w:tabs>
      </w:pPr>
      <w:r w:rsidRPr="00A35C95">
        <w:t>Note:</w:t>
      </w:r>
      <w:r w:rsidRPr="00A35C95">
        <w:tab/>
        <w:t xml:space="preserve">Under paragraph 761G(7)(c) of the Act, if a financial product is not, or a financial service provided to a person does not relate to, a general insurance product, a superannuation product or an </w:t>
      </w:r>
      <w:r w:rsidRPr="00BE1284">
        <w:t>RSA</w:t>
      </w:r>
      <w:r w:rsidRPr="00A35C95">
        <w:t>, the product or service is provided to the person as a retail client unless:</w:t>
      </w:r>
    </w:p>
    <w:p w14:paraId="32AFD6E4" w14:textId="77777777" w:rsidR="00E93F58" w:rsidRPr="00A35C95" w:rsidRDefault="00E93F58" w:rsidP="00366AB5">
      <w:pPr>
        <w:pStyle w:val="notepara"/>
        <w:tabs>
          <w:tab w:val="left" w:pos="2835"/>
        </w:tabs>
      </w:pPr>
      <w:r w:rsidRPr="00A35C95">
        <w:rPr>
          <w:color w:val="000000"/>
        </w:rPr>
        <w:t>(a)</w:t>
      </w:r>
      <w:r w:rsidRPr="00A35C95">
        <w:rPr>
          <w:color w:val="000000"/>
        </w:rPr>
        <w:tab/>
        <w:t>the client is a wholesale client under paragraph 761G(7)(a), (b) or (d) of the Act; or</w:t>
      </w:r>
    </w:p>
    <w:p w14:paraId="1ED3AA8B" w14:textId="77777777" w:rsidR="00E93F58" w:rsidRPr="00A35C95" w:rsidRDefault="00E93F58" w:rsidP="00366AB5">
      <w:pPr>
        <w:pStyle w:val="notepara"/>
        <w:tabs>
          <w:tab w:val="left" w:pos="2835"/>
        </w:tabs>
      </w:pPr>
      <w:r w:rsidRPr="00A35C95">
        <w:t>(b)</w:t>
      </w:r>
      <w:r w:rsidRPr="00A35C95">
        <w:tab/>
        <w:t>the person who acquires the product or service gives the provider of the product or service, before the provision of the product or service, a copy of a certificate given within the preceding 6 months by a qualified accountant that states that the person:</w:t>
      </w:r>
    </w:p>
    <w:p w14:paraId="39425570" w14:textId="77777777" w:rsidR="00E93F58" w:rsidRPr="00A35C95" w:rsidRDefault="00E93F58" w:rsidP="00366AB5">
      <w:pPr>
        <w:pStyle w:val="NoteToSubpara"/>
        <w:tabs>
          <w:tab w:val="left" w:pos="2835"/>
        </w:tabs>
        <w:ind w:hanging="425"/>
      </w:pPr>
      <w:r w:rsidRPr="00A35C95">
        <w:t>(i)</w:t>
      </w:r>
      <w:r w:rsidRPr="00A35C95">
        <w:tab/>
        <w:t>has net assets of at least the amount specified in regulations made for the purposes of subparagraph 761G(7)(c)(i) of the Act; or</w:t>
      </w:r>
    </w:p>
    <w:p w14:paraId="40D47358" w14:textId="77777777" w:rsidR="00E93F58" w:rsidRPr="00A35C95" w:rsidRDefault="00E93F58" w:rsidP="00366AB5">
      <w:pPr>
        <w:pStyle w:val="NoteToSubpara"/>
        <w:tabs>
          <w:tab w:val="left" w:pos="2835"/>
        </w:tabs>
        <w:ind w:hanging="425"/>
      </w:pPr>
      <w:r w:rsidRPr="00A35C95">
        <w:t>(ii)</w:t>
      </w:r>
      <w:r w:rsidRPr="00A35C95">
        <w:tab/>
        <w:t>has a gross income for each of the last 2 financial years of at least the amount specified in regulations made for the purposes of subparagraph 761G(7)(c)(ii) of the Act a year.</w:t>
      </w:r>
    </w:p>
    <w:p w14:paraId="3159BFA7" w14:textId="77777777" w:rsidR="00E93F58" w:rsidRPr="00A35C95" w:rsidRDefault="00E93F58" w:rsidP="00366AB5">
      <w:pPr>
        <w:pStyle w:val="ActHead3"/>
        <w:pageBreakBefore/>
        <w:tabs>
          <w:tab w:val="left" w:pos="2835"/>
        </w:tabs>
        <w:rPr>
          <w:color w:val="000000"/>
        </w:rPr>
      </w:pPr>
      <w:bookmarkStart w:id="501" w:name="_Toc152057825"/>
      <w:bookmarkStart w:id="502" w:name="_Toc158712048"/>
      <w:r w:rsidRPr="00844D11">
        <w:rPr>
          <w:rStyle w:val="CharDivNo"/>
        </w:rPr>
        <w:lastRenderedPageBreak/>
        <w:t>Division 3</w:t>
      </w:r>
      <w:r w:rsidRPr="00A35C95">
        <w:rPr>
          <w:color w:val="000000"/>
        </w:rPr>
        <w:t>—</w:t>
      </w:r>
      <w:r w:rsidRPr="00844D11">
        <w:rPr>
          <w:rStyle w:val="CharDivText"/>
        </w:rPr>
        <w:t>When does a person provide a financial service?</w:t>
      </w:r>
      <w:bookmarkEnd w:id="501"/>
      <w:bookmarkEnd w:id="502"/>
    </w:p>
    <w:p w14:paraId="5B1A247C" w14:textId="77777777" w:rsidR="00E93F58" w:rsidRPr="00A35C95" w:rsidRDefault="00E93F58" w:rsidP="00366AB5">
      <w:pPr>
        <w:pStyle w:val="ActHead5"/>
        <w:tabs>
          <w:tab w:val="left" w:pos="2835"/>
        </w:tabs>
      </w:pPr>
      <w:bookmarkStart w:id="503" w:name="_Toc152057826"/>
      <w:bookmarkStart w:id="504" w:name="_Toc158712049"/>
      <w:r w:rsidRPr="00844D11">
        <w:rPr>
          <w:rStyle w:val="CharSectno"/>
        </w:rPr>
        <w:t>7.1.28AA</w:t>
      </w:r>
      <w:r w:rsidRPr="00A35C95">
        <w:t xml:space="preserve">  Provision of financial product advice about default funds</w:t>
      </w:r>
      <w:bookmarkEnd w:id="503"/>
      <w:bookmarkEnd w:id="504"/>
    </w:p>
    <w:p w14:paraId="14F69971" w14:textId="77777777" w:rsidR="00E93F58" w:rsidRPr="00A35C95" w:rsidRDefault="00E93F58" w:rsidP="00366AB5">
      <w:pPr>
        <w:pStyle w:val="subsection"/>
        <w:keepNext/>
        <w:keepLines/>
        <w:tabs>
          <w:tab w:val="left" w:pos="2835"/>
        </w:tabs>
      </w:pPr>
      <w:r w:rsidRPr="00A35C95">
        <w:tab/>
      </w:r>
      <w:r w:rsidRPr="00A35C95">
        <w:tab/>
        <w:t xml:space="preserve">For paragraph 766A(1)(f) of the Act, the provision of financial product advice to an employer about the choice of a fund to which to contribute for the benefit of those employees for whom there is no chosen fund (within the meaning of the </w:t>
      </w:r>
      <w:r w:rsidRPr="00A35C95">
        <w:rPr>
          <w:i/>
        </w:rPr>
        <w:t>Superannuation Guarantee (Administration) Act 1992</w:t>
      </w:r>
      <w:r w:rsidRPr="00A35C95">
        <w:t>) is prescribed.</w:t>
      </w:r>
    </w:p>
    <w:p w14:paraId="53694935" w14:textId="77777777" w:rsidR="00E93F58" w:rsidRPr="00A35C95" w:rsidRDefault="00E93F58" w:rsidP="00366AB5">
      <w:pPr>
        <w:pStyle w:val="notetext"/>
        <w:keepNext/>
        <w:keepLines/>
        <w:tabs>
          <w:tab w:val="left" w:pos="2835"/>
        </w:tabs>
      </w:pPr>
      <w:r w:rsidRPr="00A35C95">
        <w:t>Note:</w:t>
      </w:r>
      <w:r w:rsidRPr="00A35C95">
        <w:tab/>
        <w:t>The financial product advice provided to the employer is a financial service provided to a person as a retail client: see paragraph 761G(6)(b) of the Act.</w:t>
      </w:r>
    </w:p>
    <w:p w14:paraId="092A6933" w14:textId="77777777" w:rsidR="00E93F58" w:rsidRPr="00A35C95" w:rsidRDefault="00E93F58" w:rsidP="00366AB5">
      <w:pPr>
        <w:pStyle w:val="ActHead5"/>
        <w:keepNext w:val="0"/>
        <w:tabs>
          <w:tab w:val="left" w:pos="2835"/>
        </w:tabs>
      </w:pPr>
      <w:bookmarkStart w:id="505" w:name="_Toc152057827"/>
      <w:bookmarkStart w:id="506" w:name="_Toc158712050"/>
      <w:r w:rsidRPr="00844D11">
        <w:rPr>
          <w:rStyle w:val="CharSectno"/>
        </w:rPr>
        <w:t>7.1.28A</w:t>
      </w:r>
      <w:r w:rsidRPr="00A35C95">
        <w:t xml:space="preserve">  Circumstances in which a person is taken to be provided a traditional trustee company service</w:t>
      </w:r>
      <w:bookmarkEnd w:id="505"/>
      <w:bookmarkEnd w:id="506"/>
    </w:p>
    <w:p w14:paraId="3B126F11" w14:textId="77777777" w:rsidR="00E93F58" w:rsidRPr="00A35C95" w:rsidRDefault="00E93F58" w:rsidP="00366AB5">
      <w:pPr>
        <w:pStyle w:val="subsection"/>
        <w:keepLines/>
        <w:tabs>
          <w:tab w:val="left" w:pos="2835"/>
        </w:tabs>
      </w:pPr>
      <w:r w:rsidRPr="00A35C95">
        <w:tab/>
      </w:r>
      <w:r w:rsidRPr="00A35C95">
        <w:tab/>
        <w:t>For subsection 766A(1B) of the Act, a person who is one of the following:</w:t>
      </w:r>
    </w:p>
    <w:p w14:paraId="4D3BB917" w14:textId="77777777" w:rsidR="00E93F58" w:rsidRPr="00A35C95" w:rsidRDefault="00E93F58" w:rsidP="00366AB5">
      <w:pPr>
        <w:pStyle w:val="paragraph"/>
        <w:keepLines/>
        <w:tabs>
          <w:tab w:val="left" w:pos="2835"/>
        </w:tabs>
      </w:pPr>
      <w:r w:rsidRPr="00A35C95">
        <w:tab/>
        <w:t>(a)</w:t>
      </w:r>
      <w:r w:rsidRPr="00A35C95">
        <w:tab/>
        <w:t>a person who may request an annual information return under subregulation 5D.2.01(3);</w:t>
      </w:r>
    </w:p>
    <w:p w14:paraId="07388000" w14:textId="77777777" w:rsidR="00E93F58" w:rsidRPr="00A35C95" w:rsidRDefault="00E93F58" w:rsidP="00F735BC">
      <w:pPr>
        <w:pStyle w:val="paragraph"/>
        <w:tabs>
          <w:tab w:val="left" w:pos="2835"/>
        </w:tabs>
      </w:pPr>
      <w:r w:rsidRPr="00A35C95">
        <w:tab/>
        <w:t>(b)</w:t>
      </w:r>
      <w:r w:rsidRPr="00A35C95">
        <w:tab/>
        <w:t>a person who requests the preparation of a will, a trust instrument, a power of attorney or an agency arrangement;</w:t>
      </w:r>
    </w:p>
    <w:p w14:paraId="1D932EE8" w14:textId="77777777" w:rsidR="00E93F58" w:rsidRPr="00A35C95" w:rsidRDefault="00E93F58" w:rsidP="00F735BC">
      <w:pPr>
        <w:pStyle w:val="subsection2"/>
        <w:tabs>
          <w:tab w:val="left" w:pos="2835"/>
        </w:tabs>
      </w:pPr>
      <w:r w:rsidRPr="00A35C95">
        <w:t>is, in relation to an estate management function, prescribed as the person to whom the service is taken to be provided.</w:t>
      </w:r>
    </w:p>
    <w:p w14:paraId="327B48E2" w14:textId="77777777" w:rsidR="00E93F58" w:rsidRPr="00A35C95" w:rsidRDefault="00E93F58" w:rsidP="00366AB5">
      <w:pPr>
        <w:pStyle w:val="ActHead5"/>
        <w:tabs>
          <w:tab w:val="left" w:pos="2835"/>
        </w:tabs>
      </w:pPr>
      <w:bookmarkStart w:id="507" w:name="_Toc152057828"/>
      <w:bookmarkStart w:id="508" w:name="_Toc158712051"/>
      <w:r w:rsidRPr="00844D11">
        <w:rPr>
          <w:rStyle w:val="CharSectno"/>
        </w:rPr>
        <w:t>7.1.29</w:t>
      </w:r>
      <w:r w:rsidRPr="00A35C95">
        <w:t xml:space="preserve">  Circumstances in which a person is taken not to provide a financial service</w:t>
      </w:r>
      <w:bookmarkEnd w:id="507"/>
      <w:bookmarkEnd w:id="508"/>
    </w:p>
    <w:p w14:paraId="3EA7CE55" w14:textId="77777777" w:rsidR="00E93F58" w:rsidRPr="00A35C95" w:rsidRDefault="00E93F58" w:rsidP="00F735BC">
      <w:pPr>
        <w:pStyle w:val="subsection"/>
        <w:tabs>
          <w:tab w:val="left" w:pos="2835"/>
        </w:tabs>
      </w:pPr>
      <w:r w:rsidRPr="00A35C95">
        <w:tab/>
        <w:t>(1)</w:t>
      </w:r>
      <w:r w:rsidRPr="00A35C95">
        <w:tab/>
        <w:t>For paragraph 766A(2)(b) of the Act, a person who provides an eligible service is taken not to provide a financial service if:</w:t>
      </w:r>
    </w:p>
    <w:p w14:paraId="46A3709D" w14:textId="77777777" w:rsidR="00E93F58" w:rsidRPr="00A35C95" w:rsidRDefault="00E93F58" w:rsidP="00F735BC">
      <w:pPr>
        <w:pStyle w:val="paragraph"/>
        <w:tabs>
          <w:tab w:val="left" w:pos="2835"/>
        </w:tabs>
      </w:pPr>
      <w:r w:rsidRPr="00A35C95">
        <w:tab/>
        <w:t>(a)</w:t>
      </w:r>
      <w:r w:rsidRPr="00A35C95">
        <w:tab/>
        <w:t>the person provides the eligible service in the course of conducting an exempt service; and</w:t>
      </w:r>
    </w:p>
    <w:p w14:paraId="072419CB" w14:textId="77777777" w:rsidR="00E93F58" w:rsidRPr="00A35C95" w:rsidRDefault="00E93F58" w:rsidP="00F735BC">
      <w:pPr>
        <w:pStyle w:val="paragraph"/>
        <w:tabs>
          <w:tab w:val="left" w:pos="2835"/>
        </w:tabs>
      </w:pPr>
      <w:r w:rsidRPr="00A35C95">
        <w:tab/>
        <w:t>(b)</w:t>
      </w:r>
      <w:r w:rsidRPr="00A35C95">
        <w:tab/>
        <w:t>it is reasonably necessary to provide the eligible service in order to conduct the exempt service; and</w:t>
      </w:r>
    </w:p>
    <w:p w14:paraId="0EFE43A9" w14:textId="77777777" w:rsidR="00E93F58" w:rsidRPr="00A35C95" w:rsidRDefault="00E93F58" w:rsidP="00F735BC">
      <w:pPr>
        <w:pStyle w:val="paragraph"/>
        <w:tabs>
          <w:tab w:val="left" w:pos="2835"/>
        </w:tabs>
      </w:pPr>
      <w:r w:rsidRPr="00A35C95">
        <w:tab/>
        <w:t>(c)</w:t>
      </w:r>
      <w:r w:rsidRPr="00A35C95">
        <w:tab/>
        <w:t>the eligible service is provided as an integral part of the exempt service.</w:t>
      </w:r>
    </w:p>
    <w:p w14:paraId="4B7665BD" w14:textId="77777777" w:rsidR="00E93F58" w:rsidRPr="00A35C95" w:rsidRDefault="00E93F58" w:rsidP="00F735BC">
      <w:pPr>
        <w:pStyle w:val="subsection"/>
        <w:tabs>
          <w:tab w:val="left" w:pos="2835"/>
        </w:tabs>
      </w:pPr>
      <w:r w:rsidRPr="00A35C95">
        <w:tab/>
        <w:t>(2)</w:t>
      </w:r>
      <w:r w:rsidRPr="00A35C95">
        <w:tab/>
        <w:t xml:space="preserve">For this regulation, a person provides an </w:t>
      </w:r>
      <w:r w:rsidRPr="00A35C95">
        <w:rPr>
          <w:b/>
          <w:i/>
        </w:rPr>
        <w:t>eligible service</w:t>
      </w:r>
      <w:r w:rsidRPr="00A35C95">
        <w:t xml:space="preserve"> if the person engages in conduct mentioned in paragraphs 766A(1)(a) to (f) of the Act.</w:t>
      </w:r>
    </w:p>
    <w:p w14:paraId="1829D81B" w14:textId="77777777" w:rsidR="00E93F58" w:rsidRPr="00A35C95" w:rsidRDefault="00E93F58" w:rsidP="00F735BC">
      <w:pPr>
        <w:pStyle w:val="subsection"/>
        <w:tabs>
          <w:tab w:val="left" w:pos="2835"/>
        </w:tabs>
      </w:pPr>
      <w:r w:rsidRPr="00A35C95">
        <w:tab/>
        <w:t>(3)</w:t>
      </w:r>
      <w:r w:rsidRPr="00A35C95">
        <w:tab/>
        <w:t xml:space="preserve">For this regulation, a person who does any of the following provides an </w:t>
      </w:r>
      <w:r w:rsidRPr="00A35C95">
        <w:rPr>
          <w:b/>
          <w:i/>
        </w:rPr>
        <w:t>exempt service</w:t>
      </w:r>
      <w:r w:rsidRPr="00A35C95">
        <w:t>:</w:t>
      </w:r>
    </w:p>
    <w:p w14:paraId="1854527C" w14:textId="77777777" w:rsidR="00E93F58" w:rsidRPr="00A35C95" w:rsidRDefault="00E93F58" w:rsidP="00F735BC">
      <w:pPr>
        <w:pStyle w:val="paragraph"/>
        <w:tabs>
          <w:tab w:val="left" w:pos="2835"/>
        </w:tabs>
      </w:pPr>
      <w:r w:rsidRPr="00A35C95">
        <w:tab/>
        <w:t>(a)</w:t>
      </w:r>
      <w:r w:rsidRPr="00A35C95">
        <w:tab/>
        <w:t>provides advice in relation to the preparation or auditing of financial reports or audit reports;</w:t>
      </w:r>
    </w:p>
    <w:p w14:paraId="75ED2E3E" w14:textId="77777777" w:rsidR="00E93F58" w:rsidRPr="00A35C95" w:rsidRDefault="00E93F58" w:rsidP="00F735BC">
      <w:pPr>
        <w:pStyle w:val="paragraph"/>
        <w:tabs>
          <w:tab w:val="left" w:pos="2835"/>
        </w:tabs>
      </w:pPr>
      <w:r w:rsidRPr="00A35C95">
        <w:tab/>
        <w:t>(b)</w:t>
      </w:r>
      <w:r w:rsidRPr="00A35C95">
        <w:tab/>
        <w:t>provides advice on a risk that another person might be subject to and identifies generic financial products or generic classes of financial product that will mitigate that risk, other than advice for inclusion in an exempt document or statement;</w:t>
      </w:r>
    </w:p>
    <w:p w14:paraId="27140081" w14:textId="77777777" w:rsidR="00E93F58" w:rsidRPr="00A35C95" w:rsidRDefault="00E93F58" w:rsidP="00F735BC">
      <w:pPr>
        <w:pStyle w:val="paragraph"/>
        <w:tabs>
          <w:tab w:val="left" w:pos="2835"/>
        </w:tabs>
      </w:pPr>
      <w:r w:rsidRPr="00A35C95">
        <w:tab/>
        <w:t>(c)</w:t>
      </w:r>
      <w:r w:rsidRPr="00A35C95">
        <w:tab/>
        <w:t>provides advice on the acquisition or disposal, administration, due diligence, establishment, structuring or valuation of an incorporated or unincorporated entity, if the advice:</w:t>
      </w:r>
    </w:p>
    <w:p w14:paraId="456411A1" w14:textId="77777777" w:rsidR="00E93F58" w:rsidRPr="00A35C95" w:rsidRDefault="00E93F58" w:rsidP="00F735BC">
      <w:pPr>
        <w:pStyle w:val="paragraphsub"/>
        <w:tabs>
          <w:tab w:val="left" w:pos="2835"/>
        </w:tabs>
      </w:pPr>
      <w:r w:rsidRPr="00A35C95">
        <w:tab/>
        <w:t>(i)</w:t>
      </w:r>
      <w:r w:rsidRPr="00A35C95">
        <w:tab/>
        <w:t>is given to a person who is, or is likely to become, an interested party in the entity; and</w:t>
      </w:r>
    </w:p>
    <w:p w14:paraId="2B05333E" w14:textId="77777777" w:rsidR="00E93F58" w:rsidRPr="00A35C95" w:rsidRDefault="00E93F58" w:rsidP="00F735BC">
      <w:pPr>
        <w:pStyle w:val="paragraphsub"/>
        <w:tabs>
          <w:tab w:val="left" w:pos="2835"/>
        </w:tabs>
      </w:pPr>
      <w:r w:rsidRPr="00A35C95">
        <w:tab/>
        <w:t>(ii)</w:t>
      </w:r>
      <w:r w:rsidRPr="00A35C95">
        <w:tab/>
        <w:t>to the extent that it is financial product advice—is confined to advice on a decision about:</w:t>
      </w:r>
    </w:p>
    <w:p w14:paraId="018B9EA1" w14:textId="77777777" w:rsidR="00E93F58" w:rsidRPr="00A35C95" w:rsidRDefault="00E93F58" w:rsidP="00F735BC">
      <w:pPr>
        <w:pStyle w:val="paragraphsub-sub"/>
        <w:tabs>
          <w:tab w:val="left" w:pos="2835"/>
        </w:tabs>
      </w:pPr>
      <w:r w:rsidRPr="00A35C95">
        <w:tab/>
        <w:t>(A)</w:t>
      </w:r>
      <w:r w:rsidRPr="00A35C95">
        <w:tab/>
        <w:t>securities of a body corporate, or related body corporate, that carries on or may carry on the business of the entity; or</w:t>
      </w:r>
    </w:p>
    <w:p w14:paraId="64513671" w14:textId="77777777" w:rsidR="00E93F58" w:rsidRPr="00A35C95" w:rsidRDefault="00E93F58" w:rsidP="00F735BC">
      <w:pPr>
        <w:pStyle w:val="paragraphsub-sub"/>
        <w:tabs>
          <w:tab w:val="left" w:pos="2835"/>
        </w:tabs>
      </w:pPr>
      <w:r w:rsidRPr="00A35C95">
        <w:tab/>
        <w:t>(B)</w:t>
      </w:r>
      <w:r w:rsidRPr="00A35C95">
        <w:tab/>
        <w:t>interests in a trust (other than a superannuation fund, a managed investment scheme that is registered or required to be registered under Part 5C.1 of the Act, or a notified foreign passport fund), the trustee of which carries on or may carry on the business of the entity in the capacity of trustee; and</w:t>
      </w:r>
    </w:p>
    <w:p w14:paraId="1AA2707C" w14:textId="77777777" w:rsidR="00E93F58" w:rsidRPr="00A35C95" w:rsidRDefault="00E93F58" w:rsidP="00F735BC">
      <w:pPr>
        <w:pStyle w:val="paragraphsub"/>
        <w:tabs>
          <w:tab w:val="left" w:pos="2835"/>
        </w:tabs>
      </w:pPr>
      <w:r w:rsidRPr="00A35C95">
        <w:tab/>
        <w:t>(iii)</w:t>
      </w:r>
      <w:r w:rsidRPr="00A35C95">
        <w:tab/>
        <w:t>does not relate to other financial products that the body corporate or the trustee of the trust may acquire or dispose of; and</w:t>
      </w:r>
    </w:p>
    <w:p w14:paraId="64C20569" w14:textId="77777777" w:rsidR="00E93F58" w:rsidRPr="00A35C95" w:rsidRDefault="00E93F58" w:rsidP="00F735BC">
      <w:pPr>
        <w:pStyle w:val="paragraphsub"/>
        <w:tabs>
          <w:tab w:val="left" w:pos="2835"/>
        </w:tabs>
      </w:pPr>
      <w:r w:rsidRPr="00A35C95">
        <w:tab/>
        <w:t>(iv)</w:t>
      </w:r>
      <w:r w:rsidRPr="00A35C95">
        <w:tab/>
        <w:t>is not advice for inclusion in an exempt document or statement;</w:t>
      </w:r>
    </w:p>
    <w:p w14:paraId="0256681D" w14:textId="77777777" w:rsidR="00E93F58" w:rsidRPr="00A35C95" w:rsidRDefault="00E93F58" w:rsidP="00F735BC">
      <w:pPr>
        <w:pStyle w:val="paragraph"/>
        <w:tabs>
          <w:tab w:val="left" w:pos="2835"/>
        </w:tabs>
      </w:pPr>
      <w:r w:rsidRPr="00A35C95">
        <w:tab/>
        <w:t>(d)</w:t>
      </w:r>
      <w:r w:rsidRPr="00A35C95">
        <w:tab/>
        <w:t>provides advice on financial products that are:</w:t>
      </w:r>
    </w:p>
    <w:p w14:paraId="47E4C147" w14:textId="77777777" w:rsidR="00E93F58" w:rsidRPr="00A35C95" w:rsidRDefault="00E93F58" w:rsidP="00F735BC">
      <w:pPr>
        <w:pStyle w:val="paragraphsub"/>
        <w:tabs>
          <w:tab w:val="left" w:pos="2835"/>
        </w:tabs>
      </w:pPr>
      <w:r w:rsidRPr="00A35C95">
        <w:tab/>
        <w:t>(i)</w:t>
      </w:r>
      <w:r w:rsidRPr="00A35C95">
        <w:tab/>
        <w:t>securities in a company (other than securities that are to be offered under a disclosure document under Chapter 6D of the Act); or</w:t>
      </w:r>
    </w:p>
    <w:p w14:paraId="2DD7A919" w14:textId="77777777" w:rsidR="00E93F58" w:rsidRPr="00A35C95" w:rsidRDefault="00E93F58" w:rsidP="00F735BC">
      <w:pPr>
        <w:pStyle w:val="paragraphsub"/>
        <w:tabs>
          <w:tab w:val="left" w:pos="2835"/>
        </w:tabs>
      </w:pPr>
      <w:r w:rsidRPr="00A35C95">
        <w:tab/>
        <w:t>(ii)</w:t>
      </w:r>
      <w:r w:rsidRPr="00A35C95">
        <w:tab/>
        <w:t>interests in a trust (other than a superannuation fund, a managed investment scheme that is registered or required to be registered under Part 5C.1 of the Act, or a notified foreign passport fund);</w:t>
      </w:r>
    </w:p>
    <w:p w14:paraId="457EE891" w14:textId="77777777" w:rsidR="00E93F58" w:rsidRPr="00A35C95" w:rsidRDefault="00E93F58" w:rsidP="00F735BC">
      <w:pPr>
        <w:pStyle w:val="paragraph"/>
        <w:tabs>
          <w:tab w:val="left" w:pos="2835"/>
        </w:tabs>
      </w:pPr>
      <w:r w:rsidRPr="00A35C95">
        <w:tab/>
      </w:r>
      <w:r w:rsidRPr="00A35C95">
        <w:tab/>
        <w:t>if the company or trust is not carrying on a business and has not, at any time, carried on a business;</w:t>
      </w:r>
    </w:p>
    <w:p w14:paraId="30ACDD44" w14:textId="77777777" w:rsidR="00E93F58" w:rsidRPr="00A35C95" w:rsidRDefault="00E93F58" w:rsidP="00F735BC">
      <w:pPr>
        <w:pStyle w:val="paragraph"/>
        <w:tabs>
          <w:tab w:val="left" w:pos="2835"/>
        </w:tabs>
      </w:pPr>
      <w:r w:rsidRPr="00A35C95">
        <w:tab/>
        <w:t>(e)</w:t>
      </w:r>
      <w:r w:rsidRPr="00A35C95">
        <w:tab/>
        <w:t>provides advice in relation to the transfer of financial products between associates;</w:t>
      </w:r>
    </w:p>
    <w:p w14:paraId="72B14454" w14:textId="77777777" w:rsidR="00E93F58" w:rsidRPr="00A35C95" w:rsidRDefault="00E93F58" w:rsidP="00F735BC">
      <w:pPr>
        <w:pStyle w:val="paragraph"/>
        <w:tabs>
          <w:tab w:val="left" w:pos="2835"/>
        </w:tabs>
      </w:pPr>
      <w:r w:rsidRPr="00A35C95">
        <w:tab/>
        <w:t>(f)</w:t>
      </w:r>
      <w:r w:rsidRPr="00A35C95">
        <w:tab/>
        <w:t>arranges for another person to engage in conduct referred to in subsection 766C(1) in relation to interests in a self managed superannuation fund in the circumstances in paragraphs (5)(b) and (c);</w:t>
      </w:r>
    </w:p>
    <w:p w14:paraId="1597476D" w14:textId="77777777" w:rsidR="00E93F58" w:rsidRPr="00A35C95" w:rsidRDefault="00E93F58" w:rsidP="00F735BC">
      <w:pPr>
        <w:pStyle w:val="paragraph"/>
        <w:tabs>
          <w:tab w:val="left" w:pos="2835"/>
        </w:tabs>
      </w:pPr>
      <w:r w:rsidRPr="00A35C95">
        <w:lastRenderedPageBreak/>
        <w:tab/>
        <w:t>(g)</w:t>
      </w:r>
      <w:r w:rsidRPr="00A35C95">
        <w:tab/>
        <w:t>arranges for another person to engage in conduct referred to in subsection 766C(1), by preparing a document of registration or transfer in order to complete administrative tasks on instructions from the person;</w:t>
      </w:r>
    </w:p>
    <w:p w14:paraId="679BCC47" w14:textId="77777777" w:rsidR="00E93F58" w:rsidRPr="00A35C95" w:rsidRDefault="00E93F58" w:rsidP="00F735BC">
      <w:pPr>
        <w:pStyle w:val="paragraph"/>
        <w:tabs>
          <w:tab w:val="left" w:pos="2835"/>
        </w:tabs>
      </w:pPr>
      <w:r w:rsidRPr="00A35C95">
        <w:tab/>
        <w:t>(h)</w:t>
      </w:r>
      <w:r w:rsidRPr="00A35C95">
        <w:tab/>
        <w:t>provides advice about the provision of financial products as security, other than where the security is provided for the acquisition of other financial products.</w:t>
      </w:r>
    </w:p>
    <w:p w14:paraId="5EF8BC06" w14:textId="77777777" w:rsidR="00E93F58" w:rsidRPr="00A35C95" w:rsidRDefault="00E93F58" w:rsidP="00F735BC">
      <w:pPr>
        <w:pStyle w:val="subsection"/>
        <w:tabs>
          <w:tab w:val="left" w:pos="2835"/>
        </w:tabs>
      </w:pPr>
      <w:r w:rsidRPr="00A35C95">
        <w:tab/>
        <w:t>(3A)</w:t>
      </w:r>
      <w:r w:rsidRPr="00A35C95">
        <w:tab/>
        <w:t xml:space="preserve">For this regulation, a person also provides an </w:t>
      </w:r>
      <w:r w:rsidRPr="00A35C95">
        <w:rPr>
          <w:b/>
          <w:i/>
        </w:rPr>
        <w:t>exempt service</w:t>
      </w:r>
      <w:r w:rsidRPr="00A35C95">
        <w:t xml:space="preserve"> if the person:</w:t>
      </w:r>
    </w:p>
    <w:p w14:paraId="0752122B" w14:textId="77777777" w:rsidR="00E93F58" w:rsidRPr="00A35C95" w:rsidRDefault="00E93F58" w:rsidP="00F735BC">
      <w:pPr>
        <w:pStyle w:val="paragraph"/>
        <w:tabs>
          <w:tab w:val="left" w:pos="2835"/>
        </w:tabs>
      </w:pPr>
      <w:r w:rsidRPr="00A35C95">
        <w:tab/>
        <w:t>(a)</w:t>
      </w:r>
      <w:r w:rsidRPr="00A35C95">
        <w:tab/>
        <w:t>is registered as an auditor under Part 9.2 of the Act; and</w:t>
      </w:r>
    </w:p>
    <w:p w14:paraId="728FA2E1" w14:textId="77777777" w:rsidR="00E93F58" w:rsidRPr="00A35C95" w:rsidRDefault="00E93F58" w:rsidP="00F735BC">
      <w:pPr>
        <w:pStyle w:val="paragraph"/>
        <w:tabs>
          <w:tab w:val="left" w:pos="2835"/>
        </w:tabs>
      </w:pPr>
      <w:r w:rsidRPr="00A35C95">
        <w:tab/>
        <w:t>(b)</w:t>
      </w:r>
      <w:r w:rsidRPr="00A35C95">
        <w:tab/>
        <w:t xml:space="preserve">performs any of the functions of a cover pool monitor mentioned in subsection 30(4) of the </w:t>
      </w:r>
      <w:r w:rsidRPr="00A35C95">
        <w:rPr>
          <w:i/>
        </w:rPr>
        <w:t>Banking Act 1959</w:t>
      </w:r>
      <w:r w:rsidRPr="00A35C95">
        <w:t>.</w:t>
      </w:r>
    </w:p>
    <w:p w14:paraId="0B6898D6" w14:textId="77777777" w:rsidR="00E93F58" w:rsidRPr="00A35C95" w:rsidRDefault="00E93F58" w:rsidP="00F735BC">
      <w:pPr>
        <w:pStyle w:val="subsection"/>
        <w:tabs>
          <w:tab w:val="left" w:pos="2835"/>
        </w:tabs>
      </w:pPr>
      <w:r w:rsidRPr="00A35C95">
        <w:tab/>
        <w:t>(4)</w:t>
      </w:r>
      <w:r w:rsidRPr="00A35C95">
        <w:tab/>
        <w:t xml:space="preserve">For this regulation, a person also provides an </w:t>
      </w:r>
      <w:r w:rsidRPr="00A35C95">
        <w:rPr>
          <w:b/>
          <w:i/>
        </w:rPr>
        <w:t>exempt service</w:t>
      </w:r>
      <w:r w:rsidRPr="00A35C95">
        <w:t xml:space="preserve"> if:</w:t>
      </w:r>
    </w:p>
    <w:p w14:paraId="46BC1066" w14:textId="77777777" w:rsidR="00E93F58" w:rsidRPr="00A35C95" w:rsidRDefault="00E93F58" w:rsidP="00F735BC">
      <w:pPr>
        <w:pStyle w:val="paragraph"/>
        <w:tabs>
          <w:tab w:val="left" w:pos="2835"/>
        </w:tabs>
      </w:pPr>
      <w:r w:rsidRPr="00A35C95">
        <w:tab/>
        <w:t>(a)</w:t>
      </w:r>
      <w:r w:rsidRPr="00A35C95">
        <w:tab/>
        <w:t>the person provides advice to another person on taxation issues including advice in relation to the taxation implications of financial products; and</w:t>
      </w:r>
    </w:p>
    <w:p w14:paraId="37CDFDE9" w14:textId="77777777" w:rsidR="00E93F58" w:rsidRPr="00A35C95" w:rsidRDefault="00E93F58" w:rsidP="00F735BC">
      <w:pPr>
        <w:pStyle w:val="paragraph"/>
        <w:tabs>
          <w:tab w:val="left" w:pos="2835"/>
        </w:tabs>
      </w:pPr>
      <w:r w:rsidRPr="00A35C95">
        <w:tab/>
        <w:t>(b)</w:t>
      </w:r>
      <w:r w:rsidRPr="00A35C95">
        <w:tab/>
        <w:t>the person will not receive a benefit (other than from the person advised or an associate of the person advised) as a result of the person advised acquiring a financial product mentioned in the advice, or a financial product that falls within a class of financial products mentioned in the advice; and</w:t>
      </w:r>
    </w:p>
    <w:p w14:paraId="749299D9" w14:textId="77777777" w:rsidR="00E93F58" w:rsidRPr="00A35C95" w:rsidRDefault="00E93F58" w:rsidP="00F735BC">
      <w:pPr>
        <w:pStyle w:val="paragraph"/>
        <w:tabs>
          <w:tab w:val="left" w:pos="2835"/>
        </w:tabs>
      </w:pPr>
      <w:r w:rsidRPr="00A35C95">
        <w:tab/>
        <w:t>(c)</w:t>
      </w:r>
      <w:r w:rsidRPr="00A35C95">
        <w:tab/>
        <w:t>either:</w:t>
      </w:r>
    </w:p>
    <w:p w14:paraId="3725219A" w14:textId="77777777" w:rsidR="00E93F58" w:rsidRPr="00A35C95" w:rsidRDefault="00E93F58" w:rsidP="00F735BC">
      <w:pPr>
        <w:pStyle w:val="paragraphsub"/>
        <w:tabs>
          <w:tab w:val="left" w:pos="2835"/>
        </w:tabs>
      </w:pPr>
      <w:r w:rsidRPr="00A35C95">
        <w:tab/>
        <w:t>(i)</w:t>
      </w:r>
      <w:r w:rsidRPr="00A35C95">
        <w:tab/>
        <w:t>the advice does not constitute financial product advice to a retail client; or</w:t>
      </w:r>
    </w:p>
    <w:p w14:paraId="2686EFE2" w14:textId="77777777" w:rsidR="00E93F58" w:rsidRPr="00A35C95" w:rsidRDefault="00E93F58" w:rsidP="00F735BC">
      <w:pPr>
        <w:pStyle w:val="paragraphsub"/>
        <w:tabs>
          <w:tab w:val="left" w:pos="2835"/>
        </w:tabs>
      </w:pPr>
      <w:r w:rsidRPr="00A35C95">
        <w:tab/>
        <w:t>(ii)</w:t>
      </w:r>
      <w:r w:rsidRPr="00A35C95">
        <w:tab/>
        <w:t>the advice constitutes financial product advice to a retail client and it includes, or is accompanied by, a written statement that:</w:t>
      </w:r>
    </w:p>
    <w:p w14:paraId="21AD69E6" w14:textId="77777777" w:rsidR="00E93F58" w:rsidRPr="00A35C95" w:rsidRDefault="00E93F58" w:rsidP="00F735BC">
      <w:pPr>
        <w:pStyle w:val="paragraphsub-sub"/>
        <w:tabs>
          <w:tab w:val="left" w:pos="2835"/>
        </w:tabs>
      </w:pPr>
      <w:r w:rsidRPr="00A35C95">
        <w:tab/>
        <w:t>(A)</w:t>
      </w:r>
      <w:r w:rsidRPr="00A35C95">
        <w:tab/>
        <w:t>the person providing the advice is not licensed to provide financial product advice under the Act; and</w:t>
      </w:r>
    </w:p>
    <w:p w14:paraId="14C46A42" w14:textId="77777777" w:rsidR="00E93F58" w:rsidRPr="00A35C95" w:rsidRDefault="00E93F58" w:rsidP="00F735BC">
      <w:pPr>
        <w:pStyle w:val="paragraphsub-sub"/>
        <w:tabs>
          <w:tab w:val="left" w:pos="2835"/>
        </w:tabs>
      </w:pPr>
      <w:r w:rsidRPr="00A35C95">
        <w:tab/>
        <w:t>(B)</w:t>
      </w:r>
      <w:r w:rsidRPr="00A35C95">
        <w:tab/>
        <w:t>taxation is only one of the matters that must be considered when making a decision on a financial product; and</w:t>
      </w:r>
    </w:p>
    <w:p w14:paraId="4E2D2750" w14:textId="77777777" w:rsidR="00E93F58" w:rsidRPr="00A35C95" w:rsidRDefault="00E93F58" w:rsidP="00F735BC">
      <w:pPr>
        <w:pStyle w:val="paragraphsub-sub"/>
        <w:tabs>
          <w:tab w:val="left" w:pos="2835"/>
        </w:tabs>
      </w:pPr>
      <w:r w:rsidRPr="00A35C95">
        <w:tab/>
        <w:t>(C)</w:t>
      </w:r>
      <w:r w:rsidRPr="00A35C95">
        <w:tab/>
        <w:t>the client should consider taking advice from the holder of an Australian Financial Services Licence before making a decision on a financial product.</w:t>
      </w:r>
    </w:p>
    <w:p w14:paraId="354A10E3" w14:textId="77777777" w:rsidR="00E93F58" w:rsidRPr="00A35C95" w:rsidRDefault="00E93F58" w:rsidP="00F735BC">
      <w:pPr>
        <w:pStyle w:val="subsection"/>
        <w:tabs>
          <w:tab w:val="left" w:pos="2835"/>
        </w:tabs>
      </w:pPr>
      <w:r w:rsidRPr="00A35C95">
        <w:tab/>
        <w:t>(5)</w:t>
      </w:r>
      <w:r w:rsidRPr="00A35C95">
        <w:tab/>
        <w:t xml:space="preserve">For this regulation, a person also provides an </w:t>
      </w:r>
      <w:r w:rsidRPr="00A35C95">
        <w:rPr>
          <w:b/>
          <w:i/>
        </w:rPr>
        <w:t>exempt service</w:t>
      </w:r>
      <w:r w:rsidRPr="00A35C95">
        <w:t xml:space="preserve"> if:</w:t>
      </w:r>
    </w:p>
    <w:p w14:paraId="7576B2B9" w14:textId="77777777" w:rsidR="00E93F58" w:rsidRPr="00A35C95" w:rsidRDefault="00E93F58" w:rsidP="00F735BC">
      <w:pPr>
        <w:pStyle w:val="paragraph"/>
        <w:tabs>
          <w:tab w:val="left" w:pos="2835"/>
        </w:tabs>
      </w:pPr>
      <w:r w:rsidRPr="00A35C95">
        <w:tab/>
        <w:t>(a)</w:t>
      </w:r>
      <w:r w:rsidRPr="00A35C95">
        <w:tab/>
        <w:t>the person provides advice in relation to the establishment, operation, structuring or valuation of a superannuation fund, other than advice for inclusion in an exempt document or statement; and</w:t>
      </w:r>
    </w:p>
    <w:p w14:paraId="65B35060" w14:textId="77777777" w:rsidR="00E93F58" w:rsidRPr="00A35C95" w:rsidRDefault="00E93F58" w:rsidP="00F735BC">
      <w:pPr>
        <w:pStyle w:val="paragraph"/>
        <w:tabs>
          <w:tab w:val="left" w:pos="2835"/>
        </w:tabs>
      </w:pPr>
      <w:r w:rsidRPr="00A35C95">
        <w:tab/>
        <w:t>(b)</w:t>
      </w:r>
      <w:r w:rsidRPr="00A35C95">
        <w:tab/>
        <w:t>the person advised is, or is likely to become:</w:t>
      </w:r>
    </w:p>
    <w:p w14:paraId="2B1F65BE" w14:textId="77777777" w:rsidR="00E93F58" w:rsidRPr="00A35C95" w:rsidRDefault="00E93F58" w:rsidP="00F735BC">
      <w:pPr>
        <w:pStyle w:val="paragraphsub"/>
        <w:tabs>
          <w:tab w:val="left" w:pos="2835"/>
        </w:tabs>
      </w:pPr>
      <w:r w:rsidRPr="00A35C95">
        <w:tab/>
        <w:t>(i)</w:t>
      </w:r>
      <w:r w:rsidRPr="00A35C95">
        <w:tab/>
        <w:t>a trustee; or</w:t>
      </w:r>
    </w:p>
    <w:p w14:paraId="6E8EEEF4" w14:textId="77777777" w:rsidR="00E93F58" w:rsidRPr="00A35C95" w:rsidRDefault="00E93F58" w:rsidP="00F735BC">
      <w:pPr>
        <w:pStyle w:val="paragraphsub"/>
        <w:tabs>
          <w:tab w:val="left" w:pos="2835"/>
        </w:tabs>
      </w:pPr>
      <w:r w:rsidRPr="00A35C95">
        <w:tab/>
        <w:t>(ii)</w:t>
      </w:r>
      <w:r w:rsidRPr="00A35C95">
        <w:tab/>
        <w:t>a director of a trustee; or</w:t>
      </w:r>
    </w:p>
    <w:p w14:paraId="7C720B09" w14:textId="77777777" w:rsidR="00E93F58" w:rsidRPr="00BE1284" w:rsidRDefault="00E93F58" w:rsidP="00932973">
      <w:pPr>
        <w:pStyle w:val="paragraphsub"/>
      </w:pPr>
      <w:r w:rsidRPr="00BE1284">
        <w:tab/>
        <w:t>(iii)</w:t>
      </w:r>
      <w:r w:rsidRPr="00BE1284">
        <w:tab/>
        <w:t>an employer</w:t>
      </w:r>
      <w:r>
        <w:noBreakHyphen/>
      </w:r>
      <w:r w:rsidRPr="00BE1284">
        <w:t>sponsor; or</w:t>
      </w:r>
    </w:p>
    <w:p w14:paraId="3E1E56F9" w14:textId="77777777" w:rsidR="00E93F58" w:rsidRPr="00A35C95" w:rsidRDefault="00E93F58" w:rsidP="00F735BC">
      <w:pPr>
        <w:pStyle w:val="paragraphsub"/>
        <w:tabs>
          <w:tab w:val="left" w:pos="2835"/>
        </w:tabs>
      </w:pPr>
      <w:r w:rsidRPr="00A35C95">
        <w:tab/>
        <w:t>(iv)</w:t>
      </w:r>
      <w:r w:rsidRPr="00A35C95">
        <w:tab/>
        <w:t>a person who controls the management;</w:t>
      </w:r>
    </w:p>
    <w:p w14:paraId="2CFB6E4B" w14:textId="77777777" w:rsidR="00E93F58" w:rsidRPr="00A35C95" w:rsidRDefault="00E93F58" w:rsidP="00F735BC">
      <w:pPr>
        <w:pStyle w:val="paragraph"/>
        <w:tabs>
          <w:tab w:val="left" w:pos="2835"/>
        </w:tabs>
      </w:pPr>
      <w:r w:rsidRPr="00A35C95">
        <w:tab/>
      </w:r>
      <w:r w:rsidRPr="00A35C95">
        <w:tab/>
        <w:t>of the superannuation fund; and</w:t>
      </w:r>
    </w:p>
    <w:p w14:paraId="44C2F2EF" w14:textId="77777777" w:rsidR="00E93F58" w:rsidRPr="00A35C95" w:rsidRDefault="00E93F58" w:rsidP="00F735BC">
      <w:pPr>
        <w:pStyle w:val="paragraph"/>
        <w:tabs>
          <w:tab w:val="left" w:pos="2835"/>
        </w:tabs>
      </w:pPr>
      <w:r w:rsidRPr="00A35C95">
        <w:tab/>
        <w:t>(c)</w:t>
      </w:r>
      <w:r w:rsidRPr="00A35C95">
        <w:tab/>
        <w:t xml:space="preserve">except for advice that is given for the sole purpose, and only to the extent reasonably necessary for the purpose, of ensuring compliance by the person advised with the SIS Act (other than paragraph 52(2)(f)), the SIS Regulations (other than regulation 4.09) or the </w:t>
      </w:r>
      <w:r w:rsidRPr="00A35C95">
        <w:rPr>
          <w:i/>
        </w:rPr>
        <w:t>Superannuation Guarantee (Administration) Act 1992</w:t>
      </w:r>
      <w:r w:rsidRPr="00A35C95">
        <w:t>—the advice:</w:t>
      </w:r>
    </w:p>
    <w:p w14:paraId="05EEA3CD" w14:textId="77777777" w:rsidR="00E93F58" w:rsidRPr="00A35C95" w:rsidRDefault="00E93F58" w:rsidP="00F735BC">
      <w:pPr>
        <w:pStyle w:val="paragraphsub"/>
        <w:tabs>
          <w:tab w:val="left" w:pos="2835"/>
        </w:tabs>
      </w:pPr>
      <w:r w:rsidRPr="00A35C95">
        <w:tab/>
        <w:t>(i)</w:t>
      </w:r>
      <w:r w:rsidRPr="00A35C95">
        <w:tab/>
        <w:t>does not relate to the acquisition or disposal by the superannuation fund of specific financial products or classes of financial products; and</w:t>
      </w:r>
    </w:p>
    <w:p w14:paraId="2F0EB54F" w14:textId="77777777" w:rsidR="00E93F58" w:rsidRPr="00A35C95" w:rsidRDefault="00E93F58" w:rsidP="00F735BC">
      <w:pPr>
        <w:pStyle w:val="paragraphsub"/>
        <w:tabs>
          <w:tab w:val="left" w:pos="2835"/>
        </w:tabs>
      </w:pPr>
      <w:r w:rsidRPr="00A35C95">
        <w:tab/>
        <w:t>(ii)</w:t>
      </w:r>
      <w:r w:rsidRPr="00A35C95">
        <w:tab/>
        <w:t>does not include a recommendation that a person acquire or dispose of a superannuation product; and</w:t>
      </w:r>
    </w:p>
    <w:p w14:paraId="624E5643" w14:textId="77777777" w:rsidR="00E93F58" w:rsidRPr="00A35C95" w:rsidRDefault="00E93F58" w:rsidP="00F735BC">
      <w:pPr>
        <w:pStyle w:val="paragraphsub"/>
        <w:tabs>
          <w:tab w:val="left" w:pos="2835"/>
        </w:tabs>
      </w:pPr>
      <w:r w:rsidRPr="00A35C95">
        <w:tab/>
        <w:t>(iii)</w:t>
      </w:r>
      <w:r w:rsidRPr="00A35C95">
        <w:tab/>
        <w:t>does not include a recommendation in relation to a person’s existing holding in a superannuation product to modify an investment strategy or a contribution level; and</w:t>
      </w:r>
    </w:p>
    <w:p w14:paraId="72503BE0" w14:textId="77777777" w:rsidR="00E93F58" w:rsidRPr="00A35C95" w:rsidRDefault="00E93F58" w:rsidP="00F735BC">
      <w:pPr>
        <w:pStyle w:val="paragraph"/>
        <w:tabs>
          <w:tab w:val="left" w:pos="2835"/>
        </w:tabs>
      </w:pPr>
      <w:r w:rsidRPr="00A35C95">
        <w:tab/>
        <w:t>(d)</w:t>
      </w:r>
      <w:r w:rsidRPr="00A35C95">
        <w:tab/>
        <w:t>if the advice constitutes financial product advice provided to a retail client—the advice includes, or is accompanied by, a written statement that:</w:t>
      </w:r>
    </w:p>
    <w:p w14:paraId="0B160407" w14:textId="77777777" w:rsidR="00E93F58" w:rsidRPr="00A35C95" w:rsidRDefault="00E93F58" w:rsidP="00F735BC">
      <w:pPr>
        <w:pStyle w:val="paragraphsub"/>
        <w:tabs>
          <w:tab w:val="left" w:pos="2835"/>
        </w:tabs>
      </w:pPr>
      <w:r w:rsidRPr="00A35C95">
        <w:tab/>
        <w:t>(i)</w:t>
      </w:r>
      <w:r w:rsidRPr="00A35C95">
        <w:tab/>
        <w:t>the person providing the advice is not licensed to provide financial product advice under the Act; and</w:t>
      </w:r>
    </w:p>
    <w:p w14:paraId="66A53990" w14:textId="77777777" w:rsidR="00E93F58" w:rsidRPr="00A35C95" w:rsidRDefault="00E93F58" w:rsidP="00F735BC">
      <w:pPr>
        <w:pStyle w:val="paragraphsub"/>
        <w:tabs>
          <w:tab w:val="left" w:pos="2835"/>
        </w:tabs>
      </w:pPr>
      <w:r w:rsidRPr="00A35C95">
        <w:tab/>
        <w:t>(ii)</w:t>
      </w:r>
      <w:r w:rsidRPr="00A35C95">
        <w:tab/>
        <w:t>the client should consider taking advice from the holder of an Australian Financial Services Licence before making a decision on a financial product.</w:t>
      </w:r>
    </w:p>
    <w:p w14:paraId="6B9E2BEA" w14:textId="77777777" w:rsidR="00E93F58" w:rsidRPr="00A35C95" w:rsidRDefault="00E93F58" w:rsidP="00F735BC">
      <w:pPr>
        <w:pStyle w:val="subsection"/>
        <w:tabs>
          <w:tab w:val="left" w:pos="2835"/>
        </w:tabs>
      </w:pPr>
      <w:r w:rsidRPr="00A35C95">
        <w:tab/>
        <w:t>(6)</w:t>
      </w:r>
      <w:r w:rsidRPr="00A35C95">
        <w:tab/>
        <w:t>In this regulation:</w:t>
      </w:r>
    </w:p>
    <w:p w14:paraId="2E07B1B6" w14:textId="77777777" w:rsidR="00E93F58" w:rsidRPr="00A35C95" w:rsidRDefault="00E93F58" w:rsidP="00F735BC">
      <w:pPr>
        <w:pStyle w:val="Definition"/>
        <w:tabs>
          <w:tab w:val="left" w:pos="2835"/>
        </w:tabs>
      </w:pPr>
      <w:r w:rsidRPr="00A35C95">
        <w:rPr>
          <w:b/>
          <w:i/>
        </w:rPr>
        <w:t xml:space="preserve">exempt document or statement </w:t>
      </w:r>
      <w:r w:rsidRPr="00A35C95">
        <w:t>has the meaning given by subsection 766B(9) of the Act.</w:t>
      </w:r>
    </w:p>
    <w:p w14:paraId="783956C6" w14:textId="77777777" w:rsidR="00E93F58" w:rsidRPr="00A35C95" w:rsidRDefault="00E93F58" w:rsidP="00F735BC">
      <w:pPr>
        <w:pStyle w:val="Definition"/>
        <w:tabs>
          <w:tab w:val="left" w:pos="2835"/>
        </w:tabs>
      </w:pPr>
      <w:r w:rsidRPr="00A35C95">
        <w:rPr>
          <w:b/>
          <w:i/>
        </w:rPr>
        <w:t>generic</w:t>
      </w:r>
      <w:r w:rsidRPr="00A35C95">
        <w:t xml:space="preserve"> means without reference to a particular brand or product issuer.</w:t>
      </w:r>
    </w:p>
    <w:p w14:paraId="4AC2EAF5" w14:textId="77777777" w:rsidR="00E93F58" w:rsidRPr="00A35C95" w:rsidRDefault="00E93F58" w:rsidP="00F735BC">
      <w:pPr>
        <w:pStyle w:val="Definition"/>
        <w:tabs>
          <w:tab w:val="left" w:pos="2835"/>
        </w:tabs>
      </w:pPr>
      <w:r w:rsidRPr="00A35C95">
        <w:rPr>
          <w:b/>
          <w:i/>
        </w:rPr>
        <w:lastRenderedPageBreak/>
        <w:t>interested party</w:t>
      </w:r>
      <w:r w:rsidRPr="00A35C95">
        <w:t xml:space="preserve"> means:</w:t>
      </w:r>
    </w:p>
    <w:p w14:paraId="32BC8AC0" w14:textId="77777777" w:rsidR="00E93F58" w:rsidRPr="00A35C95" w:rsidRDefault="00E93F58" w:rsidP="00F735BC">
      <w:pPr>
        <w:pStyle w:val="paragraph"/>
        <w:tabs>
          <w:tab w:val="left" w:pos="2835"/>
        </w:tabs>
      </w:pPr>
      <w:r w:rsidRPr="00A35C95">
        <w:tab/>
        <w:t>(a)</w:t>
      </w:r>
      <w:r w:rsidRPr="00A35C95">
        <w:tab/>
        <w:t>an associate within the meaning of Division 2 of Part 1.2 of the Act; or</w:t>
      </w:r>
    </w:p>
    <w:p w14:paraId="0623C81D" w14:textId="77777777" w:rsidR="00E93F58" w:rsidRPr="00A35C95" w:rsidRDefault="00E93F58" w:rsidP="00F735BC">
      <w:pPr>
        <w:pStyle w:val="paragraph"/>
        <w:tabs>
          <w:tab w:val="left" w:pos="2835"/>
        </w:tabs>
      </w:pPr>
      <w:r w:rsidRPr="00A35C95">
        <w:tab/>
        <w:t>(b)</w:t>
      </w:r>
      <w:r w:rsidRPr="00A35C95">
        <w:tab/>
        <w:t>a manager; or</w:t>
      </w:r>
    </w:p>
    <w:p w14:paraId="25C0A447" w14:textId="77777777" w:rsidR="00E93F58" w:rsidRPr="00A35C95" w:rsidRDefault="00E93F58" w:rsidP="00F735BC">
      <w:pPr>
        <w:pStyle w:val="paragraph"/>
        <w:tabs>
          <w:tab w:val="left" w:pos="2835"/>
        </w:tabs>
      </w:pPr>
      <w:r w:rsidRPr="00A35C95">
        <w:tab/>
        <w:t>(c)</w:t>
      </w:r>
      <w:r w:rsidRPr="00A35C95">
        <w:tab/>
        <w:t>an officer; or</w:t>
      </w:r>
    </w:p>
    <w:p w14:paraId="6A6B03EB" w14:textId="77777777" w:rsidR="00E93F58" w:rsidRPr="00A35C95" w:rsidRDefault="00E93F58" w:rsidP="00F735BC">
      <w:pPr>
        <w:pStyle w:val="paragraph"/>
        <w:tabs>
          <w:tab w:val="left" w:pos="2835"/>
        </w:tabs>
      </w:pPr>
      <w:r w:rsidRPr="00A35C95">
        <w:tab/>
        <w:t>(d)</w:t>
      </w:r>
      <w:r w:rsidRPr="00A35C95">
        <w:tab/>
        <w:t>a trustee or director of a trustee.</w:t>
      </w:r>
    </w:p>
    <w:p w14:paraId="26823D31" w14:textId="77777777" w:rsidR="00E93F58" w:rsidRPr="00A35C95" w:rsidRDefault="00E93F58" w:rsidP="00366AB5">
      <w:pPr>
        <w:pStyle w:val="ActHead5"/>
        <w:tabs>
          <w:tab w:val="left" w:pos="2835"/>
        </w:tabs>
      </w:pPr>
      <w:bookmarkStart w:id="509" w:name="_Toc152057829"/>
      <w:bookmarkStart w:id="510" w:name="_Hlk95916564"/>
      <w:bookmarkStart w:id="511" w:name="_Toc158712052"/>
      <w:r w:rsidRPr="00844D11">
        <w:rPr>
          <w:rStyle w:val="CharSectno"/>
        </w:rPr>
        <w:t>7.1.30</w:t>
      </w:r>
      <w:r w:rsidRPr="00A35C95">
        <w:t xml:space="preserve">  Information and advice about voting</w:t>
      </w:r>
      <w:bookmarkEnd w:id="509"/>
      <w:bookmarkEnd w:id="511"/>
    </w:p>
    <w:p w14:paraId="6D724D13" w14:textId="77777777" w:rsidR="00E93F58" w:rsidRPr="00A35C95" w:rsidRDefault="00E93F58" w:rsidP="00366AB5">
      <w:pPr>
        <w:pStyle w:val="subsection"/>
        <w:keepNext/>
        <w:keepLines/>
        <w:tabs>
          <w:tab w:val="left" w:pos="2835"/>
        </w:tabs>
      </w:pPr>
      <w:r w:rsidRPr="00A35C95">
        <w:tab/>
      </w:r>
      <w:r w:rsidRPr="00A35C95">
        <w:tab/>
        <w:t>For paragraph 766A(2)(b) of the Act, a circumstance in which a person is taken not to provide a financial service within the meaning of paragraph 766A(1)(a) of the Act is that:</w:t>
      </w:r>
    </w:p>
    <w:p w14:paraId="5503CEA8" w14:textId="77777777" w:rsidR="00E93F58" w:rsidRPr="00A35C95" w:rsidRDefault="00E93F58" w:rsidP="00F735BC">
      <w:pPr>
        <w:pStyle w:val="paragraph"/>
        <w:tabs>
          <w:tab w:val="left" w:pos="2835"/>
        </w:tabs>
      </w:pPr>
      <w:r w:rsidRPr="00A35C95">
        <w:tab/>
        <w:t>(a)</w:t>
      </w:r>
      <w:r w:rsidRPr="00A35C95">
        <w:tab/>
        <w:t xml:space="preserve">the service provided by the person consists only of advising another person </w:t>
      </w:r>
      <w:r w:rsidRPr="00A35C95">
        <w:rPr>
          <w:color w:val="000000"/>
        </w:rPr>
        <w:t>in relation to the manner in which:</w:t>
      </w:r>
    </w:p>
    <w:p w14:paraId="0E1BED82" w14:textId="77777777" w:rsidR="00E93F58" w:rsidRPr="00A35C95" w:rsidRDefault="00E93F58" w:rsidP="00F735BC">
      <w:pPr>
        <w:pStyle w:val="paragraphsub"/>
        <w:tabs>
          <w:tab w:val="left" w:pos="2835"/>
        </w:tabs>
      </w:pPr>
      <w:r w:rsidRPr="00A35C95">
        <w:tab/>
        <w:t>(i)</w:t>
      </w:r>
      <w:r w:rsidRPr="00A35C95">
        <w:tab/>
        <w:t>voting rights attaching to securities; or</w:t>
      </w:r>
    </w:p>
    <w:p w14:paraId="60734BF9" w14:textId="77777777" w:rsidR="00E93F58" w:rsidRPr="00A35C95" w:rsidRDefault="00E93F58" w:rsidP="00F735BC">
      <w:pPr>
        <w:pStyle w:val="paragraphsub"/>
        <w:tabs>
          <w:tab w:val="left" w:pos="2835"/>
        </w:tabs>
      </w:pPr>
      <w:r w:rsidRPr="00A35C95">
        <w:tab/>
        <w:t>(ii)</w:t>
      </w:r>
      <w:r w:rsidRPr="00A35C95">
        <w:tab/>
        <w:t>voting rights attaching to interests in managed investment schemes;</w:t>
      </w:r>
    </w:p>
    <w:p w14:paraId="42366EB1" w14:textId="77777777" w:rsidR="00E93F58" w:rsidRPr="00A35C95" w:rsidRDefault="00E93F58" w:rsidP="00F735BC">
      <w:pPr>
        <w:pStyle w:val="paragraph"/>
        <w:tabs>
          <w:tab w:val="left" w:pos="2835"/>
        </w:tabs>
      </w:pPr>
      <w:r w:rsidRPr="00A35C95">
        <w:rPr>
          <w:color w:val="000000"/>
        </w:rPr>
        <w:tab/>
      </w:r>
      <w:r w:rsidRPr="00A35C95">
        <w:rPr>
          <w:color w:val="000000"/>
        </w:rPr>
        <w:tab/>
        <w:t>may or should be exercised; and</w:t>
      </w:r>
    </w:p>
    <w:p w14:paraId="3D4150F8" w14:textId="77777777" w:rsidR="00E93F58" w:rsidRPr="00A35C95" w:rsidRDefault="00E93F58" w:rsidP="00F735BC">
      <w:pPr>
        <w:pStyle w:val="paragraph"/>
        <w:tabs>
          <w:tab w:val="left" w:pos="2835"/>
        </w:tabs>
      </w:pPr>
      <w:r w:rsidRPr="00A35C95">
        <w:tab/>
        <w:t>(b)</w:t>
      </w:r>
      <w:r w:rsidRPr="00A35C95">
        <w:tab/>
        <w:t>the advice is not intended to influence any decision in relation to financial products other than a decision about voting; and</w:t>
      </w:r>
    </w:p>
    <w:p w14:paraId="0DCC1DAD" w14:textId="77777777" w:rsidR="00E93F58" w:rsidRPr="00A35C95" w:rsidRDefault="00E93F58" w:rsidP="00F735BC">
      <w:pPr>
        <w:pStyle w:val="paragraph"/>
        <w:tabs>
          <w:tab w:val="left" w:pos="2835"/>
        </w:tabs>
      </w:pPr>
      <w:r w:rsidRPr="00A35C95">
        <w:tab/>
        <w:t>(c)</w:t>
      </w:r>
      <w:r w:rsidRPr="00A35C95">
        <w:tab/>
        <w:t>the advice could not be reasonably be regarded as intended to influence a decision in relation to financial products, other than a decision about voting; and</w:t>
      </w:r>
    </w:p>
    <w:p w14:paraId="6A9B38AE" w14:textId="77777777" w:rsidR="00E93F58" w:rsidRPr="00A35C95" w:rsidRDefault="00E93F58" w:rsidP="00F735BC">
      <w:pPr>
        <w:pStyle w:val="paragraph"/>
        <w:tabs>
          <w:tab w:val="left" w:pos="2835"/>
        </w:tabs>
      </w:pPr>
      <w:r w:rsidRPr="00A35C95">
        <w:tab/>
        <w:t>(d)</w:t>
      </w:r>
      <w:r w:rsidRPr="00A35C95">
        <w:tab/>
        <w:t>the advice does not relate to a vote that relates to a dealing in financial products.</w:t>
      </w:r>
    </w:p>
    <w:p w14:paraId="5FDA6C50" w14:textId="77777777" w:rsidR="00E93F58" w:rsidRPr="00A35C95" w:rsidRDefault="00E93F58" w:rsidP="00F735BC">
      <w:pPr>
        <w:pStyle w:val="notetext"/>
        <w:tabs>
          <w:tab w:val="left" w:pos="2835"/>
        </w:tabs>
      </w:pPr>
      <w:r w:rsidRPr="00A35C95">
        <w:t>Note:</w:t>
      </w:r>
      <w:r w:rsidRPr="00A35C95">
        <w:tab/>
        <w:t>A service that includes advice which is intended to influence the decision to acquire securities in another company would be not provided in circumstances covered by this regulation.</w:t>
      </w:r>
    </w:p>
    <w:p w14:paraId="597A11A0" w14:textId="77777777" w:rsidR="00E93F58" w:rsidRPr="00A35C95" w:rsidRDefault="00E93F58" w:rsidP="00366AB5">
      <w:pPr>
        <w:pStyle w:val="ActHead5"/>
        <w:tabs>
          <w:tab w:val="left" w:pos="2835"/>
        </w:tabs>
      </w:pPr>
      <w:bookmarkStart w:id="512" w:name="_Toc152057830"/>
      <w:bookmarkStart w:id="513" w:name="_Toc158712053"/>
      <w:bookmarkEnd w:id="510"/>
      <w:r w:rsidRPr="00844D11">
        <w:rPr>
          <w:rStyle w:val="CharSectno"/>
        </w:rPr>
        <w:t>7.1.31</w:t>
      </w:r>
      <w:r w:rsidRPr="00A35C95">
        <w:t xml:space="preserve">  Passing on prepared documents</w:t>
      </w:r>
      <w:bookmarkEnd w:id="512"/>
      <w:bookmarkEnd w:id="513"/>
    </w:p>
    <w:p w14:paraId="3B031BCA" w14:textId="77777777" w:rsidR="00E93F58" w:rsidRPr="00A35C95" w:rsidRDefault="00E93F58" w:rsidP="00366AB5">
      <w:pPr>
        <w:pStyle w:val="subsection"/>
        <w:keepNext/>
        <w:keepLines/>
        <w:tabs>
          <w:tab w:val="left" w:pos="2835"/>
        </w:tabs>
      </w:pPr>
      <w:r w:rsidRPr="00A35C95">
        <w:tab/>
      </w:r>
      <w:r w:rsidRPr="00A35C95">
        <w:tab/>
        <w:t>For paragraph 766A(2)(b) of the Act, a circumstance in which a person (</w:t>
      </w:r>
      <w:r w:rsidRPr="00A35C95">
        <w:rPr>
          <w:b/>
          <w:i/>
        </w:rPr>
        <w:t>person 1</w:t>
      </w:r>
      <w:r w:rsidRPr="00A35C95">
        <w:t>) is taken not to provide a financial service within the meaning of paragraph 766A(1)(a) of the Act is that:</w:t>
      </w:r>
    </w:p>
    <w:p w14:paraId="014DE71C" w14:textId="77777777" w:rsidR="00E93F58" w:rsidRPr="00A35C95" w:rsidRDefault="00E93F58" w:rsidP="00F735BC">
      <w:pPr>
        <w:pStyle w:val="paragraph"/>
        <w:tabs>
          <w:tab w:val="left" w:pos="2835"/>
        </w:tabs>
      </w:pPr>
      <w:r w:rsidRPr="00A35C95">
        <w:tab/>
        <w:t>(a)</w:t>
      </w:r>
      <w:r w:rsidRPr="00A35C95">
        <w:tab/>
        <w:t>person 1 provides a service to a person; and</w:t>
      </w:r>
    </w:p>
    <w:p w14:paraId="24A7BEAB" w14:textId="77777777" w:rsidR="00E93F58" w:rsidRPr="00A35C95" w:rsidRDefault="00E93F58" w:rsidP="00F735BC">
      <w:pPr>
        <w:pStyle w:val="paragraph"/>
        <w:tabs>
          <w:tab w:val="left" w:pos="2835"/>
        </w:tabs>
      </w:pPr>
      <w:r w:rsidRPr="00A35C95">
        <w:tab/>
        <w:t>(b)</w:t>
      </w:r>
      <w:r w:rsidRPr="00A35C95">
        <w:tab/>
        <w:t>the service consists only of passing on, publishing, distributing or otherwise disseminating a document that contains financial product advice; and</w:t>
      </w:r>
    </w:p>
    <w:p w14:paraId="524A6104" w14:textId="77777777" w:rsidR="00E93F58" w:rsidRPr="00A35C95" w:rsidRDefault="00E93F58" w:rsidP="00F735BC">
      <w:pPr>
        <w:pStyle w:val="paragraph"/>
        <w:tabs>
          <w:tab w:val="left" w:pos="2835"/>
        </w:tabs>
      </w:pPr>
      <w:r w:rsidRPr="00A35C95">
        <w:tab/>
        <w:t>(c)</w:t>
      </w:r>
      <w:r w:rsidRPr="00A35C95">
        <w:tab/>
        <w:t>the document was provided by another person (</w:t>
      </w:r>
      <w:r w:rsidRPr="00A35C95">
        <w:rPr>
          <w:b/>
          <w:i/>
        </w:rPr>
        <w:t>person 2</w:t>
      </w:r>
      <w:r w:rsidRPr="00A35C95">
        <w:t>); and</w:t>
      </w:r>
    </w:p>
    <w:p w14:paraId="0A78B2F5" w14:textId="77777777" w:rsidR="00E93F58" w:rsidRPr="00A35C95" w:rsidRDefault="00E93F58" w:rsidP="00F735BC">
      <w:pPr>
        <w:pStyle w:val="paragraph"/>
        <w:tabs>
          <w:tab w:val="left" w:pos="2835"/>
        </w:tabs>
      </w:pPr>
      <w:r w:rsidRPr="00A35C95">
        <w:tab/>
        <w:t>(d)</w:t>
      </w:r>
      <w:r w:rsidRPr="00A35C95">
        <w:tab/>
        <w:t>person 2 is not acting on behalf of person 1; and</w:t>
      </w:r>
    </w:p>
    <w:p w14:paraId="53760A5D" w14:textId="77777777" w:rsidR="00E93F58" w:rsidRPr="00A35C95" w:rsidRDefault="00E93F58" w:rsidP="00F735BC">
      <w:pPr>
        <w:pStyle w:val="paragraph"/>
        <w:tabs>
          <w:tab w:val="left" w:pos="2835"/>
        </w:tabs>
      </w:pPr>
      <w:r w:rsidRPr="00A35C95">
        <w:tab/>
        <w:t>(e)</w:t>
      </w:r>
      <w:r w:rsidRPr="00A35C95">
        <w:tab/>
        <w:t>person 1 is not the holder of a financial services licence that authorises person 1 to provide financial product advice; and</w:t>
      </w:r>
    </w:p>
    <w:p w14:paraId="727875D0" w14:textId="77777777" w:rsidR="00E93F58" w:rsidRPr="00A35C95" w:rsidRDefault="00E93F58" w:rsidP="00F735BC">
      <w:pPr>
        <w:pStyle w:val="paragraph"/>
        <w:tabs>
          <w:tab w:val="left" w:pos="2835"/>
        </w:tabs>
      </w:pPr>
      <w:r w:rsidRPr="00A35C95">
        <w:tab/>
        <w:t>(f)</w:t>
      </w:r>
      <w:r w:rsidRPr="00A35C95">
        <w:tab/>
        <w:t>person 1 does not select the content of the document, modify the content of the document or otherwise exercise control over the content of the document; and</w:t>
      </w:r>
    </w:p>
    <w:p w14:paraId="124C9936" w14:textId="77777777" w:rsidR="00E93F58" w:rsidRPr="00A35C95" w:rsidRDefault="00E93F58" w:rsidP="00F735BC">
      <w:pPr>
        <w:pStyle w:val="paragraph"/>
        <w:tabs>
          <w:tab w:val="left" w:pos="2835"/>
        </w:tabs>
      </w:pPr>
      <w:r w:rsidRPr="00A35C95">
        <w:tab/>
        <w:t>(g)</w:t>
      </w:r>
      <w:r w:rsidRPr="00A35C95">
        <w:tab/>
        <w:t>a reasonable person would not consider that person 1 provided, endorsed or otherwise assumed responsibility for the financial product advice contained in the document.</w:t>
      </w:r>
    </w:p>
    <w:p w14:paraId="1F9E6EC8" w14:textId="77777777" w:rsidR="00E93F58" w:rsidRPr="00A35C95" w:rsidRDefault="00E93F58" w:rsidP="00366AB5">
      <w:pPr>
        <w:pStyle w:val="ActHead5"/>
        <w:tabs>
          <w:tab w:val="left" w:pos="2835"/>
        </w:tabs>
      </w:pPr>
      <w:bookmarkStart w:id="514" w:name="_Toc152057831"/>
      <w:bookmarkStart w:id="515" w:name="_Toc158712054"/>
      <w:r w:rsidRPr="00844D11">
        <w:rPr>
          <w:rStyle w:val="CharSectno"/>
        </w:rPr>
        <w:t>7.1.32</w:t>
      </w:r>
      <w:r w:rsidRPr="00A35C95">
        <w:t xml:space="preserve">  Remuneration packages</w:t>
      </w:r>
      <w:bookmarkEnd w:id="514"/>
      <w:bookmarkEnd w:id="515"/>
    </w:p>
    <w:p w14:paraId="1C0CB10C" w14:textId="77777777" w:rsidR="00E93F58" w:rsidRPr="00A35C95" w:rsidRDefault="00E93F58" w:rsidP="00366AB5">
      <w:pPr>
        <w:pStyle w:val="subsection"/>
        <w:keepNext/>
        <w:keepLines/>
        <w:tabs>
          <w:tab w:val="left" w:pos="2835"/>
        </w:tabs>
      </w:pPr>
      <w:r w:rsidRPr="00A35C95">
        <w:tab/>
      </w:r>
      <w:r w:rsidRPr="00A35C95">
        <w:tab/>
        <w:t>For paragraph 766A(2)(b) of the Act, a circumstance in which a person (</w:t>
      </w:r>
      <w:r w:rsidRPr="00A35C95">
        <w:rPr>
          <w:b/>
          <w:i/>
        </w:rPr>
        <w:t>person 1</w:t>
      </w:r>
      <w:r w:rsidRPr="00A35C95">
        <w:t>) is taken not to provide a financial service within the meaning of paragraph 766A(1)(a) of the Act is that:</w:t>
      </w:r>
    </w:p>
    <w:p w14:paraId="2DF0CA4A" w14:textId="77777777" w:rsidR="00E93F58" w:rsidRPr="00A35C95" w:rsidRDefault="00E93F58" w:rsidP="00F735BC">
      <w:pPr>
        <w:pStyle w:val="paragraph"/>
        <w:tabs>
          <w:tab w:val="left" w:pos="2835"/>
        </w:tabs>
      </w:pPr>
      <w:r w:rsidRPr="00A35C95">
        <w:tab/>
        <w:t>(a)</w:t>
      </w:r>
      <w:r w:rsidRPr="00A35C95">
        <w:tab/>
        <w:t>person 1 provides advice to another person; and</w:t>
      </w:r>
    </w:p>
    <w:p w14:paraId="098D43D1" w14:textId="77777777" w:rsidR="00E93F58" w:rsidRPr="00A35C95" w:rsidRDefault="00E93F58" w:rsidP="00F735BC">
      <w:pPr>
        <w:pStyle w:val="paragraph"/>
        <w:tabs>
          <w:tab w:val="left" w:pos="2835"/>
        </w:tabs>
      </w:pPr>
      <w:r w:rsidRPr="00A35C95">
        <w:tab/>
        <w:t>(b)</w:t>
      </w:r>
      <w:r w:rsidRPr="00A35C95">
        <w:tab/>
        <w:t>the advice relates only to the structuring of remuneration packages for the other person’s employees.</w:t>
      </w:r>
    </w:p>
    <w:p w14:paraId="0B6F4E9E" w14:textId="77777777" w:rsidR="00E93F58" w:rsidRPr="00A35C95" w:rsidRDefault="00E93F58" w:rsidP="00366AB5">
      <w:pPr>
        <w:pStyle w:val="ActHead5"/>
        <w:tabs>
          <w:tab w:val="left" w:pos="2835"/>
        </w:tabs>
      </w:pPr>
      <w:bookmarkStart w:id="516" w:name="_Toc152057832"/>
      <w:bookmarkStart w:id="517" w:name="_Toc158712055"/>
      <w:r w:rsidRPr="00844D11">
        <w:rPr>
          <w:rStyle w:val="CharSectno"/>
        </w:rPr>
        <w:t>7.1.33A</w:t>
      </w:r>
      <w:r w:rsidRPr="00A35C95">
        <w:t xml:space="preserve">  Allocation of funds available for investment</w:t>
      </w:r>
      <w:bookmarkEnd w:id="516"/>
      <w:bookmarkEnd w:id="517"/>
    </w:p>
    <w:p w14:paraId="4827C4E3" w14:textId="77777777" w:rsidR="00E93F58" w:rsidRPr="00A35C95" w:rsidRDefault="00E93F58" w:rsidP="00366AB5">
      <w:pPr>
        <w:pStyle w:val="subsection"/>
        <w:keepNext/>
        <w:keepLines/>
        <w:tabs>
          <w:tab w:val="left" w:pos="2835"/>
        </w:tabs>
      </w:pPr>
      <w:r w:rsidRPr="00A35C95">
        <w:tab/>
      </w:r>
      <w:r w:rsidRPr="00A35C95">
        <w:tab/>
        <w:t>For paragraph 766A(2)(b) of the Act, a circumstance in which a person is taken not to provide a financial service within the meaning of paragraph 766A(1)(a) of the Act is the provision of a service that consists only of a recommendation or statement of opinion provided to a person about the allocation of the person’s funds that are available for investment among 1 or more of the following:</w:t>
      </w:r>
    </w:p>
    <w:p w14:paraId="38B908DD" w14:textId="77777777" w:rsidR="00E93F58" w:rsidRPr="00A35C95" w:rsidRDefault="00E93F58" w:rsidP="00F735BC">
      <w:pPr>
        <w:pStyle w:val="paragraph"/>
        <w:tabs>
          <w:tab w:val="left" w:pos="2835"/>
        </w:tabs>
      </w:pPr>
      <w:r w:rsidRPr="00A35C95">
        <w:tab/>
        <w:t>(a)</w:t>
      </w:r>
      <w:r w:rsidRPr="00A35C95">
        <w:tab/>
        <w:t>shares;</w:t>
      </w:r>
    </w:p>
    <w:p w14:paraId="2D95DC4E" w14:textId="77777777" w:rsidR="00E93F58" w:rsidRPr="00A35C95" w:rsidRDefault="00E93F58" w:rsidP="00F735BC">
      <w:pPr>
        <w:pStyle w:val="paragraph"/>
        <w:tabs>
          <w:tab w:val="left" w:pos="2835"/>
        </w:tabs>
      </w:pPr>
      <w:r w:rsidRPr="00A35C95">
        <w:tab/>
        <w:t>(b)</w:t>
      </w:r>
      <w:r w:rsidRPr="00A35C95">
        <w:tab/>
        <w:t>debentures;</w:t>
      </w:r>
    </w:p>
    <w:p w14:paraId="693163E4" w14:textId="77777777" w:rsidR="00E93F58" w:rsidRPr="00A35C95" w:rsidRDefault="00E93F58" w:rsidP="00F735BC">
      <w:pPr>
        <w:pStyle w:val="paragraph"/>
        <w:tabs>
          <w:tab w:val="left" w:pos="2835"/>
        </w:tabs>
      </w:pPr>
      <w:r w:rsidRPr="00A35C95">
        <w:tab/>
        <w:t>(c)</w:t>
      </w:r>
      <w:r w:rsidRPr="00A35C95">
        <w:tab/>
        <w:t>debentures, stocks or bonds issued, or proposed to be issued, by a government;</w:t>
      </w:r>
    </w:p>
    <w:p w14:paraId="26D20D94" w14:textId="77777777" w:rsidR="00E93F58" w:rsidRPr="00A35C95" w:rsidRDefault="00E93F58" w:rsidP="00F735BC">
      <w:pPr>
        <w:pStyle w:val="paragraph"/>
        <w:tabs>
          <w:tab w:val="left" w:pos="2835"/>
        </w:tabs>
      </w:pPr>
      <w:r w:rsidRPr="00A35C95">
        <w:tab/>
        <w:t>(d)</w:t>
      </w:r>
      <w:r w:rsidRPr="00A35C95">
        <w:tab/>
        <w:t>deposit products;</w:t>
      </w:r>
    </w:p>
    <w:p w14:paraId="635FA1E2" w14:textId="77777777" w:rsidR="00E93F58" w:rsidRPr="00A35C95" w:rsidRDefault="00E93F58" w:rsidP="00F735BC">
      <w:pPr>
        <w:pStyle w:val="paragraph"/>
        <w:tabs>
          <w:tab w:val="left" w:pos="2835"/>
        </w:tabs>
      </w:pPr>
      <w:r w:rsidRPr="00A35C95">
        <w:tab/>
        <w:t>(e)</w:t>
      </w:r>
      <w:r w:rsidRPr="00A35C95">
        <w:tab/>
        <w:t>managed investment products;</w:t>
      </w:r>
    </w:p>
    <w:p w14:paraId="66D24101" w14:textId="77777777" w:rsidR="00E93F58" w:rsidRPr="00A35C95" w:rsidRDefault="00E93F58" w:rsidP="00F735BC">
      <w:pPr>
        <w:pStyle w:val="paragraph"/>
        <w:tabs>
          <w:tab w:val="left" w:pos="2835"/>
        </w:tabs>
      </w:pPr>
      <w:r w:rsidRPr="00A35C95">
        <w:tab/>
        <w:t>(ea)</w:t>
      </w:r>
      <w:r w:rsidRPr="00A35C95">
        <w:tab/>
        <w:t>foreign passport fund products;</w:t>
      </w:r>
    </w:p>
    <w:p w14:paraId="2B149E67" w14:textId="77777777" w:rsidR="00E93F58" w:rsidRPr="00A35C95" w:rsidRDefault="00E93F58" w:rsidP="00F735BC">
      <w:pPr>
        <w:pStyle w:val="paragraph"/>
        <w:tabs>
          <w:tab w:val="left" w:pos="2835"/>
        </w:tabs>
      </w:pPr>
      <w:r w:rsidRPr="00A35C95">
        <w:lastRenderedPageBreak/>
        <w:tab/>
        <w:t>(f)</w:t>
      </w:r>
      <w:r w:rsidRPr="00A35C95">
        <w:tab/>
        <w:t>investment life insurance products;</w:t>
      </w:r>
    </w:p>
    <w:p w14:paraId="510DA37E" w14:textId="77777777" w:rsidR="00E93F58" w:rsidRPr="00A35C95" w:rsidRDefault="00E93F58" w:rsidP="00F735BC">
      <w:pPr>
        <w:pStyle w:val="paragraph"/>
        <w:tabs>
          <w:tab w:val="left" w:pos="2835"/>
        </w:tabs>
      </w:pPr>
      <w:r w:rsidRPr="00A35C95">
        <w:tab/>
        <w:t>(g)</w:t>
      </w:r>
      <w:r w:rsidRPr="00A35C95">
        <w:tab/>
        <w:t>superannuation products;</w:t>
      </w:r>
    </w:p>
    <w:p w14:paraId="1345FCF5" w14:textId="77777777" w:rsidR="00E93F58" w:rsidRPr="00A35C95" w:rsidRDefault="00E93F58" w:rsidP="00F735BC">
      <w:pPr>
        <w:pStyle w:val="paragraph"/>
        <w:tabs>
          <w:tab w:val="left" w:pos="2835"/>
        </w:tabs>
      </w:pPr>
      <w:r w:rsidRPr="00A35C95">
        <w:tab/>
        <w:t>(h)</w:t>
      </w:r>
      <w:r w:rsidRPr="00A35C95">
        <w:tab/>
        <w:t>other types of asset.</w:t>
      </w:r>
    </w:p>
    <w:p w14:paraId="7F05F0DB" w14:textId="77777777" w:rsidR="00E93F58" w:rsidRPr="00A35C95" w:rsidRDefault="00E93F58" w:rsidP="00F735BC">
      <w:pPr>
        <w:pStyle w:val="notetext"/>
        <w:tabs>
          <w:tab w:val="left" w:pos="2835"/>
        </w:tabs>
      </w:pPr>
      <w:r w:rsidRPr="00A35C95">
        <w:t>Note:</w:t>
      </w:r>
      <w:r w:rsidRPr="00A35C95">
        <w:tab/>
        <w:t>This regulation does not apply to a recommendation or statement of opinion that relates to specific financial products or classes of financial products.</w:t>
      </w:r>
    </w:p>
    <w:p w14:paraId="21F6080F" w14:textId="77777777" w:rsidR="00E93F58" w:rsidRPr="00A35C95" w:rsidRDefault="00E93F58" w:rsidP="00366AB5">
      <w:pPr>
        <w:pStyle w:val="ActHead5"/>
        <w:tabs>
          <w:tab w:val="left" w:pos="2835"/>
        </w:tabs>
      </w:pPr>
      <w:bookmarkStart w:id="518" w:name="_Toc152057833"/>
      <w:bookmarkStart w:id="519" w:name="_Toc158712056"/>
      <w:r w:rsidRPr="00844D11">
        <w:rPr>
          <w:rStyle w:val="CharSectno"/>
        </w:rPr>
        <w:t>7.1.33B</w:t>
      </w:r>
      <w:r w:rsidRPr="00A35C95">
        <w:t xml:space="preserve">  General advice</w:t>
      </w:r>
      <w:bookmarkEnd w:id="518"/>
      <w:bookmarkEnd w:id="519"/>
    </w:p>
    <w:p w14:paraId="769FDCB8" w14:textId="77777777" w:rsidR="00E93F58" w:rsidRPr="00A35C95" w:rsidRDefault="00E93F58" w:rsidP="00366AB5">
      <w:pPr>
        <w:pStyle w:val="subsection"/>
        <w:keepNext/>
        <w:keepLines/>
        <w:tabs>
          <w:tab w:val="left" w:pos="2835"/>
        </w:tabs>
      </w:pPr>
      <w:r w:rsidRPr="00A35C95">
        <w:tab/>
        <w:t>(1)</w:t>
      </w:r>
      <w:r w:rsidRPr="00A35C95">
        <w:tab/>
        <w:t>For paragraph 766A(2)(b) of the Act, this regulation applies in relation to the provision of a service by a person to another person in the following circumstances:</w:t>
      </w:r>
    </w:p>
    <w:p w14:paraId="6DE384AA" w14:textId="77777777" w:rsidR="00E93F58" w:rsidRPr="00A35C95" w:rsidRDefault="00E93F58" w:rsidP="00F735BC">
      <w:pPr>
        <w:pStyle w:val="paragraph"/>
        <w:tabs>
          <w:tab w:val="left" w:pos="2835"/>
        </w:tabs>
      </w:pPr>
      <w:r w:rsidRPr="00A35C95">
        <w:tab/>
        <w:t>(a)</w:t>
      </w:r>
      <w:r w:rsidRPr="00A35C95">
        <w:tab/>
        <w:t>the service consists only of general advice in relation to a financial product or class of financial products;</w:t>
      </w:r>
    </w:p>
    <w:p w14:paraId="4C65577B" w14:textId="77777777" w:rsidR="00E93F58" w:rsidRPr="00A35C95" w:rsidRDefault="00E93F58" w:rsidP="00F735BC">
      <w:pPr>
        <w:pStyle w:val="paragraph"/>
        <w:tabs>
          <w:tab w:val="left" w:pos="2835"/>
        </w:tabs>
      </w:pPr>
      <w:r w:rsidRPr="00A35C95">
        <w:tab/>
        <w:t>(b)</w:t>
      </w:r>
      <w:r w:rsidRPr="00A35C95">
        <w:tab/>
        <w:t>the advice is prepared by a product issuer of the financial product or class of financial products who is not a financial services licensee;</w:t>
      </w:r>
    </w:p>
    <w:p w14:paraId="66D9EEE9" w14:textId="77777777" w:rsidR="00E93F58" w:rsidRPr="00A35C95" w:rsidRDefault="00E93F58" w:rsidP="00F735BC">
      <w:pPr>
        <w:pStyle w:val="paragraph"/>
        <w:tabs>
          <w:tab w:val="left" w:pos="2835"/>
        </w:tabs>
      </w:pPr>
      <w:r w:rsidRPr="00A35C95">
        <w:tab/>
        <w:t>(c)</w:t>
      </w:r>
      <w:r w:rsidRPr="00A35C95">
        <w:tab/>
        <w:t>the advice is provided by a financial services licensee whose financial services licence covers the provision of the advice.</w:t>
      </w:r>
    </w:p>
    <w:p w14:paraId="51AF49B1" w14:textId="77777777" w:rsidR="00E93F58" w:rsidRPr="00A35C95" w:rsidRDefault="00E93F58" w:rsidP="00F735BC">
      <w:pPr>
        <w:pStyle w:val="subsection"/>
        <w:tabs>
          <w:tab w:val="left" w:pos="2835"/>
        </w:tabs>
      </w:pPr>
      <w:r w:rsidRPr="00A35C95">
        <w:tab/>
        <w:t>(2)</w:t>
      </w:r>
      <w:r w:rsidRPr="00A35C95">
        <w:tab/>
        <w:t xml:space="preserve">The product issuer is taken not to provide a financial service within the meaning of paragraph 766A(1)(a) </w:t>
      </w:r>
      <w:r w:rsidRPr="00A35C95">
        <w:rPr>
          <w:color w:val="000000"/>
        </w:rPr>
        <w:t>of the Act.</w:t>
      </w:r>
    </w:p>
    <w:p w14:paraId="4CAAFE77" w14:textId="77777777" w:rsidR="00E93F58" w:rsidRPr="00A35C95" w:rsidRDefault="00E93F58" w:rsidP="00F735BC">
      <w:pPr>
        <w:pStyle w:val="subsection"/>
        <w:tabs>
          <w:tab w:val="left" w:pos="2835"/>
        </w:tabs>
      </w:pPr>
      <w:r w:rsidRPr="00A35C95">
        <w:tab/>
        <w:t>(3)</w:t>
      </w:r>
      <w:r w:rsidRPr="00A35C95">
        <w:tab/>
        <w:t xml:space="preserve">The financial services licensee is taken to provide a financial service within the meaning of paragraph 766A(1)(a) </w:t>
      </w:r>
      <w:r w:rsidRPr="00A35C95">
        <w:rPr>
          <w:color w:val="000000"/>
        </w:rPr>
        <w:t>of the Act.</w:t>
      </w:r>
    </w:p>
    <w:p w14:paraId="56F0FC09" w14:textId="77777777" w:rsidR="00E93F58" w:rsidRPr="00A35C95" w:rsidRDefault="00E93F58" w:rsidP="00366AB5">
      <w:pPr>
        <w:pStyle w:val="ActHead5"/>
        <w:tabs>
          <w:tab w:val="left" w:pos="2835"/>
        </w:tabs>
      </w:pPr>
      <w:bookmarkStart w:id="520" w:name="_Toc152057834"/>
      <w:bookmarkStart w:id="521" w:name="_Toc158712057"/>
      <w:r w:rsidRPr="00844D11">
        <w:rPr>
          <w:rStyle w:val="CharSectno"/>
        </w:rPr>
        <w:t>7.1.33D</w:t>
      </w:r>
      <w:r w:rsidRPr="00A35C95">
        <w:t xml:space="preserve">  Investment</w:t>
      </w:r>
      <w:r>
        <w:noBreakHyphen/>
      </w:r>
      <w:r w:rsidRPr="00A35C95">
        <w:t>linked life insurance products</w:t>
      </w:r>
      <w:bookmarkEnd w:id="520"/>
      <w:bookmarkEnd w:id="521"/>
    </w:p>
    <w:p w14:paraId="7601D92E" w14:textId="77777777" w:rsidR="00E93F58" w:rsidRPr="00A35C95" w:rsidRDefault="00E93F58" w:rsidP="00366AB5">
      <w:pPr>
        <w:pStyle w:val="subsection"/>
        <w:keepNext/>
        <w:keepLines/>
        <w:tabs>
          <w:tab w:val="left" w:pos="2835"/>
        </w:tabs>
      </w:pPr>
      <w:r w:rsidRPr="00A35C95">
        <w:tab/>
      </w:r>
      <w:r w:rsidRPr="00A35C95">
        <w:tab/>
        <w:t>For paragraph 766A(2)(b) of the Act, a person is taken not to provide a financial service if:</w:t>
      </w:r>
    </w:p>
    <w:p w14:paraId="3FF5B9D7" w14:textId="77777777" w:rsidR="00E93F58" w:rsidRPr="00A35C95" w:rsidRDefault="00E93F58" w:rsidP="00F735BC">
      <w:pPr>
        <w:pStyle w:val="paragraph"/>
        <w:tabs>
          <w:tab w:val="left" w:pos="2835"/>
        </w:tabs>
      </w:pPr>
      <w:r w:rsidRPr="00A35C95">
        <w:tab/>
        <w:t>(a)</w:t>
      </w:r>
      <w:r w:rsidRPr="00A35C95">
        <w:tab/>
        <w:t>the person makes a market for a financial product; and</w:t>
      </w:r>
    </w:p>
    <w:p w14:paraId="50E737F5" w14:textId="77777777" w:rsidR="00E93F58" w:rsidRPr="00A35C95" w:rsidRDefault="00E93F58" w:rsidP="00F735BC">
      <w:pPr>
        <w:pStyle w:val="paragraph"/>
        <w:tabs>
          <w:tab w:val="left" w:pos="2835"/>
        </w:tabs>
      </w:pPr>
      <w:r w:rsidRPr="00A35C95">
        <w:tab/>
        <w:t>(b)</w:t>
      </w:r>
      <w:r w:rsidRPr="00A35C95">
        <w:tab/>
        <w:t>the person is the issuer of the product; and</w:t>
      </w:r>
    </w:p>
    <w:p w14:paraId="515A9D73" w14:textId="77777777" w:rsidR="00E93F58" w:rsidRPr="00A35C95" w:rsidRDefault="00E93F58" w:rsidP="00F735BC">
      <w:pPr>
        <w:pStyle w:val="paragraph"/>
        <w:tabs>
          <w:tab w:val="left" w:pos="2835"/>
        </w:tabs>
      </w:pPr>
      <w:r w:rsidRPr="00A35C95">
        <w:tab/>
        <w:t>(c)</w:t>
      </w:r>
      <w:r w:rsidRPr="00A35C95">
        <w:tab/>
        <w:t>the product is an investment</w:t>
      </w:r>
      <w:r>
        <w:noBreakHyphen/>
      </w:r>
      <w:r w:rsidRPr="00A35C95">
        <w:t>linked life insurance policy under an investment</w:t>
      </w:r>
      <w:r>
        <w:noBreakHyphen/>
      </w:r>
      <w:r w:rsidRPr="00A35C95">
        <w:t xml:space="preserve">linked contract (within the meaning of subsection 14(4) of the </w:t>
      </w:r>
      <w:r w:rsidRPr="00A35C95">
        <w:rPr>
          <w:i/>
        </w:rPr>
        <w:t>Life Insurance Act 1995</w:t>
      </w:r>
      <w:r w:rsidRPr="00A35C95">
        <w:t>).</w:t>
      </w:r>
    </w:p>
    <w:p w14:paraId="1C5730C0" w14:textId="77777777" w:rsidR="00E93F58" w:rsidRPr="00A35C95" w:rsidRDefault="00E93F58" w:rsidP="00366AB5">
      <w:pPr>
        <w:pStyle w:val="ActHead5"/>
        <w:tabs>
          <w:tab w:val="left" w:pos="2835"/>
        </w:tabs>
      </w:pPr>
      <w:bookmarkStart w:id="522" w:name="_Toc152057835"/>
      <w:bookmarkStart w:id="523" w:name="_Toc158712058"/>
      <w:r w:rsidRPr="00844D11">
        <w:rPr>
          <w:rStyle w:val="CharSectno"/>
        </w:rPr>
        <w:t>7.1.33E</w:t>
      </w:r>
      <w:r w:rsidRPr="00A35C95">
        <w:t xml:space="preserve">  Advice about the existence of a custodial or depository service</w:t>
      </w:r>
      <w:bookmarkEnd w:id="522"/>
      <w:bookmarkEnd w:id="523"/>
    </w:p>
    <w:p w14:paraId="57F605C6" w14:textId="77777777" w:rsidR="00E93F58" w:rsidRPr="00A35C95" w:rsidRDefault="00E93F58" w:rsidP="00366AB5">
      <w:pPr>
        <w:pStyle w:val="subsection"/>
        <w:keepNext/>
        <w:keepLines/>
        <w:tabs>
          <w:tab w:val="left" w:pos="2835"/>
        </w:tabs>
      </w:pPr>
      <w:r w:rsidRPr="00A35C95">
        <w:tab/>
      </w:r>
      <w:r w:rsidRPr="00A35C95">
        <w:tab/>
        <w:t>For paragraph 766A(2)(b) of the Act, a person is taken not to provide a financial service if:</w:t>
      </w:r>
    </w:p>
    <w:p w14:paraId="14485679" w14:textId="77777777" w:rsidR="00E93F58" w:rsidRPr="00A35C95" w:rsidRDefault="00E93F58" w:rsidP="00F735BC">
      <w:pPr>
        <w:pStyle w:val="paragraph"/>
        <w:tabs>
          <w:tab w:val="left" w:pos="2835"/>
        </w:tabs>
      </w:pPr>
      <w:r w:rsidRPr="00A35C95">
        <w:tab/>
        <w:t>(a)</w:t>
      </w:r>
      <w:r w:rsidRPr="00A35C95">
        <w:tab/>
        <w:t>the person provides advice about a custodial or depository service; and</w:t>
      </w:r>
    </w:p>
    <w:p w14:paraId="362A15C2" w14:textId="77777777" w:rsidR="00E93F58" w:rsidRPr="00A35C95" w:rsidRDefault="00E93F58" w:rsidP="00F735BC">
      <w:pPr>
        <w:pStyle w:val="paragraph"/>
        <w:tabs>
          <w:tab w:val="left" w:pos="2835"/>
        </w:tabs>
      </w:pPr>
      <w:r w:rsidRPr="00A35C95">
        <w:tab/>
        <w:t>(b)</w:t>
      </w:r>
      <w:r w:rsidRPr="00A35C95">
        <w:tab/>
        <w:t>the advice is not about a financial product; and</w:t>
      </w:r>
    </w:p>
    <w:p w14:paraId="079176FE" w14:textId="77777777" w:rsidR="00E93F58" w:rsidRPr="00A35C95" w:rsidRDefault="00E93F58" w:rsidP="00F735BC">
      <w:pPr>
        <w:pStyle w:val="paragraph"/>
        <w:tabs>
          <w:tab w:val="left" w:pos="2835"/>
        </w:tabs>
      </w:pPr>
      <w:r w:rsidRPr="00A35C95">
        <w:tab/>
        <w:t>(c)</w:t>
      </w:r>
      <w:r w:rsidRPr="00A35C95">
        <w:tab/>
        <w:t>the advice is not intended to influence, and could not reasonably be regarded as being intended to influence, a decision about a financial product other than a product that is a financial product only because it is an equitable right or interest in:</w:t>
      </w:r>
    </w:p>
    <w:p w14:paraId="728E94A2" w14:textId="77777777" w:rsidR="00E93F58" w:rsidRPr="00A35C95" w:rsidRDefault="00E93F58" w:rsidP="00F735BC">
      <w:pPr>
        <w:pStyle w:val="paragraphsub"/>
        <w:tabs>
          <w:tab w:val="left" w:pos="2835"/>
        </w:tabs>
      </w:pPr>
      <w:r w:rsidRPr="00A35C95">
        <w:tab/>
        <w:t>(i)</w:t>
      </w:r>
      <w:r w:rsidRPr="00A35C95">
        <w:tab/>
        <w:t>a share in a body; or</w:t>
      </w:r>
    </w:p>
    <w:p w14:paraId="62E90B0D" w14:textId="77777777" w:rsidR="00E93F58" w:rsidRPr="00A35C95" w:rsidRDefault="00E93F58" w:rsidP="00F735BC">
      <w:pPr>
        <w:pStyle w:val="paragraphsub"/>
        <w:tabs>
          <w:tab w:val="left" w:pos="2835"/>
        </w:tabs>
      </w:pPr>
      <w:r w:rsidRPr="00A35C95">
        <w:tab/>
        <w:t>(ii)</w:t>
      </w:r>
      <w:r w:rsidRPr="00A35C95">
        <w:tab/>
        <w:t>a debenture of a body; or</w:t>
      </w:r>
    </w:p>
    <w:p w14:paraId="2159E9D6" w14:textId="77777777" w:rsidR="00E93F58" w:rsidRPr="00A35C95" w:rsidRDefault="00E93F58" w:rsidP="00F735BC">
      <w:pPr>
        <w:pStyle w:val="paragraphsub"/>
        <w:tabs>
          <w:tab w:val="left" w:pos="2835"/>
        </w:tabs>
      </w:pPr>
      <w:r w:rsidRPr="00A35C95">
        <w:tab/>
        <w:t>(iii)</w:t>
      </w:r>
      <w:r w:rsidRPr="00A35C95">
        <w:tab/>
        <w:t>an interest in a registered scheme; or</w:t>
      </w:r>
    </w:p>
    <w:p w14:paraId="116C70BD" w14:textId="77777777" w:rsidR="00E93F58" w:rsidRPr="00A35C95" w:rsidRDefault="00E93F58" w:rsidP="00F735BC">
      <w:pPr>
        <w:pStyle w:val="paragraphsub"/>
        <w:tabs>
          <w:tab w:val="left" w:pos="2835"/>
        </w:tabs>
      </w:pPr>
      <w:r w:rsidRPr="00A35C95">
        <w:tab/>
        <w:t>(iv)</w:t>
      </w:r>
      <w:r w:rsidRPr="00A35C95">
        <w:tab/>
        <w:t>an interest in a notified foreign passport fund.</w:t>
      </w:r>
    </w:p>
    <w:p w14:paraId="082DCCC5" w14:textId="77777777" w:rsidR="00E93F58" w:rsidRDefault="00E93F58" w:rsidP="00751D51">
      <w:pPr>
        <w:pStyle w:val="notetext"/>
      </w:pPr>
      <w:r w:rsidRPr="00BE1284">
        <w:t>Note:</w:t>
      </w:r>
      <w:r w:rsidRPr="00BE1284">
        <w:tab/>
      </w:r>
      <w:r>
        <w:t>Paragraph (</w:t>
      </w:r>
      <w:r w:rsidRPr="00BE1284">
        <w:t xml:space="preserve">c) </w:t>
      </w:r>
      <w:r>
        <w:t xml:space="preserve">of this regulation refers to </w:t>
      </w:r>
      <w:r w:rsidRPr="00BE1284">
        <w:t xml:space="preserve">financial products described in </w:t>
      </w:r>
      <w:r>
        <w:t>paragraph 9</w:t>
      </w:r>
      <w:r w:rsidRPr="00BE1284">
        <w:t xml:space="preserve">2(5)(c) of the Act and in </w:t>
      </w:r>
      <w:r>
        <w:t>subparagraphs 7</w:t>
      </w:r>
      <w:r w:rsidRPr="00BE1284">
        <w:t>64A(1)(b)(ii) and (bb)(ii) of the Act.</w:t>
      </w:r>
    </w:p>
    <w:p w14:paraId="60154754" w14:textId="77777777" w:rsidR="00E93F58" w:rsidRPr="00A35C95" w:rsidRDefault="00E93F58" w:rsidP="00366AB5">
      <w:pPr>
        <w:pStyle w:val="ActHead5"/>
        <w:tabs>
          <w:tab w:val="left" w:pos="2835"/>
        </w:tabs>
      </w:pPr>
      <w:bookmarkStart w:id="524" w:name="_Toc152057836"/>
      <w:bookmarkStart w:id="525" w:name="_Toc158712059"/>
      <w:r w:rsidRPr="00844D11">
        <w:rPr>
          <w:rStyle w:val="CharSectno"/>
        </w:rPr>
        <w:t>7.1.33F</w:t>
      </w:r>
      <w:r w:rsidRPr="00A35C95">
        <w:t xml:space="preserve">  School banking</w:t>
      </w:r>
      <w:bookmarkEnd w:id="524"/>
      <w:bookmarkEnd w:id="525"/>
    </w:p>
    <w:p w14:paraId="2B5E5056" w14:textId="77777777" w:rsidR="00E93F58" w:rsidRPr="00A35C95" w:rsidRDefault="00E93F58" w:rsidP="00366AB5">
      <w:pPr>
        <w:pStyle w:val="subsection"/>
        <w:keepNext/>
        <w:keepLines/>
        <w:tabs>
          <w:tab w:val="left" w:pos="2835"/>
        </w:tabs>
      </w:pPr>
      <w:r w:rsidRPr="00A35C95">
        <w:tab/>
        <w:t>(1)</w:t>
      </w:r>
      <w:r w:rsidRPr="00A35C95">
        <w:tab/>
        <w:t>For paragraph 766A(2)(b) of the Act, a person is taken not to provide a financial service if:</w:t>
      </w:r>
    </w:p>
    <w:p w14:paraId="5C3CBF85" w14:textId="77777777" w:rsidR="00E93F58" w:rsidRPr="00A35C95" w:rsidRDefault="00E93F58" w:rsidP="00F735BC">
      <w:pPr>
        <w:pStyle w:val="paragraph"/>
        <w:tabs>
          <w:tab w:val="left" w:pos="2835"/>
        </w:tabs>
      </w:pPr>
      <w:r w:rsidRPr="00A35C95">
        <w:tab/>
        <w:t>(a)</w:t>
      </w:r>
      <w:r w:rsidRPr="00A35C95">
        <w:tab/>
        <w:t>the service is:</w:t>
      </w:r>
    </w:p>
    <w:p w14:paraId="218C27B6" w14:textId="77777777" w:rsidR="00E93F58" w:rsidRPr="00A35C95" w:rsidRDefault="00E93F58" w:rsidP="00F735BC">
      <w:pPr>
        <w:pStyle w:val="paragraphsub"/>
        <w:tabs>
          <w:tab w:val="left" w:pos="2835"/>
        </w:tabs>
      </w:pPr>
      <w:r w:rsidRPr="00A35C95">
        <w:tab/>
        <w:t>(i)</w:t>
      </w:r>
      <w:r w:rsidRPr="00A35C95">
        <w:tab/>
        <w:t>arranging for the issue, or the acquisition, of a school banking product; or</w:t>
      </w:r>
    </w:p>
    <w:p w14:paraId="18DC3528" w14:textId="77777777" w:rsidR="00E93F58" w:rsidRPr="00A35C95" w:rsidRDefault="00E93F58" w:rsidP="00F735BC">
      <w:pPr>
        <w:pStyle w:val="paragraphsub"/>
        <w:tabs>
          <w:tab w:val="left" w:pos="2835"/>
        </w:tabs>
      </w:pPr>
      <w:r w:rsidRPr="00A35C95">
        <w:tab/>
        <w:t>(ii)</w:t>
      </w:r>
      <w:r w:rsidRPr="00A35C95">
        <w:tab/>
        <w:t>the provision of general advice intended to influence a decision in relation to a school banking product; and</w:t>
      </w:r>
    </w:p>
    <w:p w14:paraId="52EFF04F" w14:textId="77777777" w:rsidR="00E93F58" w:rsidRPr="00A35C95" w:rsidRDefault="00E93F58" w:rsidP="00F735BC">
      <w:pPr>
        <w:pStyle w:val="paragraph"/>
        <w:tabs>
          <w:tab w:val="left" w:pos="2835"/>
        </w:tabs>
      </w:pPr>
      <w:r w:rsidRPr="00A35C95">
        <w:tab/>
        <w:t>(b)</w:t>
      </w:r>
      <w:r w:rsidRPr="00A35C95">
        <w:tab/>
        <w:t>the person:</w:t>
      </w:r>
    </w:p>
    <w:p w14:paraId="59E2EA0E" w14:textId="77777777" w:rsidR="00E93F58" w:rsidRPr="00A35C95" w:rsidRDefault="00E93F58" w:rsidP="00F735BC">
      <w:pPr>
        <w:pStyle w:val="paragraphsub"/>
        <w:tabs>
          <w:tab w:val="left" w:pos="2835"/>
        </w:tabs>
      </w:pPr>
      <w:r w:rsidRPr="00A35C95">
        <w:tab/>
        <w:t>(i)</w:t>
      </w:r>
      <w:r w:rsidRPr="00A35C95">
        <w:tab/>
        <w:t>is employed by a school; or</w:t>
      </w:r>
    </w:p>
    <w:p w14:paraId="7139EF61" w14:textId="77777777" w:rsidR="00E93F58" w:rsidRPr="00A35C95" w:rsidRDefault="00E93F58" w:rsidP="00F735BC">
      <w:pPr>
        <w:pStyle w:val="paragraphsub"/>
        <w:tabs>
          <w:tab w:val="left" w:pos="2835"/>
        </w:tabs>
      </w:pPr>
      <w:r w:rsidRPr="00A35C95">
        <w:tab/>
        <w:t>(ii)</w:t>
      </w:r>
      <w:r w:rsidRPr="00A35C95">
        <w:tab/>
        <w:t>provides the service on behalf of a school; and</w:t>
      </w:r>
    </w:p>
    <w:p w14:paraId="56A14357" w14:textId="77777777" w:rsidR="00E93F58" w:rsidRPr="00A35C95" w:rsidRDefault="00E93F58" w:rsidP="00F735BC">
      <w:pPr>
        <w:pStyle w:val="paragraph"/>
        <w:tabs>
          <w:tab w:val="left" w:pos="2835"/>
        </w:tabs>
      </w:pPr>
      <w:r w:rsidRPr="00A35C95">
        <w:tab/>
        <w:t>(c)</w:t>
      </w:r>
      <w:r w:rsidRPr="00A35C95">
        <w:tab/>
        <w:t>the person does not receive any financial benefit for the provision of the service; and</w:t>
      </w:r>
    </w:p>
    <w:p w14:paraId="03A1380D" w14:textId="77777777" w:rsidR="00E93F58" w:rsidRPr="00A35C95" w:rsidRDefault="00E93F58" w:rsidP="00F735BC">
      <w:pPr>
        <w:pStyle w:val="paragraph"/>
        <w:tabs>
          <w:tab w:val="left" w:pos="2835"/>
        </w:tabs>
      </w:pPr>
      <w:r w:rsidRPr="00A35C95">
        <w:tab/>
        <w:t>(d)</w:t>
      </w:r>
      <w:r w:rsidRPr="00A35C95">
        <w:tab/>
        <w:t>the Product Disclosure Statement for the product discloses any commissions or other benefits that the school might receive in connection with the issue of the product.</w:t>
      </w:r>
    </w:p>
    <w:p w14:paraId="5AEFFD39" w14:textId="77777777" w:rsidR="00E93F58" w:rsidRPr="00A35C95" w:rsidRDefault="00E93F58" w:rsidP="00F735BC">
      <w:pPr>
        <w:pStyle w:val="subsection"/>
        <w:tabs>
          <w:tab w:val="left" w:pos="2835"/>
        </w:tabs>
      </w:pPr>
      <w:r w:rsidRPr="00A35C95">
        <w:lastRenderedPageBreak/>
        <w:tab/>
        <w:t>(2)</w:t>
      </w:r>
      <w:r w:rsidRPr="00A35C95">
        <w:tab/>
        <w:t>In this regulation:</w:t>
      </w:r>
    </w:p>
    <w:p w14:paraId="43D25DE1" w14:textId="77777777" w:rsidR="00E93F58" w:rsidRPr="00A35C95" w:rsidRDefault="00E93F58" w:rsidP="00F735BC">
      <w:pPr>
        <w:pStyle w:val="Definition"/>
        <w:tabs>
          <w:tab w:val="left" w:pos="2835"/>
        </w:tabs>
      </w:pPr>
      <w:r w:rsidRPr="00A35C95">
        <w:rPr>
          <w:b/>
          <w:i/>
        </w:rPr>
        <w:t>school banking product</w:t>
      </w:r>
      <w:r w:rsidRPr="00A35C95">
        <w:t xml:space="preserve"> means a basic deposit product, issued by an ADI in the following circumstances:</w:t>
      </w:r>
    </w:p>
    <w:p w14:paraId="78686956" w14:textId="77777777" w:rsidR="00E93F58" w:rsidRPr="00A35C95" w:rsidRDefault="00E93F58" w:rsidP="00F735BC">
      <w:pPr>
        <w:pStyle w:val="paragraph"/>
        <w:tabs>
          <w:tab w:val="left" w:pos="2835"/>
        </w:tabs>
      </w:pPr>
      <w:r w:rsidRPr="00A35C95">
        <w:tab/>
        <w:t>(a)</w:t>
      </w:r>
      <w:r w:rsidRPr="00A35C95">
        <w:tab/>
        <w:t>it is offered for issue to pupils at a school;</w:t>
      </w:r>
    </w:p>
    <w:p w14:paraId="589DF7F6" w14:textId="77777777" w:rsidR="00E93F58" w:rsidRPr="00A35C95" w:rsidRDefault="00E93F58" w:rsidP="00F735BC">
      <w:pPr>
        <w:pStyle w:val="paragraph"/>
        <w:tabs>
          <w:tab w:val="left" w:pos="2835"/>
        </w:tabs>
      </w:pPr>
      <w:r w:rsidRPr="00A35C95">
        <w:tab/>
        <w:t>(b)</w:t>
      </w:r>
      <w:r w:rsidRPr="00A35C95">
        <w:tab/>
        <w:t>there is no regular account keeping fee charged for the product.</w:t>
      </w:r>
    </w:p>
    <w:p w14:paraId="3F3E6B9D" w14:textId="77777777" w:rsidR="00E93F58" w:rsidRPr="00A35C95" w:rsidRDefault="00E93F58" w:rsidP="00366AB5">
      <w:pPr>
        <w:pStyle w:val="ActHead5"/>
        <w:tabs>
          <w:tab w:val="left" w:pos="2835"/>
        </w:tabs>
      </w:pPr>
      <w:bookmarkStart w:id="526" w:name="_Toc152057837"/>
      <w:bookmarkStart w:id="527" w:name="_Toc158712060"/>
      <w:r w:rsidRPr="00844D11">
        <w:rPr>
          <w:rStyle w:val="CharSectno"/>
        </w:rPr>
        <w:t>7.1.33G</w:t>
      </w:r>
      <w:r w:rsidRPr="00A35C95">
        <w:t xml:space="preserve">  Certain general advice that does not attract remuneration etc.</w:t>
      </w:r>
      <w:bookmarkEnd w:id="526"/>
      <w:bookmarkEnd w:id="527"/>
    </w:p>
    <w:p w14:paraId="58B3384E" w14:textId="77777777" w:rsidR="00E93F58" w:rsidRPr="00A35C95" w:rsidRDefault="00E93F58" w:rsidP="00366AB5">
      <w:pPr>
        <w:pStyle w:val="subsection"/>
        <w:keepNext/>
        <w:keepLines/>
        <w:tabs>
          <w:tab w:val="left" w:pos="2835"/>
        </w:tabs>
      </w:pPr>
      <w:r w:rsidRPr="00A35C95">
        <w:tab/>
      </w:r>
      <w:r w:rsidRPr="00A35C95">
        <w:tab/>
        <w:t xml:space="preserve">For subsection 766A(2) of the Act, a person (the </w:t>
      </w:r>
      <w:r w:rsidRPr="00A35C95">
        <w:rPr>
          <w:b/>
          <w:i/>
        </w:rPr>
        <w:t>advisor</w:t>
      </w:r>
      <w:r w:rsidRPr="00A35C95">
        <w:t>) is taken not to provide a financial service if:</w:t>
      </w:r>
    </w:p>
    <w:p w14:paraId="6E83F31B" w14:textId="77777777" w:rsidR="00E93F58" w:rsidRPr="00A35C95" w:rsidRDefault="00E93F58" w:rsidP="00F735BC">
      <w:pPr>
        <w:pStyle w:val="paragraph"/>
        <w:tabs>
          <w:tab w:val="left" w:pos="2835"/>
        </w:tabs>
      </w:pPr>
      <w:r w:rsidRPr="00A35C95">
        <w:tab/>
        <w:t>(a)</w:t>
      </w:r>
      <w:r w:rsidRPr="00A35C95">
        <w:tab/>
        <w:t>the advisor gives advice to another person; and</w:t>
      </w:r>
    </w:p>
    <w:p w14:paraId="57124CCA" w14:textId="77777777" w:rsidR="00E93F58" w:rsidRPr="00A35C95" w:rsidRDefault="00E93F58" w:rsidP="00F735BC">
      <w:pPr>
        <w:pStyle w:val="paragraph"/>
        <w:tabs>
          <w:tab w:val="left" w:pos="2835"/>
        </w:tabs>
      </w:pPr>
      <w:r w:rsidRPr="00A35C95">
        <w:tab/>
        <w:t>(b)</w:t>
      </w:r>
      <w:r w:rsidRPr="00A35C95">
        <w:tab/>
        <w:t>the advice:</w:t>
      </w:r>
    </w:p>
    <w:p w14:paraId="7418D67E" w14:textId="77777777" w:rsidR="00E93F58" w:rsidRPr="00A35C95" w:rsidRDefault="00E93F58" w:rsidP="00F735BC">
      <w:pPr>
        <w:pStyle w:val="paragraphsub"/>
        <w:tabs>
          <w:tab w:val="left" w:pos="2835"/>
        </w:tabs>
      </w:pPr>
      <w:r w:rsidRPr="00A35C95">
        <w:tab/>
        <w:t>(i)</w:t>
      </w:r>
      <w:r w:rsidRPr="00A35C95">
        <w:tab/>
        <w:t>is not about a particular financial product or an interest in a particular financial product; and</w:t>
      </w:r>
    </w:p>
    <w:p w14:paraId="77E99C4D" w14:textId="77777777" w:rsidR="00E93F58" w:rsidRPr="00A35C95" w:rsidRDefault="00E93F58" w:rsidP="00F735BC">
      <w:pPr>
        <w:pStyle w:val="paragraphsub"/>
        <w:tabs>
          <w:tab w:val="left" w:pos="2835"/>
        </w:tabs>
      </w:pPr>
      <w:r w:rsidRPr="00A35C95">
        <w:tab/>
        <w:t>(ii)</w:t>
      </w:r>
      <w:r w:rsidRPr="00A35C95">
        <w:tab/>
        <w:t>is not personal advice; and</w:t>
      </w:r>
    </w:p>
    <w:p w14:paraId="581E31FA" w14:textId="77777777" w:rsidR="00E93F58" w:rsidRPr="00A35C95" w:rsidRDefault="00E93F58" w:rsidP="00F735BC">
      <w:pPr>
        <w:pStyle w:val="paragraph"/>
        <w:tabs>
          <w:tab w:val="left" w:pos="2835"/>
        </w:tabs>
      </w:pPr>
      <w:r w:rsidRPr="00A35C95">
        <w:tab/>
        <w:t>(c)</w:t>
      </w:r>
      <w:r w:rsidRPr="00A35C95">
        <w:tab/>
        <w:t>the advice:</w:t>
      </w:r>
    </w:p>
    <w:p w14:paraId="19703557" w14:textId="77777777" w:rsidR="00E93F58" w:rsidRPr="00A35C95" w:rsidRDefault="00E93F58" w:rsidP="00F735BC">
      <w:pPr>
        <w:pStyle w:val="paragraphsub"/>
        <w:tabs>
          <w:tab w:val="left" w:pos="2835"/>
        </w:tabs>
      </w:pPr>
      <w:r w:rsidRPr="00A35C95">
        <w:tab/>
        <w:t>(i)</w:t>
      </w:r>
      <w:r w:rsidRPr="00A35C95">
        <w:tab/>
        <w:t>is not intended to influence the other person in making a decision in relation to a particular financial product or an interest in a particular financial product; or</w:t>
      </w:r>
    </w:p>
    <w:p w14:paraId="00BB0534" w14:textId="77777777" w:rsidR="00E93F58" w:rsidRPr="00A35C95" w:rsidRDefault="00E93F58" w:rsidP="00F735BC">
      <w:pPr>
        <w:pStyle w:val="paragraphsub"/>
        <w:tabs>
          <w:tab w:val="left" w:pos="2835"/>
        </w:tabs>
      </w:pPr>
      <w:r w:rsidRPr="00A35C95">
        <w:tab/>
        <w:t>(ii)</w:t>
      </w:r>
      <w:r w:rsidRPr="00A35C95">
        <w:tab/>
        <w:t>could not reasonably be regarded as being intended to have such an influence; and</w:t>
      </w:r>
    </w:p>
    <w:p w14:paraId="21C35104" w14:textId="77777777" w:rsidR="00E93F58" w:rsidRPr="00A35C95" w:rsidRDefault="00E93F58" w:rsidP="00F735BC">
      <w:pPr>
        <w:pStyle w:val="paragraph"/>
        <w:tabs>
          <w:tab w:val="left" w:pos="2835"/>
        </w:tabs>
      </w:pPr>
      <w:r w:rsidRPr="00A35C95">
        <w:tab/>
        <w:t>(d)</w:t>
      </w:r>
      <w:r w:rsidRPr="00A35C95">
        <w:tab/>
        <w:t>by giving the advice neither the advisor, nor an associate of the advisor, receives any remuneration (including commission) or other benefit that is related to the advice given apart from remuneration (including commission) or other benefit that the advisor or the associate would have received if the advice was not given.</w:t>
      </w:r>
    </w:p>
    <w:p w14:paraId="5D07D7FA" w14:textId="77777777" w:rsidR="00E93F58" w:rsidRPr="00A35C95" w:rsidRDefault="00E93F58" w:rsidP="00366AB5">
      <w:pPr>
        <w:pStyle w:val="ActHead5"/>
        <w:tabs>
          <w:tab w:val="left" w:pos="2835"/>
        </w:tabs>
      </w:pPr>
      <w:bookmarkStart w:id="528" w:name="_Toc152057838"/>
      <w:bookmarkStart w:id="529" w:name="_Toc158712061"/>
      <w:r w:rsidRPr="00844D11">
        <w:rPr>
          <w:rStyle w:val="CharSectno"/>
        </w:rPr>
        <w:t>7.1.33H</w:t>
      </w:r>
      <w:r w:rsidRPr="00A35C95">
        <w:t xml:space="preserve">  Certain general advice given by a financial product issuer</w:t>
      </w:r>
      <w:bookmarkEnd w:id="528"/>
      <w:bookmarkEnd w:id="529"/>
    </w:p>
    <w:p w14:paraId="10F568C7" w14:textId="77777777" w:rsidR="00E93F58" w:rsidRPr="00A35C95" w:rsidRDefault="00E93F58" w:rsidP="00366AB5">
      <w:pPr>
        <w:pStyle w:val="subsection"/>
        <w:keepNext/>
        <w:keepLines/>
        <w:tabs>
          <w:tab w:val="left" w:pos="2835"/>
        </w:tabs>
      </w:pPr>
      <w:r w:rsidRPr="00A35C95">
        <w:tab/>
      </w:r>
      <w:r w:rsidRPr="00A35C95">
        <w:tab/>
        <w:t>For subsection 766A(2) of the Act, a financial product issuer is not taken to provide a financial service if:</w:t>
      </w:r>
    </w:p>
    <w:p w14:paraId="31C15916" w14:textId="77777777" w:rsidR="00E93F58" w:rsidRPr="00A35C95" w:rsidRDefault="00E93F58" w:rsidP="00F735BC">
      <w:pPr>
        <w:pStyle w:val="paragraph"/>
        <w:tabs>
          <w:tab w:val="left" w:pos="2835"/>
        </w:tabs>
      </w:pPr>
      <w:r w:rsidRPr="00A35C95">
        <w:tab/>
        <w:t>(a)</w:t>
      </w:r>
      <w:r w:rsidRPr="00A35C95">
        <w:tab/>
        <w:t>the issuer gives advice to another person about:</w:t>
      </w:r>
    </w:p>
    <w:p w14:paraId="61835CB5" w14:textId="77777777" w:rsidR="00E93F58" w:rsidRPr="00A35C95" w:rsidRDefault="00E93F58" w:rsidP="00F735BC">
      <w:pPr>
        <w:pStyle w:val="paragraphsub"/>
        <w:tabs>
          <w:tab w:val="left" w:pos="2835"/>
        </w:tabs>
      </w:pPr>
      <w:r w:rsidRPr="00A35C95">
        <w:tab/>
        <w:t>(i)</w:t>
      </w:r>
      <w:r w:rsidRPr="00A35C95">
        <w:tab/>
        <w:t>a particular financial product or class of financial products issued by the issuer; or</w:t>
      </w:r>
    </w:p>
    <w:p w14:paraId="0788830B" w14:textId="77777777" w:rsidR="00E93F58" w:rsidRPr="00A35C95" w:rsidRDefault="00E93F58" w:rsidP="00F735BC">
      <w:pPr>
        <w:pStyle w:val="paragraphsub"/>
        <w:tabs>
          <w:tab w:val="left" w:pos="2835"/>
        </w:tabs>
      </w:pPr>
      <w:r w:rsidRPr="00A35C95">
        <w:tab/>
        <w:t>(ii)</w:t>
      </w:r>
      <w:r w:rsidRPr="00A35C95">
        <w:tab/>
        <w:t>an interest in a particular financial product or a class of financial products issued by the issuer; and</w:t>
      </w:r>
    </w:p>
    <w:p w14:paraId="1B17F711" w14:textId="77777777" w:rsidR="00E93F58" w:rsidRPr="00A35C95" w:rsidRDefault="00E93F58" w:rsidP="00F735BC">
      <w:pPr>
        <w:pStyle w:val="paragraph"/>
        <w:tabs>
          <w:tab w:val="left" w:pos="2835"/>
        </w:tabs>
      </w:pPr>
      <w:r w:rsidRPr="00A35C95">
        <w:tab/>
        <w:t>(b)</w:t>
      </w:r>
      <w:r w:rsidRPr="00A35C95">
        <w:tab/>
        <w:t>the advice is not personal advice; and</w:t>
      </w:r>
    </w:p>
    <w:p w14:paraId="016E1841" w14:textId="77777777" w:rsidR="00E93F58" w:rsidRPr="00A35C95" w:rsidRDefault="00E93F58" w:rsidP="00F735BC">
      <w:pPr>
        <w:pStyle w:val="paragraph"/>
        <w:tabs>
          <w:tab w:val="left" w:pos="2835"/>
        </w:tabs>
      </w:pPr>
      <w:r w:rsidRPr="00A35C95">
        <w:tab/>
        <w:t>(c)</w:t>
      </w:r>
      <w:r w:rsidRPr="00A35C95">
        <w:tab/>
        <w:t>the advice is given to the person at the same time as the issuer:</w:t>
      </w:r>
    </w:p>
    <w:p w14:paraId="77A51741" w14:textId="77777777" w:rsidR="00E93F58" w:rsidRPr="00A35C95" w:rsidRDefault="00E93F58" w:rsidP="00F735BC">
      <w:pPr>
        <w:pStyle w:val="paragraphsub"/>
        <w:tabs>
          <w:tab w:val="left" w:pos="2835"/>
        </w:tabs>
      </w:pPr>
      <w:r w:rsidRPr="00A35C95">
        <w:tab/>
        <w:t>(i)</w:t>
      </w:r>
      <w:r w:rsidRPr="00A35C95">
        <w:tab/>
        <w:t>advises the person that the issuer is not licensed to provide financial product advice in relation to the product, class or interest, as the case may be; and</w:t>
      </w:r>
    </w:p>
    <w:p w14:paraId="137A07D0" w14:textId="77777777" w:rsidR="00E93F58" w:rsidRPr="00A35C95" w:rsidRDefault="00E93F58" w:rsidP="00F735BC">
      <w:pPr>
        <w:pStyle w:val="paragraphsub"/>
        <w:tabs>
          <w:tab w:val="left" w:pos="2835"/>
        </w:tabs>
      </w:pPr>
      <w:r w:rsidRPr="00A35C95">
        <w:tab/>
        <w:t>(ii)</w:t>
      </w:r>
      <w:r w:rsidRPr="00A35C95">
        <w:tab/>
        <w:t>recommends to the person that the person obtain a Product Disclosure Statement, if appropriate, and read it before making a decision to acquire the product or a product from the class of products, as the case may be; and</w:t>
      </w:r>
    </w:p>
    <w:p w14:paraId="4B8A647E" w14:textId="77777777" w:rsidR="00E93F58" w:rsidRPr="00A35C95" w:rsidRDefault="00E93F58" w:rsidP="00F735BC">
      <w:pPr>
        <w:pStyle w:val="paragraphsub"/>
        <w:tabs>
          <w:tab w:val="left" w:pos="2835"/>
        </w:tabs>
      </w:pPr>
      <w:r w:rsidRPr="00A35C95">
        <w:tab/>
        <w:t>(iii)</w:t>
      </w:r>
      <w:r w:rsidRPr="00A35C95">
        <w:tab/>
        <w:t>if it is advice about the offer, issue or sale of a financial product—notifies the person about the availability or otherwise of a cooling</w:t>
      </w:r>
      <w:r>
        <w:noBreakHyphen/>
      </w:r>
      <w:r w:rsidRPr="00A35C95">
        <w:t>off regime that applies in respect of the acquisition of the product, a product from the class of products or an interest in a product as the case may be (whether the regime is provided for by law or otherwise).</w:t>
      </w:r>
    </w:p>
    <w:p w14:paraId="173E1CE1" w14:textId="77777777" w:rsidR="00E93F58" w:rsidRPr="00A35C95" w:rsidRDefault="00E93F58" w:rsidP="00366AB5">
      <w:pPr>
        <w:pStyle w:val="ActHead3"/>
        <w:pageBreakBefore/>
        <w:tabs>
          <w:tab w:val="left" w:pos="2835"/>
        </w:tabs>
      </w:pPr>
      <w:bookmarkStart w:id="530" w:name="_Toc152057839"/>
      <w:bookmarkStart w:id="531" w:name="_Toc158712062"/>
      <w:r w:rsidRPr="00844D11">
        <w:rPr>
          <w:rStyle w:val="CharDivNo"/>
        </w:rPr>
        <w:lastRenderedPageBreak/>
        <w:t>Division 4</w:t>
      </w:r>
      <w:r w:rsidRPr="00A35C95">
        <w:t>—</w:t>
      </w:r>
      <w:r w:rsidRPr="00844D11">
        <w:rPr>
          <w:rStyle w:val="CharDivText"/>
        </w:rPr>
        <w:t>Dealings in financial products</w:t>
      </w:r>
      <w:bookmarkEnd w:id="530"/>
      <w:bookmarkEnd w:id="531"/>
    </w:p>
    <w:p w14:paraId="44E694D1" w14:textId="77777777" w:rsidR="00E93F58" w:rsidRPr="00A35C95" w:rsidRDefault="00E93F58" w:rsidP="00366AB5">
      <w:pPr>
        <w:pStyle w:val="ActHead5"/>
        <w:tabs>
          <w:tab w:val="left" w:pos="2835"/>
        </w:tabs>
      </w:pPr>
      <w:bookmarkStart w:id="532" w:name="_Toc152057840"/>
      <w:bookmarkStart w:id="533" w:name="_Toc158712063"/>
      <w:r w:rsidRPr="00844D11">
        <w:rPr>
          <w:rStyle w:val="CharSectno"/>
        </w:rPr>
        <w:t>7.1.34</w:t>
      </w:r>
      <w:r w:rsidRPr="00A35C95">
        <w:t xml:space="preserve">  Conduct that does not constitute dealing in a financial product</w:t>
      </w:r>
      <w:bookmarkEnd w:id="532"/>
      <w:bookmarkEnd w:id="533"/>
    </w:p>
    <w:p w14:paraId="5CE7EECA" w14:textId="77777777" w:rsidR="00E93F58" w:rsidRPr="00A35C95" w:rsidRDefault="00E93F58" w:rsidP="00366AB5">
      <w:pPr>
        <w:pStyle w:val="subsection"/>
        <w:tabs>
          <w:tab w:val="left" w:pos="2835"/>
        </w:tabs>
      </w:pPr>
      <w:r w:rsidRPr="00A35C95">
        <w:tab/>
        <w:t>(1)</w:t>
      </w:r>
      <w:r w:rsidRPr="00A35C95">
        <w:tab/>
        <w:t>This regulation does not apply in relation to a margin lending facility.</w:t>
      </w:r>
    </w:p>
    <w:p w14:paraId="48C0A58E" w14:textId="77777777" w:rsidR="00E93F58" w:rsidRPr="00A35C95" w:rsidRDefault="00E93F58" w:rsidP="00366AB5">
      <w:pPr>
        <w:pStyle w:val="subsection"/>
        <w:tabs>
          <w:tab w:val="left" w:pos="2835"/>
        </w:tabs>
      </w:pPr>
      <w:r w:rsidRPr="00A35C95">
        <w:tab/>
        <w:t>(2)</w:t>
      </w:r>
      <w:r w:rsidRPr="00A35C95">
        <w:tab/>
        <w:t>For subsection 766C(7) of the Act, the following conduct does not constitute dealing in a financial product:</w:t>
      </w:r>
    </w:p>
    <w:p w14:paraId="219C2130" w14:textId="77777777" w:rsidR="00E93F58" w:rsidRPr="00A35C95" w:rsidRDefault="00E93F58" w:rsidP="00366AB5">
      <w:pPr>
        <w:pStyle w:val="paragraph"/>
        <w:tabs>
          <w:tab w:val="left" w:pos="2835"/>
        </w:tabs>
      </w:pPr>
      <w:r w:rsidRPr="00A35C95">
        <w:tab/>
        <w:t>(a)</w:t>
      </w:r>
      <w:r w:rsidRPr="00A35C95">
        <w:tab/>
        <w:t>the enforcement of rights under a credit facility, including the enforcement of rights by a person acting under a power of attorney;</w:t>
      </w:r>
    </w:p>
    <w:p w14:paraId="7DB1F7CA" w14:textId="77777777" w:rsidR="00E93F58" w:rsidRPr="00A35C95" w:rsidRDefault="00E93F58" w:rsidP="00366AB5">
      <w:pPr>
        <w:pStyle w:val="paragraph"/>
        <w:tabs>
          <w:tab w:val="left" w:pos="2835"/>
        </w:tabs>
      </w:pPr>
      <w:r w:rsidRPr="00A35C95">
        <w:tab/>
        <w:t>(b)</w:t>
      </w:r>
      <w:r w:rsidRPr="00A35C95">
        <w:tab/>
        <w:t>the disposal of a financial product that is subject to a mortgage or the transfer of such a product to the mortgagor, whether the disposal or transfer is carried out at the direction of the mortgagor or occurs as a result of the mortgagor fulfilling its obligations under the mortgage.</w:t>
      </w:r>
    </w:p>
    <w:p w14:paraId="2F7BF9EB" w14:textId="77777777" w:rsidR="00E93F58" w:rsidRPr="00A35C95" w:rsidRDefault="00E93F58" w:rsidP="00366AB5">
      <w:pPr>
        <w:pStyle w:val="notetext"/>
        <w:tabs>
          <w:tab w:val="left" w:pos="2835"/>
        </w:tabs>
      </w:pPr>
      <w:r w:rsidRPr="00A35C95">
        <w:t>Example for paragraph (a):</w:t>
      </w:r>
      <w:r w:rsidRPr="00A35C95">
        <w:tab/>
        <w:t>A mortgagee exercising a power of sale under a mortgage.</w:t>
      </w:r>
    </w:p>
    <w:p w14:paraId="422F77D3" w14:textId="77777777" w:rsidR="00E93F58" w:rsidRPr="00A35C95" w:rsidRDefault="00E93F58" w:rsidP="00366AB5">
      <w:pPr>
        <w:pStyle w:val="ActHead5"/>
        <w:tabs>
          <w:tab w:val="left" w:pos="2835"/>
        </w:tabs>
      </w:pPr>
      <w:bookmarkStart w:id="534" w:name="_Toc152057841"/>
      <w:bookmarkStart w:id="535" w:name="_Toc158712064"/>
      <w:r w:rsidRPr="00844D11">
        <w:rPr>
          <w:rStyle w:val="CharSectno"/>
        </w:rPr>
        <w:t>7.1.35</w:t>
      </w:r>
      <w:r w:rsidRPr="00A35C95">
        <w:t xml:space="preserve">  Conduct that does not constitute dealing in a financial product</w:t>
      </w:r>
      <w:bookmarkEnd w:id="534"/>
      <w:bookmarkEnd w:id="535"/>
    </w:p>
    <w:p w14:paraId="3214B01F" w14:textId="77777777" w:rsidR="00E93F58" w:rsidRPr="00A35C95" w:rsidRDefault="00E93F58" w:rsidP="00366AB5">
      <w:pPr>
        <w:pStyle w:val="subsection"/>
        <w:tabs>
          <w:tab w:val="left" w:pos="2835"/>
        </w:tabs>
      </w:pPr>
      <w:r w:rsidRPr="00A35C95">
        <w:tab/>
        <w:t>(1)</w:t>
      </w:r>
      <w:r w:rsidRPr="00A35C95">
        <w:tab/>
        <w:t>For subsection 766C(7) of the Act, conduct is not taken to be dealing in a financial product if:</w:t>
      </w:r>
    </w:p>
    <w:p w14:paraId="5EB56043" w14:textId="77777777" w:rsidR="00E93F58" w:rsidRPr="00A35C95" w:rsidRDefault="00E93F58" w:rsidP="00366AB5">
      <w:pPr>
        <w:pStyle w:val="paragraph"/>
        <w:tabs>
          <w:tab w:val="left" w:pos="2835"/>
        </w:tabs>
      </w:pPr>
      <w:r w:rsidRPr="00A35C95">
        <w:tab/>
        <w:t>(a)</w:t>
      </w:r>
      <w:r w:rsidRPr="00A35C95">
        <w:tab/>
        <w:t>the conduct is of a kind:</w:t>
      </w:r>
    </w:p>
    <w:p w14:paraId="6F3AE3B9" w14:textId="77777777" w:rsidR="00E93F58" w:rsidRPr="00A35C95" w:rsidRDefault="00E93F58" w:rsidP="00366AB5">
      <w:pPr>
        <w:pStyle w:val="paragraphsub"/>
        <w:tabs>
          <w:tab w:val="left" w:pos="2835"/>
        </w:tabs>
      </w:pPr>
      <w:r w:rsidRPr="00A35C95">
        <w:tab/>
        <w:t>(i)</w:t>
      </w:r>
      <w:r w:rsidRPr="00A35C95">
        <w:tab/>
        <w:t>mentioned in paragraph 766C(1)(a), (d) or (e) of the Act; or</w:t>
      </w:r>
    </w:p>
    <w:p w14:paraId="413F13F0" w14:textId="77777777" w:rsidR="00E93F58" w:rsidRPr="00A35C95" w:rsidRDefault="00E93F58" w:rsidP="00366AB5">
      <w:pPr>
        <w:pStyle w:val="paragraphsub"/>
        <w:tabs>
          <w:tab w:val="left" w:pos="2835"/>
        </w:tabs>
      </w:pPr>
      <w:r w:rsidRPr="00A35C95">
        <w:tab/>
        <w:t>(ii)</w:t>
      </w:r>
      <w:r w:rsidRPr="00A35C95">
        <w:tab/>
        <w:t>mentioned in paragraph 766C(1)(b) of the Act, where it is the issue of a beneficial interest in a financial product, that arises from conduct that would constitute providing a custodial or depository service but for the operation of regulation 7.1.40; and</w:t>
      </w:r>
    </w:p>
    <w:p w14:paraId="2BECAF09" w14:textId="77777777" w:rsidR="00E93F58" w:rsidRPr="00A35C95" w:rsidRDefault="00E93F58" w:rsidP="00366AB5">
      <w:pPr>
        <w:pStyle w:val="paragraph"/>
        <w:keepNext/>
        <w:keepLines/>
        <w:tabs>
          <w:tab w:val="left" w:pos="2835"/>
        </w:tabs>
      </w:pPr>
      <w:r w:rsidRPr="00A35C95">
        <w:tab/>
        <w:t>(b)</w:t>
      </w:r>
      <w:r w:rsidRPr="00A35C95">
        <w:tab/>
        <w:t>the conduct is carried out by a person (</w:t>
      </w:r>
      <w:r w:rsidRPr="00A35C95">
        <w:rPr>
          <w:b/>
          <w:i/>
        </w:rPr>
        <w:t>person 1</w:t>
      </w:r>
      <w:r w:rsidRPr="00A35C95">
        <w:t>) in relation to a product that person 1 holds on trust for, or on behalf of, another person (</w:t>
      </w:r>
      <w:r w:rsidRPr="00A35C95">
        <w:rPr>
          <w:b/>
          <w:i/>
        </w:rPr>
        <w:t>person 2</w:t>
      </w:r>
      <w:r w:rsidRPr="00A35C95">
        <w:t>) and the holding of that financial product would not constitute the provision of a custodial or depository service because of paragraphs 7.1.40(a), (b), (c), (d), (g) and (i).</w:t>
      </w:r>
    </w:p>
    <w:p w14:paraId="3203C5BC" w14:textId="77777777" w:rsidR="00E93F58" w:rsidRPr="00A35C95" w:rsidRDefault="00E93F58" w:rsidP="00366AB5">
      <w:pPr>
        <w:pStyle w:val="subsection"/>
        <w:tabs>
          <w:tab w:val="left" w:pos="2835"/>
        </w:tabs>
      </w:pPr>
      <w:r w:rsidRPr="00A35C95">
        <w:tab/>
        <w:t>(2)</w:t>
      </w:r>
      <w:r w:rsidRPr="00A35C95">
        <w:tab/>
        <w:t>Subregulation (1) does not apply to conduct carried out by person 1 in relation to a financial product that is held under a custodial arrangement as defined in section 1012IA of the Act unless:</w:t>
      </w:r>
    </w:p>
    <w:p w14:paraId="55C5927D" w14:textId="77777777" w:rsidR="00E93F58" w:rsidRPr="00A35C95" w:rsidRDefault="00E93F58" w:rsidP="00366AB5">
      <w:pPr>
        <w:pStyle w:val="paragraph"/>
        <w:tabs>
          <w:tab w:val="left" w:pos="2835"/>
        </w:tabs>
      </w:pPr>
      <w:r w:rsidRPr="00A35C95">
        <w:tab/>
        <w:t>(a)</w:t>
      </w:r>
      <w:r w:rsidRPr="00A35C95">
        <w:tab/>
        <w:t>person 2 is an associate of person 1; or</w:t>
      </w:r>
    </w:p>
    <w:p w14:paraId="1791B368" w14:textId="77777777" w:rsidR="00E93F58" w:rsidRPr="00A35C95" w:rsidRDefault="00E93F58" w:rsidP="00366AB5">
      <w:pPr>
        <w:pStyle w:val="paragraph"/>
        <w:tabs>
          <w:tab w:val="left" w:pos="2835"/>
        </w:tabs>
      </w:pPr>
      <w:r w:rsidRPr="00A35C95">
        <w:tab/>
        <w:t>(b)</w:t>
      </w:r>
      <w:r w:rsidRPr="00A35C95">
        <w:tab/>
        <w:t>the financial product is held in the manner mentioned in paragraph 7.1.40(d).</w:t>
      </w:r>
    </w:p>
    <w:p w14:paraId="4B9C6922" w14:textId="77777777" w:rsidR="00E93F58" w:rsidRPr="00A35C95" w:rsidRDefault="00E93F58" w:rsidP="00366AB5">
      <w:pPr>
        <w:pStyle w:val="ActHead5"/>
        <w:tabs>
          <w:tab w:val="left" w:pos="2835"/>
        </w:tabs>
      </w:pPr>
      <w:bookmarkStart w:id="536" w:name="_Toc152057842"/>
      <w:bookmarkStart w:id="537" w:name="_Toc158712065"/>
      <w:r w:rsidRPr="00844D11">
        <w:rPr>
          <w:rStyle w:val="CharSectno"/>
        </w:rPr>
        <w:t>7.1.35A</w:t>
      </w:r>
      <w:r w:rsidRPr="00A35C95">
        <w:t xml:space="preserve">  Conduct that does not constitute dealing in a financial product—lawyers acting on instructions</w:t>
      </w:r>
      <w:bookmarkEnd w:id="536"/>
      <w:bookmarkEnd w:id="537"/>
    </w:p>
    <w:p w14:paraId="4A7A1AB6" w14:textId="77777777" w:rsidR="00E93F58" w:rsidRPr="00A35C95" w:rsidRDefault="00E93F58" w:rsidP="00366AB5">
      <w:pPr>
        <w:pStyle w:val="subsection"/>
        <w:tabs>
          <w:tab w:val="left" w:pos="2835"/>
        </w:tabs>
      </w:pPr>
      <w:r w:rsidRPr="00A35C95">
        <w:tab/>
      </w:r>
      <w:r w:rsidRPr="00A35C95">
        <w:tab/>
        <w:t>For subsection 766C(7) of the Act, a financial service provided by a lawyer is taken not to be dealing in a financial product if:</w:t>
      </w:r>
    </w:p>
    <w:p w14:paraId="495F9E65" w14:textId="77777777" w:rsidR="00E93F58" w:rsidRPr="00A35C95" w:rsidRDefault="00E93F58" w:rsidP="00366AB5">
      <w:pPr>
        <w:pStyle w:val="paragraph"/>
        <w:tabs>
          <w:tab w:val="left" w:pos="2835"/>
        </w:tabs>
      </w:pPr>
      <w:r w:rsidRPr="00A35C95">
        <w:tab/>
        <w:t>(a)</w:t>
      </w:r>
      <w:r w:rsidRPr="00A35C95">
        <w:tab/>
        <w:t>the financial service consists of:</w:t>
      </w:r>
    </w:p>
    <w:p w14:paraId="744C6034" w14:textId="77777777" w:rsidR="00E93F58" w:rsidRPr="00A35C95" w:rsidRDefault="00E93F58" w:rsidP="00366AB5">
      <w:pPr>
        <w:pStyle w:val="paragraphsub"/>
        <w:tabs>
          <w:tab w:val="left" w:pos="2835"/>
        </w:tabs>
      </w:pPr>
      <w:r w:rsidRPr="00A35C95">
        <w:tab/>
        <w:t>(i)</w:t>
      </w:r>
      <w:r w:rsidRPr="00A35C95">
        <w:tab/>
        <w:t>arranging for a person to engage in conduct referred to in subsection 766C(1) of the Act; or</w:t>
      </w:r>
    </w:p>
    <w:p w14:paraId="3113B117" w14:textId="77777777" w:rsidR="00E93F58" w:rsidRPr="00A35C95" w:rsidRDefault="00E93F58" w:rsidP="00366AB5">
      <w:pPr>
        <w:pStyle w:val="paragraphsub"/>
        <w:tabs>
          <w:tab w:val="left" w:pos="2835"/>
        </w:tabs>
      </w:pPr>
      <w:r w:rsidRPr="00A35C95">
        <w:tab/>
        <w:t>(ii)</w:t>
      </w:r>
      <w:r w:rsidRPr="00A35C95">
        <w:tab/>
        <w:t>dealing as an agent or otherwise on behalf of a client, an associate of a client or a relative of a client; and</w:t>
      </w:r>
    </w:p>
    <w:p w14:paraId="5B7D7F1E" w14:textId="77777777" w:rsidR="00E93F58" w:rsidRPr="00A35C95" w:rsidRDefault="00E93F58" w:rsidP="00366AB5">
      <w:pPr>
        <w:pStyle w:val="paragraph"/>
        <w:tabs>
          <w:tab w:val="left" w:pos="2835"/>
        </w:tabs>
      </w:pPr>
      <w:r w:rsidRPr="00A35C95">
        <w:tab/>
        <w:t>(b)</w:t>
      </w:r>
      <w:r w:rsidRPr="00A35C95">
        <w:tab/>
        <w:t>the lawyer is acting:</w:t>
      </w:r>
    </w:p>
    <w:p w14:paraId="788291D7" w14:textId="77777777" w:rsidR="00E93F58" w:rsidRPr="00A35C95" w:rsidRDefault="00E93F58" w:rsidP="00366AB5">
      <w:pPr>
        <w:pStyle w:val="paragraphsub"/>
        <w:tabs>
          <w:tab w:val="left" w:pos="2835"/>
        </w:tabs>
      </w:pPr>
      <w:r w:rsidRPr="00A35C95">
        <w:rPr>
          <w:color w:val="0000FF"/>
        </w:rPr>
        <w:tab/>
      </w:r>
      <w:r w:rsidRPr="00A35C95">
        <w:t>(i)</w:t>
      </w:r>
      <w:r w:rsidRPr="00A35C95">
        <w:tab/>
        <w:t>on the instructions of the client, an associate of the client or a relative of the client; and</w:t>
      </w:r>
    </w:p>
    <w:p w14:paraId="4421CD2E" w14:textId="77777777" w:rsidR="00E93F58" w:rsidRPr="00A35C95" w:rsidRDefault="00E93F58" w:rsidP="00366AB5">
      <w:pPr>
        <w:pStyle w:val="paragraphsub"/>
        <w:tabs>
          <w:tab w:val="left" w:pos="2835"/>
        </w:tabs>
      </w:pPr>
      <w:r w:rsidRPr="00A35C95">
        <w:tab/>
        <w:t>(ii)</w:t>
      </w:r>
      <w:r w:rsidRPr="00A35C95">
        <w:tab/>
        <w:t>in his or her professional capacity; and</w:t>
      </w:r>
    </w:p>
    <w:p w14:paraId="5FC94316" w14:textId="77777777" w:rsidR="00E93F58" w:rsidRPr="00A35C95" w:rsidRDefault="00E93F58" w:rsidP="00366AB5">
      <w:pPr>
        <w:pStyle w:val="paragraphsub"/>
        <w:tabs>
          <w:tab w:val="left" w:pos="2835"/>
        </w:tabs>
      </w:pPr>
      <w:r w:rsidRPr="00A35C95">
        <w:tab/>
        <w:t>(iii)</w:t>
      </w:r>
      <w:r w:rsidRPr="00A35C95">
        <w:tab/>
        <w:t>in the ordinary course of his or her activities as a lawyer; and</w:t>
      </w:r>
    </w:p>
    <w:p w14:paraId="471F99FA" w14:textId="77777777" w:rsidR="00E93F58" w:rsidRPr="00A35C95" w:rsidRDefault="00E93F58" w:rsidP="00366AB5">
      <w:pPr>
        <w:pStyle w:val="paragraph"/>
        <w:tabs>
          <w:tab w:val="left" w:pos="2835"/>
        </w:tabs>
      </w:pPr>
      <w:r w:rsidRPr="00A35C95">
        <w:tab/>
        <w:t>(c)</w:t>
      </w:r>
      <w:r w:rsidRPr="00A35C95">
        <w:tab/>
        <w:t>the financial service can reasonably be regarded as a necessary part of those activities; and</w:t>
      </w:r>
    </w:p>
    <w:p w14:paraId="2262F6BF" w14:textId="77777777" w:rsidR="00E93F58" w:rsidRPr="00A35C95" w:rsidRDefault="00E93F58" w:rsidP="00366AB5">
      <w:pPr>
        <w:pStyle w:val="paragraph"/>
        <w:tabs>
          <w:tab w:val="left" w:pos="2835"/>
        </w:tabs>
      </w:pPr>
      <w:r w:rsidRPr="00A35C95">
        <w:tab/>
        <w:t>(d)</w:t>
      </w:r>
      <w:r w:rsidRPr="00A35C95">
        <w:tab/>
        <w:t>the lawyer has not received, and will not receive, a benefit in connection with those activities other than:</w:t>
      </w:r>
    </w:p>
    <w:p w14:paraId="49A0B894" w14:textId="77777777" w:rsidR="00E93F58" w:rsidRPr="00A35C95" w:rsidRDefault="00E93F58" w:rsidP="00366AB5">
      <w:pPr>
        <w:pStyle w:val="paragraphsub"/>
        <w:tabs>
          <w:tab w:val="left" w:pos="2835"/>
        </w:tabs>
      </w:pPr>
      <w:r w:rsidRPr="00A35C95">
        <w:rPr>
          <w:color w:val="0000FF"/>
        </w:rPr>
        <w:tab/>
      </w:r>
      <w:r w:rsidRPr="00A35C95">
        <w:t>(i)</w:t>
      </w:r>
      <w:r w:rsidRPr="00A35C95">
        <w:tab/>
        <w:t>the payment of professional charges in relation to those activities; and</w:t>
      </w:r>
    </w:p>
    <w:p w14:paraId="35D5F2A3" w14:textId="77777777" w:rsidR="00E93F58" w:rsidRPr="00A35C95" w:rsidRDefault="00E93F58" w:rsidP="00366AB5">
      <w:pPr>
        <w:pStyle w:val="paragraphsub"/>
        <w:tabs>
          <w:tab w:val="left" w:pos="2835"/>
        </w:tabs>
      </w:pPr>
      <w:r w:rsidRPr="00A35C95">
        <w:tab/>
        <w:t>(ii)</w:t>
      </w:r>
      <w:r w:rsidRPr="00A35C95">
        <w:tab/>
        <w:t>reimbursement for expenses incurred or payment on account of expenses to be incurred on behalf of the client, an associate of the client or a relative of the client;</w:t>
      </w:r>
    </w:p>
    <w:p w14:paraId="6BCA2E21" w14:textId="77777777" w:rsidR="00E93F58" w:rsidRPr="00A35C95" w:rsidRDefault="00E93F58" w:rsidP="00366AB5">
      <w:pPr>
        <w:pStyle w:val="paragraph"/>
        <w:tabs>
          <w:tab w:val="left" w:pos="2835"/>
        </w:tabs>
      </w:pPr>
      <w:r w:rsidRPr="00A35C95">
        <w:rPr>
          <w:color w:val="0000FF"/>
        </w:rPr>
        <w:tab/>
      </w:r>
      <w:r w:rsidRPr="00A35C95">
        <w:rPr>
          <w:color w:val="0000FF"/>
        </w:rPr>
        <w:tab/>
      </w:r>
      <w:r w:rsidRPr="00A35C95">
        <w:t>from the client or from another person on behalf of the client.</w:t>
      </w:r>
    </w:p>
    <w:p w14:paraId="46589CCD" w14:textId="77777777" w:rsidR="00E93F58" w:rsidRPr="00A35C95" w:rsidRDefault="00E93F58" w:rsidP="00366AB5">
      <w:pPr>
        <w:pStyle w:val="ActHead5"/>
        <w:tabs>
          <w:tab w:val="left" w:pos="2835"/>
        </w:tabs>
      </w:pPr>
      <w:bookmarkStart w:id="538" w:name="_Toc152057843"/>
      <w:bookmarkStart w:id="539" w:name="_Toc158712066"/>
      <w:r w:rsidRPr="00844D11">
        <w:rPr>
          <w:rStyle w:val="CharSectno"/>
        </w:rPr>
        <w:t>7.1.35B</w:t>
      </w:r>
      <w:r w:rsidRPr="00A35C95">
        <w:t xml:space="preserve">  Conduct that does not constitute dealing in a financial product—issuing carbon units, Australian carbon credit units or eligible international emissions units</w:t>
      </w:r>
      <w:bookmarkEnd w:id="538"/>
      <w:bookmarkEnd w:id="539"/>
    </w:p>
    <w:p w14:paraId="50844534" w14:textId="77777777" w:rsidR="00E93F58" w:rsidRPr="00A35C95" w:rsidRDefault="00E93F58" w:rsidP="00366AB5">
      <w:pPr>
        <w:pStyle w:val="subsection"/>
        <w:tabs>
          <w:tab w:val="left" w:pos="2835"/>
        </w:tabs>
      </w:pPr>
      <w:r w:rsidRPr="00A35C95">
        <w:tab/>
      </w:r>
      <w:r w:rsidRPr="00A35C95">
        <w:tab/>
        <w:t>For subsection 766C(7) of the Act, a financial service provided by a person is taken not to be dealing in a financial product if:</w:t>
      </w:r>
    </w:p>
    <w:p w14:paraId="7D5FC8D5" w14:textId="77777777" w:rsidR="00E93F58" w:rsidRPr="00A35C95" w:rsidRDefault="00E93F58" w:rsidP="00366AB5">
      <w:pPr>
        <w:pStyle w:val="paragraph"/>
        <w:tabs>
          <w:tab w:val="left" w:pos="2835"/>
        </w:tabs>
      </w:pPr>
      <w:r w:rsidRPr="00A35C95">
        <w:lastRenderedPageBreak/>
        <w:tab/>
        <w:t>(a)</w:t>
      </w:r>
      <w:r w:rsidRPr="00A35C95">
        <w:tab/>
        <w:t>the financial product is a carbon unit, an Australian carbon credit unit or an eligible international emissions unit; and</w:t>
      </w:r>
    </w:p>
    <w:p w14:paraId="5EA897A0" w14:textId="77777777" w:rsidR="00E93F58" w:rsidRPr="00A35C95" w:rsidRDefault="00E93F58" w:rsidP="00366AB5">
      <w:pPr>
        <w:pStyle w:val="paragraph"/>
        <w:tabs>
          <w:tab w:val="left" w:pos="2835"/>
        </w:tabs>
      </w:pPr>
      <w:r w:rsidRPr="00A35C95">
        <w:tab/>
        <w:t>(b)</w:t>
      </w:r>
      <w:r w:rsidRPr="00A35C95">
        <w:tab/>
        <w:t>the person is:</w:t>
      </w:r>
    </w:p>
    <w:p w14:paraId="04CDC5E5" w14:textId="77777777" w:rsidR="00E93F58" w:rsidRPr="00A35C95" w:rsidRDefault="00E93F58" w:rsidP="00366AB5">
      <w:pPr>
        <w:pStyle w:val="paragraphsub"/>
        <w:tabs>
          <w:tab w:val="left" w:pos="2835"/>
        </w:tabs>
      </w:pPr>
      <w:r w:rsidRPr="00A35C95">
        <w:tab/>
        <w:t>(i)</w:t>
      </w:r>
      <w:r w:rsidRPr="00A35C95">
        <w:tab/>
        <w:t>the Clean Energy Regulator; or</w:t>
      </w:r>
    </w:p>
    <w:p w14:paraId="652DA3D4" w14:textId="77777777" w:rsidR="00E93F58" w:rsidRPr="00A35C95" w:rsidRDefault="00E93F58" w:rsidP="00366AB5">
      <w:pPr>
        <w:pStyle w:val="paragraphsub"/>
        <w:tabs>
          <w:tab w:val="left" w:pos="2835"/>
        </w:tabs>
      </w:pPr>
      <w:r w:rsidRPr="00A35C95">
        <w:tab/>
        <w:t>(ii)</w:t>
      </w:r>
      <w:r w:rsidRPr="00A35C95">
        <w:tab/>
        <w:t>the Clean Development Mechanism Executive Board; or</w:t>
      </w:r>
    </w:p>
    <w:p w14:paraId="22F2DA5A" w14:textId="77777777" w:rsidR="00E93F58" w:rsidRPr="00A35C95" w:rsidRDefault="00E93F58" w:rsidP="00366AB5">
      <w:pPr>
        <w:pStyle w:val="paragraphsub"/>
        <w:tabs>
          <w:tab w:val="left" w:pos="2835"/>
        </w:tabs>
      </w:pPr>
      <w:r w:rsidRPr="00A35C95">
        <w:tab/>
        <w:t>(iii)</w:t>
      </w:r>
      <w:r w:rsidRPr="00A35C95">
        <w:tab/>
        <w:t>the government of a country other than Australia; or</w:t>
      </w:r>
    </w:p>
    <w:p w14:paraId="59AF7C78" w14:textId="77777777" w:rsidR="00E93F58" w:rsidRPr="00A35C95" w:rsidRDefault="00E93F58" w:rsidP="00366AB5">
      <w:pPr>
        <w:pStyle w:val="paragraphsub"/>
        <w:tabs>
          <w:tab w:val="left" w:pos="2835"/>
        </w:tabs>
      </w:pPr>
      <w:r w:rsidRPr="00A35C95">
        <w:tab/>
        <w:t>(iv)</w:t>
      </w:r>
      <w:r w:rsidRPr="00A35C95">
        <w:tab/>
        <w:t>an authority acting on behalf of the government of a country other than Australia; and</w:t>
      </w:r>
    </w:p>
    <w:p w14:paraId="3C46F643" w14:textId="77777777" w:rsidR="00E93F58" w:rsidRPr="00A35C95" w:rsidRDefault="00E93F58" w:rsidP="00366AB5">
      <w:pPr>
        <w:pStyle w:val="paragraph"/>
        <w:tabs>
          <w:tab w:val="left" w:pos="2835"/>
        </w:tabs>
      </w:pPr>
      <w:r w:rsidRPr="00A35C95">
        <w:tab/>
        <w:t>(c)</w:t>
      </w:r>
      <w:r w:rsidRPr="00A35C95">
        <w:tab/>
        <w:t>the financial service consists of issuing the carbon unit, Australian carbon credit unit or eligible international emissions unit.</w:t>
      </w:r>
    </w:p>
    <w:p w14:paraId="09624D0C" w14:textId="77777777" w:rsidR="00E93F58" w:rsidRPr="00A35C95" w:rsidRDefault="00E93F58" w:rsidP="00366AB5">
      <w:pPr>
        <w:pStyle w:val="ActHead5"/>
        <w:tabs>
          <w:tab w:val="left" w:pos="2835"/>
        </w:tabs>
      </w:pPr>
      <w:bookmarkStart w:id="540" w:name="_Toc152057844"/>
      <w:bookmarkStart w:id="541" w:name="_Toc158712067"/>
      <w:r w:rsidRPr="00844D11">
        <w:rPr>
          <w:rStyle w:val="CharSectno"/>
        </w:rPr>
        <w:t>7.1.35C</w:t>
      </w:r>
      <w:r w:rsidRPr="00A35C95">
        <w:t xml:space="preserve">  Conduct that does not constitute dealing in a financial product—carbon units, Australian carbon credit units or eligible international emissions units</w:t>
      </w:r>
      <w:bookmarkEnd w:id="540"/>
      <w:bookmarkEnd w:id="541"/>
    </w:p>
    <w:p w14:paraId="1B327DA2" w14:textId="77777777" w:rsidR="00E93F58" w:rsidRPr="00A35C95" w:rsidRDefault="00E93F58" w:rsidP="00366AB5">
      <w:pPr>
        <w:pStyle w:val="subsection"/>
        <w:tabs>
          <w:tab w:val="left" w:pos="2835"/>
        </w:tabs>
      </w:pPr>
      <w:r w:rsidRPr="00A35C95">
        <w:tab/>
      </w:r>
      <w:r w:rsidRPr="00A35C95">
        <w:tab/>
        <w:t>For subsection 766C(7) of the Act, a financial service provided by a person is taken not to be dealing in a financial product if:</w:t>
      </w:r>
    </w:p>
    <w:p w14:paraId="7B0A7322" w14:textId="77777777" w:rsidR="00E93F58" w:rsidRPr="00A35C95" w:rsidRDefault="00E93F58" w:rsidP="00366AB5">
      <w:pPr>
        <w:pStyle w:val="paragraph"/>
        <w:tabs>
          <w:tab w:val="left" w:pos="2835"/>
        </w:tabs>
      </w:pPr>
      <w:r w:rsidRPr="00A35C95">
        <w:tab/>
        <w:t>(a)</w:t>
      </w:r>
      <w:r w:rsidRPr="00A35C95">
        <w:tab/>
        <w:t>the financial product is a carbon unit, an Australian carbon credit unit or an eligible international emissions unit; and</w:t>
      </w:r>
    </w:p>
    <w:p w14:paraId="5AEFE3E6" w14:textId="77777777" w:rsidR="00E93F58" w:rsidRPr="00A35C95" w:rsidRDefault="00E93F58" w:rsidP="00366AB5">
      <w:pPr>
        <w:pStyle w:val="paragraph"/>
        <w:tabs>
          <w:tab w:val="left" w:pos="2835"/>
        </w:tabs>
      </w:pPr>
      <w:r w:rsidRPr="00A35C95">
        <w:tab/>
        <w:t>(b)</w:t>
      </w:r>
      <w:r w:rsidRPr="00A35C95">
        <w:tab/>
        <w:t>the financial service consists of dealing in the carbon unit, Australian carbon credit unit or eligible international emissions unit on behalf of:</w:t>
      </w:r>
    </w:p>
    <w:p w14:paraId="4006D4D5" w14:textId="77777777" w:rsidR="00E93F58" w:rsidRPr="00A35C95" w:rsidRDefault="00E93F58" w:rsidP="00366AB5">
      <w:pPr>
        <w:pStyle w:val="paragraphsub"/>
        <w:tabs>
          <w:tab w:val="left" w:pos="2835"/>
        </w:tabs>
      </w:pPr>
      <w:r w:rsidRPr="00A35C95">
        <w:tab/>
        <w:t>(i)</w:t>
      </w:r>
      <w:r w:rsidRPr="00A35C95">
        <w:tab/>
        <w:t>a related body corporate of the person; or</w:t>
      </w:r>
    </w:p>
    <w:p w14:paraId="611FC6E5" w14:textId="77777777" w:rsidR="00E93F58" w:rsidRPr="00A35C95" w:rsidRDefault="00E93F58" w:rsidP="00366AB5">
      <w:pPr>
        <w:pStyle w:val="paragraphsub"/>
        <w:tabs>
          <w:tab w:val="left" w:pos="2835"/>
        </w:tabs>
      </w:pPr>
      <w:r w:rsidRPr="00A35C95">
        <w:tab/>
        <w:t>(ii)</w:t>
      </w:r>
      <w:r w:rsidRPr="00A35C95">
        <w:tab/>
        <w:t>an associated entity of the person; and</w:t>
      </w:r>
    </w:p>
    <w:p w14:paraId="1B1E1F07" w14:textId="77777777" w:rsidR="00E93F58" w:rsidRPr="00A35C95" w:rsidRDefault="00E93F58" w:rsidP="00366AB5">
      <w:pPr>
        <w:pStyle w:val="paragraph"/>
        <w:tabs>
          <w:tab w:val="left" w:pos="2835"/>
        </w:tabs>
      </w:pPr>
      <w:r w:rsidRPr="00A35C95">
        <w:tab/>
        <w:t>(c)</w:t>
      </w:r>
      <w:r w:rsidRPr="00A35C95">
        <w:tab/>
        <w:t xml:space="preserve">the related body corporate or associated entity is an entity that is a liable entity entered in the information database under section 183 of the </w:t>
      </w:r>
      <w:r w:rsidRPr="00A35C95">
        <w:rPr>
          <w:i/>
        </w:rPr>
        <w:t>Clean Energy Act 2011</w:t>
      </w:r>
      <w:r w:rsidRPr="00A35C95">
        <w:t>.</w:t>
      </w:r>
    </w:p>
    <w:p w14:paraId="6D990F3B" w14:textId="77777777" w:rsidR="00E93F58" w:rsidRPr="00A35C95" w:rsidRDefault="00E93F58" w:rsidP="00366AB5">
      <w:pPr>
        <w:pStyle w:val="ActHead3"/>
        <w:pageBreakBefore/>
        <w:tabs>
          <w:tab w:val="left" w:pos="2835"/>
        </w:tabs>
      </w:pPr>
      <w:bookmarkStart w:id="542" w:name="_Toc152057845"/>
      <w:bookmarkStart w:id="543" w:name="_Toc158712068"/>
      <w:r w:rsidRPr="00844D11">
        <w:rPr>
          <w:rStyle w:val="CharDivNo"/>
        </w:rPr>
        <w:lastRenderedPageBreak/>
        <w:t>Division 5</w:t>
      </w:r>
      <w:r w:rsidRPr="00A35C95">
        <w:t>—</w:t>
      </w:r>
      <w:r w:rsidRPr="00844D11">
        <w:rPr>
          <w:rStyle w:val="CharDivText"/>
        </w:rPr>
        <w:t>Custodial or depository services</w:t>
      </w:r>
      <w:bookmarkEnd w:id="542"/>
      <w:bookmarkEnd w:id="543"/>
    </w:p>
    <w:p w14:paraId="23EA3369" w14:textId="77777777" w:rsidR="00E93F58" w:rsidRPr="00A35C95" w:rsidRDefault="00E93F58" w:rsidP="00366AB5">
      <w:pPr>
        <w:pStyle w:val="ActHead5"/>
        <w:tabs>
          <w:tab w:val="left" w:pos="2835"/>
        </w:tabs>
      </w:pPr>
      <w:bookmarkStart w:id="544" w:name="_Toc152057846"/>
      <w:bookmarkStart w:id="545" w:name="_Toc158712069"/>
      <w:r w:rsidRPr="00844D11">
        <w:rPr>
          <w:rStyle w:val="CharSectno"/>
        </w:rPr>
        <w:t>7.1.40</w:t>
      </w:r>
      <w:r w:rsidRPr="00A35C95">
        <w:t xml:space="preserve">  Conduct that does not constitute the provision of a custodial or depository service</w:t>
      </w:r>
      <w:bookmarkEnd w:id="544"/>
      <w:bookmarkEnd w:id="545"/>
    </w:p>
    <w:p w14:paraId="6AC3090D" w14:textId="77777777" w:rsidR="00E93F58" w:rsidRPr="00A35C95" w:rsidRDefault="00E93F58" w:rsidP="00366AB5">
      <w:pPr>
        <w:pStyle w:val="subsection"/>
        <w:tabs>
          <w:tab w:val="left" w:pos="2835"/>
        </w:tabs>
      </w:pPr>
      <w:r w:rsidRPr="00A35C95">
        <w:tab/>
        <w:t>(1)</w:t>
      </w:r>
      <w:r w:rsidRPr="00A35C95">
        <w:tab/>
        <w:t>For paragraph 766E(3)(e) of the Act, conduct that is mentioned in subsection 766E(1) of the Act does not constitute providing a custodial or depository service if:</w:t>
      </w:r>
    </w:p>
    <w:p w14:paraId="573F239E" w14:textId="77777777" w:rsidR="00E93F58" w:rsidRPr="00A35C95" w:rsidRDefault="00E93F58" w:rsidP="00366AB5">
      <w:pPr>
        <w:pStyle w:val="paragraph"/>
        <w:tabs>
          <w:tab w:val="left" w:pos="2835"/>
        </w:tabs>
      </w:pPr>
      <w:r w:rsidRPr="00A35C95">
        <w:tab/>
        <w:t>(a)</w:t>
      </w:r>
      <w:r w:rsidRPr="00A35C95">
        <w:tab/>
        <w:t>the financial product held by the provider is a basic deposit product or is an account mentioned in subsection 981B(1) of the Act; or</w:t>
      </w:r>
    </w:p>
    <w:p w14:paraId="2C4653D1" w14:textId="77777777" w:rsidR="00E93F58" w:rsidRPr="00A35C95" w:rsidRDefault="00E93F58" w:rsidP="00366AB5">
      <w:pPr>
        <w:pStyle w:val="paragraph"/>
        <w:tabs>
          <w:tab w:val="left" w:pos="2835"/>
        </w:tabs>
      </w:pPr>
      <w:r w:rsidRPr="00A35C95">
        <w:tab/>
        <w:t>(b)</w:t>
      </w:r>
      <w:r w:rsidRPr="00A35C95">
        <w:tab/>
        <w:t>the client is an associate of the provider (within the meaning of Division 2 of Part 1.2 of the Act); or</w:t>
      </w:r>
    </w:p>
    <w:p w14:paraId="210A5697" w14:textId="77777777" w:rsidR="00E93F58" w:rsidRPr="00A35C95" w:rsidRDefault="00E93F58" w:rsidP="00366AB5">
      <w:pPr>
        <w:pStyle w:val="paragraph"/>
        <w:tabs>
          <w:tab w:val="left" w:pos="2835"/>
        </w:tabs>
      </w:pPr>
      <w:r w:rsidRPr="00A35C95">
        <w:tab/>
        <w:t>(c)</w:t>
      </w:r>
      <w:r w:rsidRPr="00A35C95">
        <w:tab/>
        <w:t>the provider and its associates have no more than 20 clients in aggregate for all custodial or depository services that they provide; or</w:t>
      </w:r>
    </w:p>
    <w:p w14:paraId="24A89448" w14:textId="77777777" w:rsidR="00E93F58" w:rsidRPr="00A35C95" w:rsidRDefault="00E93F58" w:rsidP="00366AB5">
      <w:pPr>
        <w:pStyle w:val="paragraph"/>
        <w:tabs>
          <w:tab w:val="left" w:pos="2835"/>
        </w:tabs>
      </w:pPr>
      <w:r w:rsidRPr="00A35C95">
        <w:tab/>
        <w:t>(d)</w:t>
      </w:r>
      <w:r w:rsidRPr="00A35C95">
        <w:tab/>
        <w:t>the financial product is held as part of the arrangements for securing obligations under:</w:t>
      </w:r>
    </w:p>
    <w:p w14:paraId="724D552F" w14:textId="77777777" w:rsidR="00E93F58" w:rsidRPr="00A35C95" w:rsidRDefault="00E93F58" w:rsidP="00366AB5">
      <w:pPr>
        <w:pStyle w:val="paragraphsub"/>
        <w:tabs>
          <w:tab w:val="left" w:pos="2835"/>
        </w:tabs>
      </w:pPr>
      <w:r w:rsidRPr="00A35C95">
        <w:tab/>
        <w:t>(i)</w:t>
      </w:r>
      <w:r w:rsidRPr="00A35C95">
        <w:tab/>
        <w:t>a credit facility; or</w:t>
      </w:r>
    </w:p>
    <w:p w14:paraId="1BC9F3C6" w14:textId="77777777" w:rsidR="00E93F58" w:rsidRPr="00A35C95" w:rsidRDefault="00E93F58" w:rsidP="00366AB5">
      <w:pPr>
        <w:pStyle w:val="paragraphsub"/>
        <w:tabs>
          <w:tab w:val="left" w:pos="2835"/>
        </w:tabs>
      </w:pPr>
      <w:r w:rsidRPr="00A35C95">
        <w:tab/>
        <w:t>(ii)</w:t>
      </w:r>
      <w:r w:rsidRPr="00A35C95">
        <w:tab/>
        <w:t>a debenture that is held as trustee under a trust deed:</w:t>
      </w:r>
    </w:p>
    <w:p w14:paraId="2D99A49C" w14:textId="77777777" w:rsidR="00E93F58" w:rsidRPr="00A35C95" w:rsidRDefault="00E93F58" w:rsidP="00366AB5">
      <w:pPr>
        <w:pStyle w:val="paragraphsub-sub"/>
        <w:tabs>
          <w:tab w:val="left" w:pos="2835"/>
        </w:tabs>
      </w:pPr>
      <w:r w:rsidRPr="00A35C95">
        <w:tab/>
        <w:t>(A)</w:t>
      </w:r>
      <w:r w:rsidRPr="00A35C95">
        <w:tab/>
        <w:t>entered into under section 283AA of the Act or former section 260FA of the Corporations Law of a State or Territory; or</w:t>
      </w:r>
    </w:p>
    <w:p w14:paraId="7A4CB88E" w14:textId="77777777" w:rsidR="00E93F58" w:rsidRPr="00A35C95" w:rsidRDefault="00E93F58" w:rsidP="00366AB5">
      <w:pPr>
        <w:pStyle w:val="paragraphsub-sub"/>
        <w:tabs>
          <w:tab w:val="left" w:pos="2835"/>
        </w:tabs>
      </w:pPr>
      <w:r w:rsidRPr="00A35C95">
        <w:tab/>
        <w:t>(B)</w:t>
      </w:r>
      <w:r w:rsidRPr="00A35C95">
        <w:tab/>
        <w:t>mentioned in former section 1052 of the Corporations Law of a State or Territory; or</w:t>
      </w:r>
    </w:p>
    <w:p w14:paraId="6C510F27" w14:textId="77777777" w:rsidR="00E93F58" w:rsidRPr="00A35C95" w:rsidRDefault="00E93F58" w:rsidP="00366AB5">
      <w:pPr>
        <w:pStyle w:val="paragraph"/>
        <w:tabs>
          <w:tab w:val="left" w:pos="2835"/>
        </w:tabs>
      </w:pPr>
      <w:r w:rsidRPr="00A35C95">
        <w:tab/>
        <w:t>(e)</w:t>
      </w:r>
      <w:r w:rsidRPr="00A35C95">
        <w:tab/>
        <w:t>the provider is a participant in a licensed market and the financial product held is a derivative acquired on the licensed market by the provider on behalf of a client; or</w:t>
      </w:r>
    </w:p>
    <w:p w14:paraId="7CBF36D6" w14:textId="77777777" w:rsidR="00E93F58" w:rsidRPr="00A35C95" w:rsidRDefault="00E93F58" w:rsidP="00366AB5">
      <w:pPr>
        <w:pStyle w:val="paragraph"/>
        <w:tabs>
          <w:tab w:val="left" w:pos="2835"/>
        </w:tabs>
      </w:pPr>
      <w:r w:rsidRPr="00A35C95">
        <w:tab/>
        <w:t>(f)</w:t>
      </w:r>
      <w:r w:rsidRPr="00A35C95">
        <w:tab/>
        <w:t>the provider is a participant in a licensed clearing and settlement facility and the financial product held is a derivative registered on the licensed clearing and settlement facility by the provider on behalf of the client; or</w:t>
      </w:r>
    </w:p>
    <w:p w14:paraId="4EA7B0B1" w14:textId="77777777" w:rsidR="00E93F58" w:rsidRPr="00A35C95" w:rsidRDefault="00E93F58" w:rsidP="00366AB5">
      <w:pPr>
        <w:pStyle w:val="paragraph"/>
        <w:tabs>
          <w:tab w:val="left" w:pos="2835"/>
        </w:tabs>
      </w:pPr>
      <w:r w:rsidRPr="00A35C95">
        <w:tab/>
        <w:t>(g)</w:t>
      </w:r>
      <w:r w:rsidRPr="00A35C95">
        <w:tab/>
        <w:t>the financial product is held under:</w:t>
      </w:r>
    </w:p>
    <w:p w14:paraId="1232675F" w14:textId="77777777" w:rsidR="00E93F58" w:rsidRPr="00A35C95" w:rsidRDefault="00E93F58" w:rsidP="00366AB5">
      <w:pPr>
        <w:pStyle w:val="paragraphsub"/>
        <w:tabs>
          <w:tab w:val="left" w:pos="2835"/>
        </w:tabs>
      </w:pPr>
      <w:r w:rsidRPr="00A35C95">
        <w:tab/>
        <w:t>(i)</w:t>
      </w:r>
      <w:r w:rsidRPr="00A35C95">
        <w:tab/>
        <w:t>an order of a court; or</w:t>
      </w:r>
    </w:p>
    <w:p w14:paraId="32B45EA9" w14:textId="77777777" w:rsidR="00E93F58" w:rsidRPr="00A35C95" w:rsidRDefault="00E93F58" w:rsidP="00366AB5">
      <w:pPr>
        <w:pStyle w:val="paragraphsub"/>
        <w:tabs>
          <w:tab w:val="left" w:pos="2835"/>
        </w:tabs>
      </w:pPr>
      <w:r w:rsidRPr="00A35C95">
        <w:tab/>
        <w:t>(ii)</w:t>
      </w:r>
      <w:r w:rsidRPr="00A35C95">
        <w:tab/>
        <w:t>an order of a board or tribunal established under a law of a State or Territory; or</w:t>
      </w:r>
    </w:p>
    <w:p w14:paraId="4CA0473F" w14:textId="77777777" w:rsidR="00E93F58" w:rsidRPr="00A35C95" w:rsidRDefault="00E93F58" w:rsidP="00366AB5">
      <w:pPr>
        <w:pStyle w:val="paragraphsub"/>
        <w:tabs>
          <w:tab w:val="left" w:pos="2835"/>
        </w:tabs>
      </w:pPr>
      <w:r w:rsidRPr="00A35C95">
        <w:tab/>
        <w:t>(iii)</w:t>
      </w:r>
      <w:r w:rsidRPr="00A35C95">
        <w:tab/>
        <w:t>a direction by the holder of a statutory office established under a law of a State or Territory; or</w:t>
      </w:r>
    </w:p>
    <w:p w14:paraId="3BDA0B29" w14:textId="77777777" w:rsidR="00E93F58" w:rsidRPr="00A35C95" w:rsidRDefault="00E93F58" w:rsidP="00366AB5">
      <w:pPr>
        <w:pStyle w:val="paragraph"/>
        <w:tabs>
          <w:tab w:val="left" w:pos="2835"/>
        </w:tabs>
      </w:pPr>
      <w:r w:rsidRPr="00A35C95">
        <w:tab/>
        <w:t>(h)</w:t>
      </w:r>
      <w:r w:rsidRPr="00A35C95">
        <w:tab/>
        <w:t>the service is provided by a lawyer in the following circumstances:</w:t>
      </w:r>
    </w:p>
    <w:p w14:paraId="36EB047A" w14:textId="77777777" w:rsidR="00E93F58" w:rsidRPr="00A35C95" w:rsidRDefault="00E93F58" w:rsidP="00366AB5">
      <w:pPr>
        <w:pStyle w:val="paragraphsub"/>
        <w:tabs>
          <w:tab w:val="left" w:pos="2835"/>
        </w:tabs>
      </w:pPr>
      <w:r w:rsidRPr="00A35C95">
        <w:rPr>
          <w:color w:val="0000FF"/>
        </w:rPr>
        <w:tab/>
      </w:r>
      <w:r w:rsidRPr="00A35C95">
        <w:t>(i)</w:t>
      </w:r>
      <w:r w:rsidRPr="00A35C95">
        <w:tab/>
        <w:t>the financial service consists of acquiring, holding or disposing of a cash management trust interest, being an interest to which a law of a State or Territory relating to the audit of trust or controlled monies applies;</w:t>
      </w:r>
    </w:p>
    <w:p w14:paraId="71179B54" w14:textId="77777777" w:rsidR="00E93F58" w:rsidRPr="00A35C95" w:rsidRDefault="00E93F58" w:rsidP="00366AB5">
      <w:pPr>
        <w:pStyle w:val="paragraphsub"/>
        <w:tabs>
          <w:tab w:val="left" w:pos="2835"/>
        </w:tabs>
      </w:pPr>
      <w:r w:rsidRPr="00A35C95">
        <w:tab/>
        <w:t>(ii)</w:t>
      </w:r>
      <w:r w:rsidRPr="00A35C95">
        <w:tab/>
        <w:t>the lawyer is acting:</w:t>
      </w:r>
    </w:p>
    <w:p w14:paraId="31AECBA5" w14:textId="77777777" w:rsidR="00E93F58" w:rsidRPr="00A35C95" w:rsidRDefault="00E93F58" w:rsidP="00366AB5">
      <w:pPr>
        <w:pStyle w:val="paragraphsub-sub"/>
        <w:tabs>
          <w:tab w:val="left" w:pos="2835"/>
        </w:tabs>
      </w:pPr>
      <w:r w:rsidRPr="00A35C95">
        <w:rPr>
          <w:color w:val="0000FF"/>
        </w:rPr>
        <w:tab/>
      </w:r>
      <w:r w:rsidRPr="00A35C95">
        <w:t>(A)</w:t>
      </w:r>
      <w:r w:rsidRPr="00A35C95">
        <w:tab/>
        <w:t>on instructions from the client, an associate of the client or a relative of the client; and</w:t>
      </w:r>
    </w:p>
    <w:p w14:paraId="19C74299" w14:textId="77777777" w:rsidR="00E93F58" w:rsidRPr="00A35C95" w:rsidRDefault="00E93F58" w:rsidP="00366AB5">
      <w:pPr>
        <w:pStyle w:val="paragraphsub-sub"/>
        <w:tabs>
          <w:tab w:val="left" w:pos="2835"/>
        </w:tabs>
      </w:pPr>
      <w:r w:rsidRPr="00A35C95">
        <w:tab/>
        <w:t>(B)</w:t>
      </w:r>
      <w:r w:rsidRPr="00A35C95">
        <w:tab/>
        <w:t>in his or her professional capacity; and</w:t>
      </w:r>
    </w:p>
    <w:p w14:paraId="0C52B044" w14:textId="77777777" w:rsidR="00E93F58" w:rsidRPr="00A35C95" w:rsidRDefault="00E93F58" w:rsidP="00366AB5">
      <w:pPr>
        <w:pStyle w:val="paragraphsub-sub"/>
        <w:tabs>
          <w:tab w:val="left" w:pos="2835"/>
        </w:tabs>
      </w:pPr>
      <w:r w:rsidRPr="00A35C95">
        <w:tab/>
        <w:t>(C)</w:t>
      </w:r>
      <w:r w:rsidRPr="00A35C95">
        <w:tab/>
        <w:t>in the ordinary course of his or her activities as a lawyer;</w:t>
      </w:r>
    </w:p>
    <w:p w14:paraId="5B40DB85" w14:textId="77777777" w:rsidR="00E93F58" w:rsidRPr="00A35C95" w:rsidRDefault="00E93F58" w:rsidP="00366AB5">
      <w:pPr>
        <w:pStyle w:val="paragraphsub"/>
        <w:tabs>
          <w:tab w:val="left" w:pos="2835"/>
        </w:tabs>
      </w:pPr>
      <w:r w:rsidRPr="00A35C95">
        <w:tab/>
        <w:t>(iii)</w:t>
      </w:r>
      <w:r w:rsidRPr="00A35C95">
        <w:tab/>
        <w:t>the financial service can reasonably be regarded as a necessary part of those activities;</w:t>
      </w:r>
    </w:p>
    <w:p w14:paraId="62326DB5" w14:textId="77777777" w:rsidR="00E93F58" w:rsidRPr="00A35C95" w:rsidRDefault="00E93F58" w:rsidP="00366AB5">
      <w:pPr>
        <w:pStyle w:val="paragraphsub"/>
        <w:tabs>
          <w:tab w:val="left" w:pos="2835"/>
        </w:tabs>
      </w:pPr>
      <w:r w:rsidRPr="00A35C95">
        <w:tab/>
        <w:t>(iv)</w:t>
      </w:r>
      <w:r w:rsidRPr="00A35C95">
        <w:tab/>
        <w:t>the lawyer has not received, and will not receive, a benefit in connection with the activities other than:</w:t>
      </w:r>
    </w:p>
    <w:p w14:paraId="43A7A447" w14:textId="77777777" w:rsidR="00E93F58" w:rsidRPr="00A35C95" w:rsidRDefault="00E93F58" w:rsidP="00366AB5">
      <w:pPr>
        <w:pStyle w:val="paragraphsub-sub"/>
        <w:tabs>
          <w:tab w:val="left" w:pos="2835"/>
        </w:tabs>
      </w:pPr>
      <w:r w:rsidRPr="00A35C95">
        <w:tab/>
        <w:t>(A)</w:t>
      </w:r>
      <w:r w:rsidRPr="00A35C95">
        <w:tab/>
        <w:t>the payment of professional charges related to those activities; and</w:t>
      </w:r>
    </w:p>
    <w:p w14:paraId="1156045F" w14:textId="77777777" w:rsidR="00E93F58" w:rsidRPr="00A35C95" w:rsidRDefault="00E93F58" w:rsidP="00366AB5">
      <w:pPr>
        <w:pStyle w:val="paragraphsub-sub"/>
        <w:tabs>
          <w:tab w:val="left" w:pos="2835"/>
        </w:tabs>
      </w:pPr>
      <w:r w:rsidRPr="00A35C95">
        <w:tab/>
        <w:t>(B)</w:t>
      </w:r>
      <w:r w:rsidRPr="00A35C95">
        <w:tab/>
        <w:t>reimbursement for expenses incurred or payment on account of expenses to be incurred on behalf of the client, an associate of the client or a relative of the client;</w:t>
      </w:r>
    </w:p>
    <w:p w14:paraId="2BF27C6A" w14:textId="77777777" w:rsidR="00E93F58" w:rsidRPr="00A35C95" w:rsidRDefault="00E93F58" w:rsidP="00366AB5">
      <w:pPr>
        <w:pStyle w:val="paragraphsub"/>
        <w:tabs>
          <w:tab w:val="left" w:pos="2835"/>
        </w:tabs>
      </w:pPr>
      <w:r w:rsidRPr="00A35C95">
        <w:rPr>
          <w:color w:val="0000FF"/>
        </w:rPr>
        <w:tab/>
      </w:r>
      <w:r w:rsidRPr="00A35C95">
        <w:rPr>
          <w:color w:val="0000FF"/>
        </w:rPr>
        <w:tab/>
      </w:r>
      <w:r w:rsidRPr="00A35C95">
        <w:t>from the client or from another person on behalf of the client; or</w:t>
      </w:r>
    </w:p>
    <w:p w14:paraId="109BC86D" w14:textId="77777777" w:rsidR="00E93F58" w:rsidRPr="00A35C95" w:rsidRDefault="00E93F58" w:rsidP="00366AB5">
      <w:pPr>
        <w:pStyle w:val="paragraph"/>
        <w:tabs>
          <w:tab w:val="left" w:pos="2835"/>
        </w:tabs>
      </w:pPr>
      <w:r w:rsidRPr="00A35C95">
        <w:tab/>
        <w:t>(i)</w:t>
      </w:r>
      <w:r w:rsidRPr="00A35C95">
        <w:tab/>
        <w:t>the financial product is held by a trustee appointed under:</w:t>
      </w:r>
    </w:p>
    <w:p w14:paraId="4364AFE0" w14:textId="77777777" w:rsidR="00E93F58" w:rsidRPr="00A35C95" w:rsidRDefault="00E93F58" w:rsidP="00366AB5">
      <w:pPr>
        <w:pStyle w:val="paragraphsub"/>
        <w:tabs>
          <w:tab w:val="left" w:pos="2835"/>
        </w:tabs>
      </w:pPr>
      <w:r w:rsidRPr="00A35C95">
        <w:tab/>
        <w:t>(i)</w:t>
      </w:r>
      <w:r w:rsidRPr="00A35C95">
        <w:tab/>
        <w:t>a law of a State or Territory to administer monies awarded to a person as compensation; or</w:t>
      </w:r>
    </w:p>
    <w:p w14:paraId="08BBF9A6" w14:textId="77777777" w:rsidR="00E93F58" w:rsidRPr="00A35C95" w:rsidRDefault="00E93F58" w:rsidP="00366AB5">
      <w:pPr>
        <w:pStyle w:val="paragraphsub"/>
        <w:tabs>
          <w:tab w:val="left" w:pos="2835"/>
        </w:tabs>
      </w:pPr>
      <w:r w:rsidRPr="00A35C95">
        <w:tab/>
        <w:t>(ii)</w:t>
      </w:r>
      <w:r w:rsidRPr="00A35C95">
        <w:tab/>
        <w:t>a trust formed for a charitable purpose.</w:t>
      </w:r>
    </w:p>
    <w:p w14:paraId="2E64FD8B" w14:textId="77777777" w:rsidR="00E93F58" w:rsidRPr="00A35C95" w:rsidRDefault="00E93F58" w:rsidP="00366AB5">
      <w:pPr>
        <w:pStyle w:val="subsection"/>
        <w:keepNext/>
        <w:keepLines/>
        <w:tabs>
          <w:tab w:val="left" w:pos="2835"/>
        </w:tabs>
      </w:pPr>
      <w:r w:rsidRPr="00A35C95">
        <w:tab/>
        <w:t>(2)</w:t>
      </w:r>
      <w:r w:rsidRPr="00A35C95">
        <w:tab/>
        <w:t>For paragraph 766E(3)(e) of the Act, conduct that is mentioned in subsection 766E(1) of the Act does not constitute providing a custodial or depository service if the financial product is an Australian carbon credit unit that has been issued to:</w:t>
      </w:r>
    </w:p>
    <w:p w14:paraId="735F85B9" w14:textId="77777777" w:rsidR="00E93F58" w:rsidRPr="00A35C95" w:rsidRDefault="00E93F58" w:rsidP="00366AB5">
      <w:pPr>
        <w:pStyle w:val="paragraph"/>
        <w:tabs>
          <w:tab w:val="left" w:pos="2835"/>
        </w:tabs>
      </w:pPr>
      <w:r w:rsidRPr="00A35C95">
        <w:tab/>
        <w:t>(a)</w:t>
      </w:r>
      <w:r w:rsidRPr="00A35C95">
        <w:tab/>
        <w:t xml:space="preserve">a special native title account in accordance with section 49 of the </w:t>
      </w:r>
      <w:r w:rsidRPr="00A35C95">
        <w:rPr>
          <w:i/>
        </w:rPr>
        <w:t>Carbon Credits (Carbon Farming Initiative) Act 2011</w:t>
      </w:r>
      <w:r w:rsidRPr="00A35C95">
        <w:t>; or</w:t>
      </w:r>
    </w:p>
    <w:p w14:paraId="329A0E4F" w14:textId="77777777" w:rsidR="00E93F58" w:rsidRPr="00A35C95" w:rsidRDefault="00E93F58" w:rsidP="00366AB5">
      <w:pPr>
        <w:pStyle w:val="paragraph"/>
        <w:tabs>
          <w:tab w:val="left" w:pos="2835"/>
        </w:tabs>
      </w:pPr>
      <w:r w:rsidRPr="00A35C95">
        <w:tab/>
        <w:t>(b)</w:t>
      </w:r>
      <w:r w:rsidRPr="00A35C95">
        <w:tab/>
        <w:t>a nominee account in accordance with section 141 of that Act.</w:t>
      </w:r>
    </w:p>
    <w:p w14:paraId="5B23A92A" w14:textId="77777777" w:rsidR="00E93F58" w:rsidRPr="00A35C95" w:rsidRDefault="00E93F58" w:rsidP="00366AB5">
      <w:pPr>
        <w:pStyle w:val="ActHead3"/>
        <w:pageBreakBefore/>
        <w:tabs>
          <w:tab w:val="left" w:pos="2835"/>
        </w:tabs>
      </w:pPr>
      <w:bookmarkStart w:id="546" w:name="_Toc152057847"/>
      <w:bookmarkStart w:id="547" w:name="_Toc158712070"/>
      <w:r w:rsidRPr="00844D11">
        <w:rPr>
          <w:rStyle w:val="CharDivNo"/>
        </w:rPr>
        <w:lastRenderedPageBreak/>
        <w:t>Division 6</w:t>
      </w:r>
      <w:r w:rsidRPr="00A35C95">
        <w:t>—</w:t>
      </w:r>
      <w:r w:rsidRPr="00844D11">
        <w:rPr>
          <w:rStyle w:val="CharDivText"/>
        </w:rPr>
        <w:t>Operating a financial market</w:t>
      </w:r>
      <w:bookmarkEnd w:id="546"/>
      <w:bookmarkEnd w:id="547"/>
    </w:p>
    <w:p w14:paraId="021DA081" w14:textId="77777777" w:rsidR="00E93F58" w:rsidRPr="00A35C95" w:rsidRDefault="00E93F58" w:rsidP="00366AB5">
      <w:pPr>
        <w:pStyle w:val="ActHead5"/>
        <w:tabs>
          <w:tab w:val="left" w:pos="2835"/>
        </w:tabs>
      </w:pPr>
      <w:bookmarkStart w:id="548" w:name="_Toc152057848"/>
      <w:bookmarkStart w:id="549" w:name="_Toc158712071"/>
      <w:r w:rsidRPr="00844D11">
        <w:rPr>
          <w:rStyle w:val="CharSectno"/>
        </w:rPr>
        <w:t>7.1.50</w:t>
      </w:r>
      <w:r w:rsidRPr="00A35C95">
        <w:t xml:space="preserve">  Operating a financial market</w:t>
      </w:r>
      <w:bookmarkEnd w:id="548"/>
      <w:bookmarkEnd w:id="549"/>
    </w:p>
    <w:p w14:paraId="45A32C16" w14:textId="77777777" w:rsidR="00E93F58" w:rsidRPr="00A35C95" w:rsidRDefault="00E93F58" w:rsidP="00366AB5">
      <w:pPr>
        <w:pStyle w:val="subsection"/>
        <w:tabs>
          <w:tab w:val="left" w:pos="2835"/>
        </w:tabs>
      </w:pPr>
      <w:r w:rsidRPr="00A35C95">
        <w:tab/>
      </w:r>
      <w:r w:rsidRPr="00A35C95">
        <w:tab/>
        <w:t>For paragraph 767A(2)(a) of the Act, the following circumstances are specified as circumstances in which the conduct of a person making or accepting offers or invitations to acquire or dispose of financial products, on the person’s own behalf or on behalf of one party to the transaction only, constitutes the operating of a financial market:</w:t>
      </w:r>
    </w:p>
    <w:p w14:paraId="1FDF1CD1" w14:textId="77777777" w:rsidR="00E93F58" w:rsidRPr="00A35C95" w:rsidRDefault="00E93F58" w:rsidP="00366AB5">
      <w:pPr>
        <w:pStyle w:val="paragraph"/>
        <w:tabs>
          <w:tab w:val="left" w:pos="2835"/>
        </w:tabs>
      </w:pPr>
      <w:r w:rsidRPr="00A35C95">
        <w:tab/>
        <w:t>(a)</w:t>
      </w:r>
      <w:r w:rsidRPr="00A35C95">
        <w:tab/>
        <w:t xml:space="preserve">the Clean Energy Regulator making or accepting offers or invitations to acquire or dispose of carbon units on its own behalf, or on behalf of the Commonwealth only, in the course of conducting an auction of carbon units under the </w:t>
      </w:r>
      <w:r w:rsidRPr="00A35C95">
        <w:rPr>
          <w:i/>
          <w:iCs/>
        </w:rPr>
        <w:t>Clean Energy Act 2011</w:t>
      </w:r>
      <w:r w:rsidRPr="00A35C95">
        <w:rPr>
          <w:iCs/>
        </w:rPr>
        <w:t>;</w:t>
      </w:r>
    </w:p>
    <w:p w14:paraId="4D6139B8" w14:textId="77777777" w:rsidR="00E93F58" w:rsidRPr="00A35C95" w:rsidRDefault="00E93F58" w:rsidP="00366AB5">
      <w:pPr>
        <w:pStyle w:val="paragraph"/>
        <w:tabs>
          <w:tab w:val="left" w:pos="2835"/>
        </w:tabs>
      </w:pPr>
      <w:r w:rsidRPr="00A35C95">
        <w:tab/>
        <w:t>(b)</w:t>
      </w:r>
      <w:r w:rsidRPr="00A35C95">
        <w:tab/>
        <w:t xml:space="preserve">a person making or accepting offers or invitations to acquire or dispose of carbon units on behalf of the Clean Energy Regulator only, in the course of assisting the Clean Energy Regulator to conduct an auction of carbon units under the </w:t>
      </w:r>
      <w:r w:rsidRPr="00A35C95">
        <w:rPr>
          <w:i/>
          <w:iCs/>
        </w:rPr>
        <w:t>Clean Energy Act 2011</w:t>
      </w:r>
      <w:r w:rsidRPr="00A35C95">
        <w:t>.</w:t>
      </w:r>
    </w:p>
    <w:p w14:paraId="25F01FBD" w14:textId="77777777" w:rsidR="00E93F58" w:rsidRPr="00A35C95" w:rsidRDefault="00E93F58" w:rsidP="00366AB5">
      <w:pPr>
        <w:pStyle w:val="ActHead2"/>
        <w:pageBreakBefore/>
        <w:tabs>
          <w:tab w:val="left" w:pos="2835"/>
        </w:tabs>
        <w:rPr>
          <w:color w:val="000000"/>
        </w:rPr>
      </w:pPr>
      <w:bookmarkStart w:id="550" w:name="_Toc152057849"/>
      <w:bookmarkStart w:id="551" w:name="_Toc158712072"/>
      <w:r w:rsidRPr="00844D11">
        <w:rPr>
          <w:rStyle w:val="CharPartNo"/>
        </w:rPr>
        <w:lastRenderedPageBreak/>
        <w:t>Part 7.2</w:t>
      </w:r>
      <w:r w:rsidRPr="00A35C95">
        <w:rPr>
          <w:color w:val="000000"/>
        </w:rPr>
        <w:t>—</w:t>
      </w:r>
      <w:r w:rsidRPr="00844D11">
        <w:rPr>
          <w:rStyle w:val="CharPartText"/>
        </w:rPr>
        <w:t>Licensing of financial markets</w:t>
      </w:r>
      <w:bookmarkEnd w:id="550"/>
      <w:bookmarkEnd w:id="551"/>
    </w:p>
    <w:p w14:paraId="07FE4B9D" w14:textId="77777777" w:rsidR="00E93F58" w:rsidRPr="00A35C95" w:rsidRDefault="00E93F58" w:rsidP="00366AB5">
      <w:pPr>
        <w:pStyle w:val="ActHead3"/>
        <w:tabs>
          <w:tab w:val="left" w:pos="2835"/>
        </w:tabs>
        <w:rPr>
          <w:color w:val="000000"/>
        </w:rPr>
      </w:pPr>
      <w:bookmarkStart w:id="552" w:name="_Toc152057850"/>
      <w:bookmarkStart w:id="553" w:name="_Toc158712073"/>
      <w:r w:rsidRPr="00844D11">
        <w:rPr>
          <w:rStyle w:val="CharDivNo"/>
        </w:rPr>
        <w:t>Division 1</w:t>
      </w:r>
      <w:r w:rsidRPr="00A35C95">
        <w:rPr>
          <w:color w:val="000000"/>
        </w:rPr>
        <w:t>—</w:t>
      </w:r>
      <w:r w:rsidRPr="00844D11">
        <w:rPr>
          <w:rStyle w:val="CharDivText"/>
        </w:rPr>
        <w:t>Market licensees’ obligations</w:t>
      </w:r>
      <w:bookmarkEnd w:id="552"/>
      <w:bookmarkEnd w:id="553"/>
    </w:p>
    <w:p w14:paraId="41A7711F" w14:textId="77777777" w:rsidR="00E93F58" w:rsidRPr="00A35C95" w:rsidRDefault="00E93F58" w:rsidP="00366AB5">
      <w:pPr>
        <w:pStyle w:val="ActHead5"/>
        <w:tabs>
          <w:tab w:val="left" w:pos="2835"/>
        </w:tabs>
      </w:pPr>
      <w:bookmarkStart w:id="554" w:name="_Toc152057851"/>
      <w:bookmarkStart w:id="555" w:name="_Toc158712074"/>
      <w:r w:rsidRPr="00844D11">
        <w:rPr>
          <w:rStyle w:val="CharSectno"/>
        </w:rPr>
        <w:t>7.2.01</w:t>
      </w:r>
      <w:r w:rsidRPr="00A35C95">
        <w:rPr>
          <w:sz w:val="16"/>
        </w:rPr>
        <w:t xml:space="preserve">  </w:t>
      </w:r>
      <w:r w:rsidRPr="00A35C95">
        <w:t>Obligation to inform ASIC of certain matters: contraventions of licence or Act</w:t>
      </w:r>
      <w:bookmarkEnd w:id="554"/>
      <w:bookmarkEnd w:id="555"/>
    </w:p>
    <w:p w14:paraId="4FAB76BF" w14:textId="77777777" w:rsidR="00E93F58" w:rsidRPr="00A35C95" w:rsidRDefault="00E93F58" w:rsidP="00366AB5">
      <w:pPr>
        <w:pStyle w:val="subsection"/>
        <w:tabs>
          <w:tab w:val="left" w:pos="2835"/>
        </w:tabs>
      </w:pPr>
      <w:r w:rsidRPr="00A35C95">
        <w:tab/>
      </w:r>
      <w:r w:rsidRPr="00A35C95">
        <w:tab/>
        <w:t>For paragraph 792B(3)(b) of the Act, a matter to which that paragraph relates is any matter that, in the opinion of a market licensee, constitutes or may constitute a contravention of:</w:t>
      </w:r>
    </w:p>
    <w:p w14:paraId="7FF757F9" w14:textId="77777777" w:rsidR="00E93F58" w:rsidRPr="00A35C95" w:rsidRDefault="00E93F58" w:rsidP="00366AB5">
      <w:pPr>
        <w:pStyle w:val="paragraph"/>
        <w:tabs>
          <w:tab w:val="left" w:pos="2835"/>
        </w:tabs>
      </w:pPr>
      <w:r w:rsidRPr="00A35C95">
        <w:rPr>
          <w:color w:val="000000"/>
        </w:rPr>
        <w:tab/>
        <w:t>(a)</w:t>
      </w:r>
      <w:r w:rsidRPr="00A35C95">
        <w:rPr>
          <w:color w:val="000000"/>
        </w:rPr>
        <w:tab/>
        <w:t>a condition of a licence held by a financial services licensee; or</w:t>
      </w:r>
    </w:p>
    <w:p w14:paraId="4EF6DC73" w14:textId="77777777" w:rsidR="00E93F58" w:rsidRPr="00A35C95" w:rsidRDefault="00E93F58" w:rsidP="00366AB5">
      <w:pPr>
        <w:pStyle w:val="paragraph"/>
        <w:tabs>
          <w:tab w:val="left" w:pos="2835"/>
        </w:tabs>
      </w:pPr>
      <w:r w:rsidRPr="00A35C95">
        <w:tab/>
        <w:t>(b)</w:t>
      </w:r>
      <w:r w:rsidRPr="00A35C95">
        <w:tab/>
        <w:t>Subdivision A or B of Division 2 of Part 7.8 of the Act; or</w:t>
      </w:r>
    </w:p>
    <w:p w14:paraId="6F73FE51" w14:textId="77777777" w:rsidR="00E93F58" w:rsidRPr="00A35C95" w:rsidRDefault="00E93F58" w:rsidP="00366AB5">
      <w:pPr>
        <w:pStyle w:val="paragraph"/>
        <w:tabs>
          <w:tab w:val="left" w:pos="2835"/>
        </w:tabs>
      </w:pPr>
      <w:r w:rsidRPr="00A35C95">
        <w:tab/>
        <w:t>(c)</w:t>
      </w:r>
      <w:r w:rsidRPr="00A35C95">
        <w:tab/>
        <w:t>Division 3 of Part 7.8 of the Act; or</w:t>
      </w:r>
    </w:p>
    <w:p w14:paraId="4FF061C3" w14:textId="77777777" w:rsidR="00E93F58" w:rsidRPr="00A35C95" w:rsidRDefault="00E93F58" w:rsidP="00366AB5">
      <w:pPr>
        <w:pStyle w:val="paragraph"/>
        <w:tabs>
          <w:tab w:val="left" w:pos="2835"/>
        </w:tabs>
      </w:pPr>
      <w:r w:rsidRPr="00A35C95">
        <w:tab/>
        <w:t>(d)</w:t>
      </w:r>
      <w:r w:rsidRPr="00A35C95">
        <w:tab/>
        <w:t>Subdivision B of Division 6 of Part 7.8 of the Act.</w:t>
      </w:r>
    </w:p>
    <w:p w14:paraId="53E344E3" w14:textId="77777777" w:rsidR="00E93F58" w:rsidRPr="00A35C95" w:rsidRDefault="00E93F58" w:rsidP="00366AB5">
      <w:pPr>
        <w:pStyle w:val="ActHead5"/>
        <w:tabs>
          <w:tab w:val="left" w:pos="2835"/>
        </w:tabs>
      </w:pPr>
      <w:bookmarkStart w:id="556" w:name="_Toc152057852"/>
      <w:bookmarkStart w:id="557" w:name="_Toc158712075"/>
      <w:r w:rsidRPr="00844D11">
        <w:rPr>
          <w:rStyle w:val="CharSectno"/>
        </w:rPr>
        <w:t>7.2.02</w:t>
      </w:r>
      <w:r w:rsidRPr="00A35C95">
        <w:rPr>
          <w:sz w:val="16"/>
        </w:rPr>
        <w:t xml:space="preserve">  </w:t>
      </w:r>
      <w:r w:rsidRPr="00A35C95">
        <w:t>Obligation to inform ASIC of certain matters: becoming director, secretary or executive officer of market licensee</w:t>
      </w:r>
      <w:bookmarkEnd w:id="556"/>
      <w:bookmarkEnd w:id="557"/>
    </w:p>
    <w:p w14:paraId="50D6AA81"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a person becomes a director, secretary or executive officer of a market licensee or of a holding company of a market licensee (including when the person changes from one of those positions to another).</w:t>
      </w:r>
    </w:p>
    <w:p w14:paraId="5658023C" w14:textId="77777777" w:rsidR="00E93F58" w:rsidRPr="00A35C95" w:rsidRDefault="00E93F58" w:rsidP="00366AB5">
      <w:pPr>
        <w:pStyle w:val="subsection"/>
        <w:tabs>
          <w:tab w:val="left" w:pos="2835"/>
        </w:tabs>
      </w:pPr>
      <w:r w:rsidRPr="00A35C95">
        <w:tab/>
        <w:t>(2)</w:t>
      </w:r>
      <w:r w:rsidRPr="00A35C95">
        <w:tab/>
        <w:t>For subsection 792B(5) of the Act, the information to be given to ASIC by the market licensee is:</w:t>
      </w:r>
    </w:p>
    <w:p w14:paraId="095A9CCE"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 and contact details; and</w:t>
      </w:r>
    </w:p>
    <w:p w14:paraId="743E389D" w14:textId="77777777" w:rsidR="00E93F58" w:rsidRPr="00A35C95" w:rsidRDefault="00E93F58" w:rsidP="00366AB5">
      <w:pPr>
        <w:pStyle w:val="paragraph"/>
        <w:tabs>
          <w:tab w:val="left" w:pos="2835"/>
        </w:tabs>
      </w:pPr>
      <w:r w:rsidRPr="00A35C95">
        <w:tab/>
        <w:t>(b)</w:t>
      </w:r>
      <w:r w:rsidRPr="00A35C95">
        <w:tab/>
        <w:t>the date of appointment to the position; and</w:t>
      </w:r>
    </w:p>
    <w:p w14:paraId="120EDE91" w14:textId="77777777" w:rsidR="00E93F58" w:rsidRPr="00A35C95" w:rsidRDefault="00E93F58" w:rsidP="00366AB5">
      <w:pPr>
        <w:pStyle w:val="paragraph"/>
        <w:tabs>
          <w:tab w:val="left" w:pos="2835"/>
        </w:tabs>
      </w:pPr>
      <w:r w:rsidRPr="00A35C95">
        <w:tab/>
        <w:t>(c)</w:t>
      </w:r>
      <w:r w:rsidRPr="00A35C95">
        <w:tab/>
        <w:t>the person’s educational qualifications and financial market experience; and</w:t>
      </w:r>
    </w:p>
    <w:p w14:paraId="5F7D1A25" w14:textId="77777777" w:rsidR="00E93F58" w:rsidRPr="00A35C95" w:rsidRDefault="00E93F58" w:rsidP="00366AB5">
      <w:pPr>
        <w:pStyle w:val="paragraph"/>
        <w:tabs>
          <w:tab w:val="left" w:pos="2835"/>
        </w:tabs>
      </w:pPr>
      <w:r w:rsidRPr="00A35C95">
        <w:tab/>
        <w:t>(d)</w:t>
      </w:r>
      <w:r w:rsidRPr="00A35C95">
        <w:tab/>
        <w:t>if the market licensee is aware of any details of a conviction of the kind mentioned in subsection 206B(1) of the Act—the details; and</w:t>
      </w:r>
    </w:p>
    <w:p w14:paraId="5D60E37E" w14:textId="77777777" w:rsidR="00E93F58" w:rsidRPr="00A35C95" w:rsidRDefault="00E93F58" w:rsidP="00366AB5">
      <w:pPr>
        <w:pStyle w:val="paragraph"/>
        <w:tabs>
          <w:tab w:val="left" w:pos="2835"/>
        </w:tabs>
      </w:pPr>
      <w:r w:rsidRPr="00A35C95">
        <w:tab/>
        <w:t>(e)</w:t>
      </w:r>
      <w:r w:rsidRPr="00A35C95">
        <w:tab/>
        <w:t>whether the market licensee knows whether the person:</w:t>
      </w:r>
    </w:p>
    <w:p w14:paraId="690441BF" w14:textId="77777777" w:rsidR="00E93F58" w:rsidRPr="00A35C95" w:rsidRDefault="00E93F58" w:rsidP="00366AB5">
      <w:pPr>
        <w:pStyle w:val="paragraphsub"/>
        <w:tabs>
          <w:tab w:val="left" w:pos="2835"/>
        </w:tabs>
      </w:pPr>
      <w:r w:rsidRPr="00A35C95">
        <w:rPr>
          <w:color w:val="000000"/>
        </w:rPr>
        <w:tab/>
        <w:t>(i)</w:t>
      </w:r>
      <w:r w:rsidRPr="00A35C95">
        <w:rPr>
          <w:color w:val="000000"/>
        </w:rPr>
        <w:tab/>
        <w:t>is an undischarged bankrupt; or</w:t>
      </w:r>
    </w:p>
    <w:p w14:paraId="635B2895" w14:textId="77777777" w:rsidR="00E93F58" w:rsidRPr="00A35C95" w:rsidRDefault="00E93F58" w:rsidP="00366AB5">
      <w:pPr>
        <w:pStyle w:val="paragraphsub"/>
        <w:tabs>
          <w:tab w:val="left" w:pos="2835"/>
        </w:tabs>
      </w:pPr>
      <w:r w:rsidRPr="00A35C95">
        <w:tab/>
        <w:t>(ii)</w:t>
      </w:r>
      <w:r w:rsidRPr="00A35C95">
        <w:tab/>
        <w:t>has entered into a deed of arrangement or composition of a kind mentioned in subsections 206B(3) and (4) of the Act;</w:t>
      </w:r>
    </w:p>
    <w:p w14:paraId="3B30C10F" w14:textId="77777777" w:rsidR="00E93F58" w:rsidRPr="00A35C95" w:rsidRDefault="00E93F58" w:rsidP="00366AB5">
      <w:pPr>
        <w:pStyle w:val="paragraph"/>
        <w:tabs>
          <w:tab w:val="left" w:pos="2835"/>
        </w:tabs>
      </w:pPr>
      <w:r w:rsidRPr="00A35C95">
        <w:rPr>
          <w:color w:val="000000"/>
        </w:rPr>
        <w:tab/>
      </w:r>
      <w:r w:rsidRPr="00A35C95">
        <w:rPr>
          <w:color w:val="000000"/>
        </w:rPr>
        <w:tab/>
        <w:t>and, if the market licensee knows the information, details of what the market licensee knows.</w:t>
      </w:r>
    </w:p>
    <w:p w14:paraId="586B29A0" w14:textId="77777777" w:rsidR="00E93F58" w:rsidRPr="00A35C95" w:rsidRDefault="00E93F58" w:rsidP="00366AB5">
      <w:pPr>
        <w:pStyle w:val="ActHead5"/>
        <w:tabs>
          <w:tab w:val="left" w:pos="2835"/>
        </w:tabs>
      </w:pPr>
      <w:bookmarkStart w:id="558" w:name="_Toc152057853"/>
      <w:bookmarkStart w:id="559" w:name="_Toc158712076"/>
      <w:r w:rsidRPr="00844D11">
        <w:rPr>
          <w:rStyle w:val="CharSectno"/>
        </w:rPr>
        <w:t>7.2.03</w:t>
      </w:r>
      <w:r w:rsidRPr="00A35C95">
        <w:rPr>
          <w:sz w:val="16"/>
        </w:rPr>
        <w:t xml:space="preserve">  </w:t>
      </w:r>
      <w:r w:rsidRPr="00A35C95">
        <w:t>Obligation to inform ASIC of certain matters: ceasing to be director, secretary or executive officer of market licensee</w:t>
      </w:r>
      <w:bookmarkEnd w:id="558"/>
      <w:bookmarkEnd w:id="559"/>
    </w:p>
    <w:p w14:paraId="2228BC6A" w14:textId="77777777" w:rsidR="00E93F58" w:rsidRPr="00A35C95" w:rsidRDefault="00E93F58" w:rsidP="00366AB5">
      <w:pPr>
        <w:pStyle w:val="subsection"/>
        <w:tabs>
          <w:tab w:val="left" w:pos="2835"/>
        </w:tabs>
      </w:pPr>
      <w:r w:rsidRPr="00A35C95">
        <w:rPr>
          <w:color w:val="000000"/>
        </w:rPr>
        <w:tab/>
        <w:t>(1)</w:t>
      </w:r>
      <w:r w:rsidRPr="00A35C95">
        <w:rPr>
          <w:color w:val="000000"/>
        </w:rPr>
        <w:tab/>
        <w:t>For subsection 792B(5) of the Act, this regulation applies if a person ceases to be a director, secretary or executive officer of a market licensee or of a holding company of a market licensee (including when the person changes from one of those positions to another).</w:t>
      </w:r>
    </w:p>
    <w:p w14:paraId="0FD0E775" w14:textId="77777777" w:rsidR="00E93F58" w:rsidRPr="00A35C95" w:rsidRDefault="00E93F58" w:rsidP="00366AB5">
      <w:pPr>
        <w:pStyle w:val="subsection"/>
        <w:tabs>
          <w:tab w:val="left" w:pos="2835"/>
        </w:tabs>
      </w:pPr>
      <w:r w:rsidRPr="00A35C95">
        <w:tab/>
        <w:t>(2)</w:t>
      </w:r>
      <w:r w:rsidRPr="00A35C95">
        <w:tab/>
        <w:t>The information to be given to ASIC by the market licensee is:</w:t>
      </w:r>
    </w:p>
    <w:p w14:paraId="5C4C28C7"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 and contact details; and</w:t>
      </w:r>
    </w:p>
    <w:p w14:paraId="70C539C0" w14:textId="77777777" w:rsidR="00E93F58" w:rsidRPr="00A35C95" w:rsidRDefault="00E93F58" w:rsidP="00366AB5">
      <w:pPr>
        <w:pStyle w:val="paragraph"/>
        <w:tabs>
          <w:tab w:val="left" w:pos="2835"/>
        </w:tabs>
      </w:pPr>
      <w:r w:rsidRPr="00A35C95">
        <w:tab/>
        <w:t>(b)</w:t>
      </w:r>
      <w:r w:rsidRPr="00A35C95">
        <w:tab/>
        <w:t>the position that the person held; and</w:t>
      </w:r>
    </w:p>
    <w:p w14:paraId="59456453" w14:textId="77777777" w:rsidR="00E93F58" w:rsidRPr="00A35C95" w:rsidRDefault="00E93F58" w:rsidP="00366AB5">
      <w:pPr>
        <w:pStyle w:val="paragraph"/>
        <w:tabs>
          <w:tab w:val="left" w:pos="2835"/>
        </w:tabs>
      </w:pPr>
      <w:r w:rsidRPr="00A35C95">
        <w:tab/>
        <w:t>(c)</w:t>
      </w:r>
      <w:r w:rsidRPr="00A35C95">
        <w:tab/>
        <w:t>the date on which the person ceased to hold the position; and</w:t>
      </w:r>
    </w:p>
    <w:p w14:paraId="56269B71" w14:textId="77777777" w:rsidR="00E93F58" w:rsidRPr="00A35C95" w:rsidRDefault="00E93F58" w:rsidP="00366AB5">
      <w:pPr>
        <w:pStyle w:val="paragraph"/>
        <w:tabs>
          <w:tab w:val="left" w:pos="2835"/>
        </w:tabs>
      </w:pPr>
      <w:r w:rsidRPr="00A35C95">
        <w:tab/>
        <w:t>(d)</w:t>
      </w:r>
      <w:r w:rsidRPr="00A35C95">
        <w:tab/>
        <w:t>if the person ceases to be a director, secretary or executive officer because the person is changing from the position to another in the company, the new position; and</w:t>
      </w:r>
    </w:p>
    <w:p w14:paraId="22262F58" w14:textId="77777777" w:rsidR="00E93F58" w:rsidRPr="00A35C95" w:rsidRDefault="00E93F58" w:rsidP="00366AB5">
      <w:pPr>
        <w:pStyle w:val="paragraph"/>
        <w:tabs>
          <w:tab w:val="left" w:pos="2835"/>
        </w:tabs>
      </w:pPr>
      <w:r w:rsidRPr="00A35C95">
        <w:tab/>
        <w:t>(e)</w:t>
      </w:r>
      <w:r w:rsidRPr="00A35C95">
        <w:tab/>
        <w:t>if the reason for ceasing to hold the position is:</w:t>
      </w:r>
    </w:p>
    <w:p w14:paraId="2DF30F06" w14:textId="77777777" w:rsidR="00E93F58" w:rsidRPr="00A35C95" w:rsidRDefault="00E93F58" w:rsidP="00366AB5">
      <w:pPr>
        <w:pStyle w:val="paragraphsub"/>
        <w:tabs>
          <w:tab w:val="left" w:pos="2835"/>
        </w:tabs>
      </w:pPr>
      <w:r w:rsidRPr="00A35C95">
        <w:rPr>
          <w:color w:val="000000"/>
        </w:rPr>
        <w:tab/>
        <w:t>(i)</w:t>
      </w:r>
      <w:r w:rsidRPr="00A35C95">
        <w:rPr>
          <w:color w:val="000000"/>
        </w:rPr>
        <w:tab/>
        <w:t>because of a contravention of the Corporations Act or another law of a State or Territory; or</w:t>
      </w:r>
    </w:p>
    <w:p w14:paraId="60941AAA" w14:textId="77777777" w:rsidR="00E93F58" w:rsidRPr="00A35C95" w:rsidRDefault="00E93F58" w:rsidP="00366AB5">
      <w:pPr>
        <w:pStyle w:val="paragraphsub"/>
        <w:tabs>
          <w:tab w:val="left" w:pos="2835"/>
        </w:tabs>
      </w:pPr>
      <w:r w:rsidRPr="00A35C95">
        <w:tab/>
        <w:t>(ii)</w:t>
      </w:r>
      <w:r w:rsidRPr="00A35C95">
        <w:tab/>
        <w:t>because the person has become an undischarged bankrupt;</w:t>
      </w:r>
    </w:p>
    <w:p w14:paraId="2CCFE285" w14:textId="77777777" w:rsidR="00E93F58" w:rsidRPr="00A35C95" w:rsidRDefault="00E93F58" w:rsidP="00366AB5">
      <w:pPr>
        <w:pStyle w:val="paragraph"/>
        <w:tabs>
          <w:tab w:val="left" w:pos="2835"/>
        </w:tabs>
      </w:pPr>
      <w:r w:rsidRPr="00A35C95">
        <w:rPr>
          <w:color w:val="000000"/>
        </w:rPr>
        <w:tab/>
      </w:r>
      <w:r w:rsidRPr="00A35C95">
        <w:rPr>
          <w:color w:val="000000"/>
        </w:rPr>
        <w:tab/>
        <w:t>details of the reason.</w:t>
      </w:r>
    </w:p>
    <w:p w14:paraId="3E31DE56" w14:textId="77777777" w:rsidR="00E93F58" w:rsidRPr="00A35C95" w:rsidRDefault="00E93F58" w:rsidP="00366AB5">
      <w:pPr>
        <w:pStyle w:val="ActHead5"/>
        <w:tabs>
          <w:tab w:val="left" w:pos="2835"/>
        </w:tabs>
      </w:pPr>
      <w:bookmarkStart w:id="560" w:name="_Toc152057854"/>
      <w:bookmarkStart w:id="561" w:name="_Toc158712077"/>
      <w:r w:rsidRPr="00844D11">
        <w:rPr>
          <w:rStyle w:val="CharSectno"/>
        </w:rPr>
        <w:t>7.2.04</w:t>
      </w:r>
      <w:r w:rsidRPr="00A35C95">
        <w:rPr>
          <w:sz w:val="16"/>
        </w:rPr>
        <w:t xml:space="preserve">  </w:t>
      </w:r>
      <w:r w:rsidRPr="00A35C95">
        <w:t>Obligation to inform ASIC of certain matters: voting power in market licensee</w:t>
      </w:r>
      <w:bookmarkEnd w:id="560"/>
      <w:bookmarkEnd w:id="561"/>
    </w:p>
    <w:p w14:paraId="1A2B50CD"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a market licensee becomes aware that a person has come to have, or has ceased to have, more than 15% of the voting power in the market licensee or in a holding company of the market licensee.</w:t>
      </w:r>
    </w:p>
    <w:p w14:paraId="0AC78DDC" w14:textId="77777777" w:rsidR="00E93F58" w:rsidRPr="00A35C95" w:rsidRDefault="00E93F58" w:rsidP="00366AB5">
      <w:pPr>
        <w:pStyle w:val="subsection"/>
        <w:tabs>
          <w:tab w:val="left" w:pos="2835"/>
        </w:tabs>
      </w:pPr>
      <w:r w:rsidRPr="00A35C95">
        <w:tab/>
        <w:t>(2)</w:t>
      </w:r>
      <w:r w:rsidRPr="00A35C95">
        <w:tab/>
        <w:t>For subsection 792B(5) of the Act, the information to be given to ASIC by the market licensee is:</w:t>
      </w:r>
    </w:p>
    <w:p w14:paraId="2499EC0B"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 and contact details; and</w:t>
      </w:r>
    </w:p>
    <w:p w14:paraId="40012189" w14:textId="77777777" w:rsidR="00E93F58" w:rsidRPr="00A35C95" w:rsidRDefault="00E93F58" w:rsidP="00366AB5">
      <w:pPr>
        <w:pStyle w:val="paragraph"/>
        <w:tabs>
          <w:tab w:val="left" w:pos="2835"/>
        </w:tabs>
      </w:pPr>
      <w:r w:rsidRPr="00A35C95">
        <w:lastRenderedPageBreak/>
        <w:tab/>
        <w:t>(b)</w:t>
      </w:r>
      <w:r w:rsidRPr="00A35C95">
        <w:tab/>
        <w:t>if known by the market licensee, the date on which the person came to have, or ceased to have, more than 15% of the voting power; and</w:t>
      </w:r>
    </w:p>
    <w:p w14:paraId="06705FD0" w14:textId="77777777" w:rsidR="00E93F58" w:rsidRPr="00A35C95" w:rsidRDefault="00E93F58" w:rsidP="00366AB5">
      <w:pPr>
        <w:pStyle w:val="paragraph"/>
        <w:tabs>
          <w:tab w:val="left" w:pos="2835"/>
        </w:tabs>
      </w:pPr>
      <w:r w:rsidRPr="00A35C95">
        <w:tab/>
        <w:t>(c)</w:t>
      </w:r>
      <w:r w:rsidRPr="00A35C95">
        <w:tab/>
        <w:t>if the market licensee knows the voting power that the person had immediately before the person came to have, or ceased to have, more than 15% of the voting power, that voting power; and</w:t>
      </w:r>
    </w:p>
    <w:p w14:paraId="20185647" w14:textId="77777777" w:rsidR="00E93F58" w:rsidRPr="00A35C95" w:rsidRDefault="00E93F58" w:rsidP="00366AB5">
      <w:pPr>
        <w:pStyle w:val="paragraph"/>
        <w:tabs>
          <w:tab w:val="left" w:pos="2835"/>
        </w:tabs>
      </w:pPr>
      <w:r w:rsidRPr="00A35C95">
        <w:tab/>
        <w:t>(d)</w:t>
      </w:r>
      <w:r w:rsidRPr="00A35C95">
        <w:tab/>
        <w:t>whether the market licensee knows the manner in which the person came to have, or ceased to have, more than 15% of the voting power, and, if the market licensee knows the manner, details of what the market licensee knows.</w:t>
      </w:r>
    </w:p>
    <w:p w14:paraId="60B29F9B" w14:textId="77777777" w:rsidR="00E93F58" w:rsidRPr="00A35C95" w:rsidRDefault="00E93F58" w:rsidP="00366AB5">
      <w:pPr>
        <w:pStyle w:val="ActHead5"/>
        <w:tabs>
          <w:tab w:val="left" w:pos="2835"/>
        </w:tabs>
      </w:pPr>
      <w:bookmarkStart w:id="562" w:name="_Toc152057855"/>
      <w:bookmarkStart w:id="563" w:name="_Toc158712078"/>
      <w:r w:rsidRPr="00844D11">
        <w:rPr>
          <w:rStyle w:val="CharSectno"/>
        </w:rPr>
        <w:t>7.2.05</w:t>
      </w:r>
      <w:r w:rsidRPr="00A35C95">
        <w:rPr>
          <w:sz w:val="16"/>
        </w:rPr>
        <w:t xml:space="preserve">  </w:t>
      </w:r>
      <w:r w:rsidRPr="00A35C95">
        <w:t>Giving ASIC information about a listed disclosing entity</w:t>
      </w:r>
      <w:bookmarkEnd w:id="562"/>
      <w:bookmarkEnd w:id="563"/>
    </w:p>
    <w:p w14:paraId="3FA1F7E4" w14:textId="77777777" w:rsidR="00E93F58" w:rsidRPr="00A35C95" w:rsidRDefault="00E93F58" w:rsidP="00366AB5">
      <w:pPr>
        <w:pStyle w:val="subsection"/>
        <w:tabs>
          <w:tab w:val="left" w:pos="2835"/>
        </w:tabs>
      </w:pPr>
      <w:r w:rsidRPr="00A35C95">
        <w:rPr>
          <w:color w:val="000000"/>
        </w:rPr>
        <w:tab/>
        <w:t>(1)</w:t>
      </w:r>
      <w:r w:rsidRPr="00A35C95">
        <w:rPr>
          <w:color w:val="000000"/>
        </w:rPr>
        <w:tab/>
        <w:t>For subsection 792C(2) of the Act, the following information is prescribed:</w:t>
      </w:r>
    </w:p>
    <w:p w14:paraId="43AFC5F6" w14:textId="77777777" w:rsidR="00E93F58" w:rsidRPr="00A35C95" w:rsidRDefault="00E93F58" w:rsidP="00366AB5">
      <w:pPr>
        <w:pStyle w:val="paragraph"/>
        <w:tabs>
          <w:tab w:val="left" w:pos="2835"/>
        </w:tabs>
      </w:pPr>
      <w:r w:rsidRPr="00A35C95">
        <w:rPr>
          <w:color w:val="000000"/>
        </w:rPr>
        <w:tab/>
        <w:t>(a)</w:t>
      </w:r>
      <w:r w:rsidRPr="00A35C95">
        <w:rPr>
          <w:color w:val="000000"/>
        </w:rPr>
        <w:tab/>
        <w:t>a stock exchange automated trading system notification message;</w:t>
      </w:r>
    </w:p>
    <w:p w14:paraId="494A49EE" w14:textId="77777777" w:rsidR="00E93F58" w:rsidRPr="00A35C95" w:rsidRDefault="00E93F58" w:rsidP="00366AB5">
      <w:pPr>
        <w:pStyle w:val="paragraph"/>
        <w:tabs>
          <w:tab w:val="left" w:pos="2835"/>
        </w:tabs>
      </w:pPr>
      <w:r w:rsidRPr="00A35C95">
        <w:tab/>
        <w:t>(b)</w:t>
      </w:r>
      <w:r w:rsidRPr="00A35C95">
        <w:tab/>
        <w:t>an Australian Stock Exchange voiceline announcement.</w:t>
      </w:r>
    </w:p>
    <w:p w14:paraId="420307F4" w14:textId="77777777" w:rsidR="00E93F58" w:rsidRPr="00A35C95" w:rsidRDefault="00E93F58" w:rsidP="00366AB5">
      <w:pPr>
        <w:pStyle w:val="subsection"/>
        <w:tabs>
          <w:tab w:val="left" w:pos="2835"/>
        </w:tabs>
      </w:pPr>
      <w:r w:rsidRPr="00A35C95">
        <w:tab/>
        <w:t>(2)</w:t>
      </w:r>
      <w:r w:rsidRPr="00A35C95">
        <w:tab/>
        <w:t>In this regulation:</w:t>
      </w:r>
    </w:p>
    <w:p w14:paraId="0954E2FA" w14:textId="77777777" w:rsidR="00E93F58" w:rsidRPr="00A35C95" w:rsidRDefault="00E93F58" w:rsidP="00366AB5">
      <w:pPr>
        <w:pStyle w:val="Definition"/>
        <w:tabs>
          <w:tab w:val="left" w:pos="2835"/>
        </w:tabs>
      </w:pPr>
      <w:r w:rsidRPr="00A35C95">
        <w:rPr>
          <w:b/>
          <w:i/>
          <w:color w:val="000000"/>
        </w:rPr>
        <w:t>Australian Stock Exchange voiceline announcement</w:t>
      </w:r>
      <w:r w:rsidRPr="00A35C95">
        <w:rPr>
          <w:b/>
        </w:rPr>
        <w:t xml:space="preserve"> </w:t>
      </w:r>
      <w:r w:rsidRPr="00A35C95">
        <w:t>means a message from the Australian Stock Exchange that is:</w:t>
      </w:r>
    </w:p>
    <w:p w14:paraId="1894414D" w14:textId="77777777" w:rsidR="00E93F58" w:rsidRPr="00A35C95" w:rsidRDefault="00E93F58" w:rsidP="00366AB5">
      <w:pPr>
        <w:pStyle w:val="paragraph"/>
        <w:tabs>
          <w:tab w:val="left" w:pos="2835"/>
        </w:tabs>
      </w:pPr>
      <w:r w:rsidRPr="00A35C95">
        <w:rPr>
          <w:color w:val="000000"/>
        </w:rPr>
        <w:tab/>
        <w:t>(a)</w:t>
      </w:r>
      <w:r w:rsidRPr="00A35C95">
        <w:rPr>
          <w:color w:val="000000"/>
        </w:rPr>
        <w:tab/>
        <w:t>spoken over an announcement system; and</w:t>
      </w:r>
    </w:p>
    <w:p w14:paraId="0A99EE75" w14:textId="77777777" w:rsidR="00E93F58" w:rsidRPr="00A35C95" w:rsidRDefault="00E93F58" w:rsidP="00366AB5">
      <w:pPr>
        <w:pStyle w:val="paragraph"/>
        <w:tabs>
          <w:tab w:val="left" w:pos="2835"/>
        </w:tabs>
      </w:pPr>
      <w:r w:rsidRPr="00A35C95">
        <w:tab/>
        <w:t>(b)</w:t>
      </w:r>
      <w:r w:rsidRPr="00A35C95">
        <w:tab/>
        <w:t>a summary of information lodged with the Australian Stock Exchange by a company or other entity that is included in the official list of a financial market.</w:t>
      </w:r>
    </w:p>
    <w:p w14:paraId="4E5DBCEB" w14:textId="77777777" w:rsidR="00E93F58" w:rsidRPr="00A35C95" w:rsidRDefault="00E93F58" w:rsidP="00366AB5">
      <w:pPr>
        <w:pStyle w:val="Definition"/>
        <w:tabs>
          <w:tab w:val="left" w:pos="2835"/>
        </w:tabs>
      </w:pPr>
      <w:r w:rsidRPr="00A35C95">
        <w:rPr>
          <w:b/>
          <w:i/>
          <w:color w:val="000000"/>
        </w:rPr>
        <w:t>Stock exchange automated trading system notification message</w:t>
      </w:r>
      <w:r w:rsidRPr="00A35C95">
        <w:t xml:space="preserve"> means a brief message that is:</w:t>
      </w:r>
    </w:p>
    <w:p w14:paraId="7D2568F8" w14:textId="77777777" w:rsidR="00E93F58" w:rsidRPr="00A35C95" w:rsidRDefault="00E93F58" w:rsidP="00366AB5">
      <w:pPr>
        <w:pStyle w:val="paragraph"/>
        <w:tabs>
          <w:tab w:val="left" w:pos="2835"/>
        </w:tabs>
      </w:pPr>
      <w:r w:rsidRPr="00A35C95">
        <w:rPr>
          <w:color w:val="000000"/>
        </w:rPr>
        <w:tab/>
        <w:t>(a)</w:t>
      </w:r>
      <w:r w:rsidRPr="00A35C95">
        <w:rPr>
          <w:color w:val="000000"/>
        </w:rPr>
        <w:tab/>
        <w:t>transmitted to computer terminals of persons linked to the Stock Exchange Automated Trading System; and</w:t>
      </w:r>
    </w:p>
    <w:p w14:paraId="1F38FDFD" w14:textId="77777777" w:rsidR="00E93F58" w:rsidRPr="00A35C95" w:rsidRDefault="00E93F58" w:rsidP="00366AB5">
      <w:pPr>
        <w:pStyle w:val="paragraph"/>
        <w:tabs>
          <w:tab w:val="left" w:pos="2835"/>
        </w:tabs>
      </w:pPr>
      <w:r w:rsidRPr="00A35C95">
        <w:tab/>
        <w:t>(b)</w:t>
      </w:r>
      <w:r w:rsidRPr="00A35C95">
        <w:tab/>
        <w:t>a summary of information lodged with the Australian Stock Exchange by a company or other entity that is included in the official list of a financial market.</w:t>
      </w:r>
    </w:p>
    <w:p w14:paraId="68748B2E" w14:textId="77777777" w:rsidR="00E93F58" w:rsidRPr="00A35C95" w:rsidRDefault="00E93F58" w:rsidP="00366AB5">
      <w:pPr>
        <w:pStyle w:val="ActHead5"/>
        <w:tabs>
          <w:tab w:val="left" w:pos="2835"/>
        </w:tabs>
      </w:pPr>
      <w:bookmarkStart w:id="564" w:name="_Toc152057856"/>
      <w:bookmarkStart w:id="565" w:name="_Toc158712079"/>
      <w:r w:rsidRPr="00844D11">
        <w:rPr>
          <w:rStyle w:val="CharSectno"/>
        </w:rPr>
        <w:t>7.2.06</w:t>
      </w:r>
      <w:r w:rsidRPr="00A35C95">
        <w:rPr>
          <w:sz w:val="16"/>
        </w:rPr>
        <w:t xml:space="preserve">  </w:t>
      </w:r>
      <w:r w:rsidRPr="00A35C95">
        <w:t>Annual report of market licensee</w:t>
      </w:r>
      <w:bookmarkEnd w:id="564"/>
      <w:bookmarkEnd w:id="565"/>
    </w:p>
    <w:p w14:paraId="5A0C4D5C" w14:textId="77777777" w:rsidR="00E93F58" w:rsidRPr="00A35C95" w:rsidRDefault="00E93F58" w:rsidP="00366AB5">
      <w:pPr>
        <w:pStyle w:val="subsection"/>
        <w:tabs>
          <w:tab w:val="left" w:pos="2835"/>
        </w:tabs>
      </w:pPr>
      <w:r w:rsidRPr="00A35C95">
        <w:tab/>
      </w:r>
      <w:r w:rsidRPr="00A35C95">
        <w:tab/>
        <w:t>For subsection 792F(2) of the Act, if an annual report by a market licensee does not contain any of the following information, the information must accompany the annual report:</w:t>
      </w:r>
    </w:p>
    <w:p w14:paraId="2500A09C" w14:textId="77777777" w:rsidR="00E93F58" w:rsidRPr="00A35C95" w:rsidRDefault="00E93F58" w:rsidP="00366AB5">
      <w:pPr>
        <w:pStyle w:val="paragraph"/>
        <w:tabs>
          <w:tab w:val="left" w:pos="2835"/>
        </w:tabs>
      </w:pPr>
      <w:r w:rsidRPr="00A35C95">
        <w:rPr>
          <w:color w:val="000000"/>
        </w:rPr>
        <w:tab/>
        <w:t>(a)</w:t>
      </w:r>
      <w:r w:rsidRPr="00A35C95">
        <w:rPr>
          <w:color w:val="000000"/>
        </w:rPr>
        <w:tab/>
        <w:t>a description of the activities the market licensee has undertaken in the financial year;</w:t>
      </w:r>
    </w:p>
    <w:p w14:paraId="241E4083" w14:textId="77777777" w:rsidR="00E93F58" w:rsidRPr="00A35C95" w:rsidRDefault="00E93F58" w:rsidP="00366AB5">
      <w:pPr>
        <w:pStyle w:val="paragraph"/>
        <w:tabs>
          <w:tab w:val="left" w:pos="2835"/>
        </w:tabs>
      </w:pPr>
      <w:r w:rsidRPr="00A35C95">
        <w:tab/>
        <w:t>(b)</w:t>
      </w:r>
      <w:r w:rsidRPr="00A35C95">
        <w:tab/>
        <w:t>the resources (including financial, technological and human resources) that the market licensee had available, and used, in order to ensure that it has complied with its obligations in Chapter 7 of the Act, and, in particular, the obligation contained in subparagraph 792A(1)(c)(i) of the Act;</w:t>
      </w:r>
    </w:p>
    <w:p w14:paraId="379DB223" w14:textId="77777777" w:rsidR="00E93F58" w:rsidRPr="00A35C95" w:rsidRDefault="00E93F58" w:rsidP="00366AB5">
      <w:pPr>
        <w:pStyle w:val="paragraph"/>
        <w:tabs>
          <w:tab w:val="left" w:pos="2835"/>
        </w:tabs>
      </w:pPr>
      <w:r w:rsidRPr="00A35C95">
        <w:tab/>
        <w:t>(c)</w:t>
      </w:r>
      <w:r w:rsidRPr="00A35C95">
        <w:tab/>
        <w:t>an analysis of the extent to which the market licensee considers that the activities undertaken, and resources used, have resulted in full compliance with all its obligations under Chapter 7 of the Act.</w:t>
      </w:r>
    </w:p>
    <w:p w14:paraId="37C7CCAC" w14:textId="77777777" w:rsidR="00E93F58" w:rsidRPr="00A35C95" w:rsidRDefault="00E93F58" w:rsidP="00366AB5">
      <w:pPr>
        <w:pStyle w:val="ActHead3"/>
        <w:pageBreakBefore/>
        <w:tabs>
          <w:tab w:val="left" w:pos="2835"/>
        </w:tabs>
        <w:rPr>
          <w:color w:val="000000"/>
        </w:rPr>
      </w:pPr>
      <w:bookmarkStart w:id="566" w:name="_Toc152057857"/>
      <w:bookmarkStart w:id="567" w:name="_Toc158712080"/>
      <w:r w:rsidRPr="00844D11">
        <w:rPr>
          <w:rStyle w:val="CharDivNo"/>
        </w:rPr>
        <w:lastRenderedPageBreak/>
        <w:t>Division 2</w:t>
      </w:r>
      <w:r w:rsidRPr="00A35C95">
        <w:rPr>
          <w:color w:val="000000"/>
        </w:rPr>
        <w:t>—</w:t>
      </w:r>
      <w:r w:rsidRPr="00844D11">
        <w:rPr>
          <w:rStyle w:val="CharDivText"/>
        </w:rPr>
        <w:t>The market’s operating rules and procedures</w:t>
      </w:r>
      <w:bookmarkEnd w:id="566"/>
      <w:bookmarkEnd w:id="567"/>
    </w:p>
    <w:p w14:paraId="0703A1CD" w14:textId="77777777" w:rsidR="00E93F58" w:rsidRPr="00A35C95" w:rsidRDefault="00E93F58" w:rsidP="00366AB5">
      <w:pPr>
        <w:pStyle w:val="ActHead5"/>
        <w:tabs>
          <w:tab w:val="left" w:pos="2835"/>
        </w:tabs>
      </w:pPr>
      <w:bookmarkStart w:id="568" w:name="_Toc152057858"/>
      <w:bookmarkStart w:id="569" w:name="_Toc158712081"/>
      <w:r w:rsidRPr="00844D11">
        <w:rPr>
          <w:rStyle w:val="CharSectno"/>
        </w:rPr>
        <w:t>7.2.07</w:t>
      </w:r>
      <w:r w:rsidRPr="00A35C95">
        <w:rPr>
          <w:sz w:val="16"/>
        </w:rPr>
        <w:t xml:space="preserve">  </w:t>
      </w:r>
      <w:r w:rsidRPr="00A35C95">
        <w:t>Content of licensed market’s operating rules</w:t>
      </w:r>
      <w:bookmarkEnd w:id="568"/>
      <w:bookmarkEnd w:id="569"/>
    </w:p>
    <w:p w14:paraId="3162FB9B" w14:textId="77777777" w:rsidR="00E93F58" w:rsidRPr="00A35C95" w:rsidRDefault="00E93F58" w:rsidP="00366AB5">
      <w:pPr>
        <w:pStyle w:val="subsection"/>
        <w:tabs>
          <w:tab w:val="left" w:pos="2835"/>
        </w:tabs>
      </w:pPr>
      <w:r w:rsidRPr="00A35C95">
        <w:tab/>
      </w:r>
      <w:r w:rsidRPr="00A35C95">
        <w:tab/>
        <w:t xml:space="preserve">For subsection 793A(1) of the Act, the following matters are matters with which the operating rules of a licensed market </w:t>
      </w:r>
      <w:r w:rsidRPr="00A35C95">
        <w:rPr>
          <w:color w:val="000000"/>
        </w:rPr>
        <w:t>must deal to the extent that a matter is not dealt with in the market integrity rules:</w:t>
      </w:r>
    </w:p>
    <w:p w14:paraId="3D5B43BF" w14:textId="77777777" w:rsidR="00E93F58" w:rsidRPr="00A35C95" w:rsidRDefault="00E93F58" w:rsidP="00366AB5">
      <w:pPr>
        <w:pStyle w:val="paragraph"/>
        <w:tabs>
          <w:tab w:val="left" w:pos="2835"/>
        </w:tabs>
      </w:pPr>
      <w:r w:rsidRPr="00A35C95">
        <w:rPr>
          <w:color w:val="000000"/>
        </w:rPr>
        <w:tab/>
        <w:t>(a)</w:t>
      </w:r>
      <w:r w:rsidRPr="00A35C95">
        <w:rPr>
          <w:color w:val="000000"/>
        </w:rPr>
        <w:tab/>
        <w:t>access to the licensed market, including the criteria for determining persons who are eligible to be participants;</w:t>
      </w:r>
    </w:p>
    <w:p w14:paraId="7142D970" w14:textId="77777777" w:rsidR="00E93F58" w:rsidRPr="00A35C95" w:rsidRDefault="00E93F58" w:rsidP="00366AB5">
      <w:pPr>
        <w:pStyle w:val="paragraph"/>
        <w:tabs>
          <w:tab w:val="left" w:pos="2835"/>
        </w:tabs>
      </w:pPr>
      <w:r w:rsidRPr="00A35C95">
        <w:tab/>
        <w:t>(b)</w:t>
      </w:r>
      <w:r w:rsidRPr="00A35C95">
        <w:tab/>
        <w:t>ongoing requirements for participants, including:</w:t>
      </w:r>
    </w:p>
    <w:p w14:paraId="2C9CA2D6" w14:textId="77777777" w:rsidR="00E93F58" w:rsidRPr="00A35C95" w:rsidRDefault="00E93F58" w:rsidP="00366AB5">
      <w:pPr>
        <w:pStyle w:val="paragraphsub"/>
        <w:tabs>
          <w:tab w:val="left" w:pos="2835"/>
        </w:tabs>
      </w:pPr>
      <w:r w:rsidRPr="00A35C95">
        <w:rPr>
          <w:color w:val="000000"/>
        </w:rPr>
        <w:tab/>
        <w:t>(i)</w:t>
      </w:r>
      <w:r w:rsidRPr="00A35C95">
        <w:rPr>
          <w:color w:val="000000"/>
        </w:rPr>
        <w:tab/>
        <w:t>the conduct of participants in relation to the licensed market with the objective of promoting honesty and fair practice; and</w:t>
      </w:r>
    </w:p>
    <w:p w14:paraId="101FBD0B" w14:textId="77777777" w:rsidR="00E93F58" w:rsidRPr="00A35C95" w:rsidRDefault="00E93F58" w:rsidP="00366AB5">
      <w:pPr>
        <w:pStyle w:val="paragraphsub"/>
        <w:tabs>
          <w:tab w:val="left" w:pos="2835"/>
        </w:tabs>
        <w:rPr>
          <w:color w:val="000000"/>
        </w:rPr>
      </w:pPr>
      <w:r w:rsidRPr="00A35C95">
        <w:rPr>
          <w:color w:val="000000"/>
        </w:rPr>
        <w:tab/>
        <w:t>(ii)</w:t>
      </w:r>
      <w:r w:rsidRPr="00A35C95">
        <w:rPr>
          <w:color w:val="000000"/>
        </w:rPr>
        <w:tab/>
        <w:t>provision for the monitoring of participants’ compliance with the operating rules; and</w:t>
      </w:r>
    </w:p>
    <w:p w14:paraId="2CA4058C" w14:textId="77777777" w:rsidR="00E93F58" w:rsidRPr="00A35C95" w:rsidRDefault="00E93F58" w:rsidP="00366AB5">
      <w:pPr>
        <w:pStyle w:val="paragraphsub"/>
        <w:tabs>
          <w:tab w:val="left" w:pos="2835"/>
        </w:tabs>
      </w:pPr>
      <w:r w:rsidRPr="00A35C95">
        <w:tab/>
        <w:t>(iv)</w:t>
      </w:r>
      <w:r w:rsidRPr="00A35C95">
        <w:tab/>
        <w:t xml:space="preserve">provision for the </w:t>
      </w:r>
      <w:r w:rsidRPr="00A35C95">
        <w:rPr>
          <w:color w:val="000000"/>
        </w:rPr>
        <w:t>expulsion or suspension of, or enforcement action against,</w:t>
      </w:r>
      <w:r w:rsidRPr="00A35C95">
        <w:t xml:space="preserve"> a participant for breaches of the operating rules; and</w:t>
      </w:r>
    </w:p>
    <w:p w14:paraId="2B758854" w14:textId="77777777" w:rsidR="00E93F58" w:rsidRPr="00A35C95" w:rsidRDefault="00E93F58" w:rsidP="00366AB5">
      <w:pPr>
        <w:pStyle w:val="paragraphsub"/>
        <w:tabs>
          <w:tab w:val="left" w:pos="2835"/>
        </w:tabs>
      </w:pPr>
      <w:r w:rsidRPr="00A35C95">
        <w:tab/>
        <w:t>(v)</w:t>
      </w:r>
      <w:r w:rsidRPr="00A35C95">
        <w:tab/>
        <w:t xml:space="preserve">provision for the </w:t>
      </w:r>
      <w:r w:rsidRPr="00A35C95">
        <w:rPr>
          <w:color w:val="000000"/>
        </w:rPr>
        <w:t>expulsion or suspension</w:t>
      </w:r>
      <w:r w:rsidRPr="00A35C95">
        <w:t xml:space="preserve"> of a participant for breaches of Chapter 7 of the Act, or regulations made under that Chapter; and</w:t>
      </w:r>
    </w:p>
    <w:p w14:paraId="56FBC865" w14:textId="77777777" w:rsidR="00E93F58" w:rsidRPr="00A35C95" w:rsidRDefault="00E93F58" w:rsidP="00366AB5">
      <w:pPr>
        <w:pStyle w:val="paragraphsub"/>
        <w:tabs>
          <w:tab w:val="left" w:pos="2835"/>
        </w:tabs>
      </w:pPr>
      <w:r w:rsidRPr="00A35C95">
        <w:tab/>
        <w:t>(vii)</w:t>
      </w:r>
      <w:r w:rsidRPr="00A35C95">
        <w:tab/>
        <w:t xml:space="preserve">provision for the </w:t>
      </w:r>
      <w:r w:rsidRPr="00A35C95">
        <w:rPr>
          <w:color w:val="000000"/>
        </w:rPr>
        <w:t>expulsion or suspension of, or enforcement action against,</w:t>
      </w:r>
      <w:r w:rsidRPr="00A35C95">
        <w:t xml:space="preserve"> a participant for a failure or expected failure to meet the participant’s obligations under commitments entered into on the licensed market;</w:t>
      </w:r>
    </w:p>
    <w:p w14:paraId="1443A848" w14:textId="77777777" w:rsidR="00E93F58" w:rsidRPr="00A35C95" w:rsidRDefault="00E93F58" w:rsidP="00366AB5">
      <w:pPr>
        <w:pStyle w:val="paragraph"/>
        <w:tabs>
          <w:tab w:val="left" w:pos="2835"/>
        </w:tabs>
      </w:pPr>
      <w:r w:rsidRPr="00A35C95">
        <w:rPr>
          <w:color w:val="000000"/>
        </w:rPr>
        <w:tab/>
        <w:t>(c)</w:t>
      </w:r>
      <w:r w:rsidRPr="00A35C95">
        <w:rPr>
          <w:color w:val="000000"/>
        </w:rPr>
        <w:tab/>
        <w:t>execution of orders;</w:t>
      </w:r>
    </w:p>
    <w:p w14:paraId="029B809E" w14:textId="77777777" w:rsidR="00E93F58" w:rsidRPr="00A35C95" w:rsidRDefault="00E93F58" w:rsidP="00366AB5">
      <w:pPr>
        <w:pStyle w:val="paragraph"/>
        <w:tabs>
          <w:tab w:val="left" w:pos="2835"/>
        </w:tabs>
      </w:pPr>
      <w:r w:rsidRPr="00A35C95">
        <w:tab/>
        <w:t>(d)</w:t>
      </w:r>
      <w:r w:rsidRPr="00A35C95">
        <w:tab/>
        <w:t>the way in which disorderly trading conditions are to be dealt with, including disruptions to trading;</w:t>
      </w:r>
    </w:p>
    <w:p w14:paraId="22A1D231" w14:textId="77777777" w:rsidR="00E93F58" w:rsidRPr="00A35C95" w:rsidRDefault="00E93F58" w:rsidP="00366AB5">
      <w:pPr>
        <w:pStyle w:val="paragraph"/>
        <w:tabs>
          <w:tab w:val="left" w:pos="2835"/>
        </w:tabs>
      </w:pPr>
      <w:r w:rsidRPr="00A35C95">
        <w:tab/>
        <w:t>(e)</w:t>
      </w:r>
      <w:r w:rsidRPr="00A35C95">
        <w:tab/>
        <w:t>the class or classes of financial products that are to be dealt with on the licensed market by participants, including:</w:t>
      </w:r>
    </w:p>
    <w:p w14:paraId="35095C66" w14:textId="77777777" w:rsidR="00E93F58" w:rsidRPr="00A35C95" w:rsidRDefault="00E93F58" w:rsidP="00366AB5">
      <w:pPr>
        <w:pStyle w:val="paragraphsub"/>
        <w:tabs>
          <w:tab w:val="left" w:pos="2835"/>
        </w:tabs>
      </w:pPr>
      <w:r w:rsidRPr="00A35C95">
        <w:rPr>
          <w:color w:val="000000"/>
        </w:rPr>
        <w:tab/>
        <w:t>(i)</w:t>
      </w:r>
      <w:r w:rsidRPr="00A35C95">
        <w:rPr>
          <w:color w:val="000000"/>
        </w:rPr>
        <w:tab/>
        <w:t>a description of the nature of each class of financial product; and</w:t>
      </w:r>
    </w:p>
    <w:p w14:paraId="432A812F" w14:textId="77777777" w:rsidR="00E93F58" w:rsidRPr="00A35C95" w:rsidRDefault="00E93F58" w:rsidP="00366AB5">
      <w:pPr>
        <w:pStyle w:val="paragraphsub"/>
        <w:tabs>
          <w:tab w:val="left" w:pos="2835"/>
        </w:tabs>
      </w:pPr>
      <w:r w:rsidRPr="00A35C95">
        <w:tab/>
        <w:t>(ii)</w:t>
      </w:r>
      <w:r w:rsidRPr="00A35C95">
        <w:tab/>
        <w:t>for a class of derivatives, if most of the terms of the arrangement constituting the derivative are determined in advance by the market operator (including price, if determined in advance):</w:t>
      </w:r>
    </w:p>
    <w:p w14:paraId="50AAB087" w14:textId="77777777" w:rsidR="00E93F58" w:rsidRPr="00A35C95" w:rsidRDefault="00E93F58" w:rsidP="00366AB5">
      <w:pPr>
        <w:pStyle w:val="paragraphsub-sub"/>
        <w:tabs>
          <w:tab w:val="left" w:pos="2835"/>
        </w:tabs>
      </w:pPr>
      <w:r w:rsidRPr="00A35C95">
        <w:tab/>
        <w:t>(A)</w:t>
      </w:r>
      <w:r w:rsidRPr="00A35C95">
        <w:tab/>
        <w:t>the standard terms of the arrangement that constitutes the derivative; and</w:t>
      </w:r>
    </w:p>
    <w:p w14:paraId="3F431DAF" w14:textId="77777777" w:rsidR="00E93F58" w:rsidRPr="00A35C95" w:rsidRDefault="00E93F58" w:rsidP="00366AB5">
      <w:pPr>
        <w:pStyle w:val="paragraphsub-sub"/>
        <w:tabs>
          <w:tab w:val="left" w:pos="2835"/>
        </w:tabs>
      </w:pPr>
      <w:r w:rsidRPr="00A35C95">
        <w:tab/>
        <w:t>(B)</w:t>
      </w:r>
      <w:r w:rsidRPr="00A35C95">
        <w:tab/>
        <w:t>a description of the asset, rate, index, commodity or other thing that is used for the matters mentioned in paragraph 761D(1)(c) of the Act;</w:t>
      </w:r>
    </w:p>
    <w:p w14:paraId="0CD698F8" w14:textId="77777777" w:rsidR="00E93F58" w:rsidRPr="00A35C95" w:rsidRDefault="00E93F58" w:rsidP="00366AB5">
      <w:pPr>
        <w:pStyle w:val="paragraph"/>
        <w:tabs>
          <w:tab w:val="left" w:pos="2835"/>
        </w:tabs>
      </w:pPr>
      <w:r w:rsidRPr="00A35C95">
        <w:rPr>
          <w:color w:val="000000"/>
        </w:rPr>
        <w:tab/>
        <w:t>(f)</w:t>
      </w:r>
      <w:r w:rsidRPr="00A35C95">
        <w:rPr>
          <w:color w:val="000000"/>
        </w:rPr>
        <w:tab/>
        <w:t>the terms of the contract formed between participants that enter into a transaction through the licensed market (to the extent to which paragraph (e) does not require that information);</w:t>
      </w:r>
    </w:p>
    <w:p w14:paraId="1FB72622" w14:textId="77777777" w:rsidR="00E93F58" w:rsidRPr="00A35C95" w:rsidRDefault="00E93F58" w:rsidP="00366AB5">
      <w:pPr>
        <w:pStyle w:val="paragraph"/>
        <w:tabs>
          <w:tab w:val="left" w:pos="2835"/>
        </w:tabs>
      </w:pPr>
      <w:r w:rsidRPr="00A35C95">
        <w:tab/>
        <w:t>(g)</w:t>
      </w:r>
      <w:r w:rsidRPr="00A35C95">
        <w:tab/>
        <w:t>if appropriate, the listing of entities, including:</w:t>
      </w:r>
    </w:p>
    <w:p w14:paraId="503E9721" w14:textId="77777777" w:rsidR="00E93F58" w:rsidRPr="00A35C95" w:rsidRDefault="00E93F58" w:rsidP="00366AB5">
      <w:pPr>
        <w:pStyle w:val="paragraphsub"/>
        <w:tabs>
          <w:tab w:val="left" w:pos="2835"/>
        </w:tabs>
      </w:pPr>
      <w:r w:rsidRPr="00A35C95">
        <w:rPr>
          <w:color w:val="000000"/>
        </w:rPr>
        <w:tab/>
        <w:t>(i)</w:t>
      </w:r>
      <w:r w:rsidRPr="00A35C95">
        <w:rPr>
          <w:color w:val="000000"/>
        </w:rPr>
        <w:tab/>
        <w:t>admitting an entity to the official list of the licensed market for the purpose of enabling financial products of the entity to be traded on the licensed market, and removing an entity from the official list; and</w:t>
      </w:r>
    </w:p>
    <w:p w14:paraId="0C38B059" w14:textId="77777777" w:rsidR="00E93F58" w:rsidRPr="00A35C95" w:rsidRDefault="00E93F58" w:rsidP="00366AB5">
      <w:pPr>
        <w:pStyle w:val="paragraphsub"/>
        <w:tabs>
          <w:tab w:val="left" w:pos="2835"/>
        </w:tabs>
      </w:pPr>
      <w:r w:rsidRPr="00A35C95">
        <w:tab/>
        <w:t>(ii)</w:t>
      </w:r>
      <w:r w:rsidRPr="00A35C95">
        <w:tab/>
        <w:t>the activities or conduct of an entity that is included on the official list of the licensed market, including a description of the arrangements for the disciplining of the entity for a breach of the operating rules;</w:t>
      </w:r>
    </w:p>
    <w:p w14:paraId="75D1F443" w14:textId="77777777" w:rsidR="00E93F58" w:rsidRPr="00A35C95" w:rsidRDefault="00E93F58" w:rsidP="00366AB5">
      <w:pPr>
        <w:pStyle w:val="paragraph"/>
        <w:tabs>
          <w:tab w:val="left" w:pos="2835"/>
        </w:tabs>
      </w:pPr>
      <w:r w:rsidRPr="00A35C95">
        <w:rPr>
          <w:color w:val="000000"/>
        </w:rPr>
        <w:tab/>
        <w:t>(h)</w:t>
      </w:r>
      <w:r w:rsidRPr="00A35C95">
        <w:rPr>
          <w:color w:val="000000"/>
        </w:rPr>
        <w:tab/>
        <w:t>mechanisms through which market</w:t>
      </w:r>
      <w:r>
        <w:rPr>
          <w:color w:val="000000"/>
        </w:rPr>
        <w:noBreakHyphen/>
      </w:r>
      <w:r w:rsidRPr="00A35C95">
        <w:rPr>
          <w:color w:val="000000"/>
        </w:rPr>
        <w:t>related disputes between participants may be settled (for example, arbitration arrangements);</w:t>
      </w:r>
    </w:p>
    <w:p w14:paraId="12949572" w14:textId="77777777" w:rsidR="00E93F58" w:rsidRPr="00A35C95" w:rsidRDefault="00E93F58" w:rsidP="00366AB5">
      <w:pPr>
        <w:pStyle w:val="paragraph"/>
        <w:tabs>
          <w:tab w:val="left" w:pos="2835"/>
        </w:tabs>
      </w:pPr>
      <w:r w:rsidRPr="00A35C95">
        <w:tab/>
        <w:t>(i)</w:t>
      </w:r>
      <w:r w:rsidRPr="00A35C95">
        <w:tab/>
        <w:t>the power to facilitate the assessment and, if appropriate, the investigation of market</w:t>
      </w:r>
      <w:r>
        <w:noBreakHyphen/>
      </w:r>
      <w:r w:rsidRPr="00A35C95">
        <w:t>related disputes between participants;</w:t>
      </w:r>
    </w:p>
    <w:p w14:paraId="6935E77D" w14:textId="77777777" w:rsidR="00E93F58" w:rsidRPr="00A35C95" w:rsidRDefault="00E93F58" w:rsidP="00366AB5">
      <w:pPr>
        <w:pStyle w:val="paragraph"/>
        <w:tabs>
          <w:tab w:val="left" w:pos="2835"/>
        </w:tabs>
      </w:pPr>
      <w:r w:rsidRPr="00A35C95">
        <w:tab/>
        <w:t>(j)</w:t>
      </w:r>
      <w:r w:rsidRPr="00A35C95">
        <w:tab/>
        <w:t>any obligations on participants and listed entities that are necessary to ensure that the market licensee is able to comply with subparagraph 792A(1)(c)(i) of the Act and regulations made under section 798E of the Act.</w:t>
      </w:r>
    </w:p>
    <w:p w14:paraId="53FEA5A3" w14:textId="77777777" w:rsidR="00E93F58" w:rsidRPr="00A35C95" w:rsidRDefault="00E93F58" w:rsidP="00366AB5">
      <w:pPr>
        <w:pStyle w:val="ActHead5"/>
        <w:tabs>
          <w:tab w:val="left" w:pos="2835"/>
        </w:tabs>
      </w:pPr>
      <w:bookmarkStart w:id="570" w:name="_Toc152057859"/>
      <w:bookmarkStart w:id="571" w:name="_Toc158712082"/>
      <w:r w:rsidRPr="00844D11">
        <w:rPr>
          <w:rStyle w:val="CharSectno"/>
        </w:rPr>
        <w:t>7.2.08</w:t>
      </w:r>
      <w:r w:rsidRPr="00A35C95">
        <w:rPr>
          <w:sz w:val="16"/>
        </w:rPr>
        <w:t xml:space="preserve">  </w:t>
      </w:r>
      <w:r w:rsidRPr="00A35C95">
        <w:t>Content of licensed market’s written procedures</w:t>
      </w:r>
      <w:bookmarkEnd w:id="570"/>
      <w:bookmarkEnd w:id="571"/>
    </w:p>
    <w:p w14:paraId="6B254863" w14:textId="77777777" w:rsidR="00E93F58" w:rsidRPr="00A35C95" w:rsidRDefault="00E93F58" w:rsidP="00366AB5">
      <w:pPr>
        <w:pStyle w:val="subsection"/>
        <w:tabs>
          <w:tab w:val="left" w:pos="2835"/>
        </w:tabs>
      </w:pPr>
      <w:r w:rsidRPr="00A35C95">
        <w:tab/>
      </w:r>
      <w:r w:rsidRPr="00A35C95">
        <w:tab/>
        <w:t xml:space="preserve">For subsection 793A(2) of the Act, the following matters are matters in respect of which a licensed market must have written </w:t>
      </w:r>
      <w:r w:rsidRPr="00A35C95">
        <w:rPr>
          <w:color w:val="000000"/>
        </w:rPr>
        <w:t>procedures to the extent that the market integrity rules do not deal with a matter:</w:t>
      </w:r>
    </w:p>
    <w:p w14:paraId="1056E691" w14:textId="77777777" w:rsidR="00E93F58" w:rsidRPr="00A35C95" w:rsidRDefault="00E93F58" w:rsidP="00366AB5">
      <w:pPr>
        <w:pStyle w:val="paragraph"/>
        <w:tabs>
          <w:tab w:val="left" w:pos="2835"/>
        </w:tabs>
      </w:pPr>
      <w:r w:rsidRPr="00A35C95">
        <w:tab/>
        <w:t>(a)</w:t>
      </w:r>
      <w:r w:rsidRPr="00A35C95">
        <w:tab/>
        <w:t>exchange of appropriate information with:</w:t>
      </w:r>
    </w:p>
    <w:p w14:paraId="70D81207" w14:textId="77777777" w:rsidR="00E93F58" w:rsidRPr="00A35C95" w:rsidRDefault="00E93F58" w:rsidP="00366AB5">
      <w:pPr>
        <w:pStyle w:val="paragraphsub"/>
        <w:tabs>
          <w:tab w:val="left" w:pos="2835"/>
        </w:tabs>
      </w:pPr>
      <w:r w:rsidRPr="00A35C95">
        <w:rPr>
          <w:color w:val="000000"/>
        </w:rPr>
        <w:tab/>
        <w:t>(i)</w:t>
      </w:r>
      <w:r w:rsidRPr="00A35C95">
        <w:rPr>
          <w:color w:val="000000"/>
        </w:rPr>
        <w:tab/>
        <w:t>clearing and settlement facilities; and</w:t>
      </w:r>
    </w:p>
    <w:p w14:paraId="2C389014" w14:textId="77777777" w:rsidR="00E93F58" w:rsidRPr="00A35C95" w:rsidRDefault="00E93F58" w:rsidP="00366AB5">
      <w:pPr>
        <w:pStyle w:val="paragraphsub"/>
        <w:tabs>
          <w:tab w:val="left" w:pos="2835"/>
        </w:tabs>
      </w:pPr>
      <w:r w:rsidRPr="00A35C95">
        <w:tab/>
        <w:t>(ii)</w:t>
      </w:r>
      <w:r w:rsidRPr="00A35C95">
        <w:tab/>
        <w:t>other financial markets; and</w:t>
      </w:r>
    </w:p>
    <w:p w14:paraId="10FC1AB9" w14:textId="77777777" w:rsidR="00E93F58" w:rsidRPr="00A35C95" w:rsidRDefault="00E93F58" w:rsidP="00366AB5">
      <w:pPr>
        <w:pStyle w:val="paragraphsub"/>
        <w:tabs>
          <w:tab w:val="left" w:pos="2835"/>
        </w:tabs>
      </w:pPr>
      <w:r w:rsidRPr="00A35C95">
        <w:tab/>
        <w:t>(iii)</w:t>
      </w:r>
      <w:r w:rsidRPr="00A35C95">
        <w:tab/>
        <w:t>ASIC;</w:t>
      </w:r>
    </w:p>
    <w:p w14:paraId="3299DB50" w14:textId="77777777" w:rsidR="00E93F58" w:rsidRPr="00A35C95" w:rsidRDefault="00E93F58" w:rsidP="00366AB5">
      <w:pPr>
        <w:pStyle w:val="paragraph"/>
        <w:tabs>
          <w:tab w:val="left" w:pos="2835"/>
        </w:tabs>
      </w:pPr>
      <w:r w:rsidRPr="00A35C95">
        <w:rPr>
          <w:color w:val="000000"/>
        </w:rPr>
        <w:tab/>
        <w:t>(b)</w:t>
      </w:r>
      <w:r w:rsidRPr="00A35C95">
        <w:rPr>
          <w:color w:val="000000"/>
        </w:rPr>
        <w:tab/>
        <w:t>arrangements to ensure the integrity and security of systems (including computer systems);</w:t>
      </w:r>
    </w:p>
    <w:p w14:paraId="537F5711" w14:textId="77777777" w:rsidR="00E93F58" w:rsidRPr="00A35C95" w:rsidRDefault="00E93F58" w:rsidP="00366AB5">
      <w:pPr>
        <w:pStyle w:val="paragraph"/>
        <w:tabs>
          <w:tab w:val="left" w:pos="2835"/>
        </w:tabs>
        <w:rPr>
          <w:color w:val="000000"/>
        </w:rPr>
      </w:pPr>
      <w:r w:rsidRPr="00A35C95">
        <w:rPr>
          <w:color w:val="000000"/>
        </w:rPr>
        <w:lastRenderedPageBreak/>
        <w:tab/>
        <w:t>(c)</w:t>
      </w:r>
      <w:r w:rsidRPr="00A35C95">
        <w:rPr>
          <w:color w:val="000000"/>
        </w:rPr>
        <w:tab/>
        <w:t>arrangements for the monitoring of compliance by participants and listed entities with the operating rules of the licensed market:</w:t>
      </w:r>
    </w:p>
    <w:p w14:paraId="573BFA32" w14:textId="77777777" w:rsidR="00E93F58" w:rsidRPr="00A35C95" w:rsidRDefault="00E93F58" w:rsidP="00366AB5">
      <w:pPr>
        <w:pStyle w:val="paragraph"/>
        <w:tabs>
          <w:tab w:val="left" w:pos="2835"/>
        </w:tabs>
      </w:pPr>
      <w:r w:rsidRPr="00A35C95">
        <w:rPr>
          <w:color w:val="000000"/>
        </w:rPr>
        <w:tab/>
        <w:t>(d)</w:t>
      </w:r>
      <w:r w:rsidRPr="00A35C95">
        <w:rPr>
          <w:color w:val="000000"/>
        </w:rPr>
        <w:tab/>
        <w:t>the assessment, investigation (if justified) and settlement of market</w:t>
      </w:r>
      <w:r>
        <w:rPr>
          <w:color w:val="000000"/>
        </w:rPr>
        <w:noBreakHyphen/>
      </w:r>
      <w:r w:rsidRPr="00A35C95">
        <w:rPr>
          <w:color w:val="000000"/>
        </w:rPr>
        <w:t>related disputes between participants;</w:t>
      </w:r>
    </w:p>
    <w:p w14:paraId="32FA33E5" w14:textId="77777777" w:rsidR="00E93F58" w:rsidRPr="00A35C95" w:rsidRDefault="00E93F58" w:rsidP="00366AB5">
      <w:pPr>
        <w:pStyle w:val="paragraph"/>
        <w:tabs>
          <w:tab w:val="left" w:pos="2835"/>
        </w:tabs>
      </w:pPr>
      <w:r w:rsidRPr="00A35C95">
        <w:tab/>
        <w:t>(f)</w:t>
      </w:r>
      <w:r w:rsidRPr="00A35C95">
        <w:tab/>
        <w:t>the recording and effective disclosure of transactions;</w:t>
      </w:r>
    </w:p>
    <w:p w14:paraId="43A5A8F7" w14:textId="77777777" w:rsidR="00E93F58" w:rsidRPr="00A35C95" w:rsidRDefault="00E93F58" w:rsidP="00366AB5">
      <w:pPr>
        <w:pStyle w:val="paragraph"/>
        <w:tabs>
          <w:tab w:val="left" w:pos="2835"/>
        </w:tabs>
      </w:pPr>
      <w:r w:rsidRPr="00A35C95">
        <w:tab/>
        <w:t>(g)</w:t>
      </w:r>
      <w:r w:rsidRPr="00A35C95">
        <w:tab/>
        <w:t>the provision of information about market processes.</w:t>
      </w:r>
    </w:p>
    <w:p w14:paraId="454FDE3A" w14:textId="77777777" w:rsidR="00E93F58" w:rsidRPr="00A35C95" w:rsidRDefault="00E93F58" w:rsidP="00366AB5">
      <w:pPr>
        <w:pStyle w:val="ActHead3"/>
        <w:pageBreakBefore/>
        <w:tabs>
          <w:tab w:val="left" w:pos="2835"/>
        </w:tabs>
        <w:rPr>
          <w:color w:val="000000"/>
        </w:rPr>
      </w:pPr>
      <w:bookmarkStart w:id="572" w:name="_Toc152057860"/>
      <w:bookmarkStart w:id="573" w:name="_Toc158712083"/>
      <w:r w:rsidRPr="00844D11">
        <w:rPr>
          <w:rStyle w:val="CharDivNo"/>
        </w:rPr>
        <w:lastRenderedPageBreak/>
        <w:t>Division 3</w:t>
      </w:r>
      <w:r w:rsidRPr="00A35C95">
        <w:rPr>
          <w:color w:val="000000"/>
        </w:rPr>
        <w:t>—</w:t>
      </w:r>
      <w:r w:rsidRPr="00844D11">
        <w:rPr>
          <w:rStyle w:val="CharDivText"/>
        </w:rPr>
        <w:t>Powers of the Minister and ASIC</w:t>
      </w:r>
      <w:bookmarkEnd w:id="572"/>
      <w:bookmarkEnd w:id="573"/>
    </w:p>
    <w:p w14:paraId="240D3063" w14:textId="77777777" w:rsidR="00E93F58" w:rsidRPr="00A35C95" w:rsidRDefault="00E93F58" w:rsidP="00366AB5">
      <w:pPr>
        <w:pStyle w:val="ActHead5"/>
        <w:tabs>
          <w:tab w:val="left" w:pos="2835"/>
        </w:tabs>
      </w:pPr>
      <w:bookmarkStart w:id="574" w:name="_Toc152057861"/>
      <w:bookmarkStart w:id="575" w:name="_Toc158712084"/>
      <w:r w:rsidRPr="00844D11">
        <w:rPr>
          <w:rStyle w:val="CharSectno"/>
        </w:rPr>
        <w:t>7.2.09</w:t>
      </w:r>
      <w:r w:rsidRPr="00A35C95">
        <w:rPr>
          <w:sz w:val="16"/>
        </w:rPr>
        <w:t xml:space="preserve">  </w:t>
      </w:r>
      <w:r w:rsidRPr="00A35C95">
        <w:t>Agencies for compliance assessment</w:t>
      </w:r>
      <w:bookmarkEnd w:id="574"/>
      <w:bookmarkEnd w:id="575"/>
    </w:p>
    <w:p w14:paraId="29060D39" w14:textId="77777777" w:rsidR="00E93F58" w:rsidRPr="00A35C95" w:rsidRDefault="00E93F58" w:rsidP="00366AB5">
      <w:pPr>
        <w:pStyle w:val="subsection"/>
        <w:tabs>
          <w:tab w:val="left" w:pos="2835"/>
        </w:tabs>
      </w:pPr>
      <w:r w:rsidRPr="00A35C95">
        <w:tab/>
      </w:r>
      <w:r w:rsidRPr="00A35C95">
        <w:tab/>
        <w:t>For paragraph 794C(5)(d) of the Act, the following agencies are prescribed:</w:t>
      </w:r>
    </w:p>
    <w:p w14:paraId="68361394" w14:textId="77777777" w:rsidR="00E93F58" w:rsidRPr="00A35C95" w:rsidRDefault="00E93F58" w:rsidP="00366AB5">
      <w:pPr>
        <w:pStyle w:val="paragraph"/>
        <w:tabs>
          <w:tab w:val="left" w:pos="2835"/>
        </w:tabs>
      </w:pPr>
      <w:r w:rsidRPr="00A35C95">
        <w:tab/>
        <w:t>(a)</w:t>
      </w:r>
      <w:r w:rsidRPr="00A35C95">
        <w:tab/>
        <w:t>the Clean Energy Regulator;</w:t>
      </w:r>
    </w:p>
    <w:p w14:paraId="7D9A06BA" w14:textId="77777777" w:rsidR="00E93F58" w:rsidRPr="00A35C95" w:rsidRDefault="00E93F58" w:rsidP="00366AB5">
      <w:pPr>
        <w:pStyle w:val="paragraph"/>
        <w:tabs>
          <w:tab w:val="left" w:pos="2835"/>
        </w:tabs>
      </w:pPr>
      <w:r w:rsidRPr="00A35C95">
        <w:tab/>
        <w:t>(aa)</w:t>
      </w:r>
      <w:r w:rsidRPr="00A35C95">
        <w:tab/>
        <w:t>the Australian Competition and Consumer Commission;</w:t>
      </w:r>
    </w:p>
    <w:p w14:paraId="19011857" w14:textId="77777777" w:rsidR="00E93F58" w:rsidRPr="00A35C95" w:rsidRDefault="00E93F58" w:rsidP="00366AB5">
      <w:pPr>
        <w:pStyle w:val="paragraph"/>
        <w:tabs>
          <w:tab w:val="left" w:pos="2835"/>
        </w:tabs>
      </w:pPr>
      <w:r w:rsidRPr="00A35C95">
        <w:tab/>
        <w:t>(b)</w:t>
      </w:r>
      <w:r w:rsidRPr="00A35C95">
        <w:tab/>
        <w:t>the Australian Prudential Regulation Authority;</w:t>
      </w:r>
    </w:p>
    <w:p w14:paraId="5A0F845E" w14:textId="77777777" w:rsidR="00E93F58" w:rsidRPr="00A35C95" w:rsidRDefault="00E93F58" w:rsidP="00366AB5">
      <w:pPr>
        <w:pStyle w:val="paragraph"/>
        <w:tabs>
          <w:tab w:val="left" w:pos="2835"/>
        </w:tabs>
      </w:pPr>
      <w:r w:rsidRPr="00A35C95">
        <w:tab/>
        <w:t>(c)</w:t>
      </w:r>
      <w:r w:rsidRPr="00A35C95">
        <w:tab/>
        <w:t>the Australian Taxation Office;</w:t>
      </w:r>
    </w:p>
    <w:p w14:paraId="2055DDEC" w14:textId="77777777" w:rsidR="00E93F58" w:rsidRPr="00A35C95" w:rsidRDefault="00E93F58" w:rsidP="00366AB5">
      <w:pPr>
        <w:pStyle w:val="paragraph"/>
        <w:tabs>
          <w:tab w:val="left" w:pos="2835"/>
        </w:tabs>
      </w:pPr>
      <w:r w:rsidRPr="00A35C95">
        <w:tab/>
        <w:t>(d)</w:t>
      </w:r>
      <w:r w:rsidRPr="00A35C95">
        <w:tab/>
        <w:t>the Australian Transaction Reports and Analysis Centre;</w:t>
      </w:r>
    </w:p>
    <w:p w14:paraId="192F5D0F" w14:textId="77777777" w:rsidR="00E93F58" w:rsidRPr="00A35C95" w:rsidRDefault="00E93F58" w:rsidP="00366AB5">
      <w:pPr>
        <w:pStyle w:val="paragraph"/>
        <w:tabs>
          <w:tab w:val="left" w:pos="2835"/>
        </w:tabs>
      </w:pPr>
      <w:r w:rsidRPr="00A35C95">
        <w:tab/>
        <w:t>(e)</w:t>
      </w:r>
      <w:r w:rsidRPr="00A35C95">
        <w:tab/>
        <w:t>an authority of a State or Territory having functions and powers similar to those of the Director of Public Prosecutions;</w:t>
      </w:r>
    </w:p>
    <w:p w14:paraId="4911D660" w14:textId="77777777" w:rsidR="00E93F58" w:rsidRPr="00A35C95" w:rsidRDefault="00E93F58" w:rsidP="00366AB5">
      <w:pPr>
        <w:pStyle w:val="paragraph"/>
        <w:tabs>
          <w:tab w:val="left" w:pos="2835"/>
        </w:tabs>
      </w:pPr>
      <w:r w:rsidRPr="00A35C95">
        <w:tab/>
        <w:t>(f)</w:t>
      </w:r>
      <w:r w:rsidRPr="00A35C95">
        <w:tab/>
        <w:t>the police force or service of each State and the Northern Territory;</w:t>
      </w:r>
    </w:p>
    <w:p w14:paraId="4C59F71E" w14:textId="77777777" w:rsidR="00E93F58" w:rsidRPr="00A35C95" w:rsidRDefault="00E93F58" w:rsidP="00366AB5">
      <w:pPr>
        <w:pStyle w:val="paragraph"/>
        <w:tabs>
          <w:tab w:val="left" w:pos="2835"/>
        </w:tabs>
      </w:pPr>
      <w:r w:rsidRPr="00A35C95">
        <w:tab/>
        <w:t>(g)</w:t>
      </w:r>
      <w:r w:rsidRPr="00A35C95">
        <w:tab/>
        <w:t>the Department of Consumer and Employment Protection of Western Australia;</w:t>
      </w:r>
    </w:p>
    <w:p w14:paraId="326A165C" w14:textId="77777777" w:rsidR="00E93F58" w:rsidRPr="00A35C95" w:rsidRDefault="00E93F58" w:rsidP="00366AB5">
      <w:pPr>
        <w:pStyle w:val="paragraph"/>
        <w:tabs>
          <w:tab w:val="left" w:pos="2835"/>
        </w:tabs>
      </w:pPr>
      <w:r w:rsidRPr="00A35C95">
        <w:tab/>
        <w:t>(ga)</w:t>
      </w:r>
      <w:r w:rsidRPr="00A35C95">
        <w:tab/>
        <w:t>the Commissioner of State Revenue of Western Australia;</w:t>
      </w:r>
    </w:p>
    <w:p w14:paraId="2AE8A6CF" w14:textId="77777777" w:rsidR="00E93F58" w:rsidRPr="00A35C95" w:rsidRDefault="00E93F58" w:rsidP="00366AB5">
      <w:pPr>
        <w:pStyle w:val="paragraph"/>
        <w:tabs>
          <w:tab w:val="left" w:pos="2835"/>
        </w:tabs>
      </w:pPr>
      <w:r w:rsidRPr="00A35C95">
        <w:tab/>
        <w:t>(h)</w:t>
      </w:r>
      <w:r w:rsidRPr="00A35C95">
        <w:tab/>
        <w:t>the Department of Fair Trading of New South Wales;</w:t>
      </w:r>
    </w:p>
    <w:p w14:paraId="3A540F71" w14:textId="77777777" w:rsidR="00E93F58" w:rsidRPr="00A35C95" w:rsidRDefault="00E93F58" w:rsidP="00366AB5">
      <w:pPr>
        <w:pStyle w:val="paragraph"/>
        <w:tabs>
          <w:tab w:val="left" w:pos="2835"/>
        </w:tabs>
      </w:pPr>
      <w:r w:rsidRPr="00A35C95">
        <w:tab/>
        <w:t>(i)</w:t>
      </w:r>
      <w:r w:rsidRPr="00A35C95">
        <w:tab/>
        <w:t>the Office of Fair Trading and Business Affairs of Victoria;</w:t>
      </w:r>
    </w:p>
    <w:p w14:paraId="45E13D63" w14:textId="77777777" w:rsidR="00E93F58" w:rsidRPr="00A35C95" w:rsidRDefault="00E93F58" w:rsidP="00366AB5">
      <w:pPr>
        <w:pStyle w:val="paragraph"/>
        <w:tabs>
          <w:tab w:val="left" w:pos="2835"/>
        </w:tabs>
      </w:pPr>
      <w:r w:rsidRPr="00A35C95">
        <w:tab/>
        <w:t>(ia)</w:t>
      </w:r>
      <w:r w:rsidRPr="00A35C95">
        <w:tab/>
        <w:t>the State Revenue Office of Victoria;</w:t>
      </w:r>
    </w:p>
    <w:p w14:paraId="6CFCE8E9" w14:textId="77777777" w:rsidR="00E93F58" w:rsidRPr="00A35C95" w:rsidRDefault="00E93F58" w:rsidP="00366AB5">
      <w:pPr>
        <w:pStyle w:val="paragraph"/>
        <w:tabs>
          <w:tab w:val="left" w:pos="2835"/>
        </w:tabs>
      </w:pPr>
      <w:r w:rsidRPr="00A35C95">
        <w:tab/>
        <w:t>(j)</w:t>
      </w:r>
      <w:r w:rsidRPr="00A35C95">
        <w:tab/>
        <w:t>the Office of Consumer Affairs of Queensland;</w:t>
      </w:r>
    </w:p>
    <w:p w14:paraId="3D802CB4" w14:textId="77777777" w:rsidR="00E93F58" w:rsidRPr="00A35C95" w:rsidRDefault="00E93F58" w:rsidP="00366AB5">
      <w:pPr>
        <w:pStyle w:val="paragraph"/>
        <w:tabs>
          <w:tab w:val="left" w:pos="2835"/>
        </w:tabs>
      </w:pPr>
      <w:r w:rsidRPr="00A35C95">
        <w:tab/>
        <w:t>(ja)</w:t>
      </w:r>
      <w:r w:rsidRPr="00A35C95">
        <w:tab/>
        <w:t>the Office of State Revenue of Queensland;</w:t>
      </w:r>
    </w:p>
    <w:p w14:paraId="793FCB2E" w14:textId="77777777" w:rsidR="00E93F58" w:rsidRPr="00A35C95" w:rsidRDefault="00E93F58" w:rsidP="00366AB5">
      <w:pPr>
        <w:pStyle w:val="paragraph"/>
        <w:tabs>
          <w:tab w:val="left" w:pos="2835"/>
        </w:tabs>
      </w:pPr>
      <w:r w:rsidRPr="00A35C95">
        <w:tab/>
        <w:t>(k)</w:t>
      </w:r>
      <w:r w:rsidRPr="00A35C95">
        <w:tab/>
        <w:t>the Office of Consumer and Business Affairs of South Australia;</w:t>
      </w:r>
    </w:p>
    <w:p w14:paraId="1F62A317" w14:textId="77777777" w:rsidR="00E93F58" w:rsidRPr="00A35C95" w:rsidRDefault="00E93F58" w:rsidP="00366AB5">
      <w:pPr>
        <w:pStyle w:val="paragraph"/>
        <w:tabs>
          <w:tab w:val="left" w:pos="2835"/>
        </w:tabs>
      </w:pPr>
      <w:r w:rsidRPr="00A35C95">
        <w:tab/>
        <w:t>(l)</w:t>
      </w:r>
      <w:r w:rsidRPr="00A35C95">
        <w:tab/>
        <w:t>the Office of Consumer Affairs and Fair Trading of Tasmania;</w:t>
      </w:r>
    </w:p>
    <w:p w14:paraId="26177B1B" w14:textId="77777777" w:rsidR="00E93F58" w:rsidRPr="00A35C95" w:rsidRDefault="00E93F58" w:rsidP="00366AB5">
      <w:pPr>
        <w:pStyle w:val="paragraph"/>
        <w:tabs>
          <w:tab w:val="left" w:pos="2835"/>
        </w:tabs>
      </w:pPr>
      <w:r w:rsidRPr="00A35C95">
        <w:tab/>
        <w:t>(la)</w:t>
      </w:r>
      <w:r w:rsidRPr="00A35C95">
        <w:tab/>
        <w:t>the Department of Treasury and Finance of Tasmania;</w:t>
      </w:r>
    </w:p>
    <w:p w14:paraId="6DDA74CD" w14:textId="77777777" w:rsidR="00E93F58" w:rsidRPr="00A35C95" w:rsidRDefault="00E93F58" w:rsidP="00366AB5">
      <w:pPr>
        <w:pStyle w:val="paragraph"/>
        <w:tabs>
          <w:tab w:val="left" w:pos="2835"/>
        </w:tabs>
      </w:pPr>
      <w:r w:rsidRPr="00A35C95">
        <w:tab/>
        <w:t>(m)</w:t>
      </w:r>
      <w:r w:rsidRPr="00A35C95">
        <w:tab/>
        <w:t>the Consumer Affairs Bureau of the Australian Capital Territory;</w:t>
      </w:r>
    </w:p>
    <w:p w14:paraId="70BFCCF0" w14:textId="77777777" w:rsidR="00E93F58" w:rsidRPr="00A35C95" w:rsidRDefault="00E93F58" w:rsidP="00366AB5">
      <w:pPr>
        <w:pStyle w:val="paragraph"/>
        <w:tabs>
          <w:tab w:val="left" w:pos="2835"/>
        </w:tabs>
      </w:pPr>
      <w:r w:rsidRPr="00A35C95">
        <w:tab/>
        <w:t>(n)</w:t>
      </w:r>
      <w:r w:rsidRPr="00A35C95">
        <w:tab/>
        <w:t>the Fair Trading Group of the Northern Territory.</w:t>
      </w:r>
    </w:p>
    <w:p w14:paraId="092605C2" w14:textId="77777777" w:rsidR="00E93F58" w:rsidRPr="00A35C95" w:rsidRDefault="00E93F58" w:rsidP="00366AB5">
      <w:pPr>
        <w:pStyle w:val="ActHead3"/>
        <w:pageBreakBefore/>
        <w:tabs>
          <w:tab w:val="left" w:pos="2835"/>
        </w:tabs>
        <w:rPr>
          <w:color w:val="000000"/>
        </w:rPr>
      </w:pPr>
      <w:bookmarkStart w:id="576" w:name="_Toc152057862"/>
      <w:bookmarkStart w:id="577" w:name="_Toc158712085"/>
      <w:r w:rsidRPr="00844D11">
        <w:rPr>
          <w:rStyle w:val="CharDivNo"/>
        </w:rPr>
        <w:lastRenderedPageBreak/>
        <w:t>Division 4</w:t>
      </w:r>
      <w:r w:rsidRPr="00A35C95">
        <w:rPr>
          <w:color w:val="000000"/>
        </w:rPr>
        <w:t>—</w:t>
      </w:r>
      <w:r w:rsidRPr="00844D11">
        <w:rPr>
          <w:rStyle w:val="CharDivText"/>
        </w:rPr>
        <w:t>The Australian market licence: applications (general)</w:t>
      </w:r>
      <w:bookmarkEnd w:id="576"/>
      <w:bookmarkEnd w:id="577"/>
    </w:p>
    <w:p w14:paraId="12B78C9E" w14:textId="77777777" w:rsidR="00E93F58" w:rsidRPr="00A35C95" w:rsidRDefault="00E93F58" w:rsidP="00366AB5">
      <w:pPr>
        <w:pStyle w:val="ActHead5"/>
        <w:tabs>
          <w:tab w:val="left" w:pos="2835"/>
        </w:tabs>
      </w:pPr>
      <w:bookmarkStart w:id="578" w:name="_Toc152057863"/>
      <w:bookmarkStart w:id="579" w:name="_Toc158712086"/>
      <w:r w:rsidRPr="00844D11">
        <w:rPr>
          <w:rStyle w:val="CharSectno"/>
        </w:rPr>
        <w:t>7.2.10</w:t>
      </w:r>
      <w:r w:rsidRPr="00A35C95">
        <w:rPr>
          <w:sz w:val="16"/>
        </w:rPr>
        <w:t xml:space="preserve">  </w:t>
      </w:r>
      <w:r w:rsidRPr="00A35C95">
        <w:t>Application of Division 4</w:t>
      </w:r>
      <w:bookmarkEnd w:id="578"/>
      <w:bookmarkEnd w:id="579"/>
    </w:p>
    <w:p w14:paraId="269A3229" w14:textId="77777777" w:rsidR="00E93F58" w:rsidRPr="00A35C95" w:rsidRDefault="00E93F58" w:rsidP="00366AB5">
      <w:pPr>
        <w:pStyle w:val="subsection"/>
        <w:tabs>
          <w:tab w:val="left" w:pos="2835"/>
        </w:tabs>
      </w:pPr>
      <w:r w:rsidRPr="00A35C95">
        <w:rPr>
          <w:color w:val="000000"/>
        </w:rPr>
        <w:tab/>
      </w:r>
      <w:r w:rsidRPr="00A35C95">
        <w:rPr>
          <w:color w:val="000000"/>
        </w:rPr>
        <w:tab/>
        <w:t>This Division applies in relation to a body corporate that applies for an Australian market licence that may be granted under subsection 795B(1) of the Act.</w:t>
      </w:r>
    </w:p>
    <w:p w14:paraId="0483218B" w14:textId="77777777" w:rsidR="00E93F58" w:rsidRPr="00A35C95" w:rsidRDefault="00E93F58" w:rsidP="00366AB5">
      <w:pPr>
        <w:pStyle w:val="ActHead5"/>
        <w:tabs>
          <w:tab w:val="left" w:pos="2835"/>
        </w:tabs>
      </w:pPr>
      <w:bookmarkStart w:id="580" w:name="_Toc152057864"/>
      <w:bookmarkStart w:id="581" w:name="_Toc158712087"/>
      <w:r w:rsidRPr="00844D11">
        <w:rPr>
          <w:rStyle w:val="CharSectno"/>
        </w:rPr>
        <w:t>7.2.11</w:t>
      </w:r>
      <w:r w:rsidRPr="00A35C95">
        <w:rPr>
          <w:sz w:val="16"/>
        </w:rPr>
        <w:t xml:space="preserve">  </w:t>
      </w:r>
      <w:r w:rsidRPr="00A35C95">
        <w:t>Information</w:t>
      </w:r>
      <w:bookmarkEnd w:id="580"/>
      <w:bookmarkEnd w:id="581"/>
    </w:p>
    <w:p w14:paraId="35AA9263" w14:textId="77777777" w:rsidR="00E93F58" w:rsidRPr="00A35C95" w:rsidRDefault="00E93F58" w:rsidP="00366AB5">
      <w:pPr>
        <w:pStyle w:val="subsection"/>
        <w:tabs>
          <w:tab w:val="left" w:pos="2835"/>
        </w:tabs>
      </w:pPr>
      <w:r w:rsidRPr="00A35C95">
        <w:tab/>
      </w:r>
      <w:r w:rsidRPr="00A35C95">
        <w:tab/>
        <w:t>For paragraph 795A(1)(a) of the Act, the following information is required as part of an application by the body corporate for an Australian market licence:</w:t>
      </w:r>
    </w:p>
    <w:p w14:paraId="6BBE9EFA"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name, address and contact details;</w:t>
      </w:r>
    </w:p>
    <w:p w14:paraId="0AE5D3CF" w14:textId="77777777" w:rsidR="00E93F58" w:rsidRPr="00A35C95" w:rsidRDefault="00E93F58" w:rsidP="00366AB5">
      <w:pPr>
        <w:pStyle w:val="paragraph"/>
        <w:tabs>
          <w:tab w:val="left" w:pos="2835"/>
        </w:tabs>
      </w:pPr>
      <w:r w:rsidRPr="00A35C95">
        <w:tab/>
        <w:t>(b)</w:t>
      </w:r>
      <w:r w:rsidRPr="00A35C95">
        <w:tab/>
        <w:t>the name, address and contact details of any person who will act on behalf of the body corporate in relation to the application;</w:t>
      </w:r>
    </w:p>
    <w:p w14:paraId="2DFB70C3" w14:textId="77777777" w:rsidR="00E93F58" w:rsidRPr="00A35C95" w:rsidRDefault="00E93F58" w:rsidP="00366AB5">
      <w:pPr>
        <w:pStyle w:val="paragraph"/>
        <w:tabs>
          <w:tab w:val="left" w:pos="2835"/>
        </w:tabs>
      </w:pPr>
      <w:r w:rsidRPr="00A35C95">
        <w:tab/>
        <w:t>(c)</w:t>
      </w:r>
      <w:r w:rsidRPr="00A35C95">
        <w:tab/>
        <w:t>details of the body corporate’s major shareholders and organisation, including:</w:t>
      </w:r>
    </w:p>
    <w:p w14:paraId="2221A409" w14:textId="77777777" w:rsidR="00E93F58" w:rsidRPr="00A35C95" w:rsidRDefault="00E93F58" w:rsidP="00366AB5">
      <w:pPr>
        <w:pStyle w:val="paragraphsub"/>
        <w:tabs>
          <w:tab w:val="left" w:pos="2835"/>
        </w:tabs>
      </w:pPr>
      <w:r w:rsidRPr="00A35C95">
        <w:rPr>
          <w:color w:val="000000"/>
        </w:rPr>
        <w:tab/>
        <w:t>(i)</w:t>
      </w:r>
      <w:r w:rsidRPr="00A35C95">
        <w:rPr>
          <w:color w:val="000000"/>
        </w:rPr>
        <w:tab/>
        <w:t>the name, address and contact details of each director; and</w:t>
      </w:r>
    </w:p>
    <w:p w14:paraId="7F9EB3C6" w14:textId="77777777" w:rsidR="00E93F58" w:rsidRPr="00A35C95" w:rsidRDefault="00E93F58" w:rsidP="00366AB5">
      <w:pPr>
        <w:pStyle w:val="paragraphsub"/>
        <w:tabs>
          <w:tab w:val="left" w:pos="2835"/>
        </w:tabs>
      </w:pPr>
      <w:r w:rsidRPr="00A35C95">
        <w:tab/>
        <w:t>(ii)</w:t>
      </w:r>
      <w:r w:rsidRPr="00A35C95">
        <w:tab/>
        <w:t>the name, address and contact details of each secretary; and</w:t>
      </w:r>
    </w:p>
    <w:p w14:paraId="0663B037" w14:textId="77777777" w:rsidR="00E93F58" w:rsidRPr="00A35C95" w:rsidRDefault="00E93F58" w:rsidP="00366AB5">
      <w:pPr>
        <w:pStyle w:val="paragraphsub"/>
        <w:tabs>
          <w:tab w:val="left" w:pos="2835"/>
        </w:tabs>
      </w:pPr>
      <w:r w:rsidRPr="00A35C95">
        <w:tab/>
        <w:t>(iii)</w:t>
      </w:r>
      <w:r w:rsidRPr="00A35C95">
        <w:tab/>
        <w:t>the name, address and contact details of each executive officer of the body corporate; and</w:t>
      </w:r>
    </w:p>
    <w:p w14:paraId="396BD611" w14:textId="77777777" w:rsidR="00E93F58" w:rsidRPr="00A35C95" w:rsidRDefault="00E93F58" w:rsidP="00366AB5">
      <w:pPr>
        <w:pStyle w:val="paragraphsub"/>
        <w:tabs>
          <w:tab w:val="left" w:pos="2835"/>
        </w:tabs>
      </w:pPr>
      <w:r w:rsidRPr="00A35C95">
        <w:tab/>
        <w:t>(iv)</w:t>
      </w:r>
      <w:r w:rsidRPr="00A35C95">
        <w:tab/>
        <w:t>whether any director, secretary or executive officer is, or has been, disqualified from managing a corporation under a law of this jurisdiction or another jurisdiction;</w:t>
      </w:r>
    </w:p>
    <w:p w14:paraId="79002AD5" w14:textId="77777777" w:rsidR="00E93F58" w:rsidRPr="00A35C95" w:rsidRDefault="00E93F58" w:rsidP="00366AB5">
      <w:pPr>
        <w:pStyle w:val="paragraph"/>
        <w:tabs>
          <w:tab w:val="left" w:pos="2835"/>
        </w:tabs>
      </w:pPr>
      <w:r w:rsidRPr="00A35C95">
        <w:rPr>
          <w:color w:val="000000"/>
        </w:rPr>
        <w:tab/>
        <w:t>(d)</w:t>
      </w:r>
      <w:r w:rsidRPr="00A35C95">
        <w:rPr>
          <w:color w:val="000000"/>
        </w:rPr>
        <w:tab/>
        <w:t>a description of the body corporate’s business or functions, other than the operation of the proposed market;</w:t>
      </w:r>
    </w:p>
    <w:p w14:paraId="1678135C" w14:textId="77777777" w:rsidR="00E93F58" w:rsidRPr="00A35C95" w:rsidRDefault="00E93F58" w:rsidP="00366AB5">
      <w:pPr>
        <w:pStyle w:val="paragraph"/>
        <w:tabs>
          <w:tab w:val="left" w:pos="2835"/>
        </w:tabs>
      </w:pPr>
      <w:r w:rsidRPr="00A35C95">
        <w:tab/>
        <w:t>(e)</w:t>
      </w:r>
      <w:r w:rsidRPr="00A35C95">
        <w:tab/>
        <w:t>details of the financial products to be traded on the proposed market;</w:t>
      </w:r>
    </w:p>
    <w:p w14:paraId="178B6C24" w14:textId="77777777" w:rsidR="00E93F58" w:rsidRPr="00A35C95" w:rsidRDefault="00E93F58" w:rsidP="00366AB5">
      <w:pPr>
        <w:pStyle w:val="paragraph"/>
        <w:tabs>
          <w:tab w:val="left" w:pos="2835"/>
        </w:tabs>
      </w:pPr>
      <w:r w:rsidRPr="00A35C95">
        <w:tab/>
        <w:t>(f)</w:t>
      </w:r>
      <w:r w:rsidRPr="00A35C95">
        <w:tab/>
        <w:t>whether the proposed market will involve the provision of a financial product to a person as a retail client;</w:t>
      </w:r>
    </w:p>
    <w:p w14:paraId="5AC07200" w14:textId="77777777" w:rsidR="00E93F58" w:rsidRPr="00A35C95" w:rsidRDefault="00E93F58" w:rsidP="00366AB5">
      <w:pPr>
        <w:pStyle w:val="paragraph"/>
        <w:tabs>
          <w:tab w:val="left" w:pos="2835"/>
        </w:tabs>
      </w:pPr>
      <w:r w:rsidRPr="00A35C95">
        <w:tab/>
        <w:t>(g)</w:t>
      </w:r>
      <w:r w:rsidRPr="00A35C95">
        <w:tab/>
        <w:t>details of the clearing and settlement arrangements that have been made, or are proposed, for the proposed market;</w:t>
      </w:r>
    </w:p>
    <w:p w14:paraId="23E24A6F" w14:textId="77777777" w:rsidR="00E93F58" w:rsidRPr="00A35C95" w:rsidRDefault="00E93F58" w:rsidP="00366AB5">
      <w:pPr>
        <w:pStyle w:val="paragraph"/>
        <w:tabs>
          <w:tab w:val="left" w:pos="2835"/>
        </w:tabs>
      </w:pPr>
      <w:r w:rsidRPr="00A35C95">
        <w:tab/>
        <w:t>(h)</w:t>
      </w:r>
      <w:r w:rsidRPr="00A35C95">
        <w:tab/>
        <w:t>details of the technological resources that will be used in the operation of the market, including details of:</w:t>
      </w:r>
    </w:p>
    <w:p w14:paraId="3B4E5566"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purpose of the resources; and</w:t>
      </w:r>
    </w:p>
    <w:p w14:paraId="472EF210" w14:textId="77777777" w:rsidR="00E93F58" w:rsidRPr="00A35C95" w:rsidRDefault="00E93F58" w:rsidP="00366AB5">
      <w:pPr>
        <w:pStyle w:val="paragraphsub"/>
        <w:tabs>
          <w:tab w:val="left" w:pos="2835"/>
        </w:tabs>
      </w:pPr>
      <w:r w:rsidRPr="00A35C95">
        <w:tab/>
        <w:t>(ii)</w:t>
      </w:r>
      <w:r w:rsidRPr="00A35C95">
        <w:tab/>
        <w:t>how the resources are to be supplied, managed, maintained and upgraded; and</w:t>
      </w:r>
    </w:p>
    <w:p w14:paraId="6F0918A4" w14:textId="77777777" w:rsidR="00E93F58" w:rsidRPr="00A35C95" w:rsidRDefault="00E93F58" w:rsidP="00366AB5">
      <w:pPr>
        <w:pStyle w:val="paragraphsub"/>
        <w:tabs>
          <w:tab w:val="left" w:pos="2835"/>
        </w:tabs>
      </w:pPr>
      <w:r w:rsidRPr="00A35C95">
        <w:tab/>
        <w:t>(iii)</w:t>
      </w:r>
      <w:r w:rsidRPr="00A35C95">
        <w:tab/>
        <w:t>how the security of information technology systems is to be protected;</w:t>
      </w:r>
    </w:p>
    <w:p w14:paraId="4B033AB2" w14:textId="77777777" w:rsidR="00E93F58" w:rsidRPr="00A35C95" w:rsidRDefault="00E93F58" w:rsidP="00366AB5">
      <w:pPr>
        <w:pStyle w:val="paragraph"/>
        <w:tabs>
          <w:tab w:val="left" w:pos="2835"/>
        </w:tabs>
      </w:pPr>
      <w:r w:rsidRPr="00A35C95">
        <w:rPr>
          <w:color w:val="000000"/>
        </w:rPr>
        <w:tab/>
        <w:t>(i)</w:t>
      </w:r>
      <w:r w:rsidRPr="00A35C95">
        <w:rPr>
          <w:color w:val="000000"/>
        </w:rPr>
        <w:tab/>
        <w:t>details of the arrangements for dealing with conflicts between the body corporate’s commercial interests and its obligations to supervise and monitor the market;</w:t>
      </w:r>
    </w:p>
    <w:p w14:paraId="55EFA6E3" w14:textId="77777777" w:rsidR="00E93F58" w:rsidRPr="00A35C95" w:rsidRDefault="00E93F58" w:rsidP="00366AB5">
      <w:pPr>
        <w:pStyle w:val="paragraph"/>
        <w:tabs>
          <w:tab w:val="left" w:pos="2835"/>
        </w:tabs>
      </w:pPr>
      <w:r w:rsidRPr="00A35C95">
        <w:tab/>
        <w:t>(j)</w:t>
      </w:r>
      <w:r w:rsidRPr="00A35C95">
        <w:tab/>
        <w:t>details of the arrangements for the supervision of employees of the body corporate who have duties and responsibilities of a kind that supervision of the employees is necessary to protect the integrity of the operation of the proposed market;</w:t>
      </w:r>
    </w:p>
    <w:p w14:paraId="65E245B4" w14:textId="77777777" w:rsidR="00E93F58" w:rsidRPr="00A35C95" w:rsidRDefault="00E93F58" w:rsidP="00366AB5">
      <w:pPr>
        <w:pStyle w:val="paragraph"/>
        <w:tabs>
          <w:tab w:val="left" w:pos="2835"/>
        </w:tabs>
      </w:pPr>
      <w:r w:rsidRPr="00A35C95">
        <w:tab/>
        <w:t>(k)</w:t>
      </w:r>
      <w:r w:rsidRPr="00A35C95">
        <w:tab/>
        <w:t>if the ACCC has made a decision in relation to the market that the body corporate will operate—details of the decision.</w:t>
      </w:r>
    </w:p>
    <w:p w14:paraId="3498F22B" w14:textId="77777777" w:rsidR="00E93F58" w:rsidRPr="00A35C95" w:rsidRDefault="00E93F58" w:rsidP="00366AB5">
      <w:pPr>
        <w:pStyle w:val="ActHead5"/>
        <w:tabs>
          <w:tab w:val="left" w:pos="2835"/>
        </w:tabs>
      </w:pPr>
      <w:bookmarkStart w:id="582" w:name="_Toc152057865"/>
      <w:bookmarkStart w:id="583" w:name="_Toc158712088"/>
      <w:r w:rsidRPr="00844D11">
        <w:rPr>
          <w:rStyle w:val="CharSectno"/>
        </w:rPr>
        <w:t>7.2.12</w:t>
      </w:r>
      <w:r w:rsidRPr="00A35C95">
        <w:rPr>
          <w:sz w:val="16"/>
        </w:rPr>
        <w:t xml:space="preserve">  </w:t>
      </w:r>
      <w:r w:rsidRPr="00A35C95">
        <w:t>Documents</w:t>
      </w:r>
      <w:bookmarkEnd w:id="582"/>
      <w:bookmarkEnd w:id="583"/>
    </w:p>
    <w:p w14:paraId="6A8F250C" w14:textId="77777777" w:rsidR="00E93F58" w:rsidRPr="00A35C95" w:rsidRDefault="00E93F58" w:rsidP="00366AB5">
      <w:pPr>
        <w:pStyle w:val="subsection"/>
        <w:tabs>
          <w:tab w:val="left" w:pos="2835"/>
        </w:tabs>
      </w:pPr>
      <w:r w:rsidRPr="00A35C95">
        <w:tab/>
      </w:r>
      <w:r w:rsidRPr="00A35C95">
        <w:tab/>
        <w:t>For paragraph 795A(1)(b) of the Act, the following documents are required as part of an application by the body corporate for an Australian market licence:</w:t>
      </w:r>
    </w:p>
    <w:p w14:paraId="108D3DDD"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current or proposed operating rules and written procedures;</w:t>
      </w:r>
    </w:p>
    <w:p w14:paraId="158B0E78" w14:textId="77777777" w:rsidR="00E93F58" w:rsidRPr="00A35C95" w:rsidRDefault="00E93F58" w:rsidP="00366AB5">
      <w:pPr>
        <w:pStyle w:val="paragraph"/>
        <w:tabs>
          <w:tab w:val="left" w:pos="2835"/>
        </w:tabs>
      </w:pPr>
      <w:r w:rsidRPr="00A35C95">
        <w:tab/>
        <w:t>(b)</w:t>
      </w:r>
      <w:r w:rsidRPr="00A35C95">
        <w:tab/>
        <w:t>if applicable—the body corporate’s constitution;</w:t>
      </w:r>
    </w:p>
    <w:p w14:paraId="12B6DA81" w14:textId="77777777" w:rsidR="00E93F58" w:rsidRPr="00A35C95" w:rsidRDefault="00E93F58" w:rsidP="00366AB5">
      <w:pPr>
        <w:pStyle w:val="paragraph"/>
        <w:tabs>
          <w:tab w:val="left" w:pos="2835"/>
        </w:tabs>
      </w:pPr>
      <w:r w:rsidRPr="00A35C95">
        <w:tab/>
        <w:t>(c)</w:t>
      </w:r>
      <w:r w:rsidRPr="00A35C95">
        <w:tab/>
        <w:t>a copy of any agreement material to:</w:t>
      </w:r>
    </w:p>
    <w:p w14:paraId="0BE9303A" w14:textId="77777777" w:rsidR="00E93F58" w:rsidRPr="00A35C95" w:rsidRDefault="00E93F58" w:rsidP="00366AB5">
      <w:pPr>
        <w:pStyle w:val="paragraphsub"/>
        <w:tabs>
          <w:tab w:val="left" w:pos="2835"/>
        </w:tabs>
      </w:pPr>
      <w:r w:rsidRPr="00A35C95">
        <w:rPr>
          <w:color w:val="000000"/>
        </w:rPr>
        <w:tab/>
        <w:t>(i)</w:t>
      </w:r>
      <w:r w:rsidRPr="00A35C95">
        <w:rPr>
          <w:color w:val="000000"/>
        </w:rPr>
        <w:tab/>
        <w:t>the way in which the proposed market is to be operated; and</w:t>
      </w:r>
    </w:p>
    <w:p w14:paraId="0BEBDEBD" w14:textId="77777777" w:rsidR="00E93F58" w:rsidRPr="00A35C95" w:rsidRDefault="00E93F58" w:rsidP="00366AB5">
      <w:pPr>
        <w:pStyle w:val="paragraphsub"/>
        <w:tabs>
          <w:tab w:val="left" w:pos="2835"/>
        </w:tabs>
      </w:pPr>
      <w:r w:rsidRPr="00A35C95">
        <w:tab/>
        <w:t>(ii)</w:t>
      </w:r>
      <w:r w:rsidRPr="00A35C95">
        <w:tab/>
        <w:t>the way in which the financing of the proposed market, and the other resources used to operate it, will be organised; and</w:t>
      </w:r>
    </w:p>
    <w:p w14:paraId="72CCBEF1" w14:textId="77777777" w:rsidR="00E93F58" w:rsidRPr="00A35C95" w:rsidRDefault="00E93F58" w:rsidP="00366AB5">
      <w:pPr>
        <w:pStyle w:val="paragraphsub"/>
        <w:tabs>
          <w:tab w:val="left" w:pos="2835"/>
        </w:tabs>
      </w:pPr>
      <w:r w:rsidRPr="00A35C95">
        <w:tab/>
        <w:t>(iii)</w:t>
      </w:r>
      <w:r w:rsidRPr="00A35C95">
        <w:tab/>
        <w:t>the body corporate’s constitution or governance; and</w:t>
      </w:r>
    </w:p>
    <w:p w14:paraId="33C60BED" w14:textId="77777777" w:rsidR="00E93F58" w:rsidRPr="00A35C95" w:rsidRDefault="00E93F58" w:rsidP="00366AB5">
      <w:pPr>
        <w:pStyle w:val="paragraphsub"/>
        <w:tabs>
          <w:tab w:val="left" w:pos="2835"/>
        </w:tabs>
      </w:pPr>
      <w:r w:rsidRPr="00A35C95">
        <w:tab/>
        <w:t>(iv)</w:t>
      </w:r>
      <w:r w:rsidRPr="00A35C95">
        <w:tab/>
        <w:t>the appointment or employment of directors, secretaries and executive officers of the body corporate;</w:t>
      </w:r>
    </w:p>
    <w:p w14:paraId="4FC45DFC" w14:textId="77777777" w:rsidR="00E93F58" w:rsidRPr="00A35C95" w:rsidRDefault="00E93F58" w:rsidP="00366AB5">
      <w:pPr>
        <w:pStyle w:val="paragraph"/>
        <w:tabs>
          <w:tab w:val="left" w:pos="2835"/>
        </w:tabs>
      </w:pPr>
      <w:r w:rsidRPr="00A35C95">
        <w:rPr>
          <w:color w:val="000000"/>
        </w:rPr>
        <w:tab/>
        <w:t>(d)</w:t>
      </w:r>
      <w:r w:rsidRPr="00A35C95">
        <w:rPr>
          <w:color w:val="000000"/>
        </w:rPr>
        <w:tab/>
        <w:t>a copy of any agreement, or proposed agreement, relating to the outsourcing or delegation of a function, facility or service in relation to the proposed market by the body corporate to another person;</w:t>
      </w:r>
    </w:p>
    <w:p w14:paraId="3B56730D" w14:textId="77777777" w:rsidR="00E93F58" w:rsidRPr="00A35C95" w:rsidRDefault="00E93F58" w:rsidP="00366AB5">
      <w:pPr>
        <w:pStyle w:val="paragraph"/>
        <w:tabs>
          <w:tab w:val="left" w:pos="2835"/>
        </w:tabs>
      </w:pPr>
      <w:r w:rsidRPr="00A35C95">
        <w:lastRenderedPageBreak/>
        <w:tab/>
        <w:t>(e)</w:t>
      </w:r>
      <w:r w:rsidRPr="00A35C95">
        <w:tab/>
        <w:t>if the body corporate is a disclosing entity—a copy of each half</w:t>
      </w:r>
      <w:r>
        <w:noBreakHyphen/>
      </w:r>
      <w:r w:rsidRPr="00A35C95">
        <w:t>year financial report of the body corporate for:</w:t>
      </w:r>
    </w:p>
    <w:p w14:paraId="7E887FC7"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period of 3 years immediately before the application was made; or</w:t>
      </w:r>
    </w:p>
    <w:p w14:paraId="559AEF20" w14:textId="77777777" w:rsidR="00E93F58" w:rsidRPr="00A35C95" w:rsidRDefault="00E93F58" w:rsidP="00366AB5">
      <w:pPr>
        <w:pStyle w:val="paragraphsub"/>
        <w:tabs>
          <w:tab w:val="left" w:pos="2835"/>
        </w:tabs>
      </w:pPr>
      <w:r w:rsidRPr="00A35C95">
        <w:tab/>
        <w:t>(ii)</w:t>
      </w:r>
      <w:r w:rsidRPr="00A35C95">
        <w:tab/>
        <w:t>the shorter period in which the body corporate has carried on a business;</w:t>
      </w:r>
    </w:p>
    <w:p w14:paraId="33D485F4" w14:textId="77777777" w:rsidR="00E93F58" w:rsidRPr="00A35C95" w:rsidRDefault="00E93F58" w:rsidP="00366AB5">
      <w:pPr>
        <w:pStyle w:val="paragraph"/>
        <w:tabs>
          <w:tab w:val="left" w:pos="2835"/>
        </w:tabs>
      </w:pPr>
      <w:r w:rsidRPr="00A35C95">
        <w:tab/>
        <w:t>(f)</w:t>
      </w:r>
      <w:r w:rsidRPr="00A35C95">
        <w:tab/>
        <w:t>if the body corporate is not a disclosing entity—a copy of each annual financial report of the body corporate for:</w:t>
      </w:r>
    </w:p>
    <w:p w14:paraId="7B23A79F"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period of 3 years immediately before the application was made; or</w:t>
      </w:r>
    </w:p>
    <w:p w14:paraId="21E271A1" w14:textId="77777777" w:rsidR="00E93F58" w:rsidRPr="00A35C95" w:rsidRDefault="00E93F58" w:rsidP="00366AB5">
      <w:pPr>
        <w:pStyle w:val="paragraphsub"/>
        <w:tabs>
          <w:tab w:val="left" w:pos="2835"/>
        </w:tabs>
      </w:pPr>
      <w:r w:rsidRPr="00A35C95">
        <w:tab/>
        <w:t>(ii)</w:t>
      </w:r>
      <w:r w:rsidRPr="00A35C95">
        <w:tab/>
        <w:t>the shorter period in which the body corporate has carried on a business;</w:t>
      </w:r>
    </w:p>
    <w:p w14:paraId="072DF280" w14:textId="77777777" w:rsidR="00E93F58" w:rsidRPr="00A35C95" w:rsidRDefault="00E93F58" w:rsidP="00366AB5">
      <w:pPr>
        <w:pStyle w:val="paragraph"/>
        <w:tabs>
          <w:tab w:val="left" w:pos="2835"/>
        </w:tabs>
      </w:pPr>
      <w:r w:rsidRPr="00A35C95">
        <w:tab/>
        <w:t>(g)</w:t>
      </w:r>
      <w:r w:rsidRPr="00A35C95">
        <w:tab/>
        <w:t>if the body corporate is a related body corporate—a copy of the relevant consolidated annual and half</w:t>
      </w:r>
      <w:r>
        <w:noBreakHyphen/>
      </w:r>
      <w:r w:rsidRPr="00A35C95">
        <w:t>year financial reports for:</w:t>
      </w:r>
    </w:p>
    <w:p w14:paraId="08BCD725"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period of 3 years immediately before the application was made; or</w:t>
      </w:r>
    </w:p>
    <w:p w14:paraId="4F965439" w14:textId="77777777" w:rsidR="00E93F58" w:rsidRPr="00A35C95" w:rsidRDefault="00E93F58" w:rsidP="00366AB5">
      <w:pPr>
        <w:pStyle w:val="paragraphsub"/>
        <w:tabs>
          <w:tab w:val="left" w:pos="2835"/>
        </w:tabs>
      </w:pPr>
      <w:r w:rsidRPr="00A35C95">
        <w:tab/>
        <w:t>(ii)</w:t>
      </w:r>
      <w:r w:rsidRPr="00A35C95">
        <w:tab/>
        <w:t>the shorter period in which the body corporate has carried on a business;</w:t>
      </w:r>
    </w:p>
    <w:p w14:paraId="5529E7DF" w14:textId="77777777" w:rsidR="00E93F58" w:rsidRPr="00A35C95" w:rsidRDefault="00E93F58" w:rsidP="00366AB5">
      <w:pPr>
        <w:pStyle w:val="paragraph"/>
        <w:tabs>
          <w:tab w:val="left" w:pos="2835"/>
        </w:tabs>
      </w:pPr>
      <w:r w:rsidRPr="00A35C95">
        <w:tab/>
        <w:t>(h)</w:t>
      </w:r>
      <w:r w:rsidRPr="00A35C95">
        <w:tab/>
        <w:t>a report, by a qualified person who is independent of the body corporate, about the anticipated financial resource requirements of the proposed market, including details of:</w:t>
      </w:r>
    </w:p>
    <w:p w14:paraId="43B135B2" w14:textId="77777777" w:rsidR="00E93F58" w:rsidRPr="00A35C95" w:rsidRDefault="00E93F58" w:rsidP="00366AB5">
      <w:pPr>
        <w:pStyle w:val="paragraphsub"/>
        <w:tabs>
          <w:tab w:val="left" w:pos="2835"/>
        </w:tabs>
      </w:pPr>
      <w:r w:rsidRPr="00A35C95">
        <w:rPr>
          <w:color w:val="000000"/>
        </w:rPr>
        <w:tab/>
        <w:t>(i)</w:t>
      </w:r>
      <w:r w:rsidRPr="00A35C95">
        <w:rPr>
          <w:color w:val="000000"/>
        </w:rPr>
        <w:tab/>
        <w:t>the total anticipated fixed expenditure and variable expenditure for the first 12 months of operation of the market; and</w:t>
      </w:r>
    </w:p>
    <w:p w14:paraId="0065C5C9" w14:textId="77777777" w:rsidR="00E93F58" w:rsidRPr="00A35C95" w:rsidRDefault="00E93F58" w:rsidP="00366AB5">
      <w:pPr>
        <w:pStyle w:val="paragraphsub"/>
        <w:tabs>
          <w:tab w:val="left" w:pos="2835"/>
        </w:tabs>
      </w:pPr>
      <w:r w:rsidRPr="00A35C95">
        <w:tab/>
        <w:t>(ii)</w:t>
      </w:r>
      <w:r w:rsidRPr="00A35C95">
        <w:tab/>
        <w:t>the total anticipated revenue for the first 12 months of operation of the market and other sources of financial resources; and</w:t>
      </w:r>
    </w:p>
    <w:p w14:paraId="5B615482" w14:textId="77777777" w:rsidR="00E93F58" w:rsidRPr="00A35C95" w:rsidRDefault="00E93F58" w:rsidP="00366AB5">
      <w:pPr>
        <w:pStyle w:val="paragraphsub"/>
        <w:tabs>
          <w:tab w:val="left" w:pos="2835"/>
        </w:tabs>
      </w:pPr>
      <w:r w:rsidRPr="00A35C95">
        <w:tab/>
        <w:t>(iii)</w:t>
      </w:r>
      <w:r w:rsidRPr="00A35C95">
        <w:tab/>
        <w:t>the body corporate’s contingency arrangements in the event of circumstances occurring that affect the body corporate’s ability to operate the market;</w:t>
      </w:r>
    </w:p>
    <w:p w14:paraId="3FF3EAAD" w14:textId="77777777" w:rsidR="00E93F58" w:rsidRPr="00A35C95" w:rsidRDefault="00E93F58" w:rsidP="00366AB5">
      <w:pPr>
        <w:pStyle w:val="paragraph"/>
        <w:tabs>
          <w:tab w:val="left" w:pos="2835"/>
        </w:tabs>
      </w:pPr>
      <w:r w:rsidRPr="00A35C95">
        <w:rPr>
          <w:color w:val="000000"/>
        </w:rPr>
        <w:tab/>
        <w:t>(i)</w:t>
      </w:r>
      <w:r w:rsidRPr="00A35C95">
        <w:rPr>
          <w:color w:val="000000"/>
        </w:rPr>
        <w:tab/>
        <w:t>details of the body corporate’s business plan, or other strategic planning, for the first 12 months of operation of the market, that are not included in the other documents mentioned in this regulation.</w:t>
      </w:r>
    </w:p>
    <w:p w14:paraId="0B7EC2D9" w14:textId="77777777" w:rsidR="00E93F58" w:rsidRPr="00A35C95" w:rsidRDefault="00E93F58" w:rsidP="00366AB5">
      <w:pPr>
        <w:pStyle w:val="ActHead3"/>
        <w:pageBreakBefore/>
        <w:tabs>
          <w:tab w:val="left" w:pos="2835"/>
        </w:tabs>
        <w:spacing w:before="280"/>
        <w:rPr>
          <w:color w:val="000000"/>
        </w:rPr>
      </w:pPr>
      <w:bookmarkStart w:id="584" w:name="_Toc152057866"/>
      <w:bookmarkStart w:id="585" w:name="_Toc158712089"/>
      <w:r w:rsidRPr="00844D11">
        <w:rPr>
          <w:rStyle w:val="CharDivNo"/>
        </w:rPr>
        <w:lastRenderedPageBreak/>
        <w:t>Division 5</w:t>
      </w:r>
      <w:r w:rsidRPr="00A35C95">
        <w:rPr>
          <w:color w:val="000000"/>
        </w:rPr>
        <w:t>—</w:t>
      </w:r>
      <w:r w:rsidRPr="00844D11">
        <w:rPr>
          <w:rStyle w:val="CharDivText"/>
        </w:rPr>
        <w:t>The Australian market licence: applications (financial market in foreign country)</w:t>
      </w:r>
      <w:bookmarkEnd w:id="584"/>
      <w:bookmarkEnd w:id="585"/>
    </w:p>
    <w:p w14:paraId="1905A3B3" w14:textId="77777777" w:rsidR="00E93F58" w:rsidRPr="00A35C95" w:rsidRDefault="00E93F58" w:rsidP="00366AB5">
      <w:pPr>
        <w:pStyle w:val="ActHead5"/>
        <w:tabs>
          <w:tab w:val="left" w:pos="2835"/>
        </w:tabs>
      </w:pPr>
      <w:bookmarkStart w:id="586" w:name="_Toc152057867"/>
      <w:bookmarkStart w:id="587" w:name="_Toc158712090"/>
      <w:r w:rsidRPr="00844D11">
        <w:rPr>
          <w:rStyle w:val="CharSectno"/>
        </w:rPr>
        <w:t>7.2.13</w:t>
      </w:r>
      <w:r w:rsidRPr="00A35C95">
        <w:rPr>
          <w:sz w:val="16"/>
        </w:rPr>
        <w:t xml:space="preserve">  </w:t>
      </w:r>
      <w:r w:rsidRPr="00A35C95">
        <w:t>Application of Division 5</w:t>
      </w:r>
      <w:bookmarkEnd w:id="586"/>
      <w:bookmarkEnd w:id="587"/>
    </w:p>
    <w:p w14:paraId="0865CB98" w14:textId="77777777" w:rsidR="00E93F58" w:rsidRPr="00A35C95" w:rsidRDefault="00E93F58" w:rsidP="00366AB5">
      <w:pPr>
        <w:pStyle w:val="subsection"/>
        <w:tabs>
          <w:tab w:val="left" w:pos="2835"/>
        </w:tabs>
      </w:pPr>
      <w:r w:rsidRPr="00A35C95">
        <w:rPr>
          <w:color w:val="000000"/>
        </w:rPr>
        <w:tab/>
      </w:r>
      <w:r w:rsidRPr="00A35C95">
        <w:rPr>
          <w:color w:val="000000"/>
        </w:rPr>
        <w:tab/>
        <w:t>This Division applies in relation to a body corporate that applies for an Australian market licence that may be granted under subsection 795B(2) of the Act.</w:t>
      </w:r>
    </w:p>
    <w:p w14:paraId="44403739" w14:textId="77777777" w:rsidR="00E93F58" w:rsidRPr="00A35C95" w:rsidRDefault="00E93F58" w:rsidP="00366AB5">
      <w:pPr>
        <w:pStyle w:val="ActHead5"/>
        <w:tabs>
          <w:tab w:val="left" w:pos="2835"/>
        </w:tabs>
      </w:pPr>
      <w:bookmarkStart w:id="588" w:name="_Toc152057868"/>
      <w:bookmarkStart w:id="589" w:name="_Toc158712091"/>
      <w:r w:rsidRPr="00844D11">
        <w:rPr>
          <w:rStyle w:val="CharSectno"/>
        </w:rPr>
        <w:t>7.2.14</w:t>
      </w:r>
      <w:r w:rsidRPr="00A35C95">
        <w:rPr>
          <w:sz w:val="16"/>
        </w:rPr>
        <w:t xml:space="preserve">  </w:t>
      </w:r>
      <w:r w:rsidRPr="00A35C95">
        <w:t>Information</w:t>
      </w:r>
      <w:bookmarkEnd w:id="588"/>
      <w:bookmarkEnd w:id="589"/>
    </w:p>
    <w:p w14:paraId="6E93579A" w14:textId="77777777" w:rsidR="00E93F58" w:rsidRPr="00A35C95" w:rsidRDefault="00E93F58" w:rsidP="00366AB5">
      <w:pPr>
        <w:pStyle w:val="subsection"/>
        <w:tabs>
          <w:tab w:val="left" w:pos="2835"/>
        </w:tabs>
      </w:pPr>
      <w:r w:rsidRPr="00A35C95">
        <w:tab/>
      </w:r>
      <w:r w:rsidRPr="00A35C95">
        <w:tab/>
        <w:t>For paragraph 795A(1)(a) of the Act, the following information is required as part of an application by the body corporate for an Australian market licence:</w:t>
      </w:r>
    </w:p>
    <w:p w14:paraId="25949D3E"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name, address and contact details in this jurisdiction;</w:t>
      </w:r>
    </w:p>
    <w:p w14:paraId="51611562" w14:textId="77777777" w:rsidR="00E93F58" w:rsidRPr="00A35C95" w:rsidRDefault="00E93F58" w:rsidP="00366AB5">
      <w:pPr>
        <w:pStyle w:val="paragraph"/>
        <w:tabs>
          <w:tab w:val="left" w:pos="2835"/>
        </w:tabs>
      </w:pPr>
      <w:r w:rsidRPr="00A35C95">
        <w:tab/>
        <w:t>(b)</w:t>
      </w:r>
      <w:r w:rsidRPr="00A35C95">
        <w:tab/>
        <w:t xml:space="preserve">the address and contact details of the body corporate’s principal place of business in the foreign country in which its financial market is located (the </w:t>
      </w:r>
      <w:r w:rsidRPr="00A35C95">
        <w:rPr>
          <w:b/>
          <w:i/>
        </w:rPr>
        <w:t>home country</w:t>
      </w:r>
      <w:r w:rsidRPr="00A35C95">
        <w:t>);</w:t>
      </w:r>
    </w:p>
    <w:p w14:paraId="147E43D8" w14:textId="77777777" w:rsidR="00E93F58" w:rsidRPr="00A35C95" w:rsidRDefault="00E93F58" w:rsidP="00366AB5">
      <w:pPr>
        <w:pStyle w:val="paragraph"/>
        <w:tabs>
          <w:tab w:val="left" w:pos="2835"/>
        </w:tabs>
      </w:pPr>
      <w:r w:rsidRPr="00A35C95">
        <w:tab/>
        <w:t>(c)</w:t>
      </w:r>
      <w:r w:rsidRPr="00A35C95">
        <w:tab/>
        <w:t>whether the body corporate is registered under Division 2 of Part 5B.2 of the Act;</w:t>
      </w:r>
    </w:p>
    <w:p w14:paraId="4AFD76E1" w14:textId="77777777" w:rsidR="00E93F58" w:rsidRPr="00A35C95" w:rsidRDefault="00E93F58" w:rsidP="00366AB5">
      <w:pPr>
        <w:pStyle w:val="paragraph"/>
        <w:tabs>
          <w:tab w:val="left" w:pos="2835"/>
        </w:tabs>
      </w:pPr>
      <w:r w:rsidRPr="00A35C95">
        <w:tab/>
        <w:t>(d)</w:t>
      </w:r>
      <w:r w:rsidRPr="00A35C95">
        <w:tab/>
        <w:t>details of the financial products that are traded on the financial market in the home country;</w:t>
      </w:r>
    </w:p>
    <w:p w14:paraId="78C68587" w14:textId="77777777" w:rsidR="00E93F58" w:rsidRPr="00A35C95" w:rsidRDefault="00E93F58" w:rsidP="00366AB5">
      <w:pPr>
        <w:pStyle w:val="paragraph"/>
        <w:tabs>
          <w:tab w:val="left" w:pos="2835"/>
        </w:tabs>
      </w:pPr>
      <w:r w:rsidRPr="00A35C95">
        <w:tab/>
        <w:t>(e)</w:t>
      </w:r>
      <w:r w:rsidRPr="00A35C95">
        <w:tab/>
        <w:t>details of the clearing and settlement arrangements for the financial market in the home country;</w:t>
      </w:r>
    </w:p>
    <w:p w14:paraId="72FD8C8B" w14:textId="77777777" w:rsidR="00E93F58" w:rsidRPr="00A35C95" w:rsidRDefault="00E93F58" w:rsidP="00366AB5">
      <w:pPr>
        <w:pStyle w:val="paragraph"/>
        <w:tabs>
          <w:tab w:val="left" w:pos="2835"/>
        </w:tabs>
      </w:pPr>
      <w:r w:rsidRPr="00A35C95">
        <w:tab/>
        <w:t>(f)</w:t>
      </w:r>
      <w:r w:rsidRPr="00A35C95">
        <w:tab/>
        <w:t>details of the body corporate’s major shareholders and organisation, including any details that have not already been given to ASIC in accordance with Division 2 of Part 5B.2 of the Act of:</w:t>
      </w:r>
    </w:p>
    <w:p w14:paraId="04059E1F" w14:textId="77777777" w:rsidR="00E93F58" w:rsidRPr="00A35C95" w:rsidRDefault="00E93F58" w:rsidP="00366AB5">
      <w:pPr>
        <w:pStyle w:val="paragraphsub"/>
        <w:tabs>
          <w:tab w:val="left" w:pos="2835"/>
        </w:tabs>
      </w:pPr>
      <w:r w:rsidRPr="00A35C95">
        <w:rPr>
          <w:color w:val="000000"/>
        </w:rPr>
        <w:tab/>
        <w:t>(i)</w:t>
      </w:r>
      <w:r w:rsidRPr="00A35C95">
        <w:rPr>
          <w:color w:val="000000"/>
        </w:rPr>
        <w:tab/>
        <w:t>each person whose duties are comparable to those of a director; and</w:t>
      </w:r>
    </w:p>
    <w:p w14:paraId="668FB4D8" w14:textId="77777777" w:rsidR="00E93F58" w:rsidRPr="00A35C95" w:rsidRDefault="00E93F58" w:rsidP="00366AB5">
      <w:pPr>
        <w:pStyle w:val="paragraphsub"/>
        <w:tabs>
          <w:tab w:val="left" w:pos="2835"/>
        </w:tabs>
      </w:pPr>
      <w:r w:rsidRPr="00A35C95">
        <w:tab/>
        <w:t>(ii)</w:t>
      </w:r>
      <w:r w:rsidRPr="00A35C95">
        <w:tab/>
        <w:t>each person whose duties are comparable to those of a secretary; and</w:t>
      </w:r>
    </w:p>
    <w:p w14:paraId="3219BB67" w14:textId="77777777" w:rsidR="00E93F58" w:rsidRPr="00A35C95" w:rsidRDefault="00E93F58" w:rsidP="00366AB5">
      <w:pPr>
        <w:pStyle w:val="paragraphsub"/>
        <w:tabs>
          <w:tab w:val="left" w:pos="2835"/>
        </w:tabs>
      </w:pPr>
      <w:r w:rsidRPr="00A35C95">
        <w:tab/>
        <w:t>(iii)</w:t>
      </w:r>
      <w:r w:rsidRPr="00A35C95">
        <w:tab/>
        <w:t>each person whose duties are comparable to those of an executive officer of the body corporate.</w:t>
      </w:r>
    </w:p>
    <w:p w14:paraId="20373EB4" w14:textId="77777777" w:rsidR="00E93F58" w:rsidRPr="00A35C95" w:rsidRDefault="00E93F58" w:rsidP="00366AB5">
      <w:pPr>
        <w:pStyle w:val="ActHead5"/>
        <w:tabs>
          <w:tab w:val="left" w:pos="2835"/>
        </w:tabs>
      </w:pPr>
      <w:bookmarkStart w:id="590" w:name="_Toc152057869"/>
      <w:bookmarkStart w:id="591" w:name="_Toc158712092"/>
      <w:r w:rsidRPr="00844D11">
        <w:rPr>
          <w:rStyle w:val="CharSectno"/>
        </w:rPr>
        <w:t>7.2.15</w:t>
      </w:r>
      <w:r w:rsidRPr="00A35C95">
        <w:rPr>
          <w:sz w:val="16"/>
        </w:rPr>
        <w:t xml:space="preserve">  </w:t>
      </w:r>
      <w:r w:rsidRPr="00A35C95">
        <w:t>Documents</w:t>
      </w:r>
      <w:bookmarkEnd w:id="590"/>
      <w:bookmarkEnd w:id="591"/>
    </w:p>
    <w:p w14:paraId="026D4288" w14:textId="77777777" w:rsidR="00E93F58" w:rsidRPr="00A35C95" w:rsidRDefault="00E93F58" w:rsidP="00366AB5">
      <w:pPr>
        <w:pStyle w:val="subsection"/>
        <w:keepNext/>
        <w:keepLines/>
        <w:tabs>
          <w:tab w:val="left" w:pos="2835"/>
        </w:tabs>
      </w:pPr>
      <w:r w:rsidRPr="00A35C95">
        <w:tab/>
      </w:r>
      <w:r w:rsidRPr="00A35C95">
        <w:tab/>
        <w:t>For paragraph 795A(1)(b) of the Act, the documents required as part of an application by the body corporate for an Australian market licence are:</w:t>
      </w:r>
    </w:p>
    <w:p w14:paraId="349E054B"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authorisation to operate the financial market in its home country, including a copy of any conditions imposed on the body corporate’s operation of its financial market in the home country; and</w:t>
      </w:r>
    </w:p>
    <w:p w14:paraId="2D3DD655" w14:textId="77777777" w:rsidR="00E93F58" w:rsidRPr="00A35C95" w:rsidRDefault="00E93F58" w:rsidP="00366AB5">
      <w:pPr>
        <w:pStyle w:val="paragraph"/>
        <w:tabs>
          <w:tab w:val="left" w:pos="2835"/>
        </w:tabs>
      </w:pPr>
      <w:r w:rsidRPr="00A35C95">
        <w:tab/>
        <w:t>(b)</w:t>
      </w:r>
      <w:r w:rsidRPr="00A35C95">
        <w:tab/>
        <w:t>sufficient documentation to allow the Minister to be satisfied that the regulation of the financial market in its home country is equivalent to regulation under the Act.</w:t>
      </w:r>
    </w:p>
    <w:p w14:paraId="38543B51" w14:textId="77777777" w:rsidR="00E93F58" w:rsidRPr="00A35C95" w:rsidRDefault="00E93F58" w:rsidP="00366AB5">
      <w:pPr>
        <w:pStyle w:val="notetext"/>
        <w:tabs>
          <w:tab w:val="left" w:pos="2835"/>
        </w:tabs>
      </w:pPr>
      <w:r w:rsidRPr="00A35C95">
        <w:t>Example for paragraph (b):</w:t>
      </w:r>
      <w:r w:rsidRPr="00A35C95">
        <w:tab/>
        <w:t>Copies of the relevant legislation, rules and procedures in the home country.</w:t>
      </w:r>
    </w:p>
    <w:p w14:paraId="1274745C" w14:textId="77777777" w:rsidR="00E93F58" w:rsidRPr="00A35C95" w:rsidRDefault="00E93F58" w:rsidP="00366AB5">
      <w:pPr>
        <w:pStyle w:val="ActHead3"/>
        <w:pageBreakBefore/>
        <w:tabs>
          <w:tab w:val="left" w:pos="2835"/>
        </w:tabs>
        <w:rPr>
          <w:color w:val="000000"/>
        </w:rPr>
      </w:pPr>
      <w:bookmarkStart w:id="592" w:name="_Toc152057870"/>
      <w:bookmarkStart w:id="593" w:name="_Toc158712093"/>
      <w:r w:rsidRPr="00844D11">
        <w:rPr>
          <w:rStyle w:val="CharDivNo"/>
        </w:rPr>
        <w:lastRenderedPageBreak/>
        <w:t>Division 6</w:t>
      </w:r>
      <w:r w:rsidRPr="00A35C95">
        <w:rPr>
          <w:color w:val="000000"/>
        </w:rPr>
        <w:t>—</w:t>
      </w:r>
      <w:r w:rsidRPr="00844D11">
        <w:rPr>
          <w:rStyle w:val="CharDivText"/>
        </w:rPr>
        <w:t>The Australian market licence: other matters</w:t>
      </w:r>
      <w:bookmarkEnd w:id="592"/>
      <w:bookmarkEnd w:id="593"/>
    </w:p>
    <w:p w14:paraId="18A0B069" w14:textId="77777777" w:rsidR="00E93F58" w:rsidRPr="00A35C95" w:rsidRDefault="00E93F58" w:rsidP="00366AB5">
      <w:pPr>
        <w:pStyle w:val="ActHead5"/>
        <w:tabs>
          <w:tab w:val="left" w:pos="2835"/>
        </w:tabs>
      </w:pPr>
      <w:bookmarkStart w:id="594" w:name="_Toc152057871"/>
      <w:bookmarkStart w:id="595" w:name="_Toc158712094"/>
      <w:r w:rsidRPr="00844D11">
        <w:rPr>
          <w:rStyle w:val="CharSectno"/>
        </w:rPr>
        <w:t>7.2.16</w:t>
      </w:r>
      <w:r w:rsidRPr="00A35C95">
        <w:t xml:space="preserve">  Potential conflict situations</w:t>
      </w:r>
      <w:bookmarkEnd w:id="594"/>
      <w:bookmarkEnd w:id="595"/>
    </w:p>
    <w:p w14:paraId="679C6E74" w14:textId="77777777" w:rsidR="00E93F58" w:rsidRPr="00A35C95" w:rsidRDefault="00E93F58" w:rsidP="00366AB5">
      <w:pPr>
        <w:pStyle w:val="subsection"/>
        <w:tabs>
          <w:tab w:val="left" w:pos="2835"/>
        </w:tabs>
      </w:pPr>
      <w:r w:rsidRPr="00A35C95">
        <w:tab/>
        <w:t>(1)</w:t>
      </w:r>
      <w:r w:rsidRPr="00A35C95">
        <w:tab/>
        <w:t>For subsection 798E(1) of the Act, this regulation applies in relation to specific and significant conflicts, or potential conflicts that would be specific and significant, between:</w:t>
      </w:r>
    </w:p>
    <w:p w14:paraId="77464ED3" w14:textId="77777777" w:rsidR="00E93F58" w:rsidRPr="00A35C95" w:rsidRDefault="00E93F58" w:rsidP="00366AB5">
      <w:pPr>
        <w:pStyle w:val="paragraph"/>
        <w:tabs>
          <w:tab w:val="left" w:pos="2835"/>
        </w:tabs>
      </w:pPr>
      <w:r w:rsidRPr="00A35C95">
        <w:tab/>
        <w:t>(a)</w:t>
      </w:r>
      <w:r w:rsidRPr="00A35C95">
        <w:tab/>
        <w:t>the commercial interests of Australian Stock Exchange Limited (</w:t>
      </w:r>
      <w:r w:rsidRPr="00A35C95">
        <w:rPr>
          <w:b/>
          <w:i/>
        </w:rPr>
        <w:t>ASX</w:t>
      </w:r>
      <w:r w:rsidRPr="00A35C95">
        <w:t xml:space="preserve">) in dealing with a body (the </w:t>
      </w:r>
      <w:r w:rsidRPr="00A35C95">
        <w:rPr>
          <w:b/>
          <w:i/>
        </w:rPr>
        <w:t>competitor</w:t>
      </w:r>
      <w:r w:rsidRPr="00A35C95">
        <w:t>) that operates a business with which:</w:t>
      </w:r>
    </w:p>
    <w:p w14:paraId="5F4AEA10" w14:textId="77777777" w:rsidR="00E93F58" w:rsidRPr="00A35C95" w:rsidRDefault="00E93F58" w:rsidP="00366AB5">
      <w:pPr>
        <w:pStyle w:val="paragraphsub"/>
        <w:tabs>
          <w:tab w:val="left" w:pos="2835"/>
        </w:tabs>
      </w:pPr>
      <w:r w:rsidRPr="00A35C95">
        <w:rPr>
          <w:color w:val="000000"/>
        </w:rPr>
        <w:tab/>
        <w:t>(i)</w:t>
      </w:r>
      <w:r w:rsidRPr="00A35C95">
        <w:rPr>
          <w:color w:val="000000"/>
        </w:rPr>
        <w:tab/>
        <w:t>ASX is in competition; or</w:t>
      </w:r>
    </w:p>
    <w:p w14:paraId="580259ED" w14:textId="77777777" w:rsidR="00E93F58" w:rsidRPr="00A35C95" w:rsidRDefault="00E93F58" w:rsidP="00366AB5">
      <w:pPr>
        <w:pStyle w:val="paragraphsub"/>
        <w:tabs>
          <w:tab w:val="left" w:pos="2835"/>
        </w:tabs>
      </w:pPr>
      <w:r w:rsidRPr="00A35C95">
        <w:tab/>
        <w:t>(ii)</w:t>
      </w:r>
      <w:r w:rsidRPr="00A35C95">
        <w:tab/>
        <w:t>a subsidiary of ASX is in competition; or</w:t>
      </w:r>
    </w:p>
    <w:p w14:paraId="6D40CB70" w14:textId="77777777" w:rsidR="00E93F58" w:rsidRPr="00A35C95" w:rsidRDefault="00E93F58" w:rsidP="00366AB5">
      <w:pPr>
        <w:pStyle w:val="paragraphsub"/>
        <w:tabs>
          <w:tab w:val="left" w:pos="2835"/>
        </w:tabs>
      </w:pPr>
      <w:r w:rsidRPr="00A35C95">
        <w:tab/>
        <w:t>(iii)</w:t>
      </w:r>
      <w:r w:rsidRPr="00A35C95">
        <w:tab/>
        <w:t>a joint venture (however described) to which ASX is a party is in competition; or</w:t>
      </w:r>
    </w:p>
    <w:p w14:paraId="69C96891" w14:textId="77777777" w:rsidR="00E93F58" w:rsidRPr="00A35C95" w:rsidRDefault="00E93F58" w:rsidP="00366AB5">
      <w:pPr>
        <w:pStyle w:val="paragraphsub"/>
        <w:tabs>
          <w:tab w:val="left" w:pos="2835"/>
        </w:tabs>
      </w:pPr>
      <w:r w:rsidRPr="00A35C95">
        <w:tab/>
        <w:t>(iv)</w:t>
      </w:r>
      <w:r w:rsidRPr="00A35C95">
        <w:tab/>
        <w:t>a joint venture (however described) to which a subsidiary of ASX is a party is in competition; and</w:t>
      </w:r>
    </w:p>
    <w:p w14:paraId="6EBD7DA1" w14:textId="77777777" w:rsidR="00E93F58" w:rsidRPr="00A35C95" w:rsidRDefault="00E93F58" w:rsidP="00366AB5">
      <w:pPr>
        <w:pStyle w:val="paragraph"/>
        <w:tabs>
          <w:tab w:val="left" w:pos="2835"/>
        </w:tabs>
      </w:pPr>
      <w:r w:rsidRPr="00A35C95">
        <w:rPr>
          <w:color w:val="000000"/>
        </w:rPr>
        <w:tab/>
        <w:t>(b)</w:t>
      </w:r>
      <w:r w:rsidRPr="00A35C95">
        <w:rPr>
          <w:color w:val="000000"/>
        </w:rPr>
        <w:tab/>
        <w:t xml:space="preserve">the need for ASX to ensure that the market operated by it operates in the way mentioned in </w:t>
      </w:r>
      <w:r w:rsidRPr="00A35C95">
        <w:t>paragraph 792A(1)(a)</w:t>
      </w:r>
      <w:r w:rsidRPr="00A35C95">
        <w:rPr>
          <w:color w:val="000000"/>
        </w:rPr>
        <w:t xml:space="preserve"> of the Act.</w:t>
      </w:r>
    </w:p>
    <w:p w14:paraId="76898C76" w14:textId="77777777" w:rsidR="00E93F58" w:rsidRPr="00A35C95" w:rsidRDefault="00E93F58" w:rsidP="00366AB5">
      <w:pPr>
        <w:pStyle w:val="subsection"/>
        <w:tabs>
          <w:tab w:val="left" w:pos="2835"/>
        </w:tabs>
      </w:pPr>
      <w:r w:rsidRPr="00A35C95">
        <w:tab/>
        <w:t>(2)</w:t>
      </w:r>
      <w:r w:rsidRPr="00A35C95">
        <w:tab/>
        <w:t>The competitor may lodge with ASIC in the prescribed form, an application for ASIC to decide that ASIC, instead of ASX, will make decisions and take action</w:t>
      </w:r>
      <w:r w:rsidRPr="00A35C95">
        <w:rPr>
          <w:color w:val="000000"/>
        </w:rPr>
        <w:t xml:space="preserve"> (or require ASX to take action on ASIC’s behalf)</w:t>
      </w:r>
      <w:r w:rsidRPr="00A35C95">
        <w:t xml:space="preserve"> in relation to:</w:t>
      </w:r>
    </w:p>
    <w:p w14:paraId="15DE7831" w14:textId="77777777" w:rsidR="00E93F58" w:rsidRPr="00A35C95" w:rsidRDefault="00E93F58" w:rsidP="00366AB5">
      <w:pPr>
        <w:pStyle w:val="paragraph"/>
        <w:tabs>
          <w:tab w:val="left" w:pos="2835"/>
        </w:tabs>
      </w:pPr>
      <w:r w:rsidRPr="00A35C95">
        <w:tab/>
        <w:t>(a)</w:t>
      </w:r>
      <w:r w:rsidRPr="00A35C95">
        <w:tab/>
        <w:t>if the competitor is seeking to be listed—the compliance by the competitor with the applicable listing rules of the market operated by ASX; or</w:t>
      </w:r>
    </w:p>
    <w:p w14:paraId="12B5A3E1" w14:textId="77777777" w:rsidR="00E93F58" w:rsidRPr="00A35C95" w:rsidRDefault="00E93F58" w:rsidP="00366AB5">
      <w:pPr>
        <w:pStyle w:val="paragraph"/>
        <w:tabs>
          <w:tab w:val="left" w:pos="2835"/>
        </w:tabs>
      </w:pPr>
      <w:r w:rsidRPr="00A35C95">
        <w:tab/>
        <w:t>(b)</w:t>
      </w:r>
      <w:r w:rsidRPr="00A35C95">
        <w:tab/>
        <w:t>if the competitor is listed on the market operated by ASX—the compliance by the competitor with the applicable listing rules of the market operated by ASX.</w:t>
      </w:r>
    </w:p>
    <w:p w14:paraId="5D5CAB6E" w14:textId="77777777" w:rsidR="00E93F58" w:rsidRPr="00A35C95" w:rsidRDefault="00E93F58" w:rsidP="00366AB5">
      <w:pPr>
        <w:pStyle w:val="subsection"/>
        <w:tabs>
          <w:tab w:val="left" w:pos="2835"/>
        </w:tabs>
      </w:pPr>
      <w:r w:rsidRPr="00A35C95">
        <w:tab/>
        <w:t>(3)</w:t>
      </w:r>
      <w:r w:rsidRPr="00A35C95">
        <w:tab/>
        <w:t>As soon as practicable after receiving an application under subregulation (2), ASIC must:</w:t>
      </w:r>
    </w:p>
    <w:p w14:paraId="472979BF" w14:textId="77777777" w:rsidR="00E93F58" w:rsidRPr="00A35C95" w:rsidRDefault="00E93F58" w:rsidP="00366AB5">
      <w:pPr>
        <w:pStyle w:val="paragraph"/>
        <w:tabs>
          <w:tab w:val="left" w:pos="2835"/>
        </w:tabs>
      </w:pPr>
      <w:r w:rsidRPr="00A35C95">
        <w:rPr>
          <w:color w:val="000000"/>
        </w:rPr>
        <w:tab/>
        <w:t>(a)</w:t>
      </w:r>
      <w:r w:rsidRPr="00A35C95">
        <w:rPr>
          <w:color w:val="000000"/>
        </w:rPr>
        <w:tab/>
        <w:t>consider whether a conflict, or potential conflict, exists as described in subregulation (1); and</w:t>
      </w:r>
    </w:p>
    <w:p w14:paraId="1D30659D" w14:textId="77777777" w:rsidR="00E93F58" w:rsidRPr="00A35C95" w:rsidRDefault="00E93F58" w:rsidP="00366AB5">
      <w:pPr>
        <w:pStyle w:val="paragraph"/>
        <w:tabs>
          <w:tab w:val="left" w:pos="2835"/>
        </w:tabs>
      </w:pPr>
      <w:r w:rsidRPr="00A35C95">
        <w:tab/>
        <w:t>(b)</w:t>
      </w:r>
      <w:r w:rsidRPr="00A35C95">
        <w:tab/>
        <w:t>if it considers that a conflict, or potential conflict, exists—consider whether, having regard to ASX’s obligations under subparagraph 792A(1)(c)(i) of the Act, the conflict, or potential conflict, would be dealt with more appropriately and efficiently by a means other than taking the action mentioned in subregulation (2); and</w:t>
      </w:r>
    </w:p>
    <w:p w14:paraId="64B6E79D" w14:textId="77777777" w:rsidR="00E93F58" w:rsidRPr="00A35C95" w:rsidRDefault="00E93F58" w:rsidP="00366AB5">
      <w:pPr>
        <w:pStyle w:val="paragraph"/>
        <w:tabs>
          <w:tab w:val="left" w:pos="2835"/>
        </w:tabs>
      </w:pPr>
      <w:r w:rsidRPr="00A35C95">
        <w:tab/>
        <w:t>(c)</w:t>
      </w:r>
      <w:r w:rsidRPr="00A35C95">
        <w:tab/>
        <w:t>decide whether (and to what extent):</w:t>
      </w:r>
    </w:p>
    <w:p w14:paraId="57E058FC" w14:textId="77777777" w:rsidR="00E93F58" w:rsidRPr="00A35C95" w:rsidRDefault="00E93F58" w:rsidP="00366AB5">
      <w:pPr>
        <w:pStyle w:val="paragraphsub"/>
        <w:tabs>
          <w:tab w:val="left" w:pos="2835"/>
        </w:tabs>
      </w:pPr>
      <w:r w:rsidRPr="00A35C95">
        <w:rPr>
          <w:color w:val="000000"/>
        </w:rPr>
        <w:tab/>
        <w:t>(i)</w:t>
      </w:r>
      <w:r w:rsidRPr="00A35C95">
        <w:rPr>
          <w:color w:val="000000"/>
        </w:rPr>
        <w:tab/>
        <w:t>to make decisions and take action; or</w:t>
      </w:r>
    </w:p>
    <w:p w14:paraId="54C2AB6A" w14:textId="77777777" w:rsidR="00E93F58" w:rsidRPr="00A35C95" w:rsidRDefault="00E93F58" w:rsidP="00366AB5">
      <w:pPr>
        <w:pStyle w:val="paragraphsub"/>
        <w:tabs>
          <w:tab w:val="left" w:pos="2835"/>
        </w:tabs>
      </w:pPr>
      <w:r w:rsidRPr="00A35C95">
        <w:tab/>
        <w:t>(ii)</w:t>
      </w:r>
      <w:r w:rsidRPr="00A35C95">
        <w:tab/>
        <w:t>to require ASX to take action on ASIC’s behalf;</w:t>
      </w:r>
    </w:p>
    <w:p w14:paraId="4B36E29D" w14:textId="77777777" w:rsidR="00E93F58" w:rsidRPr="00A35C95" w:rsidRDefault="00E93F58" w:rsidP="00366AB5">
      <w:pPr>
        <w:pStyle w:val="paragraph"/>
        <w:tabs>
          <w:tab w:val="left" w:pos="2835"/>
        </w:tabs>
      </w:pPr>
      <w:r w:rsidRPr="00A35C95">
        <w:rPr>
          <w:color w:val="000000"/>
        </w:rPr>
        <w:tab/>
      </w:r>
      <w:r w:rsidRPr="00A35C95">
        <w:rPr>
          <w:color w:val="000000"/>
        </w:rPr>
        <w:tab/>
        <w:t>in relation to the matters mentioned in paragraphs (2)(a) and (b).</w:t>
      </w:r>
    </w:p>
    <w:p w14:paraId="13A08A76" w14:textId="77777777" w:rsidR="00E93F58" w:rsidRPr="00A35C95" w:rsidRDefault="00E93F58" w:rsidP="00366AB5">
      <w:pPr>
        <w:pStyle w:val="subsection"/>
        <w:tabs>
          <w:tab w:val="left" w:pos="2835"/>
        </w:tabs>
      </w:pPr>
      <w:r w:rsidRPr="00A35C95">
        <w:tab/>
        <w:t>(4)</w:t>
      </w:r>
      <w:r w:rsidRPr="00A35C95">
        <w:tab/>
        <w:t>If ASIC decides to make decisions and take action (or to require ASX to take action on ASIC’s behalf) as mentioned in subregulation (2), ASIC:</w:t>
      </w:r>
    </w:p>
    <w:p w14:paraId="10EC9A26" w14:textId="77777777" w:rsidR="00E93F58" w:rsidRPr="00A35C95" w:rsidRDefault="00E93F58" w:rsidP="00366AB5">
      <w:pPr>
        <w:pStyle w:val="paragraph"/>
        <w:tabs>
          <w:tab w:val="left" w:pos="2835"/>
        </w:tabs>
      </w:pPr>
      <w:r w:rsidRPr="00A35C95">
        <w:rPr>
          <w:color w:val="000000"/>
        </w:rPr>
        <w:tab/>
        <w:t>(a)</w:t>
      </w:r>
      <w:r w:rsidRPr="00A35C95">
        <w:rPr>
          <w:color w:val="000000"/>
        </w:rPr>
        <w:tab/>
        <w:t>may consult with ASX and the competitor to identify the listing rules of the market operated by ASX for which ASIC needs to make the decisions and take the action; and</w:t>
      </w:r>
    </w:p>
    <w:p w14:paraId="5FE27001" w14:textId="77777777" w:rsidR="00E93F58" w:rsidRPr="00A35C95" w:rsidRDefault="00E93F58" w:rsidP="00366AB5">
      <w:pPr>
        <w:pStyle w:val="paragraph"/>
        <w:tabs>
          <w:tab w:val="left" w:pos="2835"/>
        </w:tabs>
      </w:pPr>
      <w:r w:rsidRPr="00A35C95">
        <w:tab/>
        <w:t>(b)</w:t>
      </w:r>
      <w:r w:rsidRPr="00A35C95">
        <w:tab/>
        <w:t>must, as soon as practicable, decide the extent of ASIC’s role, having regard to:</w:t>
      </w:r>
    </w:p>
    <w:p w14:paraId="0CEFCC27" w14:textId="77777777" w:rsidR="00E93F58" w:rsidRPr="00A35C95" w:rsidRDefault="00E93F58" w:rsidP="00366AB5">
      <w:pPr>
        <w:pStyle w:val="paragraphsub"/>
        <w:tabs>
          <w:tab w:val="left" w:pos="2835"/>
        </w:tabs>
      </w:pPr>
      <w:r w:rsidRPr="00A35C95">
        <w:tab/>
        <w:t>(i)</w:t>
      </w:r>
      <w:r w:rsidRPr="00A35C95">
        <w:tab/>
        <w:t>the rationale for the listing rules of</w:t>
      </w:r>
      <w:r w:rsidRPr="00A35C95">
        <w:rPr>
          <w:color w:val="000000"/>
        </w:rPr>
        <w:t xml:space="preserve"> the market operated by ASX</w:t>
      </w:r>
      <w:r w:rsidRPr="00A35C95">
        <w:t>; and</w:t>
      </w:r>
    </w:p>
    <w:p w14:paraId="6677BC52" w14:textId="77777777" w:rsidR="00E93F58" w:rsidRPr="00A35C95" w:rsidRDefault="00E93F58" w:rsidP="00366AB5">
      <w:pPr>
        <w:pStyle w:val="paragraphsub"/>
        <w:tabs>
          <w:tab w:val="left" w:pos="2835"/>
        </w:tabs>
      </w:pPr>
      <w:r w:rsidRPr="00A35C95">
        <w:tab/>
        <w:t>(ii)</w:t>
      </w:r>
      <w:r w:rsidRPr="00A35C95">
        <w:tab/>
        <w:t>the desirability of treating the competitor consistently with other entities listed, or seeking to be listed, on</w:t>
      </w:r>
      <w:r w:rsidRPr="00A35C95">
        <w:rPr>
          <w:color w:val="000000"/>
        </w:rPr>
        <w:t xml:space="preserve"> that market; and</w:t>
      </w:r>
    </w:p>
    <w:p w14:paraId="1A8092EC" w14:textId="77777777" w:rsidR="00E93F58" w:rsidRPr="00A35C95" w:rsidRDefault="00E93F58" w:rsidP="00366AB5">
      <w:pPr>
        <w:pStyle w:val="paragraphsub"/>
        <w:tabs>
          <w:tab w:val="left" w:pos="2835"/>
        </w:tabs>
        <w:rPr>
          <w:color w:val="000000"/>
        </w:rPr>
      </w:pPr>
      <w:r w:rsidRPr="00A35C95">
        <w:rPr>
          <w:color w:val="000000"/>
        </w:rPr>
        <w:tab/>
        <w:t>(iii)</w:t>
      </w:r>
      <w:r w:rsidRPr="00A35C95">
        <w:rPr>
          <w:color w:val="000000"/>
        </w:rPr>
        <w:tab/>
        <w:t>the extent to which action taken by ASIC is severable from the wider supervision of the competitor’s compliance with the listing rules; and</w:t>
      </w:r>
    </w:p>
    <w:p w14:paraId="5191283F" w14:textId="77777777" w:rsidR="00E93F58" w:rsidRPr="00A35C95" w:rsidRDefault="00E93F58" w:rsidP="00366AB5">
      <w:pPr>
        <w:pStyle w:val="paragraphsub"/>
        <w:tabs>
          <w:tab w:val="left" w:pos="2835"/>
        </w:tabs>
        <w:rPr>
          <w:color w:val="000000"/>
        </w:rPr>
      </w:pPr>
      <w:r w:rsidRPr="00A35C95">
        <w:rPr>
          <w:color w:val="000000"/>
        </w:rPr>
        <w:tab/>
        <w:t>(iv)</w:t>
      </w:r>
      <w:r w:rsidRPr="00A35C95">
        <w:rPr>
          <w:color w:val="000000"/>
        </w:rPr>
        <w:tab/>
        <w:t>its consultations (if any) with the competitor and ASX.</w:t>
      </w:r>
    </w:p>
    <w:p w14:paraId="48C1E1C9" w14:textId="77777777" w:rsidR="00E93F58" w:rsidRPr="00A35C95" w:rsidRDefault="00E93F58" w:rsidP="00366AB5">
      <w:pPr>
        <w:pStyle w:val="subsection"/>
        <w:tabs>
          <w:tab w:val="left" w:pos="2835"/>
        </w:tabs>
      </w:pPr>
      <w:r w:rsidRPr="00A35C95">
        <w:rPr>
          <w:color w:val="000000"/>
        </w:rPr>
        <w:tab/>
        <w:t>(5)</w:t>
      </w:r>
      <w:r w:rsidRPr="00A35C95">
        <w:rPr>
          <w:color w:val="000000"/>
        </w:rPr>
        <w:tab/>
        <w:t>ASIC must, as soon as practicable, advise ASX and the competitor, in writing, of decisions under paragraphs (3)(c) and (4)(b).</w:t>
      </w:r>
    </w:p>
    <w:p w14:paraId="50FFC13F" w14:textId="77777777" w:rsidR="00E93F58" w:rsidRPr="00A35C95" w:rsidRDefault="00E93F58" w:rsidP="00366AB5">
      <w:pPr>
        <w:pStyle w:val="subsection"/>
        <w:tabs>
          <w:tab w:val="left" w:pos="2835"/>
        </w:tabs>
      </w:pPr>
      <w:r w:rsidRPr="00A35C95">
        <w:tab/>
        <w:t>(6)</w:t>
      </w:r>
      <w:r w:rsidRPr="00A35C95">
        <w:tab/>
        <w:t>If ASIC decides to make decisions and take action (or to require ASX to take action on ASIC’s behalf) as mentioned in subregulation (2):</w:t>
      </w:r>
    </w:p>
    <w:p w14:paraId="7EA576EF" w14:textId="77777777" w:rsidR="00E93F58" w:rsidRPr="00A35C95" w:rsidRDefault="00E93F58" w:rsidP="00366AB5">
      <w:pPr>
        <w:pStyle w:val="paragraph"/>
        <w:tabs>
          <w:tab w:val="left" w:pos="2835"/>
        </w:tabs>
      </w:pPr>
      <w:r w:rsidRPr="00A35C95">
        <w:tab/>
        <w:t>(a)</w:t>
      </w:r>
      <w:r w:rsidRPr="00A35C95">
        <w:tab/>
        <w:t>the decisions made and actions taken have effect despite anything in the listing rules of the market operated by ASX; and</w:t>
      </w:r>
    </w:p>
    <w:p w14:paraId="2CD0A1FE" w14:textId="77777777" w:rsidR="00E93F58" w:rsidRPr="00A35C95" w:rsidRDefault="00E93F58" w:rsidP="00366AB5">
      <w:pPr>
        <w:pStyle w:val="paragraph"/>
        <w:tabs>
          <w:tab w:val="left" w:pos="2835"/>
        </w:tabs>
      </w:pPr>
      <w:r w:rsidRPr="00A35C95">
        <w:tab/>
        <w:t>(b)</w:t>
      </w:r>
      <w:r w:rsidRPr="00A35C95">
        <w:tab/>
        <w:t>decisions made and actions taken by ASIC (or action taken by ASX on ASIC’s behalf) have effect as if they were decisions made and actions taken under the listing rules.</w:t>
      </w:r>
    </w:p>
    <w:p w14:paraId="5AE347CB" w14:textId="77777777" w:rsidR="00E93F58" w:rsidRPr="00A35C95" w:rsidRDefault="00E93F58" w:rsidP="00366AB5">
      <w:pPr>
        <w:pStyle w:val="notetext"/>
        <w:tabs>
          <w:tab w:val="left" w:pos="2835"/>
        </w:tabs>
      </w:pPr>
      <w:r w:rsidRPr="00A35C95">
        <w:rPr>
          <w:color w:val="000000"/>
        </w:rPr>
        <w:t>Note 1:</w:t>
      </w:r>
      <w:r w:rsidRPr="00A35C95">
        <w:rPr>
          <w:color w:val="000000"/>
        </w:rPr>
        <w:tab/>
        <w:t>It is expected that the listing rules of the market will support ASIC’s power to take a supervisory role in relation to compliance with some or all of the listing rules.</w:t>
      </w:r>
    </w:p>
    <w:p w14:paraId="5C460B44" w14:textId="77777777" w:rsidR="00E93F58" w:rsidRPr="00A35C95" w:rsidRDefault="00E93F58" w:rsidP="00366AB5">
      <w:pPr>
        <w:pStyle w:val="notetext"/>
        <w:tabs>
          <w:tab w:val="left" w:pos="2835"/>
        </w:tabs>
      </w:pPr>
      <w:r w:rsidRPr="00A35C95">
        <w:lastRenderedPageBreak/>
        <w:t>Note 2:</w:t>
      </w:r>
      <w:r w:rsidRPr="00A35C95">
        <w:tab/>
        <w:t xml:space="preserve">Under section 246 of the </w:t>
      </w:r>
      <w:r w:rsidRPr="00A35C95">
        <w:rPr>
          <w:i/>
        </w:rPr>
        <w:t>Australian Securities and Investments Commission Act 2001</w:t>
      </w:r>
      <w:r w:rsidRPr="00A35C95">
        <w:t>, ASIC is not liable to an action or other proceeding for damages for or in relation to an act done or omitted in good faith in performance or purported performance of any function, or in exercise or purported exercise of any power, conferred or expressed to be conferred by or under the corporations legislation.</w:t>
      </w:r>
    </w:p>
    <w:p w14:paraId="062B055A" w14:textId="77777777" w:rsidR="00E93F58" w:rsidRPr="00A35C95" w:rsidRDefault="00E93F58" w:rsidP="00366AB5">
      <w:pPr>
        <w:pStyle w:val="notetext"/>
        <w:tabs>
          <w:tab w:val="left" w:pos="2835"/>
        </w:tabs>
      </w:pPr>
      <w:r w:rsidRPr="00A35C95">
        <w:t>Note 3:</w:t>
      </w:r>
      <w:r w:rsidRPr="00A35C95">
        <w:tab/>
        <w:t>The powers available to ASIC include the power:</w:t>
      </w:r>
    </w:p>
    <w:p w14:paraId="3B78F269" w14:textId="77777777" w:rsidR="00E93F58" w:rsidRPr="00A35C95" w:rsidRDefault="00E93F58" w:rsidP="00366AB5">
      <w:pPr>
        <w:pStyle w:val="notepara"/>
        <w:tabs>
          <w:tab w:val="left" w:pos="2835"/>
        </w:tabs>
      </w:pPr>
      <w:r w:rsidRPr="00A35C95">
        <w:rPr>
          <w:color w:val="000000"/>
        </w:rPr>
        <w:t>(a)</w:t>
      </w:r>
      <w:r w:rsidRPr="00A35C95">
        <w:rPr>
          <w:color w:val="000000"/>
        </w:rPr>
        <w:tab/>
        <w:t>to grant, or not to grant, waivers of the listing rules; and</w:t>
      </w:r>
    </w:p>
    <w:p w14:paraId="29F88023" w14:textId="77777777" w:rsidR="00E93F58" w:rsidRPr="00A35C95" w:rsidRDefault="00E93F58" w:rsidP="00366AB5">
      <w:pPr>
        <w:pStyle w:val="notepara"/>
        <w:tabs>
          <w:tab w:val="left" w:pos="2835"/>
        </w:tabs>
      </w:pPr>
      <w:r w:rsidRPr="00A35C95">
        <w:t>(b)</w:t>
      </w:r>
      <w:r w:rsidRPr="00A35C95">
        <w:tab/>
        <w:t>to impose conditions on which the grant of a waiver is made.</w:t>
      </w:r>
    </w:p>
    <w:p w14:paraId="3D5877F6" w14:textId="77777777" w:rsidR="00E93F58" w:rsidRPr="00A35C95" w:rsidRDefault="00E93F58" w:rsidP="00366AB5">
      <w:pPr>
        <w:pStyle w:val="subsection"/>
        <w:tabs>
          <w:tab w:val="left" w:pos="2835"/>
        </w:tabs>
      </w:pPr>
      <w:r w:rsidRPr="00A35C95">
        <w:tab/>
        <w:t>(7)</w:t>
      </w:r>
      <w:r w:rsidRPr="00A35C95">
        <w:tab/>
        <w:t>If ASIC believes, on reasonable grounds, that:</w:t>
      </w:r>
    </w:p>
    <w:p w14:paraId="05FEE985" w14:textId="77777777" w:rsidR="00E93F58" w:rsidRPr="00A35C95" w:rsidRDefault="00E93F58" w:rsidP="00366AB5">
      <w:pPr>
        <w:pStyle w:val="paragraph"/>
        <w:tabs>
          <w:tab w:val="left" w:pos="2835"/>
        </w:tabs>
      </w:pPr>
      <w:r w:rsidRPr="00A35C95">
        <w:rPr>
          <w:color w:val="000000"/>
        </w:rPr>
        <w:tab/>
        <w:t>(a)</w:t>
      </w:r>
      <w:r w:rsidRPr="00A35C95">
        <w:rPr>
          <w:color w:val="000000"/>
        </w:rPr>
        <w:tab/>
        <w:t>the period during which decisions will be made and action will be taken in a particular case is likely to be more than 3 months; and</w:t>
      </w:r>
    </w:p>
    <w:p w14:paraId="1F513BEE" w14:textId="77777777" w:rsidR="00E93F58" w:rsidRPr="00A35C95" w:rsidRDefault="00E93F58" w:rsidP="00366AB5">
      <w:pPr>
        <w:pStyle w:val="paragraph"/>
        <w:tabs>
          <w:tab w:val="left" w:pos="2835"/>
        </w:tabs>
      </w:pPr>
      <w:r w:rsidRPr="00A35C95">
        <w:tab/>
        <w:t>(b)</w:t>
      </w:r>
      <w:r w:rsidRPr="00A35C95">
        <w:tab/>
        <w:t>the decisions and actions likely to be required are not adequately reflected in the listing rules of the market operated by ASX;</w:t>
      </w:r>
    </w:p>
    <w:p w14:paraId="0A74DE2C" w14:textId="77777777" w:rsidR="00E93F58" w:rsidRPr="00A35C95" w:rsidRDefault="00E93F58" w:rsidP="00366AB5">
      <w:pPr>
        <w:pStyle w:val="subsection2"/>
        <w:tabs>
          <w:tab w:val="left" w:pos="2835"/>
        </w:tabs>
      </w:pPr>
      <w:r w:rsidRPr="00A35C95">
        <w:rPr>
          <w:color w:val="000000"/>
        </w:rPr>
        <w:t>ASIC must notify ASX, in writing, of its belief.</w:t>
      </w:r>
    </w:p>
    <w:p w14:paraId="407C071D" w14:textId="77777777" w:rsidR="00E93F58" w:rsidRPr="00A35C95" w:rsidRDefault="00E93F58" w:rsidP="00366AB5">
      <w:pPr>
        <w:pStyle w:val="subsection"/>
        <w:tabs>
          <w:tab w:val="left" w:pos="2835"/>
        </w:tabs>
      </w:pPr>
      <w:r w:rsidRPr="00A35C95">
        <w:rPr>
          <w:color w:val="000000"/>
        </w:rPr>
        <w:tab/>
        <w:t>(8)</w:t>
      </w:r>
      <w:r w:rsidRPr="00A35C95">
        <w:rPr>
          <w:color w:val="000000"/>
        </w:rPr>
        <w:tab/>
        <w:t>ASX must, as soon as practicable after being notified under subregulation (7), amend the listing rules of the market operated by ASX to the extent necessary to meet ASIC’s concerns.</w:t>
      </w:r>
    </w:p>
    <w:p w14:paraId="7129C829" w14:textId="77777777" w:rsidR="00E93F58" w:rsidRPr="00A35C95" w:rsidRDefault="00E93F58" w:rsidP="00366AB5">
      <w:pPr>
        <w:pStyle w:val="notetext"/>
        <w:tabs>
          <w:tab w:val="left" w:pos="2835"/>
        </w:tabs>
      </w:pPr>
      <w:r w:rsidRPr="00A35C95">
        <w:rPr>
          <w:color w:val="000000"/>
        </w:rPr>
        <w:t>Note:</w:t>
      </w:r>
      <w:r w:rsidRPr="00A35C95">
        <w:rPr>
          <w:color w:val="000000"/>
        </w:rPr>
        <w:tab/>
        <w:t>Amendments of the listing rules are subject to procedural requirements, including possible disallowance, mentioned in sections 793D and 793E of the Act.</w:t>
      </w:r>
    </w:p>
    <w:p w14:paraId="6AF0CAEC" w14:textId="77777777" w:rsidR="00E93F58" w:rsidRPr="00A35C95" w:rsidRDefault="00E93F58" w:rsidP="00366AB5">
      <w:pPr>
        <w:pStyle w:val="subsection"/>
        <w:tabs>
          <w:tab w:val="left" w:pos="2835"/>
        </w:tabs>
      </w:pPr>
      <w:r w:rsidRPr="00A35C95">
        <w:rPr>
          <w:color w:val="000000"/>
        </w:rPr>
        <w:tab/>
        <w:t>(9)</w:t>
      </w:r>
      <w:r w:rsidRPr="00A35C95">
        <w:rPr>
          <w:color w:val="000000"/>
        </w:rPr>
        <w:tab/>
        <w:t>If ASIC decides that it is no longer necessary for decisions to be made and action to be taken in relation to the particular conflict or potential conflict, ASIC must notify ASX and the competitor of its decision as soon as practicable.</w:t>
      </w:r>
    </w:p>
    <w:p w14:paraId="32A5ADA8" w14:textId="77777777" w:rsidR="00E93F58" w:rsidRPr="00A35C95" w:rsidRDefault="00E93F58" w:rsidP="00366AB5">
      <w:pPr>
        <w:pStyle w:val="subsection"/>
        <w:tabs>
          <w:tab w:val="left" w:pos="2835"/>
        </w:tabs>
      </w:pPr>
      <w:r w:rsidRPr="00A35C95">
        <w:tab/>
        <w:t>(10)</w:t>
      </w:r>
      <w:r w:rsidRPr="00A35C95">
        <w:tab/>
        <w:t>ASX may repeal any listing rule or amendment made for subregulation (8) only if:</w:t>
      </w:r>
    </w:p>
    <w:p w14:paraId="1903CB7E" w14:textId="77777777" w:rsidR="00E93F58" w:rsidRPr="00A35C95" w:rsidRDefault="00E93F58" w:rsidP="00366AB5">
      <w:pPr>
        <w:pStyle w:val="paragraph"/>
        <w:tabs>
          <w:tab w:val="left" w:pos="2835"/>
        </w:tabs>
      </w:pPr>
      <w:r w:rsidRPr="00A35C95">
        <w:rPr>
          <w:color w:val="000000"/>
        </w:rPr>
        <w:tab/>
        <w:t>(a)</w:t>
      </w:r>
      <w:r w:rsidRPr="00A35C95">
        <w:rPr>
          <w:color w:val="000000"/>
        </w:rPr>
        <w:tab/>
        <w:t>the repeal or amendment is necessary or convenient to meet ASIC’s concerns more effectively; or</w:t>
      </w:r>
    </w:p>
    <w:p w14:paraId="41A262DC" w14:textId="77777777" w:rsidR="00E93F58" w:rsidRPr="00A35C95" w:rsidRDefault="00E93F58" w:rsidP="00366AB5">
      <w:pPr>
        <w:pStyle w:val="paragraph"/>
        <w:tabs>
          <w:tab w:val="left" w:pos="2835"/>
        </w:tabs>
      </w:pPr>
      <w:r w:rsidRPr="00A35C95">
        <w:tab/>
        <w:t>(b)</w:t>
      </w:r>
      <w:r w:rsidRPr="00A35C95">
        <w:tab/>
        <w:t>ASIC has notified ASX under subregulation (9).</w:t>
      </w:r>
    </w:p>
    <w:p w14:paraId="0DB773B5" w14:textId="77777777" w:rsidR="00E93F58" w:rsidRPr="00A35C95" w:rsidRDefault="00E93F58" w:rsidP="00366AB5">
      <w:pPr>
        <w:pStyle w:val="subsection"/>
        <w:tabs>
          <w:tab w:val="left" w:pos="2835"/>
        </w:tabs>
      </w:pPr>
      <w:r w:rsidRPr="00A35C95">
        <w:tab/>
        <w:t>(11)</w:t>
      </w:r>
      <w:r w:rsidRPr="00A35C95">
        <w:tab/>
        <w:t>Paragraph (10)(b) does not prevent ASIC from:</w:t>
      </w:r>
    </w:p>
    <w:p w14:paraId="51DE9BCD" w14:textId="77777777" w:rsidR="00E93F58" w:rsidRPr="00A35C95" w:rsidRDefault="00E93F58" w:rsidP="00366AB5">
      <w:pPr>
        <w:pStyle w:val="paragraph"/>
        <w:tabs>
          <w:tab w:val="left" w:pos="2835"/>
        </w:tabs>
      </w:pPr>
      <w:r w:rsidRPr="00A35C95">
        <w:rPr>
          <w:color w:val="000000"/>
        </w:rPr>
        <w:tab/>
        <w:t>(a)</w:t>
      </w:r>
      <w:r w:rsidRPr="00A35C95">
        <w:rPr>
          <w:color w:val="000000"/>
        </w:rPr>
        <w:tab/>
        <w:t>reviewing a particular conflict or potential conflict; and</w:t>
      </w:r>
    </w:p>
    <w:p w14:paraId="640BF863" w14:textId="77777777" w:rsidR="00E93F58" w:rsidRPr="00A35C95" w:rsidRDefault="00E93F58" w:rsidP="00366AB5">
      <w:pPr>
        <w:pStyle w:val="paragraph"/>
        <w:tabs>
          <w:tab w:val="left" w:pos="2835"/>
        </w:tabs>
      </w:pPr>
      <w:r w:rsidRPr="00A35C95">
        <w:tab/>
        <w:t>(b)</w:t>
      </w:r>
      <w:r w:rsidRPr="00A35C95">
        <w:tab/>
        <w:t>deciding, at any time (with or without complying with paragraph (4)(a)), that it has again become necessary for ASIC to make decisions and take action (or for ASIC to require ASX to take action on ASIC’s behalf) in relation to the conflict or potential conflict.</w:t>
      </w:r>
    </w:p>
    <w:p w14:paraId="3A44E3E7" w14:textId="77777777" w:rsidR="00E93F58" w:rsidRPr="00A35C95" w:rsidRDefault="00E93F58" w:rsidP="00366AB5">
      <w:pPr>
        <w:pStyle w:val="subsection"/>
        <w:tabs>
          <w:tab w:val="left" w:pos="2835"/>
        </w:tabs>
      </w:pPr>
      <w:r w:rsidRPr="00A35C95">
        <w:rPr>
          <w:color w:val="000000"/>
        </w:rPr>
        <w:tab/>
        <w:t>(12)</w:t>
      </w:r>
      <w:r w:rsidRPr="00A35C95">
        <w:rPr>
          <w:color w:val="000000"/>
        </w:rPr>
        <w:tab/>
        <w:t>If ASIC makes the decision mentioned in paragraph (11)(b), ASIC must notify ASX and the competitor of its decision as soon as practicable.</w:t>
      </w:r>
    </w:p>
    <w:p w14:paraId="7FE7EB02" w14:textId="77777777" w:rsidR="00E93F58" w:rsidRPr="00A35C95" w:rsidRDefault="00E93F58" w:rsidP="00366AB5">
      <w:pPr>
        <w:pStyle w:val="subsection"/>
        <w:tabs>
          <w:tab w:val="left" w:pos="2835"/>
        </w:tabs>
      </w:pPr>
      <w:r w:rsidRPr="00A35C95">
        <w:tab/>
        <w:t>(13)</w:t>
      </w:r>
      <w:r w:rsidRPr="00A35C95">
        <w:tab/>
        <w:t>For this regulation, ASX must:</w:t>
      </w:r>
    </w:p>
    <w:p w14:paraId="7F2FA09C" w14:textId="77777777" w:rsidR="00E93F58" w:rsidRPr="00A35C95" w:rsidRDefault="00E93F58" w:rsidP="00366AB5">
      <w:pPr>
        <w:pStyle w:val="paragraph"/>
        <w:tabs>
          <w:tab w:val="left" w:pos="2835"/>
        </w:tabs>
      </w:pPr>
      <w:r w:rsidRPr="00A35C95">
        <w:rPr>
          <w:color w:val="000000"/>
        </w:rPr>
        <w:tab/>
        <w:t>(a)</w:t>
      </w:r>
      <w:r w:rsidRPr="00A35C95">
        <w:rPr>
          <w:color w:val="000000"/>
        </w:rPr>
        <w:tab/>
        <w:t>give ASIC the information and documentation that ASIC reasonably needs to make decisions and take action under this regulation; and</w:t>
      </w:r>
    </w:p>
    <w:p w14:paraId="61318EA9" w14:textId="77777777" w:rsidR="00E93F58" w:rsidRPr="00A35C95" w:rsidRDefault="00E93F58" w:rsidP="00366AB5">
      <w:pPr>
        <w:pStyle w:val="paragraph"/>
        <w:tabs>
          <w:tab w:val="left" w:pos="2835"/>
        </w:tabs>
      </w:pPr>
      <w:r w:rsidRPr="00A35C95">
        <w:tab/>
        <w:t>(b)</w:t>
      </w:r>
      <w:r w:rsidRPr="00A35C95">
        <w:tab/>
        <w:t>establish administrative and procedural arrangements for that purpose.</w:t>
      </w:r>
    </w:p>
    <w:p w14:paraId="453ACB53" w14:textId="77777777" w:rsidR="00E93F58" w:rsidRPr="00A35C95" w:rsidRDefault="00E93F58" w:rsidP="00366AB5">
      <w:pPr>
        <w:pStyle w:val="subsection"/>
        <w:tabs>
          <w:tab w:val="left" w:pos="2835"/>
        </w:tabs>
      </w:pPr>
      <w:r w:rsidRPr="00A35C95">
        <w:rPr>
          <w:color w:val="000000"/>
        </w:rPr>
        <w:tab/>
        <w:t>(14)</w:t>
      </w:r>
      <w:r w:rsidRPr="00A35C95">
        <w:rPr>
          <w:color w:val="000000"/>
        </w:rPr>
        <w:tab/>
        <w:t>A competitor may notify ASIC that the competitor no longer wishes ASIC to make decisions and take action (or for ASIC to require ASX to take action on ASIC’s behalf) in relation to the conflict or potential conflict.</w:t>
      </w:r>
    </w:p>
    <w:p w14:paraId="7B971880" w14:textId="77777777" w:rsidR="00E93F58" w:rsidRPr="00A35C95" w:rsidRDefault="00E93F58" w:rsidP="00366AB5">
      <w:pPr>
        <w:pStyle w:val="subsection"/>
        <w:tabs>
          <w:tab w:val="left" w:pos="2835"/>
        </w:tabs>
      </w:pPr>
      <w:r w:rsidRPr="00A35C95">
        <w:tab/>
        <w:t>(15)</w:t>
      </w:r>
      <w:r w:rsidRPr="00A35C95">
        <w:tab/>
        <w:t>If ASIC is notified under subregulation (14), ASIC must, as soon as practicable:</w:t>
      </w:r>
    </w:p>
    <w:p w14:paraId="6E93CF2C" w14:textId="77777777" w:rsidR="00E93F58" w:rsidRPr="00A35C95" w:rsidRDefault="00E93F58" w:rsidP="00366AB5">
      <w:pPr>
        <w:pStyle w:val="paragraph"/>
        <w:tabs>
          <w:tab w:val="left" w:pos="2835"/>
        </w:tabs>
      </w:pPr>
      <w:r w:rsidRPr="00A35C95">
        <w:tab/>
        <w:t>(a)</w:t>
      </w:r>
      <w:r w:rsidRPr="00A35C95">
        <w:tab/>
        <w:t>decide whether it will cease to make the decisions and take the action (or cease to require ASX to take action on ASIC’s behalf); and</w:t>
      </w:r>
    </w:p>
    <w:p w14:paraId="377FC1BF" w14:textId="77777777" w:rsidR="00E93F58" w:rsidRPr="00A35C95" w:rsidRDefault="00E93F58" w:rsidP="00366AB5">
      <w:pPr>
        <w:pStyle w:val="paragraph"/>
        <w:tabs>
          <w:tab w:val="left" w:pos="2835"/>
        </w:tabs>
      </w:pPr>
      <w:r w:rsidRPr="00A35C95">
        <w:tab/>
        <w:t>(b)</w:t>
      </w:r>
      <w:r w:rsidRPr="00A35C95">
        <w:tab/>
        <w:t>notify ASX and the competitor of its decision.</w:t>
      </w:r>
    </w:p>
    <w:p w14:paraId="3B38927B" w14:textId="77777777" w:rsidR="00E93F58" w:rsidRPr="00A35C95" w:rsidRDefault="00E93F58" w:rsidP="00366AB5">
      <w:pPr>
        <w:pStyle w:val="subsection"/>
        <w:tabs>
          <w:tab w:val="left" w:pos="2835"/>
        </w:tabs>
      </w:pPr>
      <w:r w:rsidRPr="00A35C95">
        <w:tab/>
        <w:t>(16)</w:t>
      </w:r>
      <w:r w:rsidRPr="00A35C95">
        <w:tab/>
        <w:t>If ASIC decides to cease to make decisions and take action (or to cease to require ASX to take action on ASIC’s behalf), ASIC must cease to make decisions and take action (or must cease to require ASX to take action on ASIC’s behalf) in relation to the conflict or potential conflict.</w:t>
      </w:r>
    </w:p>
    <w:p w14:paraId="04584736" w14:textId="77777777" w:rsidR="00E93F58" w:rsidRPr="00A35C95" w:rsidRDefault="00E93F58" w:rsidP="00366AB5">
      <w:pPr>
        <w:pStyle w:val="subsection"/>
        <w:tabs>
          <w:tab w:val="left" w:pos="2835"/>
        </w:tabs>
      </w:pPr>
      <w:r w:rsidRPr="00A35C95">
        <w:tab/>
        <w:t>(17)</w:t>
      </w:r>
      <w:r w:rsidRPr="00A35C95">
        <w:tab/>
        <w:t>If ASIC decides not to cease to make decisions and take action (or not to cease to require ASX to take action on ASIC’s behalf), ASIC must continue to make decisions and take action (or must require ASX to take action on ASIC’s behalf) in relation to the conflict or potential conflict.</w:t>
      </w:r>
    </w:p>
    <w:p w14:paraId="49B0A3E1" w14:textId="77777777" w:rsidR="00E93F58" w:rsidRPr="00A35C95" w:rsidRDefault="00E93F58" w:rsidP="00366AB5">
      <w:pPr>
        <w:pStyle w:val="ActHead2"/>
        <w:pageBreakBefore/>
        <w:tabs>
          <w:tab w:val="left" w:pos="2835"/>
        </w:tabs>
      </w:pPr>
      <w:bookmarkStart w:id="596" w:name="_Toc152057872"/>
      <w:bookmarkStart w:id="597" w:name="_Toc158712095"/>
      <w:r w:rsidRPr="00844D11">
        <w:rPr>
          <w:rStyle w:val="CharPartNo"/>
        </w:rPr>
        <w:lastRenderedPageBreak/>
        <w:t>Part 7.2A</w:t>
      </w:r>
      <w:r w:rsidRPr="00A35C95">
        <w:t>—</w:t>
      </w:r>
      <w:r w:rsidRPr="00844D11">
        <w:rPr>
          <w:rStyle w:val="CharPartText"/>
        </w:rPr>
        <w:t>Supervision of financial markets</w:t>
      </w:r>
      <w:bookmarkEnd w:id="596"/>
      <w:bookmarkEnd w:id="597"/>
    </w:p>
    <w:p w14:paraId="188BD099" w14:textId="77777777" w:rsidR="00E93F58" w:rsidRPr="00A35C95" w:rsidRDefault="00E93F58" w:rsidP="00366AB5">
      <w:pPr>
        <w:pStyle w:val="ActHead3"/>
        <w:tabs>
          <w:tab w:val="left" w:pos="2835"/>
        </w:tabs>
      </w:pPr>
      <w:bookmarkStart w:id="598" w:name="_Toc152057873"/>
      <w:bookmarkStart w:id="599" w:name="_Toc158712096"/>
      <w:r w:rsidRPr="00844D11">
        <w:rPr>
          <w:rStyle w:val="CharDivNo"/>
        </w:rPr>
        <w:t>Division 7.2A.1</w:t>
      </w:r>
      <w:r w:rsidRPr="00A35C95">
        <w:t>—</w:t>
      </w:r>
      <w:r w:rsidRPr="00844D11">
        <w:rPr>
          <w:rStyle w:val="CharDivText"/>
        </w:rPr>
        <w:t>Enforceable undertakings</w:t>
      </w:r>
      <w:bookmarkEnd w:id="598"/>
      <w:bookmarkEnd w:id="599"/>
    </w:p>
    <w:p w14:paraId="46CE3999" w14:textId="77777777" w:rsidR="00E93F58" w:rsidRPr="00A35C95" w:rsidRDefault="00E93F58" w:rsidP="00366AB5">
      <w:pPr>
        <w:pStyle w:val="ActHead5"/>
        <w:tabs>
          <w:tab w:val="left" w:pos="2835"/>
        </w:tabs>
      </w:pPr>
      <w:bookmarkStart w:id="600" w:name="_Toc152057874"/>
      <w:bookmarkStart w:id="601" w:name="_Toc158712097"/>
      <w:r w:rsidRPr="00844D11">
        <w:rPr>
          <w:rStyle w:val="CharSectno"/>
        </w:rPr>
        <w:t>7.2A.01</w:t>
      </w:r>
      <w:r w:rsidRPr="00A35C95">
        <w:t xml:space="preserve">  Enforceable undertakings</w:t>
      </w:r>
      <w:bookmarkEnd w:id="600"/>
      <w:bookmarkEnd w:id="601"/>
    </w:p>
    <w:p w14:paraId="70848F60" w14:textId="77777777" w:rsidR="00E93F58" w:rsidRPr="00A35C95" w:rsidRDefault="00E93F58" w:rsidP="00366AB5">
      <w:pPr>
        <w:pStyle w:val="subsection"/>
        <w:tabs>
          <w:tab w:val="left" w:pos="2835"/>
        </w:tabs>
      </w:pPr>
      <w:r w:rsidRPr="00A35C95">
        <w:rPr>
          <w:color w:val="000000"/>
        </w:rPr>
        <w:tab/>
        <w:t>(1)</w:t>
      </w:r>
      <w:r w:rsidRPr="00A35C95">
        <w:rPr>
          <w:color w:val="000000"/>
        </w:rPr>
        <w:tab/>
        <w:t>For paragraph 798K(1)(d) of the Act, ASIC may accept a written undertaking, entered into by a person who is alleged to have contravened subsection 798H(1) of the Act, as an alternative to civil proceedings.</w:t>
      </w:r>
    </w:p>
    <w:p w14:paraId="287D4C30" w14:textId="77777777" w:rsidR="00E93F58" w:rsidRPr="00A35C95" w:rsidRDefault="00E93F58" w:rsidP="00366AB5">
      <w:pPr>
        <w:pStyle w:val="subsection"/>
        <w:tabs>
          <w:tab w:val="left" w:pos="2835"/>
        </w:tabs>
      </w:pPr>
      <w:r w:rsidRPr="00A35C95">
        <w:tab/>
        <w:t>(2)</w:t>
      </w:r>
      <w:r w:rsidRPr="00A35C95">
        <w:tab/>
        <w:t>Without limiting subregulation (1), ASIC may accept an undertaking that includes any of the following:</w:t>
      </w:r>
    </w:p>
    <w:p w14:paraId="69E0A015" w14:textId="77777777" w:rsidR="00E93F58" w:rsidRPr="00A35C95" w:rsidRDefault="00E93F58" w:rsidP="00366AB5">
      <w:pPr>
        <w:pStyle w:val="paragraph"/>
        <w:tabs>
          <w:tab w:val="left" w:pos="2835"/>
        </w:tabs>
      </w:pPr>
      <w:r w:rsidRPr="00A35C95">
        <w:rPr>
          <w:color w:val="000000"/>
        </w:rPr>
        <w:tab/>
        <w:t>(a)</w:t>
      </w:r>
      <w:r w:rsidRPr="00A35C95">
        <w:rPr>
          <w:color w:val="000000"/>
        </w:rPr>
        <w:tab/>
        <w:t>an undertaking to take specified action within a specified period;</w:t>
      </w:r>
    </w:p>
    <w:p w14:paraId="696A2CE1" w14:textId="77777777" w:rsidR="00E93F58" w:rsidRPr="00A35C95" w:rsidRDefault="00E93F58" w:rsidP="00366AB5">
      <w:pPr>
        <w:pStyle w:val="paragraph"/>
        <w:tabs>
          <w:tab w:val="left" w:pos="2835"/>
        </w:tabs>
      </w:pPr>
      <w:r w:rsidRPr="00A35C95">
        <w:tab/>
        <w:t>(b)</w:t>
      </w:r>
      <w:r w:rsidRPr="00A35C95">
        <w:tab/>
        <w:t>an undertaking to refrain from taking specified action;</w:t>
      </w:r>
    </w:p>
    <w:p w14:paraId="2948991E" w14:textId="77777777" w:rsidR="00E93F58" w:rsidRPr="00A35C95" w:rsidRDefault="00E93F58" w:rsidP="00366AB5">
      <w:pPr>
        <w:pStyle w:val="paragraph"/>
        <w:tabs>
          <w:tab w:val="left" w:pos="2835"/>
        </w:tabs>
      </w:pPr>
      <w:r w:rsidRPr="00A35C95">
        <w:rPr>
          <w:color w:val="000000"/>
        </w:rPr>
        <w:tab/>
        <w:t>(c)</w:t>
      </w:r>
      <w:r w:rsidRPr="00A35C95">
        <w:rPr>
          <w:color w:val="000000"/>
        </w:rPr>
        <w:tab/>
        <w:t>an undertaking to pay a specified amount within a specified period to the Commonwealth or to some other specified person.</w:t>
      </w:r>
    </w:p>
    <w:p w14:paraId="6126E485" w14:textId="77777777" w:rsidR="00E93F58" w:rsidRPr="00A35C95" w:rsidRDefault="00E93F58" w:rsidP="00366AB5">
      <w:pPr>
        <w:pStyle w:val="notetext"/>
        <w:tabs>
          <w:tab w:val="left" w:pos="2835"/>
        </w:tabs>
      </w:pPr>
      <w:r w:rsidRPr="00A35C95">
        <w:rPr>
          <w:color w:val="000000"/>
        </w:rPr>
        <w:t>Note:</w:t>
      </w:r>
      <w:r w:rsidRPr="00A35C95">
        <w:rPr>
          <w:color w:val="000000"/>
        </w:rPr>
        <w:tab/>
        <w:t>An undertaking may relate to an infringement notice given under Division 7.2A.2 in relation to the alleged contravention. For example, an infringement notice may require a person to enter into an undertaking; a person may enter into an undertaking to comply with an infringement notice; a person may enter into an undertaking if the person does not comply with an infringement notice or the infringement notice is withdrawn.</w:t>
      </w:r>
    </w:p>
    <w:p w14:paraId="2C19AD3E" w14:textId="77777777" w:rsidR="00E93F58" w:rsidRPr="00A35C95" w:rsidRDefault="00E93F58" w:rsidP="00366AB5">
      <w:pPr>
        <w:pStyle w:val="subsection"/>
        <w:tabs>
          <w:tab w:val="left" w:pos="2835"/>
        </w:tabs>
      </w:pPr>
      <w:r w:rsidRPr="00A35C95">
        <w:rPr>
          <w:color w:val="000000"/>
        </w:rPr>
        <w:tab/>
        <w:t>(3)</w:t>
      </w:r>
      <w:r w:rsidRPr="00A35C95">
        <w:rPr>
          <w:color w:val="000000"/>
        </w:rPr>
        <w:tab/>
        <w:t>If ASIC agrees, in writing, to the withdrawal or variation of the undertaking, the person who entered into the undertaking may withdraw or vary the undertaking.</w:t>
      </w:r>
    </w:p>
    <w:p w14:paraId="7017DEB7" w14:textId="77777777" w:rsidR="00E93F58" w:rsidRPr="00A35C95" w:rsidRDefault="00E93F58" w:rsidP="00366AB5">
      <w:pPr>
        <w:pStyle w:val="subsection"/>
        <w:tabs>
          <w:tab w:val="left" w:pos="2835"/>
        </w:tabs>
      </w:pPr>
      <w:r w:rsidRPr="00A35C95">
        <w:tab/>
        <w:t>(4)</w:t>
      </w:r>
      <w:r w:rsidRPr="00A35C95">
        <w:tab/>
        <w:t xml:space="preserve">If ASIC is satisfied that the person who entered into the undertaking has breached a term of the undertaking, ASIC may apply to </w:t>
      </w:r>
      <w:r w:rsidRPr="00A35C95">
        <w:rPr>
          <w:shd w:val="clear" w:color="auto" w:fill="FFFFFF"/>
        </w:rPr>
        <w:t>a</w:t>
      </w:r>
      <w:r w:rsidRPr="00A35C95">
        <w:t xml:space="preserve"> Court for an order under subregulation (5).</w:t>
      </w:r>
    </w:p>
    <w:p w14:paraId="5EC7FF5A" w14:textId="77777777" w:rsidR="00E93F58" w:rsidRPr="00A35C95" w:rsidRDefault="00E93F58" w:rsidP="00366AB5">
      <w:pPr>
        <w:pStyle w:val="subsection"/>
        <w:keepNext/>
        <w:keepLines/>
        <w:tabs>
          <w:tab w:val="left" w:pos="2835"/>
        </w:tabs>
      </w:pPr>
      <w:r w:rsidRPr="00A35C95">
        <w:tab/>
        <w:t>(5)</w:t>
      </w:r>
      <w:r w:rsidRPr="00A35C95">
        <w:tab/>
        <w:t>If the Court is satisfied that the person has breached a term of the undertaking, the Court may make one or more of the following orders:</w:t>
      </w:r>
    </w:p>
    <w:p w14:paraId="399BF6B0" w14:textId="77777777" w:rsidR="00E93F58" w:rsidRPr="00A35C95" w:rsidRDefault="00E93F58" w:rsidP="00366AB5">
      <w:pPr>
        <w:pStyle w:val="paragraph"/>
        <w:tabs>
          <w:tab w:val="left" w:pos="2835"/>
        </w:tabs>
      </w:pPr>
      <w:r w:rsidRPr="00A35C95">
        <w:rPr>
          <w:color w:val="000000"/>
        </w:rPr>
        <w:tab/>
        <w:t>(a)</w:t>
      </w:r>
      <w:r w:rsidRPr="00A35C95">
        <w:rPr>
          <w:color w:val="000000"/>
        </w:rPr>
        <w:tab/>
        <w:t>an order directing the person to comply with the term of the undertaking;</w:t>
      </w:r>
    </w:p>
    <w:p w14:paraId="2F53935B" w14:textId="77777777" w:rsidR="00E93F58" w:rsidRPr="00A35C95" w:rsidRDefault="00E93F58" w:rsidP="00366AB5">
      <w:pPr>
        <w:pStyle w:val="paragraph"/>
        <w:tabs>
          <w:tab w:val="left" w:pos="2835"/>
        </w:tabs>
      </w:pPr>
      <w:r w:rsidRPr="00A35C95">
        <w:tab/>
        <w:t>(b)</w:t>
      </w:r>
      <w:r w:rsidRPr="00A35C95">
        <w:tab/>
        <w:t>an order directing the person to pay to the Commonwealth an amount not exceeding the amount of any financial benefit that the person has obtained directly or indirectly and that is reasonably attributable to the breach;</w:t>
      </w:r>
    </w:p>
    <w:p w14:paraId="3448E699" w14:textId="77777777" w:rsidR="00E93F58" w:rsidRPr="00A35C95" w:rsidRDefault="00E93F58" w:rsidP="00366AB5">
      <w:pPr>
        <w:pStyle w:val="paragraph"/>
        <w:tabs>
          <w:tab w:val="left" w:pos="2835"/>
        </w:tabs>
      </w:pPr>
      <w:r w:rsidRPr="00A35C95">
        <w:tab/>
        <w:t>(c)</w:t>
      </w:r>
      <w:r w:rsidRPr="00A35C95">
        <w:tab/>
        <w:t>an order directing the person to compensate another person who has suffered loss or damage as a result of the breach;</w:t>
      </w:r>
    </w:p>
    <w:p w14:paraId="6BC33B92" w14:textId="77777777" w:rsidR="00E93F58" w:rsidRPr="00A35C95" w:rsidRDefault="00E93F58" w:rsidP="00366AB5">
      <w:pPr>
        <w:pStyle w:val="paragraph"/>
        <w:tabs>
          <w:tab w:val="left" w:pos="2835"/>
        </w:tabs>
      </w:pPr>
      <w:r w:rsidRPr="00A35C95">
        <w:tab/>
        <w:t>(d)</w:t>
      </w:r>
      <w:r w:rsidRPr="00A35C95">
        <w:tab/>
        <w:t>any other order that the Court considers appropriate.</w:t>
      </w:r>
    </w:p>
    <w:p w14:paraId="3BD12E86" w14:textId="77777777" w:rsidR="00E93F58" w:rsidRPr="00A35C95" w:rsidRDefault="00E93F58" w:rsidP="00366AB5">
      <w:pPr>
        <w:pStyle w:val="subsection"/>
        <w:tabs>
          <w:tab w:val="left" w:pos="2835"/>
        </w:tabs>
      </w:pPr>
      <w:r w:rsidRPr="00A35C95">
        <w:rPr>
          <w:color w:val="000000"/>
        </w:rPr>
        <w:tab/>
        <w:t>(6)</w:t>
      </w:r>
      <w:r w:rsidRPr="00A35C95">
        <w:rPr>
          <w:color w:val="000000"/>
        </w:rPr>
        <w:tab/>
        <w:t>This regulation does not affect the liability of a person to civil proceedings if ASIC does not accept an undertaking in relation to the alleged contravention of subsection 798H(1) of the Act.</w:t>
      </w:r>
    </w:p>
    <w:p w14:paraId="62F2A677" w14:textId="77777777" w:rsidR="00E93F58" w:rsidRPr="00A35C95" w:rsidRDefault="00E93F58" w:rsidP="00366AB5">
      <w:pPr>
        <w:pStyle w:val="ActHead3"/>
        <w:pageBreakBefore/>
        <w:tabs>
          <w:tab w:val="left" w:pos="2835"/>
        </w:tabs>
      </w:pPr>
      <w:bookmarkStart w:id="602" w:name="_Toc152057875"/>
      <w:bookmarkStart w:id="603" w:name="_Toc158712098"/>
      <w:r w:rsidRPr="00844D11">
        <w:rPr>
          <w:rStyle w:val="CharDivNo"/>
        </w:rPr>
        <w:lastRenderedPageBreak/>
        <w:t>Division 7.2A.2</w:t>
      </w:r>
      <w:r w:rsidRPr="00A35C95">
        <w:t>—</w:t>
      </w:r>
      <w:r w:rsidRPr="00844D11">
        <w:rPr>
          <w:rStyle w:val="CharDivText"/>
        </w:rPr>
        <w:t>Infringement notices</w:t>
      </w:r>
      <w:bookmarkEnd w:id="602"/>
      <w:bookmarkEnd w:id="603"/>
    </w:p>
    <w:p w14:paraId="11E910A1" w14:textId="77777777" w:rsidR="00E93F58" w:rsidRPr="00A35C95" w:rsidRDefault="00E93F58" w:rsidP="00366AB5">
      <w:pPr>
        <w:pStyle w:val="ActHead5"/>
        <w:tabs>
          <w:tab w:val="left" w:pos="2835"/>
        </w:tabs>
      </w:pPr>
      <w:bookmarkStart w:id="604" w:name="_Toc152057876"/>
      <w:bookmarkStart w:id="605" w:name="_Toc158712099"/>
      <w:r w:rsidRPr="00844D11">
        <w:rPr>
          <w:rStyle w:val="CharSectno"/>
        </w:rPr>
        <w:t>7.2A.02</w:t>
      </w:r>
      <w:r w:rsidRPr="00A35C95">
        <w:t xml:space="preserve">  Purpose of Division</w:t>
      </w:r>
      <w:bookmarkEnd w:id="604"/>
      <w:bookmarkEnd w:id="605"/>
    </w:p>
    <w:p w14:paraId="352FAB75" w14:textId="77777777" w:rsidR="00E93F58" w:rsidRPr="00A35C95" w:rsidRDefault="00E93F58" w:rsidP="00366AB5">
      <w:pPr>
        <w:pStyle w:val="subsection"/>
        <w:tabs>
          <w:tab w:val="left" w:pos="2835"/>
        </w:tabs>
      </w:pPr>
      <w:r w:rsidRPr="00A35C95">
        <w:tab/>
        <w:t>(1)</w:t>
      </w:r>
      <w:r w:rsidRPr="00A35C95">
        <w:tab/>
        <w:t>For subsection 798K(1) of the Act, the purpose of this Division is to set out a scheme under which a person who is alleged to have contravened subsection 798H(1) of the Act may do one or more of the following as an alternative to civil proceedings:</w:t>
      </w:r>
    </w:p>
    <w:p w14:paraId="00D17F79" w14:textId="77777777" w:rsidR="00E93F58" w:rsidRPr="00A35C95" w:rsidRDefault="00E93F58" w:rsidP="00366AB5">
      <w:pPr>
        <w:pStyle w:val="paragraph"/>
        <w:tabs>
          <w:tab w:val="left" w:pos="2835"/>
        </w:tabs>
      </w:pPr>
      <w:r w:rsidRPr="00A35C95">
        <w:rPr>
          <w:color w:val="000000"/>
        </w:rPr>
        <w:tab/>
        <w:t>(a)</w:t>
      </w:r>
      <w:r w:rsidRPr="00A35C95">
        <w:rPr>
          <w:color w:val="000000"/>
        </w:rPr>
        <w:tab/>
        <w:t>pay a penalty to the Commonwealth;</w:t>
      </w:r>
    </w:p>
    <w:p w14:paraId="001401E1" w14:textId="77777777" w:rsidR="00E93F58" w:rsidRPr="00A35C95" w:rsidRDefault="00E93F58" w:rsidP="00366AB5">
      <w:pPr>
        <w:pStyle w:val="paragraph"/>
        <w:tabs>
          <w:tab w:val="left" w:pos="2835"/>
        </w:tabs>
      </w:pPr>
      <w:r w:rsidRPr="00A35C95">
        <w:tab/>
        <w:t>(b)</w:t>
      </w:r>
      <w:r w:rsidRPr="00A35C95">
        <w:tab/>
        <w:t>undertake or institute remedial measures (including education programs);</w:t>
      </w:r>
    </w:p>
    <w:p w14:paraId="1A98BBB4" w14:textId="77777777" w:rsidR="00E93F58" w:rsidRPr="00A35C95" w:rsidRDefault="00E93F58" w:rsidP="00366AB5">
      <w:pPr>
        <w:pStyle w:val="paragraph"/>
        <w:tabs>
          <w:tab w:val="left" w:pos="2835"/>
        </w:tabs>
      </w:pPr>
      <w:r w:rsidRPr="00A35C95">
        <w:tab/>
        <w:t>(c)</w:t>
      </w:r>
      <w:r w:rsidRPr="00A35C95">
        <w:tab/>
        <w:t>accept sanctions other than the payment of a penalty to the Commonwealth (including public censure, suspension for no more than six months from performing certain financial services in relation to a licensed market, or disgorgement of profits);</w:t>
      </w:r>
    </w:p>
    <w:p w14:paraId="7065B8BF" w14:textId="77777777" w:rsidR="00E93F58" w:rsidRPr="00A35C95" w:rsidRDefault="00E93F58" w:rsidP="00366AB5">
      <w:pPr>
        <w:pStyle w:val="paragraph"/>
        <w:tabs>
          <w:tab w:val="left" w:pos="2835"/>
        </w:tabs>
      </w:pPr>
      <w:r w:rsidRPr="00A35C95">
        <w:tab/>
        <w:t>(d)</w:t>
      </w:r>
      <w:r w:rsidRPr="00A35C95">
        <w:tab/>
        <w:t>enter into an undertaking under regulation 7.2A.01, including an undertaking to do an action mentioned in paragraph (a), (b) or (c).</w:t>
      </w:r>
    </w:p>
    <w:p w14:paraId="096D6E9F" w14:textId="77777777" w:rsidR="00E93F58" w:rsidRPr="00A35C95" w:rsidRDefault="00E93F58" w:rsidP="00366AB5">
      <w:pPr>
        <w:pStyle w:val="subsection"/>
        <w:tabs>
          <w:tab w:val="left" w:pos="2835"/>
        </w:tabs>
      </w:pPr>
      <w:r w:rsidRPr="00A35C95">
        <w:rPr>
          <w:color w:val="000000"/>
        </w:rPr>
        <w:tab/>
        <w:t>(2)</w:t>
      </w:r>
      <w:r w:rsidRPr="00A35C95">
        <w:rPr>
          <w:color w:val="000000"/>
        </w:rPr>
        <w:tab/>
        <w:t>This Division does not require ASIC to give an infringement notice to a person in relation to the alleged contravention of subsection 798H(1) of the Act.</w:t>
      </w:r>
    </w:p>
    <w:p w14:paraId="46397525" w14:textId="77777777" w:rsidR="00E93F58" w:rsidRPr="00A35C95" w:rsidRDefault="00E93F58" w:rsidP="00366AB5">
      <w:pPr>
        <w:pStyle w:val="subsection"/>
        <w:tabs>
          <w:tab w:val="left" w:pos="2835"/>
        </w:tabs>
      </w:pPr>
      <w:r w:rsidRPr="00A35C95">
        <w:tab/>
        <w:t>(3)</w:t>
      </w:r>
      <w:r w:rsidRPr="00A35C95">
        <w:tab/>
        <w:t>This Division does not affect the liability of a person to civil proceedings if ASIC does not give an infringement notice to the person in relation to the alleged contravention of subsection 798H(1) of the Act.</w:t>
      </w:r>
    </w:p>
    <w:p w14:paraId="254FECCD" w14:textId="77777777" w:rsidR="00E93F58" w:rsidRPr="00A35C95" w:rsidRDefault="00E93F58" w:rsidP="00366AB5">
      <w:pPr>
        <w:pStyle w:val="subsection"/>
        <w:tabs>
          <w:tab w:val="left" w:pos="2835"/>
        </w:tabs>
      </w:pPr>
      <w:r w:rsidRPr="00A35C95">
        <w:tab/>
        <w:t>(4)</w:t>
      </w:r>
      <w:r w:rsidRPr="00A35C95">
        <w:tab/>
        <w:t>This Division does not affect the liability of a person to civil proceedings if:</w:t>
      </w:r>
    </w:p>
    <w:p w14:paraId="063C3E95" w14:textId="77777777" w:rsidR="00E93F58" w:rsidRPr="00A35C95" w:rsidRDefault="00E93F58" w:rsidP="00366AB5">
      <w:pPr>
        <w:pStyle w:val="paragraph"/>
        <w:tabs>
          <w:tab w:val="left" w:pos="2835"/>
        </w:tabs>
      </w:pPr>
      <w:r w:rsidRPr="00A35C95">
        <w:rPr>
          <w:color w:val="000000"/>
        </w:rPr>
        <w:tab/>
        <w:t>(a)</w:t>
      </w:r>
      <w:r w:rsidRPr="00A35C95">
        <w:rPr>
          <w:color w:val="000000"/>
        </w:rPr>
        <w:tab/>
        <w:t>ASIC gives an infringement notice to the person in relation to the alleged contravention of subsection 798H(1) of the Act; and</w:t>
      </w:r>
    </w:p>
    <w:p w14:paraId="50397FE4" w14:textId="77777777" w:rsidR="00E93F58" w:rsidRPr="00A35C95" w:rsidRDefault="00E93F58" w:rsidP="00366AB5">
      <w:pPr>
        <w:pStyle w:val="paragraph"/>
        <w:keepNext/>
        <w:keepLines/>
        <w:tabs>
          <w:tab w:val="left" w:pos="2835"/>
        </w:tabs>
      </w:pPr>
      <w:r w:rsidRPr="00A35C95">
        <w:tab/>
        <w:t>(b)</w:t>
      </w:r>
      <w:r w:rsidRPr="00A35C95">
        <w:tab/>
        <w:t>either:</w:t>
      </w:r>
    </w:p>
    <w:p w14:paraId="48EC3CA6" w14:textId="77777777" w:rsidR="00E93F58" w:rsidRPr="00A35C95" w:rsidRDefault="00E93F58" w:rsidP="00366AB5">
      <w:pPr>
        <w:pStyle w:val="paragraphsub"/>
        <w:keepNext/>
        <w:keepLines/>
        <w:tabs>
          <w:tab w:val="left" w:pos="2835"/>
        </w:tabs>
      </w:pPr>
      <w:r w:rsidRPr="00A35C95">
        <w:rPr>
          <w:color w:val="000000"/>
        </w:rPr>
        <w:tab/>
        <w:t>(i)</w:t>
      </w:r>
      <w:r w:rsidRPr="00A35C95">
        <w:rPr>
          <w:color w:val="000000"/>
        </w:rPr>
        <w:tab/>
        <w:t>the notice is withdrawn; or</w:t>
      </w:r>
    </w:p>
    <w:p w14:paraId="29DF7895" w14:textId="77777777" w:rsidR="00E93F58" w:rsidRPr="00A35C95" w:rsidRDefault="00E93F58" w:rsidP="00366AB5">
      <w:pPr>
        <w:pStyle w:val="paragraphsub"/>
        <w:tabs>
          <w:tab w:val="left" w:pos="2835"/>
        </w:tabs>
      </w:pPr>
      <w:r w:rsidRPr="00A35C95">
        <w:tab/>
        <w:t>(ii)</w:t>
      </w:r>
      <w:r w:rsidRPr="00A35C95">
        <w:tab/>
        <w:t>the person does not comply with the notice in accordance with regulation 7.2A.08.</w:t>
      </w:r>
    </w:p>
    <w:p w14:paraId="7D21C285" w14:textId="77777777" w:rsidR="00E93F58" w:rsidRPr="00A35C95" w:rsidRDefault="00E93F58" w:rsidP="00366AB5">
      <w:pPr>
        <w:pStyle w:val="subsection"/>
        <w:tabs>
          <w:tab w:val="left" w:pos="2835"/>
        </w:tabs>
      </w:pPr>
      <w:r w:rsidRPr="00A35C95">
        <w:rPr>
          <w:color w:val="000000"/>
        </w:rPr>
        <w:tab/>
        <w:t>(5)</w:t>
      </w:r>
      <w:r w:rsidRPr="00A35C95">
        <w:rPr>
          <w:color w:val="000000"/>
        </w:rPr>
        <w:tab/>
        <w:t xml:space="preserve">This Division does not limit or otherwise affect the penalty that a </w:t>
      </w:r>
      <w:r w:rsidRPr="00A35C95">
        <w:rPr>
          <w:color w:val="000000"/>
          <w:shd w:val="clear" w:color="auto" w:fill="FFFFFF"/>
        </w:rPr>
        <w:t>C</w:t>
      </w:r>
      <w:r w:rsidRPr="00A35C95">
        <w:rPr>
          <w:color w:val="000000"/>
        </w:rPr>
        <w:t>ourt could impose on the person for a contravention of subsection 798H(1) of the Act.</w:t>
      </w:r>
    </w:p>
    <w:p w14:paraId="133052B8" w14:textId="77777777" w:rsidR="00E93F58" w:rsidRPr="00A35C95" w:rsidRDefault="00E93F58" w:rsidP="00366AB5">
      <w:pPr>
        <w:pStyle w:val="ActHead5"/>
        <w:tabs>
          <w:tab w:val="left" w:pos="2835"/>
        </w:tabs>
      </w:pPr>
      <w:bookmarkStart w:id="606" w:name="_Toc152057877"/>
      <w:bookmarkStart w:id="607" w:name="_Toc158712100"/>
      <w:r w:rsidRPr="00844D11">
        <w:rPr>
          <w:rStyle w:val="CharSectno"/>
        </w:rPr>
        <w:t>7.2A.03</w:t>
      </w:r>
      <w:r w:rsidRPr="00A35C95">
        <w:t xml:space="preserve">  Definitions for Division 7.2A.2</w:t>
      </w:r>
      <w:bookmarkEnd w:id="606"/>
      <w:bookmarkEnd w:id="607"/>
    </w:p>
    <w:p w14:paraId="3FE20D9F" w14:textId="77777777" w:rsidR="00E93F58" w:rsidRPr="00A35C95" w:rsidRDefault="00E93F58" w:rsidP="00366AB5">
      <w:pPr>
        <w:pStyle w:val="subsection"/>
        <w:tabs>
          <w:tab w:val="left" w:pos="2835"/>
        </w:tabs>
      </w:pPr>
      <w:r w:rsidRPr="00A35C95">
        <w:tab/>
      </w:r>
      <w:r w:rsidRPr="00A35C95">
        <w:tab/>
        <w:t>In this Division:</w:t>
      </w:r>
    </w:p>
    <w:p w14:paraId="5E31701D" w14:textId="77777777" w:rsidR="00E93F58" w:rsidRPr="00A35C95" w:rsidRDefault="00E93F58" w:rsidP="00366AB5">
      <w:pPr>
        <w:pStyle w:val="Definition"/>
        <w:tabs>
          <w:tab w:val="left" w:pos="2835"/>
        </w:tabs>
      </w:pPr>
      <w:r w:rsidRPr="00A35C95">
        <w:rPr>
          <w:b/>
          <w:i/>
          <w:color w:val="000000"/>
        </w:rPr>
        <w:t>compliance period</w:t>
      </w:r>
      <w:r w:rsidRPr="00A35C95">
        <w:rPr>
          <w:color w:val="000000"/>
        </w:rPr>
        <w:t xml:space="preserve"> has the meaning given by subregulation 7.2A.08(2).</w:t>
      </w:r>
    </w:p>
    <w:p w14:paraId="29A70332" w14:textId="77777777" w:rsidR="00E93F58" w:rsidRPr="00A35C95" w:rsidRDefault="00E93F58" w:rsidP="00366AB5">
      <w:pPr>
        <w:pStyle w:val="Definition"/>
        <w:tabs>
          <w:tab w:val="left" w:pos="2835"/>
        </w:tabs>
      </w:pPr>
      <w:r w:rsidRPr="00A35C95">
        <w:rPr>
          <w:b/>
          <w:i/>
        </w:rPr>
        <w:t>infringement notice</w:t>
      </w:r>
      <w:r w:rsidRPr="00A35C95">
        <w:t xml:space="preserve"> means an infringement notice given under regulation 7.2A.04.</w:t>
      </w:r>
    </w:p>
    <w:p w14:paraId="073255E8" w14:textId="77777777" w:rsidR="00E93F58" w:rsidRPr="00A35C95" w:rsidRDefault="00E93F58" w:rsidP="00366AB5">
      <w:pPr>
        <w:pStyle w:val="Definition"/>
        <w:tabs>
          <w:tab w:val="left" w:pos="2835"/>
        </w:tabs>
      </w:pPr>
      <w:r w:rsidRPr="00A35C95">
        <w:rPr>
          <w:b/>
          <w:i/>
        </w:rPr>
        <w:t>recipient</w:t>
      </w:r>
      <w:r w:rsidRPr="00A35C95">
        <w:t>, in relation to an infringement notice, means the person to whom ASIC gives the infringement notice or intends to give the infringement notice under regulation 7.2A.04.</w:t>
      </w:r>
    </w:p>
    <w:p w14:paraId="3116565C" w14:textId="77777777" w:rsidR="00E93F58" w:rsidRPr="00A35C95" w:rsidRDefault="00E93F58" w:rsidP="00366AB5">
      <w:pPr>
        <w:pStyle w:val="ActHead5"/>
        <w:tabs>
          <w:tab w:val="left" w:pos="2835"/>
        </w:tabs>
      </w:pPr>
      <w:bookmarkStart w:id="608" w:name="_Toc152057878"/>
      <w:bookmarkStart w:id="609" w:name="_Toc158712101"/>
      <w:r w:rsidRPr="00844D11">
        <w:rPr>
          <w:rStyle w:val="CharSectno"/>
        </w:rPr>
        <w:t>7.2A.04</w:t>
      </w:r>
      <w:r w:rsidRPr="00A35C95">
        <w:t xml:space="preserve">  When infringement notice can be given</w:t>
      </w:r>
      <w:bookmarkEnd w:id="608"/>
      <w:bookmarkEnd w:id="609"/>
    </w:p>
    <w:p w14:paraId="40FBE049" w14:textId="77777777" w:rsidR="00E93F58" w:rsidRPr="00A35C95" w:rsidRDefault="00E93F58" w:rsidP="00366AB5">
      <w:pPr>
        <w:pStyle w:val="subsection"/>
        <w:tabs>
          <w:tab w:val="left" w:pos="2835"/>
        </w:tabs>
      </w:pPr>
      <w:r w:rsidRPr="00A35C95">
        <w:tab/>
        <w:t>(1)</w:t>
      </w:r>
      <w:r w:rsidRPr="00A35C95">
        <w:tab/>
        <w:t>If ASIC has reasonable grounds to believe that a person has contravened subsection 798H(1) of the Act, ASIC may give to the person an infringement notice in relation to the alleged contravention.</w:t>
      </w:r>
    </w:p>
    <w:p w14:paraId="19D83AB2" w14:textId="77777777" w:rsidR="00E93F58" w:rsidRPr="00A35C95" w:rsidRDefault="00E93F58" w:rsidP="00366AB5">
      <w:pPr>
        <w:pStyle w:val="subsection"/>
        <w:tabs>
          <w:tab w:val="left" w:pos="2835"/>
        </w:tabs>
      </w:pPr>
      <w:r w:rsidRPr="00A35C95">
        <w:rPr>
          <w:color w:val="000000"/>
        </w:rPr>
        <w:tab/>
        <w:t>(2)</w:t>
      </w:r>
      <w:r w:rsidRPr="00A35C95">
        <w:rPr>
          <w:color w:val="000000"/>
        </w:rPr>
        <w:tab/>
        <w:t>ASIC may give a person an infringement notice that is in relation to more than one alleged contravention of subsection 798H(1) of the Act.</w:t>
      </w:r>
    </w:p>
    <w:p w14:paraId="175080E7" w14:textId="77777777" w:rsidR="00E93F58" w:rsidRPr="00A35C95" w:rsidRDefault="00E93F58" w:rsidP="00366AB5">
      <w:pPr>
        <w:pStyle w:val="subsection"/>
        <w:tabs>
          <w:tab w:val="left" w:pos="2835"/>
        </w:tabs>
      </w:pPr>
      <w:r w:rsidRPr="00A35C95">
        <w:tab/>
        <w:t>(3)</w:t>
      </w:r>
      <w:r w:rsidRPr="00A35C95">
        <w:tab/>
        <w:t xml:space="preserve">If ASIC withdraws an infringement notice given to a </w:t>
      </w:r>
      <w:r w:rsidRPr="00A35C95">
        <w:rPr>
          <w:shd w:val="clear" w:color="auto" w:fill="FFFFFF"/>
        </w:rPr>
        <w:t>person</w:t>
      </w:r>
      <w:r w:rsidRPr="00A35C95">
        <w:t xml:space="preserve"> in relation to the alleged contravention of subsection 798H(1) of the Act, ASIC may give the </w:t>
      </w:r>
      <w:r w:rsidRPr="00A35C95">
        <w:rPr>
          <w:shd w:val="clear" w:color="auto" w:fill="FFFFFF"/>
        </w:rPr>
        <w:t>person</w:t>
      </w:r>
      <w:r w:rsidRPr="00A35C95">
        <w:t xml:space="preserve"> a new infringement notice in relation to the alleged contravention.</w:t>
      </w:r>
    </w:p>
    <w:p w14:paraId="066DE747" w14:textId="77777777" w:rsidR="00E93F58" w:rsidRPr="00A35C95" w:rsidRDefault="00E93F58" w:rsidP="00366AB5">
      <w:pPr>
        <w:pStyle w:val="notetext"/>
        <w:keepNext/>
        <w:keepLines/>
        <w:tabs>
          <w:tab w:val="left" w:pos="2835"/>
        </w:tabs>
      </w:pPr>
      <w:r w:rsidRPr="00A35C95">
        <w:t>Example for subregulation (3):</w:t>
      </w:r>
      <w:r w:rsidRPr="00A35C95">
        <w:tab/>
        <w:t>An infringement notice given to a person in relation to an alleged contravention of subsection 798H(1) of the Act may be withdrawn, and a new infringement notice given to the person in relation to that alleged contravention, if the original infringement notice contained an error.</w:t>
      </w:r>
    </w:p>
    <w:p w14:paraId="414E3B9A" w14:textId="77777777" w:rsidR="00E93F58" w:rsidRPr="00A35C95" w:rsidRDefault="00E93F58" w:rsidP="00366AB5">
      <w:pPr>
        <w:pStyle w:val="ActHead5"/>
        <w:tabs>
          <w:tab w:val="left" w:pos="2835"/>
        </w:tabs>
      </w:pPr>
      <w:bookmarkStart w:id="610" w:name="_Toc152057879"/>
      <w:bookmarkStart w:id="611" w:name="_Toc158712102"/>
      <w:r w:rsidRPr="00844D11">
        <w:rPr>
          <w:rStyle w:val="CharSectno"/>
        </w:rPr>
        <w:t>7.2A.05</w:t>
      </w:r>
      <w:r w:rsidRPr="00A35C95">
        <w:t xml:space="preserve">  Statement of reasons must be given</w:t>
      </w:r>
      <w:bookmarkEnd w:id="610"/>
      <w:bookmarkEnd w:id="611"/>
    </w:p>
    <w:p w14:paraId="71514E3F" w14:textId="77777777" w:rsidR="00E93F58" w:rsidRPr="00A35C95" w:rsidRDefault="00E93F58" w:rsidP="00366AB5">
      <w:pPr>
        <w:pStyle w:val="subsection"/>
        <w:tabs>
          <w:tab w:val="left" w:pos="2835"/>
        </w:tabs>
      </w:pPr>
      <w:r w:rsidRPr="00A35C95">
        <w:tab/>
        <w:t>(1)</w:t>
      </w:r>
      <w:r w:rsidRPr="00A35C95">
        <w:tab/>
        <w:t>Before giving a recipient an infringement notice, ASIC must:</w:t>
      </w:r>
    </w:p>
    <w:p w14:paraId="5733B5C8" w14:textId="77777777" w:rsidR="00E93F58" w:rsidRPr="00A35C95" w:rsidRDefault="00E93F58" w:rsidP="00366AB5">
      <w:pPr>
        <w:pStyle w:val="paragraph"/>
        <w:tabs>
          <w:tab w:val="left" w:pos="2835"/>
        </w:tabs>
      </w:pPr>
      <w:r w:rsidRPr="00A35C95">
        <w:rPr>
          <w:color w:val="000000"/>
        </w:rPr>
        <w:tab/>
        <w:t>(a)</w:t>
      </w:r>
      <w:r w:rsidRPr="00A35C95">
        <w:rPr>
          <w:color w:val="000000"/>
        </w:rPr>
        <w:tab/>
        <w:t>give the recipient a written statement that sets out ASIC’s reasons for believing that the recipient has contravened subsection 798H(1) of the Act; and</w:t>
      </w:r>
    </w:p>
    <w:p w14:paraId="75D18CE6" w14:textId="77777777" w:rsidR="00E93F58" w:rsidRPr="00A35C95" w:rsidRDefault="00E93F58" w:rsidP="00366AB5">
      <w:pPr>
        <w:pStyle w:val="paragraph"/>
        <w:tabs>
          <w:tab w:val="left" w:pos="2835"/>
        </w:tabs>
      </w:pPr>
      <w:r w:rsidRPr="00A35C95">
        <w:lastRenderedPageBreak/>
        <w:tab/>
        <w:t>(b)</w:t>
      </w:r>
      <w:r w:rsidRPr="00A35C95">
        <w:tab/>
        <w:t>give the recipient, or a representative of the recipient, an opportunity to:</w:t>
      </w:r>
    </w:p>
    <w:p w14:paraId="03174C31" w14:textId="77777777" w:rsidR="00E93F58" w:rsidRPr="00A35C95" w:rsidRDefault="00E93F58" w:rsidP="00366AB5">
      <w:pPr>
        <w:pStyle w:val="paragraphsub"/>
        <w:tabs>
          <w:tab w:val="left" w:pos="2835"/>
        </w:tabs>
      </w:pPr>
      <w:r w:rsidRPr="00A35C95">
        <w:rPr>
          <w:color w:val="000000"/>
        </w:rPr>
        <w:tab/>
        <w:t>(i)</w:t>
      </w:r>
      <w:r w:rsidRPr="00A35C95">
        <w:rPr>
          <w:color w:val="000000"/>
        </w:rPr>
        <w:tab/>
        <w:t>appear at a private hearing before ASIC; and</w:t>
      </w:r>
    </w:p>
    <w:p w14:paraId="2FD2B85D" w14:textId="77777777" w:rsidR="00E93F58" w:rsidRPr="00A35C95" w:rsidRDefault="00E93F58" w:rsidP="00366AB5">
      <w:pPr>
        <w:pStyle w:val="paragraphsub"/>
        <w:tabs>
          <w:tab w:val="left" w:pos="2835"/>
        </w:tabs>
      </w:pPr>
      <w:r w:rsidRPr="00A35C95">
        <w:tab/>
        <w:t>(ii)</w:t>
      </w:r>
      <w:r w:rsidRPr="00A35C95">
        <w:tab/>
        <w:t>give evidence to ASIC; and</w:t>
      </w:r>
    </w:p>
    <w:p w14:paraId="41F782FB" w14:textId="77777777" w:rsidR="00E93F58" w:rsidRPr="00A35C95" w:rsidRDefault="00E93F58" w:rsidP="00366AB5">
      <w:pPr>
        <w:pStyle w:val="paragraphsub"/>
        <w:tabs>
          <w:tab w:val="left" w:pos="2835"/>
        </w:tabs>
      </w:pPr>
      <w:r w:rsidRPr="00A35C95">
        <w:tab/>
        <w:t>(iii)</w:t>
      </w:r>
      <w:r w:rsidRPr="00A35C95">
        <w:tab/>
        <w:t>make submissions to ASIC;</w:t>
      </w:r>
    </w:p>
    <w:p w14:paraId="4F68B4B2" w14:textId="77777777" w:rsidR="00E93F58" w:rsidRPr="00A35C95" w:rsidRDefault="00E93F58" w:rsidP="00366AB5">
      <w:pPr>
        <w:pStyle w:val="paragraph"/>
        <w:tabs>
          <w:tab w:val="left" w:pos="2835"/>
        </w:tabs>
      </w:pPr>
      <w:r w:rsidRPr="00A35C95">
        <w:rPr>
          <w:color w:val="000000"/>
        </w:rPr>
        <w:tab/>
      </w:r>
      <w:r w:rsidRPr="00A35C95">
        <w:rPr>
          <w:color w:val="000000"/>
        </w:rPr>
        <w:tab/>
        <w:t>in relation to the alleged contravention of subsection 798H(1) of the Act.</w:t>
      </w:r>
    </w:p>
    <w:p w14:paraId="7EE8DE83" w14:textId="77777777" w:rsidR="00E93F58" w:rsidRPr="00A35C95" w:rsidRDefault="00E93F58" w:rsidP="00366AB5">
      <w:pPr>
        <w:pStyle w:val="subsection"/>
        <w:tabs>
          <w:tab w:val="left" w:pos="2835"/>
        </w:tabs>
      </w:pPr>
      <w:r w:rsidRPr="00A35C95">
        <w:rPr>
          <w:color w:val="000000"/>
        </w:rPr>
        <w:tab/>
        <w:t>(2)</w:t>
      </w:r>
      <w:r w:rsidRPr="00A35C95">
        <w:rPr>
          <w:color w:val="000000"/>
        </w:rPr>
        <w:tab/>
        <w:t>If a recipient, or a representative of a recipient, gives ASIC evidence or information under paragraph (1)(b) in relation to the alleged contravention of subsection 798H(1) of the Act, the evidence or information is not admissible in evidence in any proceedings against the recipient, other than proceedings relating to the evidence or information being false or misleading.</w:t>
      </w:r>
    </w:p>
    <w:p w14:paraId="46AD3D3A" w14:textId="77777777" w:rsidR="00E93F58" w:rsidRPr="00A35C95" w:rsidRDefault="00E93F58" w:rsidP="00366AB5">
      <w:pPr>
        <w:pStyle w:val="ActHead5"/>
        <w:tabs>
          <w:tab w:val="left" w:pos="2835"/>
        </w:tabs>
      </w:pPr>
      <w:bookmarkStart w:id="612" w:name="_Toc152057880"/>
      <w:bookmarkStart w:id="613" w:name="_Toc158712103"/>
      <w:r w:rsidRPr="00844D11">
        <w:rPr>
          <w:rStyle w:val="CharSectno"/>
        </w:rPr>
        <w:t>7.2A.06</w:t>
      </w:r>
      <w:r w:rsidRPr="00A35C95">
        <w:t xml:space="preserve">  Contents of infringement notice</w:t>
      </w:r>
      <w:bookmarkEnd w:id="612"/>
      <w:bookmarkEnd w:id="613"/>
    </w:p>
    <w:p w14:paraId="7F12BACD" w14:textId="77777777" w:rsidR="00E93F58" w:rsidRPr="00A35C95" w:rsidRDefault="00E93F58" w:rsidP="00366AB5">
      <w:pPr>
        <w:pStyle w:val="subsection"/>
        <w:tabs>
          <w:tab w:val="left" w:pos="2835"/>
        </w:tabs>
      </w:pPr>
      <w:r w:rsidRPr="00A35C95">
        <w:tab/>
      </w:r>
      <w:r w:rsidRPr="00A35C95">
        <w:tab/>
        <w:t>An infringement notice:</w:t>
      </w:r>
    </w:p>
    <w:p w14:paraId="0C95376C" w14:textId="77777777" w:rsidR="00E93F58" w:rsidRPr="00A35C95" w:rsidRDefault="00E93F58" w:rsidP="00366AB5">
      <w:pPr>
        <w:pStyle w:val="paragraph"/>
        <w:tabs>
          <w:tab w:val="left" w:pos="2835"/>
        </w:tabs>
      </w:pPr>
      <w:r w:rsidRPr="00A35C95">
        <w:rPr>
          <w:color w:val="000000"/>
        </w:rPr>
        <w:tab/>
        <w:t>(a)</w:t>
      </w:r>
      <w:r w:rsidRPr="00A35C95">
        <w:rPr>
          <w:color w:val="000000"/>
        </w:rPr>
        <w:tab/>
        <w:t>must state the date on which it is given; and</w:t>
      </w:r>
    </w:p>
    <w:p w14:paraId="537BE1E8" w14:textId="77777777" w:rsidR="00E93F58" w:rsidRPr="00A35C95" w:rsidRDefault="00E93F58" w:rsidP="00366AB5">
      <w:pPr>
        <w:pStyle w:val="paragraph"/>
        <w:tabs>
          <w:tab w:val="left" w:pos="2835"/>
        </w:tabs>
      </w:pPr>
      <w:r w:rsidRPr="00A35C95">
        <w:tab/>
        <w:t>(b)</w:t>
      </w:r>
      <w:r w:rsidRPr="00A35C95">
        <w:tab/>
        <w:t>must be identified by a unique code; and</w:t>
      </w:r>
    </w:p>
    <w:p w14:paraId="5296598C" w14:textId="77777777" w:rsidR="00E93F58" w:rsidRPr="00A35C95" w:rsidRDefault="00E93F58" w:rsidP="00366AB5">
      <w:pPr>
        <w:pStyle w:val="paragraph"/>
        <w:tabs>
          <w:tab w:val="left" w:pos="2835"/>
        </w:tabs>
      </w:pPr>
      <w:r w:rsidRPr="00A35C95">
        <w:tab/>
        <w:t>(c)</w:t>
      </w:r>
      <w:r w:rsidRPr="00A35C95">
        <w:tab/>
        <w:t>must state the name and address of the recipient; and</w:t>
      </w:r>
    </w:p>
    <w:p w14:paraId="6CF628A6" w14:textId="77777777" w:rsidR="00E93F58" w:rsidRPr="00A35C95" w:rsidRDefault="00E93F58" w:rsidP="00366AB5">
      <w:pPr>
        <w:pStyle w:val="paragraph"/>
        <w:tabs>
          <w:tab w:val="left" w:pos="2835"/>
        </w:tabs>
      </w:pPr>
      <w:r w:rsidRPr="00A35C95">
        <w:tab/>
        <w:t>(d)</w:t>
      </w:r>
      <w:r w:rsidRPr="00A35C95">
        <w:tab/>
        <w:t>must state that it is being given by ASIC under regulation 7.2A.04; and</w:t>
      </w:r>
    </w:p>
    <w:p w14:paraId="3A824B83" w14:textId="77777777" w:rsidR="00E93F58" w:rsidRPr="00A35C95" w:rsidRDefault="00E93F58" w:rsidP="00366AB5">
      <w:pPr>
        <w:pStyle w:val="paragraph"/>
        <w:tabs>
          <w:tab w:val="left" w:pos="2835"/>
        </w:tabs>
      </w:pPr>
      <w:r w:rsidRPr="00A35C95">
        <w:tab/>
        <w:t>(e)</w:t>
      </w:r>
      <w:r w:rsidRPr="00A35C95">
        <w:tab/>
        <w:t>must specify details of each alleged contravention of subsection 798H(1) of the Act to which the infringement notice relates, including:</w:t>
      </w:r>
    </w:p>
    <w:p w14:paraId="3397A6F3" w14:textId="77777777" w:rsidR="00E93F58" w:rsidRPr="00A35C95" w:rsidRDefault="00E93F58" w:rsidP="00366AB5">
      <w:pPr>
        <w:pStyle w:val="paragraphsub"/>
        <w:tabs>
          <w:tab w:val="left" w:pos="2835"/>
        </w:tabs>
      </w:pPr>
      <w:r w:rsidRPr="00A35C95">
        <w:rPr>
          <w:color w:val="000000"/>
        </w:rPr>
        <w:tab/>
        <w:t>(i)</w:t>
      </w:r>
      <w:r w:rsidRPr="00A35C95">
        <w:rPr>
          <w:color w:val="000000"/>
        </w:rPr>
        <w:tab/>
        <w:t>the conduct that made up each alleged contravention (</w:t>
      </w:r>
      <w:r w:rsidRPr="00A35C95">
        <w:rPr>
          <w:color w:val="000000"/>
          <w:shd w:val="clear" w:color="auto" w:fill="FFFFFF"/>
        </w:rPr>
        <w:t>including, to the extent known, the date on which it occurred and the place at which it occurred)</w:t>
      </w:r>
      <w:r w:rsidRPr="00A35C95">
        <w:rPr>
          <w:color w:val="000000"/>
        </w:rPr>
        <w:t>; and</w:t>
      </w:r>
    </w:p>
    <w:p w14:paraId="5BEC8142" w14:textId="77777777" w:rsidR="00E93F58" w:rsidRPr="00A35C95" w:rsidRDefault="00E93F58" w:rsidP="00366AB5">
      <w:pPr>
        <w:pStyle w:val="paragraphsub"/>
        <w:tabs>
          <w:tab w:val="left" w:pos="2835"/>
        </w:tabs>
      </w:pPr>
      <w:r w:rsidRPr="00A35C95">
        <w:tab/>
        <w:t>(ii)</w:t>
      </w:r>
      <w:r w:rsidRPr="00A35C95">
        <w:tab/>
        <w:t>each market integrity rule that ASIC alleges the recipient has contravened; and</w:t>
      </w:r>
    </w:p>
    <w:p w14:paraId="1B2797AC" w14:textId="77777777" w:rsidR="00E93F58" w:rsidRPr="00A35C95" w:rsidRDefault="00E93F58" w:rsidP="00366AB5">
      <w:pPr>
        <w:pStyle w:val="paragraph"/>
        <w:tabs>
          <w:tab w:val="left" w:pos="2835"/>
        </w:tabs>
      </w:pPr>
      <w:r w:rsidRPr="00A35C95">
        <w:rPr>
          <w:color w:val="000000"/>
        </w:rPr>
        <w:tab/>
        <w:t>(f)</w:t>
      </w:r>
      <w:r w:rsidRPr="00A35C95">
        <w:rPr>
          <w:color w:val="000000"/>
        </w:rPr>
        <w:tab/>
        <w:t>must, in relation to each market integrity rule that ASIC alleges the recipient has contravened, state the maximum pecuniary penalty that a Court could order the recipient to pay for contravening the market integrity rule; and</w:t>
      </w:r>
    </w:p>
    <w:p w14:paraId="58F25B07" w14:textId="77777777" w:rsidR="00E93F58" w:rsidRPr="00A35C95" w:rsidRDefault="00E93F58" w:rsidP="00366AB5">
      <w:pPr>
        <w:pStyle w:val="paragraph"/>
        <w:tabs>
          <w:tab w:val="left" w:pos="2835"/>
        </w:tabs>
      </w:pPr>
      <w:r w:rsidRPr="00A35C95">
        <w:tab/>
        <w:t>(g)</w:t>
      </w:r>
      <w:r w:rsidRPr="00A35C95">
        <w:tab/>
        <w:t>must, in relation to each alleged contravention of subsection 798H(1) of the Act to which the infringement notice relates:</w:t>
      </w:r>
    </w:p>
    <w:p w14:paraId="649B0890" w14:textId="77777777" w:rsidR="00E93F58" w:rsidRPr="00A35C95" w:rsidRDefault="00E93F58" w:rsidP="00366AB5">
      <w:pPr>
        <w:pStyle w:val="paragraphsub"/>
        <w:tabs>
          <w:tab w:val="left" w:pos="2835"/>
        </w:tabs>
      </w:pPr>
      <w:r w:rsidRPr="00A35C95">
        <w:rPr>
          <w:color w:val="000000"/>
        </w:rPr>
        <w:tab/>
        <w:t>(i)</w:t>
      </w:r>
      <w:r w:rsidRPr="00A35C95">
        <w:rPr>
          <w:color w:val="000000"/>
        </w:rPr>
        <w:tab/>
        <w:t>specify the penalty (if any) payable for each alleged contravention of subsection 798H(1) of the Act; and</w:t>
      </w:r>
    </w:p>
    <w:p w14:paraId="2AA4612B" w14:textId="77777777" w:rsidR="00E93F58" w:rsidRPr="00A35C95" w:rsidRDefault="00E93F58" w:rsidP="00366AB5">
      <w:pPr>
        <w:pStyle w:val="paragraphsub"/>
        <w:tabs>
          <w:tab w:val="left" w:pos="2835"/>
        </w:tabs>
      </w:pPr>
      <w:r w:rsidRPr="00A35C95">
        <w:tab/>
        <w:t>(ii)</w:t>
      </w:r>
      <w:r w:rsidRPr="00A35C95">
        <w:tab/>
        <w:t>if subparagraph (i) applies:</w:t>
      </w:r>
    </w:p>
    <w:p w14:paraId="7F3074D3" w14:textId="77777777" w:rsidR="00E93F58" w:rsidRPr="00A35C95" w:rsidRDefault="00E93F58" w:rsidP="00366AB5">
      <w:pPr>
        <w:pStyle w:val="paragraphsub-sub"/>
        <w:tabs>
          <w:tab w:val="left" w:pos="2835"/>
        </w:tabs>
      </w:pPr>
      <w:r w:rsidRPr="00A35C95">
        <w:rPr>
          <w:color w:val="000000"/>
        </w:rPr>
        <w:tab/>
        <w:t>(A)</w:t>
      </w:r>
      <w:r w:rsidRPr="00A35C95">
        <w:rPr>
          <w:color w:val="000000"/>
        </w:rPr>
        <w:tab/>
        <w:t>specify the total penalty that the recipient must pay to the Commonwealth; and</w:t>
      </w:r>
    </w:p>
    <w:p w14:paraId="00FECA6D" w14:textId="77777777" w:rsidR="00E93F58" w:rsidRPr="00A35C95" w:rsidRDefault="00E93F58" w:rsidP="00366AB5">
      <w:pPr>
        <w:pStyle w:val="paragraphsub-sub"/>
        <w:tabs>
          <w:tab w:val="left" w:pos="2835"/>
        </w:tabs>
      </w:pPr>
      <w:r w:rsidRPr="00A35C95">
        <w:tab/>
        <w:t>(B)</w:t>
      </w:r>
      <w:r w:rsidRPr="00A35C95">
        <w:tab/>
        <w:t>state that the penalty is payable to ASIC on behalf of the Commonwealth; and</w:t>
      </w:r>
    </w:p>
    <w:p w14:paraId="49A8702B" w14:textId="77777777" w:rsidR="00E93F58" w:rsidRPr="00A35C95" w:rsidRDefault="00E93F58" w:rsidP="00366AB5">
      <w:pPr>
        <w:pStyle w:val="paragraphsub-sub"/>
        <w:tabs>
          <w:tab w:val="left" w:pos="2835"/>
        </w:tabs>
      </w:pPr>
      <w:r w:rsidRPr="00A35C95">
        <w:tab/>
        <w:t>(C)</w:t>
      </w:r>
      <w:r w:rsidRPr="00A35C95">
        <w:tab/>
        <w:t>explain how payment of the penalty can be made; and</w:t>
      </w:r>
    </w:p>
    <w:p w14:paraId="5DE400C8" w14:textId="77777777" w:rsidR="00E93F58" w:rsidRPr="00A35C95" w:rsidRDefault="00E93F58" w:rsidP="00366AB5">
      <w:pPr>
        <w:pStyle w:val="paragraphsub"/>
        <w:tabs>
          <w:tab w:val="left" w:pos="2835"/>
        </w:tabs>
      </w:pPr>
      <w:r w:rsidRPr="00A35C95">
        <w:rPr>
          <w:color w:val="000000"/>
        </w:rPr>
        <w:tab/>
        <w:t>(iii)</w:t>
      </w:r>
      <w:r w:rsidRPr="00A35C95">
        <w:rPr>
          <w:color w:val="000000"/>
        </w:rPr>
        <w:tab/>
        <w:t>specify the remedial measures (if any) that the recipient must undertake or institute; and</w:t>
      </w:r>
    </w:p>
    <w:p w14:paraId="0EFED1D3" w14:textId="77777777" w:rsidR="00E93F58" w:rsidRPr="00A35C95" w:rsidRDefault="00E93F58" w:rsidP="00366AB5">
      <w:pPr>
        <w:pStyle w:val="paragraphsub"/>
        <w:tabs>
          <w:tab w:val="left" w:pos="2835"/>
        </w:tabs>
      </w:pPr>
      <w:r w:rsidRPr="00A35C95">
        <w:tab/>
        <w:t>(iv)</w:t>
      </w:r>
      <w:r w:rsidRPr="00A35C95">
        <w:tab/>
        <w:t>specify the sanctions (if any) that the recipient must accept; and</w:t>
      </w:r>
    </w:p>
    <w:p w14:paraId="60C444F9" w14:textId="77777777" w:rsidR="00E93F58" w:rsidRPr="00A35C95" w:rsidRDefault="00E93F58" w:rsidP="00366AB5">
      <w:pPr>
        <w:pStyle w:val="paragraphsub"/>
        <w:tabs>
          <w:tab w:val="left" w:pos="2835"/>
        </w:tabs>
      </w:pPr>
      <w:r w:rsidRPr="00A35C95">
        <w:tab/>
        <w:t>(v)</w:t>
      </w:r>
      <w:r w:rsidRPr="00A35C95">
        <w:tab/>
        <w:t>specify the terms of an undertaking (if any) that the recipient must enter into under regulation 7.2A.01; and</w:t>
      </w:r>
    </w:p>
    <w:p w14:paraId="6496DC92" w14:textId="77777777" w:rsidR="00E93F58" w:rsidRPr="00A35C95" w:rsidRDefault="00E93F58" w:rsidP="00366AB5">
      <w:pPr>
        <w:pStyle w:val="paragraph"/>
        <w:tabs>
          <w:tab w:val="left" w:pos="2835"/>
        </w:tabs>
      </w:pPr>
      <w:r w:rsidRPr="00A35C95">
        <w:rPr>
          <w:color w:val="000000"/>
        </w:rPr>
        <w:tab/>
        <w:t>(h)</w:t>
      </w:r>
      <w:r w:rsidRPr="00A35C95">
        <w:rPr>
          <w:color w:val="000000"/>
        </w:rPr>
        <w:tab/>
        <w:t>must state that the recipient may choose not to comply with the infringement notice, but that if the recipient does not comply, civil proceedings may be brought against the recipient in relation to the alleged contravention; and</w:t>
      </w:r>
    </w:p>
    <w:p w14:paraId="0A98BE42" w14:textId="77777777" w:rsidR="00E93F58" w:rsidRPr="00A35C95" w:rsidRDefault="00E93F58" w:rsidP="00366AB5">
      <w:pPr>
        <w:pStyle w:val="paragraph"/>
        <w:tabs>
          <w:tab w:val="left" w:pos="2835"/>
        </w:tabs>
        <w:rPr>
          <w:shd w:val="clear" w:color="auto" w:fill="BFBFBF"/>
        </w:rPr>
      </w:pPr>
      <w:r w:rsidRPr="00A35C95">
        <w:tab/>
        <w:t>(i)</w:t>
      </w:r>
      <w:r w:rsidRPr="00A35C95">
        <w:tab/>
        <w:t>must explain what the recipient must do to comply with the infringement notice and the effect of compliance with the infringement notice; and</w:t>
      </w:r>
    </w:p>
    <w:p w14:paraId="20C7AF10" w14:textId="77777777" w:rsidR="00E93F58" w:rsidRPr="00A35C95" w:rsidRDefault="00E93F58" w:rsidP="00366AB5">
      <w:pPr>
        <w:pStyle w:val="paragraph"/>
        <w:tabs>
          <w:tab w:val="left" w:pos="2835"/>
        </w:tabs>
      </w:pPr>
      <w:r w:rsidRPr="00A35C95">
        <w:tab/>
        <w:t>(j)</w:t>
      </w:r>
      <w:r w:rsidRPr="00A35C95">
        <w:tab/>
        <w:t>must state that the recipient may apply to ASIC:</w:t>
      </w:r>
    </w:p>
    <w:p w14:paraId="2793BE6C" w14:textId="77777777" w:rsidR="00E93F58" w:rsidRPr="00A35C95" w:rsidRDefault="00E93F58" w:rsidP="00366AB5">
      <w:pPr>
        <w:pStyle w:val="paragraphsub"/>
        <w:tabs>
          <w:tab w:val="left" w:pos="2835"/>
        </w:tabs>
      </w:pPr>
      <w:r w:rsidRPr="00A35C95">
        <w:rPr>
          <w:color w:val="000000"/>
        </w:rPr>
        <w:tab/>
        <w:t>(i)</w:t>
      </w:r>
      <w:r w:rsidRPr="00A35C95">
        <w:rPr>
          <w:color w:val="000000"/>
        </w:rPr>
        <w:tab/>
        <w:t>for withdrawal of the notice under regulation 7.2A.11; and</w:t>
      </w:r>
    </w:p>
    <w:p w14:paraId="69FD0541" w14:textId="77777777" w:rsidR="00E93F58" w:rsidRPr="00A35C95" w:rsidRDefault="00E93F58" w:rsidP="00366AB5">
      <w:pPr>
        <w:pStyle w:val="paragraphsub"/>
        <w:tabs>
          <w:tab w:val="left" w:pos="2835"/>
        </w:tabs>
      </w:pPr>
      <w:r w:rsidRPr="00A35C95">
        <w:tab/>
        <w:t>(ii)</w:t>
      </w:r>
      <w:r w:rsidRPr="00A35C95">
        <w:tab/>
        <w:t>for an extension of time under regulation 7.2A.09; and</w:t>
      </w:r>
    </w:p>
    <w:p w14:paraId="2ABF8E84" w14:textId="77777777" w:rsidR="00E93F58" w:rsidRPr="00A35C95" w:rsidRDefault="00E93F58" w:rsidP="00366AB5">
      <w:pPr>
        <w:pStyle w:val="paragraph"/>
        <w:tabs>
          <w:tab w:val="left" w:pos="2835"/>
        </w:tabs>
      </w:pPr>
      <w:r w:rsidRPr="00A35C95">
        <w:rPr>
          <w:color w:val="000000"/>
        </w:rPr>
        <w:tab/>
        <w:t>(k)</w:t>
      </w:r>
      <w:r w:rsidRPr="00A35C95">
        <w:rPr>
          <w:color w:val="000000"/>
        </w:rPr>
        <w:tab/>
        <w:t>must state that ASIC may publish details of the infringement notice under regulation 7.2A.15; and</w:t>
      </w:r>
    </w:p>
    <w:p w14:paraId="11CB3A1E" w14:textId="77777777" w:rsidR="00E93F58" w:rsidRPr="00A35C95" w:rsidRDefault="00E93F58" w:rsidP="00366AB5">
      <w:pPr>
        <w:pStyle w:val="paragraph"/>
        <w:tabs>
          <w:tab w:val="left" w:pos="2835"/>
        </w:tabs>
      </w:pPr>
      <w:r w:rsidRPr="00A35C95">
        <w:tab/>
        <w:t>(l)</w:t>
      </w:r>
      <w:r w:rsidRPr="00A35C95">
        <w:tab/>
        <w:t>may include any other information that ASIC considers necessary.</w:t>
      </w:r>
    </w:p>
    <w:p w14:paraId="3C815469" w14:textId="77777777" w:rsidR="00E93F58" w:rsidRPr="00A35C95" w:rsidRDefault="00E93F58" w:rsidP="00366AB5">
      <w:pPr>
        <w:pStyle w:val="notetext"/>
        <w:tabs>
          <w:tab w:val="left" w:pos="2835"/>
        </w:tabs>
      </w:pPr>
      <w:r w:rsidRPr="00A35C95">
        <w:rPr>
          <w:color w:val="000000"/>
        </w:rPr>
        <w:t>Note:</w:t>
      </w:r>
      <w:r w:rsidRPr="00A35C95">
        <w:rPr>
          <w:color w:val="000000"/>
        </w:rPr>
        <w:tab/>
        <w:t>For sub</w:t>
      </w:r>
      <w:r>
        <w:rPr>
          <w:color w:val="000000"/>
        </w:rPr>
        <w:noBreakHyphen/>
      </w:r>
      <w:r w:rsidRPr="00A35C95">
        <w:rPr>
          <w:color w:val="000000"/>
        </w:rPr>
        <w:t>subparagraph (g)(ii)(A), the total penalty is the sum of the penalties payable under subparagraph (g)(i).</w:t>
      </w:r>
    </w:p>
    <w:p w14:paraId="48900CDF" w14:textId="77777777" w:rsidR="00E93F58" w:rsidRPr="00A35C95" w:rsidRDefault="00E93F58" w:rsidP="00366AB5">
      <w:pPr>
        <w:pStyle w:val="ActHead5"/>
        <w:tabs>
          <w:tab w:val="left" w:pos="2835"/>
        </w:tabs>
      </w:pPr>
      <w:bookmarkStart w:id="614" w:name="_Toc152057881"/>
      <w:bookmarkStart w:id="615" w:name="_Toc158712104"/>
      <w:r w:rsidRPr="00844D11">
        <w:rPr>
          <w:rStyle w:val="CharSectno"/>
        </w:rPr>
        <w:t>7.2A.07</w:t>
      </w:r>
      <w:r w:rsidRPr="00A35C95">
        <w:t xml:space="preserve">  Amount of penalty payable to the Commonwealth</w:t>
      </w:r>
      <w:bookmarkEnd w:id="614"/>
      <w:bookmarkEnd w:id="615"/>
    </w:p>
    <w:p w14:paraId="594AA0D9"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The penalty payable (if any) for an alleged contravention of subsection 798H(1) of the Act is the amount </w:t>
      </w:r>
      <w:r w:rsidRPr="00A35C95">
        <w:rPr>
          <w:color w:val="000000"/>
          <w:shd w:val="clear" w:color="auto" w:fill="FFFFFF"/>
        </w:rPr>
        <w:t>determined by ASIC</w:t>
      </w:r>
      <w:r w:rsidRPr="00A35C95">
        <w:rPr>
          <w:color w:val="000000"/>
        </w:rPr>
        <w:t>.</w:t>
      </w:r>
    </w:p>
    <w:p w14:paraId="1F099CDF" w14:textId="77777777" w:rsidR="00E93F58" w:rsidRPr="00A35C95" w:rsidRDefault="00E93F58" w:rsidP="00366AB5">
      <w:pPr>
        <w:pStyle w:val="notetext"/>
        <w:tabs>
          <w:tab w:val="left" w:pos="2835"/>
        </w:tabs>
      </w:pPr>
      <w:r w:rsidRPr="00A35C95">
        <w:t>Note:</w:t>
      </w:r>
      <w:r w:rsidRPr="00A35C95">
        <w:tab/>
        <w:t>See subsection 798K(2) of the Act for the maximum penalty payable.</w:t>
      </w:r>
    </w:p>
    <w:p w14:paraId="4ED3CA0A" w14:textId="77777777" w:rsidR="00E93F58" w:rsidRPr="00A35C95" w:rsidRDefault="00E93F58" w:rsidP="00366AB5">
      <w:pPr>
        <w:pStyle w:val="subsection"/>
        <w:tabs>
          <w:tab w:val="left" w:pos="2835"/>
        </w:tabs>
      </w:pPr>
      <w:r w:rsidRPr="00A35C95">
        <w:rPr>
          <w:color w:val="000000"/>
        </w:rPr>
        <w:lastRenderedPageBreak/>
        <w:tab/>
        <w:t>(2)</w:t>
      </w:r>
      <w:r w:rsidRPr="00A35C95">
        <w:rPr>
          <w:color w:val="000000"/>
        </w:rPr>
        <w:tab/>
        <w:t>If an infringement notice is in relation to more than one alleged contravention of subsection 798H(1) of the Act, the total penalty payable under the infringement notice is the sum of the penalties payable (if any) for the alleged contraventions.</w:t>
      </w:r>
    </w:p>
    <w:p w14:paraId="2DFAAFDC" w14:textId="77777777" w:rsidR="00E93F58" w:rsidRPr="00A35C95" w:rsidRDefault="00E93F58" w:rsidP="00366AB5">
      <w:pPr>
        <w:pStyle w:val="ActHead5"/>
        <w:tabs>
          <w:tab w:val="left" w:pos="2835"/>
        </w:tabs>
      </w:pPr>
      <w:bookmarkStart w:id="616" w:name="_Toc152057882"/>
      <w:bookmarkStart w:id="617" w:name="_Toc158712105"/>
      <w:r w:rsidRPr="00844D11">
        <w:rPr>
          <w:rStyle w:val="CharSectno"/>
        </w:rPr>
        <w:t>7.2A.08</w:t>
      </w:r>
      <w:r w:rsidRPr="00A35C95">
        <w:t xml:space="preserve">  Compliance with infringement notice</w:t>
      </w:r>
      <w:bookmarkEnd w:id="616"/>
      <w:bookmarkEnd w:id="617"/>
    </w:p>
    <w:p w14:paraId="053956AE" w14:textId="77777777" w:rsidR="00E93F58" w:rsidRPr="00A35C95" w:rsidRDefault="00E93F58" w:rsidP="00366AB5">
      <w:pPr>
        <w:pStyle w:val="subsection"/>
        <w:tabs>
          <w:tab w:val="left" w:pos="2835"/>
        </w:tabs>
      </w:pPr>
      <w:r w:rsidRPr="00A35C95">
        <w:tab/>
        <w:t>(1)</w:t>
      </w:r>
      <w:r w:rsidRPr="00A35C95">
        <w:tab/>
        <w:t>A recipient complies with an infringement notice if, during the compliance period, the recipient does all of the following:</w:t>
      </w:r>
    </w:p>
    <w:p w14:paraId="03BEF6D4" w14:textId="77777777" w:rsidR="00E93F58" w:rsidRPr="00A35C95" w:rsidRDefault="00E93F58" w:rsidP="00366AB5">
      <w:pPr>
        <w:pStyle w:val="paragraph"/>
        <w:tabs>
          <w:tab w:val="left" w:pos="2835"/>
        </w:tabs>
      </w:pPr>
      <w:r w:rsidRPr="00A35C95">
        <w:rPr>
          <w:color w:val="000000"/>
        </w:rPr>
        <w:tab/>
        <w:t>(a)</w:t>
      </w:r>
      <w:r w:rsidRPr="00A35C95">
        <w:rPr>
          <w:color w:val="000000"/>
        </w:rPr>
        <w:tab/>
        <w:t>pays the penalty specified in the infringement notice under sub</w:t>
      </w:r>
      <w:r>
        <w:rPr>
          <w:color w:val="000000"/>
        </w:rPr>
        <w:noBreakHyphen/>
      </w:r>
      <w:r w:rsidRPr="00A35C95">
        <w:rPr>
          <w:color w:val="000000"/>
        </w:rPr>
        <w:t>subparagraph 7.2A.06(g)(ii)(A) (if any);</w:t>
      </w:r>
    </w:p>
    <w:p w14:paraId="500FDD89" w14:textId="77777777" w:rsidR="00E93F58" w:rsidRPr="00A35C95" w:rsidRDefault="00E93F58" w:rsidP="00366AB5">
      <w:pPr>
        <w:pStyle w:val="paragraph"/>
        <w:tabs>
          <w:tab w:val="left" w:pos="2835"/>
        </w:tabs>
      </w:pPr>
      <w:r w:rsidRPr="00A35C95">
        <w:tab/>
        <w:t>(b)</w:t>
      </w:r>
      <w:r w:rsidRPr="00A35C95">
        <w:tab/>
        <w:t>undertakes or institutes the remedial measures specified in the infringement notice under subparagraph 7.2A.06(g)(iii) (if any);</w:t>
      </w:r>
    </w:p>
    <w:p w14:paraId="0BB2A54B" w14:textId="77777777" w:rsidR="00E93F58" w:rsidRPr="00A35C95" w:rsidRDefault="00E93F58" w:rsidP="00366AB5">
      <w:pPr>
        <w:pStyle w:val="paragraph"/>
        <w:tabs>
          <w:tab w:val="left" w:pos="2835"/>
        </w:tabs>
      </w:pPr>
      <w:r w:rsidRPr="00A35C95">
        <w:tab/>
        <w:t>(c)</w:t>
      </w:r>
      <w:r w:rsidRPr="00A35C95">
        <w:tab/>
        <w:t>accepts the sanctions specified in the infringement notice under subparagraph 7.2A.06(g)(iv) (if any);</w:t>
      </w:r>
    </w:p>
    <w:p w14:paraId="5F7BDD86" w14:textId="77777777" w:rsidR="00E93F58" w:rsidRPr="00A35C95" w:rsidRDefault="00E93F58" w:rsidP="00366AB5">
      <w:pPr>
        <w:pStyle w:val="paragraph"/>
        <w:keepNext/>
        <w:keepLines/>
        <w:tabs>
          <w:tab w:val="left" w:pos="2835"/>
        </w:tabs>
      </w:pPr>
      <w:r w:rsidRPr="00A35C95">
        <w:tab/>
        <w:t>(d)</w:t>
      </w:r>
      <w:r w:rsidRPr="00A35C95">
        <w:tab/>
        <w:t>enters into an undertaking (including an undertaking to comply with the infringement notice) with the terms specified in the infringement notice under subparagraph 7.2A.06(g)(v) (if any).</w:t>
      </w:r>
    </w:p>
    <w:p w14:paraId="2DEE4F1F" w14:textId="77777777" w:rsidR="00E93F58" w:rsidRPr="00A35C95" w:rsidRDefault="00E93F58" w:rsidP="00366AB5">
      <w:pPr>
        <w:pStyle w:val="subsection"/>
        <w:tabs>
          <w:tab w:val="left" w:pos="2835"/>
        </w:tabs>
      </w:pPr>
      <w:r w:rsidRPr="00A35C95">
        <w:tab/>
        <w:t>(2)</w:t>
      </w:r>
      <w:r w:rsidRPr="00A35C95">
        <w:tab/>
        <w:t xml:space="preserve">The </w:t>
      </w:r>
      <w:r w:rsidRPr="00A35C95">
        <w:rPr>
          <w:b/>
          <w:i/>
        </w:rPr>
        <w:t>compliance period</w:t>
      </w:r>
      <w:r w:rsidRPr="00A35C95">
        <w:t xml:space="preserve"> for an infringement notice:</w:t>
      </w:r>
    </w:p>
    <w:p w14:paraId="2A5E3241" w14:textId="77777777" w:rsidR="00E93F58" w:rsidRPr="00A35C95" w:rsidRDefault="00E93F58" w:rsidP="00366AB5">
      <w:pPr>
        <w:pStyle w:val="paragraph"/>
        <w:tabs>
          <w:tab w:val="left" w:pos="2835"/>
        </w:tabs>
      </w:pPr>
      <w:r w:rsidRPr="00A35C95">
        <w:rPr>
          <w:color w:val="000000"/>
        </w:rPr>
        <w:tab/>
        <w:t>(a)</w:t>
      </w:r>
      <w:r w:rsidRPr="00A35C95">
        <w:rPr>
          <w:color w:val="000000"/>
        </w:rPr>
        <w:tab/>
        <w:t>starts on the day on which the infringement notice is given to the recipient; and</w:t>
      </w:r>
    </w:p>
    <w:p w14:paraId="7ABAA0DB" w14:textId="77777777" w:rsidR="00E93F58" w:rsidRPr="00A35C95" w:rsidRDefault="00E93F58" w:rsidP="00366AB5">
      <w:pPr>
        <w:pStyle w:val="paragraph"/>
        <w:tabs>
          <w:tab w:val="left" w:pos="2835"/>
        </w:tabs>
      </w:pPr>
      <w:r w:rsidRPr="00A35C95">
        <w:tab/>
        <w:t>(b)</w:t>
      </w:r>
      <w:r w:rsidRPr="00A35C95">
        <w:tab/>
        <w:t>ends:</w:t>
      </w:r>
    </w:p>
    <w:p w14:paraId="64B9E911" w14:textId="77777777" w:rsidR="00E93F58" w:rsidRPr="00A35C95" w:rsidRDefault="00E93F58" w:rsidP="00366AB5">
      <w:pPr>
        <w:pStyle w:val="paragraphsub"/>
        <w:tabs>
          <w:tab w:val="left" w:pos="2835"/>
        </w:tabs>
      </w:pPr>
      <w:r w:rsidRPr="00A35C95">
        <w:rPr>
          <w:color w:val="000000"/>
        </w:rPr>
        <w:tab/>
        <w:t>(i)</w:t>
      </w:r>
      <w:r w:rsidRPr="00A35C95">
        <w:rPr>
          <w:color w:val="000000"/>
        </w:rPr>
        <w:tab/>
        <w:t>27 days after the day on which the infringement notice is given to the recipient; or</w:t>
      </w:r>
    </w:p>
    <w:p w14:paraId="4B2F2697" w14:textId="77777777" w:rsidR="00E93F58" w:rsidRPr="00A35C95" w:rsidRDefault="00E93F58" w:rsidP="00366AB5">
      <w:pPr>
        <w:pStyle w:val="paragraphsub"/>
        <w:tabs>
          <w:tab w:val="left" w:pos="2835"/>
        </w:tabs>
      </w:pPr>
      <w:r w:rsidRPr="00A35C95">
        <w:tab/>
        <w:t>(ii)</w:t>
      </w:r>
      <w:r w:rsidRPr="00A35C95">
        <w:tab/>
        <w:t>on another day permitted by this regulation.</w:t>
      </w:r>
    </w:p>
    <w:p w14:paraId="6AE83A88" w14:textId="77777777" w:rsidR="00E93F58" w:rsidRPr="00A35C95" w:rsidRDefault="00E93F58" w:rsidP="00366AB5">
      <w:pPr>
        <w:pStyle w:val="subsection"/>
        <w:tabs>
          <w:tab w:val="left" w:pos="2835"/>
        </w:tabs>
      </w:pPr>
      <w:r w:rsidRPr="00A35C95">
        <w:rPr>
          <w:color w:val="000000"/>
        </w:rPr>
        <w:tab/>
        <w:t>(3)</w:t>
      </w:r>
      <w:r w:rsidRPr="00A35C95">
        <w:rPr>
          <w:color w:val="000000"/>
        </w:rPr>
        <w:tab/>
        <w:t>If the recipient applies for a further period of time in which to comply with the infringement notice, and the application is granted, the compliance period ends at the end of the further period allowed.</w:t>
      </w:r>
    </w:p>
    <w:p w14:paraId="6A1A5EC7" w14:textId="77777777" w:rsidR="00E93F58" w:rsidRPr="00A35C95" w:rsidRDefault="00E93F58" w:rsidP="00366AB5">
      <w:pPr>
        <w:pStyle w:val="subsection"/>
        <w:tabs>
          <w:tab w:val="left" w:pos="2835"/>
        </w:tabs>
      </w:pPr>
      <w:r w:rsidRPr="00A35C95">
        <w:tab/>
        <w:t>(4)</w:t>
      </w:r>
      <w:r w:rsidRPr="00A35C95">
        <w:tab/>
        <w:t>If the recipient applies for a further period of time in which to comply with the infringement notice, and the application is refused, the compliance period ends on the later of:</w:t>
      </w:r>
    </w:p>
    <w:p w14:paraId="10B2DD60" w14:textId="77777777" w:rsidR="00E93F58" w:rsidRPr="00A35C95" w:rsidRDefault="00E93F58" w:rsidP="00366AB5">
      <w:pPr>
        <w:pStyle w:val="paragraph"/>
        <w:tabs>
          <w:tab w:val="left" w:pos="2835"/>
        </w:tabs>
      </w:pPr>
      <w:r w:rsidRPr="00A35C95">
        <w:rPr>
          <w:color w:val="000000"/>
        </w:rPr>
        <w:tab/>
        <w:t>(a)</w:t>
      </w:r>
      <w:r w:rsidRPr="00A35C95">
        <w:rPr>
          <w:color w:val="000000"/>
        </w:rPr>
        <w:tab/>
        <w:t>28 days after the day on which the infringement notice was given to the recipient; and</w:t>
      </w:r>
    </w:p>
    <w:p w14:paraId="38E360A0" w14:textId="77777777" w:rsidR="00E93F58" w:rsidRPr="00A35C95" w:rsidRDefault="00E93F58" w:rsidP="00366AB5">
      <w:pPr>
        <w:pStyle w:val="paragraph"/>
        <w:tabs>
          <w:tab w:val="left" w:pos="2835"/>
        </w:tabs>
      </w:pPr>
      <w:r w:rsidRPr="00A35C95">
        <w:tab/>
        <w:t>(b)</w:t>
      </w:r>
      <w:r w:rsidRPr="00A35C95">
        <w:tab/>
        <w:t>7 days after the notice of refusal is given to the recipient.</w:t>
      </w:r>
    </w:p>
    <w:p w14:paraId="05FEAF2C" w14:textId="77777777" w:rsidR="00E93F58" w:rsidRPr="00A35C95" w:rsidRDefault="00E93F58" w:rsidP="00366AB5">
      <w:pPr>
        <w:pStyle w:val="subsection"/>
        <w:tabs>
          <w:tab w:val="left" w:pos="2835"/>
        </w:tabs>
      </w:pPr>
      <w:r w:rsidRPr="00A35C95">
        <w:rPr>
          <w:color w:val="000000"/>
        </w:rPr>
        <w:tab/>
        <w:t>(5)</w:t>
      </w:r>
      <w:r w:rsidRPr="00A35C95">
        <w:rPr>
          <w:color w:val="000000"/>
        </w:rPr>
        <w:tab/>
        <w:t>If the recipient applies for the infringement notice to be withdrawn, and the application is refused, the compliance period ends 28 days after the notice of refusal is given to the recipient.</w:t>
      </w:r>
    </w:p>
    <w:p w14:paraId="1692E4AF" w14:textId="77777777" w:rsidR="00E93F58" w:rsidRPr="00A35C95" w:rsidRDefault="00E93F58" w:rsidP="00366AB5">
      <w:pPr>
        <w:pStyle w:val="ActHead5"/>
        <w:tabs>
          <w:tab w:val="left" w:pos="2835"/>
        </w:tabs>
      </w:pPr>
      <w:bookmarkStart w:id="618" w:name="_Toc152057883"/>
      <w:bookmarkStart w:id="619" w:name="_Toc158712106"/>
      <w:r w:rsidRPr="00844D11">
        <w:rPr>
          <w:rStyle w:val="CharSectno"/>
        </w:rPr>
        <w:t>7.2A.09</w:t>
      </w:r>
      <w:r w:rsidRPr="00A35C95">
        <w:t xml:space="preserve">  Extension of compliance period</w:t>
      </w:r>
      <w:bookmarkEnd w:id="618"/>
      <w:bookmarkEnd w:id="619"/>
    </w:p>
    <w:p w14:paraId="1C5BBBCF" w14:textId="77777777" w:rsidR="00E93F58" w:rsidRPr="00A35C95" w:rsidRDefault="00E93F58" w:rsidP="00366AB5">
      <w:pPr>
        <w:pStyle w:val="subsection"/>
        <w:tabs>
          <w:tab w:val="left" w:pos="2835"/>
        </w:tabs>
      </w:pPr>
      <w:r w:rsidRPr="00A35C95">
        <w:rPr>
          <w:color w:val="000000"/>
        </w:rPr>
        <w:tab/>
        <w:t>(1)</w:t>
      </w:r>
      <w:r w:rsidRPr="00A35C95">
        <w:rPr>
          <w:color w:val="000000"/>
        </w:rPr>
        <w:tab/>
        <w:t>During the compliance period, a recipient may apply, in writing, to ASIC for a further period of no more than 28 days in which to comply with the infringement notice.</w:t>
      </w:r>
    </w:p>
    <w:p w14:paraId="0640AA73" w14:textId="77777777" w:rsidR="00E93F58" w:rsidRPr="00A35C95" w:rsidRDefault="00E93F58" w:rsidP="00366AB5">
      <w:pPr>
        <w:pStyle w:val="subsection"/>
        <w:tabs>
          <w:tab w:val="left" w:pos="2835"/>
        </w:tabs>
      </w:pPr>
      <w:r w:rsidRPr="00A35C95">
        <w:tab/>
        <w:t>(2)</w:t>
      </w:r>
      <w:r w:rsidRPr="00A35C95">
        <w:tab/>
        <w:t>The application must:</w:t>
      </w:r>
    </w:p>
    <w:p w14:paraId="79D7C4BB" w14:textId="77777777" w:rsidR="00E93F58" w:rsidRPr="00A35C95" w:rsidRDefault="00E93F58" w:rsidP="00366AB5">
      <w:pPr>
        <w:pStyle w:val="paragraph"/>
        <w:tabs>
          <w:tab w:val="left" w:pos="2835"/>
        </w:tabs>
      </w:pPr>
      <w:r w:rsidRPr="00A35C95">
        <w:rPr>
          <w:color w:val="000000"/>
        </w:rPr>
        <w:tab/>
        <w:t>(a)</w:t>
      </w:r>
      <w:r w:rsidRPr="00A35C95">
        <w:rPr>
          <w:color w:val="000000"/>
        </w:rPr>
        <w:tab/>
        <w:t>specify the infringement notice’s unique identification code; and</w:t>
      </w:r>
    </w:p>
    <w:p w14:paraId="65A33AA9" w14:textId="77777777" w:rsidR="00E93F58" w:rsidRPr="00A35C95" w:rsidRDefault="00E93F58" w:rsidP="00366AB5">
      <w:pPr>
        <w:pStyle w:val="paragraph"/>
        <w:tabs>
          <w:tab w:val="left" w:pos="2835"/>
        </w:tabs>
      </w:pPr>
      <w:r w:rsidRPr="00A35C95">
        <w:tab/>
        <w:t>(b)</w:t>
      </w:r>
      <w:r w:rsidRPr="00A35C95">
        <w:tab/>
        <w:t>set out the reasons for the application.</w:t>
      </w:r>
    </w:p>
    <w:p w14:paraId="420E41A2" w14:textId="77777777" w:rsidR="00E93F58" w:rsidRPr="00A35C95" w:rsidRDefault="00E93F58" w:rsidP="00366AB5">
      <w:pPr>
        <w:pStyle w:val="subsection"/>
        <w:tabs>
          <w:tab w:val="left" w:pos="2835"/>
        </w:tabs>
      </w:pPr>
      <w:r w:rsidRPr="00A35C95">
        <w:tab/>
        <w:t>(3)</w:t>
      </w:r>
      <w:r w:rsidRPr="00A35C95">
        <w:tab/>
        <w:t>Within 14 days after receiving the application, ASIC must:</w:t>
      </w:r>
    </w:p>
    <w:p w14:paraId="37F8AE55" w14:textId="77777777" w:rsidR="00E93F58" w:rsidRPr="00A35C95" w:rsidRDefault="00E93F58" w:rsidP="00366AB5">
      <w:pPr>
        <w:pStyle w:val="paragraph"/>
        <w:tabs>
          <w:tab w:val="left" w:pos="2835"/>
        </w:tabs>
      </w:pPr>
      <w:r w:rsidRPr="00A35C95">
        <w:rPr>
          <w:color w:val="000000"/>
        </w:rPr>
        <w:tab/>
        <w:t>(a)</w:t>
      </w:r>
      <w:r w:rsidRPr="00A35C95">
        <w:rPr>
          <w:color w:val="000000"/>
        </w:rPr>
        <w:tab/>
        <w:t>grant or refuse a further period no longer than the period sought (and no more than 28 days); and</w:t>
      </w:r>
    </w:p>
    <w:p w14:paraId="5A44BB7C" w14:textId="77777777" w:rsidR="00E93F58" w:rsidRPr="00A35C95" w:rsidRDefault="00E93F58" w:rsidP="00366AB5">
      <w:pPr>
        <w:pStyle w:val="paragraph"/>
        <w:tabs>
          <w:tab w:val="left" w:pos="2835"/>
        </w:tabs>
      </w:pPr>
      <w:r w:rsidRPr="00A35C95">
        <w:tab/>
        <w:t>(b)</w:t>
      </w:r>
      <w:r w:rsidRPr="00A35C95">
        <w:tab/>
        <w:t>notify the recipient in writing of the decision and, if the decision is a refusal, the reasons for the decision.</w:t>
      </w:r>
    </w:p>
    <w:p w14:paraId="19D95E43" w14:textId="77777777" w:rsidR="00E93F58" w:rsidRPr="00A35C95" w:rsidRDefault="00E93F58" w:rsidP="00366AB5">
      <w:pPr>
        <w:pStyle w:val="subsection"/>
        <w:tabs>
          <w:tab w:val="left" w:pos="2835"/>
        </w:tabs>
      </w:pPr>
      <w:r w:rsidRPr="00A35C95">
        <w:rPr>
          <w:color w:val="000000"/>
        </w:rPr>
        <w:tab/>
        <w:t>(4)</w:t>
      </w:r>
      <w:r w:rsidRPr="00A35C95">
        <w:rPr>
          <w:color w:val="000000"/>
        </w:rPr>
        <w:tab/>
        <w:t>If ASIC refuses a further period under paragraph (3)(a), the recipient may not make a further application under subregulation (1) in relation to that infringement notice.</w:t>
      </w:r>
    </w:p>
    <w:p w14:paraId="4301FE7D" w14:textId="77777777" w:rsidR="00E93F58" w:rsidRPr="00A35C95" w:rsidRDefault="00E93F58" w:rsidP="00366AB5">
      <w:pPr>
        <w:pStyle w:val="subsection"/>
        <w:tabs>
          <w:tab w:val="left" w:pos="2835"/>
        </w:tabs>
      </w:pPr>
      <w:r w:rsidRPr="00A35C95">
        <w:tab/>
        <w:t>(5)</w:t>
      </w:r>
      <w:r w:rsidRPr="00A35C95">
        <w:tab/>
        <w:t>If ASIC has not granted or refused a further period under paragraph (3)(a) within 14 days after receiving the application, ASIC is taken to have refused a further period.</w:t>
      </w:r>
    </w:p>
    <w:p w14:paraId="3E8CEC8F" w14:textId="77777777" w:rsidR="00E93F58" w:rsidRPr="00A35C95" w:rsidRDefault="00E93F58" w:rsidP="00366AB5">
      <w:pPr>
        <w:pStyle w:val="ActHead5"/>
        <w:tabs>
          <w:tab w:val="left" w:pos="2835"/>
        </w:tabs>
      </w:pPr>
      <w:bookmarkStart w:id="620" w:name="_Toc152057884"/>
      <w:bookmarkStart w:id="621" w:name="_Toc158712107"/>
      <w:r w:rsidRPr="00844D11">
        <w:rPr>
          <w:rStyle w:val="CharSectno"/>
        </w:rPr>
        <w:t>7.2A.10</w:t>
      </w:r>
      <w:r w:rsidRPr="00A35C95">
        <w:t xml:space="preserve">  Effect of compliance with infringement notice</w:t>
      </w:r>
      <w:bookmarkEnd w:id="620"/>
      <w:bookmarkEnd w:id="621"/>
    </w:p>
    <w:p w14:paraId="3F5BFA0C" w14:textId="77777777" w:rsidR="00E93F58" w:rsidRPr="00A35C95" w:rsidRDefault="00E93F58" w:rsidP="00366AB5">
      <w:pPr>
        <w:pStyle w:val="subsection"/>
        <w:tabs>
          <w:tab w:val="left" w:pos="2835"/>
        </w:tabs>
      </w:pPr>
      <w:r w:rsidRPr="00A35C95">
        <w:tab/>
        <w:t>(1)</w:t>
      </w:r>
      <w:r w:rsidRPr="00A35C95">
        <w:tab/>
        <w:t>Subject to subregulation (3), if:</w:t>
      </w:r>
    </w:p>
    <w:p w14:paraId="46947EDE" w14:textId="77777777" w:rsidR="00E93F58" w:rsidRPr="00A35C95" w:rsidRDefault="00E93F58" w:rsidP="00366AB5">
      <w:pPr>
        <w:pStyle w:val="paragraph"/>
        <w:tabs>
          <w:tab w:val="left" w:pos="2835"/>
        </w:tabs>
      </w:pPr>
      <w:r w:rsidRPr="00A35C95">
        <w:rPr>
          <w:color w:val="000000"/>
        </w:rPr>
        <w:tab/>
        <w:t>(a)</w:t>
      </w:r>
      <w:r w:rsidRPr="00A35C95">
        <w:rPr>
          <w:color w:val="000000"/>
        </w:rPr>
        <w:tab/>
        <w:t>an infringement notice is given to a recipient in relation to an alleged contravention of subsection 798H(1) of the Act; and</w:t>
      </w:r>
    </w:p>
    <w:p w14:paraId="49D3E2B0" w14:textId="77777777" w:rsidR="00E93F58" w:rsidRPr="00A35C95" w:rsidRDefault="00E93F58" w:rsidP="00366AB5">
      <w:pPr>
        <w:pStyle w:val="paragraph"/>
        <w:tabs>
          <w:tab w:val="left" w:pos="2835"/>
        </w:tabs>
      </w:pPr>
      <w:r w:rsidRPr="00A35C95">
        <w:tab/>
        <w:t>(b)</w:t>
      </w:r>
      <w:r w:rsidRPr="00A35C95">
        <w:tab/>
        <w:t>the infringement notice is not withdrawn; and</w:t>
      </w:r>
    </w:p>
    <w:p w14:paraId="60AC642F" w14:textId="77777777" w:rsidR="00E93F58" w:rsidRPr="00A35C95" w:rsidRDefault="00E93F58" w:rsidP="00366AB5">
      <w:pPr>
        <w:pStyle w:val="paragraph"/>
        <w:tabs>
          <w:tab w:val="left" w:pos="2835"/>
        </w:tabs>
      </w:pPr>
      <w:r w:rsidRPr="00A35C95">
        <w:tab/>
        <w:t>(c)</w:t>
      </w:r>
      <w:r w:rsidRPr="00A35C95">
        <w:tab/>
        <w:t>the recipient complies with the infringement notice;</w:t>
      </w:r>
    </w:p>
    <w:p w14:paraId="508C4EA4" w14:textId="77777777" w:rsidR="00E93F58" w:rsidRPr="00A35C95" w:rsidRDefault="00E93F58" w:rsidP="00366AB5">
      <w:pPr>
        <w:pStyle w:val="subsection2"/>
        <w:tabs>
          <w:tab w:val="left" w:pos="2835"/>
        </w:tabs>
      </w:pPr>
      <w:r w:rsidRPr="00A35C95">
        <w:rPr>
          <w:color w:val="000000"/>
        </w:rPr>
        <w:t>the effects in subregulation (2) apply.</w:t>
      </w:r>
    </w:p>
    <w:p w14:paraId="31B1D52D" w14:textId="77777777" w:rsidR="00E93F58" w:rsidRPr="00A35C95" w:rsidRDefault="00E93F58" w:rsidP="00366AB5">
      <w:pPr>
        <w:pStyle w:val="subsection"/>
        <w:tabs>
          <w:tab w:val="left" w:pos="2835"/>
        </w:tabs>
      </w:pPr>
      <w:r w:rsidRPr="00A35C95">
        <w:lastRenderedPageBreak/>
        <w:tab/>
        <w:t>(2)</w:t>
      </w:r>
      <w:r w:rsidRPr="00A35C95">
        <w:tab/>
        <w:t>The effects are:</w:t>
      </w:r>
    </w:p>
    <w:p w14:paraId="0E4BF2E5" w14:textId="77777777" w:rsidR="00E93F58" w:rsidRPr="00A35C95" w:rsidRDefault="00E93F58" w:rsidP="00366AB5">
      <w:pPr>
        <w:pStyle w:val="paragraph"/>
        <w:tabs>
          <w:tab w:val="left" w:pos="2835"/>
        </w:tabs>
      </w:pPr>
      <w:r w:rsidRPr="00A35C95">
        <w:rPr>
          <w:color w:val="000000"/>
          <w:shd w:val="clear" w:color="auto" w:fill="FFFFFF"/>
        </w:rPr>
        <w:tab/>
        <w:t>(a)</w:t>
      </w:r>
      <w:r w:rsidRPr="00A35C95">
        <w:rPr>
          <w:color w:val="000000"/>
          <w:shd w:val="clear" w:color="auto" w:fill="FFFFFF"/>
        </w:rPr>
        <w:tab/>
        <w:t xml:space="preserve">any liability of the recipient to the Commonwealth for the alleged contravention of subsection 798H(1) of the Act is discharged; </w:t>
      </w:r>
      <w:r w:rsidRPr="00A35C95">
        <w:rPr>
          <w:color w:val="000000"/>
        </w:rPr>
        <w:t>and</w:t>
      </w:r>
    </w:p>
    <w:p w14:paraId="12B202FA" w14:textId="77777777" w:rsidR="00E93F58" w:rsidRPr="00A35C95" w:rsidRDefault="00E93F58" w:rsidP="00366AB5">
      <w:pPr>
        <w:pStyle w:val="paragraph"/>
        <w:tabs>
          <w:tab w:val="left" w:pos="2835"/>
        </w:tabs>
      </w:pPr>
      <w:r w:rsidRPr="00A35C95">
        <w:tab/>
        <w:t>(b)</w:t>
      </w:r>
      <w:r w:rsidRPr="00A35C95">
        <w:tab/>
        <w:t xml:space="preserve">no civil or criminal proceedings may be brought or continued by the Commonwealth against the recipient for the conduct specified in the infringement notice as being the conduct that </w:t>
      </w:r>
      <w:r w:rsidRPr="00A35C95">
        <w:rPr>
          <w:shd w:val="clear" w:color="auto" w:fill="FFFFFF"/>
        </w:rPr>
        <w:t>made up</w:t>
      </w:r>
      <w:r w:rsidRPr="00A35C95">
        <w:t xml:space="preserve"> the alleged contravention of subsection 798H(1) of the Act; and</w:t>
      </w:r>
    </w:p>
    <w:p w14:paraId="5228E4BF" w14:textId="77777777" w:rsidR="00E93F58" w:rsidRPr="00A35C95" w:rsidRDefault="00E93F58" w:rsidP="00366AB5">
      <w:pPr>
        <w:pStyle w:val="paragraph"/>
        <w:tabs>
          <w:tab w:val="left" w:pos="2835"/>
        </w:tabs>
      </w:pPr>
      <w:r w:rsidRPr="00A35C95">
        <w:tab/>
        <w:t>(c)</w:t>
      </w:r>
      <w:r w:rsidRPr="00A35C95">
        <w:tab/>
        <w:t xml:space="preserve">no administrative action may be taken by ASIC under section 914A, 915B, 915C or 920A of the Act against the recipient for the conduct specified in the infringement notice as being the conduct that </w:t>
      </w:r>
      <w:r w:rsidRPr="00A35C95">
        <w:rPr>
          <w:shd w:val="clear" w:color="auto" w:fill="FFFFFF"/>
        </w:rPr>
        <w:t>made up</w:t>
      </w:r>
      <w:r w:rsidRPr="00A35C95">
        <w:t xml:space="preserve"> the alleged contravention of subsection 798H(1) of the Act; and</w:t>
      </w:r>
    </w:p>
    <w:p w14:paraId="05DC4882" w14:textId="77777777" w:rsidR="00E93F58" w:rsidRPr="00A35C95" w:rsidRDefault="00E93F58" w:rsidP="00366AB5">
      <w:pPr>
        <w:pStyle w:val="paragraph"/>
        <w:tabs>
          <w:tab w:val="left" w:pos="2835"/>
        </w:tabs>
      </w:pPr>
      <w:r w:rsidRPr="00A35C95">
        <w:tab/>
        <w:t>(d)</w:t>
      </w:r>
      <w:r w:rsidRPr="00A35C95">
        <w:tab/>
        <w:t>the recipient is not taken to have admitted guilt or liability in relation to the alleged contravention; and</w:t>
      </w:r>
    </w:p>
    <w:p w14:paraId="6ED663E3" w14:textId="77777777" w:rsidR="00E93F58" w:rsidRPr="00A35C95" w:rsidRDefault="00E93F58" w:rsidP="00366AB5">
      <w:pPr>
        <w:pStyle w:val="paragraph"/>
        <w:tabs>
          <w:tab w:val="left" w:pos="2835"/>
        </w:tabs>
      </w:pPr>
      <w:r w:rsidRPr="00A35C95">
        <w:rPr>
          <w:color w:val="000000"/>
        </w:rPr>
        <w:tab/>
        <w:t>(e)</w:t>
      </w:r>
      <w:r w:rsidRPr="00A35C95">
        <w:rPr>
          <w:color w:val="000000"/>
        </w:rPr>
        <w:tab/>
        <w:t>the recipient is not taken to have contravened subsection 798H(1) of the Act.</w:t>
      </w:r>
    </w:p>
    <w:p w14:paraId="31C2F24D" w14:textId="77777777" w:rsidR="00E93F58" w:rsidRPr="00A35C95" w:rsidRDefault="00E93F58" w:rsidP="00366AB5">
      <w:pPr>
        <w:pStyle w:val="notetext"/>
        <w:tabs>
          <w:tab w:val="left" w:pos="2835"/>
        </w:tabs>
      </w:pPr>
      <w:r w:rsidRPr="00A35C95">
        <w:rPr>
          <w:color w:val="000000"/>
        </w:rPr>
        <w:t>Note:</w:t>
      </w:r>
      <w:r w:rsidRPr="00A35C95">
        <w:rPr>
          <w:color w:val="000000"/>
        </w:rPr>
        <w:tab/>
        <w:t xml:space="preserve">Third parties are not prevented from commencing civil proceedings against the recipient, including under sections 793C and 1101B of the Act, and under section 1317J of the Act in relation to sections 1317G and 1317HB of the Act. ASIC is not prevented from applying for an order on behalf of a plaintiff in accordance with </w:t>
      </w:r>
      <w:r w:rsidRPr="00A35C95">
        <w:rPr>
          <w:color w:val="000000"/>
          <w:shd w:val="clear" w:color="auto" w:fill="FFFFFF"/>
        </w:rPr>
        <w:t>the Act</w:t>
      </w:r>
      <w:r w:rsidRPr="00A35C95">
        <w:rPr>
          <w:color w:val="000000"/>
        </w:rPr>
        <w:t>.</w:t>
      </w:r>
    </w:p>
    <w:p w14:paraId="1ED6511C" w14:textId="77777777" w:rsidR="00E93F58" w:rsidRPr="00A35C95" w:rsidRDefault="00E93F58" w:rsidP="00366AB5">
      <w:pPr>
        <w:pStyle w:val="subsection"/>
        <w:tabs>
          <w:tab w:val="left" w:pos="2835"/>
        </w:tabs>
      </w:pPr>
      <w:r w:rsidRPr="00A35C95">
        <w:tab/>
        <w:t>(3)</w:t>
      </w:r>
      <w:r w:rsidRPr="00A35C95">
        <w:tab/>
        <w:t>Subregulation (2) does not apply if the recipient has knowingly:</w:t>
      </w:r>
    </w:p>
    <w:p w14:paraId="1EF2708C" w14:textId="77777777" w:rsidR="00E93F58" w:rsidRPr="00A35C95" w:rsidRDefault="00E93F58" w:rsidP="00366AB5">
      <w:pPr>
        <w:pStyle w:val="paragraph"/>
        <w:tabs>
          <w:tab w:val="left" w:pos="2835"/>
        </w:tabs>
      </w:pPr>
      <w:r w:rsidRPr="00A35C95">
        <w:rPr>
          <w:color w:val="000000"/>
        </w:rPr>
        <w:tab/>
        <w:t>(a)</w:t>
      </w:r>
      <w:r w:rsidRPr="00A35C95">
        <w:rPr>
          <w:color w:val="000000"/>
        </w:rPr>
        <w:tab/>
        <w:t>provided false or misleading information to ASIC; or</w:t>
      </w:r>
    </w:p>
    <w:p w14:paraId="55D46860" w14:textId="77777777" w:rsidR="00E93F58" w:rsidRPr="00A35C95" w:rsidRDefault="00E93F58" w:rsidP="00366AB5">
      <w:pPr>
        <w:pStyle w:val="paragraph"/>
        <w:tabs>
          <w:tab w:val="left" w:pos="2835"/>
        </w:tabs>
      </w:pPr>
      <w:r w:rsidRPr="00A35C95">
        <w:tab/>
        <w:t>(b)</w:t>
      </w:r>
      <w:r w:rsidRPr="00A35C95">
        <w:tab/>
        <w:t>withheld evidence or information from ASIC;</w:t>
      </w:r>
    </w:p>
    <w:p w14:paraId="50B50995" w14:textId="77777777" w:rsidR="00E93F58" w:rsidRPr="00A35C95" w:rsidRDefault="00E93F58" w:rsidP="00366AB5">
      <w:pPr>
        <w:pStyle w:val="subsection2"/>
        <w:tabs>
          <w:tab w:val="left" w:pos="2835"/>
        </w:tabs>
      </w:pPr>
      <w:r w:rsidRPr="00A35C95">
        <w:rPr>
          <w:color w:val="000000"/>
        </w:rPr>
        <w:t>in relation to the alleged contravention of subsection 798H(1) of the Act.</w:t>
      </w:r>
    </w:p>
    <w:p w14:paraId="4C3D89BF" w14:textId="77777777" w:rsidR="00E93F58" w:rsidRPr="00A35C95" w:rsidRDefault="00E93F58" w:rsidP="00366AB5">
      <w:pPr>
        <w:pStyle w:val="ActHead5"/>
        <w:tabs>
          <w:tab w:val="left" w:pos="2835"/>
        </w:tabs>
      </w:pPr>
      <w:bookmarkStart w:id="622" w:name="_Toc152057885"/>
      <w:bookmarkStart w:id="623" w:name="_Toc158712108"/>
      <w:r w:rsidRPr="00844D11">
        <w:rPr>
          <w:rStyle w:val="CharSectno"/>
        </w:rPr>
        <w:t>7.2A.11</w:t>
      </w:r>
      <w:r w:rsidRPr="00A35C95">
        <w:t xml:space="preserve">  Application to withdraw infringement notice</w:t>
      </w:r>
      <w:bookmarkEnd w:id="622"/>
      <w:bookmarkEnd w:id="623"/>
    </w:p>
    <w:p w14:paraId="6FDA3E73" w14:textId="77777777" w:rsidR="00E93F58" w:rsidRPr="00A35C95" w:rsidRDefault="00E93F58" w:rsidP="00366AB5">
      <w:pPr>
        <w:pStyle w:val="subsection"/>
        <w:tabs>
          <w:tab w:val="left" w:pos="2835"/>
        </w:tabs>
      </w:pPr>
      <w:r w:rsidRPr="00A35C95">
        <w:rPr>
          <w:color w:val="000000"/>
        </w:rPr>
        <w:tab/>
        <w:t>(1)</w:t>
      </w:r>
      <w:r w:rsidRPr="00A35C95">
        <w:rPr>
          <w:color w:val="000000"/>
        </w:rPr>
        <w:tab/>
        <w:t>During the compliance period, a recipient of an infringement notice may apply, in writing, to ASIC for the infringement notice to be withdrawn.</w:t>
      </w:r>
    </w:p>
    <w:p w14:paraId="229AA85B" w14:textId="77777777" w:rsidR="00E93F58" w:rsidRPr="00A35C95" w:rsidRDefault="00E93F58" w:rsidP="00366AB5">
      <w:pPr>
        <w:pStyle w:val="subsection"/>
        <w:tabs>
          <w:tab w:val="left" w:pos="2835"/>
        </w:tabs>
      </w:pPr>
      <w:r w:rsidRPr="00A35C95">
        <w:tab/>
        <w:t>(2)</w:t>
      </w:r>
      <w:r w:rsidRPr="00A35C95">
        <w:tab/>
        <w:t>The application must:</w:t>
      </w:r>
    </w:p>
    <w:p w14:paraId="22397829" w14:textId="77777777" w:rsidR="00E93F58" w:rsidRPr="00A35C95" w:rsidRDefault="00E93F58" w:rsidP="00366AB5">
      <w:pPr>
        <w:pStyle w:val="paragraph"/>
        <w:tabs>
          <w:tab w:val="left" w:pos="2835"/>
        </w:tabs>
      </w:pPr>
      <w:r w:rsidRPr="00A35C95">
        <w:rPr>
          <w:color w:val="000000"/>
        </w:rPr>
        <w:tab/>
        <w:t>(a)</w:t>
      </w:r>
      <w:r w:rsidRPr="00A35C95">
        <w:rPr>
          <w:color w:val="000000"/>
        </w:rPr>
        <w:tab/>
        <w:t>specify the infringement notice’s unique identification code; and</w:t>
      </w:r>
    </w:p>
    <w:p w14:paraId="11C39337" w14:textId="77777777" w:rsidR="00E93F58" w:rsidRPr="00A35C95" w:rsidRDefault="00E93F58" w:rsidP="00366AB5">
      <w:pPr>
        <w:pStyle w:val="paragraph"/>
        <w:tabs>
          <w:tab w:val="left" w:pos="2835"/>
        </w:tabs>
      </w:pPr>
      <w:r w:rsidRPr="00A35C95">
        <w:tab/>
        <w:t>(b)</w:t>
      </w:r>
      <w:r w:rsidRPr="00A35C95">
        <w:tab/>
        <w:t>set out the reasons for the application.</w:t>
      </w:r>
    </w:p>
    <w:p w14:paraId="16F3620D" w14:textId="77777777" w:rsidR="00E93F58" w:rsidRPr="00A35C95" w:rsidRDefault="00E93F58" w:rsidP="00366AB5">
      <w:pPr>
        <w:pStyle w:val="subsection"/>
        <w:tabs>
          <w:tab w:val="left" w:pos="2835"/>
        </w:tabs>
      </w:pPr>
      <w:r w:rsidRPr="00A35C95">
        <w:tab/>
        <w:t>(3)</w:t>
      </w:r>
      <w:r w:rsidRPr="00A35C95">
        <w:tab/>
        <w:t>Within 14 days after receiving the application, ASIC must:</w:t>
      </w:r>
    </w:p>
    <w:p w14:paraId="120541A0" w14:textId="77777777" w:rsidR="00E93F58" w:rsidRPr="00A35C95" w:rsidRDefault="00E93F58" w:rsidP="00366AB5">
      <w:pPr>
        <w:pStyle w:val="paragraph"/>
        <w:tabs>
          <w:tab w:val="left" w:pos="2835"/>
        </w:tabs>
      </w:pPr>
      <w:r w:rsidRPr="00A35C95">
        <w:rPr>
          <w:color w:val="000000"/>
        </w:rPr>
        <w:tab/>
        <w:t>(a)</w:t>
      </w:r>
      <w:r w:rsidRPr="00A35C95">
        <w:rPr>
          <w:color w:val="000000"/>
        </w:rPr>
        <w:tab/>
        <w:t>withdraw or refuse to withdraw the infringement notice; and</w:t>
      </w:r>
    </w:p>
    <w:p w14:paraId="6EB353BD" w14:textId="77777777" w:rsidR="00E93F58" w:rsidRPr="00A35C95" w:rsidRDefault="00E93F58" w:rsidP="00366AB5">
      <w:pPr>
        <w:pStyle w:val="paragraph"/>
        <w:tabs>
          <w:tab w:val="left" w:pos="2835"/>
        </w:tabs>
      </w:pPr>
      <w:r w:rsidRPr="00A35C95">
        <w:tab/>
        <w:t>(b)</w:t>
      </w:r>
      <w:r w:rsidRPr="00A35C95">
        <w:tab/>
        <w:t>notify the recipient in writing of the decision and, if the decision is a refusal, the reasons for the decision.</w:t>
      </w:r>
    </w:p>
    <w:p w14:paraId="70A077D6" w14:textId="77777777" w:rsidR="00E93F58" w:rsidRPr="00A35C95" w:rsidRDefault="00E93F58" w:rsidP="00366AB5">
      <w:pPr>
        <w:pStyle w:val="subsection"/>
        <w:tabs>
          <w:tab w:val="left" w:pos="2835"/>
        </w:tabs>
      </w:pPr>
      <w:r w:rsidRPr="00A35C95">
        <w:tab/>
        <w:t>(4)</w:t>
      </w:r>
      <w:r w:rsidRPr="00A35C95">
        <w:tab/>
        <w:t>Without limiting subregulation (3), ASIC may withdraw the infringement notice after taking into account the following matters:</w:t>
      </w:r>
    </w:p>
    <w:p w14:paraId="57224873" w14:textId="77777777" w:rsidR="00E93F58" w:rsidRPr="00A35C95" w:rsidRDefault="00E93F58" w:rsidP="00366AB5">
      <w:pPr>
        <w:pStyle w:val="paragraph"/>
        <w:tabs>
          <w:tab w:val="left" w:pos="2835"/>
        </w:tabs>
      </w:pPr>
      <w:r w:rsidRPr="00A35C95">
        <w:rPr>
          <w:color w:val="000000"/>
        </w:rPr>
        <w:tab/>
        <w:t>(a)</w:t>
      </w:r>
      <w:r w:rsidRPr="00A35C95">
        <w:rPr>
          <w:color w:val="000000"/>
        </w:rPr>
        <w:tab/>
        <w:t>whether the recipient has previously been found to have contravened subsection 798H(1) of the Act;</w:t>
      </w:r>
    </w:p>
    <w:p w14:paraId="5942396B" w14:textId="77777777" w:rsidR="00E93F58" w:rsidRPr="00A35C95" w:rsidRDefault="00E93F58" w:rsidP="00366AB5">
      <w:pPr>
        <w:pStyle w:val="paragraph"/>
        <w:tabs>
          <w:tab w:val="left" w:pos="2835"/>
        </w:tabs>
      </w:pPr>
      <w:r w:rsidRPr="00A35C95">
        <w:tab/>
        <w:t>(b)</w:t>
      </w:r>
      <w:r w:rsidRPr="00A35C95">
        <w:tab/>
        <w:t>the circumstances in which the contravention set out in the infringement notice is alleged to have occurred;</w:t>
      </w:r>
    </w:p>
    <w:p w14:paraId="5CA1AF50" w14:textId="77777777" w:rsidR="00E93F58" w:rsidRPr="00A35C95" w:rsidRDefault="00E93F58" w:rsidP="00366AB5">
      <w:pPr>
        <w:pStyle w:val="paragraph"/>
        <w:tabs>
          <w:tab w:val="left" w:pos="2835"/>
        </w:tabs>
      </w:pPr>
      <w:r w:rsidRPr="00A35C95">
        <w:tab/>
        <w:t>(c)</w:t>
      </w:r>
      <w:r w:rsidRPr="00A35C95">
        <w:tab/>
        <w:t xml:space="preserve">whether an infringement notice has previously been given to the recipient in relation to an alleged contravention of subsection 798H(1) of the Act, </w:t>
      </w:r>
      <w:r w:rsidRPr="00A35C95">
        <w:rPr>
          <w:shd w:val="clear" w:color="auto" w:fill="FFFFFF"/>
        </w:rPr>
        <w:t xml:space="preserve">and whether the recipient complied with the </w:t>
      </w:r>
      <w:r w:rsidRPr="00A35C95">
        <w:t>infringement</w:t>
      </w:r>
      <w:r w:rsidRPr="00A35C95">
        <w:rPr>
          <w:shd w:val="clear" w:color="auto" w:fill="FFFFFF"/>
        </w:rPr>
        <w:t xml:space="preserve"> notice;</w:t>
      </w:r>
    </w:p>
    <w:p w14:paraId="41CF6A0D" w14:textId="77777777" w:rsidR="00E93F58" w:rsidRPr="00A35C95" w:rsidRDefault="00E93F58" w:rsidP="00366AB5">
      <w:pPr>
        <w:pStyle w:val="paragraph"/>
        <w:tabs>
          <w:tab w:val="left" w:pos="2835"/>
        </w:tabs>
      </w:pPr>
      <w:r w:rsidRPr="00A35C95">
        <w:tab/>
        <w:t>(d)</w:t>
      </w:r>
      <w:r w:rsidRPr="00A35C95">
        <w:tab/>
        <w:t>any other relevant matter.</w:t>
      </w:r>
    </w:p>
    <w:p w14:paraId="4D245455" w14:textId="77777777" w:rsidR="00E93F58" w:rsidRPr="00A35C95" w:rsidRDefault="00E93F58" w:rsidP="00366AB5">
      <w:pPr>
        <w:pStyle w:val="subsection"/>
        <w:tabs>
          <w:tab w:val="left" w:pos="2835"/>
        </w:tabs>
      </w:pPr>
      <w:r w:rsidRPr="00A35C95">
        <w:rPr>
          <w:color w:val="000000"/>
        </w:rPr>
        <w:tab/>
        <w:t>(5)</w:t>
      </w:r>
      <w:r w:rsidRPr="00A35C95">
        <w:rPr>
          <w:color w:val="000000"/>
        </w:rPr>
        <w:tab/>
        <w:t>If, under paragraph (3)(a), ASIC refuses to withdraw the infringement notice, the recipient may not make a further application under subregulation (1) in relation to that infringement notice.</w:t>
      </w:r>
    </w:p>
    <w:p w14:paraId="05C41208" w14:textId="77777777" w:rsidR="00E93F58" w:rsidRPr="00A35C95" w:rsidRDefault="00E93F58" w:rsidP="00366AB5">
      <w:pPr>
        <w:pStyle w:val="subsection"/>
        <w:tabs>
          <w:tab w:val="left" w:pos="2835"/>
        </w:tabs>
      </w:pPr>
      <w:r w:rsidRPr="00A35C95">
        <w:tab/>
        <w:t>(6)</w:t>
      </w:r>
      <w:r w:rsidRPr="00A35C95">
        <w:tab/>
        <w:t>If ASIC has not withdrawn, or refused to withdraw, the infringement notice within 14 days after receiving the application, ASIC is taken to have refused to withdraw the infringement notice.</w:t>
      </w:r>
    </w:p>
    <w:p w14:paraId="4DF46584" w14:textId="77777777" w:rsidR="00E93F58" w:rsidRPr="00A35C95" w:rsidRDefault="00E93F58" w:rsidP="00366AB5">
      <w:pPr>
        <w:pStyle w:val="ActHead5"/>
        <w:tabs>
          <w:tab w:val="left" w:pos="2835"/>
        </w:tabs>
      </w:pPr>
      <w:bookmarkStart w:id="624" w:name="_Toc152057886"/>
      <w:bookmarkStart w:id="625" w:name="_Toc158712109"/>
      <w:r w:rsidRPr="00844D11">
        <w:rPr>
          <w:rStyle w:val="CharSectno"/>
        </w:rPr>
        <w:t>7.2A.12</w:t>
      </w:r>
      <w:r w:rsidRPr="00A35C95">
        <w:t xml:space="preserve">  Withdrawal of infringement notice by ASIC</w:t>
      </w:r>
      <w:bookmarkEnd w:id="624"/>
      <w:bookmarkEnd w:id="625"/>
    </w:p>
    <w:p w14:paraId="33E76407" w14:textId="77777777" w:rsidR="00E93F58" w:rsidRPr="00A35C95" w:rsidRDefault="00E93F58" w:rsidP="00366AB5">
      <w:pPr>
        <w:pStyle w:val="subsection"/>
        <w:tabs>
          <w:tab w:val="left" w:pos="2835"/>
        </w:tabs>
      </w:pPr>
      <w:r w:rsidRPr="00A35C95">
        <w:rPr>
          <w:color w:val="000000"/>
        </w:rPr>
        <w:tab/>
        <w:t>(1)</w:t>
      </w:r>
      <w:r w:rsidRPr="00A35C95">
        <w:rPr>
          <w:color w:val="000000"/>
        </w:rPr>
        <w:tab/>
        <w:t>ASIC may withdraw an infringement notice given by ASIC without an application under regulation 7.2A.11 having been made.</w:t>
      </w:r>
    </w:p>
    <w:p w14:paraId="4EF529AC" w14:textId="77777777" w:rsidR="00E93F58" w:rsidRPr="00A35C95" w:rsidRDefault="00E93F58" w:rsidP="00366AB5">
      <w:pPr>
        <w:pStyle w:val="subsection"/>
        <w:tabs>
          <w:tab w:val="left" w:pos="2835"/>
        </w:tabs>
      </w:pPr>
      <w:r w:rsidRPr="00A35C95">
        <w:rPr>
          <w:color w:val="000000"/>
        </w:rPr>
        <w:tab/>
        <w:t>(2)</w:t>
      </w:r>
      <w:r w:rsidRPr="00A35C95">
        <w:rPr>
          <w:color w:val="000000"/>
        </w:rPr>
        <w:tab/>
        <w:t>Without limiting subregulation (1), ASIC may withdraw the infringement notice after taking into account a matter mentioned in paragraph 7.2A.11(4)(a), (b), (c) or (d).</w:t>
      </w:r>
    </w:p>
    <w:p w14:paraId="2E4C901D" w14:textId="77777777" w:rsidR="00E93F58" w:rsidRPr="00A35C95" w:rsidRDefault="00E93F58" w:rsidP="00366AB5">
      <w:pPr>
        <w:pStyle w:val="ActHead5"/>
        <w:tabs>
          <w:tab w:val="left" w:pos="2835"/>
        </w:tabs>
      </w:pPr>
      <w:bookmarkStart w:id="626" w:name="_Toc152057887"/>
      <w:bookmarkStart w:id="627" w:name="_Toc158712110"/>
      <w:r w:rsidRPr="00844D11">
        <w:rPr>
          <w:rStyle w:val="CharSectno"/>
        </w:rPr>
        <w:t>7.2A.13</w:t>
      </w:r>
      <w:r w:rsidRPr="00A35C95">
        <w:t xml:space="preserve">  Notice of withdrawal of infringement notice</w:t>
      </w:r>
      <w:bookmarkEnd w:id="626"/>
      <w:bookmarkEnd w:id="627"/>
    </w:p>
    <w:p w14:paraId="4A418033" w14:textId="77777777" w:rsidR="00E93F58" w:rsidRPr="00A35C95" w:rsidRDefault="00E93F58" w:rsidP="00366AB5">
      <w:pPr>
        <w:pStyle w:val="subsection"/>
        <w:tabs>
          <w:tab w:val="left" w:pos="2835"/>
        </w:tabs>
      </w:pPr>
      <w:r w:rsidRPr="00A35C95">
        <w:tab/>
        <w:t>(1)</w:t>
      </w:r>
      <w:r w:rsidRPr="00A35C95">
        <w:tab/>
        <w:t>A notice withdrawing an infringement notice must include the following information:</w:t>
      </w:r>
    </w:p>
    <w:p w14:paraId="4DE0124C" w14:textId="77777777" w:rsidR="00E93F58" w:rsidRPr="00A35C95" w:rsidRDefault="00E93F58" w:rsidP="00366AB5">
      <w:pPr>
        <w:pStyle w:val="paragraph"/>
        <w:tabs>
          <w:tab w:val="left" w:pos="2835"/>
        </w:tabs>
      </w:pPr>
      <w:r w:rsidRPr="00A35C95">
        <w:rPr>
          <w:color w:val="000000"/>
        </w:rPr>
        <w:lastRenderedPageBreak/>
        <w:tab/>
        <w:t>(a)</w:t>
      </w:r>
      <w:r w:rsidRPr="00A35C95">
        <w:rPr>
          <w:color w:val="000000"/>
        </w:rPr>
        <w:tab/>
        <w:t>the name and address of the recipient;</w:t>
      </w:r>
    </w:p>
    <w:p w14:paraId="282ACB6C" w14:textId="77777777" w:rsidR="00E93F58" w:rsidRPr="00A35C95" w:rsidRDefault="00E93F58" w:rsidP="00366AB5">
      <w:pPr>
        <w:pStyle w:val="paragraph"/>
        <w:tabs>
          <w:tab w:val="left" w:pos="2835"/>
        </w:tabs>
      </w:pPr>
      <w:r w:rsidRPr="00A35C95">
        <w:tab/>
        <w:t>(b)</w:t>
      </w:r>
      <w:r w:rsidRPr="00A35C95">
        <w:tab/>
        <w:t>the date the infringement notice was given;</w:t>
      </w:r>
    </w:p>
    <w:p w14:paraId="0CCAB199" w14:textId="77777777" w:rsidR="00E93F58" w:rsidRPr="00A35C95" w:rsidRDefault="00E93F58" w:rsidP="00366AB5">
      <w:pPr>
        <w:pStyle w:val="paragraph"/>
        <w:tabs>
          <w:tab w:val="left" w:pos="2835"/>
        </w:tabs>
      </w:pPr>
      <w:r w:rsidRPr="00A35C95">
        <w:tab/>
        <w:t>(c)</w:t>
      </w:r>
      <w:r w:rsidRPr="00A35C95">
        <w:tab/>
        <w:t>the infringement notice’s unique identification code.</w:t>
      </w:r>
    </w:p>
    <w:p w14:paraId="570BF95F" w14:textId="77777777" w:rsidR="00E93F58" w:rsidRPr="00A35C95" w:rsidRDefault="00E93F58" w:rsidP="00366AB5">
      <w:pPr>
        <w:pStyle w:val="subsection"/>
        <w:tabs>
          <w:tab w:val="left" w:pos="2835"/>
        </w:tabs>
      </w:pPr>
      <w:r w:rsidRPr="00A35C95">
        <w:rPr>
          <w:color w:val="000000"/>
        </w:rPr>
        <w:tab/>
        <w:t>(2)</w:t>
      </w:r>
      <w:r w:rsidRPr="00A35C95">
        <w:rPr>
          <w:color w:val="000000"/>
        </w:rPr>
        <w:tab/>
        <w:t>The notice must also state that the infringement notice is withdrawn.</w:t>
      </w:r>
    </w:p>
    <w:p w14:paraId="016A9399" w14:textId="77777777" w:rsidR="00E93F58" w:rsidRPr="00A35C95" w:rsidRDefault="00E93F58" w:rsidP="00366AB5">
      <w:pPr>
        <w:pStyle w:val="ActHead5"/>
        <w:tabs>
          <w:tab w:val="left" w:pos="2835"/>
        </w:tabs>
      </w:pPr>
      <w:bookmarkStart w:id="628" w:name="_Toc152057888"/>
      <w:bookmarkStart w:id="629" w:name="_Toc158712111"/>
      <w:r w:rsidRPr="00844D11">
        <w:rPr>
          <w:rStyle w:val="CharSectno"/>
        </w:rPr>
        <w:t>7.2A.14</w:t>
      </w:r>
      <w:r w:rsidRPr="00A35C95">
        <w:t xml:space="preserve">  Withdrawal of notice after compliance</w:t>
      </w:r>
      <w:bookmarkEnd w:id="628"/>
      <w:bookmarkEnd w:id="629"/>
    </w:p>
    <w:p w14:paraId="70ACFF23" w14:textId="77777777" w:rsidR="00E93F58" w:rsidRPr="00A35C95" w:rsidRDefault="00E93F58" w:rsidP="00366AB5">
      <w:pPr>
        <w:pStyle w:val="subsection"/>
        <w:keepNext/>
        <w:keepLines/>
        <w:tabs>
          <w:tab w:val="left" w:pos="2835"/>
        </w:tabs>
      </w:pPr>
      <w:r w:rsidRPr="00A35C95">
        <w:tab/>
        <w:t>(1)</w:t>
      </w:r>
      <w:r w:rsidRPr="00A35C95">
        <w:tab/>
        <w:t>ASIC may withdraw an infringement notice after the recipient has complied with the infringement notice only if the recipient agrees, in writing, to the withdrawal.</w:t>
      </w:r>
    </w:p>
    <w:p w14:paraId="37C4E883" w14:textId="77777777" w:rsidR="00E93F58" w:rsidRPr="00A35C95" w:rsidRDefault="00E93F58" w:rsidP="00366AB5">
      <w:pPr>
        <w:pStyle w:val="subsection"/>
        <w:tabs>
          <w:tab w:val="left" w:pos="2835"/>
        </w:tabs>
      </w:pPr>
      <w:r w:rsidRPr="00A35C95">
        <w:rPr>
          <w:color w:val="000000"/>
        </w:rPr>
        <w:tab/>
        <w:t>(2)</w:t>
      </w:r>
      <w:r w:rsidRPr="00A35C95">
        <w:rPr>
          <w:color w:val="000000"/>
        </w:rPr>
        <w:tab/>
        <w:t>If an infringement notice is withdrawn after the penalty specified in it (if any) has been paid, the Commonwealth must refund the amount of the penalty to the person who paid it.</w:t>
      </w:r>
    </w:p>
    <w:p w14:paraId="1818C647" w14:textId="77777777" w:rsidR="00E93F58" w:rsidRPr="00A35C95" w:rsidRDefault="00E93F58" w:rsidP="00366AB5">
      <w:pPr>
        <w:pStyle w:val="subsection"/>
        <w:tabs>
          <w:tab w:val="left" w:pos="2835"/>
        </w:tabs>
      </w:pPr>
      <w:r w:rsidRPr="00A35C95">
        <w:tab/>
        <w:t>(3)</w:t>
      </w:r>
      <w:r w:rsidRPr="00A35C95">
        <w:tab/>
        <w:t>If an infringement notice is withdrawn after the recipient has complied with a requirement specified in the infringement notice:</w:t>
      </w:r>
    </w:p>
    <w:p w14:paraId="097B5FB9" w14:textId="77777777" w:rsidR="00E93F58" w:rsidRPr="00A35C95" w:rsidRDefault="00E93F58" w:rsidP="00366AB5">
      <w:pPr>
        <w:pStyle w:val="paragraph"/>
        <w:tabs>
          <w:tab w:val="left" w:pos="2835"/>
        </w:tabs>
      </w:pPr>
      <w:r w:rsidRPr="00A35C95">
        <w:rPr>
          <w:color w:val="000000"/>
        </w:rPr>
        <w:tab/>
        <w:t>(a)</w:t>
      </w:r>
      <w:r w:rsidRPr="00A35C95">
        <w:rPr>
          <w:color w:val="000000"/>
        </w:rPr>
        <w:tab/>
        <w:t>to undertake or institute remedial measures; or</w:t>
      </w:r>
    </w:p>
    <w:p w14:paraId="5D13EC16" w14:textId="77777777" w:rsidR="00E93F58" w:rsidRPr="00A35C95" w:rsidRDefault="00E93F58" w:rsidP="00366AB5">
      <w:pPr>
        <w:pStyle w:val="paragraph"/>
        <w:tabs>
          <w:tab w:val="left" w:pos="2835"/>
        </w:tabs>
      </w:pPr>
      <w:r w:rsidRPr="00A35C95">
        <w:tab/>
        <w:t>(b)</w:t>
      </w:r>
      <w:r w:rsidRPr="00A35C95">
        <w:tab/>
        <w:t>to accept sanctions other than a payment of a penalty to the Commonwealth; or</w:t>
      </w:r>
    </w:p>
    <w:p w14:paraId="6054E474" w14:textId="77777777" w:rsidR="00E93F58" w:rsidRPr="00A35C95" w:rsidRDefault="00E93F58" w:rsidP="00366AB5">
      <w:pPr>
        <w:pStyle w:val="paragraph"/>
        <w:tabs>
          <w:tab w:val="left" w:pos="2835"/>
        </w:tabs>
      </w:pPr>
      <w:r w:rsidRPr="00A35C95">
        <w:tab/>
        <w:t>(c)</w:t>
      </w:r>
      <w:r w:rsidRPr="00A35C95">
        <w:tab/>
        <w:t>to enter into an undertaking;</w:t>
      </w:r>
    </w:p>
    <w:p w14:paraId="33CD1587" w14:textId="77777777" w:rsidR="00E93F58" w:rsidRPr="00A35C95" w:rsidRDefault="00E93F58" w:rsidP="00366AB5">
      <w:pPr>
        <w:pStyle w:val="subsection2"/>
        <w:tabs>
          <w:tab w:val="left" w:pos="2835"/>
        </w:tabs>
      </w:pPr>
      <w:r w:rsidRPr="00A35C95">
        <w:rPr>
          <w:color w:val="000000"/>
        </w:rPr>
        <w:t>the remedial measures, sanctions or undertaking are taken to no longer be enforceable by ASIC.</w:t>
      </w:r>
    </w:p>
    <w:p w14:paraId="5DBF9849" w14:textId="77777777" w:rsidR="00E93F58" w:rsidRPr="00A35C95" w:rsidRDefault="00E93F58" w:rsidP="00366AB5">
      <w:pPr>
        <w:pStyle w:val="ActHead5"/>
        <w:tabs>
          <w:tab w:val="left" w:pos="2835"/>
        </w:tabs>
      </w:pPr>
      <w:bookmarkStart w:id="630" w:name="_Toc152057889"/>
      <w:bookmarkStart w:id="631" w:name="_Toc158712112"/>
      <w:r w:rsidRPr="00844D11">
        <w:rPr>
          <w:rStyle w:val="CharSectno"/>
        </w:rPr>
        <w:t>7.2A.15</w:t>
      </w:r>
      <w:r w:rsidRPr="00A35C95">
        <w:t xml:space="preserve">  Publication of details of infringement notice</w:t>
      </w:r>
      <w:bookmarkEnd w:id="630"/>
      <w:bookmarkEnd w:id="631"/>
    </w:p>
    <w:p w14:paraId="1A4203DC" w14:textId="77777777" w:rsidR="00E93F58" w:rsidRPr="00A35C95" w:rsidRDefault="00E93F58" w:rsidP="00366AB5">
      <w:pPr>
        <w:pStyle w:val="subsection"/>
        <w:tabs>
          <w:tab w:val="left" w:pos="2835"/>
        </w:tabs>
      </w:pPr>
      <w:r w:rsidRPr="00A35C95">
        <w:rPr>
          <w:color w:val="000000"/>
        </w:rPr>
        <w:tab/>
        <w:t>(1)</w:t>
      </w:r>
      <w:r w:rsidRPr="00A35C95">
        <w:rPr>
          <w:color w:val="000000"/>
        </w:rPr>
        <w:tab/>
        <w:t>If ASIC gives an infringement notice to a recipient, ASIC may, at the end of the compliance period, publish details of the infringement notice.</w:t>
      </w:r>
    </w:p>
    <w:p w14:paraId="719AD281" w14:textId="77777777" w:rsidR="00E93F58" w:rsidRPr="00A35C95" w:rsidRDefault="00E93F58" w:rsidP="00366AB5">
      <w:pPr>
        <w:pStyle w:val="subsection"/>
        <w:tabs>
          <w:tab w:val="left" w:pos="2835"/>
        </w:tabs>
      </w:pPr>
      <w:r w:rsidRPr="00A35C95">
        <w:rPr>
          <w:color w:val="000000"/>
        </w:rPr>
        <w:tab/>
        <w:t>(2)</w:t>
      </w:r>
      <w:r w:rsidRPr="00A35C95">
        <w:rPr>
          <w:color w:val="000000"/>
        </w:rPr>
        <w:tab/>
        <w:t xml:space="preserve">If ASIC decides to publish details of the infringement notice, ASIC </w:t>
      </w:r>
      <w:r w:rsidRPr="00A35C95">
        <w:rPr>
          <w:color w:val="000000"/>
          <w:shd w:val="clear" w:color="auto" w:fill="FFFFFF"/>
        </w:rPr>
        <w:t>must</w:t>
      </w:r>
      <w:r w:rsidRPr="00A35C95">
        <w:rPr>
          <w:color w:val="000000"/>
        </w:rPr>
        <w:t xml:space="preserve"> publish the details in accordance with either or both of subregulations (3) and (4).</w:t>
      </w:r>
    </w:p>
    <w:p w14:paraId="5B8A98EC" w14:textId="77777777" w:rsidR="00E93F58" w:rsidRPr="00A35C95" w:rsidRDefault="00E93F58" w:rsidP="00366AB5">
      <w:pPr>
        <w:pStyle w:val="subsection"/>
        <w:tabs>
          <w:tab w:val="left" w:pos="2835"/>
        </w:tabs>
      </w:pPr>
      <w:r w:rsidRPr="00A35C95">
        <w:tab/>
        <w:t>(3)</w:t>
      </w:r>
      <w:r w:rsidRPr="00A35C95">
        <w:tab/>
        <w:t xml:space="preserve">ASIC may publish details of an infringement notice by publishing in the </w:t>
      </w:r>
      <w:r w:rsidRPr="00A35C95">
        <w:rPr>
          <w:i/>
          <w:shd w:val="clear" w:color="auto" w:fill="FFFFFF"/>
        </w:rPr>
        <w:t>Gazette</w:t>
      </w:r>
      <w:r w:rsidRPr="00A35C95">
        <w:rPr>
          <w:shd w:val="clear" w:color="auto" w:fill="FFFFFF"/>
        </w:rPr>
        <w:t>:</w:t>
      </w:r>
    </w:p>
    <w:p w14:paraId="6F196B86" w14:textId="77777777" w:rsidR="00E93F58" w:rsidRPr="00A35C95" w:rsidRDefault="00E93F58" w:rsidP="00366AB5">
      <w:pPr>
        <w:pStyle w:val="paragraph"/>
        <w:tabs>
          <w:tab w:val="left" w:pos="2835"/>
        </w:tabs>
      </w:pPr>
      <w:r w:rsidRPr="00A35C95">
        <w:rPr>
          <w:color w:val="000000"/>
        </w:rPr>
        <w:tab/>
        <w:t>(a)</w:t>
      </w:r>
      <w:r w:rsidRPr="00A35C95">
        <w:rPr>
          <w:color w:val="000000"/>
        </w:rPr>
        <w:tab/>
        <w:t>a copy of the infringement notice; and</w:t>
      </w:r>
    </w:p>
    <w:p w14:paraId="3D3EF30F" w14:textId="77777777" w:rsidR="00E93F58" w:rsidRPr="00A35C95" w:rsidRDefault="00E93F58" w:rsidP="00366AB5">
      <w:pPr>
        <w:pStyle w:val="paragraph"/>
        <w:tabs>
          <w:tab w:val="left" w:pos="2835"/>
        </w:tabs>
      </w:pPr>
      <w:r w:rsidRPr="00A35C95">
        <w:tab/>
        <w:t>(b)</w:t>
      </w:r>
      <w:r w:rsidRPr="00A35C95">
        <w:tab/>
        <w:t>the following statements:</w:t>
      </w:r>
    </w:p>
    <w:p w14:paraId="32FF5832" w14:textId="77777777" w:rsidR="00E93F58" w:rsidRPr="00A35C95" w:rsidRDefault="00E93F58" w:rsidP="00366AB5">
      <w:pPr>
        <w:pStyle w:val="paragraphsub"/>
        <w:tabs>
          <w:tab w:val="left" w:pos="2835"/>
        </w:tabs>
      </w:pPr>
      <w:r w:rsidRPr="00A35C95">
        <w:rPr>
          <w:color w:val="000000"/>
        </w:rPr>
        <w:tab/>
        <w:t>(i)</w:t>
      </w:r>
      <w:r w:rsidRPr="00A35C95">
        <w:rPr>
          <w:color w:val="000000"/>
        </w:rPr>
        <w:tab/>
        <w:t>a statement as to whether the recipient has complied with the infringement notice;</w:t>
      </w:r>
    </w:p>
    <w:p w14:paraId="08E75687" w14:textId="77777777" w:rsidR="00E93F58" w:rsidRPr="00A35C95" w:rsidRDefault="00E93F58" w:rsidP="00366AB5">
      <w:pPr>
        <w:pStyle w:val="paragraphsub"/>
        <w:tabs>
          <w:tab w:val="left" w:pos="2835"/>
        </w:tabs>
      </w:pPr>
      <w:r w:rsidRPr="00A35C95">
        <w:tab/>
        <w:t>(ii)</w:t>
      </w:r>
      <w:r w:rsidRPr="00A35C95">
        <w:tab/>
        <w:t>if the recipient has complied with the infringement notice, a statement that:</w:t>
      </w:r>
    </w:p>
    <w:p w14:paraId="2DEF1CC9" w14:textId="77777777" w:rsidR="00E93F58" w:rsidRPr="00A35C95" w:rsidRDefault="00E93F58" w:rsidP="00366AB5">
      <w:pPr>
        <w:pStyle w:val="paragraphsub-sub"/>
        <w:tabs>
          <w:tab w:val="left" w:pos="2835"/>
        </w:tabs>
      </w:pPr>
      <w:r w:rsidRPr="00A35C95">
        <w:rPr>
          <w:color w:val="000000"/>
        </w:rPr>
        <w:tab/>
        <w:t>(A)</w:t>
      </w:r>
      <w:r w:rsidRPr="00A35C95">
        <w:rPr>
          <w:color w:val="000000"/>
        </w:rPr>
        <w:tab/>
        <w:t>compliance is not an admission of guilt or liability; and</w:t>
      </w:r>
    </w:p>
    <w:p w14:paraId="49301725" w14:textId="77777777" w:rsidR="00E93F58" w:rsidRPr="00A35C95" w:rsidRDefault="00E93F58" w:rsidP="00366AB5">
      <w:pPr>
        <w:pStyle w:val="paragraphsub-sub"/>
        <w:tabs>
          <w:tab w:val="left" w:pos="2835"/>
        </w:tabs>
      </w:pPr>
      <w:r w:rsidRPr="00A35C95">
        <w:tab/>
        <w:t>(B)</w:t>
      </w:r>
      <w:r w:rsidRPr="00A35C95">
        <w:tab/>
        <w:t>the recipient is not taken to have contravened subsection 798H(1) of the Act;</w:t>
      </w:r>
    </w:p>
    <w:p w14:paraId="54F4D542" w14:textId="77777777" w:rsidR="00E93F58" w:rsidRPr="00A35C95" w:rsidRDefault="00E93F58" w:rsidP="00366AB5">
      <w:pPr>
        <w:pStyle w:val="paragraphsub"/>
        <w:keepNext/>
        <w:keepLines/>
        <w:tabs>
          <w:tab w:val="left" w:pos="2835"/>
        </w:tabs>
      </w:pPr>
      <w:r w:rsidRPr="00A35C95">
        <w:tab/>
        <w:t>(iii)</w:t>
      </w:r>
      <w:r w:rsidRPr="00A35C95">
        <w:tab/>
        <w:t>if the recipient has not complied with the infringement notice, a statement that:</w:t>
      </w:r>
    </w:p>
    <w:p w14:paraId="4FA6379E" w14:textId="77777777" w:rsidR="00E93F58" w:rsidRPr="00A35C95" w:rsidRDefault="00E93F58" w:rsidP="00366AB5">
      <w:pPr>
        <w:pStyle w:val="paragraphsub-sub"/>
        <w:tabs>
          <w:tab w:val="left" w:pos="2835"/>
        </w:tabs>
      </w:pPr>
      <w:r w:rsidRPr="00A35C95">
        <w:rPr>
          <w:color w:val="000000"/>
        </w:rPr>
        <w:tab/>
        <w:t>(A)</w:t>
      </w:r>
      <w:r w:rsidRPr="00A35C95">
        <w:rPr>
          <w:color w:val="000000"/>
        </w:rPr>
        <w:tab/>
        <w:t>the giving of an infringement notice to a recipient is only an allegation that the recipient has contravened subsection 798H(1) of the Act; and</w:t>
      </w:r>
    </w:p>
    <w:p w14:paraId="36B07ECB" w14:textId="77777777" w:rsidR="00E93F58" w:rsidRPr="00A35C95" w:rsidRDefault="00E93F58" w:rsidP="00366AB5">
      <w:pPr>
        <w:pStyle w:val="paragraphsub-sub"/>
        <w:tabs>
          <w:tab w:val="left" w:pos="2835"/>
        </w:tabs>
      </w:pPr>
      <w:r w:rsidRPr="00A35C95">
        <w:tab/>
        <w:t>(B)</w:t>
      </w:r>
      <w:r w:rsidRPr="00A35C95">
        <w:tab/>
        <w:t>the recipient is not taken to have contravened subsection 798H(1) of the Act.</w:t>
      </w:r>
    </w:p>
    <w:p w14:paraId="2BFCF5C8" w14:textId="77777777" w:rsidR="00E93F58" w:rsidRPr="00A35C95" w:rsidRDefault="00E93F58" w:rsidP="00366AB5">
      <w:pPr>
        <w:pStyle w:val="subsection"/>
        <w:tabs>
          <w:tab w:val="left" w:pos="2835"/>
        </w:tabs>
      </w:pPr>
      <w:r w:rsidRPr="00A35C95">
        <w:tab/>
        <w:t>(4)</w:t>
      </w:r>
      <w:r w:rsidRPr="00A35C95">
        <w:tab/>
        <w:t>ASIC may publish details of an infringement notice by issuing a written or oral statement that:</w:t>
      </w:r>
    </w:p>
    <w:p w14:paraId="226DD0CD" w14:textId="77777777" w:rsidR="00E93F58" w:rsidRPr="00A35C95" w:rsidRDefault="00E93F58" w:rsidP="00366AB5">
      <w:pPr>
        <w:pStyle w:val="paragraph"/>
        <w:tabs>
          <w:tab w:val="left" w:pos="2835"/>
        </w:tabs>
      </w:pPr>
      <w:r w:rsidRPr="00A35C95">
        <w:tab/>
        <w:t>(a)</w:t>
      </w:r>
      <w:r w:rsidRPr="00A35C95">
        <w:tab/>
        <w:t>includes an accurate summary of the details of the infringement notice, including:</w:t>
      </w:r>
    </w:p>
    <w:p w14:paraId="69F00576" w14:textId="77777777" w:rsidR="00E93F58" w:rsidRPr="00A35C95" w:rsidRDefault="00E93F58" w:rsidP="00366AB5">
      <w:pPr>
        <w:pStyle w:val="paragraphsub"/>
        <w:tabs>
          <w:tab w:val="left" w:pos="2835"/>
        </w:tabs>
      </w:pPr>
      <w:r w:rsidRPr="00A35C95">
        <w:rPr>
          <w:color w:val="000000"/>
        </w:rPr>
        <w:tab/>
        <w:t>(i)</w:t>
      </w:r>
      <w:r w:rsidRPr="00A35C95">
        <w:rPr>
          <w:color w:val="000000"/>
        </w:rPr>
        <w:tab/>
        <w:t>the name of the recipient; and</w:t>
      </w:r>
    </w:p>
    <w:p w14:paraId="380E7A87" w14:textId="77777777" w:rsidR="00E93F58" w:rsidRPr="00A35C95" w:rsidRDefault="00E93F58" w:rsidP="00366AB5">
      <w:pPr>
        <w:pStyle w:val="paragraphsub"/>
        <w:tabs>
          <w:tab w:val="left" w:pos="2835"/>
        </w:tabs>
      </w:pPr>
      <w:r w:rsidRPr="00A35C95">
        <w:tab/>
        <w:t>(ii)</w:t>
      </w:r>
      <w:r w:rsidRPr="00A35C95">
        <w:tab/>
        <w:t>the amount of the penalty specified in the infringement notice (if any); and</w:t>
      </w:r>
    </w:p>
    <w:p w14:paraId="1E7F4DC9" w14:textId="77777777" w:rsidR="00E93F58" w:rsidRPr="00A35C95" w:rsidRDefault="00E93F58" w:rsidP="00366AB5">
      <w:pPr>
        <w:pStyle w:val="paragraphsub"/>
        <w:tabs>
          <w:tab w:val="left" w:pos="2835"/>
        </w:tabs>
      </w:pPr>
      <w:r w:rsidRPr="00A35C95">
        <w:tab/>
        <w:t>(iii)</w:t>
      </w:r>
      <w:r w:rsidRPr="00A35C95">
        <w:tab/>
        <w:t>the remedial measures specified in the infringement notice (if any); and</w:t>
      </w:r>
    </w:p>
    <w:p w14:paraId="14D7C91A" w14:textId="77777777" w:rsidR="00E93F58" w:rsidRPr="00A35C95" w:rsidRDefault="00E93F58" w:rsidP="00366AB5">
      <w:pPr>
        <w:pStyle w:val="paragraphsub"/>
        <w:tabs>
          <w:tab w:val="left" w:pos="2835"/>
        </w:tabs>
      </w:pPr>
      <w:r w:rsidRPr="00A35C95">
        <w:tab/>
        <w:t>(iv)</w:t>
      </w:r>
      <w:r w:rsidRPr="00A35C95">
        <w:tab/>
        <w:t>the sanctions specified in the infringement notice (if any); and</w:t>
      </w:r>
    </w:p>
    <w:p w14:paraId="354A9CF3" w14:textId="77777777" w:rsidR="00E93F58" w:rsidRPr="00A35C95" w:rsidRDefault="00E93F58" w:rsidP="00366AB5">
      <w:pPr>
        <w:pStyle w:val="paragraphsub"/>
        <w:tabs>
          <w:tab w:val="left" w:pos="2835"/>
        </w:tabs>
      </w:pPr>
      <w:r w:rsidRPr="00A35C95">
        <w:tab/>
        <w:t>(v)</w:t>
      </w:r>
      <w:r w:rsidRPr="00A35C95">
        <w:tab/>
        <w:t>the terms of an undertaking specified in the infringement notice (if any); and</w:t>
      </w:r>
    </w:p>
    <w:p w14:paraId="0A73DA17" w14:textId="77777777" w:rsidR="00E93F58" w:rsidRPr="00A35C95" w:rsidRDefault="00E93F58" w:rsidP="00366AB5">
      <w:pPr>
        <w:pStyle w:val="paragraphsub"/>
        <w:tabs>
          <w:tab w:val="left" w:pos="2835"/>
        </w:tabs>
      </w:pPr>
      <w:r w:rsidRPr="00A35C95">
        <w:tab/>
        <w:t>(vi)</w:t>
      </w:r>
      <w:r w:rsidRPr="00A35C95">
        <w:tab/>
        <w:t>the conduct specified in the infringement notice as being the conduct that made up the alleged contravention of subsection 798H(1) of the Act; and</w:t>
      </w:r>
    </w:p>
    <w:p w14:paraId="19826698" w14:textId="77777777" w:rsidR="00E93F58" w:rsidRPr="00A35C95" w:rsidRDefault="00E93F58" w:rsidP="00366AB5">
      <w:pPr>
        <w:pStyle w:val="paragraph"/>
        <w:tabs>
          <w:tab w:val="left" w:pos="2835"/>
        </w:tabs>
      </w:pPr>
      <w:r w:rsidRPr="00A35C95">
        <w:tab/>
        <w:t>(b)</w:t>
      </w:r>
      <w:r w:rsidRPr="00A35C95">
        <w:tab/>
        <w:t>includes the following statements:</w:t>
      </w:r>
    </w:p>
    <w:p w14:paraId="3AA69E93" w14:textId="77777777" w:rsidR="00E93F58" w:rsidRPr="00A35C95" w:rsidRDefault="00E93F58" w:rsidP="00366AB5">
      <w:pPr>
        <w:pStyle w:val="paragraphsub"/>
        <w:tabs>
          <w:tab w:val="left" w:pos="2835"/>
        </w:tabs>
      </w:pPr>
      <w:r w:rsidRPr="00A35C95">
        <w:rPr>
          <w:color w:val="000000"/>
        </w:rPr>
        <w:tab/>
        <w:t>(i)</w:t>
      </w:r>
      <w:r w:rsidRPr="00A35C95">
        <w:rPr>
          <w:color w:val="000000"/>
        </w:rPr>
        <w:tab/>
        <w:t>a statement as to whether the recipient has complied with the infringement notice;</w:t>
      </w:r>
    </w:p>
    <w:p w14:paraId="251E4093" w14:textId="77777777" w:rsidR="00E93F58" w:rsidRPr="00A35C95" w:rsidRDefault="00E93F58" w:rsidP="00366AB5">
      <w:pPr>
        <w:pStyle w:val="paragraphsub"/>
        <w:tabs>
          <w:tab w:val="left" w:pos="2835"/>
        </w:tabs>
      </w:pPr>
      <w:r w:rsidRPr="00A35C95">
        <w:tab/>
        <w:t>(ii)</w:t>
      </w:r>
      <w:r w:rsidRPr="00A35C95">
        <w:tab/>
        <w:t>if the recipient has complied with the infringement notice, a statement that:</w:t>
      </w:r>
    </w:p>
    <w:p w14:paraId="14A012B5" w14:textId="77777777" w:rsidR="00E93F58" w:rsidRPr="00A35C95" w:rsidRDefault="00E93F58" w:rsidP="00366AB5">
      <w:pPr>
        <w:pStyle w:val="paragraphsub-sub"/>
        <w:tabs>
          <w:tab w:val="left" w:pos="2835"/>
        </w:tabs>
      </w:pPr>
      <w:r w:rsidRPr="00A35C95">
        <w:rPr>
          <w:color w:val="000000"/>
        </w:rPr>
        <w:tab/>
        <w:t>(A)</w:t>
      </w:r>
      <w:r w:rsidRPr="00A35C95">
        <w:rPr>
          <w:color w:val="000000"/>
        </w:rPr>
        <w:tab/>
        <w:t>compliance is not an admission of guilt or liability; and</w:t>
      </w:r>
    </w:p>
    <w:p w14:paraId="5BFA7248" w14:textId="77777777" w:rsidR="00E93F58" w:rsidRPr="00A35C95" w:rsidRDefault="00E93F58" w:rsidP="00366AB5">
      <w:pPr>
        <w:pStyle w:val="paragraphsub-sub"/>
        <w:tabs>
          <w:tab w:val="left" w:pos="2835"/>
        </w:tabs>
      </w:pPr>
      <w:r w:rsidRPr="00A35C95">
        <w:tab/>
        <w:t>(B)</w:t>
      </w:r>
      <w:r w:rsidRPr="00A35C95">
        <w:tab/>
        <w:t>the recipient is not taken to have contravened subsection 798H(1) of the Act;</w:t>
      </w:r>
    </w:p>
    <w:p w14:paraId="31FF2DC4" w14:textId="77777777" w:rsidR="00E93F58" w:rsidRPr="00A35C95" w:rsidRDefault="00E93F58" w:rsidP="00366AB5">
      <w:pPr>
        <w:pStyle w:val="paragraphsub"/>
        <w:keepNext/>
        <w:keepLines/>
        <w:tabs>
          <w:tab w:val="left" w:pos="2835"/>
        </w:tabs>
      </w:pPr>
      <w:r w:rsidRPr="00A35C95">
        <w:tab/>
        <w:t>(iii)</w:t>
      </w:r>
      <w:r w:rsidRPr="00A35C95">
        <w:tab/>
        <w:t>if the recipient has not complied with the infringement notice, a statement that:</w:t>
      </w:r>
    </w:p>
    <w:p w14:paraId="258B8A7A" w14:textId="77777777" w:rsidR="00E93F58" w:rsidRPr="00A35C95" w:rsidRDefault="00E93F58" w:rsidP="00366AB5">
      <w:pPr>
        <w:pStyle w:val="paragraphsub-sub"/>
        <w:tabs>
          <w:tab w:val="left" w:pos="2835"/>
        </w:tabs>
      </w:pPr>
      <w:r w:rsidRPr="00A35C95">
        <w:rPr>
          <w:color w:val="000000"/>
        </w:rPr>
        <w:tab/>
        <w:t>(A)</w:t>
      </w:r>
      <w:r w:rsidRPr="00A35C95">
        <w:rPr>
          <w:color w:val="000000"/>
        </w:rPr>
        <w:tab/>
        <w:t>the giving of an infringement notice to a recipient is only an allegation that the recipient has contravened subsection 798H(1) of the Act; and</w:t>
      </w:r>
    </w:p>
    <w:p w14:paraId="754C2EBA" w14:textId="77777777" w:rsidR="00E93F58" w:rsidRPr="00A35C95" w:rsidRDefault="00E93F58" w:rsidP="00366AB5">
      <w:pPr>
        <w:pStyle w:val="paragraphsub-sub"/>
        <w:tabs>
          <w:tab w:val="left" w:pos="2835"/>
        </w:tabs>
      </w:pPr>
      <w:r w:rsidRPr="00A35C95">
        <w:tab/>
        <w:t>(B)</w:t>
      </w:r>
      <w:r w:rsidRPr="00A35C95">
        <w:tab/>
        <w:t>the recipient is not taken to have contravened subsection 798H(1) of the Act.</w:t>
      </w:r>
    </w:p>
    <w:p w14:paraId="06A98F8F" w14:textId="77777777" w:rsidR="00E93F58" w:rsidRPr="00A35C95" w:rsidRDefault="00E93F58" w:rsidP="00366AB5">
      <w:pPr>
        <w:pStyle w:val="ActHead2"/>
        <w:pageBreakBefore/>
        <w:tabs>
          <w:tab w:val="left" w:pos="2835"/>
        </w:tabs>
        <w:rPr>
          <w:color w:val="000000"/>
        </w:rPr>
      </w:pPr>
      <w:bookmarkStart w:id="632" w:name="_Toc152057890"/>
      <w:bookmarkStart w:id="633" w:name="_Toc158712113"/>
      <w:r w:rsidRPr="00844D11">
        <w:rPr>
          <w:rStyle w:val="CharPartNo"/>
        </w:rPr>
        <w:lastRenderedPageBreak/>
        <w:t>Part 7.3</w:t>
      </w:r>
      <w:r w:rsidRPr="00A35C95">
        <w:rPr>
          <w:color w:val="000000"/>
        </w:rPr>
        <w:t>—</w:t>
      </w:r>
      <w:r w:rsidRPr="00844D11">
        <w:rPr>
          <w:rStyle w:val="CharPartText"/>
        </w:rPr>
        <w:t>Licensing of clearing and settlement facilities</w:t>
      </w:r>
      <w:bookmarkEnd w:id="632"/>
      <w:bookmarkEnd w:id="633"/>
    </w:p>
    <w:p w14:paraId="31F50956" w14:textId="77777777" w:rsidR="00E93F58" w:rsidRPr="00A35C95" w:rsidRDefault="00E93F58" w:rsidP="00366AB5">
      <w:pPr>
        <w:pStyle w:val="ActHead3"/>
        <w:tabs>
          <w:tab w:val="left" w:pos="2835"/>
        </w:tabs>
        <w:rPr>
          <w:color w:val="000000"/>
        </w:rPr>
      </w:pPr>
      <w:bookmarkStart w:id="634" w:name="_Toc152057891"/>
      <w:bookmarkStart w:id="635" w:name="_Toc158712114"/>
      <w:r w:rsidRPr="00844D11">
        <w:rPr>
          <w:rStyle w:val="CharDivNo"/>
        </w:rPr>
        <w:t>Division 1</w:t>
      </w:r>
      <w:r w:rsidRPr="00A35C95">
        <w:rPr>
          <w:color w:val="000000"/>
        </w:rPr>
        <w:t>—</w:t>
      </w:r>
      <w:r w:rsidRPr="00844D11">
        <w:rPr>
          <w:rStyle w:val="CharDivText"/>
        </w:rPr>
        <w:t>Regulation of CS facility licensees: licensees’ obligations</w:t>
      </w:r>
      <w:bookmarkEnd w:id="634"/>
      <w:bookmarkEnd w:id="635"/>
    </w:p>
    <w:p w14:paraId="2073FE69" w14:textId="77777777" w:rsidR="00E93F58" w:rsidRPr="00A35C95" w:rsidRDefault="00E93F58" w:rsidP="00366AB5">
      <w:pPr>
        <w:pStyle w:val="ActHead5"/>
        <w:tabs>
          <w:tab w:val="left" w:pos="2835"/>
        </w:tabs>
      </w:pPr>
      <w:bookmarkStart w:id="636" w:name="_Toc152057892"/>
      <w:bookmarkStart w:id="637" w:name="_Toc158712115"/>
      <w:r w:rsidRPr="00844D11">
        <w:rPr>
          <w:rStyle w:val="CharSectno"/>
        </w:rPr>
        <w:t>7.3.01</w:t>
      </w:r>
      <w:r w:rsidRPr="00A35C95">
        <w:rPr>
          <w:sz w:val="16"/>
        </w:rPr>
        <w:t xml:space="preserve">  </w:t>
      </w:r>
      <w:r w:rsidRPr="00A35C95">
        <w:t>Obligation to inform ASIC of certain matters: becoming director, secretary or executive officer of CS facility licensee</w:t>
      </w:r>
      <w:bookmarkEnd w:id="636"/>
      <w:bookmarkEnd w:id="637"/>
    </w:p>
    <w:p w14:paraId="1CF3D7A4"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a person becomes a director, secretary or executive officer of a market licensee or of a holding company of a CS facility licensee (including when the person changes from one of those positions to another).</w:t>
      </w:r>
    </w:p>
    <w:p w14:paraId="51A46BB8" w14:textId="77777777" w:rsidR="00E93F58" w:rsidRPr="00A35C95" w:rsidRDefault="00E93F58" w:rsidP="00366AB5">
      <w:pPr>
        <w:pStyle w:val="subsection"/>
        <w:tabs>
          <w:tab w:val="left" w:pos="2835"/>
        </w:tabs>
      </w:pPr>
      <w:r w:rsidRPr="00A35C95">
        <w:tab/>
        <w:t>(2)</w:t>
      </w:r>
      <w:r w:rsidRPr="00A35C95">
        <w:tab/>
        <w:t>For subsection 821B(4) of the Act, the information to be given to ASIC by the CS facility licensee is:</w:t>
      </w:r>
    </w:p>
    <w:p w14:paraId="2BC55414"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 and contact details; and</w:t>
      </w:r>
    </w:p>
    <w:p w14:paraId="4C373BC3" w14:textId="77777777" w:rsidR="00E93F58" w:rsidRPr="00A35C95" w:rsidRDefault="00E93F58" w:rsidP="00366AB5">
      <w:pPr>
        <w:pStyle w:val="paragraph"/>
        <w:tabs>
          <w:tab w:val="left" w:pos="2835"/>
        </w:tabs>
      </w:pPr>
      <w:r w:rsidRPr="00A35C95">
        <w:tab/>
        <w:t>(b)</w:t>
      </w:r>
      <w:r w:rsidRPr="00A35C95">
        <w:tab/>
        <w:t>the date of appointment to the position; and</w:t>
      </w:r>
    </w:p>
    <w:p w14:paraId="7DFC8007" w14:textId="77777777" w:rsidR="00E93F58" w:rsidRPr="00A35C95" w:rsidRDefault="00E93F58" w:rsidP="00366AB5">
      <w:pPr>
        <w:pStyle w:val="paragraph"/>
        <w:tabs>
          <w:tab w:val="left" w:pos="2835"/>
        </w:tabs>
      </w:pPr>
      <w:r w:rsidRPr="00A35C95">
        <w:tab/>
        <w:t>(c)</w:t>
      </w:r>
      <w:r w:rsidRPr="00A35C95">
        <w:tab/>
        <w:t>the person’s educational qualifications and financial market experience; and</w:t>
      </w:r>
    </w:p>
    <w:p w14:paraId="5AC884BA" w14:textId="77777777" w:rsidR="00E93F58" w:rsidRPr="00A35C95" w:rsidRDefault="00E93F58" w:rsidP="00366AB5">
      <w:pPr>
        <w:pStyle w:val="paragraph"/>
        <w:tabs>
          <w:tab w:val="left" w:pos="2835"/>
        </w:tabs>
      </w:pPr>
      <w:r w:rsidRPr="00A35C95">
        <w:tab/>
        <w:t>(d)</w:t>
      </w:r>
      <w:r w:rsidRPr="00A35C95">
        <w:tab/>
        <w:t>if the CS facility licensee is aware of any details of a conviction of the kind mentioned in subsection 206B(1) of the Act—the details; and</w:t>
      </w:r>
    </w:p>
    <w:p w14:paraId="5998BAE5" w14:textId="77777777" w:rsidR="00E93F58" w:rsidRPr="00A35C95" w:rsidRDefault="00E93F58" w:rsidP="00366AB5">
      <w:pPr>
        <w:pStyle w:val="paragraph"/>
        <w:tabs>
          <w:tab w:val="left" w:pos="2835"/>
        </w:tabs>
      </w:pPr>
      <w:r w:rsidRPr="00A35C95">
        <w:tab/>
        <w:t>(e)</w:t>
      </w:r>
      <w:r w:rsidRPr="00A35C95">
        <w:tab/>
        <w:t>whether the CS facility licensee knows whether the person:</w:t>
      </w:r>
    </w:p>
    <w:p w14:paraId="5346CF89" w14:textId="77777777" w:rsidR="00E93F58" w:rsidRPr="00A35C95" w:rsidRDefault="00E93F58" w:rsidP="00366AB5">
      <w:pPr>
        <w:pStyle w:val="paragraphsub"/>
        <w:tabs>
          <w:tab w:val="left" w:pos="2835"/>
        </w:tabs>
      </w:pPr>
      <w:r w:rsidRPr="00A35C95">
        <w:rPr>
          <w:color w:val="000000"/>
        </w:rPr>
        <w:tab/>
        <w:t>(i)</w:t>
      </w:r>
      <w:r w:rsidRPr="00A35C95">
        <w:rPr>
          <w:color w:val="000000"/>
        </w:rPr>
        <w:tab/>
        <w:t>is an undischarged bankrupt; or</w:t>
      </w:r>
    </w:p>
    <w:p w14:paraId="5E94ADA2" w14:textId="77777777" w:rsidR="00E93F58" w:rsidRPr="00A35C95" w:rsidRDefault="00E93F58" w:rsidP="00366AB5">
      <w:pPr>
        <w:pStyle w:val="paragraphsub"/>
        <w:tabs>
          <w:tab w:val="left" w:pos="2835"/>
        </w:tabs>
      </w:pPr>
      <w:r w:rsidRPr="00A35C95">
        <w:tab/>
        <w:t>(ii)</w:t>
      </w:r>
      <w:r w:rsidRPr="00A35C95">
        <w:tab/>
        <w:t>has entered into a deed of arrangement or composition of a kind mentioned in subsections 206B(3) and (4) of the Act;</w:t>
      </w:r>
    </w:p>
    <w:p w14:paraId="08D60B27" w14:textId="77777777" w:rsidR="00E93F58" w:rsidRPr="00A35C95" w:rsidRDefault="00E93F58" w:rsidP="00366AB5">
      <w:pPr>
        <w:pStyle w:val="paragraph"/>
        <w:tabs>
          <w:tab w:val="left" w:pos="2835"/>
        </w:tabs>
      </w:pPr>
      <w:r w:rsidRPr="00A35C95">
        <w:rPr>
          <w:color w:val="000000"/>
        </w:rPr>
        <w:tab/>
      </w:r>
      <w:r w:rsidRPr="00A35C95">
        <w:rPr>
          <w:color w:val="000000"/>
        </w:rPr>
        <w:tab/>
        <w:t>and, if the CS facility licensee knows the information, details of what the CS facility licensee knows.</w:t>
      </w:r>
    </w:p>
    <w:p w14:paraId="16768ED8" w14:textId="77777777" w:rsidR="00E93F58" w:rsidRPr="00A35C95" w:rsidRDefault="00E93F58" w:rsidP="00366AB5">
      <w:pPr>
        <w:pStyle w:val="ActHead5"/>
        <w:tabs>
          <w:tab w:val="left" w:pos="2835"/>
        </w:tabs>
      </w:pPr>
      <w:bookmarkStart w:id="638" w:name="_Toc152057893"/>
      <w:bookmarkStart w:id="639" w:name="_Toc158712116"/>
      <w:r w:rsidRPr="00844D11">
        <w:rPr>
          <w:rStyle w:val="CharSectno"/>
        </w:rPr>
        <w:t>7.3.02</w:t>
      </w:r>
      <w:r w:rsidRPr="00A35C95">
        <w:rPr>
          <w:sz w:val="16"/>
        </w:rPr>
        <w:t xml:space="preserve">  </w:t>
      </w:r>
      <w:r w:rsidRPr="00A35C95">
        <w:t>Obligation to inform ASIC of certain matters: ceasing to be director, secretary or executive officer of CS facility licensee</w:t>
      </w:r>
      <w:bookmarkEnd w:id="638"/>
      <w:bookmarkEnd w:id="639"/>
    </w:p>
    <w:p w14:paraId="5D52A65F" w14:textId="77777777" w:rsidR="00E93F58" w:rsidRPr="00A35C95" w:rsidRDefault="00E93F58" w:rsidP="00366AB5">
      <w:pPr>
        <w:pStyle w:val="subsection"/>
        <w:keepNext/>
        <w:keepLines/>
        <w:tabs>
          <w:tab w:val="left" w:pos="2835"/>
        </w:tabs>
      </w:pPr>
      <w:r w:rsidRPr="00A35C95">
        <w:rPr>
          <w:color w:val="000000"/>
        </w:rPr>
        <w:tab/>
        <w:t>(1)</w:t>
      </w:r>
      <w:r w:rsidRPr="00A35C95">
        <w:rPr>
          <w:color w:val="000000"/>
        </w:rPr>
        <w:tab/>
        <w:t>This regulation applies if a person ceases to be a director, secretary or executive officer of a CS facility licensee or of a holding company of a CS facility licensee (including when the person changes from one of those positions to another).</w:t>
      </w:r>
    </w:p>
    <w:p w14:paraId="46C5634D" w14:textId="77777777" w:rsidR="00E93F58" w:rsidRPr="00A35C95" w:rsidRDefault="00E93F58" w:rsidP="00366AB5">
      <w:pPr>
        <w:pStyle w:val="subsection"/>
        <w:tabs>
          <w:tab w:val="left" w:pos="2835"/>
        </w:tabs>
      </w:pPr>
      <w:r w:rsidRPr="00A35C95">
        <w:tab/>
        <w:t>(2)</w:t>
      </w:r>
      <w:r w:rsidRPr="00A35C95">
        <w:tab/>
        <w:t>For subsection 821B(4) of the Act, the information to be given to ASIC by the CS facility licensee is:</w:t>
      </w:r>
    </w:p>
    <w:p w14:paraId="1D7F642E" w14:textId="77777777" w:rsidR="00E93F58" w:rsidRPr="00A35C95" w:rsidRDefault="00E93F58" w:rsidP="00366AB5">
      <w:pPr>
        <w:pStyle w:val="paragraph"/>
        <w:tabs>
          <w:tab w:val="left" w:pos="2835"/>
        </w:tabs>
      </w:pPr>
      <w:r w:rsidRPr="00A35C95">
        <w:rPr>
          <w:color w:val="000000"/>
        </w:rPr>
        <w:tab/>
        <w:t>(a)</w:t>
      </w:r>
      <w:r w:rsidRPr="00A35C95">
        <w:rPr>
          <w:color w:val="000000"/>
        </w:rPr>
        <w:tab/>
        <w:t>the name and contact details of the person; and</w:t>
      </w:r>
    </w:p>
    <w:p w14:paraId="3B32FF12" w14:textId="77777777" w:rsidR="00E93F58" w:rsidRPr="00A35C95" w:rsidRDefault="00E93F58" w:rsidP="00366AB5">
      <w:pPr>
        <w:pStyle w:val="paragraph"/>
        <w:tabs>
          <w:tab w:val="left" w:pos="2835"/>
        </w:tabs>
      </w:pPr>
      <w:r w:rsidRPr="00A35C95">
        <w:tab/>
        <w:t>(b)</w:t>
      </w:r>
      <w:r w:rsidRPr="00A35C95">
        <w:tab/>
        <w:t>the position that the person held; and</w:t>
      </w:r>
    </w:p>
    <w:p w14:paraId="2E701E85" w14:textId="77777777" w:rsidR="00E93F58" w:rsidRPr="00A35C95" w:rsidRDefault="00E93F58" w:rsidP="00366AB5">
      <w:pPr>
        <w:pStyle w:val="paragraph"/>
        <w:tabs>
          <w:tab w:val="left" w:pos="2835"/>
        </w:tabs>
      </w:pPr>
      <w:r w:rsidRPr="00A35C95">
        <w:tab/>
        <w:t>(c)</w:t>
      </w:r>
      <w:r w:rsidRPr="00A35C95">
        <w:tab/>
        <w:t>the date on which the person ceased to hold the position; and</w:t>
      </w:r>
    </w:p>
    <w:p w14:paraId="1E4FAB03" w14:textId="77777777" w:rsidR="00E93F58" w:rsidRPr="00A35C95" w:rsidRDefault="00E93F58" w:rsidP="00366AB5">
      <w:pPr>
        <w:pStyle w:val="paragraph"/>
        <w:tabs>
          <w:tab w:val="left" w:pos="2835"/>
        </w:tabs>
      </w:pPr>
      <w:r w:rsidRPr="00A35C95">
        <w:tab/>
        <w:t>(d)</w:t>
      </w:r>
      <w:r w:rsidRPr="00A35C95">
        <w:tab/>
        <w:t>if the person ceases to be a director, secretary or executive officer because the person is changing from the position to another in the company, the new position; and</w:t>
      </w:r>
    </w:p>
    <w:p w14:paraId="71604BA2" w14:textId="77777777" w:rsidR="00E93F58" w:rsidRPr="00A35C95" w:rsidRDefault="00E93F58" w:rsidP="00366AB5">
      <w:pPr>
        <w:pStyle w:val="paragraph"/>
        <w:tabs>
          <w:tab w:val="left" w:pos="2835"/>
        </w:tabs>
      </w:pPr>
      <w:r w:rsidRPr="00A35C95">
        <w:tab/>
        <w:t>(e)</w:t>
      </w:r>
      <w:r w:rsidRPr="00A35C95">
        <w:tab/>
        <w:t>if the reason for ceasing to hold the position is:</w:t>
      </w:r>
    </w:p>
    <w:p w14:paraId="164272E0" w14:textId="77777777" w:rsidR="00E93F58" w:rsidRPr="00A35C95" w:rsidRDefault="00E93F58" w:rsidP="00366AB5">
      <w:pPr>
        <w:pStyle w:val="paragraphsub"/>
        <w:tabs>
          <w:tab w:val="left" w:pos="2835"/>
        </w:tabs>
      </w:pPr>
      <w:r w:rsidRPr="00A35C95">
        <w:rPr>
          <w:color w:val="000000"/>
        </w:rPr>
        <w:tab/>
        <w:t>(i)</w:t>
      </w:r>
      <w:r w:rsidRPr="00A35C95">
        <w:rPr>
          <w:color w:val="000000"/>
        </w:rPr>
        <w:tab/>
        <w:t>because of a contravention of the Corporations Act or another law of a State or Territory; or</w:t>
      </w:r>
    </w:p>
    <w:p w14:paraId="0E3DB9F2" w14:textId="77777777" w:rsidR="00E93F58" w:rsidRPr="00A35C95" w:rsidRDefault="00E93F58" w:rsidP="00366AB5">
      <w:pPr>
        <w:pStyle w:val="paragraphsub"/>
        <w:tabs>
          <w:tab w:val="left" w:pos="2835"/>
        </w:tabs>
      </w:pPr>
      <w:r w:rsidRPr="00A35C95">
        <w:tab/>
        <w:t>(ii)</w:t>
      </w:r>
      <w:r w:rsidRPr="00A35C95">
        <w:tab/>
        <w:t>because the person has become an undischarged bankrupt;</w:t>
      </w:r>
    </w:p>
    <w:p w14:paraId="71131FB9" w14:textId="77777777" w:rsidR="00E93F58" w:rsidRPr="00A35C95" w:rsidRDefault="00E93F58" w:rsidP="00366AB5">
      <w:pPr>
        <w:pStyle w:val="paragraph"/>
        <w:tabs>
          <w:tab w:val="left" w:pos="2835"/>
        </w:tabs>
      </w:pPr>
      <w:r w:rsidRPr="00A35C95">
        <w:rPr>
          <w:color w:val="000000"/>
        </w:rPr>
        <w:tab/>
      </w:r>
      <w:r w:rsidRPr="00A35C95">
        <w:rPr>
          <w:color w:val="000000"/>
        </w:rPr>
        <w:tab/>
        <w:t>details of the reason.</w:t>
      </w:r>
    </w:p>
    <w:p w14:paraId="05B4FFDC" w14:textId="77777777" w:rsidR="00E93F58" w:rsidRPr="00A35C95" w:rsidRDefault="00E93F58" w:rsidP="00366AB5">
      <w:pPr>
        <w:pStyle w:val="ActHead5"/>
        <w:tabs>
          <w:tab w:val="left" w:pos="2835"/>
        </w:tabs>
      </w:pPr>
      <w:bookmarkStart w:id="640" w:name="_Toc152057894"/>
      <w:bookmarkStart w:id="641" w:name="_Toc158712117"/>
      <w:r w:rsidRPr="00844D11">
        <w:rPr>
          <w:rStyle w:val="CharSectno"/>
        </w:rPr>
        <w:t>7.3.03</w:t>
      </w:r>
      <w:r w:rsidRPr="00A35C95">
        <w:rPr>
          <w:sz w:val="16"/>
        </w:rPr>
        <w:t xml:space="preserve">  </w:t>
      </w:r>
      <w:r w:rsidRPr="00A35C95">
        <w:t>Obligation to inform ASIC of certain matters: voting power in CS facility licensee</w:t>
      </w:r>
      <w:bookmarkEnd w:id="640"/>
      <w:bookmarkEnd w:id="641"/>
    </w:p>
    <w:p w14:paraId="0BC853F2"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a CS facility licensee becomes aware that a person has come to have, or has ceased to have, more than 15% of the voting power in the CS facility licensee or in a holding company of the CS facility licensee.</w:t>
      </w:r>
    </w:p>
    <w:p w14:paraId="1F492729" w14:textId="77777777" w:rsidR="00E93F58" w:rsidRPr="00A35C95" w:rsidRDefault="00E93F58" w:rsidP="00366AB5">
      <w:pPr>
        <w:pStyle w:val="subsection"/>
        <w:tabs>
          <w:tab w:val="left" w:pos="2835"/>
        </w:tabs>
      </w:pPr>
      <w:r w:rsidRPr="00A35C95">
        <w:tab/>
        <w:t>(2)</w:t>
      </w:r>
      <w:r w:rsidRPr="00A35C95">
        <w:tab/>
        <w:t>For subsection 821B(4) of the Act, the information to be given to ASIC by the CS facility licensee is:</w:t>
      </w:r>
    </w:p>
    <w:p w14:paraId="547004DE"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 and contact details; and</w:t>
      </w:r>
    </w:p>
    <w:p w14:paraId="6877A298" w14:textId="77777777" w:rsidR="00E93F58" w:rsidRPr="00A35C95" w:rsidRDefault="00E93F58" w:rsidP="00366AB5">
      <w:pPr>
        <w:pStyle w:val="paragraph"/>
        <w:tabs>
          <w:tab w:val="left" w:pos="2835"/>
        </w:tabs>
      </w:pPr>
      <w:r w:rsidRPr="00A35C95">
        <w:tab/>
        <w:t>(b)</w:t>
      </w:r>
      <w:r w:rsidRPr="00A35C95">
        <w:tab/>
        <w:t>if known by the CS facility licensee, the date on which the person came to have, or ceased to have, more than 15% of the voting power; and</w:t>
      </w:r>
    </w:p>
    <w:p w14:paraId="50A59B47" w14:textId="77777777" w:rsidR="00E93F58" w:rsidRPr="00A35C95" w:rsidRDefault="00E93F58" w:rsidP="00366AB5">
      <w:pPr>
        <w:pStyle w:val="paragraph"/>
        <w:tabs>
          <w:tab w:val="left" w:pos="2835"/>
        </w:tabs>
      </w:pPr>
      <w:r w:rsidRPr="00A35C95">
        <w:tab/>
        <w:t>(c)</w:t>
      </w:r>
      <w:r w:rsidRPr="00A35C95">
        <w:tab/>
        <w:t>if the CS facility licensee knows the voting power that the person had immediately before the person came to have, or ceased to have, more than 15% of the voting power, that voting power; and</w:t>
      </w:r>
    </w:p>
    <w:p w14:paraId="7C42C882" w14:textId="77777777" w:rsidR="00E93F58" w:rsidRPr="00A35C95" w:rsidRDefault="00E93F58" w:rsidP="00366AB5">
      <w:pPr>
        <w:pStyle w:val="paragraph"/>
        <w:tabs>
          <w:tab w:val="left" w:pos="2835"/>
        </w:tabs>
      </w:pPr>
      <w:r w:rsidRPr="00A35C95">
        <w:tab/>
        <w:t>(d)</w:t>
      </w:r>
      <w:r w:rsidRPr="00A35C95">
        <w:tab/>
        <w:t>whether the CS facility licensee knows the manner in which the person came to have, or ceased to have, more than 15% of the voting power, and, if the CS facility licensee knows the manner, details of what the CS facility licensee knows.</w:t>
      </w:r>
    </w:p>
    <w:p w14:paraId="29131BA3" w14:textId="77777777" w:rsidR="00E93F58" w:rsidRPr="00A35C95" w:rsidRDefault="00E93F58" w:rsidP="00366AB5">
      <w:pPr>
        <w:pStyle w:val="ActHead5"/>
        <w:tabs>
          <w:tab w:val="left" w:pos="2835"/>
        </w:tabs>
      </w:pPr>
      <w:bookmarkStart w:id="642" w:name="_Toc152057895"/>
      <w:bookmarkStart w:id="643" w:name="_Toc158712118"/>
      <w:r w:rsidRPr="00844D11">
        <w:rPr>
          <w:rStyle w:val="CharSectno"/>
        </w:rPr>
        <w:lastRenderedPageBreak/>
        <w:t>7.3.04</w:t>
      </w:r>
      <w:r w:rsidRPr="00A35C95">
        <w:rPr>
          <w:sz w:val="16"/>
        </w:rPr>
        <w:t xml:space="preserve">  </w:t>
      </w:r>
      <w:r w:rsidRPr="00A35C95">
        <w:t>Annual report of CS facility licensee</w:t>
      </w:r>
      <w:bookmarkEnd w:id="642"/>
      <w:bookmarkEnd w:id="643"/>
    </w:p>
    <w:p w14:paraId="5D181228" w14:textId="77777777" w:rsidR="00E93F58" w:rsidRPr="00A35C95" w:rsidRDefault="00E93F58" w:rsidP="00366AB5">
      <w:pPr>
        <w:pStyle w:val="subsection"/>
        <w:tabs>
          <w:tab w:val="left" w:pos="2835"/>
        </w:tabs>
      </w:pPr>
      <w:r w:rsidRPr="00A35C95">
        <w:tab/>
      </w:r>
      <w:r w:rsidRPr="00A35C95">
        <w:tab/>
        <w:t>For subsection 821E(2) of the Act, if an annual report by a CS facility licensee does not contain any of the following information, the information must accompany the annual report:</w:t>
      </w:r>
    </w:p>
    <w:p w14:paraId="7F7D6F7B" w14:textId="77777777" w:rsidR="00E93F58" w:rsidRPr="00A35C95" w:rsidRDefault="00E93F58" w:rsidP="00366AB5">
      <w:pPr>
        <w:pStyle w:val="paragraph"/>
        <w:tabs>
          <w:tab w:val="left" w:pos="2835"/>
        </w:tabs>
      </w:pPr>
      <w:r w:rsidRPr="00A35C95">
        <w:rPr>
          <w:color w:val="000000"/>
        </w:rPr>
        <w:tab/>
        <w:t>(a)</w:t>
      </w:r>
      <w:r w:rsidRPr="00A35C95">
        <w:rPr>
          <w:color w:val="000000"/>
        </w:rPr>
        <w:tab/>
        <w:t>a description of the activities the CS facility licensee has undertaken in the financial year;</w:t>
      </w:r>
    </w:p>
    <w:p w14:paraId="0A2AB18E" w14:textId="77777777" w:rsidR="00E93F58" w:rsidRPr="00A35C95" w:rsidRDefault="00E93F58" w:rsidP="00366AB5">
      <w:pPr>
        <w:pStyle w:val="paragraph"/>
        <w:tabs>
          <w:tab w:val="left" w:pos="2835"/>
        </w:tabs>
      </w:pPr>
      <w:r w:rsidRPr="00A35C95">
        <w:tab/>
        <w:t>(b)</w:t>
      </w:r>
      <w:r w:rsidRPr="00A35C95">
        <w:tab/>
        <w:t>the resources (including financial, technological and human resources) that the CS facility licensee had available, and used, in order to ensure that it has complied with its obligations in Chapter 7 of the Act, and, in particular, the obligation contained in subparagraph 821A(1)(c)(i) of the Act;</w:t>
      </w:r>
    </w:p>
    <w:p w14:paraId="22EA4F68" w14:textId="77777777" w:rsidR="00E93F58" w:rsidRPr="00A35C95" w:rsidRDefault="00E93F58" w:rsidP="00366AB5">
      <w:pPr>
        <w:pStyle w:val="paragraph"/>
        <w:tabs>
          <w:tab w:val="left" w:pos="2835"/>
        </w:tabs>
      </w:pPr>
      <w:r w:rsidRPr="00A35C95">
        <w:tab/>
        <w:t>(c)</w:t>
      </w:r>
      <w:r w:rsidRPr="00A35C95">
        <w:tab/>
        <w:t>an analysis of the extent to which the CS facility licensee considers that the activities undertaken, and resources used, have resulted in full compliance with all its obligations under Chapter 7 of the Act.</w:t>
      </w:r>
    </w:p>
    <w:p w14:paraId="11F512D0" w14:textId="77777777" w:rsidR="00E93F58" w:rsidRPr="00A35C95" w:rsidRDefault="00E93F58" w:rsidP="00366AB5">
      <w:pPr>
        <w:pStyle w:val="ActHead3"/>
        <w:pageBreakBefore/>
        <w:tabs>
          <w:tab w:val="left" w:pos="2835"/>
        </w:tabs>
        <w:rPr>
          <w:color w:val="000000"/>
        </w:rPr>
      </w:pPr>
      <w:bookmarkStart w:id="644" w:name="_Toc152057896"/>
      <w:bookmarkStart w:id="645" w:name="_Toc158712119"/>
      <w:r w:rsidRPr="00844D11">
        <w:rPr>
          <w:rStyle w:val="CharDivNo"/>
        </w:rPr>
        <w:lastRenderedPageBreak/>
        <w:t>Division 2</w:t>
      </w:r>
      <w:r w:rsidRPr="00A35C95">
        <w:rPr>
          <w:color w:val="000000"/>
        </w:rPr>
        <w:t>—</w:t>
      </w:r>
      <w:r w:rsidRPr="00844D11">
        <w:rPr>
          <w:rStyle w:val="CharDivText"/>
        </w:rPr>
        <w:t>Regulation of CS facility licensees: the facility’s operating rules and procedures</w:t>
      </w:r>
      <w:bookmarkEnd w:id="644"/>
      <w:bookmarkEnd w:id="645"/>
    </w:p>
    <w:p w14:paraId="01DF7ABA" w14:textId="77777777" w:rsidR="00E93F58" w:rsidRPr="00A35C95" w:rsidRDefault="00E93F58" w:rsidP="00366AB5">
      <w:pPr>
        <w:pStyle w:val="ActHead5"/>
        <w:tabs>
          <w:tab w:val="left" w:pos="2835"/>
        </w:tabs>
      </w:pPr>
      <w:bookmarkStart w:id="646" w:name="_Toc152057897"/>
      <w:bookmarkStart w:id="647" w:name="_Toc158712120"/>
      <w:r w:rsidRPr="00844D11">
        <w:rPr>
          <w:rStyle w:val="CharSectno"/>
        </w:rPr>
        <w:t>7.3.05</w:t>
      </w:r>
      <w:r w:rsidRPr="00A35C95">
        <w:rPr>
          <w:sz w:val="16"/>
        </w:rPr>
        <w:t xml:space="preserve">  </w:t>
      </w:r>
      <w:r w:rsidRPr="00A35C95">
        <w:t>Content of licensed CS facility’s operating rules</w:t>
      </w:r>
      <w:bookmarkEnd w:id="646"/>
      <w:bookmarkEnd w:id="647"/>
    </w:p>
    <w:p w14:paraId="7573D7C8" w14:textId="77777777" w:rsidR="00E93F58" w:rsidRPr="00A35C95" w:rsidRDefault="00E93F58" w:rsidP="00366AB5">
      <w:pPr>
        <w:pStyle w:val="subsection"/>
        <w:tabs>
          <w:tab w:val="left" w:pos="2835"/>
        </w:tabs>
      </w:pPr>
      <w:r w:rsidRPr="00A35C95">
        <w:tab/>
      </w:r>
      <w:r w:rsidRPr="00A35C95">
        <w:tab/>
        <w:t>For subsection 822A(1) of the Act, the following matters are matters with which the operating rules of a licensed CS facility must deal:</w:t>
      </w:r>
    </w:p>
    <w:p w14:paraId="782A05EC" w14:textId="77777777" w:rsidR="00E93F58" w:rsidRPr="00A35C95" w:rsidRDefault="00E93F58" w:rsidP="00366AB5">
      <w:pPr>
        <w:pStyle w:val="paragraph"/>
        <w:tabs>
          <w:tab w:val="left" w:pos="2835"/>
        </w:tabs>
      </w:pPr>
      <w:r w:rsidRPr="00A35C95">
        <w:rPr>
          <w:color w:val="000000"/>
        </w:rPr>
        <w:tab/>
        <w:t>(a)</w:t>
      </w:r>
      <w:r w:rsidRPr="00A35C95">
        <w:rPr>
          <w:color w:val="000000"/>
        </w:rPr>
        <w:tab/>
        <w:t>the regulated services provided by the licensed CS facility, including the means by which obligations of parties to transactions relating to financial products will be met through the licensed CS facility;</w:t>
      </w:r>
    </w:p>
    <w:p w14:paraId="7F321FA6" w14:textId="77777777" w:rsidR="00E93F58" w:rsidRPr="00A35C95" w:rsidRDefault="00E93F58" w:rsidP="00366AB5">
      <w:pPr>
        <w:pStyle w:val="paragraph"/>
        <w:tabs>
          <w:tab w:val="left" w:pos="2835"/>
        </w:tabs>
      </w:pPr>
      <w:r w:rsidRPr="00A35C95">
        <w:tab/>
        <w:t>(b)</w:t>
      </w:r>
      <w:r w:rsidRPr="00A35C95">
        <w:tab/>
        <w:t>matters relating to risk in the licensed CS facility;</w:t>
      </w:r>
    </w:p>
    <w:p w14:paraId="40F51951" w14:textId="77777777" w:rsidR="00E93F58" w:rsidRPr="00A35C95" w:rsidRDefault="00E93F58" w:rsidP="00366AB5">
      <w:pPr>
        <w:pStyle w:val="paragraph"/>
        <w:tabs>
          <w:tab w:val="left" w:pos="2835"/>
        </w:tabs>
      </w:pPr>
      <w:r w:rsidRPr="00A35C95">
        <w:tab/>
        <w:t>(c)</w:t>
      </w:r>
      <w:r w:rsidRPr="00A35C95">
        <w:tab/>
        <w:t>access to the licensed CS facility, including the criteria for determining persons who are eligible to be participants and the ongoing requirements for participants;</w:t>
      </w:r>
    </w:p>
    <w:p w14:paraId="15D91591" w14:textId="77777777" w:rsidR="00E93F58" w:rsidRPr="00A35C95" w:rsidRDefault="00E93F58" w:rsidP="00366AB5">
      <w:pPr>
        <w:pStyle w:val="paragraph"/>
        <w:tabs>
          <w:tab w:val="left" w:pos="2835"/>
        </w:tabs>
      </w:pPr>
      <w:r w:rsidRPr="00A35C95">
        <w:tab/>
        <w:t>(d)</w:t>
      </w:r>
      <w:r w:rsidRPr="00A35C95">
        <w:tab/>
        <w:t>suspension and expulsion of participants from the licensed CS facility;</w:t>
      </w:r>
    </w:p>
    <w:p w14:paraId="441D06AF" w14:textId="77777777" w:rsidR="00E93F58" w:rsidRPr="00A35C95" w:rsidRDefault="00E93F58" w:rsidP="00366AB5">
      <w:pPr>
        <w:pStyle w:val="paragraph"/>
        <w:tabs>
          <w:tab w:val="left" w:pos="2835"/>
        </w:tabs>
      </w:pPr>
      <w:r w:rsidRPr="00A35C95">
        <w:tab/>
        <w:t>(e)</w:t>
      </w:r>
      <w:r w:rsidRPr="00A35C95">
        <w:tab/>
        <w:t>disciplinary action against participants;</w:t>
      </w:r>
    </w:p>
    <w:p w14:paraId="28964B75" w14:textId="77777777" w:rsidR="00E93F58" w:rsidRPr="00A35C95" w:rsidRDefault="00E93F58" w:rsidP="00366AB5">
      <w:pPr>
        <w:pStyle w:val="paragraph"/>
        <w:tabs>
          <w:tab w:val="left" w:pos="2835"/>
        </w:tabs>
      </w:pPr>
      <w:r w:rsidRPr="00A35C95">
        <w:tab/>
        <w:t>(f)</w:t>
      </w:r>
      <w:r w:rsidRPr="00A35C95">
        <w:tab/>
        <w:t>procedures, to be followed by participants, to address risks that are relevant to the licensed CS facility;</w:t>
      </w:r>
    </w:p>
    <w:p w14:paraId="28D97FDA" w14:textId="77777777" w:rsidR="00E93F58" w:rsidRPr="00A35C95" w:rsidRDefault="00E93F58" w:rsidP="00366AB5">
      <w:pPr>
        <w:pStyle w:val="paragraph"/>
        <w:tabs>
          <w:tab w:val="left" w:pos="2835"/>
        </w:tabs>
      </w:pPr>
      <w:r w:rsidRPr="00A35C95">
        <w:tab/>
        <w:t>(g)</w:t>
      </w:r>
      <w:r w:rsidRPr="00A35C95">
        <w:tab/>
        <w:t>requirements to facilitate the monitoring of compliance by participants with the operating rules of the licensed CS facility;</w:t>
      </w:r>
    </w:p>
    <w:p w14:paraId="3B0A9873" w14:textId="77777777" w:rsidR="00E93F58" w:rsidRPr="00A35C95" w:rsidRDefault="00E93F58" w:rsidP="00366AB5">
      <w:pPr>
        <w:pStyle w:val="paragraph"/>
        <w:tabs>
          <w:tab w:val="left" w:pos="2835"/>
        </w:tabs>
      </w:pPr>
      <w:r w:rsidRPr="00A35C95">
        <w:tab/>
        <w:t>(h)</w:t>
      </w:r>
      <w:r w:rsidRPr="00A35C95">
        <w:tab/>
        <w:t>the handling of defaults;</w:t>
      </w:r>
    </w:p>
    <w:p w14:paraId="20874DD8" w14:textId="77777777" w:rsidR="00E93F58" w:rsidRPr="00A35C95" w:rsidRDefault="00E93F58" w:rsidP="00366AB5">
      <w:pPr>
        <w:pStyle w:val="paragraph"/>
        <w:tabs>
          <w:tab w:val="left" w:pos="2835"/>
        </w:tabs>
      </w:pPr>
      <w:r w:rsidRPr="00A35C95">
        <w:tab/>
        <w:t>(i)</w:t>
      </w:r>
      <w:r w:rsidRPr="00A35C95">
        <w:tab/>
        <w:t>any obligations on participants and issuers that are necessary to ensure that the CS facility licensee is able to comply with subparagraph 821A(1)(c)(i) of the Act;</w:t>
      </w:r>
    </w:p>
    <w:p w14:paraId="01C217B0" w14:textId="77777777" w:rsidR="00E93F58" w:rsidRPr="00A35C95" w:rsidRDefault="00E93F58" w:rsidP="00366AB5">
      <w:pPr>
        <w:pStyle w:val="paragraph"/>
        <w:tabs>
          <w:tab w:val="left" w:pos="2835"/>
        </w:tabs>
      </w:pPr>
      <w:r w:rsidRPr="00A35C95">
        <w:tab/>
        <w:t>(j)</w:t>
      </w:r>
      <w:r w:rsidRPr="00A35C95">
        <w:tab/>
        <w:t>if the licensed CS facility is a prescribed CS facility—arrangements for the transfer of financial products that are likely to be transferred using the licensed CS facility.</w:t>
      </w:r>
    </w:p>
    <w:p w14:paraId="0E13619B" w14:textId="77777777" w:rsidR="00E93F58" w:rsidRPr="00A35C95" w:rsidRDefault="00E93F58" w:rsidP="00366AB5">
      <w:pPr>
        <w:pStyle w:val="ActHead5"/>
        <w:tabs>
          <w:tab w:val="left" w:pos="2835"/>
        </w:tabs>
      </w:pPr>
      <w:bookmarkStart w:id="648" w:name="_Toc152057898"/>
      <w:bookmarkStart w:id="649" w:name="_Toc158712121"/>
      <w:r w:rsidRPr="00844D11">
        <w:rPr>
          <w:rStyle w:val="CharSectno"/>
        </w:rPr>
        <w:t>7.3.06</w:t>
      </w:r>
      <w:r w:rsidRPr="00A35C95">
        <w:rPr>
          <w:sz w:val="16"/>
        </w:rPr>
        <w:t xml:space="preserve">  </w:t>
      </w:r>
      <w:r w:rsidRPr="00A35C95">
        <w:t>Content of licensed CS facility’s written procedures</w:t>
      </w:r>
      <w:bookmarkEnd w:id="648"/>
      <w:bookmarkEnd w:id="649"/>
    </w:p>
    <w:p w14:paraId="1894204D" w14:textId="77777777" w:rsidR="00E93F58" w:rsidRPr="00A35C95" w:rsidRDefault="00E93F58" w:rsidP="00366AB5">
      <w:pPr>
        <w:pStyle w:val="subsection"/>
        <w:keepNext/>
        <w:keepLines/>
        <w:tabs>
          <w:tab w:val="left" w:pos="2835"/>
        </w:tabs>
      </w:pPr>
      <w:r w:rsidRPr="00A35C95">
        <w:tab/>
      </w:r>
      <w:r w:rsidRPr="00A35C95">
        <w:tab/>
        <w:t>For subsection 822A(2) of the Act, the following matters are matters in respect of which a licensed CS facility must have written procedures:</w:t>
      </w:r>
    </w:p>
    <w:p w14:paraId="05A7DBCE" w14:textId="77777777" w:rsidR="00E93F58" w:rsidRPr="00A35C95" w:rsidRDefault="00E93F58" w:rsidP="00366AB5">
      <w:pPr>
        <w:pStyle w:val="paragraph"/>
        <w:keepNext/>
        <w:keepLines/>
        <w:tabs>
          <w:tab w:val="left" w:pos="2835"/>
        </w:tabs>
      </w:pPr>
      <w:r w:rsidRPr="00A35C95">
        <w:rPr>
          <w:color w:val="000000"/>
        </w:rPr>
        <w:tab/>
        <w:t>(a)</w:t>
      </w:r>
      <w:r w:rsidRPr="00A35C95">
        <w:rPr>
          <w:color w:val="000000"/>
        </w:rPr>
        <w:tab/>
        <w:t>arrangements to ensure the integrity and security of systems (including computer systems);</w:t>
      </w:r>
    </w:p>
    <w:p w14:paraId="13A8194C" w14:textId="77777777" w:rsidR="00E93F58" w:rsidRPr="00A35C95" w:rsidRDefault="00E93F58" w:rsidP="00366AB5">
      <w:pPr>
        <w:pStyle w:val="paragraph"/>
        <w:keepNext/>
        <w:keepLines/>
        <w:tabs>
          <w:tab w:val="left" w:pos="2835"/>
        </w:tabs>
      </w:pPr>
      <w:r w:rsidRPr="00A35C95">
        <w:tab/>
        <w:t>(b)</w:t>
      </w:r>
      <w:r w:rsidRPr="00A35C95">
        <w:tab/>
        <w:t>identifying and monitoring risks that are relevant to the licensed CS facility;</w:t>
      </w:r>
    </w:p>
    <w:p w14:paraId="32DF3993" w14:textId="77777777" w:rsidR="00E93F58" w:rsidRPr="00A35C95" w:rsidRDefault="00E93F58" w:rsidP="00366AB5">
      <w:pPr>
        <w:pStyle w:val="paragraph"/>
        <w:tabs>
          <w:tab w:val="left" w:pos="2835"/>
        </w:tabs>
      </w:pPr>
      <w:r w:rsidRPr="00A35C95">
        <w:tab/>
        <w:t>(c)</w:t>
      </w:r>
      <w:r w:rsidRPr="00A35C95">
        <w:tab/>
        <w:t>the development of rules and procedures to address those risks;</w:t>
      </w:r>
    </w:p>
    <w:p w14:paraId="38B08263" w14:textId="77777777" w:rsidR="00E93F58" w:rsidRPr="00A35C95" w:rsidRDefault="00E93F58" w:rsidP="00366AB5">
      <w:pPr>
        <w:pStyle w:val="paragraph"/>
        <w:tabs>
          <w:tab w:val="left" w:pos="2835"/>
        </w:tabs>
      </w:pPr>
      <w:r w:rsidRPr="00A35C95">
        <w:tab/>
        <w:t>(d)</w:t>
      </w:r>
      <w:r w:rsidRPr="00A35C95">
        <w:tab/>
        <w:t>exchange of appropriate information with:</w:t>
      </w:r>
    </w:p>
    <w:p w14:paraId="6686DC77" w14:textId="77777777" w:rsidR="00E93F58" w:rsidRPr="00A35C95" w:rsidRDefault="00E93F58" w:rsidP="00366AB5">
      <w:pPr>
        <w:pStyle w:val="paragraphsub"/>
        <w:tabs>
          <w:tab w:val="left" w:pos="2835"/>
        </w:tabs>
      </w:pPr>
      <w:r w:rsidRPr="00A35C95">
        <w:rPr>
          <w:color w:val="000000"/>
        </w:rPr>
        <w:tab/>
        <w:t>(i)</w:t>
      </w:r>
      <w:r w:rsidRPr="00A35C95">
        <w:rPr>
          <w:color w:val="000000"/>
        </w:rPr>
        <w:tab/>
        <w:t>other clearing and settlement facilities; and</w:t>
      </w:r>
    </w:p>
    <w:p w14:paraId="5EC4AC87" w14:textId="77777777" w:rsidR="00E93F58" w:rsidRPr="00A35C95" w:rsidRDefault="00E93F58" w:rsidP="00366AB5">
      <w:pPr>
        <w:pStyle w:val="paragraphsub"/>
        <w:tabs>
          <w:tab w:val="left" w:pos="2835"/>
        </w:tabs>
      </w:pPr>
      <w:r w:rsidRPr="00A35C95">
        <w:tab/>
        <w:t>(ii)</w:t>
      </w:r>
      <w:r w:rsidRPr="00A35C95">
        <w:tab/>
        <w:t>financial markets; and</w:t>
      </w:r>
    </w:p>
    <w:p w14:paraId="3A1B9514" w14:textId="77777777" w:rsidR="00E93F58" w:rsidRPr="00A35C95" w:rsidRDefault="00E93F58" w:rsidP="00366AB5">
      <w:pPr>
        <w:pStyle w:val="paragraphsub"/>
        <w:tabs>
          <w:tab w:val="left" w:pos="2835"/>
        </w:tabs>
      </w:pPr>
      <w:r w:rsidRPr="00A35C95">
        <w:tab/>
        <w:t>(iii)</w:t>
      </w:r>
      <w:r w:rsidRPr="00A35C95">
        <w:tab/>
        <w:t>ASIC and the Reserve Bank of Australia;</w:t>
      </w:r>
    </w:p>
    <w:p w14:paraId="4F32F888" w14:textId="77777777" w:rsidR="00E93F58" w:rsidRPr="00A35C95" w:rsidRDefault="00E93F58" w:rsidP="00366AB5">
      <w:pPr>
        <w:pStyle w:val="paragraph"/>
        <w:tabs>
          <w:tab w:val="left" w:pos="2835"/>
        </w:tabs>
      </w:pPr>
      <w:r w:rsidRPr="00A35C95">
        <w:rPr>
          <w:color w:val="000000"/>
        </w:rPr>
        <w:tab/>
      </w:r>
      <w:r w:rsidRPr="00A35C95">
        <w:rPr>
          <w:color w:val="000000"/>
        </w:rPr>
        <w:tab/>
        <w:t>relating to participants and their activities that are relevant to the licensed CS facility;</w:t>
      </w:r>
    </w:p>
    <w:p w14:paraId="71755232" w14:textId="77777777" w:rsidR="00E93F58" w:rsidRPr="00A35C95" w:rsidRDefault="00E93F58" w:rsidP="00366AB5">
      <w:pPr>
        <w:pStyle w:val="paragraph"/>
        <w:tabs>
          <w:tab w:val="left" w:pos="2835"/>
        </w:tabs>
      </w:pPr>
      <w:r w:rsidRPr="00A35C95">
        <w:tab/>
        <w:t>(e)</w:t>
      </w:r>
      <w:r w:rsidRPr="00A35C95">
        <w:tab/>
        <w:t>the provision of information about the procedures of the licensed CS facility, including rights, obligations and risks relating to the facility;</w:t>
      </w:r>
    </w:p>
    <w:p w14:paraId="3CDF2B5F" w14:textId="77777777" w:rsidR="00E93F58" w:rsidRPr="00A35C95" w:rsidRDefault="00E93F58" w:rsidP="00366AB5">
      <w:pPr>
        <w:pStyle w:val="paragraph"/>
        <w:tabs>
          <w:tab w:val="left" w:pos="2835"/>
        </w:tabs>
      </w:pPr>
      <w:r w:rsidRPr="00A35C95">
        <w:tab/>
        <w:t>(f)</w:t>
      </w:r>
      <w:r w:rsidRPr="00A35C95">
        <w:tab/>
        <w:t>arrangements for supervising the licensed CS facility, including the monitoring of compliance by participants and issuers with the operating rules of the licensed CS facility.</w:t>
      </w:r>
    </w:p>
    <w:p w14:paraId="588FA1DE" w14:textId="77777777" w:rsidR="00E93F58" w:rsidRPr="00A35C95" w:rsidRDefault="00E93F58" w:rsidP="00366AB5">
      <w:pPr>
        <w:pStyle w:val="ActHead3"/>
        <w:pageBreakBefore/>
        <w:tabs>
          <w:tab w:val="left" w:pos="2835"/>
        </w:tabs>
        <w:rPr>
          <w:color w:val="000000"/>
        </w:rPr>
      </w:pPr>
      <w:bookmarkStart w:id="650" w:name="_Toc152057899"/>
      <w:bookmarkStart w:id="651" w:name="_Toc158712122"/>
      <w:r w:rsidRPr="00844D11">
        <w:rPr>
          <w:rStyle w:val="CharDivNo"/>
        </w:rPr>
        <w:lastRenderedPageBreak/>
        <w:t>Division 3</w:t>
      </w:r>
      <w:r w:rsidRPr="00A35C95">
        <w:rPr>
          <w:color w:val="000000"/>
        </w:rPr>
        <w:t>—</w:t>
      </w:r>
      <w:r w:rsidRPr="00844D11">
        <w:rPr>
          <w:rStyle w:val="CharDivText"/>
        </w:rPr>
        <w:t>Regulation of CS facility licensees: powers of the Minister and ASIC</w:t>
      </w:r>
      <w:bookmarkEnd w:id="650"/>
      <w:bookmarkEnd w:id="651"/>
    </w:p>
    <w:p w14:paraId="1941B0FF" w14:textId="77777777" w:rsidR="00E93F58" w:rsidRPr="00A35C95" w:rsidRDefault="00E93F58" w:rsidP="00366AB5">
      <w:pPr>
        <w:pStyle w:val="ActHead5"/>
        <w:tabs>
          <w:tab w:val="left" w:pos="2835"/>
        </w:tabs>
      </w:pPr>
      <w:bookmarkStart w:id="652" w:name="_Toc152057900"/>
      <w:bookmarkStart w:id="653" w:name="_Toc158712123"/>
      <w:r w:rsidRPr="00844D11">
        <w:rPr>
          <w:rStyle w:val="CharSectno"/>
        </w:rPr>
        <w:t>7.3.07</w:t>
      </w:r>
      <w:r w:rsidRPr="00A35C95">
        <w:rPr>
          <w:sz w:val="16"/>
        </w:rPr>
        <w:t xml:space="preserve">  </w:t>
      </w:r>
      <w:r w:rsidRPr="00A35C95">
        <w:t>Agencies for compliance assessment</w:t>
      </w:r>
      <w:bookmarkEnd w:id="652"/>
      <w:bookmarkEnd w:id="653"/>
    </w:p>
    <w:p w14:paraId="082FD6F8" w14:textId="77777777" w:rsidR="00E93F58" w:rsidRPr="00A35C95" w:rsidRDefault="00E93F58" w:rsidP="00366AB5">
      <w:pPr>
        <w:pStyle w:val="subsection"/>
        <w:tabs>
          <w:tab w:val="left" w:pos="2835"/>
        </w:tabs>
      </w:pPr>
      <w:r w:rsidRPr="00A35C95">
        <w:tab/>
      </w:r>
      <w:r w:rsidRPr="00A35C95">
        <w:tab/>
        <w:t>For paragraph 823C(5)(d) of the Act, the following agencies are prescribed:</w:t>
      </w:r>
    </w:p>
    <w:p w14:paraId="2E56A1A4" w14:textId="77777777" w:rsidR="00E93F58" w:rsidRPr="00A35C95" w:rsidRDefault="00E93F58" w:rsidP="00366AB5">
      <w:pPr>
        <w:pStyle w:val="paragraph"/>
        <w:tabs>
          <w:tab w:val="left" w:pos="2835"/>
        </w:tabs>
      </w:pPr>
      <w:r w:rsidRPr="00A35C95">
        <w:tab/>
        <w:t>(a)</w:t>
      </w:r>
      <w:r w:rsidRPr="00A35C95">
        <w:tab/>
        <w:t>the Clean Energy Regulator;</w:t>
      </w:r>
    </w:p>
    <w:p w14:paraId="4C83D73C" w14:textId="77777777" w:rsidR="00E93F58" w:rsidRPr="00A35C95" w:rsidRDefault="00E93F58" w:rsidP="00366AB5">
      <w:pPr>
        <w:pStyle w:val="paragraph"/>
        <w:tabs>
          <w:tab w:val="left" w:pos="2835"/>
        </w:tabs>
      </w:pPr>
      <w:r w:rsidRPr="00A35C95">
        <w:tab/>
        <w:t>(aa)</w:t>
      </w:r>
      <w:r w:rsidRPr="00A35C95">
        <w:tab/>
        <w:t>the Australian Competition and Consumer Commission;</w:t>
      </w:r>
    </w:p>
    <w:p w14:paraId="78E4FDA6" w14:textId="77777777" w:rsidR="00E93F58" w:rsidRPr="00A35C95" w:rsidRDefault="00E93F58" w:rsidP="00366AB5">
      <w:pPr>
        <w:pStyle w:val="paragraph"/>
        <w:tabs>
          <w:tab w:val="left" w:pos="2835"/>
        </w:tabs>
      </w:pPr>
      <w:r w:rsidRPr="00A35C95">
        <w:tab/>
        <w:t>(b)</w:t>
      </w:r>
      <w:r w:rsidRPr="00A35C95">
        <w:tab/>
        <w:t>the Australian Prudential Regulation Authority;</w:t>
      </w:r>
    </w:p>
    <w:p w14:paraId="03E3B5E1" w14:textId="77777777" w:rsidR="00E93F58" w:rsidRPr="00A35C95" w:rsidRDefault="00E93F58" w:rsidP="00366AB5">
      <w:pPr>
        <w:pStyle w:val="paragraph"/>
        <w:tabs>
          <w:tab w:val="left" w:pos="2835"/>
        </w:tabs>
      </w:pPr>
      <w:r w:rsidRPr="00A35C95">
        <w:tab/>
        <w:t>(c)</w:t>
      </w:r>
      <w:r w:rsidRPr="00A35C95">
        <w:tab/>
        <w:t>the Australian Taxation Office;</w:t>
      </w:r>
    </w:p>
    <w:p w14:paraId="51C533DB" w14:textId="77777777" w:rsidR="00E93F58" w:rsidRPr="00A35C95" w:rsidRDefault="00E93F58" w:rsidP="00366AB5">
      <w:pPr>
        <w:pStyle w:val="paragraph"/>
        <w:tabs>
          <w:tab w:val="left" w:pos="2835"/>
        </w:tabs>
      </w:pPr>
      <w:r w:rsidRPr="00A35C95">
        <w:tab/>
        <w:t>(d)</w:t>
      </w:r>
      <w:r w:rsidRPr="00A35C95">
        <w:tab/>
        <w:t>the Australian Transaction Reports and Analysis Centre;</w:t>
      </w:r>
    </w:p>
    <w:p w14:paraId="15633E77" w14:textId="77777777" w:rsidR="00E93F58" w:rsidRPr="00A35C95" w:rsidRDefault="00E93F58" w:rsidP="00366AB5">
      <w:pPr>
        <w:pStyle w:val="paragraph"/>
        <w:tabs>
          <w:tab w:val="left" w:pos="2835"/>
        </w:tabs>
      </w:pPr>
      <w:r w:rsidRPr="00A35C95">
        <w:tab/>
        <w:t>(e)</w:t>
      </w:r>
      <w:r w:rsidRPr="00A35C95">
        <w:tab/>
        <w:t>an authority of a State or Territory having functions and powers similar to those of the Director of Public Prosecutions;</w:t>
      </w:r>
    </w:p>
    <w:p w14:paraId="1B600FE8" w14:textId="77777777" w:rsidR="00E93F58" w:rsidRPr="00A35C95" w:rsidRDefault="00E93F58" w:rsidP="00366AB5">
      <w:pPr>
        <w:pStyle w:val="paragraph"/>
        <w:tabs>
          <w:tab w:val="left" w:pos="2835"/>
        </w:tabs>
      </w:pPr>
      <w:r w:rsidRPr="00A35C95">
        <w:tab/>
        <w:t>(f)</w:t>
      </w:r>
      <w:r w:rsidRPr="00A35C95">
        <w:tab/>
        <w:t>the police force or service of each State and the Northern Territory;</w:t>
      </w:r>
    </w:p>
    <w:p w14:paraId="4F4F055B" w14:textId="77777777" w:rsidR="00E93F58" w:rsidRPr="00A35C95" w:rsidRDefault="00E93F58" w:rsidP="00366AB5">
      <w:pPr>
        <w:pStyle w:val="paragraph"/>
        <w:tabs>
          <w:tab w:val="left" w:pos="2835"/>
        </w:tabs>
      </w:pPr>
      <w:r w:rsidRPr="00A35C95">
        <w:tab/>
        <w:t>(g)</w:t>
      </w:r>
      <w:r w:rsidRPr="00A35C95">
        <w:tab/>
        <w:t>the Department of Consumer and Employment Protection of Western Australia;</w:t>
      </w:r>
    </w:p>
    <w:p w14:paraId="258D583D" w14:textId="77777777" w:rsidR="00E93F58" w:rsidRPr="00A35C95" w:rsidRDefault="00E93F58" w:rsidP="00366AB5">
      <w:pPr>
        <w:pStyle w:val="paragraph"/>
        <w:tabs>
          <w:tab w:val="left" w:pos="2835"/>
        </w:tabs>
      </w:pPr>
      <w:r w:rsidRPr="00A35C95">
        <w:tab/>
        <w:t>(ga)</w:t>
      </w:r>
      <w:r w:rsidRPr="00A35C95">
        <w:tab/>
        <w:t>the Commissioner of State Revenue of Western Australia;</w:t>
      </w:r>
    </w:p>
    <w:p w14:paraId="3A7EF061" w14:textId="77777777" w:rsidR="00E93F58" w:rsidRPr="00A35C95" w:rsidRDefault="00E93F58" w:rsidP="00366AB5">
      <w:pPr>
        <w:pStyle w:val="paragraph"/>
        <w:tabs>
          <w:tab w:val="left" w:pos="2835"/>
        </w:tabs>
      </w:pPr>
      <w:r w:rsidRPr="00A35C95">
        <w:tab/>
        <w:t>(h)</w:t>
      </w:r>
      <w:r w:rsidRPr="00A35C95">
        <w:tab/>
        <w:t>the Department of Fair Trading of New South Wales;</w:t>
      </w:r>
    </w:p>
    <w:p w14:paraId="32D8995F" w14:textId="77777777" w:rsidR="00E93F58" w:rsidRPr="00A35C95" w:rsidRDefault="00E93F58" w:rsidP="00366AB5">
      <w:pPr>
        <w:pStyle w:val="paragraph"/>
        <w:tabs>
          <w:tab w:val="left" w:pos="2835"/>
        </w:tabs>
      </w:pPr>
      <w:r w:rsidRPr="00A35C95">
        <w:tab/>
        <w:t>(i)</w:t>
      </w:r>
      <w:r w:rsidRPr="00A35C95">
        <w:tab/>
        <w:t>the Office of Fair Trading and Business Affairs of Victoria;</w:t>
      </w:r>
    </w:p>
    <w:p w14:paraId="3A80AD13" w14:textId="77777777" w:rsidR="00E93F58" w:rsidRPr="00A35C95" w:rsidRDefault="00E93F58" w:rsidP="00366AB5">
      <w:pPr>
        <w:pStyle w:val="paragraph"/>
        <w:tabs>
          <w:tab w:val="left" w:pos="2835"/>
        </w:tabs>
      </w:pPr>
      <w:r w:rsidRPr="00A35C95">
        <w:tab/>
        <w:t>(ia)</w:t>
      </w:r>
      <w:r w:rsidRPr="00A35C95">
        <w:tab/>
        <w:t>the State Revenue Office of Victoria;</w:t>
      </w:r>
    </w:p>
    <w:p w14:paraId="757C8A64" w14:textId="77777777" w:rsidR="00E93F58" w:rsidRPr="00A35C95" w:rsidRDefault="00E93F58" w:rsidP="00366AB5">
      <w:pPr>
        <w:pStyle w:val="paragraph"/>
        <w:tabs>
          <w:tab w:val="left" w:pos="2835"/>
        </w:tabs>
      </w:pPr>
      <w:r w:rsidRPr="00A35C95">
        <w:tab/>
        <w:t>(j)</w:t>
      </w:r>
      <w:r w:rsidRPr="00A35C95">
        <w:tab/>
        <w:t>the Office of Consumer Affairs of Queensland;</w:t>
      </w:r>
    </w:p>
    <w:p w14:paraId="45D60C06" w14:textId="77777777" w:rsidR="00E93F58" w:rsidRPr="00A35C95" w:rsidRDefault="00E93F58" w:rsidP="00366AB5">
      <w:pPr>
        <w:pStyle w:val="paragraph"/>
        <w:tabs>
          <w:tab w:val="left" w:pos="2835"/>
        </w:tabs>
      </w:pPr>
      <w:r w:rsidRPr="00A35C95">
        <w:tab/>
        <w:t>(ja)</w:t>
      </w:r>
      <w:r w:rsidRPr="00A35C95">
        <w:tab/>
        <w:t>the Office of State Revenue of Queensland;</w:t>
      </w:r>
    </w:p>
    <w:p w14:paraId="3F981906" w14:textId="77777777" w:rsidR="00E93F58" w:rsidRPr="00A35C95" w:rsidRDefault="00E93F58" w:rsidP="00366AB5">
      <w:pPr>
        <w:pStyle w:val="paragraph"/>
        <w:tabs>
          <w:tab w:val="left" w:pos="2835"/>
        </w:tabs>
      </w:pPr>
      <w:r w:rsidRPr="00A35C95">
        <w:tab/>
        <w:t>(k)</w:t>
      </w:r>
      <w:r w:rsidRPr="00A35C95">
        <w:tab/>
        <w:t>the Office of Consumer and Business Affairs of South Australia;</w:t>
      </w:r>
    </w:p>
    <w:p w14:paraId="4904C2A9" w14:textId="77777777" w:rsidR="00E93F58" w:rsidRPr="00A35C95" w:rsidRDefault="00E93F58" w:rsidP="00366AB5">
      <w:pPr>
        <w:pStyle w:val="paragraph"/>
        <w:tabs>
          <w:tab w:val="left" w:pos="2835"/>
        </w:tabs>
      </w:pPr>
      <w:r w:rsidRPr="00A35C95">
        <w:tab/>
        <w:t>(l)</w:t>
      </w:r>
      <w:r w:rsidRPr="00A35C95">
        <w:tab/>
        <w:t>the Office of Consumer Affairs and Fair Trading of Tasmania;</w:t>
      </w:r>
    </w:p>
    <w:p w14:paraId="56ACB22C" w14:textId="77777777" w:rsidR="00E93F58" w:rsidRPr="00A35C95" w:rsidRDefault="00E93F58" w:rsidP="00366AB5">
      <w:pPr>
        <w:pStyle w:val="paragraph"/>
        <w:tabs>
          <w:tab w:val="left" w:pos="2835"/>
        </w:tabs>
      </w:pPr>
      <w:r w:rsidRPr="00A35C95">
        <w:tab/>
        <w:t>(la)</w:t>
      </w:r>
      <w:r w:rsidRPr="00A35C95">
        <w:tab/>
        <w:t>the Department of Treasury and Finance of Tasmania;</w:t>
      </w:r>
    </w:p>
    <w:p w14:paraId="3A3C2796" w14:textId="77777777" w:rsidR="00E93F58" w:rsidRPr="00A35C95" w:rsidRDefault="00E93F58" w:rsidP="00366AB5">
      <w:pPr>
        <w:pStyle w:val="paragraph"/>
        <w:tabs>
          <w:tab w:val="left" w:pos="2835"/>
        </w:tabs>
      </w:pPr>
      <w:r w:rsidRPr="00A35C95">
        <w:tab/>
        <w:t>(m)</w:t>
      </w:r>
      <w:r w:rsidRPr="00A35C95">
        <w:tab/>
        <w:t>the Consumer Affairs Bureau of the Australian Capital Territory;</w:t>
      </w:r>
    </w:p>
    <w:p w14:paraId="30C78B05" w14:textId="77777777" w:rsidR="00E93F58" w:rsidRPr="00A35C95" w:rsidRDefault="00E93F58" w:rsidP="00366AB5">
      <w:pPr>
        <w:pStyle w:val="paragraph"/>
        <w:tabs>
          <w:tab w:val="left" w:pos="2835"/>
        </w:tabs>
      </w:pPr>
      <w:r w:rsidRPr="00A35C95">
        <w:tab/>
        <w:t>(n)</w:t>
      </w:r>
      <w:r w:rsidRPr="00A35C95">
        <w:tab/>
        <w:t>the Fair Trading Group of the Northern Territory.</w:t>
      </w:r>
    </w:p>
    <w:p w14:paraId="722D1D60" w14:textId="77777777" w:rsidR="00E93F58" w:rsidRPr="00A35C95" w:rsidRDefault="00E93F58" w:rsidP="00366AB5">
      <w:pPr>
        <w:pStyle w:val="ActHead5"/>
        <w:tabs>
          <w:tab w:val="left" w:pos="2835"/>
        </w:tabs>
      </w:pPr>
      <w:bookmarkStart w:id="654" w:name="_Toc152057901"/>
      <w:bookmarkStart w:id="655" w:name="_Toc158712124"/>
      <w:r w:rsidRPr="00844D11">
        <w:rPr>
          <w:rStyle w:val="CharSectno"/>
        </w:rPr>
        <w:t>7.3.08</w:t>
      </w:r>
      <w:r w:rsidRPr="00A35C95">
        <w:rPr>
          <w:sz w:val="16"/>
        </w:rPr>
        <w:t xml:space="preserve">  </w:t>
      </w:r>
      <w:r w:rsidRPr="00A35C95">
        <w:t>Agencies for compliance assessment</w:t>
      </w:r>
      <w:bookmarkEnd w:id="654"/>
      <w:bookmarkEnd w:id="655"/>
    </w:p>
    <w:p w14:paraId="47CCCE8E" w14:textId="77777777" w:rsidR="00E93F58" w:rsidRPr="00A35C95" w:rsidRDefault="00E93F58" w:rsidP="00366AB5">
      <w:pPr>
        <w:pStyle w:val="subsection"/>
        <w:keepNext/>
        <w:keepLines/>
        <w:tabs>
          <w:tab w:val="left" w:pos="2835"/>
        </w:tabs>
      </w:pPr>
      <w:r w:rsidRPr="00A35C95">
        <w:tab/>
      </w:r>
      <w:r w:rsidRPr="00A35C95">
        <w:tab/>
        <w:t>For paragraph 823CA(4)(d) of the Act, the following agencies are prescribed:</w:t>
      </w:r>
    </w:p>
    <w:p w14:paraId="171CFFF8" w14:textId="77777777" w:rsidR="00E93F58" w:rsidRPr="00A35C95" w:rsidRDefault="00E93F58" w:rsidP="00366AB5">
      <w:pPr>
        <w:pStyle w:val="paragraph"/>
        <w:tabs>
          <w:tab w:val="left" w:pos="2835"/>
        </w:tabs>
      </w:pPr>
      <w:r w:rsidRPr="00A35C95">
        <w:tab/>
        <w:t>(a)</w:t>
      </w:r>
      <w:r w:rsidRPr="00A35C95">
        <w:tab/>
        <w:t>the Clean Energy Regulator;</w:t>
      </w:r>
    </w:p>
    <w:p w14:paraId="4E949387" w14:textId="77777777" w:rsidR="00E93F58" w:rsidRPr="00A35C95" w:rsidRDefault="00E93F58" w:rsidP="00366AB5">
      <w:pPr>
        <w:pStyle w:val="paragraph"/>
        <w:tabs>
          <w:tab w:val="left" w:pos="2835"/>
        </w:tabs>
      </w:pPr>
      <w:r w:rsidRPr="00A35C95">
        <w:tab/>
        <w:t>(aa)</w:t>
      </w:r>
      <w:r w:rsidRPr="00A35C95">
        <w:tab/>
        <w:t>the Australian Competition and Consumer Commission;</w:t>
      </w:r>
    </w:p>
    <w:p w14:paraId="34EC71FE" w14:textId="77777777" w:rsidR="00E93F58" w:rsidRPr="00A35C95" w:rsidRDefault="00E93F58" w:rsidP="00366AB5">
      <w:pPr>
        <w:pStyle w:val="paragraph"/>
        <w:tabs>
          <w:tab w:val="left" w:pos="2835"/>
        </w:tabs>
      </w:pPr>
      <w:r w:rsidRPr="00A35C95">
        <w:tab/>
        <w:t>(b)</w:t>
      </w:r>
      <w:r w:rsidRPr="00A35C95">
        <w:tab/>
        <w:t>the Australian Prudential Regulation Authority;</w:t>
      </w:r>
    </w:p>
    <w:p w14:paraId="6DDDEFD8" w14:textId="77777777" w:rsidR="00E93F58" w:rsidRPr="00A35C95" w:rsidRDefault="00E93F58" w:rsidP="00366AB5">
      <w:pPr>
        <w:pStyle w:val="paragraph"/>
        <w:tabs>
          <w:tab w:val="left" w:pos="2835"/>
        </w:tabs>
      </w:pPr>
      <w:r w:rsidRPr="00A35C95">
        <w:tab/>
        <w:t>(c)</w:t>
      </w:r>
      <w:r w:rsidRPr="00A35C95">
        <w:tab/>
        <w:t>the Australian Taxation Office;</w:t>
      </w:r>
    </w:p>
    <w:p w14:paraId="764711C0" w14:textId="77777777" w:rsidR="00E93F58" w:rsidRPr="00A35C95" w:rsidRDefault="00E93F58" w:rsidP="00366AB5">
      <w:pPr>
        <w:pStyle w:val="paragraph"/>
        <w:tabs>
          <w:tab w:val="left" w:pos="2835"/>
        </w:tabs>
      </w:pPr>
      <w:r w:rsidRPr="00A35C95">
        <w:tab/>
        <w:t>(d)</w:t>
      </w:r>
      <w:r w:rsidRPr="00A35C95">
        <w:tab/>
        <w:t>the Australian Transaction Reports and Analysis Centre;</w:t>
      </w:r>
    </w:p>
    <w:p w14:paraId="1F80DC54" w14:textId="77777777" w:rsidR="00E93F58" w:rsidRPr="00A35C95" w:rsidRDefault="00E93F58" w:rsidP="00366AB5">
      <w:pPr>
        <w:pStyle w:val="paragraph"/>
        <w:tabs>
          <w:tab w:val="left" w:pos="2835"/>
        </w:tabs>
      </w:pPr>
      <w:r w:rsidRPr="00A35C95">
        <w:tab/>
        <w:t>(e)</w:t>
      </w:r>
      <w:r w:rsidRPr="00A35C95">
        <w:tab/>
        <w:t>an authority of a State or Territory having functions and powers similar to those of the Director of Public Prosecutions;</w:t>
      </w:r>
    </w:p>
    <w:p w14:paraId="2D913372" w14:textId="77777777" w:rsidR="00E93F58" w:rsidRPr="00A35C95" w:rsidRDefault="00E93F58" w:rsidP="00366AB5">
      <w:pPr>
        <w:pStyle w:val="paragraph"/>
        <w:tabs>
          <w:tab w:val="left" w:pos="2835"/>
        </w:tabs>
      </w:pPr>
      <w:r w:rsidRPr="00A35C95">
        <w:tab/>
        <w:t>(f)</w:t>
      </w:r>
      <w:r w:rsidRPr="00A35C95">
        <w:tab/>
        <w:t>the police force or service of each State and the Northern Territory;</w:t>
      </w:r>
    </w:p>
    <w:p w14:paraId="366F6758" w14:textId="77777777" w:rsidR="00E93F58" w:rsidRPr="00A35C95" w:rsidRDefault="00E93F58" w:rsidP="00366AB5">
      <w:pPr>
        <w:pStyle w:val="paragraph"/>
        <w:tabs>
          <w:tab w:val="left" w:pos="2835"/>
        </w:tabs>
      </w:pPr>
      <w:r w:rsidRPr="00A35C95">
        <w:tab/>
        <w:t>(g)</w:t>
      </w:r>
      <w:r w:rsidRPr="00A35C95">
        <w:tab/>
        <w:t>the Department of Consumer and Employment Protection of Western Australia;</w:t>
      </w:r>
    </w:p>
    <w:p w14:paraId="6ADC6705" w14:textId="77777777" w:rsidR="00E93F58" w:rsidRPr="00A35C95" w:rsidRDefault="00E93F58" w:rsidP="00366AB5">
      <w:pPr>
        <w:pStyle w:val="paragraph"/>
        <w:tabs>
          <w:tab w:val="left" w:pos="2835"/>
        </w:tabs>
      </w:pPr>
      <w:r w:rsidRPr="00A35C95">
        <w:tab/>
        <w:t>(ga)</w:t>
      </w:r>
      <w:r w:rsidRPr="00A35C95">
        <w:tab/>
        <w:t>the Commissioner of State Revenue of Western Australia;</w:t>
      </w:r>
    </w:p>
    <w:p w14:paraId="246912AB" w14:textId="77777777" w:rsidR="00E93F58" w:rsidRPr="00A35C95" w:rsidRDefault="00E93F58" w:rsidP="00366AB5">
      <w:pPr>
        <w:pStyle w:val="paragraph"/>
        <w:tabs>
          <w:tab w:val="left" w:pos="2835"/>
        </w:tabs>
      </w:pPr>
      <w:r w:rsidRPr="00A35C95">
        <w:tab/>
        <w:t>(h)</w:t>
      </w:r>
      <w:r w:rsidRPr="00A35C95">
        <w:tab/>
        <w:t>the Department of Fair Trading of New South Wales;</w:t>
      </w:r>
    </w:p>
    <w:p w14:paraId="6DFDFAAB" w14:textId="77777777" w:rsidR="00E93F58" w:rsidRPr="00A35C95" w:rsidRDefault="00E93F58" w:rsidP="00366AB5">
      <w:pPr>
        <w:pStyle w:val="paragraph"/>
        <w:tabs>
          <w:tab w:val="left" w:pos="2835"/>
        </w:tabs>
      </w:pPr>
      <w:r w:rsidRPr="00A35C95">
        <w:tab/>
        <w:t>(i)</w:t>
      </w:r>
      <w:r w:rsidRPr="00A35C95">
        <w:tab/>
        <w:t>the Office of Fair Trading and Business Affairs of Victoria;</w:t>
      </w:r>
    </w:p>
    <w:p w14:paraId="43865613" w14:textId="77777777" w:rsidR="00E93F58" w:rsidRPr="00A35C95" w:rsidRDefault="00E93F58" w:rsidP="00366AB5">
      <w:pPr>
        <w:pStyle w:val="paragraph"/>
        <w:tabs>
          <w:tab w:val="left" w:pos="2835"/>
        </w:tabs>
      </w:pPr>
      <w:r w:rsidRPr="00A35C95">
        <w:tab/>
        <w:t>(ia)</w:t>
      </w:r>
      <w:r w:rsidRPr="00A35C95">
        <w:tab/>
        <w:t>the State Revenue Office of Victoria;</w:t>
      </w:r>
    </w:p>
    <w:p w14:paraId="13A0FCBC" w14:textId="77777777" w:rsidR="00E93F58" w:rsidRPr="00A35C95" w:rsidRDefault="00E93F58" w:rsidP="00366AB5">
      <w:pPr>
        <w:pStyle w:val="paragraph"/>
        <w:tabs>
          <w:tab w:val="left" w:pos="2835"/>
        </w:tabs>
      </w:pPr>
      <w:r w:rsidRPr="00A35C95">
        <w:tab/>
        <w:t>(j)</w:t>
      </w:r>
      <w:r w:rsidRPr="00A35C95">
        <w:tab/>
        <w:t>the Office of Consumer Affairs of Queensland;</w:t>
      </w:r>
    </w:p>
    <w:p w14:paraId="220C6601" w14:textId="77777777" w:rsidR="00E93F58" w:rsidRPr="00A35C95" w:rsidRDefault="00E93F58" w:rsidP="00366AB5">
      <w:pPr>
        <w:pStyle w:val="paragraph"/>
        <w:tabs>
          <w:tab w:val="left" w:pos="2835"/>
        </w:tabs>
      </w:pPr>
      <w:r w:rsidRPr="00A35C95">
        <w:tab/>
        <w:t>(ja)</w:t>
      </w:r>
      <w:r w:rsidRPr="00A35C95">
        <w:tab/>
        <w:t>the Office of State Revenue of Queensland;</w:t>
      </w:r>
    </w:p>
    <w:p w14:paraId="50B2068F" w14:textId="77777777" w:rsidR="00E93F58" w:rsidRPr="00A35C95" w:rsidRDefault="00E93F58" w:rsidP="00366AB5">
      <w:pPr>
        <w:pStyle w:val="paragraph"/>
        <w:tabs>
          <w:tab w:val="left" w:pos="2835"/>
        </w:tabs>
      </w:pPr>
      <w:r w:rsidRPr="00A35C95">
        <w:tab/>
        <w:t>(k)</w:t>
      </w:r>
      <w:r w:rsidRPr="00A35C95">
        <w:tab/>
        <w:t>the Office of Consumer and Business Affairs of South Australia;</w:t>
      </w:r>
    </w:p>
    <w:p w14:paraId="58B27FC1" w14:textId="77777777" w:rsidR="00E93F58" w:rsidRPr="00A35C95" w:rsidRDefault="00E93F58" w:rsidP="00366AB5">
      <w:pPr>
        <w:pStyle w:val="paragraph"/>
        <w:tabs>
          <w:tab w:val="left" w:pos="2835"/>
        </w:tabs>
      </w:pPr>
      <w:r w:rsidRPr="00A35C95">
        <w:tab/>
        <w:t>(l)</w:t>
      </w:r>
      <w:r w:rsidRPr="00A35C95">
        <w:tab/>
        <w:t>the Office of Consumer Affairs and Fair Trading of Tasmania;</w:t>
      </w:r>
    </w:p>
    <w:p w14:paraId="52DBE6DA" w14:textId="77777777" w:rsidR="00E93F58" w:rsidRPr="00A35C95" w:rsidRDefault="00E93F58" w:rsidP="00366AB5">
      <w:pPr>
        <w:pStyle w:val="paragraph"/>
        <w:tabs>
          <w:tab w:val="left" w:pos="2835"/>
        </w:tabs>
      </w:pPr>
      <w:r w:rsidRPr="00A35C95">
        <w:tab/>
        <w:t>(la)</w:t>
      </w:r>
      <w:r w:rsidRPr="00A35C95">
        <w:tab/>
        <w:t>the Department of Treasury and Finance of Tasmania;</w:t>
      </w:r>
    </w:p>
    <w:p w14:paraId="59342DEF" w14:textId="77777777" w:rsidR="00E93F58" w:rsidRPr="00A35C95" w:rsidRDefault="00E93F58" w:rsidP="00366AB5">
      <w:pPr>
        <w:pStyle w:val="paragraph"/>
        <w:tabs>
          <w:tab w:val="left" w:pos="2835"/>
        </w:tabs>
      </w:pPr>
      <w:r w:rsidRPr="00A35C95">
        <w:tab/>
        <w:t>(m)</w:t>
      </w:r>
      <w:r w:rsidRPr="00A35C95">
        <w:tab/>
        <w:t>the Consumer Affairs Bureau of the Australian Capital Territory;</w:t>
      </w:r>
    </w:p>
    <w:p w14:paraId="41D30383" w14:textId="77777777" w:rsidR="00E93F58" w:rsidRPr="00A35C95" w:rsidRDefault="00E93F58" w:rsidP="00366AB5">
      <w:pPr>
        <w:pStyle w:val="paragraph"/>
        <w:tabs>
          <w:tab w:val="left" w:pos="2835"/>
        </w:tabs>
      </w:pPr>
      <w:r w:rsidRPr="00A35C95">
        <w:tab/>
        <w:t>(n)</w:t>
      </w:r>
      <w:r w:rsidRPr="00A35C95">
        <w:tab/>
        <w:t>the Fair Trading Group of the Northern Territory.</w:t>
      </w:r>
    </w:p>
    <w:p w14:paraId="573AA2B0" w14:textId="77777777" w:rsidR="00E93F58" w:rsidRPr="00A35C95" w:rsidRDefault="00E93F58" w:rsidP="00366AB5">
      <w:pPr>
        <w:pStyle w:val="ActHead3"/>
        <w:pageBreakBefore/>
        <w:tabs>
          <w:tab w:val="left" w:pos="2835"/>
        </w:tabs>
        <w:rPr>
          <w:color w:val="000000"/>
        </w:rPr>
      </w:pPr>
      <w:bookmarkStart w:id="656" w:name="_Toc152057902"/>
      <w:bookmarkStart w:id="657" w:name="_Toc158712125"/>
      <w:r w:rsidRPr="00844D11">
        <w:rPr>
          <w:rStyle w:val="CharDivNo"/>
        </w:rPr>
        <w:lastRenderedPageBreak/>
        <w:t>Division 4</w:t>
      </w:r>
      <w:r w:rsidRPr="00A35C95">
        <w:rPr>
          <w:color w:val="000000"/>
        </w:rPr>
        <w:t>—</w:t>
      </w:r>
      <w:r w:rsidRPr="00844D11">
        <w:rPr>
          <w:rStyle w:val="CharDivText"/>
        </w:rPr>
        <w:t>The Australian CS facility licence: applications (general)</w:t>
      </w:r>
      <w:bookmarkEnd w:id="656"/>
      <w:bookmarkEnd w:id="657"/>
    </w:p>
    <w:p w14:paraId="7F801B91" w14:textId="77777777" w:rsidR="00E93F58" w:rsidRPr="00A35C95" w:rsidRDefault="00E93F58" w:rsidP="00366AB5">
      <w:pPr>
        <w:pStyle w:val="ActHead5"/>
        <w:tabs>
          <w:tab w:val="left" w:pos="2835"/>
        </w:tabs>
      </w:pPr>
      <w:bookmarkStart w:id="658" w:name="_Toc152057903"/>
      <w:bookmarkStart w:id="659" w:name="_Toc158712126"/>
      <w:r w:rsidRPr="00844D11">
        <w:rPr>
          <w:rStyle w:val="CharSectno"/>
        </w:rPr>
        <w:t>7.3.09</w:t>
      </w:r>
      <w:r w:rsidRPr="00A35C95">
        <w:rPr>
          <w:sz w:val="16"/>
        </w:rPr>
        <w:t xml:space="preserve">  </w:t>
      </w:r>
      <w:r w:rsidRPr="00A35C95">
        <w:t>Application of Division 4</w:t>
      </w:r>
      <w:bookmarkEnd w:id="658"/>
      <w:bookmarkEnd w:id="659"/>
    </w:p>
    <w:p w14:paraId="70AE7D83" w14:textId="77777777" w:rsidR="00E93F58" w:rsidRPr="00A35C95" w:rsidRDefault="00E93F58" w:rsidP="00366AB5">
      <w:pPr>
        <w:pStyle w:val="subsection"/>
        <w:tabs>
          <w:tab w:val="left" w:pos="2835"/>
        </w:tabs>
      </w:pPr>
      <w:r w:rsidRPr="00A35C95">
        <w:rPr>
          <w:color w:val="000000"/>
        </w:rPr>
        <w:tab/>
      </w:r>
      <w:r w:rsidRPr="00A35C95">
        <w:rPr>
          <w:color w:val="000000"/>
        </w:rPr>
        <w:tab/>
        <w:t>This Division applies in relation to a body corporate that applies for an Australian CS facility licence that may be granted under subsection 824B(1) of the Act.</w:t>
      </w:r>
    </w:p>
    <w:p w14:paraId="711203E5" w14:textId="77777777" w:rsidR="00E93F58" w:rsidRPr="00A35C95" w:rsidRDefault="00E93F58" w:rsidP="00366AB5">
      <w:pPr>
        <w:pStyle w:val="ActHead5"/>
        <w:tabs>
          <w:tab w:val="left" w:pos="2835"/>
        </w:tabs>
      </w:pPr>
      <w:bookmarkStart w:id="660" w:name="_Toc152057904"/>
      <w:bookmarkStart w:id="661" w:name="_Toc158712127"/>
      <w:r w:rsidRPr="00844D11">
        <w:rPr>
          <w:rStyle w:val="CharSectno"/>
        </w:rPr>
        <w:t>7.3.10</w:t>
      </w:r>
      <w:r w:rsidRPr="00A35C95">
        <w:rPr>
          <w:sz w:val="16"/>
        </w:rPr>
        <w:t xml:space="preserve">  </w:t>
      </w:r>
      <w:r w:rsidRPr="00A35C95">
        <w:t>Information</w:t>
      </w:r>
      <w:bookmarkEnd w:id="660"/>
      <w:bookmarkEnd w:id="661"/>
    </w:p>
    <w:p w14:paraId="5B2C6B64" w14:textId="77777777" w:rsidR="00E93F58" w:rsidRPr="00A35C95" w:rsidRDefault="00E93F58" w:rsidP="00366AB5">
      <w:pPr>
        <w:pStyle w:val="subsection"/>
        <w:tabs>
          <w:tab w:val="left" w:pos="2835"/>
        </w:tabs>
      </w:pPr>
      <w:r w:rsidRPr="00A35C95">
        <w:tab/>
      </w:r>
      <w:r w:rsidRPr="00A35C95">
        <w:tab/>
        <w:t>For paragraph 824A(1)(a) of the Act, the following information is required as part of an application by the body corporate for an Australian CS facility licence:</w:t>
      </w:r>
    </w:p>
    <w:p w14:paraId="5220B744"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name, address and contact details;</w:t>
      </w:r>
    </w:p>
    <w:p w14:paraId="4C2380AC" w14:textId="77777777" w:rsidR="00E93F58" w:rsidRPr="00A35C95" w:rsidRDefault="00E93F58" w:rsidP="00366AB5">
      <w:pPr>
        <w:pStyle w:val="paragraph"/>
        <w:tabs>
          <w:tab w:val="left" w:pos="2835"/>
        </w:tabs>
      </w:pPr>
      <w:r w:rsidRPr="00A35C95">
        <w:tab/>
        <w:t>(b)</w:t>
      </w:r>
      <w:r w:rsidRPr="00A35C95">
        <w:tab/>
        <w:t>the name, address and contact details of any person who will act on behalf of the body corporate in relation to the application;</w:t>
      </w:r>
    </w:p>
    <w:p w14:paraId="090C1F94" w14:textId="77777777" w:rsidR="00E93F58" w:rsidRPr="00A35C95" w:rsidRDefault="00E93F58" w:rsidP="00366AB5">
      <w:pPr>
        <w:pStyle w:val="paragraph"/>
        <w:tabs>
          <w:tab w:val="left" w:pos="2835"/>
        </w:tabs>
      </w:pPr>
      <w:r w:rsidRPr="00A35C95">
        <w:tab/>
        <w:t>(c)</w:t>
      </w:r>
      <w:r w:rsidRPr="00A35C95">
        <w:tab/>
        <w:t>details of the body corporate’s major shareholders and organisation, including:</w:t>
      </w:r>
    </w:p>
    <w:p w14:paraId="3124231E" w14:textId="77777777" w:rsidR="00E93F58" w:rsidRPr="00A35C95" w:rsidRDefault="00E93F58" w:rsidP="00366AB5">
      <w:pPr>
        <w:pStyle w:val="paragraphsub"/>
        <w:tabs>
          <w:tab w:val="left" w:pos="2835"/>
        </w:tabs>
      </w:pPr>
      <w:r w:rsidRPr="00A35C95">
        <w:rPr>
          <w:color w:val="000000"/>
        </w:rPr>
        <w:tab/>
        <w:t>(i)</w:t>
      </w:r>
      <w:r w:rsidRPr="00A35C95">
        <w:rPr>
          <w:color w:val="000000"/>
        </w:rPr>
        <w:tab/>
        <w:t>the name, address and contact details of each director; and</w:t>
      </w:r>
    </w:p>
    <w:p w14:paraId="52641222" w14:textId="77777777" w:rsidR="00E93F58" w:rsidRPr="00A35C95" w:rsidRDefault="00E93F58" w:rsidP="00366AB5">
      <w:pPr>
        <w:pStyle w:val="paragraphsub"/>
        <w:tabs>
          <w:tab w:val="left" w:pos="2835"/>
        </w:tabs>
      </w:pPr>
      <w:r w:rsidRPr="00A35C95">
        <w:tab/>
        <w:t>(ii)</w:t>
      </w:r>
      <w:r w:rsidRPr="00A35C95">
        <w:tab/>
        <w:t>the name, address and contact details of each secretary; and</w:t>
      </w:r>
    </w:p>
    <w:p w14:paraId="64189331" w14:textId="77777777" w:rsidR="00E93F58" w:rsidRPr="00A35C95" w:rsidRDefault="00E93F58" w:rsidP="00366AB5">
      <w:pPr>
        <w:pStyle w:val="paragraphsub"/>
        <w:tabs>
          <w:tab w:val="left" w:pos="2835"/>
        </w:tabs>
      </w:pPr>
      <w:r w:rsidRPr="00A35C95">
        <w:tab/>
        <w:t>(iii)</w:t>
      </w:r>
      <w:r w:rsidRPr="00A35C95">
        <w:tab/>
        <w:t>the name, address and contact details of each executive officer of the body corporate; and</w:t>
      </w:r>
    </w:p>
    <w:p w14:paraId="1DD3ADC6" w14:textId="77777777" w:rsidR="00E93F58" w:rsidRPr="00A35C95" w:rsidRDefault="00E93F58" w:rsidP="00366AB5">
      <w:pPr>
        <w:pStyle w:val="paragraphsub"/>
        <w:tabs>
          <w:tab w:val="left" w:pos="2835"/>
        </w:tabs>
      </w:pPr>
      <w:r w:rsidRPr="00A35C95">
        <w:tab/>
        <w:t>(iv)</w:t>
      </w:r>
      <w:r w:rsidRPr="00A35C95">
        <w:tab/>
        <w:t>whether any director, secretary or executive officer is, or has been, disqualified from managing a corporation under a law of this jurisdiction or another jurisdiction;</w:t>
      </w:r>
    </w:p>
    <w:p w14:paraId="5CBE38C7" w14:textId="77777777" w:rsidR="00E93F58" w:rsidRPr="00A35C95" w:rsidRDefault="00E93F58" w:rsidP="00366AB5">
      <w:pPr>
        <w:pStyle w:val="paragraph"/>
        <w:tabs>
          <w:tab w:val="left" w:pos="2835"/>
        </w:tabs>
      </w:pPr>
      <w:r w:rsidRPr="00A35C95">
        <w:rPr>
          <w:color w:val="000000"/>
        </w:rPr>
        <w:tab/>
        <w:t>(d)</w:t>
      </w:r>
      <w:r w:rsidRPr="00A35C95">
        <w:rPr>
          <w:color w:val="000000"/>
        </w:rPr>
        <w:tab/>
        <w:t>a description of the body corporate’s business or functions, other than the operation of the clearing and settlement facility;</w:t>
      </w:r>
    </w:p>
    <w:p w14:paraId="08951ECF" w14:textId="77777777" w:rsidR="00E93F58" w:rsidRPr="00A35C95" w:rsidRDefault="00E93F58" w:rsidP="00366AB5">
      <w:pPr>
        <w:pStyle w:val="paragraph"/>
        <w:keepNext/>
        <w:keepLines/>
        <w:tabs>
          <w:tab w:val="left" w:pos="2835"/>
        </w:tabs>
      </w:pPr>
      <w:r w:rsidRPr="00A35C95">
        <w:tab/>
        <w:t>(e)</w:t>
      </w:r>
      <w:r w:rsidRPr="00A35C95">
        <w:tab/>
        <w:t>the services in respect of which the Australian CS facility licence is sought, including details of:</w:t>
      </w:r>
    </w:p>
    <w:p w14:paraId="5BCBAFFB" w14:textId="77777777" w:rsidR="00E93F58" w:rsidRPr="00A35C95" w:rsidRDefault="00E93F58" w:rsidP="00366AB5">
      <w:pPr>
        <w:pStyle w:val="paragraphsub"/>
        <w:tabs>
          <w:tab w:val="left" w:pos="2835"/>
        </w:tabs>
      </w:pPr>
      <w:r w:rsidRPr="00A35C95">
        <w:rPr>
          <w:color w:val="000000"/>
        </w:rPr>
        <w:tab/>
        <w:t>(i)</w:t>
      </w:r>
      <w:r w:rsidRPr="00A35C95">
        <w:rPr>
          <w:color w:val="000000"/>
        </w:rPr>
        <w:tab/>
        <w:t>the financial products for which clearing and settlement facilities are to be provided; and</w:t>
      </w:r>
    </w:p>
    <w:p w14:paraId="302B26A6" w14:textId="77777777" w:rsidR="00E93F58" w:rsidRPr="00A35C95" w:rsidRDefault="00E93F58" w:rsidP="00366AB5">
      <w:pPr>
        <w:pStyle w:val="paragraphsub"/>
        <w:tabs>
          <w:tab w:val="left" w:pos="2835"/>
        </w:tabs>
      </w:pPr>
      <w:r w:rsidRPr="00A35C95">
        <w:tab/>
        <w:t>(ii)</w:t>
      </w:r>
      <w:r w:rsidRPr="00A35C95">
        <w:tab/>
        <w:t>the nature of each interest in a financial product that is to be transferred using the clearing and settlement facility; and</w:t>
      </w:r>
    </w:p>
    <w:p w14:paraId="02766874" w14:textId="77777777" w:rsidR="00E93F58" w:rsidRPr="00A35C95" w:rsidRDefault="00E93F58" w:rsidP="00366AB5">
      <w:pPr>
        <w:pStyle w:val="paragraphsub"/>
        <w:tabs>
          <w:tab w:val="left" w:pos="2835"/>
        </w:tabs>
      </w:pPr>
      <w:r w:rsidRPr="00A35C95">
        <w:tab/>
        <w:t>(iii)</w:t>
      </w:r>
      <w:r w:rsidRPr="00A35C95">
        <w:tab/>
        <w:t>the mechanisms to be used by the body corporate to operate the clearing and settlement facility, including (if applicable) arrangements to limit the risk of default by a party to a transaction;</w:t>
      </w:r>
    </w:p>
    <w:p w14:paraId="1391DBD2" w14:textId="77777777" w:rsidR="00E93F58" w:rsidRPr="00A35C95" w:rsidRDefault="00E93F58" w:rsidP="00366AB5">
      <w:pPr>
        <w:pStyle w:val="paragraph"/>
        <w:tabs>
          <w:tab w:val="left" w:pos="2835"/>
        </w:tabs>
      </w:pPr>
      <w:r w:rsidRPr="00A35C95">
        <w:rPr>
          <w:color w:val="000000"/>
        </w:rPr>
        <w:tab/>
        <w:t>(f)</w:t>
      </w:r>
      <w:r w:rsidRPr="00A35C95">
        <w:rPr>
          <w:color w:val="000000"/>
        </w:rPr>
        <w:tab/>
        <w:t>whether the body corporate has applied, or intends to apply, to become a prescribed CS facility;</w:t>
      </w:r>
    </w:p>
    <w:p w14:paraId="5DAACB2D" w14:textId="77777777" w:rsidR="00E93F58" w:rsidRPr="00A35C95" w:rsidRDefault="00E93F58" w:rsidP="00366AB5">
      <w:pPr>
        <w:pStyle w:val="paragraph"/>
        <w:tabs>
          <w:tab w:val="left" w:pos="2835"/>
        </w:tabs>
      </w:pPr>
      <w:r w:rsidRPr="00A35C95">
        <w:tab/>
        <w:t>(g)</w:t>
      </w:r>
      <w:r w:rsidRPr="00A35C95">
        <w:tab/>
        <w:t>details of the technological resources that will be used in the operation of the clearing and settlement facility, including details of:</w:t>
      </w:r>
    </w:p>
    <w:p w14:paraId="7C415D8D"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purpose of the resources; and</w:t>
      </w:r>
    </w:p>
    <w:p w14:paraId="72AEF31D" w14:textId="77777777" w:rsidR="00E93F58" w:rsidRPr="00A35C95" w:rsidRDefault="00E93F58" w:rsidP="00366AB5">
      <w:pPr>
        <w:pStyle w:val="paragraphsub"/>
        <w:tabs>
          <w:tab w:val="left" w:pos="2835"/>
        </w:tabs>
      </w:pPr>
      <w:r w:rsidRPr="00A35C95">
        <w:tab/>
        <w:t>(ii)</w:t>
      </w:r>
      <w:r w:rsidRPr="00A35C95">
        <w:tab/>
        <w:t>how the resources are to be supplied, managed, maintained and upgraded; and</w:t>
      </w:r>
    </w:p>
    <w:p w14:paraId="3CB19A58" w14:textId="77777777" w:rsidR="00E93F58" w:rsidRPr="00A35C95" w:rsidRDefault="00E93F58" w:rsidP="00366AB5">
      <w:pPr>
        <w:pStyle w:val="paragraphsub"/>
        <w:tabs>
          <w:tab w:val="left" w:pos="2835"/>
        </w:tabs>
      </w:pPr>
      <w:r w:rsidRPr="00A35C95">
        <w:tab/>
        <w:t>(iii)</w:t>
      </w:r>
      <w:r w:rsidRPr="00A35C95">
        <w:tab/>
        <w:t>how the security of information technology systems is to be protected;</w:t>
      </w:r>
    </w:p>
    <w:p w14:paraId="047AF0B9" w14:textId="77777777" w:rsidR="00E93F58" w:rsidRPr="00A35C95" w:rsidRDefault="00E93F58" w:rsidP="00366AB5">
      <w:pPr>
        <w:pStyle w:val="paragraph"/>
        <w:tabs>
          <w:tab w:val="left" w:pos="2835"/>
        </w:tabs>
      </w:pPr>
      <w:r w:rsidRPr="00A35C95">
        <w:rPr>
          <w:color w:val="000000"/>
        </w:rPr>
        <w:tab/>
        <w:t>(h)</w:t>
      </w:r>
      <w:r w:rsidRPr="00A35C95">
        <w:rPr>
          <w:color w:val="000000"/>
        </w:rPr>
        <w:tab/>
        <w:t>details of the arrangements for dealing with conflicts between the body corporate’s commercial interests and its obligations to supervise and monitor the clearing and settlement facility;</w:t>
      </w:r>
    </w:p>
    <w:p w14:paraId="7B719902" w14:textId="77777777" w:rsidR="00E93F58" w:rsidRPr="00A35C95" w:rsidRDefault="00E93F58" w:rsidP="00366AB5">
      <w:pPr>
        <w:pStyle w:val="paragraph"/>
        <w:tabs>
          <w:tab w:val="left" w:pos="2835"/>
        </w:tabs>
      </w:pPr>
      <w:r w:rsidRPr="00A35C95">
        <w:tab/>
        <w:t>(i)</w:t>
      </w:r>
      <w:r w:rsidRPr="00A35C95">
        <w:tab/>
        <w:t>details of the arrangements for the supervision of employees of the body corporate who have duties and responsibilities of a kind that supervision of the employees is necessary to protect the integrity of the operation of the clearing and settlement facility;</w:t>
      </w:r>
    </w:p>
    <w:p w14:paraId="5007DD95" w14:textId="77777777" w:rsidR="00E93F58" w:rsidRPr="00A35C95" w:rsidRDefault="00E93F58" w:rsidP="00366AB5">
      <w:pPr>
        <w:pStyle w:val="paragraph"/>
        <w:tabs>
          <w:tab w:val="left" w:pos="2835"/>
        </w:tabs>
      </w:pPr>
      <w:r w:rsidRPr="00A35C95">
        <w:tab/>
        <w:t>(j)</w:t>
      </w:r>
      <w:r w:rsidRPr="00A35C95">
        <w:tab/>
        <w:t>details of the arrangements for managing counterparty risk, including the risks arising from a counterparty being unable to meet its obligations arising out of clearing, settlement or clearing and settlement transactions using the facility;</w:t>
      </w:r>
    </w:p>
    <w:p w14:paraId="58CC80B5" w14:textId="77777777" w:rsidR="00E93F58" w:rsidRPr="00A35C95" w:rsidRDefault="00E93F58" w:rsidP="00366AB5">
      <w:pPr>
        <w:pStyle w:val="paragraph"/>
        <w:tabs>
          <w:tab w:val="left" w:pos="2835"/>
        </w:tabs>
      </w:pPr>
      <w:r w:rsidRPr="00A35C95">
        <w:tab/>
        <w:t>(k)</w:t>
      </w:r>
      <w:r w:rsidRPr="00A35C95">
        <w:tab/>
        <w:t>if the ACCC has made a decision in relation to the clearing and settlement facility that the body corporate will operate—details of the decision.</w:t>
      </w:r>
    </w:p>
    <w:p w14:paraId="387288F4" w14:textId="77777777" w:rsidR="00E93F58" w:rsidRPr="00A35C95" w:rsidRDefault="00E93F58" w:rsidP="00366AB5">
      <w:pPr>
        <w:pStyle w:val="notetext"/>
        <w:tabs>
          <w:tab w:val="left" w:pos="2835"/>
        </w:tabs>
      </w:pPr>
      <w:r w:rsidRPr="00A35C95">
        <w:t>Example of interests in a financial product:</w:t>
      </w:r>
      <w:r w:rsidRPr="00A35C95">
        <w:tab/>
        <w:t>Legal title or an equitable interest.</w:t>
      </w:r>
    </w:p>
    <w:p w14:paraId="1CFCD362" w14:textId="77777777" w:rsidR="00E93F58" w:rsidRPr="00A35C95" w:rsidRDefault="00E93F58" w:rsidP="00366AB5">
      <w:pPr>
        <w:pStyle w:val="notetext"/>
        <w:tabs>
          <w:tab w:val="left" w:pos="2835"/>
        </w:tabs>
      </w:pPr>
      <w:r w:rsidRPr="00A35C95">
        <w:t>Example of mechanisms to operate the clearing and settlement facility:</w:t>
      </w:r>
    </w:p>
    <w:p w14:paraId="2A4608CE" w14:textId="77777777" w:rsidR="00E93F58" w:rsidRPr="00A35C95" w:rsidRDefault="00E93F58" w:rsidP="00366AB5">
      <w:pPr>
        <w:pStyle w:val="notetext"/>
        <w:tabs>
          <w:tab w:val="left" w:pos="2835"/>
        </w:tabs>
      </w:pPr>
      <w:r w:rsidRPr="00A35C95">
        <w:t>1</w:t>
      </w:r>
      <w:r w:rsidRPr="00A35C95">
        <w:tab/>
        <w:t>The way in which transfers are to be effected.</w:t>
      </w:r>
    </w:p>
    <w:p w14:paraId="5BCC9522" w14:textId="77777777" w:rsidR="00E93F58" w:rsidRPr="00A35C95" w:rsidRDefault="00E93F58" w:rsidP="00366AB5">
      <w:pPr>
        <w:pStyle w:val="notetext"/>
        <w:tabs>
          <w:tab w:val="left" w:pos="2835"/>
        </w:tabs>
      </w:pPr>
      <w:r w:rsidRPr="00A35C95">
        <w:t>2</w:t>
      </w:r>
      <w:r w:rsidRPr="00A35C95">
        <w:tab/>
        <w:t>The way in which payment obligations are to be settled.</w:t>
      </w:r>
    </w:p>
    <w:p w14:paraId="5282326F" w14:textId="77777777" w:rsidR="00E93F58" w:rsidRPr="00A35C95" w:rsidRDefault="00E93F58" w:rsidP="00366AB5">
      <w:pPr>
        <w:pStyle w:val="ActHead5"/>
        <w:tabs>
          <w:tab w:val="left" w:pos="2835"/>
        </w:tabs>
      </w:pPr>
      <w:bookmarkStart w:id="662" w:name="_Toc152057905"/>
      <w:bookmarkStart w:id="663" w:name="_Toc158712128"/>
      <w:r w:rsidRPr="00844D11">
        <w:rPr>
          <w:rStyle w:val="CharSectno"/>
        </w:rPr>
        <w:t>7.3.11</w:t>
      </w:r>
      <w:r w:rsidRPr="00A35C95">
        <w:rPr>
          <w:sz w:val="16"/>
        </w:rPr>
        <w:t xml:space="preserve">  </w:t>
      </w:r>
      <w:r w:rsidRPr="00A35C95">
        <w:t>Documents</w:t>
      </w:r>
      <w:bookmarkEnd w:id="662"/>
      <w:bookmarkEnd w:id="663"/>
    </w:p>
    <w:p w14:paraId="67D5BA8B" w14:textId="77777777" w:rsidR="00E93F58" w:rsidRPr="00A35C95" w:rsidRDefault="00E93F58" w:rsidP="00366AB5">
      <w:pPr>
        <w:pStyle w:val="subsection"/>
        <w:tabs>
          <w:tab w:val="left" w:pos="2835"/>
        </w:tabs>
      </w:pPr>
      <w:r w:rsidRPr="00A35C95">
        <w:tab/>
      </w:r>
      <w:r w:rsidRPr="00A35C95">
        <w:tab/>
        <w:t>For paragraph 824A(1)(b) of the Act, the following documents are required as part of an application by the body corporate for an Australian CS facility licence:</w:t>
      </w:r>
    </w:p>
    <w:p w14:paraId="0D6247C2"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current or proposed operating rules and written procedures;</w:t>
      </w:r>
    </w:p>
    <w:p w14:paraId="0E67881D" w14:textId="77777777" w:rsidR="00E93F58" w:rsidRPr="00A35C95" w:rsidRDefault="00E93F58" w:rsidP="00366AB5">
      <w:pPr>
        <w:pStyle w:val="paragraph"/>
        <w:tabs>
          <w:tab w:val="left" w:pos="2835"/>
        </w:tabs>
      </w:pPr>
      <w:r w:rsidRPr="00A35C95">
        <w:tab/>
        <w:t>(b)</w:t>
      </w:r>
      <w:r w:rsidRPr="00A35C95">
        <w:tab/>
        <w:t>if applicable—the body corporate’s constitution;</w:t>
      </w:r>
    </w:p>
    <w:p w14:paraId="34DD8193" w14:textId="77777777" w:rsidR="00E93F58" w:rsidRPr="00A35C95" w:rsidRDefault="00E93F58" w:rsidP="00366AB5">
      <w:pPr>
        <w:pStyle w:val="paragraph"/>
        <w:tabs>
          <w:tab w:val="left" w:pos="2835"/>
        </w:tabs>
      </w:pPr>
      <w:r w:rsidRPr="00A35C95">
        <w:tab/>
        <w:t>(c)</w:t>
      </w:r>
      <w:r w:rsidRPr="00A35C95">
        <w:tab/>
        <w:t>a copy of any agreement material to:</w:t>
      </w:r>
    </w:p>
    <w:p w14:paraId="30C0B15B" w14:textId="77777777" w:rsidR="00E93F58" w:rsidRPr="00A35C95" w:rsidRDefault="00E93F58" w:rsidP="00366AB5">
      <w:pPr>
        <w:pStyle w:val="paragraphsub"/>
        <w:tabs>
          <w:tab w:val="left" w:pos="2835"/>
        </w:tabs>
      </w:pPr>
      <w:r w:rsidRPr="00A35C95">
        <w:rPr>
          <w:color w:val="000000"/>
        </w:rPr>
        <w:lastRenderedPageBreak/>
        <w:tab/>
        <w:t>(i)</w:t>
      </w:r>
      <w:r w:rsidRPr="00A35C95">
        <w:rPr>
          <w:color w:val="000000"/>
        </w:rPr>
        <w:tab/>
        <w:t>the way in which the clearing and settlement facility is to be operated; and</w:t>
      </w:r>
    </w:p>
    <w:p w14:paraId="6B60B870" w14:textId="77777777" w:rsidR="00E93F58" w:rsidRPr="00A35C95" w:rsidRDefault="00E93F58" w:rsidP="00366AB5">
      <w:pPr>
        <w:pStyle w:val="paragraphsub"/>
        <w:tabs>
          <w:tab w:val="left" w:pos="2835"/>
        </w:tabs>
      </w:pPr>
      <w:r w:rsidRPr="00A35C95">
        <w:tab/>
        <w:t>(ii)</w:t>
      </w:r>
      <w:r w:rsidRPr="00A35C95">
        <w:tab/>
        <w:t>the way in which the financing of the clearing and settlement facility, and the other resources used to operate it, will be organised; and</w:t>
      </w:r>
    </w:p>
    <w:p w14:paraId="78908C5B" w14:textId="77777777" w:rsidR="00E93F58" w:rsidRPr="00A35C95" w:rsidRDefault="00E93F58" w:rsidP="00366AB5">
      <w:pPr>
        <w:pStyle w:val="paragraphsub"/>
        <w:tabs>
          <w:tab w:val="left" w:pos="2835"/>
        </w:tabs>
      </w:pPr>
      <w:r w:rsidRPr="00A35C95">
        <w:tab/>
        <w:t>(iii)</w:t>
      </w:r>
      <w:r w:rsidRPr="00A35C95">
        <w:tab/>
        <w:t>the body corporate’s constitution or governance; and</w:t>
      </w:r>
    </w:p>
    <w:p w14:paraId="5C658002" w14:textId="77777777" w:rsidR="00E93F58" w:rsidRPr="00A35C95" w:rsidRDefault="00E93F58" w:rsidP="00366AB5">
      <w:pPr>
        <w:pStyle w:val="paragraphsub"/>
        <w:tabs>
          <w:tab w:val="left" w:pos="2835"/>
        </w:tabs>
      </w:pPr>
      <w:r w:rsidRPr="00A35C95">
        <w:tab/>
        <w:t>(iv)</w:t>
      </w:r>
      <w:r w:rsidRPr="00A35C95">
        <w:tab/>
        <w:t>the appointment or employment of directors, secretaries and executive officers of the body corporate;</w:t>
      </w:r>
    </w:p>
    <w:p w14:paraId="3CECBDCB" w14:textId="77777777" w:rsidR="00E93F58" w:rsidRPr="00A35C95" w:rsidRDefault="00E93F58" w:rsidP="00366AB5">
      <w:pPr>
        <w:pStyle w:val="paragraph"/>
        <w:tabs>
          <w:tab w:val="left" w:pos="2835"/>
        </w:tabs>
      </w:pPr>
      <w:r w:rsidRPr="00A35C95">
        <w:rPr>
          <w:color w:val="000000"/>
        </w:rPr>
        <w:tab/>
        <w:t>(d)</w:t>
      </w:r>
      <w:r w:rsidRPr="00A35C95">
        <w:rPr>
          <w:color w:val="000000"/>
        </w:rPr>
        <w:tab/>
        <w:t>a copy of any agreement, or proposed agreement, between the body corporate and a market licensee relating to services to be offered to the market licensee;</w:t>
      </w:r>
    </w:p>
    <w:p w14:paraId="6139F241" w14:textId="77777777" w:rsidR="00E93F58" w:rsidRPr="00A35C95" w:rsidRDefault="00E93F58" w:rsidP="00366AB5">
      <w:pPr>
        <w:pStyle w:val="paragraph"/>
        <w:tabs>
          <w:tab w:val="left" w:pos="2835"/>
        </w:tabs>
      </w:pPr>
      <w:r w:rsidRPr="00A35C95">
        <w:tab/>
        <w:t>(e)</w:t>
      </w:r>
      <w:r w:rsidRPr="00A35C95">
        <w:tab/>
        <w:t>a copy of any agreement, or proposed agreement, relating to the outsourcing or delegation of a function, facility or service in relation to the facility by the body corporate to another person;</w:t>
      </w:r>
    </w:p>
    <w:p w14:paraId="070F9BD5" w14:textId="77777777" w:rsidR="00E93F58" w:rsidRPr="00A35C95" w:rsidRDefault="00E93F58" w:rsidP="00366AB5">
      <w:pPr>
        <w:pStyle w:val="paragraph"/>
        <w:tabs>
          <w:tab w:val="left" w:pos="2835"/>
        </w:tabs>
      </w:pPr>
      <w:r w:rsidRPr="00A35C95">
        <w:tab/>
        <w:t>(f)</w:t>
      </w:r>
      <w:r w:rsidRPr="00A35C95">
        <w:tab/>
        <w:t>if the body corporate:</w:t>
      </w:r>
    </w:p>
    <w:p w14:paraId="7CD9E349" w14:textId="77777777" w:rsidR="00E93F58" w:rsidRPr="00A35C95" w:rsidRDefault="00E93F58" w:rsidP="00366AB5">
      <w:pPr>
        <w:pStyle w:val="paragraphsub"/>
        <w:tabs>
          <w:tab w:val="left" w:pos="2835"/>
        </w:tabs>
      </w:pPr>
      <w:r w:rsidRPr="00A35C95">
        <w:rPr>
          <w:color w:val="000000"/>
        </w:rPr>
        <w:tab/>
        <w:t>(i)</w:t>
      </w:r>
      <w:r w:rsidRPr="00A35C95">
        <w:rPr>
          <w:color w:val="000000"/>
        </w:rPr>
        <w:tab/>
        <w:t>uses, or is likely to use, a counterparty; or</w:t>
      </w:r>
    </w:p>
    <w:p w14:paraId="4DF16E77" w14:textId="77777777" w:rsidR="00E93F58" w:rsidRPr="00A35C95" w:rsidRDefault="00E93F58" w:rsidP="00366AB5">
      <w:pPr>
        <w:pStyle w:val="paragraphsub"/>
        <w:tabs>
          <w:tab w:val="left" w:pos="2835"/>
        </w:tabs>
      </w:pPr>
      <w:r w:rsidRPr="00A35C95">
        <w:tab/>
        <w:t>(ii)</w:t>
      </w:r>
      <w:r w:rsidRPr="00A35C95">
        <w:tab/>
        <w:t>will be operating as a central counterparty;</w:t>
      </w:r>
    </w:p>
    <w:p w14:paraId="4227AA51" w14:textId="77777777" w:rsidR="00E93F58" w:rsidRPr="00A35C95" w:rsidRDefault="00E93F58" w:rsidP="00366AB5">
      <w:pPr>
        <w:pStyle w:val="paragraph"/>
        <w:tabs>
          <w:tab w:val="left" w:pos="2835"/>
        </w:tabs>
      </w:pPr>
      <w:r w:rsidRPr="00A35C95">
        <w:rPr>
          <w:color w:val="000000"/>
        </w:rPr>
        <w:tab/>
      </w:r>
      <w:r w:rsidRPr="00A35C95">
        <w:rPr>
          <w:color w:val="000000"/>
        </w:rPr>
        <w:tab/>
        <w:t>an assessment by an independent auditor of the adequacy of the body corporate’s arrangements for managing counterparty risk;</w:t>
      </w:r>
    </w:p>
    <w:p w14:paraId="06BDAC29" w14:textId="77777777" w:rsidR="00E93F58" w:rsidRPr="00A35C95" w:rsidRDefault="00E93F58" w:rsidP="00366AB5">
      <w:pPr>
        <w:pStyle w:val="paragraph"/>
        <w:tabs>
          <w:tab w:val="left" w:pos="2835"/>
        </w:tabs>
      </w:pPr>
      <w:r w:rsidRPr="00A35C95">
        <w:tab/>
        <w:t>(g)</w:t>
      </w:r>
      <w:r w:rsidRPr="00A35C95">
        <w:tab/>
        <w:t>if the body corporate is a disclosing entity—a copy of each half</w:t>
      </w:r>
      <w:r>
        <w:noBreakHyphen/>
      </w:r>
      <w:r w:rsidRPr="00A35C95">
        <w:t>year financial report of the body corporate for:</w:t>
      </w:r>
    </w:p>
    <w:p w14:paraId="3582665B"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period of 3 years immediately before the application was made; or</w:t>
      </w:r>
    </w:p>
    <w:p w14:paraId="669D7325" w14:textId="77777777" w:rsidR="00E93F58" w:rsidRPr="00A35C95" w:rsidRDefault="00E93F58" w:rsidP="00366AB5">
      <w:pPr>
        <w:pStyle w:val="paragraphsub"/>
        <w:tabs>
          <w:tab w:val="left" w:pos="2835"/>
        </w:tabs>
      </w:pPr>
      <w:r w:rsidRPr="00A35C95">
        <w:tab/>
        <w:t>(ii)</w:t>
      </w:r>
      <w:r w:rsidRPr="00A35C95">
        <w:tab/>
        <w:t>the shorter period in which the body corporate has carried on a business;</w:t>
      </w:r>
    </w:p>
    <w:p w14:paraId="41573439" w14:textId="77777777" w:rsidR="00E93F58" w:rsidRPr="00A35C95" w:rsidRDefault="00E93F58" w:rsidP="00366AB5">
      <w:pPr>
        <w:pStyle w:val="paragraph"/>
        <w:tabs>
          <w:tab w:val="left" w:pos="2835"/>
        </w:tabs>
      </w:pPr>
      <w:r w:rsidRPr="00A35C95">
        <w:tab/>
        <w:t>(h)</w:t>
      </w:r>
      <w:r w:rsidRPr="00A35C95">
        <w:tab/>
        <w:t>if the body corporate is not a disclosing entity—a copy of each annual financial report of the body corporate for:</w:t>
      </w:r>
    </w:p>
    <w:p w14:paraId="497B4A1F"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period of 3 years immediately before the application was made; or</w:t>
      </w:r>
    </w:p>
    <w:p w14:paraId="19D751D1" w14:textId="77777777" w:rsidR="00E93F58" w:rsidRPr="00A35C95" w:rsidRDefault="00E93F58" w:rsidP="00366AB5">
      <w:pPr>
        <w:pStyle w:val="paragraphsub"/>
        <w:tabs>
          <w:tab w:val="left" w:pos="2835"/>
        </w:tabs>
      </w:pPr>
      <w:r w:rsidRPr="00A35C95">
        <w:tab/>
        <w:t>(ii)</w:t>
      </w:r>
      <w:r w:rsidRPr="00A35C95">
        <w:tab/>
        <w:t>the shorter period in which the body corporate has carried on a business;</w:t>
      </w:r>
    </w:p>
    <w:p w14:paraId="746A8E7F" w14:textId="77777777" w:rsidR="00E93F58" w:rsidRPr="00A35C95" w:rsidRDefault="00E93F58" w:rsidP="00366AB5">
      <w:pPr>
        <w:pStyle w:val="paragraph"/>
        <w:tabs>
          <w:tab w:val="left" w:pos="2835"/>
        </w:tabs>
      </w:pPr>
      <w:r w:rsidRPr="00A35C95">
        <w:tab/>
        <w:t>(i)</w:t>
      </w:r>
      <w:r w:rsidRPr="00A35C95">
        <w:tab/>
        <w:t>if the body corporate is a related body corporate—a copy of the relevant consolidated annual and half</w:t>
      </w:r>
      <w:r>
        <w:noBreakHyphen/>
      </w:r>
      <w:r w:rsidRPr="00A35C95">
        <w:t>year financial reports for:</w:t>
      </w:r>
    </w:p>
    <w:p w14:paraId="36E99A98"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period of 3 years immediately before the application was made; or</w:t>
      </w:r>
    </w:p>
    <w:p w14:paraId="3ADC87D2" w14:textId="77777777" w:rsidR="00E93F58" w:rsidRPr="00A35C95" w:rsidRDefault="00E93F58" w:rsidP="00366AB5">
      <w:pPr>
        <w:pStyle w:val="paragraphsub"/>
        <w:tabs>
          <w:tab w:val="left" w:pos="2835"/>
        </w:tabs>
      </w:pPr>
      <w:r w:rsidRPr="00A35C95">
        <w:tab/>
        <w:t>(ii)</w:t>
      </w:r>
      <w:r w:rsidRPr="00A35C95">
        <w:tab/>
        <w:t>the shorter period in which the body corporate has carried on a business;</w:t>
      </w:r>
    </w:p>
    <w:p w14:paraId="39534B85" w14:textId="77777777" w:rsidR="00E93F58" w:rsidRPr="00A35C95" w:rsidRDefault="00E93F58" w:rsidP="00366AB5">
      <w:pPr>
        <w:pStyle w:val="paragraph"/>
        <w:tabs>
          <w:tab w:val="left" w:pos="2835"/>
        </w:tabs>
      </w:pPr>
      <w:r w:rsidRPr="00A35C95">
        <w:tab/>
        <w:t>(j)</w:t>
      </w:r>
      <w:r w:rsidRPr="00A35C95">
        <w:tab/>
        <w:t>a report, by a qualified person who is independent of the body corporate, about the anticipated financial resource requirements of the clearing and settlement facility, including details of:</w:t>
      </w:r>
    </w:p>
    <w:p w14:paraId="4B850B0D" w14:textId="77777777" w:rsidR="00E93F58" w:rsidRPr="00A35C95" w:rsidRDefault="00E93F58" w:rsidP="00366AB5">
      <w:pPr>
        <w:pStyle w:val="paragraphsub"/>
        <w:tabs>
          <w:tab w:val="left" w:pos="2835"/>
        </w:tabs>
      </w:pPr>
      <w:r w:rsidRPr="00A35C95">
        <w:rPr>
          <w:color w:val="000000"/>
        </w:rPr>
        <w:tab/>
        <w:t>(i)</w:t>
      </w:r>
      <w:r w:rsidRPr="00A35C95">
        <w:rPr>
          <w:color w:val="000000"/>
        </w:rPr>
        <w:tab/>
        <w:t>the total anticipated fixed expenditure and variable expenditure for the first 12 months of operation of the clearing and settlement facility; and</w:t>
      </w:r>
    </w:p>
    <w:p w14:paraId="4A05D47A" w14:textId="77777777" w:rsidR="00E93F58" w:rsidRPr="00A35C95" w:rsidRDefault="00E93F58" w:rsidP="00366AB5">
      <w:pPr>
        <w:pStyle w:val="paragraphsub"/>
        <w:tabs>
          <w:tab w:val="left" w:pos="2835"/>
        </w:tabs>
      </w:pPr>
      <w:r w:rsidRPr="00A35C95">
        <w:tab/>
        <w:t>(ii)</w:t>
      </w:r>
      <w:r w:rsidRPr="00A35C95">
        <w:tab/>
        <w:t>the total anticipated revenue for the first 12 months of operation of the clearing and settlement facility and other sources of financial resources; and</w:t>
      </w:r>
    </w:p>
    <w:p w14:paraId="5CB53598" w14:textId="77777777" w:rsidR="00E93F58" w:rsidRPr="00A35C95" w:rsidRDefault="00E93F58" w:rsidP="00366AB5">
      <w:pPr>
        <w:pStyle w:val="paragraphsub"/>
        <w:tabs>
          <w:tab w:val="left" w:pos="2835"/>
        </w:tabs>
      </w:pPr>
      <w:r w:rsidRPr="00A35C95">
        <w:tab/>
        <w:t>(iii)</w:t>
      </w:r>
      <w:r w:rsidRPr="00A35C95">
        <w:tab/>
        <w:t>the body corporate’s contingency arrangements in the event of circumstances occurring that affect the body corporate’s ability to operate the clearing and settlement facility;</w:t>
      </w:r>
    </w:p>
    <w:p w14:paraId="2ED5E9ED" w14:textId="77777777" w:rsidR="00E93F58" w:rsidRPr="00A35C95" w:rsidRDefault="00E93F58" w:rsidP="00366AB5">
      <w:pPr>
        <w:pStyle w:val="paragraph"/>
        <w:tabs>
          <w:tab w:val="left" w:pos="2835"/>
        </w:tabs>
      </w:pPr>
      <w:r w:rsidRPr="00A35C95">
        <w:rPr>
          <w:color w:val="000000"/>
        </w:rPr>
        <w:tab/>
        <w:t>(k)</w:t>
      </w:r>
      <w:r w:rsidRPr="00A35C95">
        <w:rPr>
          <w:color w:val="000000"/>
        </w:rPr>
        <w:tab/>
        <w:t>details of the body corporate’s business plan, or other strategic planning, for the first 12 months of operation of the clearing and settlement facility, that are not included in the other documents mentioned in this regulation.</w:t>
      </w:r>
    </w:p>
    <w:p w14:paraId="5F7BFD8A" w14:textId="77777777" w:rsidR="00E93F58" w:rsidRPr="00A35C95" w:rsidRDefault="00E93F58" w:rsidP="00366AB5">
      <w:pPr>
        <w:pStyle w:val="ActHead3"/>
        <w:pageBreakBefore/>
        <w:tabs>
          <w:tab w:val="left" w:pos="2835"/>
        </w:tabs>
        <w:rPr>
          <w:color w:val="000000"/>
        </w:rPr>
      </w:pPr>
      <w:bookmarkStart w:id="664" w:name="_Toc152057906"/>
      <w:bookmarkStart w:id="665" w:name="_Toc158712129"/>
      <w:r w:rsidRPr="00844D11">
        <w:rPr>
          <w:rStyle w:val="CharDivNo"/>
        </w:rPr>
        <w:lastRenderedPageBreak/>
        <w:t>Division 5</w:t>
      </w:r>
      <w:r w:rsidRPr="00A35C95">
        <w:rPr>
          <w:color w:val="000000"/>
        </w:rPr>
        <w:t>—</w:t>
      </w:r>
      <w:r w:rsidRPr="00844D11">
        <w:rPr>
          <w:rStyle w:val="CharDivText"/>
        </w:rPr>
        <w:t>The Australian CS facility licence: applications (overseas clearing and settlement facility)</w:t>
      </w:r>
      <w:bookmarkEnd w:id="664"/>
      <w:bookmarkEnd w:id="665"/>
    </w:p>
    <w:p w14:paraId="32BA8C2C" w14:textId="77777777" w:rsidR="00E93F58" w:rsidRPr="00A35C95" w:rsidRDefault="00E93F58" w:rsidP="00366AB5">
      <w:pPr>
        <w:pStyle w:val="ActHead5"/>
        <w:tabs>
          <w:tab w:val="left" w:pos="2835"/>
        </w:tabs>
      </w:pPr>
      <w:bookmarkStart w:id="666" w:name="_Toc152057907"/>
      <w:bookmarkStart w:id="667" w:name="_Toc158712130"/>
      <w:r w:rsidRPr="00844D11">
        <w:rPr>
          <w:rStyle w:val="CharSectno"/>
        </w:rPr>
        <w:t>7.3.12</w:t>
      </w:r>
      <w:r w:rsidRPr="00A35C95">
        <w:rPr>
          <w:sz w:val="16"/>
        </w:rPr>
        <w:t xml:space="preserve">  </w:t>
      </w:r>
      <w:r w:rsidRPr="00A35C95">
        <w:t>Application of Division 5</w:t>
      </w:r>
      <w:bookmarkEnd w:id="666"/>
      <w:bookmarkEnd w:id="667"/>
    </w:p>
    <w:p w14:paraId="39A0432F" w14:textId="77777777" w:rsidR="00E93F58" w:rsidRPr="00A35C95" w:rsidRDefault="00E93F58" w:rsidP="00366AB5">
      <w:pPr>
        <w:pStyle w:val="subsection"/>
        <w:tabs>
          <w:tab w:val="left" w:pos="2835"/>
        </w:tabs>
      </w:pPr>
      <w:r w:rsidRPr="00A35C95">
        <w:rPr>
          <w:color w:val="000000"/>
        </w:rPr>
        <w:tab/>
      </w:r>
      <w:r w:rsidRPr="00A35C95">
        <w:rPr>
          <w:color w:val="000000"/>
        </w:rPr>
        <w:tab/>
        <w:t>This Division applies in relation to a body corporate that applies for an Australian CS facility licence that may be granted under subsection 824B(2) of the Act.</w:t>
      </w:r>
    </w:p>
    <w:p w14:paraId="543E3BB0" w14:textId="77777777" w:rsidR="00E93F58" w:rsidRPr="00A35C95" w:rsidRDefault="00E93F58" w:rsidP="00366AB5">
      <w:pPr>
        <w:pStyle w:val="ActHead5"/>
        <w:tabs>
          <w:tab w:val="left" w:pos="2835"/>
        </w:tabs>
      </w:pPr>
      <w:bookmarkStart w:id="668" w:name="_Toc152057908"/>
      <w:bookmarkStart w:id="669" w:name="_Toc158712131"/>
      <w:r w:rsidRPr="00844D11">
        <w:rPr>
          <w:rStyle w:val="CharSectno"/>
        </w:rPr>
        <w:t>7.3.13</w:t>
      </w:r>
      <w:r w:rsidRPr="00A35C95">
        <w:rPr>
          <w:sz w:val="16"/>
        </w:rPr>
        <w:t xml:space="preserve">  </w:t>
      </w:r>
      <w:r w:rsidRPr="00A35C95">
        <w:t>Information</w:t>
      </w:r>
      <w:bookmarkEnd w:id="668"/>
      <w:bookmarkEnd w:id="669"/>
    </w:p>
    <w:p w14:paraId="7284B211" w14:textId="77777777" w:rsidR="00E93F58" w:rsidRPr="00A35C95" w:rsidRDefault="00E93F58" w:rsidP="00366AB5">
      <w:pPr>
        <w:pStyle w:val="subsection"/>
        <w:tabs>
          <w:tab w:val="left" w:pos="2835"/>
        </w:tabs>
      </w:pPr>
      <w:r w:rsidRPr="00A35C95">
        <w:tab/>
      </w:r>
      <w:r w:rsidRPr="00A35C95">
        <w:tab/>
        <w:t>For paragraph 824A(1)(a) of the Act, the following information is required as part of an application by the body corporate for an Australian CS facility licence:</w:t>
      </w:r>
    </w:p>
    <w:p w14:paraId="67B01BED" w14:textId="77777777" w:rsidR="00E93F58" w:rsidRPr="00A35C95" w:rsidRDefault="00E93F58" w:rsidP="00366AB5">
      <w:pPr>
        <w:pStyle w:val="paragraph"/>
        <w:tabs>
          <w:tab w:val="left" w:pos="2835"/>
        </w:tabs>
      </w:pPr>
      <w:r w:rsidRPr="00A35C95">
        <w:rPr>
          <w:color w:val="000000"/>
        </w:rPr>
        <w:tab/>
        <w:t>(a)</w:t>
      </w:r>
      <w:r w:rsidRPr="00A35C95">
        <w:rPr>
          <w:color w:val="000000"/>
        </w:rPr>
        <w:tab/>
        <w:t>the body corporate’s name, address and contact details in this jurisdiction;</w:t>
      </w:r>
    </w:p>
    <w:p w14:paraId="6A2C46B6" w14:textId="77777777" w:rsidR="00E93F58" w:rsidRPr="00A35C95" w:rsidRDefault="00E93F58" w:rsidP="00366AB5">
      <w:pPr>
        <w:pStyle w:val="paragraph"/>
        <w:tabs>
          <w:tab w:val="left" w:pos="2835"/>
        </w:tabs>
      </w:pPr>
      <w:r w:rsidRPr="00A35C95">
        <w:tab/>
        <w:t>(b)</w:t>
      </w:r>
      <w:r w:rsidRPr="00A35C95">
        <w:tab/>
        <w:t>the address and contact details of the body corporate’s principal place of business in the foreign country in which its clearing and settlement facility is located;</w:t>
      </w:r>
    </w:p>
    <w:p w14:paraId="3FA1985F" w14:textId="77777777" w:rsidR="00E93F58" w:rsidRPr="00A35C95" w:rsidRDefault="00E93F58" w:rsidP="00366AB5">
      <w:pPr>
        <w:pStyle w:val="paragraph"/>
        <w:tabs>
          <w:tab w:val="left" w:pos="2835"/>
        </w:tabs>
      </w:pPr>
      <w:r w:rsidRPr="00A35C95">
        <w:tab/>
        <w:t>(c)</w:t>
      </w:r>
      <w:r w:rsidRPr="00A35C95">
        <w:tab/>
        <w:t>whether the body corporate is registered under Division 2 of Part 5B.2 of the Act;</w:t>
      </w:r>
    </w:p>
    <w:p w14:paraId="355F4FB3" w14:textId="77777777" w:rsidR="00E93F58" w:rsidRPr="00A35C95" w:rsidRDefault="00E93F58" w:rsidP="00366AB5">
      <w:pPr>
        <w:pStyle w:val="paragraph"/>
        <w:tabs>
          <w:tab w:val="left" w:pos="2835"/>
        </w:tabs>
      </w:pPr>
      <w:r w:rsidRPr="00A35C95">
        <w:tab/>
        <w:t>(d)</w:t>
      </w:r>
      <w:r w:rsidRPr="00A35C95">
        <w:tab/>
        <w:t>the services in respect of which the Australian CS facility licence is sought, including details of the financial products for which clearing and settlement facilities are to be provided;</w:t>
      </w:r>
    </w:p>
    <w:p w14:paraId="2481620B" w14:textId="77777777" w:rsidR="00E93F58" w:rsidRPr="00A35C95" w:rsidRDefault="00E93F58" w:rsidP="00366AB5">
      <w:pPr>
        <w:pStyle w:val="paragraph"/>
        <w:tabs>
          <w:tab w:val="left" w:pos="2835"/>
        </w:tabs>
      </w:pPr>
      <w:r w:rsidRPr="00A35C95">
        <w:tab/>
        <w:t>(e)</w:t>
      </w:r>
      <w:r w:rsidRPr="00A35C95">
        <w:tab/>
        <w:t>details of the body corporate’s major shareholders and organisation, including any details that have not already been given to ASIC in accordance with Division 2 of Part 5B.2 of the Act of:</w:t>
      </w:r>
    </w:p>
    <w:p w14:paraId="129AF593" w14:textId="77777777" w:rsidR="00E93F58" w:rsidRPr="00A35C95" w:rsidRDefault="00E93F58" w:rsidP="00366AB5">
      <w:pPr>
        <w:pStyle w:val="paragraphsub"/>
        <w:tabs>
          <w:tab w:val="left" w:pos="2835"/>
        </w:tabs>
      </w:pPr>
      <w:r w:rsidRPr="00A35C95">
        <w:rPr>
          <w:color w:val="000000"/>
        </w:rPr>
        <w:tab/>
        <w:t>(i)</w:t>
      </w:r>
      <w:r w:rsidRPr="00A35C95">
        <w:rPr>
          <w:color w:val="000000"/>
        </w:rPr>
        <w:tab/>
        <w:t>each person whose duties are comparable to those of a director; and</w:t>
      </w:r>
    </w:p>
    <w:p w14:paraId="5DCBB702" w14:textId="77777777" w:rsidR="00E93F58" w:rsidRPr="00A35C95" w:rsidRDefault="00E93F58" w:rsidP="00366AB5">
      <w:pPr>
        <w:pStyle w:val="paragraphsub"/>
        <w:tabs>
          <w:tab w:val="left" w:pos="2835"/>
        </w:tabs>
      </w:pPr>
      <w:r w:rsidRPr="00A35C95">
        <w:tab/>
        <w:t>(ii)</w:t>
      </w:r>
      <w:r w:rsidRPr="00A35C95">
        <w:tab/>
        <w:t>each person whose duties are comparable to those of a secretary; and</w:t>
      </w:r>
    </w:p>
    <w:p w14:paraId="6B38A0D0" w14:textId="77777777" w:rsidR="00E93F58" w:rsidRPr="00A35C95" w:rsidRDefault="00E93F58" w:rsidP="00366AB5">
      <w:pPr>
        <w:pStyle w:val="paragraphsub"/>
        <w:tabs>
          <w:tab w:val="left" w:pos="2835"/>
        </w:tabs>
      </w:pPr>
      <w:r w:rsidRPr="00A35C95">
        <w:tab/>
        <w:t>(iii)</w:t>
      </w:r>
      <w:r w:rsidRPr="00A35C95">
        <w:tab/>
        <w:t>each person whose duties are comparable to those of an executive officer of the body corporate.</w:t>
      </w:r>
    </w:p>
    <w:p w14:paraId="767E4AA3" w14:textId="77777777" w:rsidR="00E93F58" w:rsidRPr="00A35C95" w:rsidRDefault="00E93F58" w:rsidP="00366AB5">
      <w:pPr>
        <w:pStyle w:val="ActHead5"/>
        <w:tabs>
          <w:tab w:val="left" w:pos="2835"/>
        </w:tabs>
      </w:pPr>
      <w:bookmarkStart w:id="670" w:name="_Toc152057909"/>
      <w:bookmarkStart w:id="671" w:name="_Toc158712132"/>
      <w:r w:rsidRPr="00844D11">
        <w:rPr>
          <w:rStyle w:val="CharSectno"/>
        </w:rPr>
        <w:t>7.3.14</w:t>
      </w:r>
      <w:r w:rsidRPr="00A35C95">
        <w:rPr>
          <w:sz w:val="16"/>
        </w:rPr>
        <w:t xml:space="preserve">  </w:t>
      </w:r>
      <w:r w:rsidRPr="00A35C95">
        <w:t>Documents</w:t>
      </w:r>
      <w:bookmarkEnd w:id="670"/>
      <w:bookmarkEnd w:id="671"/>
    </w:p>
    <w:p w14:paraId="660251D0" w14:textId="77777777" w:rsidR="00E93F58" w:rsidRPr="00A35C95" w:rsidRDefault="00E93F58" w:rsidP="00366AB5">
      <w:pPr>
        <w:pStyle w:val="subsection"/>
        <w:keepNext/>
        <w:keepLines/>
        <w:tabs>
          <w:tab w:val="left" w:pos="2835"/>
        </w:tabs>
      </w:pPr>
      <w:r w:rsidRPr="00A35C95">
        <w:tab/>
      </w:r>
      <w:r w:rsidRPr="00A35C95">
        <w:tab/>
        <w:t>For paragraph 824A(1)(b) of the Act, the documents required as part of an application by the body corporate for an Australian CS facility licence are:</w:t>
      </w:r>
    </w:p>
    <w:p w14:paraId="0209897C"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the body corporate’s authorisation to operate the clearing and settlement facility in the foreign country in which its clearing and settlement facility is located (the </w:t>
      </w:r>
      <w:r w:rsidRPr="00A35C95">
        <w:rPr>
          <w:b/>
          <w:i/>
          <w:color w:val="000000"/>
        </w:rPr>
        <w:t>home country</w:t>
      </w:r>
      <w:r w:rsidRPr="00A35C95">
        <w:rPr>
          <w:color w:val="000000"/>
        </w:rPr>
        <w:t>), including any conditions imposed on the body corporate’s operation of its clearing and settlement facility in the home country; and</w:t>
      </w:r>
    </w:p>
    <w:p w14:paraId="42EC0342" w14:textId="77777777" w:rsidR="00E93F58" w:rsidRPr="00A35C95" w:rsidRDefault="00E93F58" w:rsidP="00366AB5">
      <w:pPr>
        <w:pStyle w:val="paragraph"/>
        <w:tabs>
          <w:tab w:val="left" w:pos="2835"/>
        </w:tabs>
      </w:pPr>
      <w:r w:rsidRPr="00A35C95">
        <w:tab/>
        <w:t>(b)</w:t>
      </w:r>
      <w:r w:rsidRPr="00A35C95">
        <w:tab/>
        <w:t>a copy of any agreement, or draft agreement, between the body corporate and a market licensee relating to the clearing and settlement facility services to be provided; and</w:t>
      </w:r>
    </w:p>
    <w:p w14:paraId="7345D112" w14:textId="77777777" w:rsidR="00E93F58" w:rsidRPr="00A35C95" w:rsidRDefault="00E93F58" w:rsidP="00366AB5">
      <w:pPr>
        <w:pStyle w:val="paragraph"/>
        <w:tabs>
          <w:tab w:val="left" w:pos="2835"/>
        </w:tabs>
      </w:pPr>
      <w:r w:rsidRPr="00A35C95">
        <w:tab/>
        <w:t>(c)</w:t>
      </w:r>
      <w:r w:rsidRPr="00A35C95">
        <w:tab/>
        <w:t>sufficient documentation to allow the Minister to be satisfied that the regulation of the clearing and settlement facility in its home country is equivalent to regulation under the Act.</w:t>
      </w:r>
    </w:p>
    <w:p w14:paraId="58728511" w14:textId="77777777" w:rsidR="00E93F58" w:rsidRPr="00A35C95" w:rsidRDefault="00E93F58" w:rsidP="00366AB5">
      <w:pPr>
        <w:pStyle w:val="notetext"/>
        <w:tabs>
          <w:tab w:val="left" w:pos="2835"/>
        </w:tabs>
      </w:pPr>
      <w:r w:rsidRPr="00A35C95">
        <w:t>Example for paragraph (c):</w:t>
      </w:r>
      <w:r w:rsidRPr="00A35C95">
        <w:tab/>
        <w:t>Copies of the relevant legislation, rules and procedures in the home country.</w:t>
      </w:r>
    </w:p>
    <w:p w14:paraId="3C67BBD0" w14:textId="77777777" w:rsidR="00E93F58" w:rsidRPr="00A35C95" w:rsidRDefault="00E93F58" w:rsidP="00366AB5">
      <w:pPr>
        <w:pStyle w:val="ActHead2"/>
        <w:pageBreakBefore/>
        <w:tabs>
          <w:tab w:val="left" w:pos="2835"/>
        </w:tabs>
        <w:rPr>
          <w:color w:val="000000"/>
        </w:rPr>
      </w:pPr>
      <w:bookmarkStart w:id="672" w:name="_Toc152057910"/>
      <w:bookmarkStart w:id="673" w:name="_Toc158712133"/>
      <w:r w:rsidRPr="00844D11">
        <w:rPr>
          <w:rStyle w:val="CharPartNo"/>
        </w:rPr>
        <w:lastRenderedPageBreak/>
        <w:t>Part 7.4</w:t>
      </w:r>
      <w:r w:rsidRPr="00A35C95">
        <w:rPr>
          <w:color w:val="000000"/>
        </w:rPr>
        <w:t>—</w:t>
      </w:r>
      <w:r w:rsidRPr="00844D11">
        <w:rPr>
          <w:rStyle w:val="CharPartText"/>
        </w:rPr>
        <w:t>Limits on involvement with licensees</w:t>
      </w:r>
      <w:bookmarkEnd w:id="672"/>
      <w:bookmarkEnd w:id="673"/>
    </w:p>
    <w:p w14:paraId="729CDDD8" w14:textId="77777777" w:rsidR="00E93F58" w:rsidRPr="00A35C95" w:rsidRDefault="00E93F58" w:rsidP="00366AB5">
      <w:pPr>
        <w:pStyle w:val="Header"/>
        <w:tabs>
          <w:tab w:val="left" w:pos="2835"/>
        </w:tabs>
      </w:pPr>
      <w:r w:rsidRPr="00844D11">
        <w:rPr>
          <w:rStyle w:val="CharDivNo"/>
        </w:rPr>
        <w:t xml:space="preserve"> </w:t>
      </w:r>
      <w:r w:rsidRPr="00844D11">
        <w:rPr>
          <w:rStyle w:val="CharDivText"/>
        </w:rPr>
        <w:t xml:space="preserve"> </w:t>
      </w:r>
    </w:p>
    <w:p w14:paraId="06F7AC05" w14:textId="77777777" w:rsidR="00E93F58" w:rsidRPr="00BE1284" w:rsidRDefault="00E93F58" w:rsidP="00FA7CB3">
      <w:pPr>
        <w:pStyle w:val="ActHead5"/>
        <w:rPr>
          <w:i/>
        </w:rPr>
      </w:pPr>
      <w:bookmarkStart w:id="674" w:name="_Toc152057911"/>
      <w:bookmarkStart w:id="675" w:name="_Toc158712134"/>
      <w:r w:rsidRPr="00844D11">
        <w:rPr>
          <w:rStyle w:val="CharSectno"/>
        </w:rPr>
        <w:t>7.4.01</w:t>
      </w:r>
      <w:r w:rsidRPr="00BE1284">
        <w:t xml:space="preserve">  Meaning of </w:t>
      </w:r>
      <w:r w:rsidRPr="00BE1284">
        <w:rPr>
          <w:i/>
        </w:rPr>
        <w:t>widely held market body</w:t>
      </w:r>
      <w:r w:rsidRPr="00BE1284">
        <w:t>—prescribed bodies corporate</w:t>
      </w:r>
      <w:bookmarkEnd w:id="674"/>
      <w:bookmarkEnd w:id="675"/>
    </w:p>
    <w:p w14:paraId="668EFBBA" w14:textId="77777777" w:rsidR="00E93F58" w:rsidRPr="00A35C95" w:rsidRDefault="00E93F58" w:rsidP="00366AB5">
      <w:pPr>
        <w:pStyle w:val="subsection"/>
        <w:tabs>
          <w:tab w:val="left" w:pos="2835"/>
        </w:tabs>
      </w:pPr>
      <w:r w:rsidRPr="00A35C95">
        <w:tab/>
      </w:r>
      <w:r w:rsidRPr="00A35C95">
        <w:tab/>
      </w:r>
      <w:r>
        <w:t>For the purposes of paragraph 850A(b) of the Act</w:t>
      </w:r>
      <w:r w:rsidRPr="00A35C95">
        <w:t>, the following bodies corporate are prescribed:</w:t>
      </w:r>
    </w:p>
    <w:p w14:paraId="165C0C74" w14:textId="77777777" w:rsidR="00E93F58" w:rsidRPr="00A35C95" w:rsidRDefault="00E93F58" w:rsidP="00366AB5">
      <w:pPr>
        <w:pStyle w:val="paragraph"/>
        <w:tabs>
          <w:tab w:val="left" w:pos="2835"/>
        </w:tabs>
      </w:pPr>
      <w:r w:rsidRPr="00A35C95">
        <w:rPr>
          <w:color w:val="000000"/>
        </w:rPr>
        <w:tab/>
        <w:t>(a)</w:t>
      </w:r>
      <w:r w:rsidRPr="00A35C95">
        <w:rPr>
          <w:color w:val="000000"/>
        </w:rPr>
        <w:tab/>
        <w:t>Australian Stock Exchange Limited (in its capacity as a body corporate that has an Australian market licence or an Australian CS facility licence);</w:t>
      </w:r>
    </w:p>
    <w:p w14:paraId="6456779C" w14:textId="77777777" w:rsidR="00E93F58" w:rsidRPr="00A35C95" w:rsidRDefault="00E93F58" w:rsidP="00366AB5">
      <w:pPr>
        <w:pStyle w:val="paragraph"/>
        <w:tabs>
          <w:tab w:val="left" w:pos="2835"/>
        </w:tabs>
      </w:pPr>
      <w:r w:rsidRPr="00A35C95">
        <w:tab/>
        <w:t>(b)</w:t>
      </w:r>
      <w:r w:rsidRPr="00A35C95">
        <w:tab/>
        <w:t>ASX Settlement and Transfer Corporation Pty Limited (also known as ‘ASTC’) (in its capacity as a body corporate that has an Australian CS facility licence);</w:t>
      </w:r>
    </w:p>
    <w:p w14:paraId="643781B9" w14:textId="77777777" w:rsidR="00E93F58" w:rsidRPr="00A35C95" w:rsidRDefault="00E93F58" w:rsidP="00366AB5">
      <w:pPr>
        <w:pStyle w:val="paragraph"/>
        <w:tabs>
          <w:tab w:val="left" w:pos="2835"/>
        </w:tabs>
      </w:pPr>
      <w:r w:rsidRPr="00A35C95">
        <w:tab/>
        <w:t>(c)</w:t>
      </w:r>
      <w:r w:rsidRPr="00A35C95">
        <w:tab/>
        <w:t>SFE Corporation Limited, in its capacity as the holding company of the following bodies corporate that have an Australian market licence or an Australian CS facility licence:</w:t>
      </w:r>
    </w:p>
    <w:p w14:paraId="40787F2F" w14:textId="77777777" w:rsidR="00E93F58" w:rsidRPr="00A35C95" w:rsidRDefault="00E93F58" w:rsidP="00366AB5">
      <w:pPr>
        <w:pStyle w:val="paragraphsub"/>
        <w:tabs>
          <w:tab w:val="left" w:pos="2835"/>
        </w:tabs>
      </w:pPr>
      <w:r w:rsidRPr="00A35C95">
        <w:tab/>
        <w:t>(i)</w:t>
      </w:r>
      <w:r w:rsidRPr="00A35C95">
        <w:tab/>
        <w:t>Austraclear Limited;</w:t>
      </w:r>
    </w:p>
    <w:p w14:paraId="69B3F3E8" w14:textId="77777777" w:rsidR="00E93F58" w:rsidRPr="00A35C95" w:rsidRDefault="00E93F58" w:rsidP="00366AB5">
      <w:pPr>
        <w:pStyle w:val="paragraphsub"/>
        <w:tabs>
          <w:tab w:val="left" w:pos="2835"/>
        </w:tabs>
      </w:pPr>
      <w:r w:rsidRPr="00A35C95">
        <w:tab/>
        <w:t>(ii)</w:t>
      </w:r>
      <w:r w:rsidRPr="00A35C95">
        <w:tab/>
        <w:t>SFE Clearing Corporation Pty Limited;</w:t>
      </w:r>
    </w:p>
    <w:p w14:paraId="37A0F036" w14:textId="77777777" w:rsidR="00E93F58" w:rsidRPr="00A35C95" w:rsidRDefault="00E93F58" w:rsidP="00366AB5">
      <w:pPr>
        <w:pStyle w:val="paragraphsub"/>
        <w:tabs>
          <w:tab w:val="left" w:pos="2835"/>
        </w:tabs>
      </w:pPr>
      <w:r w:rsidRPr="00A35C95">
        <w:tab/>
        <w:t>(iii)</w:t>
      </w:r>
      <w:r w:rsidRPr="00A35C95">
        <w:tab/>
        <w:t>Sydney Futures Exchange Limited;</w:t>
      </w:r>
    </w:p>
    <w:p w14:paraId="342C14CB" w14:textId="77777777" w:rsidR="00E93F58" w:rsidRPr="00A35C95" w:rsidRDefault="00E93F58" w:rsidP="00366AB5">
      <w:pPr>
        <w:pStyle w:val="paragraph"/>
        <w:tabs>
          <w:tab w:val="left" w:pos="2835"/>
        </w:tabs>
      </w:pPr>
      <w:r w:rsidRPr="00A35C95">
        <w:rPr>
          <w:color w:val="000000"/>
        </w:rPr>
        <w:tab/>
        <w:t>(d)</w:t>
      </w:r>
      <w:r w:rsidRPr="00A35C95">
        <w:rPr>
          <w:color w:val="000000"/>
        </w:rPr>
        <w:tab/>
        <w:t xml:space="preserve">SFE Clearing Corporation Pty Limited (in its capacity as a body corporate that has an Australian CS </w:t>
      </w:r>
      <w:r w:rsidRPr="00A35C95">
        <w:t>facility licence);</w:t>
      </w:r>
    </w:p>
    <w:p w14:paraId="1A268D09" w14:textId="77777777" w:rsidR="00E93F58" w:rsidRPr="00A35C95" w:rsidRDefault="00E93F58" w:rsidP="00366AB5">
      <w:pPr>
        <w:pStyle w:val="paragraph"/>
        <w:tabs>
          <w:tab w:val="left" w:pos="2835"/>
        </w:tabs>
      </w:pPr>
      <w:r w:rsidRPr="00A35C95">
        <w:tab/>
        <w:t>(e)</w:t>
      </w:r>
      <w:r w:rsidRPr="00A35C95">
        <w:tab/>
        <w:t>Sydney Futures Exchange Limited (in its capacity as a body corporate that has an Australian market licence);</w:t>
      </w:r>
    </w:p>
    <w:p w14:paraId="53FD4B37" w14:textId="77777777" w:rsidR="00E93F58" w:rsidRPr="00A35C95" w:rsidRDefault="00E93F58" w:rsidP="00366AB5">
      <w:pPr>
        <w:pStyle w:val="paragraph"/>
        <w:tabs>
          <w:tab w:val="left" w:pos="2835"/>
        </w:tabs>
      </w:pPr>
      <w:r w:rsidRPr="00A35C95">
        <w:tab/>
        <w:t>(f)</w:t>
      </w:r>
      <w:r w:rsidRPr="00A35C95">
        <w:tab/>
        <w:t>ACH (in its capacity as a body corporate that has an Australian CS facility licence);</w:t>
      </w:r>
    </w:p>
    <w:p w14:paraId="373B589E" w14:textId="77777777" w:rsidR="00E93F58" w:rsidRPr="00A35C95" w:rsidRDefault="00E93F58" w:rsidP="00366AB5">
      <w:pPr>
        <w:pStyle w:val="paragraph"/>
        <w:tabs>
          <w:tab w:val="left" w:pos="2835"/>
        </w:tabs>
      </w:pPr>
      <w:r w:rsidRPr="00A35C95">
        <w:tab/>
        <w:t>(g)</w:t>
      </w:r>
      <w:r w:rsidRPr="00A35C95">
        <w:tab/>
        <w:t>Austraclear Limited (in its capacity as a body corporate that has an Australian CS facility licence).</w:t>
      </w:r>
    </w:p>
    <w:p w14:paraId="7AC384DB" w14:textId="77777777" w:rsidR="00E93F58" w:rsidRPr="00A35C95" w:rsidRDefault="00E93F58" w:rsidP="00366AB5">
      <w:pPr>
        <w:pStyle w:val="ActHead5"/>
        <w:tabs>
          <w:tab w:val="left" w:pos="2835"/>
        </w:tabs>
      </w:pPr>
      <w:bookmarkStart w:id="676" w:name="_Toc152057912"/>
      <w:bookmarkStart w:id="677" w:name="_Toc158712135"/>
      <w:r w:rsidRPr="00844D11">
        <w:rPr>
          <w:rStyle w:val="CharSectno"/>
        </w:rPr>
        <w:t>7.4.02</w:t>
      </w:r>
      <w:r w:rsidRPr="00A35C95">
        <w:rPr>
          <w:sz w:val="16"/>
        </w:rPr>
        <w:t xml:space="preserve">  </w:t>
      </w:r>
      <w:r w:rsidRPr="00A35C95">
        <w:t>Record</w:t>
      </w:r>
      <w:r>
        <w:noBreakHyphen/>
      </w:r>
      <w:r w:rsidRPr="00A35C95">
        <w:t>keeping: market licensee</w:t>
      </w:r>
      <w:bookmarkEnd w:id="676"/>
      <w:bookmarkEnd w:id="677"/>
    </w:p>
    <w:p w14:paraId="39CCAF22" w14:textId="77777777" w:rsidR="00E93F58" w:rsidRPr="00A35C95" w:rsidRDefault="00E93F58" w:rsidP="00366AB5">
      <w:pPr>
        <w:pStyle w:val="subsection"/>
        <w:tabs>
          <w:tab w:val="left" w:pos="2835"/>
        </w:tabs>
      </w:pPr>
      <w:r w:rsidRPr="00A35C95">
        <w:tab/>
        <w:t>(1)</w:t>
      </w:r>
      <w:r w:rsidRPr="00A35C95">
        <w:tab/>
        <w:t>For paragraph 854A(1)(b) of the Act, a market licensee must keep the following records:</w:t>
      </w:r>
    </w:p>
    <w:p w14:paraId="7C6782A4" w14:textId="77777777" w:rsidR="00E93F58" w:rsidRPr="00A35C95" w:rsidRDefault="00E93F58" w:rsidP="00366AB5">
      <w:pPr>
        <w:pStyle w:val="paragraph"/>
        <w:tabs>
          <w:tab w:val="left" w:pos="2835"/>
        </w:tabs>
      </w:pPr>
      <w:r w:rsidRPr="00A35C95">
        <w:rPr>
          <w:color w:val="000000"/>
        </w:rPr>
        <w:tab/>
        <w:t>(a)</w:t>
      </w:r>
      <w:r w:rsidRPr="00A35C95">
        <w:rPr>
          <w:color w:val="000000"/>
        </w:rPr>
        <w:tab/>
        <w:t>a list of names and contact details of the directors, secretaries and executive officers of the market licensee;</w:t>
      </w:r>
    </w:p>
    <w:p w14:paraId="2A0BBEDF" w14:textId="77777777" w:rsidR="00E93F58" w:rsidRPr="00A35C95" w:rsidRDefault="00E93F58" w:rsidP="00366AB5">
      <w:pPr>
        <w:pStyle w:val="paragraph"/>
        <w:tabs>
          <w:tab w:val="left" w:pos="2835"/>
        </w:tabs>
      </w:pPr>
      <w:r w:rsidRPr="00A35C95">
        <w:tab/>
        <w:t>(b)</w:t>
      </w:r>
      <w:r w:rsidRPr="00A35C95">
        <w:tab/>
        <w:t>a list of names and contact details of individuals who hold more than 15% of the voting power in the market licensee, prepared in accordance with the information given under regulation 7.4.04.</w:t>
      </w:r>
    </w:p>
    <w:p w14:paraId="1FA63D11" w14:textId="77777777" w:rsidR="00E93F58" w:rsidRPr="00A35C95" w:rsidRDefault="00E93F58" w:rsidP="00366AB5">
      <w:pPr>
        <w:pStyle w:val="subsection"/>
        <w:tabs>
          <w:tab w:val="left" w:pos="2835"/>
        </w:tabs>
      </w:pPr>
      <w:r w:rsidRPr="00A35C95">
        <w:rPr>
          <w:color w:val="000000"/>
        </w:rPr>
        <w:tab/>
        <w:t>(2)</w:t>
      </w:r>
      <w:r w:rsidRPr="00A35C95">
        <w:rPr>
          <w:color w:val="000000"/>
        </w:rPr>
        <w:tab/>
        <w:t>The market licensee must keep the records for at least 5 years.</w:t>
      </w:r>
    </w:p>
    <w:p w14:paraId="478176AA" w14:textId="77777777" w:rsidR="00E93F58" w:rsidRPr="00A35C95" w:rsidRDefault="00E93F58" w:rsidP="00366AB5">
      <w:pPr>
        <w:pStyle w:val="ActHead5"/>
        <w:tabs>
          <w:tab w:val="left" w:pos="2835"/>
        </w:tabs>
      </w:pPr>
      <w:bookmarkStart w:id="678" w:name="_Toc152057913"/>
      <w:bookmarkStart w:id="679" w:name="_Toc158712136"/>
      <w:r w:rsidRPr="00844D11">
        <w:rPr>
          <w:rStyle w:val="CharSectno"/>
        </w:rPr>
        <w:t>7.4.03</w:t>
      </w:r>
      <w:r w:rsidRPr="00A35C95">
        <w:rPr>
          <w:sz w:val="16"/>
        </w:rPr>
        <w:t xml:space="preserve">  </w:t>
      </w:r>
      <w:r w:rsidRPr="00A35C95">
        <w:t>Record</w:t>
      </w:r>
      <w:r>
        <w:noBreakHyphen/>
      </w:r>
      <w:r w:rsidRPr="00A35C95">
        <w:t>keeping: CS facility licensee</w:t>
      </w:r>
      <w:bookmarkEnd w:id="678"/>
      <w:bookmarkEnd w:id="679"/>
    </w:p>
    <w:p w14:paraId="4CB22828" w14:textId="77777777" w:rsidR="00E93F58" w:rsidRPr="00A35C95" w:rsidRDefault="00E93F58" w:rsidP="00366AB5">
      <w:pPr>
        <w:pStyle w:val="subsection"/>
        <w:tabs>
          <w:tab w:val="left" w:pos="2835"/>
        </w:tabs>
      </w:pPr>
      <w:r w:rsidRPr="00A35C95">
        <w:tab/>
        <w:t>(1)</w:t>
      </w:r>
      <w:r w:rsidRPr="00A35C95">
        <w:tab/>
        <w:t>For paragraph 854A(1)(b) of the Act, a CS facility licensee must keep the following records:</w:t>
      </w:r>
    </w:p>
    <w:p w14:paraId="69BB5C8C" w14:textId="77777777" w:rsidR="00E93F58" w:rsidRPr="00A35C95" w:rsidRDefault="00E93F58" w:rsidP="00366AB5">
      <w:pPr>
        <w:pStyle w:val="paragraph"/>
        <w:tabs>
          <w:tab w:val="left" w:pos="2835"/>
        </w:tabs>
      </w:pPr>
      <w:r w:rsidRPr="00A35C95">
        <w:rPr>
          <w:color w:val="000000"/>
        </w:rPr>
        <w:tab/>
        <w:t>(a)</w:t>
      </w:r>
      <w:r w:rsidRPr="00A35C95">
        <w:rPr>
          <w:color w:val="000000"/>
        </w:rPr>
        <w:tab/>
        <w:t>a list of names and contact details of the directors, secretaries and executive officers of the CS facility licensee;</w:t>
      </w:r>
    </w:p>
    <w:p w14:paraId="53DA54C7" w14:textId="77777777" w:rsidR="00E93F58" w:rsidRPr="00A35C95" w:rsidRDefault="00E93F58" w:rsidP="00366AB5">
      <w:pPr>
        <w:pStyle w:val="paragraph"/>
        <w:tabs>
          <w:tab w:val="left" w:pos="2835"/>
        </w:tabs>
      </w:pPr>
      <w:r w:rsidRPr="00A35C95">
        <w:tab/>
        <w:t>(b)</w:t>
      </w:r>
      <w:r w:rsidRPr="00A35C95">
        <w:tab/>
        <w:t>a list of names and contact details of individuals who hold more than 15% of the voting power in the CS facility licensee, prepared in accordance with the information given under regulation 7.4.04.</w:t>
      </w:r>
    </w:p>
    <w:p w14:paraId="79F34209" w14:textId="77777777" w:rsidR="00E93F58" w:rsidRPr="00A35C95" w:rsidRDefault="00E93F58" w:rsidP="00366AB5">
      <w:pPr>
        <w:pStyle w:val="subsection"/>
        <w:tabs>
          <w:tab w:val="left" w:pos="2835"/>
        </w:tabs>
      </w:pPr>
      <w:r w:rsidRPr="00A35C95">
        <w:rPr>
          <w:color w:val="000000"/>
        </w:rPr>
        <w:tab/>
        <w:t>(2)</w:t>
      </w:r>
      <w:r w:rsidRPr="00A35C95">
        <w:rPr>
          <w:color w:val="000000"/>
        </w:rPr>
        <w:tab/>
        <w:t>The CS facility licensee must keep the records for at least 5 years.</w:t>
      </w:r>
    </w:p>
    <w:p w14:paraId="04395B1E" w14:textId="77777777" w:rsidR="00E93F58" w:rsidRPr="00A35C95" w:rsidRDefault="00E93F58" w:rsidP="00366AB5">
      <w:pPr>
        <w:pStyle w:val="ActHead5"/>
        <w:tabs>
          <w:tab w:val="left" w:pos="2835"/>
        </w:tabs>
      </w:pPr>
      <w:bookmarkStart w:id="680" w:name="_Toc152057914"/>
      <w:bookmarkStart w:id="681" w:name="_Toc158712137"/>
      <w:r w:rsidRPr="00844D11">
        <w:rPr>
          <w:rStyle w:val="CharSectno"/>
        </w:rPr>
        <w:t>7.4.04</w:t>
      </w:r>
      <w:r w:rsidRPr="00A35C95">
        <w:rPr>
          <w:sz w:val="16"/>
        </w:rPr>
        <w:t xml:space="preserve">  </w:t>
      </w:r>
      <w:r w:rsidRPr="00A35C95">
        <w:t>Information for widely held market body</w:t>
      </w:r>
      <w:bookmarkEnd w:id="680"/>
      <w:bookmarkEnd w:id="681"/>
    </w:p>
    <w:p w14:paraId="27694D84" w14:textId="77777777" w:rsidR="00E93F58" w:rsidRPr="00A35C95" w:rsidRDefault="00E93F58" w:rsidP="00366AB5">
      <w:pPr>
        <w:pStyle w:val="subsection"/>
        <w:tabs>
          <w:tab w:val="left" w:pos="2835"/>
        </w:tabs>
      </w:pPr>
      <w:r w:rsidRPr="00A35C95">
        <w:tab/>
        <w:t>(1)</w:t>
      </w:r>
      <w:r w:rsidRPr="00A35C95">
        <w:tab/>
        <w:t>This regulation applies to a person who has:</w:t>
      </w:r>
    </w:p>
    <w:p w14:paraId="0DCF7C99" w14:textId="77777777" w:rsidR="00E93F58" w:rsidRPr="00A35C95" w:rsidRDefault="00E93F58" w:rsidP="00366AB5">
      <w:pPr>
        <w:pStyle w:val="paragraph"/>
        <w:tabs>
          <w:tab w:val="left" w:pos="2835"/>
        </w:tabs>
      </w:pPr>
      <w:r w:rsidRPr="00A35C95">
        <w:rPr>
          <w:color w:val="000000"/>
        </w:rPr>
        <w:tab/>
        <w:t>(a)</w:t>
      </w:r>
      <w:r w:rsidRPr="00A35C95">
        <w:rPr>
          <w:color w:val="000000"/>
        </w:rPr>
        <w:tab/>
        <w:t>a substantial holding in a widely held market body; and</w:t>
      </w:r>
    </w:p>
    <w:p w14:paraId="6BEBC389" w14:textId="77777777" w:rsidR="00E93F58" w:rsidRPr="00A35C95" w:rsidRDefault="00E93F58" w:rsidP="00366AB5">
      <w:pPr>
        <w:pStyle w:val="paragraph"/>
        <w:tabs>
          <w:tab w:val="left" w:pos="2835"/>
        </w:tabs>
      </w:pPr>
      <w:r w:rsidRPr="00A35C95">
        <w:tab/>
        <w:t>(b)</w:t>
      </w:r>
      <w:r w:rsidRPr="00A35C95">
        <w:tab/>
        <w:t>voting power in the widely held market body.</w:t>
      </w:r>
    </w:p>
    <w:p w14:paraId="4EB94353" w14:textId="77777777" w:rsidR="00E93F58" w:rsidRPr="00A35C95" w:rsidRDefault="00E93F58" w:rsidP="00366AB5">
      <w:pPr>
        <w:pStyle w:val="subsection"/>
        <w:tabs>
          <w:tab w:val="left" w:pos="2835"/>
        </w:tabs>
      </w:pPr>
      <w:r w:rsidRPr="00A35C95">
        <w:rPr>
          <w:color w:val="000000"/>
        </w:rPr>
        <w:tab/>
        <w:t>(2)</w:t>
      </w:r>
      <w:r w:rsidRPr="00A35C95">
        <w:rPr>
          <w:color w:val="000000"/>
        </w:rPr>
        <w:tab/>
        <w:t>For paragraph 854A(1)(d) of the Act, the person must give that information to the widely held market body.</w:t>
      </w:r>
    </w:p>
    <w:p w14:paraId="34589800" w14:textId="77777777" w:rsidR="00E93F58" w:rsidRPr="00A35C95" w:rsidRDefault="00E93F58" w:rsidP="00366AB5">
      <w:pPr>
        <w:pStyle w:val="subsection"/>
        <w:tabs>
          <w:tab w:val="left" w:pos="2835"/>
        </w:tabs>
      </w:pPr>
      <w:r w:rsidRPr="00A35C95">
        <w:tab/>
        <w:t>(3)</w:t>
      </w:r>
      <w:r w:rsidRPr="00A35C95">
        <w:tab/>
        <w:t>However, subregulation (2) does not require the person to give information that the person has already given to the widely held market body in accordance with Chapter 6C of the Act.</w:t>
      </w:r>
    </w:p>
    <w:p w14:paraId="45CC1177" w14:textId="77777777" w:rsidR="00E93F58" w:rsidRPr="00A35C95" w:rsidRDefault="00E93F58" w:rsidP="00366AB5">
      <w:pPr>
        <w:pStyle w:val="subsection"/>
        <w:tabs>
          <w:tab w:val="left" w:pos="2835"/>
        </w:tabs>
      </w:pPr>
      <w:r w:rsidRPr="00A35C95">
        <w:tab/>
        <w:t>(4)</w:t>
      </w:r>
      <w:r w:rsidRPr="00A35C95">
        <w:tab/>
        <w:t>The person must give the information by the time described in subsection 671B(6) of the Act.</w:t>
      </w:r>
    </w:p>
    <w:p w14:paraId="40C6D76D" w14:textId="77777777" w:rsidR="00E93F58" w:rsidRPr="00A35C95" w:rsidRDefault="00E93F58" w:rsidP="00366AB5">
      <w:pPr>
        <w:pStyle w:val="ActHead2"/>
        <w:pageBreakBefore/>
        <w:tabs>
          <w:tab w:val="left" w:pos="2835"/>
        </w:tabs>
        <w:rPr>
          <w:color w:val="000000"/>
        </w:rPr>
      </w:pPr>
      <w:bookmarkStart w:id="682" w:name="_Toc152057915"/>
      <w:bookmarkStart w:id="683" w:name="_Toc158712138"/>
      <w:r w:rsidRPr="00844D11">
        <w:rPr>
          <w:rStyle w:val="CharPartNo"/>
        </w:rPr>
        <w:lastRenderedPageBreak/>
        <w:t>Part 7.5</w:t>
      </w:r>
      <w:r w:rsidRPr="00A35C95">
        <w:rPr>
          <w:color w:val="000000"/>
        </w:rPr>
        <w:t>—</w:t>
      </w:r>
      <w:r w:rsidRPr="00844D11">
        <w:rPr>
          <w:rStyle w:val="CharPartText"/>
        </w:rPr>
        <w:t>Compensation regimes for financial markets</w:t>
      </w:r>
      <w:bookmarkEnd w:id="682"/>
      <w:bookmarkEnd w:id="683"/>
    </w:p>
    <w:p w14:paraId="2743383B" w14:textId="77777777" w:rsidR="00E93F58" w:rsidRPr="00A35C95" w:rsidRDefault="00E93F58" w:rsidP="00366AB5">
      <w:pPr>
        <w:pStyle w:val="ActHead3"/>
        <w:tabs>
          <w:tab w:val="left" w:pos="2835"/>
        </w:tabs>
        <w:rPr>
          <w:color w:val="000000"/>
        </w:rPr>
      </w:pPr>
      <w:bookmarkStart w:id="684" w:name="_Toc152057916"/>
      <w:bookmarkStart w:id="685" w:name="_Toc158712139"/>
      <w:r w:rsidRPr="00844D11">
        <w:rPr>
          <w:rStyle w:val="CharDivNo"/>
        </w:rPr>
        <w:t>Division 1</w:t>
      </w:r>
      <w:r w:rsidRPr="00A35C95">
        <w:t>—</w:t>
      </w:r>
      <w:r w:rsidRPr="00844D11">
        <w:rPr>
          <w:rStyle w:val="CharDivText"/>
        </w:rPr>
        <w:t>Preliminary</w:t>
      </w:r>
      <w:bookmarkEnd w:id="684"/>
      <w:bookmarkEnd w:id="685"/>
    </w:p>
    <w:p w14:paraId="58D0FBC9" w14:textId="77777777" w:rsidR="00E93F58" w:rsidRPr="00A35C95" w:rsidRDefault="00E93F58" w:rsidP="00366AB5">
      <w:pPr>
        <w:pStyle w:val="ActHead5"/>
        <w:tabs>
          <w:tab w:val="left" w:pos="2835"/>
        </w:tabs>
      </w:pPr>
      <w:bookmarkStart w:id="686" w:name="_Toc152057917"/>
      <w:bookmarkStart w:id="687" w:name="_Toc158712140"/>
      <w:r w:rsidRPr="00844D11">
        <w:rPr>
          <w:rStyle w:val="CharSectno"/>
        </w:rPr>
        <w:t>7.5.01</w:t>
      </w:r>
      <w:r w:rsidRPr="00A35C95">
        <w:rPr>
          <w:sz w:val="16"/>
        </w:rPr>
        <w:t xml:space="preserve">  </w:t>
      </w:r>
      <w:r w:rsidRPr="00A35C95">
        <w:t>Definitions for Part 7.5</w:t>
      </w:r>
      <w:bookmarkEnd w:id="686"/>
      <w:bookmarkEnd w:id="687"/>
    </w:p>
    <w:p w14:paraId="64582B61" w14:textId="77777777" w:rsidR="00E93F58" w:rsidRPr="00A35C95" w:rsidRDefault="00E93F58" w:rsidP="00366AB5">
      <w:pPr>
        <w:pStyle w:val="subsection"/>
        <w:tabs>
          <w:tab w:val="left" w:pos="2835"/>
        </w:tabs>
      </w:pPr>
      <w:r w:rsidRPr="00A35C95">
        <w:tab/>
      </w:r>
      <w:r w:rsidRPr="00A35C95">
        <w:tab/>
        <w:t>In this Part:</w:t>
      </w:r>
    </w:p>
    <w:p w14:paraId="25850E84" w14:textId="77777777" w:rsidR="00E93F58" w:rsidRPr="00A35C95" w:rsidRDefault="00E93F58" w:rsidP="00366AB5">
      <w:pPr>
        <w:pStyle w:val="Definition"/>
        <w:tabs>
          <w:tab w:val="left" w:pos="2835"/>
        </w:tabs>
      </w:pPr>
      <w:r w:rsidRPr="00A35C95">
        <w:rPr>
          <w:b/>
          <w:i/>
          <w:color w:val="000000"/>
        </w:rPr>
        <w:t>becoming insolvent</w:t>
      </w:r>
      <w:r w:rsidRPr="00A35C95">
        <w:rPr>
          <w:color w:val="000000"/>
        </w:rPr>
        <w:t xml:space="preserve"> has the meaning given by regulation 7.5.02.</w:t>
      </w:r>
    </w:p>
    <w:p w14:paraId="7C8AB577" w14:textId="77777777" w:rsidR="00E93F58" w:rsidRPr="00A35C95" w:rsidRDefault="00E93F58" w:rsidP="00366AB5">
      <w:pPr>
        <w:pStyle w:val="Definition"/>
        <w:tabs>
          <w:tab w:val="left" w:pos="2835"/>
        </w:tabs>
      </w:pPr>
      <w:r w:rsidRPr="00A35C95">
        <w:rPr>
          <w:b/>
          <w:i/>
        </w:rPr>
        <w:t>claim</w:t>
      </w:r>
      <w:r w:rsidRPr="00A35C95">
        <w:t xml:space="preserve"> means a claim against the SEGC.</w:t>
      </w:r>
    </w:p>
    <w:p w14:paraId="70609C6D" w14:textId="77777777" w:rsidR="00E93F58" w:rsidRPr="00A35C95" w:rsidRDefault="00E93F58" w:rsidP="00366AB5">
      <w:pPr>
        <w:pStyle w:val="Definition"/>
        <w:tabs>
          <w:tab w:val="left" w:pos="2835"/>
        </w:tabs>
      </w:pPr>
      <w:r w:rsidRPr="00A35C95">
        <w:rPr>
          <w:b/>
          <w:i/>
        </w:rPr>
        <w:t>dealer</w:t>
      </w:r>
      <w:r w:rsidRPr="00A35C95">
        <w:t xml:space="preserve"> has the meaning given by regulation 7.5.03.</w:t>
      </w:r>
    </w:p>
    <w:p w14:paraId="455DE7BA" w14:textId="77777777" w:rsidR="00E93F58" w:rsidRPr="00A35C95" w:rsidRDefault="00E93F58" w:rsidP="00366AB5">
      <w:pPr>
        <w:pStyle w:val="Definition"/>
        <w:tabs>
          <w:tab w:val="left" w:pos="2835"/>
        </w:tabs>
      </w:pPr>
      <w:r w:rsidRPr="00A35C95">
        <w:rPr>
          <w:b/>
          <w:i/>
          <w:color w:val="000000"/>
        </w:rPr>
        <w:t>discharge</w:t>
      </w:r>
      <w:r w:rsidRPr="00A35C95">
        <w:t>, in relation to an obligation, means:</w:t>
      </w:r>
    </w:p>
    <w:p w14:paraId="3E8F943A" w14:textId="77777777" w:rsidR="00E93F58" w:rsidRPr="00A35C95" w:rsidRDefault="00E93F58" w:rsidP="00366AB5">
      <w:pPr>
        <w:pStyle w:val="paragraph"/>
        <w:tabs>
          <w:tab w:val="left" w:pos="2835"/>
        </w:tabs>
      </w:pPr>
      <w:r w:rsidRPr="00A35C95">
        <w:rPr>
          <w:color w:val="000000"/>
        </w:rPr>
        <w:tab/>
        <w:t>(a)</w:t>
      </w:r>
      <w:r w:rsidRPr="00A35C95">
        <w:rPr>
          <w:color w:val="000000"/>
        </w:rPr>
        <w:tab/>
        <w:t>in the case of a purchase obligation—discharge the whole of the obligation; or</w:t>
      </w:r>
    </w:p>
    <w:p w14:paraId="25363DC1" w14:textId="77777777" w:rsidR="00E93F58" w:rsidRPr="00A35C95" w:rsidRDefault="00E93F58" w:rsidP="00366AB5">
      <w:pPr>
        <w:pStyle w:val="paragraph"/>
        <w:tabs>
          <w:tab w:val="left" w:pos="2835"/>
        </w:tabs>
      </w:pPr>
      <w:r w:rsidRPr="00A35C95">
        <w:tab/>
        <w:t>(b)</w:t>
      </w:r>
      <w:r w:rsidRPr="00A35C95">
        <w:tab/>
        <w:t>in any other case—discharge the whole or a part of the obligation.</w:t>
      </w:r>
    </w:p>
    <w:p w14:paraId="2CEBCFEF" w14:textId="77777777" w:rsidR="00E93F58" w:rsidRPr="00A35C95" w:rsidRDefault="00E93F58" w:rsidP="00366AB5">
      <w:pPr>
        <w:pStyle w:val="Definition"/>
        <w:tabs>
          <w:tab w:val="left" w:pos="2835"/>
        </w:tabs>
      </w:pPr>
      <w:r w:rsidRPr="00A35C95">
        <w:rPr>
          <w:b/>
          <w:i/>
          <w:color w:val="000000"/>
        </w:rPr>
        <w:t>excluded person</w:t>
      </w:r>
      <w:r w:rsidRPr="00A35C95">
        <w:rPr>
          <w:color w:val="000000"/>
        </w:rPr>
        <w:t xml:space="preserve"> has the meaning given by regulation 7.5.04.</w:t>
      </w:r>
    </w:p>
    <w:p w14:paraId="6D94CDDA" w14:textId="77777777" w:rsidR="00E93F58" w:rsidRPr="00A35C95" w:rsidRDefault="00E93F58" w:rsidP="00366AB5">
      <w:pPr>
        <w:pStyle w:val="Definition"/>
        <w:tabs>
          <w:tab w:val="left" w:pos="2835"/>
        </w:tabs>
      </w:pPr>
      <w:r w:rsidRPr="00A35C95">
        <w:rPr>
          <w:b/>
          <w:i/>
        </w:rPr>
        <w:t>obligations</w:t>
      </w:r>
      <w:r w:rsidRPr="00A35C95">
        <w:t>:</w:t>
      </w:r>
    </w:p>
    <w:p w14:paraId="00AA0FB9" w14:textId="77777777" w:rsidR="00E93F58" w:rsidRPr="00A35C95" w:rsidRDefault="00E93F58" w:rsidP="00366AB5">
      <w:pPr>
        <w:pStyle w:val="paragraph"/>
        <w:tabs>
          <w:tab w:val="left" w:pos="2835"/>
        </w:tabs>
      </w:pPr>
      <w:r w:rsidRPr="00A35C95">
        <w:tab/>
        <w:t>(a)</w:t>
      </w:r>
      <w:r w:rsidRPr="00A35C95">
        <w:tab/>
        <w:t>in relation to a participant of a participating market licensee, in relation to a person, includes obligations arising under:</w:t>
      </w:r>
    </w:p>
    <w:p w14:paraId="1729D280" w14:textId="77777777" w:rsidR="00E93F58" w:rsidRPr="00A35C95" w:rsidRDefault="00E93F58" w:rsidP="00366AB5">
      <w:pPr>
        <w:pStyle w:val="paragraphsub"/>
        <w:tabs>
          <w:tab w:val="left" w:pos="2835"/>
        </w:tabs>
      </w:pPr>
      <w:r w:rsidRPr="00A35C95">
        <w:tab/>
        <w:t>(i)</w:t>
      </w:r>
      <w:r w:rsidRPr="00A35C95">
        <w:tab/>
        <w:t>a law; or</w:t>
      </w:r>
    </w:p>
    <w:p w14:paraId="3A7D2502" w14:textId="77777777" w:rsidR="00E93F58" w:rsidRPr="00A35C95" w:rsidRDefault="00E93F58" w:rsidP="00366AB5">
      <w:pPr>
        <w:pStyle w:val="paragraphsub"/>
        <w:tabs>
          <w:tab w:val="left" w:pos="2835"/>
        </w:tabs>
      </w:pPr>
      <w:r w:rsidRPr="00A35C95">
        <w:tab/>
        <w:t>(ii)</w:t>
      </w:r>
      <w:r w:rsidRPr="00A35C95">
        <w:tab/>
        <w:t>the participating market licensee’s operating rules; or</w:t>
      </w:r>
    </w:p>
    <w:p w14:paraId="6E019F05" w14:textId="77777777" w:rsidR="00E93F58" w:rsidRPr="00A35C95" w:rsidRDefault="00E93F58" w:rsidP="00366AB5">
      <w:pPr>
        <w:pStyle w:val="paragraphsub"/>
        <w:tabs>
          <w:tab w:val="left" w:pos="2835"/>
        </w:tabs>
      </w:pPr>
      <w:r w:rsidRPr="00A35C95">
        <w:tab/>
        <w:t>(iv)</w:t>
      </w:r>
      <w:r w:rsidRPr="00A35C95">
        <w:tab/>
        <w:t>an agreement between;</w:t>
      </w:r>
    </w:p>
    <w:p w14:paraId="4F3E6A84" w14:textId="77777777" w:rsidR="00E93F58" w:rsidRPr="00A35C95" w:rsidRDefault="00E93F58" w:rsidP="00366AB5">
      <w:pPr>
        <w:pStyle w:val="paragraphsub-sub"/>
        <w:tabs>
          <w:tab w:val="left" w:pos="2835"/>
        </w:tabs>
      </w:pPr>
      <w:r w:rsidRPr="00A35C95">
        <w:tab/>
        <w:t>(A)</w:t>
      </w:r>
      <w:r w:rsidRPr="00A35C95">
        <w:tab/>
        <w:t>in any case—the participant and the person; or</w:t>
      </w:r>
    </w:p>
    <w:p w14:paraId="288932C8" w14:textId="77777777" w:rsidR="00E93F58" w:rsidRPr="00A35C95" w:rsidRDefault="00E93F58" w:rsidP="00366AB5">
      <w:pPr>
        <w:pStyle w:val="paragraphsub-sub"/>
        <w:tabs>
          <w:tab w:val="left" w:pos="2835"/>
        </w:tabs>
      </w:pPr>
      <w:r w:rsidRPr="00A35C95">
        <w:tab/>
        <w:t>(B)</w:t>
      </w:r>
      <w:r w:rsidRPr="00A35C95">
        <w:tab/>
        <w:t>if the participant is a partner in a participant of the participating market licensee—the last</w:t>
      </w:r>
      <w:r>
        <w:noBreakHyphen/>
      </w:r>
      <w:r w:rsidRPr="00A35C95">
        <w:t>mentioned participant and the person; and</w:t>
      </w:r>
    </w:p>
    <w:p w14:paraId="326DDA8E" w14:textId="77777777" w:rsidR="00E93F58" w:rsidRPr="00A35C95" w:rsidRDefault="00E93F58" w:rsidP="00366AB5">
      <w:pPr>
        <w:pStyle w:val="paragraph"/>
        <w:tabs>
          <w:tab w:val="left" w:pos="2835"/>
        </w:tabs>
      </w:pPr>
      <w:r w:rsidRPr="00A35C95">
        <w:tab/>
        <w:t>(b)</w:t>
      </w:r>
      <w:r w:rsidRPr="00A35C95">
        <w:tab/>
        <w:t>in relation to a participant of the licensed CS facility operated by ACH, in relation to a person, includes obligations arising under:</w:t>
      </w:r>
    </w:p>
    <w:p w14:paraId="3B664065" w14:textId="77777777" w:rsidR="00E93F58" w:rsidRPr="00A35C95" w:rsidRDefault="00E93F58" w:rsidP="00366AB5">
      <w:pPr>
        <w:pStyle w:val="paragraphsub"/>
        <w:tabs>
          <w:tab w:val="left" w:pos="2835"/>
        </w:tabs>
      </w:pPr>
      <w:r w:rsidRPr="00A35C95">
        <w:tab/>
        <w:t>(i)</w:t>
      </w:r>
      <w:r w:rsidRPr="00A35C95">
        <w:tab/>
        <w:t>a law; or</w:t>
      </w:r>
    </w:p>
    <w:p w14:paraId="5CC12F1E" w14:textId="77777777" w:rsidR="00E93F58" w:rsidRPr="00A35C95" w:rsidRDefault="00E93F58" w:rsidP="00366AB5">
      <w:pPr>
        <w:pStyle w:val="paragraphsub"/>
        <w:tabs>
          <w:tab w:val="left" w:pos="2835"/>
        </w:tabs>
      </w:pPr>
      <w:r w:rsidRPr="00A35C95">
        <w:tab/>
        <w:t>(ii)</w:t>
      </w:r>
      <w:r w:rsidRPr="00A35C95">
        <w:tab/>
        <w:t>the operating rules of ACH; or</w:t>
      </w:r>
    </w:p>
    <w:p w14:paraId="7A397639" w14:textId="77777777" w:rsidR="00E93F58" w:rsidRPr="00A35C95" w:rsidRDefault="00E93F58" w:rsidP="00366AB5">
      <w:pPr>
        <w:pStyle w:val="paragraphsub"/>
        <w:tabs>
          <w:tab w:val="left" w:pos="2835"/>
        </w:tabs>
      </w:pPr>
      <w:r w:rsidRPr="00A35C95">
        <w:tab/>
        <w:t>(iv)</w:t>
      </w:r>
      <w:r w:rsidRPr="00A35C95">
        <w:tab/>
        <w:t>an agreement between;</w:t>
      </w:r>
    </w:p>
    <w:p w14:paraId="0979713B" w14:textId="77777777" w:rsidR="00E93F58" w:rsidRPr="00A35C95" w:rsidRDefault="00E93F58" w:rsidP="00366AB5">
      <w:pPr>
        <w:pStyle w:val="paragraphsub-sub"/>
        <w:tabs>
          <w:tab w:val="left" w:pos="2835"/>
        </w:tabs>
      </w:pPr>
      <w:r w:rsidRPr="00A35C95">
        <w:tab/>
        <w:t>(A)</w:t>
      </w:r>
      <w:r w:rsidRPr="00A35C95">
        <w:tab/>
        <w:t>in any case—the participant and the person; or</w:t>
      </w:r>
    </w:p>
    <w:p w14:paraId="12F9961D" w14:textId="77777777" w:rsidR="00E93F58" w:rsidRPr="00A35C95" w:rsidRDefault="00E93F58" w:rsidP="00366AB5">
      <w:pPr>
        <w:pStyle w:val="paragraphsub-sub"/>
        <w:tabs>
          <w:tab w:val="left" w:pos="2835"/>
        </w:tabs>
      </w:pPr>
      <w:r w:rsidRPr="00A35C95">
        <w:tab/>
        <w:t>(B)</w:t>
      </w:r>
      <w:r w:rsidRPr="00A35C95">
        <w:tab/>
        <w:t>if the participant is a partner in a participant of the licensed CS facility operated by ACH—the last</w:t>
      </w:r>
      <w:r>
        <w:noBreakHyphen/>
      </w:r>
      <w:r w:rsidRPr="00A35C95">
        <w:t>mentioned participant and the person; and</w:t>
      </w:r>
    </w:p>
    <w:p w14:paraId="0C009A6C" w14:textId="77777777" w:rsidR="00E93F58" w:rsidRPr="00A35C95" w:rsidRDefault="00E93F58" w:rsidP="00366AB5">
      <w:pPr>
        <w:pStyle w:val="paragraph"/>
        <w:tabs>
          <w:tab w:val="left" w:pos="2835"/>
        </w:tabs>
        <w:rPr>
          <w:rStyle w:val="Emphasis"/>
          <w:i w:val="0"/>
          <w:iCs w:val="0"/>
        </w:rPr>
      </w:pPr>
      <w:r w:rsidRPr="00A35C95">
        <w:tab/>
        <w:t>(c)</w:t>
      </w:r>
      <w:r w:rsidRPr="00A35C95">
        <w:tab/>
      </w:r>
      <w:r w:rsidRPr="00A35C95">
        <w:rPr>
          <w:rStyle w:val="Emphasis"/>
          <w:i w:val="0"/>
          <w:iCs w:val="0"/>
        </w:rPr>
        <w:t>in relation to a participant of the licensed CS facility operated by ASTC, in relation to a person, includes obligations arising under:</w:t>
      </w:r>
    </w:p>
    <w:p w14:paraId="0E30EA71" w14:textId="77777777" w:rsidR="00E93F58" w:rsidRPr="00A35C95" w:rsidRDefault="00E93F58" w:rsidP="00366AB5">
      <w:pPr>
        <w:pStyle w:val="paragraphsub"/>
        <w:tabs>
          <w:tab w:val="left" w:pos="2835"/>
        </w:tabs>
        <w:rPr>
          <w:rStyle w:val="Emphasis"/>
          <w:i w:val="0"/>
        </w:rPr>
      </w:pPr>
      <w:r w:rsidRPr="00A35C95">
        <w:rPr>
          <w:rStyle w:val="Emphasis"/>
          <w:i w:val="0"/>
        </w:rPr>
        <w:tab/>
        <w:t>(i)</w:t>
      </w:r>
      <w:r w:rsidRPr="00A35C95">
        <w:rPr>
          <w:rStyle w:val="Emphasis"/>
          <w:i w:val="0"/>
        </w:rPr>
        <w:tab/>
        <w:t>a law; or</w:t>
      </w:r>
    </w:p>
    <w:p w14:paraId="059EB64A" w14:textId="77777777" w:rsidR="00E93F58" w:rsidRPr="00A35C95" w:rsidRDefault="00E93F58" w:rsidP="00366AB5">
      <w:pPr>
        <w:pStyle w:val="paragraphsub"/>
        <w:tabs>
          <w:tab w:val="left" w:pos="2835"/>
        </w:tabs>
        <w:rPr>
          <w:rStyle w:val="Emphasis"/>
          <w:i w:val="0"/>
        </w:rPr>
      </w:pPr>
      <w:r w:rsidRPr="00A35C95">
        <w:rPr>
          <w:rStyle w:val="Emphasis"/>
          <w:i w:val="0"/>
        </w:rPr>
        <w:tab/>
        <w:t>(ii)</w:t>
      </w:r>
      <w:r w:rsidRPr="00A35C95">
        <w:rPr>
          <w:rStyle w:val="Emphasis"/>
          <w:i w:val="0"/>
        </w:rPr>
        <w:tab/>
        <w:t>the ASTC operating rules; or</w:t>
      </w:r>
    </w:p>
    <w:p w14:paraId="34C3E211" w14:textId="77777777" w:rsidR="00E93F58" w:rsidRPr="00A35C95" w:rsidRDefault="00E93F58" w:rsidP="00366AB5">
      <w:pPr>
        <w:pStyle w:val="paragraphsub"/>
        <w:tabs>
          <w:tab w:val="left" w:pos="2835"/>
        </w:tabs>
        <w:rPr>
          <w:rStyle w:val="Emphasis"/>
          <w:i w:val="0"/>
        </w:rPr>
      </w:pPr>
      <w:r w:rsidRPr="00A35C95">
        <w:rPr>
          <w:rStyle w:val="Emphasis"/>
          <w:i w:val="0"/>
        </w:rPr>
        <w:tab/>
        <w:t>(iii)</w:t>
      </w:r>
      <w:r w:rsidRPr="00A35C95">
        <w:rPr>
          <w:rStyle w:val="Emphasis"/>
          <w:i w:val="0"/>
        </w:rPr>
        <w:tab/>
        <w:t>an agreement between:</w:t>
      </w:r>
    </w:p>
    <w:p w14:paraId="59C46DF5" w14:textId="77777777" w:rsidR="00E93F58" w:rsidRPr="00A35C95" w:rsidRDefault="00E93F58" w:rsidP="00366AB5">
      <w:pPr>
        <w:pStyle w:val="paragraphsub-sub"/>
        <w:tabs>
          <w:tab w:val="left" w:pos="2835"/>
        </w:tabs>
        <w:rPr>
          <w:rStyle w:val="Emphasis"/>
          <w:i w:val="0"/>
        </w:rPr>
      </w:pPr>
      <w:r w:rsidRPr="00A35C95">
        <w:tab/>
      </w:r>
      <w:r w:rsidRPr="00A35C95">
        <w:rPr>
          <w:rStyle w:val="Emphasis"/>
          <w:i w:val="0"/>
        </w:rPr>
        <w:t>(A)</w:t>
      </w:r>
      <w:r w:rsidRPr="00A35C95">
        <w:rPr>
          <w:rStyle w:val="Emphasis"/>
          <w:i w:val="0"/>
        </w:rPr>
        <w:tab/>
        <w:t>in any case—the participant and the person; or</w:t>
      </w:r>
    </w:p>
    <w:p w14:paraId="5FBB2A4A" w14:textId="77777777" w:rsidR="00E93F58" w:rsidRPr="00A35C95" w:rsidRDefault="00E93F58" w:rsidP="00366AB5">
      <w:pPr>
        <w:pStyle w:val="paragraphsub-sub"/>
        <w:tabs>
          <w:tab w:val="left" w:pos="2835"/>
        </w:tabs>
      </w:pPr>
      <w:r w:rsidRPr="00A35C95">
        <w:rPr>
          <w:rStyle w:val="Emphasis"/>
          <w:i w:val="0"/>
        </w:rPr>
        <w:tab/>
        <w:t>(B)</w:t>
      </w:r>
      <w:r w:rsidRPr="00A35C95">
        <w:rPr>
          <w:rStyle w:val="Emphasis"/>
          <w:i w:val="0"/>
        </w:rPr>
        <w:tab/>
        <w:t>if the participant is a partner in a participant of the licensed CS facility operated by ASTC—the last</w:t>
      </w:r>
      <w:r>
        <w:rPr>
          <w:rStyle w:val="Emphasis"/>
          <w:i w:val="0"/>
        </w:rPr>
        <w:noBreakHyphen/>
      </w:r>
      <w:r w:rsidRPr="00A35C95">
        <w:rPr>
          <w:rStyle w:val="Emphasis"/>
          <w:i w:val="0"/>
        </w:rPr>
        <w:t>mentioned participant and the person.</w:t>
      </w:r>
    </w:p>
    <w:p w14:paraId="2A52545E" w14:textId="77777777" w:rsidR="00E93F58" w:rsidRPr="00A35C95" w:rsidRDefault="00E93F58" w:rsidP="00366AB5">
      <w:pPr>
        <w:pStyle w:val="Definition"/>
        <w:tabs>
          <w:tab w:val="left" w:pos="2835"/>
        </w:tabs>
      </w:pPr>
      <w:r w:rsidRPr="00A35C95">
        <w:rPr>
          <w:b/>
          <w:i/>
          <w:color w:val="000000"/>
        </w:rPr>
        <w:t>orderly market</w:t>
      </w:r>
      <w:r w:rsidRPr="00A35C95">
        <w:t xml:space="preserve"> means an orderly market on a financial market of:</w:t>
      </w:r>
    </w:p>
    <w:p w14:paraId="337B5AD0" w14:textId="77777777" w:rsidR="00E93F58" w:rsidRPr="00A35C95" w:rsidRDefault="00E93F58" w:rsidP="00366AB5">
      <w:pPr>
        <w:pStyle w:val="paragraph"/>
        <w:tabs>
          <w:tab w:val="left" w:pos="2835"/>
        </w:tabs>
      </w:pPr>
      <w:r w:rsidRPr="00A35C95">
        <w:rPr>
          <w:color w:val="000000"/>
        </w:rPr>
        <w:tab/>
        <w:t>(a)</w:t>
      </w:r>
      <w:r w:rsidRPr="00A35C95">
        <w:rPr>
          <w:color w:val="000000"/>
        </w:rPr>
        <w:tab/>
        <w:t>a participating market licensee; or</w:t>
      </w:r>
    </w:p>
    <w:p w14:paraId="1E57AE0A" w14:textId="77777777" w:rsidR="00E93F58" w:rsidRPr="00A35C95" w:rsidRDefault="00E93F58" w:rsidP="00366AB5">
      <w:pPr>
        <w:pStyle w:val="paragraph"/>
        <w:tabs>
          <w:tab w:val="left" w:pos="2835"/>
        </w:tabs>
      </w:pPr>
      <w:r w:rsidRPr="00A35C95">
        <w:tab/>
        <w:t>(b)</w:t>
      </w:r>
      <w:r w:rsidRPr="00A35C95">
        <w:tab/>
        <w:t>an Exchange body.</w:t>
      </w:r>
    </w:p>
    <w:p w14:paraId="24BC6C42" w14:textId="77777777" w:rsidR="00E93F58" w:rsidRPr="00A35C95" w:rsidRDefault="00E93F58" w:rsidP="00366AB5">
      <w:pPr>
        <w:pStyle w:val="Definition"/>
        <w:tabs>
          <w:tab w:val="left" w:pos="2835"/>
        </w:tabs>
      </w:pPr>
      <w:r w:rsidRPr="00A35C95">
        <w:rPr>
          <w:b/>
          <w:i/>
          <w:color w:val="000000"/>
        </w:rPr>
        <w:t xml:space="preserve">participating market licensee </w:t>
      </w:r>
      <w:r w:rsidRPr="00A35C95">
        <w:rPr>
          <w:color w:val="000000"/>
        </w:rPr>
        <w:t>means a market licensee that is a member of the SEGC.</w:t>
      </w:r>
    </w:p>
    <w:p w14:paraId="6B91E369" w14:textId="77777777" w:rsidR="00E93F58" w:rsidRPr="00A35C95" w:rsidRDefault="00E93F58" w:rsidP="00366AB5">
      <w:pPr>
        <w:pStyle w:val="Definition"/>
        <w:tabs>
          <w:tab w:val="left" w:pos="2835"/>
        </w:tabs>
      </w:pPr>
      <w:r w:rsidRPr="00A35C95">
        <w:rPr>
          <w:b/>
          <w:i/>
          <w:color w:val="000000"/>
        </w:rPr>
        <w:t>prescribed period</w:t>
      </w:r>
      <w:r w:rsidRPr="00A35C95">
        <w:t>, in relation to a sale or purchase of securities by a dealer, means:</w:t>
      </w:r>
    </w:p>
    <w:p w14:paraId="56CE1F44"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if the operating rules of </w:t>
      </w:r>
      <w:r w:rsidRPr="00A35C95">
        <w:t>ACH or a participating market licensee,</w:t>
      </w:r>
      <w:r w:rsidRPr="00A35C95">
        <w:rPr>
          <w:color w:val="000000"/>
        </w:rPr>
        <w:t xml:space="preserve"> in which the dealer is a participant, being those operating rules as in force when the agreement for the sale or purchase is made, prescribe a period, for this paragraph, in relation to a class of sales or purchases that includes the sale or purchase—that period; or</w:t>
      </w:r>
    </w:p>
    <w:p w14:paraId="3C9251BD" w14:textId="77777777" w:rsidR="00E93F58" w:rsidRPr="00A35C95" w:rsidRDefault="00E93F58" w:rsidP="00366AB5">
      <w:pPr>
        <w:pStyle w:val="paragraph"/>
        <w:tabs>
          <w:tab w:val="left" w:pos="2835"/>
        </w:tabs>
      </w:pPr>
      <w:r w:rsidRPr="00A35C95">
        <w:tab/>
        <w:t>(b)</w:t>
      </w:r>
      <w:r w:rsidRPr="00A35C95">
        <w:tab/>
        <w:t>in any other case—a period that is reasonable, having regard to all the circumstances relating to the sale or purchase.</w:t>
      </w:r>
    </w:p>
    <w:p w14:paraId="545697ED" w14:textId="77777777" w:rsidR="00E93F58" w:rsidRPr="00A35C95" w:rsidRDefault="00E93F58" w:rsidP="00366AB5">
      <w:pPr>
        <w:pStyle w:val="Definition"/>
        <w:tabs>
          <w:tab w:val="left" w:pos="2835"/>
        </w:tabs>
      </w:pPr>
      <w:r w:rsidRPr="00A35C95">
        <w:rPr>
          <w:b/>
          <w:i/>
          <w:color w:val="000000"/>
        </w:rPr>
        <w:lastRenderedPageBreak/>
        <w:t>property</w:t>
      </w:r>
      <w:r w:rsidRPr="00A35C95">
        <w:rPr>
          <w:color w:val="000000"/>
        </w:rPr>
        <w:t xml:space="preserve"> includes money, securities and scrip.</w:t>
      </w:r>
    </w:p>
    <w:p w14:paraId="190F37E4" w14:textId="77777777" w:rsidR="00E93F58" w:rsidRPr="00A35C95" w:rsidRDefault="00E93F58" w:rsidP="00366AB5">
      <w:pPr>
        <w:pStyle w:val="Definition"/>
        <w:tabs>
          <w:tab w:val="left" w:pos="2835"/>
        </w:tabs>
      </w:pPr>
      <w:r w:rsidRPr="00A35C95">
        <w:rPr>
          <w:b/>
          <w:i/>
        </w:rPr>
        <w:t>purchase obligation</w:t>
      </w:r>
      <w:r w:rsidRPr="00A35C95">
        <w:t xml:space="preserve"> means an obligation to transfer securities under an agreement for the purchase of securities, if the purchase is, for Subdivision 4.3, a reportable transaction.</w:t>
      </w:r>
    </w:p>
    <w:p w14:paraId="77DFE2AB" w14:textId="77777777" w:rsidR="00E93F58" w:rsidRPr="00A35C95" w:rsidRDefault="00E93F58" w:rsidP="00366AB5">
      <w:pPr>
        <w:pStyle w:val="Definition"/>
        <w:tabs>
          <w:tab w:val="left" w:pos="2835"/>
        </w:tabs>
      </w:pPr>
      <w:r w:rsidRPr="00A35C95">
        <w:rPr>
          <w:b/>
          <w:i/>
          <w:color w:val="000000"/>
        </w:rPr>
        <w:t>purchase price</w:t>
      </w:r>
      <w:r w:rsidRPr="00A35C95">
        <w:t>, in relation to a purchase of securities by a dealer on behalf of a person, means the total of:</w:t>
      </w:r>
    </w:p>
    <w:p w14:paraId="6307A6D7" w14:textId="77777777" w:rsidR="00E93F58" w:rsidRPr="00A35C95" w:rsidRDefault="00E93F58" w:rsidP="00366AB5">
      <w:pPr>
        <w:pStyle w:val="paragraph"/>
        <w:tabs>
          <w:tab w:val="left" w:pos="2835"/>
        </w:tabs>
      </w:pPr>
      <w:r w:rsidRPr="00A35C95">
        <w:rPr>
          <w:color w:val="000000"/>
        </w:rPr>
        <w:tab/>
        <w:t>(a)</w:t>
      </w:r>
      <w:r w:rsidRPr="00A35C95">
        <w:rPr>
          <w:color w:val="000000"/>
        </w:rPr>
        <w:tab/>
        <w:t>the amount of the consideration for the purchase; and</w:t>
      </w:r>
    </w:p>
    <w:p w14:paraId="37987586" w14:textId="77777777" w:rsidR="00E93F58" w:rsidRPr="00A35C95" w:rsidRDefault="00E93F58" w:rsidP="00366AB5">
      <w:pPr>
        <w:pStyle w:val="paragraph"/>
        <w:tabs>
          <w:tab w:val="left" w:pos="2835"/>
        </w:tabs>
      </w:pPr>
      <w:r w:rsidRPr="00A35C95">
        <w:tab/>
        <w:t>(b)</w:t>
      </w:r>
      <w:r w:rsidRPr="00A35C95">
        <w:tab/>
        <w:t>any brokerage fees and other charges, and any stamp duty and other duties and taxes, payable by the person to the dealer in connection with the purchase.</w:t>
      </w:r>
    </w:p>
    <w:p w14:paraId="6EE17356" w14:textId="77777777" w:rsidR="00E93F58" w:rsidRPr="00A35C95" w:rsidRDefault="00E93F58" w:rsidP="00366AB5">
      <w:pPr>
        <w:pStyle w:val="Definition"/>
        <w:tabs>
          <w:tab w:val="left" w:pos="2835"/>
        </w:tabs>
      </w:pPr>
      <w:r w:rsidRPr="00A35C95">
        <w:rPr>
          <w:b/>
          <w:i/>
          <w:color w:val="000000"/>
        </w:rPr>
        <w:t>relative</w:t>
      </w:r>
      <w:r w:rsidRPr="00A35C95">
        <w:rPr>
          <w:color w:val="000000"/>
        </w:rPr>
        <w:t>, in relation to a person, means a parent or remoter lineal ancestor, son, daughter or remoter issue, or brother or sister, of the person.</w:t>
      </w:r>
    </w:p>
    <w:p w14:paraId="5A12AC64" w14:textId="77777777" w:rsidR="00E93F58" w:rsidRPr="00A35C95" w:rsidRDefault="00E93F58" w:rsidP="00366AB5">
      <w:pPr>
        <w:pStyle w:val="Definition"/>
        <w:tabs>
          <w:tab w:val="left" w:pos="2835"/>
        </w:tabs>
      </w:pPr>
      <w:r w:rsidRPr="00A35C95">
        <w:rPr>
          <w:b/>
          <w:i/>
        </w:rPr>
        <w:t>reportable transaction</w:t>
      </w:r>
      <w:r w:rsidRPr="00A35C95">
        <w:t xml:space="preserve"> means a transaction that is entered into before or after the commencement of this Part in relation to securities, and:</w:t>
      </w:r>
    </w:p>
    <w:p w14:paraId="196C65CD" w14:textId="77777777" w:rsidR="00E93F58" w:rsidRPr="00A35C95" w:rsidRDefault="00E93F58" w:rsidP="00366AB5">
      <w:pPr>
        <w:pStyle w:val="paragraph"/>
        <w:tabs>
          <w:tab w:val="left" w:pos="2835"/>
        </w:tabs>
      </w:pPr>
      <w:r w:rsidRPr="00A35C95">
        <w:tab/>
        <w:t>(a)</w:t>
      </w:r>
      <w:r w:rsidRPr="00A35C95">
        <w:tab/>
        <w:t xml:space="preserve">is or has at any time been a sale or purchase, by a participant (the </w:t>
      </w:r>
      <w:r w:rsidRPr="00A35C95">
        <w:rPr>
          <w:b/>
          <w:i/>
        </w:rPr>
        <w:t>first dealer</w:t>
      </w:r>
      <w:r w:rsidRPr="00A35C95">
        <w:t>) of a participating market licensee, of securities, if the securities are quoted on a financial market of a participating market licensee when the agreement for the sale or purchase is made, and:</w:t>
      </w:r>
    </w:p>
    <w:p w14:paraId="6E8A2B68" w14:textId="77777777" w:rsidR="00E93F58" w:rsidRPr="00A35C95" w:rsidRDefault="00E93F58" w:rsidP="00366AB5">
      <w:pPr>
        <w:pStyle w:val="paragraphsub"/>
        <w:tabs>
          <w:tab w:val="left" w:pos="2835"/>
        </w:tabs>
      </w:pPr>
      <w:r w:rsidRPr="00A35C95">
        <w:tab/>
        <w:t>(i)</w:t>
      </w:r>
      <w:r w:rsidRPr="00A35C95">
        <w:tab/>
        <w:t>in any case—the participating market licensee’s operating rules, as in force when the agreement for the sale or purchase is made, require or permit the first dealer to report the sale or purchase to the participating market licensee; or</w:t>
      </w:r>
    </w:p>
    <w:p w14:paraId="45B02EFD" w14:textId="77777777" w:rsidR="00E93F58" w:rsidRPr="00A35C95" w:rsidRDefault="00E93F58" w:rsidP="00366AB5">
      <w:pPr>
        <w:pStyle w:val="paragraphsub"/>
        <w:tabs>
          <w:tab w:val="left" w:pos="2835"/>
        </w:tabs>
      </w:pPr>
      <w:r w:rsidRPr="00A35C95">
        <w:tab/>
        <w:t>(ii)</w:t>
      </w:r>
      <w:r w:rsidRPr="00A35C95">
        <w:tab/>
        <w:t xml:space="preserve">if the sale or purchase is to or from, as the case may be, a participant (the </w:t>
      </w:r>
      <w:r w:rsidRPr="00A35C95">
        <w:rPr>
          <w:b/>
          <w:i/>
        </w:rPr>
        <w:t>second dealer</w:t>
      </w:r>
      <w:r w:rsidRPr="00A35C95">
        <w:t>) of a participating market licensee—the last</w:t>
      </w:r>
      <w:r>
        <w:noBreakHyphen/>
      </w:r>
      <w:r w:rsidRPr="00A35C95">
        <w:t>mentioned participating market licensee’s operating rules, as in force when the agreement for the sale or purchase is made, require or permit the second dealer to report to the last</w:t>
      </w:r>
      <w:r>
        <w:noBreakHyphen/>
      </w:r>
      <w:r w:rsidRPr="00A35C95">
        <w:t>mentioned participating market licensee the purchase or sale of the securities by the second dealer from or to, as the case may be, the first dealer; or</w:t>
      </w:r>
    </w:p>
    <w:p w14:paraId="130783A5" w14:textId="77777777" w:rsidR="00E93F58" w:rsidRPr="00A35C95" w:rsidRDefault="00E93F58" w:rsidP="00366AB5">
      <w:pPr>
        <w:pStyle w:val="paragraph"/>
        <w:tabs>
          <w:tab w:val="left" w:pos="2835"/>
        </w:tabs>
      </w:pPr>
      <w:r w:rsidRPr="00A35C95">
        <w:tab/>
        <w:t>(b)</w:t>
      </w:r>
      <w:r w:rsidRPr="00A35C95">
        <w:tab/>
        <w:t>is an agreement to buy or sell securities, because of the exercise of an option contract over securities, if:</w:t>
      </w:r>
    </w:p>
    <w:p w14:paraId="2251FB5A" w14:textId="77777777" w:rsidR="00E93F58" w:rsidRPr="00A35C95" w:rsidRDefault="00E93F58" w:rsidP="00366AB5">
      <w:pPr>
        <w:pStyle w:val="paragraphsub"/>
        <w:tabs>
          <w:tab w:val="left" w:pos="2835"/>
        </w:tabs>
      </w:pPr>
      <w:r w:rsidRPr="00A35C95">
        <w:tab/>
        <w:t>(i)</w:t>
      </w:r>
      <w:r w:rsidRPr="00A35C95">
        <w:tab/>
        <w:t>the option contract was entered into on the financial market of a participating market licensee; and</w:t>
      </w:r>
    </w:p>
    <w:p w14:paraId="3E247E31" w14:textId="77777777" w:rsidR="00E93F58" w:rsidRPr="00A35C95" w:rsidRDefault="00E93F58" w:rsidP="00366AB5">
      <w:pPr>
        <w:pStyle w:val="paragraphsub"/>
        <w:tabs>
          <w:tab w:val="left" w:pos="2835"/>
        </w:tabs>
      </w:pPr>
      <w:r w:rsidRPr="00A35C95">
        <w:tab/>
        <w:t>(ii)</w:t>
      </w:r>
      <w:r w:rsidRPr="00A35C95">
        <w:tab/>
        <w:t>the agreement is required or permitted, by the operating rules of ACH or the participating market licensee, to be reported to the participating market licensee.</w:t>
      </w:r>
    </w:p>
    <w:p w14:paraId="1909F71E" w14:textId="77777777" w:rsidR="00E93F58" w:rsidRPr="00A35C95" w:rsidRDefault="00E93F58" w:rsidP="00366AB5">
      <w:pPr>
        <w:pStyle w:val="Definition"/>
        <w:tabs>
          <w:tab w:val="left" w:pos="2835"/>
        </w:tabs>
      </w:pPr>
      <w:r w:rsidRPr="00A35C95">
        <w:rPr>
          <w:b/>
          <w:i/>
          <w:color w:val="000000"/>
        </w:rPr>
        <w:t>sale</w:t>
      </w:r>
      <w:r w:rsidRPr="00A35C95">
        <w:rPr>
          <w:i/>
          <w:color w:val="000000"/>
        </w:rPr>
        <w:t xml:space="preserve"> </w:t>
      </w:r>
      <w:r w:rsidRPr="00A35C95">
        <w:rPr>
          <w:b/>
          <w:i/>
          <w:color w:val="000000"/>
        </w:rPr>
        <w:t>and purchase of securities</w:t>
      </w:r>
      <w:r w:rsidRPr="00A35C95">
        <w:rPr>
          <w:color w:val="000000"/>
        </w:rPr>
        <w:t xml:space="preserve"> has the meaning given by regulation 7.5.06.</w:t>
      </w:r>
    </w:p>
    <w:p w14:paraId="2E5A0128" w14:textId="77777777" w:rsidR="00E93F58" w:rsidRPr="00A35C95" w:rsidRDefault="00E93F58" w:rsidP="00366AB5">
      <w:pPr>
        <w:pStyle w:val="Definition"/>
        <w:tabs>
          <w:tab w:val="left" w:pos="2835"/>
        </w:tabs>
      </w:pPr>
      <w:r w:rsidRPr="00A35C95">
        <w:rPr>
          <w:b/>
          <w:i/>
        </w:rPr>
        <w:t xml:space="preserve">securities business </w:t>
      </w:r>
      <w:r w:rsidRPr="00A35C95">
        <w:t>has the meaning given by regulations 7.5.07 and 7.5.08.</w:t>
      </w:r>
    </w:p>
    <w:p w14:paraId="4DEB2B67" w14:textId="77777777" w:rsidR="00E93F58" w:rsidRPr="00A35C95" w:rsidRDefault="00E93F58" w:rsidP="00366AB5">
      <w:pPr>
        <w:pStyle w:val="Definition"/>
        <w:tabs>
          <w:tab w:val="left" w:pos="2835"/>
        </w:tabs>
      </w:pPr>
      <w:r w:rsidRPr="00A35C95">
        <w:rPr>
          <w:b/>
          <w:i/>
        </w:rPr>
        <w:t>security</w:t>
      </w:r>
      <w:r w:rsidRPr="00A35C95">
        <w:t xml:space="preserve"> has the meaning given by regulation 7.5.09.</w:t>
      </w:r>
    </w:p>
    <w:p w14:paraId="51ED0062" w14:textId="77777777" w:rsidR="00E93F58" w:rsidRPr="00A35C95" w:rsidRDefault="00E93F58" w:rsidP="00366AB5">
      <w:pPr>
        <w:pStyle w:val="Definition"/>
        <w:tabs>
          <w:tab w:val="left" w:pos="2835"/>
        </w:tabs>
      </w:pPr>
      <w:r w:rsidRPr="00A35C95">
        <w:rPr>
          <w:b/>
          <w:i/>
        </w:rPr>
        <w:t>transfer of securities</w:t>
      </w:r>
      <w:r w:rsidRPr="00A35C95">
        <w:t xml:space="preserve"> has the meaning given by regulation 7.5.10.</w:t>
      </w:r>
    </w:p>
    <w:p w14:paraId="0C349402" w14:textId="77777777" w:rsidR="00E93F58" w:rsidRPr="00A35C95" w:rsidRDefault="00E93F58" w:rsidP="00366AB5">
      <w:pPr>
        <w:pStyle w:val="Definition"/>
        <w:tabs>
          <w:tab w:val="left" w:pos="2835"/>
        </w:tabs>
      </w:pPr>
      <w:r w:rsidRPr="00A35C95">
        <w:rPr>
          <w:b/>
          <w:i/>
        </w:rPr>
        <w:t>transferor</w:t>
      </w:r>
      <w:r w:rsidRPr="00A35C95">
        <w:t xml:space="preserve"> has the meaning given by paragraph 7.5.53(4)(b).</w:t>
      </w:r>
    </w:p>
    <w:p w14:paraId="581ED37D" w14:textId="77777777" w:rsidR="00E93F58" w:rsidRPr="00A35C95" w:rsidRDefault="00E93F58" w:rsidP="00366AB5">
      <w:pPr>
        <w:pStyle w:val="Definition"/>
        <w:tabs>
          <w:tab w:val="left" w:pos="2835"/>
        </w:tabs>
      </w:pPr>
      <w:r w:rsidRPr="00A35C95">
        <w:rPr>
          <w:b/>
          <w:i/>
        </w:rPr>
        <w:t>transferred securities</w:t>
      </w:r>
      <w:r w:rsidRPr="00A35C95">
        <w:t xml:space="preserve"> has the meaning given by paragraph 7.5.53(4)(c).</w:t>
      </w:r>
    </w:p>
    <w:p w14:paraId="31A4362E" w14:textId="77777777" w:rsidR="00E93F58" w:rsidRPr="00A35C95" w:rsidRDefault="00E93F58" w:rsidP="00366AB5">
      <w:pPr>
        <w:pStyle w:val="Definition"/>
        <w:tabs>
          <w:tab w:val="left" w:pos="2835"/>
        </w:tabs>
      </w:pPr>
      <w:r w:rsidRPr="00A35C95">
        <w:rPr>
          <w:b/>
          <w:i/>
        </w:rPr>
        <w:t>unauthorised execution</w:t>
      </w:r>
      <w:r w:rsidRPr="00A35C95">
        <w:t xml:space="preserve"> has the meaning given by paragraph 7.5.53(4)(a).</w:t>
      </w:r>
    </w:p>
    <w:p w14:paraId="03BF5F67" w14:textId="77777777" w:rsidR="00E93F58" w:rsidRPr="00A35C95" w:rsidRDefault="00E93F58" w:rsidP="00366AB5">
      <w:pPr>
        <w:pStyle w:val="ActHead5"/>
        <w:tabs>
          <w:tab w:val="left" w:pos="2835"/>
        </w:tabs>
      </w:pPr>
      <w:bookmarkStart w:id="688" w:name="_Toc152057918"/>
      <w:bookmarkStart w:id="689" w:name="_Toc158712141"/>
      <w:r w:rsidRPr="00844D11">
        <w:rPr>
          <w:rStyle w:val="CharSectno"/>
        </w:rPr>
        <w:t>7.5.01A</w:t>
      </w:r>
      <w:r w:rsidRPr="00A35C95">
        <w:t xml:space="preserve">  Modification of Act: compensation regimes</w:t>
      </w:r>
      <w:bookmarkEnd w:id="688"/>
      <w:bookmarkEnd w:id="689"/>
    </w:p>
    <w:p w14:paraId="5FBB99FA" w14:textId="77777777" w:rsidR="00E93F58" w:rsidRPr="00A35C95" w:rsidRDefault="00E93F58" w:rsidP="00366AB5">
      <w:pPr>
        <w:pStyle w:val="subsection"/>
        <w:tabs>
          <w:tab w:val="left" w:pos="2835"/>
        </w:tabs>
      </w:pPr>
      <w:r w:rsidRPr="00A35C95">
        <w:tab/>
      </w:r>
      <w:r w:rsidRPr="00A35C95">
        <w:tab/>
        <w:t>For subsection 893A(1) of the Act, Part 7.5 of the Act is modified in relation to a licensed market as set out in Schedule 8C.</w:t>
      </w:r>
    </w:p>
    <w:p w14:paraId="3B0F086D" w14:textId="77777777" w:rsidR="00E93F58" w:rsidRPr="00A35C95" w:rsidRDefault="00E93F58" w:rsidP="00366AB5">
      <w:pPr>
        <w:pStyle w:val="ActHead5"/>
        <w:tabs>
          <w:tab w:val="left" w:pos="2835"/>
        </w:tabs>
        <w:rPr>
          <w:color w:val="000000"/>
        </w:rPr>
      </w:pPr>
      <w:bookmarkStart w:id="690" w:name="_Toc152057919"/>
      <w:bookmarkStart w:id="691" w:name="_Toc158712142"/>
      <w:r w:rsidRPr="00844D11">
        <w:rPr>
          <w:rStyle w:val="CharSectno"/>
        </w:rPr>
        <w:t>7.5.02</w:t>
      </w:r>
      <w:r w:rsidRPr="00A35C95">
        <w:t xml:space="preserve">  Meaning of </w:t>
      </w:r>
      <w:r w:rsidRPr="00A35C95">
        <w:rPr>
          <w:i/>
        </w:rPr>
        <w:t>b</w:t>
      </w:r>
      <w:r w:rsidRPr="00A35C95">
        <w:rPr>
          <w:i/>
          <w:color w:val="000000"/>
        </w:rPr>
        <w:t>ecoming insolvent</w:t>
      </w:r>
      <w:bookmarkEnd w:id="690"/>
      <w:bookmarkEnd w:id="691"/>
    </w:p>
    <w:p w14:paraId="4AC31A0F" w14:textId="77777777" w:rsidR="00E93F58" w:rsidRPr="00A35C95" w:rsidRDefault="00E93F58" w:rsidP="00366AB5">
      <w:pPr>
        <w:pStyle w:val="subsection"/>
        <w:keepNext/>
        <w:keepLines/>
        <w:tabs>
          <w:tab w:val="left" w:pos="2835"/>
        </w:tabs>
      </w:pPr>
      <w:r w:rsidRPr="00A35C95">
        <w:tab/>
        <w:t>(1)</w:t>
      </w:r>
      <w:r w:rsidRPr="00A35C95">
        <w:tab/>
        <w:t>A body corporate becomes insolvent at a particular time if, and only if, at that time:</w:t>
      </w:r>
    </w:p>
    <w:p w14:paraId="39CB90D5" w14:textId="77777777" w:rsidR="00E93F58" w:rsidRPr="00A35C95" w:rsidRDefault="00E93F58" w:rsidP="00366AB5">
      <w:pPr>
        <w:pStyle w:val="paragraph"/>
        <w:keepNext/>
        <w:keepLines/>
        <w:tabs>
          <w:tab w:val="left" w:pos="2835"/>
        </w:tabs>
      </w:pPr>
      <w:r w:rsidRPr="00A35C95">
        <w:rPr>
          <w:color w:val="000000"/>
        </w:rPr>
        <w:tab/>
        <w:t>(a)</w:t>
      </w:r>
      <w:r w:rsidRPr="00A35C95">
        <w:rPr>
          <w:color w:val="000000"/>
        </w:rPr>
        <w:tab/>
        <w:t>an administrator of the body corporate is appointed under section 436A, 436B or 436C; or</w:t>
      </w:r>
    </w:p>
    <w:p w14:paraId="51801DFC" w14:textId="77777777" w:rsidR="00E93F58" w:rsidRPr="00A35C95" w:rsidRDefault="00E93F58" w:rsidP="00366AB5">
      <w:pPr>
        <w:pStyle w:val="paragraph"/>
        <w:tabs>
          <w:tab w:val="left" w:pos="2835"/>
        </w:tabs>
      </w:pPr>
      <w:r w:rsidRPr="00A35C95">
        <w:tab/>
        <w:t>(b)</w:t>
      </w:r>
      <w:r w:rsidRPr="00A35C95">
        <w:tab/>
        <w:t>the body corporate commences to be wound up or ceases to carry on business; or</w:t>
      </w:r>
    </w:p>
    <w:p w14:paraId="3B0B27E3" w14:textId="77777777" w:rsidR="00E93F58" w:rsidRPr="00A35C95" w:rsidRDefault="00E93F58" w:rsidP="00366AB5">
      <w:pPr>
        <w:pStyle w:val="paragraph"/>
        <w:tabs>
          <w:tab w:val="left" w:pos="2835"/>
        </w:tabs>
      </w:pPr>
      <w:r w:rsidRPr="00A35C95">
        <w:tab/>
        <w:t>(c)</w:t>
      </w:r>
      <w:r w:rsidRPr="00A35C95">
        <w:tab/>
        <w:t>a receiver, or a receiver and manager, of property of the body corporate is appointed, whether by a court or otherwise; or</w:t>
      </w:r>
    </w:p>
    <w:p w14:paraId="3605F30D" w14:textId="77777777" w:rsidR="00E93F58" w:rsidRPr="00A35C95" w:rsidRDefault="00E93F58" w:rsidP="00366AB5">
      <w:pPr>
        <w:pStyle w:val="paragraph"/>
        <w:tabs>
          <w:tab w:val="left" w:pos="2835"/>
        </w:tabs>
      </w:pPr>
      <w:r w:rsidRPr="00A35C95">
        <w:tab/>
        <w:t>(d)</w:t>
      </w:r>
      <w:r w:rsidRPr="00A35C95">
        <w:tab/>
        <w:t>the body corporate enters into a compromise or arrangement with its creditors or a class of them.</w:t>
      </w:r>
    </w:p>
    <w:p w14:paraId="1D4A0D6C" w14:textId="77777777" w:rsidR="00E93F58" w:rsidRPr="00A35C95" w:rsidRDefault="00E93F58" w:rsidP="00366AB5">
      <w:pPr>
        <w:pStyle w:val="subsection"/>
        <w:tabs>
          <w:tab w:val="left" w:pos="2835"/>
        </w:tabs>
      </w:pPr>
      <w:r w:rsidRPr="00A35C95">
        <w:tab/>
        <w:t>(2)</w:t>
      </w:r>
      <w:r w:rsidRPr="00A35C95">
        <w:tab/>
        <w:t>A natural person becomes insolvent at a particular time if, and only if, at that time:</w:t>
      </w:r>
    </w:p>
    <w:p w14:paraId="3CF19797" w14:textId="77777777" w:rsidR="00E93F58" w:rsidRPr="00A35C95" w:rsidRDefault="00E93F58" w:rsidP="00366AB5">
      <w:pPr>
        <w:pStyle w:val="paragraph"/>
        <w:tabs>
          <w:tab w:val="left" w:pos="2835"/>
        </w:tabs>
      </w:pPr>
      <w:r w:rsidRPr="00A35C95">
        <w:tab/>
        <w:t>(a)</w:t>
      </w:r>
      <w:r w:rsidRPr="00A35C95">
        <w:tab/>
        <w:t xml:space="preserve">a creditor’s petition or a debtor’s petition is presented under Division 2 or 3 of Part IV of the </w:t>
      </w:r>
      <w:r w:rsidRPr="00A35C95">
        <w:rPr>
          <w:i/>
        </w:rPr>
        <w:t xml:space="preserve">Bankruptcy Act 1966 </w:t>
      </w:r>
      <w:r w:rsidRPr="00A35C95">
        <w:t>against:</w:t>
      </w:r>
    </w:p>
    <w:p w14:paraId="1B514DE8" w14:textId="77777777" w:rsidR="00E93F58" w:rsidRPr="00A35C95" w:rsidRDefault="00E93F58" w:rsidP="00366AB5">
      <w:pPr>
        <w:pStyle w:val="paragraphsub"/>
        <w:tabs>
          <w:tab w:val="left" w:pos="2835"/>
        </w:tabs>
      </w:pPr>
      <w:r w:rsidRPr="00A35C95">
        <w:rPr>
          <w:color w:val="000000"/>
        </w:rPr>
        <w:lastRenderedPageBreak/>
        <w:tab/>
        <w:t>(i)</w:t>
      </w:r>
      <w:r w:rsidRPr="00A35C95">
        <w:rPr>
          <w:color w:val="000000"/>
        </w:rPr>
        <w:tab/>
        <w:t>the person; or</w:t>
      </w:r>
    </w:p>
    <w:p w14:paraId="19266CCA" w14:textId="77777777" w:rsidR="00E93F58" w:rsidRPr="00A35C95" w:rsidRDefault="00E93F58" w:rsidP="00366AB5">
      <w:pPr>
        <w:pStyle w:val="paragraphsub"/>
        <w:tabs>
          <w:tab w:val="left" w:pos="2835"/>
        </w:tabs>
      </w:pPr>
      <w:r w:rsidRPr="00A35C95">
        <w:tab/>
        <w:t>(ii)</w:t>
      </w:r>
      <w:r w:rsidRPr="00A35C95">
        <w:tab/>
        <w:t>a partnership in which the person is a partner; or</w:t>
      </w:r>
    </w:p>
    <w:p w14:paraId="72283B00" w14:textId="77777777" w:rsidR="00E93F58" w:rsidRPr="00A35C95" w:rsidRDefault="00E93F58" w:rsidP="00366AB5">
      <w:pPr>
        <w:pStyle w:val="paragraphsub"/>
        <w:tabs>
          <w:tab w:val="left" w:pos="2835"/>
        </w:tabs>
      </w:pPr>
      <w:r w:rsidRPr="00A35C95">
        <w:tab/>
        <w:t>(iii)</w:t>
      </w:r>
      <w:r w:rsidRPr="00A35C95">
        <w:tab/>
        <w:t>2 or more joint debtors who include the person; or</w:t>
      </w:r>
    </w:p>
    <w:p w14:paraId="0C6C62FE" w14:textId="77777777" w:rsidR="00E93F58" w:rsidRPr="00A35C95" w:rsidRDefault="00E93F58" w:rsidP="00366AB5">
      <w:pPr>
        <w:pStyle w:val="paragraph"/>
        <w:tabs>
          <w:tab w:val="left" w:pos="2835"/>
        </w:tabs>
      </w:pPr>
      <w:r w:rsidRPr="00A35C95">
        <w:rPr>
          <w:color w:val="000000"/>
        </w:rPr>
        <w:tab/>
        <w:t>(b)</w:t>
      </w:r>
      <w:r w:rsidRPr="00A35C95">
        <w:rPr>
          <w:color w:val="000000"/>
        </w:rPr>
        <w:tab/>
        <w:t xml:space="preserve">the person’s property becomes subject to control under Division 2 of Part X of the </w:t>
      </w:r>
      <w:r w:rsidRPr="00A35C95">
        <w:rPr>
          <w:i/>
          <w:color w:val="000000"/>
        </w:rPr>
        <w:t>Bankruptcy Act 1966</w:t>
      </w:r>
      <w:r w:rsidRPr="00A35C95">
        <w:rPr>
          <w:color w:val="000000"/>
        </w:rPr>
        <w:t>; or</w:t>
      </w:r>
    </w:p>
    <w:p w14:paraId="351E64A5" w14:textId="77777777" w:rsidR="00E93F58" w:rsidRPr="00A35C95" w:rsidRDefault="00E93F58" w:rsidP="00366AB5">
      <w:pPr>
        <w:pStyle w:val="paragraph"/>
        <w:tabs>
          <w:tab w:val="left" w:pos="2835"/>
        </w:tabs>
      </w:pPr>
      <w:r w:rsidRPr="00A35C95">
        <w:tab/>
        <w:t>(c)</w:t>
      </w:r>
      <w:r w:rsidRPr="00A35C95">
        <w:tab/>
        <w:t xml:space="preserve">the person executes a deed of assignment or deed of arrangement under Part X of the </w:t>
      </w:r>
      <w:r w:rsidRPr="00A35C95">
        <w:rPr>
          <w:i/>
        </w:rPr>
        <w:t>Bankruptcy Act 1966</w:t>
      </w:r>
      <w:r w:rsidRPr="00A35C95">
        <w:t>; or</w:t>
      </w:r>
    </w:p>
    <w:p w14:paraId="6A07D486" w14:textId="77777777" w:rsidR="00E93F58" w:rsidRPr="00A35C95" w:rsidRDefault="00E93F58" w:rsidP="00366AB5">
      <w:pPr>
        <w:pStyle w:val="paragraph"/>
        <w:tabs>
          <w:tab w:val="left" w:pos="2835"/>
        </w:tabs>
      </w:pPr>
      <w:r w:rsidRPr="00A35C95">
        <w:tab/>
        <w:t>(d)</w:t>
      </w:r>
      <w:r w:rsidRPr="00A35C95">
        <w:tab/>
        <w:t xml:space="preserve">the person’s creditors accept a composition under Part X of the </w:t>
      </w:r>
      <w:r w:rsidRPr="00A35C95">
        <w:rPr>
          <w:i/>
        </w:rPr>
        <w:t>Bankruptcy Act 1966</w:t>
      </w:r>
      <w:r w:rsidRPr="00A35C95">
        <w:t>.</w:t>
      </w:r>
    </w:p>
    <w:p w14:paraId="4970F691" w14:textId="77777777" w:rsidR="00E93F58" w:rsidRPr="00A35C95" w:rsidRDefault="00E93F58" w:rsidP="00366AB5">
      <w:pPr>
        <w:pStyle w:val="subsection"/>
        <w:tabs>
          <w:tab w:val="left" w:pos="2835"/>
        </w:tabs>
      </w:pPr>
      <w:r w:rsidRPr="00A35C95">
        <w:rPr>
          <w:color w:val="000000"/>
        </w:rPr>
        <w:tab/>
        <w:t>(3)</w:t>
      </w:r>
      <w:r w:rsidRPr="00A35C95">
        <w:rPr>
          <w:color w:val="000000"/>
        </w:rPr>
        <w:tab/>
        <w:t xml:space="preserve">A reference in subregulation (2) to a Division or Part of the </w:t>
      </w:r>
      <w:r w:rsidRPr="00A35C95">
        <w:rPr>
          <w:i/>
          <w:color w:val="000000"/>
        </w:rPr>
        <w:t xml:space="preserve">Bankruptcy Act 1966 </w:t>
      </w:r>
      <w:r w:rsidRPr="00A35C95">
        <w:rPr>
          <w:color w:val="000000"/>
        </w:rPr>
        <w:t>includes a reference to provisions of a law of an external Territory, or a country other than Australia or an external Territory, that correspond to that Division or Part.</w:t>
      </w:r>
    </w:p>
    <w:p w14:paraId="0DAFE302" w14:textId="77777777" w:rsidR="00E93F58" w:rsidRPr="00A35C95" w:rsidRDefault="00E93F58" w:rsidP="00366AB5">
      <w:pPr>
        <w:pStyle w:val="ActHead5"/>
        <w:tabs>
          <w:tab w:val="left" w:pos="2835"/>
        </w:tabs>
        <w:rPr>
          <w:i/>
        </w:rPr>
      </w:pPr>
      <w:bookmarkStart w:id="692" w:name="_Toc152057920"/>
      <w:bookmarkStart w:id="693" w:name="_Toc158712143"/>
      <w:r w:rsidRPr="00844D11">
        <w:rPr>
          <w:rStyle w:val="CharSectno"/>
        </w:rPr>
        <w:t>7.5.03</w:t>
      </w:r>
      <w:r w:rsidRPr="00A35C95">
        <w:rPr>
          <w:sz w:val="16"/>
        </w:rPr>
        <w:t xml:space="preserve">  </w:t>
      </w:r>
      <w:r w:rsidRPr="00A35C95">
        <w:t xml:space="preserve">Meaning of </w:t>
      </w:r>
      <w:r w:rsidRPr="00A35C95">
        <w:rPr>
          <w:i/>
        </w:rPr>
        <w:t>dealer</w:t>
      </w:r>
      <w:bookmarkEnd w:id="692"/>
      <w:bookmarkEnd w:id="693"/>
    </w:p>
    <w:p w14:paraId="2FA47E66" w14:textId="77777777" w:rsidR="00E93F58" w:rsidRPr="00A35C95" w:rsidRDefault="00E93F58" w:rsidP="00366AB5">
      <w:pPr>
        <w:pStyle w:val="subsection"/>
        <w:keepNext/>
        <w:keepLines/>
        <w:tabs>
          <w:tab w:val="left" w:pos="2835"/>
        </w:tabs>
      </w:pPr>
      <w:r w:rsidRPr="00A35C95">
        <w:rPr>
          <w:color w:val="000000"/>
        </w:rPr>
        <w:tab/>
        <w:t>(1)</w:t>
      </w:r>
      <w:r w:rsidRPr="00A35C95">
        <w:rPr>
          <w:color w:val="000000"/>
        </w:rPr>
        <w:tab/>
        <w:t>For this Part (other than Subdivisions 4.7, 4.9 and 4.10), a person is a dealer if the person is, or has been at any time, a participant of a participating market licensee.</w:t>
      </w:r>
    </w:p>
    <w:p w14:paraId="5491CB25" w14:textId="77777777" w:rsidR="00E93F58" w:rsidRPr="00A35C95" w:rsidRDefault="00E93F58" w:rsidP="00366AB5">
      <w:pPr>
        <w:pStyle w:val="subsection"/>
        <w:tabs>
          <w:tab w:val="left" w:pos="2835"/>
        </w:tabs>
      </w:pPr>
      <w:r w:rsidRPr="00A35C95">
        <w:tab/>
        <w:t>(3)</w:t>
      </w:r>
      <w:r w:rsidRPr="00A35C95">
        <w:tab/>
        <w:t xml:space="preserve">For Subdivisions 4.7, 4.9 and 4.10, a person is a </w:t>
      </w:r>
      <w:r w:rsidRPr="00A35C95">
        <w:rPr>
          <w:b/>
          <w:i/>
        </w:rPr>
        <w:t>dealer</w:t>
      </w:r>
      <w:r w:rsidRPr="00A35C95">
        <w:t xml:space="preserve"> if the person is:</w:t>
      </w:r>
    </w:p>
    <w:p w14:paraId="782B3E34" w14:textId="77777777" w:rsidR="00E93F58" w:rsidRPr="00A35C95" w:rsidRDefault="00E93F58" w:rsidP="00366AB5">
      <w:pPr>
        <w:pStyle w:val="paragraph"/>
        <w:tabs>
          <w:tab w:val="left" w:pos="2835"/>
        </w:tabs>
      </w:pPr>
      <w:r w:rsidRPr="00A35C95">
        <w:tab/>
        <w:t>(a)</w:t>
      </w:r>
      <w:r w:rsidRPr="00A35C95">
        <w:tab/>
        <w:t>a participant of a participating market licensee; or</w:t>
      </w:r>
    </w:p>
    <w:p w14:paraId="2DFE4315" w14:textId="77777777" w:rsidR="00E93F58" w:rsidRPr="00A35C95" w:rsidRDefault="00E93F58" w:rsidP="00366AB5">
      <w:pPr>
        <w:pStyle w:val="paragraph"/>
        <w:tabs>
          <w:tab w:val="left" w:pos="2835"/>
        </w:tabs>
      </w:pPr>
      <w:r w:rsidRPr="00A35C95">
        <w:tab/>
        <w:t>(b)</w:t>
      </w:r>
      <w:r w:rsidRPr="00A35C95">
        <w:tab/>
        <w:t>a participant of the licensed CS facility operated by ACH.</w:t>
      </w:r>
    </w:p>
    <w:p w14:paraId="0E604F94" w14:textId="77777777" w:rsidR="00E93F58" w:rsidRPr="00A35C95" w:rsidRDefault="00E93F58" w:rsidP="00366AB5">
      <w:pPr>
        <w:pStyle w:val="ActHead5"/>
        <w:tabs>
          <w:tab w:val="left" w:pos="2835"/>
        </w:tabs>
        <w:rPr>
          <w:i/>
          <w:color w:val="000000"/>
        </w:rPr>
      </w:pPr>
      <w:bookmarkStart w:id="694" w:name="_Toc152057921"/>
      <w:bookmarkStart w:id="695" w:name="_Toc158712144"/>
      <w:r w:rsidRPr="00844D11">
        <w:rPr>
          <w:rStyle w:val="CharSectno"/>
        </w:rPr>
        <w:t>7.5.04</w:t>
      </w:r>
      <w:r w:rsidRPr="00A35C95">
        <w:t xml:space="preserve">  Meaning of </w:t>
      </w:r>
      <w:r w:rsidRPr="00A35C95">
        <w:rPr>
          <w:i/>
        </w:rPr>
        <w:t>excluded person</w:t>
      </w:r>
      <w:bookmarkEnd w:id="694"/>
      <w:bookmarkEnd w:id="695"/>
    </w:p>
    <w:p w14:paraId="1FD9972A" w14:textId="77777777" w:rsidR="00E93F58" w:rsidRPr="00A35C95" w:rsidRDefault="00E93F58" w:rsidP="00366AB5">
      <w:pPr>
        <w:pStyle w:val="subsection"/>
        <w:tabs>
          <w:tab w:val="left" w:pos="2835"/>
        </w:tabs>
      </w:pPr>
      <w:r w:rsidRPr="00A35C95">
        <w:tab/>
        <w:t>(1)</w:t>
      </w:r>
      <w:r w:rsidRPr="00A35C95">
        <w:tab/>
        <w:t xml:space="preserve">For this Part, an </w:t>
      </w:r>
      <w:r w:rsidRPr="00A35C95">
        <w:rPr>
          <w:b/>
          <w:i/>
        </w:rPr>
        <w:t>excluded person</w:t>
      </w:r>
      <w:r w:rsidRPr="00A35C95">
        <w:t>, in relation to a participant of a participating market licensee, or a participant of the licensed CS facility operated by ACH, means:</w:t>
      </w:r>
    </w:p>
    <w:p w14:paraId="7988FB26" w14:textId="77777777" w:rsidR="00E93F58" w:rsidRPr="00A35C95" w:rsidRDefault="00E93F58" w:rsidP="00366AB5">
      <w:pPr>
        <w:pStyle w:val="paragraph"/>
        <w:tabs>
          <w:tab w:val="left" w:pos="2835"/>
        </w:tabs>
      </w:pPr>
      <w:r w:rsidRPr="00A35C95">
        <w:rPr>
          <w:color w:val="000000"/>
        </w:rPr>
        <w:tab/>
        <w:t>(a)</w:t>
      </w:r>
      <w:r w:rsidRPr="00A35C95">
        <w:rPr>
          <w:color w:val="000000"/>
        </w:rPr>
        <w:tab/>
        <w:t>in any case—the participant; or</w:t>
      </w:r>
    </w:p>
    <w:p w14:paraId="1717D94B" w14:textId="77777777" w:rsidR="00E93F58" w:rsidRPr="00A35C95" w:rsidRDefault="00E93F58" w:rsidP="00366AB5">
      <w:pPr>
        <w:pStyle w:val="paragraph"/>
        <w:tabs>
          <w:tab w:val="left" w:pos="2835"/>
        </w:tabs>
      </w:pPr>
      <w:r w:rsidRPr="00A35C95">
        <w:tab/>
        <w:t>(b)</w:t>
      </w:r>
      <w:r w:rsidRPr="00A35C95">
        <w:tab/>
        <w:t>if the participant is not a body corporate:</w:t>
      </w:r>
    </w:p>
    <w:p w14:paraId="08F7C8B9" w14:textId="77777777" w:rsidR="00E93F58" w:rsidRPr="00A35C95" w:rsidRDefault="00E93F58" w:rsidP="00366AB5">
      <w:pPr>
        <w:pStyle w:val="paragraphsub"/>
        <w:tabs>
          <w:tab w:val="left" w:pos="2835"/>
        </w:tabs>
      </w:pPr>
      <w:r w:rsidRPr="00A35C95">
        <w:rPr>
          <w:color w:val="000000"/>
        </w:rPr>
        <w:tab/>
        <w:t>(i)</w:t>
      </w:r>
      <w:r w:rsidRPr="00A35C95">
        <w:rPr>
          <w:color w:val="000000"/>
        </w:rPr>
        <w:tab/>
        <w:t>a person who is the spouse, or who is a relative, of the participant; or</w:t>
      </w:r>
    </w:p>
    <w:p w14:paraId="24DC16B5" w14:textId="77777777" w:rsidR="00E93F58" w:rsidRPr="00A35C95" w:rsidRDefault="00E93F58" w:rsidP="00366AB5">
      <w:pPr>
        <w:pStyle w:val="paragraphsub"/>
        <w:tabs>
          <w:tab w:val="left" w:pos="2835"/>
        </w:tabs>
      </w:pPr>
      <w:r w:rsidRPr="00A35C95">
        <w:tab/>
        <w:t>(ii)</w:t>
      </w:r>
      <w:r w:rsidRPr="00A35C95">
        <w:tab/>
        <w:t>a trustee of a trust in relation to which the participant or a person of a kind mentioned in subparagraph (i) is capable of benefiting; or</w:t>
      </w:r>
    </w:p>
    <w:p w14:paraId="2A5FEBC2" w14:textId="77777777" w:rsidR="00E93F58" w:rsidRPr="00A35C95" w:rsidRDefault="00E93F58" w:rsidP="00366AB5">
      <w:pPr>
        <w:pStyle w:val="paragraphsub"/>
        <w:tabs>
          <w:tab w:val="left" w:pos="2835"/>
        </w:tabs>
      </w:pPr>
      <w:r w:rsidRPr="00A35C95">
        <w:tab/>
        <w:t>(iii)</w:t>
      </w:r>
      <w:r w:rsidRPr="00A35C95">
        <w:tab/>
        <w:t>a body corporate of which the participant is an officer; or</w:t>
      </w:r>
    </w:p>
    <w:p w14:paraId="3CE42853" w14:textId="77777777" w:rsidR="00E93F58" w:rsidRPr="00A35C95" w:rsidRDefault="00E93F58" w:rsidP="00366AB5">
      <w:pPr>
        <w:pStyle w:val="paragraphsub"/>
        <w:tabs>
          <w:tab w:val="left" w:pos="2835"/>
        </w:tabs>
      </w:pPr>
      <w:r w:rsidRPr="00A35C95">
        <w:tab/>
        <w:t>(iv)</w:t>
      </w:r>
      <w:r w:rsidRPr="00A35C95">
        <w:tab/>
        <w:t>a body corporate in which the participant or a person of a kind mentioned in subparagraph (i) has a controlling interest; or</w:t>
      </w:r>
    </w:p>
    <w:p w14:paraId="17EBD07F" w14:textId="77777777" w:rsidR="00E93F58" w:rsidRPr="00A35C95" w:rsidRDefault="00E93F58" w:rsidP="00366AB5">
      <w:pPr>
        <w:pStyle w:val="paragraphsub"/>
        <w:tabs>
          <w:tab w:val="left" w:pos="2835"/>
        </w:tabs>
      </w:pPr>
      <w:r w:rsidRPr="00A35C95">
        <w:tab/>
        <w:t>(v)</w:t>
      </w:r>
      <w:r w:rsidRPr="00A35C95">
        <w:tab/>
        <w:t>a body corporate in which the participant, and a person of a kind mentioned in subparagraph (i) have a controlling interest; or</w:t>
      </w:r>
    </w:p>
    <w:p w14:paraId="4CAA5188" w14:textId="77777777" w:rsidR="00E93F58" w:rsidRPr="00A35C95" w:rsidRDefault="00E93F58" w:rsidP="00366AB5">
      <w:pPr>
        <w:pStyle w:val="paragraphsub"/>
        <w:tabs>
          <w:tab w:val="left" w:pos="2835"/>
        </w:tabs>
      </w:pPr>
      <w:r w:rsidRPr="00A35C95">
        <w:tab/>
        <w:t>(vi)</w:t>
      </w:r>
      <w:r w:rsidRPr="00A35C95">
        <w:tab/>
        <w:t>a body corporate in which the participant and 2 or more persons of a kind mentioned in subparagraph (i) have a controlling interest; or</w:t>
      </w:r>
    </w:p>
    <w:p w14:paraId="3D06AD7E" w14:textId="77777777" w:rsidR="00E93F58" w:rsidRPr="00A35C95" w:rsidRDefault="00E93F58" w:rsidP="00366AB5">
      <w:pPr>
        <w:pStyle w:val="paragraphsub"/>
        <w:tabs>
          <w:tab w:val="left" w:pos="2835"/>
        </w:tabs>
      </w:pPr>
      <w:r w:rsidRPr="00A35C95">
        <w:tab/>
        <w:t>(vii)</w:t>
      </w:r>
      <w:r w:rsidRPr="00A35C95">
        <w:tab/>
        <w:t>a body corporate in which 2 or more persons of a kind mentioned in subparagraph (i) together have a controlling interest; or</w:t>
      </w:r>
    </w:p>
    <w:p w14:paraId="443A8181" w14:textId="77777777" w:rsidR="00E93F58" w:rsidRPr="00A35C95" w:rsidRDefault="00E93F58" w:rsidP="00366AB5">
      <w:pPr>
        <w:pStyle w:val="paragraph"/>
        <w:tabs>
          <w:tab w:val="left" w:pos="2835"/>
        </w:tabs>
      </w:pPr>
      <w:r w:rsidRPr="00A35C95">
        <w:tab/>
        <w:t>(c)</w:t>
      </w:r>
      <w:r w:rsidRPr="00A35C95">
        <w:tab/>
        <w:t>if the participant is:</w:t>
      </w:r>
    </w:p>
    <w:p w14:paraId="13871DB0" w14:textId="77777777" w:rsidR="00E93F58" w:rsidRPr="00A35C95" w:rsidRDefault="00E93F58" w:rsidP="00366AB5">
      <w:pPr>
        <w:pStyle w:val="paragraphsub"/>
        <w:tabs>
          <w:tab w:val="left" w:pos="2835"/>
        </w:tabs>
      </w:pPr>
      <w:r w:rsidRPr="00A35C95">
        <w:rPr>
          <w:color w:val="000000"/>
        </w:rPr>
        <w:tab/>
        <w:t>(i)</w:t>
      </w:r>
      <w:r w:rsidRPr="00A35C95">
        <w:rPr>
          <w:color w:val="000000"/>
        </w:rPr>
        <w:tab/>
        <w:t>a person who is an officer of the body corporate; or</w:t>
      </w:r>
    </w:p>
    <w:p w14:paraId="418AAB06" w14:textId="77777777" w:rsidR="00E93F58" w:rsidRPr="00A35C95" w:rsidRDefault="00E93F58" w:rsidP="00366AB5">
      <w:pPr>
        <w:pStyle w:val="paragraphsub"/>
        <w:tabs>
          <w:tab w:val="left" w:pos="2835"/>
        </w:tabs>
      </w:pPr>
      <w:r w:rsidRPr="00A35C95">
        <w:tab/>
        <w:t>(ii)</w:t>
      </w:r>
      <w:r w:rsidRPr="00A35C95">
        <w:tab/>
        <w:t>a body corporate that is related to the first</w:t>
      </w:r>
      <w:r>
        <w:noBreakHyphen/>
      </w:r>
      <w:r w:rsidRPr="00A35C95">
        <w:t>mentioned body corporate; or</w:t>
      </w:r>
    </w:p>
    <w:p w14:paraId="7FCFE6F5" w14:textId="77777777" w:rsidR="00E93F58" w:rsidRPr="00A35C95" w:rsidRDefault="00E93F58" w:rsidP="00366AB5">
      <w:pPr>
        <w:pStyle w:val="paragraphsub"/>
        <w:tabs>
          <w:tab w:val="left" w:pos="2835"/>
        </w:tabs>
      </w:pPr>
      <w:r w:rsidRPr="00A35C95">
        <w:tab/>
        <w:t>(iii)</w:t>
      </w:r>
      <w:r w:rsidRPr="00A35C95">
        <w:tab/>
        <w:t>a person who is the spouse, or who is a relative, of a person of a kind mentioned in subparagraph (i); or</w:t>
      </w:r>
    </w:p>
    <w:p w14:paraId="65DC46C7" w14:textId="77777777" w:rsidR="00E93F58" w:rsidRPr="00A35C95" w:rsidRDefault="00E93F58" w:rsidP="00366AB5">
      <w:pPr>
        <w:pStyle w:val="paragraphsub"/>
        <w:tabs>
          <w:tab w:val="left" w:pos="2835"/>
        </w:tabs>
      </w:pPr>
      <w:r w:rsidRPr="00A35C95">
        <w:tab/>
        <w:t>(iv)</w:t>
      </w:r>
      <w:r w:rsidRPr="00A35C95">
        <w:tab/>
        <w:t>a trustee of a trust in relation to which a person of a kind mentioned in subparagraph (i) or (iii) is capable of benefiting; or</w:t>
      </w:r>
    </w:p>
    <w:p w14:paraId="4E943136" w14:textId="77777777" w:rsidR="00E93F58" w:rsidRPr="00A35C95" w:rsidRDefault="00E93F58" w:rsidP="00366AB5">
      <w:pPr>
        <w:pStyle w:val="paragraphsub"/>
        <w:tabs>
          <w:tab w:val="left" w:pos="2835"/>
        </w:tabs>
      </w:pPr>
      <w:r w:rsidRPr="00A35C95">
        <w:tab/>
        <w:t>(v)</w:t>
      </w:r>
      <w:r w:rsidRPr="00A35C95">
        <w:tab/>
        <w:t>a body corporate in which a person of a kind mentioned in subparagraph (i) or (iii) has, or 2 or more such persons together have, a controlling interest; or</w:t>
      </w:r>
    </w:p>
    <w:p w14:paraId="2630B431" w14:textId="77777777" w:rsidR="00E93F58" w:rsidRPr="00A35C95" w:rsidRDefault="00E93F58" w:rsidP="00366AB5">
      <w:pPr>
        <w:pStyle w:val="paragraph"/>
        <w:tabs>
          <w:tab w:val="left" w:pos="2835"/>
        </w:tabs>
      </w:pPr>
      <w:r w:rsidRPr="00A35C95">
        <w:tab/>
        <w:t>(d)</w:t>
      </w:r>
      <w:r w:rsidRPr="00A35C95">
        <w:tab/>
        <w:t>if the participant is a partner in a participant of the participating market licensee or licensed CS facility and is not a body corporate:</w:t>
      </w:r>
    </w:p>
    <w:p w14:paraId="357D91E5" w14:textId="77777777" w:rsidR="00E93F58" w:rsidRPr="00A35C95" w:rsidRDefault="00E93F58" w:rsidP="00366AB5">
      <w:pPr>
        <w:pStyle w:val="paragraphsub"/>
        <w:tabs>
          <w:tab w:val="left" w:pos="2835"/>
        </w:tabs>
      </w:pPr>
      <w:r w:rsidRPr="00A35C95">
        <w:rPr>
          <w:color w:val="000000"/>
        </w:rPr>
        <w:tab/>
        <w:t>(i)</w:t>
      </w:r>
      <w:r w:rsidRPr="00A35C95">
        <w:rPr>
          <w:color w:val="000000"/>
        </w:rPr>
        <w:tab/>
        <w:t>a person who is a partner in the participant; or</w:t>
      </w:r>
    </w:p>
    <w:p w14:paraId="2D52CCB8" w14:textId="77777777" w:rsidR="00E93F58" w:rsidRPr="00A35C95" w:rsidRDefault="00E93F58" w:rsidP="00366AB5">
      <w:pPr>
        <w:pStyle w:val="paragraphsub"/>
        <w:tabs>
          <w:tab w:val="left" w:pos="2835"/>
        </w:tabs>
      </w:pPr>
      <w:r w:rsidRPr="00A35C95">
        <w:tab/>
        <w:t>(ii)</w:t>
      </w:r>
      <w:r w:rsidRPr="00A35C95">
        <w:tab/>
        <w:t>a person who is the spouse, or who is a relative, of a partner (not being a body corporate) in the participant; or</w:t>
      </w:r>
    </w:p>
    <w:p w14:paraId="5C84701B" w14:textId="77777777" w:rsidR="00E93F58" w:rsidRPr="00A35C95" w:rsidRDefault="00E93F58" w:rsidP="00366AB5">
      <w:pPr>
        <w:pStyle w:val="paragraphsub"/>
        <w:tabs>
          <w:tab w:val="left" w:pos="2835"/>
        </w:tabs>
      </w:pPr>
      <w:r w:rsidRPr="00A35C95">
        <w:tab/>
        <w:t>(iii)</w:t>
      </w:r>
      <w:r w:rsidRPr="00A35C95">
        <w:tab/>
        <w:t>a trustee of a trust in relation to which a person of a kind mentioned in subparagraph (i) or (ii) is capable of benefiting; or</w:t>
      </w:r>
    </w:p>
    <w:p w14:paraId="5FCD9DAA" w14:textId="77777777" w:rsidR="00E93F58" w:rsidRPr="00A35C95" w:rsidRDefault="00E93F58" w:rsidP="00366AB5">
      <w:pPr>
        <w:pStyle w:val="paragraphsub"/>
        <w:tabs>
          <w:tab w:val="left" w:pos="2835"/>
        </w:tabs>
      </w:pPr>
      <w:r w:rsidRPr="00A35C95">
        <w:tab/>
        <w:t>(iv)</w:t>
      </w:r>
      <w:r w:rsidRPr="00A35C95">
        <w:tab/>
        <w:t>a person who is an officer of a body corporate that is a partner in the participant; or</w:t>
      </w:r>
    </w:p>
    <w:p w14:paraId="6E266523" w14:textId="77777777" w:rsidR="00E93F58" w:rsidRPr="00A35C95" w:rsidRDefault="00E93F58" w:rsidP="00366AB5">
      <w:pPr>
        <w:pStyle w:val="paragraphsub"/>
        <w:tabs>
          <w:tab w:val="left" w:pos="2835"/>
        </w:tabs>
      </w:pPr>
      <w:r w:rsidRPr="00A35C95">
        <w:lastRenderedPageBreak/>
        <w:tab/>
        <w:t>(v)</w:t>
      </w:r>
      <w:r w:rsidRPr="00A35C95">
        <w:tab/>
        <w:t>a body corporate of which a person of a kind mentioned in subparagraph (i), (ii) or (iii) is an officer, or in which such a person has, or 2 or more such persons together have, a controlling interest; or</w:t>
      </w:r>
    </w:p>
    <w:p w14:paraId="5202DC83" w14:textId="77777777" w:rsidR="00E93F58" w:rsidRPr="00A35C95" w:rsidRDefault="00E93F58" w:rsidP="00366AB5">
      <w:pPr>
        <w:pStyle w:val="paragraphsub"/>
        <w:tabs>
          <w:tab w:val="left" w:pos="2835"/>
        </w:tabs>
      </w:pPr>
      <w:r w:rsidRPr="00A35C95">
        <w:tab/>
        <w:t>(vi)</w:t>
      </w:r>
      <w:r w:rsidRPr="00A35C95">
        <w:tab/>
        <w:t>a person who is a participant of the licensed CS facility operated by ACH; or</w:t>
      </w:r>
    </w:p>
    <w:p w14:paraId="52D25D8A" w14:textId="77777777" w:rsidR="00E93F58" w:rsidRPr="00A35C95" w:rsidRDefault="00E93F58" w:rsidP="00366AB5">
      <w:pPr>
        <w:pStyle w:val="paragraph"/>
        <w:tabs>
          <w:tab w:val="left" w:pos="2835"/>
        </w:tabs>
      </w:pPr>
      <w:r w:rsidRPr="00A35C95">
        <w:tab/>
        <w:t>(e)</w:t>
      </w:r>
      <w:r w:rsidRPr="00A35C95">
        <w:tab/>
        <w:t>if the participant is a partner in a participant of the participating market licensee or licensed CS facility and is a body corporate:</w:t>
      </w:r>
    </w:p>
    <w:p w14:paraId="6B5B49B4" w14:textId="77777777" w:rsidR="00E93F58" w:rsidRPr="00A35C95" w:rsidRDefault="00E93F58" w:rsidP="00366AB5">
      <w:pPr>
        <w:pStyle w:val="paragraphsub"/>
        <w:tabs>
          <w:tab w:val="left" w:pos="2835"/>
        </w:tabs>
      </w:pPr>
      <w:r w:rsidRPr="00A35C95">
        <w:rPr>
          <w:color w:val="000000"/>
        </w:rPr>
        <w:tab/>
        <w:t>(i)</w:t>
      </w:r>
      <w:r w:rsidRPr="00A35C95">
        <w:rPr>
          <w:color w:val="000000"/>
        </w:rPr>
        <w:tab/>
        <w:t>a person who is an officer of a body corporate that is a partner in the participant; or</w:t>
      </w:r>
    </w:p>
    <w:p w14:paraId="28275EAD" w14:textId="77777777" w:rsidR="00E93F58" w:rsidRPr="00A35C95" w:rsidRDefault="00E93F58" w:rsidP="00366AB5">
      <w:pPr>
        <w:pStyle w:val="paragraphsub"/>
        <w:tabs>
          <w:tab w:val="left" w:pos="2835"/>
        </w:tabs>
      </w:pPr>
      <w:r w:rsidRPr="00A35C95">
        <w:tab/>
        <w:t>(ii)</w:t>
      </w:r>
      <w:r w:rsidRPr="00A35C95">
        <w:tab/>
        <w:t>a body corporate that is related to the first</w:t>
      </w:r>
      <w:r>
        <w:noBreakHyphen/>
      </w:r>
      <w:r w:rsidRPr="00A35C95">
        <w:t>mentioned body corporate; or</w:t>
      </w:r>
    </w:p>
    <w:p w14:paraId="0967D610" w14:textId="77777777" w:rsidR="00E93F58" w:rsidRPr="00A35C95" w:rsidRDefault="00E93F58" w:rsidP="00366AB5">
      <w:pPr>
        <w:pStyle w:val="paragraphsub"/>
        <w:tabs>
          <w:tab w:val="left" w:pos="2835"/>
        </w:tabs>
      </w:pPr>
      <w:r w:rsidRPr="00A35C95">
        <w:tab/>
        <w:t>(iii)</w:t>
      </w:r>
      <w:r w:rsidRPr="00A35C95">
        <w:tab/>
        <w:t>a person who is a partner in the participant; or</w:t>
      </w:r>
    </w:p>
    <w:p w14:paraId="6F8BD4AA" w14:textId="77777777" w:rsidR="00E93F58" w:rsidRPr="00A35C95" w:rsidRDefault="00E93F58" w:rsidP="00366AB5">
      <w:pPr>
        <w:pStyle w:val="paragraphsub"/>
        <w:tabs>
          <w:tab w:val="left" w:pos="2835"/>
        </w:tabs>
      </w:pPr>
      <w:r w:rsidRPr="00A35C95">
        <w:tab/>
        <w:t>(iv)</w:t>
      </w:r>
      <w:r w:rsidRPr="00A35C95">
        <w:tab/>
        <w:t>a person who is the spouse, or who is a relative, of a person (other than a body corporate) of a kind mentioned in subparagraph (i) or (iii); or</w:t>
      </w:r>
    </w:p>
    <w:p w14:paraId="626A6814" w14:textId="77777777" w:rsidR="00E93F58" w:rsidRPr="00A35C95" w:rsidRDefault="00E93F58" w:rsidP="00366AB5">
      <w:pPr>
        <w:pStyle w:val="paragraphsub"/>
        <w:tabs>
          <w:tab w:val="left" w:pos="2835"/>
        </w:tabs>
      </w:pPr>
      <w:r w:rsidRPr="00A35C95">
        <w:tab/>
        <w:t>(v)</w:t>
      </w:r>
      <w:r w:rsidRPr="00A35C95">
        <w:tab/>
        <w:t>a trustee of a trust in relation to which a person of a kind mentioned in subparagraph (i), (iii) or (iv) is capable of benefiting; or</w:t>
      </w:r>
    </w:p>
    <w:p w14:paraId="2727BDE1" w14:textId="77777777" w:rsidR="00E93F58" w:rsidRPr="00A35C95" w:rsidRDefault="00E93F58" w:rsidP="00366AB5">
      <w:pPr>
        <w:pStyle w:val="paragraphsub"/>
        <w:tabs>
          <w:tab w:val="left" w:pos="2835"/>
        </w:tabs>
      </w:pPr>
      <w:r w:rsidRPr="00A35C95">
        <w:tab/>
        <w:t>(vi)</w:t>
      </w:r>
      <w:r w:rsidRPr="00A35C95">
        <w:tab/>
        <w:t>a body corporate in which a person of a kind mentioned in subparagraph (i), (iii) or (iv) has, or 2 or more such persons together have, a controlling interest; or</w:t>
      </w:r>
    </w:p>
    <w:p w14:paraId="3AAC28D2" w14:textId="77777777" w:rsidR="00E93F58" w:rsidRPr="00A35C95" w:rsidRDefault="00E93F58" w:rsidP="00366AB5">
      <w:pPr>
        <w:pStyle w:val="paragraphsub"/>
        <w:tabs>
          <w:tab w:val="left" w:pos="2835"/>
        </w:tabs>
      </w:pPr>
      <w:r w:rsidRPr="00A35C95">
        <w:tab/>
        <w:t>(vii)</w:t>
      </w:r>
      <w:r w:rsidRPr="00A35C95">
        <w:tab/>
        <w:t>a person who is a participant of the licensed CS facility operated by ACH.</w:t>
      </w:r>
    </w:p>
    <w:p w14:paraId="79A6D016" w14:textId="77777777" w:rsidR="00E93F58" w:rsidRPr="00A35C95" w:rsidRDefault="00E93F58" w:rsidP="00366AB5">
      <w:pPr>
        <w:pStyle w:val="subsection"/>
        <w:tabs>
          <w:tab w:val="left" w:pos="2835"/>
        </w:tabs>
      </w:pPr>
      <w:r w:rsidRPr="00A35C95">
        <w:rPr>
          <w:color w:val="000000"/>
        </w:rPr>
        <w:tab/>
        <w:t>(2)</w:t>
      </w:r>
      <w:r w:rsidRPr="00A35C95">
        <w:rPr>
          <w:color w:val="000000"/>
        </w:rPr>
        <w:tab/>
        <w:t>A reference in subregulation (1)</w:t>
      </w:r>
      <w:r w:rsidRPr="00A35C95">
        <w:t xml:space="preserve"> or (1A)</w:t>
      </w:r>
      <w:r w:rsidRPr="00A35C95">
        <w:rPr>
          <w:color w:val="000000"/>
        </w:rPr>
        <w:t xml:space="preserve"> to a relative of a person includes a reference to a relative of the spouse (if any) of the person.</w:t>
      </w:r>
    </w:p>
    <w:p w14:paraId="0F89C6FE" w14:textId="77777777" w:rsidR="00E93F58" w:rsidRPr="00A35C95" w:rsidRDefault="00E93F58" w:rsidP="00366AB5">
      <w:pPr>
        <w:pStyle w:val="subsection"/>
        <w:tabs>
          <w:tab w:val="left" w:pos="2835"/>
        </w:tabs>
      </w:pPr>
      <w:r w:rsidRPr="00A35C95">
        <w:tab/>
        <w:t>(3)</w:t>
      </w:r>
      <w:r w:rsidRPr="00A35C95">
        <w:tab/>
        <w:t>A reference in subregulation (1) or (1A) to an officer of a body corporate is a reference to:</w:t>
      </w:r>
    </w:p>
    <w:p w14:paraId="33A3C070" w14:textId="77777777" w:rsidR="00E93F58" w:rsidRPr="00A35C95" w:rsidRDefault="00E93F58" w:rsidP="00366AB5">
      <w:pPr>
        <w:pStyle w:val="paragraph"/>
        <w:tabs>
          <w:tab w:val="left" w:pos="2835"/>
        </w:tabs>
      </w:pPr>
      <w:r w:rsidRPr="00A35C95">
        <w:rPr>
          <w:color w:val="000000"/>
        </w:rPr>
        <w:tab/>
        <w:t>(a)</w:t>
      </w:r>
      <w:r w:rsidRPr="00A35C95">
        <w:rPr>
          <w:color w:val="000000"/>
        </w:rPr>
        <w:tab/>
        <w:t>a director, secretary or executive officer of the body corporate; or</w:t>
      </w:r>
    </w:p>
    <w:p w14:paraId="2C1A4B13" w14:textId="77777777" w:rsidR="00E93F58" w:rsidRPr="00A35C95" w:rsidRDefault="00E93F58" w:rsidP="00366AB5">
      <w:pPr>
        <w:pStyle w:val="paragraph"/>
        <w:tabs>
          <w:tab w:val="left" w:pos="2835"/>
        </w:tabs>
      </w:pPr>
      <w:r w:rsidRPr="00A35C95">
        <w:tab/>
        <w:t>(b)</w:t>
      </w:r>
      <w:r w:rsidRPr="00A35C95">
        <w:tab/>
        <w:t xml:space="preserve">a person who is an officer of the body corporate by virtue of paragraph (b), (c), (d) or (e) of the definition of </w:t>
      </w:r>
      <w:r w:rsidRPr="00A35C95">
        <w:rPr>
          <w:b/>
          <w:i/>
        </w:rPr>
        <w:t>officer</w:t>
      </w:r>
      <w:r w:rsidRPr="00A35C95">
        <w:t xml:space="preserve"> in section 9 of the Act.</w:t>
      </w:r>
    </w:p>
    <w:p w14:paraId="07BEEF33" w14:textId="77777777" w:rsidR="00E93F58" w:rsidRPr="00A35C95" w:rsidRDefault="00E93F58" w:rsidP="00366AB5">
      <w:pPr>
        <w:pStyle w:val="ActHead5"/>
        <w:tabs>
          <w:tab w:val="left" w:pos="2835"/>
        </w:tabs>
      </w:pPr>
      <w:bookmarkStart w:id="696" w:name="_Toc152057922"/>
      <w:bookmarkStart w:id="697" w:name="_Toc158712145"/>
      <w:r w:rsidRPr="00844D11">
        <w:rPr>
          <w:rStyle w:val="CharSectno"/>
        </w:rPr>
        <w:t>7.5.06</w:t>
      </w:r>
      <w:r w:rsidRPr="00A35C95">
        <w:rPr>
          <w:sz w:val="16"/>
        </w:rPr>
        <w:t xml:space="preserve">  </w:t>
      </w:r>
      <w:r w:rsidRPr="00A35C95">
        <w:t xml:space="preserve">Meaning of </w:t>
      </w:r>
      <w:r w:rsidRPr="00A35C95">
        <w:rPr>
          <w:i/>
        </w:rPr>
        <w:t>sale and purchase of securities</w:t>
      </w:r>
      <w:bookmarkEnd w:id="696"/>
      <w:bookmarkEnd w:id="697"/>
    </w:p>
    <w:p w14:paraId="42EB1C18" w14:textId="77777777" w:rsidR="00E93F58" w:rsidRPr="00A35C95" w:rsidRDefault="00E93F58" w:rsidP="00366AB5">
      <w:pPr>
        <w:pStyle w:val="subsection"/>
        <w:tabs>
          <w:tab w:val="left" w:pos="2835"/>
        </w:tabs>
      </w:pPr>
      <w:r w:rsidRPr="00A35C95">
        <w:tab/>
        <w:t>(1)</w:t>
      </w:r>
      <w:r w:rsidRPr="00A35C95">
        <w:tab/>
        <w:t xml:space="preserve">A </w:t>
      </w:r>
      <w:r w:rsidRPr="00A35C95">
        <w:rPr>
          <w:b/>
          <w:i/>
        </w:rPr>
        <w:t>sale and purchase of securities</w:t>
      </w:r>
      <w:r w:rsidRPr="00A35C95">
        <w:t xml:space="preserve"> are taken to consist of 2 distinct transactions:</w:t>
      </w:r>
    </w:p>
    <w:p w14:paraId="50A190C5" w14:textId="77777777" w:rsidR="00E93F58" w:rsidRPr="00A35C95" w:rsidRDefault="00E93F58" w:rsidP="00366AB5">
      <w:pPr>
        <w:pStyle w:val="paragraph"/>
        <w:tabs>
          <w:tab w:val="left" w:pos="2835"/>
        </w:tabs>
      </w:pPr>
      <w:r w:rsidRPr="00A35C95">
        <w:rPr>
          <w:color w:val="000000"/>
        </w:rPr>
        <w:tab/>
        <w:t>(a)</w:t>
      </w:r>
      <w:r w:rsidRPr="00A35C95">
        <w:rPr>
          <w:color w:val="000000"/>
        </w:rPr>
        <w:tab/>
        <w:t>the sale of the securities by the seller to the buyer; and</w:t>
      </w:r>
    </w:p>
    <w:p w14:paraId="613BBD6A" w14:textId="77777777" w:rsidR="00E93F58" w:rsidRPr="00A35C95" w:rsidRDefault="00E93F58" w:rsidP="00366AB5">
      <w:pPr>
        <w:pStyle w:val="paragraph"/>
        <w:tabs>
          <w:tab w:val="left" w:pos="2835"/>
        </w:tabs>
      </w:pPr>
      <w:r w:rsidRPr="00A35C95">
        <w:tab/>
        <w:t>(b)</w:t>
      </w:r>
      <w:r w:rsidRPr="00A35C95">
        <w:tab/>
        <w:t>the purchase of the securities by the buyer from the seller.</w:t>
      </w:r>
    </w:p>
    <w:p w14:paraId="4BDE8245" w14:textId="77777777" w:rsidR="00E93F58" w:rsidRPr="00A35C95" w:rsidRDefault="00E93F58" w:rsidP="00366AB5">
      <w:pPr>
        <w:pStyle w:val="subsection"/>
        <w:tabs>
          <w:tab w:val="left" w:pos="2835"/>
        </w:tabs>
      </w:pPr>
      <w:r w:rsidRPr="00A35C95">
        <w:rPr>
          <w:color w:val="000000"/>
        </w:rPr>
        <w:tab/>
        <w:t>(2)</w:t>
      </w:r>
      <w:r w:rsidRPr="00A35C95">
        <w:rPr>
          <w:color w:val="000000"/>
        </w:rPr>
        <w:tab/>
        <w:t>Except so far as the contrary intention appears, a reference in this Part to a sale, or to a purchase, includes a reference to a sale or purchase the agreement for which is made outside this jurisdiction.</w:t>
      </w:r>
    </w:p>
    <w:p w14:paraId="32386716" w14:textId="77777777" w:rsidR="00E93F58" w:rsidRPr="00A35C95" w:rsidRDefault="00E93F58" w:rsidP="00366AB5">
      <w:pPr>
        <w:pStyle w:val="subsection"/>
        <w:tabs>
          <w:tab w:val="left" w:pos="2835"/>
        </w:tabs>
      </w:pPr>
      <w:r w:rsidRPr="00A35C95">
        <w:tab/>
        <w:t>(3)</w:t>
      </w:r>
      <w:r w:rsidRPr="00A35C95">
        <w:tab/>
        <w:t>For this Part, an agreement to buy or sell securities, because of the exercise of an option contract over securities, if:</w:t>
      </w:r>
    </w:p>
    <w:p w14:paraId="38D77E8D" w14:textId="77777777" w:rsidR="00E93F58" w:rsidRPr="00A35C95" w:rsidRDefault="00E93F58" w:rsidP="00366AB5">
      <w:pPr>
        <w:pStyle w:val="paragraph"/>
        <w:tabs>
          <w:tab w:val="left" w:pos="2835"/>
        </w:tabs>
      </w:pPr>
      <w:r w:rsidRPr="00A35C95">
        <w:tab/>
        <w:t>(a)</w:t>
      </w:r>
      <w:r w:rsidRPr="00A35C95">
        <w:tab/>
        <w:t>the option contract was entered into on the financial market of a participating market licensee; and</w:t>
      </w:r>
    </w:p>
    <w:p w14:paraId="3E1EAC9B" w14:textId="77777777" w:rsidR="00E93F58" w:rsidRPr="00A35C95" w:rsidRDefault="00E93F58" w:rsidP="00366AB5">
      <w:pPr>
        <w:pStyle w:val="paragraph"/>
        <w:tabs>
          <w:tab w:val="left" w:pos="2835"/>
        </w:tabs>
      </w:pPr>
      <w:r w:rsidRPr="00A35C95">
        <w:tab/>
        <w:t>(b)</w:t>
      </w:r>
      <w:r w:rsidRPr="00A35C95">
        <w:tab/>
        <w:t>the agreement is required, by the operating rules of ACH or the participating market licensee, to be reported to the participating market licensee;</w:t>
      </w:r>
    </w:p>
    <w:p w14:paraId="39D097CA" w14:textId="77777777" w:rsidR="00E93F58" w:rsidRPr="00A35C95" w:rsidRDefault="00E93F58" w:rsidP="00366AB5">
      <w:pPr>
        <w:pStyle w:val="subsection2"/>
        <w:tabs>
          <w:tab w:val="left" w:pos="2835"/>
        </w:tabs>
      </w:pPr>
      <w:r w:rsidRPr="00A35C95">
        <w:t xml:space="preserve">is taken to be a </w:t>
      </w:r>
      <w:r w:rsidRPr="00A35C95">
        <w:rPr>
          <w:b/>
          <w:bCs/>
          <w:i/>
          <w:iCs/>
        </w:rPr>
        <w:t>sale and purchase of securities</w:t>
      </w:r>
      <w:r w:rsidRPr="00A35C95">
        <w:t>.</w:t>
      </w:r>
    </w:p>
    <w:p w14:paraId="125C064A" w14:textId="77777777" w:rsidR="00E93F58" w:rsidRPr="00A35C95" w:rsidRDefault="00E93F58" w:rsidP="00366AB5">
      <w:pPr>
        <w:pStyle w:val="ActHead5"/>
        <w:tabs>
          <w:tab w:val="left" w:pos="2835"/>
        </w:tabs>
      </w:pPr>
      <w:bookmarkStart w:id="698" w:name="_Toc152057923"/>
      <w:bookmarkStart w:id="699" w:name="_Toc158712146"/>
      <w:r w:rsidRPr="00844D11">
        <w:rPr>
          <w:rStyle w:val="CharSectno"/>
        </w:rPr>
        <w:t>7.5.07</w:t>
      </w:r>
      <w:r w:rsidRPr="00A35C95">
        <w:rPr>
          <w:sz w:val="16"/>
        </w:rPr>
        <w:t xml:space="preserve">  </w:t>
      </w:r>
      <w:r w:rsidRPr="00A35C95">
        <w:t xml:space="preserve">Meaning of </w:t>
      </w:r>
      <w:r w:rsidRPr="00A35C95">
        <w:rPr>
          <w:i/>
        </w:rPr>
        <w:t>securities business</w:t>
      </w:r>
      <w:r w:rsidRPr="00A35C95">
        <w:t>: general</w:t>
      </w:r>
      <w:bookmarkEnd w:id="698"/>
      <w:bookmarkEnd w:id="699"/>
    </w:p>
    <w:p w14:paraId="6F69F98E"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For this Part (other than </w:t>
      </w:r>
      <w:r w:rsidRPr="00A35C95">
        <w:t>Subdivision 4.9),</w:t>
      </w:r>
      <w:r w:rsidRPr="00A35C95">
        <w:rPr>
          <w:color w:val="000000"/>
        </w:rPr>
        <w:t xml:space="preserve"> a </w:t>
      </w:r>
      <w:r w:rsidRPr="00A35C95">
        <w:rPr>
          <w:b/>
          <w:i/>
          <w:color w:val="000000"/>
        </w:rPr>
        <w:t>securities business</w:t>
      </w:r>
      <w:r w:rsidRPr="00A35C95">
        <w:rPr>
          <w:color w:val="000000"/>
        </w:rPr>
        <w:t xml:space="preserve"> is a financial services business of dealing in securities.</w:t>
      </w:r>
    </w:p>
    <w:p w14:paraId="4F97B106" w14:textId="77777777" w:rsidR="00E93F58" w:rsidRPr="00A35C95" w:rsidRDefault="00E93F58" w:rsidP="00366AB5">
      <w:pPr>
        <w:pStyle w:val="subsection"/>
        <w:tabs>
          <w:tab w:val="left" w:pos="2835"/>
        </w:tabs>
      </w:pPr>
      <w:r w:rsidRPr="00A35C95">
        <w:rPr>
          <w:color w:val="000000"/>
        </w:rPr>
        <w:tab/>
        <w:t>(2)</w:t>
      </w:r>
      <w:r w:rsidRPr="00A35C95">
        <w:rPr>
          <w:color w:val="000000"/>
        </w:rPr>
        <w:tab/>
        <w:t>Subregulations (4), (5) and (6) apply for the purposes of determining:</w:t>
      </w:r>
    </w:p>
    <w:p w14:paraId="096F1783" w14:textId="77777777" w:rsidR="00E93F58" w:rsidRPr="00A35C95" w:rsidRDefault="00E93F58" w:rsidP="00366AB5">
      <w:pPr>
        <w:pStyle w:val="paragraph"/>
        <w:tabs>
          <w:tab w:val="left" w:pos="2835"/>
        </w:tabs>
      </w:pPr>
      <w:r w:rsidRPr="00A35C95">
        <w:rPr>
          <w:color w:val="000000"/>
        </w:rPr>
        <w:tab/>
        <w:t>(a)</w:t>
      </w:r>
      <w:r w:rsidRPr="00A35C95">
        <w:rPr>
          <w:color w:val="000000"/>
        </w:rPr>
        <w:tab/>
        <w:t>whether or not a person carries on, or holds himself, herself or itself out as carrying on, a securities business; and</w:t>
      </w:r>
    </w:p>
    <w:p w14:paraId="05E5B863" w14:textId="77777777" w:rsidR="00E93F58" w:rsidRPr="00A35C95" w:rsidRDefault="00E93F58" w:rsidP="00366AB5">
      <w:pPr>
        <w:pStyle w:val="paragraph"/>
        <w:tabs>
          <w:tab w:val="left" w:pos="2835"/>
        </w:tabs>
      </w:pPr>
      <w:r w:rsidRPr="00A35C95">
        <w:tab/>
        <w:t>(b)</w:t>
      </w:r>
      <w:r w:rsidRPr="00A35C95">
        <w:tab/>
        <w:t>what constitutes such a business carried on by a person.</w:t>
      </w:r>
    </w:p>
    <w:p w14:paraId="58DF5F7E" w14:textId="77777777" w:rsidR="00E93F58" w:rsidRPr="00A35C95" w:rsidRDefault="00E93F58" w:rsidP="00366AB5">
      <w:pPr>
        <w:pStyle w:val="subsection"/>
        <w:tabs>
          <w:tab w:val="left" w:pos="2835"/>
        </w:tabs>
      </w:pPr>
      <w:r w:rsidRPr="00A35C95">
        <w:rPr>
          <w:color w:val="000000"/>
        </w:rPr>
        <w:tab/>
        <w:t>(3)</w:t>
      </w:r>
      <w:r w:rsidRPr="00A35C95">
        <w:rPr>
          <w:color w:val="000000"/>
        </w:rPr>
        <w:tab/>
        <w:t>Subregulation (6) also applies for the purposes of determining whether or not a person deals in securities.</w:t>
      </w:r>
    </w:p>
    <w:p w14:paraId="0C5F4117" w14:textId="77777777" w:rsidR="00E93F58" w:rsidRPr="00A35C95" w:rsidRDefault="00E93F58" w:rsidP="00366AB5">
      <w:pPr>
        <w:pStyle w:val="subsection"/>
        <w:tabs>
          <w:tab w:val="left" w:pos="2835"/>
        </w:tabs>
      </w:pPr>
      <w:r w:rsidRPr="00A35C95">
        <w:tab/>
        <w:t>(4)</w:t>
      </w:r>
      <w:r w:rsidRPr="00A35C95">
        <w:tab/>
        <w:t>An act done on behalf of the person by:</w:t>
      </w:r>
    </w:p>
    <w:p w14:paraId="3D50BA71" w14:textId="77777777" w:rsidR="00E93F58" w:rsidRPr="00A35C95" w:rsidRDefault="00E93F58" w:rsidP="00366AB5">
      <w:pPr>
        <w:pStyle w:val="paragraph"/>
        <w:tabs>
          <w:tab w:val="left" w:pos="2835"/>
        </w:tabs>
      </w:pPr>
      <w:r w:rsidRPr="00A35C95">
        <w:tab/>
        <w:t>(a)</w:t>
      </w:r>
      <w:r w:rsidRPr="00A35C95">
        <w:tab/>
        <w:t>the holder of a dealers licence; or</w:t>
      </w:r>
    </w:p>
    <w:p w14:paraId="5D0D4589" w14:textId="77777777" w:rsidR="00E93F58" w:rsidRPr="00A35C95" w:rsidRDefault="00E93F58" w:rsidP="00366AB5">
      <w:pPr>
        <w:pStyle w:val="paragraph"/>
        <w:tabs>
          <w:tab w:val="left" w:pos="2835"/>
        </w:tabs>
      </w:pPr>
      <w:r w:rsidRPr="00A35C95">
        <w:tab/>
        <w:t>(b)</w:t>
      </w:r>
      <w:r w:rsidRPr="00A35C95">
        <w:tab/>
        <w:t>an exempt dealer; or</w:t>
      </w:r>
    </w:p>
    <w:p w14:paraId="6131735B" w14:textId="77777777" w:rsidR="00E93F58" w:rsidRPr="00A35C95" w:rsidRDefault="00E93F58" w:rsidP="00366AB5">
      <w:pPr>
        <w:pStyle w:val="paragraph"/>
        <w:tabs>
          <w:tab w:val="left" w:pos="2835"/>
        </w:tabs>
      </w:pPr>
      <w:r w:rsidRPr="00A35C95">
        <w:tab/>
        <w:t>(c)</w:t>
      </w:r>
      <w:r w:rsidRPr="00A35C95">
        <w:tab/>
        <w:t>the holder of an Australian financial services licence; or</w:t>
      </w:r>
    </w:p>
    <w:p w14:paraId="41235B0D" w14:textId="77777777" w:rsidR="00E93F58" w:rsidRPr="00A35C95" w:rsidRDefault="00E93F58" w:rsidP="00366AB5">
      <w:pPr>
        <w:pStyle w:val="paragraph"/>
        <w:tabs>
          <w:tab w:val="left" w:pos="2835"/>
        </w:tabs>
      </w:pPr>
      <w:r w:rsidRPr="00A35C95">
        <w:tab/>
        <w:t>(d)</w:t>
      </w:r>
      <w:r w:rsidRPr="00A35C95">
        <w:tab/>
        <w:t>a person who is exempted from holding an Australian financial services licence by virtue of subsection 911A(2), (2A), (2B), (2C), (2D) or (2E) of the Act;</w:t>
      </w:r>
    </w:p>
    <w:p w14:paraId="0468D845" w14:textId="77777777" w:rsidR="00E93F58" w:rsidRPr="00A35C95" w:rsidRDefault="00E93F58" w:rsidP="00366AB5">
      <w:pPr>
        <w:pStyle w:val="subsection2"/>
        <w:tabs>
          <w:tab w:val="left" w:pos="2835"/>
        </w:tabs>
      </w:pPr>
      <w:r w:rsidRPr="00A35C95">
        <w:t>must be disregarded.</w:t>
      </w:r>
    </w:p>
    <w:p w14:paraId="453D7AAD" w14:textId="77777777" w:rsidR="00E93F58" w:rsidRPr="00A35C95" w:rsidRDefault="00E93F58" w:rsidP="00366AB5">
      <w:pPr>
        <w:pStyle w:val="subsection"/>
        <w:tabs>
          <w:tab w:val="left" w:pos="2835"/>
        </w:tabs>
      </w:pPr>
      <w:r w:rsidRPr="00A35C95">
        <w:rPr>
          <w:color w:val="000000"/>
        </w:rPr>
        <w:lastRenderedPageBreak/>
        <w:tab/>
        <w:t>(5)</w:t>
      </w:r>
      <w:r w:rsidRPr="00A35C95">
        <w:rPr>
          <w:color w:val="000000"/>
        </w:rPr>
        <w:tab/>
        <w:t>An act that the person does:</w:t>
      </w:r>
    </w:p>
    <w:p w14:paraId="62980DBF" w14:textId="77777777" w:rsidR="00E93F58" w:rsidRPr="00A35C95" w:rsidRDefault="00E93F58" w:rsidP="00366AB5">
      <w:pPr>
        <w:pStyle w:val="paragraph"/>
        <w:tabs>
          <w:tab w:val="left" w:pos="2835"/>
        </w:tabs>
      </w:pPr>
      <w:r w:rsidRPr="00A35C95">
        <w:rPr>
          <w:color w:val="000000"/>
        </w:rPr>
        <w:tab/>
        <w:t>(a)</w:t>
      </w:r>
      <w:r w:rsidRPr="00A35C95">
        <w:rPr>
          <w:color w:val="000000"/>
        </w:rPr>
        <w:tab/>
        <w:t>while employed by, or acting for or by arrangement with, a dealer; and</w:t>
      </w:r>
    </w:p>
    <w:p w14:paraId="7E543C7D" w14:textId="77777777" w:rsidR="00E93F58" w:rsidRPr="00A35C95" w:rsidRDefault="00E93F58" w:rsidP="00366AB5">
      <w:pPr>
        <w:pStyle w:val="paragraph"/>
        <w:tabs>
          <w:tab w:val="left" w:pos="2835"/>
        </w:tabs>
      </w:pPr>
      <w:r w:rsidRPr="00A35C95">
        <w:tab/>
        <w:t>(b)</w:t>
      </w:r>
      <w:r w:rsidRPr="00A35C95">
        <w:tab/>
        <w:t>as an employee or agent of, or otherwise on behalf of, on account of, or for the benefit of, the dealer; and</w:t>
      </w:r>
    </w:p>
    <w:p w14:paraId="00A17B07" w14:textId="77777777" w:rsidR="00E93F58" w:rsidRPr="00A35C95" w:rsidRDefault="00E93F58" w:rsidP="00366AB5">
      <w:pPr>
        <w:pStyle w:val="paragraph"/>
        <w:tabs>
          <w:tab w:val="left" w:pos="2835"/>
        </w:tabs>
      </w:pPr>
      <w:r w:rsidRPr="00A35C95">
        <w:tab/>
        <w:t>(c)</w:t>
      </w:r>
      <w:r w:rsidRPr="00A35C95">
        <w:tab/>
        <w:t>in connection with a securities business carried on by the dealer;</w:t>
      </w:r>
    </w:p>
    <w:p w14:paraId="4DF97982" w14:textId="77777777" w:rsidR="00E93F58" w:rsidRPr="00A35C95" w:rsidRDefault="00E93F58" w:rsidP="00366AB5">
      <w:pPr>
        <w:pStyle w:val="subsection2"/>
        <w:tabs>
          <w:tab w:val="left" w:pos="2835"/>
        </w:tabs>
      </w:pPr>
      <w:r w:rsidRPr="00A35C95">
        <w:rPr>
          <w:color w:val="000000"/>
        </w:rPr>
        <w:t>is to be disregarded.</w:t>
      </w:r>
    </w:p>
    <w:p w14:paraId="76B75261" w14:textId="77777777" w:rsidR="00E93F58" w:rsidRPr="00A35C95" w:rsidRDefault="00E93F58" w:rsidP="00366AB5">
      <w:pPr>
        <w:pStyle w:val="subsection"/>
        <w:tabs>
          <w:tab w:val="left" w:pos="2835"/>
        </w:tabs>
      </w:pPr>
      <w:r w:rsidRPr="00A35C95">
        <w:rPr>
          <w:color w:val="000000"/>
        </w:rPr>
        <w:tab/>
        <w:t>(6)</w:t>
      </w:r>
      <w:r w:rsidRPr="00A35C95">
        <w:rPr>
          <w:color w:val="000000"/>
        </w:rPr>
        <w:tab/>
        <w:t>An act or acts done by the person that constitutes or together constitute a dealing by the person in a futures contract (within the meaning of the old Corporations Act) is or are to be disregarded.</w:t>
      </w:r>
    </w:p>
    <w:p w14:paraId="71E05CF4" w14:textId="77777777" w:rsidR="00E93F58" w:rsidRPr="00A35C95" w:rsidRDefault="00E93F58" w:rsidP="00366AB5">
      <w:pPr>
        <w:pStyle w:val="ActHead5"/>
        <w:tabs>
          <w:tab w:val="left" w:pos="2835"/>
        </w:tabs>
      </w:pPr>
      <w:bookmarkStart w:id="700" w:name="_Toc152057924"/>
      <w:bookmarkStart w:id="701" w:name="_Toc158712147"/>
      <w:r w:rsidRPr="00844D11">
        <w:rPr>
          <w:rStyle w:val="CharSectno"/>
        </w:rPr>
        <w:t>7.5.08</w:t>
      </w:r>
      <w:r w:rsidRPr="00A35C95">
        <w:rPr>
          <w:sz w:val="16"/>
        </w:rPr>
        <w:t xml:space="preserve">  </w:t>
      </w:r>
      <w:r w:rsidRPr="00A35C95">
        <w:t xml:space="preserve">Meaning of </w:t>
      </w:r>
      <w:r w:rsidRPr="00A35C95">
        <w:rPr>
          <w:i/>
        </w:rPr>
        <w:t>securities business</w:t>
      </w:r>
      <w:r w:rsidRPr="00A35C95">
        <w:t>: Subdivision 4.9</w:t>
      </w:r>
      <w:bookmarkEnd w:id="700"/>
      <w:bookmarkEnd w:id="701"/>
    </w:p>
    <w:p w14:paraId="475AF773" w14:textId="77777777" w:rsidR="00E93F58" w:rsidRPr="00A35C95" w:rsidRDefault="00E93F58" w:rsidP="00366AB5">
      <w:pPr>
        <w:pStyle w:val="subsection"/>
        <w:tabs>
          <w:tab w:val="left" w:pos="2835"/>
        </w:tabs>
      </w:pPr>
      <w:r w:rsidRPr="00A35C95">
        <w:tab/>
      </w:r>
      <w:r w:rsidRPr="00A35C95">
        <w:tab/>
        <w:t xml:space="preserve">For Subdivision 4.9, each of the following is a </w:t>
      </w:r>
      <w:r w:rsidRPr="00A35C95">
        <w:rPr>
          <w:b/>
          <w:i/>
        </w:rPr>
        <w:t>securities business</w:t>
      </w:r>
      <w:r w:rsidRPr="00A35C95">
        <w:t>:</w:t>
      </w:r>
    </w:p>
    <w:p w14:paraId="07D3C588" w14:textId="77777777" w:rsidR="00E93F58" w:rsidRPr="00A35C95" w:rsidRDefault="00E93F58" w:rsidP="00366AB5">
      <w:pPr>
        <w:pStyle w:val="paragraph"/>
        <w:tabs>
          <w:tab w:val="left" w:pos="2835"/>
        </w:tabs>
      </w:pPr>
      <w:r w:rsidRPr="00A35C95">
        <w:rPr>
          <w:color w:val="000000"/>
        </w:rPr>
        <w:tab/>
        <w:t>(a)</w:t>
      </w:r>
      <w:r w:rsidRPr="00A35C95">
        <w:rPr>
          <w:color w:val="000000"/>
        </w:rPr>
        <w:tab/>
        <w:t>a financial services business of dealing in securities;</w:t>
      </w:r>
    </w:p>
    <w:p w14:paraId="624DA235" w14:textId="77777777" w:rsidR="00E93F58" w:rsidRPr="00A35C95" w:rsidRDefault="00E93F58" w:rsidP="00366AB5">
      <w:pPr>
        <w:pStyle w:val="paragraph"/>
        <w:tabs>
          <w:tab w:val="left" w:pos="2835"/>
        </w:tabs>
      </w:pPr>
      <w:r w:rsidRPr="00A35C95">
        <w:tab/>
        <w:t>(b)</w:t>
      </w:r>
      <w:r w:rsidRPr="00A35C95">
        <w:tab/>
        <w:t>a financial services business of dealing in financial products that were option contracts within the meaning of paragraph 92(1)(e) of the old Corporations Act.</w:t>
      </w:r>
    </w:p>
    <w:p w14:paraId="5754C71C" w14:textId="77777777" w:rsidR="00E93F58" w:rsidRPr="00A35C95" w:rsidRDefault="00E93F58" w:rsidP="00366AB5">
      <w:pPr>
        <w:pStyle w:val="ActHead5"/>
        <w:tabs>
          <w:tab w:val="left" w:pos="2835"/>
        </w:tabs>
      </w:pPr>
      <w:bookmarkStart w:id="702" w:name="_Toc152057925"/>
      <w:bookmarkStart w:id="703" w:name="_Toc158712148"/>
      <w:r w:rsidRPr="00844D11">
        <w:rPr>
          <w:rStyle w:val="CharSectno"/>
        </w:rPr>
        <w:t>7.5.09</w:t>
      </w:r>
      <w:r w:rsidRPr="00A35C95">
        <w:rPr>
          <w:sz w:val="16"/>
        </w:rPr>
        <w:t xml:space="preserve">  </w:t>
      </w:r>
      <w:r w:rsidRPr="00A35C95">
        <w:t xml:space="preserve">Meaning of </w:t>
      </w:r>
      <w:r w:rsidRPr="00A35C95">
        <w:rPr>
          <w:i/>
        </w:rPr>
        <w:t>security</w:t>
      </w:r>
      <w:bookmarkEnd w:id="702"/>
      <w:bookmarkEnd w:id="703"/>
    </w:p>
    <w:p w14:paraId="6A6760AD" w14:textId="77777777" w:rsidR="00E93F58" w:rsidRPr="00A35C95" w:rsidRDefault="00E93F58" w:rsidP="00366AB5">
      <w:pPr>
        <w:pStyle w:val="subsection"/>
        <w:tabs>
          <w:tab w:val="left" w:pos="2835"/>
        </w:tabs>
      </w:pPr>
      <w:r w:rsidRPr="00A35C95">
        <w:tab/>
        <w:t>(1)</w:t>
      </w:r>
      <w:r w:rsidRPr="00A35C95">
        <w:tab/>
        <w:t xml:space="preserve">For this Part (other than Subdivision 4.7), each of the following is a </w:t>
      </w:r>
      <w:r w:rsidRPr="00A35C95">
        <w:rPr>
          <w:b/>
          <w:i/>
        </w:rPr>
        <w:t>security</w:t>
      </w:r>
      <w:r w:rsidRPr="00A35C95">
        <w:t>:</w:t>
      </w:r>
    </w:p>
    <w:p w14:paraId="1AF4AF15" w14:textId="77777777" w:rsidR="00E93F58" w:rsidRPr="00A35C95" w:rsidRDefault="00E93F58" w:rsidP="00366AB5">
      <w:pPr>
        <w:pStyle w:val="paragraph"/>
        <w:tabs>
          <w:tab w:val="left" w:pos="2835"/>
        </w:tabs>
      </w:pPr>
      <w:r w:rsidRPr="00A35C95">
        <w:rPr>
          <w:color w:val="000000"/>
        </w:rPr>
        <w:tab/>
        <w:t>(a)</w:t>
      </w:r>
      <w:r w:rsidRPr="00A35C95">
        <w:rPr>
          <w:color w:val="000000"/>
        </w:rPr>
        <w:tab/>
        <w:t>a security mentioned in section 761A of the Act;</w:t>
      </w:r>
    </w:p>
    <w:p w14:paraId="37ED7120" w14:textId="77777777" w:rsidR="00E93F58" w:rsidRPr="00A35C95" w:rsidRDefault="00E93F58" w:rsidP="00366AB5">
      <w:pPr>
        <w:pStyle w:val="paragraph"/>
        <w:tabs>
          <w:tab w:val="left" w:pos="2835"/>
        </w:tabs>
      </w:pPr>
      <w:r w:rsidRPr="00A35C95">
        <w:tab/>
        <w:t>(b)</w:t>
      </w:r>
      <w:r w:rsidRPr="00A35C95">
        <w:tab/>
        <w:t>Division 3 securities;</w:t>
      </w:r>
    </w:p>
    <w:p w14:paraId="2B19B0D1" w14:textId="77777777" w:rsidR="00E93F58" w:rsidRPr="00A35C95" w:rsidRDefault="00E93F58" w:rsidP="00366AB5">
      <w:pPr>
        <w:pStyle w:val="paragraph"/>
        <w:tabs>
          <w:tab w:val="left" w:pos="2835"/>
        </w:tabs>
      </w:pPr>
      <w:r w:rsidRPr="00A35C95">
        <w:tab/>
        <w:t>(c)</w:t>
      </w:r>
      <w:r w:rsidRPr="00A35C95">
        <w:tab/>
        <w:t>non</w:t>
      </w:r>
      <w:r>
        <w:noBreakHyphen/>
      </w:r>
      <w:r w:rsidRPr="00A35C95">
        <w:t>Division 3 securities;</w:t>
      </w:r>
    </w:p>
    <w:p w14:paraId="13A113C0" w14:textId="77777777" w:rsidR="00E93F58" w:rsidRPr="00A35C95" w:rsidRDefault="00E93F58" w:rsidP="00366AB5">
      <w:pPr>
        <w:pStyle w:val="paragraph"/>
        <w:tabs>
          <w:tab w:val="left" w:pos="2835"/>
        </w:tabs>
      </w:pPr>
      <w:r w:rsidRPr="00A35C95">
        <w:tab/>
        <w:t>(d)</w:t>
      </w:r>
      <w:r w:rsidRPr="00A35C95">
        <w:tab/>
        <w:t>an interest in a notified foreign passport fund that is quoted on the financial market of the Australian Stock Exchange Limited;</w:t>
      </w:r>
    </w:p>
    <w:p w14:paraId="257F6DB7" w14:textId="77777777" w:rsidR="00E93F58" w:rsidRPr="00A35C95" w:rsidRDefault="00E93F58" w:rsidP="00366AB5">
      <w:pPr>
        <w:pStyle w:val="paragraph"/>
        <w:tabs>
          <w:tab w:val="left" w:pos="2835"/>
        </w:tabs>
      </w:pPr>
      <w:r w:rsidRPr="00A35C95">
        <w:tab/>
        <w:t>(e)</w:t>
      </w:r>
      <w:r w:rsidRPr="00A35C95">
        <w:tab/>
        <w:t>rights (whether existing or future, and whether contingent or not) to acquire, by way of issue, an interest referred to in paragraph (d) (whether or not on payment of any money or for any other consideration).</w:t>
      </w:r>
    </w:p>
    <w:p w14:paraId="24A0CB77" w14:textId="77777777" w:rsidR="00E93F58" w:rsidRPr="00A35C95" w:rsidRDefault="00E93F58" w:rsidP="00366AB5">
      <w:pPr>
        <w:pStyle w:val="subsection"/>
        <w:tabs>
          <w:tab w:val="left" w:pos="2835"/>
        </w:tabs>
      </w:pPr>
      <w:r w:rsidRPr="00A35C95">
        <w:tab/>
        <w:t>(2)</w:t>
      </w:r>
      <w:r w:rsidRPr="00A35C95">
        <w:tab/>
        <w:t xml:space="preserve">For Subdivision 4.7, each of the following is a </w:t>
      </w:r>
      <w:r w:rsidRPr="00A35C95">
        <w:rPr>
          <w:b/>
          <w:i/>
        </w:rPr>
        <w:t>security</w:t>
      </w:r>
      <w:r w:rsidRPr="00A35C95">
        <w:t>:</w:t>
      </w:r>
    </w:p>
    <w:p w14:paraId="47AA60BB" w14:textId="77777777" w:rsidR="00E93F58" w:rsidRPr="00A35C95" w:rsidRDefault="00E93F58" w:rsidP="00366AB5">
      <w:pPr>
        <w:pStyle w:val="paragraph"/>
        <w:tabs>
          <w:tab w:val="left" w:pos="2835"/>
        </w:tabs>
      </w:pPr>
      <w:r w:rsidRPr="00A35C95">
        <w:rPr>
          <w:color w:val="000000"/>
        </w:rPr>
        <w:tab/>
        <w:t>(a)</w:t>
      </w:r>
      <w:r w:rsidRPr="00A35C95">
        <w:rPr>
          <w:color w:val="000000"/>
        </w:rPr>
        <w:tab/>
        <w:t>Division 3 securities;</w:t>
      </w:r>
    </w:p>
    <w:p w14:paraId="6E4DD13A" w14:textId="77777777" w:rsidR="00E93F58" w:rsidRPr="00A35C95" w:rsidRDefault="00E93F58" w:rsidP="00366AB5">
      <w:pPr>
        <w:pStyle w:val="paragraph"/>
        <w:tabs>
          <w:tab w:val="left" w:pos="2835"/>
        </w:tabs>
      </w:pPr>
      <w:r w:rsidRPr="00A35C95">
        <w:tab/>
        <w:t>(b)</w:t>
      </w:r>
      <w:r w:rsidRPr="00A35C95">
        <w:tab/>
        <w:t>non</w:t>
      </w:r>
      <w:r>
        <w:noBreakHyphen/>
      </w:r>
      <w:r w:rsidRPr="00A35C95">
        <w:t>Division 3 securities;</w:t>
      </w:r>
    </w:p>
    <w:p w14:paraId="3A60A278" w14:textId="77777777" w:rsidR="00E93F58" w:rsidRPr="00A35C95" w:rsidRDefault="00E93F58" w:rsidP="00366AB5">
      <w:pPr>
        <w:pStyle w:val="paragraph"/>
        <w:tabs>
          <w:tab w:val="left" w:pos="2835"/>
        </w:tabs>
      </w:pPr>
      <w:r w:rsidRPr="00A35C95">
        <w:tab/>
        <w:t>(c)</w:t>
      </w:r>
      <w:r w:rsidRPr="00A35C95">
        <w:tab/>
        <w:t>an interest in a notified foreign passport fund that is quoted on the financial market of the Australian Stock Exchange Limited;</w:t>
      </w:r>
    </w:p>
    <w:p w14:paraId="2845ADF0" w14:textId="77777777" w:rsidR="00E93F58" w:rsidRPr="00A35C95" w:rsidRDefault="00E93F58" w:rsidP="00366AB5">
      <w:pPr>
        <w:pStyle w:val="paragraph"/>
        <w:tabs>
          <w:tab w:val="left" w:pos="2835"/>
        </w:tabs>
      </w:pPr>
      <w:r w:rsidRPr="00A35C95">
        <w:tab/>
        <w:t>(d)</w:t>
      </w:r>
      <w:r w:rsidRPr="00A35C95">
        <w:tab/>
        <w:t>rights (whether existing or future, and whether contingent or not) to acquire, by way of issue, an interest referred to in paragraph (c) (whether or not on payment of any money or for any other consideration).</w:t>
      </w:r>
    </w:p>
    <w:p w14:paraId="142E8996" w14:textId="77777777" w:rsidR="00E93F58" w:rsidRPr="00A35C95" w:rsidRDefault="00E93F58" w:rsidP="00366AB5">
      <w:pPr>
        <w:pStyle w:val="ActHead5"/>
        <w:tabs>
          <w:tab w:val="left" w:pos="2835"/>
        </w:tabs>
      </w:pPr>
      <w:bookmarkStart w:id="704" w:name="_Toc152057926"/>
      <w:bookmarkStart w:id="705" w:name="_Toc158712149"/>
      <w:r w:rsidRPr="00844D11">
        <w:rPr>
          <w:rStyle w:val="CharSectno"/>
        </w:rPr>
        <w:t>7.5.10</w:t>
      </w:r>
      <w:r w:rsidRPr="00A35C95">
        <w:rPr>
          <w:sz w:val="16"/>
        </w:rPr>
        <w:t xml:space="preserve">  </w:t>
      </w:r>
      <w:r w:rsidRPr="00A35C95">
        <w:t xml:space="preserve">Meaning of </w:t>
      </w:r>
      <w:r w:rsidRPr="00A35C95">
        <w:rPr>
          <w:i/>
        </w:rPr>
        <w:t>transfer of securities</w:t>
      </w:r>
      <w:bookmarkEnd w:id="704"/>
      <w:bookmarkEnd w:id="705"/>
    </w:p>
    <w:p w14:paraId="5860F836"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A </w:t>
      </w:r>
      <w:r w:rsidRPr="00A35C95">
        <w:rPr>
          <w:b/>
          <w:i/>
          <w:color w:val="000000"/>
        </w:rPr>
        <w:t>transfer of securities</w:t>
      </w:r>
      <w:r w:rsidRPr="00A35C95">
        <w:rPr>
          <w:color w:val="000000"/>
        </w:rPr>
        <w:t xml:space="preserve"> takes place between a person (the</w:t>
      </w:r>
      <w:r w:rsidRPr="00A35C95">
        <w:rPr>
          <w:i/>
          <w:color w:val="000000"/>
        </w:rPr>
        <w:t xml:space="preserve"> </w:t>
      </w:r>
      <w:r w:rsidRPr="00A35C95">
        <w:rPr>
          <w:b/>
          <w:i/>
          <w:color w:val="000000"/>
        </w:rPr>
        <w:t>transferor</w:t>
      </w:r>
      <w:r w:rsidRPr="00A35C95">
        <w:rPr>
          <w:color w:val="000000"/>
        </w:rPr>
        <w:t>) and another person (the</w:t>
      </w:r>
      <w:r w:rsidRPr="00A35C95">
        <w:rPr>
          <w:i/>
          <w:color w:val="000000"/>
        </w:rPr>
        <w:t xml:space="preserve"> </w:t>
      </w:r>
      <w:r w:rsidRPr="00A35C95">
        <w:rPr>
          <w:b/>
          <w:i/>
          <w:color w:val="000000"/>
        </w:rPr>
        <w:t>transferee</w:t>
      </w:r>
      <w:r w:rsidRPr="00A35C95">
        <w:rPr>
          <w:color w:val="000000"/>
        </w:rPr>
        <w:t>) only if:</w:t>
      </w:r>
    </w:p>
    <w:p w14:paraId="1B1F1CB7" w14:textId="77777777" w:rsidR="00E93F58" w:rsidRPr="00A35C95" w:rsidRDefault="00E93F58" w:rsidP="00366AB5">
      <w:pPr>
        <w:pStyle w:val="paragraph"/>
        <w:tabs>
          <w:tab w:val="left" w:pos="2835"/>
        </w:tabs>
      </w:pPr>
      <w:r w:rsidRPr="00A35C95">
        <w:rPr>
          <w:color w:val="000000"/>
        </w:rPr>
        <w:tab/>
        <w:t>(a)</w:t>
      </w:r>
      <w:r w:rsidRPr="00A35C95">
        <w:rPr>
          <w:color w:val="000000"/>
        </w:rPr>
        <w:tab/>
        <w:t>in the case of an ASTC</w:t>
      </w:r>
      <w:r>
        <w:rPr>
          <w:color w:val="000000"/>
        </w:rPr>
        <w:noBreakHyphen/>
      </w:r>
      <w:r w:rsidRPr="00A35C95">
        <w:rPr>
          <w:color w:val="000000"/>
        </w:rPr>
        <w:t>regulated transfer—the transferor does, or causes to be done, all things that the ASTC operating rules require to be done by or on behalf of the transferor to effect the transfer; or</w:t>
      </w:r>
    </w:p>
    <w:p w14:paraId="139D5DF1" w14:textId="77777777" w:rsidR="00E93F58" w:rsidRPr="00A35C95" w:rsidRDefault="00E93F58" w:rsidP="00366AB5">
      <w:pPr>
        <w:pStyle w:val="paragraph"/>
        <w:tabs>
          <w:tab w:val="left" w:pos="2835"/>
        </w:tabs>
      </w:pPr>
      <w:r w:rsidRPr="00A35C95">
        <w:tab/>
        <w:t>(b)</w:t>
      </w:r>
      <w:r w:rsidRPr="00A35C95">
        <w:tab/>
        <w:t>in any other case—the transferor delivers, or causes to be delivered, to the transferee documents (</w:t>
      </w:r>
      <w:r w:rsidRPr="00A35C95">
        <w:rPr>
          <w:b/>
          <w:i/>
        </w:rPr>
        <w:t>transfer documents</w:t>
      </w:r>
      <w:r w:rsidRPr="00A35C95">
        <w:t>) that are sufficient to enable the transferee:</w:t>
      </w:r>
    </w:p>
    <w:p w14:paraId="1729A8A4" w14:textId="77777777" w:rsidR="00E93F58" w:rsidRPr="00A35C95" w:rsidRDefault="00E93F58" w:rsidP="00366AB5">
      <w:pPr>
        <w:pStyle w:val="paragraphsub"/>
        <w:tabs>
          <w:tab w:val="left" w:pos="2835"/>
        </w:tabs>
      </w:pPr>
      <w:r w:rsidRPr="00A35C95">
        <w:rPr>
          <w:color w:val="000000"/>
        </w:rPr>
        <w:tab/>
        <w:t>(i)</w:t>
      </w:r>
      <w:r w:rsidRPr="00A35C95">
        <w:rPr>
          <w:color w:val="000000"/>
        </w:rPr>
        <w:tab/>
        <w:t>except in the case of Division 3 rights—to become registered as the holder of the securities; or</w:t>
      </w:r>
    </w:p>
    <w:p w14:paraId="343756FF" w14:textId="77777777" w:rsidR="00E93F58" w:rsidRPr="00A35C95" w:rsidRDefault="00E93F58" w:rsidP="00366AB5">
      <w:pPr>
        <w:pStyle w:val="paragraphsub"/>
        <w:tabs>
          <w:tab w:val="left" w:pos="2835"/>
        </w:tabs>
      </w:pPr>
      <w:r w:rsidRPr="00A35C95">
        <w:tab/>
        <w:t>(ii)</w:t>
      </w:r>
      <w:r w:rsidRPr="00A35C95">
        <w:tab/>
        <w:t>in the case of Division 3 rights—to obtain the issue to the transferee of the securities to which the Division 3 rights relate;</w:t>
      </w:r>
    </w:p>
    <w:p w14:paraId="4A11500D" w14:textId="77777777" w:rsidR="00E93F58" w:rsidRPr="00A35C95" w:rsidRDefault="00E93F58" w:rsidP="00366AB5">
      <w:pPr>
        <w:pStyle w:val="paragraph"/>
        <w:tabs>
          <w:tab w:val="left" w:pos="2835"/>
        </w:tabs>
      </w:pPr>
      <w:r w:rsidRPr="00A35C95">
        <w:rPr>
          <w:color w:val="000000"/>
        </w:rPr>
        <w:tab/>
      </w:r>
      <w:r w:rsidRPr="00A35C95">
        <w:rPr>
          <w:color w:val="000000"/>
        </w:rPr>
        <w:tab/>
        <w:t>without the transferor doing anything more, or causing anything more to be done, by way of executing or supplying documents.</w:t>
      </w:r>
    </w:p>
    <w:p w14:paraId="1538CD47" w14:textId="77777777" w:rsidR="00E93F58" w:rsidRPr="00A35C95" w:rsidRDefault="00E93F58" w:rsidP="00366AB5">
      <w:pPr>
        <w:pStyle w:val="subsection"/>
        <w:tabs>
          <w:tab w:val="left" w:pos="2835"/>
        </w:tabs>
      </w:pPr>
      <w:r w:rsidRPr="00A35C95">
        <w:rPr>
          <w:color w:val="000000"/>
        </w:rPr>
        <w:tab/>
        <w:t>(2)</w:t>
      </w:r>
      <w:r w:rsidRPr="00A35C95">
        <w:rPr>
          <w:color w:val="000000"/>
        </w:rPr>
        <w:tab/>
        <w:t>If a person:</w:t>
      </w:r>
    </w:p>
    <w:p w14:paraId="3F27EC5E" w14:textId="77777777" w:rsidR="00E93F58" w:rsidRPr="00A35C95" w:rsidRDefault="00E93F58" w:rsidP="00366AB5">
      <w:pPr>
        <w:pStyle w:val="paragraph"/>
        <w:tabs>
          <w:tab w:val="left" w:pos="2835"/>
        </w:tabs>
      </w:pPr>
      <w:r w:rsidRPr="00A35C95">
        <w:rPr>
          <w:color w:val="000000"/>
        </w:rPr>
        <w:tab/>
        <w:t>(a)</w:t>
      </w:r>
      <w:r w:rsidRPr="00A35C95">
        <w:rPr>
          <w:color w:val="000000"/>
        </w:rPr>
        <w:tab/>
        <w:t>causes property (other than securities or money) to be transferred to another person; or</w:t>
      </w:r>
    </w:p>
    <w:p w14:paraId="79A3A83D" w14:textId="77777777" w:rsidR="00E93F58" w:rsidRPr="00A35C95" w:rsidRDefault="00E93F58" w:rsidP="00366AB5">
      <w:pPr>
        <w:pStyle w:val="paragraph"/>
        <w:tabs>
          <w:tab w:val="left" w:pos="2835"/>
        </w:tabs>
      </w:pPr>
      <w:r w:rsidRPr="00A35C95">
        <w:tab/>
        <w:t>(b)</w:t>
      </w:r>
      <w:r w:rsidRPr="00A35C95">
        <w:tab/>
        <w:t>causes documents that are sufficient to enable another person to become the legal owner of property (other than securities or money) to be delivered to another person;</w:t>
      </w:r>
    </w:p>
    <w:p w14:paraId="167A210D" w14:textId="77777777" w:rsidR="00E93F58" w:rsidRPr="00A35C95" w:rsidRDefault="00E93F58" w:rsidP="00366AB5">
      <w:pPr>
        <w:pStyle w:val="subsection2"/>
        <w:tabs>
          <w:tab w:val="left" w:pos="2835"/>
        </w:tabs>
      </w:pPr>
      <w:r w:rsidRPr="00A35C95">
        <w:rPr>
          <w:color w:val="000000"/>
        </w:rPr>
        <w:t>the first</w:t>
      </w:r>
      <w:r>
        <w:rPr>
          <w:color w:val="000000"/>
        </w:rPr>
        <w:noBreakHyphen/>
      </w:r>
      <w:r w:rsidRPr="00A35C95">
        <w:rPr>
          <w:color w:val="000000"/>
        </w:rPr>
        <w:t>mentioned person is taken to have transferred the property to the other person.</w:t>
      </w:r>
    </w:p>
    <w:p w14:paraId="6652B0FC" w14:textId="77777777" w:rsidR="00E93F58" w:rsidRPr="00A35C95" w:rsidRDefault="00E93F58" w:rsidP="00366AB5">
      <w:pPr>
        <w:pStyle w:val="subsection"/>
        <w:tabs>
          <w:tab w:val="left" w:pos="2835"/>
        </w:tabs>
      </w:pPr>
      <w:r w:rsidRPr="00A35C95">
        <w:rPr>
          <w:color w:val="000000"/>
        </w:rPr>
        <w:lastRenderedPageBreak/>
        <w:tab/>
        <w:t>(3)</w:t>
      </w:r>
      <w:r w:rsidRPr="00A35C95">
        <w:rPr>
          <w:color w:val="000000"/>
        </w:rPr>
        <w:tab/>
        <w:t>If a person causes money to be paid to another person, the first</w:t>
      </w:r>
      <w:r>
        <w:rPr>
          <w:color w:val="000000"/>
        </w:rPr>
        <w:noBreakHyphen/>
      </w:r>
      <w:r w:rsidRPr="00A35C95">
        <w:rPr>
          <w:color w:val="000000"/>
        </w:rPr>
        <w:t>mentioned person is taken to have paid the money to the other person.</w:t>
      </w:r>
    </w:p>
    <w:p w14:paraId="0D5C9568" w14:textId="77777777" w:rsidR="00E93F58" w:rsidRPr="00A35C95" w:rsidRDefault="00E93F58" w:rsidP="00366AB5">
      <w:pPr>
        <w:pStyle w:val="ActHead5"/>
        <w:tabs>
          <w:tab w:val="left" w:pos="2835"/>
        </w:tabs>
      </w:pPr>
      <w:bookmarkStart w:id="706" w:name="_Toc152057927"/>
      <w:bookmarkStart w:id="707" w:name="_Toc158712150"/>
      <w:r w:rsidRPr="00844D11">
        <w:rPr>
          <w:rStyle w:val="CharSectno"/>
        </w:rPr>
        <w:t>7.5.13</w:t>
      </w:r>
      <w:r w:rsidRPr="00A35C95">
        <w:rPr>
          <w:sz w:val="16"/>
        </w:rPr>
        <w:t xml:space="preserve">  </w:t>
      </w:r>
      <w:r w:rsidRPr="00A35C95">
        <w:t>Effect of contravention of Part 7.5</w:t>
      </w:r>
      <w:bookmarkEnd w:id="706"/>
      <w:bookmarkEnd w:id="707"/>
    </w:p>
    <w:p w14:paraId="33DC72CD" w14:textId="77777777" w:rsidR="00E93F58" w:rsidRPr="00A35C95" w:rsidRDefault="00E93F58" w:rsidP="00366AB5">
      <w:pPr>
        <w:pStyle w:val="subsection"/>
        <w:tabs>
          <w:tab w:val="left" w:pos="2835"/>
        </w:tabs>
      </w:pPr>
      <w:r w:rsidRPr="00A35C95">
        <w:rPr>
          <w:color w:val="000000"/>
        </w:rPr>
        <w:tab/>
      </w:r>
      <w:r w:rsidRPr="00A35C95">
        <w:rPr>
          <w:color w:val="000000"/>
        </w:rPr>
        <w:tab/>
        <w:t>A contravention of a provision of this Part does not constitute an offence.</w:t>
      </w:r>
    </w:p>
    <w:p w14:paraId="2B2CE8E8" w14:textId="77777777" w:rsidR="00E93F58" w:rsidRPr="00A35C95" w:rsidRDefault="00E93F58" w:rsidP="00366AB5">
      <w:pPr>
        <w:pStyle w:val="ActHead3"/>
        <w:pageBreakBefore/>
        <w:tabs>
          <w:tab w:val="left" w:pos="2835"/>
        </w:tabs>
        <w:rPr>
          <w:color w:val="000000"/>
        </w:rPr>
      </w:pPr>
      <w:bookmarkStart w:id="708" w:name="_Toc152057928"/>
      <w:bookmarkStart w:id="709" w:name="_Toc158712151"/>
      <w:r w:rsidRPr="00844D11">
        <w:rPr>
          <w:rStyle w:val="CharDivNo"/>
        </w:rPr>
        <w:lastRenderedPageBreak/>
        <w:t>Division 2</w:t>
      </w:r>
      <w:r w:rsidRPr="00A35C95">
        <w:rPr>
          <w:color w:val="000000"/>
        </w:rPr>
        <w:t>—</w:t>
      </w:r>
      <w:r w:rsidRPr="00844D11">
        <w:rPr>
          <w:rStyle w:val="CharDivText"/>
        </w:rPr>
        <w:t>When there must be a compensation regime</w:t>
      </w:r>
      <w:bookmarkEnd w:id="708"/>
      <w:bookmarkEnd w:id="709"/>
    </w:p>
    <w:p w14:paraId="74EFDC3A" w14:textId="77777777" w:rsidR="00E93F58" w:rsidRPr="00A35C95" w:rsidRDefault="00E93F58" w:rsidP="00366AB5">
      <w:pPr>
        <w:pStyle w:val="ActHead5"/>
        <w:tabs>
          <w:tab w:val="left" w:pos="2835"/>
        </w:tabs>
      </w:pPr>
      <w:bookmarkStart w:id="710" w:name="_Toc152057929"/>
      <w:bookmarkStart w:id="711" w:name="_Toc158712152"/>
      <w:r w:rsidRPr="00844D11">
        <w:rPr>
          <w:rStyle w:val="CharSectno"/>
        </w:rPr>
        <w:t>7.5.14</w:t>
      </w:r>
      <w:r w:rsidRPr="00A35C95">
        <w:rPr>
          <w:sz w:val="16"/>
        </w:rPr>
        <w:t xml:space="preserve">  </w:t>
      </w:r>
      <w:r w:rsidRPr="00A35C95">
        <w:t>Application for Australian market licence: information about compensation arrangements</w:t>
      </w:r>
      <w:bookmarkEnd w:id="710"/>
      <w:bookmarkEnd w:id="711"/>
    </w:p>
    <w:p w14:paraId="30E09601" w14:textId="77777777" w:rsidR="00E93F58" w:rsidRPr="00A35C95" w:rsidRDefault="00E93F58" w:rsidP="00366AB5">
      <w:pPr>
        <w:pStyle w:val="subsection"/>
        <w:tabs>
          <w:tab w:val="left" w:pos="2835"/>
        </w:tabs>
      </w:pPr>
      <w:r w:rsidRPr="00A35C95">
        <w:tab/>
      </w:r>
      <w:r w:rsidRPr="00A35C95">
        <w:tab/>
        <w:t>For paragraph 881B(2)(c) of the Act, the following information, relating to proposed compensation arrangements, is prescribed:</w:t>
      </w:r>
    </w:p>
    <w:p w14:paraId="32E784CC" w14:textId="77777777" w:rsidR="00E93F58" w:rsidRPr="00A35C95" w:rsidRDefault="00E93F58" w:rsidP="00366AB5">
      <w:pPr>
        <w:pStyle w:val="paragraph"/>
        <w:tabs>
          <w:tab w:val="left" w:pos="2835"/>
        </w:tabs>
      </w:pPr>
      <w:r w:rsidRPr="00A35C95">
        <w:rPr>
          <w:color w:val="000000"/>
        </w:rPr>
        <w:tab/>
        <w:t>(a)</w:t>
      </w:r>
      <w:r w:rsidRPr="00A35C95">
        <w:rPr>
          <w:color w:val="000000"/>
        </w:rPr>
        <w:tab/>
        <w:t>the services and products provided by the financial market, and participants connected with the financial market;</w:t>
      </w:r>
    </w:p>
    <w:p w14:paraId="76DE572E" w14:textId="77777777" w:rsidR="00E93F58" w:rsidRPr="00A35C95" w:rsidRDefault="00E93F58" w:rsidP="00366AB5">
      <w:pPr>
        <w:pStyle w:val="paragraph"/>
        <w:tabs>
          <w:tab w:val="left" w:pos="2835"/>
        </w:tabs>
      </w:pPr>
      <w:r w:rsidRPr="00A35C95">
        <w:tab/>
        <w:t>(b)</w:t>
      </w:r>
      <w:r w:rsidRPr="00A35C95">
        <w:tab/>
        <w:t>the sources of all funds to be used for compensation;</w:t>
      </w:r>
    </w:p>
    <w:p w14:paraId="4AC36E14" w14:textId="77777777" w:rsidR="00E93F58" w:rsidRPr="00A35C95" w:rsidRDefault="00E93F58" w:rsidP="00366AB5">
      <w:pPr>
        <w:pStyle w:val="paragraph"/>
        <w:tabs>
          <w:tab w:val="left" w:pos="2835"/>
        </w:tabs>
      </w:pPr>
      <w:r w:rsidRPr="00A35C95">
        <w:tab/>
        <w:t>(c)</w:t>
      </w:r>
      <w:r w:rsidRPr="00A35C95">
        <w:tab/>
        <w:t>the proposed minimum amount of cover, and how that amount has been calculated;</w:t>
      </w:r>
    </w:p>
    <w:p w14:paraId="4662E489" w14:textId="77777777" w:rsidR="00E93F58" w:rsidRPr="00A35C95" w:rsidRDefault="00E93F58" w:rsidP="00366AB5">
      <w:pPr>
        <w:pStyle w:val="paragraph"/>
        <w:tabs>
          <w:tab w:val="left" w:pos="2835"/>
        </w:tabs>
      </w:pPr>
      <w:r w:rsidRPr="00A35C95">
        <w:tab/>
        <w:t>(d)</w:t>
      </w:r>
      <w:r w:rsidRPr="00A35C95">
        <w:tab/>
        <w:t>the number of markets to which the compensation arrangements are intended to apply;</w:t>
      </w:r>
    </w:p>
    <w:p w14:paraId="5AE62B7E" w14:textId="77777777" w:rsidR="00E93F58" w:rsidRPr="00A35C95" w:rsidRDefault="00E93F58" w:rsidP="00366AB5">
      <w:pPr>
        <w:pStyle w:val="paragraph"/>
        <w:tabs>
          <w:tab w:val="left" w:pos="2835"/>
        </w:tabs>
      </w:pPr>
      <w:r w:rsidRPr="00A35C95">
        <w:tab/>
        <w:t>(e)</w:t>
      </w:r>
      <w:r w:rsidRPr="00A35C95">
        <w:tab/>
        <w:t>details of any arrangement between the market operator and any other person associated with the operation of the compensation arrangement;</w:t>
      </w:r>
    </w:p>
    <w:p w14:paraId="4B1F64CD" w14:textId="77777777" w:rsidR="00E93F58" w:rsidRPr="00A35C95" w:rsidRDefault="00E93F58" w:rsidP="00366AB5">
      <w:pPr>
        <w:pStyle w:val="paragraph"/>
        <w:tabs>
          <w:tab w:val="left" w:pos="2835"/>
        </w:tabs>
      </w:pPr>
      <w:r w:rsidRPr="00A35C95">
        <w:tab/>
        <w:t>(f)</w:t>
      </w:r>
      <w:r w:rsidRPr="00A35C95">
        <w:tab/>
        <w:t>details of the payments that will be able to be made, in accordance with the compensation arrangements, that will not be payments required by the Act or another law;</w:t>
      </w:r>
    </w:p>
    <w:p w14:paraId="0E6AF91F" w14:textId="77777777" w:rsidR="00E93F58" w:rsidRPr="00A35C95" w:rsidRDefault="00E93F58" w:rsidP="00366AB5">
      <w:pPr>
        <w:pStyle w:val="paragraph"/>
        <w:tabs>
          <w:tab w:val="left" w:pos="2835"/>
        </w:tabs>
      </w:pPr>
      <w:r w:rsidRPr="00A35C95">
        <w:tab/>
        <w:t>(g)</w:t>
      </w:r>
      <w:r w:rsidRPr="00A35C95">
        <w:tab/>
        <w:t>the names of the persons responsible for the administration and monitoring functions mentioned in paragraphs 885I(1)(a), (b) and (c) of the Act, and details of the financial, technological and other resources to be used for those purposes;</w:t>
      </w:r>
    </w:p>
    <w:p w14:paraId="38E3DC46" w14:textId="77777777" w:rsidR="00E93F58" w:rsidRPr="00A35C95" w:rsidRDefault="00E93F58" w:rsidP="00366AB5">
      <w:pPr>
        <w:pStyle w:val="paragraph"/>
        <w:tabs>
          <w:tab w:val="left" w:pos="2835"/>
        </w:tabs>
      </w:pPr>
      <w:r w:rsidRPr="00A35C95">
        <w:tab/>
        <w:t>(h)</w:t>
      </w:r>
      <w:r w:rsidRPr="00A35C95">
        <w:tab/>
        <w:t>the name of the proposed auditor of the accounts relating to the compensation arrangements;</w:t>
      </w:r>
    </w:p>
    <w:p w14:paraId="1886443F" w14:textId="77777777" w:rsidR="00E93F58" w:rsidRPr="00A35C95" w:rsidRDefault="00E93F58" w:rsidP="00366AB5">
      <w:pPr>
        <w:pStyle w:val="paragraph"/>
        <w:tabs>
          <w:tab w:val="left" w:pos="2835"/>
        </w:tabs>
      </w:pPr>
      <w:r w:rsidRPr="00A35C95">
        <w:tab/>
        <w:t>(i)</w:t>
      </w:r>
      <w:r w:rsidRPr="00A35C95">
        <w:tab/>
        <w:t>the way in which the compensation arrangements will be monitored to ensure that they comply with the Act and these Regulations;</w:t>
      </w:r>
    </w:p>
    <w:p w14:paraId="71F4DE0E" w14:textId="77777777" w:rsidR="00E93F58" w:rsidRPr="00A35C95" w:rsidRDefault="00E93F58" w:rsidP="00366AB5">
      <w:pPr>
        <w:pStyle w:val="paragraph"/>
        <w:tabs>
          <w:tab w:val="left" w:pos="2835"/>
        </w:tabs>
      </w:pPr>
      <w:r w:rsidRPr="00A35C95">
        <w:tab/>
        <w:t>(j)</w:t>
      </w:r>
      <w:r w:rsidRPr="00A35C95">
        <w:tab/>
        <w:t>the way in which the compensation arrangements will be monitored to ensure that they are adequate.</w:t>
      </w:r>
    </w:p>
    <w:p w14:paraId="59F7AFA1" w14:textId="77777777" w:rsidR="00E93F58" w:rsidRPr="00A35C95" w:rsidRDefault="00E93F58" w:rsidP="00366AB5">
      <w:pPr>
        <w:pStyle w:val="ActHead3"/>
        <w:pageBreakBefore/>
        <w:tabs>
          <w:tab w:val="left" w:pos="2835"/>
        </w:tabs>
        <w:rPr>
          <w:color w:val="000000"/>
        </w:rPr>
      </w:pPr>
      <w:bookmarkStart w:id="712" w:name="_Toc152057930"/>
      <w:bookmarkStart w:id="713" w:name="_Toc158712153"/>
      <w:r w:rsidRPr="00844D11">
        <w:rPr>
          <w:rStyle w:val="CharDivNo"/>
        </w:rPr>
        <w:lastRenderedPageBreak/>
        <w:t>Division 3</w:t>
      </w:r>
      <w:r w:rsidRPr="00A35C95">
        <w:rPr>
          <w:color w:val="000000"/>
        </w:rPr>
        <w:t>—</w:t>
      </w:r>
      <w:r w:rsidRPr="00844D11">
        <w:rPr>
          <w:rStyle w:val="CharDivText"/>
        </w:rPr>
        <w:t>Approved compensation arrangements</w:t>
      </w:r>
      <w:bookmarkEnd w:id="712"/>
      <w:bookmarkEnd w:id="713"/>
    </w:p>
    <w:p w14:paraId="0E1986BD" w14:textId="77777777" w:rsidR="00E93F58" w:rsidRPr="00A35C95" w:rsidRDefault="00E93F58" w:rsidP="00366AB5">
      <w:pPr>
        <w:pStyle w:val="ActHead5"/>
        <w:tabs>
          <w:tab w:val="left" w:pos="2835"/>
        </w:tabs>
      </w:pPr>
      <w:bookmarkStart w:id="714" w:name="_Toc152057931"/>
      <w:bookmarkStart w:id="715" w:name="_Toc158712154"/>
      <w:r w:rsidRPr="00844D11">
        <w:rPr>
          <w:rStyle w:val="CharSectno"/>
        </w:rPr>
        <w:t>7.5.15</w:t>
      </w:r>
      <w:r w:rsidRPr="00A35C95">
        <w:rPr>
          <w:sz w:val="16"/>
        </w:rPr>
        <w:t xml:space="preserve">  </w:t>
      </w:r>
      <w:r w:rsidRPr="00A35C95">
        <w:t>Application for approval of compensation arrangements after grant of Australian market licence: information about compensation arrangements</w:t>
      </w:r>
      <w:bookmarkEnd w:id="714"/>
      <w:bookmarkEnd w:id="715"/>
    </w:p>
    <w:p w14:paraId="0452AC92" w14:textId="77777777" w:rsidR="00E93F58" w:rsidRPr="00A35C95" w:rsidRDefault="00E93F58" w:rsidP="00366AB5">
      <w:pPr>
        <w:pStyle w:val="subsection"/>
        <w:tabs>
          <w:tab w:val="left" w:pos="2835"/>
        </w:tabs>
      </w:pPr>
      <w:r w:rsidRPr="00A35C95">
        <w:tab/>
      </w:r>
      <w:r w:rsidRPr="00A35C95">
        <w:tab/>
        <w:t>For paragraph 882B(2)(a) of the Act, the following information, relating to proposed compensation arrangements, is prescribed:</w:t>
      </w:r>
    </w:p>
    <w:p w14:paraId="72B32172" w14:textId="77777777" w:rsidR="00E93F58" w:rsidRPr="00A35C95" w:rsidRDefault="00E93F58" w:rsidP="00366AB5">
      <w:pPr>
        <w:pStyle w:val="paragraph"/>
        <w:tabs>
          <w:tab w:val="left" w:pos="2835"/>
        </w:tabs>
      </w:pPr>
      <w:r w:rsidRPr="00A35C95">
        <w:rPr>
          <w:color w:val="000000"/>
        </w:rPr>
        <w:tab/>
        <w:t>(a)</w:t>
      </w:r>
      <w:r w:rsidRPr="00A35C95">
        <w:rPr>
          <w:color w:val="000000"/>
        </w:rPr>
        <w:tab/>
        <w:t>the services and products provided by the financial market, and participants connected with the financial market;</w:t>
      </w:r>
    </w:p>
    <w:p w14:paraId="5D170C65" w14:textId="77777777" w:rsidR="00E93F58" w:rsidRPr="00A35C95" w:rsidRDefault="00E93F58" w:rsidP="00366AB5">
      <w:pPr>
        <w:pStyle w:val="paragraph"/>
        <w:tabs>
          <w:tab w:val="left" w:pos="2835"/>
        </w:tabs>
      </w:pPr>
      <w:r w:rsidRPr="00A35C95">
        <w:tab/>
        <w:t>(b)</w:t>
      </w:r>
      <w:r w:rsidRPr="00A35C95">
        <w:tab/>
        <w:t>the sources of all funds to be used for compensation;</w:t>
      </w:r>
    </w:p>
    <w:p w14:paraId="584373CE" w14:textId="77777777" w:rsidR="00E93F58" w:rsidRPr="00A35C95" w:rsidRDefault="00E93F58" w:rsidP="00366AB5">
      <w:pPr>
        <w:pStyle w:val="paragraph"/>
        <w:tabs>
          <w:tab w:val="left" w:pos="2835"/>
        </w:tabs>
      </w:pPr>
      <w:r w:rsidRPr="00A35C95">
        <w:tab/>
        <w:t>(c)</w:t>
      </w:r>
      <w:r w:rsidRPr="00A35C95">
        <w:tab/>
        <w:t>the proposed minimum amount of cover, and how that amount has been calculated;</w:t>
      </w:r>
    </w:p>
    <w:p w14:paraId="2EBE7C01" w14:textId="77777777" w:rsidR="00E93F58" w:rsidRPr="00A35C95" w:rsidRDefault="00E93F58" w:rsidP="00366AB5">
      <w:pPr>
        <w:pStyle w:val="paragraph"/>
        <w:tabs>
          <w:tab w:val="left" w:pos="2835"/>
        </w:tabs>
      </w:pPr>
      <w:r w:rsidRPr="00A35C95">
        <w:tab/>
        <w:t>(d)</w:t>
      </w:r>
      <w:r w:rsidRPr="00A35C95">
        <w:tab/>
        <w:t>the number of markets to which the compensation arrangements are intended to apply;</w:t>
      </w:r>
    </w:p>
    <w:p w14:paraId="5CA807DB" w14:textId="77777777" w:rsidR="00E93F58" w:rsidRPr="00A35C95" w:rsidRDefault="00E93F58" w:rsidP="00366AB5">
      <w:pPr>
        <w:pStyle w:val="paragraph"/>
        <w:tabs>
          <w:tab w:val="left" w:pos="2835"/>
        </w:tabs>
      </w:pPr>
      <w:r w:rsidRPr="00A35C95">
        <w:tab/>
        <w:t>(e)</w:t>
      </w:r>
      <w:r w:rsidRPr="00A35C95">
        <w:tab/>
        <w:t>details of any arrangement between the market operator and any other person associated with the operation of the compensation arrangement;</w:t>
      </w:r>
    </w:p>
    <w:p w14:paraId="35424010" w14:textId="77777777" w:rsidR="00E93F58" w:rsidRPr="00A35C95" w:rsidRDefault="00E93F58" w:rsidP="00366AB5">
      <w:pPr>
        <w:pStyle w:val="paragraph"/>
        <w:tabs>
          <w:tab w:val="left" w:pos="2835"/>
        </w:tabs>
      </w:pPr>
      <w:r w:rsidRPr="00A35C95">
        <w:tab/>
        <w:t>(f)</w:t>
      </w:r>
      <w:r w:rsidRPr="00A35C95">
        <w:tab/>
        <w:t>details of the payments that will be able to be made, in accordance with the compensation arrangements, that will not be payments required by the Act or another law;</w:t>
      </w:r>
    </w:p>
    <w:p w14:paraId="49A0880B" w14:textId="77777777" w:rsidR="00E93F58" w:rsidRPr="00A35C95" w:rsidRDefault="00E93F58" w:rsidP="00366AB5">
      <w:pPr>
        <w:pStyle w:val="paragraph"/>
        <w:tabs>
          <w:tab w:val="left" w:pos="2835"/>
        </w:tabs>
      </w:pPr>
      <w:r w:rsidRPr="00A35C95">
        <w:tab/>
        <w:t>(g)</w:t>
      </w:r>
      <w:r w:rsidRPr="00A35C95">
        <w:tab/>
        <w:t>the names of the persons responsible for the administration and monitoring functions mentioned in paragraphs 885I(1)(a), (b) and (c) of the Act, and details of the financial, technological and other resources to be used for those purposes;</w:t>
      </w:r>
    </w:p>
    <w:p w14:paraId="2E8FECDB" w14:textId="77777777" w:rsidR="00E93F58" w:rsidRPr="00A35C95" w:rsidRDefault="00E93F58" w:rsidP="00366AB5">
      <w:pPr>
        <w:pStyle w:val="paragraph"/>
        <w:tabs>
          <w:tab w:val="left" w:pos="2835"/>
        </w:tabs>
      </w:pPr>
      <w:r w:rsidRPr="00A35C95">
        <w:tab/>
        <w:t>(h)</w:t>
      </w:r>
      <w:r w:rsidRPr="00A35C95">
        <w:tab/>
        <w:t>the name of the proposed auditor of the accounts relating to the compensation arrangements;</w:t>
      </w:r>
    </w:p>
    <w:p w14:paraId="627E65BF" w14:textId="77777777" w:rsidR="00E93F58" w:rsidRPr="00A35C95" w:rsidRDefault="00E93F58" w:rsidP="00366AB5">
      <w:pPr>
        <w:pStyle w:val="paragraph"/>
        <w:tabs>
          <w:tab w:val="left" w:pos="2835"/>
        </w:tabs>
      </w:pPr>
      <w:r w:rsidRPr="00A35C95">
        <w:tab/>
        <w:t>(i)</w:t>
      </w:r>
      <w:r w:rsidRPr="00A35C95">
        <w:tab/>
        <w:t>the way in which the compensation arrangements will be monitored to ensure that they comply with the Act and these Regulations;</w:t>
      </w:r>
    </w:p>
    <w:p w14:paraId="26124893" w14:textId="77777777" w:rsidR="00E93F58" w:rsidRPr="00A35C95" w:rsidRDefault="00E93F58" w:rsidP="00366AB5">
      <w:pPr>
        <w:pStyle w:val="paragraph"/>
        <w:tabs>
          <w:tab w:val="left" w:pos="2835"/>
        </w:tabs>
      </w:pPr>
      <w:r w:rsidRPr="00A35C95">
        <w:tab/>
        <w:t>(j)</w:t>
      </w:r>
      <w:r w:rsidRPr="00A35C95">
        <w:tab/>
        <w:t>the way in which the compensation arrangements will be monitored to ensure that they are adequate.</w:t>
      </w:r>
    </w:p>
    <w:p w14:paraId="2676F05E" w14:textId="77777777" w:rsidR="00E93F58" w:rsidRPr="00A35C95" w:rsidRDefault="00E93F58" w:rsidP="00366AB5">
      <w:pPr>
        <w:pStyle w:val="ActHead5"/>
        <w:tabs>
          <w:tab w:val="left" w:pos="2835"/>
        </w:tabs>
      </w:pPr>
      <w:bookmarkStart w:id="716" w:name="_Toc152057932"/>
      <w:bookmarkStart w:id="717" w:name="_Toc158712155"/>
      <w:r w:rsidRPr="00844D11">
        <w:rPr>
          <w:rStyle w:val="CharSectno"/>
        </w:rPr>
        <w:t>7.5.16</w:t>
      </w:r>
      <w:r w:rsidRPr="00A35C95">
        <w:rPr>
          <w:sz w:val="16"/>
        </w:rPr>
        <w:t xml:space="preserve">  </w:t>
      </w:r>
      <w:r w:rsidRPr="00A35C95">
        <w:t>Notification of payment of levies</w:t>
      </w:r>
      <w:bookmarkEnd w:id="716"/>
      <w:bookmarkEnd w:id="717"/>
    </w:p>
    <w:p w14:paraId="3BF00C22" w14:textId="77777777" w:rsidR="00E93F58" w:rsidRPr="00A35C95" w:rsidRDefault="00E93F58" w:rsidP="00366AB5">
      <w:pPr>
        <w:pStyle w:val="subsection"/>
        <w:tabs>
          <w:tab w:val="left" w:pos="2835"/>
        </w:tabs>
      </w:pPr>
      <w:r w:rsidRPr="00A35C95">
        <w:rPr>
          <w:color w:val="000000"/>
        </w:rPr>
        <w:tab/>
      </w:r>
      <w:r w:rsidRPr="00A35C95">
        <w:rPr>
          <w:color w:val="000000"/>
        </w:rPr>
        <w:tab/>
        <w:t>For subsection 883D(6) of the Act, a notification to the Commonwealth of payments of levy received by the operator of a market as agent for the Commonwealth must:</w:t>
      </w:r>
    </w:p>
    <w:p w14:paraId="030E40DB" w14:textId="77777777" w:rsidR="00E93F58" w:rsidRPr="00A35C95" w:rsidRDefault="00E93F58" w:rsidP="00366AB5">
      <w:pPr>
        <w:pStyle w:val="paragraph"/>
        <w:tabs>
          <w:tab w:val="left" w:pos="2835"/>
        </w:tabs>
      </w:pPr>
      <w:r w:rsidRPr="00A35C95">
        <w:rPr>
          <w:color w:val="000000"/>
        </w:rPr>
        <w:tab/>
        <w:t>(a)</w:t>
      </w:r>
      <w:r w:rsidRPr="00A35C95">
        <w:rPr>
          <w:color w:val="000000"/>
        </w:rPr>
        <w:tab/>
        <w:t>be given for each period of 6 months ending on 31 December and 30 June; and</w:t>
      </w:r>
    </w:p>
    <w:p w14:paraId="54DAD67E" w14:textId="77777777" w:rsidR="00E93F58" w:rsidRPr="00A35C95" w:rsidRDefault="00E93F58" w:rsidP="00366AB5">
      <w:pPr>
        <w:pStyle w:val="paragraph"/>
        <w:tabs>
          <w:tab w:val="left" w:pos="2835"/>
        </w:tabs>
      </w:pPr>
      <w:r w:rsidRPr="00A35C95">
        <w:tab/>
        <w:t>(b)</w:t>
      </w:r>
      <w:r w:rsidRPr="00A35C95">
        <w:tab/>
        <w:t>be given in writing to:</w:t>
      </w:r>
    </w:p>
    <w:p w14:paraId="6A637DCF"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the Secretary of the Department of </w:t>
      </w:r>
      <w:r w:rsidRPr="00A35C95">
        <w:t>the Treasury;</w:t>
      </w:r>
      <w:r w:rsidRPr="00A35C95">
        <w:rPr>
          <w:color w:val="000000"/>
        </w:rPr>
        <w:t xml:space="preserve"> or</w:t>
      </w:r>
    </w:p>
    <w:p w14:paraId="05DE5D79" w14:textId="77777777" w:rsidR="00E93F58" w:rsidRPr="00A35C95" w:rsidRDefault="00E93F58" w:rsidP="00366AB5">
      <w:pPr>
        <w:pStyle w:val="paragraphsub"/>
        <w:tabs>
          <w:tab w:val="left" w:pos="2835"/>
        </w:tabs>
      </w:pPr>
      <w:r w:rsidRPr="00A35C95">
        <w:tab/>
        <w:t>(ii)</w:t>
      </w:r>
      <w:r w:rsidRPr="00A35C95">
        <w:tab/>
        <w:t>another officer of that Department notified in writing by the Secretary to the receiver of the levy; and</w:t>
      </w:r>
    </w:p>
    <w:p w14:paraId="3EB49451" w14:textId="77777777" w:rsidR="00E93F58" w:rsidRPr="00A35C95" w:rsidRDefault="00E93F58" w:rsidP="00366AB5">
      <w:pPr>
        <w:pStyle w:val="paragraph"/>
        <w:tabs>
          <w:tab w:val="left" w:pos="2835"/>
        </w:tabs>
      </w:pPr>
      <w:r w:rsidRPr="00A35C95">
        <w:rPr>
          <w:color w:val="000000"/>
        </w:rPr>
        <w:tab/>
        <w:t>(c)</w:t>
      </w:r>
      <w:r w:rsidRPr="00A35C95">
        <w:rPr>
          <w:color w:val="000000"/>
        </w:rPr>
        <w:tab/>
        <w:t>set out the total of the levies (if any) that became payable in the period; and</w:t>
      </w:r>
    </w:p>
    <w:p w14:paraId="30AACB75" w14:textId="77777777" w:rsidR="00E93F58" w:rsidRPr="00A35C95" w:rsidRDefault="00E93F58" w:rsidP="00366AB5">
      <w:pPr>
        <w:pStyle w:val="paragraph"/>
        <w:tabs>
          <w:tab w:val="left" w:pos="2835"/>
        </w:tabs>
      </w:pPr>
      <w:r w:rsidRPr="00A35C95">
        <w:tab/>
        <w:t>(d)</w:t>
      </w:r>
      <w:r w:rsidRPr="00A35C95">
        <w:tab/>
        <w:t>set out the total of the levies (if any) received in the period; and</w:t>
      </w:r>
    </w:p>
    <w:p w14:paraId="234C0DCA" w14:textId="77777777" w:rsidR="00E93F58" w:rsidRPr="00A35C95" w:rsidRDefault="00E93F58" w:rsidP="00366AB5">
      <w:pPr>
        <w:pStyle w:val="paragraph"/>
        <w:tabs>
          <w:tab w:val="left" w:pos="2835"/>
        </w:tabs>
      </w:pPr>
      <w:r w:rsidRPr="00A35C95">
        <w:tab/>
        <w:t>(e)</w:t>
      </w:r>
      <w:r w:rsidRPr="00A35C95">
        <w:tab/>
        <w:t>be given not later than 2 weeks after the end of the period.</w:t>
      </w:r>
    </w:p>
    <w:p w14:paraId="37B9C065" w14:textId="77777777" w:rsidR="00E93F58" w:rsidRPr="00A35C95" w:rsidRDefault="00E93F58" w:rsidP="00366AB5">
      <w:pPr>
        <w:pStyle w:val="ActHead5"/>
        <w:tabs>
          <w:tab w:val="left" w:pos="2835"/>
        </w:tabs>
      </w:pPr>
      <w:bookmarkStart w:id="718" w:name="_Toc152057933"/>
      <w:bookmarkStart w:id="719" w:name="_Toc158712156"/>
      <w:r w:rsidRPr="00844D11">
        <w:rPr>
          <w:rStyle w:val="CharSectno"/>
        </w:rPr>
        <w:t>7.5.17</w:t>
      </w:r>
      <w:r w:rsidRPr="00A35C95">
        <w:rPr>
          <w:sz w:val="16"/>
        </w:rPr>
        <w:t xml:space="preserve">  </w:t>
      </w:r>
      <w:r w:rsidRPr="00A35C95">
        <w:t>Amount of compensation</w:t>
      </w:r>
      <w:bookmarkEnd w:id="718"/>
      <w:bookmarkEnd w:id="719"/>
    </w:p>
    <w:p w14:paraId="6C16BD81" w14:textId="77777777" w:rsidR="00E93F58" w:rsidRPr="00A35C95" w:rsidRDefault="00E93F58" w:rsidP="00366AB5">
      <w:pPr>
        <w:pStyle w:val="subsection"/>
        <w:tabs>
          <w:tab w:val="left" w:pos="2835"/>
        </w:tabs>
      </w:pPr>
      <w:r w:rsidRPr="00A35C95">
        <w:rPr>
          <w:color w:val="000000"/>
        </w:rPr>
        <w:tab/>
      </w:r>
      <w:r w:rsidRPr="00A35C95">
        <w:rPr>
          <w:color w:val="000000"/>
        </w:rPr>
        <w:tab/>
        <w:t>For subsection 885E(5) of the Act, the rate of interest is 5%.</w:t>
      </w:r>
    </w:p>
    <w:p w14:paraId="3F70DD66" w14:textId="77777777" w:rsidR="00E93F58" w:rsidRPr="00A35C95" w:rsidRDefault="00E93F58" w:rsidP="00366AB5">
      <w:pPr>
        <w:pStyle w:val="ActHead3"/>
        <w:pageBreakBefore/>
        <w:tabs>
          <w:tab w:val="left" w:pos="2835"/>
        </w:tabs>
        <w:rPr>
          <w:color w:val="000000"/>
        </w:rPr>
      </w:pPr>
      <w:bookmarkStart w:id="720" w:name="_Toc152057934"/>
      <w:bookmarkStart w:id="721" w:name="_Toc158712157"/>
      <w:r w:rsidRPr="00844D11">
        <w:rPr>
          <w:rStyle w:val="CharDivNo"/>
        </w:rPr>
        <w:lastRenderedPageBreak/>
        <w:t>Division 4</w:t>
      </w:r>
      <w:r w:rsidRPr="00A35C95">
        <w:rPr>
          <w:color w:val="000000"/>
        </w:rPr>
        <w:t>—</w:t>
      </w:r>
      <w:r w:rsidRPr="00844D11">
        <w:rPr>
          <w:rStyle w:val="CharDivText"/>
        </w:rPr>
        <w:t>NGF Compensation regime</w:t>
      </w:r>
      <w:bookmarkEnd w:id="720"/>
      <w:bookmarkEnd w:id="721"/>
    </w:p>
    <w:p w14:paraId="67EA5C4E" w14:textId="77777777" w:rsidR="00E93F58" w:rsidRPr="00A35C95" w:rsidRDefault="00E93F58" w:rsidP="00366AB5">
      <w:pPr>
        <w:pStyle w:val="ActHead4"/>
        <w:tabs>
          <w:tab w:val="left" w:pos="2835"/>
        </w:tabs>
      </w:pPr>
      <w:bookmarkStart w:id="722" w:name="_Toc152057935"/>
      <w:bookmarkStart w:id="723" w:name="_Toc158712158"/>
      <w:r w:rsidRPr="00844D11">
        <w:rPr>
          <w:rStyle w:val="CharSubdNo"/>
        </w:rPr>
        <w:t>Subdivision 4.1</w:t>
      </w:r>
      <w:r w:rsidRPr="00A35C95">
        <w:t>—</w:t>
      </w:r>
      <w:r w:rsidRPr="00844D11">
        <w:rPr>
          <w:rStyle w:val="CharSubdText"/>
        </w:rPr>
        <w:t>Preliminary</w:t>
      </w:r>
      <w:bookmarkEnd w:id="722"/>
      <w:bookmarkEnd w:id="723"/>
    </w:p>
    <w:p w14:paraId="24E41CC4" w14:textId="77777777" w:rsidR="00E93F58" w:rsidRPr="00A35C95" w:rsidRDefault="00E93F58" w:rsidP="00366AB5">
      <w:pPr>
        <w:pStyle w:val="ActHead5"/>
        <w:tabs>
          <w:tab w:val="left" w:pos="2835"/>
        </w:tabs>
      </w:pPr>
      <w:bookmarkStart w:id="724" w:name="_Toc152057936"/>
      <w:bookmarkStart w:id="725" w:name="_Toc158712159"/>
      <w:r w:rsidRPr="00844D11">
        <w:rPr>
          <w:rStyle w:val="CharSectno"/>
        </w:rPr>
        <w:t>7.5.18</w:t>
      </w:r>
      <w:r w:rsidRPr="00A35C95">
        <w:rPr>
          <w:sz w:val="16"/>
        </w:rPr>
        <w:t xml:space="preserve">  </w:t>
      </w:r>
      <w:r w:rsidRPr="00A35C95">
        <w:t>Application of Division 4</w:t>
      </w:r>
      <w:bookmarkEnd w:id="724"/>
      <w:bookmarkEnd w:id="725"/>
    </w:p>
    <w:p w14:paraId="5E304B6A" w14:textId="77777777" w:rsidR="00E93F58" w:rsidRPr="00A35C95" w:rsidRDefault="00E93F58" w:rsidP="00366AB5">
      <w:pPr>
        <w:pStyle w:val="subsection"/>
        <w:tabs>
          <w:tab w:val="left" w:pos="2835"/>
        </w:tabs>
      </w:pPr>
      <w:r w:rsidRPr="00A35C95">
        <w:rPr>
          <w:color w:val="000000"/>
        </w:rPr>
        <w:tab/>
      </w:r>
      <w:r w:rsidRPr="00A35C95">
        <w:rPr>
          <w:color w:val="000000"/>
        </w:rPr>
        <w:tab/>
        <w:t>For sections 888A, 888B, 888C, 888D and 888E of the Act, this Division sets out arrangements relating to compensation in respect of a loss that is connected with a financial market to which Division 4 of Part 7.5 of the Act applies.</w:t>
      </w:r>
    </w:p>
    <w:p w14:paraId="7DCA14E5" w14:textId="77777777" w:rsidR="00E93F58" w:rsidRPr="00A35C95" w:rsidRDefault="00E93F58" w:rsidP="00366AB5">
      <w:pPr>
        <w:pStyle w:val="notetext"/>
        <w:tabs>
          <w:tab w:val="left" w:pos="2835"/>
        </w:tabs>
      </w:pPr>
      <w:r w:rsidRPr="00A35C95">
        <w:rPr>
          <w:color w:val="000000"/>
        </w:rPr>
        <w:t>Note:</w:t>
      </w:r>
      <w:r w:rsidRPr="00A35C95">
        <w:rPr>
          <w:color w:val="000000"/>
        </w:rPr>
        <w:tab/>
        <w:t>The financial markets to which Division 4 of Part 7.5 of the Act applies are set out in section 887A of the Act.</w:t>
      </w:r>
    </w:p>
    <w:p w14:paraId="4C908AE7" w14:textId="77777777" w:rsidR="00E93F58" w:rsidRPr="00A35C95" w:rsidRDefault="00E93F58" w:rsidP="00366AB5">
      <w:pPr>
        <w:pStyle w:val="ActHead5"/>
        <w:tabs>
          <w:tab w:val="left" w:pos="2835"/>
        </w:tabs>
      </w:pPr>
      <w:bookmarkStart w:id="726" w:name="_Toc152057937"/>
      <w:bookmarkStart w:id="727" w:name="_Toc158712160"/>
      <w:r w:rsidRPr="00844D11">
        <w:rPr>
          <w:rStyle w:val="CharSectno"/>
        </w:rPr>
        <w:t>7.5.18A</w:t>
      </w:r>
      <w:r w:rsidRPr="00A35C95">
        <w:t xml:space="preserve">  Caps on compensation</w:t>
      </w:r>
      <w:bookmarkEnd w:id="726"/>
      <w:bookmarkEnd w:id="727"/>
    </w:p>
    <w:p w14:paraId="602DA78B" w14:textId="77777777" w:rsidR="00E93F58" w:rsidRPr="00A35C95" w:rsidRDefault="00E93F58" w:rsidP="00366AB5">
      <w:pPr>
        <w:pStyle w:val="subsection"/>
        <w:tabs>
          <w:tab w:val="left" w:pos="2835"/>
        </w:tabs>
      </w:pPr>
      <w:r w:rsidRPr="00A35C95">
        <w:tab/>
      </w:r>
      <w:r w:rsidRPr="00A35C95">
        <w:tab/>
        <w:t>A liability of the SEGC under Subdivision 4.3, 4.7, 4.8 or 4.9 to pay an amount in relation to a claim allowed under that Subdivision is subject to regulations 7.5.72A (participant</w:t>
      </w:r>
      <w:r>
        <w:noBreakHyphen/>
      </w:r>
      <w:r w:rsidRPr="00A35C95">
        <w:t>related limits of compensation) and 7.5.72B (claimant</w:t>
      </w:r>
      <w:r>
        <w:noBreakHyphen/>
      </w:r>
      <w:r w:rsidRPr="00A35C95">
        <w:t>related limits of compensation).</w:t>
      </w:r>
    </w:p>
    <w:p w14:paraId="5281615A" w14:textId="77777777" w:rsidR="00E93F58" w:rsidRPr="00A35C95" w:rsidRDefault="00E93F58" w:rsidP="00366AB5">
      <w:pPr>
        <w:pStyle w:val="notetext"/>
        <w:tabs>
          <w:tab w:val="left" w:pos="2835"/>
        </w:tabs>
      </w:pPr>
      <w:r w:rsidRPr="00A35C95">
        <w:t>Note:</w:t>
      </w:r>
      <w:r w:rsidRPr="00A35C95">
        <w:tab/>
        <w:t>A liability of the SEGC arising under other provisions of Subdivision 4.10 is also subject to regulations 7.5.72A and 7.5.72B.</w:t>
      </w:r>
    </w:p>
    <w:p w14:paraId="48809C13" w14:textId="77777777" w:rsidR="00E93F58" w:rsidRPr="00A35C95" w:rsidRDefault="00E93F58" w:rsidP="00366AB5">
      <w:pPr>
        <w:pStyle w:val="ActHead4"/>
        <w:tabs>
          <w:tab w:val="left" w:pos="2835"/>
        </w:tabs>
      </w:pPr>
      <w:bookmarkStart w:id="728" w:name="_Toc152057938"/>
      <w:bookmarkStart w:id="729" w:name="_Toc158712161"/>
      <w:r w:rsidRPr="00844D11">
        <w:rPr>
          <w:rStyle w:val="CharSubdNo"/>
        </w:rPr>
        <w:t>Subdivision 4.2</w:t>
      </w:r>
      <w:r w:rsidRPr="00A35C95">
        <w:t>—</w:t>
      </w:r>
      <w:r w:rsidRPr="00844D11">
        <w:rPr>
          <w:rStyle w:val="CharSubdText"/>
        </w:rPr>
        <w:t>Third party clearing arrangements</w:t>
      </w:r>
      <w:bookmarkEnd w:id="728"/>
      <w:bookmarkEnd w:id="729"/>
    </w:p>
    <w:p w14:paraId="08F071B4" w14:textId="77777777" w:rsidR="00E93F58" w:rsidRPr="00A35C95" w:rsidRDefault="00E93F58" w:rsidP="00366AB5">
      <w:pPr>
        <w:pStyle w:val="ActHead5"/>
        <w:tabs>
          <w:tab w:val="left" w:pos="2835"/>
        </w:tabs>
      </w:pPr>
      <w:bookmarkStart w:id="730" w:name="_Toc152057939"/>
      <w:bookmarkStart w:id="731" w:name="_Toc158712162"/>
      <w:r w:rsidRPr="00844D11">
        <w:rPr>
          <w:rStyle w:val="CharSectno"/>
        </w:rPr>
        <w:t>7.5.19</w:t>
      </w:r>
      <w:r w:rsidRPr="00A35C95">
        <w:rPr>
          <w:sz w:val="16"/>
        </w:rPr>
        <w:t xml:space="preserve">  </w:t>
      </w:r>
      <w:r w:rsidRPr="00A35C95">
        <w:t>Clearing arrangements</w:t>
      </w:r>
      <w:bookmarkEnd w:id="730"/>
      <w:bookmarkEnd w:id="731"/>
    </w:p>
    <w:p w14:paraId="0B46AFFB" w14:textId="77777777" w:rsidR="00E93F58" w:rsidRPr="00A35C95" w:rsidRDefault="00E93F58" w:rsidP="00366AB5">
      <w:pPr>
        <w:pStyle w:val="subsection"/>
        <w:tabs>
          <w:tab w:val="left" w:pos="2835"/>
        </w:tabs>
      </w:pPr>
      <w:r w:rsidRPr="00A35C95">
        <w:tab/>
        <w:t>(1)</w:t>
      </w:r>
      <w:r w:rsidRPr="00A35C95">
        <w:tab/>
        <w:t>For Subdivision 4.3, if:</w:t>
      </w:r>
    </w:p>
    <w:p w14:paraId="31D9DC64"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a participant of Australian Stock Exchange Limited (the </w:t>
      </w:r>
      <w:r w:rsidRPr="00A35C95">
        <w:rPr>
          <w:b/>
          <w:i/>
          <w:color w:val="000000"/>
        </w:rPr>
        <w:t>transacting participant</w:t>
      </w:r>
      <w:r w:rsidRPr="00A35C95">
        <w:rPr>
          <w:color w:val="000000"/>
        </w:rPr>
        <w:t>) enters into a reportable transaction; and</w:t>
      </w:r>
    </w:p>
    <w:p w14:paraId="0DE8C89D" w14:textId="77777777" w:rsidR="00E93F58" w:rsidRPr="00A35C95" w:rsidRDefault="00E93F58" w:rsidP="00366AB5">
      <w:pPr>
        <w:pStyle w:val="paragraph"/>
        <w:tabs>
          <w:tab w:val="left" w:pos="2835"/>
        </w:tabs>
      </w:pPr>
      <w:r w:rsidRPr="00A35C95">
        <w:tab/>
        <w:t>(b)</w:t>
      </w:r>
      <w:r w:rsidRPr="00A35C95">
        <w:tab/>
        <w:t xml:space="preserve">under Australian Stock Exchange Limited’s operating rules or under ACH’s operating rules, another participant (the </w:t>
      </w:r>
      <w:r w:rsidRPr="00A35C95">
        <w:rPr>
          <w:b/>
          <w:i/>
        </w:rPr>
        <w:t>clearing participant</w:t>
      </w:r>
      <w:r w:rsidRPr="00A35C95">
        <w:t>) has the obligation to complete the transaction and all obligations ancillary to that completion;</w:t>
      </w:r>
    </w:p>
    <w:p w14:paraId="3664F22C" w14:textId="77777777" w:rsidR="00E93F58" w:rsidRPr="00A35C95" w:rsidRDefault="00E93F58" w:rsidP="00366AB5">
      <w:pPr>
        <w:pStyle w:val="subsection2"/>
        <w:tabs>
          <w:tab w:val="left" w:pos="2835"/>
        </w:tabs>
      </w:pPr>
      <w:r w:rsidRPr="00A35C95">
        <w:t>regulations 7.5.24</w:t>
      </w:r>
      <w:r w:rsidRPr="00A35C95">
        <w:rPr>
          <w:color w:val="000000"/>
        </w:rPr>
        <w:t xml:space="preserve"> to 7.5.27 (inclusive) apply in relation to the function of completing the transaction, as if the clearing participant, and not the transacting participant, had entered into the transaction.</w:t>
      </w:r>
    </w:p>
    <w:p w14:paraId="59AB523B" w14:textId="77777777" w:rsidR="00E93F58" w:rsidRPr="00A35C95" w:rsidRDefault="00E93F58" w:rsidP="00366AB5">
      <w:pPr>
        <w:pStyle w:val="subsection"/>
        <w:tabs>
          <w:tab w:val="left" w:pos="2835"/>
        </w:tabs>
      </w:pPr>
      <w:r w:rsidRPr="00A35C95">
        <w:tab/>
        <w:t>(2)</w:t>
      </w:r>
      <w:r w:rsidRPr="00A35C95">
        <w:tab/>
        <w:t>For Subdivision 4.9, if:</w:t>
      </w:r>
    </w:p>
    <w:p w14:paraId="1C7E8FE1"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a participant of Australian Stock Exchange Limited (the </w:t>
      </w:r>
      <w:r w:rsidRPr="00A35C95">
        <w:rPr>
          <w:b/>
          <w:i/>
          <w:color w:val="000000"/>
        </w:rPr>
        <w:t>transacting member</w:t>
      </w:r>
      <w:r w:rsidRPr="00A35C95">
        <w:rPr>
          <w:color w:val="000000"/>
        </w:rPr>
        <w:t>) enters into a reportable transaction; and</w:t>
      </w:r>
    </w:p>
    <w:p w14:paraId="3E627A8A" w14:textId="77777777" w:rsidR="00E93F58" w:rsidRPr="00A35C95" w:rsidRDefault="00E93F58" w:rsidP="00366AB5">
      <w:pPr>
        <w:pStyle w:val="paragraph"/>
        <w:tabs>
          <w:tab w:val="left" w:pos="2835"/>
        </w:tabs>
      </w:pPr>
      <w:r w:rsidRPr="00A35C95">
        <w:tab/>
        <w:t>(b)</w:t>
      </w:r>
      <w:r w:rsidRPr="00A35C95">
        <w:tab/>
        <w:t xml:space="preserve">under Australian Stock Exchange Limited’s operating rules or under ACH’s operating rules, another participant (the </w:t>
      </w:r>
      <w:r w:rsidRPr="00A35C95">
        <w:rPr>
          <w:b/>
          <w:i/>
        </w:rPr>
        <w:t>clearing participant</w:t>
      </w:r>
      <w:r w:rsidRPr="00A35C95">
        <w:t>) has the obligation to complete the transaction and all obligations ancillary to that completion;</w:t>
      </w:r>
    </w:p>
    <w:p w14:paraId="6303C4C4" w14:textId="77777777" w:rsidR="00E93F58" w:rsidRPr="00A35C95" w:rsidRDefault="00E93F58" w:rsidP="00366AB5">
      <w:pPr>
        <w:pStyle w:val="subsection2"/>
        <w:tabs>
          <w:tab w:val="left" w:pos="2835"/>
        </w:tabs>
      </w:pPr>
      <w:r w:rsidRPr="00A35C95">
        <w:t>regulation 7.5.66</w:t>
      </w:r>
      <w:r w:rsidRPr="00A35C95">
        <w:rPr>
          <w:color w:val="000000"/>
        </w:rPr>
        <w:t xml:space="preserve"> applies in relation to the function of completing the transaction as if the clearing participant, and not the transacting participant, had entered into the transaction.</w:t>
      </w:r>
    </w:p>
    <w:p w14:paraId="22A07BBB" w14:textId="77777777" w:rsidR="00E93F58" w:rsidRPr="00A35C95" w:rsidRDefault="00E93F58" w:rsidP="00366AB5">
      <w:pPr>
        <w:pStyle w:val="subsection"/>
        <w:tabs>
          <w:tab w:val="left" w:pos="2835"/>
        </w:tabs>
      </w:pPr>
      <w:r w:rsidRPr="00A35C95">
        <w:tab/>
        <w:t>(3)</w:t>
      </w:r>
      <w:r w:rsidRPr="00A35C95">
        <w:tab/>
        <w:t>For Subdivision 4.3, if:</w:t>
      </w:r>
    </w:p>
    <w:p w14:paraId="01B77753" w14:textId="77777777" w:rsidR="00E93F58" w:rsidRPr="00A35C95" w:rsidRDefault="00E93F58" w:rsidP="00366AB5">
      <w:pPr>
        <w:pStyle w:val="paragraph"/>
        <w:tabs>
          <w:tab w:val="left" w:pos="2835"/>
        </w:tabs>
      </w:pPr>
      <w:r w:rsidRPr="00A35C95">
        <w:tab/>
        <w:t>(a)</w:t>
      </w:r>
      <w:r w:rsidRPr="00A35C95">
        <w:tab/>
        <w:t xml:space="preserve">a participant of the licensed CS facility operated by ACH (the </w:t>
      </w:r>
      <w:r w:rsidRPr="00A35C95">
        <w:rPr>
          <w:b/>
          <w:i/>
        </w:rPr>
        <w:t>transacting participant</w:t>
      </w:r>
      <w:r w:rsidRPr="00A35C95">
        <w:t>) enters into a reportable transaction; and</w:t>
      </w:r>
    </w:p>
    <w:p w14:paraId="76695C14" w14:textId="77777777" w:rsidR="00E93F58" w:rsidRPr="00A35C95" w:rsidRDefault="00E93F58" w:rsidP="00366AB5">
      <w:pPr>
        <w:pStyle w:val="paragraph"/>
        <w:tabs>
          <w:tab w:val="left" w:pos="2835"/>
        </w:tabs>
      </w:pPr>
      <w:r w:rsidRPr="00A35C95">
        <w:tab/>
        <w:t>(b)</w:t>
      </w:r>
      <w:r w:rsidRPr="00A35C95">
        <w:tab/>
        <w:t xml:space="preserve">under the operating rules of ACH, another participant (the </w:t>
      </w:r>
      <w:r w:rsidRPr="00A35C95">
        <w:rPr>
          <w:b/>
          <w:i/>
        </w:rPr>
        <w:t>clearing participant</w:t>
      </w:r>
      <w:r w:rsidRPr="00A35C95">
        <w:t>) has the obligation to complete the transaction and all obligations ancillary to that completion;</w:t>
      </w:r>
    </w:p>
    <w:p w14:paraId="42FE5C8F" w14:textId="77777777" w:rsidR="00E93F58" w:rsidRPr="00A35C95" w:rsidRDefault="00E93F58" w:rsidP="00366AB5">
      <w:pPr>
        <w:pStyle w:val="subsection2"/>
        <w:tabs>
          <w:tab w:val="left" w:pos="2835"/>
        </w:tabs>
      </w:pPr>
      <w:r w:rsidRPr="00A35C95">
        <w:t>regulations 7.5.24 to 7.5.27 (inclusive) apply in relation to the function of completing the transaction, as if the clearing participant, and not the transacting participant, had entered into the transaction.</w:t>
      </w:r>
    </w:p>
    <w:p w14:paraId="3331BD15" w14:textId="77777777" w:rsidR="00E93F58" w:rsidRPr="00A35C95" w:rsidRDefault="00E93F58" w:rsidP="00366AB5">
      <w:pPr>
        <w:pStyle w:val="subsection"/>
        <w:tabs>
          <w:tab w:val="left" w:pos="2835"/>
        </w:tabs>
      </w:pPr>
      <w:r w:rsidRPr="00A35C95">
        <w:tab/>
        <w:t>(3A)</w:t>
      </w:r>
      <w:r w:rsidRPr="00A35C95">
        <w:tab/>
        <w:t>For Subdivision 4.3, if:</w:t>
      </w:r>
    </w:p>
    <w:p w14:paraId="162F8E05" w14:textId="77777777" w:rsidR="00E93F58" w:rsidRPr="00A35C95" w:rsidRDefault="00E93F58" w:rsidP="00366AB5">
      <w:pPr>
        <w:pStyle w:val="paragraph"/>
        <w:tabs>
          <w:tab w:val="left" w:pos="2835"/>
        </w:tabs>
      </w:pPr>
      <w:r w:rsidRPr="00A35C95">
        <w:tab/>
        <w:t>(a)</w:t>
      </w:r>
      <w:r w:rsidRPr="00A35C95">
        <w:tab/>
        <w:t xml:space="preserve">a participant of Australian Stock Exchange Limited (the </w:t>
      </w:r>
      <w:r w:rsidRPr="00A35C95">
        <w:rPr>
          <w:b/>
          <w:i/>
        </w:rPr>
        <w:t>transacting participant</w:t>
      </w:r>
      <w:r w:rsidRPr="00A35C95">
        <w:t>) enters into a reportable transaction; and</w:t>
      </w:r>
    </w:p>
    <w:p w14:paraId="396822EB" w14:textId="77777777" w:rsidR="00E93F58" w:rsidRPr="00A35C95" w:rsidRDefault="00E93F58" w:rsidP="00366AB5">
      <w:pPr>
        <w:pStyle w:val="paragraph"/>
        <w:tabs>
          <w:tab w:val="left" w:pos="2835"/>
        </w:tabs>
      </w:pPr>
      <w:r w:rsidRPr="00A35C95">
        <w:tab/>
        <w:t>(b)</w:t>
      </w:r>
      <w:r w:rsidRPr="00A35C95">
        <w:tab/>
        <w:t xml:space="preserve">under the operating rules of Australian Stock Exchange Limited or ACH, a participant of the licensed CS facility operated by ACH (the </w:t>
      </w:r>
      <w:r w:rsidRPr="00A35C95">
        <w:rPr>
          <w:b/>
          <w:i/>
        </w:rPr>
        <w:t>clearing participant</w:t>
      </w:r>
      <w:r w:rsidRPr="00A35C95">
        <w:t>) has the obligation to complete the transaction and all obligations ancillary to that completion;</w:t>
      </w:r>
    </w:p>
    <w:p w14:paraId="6B1067B0" w14:textId="77777777" w:rsidR="00E93F58" w:rsidRPr="00A35C95" w:rsidRDefault="00E93F58" w:rsidP="00366AB5">
      <w:pPr>
        <w:pStyle w:val="subsection2"/>
        <w:tabs>
          <w:tab w:val="left" w:pos="2835"/>
        </w:tabs>
      </w:pPr>
      <w:r w:rsidRPr="00A35C95">
        <w:t>regulations 7.5.24 to 7.5.27 (inclusive) apply in relation to the function of completing the transaction, as if the clearing participant, and not the transacting participant, had entered into the transaction.</w:t>
      </w:r>
    </w:p>
    <w:p w14:paraId="6F66AE5D" w14:textId="77777777" w:rsidR="00E93F58" w:rsidRPr="00A35C95" w:rsidRDefault="00E93F58" w:rsidP="00366AB5">
      <w:pPr>
        <w:pStyle w:val="subsection"/>
        <w:tabs>
          <w:tab w:val="left" w:pos="2835"/>
        </w:tabs>
      </w:pPr>
      <w:r w:rsidRPr="00A35C95">
        <w:tab/>
        <w:t>(4)</w:t>
      </w:r>
      <w:r w:rsidRPr="00A35C95">
        <w:tab/>
        <w:t>For Subdivision 4.9, if:</w:t>
      </w:r>
    </w:p>
    <w:p w14:paraId="513C277C" w14:textId="77777777" w:rsidR="00E93F58" w:rsidRPr="00A35C95" w:rsidRDefault="00E93F58" w:rsidP="00366AB5">
      <w:pPr>
        <w:pStyle w:val="paragraph"/>
        <w:tabs>
          <w:tab w:val="left" w:pos="2835"/>
        </w:tabs>
      </w:pPr>
      <w:r w:rsidRPr="00A35C95">
        <w:lastRenderedPageBreak/>
        <w:tab/>
        <w:t>(a)</w:t>
      </w:r>
      <w:r w:rsidRPr="00A35C95">
        <w:tab/>
        <w:t xml:space="preserve">a participant of the licensed CS facility operated by ACH (the </w:t>
      </w:r>
      <w:r w:rsidRPr="00A35C95">
        <w:rPr>
          <w:b/>
          <w:i/>
        </w:rPr>
        <w:t>transacting member</w:t>
      </w:r>
      <w:r w:rsidRPr="00A35C95">
        <w:t>) enters into a reportable transaction; and</w:t>
      </w:r>
    </w:p>
    <w:p w14:paraId="0BC3AA13" w14:textId="77777777" w:rsidR="00E93F58" w:rsidRPr="00A35C95" w:rsidRDefault="00E93F58" w:rsidP="00366AB5">
      <w:pPr>
        <w:pStyle w:val="paragraph"/>
        <w:tabs>
          <w:tab w:val="left" w:pos="2835"/>
        </w:tabs>
      </w:pPr>
      <w:r w:rsidRPr="00A35C95">
        <w:tab/>
        <w:t>(b)</w:t>
      </w:r>
      <w:r w:rsidRPr="00A35C95">
        <w:tab/>
        <w:t xml:space="preserve">under the operating rules of ACH, another participant (the </w:t>
      </w:r>
      <w:r w:rsidRPr="00A35C95">
        <w:rPr>
          <w:b/>
          <w:i/>
        </w:rPr>
        <w:t>clearing participant</w:t>
      </w:r>
      <w:r w:rsidRPr="00A35C95">
        <w:t>) has the obligation to complete the transaction and all obligations ancillary to that completion;</w:t>
      </w:r>
    </w:p>
    <w:p w14:paraId="6C604F33" w14:textId="77777777" w:rsidR="00E93F58" w:rsidRPr="00A35C95" w:rsidRDefault="00E93F58" w:rsidP="00366AB5">
      <w:pPr>
        <w:pStyle w:val="subsection2"/>
        <w:tabs>
          <w:tab w:val="left" w:pos="2835"/>
        </w:tabs>
      </w:pPr>
      <w:r w:rsidRPr="00A35C95">
        <w:t>regulation 7.5.66 applies in relation to the function of completing the transaction as if the clearing participant, and not the transacting participant, had entered into the transaction.</w:t>
      </w:r>
    </w:p>
    <w:p w14:paraId="45CB4F7D" w14:textId="77777777" w:rsidR="00E93F58" w:rsidRPr="00A35C95" w:rsidRDefault="00E93F58" w:rsidP="00366AB5">
      <w:pPr>
        <w:pStyle w:val="subsection"/>
        <w:tabs>
          <w:tab w:val="left" w:pos="2835"/>
        </w:tabs>
      </w:pPr>
      <w:r w:rsidRPr="00A35C95">
        <w:tab/>
        <w:t>(5)</w:t>
      </w:r>
      <w:r w:rsidRPr="00A35C95">
        <w:tab/>
        <w:t>For Subdivision 4.9, if:</w:t>
      </w:r>
    </w:p>
    <w:p w14:paraId="23B540E9" w14:textId="77777777" w:rsidR="00E93F58" w:rsidRPr="00A35C95" w:rsidRDefault="00E93F58" w:rsidP="00366AB5">
      <w:pPr>
        <w:pStyle w:val="paragraph"/>
        <w:tabs>
          <w:tab w:val="left" w:pos="2835"/>
        </w:tabs>
      </w:pPr>
      <w:r w:rsidRPr="00A35C95">
        <w:tab/>
        <w:t>(a)</w:t>
      </w:r>
      <w:r w:rsidRPr="00A35C95">
        <w:tab/>
        <w:t xml:space="preserve">a participant of Australian Stock Exchange Limited (the </w:t>
      </w:r>
      <w:r w:rsidRPr="00A35C95">
        <w:rPr>
          <w:b/>
          <w:i/>
        </w:rPr>
        <w:t>transacting participant</w:t>
      </w:r>
      <w:r w:rsidRPr="00A35C95">
        <w:t>) enters into a reportable transaction; and</w:t>
      </w:r>
    </w:p>
    <w:p w14:paraId="7B87DD98" w14:textId="77777777" w:rsidR="00E93F58" w:rsidRPr="00A35C95" w:rsidRDefault="00E93F58" w:rsidP="00366AB5">
      <w:pPr>
        <w:pStyle w:val="paragraph"/>
        <w:tabs>
          <w:tab w:val="left" w:pos="2835"/>
        </w:tabs>
      </w:pPr>
      <w:r w:rsidRPr="00A35C95">
        <w:tab/>
        <w:t>(b)</w:t>
      </w:r>
      <w:r w:rsidRPr="00A35C95">
        <w:tab/>
        <w:t xml:space="preserve">under the operating rules of Australian Stock Exchange Limited or ACH, a participant of the licensed CS facility operated by ACH (the </w:t>
      </w:r>
      <w:r w:rsidRPr="00A35C95">
        <w:rPr>
          <w:b/>
          <w:i/>
        </w:rPr>
        <w:t>clearing participant</w:t>
      </w:r>
      <w:r w:rsidRPr="00A35C95">
        <w:t>) has the obligation to complete the transaction and all obligations ancillary to that completion;</w:t>
      </w:r>
    </w:p>
    <w:p w14:paraId="264CFDD7" w14:textId="77777777" w:rsidR="00E93F58" w:rsidRPr="00A35C95" w:rsidRDefault="00E93F58" w:rsidP="00366AB5">
      <w:pPr>
        <w:pStyle w:val="subsection2"/>
        <w:tabs>
          <w:tab w:val="left" w:pos="2835"/>
        </w:tabs>
      </w:pPr>
      <w:r w:rsidRPr="00A35C95">
        <w:t>regulation 7.5.66 applies in relation to the function of completing the transaction, as if the clearing participant, and not the transacting participant, had entered into the transaction.</w:t>
      </w:r>
    </w:p>
    <w:p w14:paraId="72B2F10D" w14:textId="77777777" w:rsidR="00E93F58" w:rsidRPr="00A35C95" w:rsidRDefault="00E93F58" w:rsidP="00366AB5">
      <w:pPr>
        <w:pStyle w:val="ActHead4"/>
        <w:tabs>
          <w:tab w:val="left" w:pos="2835"/>
        </w:tabs>
      </w:pPr>
      <w:bookmarkStart w:id="732" w:name="_Toc152057940"/>
      <w:bookmarkStart w:id="733" w:name="_Toc158712163"/>
      <w:r w:rsidRPr="00844D11">
        <w:rPr>
          <w:rStyle w:val="CharSubdNo"/>
        </w:rPr>
        <w:t>Subdivision 4.3</w:t>
      </w:r>
      <w:r w:rsidRPr="00A35C95">
        <w:t>—</w:t>
      </w:r>
      <w:r w:rsidRPr="00844D11">
        <w:rPr>
          <w:rStyle w:val="CharSubdText"/>
        </w:rPr>
        <w:t>Contract guarantees</w:t>
      </w:r>
      <w:bookmarkEnd w:id="732"/>
      <w:bookmarkEnd w:id="733"/>
    </w:p>
    <w:p w14:paraId="55D678A8" w14:textId="77777777" w:rsidR="00E93F58" w:rsidRPr="00A35C95" w:rsidRDefault="00E93F58" w:rsidP="00366AB5">
      <w:pPr>
        <w:pStyle w:val="ActHead5"/>
        <w:tabs>
          <w:tab w:val="left" w:pos="2835"/>
        </w:tabs>
      </w:pPr>
      <w:bookmarkStart w:id="734" w:name="_Toc152057941"/>
      <w:bookmarkStart w:id="735" w:name="_Toc158712164"/>
      <w:r w:rsidRPr="00844D11">
        <w:rPr>
          <w:rStyle w:val="CharSectno"/>
        </w:rPr>
        <w:t>7.5.24</w:t>
      </w:r>
      <w:r w:rsidRPr="00A35C95">
        <w:rPr>
          <w:sz w:val="16"/>
        </w:rPr>
        <w:t xml:space="preserve">  </w:t>
      </w:r>
      <w:r w:rsidRPr="00A35C95">
        <w:t>Claim by selling client in respect of default by selling dealer: ASTC</w:t>
      </w:r>
      <w:r>
        <w:noBreakHyphen/>
      </w:r>
      <w:r w:rsidRPr="00A35C95">
        <w:t>regulated transfer</w:t>
      </w:r>
      <w:bookmarkEnd w:id="734"/>
      <w:bookmarkEnd w:id="735"/>
    </w:p>
    <w:p w14:paraId="1FDFA577" w14:textId="77777777" w:rsidR="00E93F58" w:rsidRPr="00A35C95" w:rsidRDefault="00E93F58" w:rsidP="00366AB5">
      <w:pPr>
        <w:pStyle w:val="subsection"/>
        <w:tabs>
          <w:tab w:val="left" w:pos="2835"/>
        </w:tabs>
      </w:pPr>
      <w:r w:rsidRPr="00A35C95">
        <w:tab/>
        <w:t>(1)</w:t>
      </w:r>
      <w:r w:rsidRPr="00A35C95">
        <w:tab/>
        <w:t xml:space="preserve">This regulation applies to a person (the </w:t>
      </w:r>
      <w:r w:rsidRPr="00A35C95">
        <w:rPr>
          <w:b/>
          <w:i/>
        </w:rPr>
        <w:t>selling client</w:t>
      </w:r>
      <w:r w:rsidRPr="00A35C95">
        <w:t>) if:</w:t>
      </w:r>
    </w:p>
    <w:p w14:paraId="61DB974D"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enters into a reportable transaction on behalf of the selling client; and</w:t>
      </w:r>
    </w:p>
    <w:p w14:paraId="40485358" w14:textId="77777777" w:rsidR="00E93F58" w:rsidRPr="00A35C95" w:rsidRDefault="00E93F58" w:rsidP="00366AB5">
      <w:pPr>
        <w:pStyle w:val="paragraph"/>
        <w:tabs>
          <w:tab w:val="left" w:pos="2835"/>
        </w:tabs>
      </w:pPr>
      <w:r w:rsidRPr="00A35C95">
        <w:tab/>
        <w:t>(b)</w:t>
      </w:r>
      <w:r w:rsidRPr="00A35C95">
        <w:tab/>
        <w:t>the reportable transaction is a sale of securities; and</w:t>
      </w:r>
    </w:p>
    <w:p w14:paraId="31B21FCD" w14:textId="77777777" w:rsidR="00E93F58" w:rsidRPr="00A35C95" w:rsidRDefault="00E93F58" w:rsidP="00366AB5">
      <w:pPr>
        <w:pStyle w:val="paragraph"/>
        <w:tabs>
          <w:tab w:val="left" w:pos="2835"/>
        </w:tabs>
      </w:pPr>
      <w:r w:rsidRPr="00A35C95">
        <w:tab/>
        <w:t>(c)</w:t>
      </w:r>
      <w:r w:rsidRPr="00A35C95">
        <w:tab/>
        <w:t>a transfer of the securities concerned pursuant to the sale would be an ASTC</w:t>
      </w:r>
      <w:r>
        <w:noBreakHyphen/>
      </w:r>
      <w:r w:rsidRPr="00A35C95">
        <w:t>regulated transfer; and</w:t>
      </w:r>
    </w:p>
    <w:p w14:paraId="197AC43B" w14:textId="77777777" w:rsidR="00E93F58" w:rsidRPr="00A35C95" w:rsidRDefault="00E93F58" w:rsidP="00366AB5">
      <w:pPr>
        <w:pStyle w:val="paragraph"/>
        <w:tabs>
          <w:tab w:val="left" w:pos="2835"/>
        </w:tabs>
      </w:pPr>
      <w:r w:rsidRPr="00A35C95">
        <w:tab/>
        <w:t>(d)</w:t>
      </w:r>
      <w:r w:rsidRPr="00A35C95">
        <w:tab/>
        <w:t>at the end of the prescribed period for the transaction:</w:t>
      </w:r>
    </w:p>
    <w:p w14:paraId="15C6CD39"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if subparagraph (ii) does not apply—the selling client has done all things necessary to enable the dealer to do all things that the dealer is required to do under the </w:t>
      </w:r>
      <w:r w:rsidRPr="00A35C95">
        <w:t>operating rules of a participating market licensee or ACH</w:t>
      </w:r>
      <w:r w:rsidRPr="00A35C95">
        <w:rPr>
          <w:color w:val="000000"/>
        </w:rPr>
        <w:t xml:space="preserve"> to effect a transfer of the securities pursuant to the sale; and</w:t>
      </w:r>
    </w:p>
    <w:p w14:paraId="06BBC99E" w14:textId="77777777" w:rsidR="00E93F58" w:rsidRPr="00A35C95" w:rsidRDefault="00E93F58" w:rsidP="00366AB5">
      <w:pPr>
        <w:pStyle w:val="paragraphsub"/>
        <w:tabs>
          <w:tab w:val="left" w:pos="2835"/>
        </w:tabs>
      </w:pPr>
      <w:r w:rsidRPr="00A35C95">
        <w:tab/>
        <w:t>(ii)</w:t>
      </w:r>
      <w:r w:rsidRPr="00A35C95">
        <w:tab/>
        <w:t>the dealer has been suspended by the participating</w:t>
      </w:r>
      <w:r w:rsidRPr="00A35C95">
        <w:rPr>
          <w:bCs/>
          <w:iCs/>
        </w:rPr>
        <w:t xml:space="preserve"> </w:t>
      </w:r>
      <w:r w:rsidRPr="00A35C95">
        <w:t>market licensee concerned or ACH, that suspension has not been removed and the selling client has done, or is ready, willing and able to do, all things necessary to enable the dealer to do all things that the dealer is required to do under the operating rules of the participating market licensee or ACH to effect a transfer of the securities pursuant to the sale; and</w:t>
      </w:r>
    </w:p>
    <w:p w14:paraId="6D3277EE" w14:textId="77777777" w:rsidR="00E93F58" w:rsidRPr="00A35C95" w:rsidRDefault="00E93F58" w:rsidP="00366AB5">
      <w:pPr>
        <w:pStyle w:val="paragraphsub"/>
        <w:tabs>
          <w:tab w:val="left" w:pos="2835"/>
        </w:tabs>
      </w:pPr>
      <w:r w:rsidRPr="00A35C95">
        <w:tab/>
        <w:t>(iii)</w:t>
      </w:r>
      <w:r w:rsidRPr="00A35C95">
        <w:tab/>
        <w:t>the dealer’s obligations to the selling client in respect of the sale, in so far as they relate to the consideration for the sale, have not been discharged.</w:t>
      </w:r>
    </w:p>
    <w:p w14:paraId="442FD4E1" w14:textId="77777777" w:rsidR="00E93F58" w:rsidRPr="00A35C95" w:rsidRDefault="00E93F58" w:rsidP="00366AB5">
      <w:pPr>
        <w:pStyle w:val="subsection"/>
        <w:tabs>
          <w:tab w:val="left" w:pos="2835"/>
        </w:tabs>
      </w:pPr>
      <w:r w:rsidRPr="00A35C95">
        <w:rPr>
          <w:color w:val="000000"/>
        </w:rPr>
        <w:tab/>
        <w:t>(2)</w:t>
      </w:r>
      <w:r w:rsidRPr="00A35C95">
        <w:rPr>
          <w:color w:val="000000"/>
        </w:rPr>
        <w:tab/>
        <w:t>The selling client may make a claim in respect of the sale.</w:t>
      </w:r>
    </w:p>
    <w:p w14:paraId="7A069978" w14:textId="77777777" w:rsidR="00E93F58" w:rsidRPr="00A35C95" w:rsidRDefault="00E93F58" w:rsidP="00366AB5">
      <w:pPr>
        <w:pStyle w:val="subsection"/>
        <w:tabs>
          <w:tab w:val="left" w:pos="2835"/>
        </w:tabs>
      </w:pPr>
      <w:r w:rsidRPr="00A35C95">
        <w:tab/>
        <w:t>(3)</w:t>
      </w:r>
      <w:r w:rsidRPr="00A35C95">
        <w:tab/>
        <w:t>The selling client may make a single claim under this regulation in respect of 2 or more sales.</w:t>
      </w:r>
    </w:p>
    <w:p w14:paraId="6A3A99B6" w14:textId="77777777" w:rsidR="00E93F58" w:rsidRPr="00A35C95" w:rsidRDefault="00E93F58" w:rsidP="00366AB5">
      <w:pPr>
        <w:pStyle w:val="subsection"/>
        <w:tabs>
          <w:tab w:val="left" w:pos="2835"/>
        </w:tabs>
      </w:pPr>
      <w:r w:rsidRPr="00A35C95">
        <w:tab/>
        <w:t>(4)</w:t>
      </w:r>
      <w:r w:rsidRPr="00A35C95">
        <w:tab/>
        <w:t>A claim made under subregulation (3) is to be treated for subregulation (5) as if it consisted of a separate claim in respect of each of the sales to which it relates.</w:t>
      </w:r>
    </w:p>
    <w:p w14:paraId="6527C48A" w14:textId="77777777" w:rsidR="00E93F58" w:rsidRPr="00A35C95" w:rsidRDefault="00E93F58" w:rsidP="00366AB5">
      <w:pPr>
        <w:pStyle w:val="subsection"/>
        <w:tabs>
          <w:tab w:val="left" w:pos="2835"/>
        </w:tabs>
      </w:pPr>
      <w:r w:rsidRPr="00A35C95">
        <w:tab/>
        <w:t>(5)</w:t>
      </w:r>
      <w:r w:rsidRPr="00A35C95">
        <w:tab/>
        <w:t>The SEGC must allow the claim if the SEGC is satisfied that:</w:t>
      </w:r>
    </w:p>
    <w:p w14:paraId="41ABD1C7" w14:textId="77777777" w:rsidR="00E93F58" w:rsidRPr="00A35C95" w:rsidRDefault="00E93F58" w:rsidP="00366AB5">
      <w:pPr>
        <w:pStyle w:val="paragraph"/>
        <w:tabs>
          <w:tab w:val="left" w:pos="2835"/>
        </w:tabs>
      </w:pPr>
      <w:r w:rsidRPr="00A35C95">
        <w:rPr>
          <w:color w:val="000000"/>
        </w:rPr>
        <w:tab/>
        <w:t>(a)</w:t>
      </w:r>
      <w:r w:rsidRPr="00A35C95">
        <w:rPr>
          <w:color w:val="000000"/>
        </w:rPr>
        <w:tab/>
        <w:t>subregulation (1) entitles the selling client to make the claim; and</w:t>
      </w:r>
    </w:p>
    <w:p w14:paraId="779B8B7E" w14:textId="77777777" w:rsidR="00E93F58" w:rsidRPr="00A35C95" w:rsidRDefault="00E93F58" w:rsidP="00366AB5">
      <w:pPr>
        <w:pStyle w:val="paragraph"/>
        <w:tabs>
          <w:tab w:val="left" w:pos="2835"/>
        </w:tabs>
      </w:pPr>
      <w:r w:rsidRPr="00A35C95">
        <w:tab/>
        <w:t>(b)</w:t>
      </w:r>
      <w:r w:rsidRPr="00A35C95">
        <w:tab/>
        <w:t>the selling client:</w:t>
      </w:r>
    </w:p>
    <w:p w14:paraId="25435690"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has done all things necessary to enable the dealer to do all things that the dealer is required to do under the </w:t>
      </w:r>
      <w:r w:rsidRPr="00A35C95">
        <w:t>operating rules of ACH</w:t>
      </w:r>
      <w:r w:rsidRPr="00A35C95">
        <w:rPr>
          <w:color w:val="000000"/>
        </w:rPr>
        <w:t xml:space="preserve"> to effect a transfer of the securities pursuant to the sale; or</w:t>
      </w:r>
    </w:p>
    <w:p w14:paraId="235C9A78" w14:textId="77777777" w:rsidR="00E93F58" w:rsidRPr="00A35C95" w:rsidRDefault="00E93F58" w:rsidP="00366AB5">
      <w:pPr>
        <w:pStyle w:val="paragraphsub"/>
        <w:tabs>
          <w:tab w:val="left" w:pos="2835"/>
        </w:tabs>
      </w:pPr>
      <w:r w:rsidRPr="00A35C95">
        <w:tab/>
        <w:t>(ii)</w:t>
      </w:r>
      <w:r w:rsidRPr="00A35C95">
        <w:tab/>
        <w:t>has, for the purposes of the claim, in accordance with the operating rules of ACH, transferred to the SEGC or to an Exchange body securities of the same kind and number as the first</w:t>
      </w:r>
      <w:r>
        <w:noBreakHyphen/>
      </w:r>
      <w:r w:rsidRPr="00A35C95">
        <w:t>mentioned securities; and</w:t>
      </w:r>
    </w:p>
    <w:p w14:paraId="329EC45D" w14:textId="77777777" w:rsidR="00E93F58" w:rsidRPr="00A35C95" w:rsidRDefault="00E93F58" w:rsidP="00366AB5">
      <w:pPr>
        <w:pStyle w:val="paragraph"/>
        <w:tabs>
          <w:tab w:val="left" w:pos="2835"/>
        </w:tabs>
      </w:pPr>
      <w:r w:rsidRPr="00A35C95">
        <w:rPr>
          <w:color w:val="000000"/>
        </w:rPr>
        <w:tab/>
        <w:t>(c)</w:t>
      </w:r>
      <w:r w:rsidRPr="00A35C95">
        <w:rPr>
          <w:color w:val="000000"/>
        </w:rPr>
        <w:tab/>
        <w:t>the dealer’s obligations to the selling client in respect of the sale, in so far as they relate to the consideration for the sale, have not been discharged.</w:t>
      </w:r>
    </w:p>
    <w:p w14:paraId="0FDFE44D" w14:textId="77777777" w:rsidR="00E93F58" w:rsidRPr="00A35C95" w:rsidRDefault="00E93F58" w:rsidP="00366AB5">
      <w:pPr>
        <w:pStyle w:val="subsection"/>
        <w:tabs>
          <w:tab w:val="left" w:pos="2835"/>
        </w:tabs>
      </w:pPr>
      <w:r w:rsidRPr="00A35C95">
        <w:rPr>
          <w:color w:val="000000"/>
        </w:rPr>
        <w:tab/>
        <w:t>(6)</w:t>
      </w:r>
      <w:r w:rsidRPr="00A35C95">
        <w:rPr>
          <w:color w:val="000000"/>
        </w:rPr>
        <w:tab/>
        <w:t>If the SEGC allows a claim, the SEGC must pay to the selling client the amount of the consideration less so much (if any) of the total of any brokerage fees and other charges, and any stamp duty and other duties and taxes, payable by the selling client in connection with the sale as has not already been paid by the selling client.</w:t>
      </w:r>
    </w:p>
    <w:p w14:paraId="1B462083" w14:textId="77777777" w:rsidR="00E93F58" w:rsidRPr="00A35C95" w:rsidRDefault="00E93F58" w:rsidP="00366AB5">
      <w:pPr>
        <w:pStyle w:val="subsection"/>
        <w:tabs>
          <w:tab w:val="left" w:pos="2835"/>
        </w:tabs>
      </w:pPr>
      <w:r w:rsidRPr="00A35C95">
        <w:lastRenderedPageBreak/>
        <w:tab/>
        <w:t>(7)</w:t>
      </w:r>
      <w:r w:rsidRPr="00A35C95">
        <w:tab/>
        <w:t>If a selling client transfers securities to an Exchange body as mentioned in subparagraph (5)(b)(ii), the Exchange body must account to the SEGC for those securities in accordance with the operating rules of ACH.</w:t>
      </w:r>
    </w:p>
    <w:p w14:paraId="6C5A0074" w14:textId="77777777" w:rsidR="00E93F58" w:rsidRPr="00A35C95" w:rsidRDefault="00E93F58" w:rsidP="00366AB5">
      <w:pPr>
        <w:pStyle w:val="ActHead5"/>
        <w:tabs>
          <w:tab w:val="left" w:pos="2835"/>
        </w:tabs>
      </w:pPr>
      <w:bookmarkStart w:id="736" w:name="_Toc152057942"/>
      <w:bookmarkStart w:id="737" w:name="_Toc158712165"/>
      <w:r w:rsidRPr="00844D11">
        <w:rPr>
          <w:rStyle w:val="CharSectno"/>
        </w:rPr>
        <w:t>7.5.25</w:t>
      </w:r>
      <w:r w:rsidRPr="00A35C95">
        <w:t xml:space="preserve">  Claim by selling client in respect of default by selling dealer: transaction other than ASTC</w:t>
      </w:r>
      <w:r>
        <w:noBreakHyphen/>
      </w:r>
      <w:r w:rsidRPr="00A35C95">
        <w:t>regulated transfer</w:t>
      </w:r>
      <w:bookmarkEnd w:id="736"/>
      <w:bookmarkEnd w:id="737"/>
    </w:p>
    <w:p w14:paraId="53D04B30" w14:textId="77777777" w:rsidR="00E93F58" w:rsidRPr="00A35C95" w:rsidRDefault="00E93F58" w:rsidP="00366AB5">
      <w:pPr>
        <w:pStyle w:val="subsection"/>
        <w:tabs>
          <w:tab w:val="left" w:pos="2835"/>
        </w:tabs>
      </w:pPr>
      <w:r w:rsidRPr="00A35C95">
        <w:tab/>
        <w:t>(1)</w:t>
      </w:r>
      <w:r w:rsidRPr="00A35C95">
        <w:tab/>
        <w:t xml:space="preserve">This regulation applies to a person (the </w:t>
      </w:r>
      <w:r w:rsidRPr="00A35C95">
        <w:rPr>
          <w:b/>
          <w:i/>
        </w:rPr>
        <w:t>selling client</w:t>
      </w:r>
      <w:r w:rsidRPr="00A35C95">
        <w:t>) if:</w:t>
      </w:r>
    </w:p>
    <w:p w14:paraId="78E163C0"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enters into a reportable transaction on behalf of the selling client; and</w:t>
      </w:r>
    </w:p>
    <w:p w14:paraId="79BCAB7E" w14:textId="77777777" w:rsidR="00E93F58" w:rsidRPr="00A35C95" w:rsidRDefault="00E93F58" w:rsidP="00366AB5">
      <w:pPr>
        <w:pStyle w:val="paragraph"/>
        <w:tabs>
          <w:tab w:val="left" w:pos="2835"/>
        </w:tabs>
      </w:pPr>
      <w:r w:rsidRPr="00A35C95">
        <w:tab/>
        <w:t>(b)</w:t>
      </w:r>
      <w:r w:rsidRPr="00A35C95">
        <w:tab/>
        <w:t>the reportable transaction is a sale of securities; and</w:t>
      </w:r>
    </w:p>
    <w:p w14:paraId="560BEC98" w14:textId="77777777" w:rsidR="00E93F58" w:rsidRPr="00A35C95" w:rsidRDefault="00E93F58" w:rsidP="00366AB5">
      <w:pPr>
        <w:pStyle w:val="paragraph"/>
        <w:tabs>
          <w:tab w:val="left" w:pos="2835"/>
        </w:tabs>
      </w:pPr>
      <w:r w:rsidRPr="00A35C95">
        <w:tab/>
        <w:t>(c)</w:t>
      </w:r>
      <w:r w:rsidRPr="00A35C95">
        <w:tab/>
        <w:t>a transfer of the securities concerned pursuant to the sale would not be an ASTC</w:t>
      </w:r>
      <w:r>
        <w:noBreakHyphen/>
      </w:r>
      <w:r w:rsidRPr="00A35C95">
        <w:t>regulated transfer; and</w:t>
      </w:r>
    </w:p>
    <w:p w14:paraId="22806BBF" w14:textId="77777777" w:rsidR="00E93F58" w:rsidRPr="00A35C95" w:rsidRDefault="00E93F58" w:rsidP="00366AB5">
      <w:pPr>
        <w:pStyle w:val="paragraph"/>
        <w:tabs>
          <w:tab w:val="left" w:pos="2835"/>
        </w:tabs>
      </w:pPr>
      <w:r w:rsidRPr="00A35C95">
        <w:tab/>
        <w:t>(d)</w:t>
      </w:r>
      <w:r w:rsidRPr="00A35C95">
        <w:tab/>
        <w:t>at the end of the prescribed period for the transaction:</w:t>
      </w:r>
    </w:p>
    <w:p w14:paraId="33B240C6" w14:textId="77777777" w:rsidR="00E93F58" w:rsidRPr="00A35C95" w:rsidRDefault="00E93F58" w:rsidP="00366AB5">
      <w:pPr>
        <w:pStyle w:val="paragraphsub"/>
        <w:tabs>
          <w:tab w:val="left" w:pos="2835"/>
        </w:tabs>
      </w:pPr>
      <w:r w:rsidRPr="00A35C95">
        <w:rPr>
          <w:color w:val="000000"/>
        </w:rPr>
        <w:tab/>
        <w:t>(i)</w:t>
      </w:r>
      <w:r w:rsidRPr="00A35C95">
        <w:rPr>
          <w:color w:val="000000"/>
        </w:rPr>
        <w:tab/>
        <w:t>if subparagraph (ii) does not apply—the selling client has supplied to the dealer settlement documents for the purposes of the sale; and</w:t>
      </w:r>
    </w:p>
    <w:p w14:paraId="586BC338" w14:textId="77777777" w:rsidR="00E93F58" w:rsidRPr="00A35C95" w:rsidRDefault="00E93F58" w:rsidP="00366AB5">
      <w:pPr>
        <w:pStyle w:val="paragraphsub"/>
        <w:tabs>
          <w:tab w:val="left" w:pos="2835"/>
        </w:tabs>
      </w:pPr>
      <w:r w:rsidRPr="00A35C95">
        <w:tab/>
        <w:t>(ii)</w:t>
      </w:r>
      <w:r w:rsidRPr="00A35C95">
        <w:tab/>
        <w:t>if the dealer has been suspended by the participating market licensee concerned or ACH, and that suspension has not been removed—the selling client has supplied, or is ready, willing and able to supply, to the dealer settlement documents for the purposes of the sale; and</w:t>
      </w:r>
    </w:p>
    <w:p w14:paraId="392D2CA3" w14:textId="77777777" w:rsidR="00E93F58" w:rsidRPr="00A35C95" w:rsidRDefault="00E93F58" w:rsidP="00366AB5">
      <w:pPr>
        <w:pStyle w:val="paragraphsub"/>
        <w:tabs>
          <w:tab w:val="left" w:pos="2835"/>
        </w:tabs>
      </w:pPr>
      <w:r w:rsidRPr="00A35C95">
        <w:tab/>
        <w:t>(iii)</w:t>
      </w:r>
      <w:r w:rsidRPr="00A35C95">
        <w:tab/>
        <w:t>the dealer’s obligations to the selling client in respect of the sale, in so far as they relate to the consideration for the sale, have not been discharged.</w:t>
      </w:r>
    </w:p>
    <w:p w14:paraId="15163545" w14:textId="77777777" w:rsidR="00E93F58" w:rsidRPr="00A35C95" w:rsidRDefault="00E93F58" w:rsidP="00366AB5">
      <w:pPr>
        <w:pStyle w:val="subsection"/>
        <w:tabs>
          <w:tab w:val="left" w:pos="2835"/>
        </w:tabs>
      </w:pPr>
      <w:r w:rsidRPr="00A35C95">
        <w:rPr>
          <w:color w:val="000000"/>
        </w:rPr>
        <w:tab/>
        <w:t>(2)</w:t>
      </w:r>
      <w:r w:rsidRPr="00A35C95">
        <w:rPr>
          <w:color w:val="000000"/>
        </w:rPr>
        <w:tab/>
        <w:t>The selling client may make a claim in respect of the sale.</w:t>
      </w:r>
    </w:p>
    <w:p w14:paraId="1006598F" w14:textId="77777777" w:rsidR="00E93F58" w:rsidRPr="00A35C95" w:rsidRDefault="00E93F58" w:rsidP="00366AB5">
      <w:pPr>
        <w:pStyle w:val="subsection"/>
        <w:tabs>
          <w:tab w:val="left" w:pos="2835"/>
        </w:tabs>
      </w:pPr>
      <w:r w:rsidRPr="00A35C95">
        <w:tab/>
        <w:t>(3)</w:t>
      </w:r>
      <w:r w:rsidRPr="00A35C95">
        <w:tab/>
        <w:t>The selling client may make a single claim under this regulation in respect of 2 or more sales.</w:t>
      </w:r>
    </w:p>
    <w:p w14:paraId="5EA66CFC" w14:textId="77777777" w:rsidR="00E93F58" w:rsidRPr="00A35C95" w:rsidRDefault="00E93F58" w:rsidP="00366AB5">
      <w:pPr>
        <w:pStyle w:val="subsection"/>
        <w:tabs>
          <w:tab w:val="left" w:pos="2835"/>
        </w:tabs>
      </w:pPr>
      <w:r w:rsidRPr="00A35C95">
        <w:tab/>
        <w:t>(4)</w:t>
      </w:r>
      <w:r w:rsidRPr="00A35C95">
        <w:tab/>
        <w:t>A claim made under subregulation (3) is to be treated for subregulation (5) as if it consisted of a separate claim in respect of each of the sales to which it relates.</w:t>
      </w:r>
    </w:p>
    <w:p w14:paraId="31AFD591" w14:textId="77777777" w:rsidR="00E93F58" w:rsidRPr="00A35C95" w:rsidRDefault="00E93F58" w:rsidP="00366AB5">
      <w:pPr>
        <w:pStyle w:val="subsection"/>
        <w:tabs>
          <w:tab w:val="left" w:pos="2835"/>
        </w:tabs>
      </w:pPr>
      <w:r w:rsidRPr="00A35C95">
        <w:tab/>
        <w:t>(5)</w:t>
      </w:r>
      <w:r w:rsidRPr="00A35C95">
        <w:tab/>
        <w:t>The SEGC must allow the claim if the SEGC is satisfied that:</w:t>
      </w:r>
    </w:p>
    <w:p w14:paraId="41A0E33C" w14:textId="77777777" w:rsidR="00E93F58" w:rsidRPr="00A35C95" w:rsidRDefault="00E93F58" w:rsidP="00366AB5">
      <w:pPr>
        <w:pStyle w:val="paragraph"/>
        <w:tabs>
          <w:tab w:val="left" w:pos="2835"/>
        </w:tabs>
      </w:pPr>
      <w:r w:rsidRPr="00A35C95">
        <w:rPr>
          <w:color w:val="000000"/>
        </w:rPr>
        <w:tab/>
        <w:t>(a)</w:t>
      </w:r>
      <w:r w:rsidRPr="00A35C95">
        <w:rPr>
          <w:color w:val="000000"/>
        </w:rPr>
        <w:tab/>
        <w:t>subregulation (1) entitles the selling client to make the claim; and</w:t>
      </w:r>
    </w:p>
    <w:p w14:paraId="543A3A2E" w14:textId="77777777" w:rsidR="00E93F58" w:rsidRPr="00A35C95" w:rsidRDefault="00E93F58" w:rsidP="00366AB5">
      <w:pPr>
        <w:pStyle w:val="paragraph"/>
        <w:tabs>
          <w:tab w:val="left" w:pos="2835"/>
        </w:tabs>
      </w:pPr>
      <w:r w:rsidRPr="00A35C95">
        <w:tab/>
        <w:t>(b)</w:t>
      </w:r>
      <w:r w:rsidRPr="00A35C95">
        <w:tab/>
        <w:t>the selling client has:</w:t>
      </w:r>
    </w:p>
    <w:p w14:paraId="58D6D831" w14:textId="77777777" w:rsidR="00E93F58" w:rsidRPr="00A35C95" w:rsidRDefault="00E93F58" w:rsidP="00366AB5">
      <w:pPr>
        <w:pStyle w:val="paragraphsub"/>
        <w:tabs>
          <w:tab w:val="left" w:pos="2835"/>
        </w:tabs>
      </w:pPr>
      <w:r w:rsidRPr="00A35C95">
        <w:rPr>
          <w:color w:val="000000"/>
        </w:rPr>
        <w:tab/>
        <w:t>(i)</w:t>
      </w:r>
      <w:r w:rsidRPr="00A35C95">
        <w:rPr>
          <w:color w:val="000000"/>
        </w:rPr>
        <w:tab/>
        <w:t>supplied to the dealer settlement documents in relation to the sale under the agreement for the sale; or</w:t>
      </w:r>
    </w:p>
    <w:p w14:paraId="4530B5B4" w14:textId="77777777" w:rsidR="00E93F58" w:rsidRPr="00A35C95" w:rsidRDefault="00E93F58" w:rsidP="00366AB5">
      <w:pPr>
        <w:pStyle w:val="paragraphsub"/>
        <w:tabs>
          <w:tab w:val="left" w:pos="2835"/>
        </w:tabs>
      </w:pPr>
      <w:r w:rsidRPr="00A35C95">
        <w:tab/>
        <w:t>(ii)</w:t>
      </w:r>
      <w:r w:rsidRPr="00A35C95">
        <w:tab/>
        <w:t>supplied to the SEGC settlement documents in relation to the sale for the purposes of the claim; and</w:t>
      </w:r>
    </w:p>
    <w:p w14:paraId="78B7956D" w14:textId="77777777" w:rsidR="00E93F58" w:rsidRPr="00A35C95" w:rsidRDefault="00E93F58" w:rsidP="00366AB5">
      <w:pPr>
        <w:pStyle w:val="paragraph"/>
        <w:tabs>
          <w:tab w:val="left" w:pos="2835"/>
        </w:tabs>
      </w:pPr>
      <w:r w:rsidRPr="00A35C95">
        <w:rPr>
          <w:color w:val="000000"/>
        </w:rPr>
        <w:tab/>
        <w:t>(c)</w:t>
      </w:r>
      <w:r w:rsidRPr="00A35C95">
        <w:rPr>
          <w:color w:val="000000"/>
        </w:rPr>
        <w:tab/>
      </w:r>
      <w:r w:rsidRPr="00A35C95">
        <w:t>the dealer’s obligations</w:t>
      </w:r>
      <w:r w:rsidRPr="00A35C95">
        <w:rPr>
          <w:color w:val="000000"/>
        </w:rPr>
        <w:t xml:space="preserve"> to the selling client in respect of the sale, in so far as they relate to the consideration for the sale, have not been discharged.</w:t>
      </w:r>
    </w:p>
    <w:p w14:paraId="35EC6B0A" w14:textId="77777777" w:rsidR="00E93F58" w:rsidRPr="00A35C95" w:rsidRDefault="00E93F58" w:rsidP="00366AB5">
      <w:pPr>
        <w:pStyle w:val="subsection"/>
        <w:tabs>
          <w:tab w:val="left" w:pos="2835"/>
        </w:tabs>
      </w:pPr>
      <w:r w:rsidRPr="00A35C95">
        <w:rPr>
          <w:color w:val="000000"/>
        </w:rPr>
        <w:tab/>
        <w:t>(6)</w:t>
      </w:r>
      <w:r w:rsidRPr="00A35C95">
        <w:rPr>
          <w:color w:val="000000"/>
        </w:rPr>
        <w:tab/>
        <w:t>If the SEGC allows a claim, the SEGC must pay to the selling client the amount of the consideration less so much (if any) of the total of any brokerage fees and other charges, and any stamp duty and other duties and taxes, payable by the selling client in connection with the sale as has not already been paid by the selling client.</w:t>
      </w:r>
    </w:p>
    <w:p w14:paraId="49D31C99" w14:textId="77777777" w:rsidR="00E93F58" w:rsidRPr="00A35C95" w:rsidRDefault="00E93F58" w:rsidP="00366AB5">
      <w:pPr>
        <w:pStyle w:val="ActHead5"/>
        <w:tabs>
          <w:tab w:val="left" w:pos="2835"/>
        </w:tabs>
      </w:pPr>
      <w:bookmarkStart w:id="738" w:name="_Toc152057943"/>
      <w:bookmarkStart w:id="739" w:name="_Toc158712166"/>
      <w:r w:rsidRPr="00844D11">
        <w:rPr>
          <w:rStyle w:val="CharSectno"/>
        </w:rPr>
        <w:t>7.5.26</w:t>
      </w:r>
      <w:r w:rsidRPr="00A35C95">
        <w:rPr>
          <w:sz w:val="16"/>
        </w:rPr>
        <w:t xml:space="preserve">  </w:t>
      </w:r>
      <w:r w:rsidRPr="00A35C95">
        <w:t>Claim by buying client in respect of default by buying dealer: ASTC</w:t>
      </w:r>
      <w:r>
        <w:noBreakHyphen/>
      </w:r>
      <w:r w:rsidRPr="00A35C95">
        <w:t>regulated transfer</w:t>
      </w:r>
      <w:bookmarkEnd w:id="738"/>
      <w:bookmarkEnd w:id="739"/>
    </w:p>
    <w:p w14:paraId="42FCFBBD" w14:textId="77777777" w:rsidR="00E93F58" w:rsidRPr="00A35C95" w:rsidRDefault="00E93F58" w:rsidP="00366AB5">
      <w:pPr>
        <w:pStyle w:val="subsection"/>
        <w:tabs>
          <w:tab w:val="left" w:pos="2835"/>
        </w:tabs>
      </w:pPr>
      <w:r w:rsidRPr="00A35C95">
        <w:tab/>
        <w:t>(1)</w:t>
      </w:r>
      <w:r w:rsidRPr="00A35C95">
        <w:tab/>
        <w:t xml:space="preserve">This regulation applies to a person (the </w:t>
      </w:r>
      <w:r w:rsidRPr="00A35C95">
        <w:rPr>
          <w:b/>
          <w:i/>
        </w:rPr>
        <w:t>buying client</w:t>
      </w:r>
      <w:r w:rsidRPr="00A35C95">
        <w:t>) if:</w:t>
      </w:r>
    </w:p>
    <w:p w14:paraId="7E52598C"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enters into a reportable transaction on behalf of the buying client; and</w:t>
      </w:r>
    </w:p>
    <w:p w14:paraId="38425289" w14:textId="77777777" w:rsidR="00E93F58" w:rsidRPr="00A35C95" w:rsidRDefault="00E93F58" w:rsidP="00366AB5">
      <w:pPr>
        <w:pStyle w:val="paragraph"/>
        <w:tabs>
          <w:tab w:val="left" w:pos="2835"/>
        </w:tabs>
      </w:pPr>
      <w:r w:rsidRPr="00A35C95">
        <w:tab/>
        <w:t>(b)</w:t>
      </w:r>
      <w:r w:rsidRPr="00A35C95">
        <w:tab/>
        <w:t>the reportable transaction is a purchase of securities; and</w:t>
      </w:r>
    </w:p>
    <w:p w14:paraId="63652337" w14:textId="77777777" w:rsidR="00E93F58" w:rsidRPr="00A35C95" w:rsidRDefault="00E93F58" w:rsidP="00366AB5">
      <w:pPr>
        <w:pStyle w:val="paragraph"/>
        <w:tabs>
          <w:tab w:val="left" w:pos="2835"/>
        </w:tabs>
      </w:pPr>
      <w:r w:rsidRPr="00A35C95">
        <w:tab/>
        <w:t>(c)</w:t>
      </w:r>
      <w:r w:rsidRPr="00A35C95">
        <w:tab/>
        <w:t>a transfer of the securities concerned pursuant to the purchase would be an ASTC</w:t>
      </w:r>
      <w:r>
        <w:noBreakHyphen/>
      </w:r>
      <w:r w:rsidRPr="00A35C95">
        <w:t>regulated transfer; and</w:t>
      </w:r>
    </w:p>
    <w:p w14:paraId="3A04DFD4" w14:textId="77777777" w:rsidR="00E93F58" w:rsidRPr="00A35C95" w:rsidRDefault="00E93F58" w:rsidP="00366AB5">
      <w:pPr>
        <w:pStyle w:val="paragraph"/>
        <w:tabs>
          <w:tab w:val="left" w:pos="2835"/>
        </w:tabs>
      </w:pPr>
      <w:r w:rsidRPr="00A35C95">
        <w:tab/>
        <w:t>(d)</w:t>
      </w:r>
      <w:r w:rsidRPr="00A35C95">
        <w:tab/>
        <w:t>at the end of the prescribed period for the transaction:</w:t>
      </w:r>
    </w:p>
    <w:p w14:paraId="680BA29A" w14:textId="77777777" w:rsidR="00E93F58" w:rsidRPr="00A35C95" w:rsidRDefault="00E93F58" w:rsidP="00366AB5">
      <w:pPr>
        <w:pStyle w:val="paragraphsub"/>
        <w:tabs>
          <w:tab w:val="left" w:pos="2835"/>
        </w:tabs>
      </w:pPr>
      <w:r w:rsidRPr="00A35C95">
        <w:rPr>
          <w:color w:val="000000"/>
        </w:rPr>
        <w:tab/>
        <w:t>(i)</w:t>
      </w:r>
      <w:r w:rsidRPr="00A35C95">
        <w:rPr>
          <w:color w:val="000000"/>
        </w:rPr>
        <w:tab/>
        <w:t>if subparagraph (ii) does not apply, the buying client has paid to the dealer the purchase price in relation to the purchase; and</w:t>
      </w:r>
    </w:p>
    <w:p w14:paraId="2169DEF0" w14:textId="77777777" w:rsidR="00E93F58" w:rsidRPr="00A35C95" w:rsidRDefault="00E93F58" w:rsidP="00366AB5">
      <w:pPr>
        <w:pStyle w:val="paragraphsub"/>
        <w:tabs>
          <w:tab w:val="left" w:pos="2835"/>
        </w:tabs>
      </w:pPr>
      <w:r w:rsidRPr="00A35C95">
        <w:tab/>
        <w:t>(ii)</w:t>
      </w:r>
      <w:r w:rsidRPr="00A35C95">
        <w:tab/>
        <w:t>the dealer has been suspended by the participating market licensee concerned or ACH, that suspension has not been removed and the buying client has paid, or is ready, willing and able to pay, to the dealer the purchase price in relation to the purchase; and</w:t>
      </w:r>
    </w:p>
    <w:p w14:paraId="759A73BA" w14:textId="77777777" w:rsidR="00E93F58" w:rsidRPr="00A35C95" w:rsidRDefault="00E93F58" w:rsidP="00366AB5">
      <w:pPr>
        <w:pStyle w:val="paragraphsub"/>
        <w:tabs>
          <w:tab w:val="left" w:pos="2835"/>
        </w:tabs>
      </w:pPr>
      <w:r w:rsidRPr="00A35C95">
        <w:tab/>
        <w:t>(iii)</w:t>
      </w:r>
      <w:r w:rsidRPr="00A35C95">
        <w:tab/>
        <w:t>the dealer’s obligations to the buying client in respect of the purchase, in so far as they relate to the transfer of securities to the person, have not been discharged.</w:t>
      </w:r>
    </w:p>
    <w:p w14:paraId="41569EE8" w14:textId="77777777" w:rsidR="00E93F58" w:rsidRPr="00A35C95" w:rsidRDefault="00E93F58" w:rsidP="00366AB5">
      <w:pPr>
        <w:pStyle w:val="subsection"/>
        <w:tabs>
          <w:tab w:val="left" w:pos="2835"/>
        </w:tabs>
      </w:pPr>
      <w:r w:rsidRPr="00A35C95">
        <w:rPr>
          <w:color w:val="000000"/>
        </w:rPr>
        <w:tab/>
        <w:t>(2)</w:t>
      </w:r>
      <w:r w:rsidRPr="00A35C95">
        <w:rPr>
          <w:color w:val="000000"/>
        </w:rPr>
        <w:tab/>
        <w:t>The buying client may make a claim in respect of the purchase.</w:t>
      </w:r>
    </w:p>
    <w:p w14:paraId="331AF955" w14:textId="77777777" w:rsidR="00E93F58" w:rsidRPr="00A35C95" w:rsidRDefault="00E93F58" w:rsidP="00366AB5">
      <w:pPr>
        <w:pStyle w:val="subsection"/>
        <w:tabs>
          <w:tab w:val="left" w:pos="2835"/>
        </w:tabs>
      </w:pPr>
      <w:r w:rsidRPr="00A35C95">
        <w:tab/>
        <w:t>(3)</w:t>
      </w:r>
      <w:r w:rsidRPr="00A35C95">
        <w:tab/>
        <w:t>The buying client may make a single claim under this regulation in respect of 2 or more purchases.</w:t>
      </w:r>
    </w:p>
    <w:p w14:paraId="2CDBFD8F" w14:textId="77777777" w:rsidR="00E93F58" w:rsidRPr="00A35C95" w:rsidRDefault="00E93F58" w:rsidP="00366AB5">
      <w:pPr>
        <w:pStyle w:val="subsection"/>
        <w:tabs>
          <w:tab w:val="left" w:pos="2835"/>
        </w:tabs>
      </w:pPr>
      <w:r w:rsidRPr="00A35C95">
        <w:lastRenderedPageBreak/>
        <w:tab/>
        <w:t>(4)</w:t>
      </w:r>
      <w:r w:rsidRPr="00A35C95">
        <w:tab/>
        <w:t>A claim made under subregulation (3) is to be treated for subregulation (5) as if it consisted of a separate claim in respect of each of the purchases to which it relates.</w:t>
      </w:r>
    </w:p>
    <w:p w14:paraId="0E9B1BF6" w14:textId="77777777" w:rsidR="00E93F58" w:rsidRPr="00A35C95" w:rsidRDefault="00E93F58" w:rsidP="00366AB5">
      <w:pPr>
        <w:pStyle w:val="subsection"/>
        <w:tabs>
          <w:tab w:val="left" w:pos="2835"/>
        </w:tabs>
      </w:pPr>
      <w:r w:rsidRPr="00A35C95">
        <w:tab/>
        <w:t>(5)</w:t>
      </w:r>
      <w:r w:rsidRPr="00A35C95">
        <w:tab/>
        <w:t>The SEGC must allow the claim if the SEGC is satisfied that:</w:t>
      </w:r>
    </w:p>
    <w:p w14:paraId="6F8C6B01" w14:textId="77777777" w:rsidR="00E93F58" w:rsidRPr="00A35C95" w:rsidRDefault="00E93F58" w:rsidP="00366AB5">
      <w:pPr>
        <w:pStyle w:val="paragraph"/>
        <w:tabs>
          <w:tab w:val="left" w:pos="2835"/>
        </w:tabs>
      </w:pPr>
      <w:r w:rsidRPr="00A35C95">
        <w:rPr>
          <w:color w:val="000000"/>
        </w:rPr>
        <w:tab/>
        <w:t>(a)</w:t>
      </w:r>
      <w:r w:rsidRPr="00A35C95">
        <w:rPr>
          <w:color w:val="000000"/>
        </w:rPr>
        <w:tab/>
        <w:t>subregulation (1) entitles the buying client to make the claim; and</w:t>
      </w:r>
    </w:p>
    <w:p w14:paraId="78F1FFDE" w14:textId="77777777" w:rsidR="00E93F58" w:rsidRPr="00A35C95" w:rsidRDefault="00E93F58" w:rsidP="00366AB5">
      <w:pPr>
        <w:pStyle w:val="paragraph"/>
        <w:tabs>
          <w:tab w:val="left" w:pos="2835"/>
        </w:tabs>
      </w:pPr>
      <w:r w:rsidRPr="00A35C95">
        <w:tab/>
        <w:t>(b)</w:t>
      </w:r>
      <w:r w:rsidRPr="00A35C95">
        <w:tab/>
        <w:t>either:</w:t>
      </w:r>
    </w:p>
    <w:p w14:paraId="76F1E740" w14:textId="77777777" w:rsidR="00E93F58" w:rsidRPr="00A35C95" w:rsidRDefault="00E93F58" w:rsidP="00366AB5">
      <w:pPr>
        <w:pStyle w:val="paragraphsub"/>
        <w:tabs>
          <w:tab w:val="left" w:pos="2835"/>
        </w:tabs>
      </w:pPr>
      <w:r w:rsidRPr="00A35C95">
        <w:rPr>
          <w:color w:val="000000"/>
        </w:rPr>
        <w:tab/>
        <w:t>(i)</w:t>
      </w:r>
      <w:r w:rsidRPr="00A35C95">
        <w:rPr>
          <w:color w:val="000000"/>
        </w:rPr>
        <w:tab/>
        <w:t>the buying client has paid to the dealer the amount of the consideration for the purchase under the agreement for the purchase; or</w:t>
      </w:r>
    </w:p>
    <w:p w14:paraId="394168FA" w14:textId="77777777" w:rsidR="00E93F58" w:rsidRPr="00A35C95" w:rsidRDefault="00E93F58" w:rsidP="00366AB5">
      <w:pPr>
        <w:pStyle w:val="paragraphsub"/>
        <w:tabs>
          <w:tab w:val="left" w:pos="2835"/>
        </w:tabs>
      </w:pPr>
      <w:r w:rsidRPr="00A35C95">
        <w:tab/>
        <w:t>(ii)</w:t>
      </w:r>
      <w:r w:rsidRPr="00A35C95">
        <w:tab/>
        <w:t>the buying client has paid to the SEGC the amount of the consideration for the purchase for the purposes of the claim; and</w:t>
      </w:r>
    </w:p>
    <w:p w14:paraId="1D6519DC" w14:textId="77777777" w:rsidR="00E93F58" w:rsidRPr="00A35C95" w:rsidRDefault="00E93F58" w:rsidP="00366AB5">
      <w:pPr>
        <w:pStyle w:val="paragraph"/>
        <w:tabs>
          <w:tab w:val="left" w:pos="2835"/>
        </w:tabs>
      </w:pPr>
      <w:r w:rsidRPr="00A35C95">
        <w:rPr>
          <w:color w:val="000000"/>
        </w:rPr>
        <w:tab/>
        <w:t>(c)</w:t>
      </w:r>
      <w:r w:rsidRPr="00A35C95">
        <w:rPr>
          <w:color w:val="000000"/>
        </w:rPr>
        <w:tab/>
        <w:t>the dealer’s obligations to the buying client in respect of the purchase, in so far as they relate to the transfer of securities to the buying client, have not been discharged.</w:t>
      </w:r>
    </w:p>
    <w:p w14:paraId="4A9DDAFF" w14:textId="77777777" w:rsidR="00E93F58" w:rsidRPr="00A35C95" w:rsidRDefault="00E93F58" w:rsidP="00366AB5">
      <w:pPr>
        <w:pStyle w:val="subsection"/>
        <w:tabs>
          <w:tab w:val="left" w:pos="2835"/>
        </w:tabs>
      </w:pPr>
      <w:r w:rsidRPr="00A35C95">
        <w:rPr>
          <w:color w:val="000000"/>
        </w:rPr>
        <w:tab/>
        <w:t>(6)</w:t>
      </w:r>
      <w:r w:rsidRPr="00A35C95">
        <w:rPr>
          <w:color w:val="000000"/>
        </w:rPr>
        <w:tab/>
        <w:t>If the SEGC allows a claim in respect of a purchase of securities, the SEGC must, subject to regulation 7.5.28, transfer to the buying client securities of the same kind and number as the first</w:t>
      </w:r>
      <w:r>
        <w:rPr>
          <w:color w:val="000000"/>
        </w:rPr>
        <w:noBreakHyphen/>
      </w:r>
      <w:r w:rsidRPr="00A35C95">
        <w:rPr>
          <w:color w:val="000000"/>
        </w:rPr>
        <w:t>mentioned securities.</w:t>
      </w:r>
    </w:p>
    <w:p w14:paraId="24E74CD1" w14:textId="77777777" w:rsidR="00E93F58" w:rsidRPr="00A35C95" w:rsidRDefault="00E93F58" w:rsidP="00366AB5">
      <w:pPr>
        <w:pStyle w:val="ActHead5"/>
        <w:tabs>
          <w:tab w:val="left" w:pos="2835"/>
        </w:tabs>
      </w:pPr>
      <w:bookmarkStart w:id="740" w:name="_Toc152057944"/>
      <w:bookmarkStart w:id="741" w:name="_Toc158712167"/>
      <w:r w:rsidRPr="00844D11">
        <w:rPr>
          <w:rStyle w:val="CharSectno"/>
        </w:rPr>
        <w:t>7.5.27</w:t>
      </w:r>
      <w:r w:rsidRPr="00A35C95">
        <w:t xml:space="preserve">  Claim by buying client in respect of default by buying dealer: transaction other than ASTC</w:t>
      </w:r>
      <w:r>
        <w:noBreakHyphen/>
      </w:r>
      <w:r w:rsidRPr="00A35C95">
        <w:t>regulated transfer</w:t>
      </w:r>
      <w:bookmarkEnd w:id="740"/>
      <w:bookmarkEnd w:id="741"/>
    </w:p>
    <w:p w14:paraId="587AC225" w14:textId="77777777" w:rsidR="00E93F58" w:rsidRPr="00A35C95" w:rsidRDefault="00E93F58" w:rsidP="00366AB5">
      <w:pPr>
        <w:pStyle w:val="subsection"/>
        <w:keepNext/>
        <w:keepLines/>
        <w:tabs>
          <w:tab w:val="left" w:pos="2835"/>
        </w:tabs>
      </w:pPr>
      <w:r w:rsidRPr="00A35C95">
        <w:tab/>
        <w:t>(1)</w:t>
      </w:r>
      <w:r w:rsidRPr="00A35C95">
        <w:tab/>
        <w:t xml:space="preserve">This regulation applies to a person (the </w:t>
      </w:r>
      <w:r w:rsidRPr="00A35C95">
        <w:rPr>
          <w:b/>
          <w:i/>
        </w:rPr>
        <w:t>buying client</w:t>
      </w:r>
      <w:r w:rsidRPr="00A35C95">
        <w:t>) if:</w:t>
      </w:r>
    </w:p>
    <w:p w14:paraId="7876E592" w14:textId="77777777" w:rsidR="00E93F58" w:rsidRPr="00A35C95" w:rsidRDefault="00E93F58" w:rsidP="00366AB5">
      <w:pPr>
        <w:pStyle w:val="paragraph"/>
        <w:keepNext/>
        <w:keepLines/>
        <w:tabs>
          <w:tab w:val="left" w:pos="2835"/>
        </w:tabs>
      </w:pPr>
      <w:r w:rsidRPr="00A35C95">
        <w:rPr>
          <w:color w:val="000000"/>
        </w:rPr>
        <w:tab/>
        <w:t>(a)</w:t>
      </w:r>
      <w:r w:rsidRPr="00A35C95">
        <w:rPr>
          <w:color w:val="000000"/>
        </w:rPr>
        <w:tab/>
        <w:t>a dealer enters into a reportable transaction on behalf of the buying client; and</w:t>
      </w:r>
    </w:p>
    <w:p w14:paraId="045213F8" w14:textId="77777777" w:rsidR="00E93F58" w:rsidRPr="00A35C95" w:rsidRDefault="00E93F58" w:rsidP="00366AB5">
      <w:pPr>
        <w:pStyle w:val="paragraph"/>
        <w:tabs>
          <w:tab w:val="left" w:pos="2835"/>
        </w:tabs>
      </w:pPr>
      <w:r w:rsidRPr="00A35C95">
        <w:tab/>
        <w:t>(b)</w:t>
      </w:r>
      <w:r w:rsidRPr="00A35C95">
        <w:tab/>
        <w:t>the reportable transaction is a purchase of securities; and</w:t>
      </w:r>
    </w:p>
    <w:p w14:paraId="5BD4C35F" w14:textId="77777777" w:rsidR="00E93F58" w:rsidRPr="00A35C95" w:rsidRDefault="00E93F58" w:rsidP="00366AB5">
      <w:pPr>
        <w:pStyle w:val="paragraph"/>
        <w:tabs>
          <w:tab w:val="left" w:pos="2835"/>
        </w:tabs>
      </w:pPr>
      <w:r w:rsidRPr="00A35C95">
        <w:tab/>
        <w:t>(c)</w:t>
      </w:r>
      <w:r w:rsidRPr="00A35C95">
        <w:tab/>
        <w:t>a transfer of the securities concerned pursuant to the purchase would not be an ASTC</w:t>
      </w:r>
      <w:r>
        <w:noBreakHyphen/>
      </w:r>
      <w:r w:rsidRPr="00A35C95">
        <w:t>regulated transfer; and</w:t>
      </w:r>
    </w:p>
    <w:p w14:paraId="0C57E8C9" w14:textId="77777777" w:rsidR="00E93F58" w:rsidRPr="00A35C95" w:rsidRDefault="00E93F58" w:rsidP="00366AB5">
      <w:pPr>
        <w:pStyle w:val="paragraph"/>
        <w:tabs>
          <w:tab w:val="left" w:pos="2835"/>
        </w:tabs>
      </w:pPr>
      <w:r w:rsidRPr="00A35C95">
        <w:tab/>
        <w:t>(d)</w:t>
      </w:r>
      <w:r w:rsidRPr="00A35C95">
        <w:tab/>
        <w:t>at the end of the prescribed period for the transaction:</w:t>
      </w:r>
    </w:p>
    <w:p w14:paraId="238A0F42" w14:textId="77777777" w:rsidR="00E93F58" w:rsidRPr="00A35C95" w:rsidRDefault="00E93F58" w:rsidP="00366AB5">
      <w:pPr>
        <w:pStyle w:val="paragraphsub"/>
        <w:tabs>
          <w:tab w:val="left" w:pos="2835"/>
        </w:tabs>
      </w:pPr>
      <w:r w:rsidRPr="00A35C95">
        <w:rPr>
          <w:color w:val="000000"/>
        </w:rPr>
        <w:tab/>
        <w:t>(i)</w:t>
      </w:r>
      <w:r w:rsidRPr="00A35C95">
        <w:rPr>
          <w:color w:val="000000"/>
        </w:rPr>
        <w:tab/>
        <w:t>if subparagraph (ii) does not apply, the buying client has paid to the dealer the purchase price in relation to the purchase; and</w:t>
      </w:r>
    </w:p>
    <w:p w14:paraId="02781F36" w14:textId="77777777" w:rsidR="00E93F58" w:rsidRPr="00A35C95" w:rsidRDefault="00E93F58" w:rsidP="00366AB5">
      <w:pPr>
        <w:pStyle w:val="paragraphsub"/>
        <w:tabs>
          <w:tab w:val="left" w:pos="2835"/>
        </w:tabs>
      </w:pPr>
      <w:r w:rsidRPr="00A35C95">
        <w:tab/>
        <w:t>(ii)</w:t>
      </w:r>
      <w:r w:rsidRPr="00A35C95">
        <w:tab/>
        <w:t>the dealer has been suspended by the participating market licensee concerned or ACH, that suspension has not been removed and the buying client has paid, or is ready, willing and able to pay, to the dealer the purchase price in relation to the purchase; and</w:t>
      </w:r>
    </w:p>
    <w:p w14:paraId="555211FD" w14:textId="77777777" w:rsidR="00E93F58" w:rsidRPr="00A35C95" w:rsidRDefault="00E93F58" w:rsidP="00366AB5">
      <w:pPr>
        <w:pStyle w:val="paragraphsub"/>
        <w:tabs>
          <w:tab w:val="left" w:pos="2835"/>
        </w:tabs>
      </w:pPr>
      <w:r w:rsidRPr="00A35C95">
        <w:tab/>
        <w:t>(iii)</w:t>
      </w:r>
      <w:r w:rsidRPr="00A35C95">
        <w:tab/>
        <w:t>the dealer’s obligations to the buying client in respect of the purchase, in so far as they relate to settlement documents in relation to the purchase, have not been discharged.</w:t>
      </w:r>
    </w:p>
    <w:p w14:paraId="4888F9AB" w14:textId="77777777" w:rsidR="00E93F58" w:rsidRPr="00A35C95" w:rsidRDefault="00E93F58" w:rsidP="00366AB5">
      <w:pPr>
        <w:pStyle w:val="subsection"/>
        <w:tabs>
          <w:tab w:val="left" w:pos="2835"/>
        </w:tabs>
      </w:pPr>
      <w:r w:rsidRPr="00A35C95">
        <w:rPr>
          <w:color w:val="000000"/>
        </w:rPr>
        <w:tab/>
        <w:t>(2)</w:t>
      </w:r>
      <w:r w:rsidRPr="00A35C95">
        <w:rPr>
          <w:color w:val="000000"/>
        </w:rPr>
        <w:tab/>
        <w:t>The buying client may make a claim in respect of the purchase.</w:t>
      </w:r>
    </w:p>
    <w:p w14:paraId="49DEEF09" w14:textId="77777777" w:rsidR="00E93F58" w:rsidRPr="00A35C95" w:rsidRDefault="00E93F58" w:rsidP="00366AB5">
      <w:pPr>
        <w:pStyle w:val="subsection"/>
        <w:tabs>
          <w:tab w:val="left" w:pos="2835"/>
        </w:tabs>
      </w:pPr>
      <w:r w:rsidRPr="00A35C95">
        <w:tab/>
        <w:t>(3)</w:t>
      </w:r>
      <w:r w:rsidRPr="00A35C95">
        <w:tab/>
        <w:t>The buying client may make a single claim under this regulation in respect of 2 or more purchases.</w:t>
      </w:r>
    </w:p>
    <w:p w14:paraId="088504EA" w14:textId="77777777" w:rsidR="00E93F58" w:rsidRPr="00A35C95" w:rsidRDefault="00E93F58" w:rsidP="00366AB5">
      <w:pPr>
        <w:pStyle w:val="subsection"/>
        <w:tabs>
          <w:tab w:val="left" w:pos="2835"/>
        </w:tabs>
      </w:pPr>
      <w:r w:rsidRPr="00A35C95">
        <w:tab/>
        <w:t>(4)</w:t>
      </w:r>
      <w:r w:rsidRPr="00A35C95">
        <w:tab/>
        <w:t>A claim made under subregulation (3) is to be treated for subregulation (5) as if it consisted of a separate claim in respect of each of the purchases to which it relates.</w:t>
      </w:r>
    </w:p>
    <w:p w14:paraId="721A33E9" w14:textId="77777777" w:rsidR="00E93F58" w:rsidRPr="00A35C95" w:rsidRDefault="00E93F58" w:rsidP="00366AB5">
      <w:pPr>
        <w:pStyle w:val="subsection"/>
        <w:tabs>
          <w:tab w:val="left" w:pos="2835"/>
        </w:tabs>
      </w:pPr>
      <w:r w:rsidRPr="00A35C95">
        <w:tab/>
        <w:t>(5)</w:t>
      </w:r>
      <w:r w:rsidRPr="00A35C95">
        <w:tab/>
        <w:t>The SEGC must allow the claim if the SEGC is satisfied that:</w:t>
      </w:r>
    </w:p>
    <w:p w14:paraId="7246669B" w14:textId="77777777" w:rsidR="00E93F58" w:rsidRPr="00A35C95" w:rsidRDefault="00E93F58" w:rsidP="00366AB5">
      <w:pPr>
        <w:pStyle w:val="paragraph"/>
        <w:tabs>
          <w:tab w:val="left" w:pos="2835"/>
        </w:tabs>
      </w:pPr>
      <w:r w:rsidRPr="00A35C95">
        <w:rPr>
          <w:color w:val="000000"/>
        </w:rPr>
        <w:tab/>
        <w:t>(a)</w:t>
      </w:r>
      <w:r w:rsidRPr="00A35C95">
        <w:rPr>
          <w:color w:val="000000"/>
        </w:rPr>
        <w:tab/>
        <w:t>subregulation (1) entitles the buying client to make the claim; and</w:t>
      </w:r>
    </w:p>
    <w:p w14:paraId="11DB36FB" w14:textId="77777777" w:rsidR="00E93F58" w:rsidRPr="00A35C95" w:rsidRDefault="00E93F58" w:rsidP="00366AB5">
      <w:pPr>
        <w:pStyle w:val="paragraph"/>
        <w:tabs>
          <w:tab w:val="left" w:pos="2835"/>
        </w:tabs>
      </w:pPr>
      <w:r w:rsidRPr="00A35C95">
        <w:tab/>
        <w:t>(b)</w:t>
      </w:r>
      <w:r w:rsidRPr="00A35C95">
        <w:tab/>
        <w:t>either:</w:t>
      </w:r>
    </w:p>
    <w:p w14:paraId="21D8F99A" w14:textId="77777777" w:rsidR="00E93F58" w:rsidRPr="00A35C95" w:rsidRDefault="00E93F58" w:rsidP="00366AB5">
      <w:pPr>
        <w:pStyle w:val="paragraphsub"/>
        <w:tabs>
          <w:tab w:val="left" w:pos="2835"/>
        </w:tabs>
      </w:pPr>
      <w:r w:rsidRPr="00A35C95">
        <w:rPr>
          <w:color w:val="000000"/>
        </w:rPr>
        <w:tab/>
        <w:t>(i)</w:t>
      </w:r>
      <w:r w:rsidRPr="00A35C95">
        <w:rPr>
          <w:color w:val="000000"/>
        </w:rPr>
        <w:tab/>
        <w:t>the buying client has paid to the dealer the amount of the consideration for the purchase under the agreement for the purchase; or</w:t>
      </w:r>
    </w:p>
    <w:p w14:paraId="1BEC4830" w14:textId="77777777" w:rsidR="00E93F58" w:rsidRPr="00A35C95" w:rsidRDefault="00E93F58" w:rsidP="00366AB5">
      <w:pPr>
        <w:pStyle w:val="paragraphsub"/>
        <w:tabs>
          <w:tab w:val="left" w:pos="2835"/>
        </w:tabs>
      </w:pPr>
      <w:r w:rsidRPr="00A35C95">
        <w:tab/>
        <w:t>(ii)</w:t>
      </w:r>
      <w:r w:rsidRPr="00A35C95">
        <w:tab/>
        <w:t>the buying client has paid to the SEGC the amount of the consideration for the purchase for the purposes of the claim; and</w:t>
      </w:r>
    </w:p>
    <w:p w14:paraId="529A189A" w14:textId="77777777" w:rsidR="00E93F58" w:rsidRPr="00A35C95" w:rsidRDefault="00E93F58" w:rsidP="00366AB5">
      <w:pPr>
        <w:pStyle w:val="paragraph"/>
        <w:tabs>
          <w:tab w:val="left" w:pos="2835"/>
        </w:tabs>
      </w:pPr>
      <w:r w:rsidRPr="00A35C95">
        <w:rPr>
          <w:color w:val="000000"/>
        </w:rPr>
        <w:tab/>
        <w:t>(c)</w:t>
      </w:r>
      <w:r w:rsidRPr="00A35C95">
        <w:rPr>
          <w:color w:val="000000"/>
        </w:rPr>
        <w:tab/>
        <w:t>the dealer’s obligations to the buying client in respect of the purchase, in so far as they relate to settlement documents in relation to the purchase, have not been discharged.</w:t>
      </w:r>
    </w:p>
    <w:p w14:paraId="7CAEAA80" w14:textId="77777777" w:rsidR="00E93F58" w:rsidRPr="00A35C95" w:rsidRDefault="00E93F58" w:rsidP="00366AB5">
      <w:pPr>
        <w:pStyle w:val="subsection"/>
        <w:tabs>
          <w:tab w:val="left" w:pos="2835"/>
        </w:tabs>
      </w:pPr>
      <w:r w:rsidRPr="00A35C95">
        <w:rPr>
          <w:color w:val="000000"/>
        </w:rPr>
        <w:tab/>
        <w:t>(6)</w:t>
      </w:r>
      <w:r w:rsidRPr="00A35C95">
        <w:rPr>
          <w:color w:val="000000"/>
        </w:rPr>
        <w:tab/>
        <w:t>If the SEGC allows a claim in respect of a purchase of securities, the SEGC must, subject to regulation 7.5.29, supply to the buying client settlement documents in relation to the purchase.</w:t>
      </w:r>
    </w:p>
    <w:p w14:paraId="53CFF98B" w14:textId="77777777" w:rsidR="00E93F58" w:rsidRPr="00A35C95" w:rsidRDefault="00E93F58" w:rsidP="00366AB5">
      <w:pPr>
        <w:pStyle w:val="ActHead5"/>
        <w:tabs>
          <w:tab w:val="left" w:pos="2835"/>
        </w:tabs>
      </w:pPr>
      <w:bookmarkStart w:id="742" w:name="_Toc152057945"/>
      <w:bookmarkStart w:id="743" w:name="_Toc158712168"/>
      <w:r w:rsidRPr="00844D11">
        <w:rPr>
          <w:rStyle w:val="CharSectno"/>
        </w:rPr>
        <w:t>7.5.28</w:t>
      </w:r>
      <w:r w:rsidRPr="00A35C95">
        <w:t xml:space="preserve">  Cash settlement of claim: ASTC</w:t>
      </w:r>
      <w:r>
        <w:noBreakHyphen/>
      </w:r>
      <w:r w:rsidRPr="00A35C95">
        <w:t>regulated transfer</w:t>
      </w:r>
      <w:bookmarkEnd w:id="742"/>
      <w:bookmarkEnd w:id="743"/>
    </w:p>
    <w:p w14:paraId="6CA52BE0" w14:textId="77777777" w:rsidR="00E93F58" w:rsidRPr="00A35C95" w:rsidRDefault="00E93F58" w:rsidP="00366AB5">
      <w:pPr>
        <w:pStyle w:val="subsection"/>
        <w:tabs>
          <w:tab w:val="left" w:pos="2835"/>
        </w:tabs>
      </w:pPr>
      <w:r w:rsidRPr="00A35C95">
        <w:tab/>
        <w:t>(1)</w:t>
      </w:r>
      <w:r w:rsidRPr="00A35C95">
        <w:tab/>
        <w:t>This regulation applies if:</w:t>
      </w:r>
    </w:p>
    <w:p w14:paraId="17911D2C" w14:textId="77777777" w:rsidR="00E93F58" w:rsidRPr="00A35C95" w:rsidRDefault="00E93F58" w:rsidP="00366AB5">
      <w:pPr>
        <w:pStyle w:val="paragraph"/>
        <w:tabs>
          <w:tab w:val="left" w:pos="2835"/>
        </w:tabs>
      </w:pPr>
      <w:r w:rsidRPr="00A35C95">
        <w:tab/>
        <w:t>(a)</w:t>
      </w:r>
      <w:r w:rsidRPr="00A35C95">
        <w:tab/>
        <w:t>the SEGC allows a claim under subregulation 7.5.26(5) in respect of a purchase of securities by a dealer on behalf of a buying client; and</w:t>
      </w:r>
    </w:p>
    <w:p w14:paraId="3518F0EF" w14:textId="77777777" w:rsidR="00E93F58" w:rsidRPr="00A35C95" w:rsidRDefault="00E93F58" w:rsidP="00366AB5">
      <w:pPr>
        <w:pStyle w:val="paragraph"/>
        <w:tabs>
          <w:tab w:val="left" w:pos="2835"/>
        </w:tabs>
      </w:pPr>
      <w:r w:rsidRPr="00A35C95">
        <w:tab/>
        <w:t>(b)</w:t>
      </w:r>
      <w:r w:rsidRPr="00A35C95">
        <w:tab/>
        <w:t>it is not reasonably practicable for the SEGC to obtain securities of the same kind and number as the first</w:t>
      </w:r>
      <w:r>
        <w:noBreakHyphen/>
      </w:r>
      <w:r w:rsidRPr="00A35C95">
        <w:t>mentioned securities from the dealer before the end of:</w:t>
      </w:r>
    </w:p>
    <w:p w14:paraId="18DFD366" w14:textId="77777777" w:rsidR="00E93F58" w:rsidRPr="00A35C95" w:rsidRDefault="00E93F58" w:rsidP="00366AB5">
      <w:pPr>
        <w:pStyle w:val="paragraphsub"/>
        <w:tabs>
          <w:tab w:val="left" w:pos="2835"/>
        </w:tabs>
      </w:pPr>
      <w:r w:rsidRPr="00A35C95">
        <w:rPr>
          <w:color w:val="000000"/>
        </w:rPr>
        <w:lastRenderedPageBreak/>
        <w:tab/>
        <w:t>(i)</w:t>
      </w:r>
      <w:r w:rsidRPr="00A35C95">
        <w:rPr>
          <w:color w:val="000000"/>
        </w:rPr>
        <w:tab/>
        <w:t>if the ASTC operating rules, as in force when the SEGC allows the claim, prescribe a period, for this regulation, in relation to a class of claims that includes the claim—that period; or</w:t>
      </w:r>
    </w:p>
    <w:p w14:paraId="5DBDA9F9" w14:textId="77777777" w:rsidR="00E93F58" w:rsidRPr="00A35C95" w:rsidRDefault="00E93F58" w:rsidP="00366AB5">
      <w:pPr>
        <w:pStyle w:val="paragraphsub"/>
        <w:tabs>
          <w:tab w:val="left" w:pos="2835"/>
        </w:tabs>
      </w:pPr>
      <w:r w:rsidRPr="00A35C95">
        <w:tab/>
        <w:t>(ii)</w:t>
      </w:r>
      <w:r w:rsidRPr="00A35C95">
        <w:tab/>
        <w:t>in any other case—such period as the SEGC, having regard to all the circumstances of the claim, considers reasonable; and</w:t>
      </w:r>
    </w:p>
    <w:p w14:paraId="502E9EF5" w14:textId="77777777" w:rsidR="00E93F58" w:rsidRPr="00A35C95" w:rsidRDefault="00E93F58" w:rsidP="00366AB5">
      <w:pPr>
        <w:pStyle w:val="paragraph"/>
        <w:tabs>
          <w:tab w:val="left" w:pos="2835"/>
        </w:tabs>
      </w:pPr>
      <w:r w:rsidRPr="00A35C95">
        <w:tab/>
        <w:t>(c)</w:t>
      </w:r>
      <w:r w:rsidRPr="00A35C95">
        <w:tab/>
        <w:t>it is not reasonably practicable for the SEGC to obtain, otherwise than from the dealer, securities of that kind and number before the end of that period because:</w:t>
      </w:r>
    </w:p>
    <w:p w14:paraId="2794ED41" w14:textId="77777777" w:rsidR="00E93F58" w:rsidRPr="00A35C95" w:rsidRDefault="00E93F58" w:rsidP="00366AB5">
      <w:pPr>
        <w:pStyle w:val="paragraphsub"/>
        <w:tabs>
          <w:tab w:val="left" w:pos="2835"/>
        </w:tabs>
      </w:pPr>
      <w:r w:rsidRPr="00A35C95">
        <w:rPr>
          <w:color w:val="000000"/>
        </w:rPr>
        <w:tab/>
        <w:t>(i)</w:t>
      </w:r>
      <w:r w:rsidRPr="00A35C95">
        <w:rPr>
          <w:color w:val="000000"/>
        </w:rPr>
        <w:tab/>
        <w:t>that dealing in those securities is suspended or for any other reason, there exists at no time during that period an orderly market in those securities; or</w:t>
      </w:r>
    </w:p>
    <w:p w14:paraId="175E9EB2" w14:textId="77777777" w:rsidR="00E93F58" w:rsidRPr="00A35C95" w:rsidRDefault="00E93F58" w:rsidP="00366AB5">
      <w:pPr>
        <w:pStyle w:val="paragraphsub"/>
        <w:tabs>
          <w:tab w:val="left" w:pos="2835"/>
        </w:tabs>
      </w:pPr>
      <w:r w:rsidRPr="00A35C95">
        <w:tab/>
        <w:t>(ii)</w:t>
      </w:r>
      <w:r w:rsidRPr="00A35C95">
        <w:tab/>
        <w:t>the total number of those securities offered for sale on financial markets of participating market licensees or Exchange bodies at times during that period when there exists an orderly market in those securities is insufficient.</w:t>
      </w:r>
    </w:p>
    <w:p w14:paraId="23FAE277" w14:textId="77777777" w:rsidR="00E93F58" w:rsidRPr="00A35C95" w:rsidRDefault="00E93F58" w:rsidP="00366AB5">
      <w:pPr>
        <w:pStyle w:val="subsection"/>
        <w:tabs>
          <w:tab w:val="left" w:pos="2835"/>
        </w:tabs>
      </w:pPr>
      <w:r w:rsidRPr="00A35C95">
        <w:rPr>
          <w:color w:val="000000"/>
        </w:rPr>
        <w:tab/>
        <w:t>(2)</w:t>
      </w:r>
      <w:r w:rsidRPr="00A35C95">
        <w:rPr>
          <w:color w:val="000000"/>
        </w:rPr>
        <w:tab/>
        <w:t>The SEGC must satisfy the claim by paying to the claimant the amount that, when the claimant became entitled to make the claim, was the amount of the actual pecuniary loss suffered by the claimant in respect of the purchase.</w:t>
      </w:r>
    </w:p>
    <w:p w14:paraId="6ACEB3DD" w14:textId="77777777" w:rsidR="00E93F58" w:rsidRPr="00A35C95" w:rsidRDefault="00E93F58" w:rsidP="00366AB5">
      <w:pPr>
        <w:pStyle w:val="ActHead5"/>
        <w:tabs>
          <w:tab w:val="left" w:pos="2835"/>
        </w:tabs>
      </w:pPr>
      <w:bookmarkStart w:id="744" w:name="_Toc152057946"/>
      <w:bookmarkStart w:id="745" w:name="_Toc158712169"/>
      <w:r w:rsidRPr="00844D11">
        <w:rPr>
          <w:rStyle w:val="CharSectno"/>
        </w:rPr>
        <w:t>7.5.29</w:t>
      </w:r>
      <w:r w:rsidRPr="00A35C95">
        <w:t xml:space="preserve">  Cash settlement of claim: transfer other than ASTC</w:t>
      </w:r>
      <w:r>
        <w:noBreakHyphen/>
      </w:r>
      <w:r w:rsidRPr="00A35C95">
        <w:t>regulated transfer</w:t>
      </w:r>
      <w:bookmarkEnd w:id="744"/>
      <w:bookmarkEnd w:id="745"/>
    </w:p>
    <w:p w14:paraId="16D70DD0" w14:textId="77777777" w:rsidR="00E93F58" w:rsidRPr="00A35C95" w:rsidRDefault="00E93F58" w:rsidP="00366AB5">
      <w:pPr>
        <w:pStyle w:val="subsection"/>
        <w:tabs>
          <w:tab w:val="left" w:pos="2835"/>
        </w:tabs>
      </w:pPr>
      <w:r w:rsidRPr="00A35C95">
        <w:tab/>
        <w:t>(1)</w:t>
      </w:r>
      <w:r w:rsidRPr="00A35C95">
        <w:tab/>
        <w:t>This regulation applies if:</w:t>
      </w:r>
    </w:p>
    <w:p w14:paraId="5339A706" w14:textId="77777777" w:rsidR="00E93F58" w:rsidRPr="00A35C95" w:rsidRDefault="00E93F58" w:rsidP="00366AB5">
      <w:pPr>
        <w:pStyle w:val="paragraph"/>
        <w:tabs>
          <w:tab w:val="left" w:pos="2835"/>
        </w:tabs>
      </w:pPr>
      <w:r w:rsidRPr="00A35C95">
        <w:tab/>
        <w:t>(a)</w:t>
      </w:r>
      <w:r w:rsidRPr="00A35C95">
        <w:tab/>
        <w:t>the SEGC allows a claim under subregulation 7.5.27(5) in respect of a purchase of securities by a dealer on behalf of a buying client; and</w:t>
      </w:r>
    </w:p>
    <w:p w14:paraId="65C96F70" w14:textId="77777777" w:rsidR="00E93F58" w:rsidRPr="00A35C95" w:rsidRDefault="00E93F58" w:rsidP="00366AB5">
      <w:pPr>
        <w:pStyle w:val="paragraph"/>
        <w:tabs>
          <w:tab w:val="left" w:pos="2835"/>
        </w:tabs>
      </w:pPr>
      <w:r w:rsidRPr="00A35C95">
        <w:tab/>
        <w:t>(b)</w:t>
      </w:r>
      <w:r w:rsidRPr="00A35C95">
        <w:tab/>
        <w:t>it is not reasonably practicable for the SEGC to obtain from the dealer settlement documents in relation to the purchase before the end of:</w:t>
      </w:r>
    </w:p>
    <w:p w14:paraId="7BC508DB" w14:textId="77777777" w:rsidR="00E93F58" w:rsidRPr="00A35C95" w:rsidRDefault="00E93F58" w:rsidP="00366AB5">
      <w:pPr>
        <w:pStyle w:val="paragraphsub"/>
        <w:tabs>
          <w:tab w:val="left" w:pos="2835"/>
        </w:tabs>
      </w:pPr>
      <w:r w:rsidRPr="00A35C95">
        <w:rPr>
          <w:color w:val="000000"/>
        </w:rPr>
        <w:tab/>
        <w:t>(i)</w:t>
      </w:r>
      <w:r w:rsidRPr="00A35C95">
        <w:rPr>
          <w:color w:val="000000"/>
        </w:rPr>
        <w:tab/>
        <w:t>if the operating rules of a participating market licensee of which the dealer is a participant, being those operating rules as in force when the SEGC allows the claim, prescribe a period, for this regulation, in relation to a class of claims that includes the claim—that period; or</w:t>
      </w:r>
    </w:p>
    <w:p w14:paraId="50F1AC59" w14:textId="77777777" w:rsidR="00E93F58" w:rsidRPr="00A35C95" w:rsidRDefault="00E93F58" w:rsidP="00366AB5">
      <w:pPr>
        <w:pStyle w:val="paragraphsub"/>
        <w:tabs>
          <w:tab w:val="left" w:pos="2835"/>
        </w:tabs>
      </w:pPr>
      <w:r w:rsidRPr="00A35C95">
        <w:tab/>
        <w:t>(ii)</w:t>
      </w:r>
      <w:r w:rsidRPr="00A35C95">
        <w:tab/>
        <w:t>in any other case—such period as the SEGC, having regard to all the circumstances of the claim, considers reasonable; and</w:t>
      </w:r>
    </w:p>
    <w:p w14:paraId="626DB6A9" w14:textId="77777777" w:rsidR="00E93F58" w:rsidRPr="00A35C95" w:rsidRDefault="00E93F58" w:rsidP="00366AB5">
      <w:pPr>
        <w:pStyle w:val="paragraph"/>
        <w:tabs>
          <w:tab w:val="left" w:pos="2835"/>
        </w:tabs>
      </w:pPr>
      <w:r w:rsidRPr="00A35C95">
        <w:tab/>
        <w:t>(c)</w:t>
      </w:r>
      <w:r w:rsidRPr="00A35C95">
        <w:tab/>
        <w:t>it is not reasonably practicable for the SEGC to obtain otherwise than from the dealer settlement documents in relation to the purchase before the end of that period because:</w:t>
      </w:r>
    </w:p>
    <w:p w14:paraId="2605538D" w14:textId="77777777" w:rsidR="00E93F58" w:rsidRPr="00A35C95" w:rsidRDefault="00E93F58" w:rsidP="00366AB5">
      <w:pPr>
        <w:pStyle w:val="paragraphsub"/>
        <w:tabs>
          <w:tab w:val="left" w:pos="2835"/>
        </w:tabs>
      </w:pPr>
      <w:r w:rsidRPr="00A35C95">
        <w:rPr>
          <w:color w:val="000000"/>
        </w:rPr>
        <w:tab/>
        <w:t>(i)</w:t>
      </w:r>
      <w:r w:rsidRPr="00A35C95">
        <w:rPr>
          <w:color w:val="000000"/>
        </w:rPr>
        <w:tab/>
        <w:t>there exists at no time during that period an orderly market in those securities, whether because that dealing in those securities is suspended or for any other reason; or</w:t>
      </w:r>
    </w:p>
    <w:p w14:paraId="3563201D" w14:textId="77777777" w:rsidR="00E93F58" w:rsidRPr="00A35C95" w:rsidRDefault="00E93F58" w:rsidP="00366AB5">
      <w:pPr>
        <w:pStyle w:val="paragraphsub"/>
        <w:tabs>
          <w:tab w:val="left" w:pos="2835"/>
        </w:tabs>
      </w:pPr>
      <w:r w:rsidRPr="00A35C95">
        <w:tab/>
        <w:t>(ii)</w:t>
      </w:r>
      <w:r w:rsidRPr="00A35C95">
        <w:tab/>
        <w:t>the total number of those securities offered for sale on financial markets of participating market licensees or Exchange bodies at times during that period when there exists an orderly market in those securities is insufficient.</w:t>
      </w:r>
    </w:p>
    <w:p w14:paraId="36D3D4D9" w14:textId="77777777" w:rsidR="00E93F58" w:rsidRPr="00A35C95" w:rsidRDefault="00E93F58" w:rsidP="00366AB5">
      <w:pPr>
        <w:pStyle w:val="subsection"/>
        <w:tabs>
          <w:tab w:val="left" w:pos="2835"/>
        </w:tabs>
      </w:pPr>
      <w:r w:rsidRPr="00A35C95">
        <w:rPr>
          <w:color w:val="000000"/>
        </w:rPr>
        <w:tab/>
        <w:t>(2)</w:t>
      </w:r>
      <w:r w:rsidRPr="00A35C95">
        <w:rPr>
          <w:color w:val="000000"/>
        </w:rPr>
        <w:tab/>
        <w:t>The SEGC must satisfy the claim by paying to the claimant the amount that, when the claimant became entitled to make the claim, was the amount of the actual pecuniary loss suffered by the claimant in respect of the purchase.</w:t>
      </w:r>
    </w:p>
    <w:p w14:paraId="77995A47" w14:textId="77777777" w:rsidR="00E93F58" w:rsidRPr="00A35C95" w:rsidRDefault="00E93F58" w:rsidP="00366AB5">
      <w:pPr>
        <w:pStyle w:val="ActHead5"/>
        <w:tabs>
          <w:tab w:val="left" w:pos="2835"/>
        </w:tabs>
      </w:pPr>
      <w:bookmarkStart w:id="746" w:name="_Toc152057947"/>
      <w:bookmarkStart w:id="747" w:name="_Toc158712170"/>
      <w:r w:rsidRPr="00844D11">
        <w:rPr>
          <w:rStyle w:val="CharSectno"/>
        </w:rPr>
        <w:t>7.5.30</w:t>
      </w:r>
      <w:r w:rsidRPr="00A35C95">
        <w:t xml:space="preserve">  Making of claims</w:t>
      </w:r>
      <w:bookmarkEnd w:id="746"/>
      <w:bookmarkEnd w:id="747"/>
    </w:p>
    <w:p w14:paraId="512940A4" w14:textId="77777777" w:rsidR="00E93F58" w:rsidRPr="00A35C95" w:rsidRDefault="00E93F58" w:rsidP="00366AB5">
      <w:pPr>
        <w:pStyle w:val="subsection"/>
        <w:tabs>
          <w:tab w:val="left" w:pos="2835"/>
        </w:tabs>
      </w:pPr>
      <w:r w:rsidRPr="00A35C95">
        <w:rPr>
          <w:color w:val="000000"/>
        </w:rPr>
        <w:tab/>
        <w:t>(2)</w:t>
      </w:r>
      <w:r w:rsidRPr="00A35C95">
        <w:rPr>
          <w:color w:val="000000"/>
        </w:rPr>
        <w:tab/>
        <w:t>Subregulations 7.5.24(1), 7.5.25(1), 7.5.26(1) and 7.5.27(1) do not entitle a person (</w:t>
      </w:r>
      <w:r w:rsidRPr="00A35C95">
        <w:rPr>
          <w:b/>
          <w:i/>
          <w:color w:val="000000"/>
        </w:rPr>
        <w:t>person 1</w:t>
      </w:r>
      <w:r w:rsidRPr="00A35C95">
        <w:rPr>
          <w:color w:val="000000"/>
        </w:rPr>
        <w:t>) to make a claim in respect of:</w:t>
      </w:r>
    </w:p>
    <w:p w14:paraId="36A1AE51" w14:textId="77777777" w:rsidR="00E93F58" w:rsidRPr="00A35C95" w:rsidRDefault="00E93F58" w:rsidP="00366AB5">
      <w:pPr>
        <w:pStyle w:val="paragraph"/>
        <w:tabs>
          <w:tab w:val="left" w:pos="2835"/>
        </w:tabs>
      </w:pPr>
      <w:r w:rsidRPr="00A35C95">
        <w:rPr>
          <w:color w:val="000000"/>
        </w:rPr>
        <w:tab/>
        <w:t>(a)</w:t>
      </w:r>
      <w:r w:rsidRPr="00A35C95">
        <w:rPr>
          <w:color w:val="000000"/>
        </w:rPr>
        <w:tab/>
        <w:t>a sale of securities by another person on behalf of person 1; or</w:t>
      </w:r>
    </w:p>
    <w:p w14:paraId="73A931FD" w14:textId="77777777" w:rsidR="00E93F58" w:rsidRPr="00A35C95" w:rsidRDefault="00E93F58" w:rsidP="00366AB5">
      <w:pPr>
        <w:pStyle w:val="paragraph"/>
        <w:tabs>
          <w:tab w:val="left" w:pos="2835"/>
        </w:tabs>
      </w:pPr>
      <w:r w:rsidRPr="00A35C95">
        <w:tab/>
        <w:t>(b)</w:t>
      </w:r>
      <w:r w:rsidRPr="00A35C95">
        <w:tab/>
        <w:t>a purchase of securities by another person on behalf of person 1;</w:t>
      </w:r>
    </w:p>
    <w:p w14:paraId="3CEFAB93" w14:textId="77777777" w:rsidR="00E93F58" w:rsidRPr="00A35C95" w:rsidRDefault="00E93F58" w:rsidP="00366AB5">
      <w:pPr>
        <w:pStyle w:val="subsection2"/>
        <w:tabs>
          <w:tab w:val="left" w:pos="2835"/>
        </w:tabs>
      </w:pPr>
      <w:r w:rsidRPr="00A35C95">
        <w:rPr>
          <w:color w:val="000000"/>
        </w:rPr>
        <w:t>as the case may be, unless, on the day on which the agreement for the sale or purchase was entered into, the other person was a participant and carried on a securities business in Australia.</w:t>
      </w:r>
    </w:p>
    <w:p w14:paraId="5195F933" w14:textId="77777777" w:rsidR="00E93F58" w:rsidRPr="00A35C95" w:rsidRDefault="00E93F58" w:rsidP="00366AB5">
      <w:pPr>
        <w:pStyle w:val="subsection"/>
        <w:tabs>
          <w:tab w:val="left" w:pos="2835"/>
        </w:tabs>
      </w:pPr>
      <w:r w:rsidRPr="00A35C95">
        <w:rPr>
          <w:color w:val="000000"/>
        </w:rPr>
        <w:tab/>
        <w:t>(3)</w:t>
      </w:r>
      <w:r w:rsidRPr="00A35C95">
        <w:rPr>
          <w:color w:val="000000"/>
        </w:rPr>
        <w:tab/>
        <w:t>A claim must be in writing and must be served on the SEGC within 6 months after the day on which the claimant became entitled to make the claim.</w:t>
      </w:r>
    </w:p>
    <w:p w14:paraId="0185E85B" w14:textId="77777777" w:rsidR="00E93F58" w:rsidRPr="00A35C95" w:rsidRDefault="00E93F58" w:rsidP="00366AB5">
      <w:pPr>
        <w:pStyle w:val="subsection"/>
        <w:tabs>
          <w:tab w:val="left" w:pos="2835"/>
        </w:tabs>
      </w:pPr>
      <w:r w:rsidRPr="00A35C95">
        <w:tab/>
        <w:t>(4)</w:t>
      </w:r>
      <w:r w:rsidRPr="00A35C95">
        <w:tab/>
        <w:t>A claim that is not made within the period prescribed by subregulation (3) is barred unless the SEGC otherwise determines.</w:t>
      </w:r>
    </w:p>
    <w:p w14:paraId="092FA1D6" w14:textId="77777777" w:rsidR="00E93F58" w:rsidRPr="00A35C95" w:rsidRDefault="00E93F58" w:rsidP="00366AB5">
      <w:pPr>
        <w:pStyle w:val="subsection"/>
        <w:tabs>
          <w:tab w:val="left" w:pos="2835"/>
        </w:tabs>
      </w:pPr>
      <w:r w:rsidRPr="00A35C95">
        <w:tab/>
        <w:t>(5)</w:t>
      </w:r>
      <w:r w:rsidRPr="00A35C95">
        <w:tab/>
        <w:t>The SEGC may publish, in each State and Territory in a daily newspaper circulating in that State or Territory, a notice that:</w:t>
      </w:r>
    </w:p>
    <w:p w14:paraId="036039C2" w14:textId="77777777" w:rsidR="00E93F58" w:rsidRPr="00A35C95" w:rsidRDefault="00E93F58" w:rsidP="00366AB5">
      <w:pPr>
        <w:pStyle w:val="paragraph"/>
        <w:tabs>
          <w:tab w:val="left" w:pos="2835"/>
        </w:tabs>
      </w:pPr>
      <w:r w:rsidRPr="00A35C95">
        <w:rPr>
          <w:color w:val="000000"/>
        </w:rPr>
        <w:tab/>
        <w:t>(b)</w:t>
      </w:r>
      <w:r w:rsidRPr="00A35C95">
        <w:rPr>
          <w:color w:val="000000"/>
        </w:rPr>
        <w:tab/>
        <w:t>names a particular dealer; and</w:t>
      </w:r>
    </w:p>
    <w:p w14:paraId="1D946A22" w14:textId="77777777" w:rsidR="00E93F58" w:rsidRPr="00A35C95" w:rsidRDefault="00E93F58" w:rsidP="00366AB5">
      <w:pPr>
        <w:pStyle w:val="paragraph"/>
        <w:tabs>
          <w:tab w:val="left" w:pos="2835"/>
        </w:tabs>
      </w:pPr>
      <w:r w:rsidRPr="00A35C95">
        <w:tab/>
        <w:t>(c)</w:t>
      </w:r>
      <w:r w:rsidRPr="00A35C95">
        <w:tab/>
        <w:t xml:space="preserve">requires that all claims under this Subdivision, by the named dealer, during a period (the </w:t>
      </w:r>
      <w:r w:rsidRPr="00A35C95">
        <w:rPr>
          <w:b/>
          <w:i/>
        </w:rPr>
        <w:t>applicable period</w:t>
      </w:r>
      <w:r w:rsidRPr="00A35C95">
        <w:t xml:space="preserve">) specified in the notice in accordance with subregulation (6) must be served on the SEGC before the day (the </w:t>
      </w:r>
      <w:r w:rsidRPr="00A35C95">
        <w:rPr>
          <w:b/>
          <w:i/>
        </w:rPr>
        <w:t>last application day</w:t>
      </w:r>
      <w:r w:rsidRPr="00A35C95">
        <w:t>) specified in the notice in accordance with subregulation (7).</w:t>
      </w:r>
    </w:p>
    <w:p w14:paraId="61B86158" w14:textId="77777777" w:rsidR="00E93F58" w:rsidRPr="00A35C95" w:rsidRDefault="00E93F58" w:rsidP="00366AB5">
      <w:pPr>
        <w:pStyle w:val="subsection"/>
        <w:tabs>
          <w:tab w:val="left" w:pos="2835"/>
        </w:tabs>
      </w:pPr>
      <w:r w:rsidRPr="00A35C95">
        <w:rPr>
          <w:color w:val="000000"/>
        </w:rPr>
        <w:lastRenderedPageBreak/>
        <w:tab/>
        <w:t>(6)</w:t>
      </w:r>
      <w:r w:rsidRPr="00A35C95">
        <w:rPr>
          <w:color w:val="000000"/>
        </w:rPr>
        <w:tab/>
        <w:t>The applicable period must be a period that starts and ends before:</w:t>
      </w:r>
    </w:p>
    <w:p w14:paraId="797B5DFF" w14:textId="77777777" w:rsidR="00E93F58" w:rsidRPr="00A35C95" w:rsidRDefault="00E93F58" w:rsidP="00366AB5">
      <w:pPr>
        <w:pStyle w:val="paragraph"/>
        <w:tabs>
          <w:tab w:val="left" w:pos="2835"/>
        </w:tabs>
      </w:pPr>
      <w:r w:rsidRPr="00A35C95">
        <w:rPr>
          <w:color w:val="000000"/>
        </w:rPr>
        <w:tab/>
        <w:t>(a)</w:t>
      </w:r>
      <w:r w:rsidRPr="00A35C95">
        <w:rPr>
          <w:color w:val="000000"/>
        </w:rPr>
        <w:tab/>
        <w:t>if each publication of the notice occurs on the same day—the day on which the notice is published; or</w:t>
      </w:r>
    </w:p>
    <w:p w14:paraId="0CD1ECE3" w14:textId="77777777" w:rsidR="00E93F58" w:rsidRPr="00A35C95" w:rsidRDefault="00E93F58" w:rsidP="00366AB5">
      <w:pPr>
        <w:pStyle w:val="paragraph"/>
        <w:tabs>
          <w:tab w:val="left" w:pos="2835"/>
        </w:tabs>
      </w:pPr>
      <w:r w:rsidRPr="00A35C95">
        <w:tab/>
        <w:t>(b)</w:t>
      </w:r>
      <w:r w:rsidRPr="00A35C95">
        <w:tab/>
        <w:t>in any other case—the first day on which the notice is published.</w:t>
      </w:r>
    </w:p>
    <w:p w14:paraId="6C796DA5" w14:textId="77777777" w:rsidR="00E93F58" w:rsidRPr="00A35C95" w:rsidRDefault="00E93F58" w:rsidP="00366AB5">
      <w:pPr>
        <w:pStyle w:val="subsection"/>
        <w:tabs>
          <w:tab w:val="left" w:pos="2835"/>
        </w:tabs>
      </w:pPr>
      <w:r w:rsidRPr="00A35C95">
        <w:rPr>
          <w:color w:val="000000"/>
        </w:rPr>
        <w:tab/>
        <w:t>(7)</w:t>
      </w:r>
      <w:r w:rsidRPr="00A35C95">
        <w:rPr>
          <w:color w:val="000000"/>
        </w:rPr>
        <w:tab/>
        <w:t>The last application day must be at least 3 months after:</w:t>
      </w:r>
    </w:p>
    <w:p w14:paraId="09704117" w14:textId="77777777" w:rsidR="00E93F58" w:rsidRPr="00A35C95" w:rsidRDefault="00E93F58" w:rsidP="00366AB5">
      <w:pPr>
        <w:pStyle w:val="paragraph"/>
        <w:tabs>
          <w:tab w:val="left" w:pos="2835"/>
        </w:tabs>
      </w:pPr>
      <w:r w:rsidRPr="00A35C95">
        <w:rPr>
          <w:color w:val="000000"/>
        </w:rPr>
        <w:tab/>
        <w:t>(a)</w:t>
      </w:r>
      <w:r w:rsidRPr="00A35C95">
        <w:rPr>
          <w:color w:val="000000"/>
        </w:rPr>
        <w:tab/>
        <w:t>if each publication of the notice occurs on the same day—the day on which the notice is published; or</w:t>
      </w:r>
    </w:p>
    <w:p w14:paraId="327DC36F" w14:textId="77777777" w:rsidR="00E93F58" w:rsidRPr="00A35C95" w:rsidRDefault="00E93F58" w:rsidP="00366AB5">
      <w:pPr>
        <w:pStyle w:val="paragraph"/>
        <w:tabs>
          <w:tab w:val="left" w:pos="2835"/>
        </w:tabs>
      </w:pPr>
      <w:r w:rsidRPr="00A35C95">
        <w:tab/>
        <w:t>(b)</w:t>
      </w:r>
      <w:r w:rsidRPr="00A35C95">
        <w:tab/>
        <w:t>in any other case—the last day on which the notice is published.</w:t>
      </w:r>
    </w:p>
    <w:p w14:paraId="1DBF3605" w14:textId="77777777" w:rsidR="00E93F58" w:rsidRPr="00A35C95" w:rsidRDefault="00E93F58" w:rsidP="00366AB5">
      <w:pPr>
        <w:pStyle w:val="subsection"/>
        <w:tabs>
          <w:tab w:val="left" w:pos="2835"/>
        </w:tabs>
      </w:pPr>
      <w:r w:rsidRPr="00A35C95">
        <w:rPr>
          <w:color w:val="000000"/>
        </w:rPr>
        <w:tab/>
        <w:t>(8)</w:t>
      </w:r>
      <w:r w:rsidRPr="00A35C95">
        <w:rPr>
          <w:color w:val="000000"/>
        </w:rPr>
        <w:tab/>
        <w:t>The SEGC, a member of the Board and any employee of, or person acting on behalf of, the SEGC each has qualified privilege in respect of the publication of a notice under subregulation (5).</w:t>
      </w:r>
    </w:p>
    <w:p w14:paraId="4B88163D" w14:textId="77777777" w:rsidR="00E93F58" w:rsidRPr="00A35C95" w:rsidRDefault="00E93F58" w:rsidP="00366AB5">
      <w:pPr>
        <w:pStyle w:val="ActHead4"/>
        <w:tabs>
          <w:tab w:val="left" w:pos="2835"/>
        </w:tabs>
      </w:pPr>
      <w:bookmarkStart w:id="748" w:name="_Toc152057948"/>
      <w:bookmarkStart w:id="749" w:name="_Toc158712171"/>
      <w:r w:rsidRPr="00844D11">
        <w:rPr>
          <w:rStyle w:val="CharSubdNo"/>
        </w:rPr>
        <w:t>Subdivision 4.7</w:t>
      </w:r>
      <w:r w:rsidRPr="00A35C95">
        <w:t>—</w:t>
      </w:r>
      <w:r w:rsidRPr="00844D11">
        <w:rPr>
          <w:rStyle w:val="CharSubdText"/>
        </w:rPr>
        <w:t>Unauthorised transfer</w:t>
      </w:r>
      <w:bookmarkEnd w:id="748"/>
      <w:bookmarkEnd w:id="749"/>
    </w:p>
    <w:p w14:paraId="3EC9F362" w14:textId="77777777" w:rsidR="00E93F58" w:rsidRPr="00A35C95" w:rsidRDefault="00E93F58" w:rsidP="00366AB5">
      <w:pPr>
        <w:pStyle w:val="ActHead5"/>
        <w:tabs>
          <w:tab w:val="left" w:pos="2835"/>
        </w:tabs>
      </w:pPr>
      <w:bookmarkStart w:id="750" w:name="_Toc152057949"/>
      <w:bookmarkStart w:id="751" w:name="_Toc158712172"/>
      <w:r w:rsidRPr="00844D11">
        <w:rPr>
          <w:rStyle w:val="CharSectno"/>
        </w:rPr>
        <w:t>7.5.53</w:t>
      </w:r>
      <w:r w:rsidRPr="00A35C95">
        <w:t xml:space="preserve">  Application of Subdivision 4.7</w:t>
      </w:r>
      <w:bookmarkEnd w:id="750"/>
      <w:bookmarkEnd w:id="751"/>
    </w:p>
    <w:p w14:paraId="648ACC8B" w14:textId="77777777" w:rsidR="00E93F58" w:rsidRPr="00A35C95" w:rsidRDefault="00E93F58" w:rsidP="00366AB5">
      <w:pPr>
        <w:pStyle w:val="subsection"/>
        <w:tabs>
          <w:tab w:val="left" w:pos="2835"/>
        </w:tabs>
      </w:pPr>
      <w:r w:rsidRPr="00A35C95">
        <w:tab/>
        <w:t>(1)</w:t>
      </w:r>
      <w:r w:rsidRPr="00A35C95">
        <w:tab/>
        <w:t>This Subdivision applies if:</w:t>
      </w:r>
    </w:p>
    <w:p w14:paraId="3BD5D773"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executes a document of transfer of securities on behalf of a person as transferor of the securities; and</w:t>
      </w:r>
    </w:p>
    <w:p w14:paraId="15B72049" w14:textId="77777777" w:rsidR="00E93F58" w:rsidRPr="00A35C95" w:rsidRDefault="00E93F58" w:rsidP="00366AB5">
      <w:pPr>
        <w:pStyle w:val="paragraph"/>
        <w:tabs>
          <w:tab w:val="left" w:pos="2835"/>
        </w:tabs>
      </w:pPr>
      <w:r w:rsidRPr="00A35C95">
        <w:tab/>
        <w:t>(b)</w:t>
      </w:r>
      <w:r w:rsidRPr="00A35C95">
        <w:tab/>
        <w:t>the transfer is not an ASTC</w:t>
      </w:r>
      <w:r>
        <w:noBreakHyphen/>
      </w:r>
      <w:r w:rsidRPr="00A35C95">
        <w:t>regulated transfer; and</w:t>
      </w:r>
    </w:p>
    <w:p w14:paraId="2D5E4B44" w14:textId="77777777" w:rsidR="00E93F58" w:rsidRPr="00A35C95" w:rsidRDefault="00E93F58" w:rsidP="00366AB5">
      <w:pPr>
        <w:pStyle w:val="paragraph"/>
        <w:tabs>
          <w:tab w:val="left" w:pos="2835"/>
        </w:tabs>
      </w:pPr>
      <w:r w:rsidRPr="00A35C95">
        <w:tab/>
        <w:t>(c)</w:t>
      </w:r>
      <w:r w:rsidRPr="00A35C95">
        <w:tab/>
        <w:t>apart from the effect of subregulation 7.11.17(3), the person did not authorise the dealer to execute the document.</w:t>
      </w:r>
    </w:p>
    <w:p w14:paraId="157A32C4" w14:textId="77777777" w:rsidR="00E93F58" w:rsidRPr="00A35C95" w:rsidRDefault="00E93F58" w:rsidP="00366AB5">
      <w:pPr>
        <w:pStyle w:val="subsection"/>
        <w:tabs>
          <w:tab w:val="left" w:pos="2835"/>
        </w:tabs>
      </w:pPr>
      <w:r w:rsidRPr="00A35C95">
        <w:rPr>
          <w:color w:val="000000"/>
        </w:rPr>
        <w:tab/>
        <w:t>(2)</w:t>
      </w:r>
      <w:r w:rsidRPr="00A35C95">
        <w:rPr>
          <w:color w:val="000000"/>
        </w:rPr>
        <w:tab/>
        <w:t>For subregulation (1), a dealer is taken to have executed a document of transfer in relation to securities on behalf of a person as transferor of the securities if the document states that the person is the transferor of the securities and purports to have been stamped with the dealer’s stamp as the transferor’s broker.</w:t>
      </w:r>
    </w:p>
    <w:p w14:paraId="0BFA527D" w14:textId="77777777" w:rsidR="00E93F58" w:rsidRPr="00A35C95" w:rsidRDefault="00E93F58" w:rsidP="00366AB5">
      <w:pPr>
        <w:pStyle w:val="subsection"/>
        <w:tabs>
          <w:tab w:val="left" w:pos="2835"/>
        </w:tabs>
      </w:pPr>
      <w:r w:rsidRPr="00A35C95">
        <w:tab/>
        <w:t>(3)</w:t>
      </w:r>
      <w:r w:rsidRPr="00A35C95">
        <w:tab/>
        <w:t>This Subdivision also applies if:</w:t>
      </w:r>
    </w:p>
    <w:p w14:paraId="1D3B2B40"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effects, or purports to effect, a proper ASTC transfer of securities on behalf of a person; and</w:t>
      </w:r>
    </w:p>
    <w:p w14:paraId="01F705AE" w14:textId="77777777" w:rsidR="00E93F58" w:rsidRPr="00A35C95" w:rsidRDefault="00E93F58" w:rsidP="00366AB5">
      <w:pPr>
        <w:pStyle w:val="paragraph"/>
        <w:tabs>
          <w:tab w:val="left" w:pos="2835"/>
        </w:tabs>
      </w:pPr>
      <w:r w:rsidRPr="00A35C95">
        <w:tab/>
        <w:t>(b)</w:t>
      </w:r>
      <w:r w:rsidRPr="00A35C95">
        <w:tab/>
        <w:t>apart from the effect of regulation 7.11.26, the person did not authorise the dealer to effect the transfer.</w:t>
      </w:r>
    </w:p>
    <w:p w14:paraId="7CA18600" w14:textId="77777777" w:rsidR="00E93F58" w:rsidRPr="00A35C95" w:rsidRDefault="00E93F58" w:rsidP="00366AB5">
      <w:pPr>
        <w:pStyle w:val="subsection"/>
        <w:tabs>
          <w:tab w:val="left" w:pos="2835"/>
        </w:tabs>
      </w:pPr>
      <w:r w:rsidRPr="00A35C95">
        <w:tab/>
        <w:t>(4)</w:t>
      </w:r>
      <w:r w:rsidRPr="00A35C95">
        <w:tab/>
        <w:t>In this Subdivision:</w:t>
      </w:r>
    </w:p>
    <w:p w14:paraId="5B9EAB22"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the dealer’s action mentioned in whichever of paragraphs (1)(a) and (3)(a) is applicable is an </w:t>
      </w:r>
      <w:r w:rsidRPr="00A35C95">
        <w:rPr>
          <w:b/>
          <w:i/>
          <w:color w:val="000000"/>
        </w:rPr>
        <w:t>unauthorised execution</w:t>
      </w:r>
      <w:r w:rsidRPr="00A35C95">
        <w:rPr>
          <w:color w:val="000000"/>
        </w:rPr>
        <w:t>; and</w:t>
      </w:r>
    </w:p>
    <w:p w14:paraId="71180EF1" w14:textId="77777777" w:rsidR="00E93F58" w:rsidRPr="00A35C95" w:rsidRDefault="00E93F58" w:rsidP="00366AB5">
      <w:pPr>
        <w:pStyle w:val="paragraph"/>
        <w:tabs>
          <w:tab w:val="left" w:pos="2835"/>
        </w:tabs>
      </w:pPr>
      <w:r w:rsidRPr="00A35C95">
        <w:tab/>
        <w:t>(b)</w:t>
      </w:r>
      <w:r w:rsidRPr="00A35C95">
        <w:tab/>
        <w:t xml:space="preserve">the person mentioned in whichever of those paragraphs is applicable is the </w:t>
      </w:r>
      <w:r w:rsidRPr="00A35C95">
        <w:rPr>
          <w:b/>
          <w:i/>
        </w:rPr>
        <w:t>transferor</w:t>
      </w:r>
      <w:r w:rsidRPr="00A35C95">
        <w:t>; and</w:t>
      </w:r>
    </w:p>
    <w:p w14:paraId="43021A5A" w14:textId="77777777" w:rsidR="00E93F58" w:rsidRPr="00A35C95" w:rsidRDefault="00E93F58" w:rsidP="00366AB5">
      <w:pPr>
        <w:pStyle w:val="paragraph"/>
        <w:tabs>
          <w:tab w:val="left" w:pos="2835"/>
        </w:tabs>
      </w:pPr>
      <w:r w:rsidRPr="00A35C95">
        <w:tab/>
        <w:t>(c)</w:t>
      </w:r>
      <w:r w:rsidRPr="00A35C95">
        <w:tab/>
        <w:t xml:space="preserve">the securities mentioned in whichever of those paragraphs is applicable are the </w:t>
      </w:r>
      <w:r w:rsidRPr="00A35C95">
        <w:rPr>
          <w:b/>
          <w:i/>
        </w:rPr>
        <w:t>transferred securities</w:t>
      </w:r>
      <w:r w:rsidRPr="00A35C95">
        <w:t>.</w:t>
      </w:r>
    </w:p>
    <w:p w14:paraId="42B9D0A0" w14:textId="77777777" w:rsidR="00E93F58" w:rsidRPr="00A35C95" w:rsidRDefault="00E93F58" w:rsidP="00366AB5">
      <w:pPr>
        <w:pStyle w:val="ActHead5"/>
        <w:tabs>
          <w:tab w:val="left" w:pos="2835"/>
        </w:tabs>
      </w:pPr>
      <w:bookmarkStart w:id="752" w:name="_Toc152057950"/>
      <w:bookmarkStart w:id="753" w:name="_Toc158712173"/>
      <w:r w:rsidRPr="00844D11">
        <w:rPr>
          <w:rStyle w:val="CharSectno"/>
        </w:rPr>
        <w:t>7.5.54</w:t>
      </w:r>
      <w:r w:rsidRPr="00A35C95">
        <w:t xml:space="preserve">  Claim by transferor</w:t>
      </w:r>
      <w:bookmarkEnd w:id="752"/>
      <w:bookmarkEnd w:id="753"/>
    </w:p>
    <w:p w14:paraId="6D857379" w14:textId="77777777" w:rsidR="00E93F58" w:rsidRPr="00A35C95" w:rsidRDefault="00E93F58" w:rsidP="00366AB5">
      <w:pPr>
        <w:pStyle w:val="subsection"/>
        <w:tabs>
          <w:tab w:val="left" w:pos="2835"/>
        </w:tabs>
      </w:pPr>
      <w:r w:rsidRPr="00A35C95">
        <w:rPr>
          <w:color w:val="000000"/>
        </w:rPr>
        <w:tab/>
      </w:r>
      <w:r w:rsidRPr="00A35C95">
        <w:rPr>
          <w:color w:val="000000"/>
        </w:rPr>
        <w:tab/>
        <w:t>If, as a result of the unauthorised execution, the transferor suffers loss in respect of any of the transferred securities, the transferor may make a claim in respect of the loss.</w:t>
      </w:r>
    </w:p>
    <w:p w14:paraId="33ABD1A2" w14:textId="77777777" w:rsidR="00E93F58" w:rsidRPr="00A35C95" w:rsidRDefault="00E93F58" w:rsidP="00366AB5">
      <w:pPr>
        <w:pStyle w:val="ActHead5"/>
        <w:tabs>
          <w:tab w:val="left" w:pos="2835"/>
        </w:tabs>
      </w:pPr>
      <w:bookmarkStart w:id="754" w:name="_Toc152057951"/>
      <w:bookmarkStart w:id="755" w:name="_Toc158712174"/>
      <w:r w:rsidRPr="00844D11">
        <w:rPr>
          <w:rStyle w:val="CharSectno"/>
        </w:rPr>
        <w:t>7.5.55</w:t>
      </w:r>
      <w:r w:rsidRPr="00A35C95">
        <w:t xml:space="preserve">  Claim by transferee or sub</w:t>
      </w:r>
      <w:r>
        <w:noBreakHyphen/>
      </w:r>
      <w:r w:rsidRPr="00A35C95">
        <w:t>transferee</w:t>
      </w:r>
      <w:bookmarkEnd w:id="754"/>
      <w:bookmarkEnd w:id="755"/>
    </w:p>
    <w:p w14:paraId="6196043F" w14:textId="77777777" w:rsidR="00E93F58" w:rsidRPr="00A35C95" w:rsidRDefault="00E93F58" w:rsidP="00366AB5">
      <w:pPr>
        <w:pStyle w:val="subsection"/>
        <w:tabs>
          <w:tab w:val="left" w:pos="2835"/>
        </w:tabs>
      </w:pPr>
      <w:r w:rsidRPr="00A35C95">
        <w:tab/>
        <w:t>(1)</w:t>
      </w:r>
      <w:r w:rsidRPr="00A35C95">
        <w:tab/>
        <w:t xml:space="preserve">If, as a result of the unauthorised execution, a person (the </w:t>
      </w:r>
      <w:r w:rsidRPr="00A35C95">
        <w:rPr>
          <w:b/>
          <w:i/>
        </w:rPr>
        <w:t>claimant</w:t>
      </w:r>
      <w:r w:rsidRPr="00A35C95">
        <w:t>), being:</w:t>
      </w:r>
    </w:p>
    <w:p w14:paraId="532DE144" w14:textId="77777777" w:rsidR="00E93F58" w:rsidRPr="00A35C95" w:rsidRDefault="00E93F58" w:rsidP="00366AB5">
      <w:pPr>
        <w:pStyle w:val="paragraph"/>
        <w:tabs>
          <w:tab w:val="left" w:pos="2835"/>
        </w:tabs>
      </w:pPr>
      <w:r w:rsidRPr="00A35C95">
        <w:tab/>
        <w:t>(a)</w:t>
      </w:r>
      <w:r w:rsidRPr="00A35C95">
        <w:tab/>
        <w:t>in any case:</w:t>
      </w:r>
    </w:p>
    <w:p w14:paraId="2227DBA0" w14:textId="77777777" w:rsidR="00E93F58" w:rsidRPr="00A35C95" w:rsidRDefault="00E93F58" w:rsidP="00366AB5">
      <w:pPr>
        <w:pStyle w:val="paragraphsub"/>
        <w:tabs>
          <w:tab w:val="left" w:pos="2835"/>
        </w:tabs>
      </w:pPr>
      <w:r w:rsidRPr="00A35C95">
        <w:rPr>
          <w:color w:val="000000"/>
        </w:rPr>
        <w:tab/>
        <w:t>(i)</w:t>
      </w:r>
      <w:r w:rsidRPr="00A35C95">
        <w:rPr>
          <w:color w:val="000000"/>
        </w:rPr>
        <w:tab/>
        <w:t>if subregulation 7.5.53(1) applies—the person stated in the document as the transferee of the transferred securities; or</w:t>
      </w:r>
    </w:p>
    <w:p w14:paraId="6E214E82" w14:textId="77777777" w:rsidR="00E93F58" w:rsidRPr="00A35C95" w:rsidRDefault="00E93F58" w:rsidP="00366AB5">
      <w:pPr>
        <w:pStyle w:val="paragraphsub"/>
        <w:tabs>
          <w:tab w:val="left" w:pos="2835"/>
        </w:tabs>
      </w:pPr>
      <w:r w:rsidRPr="00A35C95">
        <w:tab/>
        <w:t>(ii)</w:t>
      </w:r>
      <w:r w:rsidRPr="00A35C95">
        <w:tab/>
        <w:t>if subregulation 7.5.53(3) applies—the person in whose favour the proper ASTC transfer was effected, or purported to be effected; or</w:t>
      </w:r>
    </w:p>
    <w:p w14:paraId="0ECDB2B6" w14:textId="77777777" w:rsidR="00E93F58" w:rsidRPr="00A35C95" w:rsidRDefault="00E93F58" w:rsidP="00366AB5">
      <w:pPr>
        <w:pStyle w:val="paragraph"/>
        <w:tabs>
          <w:tab w:val="left" w:pos="2835"/>
        </w:tabs>
      </w:pPr>
      <w:r w:rsidRPr="00A35C95">
        <w:rPr>
          <w:color w:val="000000"/>
        </w:rPr>
        <w:tab/>
        <w:t>(b)</w:t>
      </w:r>
      <w:r w:rsidRPr="00A35C95">
        <w:rPr>
          <w:color w:val="000000"/>
        </w:rPr>
        <w:tab/>
        <w:t>if that person has disposed of any of the transferred securities—a successor in title of that person to any of the transferred securities;</w:t>
      </w:r>
    </w:p>
    <w:p w14:paraId="044DAFBC" w14:textId="77777777" w:rsidR="00E93F58" w:rsidRPr="00A35C95" w:rsidRDefault="00E93F58" w:rsidP="00366AB5">
      <w:pPr>
        <w:pStyle w:val="subsection2"/>
        <w:tabs>
          <w:tab w:val="left" w:pos="2835"/>
        </w:tabs>
      </w:pPr>
      <w:r w:rsidRPr="00A35C95">
        <w:rPr>
          <w:color w:val="000000"/>
        </w:rPr>
        <w:t>suffers loss in respect of any of the transferred securities, the claimant may make a claim in respect of that loss.</w:t>
      </w:r>
    </w:p>
    <w:p w14:paraId="335B7AF1" w14:textId="77777777" w:rsidR="00E93F58" w:rsidRPr="00A35C95" w:rsidRDefault="00E93F58" w:rsidP="00366AB5">
      <w:pPr>
        <w:pStyle w:val="subsection"/>
        <w:tabs>
          <w:tab w:val="left" w:pos="2835"/>
        </w:tabs>
      </w:pPr>
      <w:r w:rsidRPr="00A35C95">
        <w:tab/>
        <w:t>(2)</w:t>
      </w:r>
      <w:r w:rsidRPr="00A35C95">
        <w:tab/>
        <w:t>A person is not entitled to make a claim under this regulation if the person:</w:t>
      </w:r>
    </w:p>
    <w:p w14:paraId="57883981" w14:textId="77777777" w:rsidR="00E93F58" w:rsidRPr="00A35C95" w:rsidRDefault="00E93F58" w:rsidP="00366AB5">
      <w:pPr>
        <w:pStyle w:val="paragraph"/>
        <w:tabs>
          <w:tab w:val="left" w:pos="2835"/>
        </w:tabs>
      </w:pPr>
      <w:r w:rsidRPr="00A35C95">
        <w:rPr>
          <w:color w:val="000000"/>
        </w:rPr>
        <w:tab/>
        <w:t>(a)</w:t>
      </w:r>
      <w:r w:rsidRPr="00A35C95">
        <w:rPr>
          <w:color w:val="000000"/>
        </w:rPr>
        <w:tab/>
        <w:t>had actual knowledge that the transferor did not in fact authorise the unauthorised execution; or</w:t>
      </w:r>
    </w:p>
    <w:p w14:paraId="2012EE6B" w14:textId="77777777" w:rsidR="00E93F58" w:rsidRPr="00A35C95" w:rsidRDefault="00E93F58" w:rsidP="00366AB5">
      <w:pPr>
        <w:pStyle w:val="paragraph"/>
        <w:tabs>
          <w:tab w:val="left" w:pos="2835"/>
        </w:tabs>
      </w:pPr>
      <w:r w:rsidRPr="00A35C95">
        <w:tab/>
        <w:t>(b)</w:t>
      </w:r>
      <w:r w:rsidRPr="00A35C95">
        <w:tab/>
        <w:t>is an excluded person in relation to the dealer.</w:t>
      </w:r>
    </w:p>
    <w:p w14:paraId="11514F92" w14:textId="77777777" w:rsidR="00E93F58" w:rsidRPr="00A35C95" w:rsidRDefault="00E93F58" w:rsidP="00366AB5">
      <w:pPr>
        <w:pStyle w:val="ActHead5"/>
        <w:tabs>
          <w:tab w:val="left" w:pos="2835"/>
        </w:tabs>
      </w:pPr>
      <w:bookmarkStart w:id="756" w:name="_Toc152057952"/>
      <w:bookmarkStart w:id="757" w:name="_Toc158712175"/>
      <w:r w:rsidRPr="00844D11">
        <w:rPr>
          <w:rStyle w:val="CharSectno"/>
        </w:rPr>
        <w:lastRenderedPageBreak/>
        <w:t>7.5.56</w:t>
      </w:r>
      <w:r w:rsidRPr="00A35C95">
        <w:t xml:space="preserve">  How and when claim may be made</w:t>
      </w:r>
      <w:bookmarkEnd w:id="756"/>
      <w:bookmarkEnd w:id="757"/>
    </w:p>
    <w:p w14:paraId="77665F90" w14:textId="77777777" w:rsidR="00E93F58" w:rsidRPr="00A35C95" w:rsidRDefault="00E93F58" w:rsidP="00366AB5">
      <w:pPr>
        <w:pStyle w:val="subsection"/>
        <w:keepNext/>
        <w:keepLines/>
        <w:tabs>
          <w:tab w:val="left" w:pos="2835"/>
        </w:tabs>
      </w:pPr>
      <w:r w:rsidRPr="00A35C95">
        <w:rPr>
          <w:color w:val="000000"/>
        </w:rPr>
        <w:tab/>
        <w:t>(1)</w:t>
      </w:r>
      <w:r w:rsidRPr="00A35C95">
        <w:rPr>
          <w:color w:val="000000"/>
        </w:rPr>
        <w:tab/>
        <w:t>A claim must:</w:t>
      </w:r>
    </w:p>
    <w:p w14:paraId="2D6D1B1D" w14:textId="77777777" w:rsidR="00E93F58" w:rsidRPr="00A35C95" w:rsidRDefault="00E93F58" w:rsidP="00366AB5">
      <w:pPr>
        <w:pStyle w:val="paragraph"/>
        <w:tabs>
          <w:tab w:val="left" w:pos="2835"/>
        </w:tabs>
      </w:pPr>
      <w:r w:rsidRPr="00A35C95">
        <w:rPr>
          <w:color w:val="000000"/>
        </w:rPr>
        <w:tab/>
        <w:t>(a)</w:t>
      </w:r>
      <w:r w:rsidRPr="00A35C95">
        <w:rPr>
          <w:color w:val="000000"/>
        </w:rPr>
        <w:tab/>
        <w:t>be in writing; and</w:t>
      </w:r>
    </w:p>
    <w:p w14:paraId="4DB5EE7E" w14:textId="77777777" w:rsidR="00E93F58" w:rsidRPr="00A35C95" w:rsidRDefault="00E93F58" w:rsidP="00366AB5">
      <w:pPr>
        <w:pStyle w:val="paragraph"/>
        <w:tabs>
          <w:tab w:val="left" w:pos="2835"/>
        </w:tabs>
      </w:pPr>
      <w:r w:rsidRPr="00A35C95">
        <w:tab/>
        <w:t>(b)</w:t>
      </w:r>
      <w:r w:rsidRPr="00A35C95">
        <w:tab/>
        <w:t>be served on the SEGC:</w:t>
      </w:r>
    </w:p>
    <w:p w14:paraId="578B3223" w14:textId="77777777" w:rsidR="00E93F58" w:rsidRPr="00A35C95" w:rsidRDefault="00E93F58" w:rsidP="00366AB5">
      <w:pPr>
        <w:pStyle w:val="paragraphsub"/>
        <w:tabs>
          <w:tab w:val="left" w:pos="2835"/>
        </w:tabs>
      </w:pPr>
      <w:r w:rsidRPr="00A35C95">
        <w:rPr>
          <w:color w:val="000000"/>
        </w:rPr>
        <w:tab/>
        <w:t>(i)</w:t>
      </w:r>
      <w:r w:rsidRPr="00A35C95">
        <w:rPr>
          <w:color w:val="000000"/>
        </w:rPr>
        <w:tab/>
        <w:t>if a notice under subregulation (4) applies to the claim—before the end of the last application day specified in the notice; or</w:t>
      </w:r>
    </w:p>
    <w:p w14:paraId="120F44CE" w14:textId="77777777" w:rsidR="00E93F58" w:rsidRPr="00A35C95" w:rsidRDefault="00E93F58" w:rsidP="00366AB5">
      <w:pPr>
        <w:pStyle w:val="paragraphsub"/>
        <w:tabs>
          <w:tab w:val="left" w:pos="2835"/>
        </w:tabs>
      </w:pPr>
      <w:r w:rsidRPr="00A35C95">
        <w:tab/>
        <w:t>(ii)</w:t>
      </w:r>
      <w:r w:rsidRPr="00A35C95">
        <w:tab/>
        <w:t>in any other case—within 6 months after the day on which the claimant first became aware that the claimant had suffered loss as a result of the unauthorised execution.</w:t>
      </w:r>
    </w:p>
    <w:p w14:paraId="6ECF4F60" w14:textId="77777777" w:rsidR="00E93F58" w:rsidRPr="00A35C95" w:rsidRDefault="00E93F58" w:rsidP="00366AB5">
      <w:pPr>
        <w:pStyle w:val="subsection"/>
        <w:tabs>
          <w:tab w:val="left" w:pos="2835"/>
        </w:tabs>
      </w:pPr>
      <w:r w:rsidRPr="00A35C95">
        <w:rPr>
          <w:color w:val="000000"/>
        </w:rPr>
        <w:tab/>
        <w:t>(2)</w:t>
      </w:r>
      <w:r w:rsidRPr="00A35C95">
        <w:rPr>
          <w:color w:val="000000"/>
        </w:rPr>
        <w:tab/>
        <w:t>For subregulation (1), a notice under subregulation (4) applies to a claim if the claim is in respect of an unauthorised execution, by the dealer named in the notice, during the applicable period specified in the notice.</w:t>
      </w:r>
    </w:p>
    <w:p w14:paraId="22250D17" w14:textId="77777777" w:rsidR="00E93F58" w:rsidRPr="00A35C95" w:rsidRDefault="00E93F58" w:rsidP="00366AB5">
      <w:pPr>
        <w:pStyle w:val="subsection"/>
        <w:tabs>
          <w:tab w:val="left" w:pos="2835"/>
        </w:tabs>
      </w:pPr>
      <w:r w:rsidRPr="00A35C95">
        <w:tab/>
        <w:t>(3)</w:t>
      </w:r>
      <w:r w:rsidRPr="00A35C95">
        <w:tab/>
        <w:t>A claim that is not served on the SEGC by the time required by paragraph (1)(b) is barred unless the SEGC otherwise determines.</w:t>
      </w:r>
    </w:p>
    <w:p w14:paraId="0273DE89" w14:textId="77777777" w:rsidR="00E93F58" w:rsidRPr="00A35C95" w:rsidRDefault="00E93F58" w:rsidP="00366AB5">
      <w:pPr>
        <w:pStyle w:val="subsection"/>
        <w:tabs>
          <w:tab w:val="left" w:pos="2835"/>
        </w:tabs>
      </w:pPr>
      <w:r w:rsidRPr="00A35C95">
        <w:tab/>
        <w:t>(4)</w:t>
      </w:r>
      <w:r w:rsidRPr="00A35C95">
        <w:tab/>
        <w:t>The SEGC may publish, in each State and Territory in a daily newspaper circulating in that State or Territory, a notice, using Form 719A, that:</w:t>
      </w:r>
    </w:p>
    <w:p w14:paraId="322CE392" w14:textId="77777777" w:rsidR="00E93F58" w:rsidRPr="00A35C95" w:rsidRDefault="00E93F58" w:rsidP="00366AB5">
      <w:pPr>
        <w:pStyle w:val="paragraph"/>
        <w:tabs>
          <w:tab w:val="left" w:pos="2835"/>
        </w:tabs>
      </w:pPr>
      <w:r w:rsidRPr="00A35C95">
        <w:rPr>
          <w:color w:val="000000"/>
        </w:rPr>
        <w:tab/>
        <w:t>(a)</w:t>
      </w:r>
      <w:r w:rsidRPr="00A35C95">
        <w:rPr>
          <w:color w:val="000000"/>
        </w:rPr>
        <w:tab/>
        <w:t>names a particular dealer; and</w:t>
      </w:r>
    </w:p>
    <w:p w14:paraId="7F231B8C" w14:textId="77777777" w:rsidR="00E93F58" w:rsidRPr="00A35C95" w:rsidRDefault="00E93F58" w:rsidP="00366AB5">
      <w:pPr>
        <w:pStyle w:val="paragraph"/>
        <w:tabs>
          <w:tab w:val="left" w:pos="2835"/>
        </w:tabs>
      </w:pPr>
      <w:r w:rsidRPr="00A35C95">
        <w:tab/>
        <w:t>(b)</w:t>
      </w:r>
      <w:r w:rsidRPr="00A35C95">
        <w:tab/>
        <w:t xml:space="preserve">requires that all claims in respect of unauthorised executions, by the named dealer, during a period (the </w:t>
      </w:r>
      <w:r w:rsidRPr="00A35C95">
        <w:rPr>
          <w:b/>
          <w:i/>
        </w:rPr>
        <w:t>applicable period</w:t>
      </w:r>
      <w:r w:rsidRPr="00A35C95">
        <w:t xml:space="preserve">) specified in the notice in accordance with subregulation (5) must be served on the SEGC before the day (the </w:t>
      </w:r>
      <w:r w:rsidRPr="00A35C95">
        <w:rPr>
          <w:b/>
          <w:i/>
        </w:rPr>
        <w:t>last application day</w:t>
      </w:r>
      <w:r w:rsidRPr="00A35C95">
        <w:t>) specified in the notice in accordance with subregulation (6).</w:t>
      </w:r>
    </w:p>
    <w:p w14:paraId="00E4D3F5" w14:textId="77777777" w:rsidR="00E93F58" w:rsidRPr="00A35C95" w:rsidRDefault="00E93F58" w:rsidP="00366AB5">
      <w:pPr>
        <w:pStyle w:val="subsection"/>
        <w:tabs>
          <w:tab w:val="left" w:pos="2835"/>
        </w:tabs>
      </w:pPr>
      <w:r w:rsidRPr="00A35C95">
        <w:rPr>
          <w:color w:val="000000"/>
        </w:rPr>
        <w:tab/>
        <w:t>(5)</w:t>
      </w:r>
      <w:r w:rsidRPr="00A35C95">
        <w:rPr>
          <w:color w:val="000000"/>
        </w:rPr>
        <w:tab/>
        <w:t>The applicable period must be a period that starts and ends before:</w:t>
      </w:r>
    </w:p>
    <w:p w14:paraId="65A4087C" w14:textId="77777777" w:rsidR="00E93F58" w:rsidRPr="00A35C95" w:rsidRDefault="00E93F58" w:rsidP="00366AB5">
      <w:pPr>
        <w:pStyle w:val="paragraph"/>
        <w:tabs>
          <w:tab w:val="left" w:pos="2835"/>
        </w:tabs>
      </w:pPr>
      <w:r w:rsidRPr="00A35C95">
        <w:rPr>
          <w:color w:val="000000"/>
        </w:rPr>
        <w:tab/>
        <w:t>(a)</w:t>
      </w:r>
      <w:r w:rsidRPr="00A35C95">
        <w:rPr>
          <w:color w:val="000000"/>
        </w:rPr>
        <w:tab/>
        <w:t>if each publication of the notice occurs on the same day—the day on which the notice is published; or</w:t>
      </w:r>
    </w:p>
    <w:p w14:paraId="60E67CE0" w14:textId="77777777" w:rsidR="00E93F58" w:rsidRPr="00A35C95" w:rsidRDefault="00E93F58" w:rsidP="00366AB5">
      <w:pPr>
        <w:pStyle w:val="paragraph"/>
        <w:tabs>
          <w:tab w:val="left" w:pos="2835"/>
        </w:tabs>
      </w:pPr>
      <w:r w:rsidRPr="00A35C95">
        <w:tab/>
        <w:t>(b)</w:t>
      </w:r>
      <w:r w:rsidRPr="00A35C95">
        <w:tab/>
        <w:t>in any other case—the first day on which the notice is published.</w:t>
      </w:r>
    </w:p>
    <w:p w14:paraId="05517E09" w14:textId="77777777" w:rsidR="00E93F58" w:rsidRPr="00A35C95" w:rsidRDefault="00E93F58" w:rsidP="00366AB5">
      <w:pPr>
        <w:pStyle w:val="subsection"/>
        <w:tabs>
          <w:tab w:val="left" w:pos="2835"/>
        </w:tabs>
      </w:pPr>
      <w:r w:rsidRPr="00A35C95">
        <w:rPr>
          <w:color w:val="000000"/>
        </w:rPr>
        <w:tab/>
        <w:t>(6)</w:t>
      </w:r>
      <w:r w:rsidRPr="00A35C95">
        <w:rPr>
          <w:color w:val="000000"/>
        </w:rPr>
        <w:tab/>
        <w:t>The last application day must be at least 3 months after:</w:t>
      </w:r>
    </w:p>
    <w:p w14:paraId="225CDEE3" w14:textId="77777777" w:rsidR="00E93F58" w:rsidRPr="00A35C95" w:rsidRDefault="00E93F58" w:rsidP="00366AB5">
      <w:pPr>
        <w:pStyle w:val="paragraph"/>
        <w:tabs>
          <w:tab w:val="left" w:pos="2835"/>
        </w:tabs>
      </w:pPr>
      <w:r w:rsidRPr="00A35C95">
        <w:rPr>
          <w:color w:val="000000"/>
        </w:rPr>
        <w:tab/>
        <w:t>(a)</w:t>
      </w:r>
      <w:r w:rsidRPr="00A35C95">
        <w:rPr>
          <w:color w:val="000000"/>
        </w:rPr>
        <w:tab/>
        <w:t>if each publication of the notice occurs on the same day—the day on which the notice is published; or</w:t>
      </w:r>
    </w:p>
    <w:p w14:paraId="5FDF661B" w14:textId="77777777" w:rsidR="00E93F58" w:rsidRPr="00A35C95" w:rsidRDefault="00E93F58" w:rsidP="00366AB5">
      <w:pPr>
        <w:pStyle w:val="paragraph"/>
        <w:tabs>
          <w:tab w:val="left" w:pos="2835"/>
        </w:tabs>
      </w:pPr>
      <w:r w:rsidRPr="00A35C95">
        <w:tab/>
        <w:t>(b)</w:t>
      </w:r>
      <w:r w:rsidRPr="00A35C95">
        <w:tab/>
        <w:t>in any other case—the last day on which the notice is published.</w:t>
      </w:r>
    </w:p>
    <w:p w14:paraId="185D0A21" w14:textId="77777777" w:rsidR="00E93F58" w:rsidRPr="00A35C95" w:rsidRDefault="00E93F58" w:rsidP="00366AB5">
      <w:pPr>
        <w:pStyle w:val="subsection"/>
        <w:tabs>
          <w:tab w:val="left" w:pos="2835"/>
        </w:tabs>
      </w:pPr>
      <w:r w:rsidRPr="00A35C95">
        <w:rPr>
          <w:color w:val="000000"/>
        </w:rPr>
        <w:tab/>
        <w:t>(7)</w:t>
      </w:r>
      <w:r w:rsidRPr="00A35C95">
        <w:rPr>
          <w:color w:val="000000"/>
        </w:rPr>
        <w:tab/>
        <w:t>The SEGC, a member of the Board and any employee of, or person acting on behalf of, the SEGC each has qualified privilege in respect of the publication of a notice under subregulation (4).</w:t>
      </w:r>
    </w:p>
    <w:p w14:paraId="445A522E" w14:textId="77777777" w:rsidR="00E93F58" w:rsidRPr="00A35C95" w:rsidRDefault="00E93F58" w:rsidP="00366AB5">
      <w:pPr>
        <w:pStyle w:val="ActHead5"/>
        <w:tabs>
          <w:tab w:val="left" w:pos="2835"/>
        </w:tabs>
      </w:pPr>
      <w:bookmarkStart w:id="758" w:name="_Toc152057953"/>
      <w:bookmarkStart w:id="759" w:name="_Toc158712176"/>
      <w:r w:rsidRPr="00844D11">
        <w:rPr>
          <w:rStyle w:val="CharSectno"/>
        </w:rPr>
        <w:t>7.5.57</w:t>
      </w:r>
      <w:r w:rsidRPr="00A35C95">
        <w:t xml:space="preserve">  How claim is to be satisfied</w:t>
      </w:r>
      <w:bookmarkEnd w:id="758"/>
      <w:bookmarkEnd w:id="759"/>
    </w:p>
    <w:p w14:paraId="580F7F68" w14:textId="77777777" w:rsidR="00E93F58" w:rsidRPr="00A35C95" w:rsidRDefault="00E93F58" w:rsidP="00366AB5">
      <w:pPr>
        <w:pStyle w:val="subsection"/>
        <w:tabs>
          <w:tab w:val="left" w:pos="2835"/>
        </w:tabs>
      </w:pPr>
      <w:r w:rsidRPr="00A35C95">
        <w:rPr>
          <w:color w:val="000000"/>
        </w:rPr>
        <w:tab/>
        <w:t>(1)</w:t>
      </w:r>
      <w:r w:rsidRPr="00A35C95">
        <w:rPr>
          <w:color w:val="000000"/>
        </w:rPr>
        <w:tab/>
        <w:t>The SEGC must allow a claim if the SEGC is satisfied that regulation 7.5.54 or 7.5.55 entitles the claimant to make the claim.</w:t>
      </w:r>
    </w:p>
    <w:p w14:paraId="6597AAAC" w14:textId="77777777" w:rsidR="00E93F58" w:rsidRPr="00A35C95" w:rsidRDefault="00E93F58" w:rsidP="00366AB5">
      <w:pPr>
        <w:pStyle w:val="subsection"/>
        <w:tabs>
          <w:tab w:val="left" w:pos="2835"/>
        </w:tabs>
      </w:pPr>
      <w:r w:rsidRPr="00A35C95">
        <w:tab/>
        <w:t>(2)</w:t>
      </w:r>
      <w:r w:rsidRPr="00A35C95">
        <w:tab/>
        <w:t>If the SEGC allows the claim, and the claimant has, as a result of the unauthorised execution, ceased to hold some or all of the transferred securities, the SEGC must:</w:t>
      </w:r>
    </w:p>
    <w:p w14:paraId="067B65EC" w14:textId="77777777" w:rsidR="00E93F58" w:rsidRPr="00A35C95" w:rsidRDefault="00E93F58" w:rsidP="00366AB5">
      <w:pPr>
        <w:pStyle w:val="paragraph"/>
        <w:tabs>
          <w:tab w:val="left" w:pos="2835"/>
        </w:tabs>
      </w:pPr>
      <w:r w:rsidRPr="00A35C95">
        <w:rPr>
          <w:color w:val="000000"/>
        </w:rPr>
        <w:tab/>
        <w:t>(a)</w:t>
      </w:r>
      <w:r w:rsidRPr="00A35C95">
        <w:rPr>
          <w:color w:val="000000"/>
        </w:rPr>
        <w:tab/>
        <w:t>subject to paragraph (b), supply to the claimant securities of the same kind and number as those of the transferred securities that the claimant has so ceased to hold; or</w:t>
      </w:r>
    </w:p>
    <w:p w14:paraId="4701D59E" w14:textId="77777777" w:rsidR="00E93F58" w:rsidRPr="00A35C95" w:rsidRDefault="00E93F58" w:rsidP="00366AB5">
      <w:pPr>
        <w:pStyle w:val="paragraph"/>
        <w:tabs>
          <w:tab w:val="left" w:pos="2835"/>
        </w:tabs>
      </w:pPr>
      <w:r w:rsidRPr="00A35C95">
        <w:tab/>
        <w:t>(b)</w:t>
      </w:r>
      <w:r w:rsidRPr="00A35C95">
        <w:tab/>
        <w:t>if the SEGC is satisfied that it is not practicable for the SEGC to obtain such securities, or to obtain such securities within a reasonable time—pay to the claimant the amount that, as at the time when the SEGC decides that it is so satisfied, is the actual pecuniary loss suffered by the claimant, in respect of the transferred securities, as a result of the unauthorised execution (other than loss suffered as mentioned in subregulation (3)).</w:t>
      </w:r>
    </w:p>
    <w:p w14:paraId="2C6CE1CC" w14:textId="77777777" w:rsidR="00E93F58" w:rsidRPr="00A35C95" w:rsidRDefault="00E93F58" w:rsidP="00366AB5">
      <w:pPr>
        <w:pStyle w:val="subsection"/>
        <w:tabs>
          <w:tab w:val="left" w:pos="2835"/>
        </w:tabs>
      </w:pPr>
      <w:r w:rsidRPr="00A35C95">
        <w:tab/>
        <w:t>(3)</w:t>
      </w:r>
      <w:r w:rsidRPr="00A35C95">
        <w:tab/>
        <w:t>If the SEGC allows the claim, it must pay to the claimant the amount that, as at the time when the claim is allowed, or when the SEGC decides as mentioned in paragraph (2)(b), as the case requires, is the actual pecuniary loss suffered by the claimant, as a result of the unauthorised execution, in respect of payments or other benefits:</w:t>
      </w:r>
    </w:p>
    <w:p w14:paraId="681F08F4" w14:textId="77777777" w:rsidR="00E93F58" w:rsidRPr="00A35C95" w:rsidRDefault="00E93F58" w:rsidP="00366AB5">
      <w:pPr>
        <w:pStyle w:val="paragraph"/>
        <w:tabs>
          <w:tab w:val="left" w:pos="2835"/>
        </w:tabs>
      </w:pPr>
      <w:r w:rsidRPr="00A35C95">
        <w:rPr>
          <w:color w:val="000000"/>
        </w:rPr>
        <w:tab/>
        <w:t>(a)</w:t>
      </w:r>
      <w:r w:rsidRPr="00A35C95">
        <w:rPr>
          <w:color w:val="000000"/>
        </w:rPr>
        <w:tab/>
        <w:t>in any case—to which the claimant would have become entitled, as the holder of such of the transferred securities as the claimant has, as a result of the unauthorised execution, ceased to hold, if the claimant had continued to hold the securities concerned until that time; or</w:t>
      </w:r>
    </w:p>
    <w:p w14:paraId="09A75B2D" w14:textId="77777777" w:rsidR="00E93F58" w:rsidRPr="00A35C95" w:rsidRDefault="00E93F58" w:rsidP="00366AB5">
      <w:pPr>
        <w:pStyle w:val="paragraph"/>
        <w:tabs>
          <w:tab w:val="left" w:pos="2835"/>
        </w:tabs>
      </w:pPr>
      <w:r w:rsidRPr="00A35C95">
        <w:tab/>
        <w:t>(b)</w:t>
      </w:r>
      <w:r w:rsidRPr="00A35C95">
        <w:tab/>
        <w:t>if the claim was made under regulation 7.5.55—that the claimant has received as holder of any of the transferred securities.</w:t>
      </w:r>
    </w:p>
    <w:p w14:paraId="74617B5A" w14:textId="77777777" w:rsidR="00E93F58" w:rsidRPr="00A35C95" w:rsidRDefault="00E93F58" w:rsidP="00366AB5">
      <w:pPr>
        <w:pStyle w:val="subsection"/>
        <w:tabs>
          <w:tab w:val="left" w:pos="2835"/>
        </w:tabs>
      </w:pPr>
      <w:r w:rsidRPr="00A35C95">
        <w:rPr>
          <w:color w:val="000000"/>
        </w:rPr>
        <w:lastRenderedPageBreak/>
        <w:tab/>
        <w:t>(4)</w:t>
      </w:r>
      <w:r w:rsidRPr="00A35C95">
        <w:rPr>
          <w:color w:val="000000"/>
        </w:rPr>
        <w:tab/>
        <w:t>For this regulation, if securities are purportedly transferred from a person to another person, the first</w:t>
      </w:r>
      <w:r>
        <w:rPr>
          <w:color w:val="000000"/>
        </w:rPr>
        <w:noBreakHyphen/>
      </w:r>
      <w:r w:rsidRPr="00A35C95">
        <w:rPr>
          <w:color w:val="000000"/>
        </w:rPr>
        <w:t>mentioned person is taken to cease to hold, and the other person is taken to hold, the securities even if the other person did not by virtue of the transfer get a good title to the securities.</w:t>
      </w:r>
    </w:p>
    <w:p w14:paraId="5AC619C3" w14:textId="77777777" w:rsidR="00E93F58" w:rsidRPr="00A35C95" w:rsidRDefault="00E93F58" w:rsidP="00366AB5">
      <w:pPr>
        <w:pStyle w:val="ActHead5"/>
        <w:tabs>
          <w:tab w:val="left" w:pos="2835"/>
        </w:tabs>
      </w:pPr>
      <w:bookmarkStart w:id="760" w:name="_Toc152057954"/>
      <w:bookmarkStart w:id="761" w:name="_Toc158712177"/>
      <w:r w:rsidRPr="00844D11">
        <w:rPr>
          <w:rStyle w:val="CharSectno"/>
        </w:rPr>
        <w:t>7.5.58</w:t>
      </w:r>
      <w:r w:rsidRPr="00A35C95">
        <w:t xml:space="preserve">  Discretionary further compensation to transferor</w:t>
      </w:r>
      <w:bookmarkEnd w:id="760"/>
      <w:bookmarkEnd w:id="761"/>
    </w:p>
    <w:p w14:paraId="7CD74798" w14:textId="77777777" w:rsidR="00E93F58" w:rsidRPr="00A35C95" w:rsidRDefault="00E93F58" w:rsidP="00366AB5">
      <w:pPr>
        <w:pStyle w:val="subsection"/>
        <w:tabs>
          <w:tab w:val="left" w:pos="2835"/>
        </w:tabs>
      </w:pPr>
      <w:r w:rsidRPr="00A35C95">
        <w:tab/>
        <w:t>(1)</w:t>
      </w:r>
      <w:r w:rsidRPr="00A35C95">
        <w:tab/>
        <w:t>If:</w:t>
      </w:r>
    </w:p>
    <w:p w14:paraId="69E298CA"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allows a claim made under regulation 7.5.54; and</w:t>
      </w:r>
    </w:p>
    <w:p w14:paraId="350C5FEA" w14:textId="77777777" w:rsidR="00E93F58" w:rsidRPr="00A35C95" w:rsidRDefault="00E93F58" w:rsidP="00366AB5">
      <w:pPr>
        <w:pStyle w:val="paragraph"/>
        <w:tabs>
          <w:tab w:val="left" w:pos="2835"/>
        </w:tabs>
      </w:pPr>
      <w:r w:rsidRPr="00A35C95">
        <w:tab/>
        <w:t>(b)</w:t>
      </w:r>
      <w:r w:rsidRPr="00A35C95">
        <w:tab/>
        <w:t>the SEGC is satisfied that the supply of securities, or the payment of money, or both, as the case requires, to the claimant under regulation 7.5.57 will not adequately compensate the claimant for a pecuniary or other gain that the claimant might, if the claimant had continued to hold the transferred securities, have made but did not in fact make;</w:t>
      </w:r>
    </w:p>
    <w:p w14:paraId="36C86861" w14:textId="77777777" w:rsidR="00E93F58" w:rsidRPr="00A35C95" w:rsidRDefault="00E93F58" w:rsidP="00366AB5">
      <w:pPr>
        <w:pStyle w:val="subsection2"/>
        <w:tabs>
          <w:tab w:val="left" w:pos="2835"/>
        </w:tabs>
      </w:pPr>
      <w:r w:rsidRPr="00A35C95">
        <w:rPr>
          <w:color w:val="000000"/>
        </w:rPr>
        <w:t>the SEGC may determine in writing that there be paid to the claimant in respect of that gain a specified amount that the SEGC considers to be fair and reasonable in all the circumstances.</w:t>
      </w:r>
    </w:p>
    <w:p w14:paraId="415918F2" w14:textId="77777777" w:rsidR="00E93F58" w:rsidRPr="00A35C95" w:rsidRDefault="00E93F58" w:rsidP="00366AB5">
      <w:pPr>
        <w:pStyle w:val="subsection"/>
        <w:tabs>
          <w:tab w:val="left" w:pos="2835"/>
        </w:tabs>
      </w:pPr>
      <w:r w:rsidRPr="00A35C95">
        <w:rPr>
          <w:color w:val="000000"/>
        </w:rPr>
        <w:tab/>
        <w:t>(2)</w:t>
      </w:r>
      <w:r w:rsidRPr="00A35C95">
        <w:rPr>
          <w:color w:val="000000"/>
        </w:rPr>
        <w:tab/>
        <w:t>If a determination is made under subregulation (1), the SEGC must pay to the claimant the amount specified in the determination.</w:t>
      </w:r>
    </w:p>
    <w:p w14:paraId="121ECF3D" w14:textId="77777777" w:rsidR="00E93F58" w:rsidRPr="00A35C95" w:rsidRDefault="00E93F58" w:rsidP="00366AB5">
      <w:pPr>
        <w:pStyle w:val="ActHead5"/>
        <w:tabs>
          <w:tab w:val="left" w:pos="2835"/>
        </w:tabs>
      </w:pPr>
      <w:bookmarkStart w:id="762" w:name="_Toc152057955"/>
      <w:bookmarkStart w:id="763" w:name="_Toc158712178"/>
      <w:r w:rsidRPr="00844D11">
        <w:rPr>
          <w:rStyle w:val="CharSectno"/>
        </w:rPr>
        <w:t>7.5.59</w:t>
      </w:r>
      <w:r w:rsidRPr="00A35C95">
        <w:rPr>
          <w:sz w:val="16"/>
        </w:rPr>
        <w:t xml:space="preserve">  </w:t>
      </w:r>
      <w:r w:rsidRPr="00A35C95">
        <w:t>Nexus with Australia</w:t>
      </w:r>
      <w:bookmarkEnd w:id="762"/>
      <w:bookmarkEnd w:id="763"/>
    </w:p>
    <w:p w14:paraId="43010A09" w14:textId="77777777" w:rsidR="00E93F58" w:rsidRPr="00A35C95" w:rsidRDefault="00E93F58" w:rsidP="00366AB5">
      <w:pPr>
        <w:pStyle w:val="subsection"/>
        <w:tabs>
          <w:tab w:val="left" w:pos="2835"/>
        </w:tabs>
      </w:pPr>
      <w:r w:rsidRPr="00A35C95">
        <w:rPr>
          <w:color w:val="000000"/>
        </w:rPr>
        <w:tab/>
      </w:r>
      <w:r w:rsidRPr="00A35C95">
        <w:rPr>
          <w:color w:val="000000"/>
        </w:rPr>
        <w:tab/>
        <w:t>Regulations 7.5.54 and 7.5.55 do not entitle a person to make a claim unless the dealer was on the day of the unauthorised execution a participant of a participating market licensee and:</w:t>
      </w:r>
    </w:p>
    <w:p w14:paraId="19EAE1ED" w14:textId="77777777" w:rsidR="00E93F58" w:rsidRPr="00A35C95" w:rsidRDefault="00E93F58" w:rsidP="00366AB5">
      <w:pPr>
        <w:pStyle w:val="paragraph"/>
        <w:tabs>
          <w:tab w:val="left" w:pos="2835"/>
        </w:tabs>
      </w:pPr>
      <w:r w:rsidRPr="00A35C95">
        <w:rPr>
          <w:color w:val="000000"/>
        </w:rPr>
        <w:tab/>
        <w:t>(a)</w:t>
      </w:r>
      <w:r w:rsidRPr="00A35C95">
        <w:rPr>
          <w:color w:val="000000"/>
        </w:rPr>
        <w:tab/>
        <w:t>the dealer was carrying on a securities business in Australia on that day; or</w:t>
      </w:r>
    </w:p>
    <w:p w14:paraId="62E9EEBA" w14:textId="77777777" w:rsidR="00E93F58" w:rsidRPr="00A35C95" w:rsidRDefault="00E93F58" w:rsidP="00366AB5">
      <w:pPr>
        <w:pStyle w:val="paragraph"/>
        <w:tabs>
          <w:tab w:val="left" w:pos="2835"/>
        </w:tabs>
      </w:pPr>
      <w:r w:rsidRPr="00A35C95">
        <w:tab/>
        <w:t>(b)</w:t>
      </w:r>
      <w:r w:rsidRPr="00A35C95">
        <w:tab/>
        <w:t>if the dealer was not so carrying on such a business and was not carrying on a securities business outside Australia on that day—the last securities business that the dealer carried on before that day was carried on in Australia.</w:t>
      </w:r>
    </w:p>
    <w:p w14:paraId="43784729" w14:textId="77777777" w:rsidR="00E93F58" w:rsidRPr="00A35C95" w:rsidRDefault="00E93F58" w:rsidP="00366AB5">
      <w:pPr>
        <w:pStyle w:val="ActHead4"/>
        <w:tabs>
          <w:tab w:val="left" w:pos="2835"/>
        </w:tabs>
      </w:pPr>
      <w:bookmarkStart w:id="764" w:name="_Toc152057956"/>
      <w:bookmarkStart w:id="765" w:name="_Toc158712179"/>
      <w:r w:rsidRPr="00844D11">
        <w:rPr>
          <w:rStyle w:val="CharSubdNo"/>
        </w:rPr>
        <w:t>Subdivision 4.8</w:t>
      </w:r>
      <w:r w:rsidRPr="00A35C95">
        <w:t>—</w:t>
      </w:r>
      <w:r w:rsidRPr="00844D11">
        <w:rPr>
          <w:rStyle w:val="CharSubdText"/>
        </w:rPr>
        <w:t>Contraventions of ASTC certificate cancellation provisions</w:t>
      </w:r>
      <w:bookmarkEnd w:id="764"/>
      <w:bookmarkEnd w:id="765"/>
    </w:p>
    <w:p w14:paraId="784ED7D1" w14:textId="77777777" w:rsidR="00E93F58" w:rsidRPr="00A35C95" w:rsidRDefault="00E93F58" w:rsidP="00366AB5">
      <w:pPr>
        <w:pStyle w:val="ActHead5"/>
        <w:tabs>
          <w:tab w:val="left" w:pos="2835"/>
        </w:tabs>
      </w:pPr>
      <w:bookmarkStart w:id="766" w:name="_Toc152057957"/>
      <w:bookmarkStart w:id="767" w:name="_Toc158712180"/>
      <w:r w:rsidRPr="00844D11">
        <w:rPr>
          <w:rStyle w:val="CharSectno"/>
        </w:rPr>
        <w:t>7.5.60</w:t>
      </w:r>
      <w:r w:rsidRPr="00A35C95">
        <w:t xml:space="preserve">  Claim in respect of contravention of ASTC certificate cancellation provisions</w:t>
      </w:r>
      <w:bookmarkEnd w:id="766"/>
      <w:bookmarkEnd w:id="767"/>
    </w:p>
    <w:p w14:paraId="03BA6AA9" w14:textId="77777777" w:rsidR="00E93F58" w:rsidRPr="00A35C95" w:rsidRDefault="00E93F58" w:rsidP="00366AB5">
      <w:pPr>
        <w:pStyle w:val="subsection"/>
        <w:tabs>
          <w:tab w:val="left" w:pos="2835"/>
        </w:tabs>
      </w:pPr>
      <w:r w:rsidRPr="00A35C95">
        <w:rPr>
          <w:color w:val="000000"/>
        </w:rPr>
        <w:tab/>
        <w:t>(1)</w:t>
      </w:r>
      <w:r w:rsidRPr="00A35C95">
        <w:rPr>
          <w:color w:val="000000"/>
        </w:rPr>
        <w:tab/>
        <w:t>A person who suffers pecuniary loss in respect of a contravention, by a dealer, of the ASTC certificate cancellation provisions may make a claim in respect of the loss.</w:t>
      </w:r>
    </w:p>
    <w:p w14:paraId="219A8114" w14:textId="77777777" w:rsidR="00E93F58" w:rsidRPr="00A35C95" w:rsidRDefault="00E93F58" w:rsidP="00366AB5">
      <w:pPr>
        <w:pStyle w:val="subsection"/>
        <w:tabs>
          <w:tab w:val="left" w:pos="2835"/>
        </w:tabs>
      </w:pPr>
      <w:r w:rsidRPr="00A35C95">
        <w:rPr>
          <w:color w:val="000000"/>
        </w:rPr>
        <w:tab/>
        <w:t>(2)</w:t>
      </w:r>
      <w:r w:rsidRPr="00A35C95">
        <w:rPr>
          <w:color w:val="000000"/>
        </w:rPr>
        <w:tab/>
        <w:t>The loss must not be a loss in respect of an unauthorised execution (within the meaning of paragraph 7.5.53(4)(a)) in respect of which the person has made, or is entitled to make, a claim under Subdivision 4.7.</w:t>
      </w:r>
    </w:p>
    <w:p w14:paraId="3F56B222" w14:textId="77777777" w:rsidR="00E93F58" w:rsidRPr="00A35C95" w:rsidRDefault="00E93F58" w:rsidP="00366AB5">
      <w:pPr>
        <w:pStyle w:val="subsection"/>
        <w:tabs>
          <w:tab w:val="left" w:pos="2835"/>
        </w:tabs>
      </w:pPr>
      <w:r w:rsidRPr="00A35C95">
        <w:tab/>
        <w:t>(3)</w:t>
      </w:r>
      <w:r w:rsidRPr="00A35C95">
        <w:tab/>
        <w:t>The person must not have been involved in the contravention.</w:t>
      </w:r>
    </w:p>
    <w:p w14:paraId="7BFCA255" w14:textId="77777777" w:rsidR="00E93F58" w:rsidRPr="00A35C95" w:rsidRDefault="00E93F58" w:rsidP="00366AB5">
      <w:pPr>
        <w:pStyle w:val="subsection"/>
        <w:tabs>
          <w:tab w:val="left" w:pos="2835"/>
        </w:tabs>
      </w:pPr>
      <w:r w:rsidRPr="00A35C95">
        <w:tab/>
        <w:t>(4)</w:t>
      </w:r>
      <w:r w:rsidRPr="00A35C95">
        <w:tab/>
        <w:t>The following paragraphs must be satisfied in relation to the dealer:</w:t>
      </w:r>
    </w:p>
    <w:p w14:paraId="25EC8ADF" w14:textId="77777777" w:rsidR="00E93F58" w:rsidRPr="00A35C95" w:rsidRDefault="00E93F58" w:rsidP="00366AB5">
      <w:pPr>
        <w:pStyle w:val="paragraph"/>
        <w:tabs>
          <w:tab w:val="left" w:pos="2835"/>
        </w:tabs>
      </w:pPr>
      <w:r w:rsidRPr="00A35C95">
        <w:rPr>
          <w:color w:val="000000"/>
        </w:rPr>
        <w:tab/>
        <w:t>(a)</w:t>
      </w:r>
      <w:r w:rsidRPr="00A35C95">
        <w:rPr>
          <w:color w:val="000000"/>
        </w:rPr>
        <w:tab/>
        <w:t>the dealer was a participant of a participating market licensee on the day of the contravention;</w:t>
      </w:r>
    </w:p>
    <w:p w14:paraId="7E984761" w14:textId="77777777" w:rsidR="00E93F58" w:rsidRPr="00A35C95" w:rsidRDefault="00E93F58" w:rsidP="00366AB5">
      <w:pPr>
        <w:pStyle w:val="paragraph"/>
        <w:tabs>
          <w:tab w:val="left" w:pos="2835"/>
        </w:tabs>
      </w:pPr>
      <w:r w:rsidRPr="00A35C95">
        <w:tab/>
        <w:t>(b)</w:t>
      </w:r>
      <w:r w:rsidRPr="00A35C95">
        <w:tab/>
        <w:t>either:</w:t>
      </w:r>
    </w:p>
    <w:p w14:paraId="32F7412F" w14:textId="77777777" w:rsidR="00E93F58" w:rsidRPr="00A35C95" w:rsidRDefault="00E93F58" w:rsidP="00366AB5">
      <w:pPr>
        <w:pStyle w:val="paragraphsub"/>
        <w:tabs>
          <w:tab w:val="left" w:pos="2835"/>
        </w:tabs>
      </w:pPr>
      <w:r w:rsidRPr="00A35C95">
        <w:rPr>
          <w:color w:val="000000"/>
        </w:rPr>
        <w:tab/>
        <w:t>(i)</w:t>
      </w:r>
      <w:r w:rsidRPr="00A35C95">
        <w:rPr>
          <w:color w:val="000000"/>
        </w:rPr>
        <w:tab/>
        <w:t>the dealer was carrying on a securities business in Australia on that day; or</w:t>
      </w:r>
    </w:p>
    <w:p w14:paraId="528C861C" w14:textId="77777777" w:rsidR="00E93F58" w:rsidRPr="00A35C95" w:rsidRDefault="00E93F58" w:rsidP="00366AB5">
      <w:pPr>
        <w:pStyle w:val="paragraphsub"/>
        <w:tabs>
          <w:tab w:val="left" w:pos="2835"/>
        </w:tabs>
      </w:pPr>
      <w:r w:rsidRPr="00A35C95">
        <w:tab/>
        <w:t>(ii)</w:t>
      </w:r>
      <w:r w:rsidRPr="00A35C95">
        <w:tab/>
        <w:t>if the dealer was not so carrying on such a business on that day—the last securities business that the dealer carried on before that day was carried on in Australia.</w:t>
      </w:r>
    </w:p>
    <w:p w14:paraId="7401B86F" w14:textId="77777777" w:rsidR="00E93F58" w:rsidRPr="00A35C95" w:rsidRDefault="00E93F58" w:rsidP="00366AB5">
      <w:pPr>
        <w:pStyle w:val="ActHead5"/>
        <w:tabs>
          <w:tab w:val="left" w:pos="2835"/>
        </w:tabs>
      </w:pPr>
      <w:bookmarkStart w:id="768" w:name="_Toc152057958"/>
      <w:bookmarkStart w:id="769" w:name="_Toc158712181"/>
      <w:r w:rsidRPr="00844D11">
        <w:rPr>
          <w:rStyle w:val="CharSectno"/>
        </w:rPr>
        <w:t>7.5.61</w:t>
      </w:r>
      <w:r w:rsidRPr="00A35C95">
        <w:t xml:space="preserve">  How and when claim may be made</w:t>
      </w:r>
      <w:bookmarkEnd w:id="768"/>
      <w:bookmarkEnd w:id="769"/>
    </w:p>
    <w:p w14:paraId="010D797B" w14:textId="77777777" w:rsidR="00E93F58" w:rsidRPr="00A35C95" w:rsidRDefault="00E93F58" w:rsidP="00366AB5">
      <w:pPr>
        <w:pStyle w:val="subsection"/>
        <w:tabs>
          <w:tab w:val="left" w:pos="2835"/>
        </w:tabs>
      </w:pPr>
      <w:r w:rsidRPr="00A35C95">
        <w:tab/>
        <w:t>(1)</w:t>
      </w:r>
      <w:r w:rsidRPr="00A35C95">
        <w:tab/>
        <w:t>A claim must:</w:t>
      </w:r>
    </w:p>
    <w:p w14:paraId="7CFA2099" w14:textId="77777777" w:rsidR="00E93F58" w:rsidRPr="00A35C95" w:rsidRDefault="00E93F58" w:rsidP="00366AB5">
      <w:pPr>
        <w:pStyle w:val="paragraph"/>
        <w:tabs>
          <w:tab w:val="left" w:pos="2835"/>
        </w:tabs>
      </w:pPr>
      <w:r w:rsidRPr="00A35C95">
        <w:rPr>
          <w:color w:val="000000"/>
        </w:rPr>
        <w:tab/>
        <w:t>(a)</w:t>
      </w:r>
      <w:r w:rsidRPr="00A35C95">
        <w:rPr>
          <w:color w:val="000000"/>
        </w:rPr>
        <w:tab/>
        <w:t>be in writing; and</w:t>
      </w:r>
    </w:p>
    <w:p w14:paraId="22C18146" w14:textId="77777777" w:rsidR="00E93F58" w:rsidRPr="00A35C95" w:rsidRDefault="00E93F58" w:rsidP="00366AB5">
      <w:pPr>
        <w:pStyle w:val="paragraph"/>
        <w:tabs>
          <w:tab w:val="left" w:pos="2835"/>
        </w:tabs>
      </w:pPr>
      <w:r w:rsidRPr="00A35C95">
        <w:tab/>
        <w:t>(b)</w:t>
      </w:r>
      <w:r w:rsidRPr="00A35C95">
        <w:tab/>
        <w:t>be served on the SEGC:</w:t>
      </w:r>
    </w:p>
    <w:p w14:paraId="74892AD3" w14:textId="77777777" w:rsidR="00E93F58" w:rsidRPr="00A35C95" w:rsidRDefault="00E93F58" w:rsidP="00366AB5">
      <w:pPr>
        <w:pStyle w:val="paragraphsub"/>
        <w:tabs>
          <w:tab w:val="left" w:pos="2835"/>
        </w:tabs>
      </w:pPr>
      <w:r w:rsidRPr="00A35C95">
        <w:rPr>
          <w:color w:val="000000"/>
        </w:rPr>
        <w:tab/>
        <w:t>(i)</w:t>
      </w:r>
      <w:r w:rsidRPr="00A35C95">
        <w:rPr>
          <w:color w:val="000000"/>
        </w:rPr>
        <w:tab/>
        <w:t>if a notice under subregulation (4) applies to the claim—before the end of the last application day specified in the notice; or</w:t>
      </w:r>
    </w:p>
    <w:p w14:paraId="4D3CDD08" w14:textId="77777777" w:rsidR="00E93F58" w:rsidRPr="00A35C95" w:rsidRDefault="00E93F58" w:rsidP="00366AB5">
      <w:pPr>
        <w:pStyle w:val="paragraphsub"/>
        <w:tabs>
          <w:tab w:val="left" w:pos="2835"/>
        </w:tabs>
      </w:pPr>
      <w:r w:rsidRPr="00A35C95">
        <w:tab/>
        <w:t>(ii)</w:t>
      </w:r>
      <w:r w:rsidRPr="00A35C95">
        <w:tab/>
        <w:t>in any other case—within 6 months after the day on which the claimant first became aware that the claimant had suffered loss as a result of the dealer’s contravention of the ASTC certificate cancellation provisions.</w:t>
      </w:r>
    </w:p>
    <w:p w14:paraId="32F869D4" w14:textId="77777777" w:rsidR="00E93F58" w:rsidRPr="00A35C95" w:rsidRDefault="00E93F58" w:rsidP="00366AB5">
      <w:pPr>
        <w:pStyle w:val="subsection"/>
        <w:tabs>
          <w:tab w:val="left" w:pos="2835"/>
        </w:tabs>
      </w:pPr>
      <w:r w:rsidRPr="00A35C95">
        <w:rPr>
          <w:color w:val="000000"/>
        </w:rPr>
        <w:tab/>
        <w:t>(2)</w:t>
      </w:r>
      <w:r w:rsidRPr="00A35C95">
        <w:rPr>
          <w:color w:val="000000"/>
        </w:rPr>
        <w:tab/>
        <w:t>For subregulation (1), a notice under subregulation (4) applies to a claim if the claim is in respect of a contravention of the ASTC certificate cancellation provisions, by the dealer named in the notice, during the applicable period specified in the notice.</w:t>
      </w:r>
    </w:p>
    <w:p w14:paraId="7F00AF65" w14:textId="77777777" w:rsidR="00E93F58" w:rsidRPr="00A35C95" w:rsidRDefault="00E93F58" w:rsidP="00366AB5">
      <w:pPr>
        <w:pStyle w:val="subsection"/>
        <w:tabs>
          <w:tab w:val="left" w:pos="2835"/>
        </w:tabs>
      </w:pPr>
      <w:r w:rsidRPr="00A35C95">
        <w:lastRenderedPageBreak/>
        <w:tab/>
        <w:t>(3)</w:t>
      </w:r>
      <w:r w:rsidRPr="00A35C95">
        <w:tab/>
        <w:t>A claim that is not served on the SEGC by the time required by paragraph (1)(b) is barred unless the SEGC otherwise determines.</w:t>
      </w:r>
    </w:p>
    <w:p w14:paraId="5855BD89" w14:textId="77777777" w:rsidR="00E93F58" w:rsidRPr="00A35C95" w:rsidRDefault="00E93F58" w:rsidP="00366AB5">
      <w:pPr>
        <w:pStyle w:val="subsection"/>
        <w:tabs>
          <w:tab w:val="left" w:pos="2835"/>
        </w:tabs>
      </w:pPr>
      <w:r w:rsidRPr="00A35C95">
        <w:tab/>
        <w:t>(4)</w:t>
      </w:r>
      <w:r w:rsidRPr="00A35C95">
        <w:tab/>
        <w:t>The SEGC may publish, in each State and Territory in a daily newspaper circulating in that State or Territory, a notice, using Form 719B, that:</w:t>
      </w:r>
    </w:p>
    <w:p w14:paraId="6C5516BF" w14:textId="77777777" w:rsidR="00E93F58" w:rsidRPr="00A35C95" w:rsidRDefault="00E93F58" w:rsidP="00366AB5">
      <w:pPr>
        <w:pStyle w:val="paragraph"/>
        <w:tabs>
          <w:tab w:val="left" w:pos="2835"/>
        </w:tabs>
      </w:pPr>
      <w:r w:rsidRPr="00A35C95">
        <w:rPr>
          <w:color w:val="000000"/>
        </w:rPr>
        <w:tab/>
        <w:t>(a)</w:t>
      </w:r>
      <w:r w:rsidRPr="00A35C95">
        <w:rPr>
          <w:color w:val="000000"/>
        </w:rPr>
        <w:tab/>
        <w:t>names a particular dealer; and</w:t>
      </w:r>
    </w:p>
    <w:p w14:paraId="17567F65" w14:textId="77777777" w:rsidR="00E93F58" w:rsidRPr="00A35C95" w:rsidRDefault="00E93F58" w:rsidP="00366AB5">
      <w:pPr>
        <w:pStyle w:val="paragraph"/>
        <w:tabs>
          <w:tab w:val="left" w:pos="2835"/>
        </w:tabs>
      </w:pPr>
      <w:r w:rsidRPr="00A35C95">
        <w:tab/>
        <w:t>(b)</w:t>
      </w:r>
      <w:r w:rsidRPr="00A35C95">
        <w:tab/>
        <w:t xml:space="preserve">requires that all claims in respect of contraventions of the ASTC certificate cancellation provisions, by the named dealer, during a period (the </w:t>
      </w:r>
      <w:r w:rsidRPr="00A35C95">
        <w:rPr>
          <w:b/>
          <w:i/>
        </w:rPr>
        <w:t>applicable period</w:t>
      </w:r>
      <w:r w:rsidRPr="00A35C95">
        <w:t xml:space="preserve">) specified in the notice in accordance with subregulation (5) must be served on the SEGC before the day (the </w:t>
      </w:r>
      <w:r w:rsidRPr="00A35C95">
        <w:rPr>
          <w:b/>
          <w:i/>
        </w:rPr>
        <w:t>last application day</w:t>
      </w:r>
      <w:r w:rsidRPr="00A35C95">
        <w:t>) specified in the notice in accordance with subregulation (6).</w:t>
      </w:r>
    </w:p>
    <w:p w14:paraId="6C620FA5" w14:textId="77777777" w:rsidR="00E93F58" w:rsidRPr="00A35C95" w:rsidRDefault="00E93F58" w:rsidP="00366AB5">
      <w:pPr>
        <w:pStyle w:val="subsection"/>
        <w:tabs>
          <w:tab w:val="left" w:pos="2835"/>
        </w:tabs>
      </w:pPr>
      <w:r w:rsidRPr="00A35C95">
        <w:rPr>
          <w:color w:val="000000"/>
        </w:rPr>
        <w:tab/>
        <w:t>(5)</w:t>
      </w:r>
      <w:r w:rsidRPr="00A35C95">
        <w:rPr>
          <w:color w:val="000000"/>
        </w:rPr>
        <w:tab/>
        <w:t>The applicable period must be a period that starts and ends before:</w:t>
      </w:r>
    </w:p>
    <w:p w14:paraId="08FF1180" w14:textId="77777777" w:rsidR="00E93F58" w:rsidRPr="00A35C95" w:rsidRDefault="00E93F58" w:rsidP="00366AB5">
      <w:pPr>
        <w:pStyle w:val="paragraph"/>
        <w:tabs>
          <w:tab w:val="left" w:pos="2835"/>
        </w:tabs>
      </w:pPr>
      <w:r w:rsidRPr="00A35C95">
        <w:rPr>
          <w:color w:val="000000"/>
        </w:rPr>
        <w:tab/>
        <w:t>(a)</w:t>
      </w:r>
      <w:r w:rsidRPr="00A35C95">
        <w:rPr>
          <w:color w:val="000000"/>
        </w:rPr>
        <w:tab/>
        <w:t>if each publication of the notice occurs on the same day—the day on which the notice is published; or</w:t>
      </w:r>
    </w:p>
    <w:p w14:paraId="3C4F05FC" w14:textId="77777777" w:rsidR="00E93F58" w:rsidRPr="00A35C95" w:rsidRDefault="00E93F58" w:rsidP="00366AB5">
      <w:pPr>
        <w:pStyle w:val="paragraph"/>
        <w:tabs>
          <w:tab w:val="left" w:pos="2835"/>
        </w:tabs>
      </w:pPr>
      <w:r w:rsidRPr="00A35C95">
        <w:tab/>
        <w:t>(b)</w:t>
      </w:r>
      <w:r w:rsidRPr="00A35C95">
        <w:tab/>
        <w:t>in any other case—the first day on which the notice is published.</w:t>
      </w:r>
    </w:p>
    <w:p w14:paraId="3EA56E03" w14:textId="77777777" w:rsidR="00E93F58" w:rsidRPr="00A35C95" w:rsidRDefault="00E93F58" w:rsidP="00366AB5">
      <w:pPr>
        <w:pStyle w:val="subsection"/>
        <w:tabs>
          <w:tab w:val="left" w:pos="2835"/>
        </w:tabs>
      </w:pPr>
      <w:r w:rsidRPr="00A35C95">
        <w:rPr>
          <w:color w:val="000000"/>
        </w:rPr>
        <w:tab/>
        <w:t>(6)</w:t>
      </w:r>
      <w:r w:rsidRPr="00A35C95">
        <w:rPr>
          <w:color w:val="000000"/>
        </w:rPr>
        <w:tab/>
        <w:t>The last application day must be at least 3 months after:</w:t>
      </w:r>
    </w:p>
    <w:p w14:paraId="6B7A3E48" w14:textId="77777777" w:rsidR="00E93F58" w:rsidRPr="00A35C95" w:rsidRDefault="00E93F58" w:rsidP="00366AB5">
      <w:pPr>
        <w:pStyle w:val="paragraph"/>
        <w:tabs>
          <w:tab w:val="left" w:pos="2835"/>
        </w:tabs>
      </w:pPr>
      <w:r w:rsidRPr="00A35C95">
        <w:rPr>
          <w:color w:val="000000"/>
        </w:rPr>
        <w:tab/>
        <w:t>(a)</w:t>
      </w:r>
      <w:r w:rsidRPr="00A35C95">
        <w:rPr>
          <w:color w:val="000000"/>
        </w:rPr>
        <w:tab/>
        <w:t>if each publication of the notice occurs on the same day—the day on which the notice is published; or</w:t>
      </w:r>
    </w:p>
    <w:p w14:paraId="4BB43E27" w14:textId="77777777" w:rsidR="00E93F58" w:rsidRPr="00A35C95" w:rsidRDefault="00E93F58" w:rsidP="00366AB5">
      <w:pPr>
        <w:pStyle w:val="paragraph"/>
        <w:tabs>
          <w:tab w:val="left" w:pos="2835"/>
        </w:tabs>
      </w:pPr>
      <w:r w:rsidRPr="00A35C95">
        <w:tab/>
        <w:t>(b)</w:t>
      </w:r>
      <w:r w:rsidRPr="00A35C95">
        <w:tab/>
        <w:t>in any other case—the last day on which the notice is published.</w:t>
      </w:r>
    </w:p>
    <w:p w14:paraId="5CC12A85" w14:textId="77777777" w:rsidR="00E93F58" w:rsidRPr="00A35C95" w:rsidRDefault="00E93F58" w:rsidP="00366AB5">
      <w:pPr>
        <w:pStyle w:val="subsection"/>
        <w:tabs>
          <w:tab w:val="left" w:pos="2835"/>
        </w:tabs>
      </w:pPr>
      <w:r w:rsidRPr="00A35C95">
        <w:rPr>
          <w:color w:val="000000"/>
        </w:rPr>
        <w:tab/>
        <w:t>(7)</w:t>
      </w:r>
      <w:r w:rsidRPr="00A35C95">
        <w:rPr>
          <w:color w:val="000000"/>
        </w:rPr>
        <w:tab/>
        <w:t>The SEGC, a member of the Board and any employee of, or person acting on behalf of, the SEGC each has qualified privilege in respect of the publication of a notice under subregulation (4).</w:t>
      </w:r>
    </w:p>
    <w:p w14:paraId="79890DAD" w14:textId="77777777" w:rsidR="00E93F58" w:rsidRPr="00A35C95" w:rsidRDefault="00E93F58" w:rsidP="00366AB5">
      <w:pPr>
        <w:pStyle w:val="ActHead5"/>
        <w:tabs>
          <w:tab w:val="left" w:pos="2835"/>
        </w:tabs>
      </w:pPr>
      <w:bookmarkStart w:id="770" w:name="_Toc152057959"/>
      <w:bookmarkStart w:id="771" w:name="_Toc158712182"/>
      <w:r w:rsidRPr="00844D11">
        <w:rPr>
          <w:rStyle w:val="CharSectno"/>
        </w:rPr>
        <w:t>7.5.62</w:t>
      </w:r>
      <w:r w:rsidRPr="00A35C95">
        <w:t xml:space="preserve">  How claim is to be satisfied</w:t>
      </w:r>
      <w:bookmarkEnd w:id="770"/>
      <w:bookmarkEnd w:id="771"/>
    </w:p>
    <w:p w14:paraId="19DE8C21" w14:textId="77777777" w:rsidR="00E93F58" w:rsidRPr="00A35C95" w:rsidRDefault="00E93F58" w:rsidP="00366AB5">
      <w:pPr>
        <w:pStyle w:val="subsection"/>
        <w:tabs>
          <w:tab w:val="left" w:pos="2835"/>
        </w:tabs>
      </w:pPr>
      <w:r w:rsidRPr="00A35C95">
        <w:rPr>
          <w:color w:val="000000"/>
        </w:rPr>
        <w:tab/>
        <w:t>(1)</w:t>
      </w:r>
      <w:r w:rsidRPr="00A35C95">
        <w:rPr>
          <w:color w:val="000000"/>
        </w:rPr>
        <w:tab/>
        <w:t>The SEGC must allow a claim if the SEGC is satisfied that regulation 7.5.60 entitles the claimant to make the claim.</w:t>
      </w:r>
    </w:p>
    <w:p w14:paraId="09B27F38" w14:textId="77777777" w:rsidR="00E93F58" w:rsidRPr="00A35C95" w:rsidRDefault="00E93F58" w:rsidP="00366AB5">
      <w:pPr>
        <w:pStyle w:val="subsection"/>
        <w:tabs>
          <w:tab w:val="left" w:pos="2835"/>
        </w:tabs>
      </w:pPr>
      <w:r w:rsidRPr="00A35C95">
        <w:rPr>
          <w:color w:val="000000"/>
        </w:rPr>
        <w:tab/>
        <w:t>(2)</w:t>
      </w:r>
      <w:r w:rsidRPr="00A35C95">
        <w:rPr>
          <w:color w:val="000000"/>
        </w:rPr>
        <w:tab/>
        <w:t>If the SEGC allows the claim, it must pay to the claimant the amount that, when the claim is allowed, is the actual pecuniary loss suffered by the claimant because of the contravention in respect of which the claim was made.</w:t>
      </w:r>
    </w:p>
    <w:p w14:paraId="1FC747C9" w14:textId="77777777" w:rsidR="00E93F58" w:rsidRPr="00A35C95" w:rsidRDefault="00E93F58" w:rsidP="00366AB5">
      <w:pPr>
        <w:pStyle w:val="subsection"/>
        <w:tabs>
          <w:tab w:val="left" w:pos="2835"/>
        </w:tabs>
      </w:pPr>
      <w:r w:rsidRPr="00A35C95">
        <w:tab/>
        <w:t>(3)</w:t>
      </w:r>
      <w:r w:rsidRPr="00A35C95">
        <w:tab/>
        <w:t>For subregulation (2), the actual pecuniary loss suffered by the claimant does not include any loss in respect of an unauthorised execution (within the meaning of paragraph 7.5.53(4)(a)) in respect of which the claimant has made, or is entitled to make, a claim under Subdivision 4.7.</w:t>
      </w:r>
    </w:p>
    <w:p w14:paraId="3B19A597" w14:textId="77777777" w:rsidR="00E93F58" w:rsidRPr="00A35C95" w:rsidRDefault="00E93F58" w:rsidP="00366AB5">
      <w:pPr>
        <w:pStyle w:val="ActHead5"/>
        <w:tabs>
          <w:tab w:val="left" w:pos="2835"/>
        </w:tabs>
      </w:pPr>
      <w:bookmarkStart w:id="772" w:name="_Toc152057960"/>
      <w:bookmarkStart w:id="773" w:name="_Toc158712183"/>
      <w:r w:rsidRPr="00844D11">
        <w:rPr>
          <w:rStyle w:val="CharSectno"/>
        </w:rPr>
        <w:t>7.5.63</w:t>
      </w:r>
      <w:r w:rsidRPr="00A35C95">
        <w:t xml:space="preserve">  Discretionary further compensation</w:t>
      </w:r>
      <w:bookmarkEnd w:id="772"/>
      <w:bookmarkEnd w:id="773"/>
    </w:p>
    <w:p w14:paraId="61F254D7" w14:textId="77777777" w:rsidR="00E93F58" w:rsidRPr="00A35C95" w:rsidRDefault="00E93F58" w:rsidP="00366AB5">
      <w:pPr>
        <w:pStyle w:val="subsection"/>
        <w:tabs>
          <w:tab w:val="left" w:pos="2835"/>
        </w:tabs>
      </w:pPr>
      <w:r w:rsidRPr="00A35C95">
        <w:tab/>
        <w:t>(1)</w:t>
      </w:r>
      <w:r w:rsidRPr="00A35C95">
        <w:tab/>
        <w:t>If:</w:t>
      </w:r>
    </w:p>
    <w:p w14:paraId="28ADA4C8"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allows a claim made under regulation 7.5.60; and</w:t>
      </w:r>
    </w:p>
    <w:p w14:paraId="28975CFB" w14:textId="77777777" w:rsidR="00E93F58" w:rsidRPr="00A35C95" w:rsidRDefault="00E93F58" w:rsidP="00366AB5">
      <w:pPr>
        <w:pStyle w:val="paragraph"/>
        <w:tabs>
          <w:tab w:val="left" w:pos="2835"/>
        </w:tabs>
      </w:pPr>
      <w:r w:rsidRPr="00A35C95">
        <w:tab/>
        <w:t>(b)</w:t>
      </w:r>
      <w:r w:rsidRPr="00A35C95">
        <w:tab/>
        <w:t>the SEGC is satisfied that the payment of money to the claimant under regulation 7.5.62 will not adequately compensate the claimant for a pecuniary or other gain that the claimant did not make, but might have made, were it not for the contravention in respect of which the claim was made;</w:t>
      </w:r>
    </w:p>
    <w:p w14:paraId="51D6D83B" w14:textId="77777777" w:rsidR="00E93F58" w:rsidRPr="00A35C95" w:rsidRDefault="00E93F58" w:rsidP="00366AB5">
      <w:pPr>
        <w:pStyle w:val="subsection2"/>
        <w:tabs>
          <w:tab w:val="left" w:pos="2835"/>
        </w:tabs>
      </w:pPr>
      <w:r w:rsidRPr="00A35C95">
        <w:rPr>
          <w:color w:val="000000"/>
        </w:rPr>
        <w:t>the SEGC may determine in writing that the claimant should be paid in respect of that gain a specified amount that the SEGC considers to be fair and reasonable in all the circumstances.</w:t>
      </w:r>
    </w:p>
    <w:p w14:paraId="3A32417A" w14:textId="77777777" w:rsidR="00E93F58" w:rsidRPr="00A35C95" w:rsidRDefault="00E93F58" w:rsidP="00366AB5">
      <w:pPr>
        <w:pStyle w:val="subsection"/>
        <w:tabs>
          <w:tab w:val="left" w:pos="2835"/>
        </w:tabs>
      </w:pPr>
      <w:r w:rsidRPr="00A35C95">
        <w:rPr>
          <w:color w:val="000000"/>
        </w:rPr>
        <w:tab/>
        <w:t>(2)</w:t>
      </w:r>
      <w:r w:rsidRPr="00A35C95">
        <w:rPr>
          <w:color w:val="000000"/>
        </w:rPr>
        <w:tab/>
        <w:t>If a determination is made under subregulation (1), the SEGC must pay the claimant the amount specified in the determination.</w:t>
      </w:r>
    </w:p>
    <w:p w14:paraId="3506AA55" w14:textId="77777777" w:rsidR="00E93F58" w:rsidRPr="00A35C95" w:rsidRDefault="00E93F58" w:rsidP="00366AB5">
      <w:pPr>
        <w:pStyle w:val="ActHead4"/>
        <w:tabs>
          <w:tab w:val="left" w:pos="2835"/>
        </w:tabs>
      </w:pPr>
      <w:bookmarkStart w:id="774" w:name="_Toc152057961"/>
      <w:bookmarkStart w:id="775" w:name="_Toc158712184"/>
      <w:r w:rsidRPr="00844D11">
        <w:rPr>
          <w:rStyle w:val="CharSubdNo"/>
        </w:rPr>
        <w:t>Subdivision 4.9</w:t>
      </w:r>
      <w:r w:rsidRPr="00A35C95">
        <w:t>—</w:t>
      </w:r>
      <w:r w:rsidRPr="00844D11">
        <w:rPr>
          <w:rStyle w:val="CharSubdText"/>
        </w:rPr>
        <w:t>Claims in respect of insolvent participants</w:t>
      </w:r>
      <w:bookmarkEnd w:id="774"/>
      <w:bookmarkEnd w:id="775"/>
    </w:p>
    <w:p w14:paraId="5BC13D85" w14:textId="77777777" w:rsidR="00E93F58" w:rsidRPr="00A35C95" w:rsidRDefault="00E93F58" w:rsidP="00366AB5">
      <w:pPr>
        <w:pStyle w:val="ActHead5"/>
        <w:tabs>
          <w:tab w:val="left" w:pos="2835"/>
        </w:tabs>
      </w:pPr>
      <w:bookmarkStart w:id="776" w:name="_Toc152057962"/>
      <w:bookmarkStart w:id="777" w:name="_Toc158712185"/>
      <w:r w:rsidRPr="00844D11">
        <w:rPr>
          <w:rStyle w:val="CharSectno"/>
        </w:rPr>
        <w:t>7.5.64</w:t>
      </w:r>
      <w:r w:rsidRPr="00A35C95">
        <w:t xml:space="preserve">  Claim in respect of property entrusted to, or received by, dealer before dealer became insolvent</w:t>
      </w:r>
      <w:bookmarkEnd w:id="776"/>
      <w:bookmarkEnd w:id="777"/>
    </w:p>
    <w:p w14:paraId="1F61EB77" w14:textId="77777777" w:rsidR="00E93F58" w:rsidRPr="00A35C95" w:rsidRDefault="00E93F58" w:rsidP="00366AB5">
      <w:pPr>
        <w:pStyle w:val="subsection"/>
        <w:tabs>
          <w:tab w:val="left" w:pos="2835"/>
        </w:tabs>
      </w:pPr>
      <w:r w:rsidRPr="00A35C95">
        <w:tab/>
        <w:t>(1)</w:t>
      </w:r>
      <w:r w:rsidRPr="00A35C95">
        <w:tab/>
        <w:t>A person may make a claim in respect of property if:</w:t>
      </w:r>
    </w:p>
    <w:p w14:paraId="0A92E709"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has become insolvent at a particular time (whether before or after the commencement of this regulation); and</w:t>
      </w:r>
    </w:p>
    <w:p w14:paraId="40B5FD97" w14:textId="77777777" w:rsidR="00E93F58" w:rsidRPr="00A35C95" w:rsidRDefault="00E93F58" w:rsidP="00366AB5">
      <w:pPr>
        <w:pStyle w:val="paragraph"/>
        <w:tabs>
          <w:tab w:val="left" w:pos="2835"/>
        </w:tabs>
      </w:pPr>
      <w:r w:rsidRPr="00A35C95">
        <w:tab/>
        <w:t>(b)</w:t>
      </w:r>
      <w:r w:rsidRPr="00A35C95">
        <w:tab/>
        <w:t>at an earlier time (whether before or after that commencement), the property was, in the course of, or in connection with, the dealer’s securities business entrusted to, or received by:</w:t>
      </w:r>
    </w:p>
    <w:p w14:paraId="20CE61F9" w14:textId="77777777" w:rsidR="00E93F58" w:rsidRPr="00A35C95" w:rsidRDefault="00E93F58" w:rsidP="00366AB5">
      <w:pPr>
        <w:pStyle w:val="paragraphsub"/>
        <w:tabs>
          <w:tab w:val="left" w:pos="2835"/>
        </w:tabs>
      </w:pPr>
      <w:r w:rsidRPr="00A35C95">
        <w:rPr>
          <w:color w:val="000000"/>
        </w:rPr>
        <w:tab/>
        <w:t>(i)</w:t>
      </w:r>
      <w:r w:rsidRPr="00A35C95">
        <w:rPr>
          <w:color w:val="000000"/>
        </w:rPr>
        <w:tab/>
        <w:t>if the dealer was, at the earlier time, a partner in a participant—the participant, or a partner in, or an employee of, the participant; or</w:t>
      </w:r>
    </w:p>
    <w:p w14:paraId="28915850" w14:textId="77777777" w:rsidR="00E93F58" w:rsidRPr="00A35C95" w:rsidRDefault="00E93F58" w:rsidP="00366AB5">
      <w:pPr>
        <w:pStyle w:val="paragraphsub"/>
        <w:tabs>
          <w:tab w:val="left" w:pos="2835"/>
        </w:tabs>
      </w:pPr>
      <w:r w:rsidRPr="00A35C95">
        <w:tab/>
        <w:t>(ii)</w:t>
      </w:r>
      <w:r w:rsidRPr="00A35C95">
        <w:tab/>
        <w:t>in any other case—the dealer or an employee of the dealer;</w:t>
      </w:r>
    </w:p>
    <w:p w14:paraId="6AF5BA25" w14:textId="77777777" w:rsidR="00E93F58" w:rsidRPr="00A35C95" w:rsidRDefault="00E93F58" w:rsidP="00366AB5">
      <w:pPr>
        <w:pStyle w:val="paragraph"/>
        <w:tabs>
          <w:tab w:val="left" w:pos="2835"/>
        </w:tabs>
      </w:pPr>
      <w:r w:rsidRPr="00A35C95">
        <w:rPr>
          <w:color w:val="000000"/>
        </w:rPr>
        <w:tab/>
      </w:r>
      <w:r w:rsidRPr="00A35C95">
        <w:rPr>
          <w:color w:val="000000"/>
        </w:rPr>
        <w:tab/>
        <w:t>and was so entrusted or received on behalf of, or because the dealer was a trustee of the property for, the person (other than an excluded person in relation to the dealer); and</w:t>
      </w:r>
    </w:p>
    <w:p w14:paraId="6FF30969" w14:textId="77777777" w:rsidR="00E93F58" w:rsidRPr="00A35C95" w:rsidRDefault="00E93F58" w:rsidP="00366AB5">
      <w:pPr>
        <w:pStyle w:val="paragraph"/>
        <w:tabs>
          <w:tab w:val="left" w:pos="2835"/>
        </w:tabs>
      </w:pPr>
      <w:r w:rsidRPr="00A35C95">
        <w:lastRenderedPageBreak/>
        <w:tab/>
        <w:t>(c)</w:t>
      </w:r>
      <w:r w:rsidRPr="00A35C95">
        <w:tab/>
        <w:t>at the time the dealer became insolvent, the obligations of the dealer, or of a participant of which the dealer is a partner, as the case requires, to the person in respect of the property have not been discharged.</w:t>
      </w:r>
    </w:p>
    <w:p w14:paraId="59BCF79B" w14:textId="77777777" w:rsidR="00E93F58" w:rsidRPr="00A35C95" w:rsidRDefault="00E93F58" w:rsidP="00366AB5">
      <w:pPr>
        <w:pStyle w:val="subsection"/>
        <w:tabs>
          <w:tab w:val="left" w:pos="2835"/>
        </w:tabs>
      </w:pPr>
      <w:r w:rsidRPr="00A35C95">
        <w:tab/>
        <w:t>(2)</w:t>
      </w:r>
      <w:r w:rsidRPr="00A35C95">
        <w:tab/>
        <w:t>The SEGC must allow the claim if the SEGC is satisfied that:</w:t>
      </w:r>
    </w:p>
    <w:p w14:paraId="4173D5E4" w14:textId="77777777" w:rsidR="00E93F58" w:rsidRPr="00A35C95" w:rsidRDefault="00E93F58" w:rsidP="00366AB5">
      <w:pPr>
        <w:pStyle w:val="paragraph"/>
        <w:tabs>
          <w:tab w:val="left" w:pos="2835"/>
        </w:tabs>
      </w:pPr>
      <w:r w:rsidRPr="00A35C95">
        <w:rPr>
          <w:color w:val="000000"/>
        </w:rPr>
        <w:tab/>
        <w:t>(a)</w:t>
      </w:r>
      <w:r w:rsidRPr="00A35C95">
        <w:rPr>
          <w:color w:val="000000"/>
        </w:rPr>
        <w:tab/>
        <w:t>subregulation (1) entitles the claimant to make the claim; and</w:t>
      </w:r>
    </w:p>
    <w:p w14:paraId="13E16AD7" w14:textId="77777777" w:rsidR="00E93F58" w:rsidRPr="00A35C95" w:rsidRDefault="00E93F58" w:rsidP="00366AB5">
      <w:pPr>
        <w:pStyle w:val="paragraph"/>
        <w:tabs>
          <w:tab w:val="left" w:pos="2835"/>
        </w:tabs>
      </w:pPr>
      <w:r w:rsidRPr="00A35C95">
        <w:tab/>
        <w:t>(b)</w:t>
      </w:r>
      <w:r w:rsidRPr="00A35C95">
        <w:tab/>
        <w:t>at the time the SEGC considers the claim, the obligations of the dealer, or of a participant of which the dealer is a partner, as the case requires, to the claimant in respect of the property have not been discharged.</w:t>
      </w:r>
    </w:p>
    <w:p w14:paraId="49CC79DF" w14:textId="77777777" w:rsidR="00E93F58" w:rsidRPr="00A35C95" w:rsidRDefault="00E93F58" w:rsidP="00366AB5">
      <w:pPr>
        <w:pStyle w:val="subsection"/>
        <w:tabs>
          <w:tab w:val="left" w:pos="2835"/>
        </w:tabs>
      </w:pPr>
      <w:r w:rsidRPr="00A35C95">
        <w:rPr>
          <w:color w:val="000000"/>
        </w:rPr>
        <w:tab/>
        <w:t>(3)</w:t>
      </w:r>
      <w:r w:rsidRPr="00A35C95">
        <w:rPr>
          <w:color w:val="000000"/>
        </w:rPr>
        <w:tab/>
        <w:t>If the property is, or includes, money, the SEGC must pay to the claimant an amount equal to the amount of that money.</w:t>
      </w:r>
    </w:p>
    <w:p w14:paraId="446C2997" w14:textId="77777777" w:rsidR="00E93F58" w:rsidRPr="00A35C95" w:rsidRDefault="00E93F58" w:rsidP="00366AB5">
      <w:pPr>
        <w:pStyle w:val="subsection"/>
        <w:tabs>
          <w:tab w:val="left" w:pos="2835"/>
        </w:tabs>
      </w:pPr>
      <w:r w:rsidRPr="00A35C95">
        <w:tab/>
        <w:t>(4)</w:t>
      </w:r>
      <w:r w:rsidRPr="00A35C95">
        <w:tab/>
        <w:t>If the property is, or includes, property other than money, the SEGC must, subject to subregulation (5) and regulation 7.5.65, supply the property other than money to the claimant.</w:t>
      </w:r>
    </w:p>
    <w:p w14:paraId="04846DEF" w14:textId="77777777" w:rsidR="00E93F58" w:rsidRPr="00A35C95" w:rsidRDefault="00E93F58" w:rsidP="00366AB5">
      <w:pPr>
        <w:pStyle w:val="subsection"/>
        <w:tabs>
          <w:tab w:val="left" w:pos="2835"/>
        </w:tabs>
      </w:pPr>
      <w:r w:rsidRPr="00A35C95">
        <w:tab/>
        <w:t>(5)</w:t>
      </w:r>
      <w:r w:rsidRPr="00A35C95">
        <w:tab/>
        <w:t>If:</w:t>
      </w:r>
    </w:p>
    <w:p w14:paraId="677A28C3" w14:textId="77777777" w:rsidR="00E93F58" w:rsidRPr="00A35C95" w:rsidRDefault="00E93F58" w:rsidP="00366AB5">
      <w:pPr>
        <w:pStyle w:val="paragraph"/>
        <w:tabs>
          <w:tab w:val="left" w:pos="2835"/>
        </w:tabs>
      </w:pPr>
      <w:r w:rsidRPr="00A35C95">
        <w:tab/>
        <w:t>(a)</w:t>
      </w:r>
      <w:r w:rsidRPr="00A35C95">
        <w:tab/>
        <w:t>the SEGC allows a claim in respect of property that is, or includes:</w:t>
      </w:r>
    </w:p>
    <w:p w14:paraId="547AB0DB" w14:textId="77777777" w:rsidR="00E93F58" w:rsidRPr="00A35C95" w:rsidRDefault="00E93F58" w:rsidP="00366AB5">
      <w:pPr>
        <w:pStyle w:val="paragraphsub"/>
        <w:tabs>
          <w:tab w:val="left" w:pos="2835"/>
        </w:tabs>
      </w:pPr>
      <w:r w:rsidRPr="00A35C95">
        <w:rPr>
          <w:color w:val="000000"/>
        </w:rPr>
        <w:tab/>
        <w:t>(i)</w:t>
      </w:r>
      <w:r w:rsidRPr="00A35C95">
        <w:rPr>
          <w:color w:val="000000"/>
        </w:rPr>
        <w:tab/>
        <w:t>a number of securities of a particular kind; or</w:t>
      </w:r>
    </w:p>
    <w:p w14:paraId="01DFB09B" w14:textId="77777777" w:rsidR="00E93F58" w:rsidRPr="00A35C95" w:rsidRDefault="00E93F58" w:rsidP="00366AB5">
      <w:pPr>
        <w:pStyle w:val="paragraphsub"/>
        <w:tabs>
          <w:tab w:val="left" w:pos="2835"/>
        </w:tabs>
      </w:pPr>
      <w:r w:rsidRPr="00A35C95">
        <w:tab/>
        <w:t>(ii)</w:t>
      </w:r>
      <w:r w:rsidRPr="00A35C95">
        <w:tab/>
        <w:t>documents of title to a number of securities of a particular kind; and</w:t>
      </w:r>
    </w:p>
    <w:p w14:paraId="7D86E520" w14:textId="77777777" w:rsidR="00E93F58" w:rsidRPr="00A35C95" w:rsidRDefault="00E93F58" w:rsidP="00366AB5">
      <w:pPr>
        <w:pStyle w:val="paragraph"/>
        <w:tabs>
          <w:tab w:val="left" w:pos="2835"/>
        </w:tabs>
      </w:pPr>
      <w:r w:rsidRPr="00A35C95">
        <w:tab/>
        <w:t>(b)</w:t>
      </w:r>
      <w:r w:rsidRPr="00A35C95">
        <w:tab/>
        <w:t>it is not reasonably practicable for the SEGC to obtain those securities, or those documents of title to securities, as the case may be, from the dealer or, if the dealer has disposed of them, from the dealer’s successor in title, before the end of:</w:t>
      </w:r>
    </w:p>
    <w:p w14:paraId="3B10ED05"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if the operating rules of a participating market licensee </w:t>
      </w:r>
      <w:r w:rsidRPr="00A35C95">
        <w:t>or licensed CS facility</w:t>
      </w:r>
      <w:r w:rsidRPr="00A35C95">
        <w:rPr>
          <w:color w:val="000000"/>
        </w:rPr>
        <w:t xml:space="preserve"> of which the dealer is a participant, being those operating rules as in force when the SEGC allows the claim, prescribe a period, for this regulation, in relation to a class of claims that includes that claim—that period; or</w:t>
      </w:r>
    </w:p>
    <w:p w14:paraId="1361B50E" w14:textId="77777777" w:rsidR="00E93F58" w:rsidRPr="00A35C95" w:rsidRDefault="00E93F58" w:rsidP="00366AB5">
      <w:pPr>
        <w:pStyle w:val="paragraphsub"/>
        <w:tabs>
          <w:tab w:val="left" w:pos="2835"/>
        </w:tabs>
      </w:pPr>
      <w:r w:rsidRPr="00A35C95">
        <w:tab/>
        <w:t>(ii)</w:t>
      </w:r>
      <w:r w:rsidRPr="00A35C95">
        <w:tab/>
        <w:t>in any other case—such period as the SEGC, having regard to all the circumstances relating to the claim, considers reasonable;</w:t>
      </w:r>
    </w:p>
    <w:p w14:paraId="266BA491" w14:textId="77777777" w:rsidR="00E93F58" w:rsidRPr="00A35C95" w:rsidRDefault="00E93F58" w:rsidP="00366AB5">
      <w:pPr>
        <w:pStyle w:val="subsection2"/>
        <w:tabs>
          <w:tab w:val="left" w:pos="2835"/>
        </w:tabs>
      </w:pPr>
      <w:r w:rsidRPr="00A35C95">
        <w:rPr>
          <w:color w:val="000000"/>
        </w:rPr>
        <w:t>the SEGC must, subject to regulation 7.5.65, supply to the person, instead of those securities, or those documents of title to securities, the number of securities of that kind, or documents of title to the number of securities of that kind, as the case may be.</w:t>
      </w:r>
    </w:p>
    <w:p w14:paraId="0A951749" w14:textId="77777777" w:rsidR="00E93F58" w:rsidRPr="00A35C95" w:rsidRDefault="00E93F58" w:rsidP="00366AB5">
      <w:pPr>
        <w:pStyle w:val="ActHead5"/>
        <w:tabs>
          <w:tab w:val="left" w:pos="2835"/>
        </w:tabs>
      </w:pPr>
      <w:bookmarkStart w:id="778" w:name="_Toc152057963"/>
      <w:bookmarkStart w:id="779" w:name="_Toc158712186"/>
      <w:r w:rsidRPr="00844D11">
        <w:rPr>
          <w:rStyle w:val="CharSectno"/>
        </w:rPr>
        <w:t>7.5.65</w:t>
      </w:r>
      <w:r w:rsidRPr="00A35C95">
        <w:t xml:space="preserve">  Cash settlement of claims if property unobtainable</w:t>
      </w:r>
      <w:bookmarkEnd w:id="778"/>
      <w:bookmarkEnd w:id="779"/>
    </w:p>
    <w:p w14:paraId="14AAFF5F" w14:textId="77777777" w:rsidR="00E93F58" w:rsidRPr="00A35C95" w:rsidRDefault="00E93F58" w:rsidP="00366AB5">
      <w:pPr>
        <w:pStyle w:val="subsection"/>
        <w:tabs>
          <w:tab w:val="left" w:pos="2835"/>
        </w:tabs>
      </w:pPr>
      <w:r w:rsidRPr="00A35C95">
        <w:tab/>
        <w:t>(1)</w:t>
      </w:r>
      <w:r w:rsidRPr="00A35C95">
        <w:tab/>
        <w:t>If:</w:t>
      </w:r>
    </w:p>
    <w:p w14:paraId="7F13ADA9"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allows a claim in respect of property that is, or includes, a number of securities of a particular kind or documents of title to a number of securities of a particular kind; and</w:t>
      </w:r>
    </w:p>
    <w:p w14:paraId="30FA178B" w14:textId="77777777" w:rsidR="00E93F58" w:rsidRPr="00A35C95" w:rsidRDefault="00E93F58" w:rsidP="00366AB5">
      <w:pPr>
        <w:pStyle w:val="paragraph"/>
        <w:tabs>
          <w:tab w:val="left" w:pos="2835"/>
        </w:tabs>
      </w:pPr>
      <w:r w:rsidRPr="00A35C95">
        <w:tab/>
        <w:t>(b)</w:t>
      </w:r>
      <w:r w:rsidRPr="00A35C95">
        <w:tab/>
        <w:t>it is not reasonably practicable for the SEGC to obtain those securities, or those documents of title to securities, as the case may be, from the dealer or, if the dealer has disposed of them, from the dealer’s successor in title, before the end of:</w:t>
      </w:r>
    </w:p>
    <w:p w14:paraId="0565FFC0"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if the operating rules of a participating market licensee </w:t>
      </w:r>
      <w:r w:rsidRPr="00A35C95">
        <w:t>or licensed CS facility</w:t>
      </w:r>
      <w:r w:rsidRPr="00A35C95">
        <w:rPr>
          <w:color w:val="000000"/>
        </w:rPr>
        <w:t xml:space="preserve"> of which the dealer is a participant, being those operating rules as in force when the SEGC allows the claim, prescribe a period, for this regulation, in relation to a class of claims that includes the claim—that period; or</w:t>
      </w:r>
    </w:p>
    <w:p w14:paraId="35110A78" w14:textId="77777777" w:rsidR="00E93F58" w:rsidRPr="00A35C95" w:rsidRDefault="00E93F58" w:rsidP="00366AB5">
      <w:pPr>
        <w:pStyle w:val="paragraphsub"/>
        <w:tabs>
          <w:tab w:val="left" w:pos="2835"/>
        </w:tabs>
      </w:pPr>
      <w:r w:rsidRPr="00A35C95">
        <w:tab/>
        <w:t>(ii)</w:t>
      </w:r>
      <w:r w:rsidRPr="00A35C95">
        <w:tab/>
        <w:t>in any other case—such period as the SEGC, having regard to all the circumstances relating to the claim, considers reasonable; and</w:t>
      </w:r>
    </w:p>
    <w:p w14:paraId="69CB6D64" w14:textId="77777777" w:rsidR="00E93F58" w:rsidRPr="00A35C95" w:rsidRDefault="00E93F58" w:rsidP="00366AB5">
      <w:pPr>
        <w:pStyle w:val="paragraph"/>
        <w:tabs>
          <w:tab w:val="left" w:pos="2835"/>
        </w:tabs>
      </w:pPr>
      <w:r w:rsidRPr="00A35C95">
        <w:tab/>
        <w:t>(c)</w:t>
      </w:r>
      <w:r w:rsidRPr="00A35C95">
        <w:tab/>
        <w:t>it is not reasonably practicable for the SEGC to obtain that number of securities of that kind, or documents of title to that number of securities of that kind, as the case may be, before the end of that period because:</w:t>
      </w:r>
    </w:p>
    <w:p w14:paraId="3C308054" w14:textId="77777777" w:rsidR="00E93F58" w:rsidRPr="00A35C95" w:rsidRDefault="00E93F58" w:rsidP="00366AB5">
      <w:pPr>
        <w:pStyle w:val="paragraphsub"/>
        <w:tabs>
          <w:tab w:val="left" w:pos="2835"/>
        </w:tabs>
      </w:pPr>
      <w:r w:rsidRPr="00A35C95">
        <w:rPr>
          <w:color w:val="000000"/>
        </w:rPr>
        <w:tab/>
        <w:t>(i)</w:t>
      </w:r>
      <w:r w:rsidRPr="00A35C95">
        <w:rPr>
          <w:color w:val="000000"/>
        </w:rPr>
        <w:tab/>
        <w:t>whether by reason that dealing in securities of that kind is suspended or for any other reason, there exists at no time during that period an orderly market in such securities; or</w:t>
      </w:r>
    </w:p>
    <w:p w14:paraId="2BB7D8AE" w14:textId="77777777" w:rsidR="00E93F58" w:rsidRPr="00A35C95" w:rsidRDefault="00E93F58" w:rsidP="00366AB5">
      <w:pPr>
        <w:pStyle w:val="paragraphsub"/>
        <w:tabs>
          <w:tab w:val="left" w:pos="2835"/>
        </w:tabs>
      </w:pPr>
      <w:r w:rsidRPr="00A35C95">
        <w:tab/>
        <w:t>(ii)</w:t>
      </w:r>
      <w:r w:rsidRPr="00A35C95">
        <w:tab/>
        <w:t>the total number of securities of that kind offered for sale on financial markets of market licensees or Exchange bodies at times during that period when there exists an orderly market in such securities is insufficient;</w:t>
      </w:r>
    </w:p>
    <w:p w14:paraId="47004D99" w14:textId="77777777" w:rsidR="00E93F58" w:rsidRPr="00A35C95" w:rsidRDefault="00E93F58" w:rsidP="00366AB5">
      <w:pPr>
        <w:pStyle w:val="subsection2"/>
        <w:tabs>
          <w:tab w:val="left" w:pos="2835"/>
        </w:tabs>
      </w:pPr>
      <w:r w:rsidRPr="00A35C95">
        <w:rPr>
          <w:color w:val="000000"/>
        </w:rPr>
        <w:t>the SEGC may decide to pay to the claimant the amount that, when the decision is made, is the actual pecuniary loss suffered by the claimant in respect of the first</w:t>
      </w:r>
      <w:r>
        <w:rPr>
          <w:color w:val="000000"/>
        </w:rPr>
        <w:noBreakHyphen/>
      </w:r>
      <w:r w:rsidRPr="00A35C95">
        <w:rPr>
          <w:color w:val="000000"/>
        </w:rPr>
        <w:t>mentioned securities, or the first</w:t>
      </w:r>
      <w:r>
        <w:rPr>
          <w:color w:val="000000"/>
        </w:rPr>
        <w:noBreakHyphen/>
      </w:r>
      <w:r w:rsidRPr="00A35C95">
        <w:rPr>
          <w:color w:val="000000"/>
        </w:rPr>
        <w:t>mentioned documents of title, as the case may be, and if the SEGC does so, the SEGC must pay that amount to the claimant.</w:t>
      </w:r>
    </w:p>
    <w:p w14:paraId="71ADBDDF" w14:textId="77777777" w:rsidR="00E93F58" w:rsidRPr="00A35C95" w:rsidRDefault="00E93F58" w:rsidP="00366AB5">
      <w:pPr>
        <w:pStyle w:val="subsection"/>
        <w:tabs>
          <w:tab w:val="left" w:pos="2835"/>
        </w:tabs>
      </w:pPr>
      <w:r w:rsidRPr="00A35C95">
        <w:tab/>
        <w:t>(2)</w:t>
      </w:r>
      <w:r w:rsidRPr="00A35C95">
        <w:tab/>
        <w:t>If:</w:t>
      </w:r>
    </w:p>
    <w:p w14:paraId="315A054E" w14:textId="77777777" w:rsidR="00E93F58" w:rsidRPr="00A35C95" w:rsidRDefault="00E93F58" w:rsidP="00366AB5">
      <w:pPr>
        <w:pStyle w:val="paragraph"/>
        <w:tabs>
          <w:tab w:val="left" w:pos="2835"/>
        </w:tabs>
      </w:pPr>
      <w:r w:rsidRPr="00A35C95">
        <w:rPr>
          <w:color w:val="000000"/>
        </w:rPr>
        <w:lastRenderedPageBreak/>
        <w:tab/>
        <w:t>(a)</w:t>
      </w:r>
      <w:r w:rsidRPr="00A35C95">
        <w:rPr>
          <w:color w:val="000000"/>
        </w:rPr>
        <w:tab/>
        <w:t xml:space="preserve">the SEGC allows a claim that, because of a dealer having become insolvent, this Division entitles a person to make in respect of property that is, or includes, property (the </w:t>
      </w:r>
      <w:r w:rsidRPr="00A35C95">
        <w:rPr>
          <w:b/>
          <w:i/>
          <w:color w:val="000000"/>
        </w:rPr>
        <w:t>relevant property</w:t>
      </w:r>
      <w:r w:rsidRPr="00A35C95">
        <w:rPr>
          <w:color w:val="000000"/>
        </w:rPr>
        <w:t>) other than money, securities or documents of title to securities; and</w:t>
      </w:r>
    </w:p>
    <w:p w14:paraId="658A4D63" w14:textId="77777777" w:rsidR="00E93F58" w:rsidRPr="00A35C95" w:rsidRDefault="00E93F58" w:rsidP="00366AB5">
      <w:pPr>
        <w:pStyle w:val="paragraph"/>
        <w:tabs>
          <w:tab w:val="left" w:pos="2835"/>
        </w:tabs>
      </w:pPr>
      <w:r w:rsidRPr="00A35C95">
        <w:tab/>
        <w:t>(b)</w:t>
      </w:r>
      <w:r w:rsidRPr="00A35C95">
        <w:tab/>
        <w:t>it is not reasonably practicable for the SEGC to obtain the relevant property from the dealer or, if the dealer has disposed of it, from the dealer’s successor in title, before the end of such period as the SEGC considers reasonable;</w:t>
      </w:r>
    </w:p>
    <w:p w14:paraId="05C7B6D2" w14:textId="77777777" w:rsidR="00E93F58" w:rsidRPr="00A35C95" w:rsidRDefault="00E93F58" w:rsidP="00366AB5">
      <w:pPr>
        <w:pStyle w:val="subsection2"/>
        <w:tabs>
          <w:tab w:val="left" w:pos="2835"/>
        </w:tabs>
      </w:pPr>
      <w:r w:rsidRPr="00A35C95">
        <w:rPr>
          <w:color w:val="000000"/>
        </w:rPr>
        <w:t>the SEGC may decide to pay to the claimant the amount that, when the decision is made, is the actual pecuniary loss suffered by the claimant in respect of the relevant property, and if the SEGC does so, the SEGC must pay that amount to the claimant.</w:t>
      </w:r>
    </w:p>
    <w:p w14:paraId="59BD4053" w14:textId="77777777" w:rsidR="00E93F58" w:rsidRPr="00A35C95" w:rsidRDefault="00E93F58" w:rsidP="00366AB5">
      <w:pPr>
        <w:pStyle w:val="ActHead5"/>
        <w:tabs>
          <w:tab w:val="left" w:pos="2835"/>
        </w:tabs>
      </w:pPr>
      <w:bookmarkStart w:id="780" w:name="_Toc152057964"/>
      <w:bookmarkStart w:id="781" w:name="_Toc158712187"/>
      <w:r w:rsidRPr="00844D11">
        <w:rPr>
          <w:rStyle w:val="CharSectno"/>
        </w:rPr>
        <w:t>7.5.66</w:t>
      </w:r>
      <w:r w:rsidRPr="00A35C95">
        <w:t xml:space="preserve">  Ordering of alternative claims and prevention of double recovery</w:t>
      </w:r>
      <w:bookmarkEnd w:id="780"/>
      <w:bookmarkEnd w:id="781"/>
    </w:p>
    <w:p w14:paraId="4C59862B" w14:textId="77777777" w:rsidR="00E93F58" w:rsidRPr="00A35C95" w:rsidRDefault="00E93F58" w:rsidP="00366AB5">
      <w:pPr>
        <w:pStyle w:val="subsection"/>
        <w:tabs>
          <w:tab w:val="left" w:pos="2835"/>
        </w:tabs>
      </w:pPr>
      <w:r w:rsidRPr="00A35C95">
        <w:tab/>
        <w:t>(1)</w:t>
      </w:r>
      <w:r w:rsidRPr="00A35C95">
        <w:tab/>
        <w:t>Subregulation (2) applies if:</w:t>
      </w:r>
    </w:p>
    <w:p w14:paraId="217D0D8B" w14:textId="77777777" w:rsidR="00E93F58" w:rsidRPr="00A35C95" w:rsidRDefault="00E93F58" w:rsidP="00366AB5">
      <w:pPr>
        <w:pStyle w:val="paragraph"/>
        <w:tabs>
          <w:tab w:val="left" w:pos="2835"/>
        </w:tabs>
      </w:pPr>
      <w:r w:rsidRPr="00A35C95">
        <w:rPr>
          <w:color w:val="000000"/>
        </w:rPr>
        <w:tab/>
        <w:t>(a)</w:t>
      </w:r>
      <w:r w:rsidRPr="00A35C95">
        <w:rPr>
          <w:color w:val="000000"/>
        </w:rPr>
        <w:tab/>
        <w:t>a participant has received under the agreement for a sale or purchase of securities by the participant on behalf of a person, the consideration for the sale or settlement documents in relation to the purchase, as the case may be; and</w:t>
      </w:r>
    </w:p>
    <w:p w14:paraId="557D52E1" w14:textId="77777777" w:rsidR="00E93F58" w:rsidRPr="00A35C95" w:rsidRDefault="00E93F58" w:rsidP="00366AB5">
      <w:pPr>
        <w:pStyle w:val="paragraph"/>
        <w:tabs>
          <w:tab w:val="left" w:pos="2835"/>
        </w:tabs>
      </w:pPr>
      <w:r w:rsidRPr="00A35C95">
        <w:tab/>
        <w:t>(b)</w:t>
      </w:r>
      <w:r w:rsidRPr="00A35C95">
        <w:tab/>
        <w:t>subregulation 7.5.24(1), 7.5.25(1), 7.5.26(1) or 7.5.27(1) entitles the person to make a claim against the SEGC under Subdivision 4.3 in respect of the sale or purchase.</w:t>
      </w:r>
    </w:p>
    <w:p w14:paraId="43E16338" w14:textId="77777777" w:rsidR="00E93F58" w:rsidRPr="00A35C95" w:rsidRDefault="00E93F58" w:rsidP="00366AB5">
      <w:pPr>
        <w:pStyle w:val="subsection"/>
        <w:tabs>
          <w:tab w:val="left" w:pos="2835"/>
        </w:tabs>
      </w:pPr>
      <w:r w:rsidRPr="00A35C95">
        <w:tab/>
        <w:t>(2)</w:t>
      </w:r>
      <w:r w:rsidRPr="00A35C95">
        <w:tab/>
        <w:t>This Subdivision does not, because of:</w:t>
      </w:r>
    </w:p>
    <w:p w14:paraId="38A8413F" w14:textId="77777777" w:rsidR="00E93F58" w:rsidRPr="00A35C95" w:rsidRDefault="00E93F58" w:rsidP="00366AB5">
      <w:pPr>
        <w:pStyle w:val="paragraph"/>
        <w:tabs>
          <w:tab w:val="left" w:pos="2835"/>
        </w:tabs>
      </w:pPr>
      <w:r w:rsidRPr="00A35C95">
        <w:rPr>
          <w:color w:val="000000"/>
        </w:rPr>
        <w:tab/>
        <w:t>(a)</w:t>
      </w:r>
      <w:r w:rsidRPr="00A35C95">
        <w:rPr>
          <w:color w:val="000000"/>
        </w:rPr>
        <w:tab/>
        <w:t>a dealer, being the participant or a partner in the participant, having become insolvent at a particular time; and</w:t>
      </w:r>
    </w:p>
    <w:p w14:paraId="29DBE8ED" w14:textId="77777777" w:rsidR="00E93F58" w:rsidRPr="00A35C95" w:rsidRDefault="00E93F58" w:rsidP="00366AB5">
      <w:pPr>
        <w:pStyle w:val="paragraph"/>
        <w:tabs>
          <w:tab w:val="left" w:pos="2835"/>
        </w:tabs>
      </w:pPr>
      <w:r w:rsidRPr="00A35C95">
        <w:tab/>
        <w:t>(b)</w:t>
      </w:r>
      <w:r w:rsidRPr="00A35C95">
        <w:tab/>
        <w:t>the participant having received, under the agreement, the consideration or the settlement documents;</w:t>
      </w:r>
    </w:p>
    <w:p w14:paraId="74839A2C" w14:textId="77777777" w:rsidR="00E93F58" w:rsidRPr="00A35C95" w:rsidRDefault="00E93F58" w:rsidP="00366AB5">
      <w:pPr>
        <w:pStyle w:val="subsection2"/>
        <w:tabs>
          <w:tab w:val="left" w:pos="2835"/>
        </w:tabs>
      </w:pPr>
      <w:r w:rsidRPr="00A35C95">
        <w:rPr>
          <w:color w:val="000000"/>
        </w:rPr>
        <w:t>entitle the person to make a claim in respect of the consideration or the settlement documents, as the case may be, unless the participant’s obligations to the person in respect of the sale or purchase, as the case may be, in so far as those obligations related to the consideration or the settlement documents, were discharged before that time.</w:t>
      </w:r>
    </w:p>
    <w:p w14:paraId="77BE6E29" w14:textId="77777777" w:rsidR="00E93F58" w:rsidRPr="00A35C95" w:rsidRDefault="00E93F58" w:rsidP="00366AB5">
      <w:pPr>
        <w:pStyle w:val="subsection"/>
        <w:tabs>
          <w:tab w:val="left" w:pos="2835"/>
        </w:tabs>
      </w:pPr>
      <w:r w:rsidRPr="00A35C95">
        <w:tab/>
        <w:t>(3)</w:t>
      </w:r>
      <w:r w:rsidRPr="00A35C95">
        <w:tab/>
        <w:t>If:</w:t>
      </w:r>
    </w:p>
    <w:p w14:paraId="5F95158D"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because of a dealer having become insolvent on a particular day, this Subdivision entitles a person to make a claim (the </w:t>
      </w:r>
      <w:r w:rsidRPr="00A35C95">
        <w:rPr>
          <w:b/>
          <w:i/>
          <w:color w:val="000000"/>
        </w:rPr>
        <w:t>first claim</w:t>
      </w:r>
      <w:r w:rsidRPr="00A35C95">
        <w:rPr>
          <w:color w:val="000000"/>
        </w:rPr>
        <w:t>) in respect of property; and</w:t>
      </w:r>
    </w:p>
    <w:p w14:paraId="7568A965" w14:textId="77777777" w:rsidR="00E93F58" w:rsidRPr="00A35C95" w:rsidRDefault="00E93F58" w:rsidP="00366AB5">
      <w:pPr>
        <w:pStyle w:val="paragraph"/>
        <w:tabs>
          <w:tab w:val="left" w:pos="2835"/>
        </w:tabs>
      </w:pPr>
      <w:r w:rsidRPr="00A35C95">
        <w:tab/>
        <w:t>(b)</w:t>
      </w:r>
      <w:r w:rsidRPr="00A35C95">
        <w:tab/>
        <w:t>because of a dealer having become insolvent on a later day, this Subdivision entitles a person to make another claim in respect of the property;</w:t>
      </w:r>
    </w:p>
    <w:p w14:paraId="4B378C77" w14:textId="77777777" w:rsidR="00E93F58" w:rsidRPr="00A35C95" w:rsidRDefault="00E93F58" w:rsidP="00366AB5">
      <w:pPr>
        <w:pStyle w:val="subsection2"/>
        <w:tabs>
          <w:tab w:val="left" w:pos="2835"/>
        </w:tabs>
      </w:pPr>
      <w:r w:rsidRPr="00A35C95">
        <w:rPr>
          <w:color w:val="000000"/>
        </w:rPr>
        <w:t>the SEGC must not allow the other claim unless:</w:t>
      </w:r>
    </w:p>
    <w:p w14:paraId="2D1485FA" w14:textId="77777777" w:rsidR="00E93F58" w:rsidRPr="00A35C95" w:rsidRDefault="00E93F58" w:rsidP="00366AB5">
      <w:pPr>
        <w:pStyle w:val="paragraph"/>
        <w:tabs>
          <w:tab w:val="left" w:pos="2835"/>
        </w:tabs>
      </w:pPr>
      <w:r w:rsidRPr="00A35C95">
        <w:rPr>
          <w:color w:val="000000"/>
        </w:rPr>
        <w:tab/>
        <w:t>(c)</w:t>
      </w:r>
      <w:r w:rsidRPr="00A35C95">
        <w:rPr>
          <w:color w:val="000000"/>
        </w:rPr>
        <w:tab/>
        <w:t>the person has made the first claim and the SEGC has allowed or disallowed it; or</w:t>
      </w:r>
    </w:p>
    <w:p w14:paraId="07648C02" w14:textId="77777777" w:rsidR="00E93F58" w:rsidRPr="00A35C95" w:rsidRDefault="00E93F58" w:rsidP="00366AB5">
      <w:pPr>
        <w:pStyle w:val="paragraph"/>
        <w:tabs>
          <w:tab w:val="left" w:pos="2835"/>
        </w:tabs>
      </w:pPr>
      <w:r w:rsidRPr="00A35C95">
        <w:tab/>
        <w:t>(d)</w:t>
      </w:r>
      <w:r w:rsidRPr="00A35C95">
        <w:tab/>
        <w:t>the SEGC is satisfied that if the first claim had been made the SEGC would have disallowed it; or</w:t>
      </w:r>
    </w:p>
    <w:p w14:paraId="375BE771" w14:textId="77777777" w:rsidR="00E93F58" w:rsidRPr="00A35C95" w:rsidRDefault="00E93F58" w:rsidP="00366AB5">
      <w:pPr>
        <w:pStyle w:val="paragraph"/>
        <w:tabs>
          <w:tab w:val="left" w:pos="2835"/>
        </w:tabs>
      </w:pPr>
      <w:r w:rsidRPr="00A35C95">
        <w:tab/>
        <w:t>(e)</w:t>
      </w:r>
      <w:r w:rsidRPr="00A35C95">
        <w:tab/>
        <w:t>the SEGC is satisfied that, when the person first became aware of the dealer mentioned in paragraph (b) having become insolvent on the later day:</w:t>
      </w:r>
    </w:p>
    <w:p w14:paraId="5BCAB52A" w14:textId="77777777" w:rsidR="00E93F58" w:rsidRPr="00A35C95" w:rsidRDefault="00E93F58" w:rsidP="00366AB5">
      <w:pPr>
        <w:pStyle w:val="paragraphsub"/>
        <w:tabs>
          <w:tab w:val="left" w:pos="2835"/>
        </w:tabs>
      </w:pPr>
      <w:r w:rsidRPr="00A35C95">
        <w:rPr>
          <w:color w:val="000000"/>
        </w:rPr>
        <w:tab/>
        <w:t>(i)</w:t>
      </w:r>
      <w:r w:rsidRPr="00A35C95">
        <w:rPr>
          <w:color w:val="000000"/>
        </w:rPr>
        <w:tab/>
        <w:t>the first claim was barred; or</w:t>
      </w:r>
    </w:p>
    <w:p w14:paraId="0A94E14E" w14:textId="77777777" w:rsidR="00E93F58" w:rsidRPr="00A35C95" w:rsidRDefault="00E93F58" w:rsidP="00366AB5">
      <w:pPr>
        <w:pStyle w:val="paragraphsub"/>
        <w:tabs>
          <w:tab w:val="left" w:pos="2835"/>
        </w:tabs>
      </w:pPr>
      <w:r w:rsidRPr="00A35C95">
        <w:tab/>
        <w:t>(ii)</w:t>
      </w:r>
      <w:r w:rsidRPr="00A35C95">
        <w:tab/>
        <w:t>it was no longer reasonably practicable for the person to make the first claim before it became barred.</w:t>
      </w:r>
    </w:p>
    <w:p w14:paraId="0C942709" w14:textId="77777777" w:rsidR="00E93F58" w:rsidRPr="00A35C95" w:rsidRDefault="00E93F58" w:rsidP="00366AB5">
      <w:pPr>
        <w:pStyle w:val="subsection"/>
        <w:tabs>
          <w:tab w:val="left" w:pos="2835"/>
        </w:tabs>
      </w:pPr>
      <w:r w:rsidRPr="00A35C95">
        <w:tab/>
        <w:t>(4)</w:t>
      </w:r>
      <w:r w:rsidRPr="00A35C95">
        <w:tab/>
        <w:t>If:</w:t>
      </w:r>
    </w:p>
    <w:p w14:paraId="2AAA3280" w14:textId="77777777" w:rsidR="00E93F58" w:rsidRPr="00A35C95" w:rsidRDefault="00E93F58" w:rsidP="00366AB5">
      <w:pPr>
        <w:pStyle w:val="paragraph"/>
        <w:tabs>
          <w:tab w:val="left" w:pos="2835"/>
        </w:tabs>
      </w:pPr>
      <w:r w:rsidRPr="00A35C95">
        <w:rPr>
          <w:color w:val="000000"/>
        </w:rPr>
        <w:tab/>
        <w:t>(a)</w:t>
      </w:r>
      <w:r w:rsidRPr="00A35C95">
        <w:rPr>
          <w:color w:val="000000"/>
        </w:rPr>
        <w:tab/>
        <w:t>at a particular time, the SEGC allows a claim in respect of property; and</w:t>
      </w:r>
    </w:p>
    <w:p w14:paraId="5E60351C" w14:textId="77777777" w:rsidR="00E93F58" w:rsidRPr="00A35C95" w:rsidRDefault="00E93F58" w:rsidP="00366AB5">
      <w:pPr>
        <w:pStyle w:val="paragraph"/>
        <w:tabs>
          <w:tab w:val="left" w:pos="2835"/>
        </w:tabs>
      </w:pPr>
      <w:r w:rsidRPr="00A35C95">
        <w:tab/>
        <w:t>(b)</w:t>
      </w:r>
      <w:r w:rsidRPr="00A35C95">
        <w:tab/>
        <w:t>because of:</w:t>
      </w:r>
    </w:p>
    <w:p w14:paraId="2BE2607E" w14:textId="77777777" w:rsidR="00E93F58" w:rsidRPr="00A35C95" w:rsidRDefault="00E93F58" w:rsidP="00366AB5">
      <w:pPr>
        <w:pStyle w:val="paragraphsub"/>
        <w:tabs>
          <w:tab w:val="left" w:pos="2835"/>
        </w:tabs>
      </w:pPr>
      <w:r w:rsidRPr="00A35C95">
        <w:rPr>
          <w:color w:val="000000"/>
        </w:rPr>
        <w:tab/>
        <w:t>(i)</w:t>
      </w:r>
      <w:r w:rsidRPr="00A35C95">
        <w:rPr>
          <w:color w:val="000000"/>
        </w:rPr>
        <w:tab/>
        <w:t>a dealer having become insolvent (whether before, at or after that time); and</w:t>
      </w:r>
    </w:p>
    <w:p w14:paraId="269C9C24" w14:textId="77777777" w:rsidR="00E93F58" w:rsidRPr="00A35C95" w:rsidRDefault="00E93F58" w:rsidP="00366AB5">
      <w:pPr>
        <w:pStyle w:val="paragraphsub"/>
        <w:tabs>
          <w:tab w:val="left" w:pos="2835"/>
        </w:tabs>
      </w:pPr>
      <w:r w:rsidRPr="00A35C95">
        <w:tab/>
        <w:t>(ii)</w:t>
      </w:r>
      <w:r w:rsidRPr="00A35C95">
        <w:tab/>
        <w:t>the property having, before that time, been entrusted or received as mentioned in paragraph 7.5.64(1)(b);</w:t>
      </w:r>
    </w:p>
    <w:p w14:paraId="611EC6CD" w14:textId="77777777" w:rsidR="00E93F58" w:rsidRPr="00A35C95" w:rsidRDefault="00E93F58" w:rsidP="00366AB5">
      <w:pPr>
        <w:pStyle w:val="paragraph"/>
        <w:tabs>
          <w:tab w:val="left" w:pos="2835"/>
        </w:tabs>
      </w:pPr>
      <w:r w:rsidRPr="00A35C95">
        <w:rPr>
          <w:color w:val="000000"/>
        </w:rPr>
        <w:tab/>
      </w:r>
      <w:r w:rsidRPr="00A35C95">
        <w:rPr>
          <w:color w:val="000000"/>
        </w:rPr>
        <w:tab/>
        <w:t>this Subdivision entitles the claimant to make another claim in respect of the property;</w:t>
      </w:r>
    </w:p>
    <w:p w14:paraId="74BD8960" w14:textId="77777777" w:rsidR="00E93F58" w:rsidRPr="00A35C95" w:rsidRDefault="00E93F58" w:rsidP="00366AB5">
      <w:pPr>
        <w:pStyle w:val="subsection2"/>
        <w:tabs>
          <w:tab w:val="left" w:pos="2835"/>
        </w:tabs>
      </w:pPr>
      <w:r w:rsidRPr="00A35C95">
        <w:rPr>
          <w:color w:val="000000"/>
        </w:rPr>
        <w:t>the SEGC must not allow the other claim.</w:t>
      </w:r>
    </w:p>
    <w:p w14:paraId="264C1F16" w14:textId="77777777" w:rsidR="00E93F58" w:rsidRPr="00A35C95" w:rsidRDefault="00E93F58" w:rsidP="00366AB5">
      <w:pPr>
        <w:pStyle w:val="ActHead5"/>
        <w:tabs>
          <w:tab w:val="left" w:pos="2835"/>
        </w:tabs>
      </w:pPr>
      <w:bookmarkStart w:id="782" w:name="_Toc152057965"/>
      <w:bookmarkStart w:id="783" w:name="_Toc158712188"/>
      <w:r w:rsidRPr="00844D11">
        <w:rPr>
          <w:rStyle w:val="CharSectno"/>
        </w:rPr>
        <w:t>7.5.67</w:t>
      </w:r>
      <w:r w:rsidRPr="00A35C95">
        <w:t xml:space="preserve">  No claim in respect of money lent to dealer</w:t>
      </w:r>
      <w:bookmarkEnd w:id="782"/>
      <w:bookmarkEnd w:id="783"/>
    </w:p>
    <w:p w14:paraId="51516888" w14:textId="77777777" w:rsidR="00E93F58" w:rsidRPr="00A35C95" w:rsidRDefault="00E93F58" w:rsidP="00366AB5">
      <w:pPr>
        <w:pStyle w:val="subsection"/>
        <w:tabs>
          <w:tab w:val="left" w:pos="2835"/>
        </w:tabs>
      </w:pPr>
      <w:r w:rsidRPr="00A35C95">
        <w:tab/>
      </w:r>
      <w:r w:rsidRPr="00A35C95">
        <w:tab/>
        <w:t>If, at the time when a dealer becomes insolvent:</w:t>
      </w:r>
    </w:p>
    <w:p w14:paraId="3B240592" w14:textId="77777777" w:rsidR="00E93F58" w:rsidRPr="00A35C95" w:rsidRDefault="00E93F58" w:rsidP="00366AB5">
      <w:pPr>
        <w:pStyle w:val="paragraph"/>
        <w:tabs>
          <w:tab w:val="left" w:pos="2835"/>
        </w:tabs>
      </w:pPr>
      <w:r w:rsidRPr="00A35C95">
        <w:rPr>
          <w:color w:val="000000"/>
        </w:rPr>
        <w:tab/>
        <w:t>(a)</w:t>
      </w:r>
      <w:r w:rsidRPr="00A35C95">
        <w:rPr>
          <w:color w:val="000000"/>
        </w:rPr>
        <w:tab/>
        <w:t>a person has lent money to the dealer; and</w:t>
      </w:r>
    </w:p>
    <w:p w14:paraId="6FF6758C" w14:textId="77777777" w:rsidR="00E93F58" w:rsidRPr="00A35C95" w:rsidRDefault="00E93F58" w:rsidP="00366AB5">
      <w:pPr>
        <w:pStyle w:val="paragraph"/>
        <w:tabs>
          <w:tab w:val="left" w:pos="2835"/>
        </w:tabs>
      </w:pPr>
      <w:r w:rsidRPr="00A35C95">
        <w:tab/>
        <w:t>(b)</w:t>
      </w:r>
      <w:r w:rsidRPr="00A35C95">
        <w:tab/>
        <w:t>the liability of the dealer to repay the money remains undischarged;</w:t>
      </w:r>
    </w:p>
    <w:p w14:paraId="5D086EF3" w14:textId="77777777" w:rsidR="00E93F58" w:rsidRPr="00A35C95" w:rsidRDefault="00E93F58" w:rsidP="00366AB5">
      <w:pPr>
        <w:pStyle w:val="subsection2"/>
        <w:tabs>
          <w:tab w:val="left" w:pos="2835"/>
        </w:tabs>
      </w:pPr>
      <w:r w:rsidRPr="00A35C95">
        <w:rPr>
          <w:color w:val="000000"/>
        </w:rPr>
        <w:t>this Subdivision does not, because of the dealer having become insolvent at that time, entitle the person to make a claim in respect of the money.</w:t>
      </w:r>
    </w:p>
    <w:p w14:paraId="27953A1E" w14:textId="77777777" w:rsidR="00E93F58" w:rsidRPr="00A35C95" w:rsidRDefault="00E93F58" w:rsidP="00366AB5">
      <w:pPr>
        <w:pStyle w:val="ActHead5"/>
        <w:tabs>
          <w:tab w:val="left" w:pos="2835"/>
        </w:tabs>
      </w:pPr>
      <w:bookmarkStart w:id="784" w:name="_Toc152057966"/>
      <w:bookmarkStart w:id="785" w:name="_Toc158712189"/>
      <w:r w:rsidRPr="00844D11">
        <w:rPr>
          <w:rStyle w:val="CharSectno"/>
        </w:rPr>
        <w:lastRenderedPageBreak/>
        <w:t>7.5.68</w:t>
      </w:r>
      <w:r w:rsidRPr="00A35C95">
        <w:t xml:space="preserve">  Nexus with Australia</w:t>
      </w:r>
      <w:bookmarkEnd w:id="784"/>
      <w:bookmarkEnd w:id="785"/>
    </w:p>
    <w:p w14:paraId="22E36293" w14:textId="77777777" w:rsidR="00E93F58" w:rsidRPr="00A35C95" w:rsidRDefault="00E93F58" w:rsidP="00366AB5">
      <w:pPr>
        <w:pStyle w:val="subsection"/>
        <w:keepNext/>
        <w:keepLines/>
        <w:tabs>
          <w:tab w:val="left" w:pos="2835"/>
        </w:tabs>
      </w:pPr>
      <w:r w:rsidRPr="00A35C95">
        <w:tab/>
      </w:r>
      <w:r w:rsidRPr="00A35C95">
        <w:tab/>
        <w:t xml:space="preserve">This Subdivision does not, because of a person (the </w:t>
      </w:r>
      <w:r w:rsidRPr="00A35C95">
        <w:rPr>
          <w:b/>
          <w:i/>
        </w:rPr>
        <w:t>dealer</w:t>
      </w:r>
      <w:r w:rsidRPr="00A35C95">
        <w:t>) having become insolvent at a particular time, entitle a person to make a claim in respect of property unless:</w:t>
      </w:r>
    </w:p>
    <w:p w14:paraId="0849546F" w14:textId="77777777" w:rsidR="00E93F58" w:rsidRPr="00A35C95" w:rsidRDefault="00E93F58" w:rsidP="00366AB5">
      <w:pPr>
        <w:pStyle w:val="paragraph"/>
        <w:tabs>
          <w:tab w:val="left" w:pos="2835"/>
        </w:tabs>
      </w:pPr>
      <w:r w:rsidRPr="00A35C95">
        <w:tab/>
        <w:t>(a)</w:t>
      </w:r>
      <w:r w:rsidRPr="00A35C95">
        <w:tab/>
        <w:t>the dealer was at that time a participant of at least 1 of the following:</w:t>
      </w:r>
    </w:p>
    <w:p w14:paraId="0038CE31" w14:textId="77777777" w:rsidR="00E93F58" w:rsidRPr="00A35C95" w:rsidRDefault="00E93F58" w:rsidP="00366AB5">
      <w:pPr>
        <w:pStyle w:val="paragraphsub"/>
        <w:tabs>
          <w:tab w:val="left" w:pos="2835"/>
        </w:tabs>
      </w:pPr>
      <w:r w:rsidRPr="00A35C95">
        <w:tab/>
        <w:t>(i)</w:t>
      </w:r>
      <w:r w:rsidRPr="00A35C95">
        <w:tab/>
        <w:t>a participating market licensee;</w:t>
      </w:r>
    </w:p>
    <w:p w14:paraId="1E4AD331" w14:textId="77777777" w:rsidR="00E93F58" w:rsidRPr="00A35C95" w:rsidRDefault="00E93F58" w:rsidP="00366AB5">
      <w:pPr>
        <w:pStyle w:val="paragraphsub"/>
        <w:tabs>
          <w:tab w:val="left" w:pos="2835"/>
        </w:tabs>
      </w:pPr>
      <w:r w:rsidRPr="00A35C95">
        <w:tab/>
        <w:t>(ii)</w:t>
      </w:r>
      <w:r w:rsidRPr="00A35C95">
        <w:tab/>
        <w:t>the licensed CS facility operated by ACH; and</w:t>
      </w:r>
    </w:p>
    <w:p w14:paraId="3794CAC8" w14:textId="77777777" w:rsidR="00E93F58" w:rsidRPr="00A35C95" w:rsidRDefault="00E93F58" w:rsidP="00366AB5">
      <w:pPr>
        <w:pStyle w:val="paragraph"/>
        <w:tabs>
          <w:tab w:val="left" w:pos="2835"/>
        </w:tabs>
      </w:pPr>
      <w:r w:rsidRPr="00A35C95">
        <w:tab/>
        <w:t>(b)</w:t>
      </w:r>
      <w:r w:rsidRPr="00A35C95">
        <w:tab/>
        <w:t>either:</w:t>
      </w:r>
    </w:p>
    <w:p w14:paraId="6234238F" w14:textId="77777777" w:rsidR="00E93F58" w:rsidRPr="00A35C95" w:rsidRDefault="00E93F58" w:rsidP="00366AB5">
      <w:pPr>
        <w:pStyle w:val="paragraphsub"/>
        <w:tabs>
          <w:tab w:val="left" w:pos="2835"/>
        </w:tabs>
      </w:pPr>
      <w:r w:rsidRPr="00A35C95">
        <w:tab/>
        <w:t>(i)</w:t>
      </w:r>
      <w:r w:rsidRPr="00A35C95">
        <w:tab/>
        <w:t>the dealer was carrying on a securities business in Australia at that time; or</w:t>
      </w:r>
    </w:p>
    <w:p w14:paraId="05451B0A" w14:textId="77777777" w:rsidR="00E93F58" w:rsidRPr="00A35C95" w:rsidRDefault="00E93F58" w:rsidP="00366AB5">
      <w:pPr>
        <w:pStyle w:val="paragraphsub"/>
        <w:tabs>
          <w:tab w:val="left" w:pos="2835"/>
        </w:tabs>
      </w:pPr>
      <w:r w:rsidRPr="00A35C95">
        <w:tab/>
        <w:t>(ii)</w:t>
      </w:r>
      <w:r w:rsidRPr="00A35C95">
        <w:tab/>
        <w:t>the last business that the dealer carried on in Australia before that time was a securities business, and the person’s claim relates to that business as it was carried on in Australia.</w:t>
      </w:r>
    </w:p>
    <w:p w14:paraId="472B0C4C" w14:textId="77777777" w:rsidR="00E93F58" w:rsidRPr="00A35C95" w:rsidRDefault="00E93F58" w:rsidP="00366AB5">
      <w:pPr>
        <w:pStyle w:val="ActHead5"/>
        <w:tabs>
          <w:tab w:val="left" w:pos="2835"/>
        </w:tabs>
      </w:pPr>
      <w:bookmarkStart w:id="786" w:name="_Toc152057967"/>
      <w:bookmarkStart w:id="787" w:name="_Toc158712190"/>
      <w:r w:rsidRPr="00844D11">
        <w:rPr>
          <w:rStyle w:val="CharSectno"/>
        </w:rPr>
        <w:t>7.5.69</w:t>
      </w:r>
      <w:r w:rsidRPr="00A35C95">
        <w:t xml:space="preserve">  No claim in certain other cases</w:t>
      </w:r>
      <w:bookmarkEnd w:id="786"/>
      <w:bookmarkEnd w:id="787"/>
    </w:p>
    <w:p w14:paraId="5983AC41" w14:textId="77777777" w:rsidR="00E93F58" w:rsidRPr="00A35C95" w:rsidRDefault="00E93F58" w:rsidP="00366AB5">
      <w:pPr>
        <w:pStyle w:val="subsection"/>
        <w:tabs>
          <w:tab w:val="left" w:pos="2835"/>
        </w:tabs>
      </w:pPr>
      <w:r w:rsidRPr="00A35C95">
        <w:tab/>
      </w:r>
      <w:r w:rsidRPr="00A35C95">
        <w:tab/>
        <w:t>This Subdivision does not, because of a dealer having become insolvent on a particular day, entitle a person to make a claim in respect of property if:</w:t>
      </w:r>
    </w:p>
    <w:p w14:paraId="2B7421FD" w14:textId="77777777" w:rsidR="00E93F58" w:rsidRPr="00A35C95" w:rsidRDefault="00E93F58" w:rsidP="00366AB5">
      <w:pPr>
        <w:pStyle w:val="paragraph"/>
        <w:tabs>
          <w:tab w:val="left" w:pos="2835"/>
        </w:tabs>
      </w:pPr>
      <w:r w:rsidRPr="00A35C95">
        <w:rPr>
          <w:color w:val="000000"/>
        </w:rPr>
        <w:tab/>
        <w:t>(a)</w:t>
      </w:r>
      <w:r w:rsidRPr="00A35C95">
        <w:rPr>
          <w:color w:val="000000"/>
        </w:rPr>
        <w:tab/>
        <w:t>before that day the property had, in due course of the administration of a trust, ceased to be under the sole control of the dealer; or</w:t>
      </w:r>
    </w:p>
    <w:p w14:paraId="2148C1BA" w14:textId="77777777" w:rsidR="00E93F58" w:rsidRPr="00A35C95" w:rsidRDefault="00E93F58" w:rsidP="00366AB5">
      <w:pPr>
        <w:pStyle w:val="paragraph"/>
        <w:tabs>
          <w:tab w:val="left" w:pos="2835"/>
        </w:tabs>
      </w:pPr>
      <w:r w:rsidRPr="00A35C95">
        <w:tab/>
        <w:t>(b)</w:t>
      </w:r>
      <w:r w:rsidRPr="00A35C95">
        <w:tab/>
        <w:t>the SEGC, or the Court, is satisfied that circumstances that materially contributed to the dealer becoming insolvent on that day were due to, or caused directly or indirectly by, an act or omission of the person.</w:t>
      </w:r>
    </w:p>
    <w:p w14:paraId="7F3CB5BD" w14:textId="77777777" w:rsidR="00E93F58" w:rsidRPr="00A35C95" w:rsidRDefault="00E93F58" w:rsidP="00366AB5">
      <w:pPr>
        <w:pStyle w:val="ActHead5"/>
        <w:tabs>
          <w:tab w:val="left" w:pos="2835"/>
        </w:tabs>
      </w:pPr>
      <w:bookmarkStart w:id="788" w:name="_Toc152057968"/>
      <w:bookmarkStart w:id="789" w:name="_Toc158712191"/>
      <w:r w:rsidRPr="00844D11">
        <w:rPr>
          <w:rStyle w:val="CharSectno"/>
        </w:rPr>
        <w:t>7.5.70</w:t>
      </w:r>
      <w:r w:rsidRPr="00A35C95">
        <w:t xml:space="preserve">  Making of claims</w:t>
      </w:r>
      <w:bookmarkEnd w:id="788"/>
      <w:bookmarkEnd w:id="789"/>
    </w:p>
    <w:p w14:paraId="57150434" w14:textId="77777777" w:rsidR="00E93F58" w:rsidRPr="00A35C95" w:rsidRDefault="00E93F58" w:rsidP="00366AB5">
      <w:pPr>
        <w:pStyle w:val="subsection"/>
        <w:tabs>
          <w:tab w:val="left" w:pos="2835"/>
        </w:tabs>
      </w:pPr>
      <w:r w:rsidRPr="00A35C95">
        <w:rPr>
          <w:color w:val="000000"/>
        </w:rPr>
        <w:tab/>
        <w:t>(1)</w:t>
      </w:r>
      <w:r w:rsidRPr="00A35C95">
        <w:rPr>
          <w:color w:val="000000"/>
        </w:rPr>
        <w:tab/>
        <w:t>The SEGC may publish, in each State and Territory, in a daily newspaper circulating generally in that State or Territory, a notice, using Form 720, specifying a day, not being earlier than 3 months after the publication of the notice, on or before which claims against the SEGC may be made, being claims that, because of a dealer specified in the notice having become insolvent, this Subdivision entitles persons to make.</w:t>
      </w:r>
    </w:p>
    <w:p w14:paraId="5C4F1222" w14:textId="77777777" w:rsidR="00E93F58" w:rsidRPr="00A35C95" w:rsidRDefault="00E93F58" w:rsidP="00366AB5">
      <w:pPr>
        <w:pStyle w:val="subsection"/>
        <w:tabs>
          <w:tab w:val="left" w:pos="2835"/>
        </w:tabs>
      </w:pPr>
      <w:r w:rsidRPr="00A35C95">
        <w:tab/>
        <w:t>(2)</w:t>
      </w:r>
      <w:r w:rsidRPr="00A35C95">
        <w:tab/>
        <w:t>If this Subdivision entitles a person to make a claim, the claim must be in writing and must be served on the SEGC:</w:t>
      </w:r>
    </w:p>
    <w:p w14:paraId="60779AFC" w14:textId="77777777" w:rsidR="00E93F58" w:rsidRPr="00A35C95" w:rsidRDefault="00E93F58" w:rsidP="00366AB5">
      <w:pPr>
        <w:pStyle w:val="paragraph"/>
        <w:tabs>
          <w:tab w:val="left" w:pos="2835"/>
        </w:tabs>
      </w:pPr>
      <w:r w:rsidRPr="00A35C95">
        <w:rPr>
          <w:color w:val="000000"/>
        </w:rPr>
        <w:tab/>
        <w:t>(a)</w:t>
      </w:r>
      <w:r w:rsidRPr="00A35C95">
        <w:rPr>
          <w:color w:val="000000"/>
        </w:rPr>
        <w:tab/>
        <w:t>if there has been published in accordance with subregulation (1) a notice specifying a day on or before which claims may be made, being claims that, because of the dealer having become insolvent on that day, this Subdivision entitles persons to make—on or before that day; or</w:t>
      </w:r>
    </w:p>
    <w:p w14:paraId="6781A051" w14:textId="77777777" w:rsidR="00E93F58" w:rsidRPr="00A35C95" w:rsidRDefault="00E93F58" w:rsidP="00366AB5">
      <w:pPr>
        <w:pStyle w:val="paragraph"/>
        <w:tabs>
          <w:tab w:val="left" w:pos="2835"/>
        </w:tabs>
      </w:pPr>
      <w:r w:rsidRPr="00A35C95">
        <w:tab/>
        <w:t>(b)</w:t>
      </w:r>
      <w:r w:rsidRPr="00A35C95">
        <w:tab/>
        <w:t>in any other case—within 6 months after the person becomes aware of the dealer having become insolvent on that day.</w:t>
      </w:r>
    </w:p>
    <w:p w14:paraId="72F03D68" w14:textId="77777777" w:rsidR="00E93F58" w:rsidRPr="00A35C95" w:rsidRDefault="00E93F58" w:rsidP="00366AB5">
      <w:pPr>
        <w:pStyle w:val="subsection"/>
        <w:tabs>
          <w:tab w:val="left" w:pos="2835"/>
        </w:tabs>
      </w:pPr>
      <w:r w:rsidRPr="00A35C95">
        <w:rPr>
          <w:color w:val="000000"/>
        </w:rPr>
        <w:tab/>
        <w:t>(3)</w:t>
      </w:r>
      <w:r w:rsidRPr="00A35C95">
        <w:rPr>
          <w:color w:val="000000"/>
        </w:rPr>
        <w:tab/>
        <w:t>A claim that is not made in accordance with subregulation (2) is barred unless the SEGC otherwise determines.</w:t>
      </w:r>
    </w:p>
    <w:p w14:paraId="0570B3E6" w14:textId="77777777" w:rsidR="00E93F58" w:rsidRPr="00A35C95" w:rsidRDefault="00E93F58" w:rsidP="00366AB5">
      <w:pPr>
        <w:pStyle w:val="subsection"/>
        <w:tabs>
          <w:tab w:val="left" w:pos="2835"/>
        </w:tabs>
      </w:pPr>
      <w:r w:rsidRPr="00A35C95">
        <w:tab/>
        <w:t>(4)</w:t>
      </w:r>
      <w:r w:rsidRPr="00A35C95">
        <w:tab/>
        <w:t>The SEGC, a member of the Board and any employee of, or person acting on behalf of, the SEGC each has qualified privilege in respect of the publication of a notice under subregulation (1).</w:t>
      </w:r>
    </w:p>
    <w:p w14:paraId="4FB22E6F" w14:textId="77777777" w:rsidR="00E93F58" w:rsidRPr="00A35C95" w:rsidRDefault="00E93F58" w:rsidP="00366AB5">
      <w:pPr>
        <w:pStyle w:val="ActHead4"/>
        <w:tabs>
          <w:tab w:val="left" w:pos="2835"/>
        </w:tabs>
      </w:pPr>
      <w:bookmarkStart w:id="790" w:name="_Toc152057969"/>
      <w:bookmarkStart w:id="791" w:name="_Toc158712192"/>
      <w:r w:rsidRPr="00844D11">
        <w:rPr>
          <w:rStyle w:val="CharSubdNo"/>
        </w:rPr>
        <w:t>Subdivision 4.10</w:t>
      </w:r>
      <w:r w:rsidRPr="00A35C95">
        <w:t>—</w:t>
      </w:r>
      <w:r w:rsidRPr="00844D11">
        <w:rPr>
          <w:rStyle w:val="CharSubdText"/>
        </w:rPr>
        <w:t>General</w:t>
      </w:r>
      <w:bookmarkEnd w:id="790"/>
      <w:bookmarkEnd w:id="791"/>
    </w:p>
    <w:p w14:paraId="01AC34CA" w14:textId="77777777" w:rsidR="00E93F58" w:rsidRPr="00A35C95" w:rsidRDefault="00E93F58" w:rsidP="00366AB5">
      <w:pPr>
        <w:pStyle w:val="ActHead5"/>
        <w:tabs>
          <w:tab w:val="left" w:pos="2835"/>
        </w:tabs>
      </w:pPr>
      <w:bookmarkStart w:id="792" w:name="_Toc152057970"/>
      <w:bookmarkStart w:id="793" w:name="_Toc158712193"/>
      <w:r w:rsidRPr="00844D11">
        <w:rPr>
          <w:rStyle w:val="CharSectno"/>
        </w:rPr>
        <w:t>7.5.72</w:t>
      </w:r>
      <w:r w:rsidRPr="00A35C95">
        <w:t xml:space="preserve">  Power of SEGC to allow and settle claim</w:t>
      </w:r>
      <w:bookmarkEnd w:id="792"/>
      <w:bookmarkEnd w:id="793"/>
    </w:p>
    <w:p w14:paraId="4671E267" w14:textId="77777777" w:rsidR="00E93F58" w:rsidRPr="00A35C95" w:rsidRDefault="00E93F58" w:rsidP="00366AB5">
      <w:pPr>
        <w:pStyle w:val="subsection"/>
        <w:tabs>
          <w:tab w:val="left" w:pos="2835"/>
        </w:tabs>
      </w:pPr>
      <w:r w:rsidRPr="00A35C95">
        <w:rPr>
          <w:color w:val="000000"/>
        </w:rPr>
        <w:tab/>
        <w:t>(1)</w:t>
      </w:r>
      <w:r w:rsidRPr="00A35C95">
        <w:rPr>
          <w:color w:val="000000"/>
        </w:rPr>
        <w:tab/>
        <w:t>The SEGC may, at any time after a person becomes entitled to make a claim, allow and settle the claim.</w:t>
      </w:r>
    </w:p>
    <w:p w14:paraId="1A076C07" w14:textId="77777777" w:rsidR="00E93F58" w:rsidRPr="00A35C95" w:rsidRDefault="00E93F58" w:rsidP="00366AB5">
      <w:pPr>
        <w:pStyle w:val="subsection"/>
        <w:tabs>
          <w:tab w:val="left" w:pos="2835"/>
        </w:tabs>
      </w:pPr>
      <w:r w:rsidRPr="00A35C95">
        <w:rPr>
          <w:color w:val="000000"/>
        </w:rPr>
        <w:tab/>
        <w:t>(2)</w:t>
      </w:r>
      <w:r w:rsidRPr="00A35C95">
        <w:rPr>
          <w:color w:val="000000"/>
        </w:rPr>
        <w:tab/>
        <w:t>Subregulation (1) authorises the SEGC to partially allow a claim (including, for example, in a case where the SEGC considers that the claimant’s conduct contributed to the loss).</w:t>
      </w:r>
    </w:p>
    <w:p w14:paraId="29C81486" w14:textId="77777777" w:rsidR="00E93F58" w:rsidRPr="00A35C95" w:rsidRDefault="00E93F58" w:rsidP="00366AB5">
      <w:pPr>
        <w:pStyle w:val="ActHead5"/>
        <w:tabs>
          <w:tab w:val="left" w:pos="2835"/>
        </w:tabs>
      </w:pPr>
      <w:bookmarkStart w:id="794" w:name="_Toc152057971"/>
      <w:bookmarkStart w:id="795" w:name="_Toc158712194"/>
      <w:r w:rsidRPr="00844D11">
        <w:rPr>
          <w:rStyle w:val="CharSectno"/>
        </w:rPr>
        <w:t>7.5.72A</w:t>
      </w:r>
      <w:r w:rsidRPr="00A35C95">
        <w:t xml:space="preserve">  Participant</w:t>
      </w:r>
      <w:r>
        <w:noBreakHyphen/>
      </w:r>
      <w:r w:rsidRPr="00A35C95">
        <w:t>related limits of compensation</w:t>
      </w:r>
      <w:bookmarkEnd w:id="794"/>
      <w:bookmarkEnd w:id="795"/>
    </w:p>
    <w:p w14:paraId="7BC81332" w14:textId="77777777" w:rsidR="00E93F58" w:rsidRPr="00A35C95" w:rsidRDefault="00E93F58" w:rsidP="00366AB5">
      <w:pPr>
        <w:pStyle w:val="subsection"/>
        <w:tabs>
          <w:tab w:val="left" w:pos="2835"/>
        </w:tabs>
      </w:pPr>
      <w:r w:rsidRPr="00A35C95">
        <w:tab/>
        <w:t>(1)</w:t>
      </w:r>
      <w:r w:rsidRPr="00A35C95">
        <w:tab/>
        <w:t>If:</w:t>
      </w:r>
    </w:p>
    <w:p w14:paraId="4595600C" w14:textId="77777777" w:rsidR="00E93F58" w:rsidRPr="00A35C95" w:rsidRDefault="00E93F58" w:rsidP="00366AB5">
      <w:pPr>
        <w:pStyle w:val="paragraph"/>
        <w:tabs>
          <w:tab w:val="left" w:pos="2835"/>
        </w:tabs>
      </w:pPr>
      <w:r w:rsidRPr="00A35C95">
        <w:tab/>
        <w:t>(a)</w:t>
      </w:r>
      <w:r w:rsidRPr="00A35C95">
        <w:tab/>
        <w:t>a claim made under this Division relates to a loss connected with a particular participant, or past participant, in a financial market; and</w:t>
      </w:r>
    </w:p>
    <w:p w14:paraId="0E928201" w14:textId="77777777" w:rsidR="00E93F58" w:rsidRPr="00A35C95" w:rsidRDefault="00E93F58" w:rsidP="00366AB5">
      <w:pPr>
        <w:pStyle w:val="paragraph"/>
        <w:tabs>
          <w:tab w:val="left" w:pos="2835"/>
        </w:tabs>
      </w:pPr>
      <w:r w:rsidRPr="00A35C95">
        <w:tab/>
        <w:t>(b)</w:t>
      </w:r>
      <w:r w:rsidRPr="00A35C95">
        <w:tab/>
        <w:t>the participant or past participant becomes insolvent on a day before the claim is settled by the SEGC (whether or not the insolvency is the cause of the loss mentioned in paragraph (a));</w:t>
      </w:r>
    </w:p>
    <w:p w14:paraId="25922B72" w14:textId="77777777" w:rsidR="00E93F58" w:rsidRPr="00A35C95" w:rsidRDefault="00E93F58" w:rsidP="00366AB5">
      <w:pPr>
        <w:pStyle w:val="subsection2"/>
        <w:tabs>
          <w:tab w:val="left" w:pos="2835"/>
        </w:tabs>
      </w:pPr>
      <w:r w:rsidRPr="00A35C95">
        <w:lastRenderedPageBreak/>
        <w:t>the total amounts paid out of the Fund in connection with claims relating to losses connected with the participant or past participant must not exceed an amount equal to 15% of the minimum amount of the Fund as at the end of that day.</w:t>
      </w:r>
    </w:p>
    <w:p w14:paraId="73996809" w14:textId="77777777" w:rsidR="00E93F58" w:rsidRPr="00A35C95" w:rsidRDefault="00E93F58" w:rsidP="00366AB5">
      <w:pPr>
        <w:pStyle w:val="subsection"/>
        <w:tabs>
          <w:tab w:val="left" w:pos="2835"/>
        </w:tabs>
      </w:pPr>
      <w:r w:rsidRPr="00A35C95">
        <w:tab/>
        <w:t>(2)</w:t>
      </w:r>
      <w:r w:rsidRPr="00A35C95">
        <w:tab/>
        <w:t>For the purposes of subregulation (1):</w:t>
      </w:r>
    </w:p>
    <w:p w14:paraId="5F39273D" w14:textId="77777777" w:rsidR="00E93F58" w:rsidRPr="00A35C95" w:rsidRDefault="00E93F58" w:rsidP="00366AB5">
      <w:pPr>
        <w:pStyle w:val="paragraph"/>
        <w:tabs>
          <w:tab w:val="left" w:pos="2835"/>
        </w:tabs>
      </w:pPr>
      <w:r w:rsidRPr="00A35C95">
        <w:tab/>
        <w:t>(a)</w:t>
      </w:r>
      <w:r w:rsidRPr="00A35C95">
        <w:tab/>
        <w:t>the SEGC must disregard an amount paid out of the Fund in connection with a claim to the extent to which the amount has been repaid to the Fund; and</w:t>
      </w:r>
    </w:p>
    <w:p w14:paraId="2EA346AC" w14:textId="77777777" w:rsidR="00E93F58" w:rsidRPr="00A35C95" w:rsidRDefault="00E93F58" w:rsidP="00366AB5">
      <w:pPr>
        <w:pStyle w:val="paragraph"/>
        <w:tabs>
          <w:tab w:val="left" w:pos="2835"/>
        </w:tabs>
      </w:pPr>
      <w:r w:rsidRPr="00A35C95">
        <w:tab/>
        <w:t>(b)</w:t>
      </w:r>
      <w:r w:rsidRPr="00A35C95">
        <w:tab/>
        <w:t>if money or other property has been recovered by, or on behalf, of the SEGC because of the exercise of a right or remedy in relation to the loss to which a claim relates, being a right or remedy of the claimant who makes the claim to which the SEGC is subrogated, the SEGC must disregard so much of the amount, or of the total of the amounts, paid out of the Fund in connection with the claim as does not exceed the sum of:</w:t>
      </w:r>
    </w:p>
    <w:p w14:paraId="48DB0375" w14:textId="77777777" w:rsidR="00E93F58" w:rsidRPr="00A35C95" w:rsidRDefault="00E93F58" w:rsidP="00366AB5">
      <w:pPr>
        <w:pStyle w:val="paragraphsub"/>
        <w:tabs>
          <w:tab w:val="left" w:pos="2835"/>
        </w:tabs>
      </w:pPr>
      <w:r w:rsidRPr="00A35C95">
        <w:tab/>
        <w:t>(i)</w:t>
      </w:r>
      <w:r w:rsidRPr="00A35C95">
        <w:tab/>
        <w:t>the amount of that money; and</w:t>
      </w:r>
    </w:p>
    <w:p w14:paraId="15208A94" w14:textId="77777777" w:rsidR="00E93F58" w:rsidRPr="00A35C95" w:rsidRDefault="00E93F58" w:rsidP="00366AB5">
      <w:pPr>
        <w:pStyle w:val="paragraphsub"/>
        <w:tabs>
          <w:tab w:val="left" w:pos="2835"/>
        </w:tabs>
      </w:pPr>
      <w:r w:rsidRPr="00A35C95">
        <w:tab/>
        <w:t>(ii)</w:t>
      </w:r>
      <w:r w:rsidRPr="00A35C95">
        <w:tab/>
        <w:t>the value of so much (if any) of that other property as has not been, and is not required to be, supplied in respect of the claim.</w:t>
      </w:r>
    </w:p>
    <w:p w14:paraId="1C7118E6" w14:textId="77777777" w:rsidR="00E93F58" w:rsidRPr="00A35C95" w:rsidRDefault="00E93F58" w:rsidP="00366AB5">
      <w:pPr>
        <w:pStyle w:val="subsection"/>
        <w:tabs>
          <w:tab w:val="left" w:pos="2835"/>
        </w:tabs>
        <w:rPr>
          <w:color w:val="000000"/>
        </w:rPr>
      </w:pPr>
      <w:r w:rsidRPr="00A35C95">
        <w:rPr>
          <w:color w:val="000000"/>
        </w:rPr>
        <w:tab/>
        <w:t>(3)</w:t>
      </w:r>
      <w:r w:rsidRPr="00A35C95">
        <w:rPr>
          <w:color w:val="000000"/>
        </w:rPr>
        <w:tab/>
        <w:t>The SEGC may, in relation to each claim, determine in writing:</w:t>
      </w:r>
    </w:p>
    <w:p w14:paraId="39D4EDD2" w14:textId="77777777" w:rsidR="00E93F58" w:rsidRPr="00A35C95" w:rsidRDefault="00E93F58" w:rsidP="00366AB5">
      <w:pPr>
        <w:pStyle w:val="paragraph"/>
        <w:tabs>
          <w:tab w:val="left" w:pos="2835"/>
        </w:tabs>
        <w:rPr>
          <w:color w:val="000000"/>
        </w:rPr>
      </w:pPr>
      <w:r w:rsidRPr="00A35C95">
        <w:tab/>
        <w:t>(a)</w:t>
      </w:r>
      <w:r w:rsidRPr="00A35C95">
        <w:tab/>
        <w:t>whether the claim meets the requirements of paragraphs (1)(a) and (b); and</w:t>
      </w:r>
    </w:p>
    <w:p w14:paraId="38B468F5" w14:textId="77777777" w:rsidR="00E93F58" w:rsidRPr="00A35C95" w:rsidRDefault="00E93F58" w:rsidP="00366AB5">
      <w:pPr>
        <w:pStyle w:val="paragraph"/>
        <w:tabs>
          <w:tab w:val="left" w:pos="2835"/>
        </w:tabs>
        <w:rPr>
          <w:color w:val="000000"/>
        </w:rPr>
      </w:pPr>
      <w:r w:rsidRPr="00A35C95">
        <w:rPr>
          <w:color w:val="000000"/>
        </w:rPr>
        <w:tab/>
        <w:t>(b)</w:t>
      </w:r>
      <w:r w:rsidRPr="00A35C95">
        <w:rPr>
          <w:color w:val="000000"/>
        </w:rPr>
        <w:tab/>
        <w:t>an amount to be the maximum amount in relation to the claim.</w:t>
      </w:r>
    </w:p>
    <w:p w14:paraId="7C2B4668" w14:textId="77777777" w:rsidR="00E93F58" w:rsidRPr="00A35C95" w:rsidRDefault="00E93F58" w:rsidP="00366AB5">
      <w:pPr>
        <w:pStyle w:val="subsection"/>
        <w:tabs>
          <w:tab w:val="left" w:pos="2835"/>
        </w:tabs>
      </w:pPr>
      <w:r w:rsidRPr="00A35C95">
        <w:tab/>
        <w:t>(4)</w:t>
      </w:r>
      <w:r w:rsidRPr="00A35C95">
        <w:tab/>
        <w:t>If the SEGC makes determinations under paragraph (3)(b) in relation to 2 or more claimants, the SEGC must ensure that, as far as practicable, the proportion of any claimant’s claim for which compensation is received is the same for each claimant.</w:t>
      </w:r>
    </w:p>
    <w:p w14:paraId="233907F5" w14:textId="77777777" w:rsidR="00E93F58" w:rsidRPr="00A35C95" w:rsidRDefault="00E93F58" w:rsidP="00366AB5">
      <w:pPr>
        <w:pStyle w:val="subsection"/>
        <w:tabs>
          <w:tab w:val="left" w:pos="2835"/>
        </w:tabs>
      </w:pPr>
      <w:r w:rsidRPr="00A35C95">
        <w:tab/>
        <w:t>(5)</w:t>
      </w:r>
      <w:r w:rsidRPr="00A35C95">
        <w:tab/>
        <w:t>For the purposes of subregulation (4):</w:t>
      </w:r>
    </w:p>
    <w:p w14:paraId="5DF3055D" w14:textId="77777777" w:rsidR="00E93F58" w:rsidRPr="00A35C95" w:rsidRDefault="00E93F58" w:rsidP="00366AB5">
      <w:pPr>
        <w:pStyle w:val="paragraph"/>
        <w:tabs>
          <w:tab w:val="left" w:pos="2835"/>
        </w:tabs>
      </w:pPr>
      <w:r w:rsidRPr="00A35C95">
        <w:tab/>
        <w:t>(a)</w:t>
      </w:r>
      <w:r w:rsidRPr="00A35C95">
        <w:tab/>
        <w:t>the amount of a claimant’s claim is taken to be reduced by any reduction under subregulation 7.5.72B(3) of the maximum amount in relation to the claimant; and</w:t>
      </w:r>
    </w:p>
    <w:p w14:paraId="4F21A5F0" w14:textId="77777777" w:rsidR="00E93F58" w:rsidRPr="00A35C95" w:rsidRDefault="00E93F58" w:rsidP="00366AB5">
      <w:pPr>
        <w:pStyle w:val="paragraph"/>
        <w:tabs>
          <w:tab w:val="left" w:pos="2835"/>
        </w:tabs>
      </w:pPr>
      <w:r w:rsidRPr="00A35C95">
        <w:tab/>
        <w:t>(b)</w:t>
      </w:r>
      <w:r w:rsidRPr="00A35C95">
        <w:tab/>
        <w:t>the compensation received by a claimant is the amount of compensation received by the claimant from all sources (including the Fund).</w:t>
      </w:r>
    </w:p>
    <w:p w14:paraId="58E7CA44" w14:textId="77777777" w:rsidR="00E93F58" w:rsidRPr="00A35C95" w:rsidRDefault="00E93F58" w:rsidP="00366AB5">
      <w:pPr>
        <w:pStyle w:val="subsection"/>
        <w:tabs>
          <w:tab w:val="left" w:pos="2835"/>
        </w:tabs>
        <w:rPr>
          <w:color w:val="000000"/>
        </w:rPr>
      </w:pPr>
      <w:r w:rsidRPr="00A35C95">
        <w:rPr>
          <w:color w:val="000000"/>
        </w:rPr>
        <w:tab/>
        <w:t>(6)</w:t>
      </w:r>
      <w:r w:rsidRPr="00A35C95">
        <w:rPr>
          <w:color w:val="000000"/>
        </w:rPr>
        <w:tab/>
        <w:t>If a determination is in force under paragraph (3)(b), the amount paid out of the Fund in connection with the claim must not exceed the amount that has been determined.</w:t>
      </w:r>
    </w:p>
    <w:p w14:paraId="4F4789FD" w14:textId="77777777" w:rsidR="00E93F58" w:rsidRPr="00A35C95" w:rsidRDefault="00E93F58" w:rsidP="00366AB5">
      <w:pPr>
        <w:pStyle w:val="ActHead5"/>
        <w:tabs>
          <w:tab w:val="left" w:pos="2835"/>
        </w:tabs>
      </w:pPr>
      <w:bookmarkStart w:id="796" w:name="_Toc152057972"/>
      <w:bookmarkStart w:id="797" w:name="_Toc158712195"/>
      <w:r w:rsidRPr="00844D11">
        <w:rPr>
          <w:rStyle w:val="CharSectno"/>
        </w:rPr>
        <w:t>7.5.72B</w:t>
      </w:r>
      <w:r w:rsidRPr="00A35C95">
        <w:t xml:space="preserve">  Claimant</w:t>
      </w:r>
      <w:r>
        <w:noBreakHyphen/>
      </w:r>
      <w:r w:rsidRPr="00A35C95">
        <w:t>related limits of compensation</w:t>
      </w:r>
      <w:bookmarkEnd w:id="796"/>
      <w:bookmarkEnd w:id="797"/>
    </w:p>
    <w:p w14:paraId="06858F59" w14:textId="77777777" w:rsidR="00E93F58" w:rsidRPr="00A35C95" w:rsidRDefault="00E93F58" w:rsidP="00366AB5">
      <w:pPr>
        <w:pStyle w:val="subsection"/>
        <w:tabs>
          <w:tab w:val="left" w:pos="2835"/>
        </w:tabs>
      </w:pPr>
      <w:r w:rsidRPr="00A35C95">
        <w:tab/>
        <w:t>(1)</w:t>
      </w:r>
      <w:r w:rsidRPr="00A35C95">
        <w:tab/>
        <w:t>If:</w:t>
      </w:r>
    </w:p>
    <w:p w14:paraId="4CD8F40A" w14:textId="77777777" w:rsidR="00E93F58" w:rsidRPr="00A35C95" w:rsidRDefault="00E93F58" w:rsidP="00366AB5">
      <w:pPr>
        <w:pStyle w:val="paragraph"/>
        <w:tabs>
          <w:tab w:val="left" w:pos="2835"/>
        </w:tabs>
      </w:pPr>
      <w:r w:rsidRPr="00A35C95">
        <w:tab/>
        <w:t>(a)</w:t>
      </w:r>
      <w:r w:rsidRPr="00A35C95">
        <w:tab/>
        <w:t>a claim made by a claimant under this Division relates to a loss connected with a particular participant, or past participant, in a financial market; and</w:t>
      </w:r>
    </w:p>
    <w:p w14:paraId="3A171201" w14:textId="77777777" w:rsidR="00E93F58" w:rsidRPr="00A35C95" w:rsidRDefault="00E93F58" w:rsidP="00366AB5">
      <w:pPr>
        <w:pStyle w:val="paragraph"/>
        <w:tabs>
          <w:tab w:val="left" w:pos="2835"/>
        </w:tabs>
      </w:pPr>
      <w:r w:rsidRPr="00A35C95">
        <w:tab/>
        <w:t>(b)</w:t>
      </w:r>
      <w:r w:rsidRPr="00A35C95">
        <w:tab/>
        <w:t>the loss is referable to a particular event or circumstance;</w:t>
      </w:r>
    </w:p>
    <w:p w14:paraId="221A7932" w14:textId="77777777" w:rsidR="00E93F58" w:rsidRPr="00A35C95" w:rsidRDefault="00E93F58" w:rsidP="00366AB5">
      <w:pPr>
        <w:pStyle w:val="subsection2"/>
        <w:tabs>
          <w:tab w:val="left" w:pos="2835"/>
        </w:tabs>
      </w:pPr>
      <w:r w:rsidRPr="00A35C95">
        <w:t xml:space="preserve">the sum of the amounts paid out of the Fund to the claimant (the </w:t>
      </w:r>
      <w:r w:rsidRPr="00A35C95">
        <w:rPr>
          <w:b/>
          <w:i/>
        </w:rPr>
        <w:t>maximum amount</w:t>
      </w:r>
      <w:r w:rsidRPr="00A35C95">
        <w:t xml:space="preserve">) in connection with claims relating to losses connected with the participant or past participant that are referable to the event or circumstance (the </w:t>
      </w:r>
      <w:r w:rsidRPr="00A35C95">
        <w:rPr>
          <w:b/>
          <w:i/>
        </w:rPr>
        <w:t>eligible claims</w:t>
      </w:r>
      <w:r w:rsidRPr="00A35C95">
        <w:t>):</w:t>
      </w:r>
    </w:p>
    <w:p w14:paraId="6CA83BEB" w14:textId="77777777" w:rsidR="00E93F58" w:rsidRPr="00A35C95" w:rsidRDefault="00E93F58" w:rsidP="00366AB5">
      <w:pPr>
        <w:pStyle w:val="paragraph"/>
        <w:tabs>
          <w:tab w:val="left" w:pos="2835"/>
        </w:tabs>
      </w:pPr>
      <w:r w:rsidRPr="00A35C95">
        <w:tab/>
        <w:t>(c)</w:t>
      </w:r>
      <w:r w:rsidRPr="00A35C95">
        <w:tab/>
        <w:t>must not exceed $1 million; and</w:t>
      </w:r>
    </w:p>
    <w:p w14:paraId="0D0F8E86" w14:textId="77777777" w:rsidR="00E93F58" w:rsidRPr="00A35C95" w:rsidRDefault="00E93F58" w:rsidP="00366AB5">
      <w:pPr>
        <w:pStyle w:val="paragraph"/>
        <w:tabs>
          <w:tab w:val="left" w:pos="2835"/>
        </w:tabs>
      </w:pPr>
      <w:r w:rsidRPr="00A35C95">
        <w:tab/>
        <w:t>(d)</w:t>
      </w:r>
      <w:r w:rsidRPr="00A35C95">
        <w:tab/>
        <w:t>to the extent that the eligible claims relate to cash held with the participant or past participant immediately before the event or circumstance—must not exceed $250,000.</w:t>
      </w:r>
    </w:p>
    <w:p w14:paraId="28DB70BD" w14:textId="77777777" w:rsidR="00E93F58" w:rsidRPr="00A35C95" w:rsidRDefault="00E93F58" w:rsidP="00366AB5">
      <w:pPr>
        <w:pStyle w:val="subsection"/>
        <w:tabs>
          <w:tab w:val="left" w:pos="2835"/>
        </w:tabs>
      </w:pPr>
      <w:r w:rsidRPr="00A35C95">
        <w:tab/>
        <w:t>(2)</w:t>
      </w:r>
      <w:r w:rsidRPr="00A35C95">
        <w:tab/>
        <w:t>For the purposes of subregulation (1):</w:t>
      </w:r>
    </w:p>
    <w:p w14:paraId="0580D622" w14:textId="77777777" w:rsidR="00E93F58" w:rsidRPr="00A35C95" w:rsidRDefault="00E93F58" w:rsidP="00366AB5">
      <w:pPr>
        <w:pStyle w:val="paragraph"/>
        <w:tabs>
          <w:tab w:val="left" w:pos="2835"/>
        </w:tabs>
      </w:pPr>
      <w:r w:rsidRPr="00A35C95">
        <w:tab/>
        <w:t>(a)</w:t>
      </w:r>
      <w:r w:rsidRPr="00A35C95">
        <w:tab/>
        <w:t>the SEGC must disregard an amount paid out of the Fund in connection with a claim to the extent to which the amount has been repaid to the Fund; and</w:t>
      </w:r>
    </w:p>
    <w:p w14:paraId="3AA3972A" w14:textId="77777777" w:rsidR="00E93F58" w:rsidRPr="00A35C95" w:rsidRDefault="00E93F58" w:rsidP="00366AB5">
      <w:pPr>
        <w:pStyle w:val="paragraph"/>
        <w:tabs>
          <w:tab w:val="left" w:pos="2835"/>
        </w:tabs>
      </w:pPr>
      <w:r w:rsidRPr="00A35C95">
        <w:tab/>
        <w:t>(b)</w:t>
      </w:r>
      <w:r w:rsidRPr="00A35C95">
        <w:tab/>
        <w:t>if money or other property has been recovered by, or on behalf, of the SEGC because of the exercise of a right or remedy in relation to the loss to which a claim relates, being a right or remedy of the claimant who makes the claim to which the SEGC is subrogated, the SEGC must disregard so much of the amount, or of the total of the amounts, paid out of the Fund in connection with the claim as does not exceed the sum of:</w:t>
      </w:r>
    </w:p>
    <w:p w14:paraId="30EB04AB" w14:textId="77777777" w:rsidR="00E93F58" w:rsidRPr="00A35C95" w:rsidRDefault="00E93F58" w:rsidP="00366AB5">
      <w:pPr>
        <w:pStyle w:val="paragraphsub"/>
        <w:tabs>
          <w:tab w:val="left" w:pos="2835"/>
        </w:tabs>
      </w:pPr>
      <w:r w:rsidRPr="00A35C95">
        <w:tab/>
        <w:t>(i)</w:t>
      </w:r>
      <w:r w:rsidRPr="00A35C95">
        <w:tab/>
        <w:t>the amount of that money; and</w:t>
      </w:r>
    </w:p>
    <w:p w14:paraId="431EE8DD" w14:textId="77777777" w:rsidR="00E93F58" w:rsidRPr="00A35C95" w:rsidRDefault="00E93F58" w:rsidP="00366AB5">
      <w:pPr>
        <w:pStyle w:val="paragraphsub"/>
        <w:tabs>
          <w:tab w:val="left" w:pos="2835"/>
        </w:tabs>
      </w:pPr>
      <w:r w:rsidRPr="00A35C95">
        <w:tab/>
        <w:t>(ii)</w:t>
      </w:r>
      <w:r w:rsidRPr="00A35C95">
        <w:tab/>
        <w:t>the value of so much (if any) of that other property as has not been, and is not required to be, supplied in respect of the claim.</w:t>
      </w:r>
    </w:p>
    <w:p w14:paraId="13D850D6" w14:textId="77777777" w:rsidR="00E93F58" w:rsidRPr="00A35C95" w:rsidRDefault="00E93F58" w:rsidP="00366AB5">
      <w:pPr>
        <w:pStyle w:val="subsection"/>
        <w:tabs>
          <w:tab w:val="left" w:pos="2835"/>
        </w:tabs>
      </w:pPr>
      <w:r w:rsidRPr="00A35C95">
        <w:tab/>
        <w:t>(3)</w:t>
      </w:r>
      <w:r w:rsidRPr="00A35C95">
        <w:tab/>
        <w:t>If:</w:t>
      </w:r>
    </w:p>
    <w:p w14:paraId="6CA1E074" w14:textId="77777777" w:rsidR="00E93F58" w:rsidRPr="00A35C95" w:rsidRDefault="00E93F58" w:rsidP="00366AB5">
      <w:pPr>
        <w:pStyle w:val="paragraph"/>
        <w:tabs>
          <w:tab w:val="left" w:pos="2835"/>
        </w:tabs>
      </w:pPr>
      <w:r w:rsidRPr="00A35C95">
        <w:lastRenderedPageBreak/>
        <w:tab/>
        <w:t>(a)</w:t>
      </w:r>
      <w:r w:rsidRPr="00A35C95">
        <w:tab/>
        <w:t>the participant or past participant becomes insolvent on a day before the eligible claims are settled by the SEGC (whether or not the insolvency is connected with the loss mentioned in paragraph (1)(a)); and</w:t>
      </w:r>
    </w:p>
    <w:p w14:paraId="192CC39F" w14:textId="77777777" w:rsidR="00E93F58" w:rsidRPr="00A35C95" w:rsidRDefault="00E93F58" w:rsidP="00366AB5">
      <w:pPr>
        <w:pStyle w:val="paragraph"/>
        <w:tabs>
          <w:tab w:val="left" w:pos="2835"/>
        </w:tabs>
      </w:pPr>
      <w:r w:rsidRPr="00A35C95">
        <w:tab/>
        <w:t>(b)</w:t>
      </w:r>
      <w:r w:rsidRPr="00A35C95">
        <w:tab/>
        <w:t xml:space="preserve">the sum of what would, apart from this subregulation, be the maximum amounts in relation to all claimants in connection with eligible claims (the </w:t>
      </w:r>
      <w:r w:rsidRPr="00A35C95">
        <w:rPr>
          <w:b/>
          <w:i/>
        </w:rPr>
        <w:t>total claimants’ amounts</w:t>
      </w:r>
      <w:r w:rsidRPr="00A35C95">
        <w:t>) exceeds the amount worked out under subregulations 7.5.72A(1) and (2);</w:t>
      </w:r>
    </w:p>
    <w:p w14:paraId="65595971" w14:textId="77777777" w:rsidR="00E93F58" w:rsidRPr="00A35C95" w:rsidRDefault="00E93F58" w:rsidP="00366AB5">
      <w:pPr>
        <w:pStyle w:val="subsection2"/>
        <w:tabs>
          <w:tab w:val="left" w:pos="2835"/>
        </w:tabs>
      </w:pPr>
      <w:r w:rsidRPr="00A35C95">
        <w:t>the maximum amount in relation to the claimant is reduced by an amount worked out as follows:</w:t>
      </w:r>
    </w:p>
    <w:p w14:paraId="2FC9241C" w14:textId="77777777" w:rsidR="00E93F58" w:rsidRPr="00A35C95" w:rsidRDefault="00E93F58" w:rsidP="00366AB5">
      <w:pPr>
        <w:pStyle w:val="subsection2"/>
        <w:tabs>
          <w:tab w:val="left" w:pos="2835"/>
        </w:tabs>
      </w:pPr>
      <w:r w:rsidRPr="00A35C95">
        <w:rPr>
          <w:noProof/>
        </w:rPr>
        <w:drawing>
          <wp:inline distT="0" distB="0" distL="0" distR="0" wp14:anchorId="7F5540DB" wp14:editId="04A60F71">
            <wp:extent cx="1593850" cy="469900"/>
            <wp:effectExtent l="0" t="0" r="6350" b="0"/>
            <wp:docPr id="1520773624" name="Picture 1520773624" descr="start formula start fraction Claimant's amount times Excess over Total claimants' amount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 formula start fraction Claimant's amount times Excess over Total claimant's amounts end fraction end formu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850" cy="469900"/>
                    </a:xfrm>
                    <a:prstGeom prst="rect">
                      <a:avLst/>
                    </a:prstGeom>
                    <a:noFill/>
                    <a:ln>
                      <a:noFill/>
                    </a:ln>
                  </pic:spPr>
                </pic:pic>
              </a:graphicData>
            </a:graphic>
          </wp:inline>
        </w:drawing>
      </w:r>
    </w:p>
    <w:p w14:paraId="527B1AC4" w14:textId="77777777" w:rsidR="00E93F58" w:rsidRPr="00A35C95" w:rsidRDefault="00E93F58" w:rsidP="00366AB5">
      <w:pPr>
        <w:pStyle w:val="subsection2"/>
        <w:tabs>
          <w:tab w:val="left" w:pos="2835"/>
        </w:tabs>
      </w:pPr>
      <w:r w:rsidRPr="00A35C95">
        <w:t>where:</w:t>
      </w:r>
    </w:p>
    <w:p w14:paraId="57BEADD0" w14:textId="77777777" w:rsidR="00E93F58" w:rsidRPr="00A35C95" w:rsidRDefault="00E93F58" w:rsidP="00366AB5">
      <w:pPr>
        <w:pStyle w:val="Definition"/>
        <w:tabs>
          <w:tab w:val="left" w:pos="2835"/>
        </w:tabs>
      </w:pPr>
      <w:r w:rsidRPr="00A35C95">
        <w:rPr>
          <w:b/>
          <w:i/>
        </w:rPr>
        <w:t xml:space="preserve">claimant’s amount </w:t>
      </w:r>
      <w:r w:rsidRPr="00A35C95">
        <w:t>means the amount that would, apart from this subregulation, be the claimant’s maximum amount.</w:t>
      </w:r>
    </w:p>
    <w:p w14:paraId="491EF1E2" w14:textId="77777777" w:rsidR="00E93F58" w:rsidRPr="00A35C95" w:rsidRDefault="00E93F58" w:rsidP="00366AB5">
      <w:pPr>
        <w:pStyle w:val="Definition"/>
        <w:tabs>
          <w:tab w:val="left" w:pos="2835"/>
        </w:tabs>
      </w:pPr>
      <w:r w:rsidRPr="00A35C95">
        <w:rPr>
          <w:b/>
          <w:i/>
        </w:rPr>
        <w:t>excess</w:t>
      </w:r>
      <w:r w:rsidRPr="00A35C95">
        <w:t xml:space="preserve"> means the amount of the excess mentioned in paragraph (b).</w:t>
      </w:r>
    </w:p>
    <w:p w14:paraId="43324577" w14:textId="77777777" w:rsidR="00E93F58" w:rsidRPr="00A35C95" w:rsidRDefault="00E93F58" w:rsidP="00366AB5">
      <w:pPr>
        <w:pStyle w:val="subsection"/>
        <w:tabs>
          <w:tab w:val="left" w:pos="2835"/>
        </w:tabs>
        <w:rPr>
          <w:color w:val="000000"/>
        </w:rPr>
      </w:pPr>
      <w:r w:rsidRPr="00A35C95">
        <w:rPr>
          <w:color w:val="000000"/>
        </w:rPr>
        <w:tab/>
        <w:t>(4)</w:t>
      </w:r>
      <w:r w:rsidRPr="00A35C95">
        <w:rPr>
          <w:color w:val="000000"/>
        </w:rPr>
        <w:tab/>
        <w:t>The SEGC may determine in writing:</w:t>
      </w:r>
    </w:p>
    <w:p w14:paraId="7A9FC250" w14:textId="77777777" w:rsidR="00E93F58" w:rsidRPr="00A35C95" w:rsidRDefault="00E93F58" w:rsidP="00366AB5">
      <w:pPr>
        <w:pStyle w:val="paragraph"/>
        <w:tabs>
          <w:tab w:val="left" w:pos="2835"/>
        </w:tabs>
      </w:pPr>
      <w:r w:rsidRPr="00A35C95">
        <w:tab/>
        <w:t>(a)</w:t>
      </w:r>
      <w:r w:rsidRPr="00A35C95">
        <w:tab/>
        <w:t>whether the claimant’s claims are eligible claims; and</w:t>
      </w:r>
    </w:p>
    <w:p w14:paraId="5DEE8054" w14:textId="77777777" w:rsidR="00E93F58" w:rsidRPr="00A35C95" w:rsidRDefault="00E93F58" w:rsidP="00366AB5">
      <w:pPr>
        <w:pStyle w:val="paragraph"/>
        <w:tabs>
          <w:tab w:val="left" w:pos="2835"/>
        </w:tabs>
        <w:rPr>
          <w:color w:val="000000"/>
        </w:rPr>
      </w:pPr>
      <w:r w:rsidRPr="00A35C95">
        <w:tab/>
        <w:t>(b)</w:t>
      </w:r>
      <w:r w:rsidRPr="00A35C95">
        <w:tab/>
      </w:r>
      <w:r w:rsidRPr="00A35C95">
        <w:rPr>
          <w:color w:val="000000"/>
        </w:rPr>
        <w:t>an amount to be the maximum amount in relation to the eligible claims.</w:t>
      </w:r>
    </w:p>
    <w:p w14:paraId="21BE0DBB" w14:textId="77777777" w:rsidR="00E93F58" w:rsidRPr="00A35C95" w:rsidRDefault="00E93F58" w:rsidP="00366AB5">
      <w:pPr>
        <w:pStyle w:val="subsection"/>
        <w:tabs>
          <w:tab w:val="left" w:pos="2835"/>
        </w:tabs>
        <w:rPr>
          <w:color w:val="000000"/>
        </w:rPr>
      </w:pPr>
      <w:r w:rsidRPr="00A35C95">
        <w:tab/>
      </w:r>
      <w:r w:rsidRPr="00A35C95">
        <w:rPr>
          <w:color w:val="000000"/>
        </w:rPr>
        <w:t>(5)</w:t>
      </w:r>
      <w:r w:rsidRPr="00A35C95">
        <w:rPr>
          <w:color w:val="000000"/>
        </w:rPr>
        <w:tab/>
        <w:t>If a determination is in force under paragraph (4)(b), the amount paid out of the Fund to the claimant must not exceed the amount that has been determined.</w:t>
      </w:r>
    </w:p>
    <w:p w14:paraId="1321720A" w14:textId="77777777" w:rsidR="00E93F58" w:rsidRPr="00A35C95" w:rsidRDefault="00E93F58" w:rsidP="00366AB5">
      <w:pPr>
        <w:pStyle w:val="ActHead5"/>
        <w:tabs>
          <w:tab w:val="left" w:pos="2835"/>
        </w:tabs>
      </w:pPr>
      <w:bookmarkStart w:id="798" w:name="_Toc152057973"/>
      <w:bookmarkStart w:id="799" w:name="_Toc158712196"/>
      <w:r w:rsidRPr="00844D11">
        <w:rPr>
          <w:rStyle w:val="CharSectno"/>
        </w:rPr>
        <w:t>7.5.73</w:t>
      </w:r>
      <w:r w:rsidRPr="00A35C95">
        <w:t xml:space="preserve">  Application of Fund in respect of certain claims</w:t>
      </w:r>
      <w:bookmarkEnd w:id="798"/>
      <w:bookmarkEnd w:id="799"/>
    </w:p>
    <w:p w14:paraId="05209878"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the SEGC acquires financial products in accordance with section 888K of the Act for the purpose of providing compensation.</w:t>
      </w:r>
    </w:p>
    <w:p w14:paraId="4E85D4DD" w14:textId="77777777" w:rsidR="00E93F58" w:rsidRPr="00A35C95" w:rsidRDefault="00E93F58" w:rsidP="00366AB5">
      <w:pPr>
        <w:pStyle w:val="subsection"/>
        <w:tabs>
          <w:tab w:val="left" w:pos="2835"/>
        </w:tabs>
      </w:pPr>
      <w:r w:rsidRPr="00A35C95">
        <w:rPr>
          <w:color w:val="000000"/>
        </w:rPr>
        <w:tab/>
        <w:t>(2)</w:t>
      </w:r>
      <w:r w:rsidRPr="00A35C95">
        <w:rPr>
          <w:color w:val="000000"/>
        </w:rPr>
        <w:tab/>
        <w:t>The financial products form part of the Fund until they are supplied in accordance with this Part to a claimant or sold in accordance with subregulation (3).</w:t>
      </w:r>
    </w:p>
    <w:p w14:paraId="7F43EEA2" w14:textId="77777777" w:rsidR="00E93F58" w:rsidRPr="00A35C95" w:rsidRDefault="00E93F58" w:rsidP="00366AB5">
      <w:pPr>
        <w:pStyle w:val="subsection"/>
        <w:tabs>
          <w:tab w:val="left" w:pos="2835"/>
        </w:tabs>
      </w:pPr>
      <w:r w:rsidRPr="00A35C95">
        <w:tab/>
        <w:t>(3)</w:t>
      </w:r>
      <w:r w:rsidRPr="00A35C95">
        <w:tab/>
        <w:t>If the SEGC:</w:t>
      </w:r>
    </w:p>
    <w:p w14:paraId="6C26C093" w14:textId="77777777" w:rsidR="00E93F58" w:rsidRPr="00A35C95" w:rsidRDefault="00E93F58" w:rsidP="00366AB5">
      <w:pPr>
        <w:pStyle w:val="paragraph"/>
        <w:tabs>
          <w:tab w:val="left" w:pos="2835"/>
        </w:tabs>
      </w:pPr>
      <w:r w:rsidRPr="00A35C95">
        <w:rPr>
          <w:color w:val="000000"/>
        </w:rPr>
        <w:tab/>
        <w:t>(a)</w:t>
      </w:r>
      <w:r w:rsidRPr="00A35C95">
        <w:rPr>
          <w:color w:val="000000"/>
        </w:rPr>
        <w:tab/>
        <w:t>acquires the financial products; and</w:t>
      </w:r>
    </w:p>
    <w:p w14:paraId="25B6ADD5" w14:textId="77777777" w:rsidR="00E93F58" w:rsidRPr="00A35C95" w:rsidRDefault="00E93F58" w:rsidP="00366AB5">
      <w:pPr>
        <w:pStyle w:val="paragraph"/>
        <w:tabs>
          <w:tab w:val="left" w:pos="2835"/>
        </w:tabs>
      </w:pPr>
      <w:r w:rsidRPr="00A35C95">
        <w:tab/>
        <w:t>(b)</w:t>
      </w:r>
      <w:r w:rsidRPr="00A35C95">
        <w:tab/>
        <w:t>satisfies the claim by paying an amount to the claimant;</w:t>
      </w:r>
    </w:p>
    <w:p w14:paraId="6C37838B" w14:textId="77777777" w:rsidR="00E93F58" w:rsidRPr="00A35C95" w:rsidRDefault="00E93F58" w:rsidP="00366AB5">
      <w:pPr>
        <w:pStyle w:val="subsection2"/>
        <w:tabs>
          <w:tab w:val="left" w:pos="2835"/>
        </w:tabs>
      </w:pPr>
      <w:r w:rsidRPr="00A35C95">
        <w:rPr>
          <w:color w:val="000000"/>
        </w:rPr>
        <w:t>the SEGC must, as soon as practicable after satisfying the claim, sell the financial products and pay the proceeds of the sale into the Fund.</w:t>
      </w:r>
    </w:p>
    <w:p w14:paraId="28BE4A0F" w14:textId="77777777" w:rsidR="00E93F58" w:rsidRPr="00A35C95" w:rsidRDefault="00E93F58" w:rsidP="00366AB5">
      <w:pPr>
        <w:pStyle w:val="ActHead5"/>
        <w:tabs>
          <w:tab w:val="left" w:pos="2835"/>
        </w:tabs>
      </w:pPr>
      <w:bookmarkStart w:id="800" w:name="_Toc152057974"/>
      <w:bookmarkStart w:id="801" w:name="_Toc158712197"/>
      <w:r w:rsidRPr="00844D11">
        <w:rPr>
          <w:rStyle w:val="CharSectno"/>
        </w:rPr>
        <w:t>7.5.74</w:t>
      </w:r>
      <w:r w:rsidRPr="00A35C95">
        <w:t xml:space="preserve">  Discretion to pay amounts not received etc because of failure to transfer securities</w:t>
      </w:r>
      <w:bookmarkEnd w:id="800"/>
      <w:bookmarkEnd w:id="801"/>
    </w:p>
    <w:p w14:paraId="272BDDEB"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the SEGC is satisfied that:</w:t>
      </w:r>
    </w:p>
    <w:p w14:paraId="58ED4A40"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a person (the </w:t>
      </w:r>
      <w:r w:rsidRPr="00A35C95">
        <w:rPr>
          <w:b/>
          <w:i/>
          <w:color w:val="000000"/>
        </w:rPr>
        <w:t>defaulter</w:t>
      </w:r>
      <w:r w:rsidRPr="00A35C95">
        <w:rPr>
          <w:color w:val="000000"/>
        </w:rPr>
        <w:t xml:space="preserve">) has failed to discharge an obligation to transfer securities to another person (the </w:t>
      </w:r>
      <w:r w:rsidRPr="00A35C95">
        <w:rPr>
          <w:b/>
          <w:i/>
          <w:color w:val="000000"/>
        </w:rPr>
        <w:t>entitled entity</w:t>
      </w:r>
      <w:r w:rsidRPr="00A35C95">
        <w:rPr>
          <w:color w:val="000000"/>
        </w:rPr>
        <w:t>); and</w:t>
      </w:r>
    </w:p>
    <w:p w14:paraId="224656D6" w14:textId="77777777" w:rsidR="00E93F58" w:rsidRPr="00A35C95" w:rsidRDefault="00E93F58" w:rsidP="00366AB5">
      <w:pPr>
        <w:pStyle w:val="paragraph"/>
        <w:tabs>
          <w:tab w:val="left" w:pos="2835"/>
        </w:tabs>
      </w:pPr>
      <w:r w:rsidRPr="00A35C95">
        <w:tab/>
        <w:t>(b)</w:t>
      </w:r>
      <w:r w:rsidRPr="00A35C95">
        <w:tab/>
        <w:t>the entitled entity:</w:t>
      </w:r>
    </w:p>
    <w:p w14:paraId="7F7E248F" w14:textId="77777777" w:rsidR="00E93F58" w:rsidRPr="00A35C95" w:rsidRDefault="00E93F58" w:rsidP="00366AB5">
      <w:pPr>
        <w:pStyle w:val="paragraphsub"/>
        <w:tabs>
          <w:tab w:val="left" w:pos="2835"/>
        </w:tabs>
      </w:pPr>
      <w:r w:rsidRPr="00A35C95">
        <w:rPr>
          <w:color w:val="000000"/>
        </w:rPr>
        <w:tab/>
        <w:t>(i)</w:t>
      </w:r>
      <w:r w:rsidRPr="00A35C95">
        <w:rPr>
          <w:color w:val="000000"/>
        </w:rPr>
        <w:tab/>
        <w:t>has made a claim in respect of the failure and has had securities transferred to it, or an amount paid to it, in satisfaction of the claim; or</w:t>
      </w:r>
    </w:p>
    <w:p w14:paraId="254D7378" w14:textId="77777777" w:rsidR="00E93F58" w:rsidRPr="00A35C95" w:rsidRDefault="00E93F58" w:rsidP="00366AB5">
      <w:pPr>
        <w:pStyle w:val="paragraphsub"/>
        <w:tabs>
          <w:tab w:val="left" w:pos="2835"/>
        </w:tabs>
      </w:pPr>
      <w:r w:rsidRPr="00A35C95">
        <w:tab/>
        <w:t>(ii)</w:t>
      </w:r>
      <w:r w:rsidRPr="00A35C95">
        <w:tab/>
        <w:t>would have been entitled to make a claim in respect of the failure if securities had not been transferred to it for the purpose of remedying the failure; and</w:t>
      </w:r>
    </w:p>
    <w:p w14:paraId="27537D44" w14:textId="77777777" w:rsidR="00E93F58" w:rsidRPr="00A35C95" w:rsidRDefault="00E93F58" w:rsidP="00366AB5">
      <w:pPr>
        <w:pStyle w:val="paragraph"/>
        <w:tabs>
          <w:tab w:val="left" w:pos="2835"/>
        </w:tabs>
      </w:pPr>
      <w:r w:rsidRPr="00A35C95">
        <w:rPr>
          <w:color w:val="000000"/>
        </w:rPr>
        <w:tab/>
        <w:t>(c)</w:t>
      </w:r>
      <w:r w:rsidRPr="00A35C95">
        <w:rPr>
          <w:color w:val="000000"/>
        </w:rPr>
        <w:tab/>
        <w:t>if the defaulter had duly transferred securities in accordance with the obligation, an amount would have been paid, or property would have been transferred, to the entitled entity as the holder of the securities; and</w:t>
      </w:r>
    </w:p>
    <w:p w14:paraId="48F955CC" w14:textId="77777777" w:rsidR="00E93F58" w:rsidRPr="00A35C95" w:rsidRDefault="00E93F58" w:rsidP="00366AB5">
      <w:pPr>
        <w:pStyle w:val="paragraph"/>
        <w:tabs>
          <w:tab w:val="left" w:pos="2835"/>
        </w:tabs>
      </w:pPr>
      <w:r w:rsidRPr="00A35C95">
        <w:tab/>
        <w:t>(d)</w:t>
      </w:r>
      <w:r w:rsidRPr="00A35C95">
        <w:tab/>
        <w:t>the entitled entity has not received, and is not entitled to receive (otherwise than from the defaulter):</w:t>
      </w:r>
    </w:p>
    <w:p w14:paraId="205D4083" w14:textId="77777777" w:rsidR="00E93F58" w:rsidRPr="00A35C95" w:rsidRDefault="00E93F58" w:rsidP="00366AB5">
      <w:pPr>
        <w:pStyle w:val="paragraphsub"/>
        <w:tabs>
          <w:tab w:val="left" w:pos="2835"/>
        </w:tabs>
      </w:pPr>
      <w:r w:rsidRPr="00A35C95">
        <w:rPr>
          <w:color w:val="000000"/>
        </w:rPr>
        <w:tab/>
        <w:t>(i)</w:t>
      </w:r>
      <w:r w:rsidRPr="00A35C95">
        <w:rPr>
          <w:color w:val="000000"/>
        </w:rPr>
        <w:tab/>
        <w:t>the amount or property; or</w:t>
      </w:r>
    </w:p>
    <w:p w14:paraId="3480AD6B" w14:textId="77777777" w:rsidR="00E93F58" w:rsidRPr="00A35C95" w:rsidRDefault="00E93F58" w:rsidP="00366AB5">
      <w:pPr>
        <w:pStyle w:val="paragraphsub"/>
        <w:tabs>
          <w:tab w:val="left" w:pos="2835"/>
        </w:tabs>
      </w:pPr>
      <w:r w:rsidRPr="00A35C95">
        <w:tab/>
        <w:t>(ii)</w:t>
      </w:r>
      <w:r w:rsidRPr="00A35C95">
        <w:tab/>
        <w:t>an equivalent amount or equivalent property in respect of securities transferred or obtained as mentioned in paragraph (b); and</w:t>
      </w:r>
    </w:p>
    <w:p w14:paraId="4789B4D1" w14:textId="77777777" w:rsidR="00E93F58" w:rsidRPr="00A35C95" w:rsidRDefault="00E93F58" w:rsidP="00366AB5">
      <w:pPr>
        <w:pStyle w:val="paragraph"/>
        <w:tabs>
          <w:tab w:val="left" w:pos="2835"/>
        </w:tabs>
      </w:pPr>
      <w:r w:rsidRPr="00A35C95">
        <w:rPr>
          <w:color w:val="000000"/>
        </w:rPr>
        <w:tab/>
        <w:t>(e)</w:t>
      </w:r>
      <w:r w:rsidRPr="00A35C95">
        <w:rPr>
          <w:color w:val="000000"/>
        </w:rPr>
        <w:tab/>
        <w:t>if subparagraph (b)(i) applies, and an amount has been paid in satisfaction of the claim, the amount paid does not adequately compensate the entitled entity for the loss of the amount or property mentioned in paragraph (c).</w:t>
      </w:r>
    </w:p>
    <w:p w14:paraId="08EA92B1" w14:textId="77777777" w:rsidR="00E93F58" w:rsidRPr="00A35C95" w:rsidRDefault="00E93F58" w:rsidP="00366AB5">
      <w:pPr>
        <w:pStyle w:val="subsection"/>
        <w:tabs>
          <w:tab w:val="left" w:pos="2835"/>
        </w:tabs>
      </w:pPr>
      <w:r w:rsidRPr="00A35C95">
        <w:rPr>
          <w:color w:val="000000"/>
        </w:rPr>
        <w:lastRenderedPageBreak/>
        <w:tab/>
        <w:t>(2)</w:t>
      </w:r>
      <w:r w:rsidRPr="00A35C95">
        <w:rPr>
          <w:color w:val="000000"/>
        </w:rPr>
        <w:tab/>
        <w:t>The SEGC may determine in writing that the entitled entity is to be paid, in respect of the loss of the amount or property mentioned in paragraph (1)(c), a specified amount that the SEGC considers to be fair and reasonable in the circumstances.</w:t>
      </w:r>
    </w:p>
    <w:p w14:paraId="2A0A3ED5" w14:textId="77777777" w:rsidR="00E93F58" w:rsidRPr="00A35C95" w:rsidRDefault="00E93F58" w:rsidP="00366AB5">
      <w:pPr>
        <w:pStyle w:val="subsection"/>
        <w:tabs>
          <w:tab w:val="left" w:pos="2835"/>
        </w:tabs>
      </w:pPr>
      <w:r w:rsidRPr="00A35C95">
        <w:tab/>
        <w:t>(3)</w:t>
      </w:r>
      <w:r w:rsidRPr="00A35C95">
        <w:tab/>
        <w:t>If a determination is made under subregulation (1), the SEGC must pay to the entitled entity the amount specified in the determination.</w:t>
      </w:r>
    </w:p>
    <w:p w14:paraId="66194380" w14:textId="77777777" w:rsidR="00E93F58" w:rsidRPr="00A35C95" w:rsidRDefault="00E93F58" w:rsidP="00366AB5">
      <w:pPr>
        <w:pStyle w:val="ActHead5"/>
        <w:tabs>
          <w:tab w:val="left" w:pos="2835"/>
        </w:tabs>
      </w:pPr>
      <w:bookmarkStart w:id="802" w:name="_Toc152057975"/>
      <w:bookmarkStart w:id="803" w:name="_Toc158712198"/>
      <w:r w:rsidRPr="00844D11">
        <w:rPr>
          <w:rStyle w:val="CharSectno"/>
        </w:rPr>
        <w:t>7.5.75</w:t>
      </w:r>
      <w:r w:rsidRPr="00A35C95">
        <w:t xml:space="preserve">  Reduction in compensation</w:t>
      </w:r>
      <w:bookmarkEnd w:id="802"/>
      <w:bookmarkEnd w:id="803"/>
    </w:p>
    <w:p w14:paraId="723F6255" w14:textId="77777777" w:rsidR="00E93F58" w:rsidRPr="00A35C95" w:rsidRDefault="00E93F58" w:rsidP="00366AB5">
      <w:pPr>
        <w:pStyle w:val="subsection"/>
        <w:tabs>
          <w:tab w:val="left" w:pos="2835"/>
        </w:tabs>
      </w:pPr>
      <w:r w:rsidRPr="00A35C95">
        <w:tab/>
        <w:t>(1)</w:t>
      </w:r>
      <w:r w:rsidRPr="00A35C95">
        <w:tab/>
        <w:t>The SEGC may reduce an amount of compensation by reference to 1 or more of the following:</w:t>
      </w:r>
    </w:p>
    <w:p w14:paraId="04AC591C" w14:textId="77777777" w:rsidR="00E93F58" w:rsidRPr="00A35C95" w:rsidRDefault="00E93F58" w:rsidP="00366AB5">
      <w:pPr>
        <w:pStyle w:val="paragraph"/>
        <w:tabs>
          <w:tab w:val="left" w:pos="2835"/>
        </w:tabs>
      </w:pPr>
      <w:r w:rsidRPr="00A35C95">
        <w:rPr>
          <w:color w:val="000000"/>
        </w:rPr>
        <w:tab/>
        <w:t>(a)</w:t>
      </w:r>
      <w:r w:rsidRPr="00A35C95">
        <w:rPr>
          <w:color w:val="000000"/>
        </w:rPr>
        <w:tab/>
        <w:t>a right of set</w:t>
      </w:r>
      <w:r>
        <w:rPr>
          <w:color w:val="000000"/>
        </w:rPr>
        <w:noBreakHyphen/>
      </w:r>
      <w:r w:rsidRPr="00A35C95">
        <w:rPr>
          <w:color w:val="000000"/>
        </w:rPr>
        <w:t>off available to the claimant;</w:t>
      </w:r>
    </w:p>
    <w:p w14:paraId="62E32EF5" w14:textId="77777777" w:rsidR="00E93F58" w:rsidRPr="00A35C95" w:rsidRDefault="00E93F58" w:rsidP="00366AB5">
      <w:pPr>
        <w:pStyle w:val="paragraph"/>
        <w:tabs>
          <w:tab w:val="left" w:pos="2835"/>
        </w:tabs>
      </w:pPr>
      <w:r w:rsidRPr="00A35C95">
        <w:tab/>
        <w:t>(b)</w:t>
      </w:r>
      <w:r w:rsidRPr="00A35C95">
        <w:tab/>
        <w:t>the extent to which the claimant was responsible for causing the loss.</w:t>
      </w:r>
    </w:p>
    <w:p w14:paraId="408D5827" w14:textId="77777777" w:rsidR="00E93F58" w:rsidRPr="00A35C95" w:rsidRDefault="00E93F58" w:rsidP="00366AB5">
      <w:pPr>
        <w:pStyle w:val="subsection"/>
        <w:tabs>
          <w:tab w:val="left" w:pos="2835"/>
        </w:tabs>
      </w:pPr>
      <w:r w:rsidRPr="00A35C95">
        <w:tab/>
        <w:t>(2)</w:t>
      </w:r>
      <w:r w:rsidRPr="00A35C95">
        <w:tab/>
        <w:t>If:</w:t>
      </w:r>
    </w:p>
    <w:p w14:paraId="097BA045" w14:textId="77777777" w:rsidR="00E93F58" w:rsidRPr="00A35C95" w:rsidRDefault="00E93F58" w:rsidP="00366AB5">
      <w:pPr>
        <w:pStyle w:val="paragraph"/>
        <w:tabs>
          <w:tab w:val="left" w:pos="2835"/>
        </w:tabs>
      </w:pPr>
      <w:r w:rsidRPr="00A35C95">
        <w:tab/>
        <w:t>(a)</w:t>
      </w:r>
      <w:r w:rsidRPr="00A35C95">
        <w:tab/>
        <w:t>the claimant has assigned any of its rights or remedies in relation to the loss; and</w:t>
      </w:r>
    </w:p>
    <w:p w14:paraId="66C03135" w14:textId="77777777" w:rsidR="00E93F58" w:rsidRPr="00A35C95" w:rsidRDefault="00E93F58" w:rsidP="00366AB5">
      <w:pPr>
        <w:pStyle w:val="paragraph"/>
        <w:tabs>
          <w:tab w:val="left" w:pos="2835"/>
        </w:tabs>
      </w:pPr>
      <w:r w:rsidRPr="00A35C95">
        <w:tab/>
        <w:t>(aa)</w:t>
      </w:r>
      <w:r w:rsidRPr="00A35C95">
        <w:tab/>
        <w:t>the claimant has received a benefit from any person for assigning the right or remedy; and</w:t>
      </w:r>
    </w:p>
    <w:p w14:paraId="762CBCA8" w14:textId="77777777" w:rsidR="00E93F58" w:rsidRPr="00A35C95" w:rsidRDefault="00E93F58" w:rsidP="00366AB5">
      <w:pPr>
        <w:pStyle w:val="paragraph"/>
        <w:tabs>
          <w:tab w:val="left" w:pos="2835"/>
        </w:tabs>
        <w:rPr>
          <w:color w:val="000000"/>
        </w:rPr>
      </w:pPr>
      <w:r w:rsidRPr="00A35C95">
        <w:rPr>
          <w:color w:val="000000"/>
        </w:rPr>
        <w:tab/>
        <w:t>(b)</w:t>
      </w:r>
      <w:r w:rsidRPr="00A35C95">
        <w:rPr>
          <w:color w:val="000000"/>
        </w:rPr>
        <w:tab/>
        <w:t xml:space="preserve">the claimant assigned </w:t>
      </w:r>
      <w:r w:rsidRPr="00A35C95">
        <w:t>rights or remedies</w:t>
      </w:r>
      <w:r w:rsidRPr="00A35C95">
        <w:rPr>
          <w:color w:val="000000"/>
        </w:rPr>
        <w:t xml:space="preserve"> as mentioned in paragraph (a) without the written consent of the SEGC; and</w:t>
      </w:r>
    </w:p>
    <w:p w14:paraId="2D4E6348" w14:textId="77777777" w:rsidR="00E93F58" w:rsidRPr="00A35C95" w:rsidRDefault="00E93F58" w:rsidP="00366AB5">
      <w:pPr>
        <w:pStyle w:val="paragraph"/>
        <w:tabs>
          <w:tab w:val="left" w:pos="2835"/>
        </w:tabs>
        <w:rPr>
          <w:color w:val="000000"/>
        </w:rPr>
      </w:pPr>
      <w:r w:rsidRPr="00A35C95">
        <w:rPr>
          <w:color w:val="000000"/>
        </w:rPr>
        <w:tab/>
        <w:t>(c)</w:t>
      </w:r>
      <w:r w:rsidRPr="00A35C95">
        <w:rPr>
          <w:color w:val="000000"/>
        </w:rPr>
        <w:tab/>
        <w:t>the claimant continues to suffer a loss at the date of the determination of the claim;</w:t>
      </w:r>
    </w:p>
    <w:p w14:paraId="33438A83" w14:textId="77777777" w:rsidR="00E93F58" w:rsidRPr="00A35C95" w:rsidRDefault="00E93F58" w:rsidP="00366AB5">
      <w:pPr>
        <w:pStyle w:val="subsection2"/>
        <w:tabs>
          <w:tab w:val="left" w:pos="2835"/>
        </w:tabs>
      </w:pPr>
      <w:r w:rsidRPr="00A35C95">
        <w:rPr>
          <w:color w:val="000000"/>
        </w:rPr>
        <w:t xml:space="preserve">the SEGC may reduce the amount of compensation </w:t>
      </w:r>
      <w:r w:rsidRPr="00A35C95">
        <w:t>by the amount</w:t>
      </w:r>
      <w:r w:rsidRPr="00A35C95">
        <w:rPr>
          <w:color w:val="000000"/>
        </w:rPr>
        <w:t xml:space="preserve"> that fairly represents the extent to which the claimant has, without the written consent of the SEGC, adversely affected </w:t>
      </w:r>
      <w:r w:rsidRPr="00A35C95">
        <w:t>the SEGC’s ability under section 892F of the Act to recover the amount of the compensation that would otherwise be payable to the claimant in respect of the claimant’s claim.</w:t>
      </w:r>
    </w:p>
    <w:p w14:paraId="412596C3" w14:textId="77777777" w:rsidR="00E93F58" w:rsidRPr="00A35C95" w:rsidRDefault="00E93F58" w:rsidP="00366AB5">
      <w:pPr>
        <w:pStyle w:val="subsection"/>
        <w:tabs>
          <w:tab w:val="left" w:pos="2835"/>
        </w:tabs>
      </w:pPr>
      <w:r w:rsidRPr="00A35C95">
        <w:tab/>
        <w:t>(3)</w:t>
      </w:r>
      <w:r w:rsidRPr="00A35C95">
        <w:tab/>
        <w:t>In determining an amount of compensation payable to a claimant in respect of a claim, the SEGC may reduce the amount by reference to any money or other property that the claimant has received, or is likely to receive, from sources other than the Fund as compensation for money or property to which the claim relates.</w:t>
      </w:r>
    </w:p>
    <w:p w14:paraId="5A158224" w14:textId="77777777" w:rsidR="00E93F58" w:rsidRPr="00A35C95" w:rsidRDefault="00E93F58" w:rsidP="00366AB5">
      <w:pPr>
        <w:pStyle w:val="ActHead5"/>
        <w:tabs>
          <w:tab w:val="left" w:pos="2835"/>
        </w:tabs>
      </w:pPr>
      <w:bookmarkStart w:id="804" w:name="_Toc152057976"/>
      <w:bookmarkStart w:id="805" w:name="_Toc158712199"/>
      <w:r w:rsidRPr="00844D11">
        <w:rPr>
          <w:rStyle w:val="CharSectno"/>
        </w:rPr>
        <w:t>7.5.76</w:t>
      </w:r>
      <w:r w:rsidRPr="00A35C95">
        <w:t xml:space="preserve">  Claimant may be required to exercise right of set</w:t>
      </w:r>
      <w:r>
        <w:noBreakHyphen/>
      </w:r>
      <w:r w:rsidRPr="00A35C95">
        <w:t>off</w:t>
      </w:r>
      <w:bookmarkEnd w:id="804"/>
      <w:bookmarkEnd w:id="805"/>
    </w:p>
    <w:p w14:paraId="062E8DFA" w14:textId="77777777" w:rsidR="00E93F58" w:rsidRPr="00A35C95" w:rsidRDefault="00E93F58" w:rsidP="00366AB5">
      <w:pPr>
        <w:pStyle w:val="subsection"/>
        <w:tabs>
          <w:tab w:val="left" w:pos="2835"/>
        </w:tabs>
      </w:pPr>
      <w:r w:rsidRPr="00A35C95">
        <w:rPr>
          <w:color w:val="000000"/>
        </w:rPr>
        <w:tab/>
        <w:t>(1)</w:t>
      </w:r>
      <w:r w:rsidRPr="00A35C95">
        <w:rPr>
          <w:color w:val="000000"/>
        </w:rPr>
        <w:tab/>
        <w:t>If:</w:t>
      </w:r>
    </w:p>
    <w:p w14:paraId="43095CB4"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a person (the </w:t>
      </w:r>
      <w:r w:rsidRPr="00A35C95">
        <w:rPr>
          <w:b/>
          <w:i/>
          <w:color w:val="000000"/>
        </w:rPr>
        <w:t>claimant</w:t>
      </w:r>
      <w:r w:rsidRPr="00A35C95">
        <w:rPr>
          <w:color w:val="000000"/>
        </w:rPr>
        <w:t xml:space="preserve">) has made a claim in respect of a liability of another person (the </w:t>
      </w:r>
      <w:r w:rsidRPr="00A35C95">
        <w:rPr>
          <w:b/>
          <w:i/>
          <w:color w:val="000000"/>
        </w:rPr>
        <w:t>defaulter</w:t>
      </w:r>
      <w:r w:rsidRPr="00A35C95">
        <w:rPr>
          <w:color w:val="000000"/>
        </w:rPr>
        <w:t>); and</w:t>
      </w:r>
    </w:p>
    <w:p w14:paraId="593637A9" w14:textId="77777777" w:rsidR="00E93F58" w:rsidRPr="00A35C95" w:rsidRDefault="00E93F58" w:rsidP="00366AB5">
      <w:pPr>
        <w:pStyle w:val="paragraph"/>
        <w:tabs>
          <w:tab w:val="left" w:pos="2835"/>
        </w:tabs>
      </w:pPr>
      <w:r w:rsidRPr="00A35C95">
        <w:tab/>
        <w:t>(b)</w:t>
      </w:r>
      <w:r w:rsidRPr="00A35C95">
        <w:tab/>
        <w:t>the claimant has a right, whether under an agreement or otherwise, to set off a liability of the claimant to the defaulter against the liability mentioned in paragraph (a);</w:t>
      </w:r>
    </w:p>
    <w:p w14:paraId="1002392C" w14:textId="77777777" w:rsidR="00E93F58" w:rsidRPr="00A35C95" w:rsidRDefault="00E93F58" w:rsidP="00366AB5">
      <w:pPr>
        <w:pStyle w:val="subsection2"/>
        <w:tabs>
          <w:tab w:val="left" w:pos="2835"/>
        </w:tabs>
      </w:pPr>
      <w:r w:rsidRPr="00A35C95">
        <w:rPr>
          <w:color w:val="000000"/>
        </w:rPr>
        <w:t>the SEGC may refuse to allow the claim until the claimant has exercised the right.</w:t>
      </w:r>
    </w:p>
    <w:p w14:paraId="4057FA3E" w14:textId="77777777" w:rsidR="00E93F58" w:rsidRPr="00A35C95" w:rsidRDefault="00E93F58" w:rsidP="00366AB5">
      <w:pPr>
        <w:pStyle w:val="subsection"/>
        <w:tabs>
          <w:tab w:val="left" w:pos="2835"/>
        </w:tabs>
      </w:pPr>
      <w:r w:rsidRPr="00A35C95">
        <w:rPr>
          <w:color w:val="000000"/>
        </w:rPr>
        <w:tab/>
        <w:t>(2)</w:t>
      </w:r>
      <w:r w:rsidRPr="00A35C95">
        <w:rPr>
          <w:color w:val="000000"/>
        </w:rPr>
        <w:tab/>
        <w:t>The SEGC may, by notice in writing served on a person, require the person to give the SEGC specified information relating to the existence or exercise of rights of set</w:t>
      </w:r>
      <w:r>
        <w:rPr>
          <w:color w:val="000000"/>
        </w:rPr>
        <w:noBreakHyphen/>
      </w:r>
      <w:r w:rsidRPr="00A35C95">
        <w:rPr>
          <w:color w:val="000000"/>
        </w:rPr>
        <w:t>off.</w:t>
      </w:r>
    </w:p>
    <w:p w14:paraId="0A27EB47" w14:textId="77777777" w:rsidR="00E93F58" w:rsidRPr="00A35C95" w:rsidRDefault="00E93F58" w:rsidP="00366AB5">
      <w:pPr>
        <w:pStyle w:val="ActHead5"/>
        <w:tabs>
          <w:tab w:val="left" w:pos="2835"/>
        </w:tabs>
      </w:pPr>
      <w:bookmarkStart w:id="806" w:name="_Toc152057977"/>
      <w:bookmarkStart w:id="807" w:name="_Toc158712200"/>
      <w:r w:rsidRPr="00844D11">
        <w:rPr>
          <w:rStyle w:val="CharSectno"/>
        </w:rPr>
        <w:t>7.5.77</w:t>
      </w:r>
      <w:r w:rsidRPr="00A35C95">
        <w:t xml:space="preserve">  Effect of set</w:t>
      </w:r>
      <w:r>
        <w:noBreakHyphen/>
      </w:r>
      <w:r w:rsidRPr="00A35C95">
        <w:t>off on claim</w:t>
      </w:r>
      <w:bookmarkEnd w:id="806"/>
      <w:bookmarkEnd w:id="807"/>
    </w:p>
    <w:p w14:paraId="3879B299" w14:textId="77777777" w:rsidR="00E93F58" w:rsidRPr="00A35C95" w:rsidRDefault="00E93F58" w:rsidP="00366AB5">
      <w:pPr>
        <w:pStyle w:val="subsection"/>
        <w:tabs>
          <w:tab w:val="left" w:pos="2835"/>
        </w:tabs>
      </w:pPr>
      <w:r w:rsidRPr="00A35C95">
        <w:rPr>
          <w:color w:val="000000"/>
        </w:rPr>
        <w:tab/>
        <w:t>(1)</w:t>
      </w:r>
      <w:r w:rsidRPr="00A35C95">
        <w:rPr>
          <w:color w:val="000000"/>
        </w:rPr>
        <w:tab/>
        <w:t>If:</w:t>
      </w:r>
    </w:p>
    <w:p w14:paraId="2FC56D14"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the SEGC allows a claim by a person (the </w:t>
      </w:r>
      <w:r w:rsidRPr="00A35C95">
        <w:rPr>
          <w:b/>
          <w:i/>
          <w:color w:val="000000"/>
        </w:rPr>
        <w:t>claimant</w:t>
      </w:r>
      <w:r w:rsidRPr="00A35C95">
        <w:rPr>
          <w:color w:val="000000"/>
        </w:rPr>
        <w:t xml:space="preserve">) in respect of a liability of another person (the </w:t>
      </w:r>
      <w:r w:rsidRPr="00A35C95">
        <w:rPr>
          <w:b/>
          <w:i/>
          <w:color w:val="000000"/>
        </w:rPr>
        <w:t>defaulter</w:t>
      </w:r>
      <w:r w:rsidRPr="00A35C95">
        <w:rPr>
          <w:color w:val="000000"/>
        </w:rPr>
        <w:t>); and</w:t>
      </w:r>
    </w:p>
    <w:p w14:paraId="43F65568" w14:textId="77777777" w:rsidR="00E93F58" w:rsidRPr="00A35C95" w:rsidRDefault="00E93F58" w:rsidP="00366AB5">
      <w:pPr>
        <w:pStyle w:val="paragraph"/>
        <w:tabs>
          <w:tab w:val="left" w:pos="2835"/>
        </w:tabs>
      </w:pPr>
      <w:r w:rsidRPr="00A35C95">
        <w:tab/>
        <w:t>(b)</w:t>
      </w:r>
      <w:r w:rsidRPr="00A35C95">
        <w:tab/>
        <w:t xml:space="preserve">the liability of the defaulter to the claimant has been reduced, by an amount of money or a number of securities (the </w:t>
      </w:r>
      <w:r w:rsidRPr="00A35C95">
        <w:rPr>
          <w:b/>
          <w:i/>
        </w:rPr>
        <w:t>set</w:t>
      </w:r>
      <w:r>
        <w:rPr>
          <w:b/>
          <w:i/>
        </w:rPr>
        <w:noBreakHyphen/>
      </w:r>
      <w:r w:rsidRPr="00A35C95">
        <w:rPr>
          <w:b/>
          <w:i/>
        </w:rPr>
        <w:t>off reduction</w:t>
      </w:r>
      <w:r w:rsidRPr="00A35C95">
        <w:t>), because of:</w:t>
      </w:r>
    </w:p>
    <w:p w14:paraId="5C375903" w14:textId="77777777" w:rsidR="00E93F58" w:rsidRPr="00A35C95" w:rsidRDefault="00E93F58" w:rsidP="00366AB5">
      <w:pPr>
        <w:pStyle w:val="paragraphsub"/>
        <w:tabs>
          <w:tab w:val="left" w:pos="2835"/>
        </w:tabs>
      </w:pPr>
      <w:r w:rsidRPr="00A35C95">
        <w:rPr>
          <w:color w:val="000000"/>
        </w:rPr>
        <w:tab/>
        <w:t>(i)</w:t>
      </w:r>
      <w:r w:rsidRPr="00A35C95">
        <w:rPr>
          <w:color w:val="000000"/>
        </w:rPr>
        <w:tab/>
        <w:t>the exercise by the claimant or the defaulter of a right of set</w:t>
      </w:r>
      <w:r>
        <w:rPr>
          <w:color w:val="000000"/>
        </w:rPr>
        <w:noBreakHyphen/>
      </w:r>
      <w:r w:rsidRPr="00A35C95">
        <w:rPr>
          <w:color w:val="000000"/>
        </w:rPr>
        <w:t>off, whether under an agreement or otherwise; or</w:t>
      </w:r>
    </w:p>
    <w:p w14:paraId="525EA6F3" w14:textId="77777777" w:rsidR="00E93F58" w:rsidRPr="00A35C95" w:rsidRDefault="00E93F58" w:rsidP="00366AB5">
      <w:pPr>
        <w:pStyle w:val="paragraphsub"/>
        <w:tabs>
          <w:tab w:val="left" w:pos="2835"/>
        </w:tabs>
      </w:pPr>
      <w:r w:rsidRPr="00A35C95">
        <w:tab/>
        <w:t>(ii)</w:t>
      </w:r>
      <w:r w:rsidRPr="00A35C95">
        <w:tab/>
        <w:t>the operation of an agreement so far as it provides for the automatic set</w:t>
      </w:r>
      <w:r>
        <w:noBreakHyphen/>
      </w:r>
      <w:r w:rsidRPr="00A35C95">
        <w:t>off of liabilities; and</w:t>
      </w:r>
    </w:p>
    <w:p w14:paraId="14379079" w14:textId="77777777" w:rsidR="00E93F58" w:rsidRPr="00A35C95" w:rsidRDefault="00E93F58" w:rsidP="00366AB5">
      <w:pPr>
        <w:pStyle w:val="paragraph"/>
        <w:tabs>
          <w:tab w:val="left" w:pos="2835"/>
        </w:tabs>
      </w:pPr>
      <w:r w:rsidRPr="00A35C95">
        <w:rPr>
          <w:color w:val="000000"/>
        </w:rPr>
        <w:tab/>
        <w:t>(c)</w:t>
      </w:r>
      <w:r w:rsidRPr="00A35C95">
        <w:rPr>
          <w:color w:val="000000"/>
        </w:rPr>
        <w:tab/>
        <w:t>but for this regulation, the reduction of the defaulter’s liability would not be taken into account when working out the obligations of the SEGC in respect of the claim;</w:t>
      </w:r>
    </w:p>
    <w:p w14:paraId="32AE1D6B" w14:textId="77777777" w:rsidR="00E93F58" w:rsidRPr="00A35C95" w:rsidRDefault="00E93F58" w:rsidP="00366AB5">
      <w:pPr>
        <w:pStyle w:val="subsection2"/>
        <w:tabs>
          <w:tab w:val="left" w:pos="2835"/>
        </w:tabs>
      </w:pPr>
      <w:r w:rsidRPr="00A35C95">
        <w:rPr>
          <w:color w:val="000000"/>
        </w:rPr>
        <w:t>this regulation applies for the purposes of working out those obligations.</w:t>
      </w:r>
    </w:p>
    <w:p w14:paraId="5CAB52D5" w14:textId="77777777" w:rsidR="00E93F58" w:rsidRPr="00A35C95" w:rsidRDefault="00E93F58" w:rsidP="00366AB5">
      <w:pPr>
        <w:pStyle w:val="subsection"/>
        <w:tabs>
          <w:tab w:val="left" w:pos="2835"/>
        </w:tabs>
      </w:pPr>
      <w:r w:rsidRPr="00A35C95">
        <w:rPr>
          <w:color w:val="000000"/>
        </w:rPr>
        <w:tab/>
        <w:t>(2)</w:t>
      </w:r>
      <w:r w:rsidRPr="00A35C95">
        <w:rPr>
          <w:color w:val="000000"/>
        </w:rPr>
        <w:tab/>
        <w:t>If:</w:t>
      </w:r>
    </w:p>
    <w:p w14:paraId="3395A1BA"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is required to satisfy the claim by paying an amount; and</w:t>
      </w:r>
    </w:p>
    <w:p w14:paraId="0E6A2913" w14:textId="77777777" w:rsidR="00E93F58" w:rsidRPr="00A35C95" w:rsidRDefault="00E93F58" w:rsidP="00366AB5">
      <w:pPr>
        <w:pStyle w:val="paragraph"/>
        <w:tabs>
          <w:tab w:val="left" w:pos="2835"/>
        </w:tabs>
      </w:pPr>
      <w:r w:rsidRPr="00A35C95">
        <w:tab/>
        <w:t>(b)</w:t>
      </w:r>
      <w:r w:rsidRPr="00A35C95">
        <w:tab/>
        <w:t>the set</w:t>
      </w:r>
      <w:r>
        <w:noBreakHyphen/>
      </w:r>
      <w:r w:rsidRPr="00A35C95">
        <w:t>off reduction consists of an amount;</w:t>
      </w:r>
    </w:p>
    <w:p w14:paraId="19B682D7" w14:textId="77777777" w:rsidR="00E93F58" w:rsidRPr="00A35C95" w:rsidRDefault="00E93F58" w:rsidP="00366AB5">
      <w:pPr>
        <w:pStyle w:val="subsection2"/>
        <w:tabs>
          <w:tab w:val="left" w:pos="2835"/>
        </w:tabs>
      </w:pPr>
      <w:r w:rsidRPr="00A35C95">
        <w:rPr>
          <w:color w:val="000000"/>
        </w:rPr>
        <w:t>the amount the SEGC must pay in respect of the claim is reduced by the amount of the set</w:t>
      </w:r>
      <w:r>
        <w:rPr>
          <w:color w:val="000000"/>
        </w:rPr>
        <w:noBreakHyphen/>
      </w:r>
      <w:r w:rsidRPr="00A35C95">
        <w:rPr>
          <w:color w:val="000000"/>
        </w:rPr>
        <w:t>off reduction.</w:t>
      </w:r>
    </w:p>
    <w:p w14:paraId="09C629C8" w14:textId="77777777" w:rsidR="00E93F58" w:rsidRPr="00A35C95" w:rsidRDefault="00E93F58" w:rsidP="00366AB5">
      <w:pPr>
        <w:pStyle w:val="subsection"/>
        <w:tabs>
          <w:tab w:val="left" w:pos="2835"/>
        </w:tabs>
      </w:pPr>
      <w:r w:rsidRPr="00A35C95">
        <w:rPr>
          <w:color w:val="000000"/>
        </w:rPr>
        <w:tab/>
        <w:t>(3)</w:t>
      </w:r>
      <w:r w:rsidRPr="00A35C95">
        <w:rPr>
          <w:color w:val="000000"/>
        </w:rPr>
        <w:tab/>
        <w:t>If:</w:t>
      </w:r>
    </w:p>
    <w:p w14:paraId="123D8F90"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is required to satisfy the claim by paying an amount; and</w:t>
      </w:r>
    </w:p>
    <w:p w14:paraId="5EB939BD" w14:textId="77777777" w:rsidR="00E93F58" w:rsidRPr="00A35C95" w:rsidRDefault="00E93F58" w:rsidP="00366AB5">
      <w:pPr>
        <w:pStyle w:val="paragraph"/>
        <w:tabs>
          <w:tab w:val="left" w:pos="2835"/>
        </w:tabs>
      </w:pPr>
      <w:r w:rsidRPr="00A35C95">
        <w:lastRenderedPageBreak/>
        <w:tab/>
        <w:t>(b)</w:t>
      </w:r>
      <w:r w:rsidRPr="00A35C95">
        <w:tab/>
        <w:t>the set</w:t>
      </w:r>
      <w:r>
        <w:noBreakHyphen/>
      </w:r>
      <w:r w:rsidRPr="00A35C95">
        <w:t>off reduction consists of a number of securities;</w:t>
      </w:r>
    </w:p>
    <w:p w14:paraId="02E8EADF" w14:textId="77777777" w:rsidR="00E93F58" w:rsidRPr="00A35C95" w:rsidRDefault="00E93F58" w:rsidP="00366AB5">
      <w:pPr>
        <w:pStyle w:val="subsection2"/>
        <w:tabs>
          <w:tab w:val="left" w:pos="2835"/>
        </w:tabs>
      </w:pPr>
      <w:r w:rsidRPr="00A35C95">
        <w:t>then:</w:t>
      </w:r>
    </w:p>
    <w:p w14:paraId="3C870D02" w14:textId="77777777" w:rsidR="00E93F58" w:rsidRPr="00A35C95" w:rsidRDefault="00E93F58" w:rsidP="00366AB5">
      <w:pPr>
        <w:pStyle w:val="paragraph"/>
        <w:tabs>
          <w:tab w:val="left" w:pos="2835"/>
        </w:tabs>
      </w:pPr>
      <w:r w:rsidRPr="00A35C95">
        <w:rPr>
          <w:color w:val="000000"/>
        </w:rPr>
        <w:tab/>
        <w:t>(c)</w:t>
      </w:r>
      <w:r w:rsidRPr="00A35C95">
        <w:rPr>
          <w:color w:val="000000"/>
        </w:rPr>
        <w:tab/>
        <w:t>the SEGC must work out the value of the securities; and</w:t>
      </w:r>
    </w:p>
    <w:p w14:paraId="240ACEB6" w14:textId="77777777" w:rsidR="00E93F58" w:rsidRPr="00A35C95" w:rsidRDefault="00E93F58" w:rsidP="00366AB5">
      <w:pPr>
        <w:pStyle w:val="paragraph"/>
        <w:tabs>
          <w:tab w:val="left" w:pos="2835"/>
        </w:tabs>
      </w:pPr>
      <w:r w:rsidRPr="00A35C95">
        <w:tab/>
        <w:t>(d)</w:t>
      </w:r>
      <w:r w:rsidRPr="00A35C95">
        <w:tab/>
        <w:t>the amount the SEGC must pay in respect of the claim is reduced by the value worked out under paragraph (c).</w:t>
      </w:r>
    </w:p>
    <w:p w14:paraId="4DA8E373" w14:textId="77777777" w:rsidR="00E93F58" w:rsidRPr="00A35C95" w:rsidRDefault="00E93F58" w:rsidP="00366AB5">
      <w:pPr>
        <w:pStyle w:val="subsection"/>
        <w:tabs>
          <w:tab w:val="left" w:pos="2835"/>
        </w:tabs>
      </w:pPr>
      <w:r w:rsidRPr="00A35C95">
        <w:rPr>
          <w:color w:val="000000"/>
        </w:rPr>
        <w:tab/>
        <w:t>(4)</w:t>
      </w:r>
      <w:r w:rsidRPr="00A35C95">
        <w:rPr>
          <w:color w:val="000000"/>
        </w:rPr>
        <w:tab/>
        <w:t>If:</w:t>
      </w:r>
    </w:p>
    <w:p w14:paraId="632A899E"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is required to satisfy the claim by transferring securities of a particular kind; and</w:t>
      </w:r>
    </w:p>
    <w:p w14:paraId="71EE603E" w14:textId="77777777" w:rsidR="00E93F58" w:rsidRPr="00A35C95" w:rsidRDefault="00E93F58" w:rsidP="00366AB5">
      <w:pPr>
        <w:pStyle w:val="paragraph"/>
        <w:tabs>
          <w:tab w:val="left" w:pos="2835"/>
        </w:tabs>
      </w:pPr>
      <w:r w:rsidRPr="00A35C95">
        <w:tab/>
        <w:t>(b)</w:t>
      </w:r>
      <w:r w:rsidRPr="00A35C95">
        <w:tab/>
        <w:t>the set</w:t>
      </w:r>
      <w:r>
        <w:noBreakHyphen/>
      </w:r>
      <w:r w:rsidRPr="00A35C95">
        <w:t>off reduction consists of a number of securities of that kind;</w:t>
      </w:r>
    </w:p>
    <w:p w14:paraId="60EF0F4D" w14:textId="77777777" w:rsidR="00E93F58" w:rsidRPr="00A35C95" w:rsidRDefault="00E93F58" w:rsidP="00366AB5">
      <w:pPr>
        <w:pStyle w:val="subsection2"/>
        <w:tabs>
          <w:tab w:val="left" w:pos="2835"/>
        </w:tabs>
      </w:pPr>
      <w:r w:rsidRPr="00A35C95">
        <w:rPr>
          <w:color w:val="000000"/>
        </w:rPr>
        <w:t>the number of securities that the SEGC must transfer in respect of the claim is reduced by the number mentioned in paragraph (b).</w:t>
      </w:r>
    </w:p>
    <w:p w14:paraId="4E2AE2A6" w14:textId="77777777" w:rsidR="00E93F58" w:rsidRPr="00A35C95" w:rsidRDefault="00E93F58" w:rsidP="00366AB5">
      <w:pPr>
        <w:pStyle w:val="subsection"/>
        <w:tabs>
          <w:tab w:val="left" w:pos="2835"/>
        </w:tabs>
      </w:pPr>
      <w:r w:rsidRPr="00A35C95">
        <w:rPr>
          <w:color w:val="000000"/>
        </w:rPr>
        <w:tab/>
        <w:t>(5)</w:t>
      </w:r>
      <w:r w:rsidRPr="00A35C95">
        <w:rPr>
          <w:color w:val="000000"/>
        </w:rPr>
        <w:tab/>
        <w:t>If:</w:t>
      </w:r>
    </w:p>
    <w:p w14:paraId="5E45E6CD"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is required to satisfy the claim by transferring securities of a particular kind; and</w:t>
      </w:r>
    </w:p>
    <w:p w14:paraId="3AB420E9" w14:textId="77777777" w:rsidR="00E93F58" w:rsidRPr="00A35C95" w:rsidRDefault="00E93F58" w:rsidP="00366AB5">
      <w:pPr>
        <w:pStyle w:val="paragraph"/>
        <w:tabs>
          <w:tab w:val="left" w:pos="2835"/>
        </w:tabs>
      </w:pPr>
      <w:r w:rsidRPr="00A35C95">
        <w:tab/>
        <w:t>(b)</w:t>
      </w:r>
      <w:r w:rsidRPr="00A35C95">
        <w:tab/>
        <w:t>the set</w:t>
      </w:r>
      <w:r>
        <w:noBreakHyphen/>
      </w:r>
      <w:r w:rsidRPr="00A35C95">
        <w:t>off reduction consists of a number of securities that are not of that kind;</w:t>
      </w:r>
    </w:p>
    <w:p w14:paraId="2B5F6DB4" w14:textId="77777777" w:rsidR="00E93F58" w:rsidRPr="00A35C95" w:rsidRDefault="00E93F58" w:rsidP="00366AB5">
      <w:pPr>
        <w:pStyle w:val="subsection2"/>
        <w:tabs>
          <w:tab w:val="left" w:pos="2835"/>
        </w:tabs>
      </w:pPr>
      <w:r w:rsidRPr="00A35C95">
        <w:rPr>
          <w:color w:val="000000"/>
        </w:rPr>
        <w:t>then:</w:t>
      </w:r>
    </w:p>
    <w:p w14:paraId="07004AD1" w14:textId="77777777" w:rsidR="00E93F58" w:rsidRPr="00A35C95" w:rsidRDefault="00E93F58" w:rsidP="00366AB5">
      <w:pPr>
        <w:pStyle w:val="paragraph"/>
        <w:tabs>
          <w:tab w:val="left" w:pos="2835"/>
        </w:tabs>
      </w:pPr>
      <w:r w:rsidRPr="00A35C95">
        <w:rPr>
          <w:color w:val="000000"/>
        </w:rPr>
        <w:tab/>
        <w:t>(c)</w:t>
      </w:r>
      <w:r w:rsidRPr="00A35C95">
        <w:rPr>
          <w:color w:val="000000"/>
        </w:rPr>
        <w:tab/>
        <w:t>the SEGC must work out:</w:t>
      </w:r>
    </w:p>
    <w:p w14:paraId="3142DEC9" w14:textId="77777777" w:rsidR="00E93F58" w:rsidRPr="00A35C95" w:rsidRDefault="00E93F58" w:rsidP="00366AB5">
      <w:pPr>
        <w:pStyle w:val="paragraphsub"/>
        <w:tabs>
          <w:tab w:val="left" w:pos="2835"/>
        </w:tabs>
      </w:pPr>
      <w:r w:rsidRPr="00A35C95">
        <w:rPr>
          <w:color w:val="000000"/>
        </w:rPr>
        <w:tab/>
        <w:t>(i)</w:t>
      </w:r>
      <w:r w:rsidRPr="00A35C95">
        <w:rPr>
          <w:color w:val="000000"/>
        </w:rPr>
        <w:tab/>
        <w:t>the value of the securities that constitute the set</w:t>
      </w:r>
      <w:r>
        <w:rPr>
          <w:color w:val="000000"/>
        </w:rPr>
        <w:noBreakHyphen/>
      </w:r>
      <w:r w:rsidRPr="00A35C95">
        <w:rPr>
          <w:color w:val="000000"/>
        </w:rPr>
        <w:t>off reduction; and</w:t>
      </w:r>
    </w:p>
    <w:p w14:paraId="6D699AF6" w14:textId="77777777" w:rsidR="00E93F58" w:rsidRPr="00A35C95" w:rsidRDefault="00E93F58" w:rsidP="00366AB5">
      <w:pPr>
        <w:pStyle w:val="paragraphsub"/>
        <w:tabs>
          <w:tab w:val="left" w:pos="2835"/>
        </w:tabs>
      </w:pPr>
      <w:r w:rsidRPr="00A35C95">
        <w:tab/>
        <w:t>(ii)</w:t>
      </w:r>
      <w:r w:rsidRPr="00A35C95">
        <w:tab/>
        <w:t>the number of securities of the kind mentioned in paragraph (a) that are equal in value to the value worked out under subparagraph (i); and</w:t>
      </w:r>
    </w:p>
    <w:p w14:paraId="076AB653" w14:textId="77777777" w:rsidR="00E93F58" w:rsidRPr="00A35C95" w:rsidRDefault="00E93F58" w:rsidP="00366AB5">
      <w:pPr>
        <w:pStyle w:val="paragraph"/>
        <w:tabs>
          <w:tab w:val="left" w:pos="2835"/>
        </w:tabs>
      </w:pPr>
      <w:r w:rsidRPr="00A35C95">
        <w:rPr>
          <w:color w:val="000000"/>
        </w:rPr>
        <w:tab/>
        <w:t>(d)</w:t>
      </w:r>
      <w:r w:rsidRPr="00A35C95">
        <w:rPr>
          <w:color w:val="000000"/>
        </w:rPr>
        <w:tab/>
        <w:t>the number of securities that the SEGC is required to transfer in respect of the claim is reduced by the number worked out under subparagraph (c)(ii).</w:t>
      </w:r>
    </w:p>
    <w:p w14:paraId="23E13172" w14:textId="77777777" w:rsidR="00E93F58" w:rsidRPr="00A35C95" w:rsidRDefault="00E93F58" w:rsidP="00366AB5">
      <w:pPr>
        <w:pStyle w:val="subsection"/>
        <w:tabs>
          <w:tab w:val="left" w:pos="2835"/>
        </w:tabs>
      </w:pPr>
      <w:r w:rsidRPr="00A35C95">
        <w:rPr>
          <w:color w:val="000000"/>
        </w:rPr>
        <w:tab/>
        <w:t>(6)</w:t>
      </w:r>
      <w:r w:rsidRPr="00A35C95">
        <w:rPr>
          <w:color w:val="000000"/>
        </w:rPr>
        <w:tab/>
        <w:t>If:</w:t>
      </w:r>
    </w:p>
    <w:p w14:paraId="1132AB19" w14:textId="77777777" w:rsidR="00E93F58" w:rsidRPr="00A35C95" w:rsidRDefault="00E93F58" w:rsidP="00366AB5">
      <w:pPr>
        <w:pStyle w:val="paragraph"/>
        <w:tabs>
          <w:tab w:val="left" w:pos="2835"/>
        </w:tabs>
      </w:pPr>
      <w:r w:rsidRPr="00A35C95">
        <w:rPr>
          <w:color w:val="000000"/>
        </w:rPr>
        <w:tab/>
        <w:t>(a)</w:t>
      </w:r>
      <w:r w:rsidRPr="00A35C95">
        <w:rPr>
          <w:color w:val="000000"/>
        </w:rPr>
        <w:tab/>
        <w:t>the SEGC is required to satisfy the claim by transferring securities of a particular kind; and</w:t>
      </w:r>
    </w:p>
    <w:p w14:paraId="5FDA98E6" w14:textId="77777777" w:rsidR="00E93F58" w:rsidRPr="00A35C95" w:rsidRDefault="00E93F58" w:rsidP="00366AB5">
      <w:pPr>
        <w:pStyle w:val="paragraph"/>
        <w:tabs>
          <w:tab w:val="left" w:pos="2835"/>
        </w:tabs>
      </w:pPr>
      <w:r w:rsidRPr="00A35C95">
        <w:tab/>
        <w:t>(b)</w:t>
      </w:r>
      <w:r w:rsidRPr="00A35C95">
        <w:tab/>
        <w:t>the set</w:t>
      </w:r>
      <w:r>
        <w:noBreakHyphen/>
      </w:r>
      <w:r w:rsidRPr="00A35C95">
        <w:t>off reduction consists of an amount of money;</w:t>
      </w:r>
    </w:p>
    <w:p w14:paraId="60289FF2" w14:textId="77777777" w:rsidR="00E93F58" w:rsidRPr="00A35C95" w:rsidRDefault="00E93F58" w:rsidP="00366AB5">
      <w:pPr>
        <w:pStyle w:val="subsection2"/>
        <w:tabs>
          <w:tab w:val="left" w:pos="2835"/>
        </w:tabs>
      </w:pPr>
      <w:r w:rsidRPr="00A35C95">
        <w:t>then:</w:t>
      </w:r>
    </w:p>
    <w:p w14:paraId="118CF270" w14:textId="77777777" w:rsidR="00E93F58" w:rsidRPr="00A35C95" w:rsidRDefault="00E93F58" w:rsidP="00366AB5">
      <w:pPr>
        <w:pStyle w:val="paragraph"/>
        <w:tabs>
          <w:tab w:val="left" w:pos="2835"/>
        </w:tabs>
      </w:pPr>
      <w:r w:rsidRPr="00A35C95">
        <w:rPr>
          <w:color w:val="000000"/>
        </w:rPr>
        <w:tab/>
        <w:t>(c)</w:t>
      </w:r>
      <w:r w:rsidRPr="00A35C95">
        <w:rPr>
          <w:color w:val="000000"/>
        </w:rPr>
        <w:tab/>
        <w:t>the SEGC must work out the number of securities of that kind that are equal in value to that amount; and</w:t>
      </w:r>
    </w:p>
    <w:p w14:paraId="673D7F43" w14:textId="77777777" w:rsidR="00E93F58" w:rsidRPr="00A35C95" w:rsidRDefault="00E93F58" w:rsidP="00366AB5">
      <w:pPr>
        <w:pStyle w:val="paragraph"/>
        <w:tabs>
          <w:tab w:val="left" w:pos="2835"/>
        </w:tabs>
      </w:pPr>
      <w:r w:rsidRPr="00A35C95">
        <w:tab/>
        <w:t>(d)</w:t>
      </w:r>
      <w:r w:rsidRPr="00A35C95">
        <w:tab/>
        <w:t>the number of securities that the SEGC must transfer in respect of the claim is reduced by the number worked out under paragraph (c).</w:t>
      </w:r>
    </w:p>
    <w:p w14:paraId="3D481F9B" w14:textId="77777777" w:rsidR="00E93F58" w:rsidRPr="00A35C95" w:rsidRDefault="00E93F58" w:rsidP="00366AB5">
      <w:pPr>
        <w:pStyle w:val="ActHead5"/>
        <w:tabs>
          <w:tab w:val="left" w:pos="2835"/>
        </w:tabs>
      </w:pPr>
      <w:bookmarkStart w:id="808" w:name="_Toc152057978"/>
      <w:bookmarkStart w:id="809" w:name="_Toc158712201"/>
      <w:r w:rsidRPr="00844D11">
        <w:rPr>
          <w:rStyle w:val="CharSectno"/>
        </w:rPr>
        <w:t>7.5.78</w:t>
      </w:r>
      <w:r w:rsidRPr="00A35C95">
        <w:t xml:space="preserve">  Claimant entitled to costs and disbursements</w:t>
      </w:r>
      <w:bookmarkEnd w:id="808"/>
      <w:bookmarkEnd w:id="809"/>
    </w:p>
    <w:p w14:paraId="12F1573A"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the SEGC:</w:t>
      </w:r>
    </w:p>
    <w:p w14:paraId="4FABFE59" w14:textId="77777777" w:rsidR="00E93F58" w:rsidRPr="00A35C95" w:rsidRDefault="00E93F58" w:rsidP="00366AB5">
      <w:pPr>
        <w:pStyle w:val="paragraph"/>
        <w:tabs>
          <w:tab w:val="left" w:pos="2835"/>
        </w:tabs>
      </w:pPr>
      <w:r w:rsidRPr="00A35C95">
        <w:rPr>
          <w:color w:val="000000"/>
        </w:rPr>
        <w:tab/>
        <w:t>(a)</w:t>
      </w:r>
      <w:r w:rsidRPr="00A35C95">
        <w:rPr>
          <w:color w:val="000000"/>
        </w:rPr>
        <w:tab/>
        <w:t>allows a claim in whole or in part; or</w:t>
      </w:r>
    </w:p>
    <w:p w14:paraId="1449719A" w14:textId="77777777" w:rsidR="00E93F58" w:rsidRPr="00A35C95" w:rsidRDefault="00E93F58" w:rsidP="00366AB5">
      <w:pPr>
        <w:pStyle w:val="paragraph"/>
        <w:tabs>
          <w:tab w:val="left" w:pos="2835"/>
        </w:tabs>
      </w:pPr>
      <w:r w:rsidRPr="00A35C95">
        <w:tab/>
        <w:t>(b)</w:t>
      </w:r>
      <w:r w:rsidRPr="00A35C95">
        <w:tab/>
        <w:t>disallows a claim in whole in the following circumstances:</w:t>
      </w:r>
    </w:p>
    <w:p w14:paraId="6097EF8B" w14:textId="77777777" w:rsidR="00E93F58" w:rsidRPr="00A35C95" w:rsidRDefault="00E93F58" w:rsidP="00366AB5">
      <w:pPr>
        <w:pStyle w:val="paragraphsub"/>
        <w:tabs>
          <w:tab w:val="left" w:pos="2835"/>
        </w:tabs>
      </w:pPr>
      <w:r w:rsidRPr="00A35C95">
        <w:rPr>
          <w:color w:val="000000"/>
        </w:rPr>
        <w:tab/>
        <w:t>(i)</w:t>
      </w:r>
      <w:r w:rsidRPr="00A35C95">
        <w:rPr>
          <w:color w:val="000000"/>
        </w:rPr>
        <w:tab/>
        <w:t>the dealer compensated the claimant before the claim was determined;</w:t>
      </w:r>
    </w:p>
    <w:p w14:paraId="3FCD9617" w14:textId="77777777" w:rsidR="00E93F58" w:rsidRPr="00A35C95" w:rsidRDefault="00E93F58" w:rsidP="00366AB5">
      <w:pPr>
        <w:pStyle w:val="paragraphsub"/>
        <w:tabs>
          <w:tab w:val="left" w:pos="2835"/>
        </w:tabs>
      </w:pPr>
      <w:r w:rsidRPr="00A35C95">
        <w:tab/>
        <w:t>(ii)</w:t>
      </w:r>
      <w:r w:rsidRPr="00A35C95">
        <w:tab/>
        <w:t>the claim would have been allowed if the dealer had not compensated the claimant.</w:t>
      </w:r>
    </w:p>
    <w:p w14:paraId="4D03CE17" w14:textId="77777777" w:rsidR="00E93F58" w:rsidRPr="00A35C95" w:rsidRDefault="00E93F58" w:rsidP="00366AB5">
      <w:pPr>
        <w:pStyle w:val="subsection"/>
        <w:tabs>
          <w:tab w:val="left" w:pos="2835"/>
        </w:tabs>
      </w:pPr>
      <w:r w:rsidRPr="00A35C95">
        <w:rPr>
          <w:color w:val="000000"/>
        </w:rPr>
        <w:tab/>
        <w:t>(2)</w:t>
      </w:r>
      <w:r w:rsidRPr="00A35C95">
        <w:rPr>
          <w:color w:val="000000"/>
        </w:rPr>
        <w:tab/>
        <w:t>The claimant is entitled to be paid out of the Fund an amount equal to the total of the reasonable costs of, and the reasonable disbursements incidental to, the making and proof of the claim.</w:t>
      </w:r>
    </w:p>
    <w:p w14:paraId="26062B1D" w14:textId="77777777" w:rsidR="00E93F58" w:rsidRPr="00A35C95" w:rsidRDefault="00E93F58" w:rsidP="00366AB5">
      <w:pPr>
        <w:pStyle w:val="subsection"/>
        <w:tabs>
          <w:tab w:val="left" w:pos="2835"/>
        </w:tabs>
      </w:pPr>
      <w:r w:rsidRPr="00A35C95">
        <w:tab/>
        <w:t>(3)</w:t>
      </w:r>
      <w:r w:rsidRPr="00A35C95">
        <w:tab/>
        <w:t>The claimant is also entitled to be paid out of the Fund an amount in respect of the claimant’s reasonable costs of, and disbursements incidental to, attempting to recover the loss.</w:t>
      </w:r>
    </w:p>
    <w:p w14:paraId="55B0BA72" w14:textId="77777777" w:rsidR="00E93F58" w:rsidRPr="00A35C95" w:rsidRDefault="00E93F58" w:rsidP="00366AB5">
      <w:pPr>
        <w:pStyle w:val="subsection"/>
        <w:tabs>
          <w:tab w:val="left" w:pos="2835"/>
        </w:tabs>
      </w:pPr>
      <w:r w:rsidRPr="00A35C95">
        <w:tab/>
        <w:t>(4)</w:t>
      </w:r>
      <w:r w:rsidRPr="00A35C95">
        <w:tab/>
        <w:t>Subregulations (2) and (3) apply in addition to the claimant’s other rights under this Division.</w:t>
      </w:r>
    </w:p>
    <w:p w14:paraId="77ED891E" w14:textId="77777777" w:rsidR="00E93F58" w:rsidRPr="00A35C95" w:rsidRDefault="00E93F58" w:rsidP="00366AB5">
      <w:pPr>
        <w:pStyle w:val="ActHead5"/>
        <w:tabs>
          <w:tab w:val="left" w:pos="2835"/>
        </w:tabs>
      </w:pPr>
      <w:bookmarkStart w:id="810" w:name="_Toc152057979"/>
      <w:bookmarkStart w:id="811" w:name="_Toc158712202"/>
      <w:r w:rsidRPr="00844D11">
        <w:rPr>
          <w:rStyle w:val="CharSectno"/>
        </w:rPr>
        <w:t>7.5.79</w:t>
      </w:r>
      <w:r w:rsidRPr="00A35C95">
        <w:t xml:space="preserve">  Interest</w:t>
      </w:r>
      <w:bookmarkEnd w:id="810"/>
      <w:bookmarkEnd w:id="811"/>
    </w:p>
    <w:p w14:paraId="6EB23EB4" w14:textId="77777777" w:rsidR="00E93F58" w:rsidRPr="00A35C95" w:rsidRDefault="00E93F58" w:rsidP="00366AB5">
      <w:pPr>
        <w:pStyle w:val="subsection"/>
        <w:tabs>
          <w:tab w:val="left" w:pos="2835"/>
        </w:tabs>
      </w:pPr>
      <w:r w:rsidRPr="00A35C95">
        <w:rPr>
          <w:color w:val="000000"/>
        </w:rPr>
        <w:tab/>
        <w:t>(1)</w:t>
      </w:r>
      <w:r w:rsidRPr="00A35C95">
        <w:rPr>
          <w:color w:val="000000"/>
        </w:rPr>
        <w:tab/>
        <w:t>In addition to an amount that is payable to a person out of the Fund in respect of a claim, interest at the rate of 5% per annum or, if another rate is determined in writing by the SEGC, at that other rate, is payable to the person out of the Fund, on so much of that amount as is not attributable to costs and disbursements, in respect of the period beginning on the day on which the person became entitled to make the claim and ending on:</w:t>
      </w:r>
    </w:p>
    <w:p w14:paraId="471C7481" w14:textId="77777777" w:rsidR="00E93F58" w:rsidRPr="00A35C95" w:rsidRDefault="00E93F58" w:rsidP="00366AB5">
      <w:pPr>
        <w:pStyle w:val="paragraph"/>
        <w:tabs>
          <w:tab w:val="left" w:pos="2835"/>
        </w:tabs>
      </w:pPr>
      <w:r w:rsidRPr="00A35C95">
        <w:rPr>
          <w:color w:val="000000"/>
        </w:rPr>
        <w:tab/>
        <w:t>(a)</w:t>
      </w:r>
      <w:r w:rsidRPr="00A35C95">
        <w:rPr>
          <w:color w:val="000000"/>
        </w:rPr>
        <w:tab/>
        <w:t>if the SEGC has made a determination under subregulation 7.5.82(1) to pay that amount in instalments—the day on which that amount would, if no such determination had been made and the money in the Fund were unlimited, have been paid to the person; or</w:t>
      </w:r>
    </w:p>
    <w:p w14:paraId="29AE4F1C" w14:textId="77777777" w:rsidR="00E93F58" w:rsidRPr="00A35C95" w:rsidRDefault="00E93F58" w:rsidP="00366AB5">
      <w:pPr>
        <w:pStyle w:val="paragraph"/>
        <w:tabs>
          <w:tab w:val="left" w:pos="2835"/>
        </w:tabs>
      </w:pPr>
      <w:r w:rsidRPr="00A35C95">
        <w:tab/>
        <w:t>(b)</w:t>
      </w:r>
      <w:r w:rsidRPr="00A35C95">
        <w:tab/>
        <w:t>if, because of insufficiency of the Fund, no part of that amount is paid to the person on the day on which that amount would, if the money in the Fund were unlimited, have been so paid—that day; or</w:t>
      </w:r>
    </w:p>
    <w:p w14:paraId="1F1D9B46" w14:textId="77777777" w:rsidR="00E93F58" w:rsidRPr="00A35C95" w:rsidRDefault="00E93F58" w:rsidP="00366AB5">
      <w:pPr>
        <w:pStyle w:val="paragraph"/>
        <w:tabs>
          <w:tab w:val="left" w:pos="2835"/>
        </w:tabs>
      </w:pPr>
      <w:r w:rsidRPr="00A35C95">
        <w:lastRenderedPageBreak/>
        <w:tab/>
        <w:t>(c)</w:t>
      </w:r>
      <w:r w:rsidRPr="00A35C95">
        <w:tab/>
        <w:t>in any other case—the day on which that amount is paid to the person.</w:t>
      </w:r>
    </w:p>
    <w:p w14:paraId="4DDA8573" w14:textId="77777777" w:rsidR="00E93F58" w:rsidRPr="00A35C95" w:rsidRDefault="00E93F58" w:rsidP="00366AB5">
      <w:pPr>
        <w:pStyle w:val="subsection"/>
        <w:tabs>
          <w:tab w:val="left" w:pos="2835"/>
        </w:tabs>
      </w:pPr>
      <w:r w:rsidRPr="00A35C95">
        <w:rPr>
          <w:color w:val="000000"/>
        </w:rPr>
        <w:tab/>
        <w:t>(2)</w:t>
      </w:r>
      <w:r w:rsidRPr="00A35C95">
        <w:rPr>
          <w:color w:val="000000"/>
        </w:rPr>
        <w:tab/>
        <w:t>A rate of interest determined by the SEGC for subregulation (1):</w:t>
      </w:r>
    </w:p>
    <w:p w14:paraId="533E6F62"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must not exceed the rate that, when the determination is made, is fixed by Rules of Court for the purposes of paragraph 52(2)(a) of the </w:t>
      </w:r>
      <w:r w:rsidRPr="00A35C95">
        <w:rPr>
          <w:i/>
          <w:color w:val="000000"/>
        </w:rPr>
        <w:t>Federal Court of Australia Act 1976</w:t>
      </w:r>
      <w:r w:rsidRPr="00A35C95">
        <w:rPr>
          <w:color w:val="000000"/>
        </w:rPr>
        <w:t>; and</w:t>
      </w:r>
    </w:p>
    <w:p w14:paraId="1D43DDF1" w14:textId="77777777" w:rsidR="00E93F58" w:rsidRPr="00A35C95" w:rsidRDefault="00E93F58" w:rsidP="00366AB5">
      <w:pPr>
        <w:pStyle w:val="paragraph"/>
        <w:tabs>
          <w:tab w:val="left" w:pos="2835"/>
        </w:tabs>
      </w:pPr>
      <w:r w:rsidRPr="00A35C95">
        <w:tab/>
        <w:t>(b)</w:t>
      </w:r>
      <w:r w:rsidRPr="00A35C95">
        <w:tab/>
        <w:t>must not be less than 5% per year.</w:t>
      </w:r>
    </w:p>
    <w:p w14:paraId="4FA62A23" w14:textId="77777777" w:rsidR="00E93F58" w:rsidRPr="00A35C95" w:rsidRDefault="00E93F58" w:rsidP="00366AB5">
      <w:pPr>
        <w:pStyle w:val="subsection"/>
        <w:tabs>
          <w:tab w:val="left" w:pos="2835"/>
        </w:tabs>
      </w:pPr>
      <w:r w:rsidRPr="00A35C95">
        <w:rPr>
          <w:color w:val="000000"/>
        </w:rPr>
        <w:tab/>
        <w:t>(3)</w:t>
      </w:r>
      <w:r w:rsidRPr="00A35C95">
        <w:rPr>
          <w:color w:val="000000"/>
        </w:rPr>
        <w:tab/>
        <w:t xml:space="preserve">As soon as practicable after determining a rate of interest, the SEGC must publish a copy of the determination in the </w:t>
      </w:r>
      <w:r w:rsidRPr="00A35C95">
        <w:rPr>
          <w:i/>
          <w:color w:val="000000"/>
        </w:rPr>
        <w:t>Gazette</w:t>
      </w:r>
      <w:r w:rsidRPr="00A35C95">
        <w:rPr>
          <w:color w:val="000000"/>
        </w:rPr>
        <w:t>.</w:t>
      </w:r>
    </w:p>
    <w:p w14:paraId="34AB5469" w14:textId="77777777" w:rsidR="00E93F58" w:rsidRPr="00A35C95" w:rsidRDefault="00E93F58" w:rsidP="00366AB5">
      <w:pPr>
        <w:pStyle w:val="subsection"/>
        <w:tabs>
          <w:tab w:val="left" w:pos="2835"/>
        </w:tabs>
      </w:pPr>
      <w:r w:rsidRPr="00A35C95">
        <w:tab/>
        <w:t>(4)</w:t>
      </w:r>
      <w:r w:rsidRPr="00A35C95">
        <w:tab/>
        <w:t>If:</w:t>
      </w:r>
    </w:p>
    <w:p w14:paraId="2BD215DD" w14:textId="77777777" w:rsidR="00E93F58" w:rsidRPr="00A35C95" w:rsidRDefault="00E93F58" w:rsidP="00366AB5">
      <w:pPr>
        <w:pStyle w:val="paragraph"/>
        <w:tabs>
          <w:tab w:val="left" w:pos="2835"/>
        </w:tabs>
      </w:pPr>
      <w:r w:rsidRPr="00A35C95">
        <w:rPr>
          <w:color w:val="000000"/>
        </w:rPr>
        <w:tab/>
        <w:t>(a)</w:t>
      </w:r>
      <w:r w:rsidRPr="00A35C95">
        <w:rPr>
          <w:color w:val="000000"/>
        </w:rPr>
        <w:tab/>
        <w:t>under subregulation (1), interest is payable to a person on an amount in respect of a period; and</w:t>
      </w:r>
    </w:p>
    <w:p w14:paraId="359D9155" w14:textId="77777777" w:rsidR="00E93F58" w:rsidRPr="00A35C95" w:rsidRDefault="00E93F58" w:rsidP="00366AB5">
      <w:pPr>
        <w:pStyle w:val="paragraph"/>
        <w:tabs>
          <w:tab w:val="left" w:pos="2835"/>
        </w:tabs>
      </w:pPr>
      <w:r w:rsidRPr="00A35C95">
        <w:tab/>
        <w:t>(b)</w:t>
      </w:r>
      <w:r w:rsidRPr="00A35C95">
        <w:tab/>
        <w:t>that amount, or a part of that amount, remains unpaid throughout a period beginning immediately after the period mentioned in paragraph (a);</w:t>
      </w:r>
    </w:p>
    <w:p w14:paraId="78DD3FBE" w14:textId="77777777" w:rsidR="00E93F58" w:rsidRPr="00A35C95" w:rsidRDefault="00E93F58" w:rsidP="00366AB5">
      <w:pPr>
        <w:pStyle w:val="subsection2"/>
        <w:tabs>
          <w:tab w:val="left" w:pos="2835"/>
        </w:tabs>
      </w:pPr>
      <w:r w:rsidRPr="00A35C95">
        <w:rPr>
          <w:color w:val="000000"/>
        </w:rPr>
        <w:t>interest, in addition to that amount and that interest, is payable to the person, at the rate of 5% per annum, out of the Fund on that amount, or on that part of that amount, as the case may be, in respect of that period first mentioned in paragraph (b).</w:t>
      </w:r>
    </w:p>
    <w:p w14:paraId="5AE3625E" w14:textId="77777777" w:rsidR="00E93F58" w:rsidRPr="00A35C95" w:rsidRDefault="00E93F58" w:rsidP="00366AB5">
      <w:pPr>
        <w:pStyle w:val="ActHead5"/>
        <w:tabs>
          <w:tab w:val="left" w:pos="2835"/>
        </w:tabs>
      </w:pPr>
      <w:bookmarkStart w:id="812" w:name="_Toc152057980"/>
      <w:bookmarkStart w:id="813" w:name="_Toc158712203"/>
      <w:r w:rsidRPr="00844D11">
        <w:rPr>
          <w:rStyle w:val="CharSectno"/>
        </w:rPr>
        <w:t>7.5.80</w:t>
      </w:r>
      <w:r w:rsidRPr="00A35C95">
        <w:t xml:space="preserve">  SEGC to notify claimant if claim disallowed</w:t>
      </w:r>
      <w:bookmarkEnd w:id="812"/>
      <w:bookmarkEnd w:id="813"/>
    </w:p>
    <w:p w14:paraId="6041A436" w14:textId="77777777" w:rsidR="00E93F58" w:rsidRPr="00A35C95" w:rsidRDefault="00E93F58" w:rsidP="00366AB5">
      <w:pPr>
        <w:pStyle w:val="subsection"/>
        <w:tabs>
          <w:tab w:val="left" w:pos="2835"/>
        </w:tabs>
      </w:pPr>
      <w:r w:rsidRPr="00A35C95">
        <w:rPr>
          <w:color w:val="000000"/>
        </w:rPr>
        <w:tab/>
      </w:r>
      <w:r w:rsidRPr="00A35C95">
        <w:rPr>
          <w:color w:val="000000"/>
        </w:rPr>
        <w:tab/>
        <w:t>The SEGC must, after wholly or partly disallowing a claim, serve on the claimant, or on the claimant’s solicitor, notice of the disallowance using Form 721.</w:t>
      </w:r>
    </w:p>
    <w:p w14:paraId="51459351" w14:textId="77777777" w:rsidR="00E93F58" w:rsidRPr="00A35C95" w:rsidRDefault="00E93F58" w:rsidP="00366AB5">
      <w:pPr>
        <w:pStyle w:val="ActHead5"/>
        <w:tabs>
          <w:tab w:val="left" w:pos="2835"/>
        </w:tabs>
      </w:pPr>
      <w:bookmarkStart w:id="814" w:name="_Toc152057981"/>
      <w:bookmarkStart w:id="815" w:name="_Toc158712204"/>
      <w:r w:rsidRPr="00844D11">
        <w:rPr>
          <w:rStyle w:val="CharSectno"/>
        </w:rPr>
        <w:t>7.5.81</w:t>
      </w:r>
      <w:r w:rsidRPr="00A35C95">
        <w:t xml:space="preserve">  Arbitration of amount of cash settlement of certain claims</w:t>
      </w:r>
      <w:bookmarkEnd w:id="814"/>
      <w:bookmarkEnd w:id="815"/>
    </w:p>
    <w:p w14:paraId="7531733F" w14:textId="77777777" w:rsidR="00E93F58" w:rsidRPr="00A35C95" w:rsidRDefault="00E93F58" w:rsidP="00366AB5">
      <w:pPr>
        <w:pStyle w:val="subsection"/>
        <w:tabs>
          <w:tab w:val="left" w:pos="2835"/>
        </w:tabs>
      </w:pPr>
      <w:r w:rsidRPr="00A35C95">
        <w:rPr>
          <w:color w:val="000000"/>
        </w:rPr>
        <w:tab/>
        <w:t>(1)</w:t>
      </w:r>
      <w:r w:rsidRPr="00A35C95">
        <w:rPr>
          <w:color w:val="000000"/>
        </w:rPr>
        <w:tab/>
        <w:t>If:</w:t>
      </w:r>
    </w:p>
    <w:p w14:paraId="051F3C84" w14:textId="77777777" w:rsidR="00E93F58" w:rsidRPr="00A35C95" w:rsidRDefault="00E93F58" w:rsidP="00366AB5">
      <w:pPr>
        <w:pStyle w:val="paragraph"/>
        <w:tabs>
          <w:tab w:val="left" w:pos="2835"/>
        </w:tabs>
      </w:pPr>
      <w:r w:rsidRPr="00A35C95">
        <w:rPr>
          <w:color w:val="000000"/>
        </w:rPr>
        <w:tab/>
        <w:t>(a)</w:t>
      </w:r>
      <w:r w:rsidRPr="00A35C95">
        <w:rPr>
          <w:color w:val="000000"/>
        </w:rPr>
        <w:tab/>
        <w:t>a cash settlement provision requires the SEGC to pay an amount in respect of a claim; and</w:t>
      </w:r>
    </w:p>
    <w:p w14:paraId="1A61348D" w14:textId="77777777" w:rsidR="00E93F58" w:rsidRPr="00A35C95" w:rsidRDefault="00E93F58" w:rsidP="00366AB5">
      <w:pPr>
        <w:pStyle w:val="paragraph"/>
        <w:tabs>
          <w:tab w:val="left" w:pos="2835"/>
        </w:tabs>
      </w:pPr>
      <w:r w:rsidRPr="00A35C95">
        <w:tab/>
        <w:t>(b)</w:t>
      </w:r>
      <w:r w:rsidRPr="00A35C95">
        <w:tab/>
        <w:t>the amount cannot be determined by agreement between the SEGC and the claimant;</w:t>
      </w:r>
    </w:p>
    <w:p w14:paraId="1E29B93A" w14:textId="77777777" w:rsidR="00E93F58" w:rsidRPr="00A35C95" w:rsidRDefault="00E93F58" w:rsidP="00366AB5">
      <w:pPr>
        <w:pStyle w:val="subsection2"/>
        <w:tabs>
          <w:tab w:val="left" w:pos="2835"/>
        </w:tabs>
      </w:pPr>
      <w:r w:rsidRPr="00A35C95">
        <w:rPr>
          <w:color w:val="000000"/>
        </w:rPr>
        <w:t>the amount must be determined by arbitration in accordance with this regulation.</w:t>
      </w:r>
    </w:p>
    <w:p w14:paraId="41B39BCB" w14:textId="77777777" w:rsidR="00E93F58" w:rsidRPr="00A35C95" w:rsidRDefault="00E93F58" w:rsidP="00366AB5">
      <w:pPr>
        <w:pStyle w:val="subsection"/>
        <w:tabs>
          <w:tab w:val="left" w:pos="2835"/>
        </w:tabs>
      </w:pPr>
      <w:r w:rsidRPr="00A35C95">
        <w:rPr>
          <w:color w:val="000000"/>
        </w:rPr>
        <w:tab/>
        <w:t>(2)</w:t>
      </w:r>
      <w:r w:rsidRPr="00A35C95">
        <w:rPr>
          <w:color w:val="000000"/>
        </w:rPr>
        <w:tab/>
        <w:t>If:</w:t>
      </w:r>
    </w:p>
    <w:p w14:paraId="226C9DA7" w14:textId="77777777" w:rsidR="00E93F58" w:rsidRPr="00A35C95" w:rsidRDefault="00E93F58" w:rsidP="00366AB5">
      <w:pPr>
        <w:pStyle w:val="paragraph"/>
        <w:tabs>
          <w:tab w:val="left" w:pos="2835"/>
        </w:tabs>
      </w:pPr>
      <w:r w:rsidRPr="00A35C95">
        <w:rPr>
          <w:color w:val="000000"/>
        </w:rPr>
        <w:tab/>
        <w:t>(a)</w:t>
      </w:r>
      <w:r w:rsidRPr="00A35C95">
        <w:rPr>
          <w:color w:val="000000"/>
        </w:rPr>
        <w:tab/>
        <w:t>in relation to a claim, paragraph 7.5.77(3)(c), (5)(c) or (6)(c) requires the SEGC to work out the value of securities, or the number of securities that are equal in value to another value or amount; and</w:t>
      </w:r>
    </w:p>
    <w:p w14:paraId="3BE8E084" w14:textId="77777777" w:rsidR="00E93F58" w:rsidRPr="00A35C95" w:rsidRDefault="00E93F58" w:rsidP="00366AB5">
      <w:pPr>
        <w:pStyle w:val="paragraph"/>
        <w:tabs>
          <w:tab w:val="left" w:pos="2835"/>
        </w:tabs>
      </w:pPr>
      <w:r w:rsidRPr="00A35C95">
        <w:tab/>
        <w:t>(b)</w:t>
      </w:r>
      <w:r w:rsidRPr="00A35C95">
        <w:tab/>
        <w:t>the value or number cannot be determined by agreement between the SEGC and the claimant;</w:t>
      </w:r>
    </w:p>
    <w:p w14:paraId="6FFA016A" w14:textId="77777777" w:rsidR="00E93F58" w:rsidRPr="00A35C95" w:rsidRDefault="00E93F58" w:rsidP="00366AB5">
      <w:pPr>
        <w:pStyle w:val="subsection2"/>
        <w:tabs>
          <w:tab w:val="left" w:pos="2835"/>
        </w:tabs>
      </w:pPr>
      <w:r w:rsidRPr="00A35C95">
        <w:rPr>
          <w:color w:val="000000"/>
        </w:rPr>
        <w:t>the value or number is to be determined by arbitration in accordance with this regulation.</w:t>
      </w:r>
    </w:p>
    <w:p w14:paraId="65153B10" w14:textId="77777777" w:rsidR="00E93F58" w:rsidRPr="00A35C95" w:rsidRDefault="00E93F58" w:rsidP="00366AB5">
      <w:pPr>
        <w:pStyle w:val="subsection"/>
        <w:tabs>
          <w:tab w:val="left" w:pos="2835"/>
        </w:tabs>
      </w:pPr>
      <w:r w:rsidRPr="00A35C95">
        <w:rPr>
          <w:color w:val="000000"/>
        </w:rPr>
        <w:tab/>
        <w:t>(3)</w:t>
      </w:r>
      <w:r w:rsidRPr="00A35C95">
        <w:rPr>
          <w:color w:val="000000"/>
        </w:rPr>
        <w:tab/>
        <w:t>The reference to arbitration is a reference to persons appointed, in accordance with subregulation (4), for the purposes of the reference.</w:t>
      </w:r>
    </w:p>
    <w:p w14:paraId="7A87C2E1" w14:textId="77777777" w:rsidR="00E93F58" w:rsidRPr="00A35C95" w:rsidRDefault="00E93F58" w:rsidP="00366AB5">
      <w:pPr>
        <w:pStyle w:val="subsection"/>
        <w:tabs>
          <w:tab w:val="left" w:pos="2835"/>
        </w:tabs>
      </w:pPr>
      <w:r w:rsidRPr="00A35C95">
        <w:tab/>
        <w:t>(4)</w:t>
      </w:r>
      <w:r w:rsidRPr="00A35C95">
        <w:tab/>
        <w:t>For the purposes of the reference to arbitration:</w:t>
      </w:r>
    </w:p>
    <w:p w14:paraId="454C2B6C" w14:textId="77777777" w:rsidR="00E93F58" w:rsidRPr="00A35C95" w:rsidRDefault="00E93F58" w:rsidP="00366AB5">
      <w:pPr>
        <w:pStyle w:val="paragraph"/>
        <w:tabs>
          <w:tab w:val="left" w:pos="2835"/>
        </w:tabs>
      </w:pPr>
      <w:r w:rsidRPr="00A35C95">
        <w:tab/>
        <w:t>(a)</w:t>
      </w:r>
      <w:r w:rsidRPr="00A35C95">
        <w:tab/>
        <w:t>if the claim relates to a participating market licensee—the participating market licensee must make the appointment, or the participating market licensees must jointly make the appointment; and</w:t>
      </w:r>
    </w:p>
    <w:p w14:paraId="162AA77A" w14:textId="77777777" w:rsidR="00E93F58" w:rsidRPr="00A35C95" w:rsidRDefault="00E93F58" w:rsidP="00366AB5">
      <w:pPr>
        <w:pStyle w:val="paragraph"/>
        <w:tabs>
          <w:tab w:val="left" w:pos="2835"/>
        </w:tabs>
      </w:pPr>
      <w:r w:rsidRPr="00A35C95">
        <w:tab/>
        <w:t>(aa)</w:t>
      </w:r>
      <w:r w:rsidRPr="00A35C95">
        <w:tab/>
        <w:t>if the claim relates to the licensed CS facility operated by ACH—ACH must make the appointment; and</w:t>
      </w:r>
    </w:p>
    <w:p w14:paraId="7D67B39B" w14:textId="77777777" w:rsidR="00E93F58" w:rsidRPr="00A35C95" w:rsidRDefault="00E93F58" w:rsidP="00366AB5">
      <w:pPr>
        <w:pStyle w:val="paragraph"/>
        <w:tabs>
          <w:tab w:val="left" w:pos="2835"/>
        </w:tabs>
      </w:pPr>
      <w:r w:rsidRPr="00A35C95">
        <w:tab/>
        <w:t>(ab)</w:t>
      </w:r>
      <w:r w:rsidRPr="00A35C95">
        <w:tab/>
        <w:t>if the claim relates to a participating market licensee and to the licensed CS facility operated by ACH—the participating market licensee and ACH must jointly make the appointment; and</w:t>
      </w:r>
    </w:p>
    <w:p w14:paraId="0E623BAB" w14:textId="77777777" w:rsidR="00E93F58" w:rsidRPr="00A35C95" w:rsidRDefault="00E93F58" w:rsidP="00366AB5">
      <w:pPr>
        <w:pStyle w:val="paragraph"/>
        <w:tabs>
          <w:tab w:val="left" w:pos="2835"/>
        </w:tabs>
        <w:rPr>
          <w:color w:val="000000"/>
        </w:rPr>
      </w:pPr>
      <w:r w:rsidRPr="00A35C95">
        <w:rPr>
          <w:color w:val="000000"/>
        </w:rPr>
        <w:tab/>
        <w:t>(b)</w:t>
      </w:r>
      <w:r w:rsidRPr="00A35C95">
        <w:rPr>
          <w:color w:val="000000"/>
        </w:rPr>
        <w:tab/>
        <w:t>3 persons must be appointed; and</w:t>
      </w:r>
    </w:p>
    <w:p w14:paraId="6997DA6C" w14:textId="77777777" w:rsidR="00E93F58" w:rsidRPr="00A35C95" w:rsidRDefault="00E93F58" w:rsidP="00366AB5">
      <w:pPr>
        <w:pStyle w:val="paragraph"/>
        <w:tabs>
          <w:tab w:val="left" w:pos="2835"/>
        </w:tabs>
        <w:rPr>
          <w:color w:val="000000"/>
        </w:rPr>
      </w:pPr>
      <w:r w:rsidRPr="00A35C95">
        <w:rPr>
          <w:color w:val="000000"/>
        </w:rPr>
        <w:tab/>
        <w:t>(c)</w:t>
      </w:r>
      <w:r w:rsidRPr="00A35C95">
        <w:rPr>
          <w:color w:val="000000"/>
        </w:rPr>
        <w:tab/>
        <w:t>the Minister must have approved the appointment of each person in writing; and</w:t>
      </w:r>
    </w:p>
    <w:p w14:paraId="01A35022" w14:textId="77777777" w:rsidR="00E93F58" w:rsidRPr="00A35C95" w:rsidRDefault="00E93F58" w:rsidP="00366AB5">
      <w:pPr>
        <w:pStyle w:val="paragraph"/>
        <w:tabs>
          <w:tab w:val="left" w:pos="2835"/>
        </w:tabs>
      </w:pPr>
      <w:r w:rsidRPr="00A35C95">
        <w:tab/>
        <w:t>(d)</w:t>
      </w:r>
      <w:r w:rsidRPr="00A35C95">
        <w:tab/>
        <w:t>at least 2 of the persons must not be any of the following:</w:t>
      </w:r>
    </w:p>
    <w:p w14:paraId="7145D53B" w14:textId="77777777" w:rsidR="00E93F58" w:rsidRPr="00A35C95" w:rsidRDefault="00E93F58" w:rsidP="00366AB5">
      <w:pPr>
        <w:pStyle w:val="paragraphsub"/>
        <w:tabs>
          <w:tab w:val="left" w:pos="2835"/>
        </w:tabs>
      </w:pPr>
      <w:r w:rsidRPr="00A35C95">
        <w:tab/>
        <w:t>(i)</w:t>
      </w:r>
      <w:r w:rsidRPr="00A35C95">
        <w:tab/>
        <w:t>if the claim relates to a participating market licensee:</w:t>
      </w:r>
    </w:p>
    <w:p w14:paraId="1F123112" w14:textId="77777777" w:rsidR="00E93F58" w:rsidRPr="00A35C95" w:rsidRDefault="00E93F58" w:rsidP="00366AB5">
      <w:pPr>
        <w:pStyle w:val="paragraphsub-sub"/>
        <w:tabs>
          <w:tab w:val="left" w:pos="2835"/>
        </w:tabs>
      </w:pPr>
      <w:r w:rsidRPr="00A35C95">
        <w:tab/>
        <w:t>(A)</w:t>
      </w:r>
      <w:r w:rsidRPr="00A35C95">
        <w:tab/>
        <w:t>a representative of the participating market licensee;</w:t>
      </w:r>
    </w:p>
    <w:p w14:paraId="17F14F7E" w14:textId="77777777" w:rsidR="00E93F58" w:rsidRPr="00A35C95" w:rsidRDefault="00E93F58" w:rsidP="00366AB5">
      <w:pPr>
        <w:pStyle w:val="paragraphsub-sub"/>
        <w:tabs>
          <w:tab w:val="left" w:pos="2835"/>
        </w:tabs>
      </w:pPr>
      <w:r w:rsidRPr="00A35C95">
        <w:tab/>
        <w:t>(B)</w:t>
      </w:r>
      <w:r w:rsidRPr="00A35C95">
        <w:tab/>
        <w:t>a participant of the participating market licensee;</w:t>
      </w:r>
    </w:p>
    <w:p w14:paraId="1F8340FC" w14:textId="77777777" w:rsidR="00E93F58" w:rsidRPr="00A35C95" w:rsidRDefault="00E93F58" w:rsidP="00366AB5">
      <w:pPr>
        <w:pStyle w:val="paragraphsub-sub"/>
        <w:tabs>
          <w:tab w:val="left" w:pos="2835"/>
        </w:tabs>
      </w:pPr>
      <w:r w:rsidRPr="00A35C95">
        <w:tab/>
        <w:t>(C)</w:t>
      </w:r>
      <w:r w:rsidRPr="00A35C95">
        <w:tab/>
        <w:t>a representative of a participant of the participating market licensee;</w:t>
      </w:r>
    </w:p>
    <w:p w14:paraId="0960BD78" w14:textId="77777777" w:rsidR="00E93F58" w:rsidRPr="00A35C95" w:rsidRDefault="00E93F58" w:rsidP="00366AB5">
      <w:pPr>
        <w:pStyle w:val="paragraphsub"/>
        <w:tabs>
          <w:tab w:val="left" w:pos="2835"/>
        </w:tabs>
      </w:pPr>
      <w:r w:rsidRPr="00A35C95">
        <w:tab/>
        <w:t>(ii)</w:t>
      </w:r>
      <w:r w:rsidRPr="00A35C95">
        <w:tab/>
        <w:t>if the claim relates to the licensed CS facility operated by ACH:</w:t>
      </w:r>
    </w:p>
    <w:p w14:paraId="5F5167BA" w14:textId="77777777" w:rsidR="00E93F58" w:rsidRPr="00A35C95" w:rsidRDefault="00E93F58" w:rsidP="00366AB5">
      <w:pPr>
        <w:pStyle w:val="paragraphsub-sub"/>
        <w:tabs>
          <w:tab w:val="left" w:pos="2835"/>
        </w:tabs>
      </w:pPr>
      <w:r w:rsidRPr="00A35C95">
        <w:tab/>
        <w:t>(A)</w:t>
      </w:r>
      <w:r w:rsidRPr="00A35C95">
        <w:tab/>
        <w:t>a representative of ACH;</w:t>
      </w:r>
    </w:p>
    <w:p w14:paraId="5105412E" w14:textId="77777777" w:rsidR="00E93F58" w:rsidRPr="00A35C95" w:rsidRDefault="00E93F58" w:rsidP="00366AB5">
      <w:pPr>
        <w:pStyle w:val="paragraphsub-sub"/>
        <w:tabs>
          <w:tab w:val="left" w:pos="2835"/>
        </w:tabs>
      </w:pPr>
      <w:r w:rsidRPr="00A35C95">
        <w:tab/>
        <w:t>(B)</w:t>
      </w:r>
      <w:r w:rsidRPr="00A35C95">
        <w:tab/>
        <w:t>a participant of the licensed CS facility;</w:t>
      </w:r>
    </w:p>
    <w:p w14:paraId="51A27028" w14:textId="77777777" w:rsidR="00E93F58" w:rsidRPr="00A35C95" w:rsidRDefault="00E93F58" w:rsidP="00366AB5">
      <w:pPr>
        <w:pStyle w:val="paragraphsub-sub"/>
        <w:tabs>
          <w:tab w:val="left" w:pos="2835"/>
        </w:tabs>
      </w:pPr>
      <w:r w:rsidRPr="00A35C95">
        <w:tab/>
        <w:t>(C)</w:t>
      </w:r>
      <w:r w:rsidRPr="00A35C95">
        <w:tab/>
        <w:t>a representative of a participant of the licensed CS facility;</w:t>
      </w:r>
    </w:p>
    <w:p w14:paraId="5FB57E54" w14:textId="77777777" w:rsidR="00E93F58" w:rsidRPr="00A35C95" w:rsidRDefault="00E93F58" w:rsidP="00366AB5">
      <w:pPr>
        <w:pStyle w:val="paragraphsub"/>
        <w:tabs>
          <w:tab w:val="left" w:pos="2835"/>
        </w:tabs>
      </w:pPr>
      <w:r w:rsidRPr="00A35C95">
        <w:tab/>
        <w:t>(iii)</w:t>
      </w:r>
      <w:r w:rsidRPr="00A35C95">
        <w:tab/>
        <w:t>if the claim relates to a participating market licensee and to the licensed CS facility operated by ACH:</w:t>
      </w:r>
    </w:p>
    <w:p w14:paraId="50BC4783" w14:textId="77777777" w:rsidR="00E93F58" w:rsidRPr="00A35C95" w:rsidRDefault="00E93F58" w:rsidP="00366AB5">
      <w:pPr>
        <w:pStyle w:val="paragraphsub-sub"/>
        <w:tabs>
          <w:tab w:val="left" w:pos="2835"/>
        </w:tabs>
      </w:pPr>
      <w:r w:rsidRPr="00A35C95">
        <w:lastRenderedPageBreak/>
        <w:tab/>
        <w:t>(A)</w:t>
      </w:r>
      <w:r w:rsidRPr="00A35C95">
        <w:tab/>
        <w:t>a representative of the participating market licensee;</w:t>
      </w:r>
    </w:p>
    <w:p w14:paraId="6210551D" w14:textId="77777777" w:rsidR="00E93F58" w:rsidRPr="00A35C95" w:rsidRDefault="00E93F58" w:rsidP="00366AB5">
      <w:pPr>
        <w:pStyle w:val="paragraphsub-sub"/>
        <w:tabs>
          <w:tab w:val="left" w:pos="2835"/>
        </w:tabs>
      </w:pPr>
      <w:r w:rsidRPr="00A35C95">
        <w:tab/>
        <w:t>(B)</w:t>
      </w:r>
      <w:r w:rsidRPr="00A35C95">
        <w:tab/>
        <w:t>a participant of the participating market licensee;</w:t>
      </w:r>
    </w:p>
    <w:p w14:paraId="279E2249" w14:textId="77777777" w:rsidR="00E93F58" w:rsidRPr="00A35C95" w:rsidRDefault="00E93F58" w:rsidP="00366AB5">
      <w:pPr>
        <w:pStyle w:val="paragraphsub-sub"/>
        <w:tabs>
          <w:tab w:val="left" w:pos="2835"/>
        </w:tabs>
      </w:pPr>
      <w:r w:rsidRPr="00A35C95">
        <w:tab/>
        <w:t>(C)</w:t>
      </w:r>
      <w:r w:rsidRPr="00A35C95">
        <w:tab/>
        <w:t>a representative of a participant of the participating market licensee;</w:t>
      </w:r>
    </w:p>
    <w:p w14:paraId="789621CF" w14:textId="77777777" w:rsidR="00E93F58" w:rsidRPr="00A35C95" w:rsidRDefault="00E93F58" w:rsidP="00366AB5">
      <w:pPr>
        <w:pStyle w:val="paragraphsub-sub"/>
        <w:tabs>
          <w:tab w:val="left" w:pos="2835"/>
        </w:tabs>
      </w:pPr>
      <w:r w:rsidRPr="00A35C95">
        <w:tab/>
        <w:t>(D)</w:t>
      </w:r>
      <w:r w:rsidRPr="00A35C95">
        <w:tab/>
        <w:t>a representative of ACH;</w:t>
      </w:r>
    </w:p>
    <w:p w14:paraId="329BF37E" w14:textId="77777777" w:rsidR="00E93F58" w:rsidRPr="00A35C95" w:rsidRDefault="00E93F58" w:rsidP="00366AB5">
      <w:pPr>
        <w:pStyle w:val="paragraphsub-sub"/>
        <w:tabs>
          <w:tab w:val="left" w:pos="2835"/>
        </w:tabs>
      </w:pPr>
      <w:r w:rsidRPr="00A35C95">
        <w:tab/>
        <w:t>(E)</w:t>
      </w:r>
      <w:r w:rsidRPr="00A35C95">
        <w:tab/>
        <w:t>a participant of the licensed CS facility;</w:t>
      </w:r>
    </w:p>
    <w:p w14:paraId="23D8F4D4" w14:textId="77777777" w:rsidR="00E93F58" w:rsidRPr="00A35C95" w:rsidRDefault="00E93F58" w:rsidP="00366AB5">
      <w:pPr>
        <w:pStyle w:val="paragraphsub-sub"/>
        <w:tabs>
          <w:tab w:val="left" w:pos="2835"/>
        </w:tabs>
      </w:pPr>
      <w:r w:rsidRPr="00A35C95">
        <w:tab/>
        <w:t>(F)</w:t>
      </w:r>
      <w:r w:rsidRPr="00A35C95">
        <w:tab/>
        <w:t>a representative of a participant of the licensed CS facility;</w:t>
      </w:r>
    </w:p>
    <w:p w14:paraId="55352A81" w14:textId="77777777" w:rsidR="00E93F58" w:rsidRPr="00A35C95" w:rsidRDefault="00E93F58" w:rsidP="00366AB5">
      <w:pPr>
        <w:pStyle w:val="paragraphsub"/>
        <w:tabs>
          <w:tab w:val="left" w:pos="2835"/>
        </w:tabs>
      </w:pPr>
      <w:r w:rsidRPr="00A35C95">
        <w:tab/>
        <w:t>(iv)</w:t>
      </w:r>
      <w:r w:rsidRPr="00A35C95">
        <w:tab/>
        <w:t>in any case—a representative of the SEGC.</w:t>
      </w:r>
    </w:p>
    <w:p w14:paraId="73AC6742" w14:textId="77777777" w:rsidR="00E93F58" w:rsidRPr="00A35C95" w:rsidRDefault="00E93F58" w:rsidP="00366AB5">
      <w:pPr>
        <w:pStyle w:val="subsection"/>
        <w:tabs>
          <w:tab w:val="left" w:pos="2835"/>
        </w:tabs>
      </w:pPr>
      <w:r w:rsidRPr="00A35C95">
        <w:rPr>
          <w:color w:val="000000"/>
        </w:rPr>
        <w:tab/>
        <w:t>(5)</w:t>
      </w:r>
      <w:r w:rsidRPr="00A35C95">
        <w:rPr>
          <w:color w:val="000000"/>
        </w:rPr>
        <w:tab/>
        <w:t>If, before the commencement of this regulation, an arbitration:</w:t>
      </w:r>
    </w:p>
    <w:p w14:paraId="38024B5C" w14:textId="77777777" w:rsidR="00E93F58" w:rsidRPr="00A35C95" w:rsidRDefault="00E93F58" w:rsidP="00366AB5">
      <w:pPr>
        <w:pStyle w:val="paragraph"/>
        <w:tabs>
          <w:tab w:val="left" w:pos="2835"/>
        </w:tabs>
      </w:pPr>
      <w:r w:rsidRPr="00A35C95">
        <w:rPr>
          <w:color w:val="000000"/>
        </w:rPr>
        <w:tab/>
        <w:t>(a)</w:t>
      </w:r>
      <w:r w:rsidRPr="00A35C95">
        <w:rPr>
          <w:color w:val="000000"/>
        </w:rPr>
        <w:tab/>
        <w:t>was to take place but had not begun; or</w:t>
      </w:r>
    </w:p>
    <w:p w14:paraId="4B11CFFA" w14:textId="77777777" w:rsidR="00E93F58" w:rsidRPr="00A35C95" w:rsidRDefault="00E93F58" w:rsidP="00366AB5">
      <w:pPr>
        <w:pStyle w:val="paragraph"/>
        <w:tabs>
          <w:tab w:val="left" w:pos="2835"/>
        </w:tabs>
      </w:pPr>
      <w:r w:rsidRPr="00A35C95">
        <w:tab/>
        <w:t>(b)</w:t>
      </w:r>
      <w:r w:rsidRPr="00A35C95">
        <w:tab/>
        <w:t>had begun but had not been concluded;</w:t>
      </w:r>
    </w:p>
    <w:p w14:paraId="05649592" w14:textId="77777777" w:rsidR="00E93F58" w:rsidRPr="00A35C95" w:rsidRDefault="00E93F58" w:rsidP="00366AB5">
      <w:pPr>
        <w:pStyle w:val="subsection2"/>
        <w:tabs>
          <w:tab w:val="left" w:pos="2835"/>
        </w:tabs>
      </w:pPr>
      <w:r w:rsidRPr="00A35C95">
        <w:rPr>
          <w:color w:val="000000"/>
        </w:rPr>
        <w:t>the arbitration must take place, or continue, as if it were an arbitration under this regulation.</w:t>
      </w:r>
    </w:p>
    <w:p w14:paraId="7ECABD27" w14:textId="77777777" w:rsidR="00E93F58" w:rsidRPr="00A35C95" w:rsidRDefault="00E93F58" w:rsidP="00366AB5">
      <w:pPr>
        <w:pStyle w:val="subsection"/>
        <w:tabs>
          <w:tab w:val="left" w:pos="2835"/>
        </w:tabs>
      </w:pPr>
      <w:r w:rsidRPr="00A35C95">
        <w:rPr>
          <w:color w:val="000000"/>
        </w:rPr>
        <w:tab/>
        <w:t>(6)</w:t>
      </w:r>
      <w:r w:rsidRPr="00A35C95">
        <w:rPr>
          <w:color w:val="000000"/>
        </w:rPr>
        <w:tab/>
        <w:t>In this regulation:</w:t>
      </w:r>
    </w:p>
    <w:p w14:paraId="42C78D6F" w14:textId="77777777" w:rsidR="00E93F58" w:rsidRPr="00A35C95" w:rsidRDefault="00E93F58" w:rsidP="00366AB5">
      <w:pPr>
        <w:pStyle w:val="Definition"/>
        <w:tabs>
          <w:tab w:val="left" w:pos="2835"/>
        </w:tabs>
      </w:pPr>
      <w:r w:rsidRPr="00A35C95">
        <w:rPr>
          <w:b/>
          <w:i/>
          <w:color w:val="000000"/>
        </w:rPr>
        <w:t>cash settlement provision</w:t>
      </w:r>
      <w:r w:rsidRPr="00A35C95">
        <w:t xml:space="preserve"> means any of the following provisions:</w:t>
      </w:r>
    </w:p>
    <w:p w14:paraId="7C89B65C" w14:textId="77777777" w:rsidR="00E93F58" w:rsidRPr="00A35C95" w:rsidRDefault="00E93F58" w:rsidP="00366AB5">
      <w:pPr>
        <w:pStyle w:val="paragraph"/>
        <w:tabs>
          <w:tab w:val="left" w:pos="2835"/>
        </w:tabs>
      </w:pPr>
      <w:r w:rsidRPr="00A35C95">
        <w:rPr>
          <w:color w:val="000000"/>
        </w:rPr>
        <w:tab/>
        <w:t>(a)</w:t>
      </w:r>
      <w:r w:rsidRPr="00A35C95">
        <w:rPr>
          <w:color w:val="000000"/>
        </w:rPr>
        <w:tab/>
        <w:t>regulation 7.5.28;</w:t>
      </w:r>
    </w:p>
    <w:p w14:paraId="4A25DBDC" w14:textId="77777777" w:rsidR="00E93F58" w:rsidRPr="00A35C95" w:rsidRDefault="00E93F58" w:rsidP="00366AB5">
      <w:pPr>
        <w:pStyle w:val="paragraph"/>
        <w:tabs>
          <w:tab w:val="left" w:pos="2835"/>
        </w:tabs>
      </w:pPr>
      <w:r w:rsidRPr="00A35C95">
        <w:tab/>
        <w:t>(b)</w:t>
      </w:r>
      <w:r w:rsidRPr="00A35C95">
        <w:tab/>
        <w:t>regulation 7.5.29;</w:t>
      </w:r>
    </w:p>
    <w:p w14:paraId="29706B41" w14:textId="77777777" w:rsidR="00E93F58" w:rsidRPr="00A35C95" w:rsidRDefault="00E93F58" w:rsidP="00366AB5">
      <w:pPr>
        <w:pStyle w:val="paragraph"/>
        <w:tabs>
          <w:tab w:val="left" w:pos="2835"/>
        </w:tabs>
      </w:pPr>
      <w:r w:rsidRPr="00A35C95">
        <w:tab/>
        <w:t>(j)</w:t>
      </w:r>
      <w:r w:rsidRPr="00A35C95">
        <w:tab/>
        <w:t>regulation 7.5.57;</w:t>
      </w:r>
    </w:p>
    <w:p w14:paraId="58CF5868" w14:textId="77777777" w:rsidR="00E93F58" w:rsidRPr="00A35C95" w:rsidRDefault="00E93F58" w:rsidP="00366AB5">
      <w:pPr>
        <w:pStyle w:val="paragraph"/>
        <w:tabs>
          <w:tab w:val="left" w:pos="2835"/>
        </w:tabs>
      </w:pPr>
      <w:r w:rsidRPr="00A35C95">
        <w:tab/>
        <w:t>(k)</w:t>
      </w:r>
      <w:r w:rsidRPr="00A35C95">
        <w:tab/>
        <w:t>regulation 7.5.62;</w:t>
      </w:r>
    </w:p>
    <w:p w14:paraId="257F65AD" w14:textId="77777777" w:rsidR="00E93F58" w:rsidRPr="00A35C95" w:rsidRDefault="00E93F58" w:rsidP="00366AB5">
      <w:pPr>
        <w:pStyle w:val="paragraph"/>
        <w:tabs>
          <w:tab w:val="left" w:pos="2835"/>
        </w:tabs>
      </w:pPr>
      <w:r w:rsidRPr="00A35C95">
        <w:tab/>
        <w:t>(l)</w:t>
      </w:r>
      <w:r w:rsidRPr="00A35C95">
        <w:tab/>
        <w:t>subregulation 7.5.65(1);</w:t>
      </w:r>
    </w:p>
    <w:p w14:paraId="236C53CC" w14:textId="77777777" w:rsidR="00E93F58" w:rsidRPr="00A35C95" w:rsidRDefault="00E93F58" w:rsidP="00366AB5">
      <w:pPr>
        <w:pStyle w:val="paragraph"/>
        <w:tabs>
          <w:tab w:val="left" w:pos="2835"/>
        </w:tabs>
      </w:pPr>
      <w:r w:rsidRPr="00A35C95">
        <w:tab/>
        <w:t>(m)</w:t>
      </w:r>
      <w:r w:rsidRPr="00A35C95">
        <w:tab/>
        <w:t>subregulation 7.5.65(2).</w:t>
      </w:r>
    </w:p>
    <w:p w14:paraId="0DD78A8F" w14:textId="77777777" w:rsidR="00E93F58" w:rsidRPr="00A35C95" w:rsidRDefault="00E93F58" w:rsidP="00366AB5">
      <w:pPr>
        <w:pStyle w:val="ActHead5"/>
        <w:tabs>
          <w:tab w:val="left" w:pos="2835"/>
        </w:tabs>
      </w:pPr>
      <w:bookmarkStart w:id="816" w:name="_Toc152057982"/>
      <w:bookmarkStart w:id="817" w:name="_Toc158712205"/>
      <w:r w:rsidRPr="00844D11">
        <w:rPr>
          <w:rStyle w:val="CharSectno"/>
        </w:rPr>
        <w:t>7.5.82</w:t>
      </w:r>
      <w:r w:rsidRPr="00A35C95">
        <w:t xml:space="preserve">  Instalment payments</w:t>
      </w:r>
      <w:bookmarkEnd w:id="816"/>
      <w:bookmarkEnd w:id="817"/>
    </w:p>
    <w:p w14:paraId="20EB5470" w14:textId="77777777" w:rsidR="00E93F58" w:rsidRPr="00A35C95" w:rsidRDefault="00E93F58" w:rsidP="00366AB5">
      <w:pPr>
        <w:pStyle w:val="subsection"/>
        <w:tabs>
          <w:tab w:val="left" w:pos="2835"/>
        </w:tabs>
      </w:pPr>
      <w:r w:rsidRPr="00A35C95">
        <w:rPr>
          <w:color w:val="000000"/>
        </w:rPr>
        <w:tab/>
        <w:t>(1)</w:t>
      </w:r>
      <w:r w:rsidRPr="00A35C95">
        <w:rPr>
          <w:color w:val="000000"/>
        </w:rPr>
        <w:tab/>
        <w:t>This regulation applies if, at a particular time, the SEGC is of the opinion that, if all the amounts that, as at that time, are payable out of the Fund in connection with claims were so paid, the Fund would be exhausted or substantially depleted.</w:t>
      </w:r>
    </w:p>
    <w:p w14:paraId="7F1300E9" w14:textId="77777777" w:rsidR="00E93F58" w:rsidRPr="00A35C95" w:rsidRDefault="00E93F58" w:rsidP="00366AB5">
      <w:pPr>
        <w:pStyle w:val="subsection"/>
        <w:tabs>
          <w:tab w:val="left" w:pos="2835"/>
        </w:tabs>
      </w:pPr>
      <w:r w:rsidRPr="00A35C95">
        <w:rPr>
          <w:color w:val="000000"/>
        </w:rPr>
        <w:tab/>
        <w:t>(2)</w:t>
      </w:r>
      <w:r w:rsidRPr="00A35C95">
        <w:rPr>
          <w:color w:val="000000"/>
        </w:rPr>
        <w:tab/>
        <w:t>The SEGC may determine in writing that amounts so payable as at that time must be so paid in instalments of specified amounts payable on specified days.</w:t>
      </w:r>
    </w:p>
    <w:p w14:paraId="1716DBA4" w14:textId="77777777" w:rsidR="00E93F58" w:rsidRPr="00A35C95" w:rsidRDefault="00E93F58" w:rsidP="00366AB5">
      <w:pPr>
        <w:pStyle w:val="ActHead5"/>
        <w:tabs>
          <w:tab w:val="left" w:pos="2835"/>
        </w:tabs>
      </w:pPr>
      <w:bookmarkStart w:id="818" w:name="_Toc152057983"/>
      <w:bookmarkStart w:id="819" w:name="_Toc158712206"/>
      <w:r w:rsidRPr="00844D11">
        <w:rPr>
          <w:rStyle w:val="CharSectno"/>
        </w:rPr>
        <w:t>7.5.83</w:t>
      </w:r>
      <w:r w:rsidRPr="00A35C95">
        <w:rPr>
          <w:sz w:val="16"/>
        </w:rPr>
        <w:t xml:space="preserve">  </w:t>
      </w:r>
      <w:r w:rsidRPr="00A35C95">
        <w:t>Notification of payment of levies</w:t>
      </w:r>
      <w:bookmarkEnd w:id="818"/>
      <w:bookmarkEnd w:id="819"/>
    </w:p>
    <w:p w14:paraId="62F4D2C1" w14:textId="77777777" w:rsidR="00E93F58" w:rsidRPr="00A35C95" w:rsidRDefault="00E93F58" w:rsidP="00366AB5">
      <w:pPr>
        <w:pStyle w:val="subsection"/>
        <w:tabs>
          <w:tab w:val="left" w:pos="2835"/>
        </w:tabs>
      </w:pPr>
      <w:r w:rsidRPr="00A35C95">
        <w:rPr>
          <w:color w:val="000000"/>
        </w:rPr>
        <w:tab/>
      </w:r>
      <w:r w:rsidRPr="00A35C95">
        <w:rPr>
          <w:color w:val="000000"/>
        </w:rPr>
        <w:tab/>
        <w:t>For subsection 889J(7) of the Act, a notification to the Commonwealth of payments of levy received by the operator of a financial market as agent for the Commonwealth must:</w:t>
      </w:r>
    </w:p>
    <w:p w14:paraId="65462E72" w14:textId="77777777" w:rsidR="00E93F58" w:rsidRPr="00A35C95" w:rsidRDefault="00E93F58" w:rsidP="00366AB5">
      <w:pPr>
        <w:pStyle w:val="paragraph"/>
        <w:tabs>
          <w:tab w:val="left" w:pos="2835"/>
        </w:tabs>
      </w:pPr>
      <w:r w:rsidRPr="00A35C95">
        <w:rPr>
          <w:color w:val="000000"/>
        </w:rPr>
        <w:tab/>
        <w:t>(a)</w:t>
      </w:r>
      <w:r w:rsidRPr="00A35C95">
        <w:rPr>
          <w:color w:val="000000"/>
        </w:rPr>
        <w:tab/>
        <w:t>be given for each period of 6 months ending on 31 December and 30 June; and</w:t>
      </w:r>
    </w:p>
    <w:p w14:paraId="5070C0AD" w14:textId="77777777" w:rsidR="00E93F58" w:rsidRPr="00A35C95" w:rsidRDefault="00E93F58" w:rsidP="00366AB5">
      <w:pPr>
        <w:pStyle w:val="paragraph"/>
        <w:tabs>
          <w:tab w:val="left" w:pos="2835"/>
        </w:tabs>
      </w:pPr>
      <w:r w:rsidRPr="00A35C95">
        <w:tab/>
        <w:t>(b)</w:t>
      </w:r>
      <w:r w:rsidRPr="00A35C95">
        <w:tab/>
        <w:t>be given in writing to:</w:t>
      </w:r>
    </w:p>
    <w:p w14:paraId="109C90F4"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the Secretary of the Department of </w:t>
      </w:r>
      <w:r w:rsidRPr="00A35C95">
        <w:t>the Treasury;</w:t>
      </w:r>
      <w:r w:rsidRPr="00A35C95">
        <w:rPr>
          <w:color w:val="000000"/>
        </w:rPr>
        <w:t xml:space="preserve"> or</w:t>
      </w:r>
    </w:p>
    <w:p w14:paraId="6171ADE4" w14:textId="77777777" w:rsidR="00E93F58" w:rsidRPr="00A35C95" w:rsidRDefault="00E93F58" w:rsidP="00366AB5">
      <w:pPr>
        <w:pStyle w:val="paragraphsub"/>
        <w:tabs>
          <w:tab w:val="left" w:pos="2835"/>
        </w:tabs>
      </w:pPr>
      <w:r w:rsidRPr="00A35C95">
        <w:tab/>
        <w:t>(ii)</w:t>
      </w:r>
      <w:r w:rsidRPr="00A35C95">
        <w:tab/>
        <w:t>another officer of that Department notified in writing by the Secretary to the receiver of the levy; and</w:t>
      </w:r>
    </w:p>
    <w:p w14:paraId="6128E815" w14:textId="77777777" w:rsidR="00E93F58" w:rsidRPr="00A35C95" w:rsidRDefault="00E93F58" w:rsidP="00366AB5">
      <w:pPr>
        <w:pStyle w:val="paragraph"/>
        <w:tabs>
          <w:tab w:val="left" w:pos="2835"/>
        </w:tabs>
      </w:pPr>
      <w:r w:rsidRPr="00A35C95">
        <w:rPr>
          <w:color w:val="000000"/>
        </w:rPr>
        <w:tab/>
        <w:t>(c)</w:t>
      </w:r>
      <w:r w:rsidRPr="00A35C95">
        <w:rPr>
          <w:color w:val="000000"/>
        </w:rPr>
        <w:tab/>
        <w:t>set out the total of the levies (if any) that became payable in the period; and</w:t>
      </w:r>
    </w:p>
    <w:p w14:paraId="795C48D0" w14:textId="77777777" w:rsidR="00E93F58" w:rsidRPr="00A35C95" w:rsidRDefault="00E93F58" w:rsidP="00366AB5">
      <w:pPr>
        <w:pStyle w:val="paragraph"/>
        <w:tabs>
          <w:tab w:val="left" w:pos="2835"/>
        </w:tabs>
      </w:pPr>
      <w:r w:rsidRPr="00A35C95">
        <w:tab/>
        <w:t>(d)</w:t>
      </w:r>
      <w:r w:rsidRPr="00A35C95">
        <w:tab/>
        <w:t>set out the total of the levies (if any) received in the period; and</w:t>
      </w:r>
    </w:p>
    <w:p w14:paraId="646255F0" w14:textId="77777777" w:rsidR="00E93F58" w:rsidRPr="00A35C95" w:rsidRDefault="00E93F58" w:rsidP="00366AB5">
      <w:pPr>
        <w:pStyle w:val="paragraph"/>
        <w:tabs>
          <w:tab w:val="left" w:pos="2835"/>
        </w:tabs>
      </w:pPr>
      <w:r w:rsidRPr="00A35C95">
        <w:tab/>
        <w:t>(e)</w:t>
      </w:r>
      <w:r w:rsidRPr="00A35C95">
        <w:tab/>
        <w:t>be given not later than 2 weeks after the end of the period.</w:t>
      </w:r>
    </w:p>
    <w:p w14:paraId="2B87B420" w14:textId="77777777" w:rsidR="00E93F58" w:rsidRPr="00A35C95" w:rsidRDefault="00E93F58" w:rsidP="00366AB5">
      <w:pPr>
        <w:pStyle w:val="ActHead5"/>
        <w:tabs>
          <w:tab w:val="left" w:pos="2835"/>
        </w:tabs>
      </w:pPr>
      <w:bookmarkStart w:id="820" w:name="_Toc152057984"/>
      <w:bookmarkStart w:id="821" w:name="_Toc158712207"/>
      <w:r w:rsidRPr="00844D11">
        <w:rPr>
          <w:rStyle w:val="CharSectno"/>
        </w:rPr>
        <w:t>7.5.84</w:t>
      </w:r>
      <w:r w:rsidRPr="00A35C95">
        <w:rPr>
          <w:sz w:val="16"/>
        </w:rPr>
        <w:t xml:space="preserve">  </w:t>
      </w:r>
      <w:r w:rsidRPr="00A35C95">
        <w:t>Notification of payment of levies</w:t>
      </w:r>
      <w:bookmarkEnd w:id="820"/>
      <w:bookmarkEnd w:id="821"/>
    </w:p>
    <w:p w14:paraId="10160499" w14:textId="77777777" w:rsidR="00E93F58" w:rsidRPr="00A35C95" w:rsidRDefault="00E93F58" w:rsidP="00366AB5">
      <w:pPr>
        <w:pStyle w:val="subsection"/>
        <w:tabs>
          <w:tab w:val="left" w:pos="2835"/>
        </w:tabs>
      </w:pPr>
      <w:r w:rsidRPr="00A35C95">
        <w:rPr>
          <w:color w:val="000000"/>
        </w:rPr>
        <w:tab/>
      </w:r>
      <w:r w:rsidRPr="00A35C95">
        <w:rPr>
          <w:color w:val="000000"/>
        </w:rPr>
        <w:tab/>
        <w:t>For subsection 889K(6) of the Act, a notification to the Commonwealth of payments of levy received by an operator of a financial market as agent for the Commonwealth must:</w:t>
      </w:r>
    </w:p>
    <w:p w14:paraId="37BB144F" w14:textId="77777777" w:rsidR="00E93F58" w:rsidRPr="00A35C95" w:rsidRDefault="00E93F58" w:rsidP="00366AB5">
      <w:pPr>
        <w:pStyle w:val="paragraph"/>
        <w:tabs>
          <w:tab w:val="left" w:pos="2835"/>
        </w:tabs>
      </w:pPr>
      <w:r w:rsidRPr="00A35C95">
        <w:rPr>
          <w:color w:val="000000"/>
        </w:rPr>
        <w:tab/>
        <w:t>(a)</w:t>
      </w:r>
      <w:r w:rsidRPr="00A35C95">
        <w:rPr>
          <w:color w:val="000000"/>
        </w:rPr>
        <w:tab/>
        <w:t>be given for each period of 6 months ending on 31 December and 30 June; and</w:t>
      </w:r>
    </w:p>
    <w:p w14:paraId="1F06F36B" w14:textId="77777777" w:rsidR="00E93F58" w:rsidRPr="00A35C95" w:rsidRDefault="00E93F58" w:rsidP="00366AB5">
      <w:pPr>
        <w:pStyle w:val="paragraph"/>
        <w:tabs>
          <w:tab w:val="left" w:pos="2835"/>
        </w:tabs>
      </w:pPr>
      <w:r w:rsidRPr="00A35C95">
        <w:tab/>
        <w:t>(b)</w:t>
      </w:r>
      <w:r w:rsidRPr="00A35C95">
        <w:tab/>
        <w:t>be given in writing to:</w:t>
      </w:r>
    </w:p>
    <w:p w14:paraId="68B505BE" w14:textId="77777777" w:rsidR="00E93F58" w:rsidRPr="00A35C95" w:rsidRDefault="00E93F58" w:rsidP="00366AB5">
      <w:pPr>
        <w:pStyle w:val="paragraphsub"/>
        <w:tabs>
          <w:tab w:val="left" w:pos="2835"/>
        </w:tabs>
      </w:pPr>
      <w:r w:rsidRPr="00A35C95">
        <w:rPr>
          <w:color w:val="000000"/>
        </w:rPr>
        <w:tab/>
        <w:t>(i)</w:t>
      </w:r>
      <w:r w:rsidRPr="00A35C95">
        <w:rPr>
          <w:color w:val="000000"/>
        </w:rPr>
        <w:tab/>
        <w:t xml:space="preserve">the Secretary of the Department of </w:t>
      </w:r>
      <w:r w:rsidRPr="00A35C95">
        <w:t>the Treasury;</w:t>
      </w:r>
      <w:r w:rsidRPr="00A35C95">
        <w:rPr>
          <w:color w:val="000000"/>
        </w:rPr>
        <w:t xml:space="preserve"> or</w:t>
      </w:r>
    </w:p>
    <w:p w14:paraId="03AA3ADF" w14:textId="77777777" w:rsidR="00E93F58" w:rsidRPr="00A35C95" w:rsidRDefault="00E93F58" w:rsidP="00366AB5">
      <w:pPr>
        <w:pStyle w:val="paragraphsub"/>
        <w:tabs>
          <w:tab w:val="left" w:pos="2835"/>
        </w:tabs>
      </w:pPr>
      <w:r w:rsidRPr="00A35C95">
        <w:tab/>
        <w:t>(ii)</w:t>
      </w:r>
      <w:r w:rsidRPr="00A35C95">
        <w:tab/>
        <w:t>another officer of that Department notified in writing by the Secretary to the receiver of the levy; and</w:t>
      </w:r>
    </w:p>
    <w:p w14:paraId="34A11F41" w14:textId="77777777" w:rsidR="00E93F58" w:rsidRPr="00A35C95" w:rsidRDefault="00E93F58" w:rsidP="00366AB5">
      <w:pPr>
        <w:pStyle w:val="paragraph"/>
        <w:tabs>
          <w:tab w:val="left" w:pos="2835"/>
        </w:tabs>
      </w:pPr>
      <w:r w:rsidRPr="00A35C95">
        <w:rPr>
          <w:color w:val="000000"/>
        </w:rPr>
        <w:tab/>
        <w:t>(c)</w:t>
      </w:r>
      <w:r w:rsidRPr="00A35C95">
        <w:rPr>
          <w:color w:val="000000"/>
        </w:rPr>
        <w:tab/>
        <w:t>set out the total of the levies (if any) that became payable in the period; and</w:t>
      </w:r>
    </w:p>
    <w:p w14:paraId="2438DAD4" w14:textId="77777777" w:rsidR="00E93F58" w:rsidRPr="00A35C95" w:rsidRDefault="00E93F58" w:rsidP="00366AB5">
      <w:pPr>
        <w:pStyle w:val="paragraph"/>
        <w:tabs>
          <w:tab w:val="left" w:pos="2835"/>
        </w:tabs>
      </w:pPr>
      <w:r w:rsidRPr="00A35C95">
        <w:tab/>
        <w:t>(d)</w:t>
      </w:r>
      <w:r w:rsidRPr="00A35C95">
        <w:tab/>
        <w:t>set out the total of the levies (if any) received in the period; and</w:t>
      </w:r>
    </w:p>
    <w:p w14:paraId="342FC52B" w14:textId="77777777" w:rsidR="00E93F58" w:rsidRPr="00A35C95" w:rsidRDefault="00E93F58" w:rsidP="00366AB5">
      <w:pPr>
        <w:pStyle w:val="paragraph"/>
        <w:tabs>
          <w:tab w:val="left" w:pos="2835"/>
        </w:tabs>
      </w:pPr>
      <w:r w:rsidRPr="00A35C95">
        <w:tab/>
        <w:t>(e)</w:t>
      </w:r>
      <w:r w:rsidRPr="00A35C95">
        <w:tab/>
        <w:t>be given not later than 2 weeks after the end of the period.</w:t>
      </w:r>
    </w:p>
    <w:p w14:paraId="27ABC768" w14:textId="77777777" w:rsidR="00E93F58" w:rsidRPr="00A35C95" w:rsidRDefault="00E93F58" w:rsidP="00366AB5">
      <w:pPr>
        <w:pStyle w:val="ActHead4"/>
        <w:tabs>
          <w:tab w:val="left" w:pos="2835"/>
        </w:tabs>
      </w:pPr>
      <w:bookmarkStart w:id="822" w:name="_Toc152057985"/>
      <w:bookmarkStart w:id="823" w:name="_Toc158712208"/>
      <w:r w:rsidRPr="00844D11">
        <w:rPr>
          <w:rStyle w:val="CharSubdNo"/>
        </w:rPr>
        <w:lastRenderedPageBreak/>
        <w:t>Subdivision 4.11</w:t>
      </w:r>
      <w:r w:rsidRPr="00A35C95">
        <w:rPr>
          <w:sz w:val="16"/>
        </w:rPr>
        <w:t>—</w:t>
      </w:r>
      <w:r w:rsidRPr="00844D11">
        <w:rPr>
          <w:rStyle w:val="CharSubdText"/>
        </w:rPr>
        <w:t>Other provisions relating to compensation</w:t>
      </w:r>
      <w:bookmarkEnd w:id="822"/>
      <w:bookmarkEnd w:id="823"/>
    </w:p>
    <w:p w14:paraId="040DB0E2" w14:textId="77777777" w:rsidR="00E93F58" w:rsidRPr="00A35C95" w:rsidRDefault="00E93F58" w:rsidP="00366AB5">
      <w:pPr>
        <w:pStyle w:val="ActHead5"/>
        <w:tabs>
          <w:tab w:val="left" w:pos="2835"/>
        </w:tabs>
      </w:pPr>
      <w:bookmarkStart w:id="824" w:name="_Toc152057986"/>
      <w:bookmarkStart w:id="825" w:name="_Toc158712209"/>
      <w:r w:rsidRPr="00844D11">
        <w:rPr>
          <w:rStyle w:val="CharSectno"/>
        </w:rPr>
        <w:t>7.5.85</w:t>
      </w:r>
      <w:r w:rsidRPr="00A35C95">
        <w:t xml:space="preserve">  Prescribed body corporate with arrangements covering clearing and settlement facility support</w:t>
      </w:r>
      <w:bookmarkEnd w:id="824"/>
      <w:bookmarkEnd w:id="825"/>
    </w:p>
    <w:p w14:paraId="1C478840" w14:textId="77777777" w:rsidR="00E93F58" w:rsidRPr="00A35C95" w:rsidRDefault="00E93F58" w:rsidP="00366AB5">
      <w:pPr>
        <w:pStyle w:val="subsection"/>
        <w:tabs>
          <w:tab w:val="left" w:pos="2835"/>
        </w:tabs>
      </w:pPr>
      <w:r w:rsidRPr="00A35C95">
        <w:tab/>
      </w:r>
      <w:r w:rsidRPr="00A35C95">
        <w:tab/>
        <w:t>For subsection 891A(1) of the Act, each of the following bodies is a prescribed body corporate:</w:t>
      </w:r>
    </w:p>
    <w:p w14:paraId="7F42B0ED" w14:textId="77777777" w:rsidR="00E93F58" w:rsidRPr="00A35C95" w:rsidRDefault="00E93F58" w:rsidP="00366AB5">
      <w:pPr>
        <w:pStyle w:val="paragraph"/>
        <w:tabs>
          <w:tab w:val="left" w:pos="2835"/>
        </w:tabs>
      </w:pPr>
      <w:r w:rsidRPr="00A35C95">
        <w:tab/>
        <w:t>(a)</w:t>
      </w:r>
      <w:r w:rsidRPr="00A35C95">
        <w:tab/>
        <w:t>ASX Settlement and Transfer Corporation Pty Limited (also known as ‘ASTC’);</w:t>
      </w:r>
    </w:p>
    <w:p w14:paraId="3C8A5E59" w14:textId="77777777" w:rsidR="00E93F58" w:rsidRPr="00A35C95" w:rsidRDefault="00E93F58" w:rsidP="00366AB5">
      <w:pPr>
        <w:pStyle w:val="paragraph"/>
        <w:tabs>
          <w:tab w:val="left" w:pos="2835"/>
        </w:tabs>
      </w:pPr>
      <w:r w:rsidRPr="00A35C95">
        <w:tab/>
        <w:t>(b)</w:t>
      </w:r>
      <w:r w:rsidRPr="00A35C95">
        <w:tab/>
        <w:t>ACH.</w:t>
      </w:r>
    </w:p>
    <w:p w14:paraId="235245B0" w14:textId="77777777" w:rsidR="00E93F58" w:rsidRPr="00A35C95" w:rsidRDefault="00E93F58" w:rsidP="00366AB5">
      <w:pPr>
        <w:pStyle w:val="ActHead5"/>
        <w:tabs>
          <w:tab w:val="left" w:pos="2835"/>
        </w:tabs>
      </w:pPr>
      <w:bookmarkStart w:id="826" w:name="_Toc152057987"/>
      <w:bookmarkStart w:id="827" w:name="_Toc158712210"/>
      <w:r w:rsidRPr="00844D11">
        <w:rPr>
          <w:rStyle w:val="CharSectno"/>
        </w:rPr>
        <w:t>7.5.85A</w:t>
      </w:r>
      <w:r w:rsidRPr="00A35C95">
        <w:t xml:space="preserve">  Transitional provision for joining of Chi</w:t>
      </w:r>
      <w:r>
        <w:noBreakHyphen/>
      </w:r>
      <w:r w:rsidRPr="00A35C95">
        <w:t>X</w:t>
      </w:r>
      <w:bookmarkEnd w:id="826"/>
      <w:bookmarkEnd w:id="827"/>
    </w:p>
    <w:p w14:paraId="2648441C" w14:textId="77777777" w:rsidR="00E93F58" w:rsidRPr="00A35C95" w:rsidRDefault="00E93F58" w:rsidP="00366AB5">
      <w:pPr>
        <w:pStyle w:val="subsection"/>
        <w:tabs>
          <w:tab w:val="left" w:pos="2835"/>
        </w:tabs>
      </w:pPr>
      <w:r w:rsidRPr="00A35C95">
        <w:tab/>
        <w:t>(1)</w:t>
      </w:r>
      <w:r w:rsidRPr="00A35C95">
        <w:tab/>
        <w:t>This regulation is made for the purposes of section 891B of the Act.</w:t>
      </w:r>
    </w:p>
    <w:p w14:paraId="3D69B17A" w14:textId="77777777" w:rsidR="00E93F58" w:rsidRPr="00A35C95" w:rsidRDefault="00E93F58" w:rsidP="00366AB5">
      <w:pPr>
        <w:pStyle w:val="subsection"/>
        <w:tabs>
          <w:tab w:val="left" w:pos="2835"/>
        </w:tabs>
      </w:pPr>
      <w:r w:rsidRPr="00A35C95">
        <w:tab/>
        <w:t>(2)</w:t>
      </w:r>
      <w:r w:rsidRPr="00A35C95">
        <w:tab/>
        <w:t>This regulation applies in relation to a joining market (within the meaning of that section) if:</w:t>
      </w:r>
    </w:p>
    <w:p w14:paraId="1ACA5DDA" w14:textId="77777777" w:rsidR="00E93F58" w:rsidRPr="00A35C95" w:rsidRDefault="00E93F58" w:rsidP="00366AB5">
      <w:pPr>
        <w:pStyle w:val="paragraph"/>
        <w:tabs>
          <w:tab w:val="left" w:pos="2835"/>
        </w:tabs>
      </w:pPr>
      <w:r w:rsidRPr="00A35C95">
        <w:tab/>
        <w:t>(a)</w:t>
      </w:r>
      <w:r w:rsidRPr="00A35C95">
        <w:tab/>
        <w:t>the market is operated by Chi</w:t>
      </w:r>
      <w:r>
        <w:noBreakHyphen/>
      </w:r>
      <w:r w:rsidRPr="00A35C95">
        <w:t>X Australia Pty Ltd, or by a subsidiary of Chi</w:t>
      </w:r>
      <w:r>
        <w:noBreakHyphen/>
      </w:r>
      <w:r w:rsidRPr="00A35C95">
        <w:t>X Australia Pty Ltd; and</w:t>
      </w:r>
    </w:p>
    <w:p w14:paraId="607F4770" w14:textId="77777777" w:rsidR="00E93F58" w:rsidRPr="00A35C95" w:rsidRDefault="00E93F58" w:rsidP="00366AB5">
      <w:pPr>
        <w:pStyle w:val="paragraph"/>
        <w:tabs>
          <w:tab w:val="left" w:pos="2835"/>
        </w:tabs>
      </w:pPr>
      <w:r w:rsidRPr="00A35C95">
        <w:tab/>
        <w:t>(b)</w:t>
      </w:r>
      <w:r w:rsidRPr="00A35C95">
        <w:tab/>
        <w:t>the day on which Chi</w:t>
      </w:r>
      <w:r>
        <w:noBreakHyphen/>
      </w:r>
      <w:r w:rsidRPr="00A35C95">
        <w:t xml:space="preserve">X Australia Pty Ltd becomes a member of the SEGC (the </w:t>
      </w:r>
      <w:r w:rsidRPr="00A35C95">
        <w:rPr>
          <w:b/>
          <w:i/>
        </w:rPr>
        <w:t>joining day</w:t>
      </w:r>
      <w:r w:rsidRPr="00A35C95">
        <w:t>) is on or after the commencement of this regulation.</w:t>
      </w:r>
    </w:p>
    <w:p w14:paraId="0DE48C53" w14:textId="77777777" w:rsidR="00E93F58" w:rsidRPr="00A35C95" w:rsidRDefault="00E93F58" w:rsidP="00366AB5">
      <w:pPr>
        <w:pStyle w:val="subsection"/>
        <w:tabs>
          <w:tab w:val="left" w:pos="2835"/>
        </w:tabs>
      </w:pPr>
      <w:r w:rsidRPr="00A35C95">
        <w:tab/>
        <w:t>(3)</w:t>
      </w:r>
      <w:r w:rsidRPr="00A35C95">
        <w:tab/>
        <w:t>Compensation may be claimed under a provision of these Regulations set out in column 1 of the following table in respect of a loss that is:</w:t>
      </w:r>
    </w:p>
    <w:p w14:paraId="13E81091" w14:textId="77777777" w:rsidR="00E93F58" w:rsidRPr="00A35C95" w:rsidRDefault="00E93F58" w:rsidP="00366AB5">
      <w:pPr>
        <w:pStyle w:val="paragraph"/>
        <w:tabs>
          <w:tab w:val="left" w:pos="2835"/>
        </w:tabs>
      </w:pPr>
      <w:r w:rsidRPr="00A35C95">
        <w:tab/>
        <w:t>(a)</w:t>
      </w:r>
      <w:r w:rsidRPr="00A35C95">
        <w:tab/>
        <w:t>connected with the joining market; and</w:t>
      </w:r>
    </w:p>
    <w:p w14:paraId="48D037EF" w14:textId="77777777" w:rsidR="00E93F58" w:rsidRPr="00A35C95" w:rsidRDefault="00E93F58" w:rsidP="00366AB5">
      <w:pPr>
        <w:pStyle w:val="paragraph"/>
        <w:tabs>
          <w:tab w:val="left" w:pos="2835"/>
        </w:tabs>
      </w:pPr>
      <w:r w:rsidRPr="00A35C95">
        <w:tab/>
        <w:t>(b)</w:t>
      </w:r>
      <w:r w:rsidRPr="00A35C95">
        <w:tab/>
        <w:t>not connected with any other financial market to which Division 4 of Part 7.5 of the Act applies;</w:t>
      </w:r>
    </w:p>
    <w:p w14:paraId="76FE9A92" w14:textId="77777777" w:rsidR="00E93F58" w:rsidRPr="00A35C95" w:rsidRDefault="00E93F58" w:rsidP="00366AB5">
      <w:pPr>
        <w:pStyle w:val="subsection2"/>
        <w:tabs>
          <w:tab w:val="left" w:pos="2835"/>
        </w:tabs>
      </w:pPr>
      <w:r w:rsidRPr="00A35C95">
        <w:t>only if the loss meets the transitional condition set out in column 2 of that table item.</w:t>
      </w:r>
    </w:p>
    <w:p w14:paraId="207CCF92" w14:textId="77777777" w:rsidR="00E93F58" w:rsidRPr="00A35C95" w:rsidRDefault="00E93F58" w:rsidP="00366AB5">
      <w:pPr>
        <w:pStyle w:val="Tabletext"/>
        <w:tabs>
          <w:tab w:val="left" w:pos="2835"/>
        </w:tabs>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800"/>
      </w:tblGrid>
      <w:tr w:rsidR="00E93F58" w:rsidRPr="00A35C95" w14:paraId="3598A9A7" w14:textId="77777777" w:rsidTr="00EF4656">
        <w:trPr>
          <w:tblHeader/>
        </w:trPr>
        <w:tc>
          <w:tcPr>
            <w:tcW w:w="8313" w:type="dxa"/>
            <w:gridSpan w:val="3"/>
            <w:tcBorders>
              <w:top w:val="single" w:sz="12" w:space="0" w:color="auto"/>
              <w:bottom w:val="single" w:sz="6" w:space="0" w:color="auto"/>
            </w:tcBorders>
            <w:shd w:val="clear" w:color="auto" w:fill="auto"/>
          </w:tcPr>
          <w:p w14:paraId="6F33E9AE" w14:textId="77777777" w:rsidR="00E93F58" w:rsidRPr="00A35C95" w:rsidRDefault="00E93F58" w:rsidP="00366AB5">
            <w:pPr>
              <w:pStyle w:val="TableHeading"/>
              <w:tabs>
                <w:tab w:val="left" w:pos="2835"/>
              </w:tabs>
            </w:pPr>
            <w:r w:rsidRPr="00A35C95">
              <w:t>Joining of Chi</w:t>
            </w:r>
            <w:r>
              <w:noBreakHyphen/>
            </w:r>
            <w:r w:rsidRPr="00A35C95">
              <w:t>X—transitional conditions for compensation claims</w:t>
            </w:r>
          </w:p>
        </w:tc>
      </w:tr>
      <w:tr w:rsidR="00E93F58" w:rsidRPr="00A35C95" w14:paraId="73486806" w14:textId="77777777" w:rsidTr="00EF4656">
        <w:trPr>
          <w:tblHeader/>
        </w:trPr>
        <w:tc>
          <w:tcPr>
            <w:tcW w:w="714" w:type="dxa"/>
            <w:tcBorders>
              <w:top w:val="single" w:sz="6" w:space="0" w:color="auto"/>
              <w:bottom w:val="single" w:sz="12" w:space="0" w:color="auto"/>
            </w:tcBorders>
            <w:shd w:val="clear" w:color="auto" w:fill="auto"/>
          </w:tcPr>
          <w:p w14:paraId="3CB145CF" w14:textId="77777777" w:rsidR="00E93F58" w:rsidRPr="00A35C95" w:rsidRDefault="00E93F58" w:rsidP="00366AB5">
            <w:pPr>
              <w:pStyle w:val="TableHeading"/>
              <w:tabs>
                <w:tab w:val="left" w:pos="2835"/>
              </w:tabs>
            </w:pPr>
            <w:r w:rsidRPr="00A35C95">
              <w:t>Item</w:t>
            </w:r>
          </w:p>
        </w:tc>
        <w:tc>
          <w:tcPr>
            <w:tcW w:w="3799" w:type="dxa"/>
            <w:tcBorders>
              <w:top w:val="single" w:sz="6" w:space="0" w:color="auto"/>
              <w:bottom w:val="single" w:sz="12" w:space="0" w:color="auto"/>
            </w:tcBorders>
            <w:shd w:val="clear" w:color="auto" w:fill="auto"/>
          </w:tcPr>
          <w:p w14:paraId="77CFDD61" w14:textId="77777777" w:rsidR="00E93F58" w:rsidRPr="00A35C95" w:rsidRDefault="00E93F58" w:rsidP="00366AB5">
            <w:pPr>
              <w:pStyle w:val="TableHeading"/>
              <w:tabs>
                <w:tab w:val="left" w:pos="2835"/>
              </w:tabs>
            </w:pPr>
            <w:r w:rsidRPr="00A35C95">
              <w:t>Column 1</w:t>
            </w:r>
            <w:r w:rsidRPr="00A35C95">
              <w:br/>
              <w:t>Provision</w:t>
            </w:r>
          </w:p>
        </w:tc>
        <w:tc>
          <w:tcPr>
            <w:tcW w:w="3799" w:type="dxa"/>
            <w:tcBorders>
              <w:top w:val="single" w:sz="6" w:space="0" w:color="auto"/>
              <w:bottom w:val="single" w:sz="12" w:space="0" w:color="auto"/>
            </w:tcBorders>
            <w:shd w:val="clear" w:color="auto" w:fill="auto"/>
          </w:tcPr>
          <w:p w14:paraId="7C6CC181" w14:textId="77777777" w:rsidR="00E93F58" w:rsidRPr="00A35C95" w:rsidRDefault="00E93F58" w:rsidP="00366AB5">
            <w:pPr>
              <w:pStyle w:val="TableHeading"/>
              <w:tabs>
                <w:tab w:val="left" w:pos="2835"/>
              </w:tabs>
            </w:pPr>
            <w:r w:rsidRPr="00A35C95">
              <w:t>Column 2</w:t>
            </w:r>
            <w:r w:rsidRPr="00A35C95">
              <w:br/>
              <w:t>Transitional condition</w:t>
            </w:r>
          </w:p>
        </w:tc>
      </w:tr>
      <w:tr w:rsidR="00E93F58" w:rsidRPr="00A35C95" w14:paraId="4060443A" w14:textId="77777777" w:rsidTr="00EF4656">
        <w:tc>
          <w:tcPr>
            <w:tcW w:w="714" w:type="dxa"/>
            <w:tcBorders>
              <w:top w:val="single" w:sz="12" w:space="0" w:color="auto"/>
            </w:tcBorders>
            <w:shd w:val="clear" w:color="auto" w:fill="auto"/>
          </w:tcPr>
          <w:p w14:paraId="3BCB9941" w14:textId="77777777" w:rsidR="00E93F58" w:rsidRPr="00A35C95" w:rsidRDefault="00E93F58" w:rsidP="00366AB5">
            <w:pPr>
              <w:pStyle w:val="Tabletext"/>
              <w:tabs>
                <w:tab w:val="left" w:pos="2835"/>
              </w:tabs>
            </w:pPr>
            <w:r w:rsidRPr="00A35C95">
              <w:t>1</w:t>
            </w:r>
          </w:p>
        </w:tc>
        <w:tc>
          <w:tcPr>
            <w:tcW w:w="3799" w:type="dxa"/>
            <w:tcBorders>
              <w:top w:val="single" w:sz="12" w:space="0" w:color="auto"/>
            </w:tcBorders>
            <w:shd w:val="clear" w:color="auto" w:fill="auto"/>
          </w:tcPr>
          <w:p w14:paraId="0CC31BD2" w14:textId="77777777" w:rsidR="00E93F58" w:rsidRPr="00A35C95" w:rsidRDefault="00E93F58" w:rsidP="00366AB5">
            <w:pPr>
              <w:pStyle w:val="Tabletext"/>
              <w:tabs>
                <w:tab w:val="left" w:pos="2835"/>
              </w:tabs>
            </w:pPr>
            <w:r w:rsidRPr="00A35C95">
              <w:t>Regulation 7.5.24, 7.5.25, 7.5.26 or 7.5.27 (about contract guarantees)</w:t>
            </w:r>
          </w:p>
        </w:tc>
        <w:tc>
          <w:tcPr>
            <w:tcW w:w="3799" w:type="dxa"/>
            <w:tcBorders>
              <w:top w:val="single" w:sz="12" w:space="0" w:color="auto"/>
            </w:tcBorders>
            <w:shd w:val="clear" w:color="auto" w:fill="auto"/>
          </w:tcPr>
          <w:p w14:paraId="340F0C86" w14:textId="77777777" w:rsidR="00E93F58" w:rsidRPr="00A35C95" w:rsidRDefault="00E93F58" w:rsidP="00366AB5">
            <w:pPr>
              <w:pStyle w:val="Tabletext"/>
              <w:tabs>
                <w:tab w:val="left" w:pos="2835"/>
              </w:tabs>
            </w:pPr>
            <w:r w:rsidRPr="00A35C95">
              <w:t>The prescribed period for the relevant reportable transaction ends on or after the joining day.</w:t>
            </w:r>
          </w:p>
        </w:tc>
      </w:tr>
      <w:tr w:rsidR="00E93F58" w:rsidRPr="00A35C95" w14:paraId="4B45FD49" w14:textId="77777777" w:rsidTr="00EF4656">
        <w:tc>
          <w:tcPr>
            <w:tcW w:w="714" w:type="dxa"/>
            <w:tcBorders>
              <w:bottom w:val="single" w:sz="2" w:space="0" w:color="auto"/>
            </w:tcBorders>
            <w:shd w:val="clear" w:color="auto" w:fill="auto"/>
          </w:tcPr>
          <w:p w14:paraId="48262CDA" w14:textId="77777777" w:rsidR="00E93F58" w:rsidRPr="00A35C95" w:rsidRDefault="00E93F58" w:rsidP="00366AB5">
            <w:pPr>
              <w:pStyle w:val="Tabletext"/>
              <w:tabs>
                <w:tab w:val="left" w:pos="2835"/>
              </w:tabs>
            </w:pPr>
            <w:r w:rsidRPr="00A35C95">
              <w:t>2</w:t>
            </w:r>
          </w:p>
        </w:tc>
        <w:tc>
          <w:tcPr>
            <w:tcW w:w="3799" w:type="dxa"/>
            <w:tcBorders>
              <w:bottom w:val="single" w:sz="2" w:space="0" w:color="auto"/>
            </w:tcBorders>
            <w:shd w:val="clear" w:color="auto" w:fill="auto"/>
          </w:tcPr>
          <w:p w14:paraId="7B93817B" w14:textId="77777777" w:rsidR="00E93F58" w:rsidRPr="00A35C95" w:rsidRDefault="00E93F58" w:rsidP="00366AB5">
            <w:pPr>
              <w:pStyle w:val="Tabletext"/>
              <w:tabs>
                <w:tab w:val="left" w:pos="2835"/>
              </w:tabs>
            </w:pPr>
            <w:r w:rsidRPr="00A35C95">
              <w:t>Regulation 7.5.54 or 7.5.55 (about unauthorised transfers)</w:t>
            </w:r>
          </w:p>
        </w:tc>
        <w:tc>
          <w:tcPr>
            <w:tcW w:w="3799" w:type="dxa"/>
            <w:tcBorders>
              <w:bottom w:val="single" w:sz="2" w:space="0" w:color="auto"/>
            </w:tcBorders>
            <w:shd w:val="clear" w:color="auto" w:fill="auto"/>
          </w:tcPr>
          <w:p w14:paraId="64DB472A" w14:textId="77777777" w:rsidR="00E93F58" w:rsidRPr="00A35C95" w:rsidRDefault="00E93F58" w:rsidP="00366AB5">
            <w:pPr>
              <w:pStyle w:val="Tabletext"/>
              <w:tabs>
                <w:tab w:val="left" w:pos="2835"/>
              </w:tabs>
            </w:pPr>
            <w:r w:rsidRPr="00A35C95">
              <w:t>The unauthorised execution occurs on or after the joining day.</w:t>
            </w:r>
          </w:p>
        </w:tc>
      </w:tr>
      <w:tr w:rsidR="00E93F58" w:rsidRPr="00A35C95" w14:paraId="2E3B730E" w14:textId="77777777" w:rsidTr="00EF4656">
        <w:tc>
          <w:tcPr>
            <w:tcW w:w="714" w:type="dxa"/>
            <w:tcBorders>
              <w:top w:val="single" w:sz="2" w:space="0" w:color="auto"/>
              <w:bottom w:val="single" w:sz="12" w:space="0" w:color="auto"/>
            </w:tcBorders>
            <w:shd w:val="clear" w:color="auto" w:fill="auto"/>
          </w:tcPr>
          <w:p w14:paraId="5712A9FE" w14:textId="77777777" w:rsidR="00E93F58" w:rsidRPr="00A35C95" w:rsidRDefault="00E93F58" w:rsidP="00366AB5">
            <w:pPr>
              <w:pStyle w:val="Tabletext"/>
              <w:tabs>
                <w:tab w:val="left" w:pos="2835"/>
              </w:tabs>
            </w:pPr>
            <w:r w:rsidRPr="00A35C95">
              <w:t>3</w:t>
            </w:r>
          </w:p>
        </w:tc>
        <w:tc>
          <w:tcPr>
            <w:tcW w:w="3799" w:type="dxa"/>
            <w:tcBorders>
              <w:top w:val="single" w:sz="2" w:space="0" w:color="auto"/>
              <w:bottom w:val="single" w:sz="12" w:space="0" w:color="auto"/>
            </w:tcBorders>
            <w:shd w:val="clear" w:color="auto" w:fill="auto"/>
          </w:tcPr>
          <w:p w14:paraId="02105243" w14:textId="77777777" w:rsidR="00E93F58" w:rsidRPr="00A35C95" w:rsidRDefault="00E93F58" w:rsidP="00366AB5">
            <w:pPr>
              <w:pStyle w:val="Tabletext"/>
              <w:tabs>
                <w:tab w:val="left" w:pos="2835"/>
              </w:tabs>
            </w:pPr>
            <w:r w:rsidRPr="00A35C95">
              <w:t>Regulation 7.5.64 (about claims in respect of insolvent participants)</w:t>
            </w:r>
          </w:p>
        </w:tc>
        <w:tc>
          <w:tcPr>
            <w:tcW w:w="3799" w:type="dxa"/>
            <w:tcBorders>
              <w:top w:val="single" w:sz="2" w:space="0" w:color="auto"/>
              <w:bottom w:val="single" w:sz="12" w:space="0" w:color="auto"/>
            </w:tcBorders>
            <w:shd w:val="clear" w:color="auto" w:fill="auto"/>
          </w:tcPr>
          <w:p w14:paraId="473097C6" w14:textId="77777777" w:rsidR="00E93F58" w:rsidRPr="00A35C95" w:rsidRDefault="00E93F58" w:rsidP="00366AB5">
            <w:pPr>
              <w:pStyle w:val="Tabletext"/>
              <w:tabs>
                <w:tab w:val="left" w:pos="2835"/>
              </w:tabs>
            </w:pPr>
            <w:r w:rsidRPr="00A35C95">
              <w:t>The time at which the dealer becomes insolvent is on or after the joining day.</w:t>
            </w:r>
          </w:p>
        </w:tc>
      </w:tr>
    </w:tbl>
    <w:p w14:paraId="39B9AEB0" w14:textId="77777777" w:rsidR="00E93F58" w:rsidRPr="00A35C95" w:rsidRDefault="00E93F58" w:rsidP="00366AB5">
      <w:pPr>
        <w:pStyle w:val="ActHead3"/>
        <w:pageBreakBefore/>
        <w:tabs>
          <w:tab w:val="left" w:pos="2835"/>
        </w:tabs>
        <w:rPr>
          <w:color w:val="000000"/>
        </w:rPr>
      </w:pPr>
      <w:bookmarkStart w:id="828" w:name="_Toc152057988"/>
      <w:bookmarkStart w:id="829" w:name="_Toc158712211"/>
      <w:r w:rsidRPr="00844D11">
        <w:rPr>
          <w:rStyle w:val="CharDivNo"/>
        </w:rPr>
        <w:lastRenderedPageBreak/>
        <w:t>Division 5</w:t>
      </w:r>
      <w:r w:rsidRPr="00A35C95">
        <w:rPr>
          <w:color w:val="000000"/>
        </w:rPr>
        <w:t>—</w:t>
      </w:r>
      <w:r w:rsidRPr="00844D11">
        <w:rPr>
          <w:rStyle w:val="CharDivText"/>
        </w:rPr>
        <w:t>Provisions common to both kinds of compensation arrangements</w:t>
      </w:r>
      <w:bookmarkEnd w:id="828"/>
      <w:bookmarkEnd w:id="829"/>
    </w:p>
    <w:p w14:paraId="236F5E2C" w14:textId="77777777" w:rsidR="00E93F58" w:rsidRPr="00A35C95" w:rsidRDefault="00E93F58" w:rsidP="00366AB5">
      <w:pPr>
        <w:pStyle w:val="ActHead5"/>
        <w:tabs>
          <w:tab w:val="left" w:pos="2835"/>
        </w:tabs>
      </w:pPr>
      <w:bookmarkStart w:id="830" w:name="_Toc152057989"/>
      <w:bookmarkStart w:id="831" w:name="_Toc158712212"/>
      <w:r w:rsidRPr="00844D11">
        <w:rPr>
          <w:rStyle w:val="CharSectno"/>
        </w:rPr>
        <w:t>7.5.86</w:t>
      </w:r>
      <w:r w:rsidRPr="00A35C95">
        <w:rPr>
          <w:sz w:val="16"/>
        </w:rPr>
        <w:t xml:space="preserve">  </w:t>
      </w:r>
      <w:r w:rsidRPr="00A35C95">
        <w:t>Excess money in National Guarantee Fund</w:t>
      </w:r>
      <w:bookmarkEnd w:id="830"/>
      <w:bookmarkEnd w:id="831"/>
    </w:p>
    <w:p w14:paraId="027C755C" w14:textId="77777777" w:rsidR="00E93F58" w:rsidRPr="00A35C95" w:rsidRDefault="00E93F58" w:rsidP="00366AB5">
      <w:pPr>
        <w:pStyle w:val="subsection"/>
        <w:tabs>
          <w:tab w:val="left" w:pos="2835"/>
        </w:tabs>
      </w:pPr>
      <w:r w:rsidRPr="00A35C95">
        <w:tab/>
        <w:t>(1)</w:t>
      </w:r>
      <w:r w:rsidRPr="00A35C95">
        <w:tab/>
        <w:t>The Minister may notify the SEGC that the Minister is satisfied that:</w:t>
      </w:r>
    </w:p>
    <w:p w14:paraId="7BAF06D0" w14:textId="77777777" w:rsidR="00E93F58" w:rsidRPr="00A35C95" w:rsidRDefault="00E93F58" w:rsidP="00366AB5">
      <w:pPr>
        <w:pStyle w:val="paragraph"/>
        <w:tabs>
          <w:tab w:val="left" w:pos="2835"/>
        </w:tabs>
      </w:pPr>
      <w:r w:rsidRPr="00A35C95">
        <w:rPr>
          <w:color w:val="000000"/>
        </w:rPr>
        <w:tab/>
        <w:t>(a)</w:t>
      </w:r>
      <w:r w:rsidRPr="00A35C95">
        <w:rPr>
          <w:color w:val="000000"/>
        </w:rPr>
        <w:tab/>
        <w:t>a market licensee specified in the notification is operating a financial market to which Division 4 of Part 7.5 of the Act applies; or</w:t>
      </w:r>
    </w:p>
    <w:p w14:paraId="04A542D8" w14:textId="77777777" w:rsidR="00E93F58" w:rsidRPr="00A35C95" w:rsidRDefault="00E93F58" w:rsidP="00366AB5">
      <w:pPr>
        <w:pStyle w:val="paragraph"/>
        <w:tabs>
          <w:tab w:val="left" w:pos="2835"/>
        </w:tabs>
      </w:pPr>
      <w:r w:rsidRPr="00A35C95">
        <w:tab/>
        <w:t>(b)</w:t>
      </w:r>
      <w:r w:rsidRPr="00A35C95">
        <w:tab/>
        <w:t>each market licensee specified in the notification is operating a financial market to which Division 4 of Part 7.5 of the Act applies.</w:t>
      </w:r>
    </w:p>
    <w:p w14:paraId="53020473" w14:textId="77777777" w:rsidR="00E93F58" w:rsidRPr="00A35C95" w:rsidRDefault="00E93F58" w:rsidP="00366AB5">
      <w:pPr>
        <w:pStyle w:val="subsection"/>
        <w:tabs>
          <w:tab w:val="left" w:pos="2835"/>
        </w:tabs>
      </w:pPr>
      <w:r w:rsidRPr="00A35C95">
        <w:rPr>
          <w:color w:val="000000"/>
        </w:rPr>
        <w:tab/>
        <w:t>(2)</w:t>
      </w:r>
      <w:r w:rsidRPr="00A35C95">
        <w:rPr>
          <w:color w:val="000000"/>
        </w:rPr>
        <w:tab/>
        <w:t>For section 892G of the Act, if, on a day, the amount in the NGF is greater than the minimum amount identified in accordance with section 889I of the Act, the amount by which it is greater is excess money.</w:t>
      </w:r>
    </w:p>
    <w:p w14:paraId="0F71A186" w14:textId="77777777" w:rsidR="00E93F58" w:rsidRPr="00A35C95" w:rsidRDefault="00E93F58" w:rsidP="00366AB5">
      <w:pPr>
        <w:pStyle w:val="ActHead5"/>
        <w:tabs>
          <w:tab w:val="left" w:pos="2835"/>
        </w:tabs>
      </w:pPr>
      <w:bookmarkStart w:id="832" w:name="_Toc152057990"/>
      <w:bookmarkStart w:id="833" w:name="_Toc158712213"/>
      <w:r w:rsidRPr="00844D11">
        <w:rPr>
          <w:rStyle w:val="CharSectno"/>
        </w:rPr>
        <w:t>7.5.87</w:t>
      </w:r>
      <w:r w:rsidRPr="00A35C95">
        <w:rPr>
          <w:sz w:val="16"/>
        </w:rPr>
        <w:t xml:space="preserve">  </w:t>
      </w:r>
      <w:r w:rsidRPr="00A35C95">
        <w:t>Excess money in fidelity fund</w:t>
      </w:r>
      <w:bookmarkEnd w:id="832"/>
      <w:bookmarkEnd w:id="833"/>
    </w:p>
    <w:p w14:paraId="154E3AD1" w14:textId="77777777" w:rsidR="00E93F58" w:rsidRPr="00A35C95" w:rsidRDefault="00E93F58" w:rsidP="00366AB5">
      <w:pPr>
        <w:pStyle w:val="subsection"/>
        <w:tabs>
          <w:tab w:val="left" w:pos="2835"/>
        </w:tabs>
      </w:pPr>
      <w:r w:rsidRPr="00A35C95">
        <w:tab/>
        <w:t>(1)</w:t>
      </w:r>
      <w:r w:rsidRPr="00A35C95">
        <w:tab/>
        <w:t>For section 892G of the Act, if, on a day:</w:t>
      </w:r>
    </w:p>
    <w:p w14:paraId="7533330C" w14:textId="77777777" w:rsidR="00E93F58" w:rsidRPr="00A35C95" w:rsidRDefault="00E93F58" w:rsidP="00366AB5">
      <w:pPr>
        <w:pStyle w:val="paragraph"/>
        <w:tabs>
          <w:tab w:val="left" w:pos="2835"/>
        </w:tabs>
      </w:pPr>
      <w:r w:rsidRPr="00A35C95">
        <w:rPr>
          <w:color w:val="000000"/>
        </w:rPr>
        <w:tab/>
        <w:t>(a)</w:t>
      </w:r>
      <w:r w:rsidRPr="00A35C95">
        <w:rPr>
          <w:color w:val="000000"/>
        </w:rPr>
        <w:tab/>
        <w:t>a fidelity fund (other than the NGF) is the sole source of funds available to cover claims for the purposes of Division 3 arrangements; and</w:t>
      </w:r>
    </w:p>
    <w:p w14:paraId="483A4C5E" w14:textId="77777777" w:rsidR="00E93F58" w:rsidRPr="00A35C95" w:rsidRDefault="00E93F58" w:rsidP="00366AB5">
      <w:pPr>
        <w:pStyle w:val="paragraph"/>
        <w:tabs>
          <w:tab w:val="left" w:pos="2835"/>
        </w:tabs>
      </w:pPr>
      <w:r w:rsidRPr="00A35C95">
        <w:tab/>
        <w:t>(b)</w:t>
      </w:r>
      <w:r w:rsidRPr="00A35C95">
        <w:tab/>
        <w:t>the amount in the fidelity fund is greater than the minimum amount of cover identified in accordance with paragraph 882A(4)(a) of the Act;</w:t>
      </w:r>
    </w:p>
    <w:p w14:paraId="7F909979" w14:textId="77777777" w:rsidR="00E93F58" w:rsidRPr="00A35C95" w:rsidRDefault="00E93F58" w:rsidP="00366AB5">
      <w:pPr>
        <w:pStyle w:val="subsection2"/>
        <w:tabs>
          <w:tab w:val="left" w:pos="2835"/>
        </w:tabs>
      </w:pPr>
      <w:r w:rsidRPr="00A35C95">
        <w:rPr>
          <w:color w:val="000000"/>
        </w:rPr>
        <w:t>the amount by which it is greater is excess money.</w:t>
      </w:r>
    </w:p>
    <w:p w14:paraId="695CA34D" w14:textId="77777777" w:rsidR="00E93F58" w:rsidRPr="00A35C95" w:rsidRDefault="00E93F58" w:rsidP="00366AB5">
      <w:pPr>
        <w:pStyle w:val="subsection"/>
        <w:tabs>
          <w:tab w:val="left" w:pos="2835"/>
        </w:tabs>
      </w:pPr>
      <w:r w:rsidRPr="00A35C95">
        <w:rPr>
          <w:color w:val="000000"/>
        </w:rPr>
        <w:tab/>
        <w:t>(2)</w:t>
      </w:r>
      <w:r w:rsidRPr="00A35C95">
        <w:rPr>
          <w:color w:val="000000"/>
        </w:rPr>
        <w:tab/>
        <w:t>For section 892G of the Act, if, on a day:</w:t>
      </w:r>
    </w:p>
    <w:p w14:paraId="21F1B3FD" w14:textId="77777777" w:rsidR="00E93F58" w:rsidRPr="00A35C95" w:rsidRDefault="00E93F58" w:rsidP="00366AB5">
      <w:pPr>
        <w:pStyle w:val="paragraph"/>
        <w:tabs>
          <w:tab w:val="left" w:pos="2835"/>
        </w:tabs>
      </w:pPr>
      <w:r w:rsidRPr="00A35C95">
        <w:rPr>
          <w:color w:val="000000"/>
        </w:rPr>
        <w:tab/>
        <w:t>(a)</w:t>
      </w:r>
      <w:r w:rsidRPr="00A35C95">
        <w:rPr>
          <w:color w:val="000000"/>
        </w:rPr>
        <w:tab/>
        <w:t>a fidelity fund (other than the NGF) is not the sole source of funds available to cover claims for the purposes of Division 3 arrangements; and</w:t>
      </w:r>
    </w:p>
    <w:p w14:paraId="5092C3C8" w14:textId="77777777" w:rsidR="00E93F58" w:rsidRPr="00A35C95" w:rsidRDefault="00E93F58" w:rsidP="00366AB5">
      <w:pPr>
        <w:pStyle w:val="paragraph"/>
        <w:tabs>
          <w:tab w:val="left" w:pos="2835"/>
        </w:tabs>
      </w:pPr>
      <w:r w:rsidRPr="00A35C95">
        <w:tab/>
        <w:t>(b)</w:t>
      </w:r>
      <w:r w:rsidRPr="00A35C95">
        <w:tab/>
        <w:t>the amount in the fidelity fund is greater than the minimum amount of cover specified in accordance with paragraph 882A(4)(a) of the Act, reduced by the sum of the amounts of cover from each other source of funds available for the purposes of the same Division 3 arrangements;</w:t>
      </w:r>
    </w:p>
    <w:p w14:paraId="296DA573" w14:textId="77777777" w:rsidR="00E93F58" w:rsidRPr="00A35C95" w:rsidRDefault="00E93F58" w:rsidP="00366AB5">
      <w:pPr>
        <w:pStyle w:val="subsection2"/>
        <w:tabs>
          <w:tab w:val="left" w:pos="2835"/>
        </w:tabs>
      </w:pPr>
      <w:r w:rsidRPr="00A35C95">
        <w:rPr>
          <w:color w:val="000000"/>
        </w:rPr>
        <w:t>the amount by which it is greater is excess money.</w:t>
      </w:r>
    </w:p>
    <w:p w14:paraId="6E7105CA" w14:textId="77777777" w:rsidR="00E93F58" w:rsidRPr="00A35C95" w:rsidRDefault="00E93F58" w:rsidP="00366AB5">
      <w:pPr>
        <w:pStyle w:val="ActHead5"/>
        <w:tabs>
          <w:tab w:val="left" w:pos="2835"/>
        </w:tabs>
      </w:pPr>
      <w:bookmarkStart w:id="834" w:name="_Toc152057991"/>
      <w:bookmarkStart w:id="835" w:name="_Toc158712214"/>
      <w:r w:rsidRPr="00844D11">
        <w:rPr>
          <w:rStyle w:val="CharSectno"/>
        </w:rPr>
        <w:t>7.5.88</w:t>
      </w:r>
      <w:r w:rsidRPr="00A35C95">
        <w:rPr>
          <w:snapToGrid w:val="0"/>
        </w:rPr>
        <w:t xml:space="preserve">  Minister’s arrangements for use of excess money from compensation funds</w:t>
      </w:r>
      <w:bookmarkEnd w:id="834"/>
      <w:bookmarkEnd w:id="835"/>
    </w:p>
    <w:p w14:paraId="00F80E7F" w14:textId="77777777" w:rsidR="00E93F58" w:rsidRPr="00A35C95" w:rsidRDefault="00E93F58" w:rsidP="00366AB5">
      <w:pPr>
        <w:pStyle w:val="subsection"/>
        <w:tabs>
          <w:tab w:val="left" w:pos="2835"/>
        </w:tabs>
      </w:pPr>
      <w:r w:rsidRPr="00A35C95">
        <w:rPr>
          <w:color w:val="000000"/>
        </w:rPr>
        <w:tab/>
        <w:t>(1)</w:t>
      </w:r>
      <w:r w:rsidRPr="00A35C95">
        <w:rPr>
          <w:color w:val="000000"/>
        </w:rPr>
        <w:tab/>
        <w:t xml:space="preserve">The Minister may approve, in writing, a matter as an approved purpose for which excess money may be </w:t>
      </w:r>
      <w:r w:rsidRPr="00A35C95">
        <w:t>used by a market licensee.</w:t>
      </w:r>
    </w:p>
    <w:p w14:paraId="4750D835" w14:textId="77777777" w:rsidR="00E93F58" w:rsidRPr="00A35C95" w:rsidRDefault="00E93F58" w:rsidP="00366AB5">
      <w:pPr>
        <w:pStyle w:val="subsection"/>
        <w:tabs>
          <w:tab w:val="left" w:pos="2835"/>
        </w:tabs>
      </w:pPr>
      <w:r w:rsidRPr="00A35C95">
        <w:tab/>
        <w:t>(2)</w:t>
      </w:r>
      <w:r w:rsidRPr="00A35C95">
        <w:tab/>
        <w:t>The matter must relate to:</w:t>
      </w:r>
    </w:p>
    <w:p w14:paraId="03833A55" w14:textId="77777777" w:rsidR="00E93F58" w:rsidRPr="00A35C95" w:rsidRDefault="00E93F58" w:rsidP="00366AB5">
      <w:pPr>
        <w:pStyle w:val="paragraph"/>
        <w:tabs>
          <w:tab w:val="left" w:pos="2835"/>
        </w:tabs>
      </w:pPr>
      <w:r w:rsidRPr="00A35C95">
        <w:tab/>
        <w:t>(a)</w:t>
      </w:r>
      <w:r w:rsidRPr="00A35C95">
        <w:tab/>
        <w:t>the creation of, or participation in, a program for the development of the financial industry that:</w:t>
      </w:r>
    </w:p>
    <w:p w14:paraId="5C617BFC" w14:textId="77777777" w:rsidR="00E93F58" w:rsidRPr="00A35C95" w:rsidRDefault="00E93F58" w:rsidP="00366AB5">
      <w:pPr>
        <w:pStyle w:val="paragraphsub"/>
        <w:tabs>
          <w:tab w:val="left" w:pos="2835"/>
        </w:tabs>
      </w:pPr>
      <w:r w:rsidRPr="00A35C95">
        <w:rPr>
          <w:color w:val="000000"/>
        </w:rPr>
        <w:tab/>
        <w:t>(i)</w:t>
      </w:r>
      <w:r w:rsidRPr="00A35C95">
        <w:rPr>
          <w:color w:val="000000"/>
        </w:rPr>
        <w:tab/>
        <w:t>is conducted primarily for a public benefit; and</w:t>
      </w:r>
    </w:p>
    <w:p w14:paraId="22DE59BA" w14:textId="77777777" w:rsidR="00E93F58" w:rsidRPr="00A35C95" w:rsidRDefault="00E93F58" w:rsidP="00366AB5">
      <w:pPr>
        <w:pStyle w:val="paragraphsub"/>
        <w:tabs>
          <w:tab w:val="left" w:pos="2835"/>
        </w:tabs>
      </w:pPr>
      <w:r w:rsidRPr="00A35C95">
        <w:tab/>
        <w:t>(ii)</w:t>
      </w:r>
      <w:r w:rsidRPr="00A35C95">
        <w:tab/>
        <w:t>is not conducted primarily to promote the profitability of the commercial operations of any market; or</w:t>
      </w:r>
    </w:p>
    <w:p w14:paraId="4724EC9E" w14:textId="77777777" w:rsidR="00E93F58" w:rsidRPr="00A35C95" w:rsidRDefault="00E93F58" w:rsidP="00366AB5">
      <w:pPr>
        <w:pStyle w:val="paragraph"/>
        <w:tabs>
          <w:tab w:val="left" w:pos="2835"/>
        </w:tabs>
      </w:pPr>
      <w:r w:rsidRPr="00A35C95">
        <w:tab/>
        <w:t>(b)</w:t>
      </w:r>
      <w:r w:rsidRPr="00A35C95">
        <w:tab/>
        <w:t>the payment of premiums for fidelity insurance or other compensation arrangements for the financial market as part of an approved compensation arrangement for Division 3 of Part 7.5 of the Act; or</w:t>
      </w:r>
    </w:p>
    <w:p w14:paraId="6E963E24" w14:textId="77777777" w:rsidR="00E93F58" w:rsidRPr="00A35C95" w:rsidRDefault="00E93F58" w:rsidP="00366AB5">
      <w:pPr>
        <w:pStyle w:val="paragraph"/>
        <w:tabs>
          <w:tab w:val="left" w:pos="2835"/>
        </w:tabs>
        <w:rPr>
          <w:color w:val="000000"/>
        </w:rPr>
      </w:pPr>
      <w:r w:rsidRPr="00A35C95">
        <w:rPr>
          <w:color w:val="000000"/>
        </w:rPr>
        <w:tab/>
        <w:t>(c)</w:t>
      </w:r>
      <w:r w:rsidRPr="00A35C95">
        <w:rPr>
          <w:color w:val="000000"/>
        </w:rPr>
        <w:tab/>
        <w:t xml:space="preserve">costs paid by the market licensee in relation to ASIC’s responsibilities for market supervision created by the </w:t>
      </w:r>
      <w:r w:rsidRPr="00A35C95">
        <w:rPr>
          <w:i/>
          <w:color w:val="000000"/>
        </w:rPr>
        <w:t>Corporations Amendment (Financial Market Supervision) Act 2010</w:t>
      </w:r>
      <w:r w:rsidRPr="00A35C95">
        <w:rPr>
          <w:color w:val="000000"/>
        </w:rPr>
        <w:t>; or</w:t>
      </w:r>
    </w:p>
    <w:p w14:paraId="14DAD5A1" w14:textId="77777777" w:rsidR="00E93F58" w:rsidRPr="00A35C95" w:rsidRDefault="00E93F58" w:rsidP="00366AB5">
      <w:pPr>
        <w:pStyle w:val="paragraph"/>
        <w:tabs>
          <w:tab w:val="left" w:pos="2835"/>
        </w:tabs>
      </w:pPr>
      <w:r w:rsidRPr="00A35C95">
        <w:rPr>
          <w:color w:val="000000"/>
        </w:rPr>
        <w:tab/>
        <w:t>(d)</w:t>
      </w:r>
      <w:r w:rsidRPr="00A35C95">
        <w:rPr>
          <w:color w:val="000000"/>
        </w:rPr>
        <w:tab/>
        <w:t xml:space="preserve">the making of payments to ASIC by the market licensee in relation to ASIC’s responsibilities for market supervision created by the </w:t>
      </w:r>
      <w:r w:rsidRPr="00A35C95">
        <w:rPr>
          <w:i/>
          <w:color w:val="000000"/>
        </w:rPr>
        <w:t>Corporations Amendment (Financial Market Supervision) Act 2010</w:t>
      </w:r>
      <w:r w:rsidRPr="00A35C95">
        <w:rPr>
          <w:color w:val="000000"/>
        </w:rPr>
        <w:t>.</w:t>
      </w:r>
    </w:p>
    <w:p w14:paraId="2A42405B" w14:textId="77777777" w:rsidR="00E93F58" w:rsidRPr="00A35C95" w:rsidRDefault="00E93F58" w:rsidP="00366AB5">
      <w:pPr>
        <w:pStyle w:val="notetext"/>
        <w:tabs>
          <w:tab w:val="left" w:pos="2835"/>
        </w:tabs>
      </w:pPr>
      <w:r w:rsidRPr="00A35C95">
        <w:t>Examples for paragraph (2)(a):</w:t>
      </w:r>
    </w:p>
    <w:p w14:paraId="4AABA5BF" w14:textId="77777777" w:rsidR="00E93F58" w:rsidRPr="00A35C95" w:rsidRDefault="00E93F58" w:rsidP="00366AB5">
      <w:pPr>
        <w:pStyle w:val="notetext"/>
        <w:tabs>
          <w:tab w:val="left" w:pos="2835"/>
        </w:tabs>
      </w:pPr>
      <w:r w:rsidRPr="00A35C95">
        <w:t>1</w:t>
      </w:r>
      <w:r w:rsidRPr="00A35C95">
        <w:tab/>
        <w:t>Public education activities.</w:t>
      </w:r>
    </w:p>
    <w:p w14:paraId="36025D30" w14:textId="77777777" w:rsidR="00E93F58" w:rsidRPr="00A35C95" w:rsidRDefault="00E93F58" w:rsidP="00366AB5">
      <w:pPr>
        <w:pStyle w:val="notetext"/>
        <w:tabs>
          <w:tab w:val="left" w:pos="2835"/>
        </w:tabs>
      </w:pPr>
      <w:r w:rsidRPr="00A35C95">
        <w:t>2</w:t>
      </w:r>
      <w:r w:rsidRPr="00A35C95">
        <w:tab/>
        <w:t>Research into future product or service needs.</w:t>
      </w:r>
    </w:p>
    <w:p w14:paraId="13BDDB3F" w14:textId="77777777" w:rsidR="00E93F58" w:rsidRPr="00A35C95" w:rsidRDefault="00E93F58" w:rsidP="00366AB5">
      <w:pPr>
        <w:pStyle w:val="notetext"/>
        <w:tabs>
          <w:tab w:val="left" w:pos="2835"/>
        </w:tabs>
      </w:pPr>
      <w:r w:rsidRPr="00A35C95">
        <w:t>3</w:t>
      </w:r>
      <w:r w:rsidRPr="00A35C95">
        <w:tab/>
        <w:t>Research and consulting services intended to improve the international performance of Australian financial markets.</w:t>
      </w:r>
    </w:p>
    <w:p w14:paraId="7590CD6F" w14:textId="77777777" w:rsidR="00E93F58" w:rsidRPr="00A35C95" w:rsidRDefault="00E93F58" w:rsidP="00366AB5">
      <w:pPr>
        <w:pStyle w:val="notetext"/>
        <w:tabs>
          <w:tab w:val="left" w:pos="2835"/>
        </w:tabs>
      </w:pPr>
      <w:r w:rsidRPr="00A35C95">
        <w:t>4</w:t>
      </w:r>
      <w:r w:rsidRPr="00A35C95">
        <w:tab/>
        <w:t>Improvement of Australia’s role as a financial centre.</w:t>
      </w:r>
    </w:p>
    <w:p w14:paraId="4F261B73" w14:textId="77777777" w:rsidR="00E93F58" w:rsidRPr="00A35C95" w:rsidRDefault="00E93F58" w:rsidP="00366AB5">
      <w:pPr>
        <w:pStyle w:val="subsection"/>
        <w:tabs>
          <w:tab w:val="left" w:pos="2835"/>
        </w:tabs>
      </w:pPr>
      <w:r w:rsidRPr="00A35C95">
        <w:rPr>
          <w:color w:val="000000"/>
        </w:rPr>
        <w:tab/>
        <w:t>(3)</w:t>
      </w:r>
      <w:r w:rsidRPr="00A35C95">
        <w:rPr>
          <w:color w:val="000000"/>
        </w:rPr>
        <w:tab/>
        <w:t xml:space="preserve">The Minister may, in relation to an approved purpose, determine conditions to which the </w:t>
      </w:r>
      <w:r w:rsidRPr="00A35C95">
        <w:t>use</w:t>
      </w:r>
      <w:r w:rsidRPr="00A35C95">
        <w:rPr>
          <w:color w:val="000000"/>
        </w:rPr>
        <w:t xml:space="preserve"> of excess money for the approved purpose must be subject.</w:t>
      </w:r>
    </w:p>
    <w:p w14:paraId="03F7FBFF" w14:textId="77777777" w:rsidR="00E93F58" w:rsidRPr="00A35C95" w:rsidRDefault="00E93F58" w:rsidP="00366AB5">
      <w:pPr>
        <w:pStyle w:val="ActHead5"/>
        <w:tabs>
          <w:tab w:val="left" w:pos="2835"/>
        </w:tabs>
      </w:pPr>
      <w:bookmarkStart w:id="836" w:name="_Toc152057992"/>
      <w:bookmarkStart w:id="837" w:name="_Toc158712215"/>
      <w:r w:rsidRPr="00844D11">
        <w:rPr>
          <w:rStyle w:val="CharSectno"/>
        </w:rPr>
        <w:lastRenderedPageBreak/>
        <w:t>7.5.89</w:t>
      </w:r>
      <w:r w:rsidRPr="00A35C95">
        <w:rPr>
          <w:sz w:val="16"/>
        </w:rPr>
        <w:t xml:space="preserve">  </w:t>
      </w:r>
      <w:r w:rsidRPr="00A35C95">
        <w:t>Payment of excess money from NGF</w:t>
      </w:r>
      <w:bookmarkEnd w:id="836"/>
      <w:bookmarkEnd w:id="837"/>
    </w:p>
    <w:p w14:paraId="5B8B2AB8" w14:textId="77777777" w:rsidR="00E93F58" w:rsidRPr="00A35C95" w:rsidRDefault="00E93F58" w:rsidP="00366AB5">
      <w:pPr>
        <w:pStyle w:val="subsection"/>
        <w:tabs>
          <w:tab w:val="left" w:pos="2835"/>
        </w:tabs>
      </w:pPr>
      <w:r w:rsidRPr="00A35C95">
        <w:rPr>
          <w:color w:val="000000"/>
        </w:rPr>
        <w:tab/>
        <w:t>(1)</w:t>
      </w:r>
      <w:r w:rsidRPr="00A35C95">
        <w:rPr>
          <w:color w:val="000000"/>
        </w:rPr>
        <w:tab/>
        <w:t>If the Minister notifies the SEGC in accordance with subregulation 7.5.86(1), the SEGC may determine, in writing, that an amount of excess money specified in the determination be paid to 1 or more of the market licensees specified in the Minister’s notification.</w:t>
      </w:r>
    </w:p>
    <w:p w14:paraId="04F2C0D2" w14:textId="77777777" w:rsidR="00E93F58" w:rsidRPr="00A35C95" w:rsidRDefault="00E93F58" w:rsidP="00366AB5">
      <w:pPr>
        <w:pStyle w:val="subsection"/>
        <w:tabs>
          <w:tab w:val="left" w:pos="2835"/>
        </w:tabs>
      </w:pPr>
      <w:r w:rsidRPr="00A35C95">
        <w:rPr>
          <w:color w:val="000000"/>
        </w:rPr>
        <w:tab/>
        <w:t>(2)</w:t>
      </w:r>
      <w:r w:rsidRPr="00A35C95">
        <w:rPr>
          <w:color w:val="000000"/>
        </w:rPr>
        <w:tab/>
        <w:t>The amount must be paid in accordance with the SEGC’s determination.</w:t>
      </w:r>
    </w:p>
    <w:p w14:paraId="6FDBE1F2" w14:textId="77777777" w:rsidR="00E93F58" w:rsidRPr="00A35C95" w:rsidRDefault="00E93F58" w:rsidP="00366AB5">
      <w:pPr>
        <w:pStyle w:val="subsection"/>
        <w:tabs>
          <w:tab w:val="left" w:pos="2835"/>
        </w:tabs>
      </w:pPr>
      <w:r w:rsidRPr="00A35C95">
        <w:tab/>
        <w:t>(3)</w:t>
      </w:r>
      <w:r w:rsidRPr="00A35C95">
        <w:tab/>
        <w:t>A market licensee that receives a payment of excess money from the NGF must pay the excess money into an account that:</w:t>
      </w:r>
    </w:p>
    <w:p w14:paraId="617800D1" w14:textId="77777777" w:rsidR="00E93F58" w:rsidRPr="00A35C95" w:rsidRDefault="00E93F58" w:rsidP="00366AB5">
      <w:pPr>
        <w:pStyle w:val="paragraph"/>
        <w:tabs>
          <w:tab w:val="left" w:pos="2835"/>
        </w:tabs>
      </w:pPr>
      <w:r w:rsidRPr="00A35C95">
        <w:rPr>
          <w:color w:val="000000"/>
        </w:rPr>
        <w:tab/>
        <w:t>(a)</w:t>
      </w:r>
      <w:r w:rsidRPr="00A35C95">
        <w:rPr>
          <w:color w:val="000000"/>
        </w:rPr>
        <w:tab/>
        <w:t>is kept separately from other accounts used by the market licensee; and</w:t>
      </w:r>
    </w:p>
    <w:p w14:paraId="53C42E29" w14:textId="77777777" w:rsidR="00E93F58" w:rsidRPr="00A35C95" w:rsidRDefault="00E93F58" w:rsidP="00366AB5">
      <w:pPr>
        <w:pStyle w:val="paragraph"/>
        <w:tabs>
          <w:tab w:val="left" w:pos="2835"/>
        </w:tabs>
      </w:pPr>
      <w:r w:rsidRPr="00A35C95">
        <w:tab/>
        <w:t>(b)</w:t>
      </w:r>
      <w:r w:rsidRPr="00A35C95">
        <w:tab/>
        <w:t>is designated as a ‘financial industry development account’.</w:t>
      </w:r>
    </w:p>
    <w:p w14:paraId="282BCBBD" w14:textId="77777777" w:rsidR="00E93F58" w:rsidRPr="00A35C95" w:rsidRDefault="00E93F58" w:rsidP="00366AB5">
      <w:pPr>
        <w:pStyle w:val="ActHead5"/>
        <w:tabs>
          <w:tab w:val="left" w:pos="2835"/>
        </w:tabs>
      </w:pPr>
      <w:bookmarkStart w:id="838" w:name="_Toc152057993"/>
      <w:bookmarkStart w:id="839" w:name="_Toc158712216"/>
      <w:r w:rsidRPr="00844D11">
        <w:rPr>
          <w:rStyle w:val="CharSectno"/>
        </w:rPr>
        <w:t>7.5.90</w:t>
      </w:r>
      <w:r w:rsidRPr="00A35C95">
        <w:rPr>
          <w:sz w:val="16"/>
        </w:rPr>
        <w:t xml:space="preserve">  </w:t>
      </w:r>
      <w:r w:rsidRPr="00A35C95">
        <w:t>Use of excess money from NGF</w:t>
      </w:r>
      <w:bookmarkEnd w:id="838"/>
      <w:bookmarkEnd w:id="839"/>
    </w:p>
    <w:p w14:paraId="3333DA44" w14:textId="77777777" w:rsidR="00E93F58" w:rsidRPr="00A35C95" w:rsidRDefault="00E93F58" w:rsidP="00366AB5">
      <w:pPr>
        <w:pStyle w:val="subsection"/>
        <w:tabs>
          <w:tab w:val="left" w:pos="2835"/>
        </w:tabs>
      </w:pPr>
      <w:r w:rsidRPr="00A35C95">
        <w:tab/>
        <w:t>(1)</w:t>
      </w:r>
      <w:r w:rsidRPr="00A35C95">
        <w:tab/>
        <w:t>A market licensee that receives a payment of excess money from the NGF must use the money only:</w:t>
      </w:r>
    </w:p>
    <w:p w14:paraId="67493CEA" w14:textId="77777777" w:rsidR="00E93F58" w:rsidRPr="00A35C95" w:rsidRDefault="00E93F58" w:rsidP="00366AB5">
      <w:pPr>
        <w:pStyle w:val="paragraph"/>
        <w:tabs>
          <w:tab w:val="left" w:pos="2835"/>
        </w:tabs>
      </w:pPr>
      <w:r w:rsidRPr="00A35C95">
        <w:rPr>
          <w:color w:val="000000"/>
        </w:rPr>
        <w:tab/>
        <w:t>(a)</w:t>
      </w:r>
      <w:r w:rsidRPr="00A35C95">
        <w:rPr>
          <w:color w:val="000000"/>
        </w:rPr>
        <w:tab/>
      </w:r>
      <w:r w:rsidRPr="00A35C95">
        <w:t>for a purpose approved under subregulation 7.5.88(1),</w:t>
      </w:r>
      <w:r w:rsidRPr="00A35C95">
        <w:rPr>
          <w:color w:val="000000"/>
        </w:rPr>
        <w:t xml:space="preserve"> and in accordance with any conditions to which the </w:t>
      </w:r>
      <w:r w:rsidRPr="00A35C95">
        <w:t>use</w:t>
      </w:r>
      <w:r w:rsidRPr="00A35C95">
        <w:rPr>
          <w:color w:val="000000"/>
        </w:rPr>
        <w:t xml:space="preserve"> of the money is subject under subregulation 7.5.88(3); or</w:t>
      </w:r>
    </w:p>
    <w:p w14:paraId="7FB2D185" w14:textId="77777777" w:rsidR="00E93F58" w:rsidRPr="00A35C95" w:rsidRDefault="00E93F58" w:rsidP="00366AB5">
      <w:pPr>
        <w:pStyle w:val="paragraph"/>
        <w:tabs>
          <w:tab w:val="left" w:pos="2835"/>
        </w:tabs>
      </w:pPr>
      <w:r w:rsidRPr="00A35C95">
        <w:tab/>
        <w:t>(b)</w:t>
      </w:r>
      <w:r w:rsidRPr="00A35C95">
        <w:tab/>
        <w:t>in accordance with subregulation (3); or</w:t>
      </w:r>
    </w:p>
    <w:p w14:paraId="0A1CC678" w14:textId="77777777" w:rsidR="00E93F58" w:rsidRPr="00A35C95" w:rsidRDefault="00E93F58" w:rsidP="00366AB5">
      <w:pPr>
        <w:pStyle w:val="paragraph"/>
        <w:tabs>
          <w:tab w:val="left" w:pos="2835"/>
        </w:tabs>
      </w:pPr>
      <w:r w:rsidRPr="00A35C95">
        <w:tab/>
        <w:t>(c)</w:t>
      </w:r>
      <w:r w:rsidRPr="00A35C95">
        <w:tab/>
        <w:t>to make a repayment to the NGF.</w:t>
      </w:r>
    </w:p>
    <w:p w14:paraId="0CF6937B" w14:textId="77777777" w:rsidR="00E93F58" w:rsidRPr="00A35C95" w:rsidRDefault="00E93F58" w:rsidP="00366AB5">
      <w:pPr>
        <w:pStyle w:val="subsection"/>
        <w:tabs>
          <w:tab w:val="left" w:pos="2835"/>
        </w:tabs>
      </w:pPr>
      <w:r w:rsidRPr="00A35C95">
        <w:tab/>
        <w:t>(2)</w:t>
      </w:r>
      <w:r w:rsidRPr="00A35C95">
        <w:tab/>
        <w:t>If the market licensee contravenes subregulation (1), the market licensee must:</w:t>
      </w:r>
    </w:p>
    <w:p w14:paraId="6A849DC3" w14:textId="77777777" w:rsidR="00E93F58" w:rsidRPr="00A35C95" w:rsidRDefault="00E93F58" w:rsidP="00366AB5">
      <w:pPr>
        <w:pStyle w:val="paragraph"/>
        <w:tabs>
          <w:tab w:val="left" w:pos="2835"/>
        </w:tabs>
      </w:pPr>
      <w:r w:rsidRPr="00A35C95">
        <w:rPr>
          <w:color w:val="000000"/>
        </w:rPr>
        <w:tab/>
        <w:t>(a)</w:t>
      </w:r>
      <w:r w:rsidRPr="00A35C95">
        <w:rPr>
          <w:color w:val="000000"/>
        </w:rPr>
        <w:tab/>
        <w:t>notify the SEGC of the contravention as soon as practicable; and</w:t>
      </w:r>
    </w:p>
    <w:p w14:paraId="7CA53800" w14:textId="77777777" w:rsidR="00E93F58" w:rsidRPr="00A35C95" w:rsidRDefault="00E93F58" w:rsidP="00366AB5">
      <w:pPr>
        <w:pStyle w:val="paragraph"/>
        <w:tabs>
          <w:tab w:val="left" w:pos="2835"/>
        </w:tabs>
      </w:pPr>
      <w:r w:rsidRPr="00A35C95">
        <w:tab/>
        <w:t>(b)</w:t>
      </w:r>
      <w:r w:rsidRPr="00A35C95">
        <w:tab/>
        <w:t>repay the amount involved into its financial industry development account.</w:t>
      </w:r>
    </w:p>
    <w:p w14:paraId="696242FF" w14:textId="77777777" w:rsidR="00E93F58" w:rsidRPr="00A35C95" w:rsidRDefault="00E93F58" w:rsidP="00366AB5">
      <w:pPr>
        <w:pStyle w:val="subsection"/>
        <w:tabs>
          <w:tab w:val="left" w:pos="2835"/>
        </w:tabs>
      </w:pPr>
      <w:r w:rsidRPr="00A35C95">
        <w:tab/>
        <w:t>(3)</w:t>
      </w:r>
      <w:r w:rsidRPr="00A35C95">
        <w:tab/>
        <w:t>If there is no immediate requirement for the market licensee to use an amount of excess money in its financial industry development account:</w:t>
      </w:r>
    </w:p>
    <w:p w14:paraId="79B11929" w14:textId="77777777" w:rsidR="00E93F58" w:rsidRPr="00A35C95" w:rsidRDefault="00E93F58" w:rsidP="00366AB5">
      <w:pPr>
        <w:pStyle w:val="paragraph"/>
        <w:tabs>
          <w:tab w:val="left" w:pos="2835"/>
        </w:tabs>
      </w:pPr>
      <w:r w:rsidRPr="00A35C95">
        <w:rPr>
          <w:color w:val="000000"/>
        </w:rPr>
        <w:tab/>
        <w:t>(a)</w:t>
      </w:r>
      <w:r w:rsidRPr="00A35C95">
        <w:rPr>
          <w:color w:val="000000"/>
        </w:rPr>
        <w:tab/>
        <w:t>the market licensee may invest the amount in a way authorised by section 892C of the Act; and</w:t>
      </w:r>
    </w:p>
    <w:p w14:paraId="1A1F22A6" w14:textId="77777777" w:rsidR="00E93F58" w:rsidRPr="00A35C95" w:rsidRDefault="00E93F58" w:rsidP="00366AB5">
      <w:pPr>
        <w:pStyle w:val="paragraph"/>
        <w:tabs>
          <w:tab w:val="left" w:pos="2835"/>
        </w:tabs>
      </w:pPr>
      <w:r w:rsidRPr="00A35C95">
        <w:tab/>
        <w:t>(b)</w:t>
      </w:r>
      <w:r w:rsidRPr="00A35C95">
        <w:tab/>
        <w:t>if the market licensee invests excess money during a financial year, the market licensee must pay any interest or profit from the investment into its financial industry development account.</w:t>
      </w:r>
    </w:p>
    <w:p w14:paraId="3780EB62" w14:textId="77777777" w:rsidR="00E93F58" w:rsidRPr="00A35C95" w:rsidRDefault="00E93F58" w:rsidP="00366AB5">
      <w:pPr>
        <w:pStyle w:val="subsection"/>
        <w:tabs>
          <w:tab w:val="left" w:pos="2835"/>
        </w:tabs>
      </w:pPr>
      <w:r w:rsidRPr="00A35C95">
        <w:rPr>
          <w:color w:val="000000"/>
        </w:rPr>
        <w:tab/>
        <w:t>(4)</w:t>
      </w:r>
      <w:r w:rsidRPr="00A35C95">
        <w:rPr>
          <w:color w:val="000000"/>
        </w:rPr>
        <w:tab/>
        <w:t>The market licensee must, in respect of each financial year during which, at any time, there is money in its financial industry development account, lodge a completed Form 719 with ASIC not later than 3 months after the end of the financial year.</w:t>
      </w:r>
    </w:p>
    <w:p w14:paraId="67D2E777" w14:textId="77777777" w:rsidR="00E93F58" w:rsidRPr="00A35C95" w:rsidRDefault="00E93F58" w:rsidP="00366AB5">
      <w:pPr>
        <w:pStyle w:val="ActHead5"/>
        <w:tabs>
          <w:tab w:val="left" w:pos="2835"/>
        </w:tabs>
      </w:pPr>
      <w:bookmarkStart w:id="840" w:name="_Toc152057994"/>
      <w:bookmarkStart w:id="841" w:name="_Toc158712217"/>
      <w:r w:rsidRPr="00844D11">
        <w:rPr>
          <w:rStyle w:val="CharSectno"/>
        </w:rPr>
        <w:t>7.5.91</w:t>
      </w:r>
      <w:r w:rsidRPr="00A35C95">
        <w:rPr>
          <w:sz w:val="16"/>
        </w:rPr>
        <w:t xml:space="preserve">  </w:t>
      </w:r>
      <w:r w:rsidRPr="00A35C95">
        <w:t>Payment of excess money from fidelity fund</w:t>
      </w:r>
      <w:bookmarkEnd w:id="840"/>
      <w:bookmarkEnd w:id="841"/>
    </w:p>
    <w:p w14:paraId="2106AA68" w14:textId="77777777" w:rsidR="00E93F58" w:rsidRPr="00A35C95" w:rsidRDefault="00E93F58" w:rsidP="00366AB5">
      <w:pPr>
        <w:pStyle w:val="subsection"/>
        <w:tabs>
          <w:tab w:val="left" w:pos="2835"/>
        </w:tabs>
      </w:pPr>
      <w:r w:rsidRPr="00A35C95">
        <w:tab/>
      </w:r>
      <w:r w:rsidRPr="00A35C95">
        <w:tab/>
        <w:t>If there is excess money in a fidelity fund (other than the NGF), the market licensee to which the excess money relates may pay an amount of the excess money into an account that:</w:t>
      </w:r>
    </w:p>
    <w:p w14:paraId="17C41A05" w14:textId="77777777" w:rsidR="00E93F58" w:rsidRPr="00A35C95" w:rsidRDefault="00E93F58" w:rsidP="00366AB5">
      <w:pPr>
        <w:pStyle w:val="paragraph"/>
        <w:tabs>
          <w:tab w:val="left" w:pos="2835"/>
        </w:tabs>
      </w:pPr>
      <w:r w:rsidRPr="00A35C95">
        <w:rPr>
          <w:color w:val="000000"/>
        </w:rPr>
        <w:tab/>
        <w:t>(a)</w:t>
      </w:r>
      <w:r w:rsidRPr="00A35C95">
        <w:rPr>
          <w:color w:val="000000"/>
        </w:rPr>
        <w:tab/>
        <w:t>is kept separately from other accounts used by the market licensee; and</w:t>
      </w:r>
    </w:p>
    <w:p w14:paraId="5926FB2C" w14:textId="77777777" w:rsidR="00E93F58" w:rsidRPr="00A35C95" w:rsidRDefault="00E93F58" w:rsidP="00366AB5">
      <w:pPr>
        <w:pStyle w:val="paragraph"/>
        <w:tabs>
          <w:tab w:val="left" w:pos="2835"/>
        </w:tabs>
      </w:pPr>
      <w:r w:rsidRPr="00A35C95">
        <w:tab/>
        <w:t>(b)</w:t>
      </w:r>
      <w:r w:rsidRPr="00A35C95">
        <w:tab/>
        <w:t>is designated as a ‘financial industry development account’.</w:t>
      </w:r>
    </w:p>
    <w:p w14:paraId="477E9A28" w14:textId="77777777" w:rsidR="00E93F58" w:rsidRPr="00A35C95" w:rsidRDefault="00E93F58" w:rsidP="00366AB5">
      <w:pPr>
        <w:pStyle w:val="ActHead5"/>
        <w:tabs>
          <w:tab w:val="left" w:pos="2835"/>
        </w:tabs>
      </w:pPr>
      <w:bookmarkStart w:id="842" w:name="_Toc152057995"/>
      <w:bookmarkStart w:id="843" w:name="_Toc158712218"/>
      <w:r w:rsidRPr="00844D11">
        <w:rPr>
          <w:rStyle w:val="CharSectno"/>
        </w:rPr>
        <w:t>7.5.92</w:t>
      </w:r>
      <w:r w:rsidRPr="00A35C95">
        <w:rPr>
          <w:sz w:val="16"/>
        </w:rPr>
        <w:t xml:space="preserve">  </w:t>
      </w:r>
      <w:r w:rsidRPr="00A35C95">
        <w:t>Use of excess money from fidelity fund</w:t>
      </w:r>
      <w:bookmarkEnd w:id="842"/>
      <w:bookmarkEnd w:id="843"/>
    </w:p>
    <w:p w14:paraId="5EECBBD5" w14:textId="77777777" w:rsidR="00E93F58" w:rsidRPr="00A35C95" w:rsidRDefault="00E93F58" w:rsidP="00366AB5">
      <w:pPr>
        <w:pStyle w:val="subsection"/>
        <w:tabs>
          <w:tab w:val="left" w:pos="2835"/>
        </w:tabs>
      </w:pPr>
      <w:r w:rsidRPr="00A35C95">
        <w:tab/>
        <w:t>(1)</w:t>
      </w:r>
      <w:r w:rsidRPr="00A35C95">
        <w:tab/>
        <w:t>A market licensee that receives a payment of excess money from a fidelity fund must use the money only:</w:t>
      </w:r>
    </w:p>
    <w:p w14:paraId="3AEEC946"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for a purpose approved under subregulation 7.5.88(1), and in accordance with any conditions to which the </w:t>
      </w:r>
      <w:r w:rsidRPr="00A35C95">
        <w:t>use of the money</w:t>
      </w:r>
      <w:r w:rsidRPr="00A35C95">
        <w:rPr>
          <w:color w:val="000000"/>
        </w:rPr>
        <w:t xml:space="preserve"> is subject under subregulation 7.5.88(3); or</w:t>
      </w:r>
    </w:p>
    <w:p w14:paraId="75AC55AC" w14:textId="77777777" w:rsidR="00E93F58" w:rsidRPr="00A35C95" w:rsidRDefault="00E93F58" w:rsidP="00366AB5">
      <w:pPr>
        <w:pStyle w:val="paragraph"/>
        <w:tabs>
          <w:tab w:val="left" w:pos="2835"/>
        </w:tabs>
      </w:pPr>
      <w:r w:rsidRPr="00A35C95">
        <w:tab/>
        <w:t>(b)</w:t>
      </w:r>
      <w:r w:rsidRPr="00A35C95">
        <w:tab/>
        <w:t>in accordance with subregulation (3); or</w:t>
      </w:r>
    </w:p>
    <w:p w14:paraId="6F5FA01E" w14:textId="77777777" w:rsidR="00E93F58" w:rsidRPr="00A35C95" w:rsidRDefault="00E93F58" w:rsidP="00366AB5">
      <w:pPr>
        <w:pStyle w:val="paragraph"/>
        <w:tabs>
          <w:tab w:val="left" w:pos="2835"/>
        </w:tabs>
      </w:pPr>
      <w:r w:rsidRPr="00A35C95">
        <w:tab/>
        <w:t>(c)</w:t>
      </w:r>
      <w:r w:rsidRPr="00A35C95">
        <w:tab/>
        <w:t>to make a repayment to the fidelity fund.</w:t>
      </w:r>
    </w:p>
    <w:p w14:paraId="428E89D2" w14:textId="77777777" w:rsidR="00E93F58" w:rsidRPr="00A35C95" w:rsidRDefault="00E93F58" w:rsidP="00366AB5">
      <w:pPr>
        <w:pStyle w:val="subsection"/>
        <w:tabs>
          <w:tab w:val="left" w:pos="2835"/>
        </w:tabs>
      </w:pPr>
      <w:r w:rsidRPr="00A35C95">
        <w:tab/>
        <w:t>(2)</w:t>
      </w:r>
      <w:r w:rsidRPr="00A35C95">
        <w:tab/>
        <w:t>If the market licensee contravenes subregulation (1), the market licensee must repay the amount involved into its financial industry development account.</w:t>
      </w:r>
    </w:p>
    <w:p w14:paraId="714A1EEB" w14:textId="77777777" w:rsidR="00E93F58" w:rsidRPr="00A35C95" w:rsidRDefault="00E93F58" w:rsidP="00366AB5">
      <w:pPr>
        <w:pStyle w:val="subsection"/>
        <w:tabs>
          <w:tab w:val="left" w:pos="2835"/>
        </w:tabs>
      </w:pPr>
      <w:r w:rsidRPr="00A35C95">
        <w:tab/>
        <w:t>(3)</w:t>
      </w:r>
      <w:r w:rsidRPr="00A35C95">
        <w:tab/>
        <w:t>If there is no immediate requirement for the market licensee to use an amount of excess money in its financial industry development account:</w:t>
      </w:r>
    </w:p>
    <w:p w14:paraId="43911136" w14:textId="77777777" w:rsidR="00E93F58" w:rsidRPr="00A35C95" w:rsidRDefault="00E93F58" w:rsidP="00366AB5">
      <w:pPr>
        <w:pStyle w:val="paragraph"/>
        <w:tabs>
          <w:tab w:val="left" w:pos="2835"/>
        </w:tabs>
      </w:pPr>
      <w:r w:rsidRPr="00A35C95">
        <w:rPr>
          <w:color w:val="000000"/>
        </w:rPr>
        <w:tab/>
        <w:t>(a)</w:t>
      </w:r>
      <w:r w:rsidRPr="00A35C95">
        <w:rPr>
          <w:color w:val="000000"/>
        </w:rPr>
        <w:tab/>
        <w:t>the market licensee may invest the amount in a way authorised by section 892C of the Act; and</w:t>
      </w:r>
    </w:p>
    <w:p w14:paraId="2F4E1790" w14:textId="77777777" w:rsidR="00E93F58" w:rsidRPr="00A35C95" w:rsidRDefault="00E93F58" w:rsidP="00366AB5">
      <w:pPr>
        <w:pStyle w:val="paragraph"/>
        <w:tabs>
          <w:tab w:val="left" w:pos="2835"/>
        </w:tabs>
      </w:pPr>
      <w:r w:rsidRPr="00A35C95">
        <w:tab/>
        <w:t>(b)</w:t>
      </w:r>
      <w:r w:rsidRPr="00A35C95">
        <w:tab/>
        <w:t>if the market licensee invests excess money during a financial year, the market licensee must pay any interest or profit from the investment into its financial industry development account.</w:t>
      </w:r>
    </w:p>
    <w:p w14:paraId="61EACC12" w14:textId="77777777" w:rsidR="00E93F58" w:rsidRPr="00A35C95" w:rsidRDefault="00E93F58" w:rsidP="00366AB5">
      <w:pPr>
        <w:pStyle w:val="subsection"/>
        <w:tabs>
          <w:tab w:val="left" w:pos="2835"/>
        </w:tabs>
      </w:pPr>
      <w:r w:rsidRPr="00A35C95">
        <w:rPr>
          <w:color w:val="000000"/>
        </w:rPr>
        <w:tab/>
        <w:t>(4)</w:t>
      </w:r>
      <w:r w:rsidRPr="00A35C95">
        <w:rPr>
          <w:color w:val="000000"/>
        </w:rPr>
        <w:tab/>
        <w:t>The market licensee must, in respect of each financial year during which, at any time, there is money in its financial industry development account, lodge a completed Form 719 with ASIC not later than 3 months after the end of the financial year.</w:t>
      </w:r>
    </w:p>
    <w:p w14:paraId="07A3C9CD" w14:textId="77777777" w:rsidR="00E93F58" w:rsidRPr="00A35C95" w:rsidRDefault="00E93F58" w:rsidP="00366AB5">
      <w:pPr>
        <w:pStyle w:val="ActHead5"/>
        <w:tabs>
          <w:tab w:val="left" w:pos="2835"/>
        </w:tabs>
      </w:pPr>
      <w:bookmarkStart w:id="844" w:name="_Toc152057996"/>
      <w:bookmarkStart w:id="845" w:name="_Toc158712219"/>
      <w:r w:rsidRPr="00844D11">
        <w:rPr>
          <w:rStyle w:val="CharSectno"/>
        </w:rPr>
        <w:lastRenderedPageBreak/>
        <w:t>7.5.93</w:t>
      </w:r>
      <w:r w:rsidRPr="00A35C95">
        <w:rPr>
          <w:sz w:val="16"/>
        </w:rPr>
        <w:t xml:space="preserve">  </w:t>
      </w:r>
      <w:r w:rsidRPr="00A35C95">
        <w:t>Qualified privilege</w:t>
      </w:r>
      <w:bookmarkEnd w:id="844"/>
      <w:bookmarkEnd w:id="845"/>
    </w:p>
    <w:p w14:paraId="3181693B" w14:textId="77777777" w:rsidR="00E93F58" w:rsidRPr="00A35C95" w:rsidRDefault="00E93F58" w:rsidP="00366AB5">
      <w:pPr>
        <w:pStyle w:val="subsection"/>
        <w:tabs>
          <w:tab w:val="left" w:pos="2835"/>
        </w:tabs>
      </w:pPr>
      <w:r w:rsidRPr="00A35C95">
        <w:tab/>
        <w:t>(1)</w:t>
      </w:r>
      <w:r w:rsidRPr="00A35C95">
        <w:tab/>
        <w:t>For section 892J of the Act, the following persons each have qualified privilege in respect of the publication of a statement, in accordance with Division 3 of Part 7.5 of the Act, that a contract of insurance does, or does not cover a particular participant:</w:t>
      </w:r>
    </w:p>
    <w:p w14:paraId="4CAED945" w14:textId="77777777" w:rsidR="00E93F58" w:rsidRPr="00A35C95" w:rsidRDefault="00E93F58" w:rsidP="00366AB5">
      <w:pPr>
        <w:pStyle w:val="paragraph"/>
        <w:tabs>
          <w:tab w:val="left" w:pos="2835"/>
        </w:tabs>
      </w:pPr>
      <w:r w:rsidRPr="00A35C95">
        <w:rPr>
          <w:color w:val="000000"/>
        </w:rPr>
        <w:tab/>
        <w:t>(a)</w:t>
      </w:r>
      <w:r w:rsidRPr="00A35C95">
        <w:rPr>
          <w:color w:val="000000"/>
        </w:rPr>
        <w:tab/>
        <w:t>a market licensee;</w:t>
      </w:r>
    </w:p>
    <w:p w14:paraId="6AD207ED" w14:textId="77777777" w:rsidR="00E93F58" w:rsidRPr="00A35C95" w:rsidRDefault="00E93F58" w:rsidP="00366AB5">
      <w:pPr>
        <w:pStyle w:val="paragraph"/>
        <w:tabs>
          <w:tab w:val="left" w:pos="2835"/>
        </w:tabs>
      </w:pPr>
      <w:r w:rsidRPr="00A35C95">
        <w:tab/>
        <w:t>(b)</w:t>
      </w:r>
      <w:r w:rsidRPr="00A35C95">
        <w:tab/>
        <w:t>the board of the market licensee;</w:t>
      </w:r>
    </w:p>
    <w:p w14:paraId="16870377" w14:textId="77777777" w:rsidR="00E93F58" w:rsidRPr="00A35C95" w:rsidRDefault="00E93F58" w:rsidP="00366AB5">
      <w:pPr>
        <w:pStyle w:val="paragraph"/>
        <w:tabs>
          <w:tab w:val="left" w:pos="2835"/>
        </w:tabs>
      </w:pPr>
      <w:r w:rsidRPr="00A35C95">
        <w:tab/>
        <w:t>(c)</w:t>
      </w:r>
      <w:r w:rsidRPr="00A35C95">
        <w:tab/>
        <w:t>an agent of the board of the market licensee;</w:t>
      </w:r>
    </w:p>
    <w:p w14:paraId="549CA327" w14:textId="77777777" w:rsidR="00E93F58" w:rsidRPr="00A35C95" w:rsidRDefault="00E93F58" w:rsidP="00366AB5">
      <w:pPr>
        <w:pStyle w:val="paragraph"/>
        <w:tabs>
          <w:tab w:val="left" w:pos="2835"/>
        </w:tabs>
      </w:pPr>
      <w:r w:rsidRPr="00A35C95">
        <w:tab/>
        <w:t>(d)</w:t>
      </w:r>
      <w:r w:rsidRPr="00A35C95">
        <w:tab/>
        <w:t>an employee of a market licensee.</w:t>
      </w:r>
    </w:p>
    <w:p w14:paraId="182BEE7B" w14:textId="77777777" w:rsidR="00E93F58" w:rsidRPr="00A35C95" w:rsidRDefault="00E93F58" w:rsidP="00366AB5">
      <w:pPr>
        <w:pStyle w:val="subsection"/>
        <w:tabs>
          <w:tab w:val="left" w:pos="2835"/>
        </w:tabs>
      </w:pPr>
      <w:r w:rsidRPr="00A35C95">
        <w:tab/>
        <w:t>(2)</w:t>
      </w:r>
      <w:r w:rsidRPr="00A35C95">
        <w:tab/>
        <w:t>For section 892J of the Act, the following persons each have qualified privilege in respect of a notice, in accordance with Division 3 of Part 7.5 of the Act, seeking claims in relation to a particular participant of a financial market:</w:t>
      </w:r>
    </w:p>
    <w:p w14:paraId="686899F5" w14:textId="77777777" w:rsidR="00E93F58" w:rsidRPr="00A35C95" w:rsidRDefault="00E93F58" w:rsidP="00366AB5">
      <w:pPr>
        <w:pStyle w:val="paragraph"/>
        <w:tabs>
          <w:tab w:val="left" w:pos="2835"/>
        </w:tabs>
      </w:pPr>
      <w:r w:rsidRPr="00A35C95">
        <w:rPr>
          <w:color w:val="000000"/>
        </w:rPr>
        <w:tab/>
        <w:t>(a)</w:t>
      </w:r>
      <w:r w:rsidRPr="00A35C95">
        <w:rPr>
          <w:color w:val="000000"/>
        </w:rPr>
        <w:tab/>
        <w:t>a market licensee;</w:t>
      </w:r>
    </w:p>
    <w:p w14:paraId="0FE72B77" w14:textId="77777777" w:rsidR="00E93F58" w:rsidRPr="00A35C95" w:rsidRDefault="00E93F58" w:rsidP="00366AB5">
      <w:pPr>
        <w:pStyle w:val="paragraph"/>
        <w:tabs>
          <w:tab w:val="left" w:pos="2835"/>
        </w:tabs>
      </w:pPr>
      <w:r w:rsidRPr="00A35C95">
        <w:tab/>
        <w:t>(b)</w:t>
      </w:r>
      <w:r w:rsidRPr="00A35C95">
        <w:tab/>
        <w:t>the board of the market licensee;</w:t>
      </w:r>
    </w:p>
    <w:p w14:paraId="327B3771" w14:textId="77777777" w:rsidR="00E93F58" w:rsidRPr="00A35C95" w:rsidRDefault="00E93F58" w:rsidP="00366AB5">
      <w:pPr>
        <w:pStyle w:val="paragraph"/>
        <w:tabs>
          <w:tab w:val="left" w:pos="2835"/>
        </w:tabs>
      </w:pPr>
      <w:r w:rsidRPr="00A35C95">
        <w:tab/>
        <w:t>(c)</w:t>
      </w:r>
      <w:r w:rsidRPr="00A35C95">
        <w:tab/>
        <w:t>an agent of the board of the market licensee;</w:t>
      </w:r>
    </w:p>
    <w:p w14:paraId="3C0AC145" w14:textId="77777777" w:rsidR="00E93F58" w:rsidRPr="00A35C95" w:rsidRDefault="00E93F58" w:rsidP="00366AB5">
      <w:pPr>
        <w:pStyle w:val="paragraph"/>
        <w:tabs>
          <w:tab w:val="left" w:pos="2835"/>
        </w:tabs>
      </w:pPr>
      <w:r w:rsidRPr="00A35C95">
        <w:tab/>
        <w:t>(d)</w:t>
      </w:r>
      <w:r w:rsidRPr="00A35C95">
        <w:tab/>
        <w:t>an employee of a market licensee.</w:t>
      </w:r>
    </w:p>
    <w:p w14:paraId="03A53808" w14:textId="77777777" w:rsidR="00E93F58" w:rsidRPr="00A35C95" w:rsidRDefault="00E93F58" w:rsidP="00366AB5">
      <w:pPr>
        <w:pStyle w:val="ActHead2"/>
        <w:pageBreakBefore/>
        <w:tabs>
          <w:tab w:val="left" w:pos="2835"/>
        </w:tabs>
      </w:pPr>
      <w:bookmarkStart w:id="846" w:name="_Toc152057997"/>
      <w:bookmarkStart w:id="847" w:name="_Toc158712220"/>
      <w:r w:rsidRPr="00844D11">
        <w:rPr>
          <w:rStyle w:val="CharPartNo"/>
        </w:rPr>
        <w:lastRenderedPageBreak/>
        <w:t>Part 7.5A</w:t>
      </w:r>
      <w:r w:rsidRPr="00A35C95">
        <w:rPr>
          <w:strike/>
        </w:rPr>
        <w:t>—</w:t>
      </w:r>
      <w:r w:rsidRPr="00844D11">
        <w:rPr>
          <w:rStyle w:val="CharPartText"/>
        </w:rPr>
        <w:t>Regulation of derivative transactions and derivative trade repositories</w:t>
      </w:r>
      <w:bookmarkEnd w:id="846"/>
      <w:bookmarkEnd w:id="847"/>
    </w:p>
    <w:p w14:paraId="746334B7" w14:textId="77777777" w:rsidR="00E93F58" w:rsidRPr="00A35C95" w:rsidRDefault="00E93F58" w:rsidP="00366AB5">
      <w:pPr>
        <w:pStyle w:val="ActHead3"/>
        <w:tabs>
          <w:tab w:val="left" w:pos="2835"/>
        </w:tabs>
      </w:pPr>
      <w:bookmarkStart w:id="848" w:name="_Toc152057998"/>
      <w:bookmarkStart w:id="849" w:name="_Toc158712221"/>
      <w:r w:rsidRPr="00844D11">
        <w:rPr>
          <w:rStyle w:val="CharDivNo"/>
        </w:rPr>
        <w:t>Division 2</w:t>
      </w:r>
      <w:r w:rsidRPr="00A35C95">
        <w:t>—</w:t>
      </w:r>
      <w:r w:rsidRPr="00844D11">
        <w:rPr>
          <w:rStyle w:val="CharDivText"/>
        </w:rPr>
        <w:t>Regulation of derivative transactions: derivative transaction rules</w:t>
      </w:r>
      <w:bookmarkEnd w:id="848"/>
      <w:bookmarkEnd w:id="849"/>
    </w:p>
    <w:p w14:paraId="1CEA37F5" w14:textId="77777777" w:rsidR="00E93F58" w:rsidRPr="00A35C95" w:rsidRDefault="00E93F58" w:rsidP="00366AB5">
      <w:pPr>
        <w:pStyle w:val="ActHead4"/>
        <w:tabs>
          <w:tab w:val="left" w:pos="2835"/>
        </w:tabs>
        <w:rPr>
          <w:strike/>
        </w:rPr>
      </w:pPr>
      <w:bookmarkStart w:id="850" w:name="_Toc152057999"/>
      <w:bookmarkStart w:id="851" w:name="_Toc158712222"/>
      <w:r w:rsidRPr="00844D11">
        <w:rPr>
          <w:rStyle w:val="CharSubdNo"/>
        </w:rPr>
        <w:t>Subdivision 2.1</w:t>
      </w:r>
      <w:r w:rsidRPr="00A35C95">
        <w:rPr>
          <w:strike/>
        </w:rPr>
        <w:t>—</w:t>
      </w:r>
      <w:r w:rsidRPr="00844D11">
        <w:rPr>
          <w:rStyle w:val="CharSubdText"/>
        </w:rPr>
        <w:t>Power to make derivative transaction rules</w:t>
      </w:r>
      <w:bookmarkEnd w:id="850"/>
      <w:bookmarkEnd w:id="851"/>
    </w:p>
    <w:p w14:paraId="607185FF" w14:textId="77777777" w:rsidR="00E93F58" w:rsidRPr="00A35C95" w:rsidRDefault="00E93F58" w:rsidP="00366AB5">
      <w:pPr>
        <w:pStyle w:val="ActHead5"/>
        <w:tabs>
          <w:tab w:val="left" w:pos="2835"/>
        </w:tabs>
      </w:pPr>
      <w:bookmarkStart w:id="852" w:name="_Toc152058000"/>
      <w:bookmarkStart w:id="853" w:name="_Toc158712223"/>
      <w:r w:rsidRPr="00844D11">
        <w:rPr>
          <w:rStyle w:val="CharSectno"/>
        </w:rPr>
        <w:t>7.5A.30</w:t>
      </w:r>
      <w:r w:rsidRPr="00A35C95">
        <w:t xml:space="preserve">  Reporting requirements—prescribed facilities</w:t>
      </w:r>
      <w:bookmarkEnd w:id="852"/>
      <w:bookmarkEnd w:id="853"/>
    </w:p>
    <w:p w14:paraId="7E2E7939" w14:textId="77777777" w:rsidR="00E93F58" w:rsidRPr="00A35C95" w:rsidRDefault="00E93F58" w:rsidP="00366AB5">
      <w:pPr>
        <w:pStyle w:val="subsection"/>
        <w:tabs>
          <w:tab w:val="left" w:pos="2835"/>
        </w:tabs>
      </w:pPr>
      <w:r w:rsidRPr="00A35C95">
        <w:tab/>
        <w:t>(1)</w:t>
      </w:r>
      <w:r w:rsidRPr="00A35C95">
        <w:tab/>
        <w:t>This regulation is made for paragraph 901A(6)(b) of the Act.</w:t>
      </w:r>
    </w:p>
    <w:p w14:paraId="57ED8DFF" w14:textId="77777777" w:rsidR="00E93F58" w:rsidRPr="00A35C95" w:rsidRDefault="00E93F58" w:rsidP="00366AB5">
      <w:pPr>
        <w:pStyle w:val="subsection"/>
        <w:tabs>
          <w:tab w:val="left" w:pos="2835"/>
        </w:tabs>
      </w:pPr>
      <w:r w:rsidRPr="00A35C95">
        <w:tab/>
        <w:t>(2)</w:t>
      </w:r>
      <w:r w:rsidRPr="00A35C95">
        <w:tab/>
        <w:t>Each facility in the following list is prescribed in relation to a class of derivatives if the facility is licensed, authorised or registered to operate as a derivative trade repository for that class of derivatives under a law of a foreign jurisdiction:</w:t>
      </w:r>
    </w:p>
    <w:p w14:paraId="4F6D4714" w14:textId="77777777" w:rsidR="00E93F58" w:rsidRPr="00A35C95" w:rsidRDefault="00E93F58" w:rsidP="00366AB5">
      <w:pPr>
        <w:pStyle w:val="paragraph"/>
        <w:tabs>
          <w:tab w:val="left" w:pos="2835"/>
        </w:tabs>
      </w:pPr>
      <w:r w:rsidRPr="00A35C95">
        <w:tab/>
        <w:t>(a)</w:t>
      </w:r>
      <w:r w:rsidRPr="00A35C95">
        <w:tab/>
        <w:t>DTCC Data Repository (U.S.) LLC;</w:t>
      </w:r>
    </w:p>
    <w:p w14:paraId="2E4CA322" w14:textId="77777777" w:rsidR="00E93F58" w:rsidRPr="00A35C95" w:rsidRDefault="00E93F58" w:rsidP="00366AB5">
      <w:pPr>
        <w:pStyle w:val="paragraph"/>
        <w:tabs>
          <w:tab w:val="left" w:pos="2835"/>
        </w:tabs>
      </w:pPr>
      <w:r w:rsidRPr="00A35C95">
        <w:tab/>
        <w:t>(b)</w:t>
      </w:r>
      <w:r w:rsidRPr="00A35C95">
        <w:tab/>
        <w:t>DTCC Derivatives Repository Ltd.;</w:t>
      </w:r>
    </w:p>
    <w:p w14:paraId="4D1B1329" w14:textId="77777777" w:rsidR="00E93F58" w:rsidRPr="00A35C95" w:rsidRDefault="00E93F58" w:rsidP="00366AB5">
      <w:pPr>
        <w:pStyle w:val="paragraph"/>
        <w:tabs>
          <w:tab w:val="left" w:pos="2835"/>
        </w:tabs>
      </w:pPr>
      <w:r w:rsidRPr="00A35C95">
        <w:tab/>
        <w:t>(c)</w:t>
      </w:r>
      <w:r w:rsidRPr="00A35C95">
        <w:tab/>
        <w:t>DTCC Data Repository (Japan) KK;</w:t>
      </w:r>
    </w:p>
    <w:p w14:paraId="22BAF47F" w14:textId="77777777" w:rsidR="00E93F58" w:rsidRPr="00A35C95" w:rsidRDefault="00E93F58" w:rsidP="00366AB5">
      <w:pPr>
        <w:pStyle w:val="paragraph"/>
        <w:tabs>
          <w:tab w:val="left" w:pos="2835"/>
        </w:tabs>
      </w:pPr>
      <w:r w:rsidRPr="00A35C95">
        <w:tab/>
        <w:t>(d)</w:t>
      </w:r>
      <w:r w:rsidRPr="00A35C95">
        <w:tab/>
        <w:t>DTCC Data Repository (Singapore) Pte Ltd;</w:t>
      </w:r>
    </w:p>
    <w:p w14:paraId="7942757D" w14:textId="77777777" w:rsidR="00E93F58" w:rsidRPr="00A35C95" w:rsidRDefault="00E93F58" w:rsidP="00366AB5">
      <w:pPr>
        <w:pStyle w:val="paragraph"/>
        <w:tabs>
          <w:tab w:val="left" w:pos="2835"/>
        </w:tabs>
      </w:pPr>
      <w:r w:rsidRPr="00A35C95">
        <w:tab/>
        <w:t>(e)</w:t>
      </w:r>
      <w:r w:rsidRPr="00A35C95">
        <w:tab/>
        <w:t>Chicago Mercantile Exchange Inc.;</w:t>
      </w:r>
    </w:p>
    <w:p w14:paraId="05A235F3" w14:textId="77777777" w:rsidR="00E93F58" w:rsidRPr="00A35C95" w:rsidRDefault="00E93F58" w:rsidP="00366AB5">
      <w:pPr>
        <w:pStyle w:val="paragraph"/>
        <w:tabs>
          <w:tab w:val="left" w:pos="2835"/>
        </w:tabs>
      </w:pPr>
      <w:r w:rsidRPr="00A35C95">
        <w:tab/>
        <w:t>(f)</w:t>
      </w:r>
      <w:r w:rsidRPr="00A35C95">
        <w:tab/>
        <w:t>INFX SDR, Inc.;</w:t>
      </w:r>
    </w:p>
    <w:p w14:paraId="3AFC505E" w14:textId="77777777" w:rsidR="00E93F58" w:rsidRPr="00A35C95" w:rsidRDefault="00E93F58" w:rsidP="00366AB5">
      <w:pPr>
        <w:pStyle w:val="paragraph"/>
        <w:tabs>
          <w:tab w:val="left" w:pos="2835"/>
        </w:tabs>
      </w:pPr>
      <w:r w:rsidRPr="00A35C95">
        <w:tab/>
        <w:t>(g)</w:t>
      </w:r>
      <w:r w:rsidRPr="00A35C95">
        <w:tab/>
        <w:t>ICE Trade Vault, LLC;</w:t>
      </w:r>
    </w:p>
    <w:p w14:paraId="7CA3FC9D" w14:textId="77777777" w:rsidR="00E93F58" w:rsidRPr="00A35C95" w:rsidRDefault="00E93F58" w:rsidP="00366AB5">
      <w:pPr>
        <w:pStyle w:val="paragraph"/>
        <w:tabs>
          <w:tab w:val="left" w:pos="2835"/>
        </w:tabs>
      </w:pPr>
      <w:r w:rsidRPr="00A35C95">
        <w:tab/>
        <w:t>(h)</w:t>
      </w:r>
      <w:r w:rsidRPr="00A35C95">
        <w:tab/>
        <w:t xml:space="preserve">the Monetary Authority appointed under section 5A of the </w:t>
      </w:r>
      <w:r w:rsidRPr="00A35C95">
        <w:rPr>
          <w:i/>
        </w:rPr>
        <w:t>Exchange Fund Ordinance</w:t>
      </w:r>
      <w:r w:rsidRPr="00A35C95">
        <w:t xml:space="preserve"> of Hong Kong;</w:t>
      </w:r>
    </w:p>
    <w:p w14:paraId="3A1F0467" w14:textId="77777777" w:rsidR="00E93F58" w:rsidRPr="00A35C95" w:rsidRDefault="00E93F58" w:rsidP="00366AB5">
      <w:pPr>
        <w:pStyle w:val="paragraph"/>
        <w:tabs>
          <w:tab w:val="left" w:pos="2835"/>
        </w:tabs>
      </w:pPr>
      <w:r w:rsidRPr="00A35C95">
        <w:tab/>
        <w:t>(i)</w:t>
      </w:r>
      <w:r w:rsidRPr="00A35C95">
        <w:tab/>
        <w:t>UnaVista Limited;</w:t>
      </w:r>
    </w:p>
    <w:p w14:paraId="52F8B683" w14:textId="77777777" w:rsidR="00E93F58" w:rsidRPr="00A35C95" w:rsidRDefault="00E93F58" w:rsidP="00366AB5">
      <w:pPr>
        <w:pStyle w:val="paragraph"/>
        <w:tabs>
          <w:tab w:val="left" w:pos="2835"/>
        </w:tabs>
      </w:pPr>
      <w:r w:rsidRPr="00A35C95">
        <w:tab/>
        <w:t>(j)</w:t>
      </w:r>
      <w:r w:rsidRPr="00A35C95">
        <w:tab/>
        <w:t>a facility determined by ASIC for the purposes of this paragraph.</w:t>
      </w:r>
    </w:p>
    <w:p w14:paraId="2A7EAA4A" w14:textId="77777777" w:rsidR="00E93F58" w:rsidRPr="00A35C95" w:rsidRDefault="00E93F58" w:rsidP="00366AB5">
      <w:pPr>
        <w:pStyle w:val="subsection"/>
        <w:tabs>
          <w:tab w:val="left" w:pos="2835"/>
        </w:tabs>
      </w:pPr>
      <w:r w:rsidRPr="00A35C95">
        <w:tab/>
        <w:t>(2A)</w:t>
      </w:r>
      <w:r w:rsidRPr="00A35C95">
        <w:tab/>
        <w:t>ASIC must not determine a facility under paragraph (2)(j), unless ASIC is satisfied that:</w:t>
      </w:r>
    </w:p>
    <w:p w14:paraId="5857A589" w14:textId="77777777" w:rsidR="00E93F58" w:rsidRPr="00A35C95" w:rsidRDefault="00E93F58" w:rsidP="00366AB5">
      <w:pPr>
        <w:pStyle w:val="paragraph"/>
        <w:tabs>
          <w:tab w:val="left" w:pos="2835"/>
        </w:tabs>
      </w:pPr>
      <w:r w:rsidRPr="00A35C95">
        <w:tab/>
        <w:t>(a)</w:t>
      </w:r>
      <w:r w:rsidRPr="00A35C95">
        <w:tab/>
        <w:t>either:</w:t>
      </w:r>
    </w:p>
    <w:p w14:paraId="35764BA4" w14:textId="77777777" w:rsidR="00E93F58" w:rsidRPr="00A35C95" w:rsidRDefault="00E93F58" w:rsidP="00366AB5">
      <w:pPr>
        <w:pStyle w:val="paragraphsub"/>
        <w:tabs>
          <w:tab w:val="left" w:pos="2835"/>
        </w:tabs>
      </w:pPr>
      <w:r w:rsidRPr="00A35C95">
        <w:tab/>
        <w:t>(i)</w:t>
      </w:r>
      <w:r w:rsidRPr="00A35C95">
        <w:tab/>
        <w:t>the facility has adopted rules, procedures or processes that substantially implement the CPSS</w:t>
      </w:r>
      <w:r>
        <w:noBreakHyphen/>
      </w:r>
      <w:r w:rsidRPr="00A35C95">
        <w:t>IOSCO Principles applicable to the regulation of derivative trade repositories; or</w:t>
      </w:r>
    </w:p>
    <w:p w14:paraId="1640A860" w14:textId="77777777" w:rsidR="00E93F58" w:rsidRPr="00A35C95" w:rsidRDefault="00E93F58" w:rsidP="00366AB5">
      <w:pPr>
        <w:pStyle w:val="paragraphsub"/>
        <w:tabs>
          <w:tab w:val="left" w:pos="2835"/>
        </w:tabs>
      </w:pPr>
      <w:r w:rsidRPr="00A35C95">
        <w:tab/>
        <w:t>(ii)</w:t>
      </w:r>
      <w:r w:rsidRPr="00A35C95">
        <w:tab/>
        <w:t>the foreign jurisdiction concerned has adopted legislation, policies, standards or practices that substantially implement the CPSS</w:t>
      </w:r>
      <w:r>
        <w:noBreakHyphen/>
      </w:r>
      <w:r w:rsidRPr="00A35C95">
        <w:t>IOSCO Principles applicable to the regulation of derivative trade repositories; and</w:t>
      </w:r>
    </w:p>
    <w:p w14:paraId="49881D87" w14:textId="77777777" w:rsidR="00E93F58" w:rsidRPr="00A35C95" w:rsidRDefault="00E93F58" w:rsidP="00366AB5">
      <w:pPr>
        <w:pStyle w:val="paragraph"/>
        <w:tabs>
          <w:tab w:val="left" w:pos="2835"/>
        </w:tabs>
      </w:pPr>
      <w:r w:rsidRPr="00A35C95">
        <w:tab/>
        <w:t>(b)</w:t>
      </w:r>
      <w:r w:rsidRPr="00A35C95">
        <w:tab/>
        <w:t>adequate arrangements exist for cooperation between ASIC and an appropriate authority responsible for licensing, authorising or registering the facility as a derivative trade repository in the foreign jurisdiction.</w:t>
      </w:r>
    </w:p>
    <w:p w14:paraId="05E195CB" w14:textId="77777777" w:rsidR="00E93F58" w:rsidRPr="00A35C95" w:rsidRDefault="00E93F58" w:rsidP="00366AB5">
      <w:pPr>
        <w:pStyle w:val="subsection"/>
        <w:tabs>
          <w:tab w:val="left" w:pos="2835"/>
        </w:tabs>
      </w:pPr>
      <w:r w:rsidRPr="00A35C95">
        <w:tab/>
        <w:t>(2B)</w:t>
      </w:r>
      <w:r w:rsidRPr="00A35C95">
        <w:tab/>
        <w:t>A determination made under paragraph (2)(j):</w:t>
      </w:r>
    </w:p>
    <w:p w14:paraId="3A3C46BE" w14:textId="77777777" w:rsidR="00E93F58" w:rsidRPr="00A35C95" w:rsidRDefault="00E93F58" w:rsidP="00366AB5">
      <w:pPr>
        <w:pStyle w:val="paragraph"/>
        <w:tabs>
          <w:tab w:val="left" w:pos="2835"/>
        </w:tabs>
      </w:pPr>
      <w:r w:rsidRPr="00A35C95">
        <w:tab/>
        <w:t>(a)</w:t>
      </w:r>
      <w:r w:rsidRPr="00A35C95">
        <w:tab/>
        <w:t>must be published by ASIC in the Gazette; and</w:t>
      </w:r>
    </w:p>
    <w:p w14:paraId="3572B121" w14:textId="77777777" w:rsidR="00E93F58" w:rsidRPr="00A35C95" w:rsidRDefault="00E93F58" w:rsidP="00366AB5">
      <w:pPr>
        <w:pStyle w:val="paragraph"/>
        <w:tabs>
          <w:tab w:val="left" w:pos="2835"/>
        </w:tabs>
      </w:pPr>
      <w:r w:rsidRPr="00A35C95">
        <w:tab/>
        <w:t>(b)</w:t>
      </w:r>
      <w:r w:rsidRPr="00A35C95">
        <w:tab/>
        <w:t>is not a legislative instrument.</w:t>
      </w:r>
    </w:p>
    <w:p w14:paraId="0C020B1E" w14:textId="77777777" w:rsidR="00E93F58" w:rsidRPr="00A35C95" w:rsidRDefault="00E93F58" w:rsidP="00366AB5">
      <w:pPr>
        <w:pStyle w:val="subsection"/>
        <w:tabs>
          <w:tab w:val="left" w:pos="2835"/>
        </w:tabs>
      </w:pPr>
      <w:r w:rsidRPr="00A35C95">
        <w:tab/>
        <w:t>(3)</w:t>
      </w:r>
      <w:r w:rsidRPr="00A35C95">
        <w:tab/>
        <w:t>Paragraphs (2)(a) to (i) cease to have effect at the end of 30 June 2015.</w:t>
      </w:r>
    </w:p>
    <w:p w14:paraId="4571465B" w14:textId="77777777" w:rsidR="00E93F58" w:rsidRPr="00A35C95" w:rsidRDefault="00E93F58" w:rsidP="00366AB5">
      <w:pPr>
        <w:pStyle w:val="subsection"/>
        <w:tabs>
          <w:tab w:val="left" w:pos="2835"/>
        </w:tabs>
      </w:pPr>
      <w:r w:rsidRPr="00A35C95">
        <w:tab/>
        <w:t>(4)</w:t>
      </w:r>
      <w:r w:rsidRPr="00A35C95">
        <w:tab/>
        <w:t>In this regulation:</w:t>
      </w:r>
    </w:p>
    <w:p w14:paraId="25A4DD56" w14:textId="77777777" w:rsidR="00E93F58" w:rsidRPr="00A35C95" w:rsidRDefault="00E93F58" w:rsidP="00366AB5">
      <w:pPr>
        <w:pStyle w:val="Definition"/>
        <w:tabs>
          <w:tab w:val="left" w:pos="2835"/>
        </w:tabs>
      </w:pPr>
      <w:r w:rsidRPr="00A35C95">
        <w:rPr>
          <w:b/>
          <w:i/>
        </w:rPr>
        <w:t>CPSS</w:t>
      </w:r>
      <w:r>
        <w:rPr>
          <w:b/>
          <w:i/>
        </w:rPr>
        <w:noBreakHyphen/>
      </w:r>
      <w:r w:rsidRPr="00A35C95">
        <w:rPr>
          <w:b/>
          <w:i/>
        </w:rPr>
        <w:t>IOSCO Principles</w:t>
      </w:r>
      <w:r w:rsidRPr="00A35C95">
        <w:t xml:space="preserve"> means the principles for financial market infrastructures:</w:t>
      </w:r>
    </w:p>
    <w:p w14:paraId="40CC02A3" w14:textId="77777777" w:rsidR="00E93F58" w:rsidRPr="00A35C95" w:rsidRDefault="00E93F58" w:rsidP="00366AB5">
      <w:pPr>
        <w:pStyle w:val="paragraph"/>
        <w:tabs>
          <w:tab w:val="left" w:pos="2835"/>
        </w:tabs>
      </w:pPr>
      <w:r w:rsidRPr="00A35C95">
        <w:tab/>
        <w:t>(a)</w:t>
      </w:r>
      <w:r w:rsidRPr="00A35C95">
        <w:tab/>
        <w:t xml:space="preserve">issued in April 2012 by the Committee on Payment and Settlement Systems (the </w:t>
      </w:r>
      <w:r w:rsidRPr="00A35C95">
        <w:rPr>
          <w:b/>
          <w:i/>
        </w:rPr>
        <w:t>CPSS</w:t>
      </w:r>
      <w:r w:rsidRPr="00A35C95">
        <w:t xml:space="preserve">) and the International Organization of Securities Commissions (the </w:t>
      </w:r>
      <w:r w:rsidRPr="00A35C95">
        <w:rPr>
          <w:b/>
          <w:i/>
        </w:rPr>
        <w:t>IOSCO</w:t>
      </w:r>
      <w:r w:rsidRPr="00A35C95">
        <w:t>); and</w:t>
      </w:r>
    </w:p>
    <w:p w14:paraId="6D8DEB3F" w14:textId="77777777" w:rsidR="00E93F58" w:rsidRPr="00A35C95" w:rsidRDefault="00E93F58" w:rsidP="00366AB5">
      <w:pPr>
        <w:pStyle w:val="paragraph"/>
        <w:tabs>
          <w:tab w:val="left" w:pos="2835"/>
        </w:tabs>
      </w:pPr>
      <w:r w:rsidRPr="00A35C95">
        <w:tab/>
        <w:t>(b)</w:t>
      </w:r>
      <w:r w:rsidRPr="00A35C95">
        <w:tab/>
        <w:t>as supplemented, superseded or modified from time to time by principles, recommendations or standards issued by the CPSS or IOSCO (or a successor of the CPSS or IOSCO).</w:t>
      </w:r>
    </w:p>
    <w:p w14:paraId="7886CD63" w14:textId="77777777" w:rsidR="00E93F58" w:rsidRPr="00A35C95" w:rsidRDefault="00E93F58" w:rsidP="00366AB5">
      <w:pPr>
        <w:pStyle w:val="ActHead5"/>
        <w:tabs>
          <w:tab w:val="left" w:pos="2835"/>
        </w:tabs>
      </w:pPr>
      <w:bookmarkStart w:id="854" w:name="_Toc152058001"/>
      <w:bookmarkStart w:id="855" w:name="_Toc158712224"/>
      <w:r w:rsidRPr="00844D11">
        <w:rPr>
          <w:rStyle w:val="CharSectno"/>
        </w:rPr>
        <w:t>7.5A.50</w:t>
      </w:r>
      <w:r w:rsidRPr="00A35C95">
        <w:t xml:space="preserve">  Persons on whom requirements cannot be imposed</w:t>
      </w:r>
      <w:bookmarkEnd w:id="854"/>
      <w:bookmarkEnd w:id="855"/>
    </w:p>
    <w:p w14:paraId="668258C2" w14:textId="77777777" w:rsidR="00E93F58" w:rsidRPr="00A35C95" w:rsidRDefault="00E93F58" w:rsidP="00366AB5">
      <w:pPr>
        <w:pStyle w:val="subsection"/>
        <w:tabs>
          <w:tab w:val="left" w:pos="2835"/>
        </w:tabs>
      </w:pPr>
      <w:r w:rsidRPr="00A35C95">
        <w:tab/>
        <w:t>(1)</w:t>
      </w:r>
      <w:r w:rsidRPr="00A35C95">
        <w:tab/>
        <w:t>This regulation is made for paragraph 901D(a) of the Act.</w:t>
      </w:r>
    </w:p>
    <w:p w14:paraId="3193E5D1" w14:textId="77777777" w:rsidR="00E93F58" w:rsidRPr="00A35C95" w:rsidRDefault="00E93F58" w:rsidP="00366AB5">
      <w:pPr>
        <w:pStyle w:val="subsection"/>
        <w:tabs>
          <w:tab w:val="left" w:pos="2835"/>
        </w:tabs>
      </w:pPr>
      <w:r w:rsidRPr="00A35C95">
        <w:tab/>
        <w:t>(2)</w:t>
      </w:r>
      <w:r w:rsidRPr="00A35C95">
        <w:tab/>
        <w:t>The class of persons on whom the derivative transaction rules cannot impose requirements consists of end users.</w:t>
      </w:r>
    </w:p>
    <w:p w14:paraId="11E44684" w14:textId="77777777" w:rsidR="00E93F58" w:rsidRPr="00A35C95" w:rsidRDefault="00E93F58" w:rsidP="00366AB5">
      <w:pPr>
        <w:pStyle w:val="subsection"/>
        <w:tabs>
          <w:tab w:val="left" w:pos="2835"/>
        </w:tabs>
      </w:pPr>
      <w:r w:rsidRPr="00A35C95">
        <w:tab/>
        <w:t>(2A)</w:t>
      </w:r>
      <w:r w:rsidRPr="00A35C95">
        <w:tab/>
        <w:t>Also, the derivative transaction rules cannot impose requirements relating to a class of derivatives on financial services licensees:</w:t>
      </w:r>
    </w:p>
    <w:p w14:paraId="7D71E348" w14:textId="77777777" w:rsidR="00E93F58" w:rsidRPr="00A35C95" w:rsidRDefault="00E93F58" w:rsidP="00366AB5">
      <w:pPr>
        <w:pStyle w:val="paragraph"/>
        <w:tabs>
          <w:tab w:val="left" w:pos="2835"/>
        </w:tabs>
      </w:pPr>
      <w:r w:rsidRPr="00A35C95">
        <w:lastRenderedPageBreak/>
        <w:tab/>
        <w:t>(a)</w:t>
      </w:r>
      <w:r w:rsidRPr="00A35C95">
        <w:tab/>
        <w:t>who are taken not to be end users only because of paragraph (3)(c); and</w:t>
      </w:r>
    </w:p>
    <w:p w14:paraId="15293D3E" w14:textId="77777777" w:rsidR="00E93F58" w:rsidRPr="00A35C95" w:rsidRDefault="00E93F58" w:rsidP="00366AB5">
      <w:pPr>
        <w:pStyle w:val="paragraph"/>
        <w:tabs>
          <w:tab w:val="left" w:pos="2835"/>
        </w:tabs>
      </w:pPr>
      <w:r w:rsidRPr="00A35C95">
        <w:tab/>
        <w:t>(b)</w:t>
      </w:r>
      <w:r w:rsidRPr="00A35C95">
        <w:tab/>
        <w:t>whose Australian financial services licences do not authorise them to provide financial services in relation to that class of derivatives.</w:t>
      </w:r>
    </w:p>
    <w:p w14:paraId="6A1F1F34" w14:textId="77777777" w:rsidR="00E93F58" w:rsidRPr="00A35C95" w:rsidRDefault="00E93F58" w:rsidP="00366AB5">
      <w:pPr>
        <w:pStyle w:val="subsection"/>
        <w:tabs>
          <w:tab w:val="left" w:pos="2835"/>
        </w:tabs>
      </w:pPr>
      <w:r w:rsidRPr="00A35C95">
        <w:tab/>
        <w:t>(3)</w:t>
      </w:r>
      <w:r w:rsidRPr="00A35C95">
        <w:tab/>
        <w:t xml:space="preserve">An </w:t>
      </w:r>
      <w:r w:rsidRPr="00A35C95">
        <w:rPr>
          <w:b/>
          <w:i/>
        </w:rPr>
        <w:t>end user</w:t>
      </w:r>
      <w:r w:rsidRPr="00A35C95">
        <w:t xml:space="preserve"> is a person who is not:</w:t>
      </w:r>
    </w:p>
    <w:p w14:paraId="46FD0A1F" w14:textId="77777777" w:rsidR="00E93F58" w:rsidRPr="00A35C95" w:rsidRDefault="00E93F58" w:rsidP="00366AB5">
      <w:pPr>
        <w:pStyle w:val="paragraph"/>
        <w:tabs>
          <w:tab w:val="left" w:pos="2835"/>
        </w:tabs>
      </w:pPr>
      <w:r w:rsidRPr="00A35C95">
        <w:tab/>
        <w:t>(a)</w:t>
      </w:r>
      <w:r w:rsidRPr="00A35C95">
        <w:tab/>
        <w:t>an Australian ADI; or</w:t>
      </w:r>
    </w:p>
    <w:p w14:paraId="747A273E" w14:textId="77777777" w:rsidR="00E93F58" w:rsidRPr="00A35C95" w:rsidRDefault="00E93F58" w:rsidP="00366AB5">
      <w:pPr>
        <w:pStyle w:val="paragraph"/>
        <w:tabs>
          <w:tab w:val="left" w:pos="2835"/>
        </w:tabs>
      </w:pPr>
      <w:r w:rsidRPr="00A35C95">
        <w:tab/>
        <w:t>(b)</w:t>
      </w:r>
      <w:r w:rsidRPr="00A35C95">
        <w:tab/>
        <w:t>a CS facility licensee; or</w:t>
      </w:r>
    </w:p>
    <w:p w14:paraId="0D406984" w14:textId="77777777" w:rsidR="00E93F58" w:rsidRPr="00A35C95" w:rsidRDefault="00E93F58" w:rsidP="00366AB5">
      <w:pPr>
        <w:pStyle w:val="paragraph"/>
        <w:tabs>
          <w:tab w:val="left" w:pos="2835"/>
        </w:tabs>
      </w:pPr>
      <w:r w:rsidRPr="00A35C95">
        <w:tab/>
        <w:t>(c)</w:t>
      </w:r>
      <w:r w:rsidRPr="00A35C95">
        <w:tab/>
        <w:t>a financial services licensee; or</w:t>
      </w:r>
    </w:p>
    <w:p w14:paraId="7B1CA752" w14:textId="77777777" w:rsidR="00E93F58" w:rsidRPr="00A35C95" w:rsidRDefault="00E93F58" w:rsidP="00366AB5">
      <w:pPr>
        <w:pStyle w:val="paragraph"/>
        <w:tabs>
          <w:tab w:val="left" w:pos="2835"/>
        </w:tabs>
      </w:pPr>
      <w:r w:rsidRPr="00A35C95">
        <w:tab/>
        <w:t>(d)</w:t>
      </w:r>
      <w:r w:rsidRPr="00A35C95">
        <w:tab/>
        <w:t>a person:</w:t>
      </w:r>
    </w:p>
    <w:p w14:paraId="154BE1BD" w14:textId="77777777" w:rsidR="00E93F58" w:rsidRPr="00A35C95" w:rsidRDefault="00E93F58" w:rsidP="00366AB5">
      <w:pPr>
        <w:pStyle w:val="paragraphsub"/>
        <w:tabs>
          <w:tab w:val="left" w:pos="2835"/>
        </w:tabs>
      </w:pPr>
      <w:r w:rsidRPr="00A35C95">
        <w:tab/>
        <w:t>(i)</w:t>
      </w:r>
      <w:r w:rsidRPr="00A35C95">
        <w:tab/>
        <w:t>who, in this jurisdiction, provides financial services relating to derivatives to wholesale clients only; and</w:t>
      </w:r>
    </w:p>
    <w:p w14:paraId="1B1FC756" w14:textId="77777777" w:rsidR="00E93F58" w:rsidRPr="00A35C95" w:rsidRDefault="00E93F58" w:rsidP="00366AB5">
      <w:pPr>
        <w:pStyle w:val="paragraphsub"/>
        <w:tabs>
          <w:tab w:val="left" w:pos="2835"/>
        </w:tabs>
      </w:pPr>
      <w:r w:rsidRPr="00A35C95">
        <w:tab/>
        <w:t>(ii)</w:t>
      </w:r>
      <w:r w:rsidRPr="00A35C95">
        <w:tab/>
        <w:t>whose activities, relating to derivatives, are regulated by an overseas regulatory authority.</w:t>
      </w:r>
    </w:p>
    <w:p w14:paraId="2D2EE025" w14:textId="77777777" w:rsidR="00E93F58" w:rsidRPr="00A35C95" w:rsidRDefault="00E93F58" w:rsidP="00366AB5">
      <w:pPr>
        <w:pStyle w:val="subsection"/>
        <w:tabs>
          <w:tab w:val="left" w:pos="2835"/>
        </w:tabs>
      </w:pPr>
      <w:r w:rsidRPr="00A35C95">
        <w:tab/>
        <w:t>(4)</w:t>
      </w:r>
      <w:r w:rsidRPr="00A35C95">
        <w:tab/>
        <w:t>This regulation does not apply to a provision of any derivative transaction rules to the extent that the provision imposes clearing requirements or requirements that are incidental or related to clearing requirements.</w:t>
      </w:r>
    </w:p>
    <w:p w14:paraId="7A59C43A" w14:textId="77777777" w:rsidR="00E93F58" w:rsidRPr="00A35C95" w:rsidRDefault="00E93F58" w:rsidP="00366AB5">
      <w:pPr>
        <w:pStyle w:val="ActHead4"/>
        <w:tabs>
          <w:tab w:val="left" w:pos="2835"/>
        </w:tabs>
      </w:pPr>
      <w:bookmarkStart w:id="856" w:name="_Toc152058002"/>
      <w:bookmarkStart w:id="857" w:name="_Toc158712225"/>
      <w:r w:rsidRPr="00844D11">
        <w:rPr>
          <w:rStyle w:val="CharSubdNo"/>
        </w:rPr>
        <w:t>Subdivision 2.1A</w:t>
      </w:r>
      <w:r w:rsidRPr="00A35C95">
        <w:t>—</w:t>
      </w:r>
      <w:r w:rsidRPr="00844D11">
        <w:rPr>
          <w:rStyle w:val="CharSubdText"/>
        </w:rPr>
        <w:t>Derivative transaction rules imposing clearing requirements</w:t>
      </w:r>
      <w:bookmarkEnd w:id="856"/>
      <w:bookmarkEnd w:id="857"/>
    </w:p>
    <w:p w14:paraId="60C9EEA3" w14:textId="77777777" w:rsidR="00E93F58" w:rsidRPr="00A35C95" w:rsidRDefault="00E93F58" w:rsidP="00366AB5">
      <w:pPr>
        <w:pStyle w:val="ActHead5"/>
        <w:tabs>
          <w:tab w:val="left" w:pos="2835"/>
        </w:tabs>
      </w:pPr>
      <w:bookmarkStart w:id="858" w:name="_Toc152058003"/>
      <w:bookmarkStart w:id="859" w:name="_Toc158712226"/>
      <w:r w:rsidRPr="00844D11">
        <w:rPr>
          <w:rStyle w:val="CharSectno"/>
        </w:rPr>
        <w:t>7.5A.60</w:t>
      </w:r>
      <w:r w:rsidRPr="00A35C95">
        <w:t xml:space="preserve">  Definitions for Subdivision 2.1A</w:t>
      </w:r>
      <w:bookmarkEnd w:id="858"/>
      <w:bookmarkEnd w:id="859"/>
    </w:p>
    <w:p w14:paraId="3DD4CFF0" w14:textId="77777777" w:rsidR="00E93F58" w:rsidRPr="00A35C95" w:rsidRDefault="00E93F58" w:rsidP="00366AB5">
      <w:pPr>
        <w:pStyle w:val="subsection"/>
        <w:tabs>
          <w:tab w:val="left" w:pos="2835"/>
        </w:tabs>
      </w:pPr>
      <w:r w:rsidRPr="00A35C95">
        <w:tab/>
        <w:t>(1)</w:t>
      </w:r>
      <w:r w:rsidRPr="00A35C95">
        <w:tab/>
        <w:t>In this Subdivision:</w:t>
      </w:r>
    </w:p>
    <w:p w14:paraId="2839F32B" w14:textId="77777777" w:rsidR="00E93F58" w:rsidRPr="00A35C95" w:rsidRDefault="00E93F58" w:rsidP="00366AB5">
      <w:pPr>
        <w:pStyle w:val="Definition"/>
        <w:tabs>
          <w:tab w:val="left" w:pos="2835"/>
        </w:tabs>
      </w:pPr>
      <w:r w:rsidRPr="00A35C95">
        <w:rPr>
          <w:b/>
          <w:i/>
        </w:rPr>
        <w:t>Australian clearing entity</w:t>
      </w:r>
      <w:r w:rsidRPr="00A35C95">
        <w:t>, in relation to a derivative transaction, has the meaning given by regulation 7.5A.61.</w:t>
      </w:r>
    </w:p>
    <w:p w14:paraId="52328F50" w14:textId="77777777" w:rsidR="00E93F58" w:rsidRPr="00A35C95" w:rsidRDefault="00E93F58" w:rsidP="00366AB5">
      <w:pPr>
        <w:pStyle w:val="Definition"/>
        <w:tabs>
          <w:tab w:val="left" w:pos="2835"/>
        </w:tabs>
      </w:pPr>
      <w:r w:rsidRPr="00A35C95">
        <w:rPr>
          <w:b/>
          <w:i/>
        </w:rPr>
        <w:t>Derivative Transaction Rules (Reporting)</w:t>
      </w:r>
      <w:r w:rsidRPr="00A35C95">
        <w:t xml:space="preserve"> means the </w:t>
      </w:r>
      <w:r w:rsidRPr="00A35C95">
        <w:rPr>
          <w:i/>
        </w:rPr>
        <w:t>ASIC Derivative Transaction Rules (Reporting) 2013</w:t>
      </w:r>
      <w:r w:rsidRPr="00A35C95">
        <w:t>.</w:t>
      </w:r>
    </w:p>
    <w:p w14:paraId="78B0CFF8" w14:textId="77777777" w:rsidR="00E93F58" w:rsidRPr="00A35C95" w:rsidRDefault="00E93F58" w:rsidP="00366AB5">
      <w:pPr>
        <w:pStyle w:val="Definition"/>
        <w:tabs>
          <w:tab w:val="left" w:pos="2835"/>
        </w:tabs>
      </w:pPr>
      <w:r w:rsidRPr="00A35C95">
        <w:rPr>
          <w:b/>
          <w:i/>
        </w:rPr>
        <w:t>foreign clearing entity</w:t>
      </w:r>
      <w:r w:rsidRPr="00A35C95">
        <w:t>, in relation to a derivative transaction, has the meaning given by regulation 7.5A.62.</w:t>
      </w:r>
    </w:p>
    <w:p w14:paraId="32274A1E" w14:textId="77777777" w:rsidR="00E93F58" w:rsidRPr="00A35C95" w:rsidRDefault="00E93F58" w:rsidP="00366AB5">
      <w:pPr>
        <w:pStyle w:val="Definition"/>
        <w:tabs>
          <w:tab w:val="left" w:pos="2835"/>
        </w:tabs>
      </w:pPr>
      <w:r w:rsidRPr="00A35C95">
        <w:rPr>
          <w:b/>
          <w:i/>
        </w:rPr>
        <w:t>representative capacity</w:t>
      </w:r>
      <w:r w:rsidRPr="00A35C95">
        <w:t xml:space="preserve">: an entity is a party to a derivative transaction, or holds a position relating to a derivative transaction, in a </w:t>
      </w:r>
      <w:r w:rsidRPr="00A35C95">
        <w:rPr>
          <w:b/>
          <w:i/>
        </w:rPr>
        <w:t>representative capacity</w:t>
      </w:r>
      <w:r w:rsidRPr="00A35C95">
        <w:t xml:space="preserve"> if the entity is such a party, or holds such a position, in a capacity as:</w:t>
      </w:r>
    </w:p>
    <w:p w14:paraId="28531F77" w14:textId="77777777" w:rsidR="00E93F58" w:rsidRPr="00A35C95" w:rsidRDefault="00E93F58" w:rsidP="00366AB5">
      <w:pPr>
        <w:pStyle w:val="paragraph"/>
        <w:tabs>
          <w:tab w:val="left" w:pos="2835"/>
        </w:tabs>
      </w:pPr>
      <w:r w:rsidRPr="00A35C95">
        <w:tab/>
        <w:t>(a)</w:t>
      </w:r>
      <w:r w:rsidRPr="00A35C95">
        <w:tab/>
        <w:t>the responsible entity of a registered scheme; or</w:t>
      </w:r>
    </w:p>
    <w:p w14:paraId="17EAE569" w14:textId="77777777" w:rsidR="00E93F58" w:rsidRPr="00A35C95" w:rsidRDefault="00E93F58" w:rsidP="00366AB5">
      <w:pPr>
        <w:pStyle w:val="paragraph"/>
        <w:tabs>
          <w:tab w:val="left" w:pos="2835"/>
        </w:tabs>
      </w:pPr>
      <w:r w:rsidRPr="00A35C95">
        <w:tab/>
        <w:t>(b)</w:t>
      </w:r>
      <w:r w:rsidRPr="00A35C95">
        <w:tab/>
        <w:t>the operator of a notified foreign passport fund; or</w:t>
      </w:r>
    </w:p>
    <w:p w14:paraId="296FA412" w14:textId="77777777" w:rsidR="00E93F58" w:rsidRPr="00A35C95" w:rsidRDefault="00E93F58" w:rsidP="00366AB5">
      <w:pPr>
        <w:pStyle w:val="paragraph"/>
        <w:tabs>
          <w:tab w:val="left" w:pos="2835"/>
        </w:tabs>
      </w:pPr>
      <w:r w:rsidRPr="00A35C95">
        <w:tab/>
        <w:t>(c)</w:t>
      </w:r>
      <w:r w:rsidRPr="00A35C95">
        <w:tab/>
        <w:t>the responsible holding party for a notified foreign passport fund; or</w:t>
      </w:r>
    </w:p>
    <w:p w14:paraId="3AF5FF7C" w14:textId="77777777" w:rsidR="00E93F58" w:rsidRPr="00A35C95" w:rsidRDefault="00E93F58" w:rsidP="00366AB5">
      <w:pPr>
        <w:pStyle w:val="paragraph"/>
        <w:tabs>
          <w:tab w:val="left" w:pos="2835"/>
        </w:tabs>
      </w:pPr>
      <w:r w:rsidRPr="00A35C95">
        <w:tab/>
        <w:t>(d)</w:t>
      </w:r>
      <w:r w:rsidRPr="00A35C95">
        <w:tab/>
        <w:t>the trustee of a trust; or</w:t>
      </w:r>
    </w:p>
    <w:p w14:paraId="0A5713B0" w14:textId="77777777" w:rsidR="00E93F58" w:rsidRPr="00A35C95" w:rsidRDefault="00E93F58" w:rsidP="00366AB5">
      <w:pPr>
        <w:pStyle w:val="paragraph"/>
        <w:tabs>
          <w:tab w:val="left" w:pos="2835"/>
        </w:tabs>
      </w:pPr>
      <w:r w:rsidRPr="00A35C95">
        <w:tab/>
        <w:t>(e)</w:t>
      </w:r>
      <w:r w:rsidRPr="00A35C95">
        <w:tab/>
        <w:t>the corporate director of a CCIV.</w:t>
      </w:r>
    </w:p>
    <w:p w14:paraId="499B0008" w14:textId="77777777" w:rsidR="00E93F58" w:rsidRPr="00A35C95" w:rsidRDefault="00E93F58" w:rsidP="00366AB5">
      <w:pPr>
        <w:pStyle w:val="Definition"/>
        <w:tabs>
          <w:tab w:val="left" w:pos="2835"/>
        </w:tabs>
      </w:pPr>
      <w:r w:rsidRPr="00A35C95">
        <w:rPr>
          <w:b/>
          <w:i/>
        </w:rPr>
        <w:t>total gross notional outstanding positions</w:t>
      </w:r>
      <w:r w:rsidRPr="00A35C95">
        <w:t>, in relation to an entity, means an amount worked out for the entity under derivative transaction rules, in accordance with subregulation (2).</w:t>
      </w:r>
    </w:p>
    <w:p w14:paraId="5A5D1C7B" w14:textId="77777777" w:rsidR="00E93F58" w:rsidRPr="00A35C95" w:rsidRDefault="00E93F58" w:rsidP="00366AB5">
      <w:pPr>
        <w:pStyle w:val="subsection"/>
        <w:tabs>
          <w:tab w:val="left" w:pos="2835"/>
        </w:tabs>
      </w:pPr>
      <w:r w:rsidRPr="00A35C95">
        <w:tab/>
        <w:t>(2)</w:t>
      </w:r>
      <w:r w:rsidRPr="00A35C95">
        <w:tab/>
        <w:t>For the purposes of this Subdivision, derivative transaction rules may:</w:t>
      </w:r>
    </w:p>
    <w:p w14:paraId="411A71E6" w14:textId="77777777" w:rsidR="00E93F58" w:rsidRPr="00A35C95" w:rsidRDefault="00E93F58" w:rsidP="00366AB5">
      <w:pPr>
        <w:pStyle w:val="paragraph"/>
        <w:tabs>
          <w:tab w:val="left" w:pos="2835"/>
        </w:tabs>
      </w:pPr>
      <w:r w:rsidRPr="00A35C95">
        <w:tab/>
        <w:t>(a)</w:t>
      </w:r>
      <w:r w:rsidRPr="00A35C95">
        <w:tab/>
        <w:t>set out a method for working out the total gross notional outstanding positions held by an entity in a representative capacity, or otherwise; and</w:t>
      </w:r>
    </w:p>
    <w:p w14:paraId="2E906EE1" w14:textId="77777777" w:rsidR="00E93F58" w:rsidRPr="00A35C95" w:rsidRDefault="00E93F58" w:rsidP="00366AB5">
      <w:pPr>
        <w:pStyle w:val="paragraph"/>
        <w:tabs>
          <w:tab w:val="left" w:pos="2835"/>
        </w:tabs>
      </w:pPr>
      <w:r w:rsidRPr="00A35C95">
        <w:tab/>
        <w:t>(b)</w:t>
      </w:r>
      <w:r w:rsidRPr="00A35C95">
        <w:tab/>
        <w:t>provide for an entity that starts, or stops, meeting a threshold referred to in subparagraph 7.5A.61(1)(a)(ii), 7.5A.62(1)(a)(ii) or (b)(iv) to be taken to meet, or not to meet, the threshold for transitional purposes specified by the rules.</w:t>
      </w:r>
    </w:p>
    <w:p w14:paraId="75FA7DE9" w14:textId="77777777" w:rsidR="00E93F58" w:rsidRPr="00A35C95" w:rsidRDefault="00E93F58" w:rsidP="00366AB5">
      <w:pPr>
        <w:pStyle w:val="ActHead5"/>
        <w:tabs>
          <w:tab w:val="left" w:pos="2835"/>
        </w:tabs>
      </w:pPr>
      <w:bookmarkStart w:id="860" w:name="_Toc152058004"/>
      <w:bookmarkStart w:id="861" w:name="_Toc158712227"/>
      <w:r w:rsidRPr="00844D11">
        <w:rPr>
          <w:rStyle w:val="CharSectno"/>
        </w:rPr>
        <w:t>7.5A.61</w:t>
      </w:r>
      <w:r w:rsidRPr="00A35C95">
        <w:t xml:space="preserve">  Meaning of </w:t>
      </w:r>
      <w:r w:rsidRPr="00A35C95">
        <w:rPr>
          <w:i/>
        </w:rPr>
        <w:t>Australian clearing entity</w:t>
      </w:r>
      <w:bookmarkEnd w:id="860"/>
      <w:bookmarkEnd w:id="861"/>
    </w:p>
    <w:p w14:paraId="25BD3B1F" w14:textId="77777777" w:rsidR="00E93F58" w:rsidRPr="00A35C95" w:rsidRDefault="00E93F58" w:rsidP="00366AB5">
      <w:pPr>
        <w:pStyle w:val="subsection"/>
        <w:tabs>
          <w:tab w:val="left" w:pos="2835"/>
        </w:tabs>
      </w:pPr>
      <w:r w:rsidRPr="00A35C95">
        <w:tab/>
        <w:t>(1)</w:t>
      </w:r>
      <w:r w:rsidRPr="00A35C95">
        <w:tab/>
        <w:t xml:space="preserve">An entity is an </w:t>
      </w:r>
      <w:r w:rsidRPr="00A35C95">
        <w:rPr>
          <w:b/>
          <w:i/>
        </w:rPr>
        <w:t>Australian clearing entity</w:t>
      </w:r>
      <w:r w:rsidRPr="00A35C95">
        <w:t>, in relation to a derivative transaction to which it is a party otherwise than in a representative capacity, if:</w:t>
      </w:r>
    </w:p>
    <w:p w14:paraId="6791E841" w14:textId="77777777" w:rsidR="00E93F58" w:rsidRPr="00A35C95" w:rsidRDefault="00E93F58" w:rsidP="00366AB5">
      <w:pPr>
        <w:pStyle w:val="paragraph"/>
        <w:tabs>
          <w:tab w:val="left" w:pos="2835"/>
        </w:tabs>
      </w:pPr>
      <w:r w:rsidRPr="00A35C95">
        <w:tab/>
        <w:t>(a)</w:t>
      </w:r>
      <w:r w:rsidRPr="00A35C95">
        <w:tab/>
        <w:t>the entity is an Australian ADI, or a financial services licensee, that:</w:t>
      </w:r>
    </w:p>
    <w:p w14:paraId="6387F734" w14:textId="77777777" w:rsidR="00E93F58" w:rsidRPr="00A35C95" w:rsidRDefault="00E93F58" w:rsidP="00366AB5">
      <w:pPr>
        <w:pStyle w:val="paragraphsub"/>
        <w:tabs>
          <w:tab w:val="left" w:pos="2835"/>
        </w:tabs>
      </w:pPr>
      <w:r w:rsidRPr="00A35C95">
        <w:tab/>
        <w:t>(i)</w:t>
      </w:r>
      <w:r w:rsidRPr="00A35C95">
        <w:tab/>
        <w:t>is incorporated or formed in Australia; and</w:t>
      </w:r>
    </w:p>
    <w:p w14:paraId="72236DD0" w14:textId="77777777" w:rsidR="00E93F58" w:rsidRPr="00A35C95" w:rsidRDefault="00E93F58" w:rsidP="00366AB5">
      <w:pPr>
        <w:pStyle w:val="paragraphsub"/>
        <w:tabs>
          <w:tab w:val="left" w:pos="2835"/>
        </w:tabs>
      </w:pPr>
      <w:r w:rsidRPr="00A35C95">
        <w:tab/>
        <w:t>(ii)</w:t>
      </w:r>
      <w:r w:rsidRPr="00A35C95">
        <w:tab/>
        <w:t>holds $100 billion or more in total gross notional outstanding positions otherwise than in a representative capacity; or</w:t>
      </w:r>
    </w:p>
    <w:p w14:paraId="5438C24B" w14:textId="77777777" w:rsidR="00E93F58" w:rsidRPr="00A35C95" w:rsidRDefault="00E93F58" w:rsidP="00366AB5">
      <w:pPr>
        <w:pStyle w:val="paragraph"/>
        <w:tabs>
          <w:tab w:val="left" w:pos="2835"/>
        </w:tabs>
      </w:pPr>
      <w:r w:rsidRPr="00A35C95">
        <w:tab/>
        <w:t>(b)</w:t>
      </w:r>
      <w:r w:rsidRPr="00A35C95">
        <w:tab/>
        <w:t>the entity is any other entity that:</w:t>
      </w:r>
    </w:p>
    <w:p w14:paraId="2082894B" w14:textId="77777777" w:rsidR="00E93F58" w:rsidRPr="00A35C95" w:rsidRDefault="00E93F58" w:rsidP="00366AB5">
      <w:pPr>
        <w:pStyle w:val="paragraphsub"/>
        <w:tabs>
          <w:tab w:val="left" w:pos="2835"/>
        </w:tabs>
      </w:pPr>
      <w:r w:rsidRPr="00A35C95">
        <w:tab/>
        <w:t>(i)</w:t>
      </w:r>
      <w:r w:rsidRPr="00A35C95">
        <w:tab/>
        <w:t>is incorporated or formed in Australia; and</w:t>
      </w:r>
    </w:p>
    <w:p w14:paraId="4AD9D81D" w14:textId="77777777" w:rsidR="00E93F58" w:rsidRPr="00A35C95" w:rsidRDefault="00E93F58" w:rsidP="00366AB5">
      <w:pPr>
        <w:pStyle w:val="paragraphsub"/>
        <w:tabs>
          <w:tab w:val="left" w:pos="2835"/>
        </w:tabs>
      </w:pPr>
      <w:r w:rsidRPr="00A35C95">
        <w:lastRenderedPageBreak/>
        <w:tab/>
        <w:t>(ii)</w:t>
      </w:r>
      <w:r w:rsidRPr="00A35C95">
        <w:tab/>
        <w:t>has, in accordance with any derivative transaction rules, opted to be treated, for the purposes of those rules, as an Australian clearing entity in relation to derivative transactions to which the entity is a party otherwise than in a representative capacity.</w:t>
      </w:r>
    </w:p>
    <w:p w14:paraId="2244B085" w14:textId="77777777" w:rsidR="00E93F58" w:rsidRPr="00A35C95" w:rsidRDefault="00E93F58" w:rsidP="00366AB5">
      <w:pPr>
        <w:pStyle w:val="subsection"/>
        <w:tabs>
          <w:tab w:val="left" w:pos="2835"/>
        </w:tabs>
      </w:pPr>
      <w:r w:rsidRPr="00A35C95">
        <w:tab/>
        <w:t>(2)</w:t>
      </w:r>
      <w:r w:rsidRPr="00A35C95">
        <w:tab/>
        <w:t xml:space="preserve">An entity is an </w:t>
      </w:r>
      <w:r w:rsidRPr="00A35C95">
        <w:rPr>
          <w:b/>
          <w:i/>
        </w:rPr>
        <w:t>Australian clearing entity</w:t>
      </w:r>
      <w:r w:rsidRPr="00A35C95">
        <w:t xml:space="preserve"> in relation to a derivative transaction to which it is a party in a representative capacity in the circumstances set out in derivative transaction rules.</w:t>
      </w:r>
    </w:p>
    <w:p w14:paraId="4034ABF1" w14:textId="77777777" w:rsidR="00E93F58" w:rsidRPr="00A35C95" w:rsidRDefault="00E93F58" w:rsidP="00366AB5">
      <w:pPr>
        <w:pStyle w:val="ActHead5"/>
        <w:tabs>
          <w:tab w:val="left" w:pos="2835"/>
        </w:tabs>
      </w:pPr>
      <w:bookmarkStart w:id="862" w:name="_Toc152058005"/>
      <w:bookmarkStart w:id="863" w:name="_Toc158712228"/>
      <w:r w:rsidRPr="00844D11">
        <w:rPr>
          <w:rStyle w:val="CharSectno"/>
        </w:rPr>
        <w:t>7.5A.62</w:t>
      </w:r>
      <w:r w:rsidRPr="00A35C95">
        <w:t xml:space="preserve">  Meaning of </w:t>
      </w:r>
      <w:r w:rsidRPr="00A35C95">
        <w:rPr>
          <w:i/>
        </w:rPr>
        <w:t>foreign clearing entity</w:t>
      </w:r>
      <w:bookmarkEnd w:id="862"/>
      <w:bookmarkEnd w:id="863"/>
    </w:p>
    <w:p w14:paraId="3FB51D49" w14:textId="77777777" w:rsidR="00E93F58" w:rsidRPr="00A35C95" w:rsidRDefault="00E93F58" w:rsidP="00366AB5">
      <w:pPr>
        <w:pStyle w:val="subsection"/>
        <w:tabs>
          <w:tab w:val="left" w:pos="2835"/>
        </w:tabs>
      </w:pPr>
      <w:r w:rsidRPr="00A35C95">
        <w:tab/>
        <w:t>(1)</w:t>
      </w:r>
      <w:r w:rsidRPr="00A35C95">
        <w:tab/>
        <w:t xml:space="preserve">An entity is a </w:t>
      </w:r>
      <w:r w:rsidRPr="00A35C95">
        <w:rPr>
          <w:b/>
          <w:i/>
        </w:rPr>
        <w:t>foreign clearing entity</w:t>
      </w:r>
      <w:r w:rsidRPr="00A35C95">
        <w:t>, in relation to a derivative transaction to which it is a party otherwise than in a representative capacity, if:</w:t>
      </w:r>
    </w:p>
    <w:p w14:paraId="2231401B" w14:textId="77777777" w:rsidR="00E93F58" w:rsidRPr="00A35C95" w:rsidRDefault="00E93F58" w:rsidP="00366AB5">
      <w:pPr>
        <w:pStyle w:val="paragraph"/>
        <w:tabs>
          <w:tab w:val="left" w:pos="2835"/>
        </w:tabs>
      </w:pPr>
      <w:r w:rsidRPr="00A35C95">
        <w:tab/>
        <w:t>(a)</w:t>
      </w:r>
      <w:r w:rsidRPr="00A35C95">
        <w:tab/>
        <w:t>the entity is an ADI, or a financial services licensee, that:</w:t>
      </w:r>
    </w:p>
    <w:p w14:paraId="56750354" w14:textId="77777777" w:rsidR="00E93F58" w:rsidRPr="00A35C95" w:rsidRDefault="00E93F58" w:rsidP="00366AB5">
      <w:pPr>
        <w:pStyle w:val="paragraphsub"/>
        <w:tabs>
          <w:tab w:val="left" w:pos="2835"/>
        </w:tabs>
      </w:pPr>
      <w:r w:rsidRPr="00A35C95">
        <w:tab/>
        <w:t>(i)</w:t>
      </w:r>
      <w:r w:rsidRPr="00A35C95">
        <w:tab/>
        <w:t>is incorporated or formed outside Australia; and</w:t>
      </w:r>
    </w:p>
    <w:p w14:paraId="620D9E35" w14:textId="77777777" w:rsidR="00E93F58" w:rsidRPr="00A35C95" w:rsidRDefault="00E93F58" w:rsidP="00366AB5">
      <w:pPr>
        <w:pStyle w:val="paragraphsub"/>
        <w:tabs>
          <w:tab w:val="left" w:pos="2835"/>
        </w:tabs>
      </w:pPr>
      <w:r w:rsidRPr="00A35C95">
        <w:tab/>
        <w:t>(ii)</w:t>
      </w:r>
      <w:r w:rsidRPr="00A35C95">
        <w:tab/>
        <w:t>holds $100 billion or more in total gross notional outstanding positions otherwise than in a representative capacity; or</w:t>
      </w:r>
    </w:p>
    <w:p w14:paraId="3F7B3849" w14:textId="77777777" w:rsidR="00E93F58" w:rsidRPr="00A35C95" w:rsidRDefault="00E93F58" w:rsidP="00366AB5">
      <w:pPr>
        <w:pStyle w:val="paragraph"/>
        <w:tabs>
          <w:tab w:val="left" w:pos="2835"/>
        </w:tabs>
      </w:pPr>
      <w:r w:rsidRPr="00A35C95">
        <w:tab/>
        <w:t>(b)</w:t>
      </w:r>
      <w:r w:rsidRPr="00A35C95">
        <w:tab/>
        <w:t>the entity:</w:t>
      </w:r>
    </w:p>
    <w:p w14:paraId="752B2AF9" w14:textId="77777777" w:rsidR="00E93F58" w:rsidRPr="00A35C95" w:rsidRDefault="00E93F58" w:rsidP="00366AB5">
      <w:pPr>
        <w:pStyle w:val="paragraphsub"/>
        <w:tabs>
          <w:tab w:val="left" w:pos="2835"/>
        </w:tabs>
      </w:pPr>
      <w:r w:rsidRPr="00A35C95">
        <w:tab/>
        <w:t>(i)</w:t>
      </w:r>
      <w:r w:rsidRPr="00A35C95">
        <w:tab/>
        <w:t>is incorporated or formed outside Australia; and</w:t>
      </w:r>
    </w:p>
    <w:p w14:paraId="141C8639" w14:textId="77777777" w:rsidR="00E93F58" w:rsidRPr="00A35C95" w:rsidRDefault="00E93F58" w:rsidP="00366AB5">
      <w:pPr>
        <w:pStyle w:val="paragraphsub"/>
        <w:tabs>
          <w:tab w:val="left" w:pos="2835"/>
        </w:tabs>
      </w:pPr>
      <w:r w:rsidRPr="00A35C95">
        <w:tab/>
        <w:t>(ii)</w:t>
      </w:r>
      <w:r w:rsidRPr="00A35C95">
        <w:tab/>
        <w:t>in this jurisdiction, provides financial services relating to derivatives to wholesale clients only; and</w:t>
      </w:r>
    </w:p>
    <w:p w14:paraId="2556049D" w14:textId="77777777" w:rsidR="00E93F58" w:rsidRPr="00A35C95" w:rsidRDefault="00E93F58" w:rsidP="00366AB5">
      <w:pPr>
        <w:pStyle w:val="paragraphsub"/>
        <w:tabs>
          <w:tab w:val="left" w:pos="2835"/>
        </w:tabs>
      </w:pPr>
      <w:r w:rsidRPr="00A35C95">
        <w:tab/>
        <w:t>(iii)</w:t>
      </w:r>
      <w:r w:rsidRPr="00A35C95">
        <w:tab/>
        <w:t>is exempt under the Act (including these Regulations, or another instrument made under or for the purposes of the Act) from the requirement to hold a financial services licence for those financial services; and</w:t>
      </w:r>
    </w:p>
    <w:p w14:paraId="6FFBAE95" w14:textId="77777777" w:rsidR="00E93F58" w:rsidRPr="00A35C95" w:rsidRDefault="00E93F58" w:rsidP="00366AB5">
      <w:pPr>
        <w:pStyle w:val="paragraphsub"/>
        <w:tabs>
          <w:tab w:val="left" w:pos="2835"/>
        </w:tabs>
      </w:pPr>
      <w:r w:rsidRPr="00A35C95">
        <w:tab/>
        <w:t>(iv)</w:t>
      </w:r>
      <w:r w:rsidRPr="00A35C95">
        <w:tab/>
        <w:t>is an entity whose activities relating to derivatives are regulated by an overseas regulatory authority; and</w:t>
      </w:r>
    </w:p>
    <w:p w14:paraId="25658922" w14:textId="77777777" w:rsidR="00E93F58" w:rsidRPr="00A35C95" w:rsidRDefault="00E93F58" w:rsidP="00366AB5">
      <w:pPr>
        <w:pStyle w:val="paragraphsub"/>
        <w:tabs>
          <w:tab w:val="left" w:pos="2835"/>
        </w:tabs>
      </w:pPr>
      <w:r w:rsidRPr="00A35C95">
        <w:tab/>
        <w:t>(v)</w:t>
      </w:r>
      <w:r w:rsidRPr="00A35C95">
        <w:tab/>
        <w:t>holds $100 billion or more in total gross notional outstanding positions otherwise than in a representative capacity; or</w:t>
      </w:r>
    </w:p>
    <w:p w14:paraId="434AB2B2" w14:textId="77777777" w:rsidR="00E93F58" w:rsidRPr="00A35C95" w:rsidRDefault="00E93F58" w:rsidP="00366AB5">
      <w:pPr>
        <w:pStyle w:val="paragraph"/>
        <w:tabs>
          <w:tab w:val="left" w:pos="2835"/>
        </w:tabs>
      </w:pPr>
      <w:r w:rsidRPr="00A35C95">
        <w:tab/>
        <w:t>(c)</w:t>
      </w:r>
      <w:r w:rsidRPr="00A35C95">
        <w:tab/>
        <w:t>the entity is any other entity that:</w:t>
      </w:r>
    </w:p>
    <w:p w14:paraId="23B62C3C" w14:textId="77777777" w:rsidR="00E93F58" w:rsidRPr="00A35C95" w:rsidRDefault="00E93F58" w:rsidP="00366AB5">
      <w:pPr>
        <w:pStyle w:val="paragraphsub"/>
        <w:tabs>
          <w:tab w:val="left" w:pos="2835"/>
        </w:tabs>
      </w:pPr>
      <w:r w:rsidRPr="00A35C95">
        <w:tab/>
        <w:t>(i)</w:t>
      </w:r>
      <w:r w:rsidRPr="00A35C95">
        <w:tab/>
        <w:t>is incorporated or formed outside Australia; and</w:t>
      </w:r>
    </w:p>
    <w:p w14:paraId="1ECBBDE9" w14:textId="77777777" w:rsidR="00E93F58" w:rsidRPr="00A35C95" w:rsidRDefault="00E93F58" w:rsidP="00366AB5">
      <w:pPr>
        <w:pStyle w:val="paragraphsub"/>
        <w:tabs>
          <w:tab w:val="left" w:pos="2835"/>
        </w:tabs>
      </w:pPr>
      <w:r w:rsidRPr="00A35C95">
        <w:tab/>
        <w:t>(ii)</w:t>
      </w:r>
      <w:r w:rsidRPr="00A35C95">
        <w:tab/>
        <w:t>has, in accordance with any derivative transaction rules, opted to be treated, for the purposes of those rules, as a foreign clearing entity in relation to derivative transactions to which it is a party otherwise than in a representative capacity.</w:t>
      </w:r>
    </w:p>
    <w:p w14:paraId="09414B65" w14:textId="77777777" w:rsidR="00E93F58" w:rsidRPr="00A35C95" w:rsidRDefault="00E93F58" w:rsidP="00366AB5">
      <w:pPr>
        <w:pStyle w:val="subsection"/>
        <w:tabs>
          <w:tab w:val="left" w:pos="2835"/>
        </w:tabs>
      </w:pPr>
      <w:r w:rsidRPr="00A35C95">
        <w:tab/>
        <w:t>(2)</w:t>
      </w:r>
      <w:r w:rsidRPr="00A35C95">
        <w:tab/>
        <w:t xml:space="preserve">An entity is a </w:t>
      </w:r>
      <w:r w:rsidRPr="00A35C95">
        <w:rPr>
          <w:b/>
          <w:i/>
        </w:rPr>
        <w:t>foreign clearing entity</w:t>
      </w:r>
      <w:r w:rsidRPr="00A35C95">
        <w:t xml:space="preserve"> in relation to a derivative transaction to which it is a party in a representative capacity in the circumstances set out in the derivative transaction rules.</w:t>
      </w:r>
    </w:p>
    <w:p w14:paraId="28F61A90" w14:textId="77777777" w:rsidR="00E93F58" w:rsidRPr="00A35C95" w:rsidRDefault="00E93F58" w:rsidP="00366AB5">
      <w:pPr>
        <w:pStyle w:val="ActHead5"/>
        <w:tabs>
          <w:tab w:val="left" w:pos="2835"/>
        </w:tabs>
      </w:pPr>
      <w:bookmarkStart w:id="864" w:name="_Toc152058006"/>
      <w:bookmarkStart w:id="865" w:name="_Toc158712229"/>
      <w:r w:rsidRPr="00844D11">
        <w:rPr>
          <w:rStyle w:val="CharSectno"/>
        </w:rPr>
        <w:t>7.5A.63</w:t>
      </w:r>
      <w:r w:rsidRPr="00A35C95">
        <w:t xml:space="preserve">  Clearing requirements—prescribed facilities</w:t>
      </w:r>
      <w:bookmarkEnd w:id="864"/>
      <w:bookmarkEnd w:id="865"/>
    </w:p>
    <w:p w14:paraId="0465DAFC" w14:textId="77777777" w:rsidR="00E93F58" w:rsidRPr="00A35C95" w:rsidRDefault="00E93F58" w:rsidP="00366AB5">
      <w:pPr>
        <w:pStyle w:val="subsection"/>
        <w:tabs>
          <w:tab w:val="left" w:pos="2835"/>
        </w:tabs>
      </w:pPr>
      <w:r w:rsidRPr="00A35C95">
        <w:tab/>
        <w:t>(1)</w:t>
      </w:r>
      <w:r w:rsidRPr="00A35C95">
        <w:tab/>
        <w:t>This regulation is made for paragraph 901A(7)(b) of the Act.</w:t>
      </w:r>
    </w:p>
    <w:p w14:paraId="528EB2C3" w14:textId="77777777" w:rsidR="00E93F58" w:rsidRPr="00A35C95" w:rsidRDefault="00E93F58" w:rsidP="00366AB5">
      <w:pPr>
        <w:pStyle w:val="subsection"/>
        <w:tabs>
          <w:tab w:val="left" w:pos="2835"/>
        </w:tabs>
      </w:pPr>
      <w:r w:rsidRPr="00A35C95">
        <w:tab/>
        <w:t>(2)</w:t>
      </w:r>
      <w:r w:rsidRPr="00A35C95">
        <w:tab/>
        <w:t>Each facility in the following list is prescribed in relation to all derivatives:</w:t>
      </w:r>
    </w:p>
    <w:p w14:paraId="476CCC0A" w14:textId="77777777" w:rsidR="00E93F58" w:rsidRPr="00A35C95" w:rsidRDefault="00E93F58" w:rsidP="00366AB5">
      <w:pPr>
        <w:pStyle w:val="paragraph"/>
        <w:tabs>
          <w:tab w:val="left" w:pos="2835"/>
        </w:tabs>
      </w:pPr>
      <w:r w:rsidRPr="00A35C95">
        <w:tab/>
        <w:t>(a)</w:t>
      </w:r>
      <w:r w:rsidRPr="00A35C95">
        <w:tab/>
        <w:t>CME Clearing Europe Limited;</w:t>
      </w:r>
    </w:p>
    <w:p w14:paraId="33DC765F" w14:textId="77777777" w:rsidR="00E93F58" w:rsidRPr="00A35C95" w:rsidRDefault="00E93F58" w:rsidP="00366AB5">
      <w:pPr>
        <w:pStyle w:val="paragraph"/>
        <w:tabs>
          <w:tab w:val="left" w:pos="2835"/>
        </w:tabs>
      </w:pPr>
      <w:r w:rsidRPr="00A35C95">
        <w:tab/>
        <w:t>(b)</w:t>
      </w:r>
      <w:r w:rsidRPr="00A35C95">
        <w:tab/>
        <w:t>Eurex Clearing AG;</w:t>
      </w:r>
    </w:p>
    <w:p w14:paraId="2BB5F314" w14:textId="77777777" w:rsidR="00E93F58" w:rsidRPr="00A35C95" w:rsidRDefault="00E93F58" w:rsidP="00366AB5">
      <w:pPr>
        <w:pStyle w:val="paragraph"/>
        <w:tabs>
          <w:tab w:val="left" w:pos="2835"/>
        </w:tabs>
      </w:pPr>
      <w:r w:rsidRPr="00A35C95">
        <w:tab/>
        <w:t>(c)</w:t>
      </w:r>
      <w:r w:rsidRPr="00A35C95">
        <w:tab/>
        <w:t>Japan Securities Clearing Corporation;</w:t>
      </w:r>
    </w:p>
    <w:p w14:paraId="7E3B1490" w14:textId="77777777" w:rsidR="00E93F58" w:rsidRPr="00A35C95" w:rsidRDefault="00E93F58" w:rsidP="00366AB5">
      <w:pPr>
        <w:pStyle w:val="paragraph"/>
        <w:tabs>
          <w:tab w:val="left" w:pos="2835"/>
        </w:tabs>
      </w:pPr>
      <w:r w:rsidRPr="00A35C95">
        <w:tab/>
        <w:t>(d)</w:t>
      </w:r>
      <w:r w:rsidRPr="00A35C95">
        <w:tab/>
        <w:t>NASDAQ OMX Clearing AB;</w:t>
      </w:r>
    </w:p>
    <w:p w14:paraId="3B90D166" w14:textId="77777777" w:rsidR="00E93F58" w:rsidRPr="00A35C95" w:rsidRDefault="00E93F58" w:rsidP="00366AB5">
      <w:pPr>
        <w:pStyle w:val="paragraph"/>
        <w:tabs>
          <w:tab w:val="left" w:pos="2835"/>
        </w:tabs>
      </w:pPr>
      <w:r w:rsidRPr="00A35C95">
        <w:tab/>
        <w:t>(e)</w:t>
      </w:r>
      <w:r w:rsidRPr="00A35C95">
        <w:tab/>
        <w:t>OTC Clearing Hong Kong Limited.</w:t>
      </w:r>
    </w:p>
    <w:p w14:paraId="3DBDFDE9" w14:textId="77777777" w:rsidR="00E93F58" w:rsidRPr="00A35C95" w:rsidRDefault="00E93F58" w:rsidP="00366AB5">
      <w:pPr>
        <w:pStyle w:val="subsection"/>
        <w:tabs>
          <w:tab w:val="left" w:pos="2835"/>
        </w:tabs>
      </w:pPr>
      <w:r w:rsidRPr="00A35C95">
        <w:tab/>
        <w:t>(3)</w:t>
      </w:r>
      <w:r w:rsidRPr="00A35C95">
        <w:tab/>
        <w:t>A facility determined by ASIC for the purposes of this subregulation is prescribed in relation to the class of derivatives specified in the determination.</w:t>
      </w:r>
    </w:p>
    <w:p w14:paraId="3CC2B4E7" w14:textId="77777777" w:rsidR="00E93F58" w:rsidRPr="00A35C95" w:rsidRDefault="00E93F58" w:rsidP="00366AB5">
      <w:pPr>
        <w:pStyle w:val="subsection"/>
        <w:tabs>
          <w:tab w:val="left" w:pos="2835"/>
        </w:tabs>
      </w:pPr>
      <w:r w:rsidRPr="00A35C95">
        <w:tab/>
        <w:t>(4)</w:t>
      </w:r>
      <w:r w:rsidRPr="00A35C95">
        <w:tab/>
        <w:t>ASIC may, by notifiable instrument, determine a facility for the purposes of subregulation (3) in relation to a specified class of derivatives, but only if ASIC is satisfied that:</w:t>
      </w:r>
    </w:p>
    <w:p w14:paraId="14A2D2EB" w14:textId="77777777" w:rsidR="00E93F58" w:rsidRPr="00A35C95" w:rsidRDefault="00E93F58" w:rsidP="00366AB5">
      <w:pPr>
        <w:pStyle w:val="paragraph"/>
        <w:tabs>
          <w:tab w:val="left" w:pos="2835"/>
        </w:tabs>
      </w:pPr>
      <w:r w:rsidRPr="00A35C95">
        <w:tab/>
        <w:t>(a)</w:t>
      </w:r>
      <w:r w:rsidRPr="00A35C95">
        <w:tab/>
        <w:t>the facility’s principal place of business is located in a foreign country; and</w:t>
      </w:r>
    </w:p>
    <w:p w14:paraId="45824269" w14:textId="77777777" w:rsidR="00E93F58" w:rsidRPr="00A35C95" w:rsidRDefault="00E93F58" w:rsidP="00366AB5">
      <w:pPr>
        <w:pStyle w:val="paragraph"/>
        <w:tabs>
          <w:tab w:val="left" w:pos="2835"/>
        </w:tabs>
      </w:pPr>
      <w:r w:rsidRPr="00A35C95">
        <w:tab/>
        <w:t>(b)</w:t>
      </w:r>
      <w:r w:rsidRPr="00A35C95">
        <w:tab/>
        <w:t>the facility is authorised to operate as a central counterparty for the specified class of derivatives in that country; and</w:t>
      </w:r>
    </w:p>
    <w:p w14:paraId="313A8319" w14:textId="77777777" w:rsidR="00E93F58" w:rsidRPr="00A35C95" w:rsidRDefault="00E93F58" w:rsidP="00366AB5">
      <w:pPr>
        <w:pStyle w:val="paragraph"/>
        <w:tabs>
          <w:tab w:val="left" w:pos="2835"/>
        </w:tabs>
      </w:pPr>
      <w:r w:rsidRPr="00A35C95">
        <w:tab/>
        <w:t>(c)</w:t>
      </w:r>
      <w:r w:rsidRPr="00A35C95">
        <w:tab/>
        <w:t>the regulatory regime in the facility’s principal place of business has substantially implemented the CPSS</w:t>
      </w:r>
      <w:r>
        <w:noBreakHyphen/>
      </w:r>
      <w:r w:rsidRPr="00A35C95">
        <w:t>IOSCO Principles applicable to the regulation of central counterparties; and</w:t>
      </w:r>
    </w:p>
    <w:p w14:paraId="2CC41E77" w14:textId="77777777" w:rsidR="00E93F58" w:rsidRPr="00A35C95" w:rsidRDefault="00E93F58" w:rsidP="00366AB5">
      <w:pPr>
        <w:pStyle w:val="paragraph"/>
        <w:tabs>
          <w:tab w:val="left" w:pos="2835"/>
        </w:tabs>
      </w:pPr>
      <w:r w:rsidRPr="00A35C95">
        <w:tab/>
        <w:t>(d)</w:t>
      </w:r>
      <w:r w:rsidRPr="00A35C95">
        <w:tab/>
        <w:t>adequate arrangements exist for ASIC and the Reserve Bank of Australia to have access to information about the level of clearing activity by participants that are incorporated or formed in Australia, in relation to derivatives that are subject to clearing requirements under the derivative transaction rules.</w:t>
      </w:r>
    </w:p>
    <w:p w14:paraId="7AD18089" w14:textId="77777777" w:rsidR="00E93F58" w:rsidRPr="00A35C95" w:rsidRDefault="00E93F58" w:rsidP="00366AB5">
      <w:pPr>
        <w:pStyle w:val="subsection"/>
        <w:tabs>
          <w:tab w:val="left" w:pos="2835"/>
        </w:tabs>
      </w:pPr>
      <w:r w:rsidRPr="00A35C95">
        <w:lastRenderedPageBreak/>
        <w:tab/>
        <w:t>(6)</w:t>
      </w:r>
      <w:r w:rsidRPr="00A35C95">
        <w:tab/>
        <w:t>In this regulation:</w:t>
      </w:r>
    </w:p>
    <w:p w14:paraId="523D08A5" w14:textId="77777777" w:rsidR="00E93F58" w:rsidRPr="00A35C95" w:rsidRDefault="00E93F58" w:rsidP="00366AB5">
      <w:pPr>
        <w:pStyle w:val="Definition"/>
        <w:tabs>
          <w:tab w:val="left" w:pos="2835"/>
        </w:tabs>
      </w:pPr>
      <w:r w:rsidRPr="00A35C95">
        <w:rPr>
          <w:b/>
          <w:i/>
        </w:rPr>
        <w:t>CPSS</w:t>
      </w:r>
      <w:r>
        <w:rPr>
          <w:b/>
          <w:i/>
        </w:rPr>
        <w:noBreakHyphen/>
      </w:r>
      <w:r w:rsidRPr="00A35C95">
        <w:rPr>
          <w:b/>
          <w:i/>
        </w:rPr>
        <w:t>IOSCO Principles</w:t>
      </w:r>
      <w:r w:rsidRPr="00A35C95">
        <w:t xml:space="preserve"> means the principles for financial market infrastructures:</w:t>
      </w:r>
    </w:p>
    <w:p w14:paraId="0A818BF8" w14:textId="77777777" w:rsidR="00E93F58" w:rsidRPr="00A35C95" w:rsidRDefault="00E93F58" w:rsidP="00366AB5">
      <w:pPr>
        <w:pStyle w:val="paragraph"/>
        <w:tabs>
          <w:tab w:val="left" w:pos="2835"/>
        </w:tabs>
      </w:pPr>
      <w:r w:rsidRPr="00A35C95">
        <w:tab/>
        <w:t>(a)</w:t>
      </w:r>
      <w:r w:rsidRPr="00A35C95">
        <w:tab/>
        <w:t>issued in April 2012 by the Committee on Payment and Settlement Systems (the CPSS) and the International Organization of Securities Commissions (the IOSCO); and</w:t>
      </w:r>
    </w:p>
    <w:p w14:paraId="26E35D65" w14:textId="77777777" w:rsidR="00E93F58" w:rsidRPr="00A35C95" w:rsidRDefault="00E93F58" w:rsidP="00366AB5">
      <w:pPr>
        <w:pStyle w:val="paragraph"/>
        <w:tabs>
          <w:tab w:val="left" w:pos="2835"/>
        </w:tabs>
      </w:pPr>
      <w:r w:rsidRPr="00A35C95">
        <w:tab/>
        <w:t>(b)</w:t>
      </w:r>
      <w:r w:rsidRPr="00A35C95">
        <w:tab/>
        <w:t>as supplemented, superseded or modified from time to time by principles, recommendations or standards issued by the CPSS or IOSCO (or a successor of the CPSS or IOSCO).</w:t>
      </w:r>
    </w:p>
    <w:p w14:paraId="7B82BD49" w14:textId="77777777" w:rsidR="00E93F58" w:rsidRPr="00A35C95" w:rsidRDefault="00E93F58" w:rsidP="00366AB5">
      <w:pPr>
        <w:pStyle w:val="ActHead5"/>
        <w:tabs>
          <w:tab w:val="left" w:pos="2835"/>
        </w:tabs>
      </w:pPr>
      <w:bookmarkStart w:id="866" w:name="_Toc152058007"/>
      <w:bookmarkStart w:id="867" w:name="_Toc158712230"/>
      <w:r w:rsidRPr="00844D11">
        <w:rPr>
          <w:rStyle w:val="CharSectno"/>
        </w:rPr>
        <w:t>7.5A.64</w:t>
      </w:r>
      <w:r w:rsidRPr="00A35C95">
        <w:t xml:space="preserve">  Persons on whom clearing requirements cannot be imposed</w:t>
      </w:r>
      <w:bookmarkEnd w:id="866"/>
      <w:bookmarkEnd w:id="867"/>
    </w:p>
    <w:p w14:paraId="61A4924D" w14:textId="77777777" w:rsidR="00E93F58" w:rsidRPr="00A35C95" w:rsidRDefault="00E93F58" w:rsidP="00366AB5">
      <w:pPr>
        <w:pStyle w:val="subsection"/>
        <w:tabs>
          <w:tab w:val="left" w:pos="2835"/>
        </w:tabs>
      </w:pPr>
      <w:r w:rsidRPr="00A35C95">
        <w:tab/>
        <w:t>(1)</w:t>
      </w:r>
      <w:r w:rsidRPr="00A35C95">
        <w:tab/>
        <w:t>This regulation is made for paragraph 901D(a) of the Act.</w:t>
      </w:r>
    </w:p>
    <w:p w14:paraId="018D8CB0" w14:textId="77777777" w:rsidR="00E93F58" w:rsidRPr="00A35C95" w:rsidRDefault="00E93F58" w:rsidP="00366AB5">
      <w:pPr>
        <w:pStyle w:val="subsection"/>
        <w:tabs>
          <w:tab w:val="left" w:pos="2835"/>
        </w:tabs>
      </w:pPr>
      <w:r w:rsidRPr="00A35C95">
        <w:tab/>
        <w:t>(2)</w:t>
      </w:r>
      <w:r w:rsidRPr="00A35C95">
        <w:tab/>
        <w:t>The derivative transaction rules cannot impose clearing requirements in relation to a derivative transaction on a person who is not:</w:t>
      </w:r>
    </w:p>
    <w:p w14:paraId="2E5AE0F4" w14:textId="77777777" w:rsidR="00E93F58" w:rsidRPr="00A35C95" w:rsidRDefault="00E93F58" w:rsidP="00366AB5">
      <w:pPr>
        <w:pStyle w:val="paragraph"/>
        <w:tabs>
          <w:tab w:val="left" w:pos="2835"/>
        </w:tabs>
      </w:pPr>
      <w:r w:rsidRPr="00A35C95">
        <w:tab/>
        <w:t>(a)</w:t>
      </w:r>
      <w:r w:rsidRPr="00A35C95">
        <w:tab/>
        <w:t>an Australian clearing entity in relation to the transaction; or</w:t>
      </w:r>
    </w:p>
    <w:p w14:paraId="6F74C023" w14:textId="77777777" w:rsidR="00E93F58" w:rsidRPr="00A35C95" w:rsidRDefault="00E93F58" w:rsidP="00366AB5">
      <w:pPr>
        <w:pStyle w:val="paragraph"/>
        <w:tabs>
          <w:tab w:val="left" w:pos="2835"/>
        </w:tabs>
      </w:pPr>
      <w:r w:rsidRPr="00A35C95">
        <w:tab/>
        <w:t>(b)</w:t>
      </w:r>
      <w:r w:rsidRPr="00A35C95">
        <w:tab/>
        <w:t>a foreign clearing entity in relation to the transaction.</w:t>
      </w:r>
    </w:p>
    <w:p w14:paraId="6CFBFFB4" w14:textId="77777777" w:rsidR="00E93F58" w:rsidRPr="00A35C95" w:rsidRDefault="00E93F58" w:rsidP="00366AB5">
      <w:pPr>
        <w:pStyle w:val="notetext"/>
        <w:tabs>
          <w:tab w:val="left" w:pos="2835"/>
        </w:tabs>
      </w:pPr>
      <w:r w:rsidRPr="00A35C95">
        <w:t>Example:</w:t>
      </w:r>
      <w:r w:rsidRPr="00A35C95">
        <w:tab/>
        <w:t>This regulation prevents the derivative transaction rules imposing clearing requirements on, among other things, a range of foreign public entities including the following (subject to paragraphs (2)(a) and (b)):</w:t>
      </w:r>
    </w:p>
    <w:p w14:paraId="1A8D7DBA" w14:textId="77777777" w:rsidR="00E93F58" w:rsidRPr="00A35C95" w:rsidRDefault="00E93F58" w:rsidP="00366AB5">
      <w:pPr>
        <w:pStyle w:val="notepara"/>
        <w:tabs>
          <w:tab w:val="left" w:pos="2835"/>
        </w:tabs>
      </w:pPr>
      <w:r w:rsidRPr="00A35C95">
        <w:t>(a)</w:t>
      </w:r>
      <w:r w:rsidRPr="00A35C95">
        <w:tab/>
        <w:t>central banks;</w:t>
      </w:r>
    </w:p>
    <w:p w14:paraId="411CFA3F" w14:textId="77777777" w:rsidR="00E93F58" w:rsidRPr="00A35C95" w:rsidRDefault="00E93F58" w:rsidP="00366AB5">
      <w:pPr>
        <w:pStyle w:val="notepara"/>
        <w:tabs>
          <w:tab w:val="left" w:pos="2835"/>
        </w:tabs>
      </w:pPr>
      <w:r w:rsidRPr="00A35C95">
        <w:t>(b)</w:t>
      </w:r>
      <w:r w:rsidRPr="00A35C95">
        <w:tab/>
        <w:t>Government debt offices;</w:t>
      </w:r>
    </w:p>
    <w:p w14:paraId="0FB92D23" w14:textId="77777777" w:rsidR="00E93F58" w:rsidRPr="00A35C95" w:rsidRDefault="00E93F58" w:rsidP="00366AB5">
      <w:pPr>
        <w:pStyle w:val="notepara"/>
        <w:tabs>
          <w:tab w:val="left" w:pos="2835"/>
        </w:tabs>
      </w:pPr>
      <w:r w:rsidRPr="00A35C95">
        <w:t>(c)</w:t>
      </w:r>
      <w:r w:rsidRPr="00A35C95">
        <w:tab/>
        <w:t>multilateral development banks;</w:t>
      </w:r>
    </w:p>
    <w:p w14:paraId="4E0560EB" w14:textId="77777777" w:rsidR="00E93F58" w:rsidRPr="00A35C95" w:rsidRDefault="00E93F58" w:rsidP="00366AB5">
      <w:pPr>
        <w:pStyle w:val="notepara"/>
        <w:tabs>
          <w:tab w:val="left" w:pos="2835"/>
        </w:tabs>
      </w:pPr>
      <w:r w:rsidRPr="00A35C95">
        <w:t>(d)</w:t>
      </w:r>
      <w:r w:rsidRPr="00A35C95">
        <w:tab/>
        <w:t>the Bank for International Settlements and other similar international organisations.</w:t>
      </w:r>
    </w:p>
    <w:p w14:paraId="3F6402F8" w14:textId="77777777" w:rsidR="00E93F58" w:rsidRPr="00A35C95" w:rsidRDefault="00E93F58" w:rsidP="00366AB5">
      <w:pPr>
        <w:pStyle w:val="ActHead5"/>
        <w:tabs>
          <w:tab w:val="left" w:pos="2835"/>
        </w:tabs>
      </w:pPr>
      <w:bookmarkStart w:id="868" w:name="_Toc152058008"/>
      <w:bookmarkStart w:id="869" w:name="_Toc158712231"/>
      <w:r w:rsidRPr="00844D11">
        <w:rPr>
          <w:rStyle w:val="CharSectno"/>
        </w:rPr>
        <w:t>7.5A.65</w:t>
      </w:r>
      <w:r w:rsidRPr="00A35C95">
        <w:t xml:space="preserve">  Circumstances in which clearing requirements can be imposed</w:t>
      </w:r>
      <w:bookmarkEnd w:id="868"/>
      <w:bookmarkEnd w:id="869"/>
    </w:p>
    <w:p w14:paraId="7AD2B7A3" w14:textId="77777777" w:rsidR="00E93F58" w:rsidRPr="00A35C95" w:rsidRDefault="00E93F58" w:rsidP="00366AB5">
      <w:pPr>
        <w:pStyle w:val="subsection"/>
        <w:tabs>
          <w:tab w:val="left" w:pos="2835"/>
        </w:tabs>
      </w:pPr>
      <w:r w:rsidRPr="00A35C95">
        <w:tab/>
        <w:t>(1)</w:t>
      </w:r>
      <w:r w:rsidRPr="00A35C95">
        <w:tab/>
        <w:t>This regulation is made for paragraph 901D(b) of the Act.</w:t>
      </w:r>
    </w:p>
    <w:p w14:paraId="00DBD65D" w14:textId="77777777" w:rsidR="00E93F58" w:rsidRPr="00A35C95" w:rsidRDefault="00E93F58" w:rsidP="00366AB5">
      <w:pPr>
        <w:pStyle w:val="subsection"/>
        <w:tabs>
          <w:tab w:val="left" w:pos="2835"/>
        </w:tabs>
      </w:pPr>
      <w:r w:rsidRPr="00A35C95">
        <w:tab/>
        <w:t>(2)</w:t>
      </w:r>
      <w:r w:rsidRPr="00A35C95">
        <w:tab/>
        <w:t>The derivative transaction rules can only impose clearing requirements in relation to a derivative transaction on an entity that is an Australian clearing entity in relation to the transaction if the other party to the transaction is:</w:t>
      </w:r>
    </w:p>
    <w:p w14:paraId="0CBB61DD" w14:textId="77777777" w:rsidR="00E93F58" w:rsidRPr="00A35C95" w:rsidRDefault="00E93F58" w:rsidP="00366AB5">
      <w:pPr>
        <w:pStyle w:val="paragraph"/>
        <w:tabs>
          <w:tab w:val="left" w:pos="2835"/>
        </w:tabs>
      </w:pPr>
      <w:r w:rsidRPr="00A35C95">
        <w:tab/>
        <w:t>(a)</w:t>
      </w:r>
      <w:r w:rsidRPr="00A35C95">
        <w:tab/>
        <w:t>an Australian clearing entity in relation to the transaction; or</w:t>
      </w:r>
    </w:p>
    <w:p w14:paraId="0BA617FB" w14:textId="77777777" w:rsidR="00E93F58" w:rsidRPr="00A35C95" w:rsidRDefault="00E93F58" w:rsidP="00366AB5">
      <w:pPr>
        <w:pStyle w:val="paragraph"/>
        <w:tabs>
          <w:tab w:val="left" w:pos="2835"/>
        </w:tabs>
      </w:pPr>
      <w:r w:rsidRPr="00A35C95">
        <w:tab/>
        <w:t>(b)</w:t>
      </w:r>
      <w:r w:rsidRPr="00A35C95">
        <w:tab/>
        <w:t>a foreign clearing entity in relation to the transaction; or</w:t>
      </w:r>
    </w:p>
    <w:p w14:paraId="7DF2BC1A" w14:textId="77777777" w:rsidR="00E93F58" w:rsidRPr="00A35C95" w:rsidRDefault="00E93F58" w:rsidP="00366AB5">
      <w:pPr>
        <w:pStyle w:val="paragraph"/>
        <w:tabs>
          <w:tab w:val="left" w:pos="2835"/>
        </w:tabs>
      </w:pPr>
      <w:r w:rsidRPr="00A35C95">
        <w:tab/>
        <w:t>(c)</w:t>
      </w:r>
      <w:r w:rsidRPr="00A35C95">
        <w:tab/>
        <w:t>a foreign internationally active dealer.</w:t>
      </w:r>
    </w:p>
    <w:p w14:paraId="642737AD" w14:textId="77777777" w:rsidR="00E93F58" w:rsidRPr="00A35C95" w:rsidRDefault="00E93F58" w:rsidP="00366AB5">
      <w:pPr>
        <w:pStyle w:val="subsection"/>
        <w:tabs>
          <w:tab w:val="left" w:pos="2835"/>
        </w:tabs>
      </w:pPr>
      <w:r w:rsidRPr="00A35C95">
        <w:tab/>
        <w:t>(3)</w:t>
      </w:r>
      <w:r w:rsidRPr="00A35C95">
        <w:tab/>
        <w:t>The derivative transaction rules can only impose clearing requirements in relation to a derivative transaction on an entity that is a foreign clearing entity in relation to the transaction if the other party to the transaction is:</w:t>
      </w:r>
    </w:p>
    <w:p w14:paraId="4F8FE49A" w14:textId="77777777" w:rsidR="00E93F58" w:rsidRPr="00A35C95" w:rsidRDefault="00E93F58" w:rsidP="00366AB5">
      <w:pPr>
        <w:pStyle w:val="paragraph"/>
        <w:tabs>
          <w:tab w:val="left" w:pos="2835"/>
        </w:tabs>
      </w:pPr>
      <w:r w:rsidRPr="00A35C95">
        <w:tab/>
        <w:t>(a)</w:t>
      </w:r>
      <w:r w:rsidRPr="00A35C95">
        <w:tab/>
        <w:t>an Australian clearing entity in relation to the transaction; or</w:t>
      </w:r>
    </w:p>
    <w:p w14:paraId="5E41D258" w14:textId="77777777" w:rsidR="00E93F58" w:rsidRPr="00A35C95" w:rsidRDefault="00E93F58" w:rsidP="00366AB5">
      <w:pPr>
        <w:pStyle w:val="paragraph"/>
        <w:tabs>
          <w:tab w:val="left" w:pos="2835"/>
        </w:tabs>
      </w:pPr>
      <w:r w:rsidRPr="00A35C95">
        <w:tab/>
        <w:t>(b)</w:t>
      </w:r>
      <w:r w:rsidRPr="00A35C95">
        <w:tab/>
        <w:t>a foreign clearing entity in relation to the transaction; or</w:t>
      </w:r>
    </w:p>
    <w:p w14:paraId="1E2F511D" w14:textId="77777777" w:rsidR="00E93F58" w:rsidRPr="00A35C95" w:rsidRDefault="00E93F58" w:rsidP="00366AB5">
      <w:pPr>
        <w:pStyle w:val="paragraph"/>
        <w:tabs>
          <w:tab w:val="left" w:pos="2835"/>
        </w:tabs>
      </w:pPr>
      <w:r w:rsidRPr="00A35C95">
        <w:tab/>
        <w:t>(c)</w:t>
      </w:r>
      <w:r w:rsidRPr="00A35C95">
        <w:tab/>
        <w:t>a foreign internationally active dealer.</w:t>
      </w:r>
    </w:p>
    <w:p w14:paraId="18478288" w14:textId="77777777" w:rsidR="00E93F58" w:rsidRPr="00A35C95" w:rsidRDefault="00E93F58" w:rsidP="00366AB5">
      <w:pPr>
        <w:pStyle w:val="subsection"/>
        <w:tabs>
          <w:tab w:val="left" w:pos="2835"/>
        </w:tabs>
      </w:pPr>
      <w:r w:rsidRPr="00A35C95">
        <w:tab/>
        <w:t>(4)</w:t>
      </w:r>
      <w:r w:rsidRPr="00A35C95">
        <w:tab/>
        <w:t>In this regulation:</w:t>
      </w:r>
    </w:p>
    <w:p w14:paraId="0A674957" w14:textId="77777777" w:rsidR="00E93F58" w:rsidRPr="00A35C95" w:rsidRDefault="00E93F58" w:rsidP="00366AB5">
      <w:pPr>
        <w:pStyle w:val="Definition"/>
        <w:tabs>
          <w:tab w:val="left" w:pos="2835"/>
        </w:tabs>
      </w:pPr>
      <w:r w:rsidRPr="00A35C95">
        <w:rPr>
          <w:b/>
          <w:i/>
        </w:rPr>
        <w:t>foreign internationally active dealer</w:t>
      </w:r>
      <w:r w:rsidRPr="00A35C95">
        <w:t xml:space="preserve"> means any foreign entity, other than a foreign clearing entity, that is registered or provisionally registered as:</w:t>
      </w:r>
    </w:p>
    <w:p w14:paraId="37754F58" w14:textId="77777777" w:rsidR="00E93F58" w:rsidRPr="00A35C95" w:rsidRDefault="00E93F58" w:rsidP="00366AB5">
      <w:pPr>
        <w:pStyle w:val="paragraph"/>
        <w:tabs>
          <w:tab w:val="left" w:pos="2835"/>
        </w:tabs>
      </w:pPr>
      <w:r w:rsidRPr="00A35C95">
        <w:tab/>
        <w:t>(a)</w:t>
      </w:r>
      <w:r w:rsidRPr="00A35C95">
        <w:tab/>
        <w:t>a swap dealer with the Commodity Futures Trading Commission of the United States of America; or</w:t>
      </w:r>
    </w:p>
    <w:p w14:paraId="2A71BA69" w14:textId="77777777" w:rsidR="00E93F58" w:rsidRPr="00A35C95" w:rsidRDefault="00E93F58" w:rsidP="00366AB5">
      <w:pPr>
        <w:pStyle w:val="paragraph"/>
        <w:tabs>
          <w:tab w:val="left" w:pos="2835"/>
        </w:tabs>
      </w:pPr>
      <w:r w:rsidRPr="00A35C95">
        <w:tab/>
        <w:t>(b)</w:t>
      </w:r>
      <w:r w:rsidRPr="00A35C95">
        <w:tab/>
        <w:t>a securities</w:t>
      </w:r>
      <w:r>
        <w:noBreakHyphen/>
      </w:r>
      <w:r w:rsidRPr="00A35C95">
        <w:t>based swap dealer with the Securities and Exchange Commission of the United States of America.</w:t>
      </w:r>
    </w:p>
    <w:p w14:paraId="68092702" w14:textId="77777777" w:rsidR="00E93F58" w:rsidRPr="00A35C95" w:rsidRDefault="00E93F58" w:rsidP="00366AB5">
      <w:pPr>
        <w:pStyle w:val="ActHead4"/>
        <w:tabs>
          <w:tab w:val="left" w:pos="2835"/>
        </w:tabs>
      </w:pPr>
      <w:bookmarkStart w:id="870" w:name="_Toc152058009"/>
      <w:bookmarkStart w:id="871" w:name="_Toc158712232"/>
      <w:r w:rsidRPr="00844D11">
        <w:rPr>
          <w:rStyle w:val="CharSubdNo"/>
        </w:rPr>
        <w:t>Subdivision 2.1B</w:t>
      </w:r>
      <w:r w:rsidRPr="00A35C95">
        <w:t>—</w:t>
      </w:r>
      <w:r w:rsidRPr="00844D11">
        <w:rPr>
          <w:rStyle w:val="CharSubdText"/>
        </w:rPr>
        <w:t>Phase 3 reporting entities—exemption from OTC derivative reporting requirements</w:t>
      </w:r>
      <w:bookmarkEnd w:id="870"/>
      <w:bookmarkEnd w:id="871"/>
    </w:p>
    <w:p w14:paraId="422A61E6" w14:textId="77777777" w:rsidR="00E93F58" w:rsidRPr="00A35C95" w:rsidRDefault="00E93F58" w:rsidP="00366AB5">
      <w:pPr>
        <w:pStyle w:val="ActHead5"/>
        <w:tabs>
          <w:tab w:val="left" w:pos="2835"/>
        </w:tabs>
      </w:pPr>
      <w:bookmarkStart w:id="872" w:name="_Toc152058010"/>
      <w:bookmarkStart w:id="873" w:name="_Toc158712233"/>
      <w:r w:rsidRPr="00844D11">
        <w:rPr>
          <w:rStyle w:val="CharSectno"/>
        </w:rPr>
        <w:t>7.5A.70</w:t>
      </w:r>
      <w:r w:rsidRPr="00A35C95">
        <w:t xml:space="preserve">  Definitions for Subdivision 2.1B</w:t>
      </w:r>
      <w:bookmarkEnd w:id="872"/>
      <w:bookmarkEnd w:id="873"/>
    </w:p>
    <w:p w14:paraId="6EFA9D27" w14:textId="77777777" w:rsidR="00E93F58" w:rsidRPr="00A35C95" w:rsidRDefault="00E93F58" w:rsidP="00366AB5">
      <w:pPr>
        <w:pStyle w:val="subsection"/>
        <w:tabs>
          <w:tab w:val="left" w:pos="2835"/>
        </w:tabs>
      </w:pPr>
      <w:r w:rsidRPr="00A35C95">
        <w:tab/>
      </w:r>
      <w:r w:rsidRPr="00A35C95">
        <w:tab/>
        <w:t>In this Subdivision:</w:t>
      </w:r>
    </w:p>
    <w:p w14:paraId="1F6BD0E3" w14:textId="77777777" w:rsidR="00E93F58" w:rsidRPr="00A35C95" w:rsidRDefault="00E93F58" w:rsidP="00366AB5">
      <w:pPr>
        <w:pStyle w:val="Definition"/>
        <w:tabs>
          <w:tab w:val="left" w:pos="2835"/>
        </w:tabs>
      </w:pPr>
      <w:r w:rsidRPr="00A35C95">
        <w:rPr>
          <w:b/>
          <w:i/>
        </w:rPr>
        <w:t>ASIC exemption instrument</w:t>
      </w:r>
      <w:r w:rsidRPr="00A35C95">
        <w:rPr>
          <w:b/>
        </w:rPr>
        <w:t xml:space="preserve"> </w:t>
      </w:r>
      <w:r w:rsidRPr="00A35C95">
        <w:t xml:space="preserve">means </w:t>
      </w:r>
      <w:r w:rsidRPr="00A35C95">
        <w:rPr>
          <w:i/>
        </w:rPr>
        <w:t>ASIC Instrument [14/0633]</w:t>
      </w:r>
      <w:r w:rsidRPr="00A35C95">
        <w:t>.</w:t>
      </w:r>
    </w:p>
    <w:p w14:paraId="063967B7" w14:textId="77777777" w:rsidR="00E93F58" w:rsidRPr="00A35C95" w:rsidRDefault="00E93F58" w:rsidP="00366AB5">
      <w:pPr>
        <w:pStyle w:val="Definition"/>
        <w:tabs>
          <w:tab w:val="left" w:pos="2835"/>
        </w:tabs>
      </w:pPr>
      <w:r w:rsidRPr="00A35C95">
        <w:rPr>
          <w:b/>
          <w:i/>
        </w:rPr>
        <w:t>Derivative Transaction Rules (Reporting)</w:t>
      </w:r>
      <w:r w:rsidRPr="00A35C95">
        <w:t xml:space="preserve"> means the </w:t>
      </w:r>
      <w:r w:rsidRPr="00A35C95">
        <w:rPr>
          <w:i/>
        </w:rPr>
        <w:t>ASIC Derivative Transaction Rules (Reporting) 2013</w:t>
      </w:r>
      <w:r w:rsidRPr="00A35C95">
        <w:t>.</w:t>
      </w:r>
    </w:p>
    <w:p w14:paraId="634C8363" w14:textId="77777777" w:rsidR="00E93F58" w:rsidRPr="00A35C95" w:rsidRDefault="00E93F58" w:rsidP="00366AB5">
      <w:pPr>
        <w:pStyle w:val="Definition"/>
        <w:tabs>
          <w:tab w:val="left" w:pos="2835"/>
        </w:tabs>
      </w:pPr>
      <w:r w:rsidRPr="00A35C95">
        <w:rPr>
          <w:b/>
          <w:i/>
        </w:rPr>
        <w:t>OTC derivative</w:t>
      </w:r>
      <w:r w:rsidRPr="00A35C95">
        <w:t xml:space="preserve"> (short for over</w:t>
      </w:r>
      <w:r>
        <w:noBreakHyphen/>
      </w:r>
      <w:r w:rsidRPr="00A35C95">
        <w:t>the</w:t>
      </w:r>
      <w:r>
        <w:noBreakHyphen/>
      </w:r>
      <w:r w:rsidRPr="00A35C95">
        <w:t>counter derivative) means an OTC Derivative within the meaning of the Derivative Transaction Rules (Reporting).</w:t>
      </w:r>
    </w:p>
    <w:p w14:paraId="095957BE" w14:textId="77777777" w:rsidR="00E93F58" w:rsidRPr="00A35C95" w:rsidRDefault="00E93F58" w:rsidP="00366AB5">
      <w:pPr>
        <w:pStyle w:val="Definition"/>
        <w:tabs>
          <w:tab w:val="left" w:pos="2835"/>
        </w:tabs>
      </w:pPr>
      <w:r w:rsidRPr="00A35C95">
        <w:rPr>
          <w:b/>
          <w:i/>
        </w:rPr>
        <w:lastRenderedPageBreak/>
        <w:t>OTC derivative position</w:t>
      </w:r>
      <w:r w:rsidRPr="00A35C95">
        <w:t xml:space="preserve"> means a position relating to an OTC derivative transaction.</w:t>
      </w:r>
    </w:p>
    <w:p w14:paraId="4387C148" w14:textId="77777777" w:rsidR="00E93F58" w:rsidRPr="00A35C95" w:rsidRDefault="00E93F58" w:rsidP="00366AB5">
      <w:pPr>
        <w:pStyle w:val="Definition"/>
        <w:tabs>
          <w:tab w:val="left" w:pos="2835"/>
        </w:tabs>
      </w:pPr>
      <w:r w:rsidRPr="00A35C95">
        <w:rPr>
          <w:b/>
          <w:i/>
        </w:rPr>
        <w:t>OTC derivative position information</w:t>
      </w:r>
      <w:r w:rsidRPr="00A35C95">
        <w:t xml:space="preserve"> means Derivative Position Information within the meaning of the Derivative Transaction Rules (Reporting), as in force on 1 October 2015, about OTC derivative positions.</w:t>
      </w:r>
    </w:p>
    <w:p w14:paraId="4A0EB5E8" w14:textId="77777777" w:rsidR="00E93F58" w:rsidRPr="00A35C95" w:rsidRDefault="00E93F58" w:rsidP="00366AB5">
      <w:pPr>
        <w:pStyle w:val="Definition"/>
        <w:tabs>
          <w:tab w:val="left" w:pos="2835"/>
        </w:tabs>
      </w:pPr>
      <w:r w:rsidRPr="00A35C95">
        <w:rPr>
          <w:b/>
          <w:i/>
        </w:rPr>
        <w:t>OTC derivative transaction</w:t>
      </w:r>
      <w:r w:rsidRPr="00A35C95">
        <w:t xml:space="preserve"> means a derivative transaction relating to an OTC derivative.</w:t>
      </w:r>
    </w:p>
    <w:p w14:paraId="31655B73" w14:textId="77777777" w:rsidR="00E93F58" w:rsidRPr="00A35C95" w:rsidRDefault="00E93F58" w:rsidP="00366AB5">
      <w:pPr>
        <w:pStyle w:val="Definition"/>
        <w:tabs>
          <w:tab w:val="left" w:pos="2835"/>
        </w:tabs>
      </w:pPr>
      <w:r w:rsidRPr="00A35C95">
        <w:rPr>
          <w:b/>
          <w:i/>
        </w:rPr>
        <w:t>phase 3 reporting entity</w:t>
      </w:r>
      <w:r w:rsidRPr="00A35C95">
        <w:t xml:space="preserve"> means a Phase 3 Reporting Entity within the meaning of the ASIC exemption instrument as in force on 1 October 2015.</w:t>
      </w:r>
    </w:p>
    <w:p w14:paraId="18722046" w14:textId="77777777" w:rsidR="00E93F58" w:rsidRPr="00A35C95" w:rsidRDefault="00E93F58" w:rsidP="00366AB5">
      <w:pPr>
        <w:pStyle w:val="Definition"/>
        <w:tabs>
          <w:tab w:val="left" w:pos="2835"/>
        </w:tabs>
      </w:pPr>
      <w:r w:rsidRPr="00A35C95">
        <w:rPr>
          <w:b/>
          <w:i/>
        </w:rPr>
        <w:t>reporting counterparty</w:t>
      </w:r>
      <w:r w:rsidRPr="00A35C95">
        <w:t>: see regulation 7.5A.72.</w:t>
      </w:r>
    </w:p>
    <w:p w14:paraId="6D4CDA92" w14:textId="77777777" w:rsidR="00E93F58" w:rsidRPr="00A35C95" w:rsidRDefault="00E93F58" w:rsidP="00366AB5">
      <w:pPr>
        <w:pStyle w:val="Definition"/>
        <w:tabs>
          <w:tab w:val="left" w:pos="2835"/>
        </w:tabs>
      </w:pPr>
      <w:r w:rsidRPr="00A35C95">
        <w:rPr>
          <w:b/>
          <w:i/>
        </w:rPr>
        <w:t>reporting entity</w:t>
      </w:r>
      <w:r w:rsidRPr="00A35C95">
        <w:t xml:space="preserve"> means a Reporting Entity within the meaning of the Derivative Transaction Rules (Reporting), as in force on 1 October 2015.</w:t>
      </w:r>
    </w:p>
    <w:p w14:paraId="3869F545" w14:textId="77777777" w:rsidR="00E93F58" w:rsidRPr="00A35C95" w:rsidRDefault="00E93F58" w:rsidP="00366AB5">
      <w:pPr>
        <w:pStyle w:val="Definition"/>
        <w:tabs>
          <w:tab w:val="left" w:pos="2835"/>
        </w:tabs>
      </w:pPr>
      <w:r w:rsidRPr="00A35C95">
        <w:rPr>
          <w:b/>
          <w:i/>
        </w:rPr>
        <w:t>representative capacity</w:t>
      </w:r>
      <w:r w:rsidRPr="00A35C95">
        <w:t xml:space="preserve">: an entity is a party to an OTC derivative transaction, or holds an OTC derivative position, in a </w:t>
      </w:r>
      <w:r w:rsidRPr="00A35C95">
        <w:rPr>
          <w:b/>
          <w:i/>
        </w:rPr>
        <w:t>representative capacity</w:t>
      </w:r>
      <w:r w:rsidRPr="00A35C95">
        <w:t xml:space="preserve"> if the entity is such a party, or holds such a position, in a capacity as:</w:t>
      </w:r>
    </w:p>
    <w:p w14:paraId="53F33700" w14:textId="77777777" w:rsidR="00E93F58" w:rsidRPr="00A35C95" w:rsidRDefault="00E93F58" w:rsidP="00366AB5">
      <w:pPr>
        <w:pStyle w:val="paragraph"/>
        <w:tabs>
          <w:tab w:val="left" w:pos="2835"/>
        </w:tabs>
      </w:pPr>
      <w:r w:rsidRPr="00A35C95">
        <w:tab/>
        <w:t>(a)</w:t>
      </w:r>
      <w:r w:rsidRPr="00A35C95">
        <w:tab/>
        <w:t>the responsible entity of a registered scheme; or</w:t>
      </w:r>
    </w:p>
    <w:p w14:paraId="3491DA29" w14:textId="77777777" w:rsidR="00E93F58" w:rsidRPr="00A35C95" w:rsidRDefault="00E93F58" w:rsidP="00366AB5">
      <w:pPr>
        <w:pStyle w:val="paragraph"/>
        <w:tabs>
          <w:tab w:val="left" w:pos="2835"/>
        </w:tabs>
      </w:pPr>
      <w:r w:rsidRPr="00A35C95">
        <w:tab/>
        <w:t>(b)</w:t>
      </w:r>
      <w:r w:rsidRPr="00A35C95">
        <w:tab/>
        <w:t>the operator of a notified foreign passport fund; or</w:t>
      </w:r>
    </w:p>
    <w:p w14:paraId="5A6B2498" w14:textId="77777777" w:rsidR="00E93F58" w:rsidRPr="00A35C95" w:rsidRDefault="00E93F58" w:rsidP="00366AB5">
      <w:pPr>
        <w:pStyle w:val="paragraph"/>
        <w:tabs>
          <w:tab w:val="left" w:pos="2835"/>
        </w:tabs>
      </w:pPr>
      <w:r w:rsidRPr="00A35C95">
        <w:tab/>
        <w:t>(c)</w:t>
      </w:r>
      <w:r w:rsidRPr="00A35C95">
        <w:tab/>
        <w:t>the responsible holding party for a notified foreign passport fund; or</w:t>
      </w:r>
    </w:p>
    <w:p w14:paraId="5B67C2EB" w14:textId="77777777" w:rsidR="00E93F58" w:rsidRPr="00A35C95" w:rsidRDefault="00E93F58" w:rsidP="00366AB5">
      <w:pPr>
        <w:pStyle w:val="paragraph"/>
        <w:tabs>
          <w:tab w:val="left" w:pos="2835"/>
        </w:tabs>
      </w:pPr>
      <w:r w:rsidRPr="00A35C95">
        <w:tab/>
        <w:t>(d)</w:t>
      </w:r>
      <w:r w:rsidRPr="00A35C95">
        <w:tab/>
        <w:t>the trustee of a trust; or</w:t>
      </w:r>
    </w:p>
    <w:p w14:paraId="36AD9A32" w14:textId="77777777" w:rsidR="00E93F58" w:rsidRPr="00A35C95" w:rsidRDefault="00E93F58" w:rsidP="00366AB5">
      <w:pPr>
        <w:pStyle w:val="paragraph"/>
        <w:tabs>
          <w:tab w:val="left" w:pos="2835"/>
        </w:tabs>
      </w:pPr>
      <w:r w:rsidRPr="00A35C95">
        <w:tab/>
        <w:t>(e)</w:t>
      </w:r>
      <w:r w:rsidRPr="00A35C95">
        <w:tab/>
        <w:t>the corporate director of a CCIV.</w:t>
      </w:r>
    </w:p>
    <w:p w14:paraId="3D014E6D" w14:textId="77777777" w:rsidR="00E93F58" w:rsidRPr="00A35C95" w:rsidRDefault="00E93F58" w:rsidP="00366AB5">
      <w:pPr>
        <w:pStyle w:val="Definition"/>
        <w:tabs>
          <w:tab w:val="left" w:pos="2835"/>
        </w:tabs>
      </w:pPr>
      <w:r w:rsidRPr="00A35C95">
        <w:rPr>
          <w:b/>
          <w:i/>
        </w:rPr>
        <w:t>total gross notional outstanding positions</w:t>
      </w:r>
      <w:r w:rsidRPr="00A35C95">
        <w:t>, in relation to a phase 3 reporting entity, has a meaning affected by the ASIC exemption instrument, as in force on 1 October 2015.</w:t>
      </w:r>
    </w:p>
    <w:p w14:paraId="762A7267" w14:textId="77777777" w:rsidR="00E93F58" w:rsidRPr="00A35C95" w:rsidRDefault="00E93F58" w:rsidP="00366AB5">
      <w:pPr>
        <w:pStyle w:val="ActHead5"/>
        <w:tabs>
          <w:tab w:val="left" w:pos="2835"/>
        </w:tabs>
      </w:pPr>
      <w:bookmarkStart w:id="874" w:name="_Toc152058011"/>
      <w:bookmarkStart w:id="875" w:name="_Toc158712234"/>
      <w:r w:rsidRPr="00844D11">
        <w:rPr>
          <w:rStyle w:val="CharSectno"/>
        </w:rPr>
        <w:t>7.5A.71</w:t>
      </w:r>
      <w:r w:rsidRPr="00A35C95">
        <w:t xml:space="preserve">  Exemption—single</w:t>
      </w:r>
      <w:r>
        <w:noBreakHyphen/>
      </w:r>
      <w:r w:rsidRPr="00A35C95">
        <w:t>sided transaction and position reporting</w:t>
      </w:r>
      <w:bookmarkEnd w:id="874"/>
      <w:bookmarkEnd w:id="875"/>
    </w:p>
    <w:p w14:paraId="5573CC35" w14:textId="77777777" w:rsidR="00E93F58" w:rsidRPr="00A35C95" w:rsidRDefault="00E93F58" w:rsidP="00366AB5">
      <w:pPr>
        <w:pStyle w:val="subsection"/>
        <w:tabs>
          <w:tab w:val="left" w:pos="2835"/>
        </w:tabs>
      </w:pPr>
      <w:r w:rsidRPr="00A35C95">
        <w:tab/>
        <w:t>(1)</w:t>
      </w:r>
      <w:r w:rsidRPr="00A35C95">
        <w:tab/>
        <w:t>This regulation is made for paragraph 907E(2)(a) of the Act.</w:t>
      </w:r>
    </w:p>
    <w:p w14:paraId="566DF195" w14:textId="77777777" w:rsidR="00E93F58" w:rsidRPr="00A35C95" w:rsidRDefault="00E93F58" w:rsidP="00366AB5">
      <w:pPr>
        <w:pStyle w:val="SubsectionHead"/>
        <w:tabs>
          <w:tab w:val="left" w:pos="2835"/>
        </w:tabs>
      </w:pPr>
      <w:r w:rsidRPr="00A35C95">
        <w:t>Exemptions</w:t>
      </w:r>
    </w:p>
    <w:p w14:paraId="52D9C349" w14:textId="77777777" w:rsidR="00E93F58" w:rsidRPr="00A35C95" w:rsidRDefault="00E93F58" w:rsidP="00366AB5">
      <w:pPr>
        <w:pStyle w:val="subsection"/>
        <w:tabs>
          <w:tab w:val="left" w:pos="2835"/>
        </w:tabs>
      </w:pPr>
      <w:r w:rsidRPr="00A35C95">
        <w:tab/>
        <w:t>(2)</w:t>
      </w:r>
      <w:r w:rsidRPr="00A35C95">
        <w:tab/>
        <w:t>A phase 3 reporting entity is exempt from a provision of the Derivative Transaction Rules (Reporting) requiring the entity, at a particular time, to report information about an OTC derivative transaction to which the entity is a party if, at that time:</w:t>
      </w:r>
    </w:p>
    <w:p w14:paraId="07259F6A" w14:textId="77777777" w:rsidR="00E93F58" w:rsidRPr="00A35C95" w:rsidRDefault="00E93F58" w:rsidP="00366AB5">
      <w:pPr>
        <w:pStyle w:val="paragraph"/>
        <w:tabs>
          <w:tab w:val="left" w:pos="2835"/>
        </w:tabs>
      </w:pPr>
      <w:r w:rsidRPr="00A35C95">
        <w:tab/>
        <w:t>(a)</w:t>
      </w:r>
      <w:r w:rsidRPr="00A35C95">
        <w:tab/>
        <w:t>regulation 7.5A.73 applies to the entity in relation to the transaction; and</w:t>
      </w:r>
    </w:p>
    <w:p w14:paraId="49615B75" w14:textId="77777777" w:rsidR="00E93F58" w:rsidRPr="00A35C95" w:rsidRDefault="00E93F58" w:rsidP="00366AB5">
      <w:pPr>
        <w:pStyle w:val="paragraph"/>
        <w:tabs>
          <w:tab w:val="left" w:pos="2835"/>
        </w:tabs>
      </w:pPr>
      <w:r w:rsidRPr="00A35C95">
        <w:tab/>
        <w:t>(b)</w:t>
      </w:r>
      <w:r w:rsidRPr="00A35C95">
        <w:tab/>
        <w:t>the other party to the transaction is a reporting counterparty in relation to the phase 3 reporting entity and the information.</w:t>
      </w:r>
    </w:p>
    <w:p w14:paraId="36FE68F4" w14:textId="77777777" w:rsidR="00E93F58" w:rsidRPr="00A35C95" w:rsidRDefault="00E93F58" w:rsidP="00366AB5">
      <w:pPr>
        <w:pStyle w:val="subsection"/>
        <w:tabs>
          <w:tab w:val="left" w:pos="2835"/>
        </w:tabs>
      </w:pPr>
      <w:r w:rsidRPr="00A35C95">
        <w:tab/>
        <w:t>(3)</w:t>
      </w:r>
      <w:r w:rsidRPr="00A35C95">
        <w:tab/>
        <w:t>A phase 3 reporting entity is exempt from a provision of the Derivative Transaction Rules (Reporting) requiring the entity, at a particular time, to report OTC derivative position information in relation to an OTC derivative position to which the entity is a party if, at that time:</w:t>
      </w:r>
    </w:p>
    <w:p w14:paraId="590D1D20" w14:textId="77777777" w:rsidR="00E93F58" w:rsidRPr="00A35C95" w:rsidRDefault="00E93F58" w:rsidP="00366AB5">
      <w:pPr>
        <w:pStyle w:val="paragraph"/>
        <w:tabs>
          <w:tab w:val="left" w:pos="2835"/>
        </w:tabs>
      </w:pPr>
      <w:r w:rsidRPr="00A35C95">
        <w:tab/>
        <w:t>(a)</w:t>
      </w:r>
      <w:r w:rsidRPr="00A35C95">
        <w:tab/>
        <w:t>regulation 7.5A.73 applies to the entity in relation to the position; and</w:t>
      </w:r>
    </w:p>
    <w:p w14:paraId="67232F36" w14:textId="77777777" w:rsidR="00E93F58" w:rsidRPr="00A35C95" w:rsidRDefault="00E93F58" w:rsidP="00366AB5">
      <w:pPr>
        <w:pStyle w:val="paragraph"/>
        <w:tabs>
          <w:tab w:val="left" w:pos="2835"/>
        </w:tabs>
      </w:pPr>
      <w:r w:rsidRPr="00A35C95">
        <w:tab/>
        <w:t>(b)</w:t>
      </w:r>
      <w:r w:rsidRPr="00A35C95">
        <w:tab/>
        <w:t>the other party to the position is a reporting counterparty in relation to the phase 3 reporting entity and the information.</w:t>
      </w:r>
    </w:p>
    <w:p w14:paraId="4BD71B9C" w14:textId="77777777" w:rsidR="00E93F58" w:rsidRPr="00A35C95" w:rsidRDefault="00E93F58" w:rsidP="00366AB5">
      <w:pPr>
        <w:pStyle w:val="SubsectionHead"/>
        <w:tabs>
          <w:tab w:val="left" w:pos="2835"/>
        </w:tabs>
      </w:pPr>
      <w:r w:rsidRPr="00A35C95">
        <w:t>Effect of exemption on ASIC exemption instrument</w:t>
      </w:r>
    </w:p>
    <w:p w14:paraId="164B0638" w14:textId="77777777" w:rsidR="00E93F58" w:rsidRPr="00A35C95" w:rsidRDefault="00E93F58" w:rsidP="00366AB5">
      <w:pPr>
        <w:pStyle w:val="subsection"/>
        <w:tabs>
          <w:tab w:val="left" w:pos="2835"/>
        </w:tabs>
      </w:pPr>
      <w:r w:rsidRPr="00A35C95">
        <w:tab/>
        <w:t>(4)</w:t>
      </w:r>
      <w:r w:rsidRPr="00A35C95">
        <w:tab/>
        <w:t>Subregulation (5) applies if a phase 3 reporting entity is exempt under this regulation from a provision of the Derivative Transaction Rules (Reporting) requiring the entity to report information about a particular OTC derivative transaction or OTC derivative position.</w:t>
      </w:r>
    </w:p>
    <w:p w14:paraId="573A3DF3" w14:textId="77777777" w:rsidR="00E93F58" w:rsidRPr="00A35C95" w:rsidRDefault="00E93F58" w:rsidP="00366AB5">
      <w:pPr>
        <w:pStyle w:val="subsection"/>
        <w:tabs>
          <w:tab w:val="left" w:pos="2835"/>
        </w:tabs>
      </w:pPr>
      <w:r w:rsidRPr="00A35C95">
        <w:tab/>
        <w:t>(5)</w:t>
      </w:r>
      <w:r w:rsidRPr="00A35C95">
        <w:tab/>
        <w:t>The entity is also exempt from subsection 907D(3) of the Act in relation to a provision of the ASIC exemption instrument that imposes a requirement to report information about the transaction or position as a condition of an exemption under that instrument.</w:t>
      </w:r>
    </w:p>
    <w:p w14:paraId="7067888A" w14:textId="77777777" w:rsidR="00E93F58" w:rsidRPr="00A35C95" w:rsidRDefault="00E93F58" w:rsidP="00366AB5">
      <w:pPr>
        <w:pStyle w:val="ActHead5"/>
        <w:tabs>
          <w:tab w:val="left" w:pos="2835"/>
        </w:tabs>
      </w:pPr>
      <w:bookmarkStart w:id="876" w:name="_Toc152058012"/>
      <w:bookmarkStart w:id="877" w:name="_Toc158712235"/>
      <w:r w:rsidRPr="00844D11">
        <w:rPr>
          <w:rStyle w:val="CharSectno"/>
        </w:rPr>
        <w:t>7.5A.72</w:t>
      </w:r>
      <w:r w:rsidRPr="00A35C95">
        <w:t xml:space="preserve">  Reporting counterparties</w:t>
      </w:r>
      <w:bookmarkEnd w:id="876"/>
      <w:bookmarkEnd w:id="877"/>
    </w:p>
    <w:p w14:paraId="4EEDFA3D" w14:textId="77777777" w:rsidR="00E93F58" w:rsidRPr="00A35C95" w:rsidRDefault="00E93F58" w:rsidP="00366AB5">
      <w:pPr>
        <w:pStyle w:val="subsection"/>
        <w:tabs>
          <w:tab w:val="left" w:pos="2835"/>
        </w:tabs>
      </w:pPr>
      <w:r w:rsidRPr="00A35C95">
        <w:tab/>
        <w:t>(1)</w:t>
      </w:r>
      <w:r w:rsidRPr="00A35C95">
        <w:tab/>
        <w:t xml:space="preserve">This regulation sets out, for the purposes of regulation 7.5A.71, the circumstances in which an entity (the </w:t>
      </w:r>
      <w:r w:rsidRPr="00A35C95">
        <w:rPr>
          <w:b/>
          <w:i/>
        </w:rPr>
        <w:t>other entity</w:t>
      </w:r>
      <w:r w:rsidRPr="00A35C95">
        <w:t xml:space="preserve">) is a </w:t>
      </w:r>
      <w:r w:rsidRPr="00A35C95">
        <w:rPr>
          <w:b/>
          <w:i/>
        </w:rPr>
        <w:t>reporting counterparty</w:t>
      </w:r>
      <w:r w:rsidRPr="00A35C95">
        <w:t xml:space="preserve"> in relation to:</w:t>
      </w:r>
    </w:p>
    <w:p w14:paraId="1AA5C36A" w14:textId="77777777" w:rsidR="00E93F58" w:rsidRPr="00A35C95" w:rsidRDefault="00E93F58" w:rsidP="00366AB5">
      <w:pPr>
        <w:pStyle w:val="paragraph"/>
        <w:tabs>
          <w:tab w:val="left" w:pos="2835"/>
        </w:tabs>
      </w:pPr>
      <w:r w:rsidRPr="00A35C95">
        <w:tab/>
        <w:t>(a)</w:t>
      </w:r>
      <w:r w:rsidRPr="00A35C95">
        <w:tab/>
        <w:t xml:space="preserve">a phase 3 reporting entity that proposes to rely on an exemption in that regulation (the </w:t>
      </w:r>
      <w:r w:rsidRPr="00A35C95">
        <w:rPr>
          <w:b/>
          <w:i/>
        </w:rPr>
        <w:t>exempt entity</w:t>
      </w:r>
      <w:r w:rsidRPr="00A35C95">
        <w:t>); and</w:t>
      </w:r>
    </w:p>
    <w:p w14:paraId="64467766" w14:textId="77777777" w:rsidR="00E93F58" w:rsidRPr="00A35C95" w:rsidRDefault="00E93F58" w:rsidP="00366AB5">
      <w:pPr>
        <w:pStyle w:val="paragraph"/>
        <w:tabs>
          <w:tab w:val="left" w:pos="2835"/>
        </w:tabs>
      </w:pPr>
      <w:r w:rsidRPr="00A35C95">
        <w:tab/>
        <w:t>(b)</w:t>
      </w:r>
      <w:r w:rsidRPr="00A35C95">
        <w:tab/>
        <w:t>information that is:</w:t>
      </w:r>
    </w:p>
    <w:p w14:paraId="7E5F5F3D" w14:textId="77777777" w:rsidR="00E93F58" w:rsidRPr="00A35C95" w:rsidRDefault="00E93F58" w:rsidP="00366AB5">
      <w:pPr>
        <w:pStyle w:val="paragraphsub"/>
        <w:tabs>
          <w:tab w:val="left" w:pos="2835"/>
        </w:tabs>
      </w:pPr>
      <w:r w:rsidRPr="00A35C95">
        <w:lastRenderedPageBreak/>
        <w:tab/>
        <w:t>(i)</w:t>
      </w:r>
      <w:r w:rsidRPr="00A35C95">
        <w:tab/>
        <w:t>information about an OTC derivative transaction; or</w:t>
      </w:r>
    </w:p>
    <w:p w14:paraId="2BD5A989" w14:textId="77777777" w:rsidR="00E93F58" w:rsidRPr="00A35C95" w:rsidRDefault="00E93F58" w:rsidP="00366AB5">
      <w:pPr>
        <w:pStyle w:val="paragraphsub"/>
        <w:tabs>
          <w:tab w:val="left" w:pos="2835"/>
        </w:tabs>
      </w:pPr>
      <w:r w:rsidRPr="00A35C95">
        <w:tab/>
        <w:t>(ii)</w:t>
      </w:r>
      <w:r w:rsidRPr="00A35C95">
        <w:tab/>
        <w:t>OTC derivative position information.</w:t>
      </w:r>
    </w:p>
    <w:p w14:paraId="3ED5C8B5" w14:textId="77777777" w:rsidR="00E93F58" w:rsidRPr="00A35C95" w:rsidRDefault="00E93F58" w:rsidP="00366AB5">
      <w:pPr>
        <w:pStyle w:val="SubsectionHead"/>
        <w:tabs>
          <w:tab w:val="left" w:pos="2835"/>
        </w:tabs>
      </w:pPr>
      <w:r w:rsidRPr="00A35C95">
        <w:t>Reporting entities</w:t>
      </w:r>
    </w:p>
    <w:p w14:paraId="2A819CB9" w14:textId="77777777" w:rsidR="00E93F58" w:rsidRPr="00A35C95" w:rsidRDefault="00E93F58" w:rsidP="00366AB5">
      <w:pPr>
        <w:pStyle w:val="subsection"/>
        <w:tabs>
          <w:tab w:val="left" w:pos="2835"/>
        </w:tabs>
      </w:pPr>
      <w:r w:rsidRPr="00A35C95">
        <w:tab/>
        <w:t>(2)</w:t>
      </w:r>
      <w:r w:rsidRPr="00A35C95">
        <w:tab/>
        <w:t xml:space="preserve">The other entity is a </w:t>
      </w:r>
      <w:r w:rsidRPr="00A35C95">
        <w:rPr>
          <w:b/>
          <w:i/>
        </w:rPr>
        <w:t>reporting counterparty</w:t>
      </w:r>
      <w:r w:rsidRPr="00A35C95">
        <w:t xml:space="preserve"> in relation to the exempt entity and the information if:</w:t>
      </w:r>
    </w:p>
    <w:p w14:paraId="49663E4C" w14:textId="77777777" w:rsidR="00E93F58" w:rsidRPr="00A35C95" w:rsidRDefault="00E93F58" w:rsidP="00366AB5">
      <w:pPr>
        <w:pStyle w:val="paragraph"/>
        <w:tabs>
          <w:tab w:val="left" w:pos="2835"/>
        </w:tabs>
      </w:pPr>
      <w:r w:rsidRPr="00A35C95">
        <w:tab/>
        <w:t>(a)</w:t>
      </w:r>
      <w:r w:rsidRPr="00A35C95">
        <w:tab/>
        <w:t>the other entity has made a representation to the exempt entity:</w:t>
      </w:r>
    </w:p>
    <w:p w14:paraId="7270C252" w14:textId="77777777" w:rsidR="00E93F58" w:rsidRPr="00A35C95" w:rsidRDefault="00E93F58" w:rsidP="00366AB5">
      <w:pPr>
        <w:pStyle w:val="paragraphsub"/>
        <w:tabs>
          <w:tab w:val="left" w:pos="2835"/>
        </w:tabs>
      </w:pPr>
      <w:r w:rsidRPr="00A35C95">
        <w:tab/>
        <w:t>(i)</w:t>
      </w:r>
      <w:r w:rsidRPr="00A35C95">
        <w:tab/>
        <w:t>that the other entity is a reporting entity, other than a phase 3 reporting entity, that is required to report such information under the Derivative Transaction Rules (Reporting); or</w:t>
      </w:r>
    </w:p>
    <w:p w14:paraId="6ADBC663" w14:textId="77777777" w:rsidR="00E93F58" w:rsidRPr="00A35C95" w:rsidRDefault="00E93F58" w:rsidP="00366AB5">
      <w:pPr>
        <w:pStyle w:val="paragraphsub"/>
        <w:tabs>
          <w:tab w:val="left" w:pos="2835"/>
        </w:tabs>
      </w:pPr>
      <w:r w:rsidRPr="00A35C95">
        <w:tab/>
        <w:t>(ii)</w:t>
      </w:r>
      <w:r w:rsidRPr="00A35C95">
        <w:tab/>
        <w:t>that the other entity is a phase 3 reporting entity that is required to report such information under the Derivative Transaction Rules (Reporting), and that regulation 7.5A.73 does not apply to the other entity in relation to such OTC derivative transactions or OTC derivative positions; and</w:t>
      </w:r>
    </w:p>
    <w:p w14:paraId="0C56B4E3" w14:textId="77777777" w:rsidR="00E93F58" w:rsidRPr="00A35C95" w:rsidRDefault="00E93F58" w:rsidP="00366AB5">
      <w:pPr>
        <w:pStyle w:val="paragraph"/>
        <w:tabs>
          <w:tab w:val="left" w:pos="2835"/>
        </w:tabs>
      </w:pPr>
      <w:r w:rsidRPr="00A35C95">
        <w:tab/>
        <w:t>(b)</w:t>
      </w:r>
      <w:r w:rsidRPr="00A35C95">
        <w:tab/>
        <w:t>the exempt entity makes regular enquiries reasonably designed to determine whether the representation is correct; and</w:t>
      </w:r>
    </w:p>
    <w:p w14:paraId="756611BF" w14:textId="77777777" w:rsidR="00E93F58" w:rsidRPr="00A35C95" w:rsidRDefault="00E93F58" w:rsidP="00366AB5">
      <w:pPr>
        <w:pStyle w:val="paragraph"/>
        <w:tabs>
          <w:tab w:val="left" w:pos="2835"/>
        </w:tabs>
      </w:pPr>
      <w:r w:rsidRPr="00A35C95">
        <w:tab/>
        <w:t>(c)</w:t>
      </w:r>
      <w:r w:rsidRPr="00A35C95">
        <w:tab/>
        <w:t>the exempt entity has no reason to suspect that the representation is incorrect.</w:t>
      </w:r>
    </w:p>
    <w:p w14:paraId="67C3CFCF" w14:textId="77777777" w:rsidR="00E93F58" w:rsidRPr="00A35C95" w:rsidRDefault="00E93F58" w:rsidP="00366AB5">
      <w:pPr>
        <w:pStyle w:val="subsection"/>
        <w:tabs>
          <w:tab w:val="left" w:pos="2835"/>
        </w:tabs>
      </w:pPr>
      <w:r w:rsidRPr="00A35C95">
        <w:tab/>
        <w:t>(3)</w:t>
      </w:r>
      <w:r w:rsidRPr="00A35C95">
        <w:tab/>
        <w:t xml:space="preserve">The other entity is a </w:t>
      </w:r>
      <w:r w:rsidRPr="00A35C95">
        <w:rPr>
          <w:b/>
          <w:i/>
        </w:rPr>
        <w:t>reporting counterparty</w:t>
      </w:r>
      <w:r w:rsidRPr="00A35C95">
        <w:t xml:space="preserve"> in relation to the exempt entity and the information if:</w:t>
      </w:r>
    </w:p>
    <w:p w14:paraId="5E08291D" w14:textId="77777777" w:rsidR="00E93F58" w:rsidRPr="00A35C95" w:rsidRDefault="00E93F58" w:rsidP="00366AB5">
      <w:pPr>
        <w:pStyle w:val="paragraph"/>
        <w:tabs>
          <w:tab w:val="left" w:pos="2835"/>
        </w:tabs>
      </w:pPr>
      <w:r w:rsidRPr="00A35C95">
        <w:tab/>
        <w:t>(a)</w:t>
      </w:r>
      <w:r w:rsidRPr="00A35C95">
        <w:tab/>
        <w:t>the other entity has made the following representations to the exempt entity:</w:t>
      </w:r>
    </w:p>
    <w:p w14:paraId="7A1E3378" w14:textId="77777777" w:rsidR="00E93F58" w:rsidRPr="00A35C95" w:rsidRDefault="00E93F58" w:rsidP="00366AB5">
      <w:pPr>
        <w:pStyle w:val="paragraphsub"/>
        <w:tabs>
          <w:tab w:val="left" w:pos="2835"/>
        </w:tabs>
      </w:pPr>
      <w:r w:rsidRPr="00A35C95">
        <w:tab/>
        <w:t>(i)</w:t>
      </w:r>
      <w:r w:rsidRPr="00A35C95">
        <w:tab/>
        <w:t>that the other entity is a reporting entity;</w:t>
      </w:r>
    </w:p>
    <w:p w14:paraId="73A97F0C" w14:textId="77777777" w:rsidR="00E93F58" w:rsidRPr="00A35C95" w:rsidRDefault="00E93F58" w:rsidP="00366AB5">
      <w:pPr>
        <w:pStyle w:val="paragraphsub"/>
        <w:tabs>
          <w:tab w:val="left" w:pos="2835"/>
        </w:tabs>
      </w:pPr>
      <w:r w:rsidRPr="00A35C95">
        <w:tab/>
        <w:t>(ii)</w:t>
      </w:r>
      <w:r w:rsidRPr="00A35C95">
        <w:tab/>
        <w:t>that the other entity will report such information in accordance with the Derivative Transaction Rules (Reporting); and</w:t>
      </w:r>
    </w:p>
    <w:p w14:paraId="487BE452" w14:textId="77777777" w:rsidR="00E93F58" w:rsidRPr="00A35C95" w:rsidRDefault="00E93F58" w:rsidP="00366AB5">
      <w:pPr>
        <w:pStyle w:val="paragraph"/>
        <w:tabs>
          <w:tab w:val="left" w:pos="2835"/>
        </w:tabs>
      </w:pPr>
      <w:r w:rsidRPr="00A35C95">
        <w:tab/>
        <w:t>(b)</w:t>
      </w:r>
      <w:r w:rsidRPr="00A35C95">
        <w:tab/>
        <w:t>the exempt entity makes regular enquiries reasonably designed to determine whether the other entity has been making reports in accordance with the representation referred to in subparagraph (a)(ii); and</w:t>
      </w:r>
    </w:p>
    <w:p w14:paraId="53F30C75" w14:textId="77777777" w:rsidR="00E93F58" w:rsidRPr="00A35C95" w:rsidRDefault="00E93F58" w:rsidP="00366AB5">
      <w:pPr>
        <w:pStyle w:val="paragraph"/>
        <w:tabs>
          <w:tab w:val="left" w:pos="2835"/>
        </w:tabs>
      </w:pPr>
      <w:r w:rsidRPr="00A35C95">
        <w:tab/>
        <w:t>(c)</w:t>
      </w:r>
      <w:r w:rsidRPr="00A35C95">
        <w:tab/>
        <w:t>the exempt entity has no reason to suspect that the other entity has not been making such reports.</w:t>
      </w:r>
    </w:p>
    <w:p w14:paraId="2E31C935" w14:textId="77777777" w:rsidR="00E93F58" w:rsidRPr="00A35C95" w:rsidRDefault="00E93F58" w:rsidP="00366AB5">
      <w:pPr>
        <w:pStyle w:val="SubsectionHead"/>
        <w:tabs>
          <w:tab w:val="left" w:pos="2835"/>
        </w:tabs>
      </w:pPr>
      <w:r w:rsidRPr="00A35C95">
        <w:t>Foreign entities</w:t>
      </w:r>
    </w:p>
    <w:p w14:paraId="4700D4E3" w14:textId="77777777" w:rsidR="00E93F58" w:rsidRPr="00A35C95" w:rsidRDefault="00E93F58" w:rsidP="00366AB5">
      <w:pPr>
        <w:pStyle w:val="subsection"/>
        <w:tabs>
          <w:tab w:val="left" w:pos="2835"/>
        </w:tabs>
      </w:pPr>
      <w:r w:rsidRPr="00A35C95">
        <w:tab/>
        <w:t>(4)</w:t>
      </w:r>
      <w:r w:rsidRPr="00A35C95">
        <w:tab/>
        <w:t xml:space="preserve">The other entity is a </w:t>
      </w:r>
      <w:r w:rsidRPr="00A35C95">
        <w:rPr>
          <w:b/>
          <w:i/>
        </w:rPr>
        <w:t>reporting counterparty</w:t>
      </w:r>
      <w:r w:rsidRPr="00A35C95">
        <w:t xml:space="preserve"> in relation to the exempt entity and the information if:</w:t>
      </w:r>
    </w:p>
    <w:p w14:paraId="05F3F21E" w14:textId="77777777" w:rsidR="00E93F58" w:rsidRPr="00A35C95" w:rsidRDefault="00E93F58" w:rsidP="00366AB5">
      <w:pPr>
        <w:pStyle w:val="paragraph"/>
        <w:tabs>
          <w:tab w:val="left" w:pos="2835"/>
        </w:tabs>
      </w:pPr>
      <w:r w:rsidRPr="00A35C95">
        <w:tab/>
        <w:t>(a)</w:t>
      </w:r>
      <w:r w:rsidRPr="00A35C95">
        <w:tab/>
        <w:t>the other entity is a foreign entity; and</w:t>
      </w:r>
    </w:p>
    <w:p w14:paraId="7A9C20B7" w14:textId="77777777" w:rsidR="00E93F58" w:rsidRPr="00A35C95" w:rsidRDefault="00E93F58" w:rsidP="00366AB5">
      <w:pPr>
        <w:pStyle w:val="paragraph"/>
        <w:tabs>
          <w:tab w:val="left" w:pos="2835"/>
        </w:tabs>
      </w:pPr>
      <w:r w:rsidRPr="00A35C95">
        <w:tab/>
        <w:t>(b)</w:t>
      </w:r>
      <w:r w:rsidRPr="00A35C95">
        <w:tab/>
        <w:t>the other entity has made the following representations to the exempt entity:</w:t>
      </w:r>
    </w:p>
    <w:p w14:paraId="52A0190C" w14:textId="77777777" w:rsidR="00E93F58" w:rsidRPr="00A35C95" w:rsidRDefault="00E93F58" w:rsidP="00366AB5">
      <w:pPr>
        <w:pStyle w:val="paragraphsub"/>
        <w:tabs>
          <w:tab w:val="left" w:pos="2835"/>
        </w:tabs>
      </w:pPr>
      <w:r w:rsidRPr="00A35C95">
        <w:tab/>
        <w:t>(i)</w:t>
      </w:r>
      <w:r w:rsidRPr="00A35C95">
        <w:tab/>
        <w:t>that the other entity is subject to reporting requirements (</w:t>
      </w:r>
      <w:r w:rsidRPr="00A35C95">
        <w:rPr>
          <w:b/>
          <w:i/>
        </w:rPr>
        <w:t>alternative reporting requirements</w:t>
      </w:r>
      <w:r w:rsidRPr="00A35C95">
        <w:t>) in one or more foreign jurisdictions that are substantially equivalent to requirements under the Derivative Transaction Rules (Reporting);</w:t>
      </w:r>
    </w:p>
    <w:p w14:paraId="62EDB1E8" w14:textId="77777777" w:rsidR="00E93F58" w:rsidRPr="00A35C95" w:rsidRDefault="00E93F58" w:rsidP="00366AB5">
      <w:pPr>
        <w:pStyle w:val="paragraphsub"/>
        <w:tabs>
          <w:tab w:val="left" w:pos="2835"/>
        </w:tabs>
      </w:pPr>
      <w:r w:rsidRPr="00A35C95">
        <w:tab/>
        <w:t>(ii)</w:t>
      </w:r>
      <w:r w:rsidRPr="00A35C95">
        <w:tab/>
        <w:t>that the other entity will report such information to a facility prescribed by or under subregulation 7.5A.30(2), in accordance with the alternative reporting requirements;</w:t>
      </w:r>
    </w:p>
    <w:p w14:paraId="53CEF53C" w14:textId="77777777" w:rsidR="00E93F58" w:rsidRPr="00A35C95" w:rsidRDefault="00E93F58" w:rsidP="00366AB5">
      <w:pPr>
        <w:pStyle w:val="paragraphsub"/>
        <w:tabs>
          <w:tab w:val="left" w:pos="2835"/>
        </w:tabs>
      </w:pPr>
      <w:r w:rsidRPr="00A35C95">
        <w:tab/>
        <w:t>(iii)</w:t>
      </w:r>
      <w:r w:rsidRPr="00A35C95">
        <w:tab/>
        <w:t>that the other entity will designate such information reported to that facility as information that has been reported in accordance with the Derivative Transaction Rules (Reporting); and</w:t>
      </w:r>
    </w:p>
    <w:p w14:paraId="45A2E479" w14:textId="77777777" w:rsidR="00E93F58" w:rsidRPr="00A35C95" w:rsidRDefault="00E93F58" w:rsidP="00366AB5">
      <w:pPr>
        <w:pStyle w:val="paragraph"/>
        <w:tabs>
          <w:tab w:val="left" w:pos="2835"/>
        </w:tabs>
      </w:pPr>
      <w:r w:rsidRPr="00A35C95">
        <w:tab/>
        <w:t>(c)</w:t>
      </w:r>
      <w:r w:rsidRPr="00A35C95">
        <w:tab/>
        <w:t>the exempt entity makes regular enquiries reasonably designed to determine whether the other entity has been making reports in accordance with the representations referred to in subparagraphs (b)(ii) and (iii); and</w:t>
      </w:r>
    </w:p>
    <w:p w14:paraId="1523E275" w14:textId="77777777" w:rsidR="00E93F58" w:rsidRPr="00A35C95" w:rsidRDefault="00E93F58" w:rsidP="00366AB5">
      <w:pPr>
        <w:pStyle w:val="paragraph"/>
        <w:tabs>
          <w:tab w:val="left" w:pos="2835"/>
        </w:tabs>
      </w:pPr>
      <w:r w:rsidRPr="00A35C95">
        <w:tab/>
        <w:t>(d)</w:t>
      </w:r>
      <w:r w:rsidRPr="00A35C95">
        <w:tab/>
        <w:t>the exempt entity has no reason to suspect that the other entity has not been making such reports.</w:t>
      </w:r>
    </w:p>
    <w:p w14:paraId="1CB35695" w14:textId="77777777" w:rsidR="00E93F58" w:rsidRPr="00A35C95" w:rsidRDefault="00E93F58" w:rsidP="00366AB5">
      <w:pPr>
        <w:pStyle w:val="subsection"/>
        <w:tabs>
          <w:tab w:val="left" w:pos="2835"/>
        </w:tabs>
      </w:pPr>
      <w:r w:rsidRPr="00A35C95">
        <w:tab/>
        <w:t>(5)</w:t>
      </w:r>
      <w:r w:rsidRPr="00A35C95">
        <w:tab/>
        <w:t xml:space="preserve">The other entity is a </w:t>
      </w:r>
      <w:r w:rsidRPr="00A35C95">
        <w:rPr>
          <w:b/>
          <w:i/>
        </w:rPr>
        <w:t>reporting counterparty</w:t>
      </w:r>
      <w:r w:rsidRPr="00A35C95">
        <w:t xml:space="preserve"> in relation to the exempt entity and the information if:</w:t>
      </w:r>
    </w:p>
    <w:p w14:paraId="270D4ED3" w14:textId="77777777" w:rsidR="00E93F58" w:rsidRPr="00A35C95" w:rsidRDefault="00E93F58" w:rsidP="00366AB5">
      <w:pPr>
        <w:pStyle w:val="paragraph"/>
        <w:tabs>
          <w:tab w:val="left" w:pos="2835"/>
        </w:tabs>
      </w:pPr>
      <w:r w:rsidRPr="00A35C95">
        <w:tab/>
        <w:t>(a)</w:t>
      </w:r>
      <w:r w:rsidRPr="00A35C95">
        <w:tab/>
        <w:t>the other entity is a foreign entity; and</w:t>
      </w:r>
    </w:p>
    <w:p w14:paraId="4495AD13" w14:textId="77777777" w:rsidR="00E93F58" w:rsidRPr="00A35C95" w:rsidRDefault="00E93F58" w:rsidP="00366AB5">
      <w:pPr>
        <w:pStyle w:val="paragraph"/>
        <w:tabs>
          <w:tab w:val="left" w:pos="2835"/>
        </w:tabs>
      </w:pPr>
      <w:r w:rsidRPr="00A35C95">
        <w:tab/>
        <w:t>(b)</w:t>
      </w:r>
      <w:r w:rsidRPr="00A35C95">
        <w:tab/>
        <w:t>the other entity has made the following representations to the exempt entity:</w:t>
      </w:r>
    </w:p>
    <w:p w14:paraId="3D1D8320" w14:textId="77777777" w:rsidR="00E93F58" w:rsidRPr="00A35C95" w:rsidRDefault="00E93F58" w:rsidP="00366AB5">
      <w:pPr>
        <w:pStyle w:val="paragraphsub"/>
        <w:tabs>
          <w:tab w:val="left" w:pos="2835"/>
        </w:tabs>
      </w:pPr>
      <w:r w:rsidRPr="00A35C95">
        <w:tab/>
        <w:t>(i)</w:t>
      </w:r>
      <w:r w:rsidRPr="00A35C95">
        <w:tab/>
        <w:t>that the other entity will report such information to a licensed derivative trade repository in accordance with the Derivative Transaction Rules (Reporting);</w:t>
      </w:r>
    </w:p>
    <w:p w14:paraId="303C3892" w14:textId="77777777" w:rsidR="00E93F58" w:rsidRPr="00A35C95" w:rsidRDefault="00E93F58" w:rsidP="00366AB5">
      <w:pPr>
        <w:pStyle w:val="paragraphsub"/>
        <w:tabs>
          <w:tab w:val="left" w:pos="2835"/>
        </w:tabs>
      </w:pPr>
      <w:r w:rsidRPr="00A35C95">
        <w:tab/>
        <w:t>(ii)</w:t>
      </w:r>
      <w:r w:rsidRPr="00A35C95">
        <w:tab/>
        <w:t>that the other entity will designate such information reported to that repository as information that has been reported in accordance with the Derivative Transaction Rules (Reporting); and</w:t>
      </w:r>
    </w:p>
    <w:p w14:paraId="1152F9A1" w14:textId="77777777" w:rsidR="00E93F58" w:rsidRPr="00A35C95" w:rsidRDefault="00E93F58" w:rsidP="00366AB5">
      <w:pPr>
        <w:pStyle w:val="paragraph"/>
        <w:tabs>
          <w:tab w:val="left" w:pos="2835"/>
        </w:tabs>
      </w:pPr>
      <w:r w:rsidRPr="00A35C95">
        <w:tab/>
        <w:t>(c)</w:t>
      </w:r>
      <w:r w:rsidRPr="00A35C95">
        <w:tab/>
        <w:t>the exempt entity makes regular enquiries reasonably designed to determine whether the other entity has been making reports in accordance with the representations referred to in paragraph (b); and</w:t>
      </w:r>
    </w:p>
    <w:p w14:paraId="373F5EFE" w14:textId="77777777" w:rsidR="00E93F58" w:rsidRPr="00A35C95" w:rsidRDefault="00E93F58" w:rsidP="00366AB5">
      <w:pPr>
        <w:pStyle w:val="paragraph"/>
        <w:tabs>
          <w:tab w:val="left" w:pos="2835"/>
        </w:tabs>
      </w:pPr>
      <w:r w:rsidRPr="00A35C95">
        <w:tab/>
        <w:t>(d)</w:t>
      </w:r>
      <w:r w:rsidRPr="00A35C95">
        <w:tab/>
        <w:t>the exempt entity has no reason to suspect that the other entity has not been making such reports.</w:t>
      </w:r>
    </w:p>
    <w:p w14:paraId="152C1762" w14:textId="77777777" w:rsidR="00E93F58" w:rsidRPr="00A35C95" w:rsidRDefault="00E93F58" w:rsidP="00366AB5">
      <w:pPr>
        <w:pStyle w:val="SubsectionHead"/>
        <w:tabs>
          <w:tab w:val="left" w:pos="2835"/>
        </w:tabs>
      </w:pPr>
      <w:r w:rsidRPr="00A35C95">
        <w:t>Subregulations do not limit each other</w:t>
      </w:r>
    </w:p>
    <w:p w14:paraId="5789CDA9" w14:textId="77777777" w:rsidR="00E93F58" w:rsidRPr="00A35C95" w:rsidRDefault="00E93F58" w:rsidP="00366AB5">
      <w:pPr>
        <w:pStyle w:val="subsection"/>
        <w:tabs>
          <w:tab w:val="left" w:pos="2835"/>
        </w:tabs>
      </w:pPr>
      <w:r w:rsidRPr="00A35C95">
        <w:tab/>
        <w:t>(6)</w:t>
      </w:r>
      <w:r w:rsidRPr="00A35C95">
        <w:tab/>
        <w:t>Subregulations (2), (3), (4) and (5) do not limit each other.</w:t>
      </w:r>
    </w:p>
    <w:p w14:paraId="5CA3BC09" w14:textId="77777777" w:rsidR="00E93F58" w:rsidRPr="00A35C95" w:rsidRDefault="00E93F58" w:rsidP="00366AB5">
      <w:pPr>
        <w:pStyle w:val="ActHead5"/>
        <w:tabs>
          <w:tab w:val="left" w:pos="2835"/>
        </w:tabs>
      </w:pPr>
      <w:bookmarkStart w:id="878" w:name="_Toc152058013"/>
      <w:bookmarkStart w:id="879" w:name="_Toc158712236"/>
      <w:r w:rsidRPr="00844D11">
        <w:rPr>
          <w:rStyle w:val="CharSectno"/>
        </w:rPr>
        <w:lastRenderedPageBreak/>
        <w:t>7.5A.73</w:t>
      </w:r>
      <w:r w:rsidRPr="00A35C95">
        <w:t xml:space="preserve">  Application of exemptions</w:t>
      </w:r>
      <w:bookmarkEnd w:id="878"/>
      <w:bookmarkEnd w:id="879"/>
    </w:p>
    <w:p w14:paraId="107197D7" w14:textId="77777777" w:rsidR="00E93F58" w:rsidRPr="00A35C95" w:rsidRDefault="00E93F58" w:rsidP="00366AB5">
      <w:pPr>
        <w:pStyle w:val="SubsectionHead"/>
        <w:tabs>
          <w:tab w:val="left" w:pos="2835"/>
        </w:tabs>
      </w:pPr>
      <w:r w:rsidRPr="00A35C95">
        <w:t>New phase 3 reporting entities</w:t>
      </w:r>
    </w:p>
    <w:p w14:paraId="70DABC2A" w14:textId="77777777" w:rsidR="00E93F58" w:rsidRPr="00A35C95" w:rsidRDefault="00E93F58" w:rsidP="00366AB5">
      <w:pPr>
        <w:pStyle w:val="subsection"/>
        <w:tabs>
          <w:tab w:val="left" w:pos="2835"/>
        </w:tabs>
      </w:pPr>
      <w:r w:rsidRPr="00A35C95">
        <w:tab/>
        <w:t>(1)</w:t>
      </w:r>
      <w:r w:rsidRPr="00A35C95">
        <w:tab/>
        <w:t>For the purposes of regulations 7.5A.71 and 7.5A.72, this regulation applies to a new phase 3 reporting entity, in relation to an OTC derivative transaction or an OTC derivative position, at all times during a period:</w:t>
      </w:r>
    </w:p>
    <w:p w14:paraId="127185C8" w14:textId="77777777" w:rsidR="00E93F58" w:rsidRPr="00A35C95" w:rsidRDefault="00E93F58" w:rsidP="00366AB5">
      <w:pPr>
        <w:pStyle w:val="paragraph"/>
        <w:tabs>
          <w:tab w:val="left" w:pos="2835"/>
        </w:tabs>
      </w:pPr>
      <w:r w:rsidRPr="00A35C95">
        <w:tab/>
        <w:t>(a)</w:t>
      </w:r>
      <w:r w:rsidRPr="00A35C95">
        <w:tab/>
        <w:t>starting on the day the entity becomes a phase 3 reporting entity; and</w:t>
      </w:r>
    </w:p>
    <w:p w14:paraId="2825FA23" w14:textId="77777777" w:rsidR="00E93F58" w:rsidRPr="00A35C95" w:rsidRDefault="00E93F58" w:rsidP="00366AB5">
      <w:pPr>
        <w:pStyle w:val="paragraph"/>
        <w:tabs>
          <w:tab w:val="left" w:pos="2835"/>
        </w:tabs>
      </w:pPr>
      <w:r w:rsidRPr="00A35C95">
        <w:tab/>
        <w:t>(b)</w:t>
      </w:r>
      <w:r w:rsidRPr="00A35C95">
        <w:tab/>
        <w:t>ending at the end of the quarter day that next follows 2 successive disqualifying quarter days for the entity.</w:t>
      </w:r>
    </w:p>
    <w:p w14:paraId="53F9D832" w14:textId="77777777" w:rsidR="00E93F58" w:rsidRPr="00A35C95" w:rsidRDefault="00E93F58" w:rsidP="00366AB5">
      <w:pPr>
        <w:pStyle w:val="notetext"/>
        <w:tabs>
          <w:tab w:val="left" w:pos="2835"/>
        </w:tabs>
      </w:pPr>
      <w:r w:rsidRPr="00A35C95">
        <w:t>Example:</w:t>
      </w:r>
      <w:r w:rsidRPr="00A35C95">
        <w:tab/>
        <w:t xml:space="preserve">An entity becomes a phase 3 reporting entity on </w:t>
      </w:r>
      <w:r>
        <w:t>1 November</w:t>
      </w:r>
      <w:r w:rsidRPr="00A35C95">
        <w:t xml:space="preserve"> 2015. However, 31 December 2015 and 31 March 2016 are both disqualifying quarter days for the entity.</w:t>
      </w:r>
    </w:p>
    <w:p w14:paraId="32E7DAF2" w14:textId="77777777" w:rsidR="00E93F58" w:rsidRPr="00A35C95" w:rsidRDefault="00E93F58" w:rsidP="00366AB5">
      <w:pPr>
        <w:pStyle w:val="notetext"/>
        <w:tabs>
          <w:tab w:val="left" w:pos="2835"/>
        </w:tabs>
      </w:pPr>
      <w:r w:rsidRPr="00A35C95">
        <w:tab/>
        <w:t xml:space="preserve">This regulation applies to the entity during a period starting on </w:t>
      </w:r>
      <w:r>
        <w:t>1 November</w:t>
      </w:r>
      <w:r w:rsidRPr="00A35C95">
        <w:t xml:space="preserve"> 2015 and ending at the end of 30 June 2016 (the quarter day that next follows the disqualifying quarter days on 31 December 2015 and 31 March 2016).</w:t>
      </w:r>
    </w:p>
    <w:p w14:paraId="03C73528" w14:textId="77777777" w:rsidR="00E93F58" w:rsidRPr="00A35C95" w:rsidRDefault="00E93F58" w:rsidP="00366AB5">
      <w:pPr>
        <w:pStyle w:val="SubsectionHead"/>
        <w:tabs>
          <w:tab w:val="left" w:pos="2835"/>
        </w:tabs>
      </w:pPr>
      <w:r w:rsidRPr="00A35C95">
        <w:t>Continuing phase 3 reporting entities</w:t>
      </w:r>
    </w:p>
    <w:p w14:paraId="0C4EFEB3" w14:textId="77777777" w:rsidR="00E93F58" w:rsidRPr="00A35C95" w:rsidRDefault="00E93F58" w:rsidP="00366AB5">
      <w:pPr>
        <w:pStyle w:val="subsection"/>
        <w:tabs>
          <w:tab w:val="left" w:pos="2835"/>
        </w:tabs>
      </w:pPr>
      <w:r w:rsidRPr="00A35C95">
        <w:tab/>
        <w:t>(2)</w:t>
      </w:r>
      <w:r w:rsidRPr="00A35C95">
        <w:tab/>
        <w:t>For the purposes of regulations 7.5A.71 and 7.5A.72, this regulation applies to a continuing phase 3 reporting entity, in relation to an OTC derivative transaction or an OTC derivative position, at all times during a period:</w:t>
      </w:r>
    </w:p>
    <w:p w14:paraId="4D8DD139" w14:textId="77777777" w:rsidR="00E93F58" w:rsidRPr="00A35C95" w:rsidRDefault="00E93F58" w:rsidP="00366AB5">
      <w:pPr>
        <w:pStyle w:val="paragraph"/>
        <w:tabs>
          <w:tab w:val="left" w:pos="2835"/>
        </w:tabs>
      </w:pPr>
      <w:r w:rsidRPr="00A35C95">
        <w:tab/>
        <w:t>(a)</w:t>
      </w:r>
      <w:r w:rsidRPr="00A35C95">
        <w:tab/>
        <w:t>starting on the day after the quarter day that next follows 2 successive qualifying quarter days for the entity; and</w:t>
      </w:r>
    </w:p>
    <w:p w14:paraId="54A05A63" w14:textId="77777777" w:rsidR="00E93F58" w:rsidRPr="00A35C95" w:rsidRDefault="00E93F58" w:rsidP="00366AB5">
      <w:pPr>
        <w:pStyle w:val="paragraph"/>
        <w:tabs>
          <w:tab w:val="left" w:pos="2835"/>
        </w:tabs>
      </w:pPr>
      <w:r w:rsidRPr="00A35C95">
        <w:tab/>
        <w:t>(b)</w:t>
      </w:r>
      <w:r w:rsidRPr="00A35C95">
        <w:tab/>
        <w:t>ending at the end of the quarter day that next follows 2 successive disqualifying quarter days for the entity.</w:t>
      </w:r>
    </w:p>
    <w:p w14:paraId="26B86A46" w14:textId="77777777" w:rsidR="00E93F58" w:rsidRPr="00A35C95" w:rsidRDefault="00E93F58" w:rsidP="00366AB5">
      <w:pPr>
        <w:pStyle w:val="notetext"/>
        <w:tabs>
          <w:tab w:val="left" w:pos="2835"/>
        </w:tabs>
      </w:pPr>
      <w:r w:rsidRPr="00A35C95">
        <w:t>Example:</w:t>
      </w:r>
      <w:r w:rsidRPr="00A35C95">
        <w:tab/>
        <w:t xml:space="preserve">An entity becomes a phase 3 reporting entity on </w:t>
      </w:r>
      <w:r>
        <w:t>1 November</w:t>
      </w:r>
      <w:r w:rsidRPr="00A35C95">
        <w:t xml:space="preserve"> 2015. However, 31 December 2015 and 31 March 2016 are both disqualifying quarter days for the entity, so this regulation stops applying under subregulation (1) at the end of 30 June 2016.</w:t>
      </w:r>
    </w:p>
    <w:p w14:paraId="0BD1BEE6" w14:textId="77777777" w:rsidR="00E93F58" w:rsidRPr="00A35C95" w:rsidRDefault="00E93F58" w:rsidP="00366AB5">
      <w:pPr>
        <w:pStyle w:val="notetext"/>
        <w:tabs>
          <w:tab w:val="left" w:pos="2835"/>
        </w:tabs>
      </w:pPr>
      <w:r w:rsidRPr="00A35C95">
        <w:tab/>
        <w:t xml:space="preserve">30 June 2016 and 30 September 2016 are qualifying quarter days for the entity. This regulation applies to the entity again during the period starting on </w:t>
      </w:r>
      <w:r>
        <w:t>1 January</w:t>
      </w:r>
      <w:r w:rsidRPr="00A35C95">
        <w:t xml:space="preserve"> 2017 (the day after the quarter day that next follows the qualifying quarter days) and ending as provided for by paragraph (2)(b).</w:t>
      </w:r>
    </w:p>
    <w:p w14:paraId="08952B44" w14:textId="77777777" w:rsidR="00E93F58" w:rsidRPr="00A35C95" w:rsidRDefault="00E93F58" w:rsidP="00366AB5">
      <w:pPr>
        <w:pStyle w:val="subsection"/>
        <w:tabs>
          <w:tab w:val="left" w:pos="2835"/>
        </w:tabs>
      </w:pPr>
      <w:r w:rsidRPr="00A35C95">
        <w:tab/>
        <w:t>(3)</w:t>
      </w:r>
      <w:r w:rsidRPr="00A35C95">
        <w:tab/>
        <w:t>In this regulation:</w:t>
      </w:r>
    </w:p>
    <w:p w14:paraId="5DA97B89" w14:textId="77777777" w:rsidR="00E93F58" w:rsidRPr="00A35C95" w:rsidRDefault="00E93F58" w:rsidP="00366AB5">
      <w:pPr>
        <w:pStyle w:val="Definition"/>
        <w:tabs>
          <w:tab w:val="left" w:pos="2835"/>
        </w:tabs>
      </w:pPr>
      <w:r w:rsidRPr="00A35C95">
        <w:rPr>
          <w:b/>
          <w:i/>
        </w:rPr>
        <w:t>continuing phase 3 reporting entity</w:t>
      </w:r>
      <w:r w:rsidRPr="00A35C95">
        <w:t xml:space="preserve"> means:</w:t>
      </w:r>
    </w:p>
    <w:p w14:paraId="49F51A93" w14:textId="77777777" w:rsidR="00E93F58" w:rsidRPr="00A35C95" w:rsidRDefault="00E93F58" w:rsidP="00366AB5">
      <w:pPr>
        <w:pStyle w:val="paragraph"/>
        <w:tabs>
          <w:tab w:val="left" w:pos="2835"/>
        </w:tabs>
      </w:pPr>
      <w:r w:rsidRPr="00A35C95">
        <w:tab/>
        <w:t>(a)</w:t>
      </w:r>
      <w:r w:rsidRPr="00A35C95">
        <w:tab/>
        <w:t>an entity that was a phase 3 reporting entity on 30 September 2015; or</w:t>
      </w:r>
    </w:p>
    <w:p w14:paraId="5B095124" w14:textId="77777777" w:rsidR="00E93F58" w:rsidRPr="00A35C95" w:rsidRDefault="00E93F58" w:rsidP="00366AB5">
      <w:pPr>
        <w:pStyle w:val="paragraph"/>
        <w:tabs>
          <w:tab w:val="left" w:pos="2835"/>
        </w:tabs>
      </w:pPr>
      <w:r w:rsidRPr="00A35C95">
        <w:tab/>
        <w:t>(b)</w:t>
      </w:r>
      <w:r w:rsidRPr="00A35C95">
        <w:tab/>
        <w:t>a new phase 3 reporting entity for which the period mentioned in subregulation (1) has ended.</w:t>
      </w:r>
    </w:p>
    <w:p w14:paraId="0F7AC6D2" w14:textId="77777777" w:rsidR="00E93F58" w:rsidRPr="00A35C95" w:rsidRDefault="00E93F58" w:rsidP="00366AB5">
      <w:pPr>
        <w:pStyle w:val="notetext"/>
        <w:tabs>
          <w:tab w:val="left" w:pos="2835"/>
        </w:tabs>
      </w:pPr>
      <w:r w:rsidRPr="00A35C95">
        <w:t>Note:</w:t>
      </w:r>
      <w:r w:rsidRPr="00A35C95">
        <w:tab/>
        <w:t>For when this regulation first applies to an entity that was a phase 3 entity on 30 September 2015, see regulation 10.21.01.</w:t>
      </w:r>
    </w:p>
    <w:p w14:paraId="742A199D" w14:textId="77777777" w:rsidR="00E93F58" w:rsidRPr="00A35C95" w:rsidRDefault="00E93F58" w:rsidP="00366AB5">
      <w:pPr>
        <w:pStyle w:val="Definition"/>
        <w:tabs>
          <w:tab w:val="left" w:pos="2835"/>
        </w:tabs>
      </w:pPr>
      <w:r w:rsidRPr="00A35C95">
        <w:rPr>
          <w:b/>
          <w:i/>
        </w:rPr>
        <w:t>disqualifying quarter day</w:t>
      </w:r>
      <w:r w:rsidRPr="00A35C95">
        <w:t>, for an entity, means a quarter day at the end of which the total gross notional outstanding positions held by the entity in the relevant capacity is 5 billion Australian dollars or more.</w:t>
      </w:r>
    </w:p>
    <w:p w14:paraId="0E258623" w14:textId="77777777" w:rsidR="00E93F58" w:rsidRPr="00A35C95" w:rsidRDefault="00E93F58" w:rsidP="00366AB5">
      <w:pPr>
        <w:pStyle w:val="Definition"/>
        <w:tabs>
          <w:tab w:val="left" w:pos="2835"/>
        </w:tabs>
      </w:pPr>
      <w:r w:rsidRPr="00A35C95">
        <w:rPr>
          <w:b/>
          <w:i/>
        </w:rPr>
        <w:t>new phase 3 reporting entity</w:t>
      </w:r>
      <w:r w:rsidRPr="00A35C95">
        <w:t xml:space="preserve"> means an entity that becomes a phase 3 reporting entity on or after 1 October 2015.</w:t>
      </w:r>
    </w:p>
    <w:p w14:paraId="5097A7FC" w14:textId="77777777" w:rsidR="00E93F58" w:rsidRPr="00A35C95" w:rsidRDefault="00E93F58" w:rsidP="00366AB5">
      <w:pPr>
        <w:pStyle w:val="Definition"/>
        <w:tabs>
          <w:tab w:val="left" w:pos="2835"/>
        </w:tabs>
      </w:pPr>
      <w:r w:rsidRPr="00A35C95">
        <w:rPr>
          <w:b/>
          <w:i/>
        </w:rPr>
        <w:t>qualifying quarter day</w:t>
      </w:r>
      <w:r w:rsidRPr="00A35C95">
        <w:t>, for an entity, means a quarter day at the end of which the total gross notional outstanding positions held by the entity in the relevant capacity is less than 5 billion Australian dollars.</w:t>
      </w:r>
    </w:p>
    <w:p w14:paraId="65143C05" w14:textId="77777777" w:rsidR="00E93F58" w:rsidRPr="00A35C95" w:rsidRDefault="00E93F58" w:rsidP="00366AB5">
      <w:pPr>
        <w:pStyle w:val="Definition"/>
        <w:tabs>
          <w:tab w:val="left" w:pos="2835"/>
        </w:tabs>
      </w:pPr>
      <w:r w:rsidRPr="00A35C95">
        <w:rPr>
          <w:b/>
          <w:i/>
        </w:rPr>
        <w:t>relevant capacity</w:t>
      </w:r>
      <w:r w:rsidRPr="00A35C95">
        <w:t xml:space="preserve">: a position is held by the entity in the </w:t>
      </w:r>
      <w:r w:rsidRPr="00A35C95">
        <w:rPr>
          <w:b/>
          <w:i/>
        </w:rPr>
        <w:t>relevant capacity</w:t>
      </w:r>
      <w:r w:rsidRPr="00A35C95">
        <w:t xml:space="preserve">, for the purpose of the definition of </w:t>
      </w:r>
      <w:r w:rsidRPr="00A35C95">
        <w:rPr>
          <w:b/>
          <w:i/>
        </w:rPr>
        <w:t>qualifying quarter day</w:t>
      </w:r>
      <w:r w:rsidRPr="00A35C95">
        <w:t xml:space="preserve"> or </w:t>
      </w:r>
      <w:r w:rsidRPr="00A35C95">
        <w:rPr>
          <w:b/>
          <w:i/>
        </w:rPr>
        <w:t>disqualifying quarter day</w:t>
      </w:r>
      <w:r w:rsidRPr="00A35C95">
        <w:t xml:space="preserve"> in this subregulation, if:</w:t>
      </w:r>
    </w:p>
    <w:p w14:paraId="544F84F9" w14:textId="77777777" w:rsidR="00E93F58" w:rsidRPr="00A35C95" w:rsidRDefault="00E93F58" w:rsidP="00366AB5">
      <w:pPr>
        <w:pStyle w:val="paragraph"/>
        <w:tabs>
          <w:tab w:val="left" w:pos="2835"/>
        </w:tabs>
      </w:pPr>
      <w:r w:rsidRPr="00A35C95">
        <w:tab/>
        <w:t>(a)</w:t>
      </w:r>
      <w:r w:rsidRPr="00A35C95">
        <w:tab/>
        <w:t>the position is held by the entity otherwise than in a representative capacity, in the following circumstances:</w:t>
      </w:r>
    </w:p>
    <w:p w14:paraId="09AD39A6" w14:textId="77777777" w:rsidR="00E93F58" w:rsidRPr="00A35C95" w:rsidRDefault="00E93F58" w:rsidP="00366AB5">
      <w:pPr>
        <w:pStyle w:val="paragraphsub"/>
        <w:tabs>
          <w:tab w:val="left" w:pos="2835"/>
        </w:tabs>
      </w:pPr>
      <w:r w:rsidRPr="00A35C95">
        <w:tab/>
        <w:t>(i)</w:t>
      </w:r>
      <w:r w:rsidRPr="00A35C95">
        <w:tab/>
        <w:t>in a case in which the relevant definition is applied in relation to an OTC derivative transaction to which the entity is a party otherwise than in a representative capacity;</w:t>
      </w:r>
    </w:p>
    <w:p w14:paraId="55894C14" w14:textId="77777777" w:rsidR="00E93F58" w:rsidRPr="00A35C95" w:rsidRDefault="00E93F58" w:rsidP="00366AB5">
      <w:pPr>
        <w:pStyle w:val="paragraphsub"/>
        <w:tabs>
          <w:tab w:val="left" w:pos="2835"/>
        </w:tabs>
      </w:pPr>
      <w:r w:rsidRPr="00A35C95">
        <w:tab/>
        <w:t>(ii)</w:t>
      </w:r>
      <w:r w:rsidRPr="00A35C95">
        <w:tab/>
        <w:t>in a case in which the relevant definition is applied in relation to an OTC derivative held by the entity otherwise than in a representative capacity; or</w:t>
      </w:r>
    </w:p>
    <w:p w14:paraId="0F386CA4" w14:textId="77777777" w:rsidR="00E93F58" w:rsidRPr="00A35C95" w:rsidRDefault="00E93F58" w:rsidP="00366AB5">
      <w:pPr>
        <w:pStyle w:val="paragraph"/>
        <w:tabs>
          <w:tab w:val="left" w:pos="2835"/>
        </w:tabs>
      </w:pPr>
      <w:r w:rsidRPr="00A35C95">
        <w:tab/>
        <w:t>(b)</w:t>
      </w:r>
      <w:r w:rsidRPr="00A35C95">
        <w:tab/>
        <w:t>the position is held by the entity in a representative capacity in relation to a particular registered scheme, notified foreign passport fund, trust or CCIV, in the following circumstances:</w:t>
      </w:r>
    </w:p>
    <w:p w14:paraId="02AC8D19" w14:textId="77777777" w:rsidR="00E93F58" w:rsidRPr="00A35C95" w:rsidRDefault="00E93F58" w:rsidP="00366AB5">
      <w:pPr>
        <w:pStyle w:val="paragraphsub"/>
        <w:tabs>
          <w:tab w:val="left" w:pos="2835"/>
        </w:tabs>
      </w:pPr>
      <w:r w:rsidRPr="00A35C95">
        <w:tab/>
        <w:t>(i)</w:t>
      </w:r>
      <w:r w:rsidRPr="00A35C95">
        <w:tab/>
        <w:t>in a case in which the relevant definition is applied in relation to an OTC derivative transaction to which the entity is a party in that capacity;</w:t>
      </w:r>
    </w:p>
    <w:p w14:paraId="30ADB06E" w14:textId="77777777" w:rsidR="00E93F58" w:rsidRPr="00A35C95" w:rsidRDefault="00E93F58" w:rsidP="00366AB5">
      <w:pPr>
        <w:pStyle w:val="paragraphsub"/>
        <w:tabs>
          <w:tab w:val="left" w:pos="2835"/>
        </w:tabs>
      </w:pPr>
      <w:r w:rsidRPr="00A35C95">
        <w:tab/>
        <w:t>(ii)</w:t>
      </w:r>
      <w:r w:rsidRPr="00A35C95">
        <w:tab/>
        <w:t>in a case in which the relevant definition is applied in relation to an OTC derivative held by the entity in that capacity.</w:t>
      </w:r>
    </w:p>
    <w:p w14:paraId="12563638" w14:textId="77777777" w:rsidR="00E93F58" w:rsidRPr="00A35C95" w:rsidRDefault="00E93F58" w:rsidP="00366AB5">
      <w:pPr>
        <w:pStyle w:val="ActHead5"/>
        <w:tabs>
          <w:tab w:val="left" w:pos="2835"/>
        </w:tabs>
      </w:pPr>
      <w:bookmarkStart w:id="880" w:name="_Toc152058014"/>
      <w:bookmarkStart w:id="881" w:name="_Toc158712237"/>
      <w:r w:rsidRPr="00844D11">
        <w:rPr>
          <w:rStyle w:val="CharSectno"/>
        </w:rPr>
        <w:lastRenderedPageBreak/>
        <w:t>7.5A.74</w:t>
      </w:r>
      <w:r w:rsidRPr="00A35C95">
        <w:t xml:space="preserve">  Reporting requirement—exemption stops applying</w:t>
      </w:r>
      <w:bookmarkEnd w:id="880"/>
      <w:bookmarkEnd w:id="881"/>
    </w:p>
    <w:p w14:paraId="106ACD0D" w14:textId="77777777" w:rsidR="00E93F58" w:rsidRPr="00A35C95" w:rsidRDefault="00E93F58" w:rsidP="00366AB5">
      <w:pPr>
        <w:pStyle w:val="SubsectionHead"/>
        <w:tabs>
          <w:tab w:val="left" w:pos="2835"/>
        </w:tabs>
      </w:pPr>
      <w:r w:rsidRPr="00A35C95">
        <w:t>Scope</w:t>
      </w:r>
    </w:p>
    <w:p w14:paraId="6C4922DE" w14:textId="77777777" w:rsidR="00E93F58" w:rsidRPr="00A35C95" w:rsidRDefault="00E93F58" w:rsidP="00366AB5">
      <w:pPr>
        <w:pStyle w:val="subsection"/>
        <w:tabs>
          <w:tab w:val="left" w:pos="2835"/>
        </w:tabs>
      </w:pPr>
      <w:r w:rsidRPr="00A35C95">
        <w:tab/>
        <w:t>(1)</w:t>
      </w:r>
      <w:r w:rsidRPr="00A35C95">
        <w:tab/>
        <w:t>This regulation applies to a phase 3 reporting entity, in relation to an OTC derivative transaction or an OTC derivative position, if:</w:t>
      </w:r>
    </w:p>
    <w:p w14:paraId="4CCB92DD" w14:textId="77777777" w:rsidR="00E93F58" w:rsidRPr="00A35C95" w:rsidRDefault="00E93F58" w:rsidP="00366AB5">
      <w:pPr>
        <w:pStyle w:val="paragraph"/>
        <w:tabs>
          <w:tab w:val="left" w:pos="2835"/>
        </w:tabs>
      </w:pPr>
      <w:r w:rsidRPr="00A35C95">
        <w:tab/>
        <w:t>(a)</w:t>
      </w:r>
      <w:r w:rsidRPr="00A35C95">
        <w:tab/>
        <w:t xml:space="preserve">regulation 7.5A.73 applies in relation to the entity, in relation to the transaction or position, during a particular period, and the period has ended (at the </w:t>
      </w:r>
      <w:r w:rsidRPr="00A35C95">
        <w:rPr>
          <w:b/>
          <w:i/>
        </w:rPr>
        <w:t>exemption end time</w:t>
      </w:r>
      <w:r w:rsidRPr="00A35C95">
        <w:rPr>
          <w:b/>
        </w:rPr>
        <w:t>)</w:t>
      </w:r>
      <w:r w:rsidRPr="00A35C95">
        <w:t>; and</w:t>
      </w:r>
    </w:p>
    <w:p w14:paraId="38CDF7A3" w14:textId="77777777" w:rsidR="00E93F58" w:rsidRPr="00A35C95" w:rsidRDefault="00E93F58" w:rsidP="00366AB5">
      <w:pPr>
        <w:pStyle w:val="paragraph"/>
        <w:tabs>
          <w:tab w:val="left" w:pos="2835"/>
        </w:tabs>
      </w:pPr>
      <w:r w:rsidRPr="00A35C95">
        <w:tab/>
        <w:t>(b)</w:t>
      </w:r>
      <w:r w:rsidRPr="00A35C95">
        <w:tab/>
        <w:t>the entity is a counterparty to the relevant OTC derivative (including the derivative as modified) at the exemption end time; and</w:t>
      </w:r>
    </w:p>
    <w:p w14:paraId="50A1E967" w14:textId="77777777" w:rsidR="00E93F58" w:rsidRPr="00A35C95" w:rsidRDefault="00E93F58" w:rsidP="00366AB5">
      <w:pPr>
        <w:pStyle w:val="paragraph"/>
        <w:tabs>
          <w:tab w:val="left" w:pos="2835"/>
        </w:tabs>
      </w:pPr>
      <w:r w:rsidRPr="00A35C95">
        <w:tab/>
        <w:t>(c)</w:t>
      </w:r>
      <w:r w:rsidRPr="00A35C95">
        <w:tab/>
        <w:t xml:space="preserve">in reliance on an exemption under regulation 7.5A.71 (the </w:t>
      </w:r>
      <w:r w:rsidRPr="00A35C95">
        <w:rPr>
          <w:b/>
          <w:i/>
        </w:rPr>
        <w:t>applicable exemption</w:t>
      </w:r>
      <w:r w:rsidRPr="00A35C95">
        <w:t xml:space="preserve">), the entity does not report OTC derivative position information (the </w:t>
      </w:r>
      <w:r w:rsidRPr="00A35C95">
        <w:rPr>
          <w:b/>
          <w:i/>
        </w:rPr>
        <w:t>exempt information</w:t>
      </w:r>
      <w:r w:rsidRPr="00A35C95">
        <w:t>) in relation to the transaction or position during that period; and</w:t>
      </w:r>
    </w:p>
    <w:p w14:paraId="6E83EF4E" w14:textId="77777777" w:rsidR="00E93F58" w:rsidRPr="00A35C95" w:rsidRDefault="00E93F58" w:rsidP="00366AB5">
      <w:pPr>
        <w:pStyle w:val="paragraph"/>
        <w:tabs>
          <w:tab w:val="left" w:pos="2835"/>
        </w:tabs>
      </w:pPr>
      <w:r w:rsidRPr="00A35C95">
        <w:tab/>
        <w:t>(d)</w:t>
      </w:r>
      <w:r w:rsidRPr="00A35C95">
        <w:tab/>
        <w:t>if it were not for the applicable exemption, the entity would have been required to report the exempt information under:</w:t>
      </w:r>
    </w:p>
    <w:p w14:paraId="568069D6" w14:textId="77777777" w:rsidR="00E93F58" w:rsidRPr="00A35C95" w:rsidRDefault="00E93F58" w:rsidP="00366AB5">
      <w:pPr>
        <w:pStyle w:val="paragraphsub"/>
        <w:tabs>
          <w:tab w:val="left" w:pos="2835"/>
        </w:tabs>
      </w:pPr>
      <w:r w:rsidRPr="00A35C95">
        <w:tab/>
        <w:t>(i)</w:t>
      </w:r>
      <w:r w:rsidRPr="00A35C95">
        <w:tab/>
        <w:t>the Derivative Transaction Rules (Reporting); or</w:t>
      </w:r>
    </w:p>
    <w:p w14:paraId="1769232B" w14:textId="77777777" w:rsidR="00E93F58" w:rsidRPr="00A35C95" w:rsidRDefault="00E93F58" w:rsidP="00366AB5">
      <w:pPr>
        <w:pStyle w:val="paragraphsub"/>
        <w:tabs>
          <w:tab w:val="left" w:pos="2835"/>
        </w:tabs>
      </w:pPr>
      <w:r w:rsidRPr="00A35C95">
        <w:tab/>
        <w:t>(ii)</w:t>
      </w:r>
      <w:r w:rsidRPr="00A35C95">
        <w:tab/>
        <w:t>subsection 907D(3) of the Act, in relation to a provision of the ASIC exemption instrument that imposes a requirement, as a condition of an exemption under that instrument, to report that information.</w:t>
      </w:r>
    </w:p>
    <w:p w14:paraId="3776D5BB" w14:textId="77777777" w:rsidR="00E93F58" w:rsidRPr="00A35C95" w:rsidRDefault="00E93F58" w:rsidP="00366AB5">
      <w:pPr>
        <w:pStyle w:val="SubsectionHead"/>
        <w:tabs>
          <w:tab w:val="left" w:pos="2835"/>
        </w:tabs>
      </w:pPr>
      <w:r w:rsidRPr="00A35C95">
        <w:t>Single</w:t>
      </w:r>
      <w:r>
        <w:noBreakHyphen/>
      </w:r>
      <w:r w:rsidRPr="00A35C95">
        <w:t>sided reporting requirement</w:t>
      </w:r>
    </w:p>
    <w:p w14:paraId="64F227BF" w14:textId="77777777" w:rsidR="00E93F58" w:rsidRPr="00A35C95" w:rsidRDefault="00E93F58" w:rsidP="00366AB5">
      <w:pPr>
        <w:pStyle w:val="subsection"/>
        <w:tabs>
          <w:tab w:val="left" w:pos="2835"/>
        </w:tabs>
      </w:pPr>
      <w:r w:rsidRPr="00A35C95">
        <w:tab/>
        <w:t>(2)</w:t>
      </w:r>
      <w:r w:rsidRPr="00A35C95">
        <w:tab/>
        <w:t>Despite the applicable exemption, the entity must report OTC derivative position information in relation to the OTC derivative, as at the exemption end time, in accordance with the Derivative Transaction Rules (Reporting), within 6 months after the exemption end time.</w:t>
      </w:r>
    </w:p>
    <w:p w14:paraId="38EBA8CC" w14:textId="77777777" w:rsidR="00E93F58" w:rsidRPr="00A35C95" w:rsidRDefault="00E93F58" w:rsidP="00366AB5">
      <w:pPr>
        <w:pStyle w:val="subsection"/>
        <w:tabs>
          <w:tab w:val="left" w:pos="2835"/>
        </w:tabs>
      </w:pPr>
      <w:r w:rsidRPr="00A35C95">
        <w:tab/>
        <w:t>(3)</w:t>
      </w:r>
      <w:r w:rsidRPr="00A35C95">
        <w:tab/>
        <w:t>If the entity fails to comply with subregulation (2), the applicable exemption is taken never to have applied to the entity in relation to the transaction or position.</w:t>
      </w:r>
    </w:p>
    <w:p w14:paraId="43B76EDA" w14:textId="77777777" w:rsidR="00E93F58" w:rsidRPr="00A35C95" w:rsidRDefault="00E93F58" w:rsidP="00366AB5">
      <w:pPr>
        <w:pStyle w:val="ActHead4"/>
        <w:tabs>
          <w:tab w:val="left" w:pos="2835"/>
        </w:tabs>
      </w:pPr>
      <w:bookmarkStart w:id="882" w:name="_Toc152058015"/>
      <w:bookmarkStart w:id="883" w:name="_Toc158712238"/>
      <w:r w:rsidRPr="00844D11">
        <w:rPr>
          <w:rStyle w:val="CharSubdNo"/>
        </w:rPr>
        <w:t>Subdivision 2.2</w:t>
      </w:r>
      <w:r w:rsidRPr="00A35C95">
        <w:t>—</w:t>
      </w:r>
      <w:r w:rsidRPr="00844D11">
        <w:rPr>
          <w:rStyle w:val="CharSubdText"/>
        </w:rPr>
        <w:t>Enforceable undertakings</w:t>
      </w:r>
      <w:bookmarkEnd w:id="882"/>
      <w:bookmarkEnd w:id="883"/>
    </w:p>
    <w:p w14:paraId="6F248BBE" w14:textId="77777777" w:rsidR="00E93F58" w:rsidRPr="00A35C95" w:rsidRDefault="00E93F58" w:rsidP="00366AB5">
      <w:pPr>
        <w:pStyle w:val="ActHead5"/>
        <w:tabs>
          <w:tab w:val="left" w:pos="2835"/>
        </w:tabs>
      </w:pPr>
      <w:bookmarkStart w:id="884" w:name="_Toc152058016"/>
      <w:bookmarkStart w:id="885" w:name="_Toc158712239"/>
      <w:r w:rsidRPr="00844D11">
        <w:rPr>
          <w:rStyle w:val="CharSectno"/>
        </w:rPr>
        <w:t>7.5A.101</w:t>
      </w:r>
      <w:r w:rsidRPr="00A35C95">
        <w:t xml:space="preserve">  Enforceable undertakings</w:t>
      </w:r>
      <w:bookmarkEnd w:id="884"/>
      <w:bookmarkEnd w:id="885"/>
    </w:p>
    <w:p w14:paraId="6811DD19" w14:textId="77777777" w:rsidR="00E93F58" w:rsidRPr="00A35C95" w:rsidRDefault="00E93F58" w:rsidP="00366AB5">
      <w:pPr>
        <w:pStyle w:val="subsection"/>
        <w:tabs>
          <w:tab w:val="left" w:pos="2835"/>
        </w:tabs>
      </w:pPr>
      <w:r w:rsidRPr="00A35C95">
        <w:tab/>
        <w:t>(1)</w:t>
      </w:r>
      <w:r w:rsidRPr="00A35C95">
        <w:tab/>
        <w:t>This regulation is made for paragraphs 901F(1)(d) and 903E(1)(d) of the Act.</w:t>
      </w:r>
    </w:p>
    <w:p w14:paraId="105C09A3" w14:textId="77777777" w:rsidR="00E93F58" w:rsidRPr="00A35C95" w:rsidRDefault="00E93F58" w:rsidP="00366AB5">
      <w:pPr>
        <w:pStyle w:val="subsection"/>
        <w:tabs>
          <w:tab w:val="left" w:pos="2835"/>
        </w:tabs>
      </w:pPr>
      <w:r w:rsidRPr="00A35C95">
        <w:tab/>
        <w:t>(2)</w:t>
      </w:r>
      <w:r w:rsidRPr="00A35C95">
        <w:tab/>
        <w:t>ASIC may accept a written undertaking, entered into by a person who is alleged to have contravened section 901E or 903D of the Act, as an alternative to civil proceedings.</w:t>
      </w:r>
    </w:p>
    <w:p w14:paraId="35EA67DD" w14:textId="77777777" w:rsidR="00E93F58" w:rsidRPr="00A35C95" w:rsidRDefault="00E93F58" w:rsidP="00366AB5">
      <w:pPr>
        <w:pStyle w:val="subsection"/>
        <w:tabs>
          <w:tab w:val="left" w:pos="2835"/>
        </w:tabs>
      </w:pPr>
      <w:r w:rsidRPr="00A35C95">
        <w:tab/>
        <w:t>(3)</w:t>
      </w:r>
      <w:r w:rsidRPr="00A35C95">
        <w:tab/>
        <w:t>Without limiting subregulation (2), ASIC may accept an undertaking that includes any of the following:</w:t>
      </w:r>
    </w:p>
    <w:p w14:paraId="7C9F6538" w14:textId="77777777" w:rsidR="00E93F58" w:rsidRPr="00A35C95" w:rsidRDefault="00E93F58" w:rsidP="00366AB5">
      <w:pPr>
        <w:pStyle w:val="paragraph"/>
        <w:tabs>
          <w:tab w:val="left" w:pos="2835"/>
        </w:tabs>
      </w:pPr>
      <w:r w:rsidRPr="00A35C95">
        <w:tab/>
        <w:t>(a)</w:t>
      </w:r>
      <w:r w:rsidRPr="00A35C95">
        <w:tab/>
        <w:t>an undertaking to take specified action within a specified period;</w:t>
      </w:r>
    </w:p>
    <w:p w14:paraId="09FB10AE" w14:textId="77777777" w:rsidR="00E93F58" w:rsidRPr="00A35C95" w:rsidRDefault="00E93F58" w:rsidP="00366AB5">
      <w:pPr>
        <w:pStyle w:val="paragraph"/>
        <w:tabs>
          <w:tab w:val="left" w:pos="2835"/>
        </w:tabs>
      </w:pPr>
      <w:r w:rsidRPr="00A35C95">
        <w:tab/>
        <w:t>(b)</w:t>
      </w:r>
      <w:r w:rsidRPr="00A35C95">
        <w:tab/>
        <w:t>an undertaking to refrain from taking specified action;</w:t>
      </w:r>
    </w:p>
    <w:p w14:paraId="7FBB9615" w14:textId="77777777" w:rsidR="00E93F58" w:rsidRPr="00A35C95" w:rsidRDefault="00E93F58" w:rsidP="00366AB5">
      <w:pPr>
        <w:pStyle w:val="paragraph"/>
        <w:tabs>
          <w:tab w:val="left" w:pos="2835"/>
        </w:tabs>
      </w:pPr>
      <w:r w:rsidRPr="00A35C95">
        <w:tab/>
        <w:t>(c)</w:t>
      </w:r>
      <w:r w:rsidRPr="00A35C95">
        <w:tab/>
        <w:t>an undertaking to pay a specified amount within a specified period to the Commonwealth or to some other specified person.</w:t>
      </w:r>
    </w:p>
    <w:p w14:paraId="5A79B0A5" w14:textId="77777777" w:rsidR="00E93F58" w:rsidRPr="00A35C95" w:rsidRDefault="00E93F58" w:rsidP="00366AB5">
      <w:pPr>
        <w:pStyle w:val="notetext"/>
        <w:tabs>
          <w:tab w:val="left" w:pos="2835"/>
        </w:tabs>
      </w:pPr>
      <w:r w:rsidRPr="00A35C95">
        <w:rPr>
          <w:iCs/>
        </w:rPr>
        <w:t>Note:</w:t>
      </w:r>
      <w:r w:rsidRPr="00A35C95">
        <w:rPr>
          <w:i/>
          <w:iCs/>
        </w:rPr>
        <w:tab/>
      </w:r>
      <w:r w:rsidRPr="00A35C95">
        <w:t>An undertaking may relate to an infringement notice given in relation to the alleged contravention. For example, an infringement notice may require a person to enter into an undertaking; a person may enter into an undertaking to comply with an infringement notice; a person may enter into an undertaking if the person does not comply with an infringement notice or the infringement notice is withdrawn.</w:t>
      </w:r>
    </w:p>
    <w:p w14:paraId="097A7E17" w14:textId="77777777" w:rsidR="00E93F58" w:rsidRPr="00A35C95" w:rsidRDefault="00E93F58" w:rsidP="00366AB5">
      <w:pPr>
        <w:pStyle w:val="subsection"/>
        <w:tabs>
          <w:tab w:val="left" w:pos="2835"/>
        </w:tabs>
      </w:pPr>
      <w:r w:rsidRPr="00A35C95">
        <w:tab/>
        <w:t>(4)</w:t>
      </w:r>
      <w:r w:rsidRPr="00A35C95">
        <w:tab/>
        <w:t>If ASIC agrees, in writing, to the withdrawal or variation of the undertaking, the person who entered into the undertaking may withdraw or vary the undertaking.</w:t>
      </w:r>
    </w:p>
    <w:p w14:paraId="3B43EB28" w14:textId="77777777" w:rsidR="00E93F58" w:rsidRPr="00A35C95" w:rsidRDefault="00E93F58" w:rsidP="00366AB5">
      <w:pPr>
        <w:pStyle w:val="subsection"/>
        <w:tabs>
          <w:tab w:val="left" w:pos="2835"/>
        </w:tabs>
      </w:pPr>
      <w:r w:rsidRPr="00A35C95">
        <w:tab/>
        <w:t>(5)</w:t>
      </w:r>
      <w:r w:rsidRPr="00A35C95">
        <w:tab/>
        <w:t>If ASIC is satisfied that the person who entered into the undertaking has breached a term of the undertaking, ASIC may apply to a Court for an order under subregulation (6).</w:t>
      </w:r>
    </w:p>
    <w:p w14:paraId="37A13D37" w14:textId="77777777" w:rsidR="00E93F58" w:rsidRPr="00A35C95" w:rsidRDefault="00E93F58" w:rsidP="00366AB5">
      <w:pPr>
        <w:pStyle w:val="subsection"/>
        <w:tabs>
          <w:tab w:val="left" w:pos="2835"/>
        </w:tabs>
      </w:pPr>
      <w:r w:rsidRPr="00A35C95">
        <w:tab/>
        <w:t>(6)</w:t>
      </w:r>
      <w:r w:rsidRPr="00A35C95">
        <w:tab/>
        <w:t>If the Court is satisfied that the person has breached a term of the undertaking, the Court may make one or more of the following orders:</w:t>
      </w:r>
    </w:p>
    <w:p w14:paraId="3FB63F19" w14:textId="77777777" w:rsidR="00E93F58" w:rsidRPr="00A35C95" w:rsidRDefault="00E93F58" w:rsidP="00366AB5">
      <w:pPr>
        <w:pStyle w:val="paragraph"/>
        <w:tabs>
          <w:tab w:val="left" w:pos="2835"/>
        </w:tabs>
      </w:pPr>
      <w:r w:rsidRPr="00A35C95">
        <w:tab/>
        <w:t>(a)</w:t>
      </w:r>
      <w:r w:rsidRPr="00A35C95">
        <w:tab/>
        <w:t>an order directing the person to comply with the term of the undertaking;</w:t>
      </w:r>
    </w:p>
    <w:p w14:paraId="4D9F6CEF" w14:textId="77777777" w:rsidR="00E93F58" w:rsidRPr="00A35C95" w:rsidRDefault="00E93F58" w:rsidP="00366AB5">
      <w:pPr>
        <w:pStyle w:val="paragraph"/>
        <w:tabs>
          <w:tab w:val="left" w:pos="2835"/>
        </w:tabs>
      </w:pPr>
      <w:r w:rsidRPr="00A35C95">
        <w:tab/>
        <w:t>(b)</w:t>
      </w:r>
      <w:r w:rsidRPr="00A35C95">
        <w:tab/>
        <w:t>an order directing the person to pay to the Commonwealth an amount not exceeding the amount of any financial benefit that the person has obtained directly or indirectly and that is reasonably attributable to the breach;</w:t>
      </w:r>
    </w:p>
    <w:p w14:paraId="7822F845" w14:textId="77777777" w:rsidR="00E93F58" w:rsidRPr="00A35C95" w:rsidRDefault="00E93F58" w:rsidP="00366AB5">
      <w:pPr>
        <w:pStyle w:val="paragraph"/>
        <w:tabs>
          <w:tab w:val="left" w:pos="2835"/>
        </w:tabs>
      </w:pPr>
      <w:r w:rsidRPr="00A35C95">
        <w:tab/>
        <w:t>(c)</w:t>
      </w:r>
      <w:r w:rsidRPr="00A35C95">
        <w:tab/>
        <w:t>an order directing the person to compensate another person who has suffered loss or damage as a result of the breach;</w:t>
      </w:r>
    </w:p>
    <w:p w14:paraId="709B5B09" w14:textId="77777777" w:rsidR="00E93F58" w:rsidRPr="00A35C95" w:rsidRDefault="00E93F58" w:rsidP="00366AB5">
      <w:pPr>
        <w:pStyle w:val="paragraph"/>
        <w:tabs>
          <w:tab w:val="left" w:pos="2835"/>
        </w:tabs>
      </w:pPr>
      <w:r w:rsidRPr="00A35C95">
        <w:lastRenderedPageBreak/>
        <w:tab/>
        <w:t>(d)</w:t>
      </w:r>
      <w:r w:rsidRPr="00A35C95">
        <w:tab/>
        <w:t>any other order that the Court considers appropriate.</w:t>
      </w:r>
    </w:p>
    <w:p w14:paraId="13005EBC" w14:textId="77777777" w:rsidR="00E93F58" w:rsidRPr="00A35C95" w:rsidRDefault="00E93F58" w:rsidP="00366AB5">
      <w:pPr>
        <w:pStyle w:val="subsection"/>
        <w:tabs>
          <w:tab w:val="left" w:pos="2835"/>
        </w:tabs>
      </w:pPr>
      <w:r w:rsidRPr="00A35C95">
        <w:tab/>
        <w:t>(7)</w:t>
      </w:r>
      <w:r w:rsidRPr="00A35C95">
        <w:tab/>
        <w:t>This regulation does not affect the liability of a person to civil proceedings if ASIC does not accept an undertaking in relation to the alleged contravention of section 901E or 903D of the Act.</w:t>
      </w:r>
    </w:p>
    <w:p w14:paraId="103F0C85" w14:textId="77777777" w:rsidR="00E93F58" w:rsidRPr="00A35C95" w:rsidRDefault="00E93F58" w:rsidP="00366AB5">
      <w:pPr>
        <w:pStyle w:val="ActHead4"/>
        <w:tabs>
          <w:tab w:val="left" w:pos="2835"/>
        </w:tabs>
      </w:pPr>
      <w:bookmarkStart w:id="886" w:name="_Toc152058017"/>
      <w:bookmarkStart w:id="887" w:name="_Toc158712240"/>
      <w:r w:rsidRPr="00844D11">
        <w:rPr>
          <w:rStyle w:val="CharSubdNo"/>
        </w:rPr>
        <w:t>Subdivision 2.3</w:t>
      </w:r>
      <w:r w:rsidRPr="00A35C95">
        <w:t>—</w:t>
      </w:r>
      <w:r w:rsidRPr="00844D11">
        <w:rPr>
          <w:rStyle w:val="CharSubdText"/>
        </w:rPr>
        <w:t>Infringement notices</w:t>
      </w:r>
      <w:bookmarkEnd w:id="886"/>
      <w:bookmarkEnd w:id="887"/>
    </w:p>
    <w:p w14:paraId="5DD002F6" w14:textId="77777777" w:rsidR="00E93F58" w:rsidRPr="00A35C95" w:rsidRDefault="00E93F58" w:rsidP="00366AB5">
      <w:pPr>
        <w:pStyle w:val="ActHead5"/>
        <w:tabs>
          <w:tab w:val="left" w:pos="2835"/>
        </w:tabs>
        <w:rPr>
          <w:vertAlign w:val="superscript"/>
        </w:rPr>
      </w:pPr>
      <w:bookmarkStart w:id="888" w:name="_Toc152058018"/>
      <w:bookmarkStart w:id="889" w:name="_Toc158712241"/>
      <w:r w:rsidRPr="00844D11">
        <w:rPr>
          <w:rStyle w:val="CharSectno"/>
        </w:rPr>
        <w:t>7.5A.102</w:t>
      </w:r>
      <w:r w:rsidRPr="00A35C95">
        <w:t xml:space="preserve">  Infringement notices</w:t>
      </w:r>
      <w:bookmarkEnd w:id="888"/>
      <w:bookmarkEnd w:id="889"/>
    </w:p>
    <w:p w14:paraId="100E7D7F" w14:textId="77777777" w:rsidR="00E93F58" w:rsidRPr="00A35C95" w:rsidRDefault="00E93F58" w:rsidP="00366AB5">
      <w:pPr>
        <w:pStyle w:val="subsection"/>
        <w:tabs>
          <w:tab w:val="left" w:pos="2835"/>
        </w:tabs>
      </w:pPr>
      <w:r w:rsidRPr="00A35C95">
        <w:tab/>
        <w:t>(1)</w:t>
      </w:r>
      <w:r w:rsidRPr="00A35C95">
        <w:tab/>
        <w:t>This Subdivision is made for sections 901F and 903E of the Act.</w:t>
      </w:r>
    </w:p>
    <w:p w14:paraId="16F13AB8" w14:textId="77777777" w:rsidR="00E93F58" w:rsidRPr="00A35C95" w:rsidRDefault="00E93F58" w:rsidP="00366AB5">
      <w:pPr>
        <w:pStyle w:val="subsection"/>
        <w:tabs>
          <w:tab w:val="left" w:pos="2835"/>
        </w:tabs>
      </w:pPr>
      <w:r w:rsidRPr="00A35C95">
        <w:tab/>
        <w:t>(2)</w:t>
      </w:r>
      <w:r w:rsidRPr="00A35C95">
        <w:tab/>
        <w:t>This Subdivision does not require ASIC to give an infringement notice to a person in relation to the alleged contravention of those sections.</w:t>
      </w:r>
    </w:p>
    <w:p w14:paraId="3F66668E" w14:textId="77777777" w:rsidR="00E93F58" w:rsidRPr="00A35C95" w:rsidRDefault="00E93F58" w:rsidP="00366AB5">
      <w:pPr>
        <w:pStyle w:val="subsection"/>
        <w:tabs>
          <w:tab w:val="left" w:pos="2835"/>
        </w:tabs>
      </w:pPr>
      <w:r w:rsidRPr="00A35C95">
        <w:tab/>
        <w:t>(3)</w:t>
      </w:r>
      <w:r w:rsidRPr="00A35C95">
        <w:tab/>
        <w:t>This Subdivision does not affect the liability of a person to civil proceedings if ASIC does not give an infringement notice to the person in relation to the alleged contravention of those sections.</w:t>
      </w:r>
    </w:p>
    <w:p w14:paraId="56793AE3" w14:textId="77777777" w:rsidR="00E93F58" w:rsidRPr="00A35C95" w:rsidRDefault="00E93F58" w:rsidP="00366AB5">
      <w:pPr>
        <w:pStyle w:val="subsection"/>
        <w:tabs>
          <w:tab w:val="left" w:pos="2835"/>
        </w:tabs>
      </w:pPr>
      <w:r w:rsidRPr="00A35C95">
        <w:tab/>
        <w:t>(4)</w:t>
      </w:r>
      <w:r w:rsidRPr="00A35C95">
        <w:tab/>
        <w:t>This Subdivision does not affect the liability of a person to civil proceedings if:</w:t>
      </w:r>
    </w:p>
    <w:p w14:paraId="03D5067D" w14:textId="77777777" w:rsidR="00E93F58" w:rsidRPr="00A35C95" w:rsidRDefault="00E93F58" w:rsidP="00366AB5">
      <w:pPr>
        <w:pStyle w:val="paragraph"/>
        <w:tabs>
          <w:tab w:val="left" w:pos="2835"/>
        </w:tabs>
      </w:pPr>
      <w:r w:rsidRPr="00A35C95">
        <w:tab/>
        <w:t>(a)</w:t>
      </w:r>
      <w:r w:rsidRPr="00A35C95">
        <w:tab/>
        <w:t>ASIC gives an infringement notice to the person in relation to the alleged contravention of those sections; and</w:t>
      </w:r>
    </w:p>
    <w:p w14:paraId="1E668BBB" w14:textId="77777777" w:rsidR="00E93F58" w:rsidRPr="00A35C95" w:rsidRDefault="00E93F58" w:rsidP="00366AB5">
      <w:pPr>
        <w:pStyle w:val="paragraph"/>
        <w:tabs>
          <w:tab w:val="left" w:pos="2835"/>
        </w:tabs>
      </w:pPr>
      <w:r w:rsidRPr="00A35C95">
        <w:tab/>
        <w:t>(b)</w:t>
      </w:r>
      <w:r w:rsidRPr="00A35C95">
        <w:tab/>
        <w:t>either:</w:t>
      </w:r>
    </w:p>
    <w:p w14:paraId="5F0B3FC0" w14:textId="77777777" w:rsidR="00E93F58" w:rsidRPr="00A35C95" w:rsidRDefault="00E93F58" w:rsidP="00366AB5">
      <w:pPr>
        <w:pStyle w:val="paragraphsub"/>
        <w:tabs>
          <w:tab w:val="left" w:pos="2835"/>
        </w:tabs>
      </w:pPr>
      <w:r w:rsidRPr="00A35C95">
        <w:tab/>
        <w:t>(i)</w:t>
      </w:r>
      <w:r w:rsidRPr="00A35C95">
        <w:tab/>
        <w:t>the notice is withdrawn; or</w:t>
      </w:r>
    </w:p>
    <w:p w14:paraId="4D999924" w14:textId="77777777" w:rsidR="00E93F58" w:rsidRPr="00A35C95" w:rsidRDefault="00E93F58" w:rsidP="00366AB5">
      <w:pPr>
        <w:pStyle w:val="paragraphsub"/>
        <w:tabs>
          <w:tab w:val="left" w:pos="2835"/>
        </w:tabs>
      </w:pPr>
      <w:r w:rsidRPr="00A35C95">
        <w:tab/>
        <w:t>(ii)</w:t>
      </w:r>
      <w:r w:rsidRPr="00A35C95">
        <w:tab/>
        <w:t>the person does not comply with the notice in accordance with regulation </w:t>
      </w:r>
      <w:r w:rsidRPr="00A35C95">
        <w:rPr>
          <w:lang w:eastAsia="en-US"/>
        </w:rPr>
        <w:t>7.5A.108</w:t>
      </w:r>
      <w:r w:rsidRPr="00A35C95">
        <w:t>.</w:t>
      </w:r>
    </w:p>
    <w:p w14:paraId="1894E59A" w14:textId="77777777" w:rsidR="00E93F58" w:rsidRPr="00A35C95" w:rsidRDefault="00E93F58" w:rsidP="00366AB5">
      <w:pPr>
        <w:pStyle w:val="subsection"/>
        <w:tabs>
          <w:tab w:val="left" w:pos="2835"/>
        </w:tabs>
      </w:pPr>
      <w:r w:rsidRPr="00A35C95">
        <w:tab/>
        <w:t>(5)</w:t>
      </w:r>
      <w:r w:rsidRPr="00A35C95">
        <w:tab/>
        <w:t>This Subdivision does not limit or otherwise affect the penalty that a Court could impose on the person for a contravention of those sections.</w:t>
      </w:r>
    </w:p>
    <w:p w14:paraId="23391186" w14:textId="77777777" w:rsidR="00E93F58" w:rsidRPr="00A35C95" w:rsidRDefault="00E93F58" w:rsidP="00366AB5">
      <w:pPr>
        <w:pStyle w:val="ActHead5"/>
        <w:tabs>
          <w:tab w:val="left" w:pos="2835"/>
        </w:tabs>
      </w:pPr>
      <w:bookmarkStart w:id="890" w:name="_Toc152058019"/>
      <w:bookmarkStart w:id="891" w:name="_Toc158712242"/>
      <w:r w:rsidRPr="00844D11">
        <w:rPr>
          <w:rStyle w:val="CharSectno"/>
        </w:rPr>
        <w:t>7.5A.103</w:t>
      </w:r>
      <w:r w:rsidRPr="00A35C95">
        <w:t xml:space="preserve">  Definitions for Subdivision</w:t>
      </w:r>
      <w:bookmarkEnd w:id="890"/>
      <w:bookmarkEnd w:id="891"/>
    </w:p>
    <w:p w14:paraId="5F620D95" w14:textId="77777777" w:rsidR="00E93F58" w:rsidRPr="00A35C95" w:rsidRDefault="00E93F58" w:rsidP="00366AB5">
      <w:pPr>
        <w:pStyle w:val="subsection"/>
        <w:tabs>
          <w:tab w:val="left" w:pos="2835"/>
        </w:tabs>
      </w:pPr>
      <w:r w:rsidRPr="00A35C95">
        <w:tab/>
      </w:r>
      <w:r w:rsidRPr="00A35C95">
        <w:tab/>
        <w:t>In this Subdivision:</w:t>
      </w:r>
    </w:p>
    <w:p w14:paraId="4FAFE70B" w14:textId="77777777" w:rsidR="00E93F58" w:rsidRPr="00A35C95" w:rsidRDefault="00E93F58" w:rsidP="00366AB5">
      <w:pPr>
        <w:pStyle w:val="Definition"/>
        <w:tabs>
          <w:tab w:val="left" w:pos="2835"/>
        </w:tabs>
      </w:pPr>
      <w:r w:rsidRPr="00A35C95">
        <w:rPr>
          <w:b/>
          <w:i/>
        </w:rPr>
        <w:t>compliance period</w:t>
      </w:r>
      <w:r w:rsidRPr="00A35C95">
        <w:t xml:space="preserve"> has the meaning given by subregulation 7.5A.108(2).</w:t>
      </w:r>
    </w:p>
    <w:p w14:paraId="2A3F69A3" w14:textId="77777777" w:rsidR="00E93F58" w:rsidRPr="00A35C95" w:rsidRDefault="00E93F58" w:rsidP="00366AB5">
      <w:pPr>
        <w:pStyle w:val="Definition"/>
        <w:tabs>
          <w:tab w:val="left" w:pos="2835"/>
        </w:tabs>
      </w:pPr>
      <w:r w:rsidRPr="00A35C95">
        <w:rPr>
          <w:b/>
          <w:i/>
        </w:rPr>
        <w:t>infringement notice</w:t>
      </w:r>
      <w:r w:rsidRPr="00A35C95">
        <w:t xml:space="preserve"> means an infringement notice given under regulation 7.5A.104.</w:t>
      </w:r>
    </w:p>
    <w:p w14:paraId="5DC4677B" w14:textId="77777777" w:rsidR="00E93F58" w:rsidRPr="00A35C95" w:rsidRDefault="00E93F58" w:rsidP="00366AB5">
      <w:pPr>
        <w:pStyle w:val="Definition"/>
        <w:tabs>
          <w:tab w:val="left" w:pos="2835"/>
        </w:tabs>
      </w:pPr>
      <w:r w:rsidRPr="00A35C95">
        <w:rPr>
          <w:b/>
          <w:i/>
        </w:rPr>
        <w:t>recipient</w:t>
      </w:r>
      <w:r w:rsidRPr="00A35C95">
        <w:t>, in relation to an infringement notice, means the person to whom ASIC gives the infringement notice or intends to give the infringement notice under regulation 7.5A.104.</w:t>
      </w:r>
    </w:p>
    <w:p w14:paraId="52C2CEA5" w14:textId="77777777" w:rsidR="00E93F58" w:rsidRPr="00A35C95" w:rsidRDefault="00E93F58" w:rsidP="00366AB5">
      <w:pPr>
        <w:pStyle w:val="Definition"/>
        <w:tabs>
          <w:tab w:val="left" w:pos="2835"/>
        </w:tabs>
      </w:pPr>
      <w:r w:rsidRPr="00A35C95">
        <w:rPr>
          <w:b/>
          <w:i/>
        </w:rPr>
        <w:t>rule</w:t>
      </w:r>
      <w:r w:rsidRPr="00A35C95">
        <w:t xml:space="preserve"> means a provision of:</w:t>
      </w:r>
    </w:p>
    <w:p w14:paraId="167E7E8A" w14:textId="77777777" w:rsidR="00E93F58" w:rsidRPr="00A35C95" w:rsidRDefault="00E93F58" w:rsidP="00366AB5">
      <w:pPr>
        <w:pStyle w:val="paragraph"/>
        <w:tabs>
          <w:tab w:val="left" w:pos="2835"/>
        </w:tabs>
      </w:pPr>
      <w:r w:rsidRPr="00A35C95">
        <w:tab/>
        <w:t>(a)</w:t>
      </w:r>
      <w:r w:rsidRPr="00A35C95">
        <w:tab/>
        <w:t>the derivative transaction rules mentioned in section 901E of the Act; or</w:t>
      </w:r>
    </w:p>
    <w:p w14:paraId="0DC92B82" w14:textId="77777777" w:rsidR="00E93F58" w:rsidRPr="00A35C95" w:rsidRDefault="00E93F58" w:rsidP="00366AB5">
      <w:pPr>
        <w:pStyle w:val="paragraph"/>
        <w:tabs>
          <w:tab w:val="left" w:pos="2835"/>
        </w:tabs>
      </w:pPr>
      <w:r w:rsidRPr="00A35C95">
        <w:tab/>
        <w:t>(b)</w:t>
      </w:r>
      <w:r w:rsidRPr="00A35C95">
        <w:tab/>
        <w:t>derivative trade repository rules mentioned in section 903D of the Act.</w:t>
      </w:r>
    </w:p>
    <w:p w14:paraId="7996D69E" w14:textId="77777777" w:rsidR="00E93F58" w:rsidRPr="00A35C95" w:rsidRDefault="00E93F58" w:rsidP="00366AB5">
      <w:pPr>
        <w:pStyle w:val="ActHead5"/>
        <w:tabs>
          <w:tab w:val="left" w:pos="2835"/>
        </w:tabs>
      </w:pPr>
      <w:bookmarkStart w:id="892" w:name="_Toc152058020"/>
      <w:bookmarkStart w:id="893" w:name="_Toc158712243"/>
      <w:r w:rsidRPr="00844D11">
        <w:rPr>
          <w:rStyle w:val="CharSectno"/>
        </w:rPr>
        <w:t>7.5A.104</w:t>
      </w:r>
      <w:r w:rsidRPr="00A35C95">
        <w:t xml:space="preserve">  When infringement notice can be given</w:t>
      </w:r>
      <w:bookmarkEnd w:id="892"/>
      <w:bookmarkEnd w:id="893"/>
    </w:p>
    <w:p w14:paraId="2AB454AD" w14:textId="77777777" w:rsidR="00E93F58" w:rsidRPr="00A35C95" w:rsidRDefault="00E93F58" w:rsidP="00366AB5">
      <w:pPr>
        <w:pStyle w:val="subsection"/>
        <w:tabs>
          <w:tab w:val="left" w:pos="2835"/>
        </w:tabs>
      </w:pPr>
      <w:r w:rsidRPr="00A35C95">
        <w:tab/>
        <w:t>(1)</w:t>
      </w:r>
      <w:r w:rsidRPr="00A35C95">
        <w:tab/>
        <w:t>If ASIC has reasonable grounds to believe that a person has contravened a rule, ASIC may give the person an infringement notice in relation to the alleged contravention.</w:t>
      </w:r>
    </w:p>
    <w:p w14:paraId="63212C44" w14:textId="77777777" w:rsidR="00E93F58" w:rsidRPr="00A35C95" w:rsidRDefault="00E93F58" w:rsidP="00366AB5">
      <w:pPr>
        <w:pStyle w:val="subsection"/>
        <w:tabs>
          <w:tab w:val="left" w:pos="2835"/>
        </w:tabs>
      </w:pPr>
      <w:r w:rsidRPr="00A35C95">
        <w:tab/>
        <w:t>(2)</w:t>
      </w:r>
      <w:r w:rsidRPr="00A35C95">
        <w:tab/>
        <w:t>ASIC may give a person an infringement notice that is in relation to more than one alleged contravention of a rule.</w:t>
      </w:r>
    </w:p>
    <w:p w14:paraId="0AAC081F" w14:textId="77777777" w:rsidR="00E93F58" w:rsidRPr="00A35C95" w:rsidRDefault="00E93F58" w:rsidP="00366AB5">
      <w:pPr>
        <w:pStyle w:val="subsection"/>
        <w:tabs>
          <w:tab w:val="left" w:pos="2835"/>
        </w:tabs>
      </w:pPr>
      <w:r w:rsidRPr="00A35C95">
        <w:tab/>
        <w:t>(3)</w:t>
      </w:r>
      <w:r w:rsidRPr="00A35C95">
        <w:tab/>
        <w:t>If ASIC withdraws an infringement notice given to a person in relation to the alleged contravention of a rule, ASIC may give the person a new infringement notice in relation to the alleged contravention.</w:t>
      </w:r>
    </w:p>
    <w:p w14:paraId="04C03175" w14:textId="77777777" w:rsidR="00E93F58" w:rsidRPr="00A35C95" w:rsidRDefault="00E93F58" w:rsidP="00366AB5">
      <w:pPr>
        <w:pStyle w:val="notetext"/>
        <w:tabs>
          <w:tab w:val="left" w:pos="2835"/>
        </w:tabs>
      </w:pPr>
      <w:r w:rsidRPr="00A35C95">
        <w:t>Example:</w:t>
      </w:r>
      <w:r w:rsidRPr="00A35C95">
        <w:tab/>
        <w:t>An infringement notice given to a person in relation to an alleged contravention of a rule may be withdrawn, and a new infringement notice given to the person in relation to that alleged contravention, if the original infringement notice contained an error.</w:t>
      </w:r>
    </w:p>
    <w:p w14:paraId="5C35FEB7" w14:textId="77777777" w:rsidR="00E93F58" w:rsidRPr="00A35C95" w:rsidRDefault="00E93F58" w:rsidP="00366AB5">
      <w:pPr>
        <w:pStyle w:val="ActHead5"/>
        <w:tabs>
          <w:tab w:val="left" w:pos="2835"/>
        </w:tabs>
      </w:pPr>
      <w:bookmarkStart w:id="894" w:name="_Toc152058021"/>
      <w:bookmarkStart w:id="895" w:name="_Toc158712244"/>
      <w:r w:rsidRPr="00844D11">
        <w:rPr>
          <w:rStyle w:val="CharSectno"/>
        </w:rPr>
        <w:t>7.5A.105</w:t>
      </w:r>
      <w:r w:rsidRPr="00A35C95">
        <w:t xml:space="preserve">  Statement of reasons must be given</w:t>
      </w:r>
      <w:bookmarkEnd w:id="894"/>
      <w:bookmarkEnd w:id="895"/>
    </w:p>
    <w:p w14:paraId="1E798893" w14:textId="77777777" w:rsidR="00E93F58" w:rsidRPr="00A35C95" w:rsidRDefault="00E93F58" w:rsidP="00366AB5">
      <w:pPr>
        <w:pStyle w:val="subsection"/>
        <w:tabs>
          <w:tab w:val="left" w:pos="2835"/>
        </w:tabs>
      </w:pPr>
      <w:r w:rsidRPr="00A35C95">
        <w:tab/>
        <w:t>(1)</w:t>
      </w:r>
      <w:r w:rsidRPr="00A35C95">
        <w:tab/>
        <w:t>Before giving a recipient an infringement notice, ASIC must:</w:t>
      </w:r>
    </w:p>
    <w:p w14:paraId="37793DEE" w14:textId="77777777" w:rsidR="00E93F58" w:rsidRPr="00A35C95" w:rsidRDefault="00E93F58" w:rsidP="00366AB5">
      <w:pPr>
        <w:pStyle w:val="paragraph"/>
        <w:tabs>
          <w:tab w:val="left" w:pos="2835"/>
        </w:tabs>
      </w:pPr>
      <w:r w:rsidRPr="00A35C95">
        <w:tab/>
        <w:t>(a)</w:t>
      </w:r>
      <w:r w:rsidRPr="00A35C95">
        <w:tab/>
        <w:t>give the recipient a written statement that sets out ASIC’s reasons for believing that the recipient has contravened a rule; and</w:t>
      </w:r>
    </w:p>
    <w:p w14:paraId="414994B9" w14:textId="77777777" w:rsidR="00E93F58" w:rsidRPr="00A35C95" w:rsidRDefault="00E93F58" w:rsidP="00366AB5">
      <w:pPr>
        <w:pStyle w:val="paragraph"/>
        <w:tabs>
          <w:tab w:val="left" w:pos="2835"/>
        </w:tabs>
      </w:pPr>
      <w:r w:rsidRPr="00A35C95">
        <w:tab/>
        <w:t>(b)</w:t>
      </w:r>
      <w:r w:rsidRPr="00A35C95">
        <w:tab/>
        <w:t>give the recipient, or a representative of the recipient, an opportunity to:</w:t>
      </w:r>
    </w:p>
    <w:p w14:paraId="3EDB5F10" w14:textId="77777777" w:rsidR="00E93F58" w:rsidRPr="00A35C95" w:rsidRDefault="00E93F58" w:rsidP="00366AB5">
      <w:pPr>
        <w:pStyle w:val="paragraphsub"/>
        <w:tabs>
          <w:tab w:val="left" w:pos="2835"/>
        </w:tabs>
      </w:pPr>
      <w:r w:rsidRPr="00A35C95">
        <w:tab/>
        <w:t>(i)</w:t>
      </w:r>
      <w:r w:rsidRPr="00A35C95">
        <w:tab/>
        <w:t>appear at a private hearing before ASIC; and</w:t>
      </w:r>
    </w:p>
    <w:p w14:paraId="00DACB33" w14:textId="77777777" w:rsidR="00E93F58" w:rsidRPr="00A35C95" w:rsidRDefault="00E93F58" w:rsidP="00366AB5">
      <w:pPr>
        <w:pStyle w:val="paragraphsub"/>
        <w:tabs>
          <w:tab w:val="left" w:pos="2835"/>
        </w:tabs>
      </w:pPr>
      <w:r w:rsidRPr="00A35C95">
        <w:tab/>
        <w:t>(ii)</w:t>
      </w:r>
      <w:r w:rsidRPr="00A35C95">
        <w:tab/>
        <w:t>give evidence to ASIC; and</w:t>
      </w:r>
    </w:p>
    <w:p w14:paraId="64B20398" w14:textId="77777777" w:rsidR="00E93F58" w:rsidRPr="00A35C95" w:rsidRDefault="00E93F58" w:rsidP="00366AB5">
      <w:pPr>
        <w:pStyle w:val="paragraphsub"/>
        <w:tabs>
          <w:tab w:val="left" w:pos="2835"/>
        </w:tabs>
      </w:pPr>
      <w:r w:rsidRPr="00A35C95">
        <w:lastRenderedPageBreak/>
        <w:tab/>
        <w:t>(iii)</w:t>
      </w:r>
      <w:r w:rsidRPr="00A35C95">
        <w:tab/>
        <w:t>make submissions to ASIC;</w:t>
      </w:r>
    </w:p>
    <w:p w14:paraId="1C40D489" w14:textId="77777777" w:rsidR="00E93F58" w:rsidRPr="00A35C95" w:rsidRDefault="00E93F58" w:rsidP="00366AB5">
      <w:pPr>
        <w:pStyle w:val="subsection2"/>
        <w:tabs>
          <w:tab w:val="left" w:pos="2835"/>
        </w:tabs>
      </w:pPr>
      <w:r w:rsidRPr="00A35C95">
        <w:t>in relation to the alleged contravention of the rule.</w:t>
      </w:r>
    </w:p>
    <w:p w14:paraId="7E264370" w14:textId="77777777" w:rsidR="00E93F58" w:rsidRPr="00A35C95" w:rsidRDefault="00E93F58" w:rsidP="00366AB5">
      <w:pPr>
        <w:pStyle w:val="subsection"/>
        <w:tabs>
          <w:tab w:val="left" w:pos="2835"/>
        </w:tabs>
      </w:pPr>
      <w:r w:rsidRPr="00A35C95">
        <w:tab/>
        <w:t>(2)</w:t>
      </w:r>
      <w:r w:rsidRPr="00A35C95">
        <w:tab/>
        <w:t>If a recipient, or a representative of a recipient, gives ASIC evidence or information under paragraph (1)(b), the evidence or information is not admissible in evidence in any proceedings against the recipient, other than proceedings relating to the evidence or information being false or misleading.</w:t>
      </w:r>
    </w:p>
    <w:p w14:paraId="1CF61E52" w14:textId="77777777" w:rsidR="00E93F58" w:rsidRPr="00A35C95" w:rsidRDefault="00E93F58" w:rsidP="00366AB5">
      <w:pPr>
        <w:pStyle w:val="ActHead5"/>
        <w:tabs>
          <w:tab w:val="left" w:pos="2835"/>
        </w:tabs>
      </w:pPr>
      <w:bookmarkStart w:id="896" w:name="_Toc152058022"/>
      <w:bookmarkStart w:id="897" w:name="_Toc158712245"/>
      <w:r w:rsidRPr="00844D11">
        <w:rPr>
          <w:rStyle w:val="CharSectno"/>
        </w:rPr>
        <w:t>7.5A.106</w:t>
      </w:r>
      <w:r w:rsidRPr="00A35C95">
        <w:t xml:space="preserve">  Contents of infringement notice</w:t>
      </w:r>
      <w:bookmarkEnd w:id="896"/>
      <w:bookmarkEnd w:id="897"/>
    </w:p>
    <w:p w14:paraId="28F5E25E" w14:textId="77777777" w:rsidR="00E93F58" w:rsidRPr="00A35C95" w:rsidRDefault="00E93F58" w:rsidP="00366AB5">
      <w:pPr>
        <w:pStyle w:val="subsection"/>
        <w:tabs>
          <w:tab w:val="left" w:pos="2835"/>
        </w:tabs>
      </w:pPr>
      <w:r w:rsidRPr="00A35C95">
        <w:tab/>
      </w:r>
      <w:r w:rsidRPr="00A35C95">
        <w:tab/>
        <w:t>An infringement notice:</w:t>
      </w:r>
    </w:p>
    <w:p w14:paraId="7BF9FAEC" w14:textId="77777777" w:rsidR="00E93F58" w:rsidRPr="00A35C95" w:rsidRDefault="00E93F58" w:rsidP="00366AB5">
      <w:pPr>
        <w:pStyle w:val="paragraph"/>
        <w:tabs>
          <w:tab w:val="left" w:pos="2835"/>
        </w:tabs>
      </w:pPr>
      <w:r w:rsidRPr="00A35C95">
        <w:tab/>
        <w:t>(a)</w:t>
      </w:r>
      <w:r w:rsidRPr="00A35C95">
        <w:tab/>
        <w:t>must state the date on which it is given; and</w:t>
      </w:r>
    </w:p>
    <w:p w14:paraId="401C3A94" w14:textId="77777777" w:rsidR="00E93F58" w:rsidRPr="00A35C95" w:rsidRDefault="00E93F58" w:rsidP="00366AB5">
      <w:pPr>
        <w:pStyle w:val="paragraph"/>
        <w:tabs>
          <w:tab w:val="left" w:pos="2835"/>
        </w:tabs>
      </w:pPr>
      <w:r w:rsidRPr="00A35C95">
        <w:tab/>
        <w:t>(b)</w:t>
      </w:r>
      <w:r w:rsidRPr="00A35C95">
        <w:tab/>
        <w:t>must be identified by a unique code; and</w:t>
      </w:r>
    </w:p>
    <w:p w14:paraId="16000993" w14:textId="77777777" w:rsidR="00E93F58" w:rsidRPr="00A35C95" w:rsidRDefault="00E93F58" w:rsidP="00366AB5">
      <w:pPr>
        <w:pStyle w:val="paragraph"/>
        <w:tabs>
          <w:tab w:val="left" w:pos="2835"/>
        </w:tabs>
      </w:pPr>
      <w:r w:rsidRPr="00A35C95">
        <w:tab/>
        <w:t>(c)</w:t>
      </w:r>
      <w:r w:rsidRPr="00A35C95">
        <w:tab/>
        <w:t>must state the name and address of the recipient; and</w:t>
      </w:r>
    </w:p>
    <w:p w14:paraId="1A7BFCA9" w14:textId="77777777" w:rsidR="00E93F58" w:rsidRPr="00A35C95" w:rsidRDefault="00E93F58" w:rsidP="00366AB5">
      <w:pPr>
        <w:pStyle w:val="paragraph"/>
        <w:tabs>
          <w:tab w:val="left" w:pos="2835"/>
        </w:tabs>
      </w:pPr>
      <w:r w:rsidRPr="00A35C95">
        <w:tab/>
        <w:t>(d)</w:t>
      </w:r>
      <w:r w:rsidRPr="00A35C95">
        <w:tab/>
        <w:t>must state that it is being given by ASIC under regulation 7.5A.104; and</w:t>
      </w:r>
    </w:p>
    <w:p w14:paraId="219891F9" w14:textId="77777777" w:rsidR="00E93F58" w:rsidRPr="00A35C95" w:rsidRDefault="00E93F58" w:rsidP="00366AB5">
      <w:pPr>
        <w:pStyle w:val="paragraph"/>
        <w:tabs>
          <w:tab w:val="left" w:pos="2835"/>
        </w:tabs>
      </w:pPr>
      <w:r w:rsidRPr="00A35C95">
        <w:tab/>
        <w:t>(e)</w:t>
      </w:r>
      <w:r w:rsidRPr="00A35C95">
        <w:tab/>
        <w:t>must specify details of each alleged contravention of the rule to which the infringement notice relates, including:</w:t>
      </w:r>
    </w:p>
    <w:p w14:paraId="7524C83C" w14:textId="77777777" w:rsidR="00E93F58" w:rsidRPr="00A35C95" w:rsidRDefault="00E93F58" w:rsidP="00366AB5">
      <w:pPr>
        <w:pStyle w:val="paragraphsub"/>
        <w:tabs>
          <w:tab w:val="left" w:pos="2835"/>
        </w:tabs>
      </w:pPr>
      <w:r w:rsidRPr="00A35C95">
        <w:tab/>
        <w:t>(i)</w:t>
      </w:r>
      <w:r w:rsidRPr="00A35C95">
        <w:tab/>
        <w:t>the conduct that made up each alleged contravention (including, to the extent known, the date on which it occurred and the place at which it occurred); and</w:t>
      </w:r>
    </w:p>
    <w:p w14:paraId="1F228A47" w14:textId="77777777" w:rsidR="00E93F58" w:rsidRPr="00A35C95" w:rsidRDefault="00E93F58" w:rsidP="00366AB5">
      <w:pPr>
        <w:pStyle w:val="paragraphsub"/>
        <w:tabs>
          <w:tab w:val="left" w:pos="2835"/>
        </w:tabs>
      </w:pPr>
      <w:r w:rsidRPr="00A35C95">
        <w:tab/>
        <w:t>(ii)</w:t>
      </w:r>
      <w:r w:rsidRPr="00A35C95">
        <w:tab/>
        <w:t>each rule that ASIC alleges the recipient has contravened; and</w:t>
      </w:r>
    </w:p>
    <w:p w14:paraId="0B1F8F9A" w14:textId="77777777" w:rsidR="00E93F58" w:rsidRPr="00A35C95" w:rsidRDefault="00E93F58" w:rsidP="00366AB5">
      <w:pPr>
        <w:pStyle w:val="paragraph"/>
        <w:tabs>
          <w:tab w:val="left" w:pos="2835"/>
        </w:tabs>
      </w:pPr>
      <w:r w:rsidRPr="00A35C95">
        <w:tab/>
        <w:t>(f)</w:t>
      </w:r>
      <w:r w:rsidRPr="00A35C95">
        <w:tab/>
        <w:t>must, in relation to each rule that ASIC alleges the recipient has contravened, state the maximum pecuniary penalty that a Court could order the recipient to pay for contravening the rule; and</w:t>
      </w:r>
    </w:p>
    <w:p w14:paraId="54D4B733" w14:textId="77777777" w:rsidR="00E93F58" w:rsidRPr="00A35C95" w:rsidRDefault="00E93F58" w:rsidP="00366AB5">
      <w:pPr>
        <w:pStyle w:val="paragraph"/>
        <w:tabs>
          <w:tab w:val="left" w:pos="2835"/>
        </w:tabs>
      </w:pPr>
      <w:r w:rsidRPr="00A35C95">
        <w:tab/>
        <w:t>(g)</w:t>
      </w:r>
      <w:r w:rsidRPr="00A35C95">
        <w:tab/>
        <w:t>must, in relation to each alleged contravention of the rule to which the infringement notice relates:</w:t>
      </w:r>
    </w:p>
    <w:p w14:paraId="7F84F877" w14:textId="77777777" w:rsidR="00E93F58" w:rsidRPr="00A35C95" w:rsidRDefault="00E93F58" w:rsidP="00366AB5">
      <w:pPr>
        <w:pStyle w:val="paragraphsub"/>
        <w:tabs>
          <w:tab w:val="left" w:pos="2835"/>
        </w:tabs>
      </w:pPr>
      <w:r w:rsidRPr="00A35C95">
        <w:tab/>
        <w:t>(i)</w:t>
      </w:r>
      <w:r w:rsidRPr="00A35C95">
        <w:tab/>
        <w:t>specify the penalty (if any) payable for each alleged contravention of the rule; and</w:t>
      </w:r>
    </w:p>
    <w:p w14:paraId="2B3CDE60" w14:textId="77777777" w:rsidR="00E93F58" w:rsidRPr="00A35C95" w:rsidRDefault="00E93F58" w:rsidP="00366AB5">
      <w:pPr>
        <w:pStyle w:val="paragraphsub"/>
        <w:tabs>
          <w:tab w:val="left" w:pos="2835"/>
        </w:tabs>
      </w:pPr>
      <w:r w:rsidRPr="00A35C95">
        <w:tab/>
        <w:t>(ii)</w:t>
      </w:r>
      <w:r w:rsidRPr="00A35C95">
        <w:tab/>
        <w:t>if subparagraph (i) applies:</w:t>
      </w:r>
    </w:p>
    <w:p w14:paraId="592BC724" w14:textId="77777777" w:rsidR="00E93F58" w:rsidRPr="00A35C95" w:rsidRDefault="00E93F58" w:rsidP="00366AB5">
      <w:pPr>
        <w:pStyle w:val="paragraphsub-sub"/>
        <w:tabs>
          <w:tab w:val="left" w:pos="2835"/>
        </w:tabs>
      </w:pPr>
      <w:r w:rsidRPr="00A35C95">
        <w:tab/>
        <w:t>(A)</w:t>
      </w:r>
      <w:r w:rsidRPr="00A35C95">
        <w:tab/>
        <w:t>specify the total penalty that the recipient must pay to the Commonwealth; and</w:t>
      </w:r>
    </w:p>
    <w:p w14:paraId="7F8387BE" w14:textId="77777777" w:rsidR="00E93F58" w:rsidRPr="00A35C95" w:rsidRDefault="00E93F58" w:rsidP="00366AB5">
      <w:pPr>
        <w:pStyle w:val="paragraphsub-sub"/>
        <w:tabs>
          <w:tab w:val="left" w:pos="2835"/>
        </w:tabs>
      </w:pPr>
      <w:r w:rsidRPr="00A35C95">
        <w:tab/>
        <w:t>(B)</w:t>
      </w:r>
      <w:r w:rsidRPr="00A35C95">
        <w:tab/>
        <w:t>state that the penalty is payable to ASIC on behalf of the Commonwealth; and</w:t>
      </w:r>
    </w:p>
    <w:p w14:paraId="73FB71CA" w14:textId="77777777" w:rsidR="00E93F58" w:rsidRPr="00A35C95" w:rsidRDefault="00E93F58" w:rsidP="00366AB5">
      <w:pPr>
        <w:pStyle w:val="paragraphsub-sub"/>
        <w:tabs>
          <w:tab w:val="left" w:pos="2835"/>
        </w:tabs>
      </w:pPr>
      <w:r w:rsidRPr="00A35C95">
        <w:tab/>
        <w:t>(C)</w:t>
      </w:r>
      <w:r w:rsidRPr="00A35C95">
        <w:tab/>
        <w:t>explain how payment of the penalty can be made; and</w:t>
      </w:r>
    </w:p>
    <w:p w14:paraId="104956A2" w14:textId="77777777" w:rsidR="00E93F58" w:rsidRPr="00A35C95" w:rsidRDefault="00E93F58" w:rsidP="00366AB5">
      <w:pPr>
        <w:pStyle w:val="paragraphsub"/>
        <w:tabs>
          <w:tab w:val="left" w:pos="2835"/>
        </w:tabs>
      </w:pPr>
      <w:r w:rsidRPr="00A35C95">
        <w:tab/>
        <w:t>(iii)</w:t>
      </w:r>
      <w:r w:rsidRPr="00A35C95">
        <w:tab/>
        <w:t>specify the remedial measures (if any) that the recipient must undertake or institute; and</w:t>
      </w:r>
    </w:p>
    <w:p w14:paraId="688D4F41" w14:textId="77777777" w:rsidR="00E93F58" w:rsidRPr="00A35C95" w:rsidRDefault="00E93F58" w:rsidP="00366AB5">
      <w:pPr>
        <w:pStyle w:val="paragraphsub"/>
        <w:tabs>
          <w:tab w:val="left" w:pos="2835"/>
        </w:tabs>
      </w:pPr>
      <w:r w:rsidRPr="00A35C95">
        <w:tab/>
        <w:t>(iv)</w:t>
      </w:r>
      <w:r w:rsidRPr="00A35C95">
        <w:tab/>
        <w:t>specify the sanctions (if any) that the recipient must accept; and</w:t>
      </w:r>
    </w:p>
    <w:p w14:paraId="1026589E" w14:textId="77777777" w:rsidR="00E93F58" w:rsidRPr="00A35C95" w:rsidRDefault="00E93F58" w:rsidP="00366AB5">
      <w:pPr>
        <w:pStyle w:val="paragraphsub"/>
        <w:tabs>
          <w:tab w:val="left" w:pos="2835"/>
        </w:tabs>
      </w:pPr>
      <w:r w:rsidRPr="00A35C95">
        <w:tab/>
        <w:t>(v)</w:t>
      </w:r>
      <w:r w:rsidRPr="00A35C95">
        <w:tab/>
        <w:t>specify the terms of an undertaking (if any) that the recipient must enter into under regulation 7.5A.101; and</w:t>
      </w:r>
    </w:p>
    <w:p w14:paraId="2A225D5F" w14:textId="77777777" w:rsidR="00E93F58" w:rsidRPr="00A35C95" w:rsidRDefault="00E93F58" w:rsidP="00366AB5">
      <w:pPr>
        <w:pStyle w:val="paragraph"/>
        <w:tabs>
          <w:tab w:val="left" w:pos="2835"/>
        </w:tabs>
      </w:pPr>
      <w:r w:rsidRPr="00A35C95">
        <w:tab/>
        <w:t>(h)</w:t>
      </w:r>
      <w:r w:rsidRPr="00A35C95">
        <w:tab/>
        <w:t>must state that the recipient may choose not to comply with the infringement notice, but that if the recipient does not comply, civil proceedings may be brought against the recipient in relation to the alleged contravention; and</w:t>
      </w:r>
    </w:p>
    <w:p w14:paraId="0364D34B" w14:textId="77777777" w:rsidR="00E93F58" w:rsidRPr="00A35C95" w:rsidRDefault="00E93F58" w:rsidP="00366AB5">
      <w:pPr>
        <w:pStyle w:val="paragraph"/>
        <w:tabs>
          <w:tab w:val="left" w:pos="2835"/>
        </w:tabs>
      </w:pPr>
      <w:r w:rsidRPr="00A35C95">
        <w:tab/>
        <w:t>(i)</w:t>
      </w:r>
      <w:r w:rsidRPr="00A35C95">
        <w:tab/>
        <w:t>must explain what the recipient must do to comply with the infringement notice and the effect of compliance with the infringement notice; and</w:t>
      </w:r>
    </w:p>
    <w:p w14:paraId="4E0A8630" w14:textId="77777777" w:rsidR="00E93F58" w:rsidRPr="00A35C95" w:rsidRDefault="00E93F58" w:rsidP="00366AB5">
      <w:pPr>
        <w:pStyle w:val="paragraph"/>
        <w:tabs>
          <w:tab w:val="left" w:pos="2835"/>
        </w:tabs>
      </w:pPr>
      <w:r w:rsidRPr="00A35C95">
        <w:tab/>
        <w:t>(j)</w:t>
      </w:r>
      <w:r w:rsidRPr="00A35C95">
        <w:tab/>
        <w:t>must state that the recipient may apply to ASIC:</w:t>
      </w:r>
    </w:p>
    <w:p w14:paraId="04CAC425" w14:textId="77777777" w:rsidR="00E93F58" w:rsidRPr="00A35C95" w:rsidRDefault="00E93F58" w:rsidP="00366AB5">
      <w:pPr>
        <w:pStyle w:val="paragraphsub"/>
        <w:tabs>
          <w:tab w:val="left" w:pos="2835"/>
        </w:tabs>
      </w:pPr>
      <w:r w:rsidRPr="00A35C95">
        <w:tab/>
        <w:t>(i)</w:t>
      </w:r>
      <w:r w:rsidRPr="00A35C95">
        <w:tab/>
        <w:t>for withdrawal of the notice under regulation 7.5A.111; or</w:t>
      </w:r>
    </w:p>
    <w:p w14:paraId="71D377B6" w14:textId="77777777" w:rsidR="00E93F58" w:rsidRPr="00A35C95" w:rsidRDefault="00E93F58" w:rsidP="00366AB5">
      <w:pPr>
        <w:pStyle w:val="paragraphsub"/>
        <w:tabs>
          <w:tab w:val="left" w:pos="2835"/>
        </w:tabs>
      </w:pPr>
      <w:r w:rsidRPr="00A35C95">
        <w:tab/>
        <w:t>(ii)</w:t>
      </w:r>
      <w:r w:rsidRPr="00A35C95">
        <w:tab/>
        <w:t>for an extension of time under regulation 7.5A.109; and</w:t>
      </w:r>
    </w:p>
    <w:p w14:paraId="58A46AC4" w14:textId="77777777" w:rsidR="00E93F58" w:rsidRPr="00A35C95" w:rsidRDefault="00E93F58" w:rsidP="00366AB5">
      <w:pPr>
        <w:pStyle w:val="paragraph"/>
        <w:tabs>
          <w:tab w:val="left" w:pos="2835"/>
        </w:tabs>
      </w:pPr>
      <w:r w:rsidRPr="00A35C95">
        <w:tab/>
        <w:t>(k)</w:t>
      </w:r>
      <w:r w:rsidRPr="00A35C95">
        <w:tab/>
        <w:t>must state that ASIC may publish details of the infringement notice under regulation 7.5A.115; and</w:t>
      </w:r>
    </w:p>
    <w:p w14:paraId="36A0BF8A" w14:textId="77777777" w:rsidR="00E93F58" w:rsidRPr="00A35C95" w:rsidRDefault="00E93F58" w:rsidP="00366AB5">
      <w:pPr>
        <w:pStyle w:val="paragraph"/>
        <w:tabs>
          <w:tab w:val="left" w:pos="2835"/>
        </w:tabs>
      </w:pPr>
      <w:r w:rsidRPr="00A35C95">
        <w:tab/>
        <w:t>(l)</w:t>
      </w:r>
      <w:r w:rsidRPr="00A35C95">
        <w:tab/>
        <w:t>may include any other information that ASIC considers necessary.</w:t>
      </w:r>
    </w:p>
    <w:p w14:paraId="4FE0DEE8" w14:textId="77777777" w:rsidR="00E93F58" w:rsidRPr="00A35C95" w:rsidRDefault="00E93F58" w:rsidP="00366AB5">
      <w:pPr>
        <w:pStyle w:val="notetext"/>
        <w:tabs>
          <w:tab w:val="left" w:pos="2835"/>
        </w:tabs>
      </w:pPr>
      <w:r w:rsidRPr="00A35C95">
        <w:t>Note:</w:t>
      </w:r>
      <w:r w:rsidRPr="00A35C95">
        <w:tab/>
        <w:t>For sub</w:t>
      </w:r>
      <w:r>
        <w:noBreakHyphen/>
      </w:r>
      <w:r w:rsidRPr="00A35C95">
        <w:t>subparagraph (g)(ii)(A), the total penalty is the sum of the penalties payable under subparagraph (g)(i).</w:t>
      </w:r>
    </w:p>
    <w:p w14:paraId="00D458F4" w14:textId="77777777" w:rsidR="00E93F58" w:rsidRPr="00A35C95" w:rsidRDefault="00E93F58" w:rsidP="00366AB5">
      <w:pPr>
        <w:pStyle w:val="ActHead5"/>
        <w:tabs>
          <w:tab w:val="left" w:pos="2835"/>
        </w:tabs>
      </w:pPr>
      <w:bookmarkStart w:id="898" w:name="_Toc152058023"/>
      <w:bookmarkStart w:id="899" w:name="_Toc158712246"/>
      <w:r w:rsidRPr="00844D11">
        <w:rPr>
          <w:rStyle w:val="CharSectno"/>
        </w:rPr>
        <w:t>7.5A.107</w:t>
      </w:r>
      <w:r w:rsidRPr="00A35C95">
        <w:t xml:space="preserve">  Amount of penalty payable to the Commonwealth</w:t>
      </w:r>
      <w:bookmarkEnd w:id="898"/>
      <w:bookmarkEnd w:id="899"/>
    </w:p>
    <w:p w14:paraId="6D6546FB" w14:textId="77777777" w:rsidR="00E93F58" w:rsidRPr="00A35C95" w:rsidRDefault="00E93F58" w:rsidP="00366AB5">
      <w:pPr>
        <w:pStyle w:val="subsection"/>
        <w:tabs>
          <w:tab w:val="left" w:pos="2835"/>
        </w:tabs>
      </w:pPr>
      <w:r w:rsidRPr="00A35C95">
        <w:tab/>
        <w:t>(1)</w:t>
      </w:r>
      <w:r w:rsidRPr="00A35C95">
        <w:tab/>
        <w:t>The penalty payable (if any) for an alleged contravention of a rule is the amount determined by ASIC.</w:t>
      </w:r>
    </w:p>
    <w:p w14:paraId="6160E9D1" w14:textId="77777777" w:rsidR="00E93F58" w:rsidRPr="00A35C95" w:rsidRDefault="00E93F58" w:rsidP="00366AB5">
      <w:pPr>
        <w:pStyle w:val="notetext"/>
        <w:tabs>
          <w:tab w:val="left" w:pos="2835"/>
        </w:tabs>
      </w:pPr>
      <w:r w:rsidRPr="00A35C95">
        <w:t>Note:</w:t>
      </w:r>
      <w:r w:rsidRPr="00A35C95">
        <w:tab/>
        <w:t>See subsections 901F(2) and 903E(2) of the Act for the maximum penalty payable.</w:t>
      </w:r>
    </w:p>
    <w:p w14:paraId="5DF6EC30" w14:textId="77777777" w:rsidR="00E93F58" w:rsidRPr="00A35C95" w:rsidRDefault="00E93F58" w:rsidP="00366AB5">
      <w:pPr>
        <w:pStyle w:val="subsection"/>
        <w:tabs>
          <w:tab w:val="left" w:pos="2835"/>
        </w:tabs>
      </w:pPr>
      <w:r w:rsidRPr="00A35C95">
        <w:tab/>
        <w:t>(2)</w:t>
      </w:r>
      <w:r w:rsidRPr="00A35C95">
        <w:tab/>
        <w:t>If an infringement notice is in relation to more than one alleged contravention of a rule, the total penalty payable under the infringement notice is the sum of the penalties payable (if any) for the alleged contraventions.</w:t>
      </w:r>
    </w:p>
    <w:p w14:paraId="64CFD18A" w14:textId="77777777" w:rsidR="00E93F58" w:rsidRPr="00A35C95" w:rsidRDefault="00E93F58" w:rsidP="00366AB5">
      <w:pPr>
        <w:pStyle w:val="ActHead5"/>
        <w:tabs>
          <w:tab w:val="left" w:pos="2835"/>
        </w:tabs>
      </w:pPr>
      <w:bookmarkStart w:id="900" w:name="_Toc152058024"/>
      <w:bookmarkStart w:id="901" w:name="_Toc158712247"/>
      <w:r w:rsidRPr="00844D11">
        <w:rPr>
          <w:rStyle w:val="CharSectno"/>
        </w:rPr>
        <w:t>7.5A.108</w:t>
      </w:r>
      <w:r w:rsidRPr="00A35C95">
        <w:t xml:space="preserve">  Compliance with infringement notice</w:t>
      </w:r>
      <w:bookmarkEnd w:id="900"/>
      <w:bookmarkEnd w:id="901"/>
    </w:p>
    <w:p w14:paraId="13A68EC0" w14:textId="77777777" w:rsidR="00E93F58" w:rsidRPr="00A35C95" w:rsidRDefault="00E93F58" w:rsidP="00366AB5">
      <w:pPr>
        <w:pStyle w:val="subsection"/>
        <w:tabs>
          <w:tab w:val="left" w:pos="2835"/>
        </w:tabs>
      </w:pPr>
      <w:r w:rsidRPr="00A35C95">
        <w:tab/>
        <w:t>(1)</w:t>
      </w:r>
      <w:r w:rsidRPr="00A35C95">
        <w:tab/>
        <w:t>A recipient complies with an infringement notice if, during the compliance period, the recipient does all of the following:</w:t>
      </w:r>
    </w:p>
    <w:p w14:paraId="77BF19A3" w14:textId="77777777" w:rsidR="00E93F58" w:rsidRPr="00A35C95" w:rsidRDefault="00E93F58" w:rsidP="00366AB5">
      <w:pPr>
        <w:pStyle w:val="paragraph"/>
        <w:tabs>
          <w:tab w:val="left" w:pos="2835"/>
        </w:tabs>
      </w:pPr>
      <w:r w:rsidRPr="00A35C95">
        <w:tab/>
        <w:t>(a)</w:t>
      </w:r>
      <w:r w:rsidRPr="00A35C95">
        <w:tab/>
        <w:t>pays the penalty specified in the infringement notice under sub</w:t>
      </w:r>
      <w:r>
        <w:noBreakHyphen/>
      </w:r>
      <w:r w:rsidRPr="00A35C95">
        <w:t>subparagraph 7.5A.106(g)(ii)(A) (if any);</w:t>
      </w:r>
    </w:p>
    <w:p w14:paraId="794783C3" w14:textId="77777777" w:rsidR="00E93F58" w:rsidRPr="00A35C95" w:rsidRDefault="00E93F58" w:rsidP="00366AB5">
      <w:pPr>
        <w:pStyle w:val="paragraph"/>
        <w:tabs>
          <w:tab w:val="left" w:pos="2835"/>
        </w:tabs>
      </w:pPr>
      <w:r w:rsidRPr="00A35C95">
        <w:lastRenderedPageBreak/>
        <w:tab/>
        <w:t>(b)</w:t>
      </w:r>
      <w:r w:rsidRPr="00A35C95">
        <w:tab/>
        <w:t>undertakes or institutes the remedial measures specified in the infringement notice under subparagraph 7.5A.106(g)(iii) (if any);</w:t>
      </w:r>
    </w:p>
    <w:p w14:paraId="4796D24A" w14:textId="77777777" w:rsidR="00E93F58" w:rsidRPr="00A35C95" w:rsidRDefault="00E93F58" w:rsidP="00366AB5">
      <w:pPr>
        <w:pStyle w:val="paragraph"/>
        <w:tabs>
          <w:tab w:val="left" w:pos="2835"/>
        </w:tabs>
      </w:pPr>
      <w:r w:rsidRPr="00A35C95">
        <w:tab/>
        <w:t>(c)</w:t>
      </w:r>
      <w:r w:rsidRPr="00A35C95">
        <w:tab/>
        <w:t>accepts the sanctions specified in the infringement notice under subparagraph 7.5A.106(g)(iv) (if any);</w:t>
      </w:r>
    </w:p>
    <w:p w14:paraId="000E43DE" w14:textId="77777777" w:rsidR="00E93F58" w:rsidRPr="00A35C95" w:rsidRDefault="00E93F58" w:rsidP="00366AB5">
      <w:pPr>
        <w:pStyle w:val="paragraph"/>
        <w:tabs>
          <w:tab w:val="left" w:pos="2835"/>
        </w:tabs>
      </w:pPr>
      <w:r w:rsidRPr="00A35C95">
        <w:tab/>
        <w:t>(d)</w:t>
      </w:r>
      <w:r w:rsidRPr="00A35C95">
        <w:tab/>
        <w:t>enters into an undertaking (including an undertaking to comply with the infringement notice) with the terms specified in the infringement notice under subparagraph 7.5A.106(g)(v) (if any).</w:t>
      </w:r>
    </w:p>
    <w:p w14:paraId="3E4E4D1A" w14:textId="77777777" w:rsidR="00E93F58" w:rsidRPr="00A35C95" w:rsidRDefault="00E93F58" w:rsidP="00366AB5">
      <w:pPr>
        <w:pStyle w:val="subsection"/>
        <w:tabs>
          <w:tab w:val="left" w:pos="2835"/>
        </w:tabs>
      </w:pPr>
      <w:r w:rsidRPr="00A35C95">
        <w:tab/>
        <w:t>(2)</w:t>
      </w:r>
      <w:r w:rsidRPr="00A35C95">
        <w:tab/>
        <w:t xml:space="preserve">The </w:t>
      </w:r>
      <w:r w:rsidRPr="00A35C95">
        <w:rPr>
          <w:b/>
          <w:i/>
        </w:rPr>
        <w:t>compliance period</w:t>
      </w:r>
      <w:r w:rsidRPr="00A35C95">
        <w:t xml:space="preserve"> for an infringement notice:</w:t>
      </w:r>
    </w:p>
    <w:p w14:paraId="5CF0B3CA" w14:textId="77777777" w:rsidR="00E93F58" w:rsidRPr="00A35C95" w:rsidRDefault="00E93F58" w:rsidP="00366AB5">
      <w:pPr>
        <w:pStyle w:val="paragraph"/>
        <w:tabs>
          <w:tab w:val="left" w:pos="2835"/>
        </w:tabs>
      </w:pPr>
      <w:r w:rsidRPr="00A35C95">
        <w:tab/>
        <w:t>(a)</w:t>
      </w:r>
      <w:r w:rsidRPr="00A35C95">
        <w:tab/>
        <w:t>starts on the day on which the infringement notice is given to the recipient; and</w:t>
      </w:r>
    </w:p>
    <w:p w14:paraId="192E2F97" w14:textId="77777777" w:rsidR="00E93F58" w:rsidRPr="00A35C95" w:rsidRDefault="00E93F58" w:rsidP="00366AB5">
      <w:pPr>
        <w:pStyle w:val="paragraph"/>
        <w:tabs>
          <w:tab w:val="left" w:pos="2835"/>
        </w:tabs>
      </w:pPr>
      <w:r w:rsidRPr="00A35C95">
        <w:tab/>
        <w:t>(b)</w:t>
      </w:r>
      <w:r w:rsidRPr="00A35C95">
        <w:tab/>
        <w:t>ends:</w:t>
      </w:r>
    </w:p>
    <w:p w14:paraId="1BE47A37" w14:textId="77777777" w:rsidR="00E93F58" w:rsidRPr="00A35C95" w:rsidRDefault="00E93F58" w:rsidP="00366AB5">
      <w:pPr>
        <w:pStyle w:val="paragraphsub"/>
        <w:tabs>
          <w:tab w:val="left" w:pos="2835"/>
        </w:tabs>
      </w:pPr>
      <w:r w:rsidRPr="00A35C95">
        <w:tab/>
        <w:t>(i)</w:t>
      </w:r>
      <w:r w:rsidRPr="00A35C95">
        <w:tab/>
        <w:t>27 days after the day on which the infringement notice is given to the recipient; or</w:t>
      </w:r>
    </w:p>
    <w:p w14:paraId="273158F6" w14:textId="77777777" w:rsidR="00E93F58" w:rsidRPr="00A35C95" w:rsidRDefault="00E93F58" w:rsidP="00366AB5">
      <w:pPr>
        <w:pStyle w:val="paragraphsub"/>
        <w:tabs>
          <w:tab w:val="left" w:pos="2835"/>
        </w:tabs>
      </w:pPr>
      <w:r w:rsidRPr="00A35C95">
        <w:tab/>
        <w:t>(ii)</w:t>
      </w:r>
      <w:r w:rsidRPr="00A35C95">
        <w:tab/>
        <w:t>on another day permitted by this regulation.</w:t>
      </w:r>
    </w:p>
    <w:p w14:paraId="2B2EAC10" w14:textId="77777777" w:rsidR="00E93F58" w:rsidRPr="00A35C95" w:rsidRDefault="00E93F58" w:rsidP="00366AB5">
      <w:pPr>
        <w:pStyle w:val="subsection"/>
        <w:tabs>
          <w:tab w:val="left" w:pos="2835"/>
        </w:tabs>
      </w:pPr>
      <w:r w:rsidRPr="00A35C95">
        <w:tab/>
        <w:t>(3)</w:t>
      </w:r>
      <w:r w:rsidRPr="00A35C95">
        <w:tab/>
        <w:t>If the recipient applies for a further period of time in which to comply with the infringement notice, and the application is granted, the compliance period ends at the end of the further period allowed.</w:t>
      </w:r>
    </w:p>
    <w:p w14:paraId="388B9B5C" w14:textId="77777777" w:rsidR="00E93F58" w:rsidRPr="00A35C95" w:rsidRDefault="00E93F58" w:rsidP="00366AB5">
      <w:pPr>
        <w:pStyle w:val="subsection"/>
        <w:tabs>
          <w:tab w:val="left" w:pos="2835"/>
        </w:tabs>
      </w:pPr>
      <w:r w:rsidRPr="00A35C95">
        <w:tab/>
        <w:t>(4)</w:t>
      </w:r>
      <w:r w:rsidRPr="00A35C95">
        <w:tab/>
        <w:t>If the recipient applies for a further period of time in which to comply with the infringement notice, and the application is refused, the compliance period ends on the later of:</w:t>
      </w:r>
    </w:p>
    <w:p w14:paraId="5ED3DF14" w14:textId="77777777" w:rsidR="00E93F58" w:rsidRPr="00A35C95" w:rsidRDefault="00E93F58" w:rsidP="00366AB5">
      <w:pPr>
        <w:pStyle w:val="paragraph"/>
        <w:tabs>
          <w:tab w:val="left" w:pos="2835"/>
        </w:tabs>
      </w:pPr>
      <w:r w:rsidRPr="00A35C95">
        <w:tab/>
        <w:t>(a)</w:t>
      </w:r>
      <w:r w:rsidRPr="00A35C95">
        <w:tab/>
        <w:t>28 days after the day on which the infringement notice was given to the recipient; and</w:t>
      </w:r>
    </w:p>
    <w:p w14:paraId="0121E720" w14:textId="77777777" w:rsidR="00E93F58" w:rsidRPr="00A35C95" w:rsidRDefault="00E93F58" w:rsidP="00366AB5">
      <w:pPr>
        <w:pStyle w:val="paragraph"/>
        <w:tabs>
          <w:tab w:val="left" w:pos="2835"/>
        </w:tabs>
      </w:pPr>
      <w:r w:rsidRPr="00A35C95">
        <w:tab/>
        <w:t>(b)</w:t>
      </w:r>
      <w:r w:rsidRPr="00A35C95">
        <w:tab/>
        <w:t>7 days after the notice of refusal is given to the recipient.</w:t>
      </w:r>
    </w:p>
    <w:p w14:paraId="0CAC5679" w14:textId="77777777" w:rsidR="00E93F58" w:rsidRPr="00A35C95" w:rsidRDefault="00E93F58" w:rsidP="00366AB5">
      <w:pPr>
        <w:pStyle w:val="subsection"/>
        <w:tabs>
          <w:tab w:val="left" w:pos="2835"/>
        </w:tabs>
      </w:pPr>
      <w:r w:rsidRPr="00A35C95">
        <w:tab/>
        <w:t>(5)</w:t>
      </w:r>
      <w:r w:rsidRPr="00A35C95">
        <w:tab/>
        <w:t>If the recipient applies for the infringement notice to be withdrawn, and the application is refused, the compliance period ends 28 days after the notice of refusal is given to the recipient.</w:t>
      </w:r>
    </w:p>
    <w:p w14:paraId="4A7E1B00" w14:textId="77777777" w:rsidR="00E93F58" w:rsidRPr="00A35C95" w:rsidRDefault="00E93F58" w:rsidP="00366AB5">
      <w:pPr>
        <w:pStyle w:val="ActHead5"/>
        <w:tabs>
          <w:tab w:val="left" w:pos="2835"/>
        </w:tabs>
      </w:pPr>
      <w:bookmarkStart w:id="902" w:name="_Toc152058025"/>
      <w:bookmarkStart w:id="903" w:name="_Toc158712248"/>
      <w:r w:rsidRPr="00844D11">
        <w:rPr>
          <w:rStyle w:val="CharSectno"/>
        </w:rPr>
        <w:t>7.5A.109</w:t>
      </w:r>
      <w:r w:rsidRPr="00A35C95">
        <w:t xml:space="preserve">  Extension of compliance period</w:t>
      </w:r>
      <w:bookmarkEnd w:id="902"/>
      <w:bookmarkEnd w:id="903"/>
    </w:p>
    <w:p w14:paraId="62DEB96F" w14:textId="77777777" w:rsidR="00E93F58" w:rsidRPr="00A35C95" w:rsidRDefault="00E93F58" w:rsidP="00366AB5">
      <w:pPr>
        <w:pStyle w:val="subsection"/>
        <w:tabs>
          <w:tab w:val="left" w:pos="2835"/>
        </w:tabs>
      </w:pPr>
      <w:r w:rsidRPr="00A35C95">
        <w:tab/>
        <w:t>(1)</w:t>
      </w:r>
      <w:r w:rsidRPr="00A35C95">
        <w:tab/>
        <w:t>During the compliance period, a recipient may apply, in writing, to ASIC for a further period of no more than 28 days in which to comply with the infringement notice.</w:t>
      </w:r>
    </w:p>
    <w:p w14:paraId="157CC52C" w14:textId="77777777" w:rsidR="00E93F58" w:rsidRPr="00A35C95" w:rsidRDefault="00E93F58" w:rsidP="00366AB5">
      <w:pPr>
        <w:pStyle w:val="subsection"/>
        <w:tabs>
          <w:tab w:val="left" w:pos="2835"/>
        </w:tabs>
      </w:pPr>
      <w:r w:rsidRPr="00A35C95">
        <w:tab/>
        <w:t>(2)</w:t>
      </w:r>
      <w:r w:rsidRPr="00A35C95">
        <w:tab/>
        <w:t>The application must:</w:t>
      </w:r>
    </w:p>
    <w:p w14:paraId="6EA4E766" w14:textId="77777777" w:rsidR="00E93F58" w:rsidRPr="00A35C95" w:rsidRDefault="00E93F58" w:rsidP="00366AB5">
      <w:pPr>
        <w:pStyle w:val="paragraph"/>
        <w:tabs>
          <w:tab w:val="left" w:pos="2835"/>
        </w:tabs>
      </w:pPr>
      <w:r w:rsidRPr="00A35C95">
        <w:tab/>
        <w:t>(a)</w:t>
      </w:r>
      <w:r w:rsidRPr="00A35C95">
        <w:tab/>
        <w:t>specify the infringement notice’s unique code; and</w:t>
      </w:r>
    </w:p>
    <w:p w14:paraId="474E19A8" w14:textId="77777777" w:rsidR="00E93F58" w:rsidRPr="00A35C95" w:rsidRDefault="00E93F58" w:rsidP="00366AB5">
      <w:pPr>
        <w:pStyle w:val="paragraph"/>
        <w:tabs>
          <w:tab w:val="left" w:pos="2835"/>
        </w:tabs>
      </w:pPr>
      <w:r w:rsidRPr="00A35C95">
        <w:tab/>
        <w:t>(b)</w:t>
      </w:r>
      <w:r w:rsidRPr="00A35C95">
        <w:tab/>
        <w:t>set out the reasons for the application.</w:t>
      </w:r>
    </w:p>
    <w:p w14:paraId="1A3B2790" w14:textId="77777777" w:rsidR="00E93F58" w:rsidRPr="00A35C95" w:rsidRDefault="00E93F58" w:rsidP="00366AB5">
      <w:pPr>
        <w:pStyle w:val="subsection"/>
        <w:tabs>
          <w:tab w:val="left" w:pos="2835"/>
        </w:tabs>
      </w:pPr>
      <w:r w:rsidRPr="00A35C95">
        <w:tab/>
        <w:t>(3)</w:t>
      </w:r>
      <w:r w:rsidRPr="00A35C95">
        <w:tab/>
        <w:t>Within 14 days after receiving the application, ASIC must:</w:t>
      </w:r>
    </w:p>
    <w:p w14:paraId="6A697782" w14:textId="77777777" w:rsidR="00E93F58" w:rsidRPr="00A35C95" w:rsidRDefault="00E93F58" w:rsidP="00366AB5">
      <w:pPr>
        <w:pStyle w:val="paragraph"/>
        <w:tabs>
          <w:tab w:val="left" w:pos="2835"/>
        </w:tabs>
      </w:pPr>
      <w:r w:rsidRPr="00A35C95">
        <w:tab/>
        <w:t>(a)</w:t>
      </w:r>
      <w:r w:rsidRPr="00A35C95">
        <w:tab/>
        <w:t>grant or refuse a further period no longer than the period sought (and no more than 28 days); and</w:t>
      </w:r>
    </w:p>
    <w:p w14:paraId="6B1A98E8" w14:textId="77777777" w:rsidR="00E93F58" w:rsidRPr="00A35C95" w:rsidRDefault="00E93F58" w:rsidP="00366AB5">
      <w:pPr>
        <w:pStyle w:val="paragraph"/>
        <w:tabs>
          <w:tab w:val="left" w:pos="2835"/>
        </w:tabs>
      </w:pPr>
      <w:r w:rsidRPr="00A35C95">
        <w:tab/>
        <w:t>(b)</w:t>
      </w:r>
      <w:r w:rsidRPr="00A35C95">
        <w:tab/>
        <w:t>notify the recipient in writing of the decision and, if the decision is a refusal, the reasons for the decision.</w:t>
      </w:r>
    </w:p>
    <w:p w14:paraId="7668DE96" w14:textId="77777777" w:rsidR="00E93F58" w:rsidRPr="00A35C95" w:rsidRDefault="00E93F58" w:rsidP="00366AB5">
      <w:pPr>
        <w:pStyle w:val="subsection"/>
        <w:tabs>
          <w:tab w:val="left" w:pos="2835"/>
        </w:tabs>
      </w:pPr>
      <w:r w:rsidRPr="00A35C95">
        <w:tab/>
        <w:t>(4)</w:t>
      </w:r>
      <w:r w:rsidRPr="00A35C95">
        <w:tab/>
        <w:t>If ASIC refuses a further period under paragraph (3)(a), the recipient may not make a further application under subregulation (1) in relation to that infringement notice.</w:t>
      </w:r>
    </w:p>
    <w:p w14:paraId="30300652" w14:textId="77777777" w:rsidR="00E93F58" w:rsidRPr="00A35C95" w:rsidRDefault="00E93F58" w:rsidP="00366AB5">
      <w:pPr>
        <w:pStyle w:val="subsection"/>
        <w:tabs>
          <w:tab w:val="left" w:pos="2835"/>
        </w:tabs>
      </w:pPr>
      <w:r w:rsidRPr="00A35C95">
        <w:tab/>
        <w:t>(5)</w:t>
      </w:r>
      <w:r w:rsidRPr="00A35C95">
        <w:tab/>
        <w:t>If ASIC has not granted or refused a further period under paragraph (3)(a) within 14 days after receiving the application, ASIC is taken to have refused the further period.</w:t>
      </w:r>
    </w:p>
    <w:p w14:paraId="3D6F4BEF" w14:textId="77777777" w:rsidR="00E93F58" w:rsidRPr="00A35C95" w:rsidRDefault="00E93F58" w:rsidP="00366AB5">
      <w:pPr>
        <w:pStyle w:val="ActHead5"/>
        <w:tabs>
          <w:tab w:val="left" w:pos="2835"/>
        </w:tabs>
      </w:pPr>
      <w:bookmarkStart w:id="904" w:name="_Toc152058026"/>
      <w:bookmarkStart w:id="905" w:name="_Toc158712249"/>
      <w:r w:rsidRPr="00844D11">
        <w:rPr>
          <w:rStyle w:val="CharSectno"/>
        </w:rPr>
        <w:t>7.5A.110</w:t>
      </w:r>
      <w:r w:rsidRPr="00A35C95">
        <w:t xml:space="preserve">  Effect of compliance with infringement notice</w:t>
      </w:r>
      <w:bookmarkEnd w:id="904"/>
      <w:bookmarkEnd w:id="905"/>
    </w:p>
    <w:p w14:paraId="71C0E8FC" w14:textId="77777777" w:rsidR="00E93F58" w:rsidRPr="00A35C95" w:rsidRDefault="00E93F58" w:rsidP="00366AB5">
      <w:pPr>
        <w:pStyle w:val="subsection"/>
        <w:tabs>
          <w:tab w:val="left" w:pos="2835"/>
        </w:tabs>
      </w:pPr>
      <w:r w:rsidRPr="00A35C95">
        <w:tab/>
        <w:t>(1)</w:t>
      </w:r>
      <w:r w:rsidRPr="00A35C95">
        <w:tab/>
        <w:t>Subject to subregulation (3), if:</w:t>
      </w:r>
    </w:p>
    <w:p w14:paraId="10B71199" w14:textId="77777777" w:rsidR="00E93F58" w:rsidRPr="00A35C95" w:rsidRDefault="00E93F58" w:rsidP="00366AB5">
      <w:pPr>
        <w:pStyle w:val="paragraph"/>
        <w:tabs>
          <w:tab w:val="left" w:pos="2835"/>
        </w:tabs>
      </w:pPr>
      <w:r w:rsidRPr="00A35C95">
        <w:tab/>
        <w:t>(a)</w:t>
      </w:r>
      <w:r w:rsidRPr="00A35C95">
        <w:tab/>
        <w:t>an infringement notice is given to a recipient in relation to an alleged contravention of a rule; and</w:t>
      </w:r>
    </w:p>
    <w:p w14:paraId="5A2ACC68" w14:textId="77777777" w:rsidR="00E93F58" w:rsidRPr="00A35C95" w:rsidRDefault="00E93F58" w:rsidP="00366AB5">
      <w:pPr>
        <w:pStyle w:val="paragraph"/>
        <w:tabs>
          <w:tab w:val="left" w:pos="2835"/>
        </w:tabs>
      </w:pPr>
      <w:r w:rsidRPr="00A35C95">
        <w:tab/>
        <w:t>(b)</w:t>
      </w:r>
      <w:r w:rsidRPr="00A35C95">
        <w:tab/>
        <w:t>the infringement notice is not withdrawn; and</w:t>
      </w:r>
    </w:p>
    <w:p w14:paraId="36F0A9F8" w14:textId="77777777" w:rsidR="00E93F58" w:rsidRPr="00A35C95" w:rsidRDefault="00E93F58" w:rsidP="00366AB5">
      <w:pPr>
        <w:pStyle w:val="paragraph"/>
        <w:tabs>
          <w:tab w:val="left" w:pos="2835"/>
        </w:tabs>
      </w:pPr>
      <w:r w:rsidRPr="00A35C95">
        <w:tab/>
        <w:t>(c)</w:t>
      </w:r>
      <w:r w:rsidRPr="00A35C95">
        <w:tab/>
        <w:t>the recipient complies with the infringement notice;</w:t>
      </w:r>
    </w:p>
    <w:p w14:paraId="49B5500E" w14:textId="77777777" w:rsidR="00E93F58" w:rsidRPr="00A35C95" w:rsidRDefault="00E93F58" w:rsidP="00366AB5">
      <w:pPr>
        <w:pStyle w:val="subsection2"/>
        <w:tabs>
          <w:tab w:val="left" w:pos="2835"/>
        </w:tabs>
      </w:pPr>
      <w:r w:rsidRPr="00A35C95">
        <w:t>the effects in subregulation (2) apply.</w:t>
      </w:r>
    </w:p>
    <w:p w14:paraId="4BCD156F" w14:textId="77777777" w:rsidR="00E93F58" w:rsidRPr="00A35C95" w:rsidRDefault="00E93F58" w:rsidP="00366AB5">
      <w:pPr>
        <w:pStyle w:val="subsection"/>
        <w:tabs>
          <w:tab w:val="left" w:pos="2835"/>
        </w:tabs>
      </w:pPr>
      <w:r w:rsidRPr="00A35C95">
        <w:tab/>
        <w:t>(2)</w:t>
      </w:r>
      <w:r w:rsidRPr="00A35C95">
        <w:tab/>
        <w:t>The effects are:</w:t>
      </w:r>
    </w:p>
    <w:p w14:paraId="15BC0FD4" w14:textId="77777777" w:rsidR="00E93F58" w:rsidRPr="00A35C95" w:rsidRDefault="00E93F58" w:rsidP="00366AB5">
      <w:pPr>
        <w:pStyle w:val="paragraph"/>
        <w:tabs>
          <w:tab w:val="left" w:pos="2835"/>
        </w:tabs>
      </w:pPr>
      <w:r w:rsidRPr="00A35C95">
        <w:tab/>
        <w:t>(a)</w:t>
      </w:r>
      <w:r w:rsidRPr="00A35C95">
        <w:tab/>
        <w:t>any liability of the recipient to the Commonwealth for the alleged contravention of the rule is discharged; and</w:t>
      </w:r>
    </w:p>
    <w:p w14:paraId="6AB7FCF3" w14:textId="77777777" w:rsidR="00E93F58" w:rsidRPr="00A35C95" w:rsidRDefault="00E93F58" w:rsidP="00366AB5">
      <w:pPr>
        <w:pStyle w:val="paragraph"/>
        <w:tabs>
          <w:tab w:val="left" w:pos="2835"/>
        </w:tabs>
      </w:pPr>
      <w:r w:rsidRPr="00A35C95">
        <w:tab/>
        <w:t>(b)</w:t>
      </w:r>
      <w:r w:rsidRPr="00A35C95">
        <w:tab/>
        <w:t>no civil or criminal proceedings may be brought or continued by the Commonwealth against the recipient for the conduct specified in the infringement notice as being the conduct that made up the alleged contravention of the rule; and</w:t>
      </w:r>
    </w:p>
    <w:p w14:paraId="2F6FD450" w14:textId="77777777" w:rsidR="00E93F58" w:rsidRPr="00A35C95" w:rsidRDefault="00E93F58" w:rsidP="00366AB5">
      <w:pPr>
        <w:pStyle w:val="paragraph"/>
        <w:tabs>
          <w:tab w:val="left" w:pos="2835"/>
        </w:tabs>
      </w:pPr>
      <w:r w:rsidRPr="00A35C95">
        <w:tab/>
        <w:t>(c)</w:t>
      </w:r>
      <w:r w:rsidRPr="00A35C95">
        <w:tab/>
        <w:t>no administrative action may be taken by ASIC under section 914A, 915B, 915C or 920A of the Act against the recipient for the conduct specified in the infringement notice as being the conduct that made up the alleged contravention of the rule; and</w:t>
      </w:r>
    </w:p>
    <w:p w14:paraId="7030D953" w14:textId="77777777" w:rsidR="00E93F58" w:rsidRPr="00A35C95" w:rsidRDefault="00E93F58" w:rsidP="00366AB5">
      <w:pPr>
        <w:pStyle w:val="paragraph"/>
        <w:tabs>
          <w:tab w:val="left" w:pos="2835"/>
        </w:tabs>
      </w:pPr>
      <w:r w:rsidRPr="00A35C95">
        <w:tab/>
        <w:t>(d)</w:t>
      </w:r>
      <w:r w:rsidRPr="00A35C95">
        <w:tab/>
        <w:t>the recipient is not taken to have admitted guilt or liability in relation to the alleged contravention; and</w:t>
      </w:r>
    </w:p>
    <w:p w14:paraId="1D0E444F" w14:textId="77777777" w:rsidR="00E93F58" w:rsidRPr="00A35C95" w:rsidRDefault="00E93F58" w:rsidP="00366AB5">
      <w:pPr>
        <w:pStyle w:val="paragraph"/>
        <w:tabs>
          <w:tab w:val="left" w:pos="2835"/>
        </w:tabs>
      </w:pPr>
      <w:r w:rsidRPr="00A35C95">
        <w:lastRenderedPageBreak/>
        <w:tab/>
        <w:t>(e)</w:t>
      </w:r>
      <w:r w:rsidRPr="00A35C95">
        <w:tab/>
        <w:t>the recipient is not taken to have contravened the rule.</w:t>
      </w:r>
    </w:p>
    <w:p w14:paraId="475F479E" w14:textId="77777777" w:rsidR="00E93F58" w:rsidRPr="00A35C95" w:rsidRDefault="00E93F58" w:rsidP="00366AB5">
      <w:pPr>
        <w:pStyle w:val="notetext"/>
        <w:tabs>
          <w:tab w:val="left" w:pos="2835"/>
        </w:tabs>
      </w:pPr>
      <w:r w:rsidRPr="00A35C95">
        <w:t>Note:</w:t>
      </w:r>
      <w:r w:rsidRPr="00A35C95">
        <w:tab/>
        <w:t>Third parties are not prevented from commencing civil proceedings against the recipient, including under section 1101B of the Act. ASIC is not prevented from applying for an order on behalf of a plaintiff in accordance with the Act.</w:t>
      </w:r>
    </w:p>
    <w:p w14:paraId="2D4B45BA" w14:textId="77777777" w:rsidR="00E93F58" w:rsidRPr="00A35C95" w:rsidRDefault="00E93F58" w:rsidP="00366AB5">
      <w:pPr>
        <w:pStyle w:val="subsection"/>
        <w:tabs>
          <w:tab w:val="left" w:pos="2835"/>
        </w:tabs>
      </w:pPr>
      <w:r w:rsidRPr="00A35C95">
        <w:tab/>
        <w:t>(3)</w:t>
      </w:r>
      <w:r w:rsidRPr="00A35C95">
        <w:tab/>
        <w:t>Subregulation (2) does not apply if the recipient has knowingly:</w:t>
      </w:r>
    </w:p>
    <w:p w14:paraId="3BBEB56E" w14:textId="77777777" w:rsidR="00E93F58" w:rsidRPr="00A35C95" w:rsidRDefault="00E93F58" w:rsidP="00366AB5">
      <w:pPr>
        <w:pStyle w:val="paragraph"/>
        <w:tabs>
          <w:tab w:val="left" w:pos="2835"/>
        </w:tabs>
      </w:pPr>
      <w:r w:rsidRPr="00A35C95">
        <w:tab/>
        <w:t>(a)</w:t>
      </w:r>
      <w:r w:rsidRPr="00A35C95">
        <w:tab/>
        <w:t>provided false or misleading information to ASIC; or</w:t>
      </w:r>
    </w:p>
    <w:p w14:paraId="1E431408" w14:textId="77777777" w:rsidR="00E93F58" w:rsidRPr="00A35C95" w:rsidRDefault="00E93F58" w:rsidP="00366AB5">
      <w:pPr>
        <w:pStyle w:val="paragraph"/>
        <w:tabs>
          <w:tab w:val="left" w:pos="2835"/>
        </w:tabs>
      </w:pPr>
      <w:r w:rsidRPr="00A35C95">
        <w:tab/>
        <w:t>(b)</w:t>
      </w:r>
      <w:r w:rsidRPr="00A35C95">
        <w:tab/>
        <w:t>withheld evidence or information from ASIC;</w:t>
      </w:r>
    </w:p>
    <w:p w14:paraId="0E642CEF" w14:textId="77777777" w:rsidR="00E93F58" w:rsidRPr="00A35C95" w:rsidRDefault="00E93F58" w:rsidP="00366AB5">
      <w:pPr>
        <w:pStyle w:val="subsection2"/>
        <w:tabs>
          <w:tab w:val="left" w:pos="2835"/>
        </w:tabs>
      </w:pPr>
      <w:r w:rsidRPr="00A35C95">
        <w:t>in relation to the alleged contravention of the rule.</w:t>
      </w:r>
    </w:p>
    <w:p w14:paraId="341C7EE1" w14:textId="77777777" w:rsidR="00E93F58" w:rsidRPr="00A35C95" w:rsidRDefault="00E93F58" w:rsidP="00366AB5">
      <w:pPr>
        <w:pStyle w:val="ActHead5"/>
        <w:tabs>
          <w:tab w:val="left" w:pos="2835"/>
        </w:tabs>
      </w:pPr>
      <w:bookmarkStart w:id="906" w:name="_Toc152058027"/>
      <w:bookmarkStart w:id="907" w:name="_Toc158712250"/>
      <w:r w:rsidRPr="00844D11">
        <w:rPr>
          <w:rStyle w:val="CharSectno"/>
        </w:rPr>
        <w:t>7.5A.111</w:t>
      </w:r>
      <w:r w:rsidRPr="00A35C95">
        <w:t xml:space="preserve">  Application to withdraw infringement notice</w:t>
      </w:r>
      <w:bookmarkEnd w:id="906"/>
      <w:bookmarkEnd w:id="907"/>
    </w:p>
    <w:p w14:paraId="443C3E1A" w14:textId="77777777" w:rsidR="00E93F58" w:rsidRPr="00A35C95" w:rsidRDefault="00E93F58" w:rsidP="00366AB5">
      <w:pPr>
        <w:pStyle w:val="subsection"/>
        <w:tabs>
          <w:tab w:val="left" w:pos="2835"/>
        </w:tabs>
      </w:pPr>
      <w:r w:rsidRPr="00A35C95">
        <w:tab/>
        <w:t>(1)</w:t>
      </w:r>
      <w:r w:rsidRPr="00A35C95">
        <w:tab/>
        <w:t>During the compliance period, a recipient of an infringement notice may apply, in writing, to ASIC for the infringement notice to be withdrawn.</w:t>
      </w:r>
    </w:p>
    <w:p w14:paraId="56274668" w14:textId="77777777" w:rsidR="00E93F58" w:rsidRPr="00A35C95" w:rsidRDefault="00E93F58" w:rsidP="00366AB5">
      <w:pPr>
        <w:pStyle w:val="subsection"/>
        <w:tabs>
          <w:tab w:val="left" w:pos="2835"/>
        </w:tabs>
      </w:pPr>
      <w:r w:rsidRPr="00A35C95">
        <w:tab/>
        <w:t>(2)</w:t>
      </w:r>
      <w:r w:rsidRPr="00A35C95">
        <w:tab/>
        <w:t>The application must:</w:t>
      </w:r>
    </w:p>
    <w:p w14:paraId="3BC4F141" w14:textId="77777777" w:rsidR="00E93F58" w:rsidRPr="00A35C95" w:rsidRDefault="00E93F58" w:rsidP="00366AB5">
      <w:pPr>
        <w:pStyle w:val="paragraph"/>
        <w:tabs>
          <w:tab w:val="left" w:pos="2835"/>
        </w:tabs>
      </w:pPr>
      <w:r w:rsidRPr="00A35C95">
        <w:tab/>
        <w:t>(a)</w:t>
      </w:r>
      <w:r w:rsidRPr="00A35C95">
        <w:tab/>
        <w:t>specify the infringement notice’s unique code; and</w:t>
      </w:r>
    </w:p>
    <w:p w14:paraId="0D680C8E" w14:textId="77777777" w:rsidR="00E93F58" w:rsidRPr="00A35C95" w:rsidRDefault="00E93F58" w:rsidP="00366AB5">
      <w:pPr>
        <w:pStyle w:val="paragraph"/>
        <w:tabs>
          <w:tab w:val="left" w:pos="2835"/>
        </w:tabs>
      </w:pPr>
      <w:r w:rsidRPr="00A35C95">
        <w:tab/>
        <w:t>(b)</w:t>
      </w:r>
      <w:r w:rsidRPr="00A35C95">
        <w:tab/>
        <w:t>set out the reasons for the application.</w:t>
      </w:r>
    </w:p>
    <w:p w14:paraId="6BB65111" w14:textId="77777777" w:rsidR="00E93F58" w:rsidRPr="00A35C95" w:rsidRDefault="00E93F58" w:rsidP="00366AB5">
      <w:pPr>
        <w:pStyle w:val="subsection"/>
        <w:tabs>
          <w:tab w:val="left" w:pos="2835"/>
        </w:tabs>
      </w:pPr>
      <w:r w:rsidRPr="00A35C95">
        <w:tab/>
        <w:t>(3)</w:t>
      </w:r>
      <w:r w:rsidRPr="00A35C95">
        <w:tab/>
        <w:t>Within 14 days after receiving the application, ASIC must:</w:t>
      </w:r>
    </w:p>
    <w:p w14:paraId="4C50DCD4" w14:textId="77777777" w:rsidR="00E93F58" w:rsidRPr="00A35C95" w:rsidRDefault="00E93F58" w:rsidP="00366AB5">
      <w:pPr>
        <w:pStyle w:val="paragraph"/>
        <w:tabs>
          <w:tab w:val="left" w:pos="2835"/>
        </w:tabs>
      </w:pPr>
      <w:r w:rsidRPr="00A35C95">
        <w:tab/>
        <w:t>(a)</w:t>
      </w:r>
      <w:r w:rsidRPr="00A35C95">
        <w:tab/>
        <w:t>withdraw or refuse to withdraw the infringement notice; and</w:t>
      </w:r>
    </w:p>
    <w:p w14:paraId="5534A155" w14:textId="77777777" w:rsidR="00E93F58" w:rsidRPr="00A35C95" w:rsidRDefault="00E93F58" w:rsidP="00366AB5">
      <w:pPr>
        <w:pStyle w:val="paragraph"/>
        <w:tabs>
          <w:tab w:val="left" w:pos="2835"/>
        </w:tabs>
      </w:pPr>
      <w:r w:rsidRPr="00A35C95">
        <w:tab/>
        <w:t>(b)</w:t>
      </w:r>
      <w:r w:rsidRPr="00A35C95">
        <w:tab/>
        <w:t>notify the recipient in writing of the decision and, if the decision is a refusal, the reasons for the decision.</w:t>
      </w:r>
    </w:p>
    <w:p w14:paraId="5F1E1E6E" w14:textId="77777777" w:rsidR="00E93F58" w:rsidRPr="00A35C95" w:rsidRDefault="00E93F58" w:rsidP="00366AB5">
      <w:pPr>
        <w:pStyle w:val="subsection"/>
        <w:tabs>
          <w:tab w:val="left" w:pos="2835"/>
        </w:tabs>
      </w:pPr>
      <w:r w:rsidRPr="00A35C95">
        <w:tab/>
        <w:t>(4)</w:t>
      </w:r>
      <w:r w:rsidRPr="00A35C95">
        <w:tab/>
        <w:t>Without limiting subregulation (3), ASIC may withdraw the infringement notice after taking into account the following matters:</w:t>
      </w:r>
    </w:p>
    <w:p w14:paraId="21825906" w14:textId="77777777" w:rsidR="00E93F58" w:rsidRPr="00A35C95" w:rsidRDefault="00E93F58" w:rsidP="00366AB5">
      <w:pPr>
        <w:pStyle w:val="paragraph"/>
        <w:tabs>
          <w:tab w:val="left" w:pos="2835"/>
        </w:tabs>
      </w:pPr>
      <w:r w:rsidRPr="00A35C95">
        <w:tab/>
        <w:t>(a)</w:t>
      </w:r>
      <w:r w:rsidRPr="00A35C95">
        <w:tab/>
        <w:t>whether the recipient has previously been found to have contravened the rule to which the notice relates;</w:t>
      </w:r>
    </w:p>
    <w:p w14:paraId="209E06B6" w14:textId="77777777" w:rsidR="00E93F58" w:rsidRPr="00A35C95" w:rsidRDefault="00E93F58" w:rsidP="00366AB5">
      <w:pPr>
        <w:pStyle w:val="paragraph"/>
        <w:tabs>
          <w:tab w:val="left" w:pos="2835"/>
        </w:tabs>
      </w:pPr>
      <w:r w:rsidRPr="00A35C95">
        <w:tab/>
        <w:t>(b)</w:t>
      </w:r>
      <w:r w:rsidRPr="00A35C95">
        <w:tab/>
        <w:t>the circumstances in which the contravention set out in the infringement notice is alleged to have occurred;</w:t>
      </w:r>
    </w:p>
    <w:p w14:paraId="69742B30" w14:textId="77777777" w:rsidR="00E93F58" w:rsidRPr="00A35C95" w:rsidRDefault="00E93F58" w:rsidP="00366AB5">
      <w:pPr>
        <w:pStyle w:val="paragraph"/>
        <w:tabs>
          <w:tab w:val="left" w:pos="2835"/>
        </w:tabs>
      </w:pPr>
      <w:r w:rsidRPr="00A35C95">
        <w:tab/>
        <w:t>(c)</w:t>
      </w:r>
      <w:r w:rsidRPr="00A35C95">
        <w:tab/>
        <w:t>whether an infringement notice has previously been given to the recipient in relation to an alleged contravention of the rule to which the notice relates, and whether the recipient complied with the infringement notice;</w:t>
      </w:r>
    </w:p>
    <w:p w14:paraId="28A9BDAF" w14:textId="77777777" w:rsidR="00E93F58" w:rsidRPr="00A35C95" w:rsidRDefault="00E93F58" w:rsidP="00366AB5">
      <w:pPr>
        <w:pStyle w:val="paragraph"/>
        <w:tabs>
          <w:tab w:val="left" w:pos="2835"/>
        </w:tabs>
      </w:pPr>
      <w:r w:rsidRPr="00A35C95">
        <w:tab/>
        <w:t>(d)</w:t>
      </w:r>
      <w:r w:rsidRPr="00A35C95">
        <w:tab/>
        <w:t>any other relevant matter.</w:t>
      </w:r>
    </w:p>
    <w:p w14:paraId="12DEB5F9" w14:textId="77777777" w:rsidR="00E93F58" w:rsidRPr="00A35C95" w:rsidRDefault="00E93F58" w:rsidP="00366AB5">
      <w:pPr>
        <w:pStyle w:val="subsection"/>
        <w:tabs>
          <w:tab w:val="left" w:pos="2835"/>
        </w:tabs>
      </w:pPr>
      <w:r w:rsidRPr="00A35C95">
        <w:tab/>
        <w:t>(5)</w:t>
      </w:r>
      <w:r w:rsidRPr="00A35C95">
        <w:tab/>
        <w:t>If, under paragraph (3)(a), ASIC refuses to withdraw the infringement notice, the recipient may not make a further application under subregulation (1) in relation to that infringement notice.</w:t>
      </w:r>
    </w:p>
    <w:p w14:paraId="04F7CB4E" w14:textId="77777777" w:rsidR="00E93F58" w:rsidRPr="00A35C95" w:rsidRDefault="00E93F58" w:rsidP="00366AB5">
      <w:pPr>
        <w:pStyle w:val="subsection"/>
        <w:tabs>
          <w:tab w:val="left" w:pos="2835"/>
        </w:tabs>
      </w:pPr>
      <w:r w:rsidRPr="00A35C95">
        <w:tab/>
        <w:t>(6)</w:t>
      </w:r>
      <w:r w:rsidRPr="00A35C95">
        <w:tab/>
        <w:t>If ASIC has not withdrawn, or refused to withdraw, the infringement notice within 14 days after receiving the application, ASIC is taken to have refused to withdraw the infringement notice.</w:t>
      </w:r>
    </w:p>
    <w:p w14:paraId="313F2B81" w14:textId="77777777" w:rsidR="00E93F58" w:rsidRPr="00A35C95" w:rsidRDefault="00E93F58" w:rsidP="00366AB5">
      <w:pPr>
        <w:pStyle w:val="ActHead5"/>
        <w:tabs>
          <w:tab w:val="left" w:pos="2835"/>
        </w:tabs>
      </w:pPr>
      <w:bookmarkStart w:id="908" w:name="_Toc152058028"/>
      <w:bookmarkStart w:id="909" w:name="_Toc158712251"/>
      <w:r w:rsidRPr="00844D11">
        <w:rPr>
          <w:rStyle w:val="CharSectno"/>
        </w:rPr>
        <w:t>7.5A.112</w:t>
      </w:r>
      <w:r w:rsidRPr="00A35C95">
        <w:t xml:space="preserve">  Withdrawal of infringement notice by ASIC</w:t>
      </w:r>
      <w:bookmarkEnd w:id="908"/>
      <w:bookmarkEnd w:id="909"/>
    </w:p>
    <w:p w14:paraId="5F74C83B" w14:textId="77777777" w:rsidR="00E93F58" w:rsidRPr="00A35C95" w:rsidRDefault="00E93F58" w:rsidP="00366AB5">
      <w:pPr>
        <w:pStyle w:val="subsection"/>
        <w:tabs>
          <w:tab w:val="left" w:pos="2835"/>
        </w:tabs>
      </w:pPr>
      <w:r w:rsidRPr="00A35C95">
        <w:tab/>
        <w:t>(1)</w:t>
      </w:r>
      <w:r w:rsidRPr="00A35C95">
        <w:tab/>
        <w:t>ASIC may withdraw an infringement notice given by ASIC without an application under regulation 7.5A.111 having been made.</w:t>
      </w:r>
    </w:p>
    <w:p w14:paraId="1E326D81" w14:textId="77777777" w:rsidR="00E93F58" w:rsidRPr="00A35C95" w:rsidRDefault="00E93F58" w:rsidP="00366AB5">
      <w:pPr>
        <w:pStyle w:val="subsection"/>
        <w:tabs>
          <w:tab w:val="left" w:pos="2835"/>
        </w:tabs>
      </w:pPr>
      <w:r w:rsidRPr="00A35C95">
        <w:tab/>
        <w:t>(2)</w:t>
      </w:r>
      <w:r w:rsidRPr="00A35C95">
        <w:tab/>
        <w:t>Without limiting subregulation (1), ASIC may withdraw the infringement notice after taking into account a matter mentioned in paragraph 7.5A.111(4)(a), (b), (c) or (d).</w:t>
      </w:r>
    </w:p>
    <w:p w14:paraId="0F9FC130" w14:textId="77777777" w:rsidR="00E93F58" w:rsidRPr="00A35C95" w:rsidRDefault="00E93F58" w:rsidP="00366AB5">
      <w:pPr>
        <w:pStyle w:val="ActHead5"/>
        <w:tabs>
          <w:tab w:val="left" w:pos="2835"/>
        </w:tabs>
      </w:pPr>
      <w:bookmarkStart w:id="910" w:name="_Toc152058029"/>
      <w:bookmarkStart w:id="911" w:name="_Toc158712252"/>
      <w:r w:rsidRPr="00844D11">
        <w:rPr>
          <w:rStyle w:val="CharSectno"/>
        </w:rPr>
        <w:t>7.5A.113</w:t>
      </w:r>
      <w:r w:rsidRPr="00A35C95">
        <w:t xml:space="preserve">  Notice of withdrawal of infringement notice</w:t>
      </w:r>
      <w:bookmarkEnd w:id="910"/>
      <w:bookmarkEnd w:id="911"/>
    </w:p>
    <w:p w14:paraId="7EC3014F" w14:textId="77777777" w:rsidR="00E93F58" w:rsidRPr="00A35C95" w:rsidRDefault="00E93F58" w:rsidP="00366AB5">
      <w:pPr>
        <w:pStyle w:val="subsection"/>
        <w:tabs>
          <w:tab w:val="left" w:pos="2835"/>
        </w:tabs>
      </w:pPr>
      <w:r w:rsidRPr="00A35C95">
        <w:tab/>
        <w:t>(1)</w:t>
      </w:r>
      <w:r w:rsidRPr="00A35C95">
        <w:tab/>
        <w:t>A notice withdrawing an infringement notice must include the following information:</w:t>
      </w:r>
    </w:p>
    <w:p w14:paraId="1A1640B8" w14:textId="77777777" w:rsidR="00E93F58" w:rsidRPr="00A35C95" w:rsidRDefault="00E93F58" w:rsidP="00366AB5">
      <w:pPr>
        <w:pStyle w:val="paragraph"/>
        <w:tabs>
          <w:tab w:val="left" w:pos="2835"/>
        </w:tabs>
      </w:pPr>
      <w:r w:rsidRPr="00A35C95">
        <w:tab/>
        <w:t>(a)</w:t>
      </w:r>
      <w:r w:rsidRPr="00A35C95">
        <w:tab/>
        <w:t>the name and address of the recipient;</w:t>
      </w:r>
    </w:p>
    <w:p w14:paraId="62BD80A0" w14:textId="77777777" w:rsidR="00E93F58" w:rsidRPr="00A35C95" w:rsidRDefault="00E93F58" w:rsidP="00366AB5">
      <w:pPr>
        <w:pStyle w:val="paragraph"/>
        <w:tabs>
          <w:tab w:val="left" w:pos="2835"/>
        </w:tabs>
      </w:pPr>
      <w:r w:rsidRPr="00A35C95">
        <w:tab/>
        <w:t>(b)</w:t>
      </w:r>
      <w:r w:rsidRPr="00A35C95">
        <w:tab/>
        <w:t>the date the infringement notice was given;</w:t>
      </w:r>
    </w:p>
    <w:p w14:paraId="1AFC534B" w14:textId="77777777" w:rsidR="00E93F58" w:rsidRPr="00A35C95" w:rsidRDefault="00E93F58" w:rsidP="00366AB5">
      <w:pPr>
        <w:pStyle w:val="paragraph"/>
        <w:tabs>
          <w:tab w:val="left" w:pos="2835"/>
        </w:tabs>
      </w:pPr>
      <w:r w:rsidRPr="00A35C95">
        <w:tab/>
        <w:t>(c)</w:t>
      </w:r>
      <w:r w:rsidRPr="00A35C95">
        <w:tab/>
        <w:t>the infringement notice’s unique code.</w:t>
      </w:r>
    </w:p>
    <w:p w14:paraId="5D141D91" w14:textId="77777777" w:rsidR="00E93F58" w:rsidRPr="00A35C95" w:rsidRDefault="00E93F58" w:rsidP="00366AB5">
      <w:pPr>
        <w:pStyle w:val="subsection"/>
        <w:tabs>
          <w:tab w:val="left" w:pos="2835"/>
        </w:tabs>
      </w:pPr>
      <w:r w:rsidRPr="00A35C95">
        <w:tab/>
        <w:t>(2)</w:t>
      </w:r>
      <w:r w:rsidRPr="00A35C95">
        <w:tab/>
        <w:t>The notice must also state that the infringement notice is withdrawn.</w:t>
      </w:r>
    </w:p>
    <w:p w14:paraId="67BF1BCA" w14:textId="77777777" w:rsidR="00E93F58" w:rsidRPr="00A35C95" w:rsidRDefault="00E93F58" w:rsidP="00366AB5">
      <w:pPr>
        <w:pStyle w:val="ActHead5"/>
        <w:tabs>
          <w:tab w:val="left" w:pos="2835"/>
        </w:tabs>
      </w:pPr>
      <w:bookmarkStart w:id="912" w:name="_Toc152058030"/>
      <w:bookmarkStart w:id="913" w:name="_Toc158712253"/>
      <w:r w:rsidRPr="00844D11">
        <w:rPr>
          <w:rStyle w:val="CharSectno"/>
        </w:rPr>
        <w:t>7.5A.114</w:t>
      </w:r>
      <w:r w:rsidRPr="00A35C95">
        <w:t xml:space="preserve">  Withdrawal of notice after compliance</w:t>
      </w:r>
      <w:bookmarkEnd w:id="912"/>
      <w:bookmarkEnd w:id="913"/>
    </w:p>
    <w:p w14:paraId="299A059A" w14:textId="77777777" w:rsidR="00E93F58" w:rsidRPr="00A35C95" w:rsidRDefault="00E93F58" w:rsidP="00366AB5">
      <w:pPr>
        <w:pStyle w:val="subsection"/>
        <w:tabs>
          <w:tab w:val="left" w:pos="2835"/>
        </w:tabs>
      </w:pPr>
      <w:r w:rsidRPr="00A35C95">
        <w:tab/>
        <w:t>(1)</w:t>
      </w:r>
      <w:r w:rsidRPr="00A35C95">
        <w:tab/>
        <w:t>ASIC may withdraw an infringement notice after the recipient has complied with the infringement notice only if the recipient agrees, in writing, to the withdrawal.</w:t>
      </w:r>
    </w:p>
    <w:p w14:paraId="14D5AA08" w14:textId="77777777" w:rsidR="00E93F58" w:rsidRPr="00A35C95" w:rsidRDefault="00E93F58" w:rsidP="00366AB5">
      <w:pPr>
        <w:pStyle w:val="subsection"/>
        <w:tabs>
          <w:tab w:val="left" w:pos="2835"/>
        </w:tabs>
      </w:pPr>
      <w:r w:rsidRPr="00A35C95">
        <w:lastRenderedPageBreak/>
        <w:tab/>
        <w:t>(2)</w:t>
      </w:r>
      <w:r w:rsidRPr="00A35C95">
        <w:tab/>
        <w:t>If an infringement notice is withdrawn after the penalty specified in it (if any) has been paid, the Commonwealth must refund the amount of the penalty to the person who paid it.</w:t>
      </w:r>
    </w:p>
    <w:p w14:paraId="63E8BA83" w14:textId="77777777" w:rsidR="00E93F58" w:rsidRPr="00A35C95" w:rsidRDefault="00E93F58" w:rsidP="00366AB5">
      <w:pPr>
        <w:pStyle w:val="subsection"/>
        <w:tabs>
          <w:tab w:val="left" w:pos="2835"/>
        </w:tabs>
      </w:pPr>
      <w:r w:rsidRPr="00A35C95">
        <w:tab/>
        <w:t>(3)</w:t>
      </w:r>
      <w:r w:rsidRPr="00A35C95">
        <w:tab/>
        <w:t>If an infringement notice is withdrawn after the recipient has complied with a requirement specified in the infringement notice:</w:t>
      </w:r>
    </w:p>
    <w:p w14:paraId="724829F9" w14:textId="77777777" w:rsidR="00E93F58" w:rsidRPr="00A35C95" w:rsidRDefault="00E93F58" w:rsidP="00366AB5">
      <w:pPr>
        <w:pStyle w:val="paragraph"/>
        <w:tabs>
          <w:tab w:val="left" w:pos="2835"/>
        </w:tabs>
      </w:pPr>
      <w:r w:rsidRPr="00A35C95">
        <w:tab/>
        <w:t>(a)</w:t>
      </w:r>
      <w:r w:rsidRPr="00A35C95">
        <w:tab/>
        <w:t>to undertake or institute remedial measures; or</w:t>
      </w:r>
    </w:p>
    <w:p w14:paraId="557F355C" w14:textId="77777777" w:rsidR="00E93F58" w:rsidRPr="00A35C95" w:rsidRDefault="00E93F58" w:rsidP="00366AB5">
      <w:pPr>
        <w:pStyle w:val="paragraph"/>
        <w:tabs>
          <w:tab w:val="left" w:pos="2835"/>
        </w:tabs>
      </w:pPr>
      <w:r w:rsidRPr="00A35C95">
        <w:tab/>
        <w:t>(b)</w:t>
      </w:r>
      <w:r w:rsidRPr="00A35C95">
        <w:tab/>
        <w:t>to accept sanctions other than a payment of a penalty to the Commonwealth; or</w:t>
      </w:r>
    </w:p>
    <w:p w14:paraId="0C2EE6A9" w14:textId="77777777" w:rsidR="00E93F58" w:rsidRPr="00A35C95" w:rsidRDefault="00E93F58" w:rsidP="00366AB5">
      <w:pPr>
        <w:pStyle w:val="paragraph"/>
        <w:tabs>
          <w:tab w:val="left" w:pos="2835"/>
        </w:tabs>
      </w:pPr>
      <w:r w:rsidRPr="00A35C95">
        <w:tab/>
        <w:t>(c)</w:t>
      </w:r>
      <w:r w:rsidRPr="00A35C95">
        <w:tab/>
        <w:t>to enter into an undertaking;</w:t>
      </w:r>
    </w:p>
    <w:p w14:paraId="7E53ABDF" w14:textId="77777777" w:rsidR="00E93F58" w:rsidRPr="00A35C95" w:rsidRDefault="00E93F58" w:rsidP="00366AB5">
      <w:pPr>
        <w:pStyle w:val="subsection2"/>
        <w:tabs>
          <w:tab w:val="left" w:pos="2835"/>
        </w:tabs>
      </w:pPr>
      <w:r w:rsidRPr="00A35C95">
        <w:t>the remedial measures, sanctions or undertaking are taken to no longer be enforceable by ASIC.</w:t>
      </w:r>
    </w:p>
    <w:p w14:paraId="6AF578FA" w14:textId="77777777" w:rsidR="00E93F58" w:rsidRPr="00A35C95" w:rsidRDefault="00E93F58" w:rsidP="00366AB5">
      <w:pPr>
        <w:pStyle w:val="ActHead5"/>
        <w:tabs>
          <w:tab w:val="left" w:pos="2835"/>
        </w:tabs>
      </w:pPr>
      <w:bookmarkStart w:id="914" w:name="_Toc152058031"/>
      <w:bookmarkStart w:id="915" w:name="_Toc158712254"/>
      <w:r w:rsidRPr="00844D11">
        <w:rPr>
          <w:rStyle w:val="CharSectno"/>
        </w:rPr>
        <w:t>7.5A.115</w:t>
      </w:r>
      <w:r w:rsidRPr="00A35C95">
        <w:t xml:space="preserve">  Publication of details of infringement notice</w:t>
      </w:r>
      <w:bookmarkEnd w:id="914"/>
      <w:bookmarkEnd w:id="915"/>
    </w:p>
    <w:p w14:paraId="662F0F78" w14:textId="77777777" w:rsidR="00E93F58" w:rsidRPr="00A35C95" w:rsidRDefault="00E93F58" w:rsidP="00366AB5">
      <w:pPr>
        <w:pStyle w:val="subsection"/>
        <w:tabs>
          <w:tab w:val="left" w:pos="2835"/>
        </w:tabs>
      </w:pPr>
      <w:r w:rsidRPr="00A35C95">
        <w:tab/>
        <w:t>(1)</w:t>
      </w:r>
      <w:r w:rsidRPr="00A35C95">
        <w:tab/>
        <w:t>If ASIC gives an infringement notice to a recipient, ASIC may, at the end of the compliance period, publish details of the infringement notice.</w:t>
      </w:r>
    </w:p>
    <w:p w14:paraId="36716A27" w14:textId="77777777" w:rsidR="00E93F58" w:rsidRPr="00A35C95" w:rsidRDefault="00E93F58" w:rsidP="00366AB5">
      <w:pPr>
        <w:pStyle w:val="subsection"/>
        <w:tabs>
          <w:tab w:val="left" w:pos="2835"/>
        </w:tabs>
      </w:pPr>
      <w:r w:rsidRPr="00A35C95">
        <w:tab/>
        <w:t>(2)</w:t>
      </w:r>
      <w:r w:rsidRPr="00A35C95">
        <w:tab/>
        <w:t>If ASIC decides to publish details of the infringement notice, ASIC must publish the details in accordance with either or both of subregulations (3) and (4).</w:t>
      </w:r>
    </w:p>
    <w:p w14:paraId="380221CD" w14:textId="77777777" w:rsidR="00E93F58" w:rsidRPr="00A35C95" w:rsidRDefault="00E93F58" w:rsidP="00366AB5">
      <w:pPr>
        <w:pStyle w:val="subsection"/>
        <w:tabs>
          <w:tab w:val="left" w:pos="2835"/>
        </w:tabs>
      </w:pPr>
      <w:r w:rsidRPr="00A35C95">
        <w:tab/>
        <w:t>(3)</w:t>
      </w:r>
      <w:r w:rsidRPr="00A35C95">
        <w:tab/>
        <w:t xml:space="preserve">ASIC may publish details of an infringement notice by publishing in the </w:t>
      </w:r>
      <w:r w:rsidRPr="00A35C95">
        <w:rPr>
          <w:i/>
        </w:rPr>
        <w:t>Gazette</w:t>
      </w:r>
      <w:r w:rsidRPr="00A35C95">
        <w:t>:</w:t>
      </w:r>
    </w:p>
    <w:p w14:paraId="44D781D3" w14:textId="77777777" w:rsidR="00E93F58" w:rsidRPr="00A35C95" w:rsidRDefault="00E93F58" w:rsidP="00366AB5">
      <w:pPr>
        <w:pStyle w:val="paragraph"/>
        <w:tabs>
          <w:tab w:val="left" w:pos="2835"/>
        </w:tabs>
      </w:pPr>
      <w:r w:rsidRPr="00A35C95">
        <w:tab/>
        <w:t>(a)</w:t>
      </w:r>
      <w:r w:rsidRPr="00A35C95">
        <w:tab/>
        <w:t>a copy of the infringement notice; and</w:t>
      </w:r>
    </w:p>
    <w:p w14:paraId="1A9C5904" w14:textId="77777777" w:rsidR="00E93F58" w:rsidRPr="00A35C95" w:rsidRDefault="00E93F58" w:rsidP="00366AB5">
      <w:pPr>
        <w:pStyle w:val="paragraph"/>
        <w:tabs>
          <w:tab w:val="left" w:pos="2835"/>
        </w:tabs>
      </w:pPr>
      <w:r w:rsidRPr="00A35C95">
        <w:tab/>
        <w:t>(b)</w:t>
      </w:r>
      <w:r w:rsidRPr="00A35C95">
        <w:tab/>
        <w:t>the following statements:</w:t>
      </w:r>
    </w:p>
    <w:p w14:paraId="7B0FAE5D" w14:textId="77777777" w:rsidR="00E93F58" w:rsidRPr="00A35C95" w:rsidRDefault="00E93F58" w:rsidP="00366AB5">
      <w:pPr>
        <w:pStyle w:val="paragraphsub"/>
        <w:tabs>
          <w:tab w:val="left" w:pos="2835"/>
        </w:tabs>
      </w:pPr>
      <w:r w:rsidRPr="00A35C95">
        <w:tab/>
        <w:t>(i)</w:t>
      </w:r>
      <w:r w:rsidRPr="00A35C95">
        <w:tab/>
        <w:t>a statement as to whether the recipient has complied with the infringement notice;</w:t>
      </w:r>
    </w:p>
    <w:p w14:paraId="23A123AB" w14:textId="77777777" w:rsidR="00E93F58" w:rsidRPr="00A35C95" w:rsidRDefault="00E93F58" w:rsidP="00366AB5">
      <w:pPr>
        <w:pStyle w:val="paragraphsub"/>
        <w:tabs>
          <w:tab w:val="left" w:pos="2835"/>
        </w:tabs>
      </w:pPr>
      <w:r w:rsidRPr="00A35C95">
        <w:tab/>
        <w:t>(ii)</w:t>
      </w:r>
      <w:r w:rsidRPr="00A35C95">
        <w:tab/>
        <w:t>if the recipient has complied with the infringement notice, a statement that:</w:t>
      </w:r>
    </w:p>
    <w:p w14:paraId="77E21097" w14:textId="77777777" w:rsidR="00E93F58" w:rsidRPr="00A35C95" w:rsidRDefault="00E93F58" w:rsidP="00366AB5">
      <w:pPr>
        <w:pStyle w:val="paragraphsub-sub"/>
        <w:tabs>
          <w:tab w:val="left" w:pos="2835"/>
        </w:tabs>
      </w:pPr>
      <w:r w:rsidRPr="00A35C95">
        <w:tab/>
        <w:t>(A)</w:t>
      </w:r>
      <w:r w:rsidRPr="00A35C95">
        <w:tab/>
        <w:t>compliance is not an admission of guilt or liability; and</w:t>
      </w:r>
    </w:p>
    <w:p w14:paraId="36A356E9" w14:textId="77777777" w:rsidR="00E93F58" w:rsidRPr="00A35C95" w:rsidRDefault="00E93F58" w:rsidP="00366AB5">
      <w:pPr>
        <w:pStyle w:val="paragraphsub-sub"/>
        <w:tabs>
          <w:tab w:val="left" w:pos="2835"/>
        </w:tabs>
      </w:pPr>
      <w:r w:rsidRPr="00A35C95">
        <w:tab/>
        <w:t>(B)</w:t>
      </w:r>
      <w:r w:rsidRPr="00A35C95">
        <w:tab/>
        <w:t>the recipient is not taken to have contravened the rule;</w:t>
      </w:r>
    </w:p>
    <w:p w14:paraId="3349EB68" w14:textId="77777777" w:rsidR="00E93F58" w:rsidRPr="00A35C95" w:rsidRDefault="00E93F58" w:rsidP="00366AB5">
      <w:pPr>
        <w:pStyle w:val="paragraphsub"/>
        <w:tabs>
          <w:tab w:val="left" w:pos="2835"/>
        </w:tabs>
      </w:pPr>
      <w:r w:rsidRPr="00A35C95">
        <w:tab/>
        <w:t>(iii)</w:t>
      </w:r>
      <w:r w:rsidRPr="00A35C95">
        <w:tab/>
        <w:t>if the recipient has not complied with the infringement notice, a statement that:</w:t>
      </w:r>
    </w:p>
    <w:p w14:paraId="35D8C88D" w14:textId="77777777" w:rsidR="00E93F58" w:rsidRPr="00A35C95" w:rsidRDefault="00E93F58" w:rsidP="00366AB5">
      <w:pPr>
        <w:pStyle w:val="paragraphsub-sub"/>
        <w:tabs>
          <w:tab w:val="left" w:pos="2835"/>
        </w:tabs>
      </w:pPr>
      <w:r w:rsidRPr="00A35C95">
        <w:tab/>
        <w:t>(A)</w:t>
      </w:r>
      <w:r w:rsidRPr="00A35C95">
        <w:tab/>
        <w:t>the giving of an infringement notice to a recipient is only an allegation that the recipient has contravened the rule; and</w:t>
      </w:r>
    </w:p>
    <w:p w14:paraId="5892A5E8" w14:textId="77777777" w:rsidR="00E93F58" w:rsidRPr="00A35C95" w:rsidRDefault="00E93F58" w:rsidP="00366AB5">
      <w:pPr>
        <w:pStyle w:val="paragraphsub-sub"/>
        <w:tabs>
          <w:tab w:val="left" w:pos="2835"/>
        </w:tabs>
      </w:pPr>
      <w:r w:rsidRPr="00A35C95">
        <w:tab/>
        <w:t>(B)</w:t>
      </w:r>
      <w:r w:rsidRPr="00A35C95">
        <w:tab/>
        <w:t>the recipient is not taken to have contravened the rule.</w:t>
      </w:r>
    </w:p>
    <w:p w14:paraId="0CF3A993" w14:textId="77777777" w:rsidR="00E93F58" w:rsidRPr="00A35C95" w:rsidRDefault="00E93F58" w:rsidP="00366AB5">
      <w:pPr>
        <w:pStyle w:val="subsection"/>
        <w:tabs>
          <w:tab w:val="left" w:pos="2835"/>
        </w:tabs>
      </w:pPr>
      <w:r w:rsidRPr="00A35C95">
        <w:tab/>
        <w:t>(4)</w:t>
      </w:r>
      <w:r w:rsidRPr="00A35C95">
        <w:tab/>
        <w:t>ASIC may publish details of an infringement notice by issuing a written or oral statement that:</w:t>
      </w:r>
    </w:p>
    <w:p w14:paraId="7ABD1C47" w14:textId="77777777" w:rsidR="00E93F58" w:rsidRPr="00A35C95" w:rsidRDefault="00E93F58" w:rsidP="00366AB5">
      <w:pPr>
        <w:pStyle w:val="paragraph"/>
        <w:tabs>
          <w:tab w:val="left" w:pos="2835"/>
        </w:tabs>
      </w:pPr>
      <w:r w:rsidRPr="00A35C95">
        <w:tab/>
        <w:t>(a)</w:t>
      </w:r>
      <w:r w:rsidRPr="00A35C95">
        <w:tab/>
        <w:t>includes an accurate summary of the details of the infringement notice, including:</w:t>
      </w:r>
    </w:p>
    <w:p w14:paraId="43F2D29E" w14:textId="77777777" w:rsidR="00E93F58" w:rsidRPr="00A35C95" w:rsidRDefault="00E93F58" w:rsidP="00366AB5">
      <w:pPr>
        <w:pStyle w:val="paragraphsub"/>
        <w:tabs>
          <w:tab w:val="left" w:pos="2835"/>
        </w:tabs>
      </w:pPr>
      <w:r w:rsidRPr="00A35C95">
        <w:tab/>
        <w:t>(i)</w:t>
      </w:r>
      <w:r w:rsidRPr="00A35C95">
        <w:tab/>
        <w:t>the name of the recipient; and</w:t>
      </w:r>
    </w:p>
    <w:p w14:paraId="5586D6EE" w14:textId="77777777" w:rsidR="00E93F58" w:rsidRPr="00A35C95" w:rsidRDefault="00E93F58" w:rsidP="00366AB5">
      <w:pPr>
        <w:pStyle w:val="paragraphsub"/>
        <w:tabs>
          <w:tab w:val="left" w:pos="2835"/>
        </w:tabs>
      </w:pPr>
      <w:r w:rsidRPr="00A35C95">
        <w:tab/>
        <w:t>(ii)</w:t>
      </w:r>
      <w:r w:rsidRPr="00A35C95">
        <w:tab/>
        <w:t>the amount of the penalty specified in the infringement notice (if any); and</w:t>
      </w:r>
    </w:p>
    <w:p w14:paraId="30F05901" w14:textId="77777777" w:rsidR="00E93F58" w:rsidRPr="00A35C95" w:rsidRDefault="00E93F58" w:rsidP="00366AB5">
      <w:pPr>
        <w:pStyle w:val="paragraphsub"/>
        <w:tabs>
          <w:tab w:val="left" w:pos="2835"/>
        </w:tabs>
      </w:pPr>
      <w:r w:rsidRPr="00A35C95">
        <w:tab/>
        <w:t>(iii)</w:t>
      </w:r>
      <w:r w:rsidRPr="00A35C95">
        <w:tab/>
        <w:t>the remedial measures specified in the infringement notice (if any); and</w:t>
      </w:r>
    </w:p>
    <w:p w14:paraId="0F934E76" w14:textId="77777777" w:rsidR="00E93F58" w:rsidRPr="00A35C95" w:rsidRDefault="00E93F58" w:rsidP="00366AB5">
      <w:pPr>
        <w:pStyle w:val="paragraphsub"/>
        <w:tabs>
          <w:tab w:val="left" w:pos="2835"/>
        </w:tabs>
      </w:pPr>
      <w:r w:rsidRPr="00A35C95">
        <w:tab/>
        <w:t>(iv)</w:t>
      </w:r>
      <w:r w:rsidRPr="00A35C95">
        <w:tab/>
        <w:t>the sanctions specified in the infringement notice (if any); and</w:t>
      </w:r>
    </w:p>
    <w:p w14:paraId="2135C934" w14:textId="77777777" w:rsidR="00E93F58" w:rsidRPr="00A35C95" w:rsidRDefault="00E93F58" w:rsidP="00366AB5">
      <w:pPr>
        <w:pStyle w:val="paragraphsub"/>
        <w:tabs>
          <w:tab w:val="left" w:pos="2835"/>
        </w:tabs>
      </w:pPr>
      <w:r w:rsidRPr="00A35C95">
        <w:tab/>
        <w:t>(v)</w:t>
      </w:r>
      <w:r w:rsidRPr="00A35C95">
        <w:tab/>
        <w:t>the terms of an undertaking specified in the infringement notice (if any); and</w:t>
      </w:r>
    </w:p>
    <w:p w14:paraId="27749C8B" w14:textId="77777777" w:rsidR="00E93F58" w:rsidRPr="00A35C95" w:rsidRDefault="00E93F58" w:rsidP="00366AB5">
      <w:pPr>
        <w:pStyle w:val="paragraphsub"/>
        <w:tabs>
          <w:tab w:val="left" w:pos="2835"/>
        </w:tabs>
      </w:pPr>
      <w:r w:rsidRPr="00A35C95">
        <w:tab/>
        <w:t>(vi)</w:t>
      </w:r>
      <w:r w:rsidRPr="00A35C95">
        <w:tab/>
        <w:t>the conduct specified in the infringement notice as being the conduct that made up the alleged contravention of the rule; and</w:t>
      </w:r>
    </w:p>
    <w:p w14:paraId="3FA6535E" w14:textId="77777777" w:rsidR="00E93F58" w:rsidRPr="00A35C95" w:rsidRDefault="00E93F58" w:rsidP="00366AB5">
      <w:pPr>
        <w:pStyle w:val="paragraph"/>
        <w:tabs>
          <w:tab w:val="left" w:pos="2835"/>
        </w:tabs>
      </w:pPr>
      <w:r w:rsidRPr="00A35C95">
        <w:tab/>
        <w:t>(b)</w:t>
      </w:r>
      <w:r w:rsidRPr="00A35C95">
        <w:tab/>
        <w:t>includes the following statements:</w:t>
      </w:r>
    </w:p>
    <w:p w14:paraId="6AD912F0" w14:textId="77777777" w:rsidR="00E93F58" w:rsidRPr="00A35C95" w:rsidRDefault="00E93F58" w:rsidP="00366AB5">
      <w:pPr>
        <w:pStyle w:val="paragraphsub"/>
        <w:tabs>
          <w:tab w:val="left" w:pos="2835"/>
        </w:tabs>
      </w:pPr>
      <w:r w:rsidRPr="00A35C95">
        <w:tab/>
        <w:t>(i)</w:t>
      </w:r>
      <w:r w:rsidRPr="00A35C95">
        <w:tab/>
        <w:t>a statement as to whether the recipient has complied with the infringement notice;</w:t>
      </w:r>
    </w:p>
    <w:p w14:paraId="24B88091" w14:textId="77777777" w:rsidR="00E93F58" w:rsidRPr="00A35C95" w:rsidRDefault="00E93F58" w:rsidP="00366AB5">
      <w:pPr>
        <w:pStyle w:val="paragraphsub"/>
        <w:tabs>
          <w:tab w:val="left" w:pos="2835"/>
        </w:tabs>
      </w:pPr>
      <w:r w:rsidRPr="00A35C95">
        <w:tab/>
        <w:t>(ii)</w:t>
      </w:r>
      <w:r w:rsidRPr="00A35C95">
        <w:tab/>
        <w:t>if the recipient has complied with the infringement notice, a statement that:</w:t>
      </w:r>
    </w:p>
    <w:p w14:paraId="55290C6C" w14:textId="77777777" w:rsidR="00E93F58" w:rsidRPr="00A35C95" w:rsidRDefault="00E93F58" w:rsidP="00366AB5">
      <w:pPr>
        <w:pStyle w:val="paragraphsub-sub"/>
        <w:tabs>
          <w:tab w:val="left" w:pos="2835"/>
        </w:tabs>
      </w:pPr>
      <w:r w:rsidRPr="00A35C95">
        <w:tab/>
        <w:t>(A)</w:t>
      </w:r>
      <w:r w:rsidRPr="00A35C95">
        <w:tab/>
        <w:t>compliance is not an admission of guilt or liability; and</w:t>
      </w:r>
    </w:p>
    <w:p w14:paraId="22CE6B98" w14:textId="77777777" w:rsidR="00E93F58" w:rsidRPr="00A35C95" w:rsidRDefault="00E93F58" w:rsidP="00366AB5">
      <w:pPr>
        <w:pStyle w:val="paragraphsub-sub"/>
        <w:tabs>
          <w:tab w:val="left" w:pos="2835"/>
        </w:tabs>
      </w:pPr>
      <w:r w:rsidRPr="00A35C95">
        <w:tab/>
        <w:t>(B)</w:t>
      </w:r>
      <w:r w:rsidRPr="00A35C95">
        <w:tab/>
        <w:t>the recipient is not taken to have contravened the rule;</w:t>
      </w:r>
    </w:p>
    <w:p w14:paraId="64027052" w14:textId="77777777" w:rsidR="00E93F58" w:rsidRPr="00A35C95" w:rsidRDefault="00E93F58" w:rsidP="00366AB5">
      <w:pPr>
        <w:pStyle w:val="paragraphsub"/>
        <w:tabs>
          <w:tab w:val="left" w:pos="2835"/>
        </w:tabs>
      </w:pPr>
      <w:r w:rsidRPr="00A35C95">
        <w:tab/>
        <w:t>(iii)</w:t>
      </w:r>
      <w:r w:rsidRPr="00A35C95">
        <w:tab/>
        <w:t>if the recipient has not complied with the infringement notice, a statement that:</w:t>
      </w:r>
    </w:p>
    <w:p w14:paraId="4C9BEC47" w14:textId="77777777" w:rsidR="00E93F58" w:rsidRPr="00A35C95" w:rsidRDefault="00E93F58" w:rsidP="00366AB5">
      <w:pPr>
        <w:pStyle w:val="paragraphsub-sub"/>
        <w:tabs>
          <w:tab w:val="left" w:pos="2835"/>
        </w:tabs>
      </w:pPr>
      <w:r w:rsidRPr="00A35C95">
        <w:tab/>
        <w:t>(A)</w:t>
      </w:r>
      <w:r w:rsidRPr="00A35C95">
        <w:tab/>
        <w:t>the giving of an infringement notice to a recipient is only an allegation that the recipient has contravened the rule; and</w:t>
      </w:r>
    </w:p>
    <w:p w14:paraId="14C44E9D" w14:textId="77777777" w:rsidR="00E93F58" w:rsidRPr="00A35C95" w:rsidRDefault="00E93F58" w:rsidP="00366AB5">
      <w:pPr>
        <w:pStyle w:val="paragraphsub-sub"/>
        <w:tabs>
          <w:tab w:val="left" w:pos="2835"/>
        </w:tabs>
      </w:pPr>
      <w:r w:rsidRPr="00A35C95">
        <w:tab/>
        <w:t>(B)</w:t>
      </w:r>
      <w:r w:rsidRPr="00A35C95">
        <w:tab/>
        <w:t>the recipient is not taken to have contravened the rule.</w:t>
      </w:r>
    </w:p>
    <w:p w14:paraId="4A08A950" w14:textId="77777777" w:rsidR="00E93F58" w:rsidRPr="00A35C95" w:rsidRDefault="00E93F58" w:rsidP="00366AB5">
      <w:pPr>
        <w:pStyle w:val="ActHead3"/>
        <w:pageBreakBefore/>
        <w:tabs>
          <w:tab w:val="left" w:pos="2835"/>
        </w:tabs>
      </w:pPr>
      <w:bookmarkStart w:id="916" w:name="_Toc152058032"/>
      <w:bookmarkStart w:id="917" w:name="_Toc158712255"/>
      <w:r w:rsidRPr="00844D11">
        <w:rPr>
          <w:rStyle w:val="CharDivNo"/>
        </w:rPr>
        <w:lastRenderedPageBreak/>
        <w:t>Division 5</w:t>
      </w:r>
      <w:r w:rsidRPr="00A35C95">
        <w:t>—</w:t>
      </w:r>
      <w:r w:rsidRPr="00844D11">
        <w:rPr>
          <w:rStyle w:val="CharDivText"/>
        </w:rPr>
        <w:t>Regulation of licensed derivative trade repositories: other obligations and powers</w:t>
      </w:r>
      <w:bookmarkEnd w:id="916"/>
      <w:bookmarkEnd w:id="917"/>
    </w:p>
    <w:p w14:paraId="49543874" w14:textId="77777777" w:rsidR="00E93F58" w:rsidRPr="00A35C95" w:rsidRDefault="00E93F58" w:rsidP="00366AB5">
      <w:pPr>
        <w:pStyle w:val="ActHead5"/>
        <w:tabs>
          <w:tab w:val="left" w:pos="2835"/>
        </w:tabs>
      </w:pPr>
      <w:bookmarkStart w:id="918" w:name="_Toc152058033"/>
      <w:bookmarkStart w:id="919" w:name="_Toc158712256"/>
      <w:r w:rsidRPr="00844D11">
        <w:rPr>
          <w:rStyle w:val="CharSectno"/>
        </w:rPr>
        <w:t>7.5A.150</w:t>
      </w:r>
      <w:r w:rsidRPr="00A35C95">
        <w:t xml:space="preserve">  Obligations and powers—confidential information</w:t>
      </w:r>
      <w:bookmarkEnd w:id="918"/>
      <w:bookmarkEnd w:id="919"/>
    </w:p>
    <w:p w14:paraId="3F06A48A" w14:textId="77777777" w:rsidR="00E93F58" w:rsidRPr="00A35C95" w:rsidRDefault="00E93F58" w:rsidP="00366AB5">
      <w:pPr>
        <w:pStyle w:val="subsection"/>
        <w:tabs>
          <w:tab w:val="left" w:pos="2835"/>
        </w:tabs>
      </w:pPr>
      <w:r w:rsidRPr="00A35C95">
        <w:tab/>
        <w:t>(1)</w:t>
      </w:r>
      <w:r w:rsidRPr="00A35C95">
        <w:tab/>
        <w:t>This regulation is made for subsection 903A(5) of the Act and applies to information given to ASIC, by the operator (or an officer of the operator) of a licensed derivative trade repository, under a provision of:</w:t>
      </w:r>
    </w:p>
    <w:p w14:paraId="7CE31945" w14:textId="77777777" w:rsidR="00E93F58" w:rsidRPr="00A35C95" w:rsidRDefault="00E93F58" w:rsidP="00366AB5">
      <w:pPr>
        <w:pStyle w:val="paragraph"/>
        <w:tabs>
          <w:tab w:val="left" w:pos="2835"/>
        </w:tabs>
      </w:pPr>
      <w:r w:rsidRPr="00A35C95">
        <w:tab/>
        <w:t>(a)</w:t>
      </w:r>
      <w:r w:rsidRPr="00A35C95">
        <w:tab/>
        <w:t>Part 7.5A of the Act; or</w:t>
      </w:r>
    </w:p>
    <w:p w14:paraId="2F4D75C9" w14:textId="77777777" w:rsidR="00E93F58" w:rsidRPr="00A35C95" w:rsidRDefault="00E93F58" w:rsidP="00366AB5">
      <w:pPr>
        <w:pStyle w:val="paragraph"/>
        <w:tabs>
          <w:tab w:val="left" w:pos="2835"/>
        </w:tabs>
      </w:pPr>
      <w:r w:rsidRPr="00A35C95">
        <w:tab/>
        <w:t>(b)</w:t>
      </w:r>
      <w:r w:rsidRPr="00A35C95">
        <w:tab/>
        <w:t>the regulations made for that Part; or</w:t>
      </w:r>
    </w:p>
    <w:p w14:paraId="49AC7477" w14:textId="77777777" w:rsidR="00E93F58" w:rsidRPr="00A35C95" w:rsidRDefault="00E93F58" w:rsidP="00366AB5">
      <w:pPr>
        <w:pStyle w:val="paragraph"/>
        <w:tabs>
          <w:tab w:val="left" w:pos="2835"/>
        </w:tabs>
      </w:pPr>
      <w:r w:rsidRPr="00A35C95">
        <w:tab/>
        <w:t>(c)</w:t>
      </w:r>
      <w:r w:rsidRPr="00A35C95">
        <w:tab/>
        <w:t>the derivative transaction rules or derivative trade repository rules.</w:t>
      </w:r>
    </w:p>
    <w:p w14:paraId="77FCC7E7" w14:textId="77777777" w:rsidR="00E93F58" w:rsidRPr="00A35C95" w:rsidRDefault="00E93F58" w:rsidP="00366AB5">
      <w:pPr>
        <w:pStyle w:val="subsection"/>
        <w:tabs>
          <w:tab w:val="left" w:pos="2835"/>
        </w:tabs>
        <w:rPr>
          <w:iCs/>
        </w:rPr>
      </w:pPr>
      <w:r w:rsidRPr="00A35C95">
        <w:tab/>
        <w:t>(2)</w:t>
      </w:r>
      <w:r w:rsidRPr="00A35C95">
        <w:tab/>
        <w:t xml:space="preserve">The information is taken, for the purpose of section 127 (confidentiality) of the ASIC Act, to be given to ASIC in confidence in connection with the performance of ASIC’s functions under the Act, </w:t>
      </w:r>
      <w:r w:rsidRPr="00A35C95">
        <w:rPr>
          <w:iCs/>
        </w:rPr>
        <w:t>unless:</w:t>
      </w:r>
    </w:p>
    <w:p w14:paraId="378DDE7B" w14:textId="77777777" w:rsidR="00E93F58" w:rsidRPr="00A35C95" w:rsidRDefault="00E93F58" w:rsidP="00366AB5">
      <w:pPr>
        <w:pStyle w:val="paragraph"/>
        <w:tabs>
          <w:tab w:val="left" w:pos="2835"/>
        </w:tabs>
      </w:pPr>
      <w:r w:rsidRPr="00A35C95">
        <w:tab/>
        <w:t>(a)</w:t>
      </w:r>
      <w:r w:rsidRPr="00A35C95">
        <w:tab/>
        <w:t>the information has been made publicly available in accordance with the provisions mentioned in paragraph (1)(a), (b) or (c); or</w:t>
      </w:r>
    </w:p>
    <w:p w14:paraId="589CEE5F" w14:textId="77777777" w:rsidR="00E93F58" w:rsidRPr="00A35C95" w:rsidRDefault="00E93F58" w:rsidP="00366AB5">
      <w:pPr>
        <w:pStyle w:val="paragraph"/>
        <w:tabs>
          <w:tab w:val="left" w:pos="2835"/>
        </w:tabs>
      </w:pPr>
      <w:r w:rsidRPr="00A35C95">
        <w:tab/>
        <w:t>(b)</w:t>
      </w:r>
      <w:r w:rsidRPr="00A35C95">
        <w:tab/>
        <w:t>a law requires or permits the information to be released.</w:t>
      </w:r>
    </w:p>
    <w:p w14:paraId="17719C9D" w14:textId="77777777" w:rsidR="00E93F58" w:rsidRPr="00A35C95" w:rsidRDefault="00E93F58" w:rsidP="00366AB5">
      <w:pPr>
        <w:pStyle w:val="ActHead5"/>
        <w:tabs>
          <w:tab w:val="left" w:pos="2835"/>
        </w:tabs>
      </w:pPr>
      <w:bookmarkStart w:id="920" w:name="_Toc152058034"/>
      <w:bookmarkStart w:id="921" w:name="_Toc158712257"/>
      <w:r w:rsidRPr="00844D11">
        <w:rPr>
          <w:rStyle w:val="CharSectno"/>
        </w:rPr>
        <w:t>7.5A.150A</w:t>
      </w:r>
      <w:r w:rsidRPr="00A35C95">
        <w:t xml:space="preserve">  European Union requests for derivative trade data</w:t>
      </w:r>
      <w:bookmarkEnd w:id="920"/>
      <w:bookmarkEnd w:id="921"/>
    </w:p>
    <w:p w14:paraId="7C91EE4D" w14:textId="77777777" w:rsidR="00E93F58" w:rsidRPr="00A35C95" w:rsidRDefault="00E93F58" w:rsidP="00366AB5">
      <w:pPr>
        <w:pStyle w:val="subsection"/>
        <w:tabs>
          <w:tab w:val="left" w:pos="2835"/>
        </w:tabs>
      </w:pPr>
      <w:r w:rsidRPr="00A35C95">
        <w:tab/>
        <w:t>(1)</w:t>
      </w:r>
      <w:r w:rsidRPr="00A35C95">
        <w:tab/>
        <w:t>For paragraph 904B(2)(d) of the Act, the persons or bodies mentioned in Article 81(3)(a) to (e), (g), (h) and (j) of Regulation (EU) No 648/2012 of the European Parliament and the Council of the European Union, dated 4 July 2012, may request a derivative trade repository licensee to provide the person or body with derivative trade data that is retained in the derivative trade repository.</w:t>
      </w:r>
    </w:p>
    <w:p w14:paraId="056FF3D1" w14:textId="77777777" w:rsidR="00E93F58" w:rsidRPr="00A35C95" w:rsidRDefault="00E93F58" w:rsidP="00366AB5">
      <w:pPr>
        <w:pStyle w:val="subsection"/>
        <w:tabs>
          <w:tab w:val="left" w:pos="2835"/>
        </w:tabs>
      </w:pPr>
      <w:r w:rsidRPr="00A35C95">
        <w:tab/>
        <w:t>(2)</w:t>
      </w:r>
      <w:r w:rsidRPr="00A35C95">
        <w:tab/>
        <w:t>For subsection 904B(4) of the Act, information must not be included in derivative trade data provided in response to a request under subregulation (1) unless:</w:t>
      </w:r>
    </w:p>
    <w:p w14:paraId="32E94582" w14:textId="77777777" w:rsidR="00E93F58" w:rsidRPr="00A35C95" w:rsidRDefault="00E93F58" w:rsidP="00366AB5">
      <w:pPr>
        <w:pStyle w:val="paragraph"/>
        <w:tabs>
          <w:tab w:val="left" w:pos="2835"/>
        </w:tabs>
      </w:pPr>
      <w:r w:rsidRPr="00A35C95">
        <w:tab/>
        <w:t>(a)</w:t>
      </w:r>
      <w:r w:rsidRPr="00A35C95">
        <w:tab/>
        <w:t>the information relates to a transaction or position that is required to be reported under either of the following:</w:t>
      </w:r>
    </w:p>
    <w:p w14:paraId="3A1C68FD" w14:textId="77777777" w:rsidR="00E93F58" w:rsidRPr="00A35C95" w:rsidRDefault="00E93F58" w:rsidP="00366AB5">
      <w:pPr>
        <w:pStyle w:val="paragraphsub"/>
        <w:tabs>
          <w:tab w:val="left" w:pos="2835"/>
        </w:tabs>
      </w:pPr>
      <w:r w:rsidRPr="00A35C95">
        <w:tab/>
        <w:t>(i)</w:t>
      </w:r>
      <w:r w:rsidRPr="00A35C95">
        <w:tab/>
        <w:t xml:space="preserve">rules made under paragraph 901A(2)(b) of the </w:t>
      </w:r>
      <w:r w:rsidRPr="00A35C95">
        <w:rPr>
          <w:i/>
        </w:rPr>
        <w:t>Corporations Act 2001</w:t>
      </w:r>
      <w:r w:rsidRPr="00A35C95">
        <w:t>;</w:t>
      </w:r>
    </w:p>
    <w:p w14:paraId="6EF486CD" w14:textId="77777777" w:rsidR="00E93F58" w:rsidRPr="00A35C95" w:rsidRDefault="00E93F58" w:rsidP="00366AB5">
      <w:pPr>
        <w:pStyle w:val="paragraphsub"/>
        <w:tabs>
          <w:tab w:val="left" w:pos="2835"/>
        </w:tabs>
      </w:pPr>
      <w:r w:rsidRPr="00A35C95">
        <w:tab/>
        <w:t>(ii)</w:t>
      </w:r>
      <w:r w:rsidRPr="00A35C95">
        <w:tab/>
        <w:t xml:space="preserve">the conditions of an exemption given under section 907D of the </w:t>
      </w:r>
      <w:r w:rsidRPr="00A35C95">
        <w:rPr>
          <w:i/>
        </w:rPr>
        <w:t>Corporations Act 2001</w:t>
      </w:r>
      <w:r w:rsidRPr="00A35C95">
        <w:t>; and</w:t>
      </w:r>
    </w:p>
    <w:p w14:paraId="35E45EF5" w14:textId="77777777" w:rsidR="00E93F58" w:rsidRPr="00A35C95" w:rsidRDefault="00E93F58" w:rsidP="00366AB5">
      <w:pPr>
        <w:pStyle w:val="paragraph"/>
        <w:tabs>
          <w:tab w:val="left" w:pos="2835"/>
        </w:tabs>
      </w:pPr>
      <w:r w:rsidRPr="00A35C95">
        <w:tab/>
        <w:t>(b)</w:t>
      </w:r>
      <w:r w:rsidRPr="00A35C95">
        <w:tab/>
        <w:t>subregulation (3) or (4) applies.</w:t>
      </w:r>
    </w:p>
    <w:p w14:paraId="151BB9D8" w14:textId="77777777" w:rsidR="00E93F58" w:rsidRPr="00A35C95" w:rsidRDefault="00E93F58" w:rsidP="00366AB5">
      <w:pPr>
        <w:pStyle w:val="subsection"/>
        <w:tabs>
          <w:tab w:val="left" w:pos="2835"/>
        </w:tabs>
      </w:pPr>
      <w:r w:rsidRPr="00A35C95">
        <w:tab/>
        <w:t>(3)</w:t>
      </w:r>
      <w:r w:rsidRPr="00A35C95">
        <w:tab/>
        <w:t>This subregulation applies if the information relates to a transaction or position that would, but for mutual regulatory recognition arrangements, be required to be reported under one or more of the following:</w:t>
      </w:r>
    </w:p>
    <w:p w14:paraId="63B548F7" w14:textId="77777777" w:rsidR="00E93F58" w:rsidRPr="00A35C95" w:rsidRDefault="00E93F58" w:rsidP="00366AB5">
      <w:pPr>
        <w:pStyle w:val="paragraph"/>
        <w:tabs>
          <w:tab w:val="left" w:pos="2835"/>
        </w:tabs>
      </w:pPr>
      <w:r w:rsidRPr="00A35C95">
        <w:tab/>
        <w:t>(a)</w:t>
      </w:r>
      <w:r w:rsidRPr="00A35C95">
        <w:tab/>
        <w:t>Regulation (EU) No 648/2012 of the European Parliament and the Council of the European Union dated 4 July 2012;</w:t>
      </w:r>
    </w:p>
    <w:p w14:paraId="3CBD2018" w14:textId="77777777" w:rsidR="00E93F58" w:rsidRPr="00A35C95" w:rsidRDefault="00E93F58" w:rsidP="00366AB5">
      <w:pPr>
        <w:pStyle w:val="paragraph"/>
        <w:tabs>
          <w:tab w:val="left" w:pos="2835"/>
        </w:tabs>
      </w:pPr>
      <w:r w:rsidRPr="00A35C95">
        <w:tab/>
        <w:t>(b)</w:t>
      </w:r>
      <w:r w:rsidRPr="00A35C95">
        <w:tab/>
        <w:t>Commission Implementing Regulation (EU) No 1247/2012 of the European Parliament and the Council of the European Union, dated 19 December 2012;</w:t>
      </w:r>
    </w:p>
    <w:p w14:paraId="3E8515EE" w14:textId="77777777" w:rsidR="00E93F58" w:rsidRPr="00A35C95" w:rsidRDefault="00E93F58" w:rsidP="00366AB5">
      <w:pPr>
        <w:pStyle w:val="paragraph"/>
        <w:tabs>
          <w:tab w:val="left" w:pos="2835"/>
        </w:tabs>
      </w:pPr>
      <w:r w:rsidRPr="00A35C95">
        <w:tab/>
        <w:t>(c)</w:t>
      </w:r>
      <w:r w:rsidRPr="00A35C95">
        <w:tab/>
        <w:t>Commission Delegated Regulation (EU) No 148/2013 of the European Commission, dated 19 December 2012.</w:t>
      </w:r>
    </w:p>
    <w:p w14:paraId="12A723CE" w14:textId="77777777" w:rsidR="00E93F58" w:rsidRPr="00A35C95" w:rsidRDefault="00E93F58" w:rsidP="00366AB5">
      <w:pPr>
        <w:pStyle w:val="subsection"/>
        <w:tabs>
          <w:tab w:val="left" w:pos="2835"/>
        </w:tabs>
      </w:pPr>
      <w:r w:rsidRPr="00A35C95">
        <w:tab/>
        <w:t>(4)</w:t>
      </w:r>
      <w:r w:rsidRPr="00A35C95">
        <w:tab/>
        <w:t>This subregulation applies if the information:</w:t>
      </w:r>
    </w:p>
    <w:p w14:paraId="31154F3B" w14:textId="77777777" w:rsidR="00E93F58" w:rsidRPr="00A35C95" w:rsidRDefault="00E93F58" w:rsidP="00366AB5">
      <w:pPr>
        <w:pStyle w:val="paragraph"/>
        <w:tabs>
          <w:tab w:val="left" w:pos="2835"/>
        </w:tabs>
      </w:pPr>
      <w:r w:rsidRPr="00A35C95">
        <w:tab/>
        <w:t>(a)</w:t>
      </w:r>
      <w:r w:rsidRPr="00A35C95">
        <w:tab/>
        <w:t>relates to a European Union or European Economic Area underlying asset, index, rate or currency; and</w:t>
      </w:r>
    </w:p>
    <w:p w14:paraId="198D6985" w14:textId="77777777" w:rsidR="00E93F58" w:rsidRPr="00A35C95" w:rsidRDefault="00E93F58" w:rsidP="00366AB5">
      <w:pPr>
        <w:pStyle w:val="paragraph"/>
        <w:tabs>
          <w:tab w:val="left" w:pos="2835"/>
        </w:tabs>
      </w:pPr>
      <w:r w:rsidRPr="00A35C95">
        <w:tab/>
        <w:t>(b)</w:t>
      </w:r>
      <w:r w:rsidRPr="00A35C95">
        <w:tab/>
        <w:t>is not covered by subregulation (3).</w:t>
      </w:r>
    </w:p>
    <w:p w14:paraId="6115DA0C" w14:textId="77777777" w:rsidR="00E93F58" w:rsidRPr="00A35C95" w:rsidRDefault="00E93F58" w:rsidP="00366AB5">
      <w:pPr>
        <w:pStyle w:val="ActHead5"/>
        <w:tabs>
          <w:tab w:val="left" w:pos="2835"/>
        </w:tabs>
      </w:pPr>
      <w:bookmarkStart w:id="922" w:name="_Toc152058035"/>
      <w:bookmarkStart w:id="923" w:name="_Toc158712258"/>
      <w:r w:rsidRPr="00844D11">
        <w:rPr>
          <w:rStyle w:val="CharSectno"/>
        </w:rPr>
        <w:t>7.5A.150B</w:t>
      </w:r>
      <w:r w:rsidRPr="00A35C95">
        <w:t xml:space="preserve">  Other requests for derivative trade data</w:t>
      </w:r>
      <w:bookmarkEnd w:id="922"/>
      <w:bookmarkEnd w:id="923"/>
    </w:p>
    <w:p w14:paraId="1E5AEA2F" w14:textId="77777777" w:rsidR="00E93F58" w:rsidRPr="00A35C95" w:rsidRDefault="00E93F58" w:rsidP="00366AB5">
      <w:pPr>
        <w:pStyle w:val="subsection"/>
        <w:tabs>
          <w:tab w:val="left" w:pos="2835"/>
        </w:tabs>
      </w:pPr>
      <w:r w:rsidRPr="00A35C95">
        <w:tab/>
        <w:t>(1)</w:t>
      </w:r>
      <w:r w:rsidRPr="00A35C95">
        <w:tab/>
        <w:t>For paragraph 904B(2)(d) of the Act, each of the following persons or bodies may request a derivative trade repository licensee to provide it with derivative trade data that is retained in the derivative trade repository:</w:t>
      </w:r>
    </w:p>
    <w:p w14:paraId="20D6CF2A" w14:textId="77777777" w:rsidR="00E93F58" w:rsidRPr="00A35C95" w:rsidRDefault="00E93F58" w:rsidP="00366AB5">
      <w:pPr>
        <w:pStyle w:val="paragraph"/>
        <w:tabs>
          <w:tab w:val="left" w:pos="2835"/>
        </w:tabs>
      </w:pPr>
      <w:r w:rsidRPr="00A35C95">
        <w:tab/>
        <w:t>(a)</w:t>
      </w:r>
      <w:r w:rsidRPr="00A35C95">
        <w:tab/>
        <w:t>the Bank of England;</w:t>
      </w:r>
    </w:p>
    <w:p w14:paraId="6BD639AC" w14:textId="77777777" w:rsidR="00E93F58" w:rsidRPr="00A35C95" w:rsidRDefault="00E93F58" w:rsidP="00366AB5">
      <w:pPr>
        <w:pStyle w:val="paragraph"/>
        <w:tabs>
          <w:tab w:val="left" w:pos="2835"/>
        </w:tabs>
      </w:pPr>
      <w:r w:rsidRPr="00A35C95">
        <w:tab/>
        <w:t>(b)</w:t>
      </w:r>
      <w:r w:rsidRPr="00A35C95">
        <w:tab/>
        <w:t>the Financial Conduct Authority of the United Kingdom;</w:t>
      </w:r>
    </w:p>
    <w:p w14:paraId="146F7D43" w14:textId="77777777" w:rsidR="00E93F58" w:rsidRPr="00A35C95" w:rsidRDefault="00E93F58" w:rsidP="00366AB5">
      <w:pPr>
        <w:pStyle w:val="paragraph"/>
        <w:tabs>
          <w:tab w:val="left" w:pos="2835"/>
        </w:tabs>
      </w:pPr>
      <w:r w:rsidRPr="00A35C95">
        <w:tab/>
        <w:t>(c)</w:t>
      </w:r>
      <w:r w:rsidRPr="00A35C95">
        <w:tab/>
        <w:t>the Monetary Authority of Singapore.</w:t>
      </w:r>
    </w:p>
    <w:p w14:paraId="14253DE6" w14:textId="77777777" w:rsidR="00E93F58" w:rsidRPr="00A35C95" w:rsidRDefault="00E93F58" w:rsidP="00366AB5">
      <w:pPr>
        <w:pStyle w:val="subsection"/>
        <w:tabs>
          <w:tab w:val="left" w:pos="2835"/>
        </w:tabs>
      </w:pPr>
      <w:r w:rsidRPr="00A35C95">
        <w:tab/>
        <w:t>(2)</w:t>
      </w:r>
      <w:r w:rsidRPr="00A35C95">
        <w:tab/>
        <w:t>A request under subregulation (1) must be made in accordance with the standards set out in the report “Authorities’ access to trade repository data”:</w:t>
      </w:r>
    </w:p>
    <w:p w14:paraId="73C449C3" w14:textId="77777777" w:rsidR="00E93F58" w:rsidRPr="00A35C95" w:rsidRDefault="00E93F58" w:rsidP="00366AB5">
      <w:pPr>
        <w:pStyle w:val="paragraph"/>
        <w:tabs>
          <w:tab w:val="left" w:pos="2835"/>
        </w:tabs>
      </w:pPr>
      <w:r w:rsidRPr="00A35C95">
        <w:tab/>
        <w:t>(a)</w:t>
      </w:r>
      <w:r w:rsidRPr="00A35C95">
        <w:tab/>
        <w:t xml:space="preserve">issued jointly by the Committee on Payment and Settlement Systems (the </w:t>
      </w:r>
      <w:r w:rsidRPr="00A35C95">
        <w:rPr>
          <w:b/>
          <w:i/>
        </w:rPr>
        <w:t>CPSS</w:t>
      </w:r>
      <w:r w:rsidRPr="00A35C95">
        <w:t xml:space="preserve">) and the International Organization of Securities Commissions (the </w:t>
      </w:r>
      <w:r w:rsidRPr="00A35C95">
        <w:rPr>
          <w:b/>
          <w:i/>
        </w:rPr>
        <w:t>IOSCO</w:t>
      </w:r>
      <w:r w:rsidRPr="00A35C95">
        <w:t>); and</w:t>
      </w:r>
    </w:p>
    <w:p w14:paraId="4C4EBA4C" w14:textId="77777777" w:rsidR="00E93F58" w:rsidRPr="00A35C95" w:rsidRDefault="00E93F58" w:rsidP="00366AB5">
      <w:pPr>
        <w:pStyle w:val="paragraph"/>
        <w:tabs>
          <w:tab w:val="left" w:pos="2835"/>
        </w:tabs>
      </w:pPr>
      <w:r w:rsidRPr="00A35C95">
        <w:tab/>
        <w:t>(b)</w:t>
      </w:r>
      <w:r w:rsidRPr="00A35C95">
        <w:tab/>
        <w:t>as supplemented, superseded or modified from time to time by principles, recommendations or standards issued by the CPSS or IOSCO (or a successor of the CPSS or IOSCO).</w:t>
      </w:r>
    </w:p>
    <w:p w14:paraId="034DC437" w14:textId="77777777" w:rsidR="00E93F58" w:rsidRPr="00A35C95" w:rsidRDefault="00E93F58" w:rsidP="00366AB5">
      <w:pPr>
        <w:pStyle w:val="subsection"/>
        <w:tabs>
          <w:tab w:val="left" w:pos="2835"/>
        </w:tabs>
      </w:pPr>
      <w:r w:rsidRPr="00A35C95">
        <w:lastRenderedPageBreak/>
        <w:tab/>
        <w:t>(3)</w:t>
      </w:r>
      <w:r w:rsidRPr="00A35C95">
        <w:tab/>
        <w:t>If part of a request under subregulation (1) is made in accordance with the standards mentioned in subregulation (2), the part is taken to be a request for the purpose of this regulation.</w:t>
      </w:r>
    </w:p>
    <w:p w14:paraId="596D13D9" w14:textId="77777777" w:rsidR="00E93F58" w:rsidRPr="00A35C95" w:rsidRDefault="00E93F58" w:rsidP="00366AB5">
      <w:pPr>
        <w:pStyle w:val="subsection"/>
        <w:tabs>
          <w:tab w:val="left" w:pos="2835"/>
        </w:tabs>
      </w:pPr>
      <w:r w:rsidRPr="00A35C95">
        <w:tab/>
        <w:t>(4)</w:t>
      </w:r>
      <w:r w:rsidRPr="00A35C95">
        <w:tab/>
        <w:t>For subsection 904B(4) of the Act, information must not be included in derivative trade data provided to a person or body in response to a request under subregulation (1) unless:</w:t>
      </w:r>
    </w:p>
    <w:p w14:paraId="489F4992" w14:textId="77777777" w:rsidR="00E93F58" w:rsidRPr="00A35C95" w:rsidRDefault="00E93F58" w:rsidP="00366AB5">
      <w:pPr>
        <w:pStyle w:val="paragraph"/>
        <w:tabs>
          <w:tab w:val="left" w:pos="2835"/>
        </w:tabs>
      </w:pPr>
      <w:r w:rsidRPr="00A35C95">
        <w:tab/>
        <w:t>(a)</w:t>
      </w:r>
      <w:r w:rsidRPr="00A35C95">
        <w:tab/>
        <w:t>the information relates to a transaction or position that is required to be reported under either of the following:</w:t>
      </w:r>
    </w:p>
    <w:p w14:paraId="21D63970" w14:textId="77777777" w:rsidR="00E93F58" w:rsidRPr="00A35C95" w:rsidRDefault="00E93F58" w:rsidP="00366AB5">
      <w:pPr>
        <w:pStyle w:val="paragraphsub"/>
        <w:tabs>
          <w:tab w:val="left" w:pos="2835"/>
        </w:tabs>
      </w:pPr>
      <w:r w:rsidRPr="00A35C95">
        <w:tab/>
        <w:t>(i)</w:t>
      </w:r>
      <w:r w:rsidRPr="00A35C95">
        <w:tab/>
        <w:t xml:space="preserve">rules made under paragraph 901A(2)(b) of the </w:t>
      </w:r>
      <w:r w:rsidRPr="00A35C95">
        <w:rPr>
          <w:i/>
        </w:rPr>
        <w:t>Corporations Act 2001</w:t>
      </w:r>
      <w:r w:rsidRPr="00A35C95">
        <w:t>;</w:t>
      </w:r>
    </w:p>
    <w:p w14:paraId="32663789" w14:textId="77777777" w:rsidR="00E93F58" w:rsidRPr="00A35C95" w:rsidRDefault="00E93F58" w:rsidP="00366AB5">
      <w:pPr>
        <w:pStyle w:val="paragraphsub"/>
        <w:tabs>
          <w:tab w:val="left" w:pos="2835"/>
        </w:tabs>
      </w:pPr>
      <w:r w:rsidRPr="00A35C95">
        <w:tab/>
        <w:t>(ii)</w:t>
      </w:r>
      <w:r w:rsidRPr="00A35C95">
        <w:tab/>
        <w:t xml:space="preserve">the conditions of an exemption given under section 907D of the </w:t>
      </w:r>
      <w:r w:rsidRPr="00A35C95">
        <w:rPr>
          <w:i/>
        </w:rPr>
        <w:t>Corporations Act 2001</w:t>
      </w:r>
      <w:r w:rsidRPr="00A35C95">
        <w:t>; and</w:t>
      </w:r>
    </w:p>
    <w:p w14:paraId="166D3EF1" w14:textId="77777777" w:rsidR="00E93F58" w:rsidRPr="00A35C95" w:rsidRDefault="00E93F58" w:rsidP="00366AB5">
      <w:pPr>
        <w:pStyle w:val="paragraph"/>
        <w:tabs>
          <w:tab w:val="left" w:pos="2835"/>
        </w:tabs>
      </w:pPr>
      <w:r w:rsidRPr="00A35C95">
        <w:tab/>
        <w:t>(b)</w:t>
      </w:r>
      <w:r w:rsidRPr="00A35C95">
        <w:tab/>
        <w:t>subregulation (5) or (6) applies.</w:t>
      </w:r>
    </w:p>
    <w:p w14:paraId="7814518E" w14:textId="77777777" w:rsidR="00E93F58" w:rsidRPr="00A35C95" w:rsidRDefault="00E93F58" w:rsidP="00366AB5">
      <w:pPr>
        <w:pStyle w:val="subsection"/>
        <w:tabs>
          <w:tab w:val="left" w:pos="2835"/>
        </w:tabs>
      </w:pPr>
      <w:r w:rsidRPr="00A35C95">
        <w:tab/>
        <w:t>(5)</w:t>
      </w:r>
      <w:r w:rsidRPr="00A35C95">
        <w:tab/>
        <w:t>This subregulation applies if the information:</w:t>
      </w:r>
    </w:p>
    <w:p w14:paraId="3E89A2A8" w14:textId="77777777" w:rsidR="00E93F58" w:rsidRPr="00A35C95" w:rsidRDefault="00E93F58" w:rsidP="00366AB5">
      <w:pPr>
        <w:pStyle w:val="paragraph"/>
        <w:tabs>
          <w:tab w:val="left" w:pos="2835"/>
        </w:tabs>
      </w:pPr>
      <w:r w:rsidRPr="00A35C95">
        <w:tab/>
        <w:t>(a)</w:t>
      </w:r>
      <w:r w:rsidRPr="00A35C95">
        <w:tab/>
        <w:t>relates to a transaction or position that is, or would be, but for mutual regulatory recognition arrangements, required to be reported under the laws of the jurisdiction in which the person or body is located; and</w:t>
      </w:r>
    </w:p>
    <w:p w14:paraId="4131DA6D" w14:textId="77777777" w:rsidR="00E93F58" w:rsidRPr="00A35C95" w:rsidRDefault="00E93F58" w:rsidP="00366AB5">
      <w:pPr>
        <w:pStyle w:val="paragraph"/>
        <w:tabs>
          <w:tab w:val="left" w:pos="2835"/>
        </w:tabs>
      </w:pPr>
      <w:r w:rsidRPr="00A35C95">
        <w:tab/>
        <w:t>(b)</w:t>
      </w:r>
      <w:r w:rsidRPr="00A35C95">
        <w:tab/>
        <w:t>is required by the person or body as part of the performance of its functions or exercise of its powers.</w:t>
      </w:r>
    </w:p>
    <w:p w14:paraId="309567CF" w14:textId="77777777" w:rsidR="00E93F58" w:rsidRPr="00A35C95" w:rsidRDefault="00E93F58" w:rsidP="00366AB5">
      <w:pPr>
        <w:pStyle w:val="subsection"/>
        <w:tabs>
          <w:tab w:val="left" w:pos="2835"/>
        </w:tabs>
      </w:pPr>
      <w:r w:rsidRPr="00A35C95">
        <w:tab/>
        <w:t>(6)</w:t>
      </w:r>
      <w:r w:rsidRPr="00A35C95">
        <w:tab/>
        <w:t>This subregulation applies if the information:</w:t>
      </w:r>
    </w:p>
    <w:p w14:paraId="6EBC2C5D" w14:textId="77777777" w:rsidR="00E93F58" w:rsidRPr="00A35C95" w:rsidRDefault="00E93F58" w:rsidP="00366AB5">
      <w:pPr>
        <w:pStyle w:val="paragraph"/>
        <w:tabs>
          <w:tab w:val="left" w:pos="2835"/>
        </w:tabs>
      </w:pPr>
      <w:r w:rsidRPr="00A35C95">
        <w:tab/>
        <w:t>(a)</w:t>
      </w:r>
      <w:r w:rsidRPr="00A35C95">
        <w:tab/>
        <w:t>either:</w:t>
      </w:r>
    </w:p>
    <w:p w14:paraId="43FEE685" w14:textId="77777777" w:rsidR="00E93F58" w:rsidRPr="00A35C95" w:rsidRDefault="00E93F58" w:rsidP="00366AB5">
      <w:pPr>
        <w:pStyle w:val="paragraphsub"/>
        <w:tabs>
          <w:tab w:val="left" w:pos="2835"/>
        </w:tabs>
      </w:pPr>
      <w:r w:rsidRPr="00A35C95">
        <w:tab/>
        <w:t>(i)</w:t>
      </w:r>
      <w:r w:rsidRPr="00A35C95">
        <w:tab/>
        <w:t>relates to an underlying asset, index, rate or currency of the jurisdiction in which the person or body is located; or</w:t>
      </w:r>
    </w:p>
    <w:p w14:paraId="24DE442D" w14:textId="77777777" w:rsidR="00E93F58" w:rsidRPr="00A35C95" w:rsidRDefault="00E93F58" w:rsidP="00366AB5">
      <w:pPr>
        <w:pStyle w:val="paragraphsub"/>
        <w:tabs>
          <w:tab w:val="left" w:pos="2835"/>
        </w:tabs>
      </w:pPr>
      <w:r w:rsidRPr="00A35C95">
        <w:tab/>
        <w:t>(ii)</w:t>
      </w:r>
      <w:r w:rsidRPr="00A35C95">
        <w:tab/>
        <w:t>relates to a counterparty located in the jurisdiction in which the person or body is located; and</w:t>
      </w:r>
    </w:p>
    <w:p w14:paraId="7DEA2D3D" w14:textId="77777777" w:rsidR="00E93F58" w:rsidRPr="00A35C95" w:rsidRDefault="00E93F58" w:rsidP="00366AB5">
      <w:pPr>
        <w:pStyle w:val="paragraph"/>
        <w:tabs>
          <w:tab w:val="left" w:pos="2835"/>
        </w:tabs>
      </w:pPr>
      <w:r w:rsidRPr="00A35C95">
        <w:tab/>
        <w:t>(b)</w:t>
      </w:r>
      <w:r w:rsidRPr="00A35C95">
        <w:tab/>
        <w:t>is required by the person or body as part of the performance of its functions or exercise of its powers; and</w:t>
      </w:r>
    </w:p>
    <w:p w14:paraId="1BD67486" w14:textId="77777777" w:rsidR="00E93F58" w:rsidRPr="00A35C95" w:rsidRDefault="00E93F58" w:rsidP="00366AB5">
      <w:pPr>
        <w:pStyle w:val="paragraph"/>
        <w:tabs>
          <w:tab w:val="left" w:pos="2835"/>
        </w:tabs>
      </w:pPr>
      <w:r w:rsidRPr="00A35C95">
        <w:tab/>
        <w:t>(c)</w:t>
      </w:r>
      <w:r w:rsidRPr="00A35C95">
        <w:tab/>
        <w:t>is not covered by subregulation (5).</w:t>
      </w:r>
    </w:p>
    <w:p w14:paraId="0D40F9CC" w14:textId="77777777" w:rsidR="00E93F58" w:rsidRPr="00A35C95" w:rsidRDefault="00E93F58" w:rsidP="00366AB5">
      <w:pPr>
        <w:pStyle w:val="ActHead5"/>
        <w:tabs>
          <w:tab w:val="left" w:pos="2835"/>
        </w:tabs>
      </w:pPr>
      <w:bookmarkStart w:id="924" w:name="_Toc152058036"/>
      <w:bookmarkStart w:id="925" w:name="_Toc158712259"/>
      <w:r w:rsidRPr="00844D11">
        <w:rPr>
          <w:rStyle w:val="CharSectno"/>
        </w:rPr>
        <w:t>7.5A.151</w:t>
      </w:r>
      <w:r w:rsidRPr="00A35C95">
        <w:t xml:space="preserve">  Obligations relating to derivative trade data</w:t>
      </w:r>
      <w:bookmarkEnd w:id="924"/>
      <w:bookmarkEnd w:id="925"/>
    </w:p>
    <w:p w14:paraId="10BBB4AB" w14:textId="77777777" w:rsidR="00E93F58" w:rsidRPr="00A35C95" w:rsidRDefault="00E93F58" w:rsidP="00366AB5">
      <w:pPr>
        <w:pStyle w:val="subsection"/>
        <w:keepNext/>
        <w:keepLines/>
        <w:tabs>
          <w:tab w:val="left" w:pos="2835"/>
        </w:tabs>
      </w:pPr>
      <w:r w:rsidRPr="00A35C95">
        <w:tab/>
      </w:r>
      <w:r w:rsidRPr="00A35C95">
        <w:tab/>
        <w:t>For subparagraph 904B(5)(b)(i) of the Act, every derivative trade repository licensee is excused from complying with a request for derivative trade data under paragraph 904B(2)(e) of the Act.</w:t>
      </w:r>
    </w:p>
    <w:p w14:paraId="0C0EC862" w14:textId="77777777" w:rsidR="00E93F58" w:rsidRPr="00A35C95" w:rsidRDefault="00E93F58" w:rsidP="00366AB5">
      <w:pPr>
        <w:pStyle w:val="ActHead5"/>
        <w:tabs>
          <w:tab w:val="left" w:pos="2835"/>
        </w:tabs>
      </w:pPr>
      <w:bookmarkStart w:id="926" w:name="_Toc152058037"/>
      <w:bookmarkStart w:id="927" w:name="_Toc158712260"/>
      <w:r w:rsidRPr="00844D11">
        <w:rPr>
          <w:rStyle w:val="CharSectno"/>
        </w:rPr>
        <w:t>7.5A.200</w:t>
      </w:r>
      <w:r w:rsidRPr="00A35C95">
        <w:t xml:space="preserve">  ASIC may assess licensee’s compliance</w:t>
      </w:r>
      <w:bookmarkEnd w:id="926"/>
      <w:bookmarkEnd w:id="927"/>
    </w:p>
    <w:p w14:paraId="2E2A1D49" w14:textId="77777777" w:rsidR="00E93F58" w:rsidRPr="00A35C95" w:rsidRDefault="00E93F58" w:rsidP="00366AB5">
      <w:pPr>
        <w:pStyle w:val="subsection"/>
        <w:tabs>
          <w:tab w:val="left" w:pos="2835"/>
        </w:tabs>
      </w:pPr>
      <w:r w:rsidRPr="00A35C95">
        <w:tab/>
        <w:t>(1)</w:t>
      </w:r>
      <w:r w:rsidRPr="00A35C95">
        <w:tab/>
        <w:t>This regulation is made for paragraph 904J(4)(d) of the Act.</w:t>
      </w:r>
    </w:p>
    <w:p w14:paraId="20B25083" w14:textId="77777777" w:rsidR="00E93F58" w:rsidRPr="00A35C95" w:rsidRDefault="00E93F58" w:rsidP="00366AB5">
      <w:pPr>
        <w:pStyle w:val="subsection"/>
        <w:tabs>
          <w:tab w:val="left" w:pos="2835"/>
        </w:tabs>
      </w:pPr>
      <w:r w:rsidRPr="00A35C95">
        <w:tab/>
        <w:t>(2)</w:t>
      </w:r>
      <w:r w:rsidRPr="00A35C95">
        <w:tab/>
        <w:t>The following persons or bodies are prescribed for that paragraph:</w:t>
      </w:r>
    </w:p>
    <w:p w14:paraId="73C78701" w14:textId="77777777" w:rsidR="00E93F58" w:rsidRPr="00A35C95" w:rsidRDefault="00E93F58" w:rsidP="00366AB5">
      <w:pPr>
        <w:pStyle w:val="paragraph"/>
        <w:tabs>
          <w:tab w:val="left" w:pos="2835"/>
        </w:tabs>
      </w:pPr>
      <w:r w:rsidRPr="00A35C95">
        <w:tab/>
        <w:t>(a)</w:t>
      </w:r>
      <w:r w:rsidRPr="00A35C95">
        <w:tab/>
        <w:t>the Clean Energy Regulator;</w:t>
      </w:r>
    </w:p>
    <w:p w14:paraId="48933443" w14:textId="77777777" w:rsidR="00E93F58" w:rsidRPr="00A35C95" w:rsidRDefault="00E93F58" w:rsidP="00366AB5">
      <w:pPr>
        <w:pStyle w:val="paragraph"/>
        <w:tabs>
          <w:tab w:val="left" w:pos="2835"/>
        </w:tabs>
      </w:pPr>
      <w:r w:rsidRPr="00A35C95">
        <w:tab/>
        <w:t>(b)</w:t>
      </w:r>
      <w:r w:rsidRPr="00A35C95">
        <w:tab/>
        <w:t>the Australian Competition and Consumer Commission;</w:t>
      </w:r>
    </w:p>
    <w:p w14:paraId="5248D4C4" w14:textId="77777777" w:rsidR="00E93F58" w:rsidRPr="00A35C95" w:rsidRDefault="00E93F58" w:rsidP="00366AB5">
      <w:pPr>
        <w:pStyle w:val="paragraph"/>
        <w:tabs>
          <w:tab w:val="left" w:pos="2835"/>
        </w:tabs>
      </w:pPr>
      <w:r w:rsidRPr="00A35C95">
        <w:tab/>
        <w:t>(c)</w:t>
      </w:r>
      <w:r w:rsidRPr="00A35C95">
        <w:tab/>
        <w:t>the Australian Prudential Regulation Authority;</w:t>
      </w:r>
    </w:p>
    <w:p w14:paraId="4F1748A8" w14:textId="77777777" w:rsidR="00E93F58" w:rsidRPr="00A35C95" w:rsidRDefault="00E93F58" w:rsidP="00366AB5">
      <w:pPr>
        <w:pStyle w:val="paragraph"/>
        <w:tabs>
          <w:tab w:val="left" w:pos="2835"/>
        </w:tabs>
      </w:pPr>
      <w:r w:rsidRPr="00A35C95">
        <w:tab/>
        <w:t>(d)</w:t>
      </w:r>
      <w:r w:rsidRPr="00A35C95">
        <w:tab/>
        <w:t>the Australian Taxation Office;</w:t>
      </w:r>
    </w:p>
    <w:p w14:paraId="4B4B2C9F" w14:textId="77777777" w:rsidR="00E93F58" w:rsidRPr="00A35C95" w:rsidRDefault="00E93F58" w:rsidP="00366AB5">
      <w:pPr>
        <w:pStyle w:val="paragraph"/>
        <w:tabs>
          <w:tab w:val="left" w:pos="2835"/>
        </w:tabs>
      </w:pPr>
      <w:r w:rsidRPr="00A35C95">
        <w:tab/>
        <w:t>(e)</w:t>
      </w:r>
      <w:r w:rsidRPr="00A35C95">
        <w:tab/>
        <w:t>the Australian Transaction Reports and Analysis Centre;</w:t>
      </w:r>
    </w:p>
    <w:p w14:paraId="1DFBB691" w14:textId="77777777" w:rsidR="00E93F58" w:rsidRPr="00A35C95" w:rsidRDefault="00E93F58" w:rsidP="00366AB5">
      <w:pPr>
        <w:pStyle w:val="paragraph"/>
        <w:tabs>
          <w:tab w:val="left" w:pos="2835"/>
        </w:tabs>
      </w:pPr>
      <w:r w:rsidRPr="00A35C95">
        <w:tab/>
        <w:t>(f)</w:t>
      </w:r>
      <w:r w:rsidRPr="00A35C95">
        <w:tab/>
        <w:t>an authority of a State or Territory having functions and powers similar to those of the Director of Public Prosecutions;</w:t>
      </w:r>
    </w:p>
    <w:p w14:paraId="5C97943E" w14:textId="77777777" w:rsidR="00E93F58" w:rsidRPr="00A35C95" w:rsidRDefault="00E93F58" w:rsidP="00366AB5">
      <w:pPr>
        <w:pStyle w:val="paragraph"/>
        <w:tabs>
          <w:tab w:val="left" w:pos="2835"/>
        </w:tabs>
      </w:pPr>
      <w:r w:rsidRPr="00A35C95">
        <w:tab/>
        <w:t>(g)</w:t>
      </w:r>
      <w:r w:rsidRPr="00A35C95">
        <w:tab/>
        <w:t>the police force or service of each State and the Northern Territory;</w:t>
      </w:r>
    </w:p>
    <w:p w14:paraId="3E1EF7E0" w14:textId="77777777" w:rsidR="00E93F58" w:rsidRPr="00A35C95" w:rsidRDefault="00E93F58" w:rsidP="00366AB5">
      <w:pPr>
        <w:pStyle w:val="paragraph"/>
        <w:tabs>
          <w:tab w:val="left" w:pos="2835"/>
        </w:tabs>
      </w:pPr>
      <w:r w:rsidRPr="00A35C95">
        <w:tab/>
        <w:t>(h)</w:t>
      </w:r>
      <w:r w:rsidRPr="00A35C95">
        <w:tab/>
        <w:t>Consumer Protection, Western Australia;</w:t>
      </w:r>
    </w:p>
    <w:p w14:paraId="45180EB0" w14:textId="77777777" w:rsidR="00E93F58" w:rsidRPr="00A35C95" w:rsidRDefault="00E93F58" w:rsidP="00366AB5">
      <w:pPr>
        <w:pStyle w:val="paragraph"/>
        <w:tabs>
          <w:tab w:val="left" w:pos="2835"/>
        </w:tabs>
      </w:pPr>
      <w:r w:rsidRPr="00A35C95">
        <w:tab/>
        <w:t>(i)</w:t>
      </w:r>
      <w:r w:rsidRPr="00A35C95">
        <w:tab/>
        <w:t>the Commissioner of State Revenue of Western Australia;</w:t>
      </w:r>
    </w:p>
    <w:p w14:paraId="46F84643" w14:textId="77777777" w:rsidR="00E93F58" w:rsidRPr="00A35C95" w:rsidRDefault="00E93F58" w:rsidP="00366AB5">
      <w:pPr>
        <w:pStyle w:val="paragraph"/>
        <w:tabs>
          <w:tab w:val="left" w:pos="2835"/>
        </w:tabs>
      </w:pPr>
      <w:r w:rsidRPr="00A35C95">
        <w:tab/>
        <w:t>(j)</w:t>
      </w:r>
      <w:r w:rsidRPr="00A35C95">
        <w:tab/>
        <w:t>NSW Fair Trading;</w:t>
      </w:r>
    </w:p>
    <w:p w14:paraId="3DAC4764" w14:textId="77777777" w:rsidR="00E93F58" w:rsidRPr="00A35C95" w:rsidRDefault="00E93F58" w:rsidP="00366AB5">
      <w:pPr>
        <w:pStyle w:val="paragraph"/>
        <w:tabs>
          <w:tab w:val="left" w:pos="2835"/>
        </w:tabs>
      </w:pPr>
      <w:r w:rsidRPr="00A35C95">
        <w:tab/>
        <w:t>(k)</w:t>
      </w:r>
      <w:r w:rsidRPr="00A35C95">
        <w:tab/>
        <w:t>Consumer Affairs Victoria;</w:t>
      </w:r>
    </w:p>
    <w:p w14:paraId="153B9302" w14:textId="77777777" w:rsidR="00E93F58" w:rsidRPr="00A35C95" w:rsidRDefault="00E93F58" w:rsidP="00366AB5">
      <w:pPr>
        <w:pStyle w:val="paragraph"/>
        <w:tabs>
          <w:tab w:val="left" w:pos="2835"/>
        </w:tabs>
      </w:pPr>
      <w:r w:rsidRPr="00A35C95">
        <w:tab/>
        <w:t>(l)</w:t>
      </w:r>
      <w:r w:rsidRPr="00A35C95">
        <w:tab/>
        <w:t>the State Revenue Office of Victoria;</w:t>
      </w:r>
    </w:p>
    <w:p w14:paraId="298378BD" w14:textId="77777777" w:rsidR="00E93F58" w:rsidRPr="00A35C95" w:rsidRDefault="00E93F58" w:rsidP="00366AB5">
      <w:pPr>
        <w:pStyle w:val="paragraph"/>
        <w:tabs>
          <w:tab w:val="left" w:pos="2835"/>
        </w:tabs>
      </w:pPr>
      <w:r w:rsidRPr="00A35C95">
        <w:tab/>
        <w:t>(m)</w:t>
      </w:r>
      <w:r w:rsidRPr="00A35C95">
        <w:tab/>
        <w:t>the Office of Fair Trading of Queensland;</w:t>
      </w:r>
    </w:p>
    <w:p w14:paraId="33BBA94D" w14:textId="77777777" w:rsidR="00E93F58" w:rsidRPr="00A35C95" w:rsidRDefault="00E93F58" w:rsidP="00366AB5">
      <w:pPr>
        <w:pStyle w:val="paragraph"/>
        <w:tabs>
          <w:tab w:val="left" w:pos="2835"/>
        </w:tabs>
      </w:pPr>
      <w:r w:rsidRPr="00A35C95">
        <w:tab/>
        <w:t>(n)</w:t>
      </w:r>
      <w:r w:rsidRPr="00A35C95">
        <w:tab/>
        <w:t>the Office of State Revenue of Queensland;</w:t>
      </w:r>
    </w:p>
    <w:p w14:paraId="415AC31E" w14:textId="77777777" w:rsidR="00E93F58" w:rsidRPr="00A35C95" w:rsidRDefault="00E93F58" w:rsidP="00366AB5">
      <w:pPr>
        <w:pStyle w:val="paragraph"/>
        <w:tabs>
          <w:tab w:val="left" w:pos="2835"/>
        </w:tabs>
      </w:pPr>
      <w:r w:rsidRPr="00A35C95">
        <w:tab/>
        <w:t>(o)</w:t>
      </w:r>
      <w:r w:rsidRPr="00A35C95">
        <w:tab/>
        <w:t>Consumer and Business Services, South Australia;</w:t>
      </w:r>
    </w:p>
    <w:p w14:paraId="51FC2F10" w14:textId="77777777" w:rsidR="00E93F58" w:rsidRPr="00A35C95" w:rsidRDefault="00E93F58" w:rsidP="00366AB5">
      <w:pPr>
        <w:pStyle w:val="paragraph"/>
        <w:tabs>
          <w:tab w:val="left" w:pos="2835"/>
        </w:tabs>
      </w:pPr>
      <w:r w:rsidRPr="00A35C95">
        <w:tab/>
        <w:t>(p)</w:t>
      </w:r>
      <w:r w:rsidRPr="00A35C95">
        <w:tab/>
        <w:t>Consumer Affairs and Fair Trading, Tasmania;</w:t>
      </w:r>
    </w:p>
    <w:p w14:paraId="52A6587F" w14:textId="77777777" w:rsidR="00E93F58" w:rsidRPr="00A35C95" w:rsidRDefault="00E93F58" w:rsidP="00366AB5">
      <w:pPr>
        <w:pStyle w:val="paragraph"/>
        <w:tabs>
          <w:tab w:val="left" w:pos="2835"/>
        </w:tabs>
      </w:pPr>
      <w:r w:rsidRPr="00A35C95">
        <w:tab/>
        <w:t>(q)</w:t>
      </w:r>
      <w:r w:rsidRPr="00A35C95">
        <w:tab/>
        <w:t>the Department of Treasury and Finance of Tasmania;</w:t>
      </w:r>
    </w:p>
    <w:p w14:paraId="529DD840" w14:textId="77777777" w:rsidR="00E93F58" w:rsidRPr="00A35C95" w:rsidRDefault="00E93F58" w:rsidP="00366AB5">
      <w:pPr>
        <w:pStyle w:val="paragraph"/>
        <w:tabs>
          <w:tab w:val="left" w:pos="2835"/>
        </w:tabs>
      </w:pPr>
      <w:r w:rsidRPr="00A35C95">
        <w:tab/>
        <w:t>(r)</w:t>
      </w:r>
      <w:r w:rsidRPr="00A35C95">
        <w:tab/>
        <w:t>the Office of Regulatory Services of the Australian Capital Territory;</w:t>
      </w:r>
    </w:p>
    <w:p w14:paraId="0C7E0078" w14:textId="77777777" w:rsidR="00E93F58" w:rsidRPr="00A35C95" w:rsidRDefault="00E93F58" w:rsidP="00366AB5">
      <w:pPr>
        <w:pStyle w:val="paragraph"/>
        <w:tabs>
          <w:tab w:val="left" w:pos="2835"/>
        </w:tabs>
      </w:pPr>
      <w:r w:rsidRPr="00A35C95">
        <w:tab/>
        <w:t>(s)</w:t>
      </w:r>
      <w:r w:rsidRPr="00A35C95">
        <w:tab/>
        <w:t>Consumer Affairs, the Northern Territory.</w:t>
      </w:r>
    </w:p>
    <w:p w14:paraId="58E4C0AD" w14:textId="77777777" w:rsidR="00E93F58" w:rsidRPr="00A35C95" w:rsidRDefault="00E93F58" w:rsidP="00366AB5">
      <w:pPr>
        <w:pStyle w:val="ActHead3"/>
        <w:pageBreakBefore/>
        <w:tabs>
          <w:tab w:val="left" w:pos="2835"/>
        </w:tabs>
      </w:pPr>
      <w:bookmarkStart w:id="928" w:name="_Toc152058038"/>
      <w:bookmarkStart w:id="929" w:name="_Toc158712261"/>
      <w:r w:rsidRPr="00844D11">
        <w:rPr>
          <w:rStyle w:val="CharDivNo"/>
        </w:rPr>
        <w:lastRenderedPageBreak/>
        <w:t>Division 7</w:t>
      </w:r>
      <w:r w:rsidRPr="00A35C95">
        <w:t>—</w:t>
      </w:r>
      <w:r w:rsidRPr="00844D11">
        <w:rPr>
          <w:rStyle w:val="CharDivText"/>
        </w:rPr>
        <w:t>Regulation of prescribed derivative trade repositories</w:t>
      </w:r>
      <w:bookmarkEnd w:id="928"/>
      <w:bookmarkEnd w:id="929"/>
    </w:p>
    <w:p w14:paraId="5AC098D1" w14:textId="77777777" w:rsidR="00E93F58" w:rsidRPr="00A35C95" w:rsidRDefault="00E93F58" w:rsidP="00366AB5">
      <w:pPr>
        <w:pStyle w:val="ActHead5"/>
        <w:tabs>
          <w:tab w:val="left" w:pos="2835"/>
        </w:tabs>
      </w:pPr>
      <w:bookmarkStart w:id="930" w:name="_Toc152058039"/>
      <w:bookmarkStart w:id="931" w:name="_Toc158712262"/>
      <w:r w:rsidRPr="00844D11">
        <w:rPr>
          <w:rStyle w:val="CharSectno"/>
        </w:rPr>
        <w:t>7.5A.250</w:t>
      </w:r>
      <w:r w:rsidRPr="00A35C95">
        <w:t xml:space="preserve">  Obligations and powers—confidential information</w:t>
      </w:r>
      <w:bookmarkEnd w:id="930"/>
      <w:bookmarkEnd w:id="931"/>
    </w:p>
    <w:p w14:paraId="29B38050" w14:textId="77777777" w:rsidR="00E93F58" w:rsidRPr="00A35C95" w:rsidRDefault="00E93F58" w:rsidP="00366AB5">
      <w:pPr>
        <w:pStyle w:val="subsection"/>
        <w:tabs>
          <w:tab w:val="left" w:pos="2835"/>
        </w:tabs>
      </w:pPr>
      <w:r w:rsidRPr="00A35C95">
        <w:tab/>
        <w:t>(1)</w:t>
      </w:r>
      <w:r w:rsidRPr="00A35C95">
        <w:tab/>
        <w:t>This regulation is made for subsection 906A(3) of the Act and applies to information given to ASIC, by the operator (or an officer of the operator) of a prescribed derivative trade repository, under a provision of:</w:t>
      </w:r>
    </w:p>
    <w:p w14:paraId="664E569A" w14:textId="77777777" w:rsidR="00E93F58" w:rsidRPr="00A35C95" w:rsidRDefault="00E93F58" w:rsidP="00366AB5">
      <w:pPr>
        <w:pStyle w:val="paragraph"/>
        <w:tabs>
          <w:tab w:val="left" w:pos="2835"/>
        </w:tabs>
      </w:pPr>
      <w:r w:rsidRPr="00A35C95">
        <w:tab/>
        <w:t>(a)</w:t>
      </w:r>
      <w:r w:rsidRPr="00A35C95">
        <w:tab/>
        <w:t>Part 7.5A of the Act; or</w:t>
      </w:r>
    </w:p>
    <w:p w14:paraId="665D2E1B" w14:textId="77777777" w:rsidR="00E93F58" w:rsidRPr="00A35C95" w:rsidRDefault="00E93F58" w:rsidP="00366AB5">
      <w:pPr>
        <w:pStyle w:val="paragraph"/>
        <w:tabs>
          <w:tab w:val="left" w:pos="2835"/>
        </w:tabs>
      </w:pPr>
      <w:r w:rsidRPr="00A35C95">
        <w:tab/>
        <w:t>(b)</w:t>
      </w:r>
      <w:r w:rsidRPr="00A35C95">
        <w:tab/>
        <w:t>the regulations made for that Part; or</w:t>
      </w:r>
    </w:p>
    <w:p w14:paraId="1FBEABAF" w14:textId="77777777" w:rsidR="00E93F58" w:rsidRPr="00A35C95" w:rsidRDefault="00E93F58" w:rsidP="00366AB5">
      <w:pPr>
        <w:pStyle w:val="paragraph"/>
        <w:tabs>
          <w:tab w:val="left" w:pos="2835"/>
        </w:tabs>
      </w:pPr>
      <w:r w:rsidRPr="00A35C95">
        <w:tab/>
        <w:t>(c)</w:t>
      </w:r>
      <w:r w:rsidRPr="00A35C95">
        <w:tab/>
        <w:t>the derivative transaction rules or derivative trade repository rules.</w:t>
      </w:r>
    </w:p>
    <w:p w14:paraId="70CD254C" w14:textId="77777777" w:rsidR="00E93F58" w:rsidRPr="00A35C95" w:rsidRDefault="00E93F58" w:rsidP="00366AB5">
      <w:pPr>
        <w:pStyle w:val="subsection"/>
        <w:tabs>
          <w:tab w:val="left" w:pos="2835"/>
        </w:tabs>
        <w:rPr>
          <w:iCs/>
        </w:rPr>
      </w:pPr>
      <w:r w:rsidRPr="00A35C95">
        <w:tab/>
        <w:t>(2)</w:t>
      </w:r>
      <w:r w:rsidRPr="00A35C95">
        <w:tab/>
        <w:t xml:space="preserve">The information is taken, for the purpose of section 127 (confidentiality) of the ASIC Act, to be given to ASIC in confidence in connection with the performance of ASIC’s functions under the Act, </w:t>
      </w:r>
      <w:r w:rsidRPr="00A35C95">
        <w:rPr>
          <w:iCs/>
        </w:rPr>
        <w:t>unless:</w:t>
      </w:r>
    </w:p>
    <w:p w14:paraId="091CD4D1" w14:textId="77777777" w:rsidR="00E93F58" w:rsidRPr="00A35C95" w:rsidRDefault="00E93F58" w:rsidP="00366AB5">
      <w:pPr>
        <w:pStyle w:val="paragraph"/>
        <w:tabs>
          <w:tab w:val="left" w:pos="2835"/>
        </w:tabs>
      </w:pPr>
      <w:r w:rsidRPr="00A35C95">
        <w:tab/>
        <w:t>(a)</w:t>
      </w:r>
      <w:r w:rsidRPr="00A35C95">
        <w:tab/>
        <w:t>the information has been made publicly available in accordance with the provisions mentioned in paragraph (1)(a), (b) or (c); or</w:t>
      </w:r>
    </w:p>
    <w:p w14:paraId="321D014F" w14:textId="77777777" w:rsidR="00E93F58" w:rsidRPr="00A35C95" w:rsidRDefault="00E93F58" w:rsidP="00366AB5">
      <w:pPr>
        <w:pStyle w:val="paragraph"/>
        <w:tabs>
          <w:tab w:val="left" w:pos="2835"/>
        </w:tabs>
      </w:pPr>
      <w:r w:rsidRPr="00A35C95">
        <w:tab/>
        <w:t>(b)</w:t>
      </w:r>
      <w:r w:rsidRPr="00A35C95">
        <w:tab/>
        <w:t>a law requires or permits the information to be released.</w:t>
      </w:r>
    </w:p>
    <w:p w14:paraId="1DC8140F" w14:textId="77777777" w:rsidR="00E93F58" w:rsidRPr="00A35C95" w:rsidRDefault="00E93F58" w:rsidP="00366AB5">
      <w:pPr>
        <w:pStyle w:val="ActHead3"/>
        <w:pageBreakBefore/>
        <w:tabs>
          <w:tab w:val="left" w:pos="2835"/>
        </w:tabs>
      </w:pPr>
      <w:bookmarkStart w:id="932" w:name="_Toc152058040"/>
      <w:bookmarkStart w:id="933" w:name="_Toc158712263"/>
      <w:r w:rsidRPr="00844D11">
        <w:rPr>
          <w:rStyle w:val="CharDivNo"/>
        </w:rPr>
        <w:lastRenderedPageBreak/>
        <w:t>Division 8</w:t>
      </w:r>
      <w:r w:rsidRPr="00A35C95">
        <w:t>—</w:t>
      </w:r>
      <w:r w:rsidRPr="00844D11">
        <w:rPr>
          <w:rStyle w:val="CharDivText"/>
        </w:rPr>
        <w:t>Other matters</w:t>
      </w:r>
      <w:bookmarkEnd w:id="932"/>
      <w:bookmarkEnd w:id="933"/>
    </w:p>
    <w:p w14:paraId="1FB64D8E" w14:textId="77777777" w:rsidR="00E93F58" w:rsidRPr="00A35C95" w:rsidRDefault="00E93F58" w:rsidP="00366AB5">
      <w:pPr>
        <w:pStyle w:val="ActHead5"/>
        <w:tabs>
          <w:tab w:val="left" w:pos="2835"/>
        </w:tabs>
      </w:pPr>
      <w:bookmarkStart w:id="934" w:name="_Toc152058041"/>
      <w:bookmarkStart w:id="935" w:name="_Toc158712264"/>
      <w:r w:rsidRPr="00844D11">
        <w:rPr>
          <w:rStyle w:val="CharSectno"/>
        </w:rPr>
        <w:t>7.5A.270</w:t>
      </w:r>
      <w:r w:rsidRPr="00A35C95">
        <w:t xml:space="preserve">  Record</w:t>
      </w:r>
      <w:r>
        <w:noBreakHyphen/>
      </w:r>
      <w:r w:rsidRPr="00A35C95">
        <w:t>keeping</w:t>
      </w:r>
      <w:bookmarkEnd w:id="934"/>
      <w:bookmarkEnd w:id="935"/>
    </w:p>
    <w:p w14:paraId="2FCA0CB7" w14:textId="77777777" w:rsidR="00E93F58" w:rsidRPr="00A35C95" w:rsidRDefault="00E93F58" w:rsidP="00366AB5">
      <w:pPr>
        <w:pStyle w:val="subsection"/>
        <w:tabs>
          <w:tab w:val="left" w:pos="2835"/>
        </w:tabs>
      </w:pPr>
      <w:r w:rsidRPr="00A35C95">
        <w:tab/>
        <w:t>(1)</w:t>
      </w:r>
      <w:r w:rsidRPr="00A35C95">
        <w:tab/>
        <w:t>This regulation is made for paragraph 854A(1)(b) of the Act.</w:t>
      </w:r>
    </w:p>
    <w:p w14:paraId="755690EF" w14:textId="77777777" w:rsidR="00E93F58" w:rsidRPr="00A35C95" w:rsidRDefault="00E93F58" w:rsidP="00366AB5">
      <w:pPr>
        <w:pStyle w:val="subsection"/>
        <w:tabs>
          <w:tab w:val="left" w:pos="2835"/>
        </w:tabs>
      </w:pPr>
      <w:r w:rsidRPr="00A35C95">
        <w:tab/>
        <w:t>(2)</w:t>
      </w:r>
      <w:r w:rsidRPr="00A35C95">
        <w:tab/>
        <w:t>A derivative trade repository licensee must keep the following records:</w:t>
      </w:r>
    </w:p>
    <w:p w14:paraId="15031378" w14:textId="77777777" w:rsidR="00E93F58" w:rsidRPr="00A35C95" w:rsidRDefault="00E93F58" w:rsidP="00366AB5">
      <w:pPr>
        <w:pStyle w:val="paragraph"/>
        <w:tabs>
          <w:tab w:val="left" w:pos="2835"/>
        </w:tabs>
      </w:pPr>
      <w:r w:rsidRPr="00A35C95">
        <w:tab/>
        <w:t>(a)</w:t>
      </w:r>
      <w:r w:rsidRPr="00A35C95">
        <w:tab/>
        <w:t>a list of names and contact details of each director, secretary and senior manager of the licensee;</w:t>
      </w:r>
    </w:p>
    <w:p w14:paraId="320E92C6" w14:textId="77777777" w:rsidR="00E93F58" w:rsidRPr="00A35C95" w:rsidRDefault="00E93F58" w:rsidP="00366AB5">
      <w:pPr>
        <w:pStyle w:val="paragraph"/>
        <w:tabs>
          <w:tab w:val="left" w:pos="2835"/>
        </w:tabs>
      </w:pPr>
      <w:r w:rsidRPr="00A35C95">
        <w:tab/>
        <w:t>(b)</w:t>
      </w:r>
      <w:r w:rsidRPr="00A35C95">
        <w:tab/>
        <w:t>a list of names and contact details of individuals who hold more than 15% of the voting power in the licensee.</w:t>
      </w:r>
    </w:p>
    <w:p w14:paraId="742187E6" w14:textId="77777777" w:rsidR="00E93F58" w:rsidRPr="00A35C95" w:rsidRDefault="00E93F58" w:rsidP="00366AB5">
      <w:pPr>
        <w:pStyle w:val="subsection"/>
        <w:tabs>
          <w:tab w:val="left" w:pos="2835"/>
        </w:tabs>
      </w:pPr>
      <w:r w:rsidRPr="00A35C95">
        <w:tab/>
        <w:t>(3)</w:t>
      </w:r>
      <w:r w:rsidRPr="00A35C95">
        <w:tab/>
        <w:t>The licensee must keep the records for at least 5 years.</w:t>
      </w:r>
    </w:p>
    <w:p w14:paraId="456777D1" w14:textId="77777777" w:rsidR="00E93F58" w:rsidRPr="00A35C95" w:rsidRDefault="00E93F58" w:rsidP="00366AB5">
      <w:pPr>
        <w:pStyle w:val="ActHead2"/>
        <w:pageBreakBefore/>
        <w:tabs>
          <w:tab w:val="left" w:pos="2835"/>
        </w:tabs>
        <w:rPr>
          <w:color w:val="000000"/>
        </w:rPr>
      </w:pPr>
      <w:bookmarkStart w:id="936" w:name="_Toc152058042"/>
      <w:bookmarkStart w:id="937" w:name="_Toc158712265"/>
      <w:r w:rsidRPr="00844D11">
        <w:rPr>
          <w:rStyle w:val="CharPartNo"/>
        </w:rPr>
        <w:lastRenderedPageBreak/>
        <w:t>Part 7.6</w:t>
      </w:r>
      <w:r w:rsidRPr="00A35C95">
        <w:rPr>
          <w:color w:val="000000"/>
        </w:rPr>
        <w:t>—</w:t>
      </w:r>
      <w:r w:rsidRPr="00844D11">
        <w:rPr>
          <w:rStyle w:val="CharPartText"/>
        </w:rPr>
        <w:t>Licensing of providers of financial services</w:t>
      </w:r>
      <w:bookmarkEnd w:id="936"/>
      <w:bookmarkEnd w:id="937"/>
    </w:p>
    <w:p w14:paraId="2D6C711B" w14:textId="77777777" w:rsidR="00E93F58" w:rsidRPr="00A35C95" w:rsidRDefault="00E93F58" w:rsidP="00366AB5">
      <w:pPr>
        <w:pStyle w:val="Header"/>
        <w:tabs>
          <w:tab w:val="left" w:pos="2835"/>
        </w:tabs>
      </w:pPr>
      <w:r w:rsidRPr="00844D11">
        <w:rPr>
          <w:rStyle w:val="CharDivNo"/>
        </w:rPr>
        <w:t xml:space="preserve"> </w:t>
      </w:r>
      <w:r w:rsidRPr="00844D11">
        <w:rPr>
          <w:rStyle w:val="CharDivText"/>
        </w:rPr>
        <w:t xml:space="preserve"> </w:t>
      </w:r>
    </w:p>
    <w:p w14:paraId="343BED07" w14:textId="77777777" w:rsidR="00E93F58" w:rsidRPr="00A35C95" w:rsidRDefault="00E93F58" w:rsidP="00366AB5">
      <w:pPr>
        <w:pStyle w:val="ActHead5"/>
        <w:tabs>
          <w:tab w:val="left" w:pos="2835"/>
        </w:tabs>
      </w:pPr>
      <w:bookmarkStart w:id="938" w:name="_Toc152058043"/>
      <w:bookmarkStart w:id="939" w:name="_Toc158712266"/>
      <w:r w:rsidRPr="00844D11">
        <w:rPr>
          <w:rStyle w:val="CharSectno"/>
        </w:rPr>
        <w:t>7.6.01</w:t>
      </w:r>
      <w:r w:rsidRPr="00A35C95">
        <w:rPr>
          <w:sz w:val="16"/>
        </w:rPr>
        <w:t xml:space="preserve">  </w:t>
      </w:r>
      <w:r w:rsidRPr="00A35C95">
        <w:t>Need for Australian financial services licence: general</w:t>
      </w:r>
      <w:bookmarkEnd w:id="938"/>
      <w:bookmarkEnd w:id="939"/>
    </w:p>
    <w:p w14:paraId="7A0105AC" w14:textId="77777777" w:rsidR="00E93F58" w:rsidRPr="00A35C95" w:rsidRDefault="00E93F58" w:rsidP="00366AB5">
      <w:pPr>
        <w:pStyle w:val="subsection"/>
        <w:tabs>
          <w:tab w:val="left" w:pos="2835"/>
        </w:tabs>
      </w:pPr>
      <w:r w:rsidRPr="00A35C95">
        <w:tab/>
        <w:t>(1)</w:t>
      </w:r>
      <w:r w:rsidRPr="00A35C95">
        <w:tab/>
        <w:t>For paragraph 911A(2)(k) of the Act, the provision of the following services is covered by an exemption from the requirement to hold an Australian financial services licence:</w:t>
      </w:r>
    </w:p>
    <w:p w14:paraId="1443996A" w14:textId="77777777" w:rsidR="00E93F58" w:rsidRPr="00A35C95" w:rsidRDefault="00E93F58" w:rsidP="00366AB5">
      <w:pPr>
        <w:pStyle w:val="paragraph"/>
        <w:tabs>
          <w:tab w:val="left" w:pos="2835"/>
        </w:tabs>
      </w:pPr>
      <w:r w:rsidRPr="00A35C95">
        <w:tab/>
        <w:t>(b)</w:t>
      </w:r>
      <w:r w:rsidRPr="00A35C95">
        <w:tab/>
        <w:t>dealing in a financial product by a person in the capacity of the trustee of a pooled superannuation trust in the following circumstances:</w:t>
      </w:r>
    </w:p>
    <w:p w14:paraId="006129CA"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pooled superannuation trust is used for investment of the assets of a regulated superannuation fund;</w:t>
      </w:r>
    </w:p>
    <w:p w14:paraId="2A8CD94A" w14:textId="77777777" w:rsidR="00E93F58" w:rsidRPr="00A35C95" w:rsidRDefault="00E93F58" w:rsidP="00366AB5">
      <w:pPr>
        <w:pStyle w:val="paragraphsub"/>
        <w:tabs>
          <w:tab w:val="left" w:pos="2835"/>
        </w:tabs>
      </w:pPr>
      <w:r w:rsidRPr="00A35C95">
        <w:tab/>
        <w:t>(ii)</w:t>
      </w:r>
      <w:r w:rsidRPr="00A35C95">
        <w:tab/>
        <w:t>the regulated superannuation fund has net assets of at least $10 million on the date that it first invests in the pooled superannuation trust;</w:t>
      </w:r>
    </w:p>
    <w:p w14:paraId="7878BA7B" w14:textId="77777777" w:rsidR="00E93F58" w:rsidRPr="00A35C95" w:rsidRDefault="00E93F58" w:rsidP="00366AB5">
      <w:pPr>
        <w:pStyle w:val="paragraph"/>
        <w:tabs>
          <w:tab w:val="left" w:pos="2835"/>
        </w:tabs>
      </w:pPr>
      <w:r w:rsidRPr="00A35C95">
        <w:tab/>
        <w:t>(ba)</w:t>
      </w:r>
      <w:r w:rsidRPr="00A35C95">
        <w:tab/>
        <w:t>a superannuation trustee service provided by the trustee of a pooled superannuation trust in the circumstances set out in paragraph (b);</w:t>
      </w:r>
    </w:p>
    <w:p w14:paraId="4A96FDAA" w14:textId="77777777" w:rsidR="00E93F58" w:rsidRPr="00A35C95" w:rsidRDefault="00E93F58" w:rsidP="00366AB5">
      <w:pPr>
        <w:pStyle w:val="paragraph"/>
        <w:tabs>
          <w:tab w:val="left" w:pos="2835"/>
        </w:tabs>
      </w:pPr>
      <w:r w:rsidRPr="00A35C95">
        <w:tab/>
        <w:t>(c)</w:t>
      </w:r>
      <w:r w:rsidRPr="00A35C95">
        <w:tab/>
        <w:t>dealing in a financial product by a person in the capacity of the trustee of a pooled superannuation trust in the following circumstances:</w:t>
      </w:r>
    </w:p>
    <w:p w14:paraId="1D8E3BB3"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pooled superannuation trust is used for investment of the assets of a regulated superannuation fund;</w:t>
      </w:r>
    </w:p>
    <w:p w14:paraId="74950CCE" w14:textId="77777777" w:rsidR="00E93F58" w:rsidRPr="00A35C95" w:rsidRDefault="00E93F58" w:rsidP="00366AB5">
      <w:pPr>
        <w:pStyle w:val="paragraphsub"/>
        <w:tabs>
          <w:tab w:val="left" w:pos="2835"/>
        </w:tabs>
      </w:pPr>
      <w:r w:rsidRPr="00A35C95">
        <w:tab/>
        <w:t>(ii)</w:t>
      </w:r>
      <w:r w:rsidRPr="00A35C95">
        <w:tab/>
        <w:t>the regulated superannuation fund has net assets of at least $5 million, but less than $10 million, on the date that it first invests in the pooled superannuation trust (whether that date is before or after the FSR commencement);</w:t>
      </w:r>
    </w:p>
    <w:p w14:paraId="15191F51" w14:textId="77777777" w:rsidR="00E93F58" w:rsidRPr="00A35C95" w:rsidRDefault="00E93F58" w:rsidP="00366AB5">
      <w:pPr>
        <w:pStyle w:val="paragraphsub"/>
        <w:tabs>
          <w:tab w:val="left" w:pos="2835"/>
        </w:tabs>
      </w:pPr>
      <w:r w:rsidRPr="00A35C95">
        <w:tab/>
        <w:t>(iii)</w:t>
      </w:r>
      <w:r w:rsidRPr="00A35C95">
        <w:tab/>
        <w:t>the trustee has a reasonable expectation that the net assets of the regulated superannuation fund will equal or exceed $10 million not later than 3 months of the date on which it first invests in the pooled superannuation trust (whether that date is before or after the FSR commencement);</w:t>
      </w:r>
    </w:p>
    <w:p w14:paraId="7FD3303A" w14:textId="77777777" w:rsidR="00E93F58" w:rsidRPr="00A35C95" w:rsidRDefault="00E93F58" w:rsidP="00366AB5">
      <w:pPr>
        <w:pStyle w:val="paragraph"/>
        <w:tabs>
          <w:tab w:val="left" w:pos="2835"/>
        </w:tabs>
      </w:pPr>
      <w:r w:rsidRPr="00A35C95">
        <w:tab/>
        <w:t>(ca)</w:t>
      </w:r>
      <w:r w:rsidRPr="00A35C95">
        <w:tab/>
        <w:t>a superannuation trustee service provided by the trustee of a pooled superannuation trust in the circumstances set out in paragraph (c);</w:t>
      </w:r>
    </w:p>
    <w:p w14:paraId="63EE1E0D" w14:textId="77777777" w:rsidR="00E93F58" w:rsidRPr="00A35C95" w:rsidRDefault="00E93F58" w:rsidP="00366AB5">
      <w:pPr>
        <w:pStyle w:val="paragraph"/>
        <w:tabs>
          <w:tab w:val="left" w:pos="2835"/>
        </w:tabs>
      </w:pPr>
      <w:r w:rsidRPr="00A35C95">
        <w:rPr>
          <w:color w:val="000000"/>
        </w:rPr>
        <w:tab/>
        <w:t>(d)</w:t>
      </w:r>
      <w:r w:rsidRPr="00A35C95">
        <w:rPr>
          <w:color w:val="000000"/>
        </w:rPr>
        <w:tab/>
        <w:t>dealing in a financial product by a person in the capacity of the trustee of a pooled superannuation trust in circumstances in which the pooled superannuation trust is not used for the investment of the assets of a regulated superannuation fund;</w:t>
      </w:r>
    </w:p>
    <w:p w14:paraId="4103B1AA" w14:textId="77777777" w:rsidR="00E93F58" w:rsidRPr="00A35C95" w:rsidRDefault="00E93F58" w:rsidP="00366AB5">
      <w:pPr>
        <w:pStyle w:val="paragraph"/>
        <w:tabs>
          <w:tab w:val="left" w:pos="2835"/>
        </w:tabs>
      </w:pPr>
      <w:r w:rsidRPr="00A35C95">
        <w:tab/>
        <w:t>(da)</w:t>
      </w:r>
      <w:r w:rsidRPr="00A35C95">
        <w:tab/>
        <w:t>a superannuation trustee service provided by the trustee of a pooled superannuation trust in the circumstances set out in paragraph (d);</w:t>
      </w:r>
    </w:p>
    <w:p w14:paraId="45C39189" w14:textId="77777777" w:rsidR="00E93F58" w:rsidRPr="00A35C95" w:rsidRDefault="00E93F58" w:rsidP="00674556">
      <w:pPr>
        <w:pStyle w:val="paragraph"/>
      </w:pPr>
      <w:r w:rsidRPr="00A35C95">
        <w:tab/>
        <w:t>(db)</w:t>
      </w:r>
      <w:r w:rsidRPr="00A35C95">
        <w:tab/>
        <w:t>dealing in a financial product by a person in the capacity of the trustee of a registrable superannuation entity in the ordinary course of operation of the registrable superannuation entity (other than a financial product that is an interest in the registrable superannuation entity);</w:t>
      </w:r>
    </w:p>
    <w:p w14:paraId="7AB3193F" w14:textId="77777777" w:rsidR="00E93F58" w:rsidRPr="00A35C95" w:rsidRDefault="00E93F58" w:rsidP="00366AB5">
      <w:pPr>
        <w:pStyle w:val="paragraph"/>
        <w:tabs>
          <w:tab w:val="left" w:pos="2835"/>
        </w:tabs>
      </w:pPr>
      <w:r w:rsidRPr="00A35C95">
        <w:tab/>
        <w:t>(e)</w:t>
      </w:r>
      <w:r w:rsidRPr="00A35C95">
        <w:tab/>
        <w:t>a financial service provided by a person (</w:t>
      </w:r>
      <w:r w:rsidRPr="00A35C95">
        <w:rPr>
          <w:b/>
          <w:i/>
        </w:rPr>
        <w:t>person 1</w:t>
      </w:r>
      <w:r w:rsidRPr="00A35C95">
        <w:t>) in the following circumstances:</w:t>
      </w:r>
    </w:p>
    <w:p w14:paraId="43DC75FB" w14:textId="77777777" w:rsidR="00E93F58" w:rsidRPr="00A35C95" w:rsidRDefault="00E93F58" w:rsidP="00366AB5">
      <w:pPr>
        <w:pStyle w:val="paragraphsub"/>
        <w:tabs>
          <w:tab w:val="left" w:pos="2835"/>
        </w:tabs>
      </w:pPr>
      <w:r w:rsidRPr="00A35C95">
        <w:tab/>
        <w:t>(i)</w:t>
      </w:r>
      <w:r w:rsidRPr="00A35C95">
        <w:tab/>
        <w:t>the service consists only of:</w:t>
      </w:r>
    </w:p>
    <w:p w14:paraId="7BA6EDD4" w14:textId="77777777" w:rsidR="00E93F58" w:rsidRPr="00A35C95" w:rsidRDefault="00E93F58" w:rsidP="00366AB5">
      <w:pPr>
        <w:pStyle w:val="paragraphsub-sub"/>
        <w:tabs>
          <w:tab w:val="left" w:pos="2835"/>
        </w:tabs>
      </w:pPr>
      <w:r w:rsidRPr="00A35C95">
        <w:tab/>
        <w:t>(A)</w:t>
      </w:r>
      <w:r w:rsidRPr="00A35C95">
        <w:tab/>
        <w:t>informing a person (</w:t>
      </w:r>
      <w:r w:rsidRPr="00A35C95">
        <w:rPr>
          <w:b/>
          <w:i/>
        </w:rPr>
        <w:t>person 2</w:t>
      </w:r>
      <w:r w:rsidRPr="00A35C95">
        <w:t>) that a financial services licensee, or a representative of the financial services licensee, is able to provide a particular financial service, or a class of financial services; and</w:t>
      </w:r>
    </w:p>
    <w:p w14:paraId="4DFEE170" w14:textId="77777777" w:rsidR="00E93F58" w:rsidRPr="00A35C95" w:rsidRDefault="00E93F58" w:rsidP="00366AB5">
      <w:pPr>
        <w:pStyle w:val="paragraphsub-sub"/>
        <w:tabs>
          <w:tab w:val="left" w:pos="2835"/>
        </w:tabs>
      </w:pPr>
      <w:r w:rsidRPr="00A35C95">
        <w:tab/>
        <w:t>(B)</w:t>
      </w:r>
      <w:r w:rsidRPr="00A35C95">
        <w:tab/>
        <w:t>giving person 2 information about how person 2 may contact the financial services licensee or representative;</w:t>
      </w:r>
    </w:p>
    <w:p w14:paraId="461B769B" w14:textId="77777777" w:rsidR="00E93F58" w:rsidRPr="00A35C95" w:rsidRDefault="00E93F58" w:rsidP="00366AB5">
      <w:pPr>
        <w:pStyle w:val="paragraphsub"/>
        <w:tabs>
          <w:tab w:val="left" w:pos="2835"/>
        </w:tabs>
      </w:pPr>
      <w:r w:rsidRPr="00A35C95">
        <w:tab/>
        <w:t>(ii)</w:t>
      </w:r>
      <w:r w:rsidRPr="00A35C95">
        <w:tab/>
        <w:t>person 1 is not a representative of the financial service licensee, or of a related body corporate of the financial services licensee</w:t>
      </w:r>
      <w:r w:rsidRPr="00A35C95">
        <w:rPr>
          <w:color w:val="000000"/>
        </w:rPr>
        <w:t>;</w:t>
      </w:r>
    </w:p>
    <w:p w14:paraId="26A1E7E2" w14:textId="77777777" w:rsidR="00E93F58" w:rsidRPr="00A35C95" w:rsidRDefault="00E93F58" w:rsidP="00366AB5">
      <w:pPr>
        <w:pStyle w:val="paragraphsub"/>
        <w:tabs>
          <w:tab w:val="left" w:pos="2835"/>
        </w:tabs>
      </w:pPr>
      <w:r w:rsidRPr="00A35C95">
        <w:tab/>
        <w:t>(iii)</w:t>
      </w:r>
      <w:r w:rsidRPr="00A35C95">
        <w:tab/>
        <w:t>person 1 discloses to person 2, when the service is provided:</w:t>
      </w:r>
    </w:p>
    <w:p w14:paraId="2C499F32" w14:textId="77777777" w:rsidR="00E93F58" w:rsidRPr="00A35C95" w:rsidRDefault="00E93F58" w:rsidP="00366AB5">
      <w:pPr>
        <w:pStyle w:val="paragraphsub-sub"/>
        <w:tabs>
          <w:tab w:val="left" w:pos="2835"/>
        </w:tabs>
      </w:pPr>
      <w:r w:rsidRPr="00A35C95">
        <w:tab/>
        <w:t>(A)</w:t>
      </w:r>
      <w:r w:rsidRPr="00A35C95">
        <w:tab/>
        <w:t>any benefits (including commission) that person 1, or an associate of person 1, may receive in respect of the service; and</w:t>
      </w:r>
    </w:p>
    <w:p w14:paraId="1F6D0FB1" w14:textId="77777777" w:rsidR="00E93F58" w:rsidRPr="00A35C95" w:rsidRDefault="00E93F58" w:rsidP="00366AB5">
      <w:pPr>
        <w:pStyle w:val="paragraphsub-sub"/>
        <w:tabs>
          <w:tab w:val="left" w:pos="2835"/>
        </w:tabs>
      </w:pPr>
      <w:r w:rsidRPr="00A35C95">
        <w:tab/>
        <w:t>(B)</w:t>
      </w:r>
      <w:r w:rsidRPr="00A35C95">
        <w:tab/>
        <w:t>any benefits (including commission) that person 1, or an associate of person 1, may receive that are attributable to the service;</w:t>
      </w:r>
    </w:p>
    <w:p w14:paraId="35FFBA90" w14:textId="77777777" w:rsidR="00E93F58" w:rsidRPr="00A35C95" w:rsidRDefault="00E93F58" w:rsidP="00366AB5">
      <w:pPr>
        <w:pStyle w:val="paragraphsub"/>
        <w:tabs>
          <w:tab w:val="left" w:pos="2835"/>
        </w:tabs>
      </w:pPr>
      <w:r w:rsidRPr="00A35C95">
        <w:tab/>
        <w:t>(iv)</w:t>
      </w:r>
      <w:r w:rsidRPr="00A35C95">
        <w:tab/>
        <w:t>the disclosure mentioned in subparagraph (iii) is provided in the same form as the information mentioned in subparagraph (i);</w:t>
      </w:r>
    </w:p>
    <w:p w14:paraId="2EA5082C" w14:textId="77777777" w:rsidR="00E93F58" w:rsidRPr="00A35C95" w:rsidRDefault="00E93F58" w:rsidP="00366AB5">
      <w:pPr>
        <w:pStyle w:val="paragraph"/>
        <w:tabs>
          <w:tab w:val="left" w:pos="2835"/>
        </w:tabs>
      </w:pPr>
      <w:r w:rsidRPr="00A35C95">
        <w:tab/>
        <w:t>(ea)</w:t>
      </w:r>
      <w:r w:rsidRPr="00A35C95">
        <w:tab/>
        <w:t>a financial service provided by a person (</w:t>
      </w:r>
      <w:r w:rsidRPr="00A35C95">
        <w:rPr>
          <w:b/>
          <w:i/>
        </w:rPr>
        <w:t>person 1</w:t>
      </w:r>
      <w:r w:rsidRPr="00A35C95">
        <w:t>) in the following circumstances:</w:t>
      </w:r>
    </w:p>
    <w:p w14:paraId="0C373C01" w14:textId="77777777" w:rsidR="00E93F58" w:rsidRPr="00A35C95" w:rsidRDefault="00E93F58" w:rsidP="00366AB5">
      <w:pPr>
        <w:pStyle w:val="paragraphsub"/>
        <w:tabs>
          <w:tab w:val="left" w:pos="2835"/>
        </w:tabs>
      </w:pPr>
      <w:r w:rsidRPr="00A35C95">
        <w:tab/>
        <w:t>(i)</w:t>
      </w:r>
      <w:r w:rsidRPr="00A35C95">
        <w:tab/>
        <w:t>the service consists only of:</w:t>
      </w:r>
    </w:p>
    <w:p w14:paraId="3E05B8CC" w14:textId="77777777" w:rsidR="00E93F58" w:rsidRPr="00A35C95" w:rsidRDefault="00E93F58" w:rsidP="00366AB5">
      <w:pPr>
        <w:pStyle w:val="paragraphsub-sub"/>
        <w:tabs>
          <w:tab w:val="left" w:pos="2835"/>
        </w:tabs>
      </w:pPr>
      <w:r w:rsidRPr="00A35C95">
        <w:tab/>
        <w:t>(A)</w:t>
      </w:r>
      <w:r w:rsidRPr="00A35C95">
        <w:tab/>
        <w:t>informing a person</w:t>
      </w:r>
      <w:r w:rsidRPr="00A35C95">
        <w:rPr>
          <w:color w:val="000000"/>
        </w:rPr>
        <w:t xml:space="preserve"> (</w:t>
      </w:r>
      <w:r w:rsidRPr="00A35C95">
        <w:rPr>
          <w:b/>
          <w:i/>
          <w:color w:val="000000"/>
        </w:rPr>
        <w:t>person 2</w:t>
      </w:r>
      <w:r w:rsidRPr="00A35C95">
        <w:rPr>
          <w:color w:val="000000"/>
        </w:rPr>
        <w:t>)</w:t>
      </w:r>
      <w:r w:rsidRPr="00A35C95">
        <w:t xml:space="preserve"> that a financial services licensee</w:t>
      </w:r>
      <w:r w:rsidRPr="00A35C95">
        <w:rPr>
          <w:color w:val="000000"/>
        </w:rPr>
        <w:t>, or a representative of the financial services licensee,</w:t>
      </w:r>
      <w:r w:rsidRPr="00A35C95">
        <w:t xml:space="preserve"> is able to provide a particular financial service, or a class of financial services; and</w:t>
      </w:r>
    </w:p>
    <w:p w14:paraId="7C8F3A0E" w14:textId="77777777" w:rsidR="00E93F58" w:rsidRPr="00A35C95" w:rsidRDefault="00E93F58" w:rsidP="00366AB5">
      <w:pPr>
        <w:pStyle w:val="paragraphsub-sub"/>
        <w:tabs>
          <w:tab w:val="left" w:pos="2835"/>
        </w:tabs>
      </w:pPr>
      <w:r w:rsidRPr="00A35C95">
        <w:lastRenderedPageBreak/>
        <w:tab/>
        <w:t>(B)</w:t>
      </w:r>
      <w:r w:rsidRPr="00A35C95">
        <w:tab/>
        <w:t>giving person 2 information about how person 2 may contact the financial services licensee or representative;</w:t>
      </w:r>
    </w:p>
    <w:p w14:paraId="1DB32406" w14:textId="77777777" w:rsidR="00E93F58" w:rsidRPr="00A35C95" w:rsidRDefault="00E93F58" w:rsidP="00366AB5">
      <w:pPr>
        <w:pStyle w:val="paragraphsub"/>
        <w:tabs>
          <w:tab w:val="left" w:pos="2835"/>
        </w:tabs>
      </w:pPr>
      <w:r w:rsidRPr="00A35C95">
        <w:tab/>
        <w:t>(ii)</w:t>
      </w:r>
      <w:r w:rsidRPr="00A35C95">
        <w:tab/>
        <w:t>person 1 is a representative of the financial service licensee, or of a related body corporate of the financial services licensee;</w:t>
      </w:r>
    </w:p>
    <w:p w14:paraId="7C79B43F" w14:textId="77777777" w:rsidR="00E93F58" w:rsidRPr="00A35C95" w:rsidRDefault="00E93F58" w:rsidP="00366AB5">
      <w:pPr>
        <w:pStyle w:val="paragraph"/>
        <w:tabs>
          <w:tab w:val="left" w:pos="2835"/>
        </w:tabs>
      </w:pPr>
      <w:r w:rsidRPr="00A35C95">
        <w:tab/>
        <w:t>(f)</w:t>
      </w:r>
      <w:r w:rsidRPr="00A35C95">
        <w:tab/>
        <w:t>a financial service provided in the following circumstances:</w:t>
      </w:r>
    </w:p>
    <w:p w14:paraId="6404CC52" w14:textId="77777777" w:rsidR="00E93F58" w:rsidRPr="00A35C95" w:rsidRDefault="00E93F58" w:rsidP="00366AB5">
      <w:pPr>
        <w:pStyle w:val="paragraphsub"/>
        <w:tabs>
          <w:tab w:val="left" w:pos="2835"/>
        </w:tabs>
      </w:pPr>
      <w:r w:rsidRPr="00A35C95">
        <w:rPr>
          <w:color w:val="000000"/>
        </w:rPr>
        <w:tab/>
        <w:t>(i)</w:t>
      </w:r>
      <w:r w:rsidRPr="00A35C95">
        <w:rPr>
          <w:color w:val="000000"/>
        </w:rPr>
        <w:tab/>
        <w:t>a person (</w:t>
      </w:r>
      <w:r w:rsidRPr="00A35C95">
        <w:rPr>
          <w:b/>
          <w:i/>
          <w:color w:val="000000"/>
        </w:rPr>
        <w:t>person 1</w:t>
      </w:r>
      <w:r w:rsidRPr="00A35C95">
        <w:rPr>
          <w:color w:val="000000"/>
        </w:rPr>
        <w:t>) is a person that is not in the jurisdiction;</w:t>
      </w:r>
    </w:p>
    <w:p w14:paraId="271F544F" w14:textId="77777777" w:rsidR="00E93F58" w:rsidRPr="00A35C95" w:rsidRDefault="00E93F58" w:rsidP="00366AB5">
      <w:pPr>
        <w:pStyle w:val="paragraphsub"/>
        <w:tabs>
          <w:tab w:val="left" w:pos="2835"/>
        </w:tabs>
      </w:pPr>
      <w:r w:rsidRPr="00A35C95">
        <w:tab/>
        <w:t>(ii)</w:t>
      </w:r>
      <w:r w:rsidRPr="00A35C95">
        <w:tab/>
        <w:t>person 1 arranges, on behalf of another person (</w:t>
      </w:r>
      <w:r w:rsidRPr="00A35C95">
        <w:rPr>
          <w:b/>
          <w:i/>
        </w:rPr>
        <w:t>person 2</w:t>
      </w:r>
      <w:r w:rsidRPr="00A35C95">
        <w:t>), for a holder of an Australian financial services licence to deal in a financial product;</w:t>
      </w:r>
    </w:p>
    <w:p w14:paraId="77F23177" w14:textId="77777777" w:rsidR="00E93F58" w:rsidRPr="00A35C95" w:rsidRDefault="00E93F58" w:rsidP="00366AB5">
      <w:pPr>
        <w:pStyle w:val="paragraphsub"/>
        <w:tabs>
          <w:tab w:val="left" w:pos="2835"/>
        </w:tabs>
      </w:pPr>
      <w:r w:rsidRPr="00A35C95">
        <w:tab/>
        <w:t>(iii)</w:t>
      </w:r>
      <w:r w:rsidRPr="00A35C95">
        <w:tab/>
        <w:t>person 1 believes on reasonable grounds that person 2 is not in the jurisdiction;</w:t>
      </w:r>
    </w:p>
    <w:p w14:paraId="2160891C" w14:textId="77777777" w:rsidR="00E93F58" w:rsidRPr="00A35C95" w:rsidRDefault="00E93F58" w:rsidP="00366AB5">
      <w:pPr>
        <w:pStyle w:val="paragraph"/>
        <w:tabs>
          <w:tab w:val="left" w:pos="2835"/>
        </w:tabs>
      </w:pPr>
      <w:r w:rsidRPr="00A35C95">
        <w:tab/>
        <w:t>(fa)</w:t>
      </w:r>
      <w:r w:rsidRPr="00A35C95">
        <w:tab/>
        <w:t>a financial service is provided in the following circumstances:</w:t>
      </w:r>
    </w:p>
    <w:p w14:paraId="0F78B9C9" w14:textId="77777777" w:rsidR="00E93F58" w:rsidRPr="00A35C95" w:rsidRDefault="00E93F58" w:rsidP="00366AB5">
      <w:pPr>
        <w:pStyle w:val="paragraphsub"/>
        <w:tabs>
          <w:tab w:val="left" w:pos="2835"/>
        </w:tabs>
      </w:pPr>
      <w:r w:rsidRPr="00A35C95">
        <w:tab/>
        <w:t>(i)</w:t>
      </w:r>
      <w:r w:rsidRPr="00A35C95">
        <w:tab/>
        <w:t>a person (</w:t>
      </w:r>
      <w:r w:rsidRPr="00A35C95">
        <w:rPr>
          <w:b/>
          <w:i/>
        </w:rPr>
        <w:t>person 1</w:t>
      </w:r>
      <w:r w:rsidRPr="00A35C95">
        <w:t>) is a person that is not in the jurisdiction;</w:t>
      </w:r>
    </w:p>
    <w:p w14:paraId="257C19DB" w14:textId="77777777" w:rsidR="00E93F58" w:rsidRPr="00A35C95" w:rsidRDefault="00E93F58" w:rsidP="00366AB5">
      <w:pPr>
        <w:pStyle w:val="paragraphsub"/>
        <w:tabs>
          <w:tab w:val="left" w:pos="2835"/>
        </w:tabs>
      </w:pPr>
      <w:r w:rsidRPr="00A35C95">
        <w:tab/>
        <w:t>(ii)</w:t>
      </w:r>
      <w:r w:rsidRPr="00A35C95">
        <w:tab/>
        <w:t>person 1 enters into an arrangement with the holder of an Australian financial services licence under which a financial product, or a beneficial interest in a financial product, is to be held on trust for, or on behalf of, another person (</w:t>
      </w:r>
      <w:r w:rsidRPr="00A35C95">
        <w:rPr>
          <w:b/>
          <w:i/>
        </w:rPr>
        <w:t>person 2</w:t>
      </w:r>
      <w:r w:rsidRPr="00A35C95">
        <w:t>);</w:t>
      </w:r>
    </w:p>
    <w:p w14:paraId="24F8A520" w14:textId="77777777" w:rsidR="00E93F58" w:rsidRPr="00A35C95" w:rsidRDefault="00E93F58" w:rsidP="00366AB5">
      <w:pPr>
        <w:pStyle w:val="paragraphsub"/>
        <w:tabs>
          <w:tab w:val="left" w:pos="2835"/>
        </w:tabs>
      </w:pPr>
      <w:r w:rsidRPr="00A35C95">
        <w:tab/>
        <w:t>(iii)</w:t>
      </w:r>
      <w:r w:rsidRPr="00A35C95">
        <w:tab/>
        <w:t>person 1 believes on reasonable grounds that person 2 is not in the jurisdiction;</w:t>
      </w:r>
    </w:p>
    <w:p w14:paraId="71E389CC" w14:textId="77777777" w:rsidR="00E93F58" w:rsidRPr="00A35C95" w:rsidRDefault="00E93F58" w:rsidP="00366AB5">
      <w:pPr>
        <w:pStyle w:val="paragraph"/>
        <w:tabs>
          <w:tab w:val="left" w:pos="2835"/>
        </w:tabs>
      </w:pPr>
      <w:r w:rsidRPr="00A35C95">
        <w:tab/>
        <w:t>(g)</w:t>
      </w:r>
      <w:r w:rsidRPr="00A35C95">
        <w:tab/>
        <w:t>a financial service provided in the following circumstances:</w:t>
      </w:r>
    </w:p>
    <w:p w14:paraId="412A5AC2" w14:textId="77777777" w:rsidR="00E93F58" w:rsidRPr="00A35C95" w:rsidRDefault="00E93F58" w:rsidP="00366AB5">
      <w:pPr>
        <w:pStyle w:val="paragraphsub"/>
        <w:tabs>
          <w:tab w:val="left" w:pos="2835"/>
        </w:tabs>
      </w:pPr>
      <w:r w:rsidRPr="00A35C95">
        <w:rPr>
          <w:color w:val="000000"/>
        </w:rPr>
        <w:tab/>
        <w:t>(i)</w:t>
      </w:r>
      <w:r w:rsidRPr="00A35C95">
        <w:rPr>
          <w:color w:val="000000"/>
        </w:rPr>
        <w:tab/>
        <w:t>a person (</w:t>
      </w:r>
      <w:r w:rsidRPr="00A35C95">
        <w:rPr>
          <w:b/>
          <w:i/>
          <w:color w:val="000000"/>
        </w:rPr>
        <w:t>person 1</w:t>
      </w:r>
      <w:r w:rsidRPr="00A35C95">
        <w:rPr>
          <w:color w:val="000000"/>
        </w:rPr>
        <w:t>) is a person that is not in the jurisdiction;</w:t>
      </w:r>
    </w:p>
    <w:p w14:paraId="10E8A3DD" w14:textId="77777777" w:rsidR="00E93F58" w:rsidRPr="00A35C95" w:rsidRDefault="00E93F58" w:rsidP="00366AB5">
      <w:pPr>
        <w:pStyle w:val="paragraphsub"/>
        <w:tabs>
          <w:tab w:val="left" w:pos="2835"/>
        </w:tabs>
      </w:pPr>
      <w:r w:rsidRPr="00A35C95">
        <w:tab/>
        <w:t>(ii)</w:t>
      </w:r>
      <w:r w:rsidRPr="00A35C95">
        <w:tab/>
        <w:t>person 1 believes on reasonable grounds that another person (</w:t>
      </w:r>
      <w:r w:rsidRPr="00A35C95">
        <w:rPr>
          <w:b/>
          <w:i/>
        </w:rPr>
        <w:t>person 2</w:t>
      </w:r>
      <w:r w:rsidRPr="00A35C95">
        <w:t>) is not in the jurisdiction;</w:t>
      </w:r>
    </w:p>
    <w:p w14:paraId="47E31187" w14:textId="77777777" w:rsidR="00E93F58" w:rsidRPr="00A35C95" w:rsidRDefault="00E93F58" w:rsidP="00366AB5">
      <w:pPr>
        <w:pStyle w:val="paragraphsub"/>
        <w:tabs>
          <w:tab w:val="left" w:pos="2835"/>
        </w:tabs>
      </w:pPr>
      <w:r w:rsidRPr="00A35C95">
        <w:tab/>
        <w:t>(iii)</w:t>
      </w:r>
      <w:r w:rsidRPr="00A35C95">
        <w:tab/>
        <w:t>person 1 deals on behalf of person 2 in a financial product that cannot be traded on a licensed market;</w:t>
      </w:r>
    </w:p>
    <w:p w14:paraId="6D244361" w14:textId="77777777" w:rsidR="00E93F58" w:rsidRPr="00A35C95" w:rsidRDefault="00E93F58" w:rsidP="00366AB5">
      <w:pPr>
        <w:pStyle w:val="paragraphsub"/>
        <w:tabs>
          <w:tab w:val="left" w:pos="2835"/>
        </w:tabs>
      </w:pPr>
      <w:r w:rsidRPr="00A35C95">
        <w:tab/>
        <w:t>(iv)</w:t>
      </w:r>
      <w:r w:rsidRPr="00A35C95">
        <w:tab/>
        <w:t>person 1 believes on reasonable grounds that each person who is a party to the dealing or any transaction to which the dealing relates is a person that is not in the jurisdiction;</w:t>
      </w:r>
    </w:p>
    <w:p w14:paraId="2339CA30" w14:textId="77777777" w:rsidR="00E93F58" w:rsidRPr="00BE1284" w:rsidRDefault="00E93F58" w:rsidP="00485224">
      <w:pPr>
        <w:pStyle w:val="paragraph"/>
      </w:pPr>
      <w:r w:rsidRPr="00BE1284">
        <w:tab/>
        <w:t>(h)</w:t>
      </w:r>
      <w:r w:rsidRPr="00BE1284">
        <w:tab/>
        <w:t>a dealing in a financial product that consists only of an employer</w:t>
      </w:r>
      <w:r>
        <w:noBreakHyphen/>
      </w:r>
      <w:r w:rsidRPr="00BE1284">
        <w:t>sponsor paying contributions on behalf of an employee into a superannuation product or RSA;</w:t>
      </w:r>
    </w:p>
    <w:p w14:paraId="7B0E6747" w14:textId="77777777" w:rsidR="00E93F58" w:rsidRPr="00A35C95" w:rsidRDefault="00E93F58" w:rsidP="00366AB5">
      <w:pPr>
        <w:pStyle w:val="paragraph"/>
        <w:tabs>
          <w:tab w:val="left" w:pos="2835"/>
        </w:tabs>
      </w:pPr>
      <w:r w:rsidRPr="00A35C95">
        <w:tab/>
        <w:t>(hb)</w:t>
      </w:r>
      <w:r w:rsidRPr="00A35C95">
        <w:tab/>
        <w:t xml:space="preserve">a dealing in a financial product that consists only of an RSA provider paying the benefits of an </w:t>
      </w:r>
      <w:r w:rsidRPr="00BE1284">
        <w:t>RSA</w:t>
      </w:r>
      <w:r w:rsidRPr="00A35C95">
        <w:t xml:space="preserve"> holder into a superannuation product or </w:t>
      </w:r>
      <w:r w:rsidRPr="00BE1284">
        <w:t>RSA</w:t>
      </w:r>
      <w:r w:rsidRPr="00A35C95">
        <w:t>;</w:t>
      </w:r>
    </w:p>
    <w:p w14:paraId="729D18CF" w14:textId="77777777" w:rsidR="00E93F58" w:rsidRPr="00A35C95" w:rsidRDefault="00E93F58" w:rsidP="00366AB5">
      <w:pPr>
        <w:pStyle w:val="paragraph"/>
        <w:tabs>
          <w:tab w:val="left" w:pos="2835"/>
        </w:tabs>
      </w:pPr>
      <w:r w:rsidRPr="00A35C95">
        <w:tab/>
        <w:t>(hc)</w:t>
      </w:r>
      <w:r w:rsidRPr="00A35C95">
        <w:tab/>
        <w:t>a dealing in a financial product that consists only of an employer</w:t>
      </w:r>
      <w:r>
        <w:noBreakHyphen/>
      </w:r>
      <w:r w:rsidRPr="00A35C95">
        <w:t>sponsor arranging for the issue of a superannuation product to an employee;</w:t>
      </w:r>
    </w:p>
    <w:p w14:paraId="0FCDAD85" w14:textId="77777777" w:rsidR="00E93F58" w:rsidRPr="00A35C95" w:rsidRDefault="00E93F58" w:rsidP="00366AB5">
      <w:pPr>
        <w:pStyle w:val="paragraph"/>
        <w:tabs>
          <w:tab w:val="left" w:pos="2835"/>
        </w:tabs>
      </w:pPr>
      <w:r w:rsidRPr="00A35C95">
        <w:tab/>
        <w:t>(k)</w:t>
      </w:r>
      <w:r w:rsidRPr="00A35C95">
        <w:tab/>
        <w:t>a financial service provided in the following circumstances:</w:t>
      </w:r>
    </w:p>
    <w:p w14:paraId="60868595" w14:textId="77777777" w:rsidR="00E93F58" w:rsidRPr="00A35C95" w:rsidRDefault="00E93F58" w:rsidP="00366AB5">
      <w:pPr>
        <w:pStyle w:val="paragraphsub"/>
        <w:tabs>
          <w:tab w:val="left" w:pos="2835"/>
        </w:tabs>
      </w:pPr>
      <w:r w:rsidRPr="00A35C95">
        <w:rPr>
          <w:color w:val="000000"/>
        </w:rPr>
        <w:tab/>
        <w:t>(i)</w:t>
      </w:r>
      <w:r w:rsidRPr="00A35C95">
        <w:rPr>
          <w:color w:val="000000"/>
        </w:rPr>
        <w:tab/>
        <w:t>the financial service is provided in respect of a financial product by a person (who may be described as a ‘sub</w:t>
      </w:r>
      <w:r>
        <w:rPr>
          <w:color w:val="000000"/>
        </w:rPr>
        <w:noBreakHyphen/>
      </w:r>
      <w:r w:rsidRPr="00A35C95">
        <w:rPr>
          <w:color w:val="000000"/>
        </w:rPr>
        <w:t xml:space="preserve">custodian’) under an arrangement with a financial services licensee (the </w:t>
      </w:r>
      <w:r w:rsidRPr="00A35C95">
        <w:rPr>
          <w:b/>
          <w:i/>
          <w:color w:val="000000"/>
        </w:rPr>
        <w:t>master</w:t>
      </w:r>
      <w:r>
        <w:rPr>
          <w:b/>
          <w:i/>
          <w:color w:val="000000"/>
        </w:rPr>
        <w:noBreakHyphen/>
      </w:r>
      <w:r w:rsidRPr="00A35C95">
        <w:rPr>
          <w:b/>
          <w:i/>
          <w:color w:val="000000"/>
        </w:rPr>
        <w:t>custodian</w:t>
      </w:r>
      <w:r w:rsidRPr="00A35C95">
        <w:rPr>
          <w:color w:val="000000"/>
        </w:rPr>
        <w:t>);</w:t>
      </w:r>
    </w:p>
    <w:p w14:paraId="23BF7CCC" w14:textId="77777777" w:rsidR="00E93F58" w:rsidRPr="00A35C95" w:rsidRDefault="00E93F58" w:rsidP="00366AB5">
      <w:pPr>
        <w:pStyle w:val="paragraphsub"/>
        <w:tabs>
          <w:tab w:val="left" w:pos="2835"/>
        </w:tabs>
      </w:pPr>
      <w:r w:rsidRPr="00A35C95">
        <w:tab/>
        <w:t>(ii)</w:t>
      </w:r>
      <w:r w:rsidRPr="00A35C95">
        <w:tab/>
        <w:t>the master</w:t>
      </w:r>
      <w:r>
        <w:noBreakHyphen/>
      </w:r>
      <w:r w:rsidRPr="00A35C95">
        <w:t>custodian is authorised by its Australian financial services licence to provide a custodial or depository service;</w:t>
      </w:r>
    </w:p>
    <w:p w14:paraId="04236585" w14:textId="77777777" w:rsidR="00E93F58" w:rsidRPr="00A35C95" w:rsidRDefault="00E93F58" w:rsidP="00366AB5">
      <w:pPr>
        <w:pStyle w:val="paragraphsub"/>
        <w:tabs>
          <w:tab w:val="left" w:pos="2835"/>
        </w:tabs>
      </w:pPr>
      <w:r w:rsidRPr="00A35C95">
        <w:tab/>
        <w:t>(iii)</w:t>
      </w:r>
      <w:r w:rsidRPr="00A35C95">
        <w:tab/>
        <w:t>a beneficial interest in the financial product is held by the master</w:t>
      </w:r>
      <w:r>
        <w:noBreakHyphen/>
      </w:r>
      <w:r w:rsidRPr="00A35C95">
        <w:t>custodian on trust for or on behalf of a client as part of providing a custodial or depository service authorised by its Australian financial services licence;</w:t>
      </w:r>
    </w:p>
    <w:p w14:paraId="5CFA56C3" w14:textId="77777777" w:rsidR="00E93F58" w:rsidRPr="00A35C95" w:rsidRDefault="00E93F58" w:rsidP="00366AB5">
      <w:pPr>
        <w:pStyle w:val="paragraph"/>
        <w:tabs>
          <w:tab w:val="left" w:pos="2835"/>
        </w:tabs>
      </w:pPr>
      <w:r w:rsidRPr="00A35C95">
        <w:tab/>
        <w:t>(l)</w:t>
      </w:r>
      <w:r w:rsidRPr="00A35C95">
        <w:tab/>
        <w:t>a financial service provided by a person (</w:t>
      </w:r>
      <w:r w:rsidRPr="00A35C95">
        <w:rPr>
          <w:b/>
          <w:i/>
        </w:rPr>
        <w:t>person 1</w:t>
      </w:r>
      <w:r w:rsidRPr="00A35C95">
        <w:t>) in the following circumstances:</w:t>
      </w:r>
    </w:p>
    <w:p w14:paraId="0ADF6091" w14:textId="77777777" w:rsidR="00E93F58" w:rsidRPr="00A35C95" w:rsidRDefault="00E93F58" w:rsidP="00366AB5">
      <w:pPr>
        <w:pStyle w:val="paragraphsub"/>
        <w:tabs>
          <w:tab w:val="left" w:pos="2835"/>
        </w:tabs>
      </w:pPr>
      <w:r w:rsidRPr="00A35C95">
        <w:rPr>
          <w:color w:val="000000"/>
        </w:rPr>
        <w:tab/>
        <w:t>(i)</w:t>
      </w:r>
      <w:r w:rsidRPr="00A35C95">
        <w:rPr>
          <w:color w:val="000000"/>
        </w:rPr>
        <w:tab/>
        <w:t>the financial service is provided to another person (</w:t>
      </w:r>
      <w:r w:rsidRPr="00A35C95">
        <w:rPr>
          <w:b/>
          <w:i/>
          <w:color w:val="000000"/>
        </w:rPr>
        <w:t>person 2</w:t>
      </w:r>
      <w:r w:rsidRPr="00A35C95">
        <w:rPr>
          <w:color w:val="000000"/>
        </w:rPr>
        <w:t>) in the ordinary course of person 1’s business;</w:t>
      </w:r>
    </w:p>
    <w:p w14:paraId="36885977" w14:textId="77777777" w:rsidR="00E93F58" w:rsidRPr="00A35C95" w:rsidRDefault="00E93F58" w:rsidP="00366AB5">
      <w:pPr>
        <w:pStyle w:val="paragraphsub"/>
        <w:tabs>
          <w:tab w:val="left" w:pos="2835"/>
        </w:tabs>
      </w:pPr>
      <w:r w:rsidRPr="00A35C95">
        <w:tab/>
        <w:t>(ii)</w:t>
      </w:r>
      <w:r w:rsidRPr="00A35C95">
        <w:tab/>
        <w:t>person 1 does not provide financial services as a significant part of person 1’s business;</w:t>
      </w:r>
    </w:p>
    <w:p w14:paraId="27DD0C50" w14:textId="77777777" w:rsidR="00E93F58" w:rsidRPr="00A35C95" w:rsidRDefault="00E93F58" w:rsidP="00366AB5">
      <w:pPr>
        <w:pStyle w:val="paragraphsub"/>
        <w:tabs>
          <w:tab w:val="left" w:pos="2835"/>
        </w:tabs>
      </w:pPr>
      <w:r w:rsidRPr="00A35C95">
        <w:tab/>
        <w:t>(iii)</w:t>
      </w:r>
      <w:r w:rsidRPr="00A35C95">
        <w:tab/>
        <w:t>the financial service consists only of either or both of:</w:t>
      </w:r>
    </w:p>
    <w:p w14:paraId="662E29FC" w14:textId="77777777" w:rsidR="00E93F58" w:rsidRPr="00A35C95" w:rsidRDefault="00E93F58" w:rsidP="00366AB5">
      <w:pPr>
        <w:pStyle w:val="paragraphsub-sub"/>
        <w:tabs>
          <w:tab w:val="left" w:pos="2835"/>
        </w:tabs>
      </w:pPr>
      <w:r w:rsidRPr="00A35C95">
        <w:rPr>
          <w:color w:val="000000"/>
        </w:rPr>
        <w:tab/>
        <w:t>(A)</w:t>
      </w:r>
      <w:r w:rsidRPr="00A35C95">
        <w:rPr>
          <w:color w:val="000000"/>
        </w:rPr>
        <w:tab/>
        <w:t>advising person 2 in relation to a non</w:t>
      </w:r>
      <w:r>
        <w:rPr>
          <w:color w:val="000000"/>
        </w:rPr>
        <w:noBreakHyphen/>
      </w:r>
      <w:r w:rsidRPr="00A35C95">
        <w:rPr>
          <w:color w:val="000000"/>
        </w:rPr>
        <w:t>cash payments facility that person 2 may use or has used to pay person 1 for goods or services; and</w:t>
      </w:r>
    </w:p>
    <w:p w14:paraId="140D88FC" w14:textId="77777777" w:rsidR="00E93F58" w:rsidRPr="00A35C95" w:rsidRDefault="00E93F58" w:rsidP="00366AB5">
      <w:pPr>
        <w:pStyle w:val="paragraphsub-sub"/>
        <w:tabs>
          <w:tab w:val="left" w:pos="2835"/>
        </w:tabs>
      </w:pPr>
      <w:r w:rsidRPr="00A35C95">
        <w:tab/>
        <w:t>(B)</w:t>
      </w:r>
      <w:r w:rsidRPr="00A35C95">
        <w:tab/>
        <w:t>arranging to deal in a non</w:t>
      </w:r>
      <w:r>
        <w:noBreakHyphen/>
      </w:r>
      <w:r w:rsidRPr="00A35C95">
        <w:t>cash payments facility that person 2 will use to pay person 1 for goods or services;</w:t>
      </w:r>
    </w:p>
    <w:p w14:paraId="664CD641" w14:textId="77777777" w:rsidR="00E93F58" w:rsidRPr="00A35C95" w:rsidRDefault="00E93F58" w:rsidP="00366AB5">
      <w:pPr>
        <w:pStyle w:val="paragraphsub"/>
        <w:tabs>
          <w:tab w:val="left" w:pos="2835"/>
        </w:tabs>
      </w:pPr>
      <w:r w:rsidRPr="00A35C95">
        <w:rPr>
          <w:color w:val="000000"/>
        </w:rPr>
        <w:tab/>
        <w:t>(iv)</w:t>
      </w:r>
      <w:r w:rsidRPr="00A35C95">
        <w:rPr>
          <w:color w:val="000000"/>
        </w:rPr>
        <w:tab/>
        <w:t>the goods and services do not include any financial products or financial services;</w:t>
      </w:r>
    </w:p>
    <w:p w14:paraId="2CC469FC" w14:textId="77777777" w:rsidR="00E93F58" w:rsidRPr="00A35C95" w:rsidRDefault="00E93F58" w:rsidP="00366AB5">
      <w:pPr>
        <w:pStyle w:val="notetext"/>
        <w:tabs>
          <w:tab w:val="left" w:pos="2835"/>
        </w:tabs>
      </w:pPr>
      <w:r w:rsidRPr="00A35C95">
        <w:t>Example:</w:t>
      </w:r>
    </w:p>
    <w:p w14:paraId="0622B162" w14:textId="77777777" w:rsidR="00E93F58" w:rsidRPr="00A35C95" w:rsidRDefault="00E93F58" w:rsidP="00366AB5">
      <w:pPr>
        <w:pStyle w:val="notetext"/>
        <w:tabs>
          <w:tab w:val="left" w:pos="2835"/>
        </w:tabs>
      </w:pPr>
      <w:r w:rsidRPr="00A35C95">
        <w:tab/>
        <w:t>A retailer might offer its customers a variety of payment methods for payment for goods and services, such as a credit card, Bpay, or direct debit.</w:t>
      </w:r>
    </w:p>
    <w:p w14:paraId="7BFB9EFE" w14:textId="77777777" w:rsidR="00E93F58" w:rsidRPr="00A35C95" w:rsidRDefault="00E93F58" w:rsidP="00366AB5">
      <w:pPr>
        <w:pStyle w:val="notetext"/>
        <w:tabs>
          <w:tab w:val="left" w:pos="2835"/>
        </w:tabs>
      </w:pPr>
      <w:r w:rsidRPr="00A35C95">
        <w:tab/>
        <w:t>A recommendation of a particular payment method, or the expression of an opinion about the payment methods available to the customer, should not require an Australian financial services licence.</w:t>
      </w:r>
    </w:p>
    <w:p w14:paraId="7F0F5E6C" w14:textId="77777777" w:rsidR="00E93F58" w:rsidRPr="00A35C95" w:rsidRDefault="00E93F58" w:rsidP="00366AB5">
      <w:pPr>
        <w:pStyle w:val="paragraph"/>
        <w:tabs>
          <w:tab w:val="left" w:pos="2835"/>
        </w:tabs>
      </w:pPr>
      <w:r w:rsidRPr="00A35C95">
        <w:tab/>
        <w:t>(la)</w:t>
      </w:r>
      <w:r w:rsidRPr="00A35C95">
        <w:tab/>
        <w:t>a financial service provided by a person (</w:t>
      </w:r>
      <w:r w:rsidRPr="00A35C95">
        <w:rPr>
          <w:b/>
          <w:i/>
        </w:rPr>
        <w:t>person 1</w:t>
      </w:r>
      <w:r w:rsidRPr="00A35C95">
        <w:t>) to another person (</w:t>
      </w:r>
      <w:r w:rsidRPr="00A35C95">
        <w:rPr>
          <w:b/>
          <w:i/>
        </w:rPr>
        <w:t>person 2</w:t>
      </w:r>
      <w:r w:rsidRPr="00A35C95">
        <w:t>), if:</w:t>
      </w:r>
    </w:p>
    <w:p w14:paraId="0BA641A9" w14:textId="77777777" w:rsidR="00E93F58" w:rsidRPr="00A35C95" w:rsidRDefault="00E93F58" w:rsidP="00366AB5">
      <w:pPr>
        <w:pStyle w:val="paragraphsub"/>
        <w:tabs>
          <w:tab w:val="left" w:pos="2835"/>
        </w:tabs>
      </w:pPr>
      <w:r w:rsidRPr="00A35C95">
        <w:tab/>
        <w:t>(i)</w:t>
      </w:r>
      <w:r w:rsidRPr="00A35C95">
        <w:tab/>
        <w:t>the financial service is provided in the ordinary course of person 1’s business; and</w:t>
      </w:r>
    </w:p>
    <w:p w14:paraId="04319D95" w14:textId="77777777" w:rsidR="00E93F58" w:rsidRPr="00A35C95" w:rsidRDefault="00E93F58" w:rsidP="00366AB5">
      <w:pPr>
        <w:pStyle w:val="paragraphsub"/>
        <w:tabs>
          <w:tab w:val="left" w:pos="2835"/>
        </w:tabs>
      </w:pPr>
      <w:r w:rsidRPr="00A35C95">
        <w:tab/>
        <w:t>(ii)</w:t>
      </w:r>
      <w:r w:rsidRPr="00A35C95">
        <w:tab/>
        <w:t>person 1:</w:t>
      </w:r>
    </w:p>
    <w:p w14:paraId="7E76FE8B" w14:textId="77777777" w:rsidR="00E93F58" w:rsidRPr="00A35C95" w:rsidRDefault="00E93F58" w:rsidP="00366AB5">
      <w:pPr>
        <w:pStyle w:val="paragraphsub-sub"/>
        <w:tabs>
          <w:tab w:val="left" w:pos="2835"/>
        </w:tabs>
      </w:pPr>
      <w:r w:rsidRPr="00A35C95">
        <w:lastRenderedPageBreak/>
        <w:tab/>
        <w:t>(A)</w:t>
      </w:r>
      <w:r w:rsidRPr="00A35C95">
        <w:tab/>
        <w:t>holds an Australian financial services licence authorising the provision of financial services other than the financial service mentioned in subparagraph (i); or</w:t>
      </w:r>
    </w:p>
    <w:p w14:paraId="36101B26" w14:textId="77777777" w:rsidR="00E93F58" w:rsidRPr="00A35C95" w:rsidRDefault="00E93F58" w:rsidP="00366AB5">
      <w:pPr>
        <w:pStyle w:val="paragraphsub-sub"/>
        <w:tabs>
          <w:tab w:val="left" w:pos="2835"/>
        </w:tabs>
      </w:pPr>
      <w:r w:rsidRPr="00A35C95">
        <w:tab/>
        <w:t>(B)</w:t>
      </w:r>
      <w:r w:rsidRPr="00A35C95">
        <w:tab/>
        <w:t>does not hold an Australian financial services licence; and</w:t>
      </w:r>
    </w:p>
    <w:p w14:paraId="22EE5600" w14:textId="77777777" w:rsidR="00E93F58" w:rsidRPr="00A35C95" w:rsidRDefault="00E93F58" w:rsidP="00366AB5">
      <w:pPr>
        <w:pStyle w:val="paragraphsub"/>
        <w:tabs>
          <w:tab w:val="left" w:pos="2835"/>
        </w:tabs>
      </w:pPr>
      <w:r w:rsidRPr="00A35C95">
        <w:tab/>
        <w:t>(iii)</w:t>
      </w:r>
      <w:r w:rsidRPr="00A35C95">
        <w:tab/>
        <w:t>the financial service consists of either or both of the following:</w:t>
      </w:r>
    </w:p>
    <w:p w14:paraId="2C6605A2" w14:textId="77777777" w:rsidR="00E93F58" w:rsidRPr="00A35C95" w:rsidRDefault="00E93F58" w:rsidP="00366AB5">
      <w:pPr>
        <w:pStyle w:val="paragraphsub-sub"/>
        <w:tabs>
          <w:tab w:val="left" w:pos="2835"/>
        </w:tabs>
      </w:pPr>
      <w:r w:rsidRPr="00A35C95">
        <w:tab/>
        <w:t>(A)</w:t>
      </w:r>
      <w:r w:rsidRPr="00A35C95">
        <w:tab/>
        <w:t>advising person 2 in relation to a non</w:t>
      </w:r>
      <w:r>
        <w:noBreakHyphen/>
      </w:r>
      <w:r w:rsidRPr="00A35C95">
        <w:t>cash payments facility that person 2 may use, or has used, to pay person 1 for a financial product or a financial service;</w:t>
      </w:r>
    </w:p>
    <w:p w14:paraId="60F2E434" w14:textId="77777777" w:rsidR="00E93F58" w:rsidRPr="00A35C95" w:rsidRDefault="00E93F58" w:rsidP="00366AB5">
      <w:pPr>
        <w:pStyle w:val="paragraphsub-sub"/>
        <w:tabs>
          <w:tab w:val="left" w:pos="2835"/>
        </w:tabs>
      </w:pPr>
      <w:r w:rsidRPr="00A35C95">
        <w:tab/>
        <w:t>(B)</w:t>
      </w:r>
      <w:r w:rsidRPr="00A35C95">
        <w:tab/>
        <w:t>arranging to deal in a non</w:t>
      </w:r>
      <w:r>
        <w:noBreakHyphen/>
      </w:r>
      <w:r w:rsidRPr="00A35C95">
        <w:t>cash payments facility that person 2 will use to pay person 1 for a financial product or a financial service;</w:t>
      </w:r>
    </w:p>
    <w:p w14:paraId="61297C40" w14:textId="77777777" w:rsidR="00E93F58" w:rsidRPr="00A35C95" w:rsidRDefault="00E93F58" w:rsidP="00366AB5">
      <w:pPr>
        <w:pStyle w:val="paragraph"/>
        <w:tabs>
          <w:tab w:val="left" w:pos="2835"/>
        </w:tabs>
      </w:pPr>
      <w:r w:rsidRPr="00A35C95">
        <w:tab/>
        <w:t>(lb)</w:t>
      </w:r>
      <w:r w:rsidRPr="00A35C95">
        <w:tab/>
        <w:t>a financial service that is the issue of a non</w:t>
      </w:r>
      <w:r>
        <w:noBreakHyphen/>
      </w:r>
      <w:r w:rsidRPr="00A35C95">
        <w:t>cash payment facility if:</w:t>
      </w:r>
    </w:p>
    <w:p w14:paraId="0F908988" w14:textId="77777777" w:rsidR="00E93F58" w:rsidRPr="00A35C95" w:rsidRDefault="00E93F58" w:rsidP="00366AB5">
      <w:pPr>
        <w:pStyle w:val="paragraphsub"/>
        <w:tabs>
          <w:tab w:val="left" w:pos="2835"/>
        </w:tabs>
      </w:pPr>
      <w:r w:rsidRPr="00A35C95">
        <w:tab/>
        <w:t>(i)</w:t>
      </w:r>
      <w:r w:rsidRPr="00A35C95">
        <w:tab/>
        <w:t>it is a facility for making non</w:t>
      </w:r>
      <w:r>
        <w:noBreakHyphen/>
      </w:r>
      <w:r w:rsidRPr="00A35C95">
        <w:t>cash payments; and</w:t>
      </w:r>
    </w:p>
    <w:p w14:paraId="36F8D78F" w14:textId="77777777" w:rsidR="00E93F58" w:rsidRPr="00A35C95" w:rsidRDefault="00E93F58" w:rsidP="00366AB5">
      <w:pPr>
        <w:pStyle w:val="paragraphsub"/>
        <w:tabs>
          <w:tab w:val="left" w:pos="2835"/>
        </w:tabs>
      </w:pPr>
      <w:r w:rsidRPr="00A35C95">
        <w:tab/>
        <w:t>(ii)</w:t>
      </w:r>
      <w:r w:rsidRPr="00A35C95">
        <w:tab/>
        <w:t>under the facility, payments may be made only to the issuer of the facility or a related body corporate of the issuer;</w:t>
      </w:r>
    </w:p>
    <w:p w14:paraId="037268C9" w14:textId="77777777" w:rsidR="00E93F58" w:rsidRPr="00A35C95" w:rsidRDefault="00E93F58" w:rsidP="00366AB5">
      <w:pPr>
        <w:pStyle w:val="paragraph"/>
        <w:tabs>
          <w:tab w:val="left" w:pos="2835"/>
        </w:tabs>
      </w:pPr>
      <w:r w:rsidRPr="00A35C95">
        <w:tab/>
        <w:t>(lc)</w:t>
      </w:r>
      <w:r w:rsidRPr="00A35C95">
        <w:tab/>
        <w:t>an Australia Post presentment and payment processing facility known as POSTbillpay or billmanager;</w:t>
      </w:r>
    </w:p>
    <w:p w14:paraId="572AA6B5" w14:textId="77777777" w:rsidR="00E93F58" w:rsidRPr="00A35C95" w:rsidRDefault="00E93F58" w:rsidP="00366AB5">
      <w:pPr>
        <w:pStyle w:val="paragraph"/>
        <w:tabs>
          <w:tab w:val="left" w:pos="2835"/>
        </w:tabs>
      </w:pPr>
      <w:r w:rsidRPr="00A35C95">
        <w:tab/>
        <w:t>(m)</w:t>
      </w:r>
      <w:r w:rsidRPr="00A35C95">
        <w:tab/>
        <w:t>a financial service provided by a person in the following circumstances:</w:t>
      </w:r>
    </w:p>
    <w:p w14:paraId="1A4A56BB" w14:textId="77777777" w:rsidR="00E93F58" w:rsidRPr="00A35C95" w:rsidRDefault="00E93F58" w:rsidP="00366AB5">
      <w:pPr>
        <w:pStyle w:val="paragraphsub"/>
        <w:tabs>
          <w:tab w:val="left" w:pos="2835"/>
        </w:tabs>
      </w:pPr>
      <w:r w:rsidRPr="00A35C95">
        <w:tab/>
        <w:t>(i)</w:t>
      </w:r>
      <w:r w:rsidRPr="00A35C95">
        <w:tab/>
        <w:t>the service consists only of either or both of:</w:t>
      </w:r>
    </w:p>
    <w:p w14:paraId="30EE09C5" w14:textId="77777777" w:rsidR="00E93F58" w:rsidRPr="00A35C95" w:rsidRDefault="00E93F58" w:rsidP="00366AB5">
      <w:pPr>
        <w:pStyle w:val="paragraphsub-sub"/>
        <w:tabs>
          <w:tab w:val="left" w:pos="2835"/>
        </w:tabs>
      </w:pPr>
      <w:r w:rsidRPr="00A35C95">
        <w:rPr>
          <w:color w:val="000000"/>
        </w:rPr>
        <w:tab/>
        <w:t>(A)</w:t>
      </w:r>
      <w:r w:rsidRPr="00A35C95">
        <w:rPr>
          <w:color w:val="000000"/>
        </w:rPr>
        <w:tab/>
        <w:t>dealing in derivatives; and</w:t>
      </w:r>
    </w:p>
    <w:p w14:paraId="36F98922" w14:textId="77777777" w:rsidR="00E93F58" w:rsidRPr="00A35C95" w:rsidRDefault="00E93F58" w:rsidP="00366AB5">
      <w:pPr>
        <w:pStyle w:val="paragraphsub-sub"/>
        <w:tabs>
          <w:tab w:val="left" w:pos="2835"/>
        </w:tabs>
      </w:pPr>
      <w:r w:rsidRPr="00A35C95">
        <w:tab/>
        <w:t>(B)</w:t>
      </w:r>
      <w:r w:rsidRPr="00A35C95">
        <w:tab/>
        <w:t>dealing in foreign exchange contracts;</w:t>
      </w:r>
    </w:p>
    <w:p w14:paraId="1E0EAA88" w14:textId="77777777" w:rsidR="00E93F58" w:rsidRPr="00A35C95" w:rsidRDefault="00E93F58" w:rsidP="00366AB5">
      <w:pPr>
        <w:pStyle w:val="paragraphsub"/>
        <w:tabs>
          <w:tab w:val="left" w:pos="2835"/>
        </w:tabs>
      </w:pPr>
      <w:r w:rsidRPr="00A35C95">
        <w:rPr>
          <w:color w:val="000000"/>
        </w:rPr>
        <w:tab/>
        <w:t>(ii)</w:t>
      </w:r>
      <w:r w:rsidRPr="00A35C95">
        <w:rPr>
          <w:color w:val="000000"/>
        </w:rPr>
        <w:tab/>
        <w:t>the service does not involve the making of a market for derivatives or foreign exchange contracts;</w:t>
      </w:r>
    </w:p>
    <w:p w14:paraId="33B0DA54" w14:textId="77777777" w:rsidR="00E93F58" w:rsidRPr="00A35C95" w:rsidRDefault="00E93F58" w:rsidP="00366AB5">
      <w:pPr>
        <w:pStyle w:val="paragraphsub"/>
        <w:tabs>
          <w:tab w:val="left" w:pos="2835"/>
        </w:tabs>
      </w:pPr>
      <w:r w:rsidRPr="00A35C95">
        <w:tab/>
        <w:t>(iii)</w:t>
      </w:r>
      <w:r w:rsidRPr="00A35C95">
        <w:tab/>
        <w:t>the dealing is entered into for the purpose of managing a financial risk that arises in the ordinary course of a business;</w:t>
      </w:r>
    </w:p>
    <w:p w14:paraId="22B4A7D4" w14:textId="77777777" w:rsidR="00E93F58" w:rsidRPr="00A35C95" w:rsidRDefault="00E93F58" w:rsidP="00366AB5">
      <w:pPr>
        <w:pStyle w:val="paragraphsub"/>
        <w:tabs>
          <w:tab w:val="left" w:pos="2835"/>
        </w:tabs>
      </w:pPr>
      <w:r w:rsidRPr="00A35C95">
        <w:tab/>
        <w:t>(iv)</w:t>
      </w:r>
      <w:r w:rsidRPr="00A35C95">
        <w:tab/>
        <w:t>the person does not deal in derivatives or foreign exchange contracts as a significant part of the person’s business;</w:t>
      </w:r>
    </w:p>
    <w:p w14:paraId="0797254B" w14:textId="77777777" w:rsidR="00E93F58" w:rsidRPr="00A35C95" w:rsidRDefault="00E93F58" w:rsidP="00366AB5">
      <w:pPr>
        <w:pStyle w:val="paragraphsub"/>
        <w:tabs>
          <w:tab w:val="left" w:pos="2835"/>
        </w:tabs>
      </w:pPr>
      <w:r w:rsidRPr="00A35C95">
        <w:tab/>
        <w:t>(v)</w:t>
      </w:r>
      <w:r w:rsidRPr="00A35C95">
        <w:tab/>
        <w:t>the dealing is entered into on the person’s own behalf;</w:t>
      </w:r>
    </w:p>
    <w:p w14:paraId="4C7E6757" w14:textId="77777777" w:rsidR="00E93F58" w:rsidRPr="00A35C95" w:rsidRDefault="00E93F58" w:rsidP="00366AB5">
      <w:pPr>
        <w:pStyle w:val="noteToPara"/>
        <w:tabs>
          <w:tab w:val="left" w:pos="2835"/>
        </w:tabs>
      </w:pPr>
      <w:r w:rsidRPr="00A35C95">
        <w:t>Example of financial service to which paragraph (m) applies:</w:t>
      </w:r>
    </w:p>
    <w:p w14:paraId="284F5E2E" w14:textId="77777777" w:rsidR="00E93F58" w:rsidRPr="00A35C95" w:rsidRDefault="00E93F58" w:rsidP="00366AB5">
      <w:pPr>
        <w:pStyle w:val="noteToPara"/>
        <w:tabs>
          <w:tab w:val="left" w:pos="2835"/>
        </w:tabs>
      </w:pPr>
      <w:r w:rsidRPr="00A35C95">
        <w:t>A series of forward foreign exchange contracts entered into by a gold mining company to hedge against the risk of a fall in the price of gold.</w:t>
      </w:r>
    </w:p>
    <w:p w14:paraId="07DCE1EE" w14:textId="77777777" w:rsidR="00E93F58" w:rsidRPr="00A35C95" w:rsidRDefault="00E93F58" w:rsidP="00366AB5">
      <w:pPr>
        <w:pStyle w:val="noteToPara"/>
        <w:tabs>
          <w:tab w:val="left" w:pos="2835"/>
        </w:tabs>
      </w:pPr>
      <w:r w:rsidRPr="00A35C95">
        <w:t>Example of financial service to which paragraph (m) does not apply:</w:t>
      </w:r>
    </w:p>
    <w:p w14:paraId="3FD42B6C" w14:textId="77777777" w:rsidR="00E93F58" w:rsidRPr="00A35C95" w:rsidRDefault="00E93F58" w:rsidP="00366AB5">
      <w:pPr>
        <w:pStyle w:val="noteToPara"/>
        <w:tabs>
          <w:tab w:val="left" w:pos="2835"/>
        </w:tabs>
      </w:pPr>
      <w:r w:rsidRPr="00A35C95">
        <w:t>The issue and disposal of derivatives relating to the wholesale price of electricity are not transactions to which this paragraph applies.</w:t>
      </w:r>
    </w:p>
    <w:p w14:paraId="49929E68" w14:textId="77777777" w:rsidR="00E93F58" w:rsidRPr="00A35C95" w:rsidRDefault="00E93F58" w:rsidP="00366AB5">
      <w:pPr>
        <w:pStyle w:val="paragraph"/>
        <w:tabs>
          <w:tab w:val="left" w:pos="2835"/>
        </w:tabs>
      </w:pPr>
      <w:r w:rsidRPr="00A35C95">
        <w:tab/>
        <w:t>(ma)</w:t>
      </w:r>
      <w:r w:rsidRPr="00A35C95">
        <w:tab/>
        <w:t>a financial service provided by a person in the following circumstances:</w:t>
      </w:r>
    </w:p>
    <w:p w14:paraId="18D3E343" w14:textId="77777777" w:rsidR="00E93F58" w:rsidRPr="00A35C95" w:rsidRDefault="00E93F58" w:rsidP="00366AB5">
      <w:pPr>
        <w:pStyle w:val="paragraphsub"/>
        <w:tabs>
          <w:tab w:val="left" w:pos="2835"/>
        </w:tabs>
      </w:pPr>
      <w:r w:rsidRPr="00A35C95">
        <w:tab/>
        <w:t>(i)</w:t>
      </w:r>
      <w:r w:rsidRPr="00A35C95">
        <w:tab/>
        <w:t>the service consists only of 1 or more of the following:</w:t>
      </w:r>
    </w:p>
    <w:p w14:paraId="13C22EE6" w14:textId="77777777" w:rsidR="00E93F58" w:rsidRPr="00A35C95" w:rsidRDefault="00E93F58" w:rsidP="00366AB5">
      <w:pPr>
        <w:pStyle w:val="paragraphsub-sub"/>
        <w:tabs>
          <w:tab w:val="left" w:pos="2835"/>
        </w:tabs>
      </w:pPr>
      <w:r w:rsidRPr="00A35C95">
        <w:tab/>
        <w:t>(A)</w:t>
      </w:r>
      <w:r w:rsidRPr="00A35C95">
        <w:tab/>
        <w:t>dealing in derivatives over carbon units, Australian carbon credit units or eligible international emissions units;</w:t>
      </w:r>
    </w:p>
    <w:p w14:paraId="1B8DF1D1" w14:textId="77777777" w:rsidR="00E93F58" w:rsidRPr="00A35C95" w:rsidRDefault="00E93F58" w:rsidP="00366AB5">
      <w:pPr>
        <w:pStyle w:val="paragraphsub-sub"/>
        <w:tabs>
          <w:tab w:val="left" w:pos="2835"/>
        </w:tabs>
      </w:pPr>
      <w:r w:rsidRPr="00A35C95">
        <w:tab/>
        <w:t>(B)</w:t>
      </w:r>
      <w:r w:rsidRPr="00A35C95">
        <w:tab/>
        <w:t>dealing in a carbon unit, an Australian carbon credit unit or an eligible international emissions unit;</w:t>
      </w:r>
    </w:p>
    <w:p w14:paraId="2F82A49C" w14:textId="77777777" w:rsidR="00E93F58" w:rsidRPr="00A35C95" w:rsidRDefault="00E93F58" w:rsidP="00366AB5">
      <w:pPr>
        <w:pStyle w:val="paragraphsub-sub"/>
        <w:tabs>
          <w:tab w:val="left" w:pos="2835"/>
        </w:tabs>
      </w:pPr>
      <w:r w:rsidRPr="00A35C95">
        <w:tab/>
        <w:t>(C)</w:t>
      </w:r>
      <w:r w:rsidRPr="00A35C95">
        <w:tab/>
        <w:t>dealing in foreign exchange contracts for carbon units, Australian carbon credit units or eligible international emissions units;</w:t>
      </w:r>
    </w:p>
    <w:p w14:paraId="41F1CBAA" w14:textId="77777777" w:rsidR="00E93F58" w:rsidRPr="00A35C95" w:rsidRDefault="00E93F58" w:rsidP="00366AB5">
      <w:pPr>
        <w:pStyle w:val="paragraphsub"/>
        <w:tabs>
          <w:tab w:val="left" w:pos="2835"/>
        </w:tabs>
      </w:pPr>
      <w:r w:rsidRPr="00A35C95">
        <w:tab/>
        <w:t>(ii)</w:t>
      </w:r>
      <w:r w:rsidRPr="00A35C95">
        <w:tab/>
        <w:t>the service does not involve the making of a market for those derivatives, units or foreign exchange contracts;</w:t>
      </w:r>
    </w:p>
    <w:p w14:paraId="741F0E2C" w14:textId="77777777" w:rsidR="00E93F58" w:rsidRPr="00A35C95" w:rsidRDefault="00E93F58" w:rsidP="00366AB5">
      <w:pPr>
        <w:pStyle w:val="paragraphsub"/>
        <w:tabs>
          <w:tab w:val="left" w:pos="2835"/>
        </w:tabs>
      </w:pPr>
      <w:r w:rsidRPr="00A35C95">
        <w:tab/>
        <w:t>(iii)</w:t>
      </w:r>
      <w:r w:rsidRPr="00A35C95">
        <w:tab/>
        <w:t>the dealing is entered into for the purpose of managing financial risk in relation to the surrender, cancellation or relinquishment of carbon units, Australian carbon credit units or eligible international emissions units by:</w:t>
      </w:r>
    </w:p>
    <w:p w14:paraId="666FB0E2" w14:textId="77777777" w:rsidR="00E93F58" w:rsidRPr="00A35C95" w:rsidRDefault="00E93F58" w:rsidP="00366AB5">
      <w:pPr>
        <w:pStyle w:val="paragraphsub-sub"/>
        <w:tabs>
          <w:tab w:val="left" w:pos="2835"/>
        </w:tabs>
      </w:pPr>
      <w:r w:rsidRPr="00A35C95">
        <w:tab/>
        <w:t>(A)</w:t>
      </w:r>
      <w:r w:rsidRPr="00A35C95">
        <w:tab/>
        <w:t>the person; or</w:t>
      </w:r>
    </w:p>
    <w:p w14:paraId="65E1B487" w14:textId="77777777" w:rsidR="00E93F58" w:rsidRPr="00A35C95" w:rsidRDefault="00E93F58" w:rsidP="00366AB5">
      <w:pPr>
        <w:pStyle w:val="paragraphsub-sub"/>
        <w:tabs>
          <w:tab w:val="left" w:pos="2835"/>
        </w:tabs>
      </w:pPr>
      <w:r w:rsidRPr="00A35C95">
        <w:tab/>
        <w:t>(B)</w:t>
      </w:r>
      <w:r w:rsidRPr="00A35C95">
        <w:tab/>
        <w:t>a related body corporate of the person; or</w:t>
      </w:r>
    </w:p>
    <w:p w14:paraId="1ED78480" w14:textId="77777777" w:rsidR="00E93F58" w:rsidRPr="00A35C95" w:rsidRDefault="00E93F58" w:rsidP="00366AB5">
      <w:pPr>
        <w:pStyle w:val="paragraphsub-sub"/>
        <w:tabs>
          <w:tab w:val="left" w:pos="2835"/>
        </w:tabs>
      </w:pPr>
      <w:r w:rsidRPr="00A35C95">
        <w:tab/>
        <w:t>(C)</w:t>
      </w:r>
      <w:r w:rsidRPr="00A35C95">
        <w:tab/>
        <w:t>an associated entity of the person;</w:t>
      </w:r>
    </w:p>
    <w:p w14:paraId="4D02D3BA" w14:textId="77777777" w:rsidR="00E93F58" w:rsidRPr="00A35C95" w:rsidRDefault="00E93F58" w:rsidP="00366AB5">
      <w:pPr>
        <w:pStyle w:val="notetext"/>
        <w:tabs>
          <w:tab w:val="left" w:pos="2835"/>
        </w:tabs>
      </w:pPr>
      <w:r w:rsidRPr="00A35C95">
        <w:t>Note:</w:t>
      </w:r>
      <w:r w:rsidRPr="00A35C95">
        <w:tab/>
        <w:t xml:space="preserve">Section 175 of the </w:t>
      </w:r>
      <w:r w:rsidRPr="00A35C95">
        <w:rPr>
          <w:i/>
        </w:rPr>
        <w:t>Carbon Credits (Carbon Farming Initiative) Act 2011</w:t>
      </w:r>
      <w:r w:rsidRPr="00A35C95">
        <w:t xml:space="preserve"> deals with the relinquishment of Australian carbon credit units. Section 210 of the </w:t>
      </w:r>
      <w:r w:rsidRPr="00A35C95">
        <w:rPr>
          <w:i/>
        </w:rPr>
        <w:t>Clean Energy Act 2011</w:t>
      </w:r>
      <w:r w:rsidRPr="00A35C95">
        <w:t xml:space="preserve"> deals with the relinquishment of carbon units.</w:t>
      </w:r>
    </w:p>
    <w:p w14:paraId="00816D60" w14:textId="77777777" w:rsidR="00E93F58" w:rsidRPr="00A35C95" w:rsidRDefault="00E93F58" w:rsidP="00366AB5">
      <w:pPr>
        <w:pStyle w:val="paragraphsub"/>
        <w:tabs>
          <w:tab w:val="left" w:pos="2835"/>
        </w:tabs>
      </w:pPr>
      <w:r w:rsidRPr="00A35C95">
        <w:tab/>
        <w:t>(iv)</w:t>
      </w:r>
      <w:r w:rsidRPr="00A35C95">
        <w:tab/>
        <w:t>the person does not deal in those derivatives, units or foreign exchange contracts as the principal activity of the person’s business;</w:t>
      </w:r>
    </w:p>
    <w:p w14:paraId="004DB772" w14:textId="77777777" w:rsidR="00E93F58" w:rsidRPr="00A35C95" w:rsidRDefault="00E93F58" w:rsidP="00366AB5">
      <w:pPr>
        <w:pStyle w:val="paragraphsub"/>
        <w:tabs>
          <w:tab w:val="left" w:pos="2835"/>
        </w:tabs>
      </w:pPr>
      <w:r w:rsidRPr="00A35C95">
        <w:tab/>
        <w:t>(v)</w:t>
      </w:r>
      <w:r w:rsidRPr="00A35C95">
        <w:tab/>
        <w:t>the dealing is entered into:</w:t>
      </w:r>
    </w:p>
    <w:p w14:paraId="40835367" w14:textId="77777777" w:rsidR="00E93F58" w:rsidRPr="00A35C95" w:rsidRDefault="00E93F58" w:rsidP="00366AB5">
      <w:pPr>
        <w:pStyle w:val="paragraphsub-sub"/>
        <w:tabs>
          <w:tab w:val="left" w:pos="2835"/>
        </w:tabs>
      </w:pPr>
      <w:r w:rsidRPr="00A35C95">
        <w:tab/>
        <w:t>(A)</w:t>
      </w:r>
      <w:r w:rsidRPr="00A35C95">
        <w:tab/>
        <w:t>on the person’s own behalf; or</w:t>
      </w:r>
    </w:p>
    <w:p w14:paraId="0923643C" w14:textId="77777777" w:rsidR="00E93F58" w:rsidRPr="00A35C95" w:rsidRDefault="00E93F58" w:rsidP="00366AB5">
      <w:pPr>
        <w:pStyle w:val="paragraphsub-sub"/>
        <w:tabs>
          <w:tab w:val="left" w:pos="2835"/>
        </w:tabs>
      </w:pPr>
      <w:r w:rsidRPr="00A35C95">
        <w:tab/>
        <w:t>(B)</w:t>
      </w:r>
      <w:r w:rsidRPr="00A35C95">
        <w:tab/>
        <w:t>on behalf of a related body corporate of the person; or</w:t>
      </w:r>
    </w:p>
    <w:p w14:paraId="2DC8F64A" w14:textId="77777777" w:rsidR="00E93F58" w:rsidRPr="00A35C95" w:rsidRDefault="00E93F58" w:rsidP="00366AB5">
      <w:pPr>
        <w:pStyle w:val="paragraphsub-sub"/>
        <w:tabs>
          <w:tab w:val="left" w:pos="2835"/>
        </w:tabs>
      </w:pPr>
      <w:r w:rsidRPr="00A35C95">
        <w:tab/>
        <w:t>(C)</w:t>
      </w:r>
      <w:r w:rsidRPr="00A35C95">
        <w:tab/>
        <w:t>on behalf of an associated entity of the person;</w:t>
      </w:r>
    </w:p>
    <w:p w14:paraId="119D39F8" w14:textId="77777777" w:rsidR="00E93F58" w:rsidRPr="00A35C95" w:rsidRDefault="00E93F58" w:rsidP="00366AB5">
      <w:pPr>
        <w:pStyle w:val="paragraph"/>
        <w:tabs>
          <w:tab w:val="left" w:pos="2835"/>
        </w:tabs>
      </w:pPr>
      <w:r w:rsidRPr="00A35C95">
        <w:tab/>
        <w:t>(mb)</w:t>
      </w:r>
      <w:r w:rsidRPr="00A35C95">
        <w:tab/>
        <w:t xml:space="preserve">a financial service that a person is engaged by the Clean Energy Regulator to provide to the Clean Energy Regulator, or on behalf of the Clean Energy Regulator, that relates to the conduct of an auction </w:t>
      </w:r>
      <w:r w:rsidRPr="00A35C95">
        <w:lastRenderedPageBreak/>
        <w:t xml:space="preserve">of carbon units under the </w:t>
      </w:r>
      <w:r w:rsidRPr="00A35C95">
        <w:rPr>
          <w:i/>
          <w:iCs/>
        </w:rPr>
        <w:t>Clean Energy Act 2011</w:t>
      </w:r>
      <w:r w:rsidRPr="00A35C95">
        <w:t>, other than a financial service that arises in the course of the following activities:</w:t>
      </w:r>
    </w:p>
    <w:p w14:paraId="57C5A4B3" w14:textId="77777777" w:rsidR="00E93F58" w:rsidRPr="00A35C95" w:rsidRDefault="00E93F58" w:rsidP="00366AB5">
      <w:pPr>
        <w:pStyle w:val="paragraphsub"/>
        <w:tabs>
          <w:tab w:val="left" w:pos="2835"/>
        </w:tabs>
      </w:pPr>
      <w:r w:rsidRPr="00A35C95">
        <w:tab/>
        <w:t>(i)</w:t>
      </w:r>
      <w:r w:rsidRPr="00A35C95">
        <w:tab/>
        <w:t xml:space="preserve">the management of any deposit lodged to participate in an auction under the </w:t>
      </w:r>
      <w:r w:rsidRPr="00A35C95">
        <w:rPr>
          <w:i/>
          <w:iCs/>
        </w:rPr>
        <w:t>Clean Energy Act 2011</w:t>
      </w:r>
      <w:r w:rsidRPr="00A35C95">
        <w:rPr>
          <w:iCs/>
        </w:rPr>
        <w:t>;</w:t>
      </w:r>
    </w:p>
    <w:p w14:paraId="544C5D6A" w14:textId="77777777" w:rsidR="00E93F58" w:rsidRPr="00A35C95" w:rsidRDefault="00E93F58" w:rsidP="00366AB5">
      <w:pPr>
        <w:pStyle w:val="paragraphsub"/>
        <w:tabs>
          <w:tab w:val="left" w:pos="2835"/>
        </w:tabs>
      </w:pPr>
      <w:r w:rsidRPr="00A35C95">
        <w:tab/>
        <w:t>(ii)</w:t>
      </w:r>
      <w:r w:rsidRPr="00A35C95">
        <w:tab/>
        <w:t xml:space="preserve">direct participation in an auction under the </w:t>
      </w:r>
      <w:r w:rsidRPr="00A35C95">
        <w:rPr>
          <w:i/>
        </w:rPr>
        <w:t>Clean Energy Act 2011</w:t>
      </w:r>
      <w:r w:rsidRPr="00A35C95">
        <w:t>, whether on the person’s own behalf or on behalf of a person other than the Clean Energy Regulator;</w:t>
      </w:r>
    </w:p>
    <w:p w14:paraId="10A8850D" w14:textId="77777777" w:rsidR="00E93F58" w:rsidRPr="00A35C95" w:rsidRDefault="00E93F58" w:rsidP="00366AB5">
      <w:pPr>
        <w:pStyle w:val="paragraph"/>
        <w:tabs>
          <w:tab w:val="left" w:pos="2835"/>
        </w:tabs>
      </w:pPr>
      <w:r w:rsidRPr="00A35C95">
        <w:tab/>
        <w:t>(n)</w:t>
      </w:r>
      <w:r w:rsidRPr="00A35C95">
        <w:tab/>
        <w:t>a financial service provided by a person (</w:t>
      </w:r>
      <w:r w:rsidRPr="00A35C95">
        <w:rPr>
          <w:b/>
          <w:i/>
        </w:rPr>
        <w:t>person 1</w:t>
      </w:r>
      <w:r w:rsidRPr="00A35C95">
        <w:t>) to another person (</w:t>
      </w:r>
      <w:r w:rsidRPr="00A35C95">
        <w:rPr>
          <w:b/>
          <w:i/>
        </w:rPr>
        <w:t>person 2</w:t>
      </w:r>
      <w:r w:rsidRPr="00A35C95">
        <w:t>) in the following circumstances:</w:t>
      </w:r>
    </w:p>
    <w:p w14:paraId="2C04F986" w14:textId="77777777" w:rsidR="00E93F58" w:rsidRPr="00A35C95" w:rsidRDefault="00E93F58" w:rsidP="00366AB5">
      <w:pPr>
        <w:pStyle w:val="paragraphsub"/>
        <w:tabs>
          <w:tab w:val="left" w:pos="2835"/>
        </w:tabs>
      </w:pPr>
      <w:r w:rsidRPr="00A35C95">
        <w:rPr>
          <w:color w:val="000000"/>
        </w:rPr>
        <w:tab/>
        <w:t>(i)</w:t>
      </w:r>
      <w:r w:rsidRPr="00A35C95">
        <w:rPr>
          <w:color w:val="000000"/>
        </w:rPr>
        <w:tab/>
        <w:t>person 1 is not in this jurisdiction;</w:t>
      </w:r>
    </w:p>
    <w:p w14:paraId="55E54D30" w14:textId="77777777" w:rsidR="00E93F58" w:rsidRPr="00A35C95" w:rsidRDefault="00E93F58" w:rsidP="00366AB5">
      <w:pPr>
        <w:pStyle w:val="paragraphsub"/>
        <w:tabs>
          <w:tab w:val="left" w:pos="2835"/>
        </w:tabs>
      </w:pPr>
      <w:r w:rsidRPr="00A35C95">
        <w:tab/>
        <w:t>(ii)</w:t>
      </w:r>
      <w:r w:rsidRPr="00A35C95">
        <w:tab/>
        <w:t>person 2 is in this jurisdiction;</w:t>
      </w:r>
    </w:p>
    <w:p w14:paraId="58CF1D87" w14:textId="77777777" w:rsidR="00E93F58" w:rsidRPr="00A35C95" w:rsidRDefault="00E93F58" w:rsidP="00366AB5">
      <w:pPr>
        <w:pStyle w:val="paragraphsub"/>
        <w:tabs>
          <w:tab w:val="left" w:pos="2835"/>
        </w:tabs>
      </w:pPr>
      <w:r w:rsidRPr="00A35C95">
        <w:tab/>
        <w:t>(iii)</w:t>
      </w:r>
      <w:r w:rsidRPr="00A35C95">
        <w:tab/>
        <w:t>the service consists only of dealing in a financial product or class of financial products;</w:t>
      </w:r>
    </w:p>
    <w:p w14:paraId="1CAC9DE2" w14:textId="77777777" w:rsidR="00E93F58" w:rsidRPr="00A35C95" w:rsidRDefault="00E93F58" w:rsidP="00366AB5">
      <w:pPr>
        <w:pStyle w:val="paragraphsub"/>
        <w:tabs>
          <w:tab w:val="left" w:pos="2835"/>
        </w:tabs>
      </w:pPr>
      <w:r w:rsidRPr="00A35C95">
        <w:tab/>
        <w:t>(iv)</w:t>
      </w:r>
      <w:r w:rsidRPr="00A35C95">
        <w:tab/>
        <w:t>a financial services licensee whose financial services licence covers the provision of the service arranges for person 1 to provide the service to person 2;</w:t>
      </w:r>
    </w:p>
    <w:p w14:paraId="2531B8C6" w14:textId="77777777" w:rsidR="00E93F58" w:rsidRPr="00A35C95" w:rsidRDefault="00E93F58" w:rsidP="00366AB5">
      <w:pPr>
        <w:pStyle w:val="paragraph"/>
        <w:tabs>
          <w:tab w:val="left" w:pos="2835"/>
        </w:tabs>
      </w:pPr>
      <w:r w:rsidRPr="00A35C95">
        <w:tab/>
        <w:t>(na)</w:t>
      </w:r>
      <w:r w:rsidRPr="00A35C95">
        <w:tab/>
        <w:t>a financial service provided by a person (</w:t>
      </w:r>
      <w:r w:rsidRPr="00A35C95">
        <w:rPr>
          <w:b/>
          <w:i/>
        </w:rPr>
        <w:t>person 1</w:t>
      </w:r>
      <w:r w:rsidRPr="00A35C95">
        <w:t>) to another person (</w:t>
      </w:r>
      <w:r w:rsidRPr="00A35C95">
        <w:rPr>
          <w:b/>
          <w:i/>
        </w:rPr>
        <w:t>person 2</w:t>
      </w:r>
      <w:r w:rsidRPr="00A35C95">
        <w:t>) in the following circumstances:</w:t>
      </w:r>
    </w:p>
    <w:p w14:paraId="7F8A5D51" w14:textId="77777777" w:rsidR="00E93F58" w:rsidRPr="00A35C95" w:rsidRDefault="00E93F58" w:rsidP="00366AB5">
      <w:pPr>
        <w:pStyle w:val="paragraphsub"/>
        <w:tabs>
          <w:tab w:val="left" w:pos="2835"/>
        </w:tabs>
      </w:pPr>
      <w:r w:rsidRPr="00A35C95">
        <w:tab/>
        <w:t>(i)</w:t>
      </w:r>
      <w:r w:rsidRPr="00A35C95">
        <w:tab/>
        <w:t>person 1 is not in this jurisdiction;</w:t>
      </w:r>
    </w:p>
    <w:p w14:paraId="7A2AE103" w14:textId="77777777" w:rsidR="00E93F58" w:rsidRPr="00A35C95" w:rsidRDefault="00E93F58" w:rsidP="00366AB5">
      <w:pPr>
        <w:pStyle w:val="paragraphsub"/>
        <w:tabs>
          <w:tab w:val="left" w:pos="2835"/>
        </w:tabs>
      </w:pPr>
      <w:r w:rsidRPr="00A35C95">
        <w:tab/>
        <w:t>(ii)</w:t>
      </w:r>
      <w:r w:rsidRPr="00A35C95">
        <w:tab/>
        <w:t>person 2 is in this jurisdiction;</w:t>
      </w:r>
    </w:p>
    <w:p w14:paraId="5A072234" w14:textId="77777777" w:rsidR="00E93F58" w:rsidRPr="00A35C95" w:rsidRDefault="00E93F58" w:rsidP="00366AB5">
      <w:pPr>
        <w:pStyle w:val="paragraphsub"/>
        <w:tabs>
          <w:tab w:val="left" w:pos="2835"/>
        </w:tabs>
      </w:pPr>
      <w:r w:rsidRPr="00A35C95">
        <w:tab/>
        <w:t>(iii)</w:t>
      </w:r>
      <w:r w:rsidRPr="00A35C95">
        <w:tab/>
        <w:t>the service consists only of 1 or more of:</w:t>
      </w:r>
    </w:p>
    <w:p w14:paraId="5EB8174E" w14:textId="77777777" w:rsidR="00E93F58" w:rsidRPr="00A35C95" w:rsidRDefault="00E93F58" w:rsidP="00366AB5">
      <w:pPr>
        <w:pStyle w:val="paragraphsub-sub"/>
        <w:tabs>
          <w:tab w:val="left" w:pos="2835"/>
        </w:tabs>
      </w:pPr>
      <w:r w:rsidRPr="00A35C95">
        <w:tab/>
        <w:t>(A)</w:t>
      </w:r>
      <w:r w:rsidRPr="00A35C95">
        <w:tab/>
        <w:t>the provision of financial product advice to person 2; and</w:t>
      </w:r>
    </w:p>
    <w:p w14:paraId="5762F32F" w14:textId="77777777" w:rsidR="00E93F58" w:rsidRPr="00A35C95" w:rsidRDefault="00E93F58" w:rsidP="00366AB5">
      <w:pPr>
        <w:pStyle w:val="paragraphsub-sub"/>
        <w:tabs>
          <w:tab w:val="left" w:pos="2835"/>
        </w:tabs>
      </w:pPr>
      <w:r w:rsidRPr="00A35C95">
        <w:tab/>
        <w:t>(B)</w:t>
      </w:r>
      <w:r w:rsidRPr="00A35C95">
        <w:tab/>
        <w:t>person 1 making a market; and</w:t>
      </w:r>
    </w:p>
    <w:p w14:paraId="0A1848D7" w14:textId="77777777" w:rsidR="00E93F58" w:rsidRPr="00A35C95" w:rsidRDefault="00E93F58" w:rsidP="00366AB5">
      <w:pPr>
        <w:pStyle w:val="paragraphsub-sub"/>
        <w:tabs>
          <w:tab w:val="left" w:pos="2835"/>
        </w:tabs>
      </w:pPr>
      <w:r w:rsidRPr="00A35C95">
        <w:tab/>
        <w:t>(C)</w:t>
      </w:r>
      <w:r w:rsidRPr="00A35C95">
        <w:tab/>
        <w:t>the provision of a custodial or depositary service to person 2;</w:t>
      </w:r>
    </w:p>
    <w:p w14:paraId="60AF0FC2" w14:textId="77777777" w:rsidR="00E93F58" w:rsidRPr="00A35C95" w:rsidRDefault="00E93F58" w:rsidP="00366AB5">
      <w:pPr>
        <w:pStyle w:val="paragraphsub"/>
        <w:tabs>
          <w:tab w:val="left" w:pos="2835"/>
        </w:tabs>
      </w:pPr>
      <w:r w:rsidRPr="00A35C95">
        <w:tab/>
        <w:t>(iv)</w:t>
      </w:r>
      <w:r w:rsidRPr="00A35C95">
        <w:tab/>
        <w:t>person 1 is:</w:t>
      </w:r>
    </w:p>
    <w:p w14:paraId="36FC7366" w14:textId="77777777" w:rsidR="00E93F58" w:rsidRPr="00A35C95" w:rsidRDefault="00E93F58" w:rsidP="00366AB5">
      <w:pPr>
        <w:pStyle w:val="paragraphsub-sub"/>
        <w:tabs>
          <w:tab w:val="left" w:pos="2835"/>
        </w:tabs>
      </w:pPr>
      <w:r w:rsidRPr="00A35C95">
        <w:tab/>
        <w:t>(A)</w:t>
      </w:r>
      <w:r w:rsidRPr="00A35C95">
        <w:tab/>
        <w:t>a related body corporate of a financial services licensee whose financial services licence covers the provision of the service; or</w:t>
      </w:r>
    </w:p>
    <w:p w14:paraId="0DE3D571" w14:textId="77777777" w:rsidR="00E93F58" w:rsidRPr="00A35C95" w:rsidRDefault="00E93F58" w:rsidP="00366AB5">
      <w:pPr>
        <w:pStyle w:val="paragraphsub-sub"/>
        <w:tabs>
          <w:tab w:val="left" w:pos="2835"/>
        </w:tabs>
      </w:pPr>
      <w:r w:rsidRPr="00A35C95">
        <w:tab/>
        <w:t>(B)</w:t>
      </w:r>
      <w:r w:rsidRPr="00A35C95">
        <w:tab/>
        <w:t>a party to a business joint venture with a financial services licensee whose financial services licence covers the provision of the service;</w:t>
      </w:r>
    </w:p>
    <w:p w14:paraId="78800B2B" w14:textId="77777777" w:rsidR="00E93F58" w:rsidRPr="00A35C95" w:rsidRDefault="00E93F58" w:rsidP="00366AB5">
      <w:pPr>
        <w:pStyle w:val="paragraphsub"/>
        <w:tabs>
          <w:tab w:val="left" w:pos="2835"/>
        </w:tabs>
      </w:pPr>
      <w:r w:rsidRPr="00A35C95">
        <w:tab/>
        <w:t>(v)</w:t>
      </w:r>
      <w:r w:rsidRPr="00A35C95">
        <w:tab/>
        <w:t>the financial services licensee arranges for person 1 to provide the service;</w:t>
      </w:r>
    </w:p>
    <w:p w14:paraId="63395686" w14:textId="77777777" w:rsidR="00E93F58" w:rsidRPr="00A35C95" w:rsidRDefault="00E93F58" w:rsidP="00366AB5">
      <w:pPr>
        <w:pStyle w:val="paragraphsub"/>
        <w:tabs>
          <w:tab w:val="left" w:pos="2835"/>
        </w:tabs>
      </w:pPr>
      <w:r w:rsidRPr="00A35C95">
        <w:tab/>
        <w:t>(vi)</w:t>
      </w:r>
      <w:r w:rsidRPr="00A35C95">
        <w:tab/>
        <w:t>the financial service licensee’s licence is subject to a condition requiring it to assume responsibility for the conduct of person 1 in the provision of the financial service mentioned in this paragraph;</w:t>
      </w:r>
    </w:p>
    <w:p w14:paraId="29B92DB8" w14:textId="77777777" w:rsidR="00E93F58" w:rsidRPr="00A35C95" w:rsidRDefault="00E93F58" w:rsidP="00366AB5">
      <w:pPr>
        <w:pStyle w:val="paragraph"/>
        <w:tabs>
          <w:tab w:val="left" w:pos="2835"/>
        </w:tabs>
      </w:pPr>
      <w:r w:rsidRPr="00A35C95">
        <w:tab/>
        <w:t>(o)</w:t>
      </w:r>
      <w:r w:rsidRPr="00A35C95">
        <w:tab/>
        <w:t>a financial service that is the provision of financial product advice in the following circumstances:</w:t>
      </w:r>
    </w:p>
    <w:p w14:paraId="401BB9EB" w14:textId="77777777" w:rsidR="00E93F58" w:rsidRPr="00A35C95" w:rsidRDefault="00E93F58" w:rsidP="00366AB5">
      <w:pPr>
        <w:pStyle w:val="paragraphsub"/>
        <w:tabs>
          <w:tab w:val="left" w:pos="2835"/>
        </w:tabs>
      </w:pPr>
      <w:r w:rsidRPr="00A35C95">
        <w:rPr>
          <w:color w:val="000000"/>
        </w:rPr>
        <w:tab/>
        <w:t>(i)</w:t>
      </w:r>
      <w:r w:rsidRPr="00A35C95">
        <w:rPr>
          <w:color w:val="000000"/>
        </w:rPr>
        <w:tab/>
        <w:t>the advice is only general advice in relation to a financial product or class of financial products;</w:t>
      </w:r>
    </w:p>
    <w:p w14:paraId="02B8508E" w14:textId="77777777" w:rsidR="00E93F58" w:rsidRPr="00A35C95" w:rsidRDefault="00E93F58" w:rsidP="00366AB5">
      <w:pPr>
        <w:pStyle w:val="paragraphsub"/>
        <w:tabs>
          <w:tab w:val="left" w:pos="2835"/>
        </w:tabs>
      </w:pPr>
      <w:r w:rsidRPr="00A35C95">
        <w:tab/>
        <w:t>(ii)</w:t>
      </w:r>
      <w:r w:rsidRPr="00A35C95">
        <w:tab/>
        <w:t>the advice is provided by the product issuer of the financial product or class of financial products;</w:t>
      </w:r>
    </w:p>
    <w:p w14:paraId="73F70570" w14:textId="77777777" w:rsidR="00E93F58" w:rsidRPr="00A35C95" w:rsidRDefault="00E93F58" w:rsidP="00366AB5">
      <w:pPr>
        <w:pStyle w:val="paragraphsub"/>
        <w:tabs>
          <w:tab w:val="left" w:pos="2835"/>
        </w:tabs>
      </w:pPr>
      <w:r w:rsidRPr="00A35C95">
        <w:tab/>
        <w:t>(iii)</w:t>
      </w:r>
      <w:r w:rsidRPr="00A35C95">
        <w:tab/>
        <w:t>the advice is provided in the media;</w:t>
      </w:r>
    </w:p>
    <w:p w14:paraId="6698A02F" w14:textId="77777777" w:rsidR="00E93F58" w:rsidRPr="00A35C95" w:rsidRDefault="00E93F58" w:rsidP="00366AB5">
      <w:pPr>
        <w:pStyle w:val="paragraphsub"/>
        <w:tabs>
          <w:tab w:val="left" w:pos="2835"/>
        </w:tabs>
      </w:pPr>
      <w:r w:rsidRPr="00A35C95">
        <w:tab/>
        <w:t>(iv)</w:t>
      </w:r>
      <w:r w:rsidRPr="00A35C95">
        <w:tab/>
        <w:t>the product issuer provides the following information:</w:t>
      </w:r>
    </w:p>
    <w:p w14:paraId="08461DA5" w14:textId="77777777" w:rsidR="00E93F58" w:rsidRPr="00A35C95" w:rsidRDefault="00E93F58" w:rsidP="00366AB5">
      <w:pPr>
        <w:pStyle w:val="paragraphsub-sub"/>
        <w:tabs>
          <w:tab w:val="left" w:pos="2835"/>
        </w:tabs>
      </w:pPr>
      <w:r w:rsidRPr="00A35C95">
        <w:rPr>
          <w:color w:val="000000"/>
        </w:rPr>
        <w:tab/>
        <w:t>(A)</w:t>
      </w:r>
      <w:r w:rsidRPr="00A35C95">
        <w:rPr>
          <w:color w:val="000000"/>
        </w:rPr>
        <w:tab/>
        <w:t>the advice has been prepared without taking account of the client’s objectives, financial situation or needs;</w:t>
      </w:r>
    </w:p>
    <w:p w14:paraId="04EBEC02" w14:textId="77777777" w:rsidR="00E93F58" w:rsidRPr="00A35C95" w:rsidRDefault="00E93F58" w:rsidP="00366AB5">
      <w:pPr>
        <w:pStyle w:val="paragraphsub-sub"/>
        <w:tabs>
          <w:tab w:val="left" w:pos="2835"/>
        </w:tabs>
      </w:pPr>
      <w:r w:rsidRPr="00A35C95">
        <w:tab/>
        <w:t>(B)</w:t>
      </w:r>
      <w:r w:rsidRPr="00A35C95">
        <w:tab/>
        <w:t>for that reason, the client should, before acting on the advice, consider the appropriateness of the advice, having regard to the client’s objectives, financial situation and needs;</w:t>
      </w:r>
    </w:p>
    <w:p w14:paraId="69C9AA84" w14:textId="77777777" w:rsidR="00E93F58" w:rsidRPr="00A35C95" w:rsidRDefault="00E93F58" w:rsidP="00366AB5">
      <w:pPr>
        <w:pStyle w:val="paragraphsub-sub"/>
        <w:tabs>
          <w:tab w:val="left" w:pos="2835"/>
        </w:tabs>
      </w:pPr>
      <w:r w:rsidRPr="00A35C95">
        <w:tab/>
        <w:t>(C)</w:t>
      </w:r>
      <w:r w:rsidRPr="00A35C95">
        <w:tab/>
        <w:t>if the advice relates to the acquisition, or possible acquisition, of a particular financial product, the client should obtain a Product Disclosure Statement relating to the product and consider the Statement before making any decision about whether to acquire the product;</w:t>
      </w:r>
    </w:p>
    <w:p w14:paraId="789F8715" w14:textId="77777777" w:rsidR="00E93F58" w:rsidRPr="00A35C95" w:rsidRDefault="00E93F58" w:rsidP="00366AB5">
      <w:pPr>
        <w:pStyle w:val="paragraph"/>
        <w:tabs>
          <w:tab w:val="left" w:pos="2835"/>
        </w:tabs>
      </w:pPr>
      <w:r w:rsidRPr="00A35C95">
        <w:tab/>
        <w:t>(oa)</w:t>
      </w:r>
      <w:r w:rsidRPr="00A35C95">
        <w:tab/>
        <w:t>the provision of financial product advice if the advice:</w:t>
      </w:r>
    </w:p>
    <w:p w14:paraId="1B0E1782" w14:textId="77777777" w:rsidR="00E93F58" w:rsidRPr="00A35C95" w:rsidRDefault="00E93F58" w:rsidP="00366AB5">
      <w:pPr>
        <w:pStyle w:val="paragraphsub"/>
        <w:tabs>
          <w:tab w:val="left" w:pos="2835"/>
        </w:tabs>
      </w:pPr>
      <w:r w:rsidRPr="00A35C95">
        <w:tab/>
        <w:t>(i)</w:t>
      </w:r>
      <w:r w:rsidRPr="00A35C95">
        <w:tab/>
        <w:t>is provided by an actuary in the ordinary course of providing actuarial services; and</w:t>
      </w:r>
    </w:p>
    <w:p w14:paraId="06A898D7" w14:textId="77777777" w:rsidR="00E93F58" w:rsidRPr="00A35C95" w:rsidRDefault="00E93F58" w:rsidP="00366AB5">
      <w:pPr>
        <w:pStyle w:val="paragraphsub"/>
        <w:tabs>
          <w:tab w:val="left" w:pos="2835"/>
        </w:tabs>
      </w:pPr>
      <w:r w:rsidRPr="00A35C95">
        <w:tab/>
        <w:t>(ii)</w:t>
      </w:r>
      <w:r w:rsidRPr="00A35C95">
        <w:tab/>
        <w:t>could not reasonably be expected to be included in a document that is to be given to a retail client; and</w:t>
      </w:r>
    </w:p>
    <w:p w14:paraId="0CFC35F1" w14:textId="77777777" w:rsidR="00E93F58" w:rsidRPr="00A35C95" w:rsidRDefault="00E93F58" w:rsidP="00366AB5">
      <w:pPr>
        <w:pStyle w:val="paragraphsub"/>
        <w:tabs>
          <w:tab w:val="left" w:pos="2835"/>
        </w:tabs>
      </w:pPr>
      <w:r w:rsidRPr="00A35C95">
        <w:tab/>
        <w:t>(iii)</w:t>
      </w:r>
      <w:r w:rsidRPr="00A35C95">
        <w:tab/>
        <w:t>is provided to:</w:t>
      </w:r>
    </w:p>
    <w:p w14:paraId="42AE1D1E" w14:textId="77777777" w:rsidR="00E93F58" w:rsidRPr="00A35C95" w:rsidRDefault="00E93F58" w:rsidP="00366AB5">
      <w:pPr>
        <w:pStyle w:val="paragraphsub-sub"/>
        <w:tabs>
          <w:tab w:val="left" w:pos="2835"/>
        </w:tabs>
      </w:pPr>
      <w:r w:rsidRPr="00A35C95">
        <w:tab/>
        <w:t>(A)</w:t>
      </w:r>
      <w:r w:rsidRPr="00A35C95">
        <w:tab/>
        <w:t>a wholesale client; or</w:t>
      </w:r>
    </w:p>
    <w:p w14:paraId="2C9FD513" w14:textId="77777777" w:rsidR="00E93F58" w:rsidRPr="00A35C95" w:rsidRDefault="00E93F58" w:rsidP="00366AB5">
      <w:pPr>
        <w:pStyle w:val="paragraphsub-sub"/>
        <w:tabs>
          <w:tab w:val="left" w:pos="2835"/>
        </w:tabs>
      </w:pPr>
      <w:r w:rsidRPr="00A35C95">
        <w:tab/>
        <w:t>(B)</w:t>
      </w:r>
      <w:r w:rsidRPr="00A35C95">
        <w:tab/>
        <w:t>the Commonwealth, a State or a Territory; or</w:t>
      </w:r>
    </w:p>
    <w:p w14:paraId="0ABE1731" w14:textId="77777777" w:rsidR="00E93F58" w:rsidRPr="00A35C95" w:rsidRDefault="00E93F58" w:rsidP="00366AB5">
      <w:pPr>
        <w:pStyle w:val="paragraphsub-sub"/>
        <w:tabs>
          <w:tab w:val="left" w:pos="2835"/>
        </w:tabs>
      </w:pPr>
      <w:r w:rsidRPr="00A35C95">
        <w:tab/>
        <w:t>(C)</w:t>
      </w:r>
      <w:r w:rsidRPr="00A35C95">
        <w:tab/>
        <w:t>an exempt public authority;</w:t>
      </w:r>
    </w:p>
    <w:p w14:paraId="398C6BBF" w14:textId="77777777" w:rsidR="00E93F58" w:rsidRPr="00A35C95" w:rsidRDefault="00E93F58" w:rsidP="00366AB5">
      <w:pPr>
        <w:pStyle w:val="paragraph"/>
        <w:tabs>
          <w:tab w:val="left" w:pos="2835"/>
        </w:tabs>
      </w:pPr>
      <w:r w:rsidRPr="00A35C95">
        <w:tab/>
        <w:t>(p)</w:t>
      </w:r>
      <w:r w:rsidRPr="00A35C95">
        <w:tab/>
        <w:t>a financial service provided by a person in the following circumstances:</w:t>
      </w:r>
    </w:p>
    <w:p w14:paraId="5B0E5A06" w14:textId="77777777" w:rsidR="00E93F58" w:rsidRPr="00A35C95" w:rsidRDefault="00E93F58" w:rsidP="00366AB5">
      <w:pPr>
        <w:pStyle w:val="paragraphsub"/>
        <w:tabs>
          <w:tab w:val="left" w:pos="2835"/>
        </w:tabs>
      </w:pPr>
      <w:r w:rsidRPr="00A35C95">
        <w:rPr>
          <w:color w:val="000000"/>
        </w:rPr>
        <w:tab/>
        <w:t>(i)</w:t>
      </w:r>
      <w:r w:rsidRPr="00A35C95">
        <w:rPr>
          <w:color w:val="000000"/>
        </w:rPr>
        <w:tab/>
        <w:t>the financial service relates to insurance entered into, or proposed to be entered into, for the purposes of a law (including a law of a State or Territory) that relates to workers compensation;</w:t>
      </w:r>
    </w:p>
    <w:p w14:paraId="50A077A3" w14:textId="77777777" w:rsidR="00E93F58" w:rsidRPr="00A35C95" w:rsidRDefault="00E93F58" w:rsidP="00366AB5">
      <w:pPr>
        <w:pStyle w:val="paragraphsub"/>
        <w:tabs>
          <w:tab w:val="left" w:pos="2835"/>
        </w:tabs>
      </w:pPr>
      <w:r w:rsidRPr="00A35C95">
        <w:lastRenderedPageBreak/>
        <w:tab/>
        <w:t>(ii)</w:t>
      </w:r>
      <w:r w:rsidRPr="00A35C95">
        <w:tab/>
        <w:t>the person is licensed to provide the service under the law of the State or Territory in which the service is provided;</w:t>
      </w:r>
    </w:p>
    <w:p w14:paraId="371A91CA" w14:textId="77777777" w:rsidR="00E93F58" w:rsidRPr="00A35C95" w:rsidRDefault="00E93F58" w:rsidP="00366AB5">
      <w:pPr>
        <w:pStyle w:val="notetext"/>
        <w:tabs>
          <w:tab w:val="left" w:pos="2835"/>
        </w:tabs>
      </w:pPr>
      <w:r w:rsidRPr="00A35C95">
        <w:t>Example:</w:t>
      </w:r>
      <w:r w:rsidRPr="00A35C95">
        <w:tab/>
      </w:r>
      <w:r w:rsidRPr="00A35C95">
        <w:rPr>
          <w:color w:val="000000"/>
        </w:rPr>
        <w:t xml:space="preserve">The activities of a licensed insurer under the </w:t>
      </w:r>
      <w:r w:rsidRPr="00A35C95">
        <w:rPr>
          <w:i/>
          <w:color w:val="000000"/>
        </w:rPr>
        <w:t>Workers Compensation Act 1987</w:t>
      </w:r>
      <w:r w:rsidRPr="00A35C95">
        <w:rPr>
          <w:color w:val="000000"/>
        </w:rPr>
        <w:t xml:space="preserve"> of New South Wales.</w:t>
      </w:r>
    </w:p>
    <w:p w14:paraId="1157C99A" w14:textId="77777777" w:rsidR="00E93F58" w:rsidRPr="00A35C95" w:rsidRDefault="00E93F58" w:rsidP="00366AB5">
      <w:pPr>
        <w:pStyle w:val="notetext"/>
        <w:tabs>
          <w:tab w:val="left" w:pos="2835"/>
        </w:tabs>
      </w:pPr>
      <w:r w:rsidRPr="00A35C95">
        <w:rPr>
          <w:color w:val="000000"/>
        </w:rPr>
        <w:t>Note:</w:t>
      </w:r>
      <w:r w:rsidRPr="00A35C95">
        <w:rPr>
          <w:color w:val="000000"/>
        </w:rPr>
        <w:tab/>
        <w:t>A licensed insurer would require an Australian financial services licence to the extent that the licensed insurer provides a financial service in respect of a non</w:t>
      </w:r>
      <w:r>
        <w:rPr>
          <w:color w:val="000000"/>
        </w:rPr>
        <w:noBreakHyphen/>
      </w:r>
      <w:r w:rsidRPr="00A35C95">
        <w:rPr>
          <w:color w:val="000000"/>
        </w:rPr>
        <w:t>workers compensation product or a non</w:t>
      </w:r>
      <w:r>
        <w:rPr>
          <w:color w:val="000000"/>
        </w:rPr>
        <w:noBreakHyphen/>
      </w:r>
      <w:r w:rsidRPr="00A35C95">
        <w:rPr>
          <w:color w:val="000000"/>
        </w:rPr>
        <w:t>workers compensation component of a product.</w:t>
      </w:r>
    </w:p>
    <w:p w14:paraId="6FDDDCE7" w14:textId="77777777" w:rsidR="00E93F58" w:rsidRPr="00A35C95" w:rsidRDefault="00E93F58" w:rsidP="00366AB5">
      <w:pPr>
        <w:pStyle w:val="paragraph"/>
        <w:tabs>
          <w:tab w:val="left" w:pos="2835"/>
        </w:tabs>
      </w:pPr>
      <w:r w:rsidRPr="00A35C95">
        <w:tab/>
        <w:t>(pa)</w:t>
      </w:r>
      <w:r w:rsidRPr="00A35C95">
        <w:tab/>
        <w:t>a financial service provided to a wholesale client by a body that:</w:t>
      </w:r>
    </w:p>
    <w:p w14:paraId="2D708075" w14:textId="77777777" w:rsidR="00E93F58" w:rsidRPr="00A35C95" w:rsidRDefault="00E93F58" w:rsidP="00366AB5">
      <w:pPr>
        <w:pStyle w:val="paragraphsub"/>
        <w:tabs>
          <w:tab w:val="left" w:pos="2835"/>
        </w:tabs>
      </w:pPr>
      <w:r w:rsidRPr="00A35C95">
        <w:tab/>
        <w:t>(i)</w:t>
      </w:r>
      <w:r w:rsidRPr="00A35C95">
        <w:tab/>
        <w:t>is not a company; and</w:t>
      </w:r>
    </w:p>
    <w:p w14:paraId="4FFCC9C4" w14:textId="77777777" w:rsidR="00E93F58" w:rsidRPr="00A35C95" w:rsidRDefault="00E93F58" w:rsidP="00366AB5">
      <w:pPr>
        <w:pStyle w:val="paragraphsub"/>
        <w:tabs>
          <w:tab w:val="left" w:pos="2835"/>
        </w:tabs>
      </w:pPr>
      <w:r w:rsidRPr="00A35C95">
        <w:tab/>
        <w:t>(ii)</w:t>
      </w:r>
      <w:r w:rsidRPr="00A35C95">
        <w:tab/>
        <w:t>is established or constituted under a law of the Commonwealth or a State or Territory; and</w:t>
      </w:r>
    </w:p>
    <w:p w14:paraId="2FD54610" w14:textId="77777777" w:rsidR="00E93F58" w:rsidRPr="00A35C95" w:rsidRDefault="00E93F58" w:rsidP="00366AB5">
      <w:pPr>
        <w:pStyle w:val="paragraphsub"/>
        <w:tabs>
          <w:tab w:val="left" w:pos="2835"/>
        </w:tabs>
      </w:pPr>
      <w:r w:rsidRPr="00A35C95">
        <w:tab/>
        <w:t>(iii)</w:t>
      </w:r>
      <w:r w:rsidRPr="00A35C95">
        <w:tab/>
        <w:t>is required under a law of the Commonwealth or a State or Territory to carry on the business of insurance or to undertake liability under a contract of insurance; and</w:t>
      </w:r>
    </w:p>
    <w:p w14:paraId="23ED8FD5" w14:textId="77777777" w:rsidR="00E93F58" w:rsidRPr="00A35C95" w:rsidRDefault="00E93F58" w:rsidP="00366AB5">
      <w:pPr>
        <w:pStyle w:val="paragraphsub"/>
        <w:tabs>
          <w:tab w:val="left" w:pos="2835"/>
        </w:tabs>
      </w:pPr>
      <w:r w:rsidRPr="00A35C95">
        <w:tab/>
        <w:t>(iv)</w:t>
      </w:r>
      <w:r w:rsidRPr="00A35C95">
        <w:tab/>
        <w:t>is regulated for the provision of insurance under a law of the Commonwealth or a State or Territory;</w:t>
      </w:r>
    </w:p>
    <w:p w14:paraId="6BB3A4CF" w14:textId="77777777" w:rsidR="00E93F58" w:rsidRPr="00A35C95" w:rsidRDefault="00E93F58" w:rsidP="00366AB5">
      <w:pPr>
        <w:pStyle w:val="paragraph"/>
        <w:tabs>
          <w:tab w:val="left" w:pos="2835"/>
        </w:tabs>
      </w:pPr>
      <w:r w:rsidRPr="00A35C95">
        <w:tab/>
        <w:t>(q)</w:t>
      </w:r>
      <w:r w:rsidRPr="00A35C95">
        <w:tab/>
        <w:t>a financial service provided by a person in the following circumstances:</w:t>
      </w:r>
    </w:p>
    <w:p w14:paraId="65C68F82" w14:textId="77777777" w:rsidR="00E93F58" w:rsidRPr="00A35C95" w:rsidRDefault="00E93F58" w:rsidP="00366AB5">
      <w:pPr>
        <w:pStyle w:val="paragraphsub"/>
        <w:tabs>
          <w:tab w:val="left" w:pos="2835"/>
        </w:tabs>
      </w:pPr>
      <w:r w:rsidRPr="00A35C95">
        <w:rPr>
          <w:color w:val="000000"/>
        </w:rPr>
        <w:tab/>
        <w:t>(i)</w:t>
      </w:r>
      <w:r w:rsidRPr="00A35C95">
        <w:rPr>
          <w:color w:val="000000"/>
        </w:rPr>
        <w:tab/>
        <w:t>the financial service consists only of the variation or disposal of a financial product by the person;</w:t>
      </w:r>
    </w:p>
    <w:p w14:paraId="0D7C673D" w14:textId="77777777" w:rsidR="00E93F58" w:rsidRPr="00A35C95" w:rsidRDefault="00E93F58" w:rsidP="00366AB5">
      <w:pPr>
        <w:pStyle w:val="paragraphsub"/>
        <w:tabs>
          <w:tab w:val="left" w:pos="2835"/>
        </w:tabs>
      </w:pPr>
      <w:r w:rsidRPr="00A35C95">
        <w:tab/>
        <w:t>(ii)</w:t>
      </w:r>
      <w:r w:rsidRPr="00A35C95">
        <w:tab/>
        <w:t>the person also issued the original product;</w:t>
      </w:r>
    </w:p>
    <w:p w14:paraId="7891500C" w14:textId="77777777" w:rsidR="00E93F58" w:rsidRPr="00A35C95" w:rsidRDefault="00E93F58" w:rsidP="00366AB5">
      <w:pPr>
        <w:pStyle w:val="paragraphsub"/>
        <w:tabs>
          <w:tab w:val="left" w:pos="2835"/>
        </w:tabs>
      </w:pPr>
      <w:r w:rsidRPr="00A35C95">
        <w:tab/>
        <w:t>(iii)</w:t>
      </w:r>
      <w:r w:rsidRPr="00A35C95">
        <w:tab/>
        <w:t>the person provides the financial service under the terms of the financial product;</w:t>
      </w:r>
    </w:p>
    <w:p w14:paraId="79B8C1BC" w14:textId="77777777" w:rsidR="00E93F58" w:rsidRPr="00A35C95" w:rsidRDefault="00E93F58" w:rsidP="00366AB5">
      <w:pPr>
        <w:pStyle w:val="paragraph"/>
        <w:tabs>
          <w:tab w:val="left" w:pos="2835"/>
        </w:tabs>
      </w:pPr>
      <w:r w:rsidRPr="00A35C95">
        <w:tab/>
        <w:t>(r)</w:t>
      </w:r>
      <w:r w:rsidRPr="00A35C95">
        <w:tab/>
        <w:t>a financial service that is a dealing (or arranging for a dealing) in:</w:t>
      </w:r>
    </w:p>
    <w:p w14:paraId="3FED405C" w14:textId="77777777" w:rsidR="00E93F58" w:rsidRPr="00A35C95" w:rsidRDefault="00E93F58" w:rsidP="00366AB5">
      <w:pPr>
        <w:pStyle w:val="paragraphsub"/>
        <w:tabs>
          <w:tab w:val="left" w:pos="2835"/>
        </w:tabs>
        <w:rPr>
          <w:snapToGrid w:val="0"/>
        </w:rPr>
      </w:pPr>
      <w:r w:rsidRPr="00A35C95">
        <w:tab/>
        <w:t>(i)</w:t>
      </w:r>
      <w:r w:rsidRPr="00A35C95">
        <w:tab/>
        <w:t xml:space="preserve">a </w:t>
      </w:r>
      <w:r w:rsidRPr="00A35C95">
        <w:rPr>
          <w:snapToGrid w:val="0"/>
        </w:rPr>
        <w:t>debenture; or</w:t>
      </w:r>
    </w:p>
    <w:p w14:paraId="0BCAD507" w14:textId="77777777" w:rsidR="00E93F58" w:rsidRPr="00A35C95" w:rsidRDefault="00E93F58" w:rsidP="00366AB5">
      <w:pPr>
        <w:pStyle w:val="paragraphsub"/>
        <w:tabs>
          <w:tab w:val="left" w:pos="2835"/>
        </w:tabs>
        <w:rPr>
          <w:snapToGrid w:val="0"/>
        </w:rPr>
      </w:pPr>
      <w:r w:rsidRPr="00A35C95">
        <w:rPr>
          <w:snapToGrid w:val="0"/>
        </w:rPr>
        <w:tab/>
        <w:t>(ii)</w:t>
      </w:r>
      <w:r w:rsidRPr="00A35C95">
        <w:rPr>
          <w:snapToGrid w:val="0"/>
        </w:rPr>
        <w:tab/>
        <w:t>a legal or equitable right or interest in a debenture; or</w:t>
      </w:r>
    </w:p>
    <w:p w14:paraId="7F5B2B94" w14:textId="77777777" w:rsidR="00E93F58" w:rsidRPr="00A35C95" w:rsidRDefault="00E93F58" w:rsidP="00366AB5">
      <w:pPr>
        <w:pStyle w:val="paragraphsub"/>
        <w:tabs>
          <w:tab w:val="left" w:pos="2835"/>
        </w:tabs>
        <w:rPr>
          <w:snapToGrid w:val="0"/>
        </w:rPr>
      </w:pPr>
      <w:r w:rsidRPr="00A35C95">
        <w:rPr>
          <w:snapToGrid w:val="0"/>
        </w:rPr>
        <w:tab/>
        <w:t>(iii)</w:t>
      </w:r>
      <w:r w:rsidRPr="00A35C95">
        <w:rPr>
          <w:snapToGrid w:val="0"/>
        </w:rPr>
        <w:tab/>
        <w:t>an option to acquire, by way of issue or transfer, a debenture or a legal or equitable right or interest in a debenture;</w:t>
      </w:r>
    </w:p>
    <w:p w14:paraId="67A3DC40" w14:textId="77777777" w:rsidR="00E93F58" w:rsidRPr="00A35C95" w:rsidRDefault="00E93F58" w:rsidP="00366AB5">
      <w:pPr>
        <w:pStyle w:val="paragraph"/>
        <w:tabs>
          <w:tab w:val="left" w:pos="2835"/>
        </w:tabs>
      </w:pPr>
      <w:r w:rsidRPr="00A35C95">
        <w:rPr>
          <w:snapToGrid w:val="0"/>
        </w:rPr>
        <w:tab/>
      </w:r>
      <w:r w:rsidRPr="00A35C95">
        <w:rPr>
          <w:snapToGrid w:val="0"/>
        </w:rPr>
        <w:tab/>
        <w:t xml:space="preserve">by the issuer of the debenture, the legal or equitable right or interest or the </w:t>
      </w:r>
      <w:r w:rsidRPr="00A35C95">
        <w:t>option;</w:t>
      </w:r>
    </w:p>
    <w:p w14:paraId="14457D76" w14:textId="77777777" w:rsidR="00E93F58" w:rsidRPr="00A35C95" w:rsidRDefault="00E93F58" w:rsidP="00366AB5">
      <w:pPr>
        <w:pStyle w:val="paragraph"/>
        <w:tabs>
          <w:tab w:val="left" w:pos="2835"/>
        </w:tabs>
      </w:pPr>
      <w:r w:rsidRPr="00A35C95">
        <w:tab/>
        <w:t>(s)</w:t>
      </w:r>
      <w:r w:rsidRPr="00A35C95">
        <w:tab/>
        <w:t>the provision of financial product advice if the advice:</w:t>
      </w:r>
    </w:p>
    <w:p w14:paraId="48EAD529" w14:textId="77777777" w:rsidR="00E93F58" w:rsidRPr="00A35C95" w:rsidRDefault="00E93F58" w:rsidP="00366AB5">
      <w:pPr>
        <w:pStyle w:val="paragraphsub"/>
        <w:tabs>
          <w:tab w:val="left" w:pos="2835"/>
        </w:tabs>
      </w:pPr>
      <w:r w:rsidRPr="00A35C95">
        <w:tab/>
        <w:t>(i)</w:t>
      </w:r>
      <w:r w:rsidRPr="00A35C95">
        <w:tab/>
        <w:t>is provided to a financial services licensee; and</w:t>
      </w:r>
    </w:p>
    <w:p w14:paraId="74004FB2" w14:textId="77777777" w:rsidR="00E93F58" w:rsidRPr="00A35C95" w:rsidRDefault="00E93F58" w:rsidP="00366AB5">
      <w:pPr>
        <w:pStyle w:val="paragraphsub"/>
        <w:tabs>
          <w:tab w:val="left" w:pos="2835"/>
        </w:tabs>
      </w:pPr>
      <w:r w:rsidRPr="00A35C95">
        <w:tab/>
        <w:t>(ii)</w:t>
      </w:r>
      <w:r w:rsidRPr="00A35C95">
        <w:tab/>
        <w:t>is only general advice in relation to a financial product or a class of financial products; and</w:t>
      </w:r>
    </w:p>
    <w:p w14:paraId="4AFE5CA5" w14:textId="77777777" w:rsidR="00E93F58" w:rsidRPr="00A35C95" w:rsidRDefault="00E93F58" w:rsidP="00366AB5">
      <w:pPr>
        <w:pStyle w:val="paragraphsub"/>
        <w:tabs>
          <w:tab w:val="left" w:pos="2835"/>
        </w:tabs>
      </w:pPr>
      <w:r w:rsidRPr="00A35C95">
        <w:tab/>
        <w:t>(iii)</w:t>
      </w:r>
      <w:r w:rsidRPr="00A35C95">
        <w:tab/>
        <w:t>is advice that the financial services licensee is authorised to provide; and</w:t>
      </w:r>
    </w:p>
    <w:p w14:paraId="1B34FEE2" w14:textId="77777777" w:rsidR="00E93F58" w:rsidRPr="00A35C95" w:rsidRDefault="00E93F58" w:rsidP="00366AB5">
      <w:pPr>
        <w:pStyle w:val="paragraphsub"/>
        <w:tabs>
          <w:tab w:val="left" w:pos="2835"/>
        </w:tabs>
      </w:pPr>
      <w:r w:rsidRPr="00A35C95">
        <w:tab/>
        <w:t>(iv)</w:t>
      </w:r>
      <w:r w:rsidRPr="00A35C95">
        <w:tab/>
        <w:t>is provided by:</w:t>
      </w:r>
    </w:p>
    <w:p w14:paraId="5B22EEE1" w14:textId="77777777" w:rsidR="00E93F58" w:rsidRPr="00A35C95" w:rsidRDefault="00E93F58" w:rsidP="00366AB5">
      <w:pPr>
        <w:pStyle w:val="paragraphsub-sub"/>
        <w:tabs>
          <w:tab w:val="left" w:pos="2835"/>
        </w:tabs>
      </w:pPr>
      <w:r w:rsidRPr="00A35C95">
        <w:tab/>
        <w:t>(A)</w:t>
      </w:r>
      <w:r w:rsidRPr="00A35C95">
        <w:tab/>
        <w:t>the product issuer; or</w:t>
      </w:r>
    </w:p>
    <w:p w14:paraId="66331237" w14:textId="77777777" w:rsidR="00E93F58" w:rsidRPr="00A35C95" w:rsidRDefault="00E93F58" w:rsidP="00366AB5">
      <w:pPr>
        <w:pStyle w:val="paragraphsub-sub"/>
        <w:tabs>
          <w:tab w:val="left" w:pos="2835"/>
        </w:tabs>
      </w:pPr>
      <w:r w:rsidRPr="00A35C95">
        <w:tab/>
        <w:t>(B)</w:t>
      </w:r>
      <w:r w:rsidRPr="00A35C95">
        <w:tab/>
        <w:t>a related body corporate of the product issuer;</w:t>
      </w:r>
    </w:p>
    <w:p w14:paraId="504EB813" w14:textId="77777777" w:rsidR="00E93F58" w:rsidRPr="00A35C95" w:rsidRDefault="00E93F58" w:rsidP="00366AB5">
      <w:pPr>
        <w:pStyle w:val="paragraph"/>
        <w:tabs>
          <w:tab w:val="left" w:pos="2835"/>
        </w:tabs>
      </w:pPr>
      <w:r w:rsidRPr="00A35C95">
        <w:tab/>
        <w:t>(t)</w:t>
      </w:r>
      <w:r w:rsidRPr="00A35C95">
        <w:tab/>
        <w:t>advising in relation to, or dealing in, a medical indemnity insurance product;</w:t>
      </w:r>
    </w:p>
    <w:p w14:paraId="76F8808C" w14:textId="77777777" w:rsidR="00E93F58" w:rsidRPr="00A35C95" w:rsidRDefault="00E93F58" w:rsidP="00366AB5">
      <w:pPr>
        <w:pStyle w:val="paragraph"/>
        <w:tabs>
          <w:tab w:val="left" w:pos="2835"/>
        </w:tabs>
      </w:pPr>
      <w:r w:rsidRPr="00A35C95">
        <w:tab/>
        <w:t>(ta)</w:t>
      </w:r>
      <w:r w:rsidRPr="00A35C95">
        <w:tab/>
        <w:t>a financial service provided by a person in the following circumstances:</w:t>
      </w:r>
    </w:p>
    <w:p w14:paraId="36687E49" w14:textId="77777777" w:rsidR="00E93F58" w:rsidRPr="00A35C95" w:rsidRDefault="00E93F58" w:rsidP="00366AB5">
      <w:pPr>
        <w:pStyle w:val="paragraphsub"/>
        <w:tabs>
          <w:tab w:val="left" w:pos="2835"/>
        </w:tabs>
      </w:pPr>
      <w:r w:rsidRPr="00A35C95">
        <w:tab/>
        <w:t>(i)</w:t>
      </w:r>
      <w:r w:rsidRPr="00A35C95">
        <w:tab/>
        <w:t>the financial service is providing financial product advice in relation to a friendly society funeral product, or dealing in a friendly society funeral product;</w:t>
      </w:r>
    </w:p>
    <w:p w14:paraId="61C18112" w14:textId="77777777" w:rsidR="00E93F58" w:rsidRPr="00A35C95" w:rsidRDefault="00E93F58" w:rsidP="00366AB5">
      <w:pPr>
        <w:pStyle w:val="paragraphsub"/>
        <w:tabs>
          <w:tab w:val="left" w:pos="2835"/>
        </w:tabs>
      </w:pPr>
      <w:r w:rsidRPr="00A35C95">
        <w:tab/>
        <w:t>(ii)</w:t>
      </w:r>
      <w:r w:rsidRPr="00A35C95">
        <w:tab/>
        <w:t>the person is a funeral services entity, or an employee, director or other officer of a funeral services entity;</w:t>
      </w:r>
    </w:p>
    <w:p w14:paraId="5781857A" w14:textId="77777777" w:rsidR="00E93F58" w:rsidRPr="00A35C95" w:rsidRDefault="00E93F58" w:rsidP="00366AB5">
      <w:pPr>
        <w:pStyle w:val="paragraphsub"/>
        <w:tabs>
          <w:tab w:val="left" w:pos="2835"/>
        </w:tabs>
      </w:pPr>
      <w:r w:rsidRPr="00A35C95">
        <w:tab/>
        <w:t>(iii)</w:t>
      </w:r>
      <w:r w:rsidRPr="00A35C95">
        <w:tab/>
        <w:t>the financial service is provided in the funeral services entity’s ordinary course of business as a funeral services entity;</w:t>
      </w:r>
    </w:p>
    <w:p w14:paraId="1EEA6F6A" w14:textId="77777777" w:rsidR="00E93F58" w:rsidRPr="00A35C95" w:rsidRDefault="00E93F58" w:rsidP="00366AB5">
      <w:pPr>
        <w:pStyle w:val="paragraph"/>
        <w:tabs>
          <w:tab w:val="left" w:pos="2835"/>
        </w:tabs>
      </w:pPr>
      <w:r w:rsidRPr="00A35C95">
        <w:tab/>
        <w:t>(u)</w:t>
      </w:r>
      <w:r w:rsidRPr="00A35C95">
        <w:tab/>
        <w:t>a financial service provided by a person in the following circumstances:</w:t>
      </w:r>
    </w:p>
    <w:p w14:paraId="22C10409" w14:textId="77777777" w:rsidR="00E93F58" w:rsidRPr="00A35C95" w:rsidRDefault="00E93F58" w:rsidP="00366AB5">
      <w:pPr>
        <w:pStyle w:val="paragraphsub"/>
        <w:tabs>
          <w:tab w:val="left" w:pos="2835"/>
        </w:tabs>
      </w:pPr>
      <w:r w:rsidRPr="00A35C95">
        <w:tab/>
        <w:t>(i)</w:t>
      </w:r>
      <w:r w:rsidRPr="00A35C95">
        <w:tab/>
        <w:t>the financial service is advice included in a document issued in connection with a takeover bid or an offer of a financial product;</w:t>
      </w:r>
    </w:p>
    <w:p w14:paraId="61C48E88" w14:textId="77777777" w:rsidR="00E93F58" w:rsidRPr="00A35C95" w:rsidRDefault="00E93F58" w:rsidP="00366AB5">
      <w:pPr>
        <w:pStyle w:val="paragraphsub"/>
        <w:tabs>
          <w:tab w:val="left" w:pos="2835"/>
        </w:tabs>
      </w:pPr>
      <w:r w:rsidRPr="00A35C95">
        <w:tab/>
        <w:t>(ii)</w:t>
      </w:r>
      <w:r w:rsidRPr="00A35C95">
        <w:tab/>
        <w:t>the advice is an opinion on matters other than financial products and does not include advice on a financial product;</w:t>
      </w:r>
    </w:p>
    <w:p w14:paraId="4C9CD943" w14:textId="77777777" w:rsidR="00E93F58" w:rsidRPr="00A35C95" w:rsidRDefault="00E93F58" w:rsidP="00366AB5">
      <w:pPr>
        <w:pStyle w:val="paragraphsub"/>
        <w:tabs>
          <w:tab w:val="left" w:pos="2835"/>
        </w:tabs>
      </w:pPr>
      <w:r w:rsidRPr="00A35C95">
        <w:tab/>
        <w:t>(iii)</w:t>
      </w:r>
      <w:r w:rsidRPr="00A35C95">
        <w:tab/>
        <w:t>the document includes a statement that the person is not operating under an Australian financial services licence when giving the advice;</w:t>
      </w:r>
    </w:p>
    <w:p w14:paraId="3847C1B9" w14:textId="77777777" w:rsidR="00E93F58" w:rsidRPr="00A35C95" w:rsidRDefault="00E93F58" w:rsidP="00366AB5">
      <w:pPr>
        <w:pStyle w:val="paragraphsub"/>
        <w:tabs>
          <w:tab w:val="left" w:pos="2835"/>
        </w:tabs>
      </w:pPr>
      <w:r w:rsidRPr="00A35C95">
        <w:tab/>
        <w:t>(iv)</w:t>
      </w:r>
      <w:r w:rsidRPr="00A35C95">
        <w:tab/>
        <w:t>the person discloses, in the document, the information mentioned in paragraphs 947B(2)(d) and (e) of the Act;</w:t>
      </w:r>
    </w:p>
    <w:p w14:paraId="33DF9CA4" w14:textId="77777777" w:rsidR="00E93F58" w:rsidRPr="00A35C95" w:rsidRDefault="00E93F58" w:rsidP="00366AB5">
      <w:pPr>
        <w:pStyle w:val="notetext"/>
        <w:tabs>
          <w:tab w:val="left" w:pos="2835"/>
        </w:tabs>
      </w:pPr>
      <w:r w:rsidRPr="00A35C95">
        <w:t>Example:</w:t>
      </w:r>
      <w:r w:rsidRPr="00A35C95">
        <w:tab/>
        <w:t>A geologist’s report on a mining lease included in a PDS.</w:t>
      </w:r>
    </w:p>
    <w:p w14:paraId="24890F87" w14:textId="77777777" w:rsidR="00E93F58" w:rsidRPr="00A35C95" w:rsidRDefault="00E93F58" w:rsidP="00366AB5">
      <w:pPr>
        <w:pStyle w:val="paragraph"/>
        <w:tabs>
          <w:tab w:val="left" w:pos="2835"/>
        </w:tabs>
      </w:pPr>
      <w:r w:rsidRPr="00A35C95">
        <w:tab/>
        <w:t>(v)</w:t>
      </w:r>
      <w:r w:rsidRPr="00A35C95">
        <w:tab/>
        <w:t xml:space="preserve">a financial service provided by a person (the </w:t>
      </w:r>
      <w:r w:rsidRPr="00A35C95">
        <w:rPr>
          <w:b/>
          <w:i/>
        </w:rPr>
        <w:t>nominee</w:t>
      </w:r>
      <w:r w:rsidRPr="00A35C95">
        <w:t>) in the following circumstances:</w:t>
      </w:r>
    </w:p>
    <w:p w14:paraId="3925809D" w14:textId="77777777" w:rsidR="00E93F58" w:rsidRPr="00A35C95" w:rsidRDefault="00E93F58" w:rsidP="00366AB5">
      <w:pPr>
        <w:pStyle w:val="paragraphsub"/>
        <w:tabs>
          <w:tab w:val="left" w:pos="2835"/>
        </w:tabs>
      </w:pPr>
      <w:r w:rsidRPr="00A35C95">
        <w:tab/>
        <w:t>(i)</w:t>
      </w:r>
      <w:r w:rsidRPr="00A35C95">
        <w:tab/>
        <w:t>the nominee holds a financial product or a beneficial interest in a financial product on trust for or on behalf of a client of a financial services licensee who is a participant in a licensed market (the</w:t>
      </w:r>
      <w:r w:rsidRPr="00A35C95">
        <w:rPr>
          <w:b/>
          <w:i/>
        </w:rPr>
        <w:t xml:space="preserve"> participant</w:t>
      </w:r>
      <w:r w:rsidRPr="00A35C95">
        <w:t>);</w:t>
      </w:r>
    </w:p>
    <w:p w14:paraId="6EC3E751" w14:textId="77777777" w:rsidR="00E93F58" w:rsidRPr="00A35C95" w:rsidRDefault="00E93F58" w:rsidP="00366AB5">
      <w:pPr>
        <w:pStyle w:val="paragraphsub"/>
        <w:tabs>
          <w:tab w:val="left" w:pos="2835"/>
        </w:tabs>
      </w:pPr>
      <w:r w:rsidRPr="00A35C95">
        <w:tab/>
        <w:t>(ii)</w:t>
      </w:r>
      <w:r w:rsidRPr="00A35C95">
        <w:tab/>
        <w:t>the financial product:</w:t>
      </w:r>
    </w:p>
    <w:p w14:paraId="6C8DF7EC" w14:textId="77777777" w:rsidR="00E93F58" w:rsidRPr="00A35C95" w:rsidRDefault="00E93F58" w:rsidP="00366AB5">
      <w:pPr>
        <w:pStyle w:val="paragraphsub-sub"/>
        <w:tabs>
          <w:tab w:val="left" w:pos="2835"/>
        </w:tabs>
      </w:pPr>
      <w:r w:rsidRPr="00A35C95">
        <w:tab/>
        <w:t>(A)</w:t>
      </w:r>
      <w:r w:rsidRPr="00A35C95">
        <w:tab/>
        <w:t>was acquired on the licensed market by the participant on behalf of the client; or</w:t>
      </w:r>
    </w:p>
    <w:p w14:paraId="1D6D0F59" w14:textId="77777777" w:rsidR="00E93F58" w:rsidRPr="00A35C95" w:rsidRDefault="00E93F58" w:rsidP="00366AB5">
      <w:pPr>
        <w:pStyle w:val="paragraphsub-sub"/>
        <w:tabs>
          <w:tab w:val="left" w:pos="2835"/>
        </w:tabs>
      </w:pPr>
      <w:r w:rsidRPr="00A35C95">
        <w:tab/>
        <w:t>(B)</w:t>
      </w:r>
      <w:r w:rsidRPr="00A35C95">
        <w:tab/>
        <w:t>is to be disposed of on the licensed market by the participant on behalf of the client;</w:t>
      </w:r>
    </w:p>
    <w:p w14:paraId="7BF2917C" w14:textId="77777777" w:rsidR="00E93F58" w:rsidRPr="00A35C95" w:rsidRDefault="00E93F58" w:rsidP="00366AB5">
      <w:pPr>
        <w:pStyle w:val="paragraphsub"/>
        <w:tabs>
          <w:tab w:val="left" w:pos="2835"/>
        </w:tabs>
      </w:pPr>
      <w:r w:rsidRPr="00A35C95">
        <w:lastRenderedPageBreak/>
        <w:tab/>
        <w:t>(iii)</w:t>
      </w:r>
      <w:r w:rsidRPr="00A35C95">
        <w:tab/>
        <w:t>the participant is authorised by an Australian financial services licence to provide a custodial or depository service;</w:t>
      </w:r>
    </w:p>
    <w:p w14:paraId="23C43F2E" w14:textId="77777777" w:rsidR="00E93F58" w:rsidRPr="00A35C95" w:rsidRDefault="00E93F58" w:rsidP="00366AB5">
      <w:pPr>
        <w:pStyle w:val="paragraphsub"/>
        <w:tabs>
          <w:tab w:val="left" w:pos="2835"/>
        </w:tabs>
      </w:pPr>
      <w:r w:rsidRPr="00A35C95">
        <w:tab/>
        <w:t>(iv)</w:t>
      </w:r>
      <w:r w:rsidRPr="00A35C95">
        <w:tab/>
        <w:t>the participant’s licence is subject to a condition requiring it to assume responsibility for the conduct of the nominee in relation to the provision of a financial service mentioned in this paragraph;</w:t>
      </w:r>
    </w:p>
    <w:p w14:paraId="3AB88860" w14:textId="77777777" w:rsidR="00E93F58" w:rsidRPr="00A35C95" w:rsidRDefault="00E93F58" w:rsidP="00366AB5">
      <w:pPr>
        <w:pStyle w:val="paragraphsub"/>
        <w:tabs>
          <w:tab w:val="left" w:pos="2835"/>
        </w:tabs>
      </w:pPr>
      <w:r w:rsidRPr="00A35C95">
        <w:tab/>
        <w:t>(v)</w:t>
      </w:r>
      <w:r w:rsidRPr="00A35C95">
        <w:tab/>
        <w:t>the nominee is a wholly</w:t>
      </w:r>
      <w:r>
        <w:noBreakHyphen/>
      </w:r>
      <w:r w:rsidRPr="00A35C95">
        <w:t>owned subsidiary of the participant;</w:t>
      </w:r>
    </w:p>
    <w:p w14:paraId="54549B59" w14:textId="77777777" w:rsidR="00E93F58" w:rsidRPr="00A35C95" w:rsidRDefault="00E93F58" w:rsidP="00366AB5">
      <w:pPr>
        <w:pStyle w:val="paragraph"/>
        <w:tabs>
          <w:tab w:val="left" w:pos="2835"/>
        </w:tabs>
      </w:pPr>
      <w:r w:rsidRPr="00A35C95">
        <w:tab/>
        <w:t>(w)</w:t>
      </w:r>
      <w:r w:rsidRPr="00A35C95">
        <w:tab/>
        <w:t>a financial service that is provided</w:t>
      </w:r>
      <w:r w:rsidRPr="00A35C95">
        <w:rPr>
          <w:color w:val="000000"/>
        </w:rPr>
        <w:t>:</w:t>
      </w:r>
    </w:p>
    <w:p w14:paraId="4CD88251" w14:textId="77777777" w:rsidR="00E93F58" w:rsidRPr="00A35C95" w:rsidRDefault="00E93F58" w:rsidP="00366AB5">
      <w:pPr>
        <w:pStyle w:val="paragraphsub"/>
        <w:tabs>
          <w:tab w:val="left" w:pos="2835"/>
        </w:tabs>
      </w:pPr>
      <w:r w:rsidRPr="00A35C95">
        <w:tab/>
        <w:t>(i)</w:t>
      </w:r>
      <w:r w:rsidRPr="00A35C95">
        <w:tab/>
        <w:t xml:space="preserve">by the Export Finance and Insurance Corporation established by the </w:t>
      </w:r>
      <w:r w:rsidRPr="00A35C95">
        <w:rPr>
          <w:i/>
        </w:rPr>
        <w:t>Export Finance and Insurance Corporation Act 1991</w:t>
      </w:r>
      <w:r w:rsidRPr="00A35C95">
        <w:t>; and</w:t>
      </w:r>
    </w:p>
    <w:p w14:paraId="290C473A" w14:textId="77777777" w:rsidR="00E93F58" w:rsidRPr="00A35C95" w:rsidRDefault="00E93F58" w:rsidP="00366AB5">
      <w:pPr>
        <w:pStyle w:val="paragraphsub"/>
        <w:tabs>
          <w:tab w:val="left" w:pos="2835"/>
        </w:tabs>
      </w:pPr>
      <w:r w:rsidRPr="00A35C95">
        <w:tab/>
        <w:t>(ii)</w:t>
      </w:r>
      <w:r w:rsidRPr="00A35C95">
        <w:tab/>
        <w:t>only to a wholesale client;</w:t>
      </w:r>
    </w:p>
    <w:p w14:paraId="571541D4" w14:textId="77777777" w:rsidR="00E93F58" w:rsidRPr="00A35C95" w:rsidRDefault="00E93F58" w:rsidP="00366AB5">
      <w:pPr>
        <w:pStyle w:val="paragraph"/>
        <w:tabs>
          <w:tab w:val="left" w:pos="2835"/>
        </w:tabs>
      </w:pPr>
      <w:r w:rsidRPr="00A35C95">
        <w:tab/>
        <w:t>(x)</w:t>
      </w:r>
      <w:r w:rsidRPr="00A35C95">
        <w:tab/>
        <w:t>a service in relation to a litigation funding scheme mentioned in regulation 5C.11.01;</w:t>
      </w:r>
    </w:p>
    <w:p w14:paraId="658B3FF9" w14:textId="77777777" w:rsidR="00E93F58" w:rsidRPr="00A35C95" w:rsidRDefault="00E93F58" w:rsidP="00366AB5">
      <w:pPr>
        <w:pStyle w:val="paragraph"/>
        <w:tabs>
          <w:tab w:val="left" w:pos="2835"/>
        </w:tabs>
      </w:pPr>
      <w:r w:rsidRPr="00A35C95">
        <w:tab/>
        <w:t>(y)</w:t>
      </w:r>
      <w:r w:rsidRPr="00A35C95">
        <w:tab/>
        <w:t>a service in relation to a litigation funding arrangement mentioned in regulation 5C.11.01;</w:t>
      </w:r>
    </w:p>
    <w:p w14:paraId="2A222B1F" w14:textId="77777777" w:rsidR="00E93F58" w:rsidRPr="00A35C95" w:rsidRDefault="00E93F58" w:rsidP="00366AB5">
      <w:pPr>
        <w:pStyle w:val="paragraph"/>
        <w:tabs>
          <w:tab w:val="left" w:pos="2835"/>
        </w:tabs>
      </w:pPr>
      <w:r w:rsidRPr="00A35C95">
        <w:tab/>
        <w:t>(z)</w:t>
      </w:r>
      <w:r w:rsidRPr="00A35C95">
        <w:tab/>
        <w:t>a financial service provided by a person in the following circumstances:</w:t>
      </w:r>
    </w:p>
    <w:p w14:paraId="7BDCFACE" w14:textId="77777777" w:rsidR="00E93F58" w:rsidRPr="00A35C95" w:rsidRDefault="00E93F58" w:rsidP="00366AB5">
      <w:pPr>
        <w:pStyle w:val="paragraphsub"/>
        <w:tabs>
          <w:tab w:val="left" w:pos="2835"/>
        </w:tabs>
      </w:pPr>
      <w:r w:rsidRPr="00A35C95">
        <w:tab/>
        <w:t>(i)</w:t>
      </w:r>
      <w:r w:rsidRPr="00A35C95">
        <w:tab/>
        <w:t>the person is:</w:t>
      </w:r>
    </w:p>
    <w:p w14:paraId="678EBA07" w14:textId="77777777" w:rsidR="00E93F58" w:rsidRPr="00A35C95" w:rsidRDefault="00E93F58" w:rsidP="00366AB5">
      <w:pPr>
        <w:pStyle w:val="paragraphsub-sub"/>
        <w:tabs>
          <w:tab w:val="left" w:pos="2835"/>
        </w:tabs>
      </w:pPr>
      <w:r w:rsidRPr="00A35C95">
        <w:tab/>
        <w:t>(A)</w:t>
      </w:r>
      <w:r w:rsidRPr="00A35C95">
        <w:tab/>
        <w:t>the operator of a qualifying gas trading exchange; or</w:t>
      </w:r>
    </w:p>
    <w:p w14:paraId="69838EDC" w14:textId="77777777" w:rsidR="00E93F58" w:rsidRPr="00A35C95" w:rsidRDefault="00E93F58" w:rsidP="00366AB5">
      <w:pPr>
        <w:pStyle w:val="paragraphsub-sub"/>
        <w:tabs>
          <w:tab w:val="left" w:pos="2835"/>
        </w:tabs>
      </w:pPr>
      <w:r w:rsidRPr="00A35C95">
        <w:tab/>
        <w:t>(B)</w:t>
      </w:r>
      <w:r w:rsidRPr="00A35C95">
        <w:tab/>
        <w:t>a participant in relation to a qualifying gas trading exchange;</w:t>
      </w:r>
    </w:p>
    <w:p w14:paraId="770C7279" w14:textId="77777777" w:rsidR="00E93F58" w:rsidRPr="00A35C95" w:rsidRDefault="00E93F58" w:rsidP="00366AB5">
      <w:pPr>
        <w:pStyle w:val="paragraphsub"/>
        <w:tabs>
          <w:tab w:val="left" w:pos="2835"/>
        </w:tabs>
      </w:pPr>
      <w:r w:rsidRPr="00A35C95">
        <w:tab/>
        <w:t>(ii)</w:t>
      </w:r>
      <w:r w:rsidRPr="00A35C95">
        <w:tab/>
        <w:t>the service is provided in relation to a qualifying gas exchange product traded on the qualifying gas trading exchange.</w:t>
      </w:r>
    </w:p>
    <w:p w14:paraId="33908305" w14:textId="77777777" w:rsidR="00E93F58" w:rsidRPr="00A35C95" w:rsidRDefault="00E93F58" w:rsidP="00F740F1">
      <w:pPr>
        <w:pStyle w:val="paragraph"/>
      </w:pPr>
      <w:r w:rsidRPr="00A35C95">
        <w:tab/>
        <w:t>(za)</w:t>
      </w:r>
      <w:r w:rsidRPr="00A35C95">
        <w:tab/>
        <w:t>the provision of financial product advice to a client by a financial capability service provider as part of the provision of a financial capability service in the following circumstances:</w:t>
      </w:r>
    </w:p>
    <w:p w14:paraId="49FF226B" w14:textId="77777777" w:rsidR="00E93F58" w:rsidRPr="00A35C95" w:rsidRDefault="00E93F58" w:rsidP="00F740F1">
      <w:pPr>
        <w:pStyle w:val="paragraphsub"/>
      </w:pPr>
      <w:r w:rsidRPr="00A35C95">
        <w:tab/>
        <w:t>(i)</w:t>
      </w:r>
      <w:r w:rsidRPr="00A35C95">
        <w:tab/>
        <w:t>the advice relates to a basic deposit product;</w:t>
      </w:r>
    </w:p>
    <w:p w14:paraId="5BD84746" w14:textId="77777777" w:rsidR="00E93F58" w:rsidRPr="00A35C95" w:rsidRDefault="00E93F58" w:rsidP="00F740F1">
      <w:pPr>
        <w:pStyle w:val="paragraphsub"/>
      </w:pPr>
      <w:r w:rsidRPr="00A35C95">
        <w:tab/>
        <w:t>(ii)</w:t>
      </w:r>
      <w:r w:rsidRPr="00A35C95">
        <w:tab/>
        <w:t>no fees or charges (however described) are payable by or on behalf of the client in relation to the financial capability service;</w:t>
      </w:r>
    </w:p>
    <w:p w14:paraId="1333318F" w14:textId="77777777" w:rsidR="00E93F58" w:rsidRPr="00A35C95" w:rsidRDefault="00E93F58" w:rsidP="00F740F1">
      <w:pPr>
        <w:pStyle w:val="paragraphsub"/>
      </w:pPr>
      <w:r w:rsidRPr="00A35C95">
        <w:tab/>
        <w:t>(iii)</w:t>
      </w:r>
      <w:r w:rsidRPr="00A35C95">
        <w:tab/>
        <w:t>no remuneration (whether by way of commission or otherwise) is payable to, or for the benefit of, the financial capability service provider, its representatives or its associates in relation to any action by or on behalf of the client arising from the financial capability service (including the advice);</w:t>
      </w:r>
    </w:p>
    <w:p w14:paraId="2E00E85B" w14:textId="77777777" w:rsidR="00E93F58" w:rsidRPr="00A35C95" w:rsidRDefault="00E93F58" w:rsidP="00F740F1">
      <w:pPr>
        <w:pStyle w:val="paragraphsub"/>
      </w:pPr>
      <w:r w:rsidRPr="00A35C95">
        <w:tab/>
        <w:t>(iv)</w:t>
      </w:r>
      <w:r w:rsidRPr="00A35C95">
        <w:tab/>
        <w:t>the financial capability service provider does not carry on or otherwise participate in a financial services business involving the provision of a financial service, other than a financial service of the kind to which this paragraph applies;</w:t>
      </w:r>
    </w:p>
    <w:p w14:paraId="73DEC7BE" w14:textId="77777777" w:rsidR="00E93F58" w:rsidRPr="00A35C95" w:rsidRDefault="00E93F58" w:rsidP="00F740F1">
      <w:pPr>
        <w:pStyle w:val="paragraphsub"/>
      </w:pPr>
      <w:r w:rsidRPr="00A35C95">
        <w:tab/>
        <w:t>(v)</w:t>
      </w:r>
      <w:r w:rsidRPr="00A35C95">
        <w:tab/>
        <w:t>the financial capability service provider takes all reasonable steps to ensure that none of its representatives provides or participates in the provision of a financial service, other than a financial service of the kind to which this paragraph applies;</w:t>
      </w:r>
    </w:p>
    <w:p w14:paraId="44A1B850" w14:textId="77777777" w:rsidR="00E93F58" w:rsidRPr="00A35C95" w:rsidRDefault="00E93F58" w:rsidP="00F740F1">
      <w:pPr>
        <w:pStyle w:val="paragraphsub"/>
      </w:pPr>
      <w:r w:rsidRPr="00A35C95">
        <w:tab/>
        <w:t>(vi)</w:t>
      </w:r>
      <w:r w:rsidRPr="00A35C95">
        <w:tab/>
        <w:t xml:space="preserve">the financial capability service provider takes all reasonable steps to ensure that each person who provides the financial capability service (including the advice) on its behalf </w:t>
      </w:r>
      <w:r w:rsidRPr="00A35C95">
        <w:rPr>
          <w:color w:val="000000"/>
          <w:shd w:val="clear" w:color="auto" w:fill="FFFFFF"/>
        </w:rPr>
        <w:t xml:space="preserve">has undertaken appropriate training to ensure that they have adequate skills and knowledge to satisfactorily provide that </w:t>
      </w:r>
      <w:r w:rsidRPr="00A35C95">
        <w:t>service (including that advice);</w:t>
      </w:r>
    </w:p>
    <w:p w14:paraId="0B28AB4F" w14:textId="77777777" w:rsidR="00E93F58" w:rsidRPr="00A35C95" w:rsidRDefault="00E93F58" w:rsidP="00F740F1">
      <w:pPr>
        <w:pStyle w:val="paragraph"/>
      </w:pPr>
      <w:r w:rsidRPr="00A35C95">
        <w:tab/>
        <w:t>(zb)</w:t>
      </w:r>
      <w:r w:rsidRPr="00A35C95">
        <w:tab/>
        <w:t>the provision of financial product advice to a client by a financial counselling agency as part of the provision of a financial counselling service if the advice:</w:t>
      </w:r>
    </w:p>
    <w:p w14:paraId="3240ABCC" w14:textId="77777777" w:rsidR="00E93F58" w:rsidRDefault="00E93F58" w:rsidP="003A6E5A">
      <w:pPr>
        <w:pStyle w:val="paragraphsub"/>
      </w:pPr>
      <w:r w:rsidRPr="00BE1284">
        <w:tab/>
        <w:t>(i)</w:t>
      </w:r>
      <w:r w:rsidRPr="00BE1284">
        <w:tab/>
        <w:t>relates to a deposit product, a facility for making non</w:t>
      </w:r>
      <w:r>
        <w:noBreakHyphen/>
      </w:r>
      <w:r w:rsidRPr="00BE1284">
        <w:t>cash payments, an insurance product, an RSA or a superannuation product; or</w:t>
      </w:r>
    </w:p>
    <w:p w14:paraId="760B907D" w14:textId="77777777" w:rsidR="00E93F58" w:rsidRPr="00A35C95" w:rsidRDefault="00E93F58" w:rsidP="00F740F1">
      <w:pPr>
        <w:pStyle w:val="paragraphsub"/>
      </w:pPr>
      <w:r w:rsidRPr="00A35C95">
        <w:tab/>
        <w:t>(ii)</w:t>
      </w:r>
      <w:r w:rsidRPr="00A35C95">
        <w:tab/>
        <w:t xml:space="preserve">is to the effect that the client should or may dispose of a security, </w:t>
      </w:r>
      <w:r>
        <w:t xml:space="preserve">a managed investment product, </w:t>
      </w:r>
      <w:r w:rsidRPr="00061435">
        <w:t>a financial product referred to in paragraph 764A(1)(ba) of the Act</w:t>
      </w:r>
      <w:r w:rsidRPr="00A35C95">
        <w:t>, or a debenture, stock or bond issued by a government;</w:t>
      </w:r>
    </w:p>
    <w:p w14:paraId="34B31461" w14:textId="77777777" w:rsidR="00E93F58" w:rsidRPr="00A35C95" w:rsidRDefault="00E93F58" w:rsidP="00F740F1">
      <w:pPr>
        <w:pStyle w:val="paragraph"/>
      </w:pPr>
      <w:r w:rsidRPr="00A35C95">
        <w:tab/>
      </w:r>
      <w:r w:rsidRPr="00A35C95">
        <w:tab/>
        <w:t>and the following circumstances apply:</w:t>
      </w:r>
    </w:p>
    <w:p w14:paraId="5521A893" w14:textId="77777777" w:rsidR="00E93F58" w:rsidRPr="00A35C95" w:rsidRDefault="00E93F58" w:rsidP="00F740F1">
      <w:pPr>
        <w:pStyle w:val="paragraphsub"/>
      </w:pPr>
      <w:r w:rsidRPr="00A35C95">
        <w:tab/>
        <w:t>(iii)</w:t>
      </w:r>
      <w:r w:rsidRPr="00A35C95">
        <w:tab/>
        <w:t>no fees or charges (however described) are payable by or on behalf of the client in relation to the financial counselling service, other than any fees or charges payable on behalf of the client by the Commonwealth, a State or a Territory;</w:t>
      </w:r>
    </w:p>
    <w:p w14:paraId="074CF95B" w14:textId="77777777" w:rsidR="00E93F58" w:rsidRPr="00A35C95" w:rsidRDefault="00E93F58" w:rsidP="00F740F1">
      <w:pPr>
        <w:pStyle w:val="paragraphsub"/>
      </w:pPr>
      <w:r w:rsidRPr="00A35C95">
        <w:tab/>
        <w:t>(iv)</w:t>
      </w:r>
      <w:r w:rsidRPr="00A35C95">
        <w:tab/>
        <w:t>no remuneration (whether by way of commission or otherwise) is payable to, or for the benefit of, the financial counselling agency, its representatives or its associates in relation to any action by or on behalf of the client arising from the financial counselling service (including the advice);</w:t>
      </w:r>
    </w:p>
    <w:p w14:paraId="2F06C564" w14:textId="77777777" w:rsidR="00E93F58" w:rsidRPr="00A35C95" w:rsidRDefault="00E93F58" w:rsidP="00F740F1">
      <w:pPr>
        <w:pStyle w:val="paragraphsub"/>
        <w:rPr>
          <w:color w:val="000000"/>
          <w:szCs w:val="22"/>
        </w:rPr>
      </w:pPr>
      <w:r w:rsidRPr="00A35C95">
        <w:tab/>
      </w:r>
      <w:r w:rsidRPr="00A35C95">
        <w:rPr>
          <w:szCs w:val="22"/>
        </w:rPr>
        <w:t>(v)</w:t>
      </w:r>
      <w:r w:rsidRPr="00A35C95">
        <w:rPr>
          <w:szCs w:val="22"/>
        </w:rPr>
        <w:tab/>
        <w:t xml:space="preserve">the financial counselling agency </w:t>
      </w:r>
      <w:r w:rsidRPr="00A35C95">
        <w:rPr>
          <w:color w:val="000000"/>
          <w:szCs w:val="22"/>
        </w:rPr>
        <w:t xml:space="preserve">does not carry on or otherwise participate in a financial services business </w:t>
      </w:r>
      <w:r w:rsidRPr="00A35C95">
        <w:t xml:space="preserve">involving </w:t>
      </w:r>
      <w:r w:rsidRPr="00A35C95">
        <w:rPr>
          <w:color w:val="000000"/>
          <w:szCs w:val="22"/>
        </w:rPr>
        <w:t>the provision of a financial service,</w:t>
      </w:r>
      <w:bookmarkStart w:id="940" w:name="_Hlk108600568"/>
      <w:r w:rsidRPr="00A35C95">
        <w:rPr>
          <w:color w:val="000000"/>
          <w:szCs w:val="22"/>
        </w:rPr>
        <w:t xml:space="preserve"> other than a financial service of the kind to which this paragraph applies or a claims handling and settling service</w:t>
      </w:r>
      <w:bookmarkEnd w:id="940"/>
      <w:r w:rsidRPr="00A35C95">
        <w:rPr>
          <w:color w:val="000000"/>
          <w:szCs w:val="22"/>
        </w:rPr>
        <w:t>;</w:t>
      </w:r>
    </w:p>
    <w:p w14:paraId="31CF630C" w14:textId="77777777" w:rsidR="00E93F58" w:rsidRPr="00A35C95" w:rsidRDefault="00E93F58" w:rsidP="00F740F1">
      <w:pPr>
        <w:pStyle w:val="paragraphsub"/>
      </w:pPr>
      <w:r w:rsidRPr="00A35C95">
        <w:tab/>
        <w:t>(vi)</w:t>
      </w:r>
      <w:r w:rsidRPr="00A35C95">
        <w:tab/>
        <w:t xml:space="preserve">the financial counselling agency takes all reasonable steps to ensure that none of its representatives provides or participates in the provision of a financial service, other than a </w:t>
      </w:r>
      <w:r w:rsidRPr="00A35C95">
        <w:lastRenderedPageBreak/>
        <w:t>financial service of the kind to which this paragraph applies or a claims handling and settling service;</w:t>
      </w:r>
    </w:p>
    <w:p w14:paraId="7C179567" w14:textId="77777777" w:rsidR="00E93F58" w:rsidRPr="00A35C95" w:rsidRDefault="00E93F58" w:rsidP="00F740F1">
      <w:pPr>
        <w:pStyle w:val="paragraphsub"/>
      </w:pPr>
      <w:r w:rsidRPr="00A35C95">
        <w:tab/>
        <w:t>(vii)</w:t>
      </w:r>
      <w:r w:rsidRPr="00A35C95">
        <w:tab/>
        <w:t>the financial counselling agency takes all reasonable steps to ensure that each person who provides the financial counselling service (including the advice) on its behalf is a member of, or is eligible to be a member of, a financial counselling association;</w:t>
      </w:r>
    </w:p>
    <w:p w14:paraId="2FCB8CA7" w14:textId="77777777" w:rsidR="00E93F58" w:rsidRPr="00A35C95" w:rsidRDefault="00E93F58" w:rsidP="00F740F1">
      <w:pPr>
        <w:pStyle w:val="paragraphsub"/>
      </w:pPr>
      <w:r w:rsidRPr="00A35C95">
        <w:tab/>
        <w:t>(viii)</w:t>
      </w:r>
      <w:r w:rsidRPr="00A35C95">
        <w:tab/>
        <w:t xml:space="preserve">the financial counselling agency takes all reasonable steps to ensure that each person who provides the financial counselling service (including the advice) on its behalf </w:t>
      </w:r>
      <w:r w:rsidRPr="00A35C95">
        <w:rPr>
          <w:color w:val="000000"/>
          <w:shd w:val="clear" w:color="auto" w:fill="FFFFFF"/>
        </w:rPr>
        <w:t xml:space="preserve">has undertaken appropriate training to ensure that they have adequate skills and knowledge to satisfactorily provide that </w:t>
      </w:r>
      <w:r w:rsidRPr="00A35C95">
        <w:t>service (including that advice).</w:t>
      </w:r>
    </w:p>
    <w:p w14:paraId="2EDF9C70" w14:textId="77777777" w:rsidR="00E93F58" w:rsidRPr="00A35C95" w:rsidRDefault="00E93F58" w:rsidP="00366AB5">
      <w:pPr>
        <w:pStyle w:val="subsection"/>
        <w:tabs>
          <w:tab w:val="left" w:pos="2835"/>
        </w:tabs>
      </w:pPr>
      <w:r w:rsidRPr="00A35C95">
        <w:tab/>
        <w:t>(2)</w:t>
      </w:r>
      <w:r w:rsidRPr="00A35C95">
        <w:tab/>
        <w:t>If paragraph (1)(c) or (ca) applies, and the net assets of the regulated superannuation fund do not equal or exceed $10 million at the end of the 3 month period mentioned in subparagraph (1)(c)(ii):</w:t>
      </w:r>
    </w:p>
    <w:p w14:paraId="53815040" w14:textId="77777777" w:rsidR="00E93F58" w:rsidRPr="00A35C95" w:rsidRDefault="00E93F58" w:rsidP="00366AB5">
      <w:pPr>
        <w:pStyle w:val="paragraph"/>
        <w:tabs>
          <w:tab w:val="left" w:pos="2835"/>
        </w:tabs>
      </w:pPr>
      <w:r w:rsidRPr="00A35C95">
        <w:rPr>
          <w:color w:val="000000"/>
        </w:rPr>
        <w:tab/>
        <w:t>(a)</w:t>
      </w:r>
      <w:r w:rsidRPr="00A35C95">
        <w:rPr>
          <w:color w:val="000000"/>
        </w:rPr>
        <w:tab/>
        <w:t>the trustee of the pooled superannuation trust must offer to redeem the investment of the regulated superannuation fund as soon as practicable after the end of the period; and</w:t>
      </w:r>
    </w:p>
    <w:p w14:paraId="22F07FBE" w14:textId="77777777" w:rsidR="00E93F58" w:rsidRPr="00A35C95" w:rsidRDefault="00E93F58" w:rsidP="00366AB5">
      <w:pPr>
        <w:pStyle w:val="paragraph"/>
        <w:tabs>
          <w:tab w:val="left" w:pos="2835"/>
        </w:tabs>
      </w:pPr>
      <w:r w:rsidRPr="00A35C95">
        <w:tab/>
        <w:t>(b)</w:t>
      </w:r>
      <w:r w:rsidRPr="00A35C95">
        <w:tab/>
        <w:t>the regulated superannuation fund has not accepted the redemption offer within 3 months after the offer was made; and</w:t>
      </w:r>
    </w:p>
    <w:p w14:paraId="7F61635A" w14:textId="77777777" w:rsidR="00E93F58" w:rsidRPr="00A35C95" w:rsidRDefault="00E93F58" w:rsidP="00366AB5">
      <w:pPr>
        <w:pStyle w:val="paragraph"/>
        <w:tabs>
          <w:tab w:val="left" w:pos="2835"/>
        </w:tabs>
      </w:pPr>
      <w:r w:rsidRPr="00A35C95">
        <w:tab/>
        <w:t>(c)</w:t>
      </w:r>
      <w:r w:rsidRPr="00A35C95">
        <w:tab/>
        <w:t>the net assets of the regulated superannuation fund do not equal or exceed $10 million by the end of the 3 month period mentioned in paragraph (b);</w:t>
      </w:r>
    </w:p>
    <w:p w14:paraId="562D70E6" w14:textId="77777777" w:rsidR="00E93F58" w:rsidRPr="00A35C95" w:rsidRDefault="00E93F58" w:rsidP="00366AB5">
      <w:pPr>
        <w:pStyle w:val="subsection2"/>
        <w:tabs>
          <w:tab w:val="left" w:pos="2835"/>
        </w:tabs>
      </w:pPr>
      <w:r w:rsidRPr="00A35C95">
        <w:rPr>
          <w:color w:val="000000"/>
        </w:rPr>
        <w:t>the trustee of the pooled superannuation trust must apply for an Australian financial services licence.</w:t>
      </w:r>
    </w:p>
    <w:p w14:paraId="2851157A" w14:textId="77777777" w:rsidR="00E93F58" w:rsidRPr="00A35C95" w:rsidRDefault="00E93F58" w:rsidP="00366AB5">
      <w:pPr>
        <w:pStyle w:val="subsection"/>
        <w:tabs>
          <w:tab w:val="left" w:pos="2835"/>
        </w:tabs>
      </w:pPr>
      <w:r w:rsidRPr="00A35C95">
        <w:rPr>
          <w:color w:val="000000"/>
        </w:rPr>
        <w:tab/>
        <w:t>(3)</w:t>
      </w:r>
      <w:r w:rsidRPr="00A35C95">
        <w:rPr>
          <w:color w:val="000000"/>
        </w:rPr>
        <w:tab/>
      </w:r>
      <w:r w:rsidRPr="00A35C95">
        <w:t>Subregulation (1)</w:t>
      </w:r>
      <w:r w:rsidRPr="00A35C95">
        <w:rPr>
          <w:color w:val="000000"/>
        </w:rPr>
        <w:t xml:space="preserve"> is not intended to affect the determination of whether the provision of a service that is not described by that paragraph is, or is not, the provision of a financial service.</w:t>
      </w:r>
    </w:p>
    <w:p w14:paraId="49B1AEB4" w14:textId="77777777" w:rsidR="00E93F58" w:rsidRPr="00A35C95" w:rsidRDefault="00E93F58" w:rsidP="00366AB5">
      <w:pPr>
        <w:pStyle w:val="subsection"/>
        <w:tabs>
          <w:tab w:val="left" w:pos="2835"/>
        </w:tabs>
      </w:pPr>
      <w:r w:rsidRPr="00A35C95">
        <w:tab/>
        <w:t>(4)</w:t>
      </w:r>
      <w:r w:rsidRPr="00A35C95">
        <w:tab/>
        <w:t>In relation to a regulated principal under Division 1 of Part 10.2 of the Act:</w:t>
      </w:r>
    </w:p>
    <w:p w14:paraId="408810DF" w14:textId="77777777" w:rsidR="00E93F58" w:rsidRPr="00A35C95" w:rsidRDefault="00E93F58" w:rsidP="00366AB5">
      <w:pPr>
        <w:pStyle w:val="paragraph"/>
        <w:tabs>
          <w:tab w:val="left" w:pos="2835"/>
        </w:tabs>
      </w:pPr>
      <w:r w:rsidRPr="00A35C95">
        <w:tab/>
        <w:t>(a)</w:t>
      </w:r>
      <w:r w:rsidRPr="00A35C95">
        <w:tab/>
        <w:t>a reference in paragraph (1)(e) or (ea) to a financial services licensee includes the regulated principal; and</w:t>
      </w:r>
    </w:p>
    <w:p w14:paraId="3EFC20EA" w14:textId="77777777" w:rsidR="00E93F58" w:rsidRPr="00A35C95" w:rsidRDefault="00E93F58" w:rsidP="00366AB5">
      <w:pPr>
        <w:pStyle w:val="paragraph"/>
        <w:tabs>
          <w:tab w:val="left" w:pos="2835"/>
        </w:tabs>
      </w:pPr>
      <w:r w:rsidRPr="00A35C95">
        <w:tab/>
        <w:t>(b)</w:t>
      </w:r>
      <w:r w:rsidRPr="00A35C95">
        <w:tab/>
        <w:t>paragraph (a) ceases to apply at the end of the transition period in relation to the regulated principal.</w:t>
      </w:r>
    </w:p>
    <w:p w14:paraId="69878C0B" w14:textId="77777777" w:rsidR="00E93F58" w:rsidRPr="00A35C95" w:rsidRDefault="00E93F58" w:rsidP="00366AB5">
      <w:pPr>
        <w:pStyle w:val="subsection"/>
        <w:tabs>
          <w:tab w:val="left" w:pos="2835"/>
        </w:tabs>
      </w:pPr>
      <w:r w:rsidRPr="00A35C95">
        <w:tab/>
        <w:t>(5)</w:t>
      </w:r>
      <w:r w:rsidRPr="00A35C95">
        <w:tab/>
        <w:t>For paragraphs (1)(b), (ba), (c) and (ca), if a pooled superannuation trust is used for investment of the assets of more than 1 regulated superannuation fund:</w:t>
      </w:r>
    </w:p>
    <w:p w14:paraId="10147670" w14:textId="77777777" w:rsidR="00E93F58" w:rsidRPr="00A35C95" w:rsidRDefault="00E93F58" w:rsidP="00366AB5">
      <w:pPr>
        <w:pStyle w:val="paragraph"/>
        <w:tabs>
          <w:tab w:val="left" w:pos="2835"/>
        </w:tabs>
      </w:pPr>
      <w:r w:rsidRPr="00A35C95">
        <w:tab/>
        <w:t>(a)</w:t>
      </w:r>
      <w:r w:rsidRPr="00A35C95">
        <w:tab/>
        <w:t>each of the regulated superannuation funds must comply with paragraph (1)(b) or (c); and</w:t>
      </w:r>
    </w:p>
    <w:p w14:paraId="7C106480" w14:textId="77777777" w:rsidR="00E93F58" w:rsidRPr="00A35C95" w:rsidRDefault="00E93F58" w:rsidP="00366AB5">
      <w:pPr>
        <w:pStyle w:val="paragraph"/>
        <w:tabs>
          <w:tab w:val="left" w:pos="2835"/>
        </w:tabs>
      </w:pPr>
      <w:r w:rsidRPr="00A35C95">
        <w:tab/>
        <w:t>(b)</w:t>
      </w:r>
      <w:r w:rsidRPr="00A35C95">
        <w:tab/>
        <w:t>it is not necessary for each of the regulated superannuation funds to comply with the same paragraph in relation to a particular pooled superannuation trust.</w:t>
      </w:r>
    </w:p>
    <w:p w14:paraId="1BEC7D16" w14:textId="77777777" w:rsidR="00E93F58" w:rsidRPr="00A35C95" w:rsidRDefault="00E93F58" w:rsidP="00366AB5">
      <w:pPr>
        <w:pStyle w:val="subsection"/>
        <w:tabs>
          <w:tab w:val="left" w:pos="2835"/>
        </w:tabs>
      </w:pPr>
      <w:r w:rsidRPr="00A35C95">
        <w:tab/>
        <w:t>(6)</w:t>
      </w:r>
      <w:r w:rsidRPr="00A35C95">
        <w:tab/>
        <w:t>Paragraph (1)(r) ceases to have effect at the end of 2 years after the FSR commencement.</w:t>
      </w:r>
    </w:p>
    <w:p w14:paraId="5A876EC3" w14:textId="77777777" w:rsidR="00E93F58" w:rsidRPr="00A35C95" w:rsidRDefault="00E93F58" w:rsidP="00366AB5">
      <w:pPr>
        <w:pStyle w:val="subsection"/>
        <w:tabs>
          <w:tab w:val="left" w:pos="2835"/>
        </w:tabs>
      </w:pPr>
      <w:r w:rsidRPr="00A35C95">
        <w:tab/>
        <w:t>(6A)</w:t>
      </w:r>
      <w:r w:rsidRPr="00A35C95">
        <w:tab/>
        <w:t>Paragraph (1)(t) ceases to have effect in respect of a person advising in relation to, or dealing in, a medical indemnity insurance product, on the earlier of:</w:t>
      </w:r>
    </w:p>
    <w:p w14:paraId="18B10A68" w14:textId="77777777" w:rsidR="00E93F58" w:rsidRPr="00A35C95" w:rsidRDefault="00E93F58" w:rsidP="00366AB5">
      <w:pPr>
        <w:pStyle w:val="paragraph"/>
        <w:tabs>
          <w:tab w:val="left" w:pos="2835"/>
        </w:tabs>
      </w:pPr>
      <w:r w:rsidRPr="00A35C95">
        <w:tab/>
        <w:t>(a)</w:t>
      </w:r>
      <w:r w:rsidRPr="00A35C95">
        <w:tab/>
        <w:t>the date on which the person obtains an Australian financial services licence in respect of the product; and</w:t>
      </w:r>
    </w:p>
    <w:p w14:paraId="5AE8E9E8" w14:textId="77777777" w:rsidR="00E93F58" w:rsidRPr="00A35C95" w:rsidRDefault="00E93F58" w:rsidP="00366AB5">
      <w:pPr>
        <w:pStyle w:val="paragraph"/>
        <w:tabs>
          <w:tab w:val="left" w:pos="2835"/>
        </w:tabs>
      </w:pPr>
      <w:r w:rsidRPr="00A35C95">
        <w:tab/>
        <w:t>(b)</w:t>
      </w:r>
      <w:r w:rsidRPr="00A35C95">
        <w:tab/>
        <w:t>11 March 2004.</w:t>
      </w:r>
    </w:p>
    <w:p w14:paraId="346256FA" w14:textId="77777777" w:rsidR="00E93F58" w:rsidRPr="00A35C95" w:rsidRDefault="00E93F58" w:rsidP="00366AB5">
      <w:pPr>
        <w:pStyle w:val="subsection"/>
        <w:tabs>
          <w:tab w:val="left" w:pos="2835"/>
        </w:tabs>
      </w:pPr>
      <w:r w:rsidRPr="00A35C95">
        <w:tab/>
        <w:t>(7)</w:t>
      </w:r>
      <w:r w:rsidRPr="00A35C95">
        <w:tab/>
        <w:t>In this regulation:</w:t>
      </w:r>
    </w:p>
    <w:p w14:paraId="3BAF8BAA" w14:textId="77777777" w:rsidR="00E93F58" w:rsidRPr="00A35C95" w:rsidRDefault="00E93F58" w:rsidP="00366AB5">
      <w:pPr>
        <w:pStyle w:val="Definition"/>
        <w:tabs>
          <w:tab w:val="left" w:pos="2835"/>
        </w:tabs>
      </w:pPr>
      <w:r w:rsidRPr="00A35C95">
        <w:rPr>
          <w:b/>
          <w:i/>
        </w:rPr>
        <w:t>business joint venture</w:t>
      </w:r>
      <w:r w:rsidRPr="00A35C95">
        <w:t xml:space="preserve"> means a contractual agreement between 2 or more parties for the purpose of carrying on a business undertaking.</w:t>
      </w:r>
    </w:p>
    <w:p w14:paraId="588DC03D" w14:textId="77777777" w:rsidR="00E93F58" w:rsidRPr="00A35C95" w:rsidRDefault="00E93F58" w:rsidP="00BF4C3B">
      <w:pPr>
        <w:pStyle w:val="Definition"/>
      </w:pPr>
      <w:r w:rsidRPr="00A35C95">
        <w:rPr>
          <w:b/>
          <w:i/>
        </w:rPr>
        <w:t>financial capability service</w:t>
      </w:r>
      <w:r w:rsidRPr="00A35C95">
        <w:t> means a financial literacy and capacity building service provided mainly to improve the financial knowledge and skills of persons.</w:t>
      </w:r>
    </w:p>
    <w:p w14:paraId="5114C8F0" w14:textId="77777777" w:rsidR="00E93F58" w:rsidRPr="00A35C95" w:rsidRDefault="00E93F58" w:rsidP="00BF4C3B">
      <w:pPr>
        <w:pStyle w:val="Definition"/>
      </w:pPr>
      <w:r w:rsidRPr="00A35C95">
        <w:rPr>
          <w:b/>
          <w:i/>
        </w:rPr>
        <w:t>financial capability service provider </w:t>
      </w:r>
      <w:r w:rsidRPr="00A35C95">
        <w:t>means a body that is funded wholly or partly by the Commonwealth to provide a financial capability service.</w:t>
      </w:r>
    </w:p>
    <w:p w14:paraId="256D84CB" w14:textId="77777777" w:rsidR="00E93F58" w:rsidRPr="00A35C95" w:rsidRDefault="00E93F58" w:rsidP="00BF4C3B">
      <w:pPr>
        <w:pStyle w:val="Definition"/>
      </w:pPr>
      <w:r w:rsidRPr="00A35C95">
        <w:rPr>
          <w:b/>
          <w:i/>
        </w:rPr>
        <w:t>financial counselling agency</w:t>
      </w:r>
      <w:r w:rsidRPr="00A35C95">
        <w:t> means a person that provides a financial counselling service.</w:t>
      </w:r>
    </w:p>
    <w:p w14:paraId="758C1EE8" w14:textId="77777777" w:rsidR="00E93F58" w:rsidRPr="00A35C95" w:rsidRDefault="00E93F58" w:rsidP="00BF4C3B">
      <w:pPr>
        <w:pStyle w:val="Definition"/>
      </w:pPr>
      <w:r w:rsidRPr="00A35C95">
        <w:rPr>
          <w:b/>
          <w:i/>
        </w:rPr>
        <w:t>financial counselling association</w:t>
      </w:r>
      <w:r w:rsidRPr="00A35C95">
        <w:t> means each of the following:</w:t>
      </w:r>
    </w:p>
    <w:p w14:paraId="1B8AAF35" w14:textId="77777777" w:rsidR="00E93F58" w:rsidRPr="00A35C95" w:rsidRDefault="00E93F58" w:rsidP="00BF4C3B">
      <w:pPr>
        <w:pStyle w:val="paragraph"/>
      </w:pPr>
      <w:r w:rsidRPr="00A35C95">
        <w:tab/>
        <w:t>(a)</w:t>
      </w:r>
      <w:r w:rsidRPr="00A35C95">
        <w:tab/>
        <w:t>Financial Counselling Australia Ltd;</w:t>
      </w:r>
    </w:p>
    <w:p w14:paraId="327040B9" w14:textId="77777777" w:rsidR="00E93F58" w:rsidRPr="00A35C95" w:rsidRDefault="00E93F58" w:rsidP="00BF4C3B">
      <w:pPr>
        <w:pStyle w:val="paragraph"/>
      </w:pPr>
      <w:r w:rsidRPr="00A35C95">
        <w:tab/>
        <w:t>(b)</w:t>
      </w:r>
      <w:r w:rsidRPr="00A35C95">
        <w:tab/>
        <w:t>Financial Counsellors Association of New South Wales Inc;</w:t>
      </w:r>
    </w:p>
    <w:p w14:paraId="176FC317" w14:textId="77777777" w:rsidR="00E93F58" w:rsidRPr="00A35C95" w:rsidRDefault="00E93F58" w:rsidP="00BF4C3B">
      <w:pPr>
        <w:pStyle w:val="paragraph"/>
      </w:pPr>
      <w:r w:rsidRPr="00A35C95">
        <w:tab/>
        <w:t>(c)</w:t>
      </w:r>
      <w:r w:rsidRPr="00A35C95">
        <w:tab/>
        <w:t>Financial Counselling Victoria Inc;</w:t>
      </w:r>
    </w:p>
    <w:p w14:paraId="359C0094" w14:textId="77777777" w:rsidR="00E93F58" w:rsidRPr="00A35C95" w:rsidRDefault="00E93F58" w:rsidP="00BF4C3B">
      <w:pPr>
        <w:pStyle w:val="paragraph"/>
      </w:pPr>
      <w:r w:rsidRPr="00A35C95">
        <w:tab/>
        <w:t>(d)</w:t>
      </w:r>
      <w:r w:rsidRPr="00A35C95">
        <w:tab/>
        <w:t>Financial Counsellors Association of Queensland Inc.;</w:t>
      </w:r>
    </w:p>
    <w:p w14:paraId="3CCF0296" w14:textId="77777777" w:rsidR="00E93F58" w:rsidRPr="00A35C95" w:rsidRDefault="00E93F58" w:rsidP="00BF4C3B">
      <w:pPr>
        <w:pStyle w:val="paragraph"/>
      </w:pPr>
      <w:r w:rsidRPr="00A35C95">
        <w:tab/>
        <w:t>(e)</w:t>
      </w:r>
      <w:r w:rsidRPr="00A35C95">
        <w:tab/>
        <w:t>Financial Counsellors Association of Western Australia Inc;</w:t>
      </w:r>
    </w:p>
    <w:p w14:paraId="6CA2FFA5" w14:textId="77777777" w:rsidR="00E93F58" w:rsidRPr="00A35C95" w:rsidRDefault="00E93F58" w:rsidP="00BF4C3B">
      <w:pPr>
        <w:pStyle w:val="paragraph"/>
      </w:pPr>
      <w:r w:rsidRPr="00A35C95">
        <w:tab/>
        <w:t>(f)</w:t>
      </w:r>
      <w:r w:rsidRPr="00A35C95">
        <w:tab/>
        <w:t>The South Australian Financial Counsellors’ Association Incorporated;</w:t>
      </w:r>
    </w:p>
    <w:p w14:paraId="44363DE6" w14:textId="77777777" w:rsidR="00E93F58" w:rsidRPr="00A35C95" w:rsidRDefault="00E93F58" w:rsidP="00BF4C3B">
      <w:pPr>
        <w:pStyle w:val="paragraph"/>
      </w:pPr>
      <w:r w:rsidRPr="00A35C95">
        <w:lastRenderedPageBreak/>
        <w:tab/>
        <w:t>(g)</w:t>
      </w:r>
      <w:r w:rsidRPr="00A35C95">
        <w:tab/>
        <w:t>Financial Counselling Tasmania Inc.;</w:t>
      </w:r>
    </w:p>
    <w:p w14:paraId="6FF17C30" w14:textId="77777777" w:rsidR="00E93F58" w:rsidRPr="00A35C95" w:rsidRDefault="00E93F58" w:rsidP="00BF4C3B">
      <w:pPr>
        <w:pStyle w:val="paragraph"/>
      </w:pPr>
      <w:r w:rsidRPr="00A35C95">
        <w:tab/>
        <w:t>(h)</w:t>
      </w:r>
      <w:r w:rsidRPr="00A35C95">
        <w:tab/>
        <w:t>Financial Counsellors ACT.</w:t>
      </w:r>
    </w:p>
    <w:p w14:paraId="1E364343" w14:textId="77777777" w:rsidR="00E93F58" w:rsidRPr="00A35C95" w:rsidRDefault="00E93F58" w:rsidP="00BF4C3B">
      <w:pPr>
        <w:pStyle w:val="Definition"/>
      </w:pPr>
      <w:r w:rsidRPr="00A35C95">
        <w:rPr>
          <w:b/>
          <w:i/>
        </w:rPr>
        <w:t>financial counselling service</w:t>
      </w:r>
      <w:r w:rsidRPr="00A35C95">
        <w:t> means a counselling and advocacy service provided mainly for the purposes of assisting individuals or small businesses who are in financial difficulty to resolve their problems.</w:t>
      </w:r>
    </w:p>
    <w:p w14:paraId="22BF24B4" w14:textId="77777777" w:rsidR="00E93F58" w:rsidRPr="00A35C95" w:rsidRDefault="00E93F58" w:rsidP="00366AB5">
      <w:pPr>
        <w:pStyle w:val="Definition"/>
        <w:tabs>
          <w:tab w:val="left" w:pos="2835"/>
        </w:tabs>
      </w:pPr>
      <w:r w:rsidRPr="00A35C95">
        <w:rPr>
          <w:b/>
          <w:i/>
        </w:rPr>
        <w:t>friendly society funeral product</w:t>
      </w:r>
      <w:r w:rsidRPr="00A35C95">
        <w:t xml:space="preserve"> means a financial product that is an account (however described):</w:t>
      </w:r>
    </w:p>
    <w:p w14:paraId="19EFCC2F" w14:textId="77777777" w:rsidR="00E93F58" w:rsidRPr="00A35C95" w:rsidRDefault="00E93F58" w:rsidP="00366AB5">
      <w:pPr>
        <w:pStyle w:val="paragraph"/>
        <w:tabs>
          <w:tab w:val="left" w:pos="2835"/>
        </w:tabs>
      </w:pPr>
      <w:r w:rsidRPr="00A35C95">
        <w:tab/>
        <w:t>(a)</w:t>
      </w:r>
      <w:r w:rsidRPr="00A35C95">
        <w:tab/>
        <w:t>provided by:</w:t>
      </w:r>
    </w:p>
    <w:p w14:paraId="1F78E2CB" w14:textId="77777777" w:rsidR="00E93F58" w:rsidRPr="00A35C95" w:rsidRDefault="00E93F58" w:rsidP="00366AB5">
      <w:pPr>
        <w:pStyle w:val="paragraphsub"/>
        <w:tabs>
          <w:tab w:val="left" w:pos="2835"/>
        </w:tabs>
      </w:pPr>
      <w:r w:rsidRPr="00A35C95">
        <w:tab/>
        <w:t>(i)</w:t>
      </w:r>
      <w:r w:rsidRPr="00A35C95">
        <w:tab/>
        <w:t xml:space="preserve">a body that is a friendly society for the purposes of the </w:t>
      </w:r>
      <w:r w:rsidRPr="00A35C95">
        <w:rPr>
          <w:i/>
        </w:rPr>
        <w:t>Life Insurance Act 1995</w:t>
      </w:r>
      <w:r w:rsidRPr="00A35C95">
        <w:t>; or</w:t>
      </w:r>
    </w:p>
    <w:p w14:paraId="7BA156AA" w14:textId="77777777" w:rsidR="00E93F58" w:rsidRPr="00A35C95" w:rsidRDefault="00E93F58" w:rsidP="00366AB5">
      <w:pPr>
        <w:pStyle w:val="paragraphsub"/>
        <w:tabs>
          <w:tab w:val="left" w:pos="2835"/>
        </w:tabs>
      </w:pPr>
      <w:r w:rsidRPr="00A35C95">
        <w:tab/>
        <w:t>(ii)</w:t>
      </w:r>
      <w:r w:rsidRPr="00A35C95">
        <w:tab/>
        <w:t>a body that is registered or incorporated as a friendly society under a law of a State or Territory; or</w:t>
      </w:r>
    </w:p>
    <w:p w14:paraId="7786BE8D" w14:textId="77777777" w:rsidR="00E93F58" w:rsidRPr="00A35C95" w:rsidRDefault="00E93F58" w:rsidP="00366AB5">
      <w:pPr>
        <w:pStyle w:val="paragraphsub"/>
        <w:tabs>
          <w:tab w:val="left" w:pos="2835"/>
        </w:tabs>
      </w:pPr>
      <w:r w:rsidRPr="00A35C95">
        <w:tab/>
        <w:t>(iii)</w:t>
      </w:r>
      <w:r w:rsidRPr="00A35C95">
        <w:tab/>
        <w:t xml:space="preserve">a body that is permitted, by a law of a State or Territory, to assume or use the expression </w:t>
      </w:r>
      <w:r w:rsidRPr="00A35C95">
        <w:rPr>
          <w:b/>
          <w:i/>
        </w:rPr>
        <w:t>friendly society</w:t>
      </w:r>
      <w:r w:rsidRPr="00A35C95">
        <w:t>; or</w:t>
      </w:r>
    </w:p>
    <w:p w14:paraId="07491EBD" w14:textId="77777777" w:rsidR="00E93F58" w:rsidRPr="00A35C95" w:rsidRDefault="00E93F58" w:rsidP="00366AB5">
      <w:pPr>
        <w:pStyle w:val="paragraphsub"/>
        <w:tabs>
          <w:tab w:val="left" w:pos="2835"/>
        </w:tabs>
      </w:pPr>
      <w:r w:rsidRPr="00A35C95">
        <w:tab/>
        <w:t>(iv)</w:t>
      </w:r>
      <w:r w:rsidRPr="00A35C95">
        <w:tab/>
        <w:t xml:space="preserve">a body that, immediately before the date that is the transfer date for the purposes of the </w:t>
      </w:r>
      <w:r w:rsidRPr="00A35C95">
        <w:rPr>
          <w:i/>
        </w:rPr>
        <w:t>Financial Sector Reform (Amendments and Transitional Provisions) Act (No. 1) 1999</w:t>
      </w:r>
      <w:r w:rsidRPr="00A35C95">
        <w:t>, was registered or incorporated as a friendly society under a law of a State or Territory; and</w:t>
      </w:r>
    </w:p>
    <w:p w14:paraId="1B2CE159" w14:textId="77777777" w:rsidR="00E93F58" w:rsidRPr="00A35C95" w:rsidRDefault="00E93F58" w:rsidP="00366AB5">
      <w:pPr>
        <w:pStyle w:val="paragraph"/>
        <w:tabs>
          <w:tab w:val="left" w:pos="2835"/>
        </w:tabs>
      </w:pPr>
      <w:r w:rsidRPr="00A35C95">
        <w:tab/>
        <w:t>(b)</w:t>
      </w:r>
      <w:r w:rsidRPr="00A35C95">
        <w:tab/>
        <w:t>the sole purpose of which is to save money for the purpose of meeting the whole or a part of the expenses of and incidental to the funeral, burial or cremation of a person on the death of that person.</w:t>
      </w:r>
    </w:p>
    <w:p w14:paraId="23CDDF03" w14:textId="77777777" w:rsidR="00E93F58" w:rsidRPr="00A35C95" w:rsidRDefault="00E93F58" w:rsidP="00366AB5">
      <w:pPr>
        <w:pStyle w:val="Definition"/>
        <w:tabs>
          <w:tab w:val="left" w:pos="2835"/>
        </w:tabs>
      </w:pPr>
      <w:r w:rsidRPr="00A35C95">
        <w:rPr>
          <w:b/>
          <w:i/>
        </w:rPr>
        <w:t xml:space="preserve">funeral services entity </w:t>
      </w:r>
      <w:r w:rsidRPr="00A35C95">
        <w:t>means an entity of one of the following kinds:</w:t>
      </w:r>
    </w:p>
    <w:p w14:paraId="2BF13B1A" w14:textId="77777777" w:rsidR="00E93F58" w:rsidRPr="00A35C95" w:rsidRDefault="00E93F58" w:rsidP="00366AB5">
      <w:pPr>
        <w:pStyle w:val="paragraph"/>
        <w:tabs>
          <w:tab w:val="left" w:pos="2835"/>
        </w:tabs>
      </w:pPr>
      <w:r w:rsidRPr="00A35C95">
        <w:tab/>
        <w:t>(a)</w:t>
      </w:r>
      <w:r w:rsidRPr="00A35C95">
        <w:tab/>
        <w:t>a body corporate;</w:t>
      </w:r>
    </w:p>
    <w:p w14:paraId="60751315" w14:textId="77777777" w:rsidR="00E93F58" w:rsidRPr="00A35C95" w:rsidRDefault="00E93F58" w:rsidP="00366AB5">
      <w:pPr>
        <w:pStyle w:val="paragraph"/>
        <w:tabs>
          <w:tab w:val="left" w:pos="2835"/>
        </w:tabs>
      </w:pPr>
      <w:r w:rsidRPr="00A35C95">
        <w:tab/>
        <w:t>(b)</w:t>
      </w:r>
      <w:r w:rsidRPr="00A35C95">
        <w:tab/>
        <w:t>a partnership;</w:t>
      </w:r>
    </w:p>
    <w:p w14:paraId="066A0724" w14:textId="77777777" w:rsidR="00E93F58" w:rsidRPr="00A35C95" w:rsidRDefault="00E93F58" w:rsidP="00366AB5">
      <w:pPr>
        <w:pStyle w:val="paragraph"/>
        <w:tabs>
          <w:tab w:val="left" w:pos="2835"/>
        </w:tabs>
      </w:pPr>
      <w:r w:rsidRPr="00A35C95">
        <w:tab/>
        <w:t>(c)</w:t>
      </w:r>
      <w:r w:rsidRPr="00A35C95">
        <w:tab/>
        <w:t>an unincorporated body;</w:t>
      </w:r>
    </w:p>
    <w:p w14:paraId="2CA0A2E2" w14:textId="77777777" w:rsidR="00E93F58" w:rsidRPr="00A35C95" w:rsidRDefault="00E93F58" w:rsidP="00366AB5">
      <w:pPr>
        <w:pStyle w:val="paragraph"/>
        <w:tabs>
          <w:tab w:val="left" w:pos="2835"/>
        </w:tabs>
      </w:pPr>
      <w:r w:rsidRPr="00A35C95">
        <w:tab/>
        <w:t>(d)</w:t>
      </w:r>
      <w:r w:rsidRPr="00A35C95">
        <w:tab/>
        <w:t>an individual;</w:t>
      </w:r>
    </w:p>
    <w:p w14:paraId="2995716C" w14:textId="77777777" w:rsidR="00E93F58" w:rsidRPr="00A35C95" w:rsidRDefault="00E93F58" w:rsidP="00366AB5">
      <w:pPr>
        <w:pStyle w:val="paragraph"/>
        <w:tabs>
          <w:tab w:val="left" w:pos="2835"/>
        </w:tabs>
      </w:pPr>
      <w:r w:rsidRPr="00A35C95">
        <w:tab/>
        <w:t>(e)</w:t>
      </w:r>
      <w:r w:rsidRPr="00A35C95">
        <w:tab/>
        <w:t>for a trust that has only one trustee—a trustee;</w:t>
      </w:r>
    </w:p>
    <w:p w14:paraId="652D1459" w14:textId="77777777" w:rsidR="00E93F58" w:rsidRPr="00A35C95" w:rsidRDefault="00E93F58" w:rsidP="00366AB5">
      <w:pPr>
        <w:pStyle w:val="paragraph"/>
        <w:tabs>
          <w:tab w:val="left" w:pos="2835"/>
        </w:tabs>
      </w:pPr>
      <w:r w:rsidRPr="00A35C95">
        <w:tab/>
        <w:t>(f)</w:t>
      </w:r>
      <w:r w:rsidRPr="00A35C95">
        <w:tab/>
        <w:t>for a trust that has more than one trustee—the trustees together;</w:t>
      </w:r>
    </w:p>
    <w:p w14:paraId="0D728B8D" w14:textId="77777777" w:rsidR="00E93F58" w:rsidRPr="00A35C95" w:rsidRDefault="00E93F58" w:rsidP="00366AB5">
      <w:pPr>
        <w:pStyle w:val="subsection2"/>
        <w:tabs>
          <w:tab w:val="left" w:pos="2835"/>
        </w:tabs>
      </w:pPr>
      <w:r w:rsidRPr="00A35C95">
        <w:t>that carries on a business in this jurisdiction of supplying:</w:t>
      </w:r>
    </w:p>
    <w:p w14:paraId="7E60654E" w14:textId="77777777" w:rsidR="00E93F58" w:rsidRPr="00A35C95" w:rsidRDefault="00E93F58" w:rsidP="00366AB5">
      <w:pPr>
        <w:pStyle w:val="paragraph"/>
        <w:tabs>
          <w:tab w:val="left" w:pos="2835"/>
        </w:tabs>
      </w:pPr>
      <w:r w:rsidRPr="00A35C95">
        <w:tab/>
        <w:t>(g)</w:t>
      </w:r>
      <w:r w:rsidRPr="00A35C95">
        <w:tab/>
        <w:t>services for the care and preparation of human bodies for burial or cremation; and</w:t>
      </w:r>
    </w:p>
    <w:p w14:paraId="531B4D4F" w14:textId="77777777" w:rsidR="00E93F58" w:rsidRPr="00A35C95" w:rsidRDefault="00E93F58" w:rsidP="00366AB5">
      <w:pPr>
        <w:pStyle w:val="paragraph"/>
        <w:tabs>
          <w:tab w:val="left" w:pos="2835"/>
        </w:tabs>
      </w:pPr>
      <w:r w:rsidRPr="00A35C95">
        <w:tab/>
        <w:t>(h)</w:t>
      </w:r>
      <w:r w:rsidRPr="00A35C95">
        <w:tab/>
        <w:t>services for the arrangement, supervision or conduct of a funeral, burial or cremation; and</w:t>
      </w:r>
    </w:p>
    <w:p w14:paraId="59719FCC" w14:textId="77777777" w:rsidR="00E93F58" w:rsidRPr="00A35C95" w:rsidRDefault="00E93F58" w:rsidP="00366AB5">
      <w:pPr>
        <w:pStyle w:val="paragraph"/>
        <w:tabs>
          <w:tab w:val="left" w:pos="2835"/>
        </w:tabs>
      </w:pPr>
      <w:r w:rsidRPr="00A35C95">
        <w:tab/>
        <w:t>(i)</w:t>
      </w:r>
      <w:r w:rsidRPr="00A35C95">
        <w:tab/>
        <w:t>products in connection with the services mentioned in paragraphs (g) and (h).</w:t>
      </w:r>
    </w:p>
    <w:p w14:paraId="770C359D" w14:textId="77777777" w:rsidR="00E93F58" w:rsidRPr="00A35C95" w:rsidRDefault="00E93F58" w:rsidP="00366AB5">
      <w:pPr>
        <w:pStyle w:val="Definition"/>
        <w:tabs>
          <w:tab w:val="left" w:pos="2835"/>
        </w:tabs>
      </w:pPr>
      <w:r w:rsidRPr="00A35C95">
        <w:rPr>
          <w:b/>
          <w:i/>
          <w:color w:val="000000"/>
        </w:rPr>
        <w:t>media</w:t>
      </w:r>
      <w:r w:rsidRPr="00A35C95">
        <w:rPr>
          <w:b/>
        </w:rPr>
        <w:t xml:space="preserve"> </w:t>
      </w:r>
      <w:r w:rsidRPr="00A35C95">
        <w:t>means any of the following:</w:t>
      </w:r>
    </w:p>
    <w:p w14:paraId="2A71C671" w14:textId="77777777" w:rsidR="00E93F58" w:rsidRPr="00A35C95" w:rsidRDefault="00E93F58" w:rsidP="00366AB5">
      <w:pPr>
        <w:pStyle w:val="paragraph"/>
        <w:tabs>
          <w:tab w:val="left" w:pos="2835"/>
        </w:tabs>
      </w:pPr>
      <w:r w:rsidRPr="00A35C95">
        <w:rPr>
          <w:color w:val="000000"/>
        </w:rPr>
        <w:tab/>
        <w:t>(a)</w:t>
      </w:r>
      <w:r w:rsidRPr="00A35C95">
        <w:rPr>
          <w:color w:val="000000"/>
        </w:rPr>
        <w:tab/>
        <w:t>a newspaper, magazine, journal or other periodical;</w:t>
      </w:r>
    </w:p>
    <w:p w14:paraId="69D6A102" w14:textId="77777777" w:rsidR="00E93F58" w:rsidRPr="00A35C95" w:rsidRDefault="00E93F58" w:rsidP="00366AB5">
      <w:pPr>
        <w:pStyle w:val="paragraph"/>
        <w:tabs>
          <w:tab w:val="left" w:pos="2835"/>
        </w:tabs>
      </w:pPr>
      <w:r w:rsidRPr="00A35C95">
        <w:tab/>
        <w:t>(b)</w:t>
      </w:r>
      <w:r w:rsidRPr="00A35C95">
        <w:tab/>
        <w:t>a radio or television broadcasting service;</w:t>
      </w:r>
    </w:p>
    <w:p w14:paraId="69EBC043" w14:textId="77777777" w:rsidR="00E93F58" w:rsidRPr="00A35C95" w:rsidRDefault="00E93F58" w:rsidP="00366AB5">
      <w:pPr>
        <w:pStyle w:val="paragraph"/>
        <w:tabs>
          <w:tab w:val="left" w:pos="2835"/>
        </w:tabs>
      </w:pPr>
      <w:r w:rsidRPr="00A35C95">
        <w:tab/>
        <w:t>(c)</w:t>
      </w:r>
      <w:r w:rsidRPr="00A35C95">
        <w:tab/>
        <w:t>an electronic service (including a service provided by the Internet) that is:</w:t>
      </w:r>
    </w:p>
    <w:p w14:paraId="143BB1D2" w14:textId="77777777" w:rsidR="00E93F58" w:rsidRPr="00A35C95" w:rsidRDefault="00E93F58" w:rsidP="00366AB5">
      <w:pPr>
        <w:pStyle w:val="paragraphsub"/>
        <w:tabs>
          <w:tab w:val="left" w:pos="2835"/>
        </w:tabs>
      </w:pPr>
      <w:r w:rsidRPr="00A35C95">
        <w:rPr>
          <w:color w:val="000000"/>
        </w:rPr>
        <w:tab/>
        <w:t>(i)</w:t>
      </w:r>
      <w:r w:rsidRPr="00A35C95">
        <w:rPr>
          <w:color w:val="000000"/>
        </w:rPr>
        <w:tab/>
        <w:t>operated on a commercial basis; and</w:t>
      </w:r>
    </w:p>
    <w:p w14:paraId="512172D8" w14:textId="77777777" w:rsidR="00E93F58" w:rsidRPr="00A35C95" w:rsidRDefault="00E93F58" w:rsidP="00366AB5">
      <w:pPr>
        <w:pStyle w:val="paragraphsub"/>
        <w:tabs>
          <w:tab w:val="left" w:pos="2835"/>
        </w:tabs>
      </w:pPr>
      <w:r w:rsidRPr="00A35C95">
        <w:tab/>
        <w:t>(ii)</w:t>
      </w:r>
      <w:r w:rsidRPr="00A35C95">
        <w:tab/>
        <w:t>similar to a newspaper, a magazine, a radio broadcast or a television broadcast.</w:t>
      </w:r>
    </w:p>
    <w:p w14:paraId="0B3FB318" w14:textId="77777777" w:rsidR="00E93F58" w:rsidRPr="00A35C95" w:rsidRDefault="00E93F58" w:rsidP="00BF4C3B">
      <w:pPr>
        <w:pStyle w:val="Definition"/>
      </w:pPr>
      <w:bookmarkStart w:id="941" w:name="_Hlk65738610"/>
      <w:r w:rsidRPr="00A35C95">
        <w:rPr>
          <w:b/>
          <w:i/>
        </w:rPr>
        <w:t>small business</w:t>
      </w:r>
      <w:r w:rsidRPr="00A35C95">
        <w:t> means a business with less than 100 employees.</w:t>
      </w:r>
    </w:p>
    <w:p w14:paraId="25C66567" w14:textId="77777777" w:rsidR="00E93F58" w:rsidRPr="00A35C95" w:rsidRDefault="00E93F58" w:rsidP="00366AB5">
      <w:pPr>
        <w:pStyle w:val="ActHead5"/>
        <w:tabs>
          <w:tab w:val="left" w:pos="2835"/>
        </w:tabs>
      </w:pPr>
      <w:bookmarkStart w:id="942" w:name="_Toc152058044"/>
      <w:bookmarkStart w:id="943" w:name="_Toc158712267"/>
      <w:r w:rsidRPr="00844D11">
        <w:rPr>
          <w:rStyle w:val="CharSectno"/>
        </w:rPr>
        <w:t>7.6.01AAAA</w:t>
      </w:r>
      <w:r w:rsidRPr="00A35C95">
        <w:t xml:space="preserve">  Need for Australian financial services licence: prescribed insurance products in relation to claimant intermediaries</w:t>
      </w:r>
      <w:bookmarkEnd w:id="942"/>
      <w:bookmarkEnd w:id="943"/>
    </w:p>
    <w:p w14:paraId="472CF769" w14:textId="77777777" w:rsidR="00E93F58" w:rsidRPr="00A35C95" w:rsidRDefault="00E93F58" w:rsidP="00366AB5">
      <w:pPr>
        <w:pStyle w:val="subsection"/>
        <w:tabs>
          <w:tab w:val="left" w:pos="2835"/>
        </w:tabs>
      </w:pPr>
      <w:r w:rsidRPr="00A35C95">
        <w:tab/>
      </w:r>
      <w:r w:rsidRPr="00A35C95">
        <w:tab/>
        <w:t>For the purposes of subparagraph 911A(2)(ek)(vi) of the Act, general insurance products are prescribed.</w:t>
      </w:r>
    </w:p>
    <w:p w14:paraId="231C4C91" w14:textId="77777777" w:rsidR="00E93F58" w:rsidRPr="00A35C95" w:rsidRDefault="00E93F58" w:rsidP="00366AB5">
      <w:pPr>
        <w:pStyle w:val="ActHead5"/>
        <w:tabs>
          <w:tab w:val="left" w:pos="2835"/>
        </w:tabs>
      </w:pPr>
      <w:bookmarkStart w:id="944" w:name="_Toc152058045"/>
      <w:bookmarkStart w:id="945" w:name="_Toc158712268"/>
      <w:r w:rsidRPr="00844D11">
        <w:rPr>
          <w:rStyle w:val="CharSectno"/>
        </w:rPr>
        <w:t>7.6.01AAAB</w:t>
      </w:r>
      <w:r w:rsidRPr="00A35C95">
        <w:t xml:space="preserve">  Need for Australian financial services licence: issuers of insurance products</w:t>
      </w:r>
      <w:bookmarkEnd w:id="944"/>
      <w:bookmarkEnd w:id="945"/>
    </w:p>
    <w:p w14:paraId="0FB20CDA" w14:textId="77777777" w:rsidR="00E93F58" w:rsidRPr="00A35C95" w:rsidRDefault="00E93F58" w:rsidP="00366AB5">
      <w:pPr>
        <w:pStyle w:val="subsection"/>
        <w:tabs>
          <w:tab w:val="left" w:pos="2835"/>
        </w:tabs>
      </w:pPr>
      <w:r w:rsidRPr="00A35C95">
        <w:tab/>
      </w:r>
      <w:r w:rsidRPr="00A35C95">
        <w:tab/>
        <w:t>For the purposes of subparagraph 911A(2)(el)(ii) of the Act, the following issuers of insurance products are prescribed:</w:t>
      </w:r>
    </w:p>
    <w:p w14:paraId="3CA3C72F" w14:textId="77777777" w:rsidR="00E93F58" w:rsidRPr="00A35C95" w:rsidRDefault="00E93F58" w:rsidP="00366AB5">
      <w:pPr>
        <w:pStyle w:val="paragraph"/>
        <w:tabs>
          <w:tab w:val="left" w:pos="2835"/>
        </w:tabs>
      </w:pPr>
      <w:r w:rsidRPr="00A35C95">
        <w:tab/>
        <w:t>(a)</w:t>
      </w:r>
      <w:r w:rsidRPr="00A35C95">
        <w:tab/>
        <w:t xml:space="preserve">Lloyd’s underwriters (within the meaning of the </w:t>
      </w:r>
      <w:r w:rsidRPr="00A35C95">
        <w:rPr>
          <w:i/>
        </w:rPr>
        <w:t>Insurance Act 1973</w:t>
      </w:r>
      <w:r w:rsidRPr="00A35C95">
        <w:t>);</w:t>
      </w:r>
    </w:p>
    <w:p w14:paraId="721D348E" w14:textId="77777777" w:rsidR="00E93F58" w:rsidRPr="00A35C95" w:rsidRDefault="00E93F58" w:rsidP="00366AB5">
      <w:pPr>
        <w:pStyle w:val="paragraph"/>
        <w:tabs>
          <w:tab w:val="left" w:pos="2835"/>
        </w:tabs>
      </w:pPr>
      <w:r w:rsidRPr="00A35C95">
        <w:tab/>
        <w:t>(b)</w:t>
      </w:r>
      <w:r w:rsidRPr="00A35C95">
        <w:tab/>
        <w:t xml:space="preserve">unauthorised foreign insurers (within the meaning of the </w:t>
      </w:r>
      <w:r w:rsidRPr="00A35C95">
        <w:rPr>
          <w:i/>
        </w:rPr>
        <w:t xml:space="preserve">Insurance </w:t>
      </w:r>
      <w:r>
        <w:rPr>
          <w:i/>
        </w:rPr>
        <w:t>Regulations 2</w:t>
      </w:r>
      <w:r w:rsidRPr="00A35C95">
        <w:rPr>
          <w:i/>
        </w:rPr>
        <w:t>002</w:t>
      </w:r>
      <w:r w:rsidRPr="00A35C95">
        <w:t>).</w:t>
      </w:r>
    </w:p>
    <w:p w14:paraId="65762DA9" w14:textId="77777777" w:rsidR="00E93F58" w:rsidRPr="00A35C95" w:rsidRDefault="00E93F58" w:rsidP="00366AB5">
      <w:pPr>
        <w:pStyle w:val="ActHead5"/>
        <w:tabs>
          <w:tab w:val="left" w:pos="2835"/>
        </w:tabs>
      </w:pPr>
      <w:bookmarkStart w:id="946" w:name="_Toc152058046"/>
      <w:bookmarkStart w:id="947" w:name="_Toc158712269"/>
      <w:bookmarkEnd w:id="941"/>
      <w:r w:rsidRPr="00844D11">
        <w:rPr>
          <w:rStyle w:val="CharSectno"/>
        </w:rPr>
        <w:t>7.6.01AAA</w:t>
      </w:r>
      <w:r w:rsidRPr="00A35C95">
        <w:t xml:space="preserve">  Particular financial products not exempted</w:t>
      </w:r>
      <w:bookmarkEnd w:id="946"/>
      <w:bookmarkEnd w:id="947"/>
    </w:p>
    <w:p w14:paraId="01C292D3" w14:textId="77777777" w:rsidR="00E93F58" w:rsidRPr="00A35C95" w:rsidRDefault="00E93F58" w:rsidP="00366AB5">
      <w:pPr>
        <w:pStyle w:val="subsection"/>
        <w:tabs>
          <w:tab w:val="left" w:pos="2835"/>
        </w:tabs>
      </w:pPr>
      <w:r w:rsidRPr="00A35C95">
        <w:tab/>
      </w:r>
      <w:r w:rsidRPr="00A35C95">
        <w:tab/>
        <w:t>For subsection 911A(5A) of the Act, the exemption under paragraph 911A(2)(b) of the Act does not apply in relation to a margin lending facility.</w:t>
      </w:r>
    </w:p>
    <w:p w14:paraId="208767BF" w14:textId="77777777" w:rsidR="00E93F58" w:rsidRPr="00A35C95" w:rsidRDefault="00E93F58" w:rsidP="00366AB5">
      <w:pPr>
        <w:pStyle w:val="ActHead5"/>
        <w:tabs>
          <w:tab w:val="left" w:pos="2835"/>
        </w:tabs>
      </w:pPr>
      <w:bookmarkStart w:id="948" w:name="_Toc152058047"/>
      <w:bookmarkStart w:id="949" w:name="_Toc158712270"/>
      <w:r w:rsidRPr="00844D11">
        <w:rPr>
          <w:rStyle w:val="CharSectno"/>
        </w:rPr>
        <w:lastRenderedPageBreak/>
        <w:t>7.6.01AB</w:t>
      </w:r>
      <w:r w:rsidRPr="00A35C95">
        <w:t xml:space="preserve">  Obligation on persons providing exempt financial service</w:t>
      </w:r>
      <w:bookmarkEnd w:id="948"/>
      <w:bookmarkEnd w:id="949"/>
    </w:p>
    <w:p w14:paraId="05A3BB9F" w14:textId="77777777" w:rsidR="00E93F58" w:rsidRPr="00A35C95" w:rsidRDefault="00E93F58" w:rsidP="00366AB5">
      <w:pPr>
        <w:pStyle w:val="subsection"/>
        <w:tabs>
          <w:tab w:val="left" w:pos="2835"/>
        </w:tabs>
      </w:pPr>
      <w:r w:rsidRPr="00A35C95">
        <w:tab/>
        <w:t>(1)</w:t>
      </w:r>
      <w:r w:rsidRPr="00A35C95">
        <w:tab/>
        <w:t>For paragraph 926B(1)(c) of the Act, Part 7.6 of the Act applies as if section 911A of the Act were modified to insert the following subsection after subsection (5B):</w:t>
      </w:r>
    </w:p>
    <w:p w14:paraId="756173D6" w14:textId="77777777" w:rsidR="00E93F58" w:rsidRPr="00A35C95" w:rsidRDefault="00E93F58" w:rsidP="00366AB5">
      <w:pPr>
        <w:pStyle w:val="subsection"/>
        <w:tabs>
          <w:tab w:val="left" w:pos="2835"/>
        </w:tabs>
      </w:pPr>
      <w:r w:rsidRPr="00A35C95">
        <w:tab/>
        <w:t>‘(5C)</w:t>
      </w:r>
      <w:r w:rsidRPr="00A35C95">
        <w:tab/>
        <w:t>If the regulations prescribe an exemption under paragraph (2)(k) that covers the provision of a service by a person in relation to:</w:t>
      </w:r>
    </w:p>
    <w:p w14:paraId="36A5D7F9" w14:textId="77777777" w:rsidR="00E93F58" w:rsidRPr="00A35C95" w:rsidRDefault="00E93F58" w:rsidP="00366AB5">
      <w:pPr>
        <w:pStyle w:val="paragraph"/>
        <w:tabs>
          <w:tab w:val="left" w:pos="2835"/>
        </w:tabs>
      </w:pPr>
      <w:r w:rsidRPr="00A35C95">
        <w:tab/>
        <w:t>(a)</w:t>
      </w:r>
      <w:r w:rsidRPr="00A35C95">
        <w:tab/>
        <w:t xml:space="preserve">a litigation funding scheme mentioned in regulation 5C.11.01 of the </w:t>
      </w:r>
      <w:r w:rsidRPr="00A35C95">
        <w:rPr>
          <w:i/>
        </w:rPr>
        <w:t xml:space="preserve">Corporations </w:t>
      </w:r>
      <w:r>
        <w:rPr>
          <w:i/>
        </w:rPr>
        <w:t>Regulations 2</w:t>
      </w:r>
      <w:r w:rsidRPr="00A35C95">
        <w:rPr>
          <w:i/>
        </w:rPr>
        <w:t>001</w:t>
      </w:r>
      <w:r w:rsidRPr="00A35C95">
        <w:t>; or</w:t>
      </w:r>
    </w:p>
    <w:p w14:paraId="135B2F6C" w14:textId="77777777" w:rsidR="00E93F58" w:rsidRPr="00A35C95" w:rsidRDefault="00E93F58" w:rsidP="00366AB5">
      <w:pPr>
        <w:pStyle w:val="paragraph"/>
        <w:keepNext/>
        <w:keepLines/>
        <w:tabs>
          <w:tab w:val="left" w:pos="2835"/>
        </w:tabs>
      </w:pPr>
      <w:r w:rsidRPr="00A35C95">
        <w:tab/>
        <w:t>(b)</w:t>
      </w:r>
      <w:r w:rsidRPr="00A35C95">
        <w:tab/>
        <w:t>a litigation funding arrangement mentioned in that regulation;</w:t>
      </w:r>
    </w:p>
    <w:p w14:paraId="2C36EC0C" w14:textId="77777777" w:rsidR="00E93F58" w:rsidRPr="00A35C95" w:rsidRDefault="00E93F58" w:rsidP="00366AB5">
      <w:pPr>
        <w:pStyle w:val="subsection2"/>
        <w:tabs>
          <w:tab w:val="left" w:pos="2835"/>
        </w:tabs>
      </w:pPr>
      <w:r w:rsidRPr="00A35C95">
        <w:t>the regulations may require the person to have adequate practices, and follow certain procedures, for managing conflicts of interest in relation to the scheme or arrangement.’</w:t>
      </w:r>
    </w:p>
    <w:p w14:paraId="520A4979" w14:textId="77777777" w:rsidR="00E93F58" w:rsidRPr="00A35C95" w:rsidRDefault="00E93F58" w:rsidP="00366AB5">
      <w:pPr>
        <w:pStyle w:val="subsection"/>
        <w:tabs>
          <w:tab w:val="left" w:pos="2835"/>
        </w:tabs>
      </w:pPr>
      <w:r w:rsidRPr="00A35C95">
        <w:tab/>
        <w:t>(2)</w:t>
      </w:r>
      <w:r w:rsidRPr="00A35C95">
        <w:tab/>
        <w:t>For subsection 911A(5C) of the Act, if a person is providing, or has provided, a financial service covered by the exemption mentioned in paragraph 7.6.01(1)(x) or (y), the person must:</w:t>
      </w:r>
    </w:p>
    <w:p w14:paraId="6FB17AE0" w14:textId="77777777" w:rsidR="00E93F58" w:rsidRPr="00A35C95" w:rsidRDefault="00E93F58" w:rsidP="00366AB5">
      <w:pPr>
        <w:pStyle w:val="paragraph"/>
        <w:tabs>
          <w:tab w:val="left" w:pos="2835"/>
        </w:tabs>
      </w:pPr>
      <w:r w:rsidRPr="00A35C95">
        <w:tab/>
        <w:t>(a)</w:t>
      </w:r>
      <w:r w:rsidRPr="00A35C95">
        <w:tab/>
        <w:t>maintain, for the duration of the litigation funding scheme or litigation funding arrangement, adequate practices for:</w:t>
      </w:r>
    </w:p>
    <w:p w14:paraId="06C3CE00" w14:textId="77777777" w:rsidR="00E93F58" w:rsidRPr="00A35C95" w:rsidRDefault="00E93F58" w:rsidP="00366AB5">
      <w:pPr>
        <w:pStyle w:val="paragraphsub"/>
        <w:tabs>
          <w:tab w:val="left" w:pos="2835"/>
        </w:tabs>
      </w:pPr>
      <w:r w:rsidRPr="00A35C95">
        <w:tab/>
        <w:t>(i)</w:t>
      </w:r>
      <w:r w:rsidRPr="00A35C95">
        <w:tab/>
        <w:t>managing any conflict of interest that may arise in relation to activities undertaken by the person, or an agent of the person, in relation to the scheme or arrangement; and</w:t>
      </w:r>
    </w:p>
    <w:p w14:paraId="20C29BC3" w14:textId="77777777" w:rsidR="00E93F58" w:rsidRPr="00A35C95" w:rsidRDefault="00E93F58" w:rsidP="00366AB5">
      <w:pPr>
        <w:pStyle w:val="paragraphsub"/>
        <w:tabs>
          <w:tab w:val="left" w:pos="2835"/>
        </w:tabs>
      </w:pPr>
      <w:r w:rsidRPr="00A35C95">
        <w:tab/>
        <w:t>(ii)</w:t>
      </w:r>
      <w:r w:rsidRPr="00A35C95">
        <w:tab/>
        <w:t>ensuring that a lawyer providing services in relation to the scheme or arrangement, and any immediate family member of such a lawyer, do not have or obtain a direct or indirect material financial interest in the person; and</w:t>
      </w:r>
    </w:p>
    <w:p w14:paraId="64DE3F6F" w14:textId="77777777" w:rsidR="00E93F58" w:rsidRPr="00A35C95" w:rsidRDefault="00E93F58" w:rsidP="00366AB5">
      <w:pPr>
        <w:pStyle w:val="paragraph"/>
        <w:tabs>
          <w:tab w:val="left" w:pos="2835"/>
        </w:tabs>
      </w:pPr>
      <w:r w:rsidRPr="00A35C95">
        <w:tab/>
        <w:t>(b)</w:t>
      </w:r>
      <w:r w:rsidRPr="00A35C95">
        <w:tab/>
        <w:t>follow the written procedures mentioned in subregulation (4) for the duration of the scheme or arrangement.</w:t>
      </w:r>
    </w:p>
    <w:p w14:paraId="3D347CFC" w14:textId="77777777" w:rsidR="00E93F58" w:rsidRPr="00A35C95" w:rsidRDefault="00E93F58" w:rsidP="00366AB5">
      <w:pPr>
        <w:pStyle w:val="notetext"/>
        <w:tabs>
          <w:tab w:val="left" w:pos="2835"/>
        </w:tabs>
      </w:pPr>
      <w:r w:rsidRPr="00A35C95">
        <w:t>Note:</w:t>
      </w:r>
      <w:r w:rsidRPr="00A35C95">
        <w:tab/>
        <w:t>The exemption mentioned in paragraph 7.6.01(1)(x) relates to a litigation funding scheme mentioned in regulation 5C.11.01. The exemption mentioned in paragraph 7.6.01(1)(y) relates to a litigation funding arrangement mentioned in that regulation.</w:t>
      </w:r>
    </w:p>
    <w:p w14:paraId="21ABAC76" w14:textId="77777777" w:rsidR="00E93F58" w:rsidRPr="00A35C95" w:rsidRDefault="00E93F58" w:rsidP="00366AB5">
      <w:pPr>
        <w:pStyle w:val="subsection"/>
        <w:tabs>
          <w:tab w:val="left" w:pos="2835"/>
        </w:tabs>
      </w:pPr>
      <w:r w:rsidRPr="00A35C95">
        <w:tab/>
        <w:t>(3)</w:t>
      </w:r>
      <w:r w:rsidRPr="00A35C95">
        <w:tab/>
        <w:t>A person commits an offence if the person contravenes subregulation (2).</w:t>
      </w:r>
    </w:p>
    <w:p w14:paraId="5203E755" w14:textId="77777777" w:rsidR="00E93F58" w:rsidRPr="00A35C95" w:rsidRDefault="00E93F58" w:rsidP="00366AB5">
      <w:pPr>
        <w:pStyle w:val="Penalty"/>
        <w:tabs>
          <w:tab w:val="left" w:pos="2835"/>
        </w:tabs>
      </w:pPr>
      <w:r w:rsidRPr="00A35C95">
        <w:t>Penalty:</w:t>
      </w:r>
    </w:p>
    <w:p w14:paraId="7ACE981E" w14:textId="77777777" w:rsidR="00E93F58" w:rsidRPr="00A35C95" w:rsidRDefault="00E93F58" w:rsidP="00366AB5">
      <w:pPr>
        <w:pStyle w:val="paragraph"/>
        <w:tabs>
          <w:tab w:val="left" w:pos="2835"/>
        </w:tabs>
      </w:pPr>
      <w:r w:rsidRPr="00A35C95">
        <w:tab/>
        <w:t>(a)</w:t>
      </w:r>
      <w:r w:rsidRPr="00A35C95">
        <w:tab/>
        <w:t>for an individual—50 penalty units; and</w:t>
      </w:r>
    </w:p>
    <w:p w14:paraId="62AEBAD8" w14:textId="77777777" w:rsidR="00E93F58" w:rsidRPr="00A35C95" w:rsidRDefault="00E93F58" w:rsidP="00366AB5">
      <w:pPr>
        <w:pStyle w:val="paragraph"/>
        <w:tabs>
          <w:tab w:val="left" w:pos="2835"/>
        </w:tabs>
      </w:pPr>
      <w:r w:rsidRPr="00A35C95">
        <w:tab/>
        <w:t>(b)</w:t>
      </w:r>
      <w:r w:rsidRPr="00A35C95">
        <w:tab/>
        <w:t>for a body corporate—500 penalty units.</w:t>
      </w:r>
    </w:p>
    <w:p w14:paraId="6442EBB9" w14:textId="77777777" w:rsidR="00E93F58" w:rsidRPr="00A35C95" w:rsidRDefault="00E93F58" w:rsidP="00366AB5">
      <w:pPr>
        <w:pStyle w:val="subsection"/>
        <w:tabs>
          <w:tab w:val="left" w:pos="2835"/>
        </w:tabs>
      </w:pPr>
      <w:r w:rsidRPr="00A35C95">
        <w:tab/>
        <w:t>(4)</w:t>
      </w:r>
      <w:r w:rsidRPr="00A35C95">
        <w:tab/>
        <w:t>For subregulation (2), a person has adequate practices for managing a conflict of interest that may arise if the person can show through documentation that:</w:t>
      </w:r>
    </w:p>
    <w:p w14:paraId="765A10B0" w14:textId="77777777" w:rsidR="00E93F58" w:rsidRPr="00A35C95" w:rsidRDefault="00E93F58" w:rsidP="00366AB5">
      <w:pPr>
        <w:pStyle w:val="paragraph"/>
        <w:tabs>
          <w:tab w:val="left" w:pos="2835"/>
        </w:tabs>
      </w:pPr>
      <w:r w:rsidRPr="00A35C95">
        <w:tab/>
        <w:t>(a)</w:t>
      </w:r>
      <w:r w:rsidRPr="00A35C95">
        <w:tab/>
        <w:t>the person has conducted a review of the person’s business operations that relate to the scheme or arrangement to identify and assess potential conflicting interests; and</w:t>
      </w:r>
    </w:p>
    <w:p w14:paraId="783F3322" w14:textId="77777777" w:rsidR="00E93F58" w:rsidRPr="00A35C95" w:rsidRDefault="00E93F58" w:rsidP="00366AB5">
      <w:pPr>
        <w:pStyle w:val="paragraph"/>
        <w:tabs>
          <w:tab w:val="left" w:pos="2835"/>
        </w:tabs>
      </w:pPr>
      <w:r w:rsidRPr="00A35C95">
        <w:tab/>
        <w:t>(b)</w:t>
      </w:r>
      <w:r w:rsidRPr="00A35C95">
        <w:tab/>
        <w:t>the person:</w:t>
      </w:r>
    </w:p>
    <w:p w14:paraId="2B99A1A7" w14:textId="77777777" w:rsidR="00E93F58" w:rsidRPr="00A35C95" w:rsidRDefault="00E93F58" w:rsidP="00366AB5">
      <w:pPr>
        <w:pStyle w:val="paragraphsub"/>
        <w:tabs>
          <w:tab w:val="left" w:pos="2835"/>
        </w:tabs>
      </w:pPr>
      <w:r w:rsidRPr="00A35C95">
        <w:tab/>
        <w:t>(i)</w:t>
      </w:r>
      <w:r w:rsidRPr="00A35C95">
        <w:tab/>
        <w:t>has written procedures for identifying and managing conflicts of interest; and</w:t>
      </w:r>
    </w:p>
    <w:p w14:paraId="3FDB58B6" w14:textId="77777777" w:rsidR="00E93F58" w:rsidRPr="00A35C95" w:rsidRDefault="00E93F58" w:rsidP="00366AB5">
      <w:pPr>
        <w:pStyle w:val="paragraphsub"/>
        <w:tabs>
          <w:tab w:val="left" w:pos="2835"/>
        </w:tabs>
      </w:pPr>
      <w:r w:rsidRPr="00A35C95">
        <w:tab/>
        <w:t>(ii)</w:t>
      </w:r>
      <w:r w:rsidRPr="00A35C95">
        <w:tab/>
        <w:t>has implemented the procedures; and</w:t>
      </w:r>
    </w:p>
    <w:p w14:paraId="5CE71E2C" w14:textId="77777777" w:rsidR="00E93F58" w:rsidRPr="00A35C95" w:rsidRDefault="00E93F58" w:rsidP="00366AB5">
      <w:pPr>
        <w:pStyle w:val="paragraph"/>
        <w:tabs>
          <w:tab w:val="left" w:pos="2835"/>
        </w:tabs>
      </w:pPr>
      <w:r w:rsidRPr="00A35C95">
        <w:tab/>
        <w:t>(c)</w:t>
      </w:r>
      <w:r w:rsidRPr="00A35C95">
        <w:tab/>
        <w:t>the written procedures are reviewed at intervals no greater than 12 months; and</w:t>
      </w:r>
    </w:p>
    <w:p w14:paraId="297D78F2" w14:textId="77777777" w:rsidR="00E93F58" w:rsidRPr="00A35C95" w:rsidRDefault="00E93F58" w:rsidP="00366AB5">
      <w:pPr>
        <w:pStyle w:val="paragraph"/>
        <w:tabs>
          <w:tab w:val="left" w:pos="2835"/>
        </w:tabs>
      </w:pPr>
      <w:r w:rsidRPr="00A35C95">
        <w:tab/>
        <w:t>(d)</w:t>
      </w:r>
      <w:r w:rsidRPr="00A35C95">
        <w:tab/>
        <w:t>the written procedures include procedures about the following:</w:t>
      </w:r>
    </w:p>
    <w:p w14:paraId="4D959229" w14:textId="77777777" w:rsidR="00E93F58" w:rsidRPr="00A35C95" w:rsidRDefault="00E93F58" w:rsidP="00366AB5">
      <w:pPr>
        <w:pStyle w:val="paragraphsub"/>
        <w:tabs>
          <w:tab w:val="left" w:pos="2835"/>
        </w:tabs>
      </w:pPr>
      <w:r w:rsidRPr="00A35C95">
        <w:tab/>
        <w:t>(i)</w:t>
      </w:r>
      <w:r w:rsidRPr="00A35C95">
        <w:tab/>
        <w:t>monitoring the person’s operations to identify potential conflicting interests;</w:t>
      </w:r>
    </w:p>
    <w:p w14:paraId="7E151C36" w14:textId="77777777" w:rsidR="00E93F58" w:rsidRPr="00A35C95" w:rsidRDefault="00E93F58" w:rsidP="00366AB5">
      <w:pPr>
        <w:pStyle w:val="paragraphsub"/>
        <w:tabs>
          <w:tab w:val="left" w:pos="2835"/>
        </w:tabs>
      </w:pPr>
      <w:r w:rsidRPr="00A35C95">
        <w:tab/>
        <w:t>(ii)</w:t>
      </w:r>
      <w:r w:rsidRPr="00A35C95">
        <w:tab/>
        <w:t>how to disclose conflicts of interest to general members and prospective general members;</w:t>
      </w:r>
    </w:p>
    <w:p w14:paraId="0AE84459" w14:textId="77777777" w:rsidR="00E93F58" w:rsidRPr="00A35C95" w:rsidRDefault="00E93F58" w:rsidP="00366AB5">
      <w:pPr>
        <w:pStyle w:val="paragraphsub"/>
        <w:tabs>
          <w:tab w:val="left" w:pos="2835"/>
        </w:tabs>
      </w:pPr>
      <w:r w:rsidRPr="00A35C95">
        <w:tab/>
        <w:t>(iii)</w:t>
      </w:r>
      <w:r w:rsidRPr="00A35C95">
        <w:tab/>
        <w:t>managing situations in which interests may conflict;</w:t>
      </w:r>
    </w:p>
    <w:p w14:paraId="0B92C036" w14:textId="77777777" w:rsidR="00E93F58" w:rsidRPr="00A35C95" w:rsidRDefault="00E93F58" w:rsidP="00366AB5">
      <w:pPr>
        <w:pStyle w:val="paragraphsub"/>
        <w:tabs>
          <w:tab w:val="left" w:pos="2835"/>
        </w:tabs>
      </w:pPr>
      <w:r w:rsidRPr="00A35C95">
        <w:tab/>
        <w:t>(iv)</w:t>
      </w:r>
      <w:r w:rsidRPr="00A35C95">
        <w:tab/>
        <w:t>protecting the interests of general members and prospective general members;</w:t>
      </w:r>
    </w:p>
    <w:p w14:paraId="17E47BBC" w14:textId="77777777" w:rsidR="00E93F58" w:rsidRPr="00A35C95" w:rsidRDefault="00E93F58" w:rsidP="00366AB5">
      <w:pPr>
        <w:pStyle w:val="paragraphsub"/>
        <w:tabs>
          <w:tab w:val="left" w:pos="2835"/>
        </w:tabs>
      </w:pPr>
      <w:r w:rsidRPr="00A35C95">
        <w:tab/>
        <w:t>(v)</w:t>
      </w:r>
      <w:r w:rsidRPr="00A35C95">
        <w:tab/>
        <w:t>how to deal with situations in which a lawyer acts for both the funder and general members;</w:t>
      </w:r>
    </w:p>
    <w:p w14:paraId="336BA3E7" w14:textId="77777777" w:rsidR="00E93F58" w:rsidRPr="00A35C95" w:rsidRDefault="00E93F58" w:rsidP="00366AB5">
      <w:pPr>
        <w:pStyle w:val="paragraphsub"/>
        <w:tabs>
          <w:tab w:val="left" w:pos="2835"/>
        </w:tabs>
      </w:pPr>
      <w:r w:rsidRPr="00A35C95">
        <w:tab/>
        <w:t>(vi)</w:t>
      </w:r>
      <w:r w:rsidRPr="00A35C95">
        <w:tab/>
        <w:t>how to deal with a situation in which there is a pre</w:t>
      </w:r>
      <w:r>
        <w:noBreakHyphen/>
      </w:r>
      <w:r w:rsidRPr="00A35C95">
        <w:t>existing relationship between any of a funder, a lawyer and a general member;</w:t>
      </w:r>
    </w:p>
    <w:p w14:paraId="437BAF22" w14:textId="77777777" w:rsidR="00E93F58" w:rsidRPr="00A35C95" w:rsidRDefault="00E93F58" w:rsidP="00366AB5">
      <w:pPr>
        <w:pStyle w:val="paragraphsub"/>
        <w:tabs>
          <w:tab w:val="left" w:pos="2835"/>
        </w:tabs>
      </w:pPr>
      <w:r w:rsidRPr="00A35C95">
        <w:tab/>
        <w:t>(vii)</w:t>
      </w:r>
      <w:r w:rsidRPr="00A35C95">
        <w:tab/>
        <w:t xml:space="preserve">reviewing the terms of a funding agreement to ensure the terms are consistent with Division 2 of Part 2 of the </w:t>
      </w:r>
      <w:r w:rsidRPr="00A35C95">
        <w:rPr>
          <w:i/>
        </w:rPr>
        <w:t>Australian Securities and Investments Commission Act 2001</w:t>
      </w:r>
      <w:r w:rsidRPr="00A35C95">
        <w:t>;</w:t>
      </w:r>
    </w:p>
    <w:p w14:paraId="7AFA7980" w14:textId="77777777" w:rsidR="00E93F58" w:rsidRPr="00A35C95" w:rsidRDefault="00E93F58" w:rsidP="00366AB5">
      <w:pPr>
        <w:pStyle w:val="paragraphsub"/>
        <w:tabs>
          <w:tab w:val="left" w:pos="2835"/>
        </w:tabs>
      </w:pPr>
      <w:r w:rsidRPr="00A35C95">
        <w:tab/>
        <w:t>(viii)</w:t>
      </w:r>
      <w:r w:rsidRPr="00A35C95">
        <w:tab/>
        <w:t>recruiting prospective general members; and</w:t>
      </w:r>
    </w:p>
    <w:p w14:paraId="76140EA5" w14:textId="77777777" w:rsidR="00E93F58" w:rsidRPr="00A35C95" w:rsidRDefault="00E93F58" w:rsidP="00366AB5">
      <w:pPr>
        <w:pStyle w:val="paragraph"/>
        <w:tabs>
          <w:tab w:val="left" w:pos="2835"/>
        </w:tabs>
      </w:pPr>
      <w:r w:rsidRPr="00A35C95">
        <w:tab/>
        <w:t>(e)</w:t>
      </w:r>
      <w:r w:rsidRPr="00A35C95">
        <w:tab/>
        <w:t xml:space="preserve">the terms of the funding agreement are reviewed to ensure the terms are consistent with Division 2 of Part 2 of the </w:t>
      </w:r>
      <w:r w:rsidRPr="00A35C95">
        <w:rPr>
          <w:i/>
        </w:rPr>
        <w:t>Australian Securities and Investments Commission Act 2001</w:t>
      </w:r>
      <w:r w:rsidRPr="00A35C95">
        <w:t>; and</w:t>
      </w:r>
    </w:p>
    <w:p w14:paraId="7A82C68D" w14:textId="77777777" w:rsidR="00E93F58" w:rsidRPr="00A35C95" w:rsidRDefault="00E93F58" w:rsidP="00366AB5">
      <w:pPr>
        <w:pStyle w:val="paragraph"/>
        <w:tabs>
          <w:tab w:val="left" w:pos="2835"/>
        </w:tabs>
      </w:pPr>
      <w:r w:rsidRPr="00A35C95">
        <w:tab/>
        <w:t>(f)</w:t>
      </w:r>
      <w:r w:rsidRPr="00A35C95">
        <w:tab/>
        <w:t>the matters mentioned in paragraphs (a) to (e) are implemented, monitored and managed by:</w:t>
      </w:r>
    </w:p>
    <w:p w14:paraId="0607FDBF" w14:textId="77777777" w:rsidR="00E93F58" w:rsidRPr="00A35C95" w:rsidRDefault="00E93F58" w:rsidP="00366AB5">
      <w:pPr>
        <w:pStyle w:val="paragraphsub"/>
        <w:tabs>
          <w:tab w:val="left" w:pos="2835"/>
        </w:tabs>
      </w:pPr>
      <w:r w:rsidRPr="00A35C95">
        <w:tab/>
        <w:t>(i)</w:t>
      </w:r>
      <w:r w:rsidRPr="00A35C95">
        <w:tab/>
        <w:t>if the person is an entity other than an individual—the senior management or partners of the person; or</w:t>
      </w:r>
    </w:p>
    <w:p w14:paraId="7B9E38DD" w14:textId="77777777" w:rsidR="00E93F58" w:rsidRPr="00A35C95" w:rsidRDefault="00E93F58" w:rsidP="00366AB5">
      <w:pPr>
        <w:pStyle w:val="paragraphsub"/>
        <w:tabs>
          <w:tab w:val="left" w:pos="2835"/>
        </w:tabs>
      </w:pPr>
      <w:r w:rsidRPr="00A35C95">
        <w:tab/>
        <w:t>(ii)</w:t>
      </w:r>
      <w:r w:rsidRPr="00A35C95">
        <w:tab/>
        <w:t>if the person is an individual that represents an entity—the senior management or partners of the entity.</w:t>
      </w:r>
    </w:p>
    <w:p w14:paraId="7FF86420" w14:textId="77777777" w:rsidR="00E93F58" w:rsidRPr="00A35C95" w:rsidRDefault="00E93F58" w:rsidP="00366AB5">
      <w:pPr>
        <w:pStyle w:val="ActHead5"/>
        <w:tabs>
          <w:tab w:val="left" w:pos="2835"/>
        </w:tabs>
      </w:pPr>
      <w:bookmarkStart w:id="950" w:name="_Toc152058048"/>
      <w:bookmarkStart w:id="951" w:name="_Toc158712271"/>
      <w:r w:rsidRPr="00844D11">
        <w:rPr>
          <w:rStyle w:val="CharSectno"/>
        </w:rPr>
        <w:lastRenderedPageBreak/>
        <w:t>7.6.01A</w:t>
      </w:r>
      <w:r w:rsidRPr="00A35C95">
        <w:t xml:space="preserve">  Providing financial services on behalf of a person who carries on a financial services business</w:t>
      </w:r>
      <w:bookmarkEnd w:id="950"/>
      <w:bookmarkEnd w:id="951"/>
    </w:p>
    <w:p w14:paraId="77262AEA" w14:textId="77777777" w:rsidR="00E93F58" w:rsidRPr="00A35C95" w:rsidRDefault="00E93F58" w:rsidP="00366AB5">
      <w:pPr>
        <w:pStyle w:val="subsection"/>
        <w:tabs>
          <w:tab w:val="left" w:pos="2835"/>
        </w:tabs>
      </w:pPr>
      <w:r w:rsidRPr="00A35C95">
        <w:tab/>
      </w:r>
      <w:r w:rsidRPr="00A35C95">
        <w:tab/>
        <w:t>For subparagraph 911B(1)(c)(iv) of the Act, travellers’ cheques are prescribed.</w:t>
      </w:r>
    </w:p>
    <w:p w14:paraId="0E4946A0" w14:textId="77777777" w:rsidR="00E93F58" w:rsidRPr="00A35C95" w:rsidRDefault="00E93F58" w:rsidP="00366AB5">
      <w:pPr>
        <w:pStyle w:val="ActHead5"/>
        <w:tabs>
          <w:tab w:val="left" w:pos="2835"/>
        </w:tabs>
      </w:pPr>
      <w:bookmarkStart w:id="952" w:name="_Toc152058049"/>
      <w:bookmarkStart w:id="953" w:name="_Toc158712272"/>
      <w:r w:rsidRPr="00844D11">
        <w:rPr>
          <w:rStyle w:val="CharSectno"/>
        </w:rPr>
        <w:t>7.6.01B</w:t>
      </w:r>
      <w:r w:rsidRPr="00A35C95">
        <w:t xml:space="preserve">  Need for Australian financial services licence: financial product advice provided by the media</w:t>
      </w:r>
      <w:bookmarkEnd w:id="952"/>
      <w:bookmarkEnd w:id="953"/>
    </w:p>
    <w:p w14:paraId="2C272618" w14:textId="77777777" w:rsidR="00E93F58" w:rsidRPr="00A35C95" w:rsidRDefault="00E93F58" w:rsidP="00366AB5">
      <w:pPr>
        <w:pStyle w:val="subsection"/>
        <w:tabs>
          <w:tab w:val="left" w:pos="2835"/>
        </w:tabs>
      </w:pPr>
      <w:r w:rsidRPr="00A35C95">
        <w:tab/>
        <w:t>(1)</w:t>
      </w:r>
      <w:r w:rsidRPr="00A35C95">
        <w:tab/>
        <w:t>For paragraph 911A(5)(a) of the Act, the exemptions from the requirement to hold an Australian financial services licence provided for in paragraphs 911A(2)(ea), (eb) and (ec) apply subject to the condition that a person mentioned in any of those paragraphs, or a representative of a person mentioned in any of those paragraphs, who provides financial product advice states the following matters, to the extent to which they would reasonably be expected to influence, or be capable of influencing, the provision of the financial product advice:</w:t>
      </w:r>
    </w:p>
    <w:p w14:paraId="74ED2282" w14:textId="77777777" w:rsidR="00E93F58" w:rsidRPr="00A35C95" w:rsidRDefault="00E93F58" w:rsidP="00366AB5">
      <w:pPr>
        <w:pStyle w:val="paragraph"/>
        <w:tabs>
          <w:tab w:val="left" w:pos="2835"/>
        </w:tabs>
      </w:pPr>
      <w:r w:rsidRPr="00A35C95">
        <w:rPr>
          <w:color w:val="000000"/>
        </w:rPr>
        <w:tab/>
        <w:t>(a)</w:t>
      </w:r>
      <w:r w:rsidRPr="00A35C95">
        <w:rPr>
          <w:color w:val="000000"/>
        </w:rPr>
        <w:tab/>
        <w:t>any remuneration the person or the person’s representative is to receive for providing the advice;</w:t>
      </w:r>
    </w:p>
    <w:p w14:paraId="4851D37B" w14:textId="77777777" w:rsidR="00E93F58" w:rsidRPr="00A35C95" w:rsidRDefault="00E93F58" w:rsidP="00366AB5">
      <w:pPr>
        <w:pStyle w:val="paragraph"/>
        <w:tabs>
          <w:tab w:val="left" w:pos="2835"/>
        </w:tabs>
      </w:pPr>
      <w:r w:rsidRPr="00A35C95">
        <w:tab/>
        <w:t>(b)</w:t>
      </w:r>
      <w:r w:rsidRPr="00A35C95">
        <w:tab/>
        <w:t>any pecuniary or other interest that the provider of the advice, or an associate of the provider, has in relation to the advice, if the provider of the advice, or an associate of the provider, would be likely to obtain a material financial benefit, or avoid a material financial loss, if the advice were acted upon.</w:t>
      </w:r>
    </w:p>
    <w:p w14:paraId="062AF213" w14:textId="77777777" w:rsidR="00E93F58" w:rsidRPr="00A35C95" w:rsidRDefault="00E93F58" w:rsidP="00366AB5">
      <w:pPr>
        <w:pStyle w:val="subsection"/>
        <w:tabs>
          <w:tab w:val="left" w:pos="2835"/>
        </w:tabs>
      </w:pPr>
      <w:r w:rsidRPr="00A35C95">
        <w:tab/>
        <w:t>(2)</w:t>
      </w:r>
      <w:r w:rsidRPr="00A35C95">
        <w:tab/>
        <w:t>The statement mentioned in subregulation (1) must be presented in a way that:</w:t>
      </w:r>
    </w:p>
    <w:p w14:paraId="389574F5" w14:textId="77777777" w:rsidR="00E93F58" w:rsidRPr="00A35C95" w:rsidRDefault="00E93F58" w:rsidP="00366AB5">
      <w:pPr>
        <w:pStyle w:val="paragraph"/>
        <w:tabs>
          <w:tab w:val="left" w:pos="2835"/>
        </w:tabs>
      </w:pPr>
      <w:r w:rsidRPr="00A35C95">
        <w:rPr>
          <w:color w:val="000000"/>
        </w:rPr>
        <w:tab/>
        <w:t>(a)</w:t>
      </w:r>
      <w:r w:rsidRPr="00A35C95">
        <w:rPr>
          <w:color w:val="000000"/>
        </w:rPr>
        <w:tab/>
        <w:t>will adequately bring it to the attention of a reasonable person who may read or hear the financial product advice to which the statement relates; and</w:t>
      </w:r>
    </w:p>
    <w:p w14:paraId="58B49B5E" w14:textId="77777777" w:rsidR="00E93F58" w:rsidRPr="00A35C95" w:rsidRDefault="00E93F58" w:rsidP="00366AB5">
      <w:pPr>
        <w:pStyle w:val="paragraph"/>
        <w:tabs>
          <w:tab w:val="left" w:pos="2835"/>
        </w:tabs>
      </w:pPr>
      <w:r w:rsidRPr="00A35C95">
        <w:tab/>
        <w:t>(b)</w:t>
      </w:r>
      <w:r w:rsidRPr="00A35C95">
        <w:tab/>
        <w:t>is easy for a reasonable person to understand.</w:t>
      </w:r>
    </w:p>
    <w:p w14:paraId="23B9401D" w14:textId="77777777" w:rsidR="00E93F58" w:rsidRPr="00A35C95" w:rsidRDefault="00E93F58" w:rsidP="00366AB5">
      <w:pPr>
        <w:pStyle w:val="subsection"/>
        <w:tabs>
          <w:tab w:val="left" w:pos="2835"/>
        </w:tabs>
      </w:pPr>
      <w:r w:rsidRPr="00A35C95">
        <w:tab/>
        <w:t>(3)</w:t>
      </w:r>
      <w:r w:rsidRPr="00A35C95">
        <w:tab/>
        <w:t>Subregulation (1) does not apply if:</w:t>
      </w:r>
    </w:p>
    <w:p w14:paraId="14DD5FA5" w14:textId="77777777" w:rsidR="00E93F58" w:rsidRPr="00A35C95" w:rsidRDefault="00E93F58" w:rsidP="00366AB5">
      <w:pPr>
        <w:pStyle w:val="paragraph"/>
        <w:tabs>
          <w:tab w:val="left" w:pos="2835"/>
        </w:tabs>
      </w:pPr>
      <w:r w:rsidRPr="00A35C95">
        <w:tab/>
        <w:t>(a)</w:t>
      </w:r>
      <w:r w:rsidRPr="00A35C95">
        <w:tab/>
        <w:t>a person mentioned in paragraph 911A(2)(ea), (eb) or (ec) of the Act, and the person’s representatives:</w:t>
      </w:r>
    </w:p>
    <w:p w14:paraId="0BAAFEE2" w14:textId="77777777" w:rsidR="00E93F58" w:rsidRPr="00A35C95" w:rsidRDefault="00E93F58" w:rsidP="00366AB5">
      <w:pPr>
        <w:pStyle w:val="paragraphsub"/>
        <w:tabs>
          <w:tab w:val="left" w:pos="2835"/>
        </w:tabs>
      </w:pPr>
      <w:r w:rsidRPr="00A35C95">
        <w:rPr>
          <w:color w:val="000000"/>
        </w:rPr>
        <w:tab/>
        <w:t>(i)</w:t>
      </w:r>
      <w:r w:rsidRPr="00A35C95">
        <w:rPr>
          <w:color w:val="000000"/>
        </w:rPr>
        <w:tab/>
        <w:t>comply with an industry code of practice; or</w:t>
      </w:r>
    </w:p>
    <w:p w14:paraId="3A00D195" w14:textId="77777777" w:rsidR="00E93F58" w:rsidRPr="00A35C95" w:rsidRDefault="00E93F58" w:rsidP="00366AB5">
      <w:pPr>
        <w:pStyle w:val="paragraphsub"/>
        <w:tabs>
          <w:tab w:val="left" w:pos="2835"/>
        </w:tabs>
      </w:pPr>
      <w:r w:rsidRPr="00A35C95">
        <w:tab/>
        <w:t>(ii)</w:t>
      </w:r>
      <w:r w:rsidRPr="00A35C95">
        <w:tab/>
        <w:t>comply with the Statement of Principles laid down by the Australian Press Council; or</w:t>
      </w:r>
    </w:p>
    <w:p w14:paraId="4C7524C8" w14:textId="77777777" w:rsidR="00E93F58" w:rsidRPr="00A35C95" w:rsidRDefault="00E93F58" w:rsidP="00366AB5">
      <w:pPr>
        <w:pStyle w:val="paragraphsub"/>
        <w:tabs>
          <w:tab w:val="left" w:pos="2835"/>
        </w:tabs>
      </w:pPr>
      <w:r w:rsidRPr="00A35C95">
        <w:tab/>
        <w:t>(iii)</w:t>
      </w:r>
      <w:r w:rsidRPr="00A35C95">
        <w:tab/>
        <w:t>are subject to an internal policy that is approved by the board or governing body of the person; and</w:t>
      </w:r>
    </w:p>
    <w:p w14:paraId="4510FCD3" w14:textId="77777777" w:rsidR="00E93F58" w:rsidRPr="00A35C95" w:rsidRDefault="00E93F58" w:rsidP="00366AB5">
      <w:pPr>
        <w:pStyle w:val="paragraph"/>
        <w:tabs>
          <w:tab w:val="left" w:pos="2835"/>
        </w:tabs>
      </w:pPr>
      <w:r w:rsidRPr="00A35C95">
        <w:tab/>
        <w:t>(b)</w:t>
      </w:r>
      <w:r w:rsidRPr="00A35C95">
        <w:tab/>
        <w:t>the code, Statement of Principles or policy contains requirements relating to:</w:t>
      </w:r>
    </w:p>
    <w:p w14:paraId="37C00145" w14:textId="77777777" w:rsidR="00E93F58" w:rsidRPr="00A35C95" w:rsidRDefault="00E93F58" w:rsidP="00366AB5">
      <w:pPr>
        <w:pStyle w:val="paragraphsub"/>
        <w:tabs>
          <w:tab w:val="left" w:pos="2835"/>
        </w:tabs>
      </w:pPr>
      <w:r w:rsidRPr="00A35C95">
        <w:rPr>
          <w:color w:val="000000"/>
        </w:rPr>
        <w:tab/>
        <w:t>(i)</w:t>
      </w:r>
      <w:r w:rsidRPr="00A35C95">
        <w:rPr>
          <w:color w:val="000000"/>
        </w:rPr>
        <w:tab/>
        <w:t>the manner in which financial conflicts of interest are dealt with; or</w:t>
      </w:r>
    </w:p>
    <w:p w14:paraId="5BFD8D01" w14:textId="77777777" w:rsidR="00E93F58" w:rsidRPr="00A35C95" w:rsidRDefault="00E93F58" w:rsidP="00366AB5">
      <w:pPr>
        <w:pStyle w:val="paragraphsub"/>
        <w:tabs>
          <w:tab w:val="left" w:pos="2835"/>
        </w:tabs>
      </w:pPr>
      <w:r w:rsidRPr="00A35C95">
        <w:tab/>
        <w:t>(ii)</w:t>
      </w:r>
      <w:r w:rsidRPr="00A35C95">
        <w:tab/>
        <w:t>the prevention of financial conflicts of interest.</w:t>
      </w:r>
    </w:p>
    <w:p w14:paraId="29175082" w14:textId="77777777" w:rsidR="00E93F58" w:rsidRPr="00A35C95" w:rsidRDefault="00E93F58" w:rsidP="00366AB5">
      <w:pPr>
        <w:pStyle w:val="subsection"/>
        <w:tabs>
          <w:tab w:val="left" w:pos="2835"/>
        </w:tabs>
      </w:pPr>
      <w:r w:rsidRPr="00A35C95">
        <w:tab/>
        <w:t>(4)</w:t>
      </w:r>
      <w:r w:rsidRPr="00A35C95">
        <w:tab/>
        <w:t>Subregulation (1) does not apply in relation to:</w:t>
      </w:r>
    </w:p>
    <w:p w14:paraId="7E784957" w14:textId="77777777" w:rsidR="00E93F58" w:rsidRPr="00A35C95" w:rsidRDefault="00E93F58" w:rsidP="00366AB5">
      <w:pPr>
        <w:pStyle w:val="paragraph"/>
        <w:tabs>
          <w:tab w:val="left" w:pos="2835"/>
        </w:tabs>
      </w:pPr>
      <w:r w:rsidRPr="00A35C95">
        <w:rPr>
          <w:color w:val="000000"/>
        </w:rPr>
        <w:tab/>
        <w:t>(a)</w:t>
      </w:r>
      <w:r w:rsidRPr="00A35C95">
        <w:rPr>
          <w:color w:val="000000"/>
        </w:rPr>
        <w:tab/>
        <w:t>a newspaper or periodical, a transmission made by means of an information service, or a sound recording, video recording or data recording, the principal purpose of which is to report and provide comment on news, and not to provide financial product advice; and</w:t>
      </w:r>
    </w:p>
    <w:p w14:paraId="67A27EB2" w14:textId="77777777" w:rsidR="00E93F58" w:rsidRPr="00A35C95" w:rsidRDefault="00E93F58" w:rsidP="00366AB5">
      <w:pPr>
        <w:pStyle w:val="paragraph"/>
        <w:tabs>
          <w:tab w:val="left" w:pos="2835"/>
        </w:tabs>
      </w:pPr>
      <w:r w:rsidRPr="00A35C95">
        <w:tab/>
        <w:t>(b)</w:t>
      </w:r>
      <w:r w:rsidRPr="00A35C95">
        <w:tab/>
        <w:t>paid advertising in relation to which a reasonable person is able to distinguish the advertising from other material in the newspaper, periodical, transmission, sound recording, video recording or data recording.</w:t>
      </w:r>
    </w:p>
    <w:p w14:paraId="5FE368AD" w14:textId="77777777" w:rsidR="00E93F58" w:rsidRPr="00A35C95" w:rsidRDefault="00E93F58" w:rsidP="00366AB5">
      <w:pPr>
        <w:pStyle w:val="subsection"/>
        <w:tabs>
          <w:tab w:val="left" w:pos="2835"/>
        </w:tabs>
      </w:pPr>
      <w:r w:rsidRPr="00A35C95">
        <w:rPr>
          <w:color w:val="000000"/>
        </w:rPr>
        <w:tab/>
        <w:t>(5)</w:t>
      </w:r>
      <w:r w:rsidRPr="00A35C95">
        <w:rPr>
          <w:color w:val="000000"/>
        </w:rPr>
        <w:tab/>
        <w:t xml:space="preserve">A reference in subparagraph 911A(2)(eb)(ii) of the Act to transmissions that are generally available to the public includes transmissions provided as part of a subscription broadcasting service within the meaning of the </w:t>
      </w:r>
      <w:r w:rsidRPr="00A35C95">
        <w:rPr>
          <w:i/>
          <w:color w:val="000000"/>
        </w:rPr>
        <w:t>Broadcasting Services Act 1992</w:t>
      </w:r>
      <w:r w:rsidRPr="00A35C95">
        <w:rPr>
          <w:color w:val="000000"/>
        </w:rPr>
        <w:t>.</w:t>
      </w:r>
    </w:p>
    <w:p w14:paraId="323391E9" w14:textId="77777777" w:rsidR="00E93F58" w:rsidRPr="00A35C95" w:rsidRDefault="00E93F58" w:rsidP="00366AB5">
      <w:pPr>
        <w:pStyle w:val="subsection"/>
        <w:tabs>
          <w:tab w:val="left" w:pos="2835"/>
        </w:tabs>
      </w:pPr>
      <w:r w:rsidRPr="00A35C95">
        <w:tab/>
        <w:t>(6)</w:t>
      </w:r>
      <w:r w:rsidRPr="00A35C95">
        <w:tab/>
        <w:t>For paragraph 911A(6)(d) of the Act, each of the following services is an information service:</w:t>
      </w:r>
    </w:p>
    <w:p w14:paraId="7F71620B" w14:textId="77777777" w:rsidR="00E93F58" w:rsidRPr="00A35C95" w:rsidRDefault="00E93F58" w:rsidP="00366AB5">
      <w:pPr>
        <w:pStyle w:val="paragraph"/>
        <w:tabs>
          <w:tab w:val="left" w:pos="2835"/>
        </w:tabs>
      </w:pPr>
      <w:r w:rsidRPr="00A35C95">
        <w:rPr>
          <w:color w:val="000000"/>
        </w:rPr>
        <w:tab/>
        <w:t>(a)</w:t>
      </w:r>
      <w:r w:rsidRPr="00A35C95">
        <w:rPr>
          <w:color w:val="000000"/>
        </w:rPr>
        <w:tab/>
        <w:t xml:space="preserve">a broadcasting service within the meaning of the </w:t>
      </w:r>
      <w:r w:rsidRPr="00A35C95">
        <w:rPr>
          <w:i/>
          <w:color w:val="000000"/>
        </w:rPr>
        <w:t>Broadcasting Services Act 1992</w:t>
      </w:r>
      <w:r w:rsidRPr="00A35C95">
        <w:rPr>
          <w:color w:val="000000"/>
        </w:rPr>
        <w:t>;</w:t>
      </w:r>
    </w:p>
    <w:p w14:paraId="3BCB4E5C" w14:textId="77777777" w:rsidR="00E93F58" w:rsidRPr="00A35C95" w:rsidRDefault="00E93F58" w:rsidP="00366AB5">
      <w:pPr>
        <w:pStyle w:val="paragraph"/>
        <w:tabs>
          <w:tab w:val="left" w:pos="2835"/>
        </w:tabs>
      </w:pPr>
      <w:r w:rsidRPr="00A35C95">
        <w:tab/>
        <w:t>(b)</w:t>
      </w:r>
      <w:r w:rsidRPr="00A35C95">
        <w:tab/>
        <w:t xml:space="preserve">a datacasting service within the meaning of the </w:t>
      </w:r>
      <w:r w:rsidRPr="00A35C95">
        <w:rPr>
          <w:i/>
        </w:rPr>
        <w:t>Broadcasting Services Act 1992</w:t>
      </w:r>
      <w:r w:rsidRPr="00A35C95">
        <w:t>;</w:t>
      </w:r>
    </w:p>
    <w:p w14:paraId="0189FDC3" w14:textId="77777777" w:rsidR="00E93F58" w:rsidRPr="00A35C95" w:rsidRDefault="00E93F58" w:rsidP="00366AB5">
      <w:pPr>
        <w:pStyle w:val="paragraph"/>
        <w:tabs>
          <w:tab w:val="left" w:pos="2835"/>
        </w:tabs>
      </w:pPr>
      <w:r w:rsidRPr="00A35C95">
        <w:tab/>
        <w:t>(c)</w:t>
      </w:r>
      <w:r w:rsidRPr="00A35C95">
        <w:tab/>
        <w:t>a service provided by the Internet.</w:t>
      </w:r>
    </w:p>
    <w:p w14:paraId="25D8C941" w14:textId="77777777" w:rsidR="00E93F58" w:rsidRPr="00A35C95" w:rsidRDefault="00E93F58" w:rsidP="00366AB5">
      <w:pPr>
        <w:pStyle w:val="subsection"/>
        <w:tabs>
          <w:tab w:val="left" w:pos="2835"/>
        </w:tabs>
      </w:pPr>
      <w:r w:rsidRPr="00A35C95">
        <w:tab/>
        <w:t>(7)</w:t>
      </w:r>
      <w:r w:rsidRPr="00A35C95">
        <w:tab/>
        <w:t>In this regulation:</w:t>
      </w:r>
    </w:p>
    <w:p w14:paraId="08AD8AED" w14:textId="77777777" w:rsidR="00E93F58" w:rsidRPr="00A35C95" w:rsidRDefault="00E93F58" w:rsidP="00366AB5">
      <w:pPr>
        <w:pStyle w:val="Definition"/>
        <w:tabs>
          <w:tab w:val="left" w:pos="2835"/>
        </w:tabs>
      </w:pPr>
      <w:r w:rsidRPr="00A35C95">
        <w:rPr>
          <w:b/>
          <w:i/>
          <w:color w:val="000000"/>
        </w:rPr>
        <w:t>associate</w:t>
      </w:r>
      <w:r w:rsidRPr="00A35C95">
        <w:t xml:space="preserve"> means:</w:t>
      </w:r>
    </w:p>
    <w:p w14:paraId="04B74995" w14:textId="77777777" w:rsidR="00E93F58" w:rsidRPr="00A35C95" w:rsidRDefault="00E93F58" w:rsidP="00366AB5">
      <w:pPr>
        <w:pStyle w:val="paragraph"/>
        <w:tabs>
          <w:tab w:val="left" w:pos="2835"/>
        </w:tabs>
      </w:pPr>
      <w:r w:rsidRPr="00A35C95">
        <w:rPr>
          <w:color w:val="000000"/>
        </w:rPr>
        <w:tab/>
        <w:t>(a)</w:t>
      </w:r>
      <w:r w:rsidRPr="00A35C95">
        <w:rPr>
          <w:color w:val="000000"/>
        </w:rPr>
        <w:tab/>
        <w:t>in relation to a body corporate—a related body corporate; and</w:t>
      </w:r>
    </w:p>
    <w:p w14:paraId="068E79B0" w14:textId="77777777" w:rsidR="00E93F58" w:rsidRPr="00A35C95" w:rsidRDefault="00E93F58" w:rsidP="00366AB5">
      <w:pPr>
        <w:pStyle w:val="paragraph"/>
        <w:tabs>
          <w:tab w:val="left" w:pos="2835"/>
        </w:tabs>
      </w:pPr>
      <w:r w:rsidRPr="00A35C95">
        <w:tab/>
        <w:t>(b)</w:t>
      </w:r>
      <w:r w:rsidRPr="00A35C95">
        <w:tab/>
        <w:t>in relation to an individual—a spouse (including a de facto partner), child, step</w:t>
      </w:r>
      <w:r>
        <w:noBreakHyphen/>
      </w:r>
      <w:r w:rsidRPr="00A35C95">
        <w:t>child, parent, step</w:t>
      </w:r>
      <w:r>
        <w:noBreakHyphen/>
      </w:r>
      <w:r w:rsidRPr="00A35C95">
        <w:t>parent, brother, half</w:t>
      </w:r>
      <w:r>
        <w:noBreakHyphen/>
      </w:r>
      <w:r w:rsidRPr="00A35C95">
        <w:t>brother, sister or half</w:t>
      </w:r>
      <w:r>
        <w:noBreakHyphen/>
      </w:r>
      <w:r w:rsidRPr="00A35C95">
        <w:t>sister of the individual.</w:t>
      </w:r>
    </w:p>
    <w:p w14:paraId="22DF18A3" w14:textId="77777777" w:rsidR="00E93F58" w:rsidRPr="00A35C95" w:rsidRDefault="00E93F58" w:rsidP="00366AB5">
      <w:pPr>
        <w:pStyle w:val="Definition"/>
        <w:tabs>
          <w:tab w:val="left" w:pos="2835"/>
        </w:tabs>
      </w:pPr>
      <w:r w:rsidRPr="00A35C95">
        <w:rPr>
          <w:b/>
          <w:i/>
          <w:color w:val="000000"/>
        </w:rPr>
        <w:t>internal policy</w:t>
      </w:r>
      <w:r w:rsidRPr="00A35C95">
        <w:rPr>
          <w:b/>
          <w:color w:val="000000"/>
        </w:rPr>
        <w:t xml:space="preserve"> </w:t>
      </w:r>
      <w:r w:rsidRPr="00A35C95">
        <w:rPr>
          <w:color w:val="000000"/>
        </w:rPr>
        <w:t>includes a code of ethics or editorial guidelines.</w:t>
      </w:r>
    </w:p>
    <w:p w14:paraId="63C0F02E" w14:textId="77777777" w:rsidR="00E93F58" w:rsidRPr="00A35C95" w:rsidRDefault="00E93F58" w:rsidP="00366AB5">
      <w:pPr>
        <w:pStyle w:val="Definition"/>
        <w:tabs>
          <w:tab w:val="left" w:pos="2835"/>
        </w:tabs>
      </w:pPr>
      <w:r w:rsidRPr="00A35C95">
        <w:rPr>
          <w:b/>
          <w:i/>
        </w:rPr>
        <w:t>material financial benefit</w:t>
      </w:r>
      <w:r w:rsidRPr="00A35C95">
        <w:rPr>
          <w:b/>
        </w:rPr>
        <w:t xml:space="preserve"> </w:t>
      </w:r>
      <w:r w:rsidRPr="00A35C95">
        <w:t>means a financial benefit exceeding $10 000 in value.</w:t>
      </w:r>
    </w:p>
    <w:p w14:paraId="7BCAF76D" w14:textId="77777777" w:rsidR="00E93F58" w:rsidRPr="00A35C95" w:rsidRDefault="00E93F58" w:rsidP="00366AB5">
      <w:pPr>
        <w:pStyle w:val="Definition"/>
        <w:tabs>
          <w:tab w:val="left" w:pos="2835"/>
        </w:tabs>
      </w:pPr>
      <w:r w:rsidRPr="00A35C95">
        <w:rPr>
          <w:b/>
          <w:i/>
        </w:rPr>
        <w:t>material financial loss</w:t>
      </w:r>
      <w:r w:rsidRPr="00A35C95">
        <w:rPr>
          <w:b/>
        </w:rPr>
        <w:t xml:space="preserve"> </w:t>
      </w:r>
      <w:r w:rsidRPr="00A35C95">
        <w:t>means a financial loss exceeding $10 000 in value.</w:t>
      </w:r>
    </w:p>
    <w:p w14:paraId="34830988" w14:textId="77777777" w:rsidR="00E93F58" w:rsidRPr="00A35C95" w:rsidRDefault="00E93F58" w:rsidP="00366AB5">
      <w:pPr>
        <w:pStyle w:val="ActHead5"/>
        <w:tabs>
          <w:tab w:val="left" w:pos="2835"/>
        </w:tabs>
      </w:pPr>
      <w:bookmarkStart w:id="954" w:name="_Toc152058050"/>
      <w:bookmarkStart w:id="955" w:name="_Toc158712273"/>
      <w:r w:rsidRPr="00844D11">
        <w:rPr>
          <w:rStyle w:val="CharSectno"/>
        </w:rPr>
        <w:lastRenderedPageBreak/>
        <w:t>7.6.01C</w:t>
      </w:r>
      <w:r w:rsidRPr="00A35C95">
        <w:t xml:space="preserve">  Obligation to cite licence number in documents</w:t>
      </w:r>
      <w:bookmarkEnd w:id="954"/>
      <w:bookmarkEnd w:id="955"/>
    </w:p>
    <w:p w14:paraId="221186D7" w14:textId="77777777" w:rsidR="00E93F58" w:rsidRPr="00A35C95" w:rsidRDefault="00E93F58" w:rsidP="00366AB5">
      <w:pPr>
        <w:pStyle w:val="subsection"/>
        <w:tabs>
          <w:tab w:val="left" w:pos="2835"/>
        </w:tabs>
      </w:pPr>
      <w:r w:rsidRPr="00A35C95">
        <w:tab/>
        <w:t>(1)</w:t>
      </w:r>
      <w:r w:rsidRPr="00A35C95">
        <w:tab/>
        <w:t>For subsection 912F(1) of the Act, the following documents are specified:</w:t>
      </w:r>
    </w:p>
    <w:p w14:paraId="156EB72E" w14:textId="77777777" w:rsidR="00E93F58" w:rsidRPr="00BE1284" w:rsidRDefault="00E93F58" w:rsidP="001601D3">
      <w:pPr>
        <w:pStyle w:val="paragraph"/>
      </w:pPr>
      <w:r w:rsidRPr="00BE1284">
        <w:tab/>
        <w:t>(a)</w:t>
      </w:r>
      <w:r w:rsidRPr="00BE1284">
        <w:tab/>
        <w:t>a Financial Services Guide;</w:t>
      </w:r>
    </w:p>
    <w:p w14:paraId="537627B7" w14:textId="77777777" w:rsidR="00E93F58" w:rsidRPr="00BE1284" w:rsidRDefault="00E93F58" w:rsidP="001601D3">
      <w:pPr>
        <w:pStyle w:val="paragraph"/>
      </w:pPr>
      <w:r w:rsidRPr="00BE1284">
        <w:tab/>
        <w:t>(b)</w:t>
      </w:r>
      <w:r w:rsidRPr="00BE1284">
        <w:tab/>
        <w:t>a Supplementary Financial Services Guide;</w:t>
      </w:r>
    </w:p>
    <w:p w14:paraId="76DE86AC" w14:textId="77777777" w:rsidR="00E93F58" w:rsidRPr="00A35C95" w:rsidRDefault="00E93F58" w:rsidP="00366AB5">
      <w:pPr>
        <w:pStyle w:val="paragraph"/>
        <w:tabs>
          <w:tab w:val="left" w:pos="2835"/>
        </w:tabs>
      </w:pPr>
      <w:r w:rsidRPr="00A35C95">
        <w:tab/>
        <w:t>(c)</w:t>
      </w:r>
      <w:r w:rsidRPr="00A35C95">
        <w:tab/>
        <w:t>a Product Disclosure Statement;</w:t>
      </w:r>
    </w:p>
    <w:p w14:paraId="51E1639A" w14:textId="77777777" w:rsidR="00E93F58" w:rsidRPr="00BE1284" w:rsidRDefault="00E93F58" w:rsidP="001601D3">
      <w:pPr>
        <w:pStyle w:val="paragraph"/>
      </w:pPr>
      <w:r w:rsidRPr="00BE1284">
        <w:tab/>
        <w:t>(d)</w:t>
      </w:r>
      <w:r w:rsidRPr="00BE1284">
        <w:tab/>
        <w:t>a Supplementary Product Disclosure Statement;</w:t>
      </w:r>
    </w:p>
    <w:p w14:paraId="4EB6F32C" w14:textId="77777777" w:rsidR="00E93F58" w:rsidRPr="00BE1284" w:rsidRDefault="00E93F58" w:rsidP="001601D3">
      <w:pPr>
        <w:pStyle w:val="paragraph"/>
      </w:pPr>
      <w:r w:rsidRPr="00BE1284">
        <w:tab/>
        <w:t>(e)</w:t>
      </w:r>
      <w:r w:rsidRPr="00BE1284">
        <w:tab/>
        <w:t>a Statement of Advice;</w:t>
      </w:r>
    </w:p>
    <w:p w14:paraId="5B9BABDC" w14:textId="77777777" w:rsidR="00E93F58" w:rsidRPr="00A35C95" w:rsidRDefault="00E93F58" w:rsidP="00366AB5">
      <w:pPr>
        <w:pStyle w:val="paragraph"/>
        <w:tabs>
          <w:tab w:val="left" w:pos="2835"/>
        </w:tabs>
      </w:pPr>
      <w:r w:rsidRPr="00A35C95">
        <w:tab/>
        <w:t>(f)</w:t>
      </w:r>
      <w:r w:rsidRPr="00A35C95">
        <w:tab/>
        <w:t>an application form for an application under section 1016A of the Act;</w:t>
      </w:r>
    </w:p>
    <w:p w14:paraId="7E1CFEB2" w14:textId="77777777" w:rsidR="00E93F58" w:rsidRPr="00A35C95" w:rsidRDefault="00E93F58" w:rsidP="00366AB5">
      <w:pPr>
        <w:pStyle w:val="paragraph"/>
        <w:tabs>
          <w:tab w:val="left" w:pos="2835"/>
        </w:tabs>
      </w:pPr>
      <w:r w:rsidRPr="00A35C95">
        <w:tab/>
        <w:t>(g)</w:t>
      </w:r>
      <w:r w:rsidRPr="00A35C95">
        <w:tab/>
        <w:t>a document containing information required by regulations made under section 1017DA of the Act;</w:t>
      </w:r>
    </w:p>
    <w:p w14:paraId="3963E275" w14:textId="77777777" w:rsidR="00E93F58" w:rsidRPr="00A35C95" w:rsidRDefault="00E93F58" w:rsidP="00366AB5">
      <w:pPr>
        <w:pStyle w:val="paragraph"/>
        <w:tabs>
          <w:tab w:val="left" w:pos="2835"/>
        </w:tabs>
      </w:pPr>
      <w:r w:rsidRPr="00A35C95">
        <w:tab/>
        <w:t>(h)</w:t>
      </w:r>
      <w:r w:rsidRPr="00A35C95">
        <w:tab/>
        <w:t>a document prepared for section 1017B of the Act, notifying a person of changes and events;</w:t>
      </w:r>
    </w:p>
    <w:p w14:paraId="47F37CA4" w14:textId="77777777" w:rsidR="00E93F58" w:rsidRPr="00A35C95" w:rsidRDefault="00E93F58" w:rsidP="00366AB5">
      <w:pPr>
        <w:pStyle w:val="paragraph"/>
        <w:tabs>
          <w:tab w:val="left" w:pos="2835"/>
        </w:tabs>
      </w:pPr>
      <w:r w:rsidRPr="00A35C95">
        <w:tab/>
        <w:t>(i)</w:t>
      </w:r>
      <w:r w:rsidRPr="00A35C95">
        <w:tab/>
        <w:t>a Replacement Product Disclosure Statement.</w:t>
      </w:r>
    </w:p>
    <w:p w14:paraId="63018D1F" w14:textId="77777777" w:rsidR="00E93F58" w:rsidRPr="00A35C95" w:rsidRDefault="00E93F58" w:rsidP="00366AB5">
      <w:pPr>
        <w:pStyle w:val="subsection"/>
        <w:tabs>
          <w:tab w:val="left" w:pos="2835"/>
        </w:tabs>
      </w:pPr>
      <w:r w:rsidRPr="00A35C95">
        <w:tab/>
        <w:t>(2)</w:t>
      </w:r>
      <w:r w:rsidRPr="00A35C95">
        <w:tab/>
        <w:t>On and after 1 July 2004, for subsection 912F(1) of the Act, a periodic statement under section 1017D of the Act is specified.</w:t>
      </w:r>
    </w:p>
    <w:p w14:paraId="4D8FCD88" w14:textId="77777777" w:rsidR="00E93F58" w:rsidRPr="00A35C95" w:rsidRDefault="00E93F58" w:rsidP="00366AB5">
      <w:pPr>
        <w:pStyle w:val="ActHead5"/>
        <w:tabs>
          <w:tab w:val="left" w:pos="2835"/>
        </w:tabs>
      </w:pPr>
      <w:bookmarkStart w:id="956" w:name="_Toc152058051"/>
      <w:bookmarkStart w:id="957" w:name="_Toc158712274"/>
      <w:r w:rsidRPr="00844D11">
        <w:rPr>
          <w:rStyle w:val="CharSectno"/>
        </w:rPr>
        <w:t>7.6.02</w:t>
      </w:r>
      <w:r w:rsidRPr="00A35C95">
        <w:rPr>
          <w:sz w:val="16"/>
        </w:rPr>
        <w:t xml:space="preserve">  </w:t>
      </w:r>
      <w:r w:rsidRPr="00A35C95">
        <w:t>Alternative dispute resolution systems</w:t>
      </w:r>
      <w:bookmarkEnd w:id="956"/>
      <w:bookmarkEnd w:id="957"/>
    </w:p>
    <w:p w14:paraId="20CCAA22" w14:textId="77777777" w:rsidR="00E93F58" w:rsidRPr="00A35C95" w:rsidRDefault="00E93F58" w:rsidP="00366AB5">
      <w:pPr>
        <w:pStyle w:val="subsection"/>
        <w:keepNext/>
        <w:keepLines/>
        <w:tabs>
          <w:tab w:val="left" w:pos="2835"/>
        </w:tabs>
      </w:pPr>
      <w:r w:rsidRPr="00A35C95">
        <w:tab/>
        <w:t>(1)</w:t>
      </w:r>
      <w:r w:rsidRPr="00A35C95">
        <w:tab/>
        <w:t>For subparagraph 912A(2)(a)(i) of the Act, ASIC must take the following matters into account when considering whether to make or approve standards or requirements relating to internal dispute resolution:</w:t>
      </w:r>
    </w:p>
    <w:p w14:paraId="66A79804" w14:textId="77777777" w:rsidR="00E93F58" w:rsidRPr="00A35C95" w:rsidRDefault="00E93F58" w:rsidP="00366AB5">
      <w:pPr>
        <w:pStyle w:val="paragraph"/>
        <w:tabs>
          <w:tab w:val="left" w:pos="2835"/>
        </w:tabs>
      </w:pPr>
      <w:r w:rsidRPr="00A35C95">
        <w:tab/>
        <w:t>(a)</w:t>
      </w:r>
      <w:r w:rsidRPr="00A35C95">
        <w:tab/>
        <w:t xml:space="preserve">Australian/New Zealand Standard AS/NZS 10002:2014 </w:t>
      </w:r>
      <w:r w:rsidRPr="00A35C95">
        <w:rPr>
          <w:i/>
        </w:rPr>
        <w:t>Guidelines for complaint management in organizations</w:t>
      </w:r>
      <w:r w:rsidRPr="00A35C95">
        <w:t xml:space="preserve"> published jointly by, or on behalf of, Standards Australia and Standards New Zealand, as in force or existing on 29 October 2014;</w:t>
      </w:r>
    </w:p>
    <w:p w14:paraId="467FBE19" w14:textId="77777777" w:rsidR="00E93F58" w:rsidRPr="00A35C95" w:rsidRDefault="00E93F58" w:rsidP="00366AB5">
      <w:pPr>
        <w:pStyle w:val="paragraph"/>
        <w:tabs>
          <w:tab w:val="left" w:pos="2835"/>
        </w:tabs>
      </w:pPr>
      <w:r w:rsidRPr="00A35C95">
        <w:rPr>
          <w:color w:val="000000"/>
        </w:rPr>
        <w:tab/>
        <w:t>(b)</w:t>
      </w:r>
      <w:r w:rsidRPr="00A35C95">
        <w:rPr>
          <w:color w:val="000000"/>
        </w:rPr>
        <w:tab/>
        <w:t>any other matter ASIC considers relevant.</w:t>
      </w:r>
    </w:p>
    <w:p w14:paraId="2DACAD75" w14:textId="77777777" w:rsidR="00E93F58" w:rsidRPr="00A35C95" w:rsidRDefault="00E93F58" w:rsidP="00366AB5">
      <w:pPr>
        <w:pStyle w:val="subsection"/>
        <w:tabs>
          <w:tab w:val="left" w:pos="2835"/>
        </w:tabs>
      </w:pPr>
      <w:r w:rsidRPr="00A35C95">
        <w:tab/>
        <w:t>(2)</w:t>
      </w:r>
      <w:r w:rsidRPr="00A35C95">
        <w:tab/>
        <w:t>ASIC may:</w:t>
      </w:r>
    </w:p>
    <w:p w14:paraId="54873C51" w14:textId="77777777" w:rsidR="00E93F58" w:rsidRPr="00A35C95" w:rsidRDefault="00E93F58" w:rsidP="00366AB5">
      <w:pPr>
        <w:pStyle w:val="paragraph"/>
        <w:tabs>
          <w:tab w:val="left" w:pos="2835"/>
        </w:tabs>
      </w:pPr>
      <w:r w:rsidRPr="00A35C95">
        <w:rPr>
          <w:color w:val="000000"/>
        </w:rPr>
        <w:tab/>
        <w:t>(a)</w:t>
      </w:r>
      <w:r w:rsidRPr="00A35C95">
        <w:rPr>
          <w:color w:val="000000"/>
        </w:rPr>
        <w:tab/>
        <w:t>vary or revoke a standard or requirement that it has made in relation to an internal dispute resolution procedure; and</w:t>
      </w:r>
    </w:p>
    <w:p w14:paraId="6321CEF5" w14:textId="77777777" w:rsidR="00E93F58" w:rsidRPr="00A35C95" w:rsidRDefault="00E93F58" w:rsidP="00366AB5">
      <w:pPr>
        <w:pStyle w:val="paragraph"/>
        <w:tabs>
          <w:tab w:val="left" w:pos="2835"/>
        </w:tabs>
      </w:pPr>
      <w:r w:rsidRPr="00A35C95">
        <w:tab/>
        <w:t>(b)</w:t>
      </w:r>
      <w:r w:rsidRPr="00A35C95">
        <w:tab/>
        <w:t>vary or revoke the operation of a standard or requirement that it has approved in its application to an internal dispute resolution procedure.</w:t>
      </w:r>
    </w:p>
    <w:p w14:paraId="230D7D8C" w14:textId="77777777" w:rsidR="00E93F58" w:rsidRPr="00A35C95" w:rsidRDefault="00E93F58" w:rsidP="00366AB5">
      <w:pPr>
        <w:pStyle w:val="subsection"/>
        <w:tabs>
          <w:tab w:val="left" w:pos="2835"/>
        </w:tabs>
      </w:pPr>
      <w:r w:rsidRPr="00A35C95">
        <w:tab/>
        <w:t>(5)</w:t>
      </w:r>
      <w:r w:rsidRPr="00A35C95">
        <w:tab/>
        <w:t>For paragraph 926B(1)(a) of the Act, a financial services licensee who provides a financial service in the capacity of any of the following:</w:t>
      </w:r>
    </w:p>
    <w:p w14:paraId="579636F4" w14:textId="77777777" w:rsidR="00E93F58" w:rsidRPr="00A35C95" w:rsidRDefault="00E93F58" w:rsidP="00366AB5">
      <w:pPr>
        <w:pStyle w:val="paragraph"/>
        <w:tabs>
          <w:tab w:val="left" w:pos="2835"/>
        </w:tabs>
      </w:pPr>
      <w:r w:rsidRPr="00A35C95">
        <w:tab/>
        <w:t>(a)</w:t>
      </w:r>
      <w:r w:rsidRPr="00A35C95">
        <w:tab/>
        <w:t>a trustee appointed under the will or on the intestacy of a person;</w:t>
      </w:r>
    </w:p>
    <w:p w14:paraId="38C71957" w14:textId="77777777" w:rsidR="00E93F58" w:rsidRPr="00A35C95" w:rsidRDefault="00E93F58" w:rsidP="00366AB5">
      <w:pPr>
        <w:pStyle w:val="paragraph"/>
        <w:tabs>
          <w:tab w:val="left" w:pos="2835"/>
        </w:tabs>
      </w:pPr>
      <w:r w:rsidRPr="00A35C95">
        <w:tab/>
        <w:t>(b)</w:t>
      </w:r>
      <w:r w:rsidRPr="00A35C95">
        <w:tab/>
        <w:t>a trustee appointed under an express trust if:</w:t>
      </w:r>
    </w:p>
    <w:p w14:paraId="4923EB42" w14:textId="77777777" w:rsidR="00E93F58" w:rsidRPr="00A35C95" w:rsidRDefault="00E93F58" w:rsidP="00366AB5">
      <w:pPr>
        <w:pStyle w:val="paragraphsub"/>
        <w:tabs>
          <w:tab w:val="left" w:pos="2835"/>
        </w:tabs>
      </w:pPr>
      <w:r w:rsidRPr="00A35C95">
        <w:tab/>
        <w:t>(i)</w:t>
      </w:r>
      <w:r w:rsidRPr="00A35C95">
        <w:tab/>
        <w:t>the settlor is a natural person; and</w:t>
      </w:r>
    </w:p>
    <w:p w14:paraId="020515DA" w14:textId="77777777" w:rsidR="00E93F58" w:rsidRPr="00A35C95" w:rsidRDefault="00E93F58" w:rsidP="00366AB5">
      <w:pPr>
        <w:pStyle w:val="paragraphsub"/>
        <w:tabs>
          <w:tab w:val="left" w:pos="2835"/>
        </w:tabs>
      </w:pPr>
      <w:r w:rsidRPr="00A35C95">
        <w:tab/>
        <w:t>(ii)</w:t>
      </w:r>
      <w:r w:rsidRPr="00A35C95">
        <w:tab/>
        <w:t>the interest in the trust is not a financial product;</w:t>
      </w:r>
    </w:p>
    <w:p w14:paraId="1823FBA1" w14:textId="77777777" w:rsidR="00E93F58" w:rsidRPr="00A35C95" w:rsidRDefault="00E93F58" w:rsidP="00366AB5">
      <w:pPr>
        <w:pStyle w:val="paragraph"/>
        <w:tabs>
          <w:tab w:val="left" w:pos="2835"/>
        </w:tabs>
      </w:pPr>
      <w:r w:rsidRPr="00A35C95">
        <w:tab/>
        <w:t>(c)</w:t>
      </w:r>
      <w:r w:rsidRPr="00A35C95">
        <w:tab/>
        <w:t>an attorney appointed under an enduring power of attorney;</w:t>
      </w:r>
    </w:p>
    <w:p w14:paraId="37790225" w14:textId="77777777" w:rsidR="00E93F58" w:rsidRPr="00A35C95" w:rsidRDefault="00E93F58" w:rsidP="00366AB5">
      <w:pPr>
        <w:pStyle w:val="subsection2"/>
        <w:tabs>
          <w:tab w:val="left" w:pos="2835"/>
        </w:tabs>
      </w:pPr>
      <w:r w:rsidRPr="00A35C95">
        <w:t>does not have to comply with paragraph 912A(2)(c) of the Act in relation to the provision of the service if complaints about the service provided by the licensee may be made to the Ombudsman of a State or Territory.</w:t>
      </w:r>
    </w:p>
    <w:p w14:paraId="385407D4" w14:textId="77777777" w:rsidR="00E93F58" w:rsidRPr="00A35C95" w:rsidRDefault="00E93F58" w:rsidP="00366AB5">
      <w:pPr>
        <w:pStyle w:val="subsection"/>
        <w:tabs>
          <w:tab w:val="left" w:pos="2835"/>
        </w:tabs>
      </w:pPr>
      <w:r w:rsidRPr="00A35C95">
        <w:tab/>
        <w:t>(6)</w:t>
      </w:r>
      <w:r w:rsidRPr="00A35C95">
        <w:tab/>
        <w:t>For paragraph 926B(1)(a) of the Act, a financial services licensee who provides a financial service in the capacity as administrator of the estate of an individual does not have to comply with paragraph 912A(1)(g) of the Act in relation to the provision of the service if complaints about the service provided by the licensee may be made under a State or Territory law listed in Schedule 8AC.</w:t>
      </w:r>
    </w:p>
    <w:p w14:paraId="0ABD2750" w14:textId="77777777" w:rsidR="00E93F58" w:rsidRPr="00A35C95" w:rsidRDefault="00E93F58" w:rsidP="00366AB5">
      <w:pPr>
        <w:pStyle w:val="ActHead5"/>
        <w:tabs>
          <w:tab w:val="left" w:pos="2835"/>
        </w:tabs>
      </w:pPr>
      <w:bookmarkStart w:id="958" w:name="_Toc152058052"/>
      <w:bookmarkStart w:id="959" w:name="_Toc158712275"/>
      <w:r w:rsidRPr="00844D11">
        <w:rPr>
          <w:rStyle w:val="CharSectno"/>
        </w:rPr>
        <w:t>7.6.02AAA</w:t>
      </w:r>
      <w:r w:rsidRPr="00A35C95">
        <w:t xml:space="preserve">  </w:t>
      </w:r>
      <w:r w:rsidRPr="00267793">
        <w:t>Arrangements for compensation</w:t>
      </w:r>
      <w:r w:rsidRPr="00A35C95">
        <w:t xml:space="preserve"> if financial services provided to persons as retail clients (Act s 912B)</w:t>
      </w:r>
      <w:bookmarkEnd w:id="958"/>
      <w:bookmarkEnd w:id="959"/>
    </w:p>
    <w:p w14:paraId="1599CCA1" w14:textId="77777777" w:rsidR="00E93F58" w:rsidRPr="00A35C95" w:rsidRDefault="00E93F58" w:rsidP="00366AB5">
      <w:pPr>
        <w:pStyle w:val="subsection"/>
        <w:tabs>
          <w:tab w:val="left" w:pos="2835"/>
        </w:tabs>
      </w:pPr>
      <w:r w:rsidRPr="00A35C95">
        <w:tab/>
        <w:t>(1)</w:t>
      </w:r>
      <w:r w:rsidRPr="00A35C95">
        <w:tab/>
        <w:t>For paragraph 912B(2)(a) of the Act, arrangements mentioned in subsection 912B(1) of the Act are, unless the financial services licensee is an exempt licensee, subject to the requirement that the licensee hold professional indemnity insurance cover that is adequate, having regard to:</w:t>
      </w:r>
    </w:p>
    <w:p w14:paraId="484C088A" w14:textId="77777777" w:rsidR="00E93F58" w:rsidRPr="00A35C95" w:rsidRDefault="00E93F58" w:rsidP="00366AB5">
      <w:pPr>
        <w:pStyle w:val="paragraph"/>
        <w:tabs>
          <w:tab w:val="left" w:pos="2835"/>
        </w:tabs>
      </w:pPr>
      <w:r w:rsidRPr="00A35C95">
        <w:tab/>
        <w:t>(a)</w:t>
      </w:r>
      <w:r w:rsidRPr="00A35C95">
        <w:tab/>
        <w:t>the licensee’s membership of the scheme mentioned in paragraph 912A(2)(c) of the Act, taking account of the maximum liability that has, realistically, some potential to arise in connection with:</w:t>
      </w:r>
    </w:p>
    <w:p w14:paraId="27F07DFC" w14:textId="77777777" w:rsidR="00E93F58" w:rsidRPr="00A35C95" w:rsidRDefault="00E93F58" w:rsidP="00366AB5">
      <w:pPr>
        <w:pStyle w:val="paragraphsub"/>
        <w:tabs>
          <w:tab w:val="left" w:pos="2835"/>
        </w:tabs>
      </w:pPr>
      <w:r w:rsidRPr="00A35C95">
        <w:tab/>
        <w:t>(i)</w:t>
      </w:r>
      <w:r w:rsidRPr="00A35C95">
        <w:tab/>
        <w:t>any particular claim against the licensee; and</w:t>
      </w:r>
    </w:p>
    <w:p w14:paraId="501DFCF2" w14:textId="77777777" w:rsidR="00E93F58" w:rsidRPr="00A35C95" w:rsidRDefault="00E93F58" w:rsidP="00366AB5">
      <w:pPr>
        <w:pStyle w:val="paragraphsub"/>
        <w:tabs>
          <w:tab w:val="left" w:pos="2835"/>
        </w:tabs>
      </w:pPr>
      <w:r w:rsidRPr="00A35C95">
        <w:tab/>
        <w:t>(ii)</w:t>
      </w:r>
      <w:r w:rsidRPr="00A35C95">
        <w:tab/>
        <w:t>all claims in respect of which the licensee could be found to have liability; and</w:t>
      </w:r>
    </w:p>
    <w:p w14:paraId="297DA5EF" w14:textId="77777777" w:rsidR="00E93F58" w:rsidRPr="00A35C95" w:rsidRDefault="00E93F58" w:rsidP="00366AB5">
      <w:pPr>
        <w:pStyle w:val="paragraph"/>
        <w:tabs>
          <w:tab w:val="left" w:pos="2835"/>
        </w:tabs>
      </w:pPr>
      <w:r w:rsidRPr="00A35C95">
        <w:tab/>
        <w:t>(b)</w:t>
      </w:r>
      <w:r w:rsidRPr="00A35C95">
        <w:tab/>
        <w:t>relevant considerations in relation to the financial services business carried on by the licensee, including:</w:t>
      </w:r>
    </w:p>
    <w:p w14:paraId="54538961" w14:textId="77777777" w:rsidR="00E93F58" w:rsidRPr="00A35C95" w:rsidRDefault="00E93F58" w:rsidP="00366AB5">
      <w:pPr>
        <w:pStyle w:val="paragraphsub"/>
        <w:tabs>
          <w:tab w:val="left" w:pos="2835"/>
        </w:tabs>
      </w:pPr>
      <w:r w:rsidRPr="00A35C95">
        <w:lastRenderedPageBreak/>
        <w:tab/>
        <w:t>(i)</w:t>
      </w:r>
      <w:r w:rsidRPr="00A35C95">
        <w:tab/>
        <w:t>the volume of business; and</w:t>
      </w:r>
    </w:p>
    <w:p w14:paraId="23CA39FD" w14:textId="77777777" w:rsidR="00E93F58" w:rsidRPr="00A35C95" w:rsidRDefault="00E93F58" w:rsidP="00366AB5">
      <w:pPr>
        <w:pStyle w:val="paragraphsub"/>
        <w:tabs>
          <w:tab w:val="left" w:pos="2835"/>
        </w:tabs>
      </w:pPr>
      <w:r w:rsidRPr="00A35C95">
        <w:tab/>
        <w:t>(ii)</w:t>
      </w:r>
      <w:r w:rsidRPr="00A35C95">
        <w:tab/>
        <w:t>the number and kind of clients; and</w:t>
      </w:r>
    </w:p>
    <w:p w14:paraId="201F5A08" w14:textId="77777777" w:rsidR="00E93F58" w:rsidRPr="00A35C95" w:rsidRDefault="00E93F58" w:rsidP="00366AB5">
      <w:pPr>
        <w:pStyle w:val="paragraphsub"/>
        <w:tabs>
          <w:tab w:val="left" w:pos="2835"/>
        </w:tabs>
      </w:pPr>
      <w:r w:rsidRPr="00A35C95">
        <w:tab/>
        <w:t>(iii)</w:t>
      </w:r>
      <w:r w:rsidRPr="00A35C95">
        <w:tab/>
        <w:t>the kind, or kinds, of business; and</w:t>
      </w:r>
    </w:p>
    <w:p w14:paraId="6DCDA471" w14:textId="77777777" w:rsidR="00E93F58" w:rsidRPr="00A35C95" w:rsidRDefault="00E93F58" w:rsidP="00366AB5">
      <w:pPr>
        <w:pStyle w:val="paragraphsub"/>
        <w:tabs>
          <w:tab w:val="left" w:pos="2835"/>
        </w:tabs>
      </w:pPr>
      <w:r w:rsidRPr="00A35C95">
        <w:tab/>
        <w:t>(iv)</w:t>
      </w:r>
      <w:r w:rsidRPr="00A35C95">
        <w:tab/>
        <w:t>the number of representatives of the licensee.</w:t>
      </w:r>
    </w:p>
    <w:p w14:paraId="052A8475" w14:textId="77777777" w:rsidR="00E93F58" w:rsidRPr="00A35C95" w:rsidRDefault="00E93F58" w:rsidP="00366AB5">
      <w:pPr>
        <w:pStyle w:val="subsection"/>
        <w:tabs>
          <w:tab w:val="left" w:pos="2835"/>
        </w:tabs>
      </w:pPr>
      <w:r w:rsidRPr="00A35C95">
        <w:tab/>
        <w:t>(2)</w:t>
      </w:r>
      <w:r w:rsidRPr="00A35C95">
        <w:tab/>
        <w:t>For paragraph 912B(3)(c) of the Act, a matter that ASIC must have regard to, before approving particular arrangements under paragraph 912B(2)(b) of the Act, is whether those arrangements provide coverage that is adequate, having regard to matters of the kind mentioned in subregulation (1).</w:t>
      </w:r>
    </w:p>
    <w:p w14:paraId="4B28244A" w14:textId="77777777" w:rsidR="00E93F58" w:rsidRPr="00A35C95" w:rsidRDefault="00E93F58" w:rsidP="00366AB5">
      <w:pPr>
        <w:pStyle w:val="subsection"/>
        <w:tabs>
          <w:tab w:val="left" w:pos="2835"/>
        </w:tabs>
      </w:pPr>
      <w:r w:rsidRPr="00A35C95">
        <w:tab/>
        <w:t>(3)</w:t>
      </w:r>
      <w:r w:rsidRPr="00A35C95">
        <w:tab/>
        <w:t xml:space="preserve">In this regulation, </w:t>
      </w:r>
      <w:r w:rsidRPr="00A35C95">
        <w:rPr>
          <w:b/>
          <w:i/>
        </w:rPr>
        <w:t>exempt licensee</w:t>
      </w:r>
      <w:r w:rsidRPr="00A35C95">
        <w:t xml:space="preserve"> means:</w:t>
      </w:r>
    </w:p>
    <w:p w14:paraId="5E051607" w14:textId="77777777" w:rsidR="00E93F58" w:rsidRPr="00A35C95" w:rsidRDefault="00E93F58" w:rsidP="00366AB5">
      <w:pPr>
        <w:pStyle w:val="paragraph"/>
        <w:tabs>
          <w:tab w:val="left" w:pos="2835"/>
        </w:tabs>
      </w:pPr>
      <w:r w:rsidRPr="00A35C95">
        <w:tab/>
        <w:t>(a)</w:t>
      </w:r>
      <w:r w:rsidRPr="00A35C95">
        <w:tab/>
        <w:t>a company or institution of any of the following kinds:</w:t>
      </w:r>
    </w:p>
    <w:p w14:paraId="042B0102" w14:textId="77777777" w:rsidR="00E93F58" w:rsidRPr="00A35C95" w:rsidRDefault="00E93F58" w:rsidP="00366AB5">
      <w:pPr>
        <w:pStyle w:val="paragraphsub"/>
        <w:tabs>
          <w:tab w:val="left" w:pos="2835"/>
        </w:tabs>
      </w:pPr>
      <w:r w:rsidRPr="00A35C95">
        <w:tab/>
        <w:t>(i)</w:t>
      </w:r>
      <w:r w:rsidRPr="00A35C95">
        <w:tab/>
        <w:t xml:space="preserve">a general insurance company regulated by APRA under the </w:t>
      </w:r>
      <w:r w:rsidRPr="00A35C95">
        <w:rPr>
          <w:i/>
        </w:rPr>
        <w:t>Insurance Act 1973</w:t>
      </w:r>
      <w:r w:rsidRPr="00A35C95">
        <w:t>;</w:t>
      </w:r>
    </w:p>
    <w:p w14:paraId="00D263E0" w14:textId="77777777" w:rsidR="00E93F58" w:rsidRPr="00A35C95" w:rsidRDefault="00E93F58" w:rsidP="00366AB5">
      <w:pPr>
        <w:pStyle w:val="paragraphsub"/>
        <w:tabs>
          <w:tab w:val="left" w:pos="2835"/>
        </w:tabs>
      </w:pPr>
      <w:r w:rsidRPr="00A35C95">
        <w:tab/>
        <w:t>(ii)</w:t>
      </w:r>
      <w:r w:rsidRPr="00A35C95">
        <w:tab/>
        <w:t xml:space="preserve">a life insurance company regulated by APRA under the </w:t>
      </w:r>
      <w:r w:rsidRPr="00A35C95">
        <w:rPr>
          <w:i/>
        </w:rPr>
        <w:t>Life Insurance Act 1995</w:t>
      </w:r>
      <w:r w:rsidRPr="00A35C95">
        <w:t>;</w:t>
      </w:r>
    </w:p>
    <w:p w14:paraId="224E3A0E" w14:textId="77777777" w:rsidR="00E93F58" w:rsidRPr="00A35C95" w:rsidRDefault="00E93F58" w:rsidP="00366AB5">
      <w:pPr>
        <w:pStyle w:val="paragraphsub"/>
        <w:tabs>
          <w:tab w:val="left" w:pos="2835"/>
        </w:tabs>
      </w:pPr>
      <w:r w:rsidRPr="00A35C95">
        <w:tab/>
        <w:t>(iii)</w:t>
      </w:r>
      <w:r w:rsidRPr="00A35C95">
        <w:tab/>
        <w:t>an authorised deposit</w:t>
      </w:r>
      <w:r>
        <w:noBreakHyphen/>
      </w:r>
      <w:r w:rsidRPr="00A35C95">
        <w:t xml:space="preserve">taking institution regulated by APRA under the </w:t>
      </w:r>
      <w:r w:rsidRPr="00A35C95">
        <w:rPr>
          <w:i/>
        </w:rPr>
        <w:t>Banking Act 1959</w:t>
      </w:r>
      <w:r w:rsidRPr="00A35C95">
        <w:t>; or</w:t>
      </w:r>
    </w:p>
    <w:p w14:paraId="2E15EEF9" w14:textId="77777777" w:rsidR="00E93F58" w:rsidRPr="00A35C95" w:rsidRDefault="00E93F58" w:rsidP="00366AB5">
      <w:pPr>
        <w:pStyle w:val="paragraph"/>
        <w:tabs>
          <w:tab w:val="left" w:pos="2835"/>
        </w:tabs>
      </w:pPr>
      <w:r w:rsidRPr="00A35C95">
        <w:tab/>
        <w:t>(b)</w:t>
      </w:r>
      <w:r w:rsidRPr="00A35C95">
        <w:tab/>
        <w:t>a licensee (</w:t>
      </w:r>
      <w:r w:rsidRPr="00A35C95">
        <w:rPr>
          <w:b/>
          <w:i/>
        </w:rPr>
        <w:t>related licensee</w:t>
      </w:r>
      <w:r w:rsidRPr="00A35C95">
        <w:t>):</w:t>
      </w:r>
    </w:p>
    <w:p w14:paraId="1A7D9B2B" w14:textId="77777777" w:rsidR="00E93F58" w:rsidRPr="00A35C95" w:rsidRDefault="00E93F58" w:rsidP="00366AB5">
      <w:pPr>
        <w:pStyle w:val="paragraphsub"/>
        <w:tabs>
          <w:tab w:val="left" w:pos="2835"/>
        </w:tabs>
      </w:pPr>
      <w:r w:rsidRPr="00A35C95">
        <w:tab/>
        <w:t>(i)</w:t>
      </w:r>
      <w:r w:rsidRPr="00A35C95">
        <w:tab/>
        <w:t>that is related, within the meaning of section 50 of the Act, to a company or institution mentioned in paragraph (a); and</w:t>
      </w:r>
    </w:p>
    <w:p w14:paraId="5FB66E23" w14:textId="77777777" w:rsidR="00E93F58" w:rsidRPr="00A35C95" w:rsidRDefault="00E93F58" w:rsidP="00366AB5">
      <w:pPr>
        <w:pStyle w:val="paragraphsub"/>
        <w:tabs>
          <w:tab w:val="left" w:pos="2835"/>
        </w:tabs>
      </w:pPr>
      <w:r w:rsidRPr="00A35C95">
        <w:tab/>
        <w:t>(ii)</w:t>
      </w:r>
      <w:r w:rsidRPr="00A35C95">
        <w:tab/>
        <w:t>in respect of which the company or institution has provided a guarantee that:</w:t>
      </w:r>
    </w:p>
    <w:p w14:paraId="74AC2F08" w14:textId="77777777" w:rsidR="00E93F58" w:rsidRPr="00A35C95" w:rsidRDefault="00E93F58" w:rsidP="00366AB5">
      <w:pPr>
        <w:pStyle w:val="paragraphsub-sub"/>
        <w:tabs>
          <w:tab w:val="left" w:pos="2835"/>
        </w:tabs>
      </w:pPr>
      <w:r w:rsidRPr="00A35C95">
        <w:tab/>
        <w:t>(A)</w:t>
      </w:r>
      <w:r w:rsidRPr="00A35C95">
        <w:tab/>
        <w:t>ensures payment of the obligations of the related licensee to its retail clients to an extent that is adequate within the meaning of subregulation (1); and</w:t>
      </w:r>
    </w:p>
    <w:p w14:paraId="0C95473C" w14:textId="77777777" w:rsidR="00E93F58" w:rsidRPr="00A35C95" w:rsidRDefault="00E93F58" w:rsidP="00366AB5">
      <w:pPr>
        <w:pStyle w:val="paragraphsub-sub"/>
        <w:tabs>
          <w:tab w:val="left" w:pos="2835"/>
        </w:tabs>
      </w:pPr>
      <w:r w:rsidRPr="00A35C95">
        <w:tab/>
        <w:t>(B)</w:t>
      </w:r>
      <w:r w:rsidRPr="00A35C95">
        <w:tab/>
        <w:t>is approved in writing by ASIC.</w:t>
      </w:r>
    </w:p>
    <w:p w14:paraId="55DA900D" w14:textId="77777777" w:rsidR="00E93F58" w:rsidRPr="00A35C95" w:rsidRDefault="00E93F58" w:rsidP="00366AB5">
      <w:pPr>
        <w:pStyle w:val="notetext"/>
        <w:tabs>
          <w:tab w:val="left" w:pos="2835"/>
        </w:tabs>
      </w:pPr>
      <w:r w:rsidRPr="00A35C95">
        <w:t>Note:</w:t>
      </w:r>
      <w:r w:rsidRPr="00A35C95">
        <w:tab/>
        <w:t>A decision to refuse to approve a guarantee is a reviewable decision under section 1317B of the Act.</w:t>
      </w:r>
    </w:p>
    <w:p w14:paraId="3CD538F6" w14:textId="77777777" w:rsidR="00E93F58" w:rsidRPr="00A35C95" w:rsidRDefault="00E93F58" w:rsidP="00366AB5">
      <w:pPr>
        <w:pStyle w:val="SubsectionHead"/>
        <w:tabs>
          <w:tab w:val="left" w:pos="2835"/>
        </w:tabs>
      </w:pPr>
      <w:r w:rsidRPr="00A35C95">
        <w:t>Security bonds held by ASIC</w:t>
      </w:r>
    </w:p>
    <w:p w14:paraId="5AF700F8" w14:textId="77777777" w:rsidR="00E93F58" w:rsidRPr="00A35C95" w:rsidRDefault="00E93F58" w:rsidP="00366AB5">
      <w:pPr>
        <w:pStyle w:val="subsection"/>
        <w:tabs>
          <w:tab w:val="left" w:pos="2835"/>
        </w:tabs>
      </w:pPr>
      <w:r w:rsidRPr="00A35C95">
        <w:tab/>
        <w:t>(4)</w:t>
      </w:r>
      <w:r w:rsidRPr="00A35C95">
        <w:tab/>
        <w:t>A security bond lodged with ASIC by a licensee in consequence of the operation of regulation 7.6.02AA (as affected by any instrument made by ASIC under paragraph 926A(2)(c) of the Act) may be discharged or returned by ASIC (in whole or in part), without application from the licensee or surety who provided the security, in any of the following circumstances:</w:t>
      </w:r>
    </w:p>
    <w:p w14:paraId="50ED0E7F" w14:textId="77777777" w:rsidR="00E93F58" w:rsidRPr="00A35C95" w:rsidRDefault="00E93F58" w:rsidP="00366AB5">
      <w:pPr>
        <w:pStyle w:val="paragraph"/>
        <w:tabs>
          <w:tab w:val="left" w:pos="2835"/>
        </w:tabs>
      </w:pPr>
      <w:r w:rsidRPr="00A35C95">
        <w:tab/>
        <w:t>(a)</w:t>
      </w:r>
      <w:r w:rsidRPr="00A35C95">
        <w:tab/>
        <w:t>the licensee certifies, in the form approved by ASIC, that it holds professional indemnity insurance, or has an alternative compensation arrangement in place that provides compensation protection for clients of the licensee, that is adequate to cover claims to which the security bond could apply;</w:t>
      </w:r>
    </w:p>
    <w:p w14:paraId="31520743" w14:textId="77777777" w:rsidR="00E93F58" w:rsidRPr="00A35C95" w:rsidRDefault="00E93F58" w:rsidP="00366AB5">
      <w:pPr>
        <w:pStyle w:val="paragraph"/>
        <w:tabs>
          <w:tab w:val="left" w:pos="2835"/>
        </w:tabs>
      </w:pPr>
      <w:r w:rsidRPr="00A35C95">
        <w:tab/>
        <w:t>(b)</w:t>
      </w:r>
      <w:r w:rsidRPr="00A35C95">
        <w:tab/>
        <w:t>the licensee certifies, in the form approved by ASIC, that it holds professional indemnity insurance, or has an alternative compensation arrangement in place that, together with other financial resources available to it, provides compensation protection for clients of the licensee, that is adequate to cover claims to which the security bond could apply;</w:t>
      </w:r>
    </w:p>
    <w:p w14:paraId="32ED691C" w14:textId="77777777" w:rsidR="00E93F58" w:rsidRPr="00A35C95" w:rsidRDefault="00E93F58" w:rsidP="00366AB5">
      <w:pPr>
        <w:pStyle w:val="paragraph"/>
        <w:tabs>
          <w:tab w:val="left" w:pos="2835"/>
        </w:tabs>
      </w:pPr>
      <w:r w:rsidRPr="00A35C95">
        <w:tab/>
        <w:t>(c)</w:t>
      </w:r>
      <w:r w:rsidRPr="00A35C95">
        <w:tab/>
        <w:t>the licensee is a company or institution of any of the following kinds:</w:t>
      </w:r>
    </w:p>
    <w:p w14:paraId="58E633DB" w14:textId="77777777" w:rsidR="00E93F58" w:rsidRPr="00A35C95" w:rsidRDefault="00E93F58" w:rsidP="00366AB5">
      <w:pPr>
        <w:pStyle w:val="paragraphsub"/>
        <w:tabs>
          <w:tab w:val="left" w:pos="2835"/>
        </w:tabs>
      </w:pPr>
      <w:r w:rsidRPr="00A35C95">
        <w:tab/>
        <w:t>(i)</w:t>
      </w:r>
      <w:r w:rsidRPr="00A35C95">
        <w:tab/>
        <w:t xml:space="preserve">a general insurance company regulated by APRA under the </w:t>
      </w:r>
      <w:r w:rsidRPr="00A35C95">
        <w:rPr>
          <w:i/>
        </w:rPr>
        <w:t>Insurance Act 1973</w:t>
      </w:r>
      <w:r w:rsidRPr="00A35C95">
        <w:t>;</w:t>
      </w:r>
    </w:p>
    <w:p w14:paraId="12604CDA" w14:textId="77777777" w:rsidR="00E93F58" w:rsidRPr="00A35C95" w:rsidRDefault="00E93F58" w:rsidP="00366AB5">
      <w:pPr>
        <w:pStyle w:val="paragraphsub"/>
        <w:tabs>
          <w:tab w:val="left" w:pos="2835"/>
        </w:tabs>
      </w:pPr>
      <w:r w:rsidRPr="00A35C95">
        <w:tab/>
        <w:t>(ii)</w:t>
      </w:r>
      <w:r w:rsidRPr="00A35C95">
        <w:tab/>
        <w:t xml:space="preserve">a life insurance company regulated by APRA under the </w:t>
      </w:r>
      <w:r w:rsidRPr="00A35C95">
        <w:rPr>
          <w:i/>
        </w:rPr>
        <w:t>Life Insurance Act 1995</w:t>
      </w:r>
      <w:r w:rsidRPr="00A35C95">
        <w:t>;</w:t>
      </w:r>
    </w:p>
    <w:p w14:paraId="1370F714" w14:textId="77777777" w:rsidR="00E93F58" w:rsidRPr="00A35C95" w:rsidRDefault="00E93F58" w:rsidP="00366AB5">
      <w:pPr>
        <w:pStyle w:val="paragraphsub"/>
        <w:tabs>
          <w:tab w:val="left" w:pos="2835"/>
        </w:tabs>
      </w:pPr>
      <w:r w:rsidRPr="00A35C95">
        <w:tab/>
        <w:t>(iii)</w:t>
      </w:r>
      <w:r w:rsidRPr="00A35C95">
        <w:tab/>
        <w:t>an authorised deposit</w:t>
      </w:r>
      <w:r>
        <w:noBreakHyphen/>
      </w:r>
      <w:r w:rsidRPr="00A35C95">
        <w:t xml:space="preserve">taking institution regulated by APRA under the </w:t>
      </w:r>
      <w:r w:rsidRPr="00A35C95">
        <w:rPr>
          <w:i/>
        </w:rPr>
        <w:t>Banking Act 1959</w:t>
      </w:r>
      <w:r w:rsidRPr="00A35C95">
        <w:t>;</w:t>
      </w:r>
    </w:p>
    <w:p w14:paraId="6FC3705C" w14:textId="77777777" w:rsidR="00E93F58" w:rsidRPr="00A35C95" w:rsidRDefault="00E93F58" w:rsidP="00366AB5">
      <w:pPr>
        <w:pStyle w:val="paragraph"/>
        <w:tabs>
          <w:tab w:val="left" w:pos="2835"/>
        </w:tabs>
      </w:pPr>
      <w:r w:rsidRPr="00A35C95">
        <w:tab/>
        <w:t>(d)</w:t>
      </w:r>
      <w:r w:rsidRPr="00A35C95">
        <w:tab/>
        <w:t>the licensee certifies, in the form approved by ASIC, that it holds a guarantee given by a company or institution mentioned in paragraph (c) that, together with other financial resources available to it, provides compensation protection for clients of the licensee that is adequate to cover claims to which the security bond could apply.</w:t>
      </w:r>
    </w:p>
    <w:p w14:paraId="37BA7F2B" w14:textId="77777777" w:rsidR="00E93F58" w:rsidRPr="00A35C95" w:rsidRDefault="00E93F58" w:rsidP="00366AB5">
      <w:pPr>
        <w:pStyle w:val="notetext"/>
        <w:tabs>
          <w:tab w:val="left" w:pos="2835"/>
        </w:tabs>
      </w:pPr>
      <w:r w:rsidRPr="00A35C95">
        <w:t>Note:</w:t>
      </w:r>
      <w:r w:rsidRPr="00A35C95">
        <w:tab/>
        <w:t>A decision to refuse to approve a guarantee is a reviewable decision under section 1317B of the Act.</w:t>
      </w:r>
    </w:p>
    <w:p w14:paraId="08AD774E" w14:textId="77777777" w:rsidR="00E93F58" w:rsidRPr="00A35C95" w:rsidRDefault="00E93F58" w:rsidP="00366AB5">
      <w:pPr>
        <w:pStyle w:val="SubsectionHead"/>
        <w:tabs>
          <w:tab w:val="left" w:pos="2835"/>
        </w:tabs>
      </w:pPr>
      <w:r w:rsidRPr="00A35C95">
        <w:t>Transitional</w:t>
      </w:r>
    </w:p>
    <w:p w14:paraId="01C6A748" w14:textId="77777777" w:rsidR="00E93F58" w:rsidRPr="00A35C95" w:rsidRDefault="00E93F58" w:rsidP="00366AB5">
      <w:pPr>
        <w:pStyle w:val="subsection"/>
        <w:tabs>
          <w:tab w:val="left" w:pos="2835"/>
        </w:tabs>
      </w:pPr>
      <w:r w:rsidRPr="00A35C95">
        <w:tab/>
        <w:t>(5)</w:t>
      </w:r>
      <w:r w:rsidRPr="00A35C95">
        <w:tab/>
        <w:t>Subregulations (1), (2) and (3) take effect as follows:</w:t>
      </w:r>
    </w:p>
    <w:p w14:paraId="3D0C349F" w14:textId="77777777" w:rsidR="00E93F58" w:rsidRPr="00A35C95" w:rsidRDefault="00E93F58" w:rsidP="00366AB5">
      <w:pPr>
        <w:pStyle w:val="paragraph"/>
        <w:tabs>
          <w:tab w:val="left" w:pos="2835"/>
        </w:tabs>
      </w:pPr>
      <w:r w:rsidRPr="00A35C95">
        <w:tab/>
        <w:t>(a)</w:t>
      </w:r>
      <w:r w:rsidRPr="00A35C95">
        <w:tab/>
        <w:t xml:space="preserve">for a financial services licensee whose licence commences before </w:t>
      </w:r>
      <w:r>
        <w:t>1 January</w:t>
      </w:r>
      <w:r w:rsidRPr="00A35C95">
        <w:t xml:space="preserve"> 2008—on 1 July 2008;</w:t>
      </w:r>
    </w:p>
    <w:p w14:paraId="184B8BD6" w14:textId="77777777" w:rsidR="00E93F58" w:rsidRPr="00A35C95" w:rsidRDefault="00E93F58" w:rsidP="00366AB5">
      <w:pPr>
        <w:pStyle w:val="paragraph"/>
        <w:tabs>
          <w:tab w:val="left" w:pos="2835"/>
        </w:tabs>
      </w:pPr>
      <w:r w:rsidRPr="00A35C95">
        <w:tab/>
        <w:t>(b)</w:t>
      </w:r>
      <w:r w:rsidRPr="00A35C95">
        <w:tab/>
        <w:t xml:space="preserve">for a financial services licensee whose licence commences on or after </w:t>
      </w:r>
      <w:r>
        <w:t>1 January</w:t>
      </w:r>
      <w:r w:rsidRPr="00A35C95">
        <w:t xml:space="preserve"> 2008—on the date of commencement of the licence.</w:t>
      </w:r>
    </w:p>
    <w:p w14:paraId="25405395" w14:textId="77777777" w:rsidR="00E93F58" w:rsidRPr="00A35C95" w:rsidRDefault="00E93F58" w:rsidP="00366AB5">
      <w:pPr>
        <w:pStyle w:val="ActHead5"/>
        <w:tabs>
          <w:tab w:val="left" w:pos="2835"/>
        </w:tabs>
      </w:pPr>
      <w:bookmarkStart w:id="960" w:name="_Toc152058053"/>
      <w:bookmarkStart w:id="961" w:name="_Toc158712276"/>
      <w:r w:rsidRPr="00844D11">
        <w:rPr>
          <w:rStyle w:val="CharSectno"/>
        </w:rPr>
        <w:t>7.6.02AA</w:t>
      </w:r>
      <w:r w:rsidRPr="00A35C95">
        <w:t xml:space="preserve">  Modification of section 912B of the Act: professional indemnity insurance and security instead of </w:t>
      </w:r>
      <w:r w:rsidRPr="00267793">
        <w:t>arrangements for compensation</w:t>
      </w:r>
      <w:bookmarkEnd w:id="960"/>
      <w:bookmarkEnd w:id="961"/>
    </w:p>
    <w:p w14:paraId="2FD32F81" w14:textId="77777777" w:rsidR="00E93F58" w:rsidRPr="00A35C95" w:rsidRDefault="00E93F58" w:rsidP="00366AB5">
      <w:pPr>
        <w:pStyle w:val="subsection"/>
        <w:tabs>
          <w:tab w:val="left" w:pos="2835"/>
        </w:tabs>
      </w:pPr>
      <w:r w:rsidRPr="00A35C95">
        <w:tab/>
        <w:t>(1)</w:t>
      </w:r>
      <w:r w:rsidRPr="00A35C95">
        <w:tab/>
        <w:t>For paragraph 926B(1)(c) of the Act, Part 7.6 of the Act applies as if section 912B of the Act were modified by substituting that section with the following:</w:t>
      </w:r>
    </w:p>
    <w:p w14:paraId="53D2406D" w14:textId="77777777" w:rsidR="00E93F58" w:rsidRPr="00A35C95" w:rsidRDefault="00E93F58" w:rsidP="00366AB5">
      <w:pPr>
        <w:pStyle w:val="Specials"/>
        <w:tabs>
          <w:tab w:val="left" w:pos="2835"/>
        </w:tabs>
      </w:pPr>
      <w:r w:rsidRPr="00A35C95">
        <w:lastRenderedPageBreak/>
        <w:t>‘912B  Financial services provided to persons as retail clients—requirements in certain circumstances</w:t>
      </w:r>
    </w:p>
    <w:p w14:paraId="43FE8A43" w14:textId="77777777" w:rsidR="00E93F58" w:rsidRPr="00A35C95" w:rsidRDefault="00E93F58" w:rsidP="00366AB5">
      <w:pPr>
        <w:pStyle w:val="paragraph"/>
        <w:tabs>
          <w:tab w:val="left" w:pos="2835"/>
        </w:tabs>
      </w:pPr>
      <w:r w:rsidRPr="00A35C95">
        <w:tab/>
        <w:t>(1)</w:t>
      </w:r>
      <w:r w:rsidRPr="00A35C95">
        <w:tab/>
        <w:t>Subsection (2) applies in relation to a financial services licensee if the licensee’s financial services licence authorises the licensee to carry on an activity:</w:t>
      </w:r>
    </w:p>
    <w:p w14:paraId="170AFF10" w14:textId="77777777" w:rsidR="00E93F58" w:rsidRPr="00A35C95" w:rsidRDefault="00E93F58" w:rsidP="00366AB5">
      <w:pPr>
        <w:pStyle w:val="paragraphsub"/>
        <w:tabs>
          <w:tab w:val="left" w:pos="2835"/>
        </w:tabs>
      </w:pPr>
      <w:r w:rsidRPr="00A35C95">
        <w:tab/>
        <w:t>(a)</w:t>
      </w:r>
      <w:r w:rsidRPr="00A35C95">
        <w:tab/>
        <w:t xml:space="preserve">to which paragraph 19(1)(b) or subparagraph 31B(1)(a)(ii) or (b)(ii) of the </w:t>
      </w:r>
      <w:r w:rsidRPr="00A35C95">
        <w:rPr>
          <w:i/>
        </w:rPr>
        <w:t xml:space="preserve">Insurance (Agents and Brokers) Act 1984 </w:t>
      </w:r>
      <w:r w:rsidRPr="00A35C95">
        <w:t xml:space="preserve">(the </w:t>
      </w:r>
      <w:r w:rsidRPr="00A35C95">
        <w:rPr>
          <w:b/>
          <w:i/>
        </w:rPr>
        <w:t>repealed Act</w:t>
      </w:r>
      <w:r w:rsidRPr="00A35C95">
        <w:t>) would have applied if that Act were not repealed; and</w:t>
      </w:r>
    </w:p>
    <w:p w14:paraId="1BE7D0AC" w14:textId="77777777" w:rsidR="00E93F58" w:rsidRPr="00A35C95" w:rsidRDefault="00E93F58" w:rsidP="00366AB5">
      <w:pPr>
        <w:pStyle w:val="paragraphsub"/>
        <w:tabs>
          <w:tab w:val="left" w:pos="2835"/>
        </w:tabs>
      </w:pPr>
      <w:r w:rsidRPr="00A35C95">
        <w:tab/>
        <w:t>(b)</w:t>
      </w:r>
      <w:r w:rsidRPr="00A35C95">
        <w:tab/>
        <w:t>for which the licensee would have been required under those provisions to have in force an acceptable contract of professional indemnity insurance.</w:t>
      </w:r>
    </w:p>
    <w:p w14:paraId="273D1161" w14:textId="77777777" w:rsidR="00E93F58" w:rsidRPr="00A35C95" w:rsidRDefault="00E93F58" w:rsidP="00366AB5">
      <w:pPr>
        <w:pStyle w:val="paragraph"/>
        <w:tabs>
          <w:tab w:val="left" w:pos="2835"/>
        </w:tabs>
      </w:pPr>
      <w:r w:rsidRPr="00A35C95">
        <w:tab/>
        <w:t>(2)</w:t>
      </w:r>
      <w:r w:rsidRPr="00A35C95">
        <w:tab/>
        <w:t>The repealed Act, and any associated provisions, continue to apply in relation to the licensee to the extent necessary to require the licensee to have in force an acceptable contract of professional indemnity insurance in relation to the activity.</w:t>
      </w:r>
    </w:p>
    <w:p w14:paraId="6CD0873C" w14:textId="77777777" w:rsidR="00E93F58" w:rsidRPr="00A35C95" w:rsidRDefault="00E93F58" w:rsidP="00366AB5">
      <w:pPr>
        <w:pStyle w:val="paragraph"/>
        <w:tabs>
          <w:tab w:val="left" w:pos="2835"/>
        </w:tabs>
      </w:pPr>
      <w:r w:rsidRPr="00A35C95">
        <w:tab/>
        <w:t>(3)</w:t>
      </w:r>
      <w:r w:rsidRPr="00A35C95">
        <w:tab/>
        <w:t>Subsections (4) and (5) apply in relation to a financial services licensee if the licensee’s financial services licence authorises the licensee to carry on an activity:</w:t>
      </w:r>
    </w:p>
    <w:p w14:paraId="16E0F033" w14:textId="77777777" w:rsidR="00E93F58" w:rsidRPr="00A35C95" w:rsidRDefault="00E93F58" w:rsidP="00366AB5">
      <w:pPr>
        <w:pStyle w:val="paragraphsub"/>
        <w:tabs>
          <w:tab w:val="left" w:pos="2835"/>
        </w:tabs>
      </w:pPr>
      <w:r w:rsidRPr="00A35C95">
        <w:tab/>
        <w:t>(a)</w:t>
      </w:r>
      <w:r w:rsidRPr="00A35C95">
        <w:tab/>
        <w:t>to which Part 7.3 of the old Corporations Act would have applied if that Part were not repealed; and</w:t>
      </w:r>
    </w:p>
    <w:p w14:paraId="4E6BA17A" w14:textId="77777777" w:rsidR="00E93F58" w:rsidRPr="00A35C95" w:rsidRDefault="00E93F58" w:rsidP="00366AB5">
      <w:pPr>
        <w:pStyle w:val="paragraphsub"/>
        <w:tabs>
          <w:tab w:val="left" w:pos="2835"/>
        </w:tabs>
      </w:pPr>
      <w:r w:rsidRPr="00A35C95">
        <w:tab/>
        <w:t>(b)</w:t>
      </w:r>
      <w:r w:rsidRPr="00A35C95">
        <w:tab/>
        <w:t>for which the licensee would have been required under that Part to have a dealers licence or investment advisers licence that could have been subject to the condition specified in paragraph 786(2)(d) of the old Corporations Act.</w:t>
      </w:r>
    </w:p>
    <w:p w14:paraId="121EB411" w14:textId="77777777" w:rsidR="00E93F58" w:rsidRPr="00A35C95" w:rsidRDefault="00E93F58" w:rsidP="00366AB5">
      <w:pPr>
        <w:pStyle w:val="paragraph"/>
        <w:tabs>
          <w:tab w:val="left" w:pos="2835"/>
        </w:tabs>
      </w:pPr>
      <w:r w:rsidRPr="00A35C95">
        <w:tab/>
        <w:t>(4)</w:t>
      </w:r>
      <w:r w:rsidRPr="00A35C95">
        <w:tab/>
        <w:t>Section 914A of the Act is taken to authorise ASIC to impose the condition specified in paragraph 786(2)(d) of the old Corporations Act as a condition of the licensee’s financial services licence.</w:t>
      </w:r>
    </w:p>
    <w:p w14:paraId="3EEEB57C" w14:textId="77777777" w:rsidR="00E93F58" w:rsidRPr="00A35C95" w:rsidRDefault="00E93F58" w:rsidP="00366AB5">
      <w:pPr>
        <w:pStyle w:val="paragraph"/>
        <w:tabs>
          <w:tab w:val="left" w:pos="2835"/>
        </w:tabs>
      </w:pPr>
      <w:r w:rsidRPr="00A35C95">
        <w:tab/>
        <w:t>(5)</w:t>
      </w:r>
      <w:r w:rsidRPr="00A35C95">
        <w:tab/>
        <w:t>If ASIC acts under subsection (4), Part 7.3 of the old Corporations Act, and any associated provisions, continue to apply to the extent necessary to specify the content of the condition specified in paragraph 786(2)(d) of the old Corporations Act.’</w:t>
      </w:r>
    </w:p>
    <w:p w14:paraId="66B5308F" w14:textId="77777777" w:rsidR="00E93F58" w:rsidRPr="00A35C95" w:rsidRDefault="00E93F58" w:rsidP="00366AB5">
      <w:pPr>
        <w:pStyle w:val="paragraph"/>
        <w:tabs>
          <w:tab w:val="left" w:pos="2835"/>
        </w:tabs>
      </w:pPr>
      <w:r w:rsidRPr="00A35C95">
        <w:tab/>
        <w:t>(6)</w:t>
      </w:r>
      <w:r w:rsidRPr="00A35C95">
        <w:tab/>
        <w:t>In this section:</w:t>
      </w:r>
    </w:p>
    <w:p w14:paraId="5014C7F9" w14:textId="77777777" w:rsidR="00E93F58" w:rsidRPr="00A35C95" w:rsidRDefault="00E93F58" w:rsidP="00366AB5">
      <w:pPr>
        <w:pStyle w:val="paragraph"/>
        <w:tabs>
          <w:tab w:val="left" w:pos="2835"/>
        </w:tabs>
      </w:pPr>
      <w:r w:rsidRPr="00A35C95">
        <w:rPr>
          <w:bCs/>
          <w:iCs/>
        </w:rPr>
        <w:tab/>
      </w:r>
      <w:r w:rsidRPr="00A35C95">
        <w:rPr>
          <w:bCs/>
          <w:iCs/>
        </w:rPr>
        <w:tab/>
      </w:r>
      <w:r w:rsidRPr="00A35C95">
        <w:rPr>
          <w:b/>
          <w:bCs/>
          <w:i/>
          <w:iCs/>
        </w:rPr>
        <w:t>associated provisions</w:t>
      </w:r>
      <w:r w:rsidRPr="00A35C95">
        <w:t xml:space="preserve">, in relation to provisions (the </w:t>
      </w:r>
      <w:r w:rsidRPr="00A35C95">
        <w:rPr>
          <w:b/>
          <w:bCs/>
          <w:i/>
          <w:iCs/>
        </w:rPr>
        <w:t>core provisions</w:t>
      </w:r>
      <w:r w:rsidRPr="00A35C95">
        <w:t>) of a particular Act as in force at a particular time, include (but are not limited to):</w:t>
      </w:r>
    </w:p>
    <w:p w14:paraId="4848761F" w14:textId="77777777" w:rsidR="00E93F58" w:rsidRPr="00A35C95" w:rsidRDefault="00E93F58" w:rsidP="00366AB5">
      <w:pPr>
        <w:pStyle w:val="paragraphsub"/>
        <w:tabs>
          <w:tab w:val="left" w:pos="2835"/>
        </w:tabs>
      </w:pPr>
      <w:r w:rsidRPr="00A35C95">
        <w:tab/>
        <w:t>(a)</w:t>
      </w:r>
      <w:r w:rsidRPr="00A35C95">
        <w:tab/>
        <w:t>any regulations or other instruments that are or were in force for the purposes of any of the core provisions at that time; and</w:t>
      </w:r>
    </w:p>
    <w:p w14:paraId="1EE854DC" w14:textId="77777777" w:rsidR="00E93F58" w:rsidRPr="00A35C95" w:rsidRDefault="00E93F58" w:rsidP="00366AB5">
      <w:pPr>
        <w:pStyle w:val="paragraphsub"/>
        <w:tabs>
          <w:tab w:val="left" w:pos="2835"/>
        </w:tabs>
      </w:pPr>
      <w:r w:rsidRPr="00A35C95">
        <w:tab/>
        <w:t>(b)</w:t>
      </w:r>
      <w:r w:rsidRPr="00A35C95">
        <w:tab/>
        <w:t>any interpretation provisions that apply or applied in relation to any of the core provisions at that time (whether or not they also apply or applied for other purposes); and</w:t>
      </w:r>
    </w:p>
    <w:p w14:paraId="520C4E58" w14:textId="77777777" w:rsidR="00E93F58" w:rsidRPr="00A35C95" w:rsidRDefault="00E93F58" w:rsidP="00366AB5">
      <w:pPr>
        <w:pStyle w:val="paragraphsub"/>
        <w:tabs>
          <w:tab w:val="left" w:pos="2835"/>
        </w:tabs>
      </w:pPr>
      <w:r w:rsidRPr="00A35C95">
        <w:tab/>
        <w:t>(c)</w:t>
      </w:r>
      <w:r w:rsidRPr="00A35C95">
        <w:tab/>
        <w:t>any provisions relating to liability (civil or criminal) that apply or applied in relation to any of the core provisions at that time (whether or not they also apply or applied for other purposes); and</w:t>
      </w:r>
    </w:p>
    <w:p w14:paraId="3D265851" w14:textId="77777777" w:rsidR="00E93F58" w:rsidRPr="00A35C95" w:rsidRDefault="00E93F58" w:rsidP="00366AB5">
      <w:pPr>
        <w:pStyle w:val="paragraphsub"/>
        <w:tabs>
          <w:tab w:val="left" w:pos="2835"/>
        </w:tabs>
      </w:pPr>
      <w:r w:rsidRPr="00A35C95">
        <w:tab/>
        <w:t>(d)</w:t>
      </w:r>
      <w:r w:rsidRPr="00A35C95">
        <w:tab/>
        <w:t>any provisions that limit or limited, or that otherwise affect or affected, the operation of any of the core provisions at that time (whether or not they also limit or limited, or affect or affected, the operation of other provisions).</w:t>
      </w:r>
    </w:p>
    <w:p w14:paraId="0316E6CF" w14:textId="77777777" w:rsidR="00E93F58" w:rsidRPr="00A35C95" w:rsidRDefault="00E93F58" w:rsidP="00366AB5">
      <w:pPr>
        <w:pStyle w:val="paragraph"/>
        <w:tabs>
          <w:tab w:val="left" w:pos="2835"/>
        </w:tabs>
      </w:pPr>
      <w:r w:rsidRPr="00A35C95">
        <w:tab/>
      </w:r>
      <w:r w:rsidRPr="00A35C95">
        <w:tab/>
      </w:r>
      <w:r w:rsidRPr="00A35C95">
        <w:rPr>
          <w:b/>
          <w:i/>
        </w:rPr>
        <w:t>old Corporations Act</w:t>
      </w:r>
      <w:r w:rsidRPr="00A35C95">
        <w:t xml:space="preserve"> means this Act as in force immediately before the FSR commencement.’.</w:t>
      </w:r>
    </w:p>
    <w:p w14:paraId="20A13C56" w14:textId="77777777" w:rsidR="00E93F58" w:rsidRPr="00A35C95" w:rsidRDefault="00E93F58" w:rsidP="00366AB5">
      <w:pPr>
        <w:pStyle w:val="subsection"/>
        <w:tabs>
          <w:tab w:val="left" w:pos="2835"/>
        </w:tabs>
      </w:pPr>
      <w:r w:rsidRPr="00A35C95">
        <w:tab/>
        <w:t>(2)</w:t>
      </w:r>
      <w:r w:rsidRPr="00A35C95">
        <w:tab/>
        <w:t>Subregulation (1) operates only in relation to a financial services licensee (other than an exempt licensee under regulation 7.6.02AAA):</w:t>
      </w:r>
    </w:p>
    <w:p w14:paraId="64947E5E" w14:textId="77777777" w:rsidR="00E93F58" w:rsidRPr="00A35C95" w:rsidRDefault="00E93F58" w:rsidP="00366AB5">
      <w:pPr>
        <w:pStyle w:val="paragraph"/>
        <w:tabs>
          <w:tab w:val="left" w:pos="2835"/>
        </w:tabs>
      </w:pPr>
      <w:r w:rsidRPr="00A35C95">
        <w:tab/>
        <w:t>(a)</w:t>
      </w:r>
      <w:r w:rsidRPr="00A35C95">
        <w:tab/>
        <w:t>who has not complied with subsection 912B(1) of the Act, in its unmodified form; and</w:t>
      </w:r>
    </w:p>
    <w:p w14:paraId="2FC0C5CC" w14:textId="77777777" w:rsidR="00E93F58" w:rsidRPr="00A35C95" w:rsidRDefault="00E93F58" w:rsidP="00366AB5">
      <w:pPr>
        <w:pStyle w:val="paragraph"/>
        <w:tabs>
          <w:tab w:val="left" w:pos="2835"/>
        </w:tabs>
      </w:pPr>
      <w:r w:rsidRPr="00A35C95">
        <w:tab/>
        <w:t>(b)</w:t>
      </w:r>
      <w:r w:rsidRPr="00A35C95">
        <w:tab/>
        <w:t>until the licensee does so comply.</w:t>
      </w:r>
    </w:p>
    <w:p w14:paraId="1171014C" w14:textId="77777777" w:rsidR="00E93F58" w:rsidRPr="00A35C95" w:rsidRDefault="00E93F58" w:rsidP="00366AB5">
      <w:pPr>
        <w:pStyle w:val="subsection"/>
        <w:tabs>
          <w:tab w:val="left" w:pos="2835"/>
        </w:tabs>
      </w:pPr>
      <w:r w:rsidRPr="00A35C95">
        <w:tab/>
        <w:t>(3)</w:t>
      </w:r>
      <w:r w:rsidRPr="00A35C95">
        <w:tab/>
        <w:t>Subregulations (1) and (2) are not taken to displace, or diminish, the requirement for a financial services licensee to comply with subsection 912B(1) of the Act in its unmodified form.</w:t>
      </w:r>
    </w:p>
    <w:p w14:paraId="374B8073" w14:textId="77777777" w:rsidR="00E93F58" w:rsidRPr="00A35C95" w:rsidRDefault="00E93F58" w:rsidP="00366AB5">
      <w:pPr>
        <w:pStyle w:val="subsection"/>
        <w:tabs>
          <w:tab w:val="left" w:pos="2835"/>
        </w:tabs>
      </w:pPr>
      <w:r w:rsidRPr="00A35C95">
        <w:tab/>
        <w:t>(4)</w:t>
      </w:r>
      <w:r w:rsidRPr="00A35C95">
        <w:tab/>
        <w:t>A security bond lodged with ASIC by a financial services licensee in compliance with section 912B of the Act as modified by subregulation (1), or with any provision of the old Corporations Act, may be released by ASIC, at its discretion, if:</w:t>
      </w:r>
    </w:p>
    <w:p w14:paraId="668B8C53" w14:textId="77777777" w:rsidR="00E93F58" w:rsidRPr="00A35C95" w:rsidRDefault="00E93F58" w:rsidP="00366AB5">
      <w:pPr>
        <w:pStyle w:val="paragraph"/>
        <w:tabs>
          <w:tab w:val="left" w:pos="2835"/>
        </w:tabs>
      </w:pPr>
      <w:r w:rsidRPr="00A35C95">
        <w:tab/>
        <w:t>(a)</w:t>
      </w:r>
      <w:r w:rsidRPr="00A35C95">
        <w:tab/>
        <w:t>ASIC considers that, in relation to the licensee, a security bond is no longer required because the licensee:</w:t>
      </w:r>
    </w:p>
    <w:p w14:paraId="1293301C" w14:textId="77777777" w:rsidR="00E93F58" w:rsidRPr="00A35C95" w:rsidRDefault="00E93F58" w:rsidP="00366AB5">
      <w:pPr>
        <w:pStyle w:val="paragraphsub"/>
        <w:tabs>
          <w:tab w:val="left" w:pos="2835"/>
        </w:tabs>
      </w:pPr>
      <w:r w:rsidRPr="00A35C95">
        <w:tab/>
        <w:t>(i)</w:t>
      </w:r>
      <w:r w:rsidRPr="00A35C95">
        <w:tab/>
        <w:t>has complied with subsection 912B(1) of the Act, in its unmodified form; or</w:t>
      </w:r>
    </w:p>
    <w:p w14:paraId="33A9617D" w14:textId="77777777" w:rsidR="00E93F58" w:rsidRPr="00A35C95" w:rsidRDefault="00E93F58" w:rsidP="00366AB5">
      <w:pPr>
        <w:pStyle w:val="paragraphsub"/>
        <w:tabs>
          <w:tab w:val="left" w:pos="2835"/>
        </w:tabs>
      </w:pPr>
      <w:r w:rsidRPr="00A35C95">
        <w:tab/>
        <w:t>(ii)</w:t>
      </w:r>
      <w:r w:rsidRPr="00A35C95">
        <w:tab/>
        <w:t>is an exempt licensee within the meaning of regulation 7.6.02AAA; and</w:t>
      </w:r>
    </w:p>
    <w:p w14:paraId="040DBE8C" w14:textId="77777777" w:rsidR="00E93F58" w:rsidRPr="00A35C95" w:rsidRDefault="00E93F58" w:rsidP="00366AB5">
      <w:pPr>
        <w:pStyle w:val="paragraph"/>
        <w:tabs>
          <w:tab w:val="left" w:pos="2835"/>
        </w:tabs>
      </w:pPr>
      <w:r w:rsidRPr="00A35C95">
        <w:tab/>
        <w:t>(b)</w:t>
      </w:r>
      <w:r w:rsidRPr="00A35C95">
        <w:tab/>
        <w:t>ASIC has published on its internet website, and in a daily newspaper having national circulation:</w:t>
      </w:r>
    </w:p>
    <w:p w14:paraId="1E53B4F0" w14:textId="77777777" w:rsidR="00E93F58" w:rsidRPr="00A35C95" w:rsidRDefault="00E93F58" w:rsidP="00366AB5">
      <w:pPr>
        <w:pStyle w:val="paragraphsub"/>
        <w:tabs>
          <w:tab w:val="left" w:pos="2835"/>
        </w:tabs>
      </w:pPr>
      <w:r w:rsidRPr="00A35C95">
        <w:tab/>
        <w:t>(i)</w:t>
      </w:r>
      <w:r w:rsidRPr="00A35C95">
        <w:tab/>
        <w:t>a proposal that it release the security bond; and</w:t>
      </w:r>
    </w:p>
    <w:p w14:paraId="0C5117E2" w14:textId="77777777" w:rsidR="00E93F58" w:rsidRPr="00A35C95" w:rsidRDefault="00E93F58" w:rsidP="00366AB5">
      <w:pPr>
        <w:pStyle w:val="paragraphsub"/>
        <w:tabs>
          <w:tab w:val="left" w:pos="2835"/>
        </w:tabs>
      </w:pPr>
      <w:r w:rsidRPr="00A35C95">
        <w:tab/>
        <w:t>(ii)</w:t>
      </w:r>
      <w:r w:rsidRPr="00A35C95">
        <w:tab/>
        <w:t>a direction to the web address at which further information may be obtained; and</w:t>
      </w:r>
    </w:p>
    <w:p w14:paraId="1E0DF186" w14:textId="77777777" w:rsidR="00E93F58" w:rsidRPr="00A35C95" w:rsidRDefault="00E93F58" w:rsidP="00366AB5">
      <w:pPr>
        <w:pStyle w:val="paragraph"/>
        <w:tabs>
          <w:tab w:val="left" w:pos="2835"/>
        </w:tabs>
      </w:pPr>
      <w:r w:rsidRPr="00A35C95">
        <w:tab/>
        <w:t>(c)</w:t>
      </w:r>
      <w:r w:rsidRPr="00A35C95">
        <w:tab/>
        <w:t>ASIC has advertised, at that web address, the existence of the security bond, and an invitation to submit valid claims against the bond; and</w:t>
      </w:r>
    </w:p>
    <w:p w14:paraId="17F772E8" w14:textId="77777777" w:rsidR="00E93F58" w:rsidRPr="00A35C95" w:rsidRDefault="00E93F58" w:rsidP="00366AB5">
      <w:pPr>
        <w:pStyle w:val="paragraph"/>
        <w:tabs>
          <w:tab w:val="left" w:pos="2835"/>
        </w:tabs>
      </w:pPr>
      <w:r w:rsidRPr="00A35C95">
        <w:tab/>
        <w:t>(d)</w:t>
      </w:r>
      <w:r w:rsidRPr="00A35C95">
        <w:tab/>
        <w:t>3 months after publication of the advertisement, no valid claim has been submitted.</w:t>
      </w:r>
    </w:p>
    <w:p w14:paraId="0AFFDDDD" w14:textId="77777777" w:rsidR="00E93F58" w:rsidRPr="00A35C95" w:rsidRDefault="00E93F58" w:rsidP="00366AB5">
      <w:pPr>
        <w:pStyle w:val="ActHead5"/>
        <w:tabs>
          <w:tab w:val="left" w:pos="2835"/>
        </w:tabs>
      </w:pPr>
      <w:bookmarkStart w:id="962" w:name="_Toc152058054"/>
      <w:bookmarkStart w:id="963" w:name="_Toc158712277"/>
      <w:r w:rsidRPr="00844D11">
        <w:rPr>
          <w:rStyle w:val="CharSectno"/>
        </w:rPr>
        <w:lastRenderedPageBreak/>
        <w:t>7.6.02AB</w:t>
      </w:r>
      <w:r w:rsidRPr="00A35C95">
        <w:t xml:space="preserve">  Modification of section 761G of the Act: meaning of </w:t>
      </w:r>
      <w:r w:rsidRPr="00A35C95">
        <w:rPr>
          <w:i/>
        </w:rPr>
        <w:t xml:space="preserve">retail client </w:t>
      </w:r>
      <w:r w:rsidRPr="00A35C95">
        <w:t xml:space="preserve">and </w:t>
      </w:r>
      <w:r w:rsidRPr="00A35C95">
        <w:rPr>
          <w:i/>
        </w:rPr>
        <w:t>wholesale client</w:t>
      </w:r>
      <w:bookmarkEnd w:id="962"/>
      <w:bookmarkEnd w:id="963"/>
    </w:p>
    <w:p w14:paraId="14EF27E0" w14:textId="77777777" w:rsidR="00E93F58" w:rsidRPr="00A35C95" w:rsidRDefault="00E93F58" w:rsidP="00366AB5">
      <w:pPr>
        <w:pStyle w:val="subsection"/>
        <w:tabs>
          <w:tab w:val="left" w:pos="2835"/>
        </w:tabs>
      </w:pPr>
      <w:r w:rsidRPr="00A35C95">
        <w:tab/>
      </w:r>
      <w:r w:rsidRPr="00A35C95">
        <w:tab/>
        <w:t>For the provisions of the Act set out in column 2 of the following table, the Parts of the Act specified in column 3 apply as if section 761G of the Act were modified by inserting after paragraph 761G(7)(c), the following paragraph:</w:t>
      </w:r>
    </w:p>
    <w:p w14:paraId="35D985E1" w14:textId="77777777" w:rsidR="00E93F58" w:rsidRPr="00A35C95" w:rsidRDefault="00E93F58" w:rsidP="00366AB5">
      <w:pPr>
        <w:pStyle w:val="paragraph"/>
        <w:tabs>
          <w:tab w:val="left" w:pos="2835"/>
        </w:tabs>
      </w:pPr>
      <w:r w:rsidRPr="00A35C95">
        <w:tab/>
        <w:t>“(ca)</w:t>
      </w:r>
      <w:r w:rsidRPr="00A35C95">
        <w:tab/>
        <w:t>the financial product, or the financial service, is acquired by a company or trust controlled by a person who meets the requirements of subparagraph (c)(i) or (ii);”</w:t>
      </w:r>
    </w:p>
    <w:p w14:paraId="74F1E9D8" w14:textId="77777777" w:rsidR="00E93F58" w:rsidRPr="00A35C95" w:rsidRDefault="00E93F58" w:rsidP="00366AB5">
      <w:pPr>
        <w:pStyle w:val="Tabletext"/>
        <w:tabs>
          <w:tab w:val="left" w:pos="2835"/>
        </w:tab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2"/>
        <w:gridCol w:w="5837"/>
        <w:gridCol w:w="3294"/>
      </w:tblGrid>
      <w:tr w:rsidR="00E93F58" w:rsidRPr="00A35C95" w14:paraId="59B2BA27" w14:textId="77777777" w:rsidTr="00B8041E">
        <w:trPr>
          <w:tblHeader/>
        </w:trPr>
        <w:tc>
          <w:tcPr>
            <w:tcW w:w="762" w:type="pct"/>
            <w:tcBorders>
              <w:top w:val="single" w:sz="12" w:space="0" w:color="auto"/>
              <w:bottom w:val="single" w:sz="6" w:space="0" w:color="auto"/>
            </w:tcBorders>
            <w:shd w:val="clear" w:color="auto" w:fill="auto"/>
          </w:tcPr>
          <w:p w14:paraId="7FA4ECE4" w14:textId="77777777" w:rsidR="00E93F58" w:rsidRPr="00A35C95" w:rsidRDefault="00E93F58" w:rsidP="00366AB5">
            <w:pPr>
              <w:pStyle w:val="TableHeading"/>
              <w:tabs>
                <w:tab w:val="left" w:pos="2835"/>
              </w:tabs>
            </w:pPr>
            <w:r w:rsidRPr="00A35C95">
              <w:t>Column 1</w:t>
            </w:r>
          </w:p>
        </w:tc>
        <w:tc>
          <w:tcPr>
            <w:tcW w:w="2709" w:type="pct"/>
            <w:tcBorders>
              <w:top w:val="single" w:sz="12" w:space="0" w:color="auto"/>
              <w:bottom w:val="single" w:sz="6" w:space="0" w:color="auto"/>
            </w:tcBorders>
            <w:shd w:val="clear" w:color="auto" w:fill="auto"/>
          </w:tcPr>
          <w:p w14:paraId="7520D68B" w14:textId="77777777" w:rsidR="00E93F58" w:rsidRPr="00A35C95" w:rsidRDefault="00E93F58" w:rsidP="00366AB5">
            <w:pPr>
              <w:pStyle w:val="TableHeading"/>
              <w:tabs>
                <w:tab w:val="left" w:pos="2835"/>
              </w:tabs>
            </w:pPr>
            <w:r w:rsidRPr="00A35C95">
              <w:t>Column 2</w:t>
            </w:r>
          </w:p>
        </w:tc>
        <w:tc>
          <w:tcPr>
            <w:tcW w:w="1529" w:type="pct"/>
            <w:tcBorders>
              <w:top w:val="single" w:sz="12" w:space="0" w:color="auto"/>
              <w:bottom w:val="single" w:sz="6" w:space="0" w:color="auto"/>
            </w:tcBorders>
            <w:shd w:val="clear" w:color="auto" w:fill="auto"/>
          </w:tcPr>
          <w:p w14:paraId="07D38C1C" w14:textId="77777777" w:rsidR="00E93F58" w:rsidRPr="00A35C95" w:rsidRDefault="00E93F58" w:rsidP="00366AB5">
            <w:pPr>
              <w:pStyle w:val="TableHeading"/>
              <w:tabs>
                <w:tab w:val="left" w:pos="2835"/>
              </w:tabs>
            </w:pPr>
            <w:r w:rsidRPr="00A35C95">
              <w:t>Column 3</w:t>
            </w:r>
          </w:p>
        </w:tc>
      </w:tr>
      <w:tr w:rsidR="00E93F58" w:rsidRPr="00A35C95" w14:paraId="481A1052" w14:textId="77777777" w:rsidTr="00B8041E">
        <w:trPr>
          <w:tblHeader/>
        </w:trPr>
        <w:tc>
          <w:tcPr>
            <w:tcW w:w="762" w:type="pct"/>
            <w:tcBorders>
              <w:top w:val="single" w:sz="6" w:space="0" w:color="auto"/>
              <w:bottom w:val="single" w:sz="12" w:space="0" w:color="auto"/>
            </w:tcBorders>
            <w:shd w:val="clear" w:color="auto" w:fill="auto"/>
          </w:tcPr>
          <w:p w14:paraId="389C5BE9" w14:textId="77777777" w:rsidR="00E93F58" w:rsidRPr="00A35C95" w:rsidRDefault="00E93F58" w:rsidP="00366AB5">
            <w:pPr>
              <w:pStyle w:val="TableHeading"/>
              <w:tabs>
                <w:tab w:val="left" w:pos="2835"/>
              </w:tabs>
            </w:pPr>
            <w:r w:rsidRPr="00A35C95">
              <w:t>Item</w:t>
            </w:r>
          </w:p>
        </w:tc>
        <w:tc>
          <w:tcPr>
            <w:tcW w:w="2709" w:type="pct"/>
            <w:tcBorders>
              <w:top w:val="single" w:sz="6" w:space="0" w:color="auto"/>
              <w:bottom w:val="single" w:sz="12" w:space="0" w:color="auto"/>
            </w:tcBorders>
            <w:shd w:val="clear" w:color="auto" w:fill="auto"/>
          </w:tcPr>
          <w:p w14:paraId="617EC924" w14:textId="77777777" w:rsidR="00E93F58" w:rsidRPr="00A35C95" w:rsidRDefault="00E93F58" w:rsidP="00366AB5">
            <w:pPr>
              <w:pStyle w:val="TableHeading"/>
              <w:tabs>
                <w:tab w:val="left" w:pos="2835"/>
              </w:tabs>
            </w:pPr>
            <w:r w:rsidRPr="00A35C95">
              <w:t>Provisions of Act</w:t>
            </w:r>
          </w:p>
        </w:tc>
        <w:tc>
          <w:tcPr>
            <w:tcW w:w="1529" w:type="pct"/>
            <w:tcBorders>
              <w:top w:val="single" w:sz="6" w:space="0" w:color="auto"/>
              <w:bottom w:val="single" w:sz="12" w:space="0" w:color="auto"/>
            </w:tcBorders>
            <w:shd w:val="clear" w:color="auto" w:fill="auto"/>
          </w:tcPr>
          <w:p w14:paraId="57F75F91" w14:textId="77777777" w:rsidR="00E93F58" w:rsidRPr="00A35C95" w:rsidRDefault="00E93F58" w:rsidP="00366AB5">
            <w:pPr>
              <w:pStyle w:val="TableHeading"/>
              <w:tabs>
                <w:tab w:val="left" w:pos="2835"/>
              </w:tabs>
            </w:pPr>
          </w:p>
        </w:tc>
      </w:tr>
      <w:tr w:rsidR="00E93F58" w:rsidRPr="00A35C95" w14:paraId="1346DA0B" w14:textId="77777777" w:rsidTr="00B8041E">
        <w:tc>
          <w:tcPr>
            <w:tcW w:w="762" w:type="pct"/>
            <w:tcBorders>
              <w:top w:val="single" w:sz="12" w:space="0" w:color="auto"/>
            </w:tcBorders>
            <w:shd w:val="clear" w:color="auto" w:fill="auto"/>
          </w:tcPr>
          <w:p w14:paraId="2AF1010B" w14:textId="77777777" w:rsidR="00E93F58" w:rsidRPr="00A35C95" w:rsidRDefault="00E93F58" w:rsidP="00366AB5">
            <w:pPr>
              <w:pStyle w:val="Tabletext"/>
              <w:tabs>
                <w:tab w:val="left" w:pos="2835"/>
              </w:tabs>
            </w:pPr>
            <w:r w:rsidRPr="00A35C95">
              <w:t>1</w:t>
            </w:r>
          </w:p>
        </w:tc>
        <w:tc>
          <w:tcPr>
            <w:tcW w:w="2709" w:type="pct"/>
            <w:tcBorders>
              <w:top w:val="single" w:sz="12" w:space="0" w:color="auto"/>
            </w:tcBorders>
            <w:shd w:val="clear" w:color="auto" w:fill="auto"/>
          </w:tcPr>
          <w:p w14:paraId="7AC1C202" w14:textId="77777777" w:rsidR="00E93F58" w:rsidRPr="00A35C95" w:rsidRDefault="00E93F58" w:rsidP="00366AB5">
            <w:pPr>
              <w:pStyle w:val="Tabletext"/>
              <w:tabs>
                <w:tab w:val="left" w:pos="2835"/>
              </w:tabs>
            </w:pPr>
            <w:r w:rsidRPr="00A35C95">
              <w:t>paragraph 926B(1)(c)</w:t>
            </w:r>
          </w:p>
        </w:tc>
        <w:tc>
          <w:tcPr>
            <w:tcW w:w="1529" w:type="pct"/>
            <w:tcBorders>
              <w:top w:val="single" w:sz="12" w:space="0" w:color="auto"/>
            </w:tcBorders>
            <w:shd w:val="clear" w:color="auto" w:fill="auto"/>
          </w:tcPr>
          <w:p w14:paraId="763CBDB6" w14:textId="77777777" w:rsidR="00E93F58" w:rsidRPr="00A35C95" w:rsidRDefault="00E93F58" w:rsidP="00366AB5">
            <w:pPr>
              <w:pStyle w:val="Tabletext"/>
              <w:tabs>
                <w:tab w:val="left" w:pos="2835"/>
              </w:tabs>
            </w:pPr>
            <w:r w:rsidRPr="00A35C95">
              <w:t>Part 7.6</w:t>
            </w:r>
          </w:p>
        </w:tc>
      </w:tr>
      <w:tr w:rsidR="00E93F58" w:rsidRPr="00A35C95" w14:paraId="53A5120D" w14:textId="77777777" w:rsidTr="00B8041E">
        <w:tc>
          <w:tcPr>
            <w:tcW w:w="762" w:type="pct"/>
            <w:shd w:val="clear" w:color="auto" w:fill="auto"/>
          </w:tcPr>
          <w:p w14:paraId="20279344" w14:textId="77777777" w:rsidR="00E93F58" w:rsidRPr="00A35C95" w:rsidRDefault="00E93F58" w:rsidP="00366AB5">
            <w:pPr>
              <w:pStyle w:val="Tabletext"/>
              <w:tabs>
                <w:tab w:val="left" w:pos="2835"/>
              </w:tabs>
            </w:pPr>
            <w:r w:rsidRPr="00A35C95">
              <w:t>2</w:t>
            </w:r>
          </w:p>
        </w:tc>
        <w:tc>
          <w:tcPr>
            <w:tcW w:w="2709" w:type="pct"/>
            <w:shd w:val="clear" w:color="auto" w:fill="auto"/>
          </w:tcPr>
          <w:p w14:paraId="2949652E" w14:textId="77777777" w:rsidR="00E93F58" w:rsidRPr="00A35C95" w:rsidRDefault="00E93F58" w:rsidP="00366AB5">
            <w:pPr>
              <w:pStyle w:val="Tabletext"/>
              <w:tabs>
                <w:tab w:val="left" w:pos="2835"/>
              </w:tabs>
            </w:pPr>
            <w:r w:rsidRPr="00A35C95">
              <w:t>paragraph 951C(1)(c)</w:t>
            </w:r>
          </w:p>
        </w:tc>
        <w:tc>
          <w:tcPr>
            <w:tcW w:w="1529" w:type="pct"/>
            <w:shd w:val="clear" w:color="auto" w:fill="auto"/>
          </w:tcPr>
          <w:p w14:paraId="7FBB6881" w14:textId="77777777" w:rsidR="00E93F58" w:rsidRPr="00A35C95" w:rsidRDefault="00E93F58" w:rsidP="00366AB5">
            <w:pPr>
              <w:pStyle w:val="Tabletext"/>
              <w:tabs>
                <w:tab w:val="left" w:pos="2835"/>
              </w:tabs>
            </w:pPr>
            <w:r w:rsidRPr="00A35C95">
              <w:t>Part 7.7</w:t>
            </w:r>
          </w:p>
        </w:tc>
      </w:tr>
      <w:tr w:rsidR="00E93F58" w:rsidRPr="00A35C95" w14:paraId="4D1CF513" w14:textId="77777777" w:rsidTr="00B8041E">
        <w:tc>
          <w:tcPr>
            <w:tcW w:w="762" w:type="pct"/>
            <w:shd w:val="clear" w:color="auto" w:fill="auto"/>
          </w:tcPr>
          <w:p w14:paraId="7EB259DB" w14:textId="77777777" w:rsidR="00E93F58" w:rsidRPr="00A35C95" w:rsidRDefault="00E93F58" w:rsidP="00366AB5">
            <w:pPr>
              <w:pStyle w:val="Tabletext"/>
              <w:tabs>
                <w:tab w:val="left" w:pos="2835"/>
              </w:tabs>
            </w:pPr>
            <w:r w:rsidRPr="00A35C95">
              <w:t>2A</w:t>
            </w:r>
          </w:p>
        </w:tc>
        <w:tc>
          <w:tcPr>
            <w:tcW w:w="2709" w:type="pct"/>
            <w:shd w:val="clear" w:color="auto" w:fill="auto"/>
          </w:tcPr>
          <w:p w14:paraId="1B2E1E4C" w14:textId="77777777" w:rsidR="00E93F58" w:rsidRPr="00A35C95" w:rsidRDefault="00E93F58" w:rsidP="00366AB5">
            <w:pPr>
              <w:pStyle w:val="Tabletext"/>
              <w:tabs>
                <w:tab w:val="left" w:pos="2835"/>
              </w:tabs>
            </w:pPr>
            <w:r w:rsidRPr="00A35C95">
              <w:t>section 1368</w:t>
            </w:r>
          </w:p>
        </w:tc>
        <w:tc>
          <w:tcPr>
            <w:tcW w:w="1529" w:type="pct"/>
            <w:shd w:val="clear" w:color="auto" w:fill="auto"/>
          </w:tcPr>
          <w:p w14:paraId="534D0746" w14:textId="77777777" w:rsidR="00E93F58" w:rsidRPr="00A35C95" w:rsidRDefault="00E93F58" w:rsidP="00366AB5">
            <w:pPr>
              <w:pStyle w:val="Tabletext"/>
              <w:tabs>
                <w:tab w:val="left" w:pos="2835"/>
              </w:tabs>
            </w:pPr>
            <w:r w:rsidRPr="00A35C95">
              <w:t>Part 7.7A</w:t>
            </w:r>
          </w:p>
        </w:tc>
      </w:tr>
      <w:tr w:rsidR="00E93F58" w:rsidRPr="00A35C95" w14:paraId="16C5F5BA" w14:textId="77777777" w:rsidTr="00B8041E">
        <w:tc>
          <w:tcPr>
            <w:tcW w:w="762" w:type="pct"/>
            <w:tcBorders>
              <w:bottom w:val="single" w:sz="4" w:space="0" w:color="auto"/>
            </w:tcBorders>
            <w:shd w:val="clear" w:color="auto" w:fill="auto"/>
          </w:tcPr>
          <w:p w14:paraId="6AF2C246" w14:textId="77777777" w:rsidR="00E93F58" w:rsidRPr="00A35C95" w:rsidRDefault="00E93F58" w:rsidP="00366AB5">
            <w:pPr>
              <w:pStyle w:val="Tabletext"/>
              <w:tabs>
                <w:tab w:val="left" w:pos="2835"/>
              </w:tabs>
            </w:pPr>
            <w:r w:rsidRPr="00A35C95">
              <w:t>3</w:t>
            </w:r>
          </w:p>
        </w:tc>
        <w:tc>
          <w:tcPr>
            <w:tcW w:w="2709" w:type="pct"/>
            <w:tcBorders>
              <w:bottom w:val="single" w:sz="4" w:space="0" w:color="auto"/>
            </w:tcBorders>
            <w:shd w:val="clear" w:color="auto" w:fill="auto"/>
          </w:tcPr>
          <w:p w14:paraId="7E13F89A" w14:textId="77777777" w:rsidR="00E93F58" w:rsidRPr="00A35C95" w:rsidRDefault="00E93F58" w:rsidP="00366AB5">
            <w:pPr>
              <w:pStyle w:val="Tabletext"/>
              <w:tabs>
                <w:tab w:val="left" w:pos="2835"/>
              </w:tabs>
            </w:pPr>
            <w:r w:rsidRPr="00A35C95">
              <w:t>paragraph 992C(1)(c)</w:t>
            </w:r>
          </w:p>
        </w:tc>
        <w:tc>
          <w:tcPr>
            <w:tcW w:w="1529" w:type="pct"/>
            <w:tcBorders>
              <w:bottom w:val="single" w:sz="4" w:space="0" w:color="auto"/>
            </w:tcBorders>
            <w:shd w:val="clear" w:color="auto" w:fill="auto"/>
          </w:tcPr>
          <w:p w14:paraId="5F3531D7" w14:textId="77777777" w:rsidR="00E93F58" w:rsidRPr="00A35C95" w:rsidRDefault="00E93F58" w:rsidP="00366AB5">
            <w:pPr>
              <w:pStyle w:val="Tabletext"/>
              <w:tabs>
                <w:tab w:val="left" w:pos="2835"/>
              </w:tabs>
            </w:pPr>
            <w:r w:rsidRPr="00A35C95">
              <w:t>Part 7.8</w:t>
            </w:r>
          </w:p>
        </w:tc>
      </w:tr>
      <w:tr w:rsidR="00E93F58" w:rsidRPr="00A35C95" w14:paraId="3AD27072" w14:textId="77777777" w:rsidTr="00B8041E">
        <w:tc>
          <w:tcPr>
            <w:tcW w:w="762" w:type="pct"/>
            <w:tcBorders>
              <w:bottom w:val="single" w:sz="12" w:space="0" w:color="auto"/>
            </w:tcBorders>
            <w:shd w:val="clear" w:color="auto" w:fill="auto"/>
          </w:tcPr>
          <w:p w14:paraId="43709445" w14:textId="77777777" w:rsidR="00E93F58" w:rsidRPr="00A35C95" w:rsidRDefault="00E93F58" w:rsidP="00366AB5">
            <w:pPr>
              <w:pStyle w:val="Tabletext"/>
              <w:tabs>
                <w:tab w:val="left" w:pos="2835"/>
              </w:tabs>
            </w:pPr>
            <w:r w:rsidRPr="00A35C95">
              <w:t>4</w:t>
            </w:r>
          </w:p>
        </w:tc>
        <w:tc>
          <w:tcPr>
            <w:tcW w:w="2709" w:type="pct"/>
            <w:tcBorders>
              <w:bottom w:val="single" w:sz="12" w:space="0" w:color="auto"/>
            </w:tcBorders>
            <w:shd w:val="clear" w:color="auto" w:fill="auto"/>
          </w:tcPr>
          <w:p w14:paraId="50F501A4" w14:textId="77777777" w:rsidR="00E93F58" w:rsidRPr="00A35C95" w:rsidRDefault="00E93F58" w:rsidP="00366AB5">
            <w:pPr>
              <w:pStyle w:val="Tabletext"/>
              <w:tabs>
                <w:tab w:val="left" w:pos="2835"/>
              </w:tabs>
            </w:pPr>
            <w:r w:rsidRPr="00A35C95">
              <w:t>paragraph 1020G(1)(c)</w:t>
            </w:r>
          </w:p>
        </w:tc>
        <w:tc>
          <w:tcPr>
            <w:tcW w:w="1529" w:type="pct"/>
            <w:tcBorders>
              <w:bottom w:val="single" w:sz="12" w:space="0" w:color="auto"/>
            </w:tcBorders>
            <w:shd w:val="clear" w:color="auto" w:fill="auto"/>
          </w:tcPr>
          <w:p w14:paraId="624CE3F7" w14:textId="77777777" w:rsidR="00E93F58" w:rsidRPr="00A35C95" w:rsidRDefault="00E93F58" w:rsidP="00366AB5">
            <w:pPr>
              <w:pStyle w:val="Tabletext"/>
              <w:tabs>
                <w:tab w:val="left" w:pos="2835"/>
              </w:tabs>
            </w:pPr>
            <w:r w:rsidRPr="00A35C95">
              <w:t>Part 7.9</w:t>
            </w:r>
          </w:p>
        </w:tc>
      </w:tr>
    </w:tbl>
    <w:p w14:paraId="3630869A" w14:textId="77777777" w:rsidR="00E93F58" w:rsidRPr="00A35C95" w:rsidRDefault="00E93F58" w:rsidP="00366AB5">
      <w:pPr>
        <w:pStyle w:val="ActHead5"/>
        <w:tabs>
          <w:tab w:val="left" w:pos="2835"/>
        </w:tabs>
        <w:rPr>
          <w:i/>
        </w:rPr>
      </w:pPr>
      <w:bookmarkStart w:id="964" w:name="_Toc152058055"/>
      <w:bookmarkStart w:id="965" w:name="_Toc158712278"/>
      <w:r w:rsidRPr="00844D11">
        <w:rPr>
          <w:rStyle w:val="CharSectno"/>
        </w:rPr>
        <w:t>7.6.02AC</w:t>
      </w:r>
      <w:r w:rsidRPr="00A35C95">
        <w:t xml:space="preserve">  Modification of section 761G of the Act: meaning of </w:t>
      </w:r>
      <w:r w:rsidRPr="00A35C95">
        <w:rPr>
          <w:i/>
        </w:rPr>
        <w:t xml:space="preserve">retail client </w:t>
      </w:r>
      <w:r w:rsidRPr="00A35C95">
        <w:t xml:space="preserve">and </w:t>
      </w:r>
      <w:r w:rsidRPr="00A35C95">
        <w:rPr>
          <w:i/>
        </w:rPr>
        <w:t>wholesale client</w:t>
      </w:r>
      <w:bookmarkEnd w:id="964"/>
      <w:bookmarkEnd w:id="965"/>
    </w:p>
    <w:p w14:paraId="7EA89CD4" w14:textId="77777777" w:rsidR="00E93F58" w:rsidRPr="00A35C95" w:rsidRDefault="00E93F58" w:rsidP="00366AB5">
      <w:pPr>
        <w:pStyle w:val="subsection"/>
        <w:tabs>
          <w:tab w:val="left" w:pos="2835"/>
        </w:tabs>
      </w:pPr>
      <w:r w:rsidRPr="00A35C95">
        <w:tab/>
      </w:r>
      <w:r w:rsidRPr="00A35C95">
        <w:tab/>
        <w:t>For the provisions of the Act set out in column 2 of the following table, the Parts of the Act specified in column 3 apply as if section 761G of the Act were modified by inserting after subsection 761G(7), the following subsections:</w:t>
      </w:r>
    </w:p>
    <w:p w14:paraId="25957DE2" w14:textId="77777777" w:rsidR="00E93F58" w:rsidRPr="00A35C95" w:rsidRDefault="00E93F58" w:rsidP="00366AB5">
      <w:pPr>
        <w:pStyle w:val="subsection"/>
        <w:tabs>
          <w:tab w:val="left" w:pos="2835"/>
        </w:tabs>
      </w:pPr>
      <w:r w:rsidRPr="00A35C95">
        <w:tab/>
        <w:t>“(7A)</w:t>
      </w:r>
      <w:r w:rsidRPr="00A35C95">
        <w:tab/>
        <w:t>In determining the net assets of a person under subparagraph (7)(c)(i), the net assets of a company or trust controlled by the person may be included.</w:t>
      </w:r>
    </w:p>
    <w:p w14:paraId="730B0D28" w14:textId="77777777" w:rsidR="00E93F58" w:rsidRPr="00A35C95" w:rsidRDefault="00E93F58" w:rsidP="00366AB5">
      <w:pPr>
        <w:pStyle w:val="notetext"/>
        <w:tabs>
          <w:tab w:val="left" w:pos="2835"/>
        </w:tabs>
      </w:pPr>
      <w:r w:rsidRPr="00A35C95">
        <w:t>Note:</w:t>
      </w:r>
      <w:r w:rsidRPr="00A35C95">
        <w:tab/>
      </w:r>
      <w:r w:rsidRPr="00A35C95">
        <w:rPr>
          <w:i/>
        </w:rPr>
        <w:t>Control</w:t>
      </w:r>
      <w:r w:rsidRPr="00A35C95">
        <w:t xml:space="preserve"> is defined in section 50AA.</w:t>
      </w:r>
    </w:p>
    <w:p w14:paraId="0A04B15E" w14:textId="77777777" w:rsidR="00E93F58" w:rsidRPr="00A35C95" w:rsidRDefault="00E93F58" w:rsidP="00366AB5">
      <w:pPr>
        <w:pStyle w:val="subsection"/>
        <w:tabs>
          <w:tab w:val="left" w:pos="2835"/>
        </w:tabs>
      </w:pPr>
      <w:r w:rsidRPr="00A35C95">
        <w:tab/>
        <w:t>(7B)</w:t>
      </w:r>
      <w:r w:rsidRPr="00A35C95">
        <w:tab/>
        <w:t>In determining the gross income of a person under subparagraph (7)(c)(ii), the gross income of a company or trust controlled by the person may be included.</w:t>
      </w:r>
    </w:p>
    <w:p w14:paraId="7115241C" w14:textId="77777777" w:rsidR="00E93F58" w:rsidRPr="00A35C95" w:rsidRDefault="00E93F58" w:rsidP="00366AB5">
      <w:pPr>
        <w:pStyle w:val="notetext"/>
        <w:tabs>
          <w:tab w:val="left" w:pos="2835"/>
        </w:tabs>
      </w:pPr>
      <w:r w:rsidRPr="00A35C95">
        <w:t>Note:</w:t>
      </w:r>
      <w:r w:rsidRPr="00A35C95">
        <w:tab/>
      </w:r>
      <w:r w:rsidRPr="00A35C95">
        <w:rPr>
          <w:i/>
        </w:rPr>
        <w:t>Control</w:t>
      </w:r>
      <w:r w:rsidRPr="00A35C95">
        <w:t xml:space="preserve"> is defined in section 50AA.”</w:t>
      </w:r>
    </w:p>
    <w:p w14:paraId="53173284" w14:textId="77777777" w:rsidR="00E93F58" w:rsidRPr="00A35C95" w:rsidRDefault="00E93F58" w:rsidP="00366AB5">
      <w:pPr>
        <w:pStyle w:val="Tabletext"/>
        <w:tabs>
          <w:tab w:val="left" w:pos="2835"/>
        </w:tab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2"/>
        <w:gridCol w:w="5837"/>
        <w:gridCol w:w="3294"/>
      </w:tblGrid>
      <w:tr w:rsidR="00E93F58" w:rsidRPr="00A35C95" w14:paraId="79BF12C4" w14:textId="77777777" w:rsidTr="00B8041E">
        <w:trPr>
          <w:tblHeader/>
        </w:trPr>
        <w:tc>
          <w:tcPr>
            <w:tcW w:w="762" w:type="pct"/>
            <w:tcBorders>
              <w:top w:val="single" w:sz="12" w:space="0" w:color="auto"/>
              <w:bottom w:val="single" w:sz="6" w:space="0" w:color="auto"/>
            </w:tcBorders>
            <w:shd w:val="clear" w:color="auto" w:fill="auto"/>
          </w:tcPr>
          <w:p w14:paraId="3BF9E4F8" w14:textId="77777777" w:rsidR="00E93F58" w:rsidRPr="00A35C95" w:rsidRDefault="00E93F58" w:rsidP="00366AB5">
            <w:pPr>
              <w:pStyle w:val="TableHeading"/>
              <w:tabs>
                <w:tab w:val="left" w:pos="2835"/>
              </w:tabs>
            </w:pPr>
            <w:r w:rsidRPr="00A35C95">
              <w:t>Column 1</w:t>
            </w:r>
          </w:p>
        </w:tc>
        <w:tc>
          <w:tcPr>
            <w:tcW w:w="2709" w:type="pct"/>
            <w:tcBorders>
              <w:top w:val="single" w:sz="12" w:space="0" w:color="auto"/>
              <w:bottom w:val="single" w:sz="6" w:space="0" w:color="auto"/>
            </w:tcBorders>
            <w:shd w:val="clear" w:color="auto" w:fill="auto"/>
          </w:tcPr>
          <w:p w14:paraId="7CD1D0F6" w14:textId="77777777" w:rsidR="00E93F58" w:rsidRPr="00A35C95" w:rsidRDefault="00E93F58" w:rsidP="00366AB5">
            <w:pPr>
              <w:pStyle w:val="TableHeading"/>
              <w:tabs>
                <w:tab w:val="left" w:pos="2835"/>
              </w:tabs>
            </w:pPr>
            <w:r w:rsidRPr="00A35C95">
              <w:t>Column 2</w:t>
            </w:r>
          </w:p>
        </w:tc>
        <w:tc>
          <w:tcPr>
            <w:tcW w:w="1529" w:type="pct"/>
            <w:tcBorders>
              <w:top w:val="single" w:sz="12" w:space="0" w:color="auto"/>
              <w:bottom w:val="single" w:sz="6" w:space="0" w:color="auto"/>
            </w:tcBorders>
            <w:shd w:val="clear" w:color="auto" w:fill="auto"/>
          </w:tcPr>
          <w:p w14:paraId="184A6987" w14:textId="77777777" w:rsidR="00E93F58" w:rsidRPr="00A35C95" w:rsidRDefault="00E93F58" w:rsidP="00366AB5">
            <w:pPr>
              <w:pStyle w:val="TableHeading"/>
              <w:tabs>
                <w:tab w:val="left" w:pos="2835"/>
              </w:tabs>
            </w:pPr>
            <w:r w:rsidRPr="00A35C95">
              <w:t>Column 3</w:t>
            </w:r>
          </w:p>
        </w:tc>
      </w:tr>
      <w:tr w:rsidR="00E93F58" w:rsidRPr="00A35C95" w14:paraId="4F055797" w14:textId="77777777" w:rsidTr="00B8041E">
        <w:trPr>
          <w:tblHeader/>
        </w:trPr>
        <w:tc>
          <w:tcPr>
            <w:tcW w:w="762" w:type="pct"/>
            <w:tcBorders>
              <w:top w:val="single" w:sz="6" w:space="0" w:color="auto"/>
              <w:bottom w:val="single" w:sz="12" w:space="0" w:color="auto"/>
            </w:tcBorders>
            <w:shd w:val="clear" w:color="auto" w:fill="auto"/>
          </w:tcPr>
          <w:p w14:paraId="323FE848" w14:textId="77777777" w:rsidR="00E93F58" w:rsidRPr="00A35C95" w:rsidRDefault="00E93F58" w:rsidP="00366AB5">
            <w:pPr>
              <w:pStyle w:val="TableHeading"/>
              <w:tabs>
                <w:tab w:val="left" w:pos="2835"/>
              </w:tabs>
            </w:pPr>
            <w:r w:rsidRPr="00A35C95">
              <w:t>Item</w:t>
            </w:r>
          </w:p>
        </w:tc>
        <w:tc>
          <w:tcPr>
            <w:tcW w:w="2709" w:type="pct"/>
            <w:tcBorders>
              <w:top w:val="single" w:sz="6" w:space="0" w:color="auto"/>
              <w:bottom w:val="single" w:sz="12" w:space="0" w:color="auto"/>
            </w:tcBorders>
            <w:shd w:val="clear" w:color="auto" w:fill="auto"/>
          </w:tcPr>
          <w:p w14:paraId="58BEEE64" w14:textId="77777777" w:rsidR="00E93F58" w:rsidRPr="00A35C95" w:rsidRDefault="00E93F58" w:rsidP="00366AB5">
            <w:pPr>
              <w:pStyle w:val="TableHeading"/>
              <w:tabs>
                <w:tab w:val="left" w:pos="2835"/>
              </w:tabs>
            </w:pPr>
            <w:r w:rsidRPr="00A35C95">
              <w:t>Provisions of Act</w:t>
            </w:r>
          </w:p>
        </w:tc>
        <w:tc>
          <w:tcPr>
            <w:tcW w:w="1529" w:type="pct"/>
            <w:tcBorders>
              <w:top w:val="single" w:sz="6" w:space="0" w:color="auto"/>
              <w:bottom w:val="single" w:sz="12" w:space="0" w:color="auto"/>
            </w:tcBorders>
            <w:shd w:val="clear" w:color="auto" w:fill="auto"/>
          </w:tcPr>
          <w:p w14:paraId="2FCC632C" w14:textId="77777777" w:rsidR="00E93F58" w:rsidRPr="00A35C95" w:rsidRDefault="00E93F58" w:rsidP="00366AB5">
            <w:pPr>
              <w:pStyle w:val="TableHeading"/>
              <w:tabs>
                <w:tab w:val="left" w:pos="2835"/>
              </w:tabs>
            </w:pPr>
          </w:p>
        </w:tc>
      </w:tr>
      <w:tr w:rsidR="00E93F58" w:rsidRPr="00A35C95" w14:paraId="284A4918" w14:textId="77777777" w:rsidTr="00B8041E">
        <w:tc>
          <w:tcPr>
            <w:tcW w:w="762" w:type="pct"/>
            <w:tcBorders>
              <w:top w:val="single" w:sz="12" w:space="0" w:color="auto"/>
            </w:tcBorders>
            <w:shd w:val="clear" w:color="auto" w:fill="auto"/>
          </w:tcPr>
          <w:p w14:paraId="1AFE1612" w14:textId="77777777" w:rsidR="00E93F58" w:rsidRPr="00A35C95" w:rsidRDefault="00E93F58" w:rsidP="00366AB5">
            <w:pPr>
              <w:pStyle w:val="Tabletext"/>
              <w:tabs>
                <w:tab w:val="left" w:pos="2835"/>
              </w:tabs>
            </w:pPr>
            <w:r w:rsidRPr="00A35C95">
              <w:t>1</w:t>
            </w:r>
          </w:p>
        </w:tc>
        <w:tc>
          <w:tcPr>
            <w:tcW w:w="2709" w:type="pct"/>
            <w:tcBorders>
              <w:top w:val="single" w:sz="12" w:space="0" w:color="auto"/>
            </w:tcBorders>
            <w:shd w:val="clear" w:color="auto" w:fill="auto"/>
          </w:tcPr>
          <w:p w14:paraId="20A17EB1" w14:textId="77777777" w:rsidR="00E93F58" w:rsidRPr="00A35C95" w:rsidRDefault="00E93F58" w:rsidP="00366AB5">
            <w:pPr>
              <w:pStyle w:val="Tabletext"/>
              <w:tabs>
                <w:tab w:val="left" w:pos="2835"/>
              </w:tabs>
            </w:pPr>
            <w:r w:rsidRPr="00A35C95">
              <w:t>paragraph 926B(1)(c)</w:t>
            </w:r>
          </w:p>
        </w:tc>
        <w:tc>
          <w:tcPr>
            <w:tcW w:w="1529" w:type="pct"/>
            <w:tcBorders>
              <w:top w:val="single" w:sz="12" w:space="0" w:color="auto"/>
            </w:tcBorders>
            <w:shd w:val="clear" w:color="auto" w:fill="auto"/>
          </w:tcPr>
          <w:p w14:paraId="6E861115" w14:textId="77777777" w:rsidR="00E93F58" w:rsidRPr="00A35C95" w:rsidRDefault="00E93F58" w:rsidP="00366AB5">
            <w:pPr>
              <w:pStyle w:val="Tabletext"/>
              <w:tabs>
                <w:tab w:val="left" w:pos="2835"/>
              </w:tabs>
            </w:pPr>
            <w:r w:rsidRPr="00A35C95">
              <w:t>Part 7.6</w:t>
            </w:r>
          </w:p>
        </w:tc>
      </w:tr>
      <w:tr w:rsidR="00E93F58" w:rsidRPr="00A35C95" w14:paraId="4F1493D3" w14:textId="77777777" w:rsidTr="00B8041E">
        <w:tc>
          <w:tcPr>
            <w:tcW w:w="762" w:type="pct"/>
            <w:shd w:val="clear" w:color="auto" w:fill="auto"/>
          </w:tcPr>
          <w:p w14:paraId="44E2D7F0" w14:textId="77777777" w:rsidR="00E93F58" w:rsidRPr="00A35C95" w:rsidRDefault="00E93F58" w:rsidP="00366AB5">
            <w:pPr>
              <w:pStyle w:val="Tabletext"/>
              <w:tabs>
                <w:tab w:val="left" w:pos="2835"/>
              </w:tabs>
            </w:pPr>
            <w:r w:rsidRPr="00A35C95">
              <w:t>2</w:t>
            </w:r>
          </w:p>
        </w:tc>
        <w:tc>
          <w:tcPr>
            <w:tcW w:w="2709" w:type="pct"/>
            <w:shd w:val="clear" w:color="auto" w:fill="auto"/>
          </w:tcPr>
          <w:p w14:paraId="4D82F132" w14:textId="77777777" w:rsidR="00E93F58" w:rsidRPr="00A35C95" w:rsidRDefault="00E93F58" w:rsidP="00366AB5">
            <w:pPr>
              <w:pStyle w:val="Tabletext"/>
              <w:tabs>
                <w:tab w:val="left" w:pos="2835"/>
              </w:tabs>
            </w:pPr>
            <w:r w:rsidRPr="00A35C95">
              <w:t>paragraph 951C(1)(c)</w:t>
            </w:r>
          </w:p>
        </w:tc>
        <w:tc>
          <w:tcPr>
            <w:tcW w:w="1529" w:type="pct"/>
            <w:shd w:val="clear" w:color="auto" w:fill="auto"/>
          </w:tcPr>
          <w:p w14:paraId="336BF14B" w14:textId="77777777" w:rsidR="00E93F58" w:rsidRPr="00A35C95" w:rsidRDefault="00E93F58" w:rsidP="00366AB5">
            <w:pPr>
              <w:pStyle w:val="Tabletext"/>
              <w:tabs>
                <w:tab w:val="left" w:pos="2835"/>
              </w:tabs>
            </w:pPr>
            <w:r w:rsidRPr="00A35C95">
              <w:t>Part 7.7</w:t>
            </w:r>
          </w:p>
        </w:tc>
      </w:tr>
      <w:tr w:rsidR="00E93F58" w:rsidRPr="00A35C95" w14:paraId="7D9C8F95" w14:textId="77777777" w:rsidTr="00B8041E">
        <w:tc>
          <w:tcPr>
            <w:tcW w:w="762" w:type="pct"/>
            <w:shd w:val="clear" w:color="auto" w:fill="auto"/>
          </w:tcPr>
          <w:p w14:paraId="6377EDBA" w14:textId="77777777" w:rsidR="00E93F58" w:rsidRPr="00A35C95" w:rsidRDefault="00E93F58" w:rsidP="00366AB5">
            <w:pPr>
              <w:pStyle w:val="Tabletext"/>
              <w:tabs>
                <w:tab w:val="left" w:pos="2835"/>
              </w:tabs>
            </w:pPr>
            <w:r w:rsidRPr="00A35C95">
              <w:t>2A</w:t>
            </w:r>
          </w:p>
        </w:tc>
        <w:tc>
          <w:tcPr>
            <w:tcW w:w="2709" w:type="pct"/>
            <w:shd w:val="clear" w:color="auto" w:fill="auto"/>
          </w:tcPr>
          <w:p w14:paraId="0AE7DDE0" w14:textId="77777777" w:rsidR="00E93F58" w:rsidRPr="00A35C95" w:rsidRDefault="00E93F58" w:rsidP="00366AB5">
            <w:pPr>
              <w:pStyle w:val="Tabletext"/>
              <w:tabs>
                <w:tab w:val="left" w:pos="2835"/>
              </w:tabs>
            </w:pPr>
            <w:r w:rsidRPr="00A35C95">
              <w:t>section 1368</w:t>
            </w:r>
          </w:p>
        </w:tc>
        <w:tc>
          <w:tcPr>
            <w:tcW w:w="1529" w:type="pct"/>
            <w:shd w:val="clear" w:color="auto" w:fill="auto"/>
          </w:tcPr>
          <w:p w14:paraId="7C37A407" w14:textId="77777777" w:rsidR="00E93F58" w:rsidRPr="00A35C95" w:rsidRDefault="00E93F58" w:rsidP="00366AB5">
            <w:pPr>
              <w:pStyle w:val="Tabletext"/>
              <w:tabs>
                <w:tab w:val="left" w:pos="2835"/>
              </w:tabs>
            </w:pPr>
            <w:r w:rsidRPr="00A35C95">
              <w:t>Part 7.7A</w:t>
            </w:r>
          </w:p>
        </w:tc>
      </w:tr>
      <w:tr w:rsidR="00E93F58" w:rsidRPr="00A35C95" w14:paraId="1841A64D" w14:textId="77777777" w:rsidTr="00B8041E">
        <w:tc>
          <w:tcPr>
            <w:tcW w:w="762" w:type="pct"/>
            <w:tcBorders>
              <w:bottom w:val="single" w:sz="4" w:space="0" w:color="auto"/>
            </w:tcBorders>
            <w:shd w:val="clear" w:color="auto" w:fill="auto"/>
          </w:tcPr>
          <w:p w14:paraId="7A3D4ED2" w14:textId="77777777" w:rsidR="00E93F58" w:rsidRPr="00A35C95" w:rsidRDefault="00E93F58" w:rsidP="00366AB5">
            <w:pPr>
              <w:pStyle w:val="Tabletext"/>
              <w:tabs>
                <w:tab w:val="left" w:pos="2835"/>
              </w:tabs>
            </w:pPr>
            <w:r w:rsidRPr="00A35C95">
              <w:t>3</w:t>
            </w:r>
          </w:p>
        </w:tc>
        <w:tc>
          <w:tcPr>
            <w:tcW w:w="2709" w:type="pct"/>
            <w:tcBorders>
              <w:bottom w:val="single" w:sz="4" w:space="0" w:color="auto"/>
            </w:tcBorders>
            <w:shd w:val="clear" w:color="auto" w:fill="auto"/>
          </w:tcPr>
          <w:p w14:paraId="1D05CCB2" w14:textId="77777777" w:rsidR="00E93F58" w:rsidRPr="00A35C95" w:rsidRDefault="00E93F58" w:rsidP="00366AB5">
            <w:pPr>
              <w:pStyle w:val="Tabletext"/>
              <w:tabs>
                <w:tab w:val="left" w:pos="2835"/>
              </w:tabs>
            </w:pPr>
            <w:r w:rsidRPr="00A35C95">
              <w:t>paragraph 992C(1)(c)</w:t>
            </w:r>
          </w:p>
        </w:tc>
        <w:tc>
          <w:tcPr>
            <w:tcW w:w="1529" w:type="pct"/>
            <w:tcBorders>
              <w:bottom w:val="single" w:sz="4" w:space="0" w:color="auto"/>
            </w:tcBorders>
            <w:shd w:val="clear" w:color="auto" w:fill="auto"/>
          </w:tcPr>
          <w:p w14:paraId="028A8CA1" w14:textId="77777777" w:rsidR="00E93F58" w:rsidRPr="00A35C95" w:rsidRDefault="00E93F58" w:rsidP="00366AB5">
            <w:pPr>
              <w:pStyle w:val="Tabletext"/>
              <w:tabs>
                <w:tab w:val="left" w:pos="2835"/>
              </w:tabs>
            </w:pPr>
            <w:r w:rsidRPr="00A35C95">
              <w:t>Part 7.8</w:t>
            </w:r>
          </w:p>
        </w:tc>
      </w:tr>
      <w:tr w:rsidR="00E93F58" w:rsidRPr="00A35C95" w14:paraId="6585CE55" w14:textId="77777777" w:rsidTr="00B8041E">
        <w:tc>
          <w:tcPr>
            <w:tcW w:w="762" w:type="pct"/>
            <w:tcBorders>
              <w:bottom w:val="single" w:sz="12" w:space="0" w:color="auto"/>
            </w:tcBorders>
            <w:shd w:val="clear" w:color="auto" w:fill="auto"/>
          </w:tcPr>
          <w:p w14:paraId="29959917" w14:textId="77777777" w:rsidR="00E93F58" w:rsidRPr="00A35C95" w:rsidRDefault="00E93F58" w:rsidP="00366AB5">
            <w:pPr>
              <w:pStyle w:val="Tabletext"/>
              <w:tabs>
                <w:tab w:val="left" w:pos="2835"/>
              </w:tabs>
            </w:pPr>
            <w:r w:rsidRPr="00A35C95">
              <w:t>4</w:t>
            </w:r>
          </w:p>
        </w:tc>
        <w:tc>
          <w:tcPr>
            <w:tcW w:w="2709" w:type="pct"/>
            <w:tcBorders>
              <w:bottom w:val="single" w:sz="12" w:space="0" w:color="auto"/>
            </w:tcBorders>
            <w:shd w:val="clear" w:color="auto" w:fill="auto"/>
          </w:tcPr>
          <w:p w14:paraId="6B1ECBEA" w14:textId="77777777" w:rsidR="00E93F58" w:rsidRPr="00A35C95" w:rsidRDefault="00E93F58" w:rsidP="00366AB5">
            <w:pPr>
              <w:pStyle w:val="Tabletext"/>
              <w:tabs>
                <w:tab w:val="left" w:pos="2835"/>
              </w:tabs>
            </w:pPr>
            <w:r w:rsidRPr="00A35C95">
              <w:t>paragraph 1020G(1)(c)</w:t>
            </w:r>
          </w:p>
        </w:tc>
        <w:tc>
          <w:tcPr>
            <w:tcW w:w="1529" w:type="pct"/>
            <w:tcBorders>
              <w:bottom w:val="single" w:sz="12" w:space="0" w:color="auto"/>
            </w:tcBorders>
            <w:shd w:val="clear" w:color="auto" w:fill="auto"/>
          </w:tcPr>
          <w:p w14:paraId="1781B191" w14:textId="77777777" w:rsidR="00E93F58" w:rsidRPr="00A35C95" w:rsidRDefault="00E93F58" w:rsidP="00366AB5">
            <w:pPr>
              <w:pStyle w:val="Tabletext"/>
              <w:tabs>
                <w:tab w:val="left" w:pos="2835"/>
              </w:tabs>
            </w:pPr>
            <w:r w:rsidRPr="00A35C95">
              <w:t>Part 7.9</w:t>
            </w:r>
          </w:p>
        </w:tc>
      </w:tr>
    </w:tbl>
    <w:p w14:paraId="594977BB" w14:textId="77777777" w:rsidR="00E93F58" w:rsidRPr="00A35C95" w:rsidRDefault="00E93F58" w:rsidP="00366AB5">
      <w:pPr>
        <w:pStyle w:val="ActHead5"/>
        <w:tabs>
          <w:tab w:val="left" w:pos="2835"/>
        </w:tabs>
        <w:rPr>
          <w:i/>
        </w:rPr>
      </w:pPr>
      <w:bookmarkStart w:id="966" w:name="_Toc152058056"/>
      <w:bookmarkStart w:id="967" w:name="_Toc158712279"/>
      <w:r w:rsidRPr="00844D11">
        <w:rPr>
          <w:rStyle w:val="CharSectno"/>
        </w:rPr>
        <w:t>7.6.02AD</w:t>
      </w:r>
      <w:r w:rsidRPr="00A35C95">
        <w:t xml:space="preserve">  Modification of section 761G of the Act: meaning of </w:t>
      </w:r>
      <w:r w:rsidRPr="00A35C95">
        <w:rPr>
          <w:i/>
        </w:rPr>
        <w:t xml:space="preserve">retail client </w:t>
      </w:r>
      <w:r w:rsidRPr="00A35C95">
        <w:t xml:space="preserve">and </w:t>
      </w:r>
      <w:r w:rsidRPr="00A35C95">
        <w:rPr>
          <w:i/>
        </w:rPr>
        <w:t>wholesale client</w:t>
      </w:r>
      <w:bookmarkEnd w:id="966"/>
      <w:bookmarkEnd w:id="967"/>
    </w:p>
    <w:p w14:paraId="72832D80" w14:textId="77777777" w:rsidR="00E93F58" w:rsidRPr="00A35C95" w:rsidRDefault="00E93F58" w:rsidP="00366AB5">
      <w:pPr>
        <w:pStyle w:val="subsection"/>
        <w:tabs>
          <w:tab w:val="left" w:pos="2835"/>
        </w:tabs>
      </w:pPr>
      <w:r w:rsidRPr="00A35C95">
        <w:tab/>
      </w:r>
      <w:r w:rsidRPr="00A35C95">
        <w:tab/>
        <w:t>For the provisions of the Act set out in column 2 of the following table, the Parts of the Act specified in column 3 apply as if section 761G of the Act were modified by inserting after subsection 761G(4), the following subsection:</w:t>
      </w:r>
    </w:p>
    <w:p w14:paraId="2D758F46" w14:textId="77777777" w:rsidR="00E93F58" w:rsidRPr="00A35C95" w:rsidRDefault="00E93F58" w:rsidP="00366AB5">
      <w:pPr>
        <w:pStyle w:val="subsection"/>
        <w:tabs>
          <w:tab w:val="left" w:pos="2835"/>
        </w:tabs>
      </w:pPr>
      <w:r w:rsidRPr="00A35C95">
        <w:tab/>
        <w:t>“(4A)</w:t>
      </w:r>
      <w:r w:rsidRPr="00A35C95">
        <w:tab/>
      </w:r>
      <w:r w:rsidRPr="00BE1284">
        <w:t>If</w:t>
      </w:r>
      <w:r w:rsidRPr="00A35C95">
        <w:t xml:space="preserve"> a financial product, or a financial service, is or would be provided to, or acquired by, a body corporate as a wholesale client, related bodies corporate of the client are taken to be wholesale clients in respect of the provision or acquisition of that financial product or financial service.”</w:t>
      </w:r>
    </w:p>
    <w:p w14:paraId="12062901" w14:textId="77777777" w:rsidR="00E93F58" w:rsidRPr="00A35C95" w:rsidRDefault="00E93F58" w:rsidP="00366AB5">
      <w:pPr>
        <w:pStyle w:val="Tabletext"/>
        <w:tabs>
          <w:tab w:val="left" w:pos="2835"/>
        </w:tab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2"/>
        <w:gridCol w:w="5837"/>
        <w:gridCol w:w="3294"/>
      </w:tblGrid>
      <w:tr w:rsidR="00E93F58" w:rsidRPr="00A35C95" w14:paraId="43832C32" w14:textId="77777777" w:rsidTr="00B8041E">
        <w:trPr>
          <w:tblHeader/>
        </w:trPr>
        <w:tc>
          <w:tcPr>
            <w:tcW w:w="762" w:type="pct"/>
            <w:tcBorders>
              <w:top w:val="single" w:sz="12" w:space="0" w:color="auto"/>
              <w:bottom w:val="single" w:sz="6" w:space="0" w:color="auto"/>
            </w:tcBorders>
            <w:shd w:val="clear" w:color="auto" w:fill="auto"/>
          </w:tcPr>
          <w:p w14:paraId="115FC429" w14:textId="77777777" w:rsidR="00E93F58" w:rsidRPr="00A35C95" w:rsidRDefault="00E93F58" w:rsidP="00366AB5">
            <w:pPr>
              <w:pStyle w:val="TableHeading"/>
              <w:tabs>
                <w:tab w:val="left" w:pos="2835"/>
              </w:tabs>
            </w:pPr>
            <w:r w:rsidRPr="00A35C95">
              <w:t>Column 1</w:t>
            </w:r>
          </w:p>
        </w:tc>
        <w:tc>
          <w:tcPr>
            <w:tcW w:w="2709" w:type="pct"/>
            <w:tcBorders>
              <w:top w:val="single" w:sz="12" w:space="0" w:color="auto"/>
              <w:bottom w:val="single" w:sz="6" w:space="0" w:color="auto"/>
            </w:tcBorders>
            <w:shd w:val="clear" w:color="auto" w:fill="auto"/>
          </w:tcPr>
          <w:p w14:paraId="21F52699" w14:textId="77777777" w:rsidR="00E93F58" w:rsidRPr="00A35C95" w:rsidRDefault="00E93F58" w:rsidP="00366AB5">
            <w:pPr>
              <w:pStyle w:val="TableHeading"/>
              <w:tabs>
                <w:tab w:val="left" w:pos="2835"/>
              </w:tabs>
            </w:pPr>
            <w:r w:rsidRPr="00A35C95">
              <w:t>Column 2</w:t>
            </w:r>
          </w:p>
        </w:tc>
        <w:tc>
          <w:tcPr>
            <w:tcW w:w="1529" w:type="pct"/>
            <w:tcBorders>
              <w:top w:val="single" w:sz="12" w:space="0" w:color="auto"/>
              <w:bottom w:val="single" w:sz="6" w:space="0" w:color="auto"/>
            </w:tcBorders>
            <w:shd w:val="clear" w:color="auto" w:fill="auto"/>
          </w:tcPr>
          <w:p w14:paraId="54D67CEB" w14:textId="77777777" w:rsidR="00E93F58" w:rsidRPr="00A35C95" w:rsidRDefault="00E93F58" w:rsidP="00366AB5">
            <w:pPr>
              <w:pStyle w:val="TableHeading"/>
              <w:tabs>
                <w:tab w:val="left" w:pos="2835"/>
              </w:tabs>
            </w:pPr>
            <w:r w:rsidRPr="00A35C95">
              <w:t>Column 3</w:t>
            </w:r>
          </w:p>
        </w:tc>
      </w:tr>
      <w:tr w:rsidR="00E93F58" w:rsidRPr="00A35C95" w14:paraId="7E882394" w14:textId="77777777" w:rsidTr="00B8041E">
        <w:trPr>
          <w:tblHeader/>
        </w:trPr>
        <w:tc>
          <w:tcPr>
            <w:tcW w:w="762" w:type="pct"/>
            <w:tcBorders>
              <w:top w:val="single" w:sz="6" w:space="0" w:color="auto"/>
              <w:bottom w:val="single" w:sz="12" w:space="0" w:color="auto"/>
            </w:tcBorders>
            <w:shd w:val="clear" w:color="auto" w:fill="auto"/>
          </w:tcPr>
          <w:p w14:paraId="1A43586D" w14:textId="77777777" w:rsidR="00E93F58" w:rsidRPr="00A35C95" w:rsidRDefault="00E93F58" w:rsidP="00366AB5">
            <w:pPr>
              <w:pStyle w:val="TableHeading"/>
              <w:tabs>
                <w:tab w:val="left" w:pos="2835"/>
              </w:tabs>
            </w:pPr>
            <w:r w:rsidRPr="00A35C95">
              <w:t>Item</w:t>
            </w:r>
          </w:p>
        </w:tc>
        <w:tc>
          <w:tcPr>
            <w:tcW w:w="2709" w:type="pct"/>
            <w:tcBorders>
              <w:top w:val="single" w:sz="6" w:space="0" w:color="auto"/>
              <w:bottom w:val="single" w:sz="12" w:space="0" w:color="auto"/>
            </w:tcBorders>
            <w:shd w:val="clear" w:color="auto" w:fill="auto"/>
          </w:tcPr>
          <w:p w14:paraId="24A41468" w14:textId="77777777" w:rsidR="00E93F58" w:rsidRPr="00A35C95" w:rsidRDefault="00E93F58" w:rsidP="00366AB5">
            <w:pPr>
              <w:pStyle w:val="TableHeading"/>
              <w:tabs>
                <w:tab w:val="left" w:pos="2835"/>
              </w:tabs>
            </w:pPr>
            <w:r w:rsidRPr="00A35C95">
              <w:t>Provisions of Act</w:t>
            </w:r>
          </w:p>
        </w:tc>
        <w:tc>
          <w:tcPr>
            <w:tcW w:w="1529" w:type="pct"/>
            <w:tcBorders>
              <w:top w:val="single" w:sz="6" w:space="0" w:color="auto"/>
              <w:bottom w:val="single" w:sz="12" w:space="0" w:color="auto"/>
            </w:tcBorders>
            <w:shd w:val="clear" w:color="auto" w:fill="auto"/>
          </w:tcPr>
          <w:p w14:paraId="45AFA635" w14:textId="77777777" w:rsidR="00E93F58" w:rsidRPr="00A35C95" w:rsidRDefault="00E93F58" w:rsidP="00366AB5">
            <w:pPr>
              <w:pStyle w:val="TableHeading"/>
              <w:tabs>
                <w:tab w:val="left" w:pos="2835"/>
              </w:tabs>
            </w:pPr>
          </w:p>
        </w:tc>
      </w:tr>
      <w:tr w:rsidR="00E93F58" w:rsidRPr="00A35C95" w14:paraId="1B0C0EBC" w14:textId="77777777" w:rsidTr="00B8041E">
        <w:tc>
          <w:tcPr>
            <w:tcW w:w="762" w:type="pct"/>
            <w:tcBorders>
              <w:top w:val="single" w:sz="12" w:space="0" w:color="auto"/>
            </w:tcBorders>
            <w:shd w:val="clear" w:color="auto" w:fill="auto"/>
          </w:tcPr>
          <w:p w14:paraId="47C9ED49" w14:textId="77777777" w:rsidR="00E93F58" w:rsidRPr="00A35C95" w:rsidRDefault="00E93F58" w:rsidP="00366AB5">
            <w:pPr>
              <w:pStyle w:val="Tabletext"/>
              <w:tabs>
                <w:tab w:val="left" w:pos="2835"/>
              </w:tabs>
            </w:pPr>
            <w:r w:rsidRPr="00A35C95">
              <w:t>1</w:t>
            </w:r>
          </w:p>
        </w:tc>
        <w:tc>
          <w:tcPr>
            <w:tcW w:w="2709" w:type="pct"/>
            <w:tcBorders>
              <w:top w:val="single" w:sz="12" w:space="0" w:color="auto"/>
            </w:tcBorders>
            <w:shd w:val="clear" w:color="auto" w:fill="auto"/>
          </w:tcPr>
          <w:p w14:paraId="28A0E190" w14:textId="77777777" w:rsidR="00E93F58" w:rsidRPr="00A35C95" w:rsidRDefault="00E93F58" w:rsidP="00366AB5">
            <w:pPr>
              <w:pStyle w:val="Tabletext"/>
              <w:tabs>
                <w:tab w:val="left" w:pos="2835"/>
              </w:tabs>
            </w:pPr>
            <w:r w:rsidRPr="00A35C95">
              <w:t>paragraph 926B(1)(c)</w:t>
            </w:r>
          </w:p>
        </w:tc>
        <w:tc>
          <w:tcPr>
            <w:tcW w:w="1529" w:type="pct"/>
            <w:tcBorders>
              <w:top w:val="single" w:sz="12" w:space="0" w:color="auto"/>
            </w:tcBorders>
            <w:shd w:val="clear" w:color="auto" w:fill="auto"/>
          </w:tcPr>
          <w:p w14:paraId="3EFA1533" w14:textId="77777777" w:rsidR="00E93F58" w:rsidRPr="00A35C95" w:rsidRDefault="00E93F58" w:rsidP="00366AB5">
            <w:pPr>
              <w:pStyle w:val="Tabletext"/>
              <w:tabs>
                <w:tab w:val="left" w:pos="2835"/>
              </w:tabs>
            </w:pPr>
            <w:r w:rsidRPr="00A35C95">
              <w:t>Part 7.6</w:t>
            </w:r>
          </w:p>
        </w:tc>
      </w:tr>
      <w:tr w:rsidR="00E93F58" w:rsidRPr="00A35C95" w14:paraId="411DF886" w14:textId="77777777" w:rsidTr="00B8041E">
        <w:tc>
          <w:tcPr>
            <w:tcW w:w="762" w:type="pct"/>
            <w:shd w:val="clear" w:color="auto" w:fill="auto"/>
          </w:tcPr>
          <w:p w14:paraId="389E0788" w14:textId="77777777" w:rsidR="00E93F58" w:rsidRPr="00A35C95" w:rsidRDefault="00E93F58" w:rsidP="00366AB5">
            <w:pPr>
              <w:pStyle w:val="Tabletext"/>
              <w:tabs>
                <w:tab w:val="left" w:pos="2835"/>
              </w:tabs>
            </w:pPr>
            <w:r w:rsidRPr="00A35C95">
              <w:t>2</w:t>
            </w:r>
          </w:p>
        </w:tc>
        <w:tc>
          <w:tcPr>
            <w:tcW w:w="2709" w:type="pct"/>
            <w:shd w:val="clear" w:color="auto" w:fill="auto"/>
          </w:tcPr>
          <w:p w14:paraId="2193BFF4" w14:textId="77777777" w:rsidR="00E93F58" w:rsidRPr="00A35C95" w:rsidRDefault="00E93F58" w:rsidP="00366AB5">
            <w:pPr>
              <w:pStyle w:val="Tabletext"/>
              <w:tabs>
                <w:tab w:val="left" w:pos="2835"/>
              </w:tabs>
            </w:pPr>
            <w:r w:rsidRPr="00A35C95">
              <w:t>paragraph 951C(1)(c)</w:t>
            </w:r>
          </w:p>
        </w:tc>
        <w:tc>
          <w:tcPr>
            <w:tcW w:w="1529" w:type="pct"/>
            <w:shd w:val="clear" w:color="auto" w:fill="auto"/>
          </w:tcPr>
          <w:p w14:paraId="3C37BB6C" w14:textId="77777777" w:rsidR="00E93F58" w:rsidRPr="00A35C95" w:rsidRDefault="00E93F58" w:rsidP="00366AB5">
            <w:pPr>
              <w:pStyle w:val="Tabletext"/>
              <w:tabs>
                <w:tab w:val="left" w:pos="2835"/>
              </w:tabs>
            </w:pPr>
            <w:r w:rsidRPr="00A35C95">
              <w:t>Part 7.7</w:t>
            </w:r>
          </w:p>
        </w:tc>
      </w:tr>
      <w:tr w:rsidR="00E93F58" w:rsidRPr="00A35C95" w14:paraId="5440876C" w14:textId="77777777" w:rsidTr="00B8041E">
        <w:tc>
          <w:tcPr>
            <w:tcW w:w="762" w:type="pct"/>
            <w:shd w:val="clear" w:color="auto" w:fill="auto"/>
          </w:tcPr>
          <w:p w14:paraId="35D401CD" w14:textId="77777777" w:rsidR="00E93F58" w:rsidRPr="00A35C95" w:rsidRDefault="00E93F58" w:rsidP="00366AB5">
            <w:pPr>
              <w:pStyle w:val="Tabletext"/>
              <w:tabs>
                <w:tab w:val="left" w:pos="2835"/>
              </w:tabs>
            </w:pPr>
            <w:r w:rsidRPr="00A35C95">
              <w:t>2A</w:t>
            </w:r>
          </w:p>
        </w:tc>
        <w:tc>
          <w:tcPr>
            <w:tcW w:w="2709" w:type="pct"/>
            <w:shd w:val="clear" w:color="auto" w:fill="auto"/>
          </w:tcPr>
          <w:p w14:paraId="2155D623" w14:textId="77777777" w:rsidR="00E93F58" w:rsidRPr="00A35C95" w:rsidRDefault="00E93F58" w:rsidP="00366AB5">
            <w:pPr>
              <w:pStyle w:val="Tabletext"/>
              <w:tabs>
                <w:tab w:val="left" w:pos="2835"/>
              </w:tabs>
            </w:pPr>
            <w:r w:rsidRPr="00A35C95">
              <w:t>section 1368</w:t>
            </w:r>
          </w:p>
        </w:tc>
        <w:tc>
          <w:tcPr>
            <w:tcW w:w="1529" w:type="pct"/>
            <w:shd w:val="clear" w:color="auto" w:fill="auto"/>
          </w:tcPr>
          <w:p w14:paraId="7504CD2F" w14:textId="77777777" w:rsidR="00E93F58" w:rsidRPr="00A35C95" w:rsidRDefault="00E93F58" w:rsidP="00366AB5">
            <w:pPr>
              <w:pStyle w:val="Tabletext"/>
              <w:tabs>
                <w:tab w:val="left" w:pos="2835"/>
              </w:tabs>
            </w:pPr>
            <w:r w:rsidRPr="00A35C95">
              <w:t>Part 7.7A</w:t>
            </w:r>
          </w:p>
        </w:tc>
      </w:tr>
      <w:tr w:rsidR="00E93F58" w:rsidRPr="00A35C95" w14:paraId="4C48835D" w14:textId="77777777" w:rsidTr="00B8041E">
        <w:tc>
          <w:tcPr>
            <w:tcW w:w="762" w:type="pct"/>
            <w:tcBorders>
              <w:bottom w:val="single" w:sz="4" w:space="0" w:color="auto"/>
            </w:tcBorders>
            <w:shd w:val="clear" w:color="auto" w:fill="auto"/>
          </w:tcPr>
          <w:p w14:paraId="4A98241C" w14:textId="77777777" w:rsidR="00E93F58" w:rsidRPr="00A35C95" w:rsidRDefault="00E93F58" w:rsidP="00366AB5">
            <w:pPr>
              <w:pStyle w:val="Tabletext"/>
              <w:tabs>
                <w:tab w:val="left" w:pos="2835"/>
              </w:tabs>
            </w:pPr>
            <w:r w:rsidRPr="00A35C95">
              <w:t>3</w:t>
            </w:r>
          </w:p>
        </w:tc>
        <w:tc>
          <w:tcPr>
            <w:tcW w:w="2709" w:type="pct"/>
            <w:tcBorders>
              <w:bottom w:val="single" w:sz="4" w:space="0" w:color="auto"/>
            </w:tcBorders>
            <w:shd w:val="clear" w:color="auto" w:fill="auto"/>
          </w:tcPr>
          <w:p w14:paraId="49AE12E6" w14:textId="77777777" w:rsidR="00E93F58" w:rsidRPr="00A35C95" w:rsidRDefault="00E93F58" w:rsidP="00366AB5">
            <w:pPr>
              <w:pStyle w:val="Tabletext"/>
              <w:tabs>
                <w:tab w:val="left" w:pos="2835"/>
              </w:tabs>
            </w:pPr>
            <w:r w:rsidRPr="00A35C95">
              <w:t>paragraph 992C(1)(c)</w:t>
            </w:r>
          </w:p>
        </w:tc>
        <w:tc>
          <w:tcPr>
            <w:tcW w:w="1529" w:type="pct"/>
            <w:tcBorders>
              <w:bottom w:val="single" w:sz="4" w:space="0" w:color="auto"/>
            </w:tcBorders>
            <w:shd w:val="clear" w:color="auto" w:fill="auto"/>
          </w:tcPr>
          <w:p w14:paraId="3617DB65" w14:textId="77777777" w:rsidR="00E93F58" w:rsidRPr="00A35C95" w:rsidRDefault="00E93F58" w:rsidP="00366AB5">
            <w:pPr>
              <w:pStyle w:val="Tabletext"/>
              <w:tabs>
                <w:tab w:val="left" w:pos="2835"/>
              </w:tabs>
            </w:pPr>
            <w:r w:rsidRPr="00A35C95">
              <w:t>Part 7.8</w:t>
            </w:r>
          </w:p>
        </w:tc>
      </w:tr>
      <w:tr w:rsidR="00E93F58" w:rsidRPr="00A35C95" w14:paraId="3A363D82" w14:textId="77777777" w:rsidTr="00B8041E">
        <w:tc>
          <w:tcPr>
            <w:tcW w:w="762" w:type="pct"/>
            <w:tcBorders>
              <w:bottom w:val="single" w:sz="12" w:space="0" w:color="auto"/>
            </w:tcBorders>
            <w:shd w:val="clear" w:color="auto" w:fill="auto"/>
          </w:tcPr>
          <w:p w14:paraId="14E4602D" w14:textId="77777777" w:rsidR="00E93F58" w:rsidRPr="00A35C95" w:rsidRDefault="00E93F58" w:rsidP="00366AB5">
            <w:pPr>
              <w:pStyle w:val="Tabletext"/>
              <w:tabs>
                <w:tab w:val="left" w:pos="2835"/>
              </w:tabs>
            </w:pPr>
            <w:r w:rsidRPr="00A35C95">
              <w:t>4</w:t>
            </w:r>
          </w:p>
        </w:tc>
        <w:tc>
          <w:tcPr>
            <w:tcW w:w="2709" w:type="pct"/>
            <w:tcBorders>
              <w:bottom w:val="single" w:sz="12" w:space="0" w:color="auto"/>
            </w:tcBorders>
            <w:shd w:val="clear" w:color="auto" w:fill="auto"/>
          </w:tcPr>
          <w:p w14:paraId="184A6C93" w14:textId="77777777" w:rsidR="00E93F58" w:rsidRPr="00A35C95" w:rsidRDefault="00E93F58" w:rsidP="00366AB5">
            <w:pPr>
              <w:pStyle w:val="Tabletext"/>
              <w:tabs>
                <w:tab w:val="left" w:pos="2835"/>
              </w:tabs>
            </w:pPr>
            <w:r w:rsidRPr="00A35C95">
              <w:t>paragraph 1020G(1)(c)</w:t>
            </w:r>
          </w:p>
        </w:tc>
        <w:tc>
          <w:tcPr>
            <w:tcW w:w="1529" w:type="pct"/>
            <w:tcBorders>
              <w:bottom w:val="single" w:sz="12" w:space="0" w:color="auto"/>
            </w:tcBorders>
            <w:shd w:val="clear" w:color="auto" w:fill="auto"/>
          </w:tcPr>
          <w:p w14:paraId="7A340F27" w14:textId="77777777" w:rsidR="00E93F58" w:rsidRPr="00A35C95" w:rsidRDefault="00E93F58" w:rsidP="00366AB5">
            <w:pPr>
              <w:pStyle w:val="Tabletext"/>
              <w:tabs>
                <w:tab w:val="left" w:pos="2835"/>
              </w:tabs>
            </w:pPr>
            <w:r w:rsidRPr="00A35C95">
              <w:t>Part 7.9</w:t>
            </w:r>
          </w:p>
        </w:tc>
      </w:tr>
    </w:tbl>
    <w:p w14:paraId="4DE28542" w14:textId="77777777" w:rsidR="00E93F58" w:rsidRPr="00A35C95" w:rsidRDefault="00E93F58" w:rsidP="00366AB5">
      <w:pPr>
        <w:pStyle w:val="ActHead5"/>
        <w:tabs>
          <w:tab w:val="left" w:pos="2835"/>
        </w:tabs>
        <w:rPr>
          <w:i/>
        </w:rPr>
      </w:pPr>
      <w:bookmarkStart w:id="968" w:name="_Toc152058057"/>
      <w:bookmarkStart w:id="969" w:name="_Toc158712280"/>
      <w:r w:rsidRPr="00844D11">
        <w:rPr>
          <w:rStyle w:val="CharSectno"/>
        </w:rPr>
        <w:lastRenderedPageBreak/>
        <w:t>7.6.02AE</w:t>
      </w:r>
      <w:r w:rsidRPr="00A35C95">
        <w:t xml:space="preserve">  Modification of section 9 of the Act: Definition of </w:t>
      </w:r>
      <w:r w:rsidRPr="00A35C95">
        <w:rPr>
          <w:i/>
        </w:rPr>
        <w:t>professional investor</w:t>
      </w:r>
      <w:bookmarkEnd w:id="968"/>
      <w:bookmarkEnd w:id="969"/>
    </w:p>
    <w:p w14:paraId="061F1770" w14:textId="77777777" w:rsidR="00E93F58" w:rsidRPr="00A35C95" w:rsidRDefault="00E93F58" w:rsidP="00366AB5">
      <w:pPr>
        <w:pStyle w:val="subsection"/>
        <w:keepNext/>
        <w:keepLines/>
        <w:tabs>
          <w:tab w:val="left" w:pos="2835"/>
        </w:tabs>
      </w:pPr>
      <w:r w:rsidRPr="00A35C95">
        <w:tab/>
      </w:r>
      <w:r w:rsidRPr="00A35C95">
        <w:tab/>
        <w:t xml:space="preserve">For the provisions of the Act set out in column 2 of the following table, the Parts of the Act specified in column 3 apply as if section 9 of the Act were modified by omitting paragraph (e) of the definition of </w:t>
      </w:r>
      <w:r w:rsidRPr="00A35C95">
        <w:rPr>
          <w:b/>
          <w:i/>
        </w:rPr>
        <w:t>professional investor</w:t>
      </w:r>
      <w:r w:rsidRPr="00A35C95">
        <w:t xml:space="preserve"> and substituting the following paragraph:</w:t>
      </w:r>
    </w:p>
    <w:p w14:paraId="71D2CAB9" w14:textId="77777777" w:rsidR="00E93F58" w:rsidRPr="00A35C95" w:rsidRDefault="00E93F58" w:rsidP="00366AB5">
      <w:pPr>
        <w:pStyle w:val="paragraph"/>
        <w:tabs>
          <w:tab w:val="left" w:pos="2835"/>
        </w:tabs>
      </w:pPr>
      <w:r w:rsidRPr="00A35C95">
        <w:tab/>
        <w:t>“(e)</w:t>
      </w:r>
      <w:r w:rsidRPr="00A35C95">
        <w:tab/>
        <w:t>the person has or controls gross assets of at least $10 million (including any assets held by an associate or under a trust that the person manages);”</w:t>
      </w:r>
    </w:p>
    <w:p w14:paraId="3EB80D66" w14:textId="77777777" w:rsidR="00E93F58" w:rsidRPr="00A35C95" w:rsidRDefault="00E93F58" w:rsidP="00366AB5">
      <w:pPr>
        <w:pStyle w:val="Tabletext"/>
        <w:tabs>
          <w:tab w:val="left" w:pos="2835"/>
        </w:tab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2"/>
        <w:gridCol w:w="5837"/>
        <w:gridCol w:w="3294"/>
      </w:tblGrid>
      <w:tr w:rsidR="00E93F58" w:rsidRPr="00A35C95" w14:paraId="09CC9C7F" w14:textId="77777777" w:rsidTr="00B8041E">
        <w:trPr>
          <w:tblHeader/>
        </w:trPr>
        <w:tc>
          <w:tcPr>
            <w:tcW w:w="762" w:type="pct"/>
            <w:tcBorders>
              <w:top w:val="single" w:sz="12" w:space="0" w:color="auto"/>
              <w:bottom w:val="single" w:sz="6" w:space="0" w:color="auto"/>
            </w:tcBorders>
            <w:shd w:val="clear" w:color="auto" w:fill="auto"/>
          </w:tcPr>
          <w:p w14:paraId="35E6D500" w14:textId="77777777" w:rsidR="00E93F58" w:rsidRPr="00A35C95" w:rsidRDefault="00E93F58" w:rsidP="00366AB5">
            <w:pPr>
              <w:pStyle w:val="TableHeading"/>
              <w:tabs>
                <w:tab w:val="left" w:pos="2835"/>
              </w:tabs>
            </w:pPr>
            <w:r w:rsidRPr="00A35C95">
              <w:t>Column 1</w:t>
            </w:r>
          </w:p>
        </w:tc>
        <w:tc>
          <w:tcPr>
            <w:tcW w:w="2709" w:type="pct"/>
            <w:tcBorders>
              <w:top w:val="single" w:sz="12" w:space="0" w:color="auto"/>
              <w:bottom w:val="single" w:sz="6" w:space="0" w:color="auto"/>
            </w:tcBorders>
            <w:shd w:val="clear" w:color="auto" w:fill="auto"/>
          </w:tcPr>
          <w:p w14:paraId="73863DC2" w14:textId="77777777" w:rsidR="00E93F58" w:rsidRPr="00A35C95" w:rsidRDefault="00E93F58" w:rsidP="00366AB5">
            <w:pPr>
              <w:pStyle w:val="TableHeading"/>
              <w:tabs>
                <w:tab w:val="left" w:pos="2835"/>
              </w:tabs>
            </w:pPr>
            <w:r w:rsidRPr="00A35C95">
              <w:t>Column 2</w:t>
            </w:r>
          </w:p>
        </w:tc>
        <w:tc>
          <w:tcPr>
            <w:tcW w:w="1529" w:type="pct"/>
            <w:tcBorders>
              <w:top w:val="single" w:sz="12" w:space="0" w:color="auto"/>
              <w:bottom w:val="single" w:sz="6" w:space="0" w:color="auto"/>
            </w:tcBorders>
            <w:shd w:val="clear" w:color="auto" w:fill="auto"/>
          </w:tcPr>
          <w:p w14:paraId="7FFC36BB" w14:textId="77777777" w:rsidR="00E93F58" w:rsidRPr="00A35C95" w:rsidRDefault="00E93F58" w:rsidP="00366AB5">
            <w:pPr>
              <w:pStyle w:val="TableHeading"/>
              <w:tabs>
                <w:tab w:val="left" w:pos="2835"/>
              </w:tabs>
            </w:pPr>
            <w:r w:rsidRPr="00A35C95">
              <w:t>Column 3</w:t>
            </w:r>
          </w:p>
        </w:tc>
      </w:tr>
      <w:tr w:rsidR="00E93F58" w:rsidRPr="00A35C95" w14:paraId="3386E4D7" w14:textId="77777777" w:rsidTr="00B8041E">
        <w:trPr>
          <w:tblHeader/>
        </w:trPr>
        <w:tc>
          <w:tcPr>
            <w:tcW w:w="762" w:type="pct"/>
            <w:tcBorders>
              <w:top w:val="single" w:sz="6" w:space="0" w:color="auto"/>
              <w:bottom w:val="single" w:sz="12" w:space="0" w:color="auto"/>
            </w:tcBorders>
            <w:shd w:val="clear" w:color="auto" w:fill="auto"/>
          </w:tcPr>
          <w:p w14:paraId="099C71A8" w14:textId="77777777" w:rsidR="00E93F58" w:rsidRPr="00A35C95" w:rsidRDefault="00E93F58" w:rsidP="00366AB5">
            <w:pPr>
              <w:pStyle w:val="TableHeading"/>
              <w:tabs>
                <w:tab w:val="left" w:pos="2835"/>
              </w:tabs>
            </w:pPr>
            <w:r w:rsidRPr="00A35C95">
              <w:t>Item</w:t>
            </w:r>
          </w:p>
        </w:tc>
        <w:tc>
          <w:tcPr>
            <w:tcW w:w="2709" w:type="pct"/>
            <w:tcBorders>
              <w:top w:val="single" w:sz="6" w:space="0" w:color="auto"/>
              <w:bottom w:val="single" w:sz="12" w:space="0" w:color="auto"/>
            </w:tcBorders>
            <w:shd w:val="clear" w:color="auto" w:fill="auto"/>
          </w:tcPr>
          <w:p w14:paraId="51C0F260" w14:textId="77777777" w:rsidR="00E93F58" w:rsidRPr="00A35C95" w:rsidRDefault="00E93F58" w:rsidP="00366AB5">
            <w:pPr>
              <w:pStyle w:val="TableHeading"/>
              <w:tabs>
                <w:tab w:val="left" w:pos="2835"/>
              </w:tabs>
            </w:pPr>
            <w:r w:rsidRPr="00A35C95">
              <w:t>Provisions of Act</w:t>
            </w:r>
          </w:p>
        </w:tc>
        <w:tc>
          <w:tcPr>
            <w:tcW w:w="1529" w:type="pct"/>
            <w:tcBorders>
              <w:top w:val="single" w:sz="6" w:space="0" w:color="auto"/>
              <w:bottom w:val="single" w:sz="12" w:space="0" w:color="auto"/>
            </w:tcBorders>
            <w:shd w:val="clear" w:color="auto" w:fill="auto"/>
          </w:tcPr>
          <w:p w14:paraId="721F3D7D" w14:textId="77777777" w:rsidR="00E93F58" w:rsidRPr="00A35C95" w:rsidRDefault="00E93F58" w:rsidP="00366AB5">
            <w:pPr>
              <w:pStyle w:val="TableHeading"/>
              <w:tabs>
                <w:tab w:val="left" w:pos="2835"/>
              </w:tabs>
            </w:pPr>
          </w:p>
        </w:tc>
      </w:tr>
      <w:tr w:rsidR="00E93F58" w:rsidRPr="00A35C95" w14:paraId="2C0B4463" w14:textId="77777777" w:rsidTr="00B8041E">
        <w:tc>
          <w:tcPr>
            <w:tcW w:w="762" w:type="pct"/>
            <w:tcBorders>
              <w:top w:val="single" w:sz="12" w:space="0" w:color="auto"/>
            </w:tcBorders>
            <w:shd w:val="clear" w:color="auto" w:fill="auto"/>
          </w:tcPr>
          <w:p w14:paraId="5905CC78" w14:textId="77777777" w:rsidR="00E93F58" w:rsidRPr="00A35C95" w:rsidRDefault="00E93F58" w:rsidP="00366AB5">
            <w:pPr>
              <w:pStyle w:val="Tabletext"/>
              <w:tabs>
                <w:tab w:val="left" w:pos="2835"/>
              </w:tabs>
            </w:pPr>
            <w:r w:rsidRPr="00A35C95">
              <w:t>1</w:t>
            </w:r>
          </w:p>
        </w:tc>
        <w:tc>
          <w:tcPr>
            <w:tcW w:w="2709" w:type="pct"/>
            <w:tcBorders>
              <w:top w:val="single" w:sz="12" w:space="0" w:color="auto"/>
            </w:tcBorders>
            <w:shd w:val="clear" w:color="auto" w:fill="auto"/>
          </w:tcPr>
          <w:p w14:paraId="4E81F28E" w14:textId="77777777" w:rsidR="00E93F58" w:rsidRPr="00A35C95" w:rsidRDefault="00E93F58" w:rsidP="00366AB5">
            <w:pPr>
              <w:pStyle w:val="Tabletext"/>
              <w:tabs>
                <w:tab w:val="left" w:pos="2835"/>
              </w:tabs>
            </w:pPr>
            <w:r w:rsidRPr="00A35C95">
              <w:t>paragraph 926B(1)(c)</w:t>
            </w:r>
          </w:p>
        </w:tc>
        <w:tc>
          <w:tcPr>
            <w:tcW w:w="1529" w:type="pct"/>
            <w:tcBorders>
              <w:top w:val="single" w:sz="12" w:space="0" w:color="auto"/>
            </w:tcBorders>
            <w:shd w:val="clear" w:color="auto" w:fill="auto"/>
          </w:tcPr>
          <w:p w14:paraId="6A431F0E" w14:textId="77777777" w:rsidR="00E93F58" w:rsidRPr="00A35C95" w:rsidRDefault="00E93F58" w:rsidP="00366AB5">
            <w:pPr>
              <w:pStyle w:val="Tabletext"/>
              <w:tabs>
                <w:tab w:val="left" w:pos="2835"/>
              </w:tabs>
            </w:pPr>
            <w:r w:rsidRPr="00A35C95">
              <w:t>Part 7.6</w:t>
            </w:r>
          </w:p>
        </w:tc>
      </w:tr>
      <w:tr w:rsidR="00E93F58" w:rsidRPr="00A35C95" w14:paraId="03900E68" w14:textId="77777777" w:rsidTr="00B8041E">
        <w:tc>
          <w:tcPr>
            <w:tcW w:w="762" w:type="pct"/>
            <w:shd w:val="clear" w:color="auto" w:fill="auto"/>
          </w:tcPr>
          <w:p w14:paraId="474B5DCF" w14:textId="77777777" w:rsidR="00E93F58" w:rsidRPr="00A35C95" w:rsidRDefault="00E93F58" w:rsidP="00366AB5">
            <w:pPr>
              <w:pStyle w:val="Tabletext"/>
              <w:tabs>
                <w:tab w:val="left" w:pos="2835"/>
              </w:tabs>
            </w:pPr>
            <w:r w:rsidRPr="00A35C95">
              <w:t>2</w:t>
            </w:r>
          </w:p>
        </w:tc>
        <w:tc>
          <w:tcPr>
            <w:tcW w:w="2709" w:type="pct"/>
            <w:shd w:val="clear" w:color="auto" w:fill="auto"/>
          </w:tcPr>
          <w:p w14:paraId="315AB1DB" w14:textId="77777777" w:rsidR="00E93F58" w:rsidRPr="00A35C95" w:rsidRDefault="00E93F58" w:rsidP="00366AB5">
            <w:pPr>
              <w:pStyle w:val="Tabletext"/>
              <w:tabs>
                <w:tab w:val="left" w:pos="2835"/>
              </w:tabs>
            </w:pPr>
            <w:r w:rsidRPr="00A35C95">
              <w:t>paragraph 951C(1)(c)</w:t>
            </w:r>
          </w:p>
        </w:tc>
        <w:tc>
          <w:tcPr>
            <w:tcW w:w="1529" w:type="pct"/>
            <w:shd w:val="clear" w:color="auto" w:fill="auto"/>
          </w:tcPr>
          <w:p w14:paraId="7F65E85C" w14:textId="77777777" w:rsidR="00E93F58" w:rsidRPr="00A35C95" w:rsidRDefault="00E93F58" w:rsidP="00366AB5">
            <w:pPr>
              <w:pStyle w:val="Tabletext"/>
              <w:tabs>
                <w:tab w:val="left" w:pos="2835"/>
              </w:tabs>
            </w:pPr>
            <w:r w:rsidRPr="00A35C95">
              <w:t>Part 7.7</w:t>
            </w:r>
          </w:p>
        </w:tc>
      </w:tr>
      <w:tr w:rsidR="00E93F58" w:rsidRPr="00A35C95" w14:paraId="6705E574" w14:textId="77777777" w:rsidTr="00B8041E">
        <w:tc>
          <w:tcPr>
            <w:tcW w:w="762" w:type="pct"/>
            <w:shd w:val="clear" w:color="auto" w:fill="auto"/>
          </w:tcPr>
          <w:p w14:paraId="48855E5C" w14:textId="77777777" w:rsidR="00E93F58" w:rsidRPr="00A35C95" w:rsidRDefault="00E93F58" w:rsidP="00366AB5">
            <w:pPr>
              <w:pStyle w:val="Tabletext"/>
              <w:tabs>
                <w:tab w:val="left" w:pos="2835"/>
              </w:tabs>
            </w:pPr>
            <w:r w:rsidRPr="00A35C95">
              <w:t>2A</w:t>
            </w:r>
          </w:p>
        </w:tc>
        <w:tc>
          <w:tcPr>
            <w:tcW w:w="2709" w:type="pct"/>
            <w:shd w:val="clear" w:color="auto" w:fill="auto"/>
          </w:tcPr>
          <w:p w14:paraId="3F81BA33" w14:textId="77777777" w:rsidR="00E93F58" w:rsidRPr="00A35C95" w:rsidRDefault="00E93F58" w:rsidP="00366AB5">
            <w:pPr>
              <w:pStyle w:val="Tabletext"/>
              <w:tabs>
                <w:tab w:val="left" w:pos="2835"/>
              </w:tabs>
            </w:pPr>
            <w:r w:rsidRPr="00A35C95">
              <w:t>section 1368</w:t>
            </w:r>
          </w:p>
        </w:tc>
        <w:tc>
          <w:tcPr>
            <w:tcW w:w="1529" w:type="pct"/>
            <w:shd w:val="clear" w:color="auto" w:fill="auto"/>
          </w:tcPr>
          <w:p w14:paraId="6ED11B01" w14:textId="77777777" w:rsidR="00E93F58" w:rsidRPr="00A35C95" w:rsidRDefault="00E93F58" w:rsidP="00366AB5">
            <w:pPr>
              <w:pStyle w:val="Tabletext"/>
              <w:tabs>
                <w:tab w:val="left" w:pos="2835"/>
              </w:tabs>
            </w:pPr>
            <w:r w:rsidRPr="00A35C95">
              <w:t>Part 7.7A</w:t>
            </w:r>
          </w:p>
        </w:tc>
      </w:tr>
      <w:tr w:rsidR="00E93F58" w:rsidRPr="00A35C95" w14:paraId="238A40BF" w14:textId="77777777" w:rsidTr="00B8041E">
        <w:tc>
          <w:tcPr>
            <w:tcW w:w="762" w:type="pct"/>
            <w:tcBorders>
              <w:bottom w:val="single" w:sz="4" w:space="0" w:color="auto"/>
            </w:tcBorders>
            <w:shd w:val="clear" w:color="auto" w:fill="auto"/>
          </w:tcPr>
          <w:p w14:paraId="68408927" w14:textId="77777777" w:rsidR="00E93F58" w:rsidRPr="00A35C95" w:rsidRDefault="00E93F58" w:rsidP="00366AB5">
            <w:pPr>
              <w:pStyle w:val="Tabletext"/>
              <w:tabs>
                <w:tab w:val="left" w:pos="2835"/>
              </w:tabs>
            </w:pPr>
            <w:r w:rsidRPr="00A35C95">
              <w:t>3</w:t>
            </w:r>
          </w:p>
        </w:tc>
        <w:tc>
          <w:tcPr>
            <w:tcW w:w="2709" w:type="pct"/>
            <w:tcBorders>
              <w:bottom w:val="single" w:sz="4" w:space="0" w:color="auto"/>
            </w:tcBorders>
            <w:shd w:val="clear" w:color="auto" w:fill="auto"/>
          </w:tcPr>
          <w:p w14:paraId="0EDA7A3B" w14:textId="77777777" w:rsidR="00E93F58" w:rsidRPr="00A35C95" w:rsidRDefault="00E93F58" w:rsidP="00366AB5">
            <w:pPr>
              <w:pStyle w:val="Tabletext"/>
              <w:tabs>
                <w:tab w:val="left" w:pos="2835"/>
              </w:tabs>
            </w:pPr>
            <w:r w:rsidRPr="00A35C95">
              <w:t>paragraph 992C(1)(c)</w:t>
            </w:r>
          </w:p>
        </w:tc>
        <w:tc>
          <w:tcPr>
            <w:tcW w:w="1529" w:type="pct"/>
            <w:tcBorders>
              <w:bottom w:val="single" w:sz="4" w:space="0" w:color="auto"/>
            </w:tcBorders>
            <w:shd w:val="clear" w:color="auto" w:fill="auto"/>
          </w:tcPr>
          <w:p w14:paraId="6E8FF3D6" w14:textId="77777777" w:rsidR="00E93F58" w:rsidRPr="00A35C95" w:rsidRDefault="00E93F58" w:rsidP="00366AB5">
            <w:pPr>
              <w:pStyle w:val="Tabletext"/>
              <w:tabs>
                <w:tab w:val="left" w:pos="2835"/>
              </w:tabs>
            </w:pPr>
            <w:r w:rsidRPr="00A35C95">
              <w:t>Part 7.8</w:t>
            </w:r>
          </w:p>
        </w:tc>
      </w:tr>
      <w:tr w:rsidR="00E93F58" w:rsidRPr="00A35C95" w14:paraId="38608E15" w14:textId="77777777" w:rsidTr="00B8041E">
        <w:tc>
          <w:tcPr>
            <w:tcW w:w="762" w:type="pct"/>
            <w:tcBorders>
              <w:bottom w:val="single" w:sz="12" w:space="0" w:color="auto"/>
            </w:tcBorders>
            <w:shd w:val="clear" w:color="auto" w:fill="auto"/>
          </w:tcPr>
          <w:p w14:paraId="09E2975D" w14:textId="77777777" w:rsidR="00E93F58" w:rsidRPr="00A35C95" w:rsidRDefault="00E93F58" w:rsidP="00366AB5">
            <w:pPr>
              <w:pStyle w:val="Tabletext"/>
              <w:tabs>
                <w:tab w:val="left" w:pos="2835"/>
              </w:tabs>
            </w:pPr>
            <w:r w:rsidRPr="00A35C95">
              <w:t>4</w:t>
            </w:r>
          </w:p>
        </w:tc>
        <w:tc>
          <w:tcPr>
            <w:tcW w:w="2709" w:type="pct"/>
            <w:tcBorders>
              <w:bottom w:val="single" w:sz="12" w:space="0" w:color="auto"/>
            </w:tcBorders>
            <w:shd w:val="clear" w:color="auto" w:fill="auto"/>
          </w:tcPr>
          <w:p w14:paraId="54D57232" w14:textId="77777777" w:rsidR="00E93F58" w:rsidRPr="00A35C95" w:rsidRDefault="00E93F58" w:rsidP="00366AB5">
            <w:pPr>
              <w:pStyle w:val="Tabletext"/>
              <w:tabs>
                <w:tab w:val="left" w:pos="2835"/>
              </w:tabs>
            </w:pPr>
            <w:r w:rsidRPr="00A35C95">
              <w:t>paragraph 1020G(1)(c)</w:t>
            </w:r>
          </w:p>
        </w:tc>
        <w:tc>
          <w:tcPr>
            <w:tcW w:w="1529" w:type="pct"/>
            <w:tcBorders>
              <w:bottom w:val="single" w:sz="12" w:space="0" w:color="auto"/>
            </w:tcBorders>
            <w:shd w:val="clear" w:color="auto" w:fill="auto"/>
          </w:tcPr>
          <w:p w14:paraId="1B8AD6D6" w14:textId="77777777" w:rsidR="00E93F58" w:rsidRPr="00A35C95" w:rsidRDefault="00E93F58" w:rsidP="00366AB5">
            <w:pPr>
              <w:pStyle w:val="Tabletext"/>
              <w:tabs>
                <w:tab w:val="left" w:pos="2835"/>
              </w:tabs>
            </w:pPr>
            <w:r w:rsidRPr="00A35C95">
              <w:t>Part 7.9</w:t>
            </w:r>
          </w:p>
        </w:tc>
      </w:tr>
    </w:tbl>
    <w:p w14:paraId="6B379A43" w14:textId="77777777" w:rsidR="00E93F58" w:rsidRPr="00A35C95" w:rsidRDefault="00E93F58" w:rsidP="00366AB5">
      <w:pPr>
        <w:pStyle w:val="ActHead5"/>
        <w:tabs>
          <w:tab w:val="left" w:pos="2835"/>
        </w:tabs>
      </w:pPr>
      <w:bookmarkStart w:id="970" w:name="_Toc152058058"/>
      <w:bookmarkStart w:id="971" w:name="_Toc158712281"/>
      <w:r w:rsidRPr="00844D11">
        <w:rPr>
          <w:rStyle w:val="CharSectno"/>
        </w:rPr>
        <w:t>7.6.02AF</w:t>
      </w:r>
      <w:r w:rsidRPr="00A35C95">
        <w:t xml:space="preserve">  Modification of section 761G of the Act: renewal period for accountants’ certificates</w:t>
      </w:r>
      <w:bookmarkEnd w:id="970"/>
      <w:bookmarkEnd w:id="971"/>
    </w:p>
    <w:p w14:paraId="4F25E5FD" w14:textId="77777777" w:rsidR="00E93F58" w:rsidRPr="00A35C95" w:rsidRDefault="00E93F58" w:rsidP="00366AB5">
      <w:pPr>
        <w:pStyle w:val="subsection"/>
        <w:tabs>
          <w:tab w:val="left" w:pos="2835"/>
        </w:tabs>
      </w:pPr>
      <w:r w:rsidRPr="00A35C95">
        <w:tab/>
      </w:r>
      <w:r w:rsidRPr="00A35C95">
        <w:tab/>
        <w:t>For the provisions of the Act set out in column 2 of the following table, the Parts of the Act specified in column 3 apply as if section 761G of the Act were modified by omitting from paragraph 761G(7)(c) “6 months” and substituting “2 years”.</w:t>
      </w:r>
    </w:p>
    <w:p w14:paraId="7BF4F93E" w14:textId="77777777" w:rsidR="00E93F58" w:rsidRPr="00A35C95" w:rsidRDefault="00E93F58" w:rsidP="00366AB5">
      <w:pPr>
        <w:pStyle w:val="Tabletext"/>
        <w:tabs>
          <w:tab w:val="left" w:pos="2835"/>
        </w:tab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2"/>
        <w:gridCol w:w="5837"/>
        <w:gridCol w:w="3294"/>
      </w:tblGrid>
      <w:tr w:rsidR="00E93F58" w:rsidRPr="00A35C95" w14:paraId="4408BB02" w14:textId="77777777" w:rsidTr="00B8041E">
        <w:tc>
          <w:tcPr>
            <w:tcW w:w="762" w:type="pct"/>
            <w:tcBorders>
              <w:top w:val="single" w:sz="12" w:space="0" w:color="auto"/>
              <w:bottom w:val="single" w:sz="4" w:space="0" w:color="auto"/>
            </w:tcBorders>
            <w:shd w:val="clear" w:color="auto" w:fill="auto"/>
          </w:tcPr>
          <w:p w14:paraId="000AB3AB" w14:textId="77777777" w:rsidR="00E93F58" w:rsidRPr="00A35C95" w:rsidRDefault="00E93F58" w:rsidP="00366AB5">
            <w:pPr>
              <w:pStyle w:val="TableHeading"/>
              <w:tabs>
                <w:tab w:val="left" w:pos="2835"/>
              </w:tabs>
            </w:pPr>
            <w:r w:rsidRPr="00A35C95">
              <w:t>Column 1</w:t>
            </w:r>
          </w:p>
        </w:tc>
        <w:tc>
          <w:tcPr>
            <w:tcW w:w="2709" w:type="pct"/>
            <w:tcBorders>
              <w:top w:val="single" w:sz="12" w:space="0" w:color="auto"/>
              <w:bottom w:val="single" w:sz="4" w:space="0" w:color="auto"/>
            </w:tcBorders>
            <w:shd w:val="clear" w:color="auto" w:fill="auto"/>
          </w:tcPr>
          <w:p w14:paraId="359B4937" w14:textId="77777777" w:rsidR="00E93F58" w:rsidRPr="00A35C95" w:rsidRDefault="00E93F58" w:rsidP="00366AB5">
            <w:pPr>
              <w:pStyle w:val="TableHeading"/>
              <w:tabs>
                <w:tab w:val="left" w:pos="2835"/>
              </w:tabs>
            </w:pPr>
            <w:r w:rsidRPr="00A35C95">
              <w:t>Column 2</w:t>
            </w:r>
          </w:p>
        </w:tc>
        <w:tc>
          <w:tcPr>
            <w:tcW w:w="1529" w:type="pct"/>
            <w:tcBorders>
              <w:top w:val="single" w:sz="12" w:space="0" w:color="auto"/>
              <w:bottom w:val="single" w:sz="4" w:space="0" w:color="auto"/>
            </w:tcBorders>
            <w:shd w:val="clear" w:color="auto" w:fill="auto"/>
          </w:tcPr>
          <w:p w14:paraId="21548F43" w14:textId="77777777" w:rsidR="00E93F58" w:rsidRPr="00A35C95" w:rsidRDefault="00E93F58" w:rsidP="00366AB5">
            <w:pPr>
              <w:pStyle w:val="TableHeading"/>
              <w:tabs>
                <w:tab w:val="left" w:pos="2835"/>
              </w:tabs>
            </w:pPr>
            <w:r w:rsidRPr="00A35C95">
              <w:t>Column 3</w:t>
            </w:r>
          </w:p>
        </w:tc>
      </w:tr>
      <w:tr w:rsidR="00E93F58" w:rsidRPr="00A35C95" w14:paraId="4AA32A83" w14:textId="77777777" w:rsidTr="00B8041E">
        <w:tc>
          <w:tcPr>
            <w:tcW w:w="762" w:type="pct"/>
            <w:tcBorders>
              <w:top w:val="single" w:sz="4" w:space="0" w:color="auto"/>
              <w:bottom w:val="single" w:sz="12" w:space="0" w:color="auto"/>
            </w:tcBorders>
            <w:shd w:val="clear" w:color="auto" w:fill="auto"/>
          </w:tcPr>
          <w:p w14:paraId="1DFB0203" w14:textId="77777777" w:rsidR="00E93F58" w:rsidRPr="00A35C95" w:rsidRDefault="00E93F58" w:rsidP="00366AB5">
            <w:pPr>
              <w:pStyle w:val="TableHeading"/>
              <w:tabs>
                <w:tab w:val="left" w:pos="2835"/>
              </w:tabs>
            </w:pPr>
            <w:r w:rsidRPr="00A35C95">
              <w:t>Item</w:t>
            </w:r>
          </w:p>
        </w:tc>
        <w:tc>
          <w:tcPr>
            <w:tcW w:w="2709" w:type="pct"/>
            <w:tcBorders>
              <w:top w:val="single" w:sz="4" w:space="0" w:color="auto"/>
              <w:bottom w:val="single" w:sz="12" w:space="0" w:color="auto"/>
            </w:tcBorders>
            <w:shd w:val="clear" w:color="auto" w:fill="auto"/>
          </w:tcPr>
          <w:p w14:paraId="4188EF1A" w14:textId="77777777" w:rsidR="00E93F58" w:rsidRPr="00A35C95" w:rsidRDefault="00E93F58" w:rsidP="00366AB5">
            <w:pPr>
              <w:pStyle w:val="TableHeading"/>
              <w:tabs>
                <w:tab w:val="left" w:pos="2835"/>
              </w:tabs>
            </w:pPr>
            <w:r w:rsidRPr="00A35C95">
              <w:t>Provisions of Act</w:t>
            </w:r>
          </w:p>
        </w:tc>
        <w:tc>
          <w:tcPr>
            <w:tcW w:w="1529" w:type="pct"/>
            <w:tcBorders>
              <w:top w:val="single" w:sz="4" w:space="0" w:color="auto"/>
              <w:bottom w:val="single" w:sz="12" w:space="0" w:color="auto"/>
            </w:tcBorders>
            <w:shd w:val="clear" w:color="auto" w:fill="auto"/>
          </w:tcPr>
          <w:p w14:paraId="3D499342" w14:textId="77777777" w:rsidR="00E93F58" w:rsidRPr="00A35C95" w:rsidRDefault="00E93F58" w:rsidP="00366AB5">
            <w:pPr>
              <w:pStyle w:val="TableHeading"/>
              <w:tabs>
                <w:tab w:val="left" w:pos="2835"/>
              </w:tabs>
            </w:pPr>
          </w:p>
        </w:tc>
      </w:tr>
      <w:tr w:rsidR="00E93F58" w:rsidRPr="00A35C95" w14:paraId="45B8443E" w14:textId="77777777" w:rsidTr="00B8041E">
        <w:tc>
          <w:tcPr>
            <w:tcW w:w="762" w:type="pct"/>
            <w:tcBorders>
              <w:top w:val="single" w:sz="12" w:space="0" w:color="auto"/>
            </w:tcBorders>
            <w:shd w:val="clear" w:color="auto" w:fill="auto"/>
          </w:tcPr>
          <w:p w14:paraId="70A2ADC4" w14:textId="77777777" w:rsidR="00E93F58" w:rsidRPr="00A35C95" w:rsidRDefault="00E93F58" w:rsidP="00366AB5">
            <w:pPr>
              <w:pStyle w:val="Tabletext"/>
              <w:tabs>
                <w:tab w:val="left" w:pos="2835"/>
              </w:tabs>
            </w:pPr>
            <w:r w:rsidRPr="00A35C95">
              <w:t>1</w:t>
            </w:r>
          </w:p>
        </w:tc>
        <w:tc>
          <w:tcPr>
            <w:tcW w:w="2709" w:type="pct"/>
            <w:tcBorders>
              <w:top w:val="single" w:sz="12" w:space="0" w:color="auto"/>
            </w:tcBorders>
            <w:shd w:val="clear" w:color="auto" w:fill="auto"/>
          </w:tcPr>
          <w:p w14:paraId="2BF131AA" w14:textId="77777777" w:rsidR="00E93F58" w:rsidRPr="00A35C95" w:rsidRDefault="00E93F58" w:rsidP="00366AB5">
            <w:pPr>
              <w:pStyle w:val="Tabletext"/>
              <w:tabs>
                <w:tab w:val="left" w:pos="2835"/>
              </w:tabs>
            </w:pPr>
            <w:r w:rsidRPr="00A35C95">
              <w:t>paragraph 926B(1)(c)</w:t>
            </w:r>
          </w:p>
        </w:tc>
        <w:tc>
          <w:tcPr>
            <w:tcW w:w="1529" w:type="pct"/>
            <w:tcBorders>
              <w:top w:val="single" w:sz="12" w:space="0" w:color="auto"/>
            </w:tcBorders>
            <w:shd w:val="clear" w:color="auto" w:fill="auto"/>
          </w:tcPr>
          <w:p w14:paraId="5F0B0B2A" w14:textId="77777777" w:rsidR="00E93F58" w:rsidRPr="00A35C95" w:rsidRDefault="00E93F58" w:rsidP="00366AB5">
            <w:pPr>
              <w:pStyle w:val="Tabletext"/>
              <w:tabs>
                <w:tab w:val="left" w:pos="2835"/>
              </w:tabs>
            </w:pPr>
            <w:r w:rsidRPr="00A35C95">
              <w:t>Part 7.6</w:t>
            </w:r>
          </w:p>
        </w:tc>
      </w:tr>
      <w:tr w:rsidR="00E93F58" w:rsidRPr="00A35C95" w14:paraId="2558BF69" w14:textId="77777777" w:rsidTr="00B8041E">
        <w:tc>
          <w:tcPr>
            <w:tcW w:w="762" w:type="pct"/>
            <w:shd w:val="clear" w:color="auto" w:fill="auto"/>
          </w:tcPr>
          <w:p w14:paraId="491ECD46" w14:textId="77777777" w:rsidR="00E93F58" w:rsidRPr="00A35C95" w:rsidRDefault="00E93F58" w:rsidP="00366AB5">
            <w:pPr>
              <w:pStyle w:val="Tabletext"/>
              <w:tabs>
                <w:tab w:val="left" w:pos="2835"/>
              </w:tabs>
            </w:pPr>
            <w:r w:rsidRPr="00A35C95">
              <w:t>2</w:t>
            </w:r>
          </w:p>
        </w:tc>
        <w:tc>
          <w:tcPr>
            <w:tcW w:w="2709" w:type="pct"/>
            <w:shd w:val="clear" w:color="auto" w:fill="auto"/>
          </w:tcPr>
          <w:p w14:paraId="3DB5CC99" w14:textId="77777777" w:rsidR="00E93F58" w:rsidRPr="00A35C95" w:rsidRDefault="00E93F58" w:rsidP="00366AB5">
            <w:pPr>
              <w:pStyle w:val="Tabletext"/>
              <w:tabs>
                <w:tab w:val="left" w:pos="2835"/>
              </w:tabs>
            </w:pPr>
            <w:r w:rsidRPr="00A35C95">
              <w:t>paragraph 951C(1)(c)</w:t>
            </w:r>
          </w:p>
        </w:tc>
        <w:tc>
          <w:tcPr>
            <w:tcW w:w="1529" w:type="pct"/>
            <w:shd w:val="clear" w:color="auto" w:fill="auto"/>
          </w:tcPr>
          <w:p w14:paraId="0276DF14" w14:textId="77777777" w:rsidR="00E93F58" w:rsidRPr="00A35C95" w:rsidRDefault="00E93F58" w:rsidP="00366AB5">
            <w:pPr>
              <w:pStyle w:val="Tabletext"/>
              <w:tabs>
                <w:tab w:val="left" w:pos="2835"/>
              </w:tabs>
            </w:pPr>
            <w:r w:rsidRPr="00A35C95">
              <w:t>Part 7.7</w:t>
            </w:r>
          </w:p>
        </w:tc>
      </w:tr>
      <w:tr w:rsidR="00E93F58" w:rsidRPr="00A35C95" w14:paraId="4B1DA3D9" w14:textId="77777777" w:rsidTr="00B8041E">
        <w:tc>
          <w:tcPr>
            <w:tcW w:w="762" w:type="pct"/>
            <w:shd w:val="clear" w:color="auto" w:fill="auto"/>
          </w:tcPr>
          <w:p w14:paraId="58B3DB03" w14:textId="77777777" w:rsidR="00E93F58" w:rsidRPr="00A35C95" w:rsidRDefault="00E93F58" w:rsidP="00366AB5">
            <w:pPr>
              <w:pStyle w:val="Tabletext"/>
              <w:tabs>
                <w:tab w:val="left" w:pos="2835"/>
              </w:tabs>
            </w:pPr>
            <w:r w:rsidRPr="00A35C95">
              <w:t>2A</w:t>
            </w:r>
          </w:p>
        </w:tc>
        <w:tc>
          <w:tcPr>
            <w:tcW w:w="2709" w:type="pct"/>
            <w:shd w:val="clear" w:color="auto" w:fill="auto"/>
          </w:tcPr>
          <w:p w14:paraId="06E5F7F5" w14:textId="77777777" w:rsidR="00E93F58" w:rsidRPr="00A35C95" w:rsidRDefault="00E93F58" w:rsidP="00366AB5">
            <w:pPr>
              <w:pStyle w:val="Tabletext"/>
              <w:tabs>
                <w:tab w:val="left" w:pos="2835"/>
              </w:tabs>
            </w:pPr>
            <w:r w:rsidRPr="00A35C95">
              <w:t>section 1368</w:t>
            </w:r>
          </w:p>
        </w:tc>
        <w:tc>
          <w:tcPr>
            <w:tcW w:w="1529" w:type="pct"/>
            <w:shd w:val="clear" w:color="auto" w:fill="auto"/>
          </w:tcPr>
          <w:p w14:paraId="3F661AC4" w14:textId="77777777" w:rsidR="00E93F58" w:rsidRPr="00A35C95" w:rsidRDefault="00E93F58" w:rsidP="00366AB5">
            <w:pPr>
              <w:pStyle w:val="Tabletext"/>
              <w:tabs>
                <w:tab w:val="left" w:pos="2835"/>
              </w:tabs>
            </w:pPr>
            <w:r w:rsidRPr="00A35C95">
              <w:t>Part 7.7A</w:t>
            </w:r>
          </w:p>
        </w:tc>
      </w:tr>
      <w:tr w:rsidR="00E93F58" w:rsidRPr="00A35C95" w14:paraId="55ED9C41" w14:textId="77777777" w:rsidTr="00B8041E">
        <w:tc>
          <w:tcPr>
            <w:tcW w:w="762" w:type="pct"/>
            <w:tcBorders>
              <w:bottom w:val="single" w:sz="4" w:space="0" w:color="auto"/>
            </w:tcBorders>
            <w:shd w:val="clear" w:color="auto" w:fill="auto"/>
          </w:tcPr>
          <w:p w14:paraId="4B23A315" w14:textId="77777777" w:rsidR="00E93F58" w:rsidRPr="00A35C95" w:rsidRDefault="00E93F58" w:rsidP="00366AB5">
            <w:pPr>
              <w:pStyle w:val="Tabletext"/>
              <w:tabs>
                <w:tab w:val="left" w:pos="2835"/>
              </w:tabs>
            </w:pPr>
            <w:r w:rsidRPr="00A35C95">
              <w:t>3</w:t>
            </w:r>
          </w:p>
        </w:tc>
        <w:tc>
          <w:tcPr>
            <w:tcW w:w="2709" w:type="pct"/>
            <w:tcBorders>
              <w:bottom w:val="single" w:sz="4" w:space="0" w:color="auto"/>
            </w:tcBorders>
            <w:shd w:val="clear" w:color="auto" w:fill="auto"/>
          </w:tcPr>
          <w:p w14:paraId="31344202" w14:textId="77777777" w:rsidR="00E93F58" w:rsidRPr="00A35C95" w:rsidRDefault="00E93F58" w:rsidP="00366AB5">
            <w:pPr>
              <w:pStyle w:val="Tabletext"/>
              <w:tabs>
                <w:tab w:val="left" w:pos="2835"/>
              </w:tabs>
            </w:pPr>
            <w:r w:rsidRPr="00A35C95">
              <w:t>paragraph 992C(1)(c)</w:t>
            </w:r>
          </w:p>
        </w:tc>
        <w:tc>
          <w:tcPr>
            <w:tcW w:w="1529" w:type="pct"/>
            <w:tcBorders>
              <w:bottom w:val="single" w:sz="4" w:space="0" w:color="auto"/>
            </w:tcBorders>
            <w:shd w:val="clear" w:color="auto" w:fill="auto"/>
          </w:tcPr>
          <w:p w14:paraId="3CD5175A" w14:textId="77777777" w:rsidR="00E93F58" w:rsidRPr="00A35C95" w:rsidRDefault="00E93F58" w:rsidP="00366AB5">
            <w:pPr>
              <w:pStyle w:val="Tabletext"/>
              <w:tabs>
                <w:tab w:val="left" w:pos="2835"/>
              </w:tabs>
            </w:pPr>
            <w:r w:rsidRPr="00A35C95">
              <w:t>Part 7.8</w:t>
            </w:r>
          </w:p>
        </w:tc>
      </w:tr>
      <w:tr w:rsidR="00E93F58" w:rsidRPr="00A35C95" w14:paraId="5D0171C0" w14:textId="77777777" w:rsidTr="00B8041E">
        <w:tc>
          <w:tcPr>
            <w:tcW w:w="762" w:type="pct"/>
            <w:tcBorders>
              <w:bottom w:val="single" w:sz="12" w:space="0" w:color="auto"/>
            </w:tcBorders>
            <w:shd w:val="clear" w:color="auto" w:fill="auto"/>
          </w:tcPr>
          <w:p w14:paraId="17904B2C" w14:textId="77777777" w:rsidR="00E93F58" w:rsidRPr="00A35C95" w:rsidRDefault="00E93F58" w:rsidP="00366AB5">
            <w:pPr>
              <w:pStyle w:val="Tabletext"/>
              <w:tabs>
                <w:tab w:val="left" w:pos="2835"/>
              </w:tabs>
            </w:pPr>
            <w:r w:rsidRPr="00A35C95">
              <w:t>4</w:t>
            </w:r>
          </w:p>
        </w:tc>
        <w:tc>
          <w:tcPr>
            <w:tcW w:w="2709" w:type="pct"/>
            <w:tcBorders>
              <w:bottom w:val="single" w:sz="12" w:space="0" w:color="auto"/>
            </w:tcBorders>
            <w:shd w:val="clear" w:color="auto" w:fill="auto"/>
          </w:tcPr>
          <w:p w14:paraId="15A09D7F" w14:textId="77777777" w:rsidR="00E93F58" w:rsidRPr="00A35C95" w:rsidRDefault="00E93F58" w:rsidP="00366AB5">
            <w:pPr>
              <w:pStyle w:val="Tabletext"/>
              <w:tabs>
                <w:tab w:val="left" w:pos="2835"/>
              </w:tabs>
            </w:pPr>
            <w:r w:rsidRPr="00A35C95">
              <w:t>paragraph 1020G(1)(c)</w:t>
            </w:r>
          </w:p>
        </w:tc>
        <w:tc>
          <w:tcPr>
            <w:tcW w:w="1529" w:type="pct"/>
            <w:tcBorders>
              <w:bottom w:val="single" w:sz="12" w:space="0" w:color="auto"/>
            </w:tcBorders>
            <w:shd w:val="clear" w:color="auto" w:fill="auto"/>
          </w:tcPr>
          <w:p w14:paraId="4DC6C1B1" w14:textId="77777777" w:rsidR="00E93F58" w:rsidRPr="00A35C95" w:rsidRDefault="00E93F58" w:rsidP="00366AB5">
            <w:pPr>
              <w:pStyle w:val="Tabletext"/>
              <w:tabs>
                <w:tab w:val="left" w:pos="2835"/>
              </w:tabs>
            </w:pPr>
            <w:r w:rsidRPr="00A35C95">
              <w:t>Part 7.9</w:t>
            </w:r>
          </w:p>
        </w:tc>
      </w:tr>
    </w:tbl>
    <w:p w14:paraId="1B75B369" w14:textId="77777777" w:rsidR="00E93F58" w:rsidRPr="00A35C95" w:rsidRDefault="00E93F58" w:rsidP="00366AB5">
      <w:pPr>
        <w:pStyle w:val="ActHead5"/>
        <w:tabs>
          <w:tab w:val="left" w:pos="2835"/>
        </w:tabs>
      </w:pPr>
      <w:bookmarkStart w:id="972" w:name="_Toc152058059"/>
      <w:bookmarkStart w:id="973" w:name="_Toc158712282"/>
      <w:r w:rsidRPr="00844D11">
        <w:rPr>
          <w:rStyle w:val="CharSectno"/>
        </w:rPr>
        <w:t>7.6.02AG</w:t>
      </w:r>
      <w:r w:rsidRPr="00A35C95">
        <w:t xml:space="preserve">  Modification of section 911A of the Act</w:t>
      </w:r>
      <w:bookmarkEnd w:id="972"/>
      <w:bookmarkEnd w:id="973"/>
    </w:p>
    <w:p w14:paraId="0D7082C3" w14:textId="77777777" w:rsidR="00E93F58" w:rsidRPr="00A35C95" w:rsidRDefault="00E93F58" w:rsidP="00366AB5">
      <w:pPr>
        <w:pStyle w:val="subsection"/>
        <w:keepNext/>
        <w:keepLines/>
        <w:tabs>
          <w:tab w:val="left" w:pos="2835"/>
        </w:tabs>
      </w:pPr>
      <w:r w:rsidRPr="00A35C95">
        <w:tab/>
      </w:r>
      <w:r w:rsidRPr="00A35C95">
        <w:tab/>
        <w:t>For paragraph 926B(1)(c) of the Act, Part 7.6 of the Act applies as if section 911A of the Act were modified by inserting after subsection 911A(2) the following subsections:</w:t>
      </w:r>
    </w:p>
    <w:p w14:paraId="30552E7C" w14:textId="77777777" w:rsidR="00E93F58" w:rsidRPr="00A35C95" w:rsidRDefault="00E93F58" w:rsidP="00366AB5">
      <w:pPr>
        <w:pStyle w:val="subsection"/>
        <w:tabs>
          <w:tab w:val="left" w:pos="2835"/>
        </w:tabs>
      </w:pPr>
      <w:r w:rsidRPr="00A35C95">
        <w:tab/>
        <w:t>“(2A)</w:t>
      </w:r>
      <w:r w:rsidRPr="00A35C95">
        <w:tab/>
        <w:t>Also, a person (</w:t>
      </w:r>
      <w:r w:rsidRPr="00A35C95">
        <w:rPr>
          <w:b/>
          <w:i/>
        </w:rPr>
        <w:t>person 1</w:t>
      </w:r>
      <w:r w:rsidRPr="00A35C95">
        <w:t>) is exempt from the requirement to hold an Australian financial services licence for a financial service they provide to a person (</w:t>
      </w:r>
      <w:r w:rsidRPr="00A35C95">
        <w:rPr>
          <w:b/>
          <w:i/>
        </w:rPr>
        <w:t>person 2</w:t>
      </w:r>
      <w:r w:rsidRPr="00A35C95">
        <w:t>) in the following circumstances:</w:t>
      </w:r>
    </w:p>
    <w:p w14:paraId="4EE51500" w14:textId="77777777" w:rsidR="00E93F58" w:rsidRPr="00A35C95" w:rsidRDefault="00E93F58" w:rsidP="00366AB5">
      <w:pPr>
        <w:pStyle w:val="paragraph"/>
        <w:tabs>
          <w:tab w:val="left" w:pos="2835"/>
        </w:tabs>
      </w:pPr>
      <w:r w:rsidRPr="00A35C95">
        <w:tab/>
        <w:t>(a)</w:t>
      </w:r>
      <w:r w:rsidRPr="00A35C95">
        <w:tab/>
        <w:t>person 1 is not in this jurisdiction;</w:t>
      </w:r>
    </w:p>
    <w:p w14:paraId="4563858E" w14:textId="77777777" w:rsidR="00E93F58" w:rsidRPr="00A35C95" w:rsidRDefault="00E93F58" w:rsidP="00366AB5">
      <w:pPr>
        <w:pStyle w:val="paragraph"/>
        <w:keepNext/>
        <w:keepLines/>
        <w:tabs>
          <w:tab w:val="left" w:pos="2835"/>
        </w:tabs>
      </w:pPr>
      <w:r w:rsidRPr="00A35C95">
        <w:tab/>
        <w:t>(b)</w:t>
      </w:r>
      <w:r w:rsidRPr="00A35C95">
        <w:tab/>
        <w:t>person 2 is an Australian citizen or is resident in Australia;</w:t>
      </w:r>
    </w:p>
    <w:p w14:paraId="16076949" w14:textId="77777777" w:rsidR="00E93F58" w:rsidRPr="00A35C95" w:rsidRDefault="00E93F58" w:rsidP="00366AB5">
      <w:pPr>
        <w:pStyle w:val="paragraph"/>
        <w:keepNext/>
        <w:keepLines/>
        <w:tabs>
          <w:tab w:val="left" w:pos="2835"/>
        </w:tabs>
      </w:pPr>
      <w:r w:rsidRPr="00A35C95">
        <w:tab/>
        <w:t>(c)</w:t>
      </w:r>
      <w:r w:rsidRPr="00A35C95">
        <w:tab/>
        <w:t>the service is provided from outside this jurisdiction;</w:t>
      </w:r>
    </w:p>
    <w:p w14:paraId="355EE10C" w14:textId="77777777" w:rsidR="00E93F58" w:rsidRPr="00A35C95" w:rsidRDefault="00E93F58" w:rsidP="00366AB5">
      <w:pPr>
        <w:pStyle w:val="paragraph"/>
        <w:keepNext/>
        <w:keepLines/>
        <w:tabs>
          <w:tab w:val="left" w:pos="2835"/>
        </w:tabs>
      </w:pPr>
      <w:r w:rsidRPr="00A35C95">
        <w:tab/>
        <w:t>(d)</w:t>
      </w:r>
      <w:r w:rsidRPr="00A35C95">
        <w:tab/>
        <w:t>person 1 does not engage in conduct that is:</w:t>
      </w:r>
    </w:p>
    <w:p w14:paraId="13EC66CC" w14:textId="77777777" w:rsidR="00E93F58" w:rsidRPr="00A35C95" w:rsidRDefault="00E93F58" w:rsidP="00366AB5">
      <w:pPr>
        <w:pStyle w:val="paragraphsub"/>
        <w:tabs>
          <w:tab w:val="left" w:pos="2835"/>
        </w:tabs>
      </w:pPr>
      <w:r w:rsidRPr="00A35C95">
        <w:tab/>
        <w:t>(i)</w:t>
      </w:r>
      <w:r w:rsidRPr="00A35C95">
        <w:tab/>
        <w:t>intended to induce people in this jurisdiction to use the service; or</w:t>
      </w:r>
    </w:p>
    <w:p w14:paraId="6F3066FD" w14:textId="77777777" w:rsidR="00E93F58" w:rsidRPr="00A35C95" w:rsidRDefault="00E93F58" w:rsidP="00366AB5">
      <w:pPr>
        <w:pStyle w:val="paragraphsub"/>
        <w:tabs>
          <w:tab w:val="left" w:pos="2835"/>
        </w:tabs>
      </w:pPr>
      <w:r w:rsidRPr="00A35C95">
        <w:tab/>
        <w:t>(ii)</w:t>
      </w:r>
      <w:r w:rsidRPr="00A35C95">
        <w:tab/>
        <w:t>likely to have that effect.</w:t>
      </w:r>
    </w:p>
    <w:p w14:paraId="2EEBF1AC" w14:textId="77777777" w:rsidR="00E93F58" w:rsidRPr="00A35C95" w:rsidRDefault="00E93F58" w:rsidP="00366AB5">
      <w:pPr>
        <w:pStyle w:val="subsection"/>
        <w:tabs>
          <w:tab w:val="left" w:pos="2835"/>
        </w:tabs>
      </w:pPr>
      <w:r w:rsidRPr="00A35C95">
        <w:tab/>
        <w:t>(2B)</w:t>
      </w:r>
      <w:r w:rsidRPr="00A35C95">
        <w:tab/>
        <w:t>Also, a person (</w:t>
      </w:r>
      <w:r w:rsidRPr="00A35C95">
        <w:rPr>
          <w:b/>
          <w:i/>
        </w:rPr>
        <w:t>person 1</w:t>
      </w:r>
      <w:r w:rsidRPr="00A35C95">
        <w:t>) is exempt from the requirement to hold an Australian financial services licence for a financial service they provide to a person (</w:t>
      </w:r>
      <w:r w:rsidRPr="00A35C95">
        <w:rPr>
          <w:b/>
          <w:i/>
        </w:rPr>
        <w:t>person 2</w:t>
      </w:r>
      <w:r w:rsidRPr="00A35C95">
        <w:t>) in the following circumstances:</w:t>
      </w:r>
    </w:p>
    <w:p w14:paraId="2CA30D68" w14:textId="77777777" w:rsidR="00E93F58" w:rsidRPr="00A35C95" w:rsidRDefault="00E93F58" w:rsidP="00366AB5">
      <w:pPr>
        <w:pStyle w:val="paragraph"/>
        <w:tabs>
          <w:tab w:val="left" w:pos="2835"/>
        </w:tabs>
      </w:pPr>
      <w:r w:rsidRPr="00A35C95">
        <w:tab/>
        <w:t>(a)</w:t>
      </w:r>
      <w:r w:rsidRPr="00A35C95">
        <w:tab/>
        <w:t>person 1 is not in this jurisdiction;</w:t>
      </w:r>
    </w:p>
    <w:p w14:paraId="064611EC" w14:textId="77777777" w:rsidR="00E93F58" w:rsidRPr="00A35C95" w:rsidRDefault="00E93F58" w:rsidP="00366AB5">
      <w:pPr>
        <w:pStyle w:val="paragraph"/>
        <w:tabs>
          <w:tab w:val="left" w:pos="2835"/>
        </w:tabs>
      </w:pPr>
      <w:r w:rsidRPr="00A35C95">
        <w:tab/>
        <w:t>(b)</w:t>
      </w:r>
      <w:r w:rsidRPr="00A35C95">
        <w:tab/>
        <w:t>person 1 believes on reasonable grounds that person 2 is not in this jurisdiction;</w:t>
      </w:r>
    </w:p>
    <w:p w14:paraId="492A349E" w14:textId="77777777" w:rsidR="00E93F58" w:rsidRPr="00A35C95" w:rsidRDefault="00E93F58" w:rsidP="00366AB5">
      <w:pPr>
        <w:pStyle w:val="paragraph"/>
        <w:tabs>
          <w:tab w:val="left" w:pos="2835"/>
        </w:tabs>
      </w:pPr>
      <w:r w:rsidRPr="00A35C95">
        <w:tab/>
        <w:t>(c)</w:t>
      </w:r>
      <w:r w:rsidRPr="00A35C95">
        <w:tab/>
        <w:t>person 1 is a participant in a financial market in this jurisdiction that is licensed under subsection 795B(2) of the Act;</w:t>
      </w:r>
    </w:p>
    <w:p w14:paraId="73317FD7" w14:textId="77777777" w:rsidR="00E93F58" w:rsidRPr="00A35C95" w:rsidRDefault="00E93F58" w:rsidP="00366AB5">
      <w:pPr>
        <w:pStyle w:val="paragraph"/>
        <w:tabs>
          <w:tab w:val="left" w:pos="2835"/>
        </w:tabs>
      </w:pPr>
      <w:r w:rsidRPr="00A35C95">
        <w:tab/>
        <w:t>(d)</w:t>
      </w:r>
      <w:r w:rsidRPr="00A35C95">
        <w:tab/>
        <w:t>the service relates to a financial product traded on the licensed market.</w:t>
      </w:r>
    </w:p>
    <w:p w14:paraId="4D025144" w14:textId="77777777" w:rsidR="00E93F58" w:rsidRPr="00A35C95" w:rsidRDefault="00E93F58" w:rsidP="00366AB5">
      <w:pPr>
        <w:pStyle w:val="subsection"/>
        <w:tabs>
          <w:tab w:val="left" w:pos="2835"/>
        </w:tabs>
      </w:pPr>
      <w:r w:rsidRPr="00A35C95">
        <w:tab/>
        <w:t>(2C)</w:t>
      </w:r>
      <w:r w:rsidRPr="00A35C95">
        <w:tab/>
        <w:t>Also, a person (</w:t>
      </w:r>
      <w:r w:rsidRPr="00A35C95">
        <w:rPr>
          <w:b/>
          <w:i/>
        </w:rPr>
        <w:t>person 1</w:t>
      </w:r>
      <w:r w:rsidRPr="00A35C95">
        <w:t>) is exempt from the requirement to hold an Australian financial services licence for a financial service they provide to a person (</w:t>
      </w:r>
      <w:r w:rsidRPr="00A35C95">
        <w:rPr>
          <w:b/>
          <w:i/>
        </w:rPr>
        <w:t>person 2</w:t>
      </w:r>
      <w:r w:rsidRPr="00A35C95">
        <w:t>) in the following circumstances:</w:t>
      </w:r>
    </w:p>
    <w:p w14:paraId="6CF488C6" w14:textId="77777777" w:rsidR="00E93F58" w:rsidRPr="00A35C95" w:rsidRDefault="00E93F58" w:rsidP="00366AB5">
      <w:pPr>
        <w:pStyle w:val="paragraph"/>
        <w:tabs>
          <w:tab w:val="left" w:pos="2835"/>
        </w:tabs>
      </w:pPr>
      <w:r w:rsidRPr="00A35C95">
        <w:tab/>
        <w:t>(a)</w:t>
      </w:r>
      <w:r w:rsidRPr="00A35C95">
        <w:tab/>
        <w:t>person 1 is not in this jurisdiction;</w:t>
      </w:r>
    </w:p>
    <w:p w14:paraId="7C30036B" w14:textId="77777777" w:rsidR="00E93F58" w:rsidRPr="00A35C95" w:rsidRDefault="00E93F58" w:rsidP="00366AB5">
      <w:pPr>
        <w:pStyle w:val="paragraph"/>
        <w:tabs>
          <w:tab w:val="left" w:pos="2835"/>
        </w:tabs>
      </w:pPr>
      <w:r w:rsidRPr="00A35C95">
        <w:tab/>
        <w:t>(b)</w:t>
      </w:r>
      <w:r w:rsidRPr="00A35C95">
        <w:tab/>
        <w:t>person 2 is:</w:t>
      </w:r>
    </w:p>
    <w:p w14:paraId="59002ADD" w14:textId="77777777" w:rsidR="00E93F58" w:rsidRPr="00A35C95" w:rsidRDefault="00E93F58" w:rsidP="00366AB5">
      <w:pPr>
        <w:pStyle w:val="paragraphsub"/>
        <w:tabs>
          <w:tab w:val="left" w:pos="2835"/>
        </w:tabs>
      </w:pPr>
      <w:r w:rsidRPr="00A35C95">
        <w:tab/>
        <w:t>(i)</w:t>
      </w:r>
      <w:r w:rsidRPr="00A35C95">
        <w:tab/>
        <w:t>the holder of an Australian financial services licence; or</w:t>
      </w:r>
    </w:p>
    <w:p w14:paraId="76793806" w14:textId="77777777" w:rsidR="00E93F58" w:rsidRPr="00A35C95" w:rsidRDefault="00E93F58" w:rsidP="00366AB5">
      <w:pPr>
        <w:pStyle w:val="paragraphsub"/>
        <w:tabs>
          <w:tab w:val="left" w:pos="2835"/>
        </w:tabs>
      </w:pPr>
      <w:r w:rsidRPr="00A35C95">
        <w:lastRenderedPageBreak/>
        <w:tab/>
        <w:t>(ii)</w:t>
      </w:r>
      <w:r w:rsidRPr="00A35C95">
        <w:tab/>
        <w:t>exempt from the requirement to hold an Australian financial services licence under paragraph 911A(2)(h);</w:t>
      </w:r>
    </w:p>
    <w:p w14:paraId="236732EC" w14:textId="77777777" w:rsidR="00E93F58" w:rsidRPr="00A35C95" w:rsidRDefault="00E93F58" w:rsidP="00366AB5">
      <w:pPr>
        <w:pStyle w:val="paragraph"/>
        <w:tabs>
          <w:tab w:val="left" w:pos="2835"/>
        </w:tabs>
      </w:pPr>
      <w:r w:rsidRPr="00A35C95">
        <w:tab/>
        <w:t>(c)</w:t>
      </w:r>
      <w:r w:rsidRPr="00A35C95">
        <w:tab/>
        <w:t>person 2 is not, in relation to the service:</w:t>
      </w:r>
    </w:p>
    <w:p w14:paraId="49193B36" w14:textId="77777777" w:rsidR="00E93F58" w:rsidRPr="00A35C95" w:rsidRDefault="00E93F58" w:rsidP="00366AB5">
      <w:pPr>
        <w:pStyle w:val="paragraphsub"/>
        <w:tabs>
          <w:tab w:val="left" w:pos="2835"/>
        </w:tabs>
      </w:pPr>
      <w:r w:rsidRPr="00A35C95">
        <w:tab/>
        <w:t>(i)</w:t>
      </w:r>
      <w:r w:rsidRPr="00A35C95">
        <w:tab/>
        <w:t>acting as a trustee; or</w:t>
      </w:r>
    </w:p>
    <w:p w14:paraId="68015849" w14:textId="77777777" w:rsidR="00E93F58" w:rsidRPr="00A35C95" w:rsidRDefault="00E93F58" w:rsidP="00366AB5">
      <w:pPr>
        <w:pStyle w:val="paragraphsub"/>
        <w:tabs>
          <w:tab w:val="left" w:pos="2835"/>
        </w:tabs>
      </w:pPr>
      <w:r w:rsidRPr="00A35C95">
        <w:tab/>
        <w:t>(ii)</w:t>
      </w:r>
      <w:r w:rsidRPr="00A35C95">
        <w:tab/>
        <w:t>acting as a responsible entity of a registered scheme; or</w:t>
      </w:r>
    </w:p>
    <w:p w14:paraId="16A4E846" w14:textId="77777777" w:rsidR="00E93F58" w:rsidRPr="00A35C95" w:rsidRDefault="00E93F58" w:rsidP="00366AB5">
      <w:pPr>
        <w:pStyle w:val="paragraphsub"/>
        <w:tabs>
          <w:tab w:val="left" w:pos="2835"/>
        </w:tabs>
      </w:pPr>
      <w:r w:rsidRPr="00A35C95">
        <w:tab/>
        <w:t>(iia)</w:t>
      </w:r>
      <w:r w:rsidRPr="00A35C95">
        <w:tab/>
        <w:t>acting as a corporate director of a CCIV; or</w:t>
      </w:r>
    </w:p>
    <w:p w14:paraId="4F6F93A7" w14:textId="77777777" w:rsidR="00E93F58" w:rsidRPr="00A35C95" w:rsidRDefault="00E93F58" w:rsidP="00366AB5">
      <w:pPr>
        <w:pStyle w:val="paragraphsub"/>
        <w:tabs>
          <w:tab w:val="left" w:pos="2835"/>
        </w:tabs>
      </w:pPr>
      <w:r w:rsidRPr="00A35C95">
        <w:tab/>
        <w:t>(iii)</w:t>
      </w:r>
      <w:r w:rsidRPr="00A35C95">
        <w:tab/>
        <w:t>otherwise acting on someone else’s behalf.</w:t>
      </w:r>
    </w:p>
    <w:p w14:paraId="06805FCA" w14:textId="77777777" w:rsidR="00E93F58" w:rsidRPr="00A35C95" w:rsidRDefault="00E93F58" w:rsidP="00366AB5">
      <w:pPr>
        <w:pStyle w:val="subsection"/>
        <w:tabs>
          <w:tab w:val="left" w:pos="2835"/>
        </w:tabs>
      </w:pPr>
      <w:r w:rsidRPr="00A35C95">
        <w:tab/>
        <w:t>(2D)</w:t>
      </w:r>
      <w:r w:rsidRPr="00A35C95">
        <w:tab/>
        <w:t>Also, a person (</w:t>
      </w:r>
      <w:r w:rsidRPr="00A35C95">
        <w:rPr>
          <w:b/>
          <w:i/>
        </w:rPr>
        <w:t>person 1</w:t>
      </w:r>
      <w:r w:rsidRPr="00A35C95">
        <w:t>) is exempt from the requirement to hold an Australian financial services licence for a financial service they provide to a person (</w:t>
      </w:r>
      <w:r w:rsidRPr="00A35C95">
        <w:rPr>
          <w:b/>
          <w:i/>
        </w:rPr>
        <w:t>person 2</w:t>
      </w:r>
      <w:r w:rsidRPr="00A35C95">
        <w:t>) in the following circumstances:</w:t>
      </w:r>
    </w:p>
    <w:p w14:paraId="05E76E00" w14:textId="77777777" w:rsidR="00E93F58" w:rsidRPr="00A35C95" w:rsidRDefault="00E93F58" w:rsidP="00366AB5">
      <w:pPr>
        <w:pStyle w:val="paragraph"/>
        <w:tabs>
          <w:tab w:val="left" w:pos="2835"/>
        </w:tabs>
      </w:pPr>
      <w:r w:rsidRPr="00A35C95">
        <w:tab/>
        <w:t>(a)</w:t>
      </w:r>
      <w:r w:rsidRPr="00A35C95">
        <w:tab/>
        <w:t>person 1 is not in this jurisdiction;</w:t>
      </w:r>
    </w:p>
    <w:p w14:paraId="1A73B086" w14:textId="77777777" w:rsidR="00E93F58" w:rsidRPr="00A35C95" w:rsidRDefault="00E93F58" w:rsidP="00366AB5">
      <w:pPr>
        <w:pStyle w:val="paragraph"/>
        <w:tabs>
          <w:tab w:val="left" w:pos="2835"/>
        </w:tabs>
      </w:pPr>
      <w:r w:rsidRPr="00A35C95">
        <w:tab/>
        <w:t>(aa)</w:t>
      </w:r>
      <w:r w:rsidRPr="00A35C95">
        <w:tab/>
        <w:t>person 1 is not a notified foreign passport fund or the operator of a notified foreign passport fund;</w:t>
      </w:r>
    </w:p>
    <w:p w14:paraId="6347B2D5" w14:textId="77777777" w:rsidR="00E93F58" w:rsidRPr="00A35C95" w:rsidRDefault="00E93F58" w:rsidP="00366AB5">
      <w:pPr>
        <w:pStyle w:val="paragraph"/>
        <w:tabs>
          <w:tab w:val="left" w:pos="2835"/>
        </w:tabs>
      </w:pPr>
      <w:r w:rsidRPr="00A35C95">
        <w:tab/>
        <w:t>(b)</w:t>
      </w:r>
      <w:r w:rsidRPr="00A35C95">
        <w:tab/>
        <w:t>person 2 is in this jurisdiction;</w:t>
      </w:r>
    </w:p>
    <w:p w14:paraId="50A49162" w14:textId="77777777" w:rsidR="00E93F58" w:rsidRPr="00A35C95" w:rsidRDefault="00E93F58" w:rsidP="00366AB5">
      <w:pPr>
        <w:pStyle w:val="paragraph"/>
        <w:keepNext/>
        <w:keepLines/>
        <w:tabs>
          <w:tab w:val="left" w:pos="2835"/>
        </w:tabs>
      </w:pPr>
      <w:r w:rsidRPr="00A35C95">
        <w:tab/>
        <w:t>(c)</w:t>
      </w:r>
      <w:r w:rsidRPr="00A35C95">
        <w:tab/>
        <w:t>the service relates to a financial product:</w:t>
      </w:r>
    </w:p>
    <w:p w14:paraId="546A4E0B" w14:textId="77777777" w:rsidR="00E93F58" w:rsidRPr="00A35C95" w:rsidRDefault="00E93F58" w:rsidP="00366AB5">
      <w:pPr>
        <w:pStyle w:val="paragraphsub"/>
        <w:tabs>
          <w:tab w:val="left" w:pos="2835"/>
        </w:tabs>
      </w:pPr>
      <w:r w:rsidRPr="00A35C95">
        <w:tab/>
        <w:t>(i)</w:t>
      </w:r>
      <w:r w:rsidRPr="00A35C95">
        <w:tab/>
        <w:t>issued by person 1 following an application by, or inquiry from, person 2; or</w:t>
      </w:r>
    </w:p>
    <w:p w14:paraId="0D40D5FD" w14:textId="77777777" w:rsidR="00E93F58" w:rsidRPr="00A35C95" w:rsidRDefault="00E93F58" w:rsidP="00366AB5">
      <w:pPr>
        <w:pStyle w:val="paragraphsub"/>
        <w:tabs>
          <w:tab w:val="left" w:pos="2835"/>
        </w:tabs>
      </w:pPr>
      <w:r w:rsidRPr="00A35C95">
        <w:tab/>
        <w:t>(ii)</w:t>
      </w:r>
      <w:r w:rsidRPr="00A35C95">
        <w:tab/>
        <w:t>issued by person 1 and acquired by person 2 when person 2 was not in this jurisdiction; or</w:t>
      </w:r>
    </w:p>
    <w:p w14:paraId="0B5E0429" w14:textId="77777777" w:rsidR="00E93F58" w:rsidRPr="00A35C95" w:rsidRDefault="00E93F58" w:rsidP="00366AB5">
      <w:pPr>
        <w:pStyle w:val="paragraphsub"/>
        <w:tabs>
          <w:tab w:val="left" w:pos="2835"/>
        </w:tabs>
      </w:pPr>
      <w:r w:rsidRPr="00A35C95">
        <w:tab/>
        <w:t>(iii)</w:t>
      </w:r>
      <w:r w:rsidRPr="00A35C95">
        <w:tab/>
        <w:t>that supplements a financial product mentioned in subparagraphs (i) or (ii); or</w:t>
      </w:r>
    </w:p>
    <w:p w14:paraId="30D243AE" w14:textId="77777777" w:rsidR="00E93F58" w:rsidRPr="00A35C95" w:rsidRDefault="00E93F58" w:rsidP="00366AB5">
      <w:pPr>
        <w:pStyle w:val="paragraphsub"/>
        <w:tabs>
          <w:tab w:val="left" w:pos="2835"/>
        </w:tabs>
      </w:pPr>
      <w:r w:rsidRPr="00A35C95">
        <w:tab/>
        <w:t>(iv)</w:t>
      </w:r>
      <w:r w:rsidRPr="00A35C95">
        <w:tab/>
        <w:t>that is of the same kind as, and is issued in substitution for, a financial product mentioned in subparagraphs (i) or (ii);</w:t>
      </w:r>
    </w:p>
    <w:p w14:paraId="0D7B3930" w14:textId="77777777" w:rsidR="00E93F58" w:rsidRPr="00A35C95" w:rsidRDefault="00E93F58" w:rsidP="00366AB5">
      <w:pPr>
        <w:pStyle w:val="paragraph"/>
        <w:tabs>
          <w:tab w:val="left" w:pos="2835"/>
        </w:tabs>
      </w:pPr>
      <w:r w:rsidRPr="00A35C95">
        <w:tab/>
        <w:t>(d)</w:t>
      </w:r>
      <w:r w:rsidRPr="00A35C95">
        <w:tab/>
        <w:t>person 1 does not actively solicit persons in this jurisdiction in relation to the financial products mentioned in subparagraphs (c)(i) to (iv);</w:t>
      </w:r>
    </w:p>
    <w:p w14:paraId="4B4DAB25" w14:textId="77777777" w:rsidR="00E93F58" w:rsidRPr="00A35C95" w:rsidRDefault="00E93F58" w:rsidP="00366AB5">
      <w:pPr>
        <w:pStyle w:val="paragraph"/>
        <w:tabs>
          <w:tab w:val="left" w:pos="2835"/>
        </w:tabs>
      </w:pPr>
      <w:r w:rsidRPr="00A35C95">
        <w:tab/>
        <w:t>(e)</w:t>
      </w:r>
      <w:r w:rsidRPr="00A35C95">
        <w:tab/>
        <w:t>paragraph (d) does not preclude person 1 from contacting person 2 in relation to the financial products mentioned in subparagraphs (c)(i) to (iv) after they have been acquired by person 2.</w:t>
      </w:r>
    </w:p>
    <w:p w14:paraId="7DAB99EE" w14:textId="77777777" w:rsidR="00E93F58" w:rsidRPr="00A35C95" w:rsidRDefault="00E93F58" w:rsidP="00366AB5">
      <w:pPr>
        <w:pStyle w:val="notetext"/>
        <w:tabs>
          <w:tab w:val="left" w:pos="2835"/>
        </w:tabs>
      </w:pPr>
      <w:r w:rsidRPr="00A35C95">
        <w:t>Note 1:</w:t>
      </w:r>
      <w:r w:rsidRPr="00A35C95">
        <w:tab/>
        <w:t>For subparagraph (c)(iii), an example of this kind of financial product includes a non</w:t>
      </w:r>
      <w:r>
        <w:noBreakHyphen/>
      </w:r>
      <w:r w:rsidRPr="00A35C95">
        <w:t>cash payment facility (such as a cheque facility) that is added to an existing transaction or investment account.</w:t>
      </w:r>
    </w:p>
    <w:p w14:paraId="3B3D4A74" w14:textId="77777777" w:rsidR="00E93F58" w:rsidRPr="00A35C95" w:rsidRDefault="00E93F58" w:rsidP="00366AB5">
      <w:pPr>
        <w:pStyle w:val="notetext"/>
        <w:tabs>
          <w:tab w:val="left" w:pos="2835"/>
        </w:tabs>
      </w:pPr>
      <w:r w:rsidRPr="00A35C95">
        <w:t>Note 2:</w:t>
      </w:r>
      <w:r w:rsidRPr="00A35C95">
        <w:tab/>
        <w:t>For subparagraph (c)(iv), examples of this kind of financial product include:</w:t>
      </w:r>
    </w:p>
    <w:p w14:paraId="395E1BE2" w14:textId="77777777" w:rsidR="00E93F58" w:rsidRPr="00A35C95" w:rsidRDefault="00E93F58" w:rsidP="00366AB5">
      <w:pPr>
        <w:pStyle w:val="notepara"/>
        <w:tabs>
          <w:tab w:val="left" w:pos="2835"/>
        </w:tabs>
      </w:pPr>
      <w:r w:rsidRPr="00A35C95">
        <w:t>(a)</w:t>
      </w:r>
      <w:r w:rsidRPr="00A35C95">
        <w:tab/>
        <w:t>a transaction or investment account that is replaced by another transaction or investment account; or</w:t>
      </w:r>
    </w:p>
    <w:p w14:paraId="6A607B79" w14:textId="77777777" w:rsidR="00E93F58" w:rsidRPr="00A35C95" w:rsidRDefault="00E93F58" w:rsidP="00366AB5">
      <w:pPr>
        <w:pStyle w:val="notepara"/>
        <w:tabs>
          <w:tab w:val="left" w:pos="2835"/>
        </w:tabs>
      </w:pPr>
      <w:r w:rsidRPr="00A35C95">
        <w:t>(b)</w:t>
      </w:r>
      <w:r w:rsidRPr="00A35C95">
        <w:tab/>
        <w:t>the renewal of an insurance policy.</w:t>
      </w:r>
    </w:p>
    <w:p w14:paraId="126DD103" w14:textId="77777777" w:rsidR="00E93F58" w:rsidRPr="00A35C95" w:rsidRDefault="00E93F58" w:rsidP="00366AB5">
      <w:pPr>
        <w:pStyle w:val="subsection"/>
        <w:tabs>
          <w:tab w:val="left" w:pos="2835"/>
        </w:tabs>
      </w:pPr>
      <w:r w:rsidRPr="00A35C95">
        <w:tab/>
        <w:t>(2E)</w:t>
      </w:r>
      <w:r w:rsidRPr="00A35C95">
        <w:tab/>
        <w:t>Also, a person (</w:t>
      </w:r>
      <w:r w:rsidRPr="00A35C95">
        <w:rPr>
          <w:b/>
          <w:i/>
        </w:rPr>
        <w:t>person 1</w:t>
      </w:r>
      <w:r w:rsidRPr="00A35C95">
        <w:t>) is exempt from the requirement to hold an Australian financial services licence for a financial service they provide to a person (</w:t>
      </w:r>
      <w:r w:rsidRPr="00A35C95">
        <w:rPr>
          <w:b/>
          <w:i/>
        </w:rPr>
        <w:t>person 2</w:t>
      </w:r>
      <w:r w:rsidRPr="00A35C95">
        <w:t>) in the following circumstances:</w:t>
      </w:r>
    </w:p>
    <w:p w14:paraId="19F823D4" w14:textId="77777777" w:rsidR="00E93F58" w:rsidRPr="00A35C95" w:rsidRDefault="00E93F58" w:rsidP="00366AB5">
      <w:pPr>
        <w:pStyle w:val="paragraph"/>
        <w:tabs>
          <w:tab w:val="left" w:pos="2835"/>
        </w:tabs>
      </w:pPr>
      <w:r w:rsidRPr="00A35C95">
        <w:tab/>
        <w:t>(a)</w:t>
      </w:r>
      <w:r w:rsidRPr="00A35C95">
        <w:tab/>
        <w:t>person 1 is not in this jurisdiction;</w:t>
      </w:r>
    </w:p>
    <w:p w14:paraId="5F833748" w14:textId="77777777" w:rsidR="00E93F58" w:rsidRPr="00A35C95" w:rsidRDefault="00E93F58" w:rsidP="00366AB5">
      <w:pPr>
        <w:pStyle w:val="paragraph"/>
        <w:tabs>
          <w:tab w:val="left" w:pos="2835"/>
        </w:tabs>
      </w:pPr>
      <w:r w:rsidRPr="00A35C95">
        <w:tab/>
        <w:t>(b)</w:t>
      </w:r>
      <w:r w:rsidRPr="00A35C95">
        <w:tab/>
        <w:t>person 2 is a professional investor;</w:t>
      </w:r>
    </w:p>
    <w:p w14:paraId="47ECB8FF" w14:textId="77777777" w:rsidR="00E93F58" w:rsidRPr="00A35C95" w:rsidRDefault="00E93F58" w:rsidP="00366AB5">
      <w:pPr>
        <w:pStyle w:val="paragraph"/>
        <w:tabs>
          <w:tab w:val="left" w:pos="2835"/>
        </w:tabs>
      </w:pPr>
      <w:r w:rsidRPr="00A35C95">
        <w:tab/>
        <w:t>(c)</w:t>
      </w:r>
      <w:r w:rsidRPr="00A35C95">
        <w:tab/>
        <w:t>the service consists of any or all of the following:</w:t>
      </w:r>
    </w:p>
    <w:p w14:paraId="5F81E16E" w14:textId="77777777" w:rsidR="00E93F58" w:rsidRPr="00A35C95" w:rsidRDefault="00E93F58" w:rsidP="00366AB5">
      <w:pPr>
        <w:pStyle w:val="paragraphsub"/>
        <w:tabs>
          <w:tab w:val="left" w:pos="2835"/>
        </w:tabs>
      </w:pPr>
      <w:r w:rsidRPr="00A35C95">
        <w:tab/>
        <w:t>(i)</w:t>
      </w:r>
      <w:r w:rsidRPr="00A35C95">
        <w:tab/>
        <w:t>dealing in derivatives, foreign exchange contracts, carbon units, Australian carbon credit units or eligible international emissions units;</w:t>
      </w:r>
    </w:p>
    <w:p w14:paraId="14B22E27" w14:textId="77777777" w:rsidR="00E93F58" w:rsidRPr="00A35C95" w:rsidRDefault="00E93F58" w:rsidP="00366AB5">
      <w:pPr>
        <w:pStyle w:val="paragraphsub"/>
        <w:tabs>
          <w:tab w:val="left" w:pos="2835"/>
        </w:tabs>
      </w:pPr>
      <w:r w:rsidRPr="00A35C95">
        <w:tab/>
        <w:t>(ii)</w:t>
      </w:r>
      <w:r w:rsidRPr="00A35C95">
        <w:tab/>
        <w:t>providing advice on derivatives, foreign exchange contracts, carbon units, Australian carbon credit units or eligible international emissions units;</w:t>
      </w:r>
    </w:p>
    <w:p w14:paraId="12A144F2" w14:textId="77777777" w:rsidR="00E93F58" w:rsidRPr="00A35C95" w:rsidRDefault="00E93F58" w:rsidP="00366AB5">
      <w:pPr>
        <w:pStyle w:val="paragraphsub"/>
        <w:tabs>
          <w:tab w:val="left" w:pos="2835"/>
        </w:tabs>
      </w:pPr>
      <w:r w:rsidRPr="00A35C95">
        <w:tab/>
        <w:t>(iii)</w:t>
      </w:r>
      <w:r w:rsidRPr="00A35C95">
        <w:tab/>
        <w:t>making a market in derivatives, foreign exchange contracts, carbon units, Australian carbon credit units or eligible international emissions units.</w:t>
      </w:r>
    </w:p>
    <w:p w14:paraId="4FDEA2EC" w14:textId="77777777" w:rsidR="00E93F58" w:rsidRPr="00A35C95" w:rsidRDefault="00E93F58" w:rsidP="00366AB5">
      <w:pPr>
        <w:pStyle w:val="subsection"/>
        <w:tabs>
          <w:tab w:val="left" w:pos="2835"/>
        </w:tabs>
      </w:pPr>
      <w:r w:rsidRPr="00A35C95">
        <w:tab/>
        <w:t>(2F)</w:t>
      </w:r>
      <w:r w:rsidRPr="00A35C95">
        <w:tab/>
        <w:t xml:space="preserve">Also, a person is exempt from the requirement to hold an Australian financial services licence for a financial service that the person provides by bidding at an auction conducted in accordance with a legislative instrument made for subsection 113(1) of the </w:t>
      </w:r>
      <w:r w:rsidRPr="00A35C95">
        <w:rPr>
          <w:i/>
        </w:rPr>
        <w:t>Clean Energy Act 2011</w:t>
      </w:r>
      <w:r w:rsidRPr="00A35C95">
        <w:t>, if the bidding is:</w:t>
      </w:r>
    </w:p>
    <w:p w14:paraId="2B1D1B9E" w14:textId="77777777" w:rsidR="00E93F58" w:rsidRPr="00A35C95" w:rsidRDefault="00E93F58" w:rsidP="00366AB5">
      <w:pPr>
        <w:pStyle w:val="paragraph"/>
        <w:tabs>
          <w:tab w:val="left" w:pos="2835"/>
        </w:tabs>
      </w:pPr>
      <w:r w:rsidRPr="00A35C95">
        <w:tab/>
        <w:t>(a)</w:t>
      </w:r>
      <w:r w:rsidRPr="00A35C95">
        <w:tab/>
        <w:t>on the person’s own behalf; or</w:t>
      </w:r>
    </w:p>
    <w:p w14:paraId="16B934BF" w14:textId="77777777" w:rsidR="00E93F58" w:rsidRPr="00A35C95" w:rsidRDefault="00E93F58" w:rsidP="00366AB5">
      <w:pPr>
        <w:pStyle w:val="paragraph"/>
        <w:tabs>
          <w:tab w:val="left" w:pos="2835"/>
        </w:tabs>
      </w:pPr>
      <w:r w:rsidRPr="00A35C95">
        <w:tab/>
        <w:t>(b)</w:t>
      </w:r>
      <w:r w:rsidRPr="00A35C95">
        <w:tab/>
        <w:t>for a related body corporate of the person; or</w:t>
      </w:r>
    </w:p>
    <w:p w14:paraId="5A294DA4" w14:textId="77777777" w:rsidR="00E93F58" w:rsidRPr="00A35C95" w:rsidRDefault="00E93F58" w:rsidP="00366AB5">
      <w:pPr>
        <w:pStyle w:val="paragraph"/>
        <w:tabs>
          <w:tab w:val="left" w:pos="2835"/>
        </w:tabs>
      </w:pPr>
      <w:r w:rsidRPr="00A35C95">
        <w:tab/>
        <w:t>(c)</w:t>
      </w:r>
      <w:r w:rsidRPr="00A35C95">
        <w:tab/>
        <w:t>for an associated entity of the person.”</w:t>
      </w:r>
    </w:p>
    <w:p w14:paraId="7D9466A3" w14:textId="77777777" w:rsidR="00E93F58" w:rsidRPr="00A35C95" w:rsidRDefault="00E93F58" w:rsidP="00366AB5">
      <w:pPr>
        <w:pStyle w:val="ActHead5"/>
        <w:tabs>
          <w:tab w:val="left" w:pos="2835"/>
        </w:tabs>
      </w:pPr>
      <w:bookmarkStart w:id="974" w:name="_Toc152058060"/>
      <w:bookmarkStart w:id="975" w:name="_Toc158712283"/>
      <w:r w:rsidRPr="00844D11">
        <w:rPr>
          <w:rStyle w:val="CharSectno"/>
        </w:rPr>
        <w:t>7.6.02AH</w:t>
      </w:r>
      <w:r w:rsidRPr="00A35C95">
        <w:t xml:space="preserve">  Modification of paragraph 911B(1)(e) of the Act</w:t>
      </w:r>
      <w:bookmarkEnd w:id="974"/>
      <w:bookmarkEnd w:id="975"/>
    </w:p>
    <w:p w14:paraId="41328828" w14:textId="77777777" w:rsidR="00E93F58" w:rsidRPr="00A35C95" w:rsidRDefault="00E93F58" w:rsidP="00366AB5">
      <w:pPr>
        <w:pStyle w:val="subsection"/>
        <w:tabs>
          <w:tab w:val="left" w:pos="2835"/>
        </w:tabs>
      </w:pPr>
      <w:r w:rsidRPr="00A35C95">
        <w:tab/>
      </w:r>
      <w:r w:rsidRPr="00A35C95">
        <w:tab/>
        <w:t>For paragraph 926B(1)(c) of the Act, Part 7.6 of the Act applies as if paragraph 911B(1)(e) of the Act were modified by omitting “911A(2)” and substituting “911A(2), (2A), (2B), (2C), (2D), (2E) or (2F)”.</w:t>
      </w:r>
    </w:p>
    <w:p w14:paraId="4A9E33A2" w14:textId="77777777" w:rsidR="00E93F58" w:rsidRPr="00A35C95" w:rsidRDefault="00E93F58" w:rsidP="00366AB5">
      <w:pPr>
        <w:pStyle w:val="ActHead5"/>
        <w:tabs>
          <w:tab w:val="left" w:pos="2835"/>
        </w:tabs>
      </w:pPr>
      <w:bookmarkStart w:id="976" w:name="_Toc152058061"/>
      <w:bookmarkStart w:id="977" w:name="_Toc158712284"/>
      <w:r w:rsidRPr="00844D11">
        <w:rPr>
          <w:rStyle w:val="CharSectno"/>
        </w:rPr>
        <w:t>7.6.02A</w:t>
      </w:r>
      <w:r w:rsidRPr="00A35C95">
        <w:t xml:space="preserve">  Obligation to notify ASIC of certain matters</w:t>
      </w:r>
      <w:bookmarkEnd w:id="976"/>
      <w:bookmarkEnd w:id="977"/>
    </w:p>
    <w:p w14:paraId="322FA42C" w14:textId="77777777" w:rsidR="00E93F58" w:rsidRPr="00A35C95" w:rsidRDefault="00E93F58" w:rsidP="00366AB5">
      <w:pPr>
        <w:pStyle w:val="subsection"/>
        <w:tabs>
          <w:tab w:val="left" w:pos="2835"/>
        </w:tabs>
      </w:pPr>
      <w:r w:rsidRPr="00A35C95">
        <w:tab/>
        <w:t>(1)</w:t>
      </w:r>
      <w:r w:rsidRPr="00A35C95">
        <w:tab/>
        <w:t>For paragraph 912D(3)(c) of the Act, the following Commonwealth legislation is specified:</w:t>
      </w:r>
    </w:p>
    <w:p w14:paraId="68B9E90C" w14:textId="77777777" w:rsidR="00E93F58" w:rsidRPr="00A35C95" w:rsidRDefault="00E93F58" w:rsidP="00366AB5">
      <w:pPr>
        <w:pStyle w:val="paragraph"/>
        <w:tabs>
          <w:tab w:val="left" w:pos="2835"/>
        </w:tabs>
      </w:pPr>
      <w:r w:rsidRPr="00A35C95">
        <w:tab/>
        <w:t>(a)</w:t>
      </w:r>
      <w:r w:rsidRPr="00A35C95">
        <w:tab/>
      </w:r>
      <w:r w:rsidRPr="00A35C95">
        <w:rPr>
          <w:i/>
        </w:rPr>
        <w:t>Australian National Registry of Emissions Units Act 2011</w:t>
      </w:r>
      <w:r w:rsidRPr="00A35C95">
        <w:t>;</w:t>
      </w:r>
    </w:p>
    <w:p w14:paraId="3F2E72FC" w14:textId="77777777" w:rsidR="00E93F58" w:rsidRPr="00A35C95" w:rsidRDefault="00E93F58" w:rsidP="00366AB5">
      <w:pPr>
        <w:pStyle w:val="paragraph"/>
        <w:tabs>
          <w:tab w:val="left" w:pos="2835"/>
        </w:tabs>
      </w:pPr>
      <w:r w:rsidRPr="00A35C95">
        <w:tab/>
        <w:t>(aa)</w:t>
      </w:r>
      <w:r w:rsidRPr="00A35C95">
        <w:tab/>
      </w:r>
      <w:r w:rsidRPr="00A35C95">
        <w:rPr>
          <w:i/>
        </w:rPr>
        <w:t>Banking Act 1959</w:t>
      </w:r>
      <w:r w:rsidRPr="00A35C95">
        <w:t>;</w:t>
      </w:r>
    </w:p>
    <w:p w14:paraId="73FE1086" w14:textId="77777777" w:rsidR="00E93F58" w:rsidRPr="00A35C95" w:rsidRDefault="00E93F58" w:rsidP="00366AB5">
      <w:pPr>
        <w:pStyle w:val="paragraph"/>
        <w:tabs>
          <w:tab w:val="left" w:pos="2835"/>
        </w:tabs>
      </w:pPr>
      <w:r w:rsidRPr="00A35C95">
        <w:lastRenderedPageBreak/>
        <w:tab/>
        <w:t>(ab)</w:t>
      </w:r>
      <w:r w:rsidRPr="00A35C95">
        <w:tab/>
      </w:r>
      <w:r w:rsidRPr="00A35C95">
        <w:rPr>
          <w:i/>
        </w:rPr>
        <w:t>Carbon Credits (Carbon Farming Initiative) Act 2011</w:t>
      </w:r>
      <w:r w:rsidRPr="00A35C95">
        <w:t>;</w:t>
      </w:r>
    </w:p>
    <w:p w14:paraId="74CCE2DB" w14:textId="77777777" w:rsidR="00E93F58" w:rsidRPr="00A35C95" w:rsidRDefault="00E93F58" w:rsidP="00366AB5">
      <w:pPr>
        <w:pStyle w:val="paragraph"/>
        <w:tabs>
          <w:tab w:val="left" w:pos="2835"/>
        </w:tabs>
      </w:pPr>
      <w:r w:rsidRPr="00A35C95">
        <w:tab/>
        <w:t>(b)</w:t>
      </w:r>
      <w:r w:rsidRPr="00A35C95">
        <w:tab/>
      </w:r>
      <w:r w:rsidRPr="00A35C95">
        <w:rPr>
          <w:i/>
        </w:rPr>
        <w:t>Financial Sector (Collection of Data) Act 2001</w:t>
      </w:r>
      <w:r w:rsidRPr="00A35C95">
        <w:t>;</w:t>
      </w:r>
    </w:p>
    <w:p w14:paraId="7327E743" w14:textId="77777777" w:rsidR="00E93F58" w:rsidRPr="00A35C95" w:rsidRDefault="00E93F58" w:rsidP="00366AB5">
      <w:pPr>
        <w:pStyle w:val="paragraph"/>
        <w:tabs>
          <w:tab w:val="left" w:pos="2835"/>
        </w:tabs>
      </w:pPr>
      <w:r w:rsidRPr="00A35C95">
        <w:tab/>
        <w:t>(c)</w:t>
      </w:r>
      <w:r w:rsidRPr="00A35C95">
        <w:tab/>
      </w:r>
      <w:r w:rsidRPr="00A35C95">
        <w:rPr>
          <w:i/>
        </w:rPr>
        <w:t>Financial Sector (Shareholdings) Act 1998</w:t>
      </w:r>
      <w:r w:rsidRPr="00A35C95">
        <w:t>;</w:t>
      </w:r>
    </w:p>
    <w:p w14:paraId="5CDFF158" w14:textId="77777777" w:rsidR="00E93F58" w:rsidRPr="00A35C95" w:rsidRDefault="00E93F58" w:rsidP="00366AB5">
      <w:pPr>
        <w:pStyle w:val="paragraph"/>
        <w:tabs>
          <w:tab w:val="left" w:pos="2835"/>
        </w:tabs>
      </w:pPr>
      <w:r w:rsidRPr="00A35C95">
        <w:tab/>
        <w:t>(d)</w:t>
      </w:r>
      <w:r w:rsidRPr="00A35C95">
        <w:tab/>
      </w:r>
      <w:r w:rsidRPr="00A35C95">
        <w:rPr>
          <w:i/>
        </w:rPr>
        <w:t>Financial Sector (Transfer and Restructure) Act 1999</w:t>
      </w:r>
      <w:r w:rsidRPr="00A35C95">
        <w:t>;</w:t>
      </w:r>
    </w:p>
    <w:p w14:paraId="163AAE7D" w14:textId="77777777" w:rsidR="00E93F58" w:rsidRPr="00A35C95" w:rsidRDefault="00E93F58" w:rsidP="00366AB5">
      <w:pPr>
        <w:pStyle w:val="paragraph"/>
        <w:tabs>
          <w:tab w:val="left" w:pos="2835"/>
        </w:tabs>
      </w:pPr>
      <w:r w:rsidRPr="00A35C95">
        <w:tab/>
        <w:t>(e)</w:t>
      </w:r>
      <w:r w:rsidRPr="00A35C95">
        <w:tab/>
      </w:r>
      <w:r w:rsidRPr="00A35C95">
        <w:rPr>
          <w:i/>
        </w:rPr>
        <w:t>Insurance Acquisitions and Takeovers Act 1991</w:t>
      </w:r>
      <w:r w:rsidRPr="00A35C95">
        <w:t>;</w:t>
      </w:r>
    </w:p>
    <w:p w14:paraId="6444AC01" w14:textId="77777777" w:rsidR="00E93F58" w:rsidRPr="00A35C95" w:rsidRDefault="00E93F58" w:rsidP="00366AB5">
      <w:pPr>
        <w:pStyle w:val="paragraph"/>
        <w:tabs>
          <w:tab w:val="left" w:pos="2835"/>
        </w:tabs>
      </w:pPr>
      <w:r w:rsidRPr="00A35C95">
        <w:tab/>
        <w:t>(f)</w:t>
      </w:r>
      <w:r w:rsidRPr="00A35C95">
        <w:tab/>
      </w:r>
      <w:r w:rsidRPr="00A35C95">
        <w:rPr>
          <w:i/>
        </w:rPr>
        <w:t>Insurance Act 1973</w:t>
      </w:r>
      <w:r w:rsidRPr="00A35C95">
        <w:t>;</w:t>
      </w:r>
    </w:p>
    <w:p w14:paraId="39877DDA" w14:textId="77777777" w:rsidR="00E93F58" w:rsidRPr="00A35C95" w:rsidRDefault="00E93F58" w:rsidP="00366AB5">
      <w:pPr>
        <w:pStyle w:val="paragraph"/>
        <w:tabs>
          <w:tab w:val="left" w:pos="2835"/>
        </w:tabs>
      </w:pPr>
      <w:r w:rsidRPr="00A35C95">
        <w:tab/>
        <w:t>(g)</w:t>
      </w:r>
      <w:r w:rsidRPr="00A35C95">
        <w:tab/>
      </w:r>
      <w:r w:rsidRPr="00A35C95">
        <w:rPr>
          <w:i/>
        </w:rPr>
        <w:t>Insurance Contracts Act 1984</w:t>
      </w:r>
      <w:r w:rsidRPr="00A35C95">
        <w:t>;</w:t>
      </w:r>
    </w:p>
    <w:p w14:paraId="1DF3E5B8" w14:textId="77777777" w:rsidR="00E93F58" w:rsidRPr="00A35C95" w:rsidRDefault="00E93F58" w:rsidP="00366AB5">
      <w:pPr>
        <w:pStyle w:val="paragraph"/>
        <w:tabs>
          <w:tab w:val="left" w:pos="2835"/>
        </w:tabs>
      </w:pPr>
      <w:r w:rsidRPr="00A35C95">
        <w:tab/>
        <w:t>(h)</w:t>
      </w:r>
      <w:r w:rsidRPr="00A35C95">
        <w:tab/>
      </w:r>
      <w:r w:rsidRPr="00A35C95">
        <w:rPr>
          <w:i/>
        </w:rPr>
        <w:t>Life Insurance Act 1995</w:t>
      </w:r>
      <w:r w:rsidRPr="00A35C95">
        <w:t>;</w:t>
      </w:r>
    </w:p>
    <w:p w14:paraId="30C08F4C" w14:textId="77777777" w:rsidR="00E93F58" w:rsidRPr="00A35C95" w:rsidRDefault="00E93F58" w:rsidP="00366AB5">
      <w:pPr>
        <w:pStyle w:val="paragraph"/>
        <w:tabs>
          <w:tab w:val="left" w:pos="2835"/>
        </w:tabs>
      </w:pPr>
      <w:r w:rsidRPr="00A35C95">
        <w:tab/>
        <w:t>(i)</w:t>
      </w:r>
      <w:r w:rsidRPr="00A35C95">
        <w:tab/>
      </w:r>
      <w:r w:rsidRPr="00A35C95">
        <w:rPr>
          <w:i/>
        </w:rPr>
        <w:t>Retirement Savings Accounts Act 1997</w:t>
      </w:r>
      <w:r w:rsidRPr="00A35C95">
        <w:t>;</w:t>
      </w:r>
    </w:p>
    <w:p w14:paraId="66462D13" w14:textId="77777777" w:rsidR="00E93F58" w:rsidRPr="00A35C95" w:rsidRDefault="00E93F58" w:rsidP="00366AB5">
      <w:pPr>
        <w:pStyle w:val="paragraph"/>
        <w:tabs>
          <w:tab w:val="left" w:pos="2835"/>
        </w:tabs>
      </w:pPr>
      <w:r w:rsidRPr="00A35C95">
        <w:tab/>
        <w:t>(j)</w:t>
      </w:r>
      <w:r w:rsidRPr="00A35C95">
        <w:tab/>
      </w:r>
      <w:r w:rsidRPr="00A35C95">
        <w:rPr>
          <w:i/>
        </w:rPr>
        <w:t>Superannuation Industry (Supervision) Act 1993</w:t>
      </w:r>
      <w:r w:rsidRPr="00A35C95">
        <w:t>.</w:t>
      </w:r>
    </w:p>
    <w:p w14:paraId="2D3C2345" w14:textId="77777777" w:rsidR="00E93F58" w:rsidRPr="00A35C95" w:rsidRDefault="00E93F58" w:rsidP="00366AB5">
      <w:pPr>
        <w:pStyle w:val="SubsectionHead"/>
        <w:tabs>
          <w:tab w:val="left" w:pos="2835"/>
        </w:tabs>
      </w:pPr>
      <w:r w:rsidRPr="00A35C95">
        <w:t>Certain breaches not required to be notified</w:t>
      </w:r>
    </w:p>
    <w:p w14:paraId="7721E115" w14:textId="77777777" w:rsidR="00E93F58" w:rsidRPr="00A35C95" w:rsidRDefault="00E93F58" w:rsidP="00366AB5">
      <w:pPr>
        <w:pStyle w:val="subsection"/>
        <w:tabs>
          <w:tab w:val="left" w:pos="2835"/>
        </w:tabs>
      </w:pPr>
      <w:r w:rsidRPr="00A35C95">
        <w:tab/>
        <w:t>(2)</w:t>
      </w:r>
      <w:r w:rsidRPr="00A35C95">
        <w:tab/>
        <w:t>For the purposes of paragraph 912D(4)(b) of the Act:</w:t>
      </w:r>
    </w:p>
    <w:p w14:paraId="69C4ECB8" w14:textId="77777777" w:rsidR="00E93F58" w:rsidRPr="00A35C95" w:rsidRDefault="00E93F58" w:rsidP="00366AB5">
      <w:pPr>
        <w:pStyle w:val="paragraph"/>
        <w:tabs>
          <w:tab w:val="left" w:pos="2835"/>
        </w:tabs>
      </w:pPr>
      <w:r w:rsidRPr="00A35C95">
        <w:tab/>
        <w:t>(a)</w:t>
      </w:r>
      <w:r w:rsidRPr="00A35C95">
        <w:tab/>
        <w:t>the following civil penalty provisions of the Act are prescribed:</w:t>
      </w:r>
    </w:p>
    <w:p w14:paraId="42BA460E" w14:textId="77777777" w:rsidR="00E93F58" w:rsidRPr="00A35C95" w:rsidRDefault="00E93F58" w:rsidP="00366AB5">
      <w:pPr>
        <w:pStyle w:val="paragraphsub"/>
        <w:tabs>
          <w:tab w:val="left" w:pos="2835"/>
        </w:tabs>
      </w:pPr>
      <w:r w:rsidRPr="00A35C95">
        <w:tab/>
        <w:t>(i)</w:t>
      </w:r>
      <w:r w:rsidRPr="00A35C95">
        <w:tab/>
        <w:t>subsection 798H(1);</w:t>
      </w:r>
    </w:p>
    <w:p w14:paraId="7F1E608C" w14:textId="77777777" w:rsidR="00E93F58" w:rsidRPr="00A35C95" w:rsidRDefault="00E93F58" w:rsidP="00366AB5">
      <w:pPr>
        <w:pStyle w:val="paragraphsub"/>
        <w:tabs>
          <w:tab w:val="left" w:pos="2835"/>
        </w:tabs>
      </w:pPr>
      <w:r w:rsidRPr="00A35C95">
        <w:tab/>
        <w:t>(ii)</w:t>
      </w:r>
      <w:r w:rsidRPr="00A35C95">
        <w:tab/>
        <w:t>subsection 901E(1);</w:t>
      </w:r>
    </w:p>
    <w:p w14:paraId="4B6AD66A" w14:textId="77777777" w:rsidR="00E93F58" w:rsidRPr="00A35C95" w:rsidRDefault="00E93F58" w:rsidP="00366AB5">
      <w:pPr>
        <w:pStyle w:val="paragraphsub"/>
        <w:tabs>
          <w:tab w:val="left" w:pos="2835"/>
        </w:tabs>
      </w:pPr>
      <w:bookmarkStart w:id="978" w:name="_Hlk95380553"/>
      <w:r w:rsidRPr="00A35C95">
        <w:tab/>
        <w:t>(iia)</w:t>
      </w:r>
      <w:r w:rsidRPr="00A35C95">
        <w:tab/>
        <w:t>subsection 921BA(5) in so far as it relates to subsection 921BA(4);</w:t>
      </w:r>
    </w:p>
    <w:p w14:paraId="5CB08E93" w14:textId="77777777" w:rsidR="00E93F58" w:rsidRPr="00A35C95" w:rsidRDefault="00E93F58" w:rsidP="00366AB5">
      <w:pPr>
        <w:pStyle w:val="paragraphsub"/>
        <w:tabs>
          <w:tab w:val="left" w:pos="2835"/>
        </w:tabs>
      </w:pPr>
      <w:r w:rsidRPr="00A35C95">
        <w:tab/>
        <w:t>(iib)</w:t>
      </w:r>
      <w:r w:rsidRPr="00A35C95">
        <w:tab/>
        <w:t>subsection 921BB(4);</w:t>
      </w:r>
    </w:p>
    <w:p w14:paraId="7C5A9715" w14:textId="77777777" w:rsidR="00E93F58" w:rsidRPr="00A35C95" w:rsidRDefault="00E93F58" w:rsidP="00366AB5">
      <w:pPr>
        <w:pStyle w:val="paragraphsub"/>
        <w:tabs>
          <w:tab w:val="left" w:pos="2835"/>
        </w:tabs>
      </w:pPr>
      <w:r w:rsidRPr="00A35C95">
        <w:tab/>
        <w:t>(iic)</w:t>
      </w:r>
      <w:r w:rsidRPr="00A35C95">
        <w:tab/>
        <w:t>subsection 921E(3);</w:t>
      </w:r>
    </w:p>
    <w:bookmarkEnd w:id="978"/>
    <w:p w14:paraId="3A63003C" w14:textId="77777777" w:rsidR="00E93F58" w:rsidRPr="00A35C95" w:rsidRDefault="00E93F58" w:rsidP="00366AB5">
      <w:pPr>
        <w:pStyle w:val="paragraphsub"/>
        <w:tabs>
          <w:tab w:val="left" w:pos="2835"/>
        </w:tabs>
      </w:pPr>
      <w:r w:rsidRPr="00A35C95">
        <w:tab/>
        <w:t>(iii)</w:t>
      </w:r>
      <w:r w:rsidRPr="00A35C95">
        <w:tab/>
        <w:t>subsection 922M(5);</w:t>
      </w:r>
    </w:p>
    <w:p w14:paraId="030CBE2A" w14:textId="77777777" w:rsidR="00E93F58" w:rsidRPr="00A35C95" w:rsidRDefault="00E93F58" w:rsidP="00366AB5">
      <w:pPr>
        <w:pStyle w:val="paragraphsub"/>
        <w:tabs>
          <w:tab w:val="left" w:pos="2835"/>
        </w:tabs>
      </w:pPr>
      <w:r w:rsidRPr="00A35C95">
        <w:tab/>
        <w:t>(iv)</w:t>
      </w:r>
      <w:r w:rsidRPr="00A35C95">
        <w:tab/>
        <w:t>subsection 941A(3);</w:t>
      </w:r>
    </w:p>
    <w:p w14:paraId="1AE805DC" w14:textId="77777777" w:rsidR="00E93F58" w:rsidRPr="00A35C95" w:rsidRDefault="00E93F58" w:rsidP="00366AB5">
      <w:pPr>
        <w:pStyle w:val="paragraphsub"/>
        <w:tabs>
          <w:tab w:val="left" w:pos="2835"/>
        </w:tabs>
      </w:pPr>
      <w:r w:rsidRPr="00A35C95">
        <w:tab/>
        <w:t>(v)</w:t>
      </w:r>
      <w:r w:rsidRPr="00A35C95">
        <w:tab/>
        <w:t>subsection 941B(4);</w:t>
      </w:r>
    </w:p>
    <w:p w14:paraId="52359008" w14:textId="77777777" w:rsidR="00E93F58" w:rsidRPr="00A35C95" w:rsidRDefault="00E93F58" w:rsidP="00366AB5">
      <w:pPr>
        <w:pStyle w:val="paragraphsub"/>
        <w:tabs>
          <w:tab w:val="left" w:pos="2835"/>
        </w:tabs>
      </w:pPr>
      <w:r w:rsidRPr="00A35C95">
        <w:tab/>
        <w:t>(vi)</w:t>
      </w:r>
      <w:r w:rsidRPr="00A35C95">
        <w:tab/>
        <w:t>subsection 962G(4);</w:t>
      </w:r>
    </w:p>
    <w:p w14:paraId="6BE35BD8" w14:textId="77777777" w:rsidR="00E93F58" w:rsidRPr="00A35C95" w:rsidRDefault="00E93F58" w:rsidP="00366AB5">
      <w:pPr>
        <w:pStyle w:val="paragraphsub"/>
        <w:tabs>
          <w:tab w:val="left" w:pos="2835"/>
        </w:tabs>
      </w:pPr>
      <w:r w:rsidRPr="00A35C95">
        <w:tab/>
        <w:t>(vii)</w:t>
      </w:r>
      <w:r w:rsidRPr="00A35C95">
        <w:tab/>
        <w:t>subsection 962S(5);</w:t>
      </w:r>
    </w:p>
    <w:p w14:paraId="0C475E9D" w14:textId="77777777" w:rsidR="00E93F58" w:rsidRPr="00A35C95" w:rsidRDefault="00E93F58" w:rsidP="00366AB5">
      <w:pPr>
        <w:pStyle w:val="paragraphsub"/>
        <w:tabs>
          <w:tab w:val="left" w:pos="2835"/>
        </w:tabs>
      </w:pPr>
      <w:r w:rsidRPr="00A35C95">
        <w:tab/>
        <w:t>(viii)</w:t>
      </w:r>
      <w:r w:rsidRPr="00A35C95">
        <w:tab/>
        <w:t>subsection 962S(8);</w:t>
      </w:r>
    </w:p>
    <w:p w14:paraId="29056B4D" w14:textId="77777777" w:rsidR="00E93F58" w:rsidRPr="00A35C95" w:rsidRDefault="00E93F58" w:rsidP="00366AB5">
      <w:pPr>
        <w:pStyle w:val="paragraphsub"/>
        <w:tabs>
          <w:tab w:val="left" w:pos="2835"/>
        </w:tabs>
      </w:pPr>
      <w:r w:rsidRPr="00A35C95">
        <w:tab/>
        <w:t>(ix)</w:t>
      </w:r>
      <w:r w:rsidRPr="00A35C95">
        <w:tab/>
        <w:t>subsection 962U(3);</w:t>
      </w:r>
    </w:p>
    <w:p w14:paraId="4FF240A3" w14:textId="77777777" w:rsidR="00E93F58" w:rsidRPr="00A35C95" w:rsidRDefault="00E93F58" w:rsidP="00366AB5">
      <w:pPr>
        <w:pStyle w:val="paragraphsub"/>
        <w:tabs>
          <w:tab w:val="left" w:pos="2835"/>
        </w:tabs>
      </w:pPr>
      <w:r w:rsidRPr="00A35C95">
        <w:tab/>
        <w:t>(x)</w:t>
      </w:r>
      <w:r w:rsidRPr="00A35C95">
        <w:tab/>
        <w:t>subsection 962V(3);</w:t>
      </w:r>
    </w:p>
    <w:p w14:paraId="1BA69AFD" w14:textId="77777777" w:rsidR="00E93F58" w:rsidRPr="00A35C95" w:rsidRDefault="00E93F58" w:rsidP="00366AB5">
      <w:pPr>
        <w:pStyle w:val="paragraphsub"/>
        <w:tabs>
          <w:tab w:val="left" w:pos="2835"/>
        </w:tabs>
      </w:pPr>
      <w:r w:rsidRPr="00A35C95">
        <w:tab/>
        <w:t>(xi)</w:t>
      </w:r>
      <w:r w:rsidRPr="00A35C95">
        <w:tab/>
        <w:t>subsection 981B(3);</w:t>
      </w:r>
    </w:p>
    <w:p w14:paraId="6194935B" w14:textId="77777777" w:rsidR="00E93F58" w:rsidRPr="00A35C95" w:rsidRDefault="00E93F58" w:rsidP="00366AB5">
      <w:pPr>
        <w:pStyle w:val="paragraphsub"/>
        <w:tabs>
          <w:tab w:val="left" w:pos="2835"/>
        </w:tabs>
      </w:pPr>
      <w:r w:rsidRPr="00A35C95">
        <w:tab/>
        <w:t>(xii)</w:t>
      </w:r>
      <w:r w:rsidRPr="00A35C95">
        <w:tab/>
        <w:t>subsection 981C(2);</w:t>
      </w:r>
    </w:p>
    <w:p w14:paraId="1BE5F3C9" w14:textId="77777777" w:rsidR="00E93F58" w:rsidRPr="00A35C95" w:rsidRDefault="00E93F58" w:rsidP="00366AB5">
      <w:pPr>
        <w:pStyle w:val="paragraphsub"/>
        <w:tabs>
          <w:tab w:val="left" w:pos="2835"/>
        </w:tabs>
      </w:pPr>
      <w:r w:rsidRPr="00A35C95">
        <w:tab/>
        <w:t>(xiii)</w:t>
      </w:r>
      <w:r w:rsidRPr="00A35C95">
        <w:tab/>
        <w:t>subsection 1012A(5);</w:t>
      </w:r>
    </w:p>
    <w:p w14:paraId="5FC624CF" w14:textId="77777777" w:rsidR="00E93F58" w:rsidRPr="00A35C95" w:rsidRDefault="00E93F58" w:rsidP="00366AB5">
      <w:pPr>
        <w:pStyle w:val="paragraphsub"/>
        <w:tabs>
          <w:tab w:val="left" w:pos="2835"/>
        </w:tabs>
      </w:pPr>
      <w:r w:rsidRPr="00A35C95">
        <w:tab/>
        <w:t>(xiv)</w:t>
      </w:r>
      <w:r w:rsidRPr="00A35C95">
        <w:tab/>
        <w:t>subsection 1012B(6);</w:t>
      </w:r>
    </w:p>
    <w:p w14:paraId="4F7EFB48" w14:textId="77777777" w:rsidR="00E93F58" w:rsidRPr="00A35C95" w:rsidRDefault="00E93F58" w:rsidP="00366AB5">
      <w:pPr>
        <w:pStyle w:val="paragraphsub"/>
        <w:tabs>
          <w:tab w:val="left" w:pos="2835"/>
        </w:tabs>
      </w:pPr>
      <w:r w:rsidRPr="00A35C95">
        <w:tab/>
        <w:t>(xv)</w:t>
      </w:r>
      <w:r w:rsidRPr="00A35C95">
        <w:tab/>
        <w:t>subsection 1012C(11);</w:t>
      </w:r>
    </w:p>
    <w:p w14:paraId="557ACA14" w14:textId="77777777" w:rsidR="00E93F58" w:rsidRPr="00A35C95" w:rsidRDefault="00E93F58" w:rsidP="00366AB5">
      <w:pPr>
        <w:pStyle w:val="paragraphsub"/>
        <w:tabs>
          <w:tab w:val="left" w:pos="2835"/>
        </w:tabs>
      </w:pPr>
      <w:r w:rsidRPr="00A35C95">
        <w:tab/>
        <w:t>(xvi)</w:t>
      </w:r>
      <w:r w:rsidRPr="00A35C95">
        <w:tab/>
        <w:t>subsection 1017BA(4B);</w:t>
      </w:r>
    </w:p>
    <w:p w14:paraId="62A741B2" w14:textId="77777777" w:rsidR="00E93F58" w:rsidRPr="00A35C95" w:rsidRDefault="00E93F58" w:rsidP="00366AB5">
      <w:pPr>
        <w:pStyle w:val="paragraphsub"/>
        <w:tabs>
          <w:tab w:val="left" w:pos="2835"/>
        </w:tabs>
      </w:pPr>
      <w:r w:rsidRPr="00A35C95">
        <w:tab/>
        <w:t>(xvii)</w:t>
      </w:r>
      <w:r w:rsidRPr="00A35C95">
        <w:tab/>
        <w:t>subsection 1017BB(5AA);</w:t>
      </w:r>
    </w:p>
    <w:p w14:paraId="4590411A" w14:textId="77777777" w:rsidR="00E93F58" w:rsidRPr="00A35C95" w:rsidRDefault="00E93F58" w:rsidP="00366AB5">
      <w:pPr>
        <w:pStyle w:val="paragraphsub"/>
        <w:tabs>
          <w:tab w:val="left" w:pos="2835"/>
        </w:tabs>
      </w:pPr>
      <w:r w:rsidRPr="00A35C95">
        <w:tab/>
        <w:t>(xviii)</w:t>
      </w:r>
      <w:r w:rsidRPr="00A35C95">
        <w:tab/>
        <w:t>subsection 1021E(8);</w:t>
      </w:r>
    </w:p>
    <w:p w14:paraId="4A1E4A73" w14:textId="77777777" w:rsidR="00E93F58" w:rsidRPr="00A35C95" w:rsidRDefault="00E93F58" w:rsidP="00366AB5">
      <w:pPr>
        <w:pStyle w:val="paragraphsub"/>
        <w:tabs>
          <w:tab w:val="left" w:pos="2835"/>
        </w:tabs>
      </w:pPr>
      <w:r w:rsidRPr="00A35C95">
        <w:tab/>
        <w:t>(xix)</w:t>
      </w:r>
      <w:r w:rsidRPr="00A35C95">
        <w:tab/>
        <w:t xml:space="preserve">subsection 1021G(3); </w:t>
      </w:r>
    </w:p>
    <w:p w14:paraId="071B0CFA" w14:textId="77777777" w:rsidR="00E93F58" w:rsidRPr="00A35C95" w:rsidRDefault="00E93F58" w:rsidP="00366AB5">
      <w:pPr>
        <w:pStyle w:val="paragraphsub"/>
        <w:tabs>
          <w:tab w:val="left" w:pos="2835"/>
        </w:tabs>
      </w:pPr>
      <w:r w:rsidRPr="00A35C95">
        <w:tab/>
        <w:t>(xx)</w:t>
      </w:r>
      <w:r w:rsidRPr="00A35C95">
        <w:tab/>
        <w:t>section 1101AC; and</w:t>
      </w:r>
    </w:p>
    <w:p w14:paraId="33CD7537" w14:textId="77777777" w:rsidR="00E93F58" w:rsidRPr="00A35C95" w:rsidRDefault="00E93F58" w:rsidP="00366AB5">
      <w:pPr>
        <w:pStyle w:val="paragraph"/>
        <w:tabs>
          <w:tab w:val="left" w:pos="2835"/>
        </w:tabs>
      </w:pPr>
      <w:r w:rsidRPr="00A35C95">
        <w:tab/>
        <w:t>(b)</w:t>
      </w:r>
      <w:r w:rsidRPr="00A35C95">
        <w:tab/>
        <w:t>all civil penalty provisions of Commonwealth legislation that is specified in subregulation (1) are prescribed.</w:t>
      </w:r>
    </w:p>
    <w:p w14:paraId="6C1680C4" w14:textId="77777777" w:rsidR="00E93F58" w:rsidRPr="00A35C95" w:rsidRDefault="00E93F58" w:rsidP="00366AB5">
      <w:pPr>
        <w:pStyle w:val="ActHead5"/>
        <w:tabs>
          <w:tab w:val="left" w:pos="2835"/>
        </w:tabs>
      </w:pPr>
      <w:bookmarkStart w:id="979" w:name="_Toc152058062"/>
      <w:bookmarkStart w:id="980" w:name="_Toc158712285"/>
      <w:r w:rsidRPr="00844D11">
        <w:rPr>
          <w:rStyle w:val="CharSectno"/>
        </w:rPr>
        <w:t>7.6.03</w:t>
      </w:r>
      <w:r w:rsidRPr="00A35C95">
        <w:rPr>
          <w:sz w:val="16"/>
        </w:rPr>
        <w:t xml:space="preserve">  </w:t>
      </w:r>
      <w:r w:rsidRPr="00A35C95">
        <w:t>Applying for Australian financial services licence</w:t>
      </w:r>
      <w:bookmarkEnd w:id="979"/>
      <w:bookmarkEnd w:id="980"/>
    </w:p>
    <w:p w14:paraId="3656CB7A" w14:textId="77777777" w:rsidR="00E93F58" w:rsidRPr="00A35C95" w:rsidRDefault="00E93F58" w:rsidP="00366AB5">
      <w:pPr>
        <w:pStyle w:val="subsection"/>
        <w:tabs>
          <w:tab w:val="left" w:pos="2835"/>
        </w:tabs>
      </w:pPr>
      <w:r w:rsidRPr="00A35C95">
        <w:tab/>
      </w:r>
      <w:r w:rsidRPr="00A35C95">
        <w:tab/>
        <w:t>For paragraph 913A(a) of the Act, the following information is required as part of an application by person for an Australian financial services licence:</w:t>
      </w:r>
    </w:p>
    <w:p w14:paraId="3AC8CCEE" w14:textId="77777777" w:rsidR="00E93F58" w:rsidRPr="00A35C95" w:rsidRDefault="00E93F58" w:rsidP="00366AB5">
      <w:pPr>
        <w:pStyle w:val="paragraph"/>
        <w:tabs>
          <w:tab w:val="left" w:pos="2835"/>
        </w:tabs>
      </w:pPr>
      <w:r w:rsidRPr="00A35C95">
        <w:tab/>
        <w:t>(a)</w:t>
      </w:r>
      <w:r w:rsidRPr="00A35C95">
        <w:tab/>
        <w:t>if the person is a body corporate:</w:t>
      </w:r>
    </w:p>
    <w:p w14:paraId="446A967C" w14:textId="77777777" w:rsidR="00E93F58" w:rsidRPr="00A35C95" w:rsidRDefault="00E93F58" w:rsidP="00366AB5">
      <w:pPr>
        <w:pStyle w:val="paragraphsub"/>
        <w:tabs>
          <w:tab w:val="left" w:pos="2835"/>
        </w:tabs>
      </w:pPr>
      <w:r w:rsidRPr="00A35C95">
        <w:rPr>
          <w:color w:val="000000"/>
        </w:rPr>
        <w:tab/>
        <w:t>(i)</w:t>
      </w:r>
      <w:r w:rsidRPr="00A35C95">
        <w:rPr>
          <w:color w:val="000000"/>
        </w:rPr>
        <w:tab/>
        <w:t>the person’s name (including the person’s principal business name, if any); and</w:t>
      </w:r>
    </w:p>
    <w:p w14:paraId="481BEC96" w14:textId="77777777" w:rsidR="00E93F58" w:rsidRPr="00A35C95" w:rsidRDefault="00E93F58" w:rsidP="00366AB5">
      <w:pPr>
        <w:pStyle w:val="paragraphsub"/>
        <w:tabs>
          <w:tab w:val="left" w:pos="2835"/>
        </w:tabs>
      </w:pPr>
      <w:r w:rsidRPr="00A35C95">
        <w:tab/>
        <w:t>(ii)</w:t>
      </w:r>
      <w:r w:rsidRPr="00A35C95">
        <w:tab/>
        <w:t>the name and address of each director; and</w:t>
      </w:r>
    </w:p>
    <w:p w14:paraId="725012A7" w14:textId="77777777" w:rsidR="00E93F58" w:rsidRPr="00A35C95" w:rsidRDefault="00E93F58" w:rsidP="00366AB5">
      <w:pPr>
        <w:pStyle w:val="paragraphsub"/>
        <w:tabs>
          <w:tab w:val="left" w:pos="2835"/>
        </w:tabs>
      </w:pPr>
      <w:r w:rsidRPr="00A35C95">
        <w:tab/>
        <w:t>(iii)</w:t>
      </w:r>
      <w:r w:rsidRPr="00A35C95">
        <w:tab/>
        <w:t>the name and address of each secretary;</w:t>
      </w:r>
    </w:p>
    <w:p w14:paraId="04E87A8C" w14:textId="77777777" w:rsidR="00E93F58" w:rsidRPr="00A35C95" w:rsidRDefault="00E93F58" w:rsidP="00366AB5">
      <w:pPr>
        <w:pStyle w:val="paragraph"/>
        <w:tabs>
          <w:tab w:val="left" w:pos="2835"/>
        </w:tabs>
      </w:pPr>
      <w:r w:rsidRPr="00A35C95">
        <w:rPr>
          <w:color w:val="000000"/>
        </w:rPr>
        <w:tab/>
        <w:t>(b)</w:t>
      </w:r>
      <w:r w:rsidRPr="00A35C95">
        <w:rPr>
          <w:color w:val="000000"/>
        </w:rPr>
        <w:tab/>
        <w:t>if the person is applying on behalf of a partnership—the partnership’s name and address, and the name of each partner;</w:t>
      </w:r>
    </w:p>
    <w:p w14:paraId="65B1F34C" w14:textId="77777777" w:rsidR="00E93F58" w:rsidRPr="00A35C95" w:rsidRDefault="00E93F58" w:rsidP="00366AB5">
      <w:pPr>
        <w:pStyle w:val="paragraph"/>
        <w:tabs>
          <w:tab w:val="left" w:pos="2835"/>
        </w:tabs>
      </w:pPr>
      <w:r w:rsidRPr="00A35C95">
        <w:tab/>
        <w:t>(c)</w:t>
      </w:r>
      <w:r w:rsidRPr="00A35C95">
        <w:tab/>
        <w:t>if paragraphs (a) and (b) do not apply—the person’s name (including the person’s principal business name, if any);</w:t>
      </w:r>
    </w:p>
    <w:p w14:paraId="76CF8B6A" w14:textId="77777777" w:rsidR="00E93F58" w:rsidRPr="00A35C95" w:rsidRDefault="00E93F58" w:rsidP="00366AB5">
      <w:pPr>
        <w:pStyle w:val="paragraph"/>
        <w:tabs>
          <w:tab w:val="left" w:pos="2835"/>
        </w:tabs>
      </w:pPr>
      <w:r w:rsidRPr="00A35C95">
        <w:tab/>
        <w:t>(d)</w:t>
      </w:r>
      <w:r w:rsidRPr="00A35C95">
        <w:tab/>
        <w:t>the person’s principal business address;</w:t>
      </w:r>
    </w:p>
    <w:p w14:paraId="1324556D" w14:textId="77777777" w:rsidR="00E93F58" w:rsidRPr="00A35C95" w:rsidRDefault="00E93F58" w:rsidP="00366AB5">
      <w:pPr>
        <w:pStyle w:val="paragraph"/>
        <w:tabs>
          <w:tab w:val="left" w:pos="2835"/>
        </w:tabs>
      </w:pPr>
      <w:r w:rsidRPr="00A35C95">
        <w:tab/>
        <w:t>(e)</w:t>
      </w:r>
      <w:r w:rsidRPr="00A35C95">
        <w:tab/>
        <w:t>if the person has an ABN—the ABN;</w:t>
      </w:r>
    </w:p>
    <w:p w14:paraId="73EDEA12" w14:textId="77777777" w:rsidR="00E93F58" w:rsidRPr="00A35C95" w:rsidRDefault="00E93F58" w:rsidP="00366AB5">
      <w:pPr>
        <w:pStyle w:val="paragraph"/>
        <w:tabs>
          <w:tab w:val="left" w:pos="2835"/>
        </w:tabs>
      </w:pPr>
      <w:r w:rsidRPr="00A35C95">
        <w:lastRenderedPageBreak/>
        <w:tab/>
        <w:t>(f)</w:t>
      </w:r>
      <w:r w:rsidRPr="00A35C95">
        <w:tab/>
        <w:t>a description of the financial services that the person proposes to provide;</w:t>
      </w:r>
    </w:p>
    <w:p w14:paraId="0939AC94" w14:textId="77777777" w:rsidR="00E93F58" w:rsidRPr="00A35C95" w:rsidRDefault="00E93F58" w:rsidP="00366AB5">
      <w:pPr>
        <w:pStyle w:val="paragraph"/>
        <w:tabs>
          <w:tab w:val="left" w:pos="2835"/>
        </w:tabs>
      </w:pPr>
      <w:r w:rsidRPr="00A35C95">
        <w:tab/>
        <w:t>(g)</w:t>
      </w:r>
      <w:r w:rsidRPr="00A35C95">
        <w:tab/>
        <w:t>the arrangements (including a description of systems) by which the person will comply with its general obligations set out in section 912A of the Act;</w:t>
      </w:r>
    </w:p>
    <w:p w14:paraId="049E5CF2" w14:textId="77777777" w:rsidR="00E93F58" w:rsidRPr="00A35C95" w:rsidRDefault="00E93F58" w:rsidP="00366AB5">
      <w:pPr>
        <w:pStyle w:val="paragraph"/>
        <w:tabs>
          <w:tab w:val="left" w:pos="2835"/>
        </w:tabs>
      </w:pPr>
      <w:r w:rsidRPr="00A35C95">
        <w:tab/>
        <w:t>(h)</w:t>
      </w:r>
      <w:r w:rsidRPr="00A35C95">
        <w:tab/>
        <w:t>any other information that ASIC requires for the purpose of considering the application.</w:t>
      </w:r>
    </w:p>
    <w:p w14:paraId="4A6065B6" w14:textId="77777777" w:rsidR="00E93F58" w:rsidRPr="00A35C95" w:rsidRDefault="00E93F58" w:rsidP="00366AB5">
      <w:pPr>
        <w:pStyle w:val="ActHead5"/>
        <w:tabs>
          <w:tab w:val="left" w:pos="2835"/>
        </w:tabs>
      </w:pPr>
      <w:bookmarkStart w:id="981" w:name="_Toc152058063"/>
      <w:bookmarkStart w:id="982" w:name="_Toc158712286"/>
      <w:r w:rsidRPr="00844D11">
        <w:rPr>
          <w:rStyle w:val="CharSectno"/>
        </w:rPr>
        <w:t>7.6.03A</w:t>
      </w:r>
      <w:r w:rsidRPr="00A35C95">
        <w:t xml:space="preserve">  Australian financial services licence—requirements for a foreign entity to appoint local agent</w:t>
      </w:r>
      <w:bookmarkEnd w:id="981"/>
      <w:bookmarkEnd w:id="982"/>
    </w:p>
    <w:p w14:paraId="6F2AE0FD" w14:textId="77777777" w:rsidR="00E93F58" w:rsidRPr="00A35C95" w:rsidRDefault="00E93F58" w:rsidP="00366AB5">
      <w:pPr>
        <w:pStyle w:val="subsection"/>
        <w:keepNext/>
        <w:keepLines/>
        <w:tabs>
          <w:tab w:val="left" w:pos="2835"/>
        </w:tabs>
      </w:pPr>
      <w:r w:rsidRPr="00A35C95">
        <w:tab/>
        <w:t>(1)</w:t>
      </w:r>
      <w:r w:rsidRPr="00A35C95">
        <w:tab/>
        <w:t>For paragraph 913B(1)(d) of the Act, a foreign entity that:</w:t>
      </w:r>
    </w:p>
    <w:p w14:paraId="5B063D00" w14:textId="77777777" w:rsidR="00E93F58" w:rsidRPr="00A35C95" w:rsidRDefault="00E93F58" w:rsidP="00366AB5">
      <w:pPr>
        <w:pStyle w:val="paragraph"/>
        <w:tabs>
          <w:tab w:val="left" w:pos="2835"/>
        </w:tabs>
      </w:pPr>
      <w:r w:rsidRPr="00A35C95">
        <w:tab/>
        <w:t>(a)</w:t>
      </w:r>
      <w:r w:rsidRPr="00A35C95">
        <w:tab/>
        <w:t>is not a foreign company; and</w:t>
      </w:r>
    </w:p>
    <w:p w14:paraId="195F02D7" w14:textId="77777777" w:rsidR="00E93F58" w:rsidRPr="00A35C95" w:rsidRDefault="00E93F58" w:rsidP="00366AB5">
      <w:pPr>
        <w:pStyle w:val="paragraph"/>
        <w:tabs>
          <w:tab w:val="left" w:pos="2835"/>
        </w:tabs>
      </w:pPr>
      <w:r w:rsidRPr="00A35C95">
        <w:tab/>
        <w:t>(b)</w:t>
      </w:r>
      <w:r w:rsidRPr="00A35C95">
        <w:tab/>
        <w:t>applies for an Australian financial services licence;</w:t>
      </w:r>
    </w:p>
    <w:p w14:paraId="6CFCC3C6" w14:textId="77777777" w:rsidR="00E93F58" w:rsidRPr="00A35C95" w:rsidRDefault="00E93F58" w:rsidP="00366AB5">
      <w:pPr>
        <w:pStyle w:val="subsection2"/>
        <w:tabs>
          <w:tab w:val="left" w:pos="2835"/>
        </w:tabs>
      </w:pPr>
      <w:r w:rsidRPr="00A35C95">
        <w:t>must meet the requirements in subregulations (2) and (3).</w:t>
      </w:r>
    </w:p>
    <w:p w14:paraId="37EF82AF" w14:textId="77777777" w:rsidR="00E93F58" w:rsidRPr="00A35C95" w:rsidRDefault="00E93F58" w:rsidP="00366AB5">
      <w:pPr>
        <w:pStyle w:val="subsection"/>
        <w:tabs>
          <w:tab w:val="left" w:pos="2835"/>
        </w:tabs>
      </w:pPr>
      <w:r w:rsidRPr="00A35C95">
        <w:tab/>
        <w:t>(2)</w:t>
      </w:r>
      <w:r w:rsidRPr="00A35C95">
        <w:tab/>
        <w:t>The foreign entity must:</w:t>
      </w:r>
    </w:p>
    <w:p w14:paraId="7A7541DF" w14:textId="77777777" w:rsidR="00E93F58" w:rsidRPr="00A35C95" w:rsidRDefault="00E93F58" w:rsidP="00366AB5">
      <w:pPr>
        <w:pStyle w:val="paragraph"/>
        <w:tabs>
          <w:tab w:val="left" w:pos="2835"/>
        </w:tabs>
      </w:pPr>
      <w:r w:rsidRPr="00A35C95">
        <w:tab/>
        <w:t>(a)</w:t>
      </w:r>
      <w:r w:rsidRPr="00A35C95">
        <w:tab/>
        <w:t>have appointed, as an agent, a person who is:</w:t>
      </w:r>
    </w:p>
    <w:p w14:paraId="7F6D0118" w14:textId="77777777" w:rsidR="00E93F58" w:rsidRPr="00A35C95" w:rsidRDefault="00E93F58" w:rsidP="00366AB5">
      <w:pPr>
        <w:pStyle w:val="paragraphsub"/>
        <w:tabs>
          <w:tab w:val="left" w:pos="2835"/>
        </w:tabs>
      </w:pPr>
      <w:r w:rsidRPr="00A35C95">
        <w:tab/>
        <w:t>(i)</w:t>
      </w:r>
      <w:r w:rsidRPr="00A35C95">
        <w:tab/>
        <w:t>a natural person or a company; and</w:t>
      </w:r>
    </w:p>
    <w:p w14:paraId="13CFE3F1" w14:textId="77777777" w:rsidR="00E93F58" w:rsidRPr="00A35C95" w:rsidRDefault="00E93F58" w:rsidP="00366AB5">
      <w:pPr>
        <w:pStyle w:val="paragraphsub"/>
        <w:tabs>
          <w:tab w:val="left" w:pos="2835"/>
        </w:tabs>
      </w:pPr>
      <w:r w:rsidRPr="00A35C95">
        <w:tab/>
        <w:t>(ii)</w:t>
      </w:r>
      <w:r w:rsidRPr="00A35C95">
        <w:tab/>
        <w:t>resident in this jurisdiction; and</w:t>
      </w:r>
    </w:p>
    <w:p w14:paraId="29684F85" w14:textId="77777777" w:rsidR="00E93F58" w:rsidRPr="00A35C95" w:rsidRDefault="00E93F58" w:rsidP="00366AB5">
      <w:pPr>
        <w:pStyle w:val="paragraphsub"/>
        <w:tabs>
          <w:tab w:val="left" w:pos="2835"/>
        </w:tabs>
      </w:pPr>
      <w:r w:rsidRPr="00A35C95">
        <w:tab/>
        <w:t>(iii)</w:t>
      </w:r>
      <w:r w:rsidRPr="00A35C95">
        <w:tab/>
        <w:t>authorised to accept, on the foreign entity’s behalf, service of process and notices; and</w:t>
      </w:r>
    </w:p>
    <w:p w14:paraId="21BF7949" w14:textId="77777777" w:rsidR="00E93F58" w:rsidRPr="00A35C95" w:rsidRDefault="00E93F58" w:rsidP="00366AB5">
      <w:pPr>
        <w:pStyle w:val="paragraph"/>
        <w:tabs>
          <w:tab w:val="left" w:pos="2835"/>
        </w:tabs>
      </w:pPr>
      <w:r w:rsidRPr="00A35C95">
        <w:tab/>
        <w:t>(b)</w:t>
      </w:r>
      <w:r w:rsidRPr="00A35C95">
        <w:tab/>
        <w:t>lodge, with the application, a memorandum of appointment or a power of attorney that is duly executed by or on behalf of the foreign entity and states the name and address of the agent.</w:t>
      </w:r>
    </w:p>
    <w:p w14:paraId="499CA270" w14:textId="77777777" w:rsidR="00E93F58" w:rsidRPr="00A35C95" w:rsidRDefault="00E93F58" w:rsidP="00366AB5">
      <w:pPr>
        <w:pStyle w:val="subsection"/>
        <w:tabs>
          <w:tab w:val="left" w:pos="2835"/>
        </w:tabs>
      </w:pPr>
      <w:r w:rsidRPr="00A35C95">
        <w:tab/>
        <w:t>(3)</w:t>
      </w:r>
      <w:r w:rsidRPr="00A35C95">
        <w:tab/>
        <w:t>If the memorandum of appointment, or power of attorney, lodged under paragraph (2)(b) was executed on behalf of the foreign entity, the foreign entity must also lodge a copy declared in writing to be a true copy of the document authorising the execution.</w:t>
      </w:r>
    </w:p>
    <w:p w14:paraId="19107004" w14:textId="77777777" w:rsidR="00E93F58" w:rsidRPr="00A35C95" w:rsidRDefault="00E93F58" w:rsidP="00366AB5">
      <w:pPr>
        <w:pStyle w:val="ActHead5"/>
        <w:tabs>
          <w:tab w:val="left" w:pos="2835"/>
        </w:tabs>
      </w:pPr>
      <w:bookmarkStart w:id="983" w:name="_Toc152058064"/>
      <w:bookmarkStart w:id="984" w:name="_Toc158712287"/>
      <w:r w:rsidRPr="00844D11">
        <w:rPr>
          <w:rStyle w:val="CharSectno"/>
        </w:rPr>
        <w:t>7.6.03B</w:t>
      </w:r>
      <w:r w:rsidRPr="00A35C95">
        <w:t xml:space="preserve">  Foreign entity must continue to have local agent</w:t>
      </w:r>
      <w:bookmarkEnd w:id="983"/>
      <w:bookmarkEnd w:id="984"/>
    </w:p>
    <w:p w14:paraId="26A60E50" w14:textId="77777777" w:rsidR="00E93F58" w:rsidRPr="00A35C95" w:rsidRDefault="00E93F58" w:rsidP="00366AB5">
      <w:pPr>
        <w:pStyle w:val="subsection"/>
        <w:tabs>
          <w:tab w:val="left" w:pos="2835"/>
        </w:tabs>
      </w:pPr>
      <w:r w:rsidRPr="00A35C95">
        <w:tab/>
        <w:t>(1)</w:t>
      </w:r>
      <w:r w:rsidRPr="00A35C95">
        <w:tab/>
        <w:t>For paragraph 912A(1)(j) of the Act, a foreign entity that:</w:t>
      </w:r>
    </w:p>
    <w:p w14:paraId="4B7FEA21" w14:textId="77777777" w:rsidR="00E93F58" w:rsidRPr="00A35C95" w:rsidRDefault="00E93F58" w:rsidP="00366AB5">
      <w:pPr>
        <w:pStyle w:val="paragraph"/>
        <w:tabs>
          <w:tab w:val="left" w:pos="2835"/>
        </w:tabs>
      </w:pPr>
      <w:r w:rsidRPr="00A35C95">
        <w:tab/>
        <w:t>(a)</w:t>
      </w:r>
      <w:r w:rsidRPr="00A35C95">
        <w:tab/>
        <w:t>is not a foreign company; and</w:t>
      </w:r>
    </w:p>
    <w:p w14:paraId="0545D061" w14:textId="77777777" w:rsidR="00E93F58" w:rsidRPr="00A35C95" w:rsidRDefault="00E93F58" w:rsidP="00366AB5">
      <w:pPr>
        <w:pStyle w:val="paragraph"/>
        <w:tabs>
          <w:tab w:val="left" w:pos="2835"/>
        </w:tabs>
      </w:pPr>
      <w:r w:rsidRPr="00A35C95">
        <w:tab/>
        <w:t>(b)</w:t>
      </w:r>
      <w:r w:rsidRPr="00A35C95">
        <w:tab/>
        <w:t xml:space="preserve">is </w:t>
      </w:r>
      <w:r w:rsidRPr="00A35C95">
        <w:rPr>
          <w:snapToGrid w:val="0"/>
        </w:rPr>
        <w:t>a financial services licensee</w:t>
      </w:r>
      <w:r w:rsidRPr="00A35C95">
        <w:t>;</w:t>
      </w:r>
    </w:p>
    <w:p w14:paraId="6257CB4A" w14:textId="77777777" w:rsidR="00E93F58" w:rsidRPr="00A35C95" w:rsidRDefault="00E93F58" w:rsidP="00366AB5">
      <w:pPr>
        <w:pStyle w:val="subsection2"/>
        <w:tabs>
          <w:tab w:val="left" w:pos="2835"/>
        </w:tabs>
      </w:pPr>
      <w:r w:rsidRPr="00A35C95">
        <w:t>must meet the requirements in subregulation (2).</w:t>
      </w:r>
    </w:p>
    <w:p w14:paraId="5D1EBC9C" w14:textId="77777777" w:rsidR="00E93F58" w:rsidRPr="00A35C95" w:rsidRDefault="00E93F58" w:rsidP="00366AB5">
      <w:pPr>
        <w:pStyle w:val="subsection"/>
        <w:tabs>
          <w:tab w:val="left" w:pos="2835"/>
        </w:tabs>
        <w:rPr>
          <w:snapToGrid w:val="0"/>
        </w:rPr>
      </w:pPr>
      <w:r w:rsidRPr="00A35C95">
        <w:rPr>
          <w:snapToGrid w:val="0"/>
        </w:rPr>
        <w:tab/>
        <w:t>(2)</w:t>
      </w:r>
      <w:r w:rsidRPr="00A35C95">
        <w:rPr>
          <w:snapToGrid w:val="0"/>
        </w:rPr>
        <w:tab/>
        <w:t>The foreign entity must:</w:t>
      </w:r>
    </w:p>
    <w:p w14:paraId="7F3687A2" w14:textId="77777777" w:rsidR="00E93F58" w:rsidRPr="00A35C95" w:rsidRDefault="00E93F58" w:rsidP="00366AB5">
      <w:pPr>
        <w:pStyle w:val="paragraph"/>
        <w:tabs>
          <w:tab w:val="left" w:pos="2835"/>
        </w:tabs>
        <w:rPr>
          <w:snapToGrid w:val="0"/>
        </w:rPr>
      </w:pPr>
      <w:r w:rsidRPr="00A35C95">
        <w:rPr>
          <w:snapToGrid w:val="0"/>
        </w:rPr>
        <w:tab/>
        <w:t>(a)</w:t>
      </w:r>
      <w:r w:rsidRPr="00A35C95">
        <w:rPr>
          <w:snapToGrid w:val="0"/>
        </w:rPr>
        <w:tab/>
        <w:t>at all times, have an agent who is:</w:t>
      </w:r>
    </w:p>
    <w:p w14:paraId="69FE3F52" w14:textId="77777777" w:rsidR="00E93F58" w:rsidRPr="00A35C95" w:rsidRDefault="00E93F58" w:rsidP="00366AB5">
      <w:pPr>
        <w:pStyle w:val="paragraphsub"/>
        <w:tabs>
          <w:tab w:val="left" w:pos="2835"/>
        </w:tabs>
        <w:rPr>
          <w:snapToGrid w:val="0"/>
        </w:rPr>
      </w:pPr>
      <w:r w:rsidRPr="00A35C95">
        <w:rPr>
          <w:snapToGrid w:val="0"/>
        </w:rPr>
        <w:tab/>
        <w:t>(i)</w:t>
      </w:r>
      <w:r w:rsidRPr="00A35C95">
        <w:rPr>
          <w:snapToGrid w:val="0"/>
        </w:rPr>
        <w:tab/>
        <w:t>a natural person or a company; and</w:t>
      </w:r>
    </w:p>
    <w:p w14:paraId="59D0152A" w14:textId="77777777" w:rsidR="00E93F58" w:rsidRPr="00A35C95" w:rsidRDefault="00E93F58" w:rsidP="00366AB5">
      <w:pPr>
        <w:pStyle w:val="paragraphsub"/>
        <w:tabs>
          <w:tab w:val="left" w:pos="2835"/>
        </w:tabs>
        <w:rPr>
          <w:snapToGrid w:val="0"/>
        </w:rPr>
      </w:pPr>
      <w:r w:rsidRPr="00A35C95">
        <w:rPr>
          <w:snapToGrid w:val="0"/>
        </w:rPr>
        <w:tab/>
        <w:t>(ii)</w:t>
      </w:r>
      <w:r w:rsidRPr="00A35C95">
        <w:rPr>
          <w:snapToGrid w:val="0"/>
        </w:rPr>
        <w:tab/>
        <w:t>resident in this jurisdiction; and</w:t>
      </w:r>
    </w:p>
    <w:p w14:paraId="1EC8C713" w14:textId="77777777" w:rsidR="00E93F58" w:rsidRPr="00A35C95" w:rsidRDefault="00E93F58" w:rsidP="00366AB5">
      <w:pPr>
        <w:pStyle w:val="paragraphsub"/>
        <w:tabs>
          <w:tab w:val="left" w:pos="2835"/>
        </w:tabs>
        <w:rPr>
          <w:snapToGrid w:val="0"/>
        </w:rPr>
      </w:pPr>
      <w:r w:rsidRPr="00A35C95">
        <w:rPr>
          <w:snapToGrid w:val="0"/>
        </w:rPr>
        <w:tab/>
        <w:t>(iii)</w:t>
      </w:r>
      <w:r w:rsidRPr="00A35C95">
        <w:rPr>
          <w:snapToGrid w:val="0"/>
        </w:rPr>
        <w:tab/>
        <w:t>authorised to accept, on the foreign entity’s behalf, service of process and notices; and</w:t>
      </w:r>
    </w:p>
    <w:p w14:paraId="1789DD13" w14:textId="77777777" w:rsidR="00E93F58" w:rsidRPr="00A35C95" w:rsidRDefault="00E93F58" w:rsidP="00366AB5">
      <w:pPr>
        <w:pStyle w:val="paragraph"/>
        <w:tabs>
          <w:tab w:val="left" w:pos="2835"/>
        </w:tabs>
        <w:rPr>
          <w:snapToGrid w:val="0"/>
        </w:rPr>
      </w:pPr>
      <w:r w:rsidRPr="00A35C95">
        <w:rPr>
          <w:snapToGrid w:val="0"/>
        </w:rPr>
        <w:tab/>
        <w:t>(b)</w:t>
      </w:r>
      <w:r w:rsidRPr="00A35C95">
        <w:rPr>
          <w:snapToGrid w:val="0"/>
        </w:rPr>
        <w:tab/>
        <w:t>notify ASIC of any change to:</w:t>
      </w:r>
    </w:p>
    <w:p w14:paraId="1EF2EC15" w14:textId="77777777" w:rsidR="00E93F58" w:rsidRPr="00A35C95" w:rsidRDefault="00E93F58" w:rsidP="00366AB5">
      <w:pPr>
        <w:pStyle w:val="paragraphsub"/>
        <w:tabs>
          <w:tab w:val="left" w:pos="2835"/>
        </w:tabs>
        <w:rPr>
          <w:snapToGrid w:val="0"/>
        </w:rPr>
      </w:pPr>
      <w:r w:rsidRPr="00A35C95">
        <w:rPr>
          <w:snapToGrid w:val="0"/>
        </w:rPr>
        <w:tab/>
        <w:t>(i)</w:t>
      </w:r>
      <w:r w:rsidRPr="00A35C95">
        <w:rPr>
          <w:snapToGrid w:val="0"/>
        </w:rPr>
        <w:tab/>
        <w:t>the agent; or</w:t>
      </w:r>
    </w:p>
    <w:p w14:paraId="6857B4B9" w14:textId="77777777" w:rsidR="00E93F58" w:rsidRPr="00A35C95" w:rsidRDefault="00E93F58" w:rsidP="00366AB5">
      <w:pPr>
        <w:pStyle w:val="paragraphsub"/>
        <w:tabs>
          <w:tab w:val="left" w:pos="2835"/>
        </w:tabs>
        <w:rPr>
          <w:snapToGrid w:val="0"/>
        </w:rPr>
      </w:pPr>
      <w:r w:rsidRPr="00A35C95">
        <w:rPr>
          <w:snapToGrid w:val="0"/>
        </w:rPr>
        <w:tab/>
        <w:t>(ii)</w:t>
      </w:r>
      <w:r w:rsidRPr="00A35C95">
        <w:rPr>
          <w:snapToGrid w:val="0"/>
        </w:rPr>
        <w:tab/>
        <w:t>the name or address of the agent;</w:t>
      </w:r>
    </w:p>
    <w:p w14:paraId="07BD07E9" w14:textId="77777777" w:rsidR="00E93F58" w:rsidRPr="00A35C95" w:rsidRDefault="00E93F58" w:rsidP="00366AB5">
      <w:pPr>
        <w:pStyle w:val="paragraph"/>
        <w:tabs>
          <w:tab w:val="left" w:pos="2835"/>
        </w:tabs>
        <w:rPr>
          <w:snapToGrid w:val="0"/>
        </w:rPr>
      </w:pPr>
      <w:r w:rsidRPr="00A35C95">
        <w:rPr>
          <w:snapToGrid w:val="0"/>
        </w:rPr>
        <w:tab/>
      </w:r>
      <w:r w:rsidRPr="00A35C95">
        <w:rPr>
          <w:snapToGrid w:val="0"/>
        </w:rPr>
        <w:tab/>
        <w:t>not later than 1 month after the change; and</w:t>
      </w:r>
    </w:p>
    <w:p w14:paraId="79E51BEE" w14:textId="77777777" w:rsidR="00E93F58" w:rsidRPr="00A35C95" w:rsidRDefault="00E93F58" w:rsidP="00366AB5">
      <w:pPr>
        <w:pStyle w:val="paragraph"/>
        <w:tabs>
          <w:tab w:val="left" w:pos="2835"/>
        </w:tabs>
        <w:rPr>
          <w:snapToGrid w:val="0"/>
        </w:rPr>
      </w:pPr>
      <w:r w:rsidRPr="00A35C95">
        <w:rPr>
          <w:snapToGrid w:val="0"/>
        </w:rPr>
        <w:tab/>
        <w:t>(c)</w:t>
      </w:r>
      <w:r w:rsidRPr="00A35C95">
        <w:rPr>
          <w:snapToGrid w:val="0"/>
        </w:rPr>
        <w:tab/>
        <w:t xml:space="preserve">make arrangements that ensure that ASIC may treat a document as being served on the foreign entity </w:t>
      </w:r>
      <w:r w:rsidRPr="00A35C95">
        <w:t>by leaving it at, or by sending it by post to:</w:t>
      </w:r>
    </w:p>
    <w:p w14:paraId="656D72B1" w14:textId="77777777" w:rsidR="00E93F58" w:rsidRPr="00A35C95" w:rsidRDefault="00E93F58" w:rsidP="00366AB5">
      <w:pPr>
        <w:pStyle w:val="paragraphsub"/>
        <w:tabs>
          <w:tab w:val="left" w:pos="2835"/>
        </w:tabs>
      </w:pPr>
      <w:r w:rsidRPr="00A35C95">
        <w:tab/>
        <w:t>(i)</w:t>
      </w:r>
      <w:r w:rsidRPr="00A35C95">
        <w:tab/>
        <w:t>an address of the agent that has been notified to ASIC; or</w:t>
      </w:r>
    </w:p>
    <w:p w14:paraId="32D5EC9C" w14:textId="77777777" w:rsidR="00E93F58" w:rsidRPr="00A35C95" w:rsidRDefault="00E93F58" w:rsidP="00366AB5">
      <w:pPr>
        <w:pStyle w:val="paragraphsub"/>
        <w:tabs>
          <w:tab w:val="left" w:pos="2835"/>
        </w:tabs>
      </w:pPr>
      <w:r w:rsidRPr="00A35C95">
        <w:tab/>
        <w:t>(ii)</w:t>
      </w:r>
      <w:r w:rsidRPr="00A35C95">
        <w:tab/>
        <w:t>if a notice or notices of a change or alteration to that address has or have been given to ASIC—the address shown in the most recent notice.</w:t>
      </w:r>
    </w:p>
    <w:p w14:paraId="53E2DD42" w14:textId="77777777" w:rsidR="00E93F58" w:rsidRPr="00A35C95" w:rsidRDefault="00E93F58" w:rsidP="00366AB5">
      <w:pPr>
        <w:pStyle w:val="ActHead5"/>
        <w:tabs>
          <w:tab w:val="left" w:pos="2835"/>
        </w:tabs>
      </w:pPr>
      <w:bookmarkStart w:id="985" w:name="_Toc152058065"/>
      <w:bookmarkStart w:id="986" w:name="_Toc158712288"/>
      <w:r w:rsidRPr="00844D11">
        <w:rPr>
          <w:rStyle w:val="CharSectno"/>
        </w:rPr>
        <w:t>7.6.03C</w:t>
      </w:r>
      <w:r w:rsidRPr="00A35C95">
        <w:t xml:space="preserve">  Financial services licensee must cooperate with AFCA</w:t>
      </w:r>
      <w:bookmarkEnd w:id="985"/>
      <w:bookmarkEnd w:id="986"/>
    </w:p>
    <w:p w14:paraId="414F1CD8" w14:textId="77777777" w:rsidR="00E93F58" w:rsidRPr="00A35C95" w:rsidRDefault="00E93F58" w:rsidP="00366AB5">
      <w:pPr>
        <w:pStyle w:val="subsection"/>
        <w:tabs>
          <w:tab w:val="left" w:pos="2835"/>
        </w:tabs>
      </w:pPr>
      <w:r w:rsidRPr="00A35C95">
        <w:tab/>
        <w:t>(1)</w:t>
      </w:r>
      <w:r w:rsidRPr="00A35C95">
        <w:tab/>
        <w:t>For the purposes of paragraph 912A(1)(j) of the Act, a financial services licensee that is required by paragraph 912A(1)(g) of the Act to be a member of the AFCA scheme must comply with the obligation in subregulation (2).</w:t>
      </w:r>
    </w:p>
    <w:p w14:paraId="13126B94" w14:textId="77777777" w:rsidR="00E93F58" w:rsidRPr="00A35C95" w:rsidRDefault="00E93F58" w:rsidP="00366AB5">
      <w:pPr>
        <w:pStyle w:val="subsection"/>
        <w:tabs>
          <w:tab w:val="left" w:pos="2835"/>
        </w:tabs>
      </w:pPr>
      <w:r w:rsidRPr="00A35C95">
        <w:tab/>
        <w:t>(2)</w:t>
      </w:r>
      <w:r w:rsidRPr="00A35C95">
        <w:tab/>
        <w:t>The licensee must take reasonable steps to cooperate with AFCA in resolving any complaint under the AFCA scheme to which the licensee is a party, including by:</w:t>
      </w:r>
    </w:p>
    <w:p w14:paraId="44B5CFD4" w14:textId="77777777" w:rsidR="00E93F58" w:rsidRPr="00A35C95" w:rsidRDefault="00E93F58" w:rsidP="00366AB5">
      <w:pPr>
        <w:pStyle w:val="paragraph"/>
        <w:tabs>
          <w:tab w:val="left" w:pos="2835"/>
        </w:tabs>
      </w:pPr>
      <w:r w:rsidRPr="00A35C95">
        <w:tab/>
        <w:t>(a)</w:t>
      </w:r>
      <w:r w:rsidRPr="00A35C95">
        <w:tab/>
        <w:t>giving reasonable assistance to AFCA in resolving the complaint; and</w:t>
      </w:r>
    </w:p>
    <w:p w14:paraId="0DF2C14D" w14:textId="77777777" w:rsidR="00E93F58" w:rsidRPr="00A35C95" w:rsidRDefault="00E93F58" w:rsidP="00366AB5">
      <w:pPr>
        <w:pStyle w:val="paragraph"/>
        <w:tabs>
          <w:tab w:val="left" w:pos="2835"/>
        </w:tabs>
      </w:pPr>
      <w:r w:rsidRPr="00A35C95">
        <w:tab/>
        <w:t>(b)</w:t>
      </w:r>
      <w:r w:rsidRPr="00A35C95">
        <w:tab/>
        <w:t>identifying, locating and providing to AFCA any documents and information that AFCA reasonably requires for the purposes of resolving the complaint; and</w:t>
      </w:r>
    </w:p>
    <w:p w14:paraId="34EE4CD0" w14:textId="77777777" w:rsidR="00E93F58" w:rsidRPr="00A35C95" w:rsidRDefault="00E93F58" w:rsidP="00366AB5">
      <w:pPr>
        <w:pStyle w:val="paragraph"/>
        <w:tabs>
          <w:tab w:val="left" w:pos="2835"/>
        </w:tabs>
      </w:pPr>
      <w:r w:rsidRPr="00A35C95">
        <w:tab/>
        <w:t>(c)</w:t>
      </w:r>
      <w:r w:rsidRPr="00A35C95">
        <w:tab/>
        <w:t>giving effect to any determination made by AFCA in relation to the complaint.</w:t>
      </w:r>
    </w:p>
    <w:p w14:paraId="350596FD" w14:textId="77777777" w:rsidR="00E93F58" w:rsidRPr="00A35C95" w:rsidRDefault="00E93F58" w:rsidP="00366AB5">
      <w:pPr>
        <w:pStyle w:val="subsection"/>
        <w:tabs>
          <w:tab w:val="left" w:pos="2835"/>
        </w:tabs>
      </w:pPr>
      <w:r w:rsidRPr="00A35C95">
        <w:lastRenderedPageBreak/>
        <w:tab/>
        <w:t>(3)</w:t>
      </w:r>
      <w:r w:rsidRPr="00A35C95">
        <w:tab/>
        <w:t>Subregulation (2) does not apply to superannuation complaints.</w:t>
      </w:r>
    </w:p>
    <w:p w14:paraId="327E3011" w14:textId="77777777" w:rsidR="00E93F58" w:rsidRPr="00A35C95" w:rsidRDefault="00E93F58" w:rsidP="00366AB5">
      <w:pPr>
        <w:pStyle w:val="notetext"/>
        <w:tabs>
          <w:tab w:val="left" w:pos="2835"/>
        </w:tabs>
      </w:pPr>
      <w:r w:rsidRPr="00A35C95">
        <w:t>Note:</w:t>
      </w:r>
      <w:r w:rsidRPr="00A35C95">
        <w:tab/>
        <w:t>For provisions relating to superannuation complaints, see Division 3 of Part 7.10A of the Act.</w:t>
      </w:r>
    </w:p>
    <w:p w14:paraId="2E06D2F2" w14:textId="77777777" w:rsidR="00E93F58" w:rsidRPr="00A35C95" w:rsidRDefault="00E93F58" w:rsidP="00366AB5">
      <w:pPr>
        <w:pStyle w:val="ActHead5"/>
        <w:tabs>
          <w:tab w:val="left" w:pos="2835"/>
        </w:tabs>
      </w:pPr>
      <w:bookmarkStart w:id="987" w:name="_Toc152058066"/>
      <w:bookmarkStart w:id="988" w:name="_Toc158712289"/>
      <w:r w:rsidRPr="00844D11">
        <w:rPr>
          <w:rStyle w:val="CharSectno"/>
        </w:rPr>
        <w:t>7.6.04</w:t>
      </w:r>
      <w:r w:rsidRPr="00A35C95">
        <w:rPr>
          <w:sz w:val="16"/>
        </w:rPr>
        <w:t xml:space="preserve">  </w:t>
      </w:r>
      <w:r w:rsidRPr="00A35C95">
        <w:t>Conditions on Australian financial services licence</w:t>
      </w:r>
      <w:bookmarkEnd w:id="987"/>
      <w:bookmarkEnd w:id="988"/>
    </w:p>
    <w:p w14:paraId="56D74E6D" w14:textId="77777777" w:rsidR="00E93F58" w:rsidRPr="00A35C95" w:rsidRDefault="00E93F58" w:rsidP="00366AB5">
      <w:pPr>
        <w:pStyle w:val="subsection"/>
        <w:tabs>
          <w:tab w:val="left" w:pos="2835"/>
        </w:tabs>
      </w:pPr>
      <w:r w:rsidRPr="00A35C95">
        <w:tab/>
        <w:t>(1)</w:t>
      </w:r>
      <w:r w:rsidRPr="00A35C95">
        <w:tab/>
        <w:t>For subsection 914A(8) of the Act, an Australian financial services licence is subject to the following conditions:</w:t>
      </w:r>
    </w:p>
    <w:p w14:paraId="1CE89480" w14:textId="77777777" w:rsidR="00E93F58" w:rsidRPr="00A35C95" w:rsidRDefault="00E93F58" w:rsidP="00366AB5">
      <w:pPr>
        <w:pStyle w:val="paragraph"/>
        <w:tabs>
          <w:tab w:val="left" w:pos="2835"/>
        </w:tabs>
      </w:pPr>
      <w:r w:rsidRPr="00A35C95">
        <w:tab/>
        <w:t>(a)</w:t>
      </w:r>
      <w:r w:rsidRPr="00A35C95">
        <w:tab/>
        <w:t>subject to subregulation (1A)—a condition that, if any event occurs that may make a material adverse change to the financial position of the financial services licensee by comparison with its financial position:</w:t>
      </w:r>
    </w:p>
    <w:p w14:paraId="2195B15E" w14:textId="77777777" w:rsidR="00E93F58" w:rsidRPr="00A35C95" w:rsidRDefault="00E93F58" w:rsidP="00366AB5">
      <w:pPr>
        <w:pStyle w:val="paragraphsub"/>
        <w:tabs>
          <w:tab w:val="left" w:pos="2835"/>
        </w:tabs>
      </w:pPr>
      <w:r w:rsidRPr="00A35C95">
        <w:rPr>
          <w:color w:val="000000"/>
        </w:rPr>
        <w:tab/>
        <w:t>(i)</w:t>
      </w:r>
      <w:r w:rsidRPr="00A35C95">
        <w:rPr>
          <w:color w:val="000000"/>
        </w:rPr>
        <w:tab/>
        <w:t>at the time of the application for the Australian financial services licence; or</w:t>
      </w:r>
    </w:p>
    <w:p w14:paraId="06C225D7" w14:textId="77777777" w:rsidR="00E93F58" w:rsidRPr="00A35C95" w:rsidRDefault="00E93F58" w:rsidP="00366AB5">
      <w:pPr>
        <w:pStyle w:val="paragraphsub"/>
        <w:tabs>
          <w:tab w:val="left" w:pos="2835"/>
        </w:tabs>
      </w:pPr>
      <w:r w:rsidRPr="00A35C95">
        <w:tab/>
        <w:t>(ii)</w:t>
      </w:r>
      <w:r w:rsidRPr="00A35C95">
        <w:tab/>
        <w:t>as described in documents lodged with ASIC after the application for the Australian financial services licence;</w:t>
      </w:r>
    </w:p>
    <w:p w14:paraId="61324F8B" w14:textId="77777777" w:rsidR="00E93F58" w:rsidRPr="00A35C95" w:rsidRDefault="00E93F58" w:rsidP="00366AB5">
      <w:pPr>
        <w:pStyle w:val="paragraph"/>
        <w:tabs>
          <w:tab w:val="left" w:pos="2835"/>
        </w:tabs>
      </w:pPr>
      <w:r w:rsidRPr="00A35C95">
        <w:rPr>
          <w:color w:val="000000"/>
        </w:rPr>
        <w:tab/>
      </w:r>
      <w:r w:rsidRPr="00A35C95">
        <w:rPr>
          <w:color w:val="000000"/>
        </w:rPr>
        <w:tab/>
        <w:t>the financial services licensee must lodge with ASIC in the prescribed form a notice setting out particulars of the event as soon as practicable, and in any case not later than 3 business days, after the financial services licensee becomes aware of the event;</w:t>
      </w:r>
    </w:p>
    <w:p w14:paraId="6222684D" w14:textId="77777777" w:rsidR="00E93F58" w:rsidRPr="00A35C95" w:rsidRDefault="00E93F58" w:rsidP="00366AB5">
      <w:pPr>
        <w:pStyle w:val="paragraph"/>
        <w:tabs>
          <w:tab w:val="left" w:pos="2835"/>
        </w:tabs>
      </w:pPr>
      <w:r w:rsidRPr="00A35C95">
        <w:tab/>
        <w:t>(b)</w:t>
      </w:r>
      <w:r w:rsidRPr="00A35C95">
        <w:tab/>
        <w:t>a condition that, if:</w:t>
      </w:r>
    </w:p>
    <w:p w14:paraId="5D0845E3" w14:textId="77777777" w:rsidR="00E93F58" w:rsidRPr="00A35C95" w:rsidRDefault="00E93F58" w:rsidP="00366AB5">
      <w:pPr>
        <w:pStyle w:val="paragraphsub"/>
        <w:tabs>
          <w:tab w:val="left" w:pos="2835"/>
        </w:tabs>
      </w:pPr>
      <w:r w:rsidRPr="00A35C95">
        <w:rPr>
          <w:color w:val="000000"/>
        </w:rPr>
        <w:tab/>
        <w:t>(i)</w:t>
      </w:r>
      <w:r w:rsidRPr="00A35C95">
        <w:rPr>
          <w:color w:val="000000"/>
        </w:rPr>
        <w:tab/>
        <w:t>there is a change in a matter particulars of which are entered in a register of financial services licensees; and</w:t>
      </w:r>
    </w:p>
    <w:p w14:paraId="216DEF3B" w14:textId="77777777" w:rsidR="00E93F58" w:rsidRPr="00A35C95" w:rsidRDefault="00E93F58" w:rsidP="00366AB5">
      <w:pPr>
        <w:pStyle w:val="paragraphsub"/>
        <w:keepNext/>
        <w:keepLines/>
        <w:tabs>
          <w:tab w:val="left" w:pos="2835"/>
        </w:tabs>
      </w:pPr>
      <w:r w:rsidRPr="00A35C95">
        <w:tab/>
        <w:t>(ii)</w:t>
      </w:r>
      <w:r w:rsidRPr="00A35C95">
        <w:tab/>
        <w:t>the change is not a direct consequence of an act by ASIC;</w:t>
      </w:r>
    </w:p>
    <w:p w14:paraId="117F7524" w14:textId="77777777" w:rsidR="00E93F58" w:rsidRPr="00A35C95" w:rsidRDefault="00E93F58" w:rsidP="00366AB5">
      <w:pPr>
        <w:pStyle w:val="paragraph"/>
        <w:tabs>
          <w:tab w:val="left" w:pos="2835"/>
        </w:tabs>
      </w:pPr>
      <w:r w:rsidRPr="00A35C95">
        <w:rPr>
          <w:color w:val="000000"/>
        </w:rPr>
        <w:tab/>
      </w:r>
      <w:r w:rsidRPr="00A35C95">
        <w:rPr>
          <w:color w:val="000000"/>
        </w:rPr>
        <w:tab/>
        <w:t>the financial services licensee must lodge with ASIC in the prescribed form particulars of the change within 10 business days after the change;</w:t>
      </w:r>
    </w:p>
    <w:p w14:paraId="61BD9D39" w14:textId="77777777" w:rsidR="00E93F58" w:rsidRPr="00A35C95" w:rsidRDefault="00E93F58" w:rsidP="00366AB5">
      <w:pPr>
        <w:pStyle w:val="paragraph"/>
        <w:tabs>
          <w:tab w:val="left" w:pos="2835"/>
        </w:tabs>
      </w:pPr>
      <w:r w:rsidRPr="00A35C95">
        <w:tab/>
        <w:t>(c)</w:t>
      </w:r>
      <w:r w:rsidRPr="00A35C95">
        <w:tab/>
        <w:t>a condition that, if:</w:t>
      </w:r>
    </w:p>
    <w:p w14:paraId="424587EC" w14:textId="77777777" w:rsidR="00E93F58" w:rsidRPr="00A35C95" w:rsidRDefault="00E93F58" w:rsidP="00366AB5">
      <w:pPr>
        <w:pStyle w:val="paragraphsub"/>
        <w:tabs>
          <w:tab w:val="left" w:pos="2835"/>
        </w:tabs>
      </w:pPr>
      <w:r w:rsidRPr="00A35C95">
        <w:rPr>
          <w:color w:val="000000"/>
        </w:rPr>
        <w:tab/>
        <w:t>(i)</w:t>
      </w:r>
      <w:r w:rsidRPr="00A35C95">
        <w:rPr>
          <w:color w:val="000000"/>
        </w:rPr>
        <w:tab/>
        <w:t>there is a change in a matter particulars of which are entered in a register of authorised representatives of financial services licensees; and</w:t>
      </w:r>
    </w:p>
    <w:p w14:paraId="007C3803" w14:textId="77777777" w:rsidR="00E93F58" w:rsidRPr="00A35C95" w:rsidRDefault="00E93F58" w:rsidP="00366AB5">
      <w:pPr>
        <w:pStyle w:val="paragraphsub"/>
        <w:tabs>
          <w:tab w:val="left" w:pos="2835"/>
        </w:tabs>
      </w:pPr>
      <w:r w:rsidRPr="00A35C95">
        <w:tab/>
        <w:t>(ii)</w:t>
      </w:r>
      <w:r w:rsidRPr="00A35C95">
        <w:tab/>
        <w:t>the change is not required to be reported in accordance with section 916F of the Act; and</w:t>
      </w:r>
    </w:p>
    <w:p w14:paraId="387D854F" w14:textId="77777777" w:rsidR="00E93F58" w:rsidRPr="00A35C95" w:rsidRDefault="00E93F58" w:rsidP="00366AB5">
      <w:pPr>
        <w:pStyle w:val="paragraphsub"/>
        <w:tabs>
          <w:tab w:val="left" w:pos="2835"/>
        </w:tabs>
      </w:pPr>
      <w:r w:rsidRPr="00A35C95">
        <w:tab/>
        <w:t>(iii)</w:t>
      </w:r>
      <w:r w:rsidRPr="00A35C95">
        <w:tab/>
        <w:t>the change is not a direct consequence of an act by ASIC;</w:t>
      </w:r>
    </w:p>
    <w:p w14:paraId="427006B6" w14:textId="77777777" w:rsidR="00E93F58" w:rsidRPr="00A35C95" w:rsidRDefault="00E93F58" w:rsidP="00366AB5">
      <w:pPr>
        <w:pStyle w:val="paragraph"/>
        <w:tabs>
          <w:tab w:val="left" w:pos="2835"/>
        </w:tabs>
      </w:pPr>
      <w:r w:rsidRPr="00A35C95">
        <w:rPr>
          <w:color w:val="000000"/>
        </w:rPr>
        <w:tab/>
      </w:r>
      <w:r w:rsidRPr="00A35C95">
        <w:rPr>
          <w:color w:val="000000"/>
        </w:rPr>
        <w:tab/>
      </w:r>
      <w:r w:rsidRPr="00A35C95">
        <w:t>the financial services licensee must ensure that particulars of the change are lodged with ASIC in the prescribed form within 30 business days after the change;</w:t>
      </w:r>
    </w:p>
    <w:p w14:paraId="5EBE3F58" w14:textId="77777777" w:rsidR="00E93F58" w:rsidRPr="00A35C95" w:rsidRDefault="00E93F58" w:rsidP="00366AB5">
      <w:pPr>
        <w:pStyle w:val="paragraph"/>
        <w:tabs>
          <w:tab w:val="left" w:pos="2835"/>
        </w:tabs>
      </w:pPr>
      <w:r w:rsidRPr="00A35C95">
        <w:tab/>
        <w:t>(ca)</w:t>
      </w:r>
      <w:r w:rsidRPr="00A35C95">
        <w:tab/>
        <w:t>a condition that the financial services licensee must ensure that each representative of the financial services licensee that may give an authorisation to another representative is aware of the requirements in subsections 916F(1) and (3) of the Act;</w:t>
      </w:r>
    </w:p>
    <w:p w14:paraId="4390FAE5" w14:textId="77777777" w:rsidR="00E93F58" w:rsidRPr="00A35C95" w:rsidRDefault="00E93F58" w:rsidP="00366AB5">
      <w:pPr>
        <w:pStyle w:val="paragraph"/>
        <w:tabs>
          <w:tab w:val="left" w:pos="2835"/>
        </w:tabs>
      </w:pPr>
      <w:r w:rsidRPr="00A35C95">
        <w:tab/>
        <w:t>(d)</w:t>
      </w:r>
      <w:r w:rsidRPr="00A35C95">
        <w:tab/>
        <w:t>a condition that the financial services licensee must maintain a record of the training (relevant to the provision of financial services) that each of its representatives has undertaken, including:</w:t>
      </w:r>
    </w:p>
    <w:p w14:paraId="2BF5FA8F" w14:textId="77777777" w:rsidR="00E93F58" w:rsidRPr="00A35C95" w:rsidRDefault="00E93F58" w:rsidP="00366AB5">
      <w:pPr>
        <w:pStyle w:val="paragraphsub"/>
        <w:tabs>
          <w:tab w:val="left" w:pos="2835"/>
        </w:tabs>
      </w:pPr>
      <w:r w:rsidRPr="00A35C95">
        <w:rPr>
          <w:color w:val="000000"/>
        </w:rPr>
        <w:tab/>
        <w:t>(i)</w:t>
      </w:r>
      <w:r w:rsidRPr="00A35C95">
        <w:rPr>
          <w:color w:val="000000"/>
        </w:rPr>
        <w:tab/>
        <w:t>training undertaken after the representative became a representative of the licensee; and</w:t>
      </w:r>
    </w:p>
    <w:p w14:paraId="169A11D9" w14:textId="77777777" w:rsidR="00E93F58" w:rsidRPr="00A35C95" w:rsidRDefault="00E93F58" w:rsidP="00366AB5">
      <w:pPr>
        <w:pStyle w:val="paragraphsub"/>
        <w:tabs>
          <w:tab w:val="left" w:pos="2835"/>
        </w:tabs>
      </w:pPr>
      <w:r w:rsidRPr="00A35C95">
        <w:tab/>
        <w:t>(ii)</w:t>
      </w:r>
      <w:r w:rsidRPr="00A35C95">
        <w:tab/>
        <w:t>any training undertaken before the representative became a representative of the licensee to the extent that the financial services licensee is able to obtain the information by reasonable inquiry;</w:t>
      </w:r>
    </w:p>
    <w:p w14:paraId="2FAB79C4" w14:textId="77777777" w:rsidR="00E93F58" w:rsidRPr="00A35C95" w:rsidRDefault="00E93F58" w:rsidP="00366AB5">
      <w:pPr>
        <w:pStyle w:val="paragraph"/>
        <w:tabs>
          <w:tab w:val="left" w:pos="2835"/>
        </w:tabs>
      </w:pPr>
      <w:r w:rsidRPr="00A35C95">
        <w:tab/>
        <w:t>(e)</w:t>
      </w:r>
      <w:r w:rsidRPr="00A35C95">
        <w:tab/>
        <w:t>a condition that the financial services licensee must ensure that, before:</w:t>
      </w:r>
    </w:p>
    <w:p w14:paraId="606B1610" w14:textId="77777777" w:rsidR="00E93F58" w:rsidRPr="00A35C95" w:rsidRDefault="00E93F58" w:rsidP="00366AB5">
      <w:pPr>
        <w:pStyle w:val="paragraphsub"/>
        <w:tabs>
          <w:tab w:val="left" w:pos="2835"/>
        </w:tabs>
      </w:pPr>
      <w:r w:rsidRPr="00A35C95">
        <w:tab/>
        <w:t>(i)</w:t>
      </w:r>
      <w:r w:rsidRPr="00A35C95">
        <w:tab/>
        <w:t>the financial services licensee authorises a person to provide a financial service on its behalf as mentioned in section 916A of the Act; or</w:t>
      </w:r>
    </w:p>
    <w:p w14:paraId="073A570E" w14:textId="77777777" w:rsidR="00E93F58" w:rsidRPr="00A35C95" w:rsidRDefault="00E93F58" w:rsidP="00366AB5">
      <w:pPr>
        <w:pStyle w:val="paragraphsub"/>
        <w:tabs>
          <w:tab w:val="left" w:pos="2835"/>
        </w:tabs>
      </w:pPr>
      <w:r w:rsidRPr="00A35C95">
        <w:tab/>
        <w:t>(ii)</w:t>
      </w:r>
      <w:r w:rsidRPr="00A35C95">
        <w:tab/>
        <w:t>a body corporate that is an authorised representative of the financial services licensee authorises an individual to provide a financial service on behalf of the financial services licensee as mentioned in section 916B of the Act;</w:t>
      </w:r>
    </w:p>
    <w:p w14:paraId="642A757F" w14:textId="77777777" w:rsidR="00E93F58" w:rsidRPr="00A35C95" w:rsidRDefault="00E93F58" w:rsidP="00366AB5">
      <w:pPr>
        <w:pStyle w:val="paragraph"/>
        <w:tabs>
          <w:tab w:val="left" w:pos="2835"/>
        </w:tabs>
      </w:pPr>
      <w:r w:rsidRPr="00A35C95">
        <w:tab/>
      </w:r>
      <w:r w:rsidRPr="00A35C95">
        <w:tab/>
        <w:t>reasonable inquiries are made to establish:</w:t>
      </w:r>
    </w:p>
    <w:p w14:paraId="4BEA78EE" w14:textId="77777777" w:rsidR="00E93F58" w:rsidRPr="00A35C95" w:rsidRDefault="00E93F58" w:rsidP="00366AB5">
      <w:pPr>
        <w:pStyle w:val="paragraphsub"/>
        <w:tabs>
          <w:tab w:val="left" w:pos="2835"/>
        </w:tabs>
      </w:pPr>
      <w:r w:rsidRPr="00A35C95">
        <w:tab/>
        <w:t>(iii)</w:t>
      </w:r>
      <w:r w:rsidRPr="00A35C95">
        <w:tab/>
        <w:t>the person’s identity; and</w:t>
      </w:r>
    </w:p>
    <w:p w14:paraId="7D2E1C99" w14:textId="77777777" w:rsidR="00E93F58" w:rsidRPr="00A35C95" w:rsidRDefault="00E93F58" w:rsidP="00366AB5">
      <w:pPr>
        <w:pStyle w:val="paragraphsub"/>
        <w:tabs>
          <w:tab w:val="left" w:pos="2835"/>
        </w:tabs>
      </w:pPr>
      <w:r w:rsidRPr="00A35C95">
        <w:tab/>
        <w:t>(iv)</w:t>
      </w:r>
      <w:r w:rsidRPr="00A35C95">
        <w:tab/>
        <w:t>whether the person has already been allocated a number by ASIC as an authorised representative;</w:t>
      </w:r>
    </w:p>
    <w:p w14:paraId="6D0C0720" w14:textId="77777777" w:rsidR="00E93F58" w:rsidRPr="00A35C95" w:rsidRDefault="00E93F58" w:rsidP="00366AB5">
      <w:pPr>
        <w:pStyle w:val="paragraph"/>
        <w:tabs>
          <w:tab w:val="left" w:pos="2835"/>
        </w:tabs>
      </w:pPr>
      <w:r w:rsidRPr="00A35C95">
        <w:tab/>
        <w:t>(f)</w:t>
      </w:r>
      <w:r w:rsidRPr="00A35C95">
        <w:tab/>
        <w:t>a condition that the financial services licensee must ensure that, if:</w:t>
      </w:r>
    </w:p>
    <w:p w14:paraId="017A460C" w14:textId="77777777" w:rsidR="00E93F58" w:rsidRPr="00A35C95" w:rsidRDefault="00E93F58" w:rsidP="00366AB5">
      <w:pPr>
        <w:pStyle w:val="paragraphsub"/>
        <w:tabs>
          <w:tab w:val="left" w:pos="2835"/>
        </w:tabs>
      </w:pPr>
      <w:r w:rsidRPr="00A35C95">
        <w:tab/>
        <w:t>(i)</w:t>
      </w:r>
      <w:r w:rsidRPr="00A35C95">
        <w:tab/>
        <w:t>ASIC has allocated a number to an authorised representative; and</w:t>
      </w:r>
    </w:p>
    <w:p w14:paraId="4ADDF1BB" w14:textId="77777777" w:rsidR="00E93F58" w:rsidRPr="00A35C95" w:rsidRDefault="00E93F58" w:rsidP="00366AB5">
      <w:pPr>
        <w:pStyle w:val="paragraphsub"/>
        <w:tabs>
          <w:tab w:val="left" w:pos="2835"/>
        </w:tabs>
      </w:pPr>
      <w:r w:rsidRPr="00A35C95">
        <w:tab/>
        <w:t>(ii)</w:t>
      </w:r>
      <w:r w:rsidRPr="00A35C95">
        <w:tab/>
        <w:t>the financial services licensee, or a body corporate that has authorised an individual to provide a financial service on behalf of the financial services licensee as mentioned in section 916B of the Act, lodges a document with ASIC that refers to the authorised representative;</w:t>
      </w:r>
    </w:p>
    <w:p w14:paraId="3F8F75B1" w14:textId="77777777" w:rsidR="00E93F58" w:rsidRPr="00A35C95" w:rsidRDefault="00E93F58" w:rsidP="00366AB5">
      <w:pPr>
        <w:pStyle w:val="paragraph"/>
        <w:tabs>
          <w:tab w:val="left" w:pos="2835"/>
        </w:tabs>
      </w:pPr>
      <w:r w:rsidRPr="00A35C95">
        <w:tab/>
      </w:r>
      <w:r w:rsidRPr="00A35C95">
        <w:tab/>
        <w:t>the document refers to the number.</w:t>
      </w:r>
    </w:p>
    <w:p w14:paraId="7DA2D5AC" w14:textId="77777777" w:rsidR="00E93F58" w:rsidRPr="00A35C95" w:rsidRDefault="00E93F58" w:rsidP="00366AB5">
      <w:pPr>
        <w:pStyle w:val="paragraph"/>
        <w:tabs>
          <w:tab w:val="left" w:pos="2835"/>
        </w:tabs>
      </w:pPr>
      <w:r w:rsidRPr="00A35C95">
        <w:tab/>
        <w:t>(g)</w:t>
      </w:r>
      <w:r w:rsidRPr="00A35C95">
        <w:tab/>
        <w:t>a condition that the financial services licensees must provide a copy of an authorisation of any of its authorised representatives:</w:t>
      </w:r>
    </w:p>
    <w:p w14:paraId="6AEC2789" w14:textId="77777777" w:rsidR="00E93F58" w:rsidRPr="00A35C95" w:rsidRDefault="00E93F58" w:rsidP="00366AB5">
      <w:pPr>
        <w:pStyle w:val="paragraphsub"/>
        <w:tabs>
          <w:tab w:val="left" w:pos="2835"/>
        </w:tabs>
      </w:pPr>
      <w:r w:rsidRPr="00A35C95">
        <w:rPr>
          <w:color w:val="000000"/>
        </w:rPr>
        <w:tab/>
        <w:t>(i)</w:t>
      </w:r>
      <w:r w:rsidRPr="00A35C95">
        <w:rPr>
          <w:color w:val="000000"/>
        </w:rPr>
        <w:tab/>
        <w:t>on request by any person; and</w:t>
      </w:r>
    </w:p>
    <w:p w14:paraId="00B59CF2" w14:textId="77777777" w:rsidR="00E93F58" w:rsidRPr="00A35C95" w:rsidRDefault="00E93F58" w:rsidP="00366AB5">
      <w:pPr>
        <w:pStyle w:val="paragraphsub"/>
        <w:tabs>
          <w:tab w:val="left" w:pos="2835"/>
        </w:tabs>
      </w:pPr>
      <w:r w:rsidRPr="00A35C95">
        <w:tab/>
        <w:t>(ii)</w:t>
      </w:r>
      <w:r w:rsidRPr="00A35C95">
        <w:tab/>
        <w:t>free of charge; and</w:t>
      </w:r>
    </w:p>
    <w:p w14:paraId="5252B23A" w14:textId="77777777" w:rsidR="00E93F58" w:rsidRPr="00A35C95" w:rsidRDefault="00E93F58" w:rsidP="00366AB5">
      <w:pPr>
        <w:pStyle w:val="paragraphsub"/>
        <w:tabs>
          <w:tab w:val="left" w:pos="2835"/>
        </w:tabs>
      </w:pPr>
      <w:r w:rsidRPr="00A35C95">
        <w:lastRenderedPageBreak/>
        <w:tab/>
        <w:t>(iii)</w:t>
      </w:r>
      <w:r w:rsidRPr="00A35C95">
        <w:tab/>
        <w:t>as soon as practicable after receiving the request and, in any event, within 10 business days after the day on which it received the request;</w:t>
      </w:r>
    </w:p>
    <w:p w14:paraId="498C2B65" w14:textId="77777777" w:rsidR="00E93F58" w:rsidRPr="00A35C95" w:rsidRDefault="00E93F58" w:rsidP="00366AB5">
      <w:pPr>
        <w:pStyle w:val="paragraph"/>
        <w:tabs>
          <w:tab w:val="left" w:pos="2835"/>
        </w:tabs>
      </w:pPr>
      <w:r w:rsidRPr="00A35C95">
        <w:tab/>
        <w:t>(h)</w:t>
      </w:r>
      <w:r w:rsidRPr="00A35C95">
        <w:tab/>
        <w:t>a condition that the financial services licensees must take reasonable steps to ensure that each of its authorised representatives supplies a copy of its authorisation by the financial services licensee:</w:t>
      </w:r>
    </w:p>
    <w:p w14:paraId="21699C35" w14:textId="77777777" w:rsidR="00E93F58" w:rsidRPr="00A35C95" w:rsidRDefault="00E93F58" w:rsidP="00366AB5">
      <w:pPr>
        <w:pStyle w:val="paragraphsub"/>
        <w:tabs>
          <w:tab w:val="left" w:pos="2835"/>
        </w:tabs>
      </w:pPr>
      <w:r w:rsidRPr="00A35C95">
        <w:rPr>
          <w:color w:val="000000"/>
        </w:rPr>
        <w:tab/>
        <w:t>(i)</w:t>
      </w:r>
      <w:r w:rsidRPr="00A35C95">
        <w:rPr>
          <w:color w:val="000000"/>
        </w:rPr>
        <w:tab/>
        <w:t>on request by any person; and</w:t>
      </w:r>
    </w:p>
    <w:p w14:paraId="6B9A60E9" w14:textId="77777777" w:rsidR="00E93F58" w:rsidRPr="00A35C95" w:rsidRDefault="00E93F58" w:rsidP="00366AB5">
      <w:pPr>
        <w:pStyle w:val="paragraphsub"/>
        <w:tabs>
          <w:tab w:val="left" w:pos="2835"/>
        </w:tabs>
      </w:pPr>
      <w:r w:rsidRPr="00A35C95">
        <w:tab/>
        <w:t>(ii)</w:t>
      </w:r>
      <w:r w:rsidRPr="00A35C95">
        <w:tab/>
        <w:t>free of charge; and</w:t>
      </w:r>
    </w:p>
    <w:p w14:paraId="1C84CBAC" w14:textId="77777777" w:rsidR="00E93F58" w:rsidRPr="00A35C95" w:rsidRDefault="00E93F58" w:rsidP="00366AB5">
      <w:pPr>
        <w:pStyle w:val="paragraphsub"/>
        <w:tabs>
          <w:tab w:val="left" w:pos="2835"/>
        </w:tabs>
      </w:pPr>
      <w:r w:rsidRPr="00A35C95">
        <w:tab/>
        <w:t>(iii)</w:t>
      </w:r>
      <w:r w:rsidRPr="00A35C95">
        <w:tab/>
        <w:t>as soon as practicable after receiving the request and, in any event, within 10 business days after the day on which it received the request;</w:t>
      </w:r>
    </w:p>
    <w:p w14:paraId="2D86573C" w14:textId="77777777" w:rsidR="00E93F58" w:rsidRPr="00A35C95" w:rsidRDefault="00E93F58" w:rsidP="00366AB5">
      <w:pPr>
        <w:pStyle w:val="paragraph"/>
        <w:tabs>
          <w:tab w:val="left" w:pos="2835"/>
        </w:tabs>
      </w:pPr>
      <w:r w:rsidRPr="00A35C95">
        <w:tab/>
        <w:t>(i)</w:t>
      </w:r>
      <w:r w:rsidRPr="00A35C95">
        <w:tab/>
        <w:t xml:space="preserve">a condition that, if a financial services licensee becomes aware of any change in control of the financial services licensee, the financial services licensee must lodge with ASIC, in the prescribed form, particulars of the change </w:t>
      </w:r>
      <w:r w:rsidRPr="00A35C95">
        <w:rPr>
          <w:color w:val="000000"/>
        </w:rPr>
        <w:t>not later than</w:t>
      </w:r>
      <w:r w:rsidRPr="00A35C95">
        <w:t xml:space="preserve"> 10 business days after the change;</w:t>
      </w:r>
    </w:p>
    <w:p w14:paraId="15CD52CB" w14:textId="77777777" w:rsidR="00E93F58" w:rsidRPr="00A35C95" w:rsidRDefault="00E93F58" w:rsidP="00366AB5">
      <w:pPr>
        <w:pStyle w:val="paragraph"/>
        <w:tabs>
          <w:tab w:val="left" w:pos="2835"/>
        </w:tabs>
      </w:pPr>
      <w:r w:rsidRPr="00A35C95">
        <w:tab/>
        <w:t>(j)</w:t>
      </w:r>
      <w:r w:rsidRPr="00A35C95">
        <w:tab/>
        <w:t>a condition that, on the request of any person, the financial services licensee must make available a copy of its financial services licence within a reasonable time for inspection by that person;</w:t>
      </w:r>
    </w:p>
    <w:p w14:paraId="00EDFFDB" w14:textId="77777777" w:rsidR="00E93F58" w:rsidRPr="00A35C95" w:rsidRDefault="00E93F58" w:rsidP="00366AB5">
      <w:pPr>
        <w:pStyle w:val="paragraph"/>
        <w:tabs>
          <w:tab w:val="left" w:pos="2835"/>
        </w:tabs>
      </w:pPr>
      <w:r w:rsidRPr="00A35C95">
        <w:tab/>
        <w:t>(k)</w:t>
      </w:r>
      <w:r w:rsidRPr="00A35C95">
        <w:tab/>
        <w:t>if the financial services licensee is a limited licensee—a condition that the licensee must, within 3 years from the date on which the licence is granted and if requested in writing by ASIC, demonstrate to the satisfaction of ASIC that:</w:t>
      </w:r>
    </w:p>
    <w:p w14:paraId="457D1A53" w14:textId="77777777" w:rsidR="00E93F58" w:rsidRPr="00A35C95" w:rsidRDefault="00E93F58" w:rsidP="00366AB5">
      <w:pPr>
        <w:pStyle w:val="paragraphsub"/>
        <w:tabs>
          <w:tab w:val="left" w:pos="2835"/>
        </w:tabs>
      </w:pPr>
      <w:r w:rsidRPr="00A35C95">
        <w:tab/>
        <w:t>(i)</w:t>
      </w:r>
      <w:r w:rsidRPr="00A35C95">
        <w:tab/>
        <w:t>if the licensee is an individual—the licensee has:</w:t>
      </w:r>
    </w:p>
    <w:p w14:paraId="6B67AA9B" w14:textId="77777777" w:rsidR="00E93F58" w:rsidRPr="00A35C95" w:rsidRDefault="00E93F58" w:rsidP="00366AB5">
      <w:pPr>
        <w:pStyle w:val="paragraphsub-sub"/>
        <w:tabs>
          <w:tab w:val="left" w:pos="2835"/>
        </w:tabs>
      </w:pPr>
      <w:r w:rsidRPr="00A35C95">
        <w:tab/>
        <w:t>(A)</w:t>
      </w:r>
      <w:r w:rsidRPr="00A35C95">
        <w:tab/>
        <w:t>knowledge of the licensee’s obligations under the Act and these Regulations; and</w:t>
      </w:r>
    </w:p>
    <w:p w14:paraId="0308FA6B" w14:textId="77777777" w:rsidR="00E93F58" w:rsidRPr="00A35C95" w:rsidRDefault="00E93F58" w:rsidP="00366AB5">
      <w:pPr>
        <w:pStyle w:val="paragraphsub-sub"/>
        <w:tabs>
          <w:tab w:val="left" w:pos="2835"/>
        </w:tabs>
      </w:pPr>
      <w:r w:rsidRPr="00A35C95">
        <w:tab/>
        <w:t>(B)</w:t>
      </w:r>
      <w:r w:rsidRPr="00A35C95">
        <w:tab/>
        <w:t>the competence to provide the financial services covered by the licence; or</w:t>
      </w:r>
    </w:p>
    <w:p w14:paraId="0A7B82F6" w14:textId="77777777" w:rsidR="00E93F58" w:rsidRPr="00A35C95" w:rsidRDefault="00E93F58" w:rsidP="00366AB5">
      <w:pPr>
        <w:pStyle w:val="paragraphsub"/>
        <w:tabs>
          <w:tab w:val="left" w:pos="2835"/>
        </w:tabs>
      </w:pPr>
      <w:r w:rsidRPr="00A35C95">
        <w:tab/>
        <w:t>(ii)</w:t>
      </w:r>
      <w:r w:rsidRPr="00A35C95">
        <w:tab/>
        <w:t>if the licensee is a partnership or corporation—each recognised accountant that supervises and has responsibility for the provision of financial services covered by the licence has:</w:t>
      </w:r>
    </w:p>
    <w:p w14:paraId="3F5BD1AA" w14:textId="77777777" w:rsidR="00E93F58" w:rsidRPr="00A35C95" w:rsidRDefault="00E93F58" w:rsidP="00366AB5">
      <w:pPr>
        <w:pStyle w:val="paragraphsub-sub"/>
        <w:tabs>
          <w:tab w:val="left" w:pos="2835"/>
        </w:tabs>
      </w:pPr>
      <w:r w:rsidRPr="00A35C95">
        <w:tab/>
        <w:t>(A)</w:t>
      </w:r>
      <w:r w:rsidRPr="00A35C95">
        <w:tab/>
        <w:t>knowledge of the licensee’s obligations under the Act and these Regulations; and</w:t>
      </w:r>
    </w:p>
    <w:p w14:paraId="40873D5E" w14:textId="77777777" w:rsidR="00E93F58" w:rsidRPr="00A35C95" w:rsidRDefault="00E93F58" w:rsidP="00366AB5">
      <w:pPr>
        <w:pStyle w:val="paragraphsub-sub"/>
        <w:tabs>
          <w:tab w:val="left" w:pos="2835"/>
        </w:tabs>
      </w:pPr>
      <w:r w:rsidRPr="00A35C95">
        <w:tab/>
        <w:t>(B)</w:t>
      </w:r>
      <w:r w:rsidRPr="00A35C95">
        <w:tab/>
        <w:t>the competence to provide the financial services covered by the licence.</w:t>
      </w:r>
    </w:p>
    <w:p w14:paraId="1F4A08CE" w14:textId="77777777" w:rsidR="00E93F58" w:rsidRPr="00A35C95" w:rsidRDefault="00E93F58" w:rsidP="00366AB5">
      <w:pPr>
        <w:pStyle w:val="subsection"/>
        <w:tabs>
          <w:tab w:val="left" w:pos="2835"/>
        </w:tabs>
      </w:pPr>
      <w:r w:rsidRPr="00A35C95">
        <w:tab/>
        <w:t>(1A)</w:t>
      </w:r>
      <w:r w:rsidRPr="00A35C95">
        <w:tab/>
        <w:t>Paragraph (1)(a) does not apply to a body regulated by APRA, unless the body is an RSE licensee that is also:</w:t>
      </w:r>
    </w:p>
    <w:p w14:paraId="76408F83" w14:textId="77777777" w:rsidR="00E93F58" w:rsidRPr="00A35C95" w:rsidRDefault="00E93F58" w:rsidP="00366AB5">
      <w:pPr>
        <w:pStyle w:val="paragraph"/>
        <w:tabs>
          <w:tab w:val="left" w:pos="2835"/>
        </w:tabs>
      </w:pPr>
      <w:r w:rsidRPr="00A35C95">
        <w:tab/>
        <w:t>(a)</w:t>
      </w:r>
      <w:r w:rsidRPr="00A35C95">
        <w:tab/>
        <w:t>the responsible entity of a registered scheme; or</w:t>
      </w:r>
    </w:p>
    <w:p w14:paraId="25CE9C23" w14:textId="77777777" w:rsidR="00E93F58" w:rsidRPr="00A35C95" w:rsidRDefault="00E93F58" w:rsidP="00366AB5">
      <w:pPr>
        <w:pStyle w:val="paragraph"/>
        <w:tabs>
          <w:tab w:val="left" w:pos="2835"/>
        </w:tabs>
      </w:pPr>
      <w:r w:rsidRPr="00A35C95">
        <w:tab/>
        <w:t>(b)</w:t>
      </w:r>
      <w:r w:rsidRPr="00A35C95">
        <w:tab/>
        <w:t>the corporate director of a CCIV.</w:t>
      </w:r>
    </w:p>
    <w:p w14:paraId="0248B4D3" w14:textId="77777777" w:rsidR="00E93F58" w:rsidRPr="00A35C95" w:rsidRDefault="00E93F58" w:rsidP="00366AB5">
      <w:pPr>
        <w:pStyle w:val="subsection"/>
        <w:tabs>
          <w:tab w:val="left" w:pos="2835"/>
        </w:tabs>
      </w:pPr>
      <w:r w:rsidRPr="00A35C95">
        <w:tab/>
        <w:t>(2)</w:t>
      </w:r>
      <w:r w:rsidRPr="00A35C95">
        <w:tab/>
        <w:t>For paragraph (1)(i):</w:t>
      </w:r>
    </w:p>
    <w:p w14:paraId="3A4DA86B" w14:textId="77777777" w:rsidR="00E93F58" w:rsidRPr="00A35C95" w:rsidRDefault="00E93F58" w:rsidP="00366AB5">
      <w:pPr>
        <w:pStyle w:val="paragraph"/>
        <w:tabs>
          <w:tab w:val="left" w:pos="2835"/>
        </w:tabs>
      </w:pPr>
      <w:r w:rsidRPr="00A35C95">
        <w:tab/>
        <w:t>(a)</w:t>
      </w:r>
      <w:r w:rsidRPr="00A35C95">
        <w:tab/>
        <w:t xml:space="preserve">a </w:t>
      </w:r>
      <w:r w:rsidRPr="00A35C95">
        <w:rPr>
          <w:b/>
          <w:i/>
        </w:rPr>
        <w:t>change in control</w:t>
      </w:r>
      <w:r w:rsidRPr="00A35C95">
        <w:t>, in relation to a financial services licensee, includes a transaction, or a series of transactions in a 12 month period, that results in a person having control of the financial services licensee (either alone or together with associates of the person); and</w:t>
      </w:r>
    </w:p>
    <w:p w14:paraId="5042D954" w14:textId="77777777" w:rsidR="00E93F58" w:rsidRPr="00A35C95" w:rsidRDefault="00E93F58" w:rsidP="00366AB5">
      <w:pPr>
        <w:pStyle w:val="paragraph"/>
        <w:keepNext/>
        <w:keepLines/>
        <w:tabs>
          <w:tab w:val="left" w:pos="2835"/>
        </w:tabs>
      </w:pPr>
      <w:r w:rsidRPr="00A35C95">
        <w:tab/>
        <w:t>(b)</w:t>
      </w:r>
      <w:r w:rsidRPr="00A35C95">
        <w:tab/>
      </w:r>
      <w:r w:rsidRPr="00A35C95">
        <w:rPr>
          <w:b/>
          <w:i/>
        </w:rPr>
        <w:t>control</w:t>
      </w:r>
      <w:r w:rsidRPr="00A35C95">
        <w:t>, in relation to a financial services licensee, means:</w:t>
      </w:r>
    </w:p>
    <w:p w14:paraId="2F984ECC" w14:textId="77777777" w:rsidR="00E93F58" w:rsidRPr="00A35C95" w:rsidRDefault="00E93F58" w:rsidP="00366AB5">
      <w:pPr>
        <w:pStyle w:val="paragraphsub"/>
        <w:tabs>
          <w:tab w:val="left" w:pos="2835"/>
        </w:tabs>
      </w:pPr>
      <w:r w:rsidRPr="00A35C95">
        <w:tab/>
        <w:t>(i)</w:t>
      </w:r>
      <w:r w:rsidRPr="00A35C95">
        <w:tab/>
        <w:t>if the financial services licensee is a body corporate:</w:t>
      </w:r>
    </w:p>
    <w:p w14:paraId="0113B571" w14:textId="77777777" w:rsidR="00E93F58" w:rsidRPr="00A35C95" w:rsidRDefault="00E93F58" w:rsidP="00366AB5">
      <w:pPr>
        <w:pStyle w:val="paragraphsub-sub"/>
        <w:tabs>
          <w:tab w:val="left" w:pos="2835"/>
        </w:tabs>
      </w:pPr>
      <w:r w:rsidRPr="00A35C95">
        <w:tab/>
        <w:t>(A)</w:t>
      </w:r>
      <w:r w:rsidRPr="00A35C95">
        <w:tab/>
        <w:t>having the capacity to cast, or control the casting of, more than one</w:t>
      </w:r>
      <w:r>
        <w:noBreakHyphen/>
      </w:r>
      <w:r w:rsidRPr="00A35C95">
        <w:t>half of the maximum number of votes that might be cast at a general meeting of the financial services licensee; or</w:t>
      </w:r>
    </w:p>
    <w:p w14:paraId="6C244E8B" w14:textId="77777777" w:rsidR="00E93F58" w:rsidRPr="00A35C95" w:rsidRDefault="00E93F58" w:rsidP="00366AB5">
      <w:pPr>
        <w:pStyle w:val="paragraphsub-sub"/>
        <w:tabs>
          <w:tab w:val="left" w:pos="2835"/>
        </w:tabs>
      </w:pPr>
      <w:r w:rsidRPr="00A35C95">
        <w:tab/>
        <w:t>(B)</w:t>
      </w:r>
      <w:r w:rsidRPr="00A35C95">
        <w:tab/>
        <w:t>directly or indirectly holding more than one half of the issued share capital of the financial services licensee (not including any part of the issued share capital that carries no right to participate beyond a specified amount in a distribution of either profits or capital); or</w:t>
      </w:r>
    </w:p>
    <w:p w14:paraId="47E627ED" w14:textId="77777777" w:rsidR="00E93F58" w:rsidRPr="00A35C95" w:rsidRDefault="00E93F58" w:rsidP="00366AB5">
      <w:pPr>
        <w:pStyle w:val="paragraphsub"/>
        <w:tabs>
          <w:tab w:val="left" w:pos="2835"/>
        </w:tabs>
      </w:pPr>
      <w:r w:rsidRPr="00A35C95">
        <w:tab/>
        <w:t>(ii)</w:t>
      </w:r>
      <w:r w:rsidRPr="00A35C95">
        <w:tab/>
        <w:t>the capacity to control the composition of the financial services licensee’s board or governing body; or</w:t>
      </w:r>
    </w:p>
    <w:p w14:paraId="63969705" w14:textId="77777777" w:rsidR="00E93F58" w:rsidRPr="00A35C95" w:rsidRDefault="00E93F58" w:rsidP="00366AB5">
      <w:pPr>
        <w:pStyle w:val="paragraphsub"/>
        <w:tabs>
          <w:tab w:val="left" w:pos="2835"/>
        </w:tabs>
      </w:pPr>
      <w:r w:rsidRPr="00A35C95">
        <w:tab/>
        <w:t>(iii)</w:t>
      </w:r>
      <w:r w:rsidRPr="00A35C95">
        <w:tab/>
        <w:t>the capacity to determine the outcome of decisions about the licensee’s financial and operating policies; and</w:t>
      </w:r>
    </w:p>
    <w:p w14:paraId="232C988C" w14:textId="77777777" w:rsidR="00E93F58" w:rsidRPr="00A35C95" w:rsidRDefault="00E93F58" w:rsidP="00366AB5">
      <w:pPr>
        <w:pStyle w:val="paragraph"/>
        <w:tabs>
          <w:tab w:val="left" w:pos="2835"/>
        </w:tabs>
      </w:pPr>
      <w:r w:rsidRPr="00A35C95">
        <w:tab/>
        <w:t>(c)</w:t>
      </w:r>
      <w:r w:rsidRPr="00A35C95">
        <w:tab/>
        <w:t>for subparagraph (b)(iii), the following matters must be taken into account in determining whether a person has the capacity to determine the outcome of decisions about a financial services licensee’s financial and operating policies:</w:t>
      </w:r>
    </w:p>
    <w:p w14:paraId="00E504C3" w14:textId="77777777" w:rsidR="00E93F58" w:rsidRPr="00A35C95" w:rsidRDefault="00E93F58" w:rsidP="00366AB5">
      <w:pPr>
        <w:pStyle w:val="paragraphsub"/>
        <w:tabs>
          <w:tab w:val="left" w:pos="2835"/>
        </w:tabs>
      </w:pPr>
      <w:r w:rsidRPr="00A35C95">
        <w:tab/>
        <w:t>(i)</w:t>
      </w:r>
      <w:r w:rsidRPr="00A35C95">
        <w:tab/>
        <w:t>the practical influence the person can exert (rather than the rights it can enforce);</w:t>
      </w:r>
    </w:p>
    <w:p w14:paraId="6CF44E68" w14:textId="77777777" w:rsidR="00E93F58" w:rsidRPr="00A35C95" w:rsidRDefault="00E93F58" w:rsidP="00366AB5">
      <w:pPr>
        <w:pStyle w:val="paragraphsub"/>
        <w:tabs>
          <w:tab w:val="left" w:pos="2835"/>
        </w:tabs>
      </w:pPr>
      <w:r w:rsidRPr="00A35C95">
        <w:tab/>
        <w:t>(ii)</w:t>
      </w:r>
      <w:r w:rsidRPr="00A35C95">
        <w:tab/>
        <w:t>any practice or pattern of behaviour affecting the financial services licensee’s financial or operating policies is to be taken into account (whether or not it involves a breach of an agreement or a breach of trust).</w:t>
      </w:r>
    </w:p>
    <w:p w14:paraId="7370D401" w14:textId="77777777" w:rsidR="00E93F58" w:rsidRPr="00A35C95" w:rsidRDefault="00E93F58" w:rsidP="00366AB5">
      <w:pPr>
        <w:pStyle w:val="subsection"/>
        <w:tabs>
          <w:tab w:val="left" w:pos="2835"/>
        </w:tabs>
      </w:pPr>
      <w:r w:rsidRPr="00A35C95">
        <w:tab/>
        <w:t>(3)</w:t>
      </w:r>
      <w:r w:rsidRPr="00A35C95">
        <w:tab/>
        <w:t>In this regulation:</w:t>
      </w:r>
    </w:p>
    <w:p w14:paraId="4A822937" w14:textId="77777777" w:rsidR="00E93F58" w:rsidRPr="00A35C95" w:rsidRDefault="00E93F58" w:rsidP="00366AB5">
      <w:pPr>
        <w:pStyle w:val="Definition"/>
        <w:tabs>
          <w:tab w:val="left" w:pos="2835"/>
        </w:tabs>
        <w:rPr>
          <w:szCs w:val="22"/>
        </w:rPr>
      </w:pPr>
      <w:r w:rsidRPr="00A35C95">
        <w:rPr>
          <w:b/>
          <w:i/>
          <w:szCs w:val="22"/>
        </w:rPr>
        <w:t xml:space="preserve">limited financial services </w:t>
      </w:r>
      <w:r w:rsidRPr="00A35C95">
        <w:rPr>
          <w:szCs w:val="22"/>
        </w:rPr>
        <w:t>means the following financial services:</w:t>
      </w:r>
    </w:p>
    <w:p w14:paraId="7E7410BF" w14:textId="77777777" w:rsidR="00E93F58" w:rsidRPr="00A35C95" w:rsidRDefault="00E93F58" w:rsidP="00366AB5">
      <w:pPr>
        <w:pStyle w:val="paragraph"/>
        <w:tabs>
          <w:tab w:val="left" w:pos="2835"/>
        </w:tabs>
      </w:pPr>
      <w:r w:rsidRPr="00A35C95">
        <w:tab/>
        <w:t>(a)</w:t>
      </w:r>
      <w:r w:rsidRPr="00A35C95">
        <w:tab/>
        <w:t>financial product advice on self managed superannuation funds;</w:t>
      </w:r>
    </w:p>
    <w:p w14:paraId="45B3738F" w14:textId="77777777" w:rsidR="00E93F58" w:rsidRPr="00A35C95" w:rsidRDefault="00E93F58" w:rsidP="00366AB5">
      <w:pPr>
        <w:pStyle w:val="paragraph"/>
        <w:tabs>
          <w:tab w:val="left" w:pos="2835"/>
        </w:tabs>
      </w:pPr>
      <w:r w:rsidRPr="00A35C95">
        <w:lastRenderedPageBreak/>
        <w:tab/>
        <w:t>(b)</w:t>
      </w:r>
      <w:r w:rsidRPr="00A35C95">
        <w:tab/>
        <w:t>financial product advice on superannuation products in relation to a person’s existing holding in a superannuation product but only to the extent required for:</w:t>
      </w:r>
    </w:p>
    <w:p w14:paraId="10651EAD" w14:textId="77777777" w:rsidR="00E93F58" w:rsidRPr="00A35C95" w:rsidRDefault="00E93F58" w:rsidP="00366AB5">
      <w:pPr>
        <w:pStyle w:val="paragraphsub"/>
        <w:tabs>
          <w:tab w:val="left" w:pos="2835"/>
        </w:tabs>
      </w:pPr>
      <w:r w:rsidRPr="00A35C95">
        <w:tab/>
        <w:t>(i)</w:t>
      </w:r>
      <w:r w:rsidRPr="00A35C95">
        <w:tab/>
        <w:t>making a recommendation that the person establish a self managed superannuation fund; or</w:t>
      </w:r>
    </w:p>
    <w:p w14:paraId="125691A4" w14:textId="77777777" w:rsidR="00E93F58" w:rsidRPr="00A35C95" w:rsidRDefault="00E93F58" w:rsidP="00366AB5">
      <w:pPr>
        <w:pStyle w:val="paragraphsub"/>
        <w:tabs>
          <w:tab w:val="left" w:pos="2835"/>
        </w:tabs>
      </w:pPr>
      <w:r w:rsidRPr="00A35C95">
        <w:tab/>
        <w:t>(ii)</w:t>
      </w:r>
      <w:r w:rsidRPr="00A35C95">
        <w:tab/>
        <w:t>providing advice to the person on contributions or pensions under a superannuation product;</w:t>
      </w:r>
    </w:p>
    <w:p w14:paraId="1E1DFC4C" w14:textId="77777777" w:rsidR="00E93F58" w:rsidRPr="00A35C95" w:rsidRDefault="00E93F58" w:rsidP="00366AB5">
      <w:pPr>
        <w:pStyle w:val="paragraph"/>
        <w:tabs>
          <w:tab w:val="left" w:pos="2835"/>
        </w:tabs>
      </w:pPr>
      <w:r w:rsidRPr="00A35C95">
        <w:tab/>
        <w:t>(c)</w:t>
      </w:r>
      <w:r w:rsidRPr="00A35C95">
        <w:tab/>
        <w:t>class of product advice on the following:</w:t>
      </w:r>
    </w:p>
    <w:p w14:paraId="7F64C087" w14:textId="77777777" w:rsidR="00E93F58" w:rsidRPr="00A35C95" w:rsidRDefault="00E93F58" w:rsidP="00366AB5">
      <w:pPr>
        <w:pStyle w:val="paragraphsub"/>
        <w:tabs>
          <w:tab w:val="left" w:pos="2835"/>
        </w:tabs>
      </w:pPr>
      <w:r w:rsidRPr="00A35C95">
        <w:tab/>
        <w:t>(i)</w:t>
      </w:r>
      <w:r w:rsidRPr="00A35C95">
        <w:tab/>
        <w:t>superannuation products;</w:t>
      </w:r>
    </w:p>
    <w:p w14:paraId="573B01D6" w14:textId="77777777" w:rsidR="00E93F58" w:rsidRPr="00A35C95" w:rsidRDefault="00E93F58" w:rsidP="00366AB5">
      <w:pPr>
        <w:pStyle w:val="paragraphsub"/>
        <w:tabs>
          <w:tab w:val="left" w:pos="2835"/>
        </w:tabs>
      </w:pPr>
      <w:r w:rsidRPr="00A35C95">
        <w:tab/>
        <w:t>(ii)</w:t>
      </w:r>
      <w:r w:rsidRPr="00A35C95">
        <w:tab/>
        <w:t>securities;</w:t>
      </w:r>
    </w:p>
    <w:p w14:paraId="0DC26642" w14:textId="77777777" w:rsidR="00E93F58" w:rsidRPr="00A35C95" w:rsidRDefault="00E93F58" w:rsidP="00366AB5">
      <w:pPr>
        <w:pStyle w:val="paragraphsub"/>
        <w:tabs>
          <w:tab w:val="left" w:pos="2835"/>
        </w:tabs>
      </w:pPr>
      <w:r w:rsidRPr="00A35C95">
        <w:tab/>
        <w:t>(iii)</w:t>
      </w:r>
      <w:r w:rsidRPr="00A35C95">
        <w:tab/>
        <w:t>simple managed investment schemes;</w:t>
      </w:r>
    </w:p>
    <w:p w14:paraId="75D99A96" w14:textId="77777777" w:rsidR="00E93F58" w:rsidRPr="00A35C95" w:rsidRDefault="00E93F58" w:rsidP="00366AB5">
      <w:pPr>
        <w:pStyle w:val="paragraphsub"/>
        <w:tabs>
          <w:tab w:val="left" w:pos="2835"/>
        </w:tabs>
      </w:pPr>
      <w:r w:rsidRPr="00A35C95">
        <w:tab/>
        <w:t>(iv)</w:t>
      </w:r>
      <w:r w:rsidRPr="00A35C95">
        <w:tab/>
        <w:t>general insurance products;</w:t>
      </w:r>
    </w:p>
    <w:p w14:paraId="380C5791" w14:textId="77777777" w:rsidR="00E93F58" w:rsidRPr="00A35C95" w:rsidRDefault="00E93F58" w:rsidP="00366AB5">
      <w:pPr>
        <w:pStyle w:val="paragraphsub"/>
        <w:tabs>
          <w:tab w:val="left" w:pos="2835"/>
        </w:tabs>
      </w:pPr>
      <w:r w:rsidRPr="00A35C95">
        <w:tab/>
        <w:t>(v)</w:t>
      </w:r>
      <w:r w:rsidRPr="00A35C95">
        <w:tab/>
        <w:t>life risk insurance products;</w:t>
      </w:r>
    </w:p>
    <w:p w14:paraId="4C881EE1" w14:textId="77777777" w:rsidR="00E93F58" w:rsidRPr="00A35C95" w:rsidRDefault="00E93F58" w:rsidP="00366AB5">
      <w:pPr>
        <w:pStyle w:val="paragraphsub"/>
        <w:tabs>
          <w:tab w:val="left" w:pos="2835"/>
        </w:tabs>
      </w:pPr>
      <w:r w:rsidRPr="00A35C95">
        <w:tab/>
        <w:t>(vi)</w:t>
      </w:r>
      <w:r w:rsidRPr="00A35C95">
        <w:tab/>
        <w:t>basic deposit products;</w:t>
      </w:r>
    </w:p>
    <w:p w14:paraId="1D158956" w14:textId="77777777" w:rsidR="00E93F58" w:rsidRPr="00A35C95" w:rsidRDefault="00E93F58" w:rsidP="00366AB5">
      <w:pPr>
        <w:pStyle w:val="paragraph"/>
        <w:tabs>
          <w:tab w:val="left" w:pos="2835"/>
        </w:tabs>
      </w:pPr>
      <w:r w:rsidRPr="00A35C95">
        <w:tab/>
        <w:t>(d)</w:t>
      </w:r>
      <w:r w:rsidRPr="00A35C95">
        <w:tab/>
        <w:t>arrange to deal in an interest in a self managed superannuation fund.</w:t>
      </w:r>
    </w:p>
    <w:p w14:paraId="5E427BC9" w14:textId="77777777" w:rsidR="00E93F58" w:rsidRPr="00A35C95" w:rsidRDefault="00E93F58" w:rsidP="00366AB5">
      <w:pPr>
        <w:pStyle w:val="notetext"/>
        <w:tabs>
          <w:tab w:val="left" w:pos="2835"/>
        </w:tabs>
        <w:rPr>
          <w:i/>
        </w:rPr>
      </w:pPr>
      <w:r w:rsidRPr="00A35C95">
        <w:t>Note 2:</w:t>
      </w:r>
      <w:r w:rsidRPr="00A35C95">
        <w:tab/>
        <w:t xml:space="preserve">See subregulation 1.0.02(1) for the meaning of </w:t>
      </w:r>
      <w:r w:rsidRPr="00A35C95">
        <w:rPr>
          <w:b/>
          <w:i/>
        </w:rPr>
        <w:t>simple managed investment scheme</w:t>
      </w:r>
      <w:r w:rsidRPr="00A35C95">
        <w:rPr>
          <w:i/>
        </w:rPr>
        <w:t>.</w:t>
      </w:r>
    </w:p>
    <w:p w14:paraId="3793BC2A" w14:textId="77777777" w:rsidR="00E93F58" w:rsidRPr="00A35C95" w:rsidRDefault="00E93F58" w:rsidP="00366AB5">
      <w:pPr>
        <w:pStyle w:val="notetext"/>
        <w:tabs>
          <w:tab w:val="left" w:pos="2835"/>
        </w:tabs>
      </w:pPr>
      <w:r w:rsidRPr="00A35C95">
        <w:t>Note 3:</w:t>
      </w:r>
      <w:r w:rsidRPr="00A35C95">
        <w:tab/>
        <w:t>Financial product advice on self managed superannuation funds includes advice about acquiring or disposing of an interest in a self managed superannuation fund.</w:t>
      </w:r>
    </w:p>
    <w:p w14:paraId="39A6718C" w14:textId="77777777" w:rsidR="00E93F58" w:rsidRPr="00A35C95" w:rsidRDefault="00E93F58" w:rsidP="00366AB5">
      <w:pPr>
        <w:pStyle w:val="Definition"/>
        <w:tabs>
          <w:tab w:val="left" w:pos="2835"/>
        </w:tabs>
      </w:pPr>
      <w:r w:rsidRPr="00A35C95">
        <w:rPr>
          <w:b/>
          <w:i/>
        </w:rPr>
        <w:t xml:space="preserve">limited licensee </w:t>
      </w:r>
      <w:r w:rsidRPr="00A35C95">
        <w:t>means a financial services licensee that:</w:t>
      </w:r>
    </w:p>
    <w:p w14:paraId="415EDCFA" w14:textId="77777777" w:rsidR="00E93F58" w:rsidRPr="00A35C95" w:rsidRDefault="00E93F58" w:rsidP="00366AB5">
      <w:pPr>
        <w:pStyle w:val="paragraph"/>
        <w:tabs>
          <w:tab w:val="left" w:pos="2835"/>
        </w:tabs>
      </w:pPr>
      <w:r w:rsidRPr="00A35C95">
        <w:tab/>
        <w:t>(a)</w:t>
      </w:r>
      <w:r w:rsidRPr="00A35C95">
        <w:tab/>
        <w:t>is:</w:t>
      </w:r>
    </w:p>
    <w:p w14:paraId="6F5049D8" w14:textId="77777777" w:rsidR="00E93F58" w:rsidRPr="00A35C95" w:rsidRDefault="00E93F58" w:rsidP="00366AB5">
      <w:pPr>
        <w:pStyle w:val="paragraphsub"/>
        <w:tabs>
          <w:tab w:val="left" w:pos="2835"/>
        </w:tabs>
      </w:pPr>
      <w:r w:rsidRPr="00A35C95">
        <w:tab/>
        <w:t>(i)</w:t>
      </w:r>
      <w:r w:rsidRPr="00A35C95">
        <w:tab/>
        <w:t>a recognised accountant; or</w:t>
      </w:r>
    </w:p>
    <w:p w14:paraId="762DDA4D" w14:textId="77777777" w:rsidR="00E93F58" w:rsidRPr="00A35C95" w:rsidRDefault="00E93F58" w:rsidP="00366AB5">
      <w:pPr>
        <w:pStyle w:val="paragraphsub"/>
        <w:tabs>
          <w:tab w:val="left" w:pos="2835"/>
        </w:tabs>
      </w:pPr>
      <w:r w:rsidRPr="00A35C95">
        <w:tab/>
        <w:t>(ii)</w:t>
      </w:r>
      <w:r w:rsidRPr="00A35C95">
        <w:tab/>
        <w:t>a corporation that has one or more recognised accountants that supervise and have responsibility for the provision of financial services covered by its licence; or</w:t>
      </w:r>
    </w:p>
    <w:p w14:paraId="581CBF78" w14:textId="77777777" w:rsidR="00E93F58" w:rsidRPr="00A35C95" w:rsidRDefault="00E93F58" w:rsidP="00366AB5">
      <w:pPr>
        <w:pStyle w:val="paragraphsub"/>
        <w:tabs>
          <w:tab w:val="left" w:pos="2835"/>
        </w:tabs>
      </w:pPr>
      <w:r w:rsidRPr="00A35C95">
        <w:tab/>
        <w:t>(iii)</w:t>
      </w:r>
      <w:r w:rsidRPr="00A35C95">
        <w:tab/>
        <w:t>a partnership that has one or more recognised accountants that supervise and have responsibility for the provision of financial services covered by its licence; and</w:t>
      </w:r>
    </w:p>
    <w:p w14:paraId="61EA5667" w14:textId="77777777" w:rsidR="00E93F58" w:rsidRPr="00A35C95" w:rsidRDefault="00E93F58" w:rsidP="00366AB5">
      <w:pPr>
        <w:pStyle w:val="paragraph"/>
        <w:tabs>
          <w:tab w:val="left" w:pos="2835"/>
        </w:tabs>
      </w:pPr>
      <w:r w:rsidRPr="00A35C95">
        <w:tab/>
        <w:t>(b)</w:t>
      </w:r>
      <w:r w:rsidRPr="00A35C95">
        <w:tab/>
        <w:t>applied for the financial services licence between 1 July 2013 and 30 June 2016; and</w:t>
      </w:r>
    </w:p>
    <w:p w14:paraId="76019843" w14:textId="77777777" w:rsidR="00E93F58" w:rsidRPr="00A35C95" w:rsidRDefault="00E93F58" w:rsidP="00366AB5">
      <w:pPr>
        <w:pStyle w:val="paragraph"/>
        <w:tabs>
          <w:tab w:val="left" w:pos="2835"/>
        </w:tabs>
      </w:pPr>
      <w:r w:rsidRPr="00A35C95">
        <w:tab/>
        <w:t>(c)</w:t>
      </w:r>
      <w:r w:rsidRPr="00A35C95">
        <w:tab/>
        <w:t>is only licensed to provide one or more limited financial services.</w:t>
      </w:r>
    </w:p>
    <w:p w14:paraId="363B434B" w14:textId="77777777" w:rsidR="00E93F58" w:rsidRPr="00A35C95" w:rsidRDefault="00E93F58" w:rsidP="00366AB5">
      <w:pPr>
        <w:pStyle w:val="Definition"/>
        <w:tabs>
          <w:tab w:val="left" w:pos="2835"/>
        </w:tabs>
      </w:pPr>
      <w:r w:rsidRPr="00A35C95">
        <w:rPr>
          <w:b/>
          <w:i/>
          <w:szCs w:val="22"/>
        </w:rPr>
        <w:t xml:space="preserve">recognised accountant </w:t>
      </w:r>
      <w:r w:rsidRPr="00A35C95">
        <w:rPr>
          <w:szCs w:val="22"/>
        </w:rPr>
        <w:t>means:</w:t>
      </w:r>
    </w:p>
    <w:p w14:paraId="1A915EF4" w14:textId="77777777" w:rsidR="00E93F58" w:rsidRPr="00A35C95" w:rsidRDefault="00E93F58" w:rsidP="00366AB5">
      <w:pPr>
        <w:pStyle w:val="paragraph"/>
        <w:tabs>
          <w:tab w:val="left" w:pos="2835"/>
        </w:tabs>
        <w:rPr>
          <w:szCs w:val="22"/>
        </w:rPr>
      </w:pPr>
      <w:r w:rsidRPr="00A35C95">
        <w:rPr>
          <w:szCs w:val="22"/>
        </w:rPr>
        <w:tab/>
        <w:t>(a)</w:t>
      </w:r>
      <w:r w:rsidRPr="00A35C95">
        <w:rPr>
          <w:szCs w:val="22"/>
        </w:rPr>
        <w:tab/>
        <w:t>a member of CPA Australia who:</w:t>
      </w:r>
    </w:p>
    <w:p w14:paraId="55F46DC9" w14:textId="77777777" w:rsidR="00E93F58" w:rsidRPr="00A35C95" w:rsidRDefault="00E93F58" w:rsidP="00366AB5">
      <w:pPr>
        <w:pStyle w:val="paragraphsub"/>
        <w:tabs>
          <w:tab w:val="left" w:pos="2835"/>
        </w:tabs>
      </w:pPr>
      <w:r w:rsidRPr="00A35C95">
        <w:tab/>
        <w:t>(i)</w:t>
      </w:r>
      <w:r w:rsidRPr="00A35C95">
        <w:tab/>
        <w:t>holds a Public Practice Certificate issued by CPA Australia Ltd; and</w:t>
      </w:r>
    </w:p>
    <w:p w14:paraId="1D24AC3C" w14:textId="77777777" w:rsidR="00E93F58" w:rsidRPr="00A35C95" w:rsidRDefault="00E93F58" w:rsidP="00366AB5">
      <w:pPr>
        <w:pStyle w:val="paragraphsub"/>
        <w:tabs>
          <w:tab w:val="left" w:pos="2835"/>
        </w:tabs>
      </w:pPr>
      <w:r w:rsidRPr="00A35C95">
        <w:tab/>
        <w:t>(ii)</w:t>
      </w:r>
      <w:r w:rsidRPr="00A35C95">
        <w:tab/>
        <w:t>is entitled to use the letters “CPA” or “FCPA”; and</w:t>
      </w:r>
    </w:p>
    <w:p w14:paraId="22F04913" w14:textId="77777777" w:rsidR="00E93F58" w:rsidRPr="00A35C95" w:rsidRDefault="00E93F58" w:rsidP="00366AB5">
      <w:pPr>
        <w:pStyle w:val="paragraphsub"/>
        <w:tabs>
          <w:tab w:val="left" w:pos="2835"/>
        </w:tabs>
      </w:pPr>
      <w:r w:rsidRPr="00A35C95">
        <w:tab/>
        <w:t>(iii)</w:t>
      </w:r>
      <w:r w:rsidRPr="00A35C95">
        <w:tab/>
        <w:t>is subject to, and complies with, CPA Australia’s continuing professional education requirements; or</w:t>
      </w:r>
    </w:p>
    <w:p w14:paraId="7730181E" w14:textId="77777777" w:rsidR="00E93F58" w:rsidRPr="00A35C95" w:rsidRDefault="00E93F58" w:rsidP="00366AB5">
      <w:pPr>
        <w:pStyle w:val="paragraph"/>
        <w:tabs>
          <w:tab w:val="left" w:pos="2835"/>
        </w:tabs>
      </w:pPr>
      <w:r w:rsidRPr="00A35C95">
        <w:tab/>
        <w:t>(b)</w:t>
      </w:r>
      <w:r w:rsidRPr="00A35C95">
        <w:tab/>
        <w:t>a member of The Institute of Chartered Accountants in Australia (</w:t>
      </w:r>
      <w:r w:rsidRPr="00A35C95">
        <w:rPr>
          <w:b/>
          <w:i/>
        </w:rPr>
        <w:t>ICAA</w:t>
      </w:r>
      <w:r w:rsidRPr="00A35C95">
        <w:t>) who:</w:t>
      </w:r>
    </w:p>
    <w:p w14:paraId="0B1A3C46" w14:textId="77777777" w:rsidR="00E93F58" w:rsidRPr="00A35C95" w:rsidRDefault="00E93F58" w:rsidP="00366AB5">
      <w:pPr>
        <w:pStyle w:val="paragraphsub"/>
        <w:tabs>
          <w:tab w:val="left" w:pos="2835"/>
        </w:tabs>
      </w:pPr>
      <w:r w:rsidRPr="00A35C95">
        <w:tab/>
        <w:t>(i)</w:t>
      </w:r>
      <w:r w:rsidRPr="00A35C95">
        <w:tab/>
        <w:t>holds a Certificate of Public Practice issued by ICAA; and</w:t>
      </w:r>
    </w:p>
    <w:p w14:paraId="08870933" w14:textId="77777777" w:rsidR="00E93F58" w:rsidRPr="00A35C95" w:rsidRDefault="00E93F58" w:rsidP="00366AB5">
      <w:pPr>
        <w:pStyle w:val="paragraphsub"/>
        <w:tabs>
          <w:tab w:val="left" w:pos="2835"/>
        </w:tabs>
      </w:pPr>
      <w:r w:rsidRPr="00A35C95">
        <w:tab/>
        <w:t>(ii)</w:t>
      </w:r>
      <w:r w:rsidRPr="00A35C95">
        <w:tab/>
        <w:t>is entitled to use the letters “ACA”, “CA” or “FCA”; and</w:t>
      </w:r>
    </w:p>
    <w:p w14:paraId="3F788CBE" w14:textId="77777777" w:rsidR="00E93F58" w:rsidRPr="00A35C95" w:rsidRDefault="00E93F58" w:rsidP="00366AB5">
      <w:pPr>
        <w:pStyle w:val="paragraphsub"/>
        <w:tabs>
          <w:tab w:val="left" w:pos="2835"/>
        </w:tabs>
      </w:pPr>
      <w:r w:rsidRPr="00A35C95">
        <w:tab/>
        <w:t>(iii)</w:t>
      </w:r>
      <w:r w:rsidRPr="00A35C95">
        <w:tab/>
        <w:t>is subject to, and complies with, ICAA’s continuing professional education requirements; or</w:t>
      </w:r>
    </w:p>
    <w:p w14:paraId="0EBC3D1A" w14:textId="77777777" w:rsidR="00E93F58" w:rsidRPr="00A35C95" w:rsidRDefault="00E93F58" w:rsidP="00366AB5">
      <w:pPr>
        <w:pStyle w:val="paragraph"/>
        <w:tabs>
          <w:tab w:val="left" w:pos="2835"/>
        </w:tabs>
      </w:pPr>
      <w:r w:rsidRPr="00A35C95">
        <w:tab/>
        <w:t>(c)</w:t>
      </w:r>
      <w:r w:rsidRPr="00A35C95">
        <w:tab/>
        <w:t>a member of the Institute of Public Accountants (</w:t>
      </w:r>
      <w:r w:rsidRPr="00A35C95">
        <w:rPr>
          <w:b/>
          <w:i/>
        </w:rPr>
        <w:t>IPA</w:t>
      </w:r>
      <w:r w:rsidRPr="00A35C95">
        <w:t>) who:</w:t>
      </w:r>
    </w:p>
    <w:p w14:paraId="6680CD62" w14:textId="77777777" w:rsidR="00E93F58" w:rsidRPr="00A35C95" w:rsidRDefault="00E93F58" w:rsidP="00366AB5">
      <w:pPr>
        <w:pStyle w:val="paragraphsub"/>
        <w:tabs>
          <w:tab w:val="left" w:pos="2835"/>
        </w:tabs>
      </w:pPr>
      <w:r w:rsidRPr="00A35C95">
        <w:tab/>
        <w:t>(i)</w:t>
      </w:r>
      <w:r w:rsidRPr="00A35C95">
        <w:tab/>
        <w:t>holds a Public Practice Certificate issued by IPA; and</w:t>
      </w:r>
    </w:p>
    <w:p w14:paraId="7654189E" w14:textId="77777777" w:rsidR="00E93F58" w:rsidRPr="00A35C95" w:rsidRDefault="00E93F58" w:rsidP="00366AB5">
      <w:pPr>
        <w:pStyle w:val="paragraphsub"/>
        <w:tabs>
          <w:tab w:val="left" w:pos="2835"/>
        </w:tabs>
      </w:pPr>
      <w:r w:rsidRPr="00A35C95">
        <w:tab/>
        <w:t>(ii)</w:t>
      </w:r>
      <w:r w:rsidRPr="00A35C95">
        <w:tab/>
        <w:t>is entitled to use the letters “FIPA” or “MIPA”; and</w:t>
      </w:r>
    </w:p>
    <w:p w14:paraId="13415472" w14:textId="77777777" w:rsidR="00E93F58" w:rsidRPr="00A35C95" w:rsidRDefault="00E93F58" w:rsidP="00366AB5">
      <w:pPr>
        <w:pStyle w:val="paragraphsub"/>
        <w:tabs>
          <w:tab w:val="left" w:pos="2835"/>
        </w:tabs>
      </w:pPr>
      <w:r w:rsidRPr="00A35C95">
        <w:tab/>
        <w:t>(iii)</w:t>
      </w:r>
      <w:r w:rsidRPr="00A35C95">
        <w:tab/>
        <w:t>is subject to, and complies with, IPA’s continuing professional education requirements.</w:t>
      </w:r>
    </w:p>
    <w:p w14:paraId="4C515462" w14:textId="77777777" w:rsidR="00E93F58" w:rsidRPr="00A35C95" w:rsidRDefault="00E93F58" w:rsidP="00366AB5">
      <w:pPr>
        <w:pStyle w:val="ActHead5"/>
        <w:tabs>
          <w:tab w:val="left" w:pos="2835"/>
        </w:tabs>
      </w:pPr>
      <w:bookmarkStart w:id="989" w:name="_Toc152058067"/>
      <w:bookmarkStart w:id="990" w:name="_Toc158712290"/>
      <w:r w:rsidRPr="00844D11">
        <w:rPr>
          <w:rStyle w:val="CharSectno"/>
        </w:rPr>
        <w:t>7.6.04AA</w:t>
      </w:r>
      <w:r w:rsidRPr="00A35C95">
        <w:t xml:space="preserve">  Time limits for notification of authorised representatives—modification of section 916F of the Act</w:t>
      </w:r>
      <w:bookmarkEnd w:id="989"/>
      <w:bookmarkEnd w:id="990"/>
    </w:p>
    <w:p w14:paraId="671F0B91" w14:textId="77777777" w:rsidR="00E93F58" w:rsidRPr="00A35C95" w:rsidRDefault="00E93F58" w:rsidP="00366AB5">
      <w:pPr>
        <w:pStyle w:val="subsection"/>
        <w:tabs>
          <w:tab w:val="left" w:pos="2835"/>
        </w:tabs>
      </w:pPr>
      <w:r w:rsidRPr="00A35C95">
        <w:tab/>
      </w:r>
      <w:r w:rsidRPr="00A35C95">
        <w:tab/>
        <w:t>For paragraph 926B(1)(c) of the Act, Part 7.6 of the Act applies as if:</w:t>
      </w:r>
    </w:p>
    <w:p w14:paraId="2D0B9CF5" w14:textId="77777777" w:rsidR="00E93F58" w:rsidRPr="00A35C95" w:rsidRDefault="00E93F58" w:rsidP="00366AB5">
      <w:pPr>
        <w:pStyle w:val="paragraph"/>
        <w:tabs>
          <w:tab w:val="left" w:pos="2835"/>
        </w:tabs>
      </w:pPr>
      <w:r w:rsidRPr="00A35C95">
        <w:tab/>
        <w:t>(a)</w:t>
      </w:r>
      <w:r w:rsidRPr="00A35C95">
        <w:tab/>
        <w:t>subsection 916F(1) were modified by omitting “15 business days” and substituting “30 business days”; and</w:t>
      </w:r>
    </w:p>
    <w:p w14:paraId="31913055" w14:textId="77777777" w:rsidR="00E93F58" w:rsidRPr="00A35C95" w:rsidRDefault="00E93F58" w:rsidP="00366AB5">
      <w:pPr>
        <w:pStyle w:val="paragraph"/>
        <w:tabs>
          <w:tab w:val="left" w:pos="2835"/>
        </w:tabs>
      </w:pPr>
      <w:r w:rsidRPr="00A35C95">
        <w:tab/>
        <w:t>(b)</w:t>
      </w:r>
      <w:r w:rsidRPr="00A35C95">
        <w:tab/>
        <w:t>subsection 916F(3) were modified by omitting “10 business days” and substituting “30 business days”.</w:t>
      </w:r>
    </w:p>
    <w:p w14:paraId="29F7F1BD" w14:textId="77777777" w:rsidR="00E93F58" w:rsidRPr="00A35C95" w:rsidRDefault="00E93F58" w:rsidP="00366AB5">
      <w:pPr>
        <w:pStyle w:val="ActHead5"/>
        <w:tabs>
          <w:tab w:val="left" w:pos="2835"/>
        </w:tabs>
      </w:pPr>
      <w:bookmarkStart w:id="991" w:name="_Toc152058068"/>
      <w:bookmarkStart w:id="992" w:name="_Toc158712291"/>
      <w:r w:rsidRPr="00844D11">
        <w:rPr>
          <w:rStyle w:val="CharSectno"/>
        </w:rPr>
        <w:t>7.6.04A</w:t>
      </w:r>
      <w:r w:rsidRPr="00A35C95">
        <w:t xml:space="preserve">  Exemptions to notification of authorised representatives</w:t>
      </w:r>
      <w:bookmarkEnd w:id="991"/>
      <w:bookmarkEnd w:id="992"/>
    </w:p>
    <w:p w14:paraId="2801B6BB" w14:textId="77777777" w:rsidR="00E93F58" w:rsidRPr="00A35C95" w:rsidRDefault="00E93F58" w:rsidP="00366AB5">
      <w:pPr>
        <w:pStyle w:val="subsection"/>
        <w:tabs>
          <w:tab w:val="left" w:pos="2835"/>
        </w:tabs>
      </w:pPr>
      <w:r w:rsidRPr="00A35C95">
        <w:tab/>
      </w:r>
      <w:r w:rsidRPr="00A35C95">
        <w:tab/>
        <w:t>For paragraph 916F(1AA)(d) of the Act, each of the following financial products is prescribed:</w:t>
      </w:r>
    </w:p>
    <w:p w14:paraId="64CBD9F4" w14:textId="77777777" w:rsidR="00E93F58" w:rsidRPr="00A35C95" w:rsidRDefault="00E93F58" w:rsidP="00366AB5">
      <w:pPr>
        <w:pStyle w:val="paragraph"/>
        <w:tabs>
          <w:tab w:val="left" w:pos="2835"/>
        </w:tabs>
      </w:pPr>
      <w:r w:rsidRPr="00A35C95">
        <w:tab/>
        <w:t>(a)</w:t>
      </w:r>
      <w:r w:rsidRPr="00A35C95">
        <w:tab/>
        <w:t>a general insurance product;</w:t>
      </w:r>
    </w:p>
    <w:p w14:paraId="7B75646A" w14:textId="77777777" w:rsidR="00E93F58" w:rsidRPr="00A35C95" w:rsidRDefault="00E93F58" w:rsidP="00366AB5">
      <w:pPr>
        <w:pStyle w:val="paragraph"/>
        <w:tabs>
          <w:tab w:val="left" w:pos="2835"/>
        </w:tabs>
      </w:pPr>
      <w:r w:rsidRPr="00A35C95">
        <w:tab/>
        <w:t>(b)</w:t>
      </w:r>
      <w:r w:rsidRPr="00A35C95">
        <w:tab/>
        <w:t>a basic deposit product;</w:t>
      </w:r>
    </w:p>
    <w:p w14:paraId="619A4399" w14:textId="77777777" w:rsidR="00E93F58" w:rsidRPr="00A35C95" w:rsidRDefault="00E93F58" w:rsidP="00366AB5">
      <w:pPr>
        <w:pStyle w:val="paragraph"/>
        <w:tabs>
          <w:tab w:val="left" w:pos="2835"/>
        </w:tabs>
      </w:pPr>
      <w:r w:rsidRPr="00A35C95">
        <w:tab/>
        <w:t>(c)</w:t>
      </w:r>
      <w:r w:rsidRPr="00A35C95">
        <w:tab/>
        <w:t>a facility for making non</w:t>
      </w:r>
      <w:r>
        <w:noBreakHyphen/>
      </w:r>
      <w:r w:rsidRPr="00A35C95">
        <w:t>cash payments that is related to a basic deposit product;</w:t>
      </w:r>
    </w:p>
    <w:p w14:paraId="76201F9E" w14:textId="77777777" w:rsidR="00E93F58" w:rsidRPr="00A35C95" w:rsidRDefault="00E93F58" w:rsidP="00366AB5">
      <w:pPr>
        <w:pStyle w:val="paragraph"/>
        <w:tabs>
          <w:tab w:val="left" w:pos="2835"/>
        </w:tabs>
      </w:pPr>
      <w:r w:rsidRPr="00A35C95">
        <w:tab/>
        <w:t>(d)</w:t>
      </w:r>
      <w:r w:rsidRPr="00A35C95">
        <w:tab/>
        <w:t>a consumer credit insurance product;</w:t>
      </w:r>
    </w:p>
    <w:p w14:paraId="4969E4D6" w14:textId="77777777" w:rsidR="00E93F58" w:rsidRPr="00A35C95" w:rsidRDefault="00E93F58" w:rsidP="00366AB5">
      <w:pPr>
        <w:pStyle w:val="paragraph"/>
        <w:tabs>
          <w:tab w:val="left" w:pos="2835"/>
        </w:tabs>
      </w:pPr>
      <w:r w:rsidRPr="00A35C95">
        <w:lastRenderedPageBreak/>
        <w:tab/>
        <w:t>(e)</w:t>
      </w:r>
      <w:r w:rsidRPr="00A35C95">
        <w:tab/>
        <w:t>a cash management trust interest.</w:t>
      </w:r>
    </w:p>
    <w:p w14:paraId="7E7CCA11" w14:textId="77777777" w:rsidR="00E93F58" w:rsidRPr="00A35C95" w:rsidRDefault="00E93F58" w:rsidP="00366AB5">
      <w:pPr>
        <w:pStyle w:val="ActHead5"/>
        <w:tabs>
          <w:tab w:val="left" w:pos="2835"/>
        </w:tabs>
      </w:pPr>
      <w:bookmarkStart w:id="993" w:name="_Toc152058069"/>
      <w:bookmarkStart w:id="994" w:name="_Toc158712292"/>
      <w:r w:rsidRPr="00844D11">
        <w:rPr>
          <w:rStyle w:val="CharSectno"/>
        </w:rPr>
        <w:t>7.6.05</w:t>
      </w:r>
      <w:r w:rsidRPr="00A35C95">
        <w:rPr>
          <w:sz w:val="16"/>
        </w:rPr>
        <w:t xml:space="preserve">  </w:t>
      </w:r>
      <w:r w:rsidRPr="00A35C95">
        <w:t>Register of financial services licensees and register of authorised representatives of financial services licensees</w:t>
      </w:r>
      <w:bookmarkEnd w:id="993"/>
      <w:bookmarkEnd w:id="994"/>
    </w:p>
    <w:p w14:paraId="1460F6B3" w14:textId="77777777" w:rsidR="00E93F58" w:rsidRPr="00A35C95" w:rsidRDefault="00E93F58" w:rsidP="00366AB5">
      <w:pPr>
        <w:pStyle w:val="subsection"/>
        <w:tabs>
          <w:tab w:val="left" w:pos="2835"/>
        </w:tabs>
      </w:pPr>
      <w:r w:rsidRPr="00A35C95">
        <w:tab/>
        <w:t>(1)</w:t>
      </w:r>
      <w:r w:rsidRPr="00A35C95">
        <w:tab/>
        <w:t>For subsection 922A(2) of the Act, ASIC must include the following details for each financial services licensee in the register of financial service licensees:</w:t>
      </w:r>
    </w:p>
    <w:p w14:paraId="66E4E2B4" w14:textId="77777777" w:rsidR="00E93F58" w:rsidRPr="00A35C95" w:rsidRDefault="00E93F58" w:rsidP="00366AB5">
      <w:pPr>
        <w:pStyle w:val="paragraph"/>
        <w:tabs>
          <w:tab w:val="left" w:pos="2835"/>
        </w:tabs>
      </w:pPr>
      <w:r w:rsidRPr="00A35C95">
        <w:rPr>
          <w:color w:val="000000"/>
        </w:rPr>
        <w:tab/>
        <w:t>(a)</w:t>
      </w:r>
      <w:r w:rsidRPr="00A35C95">
        <w:rPr>
          <w:color w:val="000000"/>
        </w:rPr>
        <w:tab/>
        <w:t>the financial services licensee’s name (including the financial services licensee’s principal business name, if any);</w:t>
      </w:r>
    </w:p>
    <w:p w14:paraId="75D9FDA3" w14:textId="77777777" w:rsidR="00E93F58" w:rsidRPr="00A35C95" w:rsidRDefault="00E93F58" w:rsidP="00366AB5">
      <w:pPr>
        <w:pStyle w:val="paragraph"/>
        <w:tabs>
          <w:tab w:val="left" w:pos="2835"/>
        </w:tabs>
      </w:pPr>
      <w:r w:rsidRPr="00A35C95">
        <w:tab/>
        <w:t>(b)</w:t>
      </w:r>
      <w:r w:rsidRPr="00A35C95">
        <w:tab/>
        <w:t>the principal business address of the financial services licensee;</w:t>
      </w:r>
    </w:p>
    <w:p w14:paraId="46E445C8" w14:textId="77777777" w:rsidR="00E93F58" w:rsidRPr="00A35C95" w:rsidRDefault="00E93F58" w:rsidP="00366AB5">
      <w:pPr>
        <w:pStyle w:val="paragraph"/>
        <w:tabs>
          <w:tab w:val="left" w:pos="2835"/>
        </w:tabs>
      </w:pPr>
      <w:r w:rsidRPr="00A35C95">
        <w:tab/>
        <w:t>(c)</w:t>
      </w:r>
      <w:r w:rsidRPr="00A35C95">
        <w:tab/>
        <w:t>the date on which the financial services licensee’s licence was granted;</w:t>
      </w:r>
    </w:p>
    <w:p w14:paraId="3E55F554" w14:textId="77777777" w:rsidR="00E93F58" w:rsidRPr="00A35C95" w:rsidRDefault="00E93F58" w:rsidP="00366AB5">
      <w:pPr>
        <w:pStyle w:val="paragraph"/>
        <w:tabs>
          <w:tab w:val="left" w:pos="2835"/>
        </w:tabs>
      </w:pPr>
      <w:r w:rsidRPr="00A35C95">
        <w:tab/>
        <w:t>(d)</w:t>
      </w:r>
      <w:r w:rsidRPr="00A35C95">
        <w:tab/>
        <w:t>the number of the financial services licence of the financial services licensee;</w:t>
      </w:r>
    </w:p>
    <w:p w14:paraId="02B17208" w14:textId="77777777" w:rsidR="00E93F58" w:rsidRPr="00A35C95" w:rsidRDefault="00E93F58" w:rsidP="00366AB5">
      <w:pPr>
        <w:pStyle w:val="paragraph"/>
        <w:tabs>
          <w:tab w:val="left" w:pos="2835"/>
        </w:tabs>
      </w:pPr>
      <w:r w:rsidRPr="00A35C95">
        <w:tab/>
        <w:t>(e)</w:t>
      </w:r>
      <w:r w:rsidRPr="00A35C95">
        <w:tab/>
        <w:t>if the financial services licensee has an ABN—the ABN;</w:t>
      </w:r>
    </w:p>
    <w:p w14:paraId="6C706090" w14:textId="77777777" w:rsidR="00E93F58" w:rsidRPr="00A35C95" w:rsidRDefault="00E93F58" w:rsidP="00366AB5">
      <w:pPr>
        <w:pStyle w:val="paragraph"/>
        <w:tabs>
          <w:tab w:val="left" w:pos="2835"/>
        </w:tabs>
      </w:pPr>
      <w:r w:rsidRPr="00A35C95">
        <w:tab/>
        <w:t>(f)</w:t>
      </w:r>
      <w:r w:rsidRPr="00A35C95">
        <w:tab/>
        <w:t>details of any conditions on the financial services licensee’s licence, including details of the financial service, or class of financial services, that the financial services licensee is authorised to provide;</w:t>
      </w:r>
    </w:p>
    <w:p w14:paraId="2E357558" w14:textId="77777777" w:rsidR="00E93F58" w:rsidRPr="00A35C95" w:rsidRDefault="00E93F58" w:rsidP="00366AB5">
      <w:pPr>
        <w:pStyle w:val="paragraph"/>
        <w:tabs>
          <w:tab w:val="left" w:pos="2835"/>
        </w:tabs>
      </w:pPr>
      <w:r w:rsidRPr="00A35C95">
        <w:tab/>
        <w:t>(g)</w:t>
      </w:r>
      <w:r w:rsidRPr="00A35C95">
        <w:tab/>
        <w:t>any other information that ASIC believes should be included in the register.</w:t>
      </w:r>
    </w:p>
    <w:p w14:paraId="53E37348" w14:textId="77777777" w:rsidR="00E93F58" w:rsidRPr="00A35C95" w:rsidRDefault="00E93F58" w:rsidP="00366AB5">
      <w:pPr>
        <w:pStyle w:val="subsection"/>
        <w:tabs>
          <w:tab w:val="left" w:pos="2835"/>
        </w:tabs>
      </w:pPr>
      <w:r w:rsidRPr="00A35C95">
        <w:tab/>
        <w:t>(2)</w:t>
      </w:r>
      <w:r w:rsidRPr="00A35C95">
        <w:tab/>
        <w:t>For subsection 922A(2) of the Act, ASIC must include the following details for each authorised representative of a financial services licensee in the register of authorised representatives of financial services licensees:</w:t>
      </w:r>
    </w:p>
    <w:p w14:paraId="57CA617A" w14:textId="77777777" w:rsidR="00E93F58" w:rsidRPr="00A35C95" w:rsidRDefault="00E93F58" w:rsidP="00366AB5">
      <w:pPr>
        <w:pStyle w:val="paragraph"/>
        <w:tabs>
          <w:tab w:val="left" w:pos="2835"/>
        </w:tabs>
      </w:pPr>
      <w:r w:rsidRPr="00A35C95">
        <w:rPr>
          <w:color w:val="000000"/>
        </w:rPr>
        <w:tab/>
        <w:t>(a)</w:t>
      </w:r>
      <w:r w:rsidRPr="00A35C95">
        <w:rPr>
          <w:color w:val="000000"/>
        </w:rPr>
        <w:tab/>
        <w:t>the authorised representative’s name (including the authorised representative’s principal business name, if any);</w:t>
      </w:r>
    </w:p>
    <w:p w14:paraId="0A0A7ABD" w14:textId="77777777" w:rsidR="00E93F58" w:rsidRPr="00A35C95" w:rsidRDefault="00E93F58" w:rsidP="00366AB5">
      <w:pPr>
        <w:pStyle w:val="paragraph"/>
        <w:tabs>
          <w:tab w:val="left" w:pos="2835"/>
        </w:tabs>
      </w:pPr>
      <w:r w:rsidRPr="00A35C95">
        <w:tab/>
        <w:t>(b)</w:t>
      </w:r>
      <w:r w:rsidRPr="00A35C95">
        <w:tab/>
        <w:t>the authorised representative’s principal business address;</w:t>
      </w:r>
    </w:p>
    <w:p w14:paraId="4F1349F9" w14:textId="77777777" w:rsidR="00E93F58" w:rsidRPr="00A35C95" w:rsidRDefault="00E93F58" w:rsidP="00366AB5">
      <w:pPr>
        <w:pStyle w:val="paragraph"/>
        <w:tabs>
          <w:tab w:val="left" w:pos="2835"/>
        </w:tabs>
      </w:pPr>
      <w:r w:rsidRPr="00A35C95">
        <w:tab/>
        <w:t>(c)</w:t>
      </w:r>
      <w:r w:rsidRPr="00A35C95">
        <w:tab/>
        <w:t>if the authorised representative is a body corporate—the name of each director and secretary;</w:t>
      </w:r>
    </w:p>
    <w:p w14:paraId="3209C0D5" w14:textId="77777777" w:rsidR="00E93F58" w:rsidRPr="00A35C95" w:rsidRDefault="00E93F58" w:rsidP="00366AB5">
      <w:pPr>
        <w:pStyle w:val="paragraph"/>
        <w:tabs>
          <w:tab w:val="left" w:pos="2835"/>
        </w:tabs>
      </w:pPr>
      <w:r w:rsidRPr="00A35C95">
        <w:tab/>
        <w:t>(d)</w:t>
      </w:r>
      <w:r w:rsidRPr="00A35C95">
        <w:tab/>
        <w:t>the number allocated to the authorised representative by ASIC;</w:t>
      </w:r>
    </w:p>
    <w:p w14:paraId="3B376A05" w14:textId="77777777" w:rsidR="00E93F58" w:rsidRPr="00A35C95" w:rsidRDefault="00E93F58" w:rsidP="00366AB5">
      <w:pPr>
        <w:pStyle w:val="paragraph"/>
        <w:tabs>
          <w:tab w:val="left" w:pos="2835"/>
        </w:tabs>
      </w:pPr>
      <w:r w:rsidRPr="00A35C95">
        <w:tab/>
        <w:t>(e)</w:t>
      </w:r>
      <w:r w:rsidRPr="00A35C95">
        <w:tab/>
        <w:t>the name of each financial services licensee for which the authorised representative is an authorised representative;</w:t>
      </w:r>
    </w:p>
    <w:p w14:paraId="57EB15F6" w14:textId="77777777" w:rsidR="00E93F58" w:rsidRPr="00A35C95" w:rsidRDefault="00E93F58" w:rsidP="00366AB5">
      <w:pPr>
        <w:pStyle w:val="paragraph"/>
        <w:tabs>
          <w:tab w:val="left" w:pos="2835"/>
        </w:tabs>
      </w:pPr>
      <w:r w:rsidRPr="00A35C95">
        <w:tab/>
        <w:t>(f)</w:t>
      </w:r>
      <w:r w:rsidRPr="00A35C95">
        <w:tab/>
        <w:t>the number of the financial services licence of each financial services licensee for which the authorised representative is an authorised representative;</w:t>
      </w:r>
    </w:p>
    <w:p w14:paraId="70B65787" w14:textId="77777777" w:rsidR="00E93F58" w:rsidRPr="00A35C95" w:rsidRDefault="00E93F58" w:rsidP="00366AB5">
      <w:pPr>
        <w:pStyle w:val="paragraph"/>
        <w:tabs>
          <w:tab w:val="left" w:pos="2835"/>
        </w:tabs>
      </w:pPr>
      <w:r w:rsidRPr="00A35C95">
        <w:tab/>
        <w:t>(g)</w:t>
      </w:r>
      <w:r w:rsidRPr="00A35C95">
        <w:tab/>
        <w:t>if the authorised representative has an ABN—the ABN;</w:t>
      </w:r>
    </w:p>
    <w:p w14:paraId="1E48DC18" w14:textId="77777777" w:rsidR="00E93F58" w:rsidRPr="00A35C95" w:rsidRDefault="00E93F58" w:rsidP="00366AB5">
      <w:pPr>
        <w:pStyle w:val="paragraph"/>
        <w:tabs>
          <w:tab w:val="left" w:pos="2835"/>
        </w:tabs>
      </w:pPr>
      <w:r w:rsidRPr="00A35C95">
        <w:tab/>
        <w:t>(h)</w:t>
      </w:r>
      <w:r w:rsidRPr="00A35C95">
        <w:tab/>
        <w:t>the date of the authorised person’s authorisation, and any other information about the authorisation that ASIC believes should be included in the register;</w:t>
      </w:r>
    </w:p>
    <w:p w14:paraId="6C30368B" w14:textId="77777777" w:rsidR="00E93F58" w:rsidRPr="00A35C95" w:rsidRDefault="00E93F58" w:rsidP="00366AB5">
      <w:pPr>
        <w:pStyle w:val="paragraph"/>
        <w:tabs>
          <w:tab w:val="left" w:pos="2835"/>
        </w:tabs>
      </w:pPr>
      <w:r w:rsidRPr="00A35C95">
        <w:tab/>
        <w:t>(i)</w:t>
      </w:r>
      <w:r w:rsidRPr="00A35C95">
        <w:tab/>
        <w:t>any other information that ASIC believes should be included in the register.</w:t>
      </w:r>
    </w:p>
    <w:p w14:paraId="10A96AAF" w14:textId="77777777" w:rsidR="00E93F58" w:rsidRPr="00A35C95" w:rsidRDefault="00E93F58" w:rsidP="00366AB5">
      <w:pPr>
        <w:pStyle w:val="ActHead5"/>
        <w:tabs>
          <w:tab w:val="left" w:pos="2835"/>
        </w:tabs>
      </w:pPr>
      <w:bookmarkStart w:id="995" w:name="_Toc152058070"/>
      <w:bookmarkStart w:id="996" w:name="_Toc158712293"/>
      <w:r w:rsidRPr="00844D11">
        <w:rPr>
          <w:rStyle w:val="CharSectno"/>
        </w:rPr>
        <w:t>7.6.06</w:t>
      </w:r>
      <w:r w:rsidRPr="00A35C95">
        <w:rPr>
          <w:sz w:val="16"/>
        </w:rPr>
        <w:t xml:space="preserve">  </w:t>
      </w:r>
      <w:r w:rsidRPr="00A35C95">
        <w:t>ASIC register relating to persons against whom banning order or disqualification order is made</w:t>
      </w:r>
      <w:bookmarkEnd w:id="995"/>
      <w:bookmarkEnd w:id="996"/>
    </w:p>
    <w:p w14:paraId="4E6E7C89" w14:textId="77777777" w:rsidR="00E93F58" w:rsidRPr="00A35C95" w:rsidRDefault="00E93F58" w:rsidP="00366AB5">
      <w:pPr>
        <w:pStyle w:val="subsection"/>
        <w:tabs>
          <w:tab w:val="left" w:pos="2835"/>
        </w:tabs>
      </w:pPr>
      <w:r w:rsidRPr="00A35C95">
        <w:tab/>
        <w:t>(1)</w:t>
      </w:r>
      <w:r w:rsidRPr="00A35C95">
        <w:tab/>
        <w:t>For subsection 922A(2) of the Act, ASIC must include the following details for each person against whom a banning order is made in the register of persons against whom a banning order under Division 8 of Part 7.6 of the Act is made:</w:t>
      </w:r>
    </w:p>
    <w:p w14:paraId="7FAC801D"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w:t>
      </w:r>
    </w:p>
    <w:p w14:paraId="17BBCB67" w14:textId="77777777" w:rsidR="00E93F58" w:rsidRPr="00A35C95" w:rsidRDefault="00E93F58" w:rsidP="00366AB5">
      <w:pPr>
        <w:pStyle w:val="paragraph"/>
        <w:tabs>
          <w:tab w:val="left" w:pos="2835"/>
        </w:tabs>
      </w:pPr>
      <w:r w:rsidRPr="00A35C95">
        <w:tab/>
        <w:t>(b)</w:t>
      </w:r>
      <w:r w:rsidRPr="00A35C95">
        <w:tab/>
        <w:t>the day on which the banning order took effect;</w:t>
      </w:r>
    </w:p>
    <w:p w14:paraId="1A76F36E" w14:textId="77777777" w:rsidR="00E93F58" w:rsidRPr="00A35C95" w:rsidRDefault="00E93F58" w:rsidP="00366AB5">
      <w:pPr>
        <w:pStyle w:val="paragraph"/>
        <w:tabs>
          <w:tab w:val="left" w:pos="2835"/>
        </w:tabs>
      </w:pPr>
      <w:r w:rsidRPr="00A35C95">
        <w:tab/>
        <w:t>(c)</w:t>
      </w:r>
      <w:r w:rsidRPr="00A35C95">
        <w:tab/>
        <w:t>whether the banning order is permanent or for a fixed period;</w:t>
      </w:r>
    </w:p>
    <w:p w14:paraId="60658199" w14:textId="77777777" w:rsidR="00E93F58" w:rsidRPr="00A35C95" w:rsidRDefault="00E93F58" w:rsidP="00366AB5">
      <w:pPr>
        <w:pStyle w:val="paragraph"/>
        <w:tabs>
          <w:tab w:val="left" w:pos="2835"/>
        </w:tabs>
      </w:pPr>
      <w:r w:rsidRPr="00A35C95">
        <w:tab/>
        <w:t>(d)</w:t>
      </w:r>
      <w:r w:rsidRPr="00A35C95">
        <w:tab/>
        <w:t>if the banning order is for a fixed period—the period;</w:t>
      </w:r>
    </w:p>
    <w:p w14:paraId="3129C517" w14:textId="77777777" w:rsidR="00E93F58" w:rsidRPr="00A35C95" w:rsidRDefault="00E93F58" w:rsidP="00366AB5">
      <w:pPr>
        <w:pStyle w:val="paragraph"/>
        <w:tabs>
          <w:tab w:val="left" w:pos="2835"/>
        </w:tabs>
      </w:pPr>
      <w:r w:rsidRPr="00A35C95">
        <w:tab/>
        <w:t>(e)</w:t>
      </w:r>
      <w:r w:rsidRPr="00A35C95">
        <w:tab/>
        <w:t>the terms of the banning order;</w:t>
      </w:r>
    </w:p>
    <w:p w14:paraId="2A7ADC86" w14:textId="77777777" w:rsidR="00E93F58" w:rsidRPr="00A35C95" w:rsidRDefault="00E93F58" w:rsidP="00366AB5">
      <w:pPr>
        <w:pStyle w:val="paragraph"/>
        <w:tabs>
          <w:tab w:val="left" w:pos="2835"/>
        </w:tabs>
      </w:pPr>
      <w:r w:rsidRPr="00A35C95">
        <w:tab/>
        <w:t>(f)</w:t>
      </w:r>
      <w:r w:rsidRPr="00A35C95">
        <w:tab/>
        <w:t>whether the banning order has been varied or cancelled;</w:t>
      </w:r>
    </w:p>
    <w:p w14:paraId="466ABA00" w14:textId="77777777" w:rsidR="00E93F58" w:rsidRPr="00A35C95" w:rsidRDefault="00E93F58" w:rsidP="00366AB5">
      <w:pPr>
        <w:pStyle w:val="paragraph"/>
        <w:tabs>
          <w:tab w:val="left" w:pos="2835"/>
        </w:tabs>
      </w:pPr>
      <w:r w:rsidRPr="00A35C95">
        <w:tab/>
        <w:t>(g)</w:t>
      </w:r>
      <w:r w:rsidRPr="00A35C95">
        <w:tab/>
        <w:t>if the banning order has been varied:</w:t>
      </w:r>
    </w:p>
    <w:p w14:paraId="076E6A1F" w14:textId="77777777" w:rsidR="00E93F58" w:rsidRPr="00A35C95" w:rsidRDefault="00E93F58" w:rsidP="00366AB5">
      <w:pPr>
        <w:pStyle w:val="paragraphsub"/>
        <w:tabs>
          <w:tab w:val="left" w:pos="2835"/>
        </w:tabs>
      </w:pPr>
      <w:r w:rsidRPr="00A35C95">
        <w:rPr>
          <w:color w:val="000000"/>
        </w:rPr>
        <w:tab/>
        <w:t>(i)</w:t>
      </w:r>
      <w:r w:rsidRPr="00A35C95">
        <w:rPr>
          <w:color w:val="000000"/>
        </w:rPr>
        <w:tab/>
        <w:t>the date of the variation; and</w:t>
      </w:r>
    </w:p>
    <w:p w14:paraId="31E9CBC1" w14:textId="77777777" w:rsidR="00E93F58" w:rsidRPr="00A35C95" w:rsidRDefault="00E93F58" w:rsidP="00366AB5">
      <w:pPr>
        <w:pStyle w:val="paragraphsub"/>
        <w:tabs>
          <w:tab w:val="left" w:pos="2835"/>
        </w:tabs>
      </w:pPr>
      <w:r w:rsidRPr="00A35C95">
        <w:tab/>
        <w:t>(ii)</w:t>
      </w:r>
      <w:r w:rsidRPr="00A35C95">
        <w:tab/>
        <w:t>the terms of the variation;</w:t>
      </w:r>
    </w:p>
    <w:p w14:paraId="713A7032" w14:textId="77777777" w:rsidR="00E93F58" w:rsidRPr="00A35C95" w:rsidRDefault="00E93F58" w:rsidP="00366AB5">
      <w:pPr>
        <w:pStyle w:val="paragraph"/>
        <w:tabs>
          <w:tab w:val="left" w:pos="2835"/>
        </w:tabs>
      </w:pPr>
      <w:r w:rsidRPr="00A35C95">
        <w:rPr>
          <w:color w:val="000000"/>
        </w:rPr>
        <w:tab/>
        <w:t>(h)</w:t>
      </w:r>
      <w:r w:rsidRPr="00A35C95">
        <w:rPr>
          <w:color w:val="000000"/>
        </w:rPr>
        <w:tab/>
        <w:t>if the banning order has been cancelled—the date of the cancellation;</w:t>
      </w:r>
    </w:p>
    <w:p w14:paraId="69EF1A22" w14:textId="77777777" w:rsidR="00E93F58" w:rsidRPr="00A35C95" w:rsidRDefault="00E93F58" w:rsidP="00366AB5">
      <w:pPr>
        <w:pStyle w:val="paragraph"/>
        <w:tabs>
          <w:tab w:val="left" w:pos="2835"/>
        </w:tabs>
      </w:pPr>
      <w:r w:rsidRPr="00A35C95">
        <w:tab/>
        <w:t>(i)</w:t>
      </w:r>
      <w:r w:rsidRPr="00A35C95">
        <w:tab/>
        <w:t>any other information that ASIC believes should be included in the register.</w:t>
      </w:r>
    </w:p>
    <w:p w14:paraId="14CA80D1" w14:textId="77777777" w:rsidR="00E93F58" w:rsidRPr="00A35C95" w:rsidRDefault="00E93F58" w:rsidP="00366AB5">
      <w:pPr>
        <w:pStyle w:val="subsection"/>
        <w:tabs>
          <w:tab w:val="left" w:pos="2835"/>
        </w:tabs>
      </w:pPr>
      <w:r w:rsidRPr="00A35C95">
        <w:tab/>
        <w:t>(2)</w:t>
      </w:r>
      <w:r w:rsidRPr="00A35C95">
        <w:tab/>
        <w:t>For subsection 922A(2) of the Act, ASIC must include the following details for each person against whom a disqualification order is made in the register of persons against whom a disqualification order under Division 8 of Part 7.6 of the Act is made:</w:t>
      </w:r>
    </w:p>
    <w:p w14:paraId="37BC8C12" w14:textId="77777777" w:rsidR="00E93F58" w:rsidRPr="00A35C95" w:rsidRDefault="00E93F58" w:rsidP="00366AB5">
      <w:pPr>
        <w:pStyle w:val="paragraph"/>
        <w:tabs>
          <w:tab w:val="left" w:pos="2835"/>
        </w:tabs>
      </w:pPr>
      <w:r w:rsidRPr="00A35C95">
        <w:rPr>
          <w:color w:val="000000"/>
        </w:rPr>
        <w:tab/>
        <w:t>(a)</w:t>
      </w:r>
      <w:r w:rsidRPr="00A35C95">
        <w:rPr>
          <w:color w:val="000000"/>
        </w:rPr>
        <w:tab/>
        <w:t>the person’s name;</w:t>
      </w:r>
    </w:p>
    <w:p w14:paraId="57566694" w14:textId="77777777" w:rsidR="00E93F58" w:rsidRPr="00A35C95" w:rsidRDefault="00E93F58" w:rsidP="00366AB5">
      <w:pPr>
        <w:pStyle w:val="paragraph"/>
        <w:tabs>
          <w:tab w:val="left" w:pos="2835"/>
        </w:tabs>
      </w:pPr>
      <w:r w:rsidRPr="00A35C95">
        <w:tab/>
        <w:t>(b)</w:t>
      </w:r>
      <w:r w:rsidRPr="00A35C95">
        <w:tab/>
        <w:t>the day on which the disqualification order took effect;</w:t>
      </w:r>
    </w:p>
    <w:p w14:paraId="28AA2604" w14:textId="77777777" w:rsidR="00E93F58" w:rsidRPr="00A35C95" w:rsidRDefault="00E93F58" w:rsidP="00366AB5">
      <w:pPr>
        <w:pStyle w:val="paragraph"/>
        <w:tabs>
          <w:tab w:val="left" w:pos="2835"/>
        </w:tabs>
      </w:pPr>
      <w:r w:rsidRPr="00A35C95">
        <w:tab/>
        <w:t>(c)</w:t>
      </w:r>
      <w:r w:rsidRPr="00A35C95">
        <w:tab/>
        <w:t>whether the disqualification order is permanent or for a fixed period;</w:t>
      </w:r>
    </w:p>
    <w:p w14:paraId="228130A9" w14:textId="77777777" w:rsidR="00E93F58" w:rsidRPr="00A35C95" w:rsidRDefault="00E93F58" w:rsidP="00366AB5">
      <w:pPr>
        <w:pStyle w:val="paragraph"/>
        <w:tabs>
          <w:tab w:val="left" w:pos="2835"/>
        </w:tabs>
      </w:pPr>
      <w:r w:rsidRPr="00A35C95">
        <w:lastRenderedPageBreak/>
        <w:tab/>
        <w:t>(d)</w:t>
      </w:r>
      <w:r w:rsidRPr="00A35C95">
        <w:tab/>
        <w:t>if the disqualification order is for a fixed period—the period;</w:t>
      </w:r>
    </w:p>
    <w:p w14:paraId="513488A1" w14:textId="77777777" w:rsidR="00E93F58" w:rsidRPr="00A35C95" w:rsidRDefault="00E93F58" w:rsidP="00366AB5">
      <w:pPr>
        <w:pStyle w:val="paragraph"/>
        <w:tabs>
          <w:tab w:val="left" w:pos="2835"/>
        </w:tabs>
      </w:pPr>
      <w:r w:rsidRPr="00A35C95">
        <w:tab/>
        <w:t>(e)</w:t>
      </w:r>
      <w:r w:rsidRPr="00A35C95">
        <w:tab/>
        <w:t>the terms of the disqualification order;</w:t>
      </w:r>
    </w:p>
    <w:p w14:paraId="676A5C08" w14:textId="77777777" w:rsidR="00E93F58" w:rsidRPr="00A35C95" w:rsidRDefault="00E93F58" w:rsidP="00366AB5">
      <w:pPr>
        <w:pStyle w:val="paragraph"/>
        <w:tabs>
          <w:tab w:val="left" w:pos="2835"/>
        </w:tabs>
      </w:pPr>
      <w:r w:rsidRPr="00A35C95">
        <w:tab/>
        <w:t>(f)</w:t>
      </w:r>
      <w:r w:rsidRPr="00A35C95">
        <w:tab/>
        <w:t>whether the disqualification order has been varied or revoked;</w:t>
      </w:r>
    </w:p>
    <w:p w14:paraId="76598D0C" w14:textId="77777777" w:rsidR="00E93F58" w:rsidRPr="00A35C95" w:rsidRDefault="00E93F58" w:rsidP="00366AB5">
      <w:pPr>
        <w:pStyle w:val="paragraph"/>
        <w:tabs>
          <w:tab w:val="left" w:pos="2835"/>
        </w:tabs>
      </w:pPr>
      <w:r w:rsidRPr="00A35C95">
        <w:tab/>
        <w:t>(g)</w:t>
      </w:r>
      <w:r w:rsidRPr="00A35C95">
        <w:tab/>
        <w:t>if the disqualification order has been varied:</w:t>
      </w:r>
    </w:p>
    <w:p w14:paraId="64850602" w14:textId="77777777" w:rsidR="00E93F58" w:rsidRPr="00A35C95" w:rsidRDefault="00E93F58" w:rsidP="00366AB5">
      <w:pPr>
        <w:pStyle w:val="paragraphsub"/>
        <w:tabs>
          <w:tab w:val="left" w:pos="2835"/>
        </w:tabs>
      </w:pPr>
      <w:r w:rsidRPr="00A35C95">
        <w:rPr>
          <w:color w:val="000000"/>
        </w:rPr>
        <w:tab/>
        <w:t>(i)</w:t>
      </w:r>
      <w:r w:rsidRPr="00A35C95">
        <w:rPr>
          <w:color w:val="000000"/>
        </w:rPr>
        <w:tab/>
        <w:t>the date of the variation; and</w:t>
      </w:r>
    </w:p>
    <w:p w14:paraId="5E447648" w14:textId="77777777" w:rsidR="00E93F58" w:rsidRPr="00A35C95" w:rsidRDefault="00E93F58" w:rsidP="00366AB5">
      <w:pPr>
        <w:pStyle w:val="paragraphsub"/>
        <w:tabs>
          <w:tab w:val="left" w:pos="2835"/>
        </w:tabs>
      </w:pPr>
      <w:r w:rsidRPr="00A35C95">
        <w:tab/>
        <w:t>(ii)</w:t>
      </w:r>
      <w:r w:rsidRPr="00A35C95">
        <w:tab/>
        <w:t>the terms of the variation;</w:t>
      </w:r>
    </w:p>
    <w:p w14:paraId="037A9628" w14:textId="77777777" w:rsidR="00E93F58" w:rsidRPr="00A35C95" w:rsidRDefault="00E93F58" w:rsidP="00366AB5">
      <w:pPr>
        <w:pStyle w:val="paragraph"/>
        <w:tabs>
          <w:tab w:val="left" w:pos="2835"/>
        </w:tabs>
      </w:pPr>
      <w:r w:rsidRPr="00A35C95">
        <w:rPr>
          <w:color w:val="000000"/>
        </w:rPr>
        <w:tab/>
        <w:t>(h)</w:t>
      </w:r>
      <w:r w:rsidRPr="00A35C95">
        <w:rPr>
          <w:color w:val="000000"/>
        </w:rPr>
        <w:tab/>
        <w:t>if the disqualification order has been revoked—the date of the revocation;</w:t>
      </w:r>
    </w:p>
    <w:p w14:paraId="10DF2286" w14:textId="77777777" w:rsidR="00E93F58" w:rsidRPr="00A35C95" w:rsidRDefault="00E93F58" w:rsidP="00366AB5">
      <w:pPr>
        <w:pStyle w:val="paragraph"/>
        <w:tabs>
          <w:tab w:val="left" w:pos="2835"/>
        </w:tabs>
      </w:pPr>
      <w:r w:rsidRPr="00A35C95">
        <w:tab/>
        <w:t>(i)</w:t>
      </w:r>
      <w:r w:rsidRPr="00A35C95">
        <w:tab/>
        <w:t>any other information that ASIC believes should be included in the register.</w:t>
      </w:r>
    </w:p>
    <w:p w14:paraId="5B3C25AD" w14:textId="77777777" w:rsidR="00E93F58" w:rsidRPr="00A35C95" w:rsidRDefault="00E93F58" w:rsidP="00366AB5">
      <w:pPr>
        <w:pStyle w:val="ActHead5"/>
        <w:tabs>
          <w:tab w:val="left" w:pos="2835"/>
        </w:tabs>
      </w:pPr>
      <w:bookmarkStart w:id="997" w:name="_Toc152058071"/>
      <w:bookmarkStart w:id="998" w:name="_Toc158712294"/>
      <w:r w:rsidRPr="00844D11">
        <w:rPr>
          <w:rStyle w:val="CharSectno"/>
        </w:rPr>
        <w:t>7.6.06C</w:t>
      </w:r>
      <w:r w:rsidRPr="00A35C95">
        <w:t xml:space="preserve">  Correcting registers</w:t>
      </w:r>
      <w:bookmarkEnd w:id="997"/>
      <w:bookmarkEnd w:id="998"/>
    </w:p>
    <w:p w14:paraId="2D7E4420" w14:textId="77777777" w:rsidR="00E93F58" w:rsidRPr="00A35C95" w:rsidRDefault="00E93F58" w:rsidP="00366AB5">
      <w:pPr>
        <w:pStyle w:val="subsection"/>
        <w:tabs>
          <w:tab w:val="left" w:pos="2835"/>
        </w:tabs>
      </w:pPr>
      <w:r w:rsidRPr="00A35C95">
        <w:tab/>
      </w:r>
      <w:r w:rsidRPr="00A35C95">
        <w:tab/>
        <w:t>ASIC may correct any error in or omission from a register maintained under regulation 7.6.05 or 7.6.06.</w:t>
      </w:r>
    </w:p>
    <w:p w14:paraId="60085724" w14:textId="77777777" w:rsidR="00E93F58" w:rsidRPr="00A35C95" w:rsidRDefault="00E93F58" w:rsidP="00366AB5">
      <w:pPr>
        <w:pStyle w:val="notetext"/>
        <w:tabs>
          <w:tab w:val="left" w:pos="2835"/>
        </w:tabs>
      </w:pPr>
      <w:r w:rsidRPr="00A35C95">
        <w:t>Note:</w:t>
      </w:r>
      <w:r w:rsidRPr="00A35C95">
        <w:tab/>
        <w:t xml:space="preserve">Australian Privacy Principle 13 applies to ASIC and requires it to take reasonable steps to correct personal information that is wrong or misleading so that the information is accurate, up to date, complete, relevant and not misleading (see Schedule 1 to the </w:t>
      </w:r>
      <w:r w:rsidRPr="00A35C95">
        <w:rPr>
          <w:i/>
        </w:rPr>
        <w:t>Privacy Act 1988</w:t>
      </w:r>
      <w:r w:rsidRPr="00A35C95">
        <w:t>).</w:t>
      </w:r>
    </w:p>
    <w:p w14:paraId="3B03DFE9" w14:textId="77777777" w:rsidR="00E93F58" w:rsidRPr="00A35C95" w:rsidRDefault="00E93F58" w:rsidP="00366AB5">
      <w:pPr>
        <w:pStyle w:val="ActHead5"/>
        <w:tabs>
          <w:tab w:val="left" w:pos="2835"/>
        </w:tabs>
      </w:pPr>
      <w:bookmarkStart w:id="999" w:name="_Toc152058072"/>
      <w:bookmarkStart w:id="1000" w:name="_Hlk95380594"/>
      <w:bookmarkStart w:id="1001" w:name="_Toc158712295"/>
      <w:r w:rsidRPr="00844D11">
        <w:rPr>
          <w:rStyle w:val="CharSectno"/>
        </w:rPr>
        <w:t>7.6.06D</w:t>
      </w:r>
      <w:r w:rsidRPr="00A35C95">
        <w:t xml:space="preserve">  Register of Relevant Providers—prescribed instruments</w:t>
      </w:r>
      <w:bookmarkEnd w:id="999"/>
      <w:bookmarkEnd w:id="1001"/>
    </w:p>
    <w:p w14:paraId="1EB1D3B3" w14:textId="77777777" w:rsidR="00E93F58" w:rsidRPr="00A35C95" w:rsidRDefault="00E93F58" w:rsidP="00366AB5">
      <w:pPr>
        <w:pStyle w:val="subsection"/>
        <w:tabs>
          <w:tab w:val="left" w:pos="2835"/>
        </w:tabs>
      </w:pPr>
      <w:r w:rsidRPr="00A35C95">
        <w:tab/>
        <w:t>(1)</w:t>
      </w:r>
      <w:r w:rsidRPr="00A35C95">
        <w:tab/>
        <w:t>For the purposes of subsection 922Q(3) of the Act, the following kinds of instrument made under subsection 921K(1) of the Act are prescribed:</w:t>
      </w:r>
    </w:p>
    <w:p w14:paraId="27133CA4" w14:textId="77777777" w:rsidR="00E93F58" w:rsidRPr="00A35C95" w:rsidRDefault="00E93F58" w:rsidP="00366AB5">
      <w:pPr>
        <w:pStyle w:val="paragraph"/>
        <w:tabs>
          <w:tab w:val="left" w:pos="2835"/>
        </w:tabs>
      </w:pPr>
      <w:r w:rsidRPr="00A35C95">
        <w:tab/>
        <w:t>(a)</w:t>
      </w:r>
      <w:r w:rsidRPr="00A35C95">
        <w:tab/>
        <w:t>a direction (other than a direction covered by subregulation (2)) that a relevant provider:</w:t>
      </w:r>
    </w:p>
    <w:p w14:paraId="280A256A" w14:textId="77777777" w:rsidR="00E93F58" w:rsidRPr="00A35C95" w:rsidRDefault="00E93F58" w:rsidP="00366AB5">
      <w:pPr>
        <w:pStyle w:val="paragraphsub"/>
        <w:tabs>
          <w:tab w:val="left" w:pos="2835"/>
        </w:tabs>
      </w:pPr>
      <w:r w:rsidRPr="00A35C95">
        <w:tab/>
        <w:t>(i)</w:t>
      </w:r>
      <w:r w:rsidRPr="00A35C95">
        <w:tab/>
        <w:t>undertake specified training; or</w:t>
      </w:r>
    </w:p>
    <w:p w14:paraId="284A1213" w14:textId="77777777" w:rsidR="00E93F58" w:rsidRPr="00A35C95" w:rsidRDefault="00E93F58" w:rsidP="00366AB5">
      <w:pPr>
        <w:pStyle w:val="paragraphsub"/>
        <w:tabs>
          <w:tab w:val="left" w:pos="2835"/>
        </w:tabs>
      </w:pPr>
      <w:r w:rsidRPr="00A35C95">
        <w:tab/>
        <w:t>(ii)</w:t>
      </w:r>
      <w:r w:rsidRPr="00A35C95">
        <w:tab/>
        <w:t>receive specified counselling; or</w:t>
      </w:r>
    </w:p>
    <w:p w14:paraId="3CA43014" w14:textId="77777777" w:rsidR="00E93F58" w:rsidRPr="00A35C95" w:rsidRDefault="00E93F58" w:rsidP="00366AB5">
      <w:pPr>
        <w:pStyle w:val="paragraphsub"/>
        <w:tabs>
          <w:tab w:val="left" w:pos="2835"/>
        </w:tabs>
      </w:pPr>
      <w:r w:rsidRPr="00A35C95">
        <w:tab/>
        <w:t>(iii)</w:t>
      </w:r>
      <w:r w:rsidRPr="00A35C95">
        <w:tab/>
        <w:t>receive specified supervision; or</w:t>
      </w:r>
    </w:p>
    <w:p w14:paraId="01D54C8E" w14:textId="77777777" w:rsidR="00E93F58" w:rsidRPr="00A35C95" w:rsidRDefault="00E93F58" w:rsidP="00366AB5">
      <w:pPr>
        <w:pStyle w:val="paragraphsub"/>
        <w:tabs>
          <w:tab w:val="left" w:pos="2835"/>
        </w:tabs>
      </w:pPr>
      <w:r w:rsidRPr="00A35C95">
        <w:tab/>
        <w:t>(iv)</w:t>
      </w:r>
      <w:r w:rsidRPr="00A35C95">
        <w:tab/>
        <w:t>report specified matters to ASIC;</w:t>
      </w:r>
    </w:p>
    <w:p w14:paraId="6EE69C87" w14:textId="77777777" w:rsidR="00E93F58" w:rsidRPr="00A35C95" w:rsidRDefault="00E93F58" w:rsidP="00366AB5">
      <w:pPr>
        <w:pStyle w:val="paragraph"/>
        <w:tabs>
          <w:tab w:val="left" w:pos="2835"/>
        </w:tabs>
      </w:pPr>
      <w:r w:rsidRPr="00A35C95">
        <w:tab/>
        <w:t>(b)</w:t>
      </w:r>
      <w:r w:rsidRPr="00A35C95">
        <w:tab/>
        <w:t>a registration suspension order;</w:t>
      </w:r>
    </w:p>
    <w:p w14:paraId="200FE90C" w14:textId="77777777" w:rsidR="00E93F58" w:rsidRPr="00A35C95" w:rsidRDefault="00E93F58" w:rsidP="00366AB5">
      <w:pPr>
        <w:pStyle w:val="paragraph"/>
        <w:tabs>
          <w:tab w:val="left" w:pos="2835"/>
        </w:tabs>
      </w:pPr>
      <w:r w:rsidRPr="00A35C95">
        <w:tab/>
        <w:t>(c)</w:t>
      </w:r>
      <w:r w:rsidRPr="00A35C95">
        <w:tab/>
        <w:t>a registration prohibition order.</w:t>
      </w:r>
    </w:p>
    <w:p w14:paraId="1D6C4176" w14:textId="77777777" w:rsidR="00E93F58" w:rsidRPr="00A35C95" w:rsidRDefault="00E93F58" w:rsidP="00366AB5">
      <w:pPr>
        <w:pStyle w:val="subsection"/>
        <w:tabs>
          <w:tab w:val="left" w:pos="2835"/>
        </w:tabs>
      </w:pPr>
      <w:r w:rsidRPr="00A35C95">
        <w:tab/>
        <w:t>(2)</w:t>
      </w:r>
      <w:r w:rsidRPr="00A35C95">
        <w:tab/>
        <w:t>A direction is covered by this subregulation if:</w:t>
      </w:r>
    </w:p>
    <w:p w14:paraId="5D180603" w14:textId="77777777" w:rsidR="00E93F58" w:rsidRPr="00A35C95" w:rsidRDefault="00E93F58" w:rsidP="00366AB5">
      <w:pPr>
        <w:pStyle w:val="paragraph"/>
        <w:tabs>
          <w:tab w:val="left" w:pos="2835"/>
        </w:tabs>
      </w:pPr>
      <w:r w:rsidRPr="00A35C95">
        <w:tab/>
        <w:t>(a)</w:t>
      </w:r>
      <w:r w:rsidRPr="00A35C95">
        <w:tab/>
        <w:t>on a particular occasion, one or more instruments are made under subsection 921K(1) of the Act in relation to a relevant provider; and</w:t>
      </w:r>
    </w:p>
    <w:p w14:paraId="7DAB7921" w14:textId="77777777" w:rsidR="00E93F58" w:rsidRPr="00A35C95" w:rsidRDefault="00E93F58" w:rsidP="00366AB5">
      <w:pPr>
        <w:pStyle w:val="paragraph"/>
        <w:tabs>
          <w:tab w:val="left" w:pos="2835"/>
        </w:tabs>
      </w:pPr>
      <w:r w:rsidRPr="00A35C95">
        <w:tab/>
        <w:t>(b)</w:t>
      </w:r>
      <w:r w:rsidRPr="00A35C95">
        <w:tab/>
        <w:t>the direction is that instrument or one of those instruments; and</w:t>
      </w:r>
    </w:p>
    <w:p w14:paraId="3652D13D" w14:textId="77777777" w:rsidR="00E93F58" w:rsidRPr="00A35C95" w:rsidRDefault="00E93F58" w:rsidP="00366AB5">
      <w:pPr>
        <w:pStyle w:val="paragraph"/>
        <w:tabs>
          <w:tab w:val="left" w:pos="2835"/>
        </w:tabs>
      </w:pPr>
      <w:r w:rsidRPr="00A35C95">
        <w:tab/>
        <w:t>(c)</w:t>
      </w:r>
      <w:r w:rsidRPr="00A35C95">
        <w:tab/>
        <w:t>that occasion is the first occasion on which an instrument is made under that subsection in relation to the relevant provider.</w:t>
      </w:r>
    </w:p>
    <w:p w14:paraId="2231DA84" w14:textId="77777777" w:rsidR="00E93F58" w:rsidRPr="00A35C95" w:rsidRDefault="00E93F58" w:rsidP="00366AB5">
      <w:pPr>
        <w:pStyle w:val="ActHead5"/>
        <w:tabs>
          <w:tab w:val="left" w:pos="2835"/>
        </w:tabs>
      </w:pPr>
      <w:bookmarkStart w:id="1002" w:name="_Toc152058073"/>
      <w:bookmarkStart w:id="1003" w:name="_Toc158712296"/>
      <w:bookmarkEnd w:id="1000"/>
      <w:r w:rsidRPr="00844D11">
        <w:rPr>
          <w:rStyle w:val="CharSectno"/>
        </w:rPr>
        <w:t>7.6.07</w:t>
      </w:r>
      <w:r w:rsidRPr="00A35C95">
        <w:rPr>
          <w:sz w:val="16"/>
        </w:rPr>
        <w:t xml:space="preserve">  </w:t>
      </w:r>
      <w:r w:rsidRPr="00A35C95">
        <w:t>Restriction on use of certain words or expressions</w:t>
      </w:r>
      <w:bookmarkEnd w:id="1002"/>
      <w:bookmarkEnd w:id="1003"/>
    </w:p>
    <w:p w14:paraId="6D98CD1F" w14:textId="77777777" w:rsidR="00E93F58" w:rsidRPr="00A35C95" w:rsidRDefault="00E93F58" w:rsidP="00366AB5">
      <w:pPr>
        <w:pStyle w:val="subsection"/>
        <w:tabs>
          <w:tab w:val="left" w:pos="2835"/>
        </w:tabs>
        <w:rPr>
          <w:color w:val="000000"/>
        </w:rPr>
      </w:pPr>
      <w:r w:rsidRPr="00A35C95">
        <w:rPr>
          <w:color w:val="000000"/>
        </w:rPr>
        <w:tab/>
      </w:r>
      <w:r w:rsidRPr="00A35C95">
        <w:rPr>
          <w:color w:val="000000"/>
        </w:rPr>
        <w:tab/>
        <w:t>For subparagraph 923A(2)(b)(iii) of the Act, any other person in respect of whom section 942B or 942C of the Act makes provision for information to be provided in a financial services guide in relation to the receipt of remuneration or other benefits is prescribed.</w:t>
      </w:r>
    </w:p>
    <w:p w14:paraId="1A020FEE" w14:textId="77777777" w:rsidR="00E93F58" w:rsidRPr="00A35C95" w:rsidRDefault="00E93F58" w:rsidP="00366AB5">
      <w:pPr>
        <w:pStyle w:val="ActHead5"/>
        <w:tabs>
          <w:tab w:val="left" w:pos="2835"/>
        </w:tabs>
      </w:pPr>
      <w:bookmarkStart w:id="1004" w:name="_Toc152058074"/>
      <w:bookmarkStart w:id="1005" w:name="_Toc158712297"/>
      <w:r w:rsidRPr="00844D11">
        <w:rPr>
          <w:rStyle w:val="CharSectno"/>
        </w:rPr>
        <w:t>7.6.07A</w:t>
      </w:r>
      <w:r w:rsidRPr="00A35C95">
        <w:t xml:space="preserve">  Modification of section 923C</w:t>
      </w:r>
      <w:bookmarkEnd w:id="1004"/>
      <w:bookmarkEnd w:id="1005"/>
    </w:p>
    <w:p w14:paraId="5C29E611" w14:textId="77777777" w:rsidR="00E93F58" w:rsidRPr="00A35C95" w:rsidRDefault="00E93F58" w:rsidP="00366AB5">
      <w:pPr>
        <w:pStyle w:val="subsection"/>
        <w:tabs>
          <w:tab w:val="left" w:pos="2835"/>
        </w:tabs>
      </w:pPr>
      <w:r w:rsidRPr="00A35C95">
        <w:tab/>
      </w:r>
      <w:r w:rsidRPr="00A35C95">
        <w:tab/>
        <w:t>For paragraph 926B(1)(c) of the Act, Part 7.6 of the Act applies as if subsections 923C(1) to (10) of the Act were modified to read as follows:</w:t>
      </w:r>
    </w:p>
    <w:p w14:paraId="4E6BF464" w14:textId="77777777" w:rsidR="00E93F58" w:rsidRPr="00A35C95" w:rsidRDefault="00E93F58" w:rsidP="00366AB5">
      <w:pPr>
        <w:pStyle w:val="subsection"/>
        <w:tabs>
          <w:tab w:val="left" w:pos="2835"/>
        </w:tabs>
      </w:pPr>
      <w:r w:rsidRPr="00A35C95">
        <w:tab/>
        <w:t>“(1)</w:t>
      </w:r>
      <w:r w:rsidRPr="00A35C95">
        <w:tab/>
        <w:t>An individual contravenes this subsection if:</w:t>
      </w:r>
    </w:p>
    <w:p w14:paraId="1E8B6E7B" w14:textId="77777777" w:rsidR="00E93F58" w:rsidRPr="00A35C95" w:rsidRDefault="00E93F58" w:rsidP="00366AB5">
      <w:pPr>
        <w:pStyle w:val="paragraph"/>
        <w:tabs>
          <w:tab w:val="left" w:pos="2835"/>
        </w:tabs>
      </w:pPr>
      <w:r w:rsidRPr="00A35C95">
        <w:tab/>
        <w:t>(a)</w:t>
      </w:r>
      <w:r w:rsidRPr="00A35C95">
        <w:tab/>
        <w:t>the individual carries on a financial services business or provides a financial service (whether or not on behalf of another person); and</w:t>
      </w:r>
    </w:p>
    <w:p w14:paraId="661A2977" w14:textId="77777777" w:rsidR="00E93F58" w:rsidRPr="00A35C95" w:rsidRDefault="00E93F58" w:rsidP="00366AB5">
      <w:pPr>
        <w:pStyle w:val="paragraph"/>
        <w:tabs>
          <w:tab w:val="left" w:pos="2835"/>
        </w:tabs>
      </w:pPr>
      <w:r w:rsidRPr="00A35C95">
        <w:tab/>
        <w:t>(b)</w:t>
      </w:r>
      <w:r w:rsidRPr="00A35C95">
        <w:tab/>
        <w:t>the individual assumes or uses, in this jurisdiction, a restricted word or expression in relation to the service; and</w:t>
      </w:r>
    </w:p>
    <w:p w14:paraId="14B5B0B2" w14:textId="77777777" w:rsidR="00E93F58" w:rsidRPr="00A35C95" w:rsidRDefault="00E93F58" w:rsidP="00366AB5">
      <w:pPr>
        <w:pStyle w:val="paragraph"/>
        <w:tabs>
          <w:tab w:val="left" w:pos="2835"/>
        </w:tabs>
      </w:pPr>
      <w:r w:rsidRPr="00A35C95">
        <w:tab/>
        <w:t>(c)</w:t>
      </w:r>
      <w:r w:rsidRPr="00A35C95">
        <w:tab/>
        <w:t>any of the following apply:</w:t>
      </w:r>
    </w:p>
    <w:p w14:paraId="194856D0" w14:textId="77777777" w:rsidR="00E93F58" w:rsidRPr="00A35C95" w:rsidRDefault="00E93F58" w:rsidP="00366AB5">
      <w:pPr>
        <w:pStyle w:val="paragraphsub"/>
        <w:tabs>
          <w:tab w:val="left" w:pos="2835"/>
        </w:tabs>
      </w:pPr>
      <w:r w:rsidRPr="00A35C95">
        <w:tab/>
        <w:t>(i)</w:t>
      </w:r>
      <w:r w:rsidRPr="00A35C95">
        <w:tab/>
        <w:t>the individual is not a relevant provider;</w:t>
      </w:r>
    </w:p>
    <w:p w14:paraId="07371B3E" w14:textId="77777777" w:rsidR="00E93F58" w:rsidRPr="00A35C95" w:rsidRDefault="00E93F58" w:rsidP="00366AB5">
      <w:pPr>
        <w:pStyle w:val="paragraphsub"/>
        <w:tabs>
          <w:tab w:val="left" w:pos="2835"/>
        </w:tabs>
      </w:pPr>
      <w:r w:rsidRPr="00A35C95">
        <w:tab/>
        <w:t>(ii)</w:t>
      </w:r>
      <w:r w:rsidRPr="00A35C95">
        <w:tab/>
        <w:t>the individual is a provisional relevant provider;</w:t>
      </w:r>
    </w:p>
    <w:p w14:paraId="681CDD68" w14:textId="77777777" w:rsidR="00E93F58" w:rsidRPr="00A35C95" w:rsidRDefault="00E93F58" w:rsidP="00366AB5">
      <w:pPr>
        <w:pStyle w:val="paragraphsub"/>
        <w:tabs>
          <w:tab w:val="left" w:pos="2835"/>
        </w:tabs>
      </w:pPr>
      <w:r w:rsidRPr="00A35C95">
        <w:tab/>
        <w:t>(iii)</w:t>
      </w:r>
      <w:r w:rsidRPr="00A35C95">
        <w:tab/>
        <w:t>the individual is a limited</w:t>
      </w:r>
      <w:r>
        <w:noBreakHyphen/>
      </w:r>
      <w:r w:rsidRPr="00A35C95">
        <w:t>service time</w:t>
      </w:r>
      <w:r>
        <w:noBreakHyphen/>
      </w:r>
      <w:r w:rsidRPr="00A35C95">
        <w:t>sharing adviser.</w:t>
      </w:r>
    </w:p>
    <w:p w14:paraId="3666CE5A" w14:textId="77777777" w:rsidR="00E93F58" w:rsidRPr="00A35C95" w:rsidRDefault="00E93F58" w:rsidP="00366AB5">
      <w:pPr>
        <w:pStyle w:val="notetext"/>
        <w:tabs>
          <w:tab w:val="left" w:pos="2835"/>
        </w:tabs>
      </w:pPr>
      <w:r w:rsidRPr="00A35C95">
        <w:t>Note 1:</w:t>
      </w:r>
      <w:r w:rsidRPr="00A35C95">
        <w:tab/>
        <w:t>For the meanings of r</w:t>
      </w:r>
      <w:r w:rsidRPr="00A35C95">
        <w:rPr>
          <w:b/>
          <w:i/>
        </w:rPr>
        <w:t>estricted word or expression</w:t>
      </w:r>
      <w:r w:rsidRPr="00A35C95">
        <w:t xml:space="preserve"> and </w:t>
      </w:r>
      <w:r w:rsidRPr="00A35C95">
        <w:rPr>
          <w:b/>
          <w:i/>
        </w:rPr>
        <w:t>assume or use</w:t>
      </w:r>
      <w:r w:rsidRPr="00A35C95">
        <w:t>, see subsections (8) and (9) of this section.</w:t>
      </w:r>
    </w:p>
    <w:p w14:paraId="210717EE" w14:textId="77777777" w:rsidR="00E93F58" w:rsidRPr="00A35C95" w:rsidRDefault="00E93F58" w:rsidP="00366AB5">
      <w:pPr>
        <w:pStyle w:val="notetext"/>
        <w:tabs>
          <w:tab w:val="left" w:pos="2835"/>
        </w:tabs>
      </w:pPr>
      <w:r w:rsidRPr="00A35C95">
        <w:t>Note 2:</w:t>
      </w:r>
      <w:r w:rsidRPr="00A35C95">
        <w:tab/>
        <w:t>A contravention of this subsection is an offence (see subsection 1311(1)).</w:t>
      </w:r>
    </w:p>
    <w:p w14:paraId="282DD902" w14:textId="77777777" w:rsidR="00E93F58" w:rsidRPr="00A35C95" w:rsidRDefault="00E93F58" w:rsidP="00366AB5">
      <w:pPr>
        <w:pStyle w:val="subsection"/>
        <w:tabs>
          <w:tab w:val="left" w:pos="2835"/>
        </w:tabs>
      </w:pPr>
      <w:r w:rsidRPr="00A35C95">
        <w:tab/>
        <w:t>(2)</w:t>
      </w:r>
      <w:r w:rsidRPr="00A35C95">
        <w:tab/>
        <w:t>A person contravenes this subsection if:</w:t>
      </w:r>
    </w:p>
    <w:p w14:paraId="01EAE983" w14:textId="77777777" w:rsidR="00E93F58" w:rsidRPr="00A35C95" w:rsidRDefault="00E93F58" w:rsidP="00366AB5">
      <w:pPr>
        <w:pStyle w:val="paragraph"/>
        <w:tabs>
          <w:tab w:val="left" w:pos="2835"/>
        </w:tabs>
      </w:pPr>
      <w:r w:rsidRPr="00A35C95">
        <w:lastRenderedPageBreak/>
        <w:tab/>
        <w:t>(a)</w:t>
      </w:r>
      <w:r w:rsidRPr="00A35C95">
        <w:tab/>
        <w:t>the person carries on a financial services business or provides a financial service; and</w:t>
      </w:r>
    </w:p>
    <w:p w14:paraId="2C0CFA84" w14:textId="77777777" w:rsidR="00E93F58" w:rsidRPr="00A35C95" w:rsidRDefault="00E93F58" w:rsidP="00366AB5">
      <w:pPr>
        <w:pStyle w:val="paragraph"/>
        <w:tabs>
          <w:tab w:val="left" w:pos="2835"/>
        </w:tabs>
      </w:pPr>
      <w:r w:rsidRPr="00A35C95">
        <w:tab/>
        <w:t>(b)</w:t>
      </w:r>
      <w:r w:rsidRPr="00A35C95">
        <w:tab/>
        <w:t>an individual provides a financial service on behalf of the person; and</w:t>
      </w:r>
    </w:p>
    <w:p w14:paraId="08F36F14" w14:textId="77777777" w:rsidR="00E93F58" w:rsidRPr="00A35C95" w:rsidRDefault="00E93F58" w:rsidP="00366AB5">
      <w:pPr>
        <w:pStyle w:val="paragraph"/>
        <w:tabs>
          <w:tab w:val="left" w:pos="2835"/>
        </w:tabs>
      </w:pPr>
      <w:r w:rsidRPr="00A35C95">
        <w:tab/>
        <w:t>(c)</w:t>
      </w:r>
      <w:r w:rsidRPr="00A35C95">
        <w:tab/>
        <w:t>the person assumes or uses, in this jurisdiction, a restricted word or expression in relation to the service; and</w:t>
      </w:r>
    </w:p>
    <w:p w14:paraId="7DF90391" w14:textId="77777777" w:rsidR="00E93F58" w:rsidRPr="00A35C95" w:rsidRDefault="00E93F58" w:rsidP="00366AB5">
      <w:pPr>
        <w:pStyle w:val="paragraph"/>
        <w:tabs>
          <w:tab w:val="left" w:pos="2835"/>
        </w:tabs>
      </w:pPr>
      <w:r w:rsidRPr="00A35C95">
        <w:tab/>
        <w:t>(d)</w:t>
      </w:r>
      <w:r w:rsidRPr="00A35C95">
        <w:tab/>
        <w:t>any of the following apply:</w:t>
      </w:r>
    </w:p>
    <w:p w14:paraId="550ABF72" w14:textId="77777777" w:rsidR="00E93F58" w:rsidRPr="00A35C95" w:rsidRDefault="00E93F58" w:rsidP="00366AB5">
      <w:pPr>
        <w:pStyle w:val="paragraphsub"/>
        <w:tabs>
          <w:tab w:val="left" w:pos="2835"/>
        </w:tabs>
      </w:pPr>
      <w:r w:rsidRPr="00A35C95">
        <w:tab/>
        <w:t>(i)</w:t>
      </w:r>
      <w:r w:rsidRPr="00A35C95">
        <w:tab/>
        <w:t>the individual is not a relevant provider;</w:t>
      </w:r>
    </w:p>
    <w:p w14:paraId="185F564D" w14:textId="77777777" w:rsidR="00E93F58" w:rsidRPr="00A35C95" w:rsidRDefault="00E93F58" w:rsidP="00366AB5">
      <w:pPr>
        <w:pStyle w:val="paragraphsub"/>
        <w:tabs>
          <w:tab w:val="left" w:pos="2835"/>
        </w:tabs>
      </w:pPr>
      <w:r w:rsidRPr="00A35C95">
        <w:tab/>
        <w:t>(ii)</w:t>
      </w:r>
      <w:r w:rsidRPr="00A35C95">
        <w:tab/>
        <w:t>the individual is a provisional relevant provider;</w:t>
      </w:r>
    </w:p>
    <w:p w14:paraId="1C7E924E" w14:textId="77777777" w:rsidR="00E93F58" w:rsidRPr="00A35C95" w:rsidRDefault="00E93F58" w:rsidP="00366AB5">
      <w:pPr>
        <w:pStyle w:val="paragraphsub"/>
        <w:tabs>
          <w:tab w:val="left" w:pos="2835"/>
        </w:tabs>
      </w:pPr>
      <w:r w:rsidRPr="00A35C95">
        <w:tab/>
        <w:t>(iii)</w:t>
      </w:r>
      <w:r w:rsidRPr="00A35C95">
        <w:tab/>
        <w:t>the individual is a limited</w:t>
      </w:r>
      <w:r>
        <w:noBreakHyphen/>
      </w:r>
      <w:r w:rsidRPr="00A35C95">
        <w:t>service time</w:t>
      </w:r>
      <w:r>
        <w:noBreakHyphen/>
      </w:r>
      <w:r w:rsidRPr="00A35C95">
        <w:t>sharing adviser.</w:t>
      </w:r>
    </w:p>
    <w:p w14:paraId="3EBF7501" w14:textId="77777777" w:rsidR="00E93F58" w:rsidRPr="00A35C95" w:rsidRDefault="00E93F58" w:rsidP="00366AB5">
      <w:pPr>
        <w:pStyle w:val="notetext"/>
        <w:tabs>
          <w:tab w:val="left" w:pos="2835"/>
        </w:tabs>
      </w:pPr>
      <w:r w:rsidRPr="00A35C95">
        <w:t>Note 1:</w:t>
      </w:r>
      <w:r w:rsidRPr="00A35C95">
        <w:tab/>
        <w:t xml:space="preserve">For the meanings of </w:t>
      </w:r>
      <w:r w:rsidRPr="00A35C95">
        <w:rPr>
          <w:b/>
          <w:i/>
        </w:rPr>
        <w:t>restricted word or expression</w:t>
      </w:r>
      <w:r w:rsidRPr="00A35C95">
        <w:t xml:space="preserve"> and </w:t>
      </w:r>
      <w:r w:rsidRPr="00A35C95">
        <w:rPr>
          <w:b/>
          <w:i/>
        </w:rPr>
        <w:t>assume or use</w:t>
      </w:r>
      <w:r w:rsidRPr="00A35C95">
        <w:t>, see subsections (8) and (9) of this section.</w:t>
      </w:r>
    </w:p>
    <w:p w14:paraId="51F889D1" w14:textId="77777777" w:rsidR="00E93F58" w:rsidRPr="00A35C95" w:rsidRDefault="00E93F58" w:rsidP="00366AB5">
      <w:pPr>
        <w:pStyle w:val="notetext"/>
        <w:tabs>
          <w:tab w:val="left" w:pos="2835"/>
        </w:tabs>
      </w:pPr>
      <w:r w:rsidRPr="00A35C95">
        <w:t>Note 2:</w:t>
      </w:r>
      <w:r w:rsidRPr="00A35C95">
        <w:tab/>
        <w:t>A contravention of this subsection is an offence (see subsection 1311(1)).</w:t>
      </w:r>
    </w:p>
    <w:p w14:paraId="46CC0AB1" w14:textId="77777777" w:rsidR="00E93F58" w:rsidRPr="00A35C95" w:rsidRDefault="00E93F58" w:rsidP="00366AB5">
      <w:pPr>
        <w:pStyle w:val="SubsectionHead"/>
        <w:tabs>
          <w:tab w:val="left" w:pos="2835"/>
        </w:tabs>
      </w:pPr>
      <w:r w:rsidRPr="00A35C95">
        <w:t>Advice to wholesale clients</w:t>
      </w:r>
    </w:p>
    <w:p w14:paraId="1CC2F421" w14:textId="77777777" w:rsidR="00E93F58" w:rsidRPr="00A35C95" w:rsidRDefault="00E93F58" w:rsidP="00366AB5">
      <w:pPr>
        <w:pStyle w:val="subsection"/>
        <w:tabs>
          <w:tab w:val="left" w:pos="2835"/>
        </w:tabs>
      </w:pPr>
      <w:r w:rsidRPr="00A35C95">
        <w:tab/>
        <w:t>(3)</w:t>
      </w:r>
      <w:r w:rsidRPr="00A35C95">
        <w:tab/>
        <w:t>It is not a contravention of subsection (1) for an individual to assume or use a restricted word or expression if:</w:t>
      </w:r>
    </w:p>
    <w:p w14:paraId="7E1C68EE" w14:textId="77777777" w:rsidR="00E93F58" w:rsidRPr="00A35C95" w:rsidRDefault="00E93F58" w:rsidP="00366AB5">
      <w:pPr>
        <w:pStyle w:val="paragraph"/>
        <w:tabs>
          <w:tab w:val="left" w:pos="2835"/>
        </w:tabs>
      </w:pPr>
      <w:r w:rsidRPr="00A35C95">
        <w:tab/>
        <w:t>(a)</w:t>
      </w:r>
      <w:r w:rsidRPr="00A35C95">
        <w:tab/>
        <w:t>the individual provides advice to wholesale clients; and</w:t>
      </w:r>
    </w:p>
    <w:p w14:paraId="22F27596" w14:textId="77777777" w:rsidR="00E93F58" w:rsidRPr="00A35C95" w:rsidRDefault="00E93F58" w:rsidP="00366AB5">
      <w:pPr>
        <w:pStyle w:val="paragraph"/>
        <w:tabs>
          <w:tab w:val="left" w:pos="2835"/>
        </w:tabs>
      </w:pPr>
      <w:r w:rsidRPr="00A35C95">
        <w:tab/>
        <w:t>(b)</w:t>
      </w:r>
      <w:r w:rsidRPr="00A35C95">
        <w:tab/>
        <w:t>the individual assumes or uses the restricted word or expression only in relation to that advice.</w:t>
      </w:r>
    </w:p>
    <w:p w14:paraId="4A95D089" w14:textId="77777777" w:rsidR="00E93F58" w:rsidRPr="00A35C95" w:rsidRDefault="00E93F58" w:rsidP="00366AB5">
      <w:pPr>
        <w:pStyle w:val="notetext"/>
        <w:tabs>
          <w:tab w:val="left" w:pos="2835"/>
        </w:tabs>
      </w:pPr>
      <w:r w:rsidRPr="00A35C95">
        <w:t>Note:</w:t>
      </w:r>
      <w:r w:rsidRPr="00A35C95">
        <w:tab/>
        <w:t xml:space="preserve">A defendant bears an evidential burden in relation to the matters in subsection (3). See subsection 13.3(3) of the </w:t>
      </w:r>
      <w:r w:rsidRPr="00A35C95">
        <w:rPr>
          <w:i/>
        </w:rPr>
        <w:t>Criminal Code</w:t>
      </w:r>
      <w:r w:rsidRPr="00A35C95">
        <w:t>.</w:t>
      </w:r>
    </w:p>
    <w:p w14:paraId="706DF7D3" w14:textId="77777777" w:rsidR="00E93F58" w:rsidRPr="00A35C95" w:rsidRDefault="00E93F58" w:rsidP="00366AB5">
      <w:pPr>
        <w:pStyle w:val="subsection"/>
        <w:tabs>
          <w:tab w:val="left" w:pos="2835"/>
        </w:tabs>
      </w:pPr>
      <w:r w:rsidRPr="00A35C95">
        <w:tab/>
        <w:t>(4)</w:t>
      </w:r>
      <w:r w:rsidRPr="00A35C95">
        <w:tab/>
        <w:t>It is not a contravention of subsection (2) for a person to assume or use a restricted word or expression if:</w:t>
      </w:r>
    </w:p>
    <w:p w14:paraId="45C9549C" w14:textId="77777777" w:rsidR="00E93F58" w:rsidRPr="00A35C95" w:rsidRDefault="00E93F58" w:rsidP="00366AB5">
      <w:pPr>
        <w:pStyle w:val="paragraph"/>
        <w:tabs>
          <w:tab w:val="left" w:pos="2835"/>
        </w:tabs>
      </w:pPr>
      <w:r w:rsidRPr="00A35C95">
        <w:tab/>
        <w:t>(a)</w:t>
      </w:r>
      <w:r w:rsidRPr="00A35C95">
        <w:tab/>
        <w:t xml:space="preserve">another person (the </w:t>
      </w:r>
      <w:r w:rsidRPr="00A35C95">
        <w:rPr>
          <w:b/>
          <w:i/>
        </w:rPr>
        <w:t>adviser</w:t>
      </w:r>
      <w:r w:rsidRPr="00A35C95">
        <w:t>) provides a financial service on behalf of the person; and</w:t>
      </w:r>
    </w:p>
    <w:p w14:paraId="57BFC15B" w14:textId="77777777" w:rsidR="00E93F58" w:rsidRPr="00A35C95" w:rsidRDefault="00E93F58" w:rsidP="00366AB5">
      <w:pPr>
        <w:pStyle w:val="paragraph"/>
        <w:tabs>
          <w:tab w:val="left" w:pos="2835"/>
        </w:tabs>
      </w:pPr>
      <w:r w:rsidRPr="00A35C95">
        <w:tab/>
        <w:t>(b)</w:t>
      </w:r>
      <w:r w:rsidRPr="00A35C95">
        <w:tab/>
        <w:t>the adviser provides advice to wholesale clients; and</w:t>
      </w:r>
    </w:p>
    <w:p w14:paraId="7269B458" w14:textId="77777777" w:rsidR="00E93F58" w:rsidRPr="00A35C95" w:rsidRDefault="00E93F58" w:rsidP="00366AB5">
      <w:pPr>
        <w:pStyle w:val="paragraph"/>
        <w:tabs>
          <w:tab w:val="left" w:pos="2835"/>
        </w:tabs>
      </w:pPr>
      <w:r w:rsidRPr="00A35C95">
        <w:tab/>
        <w:t>(c)</w:t>
      </w:r>
      <w:r w:rsidRPr="00A35C95">
        <w:tab/>
        <w:t>the person assumes or uses the restricted word or expression only in relation to that advice.</w:t>
      </w:r>
    </w:p>
    <w:p w14:paraId="5C389093" w14:textId="77777777" w:rsidR="00E93F58" w:rsidRPr="00A35C95" w:rsidRDefault="00E93F58" w:rsidP="00366AB5">
      <w:pPr>
        <w:pStyle w:val="notetext"/>
        <w:tabs>
          <w:tab w:val="left" w:pos="2835"/>
        </w:tabs>
      </w:pPr>
      <w:r w:rsidRPr="00A35C95">
        <w:t>Note:</w:t>
      </w:r>
      <w:r w:rsidRPr="00A35C95">
        <w:tab/>
        <w:t xml:space="preserve">A defendant bears an evidential burden in relation to the matters in subsection (4). See subsection 13.3(3) of the </w:t>
      </w:r>
      <w:r w:rsidRPr="00A35C95">
        <w:rPr>
          <w:i/>
        </w:rPr>
        <w:t>Criminal Code</w:t>
      </w:r>
      <w:r w:rsidRPr="00A35C95">
        <w:t>.</w:t>
      </w:r>
    </w:p>
    <w:p w14:paraId="010F33F1" w14:textId="77777777" w:rsidR="00E93F58" w:rsidRPr="00A35C95" w:rsidRDefault="00E93F58" w:rsidP="00366AB5">
      <w:pPr>
        <w:pStyle w:val="SubsectionHead"/>
        <w:tabs>
          <w:tab w:val="left" w:pos="2835"/>
        </w:tabs>
      </w:pPr>
      <w:r w:rsidRPr="00A35C95">
        <w:t>Advice as employee or director</w:t>
      </w:r>
    </w:p>
    <w:p w14:paraId="3F48648A" w14:textId="77777777" w:rsidR="00E93F58" w:rsidRPr="00A35C95" w:rsidRDefault="00E93F58" w:rsidP="00366AB5">
      <w:pPr>
        <w:pStyle w:val="subsection"/>
        <w:tabs>
          <w:tab w:val="left" w:pos="2835"/>
        </w:tabs>
      </w:pPr>
      <w:r w:rsidRPr="00A35C95">
        <w:tab/>
        <w:t>(5)</w:t>
      </w:r>
      <w:r w:rsidRPr="00A35C95">
        <w:tab/>
        <w:t>It is not a contravention of subsection (1) for an individual to assume or use a restricted word or expression if:</w:t>
      </w:r>
    </w:p>
    <w:p w14:paraId="5745E09E" w14:textId="77777777" w:rsidR="00E93F58" w:rsidRPr="00A35C95" w:rsidRDefault="00E93F58" w:rsidP="00366AB5">
      <w:pPr>
        <w:pStyle w:val="paragraph"/>
        <w:tabs>
          <w:tab w:val="left" w:pos="2835"/>
        </w:tabs>
      </w:pPr>
      <w:r w:rsidRPr="00A35C95">
        <w:tab/>
        <w:t>(a)</w:t>
      </w:r>
      <w:r w:rsidRPr="00A35C95">
        <w:tab/>
        <w:t>the individual is an employee or director of a body; and</w:t>
      </w:r>
    </w:p>
    <w:p w14:paraId="2EC6F493" w14:textId="77777777" w:rsidR="00E93F58" w:rsidRPr="00A35C95" w:rsidRDefault="00E93F58" w:rsidP="00366AB5">
      <w:pPr>
        <w:pStyle w:val="paragraph"/>
        <w:tabs>
          <w:tab w:val="left" w:pos="2835"/>
        </w:tabs>
      </w:pPr>
      <w:r w:rsidRPr="00A35C95">
        <w:tab/>
        <w:t>(b)</w:t>
      </w:r>
      <w:r w:rsidRPr="00A35C95">
        <w:tab/>
        <w:t>the individual provides advice to the body; and</w:t>
      </w:r>
    </w:p>
    <w:p w14:paraId="21A189D0" w14:textId="77777777" w:rsidR="00E93F58" w:rsidRPr="00A35C95" w:rsidRDefault="00E93F58" w:rsidP="00366AB5">
      <w:pPr>
        <w:pStyle w:val="paragraph"/>
        <w:tabs>
          <w:tab w:val="left" w:pos="2835"/>
        </w:tabs>
      </w:pPr>
      <w:r w:rsidRPr="00A35C95">
        <w:tab/>
        <w:t>(c)</w:t>
      </w:r>
      <w:r w:rsidRPr="00A35C95">
        <w:tab/>
        <w:t>the individual assumes or uses the restricted word or expression only in relation to that advice.</w:t>
      </w:r>
    </w:p>
    <w:p w14:paraId="4D30C54E" w14:textId="77777777" w:rsidR="00E93F58" w:rsidRPr="00A35C95" w:rsidRDefault="00E93F58" w:rsidP="00366AB5">
      <w:pPr>
        <w:pStyle w:val="notetext"/>
        <w:tabs>
          <w:tab w:val="left" w:pos="2835"/>
        </w:tabs>
      </w:pPr>
      <w:r w:rsidRPr="00A35C95">
        <w:t>Note:</w:t>
      </w:r>
      <w:r w:rsidRPr="00A35C95">
        <w:tab/>
        <w:t xml:space="preserve">A defendant bears an evidential burden in relation to the matters in subsection (5). See subsection 13.3(3) of the </w:t>
      </w:r>
      <w:r w:rsidRPr="00A35C95">
        <w:rPr>
          <w:i/>
        </w:rPr>
        <w:t>Criminal Code</w:t>
      </w:r>
      <w:r w:rsidRPr="00A35C95">
        <w:t>.</w:t>
      </w:r>
    </w:p>
    <w:p w14:paraId="630E2BE2" w14:textId="77777777" w:rsidR="00E93F58" w:rsidRPr="00A35C95" w:rsidRDefault="00E93F58" w:rsidP="00366AB5">
      <w:pPr>
        <w:pStyle w:val="subsection"/>
        <w:tabs>
          <w:tab w:val="left" w:pos="2835"/>
        </w:tabs>
      </w:pPr>
      <w:r w:rsidRPr="00A35C95">
        <w:tab/>
        <w:t>(6)</w:t>
      </w:r>
      <w:r w:rsidRPr="00A35C95">
        <w:tab/>
        <w:t>It is not a contravention of subsection (2) for a person to assume or use a restricted word or expression if:</w:t>
      </w:r>
    </w:p>
    <w:p w14:paraId="31B6622E" w14:textId="77777777" w:rsidR="00E93F58" w:rsidRPr="00A35C95" w:rsidRDefault="00E93F58" w:rsidP="00366AB5">
      <w:pPr>
        <w:pStyle w:val="paragraph"/>
        <w:tabs>
          <w:tab w:val="left" w:pos="2835"/>
        </w:tabs>
      </w:pPr>
      <w:r w:rsidRPr="00A35C95">
        <w:tab/>
        <w:t>(a)</w:t>
      </w:r>
      <w:r w:rsidRPr="00A35C95">
        <w:tab/>
        <w:t xml:space="preserve">another person (the </w:t>
      </w:r>
      <w:r w:rsidRPr="00A35C95">
        <w:rPr>
          <w:b/>
          <w:i/>
        </w:rPr>
        <w:t>adviser</w:t>
      </w:r>
      <w:r w:rsidRPr="00A35C95">
        <w:t>) is an employee or director of a body; and</w:t>
      </w:r>
    </w:p>
    <w:p w14:paraId="3CE159D3" w14:textId="77777777" w:rsidR="00E93F58" w:rsidRPr="00A35C95" w:rsidRDefault="00E93F58" w:rsidP="00366AB5">
      <w:pPr>
        <w:pStyle w:val="paragraph"/>
        <w:tabs>
          <w:tab w:val="left" w:pos="2835"/>
        </w:tabs>
      </w:pPr>
      <w:r w:rsidRPr="00A35C95">
        <w:tab/>
        <w:t>(b)</w:t>
      </w:r>
      <w:r w:rsidRPr="00A35C95">
        <w:tab/>
        <w:t>the adviser provides advice to the body; and</w:t>
      </w:r>
    </w:p>
    <w:p w14:paraId="2C3FC8B3" w14:textId="77777777" w:rsidR="00E93F58" w:rsidRPr="00A35C95" w:rsidRDefault="00E93F58" w:rsidP="00366AB5">
      <w:pPr>
        <w:pStyle w:val="paragraph"/>
        <w:tabs>
          <w:tab w:val="left" w:pos="2835"/>
        </w:tabs>
      </w:pPr>
      <w:r w:rsidRPr="00A35C95">
        <w:tab/>
        <w:t>(c)</w:t>
      </w:r>
      <w:r w:rsidRPr="00A35C95">
        <w:tab/>
        <w:t>the person assumes or uses the restricted word or expression only in relation to that advice.</w:t>
      </w:r>
    </w:p>
    <w:p w14:paraId="260334B9" w14:textId="77777777" w:rsidR="00E93F58" w:rsidRPr="00A35C95" w:rsidRDefault="00E93F58" w:rsidP="00366AB5">
      <w:pPr>
        <w:pStyle w:val="notetext"/>
        <w:tabs>
          <w:tab w:val="left" w:pos="2835"/>
        </w:tabs>
      </w:pPr>
      <w:r w:rsidRPr="00A35C95">
        <w:t>Note:</w:t>
      </w:r>
      <w:r w:rsidRPr="00A35C95">
        <w:tab/>
        <w:t xml:space="preserve">A defendant bears an evidential burden in relation to the matters in subsection (6). See subsection 13.3(3) of the </w:t>
      </w:r>
      <w:r w:rsidRPr="00A35C95">
        <w:rPr>
          <w:i/>
        </w:rPr>
        <w:t>Criminal Code</w:t>
      </w:r>
      <w:r w:rsidRPr="00A35C95">
        <w:t>.</w:t>
      </w:r>
    </w:p>
    <w:p w14:paraId="640A71CD" w14:textId="77777777" w:rsidR="00E93F58" w:rsidRPr="00A35C95" w:rsidRDefault="00E93F58" w:rsidP="00366AB5">
      <w:pPr>
        <w:pStyle w:val="SubsectionHead"/>
        <w:tabs>
          <w:tab w:val="left" w:pos="2835"/>
        </w:tabs>
      </w:pPr>
      <w:r w:rsidRPr="00A35C95">
        <w:t>Continuing contravention</w:t>
      </w:r>
    </w:p>
    <w:p w14:paraId="7FBCA215" w14:textId="77777777" w:rsidR="00E93F58" w:rsidRPr="00A35C95" w:rsidRDefault="00E93F58" w:rsidP="00366AB5">
      <w:pPr>
        <w:pStyle w:val="subsection"/>
        <w:tabs>
          <w:tab w:val="left" w:pos="2835"/>
        </w:tabs>
      </w:pPr>
      <w:r w:rsidRPr="00A35C95">
        <w:tab/>
        <w:t>(7)</w:t>
      </w:r>
      <w:r w:rsidRPr="00A35C95">
        <w:tab/>
        <w:t>If a person assumes or uses a word or expression in circumstances that give rise to the person committing an offence under subsection (1) or (2), the person commits the offence in respect of:</w:t>
      </w:r>
    </w:p>
    <w:p w14:paraId="02A2ECF4" w14:textId="77777777" w:rsidR="00E93F58" w:rsidRPr="00A35C95" w:rsidRDefault="00E93F58" w:rsidP="00366AB5">
      <w:pPr>
        <w:pStyle w:val="paragraph"/>
        <w:tabs>
          <w:tab w:val="left" w:pos="2835"/>
        </w:tabs>
      </w:pPr>
      <w:r w:rsidRPr="00A35C95">
        <w:tab/>
        <w:t>(a)</w:t>
      </w:r>
      <w:r w:rsidRPr="00A35C95">
        <w:tab/>
        <w:t>the first day on which the offence is committed; and</w:t>
      </w:r>
    </w:p>
    <w:p w14:paraId="3F6900B7" w14:textId="77777777" w:rsidR="00E93F58" w:rsidRPr="00A35C95" w:rsidRDefault="00E93F58" w:rsidP="00366AB5">
      <w:pPr>
        <w:pStyle w:val="paragraph"/>
        <w:tabs>
          <w:tab w:val="left" w:pos="2835"/>
        </w:tabs>
      </w:pPr>
      <w:r w:rsidRPr="00A35C95">
        <w:tab/>
        <w:t>(b)</w:t>
      </w:r>
      <w:r w:rsidRPr="00A35C95">
        <w:tab/>
        <w:t>each subsequent day (if any) on which the circumstances that gave rise to the person committing the offence continue (including the day of conviction for any such offence or any later day).</w:t>
      </w:r>
    </w:p>
    <w:p w14:paraId="3A4D4F8A" w14:textId="77777777" w:rsidR="00E93F58" w:rsidRPr="00A35C95" w:rsidRDefault="00E93F58" w:rsidP="00366AB5">
      <w:pPr>
        <w:pStyle w:val="SubsectionHead"/>
        <w:tabs>
          <w:tab w:val="left" w:pos="2835"/>
        </w:tabs>
      </w:pPr>
      <w:r w:rsidRPr="00A35C95">
        <w:t>References to restricted word or expression</w:t>
      </w:r>
    </w:p>
    <w:p w14:paraId="42F1308F" w14:textId="77777777" w:rsidR="00E93F58" w:rsidRPr="00A35C95" w:rsidRDefault="00E93F58" w:rsidP="00366AB5">
      <w:pPr>
        <w:pStyle w:val="subsection"/>
        <w:tabs>
          <w:tab w:val="left" w:pos="2835"/>
        </w:tabs>
      </w:pPr>
      <w:r w:rsidRPr="00A35C95">
        <w:tab/>
        <w:t>(8)</w:t>
      </w:r>
      <w:r w:rsidRPr="00A35C95">
        <w:tab/>
        <w:t>In this section:</w:t>
      </w:r>
    </w:p>
    <w:p w14:paraId="39E0A61B" w14:textId="77777777" w:rsidR="00E93F58" w:rsidRPr="00A35C95" w:rsidRDefault="00E93F58" w:rsidP="00366AB5">
      <w:pPr>
        <w:pStyle w:val="paragraph"/>
        <w:tabs>
          <w:tab w:val="left" w:pos="2835"/>
        </w:tabs>
      </w:pPr>
      <w:r w:rsidRPr="00A35C95">
        <w:tab/>
        <w:t>(a)</w:t>
      </w:r>
      <w:r w:rsidRPr="00A35C95">
        <w:tab/>
        <w:t>a reference to a restricted word or expression is a reference to:</w:t>
      </w:r>
    </w:p>
    <w:p w14:paraId="7A513093" w14:textId="77777777" w:rsidR="00E93F58" w:rsidRPr="00A35C95" w:rsidRDefault="00E93F58" w:rsidP="00366AB5">
      <w:pPr>
        <w:pStyle w:val="paragraphsub"/>
        <w:tabs>
          <w:tab w:val="left" w:pos="2835"/>
        </w:tabs>
      </w:pPr>
      <w:r w:rsidRPr="00A35C95">
        <w:tab/>
        <w:t>(i)</w:t>
      </w:r>
      <w:r w:rsidRPr="00A35C95">
        <w:tab/>
        <w:t xml:space="preserve">the expression </w:t>
      </w:r>
      <w:r w:rsidRPr="00A35C95">
        <w:rPr>
          <w:b/>
          <w:i/>
        </w:rPr>
        <w:t xml:space="preserve">financial adviser </w:t>
      </w:r>
      <w:r w:rsidRPr="00A35C95">
        <w:t xml:space="preserve">or </w:t>
      </w:r>
      <w:r w:rsidRPr="00A35C95">
        <w:rPr>
          <w:b/>
          <w:i/>
        </w:rPr>
        <w:t>financial planner</w:t>
      </w:r>
      <w:r w:rsidRPr="00A35C95">
        <w:t>; or</w:t>
      </w:r>
    </w:p>
    <w:p w14:paraId="17C15E48" w14:textId="77777777" w:rsidR="00E93F58" w:rsidRPr="00A35C95" w:rsidRDefault="00E93F58" w:rsidP="00366AB5">
      <w:pPr>
        <w:pStyle w:val="paragraphsub"/>
        <w:tabs>
          <w:tab w:val="left" w:pos="2835"/>
        </w:tabs>
      </w:pPr>
      <w:r w:rsidRPr="00A35C95">
        <w:tab/>
        <w:t>(ii)</w:t>
      </w:r>
      <w:r w:rsidRPr="00A35C95">
        <w:tab/>
        <w:t>any other word or expression specified in the regulations as a restricted word or expression for the purposes of this section; or</w:t>
      </w:r>
    </w:p>
    <w:p w14:paraId="704AB2C4" w14:textId="77777777" w:rsidR="00E93F58" w:rsidRPr="00A35C95" w:rsidRDefault="00E93F58" w:rsidP="00366AB5">
      <w:pPr>
        <w:pStyle w:val="paragraphsub"/>
        <w:tabs>
          <w:tab w:val="left" w:pos="2835"/>
        </w:tabs>
      </w:pPr>
      <w:r w:rsidRPr="00A35C95">
        <w:lastRenderedPageBreak/>
        <w:tab/>
        <w:t>(iii)</w:t>
      </w:r>
      <w:r w:rsidRPr="00A35C95">
        <w:tab/>
        <w:t>any other word or expression (whether or not in English) that is of like import to a word or expression covered by any of the previous subparagraphs; and</w:t>
      </w:r>
    </w:p>
    <w:p w14:paraId="7CB8F565" w14:textId="77777777" w:rsidR="00E93F58" w:rsidRPr="00A35C95" w:rsidRDefault="00E93F58" w:rsidP="00366AB5">
      <w:pPr>
        <w:pStyle w:val="paragraph"/>
        <w:tabs>
          <w:tab w:val="left" w:pos="2835"/>
        </w:tabs>
      </w:pPr>
      <w:r w:rsidRPr="00A35C95">
        <w:tab/>
        <w:t>(b)</w:t>
      </w:r>
      <w:r w:rsidRPr="00A35C95">
        <w:tab/>
        <w:t>a reference to a restricted word or expression being assumed or used includes a reference to the restricted word or expression being assumed or used:</w:t>
      </w:r>
    </w:p>
    <w:p w14:paraId="5EAB2EFB" w14:textId="77777777" w:rsidR="00E93F58" w:rsidRPr="00A35C95" w:rsidRDefault="00E93F58" w:rsidP="00366AB5">
      <w:pPr>
        <w:pStyle w:val="paragraphsub"/>
        <w:tabs>
          <w:tab w:val="left" w:pos="2835"/>
        </w:tabs>
      </w:pPr>
      <w:r w:rsidRPr="00A35C95">
        <w:tab/>
        <w:t>(i)</w:t>
      </w:r>
      <w:r w:rsidRPr="00A35C95">
        <w:tab/>
        <w:t>as part of another word or expression; or</w:t>
      </w:r>
    </w:p>
    <w:p w14:paraId="683646CC" w14:textId="77777777" w:rsidR="00E93F58" w:rsidRPr="00A35C95" w:rsidRDefault="00E93F58" w:rsidP="00366AB5">
      <w:pPr>
        <w:pStyle w:val="paragraphsub"/>
        <w:tabs>
          <w:tab w:val="left" w:pos="2835"/>
        </w:tabs>
      </w:pPr>
      <w:r w:rsidRPr="00A35C95">
        <w:tab/>
        <w:t>(ii)</w:t>
      </w:r>
      <w:r w:rsidRPr="00A35C95">
        <w:tab/>
        <w:t>in combination with other words, letters or other symbols.</w:t>
      </w:r>
    </w:p>
    <w:p w14:paraId="0546E45E" w14:textId="77777777" w:rsidR="00E93F58" w:rsidRPr="00A35C95" w:rsidRDefault="00E93F58" w:rsidP="00366AB5">
      <w:pPr>
        <w:pStyle w:val="subsection"/>
        <w:tabs>
          <w:tab w:val="left" w:pos="2835"/>
        </w:tabs>
      </w:pPr>
      <w:r w:rsidRPr="00A35C95">
        <w:tab/>
        <w:t>(9)</w:t>
      </w:r>
      <w:r w:rsidRPr="00A35C95">
        <w:tab/>
        <w:t>However, a reference in this section to a restricted word or expression does not include a reference to a word or expression mentioned in paragraph (8)(a) if:</w:t>
      </w:r>
    </w:p>
    <w:p w14:paraId="0BB39EFA" w14:textId="77777777" w:rsidR="00E93F58" w:rsidRPr="00A35C95" w:rsidRDefault="00E93F58" w:rsidP="00366AB5">
      <w:pPr>
        <w:pStyle w:val="paragraph"/>
        <w:tabs>
          <w:tab w:val="left" w:pos="2835"/>
        </w:tabs>
      </w:pPr>
      <w:r w:rsidRPr="00A35C95">
        <w:tab/>
        <w:t>(a)</w:t>
      </w:r>
      <w:r w:rsidRPr="00A35C95">
        <w:tab/>
        <w:t>the word or expression mentioned in that paragraph is assumed or used in relation to a provisional relevant provider; and</w:t>
      </w:r>
    </w:p>
    <w:p w14:paraId="04E69279" w14:textId="77777777" w:rsidR="00E93F58" w:rsidRPr="00A35C95" w:rsidRDefault="00E93F58" w:rsidP="00366AB5">
      <w:pPr>
        <w:pStyle w:val="paragraph"/>
        <w:tabs>
          <w:tab w:val="left" w:pos="2835"/>
        </w:tabs>
      </w:pPr>
      <w:r w:rsidRPr="00A35C95">
        <w:tab/>
        <w:t>(b)</w:t>
      </w:r>
      <w:r w:rsidRPr="00A35C95">
        <w:tab/>
        <w:t>the word or expression is assumed or used as part of a word or expression specified by the standards body for the purposes of subparagraph 921U(2)(a)(v).</w:t>
      </w:r>
    </w:p>
    <w:p w14:paraId="1C8DE189" w14:textId="77777777" w:rsidR="00E93F58" w:rsidRPr="00A35C95" w:rsidRDefault="00E93F58" w:rsidP="00366AB5">
      <w:pPr>
        <w:pStyle w:val="SubsectionHead"/>
        <w:tabs>
          <w:tab w:val="left" w:pos="2835"/>
        </w:tabs>
      </w:pPr>
      <w:r w:rsidRPr="00A35C95">
        <w:t xml:space="preserve">Contravention does not affect </w:t>
      </w:r>
      <w:r w:rsidRPr="00746680">
        <w:t>arrangements for compensation</w:t>
      </w:r>
    </w:p>
    <w:p w14:paraId="0A11F361" w14:textId="77777777" w:rsidR="00E93F58" w:rsidRPr="00A35C95" w:rsidRDefault="00E93F58" w:rsidP="00366AB5">
      <w:pPr>
        <w:pStyle w:val="subsection"/>
        <w:tabs>
          <w:tab w:val="left" w:pos="2835"/>
        </w:tabs>
      </w:pPr>
      <w:r w:rsidRPr="00A35C95">
        <w:tab/>
        <w:t>(10)</w:t>
      </w:r>
      <w:r w:rsidRPr="00A35C95">
        <w:tab/>
        <w:t>To avoid doubt, this section does not affect the obligation of a financial services licensee to have arrangements in place under section 912B.</w:t>
      </w:r>
    </w:p>
    <w:p w14:paraId="6DB282F6" w14:textId="77777777" w:rsidR="00E93F58" w:rsidRPr="00A35C95" w:rsidRDefault="00E93F58" w:rsidP="00366AB5">
      <w:pPr>
        <w:pStyle w:val="notetext"/>
        <w:tabs>
          <w:tab w:val="left" w:pos="2835"/>
        </w:tabs>
      </w:pPr>
      <w:r w:rsidRPr="00A35C95">
        <w:t>Note:</w:t>
      </w:r>
      <w:r w:rsidRPr="00A35C95">
        <w:tab/>
        <w:t xml:space="preserve">Section 912B requires financial services licensees to have in place </w:t>
      </w:r>
      <w:r w:rsidRPr="00BE1284">
        <w:t>arrangements for compensation</w:t>
      </w:r>
      <w:r w:rsidRPr="00A35C95">
        <w:t xml:space="preserve"> if the licensee provides financial services to retail clients.”.</w:t>
      </w:r>
    </w:p>
    <w:p w14:paraId="74571671" w14:textId="77777777" w:rsidR="00E93F58" w:rsidRPr="00A35C95" w:rsidRDefault="00E93F58" w:rsidP="00366AB5">
      <w:pPr>
        <w:pStyle w:val="ActHead5"/>
        <w:tabs>
          <w:tab w:val="left" w:pos="2835"/>
        </w:tabs>
      </w:pPr>
      <w:bookmarkStart w:id="1006" w:name="_Toc152058075"/>
      <w:bookmarkStart w:id="1007" w:name="_Hlk95380641"/>
      <w:bookmarkStart w:id="1008" w:name="_Toc158712298"/>
      <w:r w:rsidRPr="00844D11">
        <w:rPr>
          <w:rStyle w:val="CharSectno"/>
        </w:rPr>
        <w:t>7.6.07B</w:t>
      </w:r>
      <w:r w:rsidRPr="00A35C95">
        <w:t xml:space="preserve">  Exam for existing providers</w:t>
      </w:r>
      <w:bookmarkEnd w:id="1006"/>
      <w:bookmarkEnd w:id="1008"/>
    </w:p>
    <w:p w14:paraId="4C04EFA6" w14:textId="77777777" w:rsidR="00E93F58" w:rsidRPr="00A35C95" w:rsidRDefault="00E93F58" w:rsidP="00366AB5">
      <w:pPr>
        <w:pStyle w:val="subsection"/>
        <w:tabs>
          <w:tab w:val="left" w:pos="2835"/>
        </w:tabs>
        <w:rPr>
          <w:iCs/>
          <w:color w:val="000000"/>
          <w:szCs w:val="22"/>
          <w:shd w:val="clear" w:color="auto" w:fill="FFFFFF"/>
        </w:rPr>
      </w:pPr>
      <w:r w:rsidRPr="00A35C95">
        <w:tab/>
        <w:t>(1)</w:t>
      </w:r>
      <w:r w:rsidRPr="00A35C95">
        <w:tab/>
        <w:t xml:space="preserve">For the purposes of paragraph 1684B(a) of the Act, 1 October 2022 is prescribed in relation to an existing provider who is a relevant provider if, at least twice before </w:t>
      </w:r>
      <w:r>
        <w:t>1 January</w:t>
      </w:r>
      <w:r w:rsidRPr="00A35C95">
        <w:t xml:space="preserve"> 2022, the existing provider sat an exam approved for the purposes of subsection 921B(3) of the Act as in force </w:t>
      </w:r>
      <w:r w:rsidRPr="00A35C95">
        <w:rPr>
          <w:iCs/>
          <w:color w:val="000000"/>
          <w:szCs w:val="22"/>
          <w:shd w:val="clear" w:color="auto" w:fill="FFFFFF"/>
        </w:rPr>
        <w:t xml:space="preserve">immediately before </w:t>
      </w:r>
      <w:r>
        <w:t>1 January</w:t>
      </w:r>
      <w:r w:rsidRPr="00A35C95">
        <w:t xml:space="preserve"> 2022</w:t>
      </w:r>
      <w:r w:rsidRPr="00A35C95">
        <w:rPr>
          <w:iCs/>
          <w:color w:val="000000"/>
          <w:szCs w:val="22"/>
          <w:shd w:val="clear" w:color="auto" w:fill="FFFFFF"/>
        </w:rPr>
        <w:t>.</w:t>
      </w:r>
    </w:p>
    <w:p w14:paraId="746AA438" w14:textId="77777777" w:rsidR="00E93F58" w:rsidRPr="00A35C95" w:rsidRDefault="00E93F58" w:rsidP="00366AB5">
      <w:pPr>
        <w:pStyle w:val="subsection"/>
        <w:tabs>
          <w:tab w:val="left" w:pos="2835"/>
        </w:tabs>
      </w:pPr>
      <w:r w:rsidRPr="00A35C95">
        <w:tab/>
        <w:t>(2)</w:t>
      </w:r>
      <w:r w:rsidRPr="00A35C95">
        <w:tab/>
        <w:t>In this regulation:</w:t>
      </w:r>
    </w:p>
    <w:p w14:paraId="3A2AEE48" w14:textId="77777777" w:rsidR="00E93F58" w:rsidRPr="00A35C95" w:rsidRDefault="00E93F58" w:rsidP="00366AB5">
      <w:pPr>
        <w:pStyle w:val="Definition"/>
        <w:tabs>
          <w:tab w:val="left" w:pos="2835"/>
        </w:tabs>
      </w:pPr>
      <w:r w:rsidRPr="00A35C95">
        <w:rPr>
          <w:b/>
          <w:i/>
        </w:rPr>
        <w:t>existing provider</w:t>
      </w:r>
      <w:r w:rsidRPr="00A35C95">
        <w:t xml:space="preserve"> has the meaning given by section 1546A of the Act.</w:t>
      </w:r>
    </w:p>
    <w:p w14:paraId="1C041667" w14:textId="77777777" w:rsidR="00E93F58" w:rsidRPr="00A35C95" w:rsidRDefault="00E93F58" w:rsidP="00366AB5">
      <w:pPr>
        <w:pStyle w:val="ActHead2"/>
        <w:pageBreakBefore/>
        <w:tabs>
          <w:tab w:val="left" w:pos="2835"/>
        </w:tabs>
        <w:spacing w:before="240"/>
      </w:pPr>
      <w:bookmarkStart w:id="1009" w:name="_Toc152058076"/>
      <w:bookmarkStart w:id="1010" w:name="_Toc158712299"/>
      <w:bookmarkEnd w:id="1007"/>
      <w:r w:rsidRPr="00844D11">
        <w:rPr>
          <w:rStyle w:val="CharPartNo"/>
        </w:rPr>
        <w:lastRenderedPageBreak/>
        <w:t>Part 7.6B</w:t>
      </w:r>
      <w:r w:rsidRPr="00A35C95">
        <w:t>—</w:t>
      </w:r>
      <w:r w:rsidRPr="00844D11">
        <w:rPr>
          <w:rStyle w:val="CharPartText"/>
        </w:rPr>
        <w:t>Provision of information to APRA about contracts of insurance</w:t>
      </w:r>
      <w:bookmarkEnd w:id="1009"/>
      <w:bookmarkEnd w:id="1010"/>
    </w:p>
    <w:p w14:paraId="63DC2384" w14:textId="77777777" w:rsidR="00E93F58" w:rsidRPr="00A35C95" w:rsidRDefault="00E93F58" w:rsidP="00366AB5">
      <w:pPr>
        <w:pStyle w:val="Header"/>
        <w:tabs>
          <w:tab w:val="left" w:pos="2835"/>
        </w:tabs>
      </w:pPr>
      <w:r w:rsidRPr="00844D11">
        <w:rPr>
          <w:rStyle w:val="CharDivNo"/>
        </w:rPr>
        <w:t xml:space="preserve"> </w:t>
      </w:r>
      <w:r w:rsidRPr="00844D11">
        <w:rPr>
          <w:rStyle w:val="CharDivText"/>
        </w:rPr>
        <w:t xml:space="preserve"> </w:t>
      </w:r>
    </w:p>
    <w:p w14:paraId="0F4B5E57" w14:textId="77777777" w:rsidR="00E93F58" w:rsidRPr="00A35C95" w:rsidRDefault="00E93F58" w:rsidP="00366AB5">
      <w:pPr>
        <w:pStyle w:val="ActHead5"/>
        <w:tabs>
          <w:tab w:val="left" w:pos="2835"/>
        </w:tabs>
      </w:pPr>
      <w:bookmarkStart w:id="1011" w:name="_Toc152058077"/>
      <w:bookmarkStart w:id="1012" w:name="_Toc158712300"/>
      <w:r w:rsidRPr="00844D11">
        <w:rPr>
          <w:rStyle w:val="CharSectno"/>
        </w:rPr>
        <w:t>7.6.08A</w:t>
      </w:r>
      <w:r w:rsidRPr="00A35C95">
        <w:t xml:space="preserve">  Definitions</w:t>
      </w:r>
      <w:bookmarkEnd w:id="1011"/>
      <w:bookmarkEnd w:id="1012"/>
    </w:p>
    <w:p w14:paraId="596EEBD9" w14:textId="77777777" w:rsidR="00E93F58" w:rsidRPr="00A35C95" w:rsidRDefault="00E93F58" w:rsidP="00366AB5">
      <w:pPr>
        <w:pStyle w:val="subsection"/>
        <w:tabs>
          <w:tab w:val="left" w:pos="2835"/>
        </w:tabs>
      </w:pPr>
      <w:r w:rsidRPr="00A35C95">
        <w:tab/>
      </w:r>
      <w:r w:rsidRPr="00A35C95">
        <w:tab/>
        <w:t>In this Part:</w:t>
      </w:r>
    </w:p>
    <w:p w14:paraId="0F5ABF2C" w14:textId="77777777" w:rsidR="00E93F58" w:rsidRPr="00A35C95" w:rsidRDefault="00E93F58" w:rsidP="00366AB5">
      <w:pPr>
        <w:pStyle w:val="Definition"/>
        <w:tabs>
          <w:tab w:val="left" w:pos="2835"/>
        </w:tabs>
      </w:pPr>
      <w:r w:rsidRPr="00A35C95">
        <w:rPr>
          <w:b/>
          <w:i/>
        </w:rPr>
        <w:t xml:space="preserve">general insurer </w:t>
      </w:r>
      <w:r w:rsidRPr="00A35C95">
        <w:t xml:space="preserve">has the same meaning as in subsection 3(1) of the </w:t>
      </w:r>
      <w:r w:rsidRPr="00A35C95">
        <w:rPr>
          <w:i/>
        </w:rPr>
        <w:t>Insurance Act 1973</w:t>
      </w:r>
      <w:r w:rsidRPr="00A35C95">
        <w:t>.</w:t>
      </w:r>
    </w:p>
    <w:p w14:paraId="2764BE92" w14:textId="77777777" w:rsidR="00E93F58" w:rsidRPr="00A35C95" w:rsidRDefault="00E93F58" w:rsidP="00366AB5">
      <w:pPr>
        <w:pStyle w:val="Definition"/>
        <w:tabs>
          <w:tab w:val="left" w:pos="2835"/>
        </w:tabs>
      </w:pPr>
      <w:r w:rsidRPr="00A35C95">
        <w:rPr>
          <w:b/>
          <w:i/>
        </w:rPr>
        <w:t>Lloyd’s underwriter</w:t>
      </w:r>
      <w:r w:rsidRPr="00A35C95">
        <w:t xml:space="preserve"> has the same meaning as in subsection 3(1) of the </w:t>
      </w:r>
      <w:r w:rsidRPr="00A35C95">
        <w:rPr>
          <w:i/>
        </w:rPr>
        <w:t>Insurance Act 1973</w:t>
      </w:r>
      <w:r w:rsidRPr="00A35C95">
        <w:t>.</w:t>
      </w:r>
    </w:p>
    <w:p w14:paraId="5EEFBABB" w14:textId="77777777" w:rsidR="00E93F58" w:rsidRPr="00A35C95" w:rsidRDefault="00E93F58" w:rsidP="00366AB5">
      <w:pPr>
        <w:pStyle w:val="Definition"/>
        <w:tabs>
          <w:tab w:val="left" w:pos="2835"/>
        </w:tabs>
        <w:rPr>
          <w:i/>
        </w:rPr>
      </w:pPr>
      <w:r w:rsidRPr="00A35C95">
        <w:rPr>
          <w:b/>
          <w:i/>
        </w:rPr>
        <w:t xml:space="preserve">unauthorised foreign insurer </w:t>
      </w:r>
      <w:r w:rsidRPr="00A35C95">
        <w:t xml:space="preserve">has the same meaning as in regulation 4 of the </w:t>
      </w:r>
      <w:r w:rsidRPr="00A35C95">
        <w:rPr>
          <w:i/>
        </w:rPr>
        <w:t xml:space="preserve">Insurance </w:t>
      </w:r>
      <w:r>
        <w:rPr>
          <w:i/>
        </w:rPr>
        <w:t>Regulations 2</w:t>
      </w:r>
      <w:r w:rsidRPr="00A35C95">
        <w:rPr>
          <w:i/>
        </w:rPr>
        <w:t>002.</w:t>
      </w:r>
    </w:p>
    <w:p w14:paraId="2DDB9404" w14:textId="77777777" w:rsidR="00E93F58" w:rsidRPr="00A35C95" w:rsidRDefault="00E93F58" w:rsidP="00366AB5">
      <w:pPr>
        <w:pStyle w:val="ActHead5"/>
        <w:tabs>
          <w:tab w:val="left" w:pos="2835"/>
        </w:tabs>
      </w:pPr>
      <w:bookmarkStart w:id="1013" w:name="_Toc152058078"/>
      <w:bookmarkStart w:id="1014" w:name="_Toc158712301"/>
      <w:r w:rsidRPr="00844D11">
        <w:rPr>
          <w:rStyle w:val="CharSectno"/>
        </w:rPr>
        <w:t>7.6.08B</w:t>
      </w:r>
      <w:r w:rsidRPr="00A35C95">
        <w:t xml:space="preserve">  Application</w:t>
      </w:r>
      <w:bookmarkEnd w:id="1013"/>
      <w:bookmarkEnd w:id="1014"/>
    </w:p>
    <w:p w14:paraId="5BCA2F80" w14:textId="77777777" w:rsidR="00E93F58" w:rsidRPr="00A35C95" w:rsidRDefault="00E93F58" w:rsidP="00366AB5">
      <w:pPr>
        <w:pStyle w:val="subsection"/>
        <w:tabs>
          <w:tab w:val="left" w:pos="2835"/>
        </w:tabs>
      </w:pPr>
      <w:r w:rsidRPr="00A35C95">
        <w:tab/>
      </w:r>
      <w:r w:rsidRPr="00A35C95">
        <w:tab/>
        <w:t>This Part applies to a person who is a financial services licensee authorised to deal in general insurance products.</w:t>
      </w:r>
    </w:p>
    <w:p w14:paraId="768D175D" w14:textId="77777777" w:rsidR="00E93F58" w:rsidRPr="00A35C95" w:rsidRDefault="00E93F58" w:rsidP="00366AB5">
      <w:pPr>
        <w:pStyle w:val="ActHead5"/>
        <w:tabs>
          <w:tab w:val="left" w:pos="2835"/>
        </w:tabs>
      </w:pPr>
      <w:bookmarkStart w:id="1015" w:name="_Toc152058079"/>
      <w:bookmarkStart w:id="1016" w:name="_Toc158712302"/>
      <w:r w:rsidRPr="00844D11">
        <w:rPr>
          <w:rStyle w:val="CharSectno"/>
        </w:rPr>
        <w:t>7.6.08C</w:t>
      </w:r>
      <w:r w:rsidRPr="00A35C95">
        <w:t xml:space="preserve">  Modification of section 912CA of the Act</w:t>
      </w:r>
      <w:bookmarkEnd w:id="1015"/>
      <w:bookmarkEnd w:id="1016"/>
    </w:p>
    <w:p w14:paraId="1DC65122" w14:textId="77777777" w:rsidR="00E93F58" w:rsidRPr="00A35C95" w:rsidRDefault="00E93F58" w:rsidP="00366AB5">
      <w:pPr>
        <w:pStyle w:val="subsection"/>
        <w:tabs>
          <w:tab w:val="left" w:pos="2835"/>
        </w:tabs>
      </w:pPr>
      <w:r w:rsidRPr="00A35C95">
        <w:tab/>
      </w:r>
      <w:r w:rsidRPr="00A35C95">
        <w:tab/>
        <w:t>For paragraph 926B(1)(c) of the Act, Part 7.6 of the Act applies as if section 912CA of the Act were modified to read as follows:</w:t>
      </w:r>
    </w:p>
    <w:p w14:paraId="5C23530D" w14:textId="77777777" w:rsidR="00E93F58" w:rsidRPr="00A35C95" w:rsidRDefault="00E93F58" w:rsidP="00366AB5">
      <w:pPr>
        <w:pStyle w:val="Specials"/>
        <w:tabs>
          <w:tab w:val="left" w:pos="2835"/>
        </w:tabs>
      </w:pPr>
      <w:r w:rsidRPr="00A35C95">
        <w:t>‘912CA  Regulations may require information to be provided</w:t>
      </w:r>
    </w:p>
    <w:p w14:paraId="5236016C" w14:textId="77777777" w:rsidR="00E93F58" w:rsidRPr="00A35C95" w:rsidRDefault="00E93F58" w:rsidP="00366AB5">
      <w:pPr>
        <w:pStyle w:val="subsection"/>
        <w:tabs>
          <w:tab w:val="left" w:pos="2835"/>
        </w:tabs>
      </w:pPr>
      <w:r w:rsidRPr="00A35C95">
        <w:tab/>
        <w:t>(1)</w:t>
      </w:r>
      <w:r w:rsidRPr="00A35C95">
        <w:tab/>
        <w:t>The regulations may require a financial services licensee, or each financial services licensee in a class of financial services licensees, to provide APRA (acting as ASIC’s agent) with specified information about:</w:t>
      </w:r>
    </w:p>
    <w:p w14:paraId="7CE1750E" w14:textId="77777777" w:rsidR="00E93F58" w:rsidRPr="00A35C95" w:rsidRDefault="00E93F58" w:rsidP="00366AB5">
      <w:pPr>
        <w:pStyle w:val="paragraph"/>
        <w:tabs>
          <w:tab w:val="left" w:pos="2835"/>
        </w:tabs>
      </w:pPr>
      <w:r w:rsidRPr="00A35C95">
        <w:tab/>
        <w:t>(a)</w:t>
      </w:r>
      <w:r w:rsidRPr="00A35C95">
        <w:tab/>
        <w:t>the financial services provided by the licensee or its representatives; or</w:t>
      </w:r>
    </w:p>
    <w:p w14:paraId="70549EB5" w14:textId="77777777" w:rsidR="00E93F58" w:rsidRPr="00A35C95" w:rsidRDefault="00E93F58" w:rsidP="00366AB5">
      <w:pPr>
        <w:pStyle w:val="paragraph"/>
        <w:keepNext/>
        <w:keepLines/>
        <w:tabs>
          <w:tab w:val="left" w:pos="2835"/>
        </w:tabs>
      </w:pPr>
      <w:r w:rsidRPr="00A35C95">
        <w:tab/>
        <w:t>(b)</w:t>
      </w:r>
      <w:r w:rsidRPr="00A35C95">
        <w:tab/>
        <w:t>the financial services business carried on by the licensee.</w:t>
      </w:r>
    </w:p>
    <w:p w14:paraId="79597312" w14:textId="77777777" w:rsidR="00E93F58" w:rsidRPr="00A35C95" w:rsidRDefault="00E93F58" w:rsidP="00366AB5">
      <w:pPr>
        <w:pStyle w:val="subsection"/>
        <w:tabs>
          <w:tab w:val="left" w:pos="2835"/>
        </w:tabs>
        <w:spacing w:before="120"/>
      </w:pPr>
      <w:r w:rsidRPr="00A35C95">
        <w:tab/>
        <w:t>(2)</w:t>
      </w:r>
      <w:r w:rsidRPr="00A35C95">
        <w:tab/>
        <w:t>The specified information:</w:t>
      </w:r>
    </w:p>
    <w:p w14:paraId="77A07A56" w14:textId="77777777" w:rsidR="00E93F58" w:rsidRPr="00A35C95" w:rsidRDefault="00E93F58" w:rsidP="00366AB5">
      <w:pPr>
        <w:pStyle w:val="paragraph"/>
        <w:tabs>
          <w:tab w:val="left" w:pos="2835"/>
        </w:tabs>
      </w:pPr>
      <w:r w:rsidRPr="00A35C95">
        <w:tab/>
        <w:t>(a)</w:t>
      </w:r>
      <w:r w:rsidRPr="00A35C95">
        <w:tab/>
        <w:t>must be lodged in the prescribed form; and</w:t>
      </w:r>
    </w:p>
    <w:p w14:paraId="62823EBC" w14:textId="77777777" w:rsidR="00E93F58" w:rsidRPr="00A35C95" w:rsidRDefault="00E93F58" w:rsidP="00366AB5">
      <w:pPr>
        <w:pStyle w:val="paragraph"/>
        <w:tabs>
          <w:tab w:val="left" w:pos="2835"/>
        </w:tabs>
      </w:pPr>
      <w:r w:rsidRPr="00A35C95">
        <w:tab/>
        <w:t>(b)</w:t>
      </w:r>
      <w:r w:rsidRPr="00A35C95">
        <w:tab/>
        <w:t>must include:</w:t>
      </w:r>
    </w:p>
    <w:p w14:paraId="39AD9820" w14:textId="77777777" w:rsidR="00E93F58" w:rsidRPr="00A35C95" w:rsidRDefault="00E93F58" w:rsidP="00366AB5">
      <w:pPr>
        <w:pStyle w:val="paragraphsub"/>
        <w:tabs>
          <w:tab w:val="left" w:pos="2835"/>
        </w:tabs>
      </w:pPr>
      <w:r w:rsidRPr="00A35C95">
        <w:tab/>
        <w:t>(i)</w:t>
      </w:r>
      <w:r w:rsidRPr="00A35C95">
        <w:tab/>
        <w:t>the information, statements, explanations or other matters required by the form; and</w:t>
      </w:r>
    </w:p>
    <w:p w14:paraId="53B1D7B2" w14:textId="77777777" w:rsidR="00E93F58" w:rsidRPr="00A35C95" w:rsidRDefault="00E93F58" w:rsidP="00366AB5">
      <w:pPr>
        <w:pStyle w:val="paragraphsub"/>
        <w:tabs>
          <w:tab w:val="left" w:pos="2835"/>
        </w:tabs>
      </w:pPr>
      <w:r w:rsidRPr="00A35C95">
        <w:tab/>
        <w:t>(ii)</w:t>
      </w:r>
      <w:r w:rsidRPr="00A35C95">
        <w:tab/>
        <w:t>any further information requested by APRA in relation to any of the matters in subparagraph (i); and</w:t>
      </w:r>
    </w:p>
    <w:p w14:paraId="68AC99DC" w14:textId="77777777" w:rsidR="00E93F58" w:rsidRPr="00A35C95" w:rsidRDefault="00E93F58" w:rsidP="00366AB5">
      <w:pPr>
        <w:pStyle w:val="paragraph"/>
        <w:tabs>
          <w:tab w:val="left" w:pos="2835"/>
        </w:tabs>
      </w:pPr>
      <w:r w:rsidRPr="00A35C95">
        <w:tab/>
        <w:t>(c)</w:t>
      </w:r>
      <w:r w:rsidRPr="00A35C95">
        <w:tab/>
        <w:t>must be accompanied by any other material required by the form.’</w:t>
      </w:r>
    </w:p>
    <w:p w14:paraId="409770BA" w14:textId="77777777" w:rsidR="00E93F58" w:rsidRPr="00A35C95" w:rsidRDefault="00E93F58" w:rsidP="00366AB5">
      <w:pPr>
        <w:pStyle w:val="ActHead5"/>
        <w:tabs>
          <w:tab w:val="left" w:pos="2835"/>
        </w:tabs>
      </w:pPr>
      <w:bookmarkStart w:id="1017" w:name="_Toc152058080"/>
      <w:bookmarkStart w:id="1018" w:name="_Toc158712303"/>
      <w:r w:rsidRPr="00844D11">
        <w:rPr>
          <w:rStyle w:val="CharSectno"/>
        </w:rPr>
        <w:t>7.6.08D</w:t>
      </w:r>
      <w:r w:rsidRPr="00A35C95">
        <w:t xml:space="preserve">  Information about general insurance products</w:t>
      </w:r>
      <w:bookmarkEnd w:id="1017"/>
      <w:bookmarkEnd w:id="1018"/>
    </w:p>
    <w:p w14:paraId="0CCC6751" w14:textId="77777777" w:rsidR="00E93F58" w:rsidRPr="00A35C95" w:rsidRDefault="00E93F58" w:rsidP="00366AB5">
      <w:pPr>
        <w:pStyle w:val="subsection"/>
        <w:tabs>
          <w:tab w:val="left" w:pos="2835"/>
        </w:tabs>
      </w:pPr>
      <w:r w:rsidRPr="00A35C95">
        <w:tab/>
        <w:t>(1)</w:t>
      </w:r>
      <w:r w:rsidRPr="00A35C95">
        <w:tab/>
        <w:t>This regulation applies in relation to a general insurance product that:</w:t>
      </w:r>
    </w:p>
    <w:p w14:paraId="18A43671" w14:textId="77777777" w:rsidR="00E93F58" w:rsidRPr="00A35C95" w:rsidRDefault="00E93F58" w:rsidP="00366AB5">
      <w:pPr>
        <w:pStyle w:val="paragraph"/>
        <w:tabs>
          <w:tab w:val="left" w:pos="2835"/>
        </w:tabs>
      </w:pPr>
      <w:r w:rsidRPr="00A35C95">
        <w:tab/>
        <w:t>(a)</w:t>
      </w:r>
      <w:r w:rsidRPr="00A35C95">
        <w:tab/>
        <w:t>is entered into as a result of a dealing in the product, either wholly or partially, by the person, with a general insurer, Lloyd’s underwriter or an unauthorised foreign insurer; and</w:t>
      </w:r>
    </w:p>
    <w:p w14:paraId="6EC94060" w14:textId="77777777" w:rsidR="00E93F58" w:rsidRPr="00A35C95" w:rsidRDefault="00E93F58" w:rsidP="00366AB5">
      <w:pPr>
        <w:pStyle w:val="paragraph"/>
        <w:tabs>
          <w:tab w:val="left" w:pos="2835"/>
        </w:tabs>
      </w:pPr>
      <w:r w:rsidRPr="00A35C95">
        <w:tab/>
        <w:t>(b)</w:t>
      </w:r>
      <w:r w:rsidRPr="00A35C95">
        <w:tab/>
        <w:t>is not a reinsurance contract or a retrocession contract.</w:t>
      </w:r>
    </w:p>
    <w:p w14:paraId="39B78CF9" w14:textId="77777777" w:rsidR="00E93F58" w:rsidRPr="00A35C95" w:rsidRDefault="00E93F58" w:rsidP="00366AB5">
      <w:pPr>
        <w:pStyle w:val="subsection"/>
        <w:tabs>
          <w:tab w:val="left" w:pos="2835"/>
        </w:tabs>
      </w:pPr>
      <w:r w:rsidRPr="00A35C95">
        <w:tab/>
        <w:t>(2)</w:t>
      </w:r>
      <w:r w:rsidRPr="00A35C95">
        <w:tab/>
        <w:t>However, if the person is a general insurer, this regulation does not apply in relation to a general insurance product issued by the person.</w:t>
      </w:r>
    </w:p>
    <w:p w14:paraId="51A80E16" w14:textId="77777777" w:rsidR="00E93F58" w:rsidRPr="00A35C95" w:rsidRDefault="00E93F58" w:rsidP="00366AB5">
      <w:pPr>
        <w:pStyle w:val="subsection"/>
        <w:tabs>
          <w:tab w:val="left" w:pos="2835"/>
        </w:tabs>
      </w:pPr>
      <w:r w:rsidRPr="00A35C95">
        <w:tab/>
        <w:t>(3)</w:t>
      </w:r>
      <w:r w:rsidRPr="00A35C95">
        <w:tab/>
        <w:t>For section 912CA of the Act, the person must provide information to APRA about the general insurance product entered into in a reporting period specified in subregulation (5):</w:t>
      </w:r>
    </w:p>
    <w:p w14:paraId="373155D5" w14:textId="77777777" w:rsidR="00E93F58" w:rsidRPr="00A35C95" w:rsidRDefault="00E93F58" w:rsidP="00366AB5">
      <w:pPr>
        <w:pStyle w:val="paragraph"/>
        <w:tabs>
          <w:tab w:val="left" w:pos="2835"/>
        </w:tabs>
      </w:pPr>
      <w:r w:rsidRPr="00A35C95">
        <w:tab/>
        <w:t>(a)</w:t>
      </w:r>
      <w:r w:rsidRPr="00A35C95">
        <w:tab/>
        <w:t>in accordance with Table 1 in Form 701; and</w:t>
      </w:r>
    </w:p>
    <w:p w14:paraId="7AB69F2C" w14:textId="77777777" w:rsidR="00E93F58" w:rsidRPr="00A35C95" w:rsidRDefault="00E93F58" w:rsidP="00366AB5">
      <w:pPr>
        <w:pStyle w:val="paragraph"/>
        <w:tabs>
          <w:tab w:val="left" w:pos="2835"/>
        </w:tabs>
      </w:pPr>
      <w:r w:rsidRPr="00A35C95">
        <w:tab/>
        <w:t>(b)</w:t>
      </w:r>
      <w:r w:rsidRPr="00A35C95">
        <w:tab/>
        <w:t>either:</w:t>
      </w:r>
    </w:p>
    <w:p w14:paraId="4B05502C" w14:textId="77777777" w:rsidR="00E93F58" w:rsidRPr="00A35C95" w:rsidRDefault="00E93F58" w:rsidP="00366AB5">
      <w:pPr>
        <w:pStyle w:val="paragraphsub"/>
        <w:tabs>
          <w:tab w:val="left" w:pos="2835"/>
        </w:tabs>
      </w:pPr>
      <w:r w:rsidRPr="00A35C95">
        <w:tab/>
        <w:t>(i)</w:t>
      </w:r>
      <w:r w:rsidRPr="00A35C95">
        <w:tab/>
        <w:t>within the time specified by ASIC or APRA if that is a reasonable time; or</w:t>
      </w:r>
    </w:p>
    <w:p w14:paraId="25E1851F" w14:textId="77777777" w:rsidR="00E93F58" w:rsidRPr="00A35C95" w:rsidRDefault="00E93F58" w:rsidP="00366AB5">
      <w:pPr>
        <w:pStyle w:val="paragraphsub"/>
        <w:tabs>
          <w:tab w:val="left" w:pos="2835"/>
        </w:tabs>
      </w:pPr>
      <w:r w:rsidRPr="00A35C95">
        <w:tab/>
        <w:t>(ii)</w:t>
      </w:r>
      <w:r w:rsidRPr="00A35C95">
        <w:tab/>
        <w:t>if ASIC or APRA do not specify a time—within 20 business days after the last day of the applicable reporting period.</w:t>
      </w:r>
    </w:p>
    <w:p w14:paraId="57BCC7A2" w14:textId="77777777" w:rsidR="00E93F58" w:rsidRPr="00A35C95" w:rsidRDefault="00E93F58" w:rsidP="00366AB5">
      <w:pPr>
        <w:pStyle w:val="Penalty"/>
        <w:tabs>
          <w:tab w:val="left" w:pos="2835"/>
        </w:tabs>
      </w:pPr>
      <w:r w:rsidRPr="00A35C95">
        <w:t>Penalty:</w:t>
      </w:r>
    </w:p>
    <w:p w14:paraId="004375BC" w14:textId="77777777" w:rsidR="00E93F58" w:rsidRPr="00A35C95" w:rsidRDefault="00E93F58" w:rsidP="00366AB5">
      <w:pPr>
        <w:pStyle w:val="paragraph"/>
        <w:tabs>
          <w:tab w:val="left" w:pos="2835"/>
        </w:tabs>
      </w:pPr>
      <w:r w:rsidRPr="00A35C95">
        <w:tab/>
        <w:t>(a)</w:t>
      </w:r>
      <w:r w:rsidRPr="00A35C95">
        <w:tab/>
        <w:t>for an individual—20 penalty units; and</w:t>
      </w:r>
    </w:p>
    <w:p w14:paraId="370865A5" w14:textId="77777777" w:rsidR="00E93F58" w:rsidRPr="00A35C95" w:rsidRDefault="00E93F58" w:rsidP="00366AB5">
      <w:pPr>
        <w:pStyle w:val="paragraph"/>
        <w:tabs>
          <w:tab w:val="left" w:pos="2835"/>
        </w:tabs>
      </w:pPr>
      <w:r w:rsidRPr="00A35C95">
        <w:tab/>
        <w:t>(b)</w:t>
      </w:r>
      <w:r w:rsidRPr="00A35C95">
        <w:tab/>
        <w:t>for a body corporate—200 penalty units.</w:t>
      </w:r>
    </w:p>
    <w:p w14:paraId="58303532" w14:textId="77777777" w:rsidR="00E93F58" w:rsidRPr="00A35C95" w:rsidRDefault="00E93F58" w:rsidP="00366AB5">
      <w:pPr>
        <w:pStyle w:val="subsection"/>
        <w:tabs>
          <w:tab w:val="left" w:pos="2835"/>
        </w:tabs>
      </w:pPr>
      <w:r w:rsidRPr="00A35C95">
        <w:lastRenderedPageBreak/>
        <w:tab/>
        <w:t>(4)</w:t>
      </w:r>
      <w:r w:rsidRPr="00A35C95">
        <w:tab/>
        <w:t>For section 912CA of the Act, the person must provide further information to APRA relating to the information provided in accordance with Table 1 in Form 701:</w:t>
      </w:r>
    </w:p>
    <w:p w14:paraId="4C75A79D" w14:textId="77777777" w:rsidR="00E93F58" w:rsidRPr="00A35C95" w:rsidRDefault="00E93F58" w:rsidP="00366AB5">
      <w:pPr>
        <w:pStyle w:val="paragraph"/>
        <w:tabs>
          <w:tab w:val="left" w:pos="2835"/>
        </w:tabs>
      </w:pPr>
      <w:r w:rsidRPr="00A35C95">
        <w:tab/>
        <w:t>(a)</w:t>
      </w:r>
      <w:r w:rsidRPr="00A35C95">
        <w:tab/>
        <w:t>if APRA makes a request in writing for the further information; and</w:t>
      </w:r>
    </w:p>
    <w:p w14:paraId="58AC13D1" w14:textId="77777777" w:rsidR="00E93F58" w:rsidRPr="00A35C95" w:rsidRDefault="00E93F58" w:rsidP="00366AB5">
      <w:pPr>
        <w:pStyle w:val="paragraph"/>
        <w:tabs>
          <w:tab w:val="left" w:pos="2835"/>
        </w:tabs>
      </w:pPr>
      <w:r w:rsidRPr="00A35C95">
        <w:tab/>
        <w:t>(b)</w:t>
      </w:r>
      <w:r w:rsidRPr="00A35C95">
        <w:tab/>
        <w:t>either:</w:t>
      </w:r>
    </w:p>
    <w:p w14:paraId="5C811456" w14:textId="77777777" w:rsidR="00E93F58" w:rsidRPr="00A35C95" w:rsidRDefault="00E93F58" w:rsidP="00366AB5">
      <w:pPr>
        <w:pStyle w:val="paragraphsub"/>
        <w:tabs>
          <w:tab w:val="left" w:pos="2835"/>
        </w:tabs>
      </w:pPr>
      <w:r w:rsidRPr="00A35C95">
        <w:tab/>
        <w:t>(i)</w:t>
      </w:r>
      <w:r w:rsidRPr="00A35C95">
        <w:tab/>
        <w:t>within 5 business days of receiving the request; or</w:t>
      </w:r>
    </w:p>
    <w:p w14:paraId="5EF61828" w14:textId="77777777" w:rsidR="00E93F58" w:rsidRPr="00A35C95" w:rsidRDefault="00E93F58" w:rsidP="00366AB5">
      <w:pPr>
        <w:pStyle w:val="paragraphsub"/>
        <w:tabs>
          <w:tab w:val="left" w:pos="2835"/>
        </w:tabs>
      </w:pPr>
      <w:r w:rsidRPr="00A35C95">
        <w:tab/>
        <w:t>(ii)</w:t>
      </w:r>
      <w:r w:rsidRPr="00A35C95">
        <w:tab/>
        <w:t>if ASIC or APRA specifies a later date—by that date.</w:t>
      </w:r>
    </w:p>
    <w:p w14:paraId="2209AC78" w14:textId="77777777" w:rsidR="00E93F58" w:rsidRPr="00A35C95" w:rsidRDefault="00E93F58" w:rsidP="00366AB5">
      <w:pPr>
        <w:pStyle w:val="Penalty"/>
        <w:tabs>
          <w:tab w:val="left" w:pos="2835"/>
        </w:tabs>
      </w:pPr>
      <w:r w:rsidRPr="00A35C95">
        <w:t>Penalty:</w:t>
      </w:r>
    </w:p>
    <w:p w14:paraId="682A4DAF" w14:textId="77777777" w:rsidR="00E93F58" w:rsidRPr="00A35C95" w:rsidRDefault="00E93F58" w:rsidP="00366AB5">
      <w:pPr>
        <w:pStyle w:val="paragraph"/>
        <w:tabs>
          <w:tab w:val="left" w:pos="2835"/>
        </w:tabs>
      </w:pPr>
      <w:r w:rsidRPr="00A35C95">
        <w:tab/>
        <w:t>(a)</w:t>
      </w:r>
      <w:r w:rsidRPr="00A35C95">
        <w:tab/>
        <w:t>for an individual—20 penalty units; and</w:t>
      </w:r>
    </w:p>
    <w:p w14:paraId="39F32777" w14:textId="77777777" w:rsidR="00E93F58" w:rsidRPr="00A35C95" w:rsidRDefault="00E93F58" w:rsidP="00366AB5">
      <w:pPr>
        <w:pStyle w:val="paragraph"/>
        <w:tabs>
          <w:tab w:val="left" w:pos="2835"/>
        </w:tabs>
      </w:pPr>
      <w:r w:rsidRPr="00A35C95">
        <w:tab/>
        <w:t>(b)</w:t>
      </w:r>
      <w:r w:rsidRPr="00A35C95">
        <w:tab/>
        <w:t>for a body corporate—200 penalty units.</w:t>
      </w:r>
    </w:p>
    <w:p w14:paraId="403DC17E" w14:textId="77777777" w:rsidR="00E93F58" w:rsidRPr="00A35C95" w:rsidRDefault="00E93F58" w:rsidP="00366AB5">
      <w:pPr>
        <w:pStyle w:val="subsection"/>
        <w:tabs>
          <w:tab w:val="left" w:pos="2835"/>
        </w:tabs>
      </w:pPr>
      <w:r w:rsidRPr="00A35C95">
        <w:tab/>
        <w:t>(5)</w:t>
      </w:r>
      <w:r w:rsidRPr="00A35C95">
        <w:tab/>
        <w:t>The reporting periods are:</w:t>
      </w:r>
    </w:p>
    <w:p w14:paraId="1C34E0A2" w14:textId="77777777" w:rsidR="00E93F58" w:rsidRPr="00A35C95" w:rsidRDefault="00E93F58" w:rsidP="00366AB5">
      <w:pPr>
        <w:pStyle w:val="paragraph"/>
        <w:tabs>
          <w:tab w:val="left" w:pos="2835"/>
        </w:tabs>
      </w:pPr>
      <w:r w:rsidRPr="00A35C95">
        <w:tab/>
        <w:t>(a)</w:t>
      </w:r>
      <w:r w:rsidRPr="00A35C95">
        <w:tab/>
        <w:t>1 May to 30 June 2010; and</w:t>
      </w:r>
    </w:p>
    <w:p w14:paraId="339A62DF" w14:textId="77777777" w:rsidR="00E93F58" w:rsidRPr="00A35C95" w:rsidRDefault="00E93F58" w:rsidP="00366AB5">
      <w:pPr>
        <w:pStyle w:val="paragraph"/>
        <w:tabs>
          <w:tab w:val="left" w:pos="2835"/>
        </w:tabs>
      </w:pPr>
      <w:r w:rsidRPr="00A35C95">
        <w:tab/>
        <w:t>(b)</w:t>
      </w:r>
      <w:r w:rsidRPr="00A35C95">
        <w:tab/>
        <w:t>1 July to 31 December 2010; and</w:t>
      </w:r>
    </w:p>
    <w:p w14:paraId="44CFCB72" w14:textId="77777777" w:rsidR="00E93F58" w:rsidRPr="00A35C95" w:rsidRDefault="00E93F58" w:rsidP="00366AB5">
      <w:pPr>
        <w:pStyle w:val="paragraph"/>
        <w:tabs>
          <w:tab w:val="left" w:pos="2835"/>
        </w:tabs>
      </w:pPr>
      <w:r w:rsidRPr="00A35C95">
        <w:tab/>
        <w:t>(c)</w:t>
      </w:r>
      <w:r w:rsidRPr="00A35C95">
        <w:tab/>
      </w:r>
      <w:r>
        <w:t>1 January</w:t>
      </w:r>
      <w:r w:rsidRPr="00A35C95">
        <w:t xml:space="preserve"> to 30 June in any year after 2010; and</w:t>
      </w:r>
    </w:p>
    <w:p w14:paraId="72BCA45C" w14:textId="77777777" w:rsidR="00E93F58" w:rsidRPr="00A35C95" w:rsidRDefault="00E93F58" w:rsidP="00366AB5">
      <w:pPr>
        <w:pStyle w:val="paragraph"/>
        <w:tabs>
          <w:tab w:val="left" w:pos="2835"/>
        </w:tabs>
      </w:pPr>
      <w:r w:rsidRPr="00A35C95">
        <w:tab/>
        <w:t>(d)</w:t>
      </w:r>
      <w:r w:rsidRPr="00A35C95">
        <w:tab/>
        <w:t>1 July to 31 December in any year after 2010.</w:t>
      </w:r>
    </w:p>
    <w:p w14:paraId="49FA565B" w14:textId="77777777" w:rsidR="00E93F58" w:rsidRPr="00A35C95" w:rsidRDefault="00E93F58" w:rsidP="00366AB5">
      <w:pPr>
        <w:pStyle w:val="subsection"/>
        <w:tabs>
          <w:tab w:val="left" w:pos="2835"/>
        </w:tabs>
      </w:pPr>
      <w:r w:rsidRPr="00A35C95">
        <w:tab/>
        <w:t>(6)</w:t>
      </w:r>
      <w:r w:rsidRPr="00A35C95">
        <w:tab/>
        <w:t>Strict liability applies to subregulations (3) and (4).</w:t>
      </w:r>
    </w:p>
    <w:p w14:paraId="23CFC17E" w14:textId="77777777" w:rsidR="00E93F58" w:rsidRPr="00A35C95" w:rsidRDefault="00E93F58" w:rsidP="00366AB5">
      <w:pPr>
        <w:pStyle w:val="ActHead5"/>
        <w:tabs>
          <w:tab w:val="left" w:pos="2835"/>
        </w:tabs>
      </w:pPr>
      <w:bookmarkStart w:id="1019" w:name="_Toc152058081"/>
      <w:bookmarkStart w:id="1020" w:name="_Toc158712304"/>
      <w:r w:rsidRPr="00844D11">
        <w:rPr>
          <w:rStyle w:val="CharSectno"/>
        </w:rPr>
        <w:t>7.6.08E</w:t>
      </w:r>
      <w:r w:rsidRPr="00A35C95">
        <w:t xml:space="preserve">  Information about general insurance products—unauthorised foreign insurers</w:t>
      </w:r>
      <w:bookmarkEnd w:id="1019"/>
      <w:bookmarkEnd w:id="1020"/>
    </w:p>
    <w:p w14:paraId="743ECFD8" w14:textId="77777777" w:rsidR="00E93F58" w:rsidRPr="00A35C95" w:rsidRDefault="00E93F58" w:rsidP="00366AB5">
      <w:pPr>
        <w:pStyle w:val="subsection"/>
        <w:tabs>
          <w:tab w:val="left" w:pos="2835"/>
        </w:tabs>
      </w:pPr>
      <w:r w:rsidRPr="00A35C95">
        <w:tab/>
        <w:t>(1)</w:t>
      </w:r>
      <w:r w:rsidRPr="00A35C95">
        <w:tab/>
        <w:t>This regulation applies in relation to a general insurance product:</w:t>
      </w:r>
    </w:p>
    <w:p w14:paraId="28B87FD7" w14:textId="77777777" w:rsidR="00E93F58" w:rsidRPr="00A35C95" w:rsidRDefault="00E93F58" w:rsidP="00366AB5">
      <w:pPr>
        <w:pStyle w:val="paragraph"/>
        <w:tabs>
          <w:tab w:val="left" w:pos="2835"/>
        </w:tabs>
      </w:pPr>
      <w:r w:rsidRPr="00A35C95">
        <w:tab/>
        <w:t>(a)</w:t>
      </w:r>
      <w:r w:rsidRPr="00A35C95">
        <w:tab/>
        <w:t>that is entered into as a result of a dealing in the product, either wholly or partially, by the person; and</w:t>
      </w:r>
    </w:p>
    <w:p w14:paraId="490D2403" w14:textId="77777777" w:rsidR="00E93F58" w:rsidRPr="00A35C95" w:rsidRDefault="00E93F58" w:rsidP="00366AB5">
      <w:pPr>
        <w:pStyle w:val="paragraph"/>
        <w:tabs>
          <w:tab w:val="left" w:pos="2835"/>
        </w:tabs>
      </w:pPr>
      <w:r w:rsidRPr="00A35C95">
        <w:tab/>
        <w:t>(b)</w:t>
      </w:r>
      <w:r w:rsidRPr="00A35C95">
        <w:tab/>
        <w:t>that is not a reinsurance contract or a retrocession contract; and</w:t>
      </w:r>
    </w:p>
    <w:p w14:paraId="182B56D1" w14:textId="77777777" w:rsidR="00E93F58" w:rsidRPr="00A35C95" w:rsidRDefault="00E93F58" w:rsidP="00366AB5">
      <w:pPr>
        <w:pStyle w:val="paragraph"/>
        <w:tabs>
          <w:tab w:val="left" w:pos="2835"/>
        </w:tabs>
      </w:pPr>
      <w:r w:rsidRPr="00A35C95">
        <w:tab/>
        <w:t>(c)</w:t>
      </w:r>
      <w:r w:rsidRPr="00A35C95">
        <w:tab/>
        <w:t>in relation to which an unauthorised foreign insurer is a party to the contract that is the general insurance product.</w:t>
      </w:r>
    </w:p>
    <w:p w14:paraId="51AE4D97" w14:textId="77777777" w:rsidR="00E93F58" w:rsidRPr="00A35C95" w:rsidRDefault="00E93F58" w:rsidP="00366AB5">
      <w:pPr>
        <w:pStyle w:val="notetext"/>
        <w:tabs>
          <w:tab w:val="left" w:pos="2835"/>
        </w:tabs>
      </w:pPr>
      <w:r w:rsidRPr="00A35C95">
        <w:t>Note:</w:t>
      </w:r>
      <w:r w:rsidRPr="00A35C95">
        <w:tab/>
        <w:t xml:space="preserve">An unauthorised foreign insurer may be a party to a contract of insurance to which Part 2 of the </w:t>
      </w:r>
      <w:r w:rsidRPr="00A35C95">
        <w:rPr>
          <w:i/>
        </w:rPr>
        <w:t xml:space="preserve">Insurance </w:t>
      </w:r>
      <w:r>
        <w:rPr>
          <w:i/>
        </w:rPr>
        <w:t>Regulations 2</w:t>
      </w:r>
      <w:r w:rsidRPr="00A35C95">
        <w:rPr>
          <w:i/>
        </w:rPr>
        <w:t>002</w:t>
      </w:r>
      <w:r w:rsidRPr="00A35C95">
        <w:t xml:space="preserve"> applies. These are insurance contracts for:</w:t>
      </w:r>
    </w:p>
    <w:p w14:paraId="26E38681" w14:textId="77777777" w:rsidR="00E93F58" w:rsidRPr="00A35C95" w:rsidRDefault="00E93F58" w:rsidP="00366AB5">
      <w:pPr>
        <w:pStyle w:val="notepara"/>
        <w:tabs>
          <w:tab w:val="left" w:pos="2835"/>
        </w:tabs>
      </w:pPr>
      <w:r w:rsidRPr="00A35C95">
        <w:t>(a)</w:t>
      </w:r>
      <w:r w:rsidRPr="00A35C95">
        <w:tab/>
        <w:t>high</w:t>
      </w:r>
      <w:r>
        <w:noBreakHyphen/>
      </w:r>
      <w:r w:rsidRPr="00A35C95">
        <w:t>value insured; and</w:t>
      </w:r>
    </w:p>
    <w:p w14:paraId="01ABC4E1" w14:textId="77777777" w:rsidR="00E93F58" w:rsidRPr="00A35C95" w:rsidRDefault="00E93F58" w:rsidP="00366AB5">
      <w:pPr>
        <w:pStyle w:val="notepara"/>
        <w:tabs>
          <w:tab w:val="left" w:pos="2835"/>
        </w:tabs>
      </w:pPr>
      <w:r w:rsidRPr="00A35C95">
        <w:t>(b)</w:t>
      </w:r>
      <w:r w:rsidRPr="00A35C95">
        <w:tab/>
        <w:t>atypical risks; and</w:t>
      </w:r>
    </w:p>
    <w:p w14:paraId="35ACA030" w14:textId="77777777" w:rsidR="00E93F58" w:rsidRPr="00A35C95" w:rsidRDefault="00E93F58" w:rsidP="00366AB5">
      <w:pPr>
        <w:pStyle w:val="notepara"/>
        <w:tabs>
          <w:tab w:val="left" w:pos="2835"/>
        </w:tabs>
      </w:pPr>
      <w:r w:rsidRPr="00A35C95">
        <w:t>(c)</w:t>
      </w:r>
      <w:r w:rsidRPr="00A35C95">
        <w:tab/>
        <w:t>risks that cannot reasonably be placed in Australia; and</w:t>
      </w:r>
    </w:p>
    <w:p w14:paraId="3A8A30F9" w14:textId="77777777" w:rsidR="00E93F58" w:rsidRPr="00A35C95" w:rsidRDefault="00E93F58" w:rsidP="00366AB5">
      <w:pPr>
        <w:pStyle w:val="notepara"/>
        <w:tabs>
          <w:tab w:val="left" w:pos="2835"/>
        </w:tabs>
      </w:pPr>
      <w:r w:rsidRPr="00A35C95">
        <w:t>(d)</w:t>
      </w:r>
      <w:r w:rsidRPr="00A35C95">
        <w:tab/>
        <w:t>contracts required by foreign law.</w:t>
      </w:r>
    </w:p>
    <w:p w14:paraId="6285A1A3" w14:textId="77777777" w:rsidR="00E93F58" w:rsidRPr="00A35C95" w:rsidRDefault="00E93F58" w:rsidP="00366AB5">
      <w:pPr>
        <w:pStyle w:val="subsection"/>
        <w:tabs>
          <w:tab w:val="left" w:pos="2835"/>
        </w:tabs>
      </w:pPr>
      <w:r w:rsidRPr="00A35C95">
        <w:tab/>
        <w:t>(2)</w:t>
      </w:r>
      <w:r w:rsidRPr="00A35C95">
        <w:tab/>
        <w:t>However, if the general insurance product has been dealt with by more than 1 person, this regulation only applies, in relation to the general insurance product, to the person who has:</w:t>
      </w:r>
    </w:p>
    <w:p w14:paraId="3B96DA9C" w14:textId="77777777" w:rsidR="00E93F58" w:rsidRPr="00A35C95" w:rsidRDefault="00E93F58" w:rsidP="00366AB5">
      <w:pPr>
        <w:pStyle w:val="paragraph"/>
        <w:tabs>
          <w:tab w:val="left" w:pos="2835"/>
        </w:tabs>
      </w:pPr>
      <w:r w:rsidRPr="00A35C95">
        <w:tab/>
        <w:t>(a)</w:t>
      </w:r>
      <w:r w:rsidRPr="00A35C95">
        <w:tab/>
        <w:t>dealt directly with the unauthorised foreign insurer; or</w:t>
      </w:r>
    </w:p>
    <w:p w14:paraId="254D57D5" w14:textId="77777777" w:rsidR="00E93F58" w:rsidRPr="00A35C95" w:rsidRDefault="00E93F58" w:rsidP="00366AB5">
      <w:pPr>
        <w:pStyle w:val="paragraph"/>
        <w:tabs>
          <w:tab w:val="left" w:pos="2835"/>
        </w:tabs>
      </w:pPr>
      <w:r w:rsidRPr="00A35C95">
        <w:tab/>
        <w:t>(b)</w:t>
      </w:r>
      <w:r w:rsidRPr="00A35C95">
        <w:tab/>
        <w:t>dealt indirectly with the unauthorised foreign insurer through a foreign intermediary.</w:t>
      </w:r>
    </w:p>
    <w:p w14:paraId="232F52F5" w14:textId="77777777" w:rsidR="00E93F58" w:rsidRPr="00A35C95" w:rsidRDefault="00E93F58" w:rsidP="00366AB5">
      <w:pPr>
        <w:pStyle w:val="subsection"/>
        <w:tabs>
          <w:tab w:val="left" w:pos="2835"/>
        </w:tabs>
      </w:pPr>
      <w:r w:rsidRPr="00A35C95">
        <w:tab/>
        <w:t>(3)</w:t>
      </w:r>
      <w:r w:rsidRPr="00A35C95">
        <w:tab/>
        <w:t>For section 912CA of the Act, the person must provide information to APRA about the general insurance product entered into within a reporting period specified in subregulation (5):</w:t>
      </w:r>
    </w:p>
    <w:p w14:paraId="698E4CE7" w14:textId="77777777" w:rsidR="00E93F58" w:rsidRPr="00A35C95" w:rsidRDefault="00E93F58" w:rsidP="00366AB5">
      <w:pPr>
        <w:pStyle w:val="paragraph"/>
        <w:tabs>
          <w:tab w:val="left" w:pos="2835"/>
        </w:tabs>
      </w:pPr>
      <w:r w:rsidRPr="00A35C95">
        <w:tab/>
        <w:t>(a)</w:t>
      </w:r>
      <w:r w:rsidRPr="00A35C95">
        <w:tab/>
        <w:t>in accordance with Table 2 in Form 701; and</w:t>
      </w:r>
    </w:p>
    <w:p w14:paraId="13293A33" w14:textId="77777777" w:rsidR="00E93F58" w:rsidRPr="00A35C95" w:rsidRDefault="00E93F58" w:rsidP="00366AB5">
      <w:pPr>
        <w:pStyle w:val="paragraph"/>
        <w:tabs>
          <w:tab w:val="left" w:pos="2835"/>
        </w:tabs>
      </w:pPr>
      <w:r w:rsidRPr="00A35C95">
        <w:tab/>
        <w:t>(b)</w:t>
      </w:r>
      <w:r w:rsidRPr="00A35C95">
        <w:tab/>
        <w:t>either:</w:t>
      </w:r>
    </w:p>
    <w:p w14:paraId="2FAA68CE" w14:textId="77777777" w:rsidR="00E93F58" w:rsidRPr="00A35C95" w:rsidRDefault="00E93F58" w:rsidP="00366AB5">
      <w:pPr>
        <w:pStyle w:val="paragraphsub"/>
        <w:tabs>
          <w:tab w:val="left" w:pos="2835"/>
        </w:tabs>
      </w:pPr>
      <w:r w:rsidRPr="00A35C95">
        <w:tab/>
        <w:t>(i)</w:t>
      </w:r>
      <w:r w:rsidRPr="00A35C95">
        <w:tab/>
        <w:t>within the time specified by ASIC or APRA if that is a reasonable time; or</w:t>
      </w:r>
    </w:p>
    <w:p w14:paraId="37837C1B" w14:textId="77777777" w:rsidR="00E93F58" w:rsidRPr="00A35C95" w:rsidRDefault="00E93F58" w:rsidP="00366AB5">
      <w:pPr>
        <w:pStyle w:val="paragraphsub"/>
        <w:tabs>
          <w:tab w:val="left" w:pos="2835"/>
        </w:tabs>
      </w:pPr>
      <w:r w:rsidRPr="00A35C95">
        <w:tab/>
        <w:t>(ii)</w:t>
      </w:r>
      <w:r w:rsidRPr="00A35C95">
        <w:tab/>
        <w:t>if ASIC or APRA do not specify a time—within 20 business days after the last day of the applicable reporting period.</w:t>
      </w:r>
    </w:p>
    <w:p w14:paraId="4A3CE668" w14:textId="77777777" w:rsidR="00E93F58" w:rsidRPr="00A35C95" w:rsidRDefault="00E93F58" w:rsidP="00366AB5">
      <w:pPr>
        <w:pStyle w:val="Penalty"/>
        <w:tabs>
          <w:tab w:val="left" w:pos="2835"/>
        </w:tabs>
      </w:pPr>
      <w:r w:rsidRPr="00A35C95">
        <w:t>Penalty:</w:t>
      </w:r>
    </w:p>
    <w:p w14:paraId="1D601261" w14:textId="77777777" w:rsidR="00E93F58" w:rsidRPr="00A35C95" w:rsidRDefault="00E93F58" w:rsidP="00366AB5">
      <w:pPr>
        <w:pStyle w:val="paragraph"/>
        <w:tabs>
          <w:tab w:val="left" w:pos="2835"/>
        </w:tabs>
      </w:pPr>
      <w:r w:rsidRPr="00A35C95">
        <w:tab/>
        <w:t>(a)</w:t>
      </w:r>
      <w:r w:rsidRPr="00A35C95">
        <w:tab/>
        <w:t>for an individual—20 penalty units; and</w:t>
      </w:r>
    </w:p>
    <w:p w14:paraId="09ADCA9D" w14:textId="77777777" w:rsidR="00E93F58" w:rsidRPr="00A35C95" w:rsidRDefault="00E93F58" w:rsidP="00366AB5">
      <w:pPr>
        <w:pStyle w:val="paragraph"/>
        <w:tabs>
          <w:tab w:val="left" w:pos="2835"/>
        </w:tabs>
      </w:pPr>
      <w:r w:rsidRPr="00A35C95">
        <w:tab/>
        <w:t>(b)</w:t>
      </w:r>
      <w:r w:rsidRPr="00A35C95">
        <w:tab/>
        <w:t>for a body corporate—200 penalty units.</w:t>
      </w:r>
    </w:p>
    <w:p w14:paraId="6B42A56D" w14:textId="77777777" w:rsidR="00E93F58" w:rsidRPr="00A35C95" w:rsidRDefault="00E93F58" w:rsidP="00366AB5">
      <w:pPr>
        <w:pStyle w:val="subsection"/>
        <w:tabs>
          <w:tab w:val="left" w:pos="2835"/>
        </w:tabs>
      </w:pPr>
      <w:r w:rsidRPr="00A35C95">
        <w:tab/>
        <w:t>(4)</w:t>
      </w:r>
      <w:r w:rsidRPr="00A35C95">
        <w:tab/>
        <w:t>For section 912CA of the Act, the person must provide further information to APRA relating to the information provided in accordance with Table 2 in Form 701:</w:t>
      </w:r>
    </w:p>
    <w:p w14:paraId="76D12FDE" w14:textId="77777777" w:rsidR="00E93F58" w:rsidRPr="00A35C95" w:rsidRDefault="00E93F58" w:rsidP="00366AB5">
      <w:pPr>
        <w:pStyle w:val="paragraph"/>
        <w:tabs>
          <w:tab w:val="left" w:pos="2835"/>
        </w:tabs>
      </w:pPr>
      <w:r w:rsidRPr="00A35C95">
        <w:tab/>
        <w:t>(a)</w:t>
      </w:r>
      <w:r w:rsidRPr="00A35C95">
        <w:tab/>
        <w:t>if APRA makes a request in writing for the further information; and</w:t>
      </w:r>
    </w:p>
    <w:p w14:paraId="52265FCB" w14:textId="77777777" w:rsidR="00E93F58" w:rsidRPr="00A35C95" w:rsidRDefault="00E93F58" w:rsidP="00366AB5">
      <w:pPr>
        <w:pStyle w:val="paragraph"/>
        <w:tabs>
          <w:tab w:val="left" w:pos="2835"/>
        </w:tabs>
      </w:pPr>
      <w:r w:rsidRPr="00A35C95">
        <w:tab/>
        <w:t>(b)</w:t>
      </w:r>
      <w:r w:rsidRPr="00A35C95">
        <w:tab/>
        <w:t>either:</w:t>
      </w:r>
    </w:p>
    <w:p w14:paraId="2535CA3C" w14:textId="77777777" w:rsidR="00E93F58" w:rsidRPr="00A35C95" w:rsidRDefault="00E93F58" w:rsidP="00366AB5">
      <w:pPr>
        <w:pStyle w:val="paragraphsub"/>
        <w:tabs>
          <w:tab w:val="left" w:pos="2835"/>
        </w:tabs>
      </w:pPr>
      <w:r w:rsidRPr="00A35C95">
        <w:tab/>
        <w:t>(i)</w:t>
      </w:r>
      <w:r w:rsidRPr="00A35C95">
        <w:tab/>
        <w:t>within 5 business days of receiving the request; or</w:t>
      </w:r>
    </w:p>
    <w:p w14:paraId="1B9C3152" w14:textId="77777777" w:rsidR="00E93F58" w:rsidRPr="00A35C95" w:rsidRDefault="00E93F58" w:rsidP="00366AB5">
      <w:pPr>
        <w:pStyle w:val="paragraphsub"/>
        <w:tabs>
          <w:tab w:val="left" w:pos="2835"/>
        </w:tabs>
      </w:pPr>
      <w:r w:rsidRPr="00A35C95">
        <w:tab/>
        <w:t>(ii)</w:t>
      </w:r>
      <w:r w:rsidRPr="00A35C95">
        <w:tab/>
        <w:t>if ASIC or APRA specify a later date—by that date.</w:t>
      </w:r>
    </w:p>
    <w:p w14:paraId="521CE23E" w14:textId="77777777" w:rsidR="00E93F58" w:rsidRPr="00A35C95" w:rsidRDefault="00E93F58" w:rsidP="00366AB5">
      <w:pPr>
        <w:pStyle w:val="Penalty"/>
        <w:tabs>
          <w:tab w:val="left" w:pos="2835"/>
        </w:tabs>
      </w:pPr>
      <w:r w:rsidRPr="00A35C95">
        <w:t>Penalty:</w:t>
      </w:r>
    </w:p>
    <w:p w14:paraId="39203AFE" w14:textId="77777777" w:rsidR="00E93F58" w:rsidRPr="00A35C95" w:rsidRDefault="00E93F58" w:rsidP="00366AB5">
      <w:pPr>
        <w:pStyle w:val="paragraph"/>
        <w:tabs>
          <w:tab w:val="left" w:pos="2835"/>
        </w:tabs>
      </w:pPr>
      <w:r w:rsidRPr="00A35C95">
        <w:tab/>
        <w:t>(a)</w:t>
      </w:r>
      <w:r w:rsidRPr="00A35C95">
        <w:tab/>
        <w:t>for an individual—20 penalty units; and</w:t>
      </w:r>
    </w:p>
    <w:p w14:paraId="2483ED47" w14:textId="77777777" w:rsidR="00E93F58" w:rsidRPr="00A35C95" w:rsidRDefault="00E93F58" w:rsidP="00366AB5">
      <w:pPr>
        <w:pStyle w:val="paragraph"/>
        <w:tabs>
          <w:tab w:val="left" w:pos="2835"/>
        </w:tabs>
      </w:pPr>
      <w:r w:rsidRPr="00A35C95">
        <w:tab/>
        <w:t>(b)</w:t>
      </w:r>
      <w:r w:rsidRPr="00A35C95">
        <w:tab/>
        <w:t>for a body corporate—200 penalty units.</w:t>
      </w:r>
    </w:p>
    <w:p w14:paraId="74328FD0" w14:textId="77777777" w:rsidR="00E93F58" w:rsidRPr="00A35C95" w:rsidRDefault="00E93F58" w:rsidP="00366AB5">
      <w:pPr>
        <w:pStyle w:val="subsection"/>
        <w:tabs>
          <w:tab w:val="left" w:pos="2835"/>
        </w:tabs>
      </w:pPr>
      <w:r w:rsidRPr="00A35C95">
        <w:lastRenderedPageBreak/>
        <w:tab/>
        <w:t>(5)</w:t>
      </w:r>
      <w:r w:rsidRPr="00A35C95">
        <w:tab/>
        <w:t>The reporting periods are:</w:t>
      </w:r>
    </w:p>
    <w:p w14:paraId="52C4024B" w14:textId="77777777" w:rsidR="00E93F58" w:rsidRPr="00A35C95" w:rsidRDefault="00E93F58" w:rsidP="00366AB5">
      <w:pPr>
        <w:pStyle w:val="paragraph"/>
        <w:tabs>
          <w:tab w:val="left" w:pos="2835"/>
        </w:tabs>
      </w:pPr>
      <w:r w:rsidRPr="00A35C95">
        <w:tab/>
        <w:t>(a)</w:t>
      </w:r>
      <w:r w:rsidRPr="00A35C95">
        <w:tab/>
        <w:t>1 May to 30 June 2010; and</w:t>
      </w:r>
    </w:p>
    <w:p w14:paraId="4498C818" w14:textId="77777777" w:rsidR="00E93F58" w:rsidRPr="00A35C95" w:rsidRDefault="00E93F58" w:rsidP="00366AB5">
      <w:pPr>
        <w:pStyle w:val="paragraph"/>
        <w:tabs>
          <w:tab w:val="left" w:pos="2835"/>
        </w:tabs>
      </w:pPr>
      <w:r w:rsidRPr="00A35C95">
        <w:tab/>
        <w:t>(b)</w:t>
      </w:r>
      <w:r w:rsidRPr="00A35C95">
        <w:tab/>
        <w:t>1 July to 31 December 2010; and</w:t>
      </w:r>
    </w:p>
    <w:p w14:paraId="34411A2F" w14:textId="77777777" w:rsidR="00E93F58" w:rsidRPr="00A35C95" w:rsidRDefault="00E93F58" w:rsidP="00366AB5">
      <w:pPr>
        <w:pStyle w:val="paragraph"/>
        <w:tabs>
          <w:tab w:val="left" w:pos="2835"/>
        </w:tabs>
      </w:pPr>
      <w:r w:rsidRPr="00A35C95">
        <w:tab/>
        <w:t>(c)</w:t>
      </w:r>
      <w:r w:rsidRPr="00A35C95">
        <w:tab/>
      </w:r>
      <w:r>
        <w:t>1 January</w:t>
      </w:r>
      <w:r w:rsidRPr="00A35C95">
        <w:t xml:space="preserve"> to 30 June in any year after 2010; and</w:t>
      </w:r>
    </w:p>
    <w:p w14:paraId="40965245" w14:textId="77777777" w:rsidR="00E93F58" w:rsidRPr="00A35C95" w:rsidRDefault="00E93F58" w:rsidP="00366AB5">
      <w:pPr>
        <w:pStyle w:val="paragraph"/>
        <w:tabs>
          <w:tab w:val="left" w:pos="2835"/>
        </w:tabs>
      </w:pPr>
      <w:r w:rsidRPr="00A35C95">
        <w:tab/>
        <w:t>(d)</w:t>
      </w:r>
      <w:r w:rsidRPr="00A35C95">
        <w:tab/>
        <w:t>1 July to 31 December in any year after 2010.</w:t>
      </w:r>
    </w:p>
    <w:p w14:paraId="61DEE8B2" w14:textId="77777777" w:rsidR="00E93F58" w:rsidRPr="00A35C95" w:rsidRDefault="00E93F58" w:rsidP="00366AB5">
      <w:pPr>
        <w:pStyle w:val="subsection"/>
        <w:tabs>
          <w:tab w:val="left" w:pos="2835"/>
        </w:tabs>
      </w:pPr>
      <w:r w:rsidRPr="00A35C95">
        <w:tab/>
        <w:t>(6)</w:t>
      </w:r>
      <w:r w:rsidRPr="00A35C95">
        <w:tab/>
        <w:t>Strict liability applies to subregulations (3) and (4).</w:t>
      </w:r>
    </w:p>
    <w:p w14:paraId="5B665199" w14:textId="77777777" w:rsidR="00E93F58" w:rsidRPr="00A35C95" w:rsidRDefault="00E93F58" w:rsidP="00366AB5">
      <w:pPr>
        <w:tabs>
          <w:tab w:val="left" w:pos="2835"/>
        </w:tabs>
      </w:pPr>
    </w:p>
    <w:p w14:paraId="5BA93684" w14:textId="77777777" w:rsidR="00E93F58" w:rsidRPr="00283424" w:rsidRDefault="00E93F58" w:rsidP="00B50726">
      <w:pPr>
        <w:pStyle w:val="ActHead1"/>
      </w:pPr>
      <w:bookmarkStart w:id="1021" w:name="_Toc152054489"/>
      <w:bookmarkStart w:id="1022" w:name="_Toc158712305"/>
      <w:r w:rsidRPr="006F296E">
        <w:rPr>
          <w:rStyle w:val="CharChapNo"/>
        </w:rPr>
        <w:t>Chapter 7</w:t>
      </w:r>
      <w:r w:rsidRPr="00283424">
        <w:rPr>
          <w:color w:val="000000"/>
        </w:rPr>
        <w:t>—</w:t>
      </w:r>
      <w:r w:rsidRPr="006F296E">
        <w:rPr>
          <w:rStyle w:val="CharChapText"/>
        </w:rPr>
        <w:t>Financial services and markets</w:t>
      </w:r>
      <w:bookmarkEnd w:id="1021"/>
      <w:bookmarkEnd w:id="1022"/>
    </w:p>
    <w:p w14:paraId="059D5B5F" w14:textId="77777777" w:rsidR="00E93F58" w:rsidRPr="00283424" w:rsidRDefault="00E93F58" w:rsidP="00B50726">
      <w:pPr>
        <w:pStyle w:val="ActHead2"/>
        <w:rPr>
          <w:color w:val="000000"/>
        </w:rPr>
      </w:pPr>
      <w:bookmarkStart w:id="1023" w:name="_Toc152054490"/>
      <w:bookmarkStart w:id="1024" w:name="_Toc158712306"/>
      <w:r w:rsidRPr="006F296E">
        <w:rPr>
          <w:rStyle w:val="CharPartNo"/>
        </w:rPr>
        <w:t>Part 7.7</w:t>
      </w:r>
      <w:r w:rsidRPr="00283424">
        <w:rPr>
          <w:color w:val="000000"/>
        </w:rPr>
        <w:t>—</w:t>
      </w:r>
      <w:r w:rsidRPr="006F296E">
        <w:rPr>
          <w:rStyle w:val="CharPartText"/>
        </w:rPr>
        <w:t>Financial service disclosure</w:t>
      </w:r>
      <w:bookmarkEnd w:id="1023"/>
      <w:bookmarkEnd w:id="1024"/>
    </w:p>
    <w:p w14:paraId="00C6F0D5" w14:textId="77777777" w:rsidR="00E93F58" w:rsidRPr="00283424" w:rsidRDefault="00E93F58" w:rsidP="00B50726">
      <w:pPr>
        <w:pStyle w:val="ActHead3"/>
        <w:rPr>
          <w:color w:val="000000"/>
        </w:rPr>
      </w:pPr>
      <w:bookmarkStart w:id="1025" w:name="_Toc152054491"/>
      <w:bookmarkStart w:id="1026" w:name="_Toc158712307"/>
      <w:r w:rsidRPr="006F296E">
        <w:rPr>
          <w:rStyle w:val="CharDivNo"/>
        </w:rPr>
        <w:t>Division 1</w:t>
      </w:r>
      <w:r w:rsidRPr="00283424">
        <w:rPr>
          <w:color w:val="000000"/>
          <w:szCs w:val="28"/>
        </w:rPr>
        <w:t>—</w:t>
      </w:r>
      <w:r w:rsidRPr="006F296E">
        <w:rPr>
          <w:rStyle w:val="CharDivText"/>
        </w:rPr>
        <w:t>Preliminary</w:t>
      </w:r>
      <w:bookmarkEnd w:id="1025"/>
      <w:bookmarkEnd w:id="1026"/>
    </w:p>
    <w:p w14:paraId="6B11BA06" w14:textId="77777777" w:rsidR="00E93F58" w:rsidRPr="00283424" w:rsidRDefault="00E93F58" w:rsidP="00B50726">
      <w:pPr>
        <w:pStyle w:val="ActHead5"/>
      </w:pPr>
      <w:bookmarkStart w:id="1027" w:name="_Toc152054492"/>
      <w:bookmarkStart w:id="1028" w:name="_Toc158712308"/>
      <w:r w:rsidRPr="006F296E">
        <w:rPr>
          <w:rStyle w:val="CharSectno"/>
        </w:rPr>
        <w:t>7.7.01</w:t>
      </w:r>
      <w:r w:rsidRPr="00283424">
        <w:rPr>
          <w:sz w:val="16"/>
        </w:rPr>
        <w:t xml:space="preserve">  </w:t>
      </w:r>
      <w:r w:rsidRPr="00283424">
        <w:t>How documents, information and statements are to be given</w:t>
      </w:r>
      <w:bookmarkEnd w:id="1027"/>
      <w:bookmarkEnd w:id="1028"/>
    </w:p>
    <w:p w14:paraId="221A5D30" w14:textId="77777777" w:rsidR="00E93F58" w:rsidRPr="00283424" w:rsidRDefault="00E93F58" w:rsidP="00B50726">
      <w:pPr>
        <w:pStyle w:val="subsection"/>
      </w:pPr>
      <w:r w:rsidRPr="00283424">
        <w:tab/>
        <w:t>(1)</w:t>
      </w:r>
      <w:r w:rsidRPr="00283424">
        <w:tab/>
        <w:t>For subsection 940C(3) of the Act:</w:t>
      </w:r>
    </w:p>
    <w:p w14:paraId="6875B3C1" w14:textId="77777777" w:rsidR="00E93F58" w:rsidRPr="00283424" w:rsidRDefault="00E93F58" w:rsidP="00B50726">
      <w:pPr>
        <w:pStyle w:val="paragraph"/>
      </w:pPr>
      <w:r w:rsidRPr="00283424">
        <w:rPr>
          <w:color w:val="000000"/>
        </w:rPr>
        <w:tab/>
        <w:t>(a)</w:t>
      </w:r>
      <w:r w:rsidRPr="00283424">
        <w:rPr>
          <w:color w:val="000000"/>
        </w:rPr>
        <w:tab/>
        <w:t xml:space="preserve">if </w:t>
      </w:r>
      <w:r w:rsidRPr="00283424">
        <w:t>general advice</w:t>
      </w:r>
      <w:r w:rsidRPr="00283424">
        <w:rPr>
          <w:color w:val="000000"/>
        </w:rPr>
        <w:t xml:space="preserve"> is given orally in a public forum, information that subsection 941C(5) of the Act requires to be given must be given orally; and</w:t>
      </w:r>
    </w:p>
    <w:p w14:paraId="067DF199" w14:textId="77777777" w:rsidR="00E93F58" w:rsidRPr="00283424" w:rsidRDefault="00E93F58" w:rsidP="00B50726">
      <w:pPr>
        <w:pStyle w:val="paragraph"/>
      </w:pPr>
      <w:r w:rsidRPr="00283424">
        <w:tab/>
        <w:t>(b)</w:t>
      </w:r>
      <w:r w:rsidRPr="00283424">
        <w:tab/>
        <w:t>if general advice is given in electronic form in a public forum, information that subsection 941C(5) of the Act requires to be given must be given in electronic form; and</w:t>
      </w:r>
    </w:p>
    <w:p w14:paraId="28AA1F13" w14:textId="77777777" w:rsidR="00E93F58" w:rsidRPr="00283424" w:rsidRDefault="00E93F58" w:rsidP="00B50726">
      <w:pPr>
        <w:pStyle w:val="paragraph"/>
      </w:pPr>
      <w:r w:rsidRPr="00283424">
        <w:tab/>
        <w:t>(c)</w:t>
      </w:r>
      <w:r w:rsidRPr="00283424">
        <w:tab/>
        <w:t>if general advice is given in writing (otherwise than in electronic form) in a public forum, information that subsection 941C(5) of the Act requires to be given must be given in writing; and</w:t>
      </w:r>
    </w:p>
    <w:p w14:paraId="2176E0FD" w14:textId="77777777" w:rsidR="00E93F58" w:rsidRPr="00283424" w:rsidRDefault="00E93F58" w:rsidP="00B50726">
      <w:pPr>
        <w:pStyle w:val="paragraph"/>
      </w:pPr>
      <w:r w:rsidRPr="00283424">
        <w:tab/>
        <w:t>(d)</w:t>
      </w:r>
      <w:r w:rsidRPr="00283424">
        <w:tab/>
        <w:t>if general advice is given in any other manner in a public forum, information that subsection 941C(5) of the Act requires to be given must be given in the same manner.</w:t>
      </w:r>
    </w:p>
    <w:p w14:paraId="68A20F84" w14:textId="77777777" w:rsidR="00E93F58" w:rsidRPr="00283424" w:rsidRDefault="00E93F58" w:rsidP="00B50726">
      <w:pPr>
        <w:pStyle w:val="subsection"/>
      </w:pPr>
      <w:r w:rsidRPr="00283424">
        <w:tab/>
        <w:t>(2)</w:t>
      </w:r>
      <w:r w:rsidRPr="00283424">
        <w:tab/>
        <w:t>For paragraph 940C(7)(a) of the Act, a Financial Services Guide and a Statement of Advice may be given to a person in either of the following ways:</w:t>
      </w:r>
    </w:p>
    <w:p w14:paraId="2C3A3157" w14:textId="77777777" w:rsidR="00E93F58" w:rsidRPr="00283424" w:rsidRDefault="00E93F58" w:rsidP="00B50726">
      <w:pPr>
        <w:pStyle w:val="paragraph"/>
      </w:pPr>
      <w:r w:rsidRPr="00283424">
        <w:tab/>
        <w:t>(a)</w:t>
      </w:r>
      <w:r w:rsidRPr="00283424">
        <w:tab/>
        <w:t>making the Guide or Statement available to the person in any way that:</w:t>
      </w:r>
    </w:p>
    <w:p w14:paraId="4F83B025" w14:textId="77777777" w:rsidR="00E93F58" w:rsidRPr="00283424" w:rsidRDefault="00E93F58" w:rsidP="00B50726">
      <w:pPr>
        <w:pStyle w:val="paragraphsub"/>
      </w:pPr>
      <w:r w:rsidRPr="00283424">
        <w:tab/>
        <w:t>(i)</w:t>
      </w:r>
      <w:r w:rsidRPr="00283424">
        <w:tab/>
        <w:t>is agreed to by the person; and</w:t>
      </w:r>
    </w:p>
    <w:p w14:paraId="0A09579B" w14:textId="77777777" w:rsidR="00E93F58" w:rsidRPr="00283424" w:rsidRDefault="00E93F58" w:rsidP="00B50726">
      <w:pPr>
        <w:pStyle w:val="paragraphsub"/>
      </w:pPr>
      <w:r w:rsidRPr="00283424">
        <w:tab/>
        <w:t>(ii)</w:t>
      </w:r>
      <w:r w:rsidRPr="00283424">
        <w:tab/>
        <w:t>allows the regulated person to be satisfied, on reasonable grounds, that the person has received the Guide or Statement;</w:t>
      </w:r>
    </w:p>
    <w:p w14:paraId="237298D2" w14:textId="77777777" w:rsidR="00E93F58" w:rsidRPr="00283424" w:rsidRDefault="00E93F58" w:rsidP="00B50726">
      <w:pPr>
        <w:pStyle w:val="paragraph"/>
      </w:pPr>
      <w:r w:rsidRPr="00283424">
        <w:tab/>
        <w:t>(b)</w:t>
      </w:r>
      <w:r w:rsidRPr="00283424">
        <w:tab/>
        <w:t>making the Guide or Statement available to the person’s agent in any way that:</w:t>
      </w:r>
    </w:p>
    <w:p w14:paraId="7E5D7D03" w14:textId="77777777" w:rsidR="00E93F58" w:rsidRPr="00283424" w:rsidRDefault="00E93F58" w:rsidP="00B50726">
      <w:pPr>
        <w:pStyle w:val="paragraphsub"/>
      </w:pPr>
      <w:r w:rsidRPr="00283424">
        <w:tab/>
        <w:t>(i)</w:t>
      </w:r>
      <w:r w:rsidRPr="00283424">
        <w:tab/>
        <w:t>is agreed to by the agent; and</w:t>
      </w:r>
    </w:p>
    <w:p w14:paraId="6391DC4A" w14:textId="77777777" w:rsidR="00E93F58" w:rsidRPr="00283424" w:rsidRDefault="00E93F58" w:rsidP="00B50726">
      <w:pPr>
        <w:pStyle w:val="paragraphsub"/>
      </w:pPr>
      <w:r w:rsidRPr="00283424">
        <w:tab/>
        <w:t>(ii)</w:t>
      </w:r>
      <w:r w:rsidRPr="00283424">
        <w:tab/>
        <w:t>allows the regulated person to be satisfied, on reasonable grounds, that the agent has received the Guide or Statement.</w:t>
      </w:r>
    </w:p>
    <w:p w14:paraId="6DBCFAFE" w14:textId="77777777" w:rsidR="00E93F58" w:rsidRPr="00283424" w:rsidRDefault="00E93F58" w:rsidP="00B50726">
      <w:pPr>
        <w:pStyle w:val="subsection"/>
      </w:pPr>
      <w:r w:rsidRPr="00283424">
        <w:tab/>
        <w:t>(3)</w:t>
      </w:r>
      <w:r w:rsidRPr="00283424">
        <w:tab/>
        <w:t>For paragraph 940C(7)(b) of the Act, a document, information or statement that is to be given in electronic form must, as far as practicable, be presented in a way that will allow the person to whom it is given to keep a copy of it so that the person can have ready access to it in the future.</w:t>
      </w:r>
    </w:p>
    <w:p w14:paraId="05F5C2A3" w14:textId="77777777" w:rsidR="00E93F58" w:rsidRPr="00283424" w:rsidRDefault="00E93F58" w:rsidP="00B50726">
      <w:pPr>
        <w:pStyle w:val="subsection"/>
      </w:pPr>
      <w:r w:rsidRPr="00283424">
        <w:tab/>
        <w:t>(4)</w:t>
      </w:r>
      <w:r w:rsidRPr="00283424">
        <w:tab/>
        <w:t>A document or statement that is to be given in electronic form must be presented in a way that clearly identifies the information that is part of the document or statement.</w:t>
      </w:r>
    </w:p>
    <w:p w14:paraId="40388B1B" w14:textId="77777777" w:rsidR="00E93F58" w:rsidRPr="00283424" w:rsidRDefault="00E93F58" w:rsidP="00B50726">
      <w:pPr>
        <w:pStyle w:val="ActHead3"/>
        <w:pageBreakBefore/>
        <w:rPr>
          <w:color w:val="000000"/>
        </w:rPr>
      </w:pPr>
      <w:bookmarkStart w:id="1029" w:name="_Toc152054493"/>
      <w:bookmarkStart w:id="1030" w:name="_Toc158712309"/>
      <w:r w:rsidRPr="006F296E">
        <w:rPr>
          <w:rStyle w:val="CharDivNo"/>
        </w:rPr>
        <w:lastRenderedPageBreak/>
        <w:t>Division 2</w:t>
      </w:r>
      <w:r w:rsidRPr="00283424">
        <w:rPr>
          <w:color w:val="000000"/>
          <w:szCs w:val="28"/>
        </w:rPr>
        <w:t>—</w:t>
      </w:r>
      <w:r w:rsidRPr="006F296E">
        <w:rPr>
          <w:rStyle w:val="CharDivText"/>
        </w:rPr>
        <w:t>Financial Services Guide</w:t>
      </w:r>
      <w:bookmarkEnd w:id="1029"/>
      <w:bookmarkEnd w:id="1030"/>
    </w:p>
    <w:p w14:paraId="543D64DF" w14:textId="77777777" w:rsidR="00E93F58" w:rsidRPr="00283424" w:rsidRDefault="00E93F58" w:rsidP="00B50726">
      <w:pPr>
        <w:pStyle w:val="ActHead5"/>
      </w:pPr>
      <w:bookmarkStart w:id="1031" w:name="_Toc152054494"/>
      <w:bookmarkStart w:id="1032" w:name="_Toc158712310"/>
      <w:r w:rsidRPr="006F296E">
        <w:rPr>
          <w:rStyle w:val="CharSectno"/>
        </w:rPr>
        <w:t>7.7.02</w:t>
      </w:r>
      <w:r w:rsidRPr="00283424">
        <w:rPr>
          <w:sz w:val="16"/>
        </w:rPr>
        <w:t xml:space="preserve">  </w:t>
      </w:r>
      <w:r w:rsidRPr="00283424">
        <w:t>Situations in which Financial Services Guide is not required</w:t>
      </w:r>
      <w:bookmarkEnd w:id="1031"/>
      <w:bookmarkEnd w:id="1032"/>
    </w:p>
    <w:p w14:paraId="5253A596" w14:textId="77777777" w:rsidR="00E93F58" w:rsidRPr="00283424" w:rsidRDefault="00E93F58" w:rsidP="00B50726">
      <w:pPr>
        <w:pStyle w:val="subsection"/>
      </w:pPr>
      <w:r w:rsidRPr="00283424">
        <w:tab/>
        <w:t>(1)</w:t>
      </w:r>
      <w:r w:rsidRPr="00283424">
        <w:tab/>
        <w:t>For paragraph 941C(6)(c) of the Act, the following are prescribed:</w:t>
      </w:r>
    </w:p>
    <w:p w14:paraId="6E045EE1" w14:textId="77777777" w:rsidR="00E93F58" w:rsidRPr="00283424" w:rsidRDefault="00E93F58" w:rsidP="00B50726">
      <w:pPr>
        <w:pStyle w:val="paragraph"/>
      </w:pPr>
      <w:r w:rsidRPr="00283424">
        <w:tab/>
        <w:t>(a)</w:t>
      </w:r>
      <w:r w:rsidRPr="00283424">
        <w:tab/>
        <w:t>a deposit product that is a facility in relation to which:</w:t>
      </w:r>
    </w:p>
    <w:p w14:paraId="38B8D374" w14:textId="77777777" w:rsidR="00E93F58" w:rsidRPr="00283424" w:rsidRDefault="00E93F58" w:rsidP="00B50726">
      <w:pPr>
        <w:pStyle w:val="paragraphsub"/>
      </w:pPr>
      <w:r w:rsidRPr="00283424">
        <w:tab/>
        <w:t>(i)</w:t>
      </w:r>
      <w:r w:rsidRPr="00283424">
        <w:tab/>
        <w:t>there is no minimum period before which funds cannot be withdrawn or transferred from the facility without a reduction in the return generated for the depositor; or</w:t>
      </w:r>
    </w:p>
    <w:p w14:paraId="2594CA68" w14:textId="77777777" w:rsidR="00E93F58" w:rsidRPr="00283424" w:rsidRDefault="00E93F58" w:rsidP="00B50726">
      <w:pPr>
        <w:pStyle w:val="paragraphsub"/>
      </w:pPr>
      <w:r w:rsidRPr="00283424">
        <w:tab/>
        <w:t>(ii)</w:t>
      </w:r>
      <w:r w:rsidRPr="00283424">
        <w:tab/>
        <w:t>if there is such a period, it expires on or before the end of the period of 2 years starting on the day on which funds were first deposited in the facility;</w:t>
      </w:r>
    </w:p>
    <w:p w14:paraId="5825B346" w14:textId="77777777" w:rsidR="00E93F58" w:rsidRPr="00283424" w:rsidRDefault="00E93F58" w:rsidP="00B50726">
      <w:pPr>
        <w:pStyle w:val="paragraph"/>
      </w:pPr>
      <w:r w:rsidRPr="00283424">
        <w:tab/>
        <w:t>(b)</w:t>
      </w:r>
      <w:r w:rsidRPr="00283424">
        <w:tab/>
        <w:t>travellers’ cheques;</w:t>
      </w:r>
    </w:p>
    <w:p w14:paraId="395B66D0" w14:textId="77777777" w:rsidR="00E93F58" w:rsidRPr="00283424" w:rsidRDefault="00E93F58" w:rsidP="00B50726">
      <w:pPr>
        <w:pStyle w:val="paragraph"/>
      </w:pPr>
      <w:r w:rsidRPr="00283424">
        <w:tab/>
        <w:t>(c)</w:t>
      </w:r>
      <w:r w:rsidRPr="00283424">
        <w:tab/>
        <w:t>a cash management trust interest.</w:t>
      </w:r>
    </w:p>
    <w:p w14:paraId="02840000" w14:textId="77777777" w:rsidR="00E93F58" w:rsidRPr="00283424" w:rsidRDefault="00E93F58" w:rsidP="00B50726">
      <w:pPr>
        <w:pStyle w:val="subsection"/>
      </w:pPr>
      <w:r w:rsidRPr="00283424">
        <w:tab/>
        <w:t>(2)</w:t>
      </w:r>
      <w:r w:rsidRPr="00283424">
        <w:tab/>
        <w:t>For subsection 941C(4) of the Act:</w:t>
      </w:r>
    </w:p>
    <w:p w14:paraId="1D00A996" w14:textId="77777777" w:rsidR="00E93F58" w:rsidRPr="00283424" w:rsidRDefault="00E93F58" w:rsidP="00B50726">
      <w:pPr>
        <w:pStyle w:val="paragraph"/>
      </w:pPr>
      <w:r w:rsidRPr="00283424">
        <w:tab/>
        <w:t>(a)</w:t>
      </w:r>
      <w:r w:rsidRPr="00283424">
        <w:tab/>
        <w:t>providing general advice to the public, or a section of the public, at an event organised by or for financial services licensees to which retail clients are invited is prescribed; and</w:t>
      </w:r>
    </w:p>
    <w:p w14:paraId="3D76B211" w14:textId="77777777" w:rsidR="00E93F58" w:rsidRPr="00283424" w:rsidRDefault="00E93F58" w:rsidP="00B50726">
      <w:pPr>
        <w:pStyle w:val="paragraph"/>
      </w:pPr>
      <w:r w:rsidRPr="00283424">
        <w:tab/>
        <w:t>(b)</w:t>
      </w:r>
      <w:r w:rsidRPr="00283424">
        <w:tab/>
        <w:t>a broadcast of general advice to the public, or a section of the public, that may be viewed or heard by any person is prescribed; and</w:t>
      </w:r>
    </w:p>
    <w:p w14:paraId="0D9A071A" w14:textId="77777777" w:rsidR="00E93F58" w:rsidRPr="00283424" w:rsidRDefault="00E93F58" w:rsidP="00B50726">
      <w:pPr>
        <w:pStyle w:val="paragraph"/>
      </w:pPr>
      <w:r w:rsidRPr="00283424">
        <w:tab/>
        <w:t>(c)</w:t>
      </w:r>
      <w:r w:rsidRPr="00283424">
        <w:tab/>
        <w:t>distributing or displaying promotional material that:</w:t>
      </w:r>
    </w:p>
    <w:p w14:paraId="690F2A83" w14:textId="77777777" w:rsidR="00E93F58" w:rsidRPr="00283424" w:rsidRDefault="00E93F58" w:rsidP="00B50726">
      <w:pPr>
        <w:pStyle w:val="paragraphsub"/>
      </w:pPr>
      <w:r w:rsidRPr="00283424">
        <w:tab/>
        <w:t>(i)</w:t>
      </w:r>
      <w:r w:rsidRPr="00283424">
        <w:tab/>
        <w:t>provides general advice to the public, or a section of the public; and</w:t>
      </w:r>
    </w:p>
    <w:p w14:paraId="05DEDB08" w14:textId="77777777" w:rsidR="00E93F58" w:rsidRPr="00283424" w:rsidRDefault="00E93F58" w:rsidP="00B50726">
      <w:pPr>
        <w:pStyle w:val="paragraphsub"/>
      </w:pPr>
      <w:r w:rsidRPr="00283424">
        <w:tab/>
        <w:t>(ii)</w:t>
      </w:r>
      <w:r w:rsidRPr="00283424">
        <w:tab/>
        <w:t>is available in a place that is accessible to the public is prescribed.</w:t>
      </w:r>
    </w:p>
    <w:p w14:paraId="5185638C" w14:textId="77777777" w:rsidR="00E93F58" w:rsidRPr="00283424" w:rsidRDefault="00E93F58" w:rsidP="00B50726">
      <w:pPr>
        <w:pStyle w:val="notetext"/>
      </w:pPr>
      <w:r w:rsidRPr="00283424">
        <w:t>Examples:</w:t>
      </w:r>
    </w:p>
    <w:p w14:paraId="0548E10F" w14:textId="77777777" w:rsidR="00E93F58" w:rsidRPr="00283424" w:rsidRDefault="00E93F58" w:rsidP="00B50726">
      <w:pPr>
        <w:pStyle w:val="notetext"/>
      </w:pPr>
      <w:r w:rsidRPr="00283424">
        <w:t>1</w:t>
      </w:r>
      <w:r w:rsidRPr="00283424">
        <w:tab/>
        <w:t>Television or radio broadcasts.</w:t>
      </w:r>
    </w:p>
    <w:p w14:paraId="57EE9ED7" w14:textId="77777777" w:rsidR="00E93F58" w:rsidRPr="00283424" w:rsidRDefault="00E93F58" w:rsidP="00B50726">
      <w:pPr>
        <w:pStyle w:val="notetext"/>
      </w:pPr>
      <w:r w:rsidRPr="00283424">
        <w:t>2</w:t>
      </w:r>
      <w:r w:rsidRPr="00283424">
        <w:tab/>
        <w:t>Distributing promotional material contained in newspapers and magazines.</w:t>
      </w:r>
    </w:p>
    <w:p w14:paraId="78508641" w14:textId="77777777" w:rsidR="00E93F58" w:rsidRPr="00283424" w:rsidRDefault="00E93F58" w:rsidP="00B50726">
      <w:pPr>
        <w:pStyle w:val="notetext"/>
      </w:pPr>
      <w:r w:rsidRPr="00283424">
        <w:t>3</w:t>
      </w:r>
      <w:r w:rsidRPr="00283424">
        <w:tab/>
        <w:t>Sending a broadcast via an Internet website or webcast.</w:t>
      </w:r>
    </w:p>
    <w:p w14:paraId="443B57E2" w14:textId="77777777" w:rsidR="00E93F58" w:rsidRPr="00283424" w:rsidRDefault="00E93F58" w:rsidP="00B50726">
      <w:pPr>
        <w:pStyle w:val="notetext"/>
      </w:pPr>
      <w:r w:rsidRPr="00283424">
        <w:t>4</w:t>
      </w:r>
      <w:r w:rsidRPr="00283424">
        <w:tab/>
        <w:t>Giving a public lecture or seminar for retail clients, including employees of a workplace.</w:t>
      </w:r>
    </w:p>
    <w:p w14:paraId="33A76513" w14:textId="77777777" w:rsidR="00E93F58" w:rsidRPr="00283424" w:rsidRDefault="00E93F58" w:rsidP="00B50726">
      <w:pPr>
        <w:pStyle w:val="notetext"/>
      </w:pPr>
      <w:r w:rsidRPr="00283424">
        <w:t>Note:</w:t>
      </w:r>
      <w:r w:rsidRPr="00283424">
        <w:tab/>
        <w:t>If general advice is given to the public, or a section of the public, the requirements of subsection 941C(5) of the Act must be complied with. Additionally, if general advice is provided to 1 or more retail clients, the providing entity must comply with section 949A of the Act.</w:t>
      </w:r>
    </w:p>
    <w:p w14:paraId="37DD59ED" w14:textId="77777777" w:rsidR="00E93F58" w:rsidRPr="00283424" w:rsidRDefault="00E93F58" w:rsidP="00B50726">
      <w:pPr>
        <w:pStyle w:val="subsection"/>
      </w:pPr>
      <w:r w:rsidRPr="00283424">
        <w:tab/>
        <w:t>(3)</w:t>
      </w:r>
      <w:r w:rsidRPr="00283424">
        <w:tab/>
        <w:t>For subsection 941C(8) of the Act, a Financial Services Guide does not have to be given to a client in the following circumstances:</w:t>
      </w:r>
    </w:p>
    <w:p w14:paraId="41CFB2A3" w14:textId="77777777" w:rsidR="00E93F58" w:rsidRPr="00283424" w:rsidRDefault="00E93F58" w:rsidP="00B50726">
      <w:pPr>
        <w:pStyle w:val="paragraph"/>
      </w:pPr>
      <w:r w:rsidRPr="00283424">
        <w:rPr>
          <w:color w:val="000000"/>
        </w:rPr>
        <w:tab/>
        <w:t>(a)</w:t>
      </w:r>
      <w:r w:rsidRPr="00283424">
        <w:rPr>
          <w:color w:val="000000"/>
        </w:rPr>
        <w:tab/>
        <w:t>a person (</w:t>
      </w:r>
      <w:r w:rsidRPr="00283424">
        <w:rPr>
          <w:b/>
          <w:i/>
          <w:color w:val="000000"/>
        </w:rPr>
        <w:t>person 1</w:t>
      </w:r>
      <w:r w:rsidRPr="00283424">
        <w:rPr>
          <w:color w:val="000000"/>
        </w:rPr>
        <w:t>) makes an inquiry by telephone in relation to the rental of a vehicle from another person (</w:t>
      </w:r>
      <w:r w:rsidRPr="00283424">
        <w:rPr>
          <w:b/>
          <w:i/>
          <w:color w:val="000000"/>
        </w:rPr>
        <w:t>person 2</w:t>
      </w:r>
      <w:r w:rsidRPr="00283424">
        <w:rPr>
          <w:color w:val="000000"/>
        </w:rPr>
        <w:t>);</w:t>
      </w:r>
    </w:p>
    <w:p w14:paraId="5804F360" w14:textId="77777777" w:rsidR="00E93F58" w:rsidRPr="00283424" w:rsidRDefault="00E93F58" w:rsidP="00B50726">
      <w:pPr>
        <w:pStyle w:val="paragraph"/>
      </w:pPr>
      <w:r w:rsidRPr="00283424">
        <w:tab/>
        <w:t>(b)</w:t>
      </w:r>
      <w:r w:rsidRPr="00283424">
        <w:tab/>
        <w:t>as a result of that inquiry, it becomes apparent to person 2 that a financial service will be, or is likely to be, provided to person 1;</w:t>
      </w:r>
    </w:p>
    <w:p w14:paraId="50F993BF" w14:textId="77777777" w:rsidR="00E93F58" w:rsidRPr="00283424" w:rsidRDefault="00E93F58" w:rsidP="00B50726">
      <w:pPr>
        <w:pStyle w:val="paragraph"/>
      </w:pPr>
      <w:r w:rsidRPr="00283424">
        <w:tab/>
        <w:t>(c)</w:t>
      </w:r>
      <w:r w:rsidRPr="00283424">
        <w:tab/>
        <w:t>the financial service is the issue of an insurance product that relates to either or both of:</w:t>
      </w:r>
    </w:p>
    <w:p w14:paraId="11A5F97B" w14:textId="77777777" w:rsidR="00E93F58" w:rsidRPr="00283424" w:rsidRDefault="00E93F58" w:rsidP="00B50726">
      <w:pPr>
        <w:pStyle w:val="paragraphsub"/>
      </w:pPr>
      <w:r w:rsidRPr="00283424">
        <w:rPr>
          <w:color w:val="000000"/>
        </w:rPr>
        <w:tab/>
        <w:t>(i)</w:t>
      </w:r>
      <w:r w:rsidRPr="00283424">
        <w:rPr>
          <w:color w:val="000000"/>
        </w:rPr>
        <w:tab/>
        <w:t>the accidental death of, or bodily injury to, a person caused by an accident in connection with the use of the rented vehicle during the rental period; and</w:t>
      </w:r>
    </w:p>
    <w:p w14:paraId="27609729" w14:textId="77777777" w:rsidR="00E93F58" w:rsidRPr="00283424" w:rsidRDefault="00E93F58" w:rsidP="00B50726">
      <w:pPr>
        <w:pStyle w:val="paragraphsub"/>
      </w:pPr>
      <w:r w:rsidRPr="00283424">
        <w:tab/>
        <w:t>(ii)</w:t>
      </w:r>
      <w:r w:rsidRPr="00283424">
        <w:tab/>
        <w:t>the loss or destruction of, or damage to, either or both of baggage and personal effects belonging to a person in the rented vehicle caused by an insured event during the rental period;</w:t>
      </w:r>
    </w:p>
    <w:p w14:paraId="3F93D191" w14:textId="77777777" w:rsidR="00E93F58" w:rsidRPr="00283424" w:rsidRDefault="00E93F58" w:rsidP="00B50726">
      <w:pPr>
        <w:pStyle w:val="paragraph"/>
      </w:pPr>
      <w:r w:rsidRPr="00283424">
        <w:tab/>
        <w:t>(d)</w:t>
      </w:r>
      <w:r w:rsidRPr="00283424">
        <w:tab/>
        <w:t>person 2 makes arrangements for a document that is the equivalent of a Financial Services Guide to be given to person 1 no later than the start of the use to which the insurance product relates.</w:t>
      </w:r>
    </w:p>
    <w:p w14:paraId="24DB8111" w14:textId="77777777" w:rsidR="00E93F58" w:rsidRPr="00283424" w:rsidRDefault="00E93F58" w:rsidP="00B50726">
      <w:pPr>
        <w:pStyle w:val="notetext"/>
      </w:pPr>
      <w:r w:rsidRPr="00283424">
        <w:t>Example:</w:t>
      </w:r>
      <w:r w:rsidRPr="00283424">
        <w:tab/>
        <w:t>The commencement of a journey of the rental vehicle is a use to which the insurance product relates.</w:t>
      </w:r>
    </w:p>
    <w:p w14:paraId="13F33767" w14:textId="77777777" w:rsidR="00E93F58" w:rsidRPr="00283424" w:rsidRDefault="00E93F58" w:rsidP="00B50726">
      <w:pPr>
        <w:pStyle w:val="subsection"/>
      </w:pPr>
      <w:r w:rsidRPr="00283424">
        <w:tab/>
        <w:t>(3A)</w:t>
      </w:r>
      <w:r w:rsidRPr="00283424">
        <w:tab/>
        <w:t>For subsection 941C(8) of the Act, a Financial Services Guide does not have to be given to a client for a financial service provided in the circumstances specified in paragraph 7.6.01(1)(la).</w:t>
      </w:r>
    </w:p>
    <w:p w14:paraId="74A1362B" w14:textId="77777777" w:rsidR="00E93F58" w:rsidRPr="00283424" w:rsidRDefault="00E93F58" w:rsidP="00B50726">
      <w:pPr>
        <w:pStyle w:val="subsection"/>
      </w:pPr>
      <w:r w:rsidRPr="00283424">
        <w:tab/>
        <w:t>(4)</w:t>
      </w:r>
      <w:r w:rsidRPr="00283424">
        <w:tab/>
        <w:t>For subsection 941C(8) of the Act, a Financial Services Guide does not have to be given to a client in respect of advice that:</w:t>
      </w:r>
    </w:p>
    <w:p w14:paraId="67A801F6" w14:textId="77777777" w:rsidR="00E93F58" w:rsidRPr="00283424" w:rsidRDefault="00E93F58" w:rsidP="00B50726">
      <w:pPr>
        <w:pStyle w:val="paragraph"/>
      </w:pPr>
      <w:r w:rsidRPr="00283424">
        <w:tab/>
        <w:t>(a)</w:t>
      </w:r>
      <w:r w:rsidRPr="00283424">
        <w:tab/>
        <w:t>is provided by a providing entity that is:</w:t>
      </w:r>
    </w:p>
    <w:p w14:paraId="33601B67" w14:textId="77777777" w:rsidR="00E93F58" w:rsidRPr="00283424" w:rsidRDefault="00E93F58" w:rsidP="00B50726">
      <w:pPr>
        <w:pStyle w:val="paragraphsub"/>
      </w:pPr>
      <w:r w:rsidRPr="00283424">
        <w:tab/>
        <w:t>(i)</w:t>
      </w:r>
      <w:r w:rsidRPr="00283424">
        <w:tab/>
        <w:t>a product issuer; or</w:t>
      </w:r>
    </w:p>
    <w:p w14:paraId="0907FA84" w14:textId="77777777" w:rsidR="00E93F58" w:rsidRPr="00283424" w:rsidRDefault="00E93F58" w:rsidP="00B50726">
      <w:pPr>
        <w:pStyle w:val="paragraphsub"/>
      </w:pPr>
      <w:r w:rsidRPr="00283424">
        <w:tab/>
        <w:t>(ii)</w:t>
      </w:r>
      <w:r w:rsidRPr="00283424">
        <w:tab/>
        <w:t>a related body corporate of a product issuer; or</w:t>
      </w:r>
    </w:p>
    <w:p w14:paraId="122240FE" w14:textId="77777777" w:rsidR="00E93F58" w:rsidRPr="00283424" w:rsidRDefault="00E93F58" w:rsidP="00B50726">
      <w:pPr>
        <w:pStyle w:val="paragraphsub"/>
      </w:pPr>
      <w:r w:rsidRPr="00283424">
        <w:tab/>
        <w:t>(iii)</w:t>
      </w:r>
      <w:r w:rsidRPr="00283424">
        <w:tab/>
        <w:t>a product distributor; or</w:t>
      </w:r>
    </w:p>
    <w:p w14:paraId="47241C1A" w14:textId="77777777" w:rsidR="00E93F58" w:rsidRPr="00283424" w:rsidRDefault="00E93F58" w:rsidP="00B50726">
      <w:pPr>
        <w:pStyle w:val="paragraphsub"/>
      </w:pPr>
      <w:r w:rsidRPr="00283424">
        <w:tab/>
        <w:t>(iv)</w:t>
      </w:r>
      <w:r w:rsidRPr="00283424">
        <w:tab/>
        <w:t>an authorised representative of an entity mentioned in subparagraph (i), (ii) or (iii); and</w:t>
      </w:r>
    </w:p>
    <w:p w14:paraId="4F56E464" w14:textId="77777777" w:rsidR="00E93F58" w:rsidRPr="00283424" w:rsidRDefault="00E93F58" w:rsidP="00B50726">
      <w:pPr>
        <w:pStyle w:val="paragraph"/>
      </w:pPr>
      <w:r w:rsidRPr="00283424">
        <w:lastRenderedPageBreak/>
        <w:tab/>
        <w:t>(b)</w:t>
      </w:r>
      <w:r w:rsidRPr="00283424">
        <w:tab/>
        <w:t>is only general advice in relation to a financial product that is, or a class of financial products that includes, a financial product that is:</w:t>
      </w:r>
    </w:p>
    <w:p w14:paraId="5384AD17" w14:textId="77777777" w:rsidR="00E93F58" w:rsidRPr="00283424" w:rsidRDefault="00E93F58" w:rsidP="00B50726">
      <w:pPr>
        <w:pStyle w:val="paragraphsub"/>
      </w:pPr>
      <w:r w:rsidRPr="00283424">
        <w:tab/>
        <w:t>(i)</w:t>
      </w:r>
      <w:r w:rsidRPr="00283424">
        <w:tab/>
        <w:t>issued by the providing entity or a related body corporate of the providing entity; or</w:t>
      </w:r>
    </w:p>
    <w:p w14:paraId="23F12040" w14:textId="77777777" w:rsidR="00E93F58" w:rsidRPr="00283424" w:rsidRDefault="00E93F58" w:rsidP="00B50726">
      <w:pPr>
        <w:pStyle w:val="paragraphsub"/>
      </w:pPr>
      <w:r w:rsidRPr="00283424">
        <w:tab/>
        <w:t>(ii)</w:t>
      </w:r>
      <w:r w:rsidRPr="00283424">
        <w:tab/>
        <w:t>offered by the providing entity; and</w:t>
      </w:r>
    </w:p>
    <w:p w14:paraId="746F095E" w14:textId="77777777" w:rsidR="00E93F58" w:rsidRPr="00283424" w:rsidRDefault="00E93F58" w:rsidP="00B50726">
      <w:pPr>
        <w:pStyle w:val="paragraph"/>
      </w:pPr>
      <w:r w:rsidRPr="00283424">
        <w:tab/>
        <w:t>(c)</w:t>
      </w:r>
      <w:r w:rsidRPr="00283424">
        <w:tab/>
        <w:t>is not provided during a meeting; and</w:t>
      </w:r>
    </w:p>
    <w:p w14:paraId="62C75E59" w14:textId="77777777" w:rsidR="00E93F58" w:rsidRPr="00283424" w:rsidRDefault="00E93F58" w:rsidP="00B50726">
      <w:pPr>
        <w:pStyle w:val="paragraph"/>
      </w:pPr>
      <w:r w:rsidRPr="00283424">
        <w:tab/>
        <w:t>(d)</w:t>
      </w:r>
      <w:r w:rsidRPr="00283424">
        <w:tab/>
        <w:t>is not provided during a telephone call, unless:</w:t>
      </w:r>
    </w:p>
    <w:p w14:paraId="157B5846" w14:textId="77777777" w:rsidR="00E93F58" w:rsidRPr="00283424" w:rsidRDefault="00E93F58" w:rsidP="00B50726">
      <w:pPr>
        <w:pStyle w:val="paragraphsub"/>
      </w:pPr>
      <w:r w:rsidRPr="00283424">
        <w:tab/>
        <w:t>(i)</w:t>
      </w:r>
      <w:r w:rsidRPr="00283424">
        <w:tab/>
        <w:t>the advice:</w:t>
      </w:r>
    </w:p>
    <w:p w14:paraId="37F62409" w14:textId="77777777" w:rsidR="00E93F58" w:rsidRPr="00283424" w:rsidRDefault="00E93F58" w:rsidP="00B50726">
      <w:pPr>
        <w:pStyle w:val="paragraphsub-sub"/>
      </w:pPr>
      <w:r w:rsidRPr="00283424">
        <w:tab/>
        <w:t>(A)</w:t>
      </w:r>
      <w:r w:rsidRPr="00283424">
        <w:tab/>
        <w:t>concerns a class of financial products that includes a financial product already held by the client; and</w:t>
      </w:r>
    </w:p>
    <w:p w14:paraId="78D1465B" w14:textId="77777777" w:rsidR="00E93F58" w:rsidRPr="00283424" w:rsidRDefault="00E93F58" w:rsidP="00B50726">
      <w:pPr>
        <w:pStyle w:val="paragraphsub-sub"/>
      </w:pPr>
      <w:r w:rsidRPr="00283424">
        <w:tab/>
        <w:t>(B)</w:t>
      </w:r>
      <w:r w:rsidRPr="00283424">
        <w:tab/>
        <w:t>is provided by the providing entity for that financial product; or</w:t>
      </w:r>
    </w:p>
    <w:p w14:paraId="0F851024" w14:textId="77777777" w:rsidR="00E93F58" w:rsidRPr="00283424" w:rsidRDefault="00E93F58" w:rsidP="00B50726">
      <w:pPr>
        <w:pStyle w:val="paragraphsub"/>
      </w:pPr>
      <w:r w:rsidRPr="00283424">
        <w:tab/>
        <w:t>(ii)</w:t>
      </w:r>
      <w:r w:rsidRPr="00283424">
        <w:tab/>
        <w:t>there is no issue or sale of any financial product during the telephone call.</w:t>
      </w:r>
    </w:p>
    <w:p w14:paraId="7EC8EAF3" w14:textId="77777777" w:rsidR="00E93F58" w:rsidRPr="00283424" w:rsidRDefault="00E93F58" w:rsidP="00B50726">
      <w:pPr>
        <w:pStyle w:val="notetext"/>
      </w:pPr>
      <w:r w:rsidRPr="00283424">
        <w:t>Note:</w:t>
      </w:r>
      <w:r w:rsidRPr="00283424">
        <w:tab/>
        <w:t>The providing entity must meet obligations under the Act in relation to the telephone call such as the prohibition of hawking in sections 992A and 992AA of the Act and the requirements for Product Disclosure Statements in Part 7.9 of the Act.</w:t>
      </w:r>
    </w:p>
    <w:p w14:paraId="7CEA5D1E" w14:textId="77777777" w:rsidR="00E93F58" w:rsidRPr="00283424" w:rsidRDefault="00E93F58" w:rsidP="00B50726">
      <w:pPr>
        <w:pStyle w:val="subsection"/>
      </w:pPr>
      <w:r w:rsidRPr="00283424">
        <w:tab/>
        <w:t>(4A)</w:t>
      </w:r>
      <w:r w:rsidRPr="00283424">
        <w:tab/>
        <w:t>If general advice is provided during a telephone call in accordance with paragraph (4)(d), the providing entity must tell the client that:</w:t>
      </w:r>
    </w:p>
    <w:p w14:paraId="46033704" w14:textId="77777777" w:rsidR="00E93F58" w:rsidRPr="00283424" w:rsidRDefault="00E93F58" w:rsidP="00B50726">
      <w:pPr>
        <w:pStyle w:val="paragraph"/>
      </w:pPr>
      <w:r w:rsidRPr="00283424">
        <w:tab/>
        <w:t>(a)</w:t>
      </w:r>
      <w:r w:rsidRPr="00283424">
        <w:tab/>
        <w:t>a Financial Services Guide exists; and</w:t>
      </w:r>
    </w:p>
    <w:p w14:paraId="04627CAF" w14:textId="77777777" w:rsidR="00E93F58" w:rsidRPr="00283424" w:rsidRDefault="00E93F58" w:rsidP="00B50726">
      <w:pPr>
        <w:pStyle w:val="paragraph"/>
      </w:pPr>
      <w:r w:rsidRPr="00283424">
        <w:tab/>
        <w:t>(b)</w:t>
      </w:r>
      <w:r w:rsidRPr="00283424">
        <w:tab/>
        <w:t>the provider will send out a Financial Services Guide on request.</w:t>
      </w:r>
    </w:p>
    <w:p w14:paraId="5155EC16" w14:textId="77777777" w:rsidR="00E93F58" w:rsidRPr="00283424" w:rsidRDefault="00E93F58" w:rsidP="00B50726">
      <w:pPr>
        <w:pStyle w:val="subsection"/>
      </w:pPr>
      <w:r w:rsidRPr="00283424">
        <w:tab/>
        <w:t>(5)</w:t>
      </w:r>
      <w:r w:rsidRPr="00283424">
        <w:tab/>
        <w:t>If subregulation (4) applies and the providing entity does not give a Financial Services Guide to the client when the advice is provided, the providing entity must give to the client:</w:t>
      </w:r>
    </w:p>
    <w:p w14:paraId="684EEFC4" w14:textId="77777777" w:rsidR="00E93F58" w:rsidRPr="00283424" w:rsidRDefault="00E93F58" w:rsidP="00B50726">
      <w:pPr>
        <w:pStyle w:val="paragraph"/>
      </w:pPr>
      <w:r w:rsidRPr="00283424">
        <w:tab/>
        <w:t>(a)</w:t>
      </w:r>
      <w:r w:rsidRPr="00283424">
        <w:tab/>
        <w:t>the information that would be required to be in the Financial Services Guide by paragraphs 942B(2)(a), (e) and (f) of the Act; or</w:t>
      </w:r>
    </w:p>
    <w:p w14:paraId="375121FF" w14:textId="77777777" w:rsidR="00E93F58" w:rsidRPr="00283424" w:rsidRDefault="00E93F58" w:rsidP="00B50726">
      <w:pPr>
        <w:pStyle w:val="paragraph"/>
      </w:pPr>
      <w:r w:rsidRPr="00283424">
        <w:tab/>
        <w:t>(b)</w:t>
      </w:r>
      <w:r w:rsidRPr="00283424">
        <w:tab/>
        <w:t>the information that would be required to be in the Financial Services Guide by paragraphs 942C(2)(a), (c), (f) and (g) of the Act;</w:t>
      </w:r>
    </w:p>
    <w:p w14:paraId="3E920DC7" w14:textId="77777777" w:rsidR="00E93F58" w:rsidRPr="00283424" w:rsidRDefault="00E93F58" w:rsidP="00B50726">
      <w:pPr>
        <w:pStyle w:val="subsection2"/>
      </w:pPr>
      <w:r w:rsidRPr="00283424">
        <w:t>as the case requires.</w:t>
      </w:r>
    </w:p>
    <w:p w14:paraId="0427527B" w14:textId="77777777" w:rsidR="00E93F58" w:rsidRPr="00283424" w:rsidRDefault="00E93F58" w:rsidP="00B50726">
      <w:pPr>
        <w:pStyle w:val="notetext"/>
      </w:pPr>
      <w:r w:rsidRPr="00283424">
        <w:t>Note:</w:t>
      </w:r>
      <w:r w:rsidRPr="00283424">
        <w:tab/>
        <w:t>If general advice is provided to 1 or more retail clients, the providing entity must comply with section 949A of the Act.</w:t>
      </w:r>
    </w:p>
    <w:p w14:paraId="7393DB39" w14:textId="77777777" w:rsidR="00E93F58" w:rsidRPr="00283424" w:rsidRDefault="00E93F58" w:rsidP="00B50726">
      <w:pPr>
        <w:pStyle w:val="subsection"/>
      </w:pPr>
      <w:r w:rsidRPr="00283424">
        <w:tab/>
        <w:t>(5A)</w:t>
      </w:r>
      <w:r w:rsidRPr="00283424">
        <w:tab/>
        <w:t>For subsection 941C(8) of the Act, a Financial Services Guide does not have to be given to a client in the following circumstances:</w:t>
      </w:r>
    </w:p>
    <w:p w14:paraId="0A4E0FCC" w14:textId="77777777" w:rsidR="00E93F58" w:rsidRPr="00283424" w:rsidRDefault="00E93F58" w:rsidP="00B50726">
      <w:pPr>
        <w:pStyle w:val="paragraph"/>
      </w:pPr>
      <w:r w:rsidRPr="00283424">
        <w:tab/>
        <w:t>(a)</w:t>
      </w:r>
      <w:r w:rsidRPr="00283424">
        <w:tab/>
        <w:t>the advice is provided in circumstances in which section 1018A of the Act applies or will apply at the end of the transition period;</w:t>
      </w:r>
    </w:p>
    <w:p w14:paraId="6FC0C2C6" w14:textId="77777777" w:rsidR="00E93F58" w:rsidRPr="00283424" w:rsidRDefault="00E93F58" w:rsidP="00B50726">
      <w:pPr>
        <w:pStyle w:val="paragraph"/>
      </w:pPr>
      <w:r w:rsidRPr="00283424">
        <w:tab/>
        <w:t>(b)</w:t>
      </w:r>
      <w:r w:rsidRPr="00283424">
        <w:tab/>
        <w:t>the advice is only general advice in relation to a financial product that is, or a class of financial products that includes, a financial product issued by the product issuer;</w:t>
      </w:r>
    </w:p>
    <w:p w14:paraId="50FD1293" w14:textId="77777777" w:rsidR="00E93F58" w:rsidRPr="00283424" w:rsidRDefault="00E93F58" w:rsidP="00B50726">
      <w:pPr>
        <w:pStyle w:val="paragraph"/>
      </w:pPr>
      <w:r w:rsidRPr="00283424">
        <w:tab/>
        <w:t>(c)</w:t>
      </w:r>
      <w:r w:rsidRPr="00283424">
        <w:tab/>
        <w:t>the advice is in the form of advertising the financial product:</w:t>
      </w:r>
    </w:p>
    <w:p w14:paraId="17BE79EE" w14:textId="77777777" w:rsidR="00E93F58" w:rsidRPr="00283424" w:rsidRDefault="00E93F58" w:rsidP="00B50726">
      <w:pPr>
        <w:pStyle w:val="paragraphsub"/>
      </w:pPr>
      <w:r w:rsidRPr="00283424">
        <w:tab/>
        <w:t>(i)</w:t>
      </w:r>
      <w:r w:rsidRPr="00283424">
        <w:tab/>
        <w:t>on a billboard or a poster; or</w:t>
      </w:r>
    </w:p>
    <w:p w14:paraId="015861DA" w14:textId="77777777" w:rsidR="00E93F58" w:rsidRPr="00283424" w:rsidRDefault="00E93F58" w:rsidP="00B50726">
      <w:pPr>
        <w:pStyle w:val="paragraphsub"/>
      </w:pPr>
      <w:r w:rsidRPr="00283424">
        <w:tab/>
        <w:t>(ii)</w:t>
      </w:r>
      <w:r w:rsidRPr="00283424">
        <w:tab/>
        <w:t>in the media within the meaning of subregulation 7.6.01(7);</w:t>
      </w:r>
    </w:p>
    <w:p w14:paraId="36AE9920" w14:textId="77777777" w:rsidR="00E93F58" w:rsidRPr="00283424" w:rsidRDefault="00E93F58" w:rsidP="00B50726">
      <w:pPr>
        <w:pStyle w:val="paragraph"/>
      </w:pPr>
      <w:r w:rsidRPr="00283424">
        <w:tab/>
        <w:t>(d)</w:t>
      </w:r>
      <w:r w:rsidRPr="00283424">
        <w:tab/>
        <w:t>the advertisement indicates that a person should consider whether or not the product is appropriate for the person.</w:t>
      </w:r>
    </w:p>
    <w:p w14:paraId="63352B8D" w14:textId="77777777" w:rsidR="00E93F58" w:rsidRPr="00283424" w:rsidRDefault="00E93F58" w:rsidP="00B50726">
      <w:pPr>
        <w:pStyle w:val="subsection"/>
      </w:pPr>
      <w:r w:rsidRPr="00283424">
        <w:tab/>
        <w:t>(5B)</w:t>
      </w:r>
      <w:r w:rsidRPr="00283424">
        <w:tab/>
        <w:t>For subsection 941C(8) of the Act, a Financial Services Guide does not have to be given to a client in the following circumstances:</w:t>
      </w:r>
    </w:p>
    <w:p w14:paraId="09D4BE1B" w14:textId="77777777" w:rsidR="00E93F58" w:rsidRPr="00283424" w:rsidRDefault="00E93F58" w:rsidP="00B50726">
      <w:pPr>
        <w:pStyle w:val="paragraph"/>
      </w:pPr>
      <w:r w:rsidRPr="00283424">
        <w:tab/>
        <w:t>(a)</w:t>
      </w:r>
      <w:r w:rsidRPr="00283424">
        <w:tab/>
        <w:t>the providing entity is an issuer of derivatives that are able to be traded on a financial market;</w:t>
      </w:r>
    </w:p>
    <w:p w14:paraId="418DCB47" w14:textId="77777777" w:rsidR="00E93F58" w:rsidRPr="00283424" w:rsidRDefault="00E93F58" w:rsidP="00B50726">
      <w:pPr>
        <w:pStyle w:val="paragraph"/>
      </w:pPr>
      <w:r w:rsidRPr="00283424">
        <w:tab/>
        <w:t>(b)</w:t>
      </w:r>
      <w:r w:rsidRPr="00283424">
        <w:tab/>
        <w:t>the financial service is a dealing in a derivative by the providing entity;</w:t>
      </w:r>
    </w:p>
    <w:p w14:paraId="77BC48D8" w14:textId="77777777" w:rsidR="00E93F58" w:rsidRPr="00283424" w:rsidRDefault="00E93F58" w:rsidP="00B50726">
      <w:pPr>
        <w:pStyle w:val="paragraph"/>
      </w:pPr>
      <w:r w:rsidRPr="00283424">
        <w:tab/>
        <w:t>(c)</w:t>
      </w:r>
      <w:r w:rsidRPr="00283424">
        <w:tab/>
        <w:t>at the time of the dealing, the providing entity is not a participant in the financial market on which the particular derivative may be traded;</w:t>
      </w:r>
    </w:p>
    <w:p w14:paraId="0D436F72" w14:textId="77777777" w:rsidR="00E93F58" w:rsidRPr="00283424" w:rsidRDefault="00E93F58" w:rsidP="00B50726">
      <w:pPr>
        <w:pStyle w:val="paragraph"/>
      </w:pPr>
      <w:r w:rsidRPr="00283424">
        <w:tab/>
        <w:t>(d)</w:t>
      </w:r>
      <w:r w:rsidRPr="00283424">
        <w:tab/>
        <w:t>the only financial service that the providing entity provides to the client is the issuing of the derivative.</w:t>
      </w:r>
    </w:p>
    <w:p w14:paraId="6F172E52" w14:textId="77777777" w:rsidR="00E93F58" w:rsidRPr="00283424" w:rsidRDefault="00E93F58" w:rsidP="00B50726">
      <w:pPr>
        <w:pStyle w:val="subsection"/>
      </w:pPr>
      <w:r w:rsidRPr="00283424">
        <w:tab/>
        <w:t>(6)</w:t>
      </w:r>
      <w:r w:rsidRPr="00283424">
        <w:tab/>
        <w:t>In this regulation:</w:t>
      </w:r>
    </w:p>
    <w:p w14:paraId="6758EBAF" w14:textId="77777777" w:rsidR="00E93F58" w:rsidRPr="00283424" w:rsidRDefault="00E93F58" w:rsidP="00B50726">
      <w:pPr>
        <w:pStyle w:val="Definition"/>
      </w:pPr>
      <w:r w:rsidRPr="00283424">
        <w:rPr>
          <w:b/>
          <w:i/>
        </w:rPr>
        <w:t>product distributor</w:t>
      </w:r>
      <w:r w:rsidRPr="00283424">
        <w:t xml:space="preserve"> means a licensee that offers a financial product for sale.</w:t>
      </w:r>
    </w:p>
    <w:p w14:paraId="595687FE" w14:textId="77777777" w:rsidR="00E93F58" w:rsidRPr="00283424" w:rsidRDefault="00E93F58" w:rsidP="00B50726">
      <w:pPr>
        <w:pStyle w:val="subsection"/>
      </w:pPr>
      <w:r w:rsidRPr="00283424">
        <w:tab/>
        <w:t>(7)</w:t>
      </w:r>
      <w:r w:rsidRPr="00283424">
        <w:tab/>
        <w:t>If:</w:t>
      </w:r>
    </w:p>
    <w:p w14:paraId="67ABF8EF" w14:textId="77777777" w:rsidR="00E93F58" w:rsidRPr="00283424" w:rsidRDefault="00E93F58" w:rsidP="00B50726">
      <w:pPr>
        <w:pStyle w:val="paragraph"/>
      </w:pPr>
      <w:r w:rsidRPr="00283424">
        <w:tab/>
        <w:t>(a)</w:t>
      </w:r>
      <w:r w:rsidRPr="00283424">
        <w:tab/>
        <w:t xml:space="preserve">a financial service is provided by a person (the </w:t>
      </w:r>
      <w:r w:rsidRPr="00283424">
        <w:rPr>
          <w:b/>
          <w:i/>
        </w:rPr>
        <w:t>secondary service provider</w:t>
      </w:r>
      <w:r w:rsidRPr="00283424">
        <w:t xml:space="preserve">) to a client by causing or authorising another person (the </w:t>
      </w:r>
      <w:r w:rsidRPr="00283424">
        <w:rPr>
          <w:b/>
          <w:i/>
        </w:rPr>
        <w:t>intermediary</w:t>
      </w:r>
      <w:r w:rsidRPr="00283424">
        <w:t>) to provide or pass on the service; and</w:t>
      </w:r>
    </w:p>
    <w:p w14:paraId="4B79C49C" w14:textId="77777777" w:rsidR="00E93F58" w:rsidRPr="00283424" w:rsidRDefault="00E93F58" w:rsidP="00B50726">
      <w:pPr>
        <w:pStyle w:val="paragraph"/>
      </w:pPr>
      <w:r w:rsidRPr="00283424">
        <w:tab/>
        <w:t>(b)</w:t>
      </w:r>
      <w:r w:rsidRPr="00283424">
        <w:tab/>
        <w:t>but for the operation of section 52 of the Act, the secondary service provider would not be taken to be providing the financial service to the client; and</w:t>
      </w:r>
    </w:p>
    <w:p w14:paraId="19788212" w14:textId="77777777" w:rsidR="00E93F58" w:rsidRPr="00283424" w:rsidRDefault="00E93F58" w:rsidP="00B50726">
      <w:pPr>
        <w:pStyle w:val="paragraph"/>
      </w:pPr>
      <w:r w:rsidRPr="00283424">
        <w:lastRenderedPageBreak/>
        <w:tab/>
        <w:t>(c)</w:t>
      </w:r>
      <w:r w:rsidRPr="00283424">
        <w:tab/>
        <w:t>the intermediary does not act on behalf of the secondary service provider in providing or passing on the service for the secondary service provider (see section 911B of the Act); and</w:t>
      </w:r>
    </w:p>
    <w:p w14:paraId="3F22A782" w14:textId="77777777" w:rsidR="00E93F58" w:rsidRPr="00283424" w:rsidRDefault="00E93F58" w:rsidP="00B50726">
      <w:pPr>
        <w:pStyle w:val="paragraph"/>
      </w:pPr>
      <w:r w:rsidRPr="00283424">
        <w:tab/>
        <w:t>(d)</w:t>
      </w:r>
      <w:r w:rsidRPr="00283424">
        <w:tab/>
        <w:t>the intermediary is a financial services licensee or an authorised representative of a financial services licensee; and</w:t>
      </w:r>
    </w:p>
    <w:p w14:paraId="2F80FE32" w14:textId="77777777" w:rsidR="00E93F58" w:rsidRPr="00283424" w:rsidRDefault="00E93F58" w:rsidP="00B50726">
      <w:pPr>
        <w:pStyle w:val="paragraph"/>
      </w:pPr>
      <w:r w:rsidRPr="00283424">
        <w:tab/>
        <w:t>(e)</w:t>
      </w:r>
      <w:r w:rsidRPr="00283424">
        <w:tab/>
        <w:t>the secondary service provider has a written agreement with the intermediary under which the intermediary agrees to either:</w:t>
      </w:r>
    </w:p>
    <w:p w14:paraId="02A48116" w14:textId="77777777" w:rsidR="00E93F58" w:rsidRPr="00283424" w:rsidRDefault="00E93F58" w:rsidP="00B50726">
      <w:pPr>
        <w:pStyle w:val="paragraphsub"/>
      </w:pPr>
      <w:r w:rsidRPr="00283424">
        <w:tab/>
        <w:t>(i)</w:t>
      </w:r>
      <w:r w:rsidRPr="00283424">
        <w:tab/>
        <w:t>give the secondary service provider’s Financial Services Guide relating to the financial service provided by the secondary service provider to the client; or</w:t>
      </w:r>
    </w:p>
    <w:p w14:paraId="7BF8CFF4" w14:textId="77777777" w:rsidR="00E93F58" w:rsidRPr="00283424" w:rsidRDefault="00E93F58" w:rsidP="00B50726">
      <w:pPr>
        <w:pStyle w:val="paragraphsub"/>
      </w:pPr>
      <w:r w:rsidRPr="00283424">
        <w:tab/>
        <w:t>(ii)</w:t>
      </w:r>
      <w:r w:rsidRPr="00283424">
        <w:tab/>
        <w:t>inform the client how to obtain the secondary service provider’s Financial Services Guide relating to the financial service provided by the secondary service provider;</w:t>
      </w:r>
    </w:p>
    <w:p w14:paraId="134EAEDE" w14:textId="77777777" w:rsidR="00E93F58" w:rsidRPr="00283424" w:rsidRDefault="00E93F58" w:rsidP="00B50726">
      <w:pPr>
        <w:pStyle w:val="subsection2"/>
      </w:pPr>
      <w:r w:rsidRPr="00283424">
        <w:t>then, for subsection 941C(8) of the Act, the secondary service provider does not have to give the client a Financial Services Guide for the financial service.</w:t>
      </w:r>
    </w:p>
    <w:p w14:paraId="4C97425B" w14:textId="77777777" w:rsidR="00E93F58" w:rsidRPr="00283424" w:rsidRDefault="00E93F58" w:rsidP="00B50726">
      <w:pPr>
        <w:pStyle w:val="ActHead5"/>
      </w:pPr>
      <w:bookmarkStart w:id="1033" w:name="_Toc152054495"/>
      <w:bookmarkStart w:id="1034" w:name="_Toc158712311"/>
      <w:r w:rsidRPr="006F296E">
        <w:rPr>
          <w:rStyle w:val="CharSectno"/>
        </w:rPr>
        <w:t>7.7.02A</w:t>
      </w:r>
      <w:r w:rsidRPr="00283424">
        <w:t xml:space="preserve">  Situations when Financial Services Guide is not required</w:t>
      </w:r>
      <w:bookmarkEnd w:id="1033"/>
      <w:bookmarkEnd w:id="1034"/>
    </w:p>
    <w:p w14:paraId="61D97061" w14:textId="77777777" w:rsidR="00E93F58" w:rsidRPr="00283424" w:rsidRDefault="00E93F58" w:rsidP="00B50726">
      <w:pPr>
        <w:pStyle w:val="subsection"/>
      </w:pPr>
      <w:r w:rsidRPr="00283424">
        <w:tab/>
        <w:t>(1)</w:t>
      </w:r>
      <w:r w:rsidRPr="00283424">
        <w:tab/>
        <w:t>For paragraph 951C(1)(c) of the Act, section 941C of the Act is modified by inserting after subsection 941C(1) the following subsection:</w:t>
      </w:r>
    </w:p>
    <w:p w14:paraId="6DB9127A" w14:textId="77777777" w:rsidR="00E93F58" w:rsidRPr="00283424" w:rsidRDefault="00E93F58" w:rsidP="00B50726">
      <w:pPr>
        <w:pStyle w:val="subsection"/>
      </w:pPr>
      <w:r w:rsidRPr="00283424">
        <w:tab/>
        <w:t>“(1A)</w:t>
      </w:r>
      <w:r w:rsidRPr="00283424">
        <w:tab/>
        <w:t>The providing entity does not have to give the client a Financial Services Guide if the client has already received the documents referred to in paragraphs (7A)(</w:t>
      </w:r>
      <w:r w:rsidRPr="00283424">
        <w:rPr>
          <w:szCs w:val="22"/>
        </w:rPr>
        <w:t>b) and (c)</w:t>
      </w:r>
      <w:r w:rsidRPr="00283424">
        <w:t>, in the circumstances set out in that subsection, that together contain all of the information that the new Financial Services Guide is required to contain.”</w:t>
      </w:r>
    </w:p>
    <w:p w14:paraId="7006B8F8" w14:textId="77777777" w:rsidR="00E93F58" w:rsidRPr="00283424" w:rsidRDefault="00E93F58" w:rsidP="00B50726">
      <w:pPr>
        <w:pStyle w:val="subsection"/>
      </w:pPr>
      <w:r w:rsidRPr="00283424">
        <w:tab/>
        <w:t>(2)</w:t>
      </w:r>
      <w:r w:rsidRPr="00283424">
        <w:tab/>
        <w:t>For paragraph 951C(1)(c) of the Act, section 941C of the Act is modified by inserting after subsection 941C(7) the following subsections:</w:t>
      </w:r>
    </w:p>
    <w:p w14:paraId="4CF2FC9A" w14:textId="77777777" w:rsidR="00E93F58" w:rsidRPr="00283424" w:rsidRDefault="00E93F58" w:rsidP="00B50726">
      <w:pPr>
        <w:pStyle w:val="subsection"/>
      </w:pPr>
      <w:r w:rsidRPr="00283424">
        <w:tab/>
        <w:t>“(7A)</w:t>
      </w:r>
      <w:r w:rsidRPr="00283424">
        <w:tab/>
        <w:t>The providing entity does not have to give the client a Financial Services Guide in the following circumstances:</w:t>
      </w:r>
    </w:p>
    <w:p w14:paraId="20D17930" w14:textId="77777777" w:rsidR="00E93F58" w:rsidRPr="00283424" w:rsidRDefault="00E93F58" w:rsidP="00B50726">
      <w:pPr>
        <w:pStyle w:val="paragraph"/>
      </w:pPr>
      <w:r w:rsidRPr="00283424">
        <w:tab/>
        <w:t>(a)</w:t>
      </w:r>
      <w:r w:rsidRPr="00283424">
        <w:tab/>
        <w:t>if the providing entity will, or is likely to, provide a financial service to the client in a recommendation situation (see section 1012A), an issue situation (see section 1012B) or a sale situation (see section 1012C);</w:t>
      </w:r>
    </w:p>
    <w:p w14:paraId="1F22E6BA" w14:textId="77777777" w:rsidR="00E93F58" w:rsidRPr="00283424" w:rsidRDefault="00E93F58" w:rsidP="00B50726">
      <w:pPr>
        <w:pStyle w:val="paragraph"/>
      </w:pPr>
      <w:r w:rsidRPr="00283424">
        <w:tab/>
        <w:t>(b)</w:t>
      </w:r>
      <w:r w:rsidRPr="00283424">
        <w:tab/>
        <w:t>the providing entity gives to the client a Product Disclosure Statement;</w:t>
      </w:r>
    </w:p>
    <w:p w14:paraId="18FA4191" w14:textId="77777777" w:rsidR="00E93F58" w:rsidRPr="00283424" w:rsidRDefault="00E93F58" w:rsidP="00B50726">
      <w:pPr>
        <w:pStyle w:val="paragraph"/>
        <w:keepNext/>
      </w:pPr>
      <w:r w:rsidRPr="00283424">
        <w:tab/>
        <w:t>(c)</w:t>
      </w:r>
      <w:r w:rsidRPr="00283424">
        <w:tab/>
        <w:t>the providing entity gives to the client a statement that:</w:t>
      </w:r>
    </w:p>
    <w:p w14:paraId="53B222E7" w14:textId="77777777" w:rsidR="00E93F58" w:rsidRPr="00283424" w:rsidRDefault="00E93F58" w:rsidP="00B50726">
      <w:pPr>
        <w:pStyle w:val="paragraphsub"/>
        <w:keepLines/>
        <w:rPr>
          <w:szCs w:val="22"/>
        </w:rPr>
      </w:pPr>
      <w:r w:rsidRPr="00283424">
        <w:tab/>
      </w:r>
      <w:r w:rsidRPr="00283424">
        <w:rPr>
          <w:szCs w:val="22"/>
        </w:rPr>
        <w:t>(i)</w:t>
      </w:r>
      <w:r w:rsidRPr="00283424">
        <w:rPr>
          <w:szCs w:val="22"/>
        </w:rPr>
        <w:tab/>
        <w:t>contains so much of the information required by section 942B or 942C (as the case may be), and any regulations made for the purposes of the appropriate section, as is not already set out in the Product Disclosure Statement; and</w:t>
      </w:r>
    </w:p>
    <w:p w14:paraId="73F1DFD7" w14:textId="77777777" w:rsidR="00E93F58" w:rsidRPr="00283424" w:rsidRDefault="00E93F58" w:rsidP="00B50726">
      <w:pPr>
        <w:pStyle w:val="paragraphsub"/>
        <w:rPr>
          <w:szCs w:val="22"/>
        </w:rPr>
      </w:pPr>
      <w:r w:rsidRPr="00283424">
        <w:rPr>
          <w:szCs w:val="22"/>
        </w:rPr>
        <w:tab/>
        <w:t>(ii)</w:t>
      </w:r>
      <w:r w:rsidRPr="00283424">
        <w:rPr>
          <w:szCs w:val="22"/>
        </w:rPr>
        <w:tab/>
        <w:t>complies with the requirements set out in subsection (7B);</w:t>
      </w:r>
    </w:p>
    <w:p w14:paraId="212538D6" w14:textId="77777777" w:rsidR="00E93F58" w:rsidRPr="00283424" w:rsidRDefault="00E93F58" w:rsidP="00B50726">
      <w:pPr>
        <w:pStyle w:val="paragraph"/>
      </w:pPr>
      <w:r w:rsidRPr="00283424">
        <w:tab/>
        <w:t>(d)</w:t>
      </w:r>
      <w:r w:rsidRPr="00283424">
        <w:tab/>
        <w:t>the statements mentioned in paragraphs (</w:t>
      </w:r>
      <w:r w:rsidRPr="00283424">
        <w:rPr>
          <w:szCs w:val="22"/>
        </w:rPr>
        <w:t>b) and (c)</w:t>
      </w:r>
      <w:r w:rsidRPr="00283424">
        <w:t xml:space="preserve"> are given at the same time.</w:t>
      </w:r>
    </w:p>
    <w:p w14:paraId="2C023BCA" w14:textId="77777777" w:rsidR="00E93F58" w:rsidRPr="00283424" w:rsidRDefault="00E93F58" w:rsidP="00B50726">
      <w:pPr>
        <w:pStyle w:val="subsection"/>
      </w:pPr>
      <w:r w:rsidRPr="00283424">
        <w:tab/>
        <w:t>(7B)</w:t>
      </w:r>
      <w:r w:rsidRPr="00283424">
        <w:tab/>
        <w:t>The statement referred to in paragraph (7A)(c) must:</w:t>
      </w:r>
    </w:p>
    <w:p w14:paraId="6CBC8A40" w14:textId="77777777" w:rsidR="00E93F58" w:rsidRPr="00283424" w:rsidRDefault="00E93F58" w:rsidP="00B50726">
      <w:pPr>
        <w:pStyle w:val="paragraph"/>
      </w:pPr>
      <w:r w:rsidRPr="00283424">
        <w:tab/>
        <w:t>(a)</w:t>
      </w:r>
      <w:r w:rsidRPr="00283424">
        <w:tab/>
        <w:t xml:space="preserve">be up to date </w:t>
      </w:r>
      <w:r w:rsidRPr="00283424">
        <w:rPr>
          <w:szCs w:val="22"/>
        </w:rPr>
        <w:t xml:space="preserve">as </w:t>
      </w:r>
      <w:r w:rsidRPr="00283424">
        <w:t>at the time it is given to the client; and</w:t>
      </w:r>
    </w:p>
    <w:p w14:paraId="1810993C" w14:textId="77777777" w:rsidR="00E93F58" w:rsidRPr="00283424" w:rsidRDefault="00E93F58" w:rsidP="00B50726">
      <w:pPr>
        <w:pStyle w:val="paragraph"/>
      </w:pPr>
      <w:r w:rsidRPr="00283424">
        <w:tab/>
        <w:t>(b)</w:t>
      </w:r>
      <w:r w:rsidRPr="00283424">
        <w:tab/>
        <w:t>may contain information apart from that referred to in subparagraph (7A)(c)(i); and</w:t>
      </w:r>
    </w:p>
    <w:p w14:paraId="4FD3607F" w14:textId="77777777" w:rsidR="00E93F58" w:rsidRPr="00283424" w:rsidRDefault="00E93F58" w:rsidP="00B50726">
      <w:pPr>
        <w:pStyle w:val="paragraph"/>
      </w:pPr>
      <w:r w:rsidRPr="00283424">
        <w:tab/>
        <w:t>(c)</w:t>
      </w:r>
      <w:r w:rsidRPr="00283424">
        <w:tab/>
        <w:t>meet the requirements of subsections 942B(3) and (6A) or subsections 942C(3) and (6A) (as the case may be).”</w:t>
      </w:r>
    </w:p>
    <w:p w14:paraId="7B29CFD6" w14:textId="77777777" w:rsidR="00E93F58" w:rsidRPr="00283424" w:rsidRDefault="00E93F58" w:rsidP="00B50726">
      <w:pPr>
        <w:pStyle w:val="ActHead5"/>
      </w:pPr>
      <w:bookmarkStart w:id="1035" w:name="_Toc152054496"/>
      <w:bookmarkStart w:id="1036" w:name="_Toc158712312"/>
      <w:r w:rsidRPr="006F296E">
        <w:rPr>
          <w:rStyle w:val="CharSectno"/>
        </w:rPr>
        <w:t>7.7.03</w:t>
      </w:r>
      <w:r w:rsidRPr="00283424">
        <w:rPr>
          <w:sz w:val="16"/>
        </w:rPr>
        <w:t xml:space="preserve">  </w:t>
      </w:r>
      <w:r w:rsidRPr="00283424">
        <w:t>Financial Services Guide given by financial services licensee: description of documents</w:t>
      </w:r>
      <w:bookmarkEnd w:id="1035"/>
      <w:bookmarkEnd w:id="1036"/>
    </w:p>
    <w:p w14:paraId="0E172D92" w14:textId="77777777" w:rsidR="00E93F58" w:rsidRPr="00283424" w:rsidRDefault="00E93F58" w:rsidP="00B50726">
      <w:pPr>
        <w:pStyle w:val="subsection"/>
        <w:keepNext/>
        <w:keepLines/>
      </w:pPr>
      <w:r w:rsidRPr="00283424">
        <w:tab/>
        <w:t>(1)</w:t>
      </w:r>
      <w:r w:rsidRPr="00283424">
        <w:tab/>
        <w:t>For paragraph 942B(2)(k) of the Act, the Financial Services Guide given by a financial services licensee must include a statement that:</w:t>
      </w:r>
    </w:p>
    <w:p w14:paraId="2A3BF203" w14:textId="77777777" w:rsidR="00E93F58" w:rsidRPr="00283424" w:rsidRDefault="00E93F58" w:rsidP="00B50726">
      <w:pPr>
        <w:pStyle w:val="paragraph"/>
      </w:pPr>
      <w:r w:rsidRPr="00283424">
        <w:rPr>
          <w:color w:val="000000"/>
        </w:rPr>
        <w:tab/>
        <w:t>(a)</w:t>
      </w:r>
      <w:r w:rsidRPr="00283424">
        <w:rPr>
          <w:color w:val="000000"/>
        </w:rPr>
        <w:tab/>
        <w:t>describes the purpose and content of the Financial Services Guide; and</w:t>
      </w:r>
    </w:p>
    <w:p w14:paraId="58C02ADD" w14:textId="77777777" w:rsidR="00E93F58" w:rsidRPr="00283424" w:rsidRDefault="00E93F58" w:rsidP="00B50726">
      <w:pPr>
        <w:pStyle w:val="paragraph"/>
      </w:pPr>
      <w:r w:rsidRPr="00283424">
        <w:tab/>
        <w:t>(b)</w:t>
      </w:r>
      <w:r w:rsidRPr="00283424">
        <w:tab/>
        <w:t>if appropriate:</w:t>
      </w:r>
    </w:p>
    <w:p w14:paraId="5F394EF4" w14:textId="77777777" w:rsidR="00E93F58" w:rsidRPr="00283424" w:rsidRDefault="00E93F58" w:rsidP="00B50726">
      <w:pPr>
        <w:pStyle w:val="paragraphsub"/>
      </w:pPr>
      <w:r w:rsidRPr="00283424">
        <w:rPr>
          <w:color w:val="000000"/>
        </w:rPr>
        <w:tab/>
        <w:t>(i)</w:t>
      </w:r>
      <w:r w:rsidRPr="00283424">
        <w:rPr>
          <w:color w:val="000000"/>
        </w:rPr>
        <w:tab/>
        <w:t>informs the client that the client may also receive either or both of a Statement of Advice and a Product Disclosure Statement; and</w:t>
      </w:r>
    </w:p>
    <w:p w14:paraId="3496CB58" w14:textId="77777777" w:rsidR="00E93F58" w:rsidRPr="00283424" w:rsidRDefault="00E93F58" w:rsidP="00B50726">
      <w:pPr>
        <w:pStyle w:val="paragraphsub"/>
      </w:pPr>
      <w:r w:rsidRPr="00283424">
        <w:tab/>
        <w:t>(ii)</w:t>
      </w:r>
      <w:r w:rsidRPr="00283424">
        <w:tab/>
        <w:t>describes the purpose and content of those documents.</w:t>
      </w:r>
    </w:p>
    <w:p w14:paraId="1803CD9B" w14:textId="77777777" w:rsidR="00E93F58" w:rsidRPr="00283424" w:rsidRDefault="00E93F58" w:rsidP="00B50726">
      <w:pPr>
        <w:pStyle w:val="subsection"/>
      </w:pPr>
      <w:r w:rsidRPr="00283424">
        <w:tab/>
        <w:t>(2)</w:t>
      </w:r>
      <w:r w:rsidRPr="00283424">
        <w:tab/>
        <w:t>In describing the purpose and content of the Financial Services Guide as mentioned in subregulation (1), the client’s attention must be drawn to the following matters:</w:t>
      </w:r>
    </w:p>
    <w:p w14:paraId="64F37698" w14:textId="77777777" w:rsidR="00E93F58" w:rsidRPr="00283424" w:rsidRDefault="00E93F58" w:rsidP="00B50726">
      <w:pPr>
        <w:pStyle w:val="paragraph"/>
      </w:pPr>
      <w:r w:rsidRPr="00283424">
        <w:rPr>
          <w:color w:val="000000"/>
        </w:rPr>
        <w:tab/>
        <w:t>(a)</w:t>
      </w:r>
      <w:r w:rsidRPr="00283424">
        <w:rPr>
          <w:color w:val="000000"/>
        </w:rPr>
        <w:tab/>
        <w:t>the Guide is designed to assist the client in deciding whether to use any of the services offered in the Guide;</w:t>
      </w:r>
    </w:p>
    <w:p w14:paraId="6B198367" w14:textId="77777777" w:rsidR="00E93F58" w:rsidRPr="00283424" w:rsidRDefault="00E93F58" w:rsidP="00B50726">
      <w:pPr>
        <w:pStyle w:val="paragraph"/>
      </w:pPr>
      <w:r w:rsidRPr="00283424">
        <w:lastRenderedPageBreak/>
        <w:tab/>
        <w:t>(b)</w:t>
      </w:r>
      <w:r w:rsidRPr="00283424">
        <w:tab/>
        <w:t>the Guide contains information about remuneration that may be paid to the financial services licensee and other relevant persons in relation to the services offered;</w:t>
      </w:r>
    </w:p>
    <w:p w14:paraId="4CD2EC9F" w14:textId="77777777" w:rsidR="00E93F58" w:rsidRPr="00283424" w:rsidRDefault="00E93F58" w:rsidP="00B50726">
      <w:pPr>
        <w:pStyle w:val="paragraph"/>
      </w:pPr>
      <w:r w:rsidRPr="00283424">
        <w:tab/>
        <w:t>(c)</w:t>
      </w:r>
      <w:r w:rsidRPr="00283424">
        <w:tab/>
        <w:t>the Guide contains information on how complaints against the financial services licensee are dealt with.</w:t>
      </w:r>
    </w:p>
    <w:p w14:paraId="52CC604F" w14:textId="77777777" w:rsidR="00E93F58" w:rsidRPr="00283424" w:rsidRDefault="00E93F58" w:rsidP="00B50726">
      <w:pPr>
        <w:pStyle w:val="subsection"/>
      </w:pPr>
      <w:r w:rsidRPr="00283424">
        <w:rPr>
          <w:color w:val="000000"/>
        </w:rPr>
        <w:tab/>
        <w:t>(3)</w:t>
      </w:r>
      <w:r w:rsidRPr="00283424">
        <w:rPr>
          <w:color w:val="000000"/>
        </w:rPr>
        <w:tab/>
        <w:t>In describing the purpose and content of a Statement of Advice or Product Disclosure Statement, the client’s attention must be drawn to a description of the circumstances in which the Statement of Advice or Product Disclosure Statement will be given.</w:t>
      </w:r>
    </w:p>
    <w:p w14:paraId="05979AA8" w14:textId="77777777" w:rsidR="00E93F58" w:rsidRPr="00283424" w:rsidRDefault="00E93F58" w:rsidP="00B50726">
      <w:pPr>
        <w:pStyle w:val="subsection"/>
      </w:pPr>
      <w:r w:rsidRPr="00283424">
        <w:tab/>
        <w:t>(4)</w:t>
      </w:r>
      <w:r w:rsidRPr="00283424">
        <w:tab/>
      </w:r>
      <w:r w:rsidRPr="00283424">
        <w:rPr>
          <w:snapToGrid w:val="0"/>
        </w:rPr>
        <w:t>Subregulations (2) and (3) do not prevent the statement required under subregulation (1) from drawing attention to other matters relating to the purpose and content of the Financial Services Guide, the Statement of Advice or the Product Disclosure Statement</w:t>
      </w:r>
      <w:r w:rsidRPr="00283424">
        <w:t>.</w:t>
      </w:r>
    </w:p>
    <w:p w14:paraId="2414DE59" w14:textId="77777777" w:rsidR="00E93F58" w:rsidRPr="00283424" w:rsidRDefault="00E93F58" w:rsidP="00B50726">
      <w:pPr>
        <w:pStyle w:val="subsection"/>
      </w:pPr>
      <w:r w:rsidRPr="00283424">
        <w:tab/>
        <w:t>(5)</w:t>
      </w:r>
      <w:r w:rsidRPr="00283424">
        <w:tab/>
        <w:t>The statement required under subregulation (1) must be:</w:t>
      </w:r>
    </w:p>
    <w:p w14:paraId="4FA2C277" w14:textId="77777777" w:rsidR="00E93F58" w:rsidRPr="00283424" w:rsidRDefault="00E93F58" w:rsidP="00B50726">
      <w:pPr>
        <w:pStyle w:val="paragraph"/>
      </w:pPr>
      <w:r w:rsidRPr="00283424">
        <w:rPr>
          <w:color w:val="000000"/>
        </w:rPr>
        <w:tab/>
        <w:t>(a)</w:t>
      </w:r>
      <w:r w:rsidRPr="00283424">
        <w:rPr>
          <w:color w:val="000000"/>
        </w:rPr>
        <w:tab/>
        <w:t>presented in a manner that is easy for the client to understand; and</w:t>
      </w:r>
    </w:p>
    <w:p w14:paraId="320B29AC" w14:textId="77777777" w:rsidR="00E93F58" w:rsidRPr="00283424" w:rsidRDefault="00E93F58" w:rsidP="00B50726">
      <w:pPr>
        <w:pStyle w:val="paragraph"/>
      </w:pPr>
      <w:r w:rsidRPr="00283424">
        <w:tab/>
        <w:t>(b)</w:t>
      </w:r>
      <w:r w:rsidRPr="00283424">
        <w:tab/>
        <w:t>displayed prominently in the Financial Services Guide.</w:t>
      </w:r>
    </w:p>
    <w:p w14:paraId="714A682C" w14:textId="77777777" w:rsidR="00E93F58" w:rsidRPr="00283424" w:rsidRDefault="00E93F58" w:rsidP="00B50726">
      <w:pPr>
        <w:pStyle w:val="subsection"/>
      </w:pPr>
      <w:r w:rsidRPr="00283424">
        <w:tab/>
        <w:t>(6)</w:t>
      </w:r>
      <w:r w:rsidRPr="00283424">
        <w:tab/>
        <w:t>A statement is displayed prominently if it:</w:t>
      </w:r>
    </w:p>
    <w:p w14:paraId="4E8B6522" w14:textId="77777777" w:rsidR="00E93F58" w:rsidRPr="00283424" w:rsidRDefault="00E93F58" w:rsidP="00B50726">
      <w:pPr>
        <w:pStyle w:val="paragraph"/>
      </w:pPr>
      <w:r w:rsidRPr="00283424">
        <w:rPr>
          <w:color w:val="000000"/>
        </w:rPr>
        <w:tab/>
        <w:t>(a)</w:t>
      </w:r>
      <w:r w:rsidRPr="00283424">
        <w:rPr>
          <w:color w:val="000000"/>
        </w:rPr>
        <w:tab/>
        <w:t>appears at, or close to, the front of the Financial Services Guide; and</w:t>
      </w:r>
    </w:p>
    <w:p w14:paraId="54B39AA6" w14:textId="77777777" w:rsidR="00E93F58" w:rsidRPr="00283424" w:rsidRDefault="00E93F58" w:rsidP="00B50726">
      <w:pPr>
        <w:pStyle w:val="paragraph"/>
      </w:pPr>
      <w:r w:rsidRPr="00283424">
        <w:tab/>
        <w:t>(b)</w:t>
      </w:r>
      <w:r w:rsidRPr="00283424">
        <w:tab/>
        <w:t>stands out from the other information contained in the Guide.</w:t>
      </w:r>
    </w:p>
    <w:p w14:paraId="0940AF38" w14:textId="77777777" w:rsidR="00E93F58" w:rsidRPr="00283424" w:rsidRDefault="00E93F58" w:rsidP="00B50726">
      <w:pPr>
        <w:pStyle w:val="notetext"/>
      </w:pPr>
      <w:r w:rsidRPr="00283424">
        <w:t>Note:</w:t>
      </w:r>
      <w:r w:rsidRPr="00283424">
        <w:tab/>
        <w:t>Ideally, the statement should be placed:</w:t>
      </w:r>
    </w:p>
    <w:p w14:paraId="118EB3D0" w14:textId="77777777" w:rsidR="00E93F58" w:rsidRPr="00283424" w:rsidRDefault="00E93F58" w:rsidP="00B50726">
      <w:pPr>
        <w:pStyle w:val="notepara"/>
      </w:pPr>
      <w:r w:rsidRPr="00283424">
        <w:rPr>
          <w:color w:val="000000"/>
        </w:rPr>
        <w:t>(a)</w:t>
      </w:r>
      <w:r w:rsidRPr="00283424">
        <w:rPr>
          <w:color w:val="000000"/>
        </w:rPr>
        <w:tab/>
        <w:t>on the inside cover or inside facing page of a paper</w:t>
      </w:r>
      <w:r>
        <w:rPr>
          <w:color w:val="000000"/>
        </w:rPr>
        <w:noBreakHyphen/>
      </w:r>
      <w:r w:rsidRPr="00283424">
        <w:rPr>
          <w:color w:val="000000"/>
        </w:rPr>
        <w:t>based Financial Services Guide form; or</w:t>
      </w:r>
    </w:p>
    <w:p w14:paraId="2A94FC72" w14:textId="77777777" w:rsidR="00E93F58" w:rsidRPr="00283424" w:rsidRDefault="00E93F58" w:rsidP="00B50726">
      <w:pPr>
        <w:pStyle w:val="notepara"/>
      </w:pPr>
      <w:r w:rsidRPr="00283424">
        <w:t>(b)</w:t>
      </w:r>
      <w:r w:rsidRPr="00283424">
        <w:tab/>
        <w:t>in an equivalent position of a Financial Services Guide that is not provided in a paper</w:t>
      </w:r>
      <w:r>
        <w:noBreakHyphen/>
      </w:r>
      <w:r w:rsidRPr="00283424">
        <w:t>based form.</w:t>
      </w:r>
    </w:p>
    <w:p w14:paraId="30A558A3" w14:textId="77777777" w:rsidR="00E93F58" w:rsidRPr="00283424" w:rsidRDefault="00E93F58" w:rsidP="00B50726">
      <w:pPr>
        <w:pStyle w:val="ActHead5"/>
      </w:pPr>
      <w:bookmarkStart w:id="1037" w:name="_Toc152054497"/>
      <w:bookmarkStart w:id="1038" w:name="_Toc158712313"/>
      <w:r w:rsidRPr="006F296E">
        <w:rPr>
          <w:rStyle w:val="CharSectno"/>
        </w:rPr>
        <w:t>7.7.03A</w:t>
      </w:r>
      <w:r w:rsidRPr="00283424">
        <w:t xml:space="preserve">  Financial Services Guide given by financial services licensee: </w:t>
      </w:r>
      <w:r w:rsidRPr="00EF2367">
        <w:t>arrangements for compensation</w:t>
      </w:r>
      <w:bookmarkEnd w:id="1037"/>
      <w:bookmarkEnd w:id="1038"/>
    </w:p>
    <w:p w14:paraId="52463A08" w14:textId="77777777" w:rsidR="00E93F58" w:rsidRPr="00283424" w:rsidRDefault="00E93F58" w:rsidP="00B50726">
      <w:pPr>
        <w:pStyle w:val="subsection"/>
      </w:pPr>
      <w:r w:rsidRPr="00283424">
        <w:tab/>
        <w:t>(1)</w:t>
      </w:r>
      <w:r w:rsidRPr="00283424">
        <w:tab/>
        <w:t>For paragraph 942B(2)(k) of the Act, the Financial Services Guide given by a financial services licensee must include a statement about:</w:t>
      </w:r>
    </w:p>
    <w:p w14:paraId="6B2D366C" w14:textId="77777777" w:rsidR="00E93F58" w:rsidRPr="00283424" w:rsidRDefault="00E93F58" w:rsidP="00B50726">
      <w:pPr>
        <w:pStyle w:val="paragraph"/>
      </w:pPr>
      <w:r w:rsidRPr="00283424">
        <w:tab/>
        <w:t>(a)</w:t>
      </w:r>
      <w:r w:rsidRPr="00283424">
        <w:tab/>
        <w:t xml:space="preserve">the kind of </w:t>
      </w:r>
      <w:r w:rsidRPr="00BE1284">
        <w:t>arrangements for compensation</w:t>
      </w:r>
      <w:r w:rsidRPr="00283424">
        <w:t xml:space="preserve"> that the licensee has in place; and</w:t>
      </w:r>
    </w:p>
    <w:p w14:paraId="408DAE31" w14:textId="77777777" w:rsidR="00E93F58" w:rsidRPr="00283424" w:rsidRDefault="00E93F58" w:rsidP="00B50726">
      <w:pPr>
        <w:pStyle w:val="paragraph"/>
      </w:pPr>
      <w:r w:rsidRPr="00283424">
        <w:tab/>
        <w:t>(b)</w:t>
      </w:r>
      <w:r w:rsidRPr="00283424">
        <w:tab/>
        <w:t xml:space="preserve">whether those arrangements satisfy the </w:t>
      </w:r>
      <w:r w:rsidRPr="00BE1284">
        <w:rPr>
          <w:color w:val="000000"/>
          <w:szCs w:val="22"/>
          <w:shd w:val="clear" w:color="auto" w:fill="FFFFFF"/>
        </w:rPr>
        <w:t xml:space="preserve">requirements under </w:t>
      </w:r>
      <w:r>
        <w:rPr>
          <w:color w:val="000000"/>
          <w:szCs w:val="22"/>
          <w:shd w:val="clear" w:color="auto" w:fill="FFFFFF"/>
        </w:rPr>
        <w:t>section 9</w:t>
      </w:r>
      <w:r w:rsidRPr="00BE1284">
        <w:rPr>
          <w:color w:val="000000"/>
          <w:szCs w:val="22"/>
          <w:shd w:val="clear" w:color="auto" w:fill="FFFFFF"/>
        </w:rPr>
        <w:t>12B of the Act for arrangements for compensation</w:t>
      </w:r>
      <w:r w:rsidRPr="00283424">
        <w:t>.</w:t>
      </w:r>
    </w:p>
    <w:p w14:paraId="16606971" w14:textId="77777777" w:rsidR="00E93F58" w:rsidRPr="00283424" w:rsidRDefault="00E93F58" w:rsidP="00B50726">
      <w:pPr>
        <w:pStyle w:val="subsection"/>
      </w:pPr>
      <w:r w:rsidRPr="00283424">
        <w:tab/>
        <w:t>(2)</w:t>
      </w:r>
      <w:r w:rsidRPr="00283424">
        <w:tab/>
        <w:t>This regulation commences, for a particular financial services licensee, on the date that subregulations 7.6.02AAA(1), (2) and (3) take effect for that licensee.</w:t>
      </w:r>
    </w:p>
    <w:p w14:paraId="0BB9CD26" w14:textId="77777777" w:rsidR="00E93F58" w:rsidRPr="00283424" w:rsidRDefault="00E93F58" w:rsidP="00B50726">
      <w:pPr>
        <w:pStyle w:val="ActHead5"/>
      </w:pPr>
      <w:bookmarkStart w:id="1039" w:name="_Toc152054498"/>
      <w:bookmarkStart w:id="1040" w:name="_Toc158712314"/>
      <w:r w:rsidRPr="006F296E">
        <w:rPr>
          <w:rStyle w:val="CharSectno"/>
        </w:rPr>
        <w:t>7.7.04</w:t>
      </w:r>
      <w:r w:rsidRPr="00283424">
        <w:rPr>
          <w:sz w:val="16"/>
        </w:rPr>
        <w:t xml:space="preserve">  </w:t>
      </w:r>
      <w:r w:rsidRPr="00283424">
        <w:t>Financial Services Guide given by financial services licensee: remuneration, commission and benefits</w:t>
      </w:r>
      <w:bookmarkEnd w:id="1039"/>
      <w:bookmarkEnd w:id="1040"/>
    </w:p>
    <w:p w14:paraId="71FFEE03" w14:textId="77777777" w:rsidR="00E93F58" w:rsidRPr="00283424" w:rsidRDefault="00E93F58" w:rsidP="00B50726">
      <w:pPr>
        <w:pStyle w:val="subsection"/>
      </w:pPr>
      <w:r w:rsidRPr="00283424">
        <w:rPr>
          <w:color w:val="000000"/>
        </w:rPr>
        <w:tab/>
        <w:t>(1)</w:t>
      </w:r>
      <w:r w:rsidRPr="00283424">
        <w:rPr>
          <w:color w:val="000000"/>
        </w:rPr>
        <w:tab/>
        <w:t>For paragraph 942B(2)(k) of the Act, the Financial Services Guide given by a financial services licensee must include information, to the extent that the information is able to be ascertained at the time the Financial Services Guide is given to the client, about all remuneration (including commission) and other benefits that a person (</w:t>
      </w:r>
      <w:r w:rsidRPr="00283424">
        <w:rPr>
          <w:b/>
          <w:i/>
          <w:color w:val="000000"/>
        </w:rPr>
        <w:t>person 1</w:t>
      </w:r>
      <w:r w:rsidRPr="00283424">
        <w:rPr>
          <w:color w:val="000000"/>
        </w:rPr>
        <w:t>) has received, or is to receive, for referring another person to the financial services licensee.</w:t>
      </w:r>
    </w:p>
    <w:p w14:paraId="025AE6AC" w14:textId="77777777" w:rsidR="00E93F58" w:rsidRPr="00283424" w:rsidRDefault="00E93F58" w:rsidP="00B50726">
      <w:pPr>
        <w:pStyle w:val="SubsectionHead"/>
      </w:pPr>
      <w:r w:rsidRPr="00283424">
        <w:t>Overview of regulation</w:t>
      </w:r>
    </w:p>
    <w:p w14:paraId="74501871" w14:textId="77777777" w:rsidR="00E93F58" w:rsidRPr="00283424" w:rsidRDefault="00E93F58" w:rsidP="00B50726">
      <w:pPr>
        <w:pStyle w:val="subsection"/>
      </w:pPr>
      <w:r w:rsidRPr="00283424">
        <w:tab/>
        <w:t>(2)</w:t>
      </w:r>
      <w:r w:rsidRPr="00283424">
        <w:tab/>
        <w:t>For paragraph 942B(4)(c) of the Act, the information required in particular situations by paragraph 942B(2)(e) in relation to persons mentioned in paragraph 942B(2)(e) or person 1 (see subregulation (1)) is as set out in subregulations (3), (4) and (5).</w:t>
      </w:r>
    </w:p>
    <w:p w14:paraId="3FC69D97" w14:textId="77777777" w:rsidR="00E93F58" w:rsidRPr="00283424" w:rsidRDefault="00E93F58" w:rsidP="00B50726">
      <w:pPr>
        <w:pStyle w:val="SubsectionHead"/>
      </w:pPr>
      <w:r w:rsidRPr="00283424">
        <w:t>If remuneration is ascertainable at the time FSG is given</w:t>
      </w:r>
    </w:p>
    <w:p w14:paraId="4198820C" w14:textId="77777777" w:rsidR="00E93F58" w:rsidRPr="00283424" w:rsidRDefault="00E93F58" w:rsidP="00B50726">
      <w:pPr>
        <w:pStyle w:val="subsection"/>
      </w:pPr>
      <w:r w:rsidRPr="00283424">
        <w:tab/>
        <w:t>(3)</w:t>
      </w:r>
      <w:r w:rsidRPr="00283424">
        <w:tab/>
        <w:t>The following information is required if the remuneration, commission or other benefits are able to be worked out at the time the Financial Services Guide is given to the client:</w:t>
      </w:r>
    </w:p>
    <w:p w14:paraId="12C1D82F" w14:textId="77777777" w:rsidR="00E93F58" w:rsidRPr="00283424" w:rsidRDefault="00E93F58" w:rsidP="00B50726">
      <w:pPr>
        <w:pStyle w:val="paragraph"/>
      </w:pPr>
      <w:r w:rsidRPr="00283424">
        <w:tab/>
        <w:t>(a)</w:t>
      </w:r>
      <w:r w:rsidRPr="00283424">
        <w:tab/>
        <w:t>in a case where the remuneration, commission or other benefits are to be received by a person who is a licensed trustee company, either:</w:t>
      </w:r>
    </w:p>
    <w:p w14:paraId="318F440A" w14:textId="77777777" w:rsidR="00E93F58" w:rsidRPr="00283424" w:rsidRDefault="00E93F58" w:rsidP="00B50726">
      <w:pPr>
        <w:pStyle w:val="paragraphsub"/>
      </w:pPr>
      <w:r w:rsidRPr="00283424">
        <w:tab/>
        <w:t>(i)</w:t>
      </w:r>
      <w:r w:rsidRPr="00283424">
        <w:tab/>
        <w:t>the remuneration, commission or other benefits; or</w:t>
      </w:r>
    </w:p>
    <w:p w14:paraId="6031F99D" w14:textId="77777777" w:rsidR="00E93F58" w:rsidRPr="00283424" w:rsidRDefault="00E93F58" w:rsidP="00B50726">
      <w:pPr>
        <w:pStyle w:val="paragraphsub"/>
      </w:pPr>
      <w:r w:rsidRPr="00283424">
        <w:tab/>
        <w:t>(ii)</w:t>
      </w:r>
      <w:r w:rsidRPr="00283424">
        <w:tab/>
        <w:t>the remuneration, commission or other benefits stated as a percentage of the income from the estate or as a percentage of the capital value of the estate;</w:t>
      </w:r>
    </w:p>
    <w:p w14:paraId="7841EEE6" w14:textId="77777777" w:rsidR="00E93F58" w:rsidRPr="00283424" w:rsidRDefault="00E93F58" w:rsidP="00B50726">
      <w:pPr>
        <w:pStyle w:val="paragraph"/>
      </w:pPr>
      <w:r w:rsidRPr="00283424">
        <w:tab/>
        <w:t>(b)</w:t>
      </w:r>
      <w:r w:rsidRPr="00283424">
        <w:tab/>
        <w:t>in any other case—the remuneration, commission or other benefits.</w:t>
      </w:r>
    </w:p>
    <w:p w14:paraId="1476D8DB" w14:textId="77777777" w:rsidR="00E93F58" w:rsidRPr="00283424" w:rsidRDefault="00E93F58" w:rsidP="00B50726">
      <w:pPr>
        <w:pStyle w:val="SubsectionHead"/>
      </w:pPr>
      <w:r w:rsidRPr="00283424">
        <w:lastRenderedPageBreak/>
        <w:t>If remuneration is not ascertainable at the time FSG is given and personal advice will be given</w:t>
      </w:r>
    </w:p>
    <w:p w14:paraId="2E6A013B" w14:textId="77777777" w:rsidR="00E93F58" w:rsidRPr="00283424" w:rsidRDefault="00E93F58" w:rsidP="00B50726">
      <w:pPr>
        <w:pStyle w:val="subsection"/>
      </w:pPr>
      <w:r w:rsidRPr="00283424">
        <w:tab/>
        <w:t>(4)</w:t>
      </w:r>
      <w:r w:rsidRPr="00283424">
        <w:tab/>
        <w:t>If:</w:t>
      </w:r>
    </w:p>
    <w:p w14:paraId="33BE0CB3" w14:textId="77777777" w:rsidR="00E93F58" w:rsidRPr="00283424" w:rsidRDefault="00E93F58" w:rsidP="00B50726">
      <w:pPr>
        <w:pStyle w:val="paragraph"/>
      </w:pPr>
      <w:r w:rsidRPr="00283424">
        <w:tab/>
        <w:t>(a)</w:t>
      </w:r>
      <w:r w:rsidRPr="00283424">
        <w:tab/>
        <w:t>the remuneration (including commission) or other benefits are not able to be ascertained at the time the Financial Services Guide is given to the client; and</w:t>
      </w:r>
    </w:p>
    <w:p w14:paraId="1CFA07D2" w14:textId="77777777" w:rsidR="00E93F58" w:rsidRPr="00283424" w:rsidRDefault="00E93F58" w:rsidP="00B50726">
      <w:pPr>
        <w:pStyle w:val="paragraph"/>
      </w:pPr>
      <w:r w:rsidRPr="00283424">
        <w:tab/>
        <w:t>(b)</w:t>
      </w:r>
      <w:r w:rsidRPr="00283424">
        <w:tab/>
        <w:t>the providing entity reasonably believes that personal advice will be given to the client;</w:t>
      </w:r>
    </w:p>
    <w:p w14:paraId="3F0AC022" w14:textId="77777777" w:rsidR="00E93F58" w:rsidRPr="00283424" w:rsidRDefault="00E93F58" w:rsidP="00B50726">
      <w:pPr>
        <w:pStyle w:val="subsection2"/>
      </w:pPr>
      <w:r w:rsidRPr="00283424">
        <w:t>the following information is required:</w:t>
      </w:r>
    </w:p>
    <w:p w14:paraId="1A799EB6" w14:textId="77777777" w:rsidR="00E93F58" w:rsidRPr="00283424" w:rsidRDefault="00E93F58" w:rsidP="00B50726">
      <w:pPr>
        <w:pStyle w:val="paragraph"/>
      </w:pPr>
      <w:r w:rsidRPr="00283424">
        <w:tab/>
        <w:t>(c)</w:t>
      </w:r>
      <w:r w:rsidRPr="00283424">
        <w:tab/>
        <w:t>either:</w:t>
      </w:r>
    </w:p>
    <w:p w14:paraId="46CA7519" w14:textId="77777777" w:rsidR="00E93F58" w:rsidRPr="00283424" w:rsidRDefault="00E93F58" w:rsidP="00B50726">
      <w:pPr>
        <w:pStyle w:val="paragraphsub"/>
      </w:pPr>
      <w:r w:rsidRPr="00283424">
        <w:tab/>
        <w:t>(i)</w:t>
      </w:r>
      <w:r w:rsidRPr="00283424">
        <w:tab/>
        <w:t>particulars of the remuneration (including commission) or other benefits, including, to the extent relevant, a statement of the range of amounts or rates of remuneration (including commission) or other benefits; or</w:t>
      </w:r>
    </w:p>
    <w:p w14:paraId="5FFB16C6" w14:textId="77777777" w:rsidR="00E93F58" w:rsidRPr="00283424" w:rsidRDefault="00E93F58" w:rsidP="00B50726">
      <w:pPr>
        <w:pStyle w:val="paragraphsub"/>
      </w:pPr>
      <w:r w:rsidRPr="00283424">
        <w:tab/>
        <w:t>(ii)</w:t>
      </w:r>
      <w:r w:rsidRPr="00283424">
        <w:tab/>
        <w:t>general information about the remuneration (including commission) or other benefits and the manner in which the remuneration (including commission) or other benefits are to be calculated;</w:t>
      </w:r>
    </w:p>
    <w:p w14:paraId="3EA589D7" w14:textId="77777777" w:rsidR="00E93F58" w:rsidRPr="00283424" w:rsidRDefault="00E93F58" w:rsidP="00B50726">
      <w:pPr>
        <w:pStyle w:val="paragraph"/>
      </w:pPr>
      <w:r w:rsidRPr="00283424">
        <w:tab/>
        <w:t>(d)</w:t>
      </w:r>
      <w:r w:rsidRPr="00283424">
        <w:tab/>
        <w:t>a statement that:</w:t>
      </w:r>
    </w:p>
    <w:p w14:paraId="6FA5C3C3" w14:textId="77777777" w:rsidR="00E93F58" w:rsidRPr="00283424" w:rsidRDefault="00E93F58" w:rsidP="00B50726">
      <w:pPr>
        <w:pStyle w:val="paragraphsub"/>
      </w:pPr>
      <w:r w:rsidRPr="00283424">
        <w:tab/>
        <w:t>(i)</w:t>
      </w:r>
      <w:r w:rsidRPr="00283424">
        <w:tab/>
        <w:t>if the remuneration (including commission) or other benefits are calculable at the time the personal advice is given, the remuneration (including commission) or other benefits the person receives on specific financial products to which the personal advice relates will be disclosed at the time the personal advice is given or as soon as practicable after that time; or</w:t>
      </w:r>
    </w:p>
    <w:p w14:paraId="4553F4B1" w14:textId="77777777" w:rsidR="00E93F58" w:rsidRPr="00283424" w:rsidRDefault="00E93F58" w:rsidP="00B50726">
      <w:pPr>
        <w:pStyle w:val="paragraphsub"/>
      </w:pPr>
      <w:r w:rsidRPr="00283424">
        <w:tab/>
        <w:t>(ii)</w:t>
      </w:r>
      <w:r w:rsidRPr="00283424">
        <w:tab/>
        <w:t>if the remuneration (including commission) or other benefits are not calculable at the time the personal advice is given, the manner in which the remuneration (including commission) or other benefits are to be calculated will be disclosed at the time the personal advice is given or as soon as practicable after that time.</w:t>
      </w:r>
    </w:p>
    <w:p w14:paraId="40DF1706" w14:textId="77777777" w:rsidR="00E93F58" w:rsidRPr="00283424" w:rsidRDefault="00E93F58" w:rsidP="00B50726">
      <w:pPr>
        <w:pStyle w:val="SubsectionHead"/>
      </w:pPr>
      <w:r w:rsidRPr="00283424">
        <w:t>If remuneration is not ascertainable at the time FSG is given and personal advice will not be given</w:t>
      </w:r>
    </w:p>
    <w:p w14:paraId="49830A29" w14:textId="77777777" w:rsidR="00E93F58" w:rsidRPr="00283424" w:rsidRDefault="00E93F58" w:rsidP="00B50726">
      <w:pPr>
        <w:pStyle w:val="subsection"/>
      </w:pPr>
      <w:r w:rsidRPr="00283424">
        <w:tab/>
        <w:t>(5)</w:t>
      </w:r>
      <w:r w:rsidRPr="00283424">
        <w:tab/>
        <w:t>If:</w:t>
      </w:r>
    </w:p>
    <w:p w14:paraId="43299D96" w14:textId="77777777" w:rsidR="00E93F58" w:rsidRPr="00283424" w:rsidRDefault="00E93F58" w:rsidP="00B50726">
      <w:pPr>
        <w:pStyle w:val="paragraph"/>
      </w:pPr>
      <w:r w:rsidRPr="00283424">
        <w:tab/>
        <w:t>(a)</w:t>
      </w:r>
      <w:r w:rsidRPr="00283424">
        <w:tab/>
        <w:t>the remuneration (including commission) or other benefits are not able to be ascertained at the time the Financial Services Guide is given to the client; and</w:t>
      </w:r>
    </w:p>
    <w:p w14:paraId="2E8F6367" w14:textId="77777777" w:rsidR="00E93F58" w:rsidRPr="00283424" w:rsidRDefault="00E93F58" w:rsidP="00B50726">
      <w:pPr>
        <w:pStyle w:val="paragraph"/>
      </w:pPr>
      <w:r w:rsidRPr="00283424">
        <w:tab/>
        <w:t>(b)</w:t>
      </w:r>
      <w:r w:rsidRPr="00283424">
        <w:tab/>
        <w:t>the providing entity reasonably believes that personal advice will not be given to the client;</w:t>
      </w:r>
    </w:p>
    <w:p w14:paraId="4DE52D13" w14:textId="77777777" w:rsidR="00E93F58" w:rsidRPr="00283424" w:rsidRDefault="00E93F58" w:rsidP="00B50726">
      <w:pPr>
        <w:pStyle w:val="subsection2"/>
      </w:pPr>
      <w:r w:rsidRPr="00283424">
        <w:t>the following information is required:</w:t>
      </w:r>
    </w:p>
    <w:p w14:paraId="6BFF16C1" w14:textId="77777777" w:rsidR="00E93F58" w:rsidRPr="00283424" w:rsidRDefault="00E93F58" w:rsidP="00B50726">
      <w:pPr>
        <w:pStyle w:val="paragraph"/>
      </w:pPr>
      <w:r w:rsidRPr="00283424">
        <w:tab/>
        <w:t>(c)</w:t>
      </w:r>
      <w:r w:rsidRPr="00283424">
        <w:tab/>
        <w:t>particulars of the remuneration (including commission) or other benefits, including, to the extent relevant, a statement of the range of amounts or rates of remuneration (including commission) or other benefits; or</w:t>
      </w:r>
    </w:p>
    <w:p w14:paraId="3418D6AF" w14:textId="77777777" w:rsidR="00E93F58" w:rsidRPr="00283424" w:rsidRDefault="00E93F58" w:rsidP="00B50726">
      <w:pPr>
        <w:pStyle w:val="paragraph"/>
      </w:pPr>
      <w:r w:rsidRPr="00283424">
        <w:tab/>
        <w:t>(d)</w:t>
      </w:r>
      <w:r w:rsidRPr="00283424">
        <w:tab/>
        <w:t>both of the following:</w:t>
      </w:r>
    </w:p>
    <w:p w14:paraId="37F0D90F" w14:textId="77777777" w:rsidR="00E93F58" w:rsidRPr="00283424" w:rsidRDefault="00E93F58" w:rsidP="00B50726">
      <w:pPr>
        <w:pStyle w:val="paragraphsub"/>
      </w:pPr>
      <w:r w:rsidRPr="00283424">
        <w:tab/>
        <w:t>(i)</w:t>
      </w:r>
      <w:r w:rsidRPr="00283424">
        <w:tab/>
        <w:t>general information about the remuneration (including commission) or other benefits and the manner in which the remuneration (including commission) or other benefits are to be calculated;</w:t>
      </w:r>
    </w:p>
    <w:p w14:paraId="2DC3D3FD" w14:textId="77777777" w:rsidR="00E93F58" w:rsidRPr="00283424" w:rsidRDefault="00E93F58" w:rsidP="00B50726">
      <w:pPr>
        <w:pStyle w:val="paragraphsub"/>
      </w:pPr>
      <w:r w:rsidRPr="00283424">
        <w:tab/>
        <w:t>(ii)</w:t>
      </w:r>
      <w:r w:rsidRPr="00283424">
        <w:tab/>
        <w:t>a statement that the client may request particulars of the remuneration (including commission) or other benefits but that the request must be made within a reasonable time after the client is given the Financial Services Guide and before any financial service identified in the Guide is provided to the client.</w:t>
      </w:r>
    </w:p>
    <w:p w14:paraId="4CA86BF3" w14:textId="77777777" w:rsidR="00E93F58" w:rsidRPr="00283424" w:rsidRDefault="00E93F58" w:rsidP="00B50726">
      <w:pPr>
        <w:pStyle w:val="ActHead5"/>
      </w:pPr>
      <w:bookmarkStart w:id="1041" w:name="_Toc152054499"/>
      <w:bookmarkStart w:id="1042" w:name="_Toc158712315"/>
      <w:r w:rsidRPr="006F296E">
        <w:rPr>
          <w:rStyle w:val="CharSectno"/>
        </w:rPr>
        <w:t>7.7.04A</w:t>
      </w:r>
      <w:r w:rsidRPr="00283424">
        <w:t xml:space="preserve">  Financial services guide given by financial services licensee: more detailed information about remuneration etc</w:t>
      </w:r>
      <w:bookmarkEnd w:id="1041"/>
      <w:bookmarkEnd w:id="1042"/>
    </w:p>
    <w:p w14:paraId="7442175A" w14:textId="77777777" w:rsidR="00E93F58" w:rsidRPr="00283424" w:rsidRDefault="00E93F58" w:rsidP="00B50726">
      <w:pPr>
        <w:pStyle w:val="subsection"/>
      </w:pPr>
      <w:r w:rsidRPr="00283424">
        <w:tab/>
        <w:t>(1)</w:t>
      </w:r>
      <w:r w:rsidRPr="00283424">
        <w:tab/>
        <w:t>For subsection 942B(7) of the Act, if:</w:t>
      </w:r>
    </w:p>
    <w:p w14:paraId="2686BBE0" w14:textId="77777777" w:rsidR="00E93F58" w:rsidRPr="00283424" w:rsidRDefault="00E93F58" w:rsidP="00B50726">
      <w:pPr>
        <w:pStyle w:val="paragraph"/>
        <w:tabs>
          <w:tab w:val="left" w:pos="5387"/>
        </w:tabs>
      </w:pPr>
      <w:r w:rsidRPr="00283424">
        <w:tab/>
        <w:t>(a)</w:t>
      </w:r>
      <w:r w:rsidRPr="00283424">
        <w:tab/>
        <w:t>the remuneration (including commission) or other benefits that a person mentioned in paragraph 942B(2)(e) or person 1 in subregulation 7.7.04(1) has received, or is to receive, are not able to be ascertained at the time the Financial Services Guide is given to the client; and</w:t>
      </w:r>
    </w:p>
    <w:p w14:paraId="19E254AC" w14:textId="77777777" w:rsidR="00E93F58" w:rsidRPr="00283424" w:rsidRDefault="00E93F58" w:rsidP="00B50726">
      <w:pPr>
        <w:pStyle w:val="paragraph"/>
      </w:pPr>
      <w:r w:rsidRPr="00283424">
        <w:tab/>
        <w:t>(b)</w:t>
      </w:r>
      <w:r w:rsidRPr="00283424">
        <w:tab/>
        <w:t>the providing entity reasonably believes that personal advice will not be given to the client; and</w:t>
      </w:r>
    </w:p>
    <w:p w14:paraId="1AD70B3A" w14:textId="77777777" w:rsidR="00E93F58" w:rsidRPr="00283424" w:rsidRDefault="00E93F58" w:rsidP="00B50726">
      <w:pPr>
        <w:pStyle w:val="paragraph"/>
      </w:pPr>
      <w:r w:rsidRPr="00283424">
        <w:tab/>
        <w:t>(c)</w:t>
      </w:r>
      <w:r w:rsidRPr="00283424">
        <w:tab/>
        <w:t>the Financial Services Guide does not contain particulars of the remuneration (including commission) or other benefits;</w:t>
      </w:r>
    </w:p>
    <w:p w14:paraId="46D66126" w14:textId="77777777" w:rsidR="00E93F58" w:rsidRPr="00283424" w:rsidRDefault="00E93F58" w:rsidP="00B50726">
      <w:pPr>
        <w:pStyle w:val="subsection2"/>
      </w:pPr>
      <w:r w:rsidRPr="00283424">
        <w:t>the client may request, from the financial services licensee, particulars of the remuneration (including commission) or other benefits.</w:t>
      </w:r>
    </w:p>
    <w:p w14:paraId="2959C7AC" w14:textId="77777777" w:rsidR="00E93F58" w:rsidRPr="00283424" w:rsidRDefault="00E93F58" w:rsidP="00B50726">
      <w:pPr>
        <w:pStyle w:val="subsection"/>
      </w:pPr>
      <w:r w:rsidRPr="00283424">
        <w:tab/>
        <w:t>(2)</w:t>
      </w:r>
      <w:r w:rsidRPr="00283424">
        <w:tab/>
        <w:t>A request under subregulation (1) must be made within a reasonable time after the client is given the Financial Services Guide and before any financial service identified in the Guide is provided to the client.</w:t>
      </w:r>
    </w:p>
    <w:p w14:paraId="744DD54B" w14:textId="77777777" w:rsidR="00E93F58" w:rsidRPr="00283424" w:rsidRDefault="00E93F58" w:rsidP="00B50726">
      <w:pPr>
        <w:pStyle w:val="subsection"/>
      </w:pPr>
      <w:r w:rsidRPr="00283424">
        <w:tab/>
        <w:t>(3)</w:t>
      </w:r>
      <w:r w:rsidRPr="00283424">
        <w:tab/>
        <w:t>For subregulation (1), the particulars must, to the extent relevant, include a statement of the range of amounts or rates of remuneration (including commission) or other benefits.</w:t>
      </w:r>
    </w:p>
    <w:p w14:paraId="68FC86D8" w14:textId="77777777" w:rsidR="00E93F58" w:rsidRPr="00283424" w:rsidRDefault="00E93F58" w:rsidP="00B50726">
      <w:pPr>
        <w:pStyle w:val="notetext"/>
      </w:pPr>
      <w:r w:rsidRPr="00283424">
        <w:lastRenderedPageBreak/>
        <w:t>Examples:</w:t>
      </w:r>
    </w:p>
    <w:p w14:paraId="3ACDFC30" w14:textId="77777777" w:rsidR="00E93F58" w:rsidRPr="00283424" w:rsidRDefault="00E93F58" w:rsidP="00B50726">
      <w:pPr>
        <w:pStyle w:val="notetext"/>
      </w:pPr>
      <w:r w:rsidRPr="00283424">
        <w:t>1</w:t>
      </w:r>
      <w:r w:rsidRPr="00283424">
        <w:tab/>
        <w:t>Remuneration is paid within the range of $X to $Y.</w:t>
      </w:r>
    </w:p>
    <w:p w14:paraId="0B50909D" w14:textId="77777777" w:rsidR="00E93F58" w:rsidRPr="00283424" w:rsidRDefault="00E93F58" w:rsidP="00B50726">
      <w:pPr>
        <w:pStyle w:val="notetext"/>
      </w:pPr>
      <w:r w:rsidRPr="00283424">
        <w:t>2</w:t>
      </w:r>
      <w:r w:rsidRPr="00283424">
        <w:tab/>
        <w:t>Commission is paid at rates between X% and Y%.</w:t>
      </w:r>
    </w:p>
    <w:p w14:paraId="2CC87BFA" w14:textId="77777777" w:rsidR="00E93F58" w:rsidRPr="00283424" w:rsidRDefault="00E93F58" w:rsidP="00B50726">
      <w:pPr>
        <w:pStyle w:val="subsection"/>
      </w:pPr>
      <w:r w:rsidRPr="00283424">
        <w:tab/>
        <w:t>(4)</w:t>
      </w:r>
      <w:r w:rsidRPr="00283424">
        <w:tab/>
        <w:t>The particulars mentioned in subregulation (3) must be presented in a manner that is easy for the client to understand.</w:t>
      </w:r>
    </w:p>
    <w:p w14:paraId="2248EE5A" w14:textId="77777777" w:rsidR="00E93F58" w:rsidRPr="00283424" w:rsidRDefault="00E93F58" w:rsidP="00B50726">
      <w:pPr>
        <w:pStyle w:val="ActHead5"/>
      </w:pPr>
      <w:bookmarkStart w:id="1043" w:name="_Toc152054500"/>
      <w:bookmarkStart w:id="1044" w:name="_Toc158712316"/>
      <w:r w:rsidRPr="006F296E">
        <w:rPr>
          <w:rStyle w:val="CharSectno"/>
        </w:rPr>
        <w:t>7.7.04AA</w:t>
      </w:r>
      <w:r w:rsidRPr="00283424">
        <w:t xml:space="preserve">  Financial Services Guide given by financial services licensee: non</w:t>
      </w:r>
      <w:r>
        <w:noBreakHyphen/>
      </w:r>
      <w:r w:rsidRPr="00283424">
        <w:t>monetary benefit that is not conflicted remuneration</w:t>
      </w:r>
      <w:bookmarkEnd w:id="1043"/>
      <w:bookmarkEnd w:id="1044"/>
    </w:p>
    <w:p w14:paraId="62ECC5F0" w14:textId="77777777" w:rsidR="00E93F58" w:rsidRPr="00283424" w:rsidRDefault="00E93F58" w:rsidP="00B50726">
      <w:pPr>
        <w:pStyle w:val="subsection"/>
      </w:pPr>
      <w:r w:rsidRPr="00283424">
        <w:tab/>
        <w:t>(1)</w:t>
      </w:r>
      <w:r w:rsidRPr="00283424">
        <w:tab/>
        <w:t>This regulation is made for paragraph 942B(4)(b) of the Act.</w:t>
      </w:r>
    </w:p>
    <w:p w14:paraId="307280D3" w14:textId="77777777" w:rsidR="00E93F58" w:rsidRPr="00283424" w:rsidRDefault="00E93F58" w:rsidP="00B50726">
      <w:pPr>
        <w:pStyle w:val="subsection"/>
      </w:pPr>
      <w:r w:rsidRPr="00283424">
        <w:tab/>
        <w:t>(2)</w:t>
      </w:r>
      <w:r w:rsidRPr="00283424">
        <w:tab/>
        <w:t>Information about a non</w:t>
      </w:r>
      <w:r>
        <w:noBreakHyphen/>
      </w:r>
      <w:r w:rsidRPr="00283424">
        <w:t>monetary benefit that, in accordance with paragraph 963C(b) of the Act, is not conflicted remuneration is not required by paragraph 942B(2)(e) of the Act.</w:t>
      </w:r>
    </w:p>
    <w:p w14:paraId="33C4E310" w14:textId="77777777" w:rsidR="00E93F58" w:rsidRPr="00283424" w:rsidRDefault="00E93F58" w:rsidP="00B50726">
      <w:pPr>
        <w:pStyle w:val="notetext"/>
      </w:pPr>
      <w:r w:rsidRPr="00283424">
        <w:t>Note:</w:t>
      </w:r>
      <w:r w:rsidRPr="00283424">
        <w:tab/>
        <w:t>Under paragraph 963C(b) of the Act, if a non</w:t>
      </w:r>
      <w:r>
        <w:noBreakHyphen/>
      </w:r>
      <w:r w:rsidRPr="00283424">
        <w:t>monetary benefit is given to a financial services licensee, or a representative of a financial services licensee, who provides financial advice, is less than the prescribed amount and identical or similar benefits are not given on a frequent or regular basis, the benefit is not conflicted remuneration.</w:t>
      </w:r>
    </w:p>
    <w:p w14:paraId="2347B06F" w14:textId="77777777" w:rsidR="00E93F58" w:rsidRPr="00283424" w:rsidRDefault="00E93F58" w:rsidP="00B50726">
      <w:pPr>
        <w:pStyle w:val="ActHead5"/>
      </w:pPr>
      <w:bookmarkStart w:id="1045" w:name="_Toc152054501"/>
      <w:bookmarkStart w:id="1046" w:name="_Toc158712317"/>
      <w:r w:rsidRPr="006F296E">
        <w:rPr>
          <w:rStyle w:val="CharSectno"/>
        </w:rPr>
        <w:t>7.7.04AB</w:t>
      </w:r>
      <w:r w:rsidRPr="00283424">
        <w:t xml:space="preserve">  Financial Services Guide given by authorised representative: non</w:t>
      </w:r>
      <w:r>
        <w:noBreakHyphen/>
      </w:r>
      <w:r w:rsidRPr="00283424">
        <w:t>monetary benefit that is not conflicted remuneration</w:t>
      </w:r>
      <w:bookmarkEnd w:id="1045"/>
      <w:bookmarkEnd w:id="1046"/>
    </w:p>
    <w:p w14:paraId="10486114" w14:textId="77777777" w:rsidR="00E93F58" w:rsidRPr="00283424" w:rsidRDefault="00E93F58" w:rsidP="00B50726">
      <w:pPr>
        <w:pStyle w:val="subsection"/>
      </w:pPr>
      <w:r w:rsidRPr="00283424">
        <w:tab/>
        <w:t>(1)</w:t>
      </w:r>
      <w:r w:rsidRPr="00283424">
        <w:tab/>
        <w:t>This regulation is made for paragraph 942C(4)(b) of the Act.</w:t>
      </w:r>
    </w:p>
    <w:p w14:paraId="43C0EC12" w14:textId="77777777" w:rsidR="00E93F58" w:rsidRPr="00283424" w:rsidRDefault="00E93F58" w:rsidP="00B50726">
      <w:pPr>
        <w:pStyle w:val="subsection"/>
      </w:pPr>
      <w:r w:rsidRPr="00283424">
        <w:tab/>
        <w:t>(2)</w:t>
      </w:r>
      <w:r w:rsidRPr="00283424">
        <w:tab/>
        <w:t>Information about a non</w:t>
      </w:r>
      <w:r>
        <w:noBreakHyphen/>
      </w:r>
      <w:r w:rsidRPr="00283424">
        <w:t>monetary benefit that, in accordance with paragraph 963C(b) of the Act, is not conflicted remuneration is not required by paragraph 942C(2)(f) of the Act.</w:t>
      </w:r>
    </w:p>
    <w:p w14:paraId="5B2D4408" w14:textId="77777777" w:rsidR="00E93F58" w:rsidRPr="00283424" w:rsidRDefault="00E93F58" w:rsidP="00B50726">
      <w:pPr>
        <w:pStyle w:val="notetext"/>
      </w:pPr>
      <w:r w:rsidRPr="00283424">
        <w:t>Note:</w:t>
      </w:r>
      <w:r w:rsidRPr="00283424">
        <w:tab/>
        <w:t>Under paragraph 963C(b) of the Act, if a non</w:t>
      </w:r>
      <w:r>
        <w:noBreakHyphen/>
      </w:r>
      <w:r w:rsidRPr="00283424">
        <w:t>monetary benefit is given to a financial services licensee, or a representative of a financial services licensee, who provides financial advice, is less than the prescribed amount and identical or similar benefits are not given on a frequent or regular basis, the benefit is not conflicted remuneration.</w:t>
      </w:r>
    </w:p>
    <w:p w14:paraId="7297CA69" w14:textId="77777777" w:rsidR="00E93F58" w:rsidRPr="00283424" w:rsidRDefault="00E93F58" w:rsidP="00B50726">
      <w:pPr>
        <w:pStyle w:val="ActHead5"/>
      </w:pPr>
      <w:bookmarkStart w:id="1047" w:name="_Toc152054502"/>
      <w:bookmarkStart w:id="1048" w:name="_Toc158712318"/>
      <w:r w:rsidRPr="006F296E">
        <w:rPr>
          <w:rStyle w:val="CharSectno"/>
        </w:rPr>
        <w:t>7.7.05</w:t>
      </w:r>
      <w:r w:rsidRPr="00283424">
        <w:t xml:space="preserve">  Record of advice given by financial services licensee</w:t>
      </w:r>
      <w:bookmarkEnd w:id="1047"/>
      <w:bookmarkEnd w:id="1048"/>
    </w:p>
    <w:p w14:paraId="443D0060" w14:textId="77777777" w:rsidR="00E93F58" w:rsidRPr="00283424" w:rsidRDefault="00E93F58" w:rsidP="00B50726">
      <w:pPr>
        <w:pStyle w:val="subsection"/>
      </w:pPr>
      <w:r w:rsidRPr="00283424">
        <w:tab/>
      </w:r>
      <w:r w:rsidRPr="00283424">
        <w:tab/>
        <w:t>For subparagraph 942B(2)(g)(iii) of the Act, the period within which a client may request a record of the advice to which that subparagraph relates is 7 years after the day on which the advice is provided.</w:t>
      </w:r>
    </w:p>
    <w:p w14:paraId="734441CE" w14:textId="77777777" w:rsidR="00E93F58" w:rsidRPr="00283424" w:rsidRDefault="00E93F58" w:rsidP="00B50726">
      <w:pPr>
        <w:pStyle w:val="ActHead5"/>
      </w:pPr>
      <w:bookmarkStart w:id="1049" w:name="_Toc152054503"/>
      <w:bookmarkStart w:id="1050" w:name="_Toc158712319"/>
      <w:r w:rsidRPr="006F296E">
        <w:rPr>
          <w:rStyle w:val="CharSectno"/>
        </w:rPr>
        <w:t>7.7.05A</w:t>
      </w:r>
      <w:r w:rsidRPr="00283424">
        <w:t xml:space="preserve">  Financial Services Guide given by authorised representative of financial services licensee: authorised representative number</w:t>
      </w:r>
      <w:bookmarkEnd w:id="1049"/>
      <w:bookmarkEnd w:id="1050"/>
    </w:p>
    <w:p w14:paraId="1C9D815C" w14:textId="77777777" w:rsidR="00E93F58" w:rsidRPr="00283424" w:rsidRDefault="00E93F58" w:rsidP="00B50726">
      <w:pPr>
        <w:pStyle w:val="subsection"/>
        <w:keepNext/>
        <w:keepLines/>
      </w:pPr>
      <w:r w:rsidRPr="00283424">
        <w:tab/>
        <w:t>(1)</w:t>
      </w:r>
      <w:r w:rsidRPr="00283424">
        <w:tab/>
        <w:t>For paragraph 942C(2)(m) of the Act, the Financial Services Guide given by an authorised representative must include the authorised representative number allocated by ASIC to the authorised representative.</w:t>
      </w:r>
    </w:p>
    <w:p w14:paraId="61787445" w14:textId="77777777" w:rsidR="00E93F58" w:rsidRPr="00283424" w:rsidRDefault="00E93F58" w:rsidP="00B50726">
      <w:pPr>
        <w:pStyle w:val="subsection"/>
      </w:pPr>
      <w:r w:rsidRPr="00283424">
        <w:tab/>
        <w:t>(2)</w:t>
      </w:r>
      <w:r w:rsidRPr="00283424">
        <w:tab/>
        <w:t>Subregulation (1) does not apply to a Financial Services Guide to which regulation 7.7.05B applies.</w:t>
      </w:r>
    </w:p>
    <w:p w14:paraId="651170B4" w14:textId="77777777" w:rsidR="00E93F58" w:rsidRPr="00283424" w:rsidRDefault="00E93F58" w:rsidP="00B50726">
      <w:pPr>
        <w:pStyle w:val="ActHead5"/>
      </w:pPr>
      <w:bookmarkStart w:id="1051" w:name="_Toc152054504"/>
      <w:bookmarkStart w:id="1052" w:name="_Toc158712320"/>
      <w:r w:rsidRPr="006F296E">
        <w:rPr>
          <w:rStyle w:val="CharSectno"/>
        </w:rPr>
        <w:t>7.7.05B</w:t>
      </w:r>
      <w:r w:rsidRPr="00283424">
        <w:t xml:space="preserve">  Personalised Financial Services Guide</w:t>
      </w:r>
      <w:bookmarkEnd w:id="1051"/>
      <w:bookmarkEnd w:id="1052"/>
    </w:p>
    <w:p w14:paraId="691D89F9" w14:textId="77777777" w:rsidR="00E93F58" w:rsidRPr="00283424" w:rsidRDefault="00E93F58" w:rsidP="00B50726">
      <w:pPr>
        <w:pStyle w:val="subsection"/>
      </w:pPr>
      <w:r w:rsidRPr="00283424">
        <w:tab/>
        <w:t>(1)</w:t>
      </w:r>
      <w:r w:rsidRPr="00283424">
        <w:tab/>
        <w:t>This regulation applies if:</w:t>
      </w:r>
    </w:p>
    <w:p w14:paraId="2D42F478" w14:textId="77777777" w:rsidR="00E93F58" w:rsidRPr="00283424" w:rsidRDefault="00E93F58" w:rsidP="00B50726">
      <w:pPr>
        <w:pStyle w:val="paragraph"/>
      </w:pPr>
      <w:r w:rsidRPr="00283424">
        <w:tab/>
        <w:t>(a)</w:t>
      </w:r>
      <w:r w:rsidRPr="00283424">
        <w:tab/>
        <w:t>a financial services licensee; or</w:t>
      </w:r>
    </w:p>
    <w:p w14:paraId="7CA95F5B" w14:textId="77777777" w:rsidR="00E93F58" w:rsidRPr="00283424" w:rsidRDefault="00E93F58" w:rsidP="00B50726">
      <w:pPr>
        <w:pStyle w:val="paragraph"/>
      </w:pPr>
      <w:r w:rsidRPr="00283424">
        <w:tab/>
        <w:t>(b)</w:t>
      </w:r>
      <w:r w:rsidRPr="00283424">
        <w:tab/>
        <w:t xml:space="preserve">an authorised representative (the </w:t>
      </w:r>
      <w:r w:rsidRPr="00283424">
        <w:rPr>
          <w:b/>
          <w:i/>
        </w:rPr>
        <w:t>authoriser</w:t>
      </w:r>
      <w:r w:rsidRPr="00283424">
        <w:t>) of a financial services licensee;</w:t>
      </w:r>
    </w:p>
    <w:p w14:paraId="08BC1601" w14:textId="77777777" w:rsidR="00E93F58" w:rsidRPr="00283424" w:rsidRDefault="00E93F58" w:rsidP="00B50726">
      <w:pPr>
        <w:pStyle w:val="subsection2"/>
      </w:pPr>
      <w:r w:rsidRPr="00283424">
        <w:t>authorises an individual to provide financial services on behalf of the licensee.</w:t>
      </w:r>
    </w:p>
    <w:p w14:paraId="32A4E63A" w14:textId="77777777" w:rsidR="00E93F58" w:rsidRPr="00283424" w:rsidRDefault="00E93F58" w:rsidP="00B50726">
      <w:pPr>
        <w:pStyle w:val="subsection"/>
      </w:pPr>
      <w:r w:rsidRPr="00283424">
        <w:tab/>
        <w:t>(2)</w:t>
      </w:r>
      <w:r w:rsidRPr="00283424">
        <w:tab/>
        <w:t>For paragraph 942C(4)(b) of the Act, the Financial Services Guide in relation to a financial service does not have to include the information in paragraph 942C(2)(a) of the Act, in respect of the individual, if:</w:t>
      </w:r>
    </w:p>
    <w:p w14:paraId="7B210BF2" w14:textId="77777777" w:rsidR="00E93F58" w:rsidRPr="00283424" w:rsidRDefault="00E93F58" w:rsidP="00B50726">
      <w:pPr>
        <w:pStyle w:val="paragraph"/>
      </w:pPr>
      <w:r w:rsidRPr="00283424">
        <w:tab/>
        <w:t>(a)</w:t>
      </w:r>
      <w:r w:rsidRPr="00283424">
        <w:tab/>
        <w:t>the financial service is dealing in a financial product or the provision of general advice or both; and</w:t>
      </w:r>
    </w:p>
    <w:p w14:paraId="3DD42AB1" w14:textId="77777777" w:rsidR="00E93F58" w:rsidRPr="00283424" w:rsidRDefault="00E93F58" w:rsidP="00B50726">
      <w:pPr>
        <w:pStyle w:val="paragraph"/>
      </w:pPr>
      <w:r w:rsidRPr="00283424">
        <w:tab/>
        <w:t>(b)</w:t>
      </w:r>
      <w:r w:rsidRPr="00283424">
        <w:tab/>
        <w:t>the individual provides the financial service in accordance with the authorisation; and</w:t>
      </w:r>
    </w:p>
    <w:p w14:paraId="0F7691CF" w14:textId="77777777" w:rsidR="00E93F58" w:rsidRPr="00283424" w:rsidRDefault="00E93F58" w:rsidP="00B50726">
      <w:pPr>
        <w:pStyle w:val="paragraph"/>
      </w:pPr>
      <w:r w:rsidRPr="00283424">
        <w:tab/>
        <w:t>(c)</w:t>
      </w:r>
      <w:r w:rsidRPr="00283424">
        <w:tab/>
        <w:t>the licensee has reasonable grounds to believe that the identity or remuneration of the individual would not be material to a decision by a retail client whether or not to obtain the financial service; and</w:t>
      </w:r>
    </w:p>
    <w:p w14:paraId="52C46CF1" w14:textId="77777777" w:rsidR="00E93F58" w:rsidRPr="00283424" w:rsidRDefault="00E93F58" w:rsidP="00B50726">
      <w:pPr>
        <w:pStyle w:val="paragraph"/>
      </w:pPr>
      <w:r w:rsidRPr="00283424">
        <w:tab/>
        <w:t>(d)</w:t>
      </w:r>
      <w:r w:rsidRPr="00283424">
        <w:tab/>
        <w:t>the Financial Services Guide includes:</w:t>
      </w:r>
    </w:p>
    <w:p w14:paraId="549442F9" w14:textId="77777777" w:rsidR="00E93F58" w:rsidRPr="00283424" w:rsidRDefault="00E93F58" w:rsidP="00B50726">
      <w:pPr>
        <w:pStyle w:val="paragraphsub"/>
      </w:pPr>
      <w:r w:rsidRPr="00283424">
        <w:tab/>
        <w:t>(i)</w:t>
      </w:r>
      <w:r w:rsidRPr="00283424">
        <w:tab/>
        <w:t>the contact details and licence number of the licensee; and</w:t>
      </w:r>
    </w:p>
    <w:p w14:paraId="56DA3A19" w14:textId="77777777" w:rsidR="00E93F58" w:rsidRPr="00283424" w:rsidRDefault="00E93F58" w:rsidP="00B50726">
      <w:pPr>
        <w:pStyle w:val="paragraphsub"/>
      </w:pPr>
      <w:r w:rsidRPr="00283424">
        <w:tab/>
        <w:t>(ii)</w:t>
      </w:r>
      <w:r w:rsidRPr="00283424">
        <w:tab/>
        <w:t>a statement setting out, in general terms, the individual’s role and capacity in providing the financial service.</w:t>
      </w:r>
    </w:p>
    <w:p w14:paraId="0CF3C3A7" w14:textId="77777777" w:rsidR="00E93F58" w:rsidRPr="00283424" w:rsidRDefault="00E93F58" w:rsidP="00B50726">
      <w:pPr>
        <w:pStyle w:val="subsection"/>
        <w:rPr>
          <w:rFonts w:eastAsia="MS Mincho"/>
        </w:rPr>
      </w:pPr>
      <w:r w:rsidRPr="00283424">
        <w:tab/>
        <w:t>(2A)</w:t>
      </w:r>
      <w:r w:rsidRPr="00283424">
        <w:tab/>
      </w:r>
      <w:r w:rsidRPr="00283424">
        <w:rPr>
          <w:rFonts w:eastAsia="MS Mincho"/>
        </w:rPr>
        <w:t xml:space="preserve">For paragraph 942C(4)(b) of the Act, the Financial Services Guide in relation to a financial service does not have to include </w:t>
      </w:r>
      <w:r w:rsidRPr="00283424">
        <w:t xml:space="preserve">a statement setting out the name and contact details of a person </w:t>
      </w:r>
      <w:r w:rsidRPr="00283424">
        <w:rPr>
          <w:rFonts w:eastAsia="MS Mincho"/>
        </w:rPr>
        <w:t>if:</w:t>
      </w:r>
    </w:p>
    <w:p w14:paraId="7EA586BA" w14:textId="77777777" w:rsidR="00E93F58" w:rsidRPr="00283424" w:rsidRDefault="00E93F58" w:rsidP="00B50726">
      <w:pPr>
        <w:pStyle w:val="paragraph"/>
        <w:rPr>
          <w:rFonts w:eastAsia="MS Mincho"/>
        </w:rPr>
      </w:pPr>
      <w:r w:rsidRPr="00283424">
        <w:rPr>
          <w:rFonts w:eastAsia="MS Mincho"/>
        </w:rPr>
        <w:lastRenderedPageBreak/>
        <w:tab/>
        <w:t>(a)</w:t>
      </w:r>
      <w:r w:rsidRPr="00283424">
        <w:rPr>
          <w:rFonts w:eastAsia="MS Mincho"/>
        </w:rPr>
        <w:tab/>
        <w:t>the person is:</w:t>
      </w:r>
    </w:p>
    <w:p w14:paraId="2F2E7C17" w14:textId="77777777" w:rsidR="00E93F58" w:rsidRPr="00283424" w:rsidRDefault="00E93F58" w:rsidP="00B50726">
      <w:pPr>
        <w:pStyle w:val="paragraphsub"/>
        <w:rPr>
          <w:rFonts w:eastAsia="MS Mincho"/>
        </w:rPr>
      </w:pPr>
      <w:r w:rsidRPr="00283424">
        <w:rPr>
          <w:rFonts w:eastAsia="MS Mincho"/>
          <w:lang w:eastAsia="ja-JP"/>
        </w:rPr>
        <w:tab/>
        <w:t>(i)</w:t>
      </w:r>
      <w:r w:rsidRPr="00283424">
        <w:rPr>
          <w:rFonts w:eastAsia="MS Mincho"/>
          <w:lang w:eastAsia="ja-JP"/>
        </w:rPr>
        <w:tab/>
        <w:t xml:space="preserve">a franchisee of the holder of an Australian financial services licence (the </w:t>
      </w:r>
      <w:r w:rsidRPr="00283424">
        <w:rPr>
          <w:rFonts w:eastAsia="MS Mincho"/>
          <w:b/>
          <w:i/>
          <w:lang w:eastAsia="ja-JP"/>
        </w:rPr>
        <w:t>franchisor</w:t>
      </w:r>
      <w:r w:rsidRPr="00283424">
        <w:rPr>
          <w:rFonts w:eastAsia="MS Mincho"/>
          <w:lang w:eastAsia="ja-JP"/>
        </w:rPr>
        <w:t>) and a corporate authorised representative of the franchisor; or</w:t>
      </w:r>
    </w:p>
    <w:p w14:paraId="255B5533" w14:textId="77777777" w:rsidR="00E93F58" w:rsidRPr="00283424" w:rsidRDefault="00E93F58" w:rsidP="00B50726">
      <w:pPr>
        <w:pStyle w:val="paragraphsub"/>
        <w:rPr>
          <w:rFonts w:eastAsia="MS Mincho"/>
        </w:rPr>
      </w:pPr>
      <w:r w:rsidRPr="00283424">
        <w:rPr>
          <w:rFonts w:eastAsia="MS Mincho"/>
        </w:rPr>
        <w:tab/>
        <w:t>(ii)</w:t>
      </w:r>
      <w:r w:rsidRPr="00283424">
        <w:rPr>
          <w:rFonts w:eastAsia="MS Mincho"/>
        </w:rPr>
        <w:tab/>
        <w:t>an employee of a franchisee of the holder of an Australian financial services licence; and</w:t>
      </w:r>
    </w:p>
    <w:p w14:paraId="3BE04D02" w14:textId="77777777" w:rsidR="00E93F58" w:rsidRPr="00283424" w:rsidRDefault="00E93F58" w:rsidP="00B50726">
      <w:pPr>
        <w:pStyle w:val="paragraph"/>
        <w:rPr>
          <w:rFonts w:eastAsia="MS Mincho"/>
        </w:rPr>
      </w:pPr>
      <w:r w:rsidRPr="00283424">
        <w:rPr>
          <w:rFonts w:eastAsia="MS Mincho"/>
        </w:rPr>
        <w:tab/>
        <w:t>(b)</w:t>
      </w:r>
      <w:r w:rsidRPr="00283424">
        <w:rPr>
          <w:rFonts w:eastAsia="MS Mincho"/>
        </w:rPr>
        <w:tab/>
        <w:t>the franchisor is an authorised deposit</w:t>
      </w:r>
      <w:r>
        <w:rPr>
          <w:rFonts w:eastAsia="MS Mincho"/>
        </w:rPr>
        <w:noBreakHyphen/>
      </w:r>
      <w:r w:rsidRPr="00283424">
        <w:rPr>
          <w:rFonts w:eastAsia="MS Mincho"/>
        </w:rPr>
        <w:t xml:space="preserve">taking institution (within the meaning of the </w:t>
      </w:r>
      <w:r w:rsidRPr="00283424">
        <w:rPr>
          <w:rFonts w:eastAsia="MS Mincho"/>
          <w:i/>
        </w:rPr>
        <w:t>Banking Act 1959</w:t>
      </w:r>
      <w:r w:rsidRPr="00283424">
        <w:rPr>
          <w:rFonts w:eastAsia="MS Mincho"/>
        </w:rPr>
        <w:t xml:space="preserve">) and </w:t>
      </w:r>
      <w:r w:rsidRPr="00283424">
        <w:rPr>
          <w:rFonts w:eastAsia="MS Mincho"/>
          <w:lang w:eastAsia="ja-JP"/>
        </w:rPr>
        <w:t>regulated by APRA; and</w:t>
      </w:r>
    </w:p>
    <w:p w14:paraId="26F72A82" w14:textId="77777777" w:rsidR="00E93F58" w:rsidRPr="00283424" w:rsidRDefault="00E93F58" w:rsidP="00B50726">
      <w:pPr>
        <w:pStyle w:val="paragraph"/>
        <w:rPr>
          <w:rFonts w:eastAsia="MS Mincho"/>
        </w:rPr>
      </w:pPr>
      <w:r w:rsidRPr="00283424">
        <w:rPr>
          <w:rFonts w:eastAsia="MS Mincho"/>
        </w:rPr>
        <w:tab/>
        <w:t>(c)</w:t>
      </w:r>
      <w:r w:rsidRPr="00283424">
        <w:rPr>
          <w:rFonts w:eastAsia="MS Mincho"/>
        </w:rPr>
        <w:tab/>
        <w:t>the franchise agreement:</w:t>
      </w:r>
    </w:p>
    <w:p w14:paraId="73267C77" w14:textId="77777777" w:rsidR="00E93F58" w:rsidRPr="00283424" w:rsidRDefault="00E93F58" w:rsidP="00B50726">
      <w:pPr>
        <w:pStyle w:val="paragraphsub"/>
        <w:rPr>
          <w:rFonts w:eastAsia="MS Mincho"/>
        </w:rPr>
      </w:pPr>
      <w:r w:rsidRPr="00283424">
        <w:rPr>
          <w:rFonts w:eastAsia="MS Mincho"/>
        </w:rPr>
        <w:tab/>
        <w:t>(i)</w:t>
      </w:r>
      <w:r w:rsidRPr="00283424">
        <w:rPr>
          <w:rFonts w:eastAsia="MS Mincho"/>
        </w:rPr>
        <w:tab/>
        <w:t>subjects the person to the policies of the franchisor; and</w:t>
      </w:r>
    </w:p>
    <w:p w14:paraId="2681C6C3" w14:textId="77777777" w:rsidR="00E93F58" w:rsidRPr="00283424" w:rsidRDefault="00E93F58" w:rsidP="00B50726">
      <w:pPr>
        <w:pStyle w:val="paragraphsub"/>
        <w:rPr>
          <w:rFonts w:eastAsia="MS Mincho"/>
        </w:rPr>
      </w:pPr>
      <w:r w:rsidRPr="00283424">
        <w:rPr>
          <w:rFonts w:eastAsia="MS Mincho"/>
        </w:rPr>
        <w:tab/>
        <w:t>(ii)</w:t>
      </w:r>
      <w:r w:rsidRPr="00283424">
        <w:rPr>
          <w:rFonts w:eastAsia="MS Mincho"/>
        </w:rPr>
        <w:tab/>
        <w:t>requires compliance by the person with the policies of the franchisor that were made to give effect to the franchisor’s obligations under the Australian financial services licence; and</w:t>
      </w:r>
    </w:p>
    <w:p w14:paraId="5BB2DF1C" w14:textId="77777777" w:rsidR="00E93F58" w:rsidRPr="00283424" w:rsidRDefault="00E93F58" w:rsidP="00B50726">
      <w:pPr>
        <w:pStyle w:val="paragraph"/>
        <w:rPr>
          <w:rFonts w:eastAsia="MS Mincho"/>
        </w:rPr>
      </w:pPr>
      <w:r w:rsidRPr="00283424">
        <w:rPr>
          <w:rFonts w:eastAsia="MS Mincho"/>
          <w:lang w:eastAsia="ja-JP"/>
        </w:rPr>
        <w:tab/>
        <w:t>(d)</w:t>
      </w:r>
      <w:r w:rsidRPr="00283424">
        <w:rPr>
          <w:rFonts w:eastAsia="MS Mincho"/>
          <w:lang w:eastAsia="ja-JP"/>
        </w:rPr>
        <w:tab/>
        <w:t>the Financial Services Guide produced by the franchisor explains that the franchisor takes responsibility for the services provided by the person.</w:t>
      </w:r>
    </w:p>
    <w:p w14:paraId="78261ED1" w14:textId="77777777" w:rsidR="00E93F58" w:rsidRPr="00283424" w:rsidRDefault="00E93F58" w:rsidP="00B50726">
      <w:pPr>
        <w:pStyle w:val="subsection"/>
      </w:pPr>
      <w:r w:rsidRPr="00283424">
        <w:tab/>
        <w:t>(3)</w:t>
      </w:r>
      <w:r w:rsidRPr="00283424">
        <w:tab/>
        <w:t>For paragraph 942C(4)(b) of the Act, the Financial Service Guide in relation to a financial service does not have to include the information in paragraph 942C(2)(a) of the Act, in respect of an authoriser, if:</w:t>
      </w:r>
    </w:p>
    <w:p w14:paraId="69793C79" w14:textId="77777777" w:rsidR="00E93F58" w:rsidRPr="00283424" w:rsidRDefault="00E93F58" w:rsidP="00B50726">
      <w:pPr>
        <w:pStyle w:val="paragraph"/>
      </w:pPr>
      <w:r w:rsidRPr="00283424">
        <w:tab/>
        <w:t>(a)</w:t>
      </w:r>
      <w:r w:rsidRPr="00283424">
        <w:tab/>
        <w:t>the financial service is dealing in a financial product or the provision of general advice or both; and</w:t>
      </w:r>
    </w:p>
    <w:p w14:paraId="6B11D43B" w14:textId="77777777" w:rsidR="00E93F58" w:rsidRPr="00283424" w:rsidRDefault="00E93F58" w:rsidP="00B50726">
      <w:pPr>
        <w:pStyle w:val="paragraph"/>
      </w:pPr>
      <w:r w:rsidRPr="00283424">
        <w:tab/>
        <w:t>(b)</w:t>
      </w:r>
      <w:r w:rsidRPr="00283424">
        <w:tab/>
        <w:t>the authoriser provides the financial service in accordance with the authorisation; and</w:t>
      </w:r>
    </w:p>
    <w:p w14:paraId="2607D951" w14:textId="77777777" w:rsidR="00E93F58" w:rsidRPr="00283424" w:rsidRDefault="00E93F58" w:rsidP="00B50726">
      <w:pPr>
        <w:pStyle w:val="paragraph"/>
      </w:pPr>
      <w:r w:rsidRPr="00283424">
        <w:tab/>
        <w:t>(c)</w:t>
      </w:r>
      <w:r w:rsidRPr="00283424">
        <w:tab/>
        <w:t>the licensee has reasonable grounds to believe that the identity or remuneration of the authoriser would not be material to a decision by a retail client whether or not to obtain the financial service; and</w:t>
      </w:r>
    </w:p>
    <w:p w14:paraId="1628B1E6" w14:textId="77777777" w:rsidR="00E93F58" w:rsidRPr="00283424" w:rsidRDefault="00E93F58" w:rsidP="00B50726">
      <w:pPr>
        <w:pStyle w:val="paragraph"/>
      </w:pPr>
      <w:r w:rsidRPr="00283424">
        <w:tab/>
        <w:t>(d)</w:t>
      </w:r>
      <w:r w:rsidRPr="00283424">
        <w:tab/>
        <w:t>the Financial Services Guide includes:</w:t>
      </w:r>
    </w:p>
    <w:p w14:paraId="323D843F" w14:textId="77777777" w:rsidR="00E93F58" w:rsidRPr="00283424" w:rsidRDefault="00E93F58" w:rsidP="00B50726">
      <w:pPr>
        <w:pStyle w:val="paragraphsub"/>
      </w:pPr>
      <w:r w:rsidRPr="00283424">
        <w:tab/>
        <w:t>(i)</w:t>
      </w:r>
      <w:r w:rsidRPr="00283424">
        <w:tab/>
        <w:t>the contact details and licence number of the licensee; and</w:t>
      </w:r>
    </w:p>
    <w:p w14:paraId="7D07277F" w14:textId="77777777" w:rsidR="00E93F58" w:rsidRPr="00283424" w:rsidRDefault="00E93F58" w:rsidP="00B50726">
      <w:pPr>
        <w:pStyle w:val="paragraphsub"/>
      </w:pPr>
      <w:r w:rsidRPr="00283424">
        <w:tab/>
        <w:t>(ii)</w:t>
      </w:r>
      <w:r w:rsidRPr="00283424">
        <w:tab/>
        <w:t>a statement setting out, in general terms, the authoriser’s role and capacity in providing the financial service.</w:t>
      </w:r>
    </w:p>
    <w:p w14:paraId="16831F56" w14:textId="77777777" w:rsidR="00E93F58" w:rsidRPr="00283424" w:rsidRDefault="00E93F58" w:rsidP="00B50726">
      <w:pPr>
        <w:pStyle w:val="notetext"/>
      </w:pPr>
      <w:r w:rsidRPr="00283424">
        <w:t>Note:</w:t>
      </w:r>
      <w:r w:rsidRPr="00283424">
        <w:tab/>
        <w:t>The Financial Services Guide will contain all information otherwise required by section 942C of the Act.</w:t>
      </w:r>
    </w:p>
    <w:p w14:paraId="3F55E4CF" w14:textId="77777777" w:rsidR="00E93F58" w:rsidRPr="00283424" w:rsidRDefault="00E93F58" w:rsidP="00B50726">
      <w:pPr>
        <w:pStyle w:val="ActHead5"/>
      </w:pPr>
      <w:bookmarkStart w:id="1053" w:name="_Toc152054505"/>
      <w:bookmarkStart w:id="1054" w:name="_Toc158712321"/>
      <w:r w:rsidRPr="006F296E">
        <w:rPr>
          <w:rStyle w:val="CharSectno"/>
        </w:rPr>
        <w:t>7.7.05C</w:t>
      </w:r>
      <w:r w:rsidRPr="00283424">
        <w:t xml:space="preserve">  Exemption from providing certain information in a Financial Services Guide</w:t>
      </w:r>
      <w:bookmarkEnd w:id="1053"/>
      <w:bookmarkEnd w:id="1054"/>
    </w:p>
    <w:p w14:paraId="5D37A660" w14:textId="77777777" w:rsidR="00E93F58" w:rsidRPr="00283424" w:rsidRDefault="00E93F58" w:rsidP="00B50726">
      <w:pPr>
        <w:pStyle w:val="subsection"/>
      </w:pPr>
      <w:r w:rsidRPr="00283424">
        <w:tab/>
        <w:t>(1)</w:t>
      </w:r>
      <w:r w:rsidRPr="00283424">
        <w:tab/>
        <w:t>For paragraph 942B(4)(b) of the Act, for a Financial Services Guide:</w:t>
      </w:r>
    </w:p>
    <w:p w14:paraId="3AF68E29" w14:textId="77777777" w:rsidR="00E93F58" w:rsidRPr="00283424" w:rsidRDefault="00E93F58" w:rsidP="00B50726">
      <w:pPr>
        <w:pStyle w:val="paragraph"/>
      </w:pPr>
      <w:r w:rsidRPr="00283424">
        <w:tab/>
        <w:t>(a)</w:t>
      </w:r>
      <w:r w:rsidRPr="00283424">
        <w:tab/>
        <w:t>information is not required by paragraph 942B(2)(c) of the Act about a financial service to which subsection 941C(6) of the Act applies; and</w:t>
      </w:r>
    </w:p>
    <w:p w14:paraId="1FB89A35" w14:textId="77777777" w:rsidR="00E93F58" w:rsidRPr="00283424" w:rsidRDefault="00E93F58" w:rsidP="00B50726">
      <w:pPr>
        <w:pStyle w:val="paragraph"/>
      </w:pPr>
      <w:r w:rsidRPr="00283424">
        <w:tab/>
        <w:t>(b)</w:t>
      </w:r>
      <w:r w:rsidRPr="00283424">
        <w:tab/>
        <w:t>information is not required by paragraph 942B(2)(e) of the Act in relation to remuneration (including commission) or other benefits that are received only in respect of, or that are only attributable to, a financial service to which subsection 941C(6) of the Act applies.</w:t>
      </w:r>
    </w:p>
    <w:p w14:paraId="08009888" w14:textId="77777777" w:rsidR="00E93F58" w:rsidRPr="00283424" w:rsidRDefault="00E93F58" w:rsidP="00B50726">
      <w:pPr>
        <w:pStyle w:val="subsection"/>
      </w:pPr>
      <w:r w:rsidRPr="00283424">
        <w:tab/>
        <w:t>(2)</w:t>
      </w:r>
      <w:r w:rsidRPr="00283424">
        <w:tab/>
        <w:t>For paragraph 942C(4)(b) of the Act, for a Financial Services Guide:</w:t>
      </w:r>
    </w:p>
    <w:p w14:paraId="19E85281" w14:textId="77777777" w:rsidR="00E93F58" w:rsidRPr="00283424" w:rsidRDefault="00E93F58" w:rsidP="00B50726">
      <w:pPr>
        <w:pStyle w:val="paragraph"/>
      </w:pPr>
      <w:r w:rsidRPr="00283424">
        <w:tab/>
        <w:t>(a)</w:t>
      </w:r>
      <w:r w:rsidRPr="00283424">
        <w:tab/>
        <w:t>information is not required by paragraph 942C(2)(d) of the Act, about a financial service to which subsection 941C(6) of the Act applies; and</w:t>
      </w:r>
    </w:p>
    <w:p w14:paraId="00B1E214" w14:textId="77777777" w:rsidR="00E93F58" w:rsidRPr="00283424" w:rsidRDefault="00E93F58" w:rsidP="00B50726">
      <w:pPr>
        <w:pStyle w:val="paragraph"/>
      </w:pPr>
      <w:r w:rsidRPr="00283424">
        <w:tab/>
        <w:t>(b)</w:t>
      </w:r>
      <w:r w:rsidRPr="00283424">
        <w:tab/>
        <w:t>information is not required by paragraph 942C(2)(f) of the Act, in relation to remuneration (including commission) or other benefits that are received only in respect of, or that are only attributable to, a financial service to which subsection 941C(6) of the Act applies.</w:t>
      </w:r>
    </w:p>
    <w:p w14:paraId="433ACA1E" w14:textId="77777777" w:rsidR="00E93F58" w:rsidRPr="00283424" w:rsidRDefault="00E93F58" w:rsidP="00B50726">
      <w:pPr>
        <w:pStyle w:val="ActHead5"/>
      </w:pPr>
      <w:bookmarkStart w:id="1055" w:name="_Toc152054506"/>
      <w:bookmarkStart w:id="1056" w:name="_Toc158712322"/>
      <w:r w:rsidRPr="006F296E">
        <w:rPr>
          <w:rStyle w:val="CharSectno"/>
        </w:rPr>
        <w:t>7.7.06</w:t>
      </w:r>
      <w:r w:rsidRPr="00283424">
        <w:rPr>
          <w:sz w:val="16"/>
        </w:rPr>
        <w:t xml:space="preserve">  </w:t>
      </w:r>
      <w:r w:rsidRPr="00283424">
        <w:t>Financial Services Guide given by authorised representative of financial services licensee: description of documents</w:t>
      </w:r>
      <w:bookmarkEnd w:id="1055"/>
      <w:bookmarkEnd w:id="1056"/>
    </w:p>
    <w:p w14:paraId="4168CB39" w14:textId="77777777" w:rsidR="00E93F58" w:rsidRPr="00283424" w:rsidRDefault="00E93F58" w:rsidP="00B50726">
      <w:pPr>
        <w:pStyle w:val="subsection"/>
        <w:keepNext/>
        <w:keepLines/>
      </w:pPr>
      <w:r w:rsidRPr="00283424">
        <w:tab/>
        <w:t>(1)</w:t>
      </w:r>
      <w:r w:rsidRPr="00283424">
        <w:tab/>
        <w:t>For paragraph 942C(2)(m) of the Act, the Financial Services Guide given by an authorised representative must include a statement that:</w:t>
      </w:r>
    </w:p>
    <w:p w14:paraId="6C492558" w14:textId="77777777" w:rsidR="00E93F58" w:rsidRPr="00283424" w:rsidRDefault="00E93F58" w:rsidP="00B50726">
      <w:pPr>
        <w:pStyle w:val="paragraph"/>
      </w:pPr>
      <w:r w:rsidRPr="00283424">
        <w:rPr>
          <w:color w:val="000000"/>
        </w:rPr>
        <w:tab/>
        <w:t>(a)</w:t>
      </w:r>
      <w:r w:rsidRPr="00283424">
        <w:rPr>
          <w:color w:val="000000"/>
        </w:rPr>
        <w:tab/>
        <w:t>describes the purpose and content of the Financial Services Guide; and</w:t>
      </w:r>
    </w:p>
    <w:p w14:paraId="4D2A806D" w14:textId="77777777" w:rsidR="00E93F58" w:rsidRPr="00283424" w:rsidRDefault="00E93F58" w:rsidP="00B50726">
      <w:pPr>
        <w:pStyle w:val="paragraph"/>
      </w:pPr>
      <w:r w:rsidRPr="00283424">
        <w:tab/>
        <w:t>(b)</w:t>
      </w:r>
      <w:r w:rsidRPr="00283424">
        <w:tab/>
        <w:t>if appropriate:</w:t>
      </w:r>
    </w:p>
    <w:p w14:paraId="728DBF52" w14:textId="77777777" w:rsidR="00E93F58" w:rsidRPr="00283424" w:rsidRDefault="00E93F58" w:rsidP="00B50726">
      <w:pPr>
        <w:pStyle w:val="paragraphsub"/>
      </w:pPr>
      <w:r w:rsidRPr="00283424">
        <w:rPr>
          <w:color w:val="000000"/>
        </w:rPr>
        <w:tab/>
        <w:t>(i)</w:t>
      </w:r>
      <w:r w:rsidRPr="00283424">
        <w:rPr>
          <w:color w:val="000000"/>
        </w:rPr>
        <w:tab/>
        <w:t>informs the client that the client may also receive either or both of a Statement of Advice and a Product Disclosure Statement; and</w:t>
      </w:r>
    </w:p>
    <w:p w14:paraId="42F191F1" w14:textId="77777777" w:rsidR="00E93F58" w:rsidRPr="00283424" w:rsidRDefault="00E93F58" w:rsidP="00B50726">
      <w:pPr>
        <w:pStyle w:val="paragraphsub"/>
      </w:pPr>
      <w:r w:rsidRPr="00283424">
        <w:tab/>
        <w:t>(ii)</w:t>
      </w:r>
      <w:r w:rsidRPr="00283424">
        <w:tab/>
        <w:t>describes the purpose and content of those documents.</w:t>
      </w:r>
    </w:p>
    <w:p w14:paraId="4878ACC8" w14:textId="77777777" w:rsidR="00E93F58" w:rsidRPr="00283424" w:rsidRDefault="00E93F58" w:rsidP="00B50726">
      <w:pPr>
        <w:pStyle w:val="subsection"/>
      </w:pPr>
      <w:r w:rsidRPr="00283424">
        <w:tab/>
        <w:t>(2)</w:t>
      </w:r>
      <w:r w:rsidRPr="00283424">
        <w:tab/>
        <w:t>In describing the purpose and content of the Financial Services Guide as mentioned in subregulation (1), the client’s attention must be drawn to the following matters:</w:t>
      </w:r>
    </w:p>
    <w:p w14:paraId="58895384" w14:textId="77777777" w:rsidR="00E93F58" w:rsidRPr="00283424" w:rsidRDefault="00E93F58" w:rsidP="00B50726">
      <w:pPr>
        <w:pStyle w:val="paragraph"/>
      </w:pPr>
      <w:r w:rsidRPr="00283424">
        <w:rPr>
          <w:color w:val="000000"/>
        </w:rPr>
        <w:tab/>
        <w:t>(a)</w:t>
      </w:r>
      <w:r w:rsidRPr="00283424">
        <w:rPr>
          <w:color w:val="000000"/>
        </w:rPr>
        <w:tab/>
        <w:t>the Guide is designed to assist the client in deciding whether to use any of the services offered in the Guide;</w:t>
      </w:r>
    </w:p>
    <w:p w14:paraId="2755C725" w14:textId="77777777" w:rsidR="00E93F58" w:rsidRPr="00283424" w:rsidRDefault="00E93F58" w:rsidP="00B50726">
      <w:pPr>
        <w:pStyle w:val="paragraph"/>
      </w:pPr>
      <w:r w:rsidRPr="00283424">
        <w:tab/>
        <w:t>(b)</w:t>
      </w:r>
      <w:r w:rsidRPr="00283424">
        <w:tab/>
        <w:t>the Guide contains information about remuneration that may be paid to the authorised representative and other relevant persons in relation to the services offered;</w:t>
      </w:r>
    </w:p>
    <w:p w14:paraId="20C5A844" w14:textId="77777777" w:rsidR="00E93F58" w:rsidRPr="00283424" w:rsidRDefault="00E93F58" w:rsidP="00B50726">
      <w:pPr>
        <w:pStyle w:val="paragraph"/>
      </w:pPr>
      <w:r w:rsidRPr="00283424">
        <w:lastRenderedPageBreak/>
        <w:tab/>
        <w:t>(c)</w:t>
      </w:r>
      <w:r w:rsidRPr="00283424">
        <w:tab/>
        <w:t>the Guide contains information on how complaints against the authorised representative are dealt with.</w:t>
      </w:r>
    </w:p>
    <w:p w14:paraId="59D4F9AA" w14:textId="77777777" w:rsidR="00E93F58" w:rsidRPr="00283424" w:rsidRDefault="00E93F58" w:rsidP="00B50726">
      <w:pPr>
        <w:pStyle w:val="subsection"/>
      </w:pPr>
      <w:r w:rsidRPr="00283424">
        <w:rPr>
          <w:color w:val="000000"/>
        </w:rPr>
        <w:tab/>
        <w:t>(3)</w:t>
      </w:r>
      <w:r w:rsidRPr="00283424">
        <w:rPr>
          <w:color w:val="000000"/>
        </w:rPr>
        <w:tab/>
        <w:t>In describing the purpose and content of a Statement of Advice or Product Disclosure Statement, the client’s attention must be drawn to a description of the circumstances in which the Statement of Advice or Product Disclosure Statement will be given.</w:t>
      </w:r>
    </w:p>
    <w:p w14:paraId="5A7ADB1A" w14:textId="77777777" w:rsidR="00E93F58" w:rsidRPr="00283424" w:rsidRDefault="00E93F58" w:rsidP="00B50726">
      <w:pPr>
        <w:pStyle w:val="subsection"/>
      </w:pPr>
      <w:r w:rsidRPr="00283424">
        <w:tab/>
        <w:t>(4)</w:t>
      </w:r>
      <w:r w:rsidRPr="00283424">
        <w:tab/>
      </w:r>
      <w:r w:rsidRPr="00283424">
        <w:rPr>
          <w:snapToGrid w:val="0"/>
        </w:rPr>
        <w:t>Subregulations (2) and (3) do not prevent the statement required under subregulation (1) from drawing attention to other matters relating to the purpose and content of the Financial Services Guide, the Statement of Advice or the Product Disclosure Statement</w:t>
      </w:r>
      <w:r w:rsidRPr="00283424">
        <w:t>.</w:t>
      </w:r>
    </w:p>
    <w:p w14:paraId="36346750" w14:textId="77777777" w:rsidR="00E93F58" w:rsidRPr="00283424" w:rsidRDefault="00E93F58" w:rsidP="00B50726">
      <w:pPr>
        <w:pStyle w:val="subsection"/>
      </w:pPr>
      <w:r w:rsidRPr="00283424">
        <w:tab/>
        <w:t>(5)</w:t>
      </w:r>
      <w:r w:rsidRPr="00283424">
        <w:tab/>
        <w:t>The statement required under subregulation (1) must be:</w:t>
      </w:r>
    </w:p>
    <w:p w14:paraId="136C2D00" w14:textId="77777777" w:rsidR="00E93F58" w:rsidRPr="00283424" w:rsidRDefault="00E93F58" w:rsidP="00B50726">
      <w:pPr>
        <w:pStyle w:val="paragraph"/>
      </w:pPr>
      <w:r w:rsidRPr="00283424">
        <w:rPr>
          <w:color w:val="000000"/>
        </w:rPr>
        <w:tab/>
        <w:t>(a)</w:t>
      </w:r>
      <w:r w:rsidRPr="00283424">
        <w:rPr>
          <w:color w:val="000000"/>
        </w:rPr>
        <w:tab/>
        <w:t>presented in a manner that is easy for the client to understand; and</w:t>
      </w:r>
    </w:p>
    <w:p w14:paraId="380710AC" w14:textId="77777777" w:rsidR="00E93F58" w:rsidRPr="00283424" w:rsidRDefault="00E93F58" w:rsidP="00B50726">
      <w:pPr>
        <w:pStyle w:val="paragraph"/>
      </w:pPr>
      <w:r w:rsidRPr="00283424">
        <w:tab/>
        <w:t>(b)</w:t>
      </w:r>
      <w:r w:rsidRPr="00283424">
        <w:tab/>
        <w:t>displayed prominently in the Financial Services Guide.</w:t>
      </w:r>
    </w:p>
    <w:p w14:paraId="02176EC1" w14:textId="77777777" w:rsidR="00E93F58" w:rsidRPr="00283424" w:rsidRDefault="00E93F58" w:rsidP="00B50726">
      <w:pPr>
        <w:pStyle w:val="subsection"/>
      </w:pPr>
      <w:r w:rsidRPr="00283424">
        <w:tab/>
        <w:t>(6)</w:t>
      </w:r>
      <w:r w:rsidRPr="00283424">
        <w:tab/>
        <w:t>A statement is displayed prominently if it:</w:t>
      </w:r>
    </w:p>
    <w:p w14:paraId="5800948A" w14:textId="77777777" w:rsidR="00E93F58" w:rsidRPr="00283424" w:rsidRDefault="00E93F58" w:rsidP="00B50726">
      <w:pPr>
        <w:pStyle w:val="paragraph"/>
      </w:pPr>
      <w:r w:rsidRPr="00283424">
        <w:rPr>
          <w:color w:val="000000"/>
        </w:rPr>
        <w:tab/>
        <w:t>(a)</w:t>
      </w:r>
      <w:r w:rsidRPr="00283424">
        <w:rPr>
          <w:color w:val="000000"/>
        </w:rPr>
        <w:tab/>
        <w:t>appears at, or close to, the front of the Financial Services Guide; and</w:t>
      </w:r>
    </w:p>
    <w:p w14:paraId="294F5558" w14:textId="77777777" w:rsidR="00E93F58" w:rsidRPr="00283424" w:rsidRDefault="00E93F58" w:rsidP="00B50726">
      <w:pPr>
        <w:pStyle w:val="paragraph"/>
      </w:pPr>
      <w:r w:rsidRPr="00283424">
        <w:tab/>
        <w:t>(b)</w:t>
      </w:r>
      <w:r w:rsidRPr="00283424">
        <w:tab/>
        <w:t>stands out from the other information contained in the Guide.</w:t>
      </w:r>
    </w:p>
    <w:p w14:paraId="6389C7F7" w14:textId="77777777" w:rsidR="00E93F58" w:rsidRPr="00283424" w:rsidRDefault="00E93F58" w:rsidP="00B50726">
      <w:pPr>
        <w:pStyle w:val="notetext"/>
      </w:pPr>
      <w:r w:rsidRPr="00283424">
        <w:t>Note:</w:t>
      </w:r>
      <w:r w:rsidRPr="00283424">
        <w:tab/>
        <w:t>Ideally, the statement should be placed:</w:t>
      </w:r>
    </w:p>
    <w:p w14:paraId="37C93502" w14:textId="77777777" w:rsidR="00E93F58" w:rsidRPr="00283424" w:rsidRDefault="00E93F58" w:rsidP="00B50726">
      <w:pPr>
        <w:pStyle w:val="notepara"/>
      </w:pPr>
      <w:r w:rsidRPr="00283424">
        <w:rPr>
          <w:color w:val="000000"/>
        </w:rPr>
        <w:t>(a)</w:t>
      </w:r>
      <w:r w:rsidRPr="00283424">
        <w:rPr>
          <w:color w:val="000000"/>
        </w:rPr>
        <w:tab/>
        <w:t>on the inside cover or inside facing page of a paper</w:t>
      </w:r>
      <w:r>
        <w:rPr>
          <w:color w:val="000000"/>
        </w:rPr>
        <w:noBreakHyphen/>
      </w:r>
      <w:r w:rsidRPr="00283424">
        <w:rPr>
          <w:color w:val="000000"/>
        </w:rPr>
        <w:t>based Financial Services Guide form; or</w:t>
      </w:r>
    </w:p>
    <w:p w14:paraId="3D03653E" w14:textId="77777777" w:rsidR="00E93F58" w:rsidRPr="00283424" w:rsidRDefault="00E93F58" w:rsidP="00B50726">
      <w:pPr>
        <w:pStyle w:val="notepara"/>
      </w:pPr>
      <w:r w:rsidRPr="00283424">
        <w:t>(b)</w:t>
      </w:r>
      <w:r w:rsidRPr="00283424">
        <w:tab/>
        <w:t>in an equivalent position of a Financial Services Guide that is not provided in a paper</w:t>
      </w:r>
      <w:r>
        <w:noBreakHyphen/>
      </w:r>
      <w:r w:rsidRPr="00283424">
        <w:t>based form.</w:t>
      </w:r>
    </w:p>
    <w:p w14:paraId="464FDB5B" w14:textId="77777777" w:rsidR="00E93F58" w:rsidRPr="00283424" w:rsidRDefault="00E93F58" w:rsidP="00B50726">
      <w:pPr>
        <w:pStyle w:val="ActHead5"/>
      </w:pPr>
      <w:bookmarkStart w:id="1057" w:name="_Toc152054507"/>
      <w:bookmarkStart w:id="1058" w:name="_Toc158712323"/>
      <w:r w:rsidRPr="006F296E">
        <w:rPr>
          <w:rStyle w:val="CharSectno"/>
        </w:rPr>
        <w:t>7.7.06A</w:t>
      </w:r>
      <w:r w:rsidRPr="00283424">
        <w:t xml:space="preserve">  Financial Services Guide given by authorised representative of financial services licensee—licence number</w:t>
      </w:r>
      <w:bookmarkEnd w:id="1057"/>
      <w:bookmarkEnd w:id="1058"/>
    </w:p>
    <w:p w14:paraId="009F181D" w14:textId="77777777" w:rsidR="00E93F58" w:rsidRPr="00283424" w:rsidRDefault="00E93F58" w:rsidP="00B50726">
      <w:pPr>
        <w:pStyle w:val="subsection"/>
      </w:pPr>
      <w:r w:rsidRPr="00283424">
        <w:tab/>
      </w:r>
      <w:r w:rsidRPr="00283424">
        <w:tab/>
        <w:t>For paragraph 942C(2)(m) of the Act, a providing entity that is an authorised representative of a financial services licensee must include the licensee’s licence number in a Financial Services Guide given to a client.</w:t>
      </w:r>
    </w:p>
    <w:p w14:paraId="726CD325" w14:textId="77777777" w:rsidR="00E93F58" w:rsidRPr="00283424" w:rsidRDefault="00E93F58" w:rsidP="00B50726">
      <w:pPr>
        <w:pStyle w:val="ActHead5"/>
      </w:pPr>
      <w:bookmarkStart w:id="1059" w:name="_Toc152054508"/>
      <w:bookmarkStart w:id="1060" w:name="_Toc158712324"/>
      <w:r w:rsidRPr="006F296E">
        <w:rPr>
          <w:rStyle w:val="CharSectno"/>
        </w:rPr>
        <w:t>7.7.06B</w:t>
      </w:r>
      <w:r w:rsidRPr="00283424">
        <w:t xml:space="preserve">  Financial Services Guide given by authorised representative of financial services licensee: </w:t>
      </w:r>
      <w:r w:rsidRPr="00E843DD">
        <w:t>arrangements for compensation</w:t>
      </w:r>
      <w:bookmarkEnd w:id="1059"/>
      <w:bookmarkEnd w:id="1060"/>
    </w:p>
    <w:p w14:paraId="53ED1EA3" w14:textId="77777777" w:rsidR="00E93F58" w:rsidRPr="00283424" w:rsidRDefault="00E93F58" w:rsidP="00B50726">
      <w:pPr>
        <w:pStyle w:val="subsection"/>
      </w:pPr>
      <w:r w:rsidRPr="00283424">
        <w:tab/>
        <w:t>(1)</w:t>
      </w:r>
      <w:r w:rsidRPr="00283424">
        <w:tab/>
        <w:t>For paragraph 942C(2)(m) of the Act, the Financial Services Guide given by the authorised representative of a financial services licensee must include a statement about:</w:t>
      </w:r>
    </w:p>
    <w:p w14:paraId="4ABD43AF" w14:textId="77777777" w:rsidR="00E93F58" w:rsidRPr="00283424" w:rsidRDefault="00E93F58" w:rsidP="00B50726">
      <w:pPr>
        <w:pStyle w:val="paragraph"/>
      </w:pPr>
      <w:r w:rsidRPr="00283424">
        <w:tab/>
        <w:t>(a)</w:t>
      </w:r>
      <w:r w:rsidRPr="00283424">
        <w:tab/>
        <w:t xml:space="preserve">the kind of </w:t>
      </w:r>
      <w:r w:rsidRPr="00BE1284">
        <w:t>arrangements for compensation</w:t>
      </w:r>
      <w:r w:rsidRPr="00283424">
        <w:t xml:space="preserve"> that the licensee has in place; and</w:t>
      </w:r>
    </w:p>
    <w:p w14:paraId="59DA5CB3" w14:textId="77777777" w:rsidR="00E93F58" w:rsidRPr="00283424" w:rsidRDefault="00E93F58" w:rsidP="00B50726">
      <w:pPr>
        <w:pStyle w:val="paragraph"/>
      </w:pPr>
      <w:r w:rsidRPr="00283424">
        <w:tab/>
        <w:t>(b)</w:t>
      </w:r>
      <w:r w:rsidRPr="00283424">
        <w:tab/>
        <w:t xml:space="preserve">whether those arrangements satisfy the </w:t>
      </w:r>
      <w:r w:rsidRPr="00BE1284">
        <w:rPr>
          <w:color w:val="000000"/>
          <w:szCs w:val="22"/>
          <w:shd w:val="clear" w:color="auto" w:fill="FFFFFF"/>
        </w:rPr>
        <w:t xml:space="preserve">requirements under </w:t>
      </w:r>
      <w:r>
        <w:rPr>
          <w:color w:val="000000"/>
          <w:szCs w:val="22"/>
          <w:shd w:val="clear" w:color="auto" w:fill="FFFFFF"/>
        </w:rPr>
        <w:t>section 9</w:t>
      </w:r>
      <w:r w:rsidRPr="00BE1284">
        <w:rPr>
          <w:color w:val="000000"/>
          <w:szCs w:val="22"/>
          <w:shd w:val="clear" w:color="auto" w:fill="FFFFFF"/>
        </w:rPr>
        <w:t>12B of the Act for arrangements for compensation</w:t>
      </w:r>
      <w:r w:rsidRPr="00283424">
        <w:t>.</w:t>
      </w:r>
    </w:p>
    <w:p w14:paraId="29232DD9" w14:textId="77777777" w:rsidR="00E93F58" w:rsidRPr="00283424" w:rsidRDefault="00E93F58" w:rsidP="00B50726">
      <w:pPr>
        <w:pStyle w:val="subsection"/>
      </w:pPr>
      <w:r w:rsidRPr="00283424">
        <w:tab/>
        <w:t>(2)</w:t>
      </w:r>
      <w:r w:rsidRPr="00283424">
        <w:tab/>
        <w:t>This regulation commences, for a particular authorised representative, on the date that subregulations 7.6.02AAA(1), (2) and (3) take effect for the financial services licensee for whom he or she is a representative.</w:t>
      </w:r>
    </w:p>
    <w:p w14:paraId="45A2AA1C" w14:textId="77777777" w:rsidR="00E93F58" w:rsidRPr="00283424" w:rsidRDefault="00E93F58" w:rsidP="00B50726">
      <w:pPr>
        <w:pStyle w:val="ActHead5"/>
      </w:pPr>
      <w:bookmarkStart w:id="1061" w:name="_Toc152054509"/>
      <w:bookmarkStart w:id="1062" w:name="_Toc158712325"/>
      <w:r w:rsidRPr="006F296E">
        <w:rPr>
          <w:rStyle w:val="CharSectno"/>
        </w:rPr>
        <w:t>7.7.07</w:t>
      </w:r>
      <w:r w:rsidRPr="00283424">
        <w:rPr>
          <w:sz w:val="16"/>
        </w:rPr>
        <w:t xml:space="preserve">  </w:t>
      </w:r>
      <w:r w:rsidRPr="00283424">
        <w:t>Financial Services Guide given by authorised representative of financial services licensee: remuneration, commission and benefits</w:t>
      </w:r>
      <w:bookmarkEnd w:id="1061"/>
      <w:bookmarkEnd w:id="1062"/>
    </w:p>
    <w:p w14:paraId="0C64CA91" w14:textId="77777777" w:rsidR="00E93F58" w:rsidRPr="00283424" w:rsidRDefault="00E93F58" w:rsidP="00B50726">
      <w:pPr>
        <w:pStyle w:val="subsection"/>
        <w:keepNext/>
        <w:keepLines/>
      </w:pPr>
      <w:r w:rsidRPr="00283424">
        <w:tab/>
        <w:t>(1)</w:t>
      </w:r>
      <w:r w:rsidRPr="00283424">
        <w:tab/>
        <w:t>For paragraph 942C(2)(m) of the Act, the Financial Services Guide given by an authorised representative of a financial services licensee must include information, to the extent that the information is able to be ascertained at the time the Financial Services Guide is given to the client, about all remuneration (including commission) and other benefits that a person (</w:t>
      </w:r>
      <w:r w:rsidRPr="00283424">
        <w:rPr>
          <w:b/>
          <w:i/>
        </w:rPr>
        <w:t>person 1</w:t>
      </w:r>
      <w:r w:rsidRPr="00283424">
        <w:t>) has received, or is to receive, for referring another person to:</w:t>
      </w:r>
    </w:p>
    <w:p w14:paraId="11BBE0B7" w14:textId="77777777" w:rsidR="00E93F58" w:rsidRPr="00283424" w:rsidRDefault="00E93F58" w:rsidP="00B50726">
      <w:pPr>
        <w:pStyle w:val="paragraph"/>
      </w:pPr>
      <w:r w:rsidRPr="00283424">
        <w:rPr>
          <w:color w:val="000000"/>
        </w:rPr>
        <w:tab/>
        <w:t>(a)</w:t>
      </w:r>
      <w:r w:rsidRPr="00283424">
        <w:rPr>
          <w:color w:val="000000"/>
        </w:rPr>
        <w:tab/>
        <w:t>the authorised representative; or</w:t>
      </w:r>
    </w:p>
    <w:p w14:paraId="6FA87D42" w14:textId="77777777" w:rsidR="00E93F58" w:rsidRPr="00283424" w:rsidRDefault="00E93F58" w:rsidP="00B50726">
      <w:pPr>
        <w:pStyle w:val="paragraph"/>
      </w:pPr>
      <w:r w:rsidRPr="00283424">
        <w:tab/>
        <w:t>(b)</w:t>
      </w:r>
      <w:r w:rsidRPr="00283424">
        <w:tab/>
        <w:t>the financial services licensee.</w:t>
      </w:r>
    </w:p>
    <w:p w14:paraId="2DDA3055" w14:textId="77777777" w:rsidR="00E93F58" w:rsidRPr="00283424" w:rsidRDefault="00E93F58" w:rsidP="00B50726">
      <w:pPr>
        <w:pStyle w:val="SubsectionHead"/>
      </w:pPr>
      <w:r w:rsidRPr="00283424">
        <w:t>Overview of regulation</w:t>
      </w:r>
    </w:p>
    <w:p w14:paraId="267D0153" w14:textId="77777777" w:rsidR="00E93F58" w:rsidRPr="00283424" w:rsidRDefault="00E93F58" w:rsidP="00B50726">
      <w:pPr>
        <w:pStyle w:val="subsection"/>
      </w:pPr>
      <w:r w:rsidRPr="00283424">
        <w:tab/>
        <w:t>(2)</w:t>
      </w:r>
      <w:r w:rsidRPr="00283424">
        <w:tab/>
        <w:t>For paragraph 942C(4)(c) of the Act, the information required in particular situations by paragraph 942C(2)(f) in relation to persons mentioned in paragraph 942C(2)(f) or person 1 (see subregulation (1)) is as set out in subregulations (3), (4) and (5).</w:t>
      </w:r>
    </w:p>
    <w:p w14:paraId="24A89BD4" w14:textId="77777777" w:rsidR="00E93F58" w:rsidRPr="00283424" w:rsidRDefault="00E93F58" w:rsidP="00B50726">
      <w:pPr>
        <w:pStyle w:val="SubsectionHead"/>
      </w:pPr>
      <w:r w:rsidRPr="00283424">
        <w:t>If remuneration is ascertainable at the time FSG is given</w:t>
      </w:r>
    </w:p>
    <w:p w14:paraId="736EE336" w14:textId="77777777" w:rsidR="00E93F58" w:rsidRPr="00283424" w:rsidRDefault="00E93F58" w:rsidP="00B50726">
      <w:pPr>
        <w:pStyle w:val="subsection"/>
      </w:pPr>
      <w:r w:rsidRPr="00283424">
        <w:tab/>
        <w:t>(3)</w:t>
      </w:r>
      <w:r w:rsidRPr="00283424">
        <w:tab/>
        <w:t>The following information is required if the remuneration, commission or other benefits are able to be worked out at the time the Financial Services Guide is given to the client:</w:t>
      </w:r>
    </w:p>
    <w:p w14:paraId="000F8E99" w14:textId="77777777" w:rsidR="00E93F58" w:rsidRPr="00283424" w:rsidRDefault="00E93F58" w:rsidP="00B50726">
      <w:pPr>
        <w:pStyle w:val="paragraph"/>
      </w:pPr>
      <w:r w:rsidRPr="00283424">
        <w:lastRenderedPageBreak/>
        <w:tab/>
        <w:t>(a)</w:t>
      </w:r>
      <w:r w:rsidRPr="00283424">
        <w:tab/>
        <w:t>in a case where the remuneration, commission or other benefits are to be received by a person who is a licensed trustee company, either:</w:t>
      </w:r>
    </w:p>
    <w:p w14:paraId="6FDE4059" w14:textId="77777777" w:rsidR="00E93F58" w:rsidRPr="00283424" w:rsidRDefault="00E93F58" w:rsidP="00B50726">
      <w:pPr>
        <w:pStyle w:val="paragraphsub"/>
      </w:pPr>
      <w:r w:rsidRPr="00283424">
        <w:tab/>
        <w:t>(i)</w:t>
      </w:r>
      <w:r w:rsidRPr="00283424">
        <w:tab/>
        <w:t>the remuneration, commission or other benefits; or</w:t>
      </w:r>
    </w:p>
    <w:p w14:paraId="3C577C16" w14:textId="77777777" w:rsidR="00E93F58" w:rsidRPr="00283424" w:rsidRDefault="00E93F58" w:rsidP="00B50726">
      <w:pPr>
        <w:pStyle w:val="paragraphsub"/>
      </w:pPr>
      <w:r w:rsidRPr="00283424">
        <w:tab/>
        <w:t>(ii)</w:t>
      </w:r>
      <w:r w:rsidRPr="00283424">
        <w:tab/>
        <w:t>the remuneration, commission or other benefits stated as a percentage of the income from the estate or as a percentage of the capital value of the estate;</w:t>
      </w:r>
    </w:p>
    <w:p w14:paraId="034032E2" w14:textId="77777777" w:rsidR="00E93F58" w:rsidRPr="00283424" w:rsidRDefault="00E93F58" w:rsidP="00B50726">
      <w:pPr>
        <w:pStyle w:val="paragraph"/>
      </w:pPr>
      <w:r w:rsidRPr="00283424">
        <w:tab/>
        <w:t>(b)</w:t>
      </w:r>
      <w:r w:rsidRPr="00283424">
        <w:tab/>
        <w:t>in any other case—the remuneration, commission or other benefits.</w:t>
      </w:r>
    </w:p>
    <w:p w14:paraId="50ECC83D" w14:textId="77777777" w:rsidR="00E93F58" w:rsidRPr="00283424" w:rsidRDefault="00E93F58" w:rsidP="00B50726">
      <w:pPr>
        <w:pStyle w:val="SubsectionHead"/>
      </w:pPr>
      <w:r w:rsidRPr="00283424">
        <w:t>If remuneration is not ascertainable at the time FSG is given and personal advice will be given</w:t>
      </w:r>
    </w:p>
    <w:p w14:paraId="26CAB896" w14:textId="77777777" w:rsidR="00E93F58" w:rsidRPr="00283424" w:rsidRDefault="00E93F58" w:rsidP="00B50726">
      <w:pPr>
        <w:pStyle w:val="subsection"/>
      </w:pPr>
      <w:r w:rsidRPr="00283424">
        <w:tab/>
        <w:t>(4)</w:t>
      </w:r>
      <w:r w:rsidRPr="00283424">
        <w:tab/>
        <w:t>If:</w:t>
      </w:r>
    </w:p>
    <w:p w14:paraId="4A18169A" w14:textId="77777777" w:rsidR="00E93F58" w:rsidRPr="00283424" w:rsidRDefault="00E93F58" w:rsidP="00B50726">
      <w:pPr>
        <w:pStyle w:val="paragraph"/>
      </w:pPr>
      <w:r w:rsidRPr="00283424">
        <w:tab/>
        <w:t>(a)</w:t>
      </w:r>
      <w:r w:rsidRPr="00283424">
        <w:tab/>
        <w:t>the remuneration (including commission) or other benefits are not able to be ascertained at the time the Financial Services Guide is given to the client; and</w:t>
      </w:r>
    </w:p>
    <w:p w14:paraId="1927F00F" w14:textId="77777777" w:rsidR="00E93F58" w:rsidRPr="00283424" w:rsidRDefault="00E93F58" w:rsidP="00B50726">
      <w:pPr>
        <w:pStyle w:val="paragraph"/>
      </w:pPr>
      <w:r w:rsidRPr="00283424">
        <w:tab/>
        <w:t>(b)</w:t>
      </w:r>
      <w:r w:rsidRPr="00283424">
        <w:tab/>
        <w:t>the providing entity reasonably believes that personal advice will be given to the client;</w:t>
      </w:r>
    </w:p>
    <w:p w14:paraId="2C312852" w14:textId="77777777" w:rsidR="00E93F58" w:rsidRPr="00283424" w:rsidRDefault="00E93F58" w:rsidP="00B50726">
      <w:pPr>
        <w:pStyle w:val="subsection2"/>
      </w:pPr>
      <w:r w:rsidRPr="00283424">
        <w:t>the following information is required:</w:t>
      </w:r>
    </w:p>
    <w:p w14:paraId="74E4A675" w14:textId="77777777" w:rsidR="00E93F58" w:rsidRPr="00283424" w:rsidRDefault="00E93F58" w:rsidP="00B50726">
      <w:pPr>
        <w:pStyle w:val="paragraph"/>
      </w:pPr>
      <w:r w:rsidRPr="00283424">
        <w:tab/>
        <w:t>(c)</w:t>
      </w:r>
      <w:r w:rsidRPr="00283424">
        <w:tab/>
        <w:t>either:</w:t>
      </w:r>
    </w:p>
    <w:p w14:paraId="02D2BA16" w14:textId="77777777" w:rsidR="00E93F58" w:rsidRPr="00283424" w:rsidRDefault="00E93F58" w:rsidP="00B50726">
      <w:pPr>
        <w:pStyle w:val="paragraphsub"/>
      </w:pPr>
      <w:r w:rsidRPr="00283424">
        <w:tab/>
        <w:t>(i)</w:t>
      </w:r>
      <w:r w:rsidRPr="00283424">
        <w:tab/>
        <w:t>particulars of the remuneration (including commission) or other benefits, including, to the extent relevant, a statement of the range of amounts or rates of remuneration (including commission) or other benefits; or</w:t>
      </w:r>
    </w:p>
    <w:p w14:paraId="6939A0E7" w14:textId="77777777" w:rsidR="00E93F58" w:rsidRPr="00283424" w:rsidRDefault="00E93F58" w:rsidP="00B50726">
      <w:pPr>
        <w:pStyle w:val="paragraphsub"/>
      </w:pPr>
      <w:r w:rsidRPr="00283424">
        <w:tab/>
        <w:t>(ii)</w:t>
      </w:r>
      <w:r w:rsidRPr="00283424">
        <w:tab/>
        <w:t>general information about the remuneration (including commission) or other benefits and the manner in which the remuneration (including commission) or other benefits are to be calculated;</w:t>
      </w:r>
    </w:p>
    <w:p w14:paraId="62DE9FA0" w14:textId="77777777" w:rsidR="00E93F58" w:rsidRPr="00283424" w:rsidRDefault="00E93F58" w:rsidP="00B50726">
      <w:pPr>
        <w:pStyle w:val="paragraph"/>
      </w:pPr>
      <w:r w:rsidRPr="00283424">
        <w:tab/>
        <w:t>(d)</w:t>
      </w:r>
      <w:r w:rsidRPr="00283424">
        <w:tab/>
        <w:t>a statement that:</w:t>
      </w:r>
    </w:p>
    <w:p w14:paraId="119EA893" w14:textId="77777777" w:rsidR="00E93F58" w:rsidRPr="00283424" w:rsidRDefault="00E93F58" w:rsidP="00B50726">
      <w:pPr>
        <w:pStyle w:val="paragraphsub"/>
      </w:pPr>
      <w:r w:rsidRPr="00283424">
        <w:tab/>
        <w:t>(i)</w:t>
      </w:r>
      <w:r w:rsidRPr="00283424">
        <w:tab/>
        <w:t>if the remuneration (including commission) or other benefits are calculable at the time the personal advice is given, the remuneration (including commission) or other benefits the person receives on specified financial products to which the personal advice relates will be disclosed at the time the personal advice is given or as soon as practicable after that time; or</w:t>
      </w:r>
    </w:p>
    <w:p w14:paraId="0EB5D504" w14:textId="77777777" w:rsidR="00E93F58" w:rsidRPr="00283424" w:rsidRDefault="00E93F58" w:rsidP="00B50726">
      <w:pPr>
        <w:pStyle w:val="paragraphsub"/>
      </w:pPr>
      <w:r w:rsidRPr="00283424">
        <w:tab/>
        <w:t>(ii)</w:t>
      </w:r>
      <w:r w:rsidRPr="00283424">
        <w:tab/>
        <w:t>if the remuneration (including commission) or other benefits are not calculable at the time the personal advice is given, the manner in which the remuneration (including commission) or other benefits are to be calculated will be disclosed at the time the personal advice is given or as soon as practicable after that time.</w:t>
      </w:r>
    </w:p>
    <w:p w14:paraId="70B9A41C" w14:textId="77777777" w:rsidR="00E93F58" w:rsidRPr="00283424" w:rsidRDefault="00E93F58" w:rsidP="00B50726">
      <w:pPr>
        <w:pStyle w:val="SubsectionHead"/>
      </w:pPr>
      <w:r w:rsidRPr="00283424">
        <w:t>If remuneration is not ascertainable at the time FSG is given and personal advice will not be given</w:t>
      </w:r>
    </w:p>
    <w:p w14:paraId="1CD9C614" w14:textId="77777777" w:rsidR="00E93F58" w:rsidRPr="00283424" w:rsidRDefault="00E93F58" w:rsidP="00B50726">
      <w:pPr>
        <w:pStyle w:val="subsection"/>
      </w:pPr>
      <w:r w:rsidRPr="00283424">
        <w:tab/>
        <w:t>(5)</w:t>
      </w:r>
      <w:r w:rsidRPr="00283424">
        <w:tab/>
        <w:t>If:</w:t>
      </w:r>
    </w:p>
    <w:p w14:paraId="6990A323" w14:textId="77777777" w:rsidR="00E93F58" w:rsidRPr="00283424" w:rsidRDefault="00E93F58" w:rsidP="00B50726">
      <w:pPr>
        <w:pStyle w:val="paragraph"/>
      </w:pPr>
      <w:r w:rsidRPr="00283424">
        <w:tab/>
        <w:t>(a)</w:t>
      </w:r>
      <w:r w:rsidRPr="00283424">
        <w:tab/>
        <w:t>the remuneration (including commission) or other benefits are not able to be ascertained at the time the Financial Services Guide is given to the client; and</w:t>
      </w:r>
    </w:p>
    <w:p w14:paraId="6CCF668E" w14:textId="77777777" w:rsidR="00E93F58" w:rsidRPr="00283424" w:rsidRDefault="00E93F58" w:rsidP="00B50726">
      <w:pPr>
        <w:pStyle w:val="paragraph"/>
      </w:pPr>
      <w:r w:rsidRPr="00283424">
        <w:tab/>
        <w:t>(b)</w:t>
      </w:r>
      <w:r w:rsidRPr="00283424">
        <w:tab/>
        <w:t>the providing entity reasonably believes that personal advice will not be given to the client;</w:t>
      </w:r>
    </w:p>
    <w:p w14:paraId="6B9E448D" w14:textId="77777777" w:rsidR="00E93F58" w:rsidRPr="00283424" w:rsidRDefault="00E93F58" w:rsidP="00B50726">
      <w:pPr>
        <w:pStyle w:val="subsection2"/>
      </w:pPr>
      <w:r w:rsidRPr="00283424">
        <w:t>the following information is required:</w:t>
      </w:r>
    </w:p>
    <w:p w14:paraId="31B8D5E0" w14:textId="77777777" w:rsidR="00E93F58" w:rsidRPr="00283424" w:rsidRDefault="00E93F58" w:rsidP="00B50726">
      <w:pPr>
        <w:pStyle w:val="paragraph"/>
      </w:pPr>
      <w:r w:rsidRPr="00283424">
        <w:tab/>
        <w:t>(c)</w:t>
      </w:r>
      <w:r w:rsidRPr="00283424">
        <w:tab/>
        <w:t>particulars of the remuneration (including commission) or other benefits, including, to the extent relevant, a statement of the range of amounts or rates</w:t>
      </w:r>
      <w:r w:rsidRPr="00283424">
        <w:rPr>
          <w:i/>
        </w:rPr>
        <w:t xml:space="preserve"> </w:t>
      </w:r>
      <w:r w:rsidRPr="00283424">
        <w:t>of remuneration (including commission) or other benefits; or</w:t>
      </w:r>
    </w:p>
    <w:p w14:paraId="1AF1C792" w14:textId="77777777" w:rsidR="00E93F58" w:rsidRPr="00283424" w:rsidRDefault="00E93F58" w:rsidP="00B50726">
      <w:pPr>
        <w:pStyle w:val="paragraph"/>
      </w:pPr>
      <w:r w:rsidRPr="00283424">
        <w:tab/>
        <w:t>(d)</w:t>
      </w:r>
      <w:r w:rsidRPr="00283424">
        <w:tab/>
        <w:t>both of the following:</w:t>
      </w:r>
    </w:p>
    <w:p w14:paraId="4881F3AC" w14:textId="77777777" w:rsidR="00E93F58" w:rsidRPr="00283424" w:rsidRDefault="00E93F58" w:rsidP="00B50726">
      <w:pPr>
        <w:pStyle w:val="paragraphsub"/>
      </w:pPr>
      <w:r w:rsidRPr="00283424">
        <w:tab/>
        <w:t>(i)</w:t>
      </w:r>
      <w:r w:rsidRPr="00283424">
        <w:tab/>
        <w:t>general information about the remuneration (including commission) or other benefits and the manner in which the remuneration (including commission) or other benefits are to be calculated;</w:t>
      </w:r>
    </w:p>
    <w:p w14:paraId="3C6DD9D6" w14:textId="77777777" w:rsidR="00E93F58" w:rsidRPr="00283424" w:rsidRDefault="00E93F58" w:rsidP="00B50726">
      <w:pPr>
        <w:pStyle w:val="paragraphsub"/>
      </w:pPr>
      <w:r w:rsidRPr="00283424">
        <w:tab/>
        <w:t>(ii)</w:t>
      </w:r>
      <w:r w:rsidRPr="00283424">
        <w:tab/>
        <w:t>a statement that the client may request particulars of the remuneration (including commission) or other benefits but that the request must be made within a reasonable time after the client is given the Financial Services Guide and before any financial service identified in the Guide is provided to the client.</w:t>
      </w:r>
    </w:p>
    <w:p w14:paraId="5D4AC41A" w14:textId="77777777" w:rsidR="00E93F58" w:rsidRPr="00283424" w:rsidRDefault="00E93F58" w:rsidP="00B50726">
      <w:pPr>
        <w:pStyle w:val="ActHead5"/>
      </w:pPr>
      <w:bookmarkStart w:id="1063" w:name="_Toc152054510"/>
      <w:bookmarkStart w:id="1064" w:name="_Toc158712326"/>
      <w:r w:rsidRPr="006F296E">
        <w:rPr>
          <w:rStyle w:val="CharSectno"/>
        </w:rPr>
        <w:t>7.7.07A</w:t>
      </w:r>
      <w:r w:rsidRPr="00283424">
        <w:t xml:space="preserve">  Financial services guide given by authorised representative: more detailed information about remuneration etc</w:t>
      </w:r>
      <w:bookmarkEnd w:id="1063"/>
      <w:bookmarkEnd w:id="1064"/>
    </w:p>
    <w:p w14:paraId="1851FFBA" w14:textId="77777777" w:rsidR="00E93F58" w:rsidRPr="00283424" w:rsidRDefault="00E93F58" w:rsidP="00B50726">
      <w:pPr>
        <w:pStyle w:val="subsection"/>
      </w:pPr>
      <w:r w:rsidRPr="00283424">
        <w:tab/>
        <w:t>(1)</w:t>
      </w:r>
      <w:r w:rsidRPr="00283424">
        <w:tab/>
        <w:t>For subsection 942C(7) of the Act, if:</w:t>
      </w:r>
    </w:p>
    <w:p w14:paraId="1CCC33BA" w14:textId="77777777" w:rsidR="00E93F58" w:rsidRPr="00283424" w:rsidRDefault="00E93F58" w:rsidP="00B50726">
      <w:pPr>
        <w:pStyle w:val="paragraph"/>
      </w:pPr>
      <w:r w:rsidRPr="00283424">
        <w:tab/>
        <w:t>(a)</w:t>
      </w:r>
      <w:r w:rsidRPr="00283424">
        <w:tab/>
        <w:t>the remuneration (including commission) or other benefits that a person mentioned in paragraph 942C(2)(f) or person 1 in subregulation 7.7.07(1) has received, or is to receive, are not able to be ascertained at the time the Financial Services Guide is given to the client; and</w:t>
      </w:r>
    </w:p>
    <w:p w14:paraId="60E9200A" w14:textId="77777777" w:rsidR="00E93F58" w:rsidRPr="00283424" w:rsidRDefault="00E93F58" w:rsidP="00B50726">
      <w:pPr>
        <w:pStyle w:val="paragraph"/>
      </w:pPr>
      <w:r w:rsidRPr="00283424">
        <w:tab/>
        <w:t>(b)</w:t>
      </w:r>
      <w:r w:rsidRPr="00283424">
        <w:tab/>
        <w:t>the providing entity reasonably believes that personal advice will not be given to the client; and</w:t>
      </w:r>
    </w:p>
    <w:p w14:paraId="6A7F05AF" w14:textId="77777777" w:rsidR="00E93F58" w:rsidRPr="00283424" w:rsidRDefault="00E93F58" w:rsidP="00B50726">
      <w:pPr>
        <w:pStyle w:val="paragraph"/>
      </w:pPr>
      <w:r w:rsidRPr="00283424">
        <w:tab/>
        <w:t>(c)</w:t>
      </w:r>
      <w:r w:rsidRPr="00283424">
        <w:tab/>
        <w:t>the Financial Services Guide does not contain particulars of the remuneration (including commission) or other benefits;</w:t>
      </w:r>
    </w:p>
    <w:p w14:paraId="2609F38D" w14:textId="77777777" w:rsidR="00E93F58" w:rsidRPr="00283424" w:rsidRDefault="00E93F58" w:rsidP="00B50726">
      <w:pPr>
        <w:pStyle w:val="subsection2"/>
      </w:pPr>
      <w:r w:rsidRPr="00283424">
        <w:lastRenderedPageBreak/>
        <w:t>the client may request, from the authorised representative, particulars of the remuneration (including commission) or other benefits.</w:t>
      </w:r>
    </w:p>
    <w:p w14:paraId="66D12E0E" w14:textId="77777777" w:rsidR="00E93F58" w:rsidRPr="00283424" w:rsidRDefault="00E93F58" w:rsidP="00B50726">
      <w:pPr>
        <w:pStyle w:val="subsection"/>
      </w:pPr>
      <w:r w:rsidRPr="00283424">
        <w:tab/>
        <w:t>(2)</w:t>
      </w:r>
      <w:r w:rsidRPr="00283424">
        <w:tab/>
        <w:t>A request under subregulation (1) must be made within a reasonable time after the client is given the Financial Services Guide and before any financial service identified in the Guide is provided to the client.</w:t>
      </w:r>
    </w:p>
    <w:p w14:paraId="01E0B405" w14:textId="77777777" w:rsidR="00E93F58" w:rsidRPr="00283424" w:rsidRDefault="00E93F58" w:rsidP="00B50726">
      <w:pPr>
        <w:pStyle w:val="subsection"/>
      </w:pPr>
      <w:r w:rsidRPr="00283424">
        <w:tab/>
        <w:t>(3)</w:t>
      </w:r>
      <w:r w:rsidRPr="00283424">
        <w:tab/>
        <w:t>For subregulation (1), the particulars must, to the extent relevant, include a statement of the range of amounts or rates of remuneration (including commission) or other benefits.</w:t>
      </w:r>
    </w:p>
    <w:p w14:paraId="2466CAA2" w14:textId="77777777" w:rsidR="00E93F58" w:rsidRPr="00283424" w:rsidRDefault="00E93F58" w:rsidP="00B50726">
      <w:pPr>
        <w:pStyle w:val="notetext"/>
      </w:pPr>
      <w:r w:rsidRPr="00283424">
        <w:t>Examples:</w:t>
      </w:r>
    </w:p>
    <w:p w14:paraId="16785FC7" w14:textId="77777777" w:rsidR="00E93F58" w:rsidRPr="00283424" w:rsidRDefault="00E93F58" w:rsidP="00B50726">
      <w:pPr>
        <w:pStyle w:val="notetext"/>
      </w:pPr>
      <w:r w:rsidRPr="00283424">
        <w:t>1</w:t>
      </w:r>
      <w:r w:rsidRPr="00283424">
        <w:tab/>
        <w:t>Remuneration is paid within the range of $X to $Y.</w:t>
      </w:r>
    </w:p>
    <w:p w14:paraId="22FF253E" w14:textId="77777777" w:rsidR="00E93F58" w:rsidRPr="00283424" w:rsidRDefault="00E93F58" w:rsidP="00B50726">
      <w:pPr>
        <w:pStyle w:val="notetext"/>
      </w:pPr>
      <w:r w:rsidRPr="00283424">
        <w:t>2</w:t>
      </w:r>
      <w:r w:rsidRPr="00283424">
        <w:tab/>
        <w:t>Commission is paid at rates between X% and Y%.</w:t>
      </w:r>
    </w:p>
    <w:p w14:paraId="31448E18" w14:textId="77777777" w:rsidR="00E93F58" w:rsidRPr="00283424" w:rsidRDefault="00E93F58" w:rsidP="00B50726">
      <w:pPr>
        <w:pStyle w:val="subsection"/>
      </w:pPr>
      <w:r w:rsidRPr="00283424">
        <w:tab/>
        <w:t>(4)</w:t>
      </w:r>
      <w:r w:rsidRPr="00283424">
        <w:tab/>
        <w:t>The particulars mentioned in subregulation (3) must be presented in a manner that is easy for the client to understand.</w:t>
      </w:r>
    </w:p>
    <w:p w14:paraId="2E0C0F01" w14:textId="77777777" w:rsidR="00E93F58" w:rsidRPr="00283424" w:rsidRDefault="00E93F58" w:rsidP="00B50726">
      <w:pPr>
        <w:pStyle w:val="ActHead5"/>
      </w:pPr>
      <w:bookmarkStart w:id="1065" w:name="_Toc152054511"/>
      <w:bookmarkStart w:id="1066" w:name="_Toc158712327"/>
      <w:r w:rsidRPr="006F296E">
        <w:rPr>
          <w:rStyle w:val="CharSectno"/>
        </w:rPr>
        <w:t>7.7.08</w:t>
      </w:r>
      <w:r w:rsidRPr="00283424">
        <w:t xml:space="preserve">  Record of advice given by authorised representative of financial services licensee</w:t>
      </w:r>
      <w:bookmarkEnd w:id="1065"/>
      <w:bookmarkEnd w:id="1066"/>
    </w:p>
    <w:p w14:paraId="1FA85C80" w14:textId="77777777" w:rsidR="00E93F58" w:rsidRPr="00283424" w:rsidRDefault="00E93F58" w:rsidP="00B50726">
      <w:pPr>
        <w:pStyle w:val="subsection"/>
      </w:pPr>
      <w:r w:rsidRPr="00283424">
        <w:tab/>
      </w:r>
      <w:r w:rsidRPr="00283424">
        <w:tab/>
        <w:t>For subparagraph 942C(2)(h)(iii) of the Act, the period within which a client may request a record of the advice to which that subparagraph relates is 7 years after the day on which the advice is provided.</w:t>
      </w:r>
    </w:p>
    <w:p w14:paraId="18F16AC0" w14:textId="77777777" w:rsidR="00E93F58" w:rsidRPr="00283424" w:rsidRDefault="00E93F58" w:rsidP="00B50726">
      <w:pPr>
        <w:pStyle w:val="ActHead3"/>
        <w:pageBreakBefore/>
      </w:pPr>
      <w:bookmarkStart w:id="1067" w:name="_Toc152054512"/>
      <w:bookmarkStart w:id="1068" w:name="_Toc158712328"/>
      <w:r w:rsidRPr="006F296E">
        <w:rPr>
          <w:rStyle w:val="CharDivNo"/>
        </w:rPr>
        <w:lastRenderedPageBreak/>
        <w:t>Division 2A</w:t>
      </w:r>
      <w:r w:rsidRPr="00283424">
        <w:t>—</w:t>
      </w:r>
      <w:r w:rsidRPr="006F296E">
        <w:rPr>
          <w:rStyle w:val="CharDivText"/>
        </w:rPr>
        <w:t>Combined Financial Services Guide and Product Disclosure Statement</w:t>
      </w:r>
      <w:bookmarkEnd w:id="1067"/>
      <w:bookmarkEnd w:id="1068"/>
    </w:p>
    <w:p w14:paraId="00990FD6" w14:textId="77777777" w:rsidR="00E93F58" w:rsidRPr="00283424" w:rsidRDefault="00E93F58" w:rsidP="00B50726">
      <w:pPr>
        <w:pStyle w:val="ActHead5"/>
      </w:pPr>
      <w:bookmarkStart w:id="1069" w:name="_Toc152054513"/>
      <w:bookmarkStart w:id="1070" w:name="_Toc158712329"/>
      <w:r w:rsidRPr="006F296E">
        <w:rPr>
          <w:rStyle w:val="CharSectno"/>
        </w:rPr>
        <w:t>7.7.08A</w:t>
      </w:r>
      <w:r w:rsidRPr="00283424">
        <w:t xml:space="preserve">  Combined Financial Services Guide and Product Disclosure Statement</w:t>
      </w:r>
      <w:bookmarkEnd w:id="1069"/>
      <w:bookmarkEnd w:id="1070"/>
    </w:p>
    <w:p w14:paraId="0B012E2E" w14:textId="77777777" w:rsidR="00E93F58" w:rsidRPr="00283424" w:rsidRDefault="00E93F58" w:rsidP="00B50726">
      <w:pPr>
        <w:pStyle w:val="subsection"/>
      </w:pPr>
      <w:r w:rsidRPr="00283424">
        <w:tab/>
        <w:t>(1)</w:t>
      </w:r>
      <w:r w:rsidRPr="00283424">
        <w:tab/>
        <w:t>For subsection 942DA(1) of the Act, this regulation specifies the circumstances in which a Financial Services Guide and a Product Disclosure Statement may be combined in a single document.</w:t>
      </w:r>
    </w:p>
    <w:p w14:paraId="47555F59" w14:textId="77777777" w:rsidR="00E93F58" w:rsidRPr="00283424" w:rsidRDefault="00E93F58" w:rsidP="00B50726">
      <w:pPr>
        <w:pStyle w:val="subsection"/>
      </w:pPr>
      <w:r w:rsidRPr="00283424">
        <w:tab/>
        <w:t>(1B)</w:t>
      </w:r>
      <w:r w:rsidRPr="00283424">
        <w:tab/>
        <w:t xml:space="preserve">This regulation does not apply if the Product Disclosure Statement is for a </w:t>
      </w:r>
      <w:r w:rsidRPr="00BE1284">
        <w:t>standard margin lending facility</w:t>
      </w:r>
      <w:r w:rsidRPr="00283424">
        <w:t>.</w:t>
      </w:r>
    </w:p>
    <w:p w14:paraId="3137A6FF" w14:textId="77777777" w:rsidR="00E93F58" w:rsidRPr="00283424" w:rsidRDefault="00E93F58" w:rsidP="00B50726">
      <w:pPr>
        <w:pStyle w:val="subsection"/>
      </w:pPr>
      <w:r w:rsidRPr="00283424">
        <w:tab/>
        <w:t>(1C)</w:t>
      </w:r>
      <w:r w:rsidRPr="00283424">
        <w:tab/>
        <w:t>This regulation does not apply if the Product Disclosure Statement is for a superannuation product to which Subdivision 4.2B of Division 4 of Part 7.9 applies.</w:t>
      </w:r>
    </w:p>
    <w:p w14:paraId="3F0E55B6" w14:textId="77777777" w:rsidR="00E93F58" w:rsidRPr="00283424" w:rsidRDefault="00E93F58" w:rsidP="00B50726">
      <w:pPr>
        <w:pStyle w:val="subsection"/>
      </w:pPr>
      <w:r w:rsidRPr="00283424">
        <w:tab/>
        <w:t>(1D)</w:t>
      </w:r>
      <w:r w:rsidRPr="00283424">
        <w:tab/>
        <w:t>This regulation does not apply if the Product Disclosure Statement is for:</w:t>
      </w:r>
    </w:p>
    <w:p w14:paraId="23FAEF20" w14:textId="77777777" w:rsidR="00E93F58" w:rsidRPr="00283424" w:rsidRDefault="00E93F58" w:rsidP="00B50726">
      <w:pPr>
        <w:pStyle w:val="paragraph"/>
      </w:pPr>
      <w:r w:rsidRPr="00283424">
        <w:tab/>
        <w:t>(a)</w:t>
      </w:r>
      <w:r w:rsidRPr="00283424">
        <w:tab/>
        <w:t>a simple managed investment scheme to which Subdivision 4.2C of Division 4 of Part 7.9 applies; or</w:t>
      </w:r>
    </w:p>
    <w:p w14:paraId="6CB46774" w14:textId="77777777" w:rsidR="00E93F58" w:rsidRPr="00283424" w:rsidRDefault="00E93F58" w:rsidP="00B50726">
      <w:pPr>
        <w:pStyle w:val="paragraph"/>
      </w:pPr>
      <w:r w:rsidRPr="00283424">
        <w:tab/>
        <w:t>(b)</w:t>
      </w:r>
      <w:r w:rsidRPr="00283424">
        <w:tab/>
        <w:t>a simple sub</w:t>
      </w:r>
      <w:r>
        <w:noBreakHyphen/>
      </w:r>
      <w:r w:rsidRPr="00283424">
        <w:t>fund product to which Subdivision 4.2D of Division 4 of Part 7.9 applies.</w:t>
      </w:r>
    </w:p>
    <w:p w14:paraId="5FF1BC42" w14:textId="77777777" w:rsidR="00E93F58" w:rsidRPr="00283424" w:rsidRDefault="00E93F58" w:rsidP="00B50726">
      <w:pPr>
        <w:pStyle w:val="subsection"/>
      </w:pPr>
      <w:r w:rsidRPr="00283424">
        <w:tab/>
        <w:t>(2)</w:t>
      </w:r>
      <w:r w:rsidRPr="00283424">
        <w:tab/>
        <w:t>A combined Financial Services Guide and Product Disclosure Statement may be issued as a single document if:</w:t>
      </w:r>
    </w:p>
    <w:p w14:paraId="57D01833" w14:textId="77777777" w:rsidR="00E93F58" w:rsidRPr="00283424" w:rsidRDefault="00E93F58" w:rsidP="00B50726">
      <w:pPr>
        <w:pStyle w:val="paragraph"/>
      </w:pPr>
      <w:r w:rsidRPr="00283424">
        <w:tab/>
        <w:t>(a)</w:t>
      </w:r>
      <w:r w:rsidRPr="00283424">
        <w:tab/>
        <w:t>the providing entity for the financial service and the product issuer for a product issued in relation to that financial service are the same person; and</w:t>
      </w:r>
    </w:p>
    <w:p w14:paraId="653D4FC4" w14:textId="77777777" w:rsidR="00E93F58" w:rsidRPr="00283424" w:rsidRDefault="00E93F58" w:rsidP="00B50726">
      <w:pPr>
        <w:pStyle w:val="paragraph"/>
      </w:pPr>
      <w:r w:rsidRPr="00283424">
        <w:tab/>
        <w:t>(b)</w:t>
      </w:r>
      <w:r w:rsidRPr="00283424">
        <w:tab/>
        <w:t>the document is divided into 2 separate parts:</w:t>
      </w:r>
    </w:p>
    <w:p w14:paraId="7C29F9FA" w14:textId="77777777" w:rsidR="00E93F58" w:rsidRPr="00283424" w:rsidRDefault="00E93F58" w:rsidP="00B50726">
      <w:pPr>
        <w:pStyle w:val="paragraphsub"/>
      </w:pPr>
      <w:r w:rsidRPr="00283424">
        <w:tab/>
        <w:t>(i)</w:t>
      </w:r>
      <w:r w:rsidRPr="00283424">
        <w:tab/>
        <w:t>a part identifiable as a Financial Services Guide that satisfies the requirements under the Act for a Financial Services Guide; and</w:t>
      </w:r>
    </w:p>
    <w:p w14:paraId="7167DB9C" w14:textId="77777777" w:rsidR="00E93F58" w:rsidRPr="00283424" w:rsidRDefault="00E93F58" w:rsidP="00B50726">
      <w:pPr>
        <w:pStyle w:val="paragraphsub"/>
      </w:pPr>
      <w:r w:rsidRPr="00283424">
        <w:tab/>
        <w:t>(ii)</w:t>
      </w:r>
      <w:r w:rsidRPr="00283424">
        <w:tab/>
        <w:t>a part identifiable as a Product Disclosure Statement that satisfies the requirements for a Product Disclosure Statement; and</w:t>
      </w:r>
    </w:p>
    <w:p w14:paraId="3860F02D" w14:textId="77777777" w:rsidR="00E93F58" w:rsidRPr="00283424" w:rsidRDefault="00E93F58" w:rsidP="00B50726">
      <w:pPr>
        <w:pStyle w:val="paragraph"/>
      </w:pPr>
      <w:r w:rsidRPr="00283424">
        <w:tab/>
        <w:t>(c)</w:t>
      </w:r>
      <w:r w:rsidRPr="00283424">
        <w:tab/>
        <w:t>the title ‘Combined Financial Services Guide and Product Disclosure Statement’ is marked on or near the front of the document; and</w:t>
      </w:r>
    </w:p>
    <w:p w14:paraId="79EAB59A" w14:textId="77777777" w:rsidR="00E93F58" w:rsidRPr="00283424" w:rsidRDefault="00E93F58" w:rsidP="00B50726">
      <w:pPr>
        <w:pStyle w:val="paragraph"/>
      </w:pPr>
      <w:r w:rsidRPr="00283424">
        <w:tab/>
        <w:t>(d)</w:t>
      </w:r>
      <w:r w:rsidRPr="00283424">
        <w:tab/>
        <w:t>the document is provided to a client at the earlier of the time at which a Financial Services Guide must be provided and the time at which a Product Disclosure Statement must be provided.</w:t>
      </w:r>
    </w:p>
    <w:p w14:paraId="3C45CB2F" w14:textId="77777777" w:rsidR="00E93F58" w:rsidRPr="00283424" w:rsidRDefault="00E93F58" w:rsidP="00B50726">
      <w:pPr>
        <w:pStyle w:val="subsection"/>
      </w:pPr>
      <w:r w:rsidRPr="00283424">
        <w:tab/>
        <w:t>(3)</w:t>
      </w:r>
      <w:r w:rsidRPr="00283424">
        <w:tab/>
        <w:t>A combined Financial Services Guide and Product Disclosure Statement may be issued as a single document if:</w:t>
      </w:r>
    </w:p>
    <w:p w14:paraId="5C9095D3" w14:textId="77777777" w:rsidR="00E93F58" w:rsidRPr="00283424" w:rsidRDefault="00E93F58" w:rsidP="00B50726">
      <w:pPr>
        <w:pStyle w:val="paragraph"/>
      </w:pPr>
      <w:r w:rsidRPr="00283424">
        <w:tab/>
        <w:t>(a)</w:t>
      </w:r>
      <w:r w:rsidRPr="00283424">
        <w:tab/>
        <w:t>the providing entity for the financial service is a representative or a related body corporate of the product issuer; and</w:t>
      </w:r>
    </w:p>
    <w:p w14:paraId="31D0B1FE" w14:textId="77777777" w:rsidR="00E93F58" w:rsidRPr="00283424" w:rsidRDefault="00E93F58" w:rsidP="00B50726">
      <w:pPr>
        <w:pStyle w:val="paragraph"/>
      </w:pPr>
      <w:r w:rsidRPr="00283424">
        <w:tab/>
        <w:t>(b)</w:t>
      </w:r>
      <w:r w:rsidRPr="00283424">
        <w:tab/>
        <w:t>the product is only a basic deposit product, a non</w:t>
      </w:r>
      <w:r>
        <w:noBreakHyphen/>
      </w:r>
      <w:r w:rsidRPr="00283424">
        <w:t>cash payment facility that is related to a basic deposit product, a general insurance product or a life risk insurance product; and</w:t>
      </w:r>
    </w:p>
    <w:p w14:paraId="2E493E28" w14:textId="77777777" w:rsidR="00E93F58" w:rsidRPr="00283424" w:rsidRDefault="00E93F58" w:rsidP="00B50726">
      <w:pPr>
        <w:pStyle w:val="paragraph"/>
      </w:pPr>
      <w:r w:rsidRPr="00283424">
        <w:tab/>
        <w:t>(c)</w:t>
      </w:r>
      <w:r w:rsidRPr="00283424">
        <w:tab/>
        <w:t>the document is divided into 2 separate parts:</w:t>
      </w:r>
    </w:p>
    <w:p w14:paraId="4AE2590D" w14:textId="77777777" w:rsidR="00E93F58" w:rsidRPr="00283424" w:rsidRDefault="00E93F58" w:rsidP="00B50726">
      <w:pPr>
        <w:pStyle w:val="paragraphsub"/>
      </w:pPr>
      <w:r w:rsidRPr="00283424">
        <w:tab/>
        <w:t>(i)</w:t>
      </w:r>
      <w:r w:rsidRPr="00283424">
        <w:tab/>
        <w:t>a part identifiable as a Financial Services Guide that satisfies the requirements under the Act for a Financial Services Guide; and</w:t>
      </w:r>
    </w:p>
    <w:p w14:paraId="687F1D5D" w14:textId="77777777" w:rsidR="00E93F58" w:rsidRPr="00283424" w:rsidRDefault="00E93F58" w:rsidP="00B50726">
      <w:pPr>
        <w:pStyle w:val="paragraphsub"/>
      </w:pPr>
      <w:r w:rsidRPr="00283424">
        <w:tab/>
        <w:t>(ii)</w:t>
      </w:r>
      <w:r w:rsidRPr="00283424">
        <w:tab/>
        <w:t>a part identifiable as a Product Disclosure Statement that satisfies the requirements for a product Disclosure Statement; and</w:t>
      </w:r>
    </w:p>
    <w:p w14:paraId="6F966A39" w14:textId="77777777" w:rsidR="00E93F58" w:rsidRPr="00283424" w:rsidRDefault="00E93F58" w:rsidP="00B50726">
      <w:pPr>
        <w:pStyle w:val="paragraph"/>
      </w:pPr>
      <w:r w:rsidRPr="00283424">
        <w:tab/>
        <w:t>(d)</w:t>
      </w:r>
      <w:r w:rsidRPr="00283424">
        <w:tab/>
        <w:t>the title ‘Combined Financial Services Guide and Product Disclosure Statement’ is marked on or near the front of the document; and</w:t>
      </w:r>
    </w:p>
    <w:p w14:paraId="78760D0E" w14:textId="77777777" w:rsidR="00E93F58" w:rsidRPr="00283424" w:rsidRDefault="00E93F58" w:rsidP="00B50726">
      <w:pPr>
        <w:pStyle w:val="paragraph"/>
      </w:pPr>
      <w:r w:rsidRPr="00283424">
        <w:tab/>
        <w:t>(e)</w:t>
      </w:r>
      <w:r w:rsidRPr="00283424">
        <w:tab/>
        <w:t>the document clearly and prominently discloses:</w:t>
      </w:r>
    </w:p>
    <w:p w14:paraId="63DFD821" w14:textId="77777777" w:rsidR="00E93F58" w:rsidRPr="00283424" w:rsidRDefault="00E93F58" w:rsidP="00B50726">
      <w:pPr>
        <w:pStyle w:val="paragraphsub"/>
      </w:pPr>
      <w:r w:rsidRPr="00283424">
        <w:tab/>
        <w:t>(i)</w:t>
      </w:r>
      <w:r w:rsidRPr="00283424">
        <w:tab/>
        <w:t>the identity of the providing entity and the product issuer; and</w:t>
      </w:r>
    </w:p>
    <w:p w14:paraId="1D73688B" w14:textId="77777777" w:rsidR="00E93F58" w:rsidRPr="00283424" w:rsidRDefault="00E93F58" w:rsidP="00B50726">
      <w:pPr>
        <w:pStyle w:val="paragraphsub"/>
      </w:pPr>
      <w:r w:rsidRPr="00283424">
        <w:tab/>
        <w:t>(ii)</w:t>
      </w:r>
      <w:r w:rsidRPr="00283424">
        <w:tab/>
        <w:t>the nature of the relationship between the providing entity and the product issuer; and</w:t>
      </w:r>
    </w:p>
    <w:p w14:paraId="6F7E6E51" w14:textId="77777777" w:rsidR="00E93F58" w:rsidRPr="00283424" w:rsidRDefault="00E93F58" w:rsidP="00B50726">
      <w:pPr>
        <w:pStyle w:val="paragraphsub"/>
      </w:pPr>
      <w:r w:rsidRPr="00283424">
        <w:tab/>
        <w:t>(iii)</w:t>
      </w:r>
      <w:r w:rsidRPr="00283424">
        <w:tab/>
        <w:t>the liability of the providing entity and the product issuer in relation to the document; and</w:t>
      </w:r>
    </w:p>
    <w:p w14:paraId="605B00C0" w14:textId="77777777" w:rsidR="00E93F58" w:rsidRPr="00283424" w:rsidRDefault="00E93F58" w:rsidP="00B50726">
      <w:pPr>
        <w:pStyle w:val="paragraph"/>
      </w:pPr>
      <w:r w:rsidRPr="00283424">
        <w:tab/>
        <w:t>(f)</w:t>
      </w:r>
      <w:r w:rsidRPr="00283424">
        <w:tab/>
        <w:t>the document is provided to a client at the earlier of the time at which a Financial Services Guide must be provided and the time at which a Product Disclosure Statement must be provided.</w:t>
      </w:r>
    </w:p>
    <w:p w14:paraId="1E38B22C" w14:textId="77777777" w:rsidR="00E93F58" w:rsidRPr="00283424" w:rsidRDefault="00E93F58" w:rsidP="00B50726">
      <w:pPr>
        <w:pStyle w:val="subsection"/>
      </w:pPr>
      <w:r w:rsidRPr="00283424">
        <w:tab/>
        <w:t>(4)</w:t>
      </w:r>
      <w:r w:rsidRPr="00283424">
        <w:tab/>
        <w:t>For the single document:</w:t>
      </w:r>
    </w:p>
    <w:p w14:paraId="00181575" w14:textId="77777777" w:rsidR="00E93F58" w:rsidRPr="00283424" w:rsidRDefault="00E93F58" w:rsidP="00B50726">
      <w:pPr>
        <w:pStyle w:val="paragraph"/>
      </w:pPr>
      <w:r w:rsidRPr="00283424">
        <w:tab/>
        <w:t>(a)</w:t>
      </w:r>
      <w:r w:rsidRPr="00283424">
        <w:tab/>
        <w:t>the Financial Services Guide and the Product Disclosure Statement may provide for matters by the use of cross</w:t>
      </w:r>
      <w:r>
        <w:noBreakHyphen/>
      </w:r>
      <w:r w:rsidRPr="00283424">
        <w:t>references to each other rather than by fully setting out material; and</w:t>
      </w:r>
    </w:p>
    <w:p w14:paraId="36FBEA51" w14:textId="77777777" w:rsidR="00E93F58" w:rsidRPr="00283424" w:rsidRDefault="00E93F58" w:rsidP="00B50726">
      <w:pPr>
        <w:pStyle w:val="paragraph"/>
      </w:pPr>
      <w:r w:rsidRPr="00283424">
        <w:tab/>
        <w:t>(b)</w:t>
      </w:r>
      <w:r w:rsidRPr="00283424">
        <w:tab/>
        <w:t>if the document includes cross</w:t>
      </w:r>
      <w:r>
        <w:noBreakHyphen/>
      </w:r>
      <w:r w:rsidRPr="00283424">
        <w:t>references:</w:t>
      </w:r>
    </w:p>
    <w:p w14:paraId="795903D5" w14:textId="77777777" w:rsidR="00E93F58" w:rsidRPr="00283424" w:rsidRDefault="00E93F58" w:rsidP="00B50726">
      <w:pPr>
        <w:pStyle w:val="paragraphsub"/>
      </w:pPr>
      <w:r w:rsidRPr="00283424">
        <w:tab/>
        <w:t>(i)</w:t>
      </w:r>
      <w:r w:rsidRPr="00283424">
        <w:tab/>
        <w:t>the document as a whole must include all of the information required by subsections 942B(6A) and 1013C(3) of the Act; and</w:t>
      </w:r>
    </w:p>
    <w:p w14:paraId="66F50B1F" w14:textId="77777777" w:rsidR="00E93F58" w:rsidRPr="00283424" w:rsidRDefault="00E93F58" w:rsidP="00B50726">
      <w:pPr>
        <w:pStyle w:val="paragraphsub"/>
      </w:pPr>
      <w:r w:rsidRPr="00283424">
        <w:tab/>
        <w:t>(ii)</w:t>
      </w:r>
      <w:r w:rsidRPr="00283424">
        <w:tab/>
        <w:t>the use of the cross</w:t>
      </w:r>
      <w:r>
        <w:noBreakHyphen/>
      </w:r>
      <w:r w:rsidRPr="00283424">
        <w:t>references must not have the effect that the document is misleading or deceptive.</w:t>
      </w:r>
    </w:p>
    <w:p w14:paraId="61B89121" w14:textId="77777777" w:rsidR="00E93F58" w:rsidRPr="00283424" w:rsidRDefault="00E93F58" w:rsidP="00B50726">
      <w:pPr>
        <w:pStyle w:val="ActHead3"/>
        <w:pageBreakBefore/>
      </w:pPr>
      <w:bookmarkStart w:id="1071" w:name="_Toc152054514"/>
      <w:bookmarkStart w:id="1072" w:name="_Toc158712330"/>
      <w:r w:rsidRPr="006F296E">
        <w:rPr>
          <w:rStyle w:val="CharDivNo"/>
        </w:rPr>
        <w:lastRenderedPageBreak/>
        <w:t>Division 2AA</w:t>
      </w:r>
      <w:r w:rsidRPr="00283424">
        <w:t>—</w:t>
      </w:r>
      <w:r w:rsidRPr="006F296E">
        <w:rPr>
          <w:rStyle w:val="CharDivText"/>
        </w:rPr>
        <w:t>Combined Financial Services Guide and credit guide</w:t>
      </w:r>
      <w:bookmarkEnd w:id="1071"/>
      <w:bookmarkEnd w:id="1072"/>
    </w:p>
    <w:p w14:paraId="00A49C46" w14:textId="77777777" w:rsidR="00E93F58" w:rsidRPr="00283424" w:rsidRDefault="00E93F58" w:rsidP="00B50726">
      <w:pPr>
        <w:pStyle w:val="ActHead5"/>
      </w:pPr>
      <w:bookmarkStart w:id="1073" w:name="_Toc152054515"/>
      <w:bookmarkStart w:id="1074" w:name="_Toc158712331"/>
      <w:r w:rsidRPr="006F296E">
        <w:rPr>
          <w:rStyle w:val="CharSectno"/>
        </w:rPr>
        <w:t>7.7.08B</w:t>
      </w:r>
      <w:r w:rsidRPr="00283424">
        <w:t xml:space="preserve">  Modification of section 942DA of the Act</w:t>
      </w:r>
      <w:bookmarkEnd w:id="1073"/>
      <w:bookmarkEnd w:id="1074"/>
    </w:p>
    <w:p w14:paraId="460BD184" w14:textId="77777777" w:rsidR="00E93F58" w:rsidRPr="00283424" w:rsidRDefault="00E93F58" w:rsidP="00B50726">
      <w:pPr>
        <w:pStyle w:val="subsection"/>
      </w:pPr>
      <w:r w:rsidRPr="00283424">
        <w:tab/>
        <w:t>(1)</w:t>
      </w:r>
      <w:r w:rsidRPr="00283424">
        <w:tab/>
        <w:t>For paragraph 951C(1)(c) of the Act, Part 7.7 of the Act applies as if section 942DA of the Act were modified by substituting the heading of the section with the following section heading and subsection heading:</w:t>
      </w:r>
    </w:p>
    <w:p w14:paraId="4E71959C" w14:textId="77777777" w:rsidR="00E93F58" w:rsidRPr="00283424" w:rsidRDefault="00E93F58" w:rsidP="00B50726">
      <w:pPr>
        <w:pStyle w:val="Specials"/>
      </w:pPr>
      <w:r w:rsidRPr="00283424">
        <w:t>‘942DA  Combining a Financial Services Guide and another instrument</w:t>
      </w:r>
    </w:p>
    <w:p w14:paraId="7685731C" w14:textId="77777777" w:rsidR="00E93F58" w:rsidRPr="00283424" w:rsidRDefault="00E93F58" w:rsidP="00B50726">
      <w:pPr>
        <w:pStyle w:val="SubsectionHead"/>
      </w:pPr>
      <w:r w:rsidRPr="00283424">
        <w:t>Financial Services Guide and a Product Disclosure Statement’.</w:t>
      </w:r>
    </w:p>
    <w:p w14:paraId="789DF985" w14:textId="77777777" w:rsidR="00E93F58" w:rsidRPr="00283424" w:rsidRDefault="00E93F58" w:rsidP="00B50726">
      <w:pPr>
        <w:pStyle w:val="subsection"/>
      </w:pPr>
      <w:r w:rsidRPr="00283424">
        <w:tab/>
        <w:t>(2)</w:t>
      </w:r>
      <w:r w:rsidRPr="00283424">
        <w:tab/>
        <w:t>Part 7.7 of the Act applies as if section 942DA of the Act were also modified by inserting after subsection (3) the following subsection heading and subsections:</w:t>
      </w:r>
    </w:p>
    <w:p w14:paraId="5F7A695D" w14:textId="77777777" w:rsidR="00E93F58" w:rsidRPr="00283424" w:rsidRDefault="00E93F58" w:rsidP="00B50726">
      <w:pPr>
        <w:pStyle w:val="SubsectionHead"/>
      </w:pPr>
      <w:r w:rsidRPr="00283424">
        <w:t>‘Financial Services Guide and a credit guide</w:t>
      </w:r>
    </w:p>
    <w:p w14:paraId="7628ECF9" w14:textId="77777777" w:rsidR="00E93F58" w:rsidRPr="00283424" w:rsidRDefault="00E93F58" w:rsidP="00B50726">
      <w:pPr>
        <w:pStyle w:val="subsection"/>
      </w:pPr>
      <w:r w:rsidRPr="00283424">
        <w:tab/>
        <w:t>(4)</w:t>
      </w:r>
      <w:r w:rsidRPr="00283424">
        <w:tab/>
        <w:t>If:</w:t>
      </w:r>
    </w:p>
    <w:p w14:paraId="1B1804A5" w14:textId="77777777" w:rsidR="00E93F58" w:rsidRPr="00283424" w:rsidRDefault="00E93F58" w:rsidP="00B50726">
      <w:pPr>
        <w:pStyle w:val="paragraph"/>
      </w:pPr>
      <w:r w:rsidRPr="00283424">
        <w:tab/>
        <w:t>(a)</w:t>
      </w:r>
      <w:r w:rsidRPr="00283424">
        <w:tab/>
        <w:t>a person:</w:t>
      </w:r>
    </w:p>
    <w:p w14:paraId="0376EEE9" w14:textId="77777777" w:rsidR="00E93F58" w:rsidRPr="00283424" w:rsidRDefault="00E93F58" w:rsidP="00B50726">
      <w:pPr>
        <w:pStyle w:val="paragraphsub"/>
      </w:pPr>
      <w:r w:rsidRPr="00283424">
        <w:tab/>
        <w:t>(i)</w:t>
      </w:r>
      <w:r w:rsidRPr="00283424">
        <w:tab/>
        <w:t>is:</w:t>
      </w:r>
    </w:p>
    <w:p w14:paraId="04B80045" w14:textId="77777777" w:rsidR="00E93F58" w:rsidRPr="00283424" w:rsidRDefault="00E93F58" w:rsidP="00B50726">
      <w:pPr>
        <w:pStyle w:val="paragraphsub-sub"/>
      </w:pPr>
      <w:r w:rsidRPr="00283424">
        <w:tab/>
        <w:t>(A)</w:t>
      </w:r>
      <w:r w:rsidRPr="00283424">
        <w:tab/>
        <w:t>a financial services licensee; or</w:t>
      </w:r>
    </w:p>
    <w:p w14:paraId="21EEFD35" w14:textId="77777777" w:rsidR="00E93F58" w:rsidRPr="00283424" w:rsidRDefault="00E93F58" w:rsidP="00B50726">
      <w:pPr>
        <w:pStyle w:val="paragraphsub-sub"/>
      </w:pPr>
      <w:r w:rsidRPr="00283424">
        <w:tab/>
        <w:t>(B)</w:t>
      </w:r>
      <w:r w:rsidRPr="00283424">
        <w:tab/>
        <w:t>an authorised representative of a financial services licensee; and</w:t>
      </w:r>
    </w:p>
    <w:p w14:paraId="68749F30" w14:textId="77777777" w:rsidR="00E93F58" w:rsidRPr="00283424" w:rsidRDefault="00E93F58" w:rsidP="00B50726">
      <w:pPr>
        <w:pStyle w:val="paragraphsub"/>
      </w:pPr>
      <w:r w:rsidRPr="00283424">
        <w:tab/>
        <w:t>(ii)</w:t>
      </w:r>
      <w:r w:rsidRPr="00283424">
        <w:tab/>
        <w:t>is required to give a Financial Services Guide to a client under this Act; and</w:t>
      </w:r>
    </w:p>
    <w:p w14:paraId="5D0BD279" w14:textId="77777777" w:rsidR="00E93F58" w:rsidRPr="00283424" w:rsidRDefault="00E93F58" w:rsidP="00B50726">
      <w:pPr>
        <w:pStyle w:val="paragraph"/>
      </w:pPr>
      <w:r w:rsidRPr="00283424">
        <w:tab/>
        <w:t>(b)</w:t>
      </w:r>
      <w:r w:rsidRPr="00283424">
        <w:tab/>
        <w:t>the person:</w:t>
      </w:r>
    </w:p>
    <w:p w14:paraId="29964439" w14:textId="77777777" w:rsidR="00E93F58" w:rsidRPr="00283424" w:rsidRDefault="00E93F58" w:rsidP="00B50726">
      <w:pPr>
        <w:pStyle w:val="paragraphsub"/>
      </w:pPr>
      <w:r w:rsidRPr="00283424">
        <w:tab/>
        <w:t>(i)</w:t>
      </w:r>
      <w:r w:rsidRPr="00283424">
        <w:tab/>
        <w:t>either:</w:t>
      </w:r>
    </w:p>
    <w:p w14:paraId="04C41780" w14:textId="77777777" w:rsidR="00E93F58" w:rsidRPr="00283424" w:rsidRDefault="00E93F58" w:rsidP="00B50726">
      <w:pPr>
        <w:pStyle w:val="paragraphsub-sub"/>
      </w:pPr>
      <w:r w:rsidRPr="00283424">
        <w:tab/>
        <w:t>(A)</w:t>
      </w:r>
      <w:r w:rsidRPr="00283424">
        <w:tab/>
        <w:t xml:space="preserve">holds an Australian credit licence under the </w:t>
      </w:r>
      <w:r w:rsidRPr="00283424">
        <w:rPr>
          <w:i/>
        </w:rPr>
        <w:t>National Consumer Credit Protection Act 2009</w:t>
      </w:r>
      <w:r w:rsidRPr="00283424">
        <w:t>; or</w:t>
      </w:r>
    </w:p>
    <w:p w14:paraId="71C64657" w14:textId="77777777" w:rsidR="00E93F58" w:rsidRPr="00283424" w:rsidRDefault="00E93F58" w:rsidP="00B50726">
      <w:pPr>
        <w:pStyle w:val="paragraphsub-sub"/>
      </w:pPr>
      <w:r w:rsidRPr="00283424">
        <w:tab/>
        <w:t>(B)</w:t>
      </w:r>
      <w:r w:rsidRPr="00283424">
        <w:tab/>
        <w:t xml:space="preserve">is a credit representative (within the same meaning as in the </w:t>
      </w:r>
      <w:r w:rsidRPr="00283424">
        <w:rPr>
          <w:i/>
        </w:rPr>
        <w:t>National Consumer Credit Protection Act 2009</w:t>
      </w:r>
      <w:r w:rsidRPr="00283424">
        <w:t>); and</w:t>
      </w:r>
    </w:p>
    <w:p w14:paraId="5E856453" w14:textId="77777777" w:rsidR="00E93F58" w:rsidRPr="00283424" w:rsidRDefault="00E93F58" w:rsidP="00B50726">
      <w:pPr>
        <w:pStyle w:val="paragraphsub"/>
      </w:pPr>
      <w:r w:rsidRPr="00283424">
        <w:tab/>
        <w:t>(ii)</w:t>
      </w:r>
      <w:r w:rsidRPr="00283424">
        <w:tab/>
        <w:t>is required to give a credit guide to a consumer under that Act;</w:t>
      </w:r>
    </w:p>
    <w:p w14:paraId="3E66B392" w14:textId="77777777" w:rsidR="00E93F58" w:rsidRPr="00283424" w:rsidRDefault="00E93F58" w:rsidP="00B50726">
      <w:pPr>
        <w:pStyle w:val="subsection2"/>
      </w:pPr>
      <w:r w:rsidRPr="00283424">
        <w:t>the person may combine the Financial Services Guide and credit guide in a single document.</w:t>
      </w:r>
    </w:p>
    <w:p w14:paraId="0503C5B4" w14:textId="77777777" w:rsidR="00E93F58" w:rsidRPr="00283424" w:rsidRDefault="00E93F58" w:rsidP="00B50726">
      <w:pPr>
        <w:pStyle w:val="subsection"/>
      </w:pPr>
      <w:r w:rsidRPr="00283424">
        <w:tab/>
        <w:t>(5)</w:t>
      </w:r>
      <w:r w:rsidRPr="00283424">
        <w:tab/>
        <w:t>If the person combines the Financial Services Guide and credit guide in a single document, any statements or information to be included in the credit guide that are identical to statements or information to be included in the Financial Services Guide need only be included once.’</w:t>
      </w:r>
    </w:p>
    <w:p w14:paraId="7CC43FD0" w14:textId="77777777" w:rsidR="00E93F58" w:rsidRPr="00283424" w:rsidRDefault="00E93F58" w:rsidP="00B50726">
      <w:pPr>
        <w:pStyle w:val="ActHead3"/>
        <w:pageBreakBefore/>
      </w:pPr>
      <w:bookmarkStart w:id="1075" w:name="_Toc152054516"/>
      <w:bookmarkStart w:id="1076" w:name="_Toc158712332"/>
      <w:r w:rsidRPr="006F296E">
        <w:rPr>
          <w:rStyle w:val="CharDivNo"/>
        </w:rPr>
        <w:lastRenderedPageBreak/>
        <w:t>Division 2B</w:t>
      </w:r>
      <w:r w:rsidRPr="00283424">
        <w:t>—</w:t>
      </w:r>
      <w:r w:rsidRPr="006F296E">
        <w:rPr>
          <w:rStyle w:val="CharDivText"/>
        </w:rPr>
        <w:t>Record of small investment advice</w:t>
      </w:r>
      <w:bookmarkEnd w:id="1075"/>
      <w:bookmarkEnd w:id="1076"/>
    </w:p>
    <w:p w14:paraId="0FD0FBF6" w14:textId="77777777" w:rsidR="00E93F58" w:rsidRPr="00283424" w:rsidRDefault="00E93F58" w:rsidP="00B50726">
      <w:pPr>
        <w:pStyle w:val="ActHead5"/>
      </w:pPr>
      <w:bookmarkStart w:id="1077" w:name="_Toc152054517"/>
      <w:bookmarkStart w:id="1078" w:name="_Toc158712333"/>
      <w:r w:rsidRPr="006F296E">
        <w:rPr>
          <w:rStyle w:val="CharSectno"/>
        </w:rPr>
        <w:t>7.7.08C</w:t>
      </w:r>
      <w:r w:rsidRPr="00283424">
        <w:t xml:space="preserve">  Record of small investment advice—content requirements</w:t>
      </w:r>
      <w:bookmarkEnd w:id="1077"/>
      <w:bookmarkEnd w:id="1078"/>
    </w:p>
    <w:p w14:paraId="5F5EC756" w14:textId="77777777" w:rsidR="00E93F58" w:rsidRPr="00283424" w:rsidRDefault="00E93F58" w:rsidP="00B50726">
      <w:pPr>
        <w:pStyle w:val="subsection"/>
      </w:pPr>
      <w:r w:rsidRPr="00283424">
        <w:tab/>
        <w:t>(1)</w:t>
      </w:r>
      <w:r w:rsidRPr="00283424">
        <w:tab/>
        <w:t>For subsection 946AA(4) of the Act, a record of advice to a client must set out:</w:t>
      </w:r>
    </w:p>
    <w:p w14:paraId="52120635" w14:textId="77777777" w:rsidR="00E93F58" w:rsidRPr="00283424" w:rsidRDefault="00E93F58" w:rsidP="00B50726">
      <w:pPr>
        <w:pStyle w:val="paragraph"/>
      </w:pPr>
      <w:r w:rsidRPr="00283424">
        <w:tab/>
        <w:t>(a)</w:t>
      </w:r>
      <w:r w:rsidRPr="00283424">
        <w:tab/>
        <w:t>the matters set out in subregulation (2); and</w:t>
      </w:r>
    </w:p>
    <w:p w14:paraId="18850289" w14:textId="77777777" w:rsidR="00E93F58" w:rsidRPr="00283424" w:rsidRDefault="00E93F58" w:rsidP="00B50726">
      <w:pPr>
        <w:pStyle w:val="paragraph"/>
      </w:pPr>
      <w:r w:rsidRPr="00283424">
        <w:tab/>
        <w:t>(b)</w:t>
      </w:r>
      <w:r w:rsidRPr="00283424">
        <w:tab/>
        <w:t>the information that, if a Statement of Advice were to be given, would be required in that statement by paragraphs 947B(2)(d) and (e) of the Act or paragraphs 947C(2)(e) and (f) of the Act.</w:t>
      </w:r>
    </w:p>
    <w:p w14:paraId="41BF0F19" w14:textId="77777777" w:rsidR="00E93F58" w:rsidRPr="00283424" w:rsidRDefault="00E93F58" w:rsidP="00B50726">
      <w:pPr>
        <w:pStyle w:val="subsection"/>
      </w:pPr>
      <w:r w:rsidRPr="00283424">
        <w:tab/>
        <w:t>(2)</w:t>
      </w:r>
      <w:r w:rsidRPr="00283424">
        <w:tab/>
        <w:t>For paragraph (1)(a), the matters that the record of advice must set out are:</w:t>
      </w:r>
    </w:p>
    <w:p w14:paraId="59B2F6F1" w14:textId="77777777" w:rsidR="00E93F58" w:rsidRPr="00283424" w:rsidRDefault="00E93F58" w:rsidP="00B50726">
      <w:pPr>
        <w:pStyle w:val="paragraph"/>
      </w:pPr>
      <w:r w:rsidRPr="00283424">
        <w:tab/>
        <w:t>(a)</w:t>
      </w:r>
      <w:r w:rsidRPr="00283424">
        <w:tab/>
        <w:t>brief particulars of the recommendations made to the client and the basis on which the recommendations are made; and</w:t>
      </w:r>
    </w:p>
    <w:p w14:paraId="41B8529E" w14:textId="77777777" w:rsidR="00E93F58" w:rsidRPr="00283424" w:rsidRDefault="00E93F58" w:rsidP="00B50726">
      <w:pPr>
        <w:pStyle w:val="paragraph"/>
      </w:pPr>
      <w:r w:rsidRPr="00283424">
        <w:tab/>
        <w:t>(b)</w:t>
      </w:r>
      <w:r w:rsidRPr="00283424">
        <w:tab/>
        <w:t>brief particulars of the information that would be required by subsection 947D(2) of the Act if a Statement of Advice were given to the client; and</w:t>
      </w:r>
    </w:p>
    <w:p w14:paraId="574653C9" w14:textId="77777777" w:rsidR="00E93F58" w:rsidRPr="00283424" w:rsidRDefault="00E93F58" w:rsidP="00B50726">
      <w:pPr>
        <w:pStyle w:val="paragraph"/>
      </w:pPr>
      <w:r w:rsidRPr="00283424">
        <w:tab/>
        <w:t>(c)</w:t>
      </w:r>
      <w:r w:rsidRPr="00283424">
        <w:tab/>
        <w:t>the statement that would be required by subsection 947D(3) of the Act if a Statement of Advice were given to the client.</w:t>
      </w:r>
    </w:p>
    <w:p w14:paraId="40091E6F" w14:textId="77777777" w:rsidR="00E93F58" w:rsidRPr="00283424" w:rsidRDefault="00E93F58" w:rsidP="00B50726">
      <w:pPr>
        <w:pStyle w:val="notetext"/>
      </w:pPr>
      <w:r w:rsidRPr="00283424">
        <w:t>Note:</w:t>
      </w:r>
      <w:r w:rsidRPr="00283424">
        <w:tab/>
        <w:t>A client is entitled to ask the providing entity for a record of advice and the providing entity must give a copy of the record of advice to the client—see paragraph 946AA(5)(a) of the Act.</w:t>
      </w:r>
    </w:p>
    <w:p w14:paraId="38E16F0D" w14:textId="77777777" w:rsidR="00E93F58" w:rsidRPr="00283424" w:rsidRDefault="00E93F58" w:rsidP="00B50726">
      <w:pPr>
        <w:pStyle w:val="ActHead3"/>
        <w:pageBreakBefore/>
        <w:rPr>
          <w:color w:val="000000"/>
        </w:rPr>
      </w:pPr>
      <w:bookmarkStart w:id="1079" w:name="_Toc152054518"/>
      <w:bookmarkStart w:id="1080" w:name="_Toc158712334"/>
      <w:r w:rsidRPr="006F296E">
        <w:rPr>
          <w:rStyle w:val="CharDivNo"/>
        </w:rPr>
        <w:lastRenderedPageBreak/>
        <w:t>Division 3</w:t>
      </w:r>
      <w:r w:rsidRPr="00283424">
        <w:rPr>
          <w:color w:val="000000"/>
        </w:rPr>
        <w:t>—</w:t>
      </w:r>
      <w:r w:rsidRPr="006F296E">
        <w:rPr>
          <w:rStyle w:val="CharDivText"/>
        </w:rPr>
        <w:t>Statement of Advice</w:t>
      </w:r>
      <w:bookmarkEnd w:id="1079"/>
      <w:bookmarkEnd w:id="1080"/>
    </w:p>
    <w:p w14:paraId="3B6E20B0" w14:textId="77777777" w:rsidR="00E93F58" w:rsidRPr="00283424" w:rsidRDefault="00E93F58" w:rsidP="00B50726">
      <w:pPr>
        <w:pStyle w:val="ActHead5"/>
      </w:pPr>
      <w:bookmarkStart w:id="1081" w:name="_Toc152054519"/>
      <w:bookmarkStart w:id="1082" w:name="_Toc158712335"/>
      <w:r w:rsidRPr="006F296E">
        <w:rPr>
          <w:rStyle w:val="CharSectno"/>
        </w:rPr>
        <w:t>7.7.09</w:t>
      </w:r>
      <w:r w:rsidRPr="00283424">
        <w:t xml:space="preserve">  Situations in which statement of advice is not required: further advice</w:t>
      </w:r>
      <w:bookmarkEnd w:id="1081"/>
      <w:bookmarkEnd w:id="1082"/>
    </w:p>
    <w:p w14:paraId="0AE8C70C" w14:textId="77777777" w:rsidR="00E93F58" w:rsidRPr="00283424" w:rsidRDefault="00E93F58" w:rsidP="00B50726">
      <w:pPr>
        <w:pStyle w:val="subsection"/>
      </w:pPr>
      <w:r w:rsidRPr="00283424">
        <w:tab/>
        <w:t>(1)</w:t>
      </w:r>
      <w:r w:rsidRPr="00283424">
        <w:tab/>
        <w:t>For subsection 946B(3A) of the Act, a record of advice must set out:</w:t>
      </w:r>
    </w:p>
    <w:p w14:paraId="1F28D94C" w14:textId="77777777" w:rsidR="00E93F58" w:rsidRPr="00283424" w:rsidRDefault="00E93F58" w:rsidP="00B50726">
      <w:pPr>
        <w:pStyle w:val="paragraph"/>
      </w:pPr>
      <w:r w:rsidRPr="00283424">
        <w:tab/>
        <w:t>(a)</w:t>
      </w:r>
      <w:r w:rsidRPr="00283424">
        <w:tab/>
        <w:t>the following:</w:t>
      </w:r>
    </w:p>
    <w:p w14:paraId="7D250C73" w14:textId="77777777" w:rsidR="00E93F58" w:rsidRPr="00283424" w:rsidRDefault="00E93F58" w:rsidP="00B50726">
      <w:pPr>
        <w:pStyle w:val="paragraphsub"/>
      </w:pPr>
      <w:r w:rsidRPr="00283424">
        <w:tab/>
        <w:t>(i)</w:t>
      </w:r>
      <w:r w:rsidRPr="00283424">
        <w:tab/>
        <w:t>the advice given to the client by the providing entity;</w:t>
      </w:r>
    </w:p>
    <w:p w14:paraId="115BA1CC" w14:textId="77777777" w:rsidR="00E93F58" w:rsidRPr="00283424" w:rsidRDefault="00E93F58" w:rsidP="00B50726">
      <w:pPr>
        <w:pStyle w:val="paragraphsub"/>
      </w:pPr>
      <w:r w:rsidRPr="00283424">
        <w:tab/>
        <w:t>(ii)</w:t>
      </w:r>
      <w:r w:rsidRPr="00283424">
        <w:tab/>
        <w:t>if information or a statement required by subsections 947D(2) and (3) is given—the information and statement; or</w:t>
      </w:r>
    </w:p>
    <w:p w14:paraId="035AD911" w14:textId="77777777" w:rsidR="00E93F58" w:rsidRPr="00283424" w:rsidRDefault="00E93F58" w:rsidP="00B50726">
      <w:pPr>
        <w:pStyle w:val="paragraph"/>
      </w:pPr>
      <w:r w:rsidRPr="00283424">
        <w:tab/>
        <w:t>(b)</w:t>
      </w:r>
      <w:r w:rsidRPr="00283424">
        <w:tab/>
        <w:t>the following:</w:t>
      </w:r>
    </w:p>
    <w:p w14:paraId="4F461F5E" w14:textId="77777777" w:rsidR="00E93F58" w:rsidRPr="00283424" w:rsidRDefault="00E93F58" w:rsidP="00B50726">
      <w:pPr>
        <w:pStyle w:val="paragraphsub"/>
      </w:pPr>
      <w:r w:rsidRPr="00283424">
        <w:tab/>
        <w:t>(i)</w:t>
      </w:r>
      <w:r w:rsidRPr="00283424">
        <w:tab/>
        <w:t>brief particulars of the recommendations made and the basis on which the recommendations are made;</w:t>
      </w:r>
    </w:p>
    <w:p w14:paraId="502E29D8" w14:textId="77777777" w:rsidR="00E93F58" w:rsidRPr="00283424" w:rsidRDefault="00E93F58" w:rsidP="00B50726">
      <w:pPr>
        <w:pStyle w:val="paragraphsub"/>
      </w:pPr>
      <w:r w:rsidRPr="00283424">
        <w:tab/>
        <w:t>(ii)</w:t>
      </w:r>
      <w:r w:rsidRPr="00283424">
        <w:tab/>
        <w:t>if information under subsection 947D(2) is given—brief particulars of the information;</w:t>
      </w:r>
    </w:p>
    <w:p w14:paraId="1608355D" w14:textId="77777777" w:rsidR="00E93F58" w:rsidRPr="00283424" w:rsidRDefault="00E93F58" w:rsidP="00B50726">
      <w:pPr>
        <w:pStyle w:val="paragraphsub"/>
      </w:pPr>
      <w:r w:rsidRPr="00283424">
        <w:tab/>
        <w:t>(iii)</w:t>
      </w:r>
      <w:r w:rsidRPr="00283424">
        <w:tab/>
        <w:t>if a statement under subsection 947D(3) is given—an acknowledgement that the statement has been given.</w:t>
      </w:r>
    </w:p>
    <w:p w14:paraId="53F3E7DB" w14:textId="77777777" w:rsidR="00E93F58" w:rsidRPr="00283424" w:rsidRDefault="00E93F58" w:rsidP="00B50726">
      <w:pPr>
        <w:pStyle w:val="subsection"/>
      </w:pPr>
      <w:r w:rsidRPr="00283424">
        <w:tab/>
        <w:t>(2)</w:t>
      </w:r>
      <w:r w:rsidRPr="00283424">
        <w:tab/>
        <w:t>The providing entity may keep the record in any form, for example, a tape recording.</w:t>
      </w:r>
    </w:p>
    <w:p w14:paraId="4F12A9CE" w14:textId="77777777" w:rsidR="00E93F58" w:rsidRPr="00283424" w:rsidRDefault="00E93F58" w:rsidP="00B50726">
      <w:pPr>
        <w:pStyle w:val="subsection"/>
      </w:pPr>
      <w:r w:rsidRPr="00283424">
        <w:tab/>
        <w:t>(3)</w:t>
      </w:r>
      <w:r w:rsidRPr="00283424">
        <w:tab/>
        <w:t>The providing entity must keep the record for 7 years after the day on which the further advice is provided.</w:t>
      </w:r>
    </w:p>
    <w:p w14:paraId="1A09173C" w14:textId="77777777" w:rsidR="00E93F58" w:rsidRPr="00283424" w:rsidRDefault="00E93F58" w:rsidP="00B50726">
      <w:pPr>
        <w:pStyle w:val="ActHead5"/>
      </w:pPr>
      <w:bookmarkStart w:id="1083" w:name="_Toc152054520"/>
      <w:bookmarkStart w:id="1084" w:name="_Toc158712336"/>
      <w:r w:rsidRPr="006F296E">
        <w:rPr>
          <w:rStyle w:val="CharSectno"/>
        </w:rPr>
        <w:t>7.7.09A</w:t>
      </w:r>
      <w:r w:rsidRPr="00283424">
        <w:t xml:space="preserve">  Situations in which Statement of Advice is not required: small investments threshold</w:t>
      </w:r>
      <w:bookmarkEnd w:id="1083"/>
      <w:bookmarkEnd w:id="1084"/>
    </w:p>
    <w:p w14:paraId="69CD12A4" w14:textId="77777777" w:rsidR="00E93F58" w:rsidRPr="00283424" w:rsidRDefault="00E93F58" w:rsidP="00B50726">
      <w:pPr>
        <w:pStyle w:val="subsection"/>
      </w:pPr>
      <w:r w:rsidRPr="00283424">
        <w:tab/>
        <w:t>(1)</w:t>
      </w:r>
      <w:r w:rsidRPr="00283424">
        <w:tab/>
        <w:t>For subparagraph 946AA(1)(a)(i) of the Act, the threshold amount is $15 000.</w:t>
      </w:r>
    </w:p>
    <w:p w14:paraId="7B51001B" w14:textId="77777777" w:rsidR="00E93F58" w:rsidRPr="00283424" w:rsidRDefault="00E93F58" w:rsidP="00B50726">
      <w:pPr>
        <w:pStyle w:val="subsection"/>
      </w:pPr>
      <w:r w:rsidRPr="00283424">
        <w:tab/>
        <w:t>(2)</w:t>
      </w:r>
      <w:r w:rsidRPr="00283424">
        <w:tab/>
        <w:t>Subregulations (3) and (4) apply to each of the following financial products:</w:t>
      </w:r>
    </w:p>
    <w:p w14:paraId="6D7E068A" w14:textId="77777777" w:rsidR="00E93F58" w:rsidRPr="00283424" w:rsidRDefault="00E93F58" w:rsidP="00B50726">
      <w:pPr>
        <w:pStyle w:val="paragraph"/>
      </w:pPr>
      <w:r w:rsidRPr="00283424">
        <w:tab/>
        <w:t>(a)</w:t>
      </w:r>
      <w:r w:rsidRPr="00283424">
        <w:tab/>
        <w:t>shares;</w:t>
      </w:r>
    </w:p>
    <w:p w14:paraId="16CDCA5B" w14:textId="77777777" w:rsidR="00E93F58" w:rsidRPr="00283424" w:rsidRDefault="00E93F58" w:rsidP="00B50726">
      <w:pPr>
        <w:pStyle w:val="paragraph"/>
      </w:pPr>
      <w:r w:rsidRPr="00283424">
        <w:tab/>
        <w:t>(b)</w:t>
      </w:r>
      <w:r w:rsidRPr="00283424">
        <w:tab/>
        <w:t>rights issues;</w:t>
      </w:r>
    </w:p>
    <w:p w14:paraId="6FD8C006" w14:textId="77777777" w:rsidR="00E93F58" w:rsidRPr="00283424" w:rsidRDefault="00E93F58" w:rsidP="00B50726">
      <w:pPr>
        <w:pStyle w:val="paragraph"/>
      </w:pPr>
      <w:r w:rsidRPr="00283424">
        <w:tab/>
        <w:t>(c)</w:t>
      </w:r>
      <w:r w:rsidRPr="00283424">
        <w:tab/>
        <w:t>options over unissued shares;</w:t>
      </w:r>
    </w:p>
    <w:p w14:paraId="694BA482" w14:textId="77777777" w:rsidR="00E93F58" w:rsidRPr="00283424" w:rsidRDefault="00E93F58" w:rsidP="00B50726">
      <w:pPr>
        <w:pStyle w:val="paragraph"/>
      </w:pPr>
      <w:r w:rsidRPr="00283424">
        <w:tab/>
        <w:t>(d)</w:t>
      </w:r>
      <w:r w:rsidRPr="00283424">
        <w:tab/>
        <w:t>partly paid shares;</w:t>
      </w:r>
    </w:p>
    <w:p w14:paraId="15F2F2A9" w14:textId="77777777" w:rsidR="00E93F58" w:rsidRPr="00283424" w:rsidRDefault="00E93F58" w:rsidP="00B50726">
      <w:pPr>
        <w:pStyle w:val="paragraph"/>
      </w:pPr>
      <w:r w:rsidRPr="00283424">
        <w:tab/>
        <w:t>(e)</w:t>
      </w:r>
      <w:r w:rsidRPr="00283424">
        <w:tab/>
        <w:t>debentures;</w:t>
      </w:r>
    </w:p>
    <w:p w14:paraId="2453F24C" w14:textId="77777777" w:rsidR="00E93F58" w:rsidRPr="00283424" w:rsidRDefault="00E93F58" w:rsidP="00B50726">
      <w:pPr>
        <w:pStyle w:val="paragraph"/>
      </w:pPr>
      <w:r w:rsidRPr="00283424">
        <w:tab/>
        <w:t>(f)</w:t>
      </w:r>
      <w:r w:rsidRPr="00283424">
        <w:tab/>
        <w:t>stapled securities;</w:t>
      </w:r>
    </w:p>
    <w:p w14:paraId="43830A3A" w14:textId="77777777" w:rsidR="00E93F58" w:rsidRPr="00283424" w:rsidRDefault="00E93F58" w:rsidP="00B50726">
      <w:pPr>
        <w:pStyle w:val="paragraph"/>
      </w:pPr>
      <w:r w:rsidRPr="00283424">
        <w:tab/>
        <w:t>(g)</w:t>
      </w:r>
      <w:r w:rsidRPr="00283424">
        <w:tab/>
        <w:t>securities in a CCIV.</w:t>
      </w:r>
    </w:p>
    <w:p w14:paraId="152C2AE4" w14:textId="77777777" w:rsidR="00E93F58" w:rsidRPr="00283424" w:rsidRDefault="00E93F58" w:rsidP="00B50726">
      <w:pPr>
        <w:pStyle w:val="subsection"/>
      </w:pPr>
      <w:r w:rsidRPr="00283424">
        <w:tab/>
        <w:t>(3)</w:t>
      </w:r>
      <w:r w:rsidRPr="00283424">
        <w:tab/>
        <w:t>For small investment advice to a client that is related to the acquisition of one or more of the financial products listed in paragraphs (2)(a) to (g), the threshold amount in subregulation (1) must be calculated to include the total value of all financial investments that would be committed to by the client if the advice were accepted by the client.</w:t>
      </w:r>
    </w:p>
    <w:p w14:paraId="5A761BCF" w14:textId="77777777" w:rsidR="00E93F58" w:rsidRPr="00283424" w:rsidRDefault="00E93F58" w:rsidP="00B50726">
      <w:pPr>
        <w:pStyle w:val="notetext"/>
      </w:pPr>
      <w:r w:rsidRPr="00283424">
        <w:t>Examples:</w:t>
      </w:r>
    </w:p>
    <w:p w14:paraId="0015A9C6" w14:textId="77777777" w:rsidR="00E93F58" w:rsidRPr="00283424" w:rsidRDefault="00E93F58" w:rsidP="00B50726">
      <w:pPr>
        <w:pStyle w:val="notetext"/>
      </w:pPr>
      <w:r w:rsidRPr="00283424">
        <w:t>1</w:t>
      </w:r>
      <w:r w:rsidRPr="00283424">
        <w:tab/>
        <w:t>If the small investment advice related to the purchase of options over unissued shares the total cost of the options would be both the cost to buy the options and the cost of the exercise price on the face of the options.</w:t>
      </w:r>
    </w:p>
    <w:p w14:paraId="5A1EAEAD" w14:textId="77777777" w:rsidR="00E93F58" w:rsidRPr="00283424" w:rsidRDefault="00E93F58" w:rsidP="00B50726">
      <w:pPr>
        <w:pStyle w:val="notetext"/>
      </w:pPr>
      <w:r w:rsidRPr="00283424">
        <w:t>2</w:t>
      </w:r>
      <w:r w:rsidRPr="00283424">
        <w:tab/>
        <w:t>If the small investment advice relates to the purchase of partly paid shares the total cost of the shares must be calculated as if all calls had been made on the shares.</w:t>
      </w:r>
    </w:p>
    <w:p w14:paraId="662000F5" w14:textId="77777777" w:rsidR="00E93F58" w:rsidRPr="00283424" w:rsidRDefault="00E93F58" w:rsidP="00B50726">
      <w:pPr>
        <w:pStyle w:val="notetext"/>
      </w:pPr>
      <w:r w:rsidRPr="00283424">
        <w:t>Note:</w:t>
      </w:r>
      <w:r w:rsidRPr="00283424">
        <w:tab/>
        <w:t>The total value of all financial investments in relation to which small investment advice is provided is calculated in accordance with subsection 946AA(2) of the Act.</w:t>
      </w:r>
    </w:p>
    <w:p w14:paraId="74D1A3DF" w14:textId="77777777" w:rsidR="00E93F58" w:rsidRPr="00283424" w:rsidRDefault="00E93F58" w:rsidP="00B50726">
      <w:pPr>
        <w:pStyle w:val="subsection"/>
      </w:pPr>
      <w:r w:rsidRPr="00283424">
        <w:tab/>
        <w:t>(4)</w:t>
      </w:r>
      <w:r w:rsidRPr="00283424">
        <w:tab/>
        <w:t>For small investment advice to a client that is related to the disposal of one or more of the financial products listed in paragraphs (2)(a) to (g), the threshold amount in subregulation (1) must be calculated to include the total value of all financial investments that would be disposed of by the client if the advice were accepted by the client.</w:t>
      </w:r>
    </w:p>
    <w:p w14:paraId="29889F4B" w14:textId="77777777" w:rsidR="00E93F58" w:rsidRPr="00283424" w:rsidRDefault="00E93F58" w:rsidP="00B50726">
      <w:pPr>
        <w:pStyle w:val="notetext"/>
      </w:pPr>
      <w:r w:rsidRPr="00283424">
        <w:t>Note:</w:t>
      </w:r>
      <w:r w:rsidRPr="00283424">
        <w:tab/>
        <w:t>The total value of all financial investments in relation to which small investment advice is provided is calculated in accordance with subsection 946AA(2) of the Act.</w:t>
      </w:r>
    </w:p>
    <w:p w14:paraId="7953CEB1" w14:textId="77777777" w:rsidR="00E93F58" w:rsidRPr="00283424" w:rsidRDefault="00E93F58" w:rsidP="00B50726">
      <w:pPr>
        <w:pStyle w:val="subsection"/>
      </w:pPr>
      <w:r w:rsidRPr="00283424">
        <w:tab/>
        <w:t>(5)</w:t>
      </w:r>
      <w:r w:rsidRPr="00283424">
        <w:tab/>
        <w:t>Subregulations (6) and (7) apply to each of the following financial products:</w:t>
      </w:r>
    </w:p>
    <w:p w14:paraId="1F2D6353" w14:textId="77777777" w:rsidR="00E93F58" w:rsidRPr="00283424" w:rsidRDefault="00E93F58" w:rsidP="00B50726">
      <w:pPr>
        <w:pStyle w:val="paragraph"/>
      </w:pPr>
      <w:r w:rsidRPr="00283424">
        <w:tab/>
        <w:t>(a)</w:t>
      </w:r>
      <w:r w:rsidRPr="00283424">
        <w:tab/>
        <w:t>superannuation;</w:t>
      </w:r>
    </w:p>
    <w:p w14:paraId="2B4826EB" w14:textId="77777777" w:rsidR="00E93F58" w:rsidRPr="00283424" w:rsidRDefault="00E93F58" w:rsidP="00B50726">
      <w:pPr>
        <w:pStyle w:val="paragraph"/>
      </w:pPr>
      <w:r w:rsidRPr="00283424">
        <w:tab/>
        <w:t>(b)</w:t>
      </w:r>
      <w:r w:rsidRPr="00283424">
        <w:tab/>
        <w:t>managed investment schemes;</w:t>
      </w:r>
    </w:p>
    <w:p w14:paraId="0A09CEF4" w14:textId="77777777" w:rsidR="00E93F58" w:rsidRPr="00283424" w:rsidRDefault="00E93F58" w:rsidP="00B50726">
      <w:pPr>
        <w:pStyle w:val="paragraph"/>
      </w:pPr>
      <w:r w:rsidRPr="00283424">
        <w:tab/>
        <w:t>(c)</w:t>
      </w:r>
      <w:r w:rsidRPr="00283424">
        <w:tab/>
        <w:t>non</w:t>
      </w:r>
      <w:r>
        <w:noBreakHyphen/>
      </w:r>
      <w:r w:rsidRPr="00283424">
        <w:t>derivative instalment warrants.</w:t>
      </w:r>
    </w:p>
    <w:p w14:paraId="3555285B" w14:textId="77777777" w:rsidR="00E93F58" w:rsidRPr="00283424" w:rsidRDefault="00E93F58" w:rsidP="00B50726">
      <w:pPr>
        <w:pStyle w:val="subsection"/>
      </w:pPr>
      <w:r w:rsidRPr="00283424">
        <w:lastRenderedPageBreak/>
        <w:tab/>
        <w:t>(6)</w:t>
      </w:r>
      <w:r w:rsidRPr="00283424">
        <w:tab/>
        <w:t>For small investment advice to a client that is related to the acquisition of one or more of the financial products listed in paragraphs (5)(a) to (c), the threshold amount in subregulation (1) must be calculated to include:</w:t>
      </w:r>
    </w:p>
    <w:p w14:paraId="1EF9EA00" w14:textId="77777777" w:rsidR="00E93F58" w:rsidRPr="00283424" w:rsidRDefault="00E93F58" w:rsidP="00B50726">
      <w:pPr>
        <w:pStyle w:val="paragraph"/>
      </w:pPr>
      <w:r w:rsidRPr="00283424">
        <w:tab/>
        <w:t>(a)</w:t>
      </w:r>
      <w:r w:rsidRPr="00283424">
        <w:tab/>
        <w:t>both:</w:t>
      </w:r>
    </w:p>
    <w:p w14:paraId="7492CBA7" w14:textId="77777777" w:rsidR="00E93F58" w:rsidRPr="00283424" w:rsidRDefault="00E93F58" w:rsidP="00B50726">
      <w:pPr>
        <w:pStyle w:val="paragraphsub"/>
      </w:pPr>
      <w:r w:rsidRPr="00283424">
        <w:tab/>
        <w:t>(i)</w:t>
      </w:r>
      <w:r w:rsidRPr="00283424">
        <w:tab/>
        <w:t>the cost to the client of the initial investment; and</w:t>
      </w:r>
    </w:p>
    <w:p w14:paraId="3E9BB4B6" w14:textId="77777777" w:rsidR="00E93F58" w:rsidRPr="00283424" w:rsidRDefault="00E93F58" w:rsidP="00B50726">
      <w:pPr>
        <w:pStyle w:val="paragraphsub"/>
      </w:pPr>
      <w:r w:rsidRPr="00283424">
        <w:tab/>
        <w:t>(ii)</w:t>
      </w:r>
      <w:r w:rsidRPr="00283424">
        <w:tab/>
        <w:t>other amounts that would be committed to by the client if the advice is taken; and</w:t>
      </w:r>
    </w:p>
    <w:p w14:paraId="76708B72" w14:textId="77777777" w:rsidR="00E93F58" w:rsidRPr="00283424" w:rsidRDefault="00E93F58" w:rsidP="00B50726">
      <w:pPr>
        <w:pStyle w:val="paragraph"/>
      </w:pPr>
      <w:r w:rsidRPr="00283424">
        <w:tab/>
        <w:t>(b)</w:t>
      </w:r>
      <w:r w:rsidRPr="00283424">
        <w:tab/>
        <w:t>if the investment is not finite—the value of the investment is calculated for the 12</w:t>
      </w:r>
      <w:r>
        <w:rPr>
          <w:rFonts w:eastAsia="MS Mincho"/>
        </w:rPr>
        <w:noBreakHyphen/>
      </w:r>
      <w:r w:rsidRPr="00283424">
        <w:t>month period beginning from the date that the record of advice is required by subregulation (10), (11) or (12) to be given to the client.</w:t>
      </w:r>
    </w:p>
    <w:p w14:paraId="56A292BE" w14:textId="77777777" w:rsidR="00E93F58" w:rsidRPr="00283424" w:rsidRDefault="00E93F58" w:rsidP="00B50726">
      <w:pPr>
        <w:pStyle w:val="notetext"/>
      </w:pPr>
      <w:r w:rsidRPr="00283424">
        <w:t>Examples:</w:t>
      </w:r>
    </w:p>
    <w:p w14:paraId="35E46674" w14:textId="77777777" w:rsidR="00E93F58" w:rsidRPr="00283424" w:rsidRDefault="00E93F58" w:rsidP="00B50726">
      <w:pPr>
        <w:pStyle w:val="notetext"/>
      </w:pPr>
      <w:r w:rsidRPr="00283424">
        <w:t>1</w:t>
      </w:r>
      <w:r w:rsidRPr="00283424">
        <w:tab/>
      </w:r>
      <w:r w:rsidRPr="00283424">
        <w:rPr>
          <w:b/>
        </w:rPr>
        <w:t>Advice given in relation to switching superannuation funds</w:t>
      </w:r>
    </w:p>
    <w:p w14:paraId="163B4B68" w14:textId="77777777" w:rsidR="00E93F58" w:rsidRPr="00283424" w:rsidRDefault="00E93F58" w:rsidP="00B50726">
      <w:pPr>
        <w:pStyle w:val="notetext"/>
      </w:pPr>
      <w:r w:rsidRPr="00283424">
        <w:tab/>
        <w:t>A person earning $50 000 per annum is given advice to switch an existing superannuation fund balance of $12 000 to another superannuation fund and direct all future superannuation guarantee contributions to that same fund. In this event the total of the superannuation guarantee contributions in the first 12</w:t>
      </w:r>
      <w:r>
        <w:rPr>
          <w:rFonts w:eastAsia="MS Mincho"/>
        </w:rPr>
        <w:noBreakHyphen/>
      </w:r>
      <w:r w:rsidRPr="00283424">
        <w:t>month period (ie $50 000 × 0.09 = $4 500) when added to the initial $12 000 transfer, would exceed the $15 000 threshold. In this example the exemption, in section 946AA of the Act, from the requirement to provide a Statement of Advice would not apply.</w:t>
      </w:r>
    </w:p>
    <w:p w14:paraId="7BC89165" w14:textId="77777777" w:rsidR="00E93F58" w:rsidRPr="00283424" w:rsidRDefault="00E93F58" w:rsidP="00B50726">
      <w:pPr>
        <w:pStyle w:val="notetext"/>
      </w:pPr>
      <w:r w:rsidRPr="00283424">
        <w:t>2</w:t>
      </w:r>
      <w:r w:rsidRPr="00283424">
        <w:tab/>
      </w:r>
      <w:r w:rsidRPr="00283424">
        <w:rPr>
          <w:b/>
        </w:rPr>
        <w:t>Advice given to acquire non</w:t>
      </w:r>
      <w:r>
        <w:rPr>
          <w:b/>
        </w:rPr>
        <w:noBreakHyphen/>
      </w:r>
      <w:r w:rsidRPr="00283424">
        <w:rPr>
          <w:b/>
        </w:rPr>
        <w:t>derivative instalment warrants</w:t>
      </w:r>
    </w:p>
    <w:p w14:paraId="587ECDDF" w14:textId="77777777" w:rsidR="00E93F58" w:rsidRPr="00283424" w:rsidRDefault="00E93F58" w:rsidP="00B50726">
      <w:pPr>
        <w:pStyle w:val="notetext"/>
      </w:pPr>
      <w:r w:rsidRPr="00283424">
        <w:tab/>
        <w:t>The terms of the non</w:t>
      </w:r>
      <w:r>
        <w:rPr>
          <w:rFonts w:eastAsia="MS Mincho"/>
        </w:rPr>
        <w:noBreakHyphen/>
      </w:r>
      <w:r w:rsidRPr="00283424">
        <w:t>derivative instalment warrants are that $10 000 must be paid initially, a second payment of $12 000 in 18 months time and a third and final payment of $12 000 in 3 years time. The investment advice, assuming the client has committed to implementing the advice, concerns a $34 000 investment and therefore the exemption, in section 946AA of the Act, from the requirement to provide a Statement of Advice would not apply.</w:t>
      </w:r>
    </w:p>
    <w:p w14:paraId="13ACB95C" w14:textId="77777777" w:rsidR="00E93F58" w:rsidRPr="00283424" w:rsidRDefault="00E93F58" w:rsidP="00B50726">
      <w:pPr>
        <w:pStyle w:val="notetext"/>
      </w:pPr>
      <w:r w:rsidRPr="00283424">
        <w:t>Note:</w:t>
      </w:r>
      <w:r w:rsidRPr="00283424">
        <w:tab/>
        <w:t>The total value of all financial investments in relation to which small investment advice is provided is calculated in accordance with subsection 946AA(2) of the Act.</w:t>
      </w:r>
    </w:p>
    <w:p w14:paraId="644FADA0" w14:textId="77777777" w:rsidR="00E93F58" w:rsidRPr="00283424" w:rsidRDefault="00E93F58" w:rsidP="00B50726">
      <w:pPr>
        <w:pStyle w:val="subsection"/>
      </w:pPr>
      <w:r w:rsidRPr="00283424">
        <w:tab/>
        <w:t>(7)</w:t>
      </w:r>
      <w:r w:rsidRPr="00283424">
        <w:tab/>
        <w:t>For small investment advice to a client that is related to the disposal of one or more of the financial products listed in paragraphs (5)(a) to (c), the threshold amount in subregulation (1) must be calculated to include:</w:t>
      </w:r>
    </w:p>
    <w:p w14:paraId="5FC4BD99" w14:textId="77777777" w:rsidR="00E93F58" w:rsidRPr="00283424" w:rsidRDefault="00E93F58" w:rsidP="00B50726">
      <w:pPr>
        <w:pStyle w:val="paragraph"/>
      </w:pPr>
      <w:r w:rsidRPr="00283424">
        <w:tab/>
        <w:t>(a)</w:t>
      </w:r>
      <w:r w:rsidRPr="00283424">
        <w:tab/>
        <w:t>the value to the client of the total divestment; and</w:t>
      </w:r>
    </w:p>
    <w:p w14:paraId="19AA74B2" w14:textId="77777777" w:rsidR="00E93F58" w:rsidRPr="00283424" w:rsidRDefault="00E93F58" w:rsidP="00B50726">
      <w:pPr>
        <w:pStyle w:val="paragraph"/>
      </w:pPr>
      <w:r w:rsidRPr="00283424">
        <w:tab/>
        <w:t>(b)</w:t>
      </w:r>
      <w:r w:rsidRPr="00283424">
        <w:tab/>
        <w:t>other amounts reasonably related to the divestment that would be expended if the advice is taken.</w:t>
      </w:r>
    </w:p>
    <w:p w14:paraId="3B4B8989" w14:textId="77777777" w:rsidR="00E93F58" w:rsidRPr="00283424" w:rsidRDefault="00E93F58" w:rsidP="00B50726">
      <w:pPr>
        <w:pStyle w:val="notetext"/>
      </w:pPr>
      <w:r w:rsidRPr="00283424">
        <w:t>Note:</w:t>
      </w:r>
      <w:r w:rsidRPr="00283424">
        <w:tab/>
        <w:t>The total value of all financial investments in relation to which small investment advice is provided is calculated in accordance with subsection 946AA(2) of the Act.</w:t>
      </w:r>
    </w:p>
    <w:p w14:paraId="5BE82170" w14:textId="77777777" w:rsidR="00E93F58" w:rsidRPr="00283424" w:rsidRDefault="00E93F58" w:rsidP="00B50726">
      <w:pPr>
        <w:pStyle w:val="subsection"/>
      </w:pPr>
      <w:r w:rsidRPr="00283424">
        <w:tab/>
        <w:t>(8)</w:t>
      </w:r>
      <w:r w:rsidRPr="00283424">
        <w:tab/>
        <w:t>If the total value of an investment, to which investment advice to a client relates, is not able to be ascertained under subsection 946AA(2) of the Act, the investment advice is taken to exceed the threshold amount in subregulation (1).</w:t>
      </w:r>
    </w:p>
    <w:p w14:paraId="7357A944" w14:textId="77777777" w:rsidR="00E93F58" w:rsidRPr="00283424" w:rsidRDefault="00E93F58" w:rsidP="00B50726">
      <w:pPr>
        <w:pStyle w:val="subsection"/>
      </w:pPr>
      <w:r w:rsidRPr="00283424">
        <w:tab/>
        <w:t>(9)</w:t>
      </w:r>
      <w:r w:rsidRPr="00283424">
        <w:tab/>
        <w:t>If an investment, to which investment advice relates, is jointly held by more than 1 client, the sum of the values of each client’s investment must be calculated to determine whether the threshold amount in subregulation (1) is exceeded.</w:t>
      </w:r>
    </w:p>
    <w:p w14:paraId="05057EE8" w14:textId="77777777" w:rsidR="00E93F58" w:rsidRPr="00283424" w:rsidRDefault="00E93F58" w:rsidP="00B50726">
      <w:pPr>
        <w:pStyle w:val="SubsectionHead"/>
      </w:pPr>
      <w:r w:rsidRPr="00283424">
        <w:t>When record of advice is given</w:t>
      </w:r>
    </w:p>
    <w:p w14:paraId="3EE23EA8" w14:textId="77777777" w:rsidR="00E93F58" w:rsidRPr="00283424" w:rsidRDefault="00E93F58" w:rsidP="00B50726">
      <w:pPr>
        <w:pStyle w:val="subsection"/>
      </w:pPr>
      <w:r w:rsidRPr="00283424">
        <w:tab/>
        <w:t>(10)</w:t>
      </w:r>
      <w:r w:rsidRPr="00283424">
        <w:tab/>
        <w:t>For subsection 946AA(4) of the Act, a record of advice is required to be given to a client when, or as soon as practicable after, investment advice is provided to the client and, in any event, subject to subregulation (12), before the providing entity provides the client with any further financial service that arises out of or in connection with the investment advice.</w:t>
      </w:r>
    </w:p>
    <w:p w14:paraId="088A8B9A" w14:textId="77777777" w:rsidR="00E93F58" w:rsidRPr="00283424" w:rsidRDefault="00E93F58" w:rsidP="00B50726">
      <w:pPr>
        <w:pStyle w:val="SubsectionHead"/>
      </w:pPr>
      <w:r w:rsidRPr="00283424">
        <w:t>Statement of certain information if record of advice not given when advice provided</w:t>
      </w:r>
    </w:p>
    <w:p w14:paraId="461A3AE2" w14:textId="77777777" w:rsidR="00E93F58" w:rsidRPr="00283424" w:rsidRDefault="00E93F58" w:rsidP="00B50726">
      <w:pPr>
        <w:pStyle w:val="subsection"/>
      </w:pPr>
      <w:r w:rsidRPr="00283424">
        <w:tab/>
        <w:t>(11)</w:t>
      </w:r>
      <w:r w:rsidRPr="00283424">
        <w:tab/>
        <w:t>If the record of advice is not given to the client when the investment advice is provided, the providing entity must, at the time the investment advice is provided, give the client a statement that contains the information that would be required to be in a Statement of Advice by:</w:t>
      </w:r>
    </w:p>
    <w:p w14:paraId="7751C2D2" w14:textId="77777777" w:rsidR="00E93F58" w:rsidRPr="00283424" w:rsidRDefault="00E93F58" w:rsidP="00B50726">
      <w:pPr>
        <w:pStyle w:val="paragraph"/>
      </w:pPr>
      <w:r w:rsidRPr="00283424">
        <w:tab/>
        <w:t>(a)</w:t>
      </w:r>
      <w:r w:rsidRPr="00283424">
        <w:tab/>
        <w:t>paragraphs 947B(2)(d) and (e) of the Act; or</w:t>
      </w:r>
    </w:p>
    <w:p w14:paraId="16ABE083" w14:textId="77777777" w:rsidR="00E93F58" w:rsidRPr="00283424" w:rsidRDefault="00E93F58" w:rsidP="00B50726">
      <w:pPr>
        <w:pStyle w:val="paragraph"/>
      </w:pPr>
      <w:r w:rsidRPr="00283424">
        <w:tab/>
        <w:t>(b)</w:t>
      </w:r>
      <w:r w:rsidRPr="00283424">
        <w:tab/>
        <w:t>paragraphs 947C(2)(e) and (f) of the Act;</w:t>
      </w:r>
    </w:p>
    <w:p w14:paraId="5AD0BC8F" w14:textId="77777777" w:rsidR="00E93F58" w:rsidRPr="00283424" w:rsidRDefault="00E93F58" w:rsidP="00B50726">
      <w:pPr>
        <w:pStyle w:val="subsection2"/>
      </w:pPr>
      <w:r w:rsidRPr="00283424">
        <w:t>as the case requires, and by section 947D of the Act, if applicable.</w:t>
      </w:r>
    </w:p>
    <w:p w14:paraId="14DE91EB" w14:textId="77777777" w:rsidR="00E93F58" w:rsidRPr="00283424" w:rsidRDefault="00E93F58" w:rsidP="00B50726">
      <w:pPr>
        <w:pStyle w:val="SubsectionHead"/>
      </w:pPr>
      <w:r w:rsidRPr="00283424">
        <w:t>Time</w:t>
      </w:r>
      <w:r>
        <w:noBreakHyphen/>
      </w:r>
      <w:r w:rsidRPr="00283424">
        <w:t>critical cases</w:t>
      </w:r>
    </w:p>
    <w:p w14:paraId="3990A14A" w14:textId="77777777" w:rsidR="00E93F58" w:rsidRPr="00283424" w:rsidRDefault="00E93F58" w:rsidP="00B50726">
      <w:pPr>
        <w:pStyle w:val="subsection"/>
      </w:pPr>
      <w:r w:rsidRPr="00283424">
        <w:tab/>
        <w:t>(12)</w:t>
      </w:r>
      <w:r w:rsidRPr="00283424">
        <w:tab/>
        <w:t>If:</w:t>
      </w:r>
    </w:p>
    <w:p w14:paraId="7C886135" w14:textId="77777777" w:rsidR="00E93F58" w:rsidRPr="00283424" w:rsidRDefault="00E93F58" w:rsidP="00B50726">
      <w:pPr>
        <w:pStyle w:val="paragraph"/>
      </w:pPr>
      <w:r w:rsidRPr="00283424">
        <w:tab/>
        <w:t>(a)</w:t>
      </w:r>
      <w:r w:rsidRPr="00283424">
        <w:tab/>
        <w:t>a client expressly instructs that they require a further financial service to be provided immediately, or by a specified time; and</w:t>
      </w:r>
    </w:p>
    <w:p w14:paraId="1706197B" w14:textId="77777777" w:rsidR="00E93F58" w:rsidRPr="00283424" w:rsidRDefault="00E93F58" w:rsidP="00B50726">
      <w:pPr>
        <w:pStyle w:val="paragraph"/>
      </w:pPr>
      <w:r w:rsidRPr="00283424">
        <w:lastRenderedPageBreak/>
        <w:tab/>
        <w:t>(b)</w:t>
      </w:r>
      <w:r w:rsidRPr="00283424">
        <w:tab/>
        <w:t>the further financial service arises out of, or in connection with, the investment advice given to the client; and</w:t>
      </w:r>
    </w:p>
    <w:p w14:paraId="600C3476" w14:textId="77777777" w:rsidR="00E93F58" w:rsidRPr="00283424" w:rsidRDefault="00E93F58" w:rsidP="00B50726">
      <w:pPr>
        <w:pStyle w:val="paragraph"/>
      </w:pPr>
      <w:r w:rsidRPr="00283424">
        <w:tab/>
        <w:t>(c)</w:t>
      </w:r>
      <w:r w:rsidRPr="00283424">
        <w:tab/>
        <w:t>it is not reasonably practicable to give a record of advice to the client before the further service is provided as so instructed;</w:t>
      </w:r>
    </w:p>
    <w:p w14:paraId="4F457639" w14:textId="77777777" w:rsidR="00E93F58" w:rsidRPr="00283424" w:rsidRDefault="00E93F58" w:rsidP="00B50726">
      <w:pPr>
        <w:pStyle w:val="subsection2"/>
      </w:pPr>
      <w:r w:rsidRPr="00283424">
        <w:t>the providing entity must give the client the record of advice:</w:t>
      </w:r>
    </w:p>
    <w:p w14:paraId="36D53D01" w14:textId="77777777" w:rsidR="00E93F58" w:rsidRPr="00283424" w:rsidRDefault="00E93F58" w:rsidP="00B50726">
      <w:pPr>
        <w:pStyle w:val="paragraph"/>
      </w:pPr>
      <w:r w:rsidRPr="00283424">
        <w:tab/>
        <w:t>(d)</w:t>
      </w:r>
      <w:r w:rsidRPr="00283424">
        <w:tab/>
        <w:t>unless paragraph (e) applies—within 5 days after providing the further service, or as soon as practicable; or</w:t>
      </w:r>
    </w:p>
    <w:p w14:paraId="2D92101A" w14:textId="77777777" w:rsidR="00E93F58" w:rsidRPr="00283424" w:rsidRDefault="00E93F58" w:rsidP="00B50726">
      <w:pPr>
        <w:pStyle w:val="paragraph"/>
      </w:pPr>
      <w:r w:rsidRPr="00283424">
        <w:tab/>
        <w:t>(e)</w:t>
      </w:r>
      <w:r w:rsidRPr="00283424">
        <w:tab/>
        <w:t>if the further financial service is the provision to the client of a financial product and section 1019B of the Act applies to the acquisition of the product by the client—before the start of the period applicable under subsection 1019B(3) of the Act, or sooner if practicable.</w:t>
      </w:r>
    </w:p>
    <w:p w14:paraId="57808CE3" w14:textId="77777777" w:rsidR="00E93F58" w:rsidRPr="00283424" w:rsidRDefault="00E93F58" w:rsidP="00B50726">
      <w:pPr>
        <w:pStyle w:val="ActHead5"/>
      </w:pPr>
      <w:bookmarkStart w:id="1085" w:name="_Toc152054521"/>
      <w:bookmarkStart w:id="1086" w:name="_Toc158712337"/>
      <w:r w:rsidRPr="006F296E">
        <w:rPr>
          <w:rStyle w:val="CharSectno"/>
        </w:rPr>
        <w:t>7.7.09AA</w:t>
      </w:r>
      <w:r w:rsidRPr="00283424">
        <w:t xml:space="preserve">  Statement of Advice from financial services licensee</w:t>
      </w:r>
      <w:bookmarkEnd w:id="1085"/>
      <w:bookmarkEnd w:id="1086"/>
    </w:p>
    <w:p w14:paraId="79A9B954" w14:textId="77777777" w:rsidR="00E93F58" w:rsidRPr="00283424" w:rsidRDefault="00E93F58" w:rsidP="00B50726">
      <w:pPr>
        <w:pStyle w:val="subsection"/>
      </w:pPr>
      <w:r w:rsidRPr="00283424">
        <w:tab/>
        <w:t>(1)</w:t>
      </w:r>
      <w:r w:rsidRPr="00283424">
        <w:tab/>
        <w:t>For paragraph 947B(2)(g) of the Act, a Statement of Advice given by a financial services licensee in relation to a margin lending facility, or a margin lending facility whose limit is proposed to be increased, within the meaning of subsection 761EA(1) of the Act must include the following information:</w:t>
      </w:r>
    </w:p>
    <w:p w14:paraId="7F37B5AF" w14:textId="77777777" w:rsidR="00E93F58" w:rsidRPr="00283424" w:rsidRDefault="00E93F58" w:rsidP="00B50726">
      <w:pPr>
        <w:pStyle w:val="paragraph"/>
      </w:pPr>
      <w:r w:rsidRPr="00283424">
        <w:tab/>
        <w:t>(a)</w:t>
      </w:r>
      <w:r w:rsidRPr="00283424">
        <w:tab/>
        <w:t>whether the client has taken out a loan to fund the secured property or transferred securities contributed by the client for establishing the margin lending facility;</w:t>
      </w:r>
    </w:p>
    <w:p w14:paraId="1742099D" w14:textId="77777777" w:rsidR="00E93F58" w:rsidRPr="00283424" w:rsidRDefault="00E93F58" w:rsidP="00B50726">
      <w:pPr>
        <w:pStyle w:val="notetext"/>
      </w:pPr>
      <w:r w:rsidRPr="00283424">
        <w:rPr>
          <w:iCs/>
        </w:rPr>
        <w:t>Note:</w:t>
      </w:r>
      <w:r w:rsidRPr="00283424">
        <w:rPr>
          <w:iCs/>
        </w:rPr>
        <w:tab/>
      </w:r>
      <w:r w:rsidRPr="00283424">
        <w:t>This is sometimes referred to as ‘double gearing’.</w:t>
      </w:r>
    </w:p>
    <w:p w14:paraId="5B779C6F" w14:textId="77777777" w:rsidR="00E93F58" w:rsidRPr="00283424" w:rsidRDefault="00E93F58" w:rsidP="00B50726">
      <w:pPr>
        <w:pStyle w:val="paragraph"/>
      </w:pPr>
      <w:r w:rsidRPr="00283424">
        <w:tab/>
        <w:t>(b)</w:t>
      </w:r>
      <w:r w:rsidRPr="00283424">
        <w:tab/>
        <w:t>if a loan to fund the secured property or transferred securities contributed by the client for establishing the margin lending facility has been taken out—whether the security for the loan includes the primary residential property of the client;</w:t>
      </w:r>
    </w:p>
    <w:p w14:paraId="16B92458" w14:textId="77777777" w:rsidR="00E93F58" w:rsidRPr="00283424" w:rsidRDefault="00E93F58" w:rsidP="00B50726">
      <w:pPr>
        <w:pStyle w:val="paragraph"/>
      </w:pPr>
      <w:r w:rsidRPr="00283424">
        <w:tab/>
        <w:t>(c)</w:t>
      </w:r>
      <w:r w:rsidRPr="00283424">
        <w:tab/>
        <w:t>whether there is a guarantor for the margin lending facility, and, if so:</w:t>
      </w:r>
    </w:p>
    <w:p w14:paraId="57B40B86" w14:textId="77777777" w:rsidR="00E93F58" w:rsidRPr="00283424" w:rsidRDefault="00E93F58" w:rsidP="00B50726">
      <w:pPr>
        <w:pStyle w:val="paragraphsub"/>
      </w:pPr>
      <w:r w:rsidRPr="00283424">
        <w:tab/>
        <w:t>(i)</w:t>
      </w:r>
      <w:r w:rsidRPr="00283424">
        <w:tab/>
        <w:t>if the financial services licensee has the necessary information—a statement as to whether the guarantor has been appropriately informed of, and warned about, the risks and possible consequences of providing the guarantee; or</w:t>
      </w:r>
    </w:p>
    <w:p w14:paraId="312AFF6E" w14:textId="77777777" w:rsidR="00E93F58" w:rsidRPr="00283424" w:rsidRDefault="00E93F58" w:rsidP="00B50726">
      <w:pPr>
        <w:pStyle w:val="paragraphsub"/>
      </w:pPr>
      <w:r w:rsidRPr="00283424">
        <w:tab/>
        <w:t>(ii)</w:t>
      </w:r>
      <w:r w:rsidRPr="00283424">
        <w:tab/>
        <w:t>if the financial services licensee does not have the necessary information—a statement that the financial services licensee does not have the information;</w:t>
      </w:r>
    </w:p>
    <w:p w14:paraId="5995DA14" w14:textId="77777777" w:rsidR="00E93F58" w:rsidRPr="00283424" w:rsidRDefault="00E93F58" w:rsidP="00B50726">
      <w:pPr>
        <w:pStyle w:val="paragraph"/>
      </w:pPr>
      <w:r w:rsidRPr="00283424">
        <w:tab/>
        <w:t>(d)</w:t>
      </w:r>
      <w:r w:rsidRPr="00283424">
        <w:tab/>
        <w:t>the amount of any other debt incurred by the client;</w:t>
      </w:r>
    </w:p>
    <w:p w14:paraId="64DC172B" w14:textId="77777777" w:rsidR="00E93F58" w:rsidRPr="00283424" w:rsidRDefault="00E93F58" w:rsidP="00B50726">
      <w:pPr>
        <w:pStyle w:val="paragraph"/>
      </w:pPr>
      <w:r w:rsidRPr="00283424">
        <w:tab/>
        <w:t>(e)</w:t>
      </w:r>
      <w:r w:rsidRPr="00283424">
        <w:tab/>
        <w:t>any other matter that ASIC has specified in a legislative instrument for subregulation (2).</w:t>
      </w:r>
    </w:p>
    <w:p w14:paraId="6A71A7A8" w14:textId="77777777" w:rsidR="00E93F58" w:rsidRPr="00283424" w:rsidRDefault="00E93F58" w:rsidP="00B50726">
      <w:pPr>
        <w:pStyle w:val="subsection"/>
      </w:pPr>
      <w:r w:rsidRPr="00283424">
        <w:tab/>
        <w:t>(2)</w:t>
      </w:r>
      <w:r w:rsidRPr="00283424">
        <w:tab/>
        <w:t>ASIC may specify in a legislative instrument any matter ASIC considers to be relevant for the purpose of establishing whether the margin lending facility, or the margin lending facility with the increased limit, is unsuitable for the client.</w:t>
      </w:r>
    </w:p>
    <w:p w14:paraId="2539CC79" w14:textId="77777777" w:rsidR="00E93F58" w:rsidRPr="00283424" w:rsidRDefault="00E93F58" w:rsidP="00B50726">
      <w:pPr>
        <w:pStyle w:val="ActHead5"/>
      </w:pPr>
      <w:bookmarkStart w:id="1087" w:name="_Toc152054522"/>
      <w:bookmarkStart w:id="1088" w:name="_Toc158712338"/>
      <w:r w:rsidRPr="006F296E">
        <w:rPr>
          <w:rStyle w:val="CharSectno"/>
        </w:rPr>
        <w:t>7.7.09AB</w:t>
      </w:r>
      <w:r w:rsidRPr="00283424">
        <w:t xml:space="preserve">  Modification of subsection 947B(4) of the Act</w:t>
      </w:r>
      <w:bookmarkEnd w:id="1087"/>
      <w:bookmarkEnd w:id="1088"/>
    </w:p>
    <w:p w14:paraId="3565FBC6" w14:textId="77777777" w:rsidR="00E93F58" w:rsidRPr="00283424" w:rsidRDefault="00E93F58" w:rsidP="00B50726">
      <w:pPr>
        <w:pStyle w:val="subsection"/>
      </w:pPr>
      <w:r w:rsidRPr="00283424">
        <w:tab/>
      </w:r>
      <w:r w:rsidRPr="00283424">
        <w:tab/>
        <w:t>For paragraph 951C(1)(c) of the Act, Part 7.7 of the Act applies as if subsection 947B(4) of the Act were modified by:</w:t>
      </w:r>
    </w:p>
    <w:p w14:paraId="2478AF27" w14:textId="77777777" w:rsidR="00E93F58" w:rsidRPr="00283424" w:rsidRDefault="00E93F58" w:rsidP="00B50726">
      <w:pPr>
        <w:pStyle w:val="paragraph"/>
      </w:pPr>
      <w:r w:rsidRPr="00283424">
        <w:tab/>
        <w:t>(a)</w:t>
      </w:r>
      <w:r w:rsidRPr="00283424">
        <w:tab/>
        <w:t>substituting the full stop at the end of paragraph (c) with a semi</w:t>
      </w:r>
      <w:r>
        <w:noBreakHyphen/>
      </w:r>
      <w:r w:rsidRPr="00283424">
        <w:t>colon; and</w:t>
      </w:r>
    </w:p>
    <w:p w14:paraId="44E424F0" w14:textId="77777777" w:rsidR="00E93F58" w:rsidRPr="00283424" w:rsidRDefault="00E93F58" w:rsidP="00B50726">
      <w:pPr>
        <w:pStyle w:val="paragraph"/>
      </w:pPr>
      <w:r w:rsidRPr="00283424">
        <w:tab/>
        <w:t>(b)</w:t>
      </w:r>
      <w:r w:rsidRPr="00283424">
        <w:tab/>
        <w:t>inserting after paragraph (c) the following paragraph:</w:t>
      </w:r>
    </w:p>
    <w:p w14:paraId="7F69E6BF" w14:textId="77777777" w:rsidR="00E93F58" w:rsidRPr="00283424" w:rsidRDefault="00E93F58" w:rsidP="00B50726">
      <w:pPr>
        <w:pStyle w:val="paragraph"/>
      </w:pPr>
      <w:r w:rsidRPr="00283424">
        <w:tab/>
        <w:t>‘(d)</w:t>
      </w:r>
      <w:r w:rsidRPr="00283424">
        <w:tab/>
        <w:t>that ASIC may specify in a legislative instrument matters ASIC considers to be relevant for the purposes of paragraph 947B(2)(g) of the Act.’</w:t>
      </w:r>
    </w:p>
    <w:p w14:paraId="1CC62C3E" w14:textId="77777777" w:rsidR="00E93F58" w:rsidRPr="00283424" w:rsidRDefault="00E93F58" w:rsidP="00B50726">
      <w:pPr>
        <w:pStyle w:val="ActHead5"/>
      </w:pPr>
      <w:bookmarkStart w:id="1089" w:name="_Toc152054523"/>
      <w:bookmarkStart w:id="1090" w:name="_Toc158712339"/>
      <w:r w:rsidRPr="006F296E">
        <w:rPr>
          <w:rStyle w:val="CharSectno"/>
        </w:rPr>
        <w:t>7.7.09B</w:t>
      </w:r>
      <w:r w:rsidRPr="00283424">
        <w:t xml:space="preserve">  Statement of Advice from providing entity—information not included in the Statement</w:t>
      </w:r>
      <w:bookmarkEnd w:id="1089"/>
      <w:bookmarkEnd w:id="1090"/>
    </w:p>
    <w:p w14:paraId="799C0DED" w14:textId="77777777" w:rsidR="00E93F58" w:rsidRPr="00283424" w:rsidRDefault="00E93F58" w:rsidP="00B50726">
      <w:pPr>
        <w:pStyle w:val="subsection"/>
      </w:pPr>
      <w:r w:rsidRPr="00283424">
        <w:tab/>
        <w:t>(1)</w:t>
      </w:r>
      <w:r w:rsidRPr="00283424">
        <w:tab/>
        <w:t>For paragraphs 947B(4)(b) and 947C(4)(b) of the Act, a providing entity is not required to include a statement or information mentioned in Part 7.7 of the Act in a Statement of Advice to the client if the Statement of Advice:</w:t>
      </w:r>
    </w:p>
    <w:p w14:paraId="72CF4145" w14:textId="77777777" w:rsidR="00E93F58" w:rsidRPr="00283424" w:rsidRDefault="00E93F58" w:rsidP="00B50726">
      <w:pPr>
        <w:pStyle w:val="paragraph"/>
      </w:pPr>
      <w:r w:rsidRPr="00283424">
        <w:tab/>
        <w:t>(a)</w:t>
      </w:r>
      <w:r w:rsidRPr="00283424">
        <w:tab/>
        <w:t>refers to the statement or information; and</w:t>
      </w:r>
    </w:p>
    <w:p w14:paraId="1407DDCB" w14:textId="77777777" w:rsidR="00E93F58" w:rsidRPr="00283424" w:rsidRDefault="00E93F58" w:rsidP="00B50726">
      <w:pPr>
        <w:pStyle w:val="paragraph"/>
      </w:pPr>
      <w:r w:rsidRPr="00283424">
        <w:tab/>
        <w:t>(b)</w:t>
      </w:r>
      <w:r w:rsidRPr="00283424">
        <w:tab/>
        <w:t>provides sufficient details about the statement or information to enable the client:</w:t>
      </w:r>
    </w:p>
    <w:p w14:paraId="0CD4739D" w14:textId="77777777" w:rsidR="00E93F58" w:rsidRPr="00283424" w:rsidRDefault="00E93F58" w:rsidP="00B50726">
      <w:pPr>
        <w:pStyle w:val="paragraphsub"/>
      </w:pPr>
      <w:r w:rsidRPr="00283424">
        <w:rPr>
          <w:color w:val="000000"/>
        </w:rPr>
        <w:tab/>
        <w:t>(i)</w:t>
      </w:r>
      <w:r w:rsidRPr="00283424">
        <w:rPr>
          <w:color w:val="000000"/>
        </w:rPr>
        <w:tab/>
        <w:t>to identify by a unique identifier the document, or part of the document, that contains the statement or information; and</w:t>
      </w:r>
    </w:p>
    <w:p w14:paraId="4D6410B9" w14:textId="77777777" w:rsidR="00E93F58" w:rsidRPr="00283424" w:rsidRDefault="00E93F58" w:rsidP="00B50726">
      <w:pPr>
        <w:pStyle w:val="paragraphsub"/>
      </w:pPr>
      <w:r w:rsidRPr="00283424">
        <w:tab/>
        <w:t>(ii)</w:t>
      </w:r>
      <w:r w:rsidRPr="00283424">
        <w:tab/>
        <w:t>to decide whether or not to read the statement or information or obtain a copy of the statement or information; and</w:t>
      </w:r>
    </w:p>
    <w:p w14:paraId="12E25603" w14:textId="77777777" w:rsidR="00E93F58" w:rsidRPr="00283424" w:rsidRDefault="00E93F58" w:rsidP="00B50726">
      <w:pPr>
        <w:pStyle w:val="paragraph"/>
      </w:pPr>
      <w:r w:rsidRPr="00283424">
        <w:rPr>
          <w:color w:val="000000"/>
        </w:rPr>
        <w:tab/>
        <w:t>(c)</w:t>
      </w:r>
      <w:r w:rsidRPr="00283424">
        <w:rPr>
          <w:color w:val="000000"/>
        </w:rPr>
        <w:tab/>
        <w:t>states that a copy of the statement or information may be obtained from the providing entity on request, at no charge.</w:t>
      </w:r>
    </w:p>
    <w:p w14:paraId="100A6B8A" w14:textId="77777777" w:rsidR="00E93F58" w:rsidRPr="00283424" w:rsidRDefault="00E93F58" w:rsidP="00B50726">
      <w:pPr>
        <w:pStyle w:val="subsection"/>
      </w:pPr>
      <w:r w:rsidRPr="00283424">
        <w:lastRenderedPageBreak/>
        <w:tab/>
        <w:t>(2)</w:t>
      </w:r>
      <w:r w:rsidRPr="00283424">
        <w:tab/>
        <w:t xml:space="preserve">Subject to subregulation (3), the providing entity must </w:t>
      </w:r>
      <w:r w:rsidRPr="00283424">
        <w:rPr>
          <w:color w:val="000000"/>
        </w:rPr>
        <w:t>give</w:t>
      </w:r>
      <w:r w:rsidRPr="00283424">
        <w:t xml:space="preserve"> the client the document, or part of the document (whichever is applicable), unless the providing entity has already given the document or part of the document to the client.</w:t>
      </w:r>
    </w:p>
    <w:p w14:paraId="7ACC3451" w14:textId="77777777" w:rsidR="00E93F58" w:rsidRPr="00283424" w:rsidRDefault="00E93F58" w:rsidP="00B50726">
      <w:pPr>
        <w:pStyle w:val="subsection"/>
      </w:pPr>
      <w:r w:rsidRPr="00283424">
        <w:tab/>
        <w:t>(3)</w:t>
      </w:r>
      <w:r w:rsidRPr="00283424">
        <w:tab/>
        <w:t>If the providing entity is an authorised representative of an Australian financial services licensee, the document, or part of the document (whichever is applicable), may be provided to the client:</w:t>
      </w:r>
    </w:p>
    <w:p w14:paraId="0700078F" w14:textId="77777777" w:rsidR="00E93F58" w:rsidRPr="00283424" w:rsidRDefault="00E93F58" w:rsidP="00B50726">
      <w:pPr>
        <w:pStyle w:val="paragraph"/>
      </w:pPr>
      <w:r w:rsidRPr="00283424">
        <w:tab/>
        <w:t>(a)</w:t>
      </w:r>
      <w:r w:rsidRPr="00283424">
        <w:tab/>
        <w:t>by another authorised representative appointed by and acting on behalf of the licensee; or</w:t>
      </w:r>
    </w:p>
    <w:p w14:paraId="272E9D71" w14:textId="77777777" w:rsidR="00E93F58" w:rsidRPr="00283424" w:rsidRDefault="00E93F58" w:rsidP="00B50726">
      <w:pPr>
        <w:pStyle w:val="paragraph"/>
      </w:pPr>
      <w:r w:rsidRPr="00283424">
        <w:tab/>
        <w:t>(b)</w:t>
      </w:r>
      <w:r w:rsidRPr="00283424">
        <w:tab/>
        <w:t>by the licensee.</w:t>
      </w:r>
    </w:p>
    <w:p w14:paraId="425ABD23" w14:textId="77777777" w:rsidR="00E93F58" w:rsidRPr="00283424" w:rsidRDefault="00E93F58" w:rsidP="00B50726">
      <w:pPr>
        <w:pStyle w:val="subsection"/>
      </w:pPr>
      <w:r w:rsidRPr="00283424">
        <w:tab/>
        <w:t>(4)</w:t>
      </w:r>
      <w:r w:rsidRPr="00283424">
        <w:tab/>
        <w:t xml:space="preserve">If the client requests a copy of a statement or information that </w:t>
      </w:r>
      <w:r w:rsidRPr="00283424">
        <w:rPr>
          <w:color w:val="000000"/>
        </w:rPr>
        <w:t>the providing entity is not required to include in accordance with subregulation (1), the providing entity must provide the copy as soon as practicable, at no charge.</w:t>
      </w:r>
    </w:p>
    <w:p w14:paraId="2E16AD53" w14:textId="77777777" w:rsidR="00E93F58" w:rsidRPr="00283424" w:rsidRDefault="00E93F58" w:rsidP="00B50726">
      <w:pPr>
        <w:pStyle w:val="subsection"/>
      </w:pPr>
      <w:r w:rsidRPr="00283424">
        <w:tab/>
        <w:t>(5)</w:t>
      </w:r>
      <w:r w:rsidRPr="00283424">
        <w:tab/>
        <w:t>If a statement or information is not required to be included in a Statement of Advice because of subregulation (1), the statement or information is taken to be included in the Statement of Advice.</w:t>
      </w:r>
    </w:p>
    <w:p w14:paraId="3704192D" w14:textId="77777777" w:rsidR="00E93F58" w:rsidRPr="00283424" w:rsidRDefault="00E93F58" w:rsidP="00B50726">
      <w:pPr>
        <w:pStyle w:val="subsection"/>
      </w:pPr>
      <w:r w:rsidRPr="00283424">
        <w:tab/>
        <w:t>(6)</w:t>
      </w:r>
      <w:r w:rsidRPr="00283424">
        <w:tab/>
        <w:t>The exemption in subregulation (1) does not apply to a statement or information that is required by section 947D or 961H of the Act.</w:t>
      </w:r>
    </w:p>
    <w:p w14:paraId="3346ACE3" w14:textId="77777777" w:rsidR="00E93F58" w:rsidRPr="00283424" w:rsidRDefault="00E93F58" w:rsidP="00B50726">
      <w:pPr>
        <w:pStyle w:val="ActHead5"/>
      </w:pPr>
      <w:bookmarkStart w:id="1091" w:name="_Toc152054524"/>
      <w:bookmarkStart w:id="1092" w:name="_Toc158712340"/>
      <w:r w:rsidRPr="006F296E">
        <w:rPr>
          <w:rStyle w:val="CharSectno"/>
        </w:rPr>
        <w:t>7.7.09BA</w:t>
      </w:r>
      <w:r w:rsidRPr="00283424">
        <w:t xml:space="preserve">  Statement of Advice from authorised representative</w:t>
      </w:r>
      <w:bookmarkEnd w:id="1091"/>
      <w:bookmarkEnd w:id="1092"/>
    </w:p>
    <w:p w14:paraId="39635CA1" w14:textId="77777777" w:rsidR="00E93F58" w:rsidRPr="00283424" w:rsidRDefault="00E93F58" w:rsidP="00B50726">
      <w:pPr>
        <w:pStyle w:val="subsection"/>
      </w:pPr>
      <w:r w:rsidRPr="00283424">
        <w:tab/>
        <w:t>(1)</w:t>
      </w:r>
      <w:r w:rsidRPr="00283424">
        <w:tab/>
        <w:t>For paragraph 947C(2)(h) of the Act, a Statement of Advice given by an authorised representative in relation to a margin lending facility, or a margin lending facility whose limit is proposed to be increased, within the meaning of subsection 761EA(1) of the Act must include the following information:</w:t>
      </w:r>
    </w:p>
    <w:p w14:paraId="33E55000" w14:textId="77777777" w:rsidR="00E93F58" w:rsidRPr="00283424" w:rsidRDefault="00E93F58" w:rsidP="00B50726">
      <w:pPr>
        <w:pStyle w:val="paragraph"/>
      </w:pPr>
      <w:r w:rsidRPr="00283424">
        <w:tab/>
        <w:t>(a)</w:t>
      </w:r>
      <w:r w:rsidRPr="00283424">
        <w:tab/>
        <w:t>whether the client has taken out a loan to fund the secured property or transferred securities contributed by the client for establishing the margin lending facility;</w:t>
      </w:r>
    </w:p>
    <w:p w14:paraId="7F3ADCB9" w14:textId="77777777" w:rsidR="00E93F58" w:rsidRPr="00283424" w:rsidRDefault="00E93F58" w:rsidP="00B50726">
      <w:pPr>
        <w:pStyle w:val="notetext"/>
      </w:pPr>
      <w:r w:rsidRPr="00283424">
        <w:rPr>
          <w:iCs/>
        </w:rPr>
        <w:t>Note:</w:t>
      </w:r>
      <w:r w:rsidRPr="00283424">
        <w:rPr>
          <w:iCs/>
        </w:rPr>
        <w:tab/>
      </w:r>
      <w:r w:rsidRPr="00283424">
        <w:t>This is sometimes referred to as ‘double gearing’.</w:t>
      </w:r>
    </w:p>
    <w:p w14:paraId="1032A56A" w14:textId="77777777" w:rsidR="00E93F58" w:rsidRPr="00283424" w:rsidRDefault="00E93F58" w:rsidP="00B50726">
      <w:pPr>
        <w:pStyle w:val="paragraph"/>
      </w:pPr>
      <w:r w:rsidRPr="00283424">
        <w:tab/>
        <w:t>(b)</w:t>
      </w:r>
      <w:r w:rsidRPr="00283424">
        <w:tab/>
        <w:t>if a loan to fund the secured property or transferred securities contributed by the client for establishing the margin lending facility has been taken out—whether the security for the loan includes the primary residential property of the client;</w:t>
      </w:r>
    </w:p>
    <w:p w14:paraId="02007EE5" w14:textId="77777777" w:rsidR="00E93F58" w:rsidRPr="00283424" w:rsidRDefault="00E93F58" w:rsidP="00B50726">
      <w:pPr>
        <w:pStyle w:val="paragraph"/>
      </w:pPr>
      <w:r w:rsidRPr="00283424">
        <w:tab/>
        <w:t>(c)</w:t>
      </w:r>
      <w:r w:rsidRPr="00283424">
        <w:tab/>
        <w:t>whether there is a guarantor for the margin lending facility, and, if so:</w:t>
      </w:r>
    </w:p>
    <w:p w14:paraId="6810D12F" w14:textId="77777777" w:rsidR="00E93F58" w:rsidRPr="00283424" w:rsidRDefault="00E93F58" w:rsidP="00B50726">
      <w:pPr>
        <w:pStyle w:val="paragraphsub"/>
      </w:pPr>
      <w:r w:rsidRPr="00283424">
        <w:tab/>
        <w:t>(i)</w:t>
      </w:r>
      <w:r w:rsidRPr="00283424">
        <w:tab/>
        <w:t>if the authorised representative has the necessary information—a statement as to whether the guarantor has been appropriately informed of, and warned about, the risks and possible consequences of providing the guarantee; or</w:t>
      </w:r>
    </w:p>
    <w:p w14:paraId="6835E88B" w14:textId="77777777" w:rsidR="00E93F58" w:rsidRPr="00283424" w:rsidRDefault="00E93F58" w:rsidP="00B50726">
      <w:pPr>
        <w:pStyle w:val="paragraphsub"/>
      </w:pPr>
      <w:r w:rsidRPr="00283424">
        <w:tab/>
        <w:t>(ii)</w:t>
      </w:r>
      <w:r w:rsidRPr="00283424">
        <w:tab/>
        <w:t>if the authorised representative does not have the necessary information—a statement that the authorised representative does not have the information;</w:t>
      </w:r>
    </w:p>
    <w:p w14:paraId="7726FFA0" w14:textId="77777777" w:rsidR="00E93F58" w:rsidRPr="00283424" w:rsidRDefault="00E93F58" w:rsidP="00B50726">
      <w:pPr>
        <w:pStyle w:val="paragraph"/>
      </w:pPr>
      <w:r w:rsidRPr="00283424">
        <w:tab/>
        <w:t>(d)</w:t>
      </w:r>
      <w:r w:rsidRPr="00283424">
        <w:tab/>
        <w:t>the amount of any other debt incurred by the client;</w:t>
      </w:r>
    </w:p>
    <w:p w14:paraId="2E2982E1" w14:textId="77777777" w:rsidR="00E93F58" w:rsidRPr="00283424" w:rsidRDefault="00E93F58" w:rsidP="00B50726">
      <w:pPr>
        <w:pStyle w:val="paragraph"/>
      </w:pPr>
      <w:r w:rsidRPr="00283424">
        <w:tab/>
        <w:t>(e)</w:t>
      </w:r>
      <w:r w:rsidRPr="00283424">
        <w:tab/>
        <w:t>any other matter that ASIC has specified in a legislative instrument for subregulation (2).</w:t>
      </w:r>
    </w:p>
    <w:p w14:paraId="098EBEFE" w14:textId="77777777" w:rsidR="00E93F58" w:rsidRPr="00283424" w:rsidRDefault="00E93F58" w:rsidP="00B50726">
      <w:pPr>
        <w:pStyle w:val="subsection"/>
      </w:pPr>
      <w:r w:rsidRPr="00283424">
        <w:tab/>
        <w:t>(2)</w:t>
      </w:r>
      <w:r w:rsidRPr="00283424">
        <w:tab/>
        <w:t>ASIC may specify in a legislative instrument any matter ASIC considers to be relevant for the purpose of establishing whether the margin lending facility, or the margin lending facility with the increased limit, is unsuitable for the client.</w:t>
      </w:r>
    </w:p>
    <w:p w14:paraId="4441D42A" w14:textId="77777777" w:rsidR="00E93F58" w:rsidRPr="00283424" w:rsidRDefault="00E93F58" w:rsidP="00B50726">
      <w:pPr>
        <w:pStyle w:val="ActHead5"/>
      </w:pPr>
      <w:bookmarkStart w:id="1093" w:name="_Toc152054525"/>
      <w:bookmarkStart w:id="1094" w:name="_Toc158712341"/>
      <w:r w:rsidRPr="006F296E">
        <w:rPr>
          <w:rStyle w:val="CharSectno"/>
        </w:rPr>
        <w:t>7.7.09BB</w:t>
      </w:r>
      <w:r w:rsidRPr="00283424">
        <w:t xml:space="preserve">  Modification of subsection 947C(4) of the Act</w:t>
      </w:r>
      <w:bookmarkEnd w:id="1093"/>
      <w:bookmarkEnd w:id="1094"/>
    </w:p>
    <w:p w14:paraId="2C752A72" w14:textId="77777777" w:rsidR="00E93F58" w:rsidRPr="00283424" w:rsidRDefault="00E93F58" w:rsidP="00B50726">
      <w:pPr>
        <w:pStyle w:val="subsection"/>
      </w:pPr>
      <w:r w:rsidRPr="00283424">
        <w:tab/>
      </w:r>
      <w:r w:rsidRPr="00283424">
        <w:tab/>
        <w:t>For paragraph 951C(1)(c) of the Act, Part 7.7 of the Act applies as if subsection 947C(4) of the Act were modified by:</w:t>
      </w:r>
    </w:p>
    <w:p w14:paraId="25EA336E" w14:textId="77777777" w:rsidR="00E93F58" w:rsidRPr="00283424" w:rsidRDefault="00E93F58" w:rsidP="00B50726">
      <w:pPr>
        <w:pStyle w:val="paragraph"/>
      </w:pPr>
      <w:r w:rsidRPr="00283424">
        <w:tab/>
        <w:t>(a)</w:t>
      </w:r>
      <w:r w:rsidRPr="00283424">
        <w:tab/>
        <w:t>substituting the full stop at the end of paragraph (c) with a semi</w:t>
      </w:r>
      <w:r>
        <w:noBreakHyphen/>
      </w:r>
      <w:r w:rsidRPr="00283424">
        <w:t>colon; and</w:t>
      </w:r>
    </w:p>
    <w:p w14:paraId="24C3B889" w14:textId="77777777" w:rsidR="00E93F58" w:rsidRPr="00283424" w:rsidRDefault="00E93F58" w:rsidP="00B50726">
      <w:pPr>
        <w:pStyle w:val="paragraph"/>
      </w:pPr>
      <w:r w:rsidRPr="00283424">
        <w:tab/>
        <w:t>(b)</w:t>
      </w:r>
      <w:r w:rsidRPr="00283424">
        <w:tab/>
        <w:t>inserting after paragraph (c) the following paragraph:</w:t>
      </w:r>
    </w:p>
    <w:p w14:paraId="038B34BE" w14:textId="77777777" w:rsidR="00E93F58" w:rsidRPr="00283424" w:rsidRDefault="00E93F58" w:rsidP="00B50726">
      <w:pPr>
        <w:pStyle w:val="paragraph"/>
      </w:pPr>
      <w:r w:rsidRPr="00283424">
        <w:tab/>
        <w:t>‘(d)</w:t>
      </w:r>
      <w:r w:rsidRPr="00283424">
        <w:tab/>
        <w:t>that ASIC may specify in a legislative instrument matters ASIC considers to be relevant for the purposes of paragraph 947C(2)(h) of the Act.’</w:t>
      </w:r>
    </w:p>
    <w:p w14:paraId="0E730FC1" w14:textId="77777777" w:rsidR="00E93F58" w:rsidRPr="00283424" w:rsidRDefault="00E93F58" w:rsidP="00B50726">
      <w:pPr>
        <w:pStyle w:val="ActHead5"/>
      </w:pPr>
      <w:bookmarkStart w:id="1095" w:name="_Toc152054526"/>
      <w:bookmarkStart w:id="1096" w:name="_Toc158712342"/>
      <w:r w:rsidRPr="006F296E">
        <w:rPr>
          <w:rStyle w:val="CharSectno"/>
        </w:rPr>
        <w:t>7.7.09BC</w:t>
      </w:r>
      <w:r w:rsidRPr="00283424">
        <w:t xml:space="preserve">  Statement of Advice given by financial services licensee: non</w:t>
      </w:r>
      <w:r>
        <w:noBreakHyphen/>
      </w:r>
      <w:r w:rsidRPr="00283424">
        <w:t>monetary benefit that is not conflicted remuneration</w:t>
      </w:r>
      <w:bookmarkEnd w:id="1095"/>
      <w:bookmarkEnd w:id="1096"/>
    </w:p>
    <w:p w14:paraId="6F301176" w14:textId="77777777" w:rsidR="00E93F58" w:rsidRPr="00283424" w:rsidRDefault="00E93F58" w:rsidP="00B50726">
      <w:pPr>
        <w:pStyle w:val="subsection"/>
      </w:pPr>
      <w:r w:rsidRPr="00283424">
        <w:tab/>
        <w:t>(1)</w:t>
      </w:r>
      <w:r w:rsidRPr="00283424">
        <w:tab/>
        <w:t>This regulation is made for paragraph 947B(4)(b) of the Act.</w:t>
      </w:r>
    </w:p>
    <w:p w14:paraId="221ADE78" w14:textId="77777777" w:rsidR="00E93F58" w:rsidRPr="00283424" w:rsidRDefault="00E93F58" w:rsidP="00B50726">
      <w:pPr>
        <w:pStyle w:val="subsection"/>
      </w:pPr>
      <w:r w:rsidRPr="00283424">
        <w:tab/>
        <w:t>(2)</w:t>
      </w:r>
      <w:r w:rsidRPr="00283424">
        <w:tab/>
        <w:t>Information about a non</w:t>
      </w:r>
      <w:r>
        <w:noBreakHyphen/>
      </w:r>
      <w:r w:rsidRPr="00283424">
        <w:t>monetary benefit that, in accordance with paragraph 963C(b) of the Act, is not conflicted remuneration is not required by paragraph 947B(2)(d) of the Act.</w:t>
      </w:r>
    </w:p>
    <w:p w14:paraId="7BD56C25" w14:textId="77777777" w:rsidR="00E93F58" w:rsidRPr="00283424" w:rsidRDefault="00E93F58" w:rsidP="00B50726">
      <w:pPr>
        <w:pStyle w:val="notetext"/>
      </w:pPr>
      <w:r w:rsidRPr="00283424">
        <w:lastRenderedPageBreak/>
        <w:t>Note:</w:t>
      </w:r>
      <w:r w:rsidRPr="00283424">
        <w:tab/>
        <w:t>Under paragraph 963C(b) of the Act, if a non</w:t>
      </w:r>
      <w:r>
        <w:noBreakHyphen/>
      </w:r>
      <w:r w:rsidRPr="00283424">
        <w:t>monetary benefit is given to a financial services licensee, or a representative of a financial services licensee, who provides financial advice, is less than the prescribed amount and identical or similar benefits are not given on a frequent or regular basis, the benefit is not conflicted remuneration.</w:t>
      </w:r>
    </w:p>
    <w:p w14:paraId="45A2BD61" w14:textId="77777777" w:rsidR="00E93F58" w:rsidRPr="00283424" w:rsidRDefault="00E93F58" w:rsidP="00B50726">
      <w:pPr>
        <w:pStyle w:val="ActHead5"/>
      </w:pPr>
      <w:bookmarkStart w:id="1097" w:name="_Toc152054527"/>
      <w:bookmarkStart w:id="1098" w:name="_Toc158712343"/>
      <w:r w:rsidRPr="006F296E">
        <w:rPr>
          <w:rStyle w:val="CharSectno"/>
        </w:rPr>
        <w:t>7.7.09BD</w:t>
      </w:r>
      <w:r w:rsidRPr="00283424">
        <w:t xml:space="preserve">  Statement of Advice given by authorised representative: non</w:t>
      </w:r>
      <w:r>
        <w:noBreakHyphen/>
      </w:r>
      <w:r w:rsidRPr="00283424">
        <w:t>monetary benefit that is not conflicted remuneration</w:t>
      </w:r>
      <w:bookmarkEnd w:id="1097"/>
      <w:bookmarkEnd w:id="1098"/>
    </w:p>
    <w:p w14:paraId="0F48087C" w14:textId="77777777" w:rsidR="00E93F58" w:rsidRPr="00283424" w:rsidRDefault="00E93F58" w:rsidP="00B50726">
      <w:pPr>
        <w:pStyle w:val="subsection"/>
      </w:pPr>
      <w:r w:rsidRPr="00283424">
        <w:tab/>
        <w:t>(1)</w:t>
      </w:r>
      <w:r w:rsidRPr="00283424">
        <w:tab/>
        <w:t>This regulation is made for paragraph 947C(4)(b) of the Act.</w:t>
      </w:r>
    </w:p>
    <w:p w14:paraId="597A3325" w14:textId="77777777" w:rsidR="00E93F58" w:rsidRPr="00283424" w:rsidRDefault="00E93F58" w:rsidP="00B50726">
      <w:pPr>
        <w:pStyle w:val="subsection"/>
      </w:pPr>
      <w:r w:rsidRPr="00283424">
        <w:tab/>
        <w:t>(2)</w:t>
      </w:r>
      <w:r w:rsidRPr="00283424">
        <w:tab/>
        <w:t>Information about a non</w:t>
      </w:r>
      <w:r>
        <w:noBreakHyphen/>
      </w:r>
      <w:r w:rsidRPr="00283424">
        <w:t>monetary benefit that, in accordance with paragraph 963C(b) of the Act, is not conflicted remuneration is not required by paragraph 947C(2)(e) of the Act.</w:t>
      </w:r>
    </w:p>
    <w:p w14:paraId="4008F1D3" w14:textId="77777777" w:rsidR="00E93F58" w:rsidRPr="00283424" w:rsidRDefault="00E93F58" w:rsidP="00B50726">
      <w:pPr>
        <w:pStyle w:val="notetext"/>
      </w:pPr>
      <w:r w:rsidRPr="00283424">
        <w:t>Note:</w:t>
      </w:r>
      <w:r w:rsidRPr="00283424">
        <w:tab/>
        <w:t>Under paragraph 963C(b) of the Act, if a non</w:t>
      </w:r>
      <w:r>
        <w:noBreakHyphen/>
      </w:r>
      <w:r w:rsidRPr="00283424">
        <w:t>monetary benefit is given to a financial services licensee, or a representative of a financial services licensee, who provides financial advice, is less than the prescribed amount and identical or similar benefits are not given on a frequent or regular basis, the benefit is not conflicted remuneration.</w:t>
      </w:r>
    </w:p>
    <w:p w14:paraId="32320E42" w14:textId="77777777" w:rsidR="00E93F58" w:rsidRPr="00283424" w:rsidRDefault="00E93F58" w:rsidP="00B50726">
      <w:pPr>
        <w:pStyle w:val="ActHead5"/>
      </w:pPr>
      <w:bookmarkStart w:id="1099" w:name="_Toc152054528"/>
      <w:bookmarkStart w:id="1100" w:name="_Toc158712344"/>
      <w:r w:rsidRPr="006F296E">
        <w:rPr>
          <w:rStyle w:val="CharSectno"/>
        </w:rPr>
        <w:t>7.7.09C</w:t>
      </w:r>
      <w:r w:rsidRPr="00283424">
        <w:t xml:space="preserve">  Requirement to keep Statement of Advice and other documents</w:t>
      </w:r>
      <w:bookmarkEnd w:id="1099"/>
      <w:bookmarkEnd w:id="1100"/>
    </w:p>
    <w:p w14:paraId="4559D550" w14:textId="77777777" w:rsidR="00E93F58" w:rsidRPr="00283424" w:rsidRDefault="00E93F58" w:rsidP="00B50726">
      <w:pPr>
        <w:pStyle w:val="subsection"/>
      </w:pPr>
      <w:r w:rsidRPr="00283424">
        <w:rPr>
          <w:color w:val="000000"/>
        </w:rPr>
        <w:tab/>
      </w:r>
      <w:r w:rsidRPr="00283424">
        <w:rPr>
          <w:color w:val="000000"/>
        </w:rPr>
        <w:tab/>
        <w:t>A Statement of Advice and a document, or part of a document, mentioned in the Statement, must be retained, by the providing entity that gave the Statement, for 7 years after the day on which the Statement is provided to the client.</w:t>
      </w:r>
    </w:p>
    <w:p w14:paraId="22594803" w14:textId="77777777" w:rsidR="00E93F58" w:rsidRPr="00283424" w:rsidRDefault="00E93F58" w:rsidP="00B50726">
      <w:pPr>
        <w:pStyle w:val="ActHead5"/>
      </w:pPr>
      <w:bookmarkStart w:id="1101" w:name="_Toc152054529"/>
      <w:bookmarkStart w:id="1102" w:name="_Toc158712345"/>
      <w:r w:rsidRPr="006F296E">
        <w:rPr>
          <w:rStyle w:val="CharSectno"/>
        </w:rPr>
        <w:t>7.7.10</w:t>
      </w:r>
      <w:r w:rsidRPr="00283424">
        <w:t xml:space="preserve">  Products for which a Statement of Advice is not required</w:t>
      </w:r>
      <w:bookmarkEnd w:id="1101"/>
      <w:bookmarkEnd w:id="1102"/>
    </w:p>
    <w:p w14:paraId="562C6EC9" w14:textId="77777777" w:rsidR="00E93F58" w:rsidRPr="00283424" w:rsidRDefault="00E93F58" w:rsidP="00B50726">
      <w:pPr>
        <w:pStyle w:val="subsection"/>
      </w:pPr>
      <w:r w:rsidRPr="00283424">
        <w:tab/>
      </w:r>
      <w:r w:rsidRPr="00283424">
        <w:tab/>
        <w:t>For paragraph 946B(5)(c) of the Act, the following are prescribed:</w:t>
      </w:r>
    </w:p>
    <w:p w14:paraId="01A2EABE" w14:textId="77777777" w:rsidR="00E93F58" w:rsidRPr="00283424" w:rsidRDefault="00E93F58" w:rsidP="00B50726">
      <w:pPr>
        <w:pStyle w:val="paragraph"/>
      </w:pPr>
      <w:r w:rsidRPr="00283424">
        <w:tab/>
        <w:t>(a)</w:t>
      </w:r>
      <w:r w:rsidRPr="00283424">
        <w:tab/>
        <w:t>a deposit product that is a facility in relation to which:</w:t>
      </w:r>
    </w:p>
    <w:p w14:paraId="621426B4" w14:textId="77777777" w:rsidR="00E93F58" w:rsidRPr="00283424" w:rsidRDefault="00E93F58" w:rsidP="00B50726">
      <w:pPr>
        <w:pStyle w:val="paragraphsub"/>
      </w:pPr>
      <w:r w:rsidRPr="00283424">
        <w:tab/>
        <w:t>(i)</w:t>
      </w:r>
      <w:r w:rsidRPr="00283424">
        <w:tab/>
        <w:t>there is no minimum period before which funds cannot be withdrawn or transferred from the facility without a reduction in the return generated for the depositor; or</w:t>
      </w:r>
    </w:p>
    <w:p w14:paraId="3A1DC3A0" w14:textId="77777777" w:rsidR="00E93F58" w:rsidRPr="00283424" w:rsidRDefault="00E93F58" w:rsidP="00B50726">
      <w:pPr>
        <w:pStyle w:val="paragraphsub"/>
      </w:pPr>
      <w:r w:rsidRPr="00283424">
        <w:tab/>
        <w:t>(ii)</w:t>
      </w:r>
      <w:r w:rsidRPr="00283424">
        <w:tab/>
        <w:t>if there is such a period, it expires on or before the end of the period of 2 years starting on the day on which funds were first deposited in the facility;</w:t>
      </w:r>
    </w:p>
    <w:p w14:paraId="22E69636" w14:textId="77777777" w:rsidR="00E93F58" w:rsidRPr="00283424" w:rsidRDefault="00E93F58" w:rsidP="00B50726">
      <w:pPr>
        <w:pStyle w:val="paragraph"/>
      </w:pPr>
      <w:r w:rsidRPr="00283424">
        <w:tab/>
        <w:t>(b)</w:t>
      </w:r>
      <w:r w:rsidRPr="00283424">
        <w:tab/>
        <w:t>travellers’ cheques;</w:t>
      </w:r>
    </w:p>
    <w:p w14:paraId="031D5B3B" w14:textId="77777777" w:rsidR="00E93F58" w:rsidRPr="00283424" w:rsidRDefault="00E93F58" w:rsidP="00B50726">
      <w:pPr>
        <w:pStyle w:val="paragraph"/>
      </w:pPr>
      <w:r w:rsidRPr="00283424">
        <w:tab/>
        <w:t>(c)</w:t>
      </w:r>
      <w:r w:rsidRPr="00283424">
        <w:tab/>
        <w:t>a cash management trust interest;</w:t>
      </w:r>
    </w:p>
    <w:p w14:paraId="18419019" w14:textId="77777777" w:rsidR="00E93F58" w:rsidRPr="00283424" w:rsidRDefault="00E93F58" w:rsidP="00B50726">
      <w:pPr>
        <w:pStyle w:val="paragraph"/>
      </w:pPr>
      <w:r w:rsidRPr="00283424">
        <w:tab/>
        <w:t>(d)</w:t>
      </w:r>
      <w:r w:rsidRPr="00283424">
        <w:tab/>
        <w:t>a motor vehicle insurance product (see regulation 7.1.11);</w:t>
      </w:r>
    </w:p>
    <w:p w14:paraId="2641C243" w14:textId="77777777" w:rsidR="00E93F58" w:rsidRPr="00283424" w:rsidRDefault="00E93F58" w:rsidP="00B50726">
      <w:pPr>
        <w:pStyle w:val="paragraph"/>
      </w:pPr>
      <w:r w:rsidRPr="00283424">
        <w:tab/>
        <w:t>(e)</w:t>
      </w:r>
      <w:r w:rsidRPr="00283424">
        <w:tab/>
        <w:t>a home building insurance product (see regulation 7.1.12);</w:t>
      </w:r>
    </w:p>
    <w:p w14:paraId="43C65124" w14:textId="77777777" w:rsidR="00E93F58" w:rsidRPr="00283424" w:rsidRDefault="00E93F58" w:rsidP="00B50726">
      <w:pPr>
        <w:pStyle w:val="paragraph"/>
      </w:pPr>
      <w:r w:rsidRPr="00283424">
        <w:tab/>
        <w:t>(f)</w:t>
      </w:r>
      <w:r w:rsidRPr="00283424">
        <w:tab/>
        <w:t>a home contents insurance product (see regulation 7.1.13);</w:t>
      </w:r>
    </w:p>
    <w:p w14:paraId="2A23B2E3" w14:textId="77777777" w:rsidR="00E93F58" w:rsidRPr="00283424" w:rsidRDefault="00E93F58" w:rsidP="00B50726">
      <w:pPr>
        <w:pStyle w:val="paragraph"/>
      </w:pPr>
      <w:r w:rsidRPr="00283424">
        <w:tab/>
        <w:t>(g)</w:t>
      </w:r>
      <w:r w:rsidRPr="00283424">
        <w:tab/>
        <w:t>a travel insurance product (see regulation 7.1.16);</w:t>
      </w:r>
    </w:p>
    <w:p w14:paraId="36927C04" w14:textId="77777777" w:rsidR="00E93F58" w:rsidRPr="00283424" w:rsidRDefault="00E93F58" w:rsidP="00B50726">
      <w:pPr>
        <w:pStyle w:val="paragraph"/>
      </w:pPr>
      <w:r w:rsidRPr="00283424">
        <w:tab/>
        <w:t>(h)</w:t>
      </w:r>
      <w:r w:rsidRPr="00283424">
        <w:tab/>
        <w:t>a personal and domestic property insurance product (see regulation 7.1.17);</w:t>
      </w:r>
    </w:p>
    <w:p w14:paraId="2CAC7F38" w14:textId="77777777" w:rsidR="00E93F58" w:rsidRPr="00283424" w:rsidRDefault="00E93F58" w:rsidP="00B50726">
      <w:pPr>
        <w:pStyle w:val="paragraph"/>
      </w:pPr>
      <w:r w:rsidRPr="00283424">
        <w:tab/>
        <w:t>(i)</w:t>
      </w:r>
      <w:r w:rsidRPr="00283424">
        <w:tab/>
        <w:t>a general insurance product prescribed by regulations made for the purposes of subparagraph 761G(5)(b)(viii) (see regulation 7.1.17A).</w:t>
      </w:r>
    </w:p>
    <w:p w14:paraId="7099520B" w14:textId="77777777" w:rsidR="00E93F58" w:rsidRPr="00283424" w:rsidRDefault="00E93F58" w:rsidP="00B50726">
      <w:pPr>
        <w:pStyle w:val="ActHead5"/>
      </w:pPr>
      <w:bookmarkStart w:id="1103" w:name="_Toc152054530"/>
      <w:bookmarkStart w:id="1104" w:name="_Toc158712346"/>
      <w:r w:rsidRPr="006F296E">
        <w:rPr>
          <w:rStyle w:val="CharSectno"/>
        </w:rPr>
        <w:t>7.7.10AA</w:t>
      </w:r>
      <w:r w:rsidRPr="00283424">
        <w:t xml:space="preserve">  Obligation on authorised representative to give a financial services guide</w:t>
      </w:r>
      <w:bookmarkEnd w:id="1103"/>
      <w:bookmarkEnd w:id="1104"/>
    </w:p>
    <w:p w14:paraId="44ED73DF" w14:textId="77777777" w:rsidR="00E93F58" w:rsidRPr="00283424" w:rsidRDefault="00E93F58" w:rsidP="00B50726">
      <w:pPr>
        <w:pStyle w:val="subsection"/>
      </w:pPr>
      <w:r w:rsidRPr="00283424">
        <w:tab/>
      </w:r>
      <w:r w:rsidRPr="00283424">
        <w:tab/>
        <w:t>For paragraph 951C(1)(c) of the Act, Part 7.7 of the Act applies as if subsection 941B(2) were omitted and the following subsection were substituted:</w:t>
      </w:r>
    </w:p>
    <w:p w14:paraId="6482FFDC" w14:textId="77777777" w:rsidR="00E93F58" w:rsidRPr="00283424" w:rsidRDefault="00E93F58" w:rsidP="00B50726">
      <w:pPr>
        <w:pStyle w:val="subsection"/>
      </w:pPr>
      <w:r w:rsidRPr="00283424">
        <w:tab/>
        <w:t>“(2)</w:t>
      </w:r>
      <w:r w:rsidRPr="00283424">
        <w:tab/>
        <w:t>A Financial Services Guide must not be given to the person by the providing entity unless the authorising licensee, or each of the authorising licensees, on whose behalf the providing entity provides the financial services, has authorised its distribution by the providing entity.”</w:t>
      </w:r>
    </w:p>
    <w:p w14:paraId="109E9090" w14:textId="77777777" w:rsidR="00E93F58" w:rsidRPr="00283424" w:rsidRDefault="00E93F58" w:rsidP="00B50726">
      <w:pPr>
        <w:pStyle w:val="ActHead5"/>
      </w:pPr>
      <w:bookmarkStart w:id="1105" w:name="_Toc152054531"/>
      <w:bookmarkStart w:id="1106" w:name="_Toc158712347"/>
      <w:r w:rsidRPr="006F296E">
        <w:rPr>
          <w:rStyle w:val="CharSectno"/>
        </w:rPr>
        <w:t>7.7.10AAA</w:t>
      </w:r>
      <w:r w:rsidRPr="00283424">
        <w:t xml:space="preserve">  Record of advice without a recommendation to purchase or sell—content requirements</w:t>
      </w:r>
      <w:bookmarkEnd w:id="1105"/>
      <w:bookmarkEnd w:id="1106"/>
    </w:p>
    <w:p w14:paraId="2E1C9E89" w14:textId="77777777" w:rsidR="00E93F58" w:rsidRPr="00283424" w:rsidRDefault="00E93F58" w:rsidP="00B50726">
      <w:pPr>
        <w:pStyle w:val="subsection"/>
      </w:pPr>
      <w:r w:rsidRPr="00283424">
        <w:tab/>
      </w:r>
      <w:r w:rsidRPr="00283424">
        <w:tab/>
        <w:t>For subsection 946B(9) of the Act, a record of advice must set out the following:</w:t>
      </w:r>
    </w:p>
    <w:p w14:paraId="1AFAA66B" w14:textId="77777777" w:rsidR="00E93F58" w:rsidRPr="00283424" w:rsidRDefault="00E93F58" w:rsidP="00B50726">
      <w:pPr>
        <w:pStyle w:val="paragraph"/>
      </w:pPr>
      <w:r w:rsidRPr="00283424">
        <w:tab/>
        <w:t>(a)</w:t>
      </w:r>
      <w:r w:rsidRPr="00283424">
        <w:tab/>
        <w:t>the investment advice given to a client by the providing entity;</w:t>
      </w:r>
    </w:p>
    <w:p w14:paraId="1CCF16A3" w14:textId="77777777" w:rsidR="00E93F58" w:rsidRPr="00283424" w:rsidRDefault="00E93F58" w:rsidP="00B50726">
      <w:pPr>
        <w:pStyle w:val="paragraph"/>
      </w:pPr>
      <w:r w:rsidRPr="00283424">
        <w:tab/>
        <w:t>(b)</w:t>
      </w:r>
      <w:r w:rsidRPr="00283424">
        <w:tab/>
        <w:t>brief particulars of the recommendations made to the client and the basis on which the recommendations are made;</w:t>
      </w:r>
    </w:p>
    <w:p w14:paraId="4FA434CB" w14:textId="77777777" w:rsidR="00E93F58" w:rsidRPr="00283424" w:rsidRDefault="00E93F58" w:rsidP="00B50726">
      <w:pPr>
        <w:pStyle w:val="paragraph"/>
      </w:pPr>
      <w:r w:rsidRPr="00283424">
        <w:tab/>
        <w:t>(c)</w:t>
      </w:r>
      <w:r w:rsidRPr="00283424">
        <w:tab/>
        <w:t>if the providing entity is a financial services licensee—the information that, if a Statement of Advice were to be given, would be required in that Statement by paragraphs 947B(2)(d) and (e) of the Act;</w:t>
      </w:r>
    </w:p>
    <w:p w14:paraId="698A37D2" w14:textId="77777777" w:rsidR="00E93F58" w:rsidRPr="00283424" w:rsidRDefault="00E93F58" w:rsidP="00B50726">
      <w:pPr>
        <w:pStyle w:val="paragraph"/>
      </w:pPr>
      <w:r w:rsidRPr="00283424">
        <w:tab/>
        <w:t>(d)</w:t>
      </w:r>
      <w:r w:rsidRPr="00283424">
        <w:tab/>
        <w:t>if the providing entity is an authorised representative—the information that, if a Statement of Advice were to be given, would be required in that Statement by paragraphs 947C(2)(e) and (f) of the Act.</w:t>
      </w:r>
    </w:p>
    <w:p w14:paraId="768C5897" w14:textId="77777777" w:rsidR="00E93F58" w:rsidRPr="00283424" w:rsidRDefault="00E93F58" w:rsidP="00B50726">
      <w:pPr>
        <w:pStyle w:val="notetext"/>
      </w:pPr>
      <w:r w:rsidRPr="00283424">
        <w:t>Note:</w:t>
      </w:r>
      <w:r w:rsidRPr="00283424">
        <w:tab/>
        <w:t>A client is entitled to ask the providing entity for a record of advice under subsections 942B(8) and 942C(8) of the Act.</w:t>
      </w:r>
    </w:p>
    <w:p w14:paraId="012F88E1" w14:textId="77777777" w:rsidR="00E93F58" w:rsidRPr="00283424" w:rsidRDefault="00E93F58" w:rsidP="00B50726">
      <w:pPr>
        <w:pStyle w:val="ActHead5"/>
      </w:pPr>
      <w:bookmarkStart w:id="1107" w:name="_Toc152054532"/>
      <w:bookmarkStart w:id="1108" w:name="_Toc158712348"/>
      <w:r w:rsidRPr="006F296E">
        <w:rPr>
          <w:rStyle w:val="CharSectno"/>
        </w:rPr>
        <w:lastRenderedPageBreak/>
        <w:t>7.7.10AB</w:t>
      </w:r>
      <w:r w:rsidRPr="00283424">
        <w:t xml:space="preserve">  Financial services guide—contents of guide</w:t>
      </w:r>
      <w:bookmarkEnd w:id="1107"/>
      <w:bookmarkEnd w:id="1108"/>
    </w:p>
    <w:p w14:paraId="17A2C222" w14:textId="77777777" w:rsidR="00E93F58" w:rsidRPr="00283424" w:rsidRDefault="00E93F58" w:rsidP="00B50726">
      <w:pPr>
        <w:pStyle w:val="SubsectionHead"/>
      </w:pPr>
      <w:r w:rsidRPr="00283424">
        <w:t>Financial services guide given by financial services licensee</w:t>
      </w:r>
    </w:p>
    <w:p w14:paraId="59FE5423" w14:textId="77777777" w:rsidR="00E93F58" w:rsidRPr="00283424" w:rsidRDefault="00E93F58" w:rsidP="00B50726">
      <w:pPr>
        <w:pStyle w:val="subsection"/>
      </w:pPr>
      <w:r w:rsidRPr="00283424">
        <w:tab/>
        <w:t>(1)</w:t>
      </w:r>
      <w:r w:rsidRPr="00283424">
        <w:tab/>
        <w:t>For paragraph 951C(1)(c) of the Act, Part 7.7 of the Act applies as if paragraph 942B(2)(c) of the Act were omitted and the following paragraph were substituted:</w:t>
      </w:r>
    </w:p>
    <w:p w14:paraId="0CEEBA7E" w14:textId="77777777" w:rsidR="00E93F58" w:rsidRPr="00283424" w:rsidRDefault="00E93F58" w:rsidP="00B50726">
      <w:pPr>
        <w:pStyle w:val="paragraph"/>
      </w:pPr>
      <w:r w:rsidRPr="00283424">
        <w:tab/>
        <w:t>“(c)</w:t>
      </w:r>
      <w:r w:rsidRPr="00283424">
        <w:tab/>
        <w:t>either:</w:t>
      </w:r>
    </w:p>
    <w:p w14:paraId="3D7521A1" w14:textId="77777777" w:rsidR="00E93F58" w:rsidRPr="00283424" w:rsidRDefault="00E93F58" w:rsidP="00B50726">
      <w:pPr>
        <w:pStyle w:val="paragraphsub"/>
      </w:pPr>
      <w:r w:rsidRPr="00283424">
        <w:tab/>
        <w:t>(i)</w:t>
      </w:r>
      <w:r w:rsidRPr="00283424">
        <w:tab/>
        <w:t xml:space="preserve">information about the financial services (the </w:t>
      </w:r>
      <w:r w:rsidRPr="00283424">
        <w:rPr>
          <w:b/>
          <w:i/>
        </w:rPr>
        <w:t>authorised services</w:t>
      </w:r>
      <w:r w:rsidRPr="00283424">
        <w:t>) that the providing entity will be, or is likely to be, providing to the client, and the kinds of financial products to which those services relate; or</w:t>
      </w:r>
    </w:p>
    <w:p w14:paraId="5197FD9F" w14:textId="77777777" w:rsidR="00E93F58" w:rsidRPr="00283424" w:rsidRDefault="00E93F58" w:rsidP="00B50726">
      <w:pPr>
        <w:pStyle w:val="paragraphsub"/>
      </w:pPr>
      <w:r w:rsidRPr="00283424">
        <w:tab/>
        <w:t>(ii)</w:t>
      </w:r>
      <w:r w:rsidRPr="00283424">
        <w:tab/>
        <w:t xml:space="preserve">information about the kinds of financial services (the </w:t>
      </w:r>
      <w:r w:rsidRPr="00283424">
        <w:rPr>
          <w:b/>
          <w:i/>
        </w:rPr>
        <w:t>authorised services</w:t>
      </w:r>
      <w:r w:rsidRPr="00283424">
        <w:t>) that the providing entity is authorised by its licence to provide, and the kinds of financial products to which those services relate; and”.</w:t>
      </w:r>
    </w:p>
    <w:p w14:paraId="4EE99853" w14:textId="77777777" w:rsidR="00E93F58" w:rsidRPr="00283424" w:rsidRDefault="00E93F58" w:rsidP="00B50726">
      <w:pPr>
        <w:pStyle w:val="SubsectionHead"/>
      </w:pPr>
      <w:r w:rsidRPr="00283424">
        <w:t>Financial services guide given by authorised representative</w:t>
      </w:r>
    </w:p>
    <w:p w14:paraId="728580A4" w14:textId="77777777" w:rsidR="00E93F58" w:rsidRPr="00283424" w:rsidRDefault="00E93F58" w:rsidP="00B50726">
      <w:pPr>
        <w:pStyle w:val="subsection"/>
      </w:pPr>
      <w:r w:rsidRPr="00283424">
        <w:tab/>
        <w:t>(2)</w:t>
      </w:r>
      <w:r w:rsidRPr="00283424">
        <w:tab/>
        <w:t>For paragraph 951C(1)(c) of the Act, Part 7.7 of the Act applies as if paragraphs 942C(2)(c), (d) and (e) of the Act were omitted and the following paragraphs were substituted:</w:t>
      </w:r>
    </w:p>
    <w:p w14:paraId="06A50147" w14:textId="77777777" w:rsidR="00E93F58" w:rsidRPr="00283424" w:rsidRDefault="00E93F58" w:rsidP="00B50726">
      <w:pPr>
        <w:pStyle w:val="paragraph"/>
      </w:pPr>
      <w:r w:rsidRPr="00283424">
        <w:tab/>
        <w:t>“(c)</w:t>
      </w:r>
      <w:r w:rsidRPr="00283424">
        <w:tab/>
        <w:t>either:</w:t>
      </w:r>
    </w:p>
    <w:p w14:paraId="032EB147" w14:textId="77777777" w:rsidR="00E93F58" w:rsidRPr="00283424" w:rsidRDefault="00E93F58" w:rsidP="00B50726">
      <w:pPr>
        <w:pStyle w:val="paragraphsub"/>
      </w:pPr>
      <w:r w:rsidRPr="00283424">
        <w:tab/>
        <w:t>(i)</w:t>
      </w:r>
      <w:r w:rsidRPr="00283424">
        <w:tab/>
        <w:t xml:space="preserve">information about the financial services (the </w:t>
      </w:r>
      <w:r w:rsidRPr="00283424">
        <w:rPr>
          <w:b/>
          <w:i/>
        </w:rPr>
        <w:t>authorised services</w:t>
      </w:r>
      <w:r w:rsidRPr="00283424">
        <w:t>) that the providing entity will be, or is likely to be, providing to the client, and the kinds of financial products to which those services relate; or</w:t>
      </w:r>
    </w:p>
    <w:p w14:paraId="315391EA" w14:textId="77777777" w:rsidR="00E93F58" w:rsidRPr="00283424" w:rsidRDefault="00E93F58" w:rsidP="00B50726">
      <w:pPr>
        <w:pStyle w:val="paragraphsub"/>
      </w:pPr>
      <w:r w:rsidRPr="00283424">
        <w:tab/>
        <w:t>(ii)</w:t>
      </w:r>
      <w:r w:rsidRPr="00283424">
        <w:tab/>
        <w:t xml:space="preserve">information, in relation to the authorising licensee or each of the authorising licensees, about the kinds of financial services (the </w:t>
      </w:r>
      <w:r w:rsidRPr="00283424">
        <w:rPr>
          <w:b/>
          <w:i/>
        </w:rPr>
        <w:t>authorised services</w:t>
      </w:r>
      <w:r w:rsidRPr="00283424">
        <w:t>) that the providing entity provides as representative of the authorising licensee, and the kinds of financial products to which those services relate; and</w:t>
      </w:r>
    </w:p>
    <w:p w14:paraId="6E117C6C" w14:textId="77777777" w:rsidR="00E93F58" w:rsidRPr="00283424" w:rsidRDefault="00E93F58" w:rsidP="00B50726">
      <w:pPr>
        <w:pStyle w:val="paragraph"/>
      </w:pPr>
      <w:r w:rsidRPr="00283424">
        <w:tab/>
        <w:t>(d)</w:t>
      </w:r>
      <w:r w:rsidRPr="00283424">
        <w:tab/>
        <w:t>information about who the authorising licensee, or each of the authorising licensees, acts for when the authorised services are provided on their behalf by the providing entity; and</w:t>
      </w:r>
    </w:p>
    <w:p w14:paraId="2FDF37D7" w14:textId="77777777" w:rsidR="00E93F58" w:rsidRPr="00283424" w:rsidRDefault="00E93F58" w:rsidP="00B50726">
      <w:pPr>
        <w:pStyle w:val="paragraph"/>
      </w:pPr>
      <w:r w:rsidRPr="00283424">
        <w:tab/>
        <w:t>(e)</w:t>
      </w:r>
      <w:r w:rsidRPr="00283424">
        <w:tab/>
        <w:t>a statement:</w:t>
      </w:r>
    </w:p>
    <w:p w14:paraId="216E0FA5" w14:textId="77777777" w:rsidR="00E93F58" w:rsidRPr="00283424" w:rsidRDefault="00E93F58" w:rsidP="00B50726">
      <w:pPr>
        <w:pStyle w:val="paragraphsub"/>
      </w:pPr>
      <w:r w:rsidRPr="00283424">
        <w:tab/>
        <w:t>(i)</w:t>
      </w:r>
      <w:r w:rsidRPr="00283424">
        <w:tab/>
        <w:t>setting out the name and contact details of the authorising licensee, or of each of the authorising licensees, mentioned in paragraph (d); and</w:t>
      </w:r>
    </w:p>
    <w:p w14:paraId="165AECEF" w14:textId="77777777" w:rsidR="00E93F58" w:rsidRPr="00283424" w:rsidRDefault="00E93F58" w:rsidP="00B50726">
      <w:pPr>
        <w:pStyle w:val="paragraphsub"/>
      </w:pPr>
      <w:r w:rsidRPr="00283424">
        <w:tab/>
        <w:t>(ii)</w:t>
      </w:r>
      <w:r w:rsidRPr="00283424">
        <w:tab/>
        <w:t>stating that the providing entity is the authorised representative of that licensee or those licensees; and”.</w:t>
      </w:r>
    </w:p>
    <w:p w14:paraId="394044F2" w14:textId="77777777" w:rsidR="00E93F58" w:rsidRPr="00283424" w:rsidRDefault="00E93F58" w:rsidP="00B50726">
      <w:pPr>
        <w:pStyle w:val="ActHead5"/>
      </w:pPr>
      <w:bookmarkStart w:id="1109" w:name="_Toc152054533"/>
      <w:bookmarkStart w:id="1110" w:name="_Toc158712349"/>
      <w:r w:rsidRPr="006F296E">
        <w:rPr>
          <w:rStyle w:val="CharSectno"/>
        </w:rPr>
        <w:t>7.7.10AC</w:t>
      </w:r>
      <w:r w:rsidRPr="00283424">
        <w:t xml:space="preserve">  Financial services guide</w:t>
      </w:r>
      <w:bookmarkEnd w:id="1109"/>
      <w:bookmarkEnd w:id="1110"/>
    </w:p>
    <w:p w14:paraId="71A1D3A0" w14:textId="77777777" w:rsidR="00E93F58" w:rsidRPr="00283424" w:rsidRDefault="00E93F58" w:rsidP="00B50726">
      <w:pPr>
        <w:pStyle w:val="SubsectionHead"/>
      </w:pPr>
      <w:r w:rsidRPr="00283424">
        <w:t>Financial services guide given by financial services licensee—contents of guide</w:t>
      </w:r>
    </w:p>
    <w:p w14:paraId="6840878D" w14:textId="77777777" w:rsidR="00E93F58" w:rsidRPr="00283424" w:rsidRDefault="00E93F58" w:rsidP="00B50726">
      <w:pPr>
        <w:pStyle w:val="subsection"/>
      </w:pPr>
      <w:r w:rsidRPr="00283424">
        <w:tab/>
        <w:t>(1)</w:t>
      </w:r>
      <w:r w:rsidRPr="00283424">
        <w:tab/>
        <w:t>For paragraph 951C(1)(c) of the Act, Part 7.7 of the Act applies as if paragraph 942B(2)(g) were omitted and the following paragraph were substituted:</w:t>
      </w:r>
    </w:p>
    <w:p w14:paraId="0E9D11C1" w14:textId="77777777" w:rsidR="00E93F58" w:rsidRPr="00283424" w:rsidRDefault="00E93F58" w:rsidP="00B50726">
      <w:pPr>
        <w:pStyle w:val="paragraph"/>
      </w:pPr>
      <w:r w:rsidRPr="00283424">
        <w:tab/>
        <w:t>“(g)</w:t>
      </w:r>
      <w:r w:rsidRPr="00283424">
        <w:tab/>
        <w:t>if the providing entity provides further advice—a statement in relation to which the following requirements are satisfied:</w:t>
      </w:r>
    </w:p>
    <w:p w14:paraId="3ABED14F" w14:textId="77777777" w:rsidR="00E93F58" w:rsidRPr="00283424" w:rsidRDefault="00E93F58" w:rsidP="00B50726">
      <w:pPr>
        <w:pStyle w:val="paragraphsub"/>
      </w:pPr>
      <w:r w:rsidRPr="00283424">
        <w:tab/>
        <w:t>(i)</w:t>
      </w:r>
      <w:r w:rsidRPr="00283424">
        <w:tab/>
        <w:t>the statement must indicate that the client may request a record of further advice that is provided to them, if they have not already been provided with a record of that advice;</w:t>
      </w:r>
    </w:p>
    <w:p w14:paraId="4570A661" w14:textId="77777777" w:rsidR="00E93F58" w:rsidRPr="00283424" w:rsidRDefault="00E93F58" w:rsidP="00B50726">
      <w:pPr>
        <w:pStyle w:val="paragraphsub"/>
      </w:pPr>
      <w:r w:rsidRPr="00283424">
        <w:tab/>
        <w:t>(ii)</w:t>
      </w:r>
      <w:r w:rsidRPr="00283424">
        <w:tab/>
        <w:t>the statement must set out particulars of how the client may request such a record;</w:t>
      </w:r>
    </w:p>
    <w:p w14:paraId="0DABB98C" w14:textId="77777777" w:rsidR="00E93F58" w:rsidRPr="00283424" w:rsidRDefault="00E93F58" w:rsidP="00B50726">
      <w:pPr>
        <w:pStyle w:val="paragraphsub"/>
      </w:pPr>
      <w:r w:rsidRPr="00283424">
        <w:tab/>
        <w:t>(iii)</w:t>
      </w:r>
      <w:r w:rsidRPr="00283424">
        <w:tab/>
        <w:t>any limitation in those particulars relating to the time within which the client may request such a record must be consistent with any applicable requirements in regulations made for the purposes of this subparagraph or, if there are no such applicable requirements, must be such as to allow the client a reasonable opportunity to request a record of the advice; and”.</w:t>
      </w:r>
    </w:p>
    <w:p w14:paraId="0FF9EF54" w14:textId="77777777" w:rsidR="00E93F58" w:rsidRPr="00283424" w:rsidRDefault="00E93F58" w:rsidP="00B50726">
      <w:pPr>
        <w:pStyle w:val="SubsectionHead"/>
      </w:pPr>
      <w:r w:rsidRPr="00283424">
        <w:t>Financial services guide given by financial services licensee—compliance with statement</w:t>
      </w:r>
    </w:p>
    <w:p w14:paraId="025F173A" w14:textId="77777777" w:rsidR="00E93F58" w:rsidRPr="00283424" w:rsidRDefault="00E93F58" w:rsidP="00B50726">
      <w:pPr>
        <w:pStyle w:val="subsection"/>
      </w:pPr>
      <w:r w:rsidRPr="00283424">
        <w:tab/>
        <w:t>(2)</w:t>
      </w:r>
      <w:r w:rsidRPr="00283424">
        <w:tab/>
        <w:t>For paragraph 951C(1)(c) of the Act, Part 7.7 of the Act applies as if subsection 942B(8) were omitted and the following subsection were substituted:</w:t>
      </w:r>
    </w:p>
    <w:p w14:paraId="150AB7E8" w14:textId="77777777" w:rsidR="00E93F58" w:rsidRPr="00283424" w:rsidRDefault="00E93F58" w:rsidP="00B50726">
      <w:pPr>
        <w:pStyle w:val="subsection"/>
      </w:pPr>
      <w:r w:rsidRPr="00283424">
        <w:tab/>
        <w:t>“(8)</w:t>
      </w:r>
      <w:r w:rsidRPr="00283424">
        <w:tab/>
        <w:t>If:</w:t>
      </w:r>
    </w:p>
    <w:p w14:paraId="573DFCB9" w14:textId="77777777" w:rsidR="00E93F58" w:rsidRPr="00283424" w:rsidRDefault="00E93F58" w:rsidP="00B50726">
      <w:pPr>
        <w:pStyle w:val="paragraph"/>
      </w:pPr>
      <w:r w:rsidRPr="00283424">
        <w:tab/>
        <w:t>(a)</w:t>
      </w:r>
      <w:r w:rsidRPr="00283424">
        <w:tab/>
        <w:t>the Financial Services Guide includes a statement to the effect that a client may request a record of further advice; and</w:t>
      </w:r>
    </w:p>
    <w:p w14:paraId="001533F5" w14:textId="77777777" w:rsidR="00E93F58" w:rsidRPr="00283424" w:rsidRDefault="00E93F58" w:rsidP="00B50726">
      <w:pPr>
        <w:pStyle w:val="paragraph"/>
      </w:pPr>
      <w:r w:rsidRPr="00283424">
        <w:tab/>
        <w:t>(b)</w:t>
      </w:r>
      <w:r w:rsidRPr="00283424">
        <w:tab/>
        <w:t>the client is provided with further advice to which that statement applies; and</w:t>
      </w:r>
    </w:p>
    <w:p w14:paraId="4876DCF3" w14:textId="77777777" w:rsidR="00E93F58" w:rsidRPr="00283424" w:rsidRDefault="00E93F58" w:rsidP="00B50726">
      <w:pPr>
        <w:pStyle w:val="paragraph"/>
      </w:pPr>
      <w:r w:rsidRPr="00283424">
        <w:tab/>
        <w:t>(c)</w:t>
      </w:r>
      <w:r w:rsidRPr="00283424">
        <w:tab/>
        <w:t>the client has not already been provided with a record of that advice;</w:t>
      </w:r>
    </w:p>
    <w:p w14:paraId="130730CC" w14:textId="77777777" w:rsidR="00E93F58" w:rsidRPr="00283424" w:rsidRDefault="00E93F58" w:rsidP="00B50726">
      <w:pPr>
        <w:pStyle w:val="subsection2"/>
      </w:pPr>
      <w:r w:rsidRPr="00283424">
        <w:lastRenderedPageBreak/>
        <w:t>the providing entity must comply with a request made in accordance with that statement for a record of that advice.</w:t>
      </w:r>
    </w:p>
    <w:p w14:paraId="15E7AD0C" w14:textId="77777777" w:rsidR="00E93F58" w:rsidRPr="00283424" w:rsidRDefault="00E93F58" w:rsidP="00B50726">
      <w:pPr>
        <w:pStyle w:val="notetext"/>
      </w:pPr>
      <w:r w:rsidRPr="00283424">
        <w:t>Note:</w:t>
      </w:r>
      <w:r w:rsidRPr="00283424">
        <w:tab/>
        <w:t>Failure to comply with this subsection is an offence (see subsection 1311(1)).”</w:t>
      </w:r>
    </w:p>
    <w:p w14:paraId="73E65BE8" w14:textId="77777777" w:rsidR="00E93F58" w:rsidRPr="00283424" w:rsidRDefault="00E93F58" w:rsidP="00B50726">
      <w:pPr>
        <w:pStyle w:val="ActHead5"/>
      </w:pPr>
      <w:bookmarkStart w:id="1111" w:name="_Toc152054534"/>
      <w:bookmarkStart w:id="1112" w:name="_Toc158712350"/>
      <w:r w:rsidRPr="006F296E">
        <w:rPr>
          <w:rStyle w:val="CharSectno"/>
        </w:rPr>
        <w:t>7.7.10AD</w:t>
      </w:r>
      <w:r w:rsidRPr="00283424">
        <w:t xml:space="preserve">  Financial services guide</w:t>
      </w:r>
      <w:bookmarkEnd w:id="1111"/>
      <w:bookmarkEnd w:id="1112"/>
    </w:p>
    <w:p w14:paraId="6760B61C" w14:textId="77777777" w:rsidR="00E93F58" w:rsidRPr="00283424" w:rsidRDefault="00E93F58" w:rsidP="00B50726">
      <w:pPr>
        <w:pStyle w:val="SubsectionHead"/>
      </w:pPr>
      <w:r w:rsidRPr="00283424">
        <w:t>Financial services guide given by authorised representative—contents of guide</w:t>
      </w:r>
    </w:p>
    <w:p w14:paraId="0437407E" w14:textId="77777777" w:rsidR="00E93F58" w:rsidRPr="00283424" w:rsidRDefault="00E93F58" w:rsidP="00B50726">
      <w:pPr>
        <w:pStyle w:val="subsection"/>
      </w:pPr>
      <w:r w:rsidRPr="00283424">
        <w:tab/>
        <w:t>(1)</w:t>
      </w:r>
      <w:r w:rsidRPr="00283424">
        <w:tab/>
        <w:t>For paragraph 951C(1)(c) of the Act, Part 7.7 of the Act applies as if paragraph 942C(2)(h) were omitted and the following paragraph were substituted:</w:t>
      </w:r>
    </w:p>
    <w:p w14:paraId="56B1DFF6" w14:textId="77777777" w:rsidR="00E93F58" w:rsidRPr="00283424" w:rsidRDefault="00E93F58" w:rsidP="00B50726">
      <w:pPr>
        <w:pStyle w:val="paragraph"/>
      </w:pPr>
      <w:r w:rsidRPr="00283424">
        <w:tab/>
        <w:t>“(h)</w:t>
      </w:r>
      <w:r w:rsidRPr="00283424">
        <w:tab/>
        <w:t>if the providing entity, when acting as representative of the authorising licensee or any of the authorising licensees, provides further advice—a statement in relation to which the following requirements are satisfied:</w:t>
      </w:r>
    </w:p>
    <w:p w14:paraId="00E9D76F" w14:textId="77777777" w:rsidR="00E93F58" w:rsidRPr="00283424" w:rsidRDefault="00E93F58" w:rsidP="00B50726">
      <w:pPr>
        <w:pStyle w:val="paragraphsub"/>
      </w:pPr>
      <w:r w:rsidRPr="00283424">
        <w:tab/>
        <w:t>(i)</w:t>
      </w:r>
      <w:r w:rsidRPr="00283424">
        <w:tab/>
        <w:t>the statement must indicate that the client may request a record of further advice that is provided to them, if they have not already been provided with a record of that advice;</w:t>
      </w:r>
    </w:p>
    <w:p w14:paraId="25FA627E" w14:textId="77777777" w:rsidR="00E93F58" w:rsidRPr="00283424" w:rsidRDefault="00E93F58" w:rsidP="00B50726">
      <w:pPr>
        <w:pStyle w:val="paragraphsub"/>
      </w:pPr>
      <w:r w:rsidRPr="00283424">
        <w:tab/>
        <w:t>(ii)</w:t>
      </w:r>
      <w:r w:rsidRPr="00283424">
        <w:tab/>
        <w:t>the statement must set out particulars of how the client may request such a record;</w:t>
      </w:r>
    </w:p>
    <w:p w14:paraId="11A132DA" w14:textId="77777777" w:rsidR="00E93F58" w:rsidRPr="00283424" w:rsidRDefault="00E93F58" w:rsidP="00B50726">
      <w:pPr>
        <w:pStyle w:val="paragraphsub"/>
      </w:pPr>
      <w:r w:rsidRPr="00283424">
        <w:tab/>
        <w:t>(iii)</w:t>
      </w:r>
      <w:r w:rsidRPr="00283424">
        <w:tab/>
        <w:t>any limitation in those particulars relating to the time within which the client may request such a record must be consistent with any applicable requirements in regulations made for the purposes of this subparagraph or, if there are no such applicable requirements, must be such as to allow the client a reasonable opportunity to request a record of the advice; and”.</w:t>
      </w:r>
    </w:p>
    <w:p w14:paraId="70288137" w14:textId="77777777" w:rsidR="00E93F58" w:rsidRPr="00283424" w:rsidRDefault="00E93F58" w:rsidP="00B50726">
      <w:pPr>
        <w:pStyle w:val="SubsectionHead"/>
      </w:pPr>
      <w:r w:rsidRPr="00283424">
        <w:t>Financial services guide given by authorised representative—compliance with statement</w:t>
      </w:r>
    </w:p>
    <w:p w14:paraId="5CF1FD06" w14:textId="77777777" w:rsidR="00E93F58" w:rsidRPr="00283424" w:rsidRDefault="00E93F58" w:rsidP="00B50726">
      <w:pPr>
        <w:pStyle w:val="subsection"/>
      </w:pPr>
      <w:r w:rsidRPr="00283424">
        <w:tab/>
        <w:t>(2)</w:t>
      </w:r>
      <w:r w:rsidRPr="00283424">
        <w:tab/>
        <w:t>For paragraph 951C(1)(c) of the Act, Part 7.7 of the Act applies as if subsection 942C(8) were omitted and the following subsection were substituted:</w:t>
      </w:r>
    </w:p>
    <w:p w14:paraId="4A84AFE9" w14:textId="77777777" w:rsidR="00E93F58" w:rsidRPr="00283424" w:rsidRDefault="00E93F58" w:rsidP="00B50726">
      <w:pPr>
        <w:pStyle w:val="subsection"/>
      </w:pPr>
      <w:r w:rsidRPr="00283424">
        <w:tab/>
        <w:t>“(8)</w:t>
      </w:r>
      <w:r w:rsidRPr="00283424">
        <w:tab/>
        <w:t>If:</w:t>
      </w:r>
    </w:p>
    <w:p w14:paraId="5F5D6A97" w14:textId="77777777" w:rsidR="00E93F58" w:rsidRPr="00283424" w:rsidRDefault="00E93F58" w:rsidP="00B50726">
      <w:pPr>
        <w:pStyle w:val="paragraph"/>
      </w:pPr>
      <w:r w:rsidRPr="00283424">
        <w:tab/>
        <w:t>(a)</w:t>
      </w:r>
      <w:r w:rsidRPr="00283424">
        <w:tab/>
        <w:t>the Financial Services Guide includes a statement to the effect that a client may request a record of further advice; and</w:t>
      </w:r>
    </w:p>
    <w:p w14:paraId="1DCF00BE" w14:textId="77777777" w:rsidR="00E93F58" w:rsidRPr="00283424" w:rsidRDefault="00E93F58" w:rsidP="00B50726">
      <w:pPr>
        <w:pStyle w:val="paragraph"/>
      </w:pPr>
      <w:r w:rsidRPr="00283424">
        <w:tab/>
        <w:t>(b)</w:t>
      </w:r>
      <w:r w:rsidRPr="00283424">
        <w:tab/>
        <w:t>the client is provided with further advice to which that statement applies; and</w:t>
      </w:r>
    </w:p>
    <w:p w14:paraId="295C435B" w14:textId="77777777" w:rsidR="00E93F58" w:rsidRPr="00283424" w:rsidRDefault="00E93F58" w:rsidP="00B50726">
      <w:pPr>
        <w:pStyle w:val="paragraph"/>
      </w:pPr>
      <w:r w:rsidRPr="00283424">
        <w:tab/>
        <w:t>(c)</w:t>
      </w:r>
      <w:r w:rsidRPr="00283424">
        <w:tab/>
        <w:t>the client has not already been provided with a record of that advice;</w:t>
      </w:r>
    </w:p>
    <w:p w14:paraId="5390B4BA" w14:textId="77777777" w:rsidR="00E93F58" w:rsidRPr="00283424" w:rsidRDefault="00E93F58" w:rsidP="00B50726">
      <w:pPr>
        <w:pStyle w:val="subsection2"/>
      </w:pPr>
      <w:r w:rsidRPr="00283424">
        <w:t>the providing entity must comply with a request made in accordance with that statement for a record of that advice.</w:t>
      </w:r>
    </w:p>
    <w:p w14:paraId="71722606" w14:textId="77777777" w:rsidR="00E93F58" w:rsidRPr="00283424" w:rsidRDefault="00E93F58" w:rsidP="00B50726">
      <w:pPr>
        <w:pStyle w:val="notetext"/>
      </w:pPr>
      <w:r w:rsidRPr="00283424">
        <w:t>Note:</w:t>
      </w:r>
      <w:r w:rsidRPr="00283424">
        <w:tab/>
        <w:t>Failure to comply with this subsection is an offence (see subsection 1311(1)).”</w:t>
      </w:r>
    </w:p>
    <w:p w14:paraId="4329A7F2" w14:textId="77777777" w:rsidR="00E93F58" w:rsidRPr="00283424" w:rsidRDefault="00E93F58" w:rsidP="00B50726">
      <w:pPr>
        <w:pStyle w:val="ActHead5"/>
      </w:pPr>
      <w:bookmarkStart w:id="1113" w:name="_Toc152054535"/>
      <w:bookmarkStart w:id="1114" w:name="_Toc158712351"/>
      <w:r w:rsidRPr="006F296E">
        <w:rPr>
          <w:rStyle w:val="CharSectno"/>
        </w:rPr>
        <w:t>7.7.10AE</w:t>
      </w:r>
      <w:r w:rsidRPr="00283424">
        <w:t xml:space="preserve">  Situations in which Statement of Advice not required</w:t>
      </w:r>
      <w:bookmarkEnd w:id="1113"/>
      <w:bookmarkEnd w:id="1114"/>
    </w:p>
    <w:p w14:paraId="301CBAD1" w14:textId="77777777" w:rsidR="00E93F58" w:rsidRPr="00283424" w:rsidRDefault="00E93F58" w:rsidP="00B50726">
      <w:pPr>
        <w:pStyle w:val="subsection"/>
      </w:pPr>
      <w:r w:rsidRPr="00283424">
        <w:tab/>
      </w:r>
      <w:r w:rsidRPr="00283424">
        <w:tab/>
        <w:t>For paragraph 951C(1)(c) of the Act, Part 7.7 of the Act applies as if section 946B of the Act were omitted and the following section were substituted:</w:t>
      </w:r>
    </w:p>
    <w:p w14:paraId="5937BDD7" w14:textId="77777777" w:rsidR="00E93F58" w:rsidRPr="00283424" w:rsidRDefault="00E93F58" w:rsidP="00B50726">
      <w:pPr>
        <w:pStyle w:val="Specials"/>
      </w:pPr>
      <w:r w:rsidRPr="00283424">
        <w:t>“946B  Situations in which a Statement of Advice is not required</w:t>
      </w:r>
    </w:p>
    <w:p w14:paraId="4A7AB9BF" w14:textId="77777777" w:rsidR="00E93F58" w:rsidRPr="00283424" w:rsidRDefault="00E93F58" w:rsidP="00B50726">
      <w:pPr>
        <w:pStyle w:val="SubsectionHead"/>
      </w:pPr>
      <w:r w:rsidRPr="00283424">
        <w:t>First situation: further advice</w:t>
      </w:r>
    </w:p>
    <w:p w14:paraId="6134A9A7" w14:textId="77777777" w:rsidR="00E93F58" w:rsidRPr="00283424" w:rsidRDefault="00E93F58" w:rsidP="00B50726">
      <w:pPr>
        <w:pStyle w:val="subsection"/>
      </w:pPr>
      <w:r w:rsidRPr="00283424">
        <w:tab/>
        <w:t>(1)</w:t>
      </w:r>
      <w:r w:rsidRPr="00283424">
        <w:tab/>
        <w:t xml:space="preserve">The providing entity does not have to give the client a Statement of Advice for particular advice (the </w:t>
      </w:r>
      <w:r w:rsidRPr="00283424">
        <w:rPr>
          <w:b/>
          <w:i/>
          <w:iCs/>
        </w:rPr>
        <w:t>further advice</w:t>
      </w:r>
      <w:r w:rsidRPr="00283424">
        <w:t>) if subsection (2) or (2A) applies.</w:t>
      </w:r>
    </w:p>
    <w:p w14:paraId="3C5D60A2" w14:textId="77777777" w:rsidR="00E93F58" w:rsidRPr="00283424" w:rsidRDefault="00E93F58" w:rsidP="00B50726">
      <w:pPr>
        <w:pStyle w:val="subsection"/>
      </w:pPr>
      <w:r w:rsidRPr="00283424">
        <w:tab/>
        <w:t>(2)</w:t>
      </w:r>
      <w:r w:rsidRPr="00283424">
        <w:tab/>
        <w:t>This subsection applies if:</w:t>
      </w:r>
    </w:p>
    <w:p w14:paraId="6550EF15" w14:textId="77777777" w:rsidR="00E93F58" w:rsidRPr="00283424" w:rsidRDefault="00E93F58" w:rsidP="00B50726">
      <w:pPr>
        <w:pStyle w:val="paragraph"/>
      </w:pPr>
      <w:r w:rsidRPr="00283424">
        <w:tab/>
        <w:t>(a)</w:t>
      </w:r>
      <w:r w:rsidRPr="00283424">
        <w:tab/>
        <w:t xml:space="preserve">the providing entity has previously given the client a Statement of Advice that set out the client’s relevant personal circumstances in relation to the advice (the </w:t>
      </w:r>
      <w:r w:rsidRPr="00283424">
        <w:rPr>
          <w:b/>
          <w:i/>
          <w:iCs/>
        </w:rPr>
        <w:t>previous advice</w:t>
      </w:r>
      <w:r w:rsidRPr="00283424">
        <w:t>) set out in that Statement; and</w:t>
      </w:r>
    </w:p>
    <w:p w14:paraId="6CF0D65D" w14:textId="77777777" w:rsidR="00E93F58" w:rsidRPr="00283424" w:rsidRDefault="00E93F58" w:rsidP="00B50726">
      <w:pPr>
        <w:pStyle w:val="paragraph"/>
      </w:pPr>
      <w:r w:rsidRPr="00283424">
        <w:tab/>
        <w:t>(b)</w:t>
      </w:r>
      <w:r w:rsidRPr="00283424">
        <w:tab/>
        <w:t>the client’s relevant personal circumstances in relation to the further advice (determined having regard to the client’s objectives, financial situation and needs as currently known to the providing entity) are not significantly different from the client’s relevant personal circumstances in relation to the previous advice; and</w:t>
      </w:r>
    </w:p>
    <w:p w14:paraId="6E5C908A" w14:textId="77777777" w:rsidR="00E93F58" w:rsidRPr="00283424" w:rsidRDefault="00E93F58" w:rsidP="00B50726">
      <w:pPr>
        <w:pStyle w:val="paragraph"/>
      </w:pPr>
      <w:r w:rsidRPr="00283424">
        <w:tab/>
        <w:t>(c)</w:t>
      </w:r>
      <w:r w:rsidRPr="00283424">
        <w:tab/>
        <w:t>so far as the basis on which advice is given relates to other matters—the basis on which the further advice is given is not significantly different from the basis on which the previous advice was given.</w:t>
      </w:r>
    </w:p>
    <w:p w14:paraId="7021E78E" w14:textId="77777777" w:rsidR="00E93F58" w:rsidRPr="00283424" w:rsidRDefault="00E93F58" w:rsidP="00B50726">
      <w:pPr>
        <w:pStyle w:val="notetext"/>
      </w:pPr>
      <w:r w:rsidRPr="00283424">
        <w:t>Note:</w:t>
      </w:r>
      <w:r w:rsidRPr="00283424">
        <w:tab/>
        <w:t>Paragraphs 947B(2)(b) and 947C(2)(b) require a Statement of Advice to include information about the basis on which the advice is or was given, which may include the client's relevant personal circumstances, in which case paragraph (a) of this subsection would be satisfied.</w:t>
      </w:r>
    </w:p>
    <w:p w14:paraId="5FBD224D" w14:textId="77777777" w:rsidR="00E93F58" w:rsidRPr="00283424" w:rsidRDefault="00E93F58" w:rsidP="00B50726">
      <w:pPr>
        <w:pStyle w:val="subsection"/>
      </w:pPr>
      <w:r w:rsidRPr="00283424">
        <w:lastRenderedPageBreak/>
        <w:tab/>
        <w:t>(2A)</w:t>
      </w:r>
      <w:r w:rsidRPr="00283424">
        <w:tab/>
        <w:t>This subsection applies if:</w:t>
      </w:r>
    </w:p>
    <w:p w14:paraId="75D9DD94" w14:textId="77777777" w:rsidR="00E93F58" w:rsidRPr="00283424" w:rsidRDefault="00E93F58" w:rsidP="00B50726">
      <w:pPr>
        <w:pStyle w:val="paragraph"/>
      </w:pPr>
      <w:r w:rsidRPr="00283424">
        <w:tab/>
        <w:t>(a)</w:t>
      </w:r>
      <w:r w:rsidRPr="00283424">
        <w:tab/>
        <w:t>the client had a relationship with the providing entity before:</w:t>
      </w:r>
    </w:p>
    <w:p w14:paraId="42166F66" w14:textId="77777777" w:rsidR="00E93F58" w:rsidRPr="00283424" w:rsidRDefault="00E93F58" w:rsidP="00B50726">
      <w:pPr>
        <w:pStyle w:val="paragraphsub"/>
      </w:pPr>
      <w:r w:rsidRPr="00283424">
        <w:tab/>
        <w:t>(i)</w:t>
      </w:r>
      <w:r w:rsidRPr="00283424">
        <w:tab/>
        <w:t>if the providing entity is a licensee—the day on which the providing entity obtained its Australian financial services Licence; or</w:t>
      </w:r>
    </w:p>
    <w:p w14:paraId="71BC86FA" w14:textId="77777777" w:rsidR="00E93F58" w:rsidRPr="00283424" w:rsidRDefault="00E93F58" w:rsidP="00B50726">
      <w:pPr>
        <w:pStyle w:val="paragraphsub"/>
      </w:pPr>
      <w:r w:rsidRPr="00283424">
        <w:tab/>
        <w:t>(ii)</w:t>
      </w:r>
      <w:r w:rsidRPr="00283424">
        <w:tab/>
        <w:t>if the providing entity is an authorised representative—the day on which the licensee on whose behalf the advice is provided obtained its Australian financial services Licence; and</w:t>
      </w:r>
    </w:p>
    <w:p w14:paraId="68930660" w14:textId="77777777" w:rsidR="00E93F58" w:rsidRPr="00283424" w:rsidRDefault="00E93F58" w:rsidP="00B50726">
      <w:pPr>
        <w:pStyle w:val="paragraph"/>
      </w:pPr>
      <w:r w:rsidRPr="00283424">
        <w:tab/>
        <w:t>(b)</w:t>
      </w:r>
      <w:r w:rsidRPr="00283424">
        <w:tab/>
        <w:t xml:space="preserve">the providing entity gave the client advice (the </w:t>
      </w:r>
      <w:r w:rsidRPr="00283424">
        <w:rPr>
          <w:b/>
          <w:i/>
        </w:rPr>
        <w:t>earlier advice</w:t>
      </w:r>
      <w:r w:rsidRPr="00283424">
        <w:t>) of a kind that if it were given after the day the Australian financial services Licence was obtained would be considered to be personal advice; and</w:t>
      </w:r>
    </w:p>
    <w:p w14:paraId="6B687DE5" w14:textId="77777777" w:rsidR="00E93F58" w:rsidRPr="00283424" w:rsidRDefault="00E93F58" w:rsidP="00B50726">
      <w:pPr>
        <w:pStyle w:val="paragraph"/>
      </w:pPr>
      <w:r w:rsidRPr="00283424">
        <w:tab/>
        <w:t>(c)</w:t>
      </w:r>
      <w:r w:rsidRPr="00283424">
        <w:tab/>
        <w:t>the client’s relevant personal circumstances in relation to the further advice are not significantly different from the client’s investment objectives, financial situation and particular needs that were determined for the earlier advice; and</w:t>
      </w:r>
    </w:p>
    <w:p w14:paraId="22B29F0C" w14:textId="77777777" w:rsidR="00E93F58" w:rsidRPr="00283424" w:rsidRDefault="00E93F58" w:rsidP="00B50726">
      <w:pPr>
        <w:pStyle w:val="paragraph"/>
      </w:pPr>
      <w:r w:rsidRPr="00283424">
        <w:tab/>
        <w:t>(d)</w:t>
      </w:r>
      <w:r w:rsidRPr="00283424">
        <w:tab/>
        <w:t>so far as the basis on which advice is given relates to other matters—the basis on which the further advice is given is not significantly different from the basis on which the earlier advice was given.</w:t>
      </w:r>
    </w:p>
    <w:p w14:paraId="398C55B8" w14:textId="77777777" w:rsidR="00E93F58" w:rsidRPr="00283424" w:rsidRDefault="00E93F58" w:rsidP="00B50726">
      <w:pPr>
        <w:pStyle w:val="subsection"/>
        <w:spacing w:line="240" w:lineRule="exact"/>
      </w:pPr>
      <w:r w:rsidRPr="00283424">
        <w:tab/>
        <w:t>(3)</w:t>
      </w:r>
      <w:r w:rsidRPr="00283424">
        <w:tab/>
        <w:t>At the same time or as soon as practicable after the further advice is given to the client, the client must be given a statement that contains the information that would, if a Statement of Advice were to be given, be required to be in the Statement by paragraphs 947B(2)(d) and (e), or 947C(2)(e) and (f), as the case requires, and by section 947D, if applicable.</w:t>
      </w:r>
    </w:p>
    <w:p w14:paraId="57C13CD3" w14:textId="77777777" w:rsidR="00E93F58" w:rsidRPr="00283424" w:rsidRDefault="00E93F58" w:rsidP="00B50726">
      <w:pPr>
        <w:pStyle w:val="subsection"/>
      </w:pPr>
      <w:r w:rsidRPr="00283424">
        <w:tab/>
        <w:t>(3A)</w:t>
      </w:r>
      <w:r w:rsidRPr="00283424">
        <w:tab/>
        <w:t>The providing entity must keep a record of the further advice and, in doing so, must comply with any applicable requirements of regulations made for the purposes of this subsection.</w:t>
      </w:r>
    </w:p>
    <w:p w14:paraId="2B474159" w14:textId="77777777" w:rsidR="00E93F58" w:rsidRPr="00283424" w:rsidRDefault="00E93F58" w:rsidP="00B50726">
      <w:pPr>
        <w:pStyle w:val="notetext"/>
      </w:pPr>
      <w:r w:rsidRPr="00283424">
        <w:t>Note 1:</w:t>
      </w:r>
      <w:r w:rsidRPr="00283424">
        <w:tab/>
        <w:t>Failure to comply with this subsection is an offence (see subsection 1311(1)).</w:t>
      </w:r>
    </w:p>
    <w:p w14:paraId="67A2ACE0" w14:textId="77777777" w:rsidR="00E93F58" w:rsidRPr="00283424" w:rsidRDefault="00E93F58" w:rsidP="00B50726">
      <w:pPr>
        <w:pStyle w:val="notetext"/>
      </w:pPr>
      <w:r w:rsidRPr="00283424">
        <w:t>Note 2:</w:t>
      </w:r>
      <w:r w:rsidRPr="00283424">
        <w:tab/>
        <w:t>For the client’s right to a record of the advice, see subsections 942B(8) and 942C(8).</w:t>
      </w:r>
    </w:p>
    <w:p w14:paraId="66CEFA65" w14:textId="77777777" w:rsidR="00E93F58" w:rsidRPr="00283424" w:rsidRDefault="00E93F58" w:rsidP="00B50726">
      <w:pPr>
        <w:pStyle w:val="notetext"/>
      </w:pPr>
      <w:r w:rsidRPr="00283424">
        <w:t>Note 3:</w:t>
      </w:r>
      <w:r w:rsidRPr="00283424">
        <w:tab/>
        <w:t>Subsections 947D(2) and (3) require additional information to be included in the record in certain circumstances.</w:t>
      </w:r>
    </w:p>
    <w:p w14:paraId="2D68D98C" w14:textId="77777777" w:rsidR="00E93F58" w:rsidRPr="00283424" w:rsidRDefault="00E93F58" w:rsidP="00B50726">
      <w:pPr>
        <w:pStyle w:val="SubsectionHead"/>
      </w:pPr>
      <w:r w:rsidRPr="00283424">
        <w:t>Second situation: certain basic deposit and other products</w:t>
      </w:r>
    </w:p>
    <w:p w14:paraId="2A6E9612" w14:textId="77777777" w:rsidR="00E93F58" w:rsidRPr="00283424" w:rsidRDefault="00E93F58" w:rsidP="00B50726">
      <w:pPr>
        <w:pStyle w:val="subsection"/>
      </w:pPr>
      <w:r w:rsidRPr="00283424">
        <w:tab/>
        <w:t>(5)</w:t>
      </w:r>
      <w:r w:rsidRPr="00283424">
        <w:tab/>
        <w:t>The providing entity does not have to give the client a Statement of Advice if the advice relates to any or all of the following:</w:t>
      </w:r>
    </w:p>
    <w:p w14:paraId="6F7FEB94" w14:textId="77777777" w:rsidR="00E93F58" w:rsidRPr="00283424" w:rsidRDefault="00E93F58" w:rsidP="00B50726">
      <w:pPr>
        <w:pStyle w:val="paragraph"/>
      </w:pPr>
      <w:r w:rsidRPr="00283424">
        <w:tab/>
        <w:t>(a)</w:t>
      </w:r>
      <w:r w:rsidRPr="00283424">
        <w:tab/>
        <w:t>a basic deposit product;</w:t>
      </w:r>
    </w:p>
    <w:p w14:paraId="197D9211" w14:textId="77777777" w:rsidR="00E93F58" w:rsidRPr="00283424" w:rsidRDefault="00E93F58" w:rsidP="00B50726">
      <w:pPr>
        <w:pStyle w:val="paragraph"/>
      </w:pPr>
      <w:r w:rsidRPr="00283424">
        <w:tab/>
        <w:t>(b)</w:t>
      </w:r>
      <w:r w:rsidRPr="00283424">
        <w:tab/>
        <w:t>a facility for making non</w:t>
      </w:r>
      <w:r>
        <w:noBreakHyphen/>
      </w:r>
      <w:r w:rsidRPr="00283424">
        <w:t>cash payments (see section 763D) that is related to</w:t>
      </w:r>
      <w:r w:rsidRPr="00283424">
        <w:rPr>
          <w:iCs/>
        </w:rPr>
        <w:t xml:space="preserve"> </w:t>
      </w:r>
      <w:r w:rsidRPr="00283424">
        <w:t>a basic deposit product;</w:t>
      </w:r>
    </w:p>
    <w:p w14:paraId="01594F0D" w14:textId="77777777" w:rsidR="00E93F58" w:rsidRPr="00283424" w:rsidRDefault="00E93F58" w:rsidP="00B50726">
      <w:pPr>
        <w:pStyle w:val="paragraph"/>
      </w:pPr>
      <w:r w:rsidRPr="00283424">
        <w:tab/>
        <w:t>(c)</w:t>
      </w:r>
      <w:r w:rsidRPr="00283424">
        <w:tab/>
        <w:t>a financial product of a kind prescribed by regulations made for the purposes of this paragraph.</w:t>
      </w:r>
    </w:p>
    <w:p w14:paraId="5A3A5407" w14:textId="77777777" w:rsidR="00E93F58" w:rsidRPr="00283424" w:rsidRDefault="00E93F58" w:rsidP="00B50726">
      <w:pPr>
        <w:pStyle w:val="subsection"/>
      </w:pPr>
      <w:r w:rsidRPr="00283424">
        <w:tab/>
        <w:t>(6)</w:t>
      </w:r>
      <w:r w:rsidRPr="00283424">
        <w:tab/>
        <w:t>However, if subsection (4) applies and the client is not given a Statement of Advice, the client must instead, when, or as soon as practicable after, the advice is provided, be given</w:t>
      </w:r>
      <w:r w:rsidRPr="00283424">
        <w:rPr>
          <w:iCs/>
        </w:rPr>
        <w:t xml:space="preserve"> </w:t>
      </w:r>
      <w:r w:rsidRPr="00283424">
        <w:t>the information that would be required to be in the Statement of Advice by paragraphs 947B(2)(d) and (e), or 947C(2)(e) and (f), as the case requires.”</w:t>
      </w:r>
    </w:p>
    <w:p w14:paraId="0AB67421" w14:textId="77777777" w:rsidR="00E93F58" w:rsidRPr="00283424" w:rsidRDefault="00E93F58" w:rsidP="00B50726">
      <w:pPr>
        <w:pStyle w:val="ActHead5"/>
      </w:pPr>
      <w:bookmarkStart w:id="1115" w:name="_Toc152054536"/>
      <w:bookmarkStart w:id="1116" w:name="_Toc158712352"/>
      <w:r w:rsidRPr="006F296E">
        <w:rPr>
          <w:rStyle w:val="CharSectno"/>
        </w:rPr>
        <w:t>7.7.10AF</w:t>
      </w:r>
      <w:r w:rsidRPr="00283424">
        <w:t xml:space="preserve">  Various consequential amendments to Division 7 of Part 7.7 concerning situations where Financial Services Guides do not have to be given</w:t>
      </w:r>
      <w:bookmarkEnd w:id="1115"/>
      <w:bookmarkEnd w:id="1116"/>
    </w:p>
    <w:p w14:paraId="1491BDEE" w14:textId="77777777" w:rsidR="00E93F58" w:rsidRPr="00283424" w:rsidRDefault="00E93F58" w:rsidP="00B50726">
      <w:pPr>
        <w:pStyle w:val="subsection"/>
      </w:pPr>
      <w:r w:rsidRPr="00283424">
        <w:tab/>
        <w:t>(1)</w:t>
      </w:r>
      <w:r w:rsidRPr="00283424">
        <w:tab/>
        <w:t>For paragraph 951C(1)(c) of the Act, Part 7.7 of the Act applies as if the provision set out in column 2 of the following table were modified as set out in columns 3 and 4:</w:t>
      </w:r>
    </w:p>
    <w:p w14:paraId="362FFFD2" w14:textId="77777777" w:rsidR="00E93F58" w:rsidRPr="00283424" w:rsidRDefault="00E93F58" w:rsidP="00B50726">
      <w:pPr>
        <w:pStyle w:val="Tabletext"/>
        <w:keepNext/>
        <w:keepLine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99"/>
        <w:gridCol w:w="3397"/>
        <w:gridCol w:w="2122"/>
        <w:gridCol w:w="3555"/>
      </w:tblGrid>
      <w:tr w:rsidR="00E93F58" w:rsidRPr="00283424" w14:paraId="1617CD15" w14:textId="77777777" w:rsidTr="00EA0AFF">
        <w:trPr>
          <w:tblHeader/>
        </w:trPr>
        <w:tc>
          <w:tcPr>
            <w:tcW w:w="788" w:type="pct"/>
            <w:tcBorders>
              <w:top w:val="single" w:sz="12" w:space="0" w:color="auto"/>
              <w:bottom w:val="single" w:sz="6" w:space="0" w:color="auto"/>
            </w:tcBorders>
            <w:shd w:val="clear" w:color="auto" w:fill="auto"/>
          </w:tcPr>
          <w:p w14:paraId="6A75E325" w14:textId="77777777" w:rsidR="00E93F58" w:rsidRPr="00283424" w:rsidRDefault="00E93F58" w:rsidP="00EA0AFF">
            <w:pPr>
              <w:pStyle w:val="TableHeading"/>
              <w:keepLines/>
            </w:pPr>
            <w:r w:rsidRPr="00283424">
              <w:t>Column 1</w:t>
            </w:r>
          </w:p>
        </w:tc>
        <w:tc>
          <w:tcPr>
            <w:tcW w:w="1576" w:type="pct"/>
            <w:tcBorders>
              <w:top w:val="single" w:sz="12" w:space="0" w:color="auto"/>
              <w:bottom w:val="single" w:sz="6" w:space="0" w:color="auto"/>
            </w:tcBorders>
            <w:shd w:val="clear" w:color="auto" w:fill="auto"/>
          </w:tcPr>
          <w:p w14:paraId="4797E3B3" w14:textId="77777777" w:rsidR="00E93F58" w:rsidRPr="00283424" w:rsidRDefault="00E93F58" w:rsidP="00EA0AFF">
            <w:pPr>
              <w:pStyle w:val="TableHeading"/>
              <w:keepLines/>
            </w:pPr>
            <w:r w:rsidRPr="00283424">
              <w:t>Column 2</w:t>
            </w:r>
          </w:p>
        </w:tc>
        <w:tc>
          <w:tcPr>
            <w:tcW w:w="985" w:type="pct"/>
            <w:tcBorders>
              <w:top w:val="single" w:sz="12" w:space="0" w:color="auto"/>
              <w:bottom w:val="single" w:sz="6" w:space="0" w:color="auto"/>
            </w:tcBorders>
            <w:shd w:val="clear" w:color="auto" w:fill="auto"/>
          </w:tcPr>
          <w:p w14:paraId="29071B07" w14:textId="77777777" w:rsidR="00E93F58" w:rsidRPr="00283424" w:rsidRDefault="00E93F58" w:rsidP="00EA0AFF">
            <w:pPr>
              <w:pStyle w:val="TableHeading"/>
              <w:keepLines/>
            </w:pPr>
            <w:r w:rsidRPr="00283424">
              <w:t>Column 3</w:t>
            </w:r>
          </w:p>
        </w:tc>
        <w:tc>
          <w:tcPr>
            <w:tcW w:w="1650" w:type="pct"/>
            <w:tcBorders>
              <w:top w:val="single" w:sz="12" w:space="0" w:color="auto"/>
              <w:bottom w:val="single" w:sz="6" w:space="0" w:color="auto"/>
            </w:tcBorders>
            <w:shd w:val="clear" w:color="auto" w:fill="auto"/>
          </w:tcPr>
          <w:p w14:paraId="10A49C95" w14:textId="77777777" w:rsidR="00E93F58" w:rsidRPr="00283424" w:rsidRDefault="00E93F58" w:rsidP="00EA0AFF">
            <w:pPr>
              <w:pStyle w:val="TableHeading"/>
              <w:keepLines/>
            </w:pPr>
            <w:r w:rsidRPr="00283424">
              <w:t>Column 4</w:t>
            </w:r>
          </w:p>
        </w:tc>
      </w:tr>
      <w:tr w:rsidR="00E93F58" w:rsidRPr="00283424" w14:paraId="4F5DEBC4" w14:textId="77777777" w:rsidTr="00EA0AFF">
        <w:trPr>
          <w:tblHeader/>
        </w:trPr>
        <w:tc>
          <w:tcPr>
            <w:tcW w:w="788" w:type="pct"/>
            <w:tcBorders>
              <w:top w:val="single" w:sz="6" w:space="0" w:color="auto"/>
              <w:bottom w:val="single" w:sz="12" w:space="0" w:color="auto"/>
            </w:tcBorders>
            <w:shd w:val="clear" w:color="auto" w:fill="auto"/>
          </w:tcPr>
          <w:p w14:paraId="2A236703" w14:textId="77777777" w:rsidR="00E93F58" w:rsidRPr="00283424" w:rsidRDefault="00E93F58" w:rsidP="00EA0AFF">
            <w:pPr>
              <w:pStyle w:val="TableHeading"/>
              <w:keepLines/>
            </w:pPr>
            <w:r w:rsidRPr="00283424">
              <w:t>Item</w:t>
            </w:r>
          </w:p>
        </w:tc>
        <w:tc>
          <w:tcPr>
            <w:tcW w:w="1576" w:type="pct"/>
            <w:tcBorders>
              <w:top w:val="single" w:sz="6" w:space="0" w:color="auto"/>
              <w:bottom w:val="single" w:sz="12" w:space="0" w:color="auto"/>
            </w:tcBorders>
            <w:shd w:val="clear" w:color="auto" w:fill="auto"/>
          </w:tcPr>
          <w:p w14:paraId="2B33A366" w14:textId="77777777" w:rsidR="00E93F58" w:rsidRPr="00283424" w:rsidRDefault="00E93F58" w:rsidP="00EA0AFF">
            <w:pPr>
              <w:pStyle w:val="TableHeading"/>
              <w:keepLines/>
            </w:pPr>
            <w:r w:rsidRPr="00283424">
              <w:t>provision of Act</w:t>
            </w:r>
          </w:p>
        </w:tc>
        <w:tc>
          <w:tcPr>
            <w:tcW w:w="985" w:type="pct"/>
            <w:tcBorders>
              <w:top w:val="single" w:sz="6" w:space="0" w:color="auto"/>
              <w:bottom w:val="single" w:sz="12" w:space="0" w:color="auto"/>
            </w:tcBorders>
            <w:shd w:val="clear" w:color="auto" w:fill="auto"/>
          </w:tcPr>
          <w:p w14:paraId="77105A91" w14:textId="77777777" w:rsidR="00E93F58" w:rsidRPr="00283424" w:rsidRDefault="00E93F58" w:rsidP="00EA0AFF">
            <w:pPr>
              <w:pStyle w:val="TableHeading"/>
              <w:keepLines/>
            </w:pPr>
            <w:r w:rsidRPr="00283424">
              <w:t>is modified by…</w:t>
            </w:r>
          </w:p>
        </w:tc>
        <w:tc>
          <w:tcPr>
            <w:tcW w:w="1650" w:type="pct"/>
            <w:tcBorders>
              <w:top w:val="single" w:sz="6" w:space="0" w:color="auto"/>
              <w:bottom w:val="single" w:sz="12" w:space="0" w:color="auto"/>
            </w:tcBorders>
            <w:shd w:val="clear" w:color="auto" w:fill="auto"/>
          </w:tcPr>
          <w:p w14:paraId="496F56B3" w14:textId="77777777" w:rsidR="00E93F58" w:rsidRPr="00283424" w:rsidRDefault="00E93F58" w:rsidP="00EA0AFF">
            <w:pPr>
              <w:pStyle w:val="TableHeading"/>
              <w:keepLines/>
            </w:pPr>
            <w:r w:rsidRPr="00283424">
              <w:t>and…</w:t>
            </w:r>
          </w:p>
        </w:tc>
      </w:tr>
      <w:tr w:rsidR="00E93F58" w:rsidRPr="00283424" w14:paraId="35788F68" w14:textId="77777777" w:rsidTr="00EA0AFF">
        <w:tc>
          <w:tcPr>
            <w:tcW w:w="788" w:type="pct"/>
            <w:tcBorders>
              <w:top w:val="single" w:sz="12" w:space="0" w:color="auto"/>
            </w:tcBorders>
            <w:shd w:val="clear" w:color="auto" w:fill="auto"/>
          </w:tcPr>
          <w:p w14:paraId="612A96C4" w14:textId="77777777" w:rsidR="00E93F58" w:rsidRPr="00283424" w:rsidRDefault="00E93F58" w:rsidP="00EA0AFF">
            <w:pPr>
              <w:pStyle w:val="Tabletext"/>
            </w:pPr>
            <w:r w:rsidRPr="00283424">
              <w:t>1</w:t>
            </w:r>
          </w:p>
        </w:tc>
        <w:tc>
          <w:tcPr>
            <w:tcW w:w="1576" w:type="pct"/>
            <w:tcBorders>
              <w:top w:val="single" w:sz="12" w:space="0" w:color="auto"/>
            </w:tcBorders>
            <w:shd w:val="clear" w:color="auto" w:fill="auto"/>
          </w:tcPr>
          <w:p w14:paraId="39E6D1DE" w14:textId="77777777" w:rsidR="00E93F58" w:rsidRPr="00283424" w:rsidRDefault="00E93F58" w:rsidP="00EA0AFF">
            <w:pPr>
              <w:pStyle w:val="Tabletext"/>
            </w:pPr>
            <w:r w:rsidRPr="00283424">
              <w:t xml:space="preserve">paragraph (a) of the definition of </w:t>
            </w:r>
            <w:r w:rsidRPr="00283424">
              <w:rPr>
                <w:b/>
                <w:i/>
              </w:rPr>
              <w:t>defective</w:t>
            </w:r>
            <w:r w:rsidRPr="00283424">
              <w:t xml:space="preserve"> in subsection 952B(1)</w:t>
            </w:r>
          </w:p>
        </w:tc>
        <w:tc>
          <w:tcPr>
            <w:tcW w:w="985" w:type="pct"/>
            <w:tcBorders>
              <w:top w:val="single" w:sz="12" w:space="0" w:color="auto"/>
            </w:tcBorders>
            <w:shd w:val="clear" w:color="auto" w:fill="auto"/>
          </w:tcPr>
          <w:p w14:paraId="670E045E" w14:textId="77777777" w:rsidR="00E93F58" w:rsidRPr="00283424" w:rsidRDefault="00E93F58" w:rsidP="00EA0AFF">
            <w:pPr>
              <w:pStyle w:val="Tabletext"/>
            </w:pPr>
            <w:r w:rsidRPr="00283424">
              <w:t>omitting “941D(2)”</w:t>
            </w:r>
          </w:p>
        </w:tc>
        <w:tc>
          <w:tcPr>
            <w:tcW w:w="1650" w:type="pct"/>
            <w:tcBorders>
              <w:top w:val="single" w:sz="12" w:space="0" w:color="auto"/>
            </w:tcBorders>
            <w:shd w:val="clear" w:color="auto" w:fill="auto"/>
          </w:tcPr>
          <w:p w14:paraId="1FCA785F" w14:textId="77777777" w:rsidR="00E93F58" w:rsidRPr="00283424" w:rsidRDefault="00E93F58" w:rsidP="00EA0AFF">
            <w:pPr>
              <w:pStyle w:val="Tabletext"/>
            </w:pPr>
            <w:r w:rsidRPr="00283424">
              <w:t>substituting “941D(2) or paragraph 941C(7A)(c) or”</w:t>
            </w:r>
          </w:p>
        </w:tc>
      </w:tr>
      <w:tr w:rsidR="00E93F58" w:rsidRPr="00283424" w14:paraId="0C5185F8" w14:textId="77777777" w:rsidTr="00EA0AFF">
        <w:trPr>
          <w:cantSplit/>
        </w:trPr>
        <w:tc>
          <w:tcPr>
            <w:tcW w:w="788" w:type="pct"/>
            <w:shd w:val="clear" w:color="auto" w:fill="auto"/>
          </w:tcPr>
          <w:p w14:paraId="6D2259C7" w14:textId="77777777" w:rsidR="00E93F58" w:rsidRPr="00283424" w:rsidRDefault="00E93F58" w:rsidP="00EA0AFF">
            <w:pPr>
              <w:pStyle w:val="Tabletext"/>
            </w:pPr>
            <w:r w:rsidRPr="00283424">
              <w:t>2</w:t>
            </w:r>
          </w:p>
        </w:tc>
        <w:tc>
          <w:tcPr>
            <w:tcW w:w="1576" w:type="pct"/>
            <w:shd w:val="clear" w:color="auto" w:fill="auto"/>
          </w:tcPr>
          <w:p w14:paraId="59DB0EB1" w14:textId="77777777" w:rsidR="00E93F58" w:rsidRPr="00283424" w:rsidRDefault="00E93F58" w:rsidP="00EA0AFF">
            <w:pPr>
              <w:pStyle w:val="Tabletext"/>
            </w:pPr>
            <w:r w:rsidRPr="00283424">
              <w:t xml:space="preserve">subparagraph (a)(iv) of the definition of </w:t>
            </w:r>
            <w:r w:rsidRPr="00283424">
              <w:rPr>
                <w:b/>
                <w:i/>
              </w:rPr>
              <w:t>defective</w:t>
            </w:r>
            <w:r w:rsidRPr="00283424">
              <w:t xml:space="preserve"> in subsection 952B(1)</w:t>
            </w:r>
          </w:p>
        </w:tc>
        <w:tc>
          <w:tcPr>
            <w:tcW w:w="985" w:type="pct"/>
            <w:shd w:val="clear" w:color="auto" w:fill="auto"/>
          </w:tcPr>
          <w:p w14:paraId="43CF8F9E" w14:textId="77777777" w:rsidR="00E93F58" w:rsidRPr="00283424" w:rsidRDefault="00E93F58" w:rsidP="00EA0AFF">
            <w:pPr>
              <w:pStyle w:val="Tabletext"/>
            </w:pPr>
            <w:r w:rsidRPr="00283424">
              <w:t>omitting “941D(2)”</w:t>
            </w:r>
          </w:p>
        </w:tc>
        <w:tc>
          <w:tcPr>
            <w:tcW w:w="1650" w:type="pct"/>
            <w:shd w:val="clear" w:color="auto" w:fill="auto"/>
          </w:tcPr>
          <w:p w14:paraId="0CC568C8" w14:textId="77777777" w:rsidR="00E93F58" w:rsidRPr="00283424" w:rsidRDefault="00E93F58" w:rsidP="00EA0AFF">
            <w:pPr>
              <w:pStyle w:val="Tabletext"/>
            </w:pPr>
            <w:r w:rsidRPr="00283424">
              <w:t>substituting “941D(2) or paragraph 941C(7A)(c) or”</w:t>
            </w:r>
          </w:p>
        </w:tc>
      </w:tr>
      <w:tr w:rsidR="00E93F58" w:rsidRPr="00283424" w14:paraId="764163F4" w14:textId="77777777" w:rsidTr="00EA0AFF">
        <w:tc>
          <w:tcPr>
            <w:tcW w:w="788" w:type="pct"/>
            <w:shd w:val="clear" w:color="auto" w:fill="auto"/>
          </w:tcPr>
          <w:p w14:paraId="2E8D2F3F" w14:textId="77777777" w:rsidR="00E93F58" w:rsidRPr="00283424" w:rsidRDefault="00E93F58" w:rsidP="00EA0AFF">
            <w:pPr>
              <w:pStyle w:val="Tabletext"/>
            </w:pPr>
            <w:r w:rsidRPr="00283424">
              <w:t>3</w:t>
            </w:r>
          </w:p>
        </w:tc>
        <w:tc>
          <w:tcPr>
            <w:tcW w:w="1576" w:type="pct"/>
            <w:shd w:val="clear" w:color="auto" w:fill="auto"/>
          </w:tcPr>
          <w:p w14:paraId="795A478B" w14:textId="77777777" w:rsidR="00E93F58" w:rsidRPr="00283424" w:rsidRDefault="00E93F58" w:rsidP="00EA0AFF">
            <w:pPr>
              <w:pStyle w:val="Tabletext"/>
            </w:pPr>
            <w:r w:rsidRPr="00283424">
              <w:t xml:space="preserve">paragraph (d) of the definition of </w:t>
            </w:r>
            <w:r w:rsidRPr="00283424">
              <w:rPr>
                <w:b/>
                <w:i/>
              </w:rPr>
              <w:t>disclosure document or statement</w:t>
            </w:r>
            <w:r w:rsidRPr="00283424">
              <w:t xml:space="preserve"> in subsection 952B(1)</w:t>
            </w:r>
          </w:p>
        </w:tc>
        <w:tc>
          <w:tcPr>
            <w:tcW w:w="985" w:type="pct"/>
            <w:shd w:val="clear" w:color="auto" w:fill="auto"/>
          </w:tcPr>
          <w:p w14:paraId="1777A087" w14:textId="77777777" w:rsidR="00E93F58" w:rsidRPr="00283424" w:rsidRDefault="00E93F58" w:rsidP="00EA0AFF">
            <w:pPr>
              <w:pStyle w:val="Tabletext"/>
            </w:pPr>
            <w:r w:rsidRPr="00283424">
              <w:t>omitting “946C(2)”</w:t>
            </w:r>
          </w:p>
        </w:tc>
        <w:tc>
          <w:tcPr>
            <w:tcW w:w="1650" w:type="pct"/>
            <w:shd w:val="clear" w:color="auto" w:fill="auto"/>
          </w:tcPr>
          <w:p w14:paraId="6356066D" w14:textId="77777777" w:rsidR="00E93F58" w:rsidRPr="00283424" w:rsidRDefault="00E93F58" w:rsidP="00EA0AFF">
            <w:pPr>
              <w:pStyle w:val="Tabletext"/>
            </w:pPr>
            <w:r w:rsidRPr="00283424">
              <w:t>substituting “946C(2) or paragraph 941C(7A)(c),”</w:t>
            </w:r>
          </w:p>
        </w:tc>
      </w:tr>
      <w:tr w:rsidR="00E93F58" w:rsidRPr="00283424" w14:paraId="68AAC2C1" w14:textId="77777777" w:rsidTr="00EA0AFF">
        <w:tc>
          <w:tcPr>
            <w:tcW w:w="788" w:type="pct"/>
            <w:shd w:val="clear" w:color="auto" w:fill="auto"/>
          </w:tcPr>
          <w:p w14:paraId="45A4781C" w14:textId="77777777" w:rsidR="00E93F58" w:rsidRPr="00283424" w:rsidRDefault="00E93F58" w:rsidP="00EA0AFF">
            <w:pPr>
              <w:pStyle w:val="Tabletext"/>
            </w:pPr>
            <w:r w:rsidRPr="00283424">
              <w:t>4</w:t>
            </w:r>
          </w:p>
        </w:tc>
        <w:tc>
          <w:tcPr>
            <w:tcW w:w="1576" w:type="pct"/>
            <w:shd w:val="clear" w:color="auto" w:fill="auto"/>
          </w:tcPr>
          <w:p w14:paraId="51A09660" w14:textId="77777777" w:rsidR="00E93F58" w:rsidRPr="00283424" w:rsidRDefault="00E93F58" w:rsidP="00EA0AFF">
            <w:pPr>
              <w:pStyle w:val="Tabletext"/>
            </w:pPr>
            <w:r w:rsidRPr="00283424">
              <w:t>paragraph 952E(2)(a)</w:t>
            </w:r>
          </w:p>
        </w:tc>
        <w:tc>
          <w:tcPr>
            <w:tcW w:w="985" w:type="pct"/>
            <w:shd w:val="clear" w:color="auto" w:fill="auto"/>
          </w:tcPr>
          <w:p w14:paraId="18B5B04D" w14:textId="77777777" w:rsidR="00E93F58" w:rsidRPr="00283424" w:rsidRDefault="00E93F58" w:rsidP="00EA0AFF">
            <w:pPr>
              <w:pStyle w:val="Tabletext"/>
            </w:pPr>
            <w:r w:rsidRPr="00283424">
              <w:t>omitting “946C(2)”</w:t>
            </w:r>
          </w:p>
        </w:tc>
        <w:tc>
          <w:tcPr>
            <w:tcW w:w="1650" w:type="pct"/>
            <w:shd w:val="clear" w:color="auto" w:fill="auto"/>
          </w:tcPr>
          <w:p w14:paraId="0D394222" w14:textId="77777777" w:rsidR="00E93F58" w:rsidRPr="00283424" w:rsidRDefault="00E93F58" w:rsidP="00EA0AFF">
            <w:pPr>
              <w:pStyle w:val="Tabletext"/>
            </w:pPr>
            <w:r w:rsidRPr="00283424">
              <w:t>substituting “946C(2) or paragraph 941C(7A)(c),”</w:t>
            </w:r>
          </w:p>
        </w:tc>
      </w:tr>
      <w:tr w:rsidR="00E93F58" w:rsidRPr="00283424" w14:paraId="5E74131B" w14:textId="77777777" w:rsidTr="00283424">
        <w:trPr>
          <w:cantSplit/>
        </w:trPr>
        <w:tc>
          <w:tcPr>
            <w:tcW w:w="788" w:type="pct"/>
            <w:shd w:val="clear" w:color="auto" w:fill="auto"/>
          </w:tcPr>
          <w:p w14:paraId="79FE4CFD" w14:textId="77777777" w:rsidR="00E93F58" w:rsidRPr="00283424" w:rsidRDefault="00E93F58" w:rsidP="00EA0AFF">
            <w:pPr>
              <w:pStyle w:val="Tabletext"/>
            </w:pPr>
            <w:r w:rsidRPr="00283424">
              <w:t>5</w:t>
            </w:r>
          </w:p>
        </w:tc>
        <w:tc>
          <w:tcPr>
            <w:tcW w:w="1576" w:type="pct"/>
            <w:shd w:val="clear" w:color="auto" w:fill="auto"/>
          </w:tcPr>
          <w:p w14:paraId="2BDC6ED0" w14:textId="77777777" w:rsidR="00E93F58" w:rsidRPr="00283424" w:rsidRDefault="00E93F58" w:rsidP="00EA0AFF">
            <w:pPr>
              <w:pStyle w:val="Tabletext"/>
            </w:pPr>
            <w:r w:rsidRPr="00283424">
              <w:t>paragraph 952F(1)(b)</w:t>
            </w:r>
          </w:p>
        </w:tc>
        <w:tc>
          <w:tcPr>
            <w:tcW w:w="985" w:type="pct"/>
            <w:shd w:val="clear" w:color="auto" w:fill="auto"/>
          </w:tcPr>
          <w:p w14:paraId="4293E06D" w14:textId="77777777" w:rsidR="00E93F58" w:rsidRPr="00283424" w:rsidRDefault="00E93F58" w:rsidP="00EA0AFF">
            <w:pPr>
              <w:pStyle w:val="Tabletext"/>
            </w:pPr>
            <w:r w:rsidRPr="00283424">
              <w:t>omitting “946C(2)”</w:t>
            </w:r>
          </w:p>
        </w:tc>
        <w:tc>
          <w:tcPr>
            <w:tcW w:w="1650" w:type="pct"/>
            <w:shd w:val="clear" w:color="auto" w:fill="auto"/>
          </w:tcPr>
          <w:p w14:paraId="3E159EA6" w14:textId="77777777" w:rsidR="00E93F58" w:rsidRPr="00283424" w:rsidRDefault="00E93F58" w:rsidP="00EA0AFF">
            <w:pPr>
              <w:pStyle w:val="Tabletext"/>
            </w:pPr>
            <w:r w:rsidRPr="00283424">
              <w:t>substituting “946C(2) or paragraph 941C(7A)(c),”</w:t>
            </w:r>
          </w:p>
        </w:tc>
      </w:tr>
      <w:tr w:rsidR="00E93F58" w:rsidRPr="00283424" w14:paraId="1F232948" w14:textId="77777777" w:rsidTr="00EA0AFF">
        <w:tc>
          <w:tcPr>
            <w:tcW w:w="788" w:type="pct"/>
            <w:shd w:val="clear" w:color="auto" w:fill="auto"/>
          </w:tcPr>
          <w:p w14:paraId="260DD39E" w14:textId="77777777" w:rsidR="00E93F58" w:rsidRPr="00283424" w:rsidRDefault="00E93F58" w:rsidP="00EA0AFF">
            <w:pPr>
              <w:pStyle w:val="Tabletext"/>
            </w:pPr>
            <w:r w:rsidRPr="00283424">
              <w:t>6</w:t>
            </w:r>
          </w:p>
        </w:tc>
        <w:tc>
          <w:tcPr>
            <w:tcW w:w="1576" w:type="pct"/>
            <w:shd w:val="clear" w:color="auto" w:fill="auto"/>
          </w:tcPr>
          <w:p w14:paraId="7B7C21F2" w14:textId="77777777" w:rsidR="00E93F58" w:rsidRPr="00283424" w:rsidRDefault="00E93F58" w:rsidP="00EA0AFF">
            <w:pPr>
              <w:pStyle w:val="Tabletext"/>
            </w:pPr>
            <w:r w:rsidRPr="00283424">
              <w:t>subparagraph 952F(1)(c)(i)</w:t>
            </w:r>
          </w:p>
        </w:tc>
        <w:tc>
          <w:tcPr>
            <w:tcW w:w="985" w:type="pct"/>
            <w:shd w:val="clear" w:color="auto" w:fill="auto"/>
          </w:tcPr>
          <w:p w14:paraId="642F410A" w14:textId="77777777" w:rsidR="00E93F58" w:rsidRPr="00283424" w:rsidRDefault="00E93F58" w:rsidP="00EA0AFF">
            <w:pPr>
              <w:pStyle w:val="Tabletext"/>
            </w:pPr>
            <w:r w:rsidRPr="00283424">
              <w:t>omitting “946C(2)”</w:t>
            </w:r>
          </w:p>
        </w:tc>
        <w:tc>
          <w:tcPr>
            <w:tcW w:w="1650" w:type="pct"/>
            <w:shd w:val="clear" w:color="auto" w:fill="auto"/>
          </w:tcPr>
          <w:p w14:paraId="03DF0DDA" w14:textId="77777777" w:rsidR="00E93F58" w:rsidRPr="00283424" w:rsidRDefault="00E93F58" w:rsidP="00EA0AFF">
            <w:pPr>
              <w:pStyle w:val="Tabletext"/>
            </w:pPr>
            <w:r w:rsidRPr="00283424">
              <w:t xml:space="preserve">substituting “946C(2) or </w:t>
            </w:r>
            <w:r w:rsidRPr="00283424">
              <w:lastRenderedPageBreak/>
              <w:t>paragraph 941C(7A)(c),”</w:t>
            </w:r>
          </w:p>
        </w:tc>
      </w:tr>
      <w:tr w:rsidR="00E93F58" w:rsidRPr="00283424" w14:paraId="2F057A33" w14:textId="77777777" w:rsidTr="00EA0AFF">
        <w:tc>
          <w:tcPr>
            <w:tcW w:w="788" w:type="pct"/>
            <w:shd w:val="clear" w:color="auto" w:fill="auto"/>
          </w:tcPr>
          <w:p w14:paraId="22F374C4" w14:textId="77777777" w:rsidR="00E93F58" w:rsidRPr="00283424" w:rsidRDefault="00E93F58" w:rsidP="00EA0AFF">
            <w:pPr>
              <w:pStyle w:val="Tabletext"/>
            </w:pPr>
            <w:r w:rsidRPr="00283424">
              <w:t>7</w:t>
            </w:r>
          </w:p>
        </w:tc>
        <w:tc>
          <w:tcPr>
            <w:tcW w:w="1576" w:type="pct"/>
            <w:shd w:val="clear" w:color="auto" w:fill="auto"/>
          </w:tcPr>
          <w:p w14:paraId="70D35339" w14:textId="77777777" w:rsidR="00E93F58" w:rsidRPr="00283424" w:rsidRDefault="00E93F58" w:rsidP="00EA0AFF">
            <w:pPr>
              <w:pStyle w:val="Tabletext"/>
            </w:pPr>
            <w:r w:rsidRPr="00283424">
              <w:t>paragraph 952G(1)(b)</w:t>
            </w:r>
          </w:p>
        </w:tc>
        <w:tc>
          <w:tcPr>
            <w:tcW w:w="985" w:type="pct"/>
            <w:shd w:val="clear" w:color="auto" w:fill="auto"/>
          </w:tcPr>
          <w:p w14:paraId="762CB19B" w14:textId="77777777" w:rsidR="00E93F58" w:rsidRPr="00283424" w:rsidRDefault="00E93F58" w:rsidP="00EA0AFF">
            <w:pPr>
              <w:pStyle w:val="Tabletext"/>
            </w:pPr>
            <w:r w:rsidRPr="00283424">
              <w:t>omitting “946C(2)”</w:t>
            </w:r>
          </w:p>
        </w:tc>
        <w:tc>
          <w:tcPr>
            <w:tcW w:w="1650" w:type="pct"/>
            <w:shd w:val="clear" w:color="auto" w:fill="auto"/>
          </w:tcPr>
          <w:p w14:paraId="2BA689E9" w14:textId="77777777" w:rsidR="00E93F58" w:rsidRPr="00283424" w:rsidRDefault="00E93F58" w:rsidP="00EA0AFF">
            <w:pPr>
              <w:pStyle w:val="Tabletext"/>
            </w:pPr>
            <w:r w:rsidRPr="00283424">
              <w:t>substituting “946C(2) or paragraph 941C(7A)(c),”</w:t>
            </w:r>
          </w:p>
        </w:tc>
      </w:tr>
      <w:tr w:rsidR="00E93F58" w:rsidRPr="00283424" w14:paraId="3565E30F" w14:textId="77777777" w:rsidTr="00EA0AFF">
        <w:tc>
          <w:tcPr>
            <w:tcW w:w="788" w:type="pct"/>
            <w:shd w:val="clear" w:color="auto" w:fill="auto"/>
          </w:tcPr>
          <w:p w14:paraId="002DC61B" w14:textId="77777777" w:rsidR="00E93F58" w:rsidRPr="00283424" w:rsidRDefault="00E93F58" w:rsidP="00EA0AFF">
            <w:pPr>
              <w:pStyle w:val="Tabletext"/>
            </w:pPr>
            <w:r w:rsidRPr="00283424">
              <w:t>8</w:t>
            </w:r>
          </w:p>
        </w:tc>
        <w:tc>
          <w:tcPr>
            <w:tcW w:w="1576" w:type="pct"/>
            <w:shd w:val="clear" w:color="auto" w:fill="auto"/>
          </w:tcPr>
          <w:p w14:paraId="7715A989" w14:textId="77777777" w:rsidR="00E93F58" w:rsidRPr="00283424" w:rsidRDefault="00E93F58" w:rsidP="00EA0AFF">
            <w:pPr>
              <w:pStyle w:val="Tabletext"/>
            </w:pPr>
            <w:r w:rsidRPr="00283424">
              <w:t>subparagraph 952G(1)(c)(i)</w:t>
            </w:r>
          </w:p>
        </w:tc>
        <w:tc>
          <w:tcPr>
            <w:tcW w:w="985" w:type="pct"/>
            <w:shd w:val="clear" w:color="auto" w:fill="auto"/>
          </w:tcPr>
          <w:p w14:paraId="1515E1A9" w14:textId="77777777" w:rsidR="00E93F58" w:rsidRPr="00283424" w:rsidRDefault="00E93F58" w:rsidP="00EA0AFF">
            <w:pPr>
              <w:pStyle w:val="Tabletext"/>
            </w:pPr>
            <w:r w:rsidRPr="00283424">
              <w:t>omitting “946C(2)”</w:t>
            </w:r>
          </w:p>
        </w:tc>
        <w:tc>
          <w:tcPr>
            <w:tcW w:w="1650" w:type="pct"/>
            <w:shd w:val="clear" w:color="auto" w:fill="auto"/>
          </w:tcPr>
          <w:p w14:paraId="037EE00C" w14:textId="77777777" w:rsidR="00E93F58" w:rsidRPr="00283424" w:rsidRDefault="00E93F58" w:rsidP="00EA0AFF">
            <w:pPr>
              <w:pStyle w:val="Tabletext"/>
            </w:pPr>
            <w:r w:rsidRPr="00283424">
              <w:t>substituting “946C(2) or paragraph 941C(7A)(c),”</w:t>
            </w:r>
          </w:p>
        </w:tc>
      </w:tr>
      <w:tr w:rsidR="00E93F58" w:rsidRPr="00283424" w14:paraId="3FAE9319" w14:textId="77777777" w:rsidTr="00EA0AFF">
        <w:trPr>
          <w:cantSplit/>
        </w:trPr>
        <w:tc>
          <w:tcPr>
            <w:tcW w:w="788" w:type="pct"/>
            <w:shd w:val="clear" w:color="auto" w:fill="auto"/>
          </w:tcPr>
          <w:p w14:paraId="20C480DB" w14:textId="77777777" w:rsidR="00E93F58" w:rsidRPr="00283424" w:rsidRDefault="00E93F58" w:rsidP="00EA0AFF">
            <w:pPr>
              <w:pStyle w:val="Tabletext"/>
            </w:pPr>
            <w:r w:rsidRPr="00283424">
              <w:t>9</w:t>
            </w:r>
          </w:p>
        </w:tc>
        <w:tc>
          <w:tcPr>
            <w:tcW w:w="1576" w:type="pct"/>
            <w:shd w:val="clear" w:color="auto" w:fill="auto"/>
          </w:tcPr>
          <w:p w14:paraId="2D901332" w14:textId="77777777" w:rsidR="00E93F58" w:rsidRPr="00283424" w:rsidRDefault="00E93F58" w:rsidP="00EA0AFF">
            <w:pPr>
              <w:pStyle w:val="Tabletext"/>
            </w:pPr>
            <w:r w:rsidRPr="00283424">
              <w:t xml:space="preserve">paragraph (a) of the definition of </w:t>
            </w:r>
            <w:r w:rsidRPr="00283424">
              <w:rPr>
                <w:b/>
                <w:i/>
              </w:rPr>
              <w:t>defective</w:t>
            </w:r>
            <w:r w:rsidRPr="00283424">
              <w:t xml:space="preserve"> in subsection 953A(1)</w:t>
            </w:r>
          </w:p>
        </w:tc>
        <w:tc>
          <w:tcPr>
            <w:tcW w:w="985" w:type="pct"/>
            <w:shd w:val="clear" w:color="auto" w:fill="auto"/>
          </w:tcPr>
          <w:p w14:paraId="0B3D4381" w14:textId="77777777" w:rsidR="00E93F58" w:rsidRPr="00283424" w:rsidRDefault="00E93F58" w:rsidP="00EA0AFF">
            <w:pPr>
              <w:pStyle w:val="Tabletext"/>
            </w:pPr>
            <w:r w:rsidRPr="00283424">
              <w:t>omitting “941D(2)”</w:t>
            </w:r>
          </w:p>
        </w:tc>
        <w:tc>
          <w:tcPr>
            <w:tcW w:w="1650" w:type="pct"/>
            <w:shd w:val="clear" w:color="auto" w:fill="auto"/>
          </w:tcPr>
          <w:p w14:paraId="48535346" w14:textId="77777777" w:rsidR="00E93F58" w:rsidRPr="00283424" w:rsidRDefault="00E93F58" w:rsidP="00EA0AFF">
            <w:pPr>
              <w:pStyle w:val="Tabletext"/>
            </w:pPr>
            <w:r w:rsidRPr="00283424">
              <w:t>substituting “941D(2) or paragraph 941C(7A)(c) or”</w:t>
            </w:r>
          </w:p>
        </w:tc>
      </w:tr>
      <w:tr w:rsidR="00E93F58" w:rsidRPr="00283424" w14:paraId="6D99EE9D" w14:textId="77777777" w:rsidTr="00EA0AFF">
        <w:tc>
          <w:tcPr>
            <w:tcW w:w="788" w:type="pct"/>
            <w:tcBorders>
              <w:bottom w:val="single" w:sz="4" w:space="0" w:color="auto"/>
            </w:tcBorders>
            <w:shd w:val="clear" w:color="auto" w:fill="auto"/>
          </w:tcPr>
          <w:p w14:paraId="274E0ACA" w14:textId="77777777" w:rsidR="00E93F58" w:rsidRPr="00283424" w:rsidRDefault="00E93F58" w:rsidP="00EA0AFF">
            <w:pPr>
              <w:pStyle w:val="Tabletext"/>
            </w:pPr>
            <w:r w:rsidRPr="00283424">
              <w:t>10</w:t>
            </w:r>
          </w:p>
        </w:tc>
        <w:tc>
          <w:tcPr>
            <w:tcW w:w="1576" w:type="pct"/>
            <w:tcBorders>
              <w:bottom w:val="single" w:sz="4" w:space="0" w:color="auto"/>
            </w:tcBorders>
            <w:shd w:val="clear" w:color="auto" w:fill="auto"/>
          </w:tcPr>
          <w:p w14:paraId="78009FA7" w14:textId="77777777" w:rsidR="00E93F58" w:rsidRPr="00283424" w:rsidRDefault="00E93F58" w:rsidP="00EA0AFF">
            <w:pPr>
              <w:pStyle w:val="Tabletext"/>
            </w:pPr>
            <w:r w:rsidRPr="00283424">
              <w:t xml:space="preserve">subparagraph (a)(iv) of the definition of </w:t>
            </w:r>
            <w:r w:rsidRPr="00283424">
              <w:rPr>
                <w:b/>
                <w:i/>
              </w:rPr>
              <w:t>defective</w:t>
            </w:r>
            <w:r w:rsidRPr="00283424">
              <w:t xml:space="preserve"> in subsection 953A(1)</w:t>
            </w:r>
          </w:p>
        </w:tc>
        <w:tc>
          <w:tcPr>
            <w:tcW w:w="985" w:type="pct"/>
            <w:tcBorders>
              <w:bottom w:val="single" w:sz="4" w:space="0" w:color="auto"/>
            </w:tcBorders>
            <w:shd w:val="clear" w:color="auto" w:fill="auto"/>
          </w:tcPr>
          <w:p w14:paraId="4AF9B351" w14:textId="77777777" w:rsidR="00E93F58" w:rsidRPr="00283424" w:rsidRDefault="00E93F58" w:rsidP="00EA0AFF">
            <w:pPr>
              <w:pStyle w:val="Tabletext"/>
            </w:pPr>
            <w:r w:rsidRPr="00283424">
              <w:t>omitting “941D(2)”</w:t>
            </w:r>
          </w:p>
        </w:tc>
        <w:tc>
          <w:tcPr>
            <w:tcW w:w="1650" w:type="pct"/>
            <w:tcBorders>
              <w:bottom w:val="single" w:sz="4" w:space="0" w:color="auto"/>
            </w:tcBorders>
            <w:shd w:val="clear" w:color="auto" w:fill="auto"/>
          </w:tcPr>
          <w:p w14:paraId="686108C2" w14:textId="77777777" w:rsidR="00E93F58" w:rsidRPr="00283424" w:rsidRDefault="00E93F58" w:rsidP="00EA0AFF">
            <w:pPr>
              <w:pStyle w:val="Tabletext"/>
            </w:pPr>
            <w:r w:rsidRPr="00283424">
              <w:t>substituting “941D(2) or paragraph 941C(7A)(c) or”</w:t>
            </w:r>
          </w:p>
        </w:tc>
      </w:tr>
      <w:tr w:rsidR="00E93F58" w:rsidRPr="00283424" w14:paraId="74410C6E" w14:textId="77777777" w:rsidTr="00EA0AFF">
        <w:trPr>
          <w:cantSplit/>
        </w:trPr>
        <w:tc>
          <w:tcPr>
            <w:tcW w:w="788" w:type="pct"/>
            <w:tcBorders>
              <w:bottom w:val="single" w:sz="12" w:space="0" w:color="auto"/>
            </w:tcBorders>
            <w:shd w:val="clear" w:color="auto" w:fill="auto"/>
          </w:tcPr>
          <w:p w14:paraId="4563EBB4" w14:textId="77777777" w:rsidR="00E93F58" w:rsidRPr="00283424" w:rsidRDefault="00E93F58" w:rsidP="00EA0AFF">
            <w:pPr>
              <w:pStyle w:val="Tabletext"/>
            </w:pPr>
            <w:r w:rsidRPr="00283424">
              <w:t>11</w:t>
            </w:r>
          </w:p>
        </w:tc>
        <w:tc>
          <w:tcPr>
            <w:tcW w:w="1576" w:type="pct"/>
            <w:tcBorders>
              <w:bottom w:val="single" w:sz="12" w:space="0" w:color="auto"/>
            </w:tcBorders>
            <w:shd w:val="clear" w:color="auto" w:fill="auto"/>
          </w:tcPr>
          <w:p w14:paraId="25563D2C" w14:textId="77777777" w:rsidR="00E93F58" w:rsidRPr="00283424" w:rsidRDefault="00E93F58" w:rsidP="00EA0AFF">
            <w:pPr>
              <w:pStyle w:val="Tabletext"/>
            </w:pPr>
            <w:r w:rsidRPr="00283424">
              <w:t xml:space="preserve">paragraph (d) of the definition of </w:t>
            </w:r>
            <w:r w:rsidRPr="00283424">
              <w:rPr>
                <w:b/>
                <w:i/>
              </w:rPr>
              <w:t>disclosure document or statement</w:t>
            </w:r>
            <w:r w:rsidRPr="00283424">
              <w:t xml:space="preserve"> in subsection 953A(1)</w:t>
            </w:r>
          </w:p>
        </w:tc>
        <w:tc>
          <w:tcPr>
            <w:tcW w:w="985" w:type="pct"/>
            <w:tcBorders>
              <w:bottom w:val="single" w:sz="12" w:space="0" w:color="auto"/>
            </w:tcBorders>
            <w:shd w:val="clear" w:color="auto" w:fill="auto"/>
          </w:tcPr>
          <w:p w14:paraId="78758039" w14:textId="77777777" w:rsidR="00E93F58" w:rsidRPr="00283424" w:rsidRDefault="00E93F58" w:rsidP="00EA0AFF">
            <w:pPr>
              <w:pStyle w:val="Tabletext"/>
            </w:pPr>
            <w:r w:rsidRPr="00283424">
              <w:t>omitting “946C(2)”</w:t>
            </w:r>
          </w:p>
        </w:tc>
        <w:tc>
          <w:tcPr>
            <w:tcW w:w="1650" w:type="pct"/>
            <w:tcBorders>
              <w:bottom w:val="single" w:sz="12" w:space="0" w:color="auto"/>
            </w:tcBorders>
            <w:shd w:val="clear" w:color="auto" w:fill="auto"/>
          </w:tcPr>
          <w:p w14:paraId="4EC4F03C" w14:textId="77777777" w:rsidR="00E93F58" w:rsidRPr="00283424" w:rsidRDefault="00E93F58" w:rsidP="00EA0AFF">
            <w:pPr>
              <w:pStyle w:val="Tabletext"/>
            </w:pPr>
            <w:r w:rsidRPr="00283424">
              <w:t>substituting “946C(2) or paragraph 941C(7A)(c),”</w:t>
            </w:r>
          </w:p>
        </w:tc>
      </w:tr>
    </w:tbl>
    <w:p w14:paraId="7E86C19B" w14:textId="77777777" w:rsidR="00E93F58" w:rsidRPr="00283424" w:rsidRDefault="00E93F58" w:rsidP="00B50726">
      <w:pPr>
        <w:pStyle w:val="subsection"/>
      </w:pPr>
      <w:r w:rsidRPr="00283424">
        <w:tab/>
        <w:t>(2)</w:t>
      </w:r>
      <w:r w:rsidRPr="00283424">
        <w:tab/>
        <w:t>For paragraph 951C(1)(c) of the Act, Part 7.7 of the Act applies as if subsection 940C(1) were modified by omitting “or a Statement of Advice” and substituting “, a Statement of Advice or a statement referred to in paragraph 941C(7A)(c)”.</w:t>
      </w:r>
    </w:p>
    <w:p w14:paraId="12BE5C02" w14:textId="77777777" w:rsidR="00E93F58" w:rsidRPr="00283424" w:rsidRDefault="00E93F58" w:rsidP="00B50726">
      <w:pPr>
        <w:pStyle w:val="subsection"/>
      </w:pPr>
      <w:r w:rsidRPr="00283424">
        <w:tab/>
        <w:t>(3)</w:t>
      </w:r>
      <w:r w:rsidRPr="00283424">
        <w:tab/>
        <w:t>For paragraph 951C(1)(c) of the Act, Part 7.7 of the Act applies as if subsection 941D(4) were omitted and the following subsection were substituted:</w:t>
      </w:r>
    </w:p>
    <w:p w14:paraId="2BDC8694" w14:textId="77777777" w:rsidR="00E93F58" w:rsidRPr="00283424" w:rsidRDefault="00E93F58" w:rsidP="00B50726">
      <w:pPr>
        <w:pStyle w:val="subsection"/>
      </w:pPr>
      <w:r w:rsidRPr="00283424">
        <w:tab/>
        <w:t>“(4)</w:t>
      </w:r>
      <w:r w:rsidRPr="00283424">
        <w:tab/>
        <w:t>The client must then be given:</w:t>
      </w:r>
    </w:p>
    <w:p w14:paraId="4623AB0A" w14:textId="77777777" w:rsidR="00E93F58" w:rsidRPr="00283424" w:rsidRDefault="00E93F58" w:rsidP="00B50726">
      <w:pPr>
        <w:pStyle w:val="paragraph"/>
      </w:pPr>
      <w:r w:rsidRPr="00283424">
        <w:tab/>
        <w:t>(a)</w:t>
      </w:r>
      <w:r w:rsidRPr="00283424">
        <w:tab/>
        <w:t>the statement referred to in paragraph </w:t>
      </w:r>
      <w:r w:rsidRPr="00283424">
        <w:rPr>
          <w:szCs w:val="22"/>
        </w:rPr>
        <w:t>941C</w:t>
      </w:r>
      <w:r w:rsidRPr="00283424">
        <w:t>(7A)(c) together with a Product Disclosure Statement as required by paragraph </w:t>
      </w:r>
      <w:r w:rsidRPr="00283424">
        <w:rPr>
          <w:szCs w:val="22"/>
        </w:rPr>
        <w:t>941C</w:t>
      </w:r>
      <w:r w:rsidRPr="00283424">
        <w:t xml:space="preserve">(7A)(b)) in accordance with the requirements of </w:t>
      </w:r>
      <w:r w:rsidRPr="00283424">
        <w:rPr>
          <w:szCs w:val="22"/>
        </w:rPr>
        <w:t>subsections 941C(7A) and (7B)</w:t>
      </w:r>
      <w:r w:rsidRPr="00283424">
        <w:t>; or</w:t>
      </w:r>
    </w:p>
    <w:p w14:paraId="61657F37" w14:textId="77777777" w:rsidR="00E93F58" w:rsidRPr="00283424" w:rsidRDefault="00E93F58" w:rsidP="00B50726">
      <w:pPr>
        <w:pStyle w:val="paragraph"/>
      </w:pPr>
      <w:r w:rsidRPr="00283424">
        <w:tab/>
        <w:t>(b)</w:t>
      </w:r>
      <w:r w:rsidRPr="00283424">
        <w:tab/>
        <w:t>a Financial Services Guide;</w:t>
      </w:r>
    </w:p>
    <w:p w14:paraId="0DCE3FFE" w14:textId="77777777" w:rsidR="00E93F58" w:rsidRPr="00283424" w:rsidRDefault="00E93F58" w:rsidP="00B50726">
      <w:pPr>
        <w:pStyle w:val="subsection2"/>
        <w:spacing w:line="240" w:lineRule="exact"/>
      </w:pPr>
      <w:r w:rsidRPr="00283424">
        <w:t xml:space="preserve">within 5 </w:t>
      </w:r>
      <w:r w:rsidRPr="00283424">
        <w:rPr>
          <w:szCs w:val="22"/>
        </w:rPr>
        <w:t xml:space="preserve">business </w:t>
      </w:r>
      <w:r w:rsidRPr="00283424">
        <w:t xml:space="preserve">days after having given the statement referred to in </w:t>
      </w:r>
      <w:r w:rsidRPr="00283424">
        <w:rPr>
          <w:szCs w:val="22"/>
        </w:rPr>
        <w:t>subsection (3)</w:t>
      </w:r>
      <w:r w:rsidRPr="00283424">
        <w:t>, or sooner if practicable.”</w:t>
      </w:r>
    </w:p>
    <w:p w14:paraId="3C79B30A" w14:textId="77777777" w:rsidR="00E93F58" w:rsidRPr="00283424" w:rsidRDefault="00E93F58" w:rsidP="00B50726">
      <w:pPr>
        <w:pStyle w:val="subsection"/>
      </w:pPr>
      <w:r w:rsidRPr="00283424">
        <w:tab/>
        <w:t>(4)</w:t>
      </w:r>
      <w:r w:rsidRPr="00283424">
        <w:tab/>
        <w:t>For paragraph 951C(1)(c) of the Act, Part 7.7 of the Act applies as if the following subsection were inserted at the end of section 941F:</w:t>
      </w:r>
    </w:p>
    <w:p w14:paraId="23D65037" w14:textId="77777777" w:rsidR="00E93F58" w:rsidRPr="00283424" w:rsidRDefault="00E93F58" w:rsidP="00B50726">
      <w:pPr>
        <w:pStyle w:val="subsection"/>
      </w:pPr>
      <w:r w:rsidRPr="00283424">
        <w:tab/>
        <w:t>“(2)</w:t>
      </w:r>
      <w:r w:rsidRPr="00283424">
        <w:tab/>
        <w:t>If:</w:t>
      </w:r>
    </w:p>
    <w:p w14:paraId="6FD00FB1" w14:textId="77777777" w:rsidR="00E93F58" w:rsidRPr="00283424" w:rsidRDefault="00E93F58" w:rsidP="00B50726">
      <w:pPr>
        <w:pStyle w:val="paragraph"/>
      </w:pPr>
      <w:r w:rsidRPr="00283424">
        <w:tab/>
        <w:t>(a)</w:t>
      </w:r>
      <w:r w:rsidRPr="00283424">
        <w:tab/>
        <w:t>a statement referred to in paragraph </w:t>
      </w:r>
      <w:r w:rsidRPr="00283424">
        <w:rPr>
          <w:szCs w:val="22"/>
        </w:rPr>
        <w:t>941C</w:t>
      </w:r>
      <w:r w:rsidRPr="00283424">
        <w:t>(7A)(c) is given to the client before the financial service is provided; and</w:t>
      </w:r>
    </w:p>
    <w:p w14:paraId="1BF6DE9B" w14:textId="77777777" w:rsidR="00E93F58" w:rsidRPr="00283424" w:rsidRDefault="00E93F58" w:rsidP="00B50726">
      <w:pPr>
        <w:pStyle w:val="paragraph"/>
      </w:pPr>
      <w:r w:rsidRPr="00283424">
        <w:tab/>
        <w:t>(b)</w:t>
      </w:r>
      <w:r w:rsidRPr="00283424">
        <w:tab/>
        <w:t>the following conditions are satisfied:</w:t>
      </w:r>
    </w:p>
    <w:p w14:paraId="68C6A9F6" w14:textId="77777777" w:rsidR="00E93F58" w:rsidRPr="00283424" w:rsidRDefault="00E93F58" w:rsidP="00B50726">
      <w:pPr>
        <w:pStyle w:val="paragraphsub"/>
      </w:pPr>
      <w:r w:rsidRPr="00283424">
        <w:tab/>
        <w:t>(i)</w:t>
      </w:r>
      <w:r w:rsidRPr="00283424">
        <w:tab/>
        <w:t>there is a change in circumstances before the service is provided and the statement does not contain the information it would be required to contain if it were given to a person immediately after that change;</w:t>
      </w:r>
    </w:p>
    <w:p w14:paraId="2873316A" w14:textId="77777777" w:rsidR="00E93F58" w:rsidRPr="00283424" w:rsidRDefault="00E93F58" w:rsidP="00B50726">
      <w:pPr>
        <w:pStyle w:val="paragraphsub"/>
      </w:pPr>
      <w:r w:rsidRPr="00283424">
        <w:tab/>
        <w:t>(ii)</w:t>
      </w:r>
      <w:r w:rsidRPr="00283424">
        <w:tab/>
        <w:t>the fact that the statement does not contain the up to date information is materially adverse from the point of view of a reasonable person deciding, as a retail client, whether to proceed to be provided with the financial service;</w:t>
      </w:r>
    </w:p>
    <w:p w14:paraId="663B6A53" w14:textId="77777777" w:rsidR="00E93F58" w:rsidRPr="00283424" w:rsidRDefault="00E93F58" w:rsidP="00B50726">
      <w:pPr>
        <w:pStyle w:val="subsection2"/>
      </w:pPr>
      <w:r w:rsidRPr="00283424">
        <w:t>the providing entity must, before the service is provided, give the client another statement of the kind referred to in paragraph </w:t>
      </w:r>
      <w:r w:rsidRPr="00283424">
        <w:rPr>
          <w:szCs w:val="22"/>
        </w:rPr>
        <w:t>941C</w:t>
      </w:r>
      <w:r w:rsidRPr="00283424">
        <w:t>(7A)(c) that contains the up to date information before the service is provided.”</w:t>
      </w:r>
    </w:p>
    <w:p w14:paraId="106AE28C" w14:textId="77777777" w:rsidR="00E93F58" w:rsidRPr="00283424" w:rsidRDefault="00E93F58" w:rsidP="00B50726">
      <w:pPr>
        <w:pStyle w:val="ActHead5"/>
      </w:pPr>
      <w:bookmarkStart w:id="1117" w:name="_Toc152054537"/>
      <w:bookmarkStart w:id="1118" w:name="_Toc158712353"/>
      <w:r w:rsidRPr="006F296E">
        <w:rPr>
          <w:rStyle w:val="CharSectno"/>
        </w:rPr>
        <w:t>7.7.10AG</w:t>
      </w:r>
      <w:r w:rsidRPr="00283424">
        <w:t xml:space="preserve">  Various consequential amendments to Division 7 of Part 7.7</w:t>
      </w:r>
      <w:bookmarkEnd w:id="1117"/>
      <w:bookmarkEnd w:id="1118"/>
    </w:p>
    <w:p w14:paraId="6F81DA04" w14:textId="77777777" w:rsidR="00E93F58" w:rsidRPr="00283424" w:rsidRDefault="00E93F58" w:rsidP="00B50726">
      <w:pPr>
        <w:pStyle w:val="subsection"/>
      </w:pPr>
      <w:r w:rsidRPr="00283424">
        <w:tab/>
        <w:t>(1)</w:t>
      </w:r>
      <w:r w:rsidRPr="00283424">
        <w:tab/>
        <w:t>For paragraph 951C(1)(c) of the Act, Part 7.7 of the Act applies as if the provisions set out in column 2 of the following table were modified as set out in columns 3 and 4:</w:t>
      </w:r>
    </w:p>
    <w:p w14:paraId="6395BE64" w14:textId="77777777" w:rsidR="00E93F58" w:rsidRPr="00283424" w:rsidRDefault="00E93F58" w:rsidP="00B50726">
      <w:pPr>
        <w:pStyle w:val="Tabletext"/>
        <w:keepNext/>
        <w:keepLine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10"/>
        <w:gridCol w:w="3671"/>
        <w:gridCol w:w="2323"/>
        <w:gridCol w:w="3169"/>
      </w:tblGrid>
      <w:tr w:rsidR="00E93F58" w:rsidRPr="00283424" w14:paraId="26C8C422" w14:textId="77777777" w:rsidTr="00EA0AFF">
        <w:trPr>
          <w:tblHeader/>
        </w:trPr>
        <w:tc>
          <w:tcPr>
            <w:tcW w:w="747" w:type="pct"/>
            <w:tcBorders>
              <w:top w:val="single" w:sz="12" w:space="0" w:color="auto"/>
              <w:bottom w:val="single" w:sz="6" w:space="0" w:color="auto"/>
            </w:tcBorders>
            <w:shd w:val="clear" w:color="auto" w:fill="auto"/>
          </w:tcPr>
          <w:p w14:paraId="02B5F4BF" w14:textId="77777777" w:rsidR="00E93F58" w:rsidRPr="00283424" w:rsidRDefault="00E93F58" w:rsidP="00EA0AFF">
            <w:pPr>
              <w:pStyle w:val="TableHeading"/>
              <w:keepLines/>
            </w:pPr>
            <w:r w:rsidRPr="00283424">
              <w:t>Column 1</w:t>
            </w:r>
          </w:p>
        </w:tc>
        <w:tc>
          <w:tcPr>
            <w:tcW w:w="1704" w:type="pct"/>
            <w:tcBorders>
              <w:top w:val="single" w:sz="12" w:space="0" w:color="auto"/>
              <w:bottom w:val="single" w:sz="6" w:space="0" w:color="auto"/>
            </w:tcBorders>
            <w:shd w:val="clear" w:color="auto" w:fill="auto"/>
          </w:tcPr>
          <w:p w14:paraId="197B04E0" w14:textId="77777777" w:rsidR="00E93F58" w:rsidRPr="00283424" w:rsidRDefault="00E93F58" w:rsidP="00EA0AFF">
            <w:pPr>
              <w:pStyle w:val="TableHeading"/>
              <w:keepLines/>
            </w:pPr>
            <w:r w:rsidRPr="00283424">
              <w:t>Column 2</w:t>
            </w:r>
          </w:p>
        </w:tc>
        <w:tc>
          <w:tcPr>
            <w:tcW w:w="1078" w:type="pct"/>
            <w:tcBorders>
              <w:top w:val="single" w:sz="12" w:space="0" w:color="auto"/>
              <w:bottom w:val="single" w:sz="6" w:space="0" w:color="auto"/>
            </w:tcBorders>
            <w:shd w:val="clear" w:color="auto" w:fill="auto"/>
          </w:tcPr>
          <w:p w14:paraId="1F76D5C7" w14:textId="77777777" w:rsidR="00E93F58" w:rsidRPr="00283424" w:rsidRDefault="00E93F58" w:rsidP="00EA0AFF">
            <w:pPr>
              <w:pStyle w:val="TableHeading"/>
              <w:keepLines/>
            </w:pPr>
            <w:r w:rsidRPr="00283424">
              <w:t>Column 3</w:t>
            </w:r>
          </w:p>
        </w:tc>
        <w:tc>
          <w:tcPr>
            <w:tcW w:w="1471" w:type="pct"/>
            <w:tcBorders>
              <w:top w:val="single" w:sz="12" w:space="0" w:color="auto"/>
              <w:bottom w:val="single" w:sz="6" w:space="0" w:color="auto"/>
            </w:tcBorders>
            <w:shd w:val="clear" w:color="auto" w:fill="auto"/>
          </w:tcPr>
          <w:p w14:paraId="2CF3F9F4" w14:textId="77777777" w:rsidR="00E93F58" w:rsidRPr="00283424" w:rsidRDefault="00E93F58" w:rsidP="00EA0AFF">
            <w:pPr>
              <w:pStyle w:val="TableHeading"/>
              <w:keepLines/>
            </w:pPr>
            <w:r w:rsidRPr="00283424">
              <w:t>Column 4</w:t>
            </w:r>
          </w:p>
        </w:tc>
      </w:tr>
      <w:tr w:rsidR="00E93F58" w:rsidRPr="00283424" w14:paraId="3040A8E6" w14:textId="77777777" w:rsidTr="00EA0AFF">
        <w:trPr>
          <w:tblHeader/>
        </w:trPr>
        <w:tc>
          <w:tcPr>
            <w:tcW w:w="747" w:type="pct"/>
            <w:tcBorders>
              <w:top w:val="single" w:sz="6" w:space="0" w:color="auto"/>
              <w:bottom w:val="single" w:sz="12" w:space="0" w:color="auto"/>
            </w:tcBorders>
            <w:shd w:val="clear" w:color="auto" w:fill="auto"/>
          </w:tcPr>
          <w:p w14:paraId="7F19128E" w14:textId="77777777" w:rsidR="00E93F58" w:rsidRPr="00283424" w:rsidRDefault="00E93F58" w:rsidP="00EA0AFF">
            <w:pPr>
              <w:pStyle w:val="TableHeading"/>
              <w:keepLines/>
            </w:pPr>
            <w:r w:rsidRPr="00283424">
              <w:t>Item</w:t>
            </w:r>
          </w:p>
        </w:tc>
        <w:tc>
          <w:tcPr>
            <w:tcW w:w="1704" w:type="pct"/>
            <w:tcBorders>
              <w:top w:val="single" w:sz="6" w:space="0" w:color="auto"/>
              <w:bottom w:val="single" w:sz="12" w:space="0" w:color="auto"/>
            </w:tcBorders>
            <w:shd w:val="clear" w:color="auto" w:fill="auto"/>
          </w:tcPr>
          <w:p w14:paraId="7FE9D95A" w14:textId="77777777" w:rsidR="00E93F58" w:rsidRPr="00283424" w:rsidRDefault="00E93F58" w:rsidP="00EA0AFF">
            <w:pPr>
              <w:pStyle w:val="TableHeading"/>
              <w:keepLines/>
            </w:pPr>
            <w:r w:rsidRPr="00283424">
              <w:t>provision of Act</w:t>
            </w:r>
          </w:p>
        </w:tc>
        <w:tc>
          <w:tcPr>
            <w:tcW w:w="1078" w:type="pct"/>
            <w:tcBorders>
              <w:top w:val="single" w:sz="6" w:space="0" w:color="auto"/>
              <w:bottom w:val="single" w:sz="12" w:space="0" w:color="auto"/>
            </w:tcBorders>
            <w:shd w:val="clear" w:color="auto" w:fill="auto"/>
          </w:tcPr>
          <w:p w14:paraId="494456FE" w14:textId="77777777" w:rsidR="00E93F58" w:rsidRPr="00283424" w:rsidRDefault="00E93F58" w:rsidP="00EA0AFF">
            <w:pPr>
              <w:pStyle w:val="TableHeading"/>
              <w:keepLines/>
            </w:pPr>
            <w:r w:rsidRPr="00283424">
              <w:t>is modified by…</w:t>
            </w:r>
          </w:p>
        </w:tc>
        <w:tc>
          <w:tcPr>
            <w:tcW w:w="1471" w:type="pct"/>
            <w:tcBorders>
              <w:top w:val="single" w:sz="6" w:space="0" w:color="auto"/>
              <w:bottom w:val="single" w:sz="12" w:space="0" w:color="auto"/>
            </w:tcBorders>
            <w:shd w:val="clear" w:color="auto" w:fill="auto"/>
          </w:tcPr>
          <w:p w14:paraId="5DCA2D81" w14:textId="77777777" w:rsidR="00E93F58" w:rsidRPr="00283424" w:rsidRDefault="00E93F58" w:rsidP="00EA0AFF">
            <w:pPr>
              <w:pStyle w:val="TableHeading"/>
              <w:keepLines/>
            </w:pPr>
            <w:r w:rsidRPr="00283424">
              <w:t>and…</w:t>
            </w:r>
          </w:p>
        </w:tc>
      </w:tr>
      <w:tr w:rsidR="00E93F58" w:rsidRPr="00283424" w14:paraId="26126E12" w14:textId="77777777" w:rsidTr="00EA0AFF">
        <w:tc>
          <w:tcPr>
            <w:tcW w:w="747" w:type="pct"/>
            <w:tcBorders>
              <w:top w:val="single" w:sz="12" w:space="0" w:color="auto"/>
            </w:tcBorders>
            <w:shd w:val="clear" w:color="auto" w:fill="auto"/>
          </w:tcPr>
          <w:p w14:paraId="3B9C3CC6" w14:textId="77777777" w:rsidR="00E93F58" w:rsidRPr="00283424" w:rsidRDefault="00E93F58" w:rsidP="00EA0AFF">
            <w:pPr>
              <w:pStyle w:val="Tabletext"/>
            </w:pPr>
            <w:r w:rsidRPr="00283424">
              <w:t>1</w:t>
            </w:r>
          </w:p>
        </w:tc>
        <w:tc>
          <w:tcPr>
            <w:tcW w:w="1704" w:type="pct"/>
            <w:tcBorders>
              <w:top w:val="single" w:sz="12" w:space="0" w:color="auto"/>
            </w:tcBorders>
            <w:shd w:val="clear" w:color="auto" w:fill="auto"/>
          </w:tcPr>
          <w:p w14:paraId="73D43AC3" w14:textId="77777777" w:rsidR="00E93F58" w:rsidRPr="00283424" w:rsidRDefault="00E93F58" w:rsidP="00EA0AFF">
            <w:pPr>
              <w:pStyle w:val="Tabletext"/>
            </w:pPr>
            <w:r w:rsidRPr="00283424">
              <w:t xml:space="preserve">paragraph (b) of the definition of </w:t>
            </w:r>
            <w:r w:rsidRPr="00283424">
              <w:rPr>
                <w:b/>
                <w:i/>
              </w:rPr>
              <w:t>defective</w:t>
            </w:r>
            <w:r w:rsidRPr="00283424">
              <w:t xml:space="preserve"> in subsection 952B(1)</w:t>
            </w:r>
          </w:p>
        </w:tc>
        <w:tc>
          <w:tcPr>
            <w:tcW w:w="1078" w:type="pct"/>
            <w:tcBorders>
              <w:top w:val="single" w:sz="12" w:space="0" w:color="auto"/>
            </w:tcBorders>
            <w:shd w:val="clear" w:color="auto" w:fill="auto"/>
          </w:tcPr>
          <w:p w14:paraId="2FDF4BF1" w14:textId="77777777" w:rsidR="00E93F58" w:rsidRPr="00283424" w:rsidRDefault="00E93F58" w:rsidP="00EA0AFF">
            <w:pPr>
              <w:pStyle w:val="Tabletext"/>
            </w:pPr>
            <w:r w:rsidRPr="00283424">
              <w:t>omitting “Statement of Advice”</w:t>
            </w:r>
          </w:p>
        </w:tc>
        <w:tc>
          <w:tcPr>
            <w:tcW w:w="1471" w:type="pct"/>
            <w:tcBorders>
              <w:top w:val="single" w:sz="12" w:space="0" w:color="auto"/>
            </w:tcBorders>
            <w:shd w:val="clear" w:color="auto" w:fill="auto"/>
          </w:tcPr>
          <w:p w14:paraId="24713531" w14:textId="77777777" w:rsidR="00E93F58" w:rsidRPr="00283424" w:rsidRDefault="00E93F58" w:rsidP="00EA0AFF">
            <w:pPr>
              <w:pStyle w:val="Tabletext"/>
            </w:pPr>
            <w:r w:rsidRPr="00283424">
              <w:t>substituting “Statement of Advice, a record of advice required by subsection 946B(3A),”</w:t>
            </w:r>
          </w:p>
        </w:tc>
      </w:tr>
      <w:tr w:rsidR="00E93F58" w:rsidRPr="00283424" w14:paraId="77BA9589" w14:textId="77777777" w:rsidTr="00EA0AFF">
        <w:tc>
          <w:tcPr>
            <w:tcW w:w="747" w:type="pct"/>
            <w:shd w:val="clear" w:color="auto" w:fill="auto"/>
          </w:tcPr>
          <w:p w14:paraId="2C157724" w14:textId="77777777" w:rsidR="00E93F58" w:rsidRPr="00283424" w:rsidRDefault="00E93F58" w:rsidP="00EA0AFF">
            <w:pPr>
              <w:pStyle w:val="Tabletext"/>
            </w:pPr>
            <w:r w:rsidRPr="00283424">
              <w:t>2</w:t>
            </w:r>
          </w:p>
        </w:tc>
        <w:tc>
          <w:tcPr>
            <w:tcW w:w="1704" w:type="pct"/>
            <w:shd w:val="clear" w:color="auto" w:fill="auto"/>
          </w:tcPr>
          <w:p w14:paraId="4E88684F" w14:textId="77777777" w:rsidR="00E93F58" w:rsidRPr="00283424" w:rsidRDefault="00E93F58" w:rsidP="00EA0AFF">
            <w:pPr>
              <w:pStyle w:val="Tabletext"/>
            </w:pPr>
            <w:r w:rsidRPr="00283424">
              <w:t>paragraph 952E(2)(a)</w:t>
            </w:r>
          </w:p>
        </w:tc>
        <w:tc>
          <w:tcPr>
            <w:tcW w:w="1078" w:type="pct"/>
            <w:shd w:val="clear" w:color="auto" w:fill="auto"/>
          </w:tcPr>
          <w:p w14:paraId="62167C6F" w14:textId="77777777" w:rsidR="00E93F58" w:rsidRPr="00283424" w:rsidRDefault="00E93F58" w:rsidP="00EA0AFF">
            <w:pPr>
              <w:pStyle w:val="Tabletext"/>
            </w:pPr>
            <w:r w:rsidRPr="00283424">
              <w:t>omitting “Statement of Advice”</w:t>
            </w:r>
          </w:p>
        </w:tc>
        <w:tc>
          <w:tcPr>
            <w:tcW w:w="1471" w:type="pct"/>
            <w:shd w:val="clear" w:color="auto" w:fill="auto"/>
          </w:tcPr>
          <w:p w14:paraId="13B09115" w14:textId="77777777" w:rsidR="00E93F58" w:rsidRPr="00283424" w:rsidRDefault="00E93F58" w:rsidP="00EA0AFF">
            <w:pPr>
              <w:pStyle w:val="Tabletext"/>
            </w:pPr>
            <w:r w:rsidRPr="00283424">
              <w:t>substituting “Statement of Advice, a record of advice required by subsection 946B(3A),”</w:t>
            </w:r>
          </w:p>
        </w:tc>
      </w:tr>
      <w:tr w:rsidR="00E93F58" w:rsidRPr="00283424" w14:paraId="7329C6BA" w14:textId="77777777" w:rsidTr="00EA0AFF">
        <w:tc>
          <w:tcPr>
            <w:tcW w:w="747" w:type="pct"/>
            <w:shd w:val="clear" w:color="auto" w:fill="auto"/>
          </w:tcPr>
          <w:p w14:paraId="4C07B0D7" w14:textId="77777777" w:rsidR="00E93F58" w:rsidRPr="00283424" w:rsidRDefault="00E93F58" w:rsidP="00EA0AFF">
            <w:pPr>
              <w:pStyle w:val="Tabletext"/>
            </w:pPr>
            <w:r w:rsidRPr="00283424">
              <w:lastRenderedPageBreak/>
              <w:t>3</w:t>
            </w:r>
          </w:p>
        </w:tc>
        <w:tc>
          <w:tcPr>
            <w:tcW w:w="1704" w:type="pct"/>
            <w:shd w:val="clear" w:color="auto" w:fill="auto"/>
          </w:tcPr>
          <w:p w14:paraId="5E17FC8C" w14:textId="77777777" w:rsidR="00E93F58" w:rsidRPr="00283424" w:rsidRDefault="00E93F58" w:rsidP="00EA0AFF">
            <w:pPr>
              <w:pStyle w:val="Tabletext"/>
            </w:pPr>
            <w:r w:rsidRPr="00283424">
              <w:t>paragraph 952F(1)(b)</w:t>
            </w:r>
          </w:p>
        </w:tc>
        <w:tc>
          <w:tcPr>
            <w:tcW w:w="1078" w:type="pct"/>
            <w:shd w:val="clear" w:color="auto" w:fill="auto"/>
          </w:tcPr>
          <w:p w14:paraId="59407BE5" w14:textId="77777777" w:rsidR="00E93F58" w:rsidRPr="00283424" w:rsidRDefault="00E93F58" w:rsidP="00EA0AFF">
            <w:pPr>
              <w:pStyle w:val="Tabletext"/>
            </w:pPr>
            <w:r w:rsidRPr="00283424">
              <w:t>omitting “Statement of Advice”</w:t>
            </w:r>
          </w:p>
        </w:tc>
        <w:tc>
          <w:tcPr>
            <w:tcW w:w="1471" w:type="pct"/>
            <w:shd w:val="clear" w:color="auto" w:fill="auto"/>
          </w:tcPr>
          <w:p w14:paraId="19DDF5C2" w14:textId="77777777" w:rsidR="00E93F58" w:rsidRPr="00283424" w:rsidRDefault="00E93F58" w:rsidP="00EA0AFF">
            <w:pPr>
              <w:pStyle w:val="Tabletext"/>
            </w:pPr>
            <w:r w:rsidRPr="00283424">
              <w:t>substituting “Statement of Advice, a record of advice required by subsection 946B(3A),”</w:t>
            </w:r>
          </w:p>
        </w:tc>
      </w:tr>
      <w:tr w:rsidR="00E93F58" w:rsidRPr="00283424" w14:paraId="0115F363" w14:textId="77777777" w:rsidTr="00EA0AFF">
        <w:trPr>
          <w:cantSplit/>
        </w:trPr>
        <w:tc>
          <w:tcPr>
            <w:tcW w:w="747" w:type="pct"/>
            <w:shd w:val="clear" w:color="auto" w:fill="auto"/>
          </w:tcPr>
          <w:p w14:paraId="24B9B0B4" w14:textId="77777777" w:rsidR="00E93F58" w:rsidRPr="00283424" w:rsidRDefault="00E93F58" w:rsidP="00EA0AFF">
            <w:pPr>
              <w:pStyle w:val="Tabletext"/>
            </w:pPr>
            <w:r w:rsidRPr="00283424">
              <w:t>4</w:t>
            </w:r>
          </w:p>
        </w:tc>
        <w:tc>
          <w:tcPr>
            <w:tcW w:w="1704" w:type="pct"/>
            <w:shd w:val="clear" w:color="auto" w:fill="auto"/>
          </w:tcPr>
          <w:p w14:paraId="02BCA8DC" w14:textId="77777777" w:rsidR="00E93F58" w:rsidRPr="00283424" w:rsidRDefault="00E93F58" w:rsidP="00EA0AFF">
            <w:pPr>
              <w:pStyle w:val="Tabletext"/>
            </w:pPr>
            <w:r w:rsidRPr="00283424">
              <w:t>subparagraph 952F(1)(c)(i)</w:t>
            </w:r>
          </w:p>
        </w:tc>
        <w:tc>
          <w:tcPr>
            <w:tcW w:w="1078" w:type="pct"/>
            <w:shd w:val="clear" w:color="auto" w:fill="auto"/>
          </w:tcPr>
          <w:p w14:paraId="1AA6ADA1" w14:textId="77777777" w:rsidR="00E93F58" w:rsidRPr="00283424" w:rsidRDefault="00E93F58" w:rsidP="00EA0AFF">
            <w:pPr>
              <w:pStyle w:val="Tabletext"/>
            </w:pPr>
            <w:r w:rsidRPr="00283424">
              <w:t>omitting “Statement of Advice”</w:t>
            </w:r>
          </w:p>
        </w:tc>
        <w:tc>
          <w:tcPr>
            <w:tcW w:w="1471" w:type="pct"/>
            <w:shd w:val="clear" w:color="auto" w:fill="auto"/>
          </w:tcPr>
          <w:p w14:paraId="075FCBB1" w14:textId="77777777" w:rsidR="00E93F58" w:rsidRPr="00283424" w:rsidRDefault="00E93F58" w:rsidP="00EA0AFF">
            <w:pPr>
              <w:pStyle w:val="Tabletext"/>
            </w:pPr>
            <w:r w:rsidRPr="00283424">
              <w:t>substituting “Statement of Advice, a record of advice required by subsection 946B(3A),”</w:t>
            </w:r>
          </w:p>
        </w:tc>
      </w:tr>
      <w:tr w:rsidR="00E93F58" w:rsidRPr="00283424" w14:paraId="2AF9E13F" w14:textId="77777777" w:rsidTr="00EA0AFF">
        <w:tc>
          <w:tcPr>
            <w:tcW w:w="747" w:type="pct"/>
            <w:shd w:val="clear" w:color="auto" w:fill="auto"/>
          </w:tcPr>
          <w:p w14:paraId="4226C547" w14:textId="77777777" w:rsidR="00E93F58" w:rsidRPr="00283424" w:rsidRDefault="00E93F58" w:rsidP="00EA0AFF">
            <w:pPr>
              <w:pStyle w:val="Tabletext"/>
            </w:pPr>
            <w:r w:rsidRPr="00283424">
              <w:t>5</w:t>
            </w:r>
          </w:p>
        </w:tc>
        <w:tc>
          <w:tcPr>
            <w:tcW w:w="1704" w:type="pct"/>
            <w:shd w:val="clear" w:color="auto" w:fill="auto"/>
          </w:tcPr>
          <w:p w14:paraId="646B03FE" w14:textId="77777777" w:rsidR="00E93F58" w:rsidRPr="00283424" w:rsidRDefault="00E93F58" w:rsidP="00EA0AFF">
            <w:pPr>
              <w:pStyle w:val="Tabletext"/>
            </w:pPr>
            <w:r w:rsidRPr="00283424">
              <w:t>paragraph 952G(1)(b)</w:t>
            </w:r>
          </w:p>
        </w:tc>
        <w:tc>
          <w:tcPr>
            <w:tcW w:w="1078" w:type="pct"/>
            <w:shd w:val="clear" w:color="auto" w:fill="auto"/>
          </w:tcPr>
          <w:p w14:paraId="78850C59" w14:textId="77777777" w:rsidR="00E93F58" w:rsidRPr="00283424" w:rsidRDefault="00E93F58" w:rsidP="00EA0AFF">
            <w:pPr>
              <w:pStyle w:val="Tabletext"/>
            </w:pPr>
            <w:r w:rsidRPr="00283424">
              <w:t>omitting “Statement of Advice”</w:t>
            </w:r>
          </w:p>
        </w:tc>
        <w:tc>
          <w:tcPr>
            <w:tcW w:w="1471" w:type="pct"/>
            <w:shd w:val="clear" w:color="auto" w:fill="auto"/>
          </w:tcPr>
          <w:p w14:paraId="2337B3CF" w14:textId="77777777" w:rsidR="00E93F58" w:rsidRPr="00283424" w:rsidRDefault="00E93F58" w:rsidP="00EA0AFF">
            <w:pPr>
              <w:pStyle w:val="Tabletext"/>
            </w:pPr>
            <w:r w:rsidRPr="00283424">
              <w:t>substituting “Statement of Advice, a record of advice required by subsection 946B(3A),”</w:t>
            </w:r>
          </w:p>
        </w:tc>
      </w:tr>
      <w:tr w:rsidR="00E93F58" w:rsidRPr="00283424" w14:paraId="76E08A3F" w14:textId="77777777" w:rsidTr="00EA0AFF">
        <w:tc>
          <w:tcPr>
            <w:tcW w:w="747" w:type="pct"/>
            <w:tcBorders>
              <w:bottom w:val="single" w:sz="4" w:space="0" w:color="auto"/>
            </w:tcBorders>
            <w:shd w:val="clear" w:color="auto" w:fill="auto"/>
          </w:tcPr>
          <w:p w14:paraId="4F42E795" w14:textId="77777777" w:rsidR="00E93F58" w:rsidRPr="00283424" w:rsidRDefault="00E93F58" w:rsidP="00EA0AFF">
            <w:pPr>
              <w:pStyle w:val="Tabletext"/>
            </w:pPr>
            <w:r w:rsidRPr="00283424">
              <w:t>6</w:t>
            </w:r>
          </w:p>
        </w:tc>
        <w:tc>
          <w:tcPr>
            <w:tcW w:w="1704" w:type="pct"/>
            <w:tcBorders>
              <w:bottom w:val="single" w:sz="4" w:space="0" w:color="auto"/>
            </w:tcBorders>
            <w:shd w:val="clear" w:color="auto" w:fill="auto"/>
          </w:tcPr>
          <w:p w14:paraId="54BB13B9" w14:textId="77777777" w:rsidR="00E93F58" w:rsidRPr="00283424" w:rsidRDefault="00E93F58" w:rsidP="00EA0AFF">
            <w:pPr>
              <w:pStyle w:val="Tabletext"/>
            </w:pPr>
            <w:r w:rsidRPr="00283424">
              <w:t>subparagraph 952G(1)(c)(i)</w:t>
            </w:r>
          </w:p>
        </w:tc>
        <w:tc>
          <w:tcPr>
            <w:tcW w:w="1078" w:type="pct"/>
            <w:tcBorders>
              <w:bottom w:val="single" w:sz="4" w:space="0" w:color="auto"/>
            </w:tcBorders>
            <w:shd w:val="clear" w:color="auto" w:fill="auto"/>
          </w:tcPr>
          <w:p w14:paraId="27F07CD2" w14:textId="77777777" w:rsidR="00E93F58" w:rsidRPr="00283424" w:rsidRDefault="00E93F58" w:rsidP="00EA0AFF">
            <w:pPr>
              <w:pStyle w:val="Tabletext"/>
            </w:pPr>
            <w:r w:rsidRPr="00283424">
              <w:t>omitting “Statement of Advice”</w:t>
            </w:r>
          </w:p>
        </w:tc>
        <w:tc>
          <w:tcPr>
            <w:tcW w:w="1471" w:type="pct"/>
            <w:tcBorders>
              <w:bottom w:val="single" w:sz="4" w:space="0" w:color="auto"/>
            </w:tcBorders>
            <w:shd w:val="clear" w:color="auto" w:fill="auto"/>
          </w:tcPr>
          <w:p w14:paraId="4FF14B3F" w14:textId="77777777" w:rsidR="00E93F58" w:rsidRPr="00283424" w:rsidRDefault="00E93F58" w:rsidP="00EA0AFF">
            <w:pPr>
              <w:pStyle w:val="Tabletext"/>
            </w:pPr>
            <w:r w:rsidRPr="00283424">
              <w:t>substituting “Statement of Advice, a record of advice required by subsection 946B(3A),”</w:t>
            </w:r>
          </w:p>
        </w:tc>
      </w:tr>
      <w:tr w:rsidR="00E93F58" w:rsidRPr="00283424" w14:paraId="24E432C0" w14:textId="77777777" w:rsidTr="00EA0AFF">
        <w:trPr>
          <w:cantSplit/>
        </w:trPr>
        <w:tc>
          <w:tcPr>
            <w:tcW w:w="747" w:type="pct"/>
            <w:tcBorders>
              <w:bottom w:val="single" w:sz="12" w:space="0" w:color="auto"/>
            </w:tcBorders>
            <w:shd w:val="clear" w:color="auto" w:fill="auto"/>
          </w:tcPr>
          <w:p w14:paraId="1F249557" w14:textId="77777777" w:rsidR="00E93F58" w:rsidRPr="00283424" w:rsidRDefault="00E93F58" w:rsidP="00EA0AFF">
            <w:pPr>
              <w:pStyle w:val="Tabletext"/>
            </w:pPr>
            <w:r w:rsidRPr="00283424">
              <w:t>7</w:t>
            </w:r>
          </w:p>
        </w:tc>
        <w:tc>
          <w:tcPr>
            <w:tcW w:w="1704" w:type="pct"/>
            <w:tcBorders>
              <w:bottom w:val="single" w:sz="12" w:space="0" w:color="auto"/>
            </w:tcBorders>
            <w:shd w:val="clear" w:color="auto" w:fill="auto"/>
          </w:tcPr>
          <w:p w14:paraId="5981E739" w14:textId="77777777" w:rsidR="00E93F58" w:rsidRPr="00283424" w:rsidRDefault="00E93F58" w:rsidP="00EA0AFF">
            <w:pPr>
              <w:pStyle w:val="Tabletext"/>
            </w:pPr>
            <w:r w:rsidRPr="00283424">
              <w:t xml:space="preserve">paragraph (b) of the definition of </w:t>
            </w:r>
            <w:r w:rsidRPr="00283424">
              <w:rPr>
                <w:b/>
                <w:i/>
              </w:rPr>
              <w:t>defective</w:t>
            </w:r>
            <w:r w:rsidRPr="00283424">
              <w:t xml:space="preserve"> in subsection 953A(1)</w:t>
            </w:r>
          </w:p>
        </w:tc>
        <w:tc>
          <w:tcPr>
            <w:tcW w:w="1078" w:type="pct"/>
            <w:tcBorders>
              <w:bottom w:val="single" w:sz="12" w:space="0" w:color="auto"/>
            </w:tcBorders>
            <w:shd w:val="clear" w:color="auto" w:fill="auto"/>
          </w:tcPr>
          <w:p w14:paraId="67904D85" w14:textId="77777777" w:rsidR="00E93F58" w:rsidRPr="00283424" w:rsidRDefault="00E93F58" w:rsidP="00EA0AFF">
            <w:pPr>
              <w:pStyle w:val="Tabletext"/>
            </w:pPr>
            <w:r w:rsidRPr="00283424">
              <w:t>omitting “Statement of Advice”</w:t>
            </w:r>
          </w:p>
        </w:tc>
        <w:tc>
          <w:tcPr>
            <w:tcW w:w="1471" w:type="pct"/>
            <w:tcBorders>
              <w:bottom w:val="single" w:sz="12" w:space="0" w:color="auto"/>
            </w:tcBorders>
            <w:shd w:val="clear" w:color="auto" w:fill="auto"/>
          </w:tcPr>
          <w:p w14:paraId="25FAE306" w14:textId="77777777" w:rsidR="00E93F58" w:rsidRPr="00283424" w:rsidRDefault="00E93F58" w:rsidP="00EA0AFF">
            <w:pPr>
              <w:pStyle w:val="Tabletext"/>
            </w:pPr>
            <w:r w:rsidRPr="00283424">
              <w:t>substituting “Statement of Advice, a record of advice required by subsection 946B(3A),”</w:t>
            </w:r>
          </w:p>
        </w:tc>
      </w:tr>
    </w:tbl>
    <w:p w14:paraId="617BB3DC" w14:textId="77777777" w:rsidR="00E93F58" w:rsidRPr="00283424" w:rsidRDefault="00E93F58" w:rsidP="00B50726">
      <w:pPr>
        <w:pStyle w:val="subsection"/>
      </w:pPr>
      <w:r w:rsidRPr="00283424">
        <w:tab/>
        <w:t>(2)</w:t>
      </w:r>
      <w:r w:rsidRPr="00283424">
        <w:tab/>
        <w:t>For paragraph 951C(1)(c) of the Act, Part 7.7 of the Act applies as if the provisions set out in column 2 of the following table were modified as set out in column 3:</w:t>
      </w:r>
    </w:p>
    <w:p w14:paraId="61AFDD08" w14:textId="77777777" w:rsidR="00E93F58" w:rsidRPr="00283424" w:rsidRDefault="00E93F58" w:rsidP="00B50726">
      <w:pPr>
        <w:pStyle w:val="Tabletext"/>
        <w:keepNext/>
        <w:keepLines/>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74"/>
        <w:gridCol w:w="2978"/>
        <w:gridCol w:w="6121"/>
      </w:tblGrid>
      <w:tr w:rsidR="00E93F58" w:rsidRPr="00283424" w14:paraId="5CCAAF01" w14:textId="77777777" w:rsidTr="00EA0AFF">
        <w:trPr>
          <w:tblHeader/>
        </w:trPr>
        <w:tc>
          <w:tcPr>
            <w:tcW w:w="777" w:type="pct"/>
            <w:tcBorders>
              <w:top w:val="single" w:sz="12" w:space="0" w:color="auto"/>
              <w:bottom w:val="single" w:sz="6" w:space="0" w:color="auto"/>
            </w:tcBorders>
            <w:shd w:val="clear" w:color="auto" w:fill="auto"/>
          </w:tcPr>
          <w:p w14:paraId="32BF5B24" w14:textId="77777777" w:rsidR="00E93F58" w:rsidRPr="00283424" w:rsidRDefault="00E93F58" w:rsidP="00EA0AFF">
            <w:pPr>
              <w:pStyle w:val="TableHeading"/>
              <w:keepLines/>
            </w:pPr>
            <w:r w:rsidRPr="00283424">
              <w:t>Column 1</w:t>
            </w:r>
          </w:p>
        </w:tc>
        <w:tc>
          <w:tcPr>
            <w:tcW w:w="1382" w:type="pct"/>
            <w:tcBorders>
              <w:top w:val="single" w:sz="12" w:space="0" w:color="auto"/>
              <w:bottom w:val="single" w:sz="6" w:space="0" w:color="auto"/>
            </w:tcBorders>
            <w:shd w:val="clear" w:color="auto" w:fill="auto"/>
          </w:tcPr>
          <w:p w14:paraId="721848BF" w14:textId="77777777" w:rsidR="00E93F58" w:rsidRPr="00283424" w:rsidRDefault="00E93F58" w:rsidP="00EA0AFF">
            <w:pPr>
              <w:pStyle w:val="TableHeading"/>
              <w:keepLines/>
            </w:pPr>
            <w:r w:rsidRPr="00283424">
              <w:t>Column 2</w:t>
            </w:r>
          </w:p>
        </w:tc>
        <w:tc>
          <w:tcPr>
            <w:tcW w:w="2841" w:type="pct"/>
            <w:tcBorders>
              <w:top w:val="single" w:sz="12" w:space="0" w:color="auto"/>
              <w:bottom w:val="single" w:sz="6" w:space="0" w:color="auto"/>
            </w:tcBorders>
            <w:shd w:val="clear" w:color="auto" w:fill="auto"/>
          </w:tcPr>
          <w:p w14:paraId="28ABAAF8" w14:textId="77777777" w:rsidR="00E93F58" w:rsidRPr="00283424" w:rsidRDefault="00E93F58" w:rsidP="00EA0AFF">
            <w:pPr>
              <w:pStyle w:val="TableHeading"/>
              <w:keepLines/>
            </w:pPr>
            <w:r w:rsidRPr="00283424">
              <w:t>Column 3</w:t>
            </w:r>
          </w:p>
        </w:tc>
      </w:tr>
      <w:tr w:rsidR="00E93F58" w:rsidRPr="00283424" w14:paraId="28A1A10F" w14:textId="77777777" w:rsidTr="00EA0AFF">
        <w:trPr>
          <w:tblHeader/>
        </w:trPr>
        <w:tc>
          <w:tcPr>
            <w:tcW w:w="777" w:type="pct"/>
            <w:tcBorders>
              <w:top w:val="single" w:sz="6" w:space="0" w:color="auto"/>
              <w:bottom w:val="single" w:sz="12" w:space="0" w:color="auto"/>
            </w:tcBorders>
            <w:shd w:val="clear" w:color="auto" w:fill="auto"/>
          </w:tcPr>
          <w:p w14:paraId="66A89B11" w14:textId="77777777" w:rsidR="00E93F58" w:rsidRPr="00283424" w:rsidRDefault="00E93F58" w:rsidP="00EA0AFF">
            <w:pPr>
              <w:pStyle w:val="TableHeading"/>
              <w:keepLines/>
            </w:pPr>
            <w:r w:rsidRPr="00283424">
              <w:t>Item</w:t>
            </w:r>
          </w:p>
        </w:tc>
        <w:tc>
          <w:tcPr>
            <w:tcW w:w="1382" w:type="pct"/>
            <w:tcBorders>
              <w:top w:val="single" w:sz="6" w:space="0" w:color="auto"/>
              <w:bottom w:val="single" w:sz="12" w:space="0" w:color="auto"/>
            </w:tcBorders>
            <w:shd w:val="clear" w:color="auto" w:fill="auto"/>
          </w:tcPr>
          <w:p w14:paraId="6D51D5FB" w14:textId="77777777" w:rsidR="00E93F58" w:rsidRPr="00283424" w:rsidRDefault="00E93F58" w:rsidP="00EA0AFF">
            <w:pPr>
              <w:pStyle w:val="TableHeading"/>
              <w:keepLines/>
            </w:pPr>
            <w:r w:rsidRPr="00283424">
              <w:t>provision of Act</w:t>
            </w:r>
          </w:p>
        </w:tc>
        <w:tc>
          <w:tcPr>
            <w:tcW w:w="2841" w:type="pct"/>
            <w:tcBorders>
              <w:top w:val="single" w:sz="6" w:space="0" w:color="auto"/>
              <w:bottom w:val="single" w:sz="12" w:space="0" w:color="auto"/>
            </w:tcBorders>
            <w:shd w:val="clear" w:color="auto" w:fill="auto"/>
          </w:tcPr>
          <w:p w14:paraId="778AF338" w14:textId="77777777" w:rsidR="00E93F58" w:rsidRPr="00283424" w:rsidRDefault="00E93F58" w:rsidP="00EA0AFF">
            <w:pPr>
              <w:pStyle w:val="TableHeading"/>
              <w:keepLines/>
            </w:pPr>
            <w:r w:rsidRPr="00283424">
              <w:t>is modified by…</w:t>
            </w:r>
          </w:p>
        </w:tc>
      </w:tr>
      <w:tr w:rsidR="00E93F58" w:rsidRPr="00283424" w14:paraId="48DED615" w14:textId="77777777" w:rsidTr="00EA0AFF">
        <w:tc>
          <w:tcPr>
            <w:tcW w:w="777" w:type="pct"/>
            <w:tcBorders>
              <w:top w:val="single" w:sz="12" w:space="0" w:color="auto"/>
            </w:tcBorders>
            <w:shd w:val="clear" w:color="auto" w:fill="auto"/>
          </w:tcPr>
          <w:p w14:paraId="5BAC7DB6" w14:textId="77777777" w:rsidR="00E93F58" w:rsidRPr="00283424" w:rsidRDefault="00E93F58" w:rsidP="00EA0AFF">
            <w:pPr>
              <w:pStyle w:val="Tabletext"/>
            </w:pPr>
            <w:r w:rsidRPr="00283424">
              <w:t>1</w:t>
            </w:r>
          </w:p>
        </w:tc>
        <w:tc>
          <w:tcPr>
            <w:tcW w:w="1382" w:type="pct"/>
            <w:tcBorders>
              <w:top w:val="single" w:sz="12" w:space="0" w:color="auto"/>
            </w:tcBorders>
            <w:shd w:val="clear" w:color="auto" w:fill="auto"/>
          </w:tcPr>
          <w:p w14:paraId="035F90FA" w14:textId="77777777" w:rsidR="00E93F58" w:rsidRPr="00283424" w:rsidRDefault="00E93F58" w:rsidP="00EA0AFF">
            <w:pPr>
              <w:pStyle w:val="Tabletext"/>
            </w:pPr>
            <w:r w:rsidRPr="00283424">
              <w:t xml:space="preserve">the definition of </w:t>
            </w:r>
            <w:r w:rsidRPr="00283424">
              <w:rPr>
                <w:b/>
                <w:i/>
              </w:rPr>
              <w:t>defective</w:t>
            </w:r>
            <w:r w:rsidRPr="00283424">
              <w:t xml:space="preserve"> in subsection 952B(1)</w:t>
            </w:r>
          </w:p>
        </w:tc>
        <w:tc>
          <w:tcPr>
            <w:tcW w:w="2841" w:type="pct"/>
            <w:tcBorders>
              <w:top w:val="single" w:sz="12" w:space="0" w:color="auto"/>
            </w:tcBorders>
            <w:shd w:val="clear" w:color="auto" w:fill="auto"/>
          </w:tcPr>
          <w:p w14:paraId="044982D8" w14:textId="77777777" w:rsidR="00E93F58" w:rsidRPr="00283424" w:rsidRDefault="00E93F58" w:rsidP="00EA0AFF">
            <w:pPr>
              <w:pStyle w:val="Tabletext"/>
            </w:pPr>
            <w:r w:rsidRPr="00283424">
              <w:t>inserting after subparagraph 952B(1)(b)(ii):</w:t>
            </w:r>
          </w:p>
          <w:p w14:paraId="132D388B" w14:textId="77777777" w:rsidR="00E93F58" w:rsidRPr="00283424" w:rsidRDefault="00E93F58" w:rsidP="00EA0AFF">
            <w:pPr>
              <w:pStyle w:val="Tablei"/>
            </w:pPr>
            <w:r w:rsidRPr="00283424">
              <w:t>(iiA) if it is a record of advice required by subsection 946B(3A)—there is an omission from the record of advice of material required by subsection 946B(3A) or section 947D; or</w:t>
            </w:r>
          </w:p>
        </w:tc>
      </w:tr>
      <w:tr w:rsidR="00E93F58" w:rsidRPr="00283424" w14:paraId="1FAFAAF4" w14:textId="77777777" w:rsidTr="00EA0AFF">
        <w:tc>
          <w:tcPr>
            <w:tcW w:w="777" w:type="pct"/>
            <w:shd w:val="clear" w:color="auto" w:fill="auto"/>
          </w:tcPr>
          <w:p w14:paraId="27C7B634" w14:textId="77777777" w:rsidR="00E93F58" w:rsidRPr="00283424" w:rsidRDefault="00E93F58" w:rsidP="00EA0AFF">
            <w:pPr>
              <w:pStyle w:val="Tabletext"/>
            </w:pPr>
            <w:r w:rsidRPr="00283424">
              <w:t>2</w:t>
            </w:r>
          </w:p>
        </w:tc>
        <w:tc>
          <w:tcPr>
            <w:tcW w:w="1382" w:type="pct"/>
            <w:shd w:val="clear" w:color="auto" w:fill="auto"/>
          </w:tcPr>
          <w:p w14:paraId="33A5A2D0" w14:textId="77777777" w:rsidR="00E93F58" w:rsidRPr="00283424" w:rsidRDefault="00E93F58" w:rsidP="00EA0AFF">
            <w:pPr>
              <w:pStyle w:val="Tabletext"/>
            </w:pPr>
            <w:r w:rsidRPr="00283424">
              <w:t xml:space="preserve">the definition of </w:t>
            </w:r>
            <w:r w:rsidRPr="00283424">
              <w:rPr>
                <w:b/>
                <w:i/>
              </w:rPr>
              <w:t>disclosure document or statement</w:t>
            </w:r>
            <w:r w:rsidRPr="00283424">
              <w:t xml:space="preserve"> in subsection 952B(1)</w:t>
            </w:r>
          </w:p>
        </w:tc>
        <w:tc>
          <w:tcPr>
            <w:tcW w:w="2841" w:type="pct"/>
            <w:shd w:val="clear" w:color="auto" w:fill="auto"/>
          </w:tcPr>
          <w:p w14:paraId="7463C8B2" w14:textId="77777777" w:rsidR="00E93F58" w:rsidRPr="00283424" w:rsidRDefault="00E93F58" w:rsidP="00EA0AFF">
            <w:pPr>
              <w:pStyle w:val="Tabletext"/>
            </w:pPr>
            <w:r w:rsidRPr="00283424">
              <w:t>inserting after paragraph (c) of the definition the following paragraph:</w:t>
            </w:r>
          </w:p>
          <w:p w14:paraId="33174B47" w14:textId="77777777" w:rsidR="00E93F58" w:rsidRPr="00283424" w:rsidRDefault="00E93F58" w:rsidP="00EA0AFF">
            <w:pPr>
              <w:pStyle w:val="Tablea"/>
            </w:pPr>
            <w:r w:rsidRPr="00283424">
              <w:t>(ca) a record of advice required by subsection 946B(3A); or</w:t>
            </w:r>
          </w:p>
        </w:tc>
      </w:tr>
      <w:tr w:rsidR="00E93F58" w:rsidRPr="00283424" w14:paraId="5B6AE10F" w14:textId="77777777" w:rsidTr="00EA0AFF">
        <w:trPr>
          <w:cantSplit/>
        </w:trPr>
        <w:tc>
          <w:tcPr>
            <w:tcW w:w="777" w:type="pct"/>
            <w:tcBorders>
              <w:bottom w:val="single" w:sz="4" w:space="0" w:color="auto"/>
            </w:tcBorders>
            <w:shd w:val="clear" w:color="auto" w:fill="auto"/>
          </w:tcPr>
          <w:p w14:paraId="313E030C" w14:textId="77777777" w:rsidR="00E93F58" w:rsidRPr="00283424" w:rsidRDefault="00E93F58" w:rsidP="00EA0AFF">
            <w:pPr>
              <w:pStyle w:val="Tabletext"/>
            </w:pPr>
            <w:r w:rsidRPr="00283424">
              <w:t>3</w:t>
            </w:r>
          </w:p>
        </w:tc>
        <w:tc>
          <w:tcPr>
            <w:tcW w:w="1382" w:type="pct"/>
            <w:tcBorders>
              <w:bottom w:val="single" w:sz="4" w:space="0" w:color="auto"/>
            </w:tcBorders>
            <w:shd w:val="clear" w:color="auto" w:fill="auto"/>
          </w:tcPr>
          <w:p w14:paraId="3307A3E0" w14:textId="77777777" w:rsidR="00E93F58" w:rsidRPr="00283424" w:rsidRDefault="00E93F58" w:rsidP="00EA0AFF">
            <w:pPr>
              <w:pStyle w:val="Tabletext"/>
            </w:pPr>
            <w:r w:rsidRPr="00283424">
              <w:t xml:space="preserve">the definition of </w:t>
            </w:r>
            <w:r w:rsidRPr="00283424">
              <w:rPr>
                <w:b/>
                <w:i/>
              </w:rPr>
              <w:t>defective</w:t>
            </w:r>
            <w:r w:rsidRPr="00283424">
              <w:t xml:space="preserve"> in subsection 953A(1)</w:t>
            </w:r>
          </w:p>
        </w:tc>
        <w:tc>
          <w:tcPr>
            <w:tcW w:w="2841" w:type="pct"/>
            <w:tcBorders>
              <w:bottom w:val="single" w:sz="4" w:space="0" w:color="auto"/>
            </w:tcBorders>
            <w:shd w:val="clear" w:color="auto" w:fill="auto"/>
          </w:tcPr>
          <w:p w14:paraId="47268AE9" w14:textId="77777777" w:rsidR="00E93F58" w:rsidRPr="00283424" w:rsidRDefault="00E93F58" w:rsidP="00EA0AFF">
            <w:pPr>
              <w:pStyle w:val="Tabletext"/>
            </w:pPr>
            <w:r w:rsidRPr="00283424">
              <w:t>inserting after subparagraph 952B(1)(b)(ii) the following paragraph:</w:t>
            </w:r>
          </w:p>
          <w:p w14:paraId="2CABF1E0" w14:textId="77777777" w:rsidR="00E93F58" w:rsidRPr="00283424" w:rsidRDefault="00E93F58" w:rsidP="00EA0AFF">
            <w:pPr>
              <w:pStyle w:val="Tablei"/>
            </w:pPr>
            <w:r w:rsidRPr="00283424">
              <w:t>(iiA) if it is a record of advice required by subsection 946B(3A)—there is an omission from the record of advice of material required by subsection 946B(3A) or section 947D; or</w:t>
            </w:r>
          </w:p>
        </w:tc>
      </w:tr>
      <w:tr w:rsidR="00E93F58" w:rsidRPr="00283424" w14:paraId="569F61D5" w14:textId="77777777" w:rsidTr="00EA0AFF">
        <w:trPr>
          <w:cantSplit/>
        </w:trPr>
        <w:tc>
          <w:tcPr>
            <w:tcW w:w="777" w:type="pct"/>
            <w:tcBorders>
              <w:bottom w:val="single" w:sz="12" w:space="0" w:color="auto"/>
            </w:tcBorders>
            <w:shd w:val="clear" w:color="auto" w:fill="auto"/>
          </w:tcPr>
          <w:p w14:paraId="2E48EF9E" w14:textId="77777777" w:rsidR="00E93F58" w:rsidRPr="00283424" w:rsidRDefault="00E93F58" w:rsidP="00EA0AFF">
            <w:pPr>
              <w:pStyle w:val="Tabletext"/>
            </w:pPr>
            <w:r w:rsidRPr="00283424">
              <w:t>4</w:t>
            </w:r>
          </w:p>
        </w:tc>
        <w:tc>
          <w:tcPr>
            <w:tcW w:w="1382" w:type="pct"/>
            <w:tcBorders>
              <w:bottom w:val="single" w:sz="12" w:space="0" w:color="auto"/>
            </w:tcBorders>
            <w:shd w:val="clear" w:color="auto" w:fill="auto"/>
          </w:tcPr>
          <w:p w14:paraId="3F1D3AD8" w14:textId="77777777" w:rsidR="00E93F58" w:rsidRPr="00283424" w:rsidRDefault="00E93F58" w:rsidP="00EA0AFF">
            <w:pPr>
              <w:pStyle w:val="Tabletext"/>
            </w:pPr>
            <w:r w:rsidRPr="00283424">
              <w:t xml:space="preserve">the definition of </w:t>
            </w:r>
            <w:r w:rsidRPr="00283424">
              <w:rPr>
                <w:b/>
                <w:i/>
              </w:rPr>
              <w:t>disclosure document or statement</w:t>
            </w:r>
            <w:r w:rsidRPr="00283424">
              <w:t xml:space="preserve"> in subsection 953A(1)</w:t>
            </w:r>
          </w:p>
        </w:tc>
        <w:tc>
          <w:tcPr>
            <w:tcW w:w="2841" w:type="pct"/>
            <w:tcBorders>
              <w:bottom w:val="single" w:sz="12" w:space="0" w:color="auto"/>
            </w:tcBorders>
            <w:shd w:val="clear" w:color="auto" w:fill="auto"/>
          </w:tcPr>
          <w:p w14:paraId="5F673E05" w14:textId="77777777" w:rsidR="00E93F58" w:rsidRPr="00283424" w:rsidRDefault="00E93F58" w:rsidP="00EA0AFF">
            <w:pPr>
              <w:pStyle w:val="Tabletext"/>
            </w:pPr>
            <w:r w:rsidRPr="00283424">
              <w:t>inserting after paragraph (c) of the definition the following paragraph:</w:t>
            </w:r>
          </w:p>
          <w:p w14:paraId="16C31F95" w14:textId="77777777" w:rsidR="00E93F58" w:rsidRPr="00283424" w:rsidRDefault="00E93F58" w:rsidP="00EA0AFF">
            <w:pPr>
              <w:pStyle w:val="Tablea"/>
            </w:pPr>
            <w:r w:rsidRPr="00283424">
              <w:t>(ca) a record of advice required by subsection 946B(3A); or</w:t>
            </w:r>
          </w:p>
        </w:tc>
      </w:tr>
    </w:tbl>
    <w:p w14:paraId="3B7905E4" w14:textId="77777777" w:rsidR="00E93F58" w:rsidRPr="00283424" w:rsidRDefault="00E93F58" w:rsidP="00B50726">
      <w:pPr>
        <w:pStyle w:val="ActHead5"/>
      </w:pPr>
      <w:bookmarkStart w:id="1119" w:name="_Toc152054538"/>
      <w:bookmarkStart w:id="1120" w:name="_Toc158712354"/>
      <w:r w:rsidRPr="006F296E">
        <w:rPr>
          <w:rStyle w:val="CharSectno"/>
        </w:rPr>
        <w:t>7.7.10AI</w:t>
      </w:r>
      <w:r w:rsidRPr="00283424">
        <w:t xml:space="preserve">  Obligation to warn client that advice does not take account of client’s objectives, financial situation or needs—carbon units, Australian carbon credit units and eligible international emissions units</w:t>
      </w:r>
      <w:bookmarkEnd w:id="1119"/>
      <w:bookmarkEnd w:id="1120"/>
    </w:p>
    <w:p w14:paraId="2CE3C9AE" w14:textId="77777777" w:rsidR="00E93F58" w:rsidRPr="00283424" w:rsidRDefault="00E93F58" w:rsidP="00B50726">
      <w:pPr>
        <w:pStyle w:val="subsection"/>
      </w:pPr>
      <w:r w:rsidRPr="00283424">
        <w:tab/>
      </w:r>
      <w:r w:rsidRPr="00283424">
        <w:tab/>
        <w:t>For paragraph 951C(1)(c) of the Act, Part 7.7 of the Act applies in relation to a carbon unit, an Australian carbon credit unit or an eligible international emissions unit as if paragraph 949A(2)(c) read as follows:</w:t>
      </w:r>
    </w:p>
    <w:p w14:paraId="39BCE77C" w14:textId="77777777" w:rsidR="00E93F58" w:rsidRPr="00283424" w:rsidRDefault="00E93F58" w:rsidP="00B50726">
      <w:pPr>
        <w:pStyle w:val="paragraph"/>
      </w:pPr>
      <w:r w:rsidRPr="00283424">
        <w:tab/>
        <w:t>“(c)</w:t>
      </w:r>
      <w:r w:rsidRPr="00283424">
        <w:tab/>
        <w:t>if the advice relates to the acquisition, or possible acquisition, of a carbon unit, the providing entity must:</w:t>
      </w:r>
    </w:p>
    <w:p w14:paraId="1F0960A2" w14:textId="77777777" w:rsidR="00E93F58" w:rsidRPr="00283424" w:rsidRDefault="00E93F58" w:rsidP="00B50726">
      <w:pPr>
        <w:pStyle w:val="paragraphsub"/>
      </w:pPr>
      <w:r w:rsidRPr="00283424">
        <w:tab/>
        <w:t>(i)</w:t>
      </w:r>
      <w:r w:rsidRPr="00283424">
        <w:tab/>
        <w:t xml:space="preserve">provide the client with the address of the website of the Clean Energy Regulator mentioned in section 202 of the </w:t>
      </w:r>
      <w:r w:rsidRPr="00283424">
        <w:rPr>
          <w:i/>
        </w:rPr>
        <w:t>Clean Energy Act 2011</w:t>
      </w:r>
      <w:r w:rsidRPr="00283424">
        <w:t>; and</w:t>
      </w:r>
    </w:p>
    <w:p w14:paraId="45CCDF7F" w14:textId="77777777" w:rsidR="00E93F58" w:rsidRPr="00283424" w:rsidRDefault="00E93F58" w:rsidP="00B50726">
      <w:pPr>
        <w:pStyle w:val="paragraphsub"/>
      </w:pPr>
      <w:r w:rsidRPr="00283424">
        <w:tab/>
        <w:t>(ii)</w:t>
      </w:r>
      <w:r w:rsidRPr="00283424">
        <w:tab/>
        <w:t xml:space="preserve">inform the client that the client should consider each statement mentioned in section 202 of the </w:t>
      </w:r>
      <w:r w:rsidRPr="00283424">
        <w:rPr>
          <w:i/>
        </w:rPr>
        <w:t>Clean Energy Act 2011</w:t>
      </w:r>
      <w:r w:rsidRPr="00283424">
        <w:t xml:space="preserve"> before making any decision about whether to acquire the financial product; and</w:t>
      </w:r>
    </w:p>
    <w:p w14:paraId="5FA6F143" w14:textId="77777777" w:rsidR="00E93F58" w:rsidRPr="00283424" w:rsidRDefault="00E93F58" w:rsidP="00B50726">
      <w:pPr>
        <w:pStyle w:val="paragraph"/>
      </w:pPr>
      <w:r w:rsidRPr="00283424">
        <w:tab/>
        <w:t>(d)</w:t>
      </w:r>
      <w:r w:rsidRPr="00283424">
        <w:tab/>
        <w:t>if the advice relates to the acquisition, or possible acquisition, of an Australian carbon credit unit, the providing entity must:</w:t>
      </w:r>
    </w:p>
    <w:p w14:paraId="22828749" w14:textId="77777777" w:rsidR="00E93F58" w:rsidRPr="00283424" w:rsidRDefault="00E93F58" w:rsidP="00B50726">
      <w:pPr>
        <w:pStyle w:val="paragraphsub"/>
      </w:pPr>
      <w:r w:rsidRPr="00283424">
        <w:tab/>
        <w:t>(i)</w:t>
      </w:r>
      <w:r w:rsidRPr="00283424">
        <w:tab/>
        <w:t xml:space="preserve">provide the client with the address of the website of the Clean Energy Regulator mentioned in section 162 of the </w:t>
      </w:r>
      <w:r w:rsidRPr="00283424">
        <w:rPr>
          <w:i/>
        </w:rPr>
        <w:t>Carbon Credits (Carbon Farming Initiative) Act 2011</w:t>
      </w:r>
      <w:r w:rsidRPr="00283424">
        <w:t>; and</w:t>
      </w:r>
    </w:p>
    <w:p w14:paraId="048CBD3C" w14:textId="77777777" w:rsidR="00E93F58" w:rsidRPr="00283424" w:rsidRDefault="00E93F58" w:rsidP="00B50726">
      <w:pPr>
        <w:pStyle w:val="paragraphsub"/>
      </w:pPr>
      <w:r w:rsidRPr="00283424">
        <w:tab/>
        <w:t>(ii)</w:t>
      </w:r>
      <w:r w:rsidRPr="00283424">
        <w:tab/>
        <w:t>inform the client that the client should consider each statement mentioned in section 162 of that Act before making any decision about whether to acquire the financial product; and</w:t>
      </w:r>
    </w:p>
    <w:p w14:paraId="264465BD" w14:textId="77777777" w:rsidR="00E93F58" w:rsidRPr="00283424" w:rsidRDefault="00E93F58" w:rsidP="00B50726">
      <w:pPr>
        <w:pStyle w:val="paragraph"/>
      </w:pPr>
      <w:r w:rsidRPr="00283424">
        <w:lastRenderedPageBreak/>
        <w:tab/>
        <w:t>(e)</w:t>
      </w:r>
      <w:r w:rsidRPr="00283424">
        <w:tab/>
        <w:t>if the advice relates to the acquisition, or possible acquisition, of an eligible international emissions unit, the providing entity must:</w:t>
      </w:r>
    </w:p>
    <w:p w14:paraId="28FFCD51" w14:textId="77777777" w:rsidR="00E93F58" w:rsidRPr="00283424" w:rsidRDefault="00E93F58" w:rsidP="00B50726">
      <w:pPr>
        <w:pStyle w:val="paragraphsub"/>
      </w:pPr>
      <w:r w:rsidRPr="00283424">
        <w:tab/>
        <w:t>(i)</w:t>
      </w:r>
      <w:r w:rsidRPr="00283424">
        <w:tab/>
        <w:t xml:space="preserve">provide the client with the address of the website of the Clean Energy Regulator mentioned in section 61 of the </w:t>
      </w:r>
      <w:r w:rsidRPr="00283424">
        <w:rPr>
          <w:i/>
        </w:rPr>
        <w:t>Australian National Registry of Emissions Units Act 2011</w:t>
      </w:r>
      <w:r w:rsidRPr="00283424">
        <w:t>; and</w:t>
      </w:r>
    </w:p>
    <w:p w14:paraId="7874651A" w14:textId="77777777" w:rsidR="00E93F58" w:rsidRPr="00283424" w:rsidRDefault="00E93F58" w:rsidP="00B50726">
      <w:pPr>
        <w:pStyle w:val="paragraphsub"/>
      </w:pPr>
      <w:r w:rsidRPr="00283424">
        <w:tab/>
        <w:t>(ii)</w:t>
      </w:r>
      <w:r w:rsidRPr="00283424">
        <w:tab/>
        <w:t xml:space="preserve">inform the client that the client should consider each statement mentioned in section 61 of the </w:t>
      </w:r>
      <w:r w:rsidRPr="00283424">
        <w:rPr>
          <w:i/>
        </w:rPr>
        <w:t>Australian National Registry of Emissions Units Act 2011</w:t>
      </w:r>
      <w:r w:rsidRPr="00283424">
        <w:t xml:space="preserve"> before making any decision about whether to acquire the financial product.”.</w:t>
      </w:r>
    </w:p>
    <w:p w14:paraId="24579DFE" w14:textId="77777777" w:rsidR="00E93F58" w:rsidRPr="00283424" w:rsidRDefault="00E93F58" w:rsidP="00B50726">
      <w:pPr>
        <w:pStyle w:val="ActHead5"/>
      </w:pPr>
      <w:bookmarkStart w:id="1121" w:name="_Toc152054539"/>
      <w:bookmarkStart w:id="1122" w:name="_Toc158712355"/>
      <w:r w:rsidRPr="006F296E">
        <w:rPr>
          <w:rStyle w:val="CharSectno"/>
        </w:rPr>
        <w:t>7.7.10A</w:t>
      </w:r>
      <w:r w:rsidRPr="00283424">
        <w:t xml:space="preserve">  Statements of Advice—requirement to state information as amounts in dollars</w:t>
      </w:r>
      <w:bookmarkEnd w:id="1121"/>
      <w:bookmarkEnd w:id="1122"/>
    </w:p>
    <w:p w14:paraId="5054E360" w14:textId="77777777" w:rsidR="00E93F58" w:rsidRPr="00283424" w:rsidRDefault="00E93F58" w:rsidP="00B50726">
      <w:pPr>
        <w:pStyle w:val="subsection"/>
      </w:pPr>
      <w:r w:rsidRPr="00283424">
        <w:tab/>
        <w:t>(1)</w:t>
      </w:r>
      <w:r w:rsidRPr="00283424">
        <w:tab/>
        <w:t>For paragraph 951C(1)(c) of the Act, Part 7.7 of the Act applies as if paragraph 947B(2)(h) of the Act were modified to read as follows:</w:t>
      </w:r>
    </w:p>
    <w:p w14:paraId="63A3CC5D" w14:textId="77777777" w:rsidR="00E93F58" w:rsidRPr="00283424" w:rsidRDefault="00E93F58" w:rsidP="00B50726">
      <w:pPr>
        <w:pStyle w:val="paragraphsub"/>
      </w:pPr>
      <w:r w:rsidRPr="00283424">
        <w:tab/>
        <w:t>‘(h)</w:t>
      </w:r>
      <w:r w:rsidRPr="00283424">
        <w:tab/>
        <w:t>unless in accordance with the regulations and a determination by ASIC, information to be disclosed in accordance with paragraph (d) and subparagraph (e)(i) must be stated as amounts in dollars.’.</w:t>
      </w:r>
    </w:p>
    <w:p w14:paraId="1DE3FA9B" w14:textId="77777777" w:rsidR="00E93F58" w:rsidRPr="00283424" w:rsidRDefault="00E93F58" w:rsidP="00B50726">
      <w:pPr>
        <w:pStyle w:val="subsection"/>
      </w:pPr>
      <w:r w:rsidRPr="00283424">
        <w:tab/>
        <w:t>(2)</w:t>
      </w:r>
      <w:r w:rsidRPr="00283424">
        <w:tab/>
        <w:t xml:space="preserve">For paragraph 951C(1)(a) of the Act, a providing entity does not have to provide the information mentioned in paragraph 947B(2)(h) of the Act, in the form required by that paragraph, in a Statement of Advice prepared before </w:t>
      </w:r>
      <w:r>
        <w:t>1 January</w:t>
      </w:r>
      <w:r w:rsidRPr="00283424">
        <w:t xml:space="preserve"> 2005.</w:t>
      </w:r>
    </w:p>
    <w:p w14:paraId="4E11D896" w14:textId="77777777" w:rsidR="00E93F58" w:rsidRPr="00283424" w:rsidRDefault="00E93F58" w:rsidP="00B50726">
      <w:pPr>
        <w:pStyle w:val="subsection"/>
      </w:pPr>
      <w:r w:rsidRPr="00283424">
        <w:tab/>
        <w:t>(3)</w:t>
      </w:r>
      <w:r w:rsidRPr="00283424">
        <w:tab/>
        <w:t>For paragraph 951C(1)(c) of the Act, Part 7.7 of the Act applies as if paragraph 947C(2)(i) of the Act were modified to read as follows:</w:t>
      </w:r>
    </w:p>
    <w:p w14:paraId="1DAEC8E3" w14:textId="77777777" w:rsidR="00E93F58" w:rsidRPr="00283424" w:rsidRDefault="00E93F58" w:rsidP="00B50726">
      <w:pPr>
        <w:pStyle w:val="paragraphsub"/>
      </w:pPr>
      <w:r w:rsidRPr="00283424">
        <w:tab/>
        <w:t>‘(i)</w:t>
      </w:r>
      <w:r w:rsidRPr="00283424">
        <w:tab/>
        <w:t>unless in accordance with the regulations and a determination by ASIC, information to be disclosed in accordance with paragraph (e) and subparagraph (f)(i) must be stated as amounts in dollars.’.</w:t>
      </w:r>
    </w:p>
    <w:p w14:paraId="555D7080" w14:textId="77777777" w:rsidR="00E93F58" w:rsidRPr="00283424" w:rsidRDefault="00E93F58" w:rsidP="00B50726">
      <w:pPr>
        <w:pStyle w:val="subsection"/>
      </w:pPr>
      <w:r w:rsidRPr="00283424">
        <w:tab/>
        <w:t>(4)</w:t>
      </w:r>
      <w:r w:rsidRPr="00283424">
        <w:tab/>
        <w:t xml:space="preserve">For paragraph 951C(1)(a) of the Act, a providing entity does not have to provide the information mentioned in paragraph 947C(2)(i) of the Act, in the form required by that paragraph, in a Statement of Advice prepared before </w:t>
      </w:r>
      <w:r>
        <w:t>1 January</w:t>
      </w:r>
      <w:r w:rsidRPr="00283424">
        <w:t xml:space="preserve"> 2005.</w:t>
      </w:r>
    </w:p>
    <w:p w14:paraId="7CB1B5A3" w14:textId="77777777" w:rsidR="00E93F58" w:rsidRPr="00283424" w:rsidRDefault="00E93F58" w:rsidP="00B50726">
      <w:pPr>
        <w:pStyle w:val="subsection"/>
      </w:pPr>
      <w:r w:rsidRPr="00283424">
        <w:tab/>
        <w:t>(5)</w:t>
      </w:r>
      <w:r w:rsidRPr="00283424">
        <w:tab/>
        <w:t>For paragraph 951C(1)(c) of the Act, Part 7.7 of the Act applies as if paragraph 947D(2)(d) of the Act were modified to read as follows:</w:t>
      </w:r>
    </w:p>
    <w:p w14:paraId="489237EF" w14:textId="77777777" w:rsidR="00E93F58" w:rsidRPr="00283424" w:rsidRDefault="00E93F58" w:rsidP="00B50726">
      <w:pPr>
        <w:pStyle w:val="paragraphsub"/>
      </w:pPr>
      <w:r w:rsidRPr="00283424">
        <w:tab/>
        <w:t>‘(d)</w:t>
      </w:r>
      <w:r w:rsidRPr="00283424">
        <w:tab/>
        <w:t>unless in accordance with the regulations and a determination by ASIC, information to be disclosed in accordance with paragraph (a) must be stated as amounts in dollars.’.</w:t>
      </w:r>
    </w:p>
    <w:p w14:paraId="2C78A045" w14:textId="77777777" w:rsidR="00E93F58" w:rsidRPr="00283424" w:rsidRDefault="00E93F58" w:rsidP="00B50726">
      <w:pPr>
        <w:pStyle w:val="subsection"/>
      </w:pPr>
      <w:r w:rsidRPr="00283424">
        <w:tab/>
        <w:t>(6)</w:t>
      </w:r>
      <w:r w:rsidRPr="00283424">
        <w:tab/>
        <w:t xml:space="preserve">For paragraph 951C(1)(a) of the Act, a providing entity does not have to provide the information mentioned in paragraph 947D(2)(d) of the Act, in the form required by that paragraph, in a Statement of Advice prepared before </w:t>
      </w:r>
      <w:r>
        <w:t>1 January</w:t>
      </w:r>
      <w:r w:rsidRPr="00283424">
        <w:t xml:space="preserve"> 2005.</w:t>
      </w:r>
    </w:p>
    <w:p w14:paraId="2AA945BE" w14:textId="77777777" w:rsidR="00E93F58" w:rsidRPr="00283424" w:rsidRDefault="00E93F58" w:rsidP="00B50726">
      <w:pPr>
        <w:pStyle w:val="ActHead5"/>
      </w:pPr>
      <w:bookmarkStart w:id="1123" w:name="_Toc152054540"/>
      <w:bookmarkStart w:id="1124" w:name="_Toc158712356"/>
      <w:r w:rsidRPr="006F296E">
        <w:rPr>
          <w:rStyle w:val="CharSectno"/>
        </w:rPr>
        <w:t>7.7.10B</w:t>
      </w:r>
      <w:r w:rsidRPr="00283424">
        <w:t xml:space="preserve">  Insertion of definition—further advice</w:t>
      </w:r>
      <w:bookmarkEnd w:id="1123"/>
      <w:bookmarkEnd w:id="1124"/>
    </w:p>
    <w:p w14:paraId="3AE55939" w14:textId="77777777" w:rsidR="00E93F58" w:rsidRPr="00283424" w:rsidRDefault="00E93F58" w:rsidP="00B50726">
      <w:pPr>
        <w:pStyle w:val="subsection"/>
      </w:pPr>
      <w:r w:rsidRPr="00283424">
        <w:tab/>
      </w:r>
      <w:r w:rsidRPr="00283424">
        <w:tab/>
        <w:t xml:space="preserve">For paragraph 951C(1)(c) of the Act, Part 7.7 of the Act applies as if the following definition were inserted in </w:t>
      </w:r>
      <w:r>
        <w:t>section 9</w:t>
      </w:r>
      <w:r w:rsidRPr="00283424">
        <w:t>:</w:t>
      </w:r>
    </w:p>
    <w:p w14:paraId="0B9CB953" w14:textId="77777777" w:rsidR="00E93F58" w:rsidRPr="00283424" w:rsidRDefault="00E93F58" w:rsidP="00B50726">
      <w:pPr>
        <w:pStyle w:val="Definition"/>
      </w:pPr>
      <w:r w:rsidRPr="00283424">
        <w:t>“</w:t>
      </w:r>
      <w:r w:rsidRPr="00283424">
        <w:rPr>
          <w:b/>
          <w:i/>
        </w:rPr>
        <w:t>further advice</w:t>
      </w:r>
      <w:r w:rsidRPr="00283424">
        <w:t xml:space="preserve"> means advice to which subsection 946B(2) or (2A) applies.”</w:t>
      </w:r>
    </w:p>
    <w:p w14:paraId="167E61EC" w14:textId="77777777" w:rsidR="00E93F58" w:rsidRPr="00283424" w:rsidRDefault="00E93F58" w:rsidP="00B50726">
      <w:pPr>
        <w:pStyle w:val="ActHead5"/>
      </w:pPr>
      <w:bookmarkStart w:id="1125" w:name="_Toc152054541"/>
      <w:bookmarkStart w:id="1126" w:name="_Toc158712357"/>
      <w:r w:rsidRPr="006F296E">
        <w:rPr>
          <w:rStyle w:val="CharSectno"/>
        </w:rPr>
        <w:t>7.7.10C</w:t>
      </w:r>
      <w:r w:rsidRPr="00283424">
        <w:t xml:space="preserve">  Omission of definition—further market</w:t>
      </w:r>
      <w:r>
        <w:noBreakHyphen/>
      </w:r>
      <w:r w:rsidRPr="00283424">
        <w:t>related advice</w:t>
      </w:r>
      <w:bookmarkEnd w:id="1125"/>
      <w:bookmarkEnd w:id="1126"/>
    </w:p>
    <w:p w14:paraId="097F5A21" w14:textId="77777777" w:rsidR="00E93F58" w:rsidRPr="00283424" w:rsidRDefault="00E93F58" w:rsidP="00B50726">
      <w:pPr>
        <w:pStyle w:val="subsection"/>
      </w:pPr>
      <w:r w:rsidRPr="00283424">
        <w:tab/>
      </w:r>
      <w:r w:rsidRPr="00283424">
        <w:tab/>
        <w:t>For paragraph 951C(1)(c) of the Act, Part 7.7 of the Act applies as if the definition of “further market</w:t>
      </w:r>
      <w:r>
        <w:noBreakHyphen/>
      </w:r>
      <w:r w:rsidRPr="00283424">
        <w:t xml:space="preserve">related advice” were omitted from </w:t>
      </w:r>
      <w:r>
        <w:t>section 9</w:t>
      </w:r>
      <w:r w:rsidRPr="00283424">
        <w:t>.</w:t>
      </w:r>
    </w:p>
    <w:p w14:paraId="75B14AB9" w14:textId="77777777" w:rsidR="00E93F58" w:rsidRPr="00283424" w:rsidRDefault="00E93F58" w:rsidP="00B50726">
      <w:pPr>
        <w:pStyle w:val="ActHead5"/>
      </w:pPr>
      <w:bookmarkStart w:id="1127" w:name="_Toc152054542"/>
      <w:bookmarkStart w:id="1128" w:name="_Toc158712358"/>
      <w:r w:rsidRPr="006F296E">
        <w:rPr>
          <w:rStyle w:val="CharSectno"/>
        </w:rPr>
        <w:t>7.7.10D</w:t>
      </w:r>
      <w:r w:rsidRPr="00283424">
        <w:t xml:space="preserve">  Additional information in Statement of Advice</w:t>
      </w:r>
      <w:bookmarkEnd w:id="1127"/>
      <w:bookmarkEnd w:id="1128"/>
    </w:p>
    <w:p w14:paraId="2D8C97E4" w14:textId="77777777" w:rsidR="00E93F58" w:rsidRPr="00283424" w:rsidRDefault="00E93F58" w:rsidP="00B50726">
      <w:pPr>
        <w:pStyle w:val="subsection"/>
      </w:pPr>
      <w:r w:rsidRPr="00283424">
        <w:tab/>
      </w:r>
      <w:r w:rsidRPr="00283424">
        <w:tab/>
        <w:t>For paragraph 951C(1)(c) of the Act, Part 7.7 of the Act applies as if subsection 947D(2) of the Act were modified by omitting “Statement of Advice” and substituting “Statement of Advice or the record of advice under subsection 946B(3A), as the case requires,”.</w:t>
      </w:r>
    </w:p>
    <w:p w14:paraId="05ABC2E6" w14:textId="77777777" w:rsidR="00E93F58" w:rsidRPr="00283424" w:rsidRDefault="00E93F58" w:rsidP="00B50726">
      <w:pPr>
        <w:pStyle w:val="ActHead5"/>
      </w:pPr>
      <w:bookmarkStart w:id="1129" w:name="_Toc152054543"/>
      <w:bookmarkStart w:id="1130" w:name="_Toc158712359"/>
      <w:r w:rsidRPr="006F296E">
        <w:rPr>
          <w:rStyle w:val="CharSectno"/>
        </w:rPr>
        <w:t>7.7.10E</w:t>
      </w:r>
      <w:r w:rsidRPr="00283424">
        <w:t xml:space="preserve">  Additional information in Statement of Advice</w:t>
      </w:r>
      <w:bookmarkEnd w:id="1129"/>
      <w:bookmarkEnd w:id="1130"/>
    </w:p>
    <w:p w14:paraId="2960A675" w14:textId="77777777" w:rsidR="00E93F58" w:rsidRPr="00283424" w:rsidRDefault="00E93F58" w:rsidP="00B50726">
      <w:pPr>
        <w:pStyle w:val="subsection"/>
      </w:pPr>
      <w:r w:rsidRPr="00283424">
        <w:tab/>
      </w:r>
      <w:r w:rsidRPr="00283424">
        <w:tab/>
        <w:t>For paragraph 951C(1)(c) of the Act, Part 7.7 of the Act applies as if subsection 947D(3) of the Act were modified by omitting “Statement of Advice” and substituting “Statement of Advice or the record of advice under subsection 946B(3A), as the case requires”.</w:t>
      </w:r>
    </w:p>
    <w:p w14:paraId="7BDE931E" w14:textId="77777777" w:rsidR="00E93F58" w:rsidRPr="00283424" w:rsidRDefault="00E93F58" w:rsidP="00B50726">
      <w:pPr>
        <w:pStyle w:val="ActHead5"/>
      </w:pPr>
      <w:bookmarkStart w:id="1131" w:name="_Toc152054544"/>
      <w:bookmarkStart w:id="1132" w:name="_Toc158712360"/>
      <w:r w:rsidRPr="006F296E">
        <w:rPr>
          <w:rStyle w:val="CharSectno"/>
        </w:rPr>
        <w:lastRenderedPageBreak/>
        <w:t>7.7.11</w:t>
      </w:r>
      <w:r w:rsidRPr="00283424">
        <w:rPr>
          <w:sz w:val="16"/>
        </w:rPr>
        <w:t xml:space="preserve">  </w:t>
      </w:r>
      <w:r w:rsidRPr="00283424">
        <w:t>Statement of Advice given by financial services licensee</w:t>
      </w:r>
      <w:bookmarkEnd w:id="1131"/>
      <w:bookmarkEnd w:id="1132"/>
    </w:p>
    <w:p w14:paraId="24BEE414" w14:textId="77777777" w:rsidR="00E93F58" w:rsidRPr="00283424" w:rsidRDefault="00E93F58" w:rsidP="00B50726">
      <w:pPr>
        <w:pStyle w:val="subsection"/>
      </w:pPr>
      <w:r w:rsidRPr="00283424">
        <w:rPr>
          <w:color w:val="000000"/>
        </w:rPr>
        <w:tab/>
        <w:t>(1)</w:t>
      </w:r>
      <w:r w:rsidRPr="00283424">
        <w:rPr>
          <w:color w:val="000000"/>
        </w:rPr>
        <w:tab/>
        <w:t>For paragraph 947B(2)(g) of the Act, a Statement of Advice given by a financial services licensee must include information about all remuneration (including commission) and other benefits that a person (</w:t>
      </w:r>
      <w:r w:rsidRPr="00283424">
        <w:rPr>
          <w:b/>
          <w:i/>
          <w:color w:val="000000"/>
        </w:rPr>
        <w:t>person 1</w:t>
      </w:r>
      <w:r w:rsidRPr="00283424">
        <w:rPr>
          <w:color w:val="000000"/>
        </w:rPr>
        <w:t>) has received, or is to receive, for referring another person to the financial services licensee.</w:t>
      </w:r>
    </w:p>
    <w:p w14:paraId="4A40A89C" w14:textId="77777777" w:rsidR="00E93F58" w:rsidRPr="00283424" w:rsidRDefault="00E93F58" w:rsidP="00B50726">
      <w:pPr>
        <w:pStyle w:val="subsection"/>
      </w:pPr>
      <w:r w:rsidRPr="00283424">
        <w:tab/>
        <w:t>(2)</w:t>
      </w:r>
      <w:r w:rsidRPr="00283424">
        <w:tab/>
        <w:t>For paragraph 947B(2)(h) of the Act, if ASIC determines that, for a compelling reason, it is not possible to state information to be disclosed in accordance with paragraph 947B(2)(d) or subparagraph 947B(2)(e)(i) as an amount in dollars, the information may be set out as a description of the amount as a percentage of a specified matter (including worked dollar examples, unless that is inappropriate).</w:t>
      </w:r>
    </w:p>
    <w:p w14:paraId="2D913E3E" w14:textId="77777777" w:rsidR="00E93F58" w:rsidRPr="00283424" w:rsidRDefault="00E93F58" w:rsidP="00B50726">
      <w:pPr>
        <w:pStyle w:val="subsection"/>
      </w:pPr>
      <w:r w:rsidRPr="00283424">
        <w:tab/>
        <w:t>(3)</w:t>
      </w:r>
      <w:r w:rsidRPr="00283424">
        <w:tab/>
        <w:t>For paragraph 947B(2)(h) of the Act, if ASIC determines that, for a compelling reason, it is not possible to state information to be disclosed in accordance with paragraph 947B(2)(d) or subparagraph 947B(2)(e)(i) as an amount in dollars, or to describe the amount as a percentage, the information may be set out as a description of the method of calculating the remuneration, benefits or interests (including worked dollar examples, unless that is inappropriate).</w:t>
      </w:r>
    </w:p>
    <w:p w14:paraId="380D94A2" w14:textId="77777777" w:rsidR="00E93F58" w:rsidRPr="00283424" w:rsidRDefault="00E93F58" w:rsidP="00B50726">
      <w:pPr>
        <w:pStyle w:val="subsection"/>
      </w:pPr>
      <w:r w:rsidRPr="00283424">
        <w:tab/>
        <w:t>(4)</w:t>
      </w:r>
      <w:r w:rsidRPr="00283424">
        <w:tab/>
        <w:t>A determination under subregulation (2) or (3) must be:</w:t>
      </w:r>
    </w:p>
    <w:p w14:paraId="7C0BE8F5" w14:textId="77777777" w:rsidR="00E93F58" w:rsidRPr="00283424" w:rsidRDefault="00E93F58" w:rsidP="00B50726">
      <w:pPr>
        <w:pStyle w:val="paragraph"/>
      </w:pPr>
      <w:r w:rsidRPr="00283424">
        <w:tab/>
        <w:t>(a)</w:t>
      </w:r>
      <w:r w:rsidRPr="00283424">
        <w:tab/>
        <w:t>in writing; and</w:t>
      </w:r>
    </w:p>
    <w:p w14:paraId="6FF50499"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25BE5CB1" w14:textId="77777777" w:rsidR="00E93F58" w:rsidRPr="00283424" w:rsidRDefault="00E93F58" w:rsidP="00B50726">
      <w:pPr>
        <w:pStyle w:val="subsection"/>
      </w:pPr>
      <w:r w:rsidRPr="00283424">
        <w:tab/>
        <w:t>(5)</w:t>
      </w:r>
      <w:r w:rsidRPr="00283424">
        <w:tab/>
        <w:t>The statements and descriptions must be presented in a manner that is easy for the client to understand.</w:t>
      </w:r>
    </w:p>
    <w:p w14:paraId="12F6B690" w14:textId="77777777" w:rsidR="00E93F58" w:rsidRPr="00283424" w:rsidRDefault="00E93F58" w:rsidP="00B50726">
      <w:pPr>
        <w:pStyle w:val="ActHead5"/>
      </w:pPr>
      <w:bookmarkStart w:id="1133" w:name="_Toc152054545"/>
      <w:bookmarkStart w:id="1134" w:name="_Toc158712361"/>
      <w:r w:rsidRPr="006F296E">
        <w:rPr>
          <w:rStyle w:val="CharSectno"/>
        </w:rPr>
        <w:t>7.7.11A</w:t>
      </w:r>
      <w:r w:rsidRPr="00283424">
        <w:t xml:space="preserve">  Statement of Advice given by authorised representative of financial services licensee—licence number</w:t>
      </w:r>
      <w:bookmarkEnd w:id="1133"/>
      <w:bookmarkEnd w:id="1134"/>
    </w:p>
    <w:p w14:paraId="1DC67800" w14:textId="77777777" w:rsidR="00E93F58" w:rsidRPr="00283424" w:rsidRDefault="00E93F58" w:rsidP="00B50726">
      <w:pPr>
        <w:pStyle w:val="subsection"/>
      </w:pPr>
      <w:r w:rsidRPr="00283424">
        <w:tab/>
      </w:r>
      <w:r w:rsidRPr="00283424">
        <w:tab/>
        <w:t>For paragraph 947C(2)(h) of the Act, a providing entity that is an authorised representative of a financial services licensee must include the licensee’s licence number in a Statement of Advice given to a client.</w:t>
      </w:r>
    </w:p>
    <w:p w14:paraId="61F648A0" w14:textId="77777777" w:rsidR="00E93F58" w:rsidRPr="00283424" w:rsidRDefault="00E93F58" w:rsidP="00B50726">
      <w:pPr>
        <w:pStyle w:val="ActHead5"/>
      </w:pPr>
      <w:bookmarkStart w:id="1135" w:name="_Toc152054546"/>
      <w:bookmarkStart w:id="1136" w:name="_Toc158712362"/>
      <w:r w:rsidRPr="006F296E">
        <w:rPr>
          <w:rStyle w:val="CharSectno"/>
        </w:rPr>
        <w:t>7.7.11B</w:t>
      </w:r>
      <w:r w:rsidRPr="00283424">
        <w:t xml:space="preserve">  Statement of Advice—disclosure of dollar amounts</w:t>
      </w:r>
      <w:bookmarkEnd w:id="1135"/>
      <w:bookmarkEnd w:id="1136"/>
    </w:p>
    <w:p w14:paraId="404D1DE8" w14:textId="77777777" w:rsidR="00E93F58" w:rsidRPr="00283424" w:rsidRDefault="00E93F58" w:rsidP="00B50726">
      <w:pPr>
        <w:pStyle w:val="subsection"/>
      </w:pPr>
      <w:r w:rsidRPr="00283424">
        <w:tab/>
        <w:t>(1)</w:t>
      </w:r>
      <w:r w:rsidRPr="00283424">
        <w:tab/>
        <w:t>For paragraph 947B(2)(h) of the Act, if ASIC determines that, for a compelling reason based on the nature of a financial product or service, or the nature of the information, to state the information as an amount in dollars:</w:t>
      </w:r>
    </w:p>
    <w:p w14:paraId="698129D1" w14:textId="77777777" w:rsidR="00E93F58" w:rsidRPr="00283424" w:rsidRDefault="00E93F58" w:rsidP="00B50726">
      <w:pPr>
        <w:pStyle w:val="paragraph"/>
      </w:pPr>
      <w:r w:rsidRPr="00283424">
        <w:tab/>
        <w:t>(a)</w:t>
      </w:r>
      <w:r w:rsidRPr="00283424">
        <w:tab/>
        <w:t>would impose an unreasonable burden on a providing entity, or a class of providing entities; or</w:t>
      </w:r>
    </w:p>
    <w:p w14:paraId="1B2E1D48" w14:textId="77777777" w:rsidR="00E93F58" w:rsidRPr="00283424" w:rsidRDefault="00E93F58" w:rsidP="00B50726">
      <w:pPr>
        <w:pStyle w:val="paragraph"/>
      </w:pPr>
      <w:r w:rsidRPr="00283424">
        <w:tab/>
        <w:t>(b)</w:t>
      </w:r>
      <w:r w:rsidRPr="00283424">
        <w:tab/>
        <w:t>would impose an unreasonable burden on a providing entity, or a class of providing entities, within a period specified in the determination; or</w:t>
      </w:r>
    </w:p>
    <w:p w14:paraId="53260B47" w14:textId="77777777" w:rsidR="00E93F58" w:rsidRPr="00283424" w:rsidRDefault="00E93F58" w:rsidP="00B50726">
      <w:pPr>
        <w:pStyle w:val="paragraph"/>
      </w:pPr>
      <w:r w:rsidRPr="00283424">
        <w:tab/>
        <w:t>(c)</w:t>
      </w:r>
      <w:r w:rsidRPr="00283424">
        <w:tab/>
        <w:t>would not be in the interests of a client, or a class of clients;</w:t>
      </w:r>
    </w:p>
    <w:p w14:paraId="758B7E81"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0381014B" w14:textId="77777777" w:rsidR="00E93F58" w:rsidRPr="00283424" w:rsidRDefault="00E93F58" w:rsidP="00B50726">
      <w:pPr>
        <w:pStyle w:val="subsection"/>
      </w:pPr>
      <w:r w:rsidRPr="00283424">
        <w:tab/>
        <w:t>(2)</w:t>
      </w:r>
      <w:r w:rsidRPr="00283424">
        <w:tab/>
        <w:t>For paragraph 947B(2)(h) of the Act, if ASIC determines that, for a compelling reason, based on the nature of a financial product or service, or the nature of the information, to state the information as an amount in dollars, or to describe the amount as a percentage:</w:t>
      </w:r>
    </w:p>
    <w:p w14:paraId="071B596A" w14:textId="77777777" w:rsidR="00E93F58" w:rsidRPr="00283424" w:rsidRDefault="00E93F58" w:rsidP="00B50726">
      <w:pPr>
        <w:pStyle w:val="paragraph"/>
      </w:pPr>
      <w:r w:rsidRPr="00283424">
        <w:tab/>
        <w:t>(a)</w:t>
      </w:r>
      <w:r w:rsidRPr="00283424">
        <w:tab/>
        <w:t>would impose an unreasonable burden on a providing entity, or a class of providing entities; or</w:t>
      </w:r>
    </w:p>
    <w:p w14:paraId="3F41EFB4" w14:textId="77777777" w:rsidR="00E93F58" w:rsidRPr="00283424" w:rsidRDefault="00E93F58" w:rsidP="00B50726">
      <w:pPr>
        <w:pStyle w:val="paragraph"/>
      </w:pPr>
      <w:r w:rsidRPr="00283424">
        <w:tab/>
        <w:t>(b)</w:t>
      </w:r>
      <w:r w:rsidRPr="00283424">
        <w:tab/>
        <w:t>would impose an unreasonable burden on a providing entity, or a class of providing entities, within a period specified in the determination; or</w:t>
      </w:r>
    </w:p>
    <w:p w14:paraId="5F95AF12" w14:textId="77777777" w:rsidR="00E93F58" w:rsidRPr="00283424" w:rsidRDefault="00E93F58" w:rsidP="00B50726">
      <w:pPr>
        <w:pStyle w:val="paragraph"/>
      </w:pPr>
      <w:r w:rsidRPr="00283424">
        <w:tab/>
        <w:t>(c)</w:t>
      </w:r>
      <w:r w:rsidRPr="00283424">
        <w:tab/>
        <w:t>would not be in the interests of a client, or a class of clients;</w:t>
      </w:r>
    </w:p>
    <w:p w14:paraId="0C6A27D9" w14:textId="77777777" w:rsidR="00E93F58" w:rsidRPr="00283424" w:rsidRDefault="00E93F58" w:rsidP="00B50726">
      <w:pPr>
        <w:pStyle w:val="subsection2"/>
      </w:pPr>
      <w:r w:rsidRPr="00283424">
        <w:t>the information may be set out as a description of the method of calculating the remuneration, benefits or interests (including worked dollar examples, unless that is inappropriate).</w:t>
      </w:r>
    </w:p>
    <w:p w14:paraId="5F876F4B" w14:textId="77777777" w:rsidR="00E93F58" w:rsidRPr="00283424" w:rsidRDefault="00E93F58" w:rsidP="00B50726">
      <w:pPr>
        <w:pStyle w:val="subsection"/>
      </w:pPr>
      <w:r w:rsidRPr="00283424">
        <w:tab/>
        <w:t>(3)</w:t>
      </w:r>
      <w:r w:rsidRPr="00283424">
        <w:tab/>
        <w:t>A determination under subregulation (1) or (2) must be:</w:t>
      </w:r>
    </w:p>
    <w:p w14:paraId="69C58AAD" w14:textId="77777777" w:rsidR="00E93F58" w:rsidRPr="00283424" w:rsidRDefault="00E93F58" w:rsidP="00B50726">
      <w:pPr>
        <w:pStyle w:val="paragraph"/>
      </w:pPr>
      <w:r w:rsidRPr="00283424">
        <w:tab/>
        <w:t>(a)</w:t>
      </w:r>
      <w:r w:rsidRPr="00283424">
        <w:tab/>
        <w:t>in writing; and</w:t>
      </w:r>
    </w:p>
    <w:p w14:paraId="5A660768"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17370497" w14:textId="77777777" w:rsidR="00E93F58" w:rsidRPr="00283424" w:rsidRDefault="00E93F58" w:rsidP="00B50726">
      <w:pPr>
        <w:pStyle w:val="ActHead5"/>
      </w:pPr>
      <w:bookmarkStart w:id="1137" w:name="_Toc152054547"/>
      <w:bookmarkStart w:id="1138" w:name="_Toc158712363"/>
      <w:r w:rsidRPr="006F296E">
        <w:rPr>
          <w:rStyle w:val="CharSectno"/>
        </w:rPr>
        <w:t>7.7.12</w:t>
      </w:r>
      <w:r w:rsidRPr="00283424">
        <w:rPr>
          <w:sz w:val="16"/>
        </w:rPr>
        <w:t xml:space="preserve">  </w:t>
      </w:r>
      <w:r w:rsidRPr="00283424">
        <w:t>Statement of Advice given by authorised representative of financial services licensee</w:t>
      </w:r>
      <w:bookmarkEnd w:id="1137"/>
      <w:bookmarkEnd w:id="1138"/>
    </w:p>
    <w:p w14:paraId="34B7C63C" w14:textId="77777777" w:rsidR="00E93F58" w:rsidRPr="00283424" w:rsidRDefault="00E93F58" w:rsidP="00B50726">
      <w:pPr>
        <w:pStyle w:val="subsection"/>
      </w:pPr>
      <w:r w:rsidRPr="00283424">
        <w:rPr>
          <w:color w:val="000000"/>
        </w:rPr>
        <w:tab/>
        <w:t>(1)</w:t>
      </w:r>
      <w:r w:rsidRPr="00283424">
        <w:rPr>
          <w:color w:val="000000"/>
        </w:rPr>
        <w:tab/>
        <w:t>For paragraph 947C(2)(h) of the Act, a Statement of Advice given by an authorised representative of a financial services licensee must include information about all remuneration (including commission) and other benefits that a person (</w:t>
      </w:r>
      <w:r w:rsidRPr="00283424">
        <w:rPr>
          <w:b/>
          <w:i/>
          <w:color w:val="000000"/>
        </w:rPr>
        <w:t>person 1</w:t>
      </w:r>
      <w:r w:rsidRPr="00283424">
        <w:rPr>
          <w:color w:val="000000"/>
        </w:rPr>
        <w:t>) has received, or is to receive, for referring another person to the authorised representative or the financial services licensee.</w:t>
      </w:r>
    </w:p>
    <w:p w14:paraId="093CBA2D" w14:textId="77777777" w:rsidR="00E93F58" w:rsidRPr="00283424" w:rsidRDefault="00E93F58" w:rsidP="00B50726">
      <w:pPr>
        <w:pStyle w:val="subsection"/>
      </w:pPr>
      <w:r w:rsidRPr="00283424">
        <w:lastRenderedPageBreak/>
        <w:tab/>
        <w:t>(2)</w:t>
      </w:r>
      <w:r w:rsidRPr="00283424">
        <w:tab/>
        <w:t>For paragraph 947C(2)(i) of the Act, if ASIC determines that, for a compelling reason, it is not possible to state information to be disclosed in accordance with paragraph 947C(2)(e) or subparagraph 947C(2)(f)(i) as an amount in dollars, the information may be set out as a description of the amount as a percentage of a specified matter (including worked dollar examples, unless that is inappropriate).</w:t>
      </w:r>
    </w:p>
    <w:p w14:paraId="79BF03AC" w14:textId="77777777" w:rsidR="00E93F58" w:rsidRPr="00283424" w:rsidRDefault="00E93F58" w:rsidP="00B50726">
      <w:pPr>
        <w:pStyle w:val="subsection"/>
      </w:pPr>
      <w:r w:rsidRPr="00283424">
        <w:tab/>
        <w:t>(3)</w:t>
      </w:r>
      <w:r w:rsidRPr="00283424">
        <w:tab/>
        <w:t>For paragraph 947C(2)(i) of the Act, if ASIC determines that, for a compelling reason, it is not possible to state information to be disclosed in accordance with paragraph 947C(2)(e) or subparagraph 947C(2)(f)(i) as an amount in dollars, or to describe the amount as a percentage, the information may be set out as a description of the method of calculating the remuneration, benefits or interests (including worked dollar examples, unless that is inappropriate).</w:t>
      </w:r>
    </w:p>
    <w:p w14:paraId="2FFCC796" w14:textId="77777777" w:rsidR="00E93F58" w:rsidRPr="00283424" w:rsidRDefault="00E93F58" w:rsidP="00B50726">
      <w:pPr>
        <w:pStyle w:val="subsection"/>
      </w:pPr>
      <w:r w:rsidRPr="00283424">
        <w:tab/>
        <w:t>(4)</w:t>
      </w:r>
      <w:r w:rsidRPr="00283424">
        <w:tab/>
        <w:t>A determination under subregulation (1) or (2) must be:</w:t>
      </w:r>
    </w:p>
    <w:p w14:paraId="0F8180C4" w14:textId="77777777" w:rsidR="00E93F58" w:rsidRPr="00283424" w:rsidRDefault="00E93F58" w:rsidP="00B50726">
      <w:pPr>
        <w:pStyle w:val="paragraph"/>
      </w:pPr>
      <w:r w:rsidRPr="00283424">
        <w:tab/>
        <w:t>(a)</w:t>
      </w:r>
      <w:r w:rsidRPr="00283424">
        <w:tab/>
        <w:t>in writing; and</w:t>
      </w:r>
    </w:p>
    <w:p w14:paraId="76358650"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7E6EA438" w14:textId="77777777" w:rsidR="00E93F58" w:rsidRPr="00283424" w:rsidRDefault="00E93F58" w:rsidP="00B50726">
      <w:pPr>
        <w:pStyle w:val="subsection"/>
      </w:pPr>
      <w:r w:rsidRPr="00283424">
        <w:tab/>
        <w:t>(5)</w:t>
      </w:r>
      <w:r w:rsidRPr="00283424">
        <w:tab/>
        <w:t>The statements and descriptions must be presented in a manner that is easy for the client to understand.</w:t>
      </w:r>
    </w:p>
    <w:p w14:paraId="759EED9B" w14:textId="77777777" w:rsidR="00E93F58" w:rsidRPr="00283424" w:rsidRDefault="00E93F58" w:rsidP="00B50726">
      <w:pPr>
        <w:pStyle w:val="ActHead5"/>
      </w:pPr>
      <w:bookmarkStart w:id="1139" w:name="_Toc152054548"/>
      <w:bookmarkStart w:id="1140" w:name="_Toc158712364"/>
      <w:r w:rsidRPr="006F296E">
        <w:rPr>
          <w:rStyle w:val="CharSectno"/>
        </w:rPr>
        <w:t>7.7.13</w:t>
      </w:r>
      <w:r w:rsidRPr="00283424">
        <w:t xml:space="preserve">  Statement of Advice provided by authorised representative—disclosure of dollar amounts</w:t>
      </w:r>
      <w:bookmarkEnd w:id="1139"/>
      <w:bookmarkEnd w:id="1140"/>
    </w:p>
    <w:p w14:paraId="6D0E377C" w14:textId="77777777" w:rsidR="00E93F58" w:rsidRPr="00283424" w:rsidRDefault="00E93F58" w:rsidP="00B50726">
      <w:pPr>
        <w:pStyle w:val="subsection"/>
      </w:pPr>
      <w:r w:rsidRPr="00283424">
        <w:tab/>
        <w:t>(1)</w:t>
      </w:r>
      <w:r w:rsidRPr="00283424">
        <w:tab/>
        <w:t>For paragraph 947C(2)(i) of the Act, if ASIC determines that, for a compelling reason based on the nature of a financial product or service, or the nature of the information, to state the information as an amount in dollars:</w:t>
      </w:r>
    </w:p>
    <w:p w14:paraId="55738AB4" w14:textId="77777777" w:rsidR="00E93F58" w:rsidRPr="00283424" w:rsidRDefault="00E93F58" w:rsidP="00B50726">
      <w:pPr>
        <w:pStyle w:val="paragraph"/>
      </w:pPr>
      <w:r w:rsidRPr="00283424">
        <w:tab/>
        <w:t>(a)</w:t>
      </w:r>
      <w:r w:rsidRPr="00283424">
        <w:tab/>
        <w:t>would impose an unreasonable burden on a providing entity, or a class of providing entities; or</w:t>
      </w:r>
    </w:p>
    <w:p w14:paraId="4C9D0291" w14:textId="77777777" w:rsidR="00E93F58" w:rsidRPr="00283424" w:rsidRDefault="00E93F58" w:rsidP="00B50726">
      <w:pPr>
        <w:pStyle w:val="paragraph"/>
      </w:pPr>
      <w:r w:rsidRPr="00283424">
        <w:tab/>
        <w:t>(b)</w:t>
      </w:r>
      <w:r w:rsidRPr="00283424">
        <w:tab/>
        <w:t>would impose an unreasonable burden on a providing entity, or a class of providing entities, within a period specified in the determination; or</w:t>
      </w:r>
    </w:p>
    <w:p w14:paraId="3E785316" w14:textId="77777777" w:rsidR="00E93F58" w:rsidRPr="00283424" w:rsidRDefault="00E93F58" w:rsidP="00B50726">
      <w:pPr>
        <w:pStyle w:val="paragraph"/>
      </w:pPr>
      <w:r w:rsidRPr="00283424">
        <w:tab/>
        <w:t>(c)</w:t>
      </w:r>
      <w:r w:rsidRPr="00283424">
        <w:tab/>
        <w:t>would not be in the interests of a client, or a class of clients;</w:t>
      </w:r>
    </w:p>
    <w:p w14:paraId="291847BD"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2384E1D9" w14:textId="77777777" w:rsidR="00E93F58" w:rsidRPr="00283424" w:rsidRDefault="00E93F58" w:rsidP="00B50726">
      <w:pPr>
        <w:pStyle w:val="subsection"/>
      </w:pPr>
      <w:r w:rsidRPr="00283424">
        <w:tab/>
        <w:t>(2)</w:t>
      </w:r>
      <w:r w:rsidRPr="00283424">
        <w:tab/>
        <w:t>For paragraph 947C(2)(i) of the Act, if ASIC determines that, for a compelling reason, based on the nature of a financial product or service, or the nature of the information, to state the information as an amount in dollars, or to describe the amount as a percentage:</w:t>
      </w:r>
    </w:p>
    <w:p w14:paraId="3BD9008C" w14:textId="77777777" w:rsidR="00E93F58" w:rsidRPr="00283424" w:rsidRDefault="00E93F58" w:rsidP="00B50726">
      <w:pPr>
        <w:pStyle w:val="paragraph"/>
      </w:pPr>
      <w:r w:rsidRPr="00283424">
        <w:tab/>
        <w:t>(a)</w:t>
      </w:r>
      <w:r w:rsidRPr="00283424">
        <w:tab/>
        <w:t>would impose an unreasonable burden on a providing entity, or a class of providing entities; or</w:t>
      </w:r>
    </w:p>
    <w:p w14:paraId="0EF6D5FA" w14:textId="77777777" w:rsidR="00E93F58" w:rsidRPr="00283424" w:rsidRDefault="00E93F58" w:rsidP="00B50726">
      <w:pPr>
        <w:pStyle w:val="paragraph"/>
      </w:pPr>
      <w:r w:rsidRPr="00283424">
        <w:tab/>
        <w:t>(b)</w:t>
      </w:r>
      <w:r w:rsidRPr="00283424">
        <w:tab/>
        <w:t>would impose an unreasonable burden on a providing entity, or a class of providing entities, within a period specified in the determination; or</w:t>
      </w:r>
    </w:p>
    <w:p w14:paraId="2E7B8681" w14:textId="77777777" w:rsidR="00E93F58" w:rsidRPr="00283424" w:rsidRDefault="00E93F58" w:rsidP="00B50726">
      <w:pPr>
        <w:pStyle w:val="paragraph"/>
      </w:pPr>
      <w:r w:rsidRPr="00283424">
        <w:tab/>
        <w:t>(c)</w:t>
      </w:r>
      <w:r w:rsidRPr="00283424">
        <w:tab/>
        <w:t>would not be in the interests of a client, or a class of clients;</w:t>
      </w:r>
    </w:p>
    <w:p w14:paraId="53E3BC8F" w14:textId="77777777" w:rsidR="00E93F58" w:rsidRPr="00283424" w:rsidRDefault="00E93F58" w:rsidP="00B50726">
      <w:pPr>
        <w:pStyle w:val="subsection2"/>
      </w:pPr>
      <w:r w:rsidRPr="00283424">
        <w:t>the information may be set out as a description of the method of calculating the remuneration, benefits or interests (including worked dollar examples, unless that is inappropriate).</w:t>
      </w:r>
    </w:p>
    <w:p w14:paraId="62C58E8B" w14:textId="77777777" w:rsidR="00E93F58" w:rsidRPr="00283424" w:rsidRDefault="00E93F58" w:rsidP="00B50726">
      <w:pPr>
        <w:pStyle w:val="subsection"/>
      </w:pPr>
      <w:r w:rsidRPr="00283424">
        <w:tab/>
        <w:t>(3)</w:t>
      </w:r>
      <w:r w:rsidRPr="00283424">
        <w:tab/>
        <w:t>A determination under subregulation (1) or (2) must be:</w:t>
      </w:r>
    </w:p>
    <w:p w14:paraId="4FFA471B" w14:textId="77777777" w:rsidR="00E93F58" w:rsidRPr="00283424" w:rsidRDefault="00E93F58" w:rsidP="00B50726">
      <w:pPr>
        <w:pStyle w:val="paragraph"/>
      </w:pPr>
      <w:r w:rsidRPr="00283424">
        <w:tab/>
        <w:t>(a)</w:t>
      </w:r>
      <w:r w:rsidRPr="00283424">
        <w:tab/>
        <w:t>in writing; and</w:t>
      </w:r>
    </w:p>
    <w:p w14:paraId="4F86C421"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001F005B" w14:textId="77777777" w:rsidR="00E93F58" w:rsidRPr="00283424" w:rsidRDefault="00E93F58" w:rsidP="00B50726">
      <w:pPr>
        <w:pStyle w:val="ActHead5"/>
      </w:pPr>
      <w:bookmarkStart w:id="1141" w:name="_Toc152054549"/>
      <w:bookmarkStart w:id="1142" w:name="_Toc158712365"/>
      <w:r w:rsidRPr="006F296E">
        <w:rPr>
          <w:rStyle w:val="CharSectno"/>
        </w:rPr>
        <w:t>7.7.13A</w:t>
      </w:r>
      <w:r w:rsidRPr="00283424">
        <w:t xml:space="preserve">  Additional information about charges or benefits—disclosure of dollar amounts</w:t>
      </w:r>
      <w:bookmarkEnd w:id="1141"/>
      <w:bookmarkEnd w:id="1142"/>
    </w:p>
    <w:p w14:paraId="405D58C8" w14:textId="77777777" w:rsidR="00E93F58" w:rsidRPr="00283424" w:rsidRDefault="00E93F58" w:rsidP="00B50726">
      <w:pPr>
        <w:pStyle w:val="subsection"/>
      </w:pPr>
      <w:r w:rsidRPr="00283424">
        <w:tab/>
        <w:t>(1)</w:t>
      </w:r>
      <w:r w:rsidRPr="00283424">
        <w:tab/>
        <w:t>For paragraph 947D(2)(d) of the Act, if ASIC determines that, for a compelling reason, it is not possible to state information to be disclosed in accordance with paragraph 947D(2)(a) as an amount in dollars, the information may be set out as a description of the amount as a percentage of a specified matter (including worked dollar examples, unless that is inappropriate).</w:t>
      </w:r>
    </w:p>
    <w:p w14:paraId="5823D390" w14:textId="77777777" w:rsidR="00E93F58" w:rsidRPr="00283424" w:rsidRDefault="00E93F58" w:rsidP="00B50726">
      <w:pPr>
        <w:pStyle w:val="subsection"/>
      </w:pPr>
      <w:r w:rsidRPr="00283424">
        <w:tab/>
        <w:t>(2)</w:t>
      </w:r>
      <w:r w:rsidRPr="00283424">
        <w:tab/>
        <w:t>For paragraph 947D(2)(d) of the Act, if ASIC determines that, for a compelling reason, it is not possible to state information to be disclosed in accordance with paragraph 947D(2)(a) as an amount in dollars, or to describe the amount as a percentage, the information may be set out as a description of the method of calculating the charge or benefit (including worked dollar examples, unless that is inappropriate).</w:t>
      </w:r>
    </w:p>
    <w:p w14:paraId="71781A8B" w14:textId="77777777" w:rsidR="00E93F58" w:rsidRPr="00283424" w:rsidRDefault="00E93F58" w:rsidP="00B50726">
      <w:pPr>
        <w:pStyle w:val="subsection"/>
      </w:pPr>
      <w:r w:rsidRPr="00283424">
        <w:tab/>
        <w:t>(3)</w:t>
      </w:r>
      <w:r w:rsidRPr="00283424">
        <w:tab/>
        <w:t>A determination under subregulation (1) or (2) must be:</w:t>
      </w:r>
    </w:p>
    <w:p w14:paraId="279F4188" w14:textId="77777777" w:rsidR="00E93F58" w:rsidRPr="00283424" w:rsidRDefault="00E93F58" w:rsidP="00B50726">
      <w:pPr>
        <w:pStyle w:val="paragraph"/>
      </w:pPr>
      <w:r w:rsidRPr="00283424">
        <w:tab/>
        <w:t>(a)</w:t>
      </w:r>
      <w:r w:rsidRPr="00283424">
        <w:tab/>
        <w:t>in writing; and</w:t>
      </w:r>
    </w:p>
    <w:p w14:paraId="23A1BBC6"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0EAD6BB5" w14:textId="77777777" w:rsidR="00E93F58" w:rsidRPr="00283424" w:rsidRDefault="00E93F58" w:rsidP="00B50726">
      <w:pPr>
        <w:pStyle w:val="ActHead5"/>
      </w:pPr>
      <w:bookmarkStart w:id="1143" w:name="_Toc152054550"/>
      <w:bookmarkStart w:id="1144" w:name="_Toc158712366"/>
      <w:r w:rsidRPr="006F296E">
        <w:rPr>
          <w:rStyle w:val="CharSectno"/>
        </w:rPr>
        <w:lastRenderedPageBreak/>
        <w:t>7.7.13B</w:t>
      </w:r>
      <w:r w:rsidRPr="00283424">
        <w:t xml:space="preserve">  Additional information about charges or benefits—disclosure of dollar amounts</w:t>
      </w:r>
      <w:bookmarkEnd w:id="1143"/>
      <w:bookmarkEnd w:id="1144"/>
    </w:p>
    <w:p w14:paraId="2E09AAE3" w14:textId="77777777" w:rsidR="00E93F58" w:rsidRPr="00283424" w:rsidRDefault="00E93F58" w:rsidP="00B50726">
      <w:pPr>
        <w:pStyle w:val="subsection"/>
        <w:keepNext/>
        <w:keepLines/>
      </w:pPr>
      <w:r w:rsidRPr="00283424">
        <w:tab/>
        <w:t>(1)</w:t>
      </w:r>
      <w:r w:rsidRPr="00283424">
        <w:tab/>
        <w:t>For paragraph 947D(2)(d) of the Act, if ASIC determines that, for a compelling reason based on the nature of a financial product or service, or the nature of the information, to state the information as an amount in dollars:</w:t>
      </w:r>
    </w:p>
    <w:p w14:paraId="43ED9FC8" w14:textId="77777777" w:rsidR="00E93F58" w:rsidRPr="00283424" w:rsidRDefault="00E93F58" w:rsidP="00B50726">
      <w:pPr>
        <w:pStyle w:val="paragraph"/>
      </w:pPr>
      <w:r w:rsidRPr="00283424">
        <w:tab/>
        <w:t>(a)</w:t>
      </w:r>
      <w:r w:rsidRPr="00283424">
        <w:tab/>
        <w:t>would impose an unreasonable burden on a providing entity, or a class of providing entities; or</w:t>
      </w:r>
    </w:p>
    <w:p w14:paraId="0E1782EB" w14:textId="77777777" w:rsidR="00E93F58" w:rsidRPr="00283424" w:rsidRDefault="00E93F58" w:rsidP="00B50726">
      <w:pPr>
        <w:pStyle w:val="paragraph"/>
      </w:pPr>
      <w:r w:rsidRPr="00283424">
        <w:tab/>
        <w:t>(b)</w:t>
      </w:r>
      <w:r w:rsidRPr="00283424">
        <w:tab/>
        <w:t>would impose an unreasonable burden on a providing entity, or a class of providing entities, within a period specified in the determination; or</w:t>
      </w:r>
    </w:p>
    <w:p w14:paraId="37061AE2" w14:textId="77777777" w:rsidR="00E93F58" w:rsidRPr="00283424" w:rsidRDefault="00E93F58" w:rsidP="00B50726">
      <w:pPr>
        <w:pStyle w:val="paragraph"/>
      </w:pPr>
      <w:r w:rsidRPr="00283424">
        <w:tab/>
        <w:t>(c)</w:t>
      </w:r>
      <w:r w:rsidRPr="00283424">
        <w:tab/>
        <w:t>would not be in the interests of a client, or a class of clients;</w:t>
      </w:r>
    </w:p>
    <w:p w14:paraId="00421BB5"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032DACCC" w14:textId="77777777" w:rsidR="00E93F58" w:rsidRPr="00283424" w:rsidRDefault="00E93F58" w:rsidP="00B50726">
      <w:pPr>
        <w:pStyle w:val="subsection"/>
      </w:pPr>
      <w:r w:rsidRPr="00283424">
        <w:tab/>
        <w:t>(2)</w:t>
      </w:r>
      <w:r w:rsidRPr="00283424">
        <w:tab/>
        <w:t>For paragraph 947D(2)(d) of the Act, if ASIC determines that, for a compelling reason, based on the nature of a financial product or service, or the nature of the information, to state the information as an amount in dollars, or to describe the amount as a percentage:</w:t>
      </w:r>
    </w:p>
    <w:p w14:paraId="0A4AD0E0" w14:textId="77777777" w:rsidR="00E93F58" w:rsidRPr="00283424" w:rsidRDefault="00E93F58" w:rsidP="00B50726">
      <w:pPr>
        <w:pStyle w:val="paragraph"/>
      </w:pPr>
      <w:r w:rsidRPr="00283424">
        <w:tab/>
        <w:t>(a)</w:t>
      </w:r>
      <w:r w:rsidRPr="00283424">
        <w:tab/>
        <w:t>would impose an unreasonable burden on a providing entity, or a class of providing entities; or</w:t>
      </w:r>
    </w:p>
    <w:p w14:paraId="733BDD27" w14:textId="77777777" w:rsidR="00E93F58" w:rsidRPr="00283424" w:rsidRDefault="00E93F58" w:rsidP="00B50726">
      <w:pPr>
        <w:pStyle w:val="paragraph"/>
      </w:pPr>
      <w:r w:rsidRPr="00283424">
        <w:tab/>
        <w:t>(b)</w:t>
      </w:r>
      <w:r w:rsidRPr="00283424">
        <w:tab/>
        <w:t>would impose an unreasonable burden on a providing entity, or a class of providing entities, within a period specified in the determination; or</w:t>
      </w:r>
    </w:p>
    <w:p w14:paraId="5AA01F89" w14:textId="77777777" w:rsidR="00E93F58" w:rsidRPr="00283424" w:rsidRDefault="00E93F58" w:rsidP="00B50726">
      <w:pPr>
        <w:pStyle w:val="paragraph"/>
      </w:pPr>
      <w:r w:rsidRPr="00283424">
        <w:tab/>
        <w:t>(c)</w:t>
      </w:r>
      <w:r w:rsidRPr="00283424">
        <w:tab/>
        <w:t>would not be in the interests of a client, or a class of clients;</w:t>
      </w:r>
    </w:p>
    <w:p w14:paraId="4BE69E77" w14:textId="77777777" w:rsidR="00E93F58" w:rsidRPr="00283424" w:rsidRDefault="00E93F58" w:rsidP="00B50726">
      <w:pPr>
        <w:pStyle w:val="subsection2"/>
      </w:pPr>
      <w:r w:rsidRPr="00283424">
        <w:t>the information may be set out as a description of the method of calculating the charge or benefit (including worked dollar examples, unless that is inappropriate).</w:t>
      </w:r>
    </w:p>
    <w:p w14:paraId="695A10F2" w14:textId="77777777" w:rsidR="00E93F58" w:rsidRPr="00283424" w:rsidRDefault="00E93F58" w:rsidP="00B50726">
      <w:pPr>
        <w:pStyle w:val="subsection"/>
      </w:pPr>
      <w:r w:rsidRPr="00283424">
        <w:tab/>
        <w:t>(3)</w:t>
      </w:r>
      <w:r w:rsidRPr="00283424">
        <w:tab/>
        <w:t>A determination under subregulation (1) or (2) must be:</w:t>
      </w:r>
    </w:p>
    <w:p w14:paraId="3F490C53" w14:textId="77777777" w:rsidR="00E93F58" w:rsidRPr="00283424" w:rsidRDefault="00E93F58" w:rsidP="00B50726">
      <w:pPr>
        <w:pStyle w:val="paragraph"/>
      </w:pPr>
      <w:r w:rsidRPr="00283424">
        <w:tab/>
        <w:t>(a)</w:t>
      </w:r>
      <w:r w:rsidRPr="00283424">
        <w:tab/>
        <w:t>in writing; and</w:t>
      </w:r>
    </w:p>
    <w:p w14:paraId="706AA204"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45D679CD" w14:textId="77777777" w:rsidR="00E93F58" w:rsidRPr="00283424" w:rsidRDefault="00E93F58" w:rsidP="00B50726">
      <w:pPr>
        <w:pStyle w:val="ActHead3"/>
        <w:pageBreakBefore/>
      </w:pPr>
      <w:bookmarkStart w:id="1145" w:name="_Toc152054551"/>
      <w:bookmarkStart w:id="1146" w:name="_Toc158712367"/>
      <w:r w:rsidRPr="006F296E">
        <w:rPr>
          <w:rStyle w:val="CharDivNo"/>
        </w:rPr>
        <w:lastRenderedPageBreak/>
        <w:t>Division 4</w:t>
      </w:r>
      <w:r w:rsidRPr="00283424">
        <w:t>—</w:t>
      </w:r>
      <w:r w:rsidRPr="006F296E">
        <w:rPr>
          <w:rStyle w:val="CharDivText"/>
        </w:rPr>
        <w:t>General advice provided to a retail client</w:t>
      </w:r>
      <w:bookmarkEnd w:id="1145"/>
      <w:bookmarkEnd w:id="1146"/>
    </w:p>
    <w:p w14:paraId="500B7B2C" w14:textId="77777777" w:rsidR="00E93F58" w:rsidRPr="00283424" w:rsidRDefault="00E93F58" w:rsidP="00B50726">
      <w:pPr>
        <w:pStyle w:val="ActHead5"/>
      </w:pPr>
      <w:bookmarkStart w:id="1147" w:name="_Toc152054552"/>
      <w:bookmarkStart w:id="1148" w:name="_Toc158712368"/>
      <w:r w:rsidRPr="006F296E">
        <w:rPr>
          <w:rStyle w:val="CharSectno"/>
        </w:rPr>
        <w:t>7.7.14</w:t>
      </w:r>
      <w:r w:rsidRPr="00283424">
        <w:t xml:space="preserve">  Product Disclosure Statement not required</w:t>
      </w:r>
      <w:bookmarkEnd w:id="1147"/>
      <w:bookmarkEnd w:id="1148"/>
    </w:p>
    <w:p w14:paraId="63812EAF" w14:textId="77777777" w:rsidR="00E93F58" w:rsidRPr="00283424" w:rsidRDefault="00E93F58" w:rsidP="00B50726">
      <w:pPr>
        <w:pStyle w:val="subsection"/>
      </w:pPr>
      <w:r w:rsidRPr="00283424">
        <w:tab/>
      </w:r>
      <w:r w:rsidRPr="00283424">
        <w:tab/>
        <w:t>For paragraph 926B(1)(a) of the Act, a providing entity that is giving general advice in relation to a financial product for which, under Part 7.9 of the Act, a Product Disclosure Statement is not required, does not have to give the warning in paragraph 949A(2)(c) of the Act.</w:t>
      </w:r>
    </w:p>
    <w:p w14:paraId="6DE8D865" w14:textId="77777777" w:rsidR="00E93F58" w:rsidRPr="00283424" w:rsidRDefault="00E93F58" w:rsidP="00B50726">
      <w:pPr>
        <w:pStyle w:val="ActHead3"/>
        <w:pageBreakBefore/>
      </w:pPr>
      <w:bookmarkStart w:id="1149" w:name="_Toc152054553"/>
      <w:bookmarkStart w:id="1150" w:name="_Toc158712369"/>
      <w:r w:rsidRPr="006F296E">
        <w:rPr>
          <w:rStyle w:val="CharDivNo"/>
        </w:rPr>
        <w:lastRenderedPageBreak/>
        <w:t>Division 5</w:t>
      </w:r>
      <w:r w:rsidRPr="00283424">
        <w:t>—</w:t>
      </w:r>
      <w:r w:rsidRPr="006F296E">
        <w:rPr>
          <w:rStyle w:val="CharDivText"/>
        </w:rPr>
        <w:t>Other disclosure requirements</w:t>
      </w:r>
      <w:bookmarkEnd w:id="1149"/>
      <w:bookmarkEnd w:id="1150"/>
    </w:p>
    <w:p w14:paraId="18C29F51" w14:textId="77777777" w:rsidR="00E93F58" w:rsidRPr="00283424" w:rsidRDefault="00E93F58" w:rsidP="00B50726">
      <w:pPr>
        <w:pStyle w:val="ActHead5"/>
      </w:pPr>
      <w:bookmarkStart w:id="1151" w:name="_Toc152054554"/>
      <w:bookmarkStart w:id="1152" w:name="_Toc158712370"/>
      <w:r w:rsidRPr="006F296E">
        <w:rPr>
          <w:rStyle w:val="CharSectno"/>
        </w:rPr>
        <w:t>7.7.20</w:t>
      </w:r>
      <w:r w:rsidRPr="00283424">
        <w:t xml:space="preserve">  General advice to retail client—no obligation to warn client</w:t>
      </w:r>
      <w:bookmarkEnd w:id="1151"/>
      <w:bookmarkEnd w:id="1152"/>
    </w:p>
    <w:p w14:paraId="7D66AD61" w14:textId="77777777" w:rsidR="00E93F58" w:rsidRPr="00283424" w:rsidRDefault="00E93F58" w:rsidP="00B50726">
      <w:pPr>
        <w:pStyle w:val="subsection"/>
      </w:pPr>
      <w:r w:rsidRPr="00283424">
        <w:tab/>
      </w:r>
      <w:r w:rsidRPr="00283424">
        <w:tab/>
        <w:t>For paragraph 949A(1)(c) of the Act, the provision of general advice in the circumstances set out in subregulation 7.7.02(5A) is specified.</w:t>
      </w:r>
    </w:p>
    <w:p w14:paraId="671662F7" w14:textId="77777777" w:rsidR="00E93F58" w:rsidRPr="00283424" w:rsidRDefault="00E93F58" w:rsidP="00B50726">
      <w:pPr>
        <w:pStyle w:val="ActHead5"/>
      </w:pPr>
      <w:bookmarkStart w:id="1153" w:name="_Toc152054555"/>
      <w:bookmarkStart w:id="1154" w:name="_Toc158712371"/>
      <w:r w:rsidRPr="006F296E">
        <w:rPr>
          <w:rStyle w:val="CharSectno"/>
        </w:rPr>
        <w:t>7.7.20A</w:t>
      </w:r>
      <w:r w:rsidRPr="00283424">
        <w:t xml:space="preserve">  Extension of disclosure requirements to wholesale clients dealing with certain unauthorised insurers</w:t>
      </w:r>
      <w:bookmarkEnd w:id="1153"/>
      <w:bookmarkEnd w:id="1154"/>
    </w:p>
    <w:p w14:paraId="60DF79F7" w14:textId="77777777" w:rsidR="00E93F58" w:rsidRPr="00283424" w:rsidRDefault="00E93F58" w:rsidP="00B50726">
      <w:pPr>
        <w:pStyle w:val="subsection"/>
      </w:pPr>
      <w:r w:rsidRPr="00283424">
        <w:tab/>
        <w:t>(1)</w:t>
      </w:r>
      <w:r w:rsidRPr="00283424">
        <w:tab/>
        <w:t>For paragraph 949B(1)(e) of the Act, a person must give a wholesale client the information set out in subregulation (3) for a financial service provided by that person to the wholesale client if:</w:t>
      </w:r>
    </w:p>
    <w:p w14:paraId="7856E992" w14:textId="77777777" w:rsidR="00E93F58" w:rsidRPr="00283424" w:rsidRDefault="00E93F58" w:rsidP="00B50726">
      <w:pPr>
        <w:pStyle w:val="paragraph"/>
      </w:pPr>
      <w:r w:rsidRPr="00283424">
        <w:tab/>
        <w:t>(a)</w:t>
      </w:r>
      <w:r w:rsidRPr="00283424">
        <w:tab/>
        <w:t xml:space="preserve">the service relates to an insurance contract specified in regulation 4C or 4D of the </w:t>
      </w:r>
      <w:r w:rsidRPr="00283424">
        <w:rPr>
          <w:i/>
        </w:rPr>
        <w:t xml:space="preserve">Insurance </w:t>
      </w:r>
      <w:r>
        <w:rPr>
          <w:i/>
        </w:rPr>
        <w:t>Regulations 2</w:t>
      </w:r>
      <w:r w:rsidRPr="00283424">
        <w:rPr>
          <w:i/>
        </w:rPr>
        <w:t>002</w:t>
      </w:r>
      <w:r w:rsidRPr="00283424">
        <w:t xml:space="preserve"> that may be offered or issued by an unauthorised foreign insurer (within the meaning of those Regulations) (the </w:t>
      </w:r>
      <w:r w:rsidRPr="00283424">
        <w:rPr>
          <w:b/>
          <w:i/>
        </w:rPr>
        <w:t>insurer</w:t>
      </w:r>
      <w:r w:rsidRPr="00283424">
        <w:t>); and</w:t>
      </w:r>
    </w:p>
    <w:p w14:paraId="394B7502" w14:textId="77777777" w:rsidR="00E93F58" w:rsidRPr="00283424" w:rsidRDefault="00E93F58" w:rsidP="00B50726">
      <w:pPr>
        <w:pStyle w:val="paragraph"/>
      </w:pPr>
      <w:r w:rsidRPr="00283424">
        <w:tab/>
        <w:t>(b)</w:t>
      </w:r>
      <w:r w:rsidRPr="00283424">
        <w:tab/>
        <w:t>either:</w:t>
      </w:r>
    </w:p>
    <w:p w14:paraId="1ED4A804" w14:textId="77777777" w:rsidR="00E93F58" w:rsidRPr="00283424" w:rsidRDefault="00E93F58" w:rsidP="00B50726">
      <w:pPr>
        <w:pStyle w:val="paragraphsub"/>
      </w:pPr>
      <w:r w:rsidRPr="00283424">
        <w:tab/>
        <w:t>(i)</w:t>
      </w:r>
      <w:r w:rsidRPr="00283424">
        <w:tab/>
        <w:t>the person would be required to give a Statement of Advice if the service were provided to a retail client; or</w:t>
      </w:r>
    </w:p>
    <w:p w14:paraId="5F3E7692" w14:textId="77777777" w:rsidR="00E93F58" w:rsidRPr="00283424" w:rsidRDefault="00E93F58" w:rsidP="00B50726">
      <w:pPr>
        <w:pStyle w:val="paragraphsub"/>
      </w:pPr>
      <w:r w:rsidRPr="00283424">
        <w:tab/>
        <w:t>(ii)</w:t>
      </w:r>
      <w:r w:rsidRPr="00283424">
        <w:tab/>
        <w:t>the contract is offered or issued to the wholesale client.</w:t>
      </w:r>
    </w:p>
    <w:p w14:paraId="7A57A610" w14:textId="77777777" w:rsidR="00E93F58" w:rsidRPr="00283424" w:rsidRDefault="00E93F58" w:rsidP="00B50726">
      <w:pPr>
        <w:pStyle w:val="subsection"/>
      </w:pPr>
      <w:r w:rsidRPr="00283424">
        <w:tab/>
        <w:t>(2)</w:t>
      </w:r>
      <w:r w:rsidRPr="00283424">
        <w:tab/>
        <w:t>For paragraph 949B(1)(e) of the Act, a person must give a wholesale client the information set out in subregulation (3) for a financial service provided by that person to the wholesale client if:</w:t>
      </w:r>
    </w:p>
    <w:p w14:paraId="0F8AAAA7" w14:textId="77777777" w:rsidR="00E93F58" w:rsidRPr="00283424" w:rsidRDefault="00E93F58" w:rsidP="00B50726">
      <w:pPr>
        <w:pStyle w:val="paragraph"/>
      </w:pPr>
      <w:r w:rsidRPr="00283424">
        <w:tab/>
        <w:t>(a)</w:t>
      </w:r>
      <w:r w:rsidRPr="00283424">
        <w:tab/>
        <w:t xml:space="preserve">the service relates to the wholesale client dealing with an entity (the </w:t>
      </w:r>
      <w:r w:rsidRPr="00283424">
        <w:rPr>
          <w:b/>
          <w:i/>
        </w:rPr>
        <w:t>insurer</w:t>
      </w:r>
      <w:r w:rsidRPr="00283424">
        <w:t xml:space="preserve">) specified in regulation 12 of the </w:t>
      </w:r>
      <w:r w:rsidRPr="00283424">
        <w:rPr>
          <w:i/>
        </w:rPr>
        <w:t xml:space="preserve">Insurance </w:t>
      </w:r>
      <w:r>
        <w:rPr>
          <w:i/>
        </w:rPr>
        <w:t>Regulations 2</w:t>
      </w:r>
      <w:r w:rsidRPr="00283424">
        <w:rPr>
          <w:i/>
        </w:rPr>
        <w:t>002</w:t>
      </w:r>
      <w:r w:rsidRPr="00283424">
        <w:t>; and</w:t>
      </w:r>
    </w:p>
    <w:p w14:paraId="55C17F71" w14:textId="77777777" w:rsidR="00E93F58" w:rsidRPr="00283424" w:rsidRDefault="00E93F58" w:rsidP="00B50726">
      <w:pPr>
        <w:pStyle w:val="paragraph"/>
      </w:pPr>
      <w:r w:rsidRPr="00283424">
        <w:tab/>
        <w:t>(b)</w:t>
      </w:r>
      <w:r w:rsidRPr="00283424">
        <w:tab/>
        <w:t>either:</w:t>
      </w:r>
    </w:p>
    <w:p w14:paraId="7B42E36B" w14:textId="77777777" w:rsidR="00E93F58" w:rsidRPr="00283424" w:rsidRDefault="00E93F58" w:rsidP="00B50726">
      <w:pPr>
        <w:pStyle w:val="paragraphsub"/>
      </w:pPr>
      <w:r w:rsidRPr="00283424">
        <w:tab/>
        <w:t>(i)</w:t>
      </w:r>
      <w:r w:rsidRPr="00283424">
        <w:tab/>
        <w:t>the person would be required to give a Statement of Advice if the service were provided to a retail client; or</w:t>
      </w:r>
    </w:p>
    <w:p w14:paraId="501B8A1D" w14:textId="77777777" w:rsidR="00E93F58" w:rsidRPr="00283424" w:rsidRDefault="00E93F58" w:rsidP="00B50726">
      <w:pPr>
        <w:pStyle w:val="paragraphsub"/>
      </w:pPr>
      <w:r w:rsidRPr="00283424">
        <w:tab/>
        <w:t>(ii)</w:t>
      </w:r>
      <w:r w:rsidRPr="00283424">
        <w:tab/>
        <w:t>the insurer offers or issues a financial product to the wholesale client.</w:t>
      </w:r>
    </w:p>
    <w:p w14:paraId="4B8E5952" w14:textId="77777777" w:rsidR="00E93F58" w:rsidRPr="00283424" w:rsidRDefault="00E93F58" w:rsidP="00B50726">
      <w:pPr>
        <w:pStyle w:val="subsection"/>
      </w:pPr>
      <w:r w:rsidRPr="00283424">
        <w:tab/>
        <w:t>(3)</w:t>
      </w:r>
      <w:r w:rsidRPr="00283424">
        <w:tab/>
        <w:t>The information is:</w:t>
      </w:r>
    </w:p>
    <w:p w14:paraId="2F057003" w14:textId="77777777" w:rsidR="00E93F58" w:rsidRPr="00283424" w:rsidRDefault="00E93F58" w:rsidP="00B50726">
      <w:pPr>
        <w:pStyle w:val="paragraph"/>
      </w:pPr>
      <w:r w:rsidRPr="00283424">
        <w:tab/>
        <w:t>(a)</w:t>
      </w:r>
      <w:r w:rsidRPr="00283424">
        <w:tab/>
        <w:t xml:space="preserve">a statement that the insurer is not authorised under the </w:t>
      </w:r>
      <w:r w:rsidRPr="00283424">
        <w:rPr>
          <w:i/>
        </w:rPr>
        <w:t>Insurance Act 1973</w:t>
      </w:r>
      <w:r w:rsidRPr="00283424">
        <w:t xml:space="preserve"> to conduct insurance business in Australia; and</w:t>
      </w:r>
    </w:p>
    <w:p w14:paraId="7EA6F907" w14:textId="77777777" w:rsidR="00E93F58" w:rsidRPr="00283424" w:rsidRDefault="00E93F58" w:rsidP="00B50726">
      <w:pPr>
        <w:pStyle w:val="paragraph"/>
      </w:pPr>
      <w:r w:rsidRPr="00283424">
        <w:rPr>
          <w:color w:val="000000"/>
        </w:rPr>
        <w:tab/>
        <w:t>(b)</w:t>
      </w:r>
      <w:r w:rsidRPr="00283424">
        <w:rPr>
          <w:color w:val="000000"/>
        </w:rPr>
        <w:tab/>
        <w:t xml:space="preserve">a statement that the insurer is not subject to the provisions of the </w:t>
      </w:r>
      <w:r w:rsidRPr="00283424">
        <w:rPr>
          <w:i/>
          <w:color w:val="000000"/>
        </w:rPr>
        <w:t>Insurance Act 1973</w:t>
      </w:r>
      <w:r w:rsidRPr="00283424">
        <w:rPr>
          <w:color w:val="000000"/>
        </w:rPr>
        <w:t>, which establishes a system of financial supervision of general insurers in Australia; and</w:t>
      </w:r>
    </w:p>
    <w:p w14:paraId="66AC8EDB" w14:textId="77777777" w:rsidR="00E93F58" w:rsidRPr="00283424" w:rsidRDefault="00E93F58" w:rsidP="00B50726">
      <w:pPr>
        <w:pStyle w:val="paragraph"/>
      </w:pPr>
      <w:r w:rsidRPr="00283424">
        <w:tab/>
        <w:t>(c)</w:t>
      </w:r>
      <w:r w:rsidRPr="00283424">
        <w:tab/>
        <w:t>a statement that the wholesale client should consider whether to obtain further information, including:</w:t>
      </w:r>
    </w:p>
    <w:p w14:paraId="04F15795" w14:textId="77777777" w:rsidR="00E93F58" w:rsidRPr="00283424" w:rsidRDefault="00E93F58" w:rsidP="00B50726">
      <w:pPr>
        <w:pStyle w:val="paragraphsub"/>
      </w:pPr>
      <w:r w:rsidRPr="00283424">
        <w:rPr>
          <w:color w:val="000000"/>
        </w:rPr>
        <w:tab/>
        <w:t>(i)</w:t>
      </w:r>
      <w:r w:rsidRPr="00283424">
        <w:rPr>
          <w:color w:val="000000"/>
        </w:rPr>
        <w:tab/>
        <w:t>the country in which the insurer is incorporated, and whether the country has a system of financial supervision of insurers; and</w:t>
      </w:r>
    </w:p>
    <w:p w14:paraId="39B99172" w14:textId="77777777" w:rsidR="00E93F58" w:rsidRPr="00283424" w:rsidRDefault="00E93F58" w:rsidP="00B50726">
      <w:pPr>
        <w:pStyle w:val="paragraphsub"/>
      </w:pPr>
      <w:r w:rsidRPr="00283424">
        <w:tab/>
        <w:t>(ii)</w:t>
      </w:r>
      <w:r w:rsidRPr="00283424">
        <w:tab/>
        <w:t>the paid up capital of the insurer; and</w:t>
      </w:r>
    </w:p>
    <w:p w14:paraId="1F0DA399" w14:textId="77777777" w:rsidR="00E93F58" w:rsidRPr="00283424" w:rsidRDefault="00E93F58" w:rsidP="00B50726">
      <w:pPr>
        <w:pStyle w:val="paragraphsub"/>
      </w:pPr>
      <w:r w:rsidRPr="00283424">
        <w:tab/>
        <w:t>(iii)</w:t>
      </w:r>
      <w:r w:rsidRPr="00283424">
        <w:tab/>
        <w:t>which country’s laws will determine disputes in relation to the financial product; and</w:t>
      </w:r>
    </w:p>
    <w:p w14:paraId="6949EE9C" w14:textId="77777777" w:rsidR="00E93F58" w:rsidRPr="00283424" w:rsidRDefault="00E93F58" w:rsidP="00B50726">
      <w:pPr>
        <w:pStyle w:val="paragraph"/>
      </w:pPr>
      <w:r w:rsidRPr="00283424">
        <w:tab/>
        <w:t>(d)</w:t>
      </w:r>
      <w:r w:rsidRPr="00283424">
        <w:tab/>
        <w:t>a statement that the insurer cannot be</w:t>
      </w:r>
      <w:r w:rsidRPr="00283424">
        <w:rPr>
          <w:color w:val="FF0000"/>
        </w:rPr>
        <w:t xml:space="preserve"> </w:t>
      </w:r>
      <w:r w:rsidRPr="00283424">
        <w:t xml:space="preserve">a declared general insurer for the purpose of Part VC of the </w:t>
      </w:r>
      <w:r w:rsidRPr="00283424">
        <w:rPr>
          <w:i/>
        </w:rPr>
        <w:t>Insurance Act 1973</w:t>
      </w:r>
      <w:r w:rsidRPr="00283424">
        <w:t>, and, if the insurer becomes insolvent, the wholesale client will not be covered by the financial claims scheme provided under Part VC of that Act.</w:t>
      </w:r>
    </w:p>
    <w:p w14:paraId="5453C231" w14:textId="77777777" w:rsidR="00E93F58" w:rsidRPr="00283424" w:rsidRDefault="00E93F58" w:rsidP="00B50726">
      <w:pPr>
        <w:pStyle w:val="ActHead3"/>
        <w:pageBreakBefore/>
      </w:pPr>
      <w:bookmarkStart w:id="1155" w:name="_Toc152054556"/>
      <w:bookmarkStart w:id="1156" w:name="_Toc158712372"/>
      <w:r w:rsidRPr="006F296E">
        <w:rPr>
          <w:rStyle w:val="CharDivNo"/>
        </w:rPr>
        <w:lastRenderedPageBreak/>
        <w:t>Division 6</w:t>
      </w:r>
      <w:r w:rsidRPr="00283424">
        <w:t>—</w:t>
      </w:r>
      <w:r w:rsidRPr="006F296E">
        <w:rPr>
          <w:rStyle w:val="CharDivText"/>
        </w:rPr>
        <w:t>Exemptions from application of Part 7.7 of the Act</w:t>
      </w:r>
      <w:bookmarkEnd w:id="1155"/>
      <w:bookmarkEnd w:id="1156"/>
    </w:p>
    <w:p w14:paraId="2C4DC4BE" w14:textId="77777777" w:rsidR="00E93F58" w:rsidRPr="00283424" w:rsidRDefault="00E93F58" w:rsidP="00B50726">
      <w:pPr>
        <w:pStyle w:val="ActHead5"/>
        <w:rPr>
          <w:rFonts w:eastAsia="Calibri"/>
        </w:rPr>
      </w:pPr>
      <w:bookmarkStart w:id="1157" w:name="_Toc152054557"/>
      <w:bookmarkStart w:id="1158" w:name="_Toc158712373"/>
      <w:r w:rsidRPr="006F296E">
        <w:rPr>
          <w:rStyle w:val="CharSectno"/>
          <w:rFonts w:eastAsia="Calibri"/>
        </w:rPr>
        <w:t>7.7.21</w:t>
      </w:r>
      <w:r w:rsidRPr="00283424">
        <w:rPr>
          <w:rFonts w:eastAsia="Calibri"/>
        </w:rPr>
        <w:t xml:space="preserve">  Exemption from application of Part 7.7 of the Act</w:t>
      </w:r>
      <w:bookmarkEnd w:id="1157"/>
      <w:bookmarkEnd w:id="1158"/>
    </w:p>
    <w:p w14:paraId="3E8178ED" w14:textId="77777777" w:rsidR="00E93F58" w:rsidRPr="00283424" w:rsidRDefault="00E93F58" w:rsidP="00B50726">
      <w:pPr>
        <w:pStyle w:val="subsection"/>
        <w:rPr>
          <w:rFonts w:eastAsia="Calibri"/>
        </w:rPr>
      </w:pPr>
      <w:r w:rsidRPr="00283424">
        <w:rPr>
          <w:rFonts w:eastAsia="Calibri"/>
        </w:rPr>
        <w:tab/>
      </w:r>
      <w:r w:rsidRPr="00283424">
        <w:rPr>
          <w:rFonts w:eastAsia="Calibri"/>
        </w:rPr>
        <w:tab/>
        <w:t>For paragraph 951C(1)(a) of the Act, Part 7.7 of the Act does not apply to a financial services licensee or an authorised representative in respect of financial services provided to retail clients who are not in this jurisdiction.</w:t>
      </w:r>
    </w:p>
    <w:p w14:paraId="0808F604" w14:textId="77777777" w:rsidR="00E93F58" w:rsidRPr="00283424" w:rsidRDefault="00E93F58" w:rsidP="00B50726">
      <w:pPr>
        <w:pStyle w:val="notetext"/>
      </w:pPr>
      <w:r w:rsidRPr="00283424">
        <w:rPr>
          <w:rFonts w:eastAsia="Calibri"/>
        </w:rPr>
        <w:t>Note:</w:t>
      </w:r>
      <w:r w:rsidRPr="00283424">
        <w:rPr>
          <w:rFonts w:eastAsia="Calibri"/>
        </w:rPr>
        <w:tab/>
        <w:t>Regulation 7.9.98 also contains exemptions from the operation of Part 7.7 of the Act.</w:t>
      </w:r>
    </w:p>
    <w:p w14:paraId="5AD2A9BB" w14:textId="77777777" w:rsidR="00E93F58" w:rsidRPr="00283424" w:rsidRDefault="00E93F58" w:rsidP="00B50726">
      <w:pPr>
        <w:pStyle w:val="ActHead2"/>
        <w:pageBreakBefore/>
      </w:pPr>
      <w:bookmarkStart w:id="1159" w:name="f_Check_Lines_above"/>
      <w:bookmarkStart w:id="1160" w:name="_Toc152054558"/>
      <w:bookmarkStart w:id="1161" w:name="_Toc158712374"/>
      <w:bookmarkEnd w:id="1159"/>
      <w:r w:rsidRPr="006F296E">
        <w:rPr>
          <w:rStyle w:val="CharPartNo"/>
        </w:rPr>
        <w:lastRenderedPageBreak/>
        <w:t>Part 7.7A</w:t>
      </w:r>
      <w:r w:rsidRPr="00283424">
        <w:t>—</w:t>
      </w:r>
      <w:r w:rsidRPr="006F296E">
        <w:rPr>
          <w:rStyle w:val="CharPartText"/>
        </w:rPr>
        <w:t>Best interests obligations and remuneration</w:t>
      </w:r>
      <w:bookmarkEnd w:id="1160"/>
      <w:bookmarkEnd w:id="1161"/>
    </w:p>
    <w:p w14:paraId="5EC64033" w14:textId="77777777" w:rsidR="00E93F58" w:rsidRPr="00283424" w:rsidRDefault="00E93F58" w:rsidP="00B50726">
      <w:pPr>
        <w:pStyle w:val="notetext"/>
      </w:pPr>
      <w:r w:rsidRPr="00283424">
        <w:t>Note:</w:t>
      </w:r>
      <w:r w:rsidRPr="00283424">
        <w:tab/>
        <w:t>Regulations 7.7A.01 to 7.7A.04 are reserved for future use.</w:t>
      </w:r>
    </w:p>
    <w:p w14:paraId="7699D97D" w14:textId="77777777" w:rsidR="00E93F58" w:rsidRPr="00283424" w:rsidRDefault="00E93F58" w:rsidP="00B50726">
      <w:pPr>
        <w:pStyle w:val="ActHead3"/>
      </w:pPr>
      <w:bookmarkStart w:id="1162" w:name="_Toc152054559"/>
      <w:bookmarkStart w:id="1163" w:name="_Toc158712375"/>
      <w:r w:rsidRPr="006F296E">
        <w:rPr>
          <w:rStyle w:val="CharDivNo"/>
        </w:rPr>
        <w:t>Division 2</w:t>
      </w:r>
      <w:r w:rsidRPr="00283424">
        <w:t>—</w:t>
      </w:r>
      <w:r w:rsidRPr="006F296E">
        <w:rPr>
          <w:rStyle w:val="CharDivText"/>
        </w:rPr>
        <w:t>Best interests obligations</w:t>
      </w:r>
      <w:bookmarkEnd w:id="1162"/>
      <w:bookmarkEnd w:id="1163"/>
    </w:p>
    <w:p w14:paraId="07397F02" w14:textId="77777777" w:rsidR="00E93F58" w:rsidRPr="00283424" w:rsidRDefault="00E93F58" w:rsidP="00B50726">
      <w:pPr>
        <w:pStyle w:val="ActHead5"/>
      </w:pPr>
      <w:bookmarkStart w:id="1164" w:name="_Toc152054560"/>
      <w:bookmarkStart w:id="1165" w:name="_Toc158712376"/>
      <w:r w:rsidRPr="006F296E">
        <w:rPr>
          <w:rStyle w:val="CharSectno"/>
        </w:rPr>
        <w:t>7.7A.05</w:t>
      </w:r>
      <w:r w:rsidRPr="00283424">
        <w:t xml:space="preserve">  Best interests duty—basic banking products etc.</w:t>
      </w:r>
      <w:bookmarkEnd w:id="1164"/>
      <w:bookmarkEnd w:id="1165"/>
    </w:p>
    <w:p w14:paraId="43CA2719" w14:textId="77777777" w:rsidR="00E93F58" w:rsidRPr="00283424" w:rsidRDefault="00E93F58" w:rsidP="00B50726">
      <w:pPr>
        <w:pStyle w:val="subsection"/>
      </w:pPr>
      <w:r w:rsidRPr="00283424">
        <w:tab/>
        <w:t>(1)</w:t>
      </w:r>
      <w:r w:rsidRPr="00283424">
        <w:tab/>
        <w:t>This regulation:</w:t>
      </w:r>
    </w:p>
    <w:p w14:paraId="3D4ACCD7" w14:textId="77777777" w:rsidR="00E93F58" w:rsidRPr="00283424" w:rsidRDefault="00E93F58" w:rsidP="00B50726">
      <w:pPr>
        <w:pStyle w:val="paragraph"/>
      </w:pPr>
      <w:r w:rsidRPr="00283424">
        <w:tab/>
        <w:t>(a)</w:t>
      </w:r>
      <w:r w:rsidRPr="00283424">
        <w:tab/>
        <w:t>is made for paragraph 961B(5)(b) of the Act; and</w:t>
      </w:r>
    </w:p>
    <w:p w14:paraId="79A11703" w14:textId="77777777" w:rsidR="00E93F58" w:rsidRPr="00283424" w:rsidRDefault="00E93F58" w:rsidP="00B50726">
      <w:pPr>
        <w:pStyle w:val="paragraph"/>
      </w:pPr>
      <w:r w:rsidRPr="00283424">
        <w:tab/>
        <w:t>(b)</w:t>
      </w:r>
      <w:r w:rsidRPr="00283424">
        <w:tab/>
        <w:t>prescribes a circumstance in which the provider is not required to prove that he or she has taken the steps mentioned in paragraphs 961B(2)(d), (e), (f) and (g) of the Act in relation to advice that relates to a basic banking product or general insurance product.</w:t>
      </w:r>
    </w:p>
    <w:p w14:paraId="33FCD629" w14:textId="77777777" w:rsidR="00E93F58" w:rsidRPr="00283424" w:rsidRDefault="00E93F58" w:rsidP="00B50726">
      <w:pPr>
        <w:pStyle w:val="subsection"/>
      </w:pPr>
      <w:r w:rsidRPr="00283424">
        <w:tab/>
        <w:t>(2)</w:t>
      </w:r>
      <w:r w:rsidRPr="00283424">
        <w:tab/>
        <w:t>The provider is not required to prove that he or she has taken the steps if:</w:t>
      </w:r>
    </w:p>
    <w:p w14:paraId="05B0B758" w14:textId="77777777" w:rsidR="00E93F58" w:rsidRPr="00283424" w:rsidRDefault="00E93F58" w:rsidP="00B50726">
      <w:pPr>
        <w:pStyle w:val="paragraph"/>
      </w:pPr>
      <w:r w:rsidRPr="00283424">
        <w:tab/>
        <w:t>(a)</w:t>
      </w:r>
      <w:r w:rsidRPr="00283424">
        <w:tab/>
        <w:t>the provider is:</w:t>
      </w:r>
    </w:p>
    <w:p w14:paraId="67765347" w14:textId="77777777" w:rsidR="00E93F58" w:rsidRPr="00283424" w:rsidRDefault="00E93F58" w:rsidP="00B50726">
      <w:pPr>
        <w:pStyle w:val="paragraphsub"/>
      </w:pPr>
      <w:r w:rsidRPr="00283424">
        <w:tab/>
        <w:t>(i)</w:t>
      </w:r>
      <w:r w:rsidRPr="00283424">
        <w:tab/>
        <w:t>an agent or employee of an Australian ADI; or</w:t>
      </w:r>
    </w:p>
    <w:p w14:paraId="4165C05B" w14:textId="77777777" w:rsidR="00E93F58" w:rsidRPr="00283424" w:rsidRDefault="00E93F58" w:rsidP="00B50726">
      <w:pPr>
        <w:pStyle w:val="paragraphsub"/>
      </w:pPr>
      <w:r w:rsidRPr="00283424">
        <w:tab/>
        <w:t>(ii)</w:t>
      </w:r>
      <w:r w:rsidRPr="00283424">
        <w:tab/>
        <w:t>otherwise acting by arrangement with an Australian ADI under the name of the Australian ADI; and</w:t>
      </w:r>
    </w:p>
    <w:p w14:paraId="77913CAB" w14:textId="77777777" w:rsidR="00E93F58" w:rsidRPr="00283424" w:rsidRDefault="00E93F58" w:rsidP="00B50726">
      <w:pPr>
        <w:pStyle w:val="paragraph"/>
      </w:pPr>
      <w:r w:rsidRPr="00283424">
        <w:tab/>
        <w:t>(b)</w:t>
      </w:r>
      <w:r w:rsidRPr="00283424">
        <w:tab/>
        <w:t>the subject matter of the advice sought by the client relates only to the following:</w:t>
      </w:r>
    </w:p>
    <w:p w14:paraId="19D1759E" w14:textId="77777777" w:rsidR="00E93F58" w:rsidRPr="00283424" w:rsidRDefault="00E93F58" w:rsidP="00B50726">
      <w:pPr>
        <w:pStyle w:val="paragraphsub"/>
      </w:pPr>
      <w:r w:rsidRPr="00283424">
        <w:tab/>
        <w:t>(i)</w:t>
      </w:r>
      <w:r w:rsidRPr="00283424">
        <w:tab/>
        <w:t>a basic banking product;</w:t>
      </w:r>
    </w:p>
    <w:p w14:paraId="1399EDDE" w14:textId="77777777" w:rsidR="00E93F58" w:rsidRPr="00283424" w:rsidRDefault="00E93F58" w:rsidP="00B50726">
      <w:pPr>
        <w:pStyle w:val="paragraphsub"/>
      </w:pPr>
      <w:r w:rsidRPr="00283424">
        <w:tab/>
        <w:t>(ii)</w:t>
      </w:r>
      <w:r w:rsidRPr="00283424">
        <w:tab/>
        <w:t>a general insurance product;</w:t>
      </w:r>
    </w:p>
    <w:p w14:paraId="13470B5C" w14:textId="77777777" w:rsidR="00E93F58" w:rsidRPr="00283424" w:rsidRDefault="00E93F58" w:rsidP="00B50726">
      <w:pPr>
        <w:pStyle w:val="paragraphsub"/>
      </w:pPr>
      <w:r w:rsidRPr="00283424">
        <w:tab/>
        <w:t>(iii)</w:t>
      </w:r>
      <w:r w:rsidRPr="00283424">
        <w:tab/>
        <w:t>consumer credit insurance;</w:t>
      </w:r>
    </w:p>
    <w:p w14:paraId="278B7442" w14:textId="77777777" w:rsidR="00E93F58" w:rsidRPr="00283424" w:rsidRDefault="00E93F58" w:rsidP="00B50726">
      <w:pPr>
        <w:pStyle w:val="paragraphsub"/>
      </w:pPr>
      <w:r w:rsidRPr="00283424">
        <w:tab/>
        <w:t>(iv)</w:t>
      </w:r>
      <w:r w:rsidRPr="00283424">
        <w:tab/>
        <w:t>a combination of any of those products.</w:t>
      </w:r>
    </w:p>
    <w:p w14:paraId="2BF7C56B" w14:textId="77777777" w:rsidR="00E93F58" w:rsidRPr="00283424" w:rsidRDefault="00E93F58" w:rsidP="00B50726">
      <w:pPr>
        <w:pStyle w:val="ActHead5"/>
      </w:pPr>
      <w:bookmarkStart w:id="1166" w:name="_Toc152054561"/>
      <w:bookmarkStart w:id="1167" w:name="_Toc158712377"/>
      <w:r w:rsidRPr="006F296E">
        <w:rPr>
          <w:rStyle w:val="CharSectno"/>
        </w:rPr>
        <w:t>7.7A.06</w:t>
      </w:r>
      <w:r w:rsidRPr="00283424">
        <w:t xml:space="preserve">  Best interests duty—general insurance products</w:t>
      </w:r>
      <w:bookmarkEnd w:id="1166"/>
      <w:bookmarkEnd w:id="1167"/>
    </w:p>
    <w:p w14:paraId="5B5D719C" w14:textId="77777777" w:rsidR="00E93F58" w:rsidRPr="00283424" w:rsidRDefault="00E93F58" w:rsidP="00B50726">
      <w:pPr>
        <w:pStyle w:val="subsection"/>
      </w:pPr>
      <w:r w:rsidRPr="00283424">
        <w:tab/>
        <w:t>(1)</w:t>
      </w:r>
      <w:r w:rsidRPr="00283424">
        <w:tab/>
        <w:t>This regulation:</w:t>
      </w:r>
    </w:p>
    <w:p w14:paraId="2ADC6269" w14:textId="77777777" w:rsidR="00E93F58" w:rsidRPr="00283424" w:rsidRDefault="00E93F58" w:rsidP="00B50726">
      <w:pPr>
        <w:pStyle w:val="paragraph"/>
      </w:pPr>
      <w:r w:rsidRPr="00283424">
        <w:tab/>
        <w:t>(a)</w:t>
      </w:r>
      <w:r w:rsidRPr="00283424">
        <w:tab/>
        <w:t>is made for paragraph 961B(5)(b) of the Act; and</w:t>
      </w:r>
    </w:p>
    <w:p w14:paraId="63B82FD5" w14:textId="77777777" w:rsidR="00E93F58" w:rsidRPr="00283424" w:rsidRDefault="00E93F58" w:rsidP="00B50726">
      <w:pPr>
        <w:pStyle w:val="paragraph"/>
      </w:pPr>
      <w:r w:rsidRPr="00283424">
        <w:tab/>
        <w:t>(b)</w:t>
      </w:r>
      <w:r w:rsidRPr="00283424">
        <w:tab/>
        <w:t>prescribes a circumstance in which the provider is not required to prove that he or she has taken the steps mentioned in paragraphs 961B(2)(d), (e), (f) and (g) of the Act.</w:t>
      </w:r>
    </w:p>
    <w:p w14:paraId="2C0FE87B" w14:textId="77777777" w:rsidR="00E93F58" w:rsidRPr="00283424" w:rsidRDefault="00E93F58" w:rsidP="00B50726">
      <w:pPr>
        <w:pStyle w:val="subsection"/>
      </w:pPr>
      <w:r w:rsidRPr="00283424">
        <w:tab/>
        <w:t>(2)</w:t>
      </w:r>
      <w:r w:rsidRPr="00283424">
        <w:tab/>
        <w:t>The provider is not required to prove that he or she has taken the steps to the extent that the subject matter of the advice sought by the client is a general insurance product.</w:t>
      </w:r>
    </w:p>
    <w:p w14:paraId="795671F3" w14:textId="77777777" w:rsidR="00E93F58" w:rsidRPr="00283424" w:rsidRDefault="00E93F58" w:rsidP="00B50726">
      <w:pPr>
        <w:pStyle w:val="ActHead3"/>
        <w:pageBreakBefore/>
      </w:pPr>
      <w:bookmarkStart w:id="1168" w:name="_Toc152054562"/>
      <w:bookmarkStart w:id="1169" w:name="_Toc158712378"/>
      <w:r w:rsidRPr="006F296E">
        <w:rPr>
          <w:rStyle w:val="CharDivNo"/>
        </w:rPr>
        <w:lastRenderedPageBreak/>
        <w:t>Division 3</w:t>
      </w:r>
      <w:r w:rsidRPr="00283424">
        <w:t>—</w:t>
      </w:r>
      <w:r w:rsidRPr="006F296E">
        <w:rPr>
          <w:rStyle w:val="CharDivText"/>
        </w:rPr>
        <w:t>Charging ongoing fees to clients</w:t>
      </w:r>
      <w:bookmarkEnd w:id="1168"/>
      <w:bookmarkEnd w:id="1169"/>
    </w:p>
    <w:p w14:paraId="045E6B1F" w14:textId="77777777" w:rsidR="00E93F58" w:rsidRPr="00283424" w:rsidRDefault="00E93F58" w:rsidP="00B50726">
      <w:pPr>
        <w:pStyle w:val="ActHead5"/>
      </w:pPr>
      <w:bookmarkStart w:id="1170" w:name="_Toc152054563"/>
      <w:bookmarkStart w:id="1171" w:name="_Toc158712379"/>
      <w:r w:rsidRPr="006F296E">
        <w:rPr>
          <w:rStyle w:val="CharSectno"/>
        </w:rPr>
        <w:t>7.7A.10</w:t>
      </w:r>
      <w:r w:rsidRPr="00283424">
        <w:t xml:space="preserve">  Arrangements that are not ongoing fee arrangements</w:t>
      </w:r>
      <w:bookmarkEnd w:id="1170"/>
      <w:bookmarkEnd w:id="1171"/>
    </w:p>
    <w:p w14:paraId="354030D8" w14:textId="77777777" w:rsidR="00E93F58" w:rsidRPr="00283424" w:rsidRDefault="00E93F58" w:rsidP="00B50726">
      <w:pPr>
        <w:pStyle w:val="subsection"/>
      </w:pPr>
      <w:r w:rsidRPr="00283424">
        <w:tab/>
        <w:t>(1)</w:t>
      </w:r>
      <w:r w:rsidRPr="00283424">
        <w:tab/>
        <w:t>This regulation is made for subsection 962A(5) of the Act.</w:t>
      </w:r>
    </w:p>
    <w:p w14:paraId="7A9EAB3A" w14:textId="77777777" w:rsidR="00E93F58" w:rsidRPr="00283424" w:rsidRDefault="00E93F58" w:rsidP="00B50726">
      <w:pPr>
        <w:pStyle w:val="subsection"/>
      </w:pPr>
      <w:r w:rsidRPr="00283424">
        <w:tab/>
        <w:t>(2)</w:t>
      </w:r>
      <w:r w:rsidRPr="00283424">
        <w:tab/>
        <w:t>An arrangement of a kind mentioned in subsection 962A(1) or (2) of the Act is not an ongoing fee arrangement to the extent that the arrangement relates to a product fee mentioned in subregulation (3).</w:t>
      </w:r>
    </w:p>
    <w:p w14:paraId="341BCB54" w14:textId="77777777" w:rsidR="00E93F58" w:rsidRPr="00283424" w:rsidRDefault="00E93F58" w:rsidP="00B50726">
      <w:pPr>
        <w:pStyle w:val="subsection"/>
      </w:pPr>
      <w:r w:rsidRPr="00283424">
        <w:tab/>
        <w:t>(3)</w:t>
      </w:r>
      <w:r w:rsidRPr="00283424">
        <w:tab/>
        <w:t>Each of the following is a product fee:</w:t>
      </w:r>
    </w:p>
    <w:p w14:paraId="295427B7" w14:textId="77777777" w:rsidR="00E93F58" w:rsidRPr="00283424" w:rsidRDefault="00E93F58" w:rsidP="00B50726">
      <w:pPr>
        <w:pStyle w:val="paragraph"/>
      </w:pPr>
      <w:r w:rsidRPr="00283424">
        <w:tab/>
        <w:t>(a)</w:t>
      </w:r>
      <w:r w:rsidRPr="00283424">
        <w:tab/>
        <w:t>a fee for the administration, management or operation of a financial product that is charged to a retail client to which the product is issued by the issuer of the product;</w:t>
      </w:r>
    </w:p>
    <w:p w14:paraId="1C8454ED" w14:textId="77777777" w:rsidR="00E93F58" w:rsidRPr="00283424" w:rsidRDefault="00E93F58" w:rsidP="00B50726">
      <w:pPr>
        <w:pStyle w:val="notetext"/>
      </w:pPr>
      <w:r w:rsidRPr="00283424">
        <w:t>Example 1:</w:t>
      </w:r>
      <w:r w:rsidRPr="00283424">
        <w:tab/>
        <w:t>A monthly account keeping fee charged by the provider of a basic deposit product.</w:t>
      </w:r>
    </w:p>
    <w:p w14:paraId="1BBAB97A" w14:textId="77777777" w:rsidR="00E93F58" w:rsidRPr="00283424" w:rsidRDefault="00E93F58" w:rsidP="00B50726">
      <w:pPr>
        <w:pStyle w:val="notetext"/>
      </w:pPr>
      <w:r w:rsidRPr="00283424">
        <w:t>Example 2:</w:t>
      </w:r>
      <w:r w:rsidRPr="00283424">
        <w:tab/>
        <w:t>A monthly administration or investment fee charged by a trustee of a superannuation fund or a responsible entity of a registered scheme.</w:t>
      </w:r>
    </w:p>
    <w:p w14:paraId="656A4BB1" w14:textId="77777777" w:rsidR="00E93F58" w:rsidRPr="00283424" w:rsidRDefault="00E93F58" w:rsidP="00B50726">
      <w:pPr>
        <w:pStyle w:val="paragraph"/>
      </w:pPr>
      <w:r w:rsidRPr="00283424">
        <w:tab/>
        <w:t>(b)</w:t>
      </w:r>
      <w:r w:rsidRPr="00283424">
        <w:tab/>
        <w:t>a fee that:</w:t>
      </w:r>
    </w:p>
    <w:p w14:paraId="39E6C55B" w14:textId="77777777" w:rsidR="00E93F58" w:rsidRPr="00283424" w:rsidRDefault="00E93F58" w:rsidP="00B50726">
      <w:pPr>
        <w:pStyle w:val="paragraphsub"/>
      </w:pPr>
      <w:r w:rsidRPr="00283424">
        <w:tab/>
        <w:t>(i)</w:t>
      </w:r>
      <w:r w:rsidRPr="00283424">
        <w:tab/>
        <w:t>is a cost of providing financial product advice; and</w:t>
      </w:r>
    </w:p>
    <w:p w14:paraId="652DF7CB" w14:textId="77777777" w:rsidR="00E93F58" w:rsidRPr="00283424" w:rsidRDefault="00E93F58" w:rsidP="00B50726">
      <w:pPr>
        <w:pStyle w:val="paragraphsub"/>
      </w:pPr>
      <w:r w:rsidRPr="00283424">
        <w:tab/>
        <w:t>(ii)</w:t>
      </w:r>
      <w:r w:rsidRPr="00283424">
        <w:tab/>
        <w:t xml:space="preserve">under section 99F of the </w:t>
      </w:r>
      <w:r w:rsidRPr="00283424">
        <w:rPr>
          <w:i/>
        </w:rPr>
        <w:t>Superannuation Industry (Supervision) Act 1993</w:t>
      </w:r>
      <w:r w:rsidRPr="00283424">
        <w:t>, is not prohibited or prevented from being passed on to a member of a regulated superannuation fund.</w:t>
      </w:r>
    </w:p>
    <w:p w14:paraId="2F880861" w14:textId="77777777" w:rsidR="00E93F58" w:rsidRPr="00283424" w:rsidRDefault="00E93F58" w:rsidP="00B50726">
      <w:pPr>
        <w:pStyle w:val="ActHead5"/>
      </w:pPr>
      <w:bookmarkStart w:id="1172" w:name="_Toc152054564"/>
      <w:bookmarkStart w:id="1173" w:name="_Toc158712380"/>
      <w:r w:rsidRPr="006F296E">
        <w:rPr>
          <w:rStyle w:val="CharSectno"/>
        </w:rPr>
        <w:t>7.7A.11</w:t>
      </w:r>
      <w:r w:rsidRPr="00283424">
        <w:t xml:space="preserve">  Fee disclosure statements</w:t>
      </w:r>
      <w:bookmarkEnd w:id="1172"/>
      <w:bookmarkEnd w:id="1173"/>
    </w:p>
    <w:p w14:paraId="10B63EB8" w14:textId="77777777" w:rsidR="00E93F58" w:rsidRPr="00283424" w:rsidRDefault="00E93F58" w:rsidP="00B50726">
      <w:pPr>
        <w:pStyle w:val="SubsectionHead"/>
      </w:pPr>
      <w:r w:rsidRPr="00283424">
        <w:t>Product fees</w:t>
      </w:r>
    </w:p>
    <w:p w14:paraId="3A90C547" w14:textId="77777777" w:rsidR="00E93F58" w:rsidRPr="00283424" w:rsidRDefault="00E93F58" w:rsidP="00B50726">
      <w:pPr>
        <w:pStyle w:val="subsection"/>
      </w:pPr>
      <w:r w:rsidRPr="00283424">
        <w:tab/>
        <w:t>(1)</w:t>
      </w:r>
      <w:r w:rsidRPr="00283424">
        <w:tab/>
        <w:t>For the purposes of paragraph 962H(3)(a) of the Act, information about a product fee mentioned in subregulation 7.7A.10(3) is not required by subsection 962H(2) or (2A) of the Act.</w:t>
      </w:r>
    </w:p>
    <w:p w14:paraId="5EED039E" w14:textId="77777777" w:rsidR="00E93F58" w:rsidRPr="00283424" w:rsidRDefault="00E93F58" w:rsidP="00B50726">
      <w:pPr>
        <w:pStyle w:val="SubsectionHead"/>
      </w:pPr>
      <w:r w:rsidRPr="00283424">
        <w:t>Ongoing fee arrangements during transition period</w:t>
      </w:r>
    </w:p>
    <w:p w14:paraId="45B0A189" w14:textId="77777777" w:rsidR="00E93F58" w:rsidRPr="00283424" w:rsidRDefault="00E93F58" w:rsidP="00B50726">
      <w:pPr>
        <w:pStyle w:val="subsection"/>
      </w:pPr>
      <w:r w:rsidRPr="00283424">
        <w:tab/>
        <w:t>(2)</w:t>
      </w:r>
      <w:r w:rsidRPr="00283424">
        <w:tab/>
        <w:t>For the purposes of paragraphs 962H(2)(f) and 962H(3)(a) of the Act, a fee disclosure statement for:</w:t>
      </w:r>
    </w:p>
    <w:p w14:paraId="2431D625" w14:textId="77777777" w:rsidR="00E93F58" w:rsidRPr="00283424" w:rsidRDefault="00E93F58" w:rsidP="00B50726">
      <w:pPr>
        <w:pStyle w:val="paragraph"/>
      </w:pPr>
      <w:r w:rsidRPr="00283424">
        <w:tab/>
        <w:t>(a)</w:t>
      </w:r>
      <w:r w:rsidRPr="00283424">
        <w:tab/>
        <w:t>an ongoing fee arrangement that is in force immediately before 1 July 2021; and</w:t>
      </w:r>
    </w:p>
    <w:p w14:paraId="26F106F6" w14:textId="77777777" w:rsidR="00E93F58" w:rsidRPr="00283424" w:rsidRDefault="00E93F58" w:rsidP="00B50726">
      <w:pPr>
        <w:pStyle w:val="paragraph"/>
      </w:pPr>
      <w:r w:rsidRPr="00283424">
        <w:tab/>
        <w:t>(b)</w:t>
      </w:r>
      <w:r w:rsidRPr="00283424">
        <w:tab/>
        <w:t>a transition day (within the meaning of Part 10.46 of the Act);</w:t>
      </w:r>
    </w:p>
    <w:p w14:paraId="07A4C3B8" w14:textId="77777777" w:rsidR="00E93F58" w:rsidRPr="00283424" w:rsidRDefault="00E93F58" w:rsidP="00B50726">
      <w:pPr>
        <w:pStyle w:val="subsection2"/>
      </w:pPr>
      <w:r w:rsidRPr="00283424">
        <w:t>is not required to include, but is required to include a reasonable estimate of, the following:</w:t>
      </w:r>
    </w:p>
    <w:p w14:paraId="56F50DBC" w14:textId="77777777" w:rsidR="00E93F58" w:rsidRPr="00283424" w:rsidRDefault="00E93F58" w:rsidP="00B50726">
      <w:pPr>
        <w:pStyle w:val="paragraph"/>
      </w:pPr>
      <w:r w:rsidRPr="00283424">
        <w:tab/>
        <w:t>(c)</w:t>
      </w:r>
      <w:r w:rsidRPr="00283424">
        <w:tab/>
        <w:t>an amount mentioned in paragraph 962H(2)(a) of the Act if the amount relates to the period of 60 days ending immediately before that transition day;</w:t>
      </w:r>
    </w:p>
    <w:p w14:paraId="121CBF5D" w14:textId="77777777" w:rsidR="00E93F58" w:rsidRPr="00283424" w:rsidRDefault="00E93F58" w:rsidP="00B50726">
      <w:pPr>
        <w:pStyle w:val="paragraph"/>
      </w:pPr>
      <w:r w:rsidRPr="00283424">
        <w:tab/>
        <w:t>(d)</w:t>
      </w:r>
      <w:r w:rsidRPr="00283424">
        <w:tab/>
        <w:t>information about a service mentioned in paragraph 962H(2)(d) of the Act if the service was received during the period of 60 days ending immediately before that transition day.</w:t>
      </w:r>
    </w:p>
    <w:p w14:paraId="73E612FF" w14:textId="77777777" w:rsidR="00E93F58" w:rsidRPr="00283424" w:rsidRDefault="00E93F58" w:rsidP="00B50726">
      <w:pPr>
        <w:pStyle w:val="notetext"/>
      </w:pPr>
      <w:r w:rsidRPr="00283424">
        <w:t>Note:</w:t>
      </w:r>
      <w:r w:rsidRPr="00283424">
        <w:tab/>
        <w:t>This provision relates to sections 962G and 962H of the Act as modified for the 12</w:t>
      </w:r>
      <w:r>
        <w:noBreakHyphen/>
      </w:r>
      <w:r w:rsidRPr="00283424">
        <w:t>month transition period from 1 July 2021 to 30 June 2022: see section 1673C of the Act.</w:t>
      </w:r>
    </w:p>
    <w:p w14:paraId="5C73B406" w14:textId="77777777" w:rsidR="00E93F58" w:rsidRPr="00283424" w:rsidRDefault="00E93F58" w:rsidP="00B50726">
      <w:pPr>
        <w:pStyle w:val="ActHead5"/>
      </w:pPr>
      <w:bookmarkStart w:id="1174" w:name="_Toc152054565"/>
      <w:bookmarkStart w:id="1175" w:name="_Toc158712381"/>
      <w:r w:rsidRPr="006F296E">
        <w:rPr>
          <w:rStyle w:val="CharSectno"/>
        </w:rPr>
        <w:t>7.7A.11AA</w:t>
      </w:r>
      <w:r w:rsidRPr="00283424">
        <w:t xml:space="preserve">  Compliance records required to be kept by fee recipients</w:t>
      </w:r>
      <w:bookmarkEnd w:id="1174"/>
      <w:bookmarkEnd w:id="1175"/>
    </w:p>
    <w:p w14:paraId="5DCE3FE4" w14:textId="77777777" w:rsidR="00E93F58" w:rsidRPr="00283424" w:rsidRDefault="00E93F58" w:rsidP="00B50726">
      <w:pPr>
        <w:pStyle w:val="subsection"/>
      </w:pPr>
      <w:r w:rsidRPr="00283424">
        <w:tab/>
        <w:t>(1)</w:t>
      </w:r>
      <w:r w:rsidRPr="00283424">
        <w:tab/>
        <w:t>This regulation is made for the purposes of section 962X of the Act.</w:t>
      </w:r>
    </w:p>
    <w:p w14:paraId="4C75F561" w14:textId="77777777" w:rsidR="00E93F58" w:rsidRPr="00283424" w:rsidRDefault="00E93F58" w:rsidP="00B50726">
      <w:pPr>
        <w:pStyle w:val="subsection"/>
      </w:pPr>
      <w:r w:rsidRPr="00283424">
        <w:tab/>
        <w:t>(2)</w:t>
      </w:r>
      <w:r w:rsidRPr="00283424">
        <w:tab/>
        <w:t>A fee recipient must keep the following records in relation to an ongoing fee arrangement the fee recipient has with the client:</w:t>
      </w:r>
    </w:p>
    <w:p w14:paraId="64536520" w14:textId="77777777" w:rsidR="00E93F58" w:rsidRPr="00283424" w:rsidRDefault="00E93F58" w:rsidP="00B50726">
      <w:pPr>
        <w:pStyle w:val="paragraph"/>
      </w:pPr>
      <w:r w:rsidRPr="00283424">
        <w:tab/>
        <w:t>(a)</w:t>
      </w:r>
      <w:r w:rsidRPr="00283424">
        <w:tab/>
        <w:t>each fee disclosure statement the fee recipient has given to the client;</w:t>
      </w:r>
    </w:p>
    <w:p w14:paraId="6E5B6320" w14:textId="77777777" w:rsidR="00E93F58" w:rsidRPr="00283424" w:rsidRDefault="00E93F58" w:rsidP="00B50726">
      <w:pPr>
        <w:pStyle w:val="paragraph"/>
      </w:pPr>
      <w:r w:rsidRPr="00283424">
        <w:tab/>
        <w:t>(b)</w:t>
      </w:r>
      <w:r w:rsidRPr="00283424">
        <w:tab/>
        <w:t>the date on which each such fee disclosure statement was given to the client, and the manner in which it was given;</w:t>
      </w:r>
    </w:p>
    <w:p w14:paraId="42F6AF0C" w14:textId="77777777" w:rsidR="00E93F58" w:rsidRPr="00283424" w:rsidRDefault="00E93F58" w:rsidP="00B50726">
      <w:pPr>
        <w:pStyle w:val="paragraph"/>
      </w:pPr>
      <w:r w:rsidRPr="00283424">
        <w:tab/>
        <w:t>(c)</w:t>
      </w:r>
      <w:r w:rsidRPr="00283424">
        <w:tab/>
        <w:t>if the client gives any of the following notifications to the fee recipient—the notification and the date on which the notification was given:</w:t>
      </w:r>
    </w:p>
    <w:p w14:paraId="0CA632E8" w14:textId="77777777" w:rsidR="00E93F58" w:rsidRPr="00283424" w:rsidRDefault="00E93F58" w:rsidP="00B50726">
      <w:pPr>
        <w:pStyle w:val="paragraphsub"/>
      </w:pPr>
      <w:r w:rsidRPr="00283424">
        <w:tab/>
        <w:t>(i)</w:t>
      </w:r>
      <w:r w:rsidRPr="00283424">
        <w:tab/>
        <w:t>a notification of an election to renew the ongoing fee arrangement;</w:t>
      </w:r>
    </w:p>
    <w:p w14:paraId="5EFBB610" w14:textId="77777777" w:rsidR="00E93F58" w:rsidRPr="00283424" w:rsidRDefault="00E93F58" w:rsidP="00B50726">
      <w:pPr>
        <w:pStyle w:val="paragraphsub"/>
      </w:pPr>
      <w:r w:rsidRPr="00283424">
        <w:tab/>
        <w:t>(ii)</w:t>
      </w:r>
      <w:r w:rsidRPr="00283424">
        <w:tab/>
        <w:t>a notification of an election not to renew the ongoing fee arrangement;</w:t>
      </w:r>
    </w:p>
    <w:p w14:paraId="79845E19" w14:textId="77777777" w:rsidR="00E93F58" w:rsidRPr="00283424" w:rsidRDefault="00E93F58" w:rsidP="00B50726">
      <w:pPr>
        <w:pStyle w:val="paragraphsub"/>
      </w:pPr>
      <w:r w:rsidRPr="00283424">
        <w:tab/>
        <w:t>(iii)</w:t>
      </w:r>
      <w:r w:rsidRPr="00283424">
        <w:tab/>
        <w:t>a notification terminating the ongoing fee arrangement;</w:t>
      </w:r>
    </w:p>
    <w:p w14:paraId="661AE090" w14:textId="77777777" w:rsidR="00E93F58" w:rsidRPr="00283424" w:rsidRDefault="00E93F58" w:rsidP="00B50726">
      <w:pPr>
        <w:pStyle w:val="paragraph"/>
      </w:pPr>
      <w:r w:rsidRPr="00283424">
        <w:tab/>
        <w:t>(d)</w:t>
      </w:r>
      <w:r w:rsidRPr="00283424">
        <w:tab/>
        <w:t>if the ongoing fee arrangement has terminated—the date on which the arrangement terminated and the basis on which the arrangement terminated.</w:t>
      </w:r>
    </w:p>
    <w:p w14:paraId="3025DB57" w14:textId="77777777" w:rsidR="00E93F58" w:rsidRPr="00283424" w:rsidRDefault="00E93F58" w:rsidP="00B50726">
      <w:pPr>
        <w:pStyle w:val="subsection"/>
      </w:pPr>
      <w:r w:rsidRPr="00283424">
        <w:tab/>
        <w:t>(3)</w:t>
      </w:r>
      <w:r w:rsidRPr="00283424">
        <w:tab/>
        <w:t>A fee recipient must also keep the following records in relation to an ongoing fee arrangement:</w:t>
      </w:r>
    </w:p>
    <w:p w14:paraId="375C6914" w14:textId="77777777" w:rsidR="00E93F58" w:rsidRPr="00283424" w:rsidRDefault="00E93F58" w:rsidP="00B50726">
      <w:pPr>
        <w:pStyle w:val="paragraph"/>
      </w:pPr>
      <w:r w:rsidRPr="00283424">
        <w:lastRenderedPageBreak/>
        <w:tab/>
        <w:t>(a)</w:t>
      </w:r>
      <w:r w:rsidRPr="00283424">
        <w:tab/>
        <w:t>each consent for deductions relating to the ongoing fee arrangement given to the fee recipient for the purposes of section 962R or 962S of the Act;</w:t>
      </w:r>
    </w:p>
    <w:p w14:paraId="6F380140" w14:textId="77777777" w:rsidR="00E93F58" w:rsidRPr="00283424" w:rsidRDefault="00E93F58" w:rsidP="00B50726">
      <w:pPr>
        <w:pStyle w:val="paragraph"/>
      </w:pPr>
      <w:r w:rsidRPr="00283424">
        <w:tab/>
        <w:t>(b)</w:t>
      </w:r>
      <w:r w:rsidRPr="00283424">
        <w:tab/>
        <w:t>the date on which each such consent was given;</w:t>
      </w:r>
    </w:p>
    <w:p w14:paraId="5294DE0C" w14:textId="77777777" w:rsidR="00E93F58" w:rsidRPr="00283424" w:rsidRDefault="00E93F58" w:rsidP="00B50726">
      <w:pPr>
        <w:pStyle w:val="paragraph"/>
      </w:pPr>
      <w:r w:rsidRPr="00283424">
        <w:tab/>
        <w:t>(c)</w:t>
      </w:r>
      <w:r w:rsidRPr="00283424">
        <w:tab/>
        <w:t>each notice given to the fee recipient under subsection 962U(1) of the Act withdrawing or varying such consent;</w:t>
      </w:r>
    </w:p>
    <w:p w14:paraId="34175E7B" w14:textId="77777777" w:rsidR="00E93F58" w:rsidRPr="00283424" w:rsidRDefault="00E93F58" w:rsidP="00B50726">
      <w:pPr>
        <w:pStyle w:val="paragraph"/>
      </w:pPr>
      <w:r w:rsidRPr="00283424">
        <w:tab/>
        <w:t>(d)</w:t>
      </w:r>
      <w:r w:rsidRPr="00283424">
        <w:tab/>
        <w:t>the date on which each such notice was given;</w:t>
      </w:r>
    </w:p>
    <w:p w14:paraId="7F9072A4" w14:textId="77777777" w:rsidR="00E93F58" w:rsidRPr="00283424" w:rsidRDefault="00E93F58" w:rsidP="00B50726">
      <w:pPr>
        <w:pStyle w:val="paragraph"/>
      </w:pPr>
      <w:r w:rsidRPr="00283424">
        <w:tab/>
        <w:t>(e)</w:t>
      </w:r>
      <w:r w:rsidRPr="00283424">
        <w:tab/>
        <w:t>each confirmation of receipt of such notice given by the fee recipient under subsection 962U(2) of the Act;</w:t>
      </w:r>
    </w:p>
    <w:p w14:paraId="638AF53D" w14:textId="77777777" w:rsidR="00E93F58" w:rsidRPr="00283424" w:rsidRDefault="00E93F58" w:rsidP="00B50726">
      <w:pPr>
        <w:pStyle w:val="paragraph"/>
      </w:pPr>
      <w:r w:rsidRPr="00283424">
        <w:tab/>
        <w:t>(f)</w:t>
      </w:r>
      <w:r w:rsidRPr="00283424">
        <w:tab/>
        <w:t>each of the following communications in relation to the consent referred to in paragraph (a), and the date on which the communication occurred:</w:t>
      </w:r>
    </w:p>
    <w:p w14:paraId="64EF0225" w14:textId="77777777" w:rsidR="00E93F58" w:rsidRPr="00283424" w:rsidRDefault="00E93F58" w:rsidP="00B50726">
      <w:pPr>
        <w:pStyle w:val="paragraphsub"/>
      </w:pPr>
      <w:r w:rsidRPr="00283424">
        <w:tab/>
        <w:t>(i)</w:t>
      </w:r>
      <w:r w:rsidRPr="00283424">
        <w:tab/>
        <w:t>giving a copy of the consent as required under paragraph 962S(3)(c) of the Act;</w:t>
      </w:r>
    </w:p>
    <w:p w14:paraId="40322F3E" w14:textId="77777777" w:rsidR="00E93F58" w:rsidRPr="00283424" w:rsidRDefault="00E93F58" w:rsidP="00B50726">
      <w:pPr>
        <w:pStyle w:val="paragraphsub"/>
      </w:pPr>
      <w:r w:rsidRPr="00283424">
        <w:tab/>
        <w:t>(ii)</w:t>
      </w:r>
      <w:r w:rsidRPr="00283424">
        <w:tab/>
        <w:t>giving a copy of a notice withdrawing or varying the consent as required under paragraph 962U(2)(b) of the Act;</w:t>
      </w:r>
    </w:p>
    <w:p w14:paraId="604B2348" w14:textId="77777777" w:rsidR="00E93F58" w:rsidRPr="00283424" w:rsidRDefault="00E93F58" w:rsidP="00B50726">
      <w:pPr>
        <w:pStyle w:val="paragraphsub"/>
      </w:pPr>
      <w:r w:rsidRPr="00283424">
        <w:tab/>
        <w:t>(iii)</w:t>
      </w:r>
      <w:r w:rsidRPr="00283424">
        <w:tab/>
        <w:t>giving written notice of the cessation of the consent under subsection 962V(2) of the Act;</w:t>
      </w:r>
    </w:p>
    <w:p w14:paraId="3D955F1E" w14:textId="77777777" w:rsidR="00E93F58" w:rsidRPr="00283424" w:rsidRDefault="00E93F58" w:rsidP="00B50726">
      <w:pPr>
        <w:pStyle w:val="paragraph"/>
      </w:pPr>
      <w:r w:rsidRPr="00283424">
        <w:tab/>
        <w:t>(g)</w:t>
      </w:r>
      <w:r w:rsidRPr="00283424">
        <w:tab/>
        <w:t xml:space="preserve">if the fee recipient arranges with another person (the </w:t>
      </w:r>
      <w:r w:rsidRPr="00283424">
        <w:rPr>
          <w:b/>
          <w:i/>
        </w:rPr>
        <w:t>account provider</w:t>
      </w:r>
      <w:r w:rsidRPr="00283424">
        <w:t>) for deductions relating to the ongoing fee arrangement to be made, as referred to in paragraph 962S(1)(d) of the Act—the details of the arrangement with the account provider.</w:t>
      </w:r>
    </w:p>
    <w:p w14:paraId="266ED333" w14:textId="77777777" w:rsidR="00E93F58" w:rsidRPr="00283424" w:rsidRDefault="00E93F58" w:rsidP="00B50726">
      <w:pPr>
        <w:pStyle w:val="ActHead3"/>
        <w:pageBreakBefore/>
        <w:rPr>
          <w:lang w:eastAsia="en-US"/>
        </w:rPr>
      </w:pPr>
      <w:bookmarkStart w:id="1176" w:name="_Toc152054566"/>
      <w:bookmarkStart w:id="1177" w:name="_Toc158712382"/>
      <w:r w:rsidRPr="006F296E">
        <w:rPr>
          <w:rStyle w:val="CharDivNo"/>
        </w:rPr>
        <w:lastRenderedPageBreak/>
        <w:t>Division 4</w:t>
      </w:r>
      <w:r w:rsidRPr="00283424">
        <w:t>—</w:t>
      </w:r>
      <w:r w:rsidRPr="006F296E">
        <w:rPr>
          <w:rStyle w:val="CharDivText"/>
        </w:rPr>
        <w:t>Conflicted remuneration</w:t>
      </w:r>
      <w:bookmarkEnd w:id="1176"/>
      <w:bookmarkEnd w:id="1177"/>
    </w:p>
    <w:p w14:paraId="04A90214" w14:textId="77777777" w:rsidR="00E93F58" w:rsidRPr="00283424" w:rsidRDefault="00E93F58" w:rsidP="00B50726">
      <w:pPr>
        <w:pStyle w:val="ActHead4"/>
      </w:pPr>
      <w:bookmarkStart w:id="1178" w:name="_Toc152054567"/>
      <w:bookmarkStart w:id="1179" w:name="_Toc158712383"/>
      <w:r w:rsidRPr="006F296E">
        <w:rPr>
          <w:rStyle w:val="CharSubdNo"/>
        </w:rPr>
        <w:t>Subdivision 1</w:t>
      </w:r>
      <w:r w:rsidRPr="00283424">
        <w:t>—</w:t>
      </w:r>
      <w:r w:rsidRPr="006F296E">
        <w:rPr>
          <w:rStyle w:val="CharSubdText"/>
        </w:rPr>
        <w:t>Benefits in relation to life risk insurance products that are conflicted remuneration</w:t>
      </w:r>
      <w:bookmarkEnd w:id="1178"/>
      <w:bookmarkEnd w:id="1179"/>
    </w:p>
    <w:p w14:paraId="62C175BB" w14:textId="77777777" w:rsidR="00E93F58" w:rsidRPr="00283424" w:rsidRDefault="00E93F58" w:rsidP="00B50726">
      <w:pPr>
        <w:pStyle w:val="ActHead5"/>
      </w:pPr>
      <w:bookmarkStart w:id="1180" w:name="_Toc152054568"/>
      <w:bookmarkStart w:id="1181" w:name="_Toc158712384"/>
      <w:r w:rsidRPr="006F296E">
        <w:rPr>
          <w:rStyle w:val="CharSectno"/>
        </w:rPr>
        <w:t>7.7A.11A</w:t>
      </w:r>
      <w:r w:rsidRPr="00283424">
        <w:t xml:space="preserve">  What this Subdivision is about</w:t>
      </w:r>
      <w:bookmarkEnd w:id="1180"/>
      <w:bookmarkEnd w:id="1181"/>
    </w:p>
    <w:p w14:paraId="32CE772D" w14:textId="77777777" w:rsidR="00E93F58" w:rsidRPr="00283424" w:rsidRDefault="00E93F58" w:rsidP="00B50726">
      <w:pPr>
        <w:pStyle w:val="subsection"/>
      </w:pPr>
      <w:r w:rsidRPr="00283424">
        <w:tab/>
      </w:r>
      <w:r w:rsidRPr="00283424">
        <w:tab/>
        <w:t>This Subdivision:</w:t>
      </w:r>
    </w:p>
    <w:p w14:paraId="35BED6EF" w14:textId="77777777" w:rsidR="00E93F58" w:rsidRPr="00283424" w:rsidRDefault="00E93F58" w:rsidP="00B50726">
      <w:pPr>
        <w:pStyle w:val="paragraph"/>
      </w:pPr>
      <w:r w:rsidRPr="00283424">
        <w:tab/>
        <w:t>(a)</w:t>
      </w:r>
      <w:r w:rsidRPr="00283424">
        <w:tab/>
        <w:t>is made for the purposes of section 963AA of the Act; and</w:t>
      </w:r>
    </w:p>
    <w:p w14:paraId="754863A4" w14:textId="77777777" w:rsidR="00E93F58" w:rsidRPr="00283424" w:rsidRDefault="00E93F58" w:rsidP="00B50726">
      <w:pPr>
        <w:pStyle w:val="paragraph"/>
      </w:pPr>
      <w:r w:rsidRPr="00283424">
        <w:tab/>
        <w:t>(b)</w:t>
      </w:r>
      <w:r w:rsidRPr="00283424">
        <w:tab/>
        <w:t>prescribes circumstances, in addition to those set out in section 963A, in which a benefit given to a financial services licensee, or a representative of a financial services licensee, in relation to a life risk insurance product, or life risk insurance products, is conflicted remuneration.</w:t>
      </w:r>
    </w:p>
    <w:p w14:paraId="75237C17" w14:textId="77777777" w:rsidR="00E93F58" w:rsidRPr="00283424" w:rsidRDefault="00E93F58" w:rsidP="00B50726">
      <w:pPr>
        <w:pStyle w:val="ActHead5"/>
      </w:pPr>
      <w:bookmarkStart w:id="1182" w:name="_Toc152054569"/>
      <w:bookmarkStart w:id="1183" w:name="_Toc158712385"/>
      <w:r w:rsidRPr="006F296E">
        <w:rPr>
          <w:rStyle w:val="CharSectno"/>
        </w:rPr>
        <w:t>7.7A.11B</w:t>
      </w:r>
      <w:r w:rsidRPr="00283424">
        <w:t xml:space="preserve">  Circumstances in which benefits in relation to life risk insurance products are conflicted remuneration</w:t>
      </w:r>
      <w:bookmarkEnd w:id="1182"/>
      <w:bookmarkEnd w:id="1183"/>
    </w:p>
    <w:p w14:paraId="6D5C85C0" w14:textId="77777777" w:rsidR="00E93F58" w:rsidRPr="00283424" w:rsidRDefault="00E93F58" w:rsidP="00B50726">
      <w:pPr>
        <w:pStyle w:val="SubsectionHead"/>
      </w:pPr>
      <w:r w:rsidRPr="00283424">
        <w:t>Giving information in relation to life risk insurance products</w:t>
      </w:r>
    </w:p>
    <w:p w14:paraId="1183F949" w14:textId="77777777" w:rsidR="00E93F58" w:rsidRPr="00283424" w:rsidRDefault="00E93F58" w:rsidP="00B50726">
      <w:pPr>
        <w:pStyle w:val="subsection"/>
      </w:pPr>
      <w:r w:rsidRPr="00283424">
        <w:tab/>
        <w:t>(1)</w:t>
      </w:r>
      <w:r w:rsidRPr="00283424">
        <w:tab/>
        <w:t xml:space="preserve">A benefit given to a financial services licensee, or a representative of a financial services licensee, is </w:t>
      </w:r>
      <w:r w:rsidRPr="00283424">
        <w:rPr>
          <w:b/>
          <w:i/>
        </w:rPr>
        <w:t>conflicted remuneration</w:t>
      </w:r>
      <w:r w:rsidRPr="00283424">
        <w:t xml:space="preserve"> if:</w:t>
      </w:r>
    </w:p>
    <w:p w14:paraId="0EFF139B" w14:textId="77777777" w:rsidR="00E93F58" w:rsidRPr="00283424" w:rsidRDefault="00E93F58" w:rsidP="00B50726">
      <w:pPr>
        <w:pStyle w:val="paragraph"/>
      </w:pPr>
      <w:r w:rsidRPr="00283424">
        <w:tab/>
        <w:t>(a)</w:t>
      </w:r>
      <w:r w:rsidRPr="00283424">
        <w:tab/>
        <w:t>the benefit is given to the licensee or representative in relation to information given to a person, or persons, in relation to a life risk insurance product, or life risk insurance products; and</w:t>
      </w:r>
    </w:p>
    <w:p w14:paraId="6A9FC99E" w14:textId="77777777" w:rsidR="00E93F58" w:rsidRPr="00283424" w:rsidRDefault="00E93F58" w:rsidP="00B50726">
      <w:pPr>
        <w:pStyle w:val="paragraph"/>
      </w:pPr>
      <w:r w:rsidRPr="00283424">
        <w:tab/>
        <w:t>(b)</w:t>
      </w:r>
      <w:r w:rsidRPr="00283424">
        <w:tab/>
        <w:t>access to the benefit, or the value of the benefit, is dependent on:</w:t>
      </w:r>
    </w:p>
    <w:p w14:paraId="0F06A7F7" w14:textId="77777777" w:rsidR="00E93F58" w:rsidRPr="00283424" w:rsidRDefault="00E93F58" w:rsidP="00B50726">
      <w:pPr>
        <w:pStyle w:val="paragraphsub"/>
      </w:pPr>
      <w:r w:rsidRPr="00283424">
        <w:tab/>
        <w:t>(i)</w:t>
      </w:r>
      <w:r w:rsidRPr="00283424">
        <w:tab/>
        <w:t>the value of a life risk insurance product, or life risk insurance products, subsequently acquired by a person or persons to whom, or in relation to whom, the information is given; or</w:t>
      </w:r>
    </w:p>
    <w:p w14:paraId="0D6661FC" w14:textId="77777777" w:rsidR="00E93F58" w:rsidRPr="00283424" w:rsidRDefault="00E93F58" w:rsidP="00B50726">
      <w:pPr>
        <w:pStyle w:val="paragraphsub"/>
      </w:pPr>
      <w:r w:rsidRPr="00283424">
        <w:tab/>
        <w:t>(ii)</w:t>
      </w:r>
      <w:r w:rsidRPr="00283424">
        <w:tab/>
        <w:t>the value of a life risk insurance product, or life risk insurance products, subsequently varied that are held by a person or persons to whom, or in relation to whom, the information is given; or</w:t>
      </w:r>
    </w:p>
    <w:p w14:paraId="2BC9BD51" w14:textId="77777777" w:rsidR="00E93F58" w:rsidRPr="00283424" w:rsidRDefault="00E93F58" w:rsidP="00B50726">
      <w:pPr>
        <w:pStyle w:val="paragraphsub"/>
      </w:pPr>
      <w:r w:rsidRPr="00283424">
        <w:tab/>
        <w:t>(iii)</w:t>
      </w:r>
      <w:r w:rsidRPr="00283424">
        <w:tab/>
        <w:t>the number of life risk insurance products subsequently acquired by a person or persons to whom, or in relation to whom, the information is given; or</w:t>
      </w:r>
    </w:p>
    <w:p w14:paraId="75708BD0" w14:textId="77777777" w:rsidR="00E93F58" w:rsidRPr="00283424" w:rsidRDefault="00E93F58" w:rsidP="00B50726">
      <w:pPr>
        <w:pStyle w:val="paragraphsub"/>
      </w:pPr>
      <w:r w:rsidRPr="00283424">
        <w:tab/>
        <w:t>(iv)</w:t>
      </w:r>
      <w:r w:rsidRPr="00283424">
        <w:tab/>
        <w:t>the number of life risk insurance products subsequently varied that are held by a person or persons to whom, or in relation to whom, the information is given; and</w:t>
      </w:r>
    </w:p>
    <w:p w14:paraId="79B09E06" w14:textId="77777777" w:rsidR="00E93F58" w:rsidRPr="00283424" w:rsidRDefault="00E93F58" w:rsidP="00B50726">
      <w:pPr>
        <w:pStyle w:val="paragraph"/>
      </w:pPr>
      <w:r w:rsidRPr="00283424">
        <w:tab/>
        <w:t>(c)</w:t>
      </w:r>
      <w:r w:rsidRPr="00283424">
        <w:tab/>
        <w:t>the information is not given in the course of, or as a result of, the licensee or representative, or an associate of the licensee or representative, providing financial product advice; and</w:t>
      </w:r>
    </w:p>
    <w:p w14:paraId="07AB48F0" w14:textId="77777777" w:rsidR="00E93F58" w:rsidRPr="00283424" w:rsidRDefault="00E93F58" w:rsidP="00B50726">
      <w:pPr>
        <w:pStyle w:val="paragraph"/>
      </w:pPr>
      <w:r w:rsidRPr="00283424">
        <w:tab/>
        <w:t>(d)</w:t>
      </w:r>
      <w:r w:rsidRPr="00283424">
        <w:tab/>
        <w:t>if the information is given in the course of providing a financial product—the information is not given in the course of providing that product to a person as a wholesale client, or to persons as wholesale clients.</w:t>
      </w:r>
    </w:p>
    <w:p w14:paraId="5119E34C" w14:textId="77777777" w:rsidR="00E93F58" w:rsidRPr="00283424" w:rsidRDefault="00E93F58" w:rsidP="00B50726">
      <w:pPr>
        <w:pStyle w:val="SubsectionHead"/>
      </w:pPr>
      <w:r w:rsidRPr="00283424">
        <w:t>Dealing in life risk insurance products</w:t>
      </w:r>
    </w:p>
    <w:p w14:paraId="6931B8B8" w14:textId="77777777" w:rsidR="00E93F58" w:rsidRPr="00283424" w:rsidRDefault="00E93F58" w:rsidP="00B50726">
      <w:pPr>
        <w:pStyle w:val="subsection"/>
      </w:pPr>
      <w:r w:rsidRPr="00283424">
        <w:tab/>
        <w:t>(2)</w:t>
      </w:r>
      <w:r w:rsidRPr="00283424">
        <w:tab/>
        <w:t xml:space="preserve">A benefit given to a financial services licensee, or a representative of a financial services licensee, is </w:t>
      </w:r>
      <w:r w:rsidRPr="00283424">
        <w:rPr>
          <w:b/>
          <w:i/>
        </w:rPr>
        <w:t>conflicted remuneration</w:t>
      </w:r>
      <w:r w:rsidRPr="00283424">
        <w:t xml:space="preserve"> if:</w:t>
      </w:r>
    </w:p>
    <w:p w14:paraId="33884A14" w14:textId="77777777" w:rsidR="00E93F58" w:rsidRPr="00283424" w:rsidRDefault="00E93F58" w:rsidP="00B50726">
      <w:pPr>
        <w:pStyle w:val="paragraph"/>
      </w:pPr>
      <w:r w:rsidRPr="00283424">
        <w:tab/>
        <w:t>(a)</w:t>
      </w:r>
      <w:r w:rsidRPr="00283424">
        <w:tab/>
        <w:t>the benefit is given to the licensee or representative in relation to a dealing in a life risk insurance product with a person as a retail client, or dealings in life risk insurance products with persons as retail clients; and</w:t>
      </w:r>
    </w:p>
    <w:p w14:paraId="0E8EB5F0" w14:textId="77777777" w:rsidR="00E93F58" w:rsidRPr="00283424" w:rsidRDefault="00E93F58" w:rsidP="00B50726">
      <w:pPr>
        <w:pStyle w:val="paragraph"/>
      </w:pPr>
      <w:r w:rsidRPr="00283424">
        <w:tab/>
        <w:t>(b)</w:t>
      </w:r>
      <w:r w:rsidRPr="00283424">
        <w:tab/>
        <w:t>access to the benefit, or the value of the benefit, is dependent on:</w:t>
      </w:r>
    </w:p>
    <w:p w14:paraId="13E67568" w14:textId="77777777" w:rsidR="00E93F58" w:rsidRPr="00283424" w:rsidRDefault="00E93F58" w:rsidP="00B50726">
      <w:pPr>
        <w:pStyle w:val="paragraphsub"/>
      </w:pPr>
      <w:r w:rsidRPr="00283424">
        <w:tab/>
        <w:t>(i)</w:t>
      </w:r>
      <w:r w:rsidRPr="00283424">
        <w:tab/>
        <w:t>the value of the life risk insurance product to which the dealing relates, or the life risk insurance products to which the dealings relate; or</w:t>
      </w:r>
    </w:p>
    <w:p w14:paraId="0B32D99F" w14:textId="77777777" w:rsidR="00E93F58" w:rsidRPr="00283424" w:rsidRDefault="00E93F58" w:rsidP="00B50726">
      <w:pPr>
        <w:pStyle w:val="paragraphsub"/>
      </w:pPr>
      <w:r w:rsidRPr="00283424">
        <w:tab/>
        <w:t>(ii)</w:t>
      </w:r>
      <w:r w:rsidRPr="00283424">
        <w:tab/>
        <w:t>the number of life risk insurance products to which the dealings relate; and</w:t>
      </w:r>
    </w:p>
    <w:p w14:paraId="38D35D23" w14:textId="77777777" w:rsidR="00E93F58" w:rsidRPr="00283424" w:rsidRDefault="00E93F58" w:rsidP="00B50726">
      <w:pPr>
        <w:pStyle w:val="paragraph"/>
      </w:pPr>
      <w:r w:rsidRPr="00283424">
        <w:tab/>
        <w:t>(c)</w:t>
      </w:r>
      <w:r w:rsidRPr="00283424">
        <w:tab/>
        <w:t>the dealing, or dealings, do not occur in the course of, or as a result of, the licensee or representative, or an associate of the licensee or representative:</w:t>
      </w:r>
    </w:p>
    <w:p w14:paraId="1FA8E048" w14:textId="77777777" w:rsidR="00E93F58" w:rsidRPr="00283424" w:rsidRDefault="00E93F58" w:rsidP="00B50726">
      <w:pPr>
        <w:pStyle w:val="paragraphsub"/>
      </w:pPr>
      <w:r w:rsidRPr="00283424">
        <w:tab/>
        <w:t>(i)</w:t>
      </w:r>
      <w:r w:rsidRPr="00283424">
        <w:tab/>
        <w:t>providing financial product advice; or</w:t>
      </w:r>
    </w:p>
    <w:p w14:paraId="2CB0F875" w14:textId="77777777" w:rsidR="00E93F58" w:rsidRPr="00283424" w:rsidRDefault="00E93F58" w:rsidP="00B50726">
      <w:pPr>
        <w:pStyle w:val="paragraphsub"/>
      </w:pPr>
      <w:r w:rsidRPr="00283424">
        <w:tab/>
        <w:t>(ii)</w:t>
      </w:r>
      <w:r w:rsidRPr="00283424">
        <w:tab/>
        <w:t>giving information in circumstances in which the benefit would be conflicted remuneration under subregulation (1).</w:t>
      </w:r>
    </w:p>
    <w:p w14:paraId="1C38733A" w14:textId="77777777" w:rsidR="00E93F58" w:rsidRPr="00283424" w:rsidRDefault="00E93F58" w:rsidP="00B50726">
      <w:pPr>
        <w:pStyle w:val="ActHead5"/>
      </w:pPr>
      <w:bookmarkStart w:id="1184" w:name="_Toc152054570"/>
      <w:bookmarkStart w:id="1185" w:name="_Toc158712386"/>
      <w:r w:rsidRPr="006F296E">
        <w:rPr>
          <w:rStyle w:val="CharSectno"/>
        </w:rPr>
        <w:lastRenderedPageBreak/>
        <w:t>7.7A.11C</w:t>
      </w:r>
      <w:r w:rsidRPr="00283424">
        <w:t xml:space="preserve">  Circumstances in which benefits in relation to information about life risk insurance products are not conflicted remuneration</w:t>
      </w:r>
      <w:bookmarkEnd w:id="1184"/>
      <w:bookmarkEnd w:id="1185"/>
    </w:p>
    <w:p w14:paraId="3CA93FED" w14:textId="77777777" w:rsidR="00E93F58" w:rsidRPr="00283424" w:rsidRDefault="00E93F58" w:rsidP="00B50726">
      <w:pPr>
        <w:pStyle w:val="SubsectionHead"/>
      </w:pPr>
      <w:r w:rsidRPr="00283424">
        <w:t>Monetary benefits</w:t>
      </w:r>
    </w:p>
    <w:p w14:paraId="4406485B" w14:textId="77777777" w:rsidR="00E93F58" w:rsidRPr="00283424" w:rsidRDefault="00E93F58" w:rsidP="00B50726">
      <w:pPr>
        <w:pStyle w:val="subsection"/>
      </w:pPr>
      <w:r w:rsidRPr="00283424">
        <w:tab/>
        <w:t>(1)</w:t>
      </w:r>
      <w:r w:rsidRPr="00283424">
        <w:tab/>
        <w:t xml:space="preserve">Despite subregulation 7.7A.11B(1), a monetary benefit given to a financial services licensee, or a representative of a financial services licensee, in relation to information given to a person, or persons, in relation to a life risk insurance product, or life risk insurance products, is not </w:t>
      </w:r>
      <w:r w:rsidRPr="00283424">
        <w:rPr>
          <w:b/>
          <w:i/>
        </w:rPr>
        <w:t>conflicted remuneration</w:t>
      </w:r>
      <w:r w:rsidRPr="00283424">
        <w:t xml:space="preserve"> if:</w:t>
      </w:r>
    </w:p>
    <w:p w14:paraId="40129C0E" w14:textId="77777777" w:rsidR="00E93F58" w:rsidRPr="00283424" w:rsidRDefault="00E93F58" w:rsidP="00B50726">
      <w:pPr>
        <w:pStyle w:val="paragraph"/>
      </w:pPr>
      <w:r w:rsidRPr="00283424">
        <w:tab/>
        <w:t>(a)</w:t>
      </w:r>
      <w:r w:rsidRPr="00283424">
        <w:tab/>
        <w:t>because of the nature of the benefit or the circumstances in which it is given, the benefit could not reasonably be expected to influence:</w:t>
      </w:r>
    </w:p>
    <w:p w14:paraId="24F9AC7D" w14:textId="77777777" w:rsidR="00E93F58" w:rsidRPr="00283424" w:rsidRDefault="00E93F58" w:rsidP="00B50726">
      <w:pPr>
        <w:pStyle w:val="paragraphsub"/>
      </w:pPr>
      <w:r w:rsidRPr="00283424">
        <w:tab/>
        <w:t>(i)</w:t>
      </w:r>
      <w:r w:rsidRPr="00283424">
        <w:tab/>
        <w:t>whether the licensee or representative gives the information to the person or persons; or</w:t>
      </w:r>
    </w:p>
    <w:p w14:paraId="195B045D" w14:textId="77777777" w:rsidR="00E93F58" w:rsidRPr="00283424" w:rsidRDefault="00E93F58" w:rsidP="00B50726">
      <w:pPr>
        <w:pStyle w:val="paragraphsub"/>
      </w:pPr>
      <w:r w:rsidRPr="00283424">
        <w:tab/>
        <w:t>(ii)</w:t>
      </w:r>
      <w:r w:rsidRPr="00283424">
        <w:tab/>
        <w:t>the way in which the licensee or representative presents the information in giving it to the person or persons; or</w:t>
      </w:r>
    </w:p>
    <w:p w14:paraId="53C32C2A" w14:textId="77777777" w:rsidR="00E93F58" w:rsidRPr="00BE1284" w:rsidRDefault="00E93F58" w:rsidP="00153709">
      <w:pPr>
        <w:pStyle w:val="paragraph"/>
      </w:pPr>
      <w:r w:rsidRPr="00BE1284">
        <w:tab/>
        <w:t>(b)</w:t>
      </w:r>
      <w:r w:rsidRPr="00BE1284">
        <w:tab/>
        <w:t xml:space="preserve">none of the products is a life risk insurance product covered by </w:t>
      </w:r>
      <w:r>
        <w:t>subsection 9</w:t>
      </w:r>
      <w:r w:rsidRPr="00BE1284">
        <w:t>63B(2) of the Act and either:</w:t>
      </w:r>
    </w:p>
    <w:p w14:paraId="018232EF" w14:textId="77777777" w:rsidR="00E93F58" w:rsidRPr="00BE1284" w:rsidRDefault="00E93F58" w:rsidP="00153709">
      <w:pPr>
        <w:pStyle w:val="paragraphsub"/>
      </w:pPr>
      <w:r w:rsidRPr="00BE1284">
        <w:tab/>
        <w:t>(i)</w:t>
      </w:r>
      <w:r w:rsidRPr="00BE1284">
        <w:tab/>
        <w:t>the benefit ratio for the benefit is the same for the year in which the product or products are issued as it is for each year in which the product or products are continued; or</w:t>
      </w:r>
    </w:p>
    <w:p w14:paraId="7AE8AEF9" w14:textId="77777777" w:rsidR="00E93F58" w:rsidRPr="00BE1284" w:rsidRDefault="00E93F58" w:rsidP="00153709">
      <w:pPr>
        <w:pStyle w:val="paragraphsub"/>
      </w:pPr>
      <w:r w:rsidRPr="00BE1284">
        <w:tab/>
        <w:t>(ii)</w:t>
      </w:r>
      <w:r w:rsidRPr="00BE1284">
        <w:tab/>
        <w:t>the benefit ratio requirements and clawback requirements are satisfied in relation to the benefit; or</w:t>
      </w:r>
    </w:p>
    <w:p w14:paraId="4B8D707B" w14:textId="77777777" w:rsidR="00E93F58" w:rsidRPr="00283424" w:rsidRDefault="00E93F58" w:rsidP="00B50726">
      <w:pPr>
        <w:pStyle w:val="paragraph"/>
      </w:pPr>
      <w:r w:rsidRPr="00283424">
        <w:tab/>
        <w:t>(c)</w:t>
      </w:r>
      <w:r w:rsidRPr="00283424">
        <w:tab/>
        <w:t>the benefit is given to the licensee or representative in relation to consumer credit insurance; or</w:t>
      </w:r>
    </w:p>
    <w:p w14:paraId="0C2104F7" w14:textId="77777777" w:rsidR="00E93F58" w:rsidRPr="00283424" w:rsidRDefault="00E93F58" w:rsidP="00B50726">
      <w:pPr>
        <w:pStyle w:val="paragraph"/>
      </w:pPr>
      <w:r w:rsidRPr="00283424">
        <w:tab/>
        <w:t>(d)</w:t>
      </w:r>
      <w:r w:rsidRPr="00283424">
        <w:tab/>
        <w:t>if the information is given in the course of providing a financial product to a person as a retail client or to persons as retail clients—the benefit is given by that person, or those persons; or</w:t>
      </w:r>
    </w:p>
    <w:p w14:paraId="69C828E2" w14:textId="77777777" w:rsidR="00E93F58" w:rsidRPr="00283424" w:rsidRDefault="00E93F58" w:rsidP="00B50726">
      <w:pPr>
        <w:pStyle w:val="paragraph"/>
      </w:pPr>
      <w:r w:rsidRPr="00283424">
        <w:tab/>
        <w:t>(e)</w:t>
      </w:r>
      <w:r w:rsidRPr="00283424">
        <w:tab/>
        <w:t>the benefit is given to the licensee as part of the purchase or sale of all or part of the licensee’s business, or to the representative as part of the purchase or sale of all or part of the representative’s business.</w:t>
      </w:r>
    </w:p>
    <w:p w14:paraId="3ED545EF" w14:textId="77777777" w:rsidR="00E93F58" w:rsidRPr="00283424" w:rsidRDefault="00E93F58" w:rsidP="00B50726">
      <w:pPr>
        <w:pStyle w:val="SubsectionHead"/>
      </w:pPr>
      <w:r w:rsidRPr="00283424">
        <w:t>Non</w:t>
      </w:r>
      <w:r>
        <w:noBreakHyphen/>
      </w:r>
      <w:r w:rsidRPr="00283424">
        <w:t>monetary benefits</w:t>
      </w:r>
    </w:p>
    <w:p w14:paraId="16E8C7E1" w14:textId="77777777" w:rsidR="00E93F58" w:rsidRPr="00283424" w:rsidRDefault="00E93F58" w:rsidP="00B50726">
      <w:pPr>
        <w:pStyle w:val="subsection"/>
      </w:pPr>
      <w:r w:rsidRPr="00283424">
        <w:tab/>
        <w:t>(2)</w:t>
      </w:r>
      <w:r w:rsidRPr="00283424">
        <w:tab/>
        <w:t>Despite subregulation 7.7A.11B(1), a non</w:t>
      </w:r>
      <w:r>
        <w:noBreakHyphen/>
      </w:r>
      <w:r w:rsidRPr="00283424">
        <w:t xml:space="preserve">monetary benefit given to a financial services licensee, or a representative of a financial services licensee, in relation to information given to a person, or persons, in relation to a life risk insurance product, or life risk insurance products, is not </w:t>
      </w:r>
      <w:r w:rsidRPr="00283424">
        <w:rPr>
          <w:b/>
          <w:i/>
        </w:rPr>
        <w:t>conflicted remuneration</w:t>
      </w:r>
      <w:r w:rsidRPr="00283424">
        <w:t xml:space="preserve"> if:</w:t>
      </w:r>
    </w:p>
    <w:p w14:paraId="7B48C559" w14:textId="77777777" w:rsidR="00E93F58" w:rsidRPr="00283424" w:rsidRDefault="00E93F58" w:rsidP="00B50726">
      <w:pPr>
        <w:pStyle w:val="paragraph"/>
      </w:pPr>
      <w:r w:rsidRPr="00283424">
        <w:tab/>
        <w:t>(a)</w:t>
      </w:r>
      <w:r w:rsidRPr="00283424">
        <w:tab/>
        <w:t>because of the nature of the benefit or the circumstances in which it is given, the benefit could not reasonably be expected to influence:</w:t>
      </w:r>
    </w:p>
    <w:p w14:paraId="31C7D388" w14:textId="77777777" w:rsidR="00E93F58" w:rsidRPr="00283424" w:rsidRDefault="00E93F58" w:rsidP="00B50726">
      <w:pPr>
        <w:pStyle w:val="paragraphsub"/>
      </w:pPr>
      <w:r w:rsidRPr="00283424">
        <w:tab/>
        <w:t>(i)</w:t>
      </w:r>
      <w:r w:rsidRPr="00283424">
        <w:tab/>
        <w:t>whether the licensee or representative gives the information to the person or persons; or</w:t>
      </w:r>
    </w:p>
    <w:p w14:paraId="5A0AC6F8" w14:textId="77777777" w:rsidR="00E93F58" w:rsidRPr="00283424" w:rsidRDefault="00E93F58" w:rsidP="00B50726">
      <w:pPr>
        <w:pStyle w:val="paragraphsub"/>
      </w:pPr>
      <w:r w:rsidRPr="00283424">
        <w:tab/>
        <w:t>(ii)</w:t>
      </w:r>
      <w:r w:rsidRPr="00283424">
        <w:tab/>
        <w:t>the way in which the licensee or representative presents the information in giving it to the person or persons; or</w:t>
      </w:r>
    </w:p>
    <w:p w14:paraId="6A800BA2" w14:textId="77777777" w:rsidR="00E93F58" w:rsidRPr="00283424" w:rsidRDefault="00E93F58" w:rsidP="00B50726">
      <w:pPr>
        <w:pStyle w:val="paragraph"/>
      </w:pPr>
      <w:r w:rsidRPr="00283424">
        <w:tab/>
        <w:t>(b)</w:t>
      </w:r>
      <w:r w:rsidRPr="00283424">
        <w:tab/>
        <w:t>each of the following is satisfied:</w:t>
      </w:r>
    </w:p>
    <w:p w14:paraId="4D4B2323" w14:textId="77777777" w:rsidR="00E93F58" w:rsidRPr="00283424" w:rsidRDefault="00E93F58" w:rsidP="00B50726">
      <w:pPr>
        <w:pStyle w:val="paragraphsub"/>
      </w:pPr>
      <w:r w:rsidRPr="00283424">
        <w:tab/>
        <w:t>(i)</w:t>
      </w:r>
      <w:r w:rsidRPr="00283424">
        <w:tab/>
        <w:t>the licensee or representative is the final recipient of the benefit, or all or part of the benefit passes through the licensee or representative to another financial services licensee, or representative of a financial services licensee, who is the final recipient of the benefit;</w:t>
      </w:r>
    </w:p>
    <w:p w14:paraId="568FD506" w14:textId="77777777" w:rsidR="00E93F58" w:rsidRPr="00283424" w:rsidRDefault="00E93F58" w:rsidP="00B50726">
      <w:pPr>
        <w:pStyle w:val="paragraphsub"/>
      </w:pPr>
      <w:r w:rsidRPr="00283424">
        <w:tab/>
        <w:t>(ii)</w:t>
      </w:r>
      <w:r w:rsidRPr="00283424">
        <w:tab/>
        <w:t>the value of the benefit in the hands of each final recipient is less than $300;</w:t>
      </w:r>
    </w:p>
    <w:p w14:paraId="66EC22D1" w14:textId="77777777" w:rsidR="00E93F58" w:rsidRPr="00283424" w:rsidRDefault="00E93F58" w:rsidP="00B50726">
      <w:pPr>
        <w:pStyle w:val="paragraphsub"/>
      </w:pPr>
      <w:r w:rsidRPr="00283424">
        <w:tab/>
        <w:t>(iii)</w:t>
      </w:r>
      <w:r w:rsidRPr="00283424">
        <w:tab/>
        <w:t>identical or similar benefits are not given on a frequent or regular basis; or</w:t>
      </w:r>
    </w:p>
    <w:p w14:paraId="0C008B63" w14:textId="77777777" w:rsidR="00E93F58" w:rsidRPr="00283424" w:rsidRDefault="00E93F58" w:rsidP="00B50726">
      <w:pPr>
        <w:pStyle w:val="paragraph"/>
      </w:pPr>
      <w:r w:rsidRPr="00283424">
        <w:tab/>
        <w:t>(c)</w:t>
      </w:r>
      <w:r w:rsidRPr="00283424">
        <w:tab/>
        <w:t>each of the following is satisfied:</w:t>
      </w:r>
    </w:p>
    <w:p w14:paraId="0BF0182E" w14:textId="77777777" w:rsidR="00E93F58" w:rsidRPr="00283424" w:rsidRDefault="00E93F58" w:rsidP="00B50726">
      <w:pPr>
        <w:pStyle w:val="paragraphsub"/>
      </w:pPr>
      <w:r w:rsidRPr="00283424">
        <w:tab/>
        <w:t>(i)</w:t>
      </w:r>
      <w:r w:rsidRPr="00283424">
        <w:tab/>
        <w:t>the benefit has a genuine education or training purpose;</w:t>
      </w:r>
    </w:p>
    <w:p w14:paraId="14DC4D91" w14:textId="77777777" w:rsidR="00E93F58" w:rsidRPr="00283424" w:rsidRDefault="00E93F58" w:rsidP="00B50726">
      <w:pPr>
        <w:pStyle w:val="paragraphsub"/>
      </w:pPr>
      <w:r w:rsidRPr="00283424">
        <w:tab/>
        <w:t>(ii)</w:t>
      </w:r>
      <w:r w:rsidRPr="00283424">
        <w:tab/>
        <w:t>the benefit is relevant to giving information in relation to life risk insurance products;</w:t>
      </w:r>
    </w:p>
    <w:p w14:paraId="629877A2" w14:textId="77777777" w:rsidR="00E93F58" w:rsidRPr="00283424" w:rsidRDefault="00E93F58" w:rsidP="00B50726">
      <w:pPr>
        <w:pStyle w:val="paragraphsub"/>
      </w:pPr>
      <w:r w:rsidRPr="00283424">
        <w:tab/>
        <w:t>(iii)</w:t>
      </w:r>
      <w:r w:rsidRPr="00283424">
        <w:tab/>
        <w:t>if education or training is provided through an education or training course (within the meaning of regulation 7.7A.14)—subregulations 7.7A.14(3) and (4) are satisfied in relation to the education or training;</w:t>
      </w:r>
    </w:p>
    <w:p w14:paraId="0E327864" w14:textId="77777777" w:rsidR="00E93F58" w:rsidRPr="00283424" w:rsidRDefault="00E93F58" w:rsidP="00B50726">
      <w:pPr>
        <w:pStyle w:val="paragraphsub"/>
      </w:pPr>
      <w:r w:rsidRPr="00283424">
        <w:tab/>
        <w:t>(iv)</w:t>
      </w:r>
      <w:r w:rsidRPr="00283424">
        <w:tab/>
        <w:t>if education or training is provided other than through an education or training course—the dominant purpose of the benefit is education and training; or</w:t>
      </w:r>
    </w:p>
    <w:p w14:paraId="41415571" w14:textId="77777777" w:rsidR="00E93F58" w:rsidRPr="00283424" w:rsidRDefault="00E93F58" w:rsidP="00B50726">
      <w:pPr>
        <w:pStyle w:val="paragraph"/>
      </w:pPr>
      <w:r w:rsidRPr="00283424">
        <w:tab/>
        <w:t>(d)</w:t>
      </w:r>
      <w:r w:rsidRPr="00283424">
        <w:tab/>
        <w:t>each of the following is satisfied:</w:t>
      </w:r>
    </w:p>
    <w:p w14:paraId="0277A3F9" w14:textId="77777777" w:rsidR="00E93F58" w:rsidRPr="00283424" w:rsidRDefault="00E93F58" w:rsidP="00B50726">
      <w:pPr>
        <w:pStyle w:val="paragraphsub"/>
      </w:pPr>
      <w:r w:rsidRPr="00283424">
        <w:tab/>
        <w:t>(i)</w:t>
      </w:r>
      <w:r w:rsidRPr="00283424">
        <w:tab/>
        <w:t>the benefit is the provision of information technology software or support;</w:t>
      </w:r>
    </w:p>
    <w:p w14:paraId="42DA4BB8" w14:textId="77777777" w:rsidR="00E93F58" w:rsidRPr="00283424" w:rsidRDefault="00E93F58" w:rsidP="00B50726">
      <w:pPr>
        <w:pStyle w:val="paragraphsub"/>
      </w:pPr>
      <w:r w:rsidRPr="00283424">
        <w:tab/>
        <w:t>(ii)</w:t>
      </w:r>
      <w:r w:rsidRPr="00283424">
        <w:tab/>
        <w:t>the benefit is relevant to giving information in relation to a life risk insurance product, or life risk insurance products; or</w:t>
      </w:r>
    </w:p>
    <w:p w14:paraId="4B979787" w14:textId="77777777" w:rsidR="00E93F58" w:rsidRPr="00283424" w:rsidRDefault="00E93F58" w:rsidP="00B50726">
      <w:pPr>
        <w:pStyle w:val="paragraph"/>
      </w:pPr>
      <w:r w:rsidRPr="00283424">
        <w:tab/>
        <w:t>(e)</w:t>
      </w:r>
      <w:r w:rsidRPr="00283424">
        <w:tab/>
        <w:t>if the information is given in the course of providing a financial product to a person as a retail client or to persons as retail clients—the benefit is given by that person, or those persons.</w:t>
      </w:r>
    </w:p>
    <w:p w14:paraId="119D040A" w14:textId="77777777" w:rsidR="00E93F58" w:rsidRPr="00283424" w:rsidRDefault="00E93F58" w:rsidP="00B50726">
      <w:pPr>
        <w:pStyle w:val="ActHead5"/>
      </w:pPr>
      <w:bookmarkStart w:id="1186" w:name="_Toc152054571"/>
      <w:bookmarkStart w:id="1187" w:name="_Toc158712387"/>
      <w:r w:rsidRPr="006F296E">
        <w:rPr>
          <w:rStyle w:val="CharSectno"/>
        </w:rPr>
        <w:lastRenderedPageBreak/>
        <w:t>7.7A.11D</w:t>
      </w:r>
      <w:r w:rsidRPr="00283424">
        <w:t xml:space="preserve">  Circumstances in which benefits in relation to dealings in life risk insurance products are not conflicted remuneration</w:t>
      </w:r>
      <w:bookmarkEnd w:id="1186"/>
      <w:bookmarkEnd w:id="1187"/>
    </w:p>
    <w:p w14:paraId="4FB0BFFC" w14:textId="77777777" w:rsidR="00E93F58" w:rsidRPr="00283424" w:rsidRDefault="00E93F58" w:rsidP="00B50726">
      <w:pPr>
        <w:pStyle w:val="SubsectionHead"/>
      </w:pPr>
      <w:r w:rsidRPr="00283424">
        <w:t>Monetary benefits</w:t>
      </w:r>
    </w:p>
    <w:p w14:paraId="4AC203E8" w14:textId="77777777" w:rsidR="00E93F58" w:rsidRPr="00283424" w:rsidRDefault="00E93F58" w:rsidP="00B50726">
      <w:pPr>
        <w:pStyle w:val="subsection"/>
      </w:pPr>
      <w:r w:rsidRPr="00283424">
        <w:tab/>
        <w:t>(1)</w:t>
      </w:r>
      <w:r w:rsidRPr="00283424">
        <w:tab/>
        <w:t xml:space="preserve">Despite subregulation 7.7A.11B(2), a monetary benefit given to a financial services licensee, or a representative of a financial services licensee, in relation to a dealing in a life risk insurance product with a person as a retail client, or dealings in life risk insurance products with persons as retail clients, is not </w:t>
      </w:r>
      <w:r w:rsidRPr="00283424">
        <w:rPr>
          <w:b/>
          <w:i/>
        </w:rPr>
        <w:t>conflicted remuneration</w:t>
      </w:r>
      <w:r w:rsidRPr="00283424">
        <w:t xml:space="preserve"> if:</w:t>
      </w:r>
    </w:p>
    <w:p w14:paraId="101CC190" w14:textId="77777777" w:rsidR="00E93F58" w:rsidRPr="00283424" w:rsidRDefault="00E93F58" w:rsidP="00B50726">
      <w:pPr>
        <w:pStyle w:val="paragraph"/>
      </w:pPr>
      <w:r w:rsidRPr="00283424">
        <w:tab/>
        <w:t>(a)</w:t>
      </w:r>
      <w:r w:rsidRPr="00283424">
        <w:tab/>
        <w:t>because of the nature of the benefit or the circumstances in which it is given, the benefit could not reasonably be expected to influence:</w:t>
      </w:r>
    </w:p>
    <w:p w14:paraId="3A3A6277" w14:textId="77777777" w:rsidR="00E93F58" w:rsidRPr="00283424" w:rsidRDefault="00E93F58" w:rsidP="00B50726">
      <w:pPr>
        <w:pStyle w:val="paragraphsub"/>
      </w:pPr>
      <w:r w:rsidRPr="00283424">
        <w:tab/>
        <w:t>(i)</w:t>
      </w:r>
      <w:r w:rsidRPr="00283424">
        <w:tab/>
        <w:t>whether the licensee or representative deals in the life risk insurance product, or life risk insurance products; or</w:t>
      </w:r>
    </w:p>
    <w:p w14:paraId="6CE04F10" w14:textId="77777777" w:rsidR="00E93F58" w:rsidRPr="00283424" w:rsidRDefault="00E93F58" w:rsidP="00B50726">
      <w:pPr>
        <w:pStyle w:val="paragraphsub"/>
      </w:pPr>
      <w:r w:rsidRPr="00283424">
        <w:tab/>
        <w:t>(ii)</w:t>
      </w:r>
      <w:r w:rsidRPr="00283424">
        <w:tab/>
        <w:t>the way in which the licensee or representative deals in the life risk insurance product, or life risk insurance products; or</w:t>
      </w:r>
    </w:p>
    <w:p w14:paraId="7445FEDD" w14:textId="77777777" w:rsidR="00E93F58" w:rsidRPr="00BE1284" w:rsidRDefault="00E93F58" w:rsidP="00153709">
      <w:pPr>
        <w:pStyle w:val="paragraph"/>
      </w:pPr>
      <w:r w:rsidRPr="00BE1284">
        <w:tab/>
        <w:t>(b)</w:t>
      </w:r>
      <w:r w:rsidRPr="00BE1284">
        <w:tab/>
        <w:t xml:space="preserve">none of the products is a life risk insurance product covered by </w:t>
      </w:r>
      <w:r>
        <w:t>subsection 9</w:t>
      </w:r>
      <w:r w:rsidRPr="00BE1284">
        <w:t>63B(2) of the Act and either:</w:t>
      </w:r>
    </w:p>
    <w:p w14:paraId="3C4F4D69" w14:textId="77777777" w:rsidR="00E93F58" w:rsidRPr="00BE1284" w:rsidRDefault="00E93F58" w:rsidP="00153709">
      <w:pPr>
        <w:pStyle w:val="paragraphsub"/>
      </w:pPr>
      <w:r w:rsidRPr="00BE1284">
        <w:tab/>
        <w:t>(i)</w:t>
      </w:r>
      <w:r w:rsidRPr="00BE1284">
        <w:tab/>
        <w:t>the benefit ratio for the benefit is the same for the year in which the product or products are issued as it is for each year in which the product or products are continued; or</w:t>
      </w:r>
    </w:p>
    <w:p w14:paraId="495988FD" w14:textId="77777777" w:rsidR="00E93F58" w:rsidRPr="00BE1284" w:rsidRDefault="00E93F58" w:rsidP="00153709">
      <w:pPr>
        <w:pStyle w:val="paragraphsub"/>
      </w:pPr>
      <w:r w:rsidRPr="00BE1284">
        <w:tab/>
        <w:t>(ii)</w:t>
      </w:r>
      <w:r w:rsidRPr="00BE1284">
        <w:tab/>
        <w:t>the benefit ratio requirements and clawback requirements are satisfied in relation to the benefit; or</w:t>
      </w:r>
    </w:p>
    <w:p w14:paraId="0AE93591" w14:textId="77777777" w:rsidR="00E93F58" w:rsidRPr="00283424" w:rsidRDefault="00E93F58" w:rsidP="00B50726">
      <w:pPr>
        <w:pStyle w:val="paragraph"/>
      </w:pPr>
      <w:r w:rsidRPr="00283424">
        <w:tab/>
        <w:t>(c)</w:t>
      </w:r>
      <w:r w:rsidRPr="00283424">
        <w:tab/>
        <w:t>the benefit is given to the licensee or representative in relation to consumer credit insurance; or</w:t>
      </w:r>
    </w:p>
    <w:p w14:paraId="2FB8C57B" w14:textId="77777777" w:rsidR="00E93F58" w:rsidRPr="00283424" w:rsidRDefault="00E93F58" w:rsidP="00B50726">
      <w:pPr>
        <w:pStyle w:val="paragraph"/>
      </w:pPr>
      <w:r w:rsidRPr="00283424">
        <w:tab/>
        <w:t>(d)</w:t>
      </w:r>
      <w:r w:rsidRPr="00283424">
        <w:tab/>
        <w:t>the benefit is given to the licensee or representative by the retail client, or retail clients; or</w:t>
      </w:r>
    </w:p>
    <w:p w14:paraId="5E7CD64D" w14:textId="77777777" w:rsidR="00E93F58" w:rsidRPr="00283424" w:rsidRDefault="00E93F58" w:rsidP="00B50726">
      <w:pPr>
        <w:pStyle w:val="paragraph"/>
      </w:pPr>
      <w:r w:rsidRPr="00283424">
        <w:tab/>
        <w:t>(e)</w:t>
      </w:r>
      <w:r w:rsidRPr="00283424">
        <w:tab/>
        <w:t>the benefit is paid to the licensee as part of the purchase or sale of all or part of the licensee’s business, or to the representative as part of the purchase or sale of all or part of the representative’s business.</w:t>
      </w:r>
    </w:p>
    <w:p w14:paraId="763620E9" w14:textId="77777777" w:rsidR="00E93F58" w:rsidRPr="00283424" w:rsidRDefault="00E93F58" w:rsidP="00B50726">
      <w:pPr>
        <w:pStyle w:val="SubsectionHead"/>
      </w:pPr>
      <w:r w:rsidRPr="00283424">
        <w:t>Non</w:t>
      </w:r>
      <w:r>
        <w:noBreakHyphen/>
      </w:r>
      <w:r w:rsidRPr="00283424">
        <w:t>monetary benefits</w:t>
      </w:r>
    </w:p>
    <w:p w14:paraId="15997BCA" w14:textId="77777777" w:rsidR="00E93F58" w:rsidRPr="00283424" w:rsidRDefault="00E93F58" w:rsidP="00B50726">
      <w:pPr>
        <w:pStyle w:val="subsection"/>
      </w:pPr>
      <w:r w:rsidRPr="00283424">
        <w:tab/>
        <w:t>(2)</w:t>
      </w:r>
      <w:r w:rsidRPr="00283424">
        <w:tab/>
        <w:t>Despite subregulation 7.7A.11B(2), a non</w:t>
      </w:r>
      <w:r>
        <w:noBreakHyphen/>
      </w:r>
      <w:r w:rsidRPr="00283424">
        <w:t xml:space="preserve">monetary benefit given to a financial services licensee, or a representative of a financial services licensee, in relation to a dealing in a life risk insurance product with a person as a retail client, or dealings in life risk insurance products with persons as retail clients, is not </w:t>
      </w:r>
      <w:r w:rsidRPr="00283424">
        <w:rPr>
          <w:b/>
          <w:i/>
        </w:rPr>
        <w:t>conflicted remuneration</w:t>
      </w:r>
      <w:r w:rsidRPr="00283424">
        <w:t xml:space="preserve"> if:</w:t>
      </w:r>
    </w:p>
    <w:p w14:paraId="3C2EB2A6" w14:textId="77777777" w:rsidR="00E93F58" w:rsidRPr="00283424" w:rsidRDefault="00E93F58" w:rsidP="00B50726">
      <w:pPr>
        <w:pStyle w:val="paragraph"/>
      </w:pPr>
      <w:r w:rsidRPr="00283424">
        <w:tab/>
        <w:t>(a)</w:t>
      </w:r>
      <w:r w:rsidRPr="00283424">
        <w:tab/>
        <w:t>because of the nature of the benefit or the circumstances in which it is given, the benefit could not reasonably be expected to influence:</w:t>
      </w:r>
    </w:p>
    <w:p w14:paraId="668861F8" w14:textId="77777777" w:rsidR="00E93F58" w:rsidRPr="00283424" w:rsidRDefault="00E93F58" w:rsidP="00B50726">
      <w:pPr>
        <w:pStyle w:val="paragraphsub"/>
      </w:pPr>
      <w:r w:rsidRPr="00283424">
        <w:tab/>
        <w:t>(i)</w:t>
      </w:r>
      <w:r w:rsidRPr="00283424">
        <w:tab/>
        <w:t>whether the licensee or representative deals in the life risk insurance product, or life risk insurance products; or</w:t>
      </w:r>
    </w:p>
    <w:p w14:paraId="192354DE" w14:textId="77777777" w:rsidR="00E93F58" w:rsidRPr="00283424" w:rsidRDefault="00E93F58" w:rsidP="00B50726">
      <w:pPr>
        <w:pStyle w:val="paragraphsub"/>
      </w:pPr>
      <w:r w:rsidRPr="00283424">
        <w:tab/>
        <w:t>(ii)</w:t>
      </w:r>
      <w:r w:rsidRPr="00283424">
        <w:tab/>
        <w:t>the way in which the licensee or representative deals in the life risk insurance product, or life risk insurance products; or</w:t>
      </w:r>
    </w:p>
    <w:p w14:paraId="7B7B8018" w14:textId="77777777" w:rsidR="00E93F58" w:rsidRPr="00283424" w:rsidRDefault="00E93F58" w:rsidP="00B50726">
      <w:pPr>
        <w:pStyle w:val="paragraph"/>
      </w:pPr>
      <w:r w:rsidRPr="00283424">
        <w:tab/>
        <w:t>(b)</w:t>
      </w:r>
      <w:r w:rsidRPr="00283424">
        <w:tab/>
        <w:t>each of the following is satisfied:</w:t>
      </w:r>
    </w:p>
    <w:p w14:paraId="4BEE0271" w14:textId="77777777" w:rsidR="00E93F58" w:rsidRPr="00283424" w:rsidRDefault="00E93F58" w:rsidP="00B50726">
      <w:pPr>
        <w:pStyle w:val="paragraphsub"/>
      </w:pPr>
      <w:r w:rsidRPr="00283424">
        <w:tab/>
        <w:t>(i)</w:t>
      </w:r>
      <w:r w:rsidRPr="00283424">
        <w:tab/>
        <w:t>the licensee or representative is the final recipient of the benefit, or all or part of the benefit passes through the licensee or representative to another financial services licensee, or representative of a financial services licensee, who is the final recipient of the benefit;</w:t>
      </w:r>
    </w:p>
    <w:p w14:paraId="04E08E48" w14:textId="77777777" w:rsidR="00E93F58" w:rsidRPr="00283424" w:rsidRDefault="00E93F58" w:rsidP="00B50726">
      <w:pPr>
        <w:pStyle w:val="paragraphsub"/>
      </w:pPr>
      <w:r w:rsidRPr="00283424">
        <w:tab/>
        <w:t>(ii)</w:t>
      </w:r>
      <w:r w:rsidRPr="00283424">
        <w:tab/>
        <w:t>the value of the benefit in the hands of each final recipient is less than $300;</w:t>
      </w:r>
    </w:p>
    <w:p w14:paraId="35BF22D8" w14:textId="77777777" w:rsidR="00E93F58" w:rsidRPr="00283424" w:rsidRDefault="00E93F58" w:rsidP="00B50726">
      <w:pPr>
        <w:pStyle w:val="paragraphsub"/>
      </w:pPr>
      <w:r w:rsidRPr="00283424">
        <w:tab/>
        <w:t>(iii)</w:t>
      </w:r>
      <w:r w:rsidRPr="00283424">
        <w:tab/>
        <w:t>identical or similar benefits are not given on a frequent or regular basis; or</w:t>
      </w:r>
    </w:p>
    <w:p w14:paraId="00A88546" w14:textId="77777777" w:rsidR="00E93F58" w:rsidRPr="00283424" w:rsidRDefault="00E93F58" w:rsidP="00B50726">
      <w:pPr>
        <w:pStyle w:val="paragraph"/>
      </w:pPr>
      <w:r w:rsidRPr="00283424">
        <w:tab/>
        <w:t>(c)</w:t>
      </w:r>
      <w:r w:rsidRPr="00283424">
        <w:tab/>
        <w:t>each of the following is satisfied:</w:t>
      </w:r>
    </w:p>
    <w:p w14:paraId="5C0D88DF" w14:textId="77777777" w:rsidR="00E93F58" w:rsidRPr="00283424" w:rsidRDefault="00E93F58" w:rsidP="00B50726">
      <w:pPr>
        <w:pStyle w:val="paragraphsub"/>
      </w:pPr>
      <w:r w:rsidRPr="00283424">
        <w:tab/>
        <w:t>(i)</w:t>
      </w:r>
      <w:r w:rsidRPr="00283424">
        <w:tab/>
        <w:t>the benefit has a genuine education or training purpose;</w:t>
      </w:r>
    </w:p>
    <w:p w14:paraId="0E48C6EE" w14:textId="77777777" w:rsidR="00E93F58" w:rsidRPr="00283424" w:rsidRDefault="00E93F58" w:rsidP="00B50726">
      <w:pPr>
        <w:pStyle w:val="paragraphsub"/>
      </w:pPr>
      <w:r w:rsidRPr="00283424">
        <w:tab/>
        <w:t>(ii)</w:t>
      </w:r>
      <w:r w:rsidRPr="00283424">
        <w:tab/>
        <w:t>the benefit is relevant to dealing in life risk insurance products;</w:t>
      </w:r>
    </w:p>
    <w:p w14:paraId="19045754" w14:textId="77777777" w:rsidR="00E93F58" w:rsidRPr="00283424" w:rsidRDefault="00E93F58" w:rsidP="00B50726">
      <w:pPr>
        <w:pStyle w:val="paragraphsub"/>
      </w:pPr>
      <w:r w:rsidRPr="00283424">
        <w:tab/>
        <w:t>(iii)</w:t>
      </w:r>
      <w:r w:rsidRPr="00283424">
        <w:tab/>
        <w:t>if the education or training is provided through an education or training course (within the meaning of regulation 7.7A.14)—subregulations 7.7A.14(3) and (4) are satisfied in relation to the education or training;</w:t>
      </w:r>
    </w:p>
    <w:p w14:paraId="5696F433" w14:textId="77777777" w:rsidR="00E93F58" w:rsidRPr="00283424" w:rsidRDefault="00E93F58" w:rsidP="00B50726">
      <w:pPr>
        <w:pStyle w:val="paragraphsub"/>
      </w:pPr>
      <w:r w:rsidRPr="00283424">
        <w:tab/>
        <w:t>(iv)</w:t>
      </w:r>
      <w:r w:rsidRPr="00283424">
        <w:tab/>
        <w:t>if the education or training is provided other than through an education or training course—the dominant purpose of the benefit is education and training; or</w:t>
      </w:r>
    </w:p>
    <w:p w14:paraId="78233BB0" w14:textId="77777777" w:rsidR="00E93F58" w:rsidRPr="00283424" w:rsidRDefault="00E93F58" w:rsidP="00B50726">
      <w:pPr>
        <w:pStyle w:val="paragraph"/>
      </w:pPr>
      <w:r w:rsidRPr="00283424">
        <w:tab/>
        <w:t>(d)</w:t>
      </w:r>
      <w:r w:rsidRPr="00283424">
        <w:tab/>
        <w:t>each of the following is satisfied:</w:t>
      </w:r>
    </w:p>
    <w:p w14:paraId="7AB5D61B" w14:textId="77777777" w:rsidR="00E93F58" w:rsidRPr="00283424" w:rsidRDefault="00E93F58" w:rsidP="00B50726">
      <w:pPr>
        <w:pStyle w:val="paragraphsub"/>
      </w:pPr>
      <w:r w:rsidRPr="00283424">
        <w:tab/>
        <w:t>(i)</w:t>
      </w:r>
      <w:r w:rsidRPr="00283424">
        <w:tab/>
        <w:t>the benefit is the provision of information technology software or support;</w:t>
      </w:r>
    </w:p>
    <w:p w14:paraId="2CE3BDB9" w14:textId="77777777" w:rsidR="00E93F58" w:rsidRPr="00283424" w:rsidRDefault="00E93F58" w:rsidP="00B50726">
      <w:pPr>
        <w:pStyle w:val="paragraphsub"/>
      </w:pPr>
      <w:r w:rsidRPr="00283424">
        <w:tab/>
        <w:t>(ii)</w:t>
      </w:r>
      <w:r w:rsidRPr="00283424">
        <w:tab/>
        <w:t>the benefit is relevant to dealing in life risk insurance products; or</w:t>
      </w:r>
    </w:p>
    <w:p w14:paraId="37F23C0C" w14:textId="77777777" w:rsidR="00E93F58" w:rsidRPr="00283424" w:rsidRDefault="00E93F58" w:rsidP="00B50726">
      <w:pPr>
        <w:pStyle w:val="paragraph"/>
      </w:pPr>
      <w:r w:rsidRPr="00283424">
        <w:tab/>
        <w:t>(e)</w:t>
      </w:r>
      <w:r w:rsidRPr="00283424">
        <w:tab/>
        <w:t>the benefit is given to the licensee or representative by the retail client, or retail clients.</w:t>
      </w:r>
    </w:p>
    <w:p w14:paraId="62F66A08" w14:textId="77777777" w:rsidR="00E93F58" w:rsidRPr="00283424" w:rsidRDefault="00E93F58" w:rsidP="00B50726">
      <w:pPr>
        <w:pStyle w:val="ActHead4"/>
      </w:pPr>
      <w:bookmarkStart w:id="1188" w:name="_Toc152054572"/>
      <w:bookmarkStart w:id="1189" w:name="_Toc158712388"/>
      <w:r w:rsidRPr="006F296E">
        <w:rPr>
          <w:rStyle w:val="CharSubdNo"/>
        </w:rPr>
        <w:lastRenderedPageBreak/>
        <w:t>Subdivision 2</w:t>
      </w:r>
      <w:r w:rsidRPr="00283424">
        <w:t>—</w:t>
      </w:r>
      <w:r w:rsidRPr="006F296E">
        <w:rPr>
          <w:rStyle w:val="CharSubdText"/>
        </w:rPr>
        <w:t>Monetary benefits that are not conflicted remuneration</w:t>
      </w:r>
      <w:bookmarkEnd w:id="1188"/>
      <w:bookmarkEnd w:id="1189"/>
    </w:p>
    <w:p w14:paraId="224E8E4C" w14:textId="77777777" w:rsidR="00E93F58" w:rsidRPr="00283424" w:rsidRDefault="00E93F58" w:rsidP="00B50726">
      <w:pPr>
        <w:pStyle w:val="ActHead5"/>
      </w:pPr>
      <w:bookmarkStart w:id="1190" w:name="_Toc152054573"/>
      <w:bookmarkStart w:id="1191" w:name="_Toc158712389"/>
      <w:r w:rsidRPr="006F296E">
        <w:rPr>
          <w:rStyle w:val="CharSectno"/>
        </w:rPr>
        <w:t>7.7A.12</w:t>
      </w:r>
      <w:r w:rsidRPr="00283424">
        <w:t xml:space="preserve">  What subdivision is about</w:t>
      </w:r>
      <w:bookmarkEnd w:id="1190"/>
      <w:bookmarkEnd w:id="1191"/>
    </w:p>
    <w:p w14:paraId="3AB5C7D6" w14:textId="77777777" w:rsidR="00E93F58" w:rsidRPr="00283424" w:rsidRDefault="00E93F58" w:rsidP="00B50726">
      <w:pPr>
        <w:pStyle w:val="subsection"/>
      </w:pPr>
      <w:r w:rsidRPr="00283424">
        <w:tab/>
      </w:r>
      <w:r w:rsidRPr="00283424">
        <w:tab/>
        <w:t>This subdivision:</w:t>
      </w:r>
    </w:p>
    <w:p w14:paraId="6AC0287E" w14:textId="77777777" w:rsidR="00E93F58" w:rsidRPr="00283424" w:rsidRDefault="00E93F58" w:rsidP="00B50726">
      <w:pPr>
        <w:pStyle w:val="paragraph"/>
      </w:pPr>
      <w:r w:rsidRPr="00283424">
        <w:tab/>
        <w:t>(a)</w:t>
      </w:r>
      <w:r w:rsidRPr="00283424">
        <w:tab/>
        <w:t>is made for paragraph 963B(1)(e) of the Act; and</w:t>
      </w:r>
    </w:p>
    <w:p w14:paraId="68DE5C1D" w14:textId="77777777" w:rsidR="00E93F58" w:rsidRPr="00283424" w:rsidRDefault="00E93F58" w:rsidP="00B50726">
      <w:pPr>
        <w:pStyle w:val="paragraph"/>
      </w:pPr>
      <w:r w:rsidRPr="00283424">
        <w:tab/>
        <w:t>(b)</w:t>
      </w:r>
      <w:r w:rsidRPr="00283424">
        <w:tab/>
        <w:t xml:space="preserve">prescribes the circumstances in which a monetary benefit given to a financial services licensee, or representative of a financial services licensee, (the </w:t>
      </w:r>
      <w:r w:rsidRPr="00283424">
        <w:rPr>
          <w:b/>
          <w:i/>
        </w:rPr>
        <w:t>provider</w:t>
      </w:r>
      <w:r w:rsidRPr="00283424">
        <w:t>) who provides financial product advice to persons as retail clients is not conflicted remuneration.</w:t>
      </w:r>
    </w:p>
    <w:p w14:paraId="3580A56B" w14:textId="77777777" w:rsidR="00E93F58" w:rsidRPr="00283424" w:rsidRDefault="00E93F58" w:rsidP="00B50726">
      <w:pPr>
        <w:pStyle w:val="notetext"/>
      </w:pPr>
      <w:r w:rsidRPr="00283424">
        <w:t>Note 2:</w:t>
      </w:r>
      <w:r w:rsidRPr="00283424">
        <w:tab/>
        <w:t>A reference in this Division to giving a benefit includes a reference to causing or authorising it to be given (see section 52 of the Act).</w:t>
      </w:r>
    </w:p>
    <w:p w14:paraId="2356CE64" w14:textId="77777777" w:rsidR="00E93F58" w:rsidRPr="00283424" w:rsidRDefault="00E93F58" w:rsidP="00B50726">
      <w:pPr>
        <w:pStyle w:val="notetext"/>
      </w:pPr>
      <w:r w:rsidRPr="00283424">
        <w:t>Note 3:</w:t>
      </w:r>
      <w:r w:rsidRPr="00283424">
        <w:tab/>
        <w:t xml:space="preserve">Under the governing rules of some regulated superannuation funds, a member may seek advice on the basis that the trustee of the fund will pay the licensee or representative for the advice and then recover the amount paid from the assets of the fund attributed to that member. In that case, the member has caused or authorised the amount to be paid to the licensee or representative. If the operation of section 52 of the Act and these regulations means that the payment is not conflicted remuneration, the trustee’s obligations under section 62 of the </w:t>
      </w:r>
      <w:r w:rsidRPr="00283424">
        <w:rPr>
          <w:i/>
        </w:rPr>
        <w:t>Superannuation Industry (Supervision) Act 1993</w:t>
      </w:r>
      <w:r w:rsidRPr="00283424">
        <w:t xml:space="preserve"> (which deals with the purposes for which a trustee may act in maintaining a regulated superannuation fund) will not be affected.</w:t>
      </w:r>
    </w:p>
    <w:p w14:paraId="5438A7F8" w14:textId="77777777" w:rsidR="00E93F58" w:rsidRPr="00283424" w:rsidRDefault="00E93F58" w:rsidP="00B50726">
      <w:pPr>
        <w:pStyle w:val="ActHead5"/>
      </w:pPr>
      <w:bookmarkStart w:id="1192" w:name="_Toc152054574"/>
      <w:bookmarkStart w:id="1193" w:name="_Toc158712390"/>
      <w:r w:rsidRPr="006F296E">
        <w:rPr>
          <w:rStyle w:val="CharSectno"/>
        </w:rPr>
        <w:t>7.7A.12B</w:t>
      </w:r>
      <w:r w:rsidRPr="00283424">
        <w:t xml:space="preserve">  Stamping fees</w:t>
      </w:r>
      <w:bookmarkEnd w:id="1192"/>
      <w:bookmarkEnd w:id="1193"/>
    </w:p>
    <w:p w14:paraId="1C90C68A" w14:textId="77777777" w:rsidR="00E93F58" w:rsidRPr="00283424" w:rsidRDefault="00E93F58" w:rsidP="00B50726">
      <w:pPr>
        <w:pStyle w:val="subsection"/>
      </w:pPr>
      <w:r w:rsidRPr="00283424">
        <w:tab/>
        <w:t>(1)</w:t>
      </w:r>
      <w:r w:rsidRPr="00283424">
        <w:tab/>
        <w:t>A monetary benefit is not conflicted remuneration if:</w:t>
      </w:r>
    </w:p>
    <w:p w14:paraId="791D4FC1" w14:textId="77777777" w:rsidR="00E93F58" w:rsidRPr="00283424" w:rsidRDefault="00E93F58" w:rsidP="00B50726">
      <w:pPr>
        <w:pStyle w:val="paragraph"/>
      </w:pPr>
      <w:r w:rsidRPr="00283424">
        <w:tab/>
        <w:t>(a)</w:t>
      </w:r>
      <w:r w:rsidRPr="00283424">
        <w:tab/>
        <w:t>it is a stamping fee given to facilitate an approved capital raising; and</w:t>
      </w:r>
    </w:p>
    <w:p w14:paraId="7489A515" w14:textId="77777777" w:rsidR="00E93F58" w:rsidRPr="00283424" w:rsidRDefault="00E93F58" w:rsidP="00B50726">
      <w:pPr>
        <w:pStyle w:val="paragraph"/>
      </w:pPr>
      <w:r w:rsidRPr="00283424">
        <w:tab/>
        <w:t>(b)</w:t>
      </w:r>
      <w:r w:rsidRPr="00283424">
        <w:tab/>
        <w:t>in a case where the benefit is given on or after 1 July 2020—the approved capital raising does not relate to an approved financial product that consists of:</w:t>
      </w:r>
    </w:p>
    <w:p w14:paraId="5F8F0E23" w14:textId="77777777" w:rsidR="00E93F58" w:rsidRPr="00283424" w:rsidRDefault="00E93F58" w:rsidP="00B50726">
      <w:pPr>
        <w:pStyle w:val="paragraphsub"/>
      </w:pPr>
      <w:r w:rsidRPr="00283424">
        <w:tab/>
        <w:t>(i)</w:t>
      </w:r>
      <w:r w:rsidRPr="00283424">
        <w:tab/>
        <w:t>interests, or proposed interests, in a company (other than an infrastructure entity) that is listed, or proposed to be listed, and whose main purpose is investing in passive investments; or</w:t>
      </w:r>
    </w:p>
    <w:p w14:paraId="0E1E4A21" w14:textId="77777777" w:rsidR="00E93F58" w:rsidRPr="00283424" w:rsidRDefault="00E93F58" w:rsidP="00B50726">
      <w:pPr>
        <w:pStyle w:val="paragraphsub"/>
      </w:pPr>
      <w:r w:rsidRPr="00283424">
        <w:tab/>
        <w:t>(ii)</w:t>
      </w:r>
      <w:r w:rsidRPr="00283424">
        <w:tab/>
        <w:t>interests, or proposed interests, in a managed investment scheme (other than a real estate investment trust or an infrastructure entity) that is listed or proposed to be listed.</w:t>
      </w:r>
    </w:p>
    <w:p w14:paraId="3B0E9FAB" w14:textId="77777777" w:rsidR="00E93F58" w:rsidRPr="00283424" w:rsidRDefault="00E93F58" w:rsidP="00B50726">
      <w:pPr>
        <w:pStyle w:val="subsection"/>
      </w:pPr>
      <w:r w:rsidRPr="00283424">
        <w:tab/>
        <w:t>(2)</w:t>
      </w:r>
      <w:r w:rsidRPr="00283424">
        <w:tab/>
        <w:t>In this regulation:</w:t>
      </w:r>
    </w:p>
    <w:p w14:paraId="3B102821" w14:textId="77777777" w:rsidR="00E93F58" w:rsidRPr="00283424" w:rsidRDefault="00E93F58" w:rsidP="00B50726">
      <w:pPr>
        <w:pStyle w:val="Definition"/>
      </w:pPr>
      <w:r w:rsidRPr="00283424">
        <w:rPr>
          <w:b/>
          <w:i/>
        </w:rPr>
        <w:t>approved capital raising</w:t>
      </w:r>
      <w:r w:rsidRPr="00283424">
        <w:t xml:space="preserve"> means:</w:t>
      </w:r>
    </w:p>
    <w:p w14:paraId="75E05EFD" w14:textId="77777777" w:rsidR="00E93F58" w:rsidRPr="00283424" w:rsidRDefault="00E93F58" w:rsidP="00B50726">
      <w:pPr>
        <w:pStyle w:val="paragraph"/>
      </w:pPr>
      <w:r w:rsidRPr="00283424">
        <w:tab/>
        <w:t>(a)</w:t>
      </w:r>
      <w:r w:rsidRPr="00283424">
        <w:tab/>
        <w:t>an offer to issue an approved financial product; or</w:t>
      </w:r>
    </w:p>
    <w:p w14:paraId="3BA90A6B" w14:textId="77777777" w:rsidR="00E93F58" w:rsidRPr="00283424" w:rsidRDefault="00E93F58" w:rsidP="00B50726">
      <w:pPr>
        <w:pStyle w:val="paragraph"/>
      </w:pPr>
      <w:r w:rsidRPr="00283424">
        <w:tab/>
        <w:t>(b)</w:t>
      </w:r>
      <w:r w:rsidRPr="00283424">
        <w:tab/>
        <w:t>an offer to sell an approved financial product;</w:t>
      </w:r>
    </w:p>
    <w:p w14:paraId="5F01841C" w14:textId="77777777" w:rsidR="00E93F58" w:rsidRPr="00283424" w:rsidRDefault="00E93F58" w:rsidP="00B50726">
      <w:pPr>
        <w:pStyle w:val="subsection2"/>
      </w:pPr>
      <w:r w:rsidRPr="00283424">
        <w:t>where the purpose of the offer is to raise funds for the person issuing or selling the approved financial product.</w:t>
      </w:r>
    </w:p>
    <w:p w14:paraId="58360CD3" w14:textId="77777777" w:rsidR="00E93F58" w:rsidRPr="00283424" w:rsidRDefault="00E93F58" w:rsidP="00B50726">
      <w:pPr>
        <w:pStyle w:val="Definition"/>
      </w:pPr>
      <w:r w:rsidRPr="00283424">
        <w:rPr>
          <w:b/>
          <w:i/>
        </w:rPr>
        <w:t xml:space="preserve">approved financial product </w:t>
      </w:r>
      <w:r w:rsidRPr="00283424">
        <w:t>means:</w:t>
      </w:r>
    </w:p>
    <w:p w14:paraId="2C96CEA6" w14:textId="77777777" w:rsidR="00E93F58" w:rsidRPr="00283424" w:rsidRDefault="00E93F58" w:rsidP="00B50726">
      <w:pPr>
        <w:pStyle w:val="paragraph"/>
      </w:pPr>
      <w:r w:rsidRPr="00283424">
        <w:tab/>
        <w:t>(a)</w:t>
      </w:r>
      <w:r w:rsidRPr="00283424">
        <w:tab/>
        <w:t>debentures, stocks or bonds that are, or are proposed to be, issued by a government; or</w:t>
      </w:r>
    </w:p>
    <w:p w14:paraId="30828189" w14:textId="77777777" w:rsidR="00E93F58" w:rsidRPr="00283424" w:rsidRDefault="00E93F58" w:rsidP="00B50726">
      <w:pPr>
        <w:pStyle w:val="paragraph"/>
      </w:pPr>
      <w:r w:rsidRPr="00283424">
        <w:tab/>
        <w:t>(b)</w:t>
      </w:r>
      <w:r w:rsidRPr="00283424">
        <w:tab/>
        <w:t>shares in, or debentures of, a body that are, or are proposed to be, quoted on a prescribed financial market; or</w:t>
      </w:r>
    </w:p>
    <w:p w14:paraId="19B02656" w14:textId="77777777" w:rsidR="00E93F58" w:rsidRPr="00283424" w:rsidRDefault="00E93F58" w:rsidP="00B50726">
      <w:pPr>
        <w:pStyle w:val="paragraph"/>
      </w:pPr>
      <w:r w:rsidRPr="00283424">
        <w:tab/>
        <w:t>(c)</w:t>
      </w:r>
      <w:r w:rsidRPr="00283424">
        <w:tab/>
        <w:t>interests in a managed investment scheme that are, or are proposed to be, quoted on a prescribed financial market; or</w:t>
      </w:r>
    </w:p>
    <w:p w14:paraId="15BB6240" w14:textId="77777777" w:rsidR="00E93F58" w:rsidRPr="00283424" w:rsidRDefault="00E93F58" w:rsidP="00B50726">
      <w:pPr>
        <w:pStyle w:val="paragraph"/>
      </w:pPr>
      <w:r w:rsidRPr="00283424">
        <w:tab/>
        <w:t>(d)</w:t>
      </w:r>
      <w:r w:rsidRPr="00283424">
        <w:tab/>
        <w:t>a right to acquire, by way of issue, shares, debentures or interests mentioned in paragraph (b) or (c).</w:t>
      </w:r>
    </w:p>
    <w:p w14:paraId="50B4DCC8" w14:textId="77777777" w:rsidR="00E93F58" w:rsidRPr="00283424" w:rsidRDefault="00E93F58" w:rsidP="00B50726">
      <w:pPr>
        <w:pStyle w:val="Definition"/>
      </w:pPr>
      <w:r w:rsidRPr="00283424">
        <w:rPr>
          <w:b/>
          <w:i/>
        </w:rPr>
        <w:t>infrastructure assets</w:t>
      </w:r>
      <w:r w:rsidRPr="00283424">
        <w:t xml:space="preserve"> means any of the following:</w:t>
      </w:r>
    </w:p>
    <w:p w14:paraId="4586D2F3" w14:textId="77777777" w:rsidR="00E93F58" w:rsidRPr="00283424" w:rsidRDefault="00E93F58" w:rsidP="00B50726">
      <w:pPr>
        <w:pStyle w:val="paragraph"/>
      </w:pPr>
      <w:r w:rsidRPr="00283424">
        <w:tab/>
        <w:t>(a)</w:t>
      </w:r>
      <w:r w:rsidRPr="00283424">
        <w:tab/>
        <w:t>airports;</w:t>
      </w:r>
    </w:p>
    <w:p w14:paraId="60579C80" w14:textId="77777777" w:rsidR="00E93F58" w:rsidRPr="00283424" w:rsidRDefault="00E93F58" w:rsidP="00B50726">
      <w:pPr>
        <w:pStyle w:val="paragraph"/>
      </w:pPr>
      <w:r w:rsidRPr="00283424">
        <w:tab/>
        <w:t>(b)</w:t>
      </w:r>
      <w:r w:rsidRPr="00283424">
        <w:tab/>
        <w:t>electricity generation, transmission or distribution facilities;</w:t>
      </w:r>
    </w:p>
    <w:p w14:paraId="1C1BCDBE" w14:textId="77777777" w:rsidR="00E93F58" w:rsidRPr="00283424" w:rsidRDefault="00E93F58" w:rsidP="00B50726">
      <w:pPr>
        <w:pStyle w:val="paragraph"/>
      </w:pPr>
      <w:r w:rsidRPr="00283424">
        <w:tab/>
        <w:t>(c)</w:t>
      </w:r>
      <w:r w:rsidRPr="00283424">
        <w:tab/>
        <w:t>gas transmission or distribution facilities;</w:t>
      </w:r>
    </w:p>
    <w:p w14:paraId="71B0B36F" w14:textId="77777777" w:rsidR="00E93F58" w:rsidRPr="00283424" w:rsidRDefault="00E93F58" w:rsidP="00B50726">
      <w:pPr>
        <w:pStyle w:val="paragraph"/>
      </w:pPr>
      <w:r w:rsidRPr="00283424">
        <w:tab/>
        <w:t>(d)</w:t>
      </w:r>
      <w:r w:rsidRPr="00283424">
        <w:tab/>
        <w:t>hospitals;</w:t>
      </w:r>
    </w:p>
    <w:p w14:paraId="22E0991F" w14:textId="77777777" w:rsidR="00E93F58" w:rsidRPr="00283424" w:rsidRDefault="00E93F58" w:rsidP="00B50726">
      <w:pPr>
        <w:pStyle w:val="paragraph"/>
      </w:pPr>
      <w:r w:rsidRPr="00283424">
        <w:tab/>
        <w:t>(e)</w:t>
      </w:r>
      <w:r w:rsidRPr="00283424">
        <w:tab/>
        <w:t>ports;</w:t>
      </w:r>
    </w:p>
    <w:p w14:paraId="1D5EEE0A" w14:textId="77777777" w:rsidR="00E93F58" w:rsidRPr="00283424" w:rsidRDefault="00E93F58" w:rsidP="00B50726">
      <w:pPr>
        <w:pStyle w:val="paragraph"/>
      </w:pPr>
      <w:r w:rsidRPr="00283424">
        <w:tab/>
        <w:t>(f)</w:t>
      </w:r>
      <w:r w:rsidRPr="00283424">
        <w:tab/>
        <w:t>prisons;</w:t>
      </w:r>
    </w:p>
    <w:p w14:paraId="5DDEBCD0" w14:textId="77777777" w:rsidR="00E93F58" w:rsidRPr="00283424" w:rsidRDefault="00E93F58" w:rsidP="00B50726">
      <w:pPr>
        <w:pStyle w:val="paragraph"/>
      </w:pPr>
      <w:r w:rsidRPr="00283424">
        <w:tab/>
        <w:t>(g)</w:t>
      </w:r>
      <w:r w:rsidRPr="00283424">
        <w:tab/>
        <w:t>railways;</w:t>
      </w:r>
    </w:p>
    <w:p w14:paraId="44FE66D5" w14:textId="77777777" w:rsidR="00E93F58" w:rsidRPr="00283424" w:rsidRDefault="00E93F58" w:rsidP="00B50726">
      <w:pPr>
        <w:pStyle w:val="paragraph"/>
      </w:pPr>
      <w:r w:rsidRPr="00283424">
        <w:tab/>
        <w:t>(h)</w:t>
      </w:r>
      <w:r w:rsidRPr="00283424">
        <w:tab/>
        <w:t>roads;</w:t>
      </w:r>
    </w:p>
    <w:p w14:paraId="6EBBC91A" w14:textId="77777777" w:rsidR="00E93F58" w:rsidRPr="00283424" w:rsidRDefault="00E93F58" w:rsidP="00B50726">
      <w:pPr>
        <w:pStyle w:val="paragraph"/>
      </w:pPr>
      <w:r w:rsidRPr="00283424">
        <w:tab/>
        <w:t>(i)</w:t>
      </w:r>
      <w:r w:rsidRPr="00283424">
        <w:tab/>
        <w:t>sewerage facilities;</w:t>
      </w:r>
    </w:p>
    <w:p w14:paraId="351ECE7A" w14:textId="77777777" w:rsidR="00E93F58" w:rsidRPr="00283424" w:rsidRDefault="00E93F58" w:rsidP="00B50726">
      <w:pPr>
        <w:pStyle w:val="paragraph"/>
      </w:pPr>
      <w:r w:rsidRPr="00283424">
        <w:tab/>
        <w:t>(j)</w:t>
      </w:r>
      <w:r w:rsidRPr="00283424">
        <w:tab/>
        <w:t>telecommunication facilities;</w:t>
      </w:r>
    </w:p>
    <w:p w14:paraId="79E3E4AD" w14:textId="77777777" w:rsidR="00E93F58" w:rsidRPr="00283424" w:rsidRDefault="00E93F58" w:rsidP="00B50726">
      <w:pPr>
        <w:pStyle w:val="paragraph"/>
      </w:pPr>
      <w:r w:rsidRPr="00283424">
        <w:tab/>
        <w:t>(k)</w:t>
      </w:r>
      <w:r w:rsidRPr="00283424">
        <w:tab/>
        <w:t>water supply facilities.</w:t>
      </w:r>
    </w:p>
    <w:p w14:paraId="36C8B031" w14:textId="77777777" w:rsidR="00E93F58" w:rsidRPr="00283424" w:rsidRDefault="00E93F58" w:rsidP="00B50726">
      <w:pPr>
        <w:pStyle w:val="Definition"/>
      </w:pPr>
      <w:r w:rsidRPr="00283424">
        <w:rPr>
          <w:b/>
          <w:i/>
        </w:rPr>
        <w:lastRenderedPageBreak/>
        <w:t>infrastructure entity</w:t>
      </w:r>
      <w:r w:rsidRPr="00283424">
        <w:t xml:space="preserve"> means a company or managed investment scheme whose main purpose is to operate or invest in infrastructure assets.</w:t>
      </w:r>
    </w:p>
    <w:p w14:paraId="4C1C1EA4" w14:textId="77777777" w:rsidR="00E93F58" w:rsidRPr="00283424" w:rsidRDefault="00E93F58" w:rsidP="00B50726">
      <w:pPr>
        <w:pStyle w:val="Definition"/>
      </w:pPr>
      <w:r w:rsidRPr="00283424">
        <w:rPr>
          <w:b/>
          <w:i/>
        </w:rPr>
        <w:t>interest</w:t>
      </w:r>
      <w:r w:rsidRPr="00283424">
        <w:t>, in a company or managed investment scheme, does not include a stapled real estate or infrastructure interest in the company or managed investment scheme.</w:t>
      </w:r>
    </w:p>
    <w:p w14:paraId="6DD0676C" w14:textId="77777777" w:rsidR="00E93F58" w:rsidRPr="00283424" w:rsidRDefault="00E93F58" w:rsidP="00B50726">
      <w:pPr>
        <w:pStyle w:val="Definition"/>
      </w:pPr>
      <w:r w:rsidRPr="00283424">
        <w:rPr>
          <w:b/>
          <w:i/>
        </w:rPr>
        <w:t>passive investments</w:t>
      </w:r>
      <w:r w:rsidRPr="00283424">
        <w:t>, in relation to a company, means any of the following:</w:t>
      </w:r>
    </w:p>
    <w:p w14:paraId="6F1C7F03" w14:textId="77777777" w:rsidR="00E93F58" w:rsidRPr="00283424" w:rsidRDefault="00E93F58" w:rsidP="00B50726">
      <w:pPr>
        <w:pStyle w:val="paragraph"/>
      </w:pPr>
      <w:r w:rsidRPr="00283424">
        <w:tab/>
        <w:t>(a)</w:t>
      </w:r>
      <w:r w:rsidRPr="00283424">
        <w:tab/>
        <w:t>shares, units, options, rights or similar interests;</w:t>
      </w:r>
    </w:p>
    <w:p w14:paraId="33417BC5" w14:textId="77777777" w:rsidR="00E93F58" w:rsidRPr="00283424" w:rsidRDefault="00E93F58" w:rsidP="00B50726">
      <w:pPr>
        <w:pStyle w:val="paragraph"/>
      </w:pPr>
      <w:r w:rsidRPr="00283424">
        <w:tab/>
        <w:t>(b)</w:t>
      </w:r>
      <w:r w:rsidRPr="00283424">
        <w:tab/>
        <w:t>financial instruments (such as loans, debts, debentures, bonds, promissory notes, futures contracts, forward contracts, currency swap contracts and a right or option in respect of a share, security, loan or contract);</w:t>
      </w:r>
    </w:p>
    <w:p w14:paraId="7235FAC5" w14:textId="77777777" w:rsidR="00E93F58" w:rsidRPr="00283424" w:rsidRDefault="00E93F58" w:rsidP="00B50726">
      <w:pPr>
        <w:pStyle w:val="paragraph"/>
      </w:pPr>
      <w:r w:rsidRPr="00283424">
        <w:tab/>
        <w:t>(c)</w:t>
      </w:r>
      <w:r w:rsidRPr="00283424">
        <w:tab/>
        <w:t>an asset whose main use by the company in the course of carrying on its business is to derive interest, an annuity, rent, royalties or foreign exchange gains unless:</w:t>
      </w:r>
    </w:p>
    <w:p w14:paraId="1BE25F57" w14:textId="77777777" w:rsidR="00E93F58" w:rsidRPr="00283424" w:rsidRDefault="00E93F58" w:rsidP="00B50726">
      <w:pPr>
        <w:pStyle w:val="paragraphsub"/>
      </w:pPr>
      <w:r w:rsidRPr="00283424">
        <w:tab/>
        <w:t>(i)</w:t>
      </w:r>
      <w:r w:rsidRPr="00283424">
        <w:tab/>
        <w:t>the asset is an intangible asset and has been substantially developed, altered or improved by the company so that its market value has been substantially enhanced; or</w:t>
      </w:r>
    </w:p>
    <w:p w14:paraId="5670452D" w14:textId="77777777" w:rsidR="00E93F58" w:rsidRPr="00283424" w:rsidRDefault="00E93F58" w:rsidP="00B50726">
      <w:pPr>
        <w:pStyle w:val="paragraphsub"/>
      </w:pPr>
      <w:r w:rsidRPr="00283424">
        <w:tab/>
        <w:t>(ii)</w:t>
      </w:r>
      <w:r w:rsidRPr="00283424">
        <w:tab/>
        <w:t>its main use for deriving rent was only temporary;</w:t>
      </w:r>
    </w:p>
    <w:p w14:paraId="2C1AAE82" w14:textId="77777777" w:rsidR="00E93F58" w:rsidRPr="00283424" w:rsidRDefault="00E93F58" w:rsidP="00B50726">
      <w:pPr>
        <w:pStyle w:val="paragraph"/>
      </w:pPr>
      <w:r w:rsidRPr="00283424">
        <w:tab/>
        <w:t>(d)</w:t>
      </w:r>
      <w:r w:rsidRPr="00283424">
        <w:tab/>
        <w:t>goodwill.</w:t>
      </w:r>
    </w:p>
    <w:p w14:paraId="16A57EEE" w14:textId="77777777" w:rsidR="00E93F58" w:rsidRPr="00283424" w:rsidRDefault="00E93F58" w:rsidP="00B50726">
      <w:pPr>
        <w:pStyle w:val="Definition"/>
      </w:pPr>
      <w:r w:rsidRPr="00283424">
        <w:rPr>
          <w:b/>
          <w:i/>
        </w:rPr>
        <w:t>real estate investment trust</w:t>
      </w:r>
      <w:r w:rsidRPr="00283424">
        <w:t xml:space="preserve"> means a managed investment scheme whose main purpose is to invest in real property.</w:t>
      </w:r>
    </w:p>
    <w:p w14:paraId="660331CC" w14:textId="77777777" w:rsidR="00E93F58" w:rsidRPr="00283424" w:rsidRDefault="00E93F58" w:rsidP="00B50726">
      <w:pPr>
        <w:pStyle w:val="Definition"/>
      </w:pPr>
      <w:r w:rsidRPr="00283424">
        <w:rPr>
          <w:b/>
          <w:i/>
        </w:rPr>
        <w:t>stamping fee</w:t>
      </w:r>
      <w:r w:rsidRPr="00283424">
        <w:t xml:space="preserve"> means a fee, or a part of a fee:</w:t>
      </w:r>
    </w:p>
    <w:p w14:paraId="239A47F0" w14:textId="77777777" w:rsidR="00E93F58" w:rsidRPr="00283424" w:rsidRDefault="00E93F58" w:rsidP="00B50726">
      <w:pPr>
        <w:pStyle w:val="paragraph"/>
      </w:pPr>
      <w:r w:rsidRPr="00283424">
        <w:tab/>
        <w:t>(a)</w:t>
      </w:r>
      <w:r w:rsidRPr="00283424">
        <w:tab/>
        <w:t>that a person, including an issuer of a financial product, or a person acting on behalf of the issuer, pays either directly or indirectly to a provider in connection with:</w:t>
      </w:r>
    </w:p>
    <w:p w14:paraId="70C67A15" w14:textId="77777777" w:rsidR="00E93F58" w:rsidRPr="00283424" w:rsidRDefault="00E93F58" w:rsidP="00B50726">
      <w:pPr>
        <w:pStyle w:val="paragraphsub"/>
      </w:pPr>
      <w:r w:rsidRPr="00283424">
        <w:tab/>
        <w:t>(i)</w:t>
      </w:r>
      <w:r w:rsidRPr="00283424">
        <w:tab/>
        <w:t>an offer by the issuer to issue the financial product; or</w:t>
      </w:r>
    </w:p>
    <w:p w14:paraId="094664CE" w14:textId="77777777" w:rsidR="00E93F58" w:rsidRPr="00283424" w:rsidRDefault="00E93F58" w:rsidP="00B50726">
      <w:pPr>
        <w:pStyle w:val="paragraphsub"/>
      </w:pPr>
      <w:r w:rsidRPr="00283424">
        <w:tab/>
        <w:t>(ii)</w:t>
      </w:r>
      <w:r w:rsidRPr="00283424">
        <w:tab/>
        <w:t>an invitation by the issuer for an application to issue the financial product; or</w:t>
      </w:r>
    </w:p>
    <w:p w14:paraId="6C95D8F9" w14:textId="77777777" w:rsidR="00E93F58" w:rsidRPr="00283424" w:rsidRDefault="00E93F58" w:rsidP="00B50726">
      <w:pPr>
        <w:pStyle w:val="paragraph"/>
      </w:pPr>
      <w:r w:rsidRPr="00283424">
        <w:tab/>
        <w:t>(b)</w:t>
      </w:r>
      <w:r w:rsidRPr="00283424">
        <w:tab/>
        <w:t>that a person, including a holder of a financial product, or person acting on behalf of the holder, pays either directly or indirectly to a provider in connection with:</w:t>
      </w:r>
    </w:p>
    <w:p w14:paraId="4BB1B3C1" w14:textId="77777777" w:rsidR="00E93F58" w:rsidRPr="00283424" w:rsidRDefault="00E93F58" w:rsidP="00B50726">
      <w:pPr>
        <w:pStyle w:val="paragraphsub"/>
      </w:pPr>
      <w:r w:rsidRPr="00283424">
        <w:tab/>
        <w:t>(i)</w:t>
      </w:r>
      <w:r w:rsidRPr="00283424">
        <w:tab/>
        <w:t>an offer by the holder to sell the financial product; or</w:t>
      </w:r>
    </w:p>
    <w:p w14:paraId="7B49D125" w14:textId="77777777" w:rsidR="00E93F58" w:rsidRPr="00283424" w:rsidRDefault="00E93F58" w:rsidP="00B50726">
      <w:pPr>
        <w:pStyle w:val="paragraphsub"/>
      </w:pPr>
      <w:r w:rsidRPr="00283424">
        <w:tab/>
        <w:t>(ii)</w:t>
      </w:r>
      <w:r w:rsidRPr="00283424">
        <w:tab/>
        <w:t>an invitation by the holder for an application to sell the financial product.</w:t>
      </w:r>
    </w:p>
    <w:p w14:paraId="59E97712" w14:textId="77777777" w:rsidR="00E93F58" w:rsidRPr="00283424" w:rsidRDefault="00E93F58" w:rsidP="00B50726">
      <w:pPr>
        <w:pStyle w:val="Definition"/>
      </w:pPr>
      <w:r w:rsidRPr="00283424">
        <w:rPr>
          <w:b/>
          <w:i/>
        </w:rPr>
        <w:t>stapled real estate or infrastructure interest</w:t>
      </w:r>
      <w:r w:rsidRPr="00283424">
        <w:t xml:space="preserve">: an interest is a </w:t>
      </w:r>
      <w:r w:rsidRPr="00283424">
        <w:rPr>
          <w:b/>
          <w:i/>
        </w:rPr>
        <w:t>stapled real estate or infrastructure interest</w:t>
      </w:r>
      <w:r w:rsidRPr="00283424">
        <w:t xml:space="preserve"> if:</w:t>
      </w:r>
    </w:p>
    <w:p w14:paraId="6C89C67A" w14:textId="77777777" w:rsidR="00E93F58" w:rsidRPr="00283424" w:rsidRDefault="00E93F58" w:rsidP="00B50726">
      <w:pPr>
        <w:pStyle w:val="paragraph"/>
      </w:pPr>
      <w:r w:rsidRPr="00283424">
        <w:tab/>
        <w:t>(a)</w:t>
      </w:r>
      <w:r w:rsidRPr="00283424">
        <w:tab/>
        <w:t>the interest is an interest in a company or managed investment scheme; and</w:t>
      </w:r>
    </w:p>
    <w:p w14:paraId="7C902775" w14:textId="77777777" w:rsidR="00E93F58" w:rsidRPr="00283424" w:rsidRDefault="00E93F58" w:rsidP="00B50726">
      <w:pPr>
        <w:pStyle w:val="paragraph"/>
      </w:pPr>
      <w:r w:rsidRPr="00283424">
        <w:tab/>
        <w:t>(b)</w:t>
      </w:r>
      <w:r w:rsidRPr="00283424">
        <w:tab/>
        <w:t>the interest can only be transferred together with one or more other interests in one or more companies, managed investment schemes or other entities; and</w:t>
      </w:r>
    </w:p>
    <w:p w14:paraId="4146BE7F" w14:textId="77777777" w:rsidR="00E93F58" w:rsidRPr="00283424" w:rsidRDefault="00E93F58" w:rsidP="00B50726">
      <w:pPr>
        <w:pStyle w:val="paragraph"/>
      </w:pPr>
      <w:r w:rsidRPr="00283424">
        <w:tab/>
        <w:t>(c)</w:t>
      </w:r>
      <w:r w:rsidRPr="00283424">
        <w:tab/>
        <w:t>the companies, managed investment schemes or other entities mentioned in paragraphs (a) and (b) are engaging in activities together for the main purpose of:</w:t>
      </w:r>
    </w:p>
    <w:p w14:paraId="5206E5E1" w14:textId="77777777" w:rsidR="00E93F58" w:rsidRPr="00283424" w:rsidRDefault="00E93F58" w:rsidP="00B50726">
      <w:pPr>
        <w:pStyle w:val="paragraphsub"/>
      </w:pPr>
      <w:r w:rsidRPr="00283424">
        <w:tab/>
        <w:t>(i)</w:t>
      </w:r>
      <w:r w:rsidRPr="00283424">
        <w:tab/>
        <w:t>investing in real property; or</w:t>
      </w:r>
    </w:p>
    <w:p w14:paraId="6DADB71C" w14:textId="77777777" w:rsidR="00E93F58" w:rsidRPr="00283424" w:rsidRDefault="00E93F58" w:rsidP="00B50726">
      <w:pPr>
        <w:pStyle w:val="paragraphsub"/>
      </w:pPr>
      <w:r w:rsidRPr="00283424">
        <w:tab/>
        <w:t>(ii)</w:t>
      </w:r>
      <w:r w:rsidRPr="00283424">
        <w:tab/>
        <w:t>operating or investing in infrastructure assets.</w:t>
      </w:r>
    </w:p>
    <w:p w14:paraId="3C56AD3A" w14:textId="77777777" w:rsidR="00E93F58" w:rsidRPr="00283424" w:rsidRDefault="00E93F58" w:rsidP="00B50726">
      <w:pPr>
        <w:pStyle w:val="ActHead5"/>
      </w:pPr>
      <w:bookmarkStart w:id="1194" w:name="_Toc152054575"/>
      <w:bookmarkStart w:id="1195" w:name="_Toc158712391"/>
      <w:r w:rsidRPr="006F296E">
        <w:rPr>
          <w:rStyle w:val="CharSectno"/>
        </w:rPr>
        <w:t>7.7A.12C</w:t>
      </w:r>
      <w:r w:rsidRPr="00283424">
        <w:t xml:space="preserve">  Time</w:t>
      </w:r>
      <w:r>
        <w:noBreakHyphen/>
      </w:r>
      <w:r w:rsidRPr="00283424">
        <w:t>sharing schemes</w:t>
      </w:r>
      <w:bookmarkEnd w:id="1194"/>
      <w:bookmarkEnd w:id="1195"/>
    </w:p>
    <w:p w14:paraId="64404DE1" w14:textId="77777777" w:rsidR="00E93F58" w:rsidRPr="00283424" w:rsidRDefault="00E93F58" w:rsidP="00B50726">
      <w:pPr>
        <w:pStyle w:val="subsection"/>
      </w:pPr>
      <w:r w:rsidRPr="00283424">
        <w:tab/>
      </w:r>
      <w:r w:rsidRPr="00283424">
        <w:tab/>
        <w:t>A monetary benefit is not conflicted remuneration if the benefit is given for advice that relates to an interest in a time</w:t>
      </w:r>
      <w:r>
        <w:noBreakHyphen/>
      </w:r>
      <w:r w:rsidRPr="00283424">
        <w:t>sharing scheme.</w:t>
      </w:r>
    </w:p>
    <w:p w14:paraId="11F89957" w14:textId="77777777" w:rsidR="00E93F58" w:rsidRPr="00283424" w:rsidRDefault="00E93F58" w:rsidP="00B50726">
      <w:pPr>
        <w:pStyle w:val="ActHead5"/>
      </w:pPr>
      <w:bookmarkStart w:id="1196" w:name="_Toc152054576"/>
      <w:bookmarkStart w:id="1197" w:name="_Toc158712392"/>
      <w:r w:rsidRPr="006F296E">
        <w:rPr>
          <w:rStyle w:val="CharSectno"/>
        </w:rPr>
        <w:t>7.7A.12D</w:t>
      </w:r>
      <w:r w:rsidRPr="00283424">
        <w:t xml:space="preserve">  Brokerage fees</w:t>
      </w:r>
      <w:bookmarkEnd w:id="1196"/>
      <w:bookmarkEnd w:id="1197"/>
    </w:p>
    <w:p w14:paraId="091F67F7" w14:textId="77777777" w:rsidR="00E93F58" w:rsidRPr="00283424" w:rsidRDefault="00E93F58" w:rsidP="00B50726">
      <w:pPr>
        <w:pStyle w:val="subsection"/>
        <w:keepNext/>
        <w:keepLines/>
      </w:pPr>
      <w:r w:rsidRPr="00283424">
        <w:tab/>
        <w:t>(1)</w:t>
      </w:r>
      <w:r w:rsidRPr="00283424">
        <w:tab/>
        <w:t>A monetary benefit is not conflicted remuneration if:</w:t>
      </w:r>
    </w:p>
    <w:p w14:paraId="14E41B8A" w14:textId="77777777" w:rsidR="00E93F58" w:rsidRPr="00283424" w:rsidRDefault="00E93F58" w:rsidP="00B50726">
      <w:pPr>
        <w:pStyle w:val="paragraph"/>
      </w:pPr>
      <w:r w:rsidRPr="00283424">
        <w:tab/>
        <w:t>(a)</w:t>
      </w:r>
      <w:r w:rsidRPr="00283424">
        <w:tab/>
        <w:t>the benefit consists of a percentage, of no more than 100%, of a brokerage fee that is given to a provider who is a trading participant of a prescribed financial market or the market known as the ASX24; and</w:t>
      </w:r>
    </w:p>
    <w:p w14:paraId="0E014870" w14:textId="77777777" w:rsidR="00E93F58" w:rsidRPr="00283424" w:rsidRDefault="00E93F58" w:rsidP="00B50726">
      <w:pPr>
        <w:pStyle w:val="paragraph"/>
      </w:pPr>
      <w:r w:rsidRPr="00283424">
        <w:tab/>
        <w:t>(b)</w:t>
      </w:r>
      <w:r w:rsidRPr="00283424">
        <w:tab/>
        <w:t>the provider, directly or indirectly, gives the benefit to a representative of the provider.</w:t>
      </w:r>
    </w:p>
    <w:p w14:paraId="6244B937" w14:textId="77777777" w:rsidR="00E93F58" w:rsidRPr="00283424" w:rsidRDefault="00E93F58" w:rsidP="00B50726">
      <w:pPr>
        <w:pStyle w:val="notetext"/>
      </w:pPr>
      <w:r w:rsidRPr="00283424">
        <w:t>Note 1:</w:t>
      </w:r>
      <w:r w:rsidRPr="00283424">
        <w:tab/>
        <w:t xml:space="preserve">For </w:t>
      </w:r>
      <w:r w:rsidRPr="00283424">
        <w:rPr>
          <w:b/>
          <w:i/>
        </w:rPr>
        <w:t>prescribed financial market</w:t>
      </w:r>
      <w:r w:rsidRPr="00283424">
        <w:t>, see regulation 1.0.02A.</w:t>
      </w:r>
    </w:p>
    <w:p w14:paraId="01826C98" w14:textId="77777777" w:rsidR="00E93F58" w:rsidRPr="00283424" w:rsidRDefault="00E93F58" w:rsidP="00B50726">
      <w:pPr>
        <w:pStyle w:val="notetext"/>
      </w:pPr>
      <w:r w:rsidRPr="00283424">
        <w:t>Note 2:</w:t>
      </w:r>
      <w:r w:rsidRPr="00283424">
        <w:tab/>
        <w:t>The ASX24 is the financial market operated by Australian Securities Exchange Limited that was formerly known as the Sydney Futures Exchange.</w:t>
      </w:r>
    </w:p>
    <w:p w14:paraId="038CAF21" w14:textId="77777777" w:rsidR="00E93F58" w:rsidRPr="00283424" w:rsidRDefault="00E93F58" w:rsidP="00B50726">
      <w:pPr>
        <w:pStyle w:val="subsection"/>
      </w:pPr>
      <w:r w:rsidRPr="00283424">
        <w:tab/>
        <w:t>(1A)</w:t>
      </w:r>
      <w:r w:rsidRPr="00283424">
        <w:tab/>
        <w:t>A monetary benefit is not conflicted remuneration if:</w:t>
      </w:r>
    </w:p>
    <w:p w14:paraId="47274966" w14:textId="77777777" w:rsidR="00E93F58" w:rsidRPr="00283424" w:rsidRDefault="00E93F58" w:rsidP="00B50726">
      <w:pPr>
        <w:pStyle w:val="paragraph"/>
      </w:pPr>
      <w:r w:rsidRPr="00283424">
        <w:tab/>
        <w:t>(a)</w:t>
      </w:r>
      <w:r w:rsidRPr="00283424">
        <w:tab/>
        <w:t>the benefit is a fee paid between a financial services licensee that is a trading participant of a prescribed financial market and a financial services licensee that is not a trading participant in respect of dealings undertaken by a retail client through a specified service; and</w:t>
      </w:r>
    </w:p>
    <w:p w14:paraId="4937AD2C" w14:textId="77777777" w:rsidR="00E93F58" w:rsidRPr="00283424" w:rsidRDefault="00E93F58" w:rsidP="00B50726">
      <w:pPr>
        <w:pStyle w:val="paragraph"/>
      </w:pPr>
      <w:r w:rsidRPr="00283424">
        <w:lastRenderedPageBreak/>
        <w:tab/>
        <w:t>(b)</w:t>
      </w:r>
      <w:r w:rsidRPr="00283424">
        <w:tab/>
        <w:t>each of those trades is executed by the trading participant on behalf of the retail client; and</w:t>
      </w:r>
    </w:p>
    <w:p w14:paraId="77FB46C6" w14:textId="77777777" w:rsidR="00E93F58" w:rsidRPr="00283424" w:rsidRDefault="00E93F58" w:rsidP="00B50726">
      <w:pPr>
        <w:pStyle w:val="paragraph"/>
      </w:pPr>
      <w:r w:rsidRPr="00283424">
        <w:tab/>
        <w:t>(c)</w:t>
      </w:r>
      <w:r w:rsidRPr="00283424">
        <w:tab/>
        <w:t>the fee is a percentage, not exceeding 100%, of a brokerage fee paid directly or indirectly by the retail client; and</w:t>
      </w:r>
    </w:p>
    <w:p w14:paraId="7DD7194E" w14:textId="77777777" w:rsidR="00E93F58" w:rsidRPr="00283424" w:rsidRDefault="00E93F58" w:rsidP="00B50726">
      <w:pPr>
        <w:pStyle w:val="paragraph"/>
      </w:pPr>
      <w:r w:rsidRPr="00283424">
        <w:tab/>
        <w:t>(d)</w:t>
      </w:r>
      <w:r w:rsidRPr="00283424">
        <w:tab/>
        <w:t>no portion of the benefit is paid to a person other than the trading participant or the licensee that is not a trading participant.</w:t>
      </w:r>
    </w:p>
    <w:p w14:paraId="3FF2BD72" w14:textId="77777777" w:rsidR="00E93F58" w:rsidRPr="00283424" w:rsidRDefault="00E93F58" w:rsidP="00B50726">
      <w:pPr>
        <w:pStyle w:val="subsection"/>
      </w:pPr>
      <w:r w:rsidRPr="00283424">
        <w:tab/>
        <w:t>(2)</w:t>
      </w:r>
      <w:r w:rsidRPr="00283424">
        <w:tab/>
        <w:t>In this regulation:</w:t>
      </w:r>
    </w:p>
    <w:p w14:paraId="5E5A9ED8" w14:textId="77777777" w:rsidR="00E93F58" w:rsidRPr="00283424" w:rsidRDefault="00E93F58" w:rsidP="00B50726">
      <w:pPr>
        <w:pStyle w:val="Definition"/>
      </w:pPr>
      <w:r w:rsidRPr="00283424">
        <w:rPr>
          <w:b/>
          <w:i/>
        </w:rPr>
        <w:t>brokerage fee</w:t>
      </w:r>
      <w:r w:rsidRPr="00283424">
        <w:t xml:space="preserve"> means a fee that a retail client pays to a provider in relation to a transaction in which the provider, on behalf of the retail client, deals in a financial product that is traded on:</w:t>
      </w:r>
    </w:p>
    <w:p w14:paraId="558CBBE7" w14:textId="77777777" w:rsidR="00E93F58" w:rsidRPr="00283424" w:rsidRDefault="00E93F58" w:rsidP="00B50726">
      <w:pPr>
        <w:pStyle w:val="paragraph"/>
      </w:pPr>
      <w:r w:rsidRPr="00283424">
        <w:tab/>
        <w:t>(a)</w:t>
      </w:r>
      <w:r w:rsidRPr="00283424">
        <w:tab/>
        <w:t>a prescribed financial market; or</w:t>
      </w:r>
    </w:p>
    <w:p w14:paraId="13117B4A" w14:textId="77777777" w:rsidR="00E93F58" w:rsidRPr="00283424" w:rsidRDefault="00E93F58" w:rsidP="00B50726">
      <w:pPr>
        <w:pStyle w:val="paragraph"/>
      </w:pPr>
      <w:r w:rsidRPr="00283424">
        <w:tab/>
        <w:t>(aa)</w:t>
      </w:r>
      <w:r w:rsidRPr="00283424">
        <w:tab/>
        <w:t>the market known as the ASX24; or</w:t>
      </w:r>
    </w:p>
    <w:p w14:paraId="20B38EB7" w14:textId="77777777" w:rsidR="00E93F58" w:rsidRPr="00283424" w:rsidRDefault="00E93F58" w:rsidP="00B50726">
      <w:pPr>
        <w:pStyle w:val="paragraph"/>
      </w:pPr>
      <w:r w:rsidRPr="00283424">
        <w:tab/>
        <w:t>(b)</w:t>
      </w:r>
      <w:r w:rsidRPr="00283424">
        <w:tab/>
        <w:t>a prescribed foreign financial market.</w:t>
      </w:r>
    </w:p>
    <w:p w14:paraId="2376CB3D" w14:textId="77777777" w:rsidR="00E93F58" w:rsidRPr="00283424" w:rsidRDefault="00E93F58" w:rsidP="00B50726">
      <w:pPr>
        <w:pStyle w:val="notetext"/>
      </w:pPr>
      <w:r w:rsidRPr="00283424">
        <w:t>Note 1:</w:t>
      </w:r>
      <w:r w:rsidRPr="00283424">
        <w:tab/>
        <w:t>Regulations 7.7A.17 and 7.7A.18 relate to exemptions in relation to the charging of asset</w:t>
      </w:r>
      <w:r>
        <w:noBreakHyphen/>
      </w:r>
      <w:r w:rsidRPr="00283424">
        <w:t>based fees on borrowed amounts.</w:t>
      </w:r>
    </w:p>
    <w:p w14:paraId="1F5FA4F3" w14:textId="77777777" w:rsidR="00E93F58" w:rsidRPr="00283424" w:rsidRDefault="00E93F58" w:rsidP="00B50726">
      <w:pPr>
        <w:pStyle w:val="notetext"/>
      </w:pPr>
      <w:r w:rsidRPr="00283424">
        <w:t>Note 2:</w:t>
      </w:r>
      <w:r w:rsidRPr="00283424">
        <w:tab/>
        <w:t>The ASX24 is the financial market operated by Australian Securities Exchange Limited that was formerly known as the Sydney Futures Exchange.</w:t>
      </w:r>
    </w:p>
    <w:p w14:paraId="3347C430" w14:textId="77777777" w:rsidR="00E93F58" w:rsidRPr="00283424" w:rsidRDefault="00E93F58" w:rsidP="00B50726">
      <w:pPr>
        <w:pStyle w:val="Definition"/>
      </w:pPr>
      <w:r w:rsidRPr="00283424">
        <w:rPr>
          <w:b/>
          <w:i/>
        </w:rPr>
        <w:t>prescribed foreign financial market</w:t>
      </w:r>
      <w:r w:rsidRPr="00283424">
        <w:t xml:space="preserve"> means a financial market that:</w:t>
      </w:r>
    </w:p>
    <w:p w14:paraId="633E2AF8" w14:textId="77777777" w:rsidR="00E93F58" w:rsidRPr="00283424" w:rsidRDefault="00E93F58" w:rsidP="00B50726">
      <w:pPr>
        <w:pStyle w:val="paragraph"/>
      </w:pPr>
      <w:r w:rsidRPr="00283424">
        <w:tab/>
        <w:t>(a)</w:t>
      </w:r>
      <w:r w:rsidRPr="00283424">
        <w:tab/>
        <w:t>has its principal place of business in a foreign country; and</w:t>
      </w:r>
    </w:p>
    <w:p w14:paraId="63035B83" w14:textId="77777777" w:rsidR="00E93F58" w:rsidRPr="00283424" w:rsidRDefault="00E93F58" w:rsidP="00B50726">
      <w:pPr>
        <w:pStyle w:val="paragraph"/>
      </w:pPr>
      <w:r w:rsidRPr="00283424">
        <w:tab/>
        <w:t>(b)</w:t>
      </w:r>
      <w:r w:rsidRPr="00283424">
        <w:tab/>
        <w:t>has been authorised by an authority in that country that is a signatory to the International Organization of Securities Commissions’ Multilateral Memorandum of Understanding Concerning Consultation and Cooperation and the Exchange of Information of May 2002.</w:t>
      </w:r>
    </w:p>
    <w:p w14:paraId="12DA8E41" w14:textId="77777777" w:rsidR="00E93F58" w:rsidRPr="00283424" w:rsidRDefault="00E93F58" w:rsidP="00B50726">
      <w:pPr>
        <w:pStyle w:val="Definition"/>
      </w:pPr>
      <w:r w:rsidRPr="00283424">
        <w:rPr>
          <w:b/>
          <w:i/>
        </w:rPr>
        <w:t>specified service</w:t>
      </w:r>
      <w:r w:rsidRPr="00283424">
        <w:t xml:space="preserve"> means a service which:</w:t>
      </w:r>
    </w:p>
    <w:p w14:paraId="65900909" w14:textId="77777777" w:rsidR="00E93F58" w:rsidRPr="00283424" w:rsidRDefault="00E93F58" w:rsidP="00B50726">
      <w:pPr>
        <w:pStyle w:val="paragraph"/>
      </w:pPr>
      <w:r w:rsidRPr="00283424">
        <w:tab/>
        <w:t>(a)</w:t>
      </w:r>
      <w:r w:rsidRPr="00283424">
        <w:tab/>
        <w:t>is provided for retail clients under the name or brand name of:</w:t>
      </w:r>
    </w:p>
    <w:p w14:paraId="61B78BAA" w14:textId="77777777" w:rsidR="00E93F58" w:rsidRPr="00283424" w:rsidRDefault="00E93F58" w:rsidP="00B50726">
      <w:pPr>
        <w:pStyle w:val="paragraphsub"/>
      </w:pPr>
      <w:r w:rsidRPr="00283424">
        <w:tab/>
        <w:t>(i)</w:t>
      </w:r>
      <w:r w:rsidRPr="00283424">
        <w:tab/>
        <w:t>the financial services licensee that is not a trading participant; or</w:t>
      </w:r>
    </w:p>
    <w:p w14:paraId="5975DA17" w14:textId="77777777" w:rsidR="00E93F58" w:rsidRPr="00283424" w:rsidRDefault="00E93F58" w:rsidP="00B50726">
      <w:pPr>
        <w:pStyle w:val="paragraphsub"/>
      </w:pPr>
      <w:r w:rsidRPr="00283424">
        <w:tab/>
        <w:t>(ii)</w:t>
      </w:r>
      <w:r w:rsidRPr="00283424">
        <w:tab/>
        <w:t>the trading participant and the financial services licensee that is not a trading participant; and</w:t>
      </w:r>
    </w:p>
    <w:p w14:paraId="193C7C53" w14:textId="77777777" w:rsidR="00E93F58" w:rsidRPr="00283424" w:rsidRDefault="00E93F58" w:rsidP="00B50726">
      <w:pPr>
        <w:pStyle w:val="paragraph"/>
      </w:pPr>
      <w:r w:rsidRPr="00283424">
        <w:tab/>
        <w:t>(b)</w:t>
      </w:r>
      <w:r w:rsidRPr="00283424">
        <w:tab/>
        <w:t>relates to the dealing, on behalf of the retail client, in a financial product traded on:</w:t>
      </w:r>
    </w:p>
    <w:p w14:paraId="407A3912" w14:textId="77777777" w:rsidR="00E93F58" w:rsidRPr="00283424" w:rsidRDefault="00E93F58" w:rsidP="00B50726">
      <w:pPr>
        <w:pStyle w:val="paragraphsub"/>
      </w:pPr>
      <w:r w:rsidRPr="00283424">
        <w:tab/>
        <w:t>(i)</w:t>
      </w:r>
      <w:r w:rsidRPr="00283424">
        <w:tab/>
        <w:t>a prescribed financial market; or</w:t>
      </w:r>
    </w:p>
    <w:p w14:paraId="2BEC34DE" w14:textId="77777777" w:rsidR="00E93F58" w:rsidRPr="00283424" w:rsidRDefault="00E93F58" w:rsidP="00B50726">
      <w:pPr>
        <w:pStyle w:val="paragraphsub"/>
      </w:pPr>
      <w:r w:rsidRPr="00283424">
        <w:tab/>
        <w:t>(ii)</w:t>
      </w:r>
      <w:r w:rsidRPr="00283424">
        <w:tab/>
        <w:t>a prescribed foreign financial market; and</w:t>
      </w:r>
    </w:p>
    <w:p w14:paraId="1FB4ED83" w14:textId="77777777" w:rsidR="00E93F58" w:rsidRPr="00283424" w:rsidRDefault="00E93F58" w:rsidP="00B50726">
      <w:pPr>
        <w:pStyle w:val="paragraph"/>
      </w:pPr>
      <w:r w:rsidRPr="00283424">
        <w:tab/>
        <w:t>(c)</w:t>
      </w:r>
      <w:r w:rsidRPr="00283424">
        <w:tab/>
        <w:t>is provided in either or both of the following ways:</w:t>
      </w:r>
    </w:p>
    <w:p w14:paraId="7B086B4A" w14:textId="77777777" w:rsidR="00E93F58" w:rsidRPr="00283424" w:rsidRDefault="00E93F58" w:rsidP="00B50726">
      <w:pPr>
        <w:pStyle w:val="paragraphsub"/>
      </w:pPr>
      <w:r w:rsidRPr="00283424">
        <w:tab/>
        <w:t>(i)</w:t>
      </w:r>
      <w:r w:rsidRPr="00283424">
        <w:tab/>
        <w:t>by direct electronic access;</w:t>
      </w:r>
    </w:p>
    <w:p w14:paraId="0D08F8A3" w14:textId="77777777" w:rsidR="00E93F58" w:rsidRPr="00283424" w:rsidRDefault="00E93F58" w:rsidP="00B50726">
      <w:pPr>
        <w:pStyle w:val="paragraphsub"/>
      </w:pPr>
      <w:r w:rsidRPr="00283424">
        <w:tab/>
        <w:t>(ii)</w:t>
      </w:r>
      <w:r w:rsidRPr="00283424">
        <w:tab/>
        <w:t>by telephone, but only if:</w:t>
      </w:r>
    </w:p>
    <w:p w14:paraId="2C373758" w14:textId="77777777" w:rsidR="00E93F58" w:rsidRPr="00283424" w:rsidRDefault="00E93F58" w:rsidP="00B50726">
      <w:pPr>
        <w:pStyle w:val="paragraphsub-sub"/>
      </w:pPr>
      <w:r w:rsidRPr="00283424">
        <w:tab/>
        <w:t>(A)</w:t>
      </w:r>
      <w:r w:rsidRPr="00283424">
        <w:tab/>
        <w:t>direct electronic access is not available for a temporary period, or the retail client expresses a preference that the service be provided by telephone; and</w:t>
      </w:r>
    </w:p>
    <w:p w14:paraId="5D52F24D" w14:textId="77777777" w:rsidR="00E93F58" w:rsidRPr="00283424" w:rsidRDefault="00E93F58" w:rsidP="00B50726">
      <w:pPr>
        <w:pStyle w:val="paragraphsub-sub"/>
      </w:pPr>
      <w:r w:rsidRPr="00283424">
        <w:tab/>
        <w:t>(B)</w:t>
      </w:r>
      <w:r w:rsidRPr="00283424">
        <w:tab/>
        <w:t>neither the trading participant nor the financial services licensee that is not a trading participant is to provide financial product advice to the retail client by telephone in relation to the dealing undertaken on the retail client’s behalf; and</w:t>
      </w:r>
    </w:p>
    <w:p w14:paraId="52264AD0" w14:textId="77777777" w:rsidR="00E93F58" w:rsidRPr="00283424" w:rsidRDefault="00E93F58" w:rsidP="00B50726">
      <w:pPr>
        <w:pStyle w:val="paragraph"/>
      </w:pPr>
      <w:r w:rsidRPr="00283424">
        <w:tab/>
        <w:t>(d)</w:t>
      </w:r>
      <w:r w:rsidRPr="00283424">
        <w:tab/>
        <w:t>is provided in circumstances in which neither the trading participant nor the financial services licensee that is not a trading participant provides personal advice to the retail client in relation to the dealing undertaken on the retail client’s behalf.</w:t>
      </w:r>
    </w:p>
    <w:p w14:paraId="2210FB69" w14:textId="77777777" w:rsidR="00E93F58" w:rsidRPr="00283424" w:rsidRDefault="00E93F58" w:rsidP="00B50726">
      <w:pPr>
        <w:pStyle w:val="Definition"/>
      </w:pPr>
      <w:r w:rsidRPr="00283424">
        <w:rPr>
          <w:b/>
          <w:i/>
        </w:rPr>
        <w:t>trading participant</w:t>
      </w:r>
      <w:r w:rsidRPr="00283424">
        <w:t xml:space="preserve"> of a prescribed financial market or the market known as the ASX24 means a person who:</w:t>
      </w:r>
    </w:p>
    <w:p w14:paraId="0089A990" w14:textId="77777777" w:rsidR="00E93F58" w:rsidRPr="00283424" w:rsidRDefault="00E93F58" w:rsidP="00B50726">
      <w:pPr>
        <w:pStyle w:val="paragraph"/>
      </w:pPr>
      <w:r w:rsidRPr="00283424">
        <w:tab/>
        <w:t>(a)</w:t>
      </w:r>
      <w:r w:rsidRPr="00283424">
        <w:tab/>
        <w:t>is a participant of the market admitted under the market’s operating rules; and</w:t>
      </w:r>
    </w:p>
    <w:p w14:paraId="3C3AB88D" w14:textId="77777777" w:rsidR="00E93F58" w:rsidRPr="00283424" w:rsidRDefault="00E93F58" w:rsidP="00B50726">
      <w:pPr>
        <w:pStyle w:val="paragraph"/>
      </w:pPr>
      <w:r w:rsidRPr="00283424">
        <w:tab/>
        <w:t>(b)</w:t>
      </w:r>
      <w:r w:rsidRPr="00283424">
        <w:tab/>
        <w:t>is allowed, under the market’s operating rules, to deal in one or more of the financial products that are able to be traded on the market.</w:t>
      </w:r>
    </w:p>
    <w:p w14:paraId="33C6DEC1" w14:textId="77777777" w:rsidR="00E93F58" w:rsidRPr="00283424" w:rsidRDefault="00E93F58" w:rsidP="00B50726">
      <w:pPr>
        <w:pStyle w:val="notetext"/>
      </w:pPr>
      <w:r w:rsidRPr="00283424">
        <w:t>Note:</w:t>
      </w:r>
      <w:r w:rsidRPr="00283424">
        <w:tab/>
        <w:t>The ASX24 is the financial market operated by Australian Securities Exchange Limited that was formerly known as the Sydney Futures Exchange.</w:t>
      </w:r>
    </w:p>
    <w:p w14:paraId="6F5C55C5" w14:textId="77777777" w:rsidR="00E93F58" w:rsidRPr="00283424" w:rsidRDefault="00E93F58" w:rsidP="00B50726">
      <w:pPr>
        <w:pStyle w:val="ActHead5"/>
      </w:pPr>
      <w:bookmarkStart w:id="1198" w:name="_Toc152054577"/>
      <w:bookmarkStart w:id="1199" w:name="_Toc158712393"/>
      <w:r w:rsidRPr="006F296E">
        <w:rPr>
          <w:rStyle w:val="CharSectno"/>
        </w:rPr>
        <w:t>7.7A.12E</w:t>
      </w:r>
      <w:r w:rsidRPr="00283424">
        <w:t xml:space="preserve">  Fees paid by clients for dealing services</w:t>
      </w:r>
      <w:bookmarkEnd w:id="1198"/>
      <w:bookmarkEnd w:id="1199"/>
    </w:p>
    <w:p w14:paraId="44536798" w14:textId="77777777" w:rsidR="00E93F58" w:rsidRPr="00283424" w:rsidRDefault="00E93F58" w:rsidP="00B50726">
      <w:pPr>
        <w:pStyle w:val="subsection"/>
      </w:pPr>
      <w:r w:rsidRPr="00283424">
        <w:tab/>
      </w:r>
      <w:r w:rsidRPr="00283424">
        <w:tab/>
        <w:t>A monetary benefit is not conflicted remuneration if the benefit is given to the provider by a retail client in relation to the provider dealing in a financial product on behalf of the client.</w:t>
      </w:r>
    </w:p>
    <w:p w14:paraId="4EBA03F7" w14:textId="77777777" w:rsidR="00E93F58" w:rsidRPr="00283424" w:rsidRDefault="00E93F58" w:rsidP="00B50726">
      <w:pPr>
        <w:pStyle w:val="ActHead5"/>
      </w:pPr>
      <w:bookmarkStart w:id="1200" w:name="_Toc152054578"/>
      <w:bookmarkStart w:id="1201" w:name="_Toc158712394"/>
      <w:r w:rsidRPr="006F296E">
        <w:rPr>
          <w:rStyle w:val="CharSectno"/>
        </w:rPr>
        <w:t>7.7A.12EA</w:t>
      </w:r>
      <w:r w:rsidRPr="00283424">
        <w:t xml:space="preserve">  Application of ban on conflicted remuneration—purchase or sale of financial advice business</w:t>
      </w:r>
      <w:bookmarkEnd w:id="1200"/>
      <w:bookmarkEnd w:id="1201"/>
    </w:p>
    <w:p w14:paraId="5136FB16" w14:textId="77777777" w:rsidR="00E93F58" w:rsidRPr="00283424" w:rsidRDefault="00E93F58" w:rsidP="00B50726">
      <w:pPr>
        <w:pStyle w:val="subsection"/>
        <w:rPr>
          <w:bCs/>
          <w:iCs/>
          <w:szCs w:val="22"/>
        </w:rPr>
      </w:pPr>
      <w:r w:rsidRPr="00283424">
        <w:rPr>
          <w:szCs w:val="22"/>
        </w:rPr>
        <w:tab/>
      </w:r>
      <w:r w:rsidRPr="00283424">
        <w:rPr>
          <w:szCs w:val="22"/>
        </w:rPr>
        <w:tab/>
        <w:t xml:space="preserve">A monetary benefit is not </w:t>
      </w:r>
      <w:r w:rsidRPr="00283424">
        <w:rPr>
          <w:bCs/>
          <w:iCs/>
          <w:szCs w:val="22"/>
        </w:rPr>
        <w:t>conflicted remuneration to the extent that:</w:t>
      </w:r>
    </w:p>
    <w:p w14:paraId="454B6B76" w14:textId="77777777" w:rsidR="00E93F58" w:rsidRPr="00283424" w:rsidRDefault="00E93F58" w:rsidP="00B50726">
      <w:pPr>
        <w:pStyle w:val="paragraph"/>
      </w:pPr>
      <w:r w:rsidRPr="00283424">
        <w:tab/>
        <w:t>(a)</w:t>
      </w:r>
      <w:r w:rsidRPr="00283424">
        <w:tab/>
        <w:t xml:space="preserve">the </w:t>
      </w:r>
      <w:r w:rsidRPr="00283424">
        <w:rPr>
          <w:szCs w:val="22"/>
        </w:rPr>
        <w:t>benefit is</w:t>
      </w:r>
      <w:r w:rsidRPr="00283424">
        <w:t xml:space="preserve"> </w:t>
      </w:r>
      <w:r w:rsidRPr="00283424">
        <w:rPr>
          <w:szCs w:val="22"/>
        </w:rPr>
        <w:t>given to a financial services licensee or a</w:t>
      </w:r>
      <w:r w:rsidRPr="00283424">
        <w:t xml:space="preserve"> representative of the licensee; and</w:t>
      </w:r>
    </w:p>
    <w:p w14:paraId="796659FE" w14:textId="77777777" w:rsidR="00E93F58" w:rsidRPr="00283424" w:rsidRDefault="00E93F58" w:rsidP="00B50726">
      <w:pPr>
        <w:pStyle w:val="paragraph"/>
      </w:pPr>
      <w:r w:rsidRPr="00283424">
        <w:lastRenderedPageBreak/>
        <w:tab/>
        <w:t>(b)</w:t>
      </w:r>
      <w:r w:rsidRPr="00283424">
        <w:tab/>
        <w:t>the benefit is paid as part of:</w:t>
      </w:r>
    </w:p>
    <w:p w14:paraId="66975417" w14:textId="77777777" w:rsidR="00E93F58" w:rsidRPr="00283424" w:rsidRDefault="00E93F58" w:rsidP="00B50726">
      <w:pPr>
        <w:pStyle w:val="paragraphsub"/>
      </w:pPr>
      <w:r w:rsidRPr="00283424">
        <w:tab/>
        <w:t>(i)</w:t>
      </w:r>
      <w:r w:rsidRPr="00283424">
        <w:tab/>
        <w:t>the purchase or sale of all or part of the licensee’s financial advice business; or</w:t>
      </w:r>
    </w:p>
    <w:p w14:paraId="5681E912" w14:textId="77777777" w:rsidR="00E93F58" w:rsidRPr="00283424" w:rsidRDefault="00E93F58" w:rsidP="00B50726">
      <w:pPr>
        <w:pStyle w:val="paragraphsub"/>
      </w:pPr>
      <w:r w:rsidRPr="00283424">
        <w:tab/>
        <w:t>(ii)</w:t>
      </w:r>
      <w:r w:rsidRPr="00283424">
        <w:tab/>
        <w:t>the purchase or sale of all or part of the representative’s financial advice business; and</w:t>
      </w:r>
    </w:p>
    <w:p w14:paraId="50D734E6" w14:textId="77777777" w:rsidR="00E93F58" w:rsidRPr="00283424" w:rsidRDefault="00E93F58" w:rsidP="00B50726">
      <w:pPr>
        <w:pStyle w:val="paragraph"/>
      </w:pPr>
      <w:r w:rsidRPr="00283424">
        <w:tab/>
        <w:t>(c)</w:t>
      </w:r>
      <w:r w:rsidRPr="00283424">
        <w:tab/>
        <w:t>the price is calculated using a formula:</w:t>
      </w:r>
    </w:p>
    <w:p w14:paraId="6B1541D4" w14:textId="77777777" w:rsidR="00E93F58" w:rsidRPr="00283424" w:rsidRDefault="00E93F58" w:rsidP="00B50726">
      <w:pPr>
        <w:pStyle w:val="paragraphsub"/>
      </w:pPr>
      <w:r w:rsidRPr="00283424">
        <w:tab/>
        <w:t>(i)</w:t>
      </w:r>
      <w:r w:rsidRPr="00283424">
        <w:tab/>
        <w:t>which is based, in whole or in part, on the number or value of all or part of the financial products held by the licensee’s clients or the representative’s clients; and</w:t>
      </w:r>
    </w:p>
    <w:p w14:paraId="298B5FE6" w14:textId="77777777" w:rsidR="00E93F58" w:rsidRPr="00283424" w:rsidRDefault="00E93F58" w:rsidP="00B50726">
      <w:pPr>
        <w:pStyle w:val="paragraphsub"/>
      </w:pPr>
      <w:r w:rsidRPr="00283424">
        <w:tab/>
        <w:t>(ii)</w:t>
      </w:r>
      <w:r w:rsidRPr="00283424">
        <w:tab/>
        <w:t>in which the weighting attributed to the financial products issued by the licensee or a related body corporate or other person is the same as the weighting attributed to other similar financial products.</w:t>
      </w:r>
    </w:p>
    <w:p w14:paraId="62EAB406" w14:textId="77777777" w:rsidR="00E93F58" w:rsidRPr="00283424" w:rsidRDefault="00E93F58" w:rsidP="00B50726">
      <w:pPr>
        <w:pStyle w:val="ActHead4"/>
      </w:pPr>
      <w:bookmarkStart w:id="1202" w:name="_Toc152054579"/>
      <w:bookmarkStart w:id="1203" w:name="_Toc158712395"/>
      <w:r w:rsidRPr="006F296E">
        <w:rPr>
          <w:rStyle w:val="CharSubdNo"/>
        </w:rPr>
        <w:t>Subdivision 3</w:t>
      </w:r>
      <w:r w:rsidRPr="00283424">
        <w:t>—</w:t>
      </w:r>
      <w:r w:rsidRPr="006F296E">
        <w:rPr>
          <w:rStyle w:val="CharSubdText"/>
        </w:rPr>
        <w:t>Monetary benefits that relate to life risk insurance products</w:t>
      </w:r>
      <w:bookmarkEnd w:id="1202"/>
      <w:bookmarkEnd w:id="1203"/>
    </w:p>
    <w:p w14:paraId="6109303B" w14:textId="77777777" w:rsidR="00E93F58" w:rsidRPr="00283424" w:rsidRDefault="00E93F58" w:rsidP="00B50726">
      <w:pPr>
        <w:pStyle w:val="ActHead5"/>
      </w:pPr>
      <w:bookmarkStart w:id="1204" w:name="_Toc152054580"/>
      <w:bookmarkStart w:id="1205" w:name="_Toc158712396"/>
      <w:r w:rsidRPr="006F296E">
        <w:rPr>
          <w:rStyle w:val="CharSectno"/>
        </w:rPr>
        <w:t>7.7A.12EB</w:t>
      </w:r>
      <w:r w:rsidRPr="00283424">
        <w:t xml:space="preserve">  Life risk insurance products—clawback requirements related to cancellation etc.</w:t>
      </w:r>
      <w:bookmarkEnd w:id="1204"/>
      <w:bookmarkEnd w:id="1205"/>
    </w:p>
    <w:p w14:paraId="388C3069" w14:textId="77777777" w:rsidR="00E93F58" w:rsidRPr="00283424" w:rsidRDefault="00E93F58" w:rsidP="00B50726">
      <w:pPr>
        <w:pStyle w:val="subsection"/>
      </w:pPr>
      <w:r w:rsidRPr="00283424">
        <w:tab/>
      </w:r>
      <w:r w:rsidRPr="00283424">
        <w:tab/>
        <w:t>For the purposes of subparagraph 963BA(3)(a)(i) of the Act, the prescribed circumstances are that the life risk insurance product, or the relevant one of the life risk insurance products, is cancelled or is not continued because:</w:t>
      </w:r>
    </w:p>
    <w:p w14:paraId="7529F1FA" w14:textId="77777777" w:rsidR="00E93F58" w:rsidRPr="00283424" w:rsidRDefault="00E93F58" w:rsidP="00B50726">
      <w:pPr>
        <w:pStyle w:val="paragraph"/>
      </w:pPr>
      <w:r w:rsidRPr="00283424">
        <w:tab/>
        <w:t>(a)</w:t>
      </w:r>
      <w:r w:rsidRPr="00283424">
        <w:tab/>
        <w:t>the person insured dies; or</w:t>
      </w:r>
    </w:p>
    <w:p w14:paraId="6534E8BF" w14:textId="77777777" w:rsidR="00E93F58" w:rsidRPr="00283424" w:rsidRDefault="00E93F58" w:rsidP="00B50726">
      <w:pPr>
        <w:pStyle w:val="paragraph"/>
      </w:pPr>
      <w:r w:rsidRPr="00283424">
        <w:tab/>
        <w:t>(b)</w:t>
      </w:r>
      <w:r w:rsidRPr="00283424">
        <w:tab/>
        <w:t>the person insured commits an act of self</w:t>
      </w:r>
      <w:r>
        <w:noBreakHyphen/>
      </w:r>
      <w:r w:rsidRPr="00283424">
        <w:t>harm; or</w:t>
      </w:r>
    </w:p>
    <w:p w14:paraId="39D1DB00" w14:textId="77777777" w:rsidR="00E93F58" w:rsidRPr="00283424" w:rsidRDefault="00E93F58" w:rsidP="00B50726">
      <w:pPr>
        <w:pStyle w:val="paragraph"/>
      </w:pPr>
      <w:r w:rsidRPr="00283424">
        <w:tab/>
        <w:t>(c)</w:t>
      </w:r>
      <w:r w:rsidRPr="00283424">
        <w:tab/>
        <w:t>the person insured reaches an age that, under the terms of the life risk insurance product under which the person is insured, has the result that the product is cancelled or is not continued; or</w:t>
      </w:r>
    </w:p>
    <w:p w14:paraId="42CB7341" w14:textId="77777777" w:rsidR="00E93F58" w:rsidRPr="00283424" w:rsidRDefault="00E93F58" w:rsidP="00B50726">
      <w:pPr>
        <w:pStyle w:val="paragraph"/>
      </w:pPr>
      <w:r w:rsidRPr="00283424">
        <w:tab/>
        <w:t>(d)</w:t>
      </w:r>
      <w:r w:rsidRPr="00283424">
        <w:tab/>
        <w:t>an administrative error has been made.</w:t>
      </w:r>
    </w:p>
    <w:p w14:paraId="12115FCE" w14:textId="77777777" w:rsidR="00E93F58" w:rsidRPr="00283424" w:rsidRDefault="00E93F58" w:rsidP="00B50726">
      <w:pPr>
        <w:pStyle w:val="ActHead5"/>
      </w:pPr>
      <w:bookmarkStart w:id="1206" w:name="_Toc152054581"/>
      <w:bookmarkStart w:id="1207" w:name="_Toc158712397"/>
      <w:r w:rsidRPr="006F296E">
        <w:rPr>
          <w:rStyle w:val="CharSectno"/>
        </w:rPr>
        <w:t>7.7A.12EC</w:t>
      </w:r>
      <w:r w:rsidRPr="00283424">
        <w:t xml:space="preserve">  Life risk insurance products—clawback requirements related to reduction of policy cost</w:t>
      </w:r>
      <w:bookmarkEnd w:id="1206"/>
      <w:bookmarkEnd w:id="1207"/>
    </w:p>
    <w:p w14:paraId="3F95177C" w14:textId="77777777" w:rsidR="00E93F58" w:rsidRPr="00283424" w:rsidRDefault="00E93F58" w:rsidP="00B50726">
      <w:pPr>
        <w:pStyle w:val="subsection"/>
      </w:pPr>
      <w:r w:rsidRPr="00283424">
        <w:tab/>
      </w:r>
      <w:r w:rsidRPr="00283424">
        <w:tab/>
        <w:t>For the purposes of subparagraph 963BA(3)(a)(ii) of the Act, the prescribed circumstances are that the policy cost for the life risk insurance product, or the relevant one of the life risk insurance products, is reduced because:</w:t>
      </w:r>
    </w:p>
    <w:p w14:paraId="55B2CBFC" w14:textId="77777777" w:rsidR="00E93F58" w:rsidRPr="00283424" w:rsidRDefault="00E93F58" w:rsidP="00B50726">
      <w:pPr>
        <w:pStyle w:val="paragraph"/>
      </w:pPr>
      <w:r w:rsidRPr="00283424">
        <w:tab/>
        <w:t>(a)</w:t>
      </w:r>
      <w:r w:rsidRPr="00283424">
        <w:tab/>
        <w:t>the person who issued the product and the person to whom the product is issued agree that there is a reduction in a risk in relation to a person insured under the product; or</w:t>
      </w:r>
    </w:p>
    <w:p w14:paraId="47485784" w14:textId="77777777" w:rsidR="00E93F58" w:rsidRPr="00283424" w:rsidRDefault="00E93F58" w:rsidP="00B50726">
      <w:pPr>
        <w:pStyle w:val="paragraph"/>
      </w:pPr>
      <w:r w:rsidRPr="00283424">
        <w:tab/>
        <w:t>(b)</w:t>
      </w:r>
      <w:r w:rsidRPr="00283424">
        <w:tab/>
        <w:t>the person who issued the product reduces the premium for the product without changing the risks covered, or the benefits available, in relation to any person insured under the product; or</w:t>
      </w:r>
    </w:p>
    <w:p w14:paraId="3D523C0B" w14:textId="77777777" w:rsidR="00E93F58" w:rsidRPr="00283424" w:rsidRDefault="00E93F58" w:rsidP="00B50726">
      <w:pPr>
        <w:pStyle w:val="paragraph"/>
      </w:pPr>
      <w:r w:rsidRPr="00283424">
        <w:tab/>
        <w:t>(c)</w:t>
      </w:r>
      <w:r w:rsidRPr="00283424">
        <w:tab/>
        <w:t>each of the following is satisfied:</w:t>
      </w:r>
    </w:p>
    <w:p w14:paraId="16D64AB7" w14:textId="77777777" w:rsidR="00E93F58" w:rsidRPr="00283424" w:rsidRDefault="00E93F58" w:rsidP="00B50726">
      <w:pPr>
        <w:pStyle w:val="paragraphsub"/>
      </w:pPr>
      <w:r w:rsidRPr="00283424">
        <w:tab/>
        <w:t>(i)</w:t>
      </w:r>
      <w:r w:rsidRPr="00283424">
        <w:tab/>
        <w:t>a rebate is paid or a discount applied;</w:t>
      </w:r>
    </w:p>
    <w:p w14:paraId="35FD045B" w14:textId="77777777" w:rsidR="00E93F58" w:rsidRPr="00283424" w:rsidRDefault="00E93F58" w:rsidP="00B50726">
      <w:pPr>
        <w:pStyle w:val="paragraphsub"/>
      </w:pPr>
      <w:r w:rsidRPr="00283424">
        <w:tab/>
        <w:t>(ii)</w:t>
      </w:r>
      <w:r w:rsidRPr="00283424">
        <w:tab/>
        <w:t>it is reasonable in all the circumstances to conclude that the rebate is paid or discount applied to induce the person to whom the product is issued to acquire, or to continue to hold, the product; or</w:t>
      </w:r>
    </w:p>
    <w:p w14:paraId="469CE18A" w14:textId="77777777" w:rsidR="00E93F58" w:rsidRPr="00283424" w:rsidRDefault="00E93F58" w:rsidP="00B50726">
      <w:pPr>
        <w:pStyle w:val="paragraph"/>
      </w:pPr>
      <w:r w:rsidRPr="00283424">
        <w:tab/>
        <w:t>(d)</w:t>
      </w:r>
      <w:r w:rsidRPr="00283424">
        <w:tab/>
        <w:t>a benefit payable in relation to a person insured under the product has been, or is being, paid; or</w:t>
      </w:r>
    </w:p>
    <w:p w14:paraId="0B8533BE" w14:textId="77777777" w:rsidR="00E93F58" w:rsidRPr="00283424" w:rsidRDefault="00E93F58" w:rsidP="00B50726">
      <w:pPr>
        <w:pStyle w:val="paragraph"/>
      </w:pPr>
      <w:r w:rsidRPr="00283424">
        <w:tab/>
        <w:t>(e)</w:t>
      </w:r>
      <w:r w:rsidRPr="00283424">
        <w:tab/>
        <w:t>an administrative error has been made.</w:t>
      </w:r>
    </w:p>
    <w:p w14:paraId="101EB3E1" w14:textId="77777777" w:rsidR="00E93F58" w:rsidRPr="00283424" w:rsidRDefault="00E93F58" w:rsidP="00B50726">
      <w:pPr>
        <w:pStyle w:val="ActHead4"/>
      </w:pPr>
      <w:bookmarkStart w:id="1208" w:name="_Toc152054582"/>
      <w:bookmarkStart w:id="1209" w:name="_Toc158712398"/>
      <w:r w:rsidRPr="006F296E">
        <w:rPr>
          <w:rStyle w:val="CharSubdNo"/>
        </w:rPr>
        <w:t>Subdivision 4</w:t>
      </w:r>
      <w:r w:rsidRPr="00283424">
        <w:t>—</w:t>
      </w:r>
      <w:r w:rsidRPr="006F296E">
        <w:rPr>
          <w:rStyle w:val="CharSubdText"/>
        </w:rPr>
        <w:t>Other monetary and non</w:t>
      </w:r>
      <w:r w:rsidRPr="006F296E">
        <w:rPr>
          <w:rStyle w:val="CharSubdText"/>
        </w:rPr>
        <w:noBreakHyphen/>
        <w:t>monetary benefits that are not conflicted remuneration</w:t>
      </w:r>
      <w:bookmarkEnd w:id="1208"/>
      <w:bookmarkEnd w:id="1209"/>
    </w:p>
    <w:p w14:paraId="04E76687" w14:textId="77777777" w:rsidR="00E93F58" w:rsidRPr="00283424" w:rsidRDefault="00E93F58" w:rsidP="00B50726">
      <w:pPr>
        <w:pStyle w:val="ActHead5"/>
      </w:pPr>
      <w:bookmarkStart w:id="1210" w:name="_Toc152054583"/>
      <w:bookmarkStart w:id="1211" w:name="_Toc158712399"/>
      <w:r w:rsidRPr="006F296E">
        <w:rPr>
          <w:rStyle w:val="CharSectno"/>
        </w:rPr>
        <w:t>7.7A.12F</w:t>
      </w:r>
      <w:r w:rsidRPr="00283424">
        <w:t xml:space="preserve">  What subdivision is about</w:t>
      </w:r>
      <w:bookmarkEnd w:id="1210"/>
      <w:bookmarkEnd w:id="1211"/>
    </w:p>
    <w:p w14:paraId="3C550DD4" w14:textId="77777777" w:rsidR="00E93F58" w:rsidRPr="00283424" w:rsidRDefault="00E93F58" w:rsidP="00B50726">
      <w:pPr>
        <w:pStyle w:val="subsection"/>
      </w:pPr>
      <w:r w:rsidRPr="00283424">
        <w:tab/>
      </w:r>
      <w:r w:rsidRPr="00283424">
        <w:tab/>
        <w:t>This subdivision:</w:t>
      </w:r>
    </w:p>
    <w:p w14:paraId="26004E1E" w14:textId="77777777" w:rsidR="00E93F58" w:rsidRPr="00283424" w:rsidRDefault="00E93F58" w:rsidP="00B50726">
      <w:pPr>
        <w:pStyle w:val="paragraph"/>
      </w:pPr>
      <w:r w:rsidRPr="00283424">
        <w:tab/>
        <w:t>(a)</w:t>
      </w:r>
      <w:r w:rsidRPr="00283424">
        <w:tab/>
        <w:t>is made for paragraphs 963B(1)(e) and 963C(f) of the Act; and</w:t>
      </w:r>
    </w:p>
    <w:p w14:paraId="74C18F0A" w14:textId="77777777" w:rsidR="00E93F58" w:rsidRPr="00283424" w:rsidRDefault="00E93F58" w:rsidP="00B50726">
      <w:pPr>
        <w:pStyle w:val="paragraph"/>
      </w:pPr>
      <w:r w:rsidRPr="00283424">
        <w:tab/>
        <w:t>(b)</w:t>
      </w:r>
      <w:r w:rsidRPr="00283424">
        <w:tab/>
        <w:t>prescribes the circumstances in which a monetary or non</w:t>
      </w:r>
      <w:r>
        <w:noBreakHyphen/>
      </w:r>
      <w:r w:rsidRPr="00283424">
        <w:t xml:space="preserve">monetary benefit given to a financial services licensee, or representative of a financial services licensee, (the </w:t>
      </w:r>
      <w:r w:rsidRPr="00283424">
        <w:rPr>
          <w:b/>
          <w:i/>
        </w:rPr>
        <w:t>provider</w:t>
      </w:r>
      <w:r w:rsidRPr="00283424">
        <w:t>) who provides financial product advice to persons as retail clients is not conflicted remuneration.</w:t>
      </w:r>
    </w:p>
    <w:p w14:paraId="4099710A" w14:textId="77777777" w:rsidR="00E93F58" w:rsidRPr="00283424" w:rsidRDefault="00E93F58" w:rsidP="00B50726">
      <w:pPr>
        <w:pStyle w:val="ActHead5"/>
      </w:pPr>
      <w:bookmarkStart w:id="1212" w:name="_Toc152054584"/>
      <w:bookmarkStart w:id="1213" w:name="_Toc158712400"/>
      <w:r w:rsidRPr="006F296E">
        <w:rPr>
          <w:rStyle w:val="CharSectno"/>
        </w:rPr>
        <w:t>7.7A.12G</w:t>
      </w:r>
      <w:r w:rsidRPr="00283424">
        <w:t xml:space="preserve">  General insurance</w:t>
      </w:r>
      <w:bookmarkEnd w:id="1212"/>
      <w:bookmarkEnd w:id="1213"/>
    </w:p>
    <w:p w14:paraId="59925097" w14:textId="77777777" w:rsidR="00E93F58" w:rsidRPr="00283424" w:rsidRDefault="00E93F58" w:rsidP="00B50726">
      <w:pPr>
        <w:pStyle w:val="subsection"/>
      </w:pPr>
      <w:r w:rsidRPr="00283424">
        <w:tab/>
      </w:r>
      <w:r w:rsidRPr="00283424">
        <w:tab/>
        <w:t>A benefit is not conflicted remuneration if the benefit is given in relation to a general insurance product.</w:t>
      </w:r>
    </w:p>
    <w:p w14:paraId="5D2AA764" w14:textId="77777777" w:rsidR="00E93F58" w:rsidRPr="00283424" w:rsidRDefault="00E93F58" w:rsidP="00B50726">
      <w:pPr>
        <w:pStyle w:val="notetext"/>
      </w:pPr>
      <w:r w:rsidRPr="00283424">
        <w:t>Note:</w:t>
      </w:r>
      <w:r w:rsidRPr="00283424">
        <w:tab/>
        <w:t>If a benefit is given in relation to a financial product that consists of both general insurance and life risk insurance, the benefit is to be treated as relating to a general insurance product and a life risk insurance product.</w:t>
      </w:r>
    </w:p>
    <w:p w14:paraId="48648ECE" w14:textId="77777777" w:rsidR="00E93F58" w:rsidRPr="00283424" w:rsidRDefault="00E93F58" w:rsidP="00B50726">
      <w:pPr>
        <w:pStyle w:val="ActHead5"/>
      </w:pPr>
      <w:bookmarkStart w:id="1214" w:name="_Toc152054585"/>
      <w:bookmarkStart w:id="1215" w:name="_Toc158712401"/>
      <w:r w:rsidRPr="006F296E">
        <w:rPr>
          <w:rStyle w:val="CharSectno"/>
        </w:rPr>
        <w:t>7.7A.12H</w:t>
      </w:r>
      <w:r w:rsidRPr="00283424">
        <w:t xml:space="preserve">  Basic banking and general insurance products</w:t>
      </w:r>
      <w:bookmarkEnd w:id="1214"/>
      <w:bookmarkEnd w:id="1215"/>
    </w:p>
    <w:p w14:paraId="54C748C1" w14:textId="77777777" w:rsidR="00E93F58" w:rsidRPr="00283424" w:rsidRDefault="00E93F58" w:rsidP="00B50726">
      <w:pPr>
        <w:pStyle w:val="subsection"/>
      </w:pPr>
      <w:r w:rsidRPr="00283424">
        <w:tab/>
      </w:r>
      <w:r w:rsidRPr="00283424">
        <w:tab/>
        <w:t>A benefit is not conflicted remuneration if:</w:t>
      </w:r>
    </w:p>
    <w:p w14:paraId="7C3EFEBC" w14:textId="77777777" w:rsidR="00E93F58" w:rsidRPr="00283424" w:rsidRDefault="00E93F58" w:rsidP="00B50726">
      <w:pPr>
        <w:pStyle w:val="paragraph"/>
      </w:pPr>
      <w:r w:rsidRPr="00283424">
        <w:lastRenderedPageBreak/>
        <w:tab/>
        <w:t>(a)</w:t>
      </w:r>
      <w:r w:rsidRPr="00283424">
        <w:tab/>
        <w:t>to the extent that the benefit is given in relation to financial product advice, the benefit only relates to the following financial products:</w:t>
      </w:r>
    </w:p>
    <w:p w14:paraId="17BF5E59" w14:textId="77777777" w:rsidR="00E93F58" w:rsidRPr="00283424" w:rsidRDefault="00E93F58" w:rsidP="00B50726">
      <w:pPr>
        <w:pStyle w:val="paragraphsub"/>
      </w:pPr>
      <w:r w:rsidRPr="00283424">
        <w:tab/>
        <w:t>(i)</w:t>
      </w:r>
      <w:r w:rsidRPr="00283424">
        <w:tab/>
        <w:t>a basic banking product;</w:t>
      </w:r>
    </w:p>
    <w:p w14:paraId="23932D1D" w14:textId="77777777" w:rsidR="00E93F58" w:rsidRPr="00283424" w:rsidRDefault="00E93F58" w:rsidP="00B50726">
      <w:pPr>
        <w:pStyle w:val="paragraphsub"/>
      </w:pPr>
      <w:r w:rsidRPr="00283424">
        <w:tab/>
        <w:t>(ii)</w:t>
      </w:r>
      <w:r w:rsidRPr="00283424">
        <w:tab/>
        <w:t>a general insurance product;</w:t>
      </w:r>
    </w:p>
    <w:p w14:paraId="60366E86" w14:textId="77777777" w:rsidR="00E93F58" w:rsidRPr="00283424" w:rsidRDefault="00E93F58" w:rsidP="00B50726">
      <w:pPr>
        <w:pStyle w:val="paragraphsub"/>
      </w:pPr>
      <w:r w:rsidRPr="00283424">
        <w:tab/>
        <w:t>(iii)</w:t>
      </w:r>
      <w:r w:rsidRPr="00283424">
        <w:tab/>
        <w:t>consumer credit insurance;</w:t>
      </w:r>
    </w:p>
    <w:p w14:paraId="233B0557" w14:textId="77777777" w:rsidR="00E93F58" w:rsidRPr="00283424" w:rsidRDefault="00E93F58" w:rsidP="00B50726">
      <w:pPr>
        <w:pStyle w:val="paragraphsub"/>
      </w:pPr>
      <w:r w:rsidRPr="00283424">
        <w:tab/>
        <w:t>(iv)</w:t>
      </w:r>
      <w:r w:rsidRPr="00283424">
        <w:tab/>
        <w:t>a combination of any of those products; and</w:t>
      </w:r>
    </w:p>
    <w:p w14:paraId="2A489B58" w14:textId="77777777" w:rsidR="00E93F58" w:rsidRPr="00283424" w:rsidRDefault="00E93F58" w:rsidP="00B50726">
      <w:pPr>
        <w:pStyle w:val="paragraph"/>
      </w:pPr>
      <w:r w:rsidRPr="00283424">
        <w:tab/>
        <w:t>(b)</w:t>
      </w:r>
      <w:r w:rsidRPr="00283424">
        <w:tab/>
        <w:t>the provider does not, at the same time, provide advice about any other financial products; and</w:t>
      </w:r>
    </w:p>
    <w:p w14:paraId="3E7C5669" w14:textId="77777777" w:rsidR="00E93F58" w:rsidRPr="00283424" w:rsidRDefault="00E93F58" w:rsidP="00B50726">
      <w:pPr>
        <w:pStyle w:val="paragraph"/>
      </w:pPr>
      <w:r w:rsidRPr="00283424">
        <w:tab/>
        <w:t>(c)</w:t>
      </w:r>
      <w:r w:rsidRPr="00283424">
        <w:tab/>
        <w:t>the provider is:</w:t>
      </w:r>
    </w:p>
    <w:p w14:paraId="430BD302" w14:textId="77777777" w:rsidR="00E93F58" w:rsidRPr="00283424" w:rsidRDefault="00E93F58" w:rsidP="00B50726">
      <w:pPr>
        <w:pStyle w:val="paragraphsub"/>
      </w:pPr>
      <w:r w:rsidRPr="00283424">
        <w:tab/>
        <w:t>(i)</w:t>
      </w:r>
      <w:r w:rsidRPr="00283424">
        <w:tab/>
        <w:t>an agent or an employee of an Australian ADI; or</w:t>
      </w:r>
    </w:p>
    <w:p w14:paraId="37AADDE7" w14:textId="77777777" w:rsidR="00E93F58" w:rsidRPr="00283424" w:rsidRDefault="00E93F58" w:rsidP="00B50726">
      <w:pPr>
        <w:pStyle w:val="paragraphsub"/>
      </w:pPr>
      <w:r w:rsidRPr="00283424">
        <w:tab/>
        <w:t>(ii)</w:t>
      </w:r>
      <w:r w:rsidRPr="00283424">
        <w:tab/>
        <w:t>otherwise acting by arrangement with an Australian ADI under the name of the Australian ADI.</w:t>
      </w:r>
    </w:p>
    <w:p w14:paraId="310FA928" w14:textId="77777777" w:rsidR="00E93F58" w:rsidRPr="00283424" w:rsidRDefault="00E93F58" w:rsidP="00B50726">
      <w:pPr>
        <w:pStyle w:val="ActHead5"/>
      </w:pPr>
      <w:bookmarkStart w:id="1216" w:name="_Toc152054586"/>
      <w:bookmarkStart w:id="1217" w:name="_Toc158712402"/>
      <w:r w:rsidRPr="006F296E">
        <w:rPr>
          <w:rStyle w:val="CharSectno"/>
        </w:rPr>
        <w:t>7.7A.12I</w:t>
      </w:r>
      <w:r w:rsidRPr="00283424">
        <w:t xml:space="preserve">  Mixed benefits</w:t>
      </w:r>
      <w:bookmarkEnd w:id="1216"/>
      <w:bookmarkEnd w:id="1217"/>
    </w:p>
    <w:p w14:paraId="40D92CE3" w14:textId="77777777" w:rsidR="00E93F58" w:rsidRPr="00283424" w:rsidRDefault="00E93F58" w:rsidP="00B50726">
      <w:pPr>
        <w:pStyle w:val="subsection"/>
      </w:pPr>
      <w:r w:rsidRPr="00283424">
        <w:tab/>
        <w:t>(1)</w:t>
      </w:r>
      <w:r w:rsidRPr="00283424">
        <w:tab/>
        <w:t>A benefit that is given in one or more of the circumstances set out in the prescribed provisions is not conflicted remuneration even if:</w:t>
      </w:r>
    </w:p>
    <w:p w14:paraId="669BD3A2" w14:textId="77777777" w:rsidR="00E93F58" w:rsidRPr="00283424" w:rsidRDefault="00E93F58" w:rsidP="00B50726">
      <w:pPr>
        <w:pStyle w:val="paragraph"/>
      </w:pPr>
      <w:r w:rsidRPr="00283424">
        <w:tab/>
        <w:t>(a)</w:t>
      </w:r>
      <w:r w:rsidRPr="00283424">
        <w:tab/>
        <w:t>the benefit also relates to other activities, but only to the extent that the part of the benefit that relates to the other activities is not conflicted remuneration; or</w:t>
      </w:r>
    </w:p>
    <w:p w14:paraId="0312DF86" w14:textId="77777777" w:rsidR="00E93F58" w:rsidRPr="00283424" w:rsidRDefault="00E93F58" w:rsidP="00B50726">
      <w:pPr>
        <w:pStyle w:val="paragraph"/>
      </w:pPr>
      <w:r w:rsidRPr="00283424">
        <w:tab/>
        <w:t>(b)</w:t>
      </w:r>
      <w:r w:rsidRPr="00283424">
        <w:tab/>
        <w:t>the provider, at the same time, provides other services (whether or not financial services).</w:t>
      </w:r>
    </w:p>
    <w:p w14:paraId="0615B9DA" w14:textId="77777777" w:rsidR="00E93F58" w:rsidRPr="00283424" w:rsidRDefault="00E93F58" w:rsidP="00B50726">
      <w:pPr>
        <w:pStyle w:val="subsection"/>
      </w:pPr>
      <w:r w:rsidRPr="00283424">
        <w:tab/>
        <w:t>(2)</w:t>
      </w:r>
      <w:r w:rsidRPr="00283424">
        <w:tab/>
        <w:t>However, subregulation (1) does not apply to the extent that the prescribed provisions under which the benefit is given provide that:</w:t>
      </w:r>
    </w:p>
    <w:p w14:paraId="0A878D15" w14:textId="77777777" w:rsidR="00E93F58" w:rsidRPr="00283424" w:rsidRDefault="00E93F58" w:rsidP="00B50726">
      <w:pPr>
        <w:pStyle w:val="paragraph"/>
      </w:pPr>
      <w:r w:rsidRPr="00283424">
        <w:tab/>
        <w:t>(a)</w:t>
      </w:r>
      <w:r w:rsidRPr="00283424">
        <w:tab/>
        <w:t>the benefit may only relate to particular financial products or services; or</w:t>
      </w:r>
    </w:p>
    <w:p w14:paraId="0D3C2189" w14:textId="77777777" w:rsidR="00E93F58" w:rsidRPr="00283424" w:rsidRDefault="00E93F58" w:rsidP="00B50726">
      <w:pPr>
        <w:pStyle w:val="paragraph"/>
      </w:pPr>
      <w:r w:rsidRPr="00283424">
        <w:tab/>
        <w:t>(b)</w:t>
      </w:r>
      <w:r w:rsidRPr="00283424">
        <w:tab/>
        <w:t>the provider must not receive the benefit if the provider is, at the same time, providing other specified financial services.</w:t>
      </w:r>
    </w:p>
    <w:p w14:paraId="56DF30DB" w14:textId="77777777" w:rsidR="00E93F58" w:rsidRPr="00283424" w:rsidRDefault="00E93F58" w:rsidP="00B50726">
      <w:pPr>
        <w:pStyle w:val="subsection"/>
      </w:pPr>
      <w:r w:rsidRPr="00283424">
        <w:tab/>
        <w:t>(3)</w:t>
      </w:r>
      <w:r w:rsidRPr="00283424">
        <w:tab/>
        <w:t>In this regulation:</w:t>
      </w:r>
    </w:p>
    <w:p w14:paraId="4B621B50" w14:textId="77777777" w:rsidR="00E93F58" w:rsidRPr="00283424" w:rsidRDefault="00E93F58" w:rsidP="00B50726">
      <w:pPr>
        <w:pStyle w:val="Definition"/>
      </w:pPr>
      <w:r w:rsidRPr="00283424">
        <w:rPr>
          <w:b/>
          <w:i/>
        </w:rPr>
        <w:t>prescribed provision</w:t>
      </w:r>
      <w:r w:rsidRPr="00283424">
        <w:t xml:space="preserve"> means:</w:t>
      </w:r>
    </w:p>
    <w:p w14:paraId="0DBEADD9" w14:textId="77777777" w:rsidR="00E93F58" w:rsidRPr="00283424" w:rsidRDefault="00E93F58" w:rsidP="00B50726">
      <w:pPr>
        <w:pStyle w:val="paragraph"/>
      </w:pPr>
      <w:r w:rsidRPr="00283424">
        <w:tab/>
        <w:t>(a)</w:t>
      </w:r>
      <w:r w:rsidRPr="00283424">
        <w:tab/>
        <w:t>paragraph 963B(1)(a), (b), (c) or (d) of the Act, or a regulation made under paragraph 963B(1)(e) of the Act; or</w:t>
      </w:r>
    </w:p>
    <w:p w14:paraId="672012E1" w14:textId="77777777" w:rsidR="00E93F58" w:rsidRPr="00283424" w:rsidRDefault="00E93F58" w:rsidP="00B50726">
      <w:pPr>
        <w:pStyle w:val="paragraph"/>
      </w:pPr>
      <w:r w:rsidRPr="00283424">
        <w:tab/>
        <w:t>(b)</w:t>
      </w:r>
      <w:r w:rsidRPr="00283424">
        <w:tab/>
        <w:t>paragraph 963C(a), (b), (c), (d) or (e) of the Act, or a regulation made under paragraph 963C(f) of the Act.</w:t>
      </w:r>
    </w:p>
    <w:p w14:paraId="548132A7" w14:textId="77777777" w:rsidR="00E93F58" w:rsidRPr="00283424" w:rsidRDefault="00E93F58" w:rsidP="00B50726">
      <w:pPr>
        <w:pStyle w:val="ActHead5"/>
      </w:pPr>
      <w:bookmarkStart w:id="1218" w:name="_Toc152054587"/>
      <w:bookmarkStart w:id="1219" w:name="_Toc158712403"/>
      <w:r w:rsidRPr="006F296E">
        <w:rPr>
          <w:rStyle w:val="CharSectno"/>
        </w:rPr>
        <w:t>7.7A.13</w:t>
      </w:r>
      <w:r w:rsidRPr="00283424">
        <w:t xml:space="preserve">  Non</w:t>
      </w:r>
      <w:r>
        <w:noBreakHyphen/>
      </w:r>
      <w:r w:rsidRPr="00283424">
        <w:t>monetary benefit given in certain circumstances not conflicted remuneration: prescribed amount</w:t>
      </w:r>
      <w:bookmarkEnd w:id="1218"/>
      <w:bookmarkEnd w:id="1219"/>
    </w:p>
    <w:p w14:paraId="7B81269A" w14:textId="77777777" w:rsidR="00E93F58" w:rsidRPr="00283424" w:rsidRDefault="00E93F58" w:rsidP="00B50726">
      <w:pPr>
        <w:pStyle w:val="subsection"/>
        <w:keepNext/>
        <w:keepLines/>
      </w:pPr>
      <w:r w:rsidRPr="00283424">
        <w:tab/>
      </w:r>
      <w:r w:rsidRPr="00283424">
        <w:tab/>
        <w:t>For subparagraph 963C(b)(i) of the Act, the amount is $300 for each financial services licensee, or each representative of a financial services licensee, who is the final recipient of a non</w:t>
      </w:r>
      <w:r>
        <w:noBreakHyphen/>
      </w:r>
      <w:r w:rsidRPr="00283424">
        <w:t>monetary benefit.</w:t>
      </w:r>
    </w:p>
    <w:p w14:paraId="24B2DE67" w14:textId="77777777" w:rsidR="00E93F58" w:rsidRPr="00283424" w:rsidRDefault="00E93F58" w:rsidP="00B50726">
      <w:pPr>
        <w:pStyle w:val="notetext"/>
      </w:pPr>
      <w:r w:rsidRPr="00283424">
        <w:t>Note:</w:t>
      </w:r>
      <w:r w:rsidRPr="00283424">
        <w:tab/>
        <w:t>Under paragraph 963C(b) of the Act, if a non</w:t>
      </w:r>
      <w:r>
        <w:noBreakHyphen/>
      </w:r>
      <w:r w:rsidRPr="00283424">
        <w:t>monetary benefit is given to a financial services licensee, or a representative of a financial services licensee, who provides financial advice, is less than the prescribed amount and identical or similar benefits are not given on a frequent or regular basis, the benefit is not conflicted remuneration.</w:t>
      </w:r>
    </w:p>
    <w:p w14:paraId="7D0AE404" w14:textId="77777777" w:rsidR="00E93F58" w:rsidRPr="00283424" w:rsidRDefault="00E93F58" w:rsidP="00B50726">
      <w:pPr>
        <w:pStyle w:val="ActHead5"/>
      </w:pPr>
      <w:bookmarkStart w:id="1220" w:name="_Toc152054588"/>
      <w:bookmarkStart w:id="1221" w:name="_Toc158712404"/>
      <w:r w:rsidRPr="006F296E">
        <w:rPr>
          <w:rStyle w:val="CharSectno"/>
        </w:rPr>
        <w:t>7.7A.14</w:t>
      </w:r>
      <w:r w:rsidRPr="00283424">
        <w:t xml:space="preserve">  Non</w:t>
      </w:r>
      <w:r>
        <w:noBreakHyphen/>
      </w:r>
      <w:r w:rsidRPr="00283424">
        <w:t>monetary benefit given in certain circumstances not conflicted remuneration: education or training course</w:t>
      </w:r>
      <w:bookmarkEnd w:id="1220"/>
      <w:bookmarkEnd w:id="1221"/>
    </w:p>
    <w:p w14:paraId="25DA5C0D" w14:textId="77777777" w:rsidR="00E93F58" w:rsidRPr="00283424" w:rsidRDefault="00E93F58" w:rsidP="00B50726">
      <w:pPr>
        <w:pStyle w:val="subsection"/>
      </w:pPr>
      <w:r w:rsidRPr="00283424">
        <w:tab/>
        <w:t>(1)</w:t>
      </w:r>
      <w:r w:rsidRPr="00283424">
        <w:tab/>
        <w:t>This regulation is made for subparagraph 963C(c)(iii) of the Act.</w:t>
      </w:r>
    </w:p>
    <w:p w14:paraId="450A1618" w14:textId="77777777" w:rsidR="00E93F58" w:rsidRPr="00283424" w:rsidRDefault="00E93F58" w:rsidP="00B50726">
      <w:pPr>
        <w:pStyle w:val="subsection"/>
      </w:pPr>
      <w:r w:rsidRPr="00283424">
        <w:tab/>
        <w:t>(2)</w:t>
      </w:r>
      <w:r w:rsidRPr="00283424">
        <w:tab/>
        <w:t>This regulation sets out requirements if a non</w:t>
      </w:r>
      <w:r>
        <w:noBreakHyphen/>
      </w:r>
      <w:r w:rsidRPr="00283424">
        <w:t>monetary benefit to which subparagraphs 963C(c)(i) and (ii) of the Act apply is the provision of an education or training course to a financial services licensee, or a representative of a financial services licensee.</w:t>
      </w:r>
    </w:p>
    <w:p w14:paraId="2EFE797A" w14:textId="77777777" w:rsidR="00E93F58" w:rsidRPr="00283424" w:rsidRDefault="00E93F58" w:rsidP="00B50726">
      <w:pPr>
        <w:pStyle w:val="notetext"/>
      </w:pPr>
      <w:r w:rsidRPr="00283424">
        <w:t>Note:</w:t>
      </w:r>
      <w:r w:rsidRPr="00283424">
        <w:tab/>
        <w:t>Under paragraph 963C(c) of the Act, if certain non</w:t>
      </w:r>
      <w:r>
        <w:noBreakHyphen/>
      </w:r>
      <w:r w:rsidRPr="00283424">
        <w:t>monetary benefits have a genuine education or training purpose, are relevant to the provision of financial product advice to retail clients and comply with the regulations, the benefits are not conflicted remuneration.</w:t>
      </w:r>
    </w:p>
    <w:p w14:paraId="7387003A" w14:textId="77777777" w:rsidR="00E93F58" w:rsidRPr="00283424" w:rsidRDefault="00E93F58" w:rsidP="00B50726">
      <w:pPr>
        <w:pStyle w:val="subsection"/>
      </w:pPr>
      <w:r w:rsidRPr="00283424">
        <w:tab/>
        <w:t>(3)</w:t>
      </w:r>
      <w:r w:rsidRPr="00283424">
        <w:tab/>
        <w:t>Education or training activities for the professional development of the participants in the course must take up at least:</w:t>
      </w:r>
    </w:p>
    <w:p w14:paraId="1D20B924" w14:textId="77777777" w:rsidR="00E93F58" w:rsidRPr="00283424" w:rsidRDefault="00E93F58" w:rsidP="00B50726">
      <w:pPr>
        <w:pStyle w:val="paragraph"/>
      </w:pPr>
      <w:r w:rsidRPr="00283424">
        <w:tab/>
        <w:t>(a)</w:t>
      </w:r>
      <w:r w:rsidRPr="00283424">
        <w:tab/>
        <w:t>75% of the time spent on the course; or</w:t>
      </w:r>
    </w:p>
    <w:p w14:paraId="0B6B6E87" w14:textId="77777777" w:rsidR="00E93F58" w:rsidRPr="00283424" w:rsidRDefault="00E93F58" w:rsidP="00B50726">
      <w:pPr>
        <w:pStyle w:val="paragraph"/>
      </w:pPr>
      <w:r w:rsidRPr="00283424">
        <w:tab/>
        <w:t>(b)</w:t>
      </w:r>
      <w:r w:rsidRPr="00283424">
        <w:tab/>
        <w:t>6 hours a day;</w:t>
      </w:r>
    </w:p>
    <w:p w14:paraId="337BD95B" w14:textId="77777777" w:rsidR="00E93F58" w:rsidRPr="00283424" w:rsidRDefault="00E93F58" w:rsidP="00B50726">
      <w:pPr>
        <w:pStyle w:val="subsection2"/>
      </w:pPr>
      <w:r w:rsidRPr="00283424">
        <w:t>whichever is the lesser.</w:t>
      </w:r>
    </w:p>
    <w:p w14:paraId="314E4742" w14:textId="77777777" w:rsidR="00E93F58" w:rsidRPr="00283424" w:rsidRDefault="00E93F58" w:rsidP="00B50726">
      <w:pPr>
        <w:pStyle w:val="subsection"/>
      </w:pPr>
      <w:r w:rsidRPr="00283424">
        <w:tab/>
        <w:t>(4)</w:t>
      </w:r>
      <w:r w:rsidRPr="00283424">
        <w:tab/>
        <w:t>The participant, or the participant’s employer or licensee, must pay for the costs of:</w:t>
      </w:r>
    </w:p>
    <w:p w14:paraId="23108898" w14:textId="77777777" w:rsidR="00E93F58" w:rsidRPr="00283424" w:rsidRDefault="00E93F58" w:rsidP="00B50726">
      <w:pPr>
        <w:pStyle w:val="paragraph"/>
      </w:pPr>
      <w:r w:rsidRPr="00283424">
        <w:lastRenderedPageBreak/>
        <w:tab/>
        <w:t>(a)</w:t>
      </w:r>
      <w:r w:rsidRPr="00283424">
        <w:tab/>
        <w:t>travel and accommodation relating to the course; and</w:t>
      </w:r>
    </w:p>
    <w:p w14:paraId="4C54EBFC" w14:textId="77777777" w:rsidR="00E93F58" w:rsidRPr="00283424" w:rsidRDefault="00E93F58" w:rsidP="00B50726">
      <w:pPr>
        <w:pStyle w:val="paragraph"/>
      </w:pPr>
      <w:r w:rsidRPr="00283424">
        <w:tab/>
        <w:t>(b)</w:t>
      </w:r>
      <w:r w:rsidRPr="00283424">
        <w:tab/>
        <w:t>events and functions held in conjunction with the course.</w:t>
      </w:r>
    </w:p>
    <w:p w14:paraId="70EE084C" w14:textId="77777777" w:rsidR="00E93F58" w:rsidRPr="00283424" w:rsidRDefault="00E93F58" w:rsidP="00B50726">
      <w:pPr>
        <w:pStyle w:val="notetext"/>
      </w:pPr>
      <w:r w:rsidRPr="00283424">
        <w:t>Example:</w:t>
      </w:r>
      <w:r w:rsidRPr="00283424">
        <w:tab/>
        <w:t>The cost of day trips or dinners.</w:t>
      </w:r>
    </w:p>
    <w:p w14:paraId="76C13F12" w14:textId="77777777" w:rsidR="00E93F58" w:rsidRPr="00283424" w:rsidRDefault="00E93F58" w:rsidP="00B50726">
      <w:pPr>
        <w:pStyle w:val="subsection"/>
      </w:pPr>
      <w:r w:rsidRPr="00283424">
        <w:tab/>
        <w:t>(5)</w:t>
      </w:r>
      <w:r w:rsidRPr="00283424">
        <w:tab/>
        <w:t>In this regulation:</w:t>
      </w:r>
    </w:p>
    <w:p w14:paraId="6E9D924B" w14:textId="77777777" w:rsidR="00E93F58" w:rsidRPr="00283424" w:rsidRDefault="00E93F58" w:rsidP="00B50726">
      <w:pPr>
        <w:pStyle w:val="Definition"/>
      </w:pPr>
      <w:r w:rsidRPr="00283424">
        <w:rPr>
          <w:b/>
          <w:i/>
        </w:rPr>
        <w:t>education or training course</w:t>
      </w:r>
      <w:r w:rsidRPr="00283424">
        <w:t xml:space="preserve"> includes a conference or seminar.</w:t>
      </w:r>
    </w:p>
    <w:p w14:paraId="2E0231B8" w14:textId="77777777" w:rsidR="00E93F58" w:rsidRPr="00283424" w:rsidRDefault="00E93F58" w:rsidP="00B50726">
      <w:pPr>
        <w:pStyle w:val="ActHead5"/>
      </w:pPr>
      <w:bookmarkStart w:id="1222" w:name="_Toc152054589"/>
      <w:bookmarkStart w:id="1223" w:name="_Toc158712405"/>
      <w:r w:rsidRPr="006F296E">
        <w:rPr>
          <w:rStyle w:val="CharSectno"/>
        </w:rPr>
        <w:t>7.7A.15</w:t>
      </w:r>
      <w:r w:rsidRPr="00283424">
        <w:t xml:space="preserve">  Non</w:t>
      </w:r>
      <w:r>
        <w:noBreakHyphen/>
      </w:r>
      <w:r w:rsidRPr="00283424">
        <w:t>monetary benefit given in certain circumstances not conflicted remuneration: other education and training benefit</w:t>
      </w:r>
      <w:bookmarkEnd w:id="1222"/>
      <w:bookmarkEnd w:id="1223"/>
    </w:p>
    <w:p w14:paraId="253A3E08" w14:textId="77777777" w:rsidR="00E93F58" w:rsidRPr="00283424" w:rsidRDefault="00E93F58" w:rsidP="00B50726">
      <w:pPr>
        <w:pStyle w:val="subsection"/>
      </w:pPr>
      <w:r w:rsidRPr="00283424">
        <w:tab/>
        <w:t>(1)</w:t>
      </w:r>
      <w:r w:rsidRPr="00283424">
        <w:tab/>
        <w:t>This regulation is made for subparagraph 963C(c)(iii) of the Act.</w:t>
      </w:r>
    </w:p>
    <w:p w14:paraId="466A78BF" w14:textId="77777777" w:rsidR="00E93F58" w:rsidRPr="00283424" w:rsidRDefault="00E93F58" w:rsidP="00B50726">
      <w:pPr>
        <w:pStyle w:val="subsection"/>
      </w:pPr>
      <w:r w:rsidRPr="00283424">
        <w:tab/>
        <w:t>(2)</w:t>
      </w:r>
      <w:r w:rsidRPr="00283424">
        <w:tab/>
        <w:t>This regulation sets out a requirement if a non</w:t>
      </w:r>
      <w:r>
        <w:noBreakHyphen/>
      </w:r>
      <w:r w:rsidRPr="00283424">
        <w:t>monetary benefit to which subparagraphs 963C(c)(i) and (ii) of the Act apply is not the provision of an education or training course to which regulation 7.7A.13 applies.</w:t>
      </w:r>
    </w:p>
    <w:p w14:paraId="7DA707EE" w14:textId="77777777" w:rsidR="00E93F58" w:rsidRPr="00283424" w:rsidRDefault="00E93F58" w:rsidP="00B50726">
      <w:pPr>
        <w:pStyle w:val="notetext"/>
      </w:pPr>
      <w:r w:rsidRPr="00283424">
        <w:t>Note:</w:t>
      </w:r>
      <w:r w:rsidRPr="00283424">
        <w:tab/>
        <w:t>Under paragraph 963C(c) of the Act, if certain non</w:t>
      </w:r>
      <w:r>
        <w:noBreakHyphen/>
      </w:r>
      <w:r w:rsidRPr="00283424">
        <w:t>monetary benefits have a genuine education or training purpose, are relevant to the provision of financial product advice to retail clients and comply with the regulations, the benefits are not conflicted remuneration.</w:t>
      </w:r>
    </w:p>
    <w:p w14:paraId="0BE83FC8" w14:textId="77777777" w:rsidR="00E93F58" w:rsidRPr="00283424" w:rsidRDefault="00E93F58" w:rsidP="00B50726">
      <w:pPr>
        <w:pStyle w:val="subsection"/>
      </w:pPr>
      <w:r w:rsidRPr="00283424">
        <w:tab/>
        <w:t>(3)</w:t>
      </w:r>
      <w:r w:rsidRPr="00283424">
        <w:tab/>
        <w:t>The dominant purpose of the non</w:t>
      </w:r>
      <w:r>
        <w:noBreakHyphen/>
      </w:r>
      <w:r w:rsidRPr="00283424">
        <w:t>monetary benefit must be education and training.</w:t>
      </w:r>
    </w:p>
    <w:p w14:paraId="67E39B1E" w14:textId="77777777" w:rsidR="00E93F58" w:rsidRPr="00283424" w:rsidRDefault="00E93F58" w:rsidP="00B50726">
      <w:pPr>
        <w:pStyle w:val="ActHead5"/>
      </w:pPr>
      <w:bookmarkStart w:id="1224" w:name="_Toc152054590"/>
      <w:bookmarkStart w:id="1225" w:name="_Toc158712406"/>
      <w:r w:rsidRPr="006F296E">
        <w:rPr>
          <w:rStyle w:val="CharSectno"/>
        </w:rPr>
        <w:t>7.7A.15A</w:t>
      </w:r>
      <w:r w:rsidRPr="00283424">
        <w:t xml:space="preserve">  Non</w:t>
      </w:r>
      <w:r>
        <w:noBreakHyphen/>
      </w:r>
      <w:r w:rsidRPr="00283424">
        <w:t>monetary benefit given in certain circumstances not conflicted remuneration—education and training in conducting a financial services business</w:t>
      </w:r>
      <w:bookmarkEnd w:id="1224"/>
      <w:bookmarkEnd w:id="1225"/>
    </w:p>
    <w:p w14:paraId="21C2C855" w14:textId="77777777" w:rsidR="00E93F58" w:rsidRPr="00283424" w:rsidRDefault="00E93F58" w:rsidP="00B50726">
      <w:pPr>
        <w:pStyle w:val="subsection"/>
      </w:pPr>
      <w:r w:rsidRPr="00283424">
        <w:tab/>
        <w:t>(1)</w:t>
      </w:r>
      <w:r w:rsidRPr="00283424">
        <w:tab/>
        <w:t>This regulation:</w:t>
      </w:r>
    </w:p>
    <w:p w14:paraId="488C3713" w14:textId="77777777" w:rsidR="00E93F58" w:rsidRPr="00283424" w:rsidRDefault="00E93F58" w:rsidP="00B50726">
      <w:pPr>
        <w:pStyle w:val="paragraph"/>
      </w:pPr>
      <w:r w:rsidRPr="00283424">
        <w:tab/>
        <w:t>(a)</w:t>
      </w:r>
      <w:r w:rsidRPr="00283424">
        <w:tab/>
        <w:t>is made for paragraph 963C(f) of the Act; and</w:t>
      </w:r>
    </w:p>
    <w:p w14:paraId="4629B7B5" w14:textId="77777777" w:rsidR="00E93F58" w:rsidRPr="00283424" w:rsidRDefault="00E93F58" w:rsidP="00B50726">
      <w:pPr>
        <w:pStyle w:val="paragraph"/>
      </w:pPr>
      <w:r w:rsidRPr="00283424">
        <w:tab/>
        <w:t>(b)</w:t>
      </w:r>
      <w:r w:rsidRPr="00283424">
        <w:tab/>
        <w:t>prescribes the circumstances in which a non</w:t>
      </w:r>
      <w:r>
        <w:noBreakHyphen/>
      </w:r>
      <w:r w:rsidRPr="00283424">
        <w:t>monetary benefit given to a financial services licensee, or representative of a financial services licensee, who provides financial product advice to persons as retail clients is not conflicted remuneration.</w:t>
      </w:r>
    </w:p>
    <w:p w14:paraId="4979727F" w14:textId="77777777" w:rsidR="00E93F58" w:rsidRPr="00283424" w:rsidRDefault="00E93F58" w:rsidP="00B50726">
      <w:pPr>
        <w:pStyle w:val="subsection"/>
      </w:pPr>
      <w:r w:rsidRPr="00283424">
        <w:tab/>
        <w:t>(2)</w:t>
      </w:r>
      <w:r w:rsidRPr="00283424">
        <w:tab/>
        <w:t>The benefit is not conflicted remuneration if the benefit:</w:t>
      </w:r>
    </w:p>
    <w:p w14:paraId="532A4083" w14:textId="77777777" w:rsidR="00E93F58" w:rsidRPr="00283424" w:rsidRDefault="00E93F58" w:rsidP="00B50726">
      <w:pPr>
        <w:pStyle w:val="paragraph"/>
      </w:pPr>
      <w:r w:rsidRPr="00283424">
        <w:tab/>
        <w:t>(a)</w:t>
      </w:r>
      <w:r w:rsidRPr="00283424">
        <w:tab/>
        <w:t>has a genuine education or training purpose; and</w:t>
      </w:r>
    </w:p>
    <w:p w14:paraId="16F9BB48" w14:textId="77777777" w:rsidR="00E93F58" w:rsidRPr="00283424" w:rsidRDefault="00E93F58" w:rsidP="00B50726">
      <w:pPr>
        <w:pStyle w:val="paragraph"/>
      </w:pPr>
      <w:r w:rsidRPr="00283424">
        <w:tab/>
        <w:t>(b)</w:t>
      </w:r>
      <w:r w:rsidRPr="00283424">
        <w:tab/>
        <w:t>is relevant to the carrying on of a financial services business; and</w:t>
      </w:r>
    </w:p>
    <w:p w14:paraId="05927CE5" w14:textId="77777777" w:rsidR="00E93F58" w:rsidRPr="00283424" w:rsidRDefault="00E93F58" w:rsidP="00B50726">
      <w:pPr>
        <w:pStyle w:val="paragraph"/>
      </w:pPr>
      <w:r w:rsidRPr="00283424">
        <w:tab/>
        <w:t>(c)</w:t>
      </w:r>
      <w:r w:rsidRPr="00283424">
        <w:tab/>
        <w:t>complies with regulations made for the purposes of subparagraph 963C(c)(iii) of the Act.</w:t>
      </w:r>
    </w:p>
    <w:p w14:paraId="5FCE1875" w14:textId="77777777" w:rsidR="00E93F58" w:rsidRPr="00283424" w:rsidRDefault="00E93F58" w:rsidP="00B50726">
      <w:pPr>
        <w:pStyle w:val="ActHead4"/>
      </w:pPr>
      <w:bookmarkStart w:id="1226" w:name="_Toc152054591"/>
      <w:bookmarkStart w:id="1227" w:name="_Toc158712407"/>
      <w:r w:rsidRPr="006F296E">
        <w:rPr>
          <w:rStyle w:val="CharSubdNo"/>
        </w:rPr>
        <w:t>Subdivision 4A</w:t>
      </w:r>
      <w:r w:rsidRPr="00283424">
        <w:t>—</w:t>
      </w:r>
      <w:r w:rsidRPr="006F296E">
        <w:rPr>
          <w:rStyle w:val="CharSubdText"/>
        </w:rPr>
        <w:t>Ban on conflicted remuneration (rebates)</w:t>
      </w:r>
      <w:bookmarkEnd w:id="1226"/>
      <w:bookmarkEnd w:id="1227"/>
    </w:p>
    <w:p w14:paraId="008D3459" w14:textId="77777777" w:rsidR="00E93F58" w:rsidRPr="00283424" w:rsidRDefault="00E93F58" w:rsidP="00B50726">
      <w:pPr>
        <w:pStyle w:val="ActHead5"/>
      </w:pPr>
      <w:bookmarkStart w:id="1228" w:name="_Toc152054592"/>
      <w:bookmarkStart w:id="1229" w:name="_Toc158712408"/>
      <w:r w:rsidRPr="006F296E">
        <w:rPr>
          <w:rStyle w:val="CharSectno"/>
        </w:rPr>
        <w:t>7.7A.15AJ</w:t>
      </w:r>
      <w:r w:rsidRPr="00283424">
        <w:t xml:space="preserve">  What Subdivision is about</w:t>
      </w:r>
      <w:bookmarkEnd w:id="1228"/>
      <w:bookmarkEnd w:id="1229"/>
    </w:p>
    <w:p w14:paraId="441DE6C4" w14:textId="77777777" w:rsidR="00E93F58" w:rsidRPr="00283424" w:rsidRDefault="00E93F58" w:rsidP="00B50726">
      <w:pPr>
        <w:pStyle w:val="subsection"/>
      </w:pPr>
      <w:r w:rsidRPr="00283424">
        <w:tab/>
        <w:t>(1)</w:t>
      </w:r>
      <w:r w:rsidRPr="00283424">
        <w:tab/>
        <w:t>This Subdivision is made for the purposes of subsection 963N(1) of the Act.</w:t>
      </w:r>
    </w:p>
    <w:p w14:paraId="4A2ABC07" w14:textId="77777777" w:rsidR="00E93F58" w:rsidRPr="00283424" w:rsidRDefault="00E93F58" w:rsidP="00B50726">
      <w:pPr>
        <w:pStyle w:val="subsection"/>
      </w:pPr>
      <w:r w:rsidRPr="00283424">
        <w:tab/>
        <w:t>(2)</w:t>
      </w:r>
      <w:r w:rsidRPr="00283424">
        <w:tab/>
        <w:t xml:space="preserve">This Subdivision provides for a scheme under which a person (the </w:t>
      </w:r>
      <w:r w:rsidRPr="00283424">
        <w:rPr>
          <w:b/>
          <w:i/>
        </w:rPr>
        <w:t>covered person</w:t>
      </w:r>
      <w:r w:rsidRPr="00283424">
        <w:t>) covered by section 963M of the Act in relation to conflicted remuneration must pay amounts, or provide monetary benefits, based on that conflicted remuneration, to product holders mentioned in section 963N of the Act.</w:t>
      </w:r>
    </w:p>
    <w:p w14:paraId="647C4124" w14:textId="77777777" w:rsidR="00E93F58" w:rsidRPr="00283424" w:rsidRDefault="00E93F58" w:rsidP="00B50726">
      <w:pPr>
        <w:pStyle w:val="ActHead5"/>
      </w:pPr>
      <w:bookmarkStart w:id="1230" w:name="_Toc152054593"/>
      <w:bookmarkStart w:id="1231" w:name="_Toc158712409"/>
      <w:r w:rsidRPr="006F296E">
        <w:rPr>
          <w:rStyle w:val="CharSectno"/>
        </w:rPr>
        <w:t>7.7A.15AK</w:t>
      </w:r>
      <w:r w:rsidRPr="00283424">
        <w:t xml:space="preserve">  Obligations of covered person</w:t>
      </w:r>
      <w:bookmarkEnd w:id="1230"/>
      <w:bookmarkEnd w:id="1231"/>
    </w:p>
    <w:p w14:paraId="0DDBF1CD" w14:textId="77777777" w:rsidR="00E93F58" w:rsidRPr="00283424" w:rsidRDefault="00E93F58" w:rsidP="00B50726">
      <w:pPr>
        <w:pStyle w:val="subsection"/>
      </w:pPr>
      <w:r w:rsidRPr="00283424">
        <w:tab/>
        <w:t>(1)</w:t>
      </w:r>
      <w:r w:rsidRPr="00283424">
        <w:tab/>
        <w:t>The covered person must pay amounts, or provide monetary benefits, to the product holders no later than 1 year after the day by which the covered person is legally obliged (disregarding Subdivision C of Division 4 of Part 7.7A of the Act) to give the conflicted remuneration to another person (see paragraph 963M(1)(a) of the Act).</w:t>
      </w:r>
    </w:p>
    <w:p w14:paraId="49D7F248" w14:textId="77777777" w:rsidR="00E93F58" w:rsidRPr="00283424" w:rsidRDefault="00E93F58" w:rsidP="00B50726">
      <w:pPr>
        <w:pStyle w:val="subsection"/>
      </w:pPr>
      <w:r w:rsidRPr="00283424">
        <w:tab/>
        <w:t>(2)</w:t>
      </w:r>
      <w:r w:rsidRPr="00283424">
        <w:tab/>
        <w:t>The amounts paid, or the amounts of the monetary benefit provided, to the product holders under subregulation (1) must be amounts that are just and equitable in the circumstances.</w:t>
      </w:r>
    </w:p>
    <w:p w14:paraId="7C767F75" w14:textId="77777777" w:rsidR="00E93F58" w:rsidRPr="00283424" w:rsidRDefault="00E93F58" w:rsidP="00B50726">
      <w:pPr>
        <w:pStyle w:val="subsection"/>
      </w:pPr>
      <w:r w:rsidRPr="00283424">
        <w:tab/>
        <w:t>(3)</w:t>
      </w:r>
      <w:r w:rsidRPr="00283424">
        <w:tab/>
        <w:t>For the purposes of subregulation (2), in determining whether an amount is just and equitable in the circumstances, take account of the following matters:</w:t>
      </w:r>
    </w:p>
    <w:p w14:paraId="69049A65" w14:textId="77777777" w:rsidR="00E93F58" w:rsidRPr="00283424" w:rsidRDefault="00E93F58" w:rsidP="00B50726">
      <w:pPr>
        <w:pStyle w:val="paragraph"/>
      </w:pPr>
      <w:r w:rsidRPr="00283424">
        <w:tab/>
        <w:t>(a)</w:t>
      </w:r>
      <w:r w:rsidRPr="00283424">
        <w:tab/>
        <w:t>the amount of the conflicted remuneration;</w:t>
      </w:r>
    </w:p>
    <w:p w14:paraId="70A40E4C" w14:textId="77777777" w:rsidR="00E93F58" w:rsidRPr="00283424" w:rsidRDefault="00E93F58" w:rsidP="00B50726">
      <w:pPr>
        <w:pStyle w:val="paragraph"/>
      </w:pPr>
      <w:r w:rsidRPr="00283424">
        <w:tab/>
        <w:t>(b)</w:t>
      </w:r>
      <w:r w:rsidRPr="00283424">
        <w:tab/>
        <w:t>the amount invested by each product holder in the financial products mentioned in subsection 963N(2) of the Act;</w:t>
      </w:r>
    </w:p>
    <w:p w14:paraId="60C5723E" w14:textId="77777777" w:rsidR="00E93F58" w:rsidRPr="00283424" w:rsidRDefault="00E93F58" w:rsidP="00B50726">
      <w:pPr>
        <w:pStyle w:val="paragraph"/>
      </w:pPr>
      <w:r w:rsidRPr="00283424">
        <w:tab/>
        <w:t>(c)</w:t>
      </w:r>
      <w:r w:rsidRPr="00283424">
        <w:tab/>
        <w:t>the structure of the fees (if any) that the product holders have paid in respect of those financial products;</w:t>
      </w:r>
    </w:p>
    <w:p w14:paraId="11BC9F73" w14:textId="77777777" w:rsidR="00E93F58" w:rsidRPr="00283424" w:rsidRDefault="00E93F58" w:rsidP="00B50726">
      <w:pPr>
        <w:pStyle w:val="paragraph"/>
      </w:pPr>
      <w:r w:rsidRPr="00283424">
        <w:lastRenderedPageBreak/>
        <w:tab/>
        <w:t>(d)</w:t>
      </w:r>
      <w:r w:rsidRPr="00283424">
        <w:tab/>
        <w:t>the extent to which the sum of the amounts to be paid, and the amount of the monetary benefits to be provided, to the product holders under subregulation (2) equals the amount of, or the present value of, the conflicted remuneration;</w:t>
      </w:r>
    </w:p>
    <w:p w14:paraId="0C3DB9F9" w14:textId="77777777" w:rsidR="00E93F58" w:rsidRPr="00283424" w:rsidRDefault="00E93F58" w:rsidP="00B50726">
      <w:pPr>
        <w:pStyle w:val="paragraph"/>
      </w:pPr>
      <w:r w:rsidRPr="00283424">
        <w:tab/>
        <w:t>(e)</w:t>
      </w:r>
      <w:r w:rsidRPr="00283424">
        <w:tab/>
        <w:t>any other relevant matter.</w:t>
      </w:r>
    </w:p>
    <w:p w14:paraId="37144BF7" w14:textId="77777777" w:rsidR="00E93F58" w:rsidRPr="00283424" w:rsidRDefault="00E93F58" w:rsidP="00B50726">
      <w:pPr>
        <w:pStyle w:val="subsection"/>
      </w:pPr>
      <w:r w:rsidRPr="00283424">
        <w:tab/>
        <w:t>(4)</w:t>
      </w:r>
      <w:r w:rsidRPr="00283424">
        <w:tab/>
        <w:t>However, for the purposes of subregulation (2), in determining whether an amount is just and equitable in the circumstances, do not take account of the costs of the covered person in paying the amounts or providing the monetary benefits.</w:t>
      </w:r>
    </w:p>
    <w:p w14:paraId="20B319A6" w14:textId="77777777" w:rsidR="00E93F58" w:rsidRPr="00283424" w:rsidRDefault="00E93F58" w:rsidP="00B50726">
      <w:pPr>
        <w:pStyle w:val="ActHead4"/>
      </w:pPr>
      <w:bookmarkStart w:id="1232" w:name="_Toc152054594"/>
      <w:bookmarkStart w:id="1233" w:name="_Toc158712410"/>
      <w:r w:rsidRPr="006F296E">
        <w:rPr>
          <w:rStyle w:val="CharSubdNo"/>
        </w:rPr>
        <w:t>Subdivision 6</w:t>
      </w:r>
      <w:r w:rsidRPr="00283424">
        <w:t>—</w:t>
      </w:r>
      <w:r w:rsidRPr="006F296E">
        <w:rPr>
          <w:rStyle w:val="CharSubdText"/>
        </w:rPr>
        <w:t>Application provisions relating to the Corporations Amendment (Life Insurance Remuneration Arrangements) Act 2017</w:t>
      </w:r>
      <w:bookmarkEnd w:id="1232"/>
      <w:bookmarkEnd w:id="1233"/>
    </w:p>
    <w:p w14:paraId="11EBC3C2" w14:textId="77777777" w:rsidR="00E93F58" w:rsidRPr="00283424" w:rsidRDefault="00E93F58" w:rsidP="00B50726">
      <w:pPr>
        <w:pStyle w:val="ActHead5"/>
      </w:pPr>
      <w:bookmarkStart w:id="1234" w:name="_Toc152054595"/>
      <w:bookmarkStart w:id="1235" w:name="_Toc158712411"/>
      <w:r w:rsidRPr="006F296E">
        <w:rPr>
          <w:rStyle w:val="CharSectno"/>
        </w:rPr>
        <w:t>7.7A.16G</w:t>
      </w:r>
      <w:r w:rsidRPr="00283424">
        <w:t xml:space="preserve">  Definitions</w:t>
      </w:r>
      <w:bookmarkEnd w:id="1234"/>
      <w:bookmarkEnd w:id="1235"/>
    </w:p>
    <w:p w14:paraId="1CC1A3C6" w14:textId="77777777" w:rsidR="00E93F58" w:rsidRPr="00283424" w:rsidRDefault="00E93F58" w:rsidP="00B50726">
      <w:pPr>
        <w:pStyle w:val="subsection"/>
      </w:pPr>
      <w:r w:rsidRPr="00283424">
        <w:tab/>
      </w:r>
      <w:r w:rsidRPr="00283424">
        <w:tab/>
        <w:t>In this Subdivision:</w:t>
      </w:r>
    </w:p>
    <w:p w14:paraId="4BB4A28B" w14:textId="77777777" w:rsidR="00E93F58" w:rsidRPr="00283424" w:rsidRDefault="00E93F58" w:rsidP="00B50726">
      <w:pPr>
        <w:pStyle w:val="Definition"/>
      </w:pPr>
      <w:r w:rsidRPr="00283424">
        <w:rPr>
          <w:b/>
          <w:i/>
        </w:rPr>
        <w:t xml:space="preserve">amending Act </w:t>
      </w:r>
      <w:r w:rsidRPr="00283424">
        <w:t xml:space="preserve">means the </w:t>
      </w:r>
      <w:r w:rsidRPr="00283424">
        <w:rPr>
          <w:i/>
        </w:rPr>
        <w:t>Corporations Amendment (Life Insurance Remuneration Arrangements) Act 2017</w:t>
      </w:r>
      <w:r w:rsidRPr="00283424">
        <w:t>.</w:t>
      </w:r>
    </w:p>
    <w:p w14:paraId="6BCC9080" w14:textId="77777777" w:rsidR="00E93F58" w:rsidRPr="00283424" w:rsidRDefault="00E93F58" w:rsidP="00B50726">
      <w:pPr>
        <w:pStyle w:val="Definition"/>
      </w:pPr>
      <w:r w:rsidRPr="00283424">
        <w:rPr>
          <w:b/>
          <w:i/>
        </w:rPr>
        <w:t>commencement day</w:t>
      </w:r>
      <w:r w:rsidRPr="00283424">
        <w:t xml:space="preserve"> means the day on which Schedule 1 to the </w:t>
      </w:r>
      <w:r w:rsidRPr="00283424">
        <w:rPr>
          <w:i/>
        </w:rPr>
        <w:t>Corporations Amendment (Life Insurance Remuneration Arrangements) Act 2017</w:t>
      </w:r>
      <w:r w:rsidRPr="00283424">
        <w:t xml:space="preserve"> commences.</w:t>
      </w:r>
    </w:p>
    <w:p w14:paraId="21D06ED2" w14:textId="77777777" w:rsidR="00E93F58" w:rsidRPr="00283424" w:rsidRDefault="00E93F58" w:rsidP="00B50726">
      <w:pPr>
        <w:pStyle w:val="ActHead5"/>
      </w:pPr>
      <w:bookmarkStart w:id="1236" w:name="_Toc152054596"/>
      <w:bookmarkStart w:id="1237" w:name="_Toc158712412"/>
      <w:r w:rsidRPr="006F296E">
        <w:rPr>
          <w:rStyle w:val="CharSectno"/>
        </w:rPr>
        <w:t>7.7A.16H</w:t>
      </w:r>
      <w:r w:rsidRPr="00283424">
        <w:t xml:space="preserve">  Life risk insurance products substantially related to existing products</w:t>
      </w:r>
      <w:bookmarkEnd w:id="1236"/>
      <w:bookmarkEnd w:id="1237"/>
    </w:p>
    <w:p w14:paraId="54382C8E" w14:textId="77777777" w:rsidR="00E93F58" w:rsidRPr="00283424" w:rsidRDefault="00E93F58" w:rsidP="00B50726">
      <w:pPr>
        <w:pStyle w:val="subsection"/>
      </w:pPr>
      <w:r w:rsidRPr="00283424">
        <w:tab/>
        <w:t>(1)</w:t>
      </w:r>
      <w:r w:rsidRPr="00283424">
        <w:tab/>
        <w:t>This regulation is made for the purposes of subsection 1549B(3) of the Act.</w:t>
      </w:r>
    </w:p>
    <w:p w14:paraId="0A121B41" w14:textId="77777777" w:rsidR="00E93F58" w:rsidRPr="00283424" w:rsidRDefault="00E93F58" w:rsidP="00B50726">
      <w:pPr>
        <w:pStyle w:val="subsection"/>
      </w:pPr>
      <w:r w:rsidRPr="00283424">
        <w:tab/>
        <w:t>(2)</w:t>
      </w:r>
      <w:r w:rsidRPr="00283424">
        <w:tab/>
        <w:t xml:space="preserve">The amendments made by Schedule 1 to the amending Act do not apply to a benefit given to a financial services licensee, or a representative of a financial services licensee, in relation to a life risk insurance product issued to a person on or after the commencement day (the </w:t>
      </w:r>
      <w:r w:rsidRPr="00283424">
        <w:rPr>
          <w:b/>
          <w:i/>
        </w:rPr>
        <w:t>post</w:t>
      </w:r>
      <w:r>
        <w:rPr>
          <w:b/>
          <w:i/>
        </w:rPr>
        <w:noBreakHyphen/>
      </w:r>
      <w:r w:rsidRPr="00283424">
        <w:rPr>
          <w:b/>
          <w:i/>
        </w:rPr>
        <w:t>commencement product</w:t>
      </w:r>
      <w:r w:rsidRPr="00283424">
        <w:t>) if:</w:t>
      </w:r>
    </w:p>
    <w:p w14:paraId="73AC5404" w14:textId="77777777" w:rsidR="00E93F58" w:rsidRPr="00283424" w:rsidRDefault="00E93F58" w:rsidP="00B50726">
      <w:pPr>
        <w:pStyle w:val="paragraph"/>
      </w:pPr>
      <w:r w:rsidRPr="00283424">
        <w:tab/>
        <w:t>(a)</w:t>
      </w:r>
      <w:r w:rsidRPr="00283424">
        <w:tab/>
        <w:t xml:space="preserve">the person held another life risk insurance product immediately before the commencement day (the </w:t>
      </w:r>
      <w:r w:rsidRPr="00283424">
        <w:rPr>
          <w:b/>
          <w:i/>
        </w:rPr>
        <w:t>pre</w:t>
      </w:r>
      <w:r>
        <w:rPr>
          <w:b/>
          <w:i/>
        </w:rPr>
        <w:noBreakHyphen/>
      </w:r>
      <w:r w:rsidRPr="00283424">
        <w:rPr>
          <w:b/>
          <w:i/>
        </w:rPr>
        <w:t>commencement product</w:t>
      </w:r>
      <w:r w:rsidRPr="00283424">
        <w:t>); and</w:t>
      </w:r>
    </w:p>
    <w:p w14:paraId="352021A1" w14:textId="77777777" w:rsidR="00E93F58" w:rsidRPr="00283424" w:rsidRDefault="00E93F58" w:rsidP="00B50726">
      <w:pPr>
        <w:pStyle w:val="paragraph"/>
      </w:pPr>
      <w:r w:rsidRPr="00283424">
        <w:tab/>
        <w:t>(b)</w:t>
      </w:r>
      <w:r w:rsidRPr="00283424">
        <w:tab/>
        <w:t>either:</w:t>
      </w:r>
    </w:p>
    <w:p w14:paraId="2CB6E0DA" w14:textId="77777777" w:rsidR="00E93F58" w:rsidRPr="00283424" w:rsidRDefault="00E93F58" w:rsidP="00B50726">
      <w:pPr>
        <w:pStyle w:val="paragraphsub"/>
      </w:pPr>
      <w:r w:rsidRPr="00283424">
        <w:tab/>
        <w:t>(i)</w:t>
      </w:r>
      <w:r w:rsidRPr="00283424">
        <w:tab/>
        <w:t>the person acquires the post</w:t>
      </w:r>
      <w:r>
        <w:noBreakHyphen/>
      </w:r>
      <w:r w:rsidRPr="00283424">
        <w:t>commencement product by exercising an option given to the person under the pre</w:t>
      </w:r>
      <w:r>
        <w:noBreakHyphen/>
      </w:r>
      <w:r w:rsidRPr="00283424">
        <w:t>commencement product; or</w:t>
      </w:r>
    </w:p>
    <w:p w14:paraId="7EDCC9FB" w14:textId="77777777" w:rsidR="00E93F58" w:rsidRPr="00283424" w:rsidRDefault="00E93F58" w:rsidP="00B50726">
      <w:pPr>
        <w:pStyle w:val="paragraphsub"/>
      </w:pPr>
      <w:r w:rsidRPr="00283424">
        <w:tab/>
        <w:t>(ii)</w:t>
      </w:r>
      <w:r w:rsidRPr="00283424">
        <w:tab/>
        <w:t>the person acquires the post</w:t>
      </w:r>
      <w:r>
        <w:noBreakHyphen/>
      </w:r>
      <w:r w:rsidRPr="00283424">
        <w:t>commencement product because the pre</w:t>
      </w:r>
      <w:r>
        <w:noBreakHyphen/>
      </w:r>
      <w:r w:rsidRPr="00283424">
        <w:t>commencement product was cancelled due to an administrative error.</w:t>
      </w:r>
    </w:p>
    <w:p w14:paraId="773DAAA0" w14:textId="77777777" w:rsidR="00E93F58" w:rsidRPr="00283424" w:rsidRDefault="00E93F58" w:rsidP="00B50726">
      <w:pPr>
        <w:pStyle w:val="ActHead4"/>
      </w:pPr>
      <w:bookmarkStart w:id="1238" w:name="_Toc152054597"/>
      <w:bookmarkStart w:id="1239" w:name="_Toc158712413"/>
      <w:r w:rsidRPr="006F296E">
        <w:rPr>
          <w:rStyle w:val="CharSubdNo"/>
        </w:rPr>
        <w:t>Subdivision 7</w:t>
      </w:r>
      <w:r w:rsidRPr="00283424">
        <w:t>—</w:t>
      </w:r>
      <w:r w:rsidRPr="006F296E">
        <w:rPr>
          <w:rStyle w:val="CharSubdText"/>
        </w:rPr>
        <w:t>Asset</w:t>
      </w:r>
      <w:r w:rsidRPr="006F296E">
        <w:rPr>
          <w:rStyle w:val="CharSubdText"/>
        </w:rPr>
        <w:noBreakHyphen/>
        <w:t>based fees on borrowed amounts</w:t>
      </w:r>
      <w:bookmarkEnd w:id="1238"/>
      <w:bookmarkEnd w:id="1239"/>
    </w:p>
    <w:p w14:paraId="13C7B37D" w14:textId="77777777" w:rsidR="00E93F58" w:rsidRPr="00283424" w:rsidRDefault="00E93F58" w:rsidP="00B50726">
      <w:pPr>
        <w:pStyle w:val="ActHead5"/>
      </w:pPr>
      <w:bookmarkStart w:id="1240" w:name="_Toc152054598"/>
      <w:bookmarkStart w:id="1241" w:name="_Toc158712414"/>
      <w:r w:rsidRPr="006F296E">
        <w:rPr>
          <w:rStyle w:val="CharSectno"/>
        </w:rPr>
        <w:t>7.7A.17</w:t>
      </w:r>
      <w:r w:rsidRPr="00283424">
        <w:t xml:space="preserve">  Financial services licensees</w:t>
      </w:r>
      <w:bookmarkEnd w:id="1240"/>
      <w:bookmarkEnd w:id="1241"/>
    </w:p>
    <w:p w14:paraId="6F3D8385" w14:textId="77777777" w:rsidR="00E93F58" w:rsidRPr="00283424" w:rsidRDefault="00E93F58" w:rsidP="00B50726">
      <w:pPr>
        <w:pStyle w:val="subsection"/>
      </w:pPr>
      <w:r w:rsidRPr="00283424">
        <w:tab/>
      </w:r>
      <w:r w:rsidRPr="00283424">
        <w:tab/>
        <w:t>For subsection 964D(4) of the Act, a circumstance in which subsections 964D(1) and (2) of the Act do not apply is that the asset</w:t>
      </w:r>
      <w:r>
        <w:noBreakHyphen/>
      </w:r>
      <w:r w:rsidRPr="00283424">
        <w:t>based fee being charged is a brokerage fee within the meaning of regulation 7.7A.12D.</w:t>
      </w:r>
    </w:p>
    <w:p w14:paraId="25EB7F9A" w14:textId="77777777" w:rsidR="00E93F58" w:rsidRPr="00283424" w:rsidRDefault="00E93F58" w:rsidP="00B50726">
      <w:pPr>
        <w:pStyle w:val="ActHead5"/>
      </w:pPr>
      <w:bookmarkStart w:id="1242" w:name="_Toc152054599"/>
      <w:bookmarkStart w:id="1243" w:name="_Toc158712415"/>
      <w:r w:rsidRPr="006F296E">
        <w:rPr>
          <w:rStyle w:val="CharSectno"/>
        </w:rPr>
        <w:t>7.7A.18</w:t>
      </w:r>
      <w:r w:rsidRPr="00283424">
        <w:t xml:space="preserve">  Authorised representatives</w:t>
      </w:r>
      <w:bookmarkEnd w:id="1242"/>
      <w:bookmarkEnd w:id="1243"/>
    </w:p>
    <w:p w14:paraId="568AFB34" w14:textId="77777777" w:rsidR="00E93F58" w:rsidRPr="00283424" w:rsidRDefault="00E93F58" w:rsidP="00B50726">
      <w:pPr>
        <w:pStyle w:val="subsection"/>
        <w:keepNext/>
        <w:keepLines/>
      </w:pPr>
      <w:r w:rsidRPr="00283424">
        <w:tab/>
      </w:r>
      <w:r w:rsidRPr="00283424">
        <w:tab/>
        <w:t>For subsection 964E(3) of the Act, a circumstance in which subsection 964E(1) of the Act does not apply is that the asset</w:t>
      </w:r>
      <w:r>
        <w:noBreakHyphen/>
      </w:r>
      <w:r w:rsidRPr="00283424">
        <w:t>based fee being charged is a brokerage fee within the meaning of regulation 7.7A.12D.</w:t>
      </w:r>
    </w:p>
    <w:p w14:paraId="2CD3E5F0" w14:textId="77777777" w:rsidR="00E93F58" w:rsidRPr="00283424" w:rsidRDefault="00E93F58" w:rsidP="00B50726">
      <w:pPr>
        <w:pStyle w:val="ActHead3"/>
        <w:pageBreakBefore/>
      </w:pPr>
      <w:bookmarkStart w:id="1244" w:name="_Toc152054600"/>
      <w:bookmarkStart w:id="1245" w:name="_Toc158712416"/>
      <w:r w:rsidRPr="006F296E">
        <w:rPr>
          <w:rStyle w:val="CharDivNo"/>
        </w:rPr>
        <w:lastRenderedPageBreak/>
        <w:t>Division 6</w:t>
      </w:r>
      <w:r w:rsidRPr="00283424">
        <w:t>—</w:t>
      </w:r>
      <w:r w:rsidRPr="006F296E">
        <w:rPr>
          <w:rStyle w:val="CharDivText"/>
        </w:rPr>
        <w:t>Exemptions from application of Part 7.7A of the Act</w:t>
      </w:r>
      <w:bookmarkEnd w:id="1244"/>
      <w:bookmarkEnd w:id="1245"/>
    </w:p>
    <w:p w14:paraId="5828FF2E" w14:textId="77777777" w:rsidR="00E93F58" w:rsidRPr="00283424" w:rsidRDefault="00E93F58" w:rsidP="00B50726">
      <w:pPr>
        <w:pStyle w:val="ActHead5"/>
      </w:pPr>
      <w:bookmarkStart w:id="1246" w:name="_Toc152054601"/>
      <w:bookmarkStart w:id="1247" w:name="_Toc158712417"/>
      <w:r w:rsidRPr="006F296E">
        <w:rPr>
          <w:rStyle w:val="CharSectno"/>
        </w:rPr>
        <w:t>7.7A.40</w:t>
      </w:r>
      <w:r w:rsidRPr="00283424">
        <w:t xml:space="preserve">  Exemption from application of Part 7.7A of the Act</w:t>
      </w:r>
      <w:bookmarkEnd w:id="1246"/>
      <w:bookmarkEnd w:id="1247"/>
    </w:p>
    <w:p w14:paraId="37D25D21" w14:textId="77777777" w:rsidR="00E93F58" w:rsidRPr="00283424" w:rsidRDefault="00E93F58" w:rsidP="00B50726">
      <w:pPr>
        <w:pStyle w:val="subsection"/>
      </w:pPr>
      <w:r w:rsidRPr="00283424">
        <w:tab/>
      </w:r>
      <w:r w:rsidRPr="00283424">
        <w:tab/>
        <w:t>For paragraph 1368(d) of the Act, Part 7.7A of the Act does not have effect in relation to a financial services licensee or an authorised representative in respect of financial services provided to retail clients who are not in this jurisdiction.</w:t>
      </w:r>
    </w:p>
    <w:p w14:paraId="1C4B9787" w14:textId="77777777" w:rsidR="00E93F58" w:rsidRPr="00283424" w:rsidRDefault="00E93F58" w:rsidP="00B50726">
      <w:pPr>
        <w:pStyle w:val="ActHead2"/>
        <w:pageBreakBefore/>
        <w:rPr>
          <w:color w:val="000000"/>
        </w:rPr>
      </w:pPr>
      <w:bookmarkStart w:id="1248" w:name="_Toc152054602"/>
      <w:bookmarkStart w:id="1249" w:name="_Toc158712418"/>
      <w:r w:rsidRPr="006F296E">
        <w:rPr>
          <w:rStyle w:val="CharPartNo"/>
        </w:rPr>
        <w:lastRenderedPageBreak/>
        <w:t>Part 7.8</w:t>
      </w:r>
      <w:r w:rsidRPr="00283424">
        <w:rPr>
          <w:color w:val="000000"/>
        </w:rPr>
        <w:t>—</w:t>
      </w:r>
      <w:r w:rsidRPr="006F296E">
        <w:rPr>
          <w:rStyle w:val="CharPartText"/>
        </w:rPr>
        <w:t>Other provisions relating to conduct etc connected with financial products and financial services, other than financial product disclosure</w:t>
      </w:r>
      <w:bookmarkEnd w:id="1248"/>
      <w:bookmarkEnd w:id="1249"/>
    </w:p>
    <w:p w14:paraId="1B00D609" w14:textId="77777777" w:rsidR="00E93F58" w:rsidRPr="00283424" w:rsidRDefault="00E93F58" w:rsidP="00B50726">
      <w:pPr>
        <w:pStyle w:val="ActHead3"/>
      </w:pPr>
      <w:bookmarkStart w:id="1250" w:name="_Toc152054603"/>
      <w:bookmarkStart w:id="1251" w:name="_Toc158712419"/>
      <w:r w:rsidRPr="006F296E">
        <w:rPr>
          <w:rStyle w:val="CharDivNo"/>
        </w:rPr>
        <w:t>Division 2</w:t>
      </w:r>
      <w:r w:rsidRPr="00283424">
        <w:t>—</w:t>
      </w:r>
      <w:r w:rsidRPr="006F296E">
        <w:rPr>
          <w:rStyle w:val="CharDivText"/>
        </w:rPr>
        <w:t>Dealing with clients’ money</w:t>
      </w:r>
      <w:bookmarkEnd w:id="1250"/>
      <w:bookmarkEnd w:id="1251"/>
    </w:p>
    <w:p w14:paraId="0A1FCF65" w14:textId="77777777" w:rsidR="00E93F58" w:rsidRPr="00283424" w:rsidRDefault="00E93F58" w:rsidP="00B50726">
      <w:pPr>
        <w:pStyle w:val="ActHead4"/>
      </w:pPr>
      <w:bookmarkStart w:id="1252" w:name="_Toc152054604"/>
      <w:bookmarkStart w:id="1253" w:name="_Toc158712420"/>
      <w:r w:rsidRPr="006F296E">
        <w:rPr>
          <w:rStyle w:val="CharSubdNo"/>
        </w:rPr>
        <w:t>Subdivision A</w:t>
      </w:r>
      <w:r w:rsidRPr="00283424">
        <w:t>—</w:t>
      </w:r>
      <w:r w:rsidRPr="006F296E">
        <w:rPr>
          <w:rStyle w:val="CharSubdText"/>
        </w:rPr>
        <w:t>Money other than loans</w:t>
      </w:r>
      <w:bookmarkEnd w:id="1252"/>
      <w:bookmarkEnd w:id="1253"/>
    </w:p>
    <w:p w14:paraId="01640B0B" w14:textId="77777777" w:rsidR="00E93F58" w:rsidRPr="00283424" w:rsidRDefault="00E93F58" w:rsidP="00B50726">
      <w:pPr>
        <w:pStyle w:val="ActHead5"/>
      </w:pPr>
      <w:bookmarkStart w:id="1254" w:name="_Toc152054605"/>
      <w:bookmarkStart w:id="1255" w:name="_Toc158712421"/>
      <w:r w:rsidRPr="006F296E">
        <w:rPr>
          <w:rStyle w:val="CharSectno"/>
        </w:rPr>
        <w:t>7.8.01A</w:t>
      </w:r>
      <w:r w:rsidRPr="00283424">
        <w:t xml:space="preserve">  Wholesale client money</w:t>
      </w:r>
      <w:bookmarkEnd w:id="1254"/>
      <w:bookmarkEnd w:id="1255"/>
    </w:p>
    <w:p w14:paraId="7608650F" w14:textId="77777777" w:rsidR="00E93F58" w:rsidRPr="00283424" w:rsidRDefault="00E93F58" w:rsidP="00B50726">
      <w:pPr>
        <w:pStyle w:val="subsection"/>
      </w:pPr>
      <w:r w:rsidRPr="00283424">
        <w:tab/>
      </w:r>
      <w:r w:rsidRPr="00283424">
        <w:tab/>
        <w:t>For the purposes of paragraph 981A(4)(a) of the Act, money paid as mentioned in subsection 981A(1) of the Act is exempt from Subdivision A of Division 2 of Part 7.8 of the Act at a time if:</w:t>
      </w:r>
    </w:p>
    <w:p w14:paraId="3B19D5E7" w14:textId="77777777" w:rsidR="00E93F58" w:rsidRPr="00283424" w:rsidRDefault="00E93F58" w:rsidP="00B50726">
      <w:pPr>
        <w:pStyle w:val="paragraph"/>
      </w:pPr>
      <w:r w:rsidRPr="00283424">
        <w:tab/>
        <w:t>(a)</w:t>
      </w:r>
      <w:r w:rsidRPr="00283424">
        <w:tab/>
        <w:t>at that time the licensee has the client’s written agreement to the money being dealt with other than in accordance with that Subdivision; and</w:t>
      </w:r>
    </w:p>
    <w:p w14:paraId="692FE20C" w14:textId="77777777" w:rsidR="00E93F58" w:rsidRPr="00283424" w:rsidRDefault="00E93F58" w:rsidP="00B50726">
      <w:pPr>
        <w:pStyle w:val="noteToPara"/>
      </w:pPr>
      <w:r w:rsidRPr="00283424">
        <w:t>Note 1:</w:t>
      </w:r>
      <w:r w:rsidRPr="00283424">
        <w:tab/>
        <w:t>It is not necessary for the agreement to mention that Subdivision explicitly.</w:t>
      </w:r>
    </w:p>
    <w:p w14:paraId="6CFFCC1C" w14:textId="77777777" w:rsidR="00E93F58" w:rsidRPr="00283424" w:rsidRDefault="00E93F58" w:rsidP="00B50726">
      <w:pPr>
        <w:pStyle w:val="noteToPara"/>
      </w:pPr>
      <w:r w:rsidRPr="00283424">
        <w:t>Note 2:</w:t>
      </w:r>
      <w:r w:rsidRPr="00283424">
        <w:tab/>
        <w:t>If the licensee obtains the agreement after the money is paid, that Subdivision ceases to apply to the money when the licensee obtains the agreement.</w:t>
      </w:r>
    </w:p>
    <w:p w14:paraId="2C4641A3" w14:textId="77777777" w:rsidR="00E93F58" w:rsidRPr="00283424" w:rsidRDefault="00E93F58" w:rsidP="00B50726">
      <w:pPr>
        <w:pStyle w:val="paragraph"/>
      </w:pPr>
      <w:r w:rsidRPr="00283424">
        <w:tab/>
        <w:t>(b)</w:t>
      </w:r>
      <w:r w:rsidRPr="00283424">
        <w:tab/>
        <w:t>either:</w:t>
      </w:r>
    </w:p>
    <w:p w14:paraId="1E50E09C" w14:textId="77777777" w:rsidR="00E93F58" w:rsidRPr="00283424" w:rsidRDefault="00E93F58" w:rsidP="00B50726">
      <w:pPr>
        <w:pStyle w:val="paragraphsub"/>
      </w:pPr>
      <w:r w:rsidRPr="00283424">
        <w:tab/>
        <w:t>(i)</w:t>
      </w:r>
      <w:r w:rsidRPr="00283424">
        <w:tab/>
        <w:t>the financial service referred to in subparagraph 981A(1)(a)(i) of the Act is or relates to a dealing in a derivative; or</w:t>
      </w:r>
    </w:p>
    <w:p w14:paraId="1FC584B6" w14:textId="77777777" w:rsidR="00E93F58" w:rsidRPr="00283424" w:rsidRDefault="00E93F58" w:rsidP="00B50726">
      <w:pPr>
        <w:pStyle w:val="paragraphsub"/>
      </w:pPr>
      <w:r w:rsidRPr="00283424">
        <w:tab/>
        <w:t>(ii)</w:t>
      </w:r>
      <w:r w:rsidRPr="00283424">
        <w:tab/>
        <w:t>the financial product referred to in subparagraph 981A(1)(a)(ii) of the Act is a derivative; and</w:t>
      </w:r>
    </w:p>
    <w:p w14:paraId="7780EAE4" w14:textId="77777777" w:rsidR="00E93F58" w:rsidRPr="00283424" w:rsidRDefault="00E93F58" w:rsidP="00B50726">
      <w:pPr>
        <w:pStyle w:val="paragraph"/>
      </w:pPr>
      <w:r w:rsidRPr="00283424">
        <w:tab/>
        <w:t>(c)</w:t>
      </w:r>
      <w:r w:rsidRPr="00283424">
        <w:tab/>
        <w:t>the entry into of the derivative was not or will not be cleared through a clearing and settlement facility; and</w:t>
      </w:r>
    </w:p>
    <w:p w14:paraId="27C0368C" w14:textId="77777777" w:rsidR="00E93F58" w:rsidRPr="00283424" w:rsidRDefault="00E93F58" w:rsidP="00B50726">
      <w:pPr>
        <w:pStyle w:val="paragraph"/>
      </w:pPr>
      <w:r w:rsidRPr="00283424">
        <w:tab/>
        <w:t>(d)</w:t>
      </w:r>
      <w:r w:rsidRPr="00283424">
        <w:tab/>
        <w:t>the financial service or product would have been provided to the client as a wholesale client if:</w:t>
      </w:r>
    </w:p>
    <w:p w14:paraId="13F96D4E" w14:textId="77777777" w:rsidR="00E93F58" w:rsidRPr="00283424" w:rsidRDefault="00E93F58" w:rsidP="00B50726">
      <w:pPr>
        <w:pStyle w:val="paragraphsub"/>
      </w:pPr>
      <w:r w:rsidRPr="00283424">
        <w:tab/>
        <w:t>(i)</w:t>
      </w:r>
      <w:r w:rsidRPr="00283424">
        <w:tab/>
        <w:t>the service or product were provided to the client when the money was paid; and</w:t>
      </w:r>
    </w:p>
    <w:p w14:paraId="62E31802" w14:textId="77777777" w:rsidR="00E93F58" w:rsidRPr="00283424" w:rsidRDefault="00E93F58" w:rsidP="00B50726">
      <w:pPr>
        <w:pStyle w:val="paragraphsub"/>
      </w:pPr>
      <w:r w:rsidRPr="00283424">
        <w:tab/>
        <w:t>(ii)</w:t>
      </w:r>
      <w:r w:rsidRPr="00283424">
        <w:tab/>
        <w:t>section 761GA of the Act (about sophisticated investors) did not apply.</w:t>
      </w:r>
    </w:p>
    <w:p w14:paraId="3D1CFA4A" w14:textId="77777777" w:rsidR="00E93F58" w:rsidRPr="00283424" w:rsidRDefault="00E93F58" w:rsidP="00B50726">
      <w:pPr>
        <w:pStyle w:val="ActHead5"/>
      </w:pPr>
      <w:bookmarkStart w:id="1256" w:name="_Toc152054606"/>
      <w:bookmarkStart w:id="1257" w:name="_Toc158712422"/>
      <w:r w:rsidRPr="006F296E">
        <w:rPr>
          <w:rStyle w:val="CharSectno"/>
        </w:rPr>
        <w:t>7.8.01</w:t>
      </w:r>
      <w:r w:rsidRPr="00283424">
        <w:rPr>
          <w:sz w:val="16"/>
        </w:rPr>
        <w:t xml:space="preserve">  </w:t>
      </w:r>
      <w:r w:rsidRPr="00283424">
        <w:t>Obligation to pay money into an account</w:t>
      </w:r>
      <w:bookmarkEnd w:id="1256"/>
      <w:bookmarkEnd w:id="1257"/>
    </w:p>
    <w:p w14:paraId="1BBAC280" w14:textId="77777777" w:rsidR="00E93F58" w:rsidRPr="00283424" w:rsidRDefault="00E93F58" w:rsidP="00B50726">
      <w:pPr>
        <w:pStyle w:val="subsection"/>
      </w:pPr>
      <w:r w:rsidRPr="00283424">
        <w:rPr>
          <w:color w:val="000000"/>
        </w:rPr>
        <w:tab/>
        <w:t>(1)</w:t>
      </w:r>
      <w:r w:rsidRPr="00283424">
        <w:rPr>
          <w:color w:val="000000"/>
        </w:rPr>
        <w:tab/>
        <w:t xml:space="preserve">For subparagraph 981B(1)(a)(i) of the Act, the reference in that subparagraph to an account with an Australian ADI </w:t>
      </w:r>
      <w:r w:rsidRPr="00283424">
        <w:t>does not prevent a financial services licensee that is an ADI from paying money</w:t>
      </w:r>
      <w:r w:rsidRPr="00283424">
        <w:rPr>
          <w:color w:val="000000"/>
        </w:rPr>
        <w:t xml:space="preserve"> into an account held by itself.</w:t>
      </w:r>
    </w:p>
    <w:p w14:paraId="66C46544" w14:textId="77777777" w:rsidR="00E93F58" w:rsidRPr="00283424" w:rsidRDefault="00E93F58" w:rsidP="00B50726">
      <w:pPr>
        <w:pStyle w:val="subsection"/>
      </w:pPr>
      <w:r w:rsidRPr="00283424">
        <w:tab/>
        <w:t>(2)</w:t>
      </w:r>
      <w:r w:rsidRPr="00283424">
        <w:tab/>
        <w:t>For subparagraph 981B(1)(a)(ii) of the Act, the following accounts are prescribed:</w:t>
      </w:r>
    </w:p>
    <w:p w14:paraId="176DC775" w14:textId="77777777" w:rsidR="00E93F58" w:rsidRPr="00283424" w:rsidRDefault="00E93F58" w:rsidP="00B50726">
      <w:pPr>
        <w:pStyle w:val="paragraph"/>
      </w:pPr>
      <w:r w:rsidRPr="00283424">
        <w:rPr>
          <w:color w:val="000000"/>
        </w:rPr>
        <w:tab/>
        <w:t>(a)</w:t>
      </w:r>
      <w:r w:rsidRPr="00283424">
        <w:rPr>
          <w:color w:val="000000"/>
        </w:rPr>
        <w:tab/>
        <w:t>an account with an approved foreign bank;</w:t>
      </w:r>
    </w:p>
    <w:p w14:paraId="6989A09A" w14:textId="77777777" w:rsidR="00E93F58" w:rsidRPr="00283424" w:rsidRDefault="00E93F58" w:rsidP="00B50726">
      <w:pPr>
        <w:pStyle w:val="paragraph"/>
      </w:pPr>
      <w:r w:rsidRPr="00283424">
        <w:tab/>
        <w:t>(b)</w:t>
      </w:r>
      <w:r w:rsidRPr="00283424">
        <w:tab/>
        <w:t>a cash management trust.</w:t>
      </w:r>
    </w:p>
    <w:p w14:paraId="5FE330A0" w14:textId="77777777" w:rsidR="00E93F58" w:rsidRPr="00283424" w:rsidRDefault="00E93F58" w:rsidP="00B50726">
      <w:pPr>
        <w:pStyle w:val="subsection"/>
      </w:pPr>
      <w:r w:rsidRPr="00283424">
        <w:rPr>
          <w:color w:val="000000"/>
        </w:rPr>
        <w:tab/>
        <w:t>(3)</w:t>
      </w:r>
      <w:r w:rsidRPr="00283424">
        <w:rPr>
          <w:color w:val="000000"/>
        </w:rPr>
        <w:tab/>
        <w:t>For subparagraph 981B(1)(b)(iv) of the Act, if, in accordance with an agreement mentioned in paragraph 7.8.02(3)(a), a financial services licensee is required to pay an amount mentioned in subparagraph 7.8.02(3)(a)(iv), that amount is money which must be paid into an account to which that subparagraph applies.</w:t>
      </w:r>
    </w:p>
    <w:p w14:paraId="29CD4D8E" w14:textId="77777777" w:rsidR="00E93F58" w:rsidRPr="00283424" w:rsidRDefault="00E93F58" w:rsidP="00B50726">
      <w:pPr>
        <w:pStyle w:val="subsection"/>
      </w:pPr>
      <w:r w:rsidRPr="00283424">
        <w:tab/>
        <w:t>(4)</w:t>
      </w:r>
      <w:r w:rsidRPr="00283424">
        <w:tab/>
        <w:t>For subparagraph 981B(1)(b)(iv) of the Act:</w:t>
      </w:r>
    </w:p>
    <w:p w14:paraId="44251BD9" w14:textId="77777777" w:rsidR="00E93F58" w:rsidRPr="00283424" w:rsidRDefault="00E93F58" w:rsidP="00B50726">
      <w:pPr>
        <w:pStyle w:val="paragraph"/>
      </w:pPr>
      <w:r w:rsidRPr="00283424">
        <w:tab/>
        <w:t>(a)</w:t>
      </w:r>
      <w:r w:rsidRPr="00283424">
        <w:tab/>
        <w:t>money paid to a financial services licensee:</w:t>
      </w:r>
    </w:p>
    <w:p w14:paraId="5EAA36D0" w14:textId="77777777" w:rsidR="00E93F58" w:rsidRPr="00283424" w:rsidRDefault="00E93F58" w:rsidP="00B50726">
      <w:pPr>
        <w:pStyle w:val="paragraphsub"/>
      </w:pPr>
      <w:r w:rsidRPr="00283424">
        <w:rPr>
          <w:color w:val="000000"/>
        </w:rPr>
        <w:tab/>
        <w:t>(i)</w:t>
      </w:r>
      <w:r w:rsidRPr="00283424">
        <w:rPr>
          <w:color w:val="000000"/>
        </w:rPr>
        <w:tab/>
        <w:t>from or on behalf or an insured or intending insured for or on account of an insurer; and</w:t>
      </w:r>
    </w:p>
    <w:p w14:paraId="4305A161" w14:textId="77777777" w:rsidR="00E93F58" w:rsidRPr="00283424" w:rsidRDefault="00E93F58" w:rsidP="00B50726">
      <w:pPr>
        <w:pStyle w:val="paragraphsub"/>
      </w:pPr>
      <w:r w:rsidRPr="00283424">
        <w:tab/>
        <w:t>(ii)</w:t>
      </w:r>
      <w:r w:rsidRPr="00283424">
        <w:tab/>
        <w:t>in connection with a contract of insurance or proposed contract of insurance;</w:t>
      </w:r>
    </w:p>
    <w:p w14:paraId="4A0CDB95" w14:textId="77777777" w:rsidR="00E93F58" w:rsidRPr="00283424" w:rsidRDefault="00E93F58" w:rsidP="00B50726">
      <w:pPr>
        <w:pStyle w:val="paragraph"/>
      </w:pPr>
      <w:r w:rsidRPr="00283424">
        <w:rPr>
          <w:color w:val="000000"/>
        </w:rPr>
        <w:tab/>
      </w:r>
      <w:r w:rsidRPr="00283424">
        <w:rPr>
          <w:color w:val="000000"/>
        </w:rPr>
        <w:tab/>
        <w:t>is money which may be paid into an account to which that subparagraph applies; and</w:t>
      </w:r>
    </w:p>
    <w:p w14:paraId="6A50B8B2" w14:textId="77777777" w:rsidR="00E93F58" w:rsidRPr="00283424" w:rsidRDefault="00E93F58" w:rsidP="00B50726">
      <w:pPr>
        <w:pStyle w:val="paragraph"/>
      </w:pPr>
      <w:r w:rsidRPr="00283424">
        <w:tab/>
        <w:t>(b)</w:t>
      </w:r>
      <w:r w:rsidRPr="00283424">
        <w:tab/>
        <w:t>money paid to a financial services licensee from or on behalf of an insurer for or on account of an insured or intending insured is money which may be paid into an account to which that subparagraph applies.</w:t>
      </w:r>
    </w:p>
    <w:p w14:paraId="35CA6F23" w14:textId="77777777" w:rsidR="00E93F58" w:rsidRPr="00283424" w:rsidRDefault="00E93F58" w:rsidP="00B50726">
      <w:pPr>
        <w:pStyle w:val="subsection"/>
      </w:pPr>
      <w:r w:rsidRPr="00283424">
        <w:rPr>
          <w:color w:val="000000"/>
        </w:rPr>
        <w:tab/>
        <w:t>(4A)</w:t>
      </w:r>
      <w:r w:rsidRPr="00283424">
        <w:rPr>
          <w:color w:val="000000"/>
        </w:rPr>
        <w:tab/>
        <w:t>For subparagraph 981B(1)(b)(iv) of the Act, if a financial services licensee is required, by the market integrity rules or the operating rules of a licensed market, to pay an amount into an account to which section 981B relates, the amount is money which may be paid into that account.</w:t>
      </w:r>
    </w:p>
    <w:p w14:paraId="32166FD3" w14:textId="77777777" w:rsidR="00E93F58" w:rsidRPr="00283424" w:rsidRDefault="00E93F58" w:rsidP="00B50726">
      <w:pPr>
        <w:pStyle w:val="subsection"/>
      </w:pPr>
      <w:r w:rsidRPr="00283424">
        <w:tab/>
        <w:t>(5)</w:t>
      </w:r>
      <w:r w:rsidRPr="00283424">
        <w:tab/>
        <w:t>For paragraph 981B(1)(c) of the Act, a financial services licensee must:</w:t>
      </w:r>
    </w:p>
    <w:p w14:paraId="21CCD0E3" w14:textId="77777777" w:rsidR="00E93F58" w:rsidRPr="00283424" w:rsidRDefault="00E93F58" w:rsidP="00B50726">
      <w:pPr>
        <w:pStyle w:val="paragraph"/>
      </w:pPr>
      <w:r w:rsidRPr="00283424">
        <w:rPr>
          <w:color w:val="000000"/>
        </w:rPr>
        <w:tab/>
        <w:t>(a)</w:t>
      </w:r>
      <w:r w:rsidRPr="00283424">
        <w:rPr>
          <w:color w:val="000000"/>
        </w:rPr>
        <w:tab/>
        <w:t>operate an account to which that paragraph applies as a trust account; and</w:t>
      </w:r>
    </w:p>
    <w:p w14:paraId="49766922" w14:textId="77777777" w:rsidR="00E93F58" w:rsidRPr="00283424" w:rsidRDefault="00E93F58" w:rsidP="00B50726">
      <w:pPr>
        <w:pStyle w:val="paragraph"/>
      </w:pPr>
      <w:r w:rsidRPr="00283424">
        <w:lastRenderedPageBreak/>
        <w:tab/>
        <w:t>(b)</w:t>
      </w:r>
      <w:r w:rsidRPr="00283424">
        <w:tab/>
        <w:t>designate the account to be a trust account; and</w:t>
      </w:r>
    </w:p>
    <w:p w14:paraId="5EAC20EE" w14:textId="77777777" w:rsidR="00E93F58" w:rsidRPr="00283424" w:rsidRDefault="00E93F58" w:rsidP="00B50726">
      <w:pPr>
        <w:pStyle w:val="paragraph"/>
      </w:pPr>
      <w:r w:rsidRPr="00283424">
        <w:tab/>
        <w:t>(c)</w:t>
      </w:r>
      <w:r w:rsidRPr="00283424">
        <w:tab/>
        <w:t xml:space="preserve">hold all moneys paid into the account (other than moneys paid to the financial services licensee under the financial services licensee’s obligation to call margins from clients under </w:t>
      </w:r>
      <w:r w:rsidRPr="00283424">
        <w:rPr>
          <w:color w:val="000000"/>
        </w:rPr>
        <w:t>the market integrity rules, the operating rules of a licensed market or the operating rules of a</w:t>
      </w:r>
      <w:r w:rsidRPr="00283424">
        <w:t xml:space="preserve"> licensed CS facility) on trust for the benefit of the person who is entitled to the moneys.</w:t>
      </w:r>
    </w:p>
    <w:p w14:paraId="0C7833AA" w14:textId="77777777" w:rsidR="00E93F58" w:rsidRPr="00283424" w:rsidRDefault="00E93F58" w:rsidP="00B50726">
      <w:pPr>
        <w:pStyle w:val="subsection"/>
      </w:pPr>
      <w:r w:rsidRPr="00283424">
        <w:tab/>
        <w:t>(6)</w:t>
      </w:r>
      <w:r w:rsidRPr="00283424">
        <w:tab/>
        <w:t>For subparagraph 981B(1)(b)(iv) of the Act, money received under section 1017E of the Act is money which may be paid into:</w:t>
      </w:r>
    </w:p>
    <w:p w14:paraId="7A62B521" w14:textId="77777777" w:rsidR="00E93F58" w:rsidRPr="00283424" w:rsidRDefault="00E93F58" w:rsidP="00B50726">
      <w:pPr>
        <w:pStyle w:val="paragraph"/>
      </w:pPr>
      <w:r w:rsidRPr="00283424">
        <w:tab/>
        <w:t>(a)</w:t>
      </w:r>
      <w:r w:rsidRPr="00283424">
        <w:tab/>
        <w:t>an account to which section 981B relates; or</w:t>
      </w:r>
    </w:p>
    <w:p w14:paraId="37CBB1EB" w14:textId="77777777" w:rsidR="00E93F58" w:rsidRPr="00283424" w:rsidRDefault="00E93F58" w:rsidP="00B50726">
      <w:pPr>
        <w:pStyle w:val="paragraph"/>
      </w:pPr>
      <w:r w:rsidRPr="00283424">
        <w:tab/>
        <w:t>(b)</w:t>
      </w:r>
      <w:r w:rsidRPr="00283424">
        <w:tab/>
        <w:t xml:space="preserve">an insurance broking account maintained under section 26 of the </w:t>
      </w:r>
      <w:r w:rsidRPr="00283424">
        <w:rPr>
          <w:i/>
        </w:rPr>
        <w:t>Insurance (Agents and Brokers) Act 1984</w:t>
      </w:r>
      <w:r w:rsidRPr="00283424">
        <w:t>.</w:t>
      </w:r>
    </w:p>
    <w:p w14:paraId="1C7552D3" w14:textId="77777777" w:rsidR="00E93F58" w:rsidRPr="00283424" w:rsidRDefault="00E93F58" w:rsidP="00B50726">
      <w:pPr>
        <w:pStyle w:val="subsection"/>
      </w:pPr>
      <w:r w:rsidRPr="00283424">
        <w:rPr>
          <w:color w:val="000000"/>
        </w:rPr>
        <w:tab/>
        <w:t>(7)</w:t>
      </w:r>
      <w:r w:rsidRPr="00283424">
        <w:rPr>
          <w:color w:val="000000"/>
        </w:rPr>
        <w:tab/>
        <w:t>For paragraph 981B(1)(c) of the Act, if money received under section 1017E of the Act is paid into an</w:t>
      </w:r>
      <w:r w:rsidRPr="00283424">
        <w:t xml:space="preserve"> account under subregulation (6), Part 7.8 of the Act applies to the money.</w:t>
      </w:r>
    </w:p>
    <w:p w14:paraId="5BF722F2" w14:textId="77777777" w:rsidR="00E93F58" w:rsidRPr="00283424" w:rsidRDefault="00E93F58" w:rsidP="00B50726">
      <w:pPr>
        <w:pStyle w:val="notetext"/>
      </w:pPr>
      <w:r w:rsidRPr="00283424">
        <w:t>Note:</w:t>
      </w:r>
      <w:r w:rsidRPr="00283424">
        <w:tab/>
        <w:t>See also subregulation 7.9.08(3).</w:t>
      </w:r>
    </w:p>
    <w:p w14:paraId="330483E5" w14:textId="77777777" w:rsidR="00E93F58" w:rsidRPr="00283424" w:rsidRDefault="00E93F58" w:rsidP="00B50726">
      <w:pPr>
        <w:pStyle w:val="subsection"/>
      </w:pPr>
      <w:r w:rsidRPr="00283424">
        <w:tab/>
        <w:t>(8)</w:t>
      </w:r>
      <w:r w:rsidRPr="00283424">
        <w:tab/>
        <w:t xml:space="preserve">For paragraph 981B(1)(c) of the Act, if a financial services licensee is required to call margins from a client under </w:t>
      </w:r>
      <w:r w:rsidRPr="00283424">
        <w:rPr>
          <w:color w:val="000000"/>
        </w:rPr>
        <w:t xml:space="preserve">the market integrity rules, </w:t>
      </w:r>
      <w:r w:rsidRPr="00283424">
        <w:t>the operating rules of a licensed market or the operating rules of a licensed CS facility:</w:t>
      </w:r>
    </w:p>
    <w:p w14:paraId="4F44A3D5" w14:textId="77777777" w:rsidR="00E93F58" w:rsidRPr="00283424" w:rsidRDefault="00E93F58" w:rsidP="00B50726">
      <w:pPr>
        <w:pStyle w:val="paragraph"/>
      </w:pPr>
      <w:r w:rsidRPr="00283424">
        <w:tab/>
        <w:t>(a)</w:t>
      </w:r>
      <w:r w:rsidRPr="00283424">
        <w:tab/>
        <w:t>the financial services licensee may operate an account to which that paragraph applies as:</w:t>
      </w:r>
    </w:p>
    <w:p w14:paraId="174E12B3" w14:textId="77777777" w:rsidR="00E93F58" w:rsidRPr="00283424" w:rsidRDefault="00E93F58" w:rsidP="00B50726">
      <w:pPr>
        <w:pStyle w:val="paragraphsub"/>
      </w:pPr>
      <w:r w:rsidRPr="00283424">
        <w:tab/>
        <w:t>(i)</w:t>
      </w:r>
      <w:r w:rsidRPr="00283424">
        <w:tab/>
        <w:t>a clients’ segregated account; or</w:t>
      </w:r>
    </w:p>
    <w:p w14:paraId="29301B38" w14:textId="77777777" w:rsidR="00E93F58" w:rsidRPr="00283424" w:rsidRDefault="00E93F58" w:rsidP="00B50726">
      <w:pPr>
        <w:pStyle w:val="paragraphsub"/>
      </w:pPr>
      <w:r w:rsidRPr="00283424">
        <w:tab/>
        <w:t>(ii)</w:t>
      </w:r>
      <w:r w:rsidRPr="00283424">
        <w:tab/>
        <w:t>a trust account;</w:t>
      </w:r>
    </w:p>
    <w:p w14:paraId="3591040B" w14:textId="77777777" w:rsidR="00E93F58" w:rsidRPr="00283424" w:rsidRDefault="00E93F58" w:rsidP="00B50726">
      <w:pPr>
        <w:pStyle w:val="paragraph"/>
      </w:pPr>
      <w:r w:rsidRPr="00283424">
        <w:tab/>
      </w:r>
      <w:r w:rsidRPr="00283424">
        <w:tab/>
        <w:t xml:space="preserve">in accordance with the operating rules </w:t>
      </w:r>
      <w:r w:rsidRPr="00283424">
        <w:rPr>
          <w:color w:val="000000"/>
        </w:rPr>
        <w:t>or market integrity rules</w:t>
      </w:r>
      <w:r w:rsidRPr="00283424">
        <w:t>; and</w:t>
      </w:r>
    </w:p>
    <w:p w14:paraId="1754E587" w14:textId="77777777" w:rsidR="00E93F58" w:rsidRPr="00283424" w:rsidRDefault="00E93F58" w:rsidP="00B50726">
      <w:pPr>
        <w:pStyle w:val="paragraph"/>
      </w:pPr>
      <w:r w:rsidRPr="00283424">
        <w:tab/>
        <w:t>(b)</w:t>
      </w:r>
      <w:r w:rsidRPr="00283424">
        <w:tab/>
        <w:t>if:</w:t>
      </w:r>
    </w:p>
    <w:p w14:paraId="2EF6231E" w14:textId="77777777" w:rsidR="00E93F58" w:rsidRPr="00283424" w:rsidRDefault="00E93F58" w:rsidP="00B50726">
      <w:pPr>
        <w:pStyle w:val="paragraphsub"/>
      </w:pPr>
      <w:r w:rsidRPr="00283424">
        <w:tab/>
        <w:t>(i)</w:t>
      </w:r>
      <w:r w:rsidRPr="00283424">
        <w:tab/>
        <w:t>the account is operated outside Australia; and</w:t>
      </w:r>
    </w:p>
    <w:p w14:paraId="33ADFCC8" w14:textId="77777777" w:rsidR="00E93F58" w:rsidRPr="00283424" w:rsidRDefault="00E93F58" w:rsidP="00B50726">
      <w:pPr>
        <w:pStyle w:val="paragraphsub"/>
      </w:pPr>
      <w:r w:rsidRPr="00283424">
        <w:tab/>
        <w:t>(ii)</w:t>
      </w:r>
      <w:r w:rsidRPr="00283424">
        <w:tab/>
        <w:t>the law in force in the jurisdiction where it is maintained requires the account to be designated in a particular way;</w:t>
      </w:r>
    </w:p>
    <w:p w14:paraId="34C7580D" w14:textId="77777777" w:rsidR="00E93F58" w:rsidRPr="00283424" w:rsidRDefault="00E93F58" w:rsidP="00B50726">
      <w:pPr>
        <w:pStyle w:val="paragraph"/>
      </w:pPr>
      <w:r w:rsidRPr="00283424">
        <w:tab/>
      </w:r>
      <w:r w:rsidRPr="00283424">
        <w:tab/>
        <w:t>the financial services licensee must designate the account in that way.</w:t>
      </w:r>
    </w:p>
    <w:p w14:paraId="5E89CAEE" w14:textId="77777777" w:rsidR="00E93F58" w:rsidRPr="00283424" w:rsidRDefault="00E93F58" w:rsidP="00B50726">
      <w:pPr>
        <w:pStyle w:val="notetext"/>
      </w:pPr>
      <w:r w:rsidRPr="00283424">
        <w:t>Note:</w:t>
      </w:r>
      <w:r w:rsidRPr="00283424">
        <w:tab/>
        <w:t xml:space="preserve">The operating rules </w:t>
      </w:r>
      <w:r w:rsidRPr="00283424">
        <w:rPr>
          <w:color w:val="000000"/>
        </w:rPr>
        <w:t xml:space="preserve">or market integrity rules </w:t>
      </w:r>
      <w:r w:rsidRPr="00283424">
        <w:t>may require client moneys, including moneys used for margining, to be held in either a clients’ segregated account or a trust account.</w:t>
      </w:r>
    </w:p>
    <w:p w14:paraId="673AEEFD" w14:textId="77777777" w:rsidR="00E93F58" w:rsidRPr="00283424" w:rsidRDefault="00E93F58" w:rsidP="00B50726">
      <w:pPr>
        <w:pStyle w:val="subsection"/>
      </w:pPr>
      <w:r w:rsidRPr="00283424">
        <w:tab/>
        <w:t>(9)</w:t>
      </w:r>
      <w:r w:rsidRPr="00283424">
        <w:tab/>
        <w:t>For subparagraph 981B(1)(b)(iv) of the Act, if an account is operated in accordance with subregulation (8), all money received by the financial services licensee under Subdivision A of Division 2 of Part 7.8 of the Act is money that may be paid into that account.</w:t>
      </w:r>
    </w:p>
    <w:p w14:paraId="5AEF5AA4" w14:textId="77777777" w:rsidR="00E93F58" w:rsidRPr="00283424" w:rsidRDefault="00E93F58" w:rsidP="00B50726">
      <w:pPr>
        <w:pStyle w:val="subsection"/>
      </w:pPr>
      <w:r w:rsidRPr="00283424">
        <w:tab/>
        <w:t>(10)</w:t>
      </w:r>
      <w:r w:rsidRPr="00283424">
        <w:tab/>
        <w:t>Subregulation (8) does not affect the operation of section 981E of the Act.</w:t>
      </w:r>
    </w:p>
    <w:p w14:paraId="2B7533A6" w14:textId="77777777" w:rsidR="00E93F58" w:rsidRPr="00283424" w:rsidRDefault="00E93F58" w:rsidP="00B50726">
      <w:pPr>
        <w:pStyle w:val="subsection"/>
      </w:pPr>
      <w:r w:rsidRPr="00283424">
        <w:tab/>
        <w:t>(11)</w:t>
      </w:r>
      <w:r w:rsidRPr="00283424">
        <w:tab/>
        <w:t>For subparagraph 981B(1)(b)(iv) of the Act, each of the following is money that may be paid into an account:</w:t>
      </w:r>
    </w:p>
    <w:p w14:paraId="4A4B3AA0" w14:textId="77777777" w:rsidR="00E93F58" w:rsidRPr="00283424" w:rsidRDefault="00E93F58" w:rsidP="00B50726">
      <w:pPr>
        <w:pStyle w:val="paragraph"/>
      </w:pPr>
      <w:r w:rsidRPr="00283424">
        <w:tab/>
        <w:t>(a)</w:t>
      </w:r>
      <w:r w:rsidRPr="00283424">
        <w:tab/>
        <w:t>mixed money;</w:t>
      </w:r>
    </w:p>
    <w:p w14:paraId="4314E55D" w14:textId="77777777" w:rsidR="00E93F58" w:rsidRPr="00283424" w:rsidRDefault="00E93F58" w:rsidP="00B50726">
      <w:pPr>
        <w:pStyle w:val="paragraph"/>
      </w:pPr>
      <w:r w:rsidRPr="00283424">
        <w:tab/>
        <w:t>(b)</w:t>
      </w:r>
      <w:r w:rsidRPr="00283424">
        <w:tab/>
        <w:t>unidentified money.</w:t>
      </w:r>
    </w:p>
    <w:p w14:paraId="13B00771" w14:textId="77777777" w:rsidR="00E93F58" w:rsidRPr="00283424" w:rsidRDefault="00E93F58" w:rsidP="00B50726">
      <w:pPr>
        <w:pStyle w:val="subsection"/>
      </w:pPr>
      <w:r w:rsidRPr="00283424">
        <w:tab/>
        <w:t>(12)</w:t>
      </w:r>
      <w:r w:rsidRPr="00283424">
        <w:tab/>
        <w:t>For paragraph 981B(1)(c) of the Act, if mixed money is paid into an account under subregulation (11), the licensee must, as soon as practicable, but within 1 month after the mixed money is paid into the account, remove from the account the part of the money that is not section 981B money.</w:t>
      </w:r>
    </w:p>
    <w:p w14:paraId="631A27AE" w14:textId="77777777" w:rsidR="00E93F58" w:rsidRPr="00283424" w:rsidRDefault="00E93F58" w:rsidP="00B50726">
      <w:pPr>
        <w:pStyle w:val="subsection"/>
      </w:pPr>
      <w:r w:rsidRPr="00283424">
        <w:tab/>
        <w:t>(13)</w:t>
      </w:r>
      <w:r w:rsidRPr="00283424">
        <w:tab/>
        <w:t>For paragraph 981B(1)(c) of the Act, if unidentified money is paid into an account under subregulation (11), the licensee must, as soon as practicable after the unidentified money is paid into the account:</w:t>
      </w:r>
    </w:p>
    <w:p w14:paraId="7D712FCC" w14:textId="77777777" w:rsidR="00E93F58" w:rsidRPr="00283424" w:rsidRDefault="00E93F58" w:rsidP="00B50726">
      <w:pPr>
        <w:pStyle w:val="paragraph"/>
      </w:pPr>
      <w:r w:rsidRPr="00283424">
        <w:tab/>
        <w:t>(a)</w:t>
      </w:r>
      <w:r w:rsidRPr="00283424">
        <w:tab/>
        <w:t>identify any part of the money that is section 981B money; and</w:t>
      </w:r>
    </w:p>
    <w:p w14:paraId="7A43B365" w14:textId="77777777" w:rsidR="00E93F58" w:rsidRPr="00283424" w:rsidRDefault="00E93F58" w:rsidP="00B50726">
      <w:pPr>
        <w:pStyle w:val="paragraph"/>
      </w:pPr>
      <w:r w:rsidRPr="00283424">
        <w:tab/>
        <w:t>(b)</w:t>
      </w:r>
      <w:r w:rsidRPr="00283424">
        <w:tab/>
        <w:t>remove from the account any part of the money that is not section 981B money.</w:t>
      </w:r>
    </w:p>
    <w:p w14:paraId="12462780" w14:textId="77777777" w:rsidR="00E93F58" w:rsidRPr="00283424" w:rsidRDefault="00E93F58" w:rsidP="00B50726">
      <w:pPr>
        <w:pStyle w:val="subsection"/>
      </w:pPr>
      <w:r w:rsidRPr="00283424">
        <w:tab/>
        <w:t>(14)</w:t>
      </w:r>
      <w:r w:rsidRPr="00283424">
        <w:tab/>
        <w:t>For subregulations (11) to (13):</w:t>
      </w:r>
    </w:p>
    <w:p w14:paraId="28660C14" w14:textId="77777777" w:rsidR="00E93F58" w:rsidRPr="00283424" w:rsidRDefault="00E93F58" w:rsidP="00B50726">
      <w:pPr>
        <w:pStyle w:val="Definition"/>
      </w:pPr>
      <w:r w:rsidRPr="00283424">
        <w:rPr>
          <w:b/>
          <w:i/>
        </w:rPr>
        <w:t xml:space="preserve">mixed money </w:t>
      </w:r>
      <w:r w:rsidRPr="00283424">
        <w:t>means money that:</w:t>
      </w:r>
    </w:p>
    <w:p w14:paraId="6DEA260B" w14:textId="77777777" w:rsidR="00E93F58" w:rsidRPr="00283424" w:rsidRDefault="00E93F58" w:rsidP="00B50726">
      <w:pPr>
        <w:pStyle w:val="paragraph"/>
      </w:pPr>
      <w:r w:rsidRPr="00283424">
        <w:tab/>
        <w:t>(a)</w:t>
      </w:r>
      <w:r w:rsidRPr="00283424">
        <w:tab/>
        <w:t>is received by the licensee as a single payment; and</w:t>
      </w:r>
    </w:p>
    <w:p w14:paraId="4AC25879" w14:textId="77777777" w:rsidR="00E93F58" w:rsidRPr="00283424" w:rsidRDefault="00E93F58" w:rsidP="00B50726">
      <w:pPr>
        <w:pStyle w:val="paragraph"/>
      </w:pPr>
      <w:r w:rsidRPr="00283424">
        <w:tab/>
        <w:t>(b)</w:t>
      </w:r>
      <w:r w:rsidRPr="00283424">
        <w:tab/>
        <w:t>is not wholly section 981B money, but includes section 981B money.</w:t>
      </w:r>
    </w:p>
    <w:p w14:paraId="1CC90A21" w14:textId="77777777" w:rsidR="00E93F58" w:rsidRPr="00283424" w:rsidRDefault="00E93F58" w:rsidP="00B50726">
      <w:pPr>
        <w:pStyle w:val="Definition"/>
      </w:pPr>
      <w:r w:rsidRPr="00283424">
        <w:rPr>
          <w:b/>
          <w:i/>
        </w:rPr>
        <w:t xml:space="preserve">section 981B money </w:t>
      </w:r>
      <w:r w:rsidRPr="00283424">
        <w:t>means:</w:t>
      </w:r>
    </w:p>
    <w:p w14:paraId="6796443D" w14:textId="77777777" w:rsidR="00E93F58" w:rsidRPr="00283424" w:rsidRDefault="00E93F58" w:rsidP="00B50726">
      <w:pPr>
        <w:pStyle w:val="paragraph"/>
      </w:pPr>
      <w:r w:rsidRPr="00283424">
        <w:tab/>
        <w:t>(a)</w:t>
      </w:r>
      <w:r w:rsidRPr="00283424">
        <w:tab/>
        <w:t>money to which Subdivision A of Division 2 of Part 7.8 of the Act applies; or</w:t>
      </w:r>
    </w:p>
    <w:p w14:paraId="0AC4D778" w14:textId="77777777" w:rsidR="00E93F58" w:rsidRPr="00283424" w:rsidRDefault="00E93F58" w:rsidP="00B50726">
      <w:pPr>
        <w:pStyle w:val="paragraph"/>
      </w:pPr>
      <w:r w:rsidRPr="00283424">
        <w:tab/>
        <w:t>(b)</w:t>
      </w:r>
      <w:r w:rsidRPr="00283424">
        <w:tab/>
        <w:t>money that is allowed to remain in the account because of the operation of subparagraphs 981B(1)(b)(ii) and (iii) of the Act; or</w:t>
      </w:r>
    </w:p>
    <w:p w14:paraId="3C8ABB02" w14:textId="77777777" w:rsidR="00E93F58" w:rsidRPr="00283424" w:rsidRDefault="00E93F58" w:rsidP="00B50726">
      <w:pPr>
        <w:pStyle w:val="paragraph"/>
      </w:pPr>
      <w:r w:rsidRPr="00283424">
        <w:lastRenderedPageBreak/>
        <w:tab/>
        <w:t>(c)</w:t>
      </w:r>
      <w:r w:rsidRPr="00283424">
        <w:tab/>
        <w:t>money mentioned in subregulation (4).</w:t>
      </w:r>
    </w:p>
    <w:p w14:paraId="31352035" w14:textId="77777777" w:rsidR="00E93F58" w:rsidRPr="00283424" w:rsidRDefault="00E93F58" w:rsidP="00B50726">
      <w:pPr>
        <w:pStyle w:val="Definition"/>
      </w:pPr>
      <w:r w:rsidRPr="00283424">
        <w:rPr>
          <w:b/>
          <w:i/>
        </w:rPr>
        <w:t>unidentified money</w:t>
      </w:r>
      <w:r w:rsidRPr="00283424">
        <w:t xml:space="preserve"> means money that:</w:t>
      </w:r>
    </w:p>
    <w:p w14:paraId="5E215AFB" w14:textId="77777777" w:rsidR="00E93F58" w:rsidRPr="00283424" w:rsidRDefault="00E93F58" w:rsidP="00B50726">
      <w:pPr>
        <w:pStyle w:val="paragraph"/>
      </w:pPr>
      <w:r w:rsidRPr="00283424">
        <w:tab/>
        <w:t>(a)</w:t>
      </w:r>
      <w:r w:rsidRPr="00283424">
        <w:tab/>
        <w:t>is received by the licensee as a single payment; and</w:t>
      </w:r>
    </w:p>
    <w:p w14:paraId="40AC4532" w14:textId="77777777" w:rsidR="00E93F58" w:rsidRPr="00283424" w:rsidRDefault="00E93F58" w:rsidP="00B50726">
      <w:pPr>
        <w:pStyle w:val="paragraph"/>
      </w:pPr>
      <w:r w:rsidRPr="00283424">
        <w:tab/>
        <w:t>(b)</w:t>
      </w:r>
      <w:r w:rsidRPr="00283424">
        <w:tab/>
        <w:t>at the time of receipt, is unable to be identified as section 981B money or mixed money; and</w:t>
      </w:r>
    </w:p>
    <w:p w14:paraId="2BE76C3A" w14:textId="77777777" w:rsidR="00E93F58" w:rsidRPr="00283424" w:rsidRDefault="00E93F58" w:rsidP="00B50726">
      <w:pPr>
        <w:pStyle w:val="paragraph"/>
      </w:pPr>
      <w:r w:rsidRPr="00283424">
        <w:tab/>
        <w:t>(c)</w:t>
      </w:r>
      <w:r w:rsidRPr="00283424">
        <w:tab/>
        <w:t>might include section 981B money.</w:t>
      </w:r>
    </w:p>
    <w:p w14:paraId="682FB779" w14:textId="77777777" w:rsidR="00E93F58" w:rsidRPr="00283424" w:rsidRDefault="00E93F58" w:rsidP="00B50726">
      <w:pPr>
        <w:pStyle w:val="ActHead5"/>
      </w:pPr>
      <w:bookmarkStart w:id="1258" w:name="_Toc152054607"/>
      <w:bookmarkStart w:id="1259" w:name="_Toc158712423"/>
      <w:r w:rsidRPr="006F296E">
        <w:rPr>
          <w:rStyle w:val="CharSectno"/>
        </w:rPr>
        <w:t>7.8.02</w:t>
      </w:r>
      <w:r w:rsidRPr="00283424">
        <w:rPr>
          <w:sz w:val="16"/>
        </w:rPr>
        <w:t xml:space="preserve">  </w:t>
      </w:r>
      <w:r w:rsidRPr="00283424">
        <w:t>Accounts maintained for section 981B of the Act</w:t>
      </w:r>
      <w:bookmarkEnd w:id="1258"/>
      <w:bookmarkEnd w:id="1259"/>
    </w:p>
    <w:p w14:paraId="099E84F6" w14:textId="77777777" w:rsidR="00E93F58" w:rsidRPr="00283424" w:rsidRDefault="00E93F58" w:rsidP="00B50726">
      <w:pPr>
        <w:pStyle w:val="SubsectionHead"/>
      </w:pPr>
      <w:r w:rsidRPr="00283424">
        <w:t>Withdrawals from account</w:t>
      </w:r>
    </w:p>
    <w:p w14:paraId="215F8957" w14:textId="77777777" w:rsidR="00E93F58" w:rsidRPr="00283424" w:rsidRDefault="00E93F58" w:rsidP="00B50726">
      <w:pPr>
        <w:pStyle w:val="subsection"/>
      </w:pPr>
      <w:r w:rsidRPr="00283424">
        <w:tab/>
        <w:t>(1)</w:t>
      </w:r>
      <w:r w:rsidRPr="00283424">
        <w:tab/>
        <w:t>For paragraph 981C(1)(a) of the Act, payments may be made out of an account maintained for section 981B of the Act in any of the following circumstances:</w:t>
      </w:r>
    </w:p>
    <w:p w14:paraId="69249C61" w14:textId="77777777" w:rsidR="00E93F58" w:rsidRPr="00283424" w:rsidRDefault="00E93F58" w:rsidP="00B50726">
      <w:pPr>
        <w:pStyle w:val="paragraph"/>
      </w:pPr>
      <w:r w:rsidRPr="00283424">
        <w:rPr>
          <w:color w:val="000000"/>
        </w:rPr>
        <w:tab/>
        <w:t>(a)</w:t>
      </w:r>
      <w:r w:rsidRPr="00283424">
        <w:rPr>
          <w:color w:val="000000"/>
        </w:rPr>
        <w:tab/>
        <w:t xml:space="preserve">making a payment to, or in accordance with the written direction of, a person entitled to the money </w:t>
      </w:r>
      <w:r w:rsidRPr="00283424">
        <w:t>(subject to regulation 7.8.02A)</w:t>
      </w:r>
      <w:r w:rsidRPr="00283424">
        <w:rPr>
          <w:color w:val="000000"/>
        </w:rPr>
        <w:t>;</w:t>
      </w:r>
    </w:p>
    <w:p w14:paraId="3C9023E8" w14:textId="77777777" w:rsidR="00E93F58" w:rsidRPr="00283424" w:rsidRDefault="00E93F58" w:rsidP="00B50726">
      <w:pPr>
        <w:pStyle w:val="paragraph"/>
      </w:pPr>
      <w:r w:rsidRPr="00283424">
        <w:tab/>
        <w:t>(b)</w:t>
      </w:r>
      <w:r w:rsidRPr="00283424">
        <w:tab/>
        <w:t>defraying brokerage and other proper charges;</w:t>
      </w:r>
    </w:p>
    <w:p w14:paraId="00BE5FFD" w14:textId="77777777" w:rsidR="00E93F58" w:rsidRPr="00283424" w:rsidRDefault="00E93F58" w:rsidP="00B50726">
      <w:pPr>
        <w:pStyle w:val="paragraph"/>
      </w:pPr>
      <w:r w:rsidRPr="00283424">
        <w:tab/>
        <w:t>(c)</w:t>
      </w:r>
      <w:r w:rsidRPr="00283424">
        <w:tab/>
        <w:t>paying to the financial services licensee money to which the financial services licensee is entitled (subject to regulation 7.8.02A);</w:t>
      </w:r>
    </w:p>
    <w:p w14:paraId="2275252F" w14:textId="77777777" w:rsidR="00E93F58" w:rsidRPr="00283424" w:rsidRDefault="00E93F58" w:rsidP="00B50726">
      <w:pPr>
        <w:pStyle w:val="paragraph"/>
      </w:pPr>
      <w:r w:rsidRPr="00283424">
        <w:tab/>
        <w:t>(d)</w:t>
      </w:r>
      <w:r w:rsidRPr="00283424">
        <w:tab/>
        <w:t>making a payment of moneys due to an insurer in connection with a contract of insurance;</w:t>
      </w:r>
    </w:p>
    <w:p w14:paraId="03203F5D" w14:textId="77777777" w:rsidR="00E93F58" w:rsidRPr="00283424" w:rsidRDefault="00E93F58" w:rsidP="00B50726">
      <w:pPr>
        <w:pStyle w:val="paragraph"/>
      </w:pPr>
      <w:r w:rsidRPr="00283424">
        <w:tab/>
        <w:t>(e)</w:t>
      </w:r>
      <w:r w:rsidRPr="00283424">
        <w:tab/>
        <w:t>making a payment that is otherwise authorised by law;</w:t>
      </w:r>
    </w:p>
    <w:p w14:paraId="072B961D" w14:textId="77777777" w:rsidR="00E93F58" w:rsidRPr="00283424" w:rsidRDefault="00E93F58" w:rsidP="00B50726">
      <w:pPr>
        <w:pStyle w:val="paragraph"/>
      </w:pPr>
      <w:r w:rsidRPr="00283424">
        <w:tab/>
        <w:t>(f)</w:t>
      </w:r>
      <w:r w:rsidRPr="00283424">
        <w:tab/>
        <w:t xml:space="preserve">paying to the financial services licensee money to which the financial services licensee is entitled pursuant to </w:t>
      </w:r>
      <w:r w:rsidRPr="00283424">
        <w:rPr>
          <w:color w:val="000000"/>
        </w:rPr>
        <w:t xml:space="preserve">the market integrity rules or </w:t>
      </w:r>
      <w:r w:rsidRPr="00283424">
        <w:t>the operating rules of a licensed market.</w:t>
      </w:r>
    </w:p>
    <w:p w14:paraId="2E2A7EAA" w14:textId="77777777" w:rsidR="00E93F58" w:rsidRPr="00283424" w:rsidRDefault="00E93F58" w:rsidP="00B50726">
      <w:pPr>
        <w:pStyle w:val="subsection"/>
      </w:pPr>
      <w:r w:rsidRPr="00283424">
        <w:tab/>
        <w:t>(1A)</w:t>
      </w:r>
      <w:r w:rsidRPr="00283424">
        <w:tab/>
        <w:t xml:space="preserve">For paragraph 981C(1)(a) and subparagraph 981B(1)(b)(iv) of the Act, if, under paragraph (1)(a), a financial services licensee (the </w:t>
      </w:r>
      <w:r w:rsidRPr="00283424">
        <w:rPr>
          <w:b/>
          <w:i/>
        </w:rPr>
        <w:t>paying licensee</w:t>
      </w:r>
      <w:r w:rsidRPr="00283424">
        <w:t xml:space="preserve">) withdraws money from an account maintained for section 981B of the Act and pays it to another financial services licensee (the </w:t>
      </w:r>
      <w:r w:rsidRPr="00283424">
        <w:rPr>
          <w:b/>
          <w:i/>
        </w:rPr>
        <w:t>receiving licensee</w:t>
      </w:r>
      <w:r w:rsidRPr="00283424">
        <w:t>):</w:t>
      </w:r>
    </w:p>
    <w:p w14:paraId="2F4A0159" w14:textId="77777777" w:rsidR="00E93F58" w:rsidRPr="00283424" w:rsidRDefault="00E93F58" w:rsidP="00B50726">
      <w:pPr>
        <w:pStyle w:val="paragraph"/>
      </w:pPr>
      <w:r w:rsidRPr="00283424">
        <w:tab/>
        <w:t>(a)</w:t>
      </w:r>
      <w:r w:rsidRPr="00283424">
        <w:tab/>
        <w:t>the paying licensee must ensure that the receiving licensee is notified, at the same time as the payment is made or as soon as practicable, that the money:</w:t>
      </w:r>
    </w:p>
    <w:p w14:paraId="4522921E" w14:textId="77777777" w:rsidR="00E93F58" w:rsidRPr="00283424" w:rsidRDefault="00E93F58" w:rsidP="00B50726">
      <w:pPr>
        <w:pStyle w:val="paragraphsub"/>
      </w:pPr>
      <w:r w:rsidRPr="00283424">
        <w:tab/>
        <w:t>(i)</w:t>
      </w:r>
      <w:r w:rsidRPr="00283424">
        <w:tab/>
        <w:t>has been withdrawn from an account of the paying licensee maintained for section 981B of the Act; and</w:t>
      </w:r>
    </w:p>
    <w:p w14:paraId="5A4C5A1F" w14:textId="77777777" w:rsidR="00E93F58" w:rsidRPr="00283424" w:rsidRDefault="00E93F58" w:rsidP="00B50726">
      <w:pPr>
        <w:pStyle w:val="paragraphsub"/>
      </w:pPr>
      <w:r w:rsidRPr="00283424">
        <w:tab/>
        <w:t>(ii)</w:t>
      </w:r>
      <w:r w:rsidRPr="00283424">
        <w:tab/>
        <w:t>should be paid into an account of the receiving licensee maintained for section 981B of the Act; and</w:t>
      </w:r>
    </w:p>
    <w:p w14:paraId="3E2A2D34" w14:textId="77777777" w:rsidR="00E93F58" w:rsidRPr="00283424" w:rsidRDefault="00E93F58" w:rsidP="00B50726">
      <w:pPr>
        <w:pStyle w:val="paragraph"/>
      </w:pPr>
      <w:r w:rsidRPr="00283424">
        <w:tab/>
        <w:t>(b)</w:t>
      </w:r>
      <w:r w:rsidRPr="00283424">
        <w:tab/>
        <w:t>not later than the day after the receiving licensee receives the payment, the receiving licensee must pay the money into an account of the receiving licensee maintained for section 981B of the Act.</w:t>
      </w:r>
    </w:p>
    <w:p w14:paraId="73150AD7" w14:textId="77777777" w:rsidR="00E93F58" w:rsidRPr="00283424" w:rsidRDefault="00E93F58" w:rsidP="00B50726">
      <w:pPr>
        <w:pStyle w:val="SubsectionHead"/>
      </w:pPr>
      <w:r w:rsidRPr="00283424">
        <w:t>Permissible investments</w:t>
      </w:r>
    </w:p>
    <w:p w14:paraId="094DC9FA" w14:textId="77777777" w:rsidR="00E93F58" w:rsidRPr="00283424" w:rsidRDefault="00E93F58" w:rsidP="00B50726">
      <w:pPr>
        <w:pStyle w:val="subsection"/>
      </w:pPr>
      <w:r w:rsidRPr="00283424">
        <w:tab/>
        <w:t>(2)</w:t>
      </w:r>
      <w:r w:rsidRPr="00283424">
        <w:tab/>
        <w:t>For paragraph 981C(1)(a) of the Act, and subject to subregulations (3), (4) and (5), the following kinds of investment may be made in relation to an account maintained for section 981B of the Act:</w:t>
      </w:r>
    </w:p>
    <w:p w14:paraId="084A36A5" w14:textId="77777777" w:rsidR="00E93F58" w:rsidRPr="00283424" w:rsidRDefault="00E93F58" w:rsidP="00B50726">
      <w:pPr>
        <w:pStyle w:val="paragraph"/>
      </w:pPr>
      <w:r w:rsidRPr="00283424">
        <w:rPr>
          <w:color w:val="000000"/>
        </w:rPr>
        <w:tab/>
        <w:t>(a)</w:t>
      </w:r>
      <w:r w:rsidRPr="00283424">
        <w:rPr>
          <w:color w:val="000000"/>
        </w:rPr>
        <w:tab/>
        <w:t>investment in any manner in which trustees are for the time being authorised by law to invest trust funds;</w:t>
      </w:r>
    </w:p>
    <w:p w14:paraId="221EFB9C" w14:textId="77777777" w:rsidR="00E93F58" w:rsidRPr="00283424" w:rsidRDefault="00E93F58" w:rsidP="00B50726">
      <w:pPr>
        <w:pStyle w:val="paragraph"/>
      </w:pPr>
      <w:r w:rsidRPr="00283424">
        <w:tab/>
        <w:t>(b)</w:t>
      </w:r>
      <w:r w:rsidRPr="00283424">
        <w:tab/>
        <w:t>investment on deposit with an eligible money market dealer;</w:t>
      </w:r>
    </w:p>
    <w:p w14:paraId="19A754D5" w14:textId="77777777" w:rsidR="00E93F58" w:rsidRPr="00283424" w:rsidRDefault="00E93F58" w:rsidP="00B50726">
      <w:pPr>
        <w:pStyle w:val="paragraph"/>
      </w:pPr>
      <w:r w:rsidRPr="00283424">
        <w:tab/>
        <w:t>(c)</w:t>
      </w:r>
      <w:r w:rsidRPr="00283424">
        <w:tab/>
        <w:t>investment on deposit at interest with an Australian ADI;</w:t>
      </w:r>
    </w:p>
    <w:p w14:paraId="436E3BF5" w14:textId="77777777" w:rsidR="00E93F58" w:rsidRPr="00283424" w:rsidRDefault="00E93F58" w:rsidP="00B50726">
      <w:pPr>
        <w:pStyle w:val="paragraph"/>
      </w:pPr>
      <w:r w:rsidRPr="00283424">
        <w:tab/>
        <w:t>(d)</w:t>
      </w:r>
      <w:r w:rsidRPr="00283424">
        <w:tab/>
        <w:t>the acquisition of cash management trust interests;</w:t>
      </w:r>
    </w:p>
    <w:p w14:paraId="76FEF1E7" w14:textId="77777777" w:rsidR="00E93F58" w:rsidRPr="00283424" w:rsidRDefault="00E93F58" w:rsidP="00B50726">
      <w:pPr>
        <w:pStyle w:val="paragraph"/>
      </w:pPr>
      <w:r w:rsidRPr="00283424">
        <w:tab/>
        <w:t>(e)</w:t>
      </w:r>
      <w:r w:rsidRPr="00283424">
        <w:tab/>
        <w:t>investment in a security issued or guaranteed by the Commonwealth or a State or Territory;</w:t>
      </w:r>
    </w:p>
    <w:p w14:paraId="2D932B32" w14:textId="77777777" w:rsidR="00E93F58" w:rsidRPr="00283424" w:rsidRDefault="00E93F58" w:rsidP="00B50726">
      <w:pPr>
        <w:pStyle w:val="paragraph"/>
      </w:pPr>
      <w:r w:rsidRPr="00283424">
        <w:tab/>
        <w:t>(f)</w:t>
      </w:r>
      <w:r w:rsidRPr="00283424">
        <w:tab/>
        <w:t>investment on deposit with a licensed CS facility.</w:t>
      </w:r>
    </w:p>
    <w:p w14:paraId="01ECF5CF" w14:textId="77777777" w:rsidR="00E93F58" w:rsidRPr="00283424" w:rsidRDefault="00E93F58" w:rsidP="00B50726">
      <w:pPr>
        <w:pStyle w:val="subsection"/>
      </w:pPr>
      <w:r w:rsidRPr="00283424">
        <w:tab/>
        <w:t>(3)</w:t>
      </w:r>
      <w:r w:rsidRPr="00283424">
        <w:tab/>
        <w:t>A financial services licensee must not invest an amount in a way permitted by subregulation (2) unless:</w:t>
      </w:r>
    </w:p>
    <w:p w14:paraId="7A9EB51A" w14:textId="77777777" w:rsidR="00E93F58" w:rsidRPr="00283424" w:rsidRDefault="00E93F58" w:rsidP="00B50726">
      <w:pPr>
        <w:pStyle w:val="paragraph"/>
      </w:pPr>
      <w:r w:rsidRPr="00283424">
        <w:tab/>
        <w:t>(a)</w:t>
      </w:r>
      <w:r w:rsidRPr="00283424">
        <w:tab/>
        <w:t>the financial services licensee has obtained the client’s written agreement to the following matters:</w:t>
      </w:r>
    </w:p>
    <w:p w14:paraId="35969B69" w14:textId="77777777" w:rsidR="00E93F58" w:rsidRPr="00283424" w:rsidRDefault="00E93F58" w:rsidP="00B50726">
      <w:pPr>
        <w:pStyle w:val="paragraphsub"/>
        <w:rPr>
          <w:color w:val="000000"/>
        </w:rPr>
      </w:pPr>
      <w:r w:rsidRPr="00283424">
        <w:rPr>
          <w:color w:val="000000"/>
        </w:rPr>
        <w:tab/>
        <w:t>(i)</w:t>
      </w:r>
      <w:r w:rsidRPr="00283424">
        <w:rPr>
          <w:color w:val="000000"/>
        </w:rPr>
        <w:tab/>
        <w:t>the making of the investment;</w:t>
      </w:r>
    </w:p>
    <w:p w14:paraId="6DD4EA60" w14:textId="77777777" w:rsidR="00E93F58" w:rsidRPr="00283424" w:rsidRDefault="00E93F58" w:rsidP="00B50726">
      <w:pPr>
        <w:pStyle w:val="paragraphsub"/>
      </w:pPr>
      <w:r w:rsidRPr="00283424">
        <w:tab/>
        <w:t>(ii)</w:t>
      </w:r>
      <w:r w:rsidRPr="00283424">
        <w:tab/>
        <w:t>how earnings on the investment are to be dealt with (including whether or not the earnings are to be shared, and whether or not the earnings are to be paid into the account);</w:t>
      </w:r>
    </w:p>
    <w:p w14:paraId="1C305FE9" w14:textId="77777777" w:rsidR="00E93F58" w:rsidRPr="00283424" w:rsidRDefault="00E93F58" w:rsidP="00B50726">
      <w:pPr>
        <w:pStyle w:val="paragraphsub"/>
      </w:pPr>
      <w:r w:rsidRPr="00283424">
        <w:tab/>
        <w:t>(iii)</w:t>
      </w:r>
      <w:r w:rsidRPr="00283424">
        <w:tab/>
        <w:t>how the realisation of the investment is to be dealt with (including whether or not the capital invested, and the proceeds of the investment, are to be deposited into the account);</w:t>
      </w:r>
    </w:p>
    <w:p w14:paraId="06DC2B04" w14:textId="77777777" w:rsidR="00E93F58" w:rsidRPr="00283424" w:rsidRDefault="00E93F58" w:rsidP="00B50726">
      <w:pPr>
        <w:pStyle w:val="paragraphsub"/>
      </w:pPr>
      <w:r w:rsidRPr="00283424">
        <w:tab/>
        <w:t>(iv)</w:t>
      </w:r>
      <w:r w:rsidRPr="00283424">
        <w:tab/>
        <w:t>how any losses made on the investment are to be dealt with (including the circumstances in which the financial services licensee is required to pay an amount equal to the difference between the amount invested and the amount received, into the account or otherwise);</w:t>
      </w:r>
    </w:p>
    <w:p w14:paraId="476AE2DD" w14:textId="77777777" w:rsidR="00E93F58" w:rsidRPr="00283424" w:rsidRDefault="00E93F58" w:rsidP="00B50726">
      <w:pPr>
        <w:pStyle w:val="paragraphsub"/>
      </w:pPr>
      <w:r w:rsidRPr="00283424">
        <w:tab/>
        <w:t>(v)</w:t>
      </w:r>
      <w:r w:rsidRPr="00283424">
        <w:tab/>
        <w:t>the fee (if any) that the financial services licensee proposes to charge for the investment; and</w:t>
      </w:r>
    </w:p>
    <w:p w14:paraId="6A8E0AC7" w14:textId="77777777" w:rsidR="00E93F58" w:rsidRPr="00283424" w:rsidRDefault="00E93F58" w:rsidP="00B50726">
      <w:pPr>
        <w:pStyle w:val="paragraph"/>
      </w:pPr>
      <w:r w:rsidRPr="00283424">
        <w:rPr>
          <w:color w:val="000000"/>
        </w:rPr>
        <w:tab/>
        <w:t>(b)</w:t>
      </w:r>
      <w:r w:rsidRPr="00283424">
        <w:rPr>
          <w:color w:val="000000"/>
        </w:rPr>
        <w:tab/>
        <w:t>the money is money to which the client is entitled.</w:t>
      </w:r>
    </w:p>
    <w:p w14:paraId="664073F8" w14:textId="77777777" w:rsidR="00E93F58" w:rsidRPr="00283424" w:rsidRDefault="00E93F58" w:rsidP="00B50726">
      <w:pPr>
        <w:pStyle w:val="notetext"/>
      </w:pPr>
      <w:r w:rsidRPr="00283424">
        <w:rPr>
          <w:color w:val="000000"/>
        </w:rPr>
        <w:lastRenderedPageBreak/>
        <w:t>Note:</w:t>
      </w:r>
      <w:r w:rsidRPr="00283424">
        <w:rPr>
          <w:color w:val="000000"/>
        </w:rPr>
        <w:tab/>
        <w:t>The investment arrangement may be a managed investment scheme.</w:t>
      </w:r>
    </w:p>
    <w:p w14:paraId="51ADDEB7" w14:textId="77777777" w:rsidR="00E93F58" w:rsidRPr="00283424" w:rsidRDefault="00E93F58" w:rsidP="00B50726">
      <w:pPr>
        <w:pStyle w:val="subsection"/>
      </w:pPr>
      <w:r w:rsidRPr="00283424">
        <w:tab/>
        <w:t>(4)</w:t>
      </w:r>
      <w:r w:rsidRPr="00283424">
        <w:tab/>
        <w:t>For paragraph 981A(4)(a) of the Act, subregulation (3) does not apply to money to which subregulation 7.8.01(4) applies.</w:t>
      </w:r>
    </w:p>
    <w:p w14:paraId="1645E25B" w14:textId="77777777" w:rsidR="00E93F58" w:rsidRPr="00283424" w:rsidRDefault="00E93F58" w:rsidP="00B50726">
      <w:pPr>
        <w:pStyle w:val="subsection"/>
      </w:pPr>
      <w:r w:rsidRPr="00283424">
        <w:tab/>
        <w:t>(5)</w:t>
      </w:r>
      <w:r w:rsidRPr="00283424">
        <w:tab/>
        <w:t>In subregulation (2):</w:t>
      </w:r>
    </w:p>
    <w:p w14:paraId="120988AA" w14:textId="77777777" w:rsidR="00E93F58" w:rsidRPr="00283424" w:rsidRDefault="00E93F58" w:rsidP="00B50726">
      <w:pPr>
        <w:pStyle w:val="Definition"/>
      </w:pPr>
      <w:r w:rsidRPr="00283424">
        <w:rPr>
          <w:b/>
          <w:i/>
          <w:color w:val="000000"/>
        </w:rPr>
        <w:t>investment</w:t>
      </w:r>
      <w:r w:rsidRPr="00283424">
        <w:rPr>
          <w:color w:val="000000"/>
        </w:rPr>
        <w:t xml:space="preserve"> does not include the making of an investment in accordance with the specific direction of a client.</w:t>
      </w:r>
    </w:p>
    <w:p w14:paraId="12CC9FCD" w14:textId="77777777" w:rsidR="00E93F58" w:rsidRPr="00283424" w:rsidRDefault="00E93F58" w:rsidP="00B50726">
      <w:pPr>
        <w:pStyle w:val="notetext"/>
        <w:rPr>
          <w:color w:val="000000"/>
        </w:rPr>
      </w:pPr>
      <w:r w:rsidRPr="00283424">
        <w:rPr>
          <w:color w:val="000000"/>
        </w:rPr>
        <w:t>Note:</w:t>
      </w:r>
      <w:r w:rsidRPr="00283424">
        <w:rPr>
          <w:color w:val="000000"/>
        </w:rPr>
        <w:tab/>
        <w:t>Paragraph (1)(a) deals with the withdrawal of money from an account in accordance with the written direction of a person entitled to the money.</w:t>
      </w:r>
    </w:p>
    <w:p w14:paraId="4F1B3E3C" w14:textId="77777777" w:rsidR="00E93F58" w:rsidRPr="00283424" w:rsidRDefault="00E93F58" w:rsidP="00B50726">
      <w:pPr>
        <w:pStyle w:val="subsection"/>
      </w:pPr>
      <w:r w:rsidRPr="00283424">
        <w:tab/>
        <w:t>(6)</w:t>
      </w:r>
      <w:r w:rsidRPr="00283424">
        <w:tab/>
        <w:t>For paragraph 981C(1)(b) of the Act, in relation to moneys received in relation to insurance products, the financial services licensee must ensure that:</w:t>
      </w:r>
    </w:p>
    <w:p w14:paraId="632F5791" w14:textId="77777777" w:rsidR="00E93F58" w:rsidRPr="00283424" w:rsidRDefault="00E93F58" w:rsidP="00B50726">
      <w:pPr>
        <w:pStyle w:val="paragraph"/>
      </w:pPr>
      <w:r w:rsidRPr="00283424">
        <w:tab/>
        <w:t>(a)</w:t>
      </w:r>
      <w:r w:rsidRPr="00283424">
        <w:tab/>
        <w:t>the balance of moneys in an account maintained by the financial services licensee under section 981B of the Act; and</w:t>
      </w:r>
    </w:p>
    <w:p w14:paraId="2A3F325D" w14:textId="77777777" w:rsidR="00E93F58" w:rsidRPr="00283424" w:rsidRDefault="00E93F58" w:rsidP="00B50726">
      <w:pPr>
        <w:pStyle w:val="paragraph"/>
      </w:pPr>
      <w:r w:rsidRPr="00283424">
        <w:tab/>
        <w:t>(b)</w:t>
      </w:r>
      <w:r w:rsidRPr="00283424">
        <w:tab/>
        <w:t>the total amount previously withdrawn from the account and currently invested under subregulation (2);</w:t>
      </w:r>
    </w:p>
    <w:p w14:paraId="557BE7B6" w14:textId="77777777" w:rsidR="00E93F58" w:rsidRPr="00283424" w:rsidRDefault="00E93F58" w:rsidP="00B50726">
      <w:pPr>
        <w:pStyle w:val="subsection2"/>
      </w:pPr>
      <w:r w:rsidRPr="00283424">
        <w:t>is at least the sum of:</w:t>
      </w:r>
    </w:p>
    <w:p w14:paraId="0D75075D" w14:textId="77777777" w:rsidR="00E93F58" w:rsidRPr="00283424" w:rsidRDefault="00E93F58" w:rsidP="00B50726">
      <w:pPr>
        <w:pStyle w:val="paragraph"/>
      </w:pPr>
      <w:r w:rsidRPr="00283424">
        <w:tab/>
        <w:t>(c)</w:t>
      </w:r>
      <w:r w:rsidRPr="00283424">
        <w:tab/>
        <w:t>any amounts that an insurer is entitled to receive from the account; and</w:t>
      </w:r>
    </w:p>
    <w:p w14:paraId="5DA830E2" w14:textId="77777777" w:rsidR="00E93F58" w:rsidRPr="00283424" w:rsidRDefault="00E93F58" w:rsidP="00B50726">
      <w:pPr>
        <w:pStyle w:val="paragraph"/>
      </w:pPr>
      <w:r w:rsidRPr="00283424">
        <w:tab/>
        <w:t>(d)</w:t>
      </w:r>
      <w:r w:rsidRPr="00283424">
        <w:tab/>
        <w:t>any amounts that an insured or intending insured is entitled to receive from the account.</w:t>
      </w:r>
    </w:p>
    <w:p w14:paraId="18682D7D" w14:textId="77777777" w:rsidR="00E93F58" w:rsidRPr="00283424" w:rsidRDefault="00E93F58" w:rsidP="00B50726">
      <w:pPr>
        <w:pStyle w:val="subsection"/>
      </w:pPr>
      <w:r w:rsidRPr="00283424">
        <w:tab/>
        <w:t>(6A)</w:t>
      </w:r>
      <w:r w:rsidRPr="00283424">
        <w:tab/>
        <w:t>For paragraph (6)(c), if, at a particular time, money received by a financial services licensee for or on account of an insurer as mentioned in paragraph 7.8.01(4)(a) is paid into the account, the insurer is taken to be entitled to receive payment of:</w:t>
      </w:r>
    </w:p>
    <w:p w14:paraId="6FA5D0A6" w14:textId="77777777" w:rsidR="00E93F58" w:rsidRPr="00283424" w:rsidRDefault="00E93F58" w:rsidP="00B50726">
      <w:pPr>
        <w:pStyle w:val="paragraph"/>
      </w:pPr>
      <w:r w:rsidRPr="00283424">
        <w:tab/>
        <w:t>(a)</w:t>
      </w:r>
      <w:r w:rsidRPr="00283424">
        <w:tab/>
        <w:t>the amount; or</w:t>
      </w:r>
    </w:p>
    <w:p w14:paraId="47427201" w14:textId="77777777" w:rsidR="00E93F58" w:rsidRPr="00283424" w:rsidRDefault="00E93F58" w:rsidP="00B50726">
      <w:pPr>
        <w:pStyle w:val="paragraph"/>
      </w:pPr>
      <w:r w:rsidRPr="00283424">
        <w:tab/>
        <w:t>(b)</w:t>
      </w:r>
      <w:r w:rsidRPr="00283424">
        <w:tab/>
        <w:t>if any deductions from the amount are authorised by a written agreement between the insurer and the broker—the amount less the deductions;</w:t>
      </w:r>
    </w:p>
    <w:p w14:paraId="5B1C7A63" w14:textId="77777777" w:rsidR="00E93F58" w:rsidRPr="00283424" w:rsidRDefault="00E93F58" w:rsidP="00B50726">
      <w:pPr>
        <w:pStyle w:val="subsection2"/>
      </w:pPr>
      <w:r w:rsidRPr="00283424">
        <w:t>throughout the period:</w:t>
      </w:r>
    </w:p>
    <w:p w14:paraId="6E9002A0" w14:textId="77777777" w:rsidR="00E93F58" w:rsidRPr="00283424" w:rsidRDefault="00E93F58" w:rsidP="00B50726">
      <w:pPr>
        <w:pStyle w:val="paragraph"/>
      </w:pPr>
      <w:r w:rsidRPr="00283424">
        <w:tab/>
        <w:t>(c)</w:t>
      </w:r>
      <w:r w:rsidRPr="00283424">
        <w:tab/>
        <w:t>beginning at that time; and</w:t>
      </w:r>
    </w:p>
    <w:p w14:paraId="25C1AC16" w14:textId="77777777" w:rsidR="00E93F58" w:rsidRPr="00283424" w:rsidRDefault="00E93F58" w:rsidP="00B50726">
      <w:pPr>
        <w:pStyle w:val="paragraph"/>
      </w:pPr>
      <w:r w:rsidRPr="00283424">
        <w:tab/>
        <w:t>(d)</w:t>
      </w:r>
      <w:r w:rsidRPr="00283424">
        <w:tab/>
        <w:t>ending when the payment is actually made to the insurer;</w:t>
      </w:r>
    </w:p>
    <w:p w14:paraId="11F39A7E" w14:textId="77777777" w:rsidR="00E93F58" w:rsidRPr="00283424" w:rsidRDefault="00E93F58" w:rsidP="00B50726">
      <w:pPr>
        <w:pStyle w:val="subsection2"/>
      </w:pPr>
      <w:r w:rsidRPr="00283424">
        <w:t>whether or not the amount has been invested under subregulation (2).</w:t>
      </w:r>
    </w:p>
    <w:p w14:paraId="497A86B9" w14:textId="77777777" w:rsidR="00E93F58" w:rsidRPr="00283424" w:rsidRDefault="00E93F58" w:rsidP="00B50726">
      <w:pPr>
        <w:pStyle w:val="subsection"/>
      </w:pPr>
      <w:r w:rsidRPr="00283424">
        <w:tab/>
        <w:t>(6B)</w:t>
      </w:r>
      <w:r w:rsidRPr="00283424">
        <w:tab/>
        <w:t>For paragraph (6)(d), if, at a particular time, money received by a financial services licensee for or on account of an insured or intending insured as mentioned in paragraph 7.8.01(4)(b) is paid into an account, the insured or intending insured is taken to be entitled to receive payment of the amount throughout the period:</w:t>
      </w:r>
    </w:p>
    <w:p w14:paraId="7C8F54D3" w14:textId="77777777" w:rsidR="00E93F58" w:rsidRPr="00283424" w:rsidRDefault="00E93F58" w:rsidP="00B50726">
      <w:pPr>
        <w:pStyle w:val="paragraph"/>
      </w:pPr>
      <w:r w:rsidRPr="00283424">
        <w:tab/>
        <w:t>(a)</w:t>
      </w:r>
      <w:r w:rsidRPr="00283424">
        <w:tab/>
        <w:t>beginning at that time; and</w:t>
      </w:r>
    </w:p>
    <w:p w14:paraId="21B618E4" w14:textId="77777777" w:rsidR="00E93F58" w:rsidRPr="00283424" w:rsidRDefault="00E93F58" w:rsidP="00B50726">
      <w:pPr>
        <w:pStyle w:val="paragraph"/>
      </w:pPr>
      <w:r w:rsidRPr="00283424">
        <w:tab/>
        <w:t>(b)</w:t>
      </w:r>
      <w:r w:rsidRPr="00283424">
        <w:tab/>
        <w:t>ending when the payment is actually made to the insured or intending insured;</w:t>
      </w:r>
    </w:p>
    <w:p w14:paraId="61E5AE94" w14:textId="77777777" w:rsidR="00E93F58" w:rsidRPr="00283424" w:rsidRDefault="00E93F58" w:rsidP="00B50726">
      <w:pPr>
        <w:pStyle w:val="subsection2"/>
      </w:pPr>
      <w:r w:rsidRPr="00283424">
        <w:t>whether or not the amount has been invested under subregulation (2).</w:t>
      </w:r>
    </w:p>
    <w:p w14:paraId="4367561B" w14:textId="77777777" w:rsidR="00E93F58" w:rsidRPr="00283424" w:rsidRDefault="00E93F58" w:rsidP="00B50726">
      <w:pPr>
        <w:pStyle w:val="subsection"/>
      </w:pPr>
      <w:r w:rsidRPr="00283424">
        <w:tab/>
        <w:t>(6C)</w:t>
      </w:r>
      <w:r w:rsidRPr="00283424">
        <w:tab/>
        <w:t>On application by a financial services licensee in the prescribed form, ASIC may consent in writing to the minimum balance of monies received in relation to insurance products being less than the level specified in subregulation (6).</w:t>
      </w:r>
    </w:p>
    <w:p w14:paraId="6E5F2AB0" w14:textId="77777777" w:rsidR="00E93F58" w:rsidRPr="00283424" w:rsidRDefault="00E93F58" w:rsidP="00B50726">
      <w:pPr>
        <w:pStyle w:val="subsection"/>
      </w:pPr>
      <w:r w:rsidRPr="00283424">
        <w:tab/>
        <w:t>(7)</w:t>
      </w:r>
      <w:r w:rsidRPr="00283424">
        <w:tab/>
        <w:t>For paragraph 981C(1)(c) of the Act, if money is held in an account maintained for section 981B of the Act:</w:t>
      </w:r>
    </w:p>
    <w:p w14:paraId="53F59CD2" w14:textId="77777777" w:rsidR="00E93F58" w:rsidRPr="00283424" w:rsidRDefault="00E93F58" w:rsidP="00B50726">
      <w:pPr>
        <w:pStyle w:val="paragraph"/>
        <w:rPr>
          <w:color w:val="000000"/>
        </w:rPr>
      </w:pPr>
      <w:r w:rsidRPr="00283424">
        <w:rPr>
          <w:color w:val="000000"/>
        </w:rPr>
        <w:tab/>
        <w:t>(a)</w:t>
      </w:r>
      <w:r w:rsidRPr="00283424">
        <w:rPr>
          <w:color w:val="000000"/>
        </w:rPr>
        <w:tab/>
        <w:t>the financial services licensee is entitled to the interest on the account; and</w:t>
      </w:r>
    </w:p>
    <w:p w14:paraId="108DF9EF" w14:textId="77777777" w:rsidR="00E93F58" w:rsidRPr="00283424" w:rsidRDefault="00E93F58" w:rsidP="00B50726">
      <w:pPr>
        <w:pStyle w:val="paragraph"/>
      </w:pPr>
      <w:r w:rsidRPr="00283424">
        <w:tab/>
        <w:t>(b)</w:t>
      </w:r>
      <w:r w:rsidRPr="00283424">
        <w:tab/>
        <w:t>the interest on the account is not required to be paid into the account;</w:t>
      </w:r>
    </w:p>
    <w:p w14:paraId="31BA10E7" w14:textId="77777777" w:rsidR="00E93F58" w:rsidRPr="00283424" w:rsidRDefault="00E93F58" w:rsidP="00B50726">
      <w:pPr>
        <w:pStyle w:val="subsection2"/>
      </w:pPr>
      <w:r w:rsidRPr="00283424">
        <w:rPr>
          <w:color w:val="000000"/>
        </w:rPr>
        <w:t>only if the financial services licensee discloses to the client that the financial services licensee is keeping the interest (if any) earned on the account.</w:t>
      </w:r>
    </w:p>
    <w:p w14:paraId="4A2747E8" w14:textId="77777777" w:rsidR="00E93F58" w:rsidRPr="00283424" w:rsidRDefault="00E93F58" w:rsidP="00B50726">
      <w:pPr>
        <w:pStyle w:val="SubsectionHead"/>
        <w:keepNext w:val="0"/>
        <w:keepLines w:val="0"/>
      </w:pPr>
      <w:r w:rsidRPr="00283424">
        <w:t>Interest and other earnings on investments</w:t>
      </w:r>
    </w:p>
    <w:p w14:paraId="5FFE6EE3" w14:textId="77777777" w:rsidR="00E93F58" w:rsidRPr="00283424" w:rsidRDefault="00E93F58" w:rsidP="00B50726">
      <w:pPr>
        <w:pStyle w:val="subsection"/>
      </w:pPr>
      <w:r w:rsidRPr="00283424">
        <w:tab/>
        <w:t>(8)</w:t>
      </w:r>
      <w:r w:rsidRPr="00283424">
        <w:tab/>
        <w:t>For paragraph 981C(1)(d) of the Act, interest or other earnings on:</w:t>
      </w:r>
    </w:p>
    <w:p w14:paraId="3EF0F1FA" w14:textId="77777777" w:rsidR="00E93F58" w:rsidRPr="00283424" w:rsidRDefault="00E93F58" w:rsidP="00B50726">
      <w:pPr>
        <w:pStyle w:val="paragraph"/>
        <w:rPr>
          <w:color w:val="000000"/>
        </w:rPr>
      </w:pPr>
      <w:r w:rsidRPr="00283424">
        <w:rPr>
          <w:color w:val="000000"/>
        </w:rPr>
        <w:tab/>
        <w:t>(a)</w:t>
      </w:r>
      <w:r w:rsidRPr="00283424">
        <w:rPr>
          <w:color w:val="000000"/>
        </w:rPr>
        <w:tab/>
        <w:t>an investment of money withdrawn from an account maintained for section 981B of the Act; or</w:t>
      </w:r>
    </w:p>
    <w:p w14:paraId="3C7FD2CC" w14:textId="77777777" w:rsidR="00E93F58" w:rsidRPr="00283424" w:rsidRDefault="00E93F58" w:rsidP="00B50726">
      <w:pPr>
        <w:pStyle w:val="paragraph"/>
      </w:pPr>
      <w:r w:rsidRPr="00283424">
        <w:tab/>
        <w:t>(b)</w:t>
      </w:r>
      <w:r w:rsidRPr="00283424">
        <w:tab/>
        <w:t>the proceeds of the realisation of such an investment;</w:t>
      </w:r>
    </w:p>
    <w:p w14:paraId="0EC6A0D2" w14:textId="77777777" w:rsidR="00E93F58" w:rsidRPr="00283424" w:rsidRDefault="00E93F58" w:rsidP="00B50726">
      <w:pPr>
        <w:pStyle w:val="subsection2"/>
      </w:pPr>
      <w:r w:rsidRPr="00283424">
        <w:rPr>
          <w:color w:val="000000"/>
        </w:rPr>
        <w:t>must be dealt with in accordance with the written agreement between the financial services licensee and the client under subregulation (3).</w:t>
      </w:r>
    </w:p>
    <w:p w14:paraId="7514616B" w14:textId="77777777" w:rsidR="00E93F58" w:rsidRPr="00283424" w:rsidRDefault="00E93F58" w:rsidP="00B50726">
      <w:pPr>
        <w:pStyle w:val="ActHead5"/>
      </w:pPr>
      <w:bookmarkStart w:id="1260" w:name="_Toc152054608"/>
      <w:bookmarkStart w:id="1261" w:name="_Toc158712424"/>
      <w:r w:rsidRPr="006F296E">
        <w:rPr>
          <w:rStyle w:val="CharSectno"/>
        </w:rPr>
        <w:lastRenderedPageBreak/>
        <w:t>7.8.02A</w:t>
      </w:r>
      <w:r w:rsidRPr="00283424">
        <w:t xml:space="preserve">  Accounts maintained for the purposes of section 981B of the Act—special rules for retail clients</w:t>
      </w:r>
      <w:bookmarkEnd w:id="1260"/>
      <w:bookmarkEnd w:id="1261"/>
    </w:p>
    <w:p w14:paraId="29EA2A80" w14:textId="77777777" w:rsidR="00E93F58" w:rsidRPr="00283424" w:rsidRDefault="00E93F58" w:rsidP="00B50726">
      <w:pPr>
        <w:pStyle w:val="subsection"/>
        <w:keepNext/>
        <w:keepLines/>
      </w:pPr>
      <w:r w:rsidRPr="00283424">
        <w:tab/>
        <w:t>(1)</w:t>
      </w:r>
      <w:r w:rsidRPr="00283424">
        <w:tab/>
        <w:t>Paragraph 7.8.02(1)(a) does not apply to a written direction to the extent the direction allows the financial services licensee to use derivative retail client money as mentioned in subregulation (3) of this regulation.</w:t>
      </w:r>
    </w:p>
    <w:p w14:paraId="176D483E" w14:textId="77777777" w:rsidR="00E93F58" w:rsidRPr="00283424" w:rsidRDefault="00E93F58" w:rsidP="00B50726">
      <w:pPr>
        <w:pStyle w:val="subsection"/>
        <w:keepNext/>
        <w:keepLines/>
      </w:pPr>
      <w:r w:rsidRPr="00283424">
        <w:tab/>
        <w:t>(2)</w:t>
      </w:r>
      <w:r w:rsidRPr="00283424">
        <w:tab/>
        <w:t>Paragraph 7.8.02(1)(c) does not apply to an entitlement of the financial services licensee to use derivative retail client money as mentioned in subregulation (3) of this regulation.</w:t>
      </w:r>
    </w:p>
    <w:p w14:paraId="567940E6" w14:textId="77777777" w:rsidR="00E93F58" w:rsidRPr="00283424" w:rsidRDefault="00E93F58" w:rsidP="00B50726">
      <w:pPr>
        <w:pStyle w:val="subsection"/>
      </w:pPr>
      <w:r w:rsidRPr="00283424">
        <w:tab/>
        <w:t>(3)</w:t>
      </w:r>
      <w:r w:rsidRPr="00283424">
        <w:tab/>
        <w:t>Subregulations (1) and (2) apply to using the money:</w:t>
      </w:r>
    </w:p>
    <w:p w14:paraId="04BB913F" w14:textId="77777777" w:rsidR="00E93F58" w:rsidRPr="00283424" w:rsidRDefault="00E93F58" w:rsidP="00B50726">
      <w:pPr>
        <w:pStyle w:val="paragraph"/>
      </w:pPr>
      <w:r w:rsidRPr="00283424">
        <w:tab/>
        <w:t>(a)</w:t>
      </w:r>
      <w:r w:rsidRPr="00283424">
        <w:tab/>
        <w:t>as the licensee’s capital, including working capital; or</w:t>
      </w:r>
    </w:p>
    <w:p w14:paraId="2ABFE1A0" w14:textId="77777777" w:rsidR="00E93F58" w:rsidRPr="00283424" w:rsidRDefault="00E93F58" w:rsidP="00B50726">
      <w:pPr>
        <w:pStyle w:val="paragraph"/>
      </w:pPr>
      <w:r w:rsidRPr="00283424">
        <w:tab/>
        <w:t>(b)</w:t>
      </w:r>
      <w:r w:rsidRPr="00283424">
        <w:tab/>
        <w:t>for the purpose of meeting obligations incurred by the licensee other than on behalf of the client; or</w:t>
      </w:r>
    </w:p>
    <w:p w14:paraId="1E3F7265" w14:textId="77777777" w:rsidR="00E93F58" w:rsidRPr="00283424" w:rsidRDefault="00E93F58" w:rsidP="00B50726">
      <w:pPr>
        <w:pStyle w:val="paragraph"/>
      </w:pPr>
      <w:r w:rsidRPr="00283424">
        <w:tab/>
        <w:t>(c)</w:t>
      </w:r>
      <w:r w:rsidRPr="00283424">
        <w:tab/>
        <w:t>for the purpose of entering into, or meeting obligations under, transactions that the licensee enters into to hedge, counteract or offset the risk to the licensee associated with a transaction between the licensee and the client.</w:t>
      </w:r>
    </w:p>
    <w:p w14:paraId="03145A2C" w14:textId="77777777" w:rsidR="00E93F58" w:rsidRPr="00283424" w:rsidRDefault="00E93F58" w:rsidP="00B50726">
      <w:pPr>
        <w:pStyle w:val="ActHead5"/>
      </w:pPr>
      <w:bookmarkStart w:id="1262" w:name="_Toc152054609"/>
      <w:bookmarkStart w:id="1263" w:name="_Toc158712425"/>
      <w:r w:rsidRPr="006F296E">
        <w:rPr>
          <w:rStyle w:val="CharSectno"/>
        </w:rPr>
        <w:t>7.8.03</w:t>
      </w:r>
      <w:r w:rsidRPr="00283424">
        <w:rPr>
          <w:sz w:val="16"/>
        </w:rPr>
        <w:t xml:space="preserve">  </w:t>
      </w:r>
      <w:r w:rsidRPr="00283424">
        <w:t>How money to be dealt with if licensee ceases to be licensed etc</w:t>
      </w:r>
      <w:bookmarkEnd w:id="1262"/>
      <w:bookmarkEnd w:id="1263"/>
    </w:p>
    <w:p w14:paraId="3ED3F66B" w14:textId="77777777" w:rsidR="00E93F58" w:rsidRPr="00283424" w:rsidRDefault="00E93F58" w:rsidP="00B50726">
      <w:pPr>
        <w:pStyle w:val="subsection"/>
      </w:pPr>
      <w:r w:rsidRPr="00283424">
        <w:rPr>
          <w:color w:val="000000"/>
        </w:rPr>
        <w:tab/>
        <w:t>(1)</w:t>
      </w:r>
      <w:r w:rsidRPr="00283424">
        <w:rPr>
          <w:color w:val="000000"/>
        </w:rPr>
        <w:tab/>
        <w:t>For paragraph 981F(a) of the Act, this regulation applies if a financial services licensee ceases to be licensed (including a cessation because the financial services licensee’s licence has been suspended or cancelled).</w:t>
      </w:r>
    </w:p>
    <w:p w14:paraId="64A135B2" w14:textId="77777777" w:rsidR="00E93F58" w:rsidRPr="00283424" w:rsidRDefault="00E93F58" w:rsidP="00B50726">
      <w:pPr>
        <w:pStyle w:val="subsection"/>
      </w:pPr>
      <w:r w:rsidRPr="00283424">
        <w:tab/>
        <w:t>(2)</w:t>
      </w:r>
      <w:r w:rsidRPr="00283424">
        <w:tab/>
        <w:t>For paragraph 981F(b) of the Act, this regulation applies if a financial services licensee:</w:t>
      </w:r>
    </w:p>
    <w:p w14:paraId="1795E1CE" w14:textId="77777777" w:rsidR="00E93F58" w:rsidRPr="00283424" w:rsidRDefault="00E93F58" w:rsidP="00B50726">
      <w:pPr>
        <w:pStyle w:val="paragraph"/>
      </w:pPr>
      <w:r w:rsidRPr="00283424">
        <w:rPr>
          <w:color w:val="000000"/>
        </w:rPr>
        <w:tab/>
        <w:t>(a)</w:t>
      </w:r>
      <w:r w:rsidRPr="00283424">
        <w:rPr>
          <w:color w:val="000000"/>
        </w:rPr>
        <w:tab/>
        <w:t>becomes insolvent under an administration; or</w:t>
      </w:r>
    </w:p>
    <w:p w14:paraId="6C046424" w14:textId="77777777" w:rsidR="00E93F58" w:rsidRPr="00283424" w:rsidRDefault="00E93F58" w:rsidP="00B50726">
      <w:pPr>
        <w:pStyle w:val="paragraph"/>
      </w:pPr>
      <w:r w:rsidRPr="00283424">
        <w:tab/>
        <w:t>(b)</w:t>
      </w:r>
      <w:r w:rsidRPr="00283424">
        <w:tab/>
        <w:t>is the subject of any of the following arrangements:</w:t>
      </w:r>
    </w:p>
    <w:p w14:paraId="7F829DC7" w14:textId="77777777" w:rsidR="00E93F58" w:rsidRPr="00283424" w:rsidRDefault="00E93F58" w:rsidP="00B50726">
      <w:pPr>
        <w:pStyle w:val="paragraphsub"/>
      </w:pPr>
      <w:r w:rsidRPr="00283424">
        <w:rPr>
          <w:color w:val="000000"/>
        </w:rPr>
        <w:tab/>
        <w:t>(i)</w:t>
      </w:r>
      <w:r w:rsidRPr="00283424">
        <w:rPr>
          <w:color w:val="000000"/>
        </w:rPr>
        <w:tab/>
        <w:t>the appointment of an administrator under section 436A, 436B or 436C of the Act;</w:t>
      </w:r>
    </w:p>
    <w:p w14:paraId="50EBE04A" w14:textId="77777777" w:rsidR="00E93F58" w:rsidRPr="00283424" w:rsidRDefault="00E93F58" w:rsidP="00B50726">
      <w:pPr>
        <w:pStyle w:val="paragraphsub"/>
      </w:pPr>
      <w:r w:rsidRPr="00283424">
        <w:tab/>
        <w:t>(ii)</w:t>
      </w:r>
      <w:r w:rsidRPr="00283424">
        <w:tab/>
        <w:t>the commencement of winding up;</w:t>
      </w:r>
    </w:p>
    <w:p w14:paraId="0408609C" w14:textId="77777777" w:rsidR="00E93F58" w:rsidRPr="00283424" w:rsidRDefault="00E93F58" w:rsidP="00B50726">
      <w:pPr>
        <w:pStyle w:val="paragraphsub"/>
      </w:pPr>
      <w:r w:rsidRPr="00283424">
        <w:tab/>
        <w:t>(iii)</w:t>
      </w:r>
      <w:r w:rsidRPr="00283424">
        <w:tab/>
        <w:t>the appointment of a receiver of property of the financial services licensee, whether by a court or otherwise;</w:t>
      </w:r>
    </w:p>
    <w:p w14:paraId="506EFF76" w14:textId="77777777" w:rsidR="00E93F58" w:rsidRPr="00283424" w:rsidRDefault="00E93F58" w:rsidP="00B50726">
      <w:pPr>
        <w:pStyle w:val="paragraphsub"/>
      </w:pPr>
      <w:r w:rsidRPr="00283424">
        <w:tab/>
        <w:t>(iv)</w:t>
      </w:r>
      <w:r w:rsidRPr="00283424">
        <w:tab/>
        <w:t>the appointment of a receiver and manager of property of the financial services licensee, whether by a court or otherwise;</w:t>
      </w:r>
    </w:p>
    <w:p w14:paraId="4D4B33F3" w14:textId="77777777" w:rsidR="00E93F58" w:rsidRPr="00283424" w:rsidRDefault="00E93F58" w:rsidP="00B50726">
      <w:pPr>
        <w:pStyle w:val="paragraphsub"/>
      </w:pPr>
      <w:r w:rsidRPr="00283424">
        <w:tab/>
        <w:t>(v)</w:t>
      </w:r>
      <w:r w:rsidRPr="00283424">
        <w:tab/>
        <w:t>entry into a compromise or arrangement with creditors of the financial services licensee, or a class of creditors;</w:t>
      </w:r>
    </w:p>
    <w:p w14:paraId="5914C233" w14:textId="77777777" w:rsidR="00E93F58" w:rsidRPr="00283424" w:rsidRDefault="00E93F58" w:rsidP="00B50726">
      <w:pPr>
        <w:pStyle w:val="paragraphsub"/>
      </w:pPr>
      <w:r w:rsidRPr="00283424">
        <w:tab/>
        <w:t>(vi)</w:t>
      </w:r>
      <w:r w:rsidRPr="00283424">
        <w:tab/>
        <w:t xml:space="preserve">if the financial services licensee is deceased—administration of the estate of the financial services licensee under Part XI of the </w:t>
      </w:r>
      <w:r w:rsidRPr="00283424">
        <w:rPr>
          <w:i/>
        </w:rPr>
        <w:t>Bankruptcy Act 1966</w:t>
      </w:r>
      <w:r w:rsidRPr="00283424">
        <w:t>;</w:t>
      </w:r>
    </w:p>
    <w:p w14:paraId="0C6AFEF7" w14:textId="77777777" w:rsidR="00E93F58" w:rsidRPr="00283424" w:rsidRDefault="00E93F58" w:rsidP="00B50726">
      <w:pPr>
        <w:pStyle w:val="paragraphsub"/>
      </w:pPr>
      <w:r w:rsidRPr="00283424">
        <w:tab/>
        <w:t>(vii)</w:t>
      </w:r>
      <w:r w:rsidRPr="00283424">
        <w:tab/>
        <w:t>if the financial services licensee is deceased—administration of the estate of the financial services licensee under the law of an external Territory that provides for the administration of the insolvent estate of a deceased person;</w:t>
      </w:r>
    </w:p>
    <w:p w14:paraId="7FC3F470" w14:textId="77777777" w:rsidR="00E93F58" w:rsidRPr="00283424" w:rsidRDefault="00E93F58" w:rsidP="00B50726">
      <w:pPr>
        <w:pStyle w:val="paragraphsub"/>
      </w:pPr>
      <w:r w:rsidRPr="00283424">
        <w:tab/>
        <w:t>(viii)</w:t>
      </w:r>
      <w:r w:rsidRPr="00283424">
        <w:tab/>
        <w:t>an arrangement under the law of a foreign country that provides for a matter mentioned in subparagraphs (i) to (vii).</w:t>
      </w:r>
    </w:p>
    <w:p w14:paraId="1B855B0F" w14:textId="77777777" w:rsidR="00E93F58" w:rsidRPr="00283424" w:rsidRDefault="00E93F58" w:rsidP="00B50726">
      <w:pPr>
        <w:pStyle w:val="subsection"/>
      </w:pPr>
      <w:r w:rsidRPr="00283424">
        <w:tab/>
        <w:t>(3)</w:t>
      </w:r>
      <w:r w:rsidRPr="00283424">
        <w:tab/>
        <w:t>For paragraph 981F(d) of the Act, this regulation applies if:</w:t>
      </w:r>
    </w:p>
    <w:p w14:paraId="6603175A" w14:textId="77777777" w:rsidR="00E93F58" w:rsidRPr="00283424" w:rsidRDefault="00E93F58" w:rsidP="00B50726">
      <w:pPr>
        <w:pStyle w:val="paragraph"/>
      </w:pPr>
      <w:r w:rsidRPr="00283424">
        <w:rPr>
          <w:color w:val="000000"/>
        </w:rPr>
        <w:tab/>
        <w:t>(a)</w:t>
      </w:r>
      <w:r w:rsidRPr="00283424">
        <w:rPr>
          <w:color w:val="000000"/>
        </w:rPr>
        <w:tab/>
        <w:t>a financial services licensee ceases to carry on a particular activity authorised by the financial services licence; and</w:t>
      </w:r>
    </w:p>
    <w:p w14:paraId="1FA3CDC9" w14:textId="77777777" w:rsidR="00E93F58" w:rsidRPr="00283424" w:rsidRDefault="00E93F58" w:rsidP="00B50726">
      <w:pPr>
        <w:pStyle w:val="paragraph"/>
      </w:pPr>
      <w:r w:rsidRPr="00283424">
        <w:tab/>
        <w:t>(b)</w:t>
      </w:r>
      <w:r w:rsidRPr="00283424">
        <w:tab/>
        <w:t>money is paid in connection with that activity.</w:t>
      </w:r>
    </w:p>
    <w:p w14:paraId="6A1A55AF" w14:textId="77777777" w:rsidR="00E93F58" w:rsidRPr="00283424" w:rsidRDefault="00E93F58" w:rsidP="00B50726">
      <w:pPr>
        <w:pStyle w:val="subsection"/>
      </w:pPr>
      <w:r w:rsidRPr="00283424">
        <w:rPr>
          <w:color w:val="000000"/>
        </w:rPr>
        <w:tab/>
        <w:t>(4)</w:t>
      </w:r>
      <w:r w:rsidRPr="00283424">
        <w:rPr>
          <w:color w:val="000000"/>
        </w:rPr>
        <w:tab/>
        <w:t>For each person who is entitled to be paid money from an account of the financial services licensee maintained for section 981B of the Act, the account is taken to be subject to a trust in favour of the person.</w:t>
      </w:r>
    </w:p>
    <w:p w14:paraId="0F560739" w14:textId="77777777" w:rsidR="00E93F58" w:rsidRPr="00283424" w:rsidRDefault="00E93F58" w:rsidP="00B50726">
      <w:pPr>
        <w:pStyle w:val="subsection"/>
      </w:pPr>
      <w:r w:rsidRPr="00283424">
        <w:tab/>
        <w:t>(5)</w:t>
      </w:r>
      <w:r w:rsidRPr="00283424">
        <w:tab/>
        <w:t>If money in an account of the financial services licensee maintained for section 981B of the Act has been invested, for each person who is entitled to be paid money from the account, the investment is taken to be subject to a trust in favour of the person.</w:t>
      </w:r>
    </w:p>
    <w:p w14:paraId="725FD7B7" w14:textId="77777777" w:rsidR="00E93F58" w:rsidRPr="00283424" w:rsidRDefault="00E93F58" w:rsidP="00B50726">
      <w:pPr>
        <w:pStyle w:val="subsection"/>
      </w:pPr>
      <w:r w:rsidRPr="00283424">
        <w:tab/>
        <w:t>(6)</w:t>
      </w:r>
      <w:r w:rsidRPr="00283424">
        <w:tab/>
        <w:t>Money in the account of the financial services licensee maintained for section 981B of the Act is to be paid as follows:</w:t>
      </w:r>
    </w:p>
    <w:p w14:paraId="61E388A8" w14:textId="77777777" w:rsidR="00E93F58" w:rsidRPr="00283424" w:rsidRDefault="00E93F58" w:rsidP="00B50726">
      <w:pPr>
        <w:pStyle w:val="paragraph"/>
      </w:pPr>
      <w:r w:rsidRPr="00283424">
        <w:rPr>
          <w:color w:val="000000"/>
        </w:rPr>
        <w:tab/>
        <w:t>(a)</w:t>
      </w:r>
      <w:r w:rsidRPr="00283424">
        <w:rPr>
          <w:color w:val="000000"/>
        </w:rPr>
        <w:tab/>
        <w:t>the first payment is of money that has been paid into the account in error;</w:t>
      </w:r>
    </w:p>
    <w:p w14:paraId="70FE7490" w14:textId="77777777" w:rsidR="00E93F58" w:rsidRPr="00283424" w:rsidRDefault="00E93F58" w:rsidP="00B50726">
      <w:pPr>
        <w:pStyle w:val="paragraph"/>
      </w:pPr>
      <w:r w:rsidRPr="00283424">
        <w:tab/>
        <w:t>(b)</w:t>
      </w:r>
      <w:r w:rsidRPr="00283424">
        <w:tab/>
        <w:t>if money has been received on behalf of insureds in accordance with a contract of insurance, the second payment is payment to each insured person who is entitled to be paid money from the account, in the following order:</w:t>
      </w:r>
    </w:p>
    <w:p w14:paraId="6CCAA8DA" w14:textId="77777777" w:rsidR="00E93F58" w:rsidRPr="00283424" w:rsidRDefault="00E93F58" w:rsidP="00B50726">
      <w:pPr>
        <w:pStyle w:val="paragraphsub"/>
      </w:pPr>
      <w:r w:rsidRPr="00283424">
        <w:rPr>
          <w:color w:val="000000"/>
        </w:rPr>
        <w:tab/>
        <w:t>(i)</w:t>
      </w:r>
      <w:r w:rsidRPr="00283424">
        <w:rPr>
          <w:color w:val="000000"/>
        </w:rPr>
        <w:tab/>
        <w:t>the amounts that the insured persons are entitled to receive from the moneys in the account in respect of claims that have been made;</w:t>
      </w:r>
    </w:p>
    <w:p w14:paraId="35BCACCE" w14:textId="77777777" w:rsidR="00E93F58" w:rsidRPr="00283424" w:rsidRDefault="00E93F58" w:rsidP="00B50726">
      <w:pPr>
        <w:pStyle w:val="paragraphsub"/>
      </w:pPr>
      <w:r w:rsidRPr="00283424">
        <w:tab/>
        <w:t>(ii)</w:t>
      </w:r>
      <w:r w:rsidRPr="00283424">
        <w:tab/>
        <w:t>the amounts that the insured persons are entitled to receive from the moneys in the account in respect of other matters;</w:t>
      </w:r>
    </w:p>
    <w:p w14:paraId="223E2D2F" w14:textId="77777777" w:rsidR="00E93F58" w:rsidRPr="00283424" w:rsidRDefault="00E93F58" w:rsidP="00B50726">
      <w:pPr>
        <w:pStyle w:val="paragraph"/>
      </w:pPr>
      <w:r w:rsidRPr="00283424">
        <w:lastRenderedPageBreak/>
        <w:tab/>
        <w:t>(c)</w:t>
      </w:r>
      <w:r w:rsidRPr="00283424">
        <w:tab/>
        <w:t>if:</w:t>
      </w:r>
    </w:p>
    <w:p w14:paraId="46582F74" w14:textId="77777777" w:rsidR="00E93F58" w:rsidRPr="00283424" w:rsidRDefault="00E93F58" w:rsidP="00B50726">
      <w:pPr>
        <w:pStyle w:val="paragraphsub"/>
      </w:pPr>
      <w:r w:rsidRPr="00283424">
        <w:rPr>
          <w:color w:val="000000"/>
        </w:rPr>
        <w:tab/>
        <w:t>(i)</w:t>
      </w:r>
      <w:r w:rsidRPr="00283424">
        <w:rPr>
          <w:color w:val="000000"/>
        </w:rPr>
        <w:tab/>
        <w:t>paragraph (b) has been complied with; or</w:t>
      </w:r>
    </w:p>
    <w:p w14:paraId="402144A4" w14:textId="77777777" w:rsidR="00E93F58" w:rsidRPr="00283424" w:rsidRDefault="00E93F58" w:rsidP="00B50726">
      <w:pPr>
        <w:pStyle w:val="paragraphsub"/>
      </w:pPr>
      <w:r w:rsidRPr="00283424">
        <w:tab/>
        <w:t>(ii)</w:t>
      </w:r>
      <w:r w:rsidRPr="00283424">
        <w:tab/>
        <w:t>paragraph (b) does not apply;</w:t>
      </w:r>
    </w:p>
    <w:p w14:paraId="575316B4" w14:textId="77777777" w:rsidR="00E93F58" w:rsidRPr="00283424" w:rsidRDefault="00E93F58" w:rsidP="00B50726">
      <w:pPr>
        <w:pStyle w:val="paragraph"/>
      </w:pPr>
      <w:r w:rsidRPr="00283424">
        <w:rPr>
          <w:color w:val="000000"/>
        </w:rPr>
        <w:tab/>
      </w:r>
      <w:r w:rsidRPr="00283424">
        <w:rPr>
          <w:color w:val="000000"/>
        </w:rPr>
        <w:tab/>
        <w:t>the next payment is payment to each person who is entitled to be paid money from the account;</w:t>
      </w:r>
    </w:p>
    <w:p w14:paraId="299ACA0A" w14:textId="77777777" w:rsidR="00E93F58" w:rsidRPr="00283424" w:rsidRDefault="00E93F58" w:rsidP="00B50726">
      <w:pPr>
        <w:pStyle w:val="paragraph"/>
      </w:pPr>
      <w:r w:rsidRPr="00283424">
        <w:tab/>
        <w:t>(d)</w:t>
      </w:r>
      <w:r w:rsidRPr="00283424">
        <w:tab/>
        <w:t>if the money in the account is not sufficient to be paid in accordance with paragraph (a), (b) or (c), the money in the account must be paid in proportion to the amount of each person’s entitlement;</w:t>
      </w:r>
    </w:p>
    <w:p w14:paraId="3245A286" w14:textId="77777777" w:rsidR="00E93F58" w:rsidRPr="00283424" w:rsidRDefault="00E93F58" w:rsidP="00B50726">
      <w:pPr>
        <w:pStyle w:val="paragraph"/>
      </w:pPr>
      <w:r w:rsidRPr="00283424">
        <w:tab/>
        <w:t>(e)</w:t>
      </w:r>
      <w:r w:rsidRPr="00283424">
        <w:tab/>
        <w:t>if there is money remaining in the account after payments made in accordance with paragraphs (a), (b) and (c), the remaining money is taken to be money payable to the financial services licensee.</w:t>
      </w:r>
    </w:p>
    <w:p w14:paraId="3478ADB2" w14:textId="77777777" w:rsidR="00E93F58" w:rsidRPr="00283424" w:rsidRDefault="00E93F58" w:rsidP="00B50726">
      <w:pPr>
        <w:pStyle w:val="subsection"/>
      </w:pPr>
      <w:r w:rsidRPr="00283424">
        <w:rPr>
          <w:color w:val="000000"/>
        </w:rPr>
        <w:tab/>
        <w:t>(7)</w:t>
      </w:r>
      <w:r w:rsidRPr="00283424">
        <w:rPr>
          <w:color w:val="000000"/>
        </w:rPr>
        <w:tab/>
        <w:t xml:space="preserve">This regulation applies despite anything to the contrary in the </w:t>
      </w:r>
      <w:r w:rsidRPr="00283424">
        <w:rPr>
          <w:i/>
          <w:color w:val="000000"/>
        </w:rPr>
        <w:t>Bankruptcy Act 1966</w:t>
      </w:r>
      <w:r w:rsidRPr="00283424">
        <w:rPr>
          <w:color w:val="000000"/>
        </w:rPr>
        <w:t xml:space="preserve"> or a law relating to companies.</w:t>
      </w:r>
    </w:p>
    <w:p w14:paraId="14AC564A" w14:textId="77777777" w:rsidR="00E93F58" w:rsidRPr="00283424" w:rsidRDefault="00E93F58" w:rsidP="00B50726">
      <w:pPr>
        <w:pStyle w:val="ActHead5"/>
      </w:pPr>
      <w:bookmarkStart w:id="1264" w:name="_Toc152054610"/>
      <w:bookmarkStart w:id="1265" w:name="_Toc158712426"/>
      <w:r w:rsidRPr="006F296E">
        <w:rPr>
          <w:rStyle w:val="CharSectno"/>
        </w:rPr>
        <w:t>7.8.04</w:t>
      </w:r>
      <w:r w:rsidRPr="00283424">
        <w:rPr>
          <w:sz w:val="16"/>
        </w:rPr>
        <w:t xml:space="preserve">  </w:t>
      </w:r>
      <w:r w:rsidRPr="00283424">
        <w:t>Money to which Subdivision A of Division 2 of Part 7.8 of the Act applies taken to be held in trust: breach of financial services law</w:t>
      </w:r>
      <w:bookmarkEnd w:id="1264"/>
      <w:bookmarkEnd w:id="1265"/>
    </w:p>
    <w:p w14:paraId="32771971" w14:textId="77777777" w:rsidR="00E93F58" w:rsidRPr="00283424" w:rsidRDefault="00E93F58" w:rsidP="00B50726">
      <w:pPr>
        <w:pStyle w:val="subsection"/>
      </w:pPr>
      <w:r w:rsidRPr="00283424">
        <w:tab/>
      </w:r>
      <w:r w:rsidRPr="00283424">
        <w:tab/>
        <w:t>For paragraph 981H(3)(b) of the Act, if client money is held by an investment mentioned in subregulation 7.8.02(5) following a breach of a financial services law:</w:t>
      </w:r>
    </w:p>
    <w:p w14:paraId="1E17E59C" w14:textId="77777777" w:rsidR="00E93F58" w:rsidRPr="00283424" w:rsidRDefault="00E93F58" w:rsidP="00B50726">
      <w:pPr>
        <w:pStyle w:val="paragraph"/>
      </w:pPr>
      <w:r w:rsidRPr="00283424">
        <w:rPr>
          <w:color w:val="000000"/>
        </w:rPr>
        <w:tab/>
        <w:t>(a)</w:t>
      </w:r>
      <w:r w:rsidRPr="00283424">
        <w:rPr>
          <w:color w:val="000000"/>
        </w:rPr>
        <w:tab/>
        <w:t>the money is subject to a trust in favour of the client to the extent that the client is entitled to the money; and</w:t>
      </w:r>
    </w:p>
    <w:p w14:paraId="15D0582F" w14:textId="77777777" w:rsidR="00E93F58" w:rsidRPr="00283424" w:rsidRDefault="00E93F58" w:rsidP="00B50726">
      <w:pPr>
        <w:pStyle w:val="paragraph"/>
      </w:pPr>
      <w:r w:rsidRPr="00283424">
        <w:tab/>
        <w:t>(b)</w:t>
      </w:r>
      <w:r w:rsidRPr="00283424">
        <w:tab/>
        <w:t>any investment of the money is subject to a trust in favour of the client to the extent that the client is entitled to the investment; and</w:t>
      </w:r>
    </w:p>
    <w:p w14:paraId="74D3B3A0" w14:textId="77777777" w:rsidR="00E93F58" w:rsidRPr="00283424" w:rsidRDefault="00E93F58" w:rsidP="00B50726">
      <w:pPr>
        <w:pStyle w:val="paragraph"/>
      </w:pPr>
      <w:r w:rsidRPr="00283424">
        <w:tab/>
        <w:t>(c)</w:t>
      </w:r>
      <w:r w:rsidRPr="00283424">
        <w:tab/>
        <w:t>the proceeds of a realisation of an investment of the money are subject to a trust in favour of the client to the extent that the client is entitled to the proceeds.</w:t>
      </w:r>
    </w:p>
    <w:p w14:paraId="789EF5EF" w14:textId="77777777" w:rsidR="00E93F58" w:rsidRPr="00283424" w:rsidRDefault="00E93F58" w:rsidP="00B50726">
      <w:pPr>
        <w:pStyle w:val="ActHead5"/>
      </w:pPr>
      <w:bookmarkStart w:id="1266" w:name="_Toc152054611"/>
      <w:bookmarkStart w:id="1267" w:name="_Toc158712427"/>
      <w:r w:rsidRPr="006F296E">
        <w:rPr>
          <w:rStyle w:val="CharSectno"/>
        </w:rPr>
        <w:t>7.8.05</w:t>
      </w:r>
      <w:r w:rsidRPr="00283424">
        <w:rPr>
          <w:sz w:val="16"/>
        </w:rPr>
        <w:t xml:space="preserve">  </w:t>
      </w:r>
      <w:r w:rsidRPr="00283424">
        <w:t>Money to which Subdivision A of Division 2 of Part 7.8 of the Act applies taken to be held in trust: risk accepted by insurer</w:t>
      </w:r>
      <w:bookmarkEnd w:id="1266"/>
      <w:bookmarkEnd w:id="1267"/>
    </w:p>
    <w:p w14:paraId="054DD8ED" w14:textId="77777777" w:rsidR="00E93F58" w:rsidRPr="00283424" w:rsidRDefault="00E93F58" w:rsidP="00B50726">
      <w:pPr>
        <w:pStyle w:val="subsection"/>
      </w:pPr>
      <w:r w:rsidRPr="00283424">
        <w:tab/>
        <w:t>(1)</w:t>
      </w:r>
      <w:r w:rsidRPr="00283424">
        <w:tab/>
        <w:t>For paragraph 981H(3)(b) of the Act, this regulation applies if, in relation to an insurance product:</w:t>
      </w:r>
    </w:p>
    <w:p w14:paraId="16879C65" w14:textId="77777777" w:rsidR="00E93F58" w:rsidRPr="00283424" w:rsidRDefault="00E93F58" w:rsidP="00B50726">
      <w:pPr>
        <w:pStyle w:val="paragraph"/>
        <w:rPr>
          <w:color w:val="000000"/>
        </w:rPr>
      </w:pPr>
      <w:r w:rsidRPr="00283424">
        <w:rPr>
          <w:color w:val="000000"/>
        </w:rPr>
        <w:tab/>
        <w:t>(a)</w:t>
      </w:r>
      <w:r w:rsidRPr="00283424">
        <w:rPr>
          <w:color w:val="000000"/>
        </w:rPr>
        <w:tab/>
        <w:t>a financial services licensee is holding money to which Subdivision A of Division 2 of Part 7.8 of the Act applies; and</w:t>
      </w:r>
    </w:p>
    <w:p w14:paraId="6B878D2E" w14:textId="77777777" w:rsidR="00E93F58" w:rsidRPr="00283424" w:rsidRDefault="00E93F58" w:rsidP="00B50726">
      <w:pPr>
        <w:pStyle w:val="paragraph"/>
      </w:pPr>
      <w:r w:rsidRPr="00283424">
        <w:tab/>
        <w:t>(b)</w:t>
      </w:r>
      <w:r w:rsidRPr="00283424">
        <w:tab/>
        <w:t>the risk in relation to the insurance product has been accepted by an insurer.</w:t>
      </w:r>
    </w:p>
    <w:p w14:paraId="4A400A48" w14:textId="77777777" w:rsidR="00E93F58" w:rsidRPr="00283424" w:rsidRDefault="00E93F58" w:rsidP="00B50726">
      <w:pPr>
        <w:pStyle w:val="subsection"/>
        <w:rPr>
          <w:color w:val="000000"/>
        </w:rPr>
      </w:pPr>
      <w:r w:rsidRPr="00283424">
        <w:rPr>
          <w:color w:val="000000"/>
        </w:rPr>
        <w:tab/>
        <w:t>(2)</w:t>
      </w:r>
      <w:r w:rsidRPr="00283424">
        <w:rPr>
          <w:color w:val="000000"/>
        </w:rPr>
        <w:tab/>
        <w:t>The financial services licensee holds the money on trust for the insurer in accordance with Division 2 of Part 7.8 of the Act, subject to the agreement of the insurer.</w:t>
      </w:r>
    </w:p>
    <w:p w14:paraId="15D74DA4" w14:textId="77777777" w:rsidR="00E93F58" w:rsidRPr="00283424" w:rsidRDefault="00E93F58" w:rsidP="00B50726">
      <w:pPr>
        <w:pStyle w:val="subsection"/>
      </w:pPr>
      <w:r w:rsidRPr="00283424">
        <w:tab/>
        <w:t>(3)</w:t>
      </w:r>
      <w:r w:rsidRPr="00283424">
        <w:tab/>
        <w:t>This regulation does not affect the operation of regulations 7.8.03 and 7.8.08.</w:t>
      </w:r>
    </w:p>
    <w:p w14:paraId="7FCA4C1D" w14:textId="77777777" w:rsidR="00E93F58" w:rsidRPr="00283424" w:rsidRDefault="00E93F58" w:rsidP="00B50726">
      <w:pPr>
        <w:pStyle w:val="subsection"/>
      </w:pPr>
      <w:r w:rsidRPr="00283424">
        <w:tab/>
        <w:t>(4)</w:t>
      </w:r>
      <w:r w:rsidRPr="00283424">
        <w:tab/>
        <w:t>For paragraph 981C(1)(c) of the Act, if money to which this regulation applies is held in an account maintained for section 981B of the Act:</w:t>
      </w:r>
    </w:p>
    <w:p w14:paraId="0ED6F5F1" w14:textId="77777777" w:rsidR="00E93F58" w:rsidRPr="00283424" w:rsidRDefault="00E93F58" w:rsidP="00B50726">
      <w:pPr>
        <w:pStyle w:val="paragraph"/>
      </w:pPr>
      <w:r w:rsidRPr="00283424">
        <w:tab/>
        <w:t>(a)</w:t>
      </w:r>
      <w:r w:rsidRPr="00283424">
        <w:tab/>
        <w:t>the financial services licensee is entitled to the interest on the account; and</w:t>
      </w:r>
    </w:p>
    <w:p w14:paraId="67A5C656" w14:textId="77777777" w:rsidR="00E93F58" w:rsidRPr="00283424" w:rsidRDefault="00E93F58" w:rsidP="00B50726">
      <w:pPr>
        <w:pStyle w:val="paragraph"/>
      </w:pPr>
      <w:r w:rsidRPr="00283424">
        <w:tab/>
        <w:t>(b)</w:t>
      </w:r>
      <w:r w:rsidRPr="00283424">
        <w:tab/>
        <w:t>the interest on the account is not required to be paid into the account.</w:t>
      </w:r>
    </w:p>
    <w:p w14:paraId="5DB6BC63" w14:textId="77777777" w:rsidR="00E93F58" w:rsidRPr="00283424" w:rsidRDefault="00E93F58" w:rsidP="00B50726">
      <w:pPr>
        <w:pStyle w:val="ActHead4"/>
      </w:pPr>
      <w:bookmarkStart w:id="1268" w:name="_Toc152054612"/>
      <w:bookmarkStart w:id="1269" w:name="_Toc158712428"/>
      <w:r w:rsidRPr="006F296E">
        <w:rPr>
          <w:rStyle w:val="CharSubdNo"/>
        </w:rPr>
        <w:t>Subdivision AA</w:t>
      </w:r>
      <w:r w:rsidRPr="00283424">
        <w:t>—</w:t>
      </w:r>
      <w:r w:rsidRPr="006F296E">
        <w:rPr>
          <w:rStyle w:val="CharSubdText"/>
        </w:rPr>
        <w:t>Client money reporting rules</w:t>
      </w:r>
      <w:bookmarkEnd w:id="1268"/>
      <w:bookmarkEnd w:id="1269"/>
    </w:p>
    <w:p w14:paraId="4666186D" w14:textId="77777777" w:rsidR="00E93F58" w:rsidRPr="00283424" w:rsidRDefault="00E93F58" w:rsidP="00B50726">
      <w:pPr>
        <w:pStyle w:val="ActHead5"/>
      </w:pPr>
      <w:bookmarkStart w:id="1270" w:name="_Toc152054613"/>
      <w:bookmarkStart w:id="1271" w:name="_Toc158712429"/>
      <w:r w:rsidRPr="006F296E">
        <w:rPr>
          <w:rStyle w:val="CharSectno"/>
        </w:rPr>
        <w:t>7.8.05A</w:t>
      </w:r>
      <w:r w:rsidRPr="00283424">
        <w:t xml:space="preserve">  Definitions for Subdivision AA of Division 2</w:t>
      </w:r>
      <w:bookmarkEnd w:id="1270"/>
      <w:bookmarkEnd w:id="1271"/>
    </w:p>
    <w:p w14:paraId="55C3EE1B" w14:textId="77777777" w:rsidR="00E93F58" w:rsidRPr="00283424" w:rsidRDefault="00E93F58" w:rsidP="00B50726">
      <w:pPr>
        <w:pStyle w:val="subsection"/>
      </w:pPr>
      <w:r w:rsidRPr="00283424">
        <w:tab/>
      </w:r>
      <w:r w:rsidRPr="00283424">
        <w:tab/>
        <w:t>In this Subdivision:</w:t>
      </w:r>
    </w:p>
    <w:p w14:paraId="589259D9" w14:textId="77777777" w:rsidR="00E93F58" w:rsidRPr="00283424" w:rsidRDefault="00E93F58" w:rsidP="00B50726">
      <w:pPr>
        <w:pStyle w:val="Definition"/>
      </w:pPr>
      <w:r w:rsidRPr="00283424">
        <w:rPr>
          <w:b/>
          <w:i/>
        </w:rPr>
        <w:t>client money reporting infringement notice</w:t>
      </w:r>
      <w:r w:rsidRPr="00283424">
        <w:t xml:space="preserve"> means an infringement notice given under regulation 7.8.05C.</w:t>
      </w:r>
    </w:p>
    <w:p w14:paraId="018DC416" w14:textId="77777777" w:rsidR="00E93F58" w:rsidRPr="00283424" w:rsidRDefault="00E93F58" w:rsidP="00B50726">
      <w:pPr>
        <w:pStyle w:val="Definition"/>
        <w:rPr>
          <w:color w:val="000000"/>
        </w:rPr>
      </w:pPr>
      <w:r w:rsidRPr="00283424">
        <w:rPr>
          <w:b/>
          <w:i/>
        </w:rPr>
        <w:t xml:space="preserve">client money reporting infringement notice </w:t>
      </w:r>
      <w:r w:rsidRPr="00283424">
        <w:rPr>
          <w:b/>
          <w:i/>
          <w:color w:val="000000"/>
        </w:rPr>
        <w:t>period</w:t>
      </w:r>
      <w:r w:rsidRPr="00283424">
        <w:rPr>
          <w:color w:val="000000"/>
        </w:rPr>
        <w:t xml:space="preserve"> has the meaning given by subregulation 7.8.05H(2).</w:t>
      </w:r>
    </w:p>
    <w:p w14:paraId="36A822D6" w14:textId="77777777" w:rsidR="00E93F58" w:rsidRPr="00283424" w:rsidRDefault="00E93F58" w:rsidP="00B50726">
      <w:pPr>
        <w:pStyle w:val="Definition"/>
      </w:pPr>
      <w:r w:rsidRPr="00283424">
        <w:rPr>
          <w:b/>
          <w:i/>
        </w:rPr>
        <w:t>recipient</w:t>
      </w:r>
      <w:r w:rsidRPr="00283424">
        <w:t>, in relation to a client money reporting infringement notice, means the person to whom ASIC gives the infringement notice, or intends to give the infringement notice, under regulation 7.8.05C.</w:t>
      </w:r>
    </w:p>
    <w:p w14:paraId="6B4D30FA" w14:textId="77777777" w:rsidR="00E93F58" w:rsidRPr="00283424" w:rsidRDefault="00E93F58" w:rsidP="00B50726">
      <w:pPr>
        <w:pStyle w:val="ActHead5"/>
      </w:pPr>
      <w:bookmarkStart w:id="1272" w:name="_Toc152054614"/>
      <w:bookmarkStart w:id="1273" w:name="_Toc158712430"/>
      <w:r w:rsidRPr="006F296E">
        <w:rPr>
          <w:rStyle w:val="CharSectno"/>
        </w:rPr>
        <w:t>7.8.05B</w:t>
      </w:r>
      <w:r w:rsidRPr="00283424">
        <w:t xml:space="preserve">  Enforceable undertakings</w:t>
      </w:r>
      <w:bookmarkEnd w:id="1272"/>
      <w:bookmarkEnd w:id="1273"/>
    </w:p>
    <w:p w14:paraId="0B5CC5D5" w14:textId="77777777" w:rsidR="00E93F58" w:rsidRPr="00283424" w:rsidRDefault="00E93F58" w:rsidP="00B50726">
      <w:pPr>
        <w:pStyle w:val="subsection"/>
      </w:pPr>
      <w:r w:rsidRPr="00283424">
        <w:tab/>
        <w:t>(1)</w:t>
      </w:r>
      <w:r w:rsidRPr="00283424">
        <w:tab/>
        <w:t>For the purposes of paragraph 981N(1)(d) of the Act, ASIC may accept a written undertaking, given by a person who is alleged to have contravened subsection 981M(1) of the Act, as an alternative to civil proceedings.</w:t>
      </w:r>
    </w:p>
    <w:p w14:paraId="011E3C26" w14:textId="77777777" w:rsidR="00E93F58" w:rsidRPr="00283424" w:rsidRDefault="00E93F58" w:rsidP="00B50726">
      <w:pPr>
        <w:pStyle w:val="subsection"/>
      </w:pPr>
      <w:r w:rsidRPr="00283424">
        <w:tab/>
        <w:t>(2)</w:t>
      </w:r>
      <w:r w:rsidRPr="00283424">
        <w:tab/>
        <w:t>Without limiting subregulation (1), ASIC may accept an undertaking that includes any of the following:</w:t>
      </w:r>
    </w:p>
    <w:p w14:paraId="7FF62104" w14:textId="77777777" w:rsidR="00E93F58" w:rsidRPr="00283424" w:rsidRDefault="00E93F58" w:rsidP="00B50726">
      <w:pPr>
        <w:pStyle w:val="paragraph"/>
      </w:pPr>
      <w:r w:rsidRPr="00283424">
        <w:rPr>
          <w:color w:val="000000"/>
        </w:rPr>
        <w:lastRenderedPageBreak/>
        <w:tab/>
        <w:t>(a)</w:t>
      </w:r>
      <w:r w:rsidRPr="00283424">
        <w:rPr>
          <w:color w:val="000000"/>
        </w:rPr>
        <w:tab/>
        <w:t>an undertaking to take specified action within a specified period;</w:t>
      </w:r>
    </w:p>
    <w:p w14:paraId="205DA4E5" w14:textId="77777777" w:rsidR="00E93F58" w:rsidRPr="00283424" w:rsidRDefault="00E93F58" w:rsidP="00B50726">
      <w:pPr>
        <w:pStyle w:val="paragraph"/>
      </w:pPr>
      <w:r w:rsidRPr="00283424">
        <w:tab/>
        <w:t>(b)</w:t>
      </w:r>
      <w:r w:rsidRPr="00283424">
        <w:tab/>
        <w:t>an undertaking to refrain from taking specified action;</w:t>
      </w:r>
    </w:p>
    <w:p w14:paraId="438BAFBF" w14:textId="77777777" w:rsidR="00E93F58" w:rsidRPr="00283424" w:rsidRDefault="00E93F58" w:rsidP="00B50726">
      <w:pPr>
        <w:pStyle w:val="paragraph"/>
      </w:pPr>
      <w:r w:rsidRPr="00283424">
        <w:rPr>
          <w:color w:val="000000"/>
        </w:rPr>
        <w:tab/>
        <w:t>(c)</w:t>
      </w:r>
      <w:r w:rsidRPr="00283424">
        <w:rPr>
          <w:color w:val="000000"/>
        </w:rPr>
        <w:tab/>
        <w:t>an undertaking to pay a specified amount within a specified period to the Commonwealth or to some other specified person.</w:t>
      </w:r>
    </w:p>
    <w:p w14:paraId="60E201F5" w14:textId="77777777" w:rsidR="00E93F58" w:rsidRPr="00283424" w:rsidRDefault="00E93F58" w:rsidP="00B50726">
      <w:pPr>
        <w:pStyle w:val="notetext"/>
        <w:rPr>
          <w:color w:val="000000"/>
        </w:rPr>
      </w:pPr>
      <w:r w:rsidRPr="00283424">
        <w:rPr>
          <w:color w:val="000000"/>
        </w:rPr>
        <w:t>Note:</w:t>
      </w:r>
      <w:r w:rsidRPr="00283424">
        <w:rPr>
          <w:color w:val="000000"/>
        </w:rPr>
        <w:tab/>
        <w:t>An undertaking may relate to a client money reporting infringement notice given in relation to the alleged contravention. For example, an infringement notice may require a person to give an undertaking, a person may give an undertaking to comply with an infringement notice or a person may give an undertaking if the person does not comply with an infringement notice or if the infringement notice is withdrawn.</w:t>
      </w:r>
    </w:p>
    <w:p w14:paraId="59721075" w14:textId="77777777" w:rsidR="00E93F58" w:rsidRPr="00283424" w:rsidRDefault="00E93F58" w:rsidP="00B50726">
      <w:pPr>
        <w:pStyle w:val="subsection"/>
      </w:pPr>
      <w:r w:rsidRPr="00283424">
        <w:rPr>
          <w:color w:val="000000"/>
        </w:rPr>
        <w:tab/>
        <w:t>(3)</w:t>
      </w:r>
      <w:r w:rsidRPr="00283424">
        <w:rPr>
          <w:color w:val="000000"/>
        </w:rPr>
        <w:tab/>
        <w:t>If ASIC agrees, in writing, to the withdrawal or variation of the undertaking, the person who gave the undertaking may withdraw or vary the undertaking.</w:t>
      </w:r>
    </w:p>
    <w:p w14:paraId="07EE4D65" w14:textId="77777777" w:rsidR="00E93F58" w:rsidRPr="00283424" w:rsidRDefault="00E93F58" w:rsidP="00B50726">
      <w:pPr>
        <w:pStyle w:val="subsection"/>
      </w:pPr>
      <w:r w:rsidRPr="00283424">
        <w:tab/>
        <w:t>(4)</w:t>
      </w:r>
      <w:r w:rsidRPr="00283424">
        <w:tab/>
        <w:t xml:space="preserve">If ASIC is satisfied that the person who gave the undertaking has breached a term of the undertaking, ASIC may apply to </w:t>
      </w:r>
      <w:r w:rsidRPr="00283424">
        <w:rPr>
          <w:shd w:val="clear" w:color="auto" w:fill="FFFFFF"/>
        </w:rPr>
        <w:t>a</w:t>
      </w:r>
      <w:r w:rsidRPr="00283424">
        <w:t xml:space="preserve"> Court for an order under subregulation (5).</w:t>
      </w:r>
    </w:p>
    <w:p w14:paraId="5C1BDCF4" w14:textId="77777777" w:rsidR="00E93F58" w:rsidRPr="00283424" w:rsidRDefault="00E93F58" w:rsidP="00B50726">
      <w:pPr>
        <w:pStyle w:val="subsection"/>
      </w:pPr>
      <w:r w:rsidRPr="00283424">
        <w:tab/>
        <w:t>(5)</w:t>
      </w:r>
      <w:r w:rsidRPr="00283424">
        <w:tab/>
        <w:t>If the Court is satisfied that the person has breached a term of the undertaking, the Court may make one or more of the following orders:</w:t>
      </w:r>
    </w:p>
    <w:p w14:paraId="33F85E7F" w14:textId="77777777" w:rsidR="00E93F58" w:rsidRPr="00283424" w:rsidRDefault="00E93F58" w:rsidP="00B50726">
      <w:pPr>
        <w:pStyle w:val="paragraph"/>
      </w:pPr>
      <w:r w:rsidRPr="00283424">
        <w:rPr>
          <w:color w:val="000000"/>
        </w:rPr>
        <w:tab/>
        <w:t>(a)</w:t>
      </w:r>
      <w:r w:rsidRPr="00283424">
        <w:rPr>
          <w:color w:val="000000"/>
        </w:rPr>
        <w:tab/>
        <w:t>an order directing the person to comply with the term of the undertaking;</w:t>
      </w:r>
    </w:p>
    <w:p w14:paraId="5A4E1084" w14:textId="77777777" w:rsidR="00E93F58" w:rsidRPr="00283424" w:rsidRDefault="00E93F58" w:rsidP="00B50726">
      <w:pPr>
        <w:pStyle w:val="paragraph"/>
      </w:pPr>
      <w:r w:rsidRPr="00283424">
        <w:tab/>
        <w:t>(b)</w:t>
      </w:r>
      <w:r w:rsidRPr="00283424">
        <w:tab/>
        <w:t>an order directing the person to pay to the Commonwealth an amount not exceeding the amount of any financial benefit that the person has obtained directly or indirectly and that is reasonably attributable to the breach;</w:t>
      </w:r>
    </w:p>
    <w:p w14:paraId="7FDC84BF" w14:textId="77777777" w:rsidR="00E93F58" w:rsidRPr="00283424" w:rsidRDefault="00E93F58" w:rsidP="00B50726">
      <w:pPr>
        <w:pStyle w:val="paragraph"/>
      </w:pPr>
      <w:r w:rsidRPr="00283424">
        <w:tab/>
        <w:t>(c)</w:t>
      </w:r>
      <w:r w:rsidRPr="00283424">
        <w:tab/>
        <w:t>an order directing the person to compensate another person who has suffered loss or damage as a result of the breach;</w:t>
      </w:r>
    </w:p>
    <w:p w14:paraId="49DD89B3" w14:textId="77777777" w:rsidR="00E93F58" w:rsidRPr="00283424" w:rsidRDefault="00E93F58" w:rsidP="00B50726">
      <w:pPr>
        <w:pStyle w:val="paragraph"/>
      </w:pPr>
      <w:r w:rsidRPr="00283424">
        <w:tab/>
        <w:t>(d)</w:t>
      </w:r>
      <w:r w:rsidRPr="00283424">
        <w:tab/>
        <w:t>any other order that the Court considers appropriate.</w:t>
      </w:r>
    </w:p>
    <w:p w14:paraId="52F86AAC" w14:textId="77777777" w:rsidR="00E93F58" w:rsidRPr="00283424" w:rsidRDefault="00E93F58" w:rsidP="00B50726">
      <w:pPr>
        <w:pStyle w:val="subsection"/>
        <w:rPr>
          <w:color w:val="000000"/>
        </w:rPr>
      </w:pPr>
      <w:r w:rsidRPr="00283424">
        <w:rPr>
          <w:color w:val="000000"/>
        </w:rPr>
        <w:tab/>
        <w:t>(6)</w:t>
      </w:r>
      <w:r w:rsidRPr="00283424">
        <w:rPr>
          <w:color w:val="000000"/>
        </w:rPr>
        <w:tab/>
        <w:t>This regulation does not affect the liability of a person to civil proceedings if ASIC does not accept an undertaking in relation to the alleged contravention referred to in subregulation (1).</w:t>
      </w:r>
    </w:p>
    <w:p w14:paraId="1F212FBD" w14:textId="77777777" w:rsidR="00E93F58" w:rsidRPr="00283424" w:rsidRDefault="00E93F58" w:rsidP="00B50726">
      <w:pPr>
        <w:pStyle w:val="ActHead5"/>
      </w:pPr>
      <w:bookmarkStart w:id="1274" w:name="_Toc152054615"/>
      <w:bookmarkStart w:id="1275" w:name="_Toc158712431"/>
      <w:r w:rsidRPr="006F296E">
        <w:rPr>
          <w:rStyle w:val="CharSectno"/>
        </w:rPr>
        <w:t>7.8.05C</w:t>
      </w:r>
      <w:r w:rsidRPr="00283424">
        <w:t xml:space="preserve">  Client money reporting infringement notices</w:t>
      </w:r>
      <w:bookmarkEnd w:id="1274"/>
      <w:bookmarkEnd w:id="1275"/>
    </w:p>
    <w:p w14:paraId="573124AC" w14:textId="77777777" w:rsidR="00E93F58" w:rsidRPr="00283424" w:rsidRDefault="00E93F58" w:rsidP="00B50726">
      <w:pPr>
        <w:pStyle w:val="subsection"/>
      </w:pPr>
      <w:r w:rsidRPr="00283424">
        <w:tab/>
        <w:t>(1)</w:t>
      </w:r>
      <w:r w:rsidRPr="00283424">
        <w:tab/>
        <w:t>This regulation is made for the purposes of subsection 981N(1) of the Act.</w:t>
      </w:r>
    </w:p>
    <w:p w14:paraId="1358D179" w14:textId="77777777" w:rsidR="00E93F58" w:rsidRPr="00283424" w:rsidRDefault="00E93F58" w:rsidP="00B50726">
      <w:pPr>
        <w:pStyle w:val="subsection"/>
      </w:pPr>
      <w:r w:rsidRPr="00283424">
        <w:tab/>
        <w:t>(2)</w:t>
      </w:r>
      <w:r w:rsidRPr="00283424">
        <w:tab/>
        <w:t xml:space="preserve">If ASIC has reasonable grounds to believe that a person has contravened subsection 981M(1) of the Act, ASIC may give the person an infringement notice (a </w:t>
      </w:r>
      <w:r w:rsidRPr="00283424">
        <w:rPr>
          <w:b/>
          <w:i/>
        </w:rPr>
        <w:t>client money reporting infringement notice</w:t>
      </w:r>
      <w:r w:rsidRPr="00283424">
        <w:t>) in relation to the alleged contravention.</w:t>
      </w:r>
    </w:p>
    <w:p w14:paraId="5168D384" w14:textId="77777777" w:rsidR="00E93F58" w:rsidRPr="00283424" w:rsidRDefault="00E93F58" w:rsidP="00B50726">
      <w:pPr>
        <w:pStyle w:val="subsection"/>
        <w:rPr>
          <w:color w:val="000000"/>
        </w:rPr>
      </w:pPr>
      <w:r w:rsidRPr="00283424">
        <w:rPr>
          <w:color w:val="000000"/>
        </w:rPr>
        <w:tab/>
        <w:t>(3)</w:t>
      </w:r>
      <w:r w:rsidRPr="00283424">
        <w:rPr>
          <w:color w:val="000000"/>
        </w:rPr>
        <w:tab/>
        <w:t xml:space="preserve">A </w:t>
      </w:r>
      <w:r w:rsidRPr="00283424">
        <w:t xml:space="preserve">client money reporting </w:t>
      </w:r>
      <w:r w:rsidRPr="00283424">
        <w:rPr>
          <w:color w:val="000000"/>
        </w:rPr>
        <w:t>infringement notice may relate to one or more alleged contraventions of a client money reporting rule.</w:t>
      </w:r>
    </w:p>
    <w:p w14:paraId="3D875083" w14:textId="77777777" w:rsidR="00E93F58" w:rsidRPr="00283424" w:rsidRDefault="00E93F58" w:rsidP="00B50726">
      <w:pPr>
        <w:pStyle w:val="subsection"/>
      </w:pPr>
      <w:r w:rsidRPr="00283424">
        <w:tab/>
        <w:t>(4)</w:t>
      </w:r>
      <w:r w:rsidRPr="00283424">
        <w:tab/>
        <w:t xml:space="preserve">If ASIC withdraws a client money reporting infringement notice given to a </w:t>
      </w:r>
      <w:r w:rsidRPr="00283424">
        <w:rPr>
          <w:shd w:val="clear" w:color="auto" w:fill="FFFFFF"/>
        </w:rPr>
        <w:t>person</w:t>
      </w:r>
      <w:r w:rsidRPr="00283424">
        <w:t xml:space="preserve"> in relation to an alleged contravention of a client money reporting rule, ASIC may give the </w:t>
      </w:r>
      <w:r w:rsidRPr="00283424">
        <w:rPr>
          <w:shd w:val="clear" w:color="auto" w:fill="FFFFFF"/>
        </w:rPr>
        <w:t>person</w:t>
      </w:r>
      <w:r w:rsidRPr="00283424">
        <w:t xml:space="preserve"> a new infringement notice in relation to the alleged contravention.</w:t>
      </w:r>
    </w:p>
    <w:p w14:paraId="0B28781A" w14:textId="77777777" w:rsidR="00E93F58" w:rsidRPr="00283424" w:rsidRDefault="00E93F58" w:rsidP="00B50726">
      <w:pPr>
        <w:pStyle w:val="notetext"/>
        <w:keepNext/>
        <w:keepLines/>
      </w:pPr>
      <w:r w:rsidRPr="00283424">
        <w:t>Example:</w:t>
      </w:r>
      <w:r w:rsidRPr="00283424">
        <w:tab/>
        <w:t>A client money reporting infringement notice given to a person in relation to an alleged contravention of a client money reporting rule may be withdrawn, and a new infringement notice given to the person in relation to that alleged contravention, if the original infringement notice contained an error.</w:t>
      </w:r>
    </w:p>
    <w:p w14:paraId="2A942E00" w14:textId="77777777" w:rsidR="00E93F58" w:rsidRPr="00283424" w:rsidRDefault="00E93F58" w:rsidP="00B50726">
      <w:pPr>
        <w:pStyle w:val="ActHead5"/>
      </w:pPr>
      <w:bookmarkStart w:id="1276" w:name="_Toc152054616"/>
      <w:bookmarkStart w:id="1277" w:name="_Toc158712432"/>
      <w:r w:rsidRPr="006F296E">
        <w:rPr>
          <w:rStyle w:val="CharSectno"/>
        </w:rPr>
        <w:t>7.8.05D</w:t>
      </w:r>
      <w:r w:rsidRPr="00283424">
        <w:t xml:space="preserve">  Effect of client money reporting infringement notice provisions</w:t>
      </w:r>
      <w:bookmarkEnd w:id="1276"/>
      <w:bookmarkEnd w:id="1277"/>
    </w:p>
    <w:p w14:paraId="11B58474" w14:textId="77777777" w:rsidR="00E93F58" w:rsidRPr="00283424" w:rsidRDefault="00E93F58" w:rsidP="00B50726">
      <w:pPr>
        <w:pStyle w:val="subsection"/>
      </w:pPr>
      <w:r w:rsidRPr="00283424">
        <w:rPr>
          <w:color w:val="000000"/>
        </w:rPr>
        <w:tab/>
        <w:t>(1)</w:t>
      </w:r>
      <w:r w:rsidRPr="00283424">
        <w:rPr>
          <w:color w:val="000000"/>
        </w:rPr>
        <w:tab/>
        <w:t xml:space="preserve">Regulations 7.8.05C to 7.8.05Q do not require ASIC to give a client money reporting infringement notice to a person in relation to an alleged contravention of </w:t>
      </w:r>
      <w:r w:rsidRPr="00283424">
        <w:t>a client money reporting rule</w:t>
      </w:r>
      <w:r w:rsidRPr="00283424">
        <w:rPr>
          <w:color w:val="000000"/>
        </w:rPr>
        <w:t>.</w:t>
      </w:r>
    </w:p>
    <w:p w14:paraId="7BA7106E" w14:textId="77777777" w:rsidR="00E93F58" w:rsidRPr="00283424" w:rsidRDefault="00E93F58" w:rsidP="00B50726">
      <w:pPr>
        <w:pStyle w:val="subsection"/>
      </w:pPr>
      <w:r w:rsidRPr="00283424">
        <w:tab/>
        <w:t>(2)</w:t>
      </w:r>
      <w:r w:rsidRPr="00283424">
        <w:tab/>
      </w:r>
      <w:r w:rsidRPr="00283424">
        <w:rPr>
          <w:color w:val="000000"/>
        </w:rPr>
        <w:t xml:space="preserve">Regulations 7.8.05C to 7.8.05Q </w:t>
      </w:r>
      <w:r w:rsidRPr="00283424">
        <w:t>do not affect the liability of a person to civil proceedings if ASIC does not give a client money reporting infringement notice to the person in relation to an alleged contravention of a client money reporting rule.</w:t>
      </w:r>
    </w:p>
    <w:p w14:paraId="532E584D" w14:textId="77777777" w:rsidR="00E93F58" w:rsidRPr="00283424" w:rsidRDefault="00E93F58" w:rsidP="00B50726">
      <w:pPr>
        <w:pStyle w:val="subsection"/>
      </w:pPr>
      <w:r w:rsidRPr="00283424">
        <w:tab/>
        <w:t>(3)</w:t>
      </w:r>
      <w:r w:rsidRPr="00283424">
        <w:tab/>
      </w:r>
      <w:r w:rsidRPr="00283424">
        <w:rPr>
          <w:color w:val="000000"/>
        </w:rPr>
        <w:t>Regulations 7.8.05C to 7.8.05Q do</w:t>
      </w:r>
      <w:r w:rsidRPr="00283424">
        <w:t xml:space="preserve"> not affect the liability of a person to civil proceedings if:</w:t>
      </w:r>
    </w:p>
    <w:p w14:paraId="33FE640E" w14:textId="77777777" w:rsidR="00E93F58" w:rsidRPr="00283424" w:rsidRDefault="00E93F58" w:rsidP="00B50726">
      <w:pPr>
        <w:pStyle w:val="paragraph"/>
      </w:pPr>
      <w:r w:rsidRPr="00283424">
        <w:rPr>
          <w:color w:val="000000"/>
        </w:rPr>
        <w:tab/>
        <w:t>(a)</w:t>
      </w:r>
      <w:r w:rsidRPr="00283424">
        <w:rPr>
          <w:color w:val="000000"/>
        </w:rPr>
        <w:tab/>
        <w:t xml:space="preserve">ASIC gives a client money reporting infringement notice to the person in relation to an alleged contravention of </w:t>
      </w:r>
      <w:r w:rsidRPr="00283424">
        <w:t xml:space="preserve">a </w:t>
      </w:r>
      <w:r w:rsidRPr="00283424">
        <w:rPr>
          <w:color w:val="000000"/>
        </w:rPr>
        <w:t>client money reporting rule; and</w:t>
      </w:r>
    </w:p>
    <w:p w14:paraId="41513E02" w14:textId="77777777" w:rsidR="00E93F58" w:rsidRPr="00283424" w:rsidRDefault="00E93F58" w:rsidP="00B50726">
      <w:pPr>
        <w:pStyle w:val="paragraph"/>
        <w:keepNext/>
        <w:keepLines/>
      </w:pPr>
      <w:r w:rsidRPr="00283424">
        <w:tab/>
        <w:t>(b)</w:t>
      </w:r>
      <w:r w:rsidRPr="00283424">
        <w:tab/>
        <w:t>either:</w:t>
      </w:r>
    </w:p>
    <w:p w14:paraId="64C4B328" w14:textId="77777777" w:rsidR="00E93F58" w:rsidRPr="00283424" w:rsidRDefault="00E93F58" w:rsidP="00B50726">
      <w:pPr>
        <w:pStyle w:val="paragraphsub"/>
        <w:keepNext/>
        <w:keepLines/>
      </w:pPr>
      <w:r w:rsidRPr="00283424">
        <w:rPr>
          <w:color w:val="000000"/>
        </w:rPr>
        <w:tab/>
        <w:t>(i)</w:t>
      </w:r>
      <w:r w:rsidRPr="00283424">
        <w:rPr>
          <w:color w:val="000000"/>
        </w:rPr>
        <w:tab/>
        <w:t>the infringement notice is withdrawn; or</w:t>
      </w:r>
    </w:p>
    <w:p w14:paraId="6919FCF7" w14:textId="77777777" w:rsidR="00E93F58" w:rsidRPr="00283424" w:rsidRDefault="00E93F58" w:rsidP="00B50726">
      <w:pPr>
        <w:pStyle w:val="paragraphsub"/>
      </w:pPr>
      <w:r w:rsidRPr="00283424">
        <w:tab/>
        <w:t>(ii)</w:t>
      </w:r>
      <w:r w:rsidRPr="00283424">
        <w:tab/>
        <w:t xml:space="preserve">the person does not comply with the </w:t>
      </w:r>
      <w:r w:rsidRPr="00283424">
        <w:rPr>
          <w:color w:val="000000"/>
        </w:rPr>
        <w:t xml:space="preserve">infringement </w:t>
      </w:r>
      <w:r w:rsidRPr="00283424">
        <w:t>notice in accordance with regulation 7.8.05H.</w:t>
      </w:r>
    </w:p>
    <w:p w14:paraId="250A7E1A" w14:textId="77777777" w:rsidR="00E93F58" w:rsidRPr="00283424" w:rsidRDefault="00E93F58" w:rsidP="00B50726">
      <w:pPr>
        <w:pStyle w:val="subsection"/>
        <w:rPr>
          <w:color w:val="000000"/>
        </w:rPr>
      </w:pPr>
      <w:r w:rsidRPr="00283424">
        <w:rPr>
          <w:color w:val="000000"/>
        </w:rPr>
        <w:lastRenderedPageBreak/>
        <w:tab/>
        <w:t>(4)</w:t>
      </w:r>
      <w:r w:rsidRPr="00283424">
        <w:rPr>
          <w:color w:val="000000"/>
        </w:rPr>
        <w:tab/>
        <w:t xml:space="preserve">Regulations 7.8.05C to 7.8.05Q do not limit or otherwise affect the penalty that a </w:t>
      </w:r>
      <w:r w:rsidRPr="00283424">
        <w:rPr>
          <w:color w:val="000000"/>
          <w:shd w:val="clear" w:color="auto" w:fill="FFFFFF"/>
        </w:rPr>
        <w:t>C</w:t>
      </w:r>
      <w:r w:rsidRPr="00283424">
        <w:rPr>
          <w:color w:val="000000"/>
        </w:rPr>
        <w:t xml:space="preserve">ourt could impose on the person for a contravention of </w:t>
      </w:r>
      <w:r w:rsidRPr="00283424">
        <w:t>a client money reporting rule</w:t>
      </w:r>
      <w:r w:rsidRPr="00283424">
        <w:rPr>
          <w:color w:val="000000"/>
        </w:rPr>
        <w:t>.</w:t>
      </w:r>
    </w:p>
    <w:p w14:paraId="1E947447" w14:textId="77777777" w:rsidR="00E93F58" w:rsidRPr="00283424" w:rsidRDefault="00E93F58" w:rsidP="00B50726">
      <w:pPr>
        <w:pStyle w:val="ActHead5"/>
      </w:pPr>
      <w:bookmarkStart w:id="1278" w:name="_Toc152054617"/>
      <w:bookmarkStart w:id="1279" w:name="_Toc158712433"/>
      <w:r w:rsidRPr="006F296E">
        <w:rPr>
          <w:rStyle w:val="CharSectno"/>
        </w:rPr>
        <w:t>7.8.05E</w:t>
      </w:r>
      <w:r w:rsidRPr="00283424">
        <w:t xml:space="preserve">  Statement of reasons must be given</w:t>
      </w:r>
      <w:bookmarkEnd w:id="1278"/>
      <w:bookmarkEnd w:id="1279"/>
    </w:p>
    <w:p w14:paraId="403D908C" w14:textId="77777777" w:rsidR="00E93F58" w:rsidRPr="00283424" w:rsidRDefault="00E93F58" w:rsidP="00B50726">
      <w:pPr>
        <w:pStyle w:val="subsection"/>
      </w:pPr>
      <w:r w:rsidRPr="00283424">
        <w:tab/>
        <w:t>(1)</w:t>
      </w:r>
      <w:r w:rsidRPr="00283424">
        <w:tab/>
        <w:t>Before giving a recipient a client money reporting infringement notice, ASIC must:</w:t>
      </w:r>
    </w:p>
    <w:p w14:paraId="14DF3303" w14:textId="77777777" w:rsidR="00E93F58" w:rsidRPr="00283424" w:rsidRDefault="00E93F58" w:rsidP="00B50726">
      <w:pPr>
        <w:pStyle w:val="paragraph"/>
      </w:pPr>
      <w:r w:rsidRPr="00283424">
        <w:rPr>
          <w:color w:val="000000"/>
        </w:rPr>
        <w:tab/>
        <w:t>(a)</w:t>
      </w:r>
      <w:r w:rsidRPr="00283424">
        <w:rPr>
          <w:color w:val="000000"/>
        </w:rPr>
        <w:tab/>
        <w:t xml:space="preserve">give the recipient a written statement that sets out ASIC’s reasons for believing that the recipient has contravened </w:t>
      </w:r>
      <w:r w:rsidRPr="00283424">
        <w:t>a client money reporting rule</w:t>
      </w:r>
      <w:r w:rsidRPr="00283424">
        <w:rPr>
          <w:color w:val="000000"/>
        </w:rPr>
        <w:t>; and</w:t>
      </w:r>
    </w:p>
    <w:p w14:paraId="51B4BFFF" w14:textId="77777777" w:rsidR="00E93F58" w:rsidRPr="00283424" w:rsidRDefault="00E93F58" w:rsidP="00B50726">
      <w:pPr>
        <w:pStyle w:val="paragraph"/>
      </w:pPr>
      <w:r w:rsidRPr="00283424">
        <w:tab/>
        <w:t>(b)</w:t>
      </w:r>
      <w:r w:rsidRPr="00283424">
        <w:tab/>
        <w:t>give the recipient, or a representative of the recipient, an opportunity to:</w:t>
      </w:r>
    </w:p>
    <w:p w14:paraId="1E368589" w14:textId="77777777" w:rsidR="00E93F58" w:rsidRPr="00283424" w:rsidRDefault="00E93F58" w:rsidP="00B50726">
      <w:pPr>
        <w:pStyle w:val="paragraphsub"/>
      </w:pPr>
      <w:r w:rsidRPr="00283424">
        <w:rPr>
          <w:color w:val="000000"/>
        </w:rPr>
        <w:tab/>
        <w:t>(i)</w:t>
      </w:r>
      <w:r w:rsidRPr="00283424">
        <w:rPr>
          <w:color w:val="000000"/>
        </w:rPr>
        <w:tab/>
        <w:t>appear at a private hearing before ASIC; and</w:t>
      </w:r>
    </w:p>
    <w:p w14:paraId="2CADA1D3" w14:textId="77777777" w:rsidR="00E93F58" w:rsidRPr="00283424" w:rsidRDefault="00E93F58" w:rsidP="00B50726">
      <w:pPr>
        <w:pStyle w:val="paragraphsub"/>
      </w:pPr>
      <w:r w:rsidRPr="00283424">
        <w:tab/>
        <w:t>(ii)</w:t>
      </w:r>
      <w:r w:rsidRPr="00283424">
        <w:tab/>
        <w:t>give evidence to ASIC; and</w:t>
      </w:r>
    </w:p>
    <w:p w14:paraId="1C25F951" w14:textId="77777777" w:rsidR="00E93F58" w:rsidRPr="00283424" w:rsidRDefault="00E93F58" w:rsidP="00B50726">
      <w:pPr>
        <w:pStyle w:val="paragraphsub"/>
      </w:pPr>
      <w:r w:rsidRPr="00283424">
        <w:tab/>
        <w:t>(iii)</w:t>
      </w:r>
      <w:r w:rsidRPr="00283424">
        <w:tab/>
        <w:t>make submissions to ASIC;</w:t>
      </w:r>
    </w:p>
    <w:p w14:paraId="77DA4DD9" w14:textId="77777777" w:rsidR="00E93F58" w:rsidRPr="00283424" w:rsidRDefault="00E93F58" w:rsidP="00B50726">
      <w:pPr>
        <w:pStyle w:val="paragraph"/>
      </w:pPr>
      <w:r w:rsidRPr="00283424">
        <w:rPr>
          <w:color w:val="000000"/>
        </w:rPr>
        <w:tab/>
      </w:r>
      <w:r w:rsidRPr="00283424">
        <w:rPr>
          <w:color w:val="000000"/>
        </w:rPr>
        <w:tab/>
        <w:t xml:space="preserve">in relation to the alleged contravention of the </w:t>
      </w:r>
      <w:r w:rsidRPr="00283424">
        <w:t>client money reporting rule</w:t>
      </w:r>
      <w:r w:rsidRPr="00283424">
        <w:rPr>
          <w:color w:val="000000"/>
        </w:rPr>
        <w:t>.</w:t>
      </w:r>
    </w:p>
    <w:p w14:paraId="0CE96B3B" w14:textId="77777777" w:rsidR="00E93F58" w:rsidRPr="00283424" w:rsidRDefault="00E93F58" w:rsidP="00B50726">
      <w:pPr>
        <w:pStyle w:val="subsection"/>
      </w:pPr>
      <w:r w:rsidRPr="00283424">
        <w:rPr>
          <w:color w:val="000000"/>
        </w:rPr>
        <w:tab/>
        <w:t>(2)</w:t>
      </w:r>
      <w:r w:rsidRPr="00283424">
        <w:rPr>
          <w:color w:val="000000"/>
        </w:rPr>
        <w:tab/>
        <w:t xml:space="preserve">If a recipient, or a representative of a recipient, gives ASIC evidence or information under paragraph (1)(b) in relation to the alleged contravention of </w:t>
      </w:r>
      <w:r w:rsidRPr="00283424">
        <w:t>a client money reporting rule</w:t>
      </w:r>
      <w:r w:rsidRPr="00283424">
        <w:rPr>
          <w:color w:val="000000"/>
        </w:rPr>
        <w:t>, the evidence or information is not admissible in evidence in any proceedings against the recipient, other than proceedings relating to the evidence or information being false or misleading.</w:t>
      </w:r>
    </w:p>
    <w:p w14:paraId="71C37166" w14:textId="77777777" w:rsidR="00E93F58" w:rsidRPr="00283424" w:rsidRDefault="00E93F58" w:rsidP="00B50726">
      <w:pPr>
        <w:pStyle w:val="ActHead5"/>
      </w:pPr>
      <w:bookmarkStart w:id="1280" w:name="_Toc152054618"/>
      <w:bookmarkStart w:id="1281" w:name="_Toc158712434"/>
      <w:r w:rsidRPr="006F296E">
        <w:rPr>
          <w:rStyle w:val="CharSectno"/>
        </w:rPr>
        <w:t>7.8.05F</w:t>
      </w:r>
      <w:r w:rsidRPr="00283424">
        <w:t xml:space="preserve">  Contents of client money reporting infringement notice</w:t>
      </w:r>
      <w:bookmarkEnd w:id="1280"/>
      <w:bookmarkEnd w:id="1281"/>
    </w:p>
    <w:p w14:paraId="71E25462" w14:textId="77777777" w:rsidR="00E93F58" w:rsidRPr="00283424" w:rsidRDefault="00E93F58" w:rsidP="00B50726">
      <w:pPr>
        <w:pStyle w:val="subsection"/>
      </w:pPr>
      <w:r w:rsidRPr="00283424">
        <w:tab/>
      </w:r>
      <w:r w:rsidRPr="00283424">
        <w:tab/>
        <w:t>A client money reporting infringement notice:</w:t>
      </w:r>
    </w:p>
    <w:p w14:paraId="12CC1709" w14:textId="77777777" w:rsidR="00E93F58" w:rsidRPr="00283424" w:rsidRDefault="00E93F58" w:rsidP="00B50726">
      <w:pPr>
        <w:pStyle w:val="paragraph"/>
      </w:pPr>
      <w:r w:rsidRPr="00283424">
        <w:rPr>
          <w:color w:val="000000"/>
        </w:rPr>
        <w:tab/>
        <w:t>(a)</w:t>
      </w:r>
      <w:r w:rsidRPr="00283424">
        <w:rPr>
          <w:color w:val="000000"/>
        </w:rPr>
        <w:tab/>
        <w:t>must state the date on which it is given; and</w:t>
      </w:r>
    </w:p>
    <w:p w14:paraId="3A9C693F" w14:textId="77777777" w:rsidR="00E93F58" w:rsidRPr="00283424" w:rsidRDefault="00E93F58" w:rsidP="00B50726">
      <w:pPr>
        <w:pStyle w:val="paragraph"/>
      </w:pPr>
      <w:r w:rsidRPr="00283424">
        <w:tab/>
        <w:t>(b)</w:t>
      </w:r>
      <w:r w:rsidRPr="00283424">
        <w:tab/>
        <w:t>must be identified by a unique code; and</w:t>
      </w:r>
    </w:p>
    <w:p w14:paraId="1D7E5979" w14:textId="77777777" w:rsidR="00E93F58" w:rsidRPr="00283424" w:rsidRDefault="00E93F58" w:rsidP="00B50726">
      <w:pPr>
        <w:pStyle w:val="paragraph"/>
      </w:pPr>
      <w:r w:rsidRPr="00283424">
        <w:tab/>
        <w:t>(c)</w:t>
      </w:r>
      <w:r w:rsidRPr="00283424">
        <w:tab/>
        <w:t>must state the name and address of the recipient; and</w:t>
      </w:r>
    </w:p>
    <w:p w14:paraId="133B4AA8" w14:textId="77777777" w:rsidR="00E93F58" w:rsidRPr="00283424" w:rsidRDefault="00E93F58" w:rsidP="00B50726">
      <w:pPr>
        <w:pStyle w:val="paragraph"/>
      </w:pPr>
      <w:r w:rsidRPr="00283424">
        <w:tab/>
        <w:t>(d)</w:t>
      </w:r>
      <w:r w:rsidRPr="00283424">
        <w:tab/>
        <w:t>must state that it is being given by ASIC under regulation 7.8.05C; and</w:t>
      </w:r>
    </w:p>
    <w:p w14:paraId="64ABBE62" w14:textId="77777777" w:rsidR="00E93F58" w:rsidRPr="00283424" w:rsidRDefault="00E93F58" w:rsidP="00B50726">
      <w:pPr>
        <w:pStyle w:val="paragraph"/>
      </w:pPr>
      <w:r w:rsidRPr="00283424">
        <w:tab/>
        <w:t>(e)</w:t>
      </w:r>
      <w:r w:rsidRPr="00283424">
        <w:tab/>
        <w:t>must specify details of each alleged contravention of a client money reporting rule to which the infringement notice relates, including:</w:t>
      </w:r>
    </w:p>
    <w:p w14:paraId="2BB3AE03" w14:textId="77777777" w:rsidR="00E93F58" w:rsidRPr="00283424" w:rsidRDefault="00E93F58" w:rsidP="00B50726">
      <w:pPr>
        <w:pStyle w:val="paragraphsub"/>
      </w:pPr>
      <w:r w:rsidRPr="00283424">
        <w:rPr>
          <w:color w:val="000000"/>
        </w:rPr>
        <w:tab/>
        <w:t>(i)</w:t>
      </w:r>
      <w:r w:rsidRPr="00283424">
        <w:rPr>
          <w:color w:val="000000"/>
        </w:rPr>
        <w:tab/>
        <w:t>the conduct that made up each alleged contravention (</w:t>
      </w:r>
      <w:r w:rsidRPr="00283424">
        <w:rPr>
          <w:color w:val="000000"/>
          <w:shd w:val="clear" w:color="auto" w:fill="FFFFFF"/>
        </w:rPr>
        <w:t>including, to the extent known, the date on which it occurred and the place at which it occurred)</w:t>
      </w:r>
      <w:r w:rsidRPr="00283424">
        <w:rPr>
          <w:color w:val="000000"/>
        </w:rPr>
        <w:t>; and</w:t>
      </w:r>
    </w:p>
    <w:p w14:paraId="27277EF6" w14:textId="77777777" w:rsidR="00E93F58" w:rsidRPr="00283424" w:rsidRDefault="00E93F58" w:rsidP="00B50726">
      <w:pPr>
        <w:pStyle w:val="paragraphsub"/>
      </w:pPr>
      <w:r w:rsidRPr="00283424">
        <w:tab/>
        <w:t>(ii)</w:t>
      </w:r>
      <w:r w:rsidRPr="00283424">
        <w:tab/>
        <w:t>each client money reporting rule that ASIC alleges the recipient has contravened; and</w:t>
      </w:r>
    </w:p>
    <w:p w14:paraId="313E5CFD" w14:textId="77777777" w:rsidR="00E93F58" w:rsidRPr="00283424" w:rsidRDefault="00E93F58" w:rsidP="00B50726">
      <w:pPr>
        <w:pStyle w:val="paragraph"/>
      </w:pPr>
      <w:r w:rsidRPr="00283424">
        <w:rPr>
          <w:color w:val="000000"/>
        </w:rPr>
        <w:tab/>
        <w:t>(f)</w:t>
      </w:r>
      <w:r w:rsidRPr="00283424">
        <w:rPr>
          <w:color w:val="000000"/>
        </w:rPr>
        <w:tab/>
        <w:t xml:space="preserve">must, in relation to each </w:t>
      </w:r>
      <w:r w:rsidRPr="00283424">
        <w:t>client money reporting rule</w:t>
      </w:r>
      <w:r w:rsidRPr="00283424">
        <w:rPr>
          <w:color w:val="000000"/>
        </w:rPr>
        <w:t xml:space="preserve"> to which the infringement notice relates, state the maximum pecuniary penalty that a Court could order the recipient to pay for contravening the rule; and</w:t>
      </w:r>
    </w:p>
    <w:p w14:paraId="40822389" w14:textId="77777777" w:rsidR="00E93F58" w:rsidRPr="00283424" w:rsidRDefault="00E93F58" w:rsidP="00B50726">
      <w:pPr>
        <w:pStyle w:val="paragraph"/>
      </w:pPr>
      <w:r w:rsidRPr="00283424">
        <w:tab/>
        <w:t>(g)</w:t>
      </w:r>
      <w:r w:rsidRPr="00283424">
        <w:tab/>
        <w:t>must, in relation to each alleged contravention of a client money reporting rule to which the infringement notice relates:</w:t>
      </w:r>
    </w:p>
    <w:p w14:paraId="5B9A1F80" w14:textId="77777777" w:rsidR="00E93F58" w:rsidRPr="00283424" w:rsidRDefault="00E93F58" w:rsidP="00B50726">
      <w:pPr>
        <w:pStyle w:val="paragraphsub"/>
      </w:pPr>
      <w:r w:rsidRPr="00283424">
        <w:tab/>
        <w:t>(i)</w:t>
      </w:r>
      <w:r w:rsidRPr="00283424">
        <w:tab/>
        <w:t>specify the penalty (if any) payable for the alleged contravention; and</w:t>
      </w:r>
    </w:p>
    <w:p w14:paraId="42B75E72" w14:textId="77777777" w:rsidR="00E93F58" w:rsidRPr="00283424" w:rsidRDefault="00E93F58" w:rsidP="00B50726">
      <w:pPr>
        <w:pStyle w:val="paragraphsub"/>
      </w:pPr>
      <w:r w:rsidRPr="00283424">
        <w:rPr>
          <w:color w:val="000000"/>
        </w:rPr>
        <w:tab/>
        <w:t>(ii)</w:t>
      </w:r>
      <w:r w:rsidRPr="00283424">
        <w:rPr>
          <w:color w:val="000000"/>
        </w:rPr>
        <w:tab/>
        <w:t>specify the remedial measures (if any) that the recipient must undertake or institute; and</w:t>
      </w:r>
    </w:p>
    <w:p w14:paraId="0FAF194D" w14:textId="77777777" w:rsidR="00E93F58" w:rsidRPr="00283424" w:rsidRDefault="00E93F58" w:rsidP="00B50726">
      <w:pPr>
        <w:pStyle w:val="paragraphsub"/>
      </w:pPr>
      <w:r w:rsidRPr="00283424">
        <w:tab/>
        <w:t>(iii)</w:t>
      </w:r>
      <w:r w:rsidRPr="00283424">
        <w:tab/>
        <w:t>specify the sanctions (if any) that the recipient must accept; and</w:t>
      </w:r>
    </w:p>
    <w:p w14:paraId="4B6A694D" w14:textId="77777777" w:rsidR="00E93F58" w:rsidRPr="00283424" w:rsidRDefault="00E93F58" w:rsidP="00B50726">
      <w:pPr>
        <w:pStyle w:val="paragraphsub"/>
      </w:pPr>
      <w:r w:rsidRPr="00283424">
        <w:tab/>
        <w:t>(iv)</w:t>
      </w:r>
      <w:r w:rsidRPr="00283424">
        <w:tab/>
        <w:t>specify the terms of an undertaking (if any) that the recipient must give under regulation 7.8.05B; and</w:t>
      </w:r>
    </w:p>
    <w:p w14:paraId="4C569001" w14:textId="77777777" w:rsidR="00E93F58" w:rsidRPr="00283424" w:rsidRDefault="00E93F58" w:rsidP="00B50726">
      <w:pPr>
        <w:pStyle w:val="paragraph"/>
      </w:pPr>
      <w:r w:rsidRPr="00283424">
        <w:tab/>
        <w:t>(h)</w:t>
      </w:r>
      <w:r w:rsidRPr="00283424">
        <w:tab/>
        <w:t>if one or more penalties are specified in the infringement notice—must:</w:t>
      </w:r>
    </w:p>
    <w:p w14:paraId="2FDF58D2" w14:textId="77777777" w:rsidR="00E93F58" w:rsidRPr="00283424" w:rsidRDefault="00E93F58" w:rsidP="00B50726">
      <w:pPr>
        <w:pStyle w:val="paragraphsub"/>
      </w:pPr>
      <w:r w:rsidRPr="00283424">
        <w:tab/>
        <w:t>(i)</w:t>
      </w:r>
      <w:r w:rsidRPr="00283424">
        <w:tab/>
        <w:t>specify the total penalty that the recipient must pay to the Commonwealth; and</w:t>
      </w:r>
    </w:p>
    <w:p w14:paraId="265F3DB1" w14:textId="77777777" w:rsidR="00E93F58" w:rsidRPr="00283424" w:rsidRDefault="00E93F58" w:rsidP="00B50726">
      <w:pPr>
        <w:pStyle w:val="paragraphsub"/>
      </w:pPr>
      <w:r w:rsidRPr="00283424">
        <w:tab/>
        <w:t>(ii)</w:t>
      </w:r>
      <w:r w:rsidRPr="00283424">
        <w:tab/>
        <w:t>state that the penalty is payable to ASIC on behalf of the Commonwealth; and</w:t>
      </w:r>
    </w:p>
    <w:p w14:paraId="2ECE7B21" w14:textId="77777777" w:rsidR="00E93F58" w:rsidRPr="00283424" w:rsidRDefault="00E93F58" w:rsidP="00B50726">
      <w:pPr>
        <w:pStyle w:val="paragraphsub"/>
      </w:pPr>
      <w:r w:rsidRPr="00283424">
        <w:tab/>
        <w:t>(iii)</w:t>
      </w:r>
      <w:r w:rsidRPr="00283424">
        <w:tab/>
        <w:t>explain how the penalty can be paid; and</w:t>
      </w:r>
    </w:p>
    <w:p w14:paraId="425673EF" w14:textId="77777777" w:rsidR="00E93F58" w:rsidRPr="00283424" w:rsidRDefault="00E93F58" w:rsidP="00B50726">
      <w:pPr>
        <w:pStyle w:val="paragraph"/>
      </w:pPr>
      <w:r w:rsidRPr="00283424">
        <w:rPr>
          <w:color w:val="000000"/>
        </w:rPr>
        <w:tab/>
        <w:t>(i)</w:t>
      </w:r>
      <w:r w:rsidRPr="00283424">
        <w:rPr>
          <w:color w:val="000000"/>
        </w:rPr>
        <w:tab/>
        <w:t>must state that the recipient may choose not to comply with the infringement notice, but that if the recipient does not comply, civil proceedings may be brought against the recipient in relation to the alleged contravention; and</w:t>
      </w:r>
    </w:p>
    <w:p w14:paraId="09AA7497" w14:textId="77777777" w:rsidR="00E93F58" w:rsidRPr="00283424" w:rsidRDefault="00E93F58" w:rsidP="00B50726">
      <w:pPr>
        <w:pStyle w:val="paragraph"/>
        <w:rPr>
          <w:shd w:val="clear" w:color="auto" w:fill="BFBFBF"/>
        </w:rPr>
      </w:pPr>
      <w:r w:rsidRPr="00283424">
        <w:tab/>
        <w:t>(j)</w:t>
      </w:r>
      <w:r w:rsidRPr="00283424">
        <w:tab/>
        <w:t>must explain what the recipient must do to comply with the infringement notice and the effect of compliance with the infringement notice; and</w:t>
      </w:r>
    </w:p>
    <w:p w14:paraId="6B477362" w14:textId="77777777" w:rsidR="00E93F58" w:rsidRPr="00283424" w:rsidRDefault="00E93F58" w:rsidP="00B50726">
      <w:pPr>
        <w:pStyle w:val="paragraph"/>
      </w:pPr>
      <w:r w:rsidRPr="00283424">
        <w:tab/>
        <w:t>(k)</w:t>
      </w:r>
      <w:r w:rsidRPr="00283424">
        <w:tab/>
        <w:t>must state that the recipient may apply to ASIC:</w:t>
      </w:r>
    </w:p>
    <w:p w14:paraId="2F226F16" w14:textId="77777777" w:rsidR="00E93F58" w:rsidRPr="00283424" w:rsidRDefault="00E93F58" w:rsidP="00B50726">
      <w:pPr>
        <w:pStyle w:val="paragraphsub"/>
      </w:pPr>
      <w:r w:rsidRPr="00283424">
        <w:rPr>
          <w:color w:val="000000"/>
        </w:rPr>
        <w:tab/>
        <w:t>(i)</w:t>
      </w:r>
      <w:r w:rsidRPr="00283424">
        <w:rPr>
          <w:color w:val="000000"/>
        </w:rPr>
        <w:tab/>
        <w:t>for withdrawal of the notice under regulation 7.8.05L; or</w:t>
      </w:r>
    </w:p>
    <w:p w14:paraId="570C7BD4" w14:textId="77777777" w:rsidR="00E93F58" w:rsidRPr="00283424" w:rsidRDefault="00E93F58" w:rsidP="00B50726">
      <w:pPr>
        <w:pStyle w:val="paragraphsub"/>
      </w:pPr>
      <w:r w:rsidRPr="00283424">
        <w:tab/>
        <w:t>(ii)</w:t>
      </w:r>
      <w:r w:rsidRPr="00283424">
        <w:tab/>
        <w:t>for an extension of time under regulation 7.8.05J; and</w:t>
      </w:r>
    </w:p>
    <w:p w14:paraId="14F74FE1" w14:textId="77777777" w:rsidR="00E93F58" w:rsidRPr="00283424" w:rsidRDefault="00E93F58" w:rsidP="00B50726">
      <w:pPr>
        <w:pStyle w:val="paragraph"/>
      </w:pPr>
      <w:r w:rsidRPr="00283424">
        <w:rPr>
          <w:color w:val="000000"/>
        </w:rPr>
        <w:tab/>
        <w:t>(l)</w:t>
      </w:r>
      <w:r w:rsidRPr="00283424">
        <w:rPr>
          <w:color w:val="000000"/>
        </w:rPr>
        <w:tab/>
        <w:t>must state that ASIC may publish details of the infringement notice under regulation 7.8.05Q; and</w:t>
      </w:r>
    </w:p>
    <w:p w14:paraId="6EC038BC" w14:textId="77777777" w:rsidR="00E93F58" w:rsidRPr="00283424" w:rsidRDefault="00E93F58" w:rsidP="00B50726">
      <w:pPr>
        <w:pStyle w:val="paragraph"/>
      </w:pPr>
      <w:r w:rsidRPr="00283424">
        <w:tab/>
        <w:t>(m)</w:t>
      </w:r>
      <w:r w:rsidRPr="00283424">
        <w:tab/>
        <w:t>may include any other information that ASIC considers necessary.</w:t>
      </w:r>
    </w:p>
    <w:p w14:paraId="5F4D87DF" w14:textId="77777777" w:rsidR="00E93F58" w:rsidRPr="00283424" w:rsidRDefault="00E93F58" w:rsidP="00B50726">
      <w:pPr>
        <w:pStyle w:val="notetext"/>
        <w:rPr>
          <w:color w:val="000000"/>
        </w:rPr>
      </w:pPr>
      <w:r w:rsidRPr="00283424">
        <w:rPr>
          <w:color w:val="000000"/>
        </w:rPr>
        <w:t>Note:</w:t>
      </w:r>
      <w:r w:rsidRPr="00283424">
        <w:rPr>
          <w:color w:val="000000"/>
        </w:rPr>
        <w:tab/>
        <w:t>For the purposes of subparagraph (h)(i), the total penalty is the sum of the penalties payable under subparagraph (g)(i).</w:t>
      </w:r>
    </w:p>
    <w:p w14:paraId="3C624E5A" w14:textId="77777777" w:rsidR="00E93F58" w:rsidRPr="00283424" w:rsidRDefault="00E93F58" w:rsidP="00B50726">
      <w:pPr>
        <w:pStyle w:val="ActHead5"/>
      </w:pPr>
      <w:bookmarkStart w:id="1282" w:name="_Toc152054619"/>
      <w:bookmarkStart w:id="1283" w:name="_Toc158712435"/>
      <w:r w:rsidRPr="006F296E">
        <w:rPr>
          <w:rStyle w:val="CharSectno"/>
        </w:rPr>
        <w:lastRenderedPageBreak/>
        <w:t>7.8.05G</w:t>
      </w:r>
      <w:r w:rsidRPr="00283424">
        <w:t xml:space="preserve">  Amount of penalty payable to the Commonwealth</w:t>
      </w:r>
      <w:bookmarkEnd w:id="1282"/>
      <w:bookmarkEnd w:id="1283"/>
    </w:p>
    <w:p w14:paraId="2264B275" w14:textId="77777777" w:rsidR="00E93F58" w:rsidRPr="00283424" w:rsidRDefault="00E93F58" w:rsidP="00B50726">
      <w:pPr>
        <w:pStyle w:val="subsection"/>
        <w:rPr>
          <w:color w:val="000000"/>
          <w:shd w:val="clear" w:color="auto" w:fill="FFFFFF"/>
        </w:rPr>
      </w:pPr>
      <w:r w:rsidRPr="00283424">
        <w:rPr>
          <w:color w:val="000000"/>
        </w:rPr>
        <w:tab/>
        <w:t>(1)</w:t>
      </w:r>
      <w:r w:rsidRPr="00283424">
        <w:rPr>
          <w:color w:val="000000"/>
        </w:rPr>
        <w:tab/>
        <w:t xml:space="preserve">The penalty payable for an alleged contravention of a </w:t>
      </w:r>
      <w:r w:rsidRPr="00283424">
        <w:t xml:space="preserve">client money reporting rule </w:t>
      </w:r>
      <w:r w:rsidRPr="00283424">
        <w:rPr>
          <w:color w:val="000000"/>
        </w:rPr>
        <w:t xml:space="preserve">is the amount </w:t>
      </w:r>
      <w:r w:rsidRPr="00283424">
        <w:rPr>
          <w:color w:val="000000"/>
          <w:shd w:val="clear" w:color="auto" w:fill="FFFFFF"/>
        </w:rPr>
        <w:t xml:space="preserve">determined by ASIC (which may be nil), subject to </w:t>
      </w:r>
      <w:r w:rsidRPr="00283424">
        <w:rPr>
          <w:color w:val="000000"/>
        </w:rPr>
        <w:t>subsection 981N(2) of the Act</w:t>
      </w:r>
      <w:r w:rsidRPr="00283424">
        <w:rPr>
          <w:color w:val="000000"/>
          <w:shd w:val="clear" w:color="auto" w:fill="FFFFFF"/>
        </w:rPr>
        <w:t>.</w:t>
      </w:r>
    </w:p>
    <w:p w14:paraId="0C1EEB3A" w14:textId="77777777" w:rsidR="00E93F58" w:rsidRPr="00283424" w:rsidRDefault="00E93F58" w:rsidP="00B50726">
      <w:pPr>
        <w:pStyle w:val="notetext"/>
      </w:pPr>
      <w:r w:rsidRPr="00283424">
        <w:t>Note:</w:t>
      </w:r>
      <w:r w:rsidRPr="00283424">
        <w:tab/>
        <w:t>See subsection 981N(2) of the Act for the maximum penalty payable.</w:t>
      </w:r>
    </w:p>
    <w:p w14:paraId="1932D6CE" w14:textId="77777777" w:rsidR="00E93F58" w:rsidRPr="00283424" w:rsidRDefault="00E93F58" w:rsidP="00B50726">
      <w:pPr>
        <w:pStyle w:val="subsection"/>
      </w:pPr>
      <w:r w:rsidRPr="00283424">
        <w:rPr>
          <w:color w:val="000000"/>
        </w:rPr>
        <w:tab/>
        <w:t>(2)</w:t>
      </w:r>
      <w:r w:rsidRPr="00283424">
        <w:rPr>
          <w:color w:val="000000"/>
        </w:rPr>
        <w:tab/>
        <w:t>If a client money reporting infringement notice relates to more than one alleged contravention, the total penalty payable under the infringement notice is the sum of the penalties (if any) payable for the alleged contraventions.</w:t>
      </w:r>
    </w:p>
    <w:p w14:paraId="4E67624B" w14:textId="77777777" w:rsidR="00E93F58" w:rsidRPr="00283424" w:rsidRDefault="00E93F58" w:rsidP="00B50726">
      <w:pPr>
        <w:pStyle w:val="ActHead5"/>
      </w:pPr>
      <w:bookmarkStart w:id="1284" w:name="_Toc152054620"/>
      <w:bookmarkStart w:id="1285" w:name="_Toc158712436"/>
      <w:r w:rsidRPr="006F296E">
        <w:rPr>
          <w:rStyle w:val="CharSectno"/>
        </w:rPr>
        <w:t>7.8.05H</w:t>
      </w:r>
      <w:r w:rsidRPr="00283424">
        <w:t xml:space="preserve">  Compliance with </w:t>
      </w:r>
      <w:r w:rsidRPr="00283424">
        <w:rPr>
          <w:color w:val="000000"/>
        </w:rPr>
        <w:t xml:space="preserve">client money reporting </w:t>
      </w:r>
      <w:r w:rsidRPr="00283424">
        <w:t>infringement notice</w:t>
      </w:r>
      <w:bookmarkEnd w:id="1284"/>
      <w:bookmarkEnd w:id="1285"/>
    </w:p>
    <w:p w14:paraId="6F32BFB2" w14:textId="77777777" w:rsidR="00E93F58" w:rsidRPr="00283424" w:rsidRDefault="00E93F58" w:rsidP="00B50726">
      <w:pPr>
        <w:pStyle w:val="subsection"/>
      </w:pPr>
      <w:r w:rsidRPr="00283424">
        <w:tab/>
        <w:t>(1)</w:t>
      </w:r>
      <w:r w:rsidRPr="00283424">
        <w:tab/>
        <w:t xml:space="preserve">A recipient complies with a </w:t>
      </w:r>
      <w:r w:rsidRPr="00283424">
        <w:rPr>
          <w:color w:val="000000"/>
        </w:rPr>
        <w:t xml:space="preserve">client money reporting </w:t>
      </w:r>
      <w:r w:rsidRPr="00283424">
        <w:t xml:space="preserve">infringement notice if, during the </w:t>
      </w:r>
      <w:r w:rsidRPr="00283424">
        <w:rPr>
          <w:color w:val="000000"/>
        </w:rPr>
        <w:t xml:space="preserve">client money reporting infringement notice </w:t>
      </w:r>
      <w:r w:rsidRPr="00283424">
        <w:t>period, the recipient does all of the following:</w:t>
      </w:r>
    </w:p>
    <w:p w14:paraId="08F0F173" w14:textId="77777777" w:rsidR="00E93F58" w:rsidRPr="00283424" w:rsidRDefault="00E93F58" w:rsidP="00B50726">
      <w:pPr>
        <w:pStyle w:val="paragraph"/>
      </w:pPr>
      <w:r w:rsidRPr="00283424">
        <w:rPr>
          <w:color w:val="000000"/>
        </w:rPr>
        <w:tab/>
        <w:t>(a)</w:t>
      </w:r>
      <w:r w:rsidRPr="00283424">
        <w:rPr>
          <w:color w:val="000000"/>
        </w:rPr>
        <w:tab/>
        <w:t>pays the total penalty specified in the infringement notice under subparagraph 7.8.05F(h)(i) (if any);</w:t>
      </w:r>
    </w:p>
    <w:p w14:paraId="1E6B7DE7" w14:textId="77777777" w:rsidR="00E93F58" w:rsidRPr="00283424" w:rsidRDefault="00E93F58" w:rsidP="00B50726">
      <w:pPr>
        <w:pStyle w:val="paragraph"/>
      </w:pPr>
      <w:r w:rsidRPr="00283424">
        <w:tab/>
        <w:t>(b)</w:t>
      </w:r>
      <w:r w:rsidRPr="00283424">
        <w:tab/>
        <w:t>undertakes or institutes the remedial measures specified in the infringement notice under subparagraph 7</w:t>
      </w:r>
      <w:r w:rsidRPr="00283424">
        <w:rPr>
          <w:color w:val="000000"/>
        </w:rPr>
        <w:t>.8.05F</w:t>
      </w:r>
      <w:r w:rsidRPr="00283424">
        <w:t>(g)(ii) (if any);</w:t>
      </w:r>
    </w:p>
    <w:p w14:paraId="1CC9D871" w14:textId="77777777" w:rsidR="00E93F58" w:rsidRPr="00283424" w:rsidRDefault="00E93F58" w:rsidP="00B50726">
      <w:pPr>
        <w:pStyle w:val="paragraph"/>
      </w:pPr>
      <w:r w:rsidRPr="00283424">
        <w:tab/>
        <w:t>(c)</w:t>
      </w:r>
      <w:r w:rsidRPr="00283424">
        <w:tab/>
        <w:t>accepts the sanctions specified in the infringement notice under subparagraph 7</w:t>
      </w:r>
      <w:r w:rsidRPr="00283424">
        <w:rPr>
          <w:color w:val="000000"/>
        </w:rPr>
        <w:t>.8.05F</w:t>
      </w:r>
      <w:r w:rsidRPr="00283424">
        <w:t>(g)(iii) (if any);</w:t>
      </w:r>
    </w:p>
    <w:p w14:paraId="06813282" w14:textId="77777777" w:rsidR="00E93F58" w:rsidRPr="00283424" w:rsidRDefault="00E93F58" w:rsidP="00B50726">
      <w:pPr>
        <w:pStyle w:val="paragraph"/>
        <w:keepNext/>
        <w:keepLines/>
      </w:pPr>
      <w:r w:rsidRPr="00283424">
        <w:tab/>
        <w:t>(d)</w:t>
      </w:r>
      <w:r w:rsidRPr="00283424">
        <w:tab/>
        <w:t>gives an undertaking (including an undertaking to comply with the infringement notice) with the terms specified in the infringement notice under subparagraph 7.8.05F(g)(iv) (if any).</w:t>
      </w:r>
    </w:p>
    <w:p w14:paraId="257B5555" w14:textId="77777777" w:rsidR="00E93F58" w:rsidRPr="00283424" w:rsidRDefault="00E93F58" w:rsidP="00B50726">
      <w:pPr>
        <w:pStyle w:val="subsection"/>
      </w:pPr>
      <w:r w:rsidRPr="00283424">
        <w:tab/>
        <w:t>(2)</w:t>
      </w:r>
      <w:r w:rsidRPr="00283424">
        <w:tab/>
        <w:t xml:space="preserve">The </w:t>
      </w:r>
      <w:r w:rsidRPr="00283424">
        <w:rPr>
          <w:b/>
          <w:i/>
        </w:rPr>
        <w:t>client money reporting infringement notice period</w:t>
      </w:r>
      <w:r w:rsidRPr="00283424">
        <w:t xml:space="preserve"> for a client money reporting infringement notice:</w:t>
      </w:r>
    </w:p>
    <w:p w14:paraId="078568E3" w14:textId="77777777" w:rsidR="00E93F58" w:rsidRPr="00283424" w:rsidRDefault="00E93F58" w:rsidP="00B50726">
      <w:pPr>
        <w:pStyle w:val="paragraph"/>
      </w:pPr>
      <w:r w:rsidRPr="00283424">
        <w:rPr>
          <w:color w:val="000000"/>
        </w:rPr>
        <w:tab/>
        <w:t>(a)</w:t>
      </w:r>
      <w:r w:rsidRPr="00283424">
        <w:rPr>
          <w:color w:val="000000"/>
        </w:rPr>
        <w:tab/>
        <w:t>starts on the day on which the infringement notice is given to the recipient; and</w:t>
      </w:r>
    </w:p>
    <w:p w14:paraId="24157920" w14:textId="77777777" w:rsidR="00E93F58" w:rsidRPr="00283424" w:rsidRDefault="00E93F58" w:rsidP="00B50726">
      <w:pPr>
        <w:pStyle w:val="paragraph"/>
      </w:pPr>
      <w:r w:rsidRPr="00283424">
        <w:tab/>
        <w:t>(b)</w:t>
      </w:r>
      <w:r w:rsidRPr="00283424">
        <w:tab/>
        <w:t>ends:</w:t>
      </w:r>
    </w:p>
    <w:p w14:paraId="66D47DFD" w14:textId="77777777" w:rsidR="00E93F58" w:rsidRPr="00283424" w:rsidRDefault="00E93F58" w:rsidP="00B50726">
      <w:pPr>
        <w:pStyle w:val="paragraphsub"/>
      </w:pPr>
      <w:r w:rsidRPr="00283424">
        <w:rPr>
          <w:color w:val="000000"/>
        </w:rPr>
        <w:tab/>
        <w:t>(i)</w:t>
      </w:r>
      <w:r w:rsidRPr="00283424">
        <w:rPr>
          <w:color w:val="000000"/>
        </w:rPr>
        <w:tab/>
        <w:t>27 days after the day on which the infringement notice is given to the recipient; or</w:t>
      </w:r>
    </w:p>
    <w:p w14:paraId="00F24A0D" w14:textId="77777777" w:rsidR="00E93F58" w:rsidRPr="00283424" w:rsidRDefault="00E93F58" w:rsidP="00B50726">
      <w:pPr>
        <w:pStyle w:val="paragraphsub"/>
      </w:pPr>
      <w:r w:rsidRPr="00283424">
        <w:tab/>
        <w:t>(ii)</w:t>
      </w:r>
      <w:r w:rsidRPr="00283424">
        <w:tab/>
        <w:t>on another day permitted by this regulation.</w:t>
      </w:r>
    </w:p>
    <w:p w14:paraId="6A0F80DA" w14:textId="77777777" w:rsidR="00E93F58" w:rsidRPr="00283424" w:rsidRDefault="00E93F58" w:rsidP="00B50726">
      <w:pPr>
        <w:pStyle w:val="subsection"/>
      </w:pPr>
      <w:r w:rsidRPr="00283424">
        <w:rPr>
          <w:color w:val="000000"/>
        </w:rPr>
        <w:tab/>
        <w:t>(3)</w:t>
      </w:r>
      <w:r w:rsidRPr="00283424">
        <w:rPr>
          <w:color w:val="000000"/>
        </w:rPr>
        <w:tab/>
        <w:t xml:space="preserve">If the recipient applies for a further period of time in which to comply with the </w:t>
      </w:r>
      <w:r w:rsidRPr="00283424">
        <w:t xml:space="preserve">client money reporting </w:t>
      </w:r>
      <w:r w:rsidRPr="00283424">
        <w:rPr>
          <w:color w:val="000000"/>
        </w:rPr>
        <w:t>infringement notice, and the application is granted, the client money reporting infringement notice period ends at the end of the further period allowed.</w:t>
      </w:r>
    </w:p>
    <w:p w14:paraId="6FCF2ADF" w14:textId="77777777" w:rsidR="00E93F58" w:rsidRPr="00283424" w:rsidRDefault="00E93F58" w:rsidP="00B50726">
      <w:pPr>
        <w:pStyle w:val="subsection"/>
      </w:pPr>
      <w:r w:rsidRPr="00283424">
        <w:tab/>
        <w:t>(4)</w:t>
      </w:r>
      <w:r w:rsidRPr="00283424">
        <w:tab/>
        <w:t xml:space="preserve">If the recipient applies for a further period of time in which to comply with the </w:t>
      </w:r>
      <w:r w:rsidRPr="00283424">
        <w:rPr>
          <w:color w:val="000000"/>
        </w:rPr>
        <w:t xml:space="preserve">client money reporting </w:t>
      </w:r>
      <w:r w:rsidRPr="00283424">
        <w:t xml:space="preserve">infringement notice, and the application is refused, the </w:t>
      </w:r>
      <w:r w:rsidRPr="00283424">
        <w:rPr>
          <w:color w:val="000000"/>
        </w:rPr>
        <w:t xml:space="preserve">client money reporting infringement notice </w:t>
      </w:r>
      <w:r w:rsidRPr="00283424">
        <w:t>period ends on the later of:</w:t>
      </w:r>
    </w:p>
    <w:p w14:paraId="79ACA618" w14:textId="77777777" w:rsidR="00E93F58" w:rsidRPr="00283424" w:rsidRDefault="00E93F58" w:rsidP="00B50726">
      <w:pPr>
        <w:pStyle w:val="paragraph"/>
      </w:pPr>
      <w:r w:rsidRPr="00283424">
        <w:rPr>
          <w:color w:val="000000"/>
        </w:rPr>
        <w:tab/>
        <w:t>(a)</w:t>
      </w:r>
      <w:r w:rsidRPr="00283424">
        <w:rPr>
          <w:color w:val="000000"/>
        </w:rPr>
        <w:tab/>
        <w:t>28 days after the day on which the infringement notice was given to the recipient; and</w:t>
      </w:r>
    </w:p>
    <w:p w14:paraId="6F6CD4F0" w14:textId="77777777" w:rsidR="00E93F58" w:rsidRPr="00283424" w:rsidRDefault="00E93F58" w:rsidP="00B50726">
      <w:pPr>
        <w:pStyle w:val="paragraph"/>
      </w:pPr>
      <w:r w:rsidRPr="00283424">
        <w:tab/>
        <w:t>(b)</w:t>
      </w:r>
      <w:r w:rsidRPr="00283424">
        <w:tab/>
        <w:t>7 days after the notice of refusal is given to the recipient.</w:t>
      </w:r>
    </w:p>
    <w:p w14:paraId="3D31DC85" w14:textId="77777777" w:rsidR="00E93F58" w:rsidRPr="00283424" w:rsidRDefault="00E93F58" w:rsidP="00B50726">
      <w:pPr>
        <w:pStyle w:val="subsection"/>
        <w:rPr>
          <w:color w:val="000000"/>
        </w:rPr>
      </w:pPr>
      <w:r w:rsidRPr="00283424">
        <w:rPr>
          <w:color w:val="000000"/>
        </w:rPr>
        <w:tab/>
        <w:t>(5)</w:t>
      </w:r>
      <w:r w:rsidRPr="00283424">
        <w:rPr>
          <w:color w:val="000000"/>
        </w:rPr>
        <w:tab/>
        <w:t>If the recipient applies for the client money reporting infringement notice to be withdrawn, and the application is refused, the client money reporting infringement notice period ends 28 days after the notice of refusal is given to the recipient.</w:t>
      </w:r>
    </w:p>
    <w:p w14:paraId="3CE5B25C" w14:textId="77777777" w:rsidR="00E93F58" w:rsidRPr="00283424" w:rsidRDefault="00E93F58" w:rsidP="00B50726">
      <w:pPr>
        <w:pStyle w:val="ActHead5"/>
      </w:pPr>
      <w:bookmarkStart w:id="1286" w:name="_Toc152054621"/>
      <w:bookmarkStart w:id="1287" w:name="_Toc158712437"/>
      <w:r w:rsidRPr="006F296E">
        <w:rPr>
          <w:rStyle w:val="CharSectno"/>
        </w:rPr>
        <w:t>7.8.05J</w:t>
      </w:r>
      <w:r w:rsidRPr="00283424">
        <w:t xml:space="preserve">  Extension of </w:t>
      </w:r>
      <w:r w:rsidRPr="00283424">
        <w:rPr>
          <w:color w:val="000000"/>
        </w:rPr>
        <w:t xml:space="preserve">client money reporting </w:t>
      </w:r>
      <w:r w:rsidRPr="00283424">
        <w:t>infringement notice period</w:t>
      </w:r>
      <w:bookmarkEnd w:id="1286"/>
      <w:bookmarkEnd w:id="1287"/>
    </w:p>
    <w:p w14:paraId="52F8374E" w14:textId="77777777" w:rsidR="00E93F58" w:rsidRPr="00283424" w:rsidRDefault="00E93F58" w:rsidP="00B50726">
      <w:pPr>
        <w:pStyle w:val="subsection"/>
      </w:pPr>
      <w:r w:rsidRPr="00283424">
        <w:rPr>
          <w:color w:val="000000"/>
        </w:rPr>
        <w:tab/>
        <w:t>(1)</w:t>
      </w:r>
      <w:r w:rsidRPr="00283424">
        <w:rPr>
          <w:color w:val="000000"/>
        </w:rPr>
        <w:tab/>
        <w:t>During the client money reporting infringement notice period, a recipient may apply, in writing, to ASIC for a further period of no more than 28 days in which to comply with the client money reporting infringement notice.</w:t>
      </w:r>
    </w:p>
    <w:p w14:paraId="176E9AE8" w14:textId="77777777" w:rsidR="00E93F58" w:rsidRPr="00283424" w:rsidRDefault="00E93F58" w:rsidP="00B50726">
      <w:pPr>
        <w:pStyle w:val="subsection"/>
      </w:pPr>
      <w:r w:rsidRPr="00283424">
        <w:tab/>
        <w:t>(2)</w:t>
      </w:r>
      <w:r w:rsidRPr="00283424">
        <w:tab/>
        <w:t>The application must:</w:t>
      </w:r>
    </w:p>
    <w:p w14:paraId="09397B85" w14:textId="77777777" w:rsidR="00E93F58" w:rsidRPr="00283424" w:rsidRDefault="00E93F58" w:rsidP="00B50726">
      <w:pPr>
        <w:pStyle w:val="paragraph"/>
      </w:pPr>
      <w:r w:rsidRPr="00283424">
        <w:rPr>
          <w:color w:val="000000"/>
        </w:rPr>
        <w:tab/>
        <w:t>(a)</w:t>
      </w:r>
      <w:r w:rsidRPr="00283424">
        <w:rPr>
          <w:color w:val="000000"/>
        </w:rPr>
        <w:tab/>
        <w:t>specify the client money reporting infringement notice’s unique identification code; and</w:t>
      </w:r>
    </w:p>
    <w:p w14:paraId="7D444A7F" w14:textId="77777777" w:rsidR="00E93F58" w:rsidRPr="00283424" w:rsidRDefault="00E93F58" w:rsidP="00B50726">
      <w:pPr>
        <w:pStyle w:val="paragraph"/>
      </w:pPr>
      <w:r w:rsidRPr="00283424">
        <w:tab/>
        <w:t>(b)</w:t>
      </w:r>
      <w:r w:rsidRPr="00283424">
        <w:tab/>
        <w:t>set out the reasons for the application.</w:t>
      </w:r>
    </w:p>
    <w:p w14:paraId="3FEAD848" w14:textId="77777777" w:rsidR="00E93F58" w:rsidRPr="00283424" w:rsidRDefault="00E93F58" w:rsidP="00B50726">
      <w:pPr>
        <w:pStyle w:val="subsection"/>
      </w:pPr>
      <w:r w:rsidRPr="00283424">
        <w:tab/>
        <w:t>(3)</w:t>
      </w:r>
      <w:r w:rsidRPr="00283424">
        <w:tab/>
        <w:t>Within 14 days after receiving the application, ASIC must:</w:t>
      </w:r>
    </w:p>
    <w:p w14:paraId="2F781C99" w14:textId="77777777" w:rsidR="00E93F58" w:rsidRPr="00283424" w:rsidRDefault="00E93F58" w:rsidP="00B50726">
      <w:pPr>
        <w:pStyle w:val="paragraph"/>
      </w:pPr>
      <w:r w:rsidRPr="00283424">
        <w:rPr>
          <w:color w:val="000000"/>
        </w:rPr>
        <w:tab/>
        <w:t>(a)</w:t>
      </w:r>
      <w:r w:rsidRPr="00283424">
        <w:rPr>
          <w:color w:val="000000"/>
        </w:rPr>
        <w:tab/>
        <w:t>grant or refuse a further period no longer than the period sought (and no longer than 28 days); and</w:t>
      </w:r>
    </w:p>
    <w:p w14:paraId="2DEDD646" w14:textId="77777777" w:rsidR="00E93F58" w:rsidRPr="00283424" w:rsidRDefault="00E93F58" w:rsidP="00B50726">
      <w:pPr>
        <w:pStyle w:val="paragraph"/>
      </w:pPr>
      <w:r w:rsidRPr="00283424">
        <w:tab/>
        <w:t>(b)</w:t>
      </w:r>
      <w:r w:rsidRPr="00283424">
        <w:tab/>
        <w:t>notify the recipient in writing of the decision and, if the decision is a refusal, the reasons for the decision.</w:t>
      </w:r>
    </w:p>
    <w:p w14:paraId="18421A37" w14:textId="77777777" w:rsidR="00E93F58" w:rsidRPr="00283424" w:rsidRDefault="00E93F58" w:rsidP="00B50726">
      <w:pPr>
        <w:pStyle w:val="subsection"/>
      </w:pPr>
      <w:r w:rsidRPr="00283424">
        <w:rPr>
          <w:color w:val="000000"/>
        </w:rPr>
        <w:tab/>
        <w:t>(4)</w:t>
      </w:r>
      <w:r w:rsidRPr="00283424">
        <w:rPr>
          <w:color w:val="000000"/>
        </w:rPr>
        <w:tab/>
        <w:t>If ASIC refuses a further period under paragraph (3)(a), the recipient may not make a further application under subregulation (1) in relation to that client money reporting infringement notice.</w:t>
      </w:r>
    </w:p>
    <w:p w14:paraId="3AF48134" w14:textId="77777777" w:rsidR="00E93F58" w:rsidRPr="00283424" w:rsidRDefault="00E93F58" w:rsidP="00B50726">
      <w:pPr>
        <w:pStyle w:val="subsection"/>
      </w:pPr>
      <w:r w:rsidRPr="00283424">
        <w:tab/>
        <w:t>(5)</w:t>
      </w:r>
      <w:r w:rsidRPr="00283424">
        <w:tab/>
        <w:t>If ASIC does not grant or refuse a further period under paragraph (3)(a) within 14 days after receiving the application, ASIC is taken to have refused a further period.</w:t>
      </w:r>
    </w:p>
    <w:p w14:paraId="510D7DD5" w14:textId="77777777" w:rsidR="00E93F58" w:rsidRPr="00283424" w:rsidRDefault="00E93F58" w:rsidP="00B50726">
      <w:pPr>
        <w:pStyle w:val="ActHead5"/>
      </w:pPr>
      <w:bookmarkStart w:id="1288" w:name="_Toc152054622"/>
      <w:bookmarkStart w:id="1289" w:name="_Toc158712438"/>
      <w:r w:rsidRPr="006F296E">
        <w:rPr>
          <w:rStyle w:val="CharSectno"/>
        </w:rPr>
        <w:lastRenderedPageBreak/>
        <w:t>7.8.05K</w:t>
      </w:r>
      <w:r w:rsidRPr="00283424">
        <w:t xml:space="preserve">  Effect of compliance with </w:t>
      </w:r>
      <w:r w:rsidRPr="00283424">
        <w:rPr>
          <w:color w:val="000000"/>
        </w:rPr>
        <w:t xml:space="preserve">client money reporting </w:t>
      </w:r>
      <w:r w:rsidRPr="00283424">
        <w:t>infringement notice</w:t>
      </w:r>
      <w:bookmarkEnd w:id="1288"/>
      <w:bookmarkEnd w:id="1289"/>
    </w:p>
    <w:p w14:paraId="0DA13B55" w14:textId="77777777" w:rsidR="00E93F58" w:rsidRPr="00283424" w:rsidRDefault="00E93F58" w:rsidP="00B50726">
      <w:pPr>
        <w:pStyle w:val="subsection"/>
      </w:pPr>
      <w:r w:rsidRPr="00283424">
        <w:tab/>
        <w:t>(1)</w:t>
      </w:r>
      <w:r w:rsidRPr="00283424">
        <w:tab/>
        <w:t>Subject to subregulation (3), if:</w:t>
      </w:r>
    </w:p>
    <w:p w14:paraId="7D6DF561" w14:textId="77777777" w:rsidR="00E93F58" w:rsidRPr="00283424" w:rsidRDefault="00E93F58" w:rsidP="00B50726">
      <w:pPr>
        <w:pStyle w:val="paragraph"/>
      </w:pPr>
      <w:r w:rsidRPr="00283424">
        <w:rPr>
          <w:color w:val="000000"/>
        </w:rPr>
        <w:tab/>
        <w:t>(a)</w:t>
      </w:r>
      <w:r w:rsidRPr="00283424">
        <w:rPr>
          <w:color w:val="000000"/>
        </w:rPr>
        <w:tab/>
        <w:t>a client money reporting infringement notice is given to a recipient in relation to an alleged contravention of a client money reporting rule; and</w:t>
      </w:r>
    </w:p>
    <w:p w14:paraId="7E6B91B5" w14:textId="77777777" w:rsidR="00E93F58" w:rsidRPr="00283424" w:rsidRDefault="00E93F58" w:rsidP="00B50726">
      <w:pPr>
        <w:pStyle w:val="paragraph"/>
      </w:pPr>
      <w:r w:rsidRPr="00283424">
        <w:tab/>
        <w:t>(b)</w:t>
      </w:r>
      <w:r w:rsidRPr="00283424">
        <w:tab/>
        <w:t>the infringement notice is not withdrawn; and</w:t>
      </w:r>
    </w:p>
    <w:p w14:paraId="7FC1B62D" w14:textId="77777777" w:rsidR="00E93F58" w:rsidRPr="00283424" w:rsidRDefault="00E93F58" w:rsidP="00B50726">
      <w:pPr>
        <w:pStyle w:val="paragraph"/>
      </w:pPr>
      <w:r w:rsidRPr="00283424">
        <w:tab/>
        <w:t>(c)</w:t>
      </w:r>
      <w:r w:rsidRPr="00283424">
        <w:tab/>
        <w:t>the recipient complies with the infringement notice;</w:t>
      </w:r>
    </w:p>
    <w:p w14:paraId="4576CC11" w14:textId="77777777" w:rsidR="00E93F58" w:rsidRPr="00283424" w:rsidRDefault="00E93F58" w:rsidP="00B50726">
      <w:pPr>
        <w:pStyle w:val="subsection2"/>
      </w:pPr>
      <w:r w:rsidRPr="00283424">
        <w:rPr>
          <w:color w:val="000000"/>
        </w:rPr>
        <w:t>the effects in subregulation (2) apply.</w:t>
      </w:r>
    </w:p>
    <w:p w14:paraId="797F7B6B" w14:textId="77777777" w:rsidR="00E93F58" w:rsidRPr="00283424" w:rsidRDefault="00E93F58" w:rsidP="00B50726">
      <w:pPr>
        <w:pStyle w:val="subsection"/>
      </w:pPr>
      <w:r w:rsidRPr="00283424">
        <w:tab/>
        <w:t>(2)</w:t>
      </w:r>
      <w:r w:rsidRPr="00283424">
        <w:tab/>
        <w:t>The effects are:</w:t>
      </w:r>
    </w:p>
    <w:p w14:paraId="2AAEB082" w14:textId="77777777" w:rsidR="00E93F58" w:rsidRPr="00283424" w:rsidRDefault="00E93F58" w:rsidP="00B50726">
      <w:pPr>
        <w:pStyle w:val="paragraph"/>
      </w:pPr>
      <w:r w:rsidRPr="00283424">
        <w:rPr>
          <w:color w:val="000000"/>
          <w:shd w:val="clear" w:color="auto" w:fill="FFFFFF"/>
        </w:rPr>
        <w:tab/>
        <w:t>(a)</w:t>
      </w:r>
      <w:r w:rsidRPr="00283424">
        <w:rPr>
          <w:color w:val="000000"/>
          <w:shd w:val="clear" w:color="auto" w:fill="FFFFFF"/>
        </w:rPr>
        <w:tab/>
        <w:t xml:space="preserve">any liability of the recipient to the Commonwealth for the alleged contravention of the client money reporting rule is discharged; </w:t>
      </w:r>
      <w:r w:rsidRPr="00283424">
        <w:rPr>
          <w:color w:val="000000"/>
        </w:rPr>
        <w:t>and</w:t>
      </w:r>
    </w:p>
    <w:p w14:paraId="0AB62FCA" w14:textId="77777777" w:rsidR="00E93F58" w:rsidRPr="00283424" w:rsidRDefault="00E93F58" w:rsidP="00B50726">
      <w:pPr>
        <w:pStyle w:val="paragraph"/>
      </w:pPr>
      <w:r w:rsidRPr="00283424">
        <w:tab/>
        <w:t>(b)</w:t>
      </w:r>
      <w:r w:rsidRPr="00283424">
        <w:tab/>
        <w:t xml:space="preserve">no civil or criminal proceedings may be brought or continued by the Commonwealth against the recipient for the conduct specified in the </w:t>
      </w:r>
      <w:r w:rsidRPr="00283424">
        <w:rPr>
          <w:color w:val="000000"/>
        </w:rPr>
        <w:t xml:space="preserve">client money reporting </w:t>
      </w:r>
      <w:r w:rsidRPr="00283424">
        <w:t xml:space="preserve">infringement notice as being the conduct that </w:t>
      </w:r>
      <w:r w:rsidRPr="00283424">
        <w:rPr>
          <w:shd w:val="clear" w:color="auto" w:fill="FFFFFF"/>
        </w:rPr>
        <w:t>made up</w:t>
      </w:r>
      <w:r w:rsidRPr="00283424">
        <w:t xml:space="preserve"> the alleged contravention of the client money reporting rule or rules; and</w:t>
      </w:r>
    </w:p>
    <w:p w14:paraId="0A541394" w14:textId="77777777" w:rsidR="00E93F58" w:rsidRPr="00283424" w:rsidRDefault="00E93F58" w:rsidP="00B50726">
      <w:pPr>
        <w:pStyle w:val="paragraph"/>
      </w:pPr>
      <w:r w:rsidRPr="00283424">
        <w:tab/>
        <w:t>(c)</w:t>
      </w:r>
      <w:r w:rsidRPr="00283424">
        <w:tab/>
        <w:t xml:space="preserve">no administrative action may be taken by ASIC under section 914A, 915B, 915C or 920A of the Act against the recipient for the conduct specified in the infringement notice as being the conduct that </w:t>
      </w:r>
      <w:r w:rsidRPr="00283424">
        <w:rPr>
          <w:shd w:val="clear" w:color="auto" w:fill="FFFFFF"/>
        </w:rPr>
        <w:t>made up</w:t>
      </w:r>
      <w:r w:rsidRPr="00283424">
        <w:t xml:space="preserve"> the alleged contravention of the </w:t>
      </w:r>
      <w:r w:rsidRPr="00283424">
        <w:rPr>
          <w:color w:val="000000"/>
          <w:shd w:val="clear" w:color="auto" w:fill="FFFFFF"/>
        </w:rPr>
        <w:t>client money reporting rule</w:t>
      </w:r>
      <w:r w:rsidRPr="00283424">
        <w:t>; and</w:t>
      </w:r>
    </w:p>
    <w:p w14:paraId="567FDB46" w14:textId="77777777" w:rsidR="00E93F58" w:rsidRPr="00283424" w:rsidRDefault="00E93F58" w:rsidP="00B50726">
      <w:pPr>
        <w:pStyle w:val="paragraph"/>
      </w:pPr>
      <w:r w:rsidRPr="00283424">
        <w:tab/>
        <w:t>(d)</w:t>
      </w:r>
      <w:r w:rsidRPr="00283424">
        <w:tab/>
        <w:t>the recipient is not taken to have admitted guilt or liability in relation to the alleged contravention; and</w:t>
      </w:r>
    </w:p>
    <w:p w14:paraId="020BE35A" w14:textId="77777777" w:rsidR="00E93F58" w:rsidRPr="00283424" w:rsidRDefault="00E93F58" w:rsidP="00B50726">
      <w:pPr>
        <w:pStyle w:val="paragraph"/>
      </w:pPr>
      <w:r w:rsidRPr="00283424">
        <w:rPr>
          <w:color w:val="000000"/>
        </w:rPr>
        <w:tab/>
        <w:t>(e)</w:t>
      </w:r>
      <w:r w:rsidRPr="00283424">
        <w:rPr>
          <w:color w:val="000000"/>
        </w:rPr>
        <w:tab/>
        <w:t>the recipient is not taken to have contravened the client money reporting rule.</w:t>
      </w:r>
    </w:p>
    <w:p w14:paraId="1D1D9BC9" w14:textId="77777777" w:rsidR="00E93F58" w:rsidRPr="00283424" w:rsidRDefault="00E93F58" w:rsidP="00B50726">
      <w:pPr>
        <w:pStyle w:val="notetext"/>
        <w:rPr>
          <w:color w:val="000000"/>
        </w:rPr>
      </w:pPr>
      <w:r w:rsidRPr="00283424">
        <w:rPr>
          <w:color w:val="000000"/>
        </w:rPr>
        <w:t>Note:</w:t>
      </w:r>
      <w:r w:rsidRPr="00283424">
        <w:rPr>
          <w:color w:val="000000"/>
        </w:rPr>
        <w:tab/>
        <w:t>Third parties are not prevented from commencing civil proceedings against the recipient, including under section 1101B of the Act. ASIC is not prevented from applying for an order on behalf of a plaintiff in accordance with the Act.</w:t>
      </w:r>
    </w:p>
    <w:p w14:paraId="13EE2852" w14:textId="77777777" w:rsidR="00E93F58" w:rsidRPr="00283424" w:rsidRDefault="00E93F58" w:rsidP="00B50726">
      <w:pPr>
        <w:pStyle w:val="subsection"/>
      </w:pPr>
      <w:r w:rsidRPr="00283424">
        <w:tab/>
        <w:t>(3)</w:t>
      </w:r>
      <w:r w:rsidRPr="00283424">
        <w:tab/>
        <w:t>Subregulation (2) does not apply if the recipient has knowingly:</w:t>
      </w:r>
    </w:p>
    <w:p w14:paraId="328D820B" w14:textId="77777777" w:rsidR="00E93F58" w:rsidRPr="00283424" w:rsidRDefault="00E93F58" w:rsidP="00B50726">
      <w:pPr>
        <w:pStyle w:val="paragraph"/>
      </w:pPr>
      <w:r w:rsidRPr="00283424">
        <w:rPr>
          <w:color w:val="000000"/>
        </w:rPr>
        <w:tab/>
        <w:t>(a)</w:t>
      </w:r>
      <w:r w:rsidRPr="00283424">
        <w:rPr>
          <w:color w:val="000000"/>
        </w:rPr>
        <w:tab/>
        <w:t>provided false or misleading information to ASIC; or</w:t>
      </w:r>
    </w:p>
    <w:p w14:paraId="79C2B8EF" w14:textId="77777777" w:rsidR="00E93F58" w:rsidRPr="00283424" w:rsidRDefault="00E93F58" w:rsidP="00B50726">
      <w:pPr>
        <w:pStyle w:val="paragraph"/>
      </w:pPr>
      <w:r w:rsidRPr="00283424">
        <w:tab/>
        <w:t>(b)</w:t>
      </w:r>
      <w:r w:rsidRPr="00283424">
        <w:tab/>
        <w:t>withheld evidence or information from ASIC;</w:t>
      </w:r>
    </w:p>
    <w:p w14:paraId="3E3D99F7" w14:textId="77777777" w:rsidR="00E93F58" w:rsidRPr="00283424" w:rsidRDefault="00E93F58" w:rsidP="00B50726">
      <w:pPr>
        <w:pStyle w:val="subsection2"/>
        <w:rPr>
          <w:color w:val="000000"/>
        </w:rPr>
      </w:pPr>
      <w:r w:rsidRPr="00283424">
        <w:rPr>
          <w:color w:val="000000"/>
        </w:rPr>
        <w:t>in relation to the alleged contravention of the client money reporting rule.</w:t>
      </w:r>
    </w:p>
    <w:p w14:paraId="5C487D5C" w14:textId="77777777" w:rsidR="00E93F58" w:rsidRPr="00283424" w:rsidRDefault="00E93F58" w:rsidP="00B50726">
      <w:pPr>
        <w:pStyle w:val="ActHead5"/>
      </w:pPr>
      <w:bookmarkStart w:id="1290" w:name="_Toc152054623"/>
      <w:bookmarkStart w:id="1291" w:name="_Toc158712439"/>
      <w:r w:rsidRPr="006F296E">
        <w:rPr>
          <w:rStyle w:val="CharSectno"/>
        </w:rPr>
        <w:t>7.8.05L</w:t>
      </w:r>
      <w:r w:rsidRPr="00283424">
        <w:t xml:space="preserve">  Application to withdraw </w:t>
      </w:r>
      <w:r w:rsidRPr="00283424">
        <w:rPr>
          <w:color w:val="000000"/>
        </w:rPr>
        <w:t xml:space="preserve">client money reporting </w:t>
      </w:r>
      <w:r w:rsidRPr="00283424">
        <w:t>infringement notice</w:t>
      </w:r>
      <w:bookmarkEnd w:id="1290"/>
      <w:bookmarkEnd w:id="1291"/>
    </w:p>
    <w:p w14:paraId="63FE0A16" w14:textId="77777777" w:rsidR="00E93F58" w:rsidRPr="00283424" w:rsidRDefault="00E93F58" w:rsidP="00B50726">
      <w:pPr>
        <w:pStyle w:val="subsection"/>
      </w:pPr>
      <w:r w:rsidRPr="00283424">
        <w:rPr>
          <w:color w:val="000000"/>
        </w:rPr>
        <w:tab/>
        <w:t>(1)</w:t>
      </w:r>
      <w:r w:rsidRPr="00283424">
        <w:rPr>
          <w:color w:val="000000"/>
        </w:rPr>
        <w:tab/>
        <w:t>During the client money reporting infringement notice period, a recipient of a client money reporting infringement notice may apply, in writing, to ASIC for the infringement notice to be withdrawn.</w:t>
      </w:r>
    </w:p>
    <w:p w14:paraId="23D5DBC4" w14:textId="77777777" w:rsidR="00E93F58" w:rsidRPr="00283424" w:rsidRDefault="00E93F58" w:rsidP="00B50726">
      <w:pPr>
        <w:pStyle w:val="subsection"/>
      </w:pPr>
      <w:r w:rsidRPr="00283424">
        <w:tab/>
        <w:t>(2)</w:t>
      </w:r>
      <w:r w:rsidRPr="00283424">
        <w:tab/>
        <w:t>The application must:</w:t>
      </w:r>
    </w:p>
    <w:p w14:paraId="5E5CA5A6" w14:textId="77777777" w:rsidR="00E93F58" w:rsidRPr="00283424" w:rsidRDefault="00E93F58" w:rsidP="00B50726">
      <w:pPr>
        <w:pStyle w:val="paragraph"/>
      </w:pPr>
      <w:r w:rsidRPr="00283424">
        <w:rPr>
          <w:color w:val="000000"/>
        </w:rPr>
        <w:tab/>
        <w:t>(a)</w:t>
      </w:r>
      <w:r w:rsidRPr="00283424">
        <w:rPr>
          <w:color w:val="000000"/>
        </w:rPr>
        <w:tab/>
        <w:t>specify the client money reporting infringement notice’s unique identification code; and</w:t>
      </w:r>
    </w:p>
    <w:p w14:paraId="234BBB08" w14:textId="77777777" w:rsidR="00E93F58" w:rsidRPr="00283424" w:rsidRDefault="00E93F58" w:rsidP="00B50726">
      <w:pPr>
        <w:pStyle w:val="paragraph"/>
      </w:pPr>
      <w:r w:rsidRPr="00283424">
        <w:tab/>
        <w:t>(b)</w:t>
      </w:r>
      <w:r w:rsidRPr="00283424">
        <w:tab/>
        <w:t>set out the reasons for the application.</w:t>
      </w:r>
    </w:p>
    <w:p w14:paraId="2B52E0B3" w14:textId="77777777" w:rsidR="00E93F58" w:rsidRPr="00283424" w:rsidRDefault="00E93F58" w:rsidP="00B50726">
      <w:pPr>
        <w:pStyle w:val="subsection"/>
      </w:pPr>
      <w:r w:rsidRPr="00283424">
        <w:tab/>
        <w:t>(3)</w:t>
      </w:r>
      <w:r w:rsidRPr="00283424">
        <w:tab/>
        <w:t>Within 14 days after receiving the application, ASIC must:</w:t>
      </w:r>
    </w:p>
    <w:p w14:paraId="2582EEBF" w14:textId="77777777" w:rsidR="00E93F58" w:rsidRPr="00283424" w:rsidRDefault="00E93F58" w:rsidP="00B50726">
      <w:pPr>
        <w:pStyle w:val="paragraph"/>
      </w:pPr>
      <w:r w:rsidRPr="00283424">
        <w:rPr>
          <w:color w:val="000000"/>
        </w:rPr>
        <w:tab/>
        <w:t>(a)</w:t>
      </w:r>
      <w:r w:rsidRPr="00283424">
        <w:rPr>
          <w:color w:val="000000"/>
        </w:rPr>
        <w:tab/>
        <w:t>withdraw or refuse to withdraw the client money reporting infringement notice; and</w:t>
      </w:r>
    </w:p>
    <w:p w14:paraId="2B0DE650" w14:textId="77777777" w:rsidR="00E93F58" w:rsidRPr="00283424" w:rsidRDefault="00E93F58" w:rsidP="00B50726">
      <w:pPr>
        <w:pStyle w:val="paragraph"/>
      </w:pPr>
      <w:r w:rsidRPr="00283424">
        <w:tab/>
        <w:t>(b)</w:t>
      </w:r>
      <w:r w:rsidRPr="00283424">
        <w:tab/>
        <w:t>notify the recipient in writing of the decision and, if the decision is a refusal, the reasons for the decision.</w:t>
      </w:r>
    </w:p>
    <w:p w14:paraId="4F494522" w14:textId="77777777" w:rsidR="00E93F58" w:rsidRPr="00283424" w:rsidRDefault="00E93F58" w:rsidP="00B50726">
      <w:pPr>
        <w:pStyle w:val="subsection"/>
      </w:pPr>
      <w:r w:rsidRPr="00283424">
        <w:tab/>
        <w:t>(4)</w:t>
      </w:r>
      <w:r w:rsidRPr="00283424">
        <w:tab/>
        <w:t xml:space="preserve">In deciding whether to withdraw the </w:t>
      </w:r>
      <w:r w:rsidRPr="00283424">
        <w:rPr>
          <w:color w:val="000000"/>
        </w:rPr>
        <w:t xml:space="preserve">client money reporting </w:t>
      </w:r>
      <w:r w:rsidRPr="00283424">
        <w:t>infringement notice, ASIC may take the following matters into account:</w:t>
      </w:r>
    </w:p>
    <w:p w14:paraId="48EDFA6C" w14:textId="77777777" w:rsidR="00E93F58" w:rsidRPr="00283424" w:rsidRDefault="00E93F58" w:rsidP="00B50726">
      <w:pPr>
        <w:pStyle w:val="paragraph"/>
        <w:rPr>
          <w:color w:val="000000"/>
        </w:rPr>
      </w:pPr>
      <w:r w:rsidRPr="00283424">
        <w:rPr>
          <w:color w:val="000000"/>
        </w:rPr>
        <w:tab/>
        <w:t>(a)</w:t>
      </w:r>
      <w:r w:rsidRPr="00283424">
        <w:rPr>
          <w:color w:val="000000"/>
        </w:rPr>
        <w:tab/>
        <w:t>whether the recipient has previously been found to have contravened subsection 981M(1) of the Act;</w:t>
      </w:r>
    </w:p>
    <w:p w14:paraId="6CACEF9A" w14:textId="77777777" w:rsidR="00E93F58" w:rsidRPr="00283424" w:rsidRDefault="00E93F58" w:rsidP="00B50726">
      <w:pPr>
        <w:pStyle w:val="paragraph"/>
      </w:pPr>
      <w:r w:rsidRPr="00283424">
        <w:tab/>
        <w:t>(b)</w:t>
      </w:r>
      <w:r w:rsidRPr="00283424">
        <w:tab/>
        <w:t>the circumstances in which the contravention set out in the infringement notice is alleged to have occurred;</w:t>
      </w:r>
    </w:p>
    <w:p w14:paraId="4170D624" w14:textId="77777777" w:rsidR="00E93F58" w:rsidRPr="00283424" w:rsidRDefault="00E93F58" w:rsidP="00B50726">
      <w:pPr>
        <w:pStyle w:val="paragraph"/>
      </w:pPr>
      <w:r w:rsidRPr="00283424">
        <w:tab/>
        <w:t>(c)</w:t>
      </w:r>
      <w:r w:rsidRPr="00283424">
        <w:tab/>
        <w:t xml:space="preserve">whether an infringement notice has previously been given to the recipient in relation to an alleged contravention of </w:t>
      </w:r>
      <w:r w:rsidRPr="00283424">
        <w:rPr>
          <w:color w:val="000000"/>
        </w:rPr>
        <w:t>subsection 981M(1) of the Act</w:t>
      </w:r>
      <w:r w:rsidRPr="00283424">
        <w:t xml:space="preserve">, </w:t>
      </w:r>
      <w:r w:rsidRPr="00283424">
        <w:rPr>
          <w:shd w:val="clear" w:color="auto" w:fill="FFFFFF"/>
        </w:rPr>
        <w:t xml:space="preserve">and whether the recipient complied with the </w:t>
      </w:r>
      <w:r w:rsidRPr="00283424">
        <w:t>infringement</w:t>
      </w:r>
      <w:r w:rsidRPr="00283424">
        <w:rPr>
          <w:shd w:val="clear" w:color="auto" w:fill="FFFFFF"/>
        </w:rPr>
        <w:t xml:space="preserve"> notice;</w:t>
      </w:r>
    </w:p>
    <w:p w14:paraId="20D3EBD6" w14:textId="77777777" w:rsidR="00E93F58" w:rsidRPr="00283424" w:rsidRDefault="00E93F58" w:rsidP="00B50726">
      <w:pPr>
        <w:pStyle w:val="paragraph"/>
      </w:pPr>
      <w:r w:rsidRPr="00283424">
        <w:tab/>
        <w:t>(d)</w:t>
      </w:r>
      <w:r w:rsidRPr="00283424">
        <w:tab/>
        <w:t>any other relevant matters.</w:t>
      </w:r>
    </w:p>
    <w:p w14:paraId="7D0B3287" w14:textId="77777777" w:rsidR="00E93F58" w:rsidRPr="00283424" w:rsidRDefault="00E93F58" w:rsidP="00B50726">
      <w:pPr>
        <w:pStyle w:val="subsection"/>
      </w:pPr>
      <w:r w:rsidRPr="00283424">
        <w:rPr>
          <w:color w:val="000000"/>
        </w:rPr>
        <w:tab/>
        <w:t>(5)</w:t>
      </w:r>
      <w:r w:rsidRPr="00283424">
        <w:rPr>
          <w:color w:val="000000"/>
        </w:rPr>
        <w:tab/>
        <w:t>If ASIC refuses to withdraw the client money reporting infringement notice, the recipient may not make a further application under subregulation (1) in relation to that infringement notice.</w:t>
      </w:r>
    </w:p>
    <w:p w14:paraId="319E5151" w14:textId="77777777" w:rsidR="00E93F58" w:rsidRPr="00283424" w:rsidRDefault="00E93F58" w:rsidP="00B50726">
      <w:pPr>
        <w:pStyle w:val="subsection"/>
      </w:pPr>
      <w:r w:rsidRPr="00283424">
        <w:tab/>
        <w:t>(6)</w:t>
      </w:r>
      <w:r w:rsidRPr="00283424">
        <w:tab/>
        <w:t xml:space="preserve">If ASIC has not withdrawn, or refused to withdraw, the </w:t>
      </w:r>
      <w:r w:rsidRPr="00283424">
        <w:rPr>
          <w:color w:val="000000"/>
        </w:rPr>
        <w:t xml:space="preserve">client money reporting </w:t>
      </w:r>
      <w:r w:rsidRPr="00283424">
        <w:t>infringement notice within 14 days after receiving the application, ASIC is taken to have refused to withdraw the infringement notice.</w:t>
      </w:r>
    </w:p>
    <w:p w14:paraId="21A25609" w14:textId="77777777" w:rsidR="00E93F58" w:rsidRPr="00283424" w:rsidRDefault="00E93F58" w:rsidP="00B50726">
      <w:pPr>
        <w:pStyle w:val="ActHead5"/>
      </w:pPr>
      <w:bookmarkStart w:id="1292" w:name="_Toc152054624"/>
      <w:bookmarkStart w:id="1293" w:name="_Toc158712440"/>
      <w:r w:rsidRPr="006F296E">
        <w:rPr>
          <w:rStyle w:val="CharSectno"/>
        </w:rPr>
        <w:lastRenderedPageBreak/>
        <w:t>7.8.05M</w:t>
      </w:r>
      <w:r w:rsidRPr="00283424">
        <w:t xml:space="preserve">  Withdrawal of </w:t>
      </w:r>
      <w:r w:rsidRPr="00283424">
        <w:rPr>
          <w:color w:val="000000"/>
        </w:rPr>
        <w:t xml:space="preserve">client money reporting </w:t>
      </w:r>
      <w:r w:rsidRPr="00283424">
        <w:t>infringement notice by ASIC</w:t>
      </w:r>
      <w:bookmarkEnd w:id="1292"/>
      <w:bookmarkEnd w:id="1293"/>
    </w:p>
    <w:p w14:paraId="6BCB674A" w14:textId="77777777" w:rsidR="00E93F58" w:rsidRPr="00283424" w:rsidRDefault="00E93F58" w:rsidP="00B50726">
      <w:pPr>
        <w:pStyle w:val="subsection"/>
      </w:pPr>
      <w:r w:rsidRPr="00283424">
        <w:rPr>
          <w:color w:val="000000"/>
        </w:rPr>
        <w:tab/>
        <w:t>(1)</w:t>
      </w:r>
      <w:r w:rsidRPr="00283424">
        <w:rPr>
          <w:color w:val="000000"/>
        </w:rPr>
        <w:tab/>
        <w:t>ASIC may withdraw a client money reporting infringement notice given by ASIC without an application under regulation 7.8.05L having been made.</w:t>
      </w:r>
    </w:p>
    <w:p w14:paraId="754681C8" w14:textId="77777777" w:rsidR="00E93F58" w:rsidRPr="00283424" w:rsidRDefault="00E93F58" w:rsidP="00B50726">
      <w:pPr>
        <w:pStyle w:val="subsection"/>
        <w:rPr>
          <w:color w:val="000000"/>
        </w:rPr>
      </w:pPr>
      <w:r w:rsidRPr="00283424">
        <w:rPr>
          <w:color w:val="000000"/>
        </w:rPr>
        <w:tab/>
        <w:t>(2)</w:t>
      </w:r>
      <w:r w:rsidRPr="00283424">
        <w:rPr>
          <w:color w:val="000000"/>
        </w:rPr>
        <w:tab/>
        <w:t>In deciding whether to withdraw a client money reporting infringement notice under this regulation, ASIC may take the matters referred to in subregulation 7.8.05L(4) into account.</w:t>
      </w:r>
    </w:p>
    <w:p w14:paraId="2CEDD842" w14:textId="77777777" w:rsidR="00E93F58" w:rsidRPr="00283424" w:rsidRDefault="00E93F58" w:rsidP="00B50726">
      <w:pPr>
        <w:pStyle w:val="ActHead5"/>
      </w:pPr>
      <w:bookmarkStart w:id="1294" w:name="_Toc152054625"/>
      <w:bookmarkStart w:id="1295" w:name="_Toc158712441"/>
      <w:r w:rsidRPr="006F296E">
        <w:rPr>
          <w:rStyle w:val="CharSectno"/>
        </w:rPr>
        <w:t>7.8.05N</w:t>
      </w:r>
      <w:r w:rsidRPr="00283424">
        <w:t xml:space="preserve">  Notice of withdrawal of </w:t>
      </w:r>
      <w:r w:rsidRPr="00283424">
        <w:rPr>
          <w:color w:val="000000"/>
        </w:rPr>
        <w:t xml:space="preserve">client money reporting </w:t>
      </w:r>
      <w:r w:rsidRPr="00283424">
        <w:t>infringement notice</w:t>
      </w:r>
      <w:bookmarkEnd w:id="1294"/>
      <w:bookmarkEnd w:id="1295"/>
    </w:p>
    <w:p w14:paraId="3B8E2688" w14:textId="77777777" w:rsidR="00E93F58" w:rsidRPr="00283424" w:rsidRDefault="00E93F58" w:rsidP="00B50726">
      <w:pPr>
        <w:pStyle w:val="subsection"/>
      </w:pPr>
      <w:r w:rsidRPr="00283424">
        <w:tab/>
        <w:t>(1)</w:t>
      </w:r>
      <w:r w:rsidRPr="00283424">
        <w:tab/>
        <w:t xml:space="preserve">A notice withdrawing a </w:t>
      </w:r>
      <w:r w:rsidRPr="00283424">
        <w:rPr>
          <w:color w:val="000000"/>
        </w:rPr>
        <w:t xml:space="preserve">client money reporting </w:t>
      </w:r>
      <w:r w:rsidRPr="00283424">
        <w:t>infringement notice must include the following information:</w:t>
      </w:r>
    </w:p>
    <w:p w14:paraId="5768FEFB" w14:textId="77777777" w:rsidR="00E93F58" w:rsidRPr="00283424" w:rsidRDefault="00E93F58" w:rsidP="00B50726">
      <w:pPr>
        <w:pStyle w:val="paragraph"/>
      </w:pPr>
      <w:r w:rsidRPr="00283424">
        <w:rPr>
          <w:color w:val="000000"/>
        </w:rPr>
        <w:tab/>
        <w:t>(a)</w:t>
      </w:r>
      <w:r w:rsidRPr="00283424">
        <w:rPr>
          <w:color w:val="000000"/>
        </w:rPr>
        <w:tab/>
        <w:t>the name and address of the recipient;</w:t>
      </w:r>
    </w:p>
    <w:p w14:paraId="720AB946" w14:textId="77777777" w:rsidR="00E93F58" w:rsidRPr="00283424" w:rsidRDefault="00E93F58" w:rsidP="00B50726">
      <w:pPr>
        <w:pStyle w:val="paragraph"/>
      </w:pPr>
      <w:r w:rsidRPr="00283424">
        <w:tab/>
        <w:t>(b)</w:t>
      </w:r>
      <w:r w:rsidRPr="00283424">
        <w:tab/>
        <w:t>the date the infringement notice was given;</w:t>
      </w:r>
    </w:p>
    <w:p w14:paraId="2072A752" w14:textId="77777777" w:rsidR="00E93F58" w:rsidRPr="00283424" w:rsidRDefault="00E93F58" w:rsidP="00B50726">
      <w:pPr>
        <w:pStyle w:val="paragraph"/>
      </w:pPr>
      <w:r w:rsidRPr="00283424">
        <w:tab/>
        <w:t>(c)</w:t>
      </w:r>
      <w:r w:rsidRPr="00283424">
        <w:tab/>
        <w:t>the infringement notice’s unique identification code.</w:t>
      </w:r>
    </w:p>
    <w:p w14:paraId="6989B60D" w14:textId="77777777" w:rsidR="00E93F58" w:rsidRPr="00283424" w:rsidRDefault="00E93F58" w:rsidP="00B50726">
      <w:pPr>
        <w:pStyle w:val="subsection"/>
        <w:rPr>
          <w:color w:val="000000"/>
        </w:rPr>
      </w:pPr>
      <w:r w:rsidRPr="00283424">
        <w:rPr>
          <w:color w:val="000000"/>
        </w:rPr>
        <w:tab/>
        <w:t>(2)</w:t>
      </w:r>
      <w:r w:rsidRPr="00283424">
        <w:rPr>
          <w:color w:val="000000"/>
        </w:rPr>
        <w:tab/>
        <w:t>The notice must also state that the client money reporting infringement notice is withdrawn.</w:t>
      </w:r>
    </w:p>
    <w:p w14:paraId="6319F294" w14:textId="77777777" w:rsidR="00E93F58" w:rsidRPr="00283424" w:rsidRDefault="00E93F58" w:rsidP="00B50726">
      <w:pPr>
        <w:pStyle w:val="ActHead5"/>
      </w:pPr>
      <w:bookmarkStart w:id="1296" w:name="_Toc152054626"/>
      <w:bookmarkStart w:id="1297" w:name="_Toc158712442"/>
      <w:r w:rsidRPr="006F296E">
        <w:rPr>
          <w:rStyle w:val="CharSectno"/>
        </w:rPr>
        <w:t>7.8.05P</w:t>
      </w:r>
      <w:r w:rsidRPr="00283424">
        <w:t xml:space="preserve">  Withdrawal of notice after compliance</w:t>
      </w:r>
      <w:bookmarkEnd w:id="1296"/>
      <w:bookmarkEnd w:id="1297"/>
    </w:p>
    <w:p w14:paraId="757BFA25" w14:textId="77777777" w:rsidR="00E93F58" w:rsidRPr="00283424" w:rsidRDefault="00E93F58" w:rsidP="00B50726">
      <w:pPr>
        <w:pStyle w:val="subsection"/>
      </w:pPr>
      <w:r w:rsidRPr="00283424">
        <w:tab/>
        <w:t>(1)</w:t>
      </w:r>
      <w:r w:rsidRPr="00283424">
        <w:tab/>
        <w:t xml:space="preserve">ASIC may withdraw a </w:t>
      </w:r>
      <w:r w:rsidRPr="00283424">
        <w:rPr>
          <w:color w:val="000000"/>
        </w:rPr>
        <w:t xml:space="preserve">client money reporting </w:t>
      </w:r>
      <w:r w:rsidRPr="00283424">
        <w:t>infringement notice after the recipient has complied with the infringement notice only if the recipient agrees, in writing, to the withdrawal.</w:t>
      </w:r>
    </w:p>
    <w:p w14:paraId="30384A3D" w14:textId="77777777" w:rsidR="00E93F58" w:rsidRPr="00283424" w:rsidRDefault="00E93F58" w:rsidP="00B50726">
      <w:pPr>
        <w:pStyle w:val="subsection"/>
        <w:rPr>
          <w:color w:val="000000"/>
        </w:rPr>
      </w:pPr>
      <w:r w:rsidRPr="00283424">
        <w:rPr>
          <w:color w:val="000000"/>
        </w:rPr>
        <w:tab/>
        <w:t>(2)</w:t>
      </w:r>
      <w:r w:rsidRPr="00283424">
        <w:rPr>
          <w:color w:val="000000"/>
        </w:rPr>
        <w:tab/>
        <w:t>If a client money reporting infringement notice is withdrawn after the penalty specified in it (if any) has been paid, the Commonwealth must refund the amount of the penalty to the person who paid it.</w:t>
      </w:r>
    </w:p>
    <w:p w14:paraId="7A84D61B" w14:textId="77777777" w:rsidR="00E93F58" w:rsidRPr="00283424" w:rsidRDefault="00E93F58" w:rsidP="00B50726">
      <w:pPr>
        <w:pStyle w:val="subsection"/>
      </w:pPr>
      <w:r w:rsidRPr="00283424">
        <w:tab/>
        <w:t>(3)</w:t>
      </w:r>
      <w:r w:rsidRPr="00283424">
        <w:tab/>
        <w:t xml:space="preserve">If a </w:t>
      </w:r>
      <w:r w:rsidRPr="00283424">
        <w:rPr>
          <w:color w:val="000000"/>
        </w:rPr>
        <w:t xml:space="preserve">client money reporting </w:t>
      </w:r>
      <w:r w:rsidRPr="00283424">
        <w:t>infringement notice is withdrawn after the recipient has complied with a requirement specified in the infringement notice:</w:t>
      </w:r>
    </w:p>
    <w:p w14:paraId="5516C2BE" w14:textId="77777777" w:rsidR="00E93F58" w:rsidRPr="00283424" w:rsidRDefault="00E93F58" w:rsidP="00B50726">
      <w:pPr>
        <w:pStyle w:val="paragraph"/>
      </w:pPr>
      <w:r w:rsidRPr="00283424">
        <w:rPr>
          <w:color w:val="000000"/>
        </w:rPr>
        <w:tab/>
        <w:t>(a)</w:t>
      </w:r>
      <w:r w:rsidRPr="00283424">
        <w:rPr>
          <w:color w:val="000000"/>
        </w:rPr>
        <w:tab/>
        <w:t>to undertake or institute remedial measures; or</w:t>
      </w:r>
    </w:p>
    <w:p w14:paraId="6539D374" w14:textId="77777777" w:rsidR="00E93F58" w:rsidRPr="00283424" w:rsidRDefault="00E93F58" w:rsidP="00B50726">
      <w:pPr>
        <w:pStyle w:val="paragraph"/>
      </w:pPr>
      <w:r w:rsidRPr="00283424">
        <w:tab/>
        <w:t>(b)</w:t>
      </w:r>
      <w:r w:rsidRPr="00283424">
        <w:tab/>
        <w:t>to accept sanctions other than a payment of a penalty to the Commonwealth; or</w:t>
      </w:r>
    </w:p>
    <w:p w14:paraId="76720093" w14:textId="77777777" w:rsidR="00E93F58" w:rsidRPr="00283424" w:rsidRDefault="00E93F58" w:rsidP="00B50726">
      <w:pPr>
        <w:pStyle w:val="paragraph"/>
      </w:pPr>
      <w:r w:rsidRPr="00283424">
        <w:tab/>
        <w:t>(c)</w:t>
      </w:r>
      <w:r w:rsidRPr="00283424">
        <w:tab/>
        <w:t>to give an undertaking;</w:t>
      </w:r>
    </w:p>
    <w:p w14:paraId="0E8CF5C6" w14:textId="77777777" w:rsidR="00E93F58" w:rsidRPr="00283424" w:rsidRDefault="00E93F58" w:rsidP="00B50726">
      <w:pPr>
        <w:pStyle w:val="subsection2"/>
        <w:rPr>
          <w:color w:val="000000"/>
        </w:rPr>
      </w:pPr>
      <w:r w:rsidRPr="00283424">
        <w:rPr>
          <w:color w:val="000000"/>
        </w:rPr>
        <w:t>the remedial measures, sanctions or undertaking are taken to no longer be enforceable by ASIC.</w:t>
      </w:r>
    </w:p>
    <w:p w14:paraId="50BD75D6" w14:textId="77777777" w:rsidR="00E93F58" w:rsidRPr="00283424" w:rsidRDefault="00E93F58" w:rsidP="00B50726">
      <w:pPr>
        <w:pStyle w:val="ActHead5"/>
      </w:pPr>
      <w:bookmarkStart w:id="1298" w:name="_Toc152054627"/>
      <w:bookmarkStart w:id="1299" w:name="_Toc158712443"/>
      <w:r w:rsidRPr="006F296E">
        <w:rPr>
          <w:rStyle w:val="CharSectno"/>
        </w:rPr>
        <w:t>7.8.05Q</w:t>
      </w:r>
      <w:r w:rsidRPr="00283424">
        <w:t xml:space="preserve">  Publication of details of </w:t>
      </w:r>
      <w:r w:rsidRPr="00283424">
        <w:rPr>
          <w:color w:val="000000"/>
        </w:rPr>
        <w:t>client money reporting</w:t>
      </w:r>
      <w:r w:rsidRPr="00283424">
        <w:t xml:space="preserve"> infringement notice</w:t>
      </w:r>
      <w:bookmarkEnd w:id="1298"/>
      <w:bookmarkEnd w:id="1299"/>
    </w:p>
    <w:p w14:paraId="0F5E6278" w14:textId="77777777" w:rsidR="00E93F58" w:rsidRPr="00283424" w:rsidRDefault="00E93F58" w:rsidP="00B50726">
      <w:pPr>
        <w:pStyle w:val="subsection"/>
      </w:pPr>
      <w:r w:rsidRPr="00283424">
        <w:rPr>
          <w:color w:val="000000"/>
        </w:rPr>
        <w:tab/>
        <w:t>(1)</w:t>
      </w:r>
      <w:r w:rsidRPr="00283424">
        <w:rPr>
          <w:color w:val="000000"/>
        </w:rPr>
        <w:tab/>
        <w:t>If ASIC gives a client money reporting infringement notice to a recipient, ASIC may, at the end of the client money reporting infringement notice period, publish details of the infringement notice.</w:t>
      </w:r>
    </w:p>
    <w:p w14:paraId="32F45343" w14:textId="77777777" w:rsidR="00E93F58" w:rsidRPr="00283424" w:rsidRDefault="00E93F58" w:rsidP="00B50726">
      <w:pPr>
        <w:pStyle w:val="subsection"/>
      </w:pPr>
      <w:r w:rsidRPr="00283424">
        <w:rPr>
          <w:color w:val="000000"/>
        </w:rPr>
        <w:tab/>
        <w:t>(2)</w:t>
      </w:r>
      <w:r w:rsidRPr="00283424">
        <w:rPr>
          <w:color w:val="000000"/>
        </w:rPr>
        <w:tab/>
        <w:t xml:space="preserve">If ASIC decides to publish details of the client money reporting infringement notice, ASIC </w:t>
      </w:r>
      <w:r w:rsidRPr="00283424">
        <w:rPr>
          <w:color w:val="000000"/>
          <w:shd w:val="clear" w:color="auto" w:fill="FFFFFF"/>
        </w:rPr>
        <w:t>must</w:t>
      </w:r>
      <w:r w:rsidRPr="00283424">
        <w:rPr>
          <w:color w:val="000000"/>
        </w:rPr>
        <w:t xml:space="preserve"> publish the details in accordance with either or both of subregulations (3) and (4).</w:t>
      </w:r>
    </w:p>
    <w:p w14:paraId="622AF79F" w14:textId="77777777" w:rsidR="00E93F58" w:rsidRPr="00283424" w:rsidRDefault="00E93F58" w:rsidP="00B50726">
      <w:pPr>
        <w:pStyle w:val="subsection"/>
      </w:pPr>
      <w:r w:rsidRPr="00283424">
        <w:tab/>
        <w:t>(3)</w:t>
      </w:r>
      <w:r w:rsidRPr="00283424">
        <w:tab/>
        <w:t xml:space="preserve">ASIC may publish details of a </w:t>
      </w:r>
      <w:r w:rsidRPr="00283424">
        <w:rPr>
          <w:color w:val="000000"/>
        </w:rPr>
        <w:t xml:space="preserve">client money reporting </w:t>
      </w:r>
      <w:r w:rsidRPr="00283424">
        <w:t xml:space="preserve">infringement notice by publishing in the </w:t>
      </w:r>
      <w:r w:rsidRPr="00283424">
        <w:rPr>
          <w:shd w:val="clear" w:color="auto" w:fill="FFFFFF"/>
        </w:rPr>
        <w:t>Gazette:</w:t>
      </w:r>
    </w:p>
    <w:p w14:paraId="256A7724" w14:textId="77777777" w:rsidR="00E93F58" w:rsidRPr="00283424" w:rsidRDefault="00E93F58" w:rsidP="00B50726">
      <w:pPr>
        <w:pStyle w:val="paragraph"/>
      </w:pPr>
      <w:r w:rsidRPr="00283424">
        <w:rPr>
          <w:color w:val="000000"/>
        </w:rPr>
        <w:tab/>
        <w:t>(a)</w:t>
      </w:r>
      <w:r w:rsidRPr="00283424">
        <w:rPr>
          <w:color w:val="000000"/>
        </w:rPr>
        <w:tab/>
        <w:t>a copy of the infringement notice; and</w:t>
      </w:r>
    </w:p>
    <w:p w14:paraId="00695488" w14:textId="77777777" w:rsidR="00E93F58" w:rsidRPr="00283424" w:rsidRDefault="00E93F58" w:rsidP="00B50726">
      <w:pPr>
        <w:pStyle w:val="paragraph"/>
      </w:pPr>
      <w:r w:rsidRPr="00283424">
        <w:tab/>
        <w:t>(b)</w:t>
      </w:r>
      <w:r w:rsidRPr="00283424">
        <w:tab/>
        <w:t>a statement as to whether the recipient has complied with the infringement notice; and</w:t>
      </w:r>
    </w:p>
    <w:p w14:paraId="63DC9E93" w14:textId="77777777" w:rsidR="00E93F58" w:rsidRPr="00283424" w:rsidRDefault="00E93F58" w:rsidP="00B50726">
      <w:pPr>
        <w:pStyle w:val="paragraph"/>
      </w:pPr>
      <w:r w:rsidRPr="00283424">
        <w:tab/>
        <w:t>(c)</w:t>
      </w:r>
      <w:r w:rsidRPr="00283424">
        <w:tab/>
        <w:t>if the recipient has complied with the infringement notice—a statement that:</w:t>
      </w:r>
    </w:p>
    <w:p w14:paraId="21BC5DF3" w14:textId="77777777" w:rsidR="00E93F58" w:rsidRPr="00283424" w:rsidRDefault="00E93F58" w:rsidP="00B50726">
      <w:pPr>
        <w:pStyle w:val="paragraphsub"/>
      </w:pPr>
      <w:r w:rsidRPr="00283424">
        <w:tab/>
        <w:t>(i)</w:t>
      </w:r>
      <w:r w:rsidRPr="00283424">
        <w:tab/>
        <w:t>compliance is not an admission of guilt or liability; and</w:t>
      </w:r>
    </w:p>
    <w:p w14:paraId="526CEE65" w14:textId="77777777" w:rsidR="00E93F58" w:rsidRPr="00283424" w:rsidRDefault="00E93F58" w:rsidP="00B50726">
      <w:pPr>
        <w:pStyle w:val="paragraphsub"/>
      </w:pPr>
      <w:r w:rsidRPr="00283424">
        <w:tab/>
        <w:t>(ii)</w:t>
      </w:r>
      <w:r w:rsidRPr="00283424">
        <w:tab/>
        <w:t>the recipient is not regarded as having contravened a client money reporting rule; and</w:t>
      </w:r>
    </w:p>
    <w:p w14:paraId="38027E98" w14:textId="77777777" w:rsidR="00E93F58" w:rsidRPr="00283424" w:rsidRDefault="00E93F58" w:rsidP="00B50726">
      <w:pPr>
        <w:pStyle w:val="paragraph"/>
      </w:pPr>
      <w:r w:rsidRPr="00283424">
        <w:tab/>
        <w:t>(d)</w:t>
      </w:r>
      <w:r w:rsidRPr="00283424">
        <w:tab/>
        <w:t>if the recipient has not complied with the infringement notice—a statement that:</w:t>
      </w:r>
    </w:p>
    <w:p w14:paraId="52BF6841" w14:textId="77777777" w:rsidR="00E93F58" w:rsidRPr="00283424" w:rsidRDefault="00E93F58" w:rsidP="00B50726">
      <w:pPr>
        <w:pStyle w:val="paragraphsub"/>
      </w:pPr>
      <w:r w:rsidRPr="00283424">
        <w:tab/>
        <w:t>(i)</w:t>
      </w:r>
      <w:r w:rsidRPr="00283424">
        <w:tab/>
        <w:t>the giving of an infringement notice to a recipient is only an allegation that the recipient has contravened a client money reporting rule; and</w:t>
      </w:r>
    </w:p>
    <w:p w14:paraId="140F7A0E" w14:textId="77777777" w:rsidR="00E93F58" w:rsidRPr="00283424" w:rsidRDefault="00E93F58" w:rsidP="00B50726">
      <w:pPr>
        <w:pStyle w:val="paragraphsub"/>
      </w:pPr>
      <w:r w:rsidRPr="00283424">
        <w:tab/>
        <w:t>(ii)</w:t>
      </w:r>
      <w:r w:rsidRPr="00283424">
        <w:tab/>
        <w:t>the recipient is not regarded as having contravened the client money reporting rule or rules specified in the infringement notice.</w:t>
      </w:r>
    </w:p>
    <w:p w14:paraId="30CA28E7" w14:textId="77777777" w:rsidR="00E93F58" w:rsidRPr="00283424" w:rsidRDefault="00E93F58" w:rsidP="00B50726">
      <w:pPr>
        <w:pStyle w:val="subsection"/>
      </w:pPr>
      <w:r w:rsidRPr="00283424">
        <w:tab/>
        <w:t>(4)</w:t>
      </w:r>
      <w:r w:rsidRPr="00283424">
        <w:tab/>
        <w:t xml:space="preserve">ASIC may publish details of a </w:t>
      </w:r>
      <w:r w:rsidRPr="00283424">
        <w:rPr>
          <w:color w:val="000000"/>
        </w:rPr>
        <w:t xml:space="preserve">client money reporting </w:t>
      </w:r>
      <w:r w:rsidRPr="00283424">
        <w:t>infringement notice by issuing a written or oral statement that includes:</w:t>
      </w:r>
    </w:p>
    <w:p w14:paraId="568FFA23" w14:textId="77777777" w:rsidR="00E93F58" w:rsidRPr="00283424" w:rsidRDefault="00E93F58" w:rsidP="00B50726">
      <w:pPr>
        <w:pStyle w:val="paragraph"/>
      </w:pPr>
      <w:r w:rsidRPr="00283424">
        <w:tab/>
        <w:t>(a)</w:t>
      </w:r>
      <w:r w:rsidRPr="00283424">
        <w:tab/>
        <w:t>an accurate summary of the details of the infringement notice, including:</w:t>
      </w:r>
    </w:p>
    <w:p w14:paraId="6C7BF0D8" w14:textId="77777777" w:rsidR="00E93F58" w:rsidRPr="00283424" w:rsidRDefault="00E93F58" w:rsidP="00B50726">
      <w:pPr>
        <w:pStyle w:val="paragraphsub"/>
      </w:pPr>
      <w:r w:rsidRPr="00283424">
        <w:rPr>
          <w:color w:val="000000"/>
        </w:rPr>
        <w:tab/>
        <w:t>(i)</w:t>
      </w:r>
      <w:r w:rsidRPr="00283424">
        <w:rPr>
          <w:color w:val="000000"/>
        </w:rPr>
        <w:tab/>
        <w:t>the name of the recipient; and</w:t>
      </w:r>
    </w:p>
    <w:p w14:paraId="69D39064" w14:textId="77777777" w:rsidR="00E93F58" w:rsidRPr="00283424" w:rsidRDefault="00E93F58" w:rsidP="00B50726">
      <w:pPr>
        <w:pStyle w:val="paragraphsub"/>
      </w:pPr>
      <w:r w:rsidRPr="00283424">
        <w:tab/>
        <w:t>(ii)</w:t>
      </w:r>
      <w:r w:rsidRPr="00283424">
        <w:tab/>
        <w:t>the amount of the penalty specified in the infringement notice (if any); and</w:t>
      </w:r>
    </w:p>
    <w:p w14:paraId="74574B54" w14:textId="77777777" w:rsidR="00E93F58" w:rsidRPr="00283424" w:rsidRDefault="00E93F58" w:rsidP="00B50726">
      <w:pPr>
        <w:pStyle w:val="paragraphsub"/>
      </w:pPr>
      <w:r w:rsidRPr="00283424">
        <w:tab/>
        <w:t>(iii)</w:t>
      </w:r>
      <w:r w:rsidRPr="00283424">
        <w:tab/>
        <w:t>the remedial measures specified in the infringement notice (if any); and</w:t>
      </w:r>
    </w:p>
    <w:p w14:paraId="53F1D125" w14:textId="77777777" w:rsidR="00E93F58" w:rsidRPr="00283424" w:rsidRDefault="00E93F58" w:rsidP="00B50726">
      <w:pPr>
        <w:pStyle w:val="paragraphsub"/>
      </w:pPr>
      <w:r w:rsidRPr="00283424">
        <w:tab/>
        <w:t>(iv)</w:t>
      </w:r>
      <w:r w:rsidRPr="00283424">
        <w:tab/>
        <w:t>the sanctions specified in the infringement notice (if any); and</w:t>
      </w:r>
    </w:p>
    <w:p w14:paraId="7EF16D8D" w14:textId="77777777" w:rsidR="00E93F58" w:rsidRPr="00283424" w:rsidRDefault="00E93F58" w:rsidP="00B50726">
      <w:pPr>
        <w:pStyle w:val="paragraphsub"/>
      </w:pPr>
      <w:r w:rsidRPr="00283424">
        <w:tab/>
        <w:t>(v)</w:t>
      </w:r>
      <w:r w:rsidRPr="00283424">
        <w:tab/>
        <w:t>the terms of an undertaking specified in the infringement notice (if any); and</w:t>
      </w:r>
    </w:p>
    <w:p w14:paraId="0F04B6C2" w14:textId="77777777" w:rsidR="00E93F58" w:rsidRPr="00283424" w:rsidRDefault="00E93F58" w:rsidP="00B50726">
      <w:pPr>
        <w:pStyle w:val="paragraphsub"/>
      </w:pPr>
      <w:r w:rsidRPr="00283424">
        <w:lastRenderedPageBreak/>
        <w:tab/>
        <w:t>(vi)</w:t>
      </w:r>
      <w:r w:rsidRPr="00283424">
        <w:tab/>
        <w:t>the conduct specified in the infringement notice as being the conduct that made up the alleged contravention; and</w:t>
      </w:r>
    </w:p>
    <w:p w14:paraId="42E3DFC2" w14:textId="77777777" w:rsidR="00E93F58" w:rsidRPr="00283424" w:rsidRDefault="00E93F58" w:rsidP="00B50726">
      <w:pPr>
        <w:pStyle w:val="paragraph"/>
      </w:pPr>
      <w:r w:rsidRPr="00283424">
        <w:tab/>
        <w:t>(b)</w:t>
      </w:r>
      <w:r w:rsidRPr="00283424">
        <w:tab/>
        <w:t>a statement as to whether the recipient has complied with the infringement notice; and</w:t>
      </w:r>
    </w:p>
    <w:p w14:paraId="3B0BE08E" w14:textId="77777777" w:rsidR="00E93F58" w:rsidRPr="00283424" w:rsidRDefault="00E93F58" w:rsidP="00B50726">
      <w:pPr>
        <w:pStyle w:val="paragraph"/>
      </w:pPr>
      <w:r w:rsidRPr="00283424">
        <w:tab/>
        <w:t>(c)</w:t>
      </w:r>
      <w:r w:rsidRPr="00283424">
        <w:tab/>
        <w:t>if the recipient has complied with the infringement notice—a statement that:</w:t>
      </w:r>
    </w:p>
    <w:p w14:paraId="51B28193" w14:textId="77777777" w:rsidR="00E93F58" w:rsidRPr="00283424" w:rsidRDefault="00E93F58" w:rsidP="00B50726">
      <w:pPr>
        <w:pStyle w:val="paragraphsub"/>
      </w:pPr>
      <w:r w:rsidRPr="00283424">
        <w:tab/>
        <w:t>(i)</w:t>
      </w:r>
      <w:r w:rsidRPr="00283424">
        <w:tab/>
        <w:t>compliance is not an admission of guilt or liability; and</w:t>
      </w:r>
    </w:p>
    <w:p w14:paraId="4821C403" w14:textId="77777777" w:rsidR="00E93F58" w:rsidRPr="00283424" w:rsidRDefault="00E93F58" w:rsidP="00B50726">
      <w:pPr>
        <w:pStyle w:val="paragraphsub"/>
      </w:pPr>
      <w:r w:rsidRPr="00283424">
        <w:tab/>
        <w:t>(ii)</w:t>
      </w:r>
      <w:r w:rsidRPr="00283424">
        <w:tab/>
        <w:t>the recipient is not regarded as having contravened a client money reporting rule; and</w:t>
      </w:r>
    </w:p>
    <w:p w14:paraId="5269783D" w14:textId="77777777" w:rsidR="00E93F58" w:rsidRPr="00283424" w:rsidRDefault="00E93F58" w:rsidP="00B50726">
      <w:pPr>
        <w:pStyle w:val="paragraph"/>
      </w:pPr>
      <w:r w:rsidRPr="00283424">
        <w:tab/>
        <w:t>(d)</w:t>
      </w:r>
      <w:r w:rsidRPr="00283424">
        <w:tab/>
        <w:t>if the recipient has not complied with the infringement notice—a statement that:</w:t>
      </w:r>
    </w:p>
    <w:p w14:paraId="33368B23" w14:textId="77777777" w:rsidR="00E93F58" w:rsidRPr="00283424" w:rsidRDefault="00E93F58" w:rsidP="00B50726">
      <w:pPr>
        <w:pStyle w:val="paragraphsub"/>
      </w:pPr>
      <w:r w:rsidRPr="00283424">
        <w:tab/>
        <w:t>(i)</w:t>
      </w:r>
      <w:r w:rsidRPr="00283424">
        <w:tab/>
        <w:t>the giving of an infringement notice to a recipient is only an allegation that the recipient has contravened a client money reporting rule; and</w:t>
      </w:r>
    </w:p>
    <w:p w14:paraId="4E84826C" w14:textId="77777777" w:rsidR="00E93F58" w:rsidRPr="00283424" w:rsidRDefault="00E93F58" w:rsidP="00B50726">
      <w:pPr>
        <w:pStyle w:val="paragraphsub"/>
      </w:pPr>
      <w:r w:rsidRPr="00283424">
        <w:tab/>
        <w:t>(ii)</w:t>
      </w:r>
      <w:r w:rsidRPr="00283424">
        <w:tab/>
        <w:t>the recipient is not regarded as having contravened the client money reporting rule or rules specified in the infringement notice.</w:t>
      </w:r>
    </w:p>
    <w:p w14:paraId="4C8C58BA" w14:textId="77777777" w:rsidR="00E93F58" w:rsidRPr="00283424" w:rsidRDefault="00E93F58" w:rsidP="00B50726">
      <w:pPr>
        <w:pStyle w:val="ActHead4"/>
      </w:pPr>
      <w:bookmarkStart w:id="1300" w:name="_Toc152054628"/>
      <w:bookmarkStart w:id="1301" w:name="_Toc158712444"/>
      <w:r w:rsidRPr="006F296E">
        <w:rPr>
          <w:rStyle w:val="CharSubdNo"/>
        </w:rPr>
        <w:t>Subdivision B</w:t>
      </w:r>
      <w:r w:rsidRPr="00283424">
        <w:t>—</w:t>
      </w:r>
      <w:r w:rsidRPr="006F296E">
        <w:rPr>
          <w:rStyle w:val="CharSubdText"/>
        </w:rPr>
        <w:t>Loan money</w:t>
      </w:r>
      <w:bookmarkEnd w:id="1300"/>
      <w:bookmarkEnd w:id="1301"/>
    </w:p>
    <w:p w14:paraId="3F34BC33" w14:textId="77777777" w:rsidR="00E93F58" w:rsidRPr="00283424" w:rsidRDefault="00E93F58" w:rsidP="00B50726">
      <w:pPr>
        <w:pStyle w:val="ActHead5"/>
      </w:pPr>
      <w:bookmarkStart w:id="1302" w:name="_Toc152054629"/>
      <w:bookmarkStart w:id="1303" w:name="_Toc158712445"/>
      <w:r w:rsidRPr="006F296E">
        <w:rPr>
          <w:rStyle w:val="CharSectno"/>
        </w:rPr>
        <w:t>7.8.06</w:t>
      </w:r>
      <w:r w:rsidRPr="00283424">
        <w:rPr>
          <w:sz w:val="16"/>
        </w:rPr>
        <w:t xml:space="preserve">  </w:t>
      </w:r>
      <w:r w:rsidRPr="00283424">
        <w:t>Statement setting out terms of loan etc</w:t>
      </w:r>
      <w:bookmarkEnd w:id="1302"/>
      <w:bookmarkEnd w:id="1303"/>
    </w:p>
    <w:p w14:paraId="6524C831" w14:textId="77777777" w:rsidR="00E93F58" w:rsidRPr="00283424" w:rsidRDefault="00E93F58" w:rsidP="00B50726">
      <w:pPr>
        <w:pStyle w:val="subsection"/>
      </w:pPr>
      <w:r w:rsidRPr="00283424">
        <w:rPr>
          <w:color w:val="000000"/>
        </w:rPr>
        <w:tab/>
      </w:r>
      <w:r w:rsidRPr="00283424">
        <w:rPr>
          <w:color w:val="000000"/>
        </w:rPr>
        <w:tab/>
        <w:t>For subsection 982C(1) of the Act, the financial services licensee must give a client a disclosure document that contains, as far as practicable, the matters required for Division 2 of Part 7.9 of the Act.</w:t>
      </w:r>
    </w:p>
    <w:p w14:paraId="4F20ED92" w14:textId="77777777" w:rsidR="00E93F58" w:rsidRPr="00283424" w:rsidRDefault="00E93F58" w:rsidP="00B50726">
      <w:pPr>
        <w:pStyle w:val="ActHead3"/>
        <w:pageBreakBefore/>
      </w:pPr>
      <w:bookmarkStart w:id="1304" w:name="_Toc152054630"/>
      <w:bookmarkStart w:id="1305" w:name="_Toc158712446"/>
      <w:r w:rsidRPr="006F296E">
        <w:rPr>
          <w:rStyle w:val="CharDivNo"/>
        </w:rPr>
        <w:lastRenderedPageBreak/>
        <w:t>Division 3</w:t>
      </w:r>
      <w:r w:rsidRPr="00283424">
        <w:t>—</w:t>
      </w:r>
      <w:r w:rsidRPr="006F296E">
        <w:rPr>
          <w:rStyle w:val="CharDivText"/>
        </w:rPr>
        <w:t>Dealing with other property of clients</w:t>
      </w:r>
      <w:bookmarkEnd w:id="1304"/>
      <w:bookmarkEnd w:id="1305"/>
    </w:p>
    <w:p w14:paraId="3D46D7DA" w14:textId="77777777" w:rsidR="00E93F58" w:rsidRPr="00283424" w:rsidRDefault="00E93F58" w:rsidP="00B50726">
      <w:pPr>
        <w:pStyle w:val="ActHead5"/>
      </w:pPr>
      <w:bookmarkStart w:id="1306" w:name="_Toc152054631"/>
      <w:bookmarkStart w:id="1307" w:name="_Toc158712447"/>
      <w:r w:rsidRPr="006F296E">
        <w:rPr>
          <w:rStyle w:val="CharSectno"/>
        </w:rPr>
        <w:t>7.8.06A</w:t>
      </w:r>
      <w:r w:rsidRPr="00283424">
        <w:t xml:space="preserve">  Property exempt from Division 3 of Part 7.8 of the Act</w:t>
      </w:r>
      <w:bookmarkEnd w:id="1306"/>
      <w:bookmarkEnd w:id="1307"/>
    </w:p>
    <w:p w14:paraId="61D3898E" w14:textId="77777777" w:rsidR="00E93F58" w:rsidRPr="00283424" w:rsidRDefault="00E93F58" w:rsidP="00B50726">
      <w:pPr>
        <w:pStyle w:val="subsection"/>
      </w:pPr>
      <w:r w:rsidRPr="00283424">
        <w:tab/>
      </w:r>
      <w:r w:rsidRPr="00283424">
        <w:tab/>
        <w:t>For paragraph 984A(2)(a) of the Act, property given as security for a standard margin lending facility is exempt from Division 3 of Part 7.8 of the Act.</w:t>
      </w:r>
    </w:p>
    <w:p w14:paraId="0B50F1BE" w14:textId="77777777" w:rsidR="00E93F58" w:rsidRPr="00283424" w:rsidRDefault="00E93F58" w:rsidP="00B50726">
      <w:pPr>
        <w:pStyle w:val="notetext"/>
      </w:pPr>
      <w:r w:rsidRPr="00283424">
        <w:t>Note:</w:t>
      </w:r>
      <w:r w:rsidRPr="00283424">
        <w:tab/>
        <w:t>Paragraph 984A(2)(a) of the Act provides that the regulations may exempt property given in specified circumstances from some or all of the provisions of Division 3 of Part 7.8 of the Act.</w:t>
      </w:r>
    </w:p>
    <w:p w14:paraId="3B56C1BE" w14:textId="77777777" w:rsidR="00E93F58" w:rsidRPr="00283424" w:rsidRDefault="00E93F58" w:rsidP="00B50726">
      <w:pPr>
        <w:pStyle w:val="ActHead5"/>
      </w:pPr>
      <w:bookmarkStart w:id="1308" w:name="_Toc152054632"/>
      <w:bookmarkStart w:id="1309" w:name="_Toc158712448"/>
      <w:r w:rsidRPr="006F296E">
        <w:rPr>
          <w:rStyle w:val="CharSectno"/>
        </w:rPr>
        <w:t>7.8.06B</w:t>
      </w:r>
      <w:r w:rsidRPr="00283424">
        <w:t xml:space="preserve">  Wholesale client property</w:t>
      </w:r>
      <w:bookmarkEnd w:id="1308"/>
      <w:bookmarkEnd w:id="1309"/>
    </w:p>
    <w:p w14:paraId="0A5366F3" w14:textId="77777777" w:rsidR="00E93F58" w:rsidRPr="00283424" w:rsidRDefault="00E93F58" w:rsidP="00B50726">
      <w:pPr>
        <w:pStyle w:val="subsection"/>
      </w:pPr>
      <w:r w:rsidRPr="00283424">
        <w:tab/>
      </w:r>
      <w:r w:rsidRPr="00283424">
        <w:tab/>
        <w:t>For the purposes of paragraph 984A(2)(a) of the Act, property given as mentioned in subsection 984A(1) of the Act is exempt from Division 3 of Part 7.8 of the Act at a time if:</w:t>
      </w:r>
    </w:p>
    <w:p w14:paraId="3CA13259" w14:textId="77777777" w:rsidR="00E93F58" w:rsidRPr="00283424" w:rsidRDefault="00E93F58" w:rsidP="00B50726">
      <w:pPr>
        <w:pStyle w:val="paragraph"/>
      </w:pPr>
      <w:r w:rsidRPr="00283424">
        <w:tab/>
        <w:t>(a)</w:t>
      </w:r>
      <w:r w:rsidRPr="00283424">
        <w:tab/>
        <w:t>at that time the licensee has the client’s written agreement to the property being dealt with other than in accordance with that Division; and</w:t>
      </w:r>
    </w:p>
    <w:p w14:paraId="0F155168" w14:textId="77777777" w:rsidR="00E93F58" w:rsidRPr="00283424" w:rsidRDefault="00E93F58" w:rsidP="00B50726">
      <w:pPr>
        <w:pStyle w:val="noteToPara"/>
      </w:pPr>
      <w:r w:rsidRPr="00283424">
        <w:t>Note 1:</w:t>
      </w:r>
      <w:r w:rsidRPr="00283424">
        <w:tab/>
        <w:t>It is not necessary for the agreement to mention that Division explicitly.</w:t>
      </w:r>
    </w:p>
    <w:p w14:paraId="3FE0CACA" w14:textId="77777777" w:rsidR="00E93F58" w:rsidRPr="00283424" w:rsidRDefault="00E93F58" w:rsidP="00B50726">
      <w:pPr>
        <w:pStyle w:val="noteToPara"/>
      </w:pPr>
      <w:r w:rsidRPr="00283424">
        <w:t>Note 2:</w:t>
      </w:r>
      <w:r w:rsidRPr="00283424">
        <w:tab/>
        <w:t>If the licensee obtains the agreement after the property is given, that Division ceases to apply to the property when the licensee obtains the agreement.</w:t>
      </w:r>
    </w:p>
    <w:p w14:paraId="2DD07037" w14:textId="77777777" w:rsidR="00E93F58" w:rsidRPr="00283424" w:rsidRDefault="00E93F58" w:rsidP="00B50726">
      <w:pPr>
        <w:pStyle w:val="paragraph"/>
      </w:pPr>
      <w:r w:rsidRPr="00283424">
        <w:tab/>
        <w:t>(b)</w:t>
      </w:r>
      <w:r w:rsidRPr="00283424">
        <w:tab/>
        <w:t>either:</w:t>
      </w:r>
    </w:p>
    <w:p w14:paraId="306DB6BD" w14:textId="77777777" w:rsidR="00E93F58" w:rsidRPr="00283424" w:rsidRDefault="00E93F58" w:rsidP="00B50726">
      <w:pPr>
        <w:pStyle w:val="paragraphsub"/>
      </w:pPr>
      <w:r w:rsidRPr="00283424">
        <w:tab/>
        <w:t>(i)</w:t>
      </w:r>
      <w:r w:rsidRPr="00283424">
        <w:tab/>
        <w:t>the financial service referred to in subparagraph 984A(1)(a)(i) of the Act is or relates to a dealing in a derivative; or</w:t>
      </w:r>
    </w:p>
    <w:p w14:paraId="7C083272" w14:textId="77777777" w:rsidR="00E93F58" w:rsidRPr="00283424" w:rsidRDefault="00E93F58" w:rsidP="00B50726">
      <w:pPr>
        <w:pStyle w:val="paragraphsub"/>
      </w:pPr>
      <w:r w:rsidRPr="00283424">
        <w:tab/>
        <w:t>(ii)</w:t>
      </w:r>
      <w:r w:rsidRPr="00283424">
        <w:tab/>
        <w:t>the financial product referred to in subparagraph 984A(1)(a)(ii) of the Act is a derivative; and</w:t>
      </w:r>
    </w:p>
    <w:p w14:paraId="61842BAF" w14:textId="77777777" w:rsidR="00E93F58" w:rsidRPr="00283424" w:rsidRDefault="00E93F58" w:rsidP="00B50726">
      <w:pPr>
        <w:pStyle w:val="paragraph"/>
      </w:pPr>
      <w:r w:rsidRPr="00283424">
        <w:tab/>
        <w:t>(c)</w:t>
      </w:r>
      <w:r w:rsidRPr="00283424">
        <w:tab/>
        <w:t>the entry into of the derivative was not or will not be cleared through a clearing and settlement facility; and</w:t>
      </w:r>
    </w:p>
    <w:p w14:paraId="268CC48C" w14:textId="77777777" w:rsidR="00E93F58" w:rsidRPr="00283424" w:rsidRDefault="00E93F58" w:rsidP="00B50726">
      <w:pPr>
        <w:pStyle w:val="paragraph"/>
      </w:pPr>
      <w:r w:rsidRPr="00283424">
        <w:tab/>
        <w:t>(d)</w:t>
      </w:r>
      <w:r w:rsidRPr="00283424">
        <w:tab/>
        <w:t>the financial service or product would have been provided to the client as a wholesale client if:</w:t>
      </w:r>
    </w:p>
    <w:p w14:paraId="015CFEE3" w14:textId="77777777" w:rsidR="00E93F58" w:rsidRPr="00283424" w:rsidRDefault="00E93F58" w:rsidP="00B50726">
      <w:pPr>
        <w:pStyle w:val="paragraphsub"/>
      </w:pPr>
      <w:r w:rsidRPr="00283424">
        <w:tab/>
        <w:t>(i)</w:t>
      </w:r>
      <w:r w:rsidRPr="00283424">
        <w:tab/>
        <w:t>the service or product were provided to the client when the property was given; and</w:t>
      </w:r>
    </w:p>
    <w:p w14:paraId="67AAFDA4" w14:textId="77777777" w:rsidR="00E93F58" w:rsidRPr="00283424" w:rsidRDefault="00E93F58" w:rsidP="00B50726">
      <w:pPr>
        <w:pStyle w:val="paragraphsub"/>
      </w:pPr>
      <w:r w:rsidRPr="00283424">
        <w:tab/>
        <w:t>(ii)</w:t>
      </w:r>
      <w:r w:rsidRPr="00283424">
        <w:tab/>
        <w:t>section 761GA of the Act (about sophisticated investors) did not apply.</w:t>
      </w:r>
    </w:p>
    <w:p w14:paraId="25D158BE" w14:textId="77777777" w:rsidR="00E93F58" w:rsidRPr="00283424" w:rsidRDefault="00E93F58" w:rsidP="00B50726">
      <w:pPr>
        <w:pStyle w:val="ActHead5"/>
      </w:pPr>
      <w:bookmarkStart w:id="1310" w:name="_Toc152054633"/>
      <w:bookmarkStart w:id="1311" w:name="_Toc158712449"/>
      <w:r w:rsidRPr="006F296E">
        <w:rPr>
          <w:rStyle w:val="CharSectno"/>
        </w:rPr>
        <w:t>7.8.07</w:t>
      </w:r>
      <w:r w:rsidRPr="00283424">
        <w:rPr>
          <w:sz w:val="16"/>
        </w:rPr>
        <w:t xml:space="preserve">  </w:t>
      </w:r>
      <w:r w:rsidRPr="00283424">
        <w:t>How property to which Division 3 of Part 7.8 of the Act to be dealt with</w:t>
      </w:r>
      <w:bookmarkEnd w:id="1310"/>
      <w:bookmarkEnd w:id="1311"/>
    </w:p>
    <w:p w14:paraId="6B463FFF" w14:textId="77777777" w:rsidR="00E93F58" w:rsidRPr="00283424" w:rsidRDefault="00E93F58" w:rsidP="00B50726">
      <w:pPr>
        <w:pStyle w:val="subsection"/>
      </w:pPr>
      <w:r w:rsidRPr="00283424">
        <w:rPr>
          <w:color w:val="000000"/>
        </w:rPr>
        <w:tab/>
        <w:t>(1)</w:t>
      </w:r>
      <w:r w:rsidRPr="00283424">
        <w:rPr>
          <w:color w:val="000000"/>
        </w:rPr>
        <w:tab/>
        <w:t>For paragraph 984B(1)(a) of the Act, this regulation sets out requirements in relation to property to which Division 3 of Part 7.8 of the Act applies.</w:t>
      </w:r>
    </w:p>
    <w:p w14:paraId="011204B7" w14:textId="77777777" w:rsidR="00E93F58" w:rsidRPr="00283424" w:rsidRDefault="00E93F58" w:rsidP="00B50726">
      <w:pPr>
        <w:pStyle w:val="subsection"/>
      </w:pPr>
      <w:r w:rsidRPr="00283424">
        <w:rPr>
          <w:color w:val="000000"/>
        </w:rPr>
        <w:tab/>
        <w:t>(2)</w:t>
      </w:r>
      <w:r w:rsidRPr="00283424">
        <w:rPr>
          <w:color w:val="000000"/>
        </w:rPr>
        <w:tab/>
        <w:t>The financial services licensee must hold the property on trust for the benefit of the person who is entitled to it.</w:t>
      </w:r>
    </w:p>
    <w:p w14:paraId="2B4B8353" w14:textId="77777777" w:rsidR="00E93F58" w:rsidRPr="00283424" w:rsidRDefault="00E93F58" w:rsidP="00B50726">
      <w:pPr>
        <w:pStyle w:val="subsection"/>
      </w:pPr>
      <w:r w:rsidRPr="00283424">
        <w:tab/>
        <w:t>(3)</w:t>
      </w:r>
      <w:r w:rsidRPr="00283424">
        <w:tab/>
        <w:t>If the client requests the financial services licensee, in writing, to deposit the property in safe custody with an ADI:</w:t>
      </w:r>
    </w:p>
    <w:p w14:paraId="0AF9CC64" w14:textId="77777777" w:rsidR="00E93F58" w:rsidRPr="00283424" w:rsidRDefault="00E93F58" w:rsidP="00B50726">
      <w:pPr>
        <w:pStyle w:val="paragraph"/>
      </w:pPr>
      <w:r w:rsidRPr="00283424">
        <w:rPr>
          <w:color w:val="000000"/>
        </w:rPr>
        <w:tab/>
        <w:t>(a)</w:t>
      </w:r>
      <w:r w:rsidRPr="00283424">
        <w:rPr>
          <w:color w:val="000000"/>
        </w:rPr>
        <w:tab/>
        <w:t>the licensee must deposit the property; or</w:t>
      </w:r>
    </w:p>
    <w:p w14:paraId="2C22D103" w14:textId="77777777" w:rsidR="00E93F58" w:rsidRPr="00283424" w:rsidRDefault="00E93F58" w:rsidP="00B50726">
      <w:pPr>
        <w:pStyle w:val="paragraph"/>
      </w:pPr>
      <w:r w:rsidRPr="00283424">
        <w:tab/>
        <w:t>(b)</w:t>
      </w:r>
      <w:r w:rsidRPr="00283424">
        <w:tab/>
        <w:t>if the licensee does not comply with the request for any reason, the licensee must notify the client, as soon as practicable, of the failure to comply with the request.</w:t>
      </w:r>
    </w:p>
    <w:p w14:paraId="4EB93685" w14:textId="77777777" w:rsidR="00E93F58" w:rsidRPr="00283424" w:rsidRDefault="00E93F58" w:rsidP="00B50726">
      <w:pPr>
        <w:pStyle w:val="subsection"/>
      </w:pPr>
      <w:r w:rsidRPr="00283424">
        <w:tab/>
        <w:t>(4)</w:t>
      </w:r>
      <w:r w:rsidRPr="00283424">
        <w:tab/>
        <w:t>If the client requests the financial services licensee, in writing, to deposit the property in safe custody with a financial services licensee that provides a custodial or depositary service:</w:t>
      </w:r>
    </w:p>
    <w:p w14:paraId="326D6705" w14:textId="77777777" w:rsidR="00E93F58" w:rsidRPr="00283424" w:rsidRDefault="00E93F58" w:rsidP="00B50726">
      <w:pPr>
        <w:pStyle w:val="paragraph"/>
      </w:pPr>
      <w:r w:rsidRPr="00283424">
        <w:rPr>
          <w:color w:val="000000"/>
        </w:rPr>
        <w:tab/>
        <w:t>(a)</w:t>
      </w:r>
      <w:r w:rsidRPr="00283424">
        <w:rPr>
          <w:color w:val="000000"/>
        </w:rPr>
        <w:tab/>
        <w:t>the licensee must deposit the property; or</w:t>
      </w:r>
    </w:p>
    <w:p w14:paraId="2A15ECC1" w14:textId="77777777" w:rsidR="00E93F58" w:rsidRPr="00283424" w:rsidRDefault="00E93F58" w:rsidP="00B50726">
      <w:pPr>
        <w:pStyle w:val="paragraph"/>
      </w:pPr>
      <w:r w:rsidRPr="00283424">
        <w:tab/>
        <w:t>(b)</w:t>
      </w:r>
      <w:r w:rsidRPr="00283424">
        <w:tab/>
        <w:t>if the licensee does not comply with the request for any reason, the licensee must notify the client, as soon as practicable, of the failure to comply with the request.</w:t>
      </w:r>
    </w:p>
    <w:p w14:paraId="26287BF6" w14:textId="77777777" w:rsidR="00E93F58" w:rsidRPr="00283424" w:rsidRDefault="00E93F58" w:rsidP="00B50726">
      <w:pPr>
        <w:pStyle w:val="subsection"/>
      </w:pPr>
      <w:r w:rsidRPr="00283424">
        <w:tab/>
        <w:t>(5)</w:t>
      </w:r>
      <w:r w:rsidRPr="00283424">
        <w:tab/>
        <w:t>If the client requests the financial services licensee, in writing, to deposit the property in safe custody in the place where the property was deposited with, or received by, the licensee:</w:t>
      </w:r>
    </w:p>
    <w:p w14:paraId="7A2849A8" w14:textId="77777777" w:rsidR="00E93F58" w:rsidRPr="00283424" w:rsidRDefault="00E93F58" w:rsidP="00B50726">
      <w:pPr>
        <w:pStyle w:val="paragraph"/>
      </w:pPr>
      <w:r w:rsidRPr="00283424">
        <w:rPr>
          <w:color w:val="000000"/>
        </w:rPr>
        <w:tab/>
        <w:t>(a)</w:t>
      </w:r>
      <w:r w:rsidRPr="00283424">
        <w:rPr>
          <w:color w:val="000000"/>
        </w:rPr>
        <w:tab/>
        <w:t>the licensee must deposit the property in accordance with the request; and</w:t>
      </w:r>
    </w:p>
    <w:p w14:paraId="769EA232" w14:textId="77777777" w:rsidR="00E93F58" w:rsidRPr="00283424" w:rsidRDefault="00E93F58" w:rsidP="00B50726">
      <w:pPr>
        <w:pStyle w:val="paragraph"/>
      </w:pPr>
      <w:r w:rsidRPr="00283424">
        <w:tab/>
        <w:t>(b)</w:t>
      </w:r>
      <w:r w:rsidRPr="00283424">
        <w:tab/>
        <w:t>if the licensee does not comply with the request for any reason, the licensee must notify the client, as soon as practicable, of the failure to comply with the request.</w:t>
      </w:r>
    </w:p>
    <w:p w14:paraId="3EC15538" w14:textId="77777777" w:rsidR="00E93F58" w:rsidRPr="00283424" w:rsidRDefault="00E93F58" w:rsidP="00B50726">
      <w:pPr>
        <w:pStyle w:val="subsection"/>
      </w:pPr>
      <w:r w:rsidRPr="00283424">
        <w:rPr>
          <w:color w:val="000000"/>
        </w:rPr>
        <w:tab/>
        <w:t>(6)</w:t>
      </w:r>
      <w:r w:rsidRPr="00283424">
        <w:rPr>
          <w:color w:val="000000"/>
        </w:rPr>
        <w:tab/>
        <w:t xml:space="preserve">If the client requests that the body corporate that issued or made available the </w:t>
      </w:r>
      <w:r w:rsidRPr="00283424">
        <w:t>securities, managed investment products or foreign passport fund products</w:t>
      </w:r>
      <w:r w:rsidRPr="00283424">
        <w:rPr>
          <w:color w:val="000000"/>
        </w:rPr>
        <w:t xml:space="preserve"> underlying the property register the property in the name of a nominee controlled by the financial services licensee, the financial services licensee must arrange for the body corporate to register the </w:t>
      </w:r>
      <w:r w:rsidRPr="00283424">
        <w:t>securities, managed investment products or foreign passport fund products</w:t>
      </w:r>
      <w:r w:rsidRPr="00283424">
        <w:rPr>
          <w:color w:val="000000"/>
        </w:rPr>
        <w:t xml:space="preserve"> in that way.</w:t>
      </w:r>
    </w:p>
    <w:p w14:paraId="19EF2554" w14:textId="77777777" w:rsidR="00E93F58" w:rsidRPr="00283424" w:rsidRDefault="00E93F58" w:rsidP="00B50726">
      <w:pPr>
        <w:pStyle w:val="subsection"/>
      </w:pPr>
      <w:r w:rsidRPr="00283424">
        <w:lastRenderedPageBreak/>
        <w:tab/>
        <w:t>(7)</w:t>
      </w:r>
      <w:r w:rsidRPr="00283424">
        <w:tab/>
        <w:t>If:</w:t>
      </w:r>
    </w:p>
    <w:p w14:paraId="0677D525" w14:textId="77777777" w:rsidR="00E93F58" w:rsidRPr="00283424" w:rsidRDefault="00E93F58" w:rsidP="00B50726">
      <w:pPr>
        <w:pStyle w:val="paragraph"/>
        <w:rPr>
          <w:color w:val="000000"/>
        </w:rPr>
      </w:pPr>
      <w:r w:rsidRPr="00283424">
        <w:rPr>
          <w:color w:val="000000"/>
        </w:rPr>
        <w:tab/>
        <w:t>(a)</w:t>
      </w:r>
      <w:r w:rsidRPr="00283424">
        <w:rPr>
          <w:color w:val="000000"/>
        </w:rPr>
        <w:tab/>
        <w:t>none of subsections (3) to (6) applies; and</w:t>
      </w:r>
    </w:p>
    <w:p w14:paraId="3E38A6D0" w14:textId="77777777" w:rsidR="00E93F58" w:rsidRPr="00283424" w:rsidRDefault="00E93F58" w:rsidP="00B50726">
      <w:pPr>
        <w:pStyle w:val="paragraph"/>
      </w:pPr>
      <w:r w:rsidRPr="00283424">
        <w:tab/>
        <w:t>(b)</w:t>
      </w:r>
      <w:r w:rsidRPr="00283424">
        <w:tab/>
        <w:t>the property is not registered in the client’s name by the body corporate that issued or made available the securities, managed investment products or foreign passport fund products underlying the property;</w:t>
      </w:r>
    </w:p>
    <w:p w14:paraId="1E644026" w14:textId="77777777" w:rsidR="00E93F58" w:rsidRPr="00283424" w:rsidRDefault="00E93F58" w:rsidP="00B50726">
      <w:pPr>
        <w:pStyle w:val="subsection2"/>
      </w:pPr>
      <w:r w:rsidRPr="00283424">
        <w:rPr>
          <w:color w:val="000000"/>
        </w:rPr>
        <w:t>the financial services licensee must arrange to have the property registered in the client’s name.</w:t>
      </w:r>
    </w:p>
    <w:p w14:paraId="06FDA955" w14:textId="77777777" w:rsidR="00E93F58" w:rsidRPr="00283424" w:rsidRDefault="00E93F58" w:rsidP="00B50726">
      <w:pPr>
        <w:pStyle w:val="subsection"/>
      </w:pPr>
      <w:r w:rsidRPr="00283424">
        <w:tab/>
        <w:t>(8)</w:t>
      </w:r>
      <w:r w:rsidRPr="00283424">
        <w:tab/>
        <w:t>A financial services licensee must not deposit property as security for a loan or advance to the financial services licensee unless:</w:t>
      </w:r>
    </w:p>
    <w:p w14:paraId="4C55C5D8" w14:textId="77777777" w:rsidR="00E93F58" w:rsidRPr="00283424" w:rsidRDefault="00E93F58" w:rsidP="00B50726">
      <w:pPr>
        <w:pStyle w:val="paragraph"/>
      </w:pPr>
      <w:r w:rsidRPr="00283424">
        <w:rPr>
          <w:color w:val="000000"/>
        </w:rPr>
        <w:tab/>
        <w:t>(a)</w:t>
      </w:r>
      <w:r w:rsidRPr="00283424">
        <w:rPr>
          <w:color w:val="000000"/>
        </w:rPr>
        <w:tab/>
        <w:t>the client owes the financial services licensee an amount in connection with a transaction entered into by the financial services licensee on the client’s behalf; and</w:t>
      </w:r>
    </w:p>
    <w:p w14:paraId="1193D081" w14:textId="77777777" w:rsidR="00E93F58" w:rsidRPr="00283424" w:rsidRDefault="00E93F58" w:rsidP="00B50726">
      <w:pPr>
        <w:pStyle w:val="paragraph"/>
      </w:pPr>
      <w:r w:rsidRPr="00283424">
        <w:tab/>
        <w:t>(b)</w:t>
      </w:r>
      <w:r w:rsidRPr="00283424">
        <w:tab/>
        <w:t>the financial services licensee gives the client a written notice that identifies the property and states that the dealer proposes to deposit it as security for a loan or advance to the financial services licensee; and</w:t>
      </w:r>
    </w:p>
    <w:p w14:paraId="6EB2A0F4" w14:textId="77777777" w:rsidR="00E93F58" w:rsidRPr="00283424" w:rsidRDefault="00E93F58" w:rsidP="00B50726">
      <w:pPr>
        <w:pStyle w:val="paragraph"/>
      </w:pPr>
      <w:r w:rsidRPr="00283424">
        <w:tab/>
        <w:t>(c)</w:t>
      </w:r>
      <w:r w:rsidRPr="00283424">
        <w:tab/>
        <w:t>the amount, or total of the amounts, that the client owes on the day of the deposit is at least the amount of the loan or advance.</w:t>
      </w:r>
    </w:p>
    <w:p w14:paraId="55D5A467" w14:textId="77777777" w:rsidR="00E93F58" w:rsidRPr="00283424" w:rsidRDefault="00E93F58" w:rsidP="00B50726">
      <w:pPr>
        <w:pStyle w:val="subsection"/>
      </w:pPr>
      <w:r w:rsidRPr="00283424">
        <w:tab/>
        <w:t>(9)</w:t>
      </w:r>
      <w:r w:rsidRPr="00283424">
        <w:tab/>
        <w:t>If a financial services licensee deposits property as security for a loan or advance to the financial services licensee, in accordance with subregulation (8):</w:t>
      </w:r>
    </w:p>
    <w:p w14:paraId="0010F5B0" w14:textId="77777777" w:rsidR="00E93F58" w:rsidRPr="00283424" w:rsidRDefault="00E93F58" w:rsidP="00B50726">
      <w:pPr>
        <w:pStyle w:val="paragraph"/>
      </w:pPr>
      <w:r w:rsidRPr="00283424">
        <w:rPr>
          <w:color w:val="000000"/>
        </w:rPr>
        <w:tab/>
        <w:t>(a)</w:t>
      </w:r>
      <w:r w:rsidRPr="00283424">
        <w:rPr>
          <w:color w:val="000000"/>
        </w:rPr>
        <w:tab/>
        <w:t>the financial services licensee must, not later than 1 business day after the amount, or total of the amounts, that the client owes on the day of the deposit are repaid, withdraw the property from that deposit; and</w:t>
      </w:r>
    </w:p>
    <w:p w14:paraId="25AE147D" w14:textId="77777777" w:rsidR="00E93F58" w:rsidRPr="00283424" w:rsidRDefault="00E93F58" w:rsidP="00B50726">
      <w:pPr>
        <w:pStyle w:val="paragraph"/>
      </w:pPr>
      <w:r w:rsidRPr="00283424">
        <w:tab/>
        <w:t>(b)</w:t>
      </w:r>
      <w:r w:rsidRPr="00283424">
        <w:tab/>
        <w:t>if, at the end of 3 months after the day of that deposit, or at the end of any subsequent interval of 3 months, the property has not been withdrawn from that deposit—the financial services licensee must give the client written notice of that fact.</w:t>
      </w:r>
    </w:p>
    <w:p w14:paraId="2254D80E" w14:textId="77777777" w:rsidR="00E93F58" w:rsidRPr="00283424" w:rsidRDefault="00E93F58" w:rsidP="00B50726">
      <w:pPr>
        <w:pStyle w:val="subsection"/>
      </w:pPr>
      <w:r w:rsidRPr="00283424">
        <w:tab/>
        <w:t>(10)</w:t>
      </w:r>
      <w:r w:rsidRPr="00283424">
        <w:tab/>
        <w:t>In this regulation:</w:t>
      </w:r>
    </w:p>
    <w:p w14:paraId="2BF14DA1" w14:textId="77777777" w:rsidR="00E93F58" w:rsidRPr="00283424" w:rsidRDefault="00E93F58" w:rsidP="00B50726">
      <w:pPr>
        <w:pStyle w:val="Definition"/>
      </w:pPr>
      <w:r w:rsidRPr="00283424">
        <w:rPr>
          <w:b/>
          <w:i/>
          <w:color w:val="000000"/>
        </w:rPr>
        <w:t>property</w:t>
      </w:r>
      <w:r w:rsidRPr="00283424">
        <w:rPr>
          <w:color w:val="000000"/>
        </w:rPr>
        <w:t xml:space="preserve"> includes scrip, but does not include money.</w:t>
      </w:r>
    </w:p>
    <w:p w14:paraId="633BEA56" w14:textId="77777777" w:rsidR="00E93F58" w:rsidRPr="00283424" w:rsidRDefault="00E93F58" w:rsidP="00B50726">
      <w:pPr>
        <w:pStyle w:val="ActHead3"/>
        <w:pageBreakBefore/>
      </w:pPr>
      <w:bookmarkStart w:id="1312" w:name="_Toc152054634"/>
      <w:bookmarkStart w:id="1313" w:name="_Toc158712450"/>
      <w:r w:rsidRPr="006F296E">
        <w:rPr>
          <w:rStyle w:val="CharDivNo"/>
        </w:rPr>
        <w:lastRenderedPageBreak/>
        <w:t>Division 4</w:t>
      </w:r>
      <w:r w:rsidRPr="00283424">
        <w:t>—</w:t>
      </w:r>
      <w:r w:rsidRPr="006F296E">
        <w:rPr>
          <w:rStyle w:val="CharDivText"/>
        </w:rPr>
        <w:t>Special provisions relating to insurance</w:t>
      </w:r>
      <w:bookmarkEnd w:id="1312"/>
      <w:bookmarkEnd w:id="1313"/>
    </w:p>
    <w:p w14:paraId="0C99BEB6" w14:textId="77777777" w:rsidR="00E93F58" w:rsidRPr="00283424" w:rsidRDefault="00E93F58" w:rsidP="00B50726">
      <w:pPr>
        <w:pStyle w:val="ActHead5"/>
      </w:pPr>
      <w:bookmarkStart w:id="1314" w:name="_Toc152054635"/>
      <w:bookmarkStart w:id="1315" w:name="_Toc158712451"/>
      <w:r w:rsidRPr="006F296E">
        <w:rPr>
          <w:rStyle w:val="CharSectno"/>
        </w:rPr>
        <w:t>7.8.08</w:t>
      </w:r>
      <w:r w:rsidRPr="00283424">
        <w:rPr>
          <w:sz w:val="16"/>
        </w:rPr>
        <w:t xml:space="preserve">  </w:t>
      </w:r>
      <w:r w:rsidRPr="00283424">
        <w:t>Debts of financial services licensee in relation to premiums etc</w:t>
      </w:r>
      <w:bookmarkEnd w:id="1314"/>
      <w:bookmarkEnd w:id="1315"/>
    </w:p>
    <w:p w14:paraId="0135FAF4" w14:textId="77777777" w:rsidR="00E93F58" w:rsidRPr="00283424" w:rsidRDefault="00E93F58" w:rsidP="00B50726">
      <w:pPr>
        <w:pStyle w:val="subsection"/>
      </w:pPr>
      <w:r w:rsidRPr="00283424">
        <w:tab/>
        <w:t>(1)</w:t>
      </w:r>
      <w:r w:rsidRPr="00283424">
        <w:tab/>
        <w:t>Subregulations (2) to (4) apply if:</w:t>
      </w:r>
    </w:p>
    <w:p w14:paraId="0EE903EA" w14:textId="77777777" w:rsidR="00E93F58" w:rsidRPr="00283424" w:rsidRDefault="00E93F58" w:rsidP="00B50726">
      <w:pPr>
        <w:pStyle w:val="paragraph"/>
      </w:pPr>
      <w:r w:rsidRPr="00283424">
        <w:tab/>
        <w:t>(a)</w:t>
      </w:r>
      <w:r w:rsidRPr="00283424">
        <w:tab/>
        <w:t>money is received by a financial services licensee:</w:t>
      </w:r>
    </w:p>
    <w:p w14:paraId="1C47CE00" w14:textId="77777777" w:rsidR="00E93F58" w:rsidRPr="00283424" w:rsidRDefault="00E93F58" w:rsidP="00B50726">
      <w:pPr>
        <w:pStyle w:val="paragraphsub"/>
      </w:pPr>
      <w:r w:rsidRPr="00283424">
        <w:rPr>
          <w:color w:val="000000"/>
        </w:rPr>
        <w:tab/>
        <w:t>(i)</w:t>
      </w:r>
      <w:r w:rsidRPr="00283424">
        <w:rPr>
          <w:color w:val="000000"/>
        </w:rPr>
        <w:tab/>
        <w:t>from, or on behalf of, an insured or intending insured, or from another financial services licensee on behalf of an insured or intending insured; and</w:t>
      </w:r>
    </w:p>
    <w:p w14:paraId="09B69881" w14:textId="77777777" w:rsidR="00E93F58" w:rsidRPr="00283424" w:rsidRDefault="00E93F58" w:rsidP="00B50726">
      <w:pPr>
        <w:pStyle w:val="paragraphsub"/>
      </w:pPr>
      <w:r w:rsidRPr="00283424">
        <w:tab/>
        <w:t>(ii)</w:t>
      </w:r>
      <w:r w:rsidRPr="00283424">
        <w:tab/>
        <w:t>as a premium or an instalment of a premium in connection with a contract of insurance or a proposed contract of insurance; and</w:t>
      </w:r>
    </w:p>
    <w:p w14:paraId="3D053510" w14:textId="77777777" w:rsidR="00E93F58" w:rsidRPr="00283424" w:rsidRDefault="00E93F58" w:rsidP="00B50726">
      <w:pPr>
        <w:pStyle w:val="paragraph"/>
        <w:rPr>
          <w:color w:val="000000"/>
        </w:rPr>
      </w:pPr>
      <w:r w:rsidRPr="00283424">
        <w:rPr>
          <w:color w:val="000000"/>
        </w:rPr>
        <w:tab/>
        <w:t>(b)</w:t>
      </w:r>
      <w:r w:rsidRPr="00283424">
        <w:rPr>
          <w:color w:val="000000"/>
        </w:rPr>
        <w:tab/>
        <w:t>the risk, or a part of the risk, to which the contract or proposed contract relates is accepted by or on behalf of an insurer; and</w:t>
      </w:r>
    </w:p>
    <w:p w14:paraId="0BD17EBF" w14:textId="77777777" w:rsidR="00E93F58" w:rsidRPr="00283424" w:rsidRDefault="00E93F58" w:rsidP="00B50726">
      <w:pPr>
        <w:pStyle w:val="paragraph"/>
      </w:pPr>
      <w:r w:rsidRPr="00283424">
        <w:tab/>
        <w:t>(c)</w:t>
      </w:r>
      <w:r w:rsidRPr="00283424">
        <w:tab/>
        <w:t>the financial services licensee who so received the money is informed of, or otherwise ascertains, the amount of the premium or instalment to be paid.</w:t>
      </w:r>
    </w:p>
    <w:p w14:paraId="7EF80B99" w14:textId="77777777" w:rsidR="00E93F58" w:rsidRPr="00283424" w:rsidRDefault="00E93F58" w:rsidP="00B50726">
      <w:pPr>
        <w:pStyle w:val="subsection"/>
        <w:rPr>
          <w:color w:val="000000"/>
        </w:rPr>
      </w:pPr>
      <w:r w:rsidRPr="00283424">
        <w:rPr>
          <w:color w:val="000000"/>
        </w:rPr>
        <w:tab/>
        <w:t>(2)</w:t>
      </w:r>
      <w:r w:rsidRPr="00283424">
        <w:rPr>
          <w:color w:val="000000"/>
        </w:rPr>
        <w:tab/>
        <w:t>The financial services licensee who received the money must pay to the insurer an amount equal to the amount of the premium or instalment to be paid:</w:t>
      </w:r>
    </w:p>
    <w:p w14:paraId="0CE1DEDA" w14:textId="77777777" w:rsidR="00E93F58" w:rsidRPr="00283424" w:rsidRDefault="00E93F58" w:rsidP="00B50726">
      <w:pPr>
        <w:pStyle w:val="paragraph"/>
      </w:pPr>
      <w:r w:rsidRPr="00283424">
        <w:tab/>
        <w:t>(a)</w:t>
      </w:r>
      <w:r w:rsidRPr="00283424">
        <w:tab/>
        <w:t xml:space="preserve">in the period of 90 days (the </w:t>
      </w:r>
      <w:r w:rsidRPr="00283424">
        <w:rPr>
          <w:b/>
          <w:i/>
        </w:rPr>
        <w:t>relevant period</w:t>
      </w:r>
      <w:r w:rsidRPr="00283424">
        <w:t>) after:</w:t>
      </w:r>
    </w:p>
    <w:p w14:paraId="502F04D2" w14:textId="77777777" w:rsidR="00E93F58" w:rsidRPr="00283424" w:rsidRDefault="00E93F58" w:rsidP="00B50726">
      <w:pPr>
        <w:pStyle w:val="paragraphsub"/>
        <w:rPr>
          <w:color w:val="000000"/>
        </w:rPr>
      </w:pPr>
      <w:r w:rsidRPr="00283424">
        <w:rPr>
          <w:color w:val="000000"/>
        </w:rPr>
        <w:tab/>
        <w:t>(i)</w:t>
      </w:r>
      <w:r w:rsidRPr="00283424">
        <w:rPr>
          <w:color w:val="000000"/>
        </w:rPr>
        <w:tab/>
        <w:t>the day on which the cover provided by the insurer under the contract starts to have effect; or</w:t>
      </w:r>
    </w:p>
    <w:p w14:paraId="36D8CBE6" w14:textId="77777777" w:rsidR="00E93F58" w:rsidRPr="00283424" w:rsidRDefault="00E93F58" w:rsidP="00B50726">
      <w:pPr>
        <w:pStyle w:val="paragraphsub"/>
      </w:pPr>
      <w:r w:rsidRPr="00283424">
        <w:tab/>
        <w:t>(ii)</w:t>
      </w:r>
      <w:r w:rsidRPr="00283424">
        <w:tab/>
        <w:t>the first day of the period to which the instalment relates; or</w:t>
      </w:r>
    </w:p>
    <w:p w14:paraId="361307B4" w14:textId="77777777" w:rsidR="00E93F58" w:rsidRPr="00283424" w:rsidRDefault="00E93F58" w:rsidP="00B50726">
      <w:pPr>
        <w:pStyle w:val="paragraph"/>
        <w:rPr>
          <w:color w:val="000000"/>
        </w:rPr>
      </w:pPr>
      <w:r w:rsidRPr="00283424">
        <w:rPr>
          <w:color w:val="000000"/>
        </w:rPr>
        <w:tab/>
        <w:t>(b)</w:t>
      </w:r>
      <w:r w:rsidRPr="00283424">
        <w:rPr>
          <w:color w:val="000000"/>
        </w:rPr>
        <w:tab/>
        <w:t>if it is not practicable for the financial services licensee to pay the amount in the relevant period—as soon as practicable after the end of that period.</w:t>
      </w:r>
    </w:p>
    <w:p w14:paraId="131B535E" w14:textId="77777777" w:rsidR="00E93F58" w:rsidRPr="00283424" w:rsidRDefault="00E93F58" w:rsidP="00B50726">
      <w:pPr>
        <w:pStyle w:val="subsection"/>
      </w:pPr>
      <w:r w:rsidRPr="00283424">
        <w:rPr>
          <w:color w:val="000000"/>
        </w:rPr>
        <w:tab/>
        <w:t>(3)</w:t>
      </w:r>
      <w:r w:rsidRPr="00283424">
        <w:rPr>
          <w:color w:val="000000"/>
        </w:rPr>
        <w:tab/>
        <w:t>If the financial services licensee has not received the amount of the premium, or of an instalment of the premium, payable in respect of a contract of insurance at the end of the relevant period, the financial services licensee must notify the insurer in writing, not later than 7 days after the end of the relevant period, that the financial services licensee has not received the amount.</w:t>
      </w:r>
    </w:p>
    <w:p w14:paraId="1A5A01DC" w14:textId="77777777" w:rsidR="00E93F58" w:rsidRPr="00283424" w:rsidRDefault="00E93F58" w:rsidP="00B50726">
      <w:pPr>
        <w:pStyle w:val="subsection"/>
      </w:pPr>
      <w:r w:rsidRPr="00283424">
        <w:tab/>
        <w:t>(4)</w:t>
      </w:r>
      <w:r w:rsidRPr="00283424">
        <w:tab/>
        <w:t>Subregulation (3) does not apply if the financial services licensee receives the amount:</w:t>
      </w:r>
    </w:p>
    <w:p w14:paraId="0A061E0E" w14:textId="77777777" w:rsidR="00E93F58" w:rsidRPr="00283424" w:rsidRDefault="00E93F58" w:rsidP="00B50726">
      <w:pPr>
        <w:pStyle w:val="paragraph"/>
      </w:pPr>
      <w:r w:rsidRPr="00283424">
        <w:rPr>
          <w:color w:val="000000"/>
        </w:rPr>
        <w:tab/>
        <w:t>(a)</w:t>
      </w:r>
      <w:r w:rsidRPr="00283424">
        <w:rPr>
          <w:color w:val="000000"/>
        </w:rPr>
        <w:tab/>
        <w:t>in the period of 7 days mentioned in subregulation (3); and</w:t>
      </w:r>
    </w:p>
    <w:p w14:paraId="27BBBD5A" w14:textId="77777777" w:rsidR="00E93F58" w:rsidRPr="00283424" w:rsidRDefault="00E93F58" w:rsidP="00B50726">
      <w:pPr>
        <w:pStyle w:val="paragraph"/>
      </w:pPr>
      <w:r w:rsidRPr="00283424">
        <w:tab/>
        <w:t>(b)</w:t>
      </w:r>
      <w:r w:rsidRPr="00283424">
        <w:tab/>
        <w:t>before notifying the insurer in accordance with subregulation (3).</w:t>
      </w:r>
    </w:p>
    <w:p w14:paraId="685BFD5C" w14:textId="77777777" w:rsidR="00E93F58" w:rsidRPr="00283424" w:rsidRDefault="00E93F58" w:rsidP="00B50726">
      <w:pPr>
        <w:pStyle w:val="subsection"/>
        <w:rPr>
          <w:color w:val="000000"/>
        </w:rPr>
      </w:pPr>
      <w:r w:rsidRPr="00283424">
        <w:rPr>
          <w:color w:val="000000"/>
        </w:rPr>
        <w:tab/>
        <w:t>(5)</w:t>
      </w:r>
      <w:r w:rsidRPr="00283424">
        <w:rPr>
          <w:color w:val="000000"/>
        </w:rPr>
        <w:tab/>
        <w:t>Subregulations (6) and (7) apply if:</w:t>
      </w:r>
    </w:p>
    <w:p w14:paraId="2C13A032" w14:textId="77777777" w:rsidR="00E93F58" w:rsidRPr="00283424" w:rsidRDefault="00E93F58" w:rsidP="00B50726">
      <w:pPr>
        <w:pStyle w:val="paragraph"/>
      </w:pPr>
      <w:r w:rsidRPr="00283424">
        <w:tab/>
        <w:t>(a)</w:t>
      </w:r>
      <w:r w:rsidRPr="00283424">
        <w:tab/>
        <w:t>a financial services licensee receives money from, or on behalf of:</w:t>
      </w:r>
    </w:p>
    <w:p w14:paraId="07F5559D" w14:textId="77777777" w:rsidR="00E93F58" w:rsidRPr="00283424" w:rsidRDefault="00E93F58" w:rsidP="00B50726">
      <w:pPr>
        <w:pStyle w:val="paragraphsub"/>
        <w:rPr>
          <w:color w:val="000000"/>
        </w:rPr>
      </w:pPr>
      <w:r w:rsidRPr="00283424">
        <w:rPr>
          <w:color w:val="000000"/>
        </w:rPr>
        <w:tab/>
        <w:t>(i)</w:t>
      </w:r>
      <w:r w:rsidRPr="00283424">
        <w:rPr>
          <w:color w:val="000000"/>
        </w:rPr>
        <w:tab/>
        <w:t>an insured or intending insured; or</w:t>
      </w:r>
    </w:p>
    <w:p w14:paraId="69E22B65" w14:textId="77777777" w:rsidR="00E93F58" w:rsidRPr="00283424" w:rsidRDefault="00E93F58" w:rsidP="00B50726">
      <w:pPr>
        <w:pStyle w:val="paragraphsub"/>
      </w:pPr>
      <w:r w:rsidRPr="00283424">
        <w:tab/>
        <w:t>(ii)</w:t>
      </w:r>
      <w:r w:rsidRPr="00283424">
        <w:tab/>
        <w:t>another financial services licensee on behalf of an insured or intending insured;</w:t>
      </w:r>
    </w:p>
    <w:p w14:paraId="24A7A6D9" w14:textId="77777777" w:rsidR="00E93F58" w:rsidRPr="00283424" w:rsidRDefault="00E93F58" w:rsidP="00B50726">
      <w:pPr>
        <w:pStyle w:val="paragraph"/>
      </w:pPr>
      <w:r w:rsidRPr="00283424">
        <w:rPr>
          <w:color w:val="000000"/>
        </w:rPr>
        <w:tab/>
      </w:r>
      <w:r w:rsidRPr="00283424">
        <w:rPr>
          <w:color w:val="000000"/>
        </w:rPr>
        <w:tab/>
        <w:t>as a premium or an instalment of a premium in connection with a contract of insurance or a proposed contract of insurance; and</w:t>
      </w:r>
    </w:p>
    <w:p w14:paraId="4EB88E8D" w14:textId="77777777" w:rsidR="00E93F58" w:rsidRPr="00283424" w:rsidRDefault="00E93F58" w:rsidP="00B50726">
      <w:pPr>
        <w:pStyle w:val="paragraph"/>
      </w:pPr>
      <w:r w:rsidRPr="00283424">
        <w:tab/>
        <w:t>(b)</w:t>
      </w:r>
      <w:r w:rsidRPr="00283424">
        <w:tab/>
        <w:t>the risk, or a part of the risk, to which the contract or proposed contract relates is accepted by or on behalf of an insurer; and</w:t>
      </w:r>
    </w:p>
    <w:p w14:paraId="19418826" w14:textId="77777777" w:rsidR="00E93F58" w:rsidRPr="00283424" w:rsidRDefault="00E93F58" w:rsidP="00B50726">
      <w:pPr>
        <w:pStyle w:val="paragraph"/>
      </w:pPr>
      <w:r w:rsidRPr="00283424">
        <w:tab/>
        <w:t>(c)</w:t>
      </w:r>
      <w:r w:rsidRPr="00283424">
        <w:tab/>
        <w:t>the financial services licensee who received the money has not been informed of, and has not otherwise ascertained, the amount of the premium or instalment to be paid.</w:t>
      </w:r>
    </w:p>
    <w:p w14:paraId="0210D3E1" w14:textId="77777777" w:rsidR="00E93F58" w:rsidRPr="00283424" w:rsidRDefault="00E93F58" w:rsidP="00B50726">
      <w:pPr>
        <w:pStyle w:val="subsection"/>
      </w:pPr>
      <w:r w:rsidRPr="00283424">
        <w:tab/>
        <w:t>(6)</w:t>
      </w:r>
      <w:r w:rsidRPr="00283424">
        <w:tab/>
        <w:t>The financial services licensee who received the money must pay the amount mentioned in subregulation (7) to the insurer:</w:t>
      </w:r>
    </w:p>
    <w:p w14:paraId="5A9D0972" w14:textId="77777777" w:rsidR="00E93F58" w:rsidRPr="00283424" w:rsidRDefault="00E93F58" w:rsidP="00B50726">
      <w:pPr>
        <w:pStyle w:val="paragraph"/>
      </w:pPr>
      <w:r w:rsidRPr="00283424">
        <w:tab/>
        <w:t>(a)</w:t>
      </w:r>
      <w:r w:rsidRPr="00283424">
        <w:tab/>
        <w:t xml:space="preserve">in the period of 90 days (the </w:t>
      </w:r>
      <w:r w:rsidRPr="00283424">
        <w:rPr>
          <w:b/>
          <w:i/>
        </w:rPr>
        <w:t>relevant period</w:t>
      </w:r>
      <w:r w:rsidRPr="00283424">
        <w:t>) after:</w:t>
      </w:r>
    </w:p>
    <w:p w14:paraId="558048C9" w14:textId="77777777" w:rsidR="00E93F58" w:rsidRPr="00283424" w:rsidRDefault="00E93F58" w:rsidP="00B50726">
      <w:pPr>
        <w:pStyle w:val="paragraphsub"/>
        <w:rPr>
          <w:color w:val="000000"/>
        </w:rPr>
      </w:pPr>
      <w:r w:rsidRPr="00283424">
        <w:rPr>
          <w:color w:val="000000"/>
        </w:rPr>
        <w:tab/>
        <w:t>(i)</w:t>
      </w:r>
      <w:r w:rsidRPr="00283424">
        <w:rPr>
          <w:color w:val="000000"/>
        </w:rPr>
        <w:tab/>
        <w:t>the day on which the cover provided by the insurer under the contract starts to have effect; or</w:t>
      </w:r>
    </w:p>
    <w:p w14:paraId="357526DB" w14:textId="77777777" w:rsidR="00E93F58" w:rsidRPr="00283424" w:rsidRDefault="00E93F58" w:rsidP="00B50726">
      <w:pPr>
        <w:pStyle w:val="paragraphsub"/>
      </w:pPr>
      <w:r w:rsidRPr="00283424">
        <w:tab/>
        <w:t>(ii)</w:t>
      </w:r>
      <w:r w:rsidRPr="00283424">
        <w:tab/>
        <w:t>the first day of the period to which the instalment relates; or</w:t>
      </w:r>
    </w:p>
    <w:p w14:paraId="6A605F3F" w14:textId="77777777" w:rsidR="00E93F58" w:rsidRPr="00283424" w:rsidRDefault="00E93F58" w:rsidP="00B50726">
      <w:pPr>
        <w:pStyle w:val="paragraph"/>
        <w:rPr>
          <w:color w:val="000000"/>
        </w:rPr>
      </w:pPr>
      <w:r w:rsidRPr="00283424">
        <w:rPr>
          <w:color w:val="000000"/>
        </w:rPr>
        <w:tab/>
        <w:t>(b)</w:t>
      </w:r>
      <w:r w:rsidRPr="00283424">
        <w:rPr>
          <w:color w:val="000000"/>
        </w:rPr>
        <w:tab/>
        <w:t>if it is not practicable for the financial services licensee to pay the amount in the relevant period—as soon as practicable after the end of that period.</w:t>
      </w:r>
    </w:p>
    <w:p w14:paraId="0E32DCDD" w14:textId="77777777" w:rsidR="00E93F58" w:rsidRPr="00283424" w:rsidRDefault="00E93F58" w:rsidP="00B50726">
      <w:pPr>
        <w:pStyle w:val="subsection"/>
      </w:pPr>
      <w:r w:rsidRPr="00283424">
        <w:tab/>
        <w:t>(7)</w:t>
      </w:r>
      <w:r w:rsidRPr="00283424">
        <w:tab/>
        <w:t>For subregulation (6), the amount is:</w:t>
      </w:r>
    </w:p>
    <w:p w14:paraId="504FD01E" w14:textId="77777777" w:rsidR="00E93F58" w:rsidRPr="00283424" w:rsidRDefault="00E93F58" w:rsidP="00B50726">
      <w:pPr>
        <w:pStyle w:val="paragraph"/>
        <w:rPr>
          <w:color w:val="000000"/>
        </w:rPr>
      </w:pPr>
      <w:r w:rsidRPr="00283424">
        <w:rPr>
          <w:color w:val="000000"/>
        </w:rPr>
        <w:tab/>
        <w:t>(a)</w:t>
      </w:r>
      <w:r w:rsidRPr="00283424">
        <w:rPr>
          <w:color w:val="000000"/>
        </w:rPr>
        <w:tab/>
        <w:t>for a new contract of insurance, an amount not less than the lesser of:</w:t>
      </w:r>
    </w:p>
    <w:p w14:paraId="20EFF3D4" w14:textId="77777777" w:rsidR="00E93F58" w:rsidRPr="00283424" w:rsidRDefault="00E93F58" w:rsidP="00B50726">
      <w:pPr>
        <w:pStyle w:val="paragraphsub"/>
        <w:rPr>
          <w:color w:val="000000"/>
        </w:rPr>
      </w:pPr>
      <w:r w:rsidRPr="00283424">
        <w:rPr>
          <w:color w:val="000000"/>
        </w:rPr>
        <w:tab/>
        <w:t>(i)</w:t>
      </w:r>
      <w:r w:rsidRPr="00283424">
        <w:rPr>
          <w:color w:val="000000"/>
        </w:rPr>
        <w:tab/>
        <w:t>the amount of the money received; or</w:t>
      </w:r>
    </w:p>
    <w:p w14:paraId="3069D931" w14:textId="77777777" w:rsidR="00E93F58" w:rsidRPr="00283424" w:rsidRDefault="00E93F58" w:rsidP="00B50726">
      <w:pPr>
        <w:pStyle w:val="paragraphsub"/>
      </w:pPr>
      <w:r w:rsidRPr="00283424">
        <w:tab/>
        <w:t>(ii)</w:t>
      </w:r>
      <w:r w:rsidRPr="00283424">
        <w:tab/>
        <w:t>75% of the amount fairly estimated by the financial services licensee to be the premium or instalment that is to be paid; and</w:t>
      </w:r>
    </w:p>
    <w:p w14:paraId="67BE0A16" w14:textId="77777777" w:rsidR="00E93F58" w:rsidRPr="00283424" w:rsidRDefault="00E93F58" w:rsidP="00B50726">
      <w:pPr>
        <w:pStyle w:val="paragraph"/>
        <w:rPr>
          <w:color w:val="000000"/>
        </w:rPr>
      </w:pPr>
      <w:r w:rsidRPr="00283424">
        <w:rPr>
          <w:color w:val="000000"/>
        </w:rPr>
        <w:tab/>
        <w:t>(b)</w:t>
      </w:r>
      <w:r w:rsidRPr="00283424">
        <w:rPr>
          <w:color w:val="000000"/>
        </w:rPr>
        <w:tab/>
        <w:t>for a renewal of a contract of insurance, an amount not less than the lesser of:</w:t>
      </w:r>
    </w:p>
    <w:p w14:paraId="0095CD4E" w14:textId="77777777" w:rsidR="00E93F58" w:rsidRPr="00283424" w:rsidRDefault="00E93F58" w:rsidP="00B50726">
      <w:pPr>
        <w:pStyle w:val="paragraphsub"/>
        <w:rPr>
          <w:color w:val="000000"/>
        </w:rPr>
      </w:pPr>
      <w:r w:rsidRPr="00283424">
        <w:rPr>
          <w:color w:val="000000"/>
        </w:rPr>
        <w:tab/>
        <w:t>(i)</w:t>
      </w:r>
      <w:r w:rsidRPr="00283424">
        <w:rPr>
          <w:color w:val="000000"/>
        </w:rPr>
        <w:tab/>
        <w:t>the amount of the money so received; or</w:t>
      </w:r>
    </w:p>
    <w:p w14:paraId="0DF1DE9D" w14:textId="77777777" w:rsidR="00E93F58" w:rsidRPr="00283424" w:rsidRDefault="00E93F58" w:rsidP="00B50726">
      <w:pPr>
        <w:pStyle w:val="paragraphsub"/>
      </w:pPr>
      <w:r w:rsidRPr="00283424">
        <w:lastRenderedPageBreak/>
        <w:tab/>
        <w:t>(ii)</w:t>
      </w:r>
      <w:r w:rsidRPr="00283424">
        <w:tab/>
        <w:t>75% of the previous year’s premium for the risk, or of the last instalment of that years premium.</w:t>
      </w:r>
    </w:p>
    <w:p w14:paraId="12F5E622" w14:textId="77777777" w:rsidR="00E93F58" w:rsidRPr="00283424" w:rsidRDefault="00E93F58" w:rsidP="00B50726">
      <w:pPr>
        <w:pStyle w:val="subsection"/>
        <w:rPr>
          <w:color w:val="000000"/>
        </w:rPr>
      </w:pPr>
      <w:r w:rsidRPr="00283424">
        <w:rPr>
          <w:color w:val="000000"/>
        </w:rPr>
        <w:tab/>
        <w:t>(8)</w:t>
      </w:r>
      <w:r w:rsidRPr="00283424">
        <w:rPr>
          <w:color w:val="000000"/>
        </w:rPr>
        <w:tab/>
        <w:t>Subregulation (9) applies if:</w:t>
      </w:r>
    </w:p>
    <w:p w14:paraId="7E8A750F" w14:textId="77777777" w:rsidR="00E93F58" w:rsidRPr="00283424" w:rsidRDefault="00E93F58" w:rsidP="00B50726">
      <w:pPr>
        <w:pStyle w:val="paragraph"/>
      </w:pPr>
      <w:r w:rsidRPr="00283424">
        <w:rPr>
          <w:color w:val="000000"/>
        </w:rPr>
        <w:tab/>
        <w:t>(a)</w:t>
      </w:r>
      <w:r w:rsidRPr="00283424">
        <w:rPr>
          <w:color w:val="000000"/>
        </w:rPr>
        <w:tab/>
        <w:t>the risk, or a part of the risk, to which a contract of insurance or a proposed contract of insurance relates is accepted by or on behalf of an insurer; and</w:t>
      </w:r>
    </w:p>
    <w:p w14:paraId="20B9CCAE" w14:textId="77777777" w:rsidR="00E93F58" w:rsidRPr="00283424" w:rsidRDefault="00E93F58" w:rsidP="00B50726">
      <w:pPr>
        <w:pStyle w:val="paragraph"/>
      </w:pPr>
      <w:r w:rsidRPr="00283424">
        <w:tab/>
        <w:t>(b)</w:t>
      </w:r>
      <w:r w:rsidRPr="00283424">
        <w:tab/>
        <w:t>the contract of insurance or proposed contract of insurance has been, or is being, arranged or effected by a financial services licensee (</w:t>
      </w:r>
      <w:r w:rsidRPr="00283424">
        <w:rPr>
          <w:b/>
          <w:i/>
        </w:rPr>
        <w:t>licensee 1</w:t>
      </w:r>
      <w:r w:rsidRPr="00283424">
        <w:t>), either directly or through another financial services licensee; and</w:t>
      </w:r>
    </w:p>
    <w:p w14:paraId="12EDF3A0" w14:textId="77777777" w:rsidR="00E93F58" w:rsidRPr="00283424" w:rsidRDefault="00E93F58" w:rsidP="00B50726">
      <w:pPr>
        <w:pStyle w:val="paragraph"/>
      </w:pPr>
      <w:r w:rsidRPr="00283424">
        <w:tab/>
        <w:t>(c)</w:t>
      </w:r>
      <w:r w:rsidRPr="00283424">
        <w:tab/>
        <w:t>licensee 1 has not been informed of, and has not otherwise ascertained, the amount of a premium or of an instalment of a premium to be paid in connection with the contract or proposed contract.</w:t>
      </w:r>
    </w:p>
    <w:p w14:paraId="4DA7EE62" w14:textId="77777777" w:rsidR="00E93F58" w:rsidRPr="00283424" w:rsidRDefault="00E93F58" w:rsidP="00B50726">
      <w:pPr>
        <w:pStyle w:val="subsection"/>
      </w:pPr>
      <w:r w:rsidRPr="00283424">
        <w:tab/>
        <w:t>(9)</w:t>
      </w:r>
      <w:r w:rsidRPr="00283424">
        <w:tab/>
        <w:t>Licensee 1 must, notify the insurer in writing, within 10 days after the day on which the risk, or that part of the risk, was accepted, that:</w:t>
      </w:r>
    </w:p>
    <w:p w14:paraId="3E70F45A" w14:textId="77777777" w:rsidR="00E93F58" w:rsidRPr="00283424" w:rsidRDefault="00E93F58" w:rsidP="00B50726">
      <w:pPr>
        <w:pStyle w:val="paragraph"/>
      </w:pPr>
      <w:r w:rsidRPr="00283424">
        <w:rPr>
          <w:color w:val="000000"/>
        </w:rPr>
        <w:tab/>
        <w:t>(a)</w:t>
      </w:r>
      <w:r w:rsidRPr="00283424">
        <w:rPr>
          <w:color w:val="000000"/>
        </w:rPr>
        <w:tab/>
        <w:t>the risk, or that part of the risk, has been accepted; and</w:t>
      </w:r>
    </w:p>
    <w:p w14:paraId="0E5AF6DE" w14:textId="77777777" w:rsidR="00E93F58" w:rsidRPr="00283424" w:rsidRDefault="00E93F58" w:rsidP="00B50726">
      <w:pPr>
        <w:pStyle w:val="paragraph"/>
      </w:pPr>
      <w:r w:rsidRPr="00283424">
        <w:tab/>
        <w:t>(b)</w:t>
      </w:r>
      <w:r w:rsidRPr="00283424">
        <w:tab/>
        <w:t>licensee 1 does not know the amount of the premium or instalment to be paid;</w:t>
      </w:r>
    </w:p>
    <w:p w14:paraId="52BD51C7" w14:textId="77777777" w:rsidR="00E93F58" w:rsidRPr="00283424" w:rsidRDefault="00E93F58" w:rsidP="00B50726">
      <w:pPr>
        <w:pStyle w:val="subsection2"/>
      </w:pPr>
      <w:r w:rsidRPr="00283424">
        <w:rPr>
          <w:color w:val="000000"/>
        </w:rPr>
        <w:t>unless licensee 1 is informed of, or otherwise ascertains, the amount of the premium or instalment to be paid before notifying the insurer.</w:t>
      </w:r>
    </w:p>
    <w:p w14:paraId="43F722CC" w14:textId="77777777" w:rsidR="00E93F58" w:rsidRPr="00283424" w:rsidRDefault="00E93F58" w:rsidP="00B50726">
      <w:pPr>
        <w:pStyle w:val="subsection"/>
        <w:rPr>
          <w:color w:val="000000"/>
        </w:rPr>
      </w:pPr>
      <w:r w:rsidRPr="00283424">
        <w:rPr>
          <w:color w:val="000000"/>
        </w:rPr>
        <w:tab/>
        <w:t>(10)</w:t>
      </w:r>
      <w:r w:rsidRPr="00283424">
        <w:rPr>
          <w:color w:val="000000"/>
        </w:rPr>
        <w:tab/>
        <w:t>Nothing in this regulation prevents:</w:t>
      </w:r>
    </w:p>
    <w:p w14:paraId="7AFECE56" w14:textId="77777777" w:rsidR="00E93F58" w:rsidRPr="00283424" w:rsidRDefault="00E93F58" w:rsidP="00B50726">
      <w:pPr>
        <w:pStyle w:val="paragraph"/>
      </w:pPr>
      <w:r w:rsidRPr="00283424">
        <w:rPr>
          <w:color w:val="000000"/>
        </w:rPr>
        <w:tab/>
        <w:t>(a)</w:t>
      </w:r>
      <w:r w:rsidRPr="00283424">
        <w:rPr>
          <w:color w:val="000000"/>
        </w:rPr>
        <w:tab/>
        <w:t>an insurer from making a contract or arrangement with a financial services licensee providing for the financial services licensee to pay an amount to the insurer before the time by which the financial services licensee is required by the provision concerned to pay that amount to the insurer; or</w:t>
      </w:r>
    </w:p>
    <w:p w14:paraId="1C3EBE78" w14:textId="77777777" w:rsidR="00E93F58" w:rsidRPr="00283424" w:rsidRDefault="00E93F58" w:rsidP="00B50726">
      <w:pPr>
        <w:pStyle w:val="paragraph"/>
      </w:pPr>
      <w:r w:rsidRPr="00283424">
        <w:tab/>
        <w:t>(b)</w:t>
      </w:r>
      <w:r w:rsidRPr="00283424">
        <w:tab/>
        <w:t>an insurer from authorising a financial services licensee in writing to pay on behalf of the insurer, out of the money received by the financial services licensee as a premium or instalment of a premium in respect of a contract of insurance arranged with the insurer, any charges required by law to be paid by the insurer in respect of the contract; or</w:t>
      </w:r>
    </w:p>
    <w:p w14:paraId="2E1DB393" w14:textId="77777777" w:rsidR="00E93F58" w:rsidRPr="00283424" w:rsidRDefault="00E93F58" w:rsidP="00B50726">
      <w:pPr>
        <w:pStyle w:val="paragraph"/>
      </w:pPr>
      <w:r w:rsidRPr="00283424">
        <w:tab/>
        <w:t>(c)</w:t>
      </w:r>
      <w:r w:rsidRPr="00283424">
        <w:tab/>
        <w:t>a financial services licensee from exercising any legal right available to the financial services licensee to deduct from any moneys payable by the financial services licensee to the insurer any remuneration payable by the insurer to the financial services licensee in relation to a contract of insurance.</w:t>
      </w:r>
    </w:p>
    <w:p w14:paraId="447EC7CC" w14:textId="77777777" w:rsidR="00E93F58" w:rsidRPr="00283424" w:rsidRDefault="00E93F58" w:rsidP="00B50726">
      <w:pPr>
        <w:pStyle w:val="subsection"/>
        <w:rPr>
          <w:color w:val="000000"/>
        </w:rPr>
      </w:pPr>
      <w:r w:rsidRPr="00283424">
        <w:rPr>
          <w:color w:val="000000"/>
        </w:rPr>
        <w:tab/>
        <w:t>(11)</w:t>
      </w:r>
      <w:r w:rsidRPr="00283424">
        <w:rPr>
          <w:color w:val="000000"/>
        </w:rPr>
        <w:tab/>
        <w:t>For subregulation (1) or (5), if the risk, or a part of the risk, to which a contract or proposed contract mentioned in that subregulation is accepted on behalf of an insurer by an insurance intermediary other than the insurance financial services licensee who received the moneys from or on behalf of the insured or intending insured, the payment of the premium, or part of the premium, by the financial services licensee to the intermediary is taken to be a payment of the premium or part of the premium by the financial services licensee to the insurer.</w:t>
      </w:r>
    </w:p>
    <w:p w14:paraId="4EC3BC31" w14:textId="77777777" w:rsidR="00E93F58" w:rsidRPr="00283424" w:rsidRDefault="00E93F58" w:rsidP="00B50726">
      <w:pPr>
        <w:pStyle w:val="subsection"/>
      </w:pPr>
      <w:r w:rsidRPr="00283424">
        <w:tab/>
        <w:t>(12)</w:t>
      </w:r>
      <w:r w:rsidRPr="00283424">
        <w:tab/>
        <w:t>For subregulation (3) or (8), if:</w:t>
      </w:r>
    </w:p>
    <w:p w14:paraId="461790E5" w14:textId="77777777" w:rsidR="00E93F58" w:rsidRPr="00283424" w:rsidRDefault="00E93F58" w:rsidP="00B50726">
      <w:pPr>
        <w:pStyle w:val="paragraph"/>
        <w:rPr>
          <w:color w:val="000000"/>
        </w:rPr>
      </w:pPr>
      <w:r w:rsidRPr="00283424">
        <w:rPr>
          <w:color w:val="000000"/>
        </w:rPr>
        <w:tab/>
        <w:t>(a)</w:t>
      </w:r>
      <w:r w:rsidRPr="00283424">
        <w:rPr>
          <w:color w:val="000000"/>
        </w:rPr>
        <w:tab/>
        <w:t>a financial services licensee is required to notify an insurer in accordance with that subregulation; and</w:t>
      </w:r>
    </w:p>
    <w:p w14:paraId="111E8D04" w14:textId="77777777" w:rsidR="00E93F58" w:rsidRPr="00283424" w:rsidRDefault="00E93F58" w:rsidP="00B50726">
      <w:pPr>
        <w:pStyle w:val="paragraph"/>
      </w:pPr>
      <w:r w:rsidRPr="00283424">
        <w:tab/>
        <w:t>(b)</w:t>
      </w:r>
      <w:r w:rsidRPr="00283424">
        <w:tab/>
        <w:t>an insurance intermediary other than the financial services licensee has accepted the risk, or a part of the risk, to which the contract or proposed contract relates on behalf of the insurer;</w:t>
      </w:r>
    </w:p>
    <w:p w14:paraId="5C14948A" w14:textId="77777777" w:rsidR="00E93F58" w:rsidRPr="00283424" w:rsidRDefault="00E93F58" w:rsidP="00B50726">
      <w:pPr>
        <w:pStyle w:val="subsection2"/>
        <w:rPr>
          <w:color w:val="000000"/>
        </w:rPr>
      </w:pPr>
      <w:r w:rsidRPr="00283424">
        <w:rPr>
          <w:color w:val="000000"/>
        </w:rPr>
        <w:t>a notification by the financial services licensee to the intermediary is taken to be a notification by the financial services licensee to the insurer.</w:t>
      </w:r>
    </w:p>
    <w:p w14:paraId="1C9353EB" w14:textId="77777777" w:rsidR="00E93F58" w:rsidRPr="00283424" w:rsidRDefault="00E93F58" w:rsidP="00B50726">
      <w:pPr>
        <w:pStyle w:val="subsection"/>
        <w:rPr>
          <w:color w:val="000000"/>
        </w:rPr>
      </w:pPr>
      <w:r w:rsidRPr="00283424">
        <w:rPr>
          <w:color w:val="000000"/>
        </w:rPr>
        <w:tab/>
        <w:t>(13)</w:t>
      </w:r>
      <w:r w:rsidRPr="00283424">
        <w:rPr>
          <w:color w:val="000000"/>
        </w:rPr>
        <w:tab/>
        <w:t>Subregulations (14) and (15) apply if:</w:t>
      </w:r>
    </w:p>
    <w:p w14:paraId="5B07136B" w14:textId="77777777" w:rsidR="00E93F58" w:rsidRPr="00283424" w:rsidRDefault="00E93F58" w:rsidP="00B50726">
      <w:pPr>
        <w:pStyle w:val="paragraph"/>
        <w:rPr>
          <w:color w:val="000000"/>
        </w:rPr>
      </w:pPr>
      <w:r w:rsidRPr="00283424">
        <w:rPr>
          <w:color w:val="000000"/>
        </w:rPr>
        <w:tab/>
        <w:t>(a)</w:t>
      </w:r>
      <w:r w:rsidRPr="00283424">
        <w:rPr>
          <w:color w:val="000000"/>
        </w:rPr>
        <w:tab/>
        <w:t>a financial services licensee receives money from, or on behalf of, an insured or intending insured in connection with a contract of insurance or proposed contract of insurance; and</w:t>
      </w:r>
    </w:p>
    <w:p w14:paraId="3980E0CA" w14:textId="77777777" w:rsidR="00E93F58" w:rsidRPr="00283424" w:rsidRDefault="00E93F58" w:rsidP="00B50726">
      <w:pPr>
        <w:pStyle w:val="paragraph"/>
      </w:pPr>
      <w:r w:rsidRPr="00283424">
        <w:tab/>
        <w:t>(b)</w:t>
      </w:r>
      <w:r w:rsidRPr="00283424">
        <w:tab/>
        <w:t>at the end of 30 days after the day on which the money was received, the risk, or a part of the risk, to which the contract or proposed contract relates has not been accepted.</w:t>
      </w:r>
    </w:p>
    <w:p w14:paraId="203C74F5" w14:textId="77777777" w:rsidR="00E93F58" w:rsidRPr="00283424" w:rsidRDefault="00E93F58" w:rsidP="00B50726">
      <w:pPr>
        <w:pStyle w:val="subsection"/>
        <w:rPr>
          <w:color w:val="000000"/>
        </w:rPr>
      </w:pPr>
      <w:r w:rsidRPr="00283424">
        <w:rPr>
          <w:color w:val="000000"/>
        </w:rPr>
        <w:tab/>
        <w:t>(14)</w:t>
      </w:r>
      <w:r w:rsidRPr="00283424">
        <w:rPr>
          <w:color w:val="000000"/>
        </w:rPr>
        <w:tab/>
        <w:t>If the risk has not been accepted, the financial services licensee must, within 7 days after the end of the 30 day period:</w:t>
      </w:r>
    </w:p>
    <w:p w14:paraId="4A5FB119" w14:textId="77777777" w:rsidR="00E93F58" w:rsidRPr="00283424" w:rsidRDefault="00E93F58" w:rsidP="00B50726">
      <w:pPr>
        <w:pStyle w:val="paragraph"/>
      </w:pPr>
      <w:r w:rsidRPr="00283424">
        <w:tab/>
        <w:t>(a)</w:t>
      </w:r>
      <w:r w:rsidRPr="00283424">
        <w:tab/>
        <w:t>give notice to the insured or intending insured, in a form (if any) approved by ASIC for this paragraph, that the risk has not been accepted; and</w:t>
      </w:r>
    </w:p>
    <w:p w14:paraId="5419DA9B" w14:textId="77777777" w:rsidR="00E93F58" w:rsidRPr="00283424" w:rsidRDefault="00E93F58" w:rsidP="00B50726">
      <w:pPr>
        <w:pStyle w:val="paragraph"/>
        <w:rPr>
          <w:color w:val="000000"/>
        </w:rPr>
      </w:pPr>
      <w:r w:rsidRPr="00283424">
        <w:rPr>
          <w:color w:val="000000"/>
        </w:rPr>
        <w:tab/>
        <w:t>(b)</w:t>
      </w:r>
      <w:r w:rsidRPr="00283424">
        <w:rPr>
          <w:color w:val="000000"/>
        </w:rPr>
        <w:tab/>
        <w:t>return the money to the insured or intending insured.</w:t>
      </w:r>
    </w:p>
    <w:p w14:paraId="7EE453EE" w14:textId="77777777" w:rsidR="00E93F58" w:rsidRPr="00283424" w:rsidRDefault="00E93F58" w:rsidP="00B50726">
      <w:pPr>
        <w:pStyle w:val="subsection"/>
        <w:rPr>
          <w:color w:val="000000"/>
        </w:rPr>
      </w:pPr>
      <w:r w:rsidRPr="00283424">
        <w:rPr>
          <w:color w:val="000000"/>
        </w:rPr>
        <w:tab/>
        <w:t>(15)</w:t>
      </w:r>
      <w:r w:rsidRPr="00283424">
        <w:rPr>
          <w:color w:val="000000"/>
        </w:rPr>
        <w:tab/>
        <w:t>If a part of the risk to which the contract or proposed contract relates has not been accepted, the financial services licensee must, within 7 days after the end of the 30 day period:</w:t>
      </w:r>
    </w:p>
    <w:p w14:paraId="1874D9AF" w14:textId="77777777" w:rsidR="00E93F58" w:rsidRPr="00283424" w:rsidRDefault="00E93F58" w:rsidP="00B50726">
      <w:pPr>
        <w:pStyle w:val="paragraph"/>
      </w:pPr>
      <w:r w:rsidRPr="00283424">
        <w:tab/>
        <w:t>(a)</w:t>
      </w:r>
      <w:r w:rsidRPr="00283424">
        <w:tab/>
        <w:t>give notice to the insured or intending insured, in a form (if any) approved by ASIC for this paragraph, of the extent to which the risk has not been accepted; and</w:t>
      </w:r>
    </w:p>
    <w:p w14:paraId="55CFCABE" w14:textId="77777777" w:rsidR="00E93F58" w:rsidRPr="00283424" w:rsidRDefault="00E93F58" w:rsidP="00B50726">
      <w:pPr>
        <w:pStyle w:val="paragraph"/>
        <w:rPr>
          <w:color w:val="000000"/>
        </w:rPr>
      </w:pPr>
      <w:r w:rsidRPr="00283424">
        <w:rPr>
          <w:color w:val="000000"/>
        </w:rPr>
        <w:lastRenderedPageBreak/>
        <w:tab/>
        <w:t>(b)</w:t>
      </w:r>
      <w:r w:rsidRPr="00283424">
        <w:rPr>
          <w:color w:val="000000"/>
        </w:rPr>
        <w:tab/>
        <w:t>return that part of the money that relates to the part of the risk that has not been accepted to the insured or intending insured.</w:t>
      </w:r>
    </w:p>
    <w:p w14:paraId="1FA1AF65" w14:textId="77777777" w:rsidR="00E93F58" w:rsidRPr="00283424" w:rsidRDefault="00E93F58" w:rsidP="00B50726">
      <w:pPr>
        <w:pStyle w:val="subsection"/>
        <w:rPr>
          <w:color w:val="000000"/>
        </w:rPr>
      </w:pPr>
      <w:r w:rsidRPr="00283424">
        <w:rPr>
          <w:color w:val="000000"/>
        </w:rPr>
        <w:tab/>
        <w:t>(16)</w:t>
      </w:r>
      <w:r w:rsidRPr="00283424">
        <w:rPr>
          <w:color w:val="000000"/>
        </w:rPr>
        <w:tab/>
        <w:t>If a financial services licensee receives money from, or on behalf of, an insurer for payment to, or on behalf of, an insured, the financial services licensee must pay an amount equal to the money to, or on behalf of, the insured:</w:t>
      </w:r>
    </w:p>
    <w:p w14:paraId="18D27D67" w14:textId="77777777" w:rsidR="00E93F58" w:rsidRPr="00283424" w:rsidRDefault="00E93F58" w:rsidP="00B50726">
      <w:pPr>
        <w:pStyle w:val="paragraph"/>
        <w:rPr>
          <w:color w:val="000000"/>
        </w:rPr>
      </w:pPr>
      <w:r w:rsidRPr="00283424">
        <w:rPr>
          <w:color w:val="000000"/>
        </w:rPr>
        <w:tab/>
        <w:t>(a)</w:t>
      </w:r>
      <w:r w:rsidRPr="00283424">
        <w:rPr>
          <w:color w:val="000000"/>
        </w:rPr>
        <w:tab/>
        <w:t>within 7 days after the day on which the financial services licensee received the money; or</w:t>
      </w:r>
    </w:p>
    <w:p w14:paraId="5E218560" w14:textId="77777777" w:rsidR="00E93F58" w:rsidRPr="00283424" w:rsidRDefault="00E93F58" w:rsidP="00B50726">
      <w:pPr>
        <w:pStyle w:val="paragraph"/>
      </w:pPr>
      <w:r w:rsidRPr="00283424">
        <w:tab/>
        <w:t>(b)</w:t>
      </w:r>
      <w:r w:rsidRPr="00283424">
        <w:tab/>
        <w:t>if it is not practicable for the financial services licensee to pay the amount in that period—as soon as practicable after the end of the period.</w:t>
      </w:r>
    </w:p>
    <w:p w14:paraId="47068D1D" w14:textId="77777777" w:rsidR="00E93F58" w:rsidRPr="00283424" w:rsidRDefault="00E93F58" w:rsidP="00B50726">
      <w:pPr>
        <w:pStyle w:val="subsection"/>
        <w:rPr>
          <w:color w:val="000000"/>
        </w:rPr>
      </w:pPr>
      <w:r w:rsidRPr="00283424">
        <w:rPr>
          <w:color w:val="000000"/>
        </w:rPr>
        <w:tab/>
        <w:t>(17)</w:t>
      </w:r>
      <w:r w:rsidRPr="00283424">
        <w:rPr>
          <w:color w:val="000000"/>
        </w:rPr>
        <w:tab/>
        <w:t>Nothing in subregulation (16) prevents:</w:t>
      </w:r>
    </w:p>
    <w:p w14:paraId="6160782F" w14:textId="77777777" w:rsidR="00E93F58" w:rsidRPr="00283424" w:rsidRDefault="00E93F58" w:rsidP="00B50726">
      <w:pPr>
        <w:pStyle w:val="paragraph"/>
        <w:rPr>
          <w:color w:val="000000"/>
        </w:rPr>
      </w:pPr>
      <w:r w:rsidRPr="00283424">
        <w:rPr>
          <w:color w:val="000000"/>
        </w:rPr>
        <w:tab/>
        <w:t>(a)</w:t>
      </w:r>
      <w:r w:rsidRPr="00283424">
        <w:rPr>
          <w:color w:val="000000"/>
        </w:rPr>
        <w:tab/>
        <w:t xml:space="preserve">an insured from making a contract or arrangement with </w:t>
      </w:r>
      <w:r w:rsidRPr="00283424">
        <w:t>an insurance financial services licensee</w:t>
      </w:r>
      <w:r w:rsidRPr="00283424">
        <w:rPr>
          <w:color w:val="000000"/>
        </w:rPr>
        <w:t xml:space="preserve"> providing for the financial services licensee to pay an amount mentioned in that subregulation to or on behalf of the insured before the time by which the financial services licensee is required by that subregulation to pay that amount to or on behalf of the insured; or</w:t>
      </w:r>
    </w:p>
    <w:p w14:paraId="4CEF9D6F" w14:textId="77777777" w:rsidR="00E93F58" w:rsidRPr="00283424" w:rsidRDefault="00E93F58" w:rsidP="00B50726">
      <w:pPr>
        <w:pStyle w:val="paragraph"/>
      </w:pPr>
      <w:r w:rsidRPr="00283424">
        <w:tab/>
        <w:t>(b)</w:t>
      </w:r>
      <w:r w:rsidRPr="00283424">
        <w:tab/>
        <w:t>a financial services licensee from exercising any legal right available to the financial services licensee to deduct from an amount payable by the financial services licensee to the insured any money payable by the insured to the financial services licensee in connection with a contract of insurance.</w:t>
      </w:r>
    </w:p>
    <w:p w14:paraId="1F77768E" w14:textId="77777777" w:rsidR="00E93F58" w:rsidRPr="00283424" w:rsidRDefault="00E93F58" w:rsidP="00B50726">
      <w:pPr>
        <w:pStyle w:val="subsection"/>
        <w:rPr>
          <w:color w:val="000000"/>
        </w:rPr>
      </w:pPr>
      <w:r w:rsidRPr="00283424">
        <w:rPr>
          <w:color w:val="000000"/>
        </w:rPr>
        <w:tab/>
        <w:t>(18)</w:t>
      </w:r>
      <w:r w:rsidRPr="00283424">
        <w:rPr>
          <w:color w:val="000000"/>
        </w:rPr>
        <w:tab/>
        <w:t>A person is guilty of an offence if the person contravenes subregulation (2), (3), (6), (9), (14) or (16), whether or not it was done with the consent of the insurer or of the insured or intending insured.</w:t>
      </w:r>
    </w:p>
    <w:p w14:paraId="450BE726" w14:textId="77777777" w:rsidR="00E93F58" w:rsidRPr="00283424" w:rsidRDefault="00E93F58" w:rsidP="00B50726">
      <w:pPr>
        <w:pStyle w:val="Penalty"/>
      </w:pPr>
      <w:r w:rsidRPr="00283424">
        <w:t>Penalty:</w:t>
      </w:r>
    </w:p>
    <w:p w14:paraId="74AF742B" w14:textId="77777777" w:rsidR="00E93F58" w:rsidRPr="00283424" w:rsidRDefault="00E93F58" w:rsidP="00B50726">
      <w:pPr>
        <w:pStyle w:val="paragraph"/>
      </w:pPr>
      <w:r w:rsidRPr="00283424">
        <w:tab/>
        <w:t>(a)</w:t>
      </w:r>
      <w:r w:rsidRPr="00283424">
        <w:tab/>
        <w:t>for an individual—20 penalty units; and</w:t>
      </w:r>
    </w:p>
    <w:p w14:paraId="0A088DE2" w14:textId="77777777" w:rsidR="00E93F58" w:rsidRPr="00283424" w:rsidRDefault="00E93F58" w:rsidP="00B50726">
      <w:pPr>
        <w:pStyle w:val="paragraph"/>
      </w:pPr>
      <w:r w:rsidRPr="00283424">
        <w:tab/>
        <w:t>(b)</w:t>
      </w:r>
      <w:r w:rsidRPr="00283424">
        <w:tab/>
        <w:t>for a body corporate—200 penalty units.</w:t>
      </w:r>
    </w:p>
    <w:p w14:paraId="0537DF1D" w14:textId="77777777" w:rsidR="00E93F58" w:rsidRPr="00283424" w:rsidRDefault="00E93F58" w:rsidP="00B50726">
      <w:pPr>
        <w:pStyle w:val="subsection"/>
      </w:pPr>
      <w:r w:rsidRPr="00283424">
        <w:rPr>
          <w:color w:val="000000"/>
        </w:rPr>
        <w:tab/>
        <w:t>(19)</w:t>
      </w:r>
      <w:r w:rsidRPr="00283424">
        <w:rPr>
          <w:color w:val="000000"/>
        </w:rPr>
        <w:tab/>
        <w:t>Subregulation (18) does not apply if the person has a reasonable excuse.</w:t>
      </w:r>
    </w:p>
    <w:p w14:paraId="4B76FE00" w14:textId="77777777" w:rsidR="00E93F58" w:rsidRPr="00283424" w:rsidRDefault="00E93F58" w:rsidP="00B50726">
      <w:pPr>
        <w:pStyle w:val="notetext"/>
      </w:pPr>
      <w:r w:rsidRPr="00283424">
        <w:rPr>
          <w:color w:val="000000"/>
        </w:rPr>
        <w:t>Note:</w:t>
      </w:r>
      <w:r w:rsidRPr="00283424">
        <w:rPr>
          <w:color w:val="000000"/>
        </w:rPr>
        <w:tab/>
        <w:t xml:space="preserve">A defendant bears an evidential burden in relation to the matter in subregulation (18) (see subsection 13.3(3) of the </w:t>
      </w:r>
      <w:r w:rsidRPr="00283424">
        <w:rPr>
          <w:i/>
          <w:color w:val="000000"/>
        </w:rPr>
        <w:t>Criminal Code</w:t>
      </w:r>
      <w:r w:rsidRPr="00283424">
        <w:rPr>
          <w:color w:val="000000"/>
        </w:rPr>
        <w:t>).</w:t>
      </w:r>
    </w:p>
    <w:p w14:paraId="2EFB351F" w14:textId="77777777" w:rsidR="00E93F58" w:rsidRPr="00283424" w:rsidRDefault="00E93F58" w:rsidP="00B50726">
      <w:pPr>
        <w:pStyle w:val="subsection"/>
      </w:pPr>
      <w:r w:rsidRPr="00283424">
        <w:rPr>
          <w:color w:val="000000"/>
        </w:rPr>
        <w:tab/>
        <w:t>(20)</w:t>
      </w:r>
      <w:r w:rsidRPr="00283424">
        <w:rPr>
          <w:color w:val="000000"/>
        </w:rPr>
        <w:tab/>
        <w:t>Strict liability applies to subregulation (18).</w:t>
      </w:r>
    </w:p>
    <w:p w14:paraId="7631A80C" w14:textId="77777777" w:rsidR="00E93F58" w:rsidRPr="00283424" w:rsidRDefault="00E93F58" w:rsidP="00B50726">
      <w:pPr>
        <w:pStyle w:val="notetext"/>
      </w:pPr>
      <w:r w:rsidRPr="00283424">
        <w:t>Note:</w:t>
      </w:r>
      <w:r w:rsidRPr="00283424">
        <w:tab/>
        <w:t xml:space="preserve">For </w:t>
      </w:r>
      <w:r w:rsidRPr="00283424">
        <w:rPr>
          <w:b/>
          <w:i/>
        </w:rPr>
        <w:t>strict liability</w:t>
      </w:r>
      <w:r w:rsidRPr="00283424">
        <w:t xml:space="preserve">, see section 6.1 of the </w:t>
      </w:r>
      <w:r w:rsidRPr="00283424">
        <w:rPr>
          <w:i/>
        </w:rPr>
        <w:t>Criminal Code</w:t>
      </w:r>
      <w:r w:rsidRPr="00283424">
        <w:t>.</w:t>
      </w:r>
    </w:p>
    <w:p w14:paraId="6A08C0A1" w14:textId="77777777" w:rsidR="00E93F58" w:rsidRPr="00283424" w:rsidRDefault="00E93F58" w:rsidP="00B50726">
      <w:pPr>
        <w:pStyle w:val="subsection"/>
        <w:rPr>
          <w:color w:val="000000"/>
        </w:rPr>
      </w:pPr>
      <w:r w:rsidRPr="00283424">
        <w:rPr>
          <w:color w:val="000000"/>
        </w:rPr>
        <w:tab/>
        <w:t>(21)</w:t>
      </w:r>
      <w:r w:rsidRPr="00283424">
        <w:rPr>
          <w:color w:val="000000"/>
        </w:rPr>
        <w:tab/>
        <w:t>If:</w:t>
      </w:r>
    </w:p>
    <w:p w14:paraId="6CD2CC75" w14:textId="77777777" w:rsidR="00E93F58" w:rsidRPr="00283424" w:rsidRDefault="00E93F58" w:rsidP="00B50726">
      <w:pPr>
        <w:pStyle w:val="paragraph"/>
        <w:rPr>
          <w:color w:val="000000"/>
        </w:rPr>
      </w:pPr>
      <w:r w:rsidRPr="00283424">
        <w:rPr>
          <w:color w:val="000000"/>
        </w:rPr>
        <w:tab/>
        <w:t>(a)</w:t>
      </w:r>
      <w:r w:rsidRPr="00283424">
        <w:rPr>
          <w:color w:val="000000"/>
        </w:rPr>
        <w:tab/>
        <w:t>under subregulation (2), (3), (6) or (9), a financial services licensee is required to pay an amount to, or to notify, an insurer; and</w:t>
      </w:r>
    </w:p>
    <w:p w14:paraId="6DFA9AE3" w14:textId="77777777" w:rsidR="00E93F58" w:rsidRPr="00283424" w:rsidRDefault="00E93F58" w:rsidP="00B50726">
      <w:pPr>
        <w:pStyle w:val="paragraph"/>
      </w:pPr>
      <w:r w:rsidRPr="00283424">
        <w:tab/>
        <w:t>(b)</w:t>
      </w:r>
      <w:r w:rsidRPr="00283424">
        <w:tab/>
        <w:t>under the contract or proposed contract of insurance concerned the insurer is an underwriting member of Lloyd’s;</w:t>
      </w:r>
    </w:p>
    <w:p w14:paraId="4214F65E" w14:textId="77777777" w:rsidR="00E93F58" w:rsidRPr="00283424" w:rsidRDefault="00E93F58" w:rsidP="00B50726">
      <w:pPr>
        <w:pStyle w:val="subsection2"/>
      </w:pPr>
      <w:r w:rsidRPr="00283424">
        <w:rPr>
          <w:color w:val="000000"/>
        </w:rPr>
        <w:t>it is sufficient compliance with the subregulation if the financial services licensee pays the amount to, or notifies, as the case may be, the Lloyd’s broker concerned.</w:t>
      </w:r>
    </w:p>
    <w:p w14:paraId="393C5063" w14:textId="77777777" w:rsidR="00E93F58" w:rsidRPr="00283424" w:rsidRDefault="00E93F58" w:rsidP="00B50726">
      <w:pPr>
        <w:pStyle w:val="ActHead3"/>
        <w:pageBreakBefore/>
      </w:pPr>
      <w:bookmarkStart w:id="1316" w:name="_Toc152054636"/>
      <w:bookmarkStart w:id="1317" w:name="_Toc158712452"/>
      <w:r w:rsidRPr="006F296E">
        <w:rPr>
          <w:rStyle w:val="CharDivNo"/>
        </w:rPr>
        <w:lastRenderedPageBreak/>
        <w:t>Division 4A</w:t>
      </w:r>
      <w:r w:rsidRPr="00283424">
        <w:t>—</w:t>
      </w:r>
      <w:r w:rsidRPr="006F296E">
        <w:rPr>
          <w:rStyle w:val="CharDivText"/>
        </w:rPr>
        <w:t>Special provisions relating to margin lending facilities</w:t>
      </w:r>
      <w:bookmarkEnd w:id="1316"/>
      <w:bookmarkEnd w:id="1317"/>
    </w:p>
    <w:p w14:paraId="59E4B071" w14:textId="77777777" w:rsidR="00E93F58" w:rsidRPr="00283424" w:rsidRDefault="00E93F58" w:rsidP="00B50726">
      <w:pPr>
        <w:pStyle w:val="ActHead4"/>
      </w:pPr>
      <w:bookmarkStart w:id="1318" w:name="_Toc152054637"/>
      <w:bookmarkStart w:id="1319" w:name="_Toc158712453"/>
      <w:r w:rsidRPr="006F296E">
        <w:rPr>
          <w:rStyle w:val="CharSubdNo"/>
        </w:rPr>
        <w:t>Subdivision A</w:t>
      </w:r>
      <w:r w:rsidRPr="00283424">
        <w:t>—</w:t>
      </w:r>
      <w:r w:rsidRPr="006F296E">
        <w:rPr>
          <w:rStyle w:val="CharSubdText"/>
        </w:rPr>
        <w:t>Responsible lending conduct for margin lending facilities</w:t>
      </w:r>
      <w:bookmarkEnd w:id="1318"/>
      <w:bookmarkEnd w:id="1319"/>
    </w:p>
    <w:p w14:paraId="3551CE05" w14:textId="77777777" w:rsidR="00E93F58" w:rsidRPr="00283424" w:rsidRDefault="00E93F58" w:rsidP="00B50726">
      <w:pPr>
        <w:pStyle w:val="ActHead5"/>
      </w:pPr>
      <w:bookmarkStart w:id="1320" w:name="_Toc152054638"/>
      <w:bookmarkStart w:id="1321" w:name="_Toc158712454"/>
      <w:r w:rsidRPr="006F296E">
        <w:rPr>
          <w:rStyle w:val="CharSectno"/>
        </w:rPr>
        <w:t>7.8.08A</w:t>
      </w:r>
      <w:r w:rsidRPr="00283424">
        <w:t xml:space="preserve">  Limit of margin lending facility taken to be increased</w:t>
      </w:r>
      <w:bookmarkEnd w:id="1320"/>
      <w:bookmarkEnd w:id="1321"/>
    </w:p>
    <w:p w14:paraId="1E597008" w14:textId="77777777" w:rsidR="00E93F58" w:rsidRPr="00283424" w:rsidRDefault="00E93F58" w:rsidP="00B50726">
      <w:pPr>
        <w:pStyle w:val="subsection"/>
      </w:pPr>
      <w:r w:rsidRPr="00283424">
        <w:tab/>
        <w:t>(1)</w:t>
      </w:r>
      <w:r w:rsidRPr="00283424">
        <w:tab/>
        <w:t>For paragraph 985E(3)(a) of the Act, the limit of a margin lending facility is taken to be increased, despite subsection 985E(2) of the Act, if:</w:t>
      </w:r>
    </w:p>
    <w:p w14:paraId="682BB10E" w14:textId="77777777" w:rsidR="00E93F58" w:rsidRPr="00283424" w:rsidRDefault="00E93F58" w:rsidP="00B50726">
      <w:pPr>
        <w:pStyle w:val="paragraph"/>
      </w:pPr>
      <w:r w:rsidRPr="00283424">
        <w:tab/>
        <w:t>(a)</w:t>
      </w:r>
      <w:r w:rsidRPr="00283424">
        <w:tab/>
        <w:t>the increase is a result of a contribution of further secured property or transferred securities that occurs without the prior knowledge or agreement of the provider; and</w:t>
      </w:r>
    </w:p>
    <w:p w14:paraId="6F34513B" w14:textId="77777777" w:rsidR="00E93F58" w:rsidRPr="00283424" w:rsidRDefault="00E93F58" w:rsidP="00B50726">
      <w:pPr>
        <w:pStyle w:val="paragraph"/>
      </w:pPr>
      <w:r w:rsidRPr="00283424">
        <w:tab/>
        <w:t>(b)</w:t>
      </w:r>
      <w:r w:rsidRPr="00283424">
        <w:tab/>
        <w:t>the provider permits the increase to continue; and</w:t>
      </w:r>
    </w:p>
    <w:p w14:paraId="451D3AE5" w14:textId="77777777" w:rsidR="00E93F58" w:rsidRPr="00283424" w:rsidRDefault="00E93F58" w:rsidP="00B50726">
      <w:pPr>
        <w:pStyle w:val="paragraph"/>
      </w:pPr>
      <w:r w:rsidRPr="00283424">
        <w:tab/>
        <w:t>(c)</w:t>
      </w:r>
      <w:r w:rsidRPr="00283424">
        <w:tab/>
        <w:t>the increase is no more than 5% of the current limit of the margin lending facility.</w:t>
      </w:r>
    </w:p>
    <w:p w14:paraId="0D6943C7" w14:textId="77777777" w:rsidR="00E93F58" w:rsidRPr="00283424" w:rsidRDefault="00E93F58" w:rsidP="00B50726">
      <w:pPr>
        <w:pStyle w:val="subsection"/>
      </w:pPr>
      <w:r w:rsidRPr="00283424">
        <w:tab/>
        <w:t>(2)</w:t>
      </w:r>
      <w:r w:rsidRPr="00283424">
        <w:tab/>
        <w:t>If the limit of a margin lending facility is taken to be increased in the circumstances mentioned in subregulation (1), subsection 985E(1) of the Act is modified by omitting ‘before the critical day:’ and inserting ‘after the critical day:’.</w:t>
      </w:r>
    </w:p>
    <w:p w14:paraId="1A59E1F1" w14:textId="77777777" w:rsidR="00E93F58" w:rsidRPr="00283424" w:rsidRDefault="00E93F58" w:rsidP="00B50726">
      <w:pPr>
        <w:pStyle w:val="notetext"/>
      </w:pPr>
      <w:r w:rsidRPr="00283424">
        <w:t>Note:</w:t>
      </w:r>
      <w:r w:rsidRPr="00283424">
        <w:tab/>
        <w:t>Paragraph 992C(1)(c) of the Act provides that the regulations may provide that Part 7.8 of the Act applies as if specified provisions were omitted, modified or varied as specified in the regulations.</w:t>
      </w:r>
    </w:p>
    <w:p w14:paraId="053D9A52" w14:textId="77777777" w:rsidR="00E93F58" w:rsidRPr="00283424" w:rsidRDefault="00E93F58" w:rsidP="00B50726">
      <w:pPr>
        <w:pStyle w:val="subsection"/>
      </w:pPr>
      <w:r w:rsidRPr="00283424">
        <w:tab/>
        <w:t>(3)</w:t>
      </w:r>
      <w:r w:rsidRPr="00283424">
        <w:tab/>
        <w:t>For subregulation (1), if:</w:t>
      </w:r>
    </w:p>
    <w:p w14:paraId="2755DF02" w14:textId="77777777" w:rsidR="00E93F58" w:rsidRPr="00283424" w:rsidRDefault="00E93F58" w:rsidP="00B50726">
      <w:pPr>
        <w:pStyle w:val="paragraph"/>
      </w:pPr>
      <w:r w:rsidRPr="00283424">
        <w:tab/>
        <w:t>(a)</w:t>
      </w:r>
      <w:r w:rsidRPr="00283424">
        <w:tab/>
        <w:t>more than one contribution of further secured property or transferred securities under the margin lending facility occurs on a day; and</w:t>
      </w:r>
    </w:p>
    <w:p w14:paraId="24591171" w14:textId="77777777" w:rsidR="00E93F58" w:rsidRPr="00283424" w:rsidRDefault="00E93F58" w:rsidP="00B50726">
      <w:pPr>
        <w:pStyle w:val="paragraph"/>
      </w:pPr>
      <w:r w:rsidRPr="00283424">
        <w:tab/>
        <w:t>(b)</w:t>
      </w:r>
      <w:r w:rsidRPr="00283424">
        <w:tab/>
        <w:t>each of the contributions is taken to increase the limit of the facility; and</w:t>
      </w:r>
    </w:p>
    <w:p w14:paraId="07FEDAFF" w14:textId="77777777" w:rsidR="00E93F58" w:rsidRPr="00283424" w:rsidRDefault="00E93F58" w:rsidP="00B50726">
      <w:pPr>
        <w:pStyle w:val="paragraph"/>
      </w:pPr>
      <w:r w:rsidRPr="00283424">
        <w:tab/>
        <w:t>(c)</w:t>
      </w:r>
      <w:r w:rsidRPr="00283424">
        <w:tab/>
        <w:t>either:</w:t>
      </w:r>
    </w:p>
    <w:p w14:paraId="57240BED" w14:textId="77777777" w:rsidR="00E93F58" w:rsidRPr="00283424" w:rsidRDefault="00E93F58" w:rsidP="00B50726">
      <w:pPr>
        <w:pStyle w:val="paragraphsub"/>
      </w:pPr>
      <w:r w:rsidRPr="00283424">
        <w:tab/>
        <w:t>(i)</w:t>
      </w:r>
      <w:r w:rsidRPr="00283424">
        <w:tab/>
        <w:t>the cumulative increase is no more than 5% of the current limit of the margin lending facility; or</w:t>
      </w:r>
    </w:p>
    <w:p w14:paraId="1CEA7225" w14:textId="77777777" w:rsidR="00E93F58" w:rsidRPr="00283424" w:rsidRDefault="00E93F58" w:rsidP="00B50726">
      <w:pPr>
        <w:pStyle w:val="paragraphsub"/>
      </w:pPr>
      <w:r w:rsidRPr="00283424">
        <w:tab/>
        <w:t>(ii)</w:t>
      </w:r>
      <w:r w:rsidRPr="00283424">
        <w:tab/>
        <w:t>if the cumulative increase is more than 5% of the current limit of the margin lending facility, the provider ensures that the increases are reduced so that the cumulative increase becomes no more than 5% of the current limit of the margin lending facility;</w:t>
      </w:r>
    </w:p>
    <w:p w14:paraId="6929B042" w14:textId="77777777" w:rsidR="00E93F58" w:rsidRPr="00283424" w:rsidRDefault="00E93F58" w:rsidP="00B50726">
      <w:pPr>
        <w:pStyle w:val="subsection2"/>
      </w:pPr>
      <w:r w:rsidRPr="00283424">
        <w:t>the increases are taken to be one increase for this regulation.</w:t>
      </w:r>
    </w:p>
    <w:p w14:paraId="7F5BC45E" w14:textId="77777777" w:rsidR="00E93F58" w:rsidRPr="00283424" w:rsidRDefault="00E93F58" w:rsidP="00B50726">
      <w:pPr>
        <w:pStyle w:val="SubsectionHead"/>
      </w:pPr>
      <w:r w:rsidRPr="00283424">
        <w:t>Increase prior to assessment only to occur once</w:t>
      </w:r>
    </w:p>
    <w:p w14:paraId="7E8935AB" w14:textId="77777777" w:rsidR="00E93F58" w:rsidRPr="00283424" w:rsidRDefault="00E93F58" w:rsidP="00B50726">
      <w:pPr>
        <w:pStyle w:val="subsection"/>
      </w:pPr>
      <w:r w:rsidRPr="00283424">
        <w:tab/>
        <w:t>(4)</w:t>
      </w:r>
      <w:r w:rsidRPr="00283424">
        <w:tab/>
        <w:t>Subregulation (5) applies if:</w:t>
      </w:r>
    </w:p>
    <w:p w14:paraId="70DCD422" w14:textId="77777777" w:rsidR="00E93F58" w:rsidRPr="00283424" w:rsidRDefault="00E93F58" w:rsidP="00B50726">
      <w:pPr>
        <w:pStyle w:val="paragraph"/>
      </w:pPr>
      <w:r w:rsidRPr="00283424">
        <w:tab/>
        <w:t>(a)</w:t>
      </w:r>
      <w:r w:rsidRPr="00283424">
        <w:tab/>
        <w:t>the limit of a margin lending facility is taken to be increased in the circumstances mentioned in subregulation (1); and</w:t>
      </w:r>
    </w:p>
    <w:p w14:paraId="62C315A9" w14:textId="77777777" w:rsidR="00E93F58" w:rsidRPr="00283424" w:rsidRDefault="00E93F58" w:rsidP="00B50726">
      <w:pPr>
        <w:pStyle w:val="paragraph"/>
      </w:pPr>
      <w:r w:rsidRPr="00283424">
        <w:tab/>
        <w:t>(b)</w:t>
      </w:r>
      <w:r w:rsidRPr="00283424">
        <w:tab/>
        <w:t>an assessment has not yet been made in accordance with section 985F of the Act.</w:t>
      </w:r>
    </w:p>
    <w:p w14:paraId="7122D13A" w14:textId="77777777" w:rsidR="00E93F58" w:rsidRPr="00283424" w:rsidRDefault="00E93F58" w:rsidP="00B50726">
      <w:pPr>
        <w:pStyle w:val="subsection"/>
      </w:pPr>
      <w:r w:rsidRPr="00283424">
        <w:tab/>
        <w:t>(5)</w:t>
      </w:r>
      <w:r w:rsidRPr="00283424">
        <w:tab/>
        <w:t>If the limit of the margin lending facility would be taken to increase further in accordance with subregulation (1):</w:t>
      </w:r>
    </w:p>
    <w:p w14:paraId="5FC1A04B" w14:textId="77777777" w:rsidR="00E93F58" w:rsidRPr="00283424" w:rsidRDefault="00E93F58" w:rsidP="00B50726">
      <w:pPr>
        <w:pStyle w:val="paragraph"/>
      </w:pPr>
      <w:r w:rsidRPr="00283424">
        <w:tab/>
        <w:t>(a)</w:t>
      </w:r>
      <w:r w:rsidRPr="00283424">
        <w:tab/>
        <w:t>the limit is taken not to be further increased until:</w:t>
      </w:r>
    </w:p>
    <w:p w14:paraId="222F51C3" w14:textId="77777777" w:rsidR="00E93F58" w:rsidRPr="00283424" w:rsidRDefault="00E93F58" w:rsidP="00B50726">
      <w:pPr>
        <w:pStyle w:val="paragraphsub"/>
      </w:pPr>
      <w:r w:rsidRPr="00283424">
        <w:tab/>
        <w:t>(i)</w:t>
      </w:r>
      <w:r w:rsidRPr="00283424">
        <w:tab/>
        <w:t>an assessment has been made in accordance with section 985F of the Act; and</w:t>
      </w:r>
    </w:p>
    <w:p w14:paraId="0C606AA1" w14:textId="77777777" w:rsidR="00E93F58" w:rsidRPr="00283424" w:rsidRDefault="00E93F58" w:rsidP="00B50726">
      <w:pPr>
        <w:pStyle w:val="paragraphsub"/>
      </w:pPr>
      <w:r w:rsidRPr="00283424">
        <w:tab/>
        <w:t>(ii)</w:t>
      </w:r>
      <w:r w:rsidRPr="00283424">
        <w:tab/>
        <w:t>it is assessed that the facility will not be unsuitable for the client if the limit is increased; and</w:t>
      </w:r>
    </w:p>
    <w:p w14:paraId="69E74C39" w14:textId="77777777" w:rsidR="00E93F58" w:rsidRPr="00283424" w:rsidRDefault="00E93F58" w:rsidP="00B50726">
      <w:pPr>
        <w:pStyle w:val="paragraph"/>
      </w:pPr>
      <w:r w:rsidRPr="00283424">
        <w:tab/>
        <w:t>(b)</w:t>
      </w:r>
      <w:r w:rsidRPr="00283424">
        <w:tab/>
        <w:t>the provider must ensure that the increase does not continue unless paragraph (a) permits it.</w:t>
      </w:r>
    </w:p>
    <w:p w14:paraId="69640736" w14:textId="77777777" w:rsidR="00E93F58" w:rsidRPr="00283424" w:rsidRDefault="00E93F58" w:rsidP="00B50726">
      <w:pPr>
        <w:pStyle w:val="SubsectionHead"/>
      </w:pPr>
      <w:r w:rsidRPr="00283424">
        <w:t>If facility assessed as unsuitable</w:t>
      </w:r>
    </w:p>
    <w:p w14:paraId="3D75A106" w14:textId="77777777" w:rsidR="00E93F58" w:rsidRPr="00283424" w:rsidRDefault="00E93F58" w:rsidP="00B50726">
      <w:pPr>
        <w:pStyle w:val="subsection"/>
      </w:pPr>
      <w:r w:rsidRPr="00283424">
        <w:tab/>
        <w:t>(6)</w:t>
      </w:r>
      <w:r w:rsidRPr="00283424">
        <w:tab/>
        <w:t>If:</w:t>
      </w:r>
    </w:p>
    <w:p w14:paraId="64AF2710" w14:textId="77777777" w:rsidR="00E93F58" w:rsidRPr="00283424" w:rsidRDefault="00E93F58" w:rsidP="00B50726">
      <w:pPr>
        <w:pStyle w:val="paragraph"/>
      </w:pPr>
      <w:r w:rsidRPr="00283424">
        <w:tab/>
        <w:t>(a)</w:t>
      </w:r>
      <w:r w:rsidRPr="00283424">
        <w:tab/>
        <w:t>the limit of a margin lending facility is taken to be increased in the circumstances mentioned in subregulation (1); and</w:t>
      </w:r>
    </w:p>
    <w:p w14:paraId="2E7A8062" w14:textId="77777777" w:rsidR="00E93F58" w:rsidRPr="00283424" w:rsidRDefault="00E93F58" w:rsidP="00B50726">
      <w:pPr>
        <w:pStyle w:val="paragraph"/>
      </w:pPr>
      <w:r w:rsidRPr="00283424">
        <w:tab/>
        <w:t>(b)</w:t>
      </w:r>
      <w:r w:rsidRPr="00283424">
        <w:tab/>
        <w:t>the assessment made in accordance with section 985F of the Act assesses that the facility is unsuitable for the client because of the increased limit;</w:t>
      </w:r>
    </w:p>
    <w:p w14:paraId="2C9BF4D6" w14:textId="77777777" w:rsidR="00E93F58" w:rsidRPr="00283424" w:rsidRDefault="00E93F58" w:rsidP="00B50726">
      <w:pPr>
        <w:pStyle w:val="subsection2"/>
      </w:pPr>
      <w:r w:rsidRPr="00283424">
        <w:t>the limit is taken to be reduced to the limit of the margin lending facility before the increase, and the provider must ensure that the limit is reduced within 90 days of the day the assessment is made.</w:t>
      </w:r>
    </w:p>
    <w:p w14:paraId="760C8949" w14:textId="77777777" w:rsidR="00E93F58" w:rsidRPr="00283424" w:rsidRDefault="00E93F58" w:rsidP="00B50726">
      <w:pPr>
        <w:pStyle w:val="SubsectionHead"/>
      </w:pPr>
      <w:r w:rsidRPr="00283424">
        <w:t>Facility not unsuitable for subsection 985K(4) of the Act</w:t>
      </w:r>
    </w:p>
    <w:p w14:paraId="59FBA3AA" w14:textId="77777777" w:rsidR="00E93F58" w:rsidRPr="00283424" w:rsidRDefault="00E93F58" w:rsidP="00B50726">
      <w:pPr>
        <w:pStyle w:val="subsection"/>
      </w:pPr>
      <w:r w:rsidRPr="00283424">
        <w:tab/>
        <w:t>(7)</w:t>
      </w:r>
      <w:r w:rsidRPr="00283424">
        <w:tab/>
        <w:t>For subsection 985K(4) of the Act, a margin lending facility is taken not to be unsuitable if:</w:t>
      </w:r>
    </w:p>
    <w:p w14:paraId="25C28B33" w14:textId="77777777" w:rsidR="00E93F58" w:rsidRPr="00283424" w:rsidRDefault="00E93F58" w:rsidP="00B50726">
      <w:pPr>
        <w:pStyle w:val="paragraph"/>
      </w:pPr>
      <w:r w:rsidRPr="00283424">
        <w:tab/>
        <w:t>(a)</w:t>
      </w:r>
      <w:r w:rsidRPr="00283424">
        <w:tab/>
        <w:t>the limit of the margin lending facility is taken to be increased in the circumstances mentioned in subregulation (1); and</w:t>
      </w:r>
    </w:p>
    <w:p w14:paraId="3362E038" w14:textId="77777777" w:rsidR="00E93F58" w:rsidRPr="00283424" w:rsidRDefault="00E93F58" w:rsidP="00B50726">
      <w:pPr>
        <w:pStyle w:val="paragraph"/>
      </w:pPr>
      <w:r w:rsidRPr="00283424">
        <w:lastRenderedPageBreak/>
        <w:tab/>
        <w:t>(b)</w:t>
      </w:r>
      <w:r w:rsidRPr="00283424">
        <w:tab/>
        <w:t>the assessment made in accordance with section 985F of the Act assesses that the facility:</w:t>
      </w:r>
    </w:p>
    <w:p w14:paraId="7340A320" w14:textId="77777777" w:rsidR="00E93F58" w:rsidRPr="00283424" w:rsidRDefault="00E93F58" w:rsidP="00B50726">
      <w:pPr>
        <w:pStyle w:val="paragraphsub"/>
      </w:pPr>
      <w:r w:rsidRPr="00283424">
        <w:tab/>
        <w:t>(i)</w:t>
      </w:r>
      <w:r w:rsidRPr="00283424">
        <w:tab/>
        <w:t>is not unsuitable for the client; or</w:t>
      </w:r>
    </w:p>
    <w:p w14:paraId="11BEFA37" w14:textId="77777777" w:rsidR="00E93F58" w:rsidRPr="00283424" w:rsidRDefault="00E93F58" w:rsidP="00B50726">
      <w:pPr>
        <w:pStyle w:val="paragraphsub"/>
      </w:pPr>
      <w:r w:rsidRPr="00283424">
        <w:tab/>
        <w:t>(ii)</w:t>
      </w:r>
      <w:r w:rsidRPr="00283424">
        <w:tab/>
        <w:t>is unsuitable for the client because of the increased limit; and</w:t>
      </w:r>
    </w:p>
    <w:p w14:paraId="6691BF8F" w14:textId="77777777" w:rsidR="00E93F58" w:rsidRPr="00283424" w:rsidRDefault="00E93F58" w:rsidP="00B50726">
      <w:pPr>
        <w:pStyle w:val="paragraph"/>
      </w:pPr>
      <w:r w:rsidRPr="00283424">
        <w:tab/>
        <w:t>(c)</w:t>
      </w:r>
      <w:r w:rsidRPr="00283424">
        <w:tab/>
        <w:t>in the case of subparagraph (b)(ii), the provider ensures that the limit is reduced, within 90 days of the day the assessment is made, to the limit of the margin lending facility before the increase.</w:t>
      </w:r>
    </w:p>
    <w:p w14:paraId="006EB7E8" w14:textId="77777777" w:rsidR="00E93F58" w:rsidRPr="00283424" w:rsidRDefault="00E93F58" w:rsidP="00B50726">
      <w:pPr>
        <w:pStyle w:val="ActHead5"/>
      </w:pPr>
      <w:bookmarkStart w:id="1322" w:name="_Toc152054639"/>
      <w:bookmarkStart w:id="1323" w:name="_Toc158712455"/>
      <w:r w:rsidRPr="006F296E">
        <w:rPr>
          <w:rStyle w:val="CharSectno"/>
        </w:rPr>
        <w:t>7.8.08B</w:t>
      </w:r>
      <w:r w:rsidRPr="00283424">
        <w:t xml:space="preserve">  Exemption from requirement to make unsuitability assessment</w:t>
      </w:r>
      <w:bookmarkEnd w:id="1322"/>
      <w:bookmarkEnd w:id="1323"/>
    </w:p>
    <w:p w14:paraId="3291E26C" w14:textId="77777777" w:rsidR="00E93F58" w:rsidRPr="00283424" w:rsidRDefault="00E93F58" w:rsidP="00B50726">
      <w:pPr>
        <w:pStyle w:val="subsection"/>
      </w:pPr>
      <w:r w:rsidRPr="00283424">
        <w:tab/>
        <w:t>(1)</w:t>
      </w:r>
      <w:r w:rsidRPr="00283424">
        <w:tab/>
        <w:t>For paragraph 992C(1)(a) of the Act, a person is exempt from the requirement in paragraph 985E(1)(c) of the Act to make an assessment if the margin lending facility mentioned in paragraph 985E(1)(a) or (b) of the Act is a facility mentioned in subregulation (2):</w:t>
      </w:r>
    </w:p>
    <w:p w14:paraId="21A82A58" w14:textId="77777777" w:rsidR="00E93F58" w:rsidRPr="00283424" w:rsidRDefault="00E93F58" w:rsidP="00B50726">
      <w:pPr>
        <w:pStyle w:val="paragraph"/>
      </w:pPr>
      <w:r w:rsidRPr="00283424">
        <w:tab/>
        <w:t>(a)</w:t>
      </w:r>
      <w:r w:rsidRPr="00283424">
        <w:tab/>
        <w:t>in respect of the full amount of the loan, including any interest, fees and charges; and</w:t>
      </w:r>
    </w:p>
    <w:p w14:paraId="4B6D4088" w14:textId="77777777" w:rsidR="00E93F58" w:rsidRPr="00283424" w:rsidRDefault="00E93F58" w:rsidP="00B50726">
      <w:pPr>
        <w:pStyle w:val="paragraph"/>
      </w:pPr>
      <w:r w:rsidRPr="00283424">
        <w:tab/>
        <w:t>(b)</w:t>
      </w:r>
      <w:r w:rsidRPr="00283424">
        <w:tab/>
        <w:t>in relation to which the client has not taken out a loan to fund the secured property contributed by the client for establishing the margin lending facility.</w:t>
      </w:r>
    </w:p>
    <w:p w14:paraId="39517956" w14:textId="77777777" w:rsidR="00E93F58" w:rsidRPr="00283424" w:rsidRDefault="00E93F58" w:rsidP="00B50726">
      <w:pPr>
        <w:pStyle w:val="subsection"/>
      </w:pPr>
      <w:r w:rsidRPr="00283424">
        <w:tab/>
        <w:t>(2)</w:t>
      </w:r>
      <w:r w:rsidRPr="00283424">
        <w:tab/>
        <w:t>For subregulation (1), the facility is a standard margin lending facility under the terms of which:</w:t>
      </w:r>
    </w:p>
    <w:p w14:paraId="05A8A4D3" w14:textId="77777777" w:rsidR="00E93F58" w:rsidRPr="00283424" w:rsidRDefault="00E93F58" w:rsidP="00B50726">
      <w:pPr>
        <w:pStyle w:val="paragraph"/>
      </w:pPr>
      <w:r w:rsidRPr="00283424">
        <w:tab/>
        <w:t>(a)</w:t>
      </w:r>
      <w:r w:rsidRPr="00283424">
        <w:tab/>
        <w:t>the credit provided must be applied wholly:</w:t>
      </w:r>
    </w:p>
    <w:p w14:paraId="31C7D831" w14:textId="77777777" w:rsidR="00E93F58" w:rsidRPr="00283424" w:rsidRDefault="00E93F58" w:rsidP="00B50726">
      <w:pPr>
        <w:pStyle w:val="paragraphsub"/>
      </w:pPr>
      <w:r w:rsidRPr="00283424">
        <w:tab/>
        <w:t>(i)</w:t>
      </w:r>
      <w:r w:rsidRPr="00283424">
        <w:tab/>
        <w:t>to acquire one or more marketable securities, or a beneficial interest in one or more marketable securities; or</w:t>
      </w:r>
    </w:p>
    <w:p w14:paraId="5ABDA9B7" w14:textId="77777777" w:rsidR="00E93F58" w:rsidRPr="00283424" w:rsidRDefault="00E93F58" w:rsidP="00B50726">
      <w:pPr>
        <w:pStyle w:val="paragraphsub"/>
      </w:pPr>
      <w:r w:rsidRPr="00283424">
        <w:tab/>
        <w:t>(ii)</w:t>
      </w:r>
      <w:r w:rsidRPr="00283424">
        <w:tab/>
        <w:t>to repay another credit facility, under the terms of which the credit provided was applied wholly to acquire one or more marketable securities, or a beneficial interest in one or more marketable securities; and</w:t>
      </w:r>
    </w:p>
    <w:p w14:paraId="3924AA1F" w14:textId="77777777" w:rsidR="00E93F58" w:rsidRPr="00283424" w:rsidRDefault="00E93F58" w:rsidP="00B50726">
      <w:pPr>
        <w:pStyle w:val="paragraph"/>
      </w:pPr>
      <w:r w:rsidRPr="00283424">
        <w:tab/>
        <w:t>(b)</w:t>
      </w:r>
      <w:r w:rsidRPr="00283424">
        <w:tab/>
        <w:t>the secured property mentioned in paragraphs (c) and (d) of that subsection:</w:t>
      </w:r>
    </w:p>
    <w:p w14:paraId="4E9F3C88" w14:textId="77777777" w:rsidR="00E93F58" w:rsidRPr="00283424" w:rsidRDefault="00E93F58" w:rsidP="00B50726">
      <w:pPr>
        <w:pStyle w:val="paragraphsub"/>
      </w:pPr>
      <w:r w:rsidRPr="00283424">
        <w:tab/>
        <w:t>(i)</w:t>
      </w:r>
      <w:r w:rsidRPr="00283424">
        <w:tab/>
        <w:t>consists wholly of one or more marketable securities, or a beneficial interest in one or more marketable securities; or</w:t>
      </w:r>
    </w:p>
    <w:p w14:paraId="4DE1FC01" w14:textId="77777777" w:rsidR="00E93F58" w:rsidRPr="00283424" w:rsidRDefault="00E93F58" w:rsidP="00B50726">
      <w:pPr>
        <w:pStyle w:val="paragraphsub"/>
      </w:pPr>
      <w:r w:rsidRPr="00283424">
        <w:tab/>
        <w:t>(ii)</w:t>
      </w:r>
      <w:r w:rsidRPr="00283424">
        <w:tab/>
        <w:t>consists:</w:t>
      </w:r>
    </w:p>
    <w:p w14:paraId="718DA0F4" w14:textId="77777777" w:rsidR="00E93F58" w:rsidRPr="00283424" w:rsidRDefault="00E93F58" w:rsidP="00B50726">
      <w:pPr>
        <w:pStyle w:val="paragraphsub-sub"/>
      </w:pPr>
      <w:r w:rsidRPr="00283424">
        <w:tab/>
        <w:t>(A)</w:t>
      </w:r>
      <w:r w:rsidRPr="00283424">
        <w:tab/>
        <w:t>partly of one or more marketable securities, or a beneficial interest in one or more marketable securities; and</w:t>
      </w:r>
    </w:p>
    <w:p w14:paraId="6164B4BD" w14:textId="77777777" w:rsidR="00E93F58" w:rsidRPr="00283424" w:rsidRDefault="00E93F58" w:rsidP="00B50726">
      <w:pPr>
        <w:pStyle w:val="paragraphsub-sub"/>
      </w:pPr>
      <w:r w:rsidRPr="00283424">
        <w:tab/>
        <w:t>(B)</w:t>
      </w:r>
      <w:r w:rsidRPr="00283424">
        <w:tab/>
        <w:t>partly of cash given to the provider and held in trust for the client for the sole purpose of servicing obligations under the facility; and</w:t>
      </w:r>
    </w:p>
    <w:p w14:paraId="6F76997D" w14:textId="77777777" w:rsidR="00E93F58" w:rsidRPr="00283424" w:rsidRDefault="00E93F58" w:rsidP="00B50726">
      <w:pPr>
        <w:pStyle w:val="paragraph"/>
      </w:pPr>
      <w:r w:rsidRPr="00283424">
        <w:tab/>
        <w:t>(c)</w:t>
      </w:r>
      <w:r w:rsidRPr="00283424">
        <w:tab/>
        <w:t>the liability of the client to the provider is limited to the rights relating to the secured property.</w:t>
      </w:r>
    </w:p>
    <w:p w14:paraId="33EB40A7" w14:textId="77777777" w:rsidR="00E93F58" w:rsidRPr="00283424" w:rsidRDefault="00E93F58" w:rsidP="00B50726">
      <w:pPr>
        <w:pStyle w:val="ActHead5"/>
      </w:pPr>
      <w:bookmarkStart w:id="1324" w:name="_Toc152054640"/>
      <w:bookmarkStart w:id="1325" w:name="_Toc158712456"/>
      <w:r w:rsidRPr="006F296E">
        <w:rPr>
          <w:rStyle w:val="CharSectno"/>
        </w:rPr>
        <w:t>7.8.09</w:t>
      </w:r>
      <w:r w:rsidRPr="00283424">
        <w:t xml:space="preserve">  Reasonable inquiries etc about retail client: inquiries</w:t>
      </w:r>
      <w:bookmarkEnd w:id="1324"/>
      <w:bookmarkEnd w:id="1325"/>
    </w:p>
    <w:p w14:paraId="631C2467" w14:textId="77777777" w:rsidR="00E93F58" w:rsidRPr="00283424" w:rsidRDefault="00E93F58" w:rsidP="00B50726">
      <w:pPr>
        <w:pStyle w:val="subsection"/>
        <w:keepNext/>
        <w:keepLines/>
      </w:pPr>
      <w:r w:rsidRPr="00283424">
        <w:tab/>
        <w:t>(1)</w:t>
      </w:r>
      <w:r w:rsidRPr="00283424">
        <w:tab/>
        <w:t>For paragraph 985G(1)(c) of the Act, the following inquiries about a client are prescribed in relation to a margin lending facility, or a margin lending facility whose limit is proposed to be increased, within the meaning of subsection 761EA(1) of the Act:</w:t>
      </w:r>
    </w:p>
    <w:p w14:paraId="49AD662C" w14:textId="77777777" w:rsidR="00E93F58" w:rsidRPr="00283424" w:rsidRDefault="00E93F58" w:rsidP="00B50726">
      <w:pPr>
        <w:pStyle w:val="paragraph"/>
      </w:pPr>
      <w:r w:rsidRPr="00283424">
        <w:tab/>
        <w:t>(a)</w:t>
      </w:r>
      <w:r w:rsidRPr="00283424">
        <w:tab/>
        <w:t>reasonable inquiries as to whether the client has taken out a loan to fund the secured property or transferred securities contributed by the client for establishing the margin lending facility;</w:t>
      </w:r>
    </w:p>
    <w:p w14:paraId="1C358F43" w14:textId="77777777" w:rsidR="00E93F58" w:rsidRPr="00283424" w:rsidRDefault="00E93F58" w:rsidP="00B50726">
      <w:pPr>
        <w:pStyle w:val="notetext"/>
      </w:pPr>
      <w:r w:rsidRPr="00283424">
        <w:rPr>
          <w:iCs/>
        </w:rPr>
        <w:t>Note:</w:t>
      </w:r>
      <w:r w:rsidRPr="00283424">
        <w:rPr>
          <w:iCs/>
        </w:rPr>
        <w:tab/>
      </w:r>
      <w:r w:rsidRPr="00283424">
        <w:t>This is sometimes referred to as ‘double gearing’.</w:t>
      </w:r>
    </w:p>
    <w:p w14:paraId="4DC5B8AF" w14:textId="77777777" w:rsidR="00E93F58" w:rsidRPr="00283424" w:rsidRDefault="00E93F58" w:rsidP="00B50726">
      <w:pPr>
        <w:pStyle w:val="paragraph"/>
      </w:pPr>
      <w:r w:rsidRPr="00283424">
        <w:tab/>
        <w:t>(b)</w:t>
      </w:r>
      <w:r w:rsidRPr="00283424">
        <w:tab/>
        <w:t>if a loan to fund the secured property or transferred securities contributed by the client for establishing the margin lending facility has been taken out—reasonable inquiries as to whether the security for the loan includes the primary residential property of the client;</w:t>
      </w:r>
    </w:p>
    <w:p w14:paraId="354AE605" w14:textId="77777777" w:rsidR="00E93F58" w:rsidRPr="00283424" w:rsidRDefault="00E93F58" w:rsidP="00B50726">
      <w:pPr>
        <w:pStyle w:val="paragraph"/>
      </w:pPr>
      <w:r w:rsidRPr="00283424">
        <w:tab/>
        <w:t>(c)</w:t>
      </w:r>
      <w:r w:rsidRPr="00283424">
        <w:tab/>
        <w:t>if there is a guarantor for the margin lending facility—reasonable inquiries as to whether the guarantor has been appropriately informed of, and warned about, the risks and possible consequences of providing the guarantee;</w:t>
      </w:r>
    </w:p>
    <w:p w14:paraId="15671C7E" w14:textId="77777777" w:rsidR="00E93F58" w:rsidRPr="00283424" w:rsidRDefault="00E93F58" w:rsidP="00B50726">
      <w:pPr>
        <w:pStyle w:val="paragraph"/>
      </w:pPr>
      <w:r w:rsidRPr="00283424">
        <w:tab/>
        <w:t>(d)</w:t>
      </w:r>
      <w:r w:rsidRPr="00283424">
        <w:tab/>
        <w:t>reasonable inquiries as to the amount of any other debt incurred by the client;</w:t>
      </w:r>
    </w:p>
    <w:p w14:paraId="2FBCDCF9" w14:textId="77777777" w:rsidR="00E93F58" w:rsidRPr="00283424" w:rsidRDefault="00E93F58" w:rsidP="00B50726">
      <w:pPr>
        <w:pStyle w:val="paragraph"/>
      </w:pPr>
      <w:r w:rsidRPr="00283424">
        <w:tab/>
        <w:t>(e)</w:t>
      </w:r>
      <w:r w:rsidRPr="00283424">
        <w:tab/>
        <w:t>any other matter that ASIC has specified in a legislative instrument for subregulation (2).</w:t>
      </w:r>
    </w:p>
    <w:p w14:paraId="7B761611" w14:textId="77777777" w:rsidR="00E93F58" w:rsidRPr="00283424" w:rsidRDefault="00E93F58" w:rsidP="00B50726">
      <w:pPr>
        <w:pStyle w:val="subsection"/>
      </w:pPr>
      <w:r w:rsidRPr="00283424">
        <w:tab/>
        <w:t>(2)</w:t>
      </w:r>
      <w:r w:rsidRPr="00283424">
        <w:tab/>
        <w:t>ASIC may specify in a legislative instrument any matter ASIC considers to be relevant for the purpose of establishing whether the margin lending facility, or the margin lending facility with the increased limit, is unsuitable for the client.</w:t>
      </w:r>
    </w:p>
    <w:p w14:paraId="7C3993AA" w14:textId="77777777" w:rsidR="00E93F58" w:rsidRPr="00283424" w:rsidRDefault="00E93F58" w:rsidP="00B50726">
      <w:pPr>
        <w:pStyle w:val="ActHead5"/>
      </w:pPr>
      <w:bookmarkStart w:id="1326" w:name="_Toc152054641"/>
      <w:bookmarkStart w:id="1327" w:name="_Toc158712457"/>
      <w:r w:rsidRPr="006F296E">
        <w:rPr>
          <w:rStyle w:val="CharSectno"/>
        </w:rPr>
        <w:t>7.8.09A</w:t>
      </w:r>
      <w:r w:rsidRPr="00283424">
        <w:t xml:space="preserve">  Modification of section 985G of the Act</w:t>
      </w:r>
      <w:bookmarkEnd w:id="1326"/>
      <w:bookmarkEnd w:id="1327"/>
    </w:p>
    <w:p w14:paraId="47E2ECF3" w14:textId="77777777" w:rsidR="00E93F58" w:rsidRPr="00283424" w:rsidRDefault="00E93F58" w:rsidP="00B50726">
      <w:pPr>
        <w:pStyle w:val="subsection"/>
      </w:pPr>
      <w:r w:rsidRPr="00283424">
        <w:tab/>
      </w:r>
      <w:r w:rsidRPr="00283424">
        <w:tab/>
        <w:t>For paragraph 992C(1)(c) of the Act, Part 7.8 of the Act applies as if section 985G of the Act were modified by inserting after subsection (2) the following subsection:</w:t>
      </w:r>
    </w:p>
    <w:p w14:paraId="67A8FA6B" w14:textId="77777777" w:rsidR="00E93F58" w:rsidRPr="00283424" w:rsidRDefault="00E93F58" w:rsidP="00B50726">
      <w:pPr>
        <w:pStyle w:val="paragraph"/>
      </w:pPr>
      <w:r w:rsidRPr="00283424">
        <w:tab/>
        <w:t>‘(2A)</w:t>
      </w:r>
      <w:r w:rsidRPr="00283424">
        <w:tab/>
        <w:t>The regulations may provide that ASIC may specify in a legislative instrument matters ASIC considers to be relevant for the purposes of paragraph 985G(1)(c) of the Act.’</w:t>
      </w:r>
    </w:p>
    <w:p w14:paraId="589BDA66" w14:textId="77777777" w:rsidR="00E93F58" w:rsidRPr="00283424" w:rsidRDefault="00E93F58" w:rsidP="00B50726">
      <w:pPr>
        <w:pStyle w:val="ActHead5"/>
      </w:pPr>
      <w:bookmarkStart w:id="1328" w:name="_Toc152054642"/>
      <w:bookmarkStart w:id="1329" w:name="_Toc158712458"/>
      <w:r w:rsidRPr="006F296E">
        <w:rPr>
          <w:rStyle w:val="CharSectno"/>
        </w:rPr>
        <w:lastRenderedPageBreak/>
        <w:t>7.8.10</w:t>
      </w:r>
      <w:r w:rsidRPr="00283424">
        <w:t xml:space="preserve">  Circumstances in which margin lending facility is unsuitable</w:t>
      </w:r>
      <w:bookmarkEnd w:id="1328"/>
      <w:bookmarkEnd w:id="1329"/>
    </w:p>
    <w:p w14:paraId="6E165ABC" w14:textId="77777777" w:rsidR="00E93F58" w:rsidRPr="00283424" w:rsidRDefault="00E93F58" w:rsidP="00B50726">
      <w:pPr>
        <w:pStyle w:val="subsection"/>
      </w:pPr>
      <w:r w:rsidRPr="00283424">
        <w:tab/>
      </w:r>
      <w:r w:rsidRPr="00283424">
        <w:tab/>
        <w:t>For paragraph 985H(2)(b) of the Act, a margin lending facility, or a margin lending facility whose limit is proposed to be increased, is unsuitable for a retail client if the client:</w:t>
      </w:r>
    </w:p>
    <w:p w14:paraId="6AA3DCC6" w14:textId="77777777" w:rsidR="00E93F58" w:rsidRPr="00283424" w:rsidRDefault="00E93F58" w:rsidP="00B50726">
      <w:pPr>
        <w:pStyle w:val="paragraph"/>
      </w:pPr>
      <w:r w:rsidRPr="00283424">
        <w:tab/>
        <w:t>(a)</w:t>
      </w:r>
      <w:r w:rsidRPr="00283424">
        <w:tab/>
        <w:t>is, on an ongoing basis, unable to be contacted by any of the usual means of communication; and</w:t>
      </w:r>
    </w:p>
    <w:p w14:paraId="2B598926" w14:textId="77777777" w:rsidR="00E93F58" w:rsidRPr="00283424" w:rsidRDefault="00E93F58" w:rsidP="00B50726">
      <w:pPr>
        <w:pStyle w:val="paragraph"/>
      </w:pPr>
      <w:r w:rsidRPr="00283424">
        <w:tab/>
        <w:t>(b)</w:t>
      </w:r>
      <w:r w:rsidRPr="00283424">
        <w:tab/>
        <w:t>has not appointed an agent to act on the client’s behalf.</w:t>
      </w:r>
    </w:p>
    <w:p w14:paraId="24EF3BE4" w14:textId="77777777" w:rsidR="00E93F58" w:rsidRPr="00283424" w:rsidRDefault="00E93F58" w:rsidP="00B50726">
      <w:pPr>
        <w:pStyle w:val="ActHead5"/>
      </w:pPr>
      <w:bookmarkStart w:id="1330" w:name="_Toc152054643"/>
      <w:bookmarkStart w:id="1331" w:name="_Toc158712459"/>
      <w:r w:rsidRPr="006F296E">
        <w:rPr>
          <w:rStyle w:val="CharSectno"/>
        </w:rPr>
        <w:t>7.8.10A</w:t>
      </w:r>
      <w:r w:rsidRPr="00283424">
        <w:t xml:space="preserve">  Margin lending facility taken not to be unsuitable</w:t>
      </w:r>
      <w:bookmarkEnd w:id="1330"/>
      <w:bookmarkEnd w:id="1331"/>
    </w:p>
    <w:p w14:paraId="08D95F71" w14:textId="77777777" w:rsidR="00E93F58" w:rsidRPr="00283424" w:rsidRDefault="00E93F58" w:rsidP="00B50726">
      <w:pPr>
        <w:pStyle w:val="subsection"/>
      </w:pPr>
      <w:r w:rsidRPr="00283424">
        <w:tab/>
      </w:r>
      <w:r w:rsidRPr="00283424">
        <w:tab/>
        <w:t>For subsection 985K(4) of the Act, a margin lending facility is taken not to be unsuitable:</w:t>
      </w:r>
    </w:p>
    <w:p w14:paraId="162F1BB7" w14:textId="77777777" w:rsidR="00E93F58" w:rsidRPr="00283424" w:rsidRDefault="00E93F58" w:rsidP="00B50726">
      <w:pPr>
        <w:pStyle w:val="paragraph"/>
      </w:pPr>
      <w:r w:rsidRPr="00283424">
        <w:tab/>
        <w:t>(a)</w:t>
      </w:r>
      <w:r w:rsidRPr="00283424">
        <w:tab/>
        <w:t>if:</w:t>
      </w:r>
    </w:p>
    <w:p w14:paraId="2846EEA9" w14:textId="77777777" w:rsidR="00E93F58" w:rsidRPr="00283424" w:rsidRDefault="00E93F58" w:rsidP="00B50726">
      <w:pPr>
        <w:pStyle w:val="paragraphsub"/>
      </w:pPr>
      <w:r w:rsidRPr="00283424">
        <w:tab/>
        <w:t>(i)</w:t>
      </w:r>
      <w:r w:rsidRPr="00283424">
        <w:tab/>
        <w:t>an assessment of unsuitability was undertaken in accordance with the Act; and</w:t>
      </w:r>
    </w:p>
    <w:p w14:paraId="443E7F31" w14:textId="77777777" w:rsidR="00E93F58" w:rsidRPr="00283424" w:rsidRDefault="00E93F58" w:rsidP="00B50726">
      <w:pPr>
        <w:pStyle w:val="paragraphsub"/>
      </w:pPr>
      <w:r w:rsidRPr="00283424">
        <w:tab/>
        <w:t>(ii)</w:t>
      </w:r>
      <w:r w:rsidRPr="00283424">
        <w:tab/>
        <w:t>the assessment reasonably concluded that the margin lending facility is not unsuitable; or</w:t>
      </w:r>
    </w:p>
    <w:p w14:paraId="2CA264AD" w14:textId="77777777" w:rsidR="00E93F58" w:rsidRPr="00283424" w:rsidRDefault="00E93F58" w:rsidP="00B50726">
      <w:pPr>
        <w:pStyle w:val="paragraph"/>
      </w:pPr>
      <w:r w:rsidRPr="00283424">
        <w:tab/>
        <w:t>(b)</w:t>
      </w:r>
      <w:r w:rsidRPr="00283424">
        <w:tab/>
        <w:t>if a person is exempt under regulation 7.8.08B from the requirement to make an assessment of unsuitability in relation to the margin lending facility.</w:t>
      </w:r>
    </w:p>
    <w:p w14:paraId="6CFD0D92" w14:textId="77777777" w:rsidR="00E93F58" w:rsidRPr="00283424" w:rsidRDefault="00E93F58" w:rsidP="00B50726">
      <w:pPr>
        <w:pStyle w:val="ActHead3"/>
        <w:pageBreakBefore/>
      </w:pPr>
      <w:bookmarkStart w:id="1332" w:name="_Toc152054644"/>
      <w:bookmarkStart w:id="1333" w:name="_Toc158712460"/>
      <w:r w:rsidRPr="006F296E">
        <w:rPr>
          <w:rStyle w:val="CharDivNo"/>
        </w:rPr>
        <w:lastRenderedPageBreak/>
        <w:t>Division 6</w:t>
      </w:r>
      <w:r w:rsidRPr="00283424">
        <w:t>—</w:t>
      </w:r>
      <w:r w:rsidRPr="006F296E">
        <w:rPr>
          <w:rStyle w:val="CharDivText"/>
        </w:rPr>
        <w:t>Financial records, statements and audit</w:t>
      </w:r>
      <w:bookmarkEnd w:id="1332"/>
      <w:bookmarkEnd w:id="1333"/>
    </w:p>
    <w:p w14:paraId="42FE9A3E" w14:textId="77777777" w:rsidR="00E93F58" w:rsidRPr="00283424" w:rsidRDefault="00E93F58" w:rsidP="00B50726">
      <w:pPr>
        <w:pStyle w:val="ActHead4"/>
      </w:pPr>
      <w:bookmarkStart w:id="1334" w:name="_Toc152054645"/>
      <w:bookmarkStart w:id="1335" w:name="_Toc158712461"/>
      <w:r w:rsidRPr="006F296E">
        <w:rPr>
          <w:rStyle w:val="CharSubdNo"/>
        </w:rPr>
        <w:t>Subdivision B</w:t>
      </w:r>
      <w:r w:rsidRPr="00283424">
        <w:t>—</w:t>
      </w:r>
      <w:r w:rsidRPr="006F296E">
        <w:rPr>
          <w:rStyle w:val="CharSubdText"/>
        </w:rPr>
        <w:t>Financial records of financial services licensees</w:t>
      </w:r>
      <w:bookmarkEnd w:id="1334"/>
      <w:bookmarkEnd w:id="1335"/>
    </w:p>
    <w:p w14:paraId="3C700E45" w14:textId="77777777" w:rsidR="00E93F58" w:rsidRPr="00283424" w:rsidRDefault="00E93F58" w:rsidP="00B50726">
      <w:pPr>
        <w:pStyle w:val="ActHead5"/>
      </w:pPr>
      <w:bookmarkStart w:id="1336" w:name="_Toc152054646"/>
      <w:bookmarkStart w:id="1337" w:name="_Toc158712462"/>
      <w:r w:rsidRPr="006F296E">
        <w:rPr>
          <w:rStyle w:val="CharSectno"/>
        </w:rPr>
        <w:t>7.8.11</w:t>
      </w:r>
      <w:r w:rsidRPr="00283424">
        <w:rPr>
          <w:sz w:val="16"/>
        </w:rPr>
        <w:t xml:space="preserve">  </w:t>
      </w:r>
      <w:r w:rsidRPr="00283424">
        <w:t>Particular categories of information to be shown in records</w:t>
      </w:r>
      <w:bookmarkEnd w:id="1336"/>
      <w:bookmarkEnd w:id="1337"/>
    </w:p>
    <w:p w14:paraId="31E04D6D" w14:textId="77777777" w:rsidR="00E93F58" w:rsidRPr="00283424" w:rsidRDefault="00E93F58" w:rsidP="00B50726">
      <w:pPr>
        <w:pStyle w:val="subsection"/>
      </w:pPr>
      <w:r w:rsidRPr="00283424">
        <w:tab/>
      </w:r>
      <w:r w:rsidRPr="00283424">
        <w:tab/>
        <w:t>For paragraph 988E(g) of the Act, the following matters are specified:</w:t>
      </w:r>
    </w:p>
    <w:p w14:paraId="050718B5" w14:textId="77777777" w:rsidR="00E93F58" w:rsidRPr="00283424" w:rsidRDefault="00E93F58" w:rsidP="00B50726">
      <w:pPr>
        <w:pStyle w:val="paragraph"/>
      </w:pPr>
      <w:r w:rsidRPr="00283424">
        <w:rPr>
          <w:color w:val="000000"/>
        </w:rPr>
        <w:tab/>
        <w:t>(a)</w:t>
      </w:r>
      <w:r w:rsidRPr="00283424">
        <w:rPr>
          <w:color w:val="000000"/>
        </w:rPr>
        <w:tab/>
        <w:t>all underwriting transactions entered into by the financial services licensee;</w:t>
      </w:r>
    </w:p>
    <w:p w14:paraId="7C4B7D84" w14:textId="77777777" w:rsidR="00E93F58" w:rsidRPr="00283424" w:rsidRDefault="00E93F58" w:rsidP="00B50726">
      <w:pPr>
        <w:pStyle w:val="paragraph"/>
      </w:pPr>
      <w:r w:rsidRPr="00283424">
        <w:tab/>
        <w:t>(b)</w:t>
      </w:r>
      <w:r w:rsidRPr="00283424">
        <w:tab/>
        <w:t>all financial products dealt with by the licensee under instructions from another person;</w:t>
      </w:r>
    </w:p>
    <w:p w14:paraId="771B1FC5" w14:textId="77777777" w:rsidR="00E93F58" w:rsidRPr="00283424" w:rsidRDefault="00E93F58" w:rsidP="00B50726">
      <w:pPr>
        <w:pStyle w:val="paragraph"/>
      </w:pPr>
      <w:r w:rsidRPr="00283424">
        <w:tab/>
        <w:t>(c)</w:t>
      </w:r>
      <w:r w:rsidRPr="00283424">
        <w:tab/>
        <w:t>each person who gave instructions to deal with financial products;</w:t>
      </w:r>
    </w:p>
    <w:p w14:paraId="669EBB48" w14:textId="77777777" w:rsidR="00E93F58" w:rsidRPr="00283424" w:rsidRDefault="00E93F58" w:rsidP="00B50726">
      <w:pPr>
        <w:pStyle w:val="paragraph"/>
        <w:keepNext/>
        <w:keepLines/>
      </w:pPr>
      <w:r w:rsidRPr="00283424">
        <w:tab/>
        <w:t>(d)</w:t>
      </w:r>
      <w:r w:rsidRPr="00283424">
        <w:tab/>
        <w:t>all property:</w:t>
      </w:r>
    </w:p>
    <w:p w14:paraId="72839697" w14:textId="77777777" w:rsidR="00E93F58" w:rsidRPr="00283424" w:rsidRDefault="00E93F58" w:rsidP="00B50726">
      <w:pPr>
        <w:pStyle w:val="paragraphsub"/>
      </w:pPr>
      <w:r w:rsidRPr="00283424">
        <w:rPr>
          <w:color w:val="000000"/>
        </w:rPr>
        <w:tab/>
        <w:t>(i)</w:t>
      </w:r>
      <w:r w:rsidRPr="00283424">
        <w:rPr>
          <w:color w:val="000000"/>
        </w:rPr>
        <w:tab/>
        <w:t>that is not the property of the financial services licensee; and</w:t>
      </w:r>
    </w:p>
    <w:p w14:paraId="3D350C1A" w14:textId="77777777" w:rsidR="00E93F58" w:rsidRPr="00283424" w:rsidRDefault="00E93F58" w:rsidP="00B50726">
      <w:pPr>
        <w:pStyle w:val="paragraphsub"/>
      </w:pPr>
      <w:r w:rsidRPr="00283424">
        <w:tab/>
        <w:t>(ii)</w:t>
      </w:r>
      <w:r w:rsidRPr="00283424">
        <w:tab/>
        <w:t>for which the financial services licensee, or a nominee controlled by the financial services licensee, is accountable;</w:t>
      </w:r>
    </w:p>
    <w:p w14:paraId="371E14FE" w14:textId="77777777" w:rsidR="00E93F58" w:rsidRPr="00283424" w:rsidRDefault="00E93F58" w:rsidP="00B50726">
      <w:pPr>
        <w:pStyle w:val="paragraph"/>
      </w:pPr>
      <w:r w:rsidRPr="00283424">
        <w:rPr>
          <w:color w:val="000000"/>
        </w:rPr>
        <w:tab/>
        <w:t>(e)</w:t>
      </w:r>
      <w:r w:rsidRPr="00283424">
        <w:rPr>
          <w:color w:val="000000"/>
        </w:rPr>
        <w:tab/>
        <w:t>each person by whom, or for whom, property mentioned in paragraph (d) is held;</w:t>
      </w:r>
    </w:p>
    <w:p w14:paraId="18181C0F" w14:textId="77777777" w:rsidR="00E93F58" w:rsidRPr="00283424" w:rsidRDefault="00E93F58" w:rsidP="00B50726">
      <w:pPr>
        <w:pStyle w:val="paragraph"/>
      </w:pPr>
      <w:r w:rsidRPr="00283424">
        <w:tab/>
        <w:t>(f)</w:t>
      </w:r>
      <w:r w:rsidRPr="00283424">
        <w:tab/>
        <w:t>the extent to which property mentioned in paragraph (d) is:</w:t>
      </w:r>
    </w:p>
    <w:p w14:paraId="6FF91F5F" w14:textId="77777777" w:rsidR="00E93F58" w:rsidRPr="00283424" w:rsidRDefault="00E93F58" w:rsidP="00B50726">
      <w:pPr>
        <w:pStyle w:val="paragraphsub"/>
      </w:pPr>
      <w:r w:rsidRPr="00283424">
        <w:rPr>
          <w:color w:val="000000"/>
        </w:rPr>
        <w:tab/>
        <w:t>(i)</w:t>
      </w:r>
      <w:r w:rsidRPr="00283424">
        <w:rPr>
          <w:color w:val="000000"/>
        </w:rPr>
        <w:tab/>
        <w:t>held in safe custody; or</w:t>
      </w:r>
    </w:p>
    <w:p w14:paraId="43357AFE" w14:textId="77777777" w:rsidR="00E93F58" w:rsidRPr="00283424" w:rsidRDefault="00E93F58" w:rsidP="00B50726">
      <w:pPr>
        <w:pStyle w:val="paragraphsub"/>
      </w:pPr>
      <w:r w:rsidRPr="00283424">
        <w:tab/>
        <w:t>(ii)</w:t>
      </w:r>
      <w:r w:rsidRPr="00283424">
        <w:tab/>
        <w:t>deposited with a third party as security for a loan or advance made to the financial services licensee;</w:t>
      </w:r>
    </w:p>
    <w:p w14:paraId="75BC494C" w14:textId="77777777" w:rsidR="00E93F58" w:rsidRPr="00283424" w:rsidRDefault="00E93F58" w:rsidP="00B50726">
      <w:pPr>
        <w:pStyle w:val="paragraph"/>
      </w:pPr>
      <w:r w:rsidRPr="00283424">
        <w:rPr>
          <w:color w:val="000000"/>
        </w:rPr>
        <w:tab/>
        <w:t>(g)</w:t>
      </w:r>
      <w:r w:rsidRPr="00283424">
        <w:rPr>
          <w:color w:val="000000"/>
        </w:rPr>
        <w:tab/>
        <w:t>all transactions in relation to insurance products entered into with, or on behalf of, foreign insurers.</w:t>
      </w:r>
    </w:p>
    <w:p w14:paraId="5354DF72" w14:textId="77777777" w:rsidR="00E93F58" w:rsidRPr="00283424" w:rsidRDefault="00E93F58" w:rsidP="00B50726">
      <w:pPr>
        <w:pStyle w:val="ActHead5"/>
      </w:pPr>
      <w:bookmarkStart w:id="1338" w:name="_Toc152054647"/>
      <w:bookmarkStart w:id="1339" w:name="_Toc158712463"/>
      <w:r w:rsidRPr="006F296E">
        <w:rPr>
          <w:rStyle w:val="CharSectno"/>
        </w:rPr>
        <w:t>7.8.11A</w:t>
      </w:r>
      <w:r w:rsidRPr="00283424">
        <w:t xml:space="preserve">  Particular categories of information to be shown in records: records of non</w:t>
      </w:r>
      <w:r>
        <w:noBreakHyphen/>
      </w:r>
      <w:r w:rsidRPr="00283424">
        <w:t>monetary benefit that is not conflicted remuneration</w:t>
      </w:r>
      <w:bookmarkEnd w:id="1338"/>
      <w:bookmarkEnd w:id="1339"/>
    </w:p>
    <w:p w14:paraId="7A0CF58C" w14:textId="77777777" w:rsidR="00E93F58" w:rsidRPr="00283424" w:rsidRDefault="00E93F58" w:rsidP="00B50726">
      <w:pPr>
        <w:pStyle w:val="subsection"/>
      </w:pPr>
      <w:r w:rsidRPr="00283424">
        <w:tab/>
        <w:t>(1)</w:t>
      </w:r>
      <w:r w:rsidRPr="00283424">
        <w:tab/>
        <w:t>This regulation is made for paragraph 988E(g) and section 988F of the Act.</w:t>
      </w:r>
    </w:p>
    <w:p w14:paraId="5E34F398" w14:textId="77777777" w:rsidR="00E93F58" w:rsidRPr="00283424" w:rsidRDefault="00E93F58" w:rsidP="00B50726">
      <w:pPr>
        <w:pStyle w:val="subsection"/>
      </w:pPr>
      <w:r w:rsidRPr="00283424">
        <w:tab/>
        <w:t>(2)</w:t>
      </w:r>
      <w:r w:rsidRPr="00283424">
        <w:tab/>
        <w:t>The following table sets out matters in relation to a non</w:t>
      </w:r>
      <w:r>
        <w:noBreakHyphen/>
      </w:r>
      <w:r w:rsidRPr="00283424">
        <w:t>monetary benefit that:</w:t>
      </w:r>
    </w:p>
    <w:p w14:paraId="3071F240" w14:textId="77777777" w:rsidR="00E93F58" w:rsidRPr="00283424" w:rsidRDefault="00E93F58" w:rsidP="00B50726">
      <w:pPr>
        <w:pStyle w:val="paragraph"/>
      </w:pPr>
      <w:r w:rsidRPr="00283424">
        <w:tab/>
        <w:t>(a)</w:t>
      </w:r>
      <w:r w:rsidRPr="00283424">
        <w:tab/>
        <w:t>is given to a financial services licensee or a representative of a financial services licensee; and</w:t>
      </w:r>
    </w:p>
    <w:p w14:paraId="1E674789" w14:textId="77777777" w:rsidR="00E93F58" w:rsidRPr="00283424" w:rsidRDefault="00E93F58" w:rsidP="00B50726">
      <w:pPr>
        <w:pStyle w:val="paragraph"/>
      </w:pPr>
      <w:r w:rsidRPr="00283424">
        <w:tab/>
        <w:t>(b)</w:t>
      </w:r>
      <w:r w:rsidRPr="00283424">
        <w:tab/>
        <w:t>either:</w:t>
      </w:r>
    </w:p>
    <w:p w14:paraId="7B3014C7" w14:textId="77777777" w:rsidR="00E93F58" w:rsidRPr="00283424" w:rsidRDefault="00E93F58" w:rsidP="00B50726">
      <w:pPr>
        <w:pStyle w:val="paragraphsub"/>
      </w:pPr>
      <w:r w:rsidRPr="00283424">
        <w:tab/>
        <w:t>(i)</w:t>
      </w:r>
      <w:r w:rsidRPr="00283424">
        <w:tab/>
        <w:t>is not conflicted remuneration in accordance with paragraph 963C(b) of the Act, and is over $100; or</w:t>
      </w:r>
    </w:p>
    <w:p w14:paraId="7E9A1777" w14:textId="77777777" w:rsidR="00E93F58" w:rsidRPr="00283424" w:rsidRDefault="00E93F58" w:rsidP="00B50726">
      <w:pPr>
        <w:pStyle w:val="paragraphsub"/>
      </w:pPr>
      <w:r w:rsidRPr="00283424">
        <w:tab/>
        <w:t>(ii)</w:t>
      </w:r>
      <w:r w:rsidRPr="00283424">
        <w:tab/>
        <w:t>is not conflicted remuneration in accordance with paragraph 963C(c) or (d) of the Act; or</w:t>
      </w:r>
    </w:p>
    <w:p w14:paraId="78833620" w14:textId="77777777" w:rsidR="00E93F58" w:rsidRPr="00283424" w:rsidRDefault="00E93F58" w:rsidP="00B50726">
      <w:pPr>
        <w:pStyle w:val="notetext"/>
      </w:pPr>
      <w:r w:rsidRPr="00283424">
        <w:t>Note:</w:t>
      </w:r>
      <w:r w:rsidRPr="00283424">
        <w:tab/>
        <w:t>Particulars of the matters must be shown in the records kept by the financial services licensee.</w:t>
      </w:r>
    </w:p>
    <w:p w14:paraId="5CC05A3E"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1258"/>
        <w:gridCol w:w="9515"/>
      </w:tblGrid>
      <w:tr w:rsidR="00E93F58" w:rsidRPr="00283424" w14:paraId="629E2C74" w14:textId="77777777" w:rsidTr="00EA0AFF">
        <w:trPr>
          <w:tblHeader/>
        </w:trPr>
        <w:tc>
          <w:tcPr>
            <w:tcW w:w="584" w:type="pct"/>
            <w:tcBorders>
              <w:top w:val="single" w:sz="12" w:space="0" w:color="auto"/>
              <w:bottom w:val="single" w:sz="12" w:space="0" w:color="auto"/>
            </w:tcBorders>
            <w:shd w:val="clear" w:color="auto" w:fill="auto"/>
          </w:tcPr>
          <w:p w14:paraId="5A52D6A9" w14:textId="77777777" w:rsidR="00E93F58" w:rsidRPr="00283424" w:rsidRDefault="00E93F58" w:rsidP="00EA0AFF">
            <w:pPr>
              <w:pStyle w:val="TableHeading"/>
              <w:keepLines/>
            </w:pPr>
            <w:r w:rsidRPr="00283424">
              <w:t>Item</w:t>
            </w:r>
          </w:p>
        </w:tc>
        <w:tc>
          <w:tcPr>
            <w:tcW w:w="4416" w:type="pct"/>
            <w:tcBorders>
              <w:top w:val="single" w:sz="12" w:space="0" w:color="auto"/>
              <w:bottom w:val="single" w:sz="12" w:space="0" w:color="auto"/>
            </w:tcBorders>
            <w:shd w:val="clear" w:color="auto" w:fill="auto"/>
          </w:tcPr>
          <w:p w14:paraId="3701FEF1" w14:textId="77777777" w:rsidR="00E93F58" w:rsidRPr="00283424" w:rsidRDefault="00E93F58" w:rsidP="00EA0AFF">
            <w:pPr>
              <w:pStyle w:val="TableHeading"/>
              <w:keepLines/>
            </w:pPr>
            <w:r w:rsidRPr="00283424">
              <w:t>Matter</w:t>
            </w:r>
          </w:p>
        </w:tc>
      </w:tr>
      <w:tr w:rsidR="00E93F58" w:rsidRPr="00283424" w14:paraId="4347C0BA" w14:textId="77777777" w:rsidTr="00EA0AFF">
        <w:tc>
          <w:tcPr>
            <w:tcW w:w="584" w:type="pct"/>
            <w:tcBorders>
              <w:top w:val="single" w:sz="12" w:space="0" w:color="auto"/>
              <w:bottom w:val="single" w:sz="4" w:space="0" w:color="auto"/>
            </w:tcBorders>
            <w:shd w:val="clear" w:color="auto" w:fill="auto"/>
          </w:tcPr>
          <w:p w14:paraId="691C543A" w14:textId="77777777" w:rsidR="00E93F58" w:rsidRPr="00283424" w:rsidRDefault="00E93F58" w:rsidP="00EA0AFF">
            <w:pPr>
              <w:pStyle w:val="Tabletext"/>
            </w:pPr>
            <w:r w:rsidRPr="00283424">
              <w:t>1</w:t>
            </w:r>
          </w:p>
        </w:tc>
        <w:tc>
          <w:tcPr>
            <w:tcW w:w="4416" w:type="pct"/>
            <w:tcBorders>
              <w:top w:val="single" w:sz="12" w:space="0" w:color="auto"/>
              <w:bottom w:val="single" w:sz="4" w:space="0" w:color="auto"/>
            </w:tcBorders>
            <w:shd w:val="clear" w:color="auto" w:fill="auto"/>
          </w:tcPr>
          <w:p w14:paraId="7ED81919" w14:textId="77777777" w:rsidR="00E93F58" w:rsidRPr="00283424" w:rsidRDefault="00E93F58" w:rsidP="00EA0AFF">
            <w:pPr>
              <w:pStyle w:val="Tabletext"/>
              <w:keepNext/>
              <w:keepLines/>
            </w:pPr>
            <w:r w:rsidRPr="00283424">
              <w:t>A description of the benefit</w:t>
            </w:r>
          </w:p>
        </w:tc>
      </w:tr>
      <w:tr w:rsidR="00E93F58" w:rsidRPr="00283424" w14:paraId="285777E3" w14:textId="77777777" w:rsidTr="00EA0AFF">
        <w:trPr>
          <w:cantSplit/>
        </w:trPr>
        <w:tc>
          <w:tcPr>
            <w:tcW w:w="584" w:type="pct"/>
            <w:tcBorders>
              <w:bottom w:val="nil"/>
            </w:tcBorders>
            <w:shd w:val="clear" w:color="auto" w:fill="auto"/>
          </w:tcPr>
          <w:p w14:paraId="32B98819" w14:textId="77777777" w:rsidR="00E93F58" w:rsidRPr="00283424" w:rsidRDefault="00E93F58" w:rsidP="00283424">
            <w:pPr>
              <w:pStyle w:val="Tabletext"/>
              <w:keepNext/>
              <w:keepLines/>
            </w:pPr>
            <w:r w:rsidRPr="00283424">
              <w:t>2</w:t>
            </w:r>
          </w:p>
        </w:tc>
        <w:tc>
          <w:tcPr>
            <w:tcW w:w="4416" w:type="pct"/>
            <w:tcBorders>
              <w:bottom w:val="nil"/>
            </w:tcBorders>
            <w:shd w:val="clear" w:color="auto" w:fill="auto"/>
          </w:tcPr>
          <w:p w14:paraId="12A6E979" w14:textId="77777777" w:rsidR="00E93F58" w:rsidRPr="00283424" w:rsidRDefault="00E93F58" w:rsidP="00283424">
            <w:pPr>
              <w:pStyle w:val="Tabletext"/>
              <w:keepNext/>
              <w:keepLines/>
            </w:pPr>
            <w:r w:rsidRPr="00283424">
              <w:t>Either:</w:t>
            </w:r>
          </w:p>
        </w:tc>
      </w:tr>
      <w:tr w:rsidR="00E93F58" w:rsidRPr="00283424" w14:paraId="24E3B0E0" w14:textId="77777777" w:rsidTr="00EA0AFF">
        <w:trPr>
          <w:cantSplit/>
        </w:trPr>
        <w:tc>
          <w:tcPr>
            <w:tcW w:w="584" w:type="pct"/>
            <w:tcBorders>
              <w:top w:val="nil"/>
              <w:bottom w:val="nil"/>
              <w:right w:val="nil"/>
            </w:tcBorders>
            <w:shd w:val="clear" w:color="auto" w:fill="auto"/>
          </w:tcPr>
          <w:p w14:paraId="3E9F0A65" w14:textId="77777777" w:rsidR="00E93F58" w:rsidRPr="00283424" w:rsidRDefault="00E93F58" w:rsidP="00283424">
            <w:pPr>
              <w:pStyle w:val="Tabletext"/>
              <w:keepNext/>
              <w:keepLines/>
            </w:pPr>
          </w:p>
        </w:tc>
        <w:tc>
          <w:tcPr>
            <w:tcW w:w="4416" w:type="pct"/>
            <w:tcBorders>
              <w:top w:val="nil"/>
              <w:left w:val="nil"/>
              <w:bottom w:val="nil"/>
            </w:tcBorders>
            <w:shd w:val="clear" w:color="auto" w:fill="auto"/>
            <w:vAlign w:val="center"/>
          </w:tcPr>
          <w:p w14:paraId="765E90BE" w14:textId="77777777" w:rsidR="00E93F58" w:rsidRPr="00283424" w:rsidRDefault="00E93F58" w:rsidP="00283424">
            <w:pPr>
              <w:pStyle w:val="Tablea"/>
              <w:keepNext/>
              <w:keepLines/>
            </w:pPr>
            <w:r w:rsidRPr="00283424">
              <w:t>(a) the value of the benefit; or</w:t>
            </w:r>
          </w:p>
        </w:tc>
      </w:tr>
      <w:tr w:rsidR="00E93F58" w:rsidRPr="00283424" w14:paraId="434E7B9E" w14:textId="77777777" w:rsidTr="00EA0AFF">
        <w:tc>
          <w:tcPr>
            <w:tcW w:w="584" w:type="pct"/>
            <w:tcBorders>
              <w:top w:val="nil"/>
              <w:bottom w:val="nil"/>
              <w:right w:val="nil"/>
            </w:tcBorders>
            <w:shd w:val="clear" w:color="auto" w:fill="auto"/>
          </w:tcPr>
          <w:p w14:paraId="4E0551EC" w14:textId="77777777" w:rsidR="00E93F58" w:rsidRPr="00283424" w:rsidRDefault="00E93F58" w:rsidP="00EA0AFF">
            <w:pPr>
              <w:pStyle w:val="Tabletext"/>
            </w:pPr>
          </w:p>
        </w:tc>
        <w:tc>
          <w:tcPr>
            <w:tcW w:w="4416" w:type="pct"/>
            <w:tcBorders>
              <w:top w:val="nil"/>
              <w:left w:val="nil"/>
              <w:bottom w:val="nil"/>
            </w:tcBorders>
            <w:shd w:val="clear" w:color="auto" w:fill="auto"/>
            <w:vAlign w:val="center"/>
          </w:tcPr>
          <w:p w14:paraId="3D24AEB0" w14:textId="77777777" w:rsidR="00E93F58" w:rsidRPr="00283424" w:rsidRDefault="00E93F58" w:rsidP="00EA0AFF">
            <w:pPr>
              <w:pStyle w:val="Tablea"/>
            </w:pPr>
            <w:r w:rsidRPr="00283424">
              <w:t>(b) if the value is not known, the estimated value of the benefit;</w:t>
            </w:r>
          </w:p>
        </w:tc>
      </w:tr>
      <w:tr w:rsidR="00E93F58" w:rsidRPr="00283424" w14:paraId="6C276286" w14:textId="77777777" w:rsidTr="00EA0AFF">
        <w:tc>
          <w:tcPr>
            <w:tcW w:w="584" w:type="pct"/>
            <w:tcBorders>
              <w:top w:val="nil"/>
              <w:bottom w:val="single" w:sz="4" w:space="0" w:color="auto"/>
              <w:right w:val="nil"/>
            </w:tcBorders>
            <w:shd w:val="clear" w:color="auto" w:fill="auto"/>
          </w:tcPr>
          <w:p w14:paraId="34E92288" w14:textId="77777777" w:rsidR="00E93F58" w:rsidRPr="00283424" w:rsidRDefault="00E93F58" w:rsidP="00EA0AFF">
            <w:pPr>
              <w:pStyle w:val="Tabletext"/>
            </w:pPr>
          </w:p>
        </w:tc>
        <w:tc>
          <w:tcPr>
            <w:tcW w:w="4416" w:type="pct"/>
            <w:tcBorders>
              <w:top w:val="nil"/>
              <w:left w:val="nil"/>
              <w:bottom w:val="single" w:sz="4" w:space="0" w:color="auto"/>
            </w:tcBorders>
            <w:shd w:val="clear" w:color="auto" w:fill="auto"/>
          </w:tcPr>
          <w:p w14:paraId="6EDE95D8" w14:textId="77777777" w:rsidR="00E93F58" w:rsidRPr="00283424" w:rsidRDefault="00E93F58" w:rsidP="00EA0AFF">
            <w:pPr>
              <w:pStyle w:val="Tabletext"/>
            </w:pPr>
            <w:r w:rsidRPr="00283424">
              <w:t>expressed as a dollar amount or as a range of dollars</w:t>
            </w:r>
          </w:p>
        </w:tc>
      </w:tr>
      <w:tr w:rsidR="00E93F58" w:rsidRPr="00283424" w14:paraId="730EEEBC" w14:textId="77777777" w:rsidTr="00EA0AFF">
        <w:tc>
          <w:tcPr>
            <w:tcW w:w="584" w:type="pct"/>
            <w:tcBorders>
              <w:top w:val="single" w:sz="4" w:space="0" w:color="auto"/>
            </w:tcBorders>
            <w:shd w:val="clear" w:color="auto" w:fill="auto"/>
          </w:tcPr>
          <w:p w14:paraId="3DFB8D9D" w14:textId="77777777" w:rsidR="00E93F58" w:rsidRPr="00283424" w:rsidRDefault="00E93F58" w:rsidP="00EA0AFF">
            <w:pPr>
              <w:pStyle w:val="Tabletext"/>
            </w:pPr>
            <w:r w:rsidRPr="00283424">
              <w:t>3</w:t>
            </w:r>
          </w:p>
        </w:tc>
        <w:tc>
          <w:tcPr>
            <w:tcW w:w="4416" w:type="pct"/>
            <w:tcBorders>
              <w:top w:val="single" w:sz="4" w:space="0" w:color="auto"/>
            </w:tcBorders>
            <w:shd w:val="clear" w:color="auto" w:fill="auto"/>
          </w:tcPr>
          <w:p w14:paraId="76749F44" w14:textId="77777777" w:rsidR="00E93F58" w:rsidRPr="00283424" w:rsidRDefault="00E93F58" w:rsidP="00EA0AFF">
            <w:pPr>
              <w:pStyle w:val="Tabletext"/>
            </w:pPr>
            <w:r w:rsidRPr="00283424">
              <w:t>The date on which the benefit was given</w:t>
            </w:r>
          </w:p>
        </w:tc>
      </w:tr>
      <w:tr w:rsidR="00E93F58" w:rsidRPr="00283424" w14:paraId="253B54CB" w14:textId="77777777" w:rsidTr="00EA0AFF">
        <w:tc>
          <w:tcPr>
            <w:tcW w:w="584" w:type="pct"/>
            <w:shd w:val="clear" w:color="auto" w:fill="auto"/>
          </w:tcPr>
          <w:p w14:paraId="1EE98607" w14:textId="77777777" w:rsidR="00E93F58" w:rsidRPr="00283424" w:rsidRDefault="00E93F58" w:rsidP="00EA0AFF">
            <w:pPr>
              <w:pStyle w:val="Tabletext"/>
            </w:pPr>
            <w:r w:rsidRPr="00283424">
              <w:t>4</w:t>
            </w:r>
          </w:p>
        </w:tc>
        <w:tc>
          <w:tcPr>
            <w:tcW w:w="4416" w:type="pct"/>
            <w:shd w:val="clear" w:color="auto" w:fill="auto"/>
          </w:tcPr>
          <w:p w14:paraId="7FC78B63" w14:textId="77777777" w:rsidR="00E93F58" w:rsidRPr="00283424" w:rsidRDefault="00E93F58" w:rsidP="00EA0AFF">
            <w:pPr>
              <w:pStyle w:val="Tabletext"/>
            </w:pPr>
            <w:r w:rsidRPr="00283424">
              <w:t>The name of the person who gave the benefit and, if relevant, the number of the person’s financial services licence</w:t>
            </w:r>
          </w:p>
        </w:tc>
      </w:tr>
      <w:tr w:rsidR="00E93F58" w:rsidRPr="00283424" w14:paraId="6D5FC05B" w14:textId="77777777" w:rsidTr="00EA0AFF">
        <w:tc>
          <w:tcPr>
            <w:tcW w:w="584" w:type="pct"/>
            <w:shd w:val="clear" w:color="auto" w:fill="auto"/>
          </w:tcPr>
          <w:p w14:paraId="7030C516" w14:textId="77777777" w:rsidR="00E93F58" w:rsidRPr="00283424" w:rsidRDefault="00E93F58" w:rsidP="00EA0AFF">
            <w:pPr>
              <w:pStyle w:val="Tabletext"/>
            </w:pPr>
            <w:r w:rsidRPr="00283424">
              <w:t>5</w:t>
            </w:r>
          </w:p>
        </w:tc>
        <w:tc>
          <w:tcPr>
            <w:tcW w:w="4416" w:type="pct"/>
            <w:shd w:val="clear" w:color="auto" w:fill="auto"/>
          </w:tcPr>
          <w:p w14:paraId="1A05D8ED" w14:textId="77777777" w:rsidR="00E93F58" w:rsidRPr="00283424" w:rsidRDefault="00E93F58" w:rsidP="00EA0AFF">
            <w:pPr>
              <w:pStyle w:val="Tabletext"/>
            </w:pPr>
            <w:r w:rsidRPr="00283424">
              <w:t>Whether the benefit was given to the licensee or to a representative of the licensee</w:t>
            </w:r>
          </w:p>
        </w:tc>
      </w:tr>
      <w:tr w:rsidR="00E93F58" w:rsidRPr="00283424" w14:paraId="372B6EA2" w14:textId="77777777" w:rsidTr="00EA0AFF">
        <w:tc>
          <w:tcPr>
            <w:tcW w:w="584" w:type="pct"/>
            <w:tcBorders>
              <w:bottom w:val="single" w:sz="4" w:space="0" w:color="auto"/>
            </w:tcBorders>
            <w:shd w:val="clear" w:color="auto" w:fill="auto"/>
          </w:tcPr>
          <w:p w14:paraId="0D634F1C" w14:textId="77777777" w:rsidR="00E93F58" w:rsidRPr="00283424" w:rsidRDefault="00E93F58" w:rsidP="00EA0AFF">
            <w:pPr>
              <w:pStyle w:val="Tabletext"/>
            </w:pPr>
            <w:r w:rsidRPr="00283424">
              <w:t>6</w:t>
            </w:r>
          </w:p>
        </w:tc>
        <w:tc>
          <w:tcPr>
            <w:tcW w:w="4416" w:type="pct"/>
            <w:tcBorders>
              <w:bottom w:val="single" w:sz="4" w:space="0" w:color="auto"/>
            </w:tcBorders>
            <w:shd w:val="clear" w:color="auto" w:fill="auto"/>
          </w:tcPr>
          <w:p w14:paraId="35DE95F3" w14:textId="77777777" w:rsidR="00E93F58" w:rsidRPr="00283424" w:rsidRDefault="00E93F58" w:rsidP="00EA0AFF">
            <w:pPr>
              <w:pStyle w:val="Tabletext"/>
            </w:pPr>
            <w:r w:rsidRPr="00283424">
              <w:t>If the benefit was given to an authorised representative of the licensee, the name and contact details of the authorised representative</w:t>
            </w:r>
          </w:p>
        </w:tc>
      </w:tr>
      <w:tr w:rsidR="00E93F58" w:rsidRPr="00283424" w14:paraId="339B6EF0" w14:textId="77777777" w:rsidTr="00EA0AFF">
        <w:tc>
          <w:tcPr>
            <w:tcW w:w="584" w:type="pct"/>
            <w:tcBorders>
              <w:bottom w:val="single" w:sz="12" w:space="0" w:color="auto"/>
            </w:tcBorders>
            <w:shd w:val="clear" w:color="auto" w:fill="auto"/>
          </w:tcPr>
          <w:p w14:paraId="18401126" w14:textId="77777777" w:rsidR="00E93F58" w:rsidRPr="00283424" w:rsidRDefault="00E93F58" w:rsidP="00EA0AFF">
            <w:pPr>
              <w:pStyle w:val="Tabletext"/>
            </w:pPr>
            <w:r w:rsidRPr="00283424">
              <w:t>7</w:t>
            </w:r>
          </w:p>
        </w:tc>
        <w:tc>
          <w:tcPr>
            <w:tcW w:w="4416" w:type="pct"/>
            <w:tcBorders>
              <w:bottom w:val="single" w:sz="12" w:space="0" w:color="auto"/>
            </w:tcBorders>
            <w:shd w:val="clear" w:color="auto" w:fill="auto"/>
          </w:tcPr>
          <w:p w14:paraId="6CDE9F8A" w14:textId="77777777" w:rsidR="00E93F58" w:rsidRPr="00283424" w:rsidRDefault="00E93F58" w:rsidP="00EA0AFF">
            <w:pPr>
              <w:pStyle w:val="Tabletext"/>
            </w:pPr>
            <w:r w:rsidRPr="00283424">
              <w:t>If the benefit was given to another representative of the licensee, the name and contact details of the other representative</w:t>
            </w:r>
          </w:p>
        </w:tc>
      </w:tr>
    </w:tbl>
    <w:p w14:paraId="6CFBC620" w14:textId="77777777" w:rsidR="00E93F58" w:rsidRPr="00283424" w:rsidRDefault="00E93F58" w:rsidP="00B50726">
      <w:pPr>
        <w:pStyle w:val="subsection"/>
      </w:pPr>
      <w:r w:rsidRPr="00283424">
        <w:tab/>
        <w:t>(3)</w:t>
      </w:r>
      <w:r w:rsidRPr="00283424">
        <w:tab/>
        <w:t>At the request of a person, a financial services licensee must give the person the particulars in its records relating to the matters in items 1 to 4 of the table for the last financial year.</w:t>
      </w:r>
    </w:p>
    <w:p w14:paraId="11ECAAC5" w14:textId="77777777" w:rsidR="00E93F58" w:rsidRPr="00283424" w:rsidRDefault="00E93F58" w:rsidP="00B50726">
      <w:pPr>
        <w:pStyle w:val="subsection"/>
      </w:pPr>
      <w:r w:rsidRPr="00283424">
        <w:tab/>
        <w:t>(4)</w:t>
      </w:r>
      <w:r w:rsidRPr="00283424">
        <w:tab/>
        <w:t>The licensee may require the person making the request to pay a charge for obtaining the particulars.</w:t>
      </w:r>
    </w:p>
    <w:p w14:paraId="3F6005D5" w14:textId="77777777" w:rsidR="00E93F58" w:rsidRPr="00283424" w:rsidRDefault="00E93F58" w:rsidP="00B50726">
      <w:pPr>
        <w:pStyle w:val="subsection"/>
      </w:pPr>
      <w:r w:rsidRPr="00283424">
        <w:tab/>
        <w:t>(5)</w:t>
      </w:r>
      <w:r w:rsidRPr="00283424">
        <w:tab/>
        <w:t>The amount of the charge must not exceed the reasonable costs that the licensee incurs that are reasonably related to giving the particulars (including any costs incurred in photocopying the document containing the particulars).</w:t>
      </w:r>
    </w:p>
    <w:p w14:paraId="61CC940B" w14:textId="77777777" w:rsidR="00E93F58" w:rsidRPr="00283424" w:rsidRDefault="00E93F58" w:rsidP="00B50726">
      <w:pPr>
        <w:pStyle w:val="notetext"/>
      </w:pPr>
      <w:r w:rsidRPr="00283424">
        <w:lastRenderedPageBreak/>
        <w:t>Note:</w:t>
      </w:r>
      <w:r w:rsidRPr="00283424">
        <w:tab/>
        <w:t>This would include the costs of collating the information.</w:t>
      </w:r>
    </w:p>
    <w:p w14:paraId="005857C5" w14:textId="77777777" w:rsidR="00E93F58" w:rsidRPr="00283424" w:rsidRDefault="00E93F58" w:rsidP="00B50726">
      <w:pPr>
        <w:pStyle w:val="subsection"/>
      </w:pPr>
      <w:r w:rsidRPr="00283424">
        <w:tab/>
        <w:t>(6)</w:t>
      </w:r>
      <w:r w:rsidRPr="00283424">
        <w:tab/>
        <w:t>The licensee must give the particulars to the person as soon as practicable, and no later than one month after the person makes the request to the licensee.</w:t>
      </w:r>
    </w:p>
    <w:p w14:paraId="582BD803" w14:textId="77777777" w:rsidR="00E93F58" w:rsidRPr="00283424" w:rsidRDefault="00E93F58" w:rsidP="00B50726">
      <w:pPr>
        <w:pStyle w:val="ActHead5"/>
      </w:pPr>
      <w:bookmarkStart w:id="1340" w:name="_Toc152054648"/>
      <w:bookmarkStart w:id="1341" w:name="_Toc158712464"/>
      <w:r w:rsidRPr="006F296E">
        <w:rPr>
          <w:rStyle w:val="CharSectno"/>
        </w:rPr>
        <w:t>7.8.11B</w:t>
      </w:r>
      <w:r w:rsidRPr="00283424">
        <w:t xml:space="preserve">  Information to be shown in records: records of rebates in relation to conflicted remuneration</w:t>
      </w:r>
      <w:bookmarkEnd w:id="1340"/>
      <w:bookmarkEnd w:id="1341"/>
    </w:p>
    <w:p w14:paraId="250AD4D1" w14:textId="77777777" w:rsidR="00E93F58" w:rsidRPr="00283424" w:rsidRDefault="00E93F58" w:rsidP="00B50726">
      <w:pPr>
        <w:pStyle w:val="subsection"/>
      </w:pPr>
      <w:r w:rsidRPr="00283424">
        <w:tab/>
        <w:t>(1)</w:t>
      </w:r>
      <w:r w:rsidRPr="00283424">
        <w:tab/>
        <w:t>For the purposes of paragraph 988E(g) of the Act, the following matters are specified in relation to records that must be kept by a financial services licensee who is a person covered by section 963M of the Act:</w:t>
      </w:r>
    </w:p>
    <w:p w14:paraId="2B93231A" w14:textId="77777777" w:rsidR="00E93F58" w:rsidRPr="00283424" w:rsidRDefault="00E93F58" w:rsidP="00B50726">
      <w:pPr>
        <w:pStyle w:val="paragraph"/>
      </w:pPr>
      <w:r w:rsidRPr="00283424">
        <w:tab/>
        <w:t>(a)</w:t>
      </w:r>
      <w:r w:rsidRPr="00283424">
        <w:tab/>
        <w:t>all conflicted remuneration that the financial services licensee is legally obliged (disregarding Subdivision C of Division 4 of Part 7.7A of the Act) to give another person for a financial year;</w:t>
      </w:r>
    </w:p>
    <w:p w14:paraId="46B679BB" w14:textId="77777777" w:rsidR="00E93F58" w:rsidRPr="00283424" w:rsidRDefault="00E93F58" w:rsidP="00B50726">
      <w:pPr>
        <w:pStyle w:val="paragraph"/>
      </w:pPr>
      <w:r w:rsidRPr="00283424">
        <w:tab/>
        <w:t>(b)</w:t>
      </w:r>
      <w:r w:rsidRPr="00283424">
        <w:tab/>
        <w:t>all amounts that the financial services licensee is required by regulation 7.7A.15AK to pay, and all monetary benefits that the financial services licensee is required by that regulation to provide, for a financial year, and the following:</w:t>
      </w:r>
    </w:p>
    <w:p w14:paraId="6168DA3E" w14:textId="77777777" w:rsidR="00E93F58" w:rsidRPr="00283424" w:rsidRDefault="00E93F58" w:rsidP="00B50726">
      <w:pPr>
        <w:pStyle w:val="paragraphsub"/>
      </w:pPr>
      <w:r w:rsidRPr="00283424">
        <w:tab/>
        <w:t>(i)</w:t>
      </w:r>
      <w:r w:rsidRPr="00283424">
        <w:tab/>
        <w:t>all such amounts paid, and all such monetary benefits provided, by the financial services licensee for the financial year;</w:t>
      </w:r>
    </w:p>
    <w:p w14:paraId="0E89582A" w14:textId="77777777" w:rsidR="00E93F58" w:rsidRPr="00283424" w:rsidRDefault="00E93F58" w:rsidP="00B50726">
      <w:pPr>
        <w:pStyle w:val="paragraphsub"/>
      </w:pPr>
      <w:r w:rsidRPr="00283424">
        <w:tab/>
        <w:t>(ii)</w:t>
      </w:r>
      <w:r w:rsidRPr="00283424">
        <w:tab/>
        <w:t>all cases where the financial services licensee determined that an amount that was just and equitable in the circumstances for the purposes of subregulation 7.7A.15AK(2) was nil.</w:t>
      </w:r>
    </w:p>
    <w:p w14:paraId="4607FC5A" w14:textId="77777777" w:rsidR="00E93F58" w:rsidRPr="00283424" w:rsidRDefault="00E93F58" w:rsidP="00B50726">
      <w:pPr>
        <w:pStyle w:val="subsection"/>
      </w:pPr>
      <w:r w:rsidRPr="00283424">
        <w:tab/>
        <w:t>(2)</w:t>
      </w:r>
      <w:r w:rsidRPr="00283424">
        <w:tab/>
        <w:t>For the purposes of section 988F of the Act, subregulation (3) sets out additional requirements for things to be contained in records, and relating to the level of detail to be shown in records, that are imposed in relation to records that must be kept by a financial services licensee who is a person covered by section 963M of the Act, for:</w:t>
      </w:r>
    </w:p>
    <w:p w14:paraId="3B68F245" w14:textId="77777777" w:rsidR="00E93F58" w:rsidRPr="00283424" w:rsidRDefault="00E93F58" w:rsidP="00B50726">
      <w:pPr>
        <w:pStyle w:val="paragraph"/>
      </w:pPr>
      <w:r w:rsidRPr="00283424">
        <w:tab/>
        <w:t>(a)</w:t>
      </w:r>
      <w:r w:rsidRPr="00283424">
        <w:tab/>
        <w:t>all amounts that the financial services licensee is required by regulation 7.7A.15AK to pay, and all monetary benefits that the financial services licensee is required by that regulation to provide; and</w:t>
      </w:r>
    </w:p>
    <w:p w14:paraId="44231848" w14:textId="77777777" w:rsidR="00E93F58" w:rsidRPr="00283424" w:rsidRDefault="00E93F58" w:rsidP="00B50726">
      <w:pPr>
        <w:pStyle w:val="paragraph"/>
      </w:pPr>
      <w:r w:rsidRPr="00283424">
        <w:tab/>
        <w:t>(b)</w:t>
      </w:r>
      <w:r w:rsidRPr="00283424">
        <w:tab/>
        <w:t>all cases where the financial services licensee determined that an amount that was just and equitable in the circumstances for the purposes of subregulation 7.7A.15AK(2) was nil.</w:t>
      </w:r>
    </w:p>
    <w:p w14:paraId="11676C7C" w14:textId="77777777" w:rsidR="00E93F58" w:rsidRPr="00283424" w:rsidRDefault="00E93F58" w:rsidP="00B50726">
      <w:pPr>
        <w:pStyle w:val="subsection"/>
      </w:pPr>
      <w:r w:rsidRPr="00283424">
        <w:tab/>
        <w:t>(3)</w:t>
      </w:r>
      <w:r w:rsidRPr="00283424">
        <w:tab/>
        <w:t>The requirements are as follows:</w:t>
      </w:r>
    </w:p>
    <w:p w14:paraId="47B97ADB" w14:textId="77777777" w:rsidR="00E93F58" w:rsidRPr="00283424" w:rsidRDefault="00E93F58" w:rsidP="00B50726">
      <w:pPr>
        <w:pStyle w:val="paragraph"/>
      </w:pPr>
      <w:r w:rsidRPr="00283424">
        <w:tab/>
        <w:t>(a)</w:t>
      </w:r>
      <w:r w:rsidRPr="00283424">
        <w:tab/>
        <w:t>an explanation of how the financial services licensee ascertained the identity of the product holders;</w:t>
      </w:r>
    </w:p>
    <w:p w14:paraId="31AB0B09" w14:textId="77777777" w:rsidR="00E93F58" w:rsidRPr="00283424" w:rsidRDefault="00E93F58" w:rsidP="00B50726">
      <w:pPr>
        <w:pStyle w:val="paragraph"/>
      </w:pPr>
      <w:r w:rsidRPr="00283424">
        <w:tab/>
        <w:t>(b)</w:t>
      </w:r>
      <w:r w:rsidRPr="00283424">
        <w:tab/>
        <w:t>an explanation of:</w:t>
      </w:r>
    </w:p>
    <w:p w14:paraId="09D32C31" w14:textId="77777777" w:rsidR="00E93F58" w:rsidRPr="00283424" w:rsidRDefault="00E93F58" w:rsidP="00B50726">
      <w:pPr>
        <w:pStyle w:val="paragraphsub"/>
      </w:pPr>
      <w:r w:rsidRPr="00283424">
        <w:tab/>
        <w:t>(i)</w:t>
      </w:r>
      <w:r w:rsidRPr="00283424">
        <w:tab/>
        <w:t>if paragraph (2)(a) applies—how the financial services licensee determined that the amounts to pay, or the amounts of the monetary benefit to provide, were just and equitable in the circumstances for the purposes of subregulation 7.7A.15AK(2); and</w:t>
      </w:r>
    </w:p>
    <w:p w14:paraId="05531810" w14:textId="77777777" w:rsidR="00E93F58" w:rsidRPr="00283424" w:rsidRDefault="00E93F58" w:rsidP="00B50726">
      <w:pPr>
        <w:pStyle w:val="paragraphsub"/>
      </w:pPr>
      <w:r w:rsidRPr="00283424">
        <w:tab/>
        <w:t>(ii)</w:t>
      </w:r>
      <w:r w:rsidRPr="00283424">
        <w:tab/>
        <w:t>if paragraph (2)(b) applies—how the financial services licensee determined that nil amounts were just and equitable in the circumstances for the purposes of subregulation 7.7A.15AK(2);</w:t>
      </w:r>
    </w:p>
    <w:p w14:paraId="5FCEE37F" w14:textId="77777777" w:rsidR="00E93F58" w:rsidRPr="00283424" w:rsidRDefault="00E93F58" w:rsidP="00B50726">
      <w:pPr>
        <w:pStyle w:val="paragraph"/>
      </w:pPr>
      <w:r w:rsidRPr="00283424">
        <w:tab/>
        <w:t>(c)</w:t>
      </w:r>
      <w:r w:rsidRPr="00283424">
        <w:tab/>
        <w:t>a description of the financial product or products to which the conflicted remuneration relates, including the following information:</w:t>
      </w:r>
    </w:p>
    <w:p w14:paraId="1EFA5621" w14:textId="77777777" w:rsidR="00E93F58" w:rsidRPr="00283424" w:rsidRDefault="00E93F58" w:rsidP="00B50726">
      <w:pPr>
        <w:pStyle w:val="paragraphsub"/>
      </w:pPr>
      <w:r w:rsidRPr="00283424">
        <w:tab/>
        <w:t>(i)</w:t>
      </w:r>
      <w:r w:rsidRPr="00283424">
        <w:tab/>
        <w:t>the name of that product (or the names of those products);</w:t>
      </w:r>
    </w:p>
    <w:p w14:paraId="04C70569" w14:textId="77777777" w:rsidR="00E93F58" w:rsidRPr="00283424" w:rsidRDefault="00E93F58" w:rsidP="00B50726">
      <w:pPr>
        <w:pStyle w:val="paragraphsub"/>
      </w:pPr>
      <w:r w:rsidRPr="00283424">
        <w:tab/>
        <w:t>(ii)</w:t>
      </w:r>
      <w:r w:rsidRPr="00283424">
        <w:tab/>
        <w:t>the product identification number of that product (or the product identification numbers of those products) (if any);</w:t>
      </w:r>
    </w:p>
    <w:p w14:paraId="62274351" w14:textId="77777777" w:rsidR="00E93F58" w:rsidRPr="00283424" w:rsidRDefault="00E93F58" w:rsidP="00B50726">
      <w:pPr>
        <w:pStyle w:val="paragraph"/>
      </w:pPr>
      <w:r w:rsidRPr="00283424">
        <w:tab/>
        <w:t>(d)</w:t>
      </w:r>
      <w:r w:rsidRPr="00283424">
        <w:tab/>
        <w:t>if paragraph (2)(a) applies:</w:t>
      </w:r>
    </w:p>
    <w:p w14:paraId="174E60C8" w14:textId="77777777" w:rsidR="00E93F58" w:rsidRPr="00283424" w:rsidRDefault="00E93F58" w:rsidP="00B50726">
      <w:pPr>
        <w:pStyle w:val="paragraphsub"/>
      </w:pPr>
      <w:r w:rsidRPr="00283424">
        <w:tab/>
        <w:t>(i)</w:t>
      </w:r>
      <w:r w:rsidRPr="00283424">
        <w:tab/>
        <w:t>the date by which the financial services licensee was required under regulation 7.7A.15AK to pay the amounts or provide the monetary benefits; and</w:t>
      </w:r>
    </w:p>
    <w:p w14:paraId="34E390C7" w14:textId="77777777" w:rsidR="00E93F58" w:rsidRPr="00283424" w:rsidRDefault="00E93F58" w:rsidP="00B50726">
      <w:pPr>
        <w:pStyle w:val="paragraphsub"/>
      </w:pPr>
      <w:r w:rsidRPr="00283424">
        <w:tab/>
        <w:t>(ii)</w:t>
      </w:r>
      <w:r w:rsidRPr="00283424">
        <w:tab/>
        <w:t>the date or dates on which the amounts were paid, or the monetary benefits were provided; and</w:t>
      </w:r>
    </w:p>
    <w:p w14:paraId="1935FE02" w14:textId="77777777" w:rsidR="00E93F58" w:rsidRPr="00283424" w:rsidRDefault="00E93F58" w:rsidP="00B50726">
      <w:pPr>
        <w:pStyle w:val="paragraphsub"/>
      </w:pPr>
      <w:r w:rsidRPr="00283424">
        <w:tab/>
        <w:t>(iii)</w:t>
      </w:r>
      <w:r w:rsidRPr="00283424">
        <w:tab/>
        <w:t>a description of the manner in which the amounts were paid, or the monetary benefits were provided.</w:t>
      </w:r>
    </w:p>
    <w:p w14:paraId="475E52CA" w14:textId="77777777" w:rsidR="00E93F58" w:rsidRPr="00283424" w:rsidRDefault="00E93F58" w:rsidP="00B50726">
      <w:pPr>
        <w:pStyle w:val="ActHead5"/>
      </w:pPr>
      <w:bookmarkStart w:id="1342" w:name="_Toc152054649"/>
      <w:bookmarkStart w:id="1343" w:name="_Toc158712465"/>
      <w:r w:rsidRPr="006F296E">
        <w:rPr>
          <w:rStyle w:val="CharSectno"/>
        </w:rPr>
        <w:t>7.8.12</w:t>
      </w:r>
      <w:r w:rsidRPr="00283424">
        <w:rPr>
          <w:sz w:val="16"/>
        </w:rPr>
        <w:t xml:space="preserve">  </w:t>
      </w:r>
      <w:r w:rsidRPr="00283424">
        <w:t>Requirements in relation to financial records of financial services licensees</w:t>
      </w:r>
      <w:bookmarkEnd w:id="1342"/>
      <w:bookmarkEnd w:id="1343"/>
    </w:p>
    <w:p w14:paraId="089AF4D7" w14:textId="77777777" w:rsidR="00E93F58" w:rsidRPr="00283424" w:rsidRDefault="00E93F58" w:rsidP="00B50726">
      <w:pPr>
        <w:pStyle w:val="subsection"/>
        <w:keepNext/>
        <w:keepLines/>
      </w:pPr>
      <w:r w:rsidRPr="00283424">
        <w:tab/>
        <w:t>(1)</w:t>
      </w:r>
      <w:r w:rsidRPr="00283424">
        <w:tab/>
        <w:t>For section 988F of the Act, the financial records of a financial services licensee must be kept in sufficient detail as to show or include, for basic deposit products:</w:t>
      </w:r>
    </w:p>
    <w:p w14:paraId="3BAF8D55" w14:textId="77777777" w:rsidR="00E93F58" w:rsidRPr="00283424" w:rsidRDefault="00E93F58" w:rsidP="00B50726">
      <w:pPr>
        <w:pStyle w:val="paragraph"/>
      </w:pPr>
      <w:r w:rsidRPr="00283424">
        <w:rPr>
          <w:color w:val="000000"/>
        </w:rPr>
        <w:tab/>
        <w:t>(a)</w:t>
      </w:r>
      <w:r w:rsidRPr="00283424">
        <w:rPr>
          <w:color w:val="000000"/>
        </w:rPr>
        <w:tab/>
        <w:t>separate particulars of every transaction by the financial services licensee; and</w:t>
      </w:r>
    </w:p>
    <w:p w14:paraId="58CDDCAE" w14:textId="77777777" w:rsidR="00E93F58" w:rsidRPr="00283424" w:rsidRDefault="00E93F58" w:rsidP="00B50726">
      <w:pPr>
        <w:pStyle w:val="paragraph"/>
      </w:pPr>
      <w:r w:rsidRPr="00283424">
        <w:tab/>
        <w:t>(b)</w:t>
      </w:r>
      <w:r w:rsidRPr="00283424">
        <w:tab/>
        <w:t>the day on which, or the period during which, each transaction by the financial services licensee took place.</w:t>
      </w:r>
    </w:p>
    <w:p w14:paraId="6C97E124" w14:textId="77777777" w:rsidR="00E93F58" w:rsidRPr="00283424" w:rsidRDefault="00E93F58" w:rsidP="00B50726">
      <w:pPr>
        <w:pStyle w:val="subsection"/>
      </w:pPr>
      <w:r w:rsidRPr="00283424">
        <w:tab/>
        <w:t>(2)</w:t>
      </w:r>
      <w:r w:rsidRPr="00283424">
        <w:tab/>
        <w:t>For section 988F of the Act, the financial records of a financial services licensee must be kept in sufficient detail as to show or include, for all financial products other than basic deposit products:</w:t>
      </w:r>
    </w:p>
    <w:p w14:paraId="19A50B6E" w14:textId="77777777" w:rsidR="00E93F58" w:rsidRPr="00283424" w:rsidRDefault="00E93F58" w:rsidP="00B50726">
      <w:pPr>
        <w:pStyle w:val="paragraph"/>
      </w:pPr>
      <w:r w:rsidRPr="00283424">
        <w:rPr>
          <w:color w:val="000000"/>
        </w:rPr>
        <w:tab/>
        <w:t>(a)</w:t>
      </w:r>
      <w:r w:rsidRPr="00283424">
        <w:rPr>
          <w:color w:val="000000"/>
        </w:rPr>
        <w:tab/>
        <w:t>the information mentioned in subregulation (1); and</w:t>
      </w:r>
    </w:p>
    <w:p w14:paraId="6BB43D6C" w14:textId="77777777" w:rsidR="00E93F58" w:rsidRPr="00283424" w:rsidRDefault="00E93F58" w:rsidP="00B50726">
      <w:pPr>
        <w:pStyle w:val="paragraph"/>
      </w:pPr>
      <w:r w:rsidRPr="00283424">
        <w:lastRenderedPageBreak/>
        <w:tab/>
        <w:t>(b)</w:t>
      </w:r>
      <w:r w:rsidRPr="00283424">
        <w:tab/>
        <w:t>if the financial services licensee is not a partner in a firm—separate particulars of each transaction by the financial services licensee with, or for the account of:</w:t>
      </w:r>
    </w:p>
    <w:p w14:paraId="7CA5367E" w14:textId="77777777" w:rsidR="00E93F58" w:rsidRPr="00283424" w:rsidRDefault="00E93F58" w:rsidP="00B50726">
      <w:pPr>
        <w:pStyle w:val="paragraphsub"/>
      </w:pPr>
      <w:r w:rsidRPr="00283424">
        <w:rPr>
          <w:color w:val="000000"/>
        </w:rPr>
        <w:tab/>
        <w:t>(i)</w:t>
      </w:r>
      <w:r w:rsidRPr="00283424">
        <w:rPr>
          <w:color w:val="000000"/>
        </w:rPr>
        <w:tab/>
        <w:t>clients of the financial services licensee; or</w:t>
      </w:r>
    </w:p>
    <w:p w14:paraId="69286D17" w14:textId="77777777" w:rsidR="00E93F58" w:rsidRPr="00283424" w:rsidRDefault="00E93F58" w:rsidP="00B50726">
      <w:pPr>
        <w:pStyle w:val="paragraphsub"/>
      </w:pPr>
      <w:r w:rsidRPr="00283424">
        <w:tab/>
        <w:t>(ii)</w:t>
      </w:r>
      <w:r w:rsidRPr="00283424">
        <w:tab/>
        <w:t>the financial services licensee’s own account; or</w:t>
      </w:r>
    </w:p>
    <w:p w14:paraId="4EEE0C28" w14:textId="77777777" w:rsidR="00E93F58" w:rsidRPr="00283424" w:rsidRDefault="00E93F58" w:rsidP="00B50726">
      <w:pPr>
        <w:pStyle w:val="paragraphsub"/>
      </w:pPr>
      <w:r w:rsidRPr="00283424">
        <w:tab/>
        <w:t>(iii)</w:t>
      </w:r>
      <w:r w:rsidRPr="00283424">
        <w:tab/>
        <w:t>other financial services licensees; or</w:t>
      </w:r>
    </w:p>
    <w:p w14:paraId="1D553D97" w14:textId="77777777" w:rsidR="00E93F58" w:rsidRPr="00283424" w:rsidRDefault="00E93F58" w:rsidP="00B50726">
      <w:pPr>
        <w:pStyle w:val="paragraphsub"/>
      </w:pPr>
      <w:r w:rsidRPr="00283424">
        <w:tab/>
        <w:t>(iv)</w:t>
      </w:r>
      <w:r w:rsidRPr="00283424">
        <w:tab/>
        <w:t>representatives of the financial services licensee; or</w:t>
      </w:r>
    </w:p>
    <w:p w14:paraId="6A288246" w14:textId="77777777" w:rsidR="00E93F58" w:rsidRPr="00283424" w:rsidRDefault="00E93F58" w:rsidP="00B50726">
      <w:pPr>
        <w:pStyle w:val="paragraphsub"/>
      </w:pPr>
      <w:r w:rsidRPr="00283424">
        <w:tab/>
        <w:t>(v)</w:t>
      </w:r>
      <w:r w:rsidRPr="00283424">
        <w:tab/>
        <w:t>employees of the financial services licensee; and</w:t>
      </w:r>
    </w:p>
    <w:p w14:paraId="2F1AAF04" w14:textId="77777777" w:rsidR="00E93F58" w:rsidRPr="00283424" w:rsidRDefault="00E93F58" w:rsidP="00B50726">
      <w:pPr>
        <w:pStyle w:val="paragraph"/>
      </w:pPr>
      <w:r w:rsidRPr="00283424">
        <w:tab/>
        <w:t>(c)</w:t>
      </w:r>
      <w:r w:rsidRPr="00283424">
        <w:tab/>
        <w:t>if the financial services licensee is a partner in a firm—separate particulars of each transaction by the financial services licensee with, or for the account of:</w:t>
      </w:r>
    </w:p>
    <w:p w14:paraId="2DB90266" w14:textId="77777777" w:rsidR="00E93F58" w:rsidRPr="00283424" w:rsidRDefault="00E93F58" w:rsidP="00B50726">
      <w:pPr>
        <w:pStyle w:val="paragraphsub"/>
      </w:pPr>
      <w:r w:rsidRPr="00283424">
        <w:rPr>
          <w:color w:val="000000"/>
        </w:rPr>
        <w:tab/>
        <w:t>(i)</w:t>
      </w:r>
      <w:r w:rsidRPr="00283424">
        <w:rPr>
          <w:color w:val="000000"/>
        </w:rPr>
        <w:tab/>
        <w:t>clients of the financial services licensee other than the partners in the firm; or</w:t>
      </w:r>
    </w:p>
    <w:p w14:paraId="2D9DC3A5" w14:textId="77777777" w:rsidR="00E93F58" w:rsidRPr="00283424" w:rsidRDefault="00E93F58" w:rsidP="00B50726">
      <w:pPr>
        <w:pStyle w:val="paragraphsub"/>
      </w:pPr>
      <w:r w:rsidRPr="00283424">
        <w:tab/>
        <w:t>(ii)</w:t>
      </w:r>
      <w:r w:rsidRPr="00283424">
        <w:tab/>
        <w:t>the partners in the firm; or</w:t>
      </w:r>
    </w:p>
    <w:p w14:paraId="18675A73" w14:textId="77777777" w:rsidR="00E93F58" w:rsidRPr="00283424" w:rsidRDefault="00E93F58" w:rsidP="00B50726">
      <w:pPr>
        <w:pStyle w:val="paragraphsub"/>
      </w:pPr>
      <w:r w:rsidRPr="00283424">
        <w:tab/>
        <w:t>(iii)</w:t>
      </w:r>
      <w:r w:rsidRPr="00283424">
        <w:tab/>
        <w:t>the financial services licensee’s own account; or</w:t>
      </w:r>
    </w:p>
    <w:p w14:paraId="5005A885" w14:textId="77777777" w:rsidR="00E93F58" w:rsidRPr="00283424" w:rsidRDefault="00E93F58" w:rsidP="00B50726">
      <w:pPr>
        <w:pStyle w:val="paragraphsub"/>
      </w:pPr>
      <w:r w:rsidRPr="00283424">
        <w:tab/>
        <w:t>(iv)</w:t>
      </w:r>
      <w:r w:rsidRPr="00283424">
        <w:tab/>
        <w:t>other financial services licensees; or</w:t>
      </w:r>
    </w:p>
    <w:p w14:paraId="041EDFBF" w14:textId="77777777" w:rsidR="00E93F58" w:rsidRPr="00283424" w:rsidRDefault="00E93F58" w:rsidP="00B50726">
      <w:pPr>
        <w:pStyle w:val="paragraphsub"/>
      </w:pPr>
      <w:r w:rsidRPr="00283424">
        <w:tab/>
        <w:t>(v)</w:t>
      </w:r>
      <w:r w:rsidRPr="00283424">
        <w:tab/>
        <w:t>representatives of the financial services licensee; or</w:t>
      </w:r>
    </w:p>
    <w:p w14:paraId="2F7A454E" w14:textId="77777777" w:rsidR="00E93F58" w:rsidRPr="00283424" w:rsidRDefault="00E93F58" w:rsidP="00B50726">
      <w:pPr>
        <w:pStyle w:val="paragraphsub"/>
      </w:pPr>
      <w:r w:rsidRPr="00283424">
        <w:tab/>
        <w:t>(vi)</w:t>
      </w:r>
      <w:r w:rsidRPr="00283424">
        <w:tab/>
        <w:t>employees of the financial services licensee; and</w:t>
      </w:r>
    </w:p>
    <w:p w14:paraId="00C18D8B" w14:textId="77777777" w:rsidR="00E93F58" w:rsidRPr="00283424" w:rsidRDefault="00E93F58" w:rsidP="00B50726">
      <w:pPr>
        <w:pStyle w:val="paragraph"/>
      </w:pPr>
      <w:r w:rsidRPr="00283424">
        <w:rPr>
          <w:color w:val="000000"/>
        </w:rPr>
        <w:tab/>
        <w:t>(d)</w:t>
      </w:r>
      <w:r w:rsidRPr="00283424">
        <w:rPr>
          <w:color w:val="000000"/>
        </w:rPr>
        <w:tab/>
        <w:t>copies of acknowledgments of the receipt of financial products or documents of title to financial products.</w:t>
      </w:r>
    </w:p>
    <w:p w14:paraId="1C5FB68F" w14:textId="77777777" w:rsidR="00E93F58" w:rsidRPr="00283424" w:rsidRDefault="00E93F58" w:rsidP="00B50726">
      <w:pPr>
        <w:pStyle w:val="ActHead4"/>
      </w:pPr>
      <w:bookmarkStart w:id="1344" w:name="_Toc152054650"/>
      <w:bookmarkStart w:id="1345" w:name="_Toc158712466"/>
      <w:r w:rsidRPr="006F296E">
        <w:rPr>
          <w:rStyle w:val="CharSubdNo"/>
        </w:rPr>
        <w:t>Subdivision C</w:t>
      </w:r>
      <w:r w:rsidRPr="00283424">
        <w:t>—</w:t>
      </w:r>
      <w:r w:rsidRPr="006F296E">
        <w:rPr>
          <w:rStyle w:val="CharSubdText"/>
        </w:rPr>
        <w:t>Financial statements of financial services licensees</w:t>
      </w:r>
      <w:bookmarkEnd w:id="1344"/>
      <w:bookmarkEnd w:id="1345"/>
    </w:p>
    <w:p w14:paraId="1EEB541C" w14:textId="77777777" w:rsidR="00E93F58" w:rsidRPr="00283424" w:rsidRDefault="00E93F58" w:rsidP="00B50726">
      <w:pPr>
        <w:pStyle w:val="ActHead5"/>
      </w:pPr>
      <w:bookmarkStart w:id="1346" w:name="_Toc152054651"/>
      <w:bookmarkStart w:id="1347" w:name="_Toc158712467"/>
      <w:r w:rsidRPr="006F296E">
        <w:rPr>
          <w:rStyle w:val="CharSectno"/>
        </w:rPr>
        <w:t>7.8.12A</w:t>
      </w:r>
      <w:r w:rsidRPr="00283424">
        <w:t xml:space="preserve">  Modification of section 989B of the Act</w:t>
      </w:r>
      <w:bookmarkEnd w:id="1346"/>
      <w:bookmarkEnd w:id="1347"/>
    </w:p>
    <w:p w14:paraId="45067214" w14:textId="77777777" w:rsidR="00E93F58" w:rsidRPr="00283424" w:rsidRDefault="00E93F58" w:rsidP="00B50726">
      <w:pPr>
        <w:pStyle w:val="subsection"/>
        <w:keepNext/>
        <w:keepLines/>
      </w:pPr>
      <w:r w:rsidRPr="00283424">
        <w:tab/>
        <w:t>(1)</w:t>
      </w:r>
      <w:r w:rsidRPr="00283424">
        <w:tab/>
        <w:t>For paragraph 992C(1)(c) of the Act, Part 7.8 of the Act applies as if subsection 989B(3) were modified to read as follows:</w:t>
      </w:r>
    </w:p>
    <w:p w14:paraId="2353386E" w14:textId="77777777" w:rsidR="00E93F58" w:rsidRPr="00283424" w:rsidRDefault="00E93F58" w:rsidP="00B50726">
      <w:pPr>
        <w:pStyle w:val="subsection"/>
      </w:pPr>
      <w:r w:rsidRPr="00283424">
        <w:tab/>
        <w:t>“</w:t>
      </w:r>
      <w:r w:rsidRPr="00283424">
        <w:rPr>
          <w:szCs w:val="22"/>
        </w:rPr>
        <w:t>(3)</w:t>
      </w:r>
      <w:r w:rsidRPr="00283424">
        <w:rPr>
          <w:szCs w:val="22"/>
        </w:rPr>
        <w:tab/>
        <w:t>The licensee must, with the statement and balance sheet, lodge with ASIC:</w:t>
      </w:r>
    </w:p>
    <w:p w14:paraId="4AA896F2" w14:textId="77777777" w:rsidR="00E93F58" w:rsidRPr="00283424" w:rsidRDefault="00E93F58" w:rsidP="00B50726">
      <w:pPr>
        <w:pStyle w:val="paragraph"/>
        <w:rPr>
          <w:szCs w:val="22"/>
        </w:rPr>
      </w:pPr>
      <w:r w:rsidRPr="00283424">
        <w:rPr>
          <w:szCs w:val="22"/>
        </w:rPr>
        <w:tab/>
        <w:t>(a)</w:t>
      </w:r>
      <w:r w:rsidRPr="00283424">
        <w:rPr>
          <w:szCs w:val="22"/>
        </w:rPr>
        <w:tab/>
        <w:t>for a licensee who is a limited licensee for the whole of a financial year—a compliance certificate containing the information and matters required by the regulations; or</w:t>
      </w:r>
    </w:p>
    <w:p w14:paraId="40B3AA97" w14:textId="77777777" w:rsidR="00E93F58" w:rsidRPr="00283424" w:rsidRDefault="00E93F58" w:rsidP="00B50726">
      <w:pPr>
        <w:pStyle w:val="paragraph"/>
        <w:rPr>
          <w:szCs w:val="22"/>
        </w:rPr>
      </w:pPr>
      <w:r w:rsidRPr="00283424">
        <w:rPr>
          <w:szCs w:val="22"/>
        </w:rPr>
        <w:tab/>
        <w:t>(b)</w:t>
      </w:r>
      <w:r w:rsidRPr="00283424">
        <w:rPr>
          <w:szCs w:val="22"/>
        </w:rPr>
        <w:tab/>
        <w:t>for a licensee who is a limited licensee for part of a financial year:</w:t>
      </w:r>
    </w:p>
    <w:p w14:paraId="47A4332E" w14:textId="77777777" w:rsidR="00E93F58" w:rsidRPr="00283424" w:rsidRDefault="00E93F58" w:rsidP="00B50726">
      <w:pPr>
        <w:pStyle w:val="paragraphsub"/>
      </w:pPr>
      <w:r w:rsidRPr="00283424">
        <w:tab/>
        <w:t>(i)</w:t>
      </w:r>
      <w:r w:rsidRPr="00283424">
        <w:tab/>
        <w:t>a compliance certificate containing the information and matters required by the regulations for the part of the financial year that the licensee was a limited licensee; and</w:t>
      </w:r>
    </w:p>
    <w:p w14:paraId="014C3AC4" w14:textId="77777777" w:rsidR="00E93F58" w:rsidRPr="00283424" w:rsidRDefault="00E93F58" w:rsidP="00B50726">
      <w:pPr>
        <w:pStyle w:val="paragraphsub"/>
      </w:pPr>
      <w:r w:rsidRPr="00283424">
        <w:tab/>
        <w:t>(ii)</w:t>
      </w:r>
      <w:r w:rsidRPr="00283424">
        <w:tab/>
        <w:t>an auditor’s reporting containing the information and matters required by the regulations for the part of the financial year that the licensee was not a limited licensee; or</w:t>
      </w:r>
    </w:p>
    <w:p w14:paraId="64771684" w14:textId="77777777" w:rsidR="00E93F58" w:rsidRPr="00283424" w:rsidRDefault="00E93F58" w:rsidP="00B50726">
      <w:pPr>
        <w:pStyle w:val="paragraph"/>
        <w:rPr>
          <w:szCs w:val="22"/>
        </w:rPr>
      </w:pPr>
      <w:r w:rsidRPr="00283424">
        <w:tab/>
        <w:t>(c)</w:t>
      </w:r>
      <w:r w:rsidRPr="00283424">
        <w:tab/>
      </w:r>
      <w:r w:rsidRPr="00283424">
        <w:rPr>
          <w:szCs w:val="22"/>
        </w:rPr>
        <w:t>for all other licensees—an auditor’s report containing the information and matters required by the regulations.</w:t>
      </w:r>
    </w:p>
    <w:p w14:paraId="47A7B154" w14:textId="77777777" w:rsidR="00E93F58" w:rsidRPr="00283424" w:rsidRDefault="00E93F58" w:rsidP="00B50726">
      <w:pPr>
        <w:pStyle w:val="notetext"/>
      </w:pPr>
      <w:r w:rsidRPr="00283424">
        <w:t>Note:</w:t>
      </w:r>
      <w:r w:rsidRPr="00283424">
        <w:tab/>
        <w:t>Failure to comply with this subsection is an offence (see subsection 1311(1)).”.</w:t>
      </w:r>
    </w:p>
    <w:p w14:paraId="074AADA0" w14:textId="77777777" w:rsidR="00E93F58" w:rsidRPr="00283424" w:rsidRDefault="00E93F58" w:rsidP="00B50726">
      <w:pPr>
        <w:pStyle w:val="subsection"/>
      </w:pPr>
      <w:r w:rsidRPr="00283424">
        <w:tab/>
        <w:t>(2)</w:t>
      </w:r>
      <w:r w:rsidRPr="00283424">
        <w:tab/>
        <w:t>For paragraph 992C(1)(c) of the Act, Part 7.8 of the Act applies as if section 989B of the Act were modified by inserting after subsection 989B(3) the following subsection:</w:t>
      </w:r>
    </w:p>
    <w:p w14:paraId="56F378E3" w14:textId="77777777" w:rsidR="00E93F58" w:rsidRPr="00283424" w:rsidRDefault="00E93F58" w:rsidP="00B50726">
      <w:pPr>
        <w:pStyle w:val="subsection"/>
        <w:rPr>
          <w:szCs w:val="22"/>
        </w:rPr>
      </w:pPr>
      <w:r w:rsidRPr="00283424">
        <w:tab/>
        <w:t>“</w:t>
      </w:r>
      <w:r w:rsidRPr="00283424">
        <w:rPr>
          <w:szCs w:val="22"/>
        </w:rPr>
        <w:t>(4)</w:t>
      </w:r>
      <w:r w:rsidRPr="00283424">
        <w:rPr>
          <w:szCs w:val="22"/>
        </w:rPr>
        <w:tab/>
        <w:t>In this section:</w:t>
      </w:r>
    </w:p>
    <w:p w14:paraId="55718B48" w14:textId="77777777" w:rsidR="00E93F58" w:rsidRPr="00283424" w:rsidRDefault="00E93F58" w:rsidP="00B50726">
      <w:pPr>
        <w:pStyle w:val="Definition"/>
        <w:keepNext/>
        <w:keepLines/>
        <w:rPr>
          <w:szCs w:val="22"/>
        </w:rPr>
      </w:pPr>
      <w:r w:rsidRPr="00283424">
        <w:rPr>
          <w:b/>
          <w:i/>
          <w:szCs w:val="22"/>
        </w:rPr>
        <w:t xml:space="preserve">limited financial service </w:t>
      </w:r>
      <w:r w:rsidRPr="00283424">
        <w:rPr>
          <w:szCs w:val="22"/>
        </w:rPr>
        <w:t>means the following financial services:</w:t>
      </w:r>
    </w:p>
    <w:p w14:paraId="7FF93BCB" w14:textId="77777777" w:rsidR="00E93F58" w:rsidRPr="00283424" w:rsidRDefault="00E93F58" w:rsidP="00B50726">
      <w:pPr>
        <w:pStyle w:val="paragraph"/>
      </w:pPr>
      <w:r w:rsidRPr="00283424">
        <w:tab/>
        <w:t>(a)</w:t>
      </w:r>
      <w:r w:rsidRPr="00283424">
        <w:tab/>
        <w:t>financial product advice on self managed superannuation funds;</w:t>
      </w:r>
    </w:p>
    <w:p w14:paraId="1777D781" w14:textId="77777777" w:rsidR="00E93F58" w:rsidRPr="00283424" w:rsidRDefault="00E93F58" w:rsidP="00B50726">
      <w:pPr>
        <w:pStyle w:val="paragraph"/>
      </w:pPr>
      <w:r w:rsidRPr="00283424">
        <w:tab/>
        <w:t>(b)</w:t>
      </w:r>
      <w:r w:rsidRPr="00283424">
        <w:tab/>
        <w:t>financial product advice on superannuation products in relation to a person’s existing holding in a superannuation product but only to the extent required for:</w:t>
      </w:r>
    </w:p>
    <w:p w14:paraId="6B9333F9" w14:textId="77777777" w:rsidR="00E93F58" w:rsidRPr="00283424" w:rsidRDefault="00E93F58" w:rsidP="00B50726">
      <w:pPr>
        <w:pStyle w:val="paragraphsub"/>
      </w:pPr>
      <w:r w:rsidRPr="00283424">
        <w:tab/>
        <w:t>(i)</w:t>
      </w:r>
      <w:r w:rsidRPr="00283424">
        <w:tab/>
        <w:t>making a recommendation that the person establish a self managed superannuation fund; or</w:t>
      </w:r>
    </w:p>
    <w:p w14:paraId="093DB592" w14:textId="77777777" w:rsidR="00E93F58" w:rsidRPr="00283424" w:rsidRDefault="00E93F58" w:rsidP="00B50726">
      <w:pPr>
        <w:pStyle w:val="paragraphsub"/>
      </w:pPr>
      <w:r w:rsidRPr="00283424">
        <w:tab/>
        <w:t>(ii)</w:t>
      </w:r>
      <w:r w:rsidRPr="00283424">
        <w:tab/>
        <w:t>providing advice to the person on contributions or pensions under a superannuation product;</w:t>
      </w:r>
    </w:p>
    <w:p w14:paraId="1F6B5AE9" w14:textId="77777777" w:rsidR="00E93F58" w:rsidRPr="00283424" w:rsidRDefault="00E93F58" w:rsidP="00B50726">
      <w:pPr>
        <w:pStyle w:val="paragraph"/>
      </w:pPr>
      <w:r w:rsidRPr="00283424">
        <w:tab/>
        <w:t>(c)</w:t>
      </w:r>
      <w:r w:rsidRPr="00283424">
        <w:tab/>
        <w:t>class of product advice on the following:</w:t>
      </w:r>
    </w:p>
    <w:p w14:paraId="748B7150" w14:textId="77777777" w:rsidR="00E93F58" w:rsidRPr="00283424" w:rsidRDefault="00E93F58" w:rsidP="00B50726">
      <w:pPr>
        <w:pStyle w:val="paragraphsub"/>
      </w:pPr>
      <w:r w:rsidRPr="00283424">
        <w:tab/>
        <w:t>(i)</w:t>
      </w:r>
      <w:r w:rsidRPr="00283424">
        <w:tab/>
        <w:t>superannuation products;</w:t>
      </w:r>
    </w:p>
    <w:p w14:paraId="2486EDA5" w14:textId="77777777" w:rsidR="00E93F58" w:rsidRPr="00283424" w:rsidRDefault="00E93F58" w:rsidP="00B50726">
      <w:pPr>
        <w:pStyle w:val="paragraphsub"/>
      </w:pPr>
      <w:r w:rsidRPr="00283424">
        <w:tab/>
        <w:t>(ii)</w:t>
      </w:r>
      <w:r w:rsidRPr="00283424">
        <w:tab/>
        <w:t>securities;</w:t>
      </w:r>
    </w:p>
    <w:p w14:paraId="675795DA" w14:textId="77777777" w:rsidR="00E93F58" w:rsidRPr="00283424" w:rsidRDefault="00E93F58" w:rsidP="00B50726">
      <w:pPr>
        <w:pStyle w:val="paragraphsub"/>
      </w:pPr>
      <w:r w:rsidRPr="00283424">
        <w:tab/>
        <w:t>(iii)</w:t>
      </w:r>
      <w:r w:rsidRPr="00283424">
        <w:tab/>
        <w:t>simple managed investment schemes;</w:t>
      </w:r>
    </w:p>
    <w:p w14:paraId="261CADE7" w14:textId="77777777" w:rsidR="00E93F58" w:rsidRPr="00283424" w:rsidRDefault="00E93F58" w:rsidP="00B50726">
      <w:pPr>
        <w:pStyle w:val="paragraphsub"/>
      </w:pPr>
      <w:r w:rsidRPr="00283424">
        <w:tab/>
        <w:t>(iv)</w:t>
      </w:r>
      <w:r w:rsidRPr="00283424">
        <w:tab/>
        <w:t>general insurance products;</w:t>
      </w:r>
    </w:p>
    <w:p w14:paraId="35484B5D" w14:textId="77777777" w:rsidR="00E93F58" w:rsidRPr="00283424" w:rsidRDefault="00E93F58" w:rsidP="00B50726">
      <w:pPr>
        <w:pStyle w:val="paragraphsub"/>
      </w:pPr>
      <w:r w:rsidRPr="00283424">
        <w:tab/>
        <w:t>(v)</w:t>
      </w:r>
      <w:r w:rsidRPr="00283424">
        <w:tab/>
        <w:t>life risk insurance products;</w:t>
      </w:r>
    </w:p>
    <w:p w14:paraId="317FFD76" w14:textId="77777777" w:rsidR="00E93F58" w:rsidRPr="00283424" w:rsidRDefault="00E93F58" w:rsidP="00B50726">
      <w:pPr>
        <w:pStyle w:val="paragraphsub"/>
      </w:pPr>
      <w:r w:rsidRPr="00283424">
        <w:tab/>
        <w:t>(vi)</w:t>
      </w:r>
      <w:r w:rsidRPr="00283424">
        <w:tab/>
        <w:t>basic deposit products;</w:t>
      </w:r>
    </w:p>
    <w:p w14:paraId="162B6712" w14:textId="77777777" w:rsidR="00E93F58" w:rsidRPr="00283424" w:rsidRDefault="00E93F58" w:rsidP="00B50726">
      <w:pPr>
        <w:pStyle w:val="paragraph"/>
      </w:pPr>
      <w:r w:rsidRPr="00283424">
        <w:tab/>
        <w:t>(d)</w:t>
      </w:r>
      <w:r w:rsidRPr="00283424">
        <w:tab/>
        <w:t>arrange to deal in an interest in a self managed superannuation fund.</w:t>
      </w:r>
    </w:p>
    <w:p w14:paraId="1A1DD0CB" w14:textId="77777777" w:rsidR="00E93F58" w:rsidRPr="00283424" w:rsidRDefault="00E93F58" w:rsidP="00B50726">
      <w:pPr>
        <w:pStyle w:val="notetext"/>
      </w:pPr>
      <w:r w:rsidRPr="00BE1284">
        <w:t>Note</w:t>
      </w:r>
      <w:r w:rsidRPr="00283424">
        <w:t>:</w:t>
      </w:r>
      <w:r w:rsidRPr="00283424">
        <w:tab/>
        <w:t>Financial product advice on self managed superannuation funds includes advice about acquiring or disposing of an interest in a self managed superannuation fund.</w:t>
      </w:r>
    </w:p>
    <w:p w14:paraId="04DFB884" w14:textId="77777777" w:rsidR="00E93F58" w:rsidRPr="00283424" w:rsidRDefault="00E93F58" w:rsidP="00B50726">
      <w:pPr>
        <w:pStyle w:val="Definition"/>
      </w:pPr>
      <w:r w:rsidRPr="00283424">
        <w:rPr>
          <w:b/>
          <w:i/>
        </w:rPr>
        <w:lastRenderedPageBreak/>
        <w:t xml:space="preserve">limited licensee </w:t>
      </w:r>
      <w:r w:rsidRPr="00283424">
        <w:t>means a financial services licensee that:</w:t>
      </w:r>
    </w:p>
    <w:p w14:paraId="15B65F58" w14:textId="77777777" w:rsidR="00E93F58" w:rsidRPr="00283424" w:rsidRDefault="00E93F58" w:rsidP="00B50726">
      <w:pPr>
        <w:pStyle w:val="paragraph"/>
      </w:pPr>
      <w:r w:rsidRPr="00283424">
        <w:tab/>
        <w:t>(a)</w:t>
      </w:r>
      <w:r w:rsidRPr="00283424">
        <w:tab/>
        <w:t>does not deal with money to which Division 2 of Part 7.8 of the Act applies; and</w:t>
      </w:r>
    </w:p>
    <w:p w14:paraId="10748013" w14:textId="77777777" w:rsidR="00E93F58" w:rsidRPr="00283424" w:rsidRDefault="00E93F58" w:rsidP="00B50726">
      <w:pPr>
        <w:pStyle w:val="paragraph"/>
      </w:pPr>
      <w:r w:rsidRPr="00283424">
        <w:tab/>
        <w:t>(b)</w:t>
      </w:r>
      <w:r w:rsidRPr="00283424">
        <w:tab/>
        <w:t>is only licensed to provide one or more limited financial services.</w:t>
      </w:r>
    </w:p>
    <w:p w14:paraId="606208DB" w14:textId="77777777" w:rsidR="00E93F58" w:rsidRPr="00283424" w:rsidRDefault="00E93F58" w:rsidP="00B50726">
      <w:pPr>
        <w:pStyle w:val="Definition"/>
      </w:pPr>
      <w:r w:rsidRPr="00283424">
        <w:rPr>
          <w:b/>
          <w:i/>
        </w:rPr>
        <w:t xml:space="preserve">simple managed investment scheme </w:t>
      </w:r>
      <w:r w:rsidRPr="00283424">
        <w:t>has the same meaning as in the regulations.”.</w:t>
      </w:r>
    </w:p>
    <w:p w14:paraId="2BFA9CFD" w14:textId="77777777" w:rsidR="00E93F58" w:rsidRPr="00283424" w:rsidRDefault="00E93F58" w:rsidP="00B50726">
      <w:pPr>
        <w:pStyle w:val="ActHead5"/>
      </w:pPr>
      <w:bookmarkStart w:id="1348" w:name="_Toc152054652"/>
      <w:bookmarkStart w:id="1349" w:name="_Toc158712468"/>
      <w:r w:rsidRPr="006F296E">
        <w:rPr>
          <w:rStyle w:val="CharSectno"/>
        </w:rPr>
        <w:t>7.8.13</w:t>
      </w:r>
      <w:r w:rsidRPr="00283424">
        <w:rPr>
          <w:sz w:val="16"/>
        </w:rPr>
        <w:t xml:space="preserve">  </w:t>
      </w:r>
      <w:r w:rsidRPr="00283424">
        <w:t>Auditor’s report with annual profit and loss statement and balance sheet</w:t>
      </w:r>
      <w:bookmarkEnd w:id="1348"/>
      <w:bookmarkEnd w:id="1349"/>
    </w:p>
    <w:p w14:paraId="4865712C" w14:textId="77777777" w:rsidR="00E93F58" w:rsidRPr="00283424" w:rsidRDefault="00E93F58" w:rsidP="00B50726">
      <w:pPr>
        <w:pStyle w:val="subsection"/>
        <w:keepNext/>
        <w:keepLines/>
      </w:pPr>
      <w:r w:rsidRPr="00283424">
        <w:rPr>
          <w:color w:val="000000"/>
        </w:rPr>
        <w:tab/>
        <w:t>(1)</w:t>
      </w:r>
      <w:r w:rsidRPr="00283424">
        <w:rPr>
          <w:color w:val="000000"/>
        </w:rPr>
        <w:tab/>
        <w:t xml:space="preserve">For </w:t>
      </w:r>
      <w:r w:rsidRPr="00283424">
        <w:t>subparagraph 989B(3)(b)(ii) or paragraph 989B(3)(c)</w:t>
      </w:r>
      <w:r w:rsidRPr="00283424">
        <w:rPr>
          <w:color w:val="000000"/>
        </w:rPr>
        <w:t xml:space="preserve"> of the Act, an auditor’s report lodged with a true and fair profit and loss statement and balance sheet in respect of a financial year must be lodged with ASIC in the prescribed form.</w:t>
      </w:r>
    </w:p>
    <w:p w14:paraId="76B387F6" w14:textId="77777777" w:rsidR="00E93F58" w:rsidRPr="00283424" w:rsidRDefault="00E93F58" w:rsidP="00B50726">
      <w:pPr>
        <w:pStyle w:val="subsection"/>
      </w:pPr>
      <w:r w:rsidRPr="00283424">
        <w:tab/>
        <w:t>(2)</w:t>
      </w:r>
      <w:r w:rsidRPr="00283424">
        <w:tab/>
        <w:t>For subparagraph 989B(3)(b)(ii) or paragraph 989B(3)(c) of the Act, an auditor’s report lodged with a true and fair profit and loss statement and balance sheet in respect of a financial year must contain a statement of the auditor’s opinion on the following matters:</w:t>
      </w:r>
    </w:p>
    <w:p w14:paraId="6073E68B" w14:textId="77777777" w:rsidR="00E93F58" w:rsidRPr="00283424" w:rsidRDefault="00E93F58" w:rsidP="00B50726">
      <w:pPr>
        <w:pStyle w:val="paragraph"/>
      </w:pPr>
      <w:r w:rsidRPr="00283424">
        <w:tab/>
        <w:t>(a)</w:t>
      </w:r>
      <w:r w:rsidRPr="00283424">
        <w:tab/>
        <w:t>the effectiveness of internal controls used by a financial services licensee to comply with:</w:t>
      </w:r>
    </w:p>
    <w:p w14:paraId="59605E34" w14:textId="77777777" w:rsidR="00E93F58" w:rsidRPr="00283424" w:rsidRDefault="00E93F58" w:rsidP="00B50726">
      <w:pPr>
        <w:pStyle w:val="paragraphsub"/>
      </w:pPr>
      <w:r w:rsidRPr="00283424">
        <w:tab/>
        <w:t>(i)</w:t>
      </w:r>
      <w:r w:rsidRPr="00283424">
        <w:tab/>
        <w:t>Divisions 2, 3, 4, 4A, 5 and 6 of Part 7.8 of the Act; and</w:t>
      </w:r>
    </w:p>
    <w:p w14:paraId="610AC675" w14:textId="77777777" w:rsidR="00E93F58" w:rsidRPr="00283424" w:rsidRDefault="00E93F58" w:rsidP="00B50726">
      <w:pPr>
        <w:pStyle w:val="paragraphsub"/>
      </w:pPr>
      <w:r w:rsidRPr="00283424">
        <w:tab/>
        <w:t>(ii)</w:t>
      </w:r>
      <w:r w:rsidRPr="00283424">
        <w:tab/>
        <w:t>Division 7 of Part 7.8 of the Act other than section 991A;</w:t>
      </w:r>
    </w:p>
    <w:p w14:paraId="756C60F9" w14:textId="77777777" w:rsidR="00E93F58" w:rsidRPr="00283424" w:rsidRDefault="00E93F58" w:rsidP="00B50726">
      <w:pPr>
        <w:pStyle w:val="paragraph"/>
      </w:pPr>
      <w:r w:rsidRPr="00283424">
        <w:tab/>
        <w:t>(b)</w:t>
      </w:r>
      <w:r w:rsidRPr="00283424">
        <w:tab/>
        <w:t>whether each account required by sections 981B and 982B of the Act to be maintained by the financial services licensee has been operated and controlled in accordance with those sections;</w:t>
      </w:r>
    </w:p>
    <w:p w14:paraId="59D134EE" w14:textId="77777777" w:rsidR="00E93F58" w:rsidRPr="00283424" w:rsidRDefault="00E93F58" w:rsidP="00B50726">
      <w:pPr>
        <w:pStyle w:val="paragraph"/>
      </w:pPr>
      <w:r w:rsidRPr="00283424">
        <w:tab/>
        <w:t>(c)</w:t>
      </w:r>
      <w:r w:rsidRPr="00283424">
        <w:tab/>
        <w:t>whether all necessary records, information and explanations were received from the financial services licensee.</w:t>
      </w:r>
    </w:p>
    <w:p w14:paraId="49E86DB2" w14:textId="77777777" w:rsidR="00E93F58" w:rsidRPr="00283424" w:rsidRDefault="00E93F58" w:rsidP="00B50726">
      <w:pPr>
        <w:pStyle w:val="ActHead5"/>
      </w:pPr>
      <w:bookmarkStart w:id="1350" w:name="_Toc152054653"/>
      <w:bookmarkStart w:id="1351" w:name="_Toc158712469"/>
      <w:r w:rsidRPr="006F296E">
        <w:rPr>
          <w:rStyle w:val="CharSectno"/>
        </w:rPr>
        <w:t>7.8.13A</w:t>
      </w:r>
      <w:r w:rsidRPr="00283424">
        <w:t xml:space="preserve">  Compliance certificate with profit and loss statement and balance sheet</w:t>
      </w:r>
      <w:bookmarkEnd w:id="1350"/>
      <w:bookmarkEnd w:id="1351"/>
    </w:p>
    <w:p w14:paraId="74C51A55" w14:textId="77777777" w:rsidR="00E93F58" w:rsidRPr="00283424" w:rsidRDefault="00E93F58" w:rsidP="00B50726">
      <w:pPr>
        <w:pStyle w:val="subsection"/>
      </w:pPr>
      <w:r w:rsidRPr="00283424">
        <w:tab/>
      </w:r>
      <w:r w:rsidRPr="00283424">
        <w:tab/>
        <w:t>For paragraph 989B(3)(a) and subparagraph 989B(3)(b)(i) of the Act, a compliance certificate lodged by a licensee with a true and fair profit and loss statement and balance sheet in respect of a financial year must:</w:t>
      </w:r>
    </w:p>
    <w:p w14:paraId="48901275" w14:textId="77777777" w:rsidR="00E93F58" w:rsidRPr="00283424" w:rsidRDefault="00E93F58" w:rsidP="00B50726">
      <w:pPr>
        <w:pStyle w:val="paragraph"/>
      </w:pPr>
      <w:r w:rsidRPr="00283424">
        <w:tab/>
        <w:t>(a)</w:t>
      </w:r>
      <w:r w:rsidRPr="00283424">
        <w:tab/>
        <w:t>be lodged with ASIC in the prescribed form; and</w:t>
      </w:r>
    </w:p>
    <w:p w14:paraId="5A20FBC7" w14:textId="77777777" w:rsidR="00E93F58" w:rsidRPr="00283424" w:rsidRDefault="00E93F58" w:rsidP="00B50726">
      <w:pPr>
        <w:pStyle w:val="paragraph"/>
      </w:pPr>
      <w:r w:rsidRPr="00283424">
        <w:tab/>
        <w:t>(b)</w:t>
      </w:r>
      <w:r w:rsidRPr="00283424">
        <w:tab/>
        <w:t>be signed by:</w:t>
      </w:r>
    </w:p>
    <w:p w14:paraId="3E67E300" w14:textId="77777777" w:rsidR="00E93F58" w:rsidRPr="00283424" w:rsidRDefault="00E93F58" w:rsidP="00B50726">
      <w:pPr>
        <w:pStyle w:val="paragraphsub"/>
      </w:pPr>
      <w:r w:rsidRPr="00283424">
        <w:tab/>
        <w:t>(i)</w:t>
      </w:r>
      <w:r w:rsidRPr="00283424">
        <w:tab/>
        <w:t>if the licensee is an individual—the licensee; or</w:t>
      </w:r>
    </w:p>
    <w:p w14:paraId="327C4B72" w14:textId="77777777" w:rsidR="00E93F58" w:rsidRPr="00283424" w:rsidRDefault="00E93F58" w:rsidP="00B50726">
      <w:pPr>
        <w:pStyle w:val="paragraphsub"/>
      </w:pPr>
      <w:r w:rsidRPr="00283424">
        <w:tab/>
        <w:t>(ii)</w:t>
      </w:r>
      <w:r w:rsidRPr="00283424">
        <w:tab/>
        <w:t>if the licensee is a corporation—an officer of the corporation; or</w:t>
      </w:r>
    </w:p>
    <w:p w14:paraId="65672316" w14:textId="77777777" w:rsidR="00E93F58" w:rsidRPr="00283424" w:rsidRDefault="00E93F58" w:rsidP="00B50726">
      <w:pPr>
        <w:pStyle w:val="paragraphsub"/>
      </w:pPr>
      <w:r w:rsidRPr="00283424">
        <w:tab/>
        <w:t>(iii)</w:t>
      </w:r>
      <w:r w:rsidRPr="00283424">
        <w:tab/>
        <w:t>if the licensee is a partnership or the trustees of a trust—a partner or trustee who performs duties in relation to financial services.</w:t>
      </w:r>
    </w:p>
    <w:p w14:paraId="40B9F88E" w14:textId="77777777" w:rsidR="00E93F58" w:rsidRPr="00283424" w:rsidRDefault="00E93F58" w:rsidP="00B50726">
      <w:pPr>
        <w:pStyle w:val="ActHead5"/>
      </w:pPr>
      <w:bookmarkStart w:id="1352" w:name="_Toc152054654"/>
      <w:bookmarkStart w:id="1353" w:name="_Toc158712470"/>
      <w:r w:rsidRPr="006F296E">
        <w:rPr>
          <w:rStyle w:val="CharSectno"/>
        </w:rPr>
        <w:t>7.8.14</w:t>
      </w:r>
      <w:r w:rsidRPr="00283424">
        <w:rPr>
          <w:sz w:val="16"/>
        </w:rPr>
        <w:t xml:space="preserve">  </w:t>
      </w:r>
      <w:r w:rsidRPr="00283424">
        <w:t>Contents of annual profit and loss statement and balance sheet and applicable accounting procedures</w:t>
      </w:r>
      <w:bookmarkEnd w:id="1352"/>
      <w:bookmarkEnd w:id="1353"/>
    </w:p>
    <w:p w14:paraId="39813933" w14:textId="77777777" w:rsidR="00E93F58" w:rsidRPr="00283424" w:rsidRDefault="00E93F58" w:rsidP="00B50726">
      <w:pPr>
        <w:pStyle w:val="subsection"/>
      </w:pPr>
      <w:r w:rsidRPr="00283424">
        <w:tab/>
      </w:r>
      <w:r w:rsidRPr="00283424">
        <w:tab/>
        <w:t>For paragraph 989C(a) of the Act, a true and fair profit and loss statement and balance sheet in respect of a financial year must contain a declaration by the financial services licensee that:</w:t>
      </w:r>
    </w:p>
    <w:p w14:paraId="2D7C3CA9" w14:textId="77777777" w:rsidR="00E93F58" w:rsidRPr="00283424" w:rsidRDefault="00E93F58" w:rsidP="00B50726">
      <w:pPr>
        <w:pStyle w:val="paragraph"/>
      </w:pPr>
      <w:r w:rsidRPr="00283424">
        <w:rPr>
          <w:color w:val="000000"/>
        </w:rPr>
        <w:tab/>
        <w:t>(a)</w:t>
      </w:r>
      <w:r w:rsidRPr="00283424">
        <w:rPr>
          <w:color w:val="000000"/>
        </w:rPr>
        <w:tab/>
        <w:t>the profit and loss statement and balance sheet give a true and fair view of the matters stated in it; and</w:t>
      </w:r>
    </w:p>
    <w:p w14:paraId="122FDEC9" w14:textId="77777777" w:rsidR="00E93F58" w:rsidRPr="00283424" w:rsidRDefault="00E93F58" w:rsidP="00B50726">
      <w:pPr>
        <w:pStyle w:val="paragraph"/>
      </w:pPr>
      <w:r w:rsidRPr="00283424">
        <w:tab/>
        <w:t>(b)</w:t>
      </w:r>
      <w:r w:rsidRPr="00283424">
        <w:tab/>
        <w:t>if the licensee is required to lodge an auditor’s report under subparagraph 989B(3)(b)(ii) or paragraph 989B(3)(c) of the Act—the auditor’s report lodged with the profit and loss statement and balance sheet is a true copy of the report on the profit and loss statement and balance sheet of the financial services licensee; and</w:t>
      </w:r>
    </w:p>
    <w:p w14:paraId="5182921F" w14:textId="77777777" w:rsidR="00E93F58" w:rsidRPr="00283424" w:rsidRDefault="00E93F58" w:rsidP="00B50726">
      <w:pPr>
        <w:pStyle w:val="paragraph"/>
      </w:pPr>
      <w:r w:rsidRPr="00283424">
        <w:tab/>
        <w:t>(c)</w:t>
      </w:r>
      <w:r w:rsidRPr="00283424">
        <w:tab/>
        <w:t>if the licensee is required to lodge a compliance certificate under paragraph 989B(3)(a) or subparagraph 989B(3)(b)(i) of the Act—the information in the compliance certificate lodged with the profit and loss statement and balance sheet is complete and accurate.</w:t>
      </w:r>
    </w:p>
    <w:p w14:paraId="192C8595" w14:textId="77777777" w:rsidR="00E93F58" w:rsidRPr="00283424" w:rsidRDefault="00E93F58" w:rsidP="00B50726">
      <w:pPr>
        <w:pStyle w:val="ActHead5"/>
      </w:pPr>
      <w:bookmarkStart w:id="1354" w:name="_Toc152054655"/>
      <w:bookmarkStart w:id="1355" w:name="_Toc158712471"/>
      <w:r w:rsidRPr="006F296E">
        <w:rPr>
          <w:rStyle w:val="CharSectno"/>
        </w:rPr>
        <w:t>7.8.14A</w:t>
      </w:r>
      <w:r w:rsidRPr="00283424">
        <w:t xml:space="preserve">  Lodgement of annual profit and loss statement and balance sheet</w:t>
      </w:r>
      <w:bookmarkEnd w:id="1354"/>
      <w:bookmarkEnd w:id="1355"/>
    </w:p>
    <w:p w14:paraId="5C0D6232" w14:textId="77777777" w:rsidR="00E93F58" w:rsidRPr="00283424" w:rsidRDefault="00E93F58" w:rsidP="00B50726">
      <w:pPr>
        <w:pStyle w:val="subsection"/>
      </w:pPr>
      <w:r w:rsidRPr="00283424">
        <w:tab/>
      </w:r>
      <w:r w:rsidRPr="00283424">
        <w:tab/>
        <w:t>For paragraph 992C(1)(c) of the Act, Part 7.8 of the Act applies as if paragraph 989D(1)(b) were modified to read as follows:</w:t>
      </w:r>
    </w:p>
    <w:p w14:paraId="087CF36E" w14:textId="77777777" w:rsidR="00E93F58" w:rsidRPr="00283424" w:rsidRDefault="00E93F58" w:rsidP="00B50726">
      <w:pPr>
        <w:pStyle w:val="paragraphsub"/>
      </w:pPr>
      <w:r w:rsidRPr="00283424">
        <w:tab/>
        <w:t>‘(b)</w:t>
      </w:r>
      <w:r w:rsidRPr="00283424">
        <w:tab/>
        <w:t>if the licensee is:</w:t>
      </w:r>
    </w:p>
    <w:p w14:paraId="3C937F94" w14:textId="77777777" w:rsidR="00E93F58" w:rsidRPr="00283424" w:rsidRDefault="00E93F58" w:rsidP="00B50726">
      <w:pPr>
        <w:pStyle w:val="paragraphsub-sub"/>
      </w:pPr>
      <w:r w:rsidRPr="00283424">
        <w:tab/>
        <w:t>(i)</w:t>
      </w:r>
      <w:r w:rsidRPr="00283424">
        <w:tab/>
        <w:t>a body corporate that is a disclosing entity or a registered scheme—the day that is 3 months after the end of that financial year; or</w:t>
      </w:r>
    </w:p>
    <w:p w14:paraId="01922896" w14:textId="77777777" w:rsidR="00E93F58" w:rsidRPr="00283424" w:rsidRDefault="00E93F58" w:rsidP="00B50726">
      <w:pPr>
        <w:pStyle w:val="paragraphsub-sub"/>
      </w:pPr>
      <w:r w:rsidRPr="00283424">
        <w:tab/>
        <w:t>(ii)</w:t>
      </w:r>
      <w:r w:rsidRPr="00283424">
        <w:tab/>
        <w:t>a body corporate that is not a disclosing entity or a registered scheme—the day that is 4 months after the end of that financial year.’.</w:t>
      </w:r>
    </w:p>
    <w:p w14:paraId="5F2BB178" w14:textId="77777777" w:rsidR="00E93F58" w:rsidRPr="00283424" w:rsidRDefault="00E93F58" w:rsidP="00B50726">
      <w:pPr>
        <w:pStyle w:val="ActHead4"/>
      </w:pPr>
      <w:bookmarkStart w:id="1356" w:name="_Toc152054656"/>
      <w:bookmarkStart w:id="1357" w:name="_Toc158712472"/>
      <w:r w:rsidRPr="006F296E">
        <w:rPr>
          <w:rStyle w:val="CharSubdNo"/>
        </w:rPr>
        <w:lastRenderedPageBreak/>
        <w:t>Subdivision D</w:t>
      </w:r>
      <w:r w:rsidRPr="00283424">
        <w:t>—</w:t>
      </w:r>
      <w:r w:rsidRPr="006F296E">
        <w:rPr>
          <w:rStyle w:val="CharSubdText"/>
        </w:rPr>
        <w:t>Appointment etc. of auditors</w:t>
      </w:r>
      <w:bookmarkEnd w:id="1356"/>
      <w:bookmarkEnd w:id="1357"/>
    </w:p>
    <w:p w14:paraId="2A444487" w14:textId="77777777" w:rsidR="00E93F58" w:rsidRPr="00283424" w:rsidRDefault="00E93F58" w:rsidP="00B50726">
      <w:pPr>
        <w:pStyle w:val="ActHead5"/>
      </w:pPr>
      <w:bookmarkStart w:id="1358" w:name="_Toc152054657"/>
      <w:bookmarkStart w:id="1359" w:name="_Toc158712473"/>
      <w:r w:rsidRPr="006F296E">
        <w:rPr>
          <w:rStyle w:val="CharSectno"/>
        </w:rPr>
        <w:t>7.8.14B</w:t>
      </w:r>
      <w:r w:rsidRPr="00283424">
        <w:t xml:space="preserve">  Modification of section 990B of the Act</w:t>
      </w:r>
      <w:bookmarkEnd w:id="1358"/>
      <w:bookmarkEnd w:id="1359"/>
    </w:p>
    <w:p w14:paraId="1805BE9F" w14:textId="77777777" w:rsidR="00E93F58" w:rsidRPr="00283424" w:rsidRDefault="00E93F58" w:rsidP="00B50726">
      <w:pPr>
        <w:pStyle w:val="subsection"/>
        <w:keepNext/>
        <w:keepLines/>
      </w:pPr>
      <w:r w:rsidRPr="00283424">
        <w:tab/>
        <w:t>(1)</w:t>
      </w:r>
      <w:r w:rsidRPr="00283424">
        <w:tab/>
        <w:t>For paragraph 992C(1)(c) of the Act, Part 7.8 of the Act applies as if subsection 990B(1) of the Act were modified by:</w:t>
      </w:r>
    </w:p>
    <w:p w14:paraId="2F6E897E" w14:textId="77777777" w:rsidR="00E93F58" w:rsidRPr="00283424" w:rsidRDefault="00E93F58" w:rsidP="00B50726">
      <w:pPr>
        <w:pStyle w:val="paragraph"/>
      </w:pPr>
      <w:r w:rsidRPr="00283424">
        <w:tab/>
        <w:t>(a)</w:t>
      </w:r>
      <w:r w:rsidRPr="00283424">
        <w:tab/>
        <w:t>omitting “must, within 1 month after beginning to hold the licence,” and substituting “who is not a limited licensee must”; and</w:t>
      </w:r>
    </w:p>
    <w:p w14:paraId="3E9D754C" w14:textId="77777777" w:rsidR="00E93F58" w:rsidRPr="00283424" w:rsidRDefault="00E93F58" w:rsidP="00B50726">
      <w:pPr>
        <w:pStyle w:val="paragraph"/>
      </w:pPr>
      <w:r w:rsidRPr="00283424">
        <w:tab/>
        <w:t>(b)</w:t>
      </w:r>
      <w:r w:rsidRPr="00283424">
        <w:tab/>
        <w:t>omitting “(4) and (5)” and substituting “(4), (5) and (5A)”.</w:t>
      </w:r>
    </w:p>
    <w:p w14:paraId="39A9CC3C" w14:textId="77777777" w:rsidR="00E93F58" w:rsidRPr="00283424" w:rsidRDefault="00E93F58" w:rsidP="00B50726">
      <w:pPr>
        <w:pStyle w:val="subsection"/>
      </w:pPr>
      <w:r w:rsidRPr="00283424">
        <w:tab/>
        <w:t>(2)</w:t>
      </w:r>
      <w:r w:rsidRPr="00283424">
        <w:tab/>
        <w:t>For paragraph 992C(1)(c) of the Act, Part 7.8 of the Act applies as if section 990B of the Act were modified by inserting after subsection 990B(5) the following subsection:</w:t>
      </w:r>
    </w:p>
    <w:p w14:paraId="420CFBA7" w14:textId="77777777" w:rsidR="00E93F58" w:rsidRPr="00283424" w:rsidRDefault="00E93F58" w:rsidP="00B50726">
      <w:pPr>
        <w:pStyle w:val="subsection"/>
      </w:pPr>
      <w:r w:rsidRPr="00283424">
        <w:tab/>
        <w:t>“(5A)</w:t>
      </w:r>
      <w:r w:rsidRPr="00283424">
        <w:tab/>
        <w:t>The licensee must appoint an auditor or auditors within:</w:t>
      </w:r>
    </w:p>
    <w:p w14:paraId="071F180D" w14:textId="77777777" w:rsidR="00E93F58" w:rsidRPr="00283424" w:rsidRDefault="00E93F58" w:rsidP="00B50726">
      <w:pPr>
        <w:pStyle w:val="paragraph"/>
      </w:pPr>
      <w:r w:rsidRPr="00283424">
        <w:tab/>
        <w:t>(a)</w:t>
      </w:r>
      <w:r w:rsidRPr="00283424">
        <w:tab/>
        <w:t>if the licensee was a limited licensee—one month after the licensee ceased to be a limited licensee; or</w:t>
      </w:r>
    </w:p>
    <w:p w14:paraId="4EEA7128" w14:textId="77777777" w:rsidR="00E93F58" w:rsidRPr="00283424" w:rsidRDefault="00E93F58" w:rsidP="00B50726">
      <w:pPr>
        <w:pStyle w:val="paragraph"/>
      </w:pPr>
      <w:r w:rsidRPr="00283424">
        <w:tab/>
        <w:t>(b)</w:t>
      </w:r>
      <w:r w:rsidRPr="00283424">
        <w:tab/>
        <w:t>for all other licensees—one month after beginning to hold the licence.”.</w:t>
      </w:r>
    </w:p>
    <w:p w14:paraId="1303DB7C" w14:textId="77777777" w:rsidR="00E93F58" w:rsidRPr="00283424" w:rsidRDefault="00E93F58" w:rsidP="00B50726">
      <w:pPr>
        <w:pStyle w:val="subsection"/>
      </w:pPr>
      <w:r w:rsidRPr="00283424">
        <w:tab/>
        <w:t>(3)</w:t>
      </w:r>
      <w:r w:rsidRPr="00283424">
        <w:tab/>
        <w:t>For paragraph 992C(1)(c) of the Act, Part 7.8 of the Act applies as if subsection 990B(9) of the Act were modified to read as follows:</w:t>
      </w:r>
    </w:p>
    <w:p w14:paraId="1607D042" w14:textId="77777777" w:rsidR="00E93F58" w:rsidRPr="00283424" w:rsidRDefault="00E93F58" w:rsidP="00B50726">
      <w:pPr>
        <w:pStyle w:val="subsection"/>
      </w:pPr>
      <w:r w:rsidRPr="00283424">
        <w:tab/>
        <w:t>“(9)</w:t>
      </w:r>
      <w:r w:rsidRPr="00283424">
        <w:tab/>
        <w:t>In this section:</w:t>
      </w:r>
    </w:p>
    <w:p w14:paraId="44CD2DE5" w14:textId="77777777" w:rsidR="00E93F58" w:rsidRPr="00283424" w:rsidRDefault="00E93F58" w:rsidP="00B50726">
      <w:pPr>
        <w:pStyle w:val="Definition"/>
        <w:rPr>
          <w:szCs w:val="22"/>
        </w:rPr>
      </w:pPr>
      <w:r w:rsidRPr="00283424">
        <w:rPr>
          <w:b/>
          <w:i/>
          <w:szCs w:val="22"/>
        </w:rPr>
        <w:t xml:space="preserve">limited financial services </w:t>
      </w:r>
      <w:r w:rsidRPr="00283424">
        <w:rPr>
          <w:szCs w:val="22"/>
        </w:rPr>
        <w:t>means the following financial services:</w:t>
      </w:r>
    </w:p>
    <w:p w14:paraId="0E6693B2" w14:textId="77777777" w:rsidR="00E93F58" w:rsidRPr="00283424" w:rsidRDefault="00E93F58" w:rsidP="00B50726">
      <w:pPr>
        <w:pStyle w:val="paragraph"/>
      </w:pPr>
      <w:r w:rsidRPr="00283424">
        <w:tab/>
        <w:t>(a)</w:t>
      </w:r>
      <w:r w:rsidRPr="00283424">
        <w:tab/>
        <w:t>financial product advice on self managed superannuation funds;</w:t>
      </w:r>
    </w:p>
    <w:p w14:paraId="103CBD8D" w14:textId="77777777" w:rsidR="00E93F58" w:rsidRPr="00283424" w:rsidRDefault="00E93F58" w:rsidP="00B50726">
      <w:pPr>
        <w:pStyle w:val="paragraph"/>
      </w:pPr>
      <w:r w:rsidRPr="00283424">
        <w:tab/>
        <w:t>(b)</w:t>
      </w:r>
      <w:r w:rsidRPr="00283424">
        <w:tab/>
        <w:t>financial product advice on superannuation products in relation to a person’s existing holding in a superannuation product but only to the extent required for:</w:t>
      </w:r>
    </w:p>
    <w:p w14:paraId="0540924F" w14:textId="77777777" w:rsidR="00E93F58" w:rsidRPr="00283424" w:rsidRDefault="00E93F58" w:rsidP="00B50726">
      <w:pPr>
        <w:pStyle w:val="paragraphsub"/>
      </w:pPr>
      <w:r w:rsidRPr="00283424">
        <w:tab/>
        <w:t>(i)</w:t>
      </w:r>
      <w:r w:rsidRPr="00283424">
        <w:tab/>
        <w:t>making a recommendation that the person establish a self managed superannuation fund; or</w:t>
      </w:r>
    </w:p>
    <w:p w14:paraId="19398A23" w14:textId="77777777" w:rsidR="00E93F58" w:rsidRPr="00283424" w:rsidRDefault="00E93F58" w:rsidP="00B50726">
      <w:pPr>
        <w:pStyle w:val="paragraphsub"/>
      </w:pPr>
      <w:r w:rsidRPr="00283424">
        <w:tab/>
        <w:t>(ii)</w:t>
      </w:r>
      <w:r w:rsidRPr="00283424">
        <w:tab/>
        <w:t>providing advice to the person on contributions or pensions under a superannuation product;</w:t>
      </w:r>
    </w:p>
    <w:p w14:paraId="4F752559" w14:textId="77777777" w:rsidR="00E93F58" w:rsidRPr="00283424" w:rsidRDefault="00E93F58" w:rsidP="00B50726">
      <w:pPr>
        <w:pStyle w:val="paragraph"/>
      </w:pPr>
      <w:r w:rsidRPr="00283424">
        <w:tab/>
        <w:t>(c)</w:t>
      </w:r>
      <w:r w:rsidRPr="00283424">
        <w:tab/>
        <w:t>class of product advice on the following:</w:t>
      </w:r>
    </w:p>
    <w:p w14:paraId="5C26AFDB" w14:textId="77777777" w:rsidR="00E93F58" w:rsidRPr="00283424" w:rsidRDefault="00E93F58" w:rsidP="00B50726">
      <w:pPr>
        <w:pStyle w:val="paragraphsub"/>
      </w:pPr>
      <w:r w:rsidRPr="00283424">
        <w:tab/>
        <w:t>(i)</w:t>
      </w:r>
      <w:r w:rsidRPr="00283424">
        <w:tab/>
        <w:t>superannuation products;</w:t>
      </w:r>
    </w:p>
    <w:p w14:paraId="53354D4F" w14:textId="77777777" w:rsidR="00E93F58" w:rsidRPr="00283424" w:rsidRDefault="00E93F58" w:rsidP="00B50726">
      <w:pPr>
        <w:pStyle w:val="paragraphsub"/>
      </w:pPr>
      <w:r w:rsidRPr="00283424">
        <w:tab/>
        <w:t>(ii)</w:t>
      </w:r>
      <w:r w:rsidRPr="00283424">
        <w:tab/>
        <w:t>securities;</w:t>
      </w:r>
    </w:p>
    <w:p w14:paraId="3EE3A6FE" w14:textId="77777777" w:rsidR="00E93F58" w:rsidRPr="00283424" w:rsidRDefault="00E93F58" w:rsidP="00B50726">
      <w:pPr>
        <w:pStyle w:val="paragraphsub"/>
      </w:pPr>
      <w:r w:rsidRPr="00283424">
        <w:tab/>
        <w:t>(iii)</w:t>
      </w:r>
      <w:r w:rsidRPr="00283424">
        <w:tab/>
        <w:t>simple managed investment schemes;</w:t>
      </w:r>
    </w:p>
    <w:p w14:paraId="3E8A2934" w14:textId="77777777" w:rsidR="00E93F58" w:rsidRPr="00283424" w:rsidRDefault="00E93F58" w:rsidP="00B50726">
      <w:pPr>
        <w:pStyle w:val="paragraphsub"/>
      </w:pPr>
      <w:r w:rsidRPr="00283424">
        <w:tab/>
        <w:t>(iv)</w:t>
      </w:r>
      <w:r w:rsidRPr="00283424">
        <w:tab/>
        <w:t>general insurance products;</w:t>
      </w:r>
    </w:p>
    <w:p w14:paraId="555B7BF1" w14:textId="77777777" w:rsidR="00E93F58" w:rsidRPr="00283424" w:rsidRDefault="00E93F58" w:rsidP="00B50726">
      <w:pPr>
        <w:pStyle w:val="paragraphsub"/>
      </w:pPr>
      <w:r w:rsidRPr="00283424">
        <w:tab/>
        <w:t>(v)</w:t>
      </w:r>
      <w:r w:rsidRPr="00283424">
        <w:tab/>
        <w:t>life risk insurance products;</w:t>
      </w:r>
    </w:p>
    <w:p w14:paraId="31AEB467" w14:textId="77777777" w:rsidR="00E93F58" w:rsidRPr="00283424" w:rsidRDefault="00E93F58" w:rsidP="00B50726">
      <w:pPr>
        <w:pStyle w:val="paragraphsub"/>
      </w:pPr>
      <w:r w:rsidRPr="00283424">
        <w:tab/>
        <w:t>(vi)</w:t>
      </w:r>
      <w:r w:rsidRPr="00283424">
        <w:tab/>
        <w:t>basic deposit products;</w:t>
      </w:r>
    </w:p>
    <w:p w14:paraId="164BA3D2" w14:textId="77777777" w:rsidR="00E93F58" w:rsidRPr="00283424" w:rsidRDefault="00E93F58" w:rsidP="00B50726">
      <w:pPr>
        <w:pStyle w:val="paragraph"/>
      </w:pPr>
      <w:r w:rsidRPr="00283424">
        <w:tab/>
        <w:t>(d)</w:t>
      </w:r>
      <w:r w:rsidRPr="00283424">
        <w:tab/>
        <w:t>arrange to deal in an interest in a self managed superannuation fund.</w:t>
      </w:r>
    </w:p>
    <w:p w14:paraId="6ED85EF1" w14:textId="77777777" w:rsidR="00E93F58" w:rsidRPr="00283424" w:rsidRDefault="00E93F58" w:rsidP="00B50726">
      <w:pPr>
        <w:pStyle w:val="notetext"/>
      </w:pPr>
      <w:r w:rsidRPr="00BE1284">
        <w:t>Note</w:t>
      </w:r>
      <w:r w:rsidRPr="00283424">
        <w:t>:</w:t>
      </w:r>
      <w:r w:rsidRPr="00283424">
        <w:tab/>
        <w:t>Financial product advice on self managed superannuation funds includes advice about acquiring or disposing of an interest in a self managed superannuation fund.</w:t>
      </w:r>
    </w:p>
    <w:p w14:paraId="7DBF3178" w14:textId="77777777" w:rsidR="00E93F58" w:rsidRPr="00283424" w:rsidRDefault="00E93F58" w:rsidP="00B50726">
      <w:pPr>
        <w:pStyle w:val="Definition"/>
      </w:pPr>
      <w:r w:rsidRPr="00283424">
        <w:rPr>
          <w:b/>
          <w:i/>
        </w:rPr>
        <w:t xml:space="preserve">limited licensee </w:t>
      </w:r>
      <w:r w:rsidRPr="00283424">
        <w:t>means a financial services licensee that:</w:t>
      </w:r>
    </w:p>
    <w:p w14:paraId="2AD9B46B" w14:textId="77777777" w:rsidR="00E93F58" w:rsidRPr="00283424" w:rsidRDefault="00E93F58" w:rsidP="00B50726">
      <w:pPr>
        <w:pStyle w:val="paragraph"/>
      </w:pPr>
      <w:r w:rsidRPr="00283424">
        <w:tab/>
        <w:t>(a)</w:t>
      </w:r>
      <w:r w:rsidRPr="00283424">
        <w:tab/>
        <w:t>does not deal with money to which Division 2 of Part 7.8 of the Act applies; and</w:t>
      </w:r>
    </w:p>
    <w:p w14:paraId="7CEB2F08" w14:textId="77777777" w:rsidR="00E93F58" w:rsidRPr="00283424" w:rsidRDefault="00E93F58" w:rsidP="00B50726">
      <w:pPr>
        <w:pStyle w:val="paragraph"/>
      </w:pPr>
      <w:r w:rsidRPr="00283424">
        <w:tab/>
        <w:t>(b)</w:t>
      </w:r>
      <w:r w:rsidRPr="00283424">
        <w:tab/>
        <w:t>is only licensed to provide one or more limited financial services.</w:t>
      </w:r>
    </w:p>
    <w:p w14:paraId="65782EA7" w14:textId="77777777" w:rsidR="00E93F58" w:rsidRPr="00283424" w:rsidRDefault="00E93F58" w:rsidP="00B50726">
      <w:pPr>
        <w:pStyle w:val="Definition"/>
      </w:pPr>
      <w:r w:rsidRPr="00283424">
        <w:rPr>
          <w:b/>
          <w:i/>
        </w:rPr>
        <w:t>person</w:t>
      </w:r>
      <w:r w:rsidRPr="00283424">
        <w:t xml:space="preserve"> means:</w:t>
      </w:r>
    </w:p>
    <w:p w14:paraId="4EA2BA79" w14:textId="77777777" w:rsidR="00E93F58" w:rsidRPr="00283424" w:rsidRDefault="00E93F58" w:rsidP="00B50726">
      <w:pPr>
        <w:pStyle w:val="paragraph"/>
      </w:pPr>
      <w:r w:rsidRPr="00283424">
        <w:tab/>
        <w:t>(a)</w:t>
      </w:r>
      <w:r w:rsidRPr="00283424">
        <w:tab/>
        <w:t>an individual auditor; or</w:t>
      </w:r>
    </w:p>
    <w:p w14:paraId="53D88CD2" w14:textId="77777777" w:rsidR="00E93F58" w:rsidRPr="00283424" w:rsidRDefault="00E93F58" w:rsidP="00B50726">
      <w:pPr>
        <w:pStyle w:val="paragraph"/>
        <w:rPr>
          <w:szCs w:val="24"/>
        </w:rPr>
      </w:pPr>
      <w:r w:rsidRPr="00283424">
        <w:rPr>
          <w:szCs w:val="24"/>
        </w:rPr>
        <w:tab/>
        <w:t>(b)</w:t>
      </w:r>
      <w:r w:rsidRPr="00283424">
        <w:rPr>
          <w:szCs w:val="24"/>
        </w:rPr>
        <w:tab/>
        <w:t>an authorised audit company.</w:t>
      </w:r>
    </w:p>
    <w:p w14:paraId="359F3E77" w14:textId="77777777" w:rsidR="00E93F58" w:rsidRPr="00283424" w:rsidRDefault="00E93F58" w:rsidP="00B50726">
      <w:pPr>
        <w:pStyle w:val="Definition"/>
        <w:rPr>
          <w:szCs w:val="24"/>
        </w:rPr>
      </w:pPr>
      <w:r w:rsidRPr="00283424">
        <w:rPr>
          <w:b/>
          <w:i/>
        </w:rPr>
        <w:t xml:space="preserve">simple managed investment scheme </w:t>
      </w:r>
      <w:r w:rsidRPr="00283424">
        <w:t>has the same meaning as in the regulations.”.</w:t>
      </w:r>
    </w:p>
    <w:p w14:paraId="392C1D78" w14:textId="77777777" w:rsidR="00E93F58" w:rsidRPr="00283424" w:rsidRDefault="00E93F58" w:rsidP="00B50726">
      <w:pPr>
        <w:pStyle w:val="ActHead5"/>
      </w:pPr>
      <w:bookmarkStart w:id="1360" w:name="_Toc152054658"/>
      <w:bookmarkStart w:id="1361" w:name="_Toc158712474"/>
      <w:r w:rsidRPr="006F296E">
        <w:rPr>
          <w:rStyle w:val="CharSectno"/>
        </w:rPr>
        <w:t>7.8.15</w:t>
      </w:r>
      <w:r w:rsidRPr="00283424">
        <w:rPr>
          <w:sz w:val="16"/>
        </w:rPr>
        <w:t xml:space="preserve">  </w:t>
      </w:r>
      <w:r w:rsidRPr="00283424">
        <w:t>Appointment of auditor by financial services licensee</w:t>
      </w:r>
      <w:bookmarkEnd w:id="1360"/>
      <w:bookmarkEnd w:id="1361"/>
    </w:p>
    <w:p w14:paraId="6C734DF2" w14:textId="77777777" w:rsidR="00E93F58" w:rsidRPr="00283424" w:rsidRDefault="00E93F58" w:rsidP="00B50726">
      <w:pPr>
        <w:pStyle w:val="subsection"/>
        <w:keepNext/>
        <w:keepLines/>
      </w:pPr>
      <w:r w:rsidRPr="00283424">
        <w:tab/>
        <w:t>(1)</w:t>
      </w:r>
      <w:r w:rsidRPr="00283424">
        <w:tab/>
        <w:t>For subsections 990B(7) and (8) of the Act, this regulation:</w:t>
      </w:r>
    </w:p>
    <w:p w14:paraId="1E823673" w14:textId="77777777" w:rsidR="00E93F58" w:rsidRPr="00283424" w:rsidRDefault="00E93F58" w:rsidP="00B50726">
      <w:pPr>
        <w:pStyle w:val="paragraph"/>
        <w:keepNext/>
        <w:keepLines/>
      </w:pPr>
      <w:r w:rsidRPr="00283424">
        <w:rPr>
          <w:color w:val="000000"/>
        </w:rPr>
        <w:tab/>
        <w:t>(a)</w:t>
      </w:r>
      <w:r w:rsidRPr="00283424">
        <w:rPr>
          <w:color w:val="000000"/>
        </w:rPr>
        <w:tab/>
        <w:t>sets out matters related to the appointment of a firm as auditor of the financial statements of a financial service licensee; and</w:t>
      </w:r>
    </w:p>
    <w:p w14:paraId="046FA53C" w14:textId="77777777" w:rsidR="00E93F58" w:rsidRPr="00283424" w:rsidRDefault="00E93F58" w:rsidP="00B50726">
      <w:pPr>
        <w:pStyle w:val="paragraph"/>
        <w:keepNext/>
        <w:keepLines/>
      </w:pPr>
      <w:r w:rsidRPr="00283424">
        <w:tab/>
        <w:t>(b)</w:t>
      </w:r>
      <w:r w:rsidRPr="00283424">
        <w:tab/>
        <w:t>modifies the effect of section 990E of the Act.</w:t>
      </w:r>
    </w:p>
    <w:p w14:paraId="4A229EE7" w14:textId="77777777" w:rsidR="00E93F58" w:rsidRPr="00283424" w:rsidRDefault="00E93F58" w:rsidP="00B50726">
      <w:pPr>
        <w:pStyle w:val="subsection"/>
      </w:pPr>
      <w:r w:rsidRPr="00283424">
        <w:tab/>
        <w:t>(1A)</w:t>
      </w:r>
      <w:r w:rsidRPr="00283424">
        <w:tab/>
        <w:t>If an applicant for a financial services licence:</w:t>
      </w:r>
    </w:p>
    <w:p w14:paraId="2D36CEEC" w14:textId="77777777" w:rsidR="00E93F58" w:rsidRPr="00283424" w:rsidRDefault="00E93F58" w:rsidP="00B50726">
      <w:pPr>
        <w:pStyle w:val="paragraph"/>
      </w:pPr>
      <w:r w:rsidRPr="00283424">
        <w:tab/>
        <w:t>(a)</w:t>
      </w:r>
      <w:r w:rsidRPr="00283424">
        <w:tab/>
        <w:t>specifies, in the application for the licence, the name of a person or firm that is to be, or has been, appointed to audit the applicant’s financial statements; and</w:t>
      </w:r>
    </w:p>
    <w:p w14:paraId="2AAD06C2" w14:textId="77777777" w:rsidR="00E93F58" w:rsidRPr="00283424" w:rsidRDefault="00E93F58" w:rsidP="00B50726">
      <w:pPr>
        <w:pStyle w:val="paragraph"/>
      </w:pPr>
      <w:r w:rsidRPr="00283424">
        <w:tab/>
        <w:t>(b)</w:t>
      </w:r>
      <w:r w:rsidRPr="00283424">
        <w:tab/>
        <w:t>the auditor or auditors specified are appointed before the end of 1 month after the licence takes effect;</w:t>
      </w:r>
    </w:p>
    <w:p w14:paraId="4AE8FDD8" w14:textId="77777777" w:rsidR="00E93F58" w:rsidRPr="00283424" w:rsidRDefault="00E93F58" w:rsidP="00B50726">
      <w:pPr>
        <w:pStyle w:val="subsection2"/>
      </w:pPr>
      <w:r w:rsidRPr="00283424">
        <w:lastRenderedPageBreak/>
        <w:t>the applicant is taken to have lodged a notice under subsection 990B(6) of the Act.</w:t>
      </w:r>
    </w:p>
    <w:p w14:paraId="675F183D" w14:textId="77777777" w:rsidR="00E93F58" w:rsidRPr="00283424" w:rsidRDefault="00E93F58" w:rsidP="00B50726">
      <w:pPr>
        <w:pStyle w:val="subsection"/>
      </w:pPr>
      <w:r w:rsidRPr="00283424">
        <w:tab/>
        <w:t>(2)</w:t>
      </w:r>
      <w:r w:rsidRPr="00283424">
        <w:tab/>
        <w:t>The appointment is taken to be an appointment of each person who is:</w:t>
      </w:r>
    </w:p>
    <w:p w14:paraId="4631D505" w14:textId="77777777" w:rsidR="00E93F58" w:rsidRPr="00283424" w:rsidRDefault="00E93F58" w:rsidP="00B50726">
      <w:pPr>
        <w:pStyle w:val="paragraph"/>
        <w:rPr>
          <w:color w:val="000000"/>
        </w:rPr>
      </w:pPr>
      <w:r w:rsidRPr="00283424">
        <w:rPr>
          <w:color w:val="000000"/>
        </w:rPr>
        <w:tab/>
        <w:t>(a)</w:t>
      </w:r>
      <w:r w:rsidRPr="00283424">
        <w:rPr>
          <w:color w:val="000000"/>
        </w:rPr>
        <w:tab/>
        <w:t>a member of the firm; and</w:t>
      </w:r>
    </w:p>
    <w:p w14:paraId="00C5FA23" w14:textId="77777777" w:rsidR="00E93F58" w:rsidRPr="00283424" w:rsidRDefault="00E93F58" w:rsidP="00B50726">
      <w:pPr>
        <w:pStyle w:val="paragraph"/>
      </w:pPr>
      <w:r w:rsidRPr="00283424">
        <w:tab/>
        <w:t>(b)</w:t>
      </w:r>
      <w:r w:rsidRPr="00283424">
        <w:tab/>
        <w:t>a registered company auditor;</w:t>
      </w:r>
    </w:p>
    <w:p w14:paraId="4619B19C" w14:textId="77777777" w:rsidR="00E93F58" w:rsidRPr="00283424" w:rsidRDefault="00E93F58" w:rsidP="00B50726">
      <w:pPr>
        <w:pStyle w:val="subsection2"/>
        <w:rPr>
          <w:color w:val="000000"/>
        </w:rPr>
      </w:pPr>
      <w:r w:rsidRPr="00283424">
        <w:rPr>
          <w:color w:val="000000"/>
        </w:rPr>
        <w:t>whether the person is resident in Australia or not at the date of the appointment.</w:t>
      </w:r>
    </w:p>
    <w:p w14:paraId="62BF7D8B" w14:textId="77777777" w:rsidR="00E93F58" w:rsidRPr="00283424" w:rsidRDefault="00E93F58" w:rsidP="00B50726">
      <w:pPr>
        <w:pStyle w:val="subsection"/>
        <w:rPr>
          <w:color w:val="000000"/>
        </w:rPr>
      </w:pPr>
      <w:r w:rsidRPr="00283424">
        <w:rPr>
          <w:color w:val="000000"/>
        </w:rPr>
        <w:tab/>
        <w:t>(3)</w:t>
      </w:r>
      <w:r w:rsidRPr="00283424">
        <w:rPr>
          <w:color w:val="000000"/>
        </w:rPr>
        <w:tab/>
        <w:t>Unless subregulation (4) applies, the appointment of the members of a firm as auditors that is taken by subregulation (2) to have been made because of the appointment of the firm as auditor of the holder is not affected by the dissolution of the firm.</w:t>
      </w:r>
    </w:p>
    <w:p w14:paraId="67403AED" w14:textId="77777777" w:rsidR="00E93F58" w:rsidRPr="00283424" w:rsidRDefault="00E93F58" w:rsidP="00B50726">
      <w:pPr>
        <w:pStyle w:val="subsection"/>
      </w:pPr>
      <w:r w:rsidRPr="00283424">
        <w:tab/>
        <w:t>(4)</w:t>
      </w:r>
      <w:r w:rsidRPr="00283424">
        <w:tab/>
        <w:t>If a firm that has been appointed as auditor is reconstituted because of the death, retirement or withdrawal of a member or members, or because of the admission of a new member or new members, or both:</w:t>
      </w:r>
    </w:p>
    <w:p w14:paraId="2621727C" w14:textId="77777777" w:rsidR="00E93F58" w:rsidRPr="00283424" w:rsidRDefault="00E93F58" w:rsidP="00B50726">
      <w:pPr>
        <w:pStyle w:val="paragraph"/>
      </w:pPr>
      <w:r w:rsidRPr="00283424">
        <w:tab/>
        <w:t>(a)</w:t>
      </w:r>
      <w:r w:rsidRPr="00283424">
        <w:tab/>
        <w:t>a person who:</w:t>
      </w:r>
    </w:p>
    <w:p w14:paraId="6C31D776" w14:textId="77777777" w:rsidR="00E93F58" w:rsidRPr="00283424" w:rsidRDefault="00E93F58" w:rsidP="00B50726">
      <w:pPr>
        <w:pStyle w:val="paragraphsub"/>
        <w:rPr>
          <w:color w:val="000000"/>
        </w:rPr>
      </w:pPr>
      <w:r w:rsidRPr="00283424">
        <w:rPr>
          <w:color w:val="000000"/>
        </w:rPr>
        <w:tab/>
        <w:t>(i)</w:t>
      </w:r>
      <w:r w:rsidRPr="00283424">
        <w:rPr>
          <w:color w:val="000000"/>
        </w:rPr>
        <w:tab/>
        <w:t>was taken under subregulation (2) to be an auditor of the financial services licensee; and</w:t>
      </w:r>
    </w:p>
    <w:p w14:paraId="4F23B098" w14:textId="77777777" w:rsidR="00E93F58" w:rsidRPr="00283424" w:rsidRDefault="00E93F58" w:rsidP="00B50726">
      <w:pPr>
        <w:pStyle w:val="paragraphsub"/>
      </w:pPr>
      <w:r w:rsidRPr="00283424">
        <w:tab/>
        <w:t>(ii)</w:t>
      </w:r>
      <w:r w:rsidRPr="00283424">
        <w:tab/>
        <w:t>has retired or withdrawn from the firm as previously constituted;</w:t>
      </w:r>
    </w:p>
    <w:p w14:paraId="273A9242" w14:textId="77777777" w:rsidR="00E93F58" w:rsidRPr="00283424" w:rsidRDefault="00E93F58" w:rsidP="00B50726">
      <w:pPr>
        <w:pStyle w:val="paragraph"/>
      </w:pPr>
      <w:r w:rsidRPr="00283424">
        <w:rPr>
          <w:color w:val="000000"/>
        </w:rPr>
        <w:tab/>
      </w:r>
      <w:r w:rsidRPr="00283424">
        <w:rPr>
          <w:color w:val="000000"/>
        </w:rPr>
        <w:tab/>
        <w:t>is taken to have resigned as auditor as from the day of the retirement or withdrawal; and</w:t>
      </w:r>
    </w:p>
    <w:p w14:paraId="0D09BC0E" w14:textId="77777777" w:rsidR="00E93F58" w:rsidRPr="00283424" w:rsidRDefault="00E93F58" w:rsidP="00B50726">
      <w:pPr>
        <w:pStyle w:val="paragraph"/>
      </w:pPr>
      <w:r w:rsidRPr="00283424">
        <w:tab/>
        <w:t>(b)</w:t>
      </w:r>
      <w:r w:rsidRPr="00283424">
        <w:tab/>
        <w:t>a person who:</w:t>
      </w:r>
    </w:p>
    <w:p w14:paraId="498022E7" w14:textId="77777777" w:rsidR="00E93F58" w:rsidRPr="00283424" w:rsidRDefault="00E93F58" w:rsidP="00B50726">
      <w:pPr>
        <w:pStyle w:val="paragraphsub"/>
        <w:rPr>
          <w:color w:val="000000"/>
        </w:rPr>
      </w:pPr>
      <w:r w:rsidRPr="00283424">
        <w:rPr>
          <w:color w:val="000000"/>
        </w:rPr>
        <w:tab/>
        <w:t>(i)</w:t>
      </w:r>
      <w:r w:rsidRPr="00283424">
        <w:rPr>
          <w:color w:val="000000"/>
        </w:rPr>
        <w:tab/>
        <w:t>is a registered company auditor; and</w:t>
      </w:r>
    </w:p>
    <w:p w14:paraId="53C7CC23" w14:textId="77777777" w:rsidR="00E93F58" w:rsidRPr="00283424" w:rsidRDefault="00E93F58" w:rsidP="00B50726">
      <w:pPr>
        <w:pStyle w:val="paragraphsub"/>
      </w:pPr>
      <w:r w:rsidRPr="00283424">
        <w:tab/>
        <w:t>(ii)</w:t>
      </w:r>
      <w:r w:rsidRPr="00283424">
        <w:tab/>
        <w:t>is admitted to the firm;</w:t>
      </w:r>
    </w:p>
    <w:p w14:paraId="32EF3AD9" w14:textId="77777777" w:rsidR="00E93F58" w:rsidRPr="00283424" w:rsidRDefault="00E93F58" w:rsidP="00B50726">
      <w:pPr>
        <w:pStyle w:val="paragraph"/>
        <w:rPr>
          <w:color w:val="000000"/>
        </w:rPr>
      </w:pPr>
      <w:r w:rsidRPr="00283424">
        <w:rPr>
          <w:color w:val="000000"/>
        </w:rPr>
        <w:tab/>
      </w:r>
      <w:r w:rsidRPr="00283424">
        <w:rPr>
          <w:color w:val="000000"/>
        </w:rPr>
        <w:tab/>
        <w:t>is taken to have been appointed as an auditor of the holder as from the date of the admission; and</w:t>
      </w:r>
    </w:p>
    <w:p w14:paraId="1EB17266" w14:textId="77777777" w:rsidR="00E93F58" w:rsidRPr="00283424" w:rsidRDefault="00E93F58" w:rsidP="00B50726">
      <w:pPr>
        <w:pStyle w:val="paragraph"/>
      </w:pPr>
      <w:r w:rsidRPr="00283424">
        <w:tab/>
        <w:t>(c)</w:t>
      </w:r>
      <w:r w:rsidRPr="00283424">
        <w:tab/>
        <w:t>the reconstitution of the firm does not affect the appointmen</w:t>
      </w:r>
      <w:r w:rsidRPr="00283424">
        <w:rPr>
          <w:snapToGrid w:val="0"/>
        </w:rPr>
        <w:t>t of the continuing members of the firm who are registered company au</w:t>
      </w:r>
      <w:r w:rsidRPr="00283424">
        <w:t>ditors as auditors; and</w:t>
      </w:r>
    </w:p>
    <w:p w14:paraId="187E652F" w14:textId="77777777" w:rsidR="00E93F58" w:rsidRPr="00283424" w:rsidRDefault="00E93F58" w:rsidP="00B50726">
      <w:pPr>
        <w:pStyle w:val="paragraph"/>
      </w:pPr>
      <w:r w:rsidRPr="00283424">
        <w:tab/>
        <w:t>(d)</w:t>
      </w:r>
      <w:r w:rsidRPr="00283424">
        <w:tab/>
        <w:t>nothing in paragraphs (a) to (c) affects the operation of section 990C of the Act.</w:t>
      </w:r>
    </w:p>
    <w:p w14:paraId="43FC8368" w14:textId="77777777" w:rsidR="00E93F58" w:rsidRPr="00283424" w:rsidRDefault="00E93F58" w:rsidP="00B50726">
      <w:pPr>
        <w:pStyle w:val="subsection"/>
      </w:pPr>
      <w:r w:rsidRPr="00283424">
        <w:tab/>
        <w:t>(5)</w:t>
      </w:r>
      <w:r w:rsidRPr="00283424">
        <w:tab/>
        <w:t>Sections 990F to 990H of the Act do not apply to a resignation mentioned in paragraph (4)(a) unless:</w:t>
      </w:r>
    </w:p>
    <w:p w14:paraId="494A039F" w14:textId="77777777" w:rsidR="00E93F58" w:rsidRPr="00283424" w:rsidRDefault="00E93F58" w:rsidP="00B50726">
      <w:pPr>
        <w:pStyle w:val="paragraph"/>
      </w:pPr>
      <w:r w:rsidRPr="00283424">
        <w:rPr>
          <w:color w:val="000000"/>
        </w:rPr>
        <w:tab/>
        <w:t>(a)</w:t>
      </w:r>
      <w:r w:rsidRPr="00283424">
        <w:rPr>
          <w:color w:val="000000"/>
        </w:rPr>
        <w:tab/>
        <w:t>the person who is taken to have resigned was the only member of the firm who was a registered company auditor; and</w:t>
      </w:r>
    </w:p>
    <w:p w14:paraId="3779D89C" w14:textId="77777777" w:rsidR="00E93F58" w:rsidRPr="00283424" w:rsidRDefault="00E93F58" w:rsidP="00B50726">
      <w:pPr>
        <w:pStyle w:val="paragraph"/>
      </w:pPr>
      <w:r w:rsidRPr="00283424">
        <w:tab/>
        <w:t>(b)</w:t>
      </w:r>
      <w:r w:rsidRPr="00283424">
        <w:tab/>
        <w:t>there is no member of the firm who is a registered company auditor after the retirement or withdrawal of that person.</w:t>
      </w:r>
    </w:p>
    <w:p w14:paraId="58779716" w14:textId="77777777" w:rsidR="00E93F58" w:rsidRPr="00283424" w:rsidRDefault="00E93F58" w:rsidP="00B50726">
      <w:pPr>
        <w:pStyle w:val="subsection"/>
      </w:pPr>
      <w:r w:rsidRPr="00283424">
        <w:tab/>
        <w:t>(6)</w:t>
      </w:r>
      <w:r w:rsidRPr="00283424">
        <w:tab/>
        <w:t>A report or notice that purports to be made or given by a firm appointed as auditor is taken not to have been duly made or given unless it is signed by a member of the firm who is a registered company auditor:</w:t>
      </w:r>
    </w:p>
    <w:p w14:paraId="7EEC0C97" w14:textId="77777777" w:rsidR="00E93F58" w:rsidRPr="00283424" w:rsidRDefault="00E93F58" w:rsidP="00B50726">
      <w:pPr>
        <w:pStyle w:val="paragraph"/>
        <w:rPr>
          <w:color w:val="000000"/>
        </w:rPr>
      </w:pPr>
      <w:r w:rsidRPr="00283424">
        <w:rPr>
          <w:color w:val="000000"/>
        </w:rPr>
        <w:tab/>
        <w:t>(a)</w:t>
      </w:r>
      <w:r w:rsidRPr="00283424">
        <w:rPr>
          <w:color w:val="000000"/>
        </w:rPr>
        <w:tab/>
        <w:t>in the firm’s name; and</w:t>
      </w:r>
    </w:p>
    <w:p w14:paraId="40AC08BF" w14:textId="77777777" w:rsidR="00E93F58" w:rsidRPr="00283424" w:rsidRDefault="00E93F58" w:rsidP="00B50726">
      <w:pPr>
        <w:pStyle w:val="paragraph"/>
      </w:pPr>
      <w:r w:rsidRPr="00283424">
        <w:tab/>
        <w:t>(b)</w:t>
      </w:r>
      <w:r w:rsidRPr="00283424">
        <w:tab/>
        <w:t>in his or her own name.</w:t>
      </w:r>
    </w:p>
    <w:p w14:paraId="22D86606" w14:textId="77777777" w:rsidR="00E93F58" w:rsidRPr="00283424" w:rsidRDefault="00E93F58" w:rsidP="00B50726">
      <w:pPr>
        <w:pStyle w:val="subsection"/>
      </w:pPr>
      <w:r w:rsidRPr="00283424">
        <w:rPr>
          <w:color w:val="000000"/>
        </w:rPr>
        <w:tab/>
        <w:t>(7)</w:t>
      </w:r>
      <w:r w:rsidRPr="00283424">
        <w:rPr>
          <w:color w:val="000000"/>
        </w:rPr>
        <w:tab/>
        <w:t>If a vacancy in the office of an auditor continues, the surviving or continuing auditor or auditors (if any) may act as auditor while the vacancy continues.</w:t>
      </w:r>
    </w:p>
    <w:p w14:paraId="62CEB777" w14:textId="77777777" w:rsidR="00E93F58" w:rsidRPr="00283424" w:rsidRDefault="00E93F58" w:rsidP="00B50726">
      <w:pPr>
        <w:pStyle w:val="subsection"/>
      </w:pPr>
      <w:r w:rsidRPr="00283424">
        <w:tab/>
        <w:t>(8)</w:t>
      </w:r>
      <w:r w:rsidRPr="00283424">
        <w:tab/>
        <w:t>If a vacancy occurs in the office of an auditor, and there is no surviving or continuing auditor of the financial services licensee, the financial services licensee must, within 14 days after the vacancy occurs appoint as auditor:</w:t>
      </w:r>
    </w:p>
    <w:p w14:paraId="2F612E6B" w14:textId="77777777" w:rsidR="00E93F58" w:rsidRPr="00283424" w:rsidRDefault="00E93F58" w:rsidP="00B50726">
      <w:pPr>
        <w:pStyle w:val="paragraph"/>
      </w:pPr>
      <w:r w:rsidRPr="00283424">
        <w:rPr>
          <w:color w:val="000000"/>
        </w:rPr>
        <w:tab/>
        <w:t>(a)</w:t>
      </w:r>
      <w:r w:rsidRPr="00283424">
        <w:rPr>
          <w:color w:val="000000"/>
        </w:rPr>
        <w:tab/>
        <w:t>a person who is eligible to act as auditor; or</w:t>
      </w:r>
    </w:p>
    <w:p w14:paraId="3E3E7EB6" w14:textId="77777777" w:rsidR="00E93F58" w:rsidRPr="00283424" w:rsidRDefault="00E93F58" w:rsidP="00B50726">
      <w:pPr>
        <w:pStyle w:val="paragraph"/>
      </w:pPr>
      <w:r w:rsidRPr="00283424">
        <w:tab/>
        <w:t>(b)</w:t>
      </w:r>
      <w:r w:rsidRPr="00283424">
        <w:tab/>
        <w:t>2 or more persons each of whom is eligible to act as auditor; or</w:t>
      </w:r>
    </w:p>
    <w:p w14:paraId="7E8FDCA9" w14:textId="77777777" w:rsidR="00E93F58" w:rsidRPr="00283424" w:rsidRDefault="00E93F58" w:rsidP="00B50726">
      <w:pPr>
        <w:pStyle w:val="paragraph"/>
      </w:pPr>
      <w:r w:rsidRPr="00283424">
        <w:tab/>
        <w:t>(c)</w:t>
      </w:r>
      <w:r w:rsidRPr="00283424">
        <w:tab/>
        <w:t>a firm that is eligible to act as auditor; or</w:t>
      </w:r>
    </w:p>
    <w:p w14:paraId="701149B6" w14:textId="77777777" w:rsidR="00E93F58" w:rsidRPr="00283424" w:rsidRDefault="00E93F58" w:rsidP="00B50726">
      <w:pPr>
        <w:pStyle w:val="paragraph"/>
      </w:pPr>
      <w:r w:rsidRPr="00283424">
        <w:tab/>
        <w:t>(d)</w:t>
      </w:r>
      <w:r w:rsidRPr="00283424">
        <w:tab/>
        <w:t>2 or more firms each of which is eligible to act as auditor; or</w:t>
      </w:r>
    </w:p>
    <w:p w14:paraId="6245B0F1" w14:textId="77777777" w:rsidR="00E93F58" w:rsidRPr="00283424" w:rsidRDefault="00E93F58" w:rsidP="00B50726">
      <w:pPr>
        <w:pStyle w:val="paragraph"/>
      </w:pPr>
      <w:r w:rsidRPr="00283424">
        <w:tab/>
        <w:t>(e)</w:t>
      </w:r>
      <w:r w:rsidRPr="00283424">
        <w:tab/>
        <w:t>a combination of persons and firms each of which is eligible to act as auditor.</w:t>
      </w:r>
    </w:p>
    <w:p w14:paraId="26A2080F" w14:textId="77777777" w:rsidR="00E93F58" w:rsidRPr="00283424" w:rsidRDefault="00E93F58" w:rsidP="00B50726">
      <w:pPr>
        <w:pStyle w:val="subsection"/>
        <w:rPr>
          <w:color w:val="000000"/>
        </w:rPr>
      </w:pPr>
      <w:r w:rsidRPr="00283424">
        <w:rPr>
          <w:color w:val="000000"/>
        </w:rPr>
        <w:tab/>
        <w:t>(9)</w:t>
      </w:r>
      <w:r w:rsidRPr="00283424">
        <w:rPr>
          <w:color w:val="000000"/>
        </w:rPr>
        <w:tab/>
        <w:t>If an auditor ceases to hold office in accordance with paragraph 990E(a) or (d) of the Act, the financial services licensee for which the auditor acted must lodge with ASIC a notice in the prescribed form stating that the auditor has ceased to hold the office.</w:t>
      </w:r>
    </w:p>
    <w:p w14:paraId="311C009D" w14:textId="77777777" w:rsidR="00E93F58" w:rsidRPr="00283424" w:rsidRDefault="00E93F58" w:rsidP="00B50726">
      <w:pPr>
        <w:pStyle w:val="ActHead5"/>
      </w:pPr>
      <w:bookmarkStart w:id="1362" w:name="_Toc152054659"/>
      <w:bookmarkStart w:id="1363" w:name="_Toc158712475"/>
      <w:r w:rsidRPr="006F296E">
        <w:rPr>
          <w:rStyle w:val="CharSectno"/>
        </w:rPr>
        <w:t>7.8.16</w:t>
      </w:r>
      <w:r w:rsidRPr="00283424">
        <w:rPr>
          <w:sz w:val="16"/>
        </w:rPr>
        <w:t xml:space="preserve">  </w:t>
      </w:r>
      <w:r w:rsidRPr="00283424">
        <w:t>When person is ineligible to act as auditor of financial services licensee</w:t>
      </w:r>
      <w:bookmarkEnd w:id="1362"/>
      <w:bookmarkEnd w:id="1363"/>
    </w:p>
    <w:p w14:paraId="1A5066B9" w14:textId="77777777" w:rsidR="00E93F58" w:rsidRPr="00283424" w:rsidRDefault="00E93F58" w:rsidP="00B50726">
      <w:pPr>
        <w:pStyle w:val="subsection"/>
      </w:pPr>
      <w:r w:rsidRPr="00283424">
        <w:tab/>
        <w:t>(1)</w:t>
      </w:r>
      <w:r w:rsidRPr="00283424">
        <w:tab/>
        <w:t>For section 990C of the Act, a person is ineligible to act as auditor of a financial services licensee in any of the following circumstances:</w:t>
      </w:r>
    </w:p>
    <w:p w14:paraId="198178F6" w14:textId="77777777" w:rsidR="00E93F58" w:rsidRPr="00283424" w:rsidRDefault="00E93F58" w:rsidP="00B50726">
      <w:pPr>
        <w:pStyle w:val="paragraph"/>
      </w:pPr>
      <w:r w:rsidRPr="00283424">
        <w:rPr>
          <w:color w:val="000000"/>
        </w:rPr>
        <w:tab/>
        <w:t>(a)</w:t>
      </w:r>
      <w:r w:rsidRPr="00283424">
        <w:rPr>
          <w:color w:val="000000"/>
        </w:rPr>
        <w:tab/>
        <w:t>the person is not a registered company auditor;</w:t>
      </w:r>
    </w:p>
    <w:p w14:paraId="170A4039" w14:textId="77777777" w:rsidR="00E93F58" w:rsidRPr="00283424" w:rsidRDefault="00E93F58" w:rsidP="00B50726">
      <w:pPr>
        <w:pStyle w:val="paragraph"/>
      </w:pPr>
      <w:r w:rsidRPr="00283424">
        <w:tab/>
        <w:t>(b)</w:t>
      </w:r>
      <w:r w:rsidRPr="00283424">
        <w:tab/>
        <w:t>the person is indebted in an amount exceeding $5 000 to:</w:t>
      </w:r>
    </w:p>
    <w:p w14:paraId="7F4E8FCA" w14:textId="77777777" w:rsidR="00E93F58" w:rsidRPr="00283424" w:rsidRDefault="00E93F58" w:rsidP="00B50726">
      <w:pPr>
        <w:pStyle w:val="paragraphsub"/>
      </w:pPr>
      <w:r w:rsidRPr="00283424">
        <w:rPr>
          <w:color w:val="000000"/>
        </w:rPr>
        <w:tab/>
        <w:t>(i)</w:t>
      </w:r>
      <w:r w:rsidRPr="00283424">
        <w:rPr>
          <w:color w:val="000000"/>
        </w:rPr>
        <w:tab/>
        <w:t>the financial services licensee; or</w:t>
      </w:r>
    </w:p>
    <w:p w14:paraId="03EF245C" w14:textId="77777777" w:rsidR="00E93F58" w:rsidRPr="00283424" w:rsidRDefault="00E93F58" w:rsidP="00B50726">
      <w:pPr>
        <w:pStyle w:val="paragraphsub"/>
      </w:pPr>
      <w:r w:rsidRPr="00283424">
        <w:lastRenderedPageBreak/>
        <w:tab/>
        <w:t>(ii)</w:t>
      </w:r>
      <w:r w:rsidRPr="00283424">
        <w:tab/>
        <w:t>if the financial services licensee is a body corporate—to a body corporate related to the financial services licensee;</w:t>
      </w:r>
    </w:p>
    <w:p w14:paraId="08528729" w14:textId="77777777" w:rsidR="00E93F58" w:rsidRPr="00283424" w:rsidRDefault="00E93F58" w:rsidP="00B50726">
      <w:pPr>
        <w:pStyle w:val="paragraph"/>
      </w:pPr>
      <w:r w:rsidRPr="00283424">
        <w:tab/>
        <w:t>(c)</w:t>
      </w:r>
      <w:r w:rsidRPr="00283424">
        <w:tab/>
        <w:t>a body corporate in which the person has a substantial holding is indebted in an amount exceeding $5 000 to:</w:t>
      </w:r>
    </w:p>
    <w:p w14:paraId="6117EA0A" w14:textId="77777777" w:rsidR="00E93F58" w:rsidRPr="00283424" w:rsidRDefault="00E93F58" w:rsidP="00B50726">
      <w:pPr>
        <w:pStyle w:val="paragraphsub"/>
      </w:pPr>
      <w:r w:rsidRPr="00283424">
        <w:rPr>
          <w:color w:val="000000"/>
        </w:rPr>
        <w:tab/>
        <w:t>(i)</w:t>
      </w:r>
      <w:r w:rsidRPr="00283424">
        <w:rPr>
          <w:color w:val="000000"/>
        </w:rPr>
        <w:tab/>
        <w:t>the financial services licensee; or</w:t>
      </w:r>
    </w:p>
    <w:p w14:paraId="6D7A59AC" w14:textId="77777777" w:rsidR="00E93F58" w:rsidRPr="00283424" w:rsidRDefault="00E93F58" w:rsidP="00B50726">
      <w:pPr>
        <w:pStyle w:val="paragraphsub"/>
      </w:pPr>
      <w:r w:rsidRPr="00283424">
        <w:tab/>
        <w:t>(ii)</w:t>
      </w:r>
      <w:r w:rsidRPr="00283424">
        <w:tab/>
        <w:t>if the financial services licensee is a body corporate—to a body corporate related to the financial services licensee;</w:t>
      </w:r>
    </w:p>
    <w:p w14:paraId="09CF05BD" w14:textId="77777777" w:rsidR="00E93F58" w:rsidRPr="00283424" w:rsidRDefault="00E93F58" w:rsidP="00B50726">
      <w:pPr>
        <w:pStyle w:val="paragraph"/>
        <w:rPr>
          <w:color w:val="000000"/>
        </w:rPr>
      </w:pPr>
      <w:r w:rsidRPr="00283424">
        <w:rPr>
          <w:color w:val="000000"/>
        </w:rPr>
        <w:tab/>
        <w:t>(d)</w:t>
      </w:r>
      <w:r w:rsidRPr="00283424">
        <w:rPr>
          <w:color w:val="000000"/>
        </w:rPr>
        <w:tab/>
        <w:t>the person is a partner or employee of the financial services licensee;</w:t>
      </w:r>
    </w:p>
    <w:p w14:paraId="661BC6A6" w14:textId="77777777" w:rsidR="00E93F58" w:rsidRPr="00283424" w:rsidRDefault="00E93F58" w:rsidP="00B50726">
      <w:pPr>
        <w:pStyle w:val="paragraph"/>
      </w:pPr>
      <w:r w:rsidRPr="00283424">
        <w:tab/>
        <w:t>(e)</w:t>
      </w:r>
      <w:r w:rsidRPr="00283424">
        <w:tab/>
        <w:t>if the financial services licensee is a body corporate—the person is:</w:t>
      </w:r>
    </w:p>
    <w:p w14:paraId="52A0C7D6" w14:textId="77777777" w:rsidR="00E93F58" w:rsidRPr="00283424" w:rsidRDefault="00E93F58" w:rsidP="00B50726">
      <w:pPr>
        <w:pStyle w:val="paragraphsub"/>
        <w:rPr>
          <w:color w:val="000000"/>
        </w:rPr>
      </w:pPr>
      <w:r w:rsidRPr="00283424">
        <w:rPr>
          <w:color w:val="000000"/>
        </w:rPr>
        <w:tab/>
        <w:t>(i)</w:t>
      </w:r>
      <w:r w:rsidRPr="00283424">
        <w:rPr>
          <w:color w:val="000000"/>
        </w:rPr>
        <w:tab/>
        <w:t>an officer of the body; or</w:t>
      </w:r>
    </w:p>
    <w:p w14:paraId="7D1F4E68" w14:textId="77777777" w:rsidR="00E93F58" w:rsidRPr="00283424" w:rsidRDefault="00E93F58" w:rsidP="00B50726">
      <w:pPr>
        <w:pStyle w:val="paragraphsub"/>
      </w:pPr>
      <w:r w:rsidRPr="00283424">
        <w:tab/>
        <w:t>(ii)</w:t>
      </w:r>
      <w:r w:rsidRPr="00283424">
        <w:tab/>
        <w:t>a partner, employer or employee of an officer of the body; or</w:t>
      </w:r>
    </w:p>
    <w:p w14:paraId="350FDAAD" w14:textId="77777777" w:rsidR="00E93F58" w:rsidRPr="00283424" w:rsidRDefault="00E93F58" w:rsidP="00B50726">
      <w:pPr>
        <w:pStyle w:val="paragraphsub"/>
      </w:pPr>
      <w:r w:rsidRPr="00283424">
        <w:tab/>
        <w:t>(iii)</w:t>
      </w:r>
      <w:r w:rsidRPr="00283424">
        <w:tab/>
        <w:t>a partner or employee of an employee of an officer of the body.</w:t>
      </w:r>
    </w:p>
    <w:p w14:paraId="3C44F218" w14:textId="77777777" w:rsidR="00E93F58" w:rsidRPr="00283424" w:rsidRDefault="00E93F58" w:rsidP="00B50726">
      <w:pPr>
        <w:pStyle w:val="subsection"/>
      </w:pPr>
      <w:r w:rsidRPr="00283424">
        <w:tab/>
        <w:t>(2)</w:t>
      </w:r>
      <w:r w:rsidRPr="00283424">
        <w:tab/>
        <w:t>For section 990C of the Act, a firm is ineligible to act as auditor of a financial services licensee at a particular time unless:</w:t>
      </w:r>
    </w:p>
    <w:p w14:paraId="3C0854FE" w14:textId="77777777" w:rsidR="00E93F58" w:rsidRPr="00283424" w:rsidRDefault="00E93F58" w:rsidP="00B50726">
      <w:pPr>
        <w:pStyle w:val="paragraph"/>
      </w:pPr>
      <w:r w:rsidRPr="00283424">
        <w:rPr>
          <w:color w:val="000000"/>
        </w:rPr>
        <w:tab/>
        <w:t>(a)</w:t>
      </w:r>
      <w:r w:rsidRPr="00283424">
        <w:rPr>
          <w:color w:val="000000"/>
        </w:rPr>
        <w:tab/>
        <w:t>at least 1 member of the firm is a registered company auditor who is ordinarily resident in Australia; and</w:t>
      </w:r>
    </w:p>
    <w:p w14:paraId="26B158AF" w14:textId="77777777" w:rsidR="00E93F58" w:rsidRPr="00283424" w:rsidRDefault="00E93F58" w:rsidP="00B50726">
      <w:pPr>
        <w:pStyle w:val="paragraph"/>
      </w:pPr>
      <w:r w:rsidRPr="00283424">
        <w:tab/>
        <w:t>(b)</w:t>
      </w:r>
      <w:r w:rsidRPr="00283424">
        <w:tab/>
        <w:t>if the business name under which the firm is carrying on business is not registered under a law of a State or Territory—a return has been lodged in the prescribed form showing, in relation to each member of the firm:</w:t>
      </w:r>
    </w:p>
    <w:p w14:paraId="7CA40531" w14:textId="77777777" w:rsidR="00E93F58" w:rsidRPr="00283424" w:rsidRDefault="00E93F58" w:rsidP="00B50726">
      <w:pPr>
        <w:pStyle w:val="paragraphsub"/>
        <w:rPr>
          <w:color w:val="000000"/>
        </w:rPr>
      </w:pPr>
      <w:r w:rsidRPr="00283424">
        <w:rPr>
          <w:color w:val="000000"/>
        </w:rPr>
        <w:tab/>
        <w:t>(i)</w:t>
      </w:r>
      <w:r w:rsidRPr="00283424">
        <w:rPr>
          <w:color w:val="000000"/>
        </w:rPr>
        <w:tab/>
        <w:t>the member’s full name; and</w:t>
      </w:r>
    </w:p>
    <w:p w14:paraId="3B681DEA" w14:textId="77777777" w:rsidR="00E93F58" w:rsidRPr="00283424" w:rsidRDefault="00E93F58" w:rsidP="00B50726">
      <w:pPr>
        <w:pStyle w:val="paragraphsub"/>
      </w:pPr>
      <w:r w:rsidRPr="00283424">
        <w:tab/>
        <w:t>(ii)</w:t>
      </w:r>
      <w:r w:rsidRPr="00283424">
        <w:tab/>
        <w:t>the member’s address at that time; and</w:t>
      </w:r>
    </w:p>
    <w:p w14:paraId="24507041" w14:textId="77777777" w:rsidR="00E93F58" w:rsidRPr="00283424" w:rsidRDefault="00E93F58" w:rsidP="00B50726">
      <w:pPr>
        <w:pStyle w:val="paragraph"/>
      </w:pPr>
      <w:r w:rsidRPr="00283424">
        <w:tab/>
        <w:t>(c)</w:t>
      </w:r>
      <w:r w:rsidRPr="00283424">
        <w:tab/>
        <w:t>no member of the firm is indebted in an amount exceeding $5 000 to:</w:t>
      </w:r>
    </w:p>
    <w:p w14:paraId="3CEF23B6" w14:textId="77777777" w:rsidR="00E93F58" w:rsidRPr="00283424" w:rsidRDefault="00E93F58" w:rsidP="00B50726">
      <w:pPr>
        <w:pStyle w:val="paragraphsub"/>
      </w:pPr>
      <w:r w:rsidRPr="00283424">
        <w:rPr>
          <w:color w:val="000000"/>
        </w:rPr>
        <w:tab/>
        <w:t>(i)</w:t>
      </w:r>
      <w:r w:rsidRPr="00283424">
        <w:rPr>
          <w:color w:val="000000"/>
        </w:rPr>
        <w:tab/>
        <w:t>the financial services licensee; or</w:t>
      </w:r>
    </w:p>
    <w:p w14:paraId="3D39DC80" w14:textId="77777777" w:rsidR="00E93F58" w:rsidRPr="00283424" w:rsidRDefault="00E93F58" w:rsidP="00B50726">
      <w:pPr>
        <w:pStyle w:val="paragraphsub"/>
      </w:pPr>
      <w:r w:rsidRPr="00283424">
        <w:tab/>
        <w:t>(ii)</w:t>
      </w:r>
      <w:r w:rsidRPr="00283424">
        <w:tab/>
        <w:t>if the financial services licensee is a body corporate—to a body corporate related to the financial services licensee; and</w:t>
      </w:r>
    </w:p>
    <w:p w14:paraId="6FCCFD1A" w14:textId="77777777" w:rsidR="00E93F58" w:rsidRPr="00283424" w:rsidRDefault="00E93F58" w:rsidP="00B50726">
      <w:pPr>
        <w:pStyle w:val="paragraph"/>
      </w:pPr>
      <w:r w:rsidRPr="00283424">
        <w:tab/>
        <w:t>(d)</w:t>
      </w:r>
      <w:r w:rsidRPr="00283424">
        <w:tab/>
        <w:t>no body corporate in which any member of the firm has a substantial holding is indebted in an amount exceeding $5 000 to:</w:t>
      </w:r>
    </w:p>
    <w:p w14:paraId="2616D026" w14:textId="77777777" w:rsidR="00E93F58" w:rsidRPr="00283424" w:rsidRDefault="00E93F58" w:rsidP="00B50726">
      <w:pPr>
        <w:pStyle w:val="paragraphsub"/>
      </w:pPr>
      <w:r w:rsidRPr="00283424">
        <w:rPr>
          <w:color w:val="000000"/>
        </w:rPr>
        <w:tab/>
        <w:t>(i)</w:t>
      </w:r>
      <w:r w:rsidRPr="00283424">
        <w:rPr>
          <w:color w:val="000000"/>
        </w:rPr>
        <w:tab/>
        <w:t>the financial services licensee; or</w:t>
      </w:r>
    </w:p>
    <w:p w14:paraId="543C0577" w14:textId="77777777" w:rsidR="00E93F58" w:rsidRPr="00283424" w:rsidRDefault="00E93F58" w:rsidP="00B50726">
      <w:pPr>
        <w:pStyle w:val="paragraphsub"/>
      </w:pPr>
      <w:r w:rsidRPr="00283424">
        <w:tab/>
        <w:t>(ii)</w:t>
      </w:r>
      <w:r w:rsidRPr="00283424">
        <w:tab/>
        <w:t>if the financial services licensee is a body corporate—to a body corporate related to the financial services licensee; and</w:t>
      </w:r>
    </w:p>
    <w:p w14:paraId="1DAA80E5" w14:textId="77777777" w:rsidR="00E93F58" w:rsidRPr="00283424" w:rsidRDefault="00E93F58" w:rsidP="00B50726">
      <w:pPr>
        <w:pStyle w:val="paragraph"/>
      </w:pPr>
      <w:r w:rsidRPr="00283424">
        <w:rPr>
          <w:color w:val="000000"/>
        </w:rPr>
        <w:tab/>
        <w:t>(e)</w:t>
      </w:r>
      <w:r w:rsidRPr="00283424">
        <w:rPr>
          <w:color w:val="000000"/>
        </w:rPr>
        <w:tab/>
        <w:t>no member of the firm is a partner or employee of the financial services licensee; and</w:t>
      </w:r>
    </w:p>
    <w:p w14:paraId="311FA2CA" w14:textId="77777777" w:rsidR="00E93F58" w:rsidRPr="00283424" w:rsidRDefault="00E93F58" w:rsidP="00B50726">
      <w:pPr>
        <w:pStyle w:val="paragraph"/>
      </w:pPr>
      <w:r w:rsidRPr="00283424">
        <w:tab/>
        <w:t>(f)</w:t>
      </w:r>
      <w:r w:rsidRPr="00283424">
        <w:tab/>
        <w:t>if the financial services licensee is a body corporate—no member of the firm is:</w:t>
      </w:r>
    </w:p>
    <w:p w14:paraId="25B4F1CE" w14:textId="77777777" w:rsidR="00E93F58" w:rsidRPr="00283424" w:rsidRDefault="00E93F58" w:rsidP="00B50726">
      <w:pPr>
        <w:pStyle w:val="paragraphsub"/>
        <w:rPr>
          <w:color w:val="000000"/>
        </w:rPr>
      </w:pPr>
      <w:r w:rsidRPr="00283424">
        <w:rPr>
          <w:color w:val="000000"/>
        </w:rPr>
        <w:tab/>
        <w:t>(i)</w:t>
      </w:r>
      <w:r w:rsidRPr="00283424">
        <w:rPr>
          <w:color w:val="000000"/>
        </w:rPr>
        <w:tab/>
        <w:t>an officer of the body; or</w:t>
      </w:r>
    </w:p>
    <w:p w14:paraId="29AD3E2F" w14:textId="77777777" w:rsidR="00E93F58" w:rsidRPr="00283424" w:rsidRDefault="00E93F58" w:rsidP="00B50726">
      <w:pPr>
        <w:pStyle w:val="paragraphsub"/>
      </w:pPr>
      <w:r w:rsidRPr="00283424">
        <w:tab/>
        <w:t>(ii)</w:t>
      </w:r>
      <w:r w:rsidRPr="00283424">
        <w:tab/>
        <w:t>a partner, employer or employee of an officer of the body; or</w:t>
      </w:r>
    </w:p>
    <w:p w14:paraId="76375C73" w14:textId="77777777" w:rsidR="00E93F58" w:rsidRPr="00283424" w:rsidRDefault="00E93F58" w:rsidP="00B50726">
      <w:pPr>
        <w:pStyle w:val="paragraphsub"/>
      </w:pPr>
      <w:r w:rsidRPr="00283424">
        <w:tab/>
        <w:t>(iii)</w:t>
      </w:r>
      <w:r w:rsidRPr="00283424">
        <w:tab/>
        <w:t>a partner or employee of an employee of an officer of the body; and</w:t>
      </w:r>
    </w:p>
    <w:p w14:paraId="44E29DA4" w14:textId="77777777" w:rsidR="00E93F58" w:rsidRPr="00283424" w:rsidRDefault="00E93F58" w:rsidP="00B50726">
      <w:pPr>
        <w:pStyle w:val="paragraph"/>
        <w:rPr>
          <w:color w:val="000000"/>
        </w:rPr>
      </w:pPr>
      <w:r w:rsidRPr="00283424">
        <w:rPr>
          <w:color w:val="000000"/>
        </w:rPr>
        <w:tab/>
        <w:t>(g)</w:t>
      </w:r>
      <w:r w:rsidRPr="00283424">
        <w:rPr>
          <w:color w:val="000000"/>
        </w:rPr>
        <w:tab/>
        <w:t>if the financial services licensee is a body corporate—no officer of the financial services licensee receives any remuneration from the firm for acting as a consultant to it on accounting or auditing matters.</w:t>
      </w:r>
    </w:p>
    <w:p w14:paraId="44C66BC7" w14:textId="77777777" w:rsidR="00E93F58" w:rsidRPr="00283424" w:rsidRDefault="00E93F58" w:rsidP="00B50726">
      <w:pPr>
        <w:pStyle w:val="subsection"/>
        <w:rPr>
          <w:color w:val="000000"/>
        </w:rPr>
      </w:pPr>
      <w:r w:rsidRPr="00283424">
        <w:rPr>
          <w:color w:val="000000"/>
        </w:rPr>
        <w:tab/>
        <w:t>(3)</w:t>
      </w:r>
      <w:r w:rsidRPr="00283424">
        <w:rPr>
          <w:color w:val="000000"/>
        </w:rPr>
        <w:tab/>
        <w:t>For paragraphs (1)(b), (1)(c), (2)(c) and (2)(d), a debt owed by a natural person to a body corporate is to be disregarded if:</w:t>
      </w:r>
    </w:p>
    <w:p w14:paraId="0B218AE9" w14:textId="77777777" w:rsidR="00E93F58" w:rsidRPr="00283424" w:rsidRDefault="00E93F58" w:rsidP="00B50726">
      <w:pPr>
        <w:pStyle w:val="paragraph"/>
        <w:rPr>
          <w:color w:val="000000"/>
        </w:rPr>
      </w:pPr>
      <w:r w:rsidRPr="00283424">
        <w:rPr>
          <w:color w:val="000000"/>
        </w:rPr>
        <w:tab/>
        <w:t>(a)</w:t>
      </w:r>
      <w:r w:rsidRPr="00283424">
        <w:rPr>
          <w:color w:val="000000"/>
        </w:rPr>
        <w:tab/>
        <w:t>the body corporate is:</w:t>
      </w:r>
    </w:p>
    <w:p w14:paraId="20DAC96A" w14:textId="77777777" w:rsidR="00E93F58" w:rsidRPr="00283424" w:rsidRDefault="00E93F58" w:rsidP="00B50726">
      <w:pPr>
        <w:pStyle w:val="paragraphsub"/>
        <w:rPr>
          <w:color w:val="000000"/>
        </w:rPr>
      </w:pPr>
      <w:r w:rsidRPr="00283424">
        <w:rPr>
          <w:color w:val="000000"/>
        </w:rPr>
        <w:tab/>
        <w:t>(i)</w:t>
      </w:r>
      <w:r w:rsidRPr="00283424">
        <w:rPr>
          <w:color w:val="000000"/>
        </w:rPr>
        <w:tab/>
        <w:t>an Australian ADI; or</w:t>
      </w:r>
    </w:p>
    <w:p w14:paraId="046DA6E7" w14:textId="77777777" w:rsidR="00E93F58" w:rsidRPr="00283424" w:rsidRDefault="00E93F58" w:rsidP="00B50726">
      <w:pPr>
        <w:pStyle w:val="paragraphsub"/>
      </w:pPr>
      <w:r w:rsidRPr="00283424">
        <w:tab/>
        <w:t>(ii)</w:t>
      </w:r>
      <w:r w:rsidRPr="00283424">
        <w:tab/>
        <w:t xml:space="preserve">a body corporate registered under the </w:t>
      </w:r>
      <w:r w:rsidRPr="00283424">
        <w:rPr>
          <w:i/>
        </w:rPr>
        <w:t>Life Insurance Act 1995</w:t>
      </w:r>
      <w:r w:rsidRPr="00283424">
        <w:t>; and</w:t>
      </w:r>
    </w:p>
    <w:p w14:paraId="7DA892A7" w14:textId="77777777" w:rsidR="00E93F58" w:rsidRPr="00283424" w:rsidRDefault="00E93F58" w:rsidP="00B50726">
      <w:pPr>
        <w:pStyle w:val="paragraph"/>
        <w:rPr>
          <w:color w:val="000000"/>
        </w:rPr>
      </w:pPr>
      <w:r w:rsidRPr="00283424">
        <w:rPr>
          <w:color w:val="000000"/>
        </w:rPr>
        <w:tab/>
        <w:t>(b)</w:t>
      </w:r>
      <w:r w:rsidRPr="00283424">
        <w:rPr>
          <w:color w:val="000000"/>
        </w:rPr>
        <w:tab/>
        <w:t>the debt arose because of a loan that the body corporate or entity made to the person in the ordinary course of its ordinary business; and</w:t>
      </w:r>
    </w:p>
    <w:p w14:paraId="470F0D59" w14:textId="77777777" w:rsidR="00E93F58" w:rsidRPr="00283424" w:rsidRDefault="00E93F58" w:rsidP="00B50726">
      <w:pPr>
        <w:pStyle w:val="paragraph"/>
      </w:pPr>
      <w:r w:rsidRPr="00283424">
        <w:tab/>
        <w:t>(c)</w:t>
      </w:r>
      <w:r w:rsidRPr="00283424">
        <w:tab/>
        <w:t>the person used the amount of the loan to pay the whole or part of the purchase price of premises that the person uses as their principal place of residence.</w:t>
      </w:r>
    </w:p>
    <w:p w14:paraId="277FF2C4" w14:textId="77777777" w:rsidR="00E93F58" w:rsidRPr="00283424" w:rsidRDefault="00E93F58" w:rsidP="00B50726">
      <w:pPr>
        <w:pStyle w:val="subsection"/>
        <w:rPr>
          <w:color w:val="000000"/>
        </w:rPr>
      </w:pPr>
      <w:r w:rsidRPr="00283424">
        <w:rPr>
          <w:color w:val="000000"/>
        </w:rPr>
        <w:tab/>
        <w:t>(4)</w:t>
      </w:r>
      <w:r w:rsidRPr="00283424">
        <w:rPr>
          <w:color w:val="000000"/>
        </w:rPr>
        <w:tab/>
        <w:t>For subregulations (1) and (2), a person is taken to be an officer of a body corporate if:</w:t>
      </w:r>
    </w:p>
    <w:p w14:paraId="7290FE1A" w14:textId="77777777" w:rsidR="00E93F58" w:rsidRPr="00283424" w:rsidRDefault="00E93F58" w:rsidP="00B50726">
      <w:pPr>
        <w:pStyle w:val="paragraph"/>
        <w:rPr>
          <w:color w:val="000000"/>
        </w:rPr>
      </w:pPr>
      <w:r w:rsidRPr="00283424">
        <w:rPr>
          <w:color w:val="000000"/>
        </w:rPr>
        <w:tab/>
        <w:t>(a)</w:t>
      </w:r>
      <w:r w:rsidRPr="00283424">
        <w:rPr>
          <w:color w:val="000000"/>
        </w:rPr>
        <w:tab/>
        <w:t>the person is an officer of a related body corporate; or</w:t>
      </w:r>
    </w:p>
    <w:p w14:paraId="3F710E6D" w14:textId="77777777" w:rsidR="00E93F58" w:rsidRPr="00283424" w:rsidRDefault="00E93F58" w:rsidP="00B50726">
      <w:pPr>
        <w:pStyle w:val="paragraph"/>
      </w:pPr>
      <w:r w:rsidRPr="00283424">
        <w:tab/>
        <w:t>(b)</w:t>
      </w:r>
      <w:r w:rsidRPr="00283424">
        <w:tab/>
        <w:t>unless ASIC directs that this paragraph not apply in relation to the person—the person has, at any time within the immediately preceding period of 12 months, been an officer or promoter of the body corporate or of a related body corporate.</w:t>
      </w:r>
    </w:p>
    <w:p w14:paraId="6F43437C" w14:textId="77777777" w:rsidR="00E93F58" w:rsidRPr="00283424" w:rsidRDefault="00E93F58" w:rsidP="00B50726">
      <w:pPr>
        <w:pStyle w:val="subsection"/>
        <w:rPr>
          <w:color w:val="000000"/>
        </w:rPr>
      </w:pPr>
      <w:r w:rsidRPr="00283424">
        <w:rPr>
          <w:color w:val="000000"/>
        </w:rPr>
        <w:tab/>
        <w:t>(5)</w:t>
      </w:r>
      <w:r w:rsidRPr="00283424">
        <w:rPr>
          <w:color w:val="000000"/>
        </w:rPr>
        <w:tab/>
        <w:t>For this regulation, a person is not taken to be an officer of a body corporate by reason only of being or having been the liquidator of the body corporate or of a related body corporate.</w:t>
      </w:r>
    </w:p>
    <w:p w14:paraId="0280EEBA" w14:textId="77777777" w:rsidR="00E93F58" w:rsidRPr="00283424" w:rsidRDefault="00E93F58" w:rsidP="00B50726">
      <w:pPr>
        <w:pStyle w:val="subsection"/>
      </w:pPr>
      <w:r w:rsidRPr="00283424">
        <w:lastRenderedPageBreak/>
        <w:tab/>
        <w:t>(6)</w:t>
      </w:r>
      <w:r w:rsidRPr="00283424">
        <w:tab/>
        <w:t>For this regulation, a person is not taken to be an officer of a body corporate:</w:t>
      </w:r>
    </w:p>
    <w:p w14:paraId="275300A8" w14:textId="77777777" w:rsidR="00E93F58" w:rsidRPr="00283424" w:rsidRDefault="00E93F58" w:rsidP="00B50726">
      <w:pPr>
        <w:pStyle w:val="paragraph"/>
        <w:rPr>
          <w:color w:val="000000"/>
        </w:rPr>
      </w:pPr>
      <w:r w:rsidRPr="00283424">
        <w:rPr>
          <w:color w:val="000000"/>
        </w:rPr>
        <w:tab/>
        <w:t>(a)</w:t>
      </w:r>
      <w:r w:rsidRPr="00283424">
        <w:rPr>
          <w:color w:val="000000"/>
        </w:rPr>
        <w:tab/>
        <w:t>by reason only of having been appointed as an auditor of that body corporate or of a related body corporate; or</w:t>
      </w:r>
    </w:p>
    <w:p w14:paraId="364CF185" w14:textId="77777777" w:rsidR="00E93F58" w:rsidRPr="00283424" w:rsidRDefault="00E93F58" w:rsidP="00B50726">
      <w:pPr>
        <w:pStyle w:val="paragraph"/>
      </w:pPr>
      <w:r w:rsidRPr="00283424">
        <w:tab/>
        <w:t>(b)</w:t>
      </w:r>
      <w:r w:rsidRPr="00283424">
        <w:tab/>
        <w:t>for any purpose relating to taxation, a public officer of a body corporate; or</w:t>
      </w:r>
    </w:p>
    <w:p w14:paraId="40DA468B" w14:textId="77777777" w:rsidR="00E93F58" w:rsidRPr="00283424" w:rsidRDefault="00E93F58" w:rsidP="00B50726">
      <w:pPr>
        <w:pStyle w:val="paragraph"/>
      </w:pPr>
      <w:r w:rsidRPr="00283424">
        <w:tab/>
        <w:t>(c)</w:t>
      </w:r>
      <w:r w:rsidRPr="00283424">
        <w:tab/>
        <w:t>by reason only of being or having been authorised to accept on behalf of the body corporate or a related body corporate:</w:t>
      </w:r>
    </w:p>
    <w:p w14:paraId="10D12A6D" w14:textId="77777777" w:rsidR="00E93F58" w:rsidRPr="00283424" w:rsidRDefault="00E93F58" w:rsidP="00B50726">
      <w:pPr>
        <w:pStyle w:val="paragraphsub"/>
        <w:rPr>
          <w:color w:val="000000"/>
        </w:rPr>
      </w:pPr>
      <w:r w:rsidRPr="00283424">
        <w:rPr>
          <w:color w:val="000000"/>
        </w:rPr>
        <w:tab/>
        <w:t>(i)</w:t>
      </w:r>
      <w:r w:rsidRPr="00283424">
        <w:rPr>
          <w:color w:val="000000"/>
        </w:rPr>
        <w:tab/>
        <w:t>service of process; or</w:t>
      </w:r>
    </w:p>
    <w:p w14:paraId="4355489A" w14:textId="77777777" w:rsidR="00E93F58" w:rsidRPr="00283424" w:rsidRDefault="00E93F58" w:rsidP="00B50726">
      <w:pPr>
        <w:pStyle w:val="paragraphsub"/>
      </w:pPr>
      <w:r w:rsidRPr="00283424">
        <w:tab/>
        <w:t>(ii)</w:t>
      </w:r>
      <w:r w:rsidRPr="00283424">
        <w:tab/>
        <w:t>any notices required to be served on the body corporate or related body corporate.</w:t>
      </w:r>
    </w:p>
    <w:p w14:paraId="39CF0DD8" w14:textId="77777777" w:rsidR="00E93F58" w:rsidRPr="00283424" w:rsidRDefault="00E93F58" w:rsidP="00B50726">
      <w:pPr>
        <w:pStyle w:val="ActHead3"/>
        <w:pageBreakBefore/>
      </w:pPr>
      <w:bookmarkStart w:id="1364" w:name="_Toc152054660"/>
      <w:bookmarkStart w:id="1365" w:name="_Toc158712476"/>
      <w:r w:rsidRPr="006F296E">
        <w:rPr>
          <w:rStyle w:val="CharDivNo"/>
        </w:rPr>
        <w:lastRenderedPageBreak/>
        <w:t>Division 7</w:t>
      </w:r>
      <w:r w:rsidRPr="00283424">
        <w:t>—</w:t>
      </w:r>
      <w:r w:rsidRPr="006F296E">
        <w:rPr>
          <w:rStyle w:val="CharDivText"/>
        </w:rPr>
        <w:t>Other rules about conduct</w:t>
      </w:r>
      <w:bookmarkEnd w:id="1364"/>
      <w:bookmarkEnd w:id="1365"/>
    </w:p>
    <w:p w14:paraId="5752DF66" w14:textId="77777777" w:rsidR="00E93F58" w:rsidRPr="00283424" w:rsidRDefault="00E93F58" w:rsidP="00B50726">
      <w:pPr>
        <w:pStyle w:val="ActHead5"/>
      </w:pPr>
      <w:bookmarkStart w:id="1366" w:name="_Toc152054661"/>
      <w:bookmarkStart w:id="1367" w:name="_Toc158712477"/>
      <w:r w:rsidRPr="006F296E">
        <w:rPr>
          <w:rStyle w:val="CharSectno"/>
        </w:rPr>
        <w:t>7.8.17</w:t>
      </w:r>
      <w:r w:rsidRPr="00283424">
        <w:rPr>
          <w:sz w:val="16"/>
        </w:rPr>
        <w:t xml:space="preserve">  </w:t>
      </w:r>
      <w:r w:rsidRPr="00283424">
        <w:t>Priority to clients’ orders</w:t>
      </w:r>
      <w:bookmarkEnd w:id="1366"/>
      <w:bookmarkEnd w:id="1367"/>
    </w:p>
    <w:p w14:paraId="21513448" w14:textId="77777777" w:rsidR="00E93F58" w:rsidRPr="00283424" w:rsidRDefault="00E93F58" w:rsidP="00B50726">
      <w:pPr>
        <w:pStyle w:val="subsection"/>
      </w:pPr>
      <w:r w:rsidRPr="00283424">
        <w:tab/>
        <w:t>(1)</w:t>
      </w:r>
      <w:r w:rsidRPr="00283424">
        <w:tab/>
        <w:t>For paragraph 991B(3)(b) of the Act, if a participant in a licensed market:</w:t>
      </w:r>
    </w:p>
    <w:p w14:paraId="434F7B08" w14:textId="77777777" w:rsidR="00E93F58" w:rsidRPr="00283424" w:rsidRDefault="00E93F58" w:rsidP="00B50726">
      <w:pPr>
        <w:pStyle w:val="paragraph"/>
      </w:pPr>
      <w:r w:rsidRPr="00283424">
        <w:rPr>
          <w:color w:val="000000"/>
        </w:rPr>
        <w:tab/>
        <w:t>(a)</w:t>
      </w:r>
      <w:r w:rsidRPr="00283424">
        <w:rPr>
          <w:color w:val="000000"/>
        </w:rPr>
        <w:tab/>
        <w:t>enters into a transaction; and</w:t>
      </w:r>
    </w:p>
    <w:p w14:paraId="5B2FC9AE" w14:textId="77777777" w:rsidR="00E93F58" w:rsidRPr="00283424" w:rsidRDefault="00E93F58" w:rsidP="00B50726">
      <w:pPr>
        <w:pStyle w:val="paragraph"/>
      </w:pPr>
      <w:r w:rsidRPr="00283424">
        <w:tab/>
        <w:t>(b)</w:t>
      </w:r>
      <w:r w:rsidRPr="00283424">
        <w:tab/>
        <w:t>complies with all of the participant’s obligations in relation to the transaction under the market integrity rules and the operating rules of the licensed market;</w:t>
      </w:r>
    </w:p>
    <w:p w14:paraId="53590801" w14:textId="77777777" w:rsidR="00E93F58" w:rsidRPr="00283424" w:rsidRDefault="00E93F58" w:rsidP="00B50726">
      <w:pPr>
        <w:pStyle w:val="subsection2"/>
      </w:pPr>
      <w:r w:rsidRPr="00283424">
        <w:rPr>
          <w:color w:val="000000"/>
        </w:rPr>
        <w:t>subsection 991B(2) of the Act does not apply in relation to the transaction.</w:t>
      </w:r>
    </w:p>
    <w:p w14:paraId="1994E881" w14:textId="77777777" w:rsidR="00E93F58" w:rsidRPr="00283424" w:rsidRDefault="00E93F58" w:rsidP="00B50726">
      <w:pPr>
        <w:pStyle w:val="subsection"/>
      </w:pPr>
      <w:r w:rsidRPr="00283424">
        <w:tab/>
        <w:t>(2)</w:t>
      </w:r>
      <w:r w:rsidRPr="00283424">
        <w:tab/>
        <w:t>Subject to subregulation (3), for paragraph 991B(3)(b) of the Act, subsection 991B(2) of the Act does not apply to a transaction if, at the time that the instruction is issued, the financial services licensee is not a participant in the licensed market on which the particular financial product is being traded.</w:t>
      </w:r>
    </w:p>
    <w:p w14:paraId="00A8640D" w14:textId="77777777" w:rsidR="00E93F58" w:rsidRPr="00283424" w:rsidRDefault="00E93F58" w:rsidP="00B50726">
      <w:pPr>
        <w:pStyle w:val="subsection"/>
      </w:pPr>
      <w:r w:rsidRPr="00283424">
        <w:tab/>
        <w:t>(3)</w:t>
      </w:r>
      <w:r w:rsidRPr="00283424">
        <w:tab/>
        <w:t>Subregulation (2) does not apply if:</w:t>
      </w:r>
    </w:p>
    <w:p w14:paraId="5712E943" w14:textId="77777777" w:rsidR="00E93F58" w:rsidRPr="00283424" w:rsidRDefault="00E93F58" w:rsidP="00B50726">
      <w:pPr>
        <w:pStyle w:val="paragraph"/>
      </w:pPr>
      <w:r w:rsidRPr="00283424">
        <w:tab/>
        <w:t>(a)</w:t>
      </w:r>
      <w:r w:rsidRPr="00283424">
        <w:tab/>
        <w:t>the financial services licensee deals, or has dealt, in a financial product traded on that market:</w:t>
      </w:r>
    </w:p>
    <w:p w14:paraId="0B8BA56E" w14:textId="77777777" w:rsidR="00E93F58" w:rsidRPr="00283424" w:rsidRDefault="00E93F58" w:rsidP="00B50726">
      <w:pPr>
        <w:pStyle w:val="paragraphsub"/>
      </w:pPr>
      <w:r w:rsidRPr="00283424">
        <w:tab/>
        <w:t>(i)</w:t>
      </w:r>
      <w:r w:rsidRPr="00283424">
        <w:tab/>
        <w:t>on the licencee’s own behalf (whether directly or through an agent or other representative); or</w:t>
      </w:r>
    </w:p>
    <w:p w14:paraId="07563618" w14:textId="77777777" w:rsidR="00E93F58" w:rsidRPr="00283424" w:rsidRDefault="00E93F58" w:rsidP="00B50726">
      <w:pPr>
        <w:pStyle w:val="paragraphsub"/>
      </w:pPr>
      <w:r w:rsidRPr="00283424">
        <w:tab/>
        <w:t>(ii)</w:t>
      </w:r>
      <w:r w:rsidRPr="00283424">
        <w:tab/>
        <w:t>on behalf of a client; or</w:t>
      </w:r>
    </w:p>
    <w:p w14:paraId="1165F4FD" w14:textId="77777777" w:rsidR="00E93F58" w:rsidRPr="00283424" w:rsidRDefault="00E93F58" w:rsidP="00B50726">
      <w:pPr>
        <w:pStyle w:val="paragraph"/>
      </w:pPr>
      <w:r w:rsidRPr="00283424">
        <w:tab/>
        <w:t>(b)</w:t>
      </w:r>
      <w:r w:rsidRPr="00283424">
        <w:tab/>
        <w:t>an associate of the financial services licensee is a participant in the market mentioned in that subregulation.</w:t>
      </w:r>
    </w:p>
    <w:p w14:paraId="0F743F37" w14:textId="77777777" w:rsidR="00E93F58" w:rsidRPr="00283424" w:rsidRDefault="00E93F58" w:rsidP="00B50726">
      <w:pPr>
        <w:pStyle w:val="ActHead5"/>
      </w:pPr>
      <w:bookmarkStart w:id="1368" w:name="_Toc152054662"/>
      <w:bookmarkStart w:id="1369" w:name="_Toc158712478"/>
      <w:r w:rsidRPr="006F296E">
        <w:rPr>
          <w:rStyle w:val="CharSectno"/>
        </w:rPr>
        <w:t>7.8.18</w:t>
      </w:r>
      <w:r w:rsidRPr="00283424">
        <w:rPr>
          <w:sz w:val="16"/>
        </w:rPr>
        <w:t xml:space="preserve">  </w:t>
      </w:r>
      <w:r w:rsidRPr="00283424">
        <w:t>Instructions to deal through licensed markets</w:t>
      </w:r>
      <w:bookmarkEnd w:id="1368"/>
      <w:bookmarkEnd w:id="1369"/>
    </w:p>
    <w:p w14:paraId="79A9E862" w14:textId="77777777" w:rsidR="00E93F58" w:rsidRPr="00283424" w:rsidRDefault="00E93F58" w:rsidP="00B50726">
      <w:pPr>
        <w:pStyle w:val="subsection"/>
      </w:pPr>
      <w:r w:rsidRPr="00283424">
        <w:rPr>
          <w:color w:val="000000"/>
        </w:rPr>
        <w:tab/>
        <w:t>(1)</w:t>
      </w:r>
      <w:r w:rsidRPr="00283424">
        <w:rPr>
          <w:color w:val="000000"/>
        </w:rPr>
        <w:tab/>
        <w:t>For section 991C of the Act, this regulation applies in relation to all instructions received by a financial services licensee to deal in financial products through licensed markets, except to the extent that the market integrity rules, or the operating rules of a licensed market in relation to which the financial services licensee is a participant, otherwise provide.</w:t>
      </w:r>
    </w:p>
    <w:p w14:paraId="0644FBC7" w14:textId="77777777" w:rsidR="00E93F58" w:rsidRPr="00283424" w:rsidRDefault="00E93F58" w:rsidP="00B50726">
      <w:pPr>
        <w:pStyle w:val="subsection"/>
      </w:pPr>
      <w:r w:rsidRPr="00283424">
        <w:rPr>
          <w:color w:val="000000"/>
        </w:rPr>
        <w:tab/>
        <w:t>(2)</w:t>
      </w:r>
      <w:r w:rsidRPr="00283424">
        <w:rPr>
          <w:color w:val="000000"/>
        </w:rPr>
        <w:tab/>
        <w:t>Subject to subregulation (3), the financial services licensee must transmit, in the sequence in which they are received, all instructions to deal in a class of financial products at or near the market price for financial products of that class prevailing immediately before execution of the instructions.</w:t>
      </w:r>
    </w:p>
    <w:p w14:paraId="1F7BC4A8" w14:textId="77777777" w:rsidR="00E93F58" w:rsidRPr="00283424" w:rsidRDefault="00E93F58" w:rsidP="00B50726">
      <w:pPr>
        <w:pStyle w:val="subsection"/>
      </w:pPr>
      <w:r w:rsidRPr="00283424">
        <w:tab/>
        <w:t>(3)</w:t>
      </w:r>
      <w:r w:rsidRPr="00283424">
        <w:tab/>
        <w:t>If:</w:t>
      </w:r>
    </w:p>
    <w:p w14:paraId="6A341FD2" w14:textId="77777777" w:rsidR="00E93F58" w:rsidRPr="00283424" w:rsidRDefault="00E93F58" w:rsidP="00B50726">
      <w:pPr>
        <w:pStyle w:val="paragraph"/>
        <w:rPr>
          <w:color w:val="000000"/>
        </w:rPr>
      </w:pPr>
      <w:r w:rsidRPr="00283424">
        <w:rPr>
          <w:color w:val="000000"/>
        </w:rPr>
        <w:tab/>
        <w:t>(a)</w:t>
      </w:r>
      <w:r w:rsidRPr="00283424">
        <w:rPr>
          <w:color w:val="000000"/>
        </w:rPr>
        <w:tab/>
        <w:t>a financial services licensee proposes to deal in a class of financial products on the financial services licensee’s own account; and</w:t>
      </w:r>
    </w:p>
    <w:p w14:paraId="6CB59D5E" w14:textId="77777777" w:rsidR="00E93F58" w:rsidRPr="00283424" w:rsidRDefault="00E93F58" w:rsidP="00B50726">
      <w:pPr>
        <w:pStyle w:val="paragraph"/>
      </w:pPr>
      <w:r w:rsidRPr="00283424">
        <w:tab/>
        <w:t>(b)</w:t>
      </w:r>
      <w:r w:rsidRPr="00283424">
        <w:tab/>
        <w:t>the person by whom or on whose instructions the instructions for the dealing are to be transmitted is aware of instructions of a client of the financial services licensee to deal in that class of financial products at or near the market price for a financial product of that class prevailing at that time (being instructions that have not been transmitted);</w:t>
      </w:r>
    </w:p>
    <w:p w14:paraId="0E631670" w14:textId="77777777" w:rsidR="00E93F58" w:rsidRPr="00283424" w:rsidRDefault="00E93F58" w:rsidP="00B50726">
      <w:pPr>
        <w:pStyle w:val="subsection2"/>
      </w:pPr>
      <w:r w:rsidRPr="00283424">
        <w:rPr>
          <w:color w:val="000000"/>
        </w:rPr>
        <w:t>that person must not transmit, and must not give instructions to any other person to transmit, the instructions to give effect to the proposal of the financial services licensee to deal in that class of financial products before the instructions of the client are transmitted.</w:t>
      </w:r>
    </w:p>
    <w:p w14:paraId="0A6080C3" w14:textId="77777777" w:rsidR="00E93F58" w:rsidRPr="00283424" w:rsidRDefault="00E93F58" w:rsidP="00B50726">
      <w:pPr>
        <w:pStyle w:val="subsection"/>
        <w:rPr>
          <w:color w:val="000000"/>
        </w:rPr>
      </w:pPr>
      <w:r w:rsidRPr="00283424">
        <w:rPr>
          <w:color w:val="000000"/>
        </w:rPr>
        <w:tab/>
        <w:t>(4)</w:t>
      </w:r>
      <w:r w:rsidRPr="00283424">
        <w:rPr>
          <w:color w:val="000000"/>
        </w:rPr>
        <w:tab/>
        <w:t>If:</w:t>
      </w:r>
    </w:p>
    <w:p w14:paraId="3338638D" w14:textId="77777777" w:rsidR="00E93F58" w:rsidRPr="00283424" w:rsidRDefault="00E93F58" w:rsidP="00B50726">
      <w:pPr>
        <w:pStyle w:val="paragraph"/>
        <w:rPr>
          <w:color w:val="000000"/>
        </w:rPr>
      </w:pPr>
      <w:r w:rsidRPr="00283424">
        <w:rPr>
          <w:color w:val="000000"/>
        </w:rPr>
        <w:tab/>
        <w:t>(a)</w:t>
      </w:r>
      <w:r w:rsidRPr="00283424">
        <w:rPr>
          <w:color w:val="000000"/>
        </w:rPr>
        <w:tab/>
        <w:t>during a particular period, a financial services licensee transmits instructions (whether or not those instructions consist of, or include, instructions giving effect to a proposal of the financial services licensee to deal in the class of financial products concerned on the financial services licensee’s own account) to deal in a class of financial products at or near the market price for a financial product of that class prevailing immediately before execution of the instructions; and</w:t>
      </w:r>
    </w:p>
    <w:p w14:paraId="154FE03B" w14:textId="77777777" w:rsidR="00E93F58" w:rsidRPr="00283424" w:rsidRDefault="00E93F58" w:rsidP="00B50726">
      <w:pPr>
        <w:pStyle w:val="paragraph"/>
      </w:pPr>
      <w:r w:rsidRPr="00283424">
        <w:tab/>
        <w:t>(b)</w:t>
      </w:r>
      <w:r w:rsidRPr="00283424">
        <w:tab/>
        <w:t>dealings in that class of financial products are effected pursuant to those instructions;</w:t>
      </w:r>
    </w:p>
    <w:p w14:paraId="345A0044" w14:textId="77777777" w:rsidR="00E93F58" w:rsidRPr="00283424" w:rsidRDefault="00E93F58" w:rsidP="00B50726">
      <w:pPr>
        <w:pStyle w:val="subsection2"/>
      </w:pPr>
      <w:r w:rsidRPr="00283424">
        <w:rPr>
          <w:color w:val="000000"/>
        </w:rPr>
        <w:t>the financial services licensee must allocate the dealings to those instructions:</w:t>
      </w:r>
    </w:p>
    <w:p w14:paraId="7BC8F975" w14:textId="77777777" w:rsidR="00E93F58" w:rsidRPr="00283424" w:rsidRDefault="00E93F58" w:rsidP="00B50726">
      <w:pPr>
        <w:pStyle w:val="paragraph"/>
        <w:rPr>
          <w:color w:val="000000"/>
        </w:rPr>
      </w:pPr>
      <w:r w:rsidRPr="00283424">
        <w:rPr>
          <w:color w:val="000000"/>
        </w:rPr>
        <w:tab/>
        <w:t>(c)</w:t>
      </w:r>
      <w:r w:rsidRPr="00283424">
        <w:rPr>
          <w:color w:val="000000"/>
        </w:rPr>
        <w:tab/>
        <w:t>in the sequence in which the dealings were effected; and</w:t>
      </w:r>
    </w:p>
    <w:p w14:paraId="6816E5A7" w14:textId="77777777" w:rsidR="00E93F58" w:rsidRPr="00283424" w:rsidRDefault="00E93F58" w:rsidP="00B50726">
      <w:pPr>
        <w:pStyle w:val="paragraph"/>
      </w:pPr>
      <w:r w:rsidRPr="00283424">
        <w:tab/>
        <w:t>(d)</w:t>
      </w:r>
      <w:r w:rsidRPr="00283424">
        <w:tab/>
        <w:t>in the sequence in which the financial services licensee transmitted the instructions.</w:t>
      </w:r>
    </w:p>
    <w:p w14:paraId="51752417" w14:textId="77777777" w:rsidR="00E93F58" w:rsidRPr="00283424" w:rsidRDefault="00E93F58" w:rsidP="00B50726">
      <w:pPr>
        <w:pStyle w:val="subsection"/>
        <w:rPr>
          <w:color w:val="000000"/>
        </w:rPr>
      </w:pPr>
      <w:r w:rsidRPr="00283424">
        <w:rPr>
          <w:color w:val="000000"/>
        </w:rPr>
        <w:tab/>
        <w:t>(5)</w:t>
      </w:r>
      <w:r w:rsidRPr="00283424">
        <w:rPr>
          <w:color w:val="000000"/>
        </w:rPr>
        <w:tab/>
        <w:t>A financial services licensee (</w:t>
      </w:r>
      <w:r w:rsidRPr="00283424">
        <w:rPr>
          <w:b/>
          <w:i/>
          <w:color w:val="000000"/>
        </w:rPr>
        <w:t>licensee 1</w:t>
      </w:r>
      <w:r w:rsidRPr="00283424">
        <w:rPr>
          <w:color w:val="000000"/>
        </w:rPr>
        <w:t>), or a director, partner, officer or employee of a financial services licensee, must not disclose to any other financial services licensee, or to a person engaged or employed in the business of licensee 1 or any other financial services licensee, instructions of a client to deal in a class of financial products, except:</w:t>
      </w:r>
    </w:p>
    <w:p w14:paraId="15F659D4" w14:textId="77777777" w:rsidR="00E93F58" w:rsidRPr="00283424" w:rsidRDefault="00E93F58" w:rsidP="00B50726">
      <w:pPr>
        <w:pStyle w:val="paragraph"/>
        <w:rPr>
          <w:color w:val="000000"/>
        </w:rPr>
      </w:pPr>
      <w:r w:rsidRPr="00283424">
        <w:rPr>
          <w:color w:val="000000"/>
        </w:rPr>
        <w:tab/>
        <w:t>(a)</w:t>
      </w:r>
      <w:r w:rsidRPr="00283424">
        <w:rPr>
          <w:color w:val="000000"/>
        </w:rPr>
        <w:tab/>
        <w:t>to the extent necessary to execute the instructions; or</w:t>
      </w:r>
    </w:p>
    <w:p w14:paraId="26E0DAD5" w14:textId="77777777" w:rsidR="00E93F58" w:rsidRPr="00283424" w:rsidRDefault="00E93F58" w:rsidP="00B50726">
      <w:pPr>
        <w:pStyle w:val="paragraph"/>
      </w:pPr>
      <w:r w:rsidRPr="00283424">
        <w:tab/>
        <w:t>(b)</w:t>
      </w:r>
      <w:r w:rsidRPr="00283424">
        <w:tab/>
        <w:t>as required by this Act or any other law.</w:t>
      </w:r>
    </w:p>
    <w:p w14:paraId="1B37D56E" w14:textId="77777777" w:rsidR="00E93F58" w:rsidRPr="00283424" w:rsidRDefault="00E93F58" w:rsidP="00B50726">
      <w:pPr>
        <w:pStyle w:val="subsection"/>
        <w:rPr>
          <w:color w:val="000000"/>
        </w:rPr>
      </w:pPr>
      <w:r w:rsidRPr="00283424">
        <w:rPr>
          <w:color w:val="000000"/>
        </w:rPr>
        <w:lastRenderedPageBreak/>
        <w:tab/>
        <w:t>(6)</w:t>
      </w:r>
      <w:r w:rsidRPr="00283424">
        <w:rPr>
          <w:color w:val="000000"/>
        </w:rPr>
        <w:tab/>
        <w:t>In this regulation, a reference to the transmission by a financial services licensee of instructions to deal in a class of financial products is a reference:</w:t>
      </w:r>
    </w:p>
    <w:p w14:paraId="48038B57" w14:textId="77777777" w:rsidR="00E93F58" w:rsidRPr="00283424" w:rsidRDefault="00E93F58" w:rsidP="00B50726">
      <w:pPr>
        <w:pStyle w:val="paragraph"/>
        <w:rPr>
          <w:color w:val="000000"/>
        </w:rPr>
      </w:pPr>
      <w:r w:rsidRPr="00283424">
        <w:rPr>
          <w:color w:val="000000"/>
        </w:rPr>
        <w:tab/>
        <w:t>(a)</w:t>
      </w:r>
      <w:r w:rsidRPr="00283424">
        <w:rPr>
          <w:color w:val="000000"/>
        </w:rPr>
        <w:tab/>
        <w:t>if the financial services licensee has direct access to the licensed market on which the instructions are to be executed—to the transmission of the instructions to that licensed market; or</w:t>
      </w:r>
    </w:p>
    <w:p w14:paraId="4B057327" w14:textId="77777777" w:rsidR="00E93F58" w:rsidRPr="00283424" w:rsidRDefault="00E93F58" w:rsidP="00B50726">
      <w:pPr>
        <w:pStyle w:val="paragraph"/>
      </w:pPr>
      <w:r w:rsidRPr="00283424">
        <w:tab/>
        <w:t>(b)</w:t>
      </w:r>
      <w:r w:rsidRPr="00283424">
        <w:tab/>
        <w:t>if the financial services licensee has access to the licensed market on which the instructions are to be executed only through another financial services licensee—to the transmission of the instructions to that other financial services licensee.</w:t>
      </w:r>
    </w:p>
    <w:p w14:paraId="2B1F843F" w14:textId="77777777" w:rsidR="00E93F58" w:rsidRPr="00283424" w:rsidRDefault="00E93F58" w:rsidP="00B50726">
      <w:pPr>
        <w:pStyle w:val="ActHead5"/>
      </w:pPr>
      <w:bookmarkStart w:id="1370" w:name="_Toc152054663"/>
      <w:bookmarkStart w:id="1371" w:name="_Toc158712479"/>
      <w:r w:rsidRPr="006F296E">
        <w:rPr>
          <w:rStyle w:val="CharSectno"/>
        </w:rPr>
        <w:t>7.8.19</w:t>
      </w:r>
      <w:r w:rsidRPr="00283424">
        <w:rPr>
          <w:sz w:val="16"/>
        </w:rPr>
        <w:t xml:space="preserve">  </w:t>
      </w:r>
      <w:r w:rsidRPr="00283424">
        <w:t>Records of instructions to deal on licensed markets and foreign markets</w:t>
      </w:r>
      <w:bookmarkEnd w:id="1370"/>
      <w:bookmarkEnd w:id="1371"/>
    </w:p>
    <w:p w14:paraId="73213FFF" w14:textId="77777777" w:rsidR="00E93F58" w:rsidRPr="00283424" w:rsidRDefault="00E93F58" w:rsidP="00B50726">
      <w:pPr>
        <w:pStyle w:val="subsection"/>
      </w:pPr>
      <w:r w:rsidRPr="00283424">
        <w:tab/>
        <w:t>(1)</w:t>
      </w:r>
      <w:r w:rsidRPr="00283424">
        <w:tab/>
        <w:t>For section 991D of the Act, this regulation applies in relation to:</w:t>
      </w:r>
    </w:p>
    <w:p w14:paraId="5DA1150B" w14:textId="77777777" w:rsidR="00E93F58" w:rsidRPr="00283424" w:rsidRDefault="00E93F58" w:rsidP="00B50726">
      <w:pPr>
        <w:pStyle w:val="paragraph"/>
      </w:pPr>
      <w:r w:rsidRPr="00283424">
        <w:rPr>
          <w:color w:val="000000"/>
        </w:rPr>
        <w:tab/>
        <w:t>(a)</w:t>
      </w:r>
      <w:r w:rsidRPr="00283424">
        <w:rPr>
          <w:color w:val="000000"/>
        </w:rPr>
        <w:tab/>
        <w:t>instructions received by a financial services licensee to deal in financial products, on behalf of a client, through licensed markets or through other financial markets (whether inside or outside Australia); and</w:t>
      </w:r>
    </w:p>
    <w:p w14:paraId="07B12722" w14:textId="77777777" w:rsidR="00E93F58" w:rsidRPr="00283424" w:rsidRDefault="00E93F58" w:rsidP="00B50726">
      <w:pPr>
        <w:pStyle w:val="paragraph"/>
      </w:pPr>
      <w:r w:rsidRPr="00283424">
        <w:tab/>
        <w:t>(b)</w:t>
      </w:r>
      <w:r w:rsidRPr="00283424">
        <w:tab/>
        <w:t>instructions received by a financial services licensee to deal in financial products, on the financial service licensee’s own account, through licensed markets or through other financial markets (whether inside or outside Australia).</w:t>
      </w:r>
    </w:p>
    <w:p w14:paraId="3236F88D" w14:textId="77777777" w:rsidR="00E93F58" w:rsidRPr="00283424" w:rsidRDefault="00E93F58" w:rsidP="00B50726">
      <w:pPr>
        <w:pStyle w:val="subsection"/>
      </w:pPr>
      <w:r w:rsidRPr="00283424">
        <w:tab/>
        <w:t>(2)</w:t>
      </w:r>
      <w:r w:rsidRPr="00283424">
        <w:tab/>
        <w:t>The financial services licensee must keep records setting out brief particulars of the following matters:</w:t>
      </w:r>
    </w:p>
    <w:p w14:paraId="01EA11B8" w14:textId="77777777" w:rsidR="00E93F58" w:rsidRPr="00283424" w:rsidRDefault="00E93F58" w:rsidP="00B50726">
      <w:pPr>
        <w:pStyle w:val="paragraph"/>
      </w:pPr>
      <w:r w:rsidRPr="00283424">
        <w:rPr>
          <w:color w:val="000000"/>
        </w:rPr>
        <w:tab/>
        <w:t>(a)</w:t>
      </w:r>
      <w:r w:rsidRPr="00283424">
        <w:rPr>
          <w:color w:val="000000"/>
        </w:rPr>
        <w:tab/>
        <w:t>the instructions;</w:t>
      </w:r>
    </w:p>
    <w:p w14:paraId="0BB660D1" w14:textId="77777777" w:rsidR="00E93F58" w:rsidRPr="00283424" w:rsidRDefault="00E93F58" w:rsidP="00B50726">
      <w:pPr>
        <w:pStyle w:val="paragraph"/>
      </w:pPr>
      <w:r w:rsidRPr="00283424">
        <w:tab/>
        <w:t>(b)</w:t>
      </w:r>
      <w:r w:rsidRPr="00283424">
        <w:tab/>
        <w:t>if the instructions were received on behalf of a client—the client;</w:t>
      </w:r>
    </w:p>
    <w:p w14:paraId="6EACE267" w14:textId="77777777" w:rsidR="00E93F58" w:rsidRPr="00283424" w:rsidRDefault="00E93F58" w:rsidP="00B50726">
      <w:pPr>
        <w:pStyle w:val="paragraph"/>
      </w:pPr>
      <w:r w:rsidRPr="00283424">
        <w:tab/>
        <w:t>(c)</w:t>
      </w:r>
      <w:r w:rsidRPr="00283424">
        <w:tab/>
        <w:t>the person who gave the instructions to the financial services licensee;</w:t>
      </w:r>
    </w:p>
    <w:p w14:paraId="79768E41" w14:textId="77777777" w:rsidR="00E93F58" w:rsidRPr="00283424" w:rsidRDefault="00E93F58" w:rsidP="00B50726">
      <w:pPr>
        <w:pStyle w:val="paragraph"/>
      </w:pPr>
      <w:r w:rsidRPr="00283424">
        <w:tab/>
        <w:t>(d)</w:t>
      </w:r>
      <w:r w:rsidRPr="00283424">
        <w:tab/>
        <w:t>the date and time of receipt of the instructions, and the person who received the instructions;</w:t>
      </w:r>
    </w:p>
    <w:p w14:paraId="543C467A" w14:textId="77777777" w:rsidR="00E93F58" w:rsidRPr="00283424" w:rsidRDefault="00E93F58" w:rsidP="00B50726">
      <w:pPr>
        <w:pStyle w:val="paragraph"/>
      </w:pPr>
      <w:r w:rsidRPr="00283424">
        <w:tab/>
        <w:t>(e)</w:t>
      </w:r>
      <w:r w:rsidRPr="00283424">
        <w:tab/>
        <w:t>the date and time of transmission of the instructions, and the person who transmitted the instructions;</w:t>
      </w:r>
    </w:p>
    <w:p w14:paraId="2768A1B2" w14:textId="77777777" w:rsidR="00E93F58" w:rsidRPr="00283424" w:rsidRDefault="00E93F58" w:rsidP="00B50726">
      <w:pPr>
        <w:pStyle w:val="paragraph"/>
      </w:pPr>
      <w:r w:rsidRPr="00283424">
        <w:tab/>
        <w:t>(f)</w:t>
      </w:r>
      <w:r w:rsidRPr="00283424">
        <w:tab/>
        <w:t>the date and time of execution of the instructions.</w:t>
      </w:r>
    </w:p>
    <w:p w14:paraId="740FE84D" w14:textId="77777777" w:rsidR="00E93F58" w:rsidRPr="00283424" w:rsidRDefault="00E93F58" w:rsidP="00B50726">
      <w:pPr>
        <w:pStyle w:val="subsection"/>
        <w:rPr>
          <w:color w:val="000000"/>
        </w:rPr>
      </w:pPr>
      <w:r w:rsidRPr="00283424">
        <w:rPr>
          <w:color w:val="000000"/>
        </w:rPr>
        <w:tab/>
        <w:t>(3)</w:t>
      </w:r>
      <w:r w:rsidRPr="00283424">
        <w:rPr>
          <w:color w:val="000000"/>
        </w:rPr>
        <w:tab/>
        <w:t>For subregulation (2), if:</w:t>
      </w:r>
    </w:p>
    <w:p w14:paraId="214FCC7C" w14:textId="77777777" w:rsidR="00E93F58" w:rsidRPr="00283424" w:rsidRDefault="00E93F58" w:rsidP="00B50726">
      <w:pPr>
        <w:pStyle w:val="paragraph"/>
        <w:rPr>
          <w:color w:val="000000"/>
        </w:rPr>
      </w:pPr>
      <w:r w:rsidRPr="00283424">
        <w:rPr>
          <w:color w:val="000000"/>
        </w:rPr>
        <w:tab/>
        <w:t>(a)</w:t>
      </w:r>
      <w:r w:rsidRPr="00283424">
        <w:rPr>
          <w:color w:val="000000"/>
        </w:rPr>
        <w:tab/>
        <w:t>a financial services licensee transmits for execution on a financial market outside Australia and the external Territories instructions to deal in financial products; and</w:t>
      </w:r>
    </w:p>
    <w:p w14:paraId="0D6463ED" w14:textId="77777777" w:rsidR="00E93F58" w:rsidRPr="00283424" w:rsidRDefault="00E93F58" w:rsidP="00B50726">
      <w:pPr>
        <w:pStyle w:val="paragraph"/>
      </w:pPr>
      <w:r w:rsidRPr="00283424">
        <w:tab/>
        <w:t>(b)</w:t>
      </w:r>
      <w:r w:rsidRPr="00283424">
        <w:tab/>
        <w:t>it is not reasonably practicable for the financial services licensee to set out the date and time of execution of those instructions in its records;</w:t>
      </w:r>
    </w:p>
    <w:p w14:paraId="5F5A3B62" w14:textId="77777777" w:rsidR="00E93F58" w:rsidRPr="00283424" w:rsidRDefault="00E93F58" w:rsidP="00B50726">
      <w:pPr>
        <w:pStyle w:val="subsection2"/>
        <w:rPr>
          <w:color w:val="000000"/>
        </w:rPr>
      </w:pPr>
      <w:r w:rsidRPr="00283424">
        <w:rPr>
          <w:color w:val="000000"/>
        </w:rPr>
        <w:t>the financial services licensee must set out the date and time as precisely as is reasonably practicable.</w:t>
      </w:r>
    </w:p>
    <w:p w14:paraId="23A518F6" w14:textId="77777777" w:rsidR="00E93F58" w:rsidRPr="00283424" w:rsidRDefault="00E93F58" w:rsidP="00B50726">
      <w:pPr>
        <w:pStyle w:val="subsection"/>
      </w:pPr>
      <w:r w:rsidRPr="00283424">
        <w:rPr>
          <w:color w:val="000000"/>
        </w:rPr>
        <w:tab/>
        <w:t>(4)</w:t>
      </w:r>
      <w:r w:rsidRPr="00283424">
        <w:rPr>
          <w:color w:val="000000"/>
        </w:rPr>
        <w:tab/>
        <w:t>The financial services licensee must keep records relating to instructions given by a client to deal in financial products in a manner that makes the records identifiable separately from records relating to instructions to deal in financial products on the financial services licensee’s own account.</w:t>
      </w:r>
    </w:p>
    <w:p w14:paraId="0FBB6099" w14:textId="77777777" w:rsidR="00E93F58" w:rsidRPr="00283424" w:rsidRDefault="00E93F58" w:rsidP="00B50726">
      <w:pPr>
        <w:pStyle w:val="subsection"/>
      </w:pPr>
      <w:r w:rsidRPr="00283424">
        <w:tab/>
        <w:t>(5)</w:t>
      </w:r>
      <w:r w:rsidRPr="00283424">
        <w:tab/>
        <w:t>The financial services licensee must keep the records mentioned in subregulation (2) for at least 5 years after the particulars are created.</w:t>
      </w:r>
    </w:p>
    <w:p w14:paraId="22758F25" w14:textId="77777777" w:rsidR="00E93F58" w:rsidRPr="00283424" w:rsidRDefault="00E93F58" w:rsidP="00B50726">
      <w:pPr>
        <w:pStyle w:val="ActHead5"/>
      </w:pPr>
      <w:bookmarkStart w:id="1372" w:name="_Toc152054664"/>
      <w:bookmarkStart w:id="1373" w:name="_Toc158712480"/>
      <w:r w:rsidRPr="006F296E">
        <w:rPr>
          <w:rStyle w:val="CharSectno"/>
        </w:rPr>
        <w:t>7.8.20</w:t>
      </w:r>
      <w:r w:rsidRPr="00283424">
        <w:rPr>
          <w:sz w:val="16"/>
        </w:rPr>
        <w:t xml:space="preserve">  </w:t>
      </w:r>
      <w:r w:rsidRPr="00283424">
        <w:t>Dealings with non</w:t>
      </w:r>
      <w:r>
        <w:noBreakHyphen/>
      </w:r>
      <w:r w:rsidRPr="00283424">
        <w:t>licensees</w:t>
      </w:r>
      <w:bookmarkEnd w:id="1372"/>
      <w:bookmarkEnd w:id="1373"/>
    </w:p>
    <w:p w14:paraId="130155D0" w14:textId="77777777" w:rsidR="00E93F58" w:rsidRPr="00BE1284" w:rsidRDefault="00E93F58" w:rsidP="0076299A">
      <w:pPr>
        <w:pStyle w:val="subsection"/>
      </w:pPr>
      <w:r w:rsidRPr="00BE1284">
        <w:tab/>
        <w:t>(1)</w:t>
      </w:r>
      <w:r w:rsidRPr="00BE1284">
        <w:tab/>
        <w:t xml:space="preserve">For the purposes of </w:t>
      </w:r>
      <w:r>
        <w:t>subsection 9</w:t>
      </w:r>
      <w:r w:rsidRPr="00BE1284">
        <w:t xml:space="preserve">91E(1) of the Act, </w:t>
      </w:r>
      <w:r>
        <w:t>section 9</w:t>
      </w:r>
      <w:r w:rsidRPr="00BE1284">
        <w:t>91E of the Act does not apply in relation to the sale or purchase of the following financial products by the body corporate by which the financial products were made available:</w:t>
      </w:r>
    </w:p>
    <w:p w14:paraId="3545B819" w14:textId="77777777" w:rsidR="00E93F58" w:rsidRPr="00BE1284" w:rsidRDefault="00E93F58" w:rsidP="0076299A">
      <w:pPr>
        <w:pStyle w:val="paragraph"/>
      </w:pPr>
      <w:r w:rsidRPr="00BE1284">
        <w:tab/>
        <w:t>(a)</w:t>
      </w:r>
      <w:r w:rsidRPr="00BE1284">
        <w:tab/>
        <w:t>a security made available in accordance with Chapters 5C and 6D of the Act;</w:t>
      </w:r>
    </w:p>
    <w:p w14:paraId="4EB45F03" w14:textId="77777777" w:rsidR="00E93F58" w:rsidRPr="00BE1284" w:rsidRDefault="00E93F58" w:rsidP="0076299A">
      <w:pPr>
        <w:pStyle w:val="paragraph"/>
      </w:pPr>
      <w:r w:rsidRPr="00BE1284">
        <w:tab/>
        <w:t>(b)</w:t>
      </w:r>
      <w:r w:rsidRPr="00BE1284">
        <w:tab/>
        <w:t>a managed investment product made available in accordance with Chapters 5C, 7 and 8A of the Act;</w:t>
      </w:r>
    </w:p>
    <w:p w14:paraId="78ADDE50" w14:textId="77777777" w:rsidR="00E93F58" w:rsidRPr="00BE1284" w:rsidRDefault="00E93F58" w:rsidP="0076299A">
      <w:pPr>
        <w:pStyle w:val="paragraph"/>
      </w:pPr>
      <w:r w:rsidRPr="00BE1284">
        <w:tab/>
        <w:t>(c)</w:t>
      </w:r>
      <w:r w:rsidRPr="00BE1284">
        <w:tab/>
        <w:t>a foreign passport fund product made available in accordance with Chapters 7 and 8A of the Act.</w:t>
      </w:r>
    </w:p>
    <w:p w14:paraId="4136964D" w14:textId="77777777" w:rsidR="00E93F58" w:rsidRPr="00283424" w:rsidRDefault="00E93F58" w:rsidP="00B50726">
      <w:pPr>
        <w:pStyle w:val="subsection"/>
      </w:pPr>
      <w:r w:rsidRPr="00283424">
        <w:tab/>
        <w:t>(1A)</w:t>
      </w:r>
      <w:r w:rsidRPr="00283424">
        <w:tab/>
        <w:t>Subject to subregulation (1B), for subsection 991E(1) of the Act, the subsection does not apply to a transaction if, at the time of the transaction, the financial services licensee is not a participant in the licensed market on which the particular financial product is being traded.</w:t>
      </w:r>
    </w:p>
    <w:p w14:paraId="6630EFE5" w14:textId="77777777" w:rsidR="00E93F58" w:rsidRPr="00283424" w:rsidRDefault="00E93F58" w:rsidP="00B50726">
      <w:pPr>
        <w:pStyle w:val="subsection"/>
      </w:pPr>
      <w:r w:rsidRPr="00283424">
        <w:tab/>
        <w:t>(1B)</w:t>
      </w:r>
      <w:r w:rsidRPr="00283424">
        <w:tab/>
        <w:t>Subregulation (1A) does not apply if:</w:t>
      </w:r>
    </w:p>
    <w:p w14:paraId="7E7021EB" w14:textId="77777777" w:rsidR="00E93F58" w:rsidRPr="00283424" w:rsidRDefault="00E93F58" w:rsidP="00B50726">
      <w:pPr>
        <w:pStyle w:val="paragraph"/>
      </w:pPr>
      <w:r w:rsidRPr="00283424">
        <w:tab/>
        <w:t>(a)</w:t>
      </w:r>
      <w:r w:rsidRPr="00283424">
        <w:tab/>
        <w:t>the financial services licensee deals, or has dealt, in a financial product traded on that market:</w:t>
      </w:r>
    </w:p>
    <w:p w14:paraId="2ED22CA2" w14:textId="77777777" w:rsidR="00E93F58" w:rsidRPr="00283424" w:rsidRDefault="00E93F58" w:rsidP="00B50726">
      <w:pPr>
        <w:pStyle w:val="paragraphsub"/>
      </w:pPr>
      <w:r w:rsidRPr="00283424">
        <w:tab/>
        <w:t>(i)</w:t>
      </w:r>
      <w:r w:rsidRPr="00283424">
        <w:tab/>
        <w:t>on the licensee’s own behalf (whether directly or through an agent or other representative); or</w:t>
      </w:r>
    </w:p>
    <w:p w14:paraId="50070ADB" w14:textId="77777777" w:rsidR="00E93F58" w:rsidRPr="00283424" w:rsidRDefault="00E93F58" w:rsidP="00B50726">
      <w:pPr>
        <w:pStyle w:val="paragraphsub"/>
      </w:pPr>
      <w:r w:rsidRPr="00283424">
        <w:tab/>
        <w:t>(ii)</w:t>
      </w:r>
      <w:r w:rsidRPr="00283424">
        <w:tab/>
        <w:t>on behalf of a client; or</w:t>
      </w:r>
    </w:p>
    <w:p w14:paraId="393862C1" w14:textId="77777777" w:rsidR="00E93F58" w:rsidRPr="00283424" w:rsidRDefault="00E93F58" w:rsidP="00B50726">
      <w:pPr>
        <w:pStyle w:val="paragraph"/>
      </w:pPr>
      <w:r w:rsidRPr="00283424">
        <w:tab/>
        <w:t>(b)</w:t>
      </w:r>
      <w:r w:rsidRPr="00283424">
        <w:tab/>
        <w:t>an associate of the financial services licensee is a participant in the market mentioned in that subregulation.</w:t>
      </w:r>
    </w:p>
    <w:p w14:paraId="43314EDE" w14:textId="77777777" w:rsidR="00E93F58" w:rsidRPr="00283424" w:rsidRDefault="00E93F58" w:rsidP="00B50726">
      <w:pPr>
        <w:pStyle w:val="subsection"/>
      </w:pPr>
      <w:r w:rsidRPr="00283424">
        <w:rPr>
          <w:snapToGrid w:val="0"/>
        </w:rPr>
        <w:tab/>
        <w:t>(2)</w:t>
      </w:r>
      <w:r w:rsidRPr="00283424">
        <w:rPr>
          <w:snapToGrid w:val="0"/>
        </w:rPr>
        <w:tab/>
      </w:r>
      <w:r w:rsidRPr="00283424">
        <w:t>For subsection 991E(2) of the Act:</w:t>
      </w:r>
    </w:p>
    <w:p w14:paraId="55AB82CC" w14:textId="77777777" w:rsidR="00E93F58" w:rsidRPr="00283424" w:rsidRDefault="00E93F58" w:rsidP="00B50726">
      <w:pPr>
        <w:pStyle w:val="paragraph"/>
      </w:pPr>
      <w:r w:rsidRPr="00283424">
        <w:lastRenderedPageBreak/>
        <w:tab/>
        <w:t>(a)</w:t>
      </w:r>
      <w:r w:rsidRPr="00283424">
        <w:tab/>
        <w:t>a disclosure referred to in paragraph 991E(1)(c) of the Act must be given by the financial services licensee to the non</w:t>
      </w:r>
      <w:r>
        <w:noBreakHyphen/>
      </w:r>
      <w:r w:rsidRPr="00283424">
        <w:t>licensee:</w:t>
      </w:r>
    </w:p>
    <w:p w14:paraId="2FC5B862" w14:textId="77777777" w:rsidR="00E93F58" w:rsidRPr="00283424" w:rsidRDefault="00E93F58" w:rsidP="00B50726">
      <w:pPr>
        <w:pStyle w:val="paragraphsub"/>
      </w:pPr>
      <w:r w:rsidRPr="00283424">
        <w:rPr>
          <w:color w:val="000000"/>
        </w:rPr>
        <w:tab/>
        <w:t>(i)</w:t>
      </w:r>
      <w:r w:rsidRPr="00283424">
        <w:rPr>
          <w:color w:val="000000"/>
        </w:rPr>
        <w:tab/>
        <w:t>in writing; and</w:t>
      </w:r>
    </w:p>
    <w:p w14:paraId="4F3F4D22" w14:textId="77777777" w:rsidR="00E93F58" w:rsidRPr="00283424" w:rsidRDefault="00E93F58" w:rsidP="00B50726">
      <w:pPr>
        <w:pStyle w:val="paragraphsub"/>
      </w:pPr>
      <w:r w:rsidRPr="00283424">
        <w:tab/>
        <w:t>(ii)</w:t>
      </w:r>
      <w:r w:rsidRPr="00283424">
        <w:tab/>
        <w:t>if the transaction is an on</w:t>
      </w:r>
      <w:r>
        <w:noBreakHyphen/>
      </w:r>
      <w:r w:rsidRPr="00283424">
        <w:t>market transaction—in relation to the particular transaction, a class of on</w:t>
      </w:r>
      <w:r>
        <w:noBreakHyphen/>
      </w:r>
      <w:r w:rsidRPr="00283424">
        <w:t>market transactions which includes the transaction, or all on</w:t>
      </w:r>
      <w:r>
        <w:noBreakHyphen/>
      </w:r>
      <w:r w:rsidRPr="00283424">
        <w:t>market transactions; and</w:t>
      </w:r>
    </w:p>
    <w:p w14:paraId="4A7F00C5" w14:textId="77777777" w:rsidR="00E93F58" w:rsidRPr="00283424" w:rsidRDefault="00E93F58" w:rsidP="00B50726">
      <w:pPr>
        <w:pStyle w:val="paragraph"/>
      </w:pPr>
      <w:r w:rsidRPr="00283424">
        <w:tab/>
        <w:t>(b)</w:t>
      </w:r>
      <w:r w:rsidRPr="00283424">
        <w:tab/>
        <w:t>a consent referred to in paragraph 991E(1)(d) of the Act:</w:t>
      </w:r>
    </w:p>
    <w:p w14:paraId="054D633B" w14:textId="77777777" w:rsidR="00E93F58" w:rsidRPr="00283424" w:rsidRDefault="00E93F58" w:rsidP="00B50726">
      <w:pPr>
        <w:pStyle w:val="paragraphsub"/>
      </w:pPr>
      <w:r w:rsidRPr="00283424">
        <w:rPr>
          <w:color w:val="000000"/>
        </w:rPr>
        <w:tab/>
        <w:t>(i)</w:t>
      </w:r>
      <w:r w:rsidRPr="00283424">
        <w:rPr>
          <w:color w:val="000000"/>
        </w:rPr>
        <w:tab/>
        <w:t>may be given orally, or in writing, by the non</w:t>
      </w:r>
      <w:r>
        <w:rPr>
          <w:color w:val="000000"/>
        </w:rPr>
        <w:noBreakHyphen/>
      </w:r>
      <w:r w:rsidRPr="00283424">
        <w:rPr>
          <w:color w:val="000000"/>
        </w:rPr>
        <w:t>licensee; and</w:t>
      </w:r>
    </w:p>
    <w:p w14:paraId="04E483DD" w14:textId="77777777" w:rsidR="00E93F58" w:rsidRPr="00283424" w:rsidRDefault="00E93F58" w:rsidP="00B50726">
      <w:pPr>
        <w:pStyle w:val="paragraphsub"/>
      </w:pPr>
      <w:r w:rsidRPr="00283424">
        <w:tab/>
        <w:t>(ii)</w:t>
      </w:r>
      <w:r w:rsidRPr="00283424">
        <w:tab/>
        <w:t>is effective until it is revoked, either orally or in writing, by the non</w:t>
      </w:r>
      <w:r>
        <w:noBreakHyphen/>
      </w:r>
      <w:r w:rsidRPr="00283424">
        <w:t>licensee; and</w:t>
      </w:r>
    </w:p>
    <w:p w14:paraId="4DA355F4" w14:textId="77777777" w:rsidR="00E93F58" w:rsidRPr="00283424" w:rsidRDefault="00E93F58" w:rsidP="00B50726">
      <w:pPr>
        <w:pStyle w:val="paragraph"/>
      </w:pPr>
      <w:r w:rsidRPr="00283424">
        <w:tab/>
        <w:t>(c)</w:t>
      </w:r>
      <w:r w:rsidRPr="00283424">
        <w:tab/>
        <w:t>if the non</w:t>
      </w:r>
      <w:r>
        <w:noBreakHyphen/>
      </w:r>
      <w:r w:rsidRPr="00283424">
        <w:t>licensee gives an oral consent to the financial services licensee, or revokes a consent orally, the financial services licensee must:</w:t>
      </w:r>
    </w:p>
    <w:p w14:paraId="0E2552FA" w14:textId="77777777" w:rsidR="00E93F58" w:rsidRPr="00283424" w:rsidRDefault="00E93F58" w:rsidP="00B50726">
      <w:pPr>
        <w:pStyle w:val="paragraphsub"/>
      </w:pPr>
      <w:r w:rsidRPr="00283424">
        <w:rPr>
          <w:color w:val="000000"/>
        </w:rPr>
        <w:tab/>
        <w:t>(i)</w:t>
      </w:r>
      <w:r w:rsidRPr="00283424">
        <w:rPr>
          <w:color w:val="000000"/>
        </w:rPr>
        <w:tab/>
        <w:t>make a written record of the consent or revocation; and</w:t>
      </w:r>
    </w:p>
    <w:p w14:paraId="48ECF26C" w14:textId="77777777" w:rsidR="00E93F58" w:rsidRPr="00283424" w:rsidRDefault="00E93F58" w:rsidP="00B50726">
      <w:pPr>
        <w:pStyle w:val="paragraphsub"/>
      </w:pPr>
      <w:r w:rsidRPr="00283424">
        <w:tab/>
        <w:t>(ii)</w:t>
      </w:r>
      <w:r w:rsidRPr="00283424">
        <w:tab/>
        <w:t>provide a copy of the written record to the non</w:t>
      </w:r>
      <w:r>
        <w:noBreakHyphen/>
      </w:r>
      <w:r w:rsidRPr="00283424">
        <w:t>licensee within 10 business days after the day on which the consent is given or revoked.</w:t>
      </w:r>
    </w:p>
    <w:p w14:paraId="451CFC84" w14:textId="77777777" w:rsidR="00E93F58" w:rsidRPr="00283424" w:rsidRDefault="00E93F58" w:rsidP="00B50726">
      <w:pPr>
        <w:pStyle w:val="subsection"/>
        <w:rPr>
          <w:snapToGrid w:val="0"/>
        </w:rPr>
      </w:pPr>
      <w:r w:rsidRPr="00283424">
        <w:rPr>
          <w:snapToGrid w:val="0"/>
        </w:rPr>
        <w:tab/>
        <w:t>(3)</w:t>
      </w:r>
      <w:r w:rsidRPr="00283424">
        <w:rPr>
          <w:snapToGrid w:val="0"/>
        </w:rPr>
        <w:tab/>
        <w:t>For subsection 991E(3) of the Act, a brokerage, commission or other fee is permitted in respect of a transaction between a financial services licensee and a non</w:t>
      </w:r>
      <w:r>
        <w:rPr>
          <w:snapToGrid w:val="0"/>
        </w:rPr>
        <w:noBreakHyphen/>
      </w:r>
      <w:r w:rsidRPr="00283424">
        <w:rPr>
          <w:snapToGrid w:val="0"/>
        </w:rPr>
        <w:t>licensee only if:</w:t>
      </w:r>
    </w:p>
    <w:p w14:paraId="04102148" w14:textId="77777777" w:rsidR="00E93F58" w:rsidRPr="00283424" w:rsidRDefault="00E93F58" w:rsidP="00B50726">
      <w:pPr>
        <w:pStyle w:val="paragraph"/>
        <w:rPr>
          <w:snapToGrid w:val="0"/>
        </w:rPr>
      </w:pPr>
      <w:r w:rsidRPr="00283424">
        <w:rPr>
          <w:snapToGrid w:val="0"/>
          <w:color w:val="000000"/>
        </w:rPr>
        <w:tab/>
        <w:t>(a)</w:t>
      </w:r>
      <w:r w:rsidRPr="00283424">
        <w:rPr>
          <w:snapToGrid w:val="0"/>
          <w:color w:val="000000"/>
        </w:rPr>
        <w:tab/>
        <w:t>the financial services licensee is a participant in a licensed market; and</w:t>
      </w:r>
    </w:p>
    <w:p w14:paraId="79D98C03" w14:textId="77777777" w:rsidR="00E93F58" w:rsidRPr="00283424" w:rsidRDefault="00E93F58" w:rsidP="00B50726">
      <w:pPr>
        <w:pStyle w:val="paragraph"/>
        <w:rPr>
          <w:color w:val="000000"/>
        </w:rPr>
      </w:pPr>
      <w:r w:rsidRPr="00283424">
        <w:rPr>
          <w:color w:val="000000"/>
        </w:rPr>
        <w:tab/>
        <w:t>(b)</w:t>
      </w:r>
      <w:r w:rsidRPr="00283424">
        <w:rPr>
          <w:color w:val="000000"/>
        </w:rPr>
        <w:tab/>
        <w:t>the financial services licensee has complied with all of the financial services licensee’s obligations in relation to the transaction under the market integrity rules and the operating rules of the relevant licensed market; and</w:t>
      </w:r>
    </w:p>
    <w:p w14:paraId="29DD4C86" w14:textId="77777777" w:rsidR="00E93F58" w:rsidRPr="00283424" w:rsidRDefault="00E93F58" w:rsidP="00B50726">
      <w:pPr>
        <w:pStyle w:val="paragraph"/>
        <w:rPr>
          <w:snapToGrid w:val="0"/>
        </w:rPr>
      </w:pPr>
      <w:r w:rsidRPr="00283424">
        <w:rPr>
          <w:snapToGrid w:val="0"/>
        </w:rPr>
        <w:tab/>
        <w:t>(c)</w:t>
      </w:r>
      <w:r w:rsidRPr="00283424">
        <w:rPr>
          <w:snapToGrid w:val="0"/>
        </w:rPr>
        <w:tab/>
        <w:t xml:space="preserve">the </w:t>
      </w:r>
      <w:r w:rsidRPr="00283424">
        <w:rPr>
          <w:color w:val="000000"/>
        </w:rPr>
        <w:t xml:space="preserve">market integrity rules or the </w:t>
      </w:r>
      <w:r w:rsidRPr="00283424">
        <w:rPr>
          <w:snapToGrid w:val="0"/>
        </w:rPr>
        <w:t>operating rules permit a brokerage, commission or fee to be charged to non</w:t>
      </w:r>
      <w:r>
        <w:rPr>
          <w:snapToGrid w:val="0"/>
        </w:rPr>
        <w:noBreakHyphen/>
      </w:r>
      <w:r w:rsidRPr="00283424">
        <w:rPr>
          <w:snapToGrid w:val="0"/>
        </w:rPr>
        <w:t>licensees of the same kind as the non</w:t>
      </w:r>
      <w:r>
        <w:rPr>
          <w:snapToGrid w:val="0"/>
        </w:rPr>
        <w:noBreakHyphen/>
      </w:r>
      <w:r w:rsidRPr="00283424">
        <w:rPr>
          <w:snapToGrid w:val="0"/>
        </w:rPr>
        <w:t>licensee; and</w:t>
      </w:r>
    </w:p>
    <w:p w14:paraId="29CD66DB" w14:textId="77777777" w:rsidR="00E93F58" w:rsidRPr="00283424" w:rsidRDefault="00E93F58" w:rsidP="00B50726">
      <w:pPr>
        <w:pStyle w:val="paragraph"/>
        <w:rPr>
          <w:snapToGrid w:val="0"/>
        </w:rPr>
      </w:pPr>
      <w:r w:rsidRPr="00283424">
        <w:rPr>
          <w:snapToGrid w:val="0"/>
        </w:rPr>
        <w:tab/>
        <w:t>(d)</w:t>
      </w:r>
      <w:r w:rsidRPr="00283424">
        <w:rPr>
          <w:snapToGrid w:val="0"/>
        </w:rPr>
        <w:tab/>
        <w:t>the non</w:t>
      </w:r>
      <w:r>
        <w:rPr>
          <w:snapToGrid w:val="0"/>
        </w:rPr>
        <w:noBreakHyphen/>
      </w:r>
      <w:r w:rsidRPr="00283424">
        <w:rPr>
          <w:snapToGrid w:val="0"/>
        </w:rPr>
        <w:t>licensee has authorised the financial services licensee to charge the non</w:t>
      </w:r>
      <w:r>
        <w:rPr>
          <w:snapToGrid w:val="0"/>
        </w:rPr>
        <w:noBreakHyphen/>
      </w:r>
      <w:r w:rsidRPr="00283424">
        <w:rPr>
          <w:snapToGrid w:val="0"/>
        </w:rPr>
        <w:t>licensee in respect of the transaction; and</w:t>
      </w:r>
    </w:p>
    <w:p w14:paraId="47EF9F8C" w14:textId="77777777" w:rsidR="00E93F58" w:rsidRPr="00283424" w:rsidRDefault="00E93F58" w:rsidP="00B50726">
      <w:pPr>
        <w:pStyle w:val="paragraph"/>
        <w:rPr>
          <w:snapToGrid w:val="0"/>
        </w:rPr>
      </w:pPr>
      <w:r w:rsidRPr="00283424">
        <w:rPr>
          <w:snapToGrid w:val="0"/>
        </w:rPr>
        <w:tab/>
        <w:t>(e)</w:t>
      </w:r>
      <w:r w:rsidRPr="00283424">
        <w:rPr>
          <w:snapToGrid w:val="0"/>
        </w:rPr>
        <w:tab/>
        <w:t>the financial services licensee discloses to the non</w:t>
      </w:r>
      <w:r>
        <w:rPr>
          <w:snapToGrid w:val="0"/>
        </w:rPr>
        <w:noBreakHyphen/>
      </w:r>
      <w:r w:rsidRPr="00283424">
        <w:rPr>
          <w:snapToGrid w:val="0"/>
        </w:rPr>
        <w:t>licensee the amount of the brokerage, commission or fee, or the basis on which it will be calculated, before the non</w:t>
      </w:r>
      <w:r>
        <w:rPr>
          <w:snapToGrid w:val="0"/>
        </w:rPr>
        <w:noBreakHyphen/>
      </w:r>
      <w:r w:rsidRPr="00283424">
        <w:rPr>
          <w:snapToGrid w:val="0"/>
        </w:rPr>
        <w:t>licensee gives the authorisation mentioned in paragraph (d); and</w:t>
      </w:r>
    </w:p>
    <w:p w14:paraId="4EC89C58" w14:textId="77777777" w:rsidR="00E93F58" w:rsidRPr="00283424" w:rsidRDefault="00E93F58" w:rsidP="00B50726">
      <w:pPr>
        <w:pStyle w:val="paragraph"/>
        <w:rPr>
          <w:snapToGrid w:val="0"/>
        </w:rPr>
      </w:pPr>
      <w:r w:rsidRPr="00283424">
        <w:rPr>
          <w:snapToGrid w:val="0"/>
        </w:rPr>
        <w:tab/>
        <w:t>(f)</w:t>
      </w:r>
      <w:r w:rsidRPr="00283424">
        <w:rPr>
          <w:snapToGrid w:val="0"/>
        </w:rPr>
        <w:tab/>
        <w:t>the amount of the brokerage, commission or fee is reasonable having regard to the amount that would have been charged by the financial services licensee to the non</w:t>
      </w:r>
      <w:r>
        <w:rPr>
          <w:snapToGrid w:val="0"/>
        </w:rPr>
        <w:noBreakHyphen/>
      </w:r>
      <w:r w:rsidRPr="00283424">
        <w:rPr>
          <w:snapToGrid w:val="0"/>
        </w:rPr>
        <w:t>licensee if the financial services licensee had entered the transaction with the non</w:t>
      </w:r>
      <w:r>
        <w:rPr>
          <w:snapToGrid w:val="0"/>
        </w:rPr>
        <w:noBreakHyphen/>
      </w:r>
      <w:r w:rsidRPr="00283424">
        <w:rPr>
          <w:snapToGrid w:val="0"/>
        </w:rPr>
        <w:t>licensee as agent and not on its own behalf.</w:t>
      </w:r>
    </w:p>
    <w:p w14:paraId="0122B7AF" w14:textId="77777777" w:rsidR="00E93F58" w:rsidRPr="00283424" w:rsidRDefault="00E93F58" w:rsidP="00B50726">
      <w:pPr>
        <w:pStyle w:val="subsection"/>
      </w:pPr>
      <w:r w:rsidRPr="00283424">
        <w:tab/>
        <w:t>(4)</w:t>
      </w:r>
      <w:r w:rsidRPr="00283424">
        <w:tab/>
        <w:t>For subregulation (3):</w:t>
      </w:r>
    </w:p>
    <w:p w14:paraId="2BED74A4" w14:textId="77777777" w:rsidR="00E93F58" w:rsidRPr="00283424" w:rsidRDefault="00E93F58" w:rsidP="00B50726">
      <w:pPr>
        <w:pStyle w:val="paragraph"/>
        <w:rPr>
          <w:color w:val="000000"/>
        </w:rPr>
      </w:pPr>
      <w:r w:rsidRPr="00283424">
        <w:rPr>
          <w:color w:val="000000"/>
        </w:rPr>
        <w:tab/>
        <w:t>(a)</w:t>
      </w:r>
      <w:r w:rsidRPr="00283424">
        <w:rPr>
          <w:color w:val="000000"/>
        </w:rPr>
        <w:tab/>
        <w:t>an authorisation given to the financial services licensee by the non</w:t>
      </w:r>
      <w:r>
        <w:rPr>
          <w:color w:val="000000"/>
        </w:rPr>
        <w:noBreakHyphen/>
      </w:r>
      <w:r w:rsidRPr="00283424">
        <w:rPr>
          <w:color w:val="000000"/>
        </w:rPr>
        <w:t>licensee:</w:t>
      </w:r>
    </w:p>
    <w:p w14:paraId="4FA076AB" w14:textId="77777777" w:rsidR="00E93F58" w:rsidRPr="00283424" w:rsidRDefault="00E93F58" w:rsidP="00B50726">
      <w:pPr>
        <w:pStyle w:val="paragraphsub"/>
        <w:rPr>
          <w:color w:val="000000"/>
        </w:rPr>
      </w:pPr>
      <w:r w:rsidRPr="00283424">
        <w:rPr>
          <w:color w:val="000000"/>
        </w:rPr>
        <w:tab/>
        <w:t>(i)</w:t>
      </w:r>
      <w:r w:rsidRPr="00283424">
        <w:rPr>
          <w:color w:val="000000"/>
        </w:rPr>
        <w:tab/>
        <w:t>may be given orally, or in writing, by the non</w:t>
      </w:r>
      <w:r>
        <w:rPr>
          <w:color w:val="000000"/>
        </w:rPr>
        <w:noBreakHyphen/>
      </w:r>
      <w:r w:rsidRPr="00283424">
        <w:rPr>
          <w:color w:val="000000"/>
        </w:rPr>
        <w:t>licensee; and</w:t>
      </w:r>
    </w:p>
    <w:p w14:paraId="59F56136" w14:textId="77777777" w:rsidR="00E93F58" w:rsidRPr="00283424" w:rsidRDefault="00E93F58" w:rsidP="00B50726">
      <w:pPr>
        <w:pStyle w:val="paragraphsub"/>
      </w:pPr>
      <w:r w:rsidRPr="00283424">
        <w:tab/>
        <w:t>(ii)</w:t>
      </w:r>
      <w:r w:rsidRPr="00283424">
        <w:tab/>
        <w:t>is effective until it is revoked, either orally or in writing, by the non</w:t>
      </w:r>
      <w:r>
        <w:noBreakHyphen/>
      </w:r>
      <w:r w:rsidRPr="00283424">
        <w:t>licensee; and</w:t>
      </w:r>
    </w:p>
    <w:p w14:paraId="359F4A1B" w14:textId="77777777" w:rsidR="00E93F58" w:rsidRPr="00283424" w:rsidRDefault="00E93F58" w:rsidP="00B50726">
      <w:pPr>
        <w:pStyle w:val="paragraph"/>
        <w:rPr>
          <w:color w:val="000000"/>
        </w:rPr>
      </w:pPr>
      <w:r w:rsidRPr="00283424">
        <w:rPr>
          <w:color w:val="000000"/>
        </w:rPr>
        <w:tab/>
        <w:t>(b)</w:t>
      </w:r>
      <w:r w:rsidRPr="00283424">
        <w:rPr>
          <w:color w:val="000000"/>
        </w:rPr>
        <w:tab/>
        <w:t>if the non</w:t>
      </w:r>
      <w:r>
        <w:rPr>
          <w:color w:val="000000"/>
        </w:rPr>
        <w:noBreakHyphen/>
      </w:r>
      <w:r w:rsidRPr="00283424">
        <w:rPr>
          <w:color w:val="000000"/>
        </w:rPr>
        <w:t>licensee gives an oral authorisation to the financial services licensee, or revokes an authorisation orally, the financial services licensee must:</w:t>
      </w:r>
    </w:p>
    <w:p w14:paraId="3AEAC075" w14:textId="77777777" w:rsidR="00E93F58" w:rsidRPr="00283424" w:rsidRDefault="00E93F58" w:rsidP="00B50726">
      <w:pPr>
        <w:pStyle w:val="paragraphsub"/>
        <w:rPr>
          <w:color w:val="000000"/>
        </w:rPr>
      </w:pPr>
      <w:r w:rsidRPr="00283424">
        <w:rPr>
          <w:color w:val="000000"/>
        </w:rPr>
        <w:tab/>
        <w:t>(i)</w:t>
      </w:r>
      <w:r w:rsidRPr="00283424">
        <w:rPr>
          <w:color w:val="000000"/>
        </w:rPr>
        <w:tab/>
        <w:t>make a written record of the authorisation or revocation; and</w:t>
      </w:r>
    </w:p>
    <w:p w14:paraId="5AE60964" w14:textId="77777777" w:rsidR="00E93F58" w:rsidRPr="00283424" w:rsidRDefault="00E93F58" w:rsidP="00B50726">
      <w:pPr>
        <w:pStyle w:val="paragraphsub"/>
      </w:pPr>
      <w:r w:rsidRPr="00283424">
        <w:tab/>
        <w:t>(ii)</w:t>
      </w:r>
      <w:r w:rsidRPr="00283424">
        <w:tab/>
        <w:t>provide a copy of the written record to the non</w:t>
      </w:r>
      <w:r>
        <w:noBreakHyphen/>
      </w:r>
      <w:r w:rsidRPr="00283424">
        <w:t>licensee within 10 business days after the day on which the authorisation is given or revoked; and</w:t>
      </w:r>
    </w:p>
    <w:p w14:paraId="460326B5" w14:textId="77777777" w:rsidR="00E93F58" w:rsidRPr="00283424" w:rsidRDefault="00E93F58" w:rsidP="00B50726">
      <w:pPr>
        <w:pStyle w:val="paragraph"/>
      </w:pPr>
      <w:r w:rsidRPr="00283424">
        <w:tab/>
        <w:t>(c)</w:t>
      </w:r>
      <w:r w:rsidRPr="00283424">
        <w:tab/>
        <w:t xml:space="preserve">a disclosure of </w:t>
      </w:r>
      <w:r w:rsidRPr="00283424">
        <w:rPr>
          <w:snapToGrid w:val="0"/>
        </w:rPr>
        <w:t xml:space="preserve">the amount of the brokerage, commission or fee, or the basis on which it will be calculated </w:t>
      </w:r>
      <w:r w:rsidRPr="00283424">
        <w:t>must be given by the financial services licensee to the non</w:t>
      </w:r>
      <w:r>
        <w:noBreakHyphen/>
      </w:r>
      <w:r w:rsidRPr="00283424">
        <w:t>licensee:</w:t>
      </w:r>
    </w:p>
    <w:p w14:paraId="01F0BE62" w14:textId="77777777" w:rsidR="00E93F58" w:rsidRPr="00283424" w:rsidRDefault="00E93F58" w:rsidP="00B50726">
      <w:pPr>
        <w:pStyle w:val="paragraphsub"/>
      </w:pPr>
      <w:r w:rsidRPr="00283424">
        <w:rPr>
          <w:color w:val="000000"/>
        </w:rPr>
        <w:tab/>
        <w:t>(i)</w:t>
      </w:r>
      <w:r w:rsidRPr="00283424">
        <w:rPr>
          <w:color w:val="000000"/>
        </w:rPr>
        <w:tab/>
        <w:t>in writing: and</w:t>
      </w:r>
    </w:p>
    <w:p w14:paraId="0BC453CD" w14:textId="77777777" w:rsidR="00E93F58" w:rsidRPr="00283424" w:rsidRDefault="00E93F58" w:rsidP="00B50726">
      <w:pPr>
        <w:pStyle w:val="paragraphsub"/>
      </w:pPr>
      <w:r w:rsidRPr="00283424">
        <w:tab/>
        <w:t>(ii)</w:t>
      </w:r>
      <w:r w:rsidRPr="00283424">
        <w:tab/>
        <w:t>if the transaction is an on</w:t>
      </w:r>
      <w:r>
        <w:noBreakHyphen/>
      </w:r>
      <w:r w:rsidRPr="00283424">
        <w:t>market transaction—in relation to the particular transaction, a class of on</w:t>
      </w:r>
      <w:r>
        <w:noBreakHyphen/>
      </w:r>
      <w:r w:rsidRPr="00283424">
        <w:t>market transactions that includes the transaction, or all on</w:t>
      </w:r>
      <w:r>
        <w:noBreakHyphen/>
      </w:r>
      <w:r w:rsidRPr="00283424">
        <w:t>market transactions.</w:t>
      </w:r>
    </w:p>
    <w:p w14:paraId="05CF9AAC" w14:textId="77777777" w:rsidR="00E93F58" w:rsidRPr="00283424" w:rsidRDefault="00E93F58" w:rsidP="00B50726">
      <w:pPr>
        <w:pStyle w:val="subsection"/>
      </w:pPr>
      <w:r w:rsidRPr="00283424">
        <w:tab/>
        <w:t>(5)</w:t>
      </w:r>
      <w:r w:rsidRPr="00283424">
        <w:tab/>
        <w:t>For subsection 991E(7) of the Act, a financial services licensee must:</w:t>
      </w:r>
    </w:p>
    <w:p w14:paraId="086D6FA0" w14:textId="77777777" w:rsidR="00E93F58" w:rsidRPr="00283424" w:rsidRDefault="00E93F58" w:rsidP="00B50726">
      <w:pPr>
        <w:pStyle w:val="paragraph"/>
      </w:pPr>
      <w:r w:rsidRPr="00283424">
        <w:tab/>
        <w:t>(a)</w:t>
      </w:r>
      <w:r w:rsidRPr="00283424">
        <w:tab/>
        <w:t>keep records of the following matters relating to each financial products transaction entered into by the financial services licensee on the financial service licensee’s own behalf:</w:t>
      </w:r>
    </w:p>
    <w:p w14:paraId="69600BB7" w14:textId="77777777" w:rsidR="00E93F58" w:rsidRPr="00283424" w:rsidRDefault="00E93F58" w:rsidP="00B50726">
      <w:pPr>
        <w:pStyle w:val="paragraphsub"/>
      </w:pPr>
      <w:r w:rsidRPr="00283424">
        <w:rPr>
          <w:color w:val="000000"/>
        </w:rPr>
        <w:tab/>
        <w:t>(i)</w:t>
      </w:r>
      <w:r w:rsidRPr="00283424">
        <w:rPr>
          <w:color w:val="000000"/>
        </w:rPr>
        <w:tab/>
        <w:t>a description of the financial products transaction;</w:t>
      </w:r>
    </w:p>
    <w:p w14:paraId="24AE666E" w14:textId="77777777" w:rsidR="00E93F58" w:rsidRPr="00283424" w:rsidRDefault="00E93F58" w:rsidP="00B50726">
      <w:pPr>
        <w:pStyle w:val="paragraphsub"/>
      </w:pPr>
      <w:r w:rsidRPr="00283424">
        <w:tab/>
        <w:t>(ii)</w:t>
      </w:r>
      <w:r w:rsidRPr="00283424">
        <w:tab/>
        <w:t>the date and time of receipt of the instructions for the financial products transaction;</w:t>
      </w:r>
    </w:p>
    <w:p w14:paraId="519C5749" w14:textId="77777777" w:rsidR="00E93F58" w:rsidRPr="00283424" w:rsidRDefault="00E93F58" w:rsidP="00B50726">
      <w:pPr>
        <w:pStyle w:val="paragraphsub"/>
      </w:pPr>
      <w:r w:rsidRPr="00283424">
        <w:tab/>
        <w:t>(iii)</w:t>
      </w:r>
      <w:r w:rsidRPr="00283424">
        <w:tab/>
        <w:t>the date and time of transmission of the instructions to the licensed market concerned;</w:t>
      </w:r>
    </w:p>
    <w:p w14:paraId="75CD76BD" w14:textId="77777777" w:rsidR="00E93F58" w:rsidRPr="00283424" w:rsidRDefault="00E93F58" w:rsidP="00B50726">
      <w:pPr>
        <w:pStyle w:val="paragraphsub"/>
      </w:pPr>
      <w:r w:rsidRPr="00283424">
        <w:tab/>
        <w:t>(iv)</w:t>
      </w:r>
      <w:r w:rsidRPr="00283424">
        <w:tab/>
        <w:t>the date and time of execution of the instructions;</w:t>
      </w:r>
    </w:p>
    <w:p w14:paraId="66512E17" w14:textId="77777777" w:rsidR="00E93F58" w:rsidRPr="00283424" w:rsidRDefault="00E93F58" w:rsidP="00B50726">
      <w:pPr>
        <w:pStyle w:val="paragraphsub"/>
      </w:pPr>
      <w:r w:rsidRPr="00283424">
        <w:tab/>
        <w:t>(v)</w:t>
      </w:r>
      <w:r w:rsidRPr="00283424">
        <w:tab/>
        <w:t>the source of the funds, or financial products, used to effect the financial products transaction; and</w:t>
      </w:r>
    </w:p>
    <w:p w14:paraId="536204E4" w14:textId="77777777" w:rsidR="00E93F58" w:rsidRPr="00283424" w:rsidRDefault="00E93F58" w:rsidP="00B50726">
      <w:pPr>
        <w:pStyle w:val="paragraph"/>
      </w:pPr>
      <w:r w:rsidRPr="00283424">
        <w:rPr>
          <w:color w:val="000000"/>
        </w:rPr>
        <w:tab/>
        <w:t>(b)</w:t>
      </w:r>
      <w:r w:rsidRPr="00283424">
        <w:rPr>
          <w:color w:val="000000"/>
        </w:rPr>
        <w:tab/>
        <w:t>keep the records in a manner that makes the records identifiable separately from records of the financial services licensee.</w:t>
      </w:r>
    </w:p>
    <w:p w14:paraId="7262852D" w14:textId="77777777" w:rsidR="00E93F58" w:rsidRPr="00283424" w:rsidRDefault="00E93F58" w:rsidP="00B50726">
      <w:pPr>
        <w:pStyle w:val="notetext"/>
      </w:pPr>
      <w:r w:rsidRPr="00283424">
        <w:rPr>
          <w:color w:val="000000"/>
        </w:rPr>
        <w:t>Note:</w:t>
      </w:r>
      <w:r w:rsidRPr="00283424">
        <w:rPr>
          <w:color w:val="000000"/>
        </w:rPr>
        <w:tab/>
        <w:t>Other requirements for record</w:t>
      </w:r>
      <w:r>
        <w:rPr>
          <w:color w:val="000000"/>
        </w:rPr>
        <w:noBreakHyphen/>
      </w:r>
      <w:r w:rsidRPr="00283424">
        <w:rPr>
          <w:color w:val="000000"/>
        </w:rPr>
        <w:t>keeping are in Division 6 of Part 7.8 of the Act.</w:t>
      </w:r>
    </w:p>
    <w:p w14:paraId="489C1432" w14:textId="77777777" w:rsidR="00E93F58" w:rsidRPr="00283424" w:rsidRDefault="00E93F58" w:rsidP="00B50726">
      <w:pPr>
        <w:pStyle w:val="ActHead5"/>
      </w:pPr>
      <w:bookmarkStart w:id="1374" w:name="_Toc152054665"/>
      <w:bookmarkStart w:id="1375" w:name="_Toc158712481"/>
      <w:r w:rsidRPr="006F296E">
        <w:rPr>
          <w:rStyle w:val="CharSectno"/>
        </w:rPr>
        <w:lastRenderedPageBreak/>
        <w:t>7.8.20A</w:t>
      </w:r>
      <w:r w:rsidRPr="00283424">
        <w:t xml:space="preserve">  Dealings involving employees of financial service licensees—risk insurance products</w:t>
      </w:r>
      <w:bookmarkEnd w:id="1374"/>
      <w:bookmarkEnd w:id="1375"/>
    </w:p>
    <w:p w14:paraId="26BF9DF4" w14:textId="77777777" w:rsidR="00E93F58" w:rsidRPr="00283424" w:rsidRDefault="00E93F58" w:rsidP="00B50726">
      <w:pPr>
        <w:pStyle w:val="subsection"/>
      </w:pPr>
      <w:r w:rsidRPr="00283424">
        <w:tab/>
      </w:r>
      <w:r w:rsidRPr="00283424">
        <w:tab/>
        <w:t xml:space="preserve">For subsection 991F(1) of the Act, a financial services licensee and one or more employees of the financial services licensee may, on their own behalves, jointly acquire a financial product if it is a </w:t>
      </w:r>
      <w:r w:rsidRPr="00BE1284">
        <w:t>risk insurance product</w:t>
      </w:r>
      <w:r w:rsidRPr="00283424">
        <w:t>.</w:t>
      </w:r>
    </w:p>
    <w:p w14:paraId="201B60AD" w14:textId="77777777" w:rsidR="00E93F58" w:rsidRPr="00283424" w:rsidRDefault="00E93F58" w:rsidP="00B50726">
      <w:pPr>
        <w:pStyle w:val="ActHead5"/>
      </w:pPr>
      <w:bookmarkStart w:id="1376" w:name="_Toc152054666"/>
      <w:bookmarkStart w:id="1377" w:name="_Toc158712482"/>
      <w:r w:rsidRPr="006F296E">
        <w:rPr>
          <w:rStyle w:val="CharSectno"/>
        </w:rPr>
        <w:t>7.8.21</w:t>
      </w:r>
      <w:r w:rsidRPr="00283424">
        <w:rPr>
          <w:sz w:val="16"/>
        </w:rPr>
        <w:t xml:space="preserve">  </w:t>
      </w:r>
      <w:r w:rsidRPr="00283424">
        <w:t>Dealings involving employees of financial services licensees</w:t>
      </w:r>
      <w:bookmarkEnd w:id="1376"/>
      <w:bookmarkEnd w:id="1377"/>
    </w:p>
    <w:p w14:paraId="555887D1" w14:textId="77777777" w:rsidR="00E93F58" w:rsidRPr="00283424" w:rsidRDefault="00E93F58" w:rsidP="00B50726">
      <w:pPr>
        <w:pStyle w:val="subsection"/>
        <w:rPr>
          <w:color w:val="000000"/>
        </w:rPr>
      </w:pPr>
      <w:r w:rsidRPr="00283424">
        <w:rPr>
          <w:color w:val="000000"/>
        </w:rPr>
        <w:tab/>
        <w:t>(1)</w:t>
      </w:r>
      <w:r w:rsidRPr="00283424">
        <w:rPr>
          <w:color w:val="000000"/>
        </w:rPr>
        <w:tab/>
        <w:t>For subsection 991F(2) of the Act, that subsection does not have effect in relation to:</w:t>
      </w:r>
    </w:p>
    <w:p w14:paraId="405F34E4" w14:textId="77777777" w:rsidR="00E93F58" w:rsidRPr="00283424" w:rsidRDefault="00E93F58" w:rsidP="00B50726">
      <w:pPr>
        <w:pStyle w:val="paragraph"/>
        <w:rPr>
          <w:color w:val="000000"/>
        </w:rPr>
      </w:pPr>
      <w:r w:rsidRPr="00283424">
        <w:rPr>
          <w:color w:val="000000"/>
        </w:rPr>
        <w:tab/>
        <w:t>(a)</w:t>
      </w:r>
      <w:r w:rsidRPr="00283424">
        <w:rPr>
          <w:color w:val="000000"/>
        </w:rPr>
        <w:tab/>
        <w:t>a bank; or</w:t>
      </w:r>
    </w:p>
    <w:p w14:paraId="1F7CF21C" w14:textId="77777777" w:rsidR="00E93F58" w:rsidRPr="00283424" w:rsidRDefault="00E93F58" w:rsidP="00B50726">
      <w:pPr>
        <w:pStyle w:val="paragraph"/>
      </w:pPr>
      <w:r w:rsidRPr="00283424">
        <w:tab/>
        <w:t>(b)</w:t>
      </w:r>
      <w:r w:rsidRPr="00283424">
        <w:tab/>
        <w:t>a body corporate that gives credit in good faith to a person (not being a director of the body corporate) employed by the body corporate, or by another body corporate that is related to the first body corporate, to enable the person to acquire financial products that are:</w:t>
      </w:r>
    </w:p>
    <w:p w14:paraId="1760E980" w14:textId="77777777" w:rsidR="00E93F58" w:rsidRPr="00283424" w:rsidRDefault="00E93F58" w:rsidP="00B50726">
      <w:pPr>
        <w:pStyle w:val="paragraphsub"/>
      </w:pPr>
      <w:r w:rsidRPr="00283424">
        <w:rPr>
          <w:color w:val="000000"/>
        </w:rPr>
        <w:tab/>
        <w:t>(i)</w:t>
      </w:r>
      <w:r w:rsidRPr="00283424">
        <w:rPr>
          <w:color w:val="000000"/>
        </w:rPr>
        <w:tab/>
        <w:t>fully paid shares in the body corporate; and</w:t>
      </w:r>
    </w:p>
    <w:p w14:paraId="7BEA985B" w14:textId="77777777" w:rsidR="00E93F58" w:rsidRPr="00283424" w:rsidRDefault="00E93F58" w:rsidP="00B50726">
      <w:pPr>
        <w:pStyle w:val="paragraphsub"/>
      </w:pPr>
      <w:r w:rsidRPr="00283424">
        <w:tab/>
        <w:t>(ii)</w:t>
      </w:r>
      <w:r w:rsidRPr="00283424">
        <w:tab/>
        <w:t>to be held in beneficial ownership by the person.</w:t>
      </w:r>
    </w:p>
    <w:p w14:paraId="71E3D87C" w14:textId="77777777" w:rsidR="00E93F58" w:rsidRPr="00283424" w:rsidRDefault="00E93F58" w:rsidP="00B50726">
      <w:pPr>
        <w:pStyle w:val="subsection"/>
      </w:pPr>
      <w:r w:rsidRPr="00283424">
        <w:tab/>
        <w:t>(1A)</w:t>
      </w:r>
      <w:r w:rsidRPr="00283424">
        <w:tab/>
        <w:t>For subsection 991F(2) of the Act, that subsection does not have effect in relation to a financial services licensee that gives credit in good faith to a person employed by:</w:t>
      </w:r>
    </w:p>
    <w:p w14:paraId="4CF50FF2" w14:textId="77777777" w:rsidR="00E93F58" w:rsidRPr="00283424" w:rsidRDefault="00E93F58" w:rsidP="00B50726">
      <w:pPr>
        <w:pStyle w:val="paragraph"/>
      </w:pPr>
      <w:r w:rsidRPr="00283424">
        <w:tab/>
        <w:t>(a)</w:t>
      </w:r>
      <w:r w:rsidRPr="00283424">
        <w:tab/>
        <w:t>the financial services licensee; or</w:t>
      </w:r>
    </w:p>
    <w:p w14:paraId="70719D57" w14:textId="77777777" w:rsidR="00E93F58" w:rsidRPr="00283424" w:rsidRDefault="00E93F58" w:rsidP="00B50726">
      <w:pPr>
        <w:pStyle w:val="paragraph"/>
        <w:keepNext/>
      </w:pPr>
      <w:r w:rsidRPr="00283424">
        <w:tab/>
        <w:t>(b)</w:t>
      </w:r>
      <w:r w:rsidRPr="00283424">
        <w:tab/>
        <w:t>a person related to the financial services licensee;</w:t>
      </w:r>
    </w:p>
    <w:p w14:paraId="51ADF80F" w14:textId="77777777" w:rsidR="00E93F58" w:rsidRPr="00283424" w:rsidRDefault="00E93F58" w:rsidP="00B50726">
      <w:pPr>
        <w:pStyle w:val="subsection2"/>
      </w:pPr>
      <w:r w:rsidRPr="00283424">
        <w:t>to enable the person to acquire an insurance product in relation to a credit facility provided by the financial services licensee to the person.</w:t>
      </w:r>
    </w:p>
    <w:p w14:paraId="1A122F31" w14:textId="77777777" w:rsidR="00E93F58" w:rsidRPr="00283424" w:rsidRDefault="00E93F58" w:rsidP="00B50726">
      <w:pPr>
        <w:pStyle w:val="notetext"/>
      </w:pPr>
      <w:r w:rsidRPr="00283424">
        <w:rPr>
          <w:lang w:eastAsia="en-US"/>
        </w:rPr>
        <w:t>Example</w:t>
      </w:r>
      <w:r w:rsidRPr="00283424">
        <w:t>:</w:t>
      </w:r>
      <w:r w:rsidRPr="00283424">
        <w:tab/>
        <w:t>Mortgage insurance is an insurance product in relation to a credit facility.</w:t>
      </w:r>
    </w:p>
    <w:p w14:paraId="46A9392D" w14:textId="77777777" w:rsidR="00E93F58" w:rsidRPr="00283424" w:rsidRDefault="00E93F58" w:rsidP="00B50726">
      <w:pPr>
        <w:pStyle w:val="subsection"/>
      </w:pPr>
      <w:r w:rsidRPr="00283424">
        <w:tab/>
        <w:t>(2)</w:t>
      </w:r>
      <w:r w:rsidRPr="00283424">
        <w:tab/>
        <w:t>For subsection 991F(3) of the Act, a body corporate that is related to a financial services licensee may act as the agent of an employee of the financial services licensee, in respect of the acquisition mentioned in that subsection, only if:</w:t>
      </w:r>
    </w:p>
    <w:p w14:paraId="65034D09" w14:textId="77777777" w:rsidR="00E93F58" w:rsidRPr="00283424" w:rsidRDefault="00E93F58" w:rsidP="00B50726">
      <w:pPr>
        <w:pStyle w:val="paragraph"/>
      </w:pPr>
      <w:r w:rsidRPr="00283424">
        <w:rPr>
          <w:color w:val="000000"/>
        </w:rPr>
        <w:tab/>
        <w:t>(a)</w:t>
      </w:r>
      <w:r w:rsidRPr="00283424">
        <w:rPr>
          <w:color w:val="000000"/>
        </w:rPr>
        <w:tab/>
        <w:t>before the acquisition, the employee has informed the related body corporate that the employee is acquiring, or agreeing to acquire, the financial product on the employee’s own behalf; and</w:t>
      </w:r>
    </w:p>
    <w:p w14:paraId="4AAF3C5E" w14:textId="77777777" w:rsidR="00E93F58" w:rsidRPr="00283424" w:rsidRDefault="00E93F58" w:rsidP="00B50726">
      <w:pPr>
        <w:pStyle w:val="paragraph"/>
      </w:pPr>
      <w:r w:rsidRPr="00283424">
        <w:tab/>
        <w:t>(b)</w:t>
      </w:r>
      <w:r w:rsidRPr="00283424">
        <w:tab/>
        <w:t>the financial services licensee has in place arrangements with the related body corporate to allow the licensee to be informed of, and to gain access to records relating to, the acquisition.</w:t>
      </w:r>
    </w:p>
    <w:p w14:paraId="3FABC3C8" w14:textId="77777777" w:rsidR="00E93F58" w:rsidRPr="00283424" w:rsidRDefault="00E93F58" w:rsidP="00B50726">
      <w:pPr>
        <w:pStyle w:val="subsection"/>
      </w:pPr>
      <w:r w:rsidRPr="00283424">
        <w:tab/>
        <w:t>(3)</w:t>
      </w:r>
      <w:r w:rsidRPr="00283424">
        <w:tab/>
        <w:t>For subsection 991F(3) of the Act, a body corporate may act as the agent of a person who is an employee of a financial services licensee that is a participant in a licensed market and is so employed in connection with a business of dealing in financial products, in respect of an acquisition mentioned in that subsection, if:</w:t>
      </w:r>
    </w:p>
    <w:p w14:paraId="3B829D22" w14:textId="77777777" w:rsidR="00E93F58" w:rsidRPr="00283424" w:rsidRDefault="00E93F58" w:rsidP="00B50726">
      <w:pPr>
        <w:pStyle w:val="paragraph"/>
      </w:pPr>
      <w:r w:rsidRPr="00283424">
        <w:tab/>
        <w:t>(a)</w:t>
      </w:r>
      <w:r w:rsidRPr="00283424">
        <w:tab/>
        <w:t>the body corporate holds an Australian financial services licence; and</w:t>
      </w:r>
    </w:p>
    <w:p w14:paraId="1CD2F426" w14:textId="77777777" w:rsidR="00E93F58" w:rsidRPr="00283424" w:rsidRDefault="00E93F58" w:rsidP="00B50726">
      <w:pPr>
        <w:pStyle w:val="paragraph"/>
      </w:pPr>
      <w:r w:rsidRPr="00283424">
        <w:tab/>
        <w:t>(b)</w:t>
      </w:r>
      <w:r w:rsidRPr="00283424">
        <w:tab/>
        <w:t>the body corporate is a participant in the same licensed market as the licensee; and</w:t>
      </w:r>
    </w:p>
    <w:p w14:paraId="63ED24A1" w14:textId="77777777" w:rsidR="00E93F58" w:rsidRPr="00283424" w:rsidRDefault="00E93F58" w:rsidP="00B50726">
      <w:pPr>
        <w:pStyle w:val="paragraph"/>
      </w:pPr>
      <w:r w:rsidRPr="00283424">
        <w:tab/>
        <w:t>(c)</w:t>
      </w:r>
      <w:r w:rsidRPr="00283424">
        <w:tab/>
        <w:t>the employer has given consent in writing to the particular acquisition before the acquisition takes place; and</w:t>
      </w:r>
    </w:p>
    <w:p w14:paraId="1BA311A0" w14:textId="77777777" w:rsidR="00E93F58" w:rsidRPr="00283424" w:rsidRDefault="00E93F58" w:rsidP="00B50726">
      <w:pPr>
        <w:pStyle w:val="paragraph"/>
      </w:pPr>
      <w:r w:rsidRPr="00283424">
        <w:tab/>
        <w:t>(d)</w:t>
      </w:r>
      <w:r w:rsidRPr="00283424">
        <w:tab/>
        <w:t>the employee gives the employer a copy of the confirmation of the transaction.</w:t>
      </w:r>
    </w:p>
    <w:p w14:paraId="59E7F87F" w14:textId="77777777" w:rsidR="00E93F58" w:rsidRPr="00283424" w:rsidRDefault="00E93F58" w:rsidP="00B50726">
      <w:pPr>
        <w:pStyle w:val="subsection"/>
      </w:pPr>
      <w:r w:rsidRPr="00283424">
        <w:tab/>
        <w:t>(4)</w:t>
      </w:r>
      <w:r w:rsidRPr="00283424">
        <w:tab/>
        <w:t>For subsection 991F(3) of the Act, a person who is:</w:t>
      </w:r>
    </w:p>
    <w:p w14:paraId="33350404" w14:textId="77777777" w:rsidR="00E93F58" w:rsidRPr="00283424" w:rsidRDefault="00E93F58" w:rsidP="00B50726">
      <w:pPr>
        <w:pStyle w:val="paragraph"/>
      </w:pPr>
      <w:r w:rsidRPr="00283424">
        <w:tab/>
        <w:t>(a)</w:t>
      </w:r>
      <w:r w:rsidRPr="00283424">
        <w:tab/>
        <w:t>an employee of a financial services licensee that is a participant in a licensed market; and</w:t>
      </w:r>
    </w:p>
    <w:p w14:paraId="13E7EC2A" w14:textId="77777777" w:rsidR="00E93F58" w:rsidRPr="00283424" w:rsidRDefault="00E93F58" w:rsidP="00B50726">
      <w:pPr>
        <w:pStyle w:val="paragraph"/>
      </w:pPr>
      <w:r w:rsidRPr="00283424">
        <w:tab/>
        <w:t>(b)</w:t>
      </w:r>
      <w:r w:rsidRPr="00283424">
        <w:tab/>
        <w:t>employed in connection with a business of dealing in financial products;</w:t>
      </w:r>
    </w:p>
    <w:p w14:paraId="435BD183" w14:textId="77777777" w:rsidR="00E93F58" w:rsidRPr="00283424" w:rsidRDefault="00E93F58" w:rsidP="00B50726">
      <w:pPr>
        <w:pStyle w:val="subsection2"/>
      </w:pPr>
      <w:r w:rsidRPr="00283424">
        <w:t>may, on the person’s own behalf, acquire, or agree to acquire, a financial product that is able to be traded on that licensed market, without the licensee’s acting as an agent in respect of the transaction, if the person’s employment is not directly connected with the licensee’s business of dealing in financial products on that licensed market.</w:t>
      </w:r>
    </w:p>
    <w:p w14:paraId="348168A8" w14:textId="77777777" w:rsidR="00E93F58" w:rsidRPr="00283424" w:rsidRDefault="00E93F58" w:rsidP="00B50726">
      <w:pPr>
        <w:pStyle w:val="subsection"/>
      </w:pPr>
      <w:r w:rsidRPr="00283424">
        <w:tab/>
        <w:t>(5)</w:t>
      </w:r>
      <w:r w:rsidRPr="00283424">
        <w:tab/>
        <w:t>Subject to subregulation (6), for subsection 991F(3) of the Act, the subsection does not apply unless:</w:t>
      </w:r>
    </w:p>
    <w:p w14:paraId="6398B53E" w14:textId="77777777" w:rsidR="00E93F58" w:rsidRPr="00283424" w:rsidRDefault="00E93F58" w:rsidP="00B50726">
      <w:pPr>
        <w:pStyle w:val="paragraph"/>
      </w:pPr>
      <w:r w:rsidRPr="00283424">
        <w:tab/>
        <w:t>(a)</w:t>
      </w:r>
      <w:r w:rsidRPr="00283424">
        <w:tab/>
        <w:t>the particular financial product that is acquired or proposed to be acquired is a financial product traded on a market in which the financial services licensee is not a participant at the time of the acquisition or the proposed acquisition; or</w:t>
      </w:r>
    </w:p>
    <w:p w14:paraId="746DFEE9" w14:textId="77777777" w:rsidR="00E93F58" w:rsidRPr="00283424" w:rsidRDefault="00E93F58" w:rsidP="00B50726">
      <w:pPr>
        <w:pStyle w:val="paragraph"/>
      </w:pPr>
      <w:r w:rsidRPr="00283424">
        <w:tab/>
        <w:t>(b)</w:t>
      </w:r>
      <w:r w:rsidRPr="00283424">
        <w:tab/>
        <w:t>the particular financial product is a derivative the value of which is derived from a financial product mentioned in paragraph (a).</w:t>
      </w:r>
    </w:p>
    <w:p w14:paraId="3AD9265C" w14:textId="77777777" w:rsidR="00E93F58" w:rsidRPr="00283424" w:rsidRDefault="00E93F58" w:rsidP="00B50726">
      <w:pPr>
        <w:pStyle w:val="subsection"/>
      </w:pPr>
      <w:r w:rsidRPr="00283424">
        <w:tab/>
        <w:t>(6)</w:t>
      </w:r>
      <w:r w:rsidRPr="00283424">
        <w:tab/>
        <w:t>Subregulation (5) does not apply if:</w:t>
      </w:r>
    </w:p>
    <w:p w14:paraId="37A158AF" w14:textId="77777777" w:rsidR="00E93F58" w:rsidRPr="00283424" w:rsidRDefault="00E93F58" w:rsidP="00B50726">
      <w:pPr>
        <w:pStyle w:val="paragraph"/>
      </w:pPr>
      <w:r w:rsidRPr="00283424">
        <w:tab/>
        <w:t>(a)</w:t>
      </w:r>
      <w:r w:rsidRPr="00283424">
        <w:tab/>
        <w:t>the financial services licensee deals, or has dealt, in a financial product traded on that market:</w:t>
      </w:r>
    </w:p>
    <w:p w14:paraId="43D4136E" w14:textId="77777777" w:rsidR="00E93F58" w:rsidRPr="00283424" w:rsidRDefault="00E93F58" w:rsidP="00B50726">
      <w:pPr>
        <w:pStyle w:val="paragraphsub"/>
      </w:pPr>
      <w:r w:rsidRPr="00283424">
        <w:tab/>
        <w:t>(i)</w:t>
      </w:r>
      <w:r w:rsidRPr="00283424">
        <w:tab/>
        <w:t>on the licensee’s own behalf (whether directly or through an agent or other representative); or</w:t>
      </w:r>
    </w:p>
    <w:p w14:paraId="39FA4558" w14:textId="77777777" w:rsidR="00E93F58" w:rsidRPr="00283424" w:rsidRDefault="00E93F58" w:rsidP="00B50726">
      <w:pPr>
        <w:pStyle w:val="paragraphsub"/>
      </w:pPr>
      <w:r w:rsidRPr="00283424">
        <w:tab/>
        <w:t>(ii)</w:t>
      </w:r>
      <w:r w:rsidRPr="00283424">
        <w:tab/>
        <w:t>on behalf of a client; or</w:t>
      </w:r>
    </w:p>
    <w:p w14:paraId="51430767" w14:textId="77777777" w:rsidR="00E93F58" w:rsidRPr="00283424" w:rsidRDefault="00E93F58" w:rsidP="00B50726">
      <w:pPr>
        <w:pStyle w:val="paragraph"/>
      </w:pPr>
      <w:r w:rsidRPr="00283424">
        <w:lastRenderedPageBreak/>
        <w:tab/>
        <w:t>(b)</w:t>
      </w:r>
      <w:r w:rsidRPr="00283424">
        <w:tab/>
        <w:t>an associate of the financial services licensee is a participant in the market mentioned in that subregulation.</w:t>
      </w:r>
    </w:p>
    <w:p w14:paraId="137FCA5F" w14:textId="77777777" w:rsidR="00E93F58" w:rsidRPr="00283424" w:rsidRDefault="00E93F58" w:rsidP="00B50726">
      <w:pPr>
        <w:pStyle w:val="ActHead3"/>
        <w:pageBreakBefore/>
      </w:pPr>
      <w:bookmarkStart w:id="1378" w:name="_Toc152054667"/>
      <w:bookmarkStart w:id="1379" w:name="_Toc158712483"/>
      <w:r w:rsidRPr="006F296E">
        <w:rPr>
          <w:rStyle w:val="CharDivNo"/>
        </w:rPr>
        <w:lastRenderedPageBreak/>
        <w:t>Division 8</w:t>
      </w:r>
      <w:r w:rsidRPr="00283424">
        <w:t>—</w:t>
      </w:r>
      <w:r w:rsidRPr="006F296E">
        <w:rPr>
          <w:rStyle w:val="CharDivText"/>
        </w:rPr>
        <w:t>Miscellaneous</w:t>
      </w:r>
      <w:bookmarkEnd w:id="1378"/>
      <w:bookmarkEnd w:id="1379"/>
    </w:p>
    <w:p w14:paraId="28834AB9" w14:textId="77777777" w:rsidR="00E93F58" w:rsidRPr="00283424" w:rsidRDefault="00E93F58" w:rsidP="00B50726">
      <w:pPr>
        <w:pStyle w:val="ActHead5"/>
      </w:pPr>
      <w:bookmarkStart w:id="1380" w:name="_Toc152054668"/>
      <w:bookmarkStart w:id="1381" w:name="_Toc158712484"/>
      <w:r w:rsidRPr="006F296E">
        <w:rPr>
          <w:rStyle w:val="CharSectno"/>
        </w:rPr>
        <w:t>7.8.21A</w:t>
      </w:r>
      <w:r w:rsidRPr="00283424">
        <w:t xml:space="preserve">  Exceptions to prohibition on hawking of financial products</w:t>
      </w:r>
      <w:bookmarkEnd w:id="1380"/>
      <w:bookmarkEnd w:id="1381"/>
    </w:p>
    <w:p w14:paraId="4FD65520" w14:textId="77777777" w:rsidR="00E93F58" w:rsidRPr="00283424" w:rsidRDefault="00E93F58" w:rsidP="00B50726">
      <w:pPr>
        <w:pStyle w:val="subsection"/>
      </w:pPr>
      <w:r w:rsidRPr="00283424">
        <w:tab/>
      </w:r>
      <w:r w:rsidRPr="00283424">
        <w:tab/>
        <w:t>For the purposes of paragraph 992A(2)(c) of the Act, the following kinds of offer, request or invitation are prescribed:</w:t>
      </w:r>
    </w:p>
    <w:p w14:paraId="6C8C961F" w14:textId="77777777" w:rsidR="00E93F58" w:rsidRPr="00283424" w:rsidRDefault="00E93F58" w:rsidP="00B50726">
      <w:pPr>
        <w:pStyle w:val="paragraph"/>
      </w:pPr>
      <w:r w:rsidRPr="00283424">
        <w:tab/>
        <w:t>(a)</w:t>
      </w:r>
      <w:r w:rsidRPr="00283424">
        <w:tab/>
        <w:t>an offer for the issue or sale of:</w:t>
      </w:r>
    </w:p>
    <w:p w14:paraId="686819DF" w14:textId="77777777" w:rsidR="00E93F58" w:rsidRPr="00283424" w:rsidRDefault="00E93F58" w:rsidP="00B50726">
      <w:pPr>
        <w:pStyle w:val="paragraphsub"/>
      </w:pPr>
      <w:r w:rsidRPr="00283424">
        <w:tab/>
        <w:t>(i)</w:t>
      </w:r>
      <w:r w:rsidRPr="00283424">
        <w:tab/>
        <w:t>listed securities; or</w:t>
      </w:r>
    </w:p>
    <w:p w14:paraId="7CB56E87" w14:textId="77777777" w:rsidR="00E93F58" w:rsidRPr="00283424" w:rsidRDefault="00E93F58" w:rsidP="00B50726">
      <w:pPr>
        <w:pStyle w:val="paragraphsub"/>
      </w:pPr>
      <w:r w:rsidRPr="00283424">
        <w:tab/>
        <w:t>(ii)</w:t>
      </w:r>
      <w:r w:rsidRPr="00283424">
        <w:tab/>
        <w:t>an interest in a listed managed investment scheme;</w:t>
      </w:r>
    </w:p>
    <w:p w14:paraId="575E2E2C" w14:textId="77777777" w:rsidR="00E93F58" w:rsidRPr="00283424" w:rsidRDefault="00E93F58" w:rsidP="00B50726">
      <w:pPr>
        <w:pStyle w:val="paragraph"/>
      </w:pPr>
      <w:r w:rsidRPr="00283424">
        <w:tab/>
      </w:r>
      <w:r w:rsidRPr="00283424">
        <w:tab/>
        <w:t>that is made by telephone by a financial services licensee;</w:t>
      </w:r>
    </w:p>
    <w:p w14:paraId="531E3503" w14:textId="77777777" w:rsidR="00E93F58" w:rsidRPr="00283424" w:rsidRDefault="00E93F58" w:rsidP="00B50726">
      <w:pPr>
        <w:pStyle w:val="paragraph"/>
      </w:pPr>
      <w:r w:rsidRPr="00283424">
        <w:tab/>
        <w:t>(b)</w:t>
      </w:r>
      <w:r w:rsidRPr="00283424">
        <w:tab/>
        <w:t>an offer for the issue or sale of securities that is made to a client by a financial services licensee through whom the client has bought or sold securities in the last 12 months;</w:t>
      </w:r>
    </w:p>
    <w:p w14:paraId="48E48490" w14:textId="77777777" w:rsidR="00E93F58" w:rsidRPr="00283424" w:rsidRDefault="00E93F58" w:rsidP="00B50726">
      <w:pPr>
        <w:pStyle w:val="paragraph"/>
      </w:pPr>
      <w:r w:rsidRPr="00283424">
        <w:tab/>
        <w:t>(c)</w:t>
      </w:r>
      <w:r w:rsidRPr="00283424">
        <w:tab/>
        <w:t>an offer for the issue or sale of an interest in a managed investment scheme that is made to a client by a financial services licensee through whom the client has acquired or disposed of an interest in a managed investment scheme in the last 12 months;</w:t>
      </w:r>
    </w:p>
    <w:p w14:paraId="01BE654D" w14:textId="77777777" w:rsidR="00E93F58" w:rsidRPr="00283424" w:rsidRDefault="00E93F58" w:rsidP="00B50726">
      <w:pPr>
        <w:pStyle w:val="paragraph"/>
      </w:pPr>
      <w:r w:rsidRPr="00283424">
        <w:tab/>
        <w:t>(d)</w:t>
      </w:r>
      <w:r w:rsidRPr="00283424">
        <w:tab/>
        <w:t>a CSF offer;</w:t>
      </w:r>
    </w:p>
    <w:p w14:paraId="0040FE6A" w14:textId="77777777" w:rsidR="00E93F58" w:rsidRPr="00283424" w:rsidRDefault="00E93F58" w:rsidP="00B50726">
      <w:pPr>
        <w:pStyle w:val="paragraph"/>
      </w:pPr>
      <w:r w:rsidRPr="00283424">
        <w:tab/>
        <w:t>(f)</w:t>
      </w:r>
      <w:r w:rsidRPr="00283424">
        <w:tab/>
        <w:t xml:space="preserve">an offer of, or a request or invitation relating to, a financial product that is an arrangement under which medical indemnity cover to which the </w:t>
      </w:r>
      <w:r w:rsidRPr="00283424">
        <w:rPr>
          <w:i/>
        </w:rPr>
        <w:t>Medical Indemnity (Prudential Supervision and Product Standards) Act 2003</w:t>
      </w:r>
      <w:r w:rsidRPr="00283424">
        <w:t xml:space="preserve"> applies is provided to:</w:t>
      </w:r>
    </w:p>
    <w:p w14:paraId="586CC7E7" w14:textId="77777777" w:rsidR="00E93F58" w:rsidRPr="00283424" w:rsidRDefault="00E93F58" w:rsidP="00B50726">
      <w:pPr>
        <w:pStyle w:val="paragraphsub"/>
      </w:pPr>
      <w:r w:rsidRPr="00283424">
        <w:tab/>
        <w:t>(i)</w:t>
      </w:r>
      <w:r w:rsidRPr="00283424">
        <w:tab/>
        <w:t>a medical practitioner (within the meaning of that Act); or</w:t>
      </w:r>
    </w:p>
    <w:p w14:paraId="603DDDE0" w14:textId="77777777" w:rsidR="00E93F58" w:rsidRPr="00283424" w:rsidRDefault="00E93F58" w:rsidP="00B50726">
      <w:pPr>
        <w:pStyle w:val="paragraphsub"/>
      </w:pPr>
      <w:r w:rsidRPr="00283424">
        <w:tab/>
        <w:t>(ii)</w:t>
      </w:r>
      <w:r w:rsidRPr="00283424">
        <w:tab/>
        <w:t>a registered health professional (within the meaning of that Act) in relation to whom regulations made for the purposes of Part 3 of that Act apply;</w:t>
      </w:r>
    </w:p>
    <w:p w14:paraId="4075B8B6" w14:textId="77777777" w:rsidR="00E93F58" w:rsidRPr="00283424" w:rsidRDefault="00E93F58" w:rsidP="00B50726">
      <w:pPr>
        <w:pStyle w:val="paragraph"/>
      </w:pPr>
      <w:r w:rsidRPr="00283424">
        <w:tab/>
        <w:t>(g)</w:t>
      </w:r>
      <w:r w:rsidRPr="00283424">
        <w:tab/>
        <w:t>an offer of, or a request or invitation relating to, a financial product that is an interest in a scheme that is in the nature of a litigation funding scheme, or a litigation funding arrangement, mentioned in regulation 5C.11.01;</w:t>
      </w:r>
    </w:p>
    <w:p w14:paraId="7F3BEBE4" w14:textId="77777777" w:rsidR="00E93F58" w:rsidRPr="00283424" w:rsidRDefault="00E93F58" w:rsidP="00B50726">
      <w:pPr>
        <w:pStyle w:val="paragraph"/>
      </w:pPr>
      <w:r w:rsidRPr="00283424">
        <w:tab/>
        <w:t>(h)</w:t>
      </w:r>
      <w:r w:rsidRPr="00283424">
        <w:tab/>
        <w:t>an offer of, or a request or invitation relating to, a financial product that is a basic banking product, if the offer, request or invitation was made in the course of contact with the consumer that the consumer initiated for any purpose;</w:t>
      </w:r>
    </w:p>
    <w:p w14:paraId="38D5787F" w14:textId="77777777" w:rsidR="00E93F58" w:rsidRPr="00283424" w:rsidRDefault="00E93F58" w:rsidP="00B50726">
      <w:pPr>
        <w:pStyle w:val="paragraph"/>
      </w:pPr>
      <w:bookmarkStart w:id="1382" w:name="_Hlk74836469"/>
      <w:r w:rsidRPr="00283424">
        <w:tab/>
        <w:t>(i)</w:t>
      </w:r>
      <w:r w:rsidRPr="00283424">
        <w:tab/>
        <w:t>an offer of, or a request or invitation relating to, a financial product that is a facility if:</w:t>
      </w:r>
    </w:p>
    <w:p w14:paraId="707C84EA" w14:textId="77777777" w:rsidR="00E93F58" w:rsidRPr="00283424" w:rsidRDefault="00E93F58" w:rsidP="00B50726">
      <w:pPr>
        <w:pStyle w:val="paragraphsub"/>
      </w:pPr>
      <w:r w:rsidRPr="00283424">
        <w:tab/>
        <w:t>(i)</w:t>
      </w:r>
      <w:r w:rsidRPr="00283424">
        <w:tab/>
        <w:t xml:space="preserve">the definition of </w:t>
      </w:r>
      <w:r w:rsidRPr="00283424">
        <w:rPr>
          <w:b/>
          <w:i/>
        </w:rPr>
        <w:t>basic deposit product</w:t>
      </w:r>
      <w:r w:rsidRPr="00283424">
        <w:t xml:space="preserve"> in </w:t>
      </w:r>
      <w:r>
        <w:t>section 9</w:t>
      </w:r>
      <w:r w:rsidRPr="00283424">
        <w:t xml:space="preserve"> of the Act does not apply to the facility, but would apply to the facility if paragraph (d) of that definition were disregarded; and</w:t>
      </w:r>
    </w:p>
    <w:p w14:paraId="7403EA9C" w14:textId="77777777" w:rsidR="00E93F58" w:rsidRPr="00283424" w:rsidRDefault="00E93F58" w:rsidP="00B50726">
      <w:pPr>
        <w:pStyle w:val="paragraphsub"/>
      </w:pPr>
      <w:r w:rsidRPr="00283424">
        <w:tab/>
        <w:t>(ii)</w:t>
      </w:r>
      <w:r w:rsidRPr="00283424">
        <w:tab/>
        <w:t>funds are able to be withdrawn or transferred from the facility on the instruction of, or by authority of, the depositor with prior notice of 31 days or less to the ADI that makes the facility available (whether or not the withdrawal or transfer will attract a reduction in the return generated for the depositor); and</w:t>
      </w:r>
    </w:p>
    <w:p w14:paraId="554C4833" w14:textId="77777777" w:rsidR="00E93F58" w:rsidRPr="00283424" w:rsidRDefault="00E93F58" w:rsidP="00B50726">
      <w:pPr>
        <w:pStyle w:val="paragraphsub"/>
      </w:pPr>
      <w:r w:rsidRPr="00283424">
        <w:tab/>
        <w:t>(iii)</w:t>
      </w:r>
      <w:r w:rsidRPr="00283424">
        <w:tab/>
        <w:t>the offer, request or invitation was made in the course of contact with the consumer that the consumer initiated for any purpose;</w:t>
      </w:r>
    </w:p>
    <w:bookmarkEnd w:id="1382"/>
    <w:p w14:paraId="6A7AAB29" w14:textId="77777777" w:rsidR="00E93F58" w:rsidRPr="00283424" w:rsidRDefault="00E93F58" w:rsidP="00B50726">
      <w:pPr>
        <w:pStyle w:val="paragraph"/>
      </w:pPr>
      <w:r w:rsidRPr="00283424">
        <w:tab/>
        <w:t>(j)</w:t>
      </w:r>
      <w:r w:rsidRPr="00283424">
        <w:tab/>
        <w:t xml:space="preserve">an offer for the issue or sale of a financial product that is substantially similar to a financial product (the </w:t>
      </w:r>
      <w:r w:rsidRPr="00283424">
        <w:rPr>
          <w:b/>
          <w:i/>
        </w:rPr>
        <w:t>current financial product</w:t>
      </w:r>
      <w:r w:rsidRPr="00283424">
        <w:t>) that the recipient of the offer:</w:t>
      </w:r>
    </w:p>
    <w:p w14:paraId="7F052D8A" w14:textId="77777777" w:rsidR="00E93F58" w:rsidRPr="00283424" w:rsidRDefault="00E93F58" w:rsidP="00B50726">
      <w:pPr>
        <w:pStyle w:val="paragraphsub"/>
      </w:pPr>
      <w:r w:rsidRPr="00283424">
        <w:tab/>
        <w:t>(i)</w:t>
      </w:r>
      <w:r w:rsidRPr="00283424">
        <w:tab/>
        <w:t>already holds with the offeror; or</w:t>
      </w:r>
    </w:p>
    <w:p w14:paraId="04B10BAF" w14:textId="77777777" w:rsidR="00E93F58" w:rsidRPr="00283424" w:rsidRDefault="00E93F58" w:rsidP="00B50726">
      <w:pPr>
        <w:pStyle w:val="paragraphsub"/>
      </w:pPr>
      <w:r w:rsidRPr="00283424">
        <w:tab/>
        <w:t>(ii)</w:t>
      </w:r>
      <w:r w:rsidRPr="00283424">
        <w:tab/>
        <w:t>held with the offeror at any time during the period of 30 day before the day on which the offer is made;</w:t>
      </w:r>
    </w:p>
    <w:p w14:paraId="1719F87E" w14:textId="77777777" w:rsidR="00E93F58" w:rsidRPr="00283424" w:rsidRDefault="00E93F58" w:rsidP="00B50726">
      <w:pPr>
        <w:pStyle w:val="paragraph"/>
      </w:pPr>
      <w:r w:rsidRPr="00283424">
        <w:tab/>
      </w:r>
      <w:r w:rsidRPr="00283424">
        <w:tab/>
        <w:t>and that is in the nature of an offer to renew the current financial product.</w:t>
      </w:r>
    </w:p>
    <w:p w14:paraId="5A5EAAED" w14:textId="77777777" w:rsidR="00E93F58" w:rsidRPr="00283424" w:rsidRDefault="00E93F58" w:rsidP="00B50726">
      <w:pPr>
        <w:pStyle w:val="ActHead5"/>
      </w:pPr>
      <w:bookmarkStart w:id="1383" w:name="_Toc152054669"/>
      <w:bookmarkStart w:id="1384" w:name="_Toc158712485"/>
      <w:r w:rsidRPr="006F296E">
        <w:rPr>
          <w:rStyle w:val="CharSectno"/>
        </w:rPr>
        <w:t>7.8.23</w:t>
      </w:r>
      <w:r w:rsidRPr="00283424">
        <w:t xml:space="preserve">  Return of financial product: transfer between superannuation entities or RSAs</w:t>
      </w:r>
      <w:bookmarkEnd w:id="1383"/>
      <w:bookmarkEnd w:id="1384"/>
    </w:p>
    <w:p w14:paraId="7CD025ED" w14:textId="77777777" w:rsidR="00E93F58" w:rsidRPr="00283424" w:rsidRDefault="00E93F58" w:rsidP="00B50726">
      <w:pPr>
        <w:pStyle w:val="subsection"/>
        <w:rPr>
          <w:color w:val="000000"/>
        </w:rPr>
      </w:pPr>
      <w:r w:rsidRPr="00283424">
        <w:rPr>
          <w:color w:val="000000"/>
        </w:rPr>
        <w:tab/>
        <w:t>(1)</w:t>
      </w:r>
      <w:r w:rsidRPr="00283424">
        <w:rPr>
          <w:color w:val="000000"/>
        </w:rPr>
        <w:tab/>
      </w:r>
      <w:r w:rsidRPr="00283424">
        <w:t>For the purposes of paragraph 992AA(2)(c)</w:t>
      </w:r>
      <w:r w:rsidRPr="00283424">
        <w:rPr>
          <w:color w:val="000000"/>
        </w:rPr>
        <w:t xml:space="preserve"> of the Act, this regulation applies in relation to a superannuation product or an </w:t>
      </w:r>
      <w:r w:rsidRPr="00BE1284">
        <w:t>RSA</w:t>
      </w:r>
      <w:r w:rsidRPr="00283424">
        <w:rPr>
          <w:color w:val="000000"/>
        </w:rPr>
        <w:t xml:space="preserve"> that has been issued to the holder of the product as a result of a transfer between superannuation entities or RSAs.</w:t>
      </w:r>
    </w:p>
    <w:p w14:paraId="584C0183" w14:textId="77777777" w:rsidR="00E93F58" w:rsidRPr="00283424" w:rsidRDefault="00E93F58" w:rsidP="00B50726">
      <w:pPr>
        <w:pStyle w:val="subsection"/>
      </w:pPr>
      <w:r w:rsidRPr="00283424">
        <w:tab/>
        <w:t>(2)</w:t>
      </w:r>
      <w:r w:rsidRPr="00283424">
        <w:tab/>
        <w:t xml:space="preserve">It is a requirement of the exercise of the right to return the superannuation product or </w:t>
      </w:r>
      <w:r w:rsidRPr="00BE1284">
        <w:t>RSA</w:t>
      </w:r>
      <w:r w:rsidRPr="00283424">
        <w:t xml:space="preserve"> that, if the money to be repaid includes:</w:t>
      </w:r>
    </w:p>
    <w:p w14:paraId="76E2E7B6" w14:textId="77777777" w:rsidR="00E93F58" w:rsidRPr="00283424" w:rsidRDefault="00E93F58" w:rsidP="00B50726">
      <w:pPr>
        <w:pStyle w:val="paragraph"/>
        <w:rPr>
          <w:color w:val="000000"/>
        </w:rPr>
      </w:pPr>
      <w:r w:rsidRPr="00283424">
        <w:rPr>
          <w:color w:val="000000"/>
        </w:rPr>
        <w:tab/>
        <w:t>(a)</w:t>
      </w:r>
      <w:r w:rsidRPr="00283424">
        <w:rPr>
          <w:color w:val="000000"/>
        </w:rPr>
        <w:tab/>
        <w:t>restricted non</w:t>
      </w:r>
      <w:r>
        <w:rPr>
          <w:color w:val="000000"/>
        </w:rPr>
        <w:noBreakHyphen/>
      </w:r>
      <w:r w:rsidRPr="00283424">
        <w:rPr>
          <w:color w:val="000000"/>
        </w:rPr>
        <w:t>preserved benefits; or</w:t>
      </w:r>
    </w:p>
    <w:p w14:paraId="79E02B3F" w14:textId="77777777" w:rsidR="00E93F58" w:rsidRPr="00283424" w:rsidRDefault="00E93F58" w:rsidP="00B50726">
      <w:pPr>
        <w:pStyle w:val="paragraph"/>
      </w:pPr>
      <w:r w:rsidRPr="00283424">
        <w:tab/>
        <w:t>(b)</w:t>
      </w:r>
      <w:r w:rsidRPr="00283424">
        <w:tab/>
        <w:t>preserved benefits;</w:t>
      </w:r>
    </w:p>
    <w:p w14:paraId="27E81317" w14:textId="77777777" w:rsidR="00E93F58" w:rsidRPr="00283424" w:rsidRDefault="00E93F58" w:rsidP="00B50726">
      <w:pPr>
        <w:pStyle w:val="subsection2"/>
      </w:pPr>
      <w:r w:rsidRPr="00283424">
        <w:rPr>
          <w:color w:val="000000"/>
        </w:rPr>
        <w:t>the holder of the superannuation product, or the RSA holder, must nominate a superannuation fund, approved deposit fund or RSA into which the money representing restricted non</w:t>
      </w:r>
      <w:r>
        <w:rPr>
          <w:color w:val="000000"/>
        </w:rPr>
        <w:noBreakHyphen/>
      </w:r>
      <w:r w:rsidRPr="00283424">
        <w:rPr>
          <w:color w:val="000000"/>
        </w:rPr>
        <w:t>preserved benefits or preserved benefits is to be repaid.</w:t>
      </w:r>
    </w:p>
    <w:p w14:paraId="0D310EEF" w14:textId="77777777" w:rsidR="00E93F58" w:rsidRPr="00283424" w:rsidRDefault="00E93F58" w:rsidP="00B50726">
      <w:pPr>
        <w:pStyle w:val="subsection"/>
        <w:rPr>
          <w:color w:val="000000"/>
        </w:rPr>
      </w:pPr>
      <w:r w:rsidRPr="00283424">
        <w:rPr>
          <w:color w:val="000000"/>
        </w:rPr>
        <w:lastRenderedPageBreak/>
        <w:tab/>
        <w:t>(3)</w:t>
      </w:r>
      <w:r w:rsidRPr="00283424">
        <w:rPr>
          <w:color w:val="000000"/>
        </w:rPr>
        <w:tab/>
      </w:r>
      <w:r w:rsidRPr="00283424">
        <w:t>For the purposes of paragraph 992AA(2)(c)</w:t>
      </w:r>
      <w:r w:rsidRPr="00283424">
        <w:rPr>
          <w:color w:val="000000"/>
        </w:rPr>
        <w:t xml:space="preserve"> of the Act, if the right of return is exercised, the responsible person must return the money as directed.</w:t>
      </w:r>
    </w:p>
    <w:p w14:paraId="2E16956E" w14:textId="77777777" w:rsidR="00E93F58" w:rsidRPr="00283424" w:rsidRDefault="00E93F58" w:rsidP="00B50726">
      <w:pPr>
        <w:pStyle w:val="ActHead5"/>
      </w:pPr>
      <w:bookmarkStart w:id="1385" w:name="_Toc152054670"/>
      <w:bookmarkStart w:id="1386" w:name="_Toc158712486"/>
      <w:r w:rsidRPr="006F296E">
        <w:rPr>
          <w:rStyle w:val="CharSectno"/>
        </w:rPr>
        <w:t>7.8.24</w:t>
      </w:r>
      <w:r w:rsidRPr="00283424">
        <w:t xml:space="preserve">  Right of return not to apply</w:t>
      </w:r>
      <w:bookmarkEnd w:id="1385"/>
      <w:bookmarkEnd w:id="1386"/>
    </w:p>
    <w:p w14:paraId="336F760D" w14:textId="77777777" w:rsidR="00E93F58" w:rsidRPr="00283424" w:rsidRDefault="00E93F58" w:rsidP="00B50726">
      <w:pPr>
        <w:pStyle w:val="subsection"/>
      </w:pPr>
      <w:r w:rsidRPr="00283424">
        <w:tab/>
      </w:r>
      <w:r w:rsidRPr="00283424">
        <w:tab/>
      </w:r>
      <w:bookmarkStart w:id="1387" w:name="_Hlk85794820"/>
      <w:r w:rsidRPr="00283424">
        <w:t>For the purposes of paragraph 992AA(3)(a) of the Act, the following classes of financial products are excluded from section 992AA of the Act:</w:t>
      </w:r>
      <w:bookmarkEnd w:id="1387"/>
    </w:p>
    <w:p w14:paraId="5610A970" w14:textId="77777777" w:rsidR="00E93F58" w:rsidRPr="00283424" w:rsidRDefault="00E93F58" w:rsidP="00B50726">
      <w:pPr>
        <w:pStyle w:val="paragraph"/>
        <w:rPr>
          <w:color w:val="000000"/>
        </w:rPr>
      </w:pPr>
      <w:r w:rsidRPr="00283424">
        <w:rPr>
          <w:color w:val="000000"/>
        </w:rPr>
        <w:tab/>
        <w:t>(a)</w:t>
      </w:r>
      <w:r w:rsidRPr="00283424">
        <w:rPr>
          <w:color w:val="000000"/>
        </w:rPr>
        <w:tab/>
        <w:t>a financial product offered or issued under a distribution reinvestment plan or switching facility;</w:t>
      </w:r>
    </w:p>
    <w:p w14:paraId="584109EC" w14:textId="77777777" w:rsidR="00E93F58" w:rsidRPr="00283424" w:rsidRDefault="00E93F58" w:rsidP="00B50726">
      <w:pPr>
        <w:pStyle w:val="paragraph"/>
      </w:pPr>
      <w:r w:rsidRPr="00283424">
        <w:tab/>
        <w:t>(b)</w:t>
      </w:r>
      <w:r w:rsidRPr="00283424">
        <w:tab/>
        <w:t>a financial product the acquisition of which is an additional contribution required by an existing agreement or contract;</w:t>
      </w:r>
    </w:p>
    <w:p w14:paraId="52269393" w14:textId="77777777" w:rsidR="00E93F58" w:rsidRPr="00283424" w:rsidRDefault="00E93F58" w:rsidP="00B50726">
      <w:pPr>
        <w:pStyle w:val="paragraph"/>
      </w:pPr>
      <w:r w:rsidRPr="00283424">
        <w:tab/>
        <w:t>(c)</w:t>
      </w:r>
      <w:r w:rsidRPr="00283424">
        <w:tab/>
        <w:t>a financial product issued as consideration for an offer made under a takeover bid under Chapter 6 of the Act;</w:t>
      </w:r>
    </w:p>
    <w:p w14:paraId="2CF85D5F" w14:textId="77777777" w:rsidR="00E93F58" w:rsidRPr="00283424" w:rsidRDefault="00E93F58" w:rsidP="00B50726">
      <w:pPr>
        <w:pStyle w:val="paragraph"/>
      </w:pPr>
      <w:r w:rsidRPr="00283424">
        <w:tab/>
        <w:t>(d)</w:t>
      </w:r>
      <w:r w:rsidRPr="00283424">
        <w:tab/>
        <w:t xml:space="preserve">an interim contract of insurance within the meaning of subsection 11(2) of the </w:t>
      </w:r>
      <w:r w:rsidRPr="00283424">
        <w:rPr>
          <w:i/>
        </w:rPr>
        <w:t>Insurance Contracts Act 1984</w:t>
      </w:r>
      <w:r w:rsidRPr="00283424">
        <w:t>;</w:t>
      </w:r>
    </w:p>
    <w:p w14:paraId="4F22DFBA" w14:textId="77777777" w:rsidR="00E93F58" w:rsidRPr="00283424" w:rsidRDefault="00E93F58" w:rsidP="00B50726">
      <w:pPr>
        <w:pStyle w:val="paragraph"/>
      </w:pPr>
      <w:r w:rsidRPr="00283424">
        <w:tab/>
        <w:t>(e)</w:t>
      </w:r>
      <w:r w:rsidRPr="00283424">
        <w:tab/>
        <w:t>a superannuation product that is issued in relation to:</w:t>
      </w:r>
    </w:p>
    <w:p w14:paraId="07EDB0B9" w14:textId="77777777" w:rsidR="00E93F58" w:rsidRPr="00283424" w:rsidRDefault="00E93F58" w:rsidP="00B50726">
      <w:pPr>
        <w:pStyle w:val="paragraphsub"/>
        <w:rPr>
          <w:color w:val="000000"/>
        </w:rPr>
      </w:pPr>
      <w:r w:rsidRPr="00283424">
        <w:rPr>
          <w:color w:val="000000"/>
        </w:rPr>
        <w:tab/>
        <w:t>(i)</w:t>
      </w:r>
      <w:r w:rsidRPr="00283424">
        <w:rPr>
          <w:color w:val="000000"/>
        </w:rPr>
        <w:tab/>
        <w:t>a non</w:t>
      </w:r>
      <w:r>
        <w:rPr>
          <w:color w:val="000000"/>
        </w:rPr>
        <w:noBreakHyphen/>
      </w:r>
      <w:r w:rsidRPr="00283424">
        <w:rPr>
          <w:color w:val="000000"/>
        </w:rPr>
        <w:t>public offer superannuation entity; or</w:t>
      </w:r>
    </w:p>
    <w:p w14:paraId="44A16DFE" w14:textId="77777777" w:rsidR="00E93F58" w:rsidRPr="00283424" w:rsidRDefault="00E93F58" w:rsidP="00B50726">
      <w:pPr>
        <w:pStyle w:val="paragraphsub"/>
      </w:pPr>
      <w:r w:rsidRPr="00283424">
        <w:tab/>
        <w:t>(ii)</w:t>
      </w:r>
      <w:r w:rsidRPr="00283424">
        <w:tab/>
        <w:t>a public offer superannuation entity mentioned in paragraph 7.6.01(1)(b), (c) or (d);</w:t>
      </w:r>
    </w:p>
    <w:p w14:paraId="00057960" w14:textId="77777777" w:rsidR="00E93F58" w:rsidRPr="00283424" w:rsidRDefault="00E93F58" w:rsidP="00B50726">
      <w:pPr>
        <w:pStyle w:val="paragraph"/>
      </w:pPr>
      <w:r w:rsidRPr="00283424">
        <w:tab/>
        <w:t>(f)</w:t>
      </w:r>
      <w:r w:rsidRPr="00283424">
        <w:tab/>
        <w:t>a risk insurance product that is:</w:t>
      </w:r>
    </w:p>
    <w:p w14:paraId="6D0E1204" w14:textId="77777777" w:rsidR="00E93F58" w:rsidRPr="00283424" w:rsidRDefault="00E93F58" w:rsidP="00B50726">
      <w:pPr>
        <w:pStyle w:val="paragraphsub"/>
      </w:pPr>
      <w:r w:rsidRPr="00283424">
        <w:rPr>
          <w:color w:val="000000"/>
        </w:rPr>
        <w:tab/>
        <w:t>(i)</w:t>
      </w:r>
      <w:r w:rsidRPr="00283424">
        <w:rPr>
          <w:color w:val="000000"/>
        </w:rPr>
        <w:tab/>
        <w:t>of less than 12 months duration; and</w:t>
      </w:r>
    </w:p>
    <w:p w14:paraId="4FD621DC" w14:textId="77777777" w:rsidR="00E93F58" w:rsidRPr="00283424" w:rsidRDefault="00E93F58" w:rsidP="00B50726">
      <w:pPr>
        <w:pStyle w:val="paragraphsub"/>
      </w:pPr>
      <w:r w:rsidRPr="00283424">
        <w:tab/>
        <w:t>(ii)</w:t>
      </w:r>
      <w:r w:rsidRPr="00283424">
        <w:tab/>
        <w:t>a renewal of an existing product on the terms and conditions to which the product is currently subject.</w:t>
      </w:r>
    </w:p>
    <w:p w14:paraId="64DDC6AB" w14:textId="77777777" w:rsidR="00E93F58" w:rsidRPr="00283424" w:rsidRDefault="00E93F58" w:rsidP="00B50726">
      <w:pPr>
        <w:pStyle w:val="ActHead5"/>
      </w:pPr>
      <w:bookmarkStart w:id="1388" w:name="_Toc152054671"/>
      <w:bookmarkStart w:id="1389" w:name="_Toc158712487"/>
      <w:r w:rsidRPr="006F296E">
        <w:rPr>
          <w:rStyle w:val="CharSectno"/>
        </w:rPr>
        <w:t>7.8.25</w:t>
      </w:r>
      <w:r w:rsidRPr="00283424">
        <w:t xml:space="preserve">  Variation of amount to be repaid</w:t>
      </w:r>
      <w:bookmarkEnd w:id="1388"/>
      <w:bookmarkEnd w:id="1389"/>
    </w:p>
    <w:p w14:paraId="2B1B6E7B" w14:textId="77777777" w:rsidR="00E93F58" w:rsidRPr="00283424" w:rsidRDefault="00E93F58" w:rsidP="00B50726">
      <w:pPr>
        <w:pStyle w:val="subsection"/>
      </w:pPr>
      <w:r w:rsidRPr="00283424">
        <w:tab/>
      </w:r>
      <w:r w:rsidRPr="00283424">
        <w:tab/>
        <w:t>For the purposes of paragraph 992AA(2)(c) of the Act, if a financial product is subject to a distribution, the amount that would otherwise be repaid on the exercise of the right to return the financial product may be reduced by the amount of that distribution.</w:t>
      </w:r>
    </w:p>
    <w:p w14:paraId="566A2EC9" w14:textId="77777777" w:rsidR="00E93F58" w:rsidRPr="00283424" w:rsidRDefault="00E93F58" w:rsidP="00B50726">
      <w:pPr>
        <w:pStyle w:val="ActHead2"/>
        <w:pageBreakBefore/>
      </w:pPr>
      <w:bookmarkStart w:id="1390" w:name="_Toc152054672"/>
      <w:bookmarkStart w:id="1391" w:name="_Toc158712488"/>
      <w:r w:rsidRPr="006F296E">
        <w:rPr>
          <w:rStyle w:val="CharPartNo"/>
        </w:rPr>
        <w:lastRenderedPageBreak/>
        <w:t>Part 7.8A</w:t>
      </w:r>
      <w:r w:rsidRPr="00283424">
        <w:t>—</w:t>
      </w:r>
      <w:r w:rsidRPr="006F296E">
        <w:rPr>
          <w:rStyle w:val="CharPartText"/>
        </w:rPr>
        <w:t>Design and distribution requirements relating to financial products for retail clients</w:t>
      </w:r>
      <w:bookmarkEnd w:id="1390"/>
      <w:bookmarkEnd w:id="1391"/>
    </w:p>
    <w:p w14:paraId="4291C783" w14:textId="77777777" w:rsidR="00E93F58" w:rsidRPr="00283424" w:rsidRDefault="00E93F58" w:rsidP="00B50726">
      <w:pPr>
        <w:pStyle w:val="ActHead3"/>
      </w:pPr>
      <w:bookmarkStart w:id="1392" w:name="_Toc152054673"/>
      <w:bookmarkStart w:id="1393" w:name="_Toc158712489"/>
      <w:r w:rsidRPr="006F296E">
        <w:rPr>
          <w:rStyle w:val="CharDivNo"/>
        </w:rPr>
        <w:t>Division 1</w:t>
      </w:r>
      <w:r w:rsidRPr="00283424">
        <w:t>—</w:t>
      </w:r>
      <w:r w:rsidRPr="006F296E">
        <w:rPr>
          <w:rStyle w:val="CharDivText"/>
        </w:rPr>
        <w:t>Preliminary</w:t>
      </w:r>
      <w:bookmarkEnd w:id="1392"/>
      <w:bookmarkEnd w:id="1393"/>
    </w:p>
    <w:p w14:paraId="6D9FB50B" w14:textId="77777777" w:rsidR="00E93F58" w:rsidRPr="00283424" w:rsidRDefault="00E93F58" w:rsidP="00B50726">
      <w:pPr>
        <w:pStyle w:val="ActHead5"/>
      </w:pPr>
      <w:bookmarkStart w:id="1394" w:name="_Toc152054674"/>
      <w:bookmarkStart w:id="1395" w:name="_Toc158712490"/>
      <w:r w:rsidRPr="006F296E">
        <w:rPr>
          <w:rStyle w:val="CharSectno"/>
        </w:rPr>
        <w:t>7.8A.01</w:t>
      </w:r>
      <w:r w:rsidRPr="00283424">
        <w:t xml:space="preserve">  Definitions</w:t>
      </w:r>
      <w:bookmarkEnd w:id="1394"/>
      <w:bookmarkEnd w:id="1395"/>
    </w:p>
    <w:p w14:paraId="22F159A3" w14:textId="77777777" w:rsidR="00E93F58" w:rsidRPr="00283424" w:rsidRDefault="00E93F58" w:rsidP="00B50726">
      <w:pPr>
        <w:pStyle w:val="subsection"/>
      </w:pPr>
      <w:r w:rsidRPr="00283424">
        <w:tab/>
      </w:r>
      <w:r w:rsidRPr="00283424">
        <w:tab/>
        <w:t>In this Part:</w:t>
      </w:r>
    </w:p>
    <w:p w14:paraId="200898C2" w14:textId="77777777" w:rsidR="00E93F58" w:rsidRPr="00283424" w:rsidRDefault="00E93F58" w:rsidP="00B50726">
      <w:pPr>
        <w:pStyle w:val="Definition"/>
      </w:pPr>
      <w:r w:rsidRPr="00283424">
        <w:rPr>
          <w:b/>
          <w:i/>
        </w:rPr>
        <w:t>credit</w:t>
      </w:r>
      <w:r w:rsidRPr="00283424">
        <w:t xml:space="preserve"> has the same meaning as in subregulation 2B(3) of the</w:t>
      </w:r>
      <w:r w:rsidRPr="00283424">
        <w:rPr>
          <w:i/>
        </w:rPr>
        <w:t xml:space="preserve"> Australian Securities and Investments Commission </w:t>
      </w:r>
      <w:r>
        <w:rPr>
          <w:i/>
        </w:rPr>
        <w:t>Regulations 2</w:t>
      </w:r>
      <w:r w:rsidRPr="00283424">
        <w:rPr>
          <w:i/>
        </w:rPr>
        <w:t>001</w:t>
      </w:r>
      <w:r w:rsidRPr="00283424">
        <w:t>.</w:t>
      </w:r>
    </w:p>
    <w:p w14:paraId="04D91C74" w14:textId="77777777" w:rsidR="00E93F58" w:rsidRPr="00283424" w:rsidRDefault="00E93F58" w:rsidP="00B50726">
      <w:pPr>
        <w:pStyle w:val="Definition"/>
        <w:rPr>
          <w:b/>
        </w:rPr>
      </w:pPr>
      <w:r w:rsidRPr="00283424">
        <w:rPr>
          <w:b/>
          <w:i/>
        </w:rPr>
        <w:t>credit facility</w:t>
      </w:r>
      <w:r w:rsidRPr="00283424">
        <w:t xml:space="preserve"> has the same meaning as in the</w:t>
      </w:r>
      <w:r w:rsidRPr="00283424">
        <w:rPr>
          <w:i/>
        </w:rPr>
        <w:t xml:space="preserve"> Australian Securities and Investments Commission </w:t>
      </w:r>
      <w:r>
        <w:rPr>
          <w:i/>
        </w:rPr>
        <w:t>Regulations 2</w:t>
      </w:r>
      <w:r w:rsidRPr="00283424">
        <w:rPr>
          <w:i/>
        </w:rPr>
        <w:t>001</w:t>
      </w:r>
      <w:r w:rsidRPr="00283424">
        <w:t>.</w:t>
      </w:r>
    </w:p>
    <w:p w14:paraId="182536AE" w14:textId="77777777" w:rsidR="00E93F58" w:rsidRPr="00BE1284" w:rsidRDefault="00E93F58" w:rsidP="00DD308C">
      <w:pPr>
        <w:pStyle w:val="Definition"/>
      </w:pPr>
      <w:r w:rsidRPr="00BE1284">
        <w:rPr>
          <w:b/>
          <w:i/>
        </w:rPr>
        <w:t>extended operation financial product</w:t>
      </w:r>
      <w:r w:rsidRPr="00BE1284">
        <w:t xml:space="preserve"> means</w:t>
      </w:r>
      <w:r w:rsidRPr="00BE1284">
        <w:rPr>
          <w:shd w:val="clear" w:color="auto" w:fill="FFFFFF"/>
        </w:rPr>
        <w:t xml:space="preserve"> a financial product that:</w:t>
      </w:r>
    </w:p>
    <w:p w14:paraId="66AF6EF3" w14:textId="77777777" w:rsidR="00E93F58" w:rsidRPr="00BE1284" w:rsidRDefault="00E93F58" w:rsidP="00DD308C">
      <w:pPr>
        <w:pStyle w:val="paragraph"/>
        <w:rPr>
          <w:color w:val="000000"/>
          <w:szCs w:val="22"/>
          <w:shd w:val="clear" w:color="auto" w:fill="FFFFFF"/>
        </w:rPr>
      </w:pPr>
      <w:r w:rsidRPr="00BE1284">
        <w:tab/>
        <w:t>(a)</w:t>
      </w:r>
      <w:r w:rsidRPr="00BE1284">
        <w:tab/>
      </w:r>
      <w:r w:rsidRPr="00BE1284">
        <w:rPr>
          <w:shd w:val="clear" w:color="auto" w:fill="FFFFFF"/>
        </w:rPr>
        <w:t xml:space="preserve">is a financial product </w:t>
      </w:r>
      <w:r w:rsidRPr="00BE1284">
        <w:rPr>
          <w:color w:val="000000"/>
          <w:szCs w:val="22"/>
          <w:shd w:val="clear" w:color="auto" w:fill="FFFFFF"/>
        </w:rPr>
        <w:t xml:space="preserve">within the meaning of </w:t>
      </w:r>
      <w:r>
        <w:rPr>
          <w:color w:val="000000"/>
          <w:szCs w:val="22"/>
          <w:shd w:val="clear" w:color="auto" w:fill="FFFFFF"/>
        </w:rPr>
        <w:t>Division 2</w:t>
      </w:r>
      <w:r w:rsidRPr="00BE1284">
        <w:rPr>
          <w:color w:val="000000"/>
          <w:szCs w:val="22"/>
          <w:shd w:val="clear" w:color="auto" w:fill="FFFFFF"/>
        </w:rPr>
        <w:t xml:space="preserve"> of </w:t>
      </w:r>
      <w:r>
        <w:rPr>
          <w:color w:val="000000"/>
          <w:szCs w:val="22"/>
          <w:shd w:val="clear" w:color="auto" w:fill="FFFFFF"/>
        </w:rPr>
        <w:t>Part 2</w:t>
      </w:r>
      <w:r w:rsidRPr="00BE1284">
        <w:rPr>
          <w:color w:val="000000"/>
          <w:szCs w:val="22"/>
          <w:shd w:val="clear" w:color="auto" w:fill="FFFFFF"/>
        </w:rPr>
        <w:t xml:space="preserve"> of the ASIC Act; and</w:t>
      </w:r>
    </w:p>
    <w:p w14:paraId="734053E4" w14:textId="77777777" w:rsidR="00E93F58" w:rsidRPr="00BE1284" w:rsidRDefault="00E93F58" w:rsidP="00DD308C">
      <w:pPr>
        <w:pStyle w:val="paragraph"/>
        <w:rPr>
          <w:shd w:val="clear" w:color="auto" w:fill="FFFFFF"/>
        </w:rPr>
      </w:pPr>
      <w:r w:rsidRPr="00BE1284">
        <w:rPr>
          <w:shd w:val="clear" w:color="auto" w:fill="FFFFFF"/>
        </w:rPr>
        <w:tab/>
        <w:t>(b)</w:t>
      </w:r>
      <w:r w:rsidRPr="00BE1284">
        <w:rPr>
          <w:shd w:val="clear" w:color="auto" w:fill="FFFFFF"/>
        </w:rPr>
        <w:tab/>
        <w:t xml:space="preserve">is </w:t>
      </w:r>
      <w:r w:rsidRPr="00BE1284">
        <w:t>not a financial product within the meaning of the Act.</w:t>
      </w:r>
    </w:p>
    <w:p w14:paraId="05DF3616" w14:textId="77777777" w:rsidR="00E93F58" w:rsidRPr="00BE1284" w:rsidRDefault="00E93F58" w:rsidP="00DD308C">
      <w:pPr>
        <w:pStyle w:val="ActHead5"/>
      </w:pPr>
      <w:bookmarkStart w:id="1396" w:name="_Toc152054675"/>
      <w:bookmarkStart w:id="1397" w:name="_Toc158712491"/>
      <w:r w:rsidRPr="00EE4AA9">
        <w:rPr>
          <w:rStyle w:val="CharSectno"/>
        </w:rPr>
        <w:t>7.8A.02</w:t>
      </w:r>
      <w:r w:rsidRPr="00BE1284">
        <w:rPr>
          <w:shd w:val="clear" w:color="auto" w:fill="FFFFFF"/>
        </w:rPr>
        <w:t xml:space="preserve">  Meaning of </w:t>
      </w:r>
      <w:r w:rsidRPr="00BE1284">
        <w:rPr>
          <w:i/>
          <w:shd w:val="clear" w:color="auto" w:fill="FFFFFF"/>
        </w:rPr>
        <w:t>regulated person</w:t>
      </w:r>
      <w:r w:rsidRPr="00BE1284">
        <w:rPr>
          <w:shd w:val="clear" w:color="auto" w:fill="FFFFFF"/>
        </w:rPr>
        <w:t>—prescribed persons</w:t>
      </w:r>
      <w:bookmarkEnd w:id="1396"/>
      <w:bookmarkEnd w:id="1397"/>
    </w:p>
    <w:p w14:paraId="5F2A9EF7" w14:textId="77777777" w:rsidR="00E93F58" w:rsidRPr="00283424" w:rsidRDefault="00E93F58" w:rsidP="00B50726">
      <w:pPr>
        <w:pStyle w:val="subsection"/>
      </w:pPr>
      <w:r w:rsidRPr="00283424">
        <w:tab/>
        <w:t>(1)</w:t>
      </w:r>
      <w:r w:rsidRPr="00283424">
        <w:tab/>
        <w:t xml:space="preserve">This regulation is made for the purposes of paragraph (c) of the definition of </w:t>
      </w:r>
      <w:r w:rsidRPr="00283424">
        <w:rPr>
          <w:b/>
          <w:i/>
        </w:rPr>
        <w:t>regulated person</w:t>
      </w:r>
      <w:r w:rsidRPr="00283424">
        <w:t xml:space="preserve"> in </w:t>
      </w:r>
      <w:r>
        <w:t>subsection 9</w:t>
      </w:r>
      <w:r w:rsidRPr="00BE1284">
        <w:t>94A(2)</w:t>
      </w:r>
      <w:r w:rsidRPr="00283424">
        <w:t xml:space="preserve"> of the Act.</w:t>
      </w:r>
    </w:p>
    <w:p w14:paraId="012153AF" w14:textId="77777777" w:rsidR="00E93F58" w:rsidRPr="00283424" w:rsidRDefault="00E93F58" w:rsidP="00B50726">
      <w:pPr>
        <w:pStyle w:val="SubsectionHead"/>
      </w:pPr>
      <w:r w:rsidRPr="00283424">
        <w:t>Persons who are exempt from having an Australian financial services licence</w:t>
      </w:r>
    </w:p>
    <w:p w14:paraId="76940DE7" w14:textId="77777777" w:rsidR="00E93F58" w:rsidRPr="00283424" w:rsidRDefault="00E93F58" w:rsidP="00B50726">
      <w:pPr>
        <w:pStyle w:val="subsection"/>
      </w:pPr>
      <w:r w:rsidRPr="00283424">
        <w:tab/>
        <w:t>(2)</w:t>
      </w:r>
      <w:r w:rsidRPr="00283424">
        <w:tab/>
        <w:t>A person is prescribed in relation to a financial product if the person is exempt from the requirement in section 911A of the Act to hold an Australian financial services licence under either of the following provisions of the Act:</w:t>
      </w:r>
    </w:p>
    <w:p w14:paraId="28E65301" w14:textId="77777777" w:rsidR="00E93F58" w:rsidRPr="00283424" w:rsidRDefault="00E93F58" w:rsidP="00B50726">
      <w:pPr>
        <w:pStyle w:val="paragraph"/>
      </w:pPr>
      <w:r w:rsidRPr="00283424">
        <w:tab/>
        <w:t>(a)</w:t>
      </w:r>
      <w:r w:rsidRPr="00283424">
        <w:tab/>
        <w:t>paragraph 926A(2)(a);</w:t>
      </w:r>
    </w:p>
    <w:p w14:paraId="270B0496" w14:textId="77777777" w:rsidR="00E93F58" w:rsidRPr="00283424" w:rsidRDefault="00E93F58" w:rsidP="00B50726">
      <w:pPr>
        <w:pStyle w:val="paragraph"/>
      </w:pPr>
      <w:r w:rsidRPr="00283424">
        <w:tab/>
        <w:t>(b)</w:t>
      </w:r>
      <w:r w:rsidRPr="00283424">
        <w:tab/>
        <w:t>paragraph 926B(1)(a).</w:t>
      </w:r>
    </w:p>
    <w:p w14:paraId="6CBBC34F" w14:textId="77777777" w:rsidR="00E93F58" w:rsidRPr="00283424" w:rsidRDefault="00E93F58" w:rsidP="00B50726">
      <w:pPr>
        <w:pStyle w:val="SubsectionHead"/>
      </w:pPr>
      <w:r w:rsidRPr="00283424">
        <w:t>Product distributors</w:t>
      </w:r>
    </w:p>
    <w:p w14:paraId="7A409F36" w14:textId="77777777" w:rsidR="00E93F58" w:rsidRPr="00283424" w:rsidRDefault="00E93F58" w:rsidP="00B50726">
      <w:pPr>
        <w:pStyle w:val="subsection"/>
      </w:pPr>
      <w:r w:rsidRPr="00283424">
        <w:tab/>
        <w:t>(3)</w:t>
      </w:r>
      <w:r w:rsidRPr="00283424">
        <w:tab/>
        <w:t xml:space="preserve">A product distributor within the meaning of section 910A of the Act (as modified by the </w:t>
      </w:r>
      <w:r w:rsidRPr="00283424">
        <w:rPr>
          <w:i/>
        </w:rPr>
        <w:t>ASIC Corporations (Basic Deposit and General Insurance Product Distribution) Instrument 2015/682</w:t>
      </w:r>
      <w:r w:rsidRPr="00283424">
        <w:t>) is prescribed in relation to the following financial products:</w:t>
      </w:r>
    </w:p>
    <w:p w14:paraId="1C28E204" w14:textId="77777777" w:rsidR="00E93F58" w:rsidRPr="00283424" w:rsidRDefault="00E93F58" w:rsidP="00B50726">
      <w:pPr>
        <w:pStyle w:val="paragraph"/>
      </w:pPr>
      <w:r w:rsidRPr="00283424">
        <w:tab/>
        <w:t>(a)</w:t>
      </w:r>
      <w:r w:rsidRPr="00283424">
        <w:tab/>
        <w:t>a basic deposit product;</w:t>
      </w:r>
    </w:p>
    <w:p w14:paraId="67736F9E" w14:textId="77777777" w:rsidR="00E93F58" w:rsidRPr="00283424" w:rsidRDefault="00E93F58" w:rsidP="00B50726">
      <w:pPr>
        <w:pStyle w:val="paragraph"/>
      </w:pPr>
      <w:r w:rsidRPr="00283424">
        <w:tab/>
        <w:t>(b)</w:t>
      </w:r>
      <w:r w:rsidRPr="00283424">
        <w:tab/>
        <w:t>a general insurance product;</w:t>
      </w:r>
    </w:p>
    <w:p w14:paraId="528DFB21" w14:textId="77777777" w:rsidR="00E93F58" w:rsidRPr="00283424" w:rsidRDefault="00E93F58" w:rsidP="00B50726">
      <w:pPr>
        <w:pStyle w:val="paragraph"/>
      </w:pPr>
      <w:r w:rsidRPr="00283424">
        <w:tab/>
        <w:t>(c)</w:t>
      </w:r>
      <w:r w:rsidRPr="00283424">
        <w:tab/>
        <w:t>a bundled consumer credit insurance product (within the meaning of that instrument).</w:t>
      </w:r>
    </w:p>
    <w:p w14:paraId="2BE80F0F" w14:textId="77777777" w:rsidR="00E93F58" w:rsidRPr="00283424" w:rsidRDefault="00E93F58" w:rsidP="00B50726">
      <w:pPr>
        <w:pStyle w:val="SubsectionHead"/>
      </w:pPr>
      <w:r w:rsidRPr="00283424">
        <w:t>Credit licensees</w:t>
      </w:r>
    </w:p>
    <w:p w14:paraId="009685C6" w14:textId="77777777" w:rsidR="00E93F58" w:rsidRPr="00283424" w:rsidRDefault="00E93F58" w:rsidP="00B50726">
      <w:pPr>
        <w:pStyle w:val="subsection"/>
      </w:pPr>
      <w:r w:rsidRPr="00283424">
        <w:tab/>
        <w:t>(4)</w:t>
      </w:r>
      <w:r w:rsidRPr="00283424">
        <w:tab/>
        <w:t>Each of the following persons is prescribed in relation to a financial product that is a credit facility:</w:t>
      </w:r>
    </w:p>
    <w:p w14:paraId="2996AFCF" w14:textId="77777777" w:rsidR="00E93F58" w:rsidRPr="00283424" w:rsidRDefault="00E93F58" w:rsidP="00B50726">
      <w:pPr>
        <w:pStyle w:val="paragraph"/>
      </w:pPr>
      <w:r w:rsidRPr="00283424">
        <w:tab/>
        <w:t>(a)</w:t>
      </w:r>
      <w:r w:rsidRPr="00283424">
        <w:tab/>
        <w:t xml:space="preserve">a person who is a licensee within the meaning of the </w:t>
      </w:r>
      <w:r w:rsidRPr="00283424">
        <w:rPr>
          <w:i/>
        </w:rPr>
        <w:t xml:space="preserve">National Consumer Credit Protection Act 2009 </w:t>
      </w:r>
      <w:r w:rsidRPr="00283424">
        <w:t xml:space="preserve">(the </w:t>
      </w:r>
      <w:r w:rsidRPr="00283424">
        <w:rPr>
          <w:b/>
          <w:i/>
        </w:rPr>
        <w:t>Credit Act</w:t>
      </w:r>
      <w:r w:rsidRPr="00283424">
        <w:t>);</w:t>
      </w:r>
    </w:p>
    <w:p w14:paraId="14E3587E" w14:textId="77777777" w:rsidR="00E93F58" w:rsidRPr="00283424" w:rsidRDefault="00E93F58" w:rsidP="00B50726">
      <w:pPr>
        <w:pStyle w:val="paragraph"/>
      </w:pPr>
      <w:r w:rsidRPr="00283424">
        <w:tab/>
        <w:t>(b)</w:t>
      </w:r>
      <w:r w:rsidRPr="00283424">
        <w:tab/>
        <w:t>a person who is a credit representative (within the meaning of the Credit Act) of such a licensee;</w:t>
      </w:r>
    </w:p>
    <w:p w14:paraId="70C692E7" w14:textId="77777777" w:rsidR="00E93F58" w:rsidRPr="00283424" w:rsidRDefault="00E93F58" w:rsidP="00B50726">
      <w:pPr>
        <w:pStyle w:val="paragraph"/>
      </w:pPr>
      <w:r w:rsidRPr="00283424">
        <w:tab/>
        <w:t>(c)</w:t>
      </w:r>
      <w:r w:rsidRPr="00283424">
        <w:tab/>
        <w:t>a person who is exempt from the operation of section 29 of the Credit Act (which is about the requirement to hold a credit licence) under any of the following provisions of that Act:</w:t>
      </w:r>
    </w:p>
    <w:p w14:paraId="0CFEA829" w14:textId="77777777" w:rsidR="00E93F58" w:rsidRPr="00283424" w:rsidRDefault="00E93F58" w:rsidP="00B50726">
      <w:pPr>
        <w:pStyle w:val="paragraphsub"/>
      </w:pPr>
      <w:r w:rsidRPr="00283424">
        <w:tab/>
        <w:t>(i)</w:t>
      </w:r>
      <w:r w:rsidRPr="00283424">
        <w:tab/>
        <w:t>paragraph 109(1)(a);</w:t>
      </w:r>
    </w:p>
    <w:p w14:paraId="2085EEE9" w14:textId="77777777" w:rsidR="00E93F58" w:rsidRPr="00283424" w:rsidRDefault="00E93F58" w:rsidP="00B50726">
      <w:pPr>
        <w:pStyle w:val="paragraphsub"/>
      </w:pPr>
      <w:r w:rsidRPr="00283424">
        <w:tab/>
        <w:t>(ii)</w:t>
      </w:r>
      <w:r w:rsidRPr="00283424">
        <w:tab/>
        <w:t>paragraph 109(3)(a);</w:t>
      </w:r>
    </w:p>
    <w:p w14:paraId="4D2B1518" w14:textId="77777777" w:rsidR="00E93F58" w:rsidRPr="00283424" w:rsidRDefault="00E93F58" w:rsidP="00B50726">
      <w:pPr>
        <w:pStyle w:val="paragraphsub"/>
      </w:pPr>
      <w:r w:rsidRPr="00283424">
        <w:tab/>
        <w:t>(iii)</w:t>
      </w:r>
      <w:r w:rsidRPr="00283424">
        <w:tab/>
        <w:t>paragraph </w:t>
      </w:r>
      <w:r w:rsidRPr="006D627C">
        <w:t>110(1)(a)</w:t>
      </w:r>
      <w:r w:rsidRPr="00283424">
        <w:t>;</w:t>
      </w:r>
    </w:p>
    <w:p w14:paraId="08D51942" w14:textId="77777777" w:rsidR="00E93F58" w:rsidRPr="00283424" w:rsidRDefault="00E93F58" w:rsidP="00B50726">
      <w:pPr>
        <w:pStyle w:val="paragraph"/>
      </w:pPr>
      <w:r w:rsidRPr="00283424">
        <w:tab/>
        <w:t>(d)</w:t>
      </w:r>
      <w:r w:rsidRPr="00283424">
        <w:tab/>
        <w:t>a person who engages in a credit activity (within the meaning of section 6 of the Credit Act) on the person’s own behalf;</w:t>
      </w:r>
    </w:p>
    <w:p w14:paraId="72369CCA" w14:textId="77777777" w:rsidR="00E93F58" w:rsidRPr="00283424" w:rsidRDefault="00E93F58" w:rsidP="00B50726">
      <w:pPr>
        <w:pStyle w:val="paragraph"/>
      </w:pPr>
      <w:r w:rsidRPr="00283424">
        <w:tab/>
        <w:t>(e)</w:t>
      </w:r>
      <w:r w:rsidRPr="00283424">
        <w:tab/>
        <w:t>a person who contravenes section 29 of the Credit Act.</w:t>
      </w:r>
    </w:p>
    <w:p w14:paraId="3429EAD8" w14:textId="77777777" w:rsidR="00E93F58" w:rsidRPr="00283424" w:rsidRDefault="00E93F58" w:rsidP="00B50726">
      <w:pPr>
        <w:pStyle w:val="SubsectionHead"/>
      </w:pPr>
      <w:r w:rsidRPr="00283424">
        <w:t>Issuers and sellers of extended operation financial products</w:t>
      </w:r>
    </w:p>
    <w:p w14:paraId="472324E1" w14:textId="77777777" w:rsidR="00E93F58" w:rsidRPr="00283424" w:rsidRDefault="00E93F58" w:rsidP="00B50726">
      <w:pPr>
        <w:pStyle w:val="subsection"/>
      </w:pPr>
      <w:r w:rsidRPr="00283424">
        <w:tab/>
        <w:t>(5)</w:t>
      </w:r>
      <w:r w:rsidRPr="00283424">
        <w:tab/>
        <w:t>Each of the following persons is prescribed in relation to an extended operation financial product:</w:t>
      </w:r>
    </w:p>
    <w:p w14:paraId="2A4A9F5C" w14:textId="77777777" w:rsidR="00E93F58" w:rsidRPr="00283424" w:rsidRDefault="00E93F58" w:rsidP="00B50726">
      <w:pPr>
        <w:pStyle w:val="paragraph"/>
      </w:pPr>
      <w:r w:rsidRPr="00283424">
        <w:lastRenderedPageBreak/>
        <w:tab/>
        <w:t>(a)</w:t>
      </w:r>
      <w:r w:rsidRPr="00283424">
        <w:tab/>
        <w:t>a person who issues the product;</w:t>
      </w:r>
    </w:p>
    <w:p w14:paraId="0BD05B2D" w14:textId="77777777" w:rsidR="00E93F58" w:rsidRPr="00283424" w:rsidRDefault="00E93F58" w:rsidP="00B50726">
      <w:pPr>
        <w:pStyle w:val="paragraph"/>
      </w:pPr>
      <w:r w:rsidRPr="00283424">
        <w:tab/>
        <w:t>(b)</w:t>
      </w:r>
      <w:r w:rsidRPr="00283424">
        <w:tab/>
        <w:t>a person who sells the product under a regulated sale.</w:t>
      </w:r>
    </w:p>
    <w:p w14:paraId="53467D27" w14:textId="77777777" w:rsidR="00E93F58" w:rsidRPr="00283424" w:rsidRDefault="00E93F58" w:rsidP="00B50726">
      <w:pPr>
        <w:pStyle w:val="ActHead3"/>
        <w:pageBreakBefore/>
      </w:pPr>
      <w:bookmarkStart w:id="1398" w:name="_Toc152054676"/>
      <w:bookmarkStart w:id="1399" w:name="_Toc158712492"/>
      <w:r w:rsidRPr="006F296E">
        <w:rPr>
          <w:rStyle w:val="CharDivNo"/>
        </w:rPr>
        <w:lastRenderedPageBreak/>
        <w:t>Division 2</w:t>
      </w:r>
      <w:r w:rsidRPr="00283424">
        <w:t>—</w:t>
      </w:r>
      <w:r w:rsidRPr="006F296E">
        <w:rPr>
          <w:rStyle w:val="CharDivText"/>
        </w:rPr>
        <w:t>Financial products for which target market determinations are required</w:t>
      </w:r>
      <w:bookmarkEnd w:id="1398"/>
      <w:bookmarkEnd w:id="1399"/>
    </w:p>
    <w:p w14:paraId="523C16A9" w14:textId="77777777" w:rsidR="00E93F58" w:rsidRPr="00283424" w:rsidRDefault="00E93F58" w:rsidP="00B50726">
      <w:pPr>
        <w:pStyle w:val="ActHead5"/>
      </w:pPr>
      <w:bookmarkStart w:id="1400" w:name="_Toc152054677"/>
      <w:bookmarkStart w:id="1401" w:name="_Toc158712493"/>
      <w:r w:rsidRPr="006F296E">
        <w:rPr>
          <w:rStyle w:val="CharSectno"/>
        </w:rPr>
        <w:t>7.8A.03</w:t>
      </w:r>
      <w:r w:rsidRPr="00283424">
        <w:t xml:space="preserve">  Financial products for which target market determinations are required</w:t>
      </w:r>
      <w:bookmarkEnd w:id="1400"/>
      <w:bookmarkEnd w:id="1401"/>
    </w:p>
    <w:p w14:paraId="663E34E6" w14:textId="77777777" w:rsidR="00E93F58" w:rsidRPr="00283424" w:rsidRDefault="00E93F58" w:rsidP="00B50726">
      <w:pPr>
        <w:pStyle w:val="subsection"/>
      </w:pPr>
      <w:r w:rsidRPr="00283424">
        <w:tab/>
      </w:r>
      <w:r w:rsidRPr="00283424">
        <w:tab/>
        <w:t>This Division is made for the purposes of paragraphs 994B(1)(c) and 994B(2)(b) of the Act.</w:t>
      </w:r>
    </w:p>
    <w:p w14:paraId="7B803DC8" w14:textId="77777777" w:rsidR="00E93F58" w:rsidRPr="00BE1284" w:rsidRDefault="00E93F58" w:rsidP="00063E51">
      <w:pPr>
        <w:pStyle w:val="ActHead5"/>
      </w:pPr>
      <w:bookmarkStart w:id="1402" w:name="_Toc152054678"/>
      <w:bookmarkStart w:id="1403" w:name="_Toc158712494"/>
      <w:r w:rsidRPr="00EE4AA9">
        <w:rPr>
          <w:rStyle w:val="CharSectno"/>
        </w:rPr>
        <w:t>7.8A.04</w:t>
      </w:r>
      <w:r w:rsidRPr="00BE1284">
        <w:t xml:space="preserve">  Jurisdictional scope of Division</w:t>
      </w:r>
      <w:bookmarkEnd w:id="1402"/>
      <w:bookmarkEnd w:id="1403"/>
    </w:p>
    <w:p w14:paraId="01CF26E2" w14:textId="77777777" w:rsidR="00E93F58" w:rsidRPr="00BE1284" w:rsidRDefault="00E93F58" w:rsidP="00063E51">
      <w:pPr>
        <w:pStyle w:val="subsection"/>
      </w:pPr>
      <w:r w:rsidRPr="00BE1284">
        <w:tab/>
      </w:r>
      <w:r w:rsidRPr="00BE1284">
        <w:tab/>
        <w:t>A person is not required by this Division to make a target market determination for a financial product if the product is:</w:t>
      </w:r>
    </w:p>
    <w:p w14:paraId="03135E15" w14:textId="77777777" w:rsidR="00E93F58" w:rsidRPr="00BE1284" w:rsidRDefault="00E93F58" w:rsidP="00063E51">
      <w:pPr>
        <w:pStyle w:val="paragraph"/>
      </w:pPr>
      <w:r w:rsidRPr="00BE1284">
        <w:tab/>
        <w:t>(a)</w:t>
      </w:r>
      <w:r w:rsidRPr="00BE1284">
        <w:tab/>
        <w:t>a financial product that is not available for acquisition by issue, or by regulated sale, in this jurisdiction; or</w:t>
      </w:r>
    </w:p>
    <w:p w14:paraId="190D0507" w14:textId="77777777" w:rsidR="00E93F58" w:rsidRPr="00BE1284" w:rsidRDefault="00E93F58" w:rsidP="00063E51">
      <w:pPr>
        <w:pStyle w:val="paragraph"/>
      </w:pPr>
      <w:r w:rsidRPr="00BE1284">
        <w:tab/>
        <w:t>(b)</w:t>
      </w:r>
      <w:r w:rsidRPr="00BE1284">
        <w:tab/>
        <w:t>securities (</w:t>
      </w:r>
      <w:r>
        <w:t>as defined in subsection 92(7) of the Act</w:t>
      </w:r>
      <w:r w:rsidRPr="00BE1284">
        <w:t>) offered under a recognised offer in relation to a recognised jurisdiction.</w:t>
      </w:r>
    </w:p>
    <w:p w14:paraId="2386AD44" w14:textId="77777777" w:rsidR="00E93F58" w:rsidRPr="00283424" w:rsidRDefault="00E93F58" w:rsidP="00B50726">
      <w:pPr>
        <w:pStyle w:val="ActHead5"/>
      </w:pPr>
      <w:bookmarkStart w:id="1404" w:name="_Toc152054679"/>
      <w:bookmarkStart w:id="1405" w:name="_Toc158712495"/>
      <w:r w:rsidRPr="006F296E">
        <w:rPr>
          <w:rStyle w:val="CharSectno"/>
        </w:rPr>
        <w:t>7.8A.05</w:t>
      </w:r>
      <w:r w:rsidRPr="00283424">
        <w:t xml:space="preserve">  Simple corporate bonds</w:t>
      </w:r>
      <w:bookmarkEnd w:id="1404"/>
      <w:bookmarkEnd w:id="1405"/>
    </w:p>
    <w:p w14:paraId="00B1BFC0" w14:textId="77777777" w:rsidR="00E93F58" w:rsidRPr="00283424" w:rsidRDefault="00E93F58" w:rsidP="00B50726">
      <w:pPr>
        <w:pStyle w:val="subsection"/>
      </w:pPr>
      <w:r w:rsidRPr="00283424">
        <w:tab/>
      </w:r>
      <w:r w:rsidRPr="00283424">
        <w:tab/>
        <w:t>A person must make a target market determination for a financial product if:</w:t>
      </w:r>
    </w:p>
    <w:p w14:paraId="3E15D2EF" w14:textId="77777777" w:rsidR="00E93F58" w:rsidRPr="00283424" w:rsidRDefault="00E93F58" w:rsidP="00B50726">
      <w:pPr>
        <w:pStyle w:val="paragraph"/>
      </w:pPr>
      <w:r w:rsidRPr="00283424">
        <w:tab/>
        <w:t>(a)</w:t>
      </w:r>
      <w:r w:rsidRPr="00283424">
        <w:tab/>
        <w:t>the product is a simple corporate bonds depository interest where the bonds are to be issued under a 2</w:t>
      </w:r>
      <w:r>
        <w:noBreakHyphen/>
      </w:r>
      <w:r w:rsidRPr="00283424">
        <w:t>part simple corporate bonds prospectus; and</w:t>
      </w:r>
    </w:p>
    <w:p w14:paraId="6649FEC7" w14:textId="77777777" w:rsidR="00E93F58" w:rsidRPr="00283424" w:rsidRDefault="00E93F58" w:rsidP="00B50726">
      <w:pPr>
        <w:pStyle w:val="paragraph"/>
      </w:pPr>
      <w:r w:rsidRPr="00283424">
        <w:tab/>
        <w:t>(b)</w:t>
      </w:r>
      <w:r w:rsidRPr="00283424">
        <w:tab/>
        <w:t>the person is the person required to prepare a disclosure document for the bonds.</w:t>
      </w:r>
    </w:p>
    <w:p w14:paraId="3FC0096F" w14:textId="77777777" w:rsidR="00E93F58" w:rsidRPr="00283424" w:rsidRDefault="00E93F58" w:rsidP="00B50726">
      <w:pPr>
        <w:pStyle w:val="notetext"/>
      </w:pPr>
      <w:r w:rsidRPr="00283424">
        <w:t>Note:</w:t>
      </w:r>
      <w:r w:rsidRPr="00283424">
        <w:tab/>
        <w:t>The person must make the determination before any person engages in retail product distribution conduct in relation to the product: see subparagraph 994B(2)(b)(ii) of the Act.</w:t>
      </w:r>
    </w:p>
    <w:p w14:paraId="4536CBCE" w14:textId="77777777" w:rsidR="00E93F58" w:rsidRPr="00283424" w:rsidRDefault="00E93F58" w:rsidP="00B50726">
      <w:pPr>
        <w:pStyle w:val="ActHead5"/>
      </w:pPr>
      <w:bookmarkStart w:id="1406" w:name="_Toc152054680"/>
      <w:bookmarkStart w:id="1407" w:name="_Toc158712496"/>
      <w:r w:rsidRPr="006F296E">
        <w:rPr>
          <w:rStyle w:val="CharSectno"/>
        </w:rPr>
        <w:t>7.8A.06</w:t>
      </w:r>
      <w:r w:rsidRPr="00283424">
        <w:t xml:space="preserve">  Debentures of certain bodies</w:t>
      </w:r>
      <w:bookmarkEnd w:id="1406"/>
      <w:bookmarkEnd w:id="1407"/>
    </w:p>
    <w:p w14:paraId="62356790" w14:textId="77777777" w:rsidR="00E93F58" w:rsidRPr="00283424" w:rsidRDefault="00E93F58" w:rsidP="00B50726">
      <w:pPr>
        <w:pStyle w:val="subsection"/>
      </w:pPr>
      <w:r w:rsidRPr="00283424">
        <w:tab/>
      </w:r>
      <w:r w:rsidRPr="00283424">
        <w:tab/>
        <w:t>A person must make a target market determination for a financial product if:</w:t>
      </w:r>
    </w:p>
    <w:p w14:paraId="35D2F553" w14:textId="77777777" w:rsidR="00E93F58" w:rsidRPr="00283424" w:rsidRDefault="00E93F58" w:rsidP="00B50726">
      <w:pPr>
        <w:pStyle w:val="paragraph"/>
      </w:pPr>
      <w:r w:rsidRPr="00283424">
        <w:tab/>
        <w:t>(a)</w:t>
      </w:r>
      <w:r w:rsidRPr="00283424">
        <w:tab/>
        <w:t>the product is a debenture of a body that is:</w:t>
      </w:r>
    </w:p>
    <w:p w14:paraId="791A4E36" w14:textId="77777777" w:rsidR="00E93F58" w:rsidRPr="00283424" w:rsidRDefault="00E93F58" w:rsidP="00B50726">
      <w:pPr>
        <w:pStyle w:val="paragraphsub"/>
      </w:pPr>
      <w:r w:rsidRPr="00283424">
        <w:tab/>
        <w:t>(i)</w:t>
      </w:r>
      <w:r w:rsidRPr="00283424">
        <w:tab/>
        <w:t>an ADI (short for authorised deposit</w:t>
      </w:r>
      <w:r>
        <w:noBreakHyphen/>
      </w:r>
      <w:r w:rsidRPr="00283424">
        <w:t xml:space="preserve">taking institution) within the meaning of the </w:t>
      </w:r>
      <w:r w:rsidRPr="00283424">
        <w:rPr>
          <w:i/>
          <w:iCs/>
        </w:rPr>
        <w:t>Banking Act 1959</w:t>
      </w:r>
      <w:r w:rsidRPr="00283424">
        <w:t>; or</w:t>
      </w:r>
    </w:p>
    <w:p w14:paraId="01375E63" w14:textId="77777777" w:rsidR="00E93F58" w:rsidRPr="00283424" w:rsidRDefault="00E93F58" w:rsidP="00B50726">
      <w:pPr>
        <w:pStyle w:val="paragraphsub"/>
      </w:pPr>
      <w:r w:rsidRPr="00283424">
        <w:tab/>
        <w:t>(ii)</w:t>
      </w:r>
      <w:r w:rsidRPr="00283424">
        <w:tab/>
        <w:t xml:space="preserve">registered under section 21 of the </w:t>
      </w:r>
      <w:r w:rsidRPr="00283424">
        <w:rPr>
          <w:i/>
        </w:rPr>
        <w:t>Life Insurance Act 1995</w:t>
      </w:r>
      <w:r w:rsidRPr="00283424">
        <w:t>; and</w:t>
      </w:r>
    </w:p>
    <w:p w14:paraId="442CBDAD" w14:textId="77777777" w:rsidR="00E93F58" w:rsidRPr="00283424" w:rsidRDefault="00E93F58" w:rsidP="00B50726">
      <w:pPr>
        <w:pStyle w:val="paragraph"/>
      </w:pPr>
      <w:r w:rsidRPr="00283424">
        <w:tab/>
        <w:t>(b)</w:t>
      </w:r>
      <w:r w:rsidRPr="00283424">
        <w:tab/>
        <w:t>but for subsection 708(19) of the Act, disclosure to investors under Part 6D.2 of the Act would be needed for an offer of the debenture for issue or sale; and</w:t>
      </w:r>
    </w:p>
    <w:p w14:paraId="03757B28" w14:textId="77777777" w:rsidR="00E93F58" w:rsidRPr="00283424" w:rsidRDefault="00E93F58" w:rsidP="00B50726">
      <w:pPr>
        <w:pStyle w:val="paragraph"/>
      </w:pPr>
      <w:r w:rsidRPr="00283424">
        <w:tab/>
        <w:t>(c)</w:t>
      </w:r>
      <w:r w:rsidRPr="00283424">
        <w:tab/>
        <w:t>the person is the person who, but for subsection 708(19) of the Act, would be required to prepare a disclosure document for an offer of the debenture for issue or sale.</w:t>
      </w:r>
    </w:p>
    <w:p w14:paraId="4D025C49" w14:textId="77777777" w:rsidR="00E93F58" w:rsidRPr="00283424" w:rsidRDefault="00E93F58" w:rsidP="00B50726">
      <w:pPr>
        <w:pStyle w:val="notetext"/>
      </w:pPr>
      <w:r w:rsidRPr="00283424">
        <w:t>Note:</w:t>
      </w:r>
      <w:r w:rsidRPr="00283424">
        <w:tab/>
        <w:t>The person must make the determination before any person engages in retail product distribution conduct in relation to the product: see subparagraph 994B(2)(b)(ii) of the Act.</w:t>
      </w:r>
    </w:p>
    <w:p w14:paraId="6E9B438B" w14:textId="77777777" w:rsidR="00E93F58" w:rsidRPr="00283424" w:rsidRDefault="00E93F58" w:rsidP="00B50726">
      <w:pPr>
        <w:pStyle w:val="ActHead5"/>
      </w:pPr>
      <w:bookmarkStart w:id="1408" w:name="_Toc152054681"/>
      <w:bookmarkStart w:id="1409" w:name="_Toc158712497"/>
      <w:r w:rsidRPr="006F296E">
        <w:rPr>
          <w:rStyle w:val="CharSectno"/>
        </w:rPr>
        <w:t>7.8A.07</w:t>
      </w:r>
      <w:r w:rsidRPr="00283424">
        <w:t xml:space="preserve">  Basic banking products</w:t>
      </w:r>
      <w:bookmarkEnd w:id="1408"/>
      <w:bookmarkEnd w:id="1409"/>
    </w:p>
    <w:p w14:paraId="557B2255" w14:textId="77777777" w:rsidR="00E93F58" w:rsidRPr="00283424" w:rsidRDefault="00E93F58" w:rsidP="00B50726">
      <w:pPr>
        <w:pStyle w:val="subsection"/>
      </w:pPr>
      <w:r w:rsidRPr="00283424">
        <w:tab/>
      </w:r>
      <w:r w:rsidRPr="00283424">
        <w:tab/>
        <w:t>A person must make a target market determination for a financial product if:</w:t>
      </w:r>
    </w:p>
    <w:p w14:paraId="6FE0F403" w14:textId="77777777" w:rsidR="00E93F58" w:rsidRPr="00283424" w:rsidRDefault="00E93F58" w:rsidP="00B50726">
      <w:pPr>
        <w:pStyle w:val="paragraph"/>
      </w:pPr>
      <w:r w:rsidRPr="00283424">
        <w:tab/>
        <w:t>(a)</w:t>
      </w:r>
      <w:r w:rsidRPr="00283424">
        <w:tab/>
        <w:t>the product is a basic banking product; and</w:t>
      </w:r>
    </w:p>
    <w:p w14:paraId="23FE0ED4" w14:textId="77777777" w:rsidR="00E93F58" w:rsidRPr="00283424" w:rsidRDefault="00E93F58" w:rsidP="00B50726">
      <w:pPr>
        <w:pStyle w:val="paragraph"/>
      </w:pPr>
      <w:r w:rsidRPr="00283424">
        <w:tab/>
        <w:t>(b)</w:t>
      </w:r>
      <w:r w:rsidRPr="00283424">
        <w:tab/>
        <w:t>the person issues, or offers to issue, the product.</w:t>
      </w:r>
    </w:p>
    <w:p w14:paraId="648B98AE" w14:textId="77777777" w:rsidR="00E93F58" w:rsidRPr="00283424" w:rsidRDefault="00E93F58" w:rsidP="00B50726">
      <w:pPr>
        <w:pStyle w:val="notetext"/>
      </w:pPr>
      <w:r w:rsidRPr="00283424">
        <w:t>Note:</w:t>
      </w:r>
      <w:r w:rsidRPr="00283424">
        <w:tab/>
        <w:t>The person must make the determination before any person engages in retail product distribution conduct in relation to the product: see subparagraph 994B(2)(b)(ii) of the Act.</w:t>
      </w:r>
    </w:p>
    <w:p w14:paraId="5A6D37DB" w14:textId="77777777" w:rsidR="00E93F58" w:rsidRPr="00283424" w:rsidRDefault="00E93F58" w:rsidP="00B50726">
      <w:pPr>
        <w:pStyle w:val="ActHead5"/>
      </w:pPr>
      <w:bookmarkStart w:id="1410" w:name="_Toc152054682"/>
      <w:bookmarkStart w:id="1411" w:name="_Toc158712498"/>
      <w:r w:rsidRPr="006F296E">
        <w:rPr>
          <w:rStyle w:val="CharSectno"/>
        </w:rPr>
        <w:t>7.8A.08</w:t>
      </w:r>
      <w:r w:rsidRPr="00283424">
        <w:t xml:space="preserve">  Investor</w:t>
      </w:r>
      <w:r>
        <w:noBreakHyphen/>
      </w:r>
      <w:r w:rsidRPr="00283424">
        <w:t>directed portfolio services</w:t>
      </w:r>
      <w:bookmarkEnd w:id="1410"/>
      <w:bookmarkEnd w:id="1411"/>
    </w:p>
    <w:p w14:paraId="2B04B4EF" w14:textId="77777777" w:rsidR="00E93F58" w:rsidRPr="00283424" w:rsidRDefault="00E93F58" w:rsidP="00B50726">
      <w:pPr>
        <w:pStyle w:val="subsection"/>
      </w:pPr>
      <w:r w:rsidRPr="00283424">
        <w:tab/>
        <w:t>(1)</w:t>
      </w:r>
      <w:r w:rsidRPr="00283424">
        <w:tab/>
        <w:t>A person must make a target market determination for a financial product if:</w:t>
      </w:r>
    </w:p>
    <w:p w14:paraId="6E9E0FA3" w14:textId="77777777" w:rsidR="00E93F58" w:rsidRPr="00283424" w:rsidRDefault="00E93F58" w:rsidP="00B50726">
      <w:pPr>
        <w:pStyle w:val="paragraph"/>
      </w:pPr>
      <w:r w:rsidRPr="00283424">
        <w:tab/>
        <w:t>(a)</w:t>
      </w:r>
      <w:r w:rsidRPr="00283424">
        <w:tab/>
        <w:t>the product is an interest in a managed investment scheme; and</w:t>
      </w:r>
    </w:p>
    <w:p w14:paraId="40CABFC0" w14:textId="77777777" w:rsidR="00E93F58" w:rsidRPr="00283424" w:rsidRDefault="00E93F58" w:rsidP="00B50726">
      <w:pPr>
        <w:pStyle w:val="paragraph"/>
      </w:pPr>
      <w:r w:rsidRPr="00283424">
        <w:tab/>
        <w:t>(b)</w:t>
      </w:r>
      <w:r w:rsidRPr="00283424">
        <w:tab/>
        <w:t>the interest arises out of participation or proposed participation in an IDPS, but is not IDPS property; and</w:t>
      </w:r>
    </w:p>
    <w:p w14:paraId="3D2AF301" w14:textId="77777777" w:rsidR="00E93F58" w:rsidRPr="00283424" w:rsidRDefault="00E93F58" w:rsidP="00B50726">
      <w:pPr>
        <w:pStyle w:val="paragraph"/>
      </w:pPr>
      <w:r w:rsidRPr="00283424">
        <w:tab/>
        <w:t>(c)</w:t>
      </w:r>
      <w:r w:rsidRPr="00283424">
        <w:tab/>
        <w:t>but for ASIC Class Order [CO 13/763], Part 7.9 of the Act would give rise to an obligation on a person to give another person a Product Disclosure Statement for the interest; and</w:t>
      </w:r>
    </w:p>
    <w:p w14:paraId="33B9476E" w14:textId="77777777" w:rsidR="00E93F58" w:rsidRPr="00283424" w:rsidRDefault="00E93F58" w:rsidP="00B50726">
      <w:pPr>
        <w:pStyle w:val="paragraph"/>
      </w:pPr>
      <w:r w:rsidRPr="00283424">
        <w:tab/>
        <w:t>(d)</w:t>
      </w:r>
      <w:r w:rsidRPr="00283424">
        <w:tab/>
        <w:t>the person is the operator of the IDPS.</w:t>
      </w:r>
    </w:p>
    <w:p w14:paraId="65F6072C" w14:textId="77777777" w:rsidR="00E93F58" w:rsidRPr="00283424" w:rsidRDefault="00E93F58" w:rsidP="00B50726">
      <w:pPr>
        <w:pStyle w:val="notetext"/>
      </w:pPr>
      <w:r w:rsidRPr="00283424">
        <w:t>Note:</w:t>
      </w:r>
      <w:r w:rsidRPr="00283424">
        <w:tab/>
        <w:t>The person must make the determination before any person engages in retail product distribution conduct in relation to the product: see subparagraph 994B(2)(b)(ii) of the Act.</w:t>
      </w:r>
    </w:p>
    <w:p w14:paraId="2A7E1660" w14:textId="77777777" w:rsidR="00E93F58" w:rsidRPr="00283424" w:rsidRDefault="00E93F58" w:rsidP="00B50726">
      <w:pPr>
        <w:pStyle w:val="subsection"/>
      </w:pPr>
      <w:r w:rsidRPr="00283424">
        <w:lastRenderedPageBreak/>
        <w:tab/>
        <w:t>(2)</w:t>
      </w:r>
      <w:r w:rsidRPr="00283424">
        <w:tab/>
        <w:t>The following terms used in this regulation have the same meaning as in the section 912AD set out in paragraph 6 of ASIC Class Order [CO 13/763]:</w:t>
      </w:r>
    </w:p>
    <w:p w14:paraId="422D3039" w14:textId="77777777" w:rsidR="00E93F58" w:rsidRPr="00283424" w:rsidRDefault="00E93F58" w:rsidP="00B50726">
      <w:pPr>
        <w:pStyle w:val="paragraph"/>
      </w:pPr>
      <w:r w:rsidRPr="00283424">
        <w:tab/>
        <w:t>(a)</w:t>
      </w:r>
      <w:r w:rsidRPr="00283424">
        <w:tab/>
        <w:t>IDPS;</w:t>
      </w:r>
    </w:p>
    <w:p w14:paraId="5A9FE242" w14:textId="77777777" w:rsidR="00E93F58" w:rsidRPr="00283424" w:rsidRDefault="00E93F58" w:rsidP="00B50726">
      <w:pPr>
        <w:pStyle w:val="paragraph"/>
      </w:pPr>
      <w:r w:rsidRPr="00283424">
        <w:tab/>
        <w:t>(b)</w:t>
      </w:r>
      <w:r w:rsidRPr="00283424">
        <w:tab/>
        <w:t>IDPS property;</w:t>
      </w:r>
    </w:p>
    <w:p w14:paraId="42B7D8DD" w14:textId="77777777" w:rsidR="00E93F58" w:rsidRPr="00283424" w:rsidRDefault="00E93F58" w:rsidP="00B50726">
      <w:pPr>
        <w:pStyle w:val="paragraph"/>
      </w:pPr>
      <w:r w:rsidRPr="00283424">
        <w:tab/>
        <w:t>(c)</w:t>
      </w:r>
      <w:r w:rsidRPr="00283424">
        <w:tab/>
        <w:t>operator, in relation to an IDPS.</w:t>
      </w:r>
    </w:p>
    <w:p w14:paraId="22077CCA" w14:textId="77777777" w:rsidR="00E93F58" w:rsidRPr="00283424" w:rsidRDefault="00E93F58" w:rsidP="00B50726">
      <w:pPr>
        <w:pStyle w:val="ActHead5"/>
      </w:pPr>
      <w:bookmarkStart w:id="1412" w:name="_Toc152054683"/>
      <w:bookmarkStart w:id="1413" w:name="_Toc158712499"/>
      <w:r w:rsidRPr="006F296E">
        <w:rPr>
          <w:rStyle w:val="CharSectno"/>
        </w:rPr>
        <w:t>7.8A.09</w:t>
      </w:r>
      <w:r w:rsidRPr="00283424">
        <w:t xml:space="preserve">  Exchange traded products</w:t>
      </w:r>
      <w:bookmarkEnd w:id="1412"/>
      <w:bookmarkEnd w:id="1413"/>
    </w:p>
    <w:p w14:paraId="144B1772" w14:textId="77777777" w:rsidR="00E93F58" w:rsidRPr="00283424" w:rsidRDefault="00E93F58" w:rsidP="00B50726">
      <w:pPr>
        <w:pStyle w:val="subsection"/>
      </w:pPr>
      <w:r w:rsidRPr="00283424">
        <w:tab/>
        <w:t>(1)</w:t>
      </w:r>
      <w:r w:rsidRPr="00283424">
        <w:tab/>
        <w:t>A person must make a target market determination for a financial product if:</w:t>
      </w:r>
    </w:p>
    <w:p w14:paraId="1FCF1D86" w14:textId="77777777" w:rsidR="00E93F58" w:rsidRPr="00283424" w:rsidRDefault="00E93F58" w:rsidP="00B50726">
      <w:pPr>
        <w:pStyle w:val="paragraph"/>
      </w:pPr>
      <w:r w:rsidRPr="00283424">
        <w:tab/>
        <w:t>(a)</w:t>
      </w:r>
      <w:r w:rsidRPr="00283424">
        <w:tab/>
        <w:t>the product is covered by subregulation (4); and</w:t>
      </w:r>
    </w:p>
    <w:p w14:paraId="67AC5E7E" w14:textId="77777777" w:rsidR="00E93F58" w:rsidRPr="00283424" w:rsidRDefault="00E93F58" w:rsidP="00B50726">
      <w:pPr>
        <w:pStyle w:val="paragraph"/>
      </w:pPr>
      <w:r w:rsidRPr="00283424">
        <w:tab/>
        <w:t>(b)</w:t>
      </w:r>
      <w:r w:rsidRPr="00283424">
        <w:tab/>
        <w:t>the product is, or will be, able to be traded on a licensed market; and</w:t>
      </w:r>
    </w:p>
    <w:p w14:paraId="5AB1E62F" w14:textId="77777777" w:rsidR="00E93F58" w:rsidRPr="00283424" w:rsidRDefault="00E93F58" w:rsidP="00B50726">
      <w:pPr>
        <w:pStyle w:val="paragraph"/>
      </w:pPr>
      <w:r w:rsidRPr="00283424">
        <w:tab/>
        <w:t>(c)</w:t>
      </w:r>
      <w:r w:rsidRPr="00283424">
        <w:tab/>
        <w:t>the issuer issued the product with the purpose mentioned in subparagraph 1012C(6)(c)(i) of the Act; and</w:t>
      </w:r>
    </w:p>
    <w:p w14:paraId="75D86DD1" w14:textId="77777777" w:rsidR="00E93F58" w:rsidRPr="00283424" w:rsidRDefault="00E93F58" w:rsidP="00B50726">
      <w:pPr>
        <w:pStyle w:val="paragraph"/>
      </w:pPr>
      <w:r w:rsidRPr="00283424">
        <w:tab/>
        <w:t>(d)</w:t>
      </w:r>
      <w:r w:rsidRPr="00283424">
        <w:tab/>
        <w:t>it is reasonably likely that a regulated person will offer to sell the product to a person as a retail client within 12 months of the issue of the product; and</w:t>
      </w:r>
    </w:p>
    <w:p w14:paraId="0AF9D57A" w14:textId="77777777" w:rsidR="00E93F58" w:rsidRPr="00283424" w:rsidRDefault="00E93F58" w:rsidP="00B50726">
      <w:pPr>
        <w:pStyle w:val="paragraph"/>
      </w:pPr>
      <w:r w:rsidRPr="00283424">
        <w:tab/>
        <w:t>(e)</w:t>
      </w:r>
      <w:r w:rsidRPr="00283424">
        <w:tab/>
        <w:t>the person is the issuer of the product.</w:t>
      </w:r>
    </w:p>
    <w:p w14:paraId="2D7F6830" w14:textId="77777777" w:rsidR="00E93F58" w:rsidRPr="00283424" w:rsidRDefault="00E93F58" w:rsidP="00B50726">
      <w:pPr>
        <w:pStyle w:val="notetext"/>
      </w:pPr>
      <w:r w:rsidRPr="00283424">
        <w:t>Note:</w:t>
      </w:r>
      <w:r w:rsidRPr="00283424">
        <w:tab/>
        <w:t>Subsection 1012C(7) of the Act affects whether the issuer is taken to have a particular purpose.</w:t>
      </w:r>
    </w:p>
    <w:p w14:paraId="0BCCBC21" w14:textId="77777777" w:rsidR="00E93F58" w:rsidRPr="00283424" w:rsidRDefault="00E93F58" w:rsidP="00B50726">
      <w:pPr>
        <w:pStyle w:val="subsection"/>
      </w:pPr>
      <w:r w:rsidRPr="00283424">
        <w:tab/>
        <w:t>(2)</w:t>
      </w:r>
      <w:r w:rsidRPr="00283424">
        <w:tab/>
        <w:t>The time before which the issuer is required to make the determination is the close of business on the day on which the issuer first issues the product with the purpose mentioned in paragraph (1)(c).</w:t>
      </w:r>
    </w:p>
    <w:p w14:paraId="4859E46D" w14:textId="77777777" w:rsidR="00E93F58" w:rsidRPr="00283424" w:rsidRDefault="00E93F58" w:rsidP="00B50726">
      <w:pPr>
        <w:pStyle w:val="subsection"/>
      </w:pPr>
      <w:r w:rsidRPr="00283424">
        <w:tab/>
        <w:t>(3)</w:t>
      </w:r>
      <w:r w:rsidRPr="00283424">
        <w:tab/>
        <w:t>This regulation does not apply to a financial product if the issuer issued, or offered to issue, the product to a person as a retail client at or before the time specified in subregulation (2).</w:t>
      </w:r>
    </w:p>
    <w:p w14:paraId="3B9D0A68" w14:textId="77777777" w:rsidR="00E93F58" w:rsidRPr="00283424" w:rsidRDefault="00E93F58" w:rsidP="00B50726">
      <w:pPr>
        <w:pStyle w:val="subsection"/>
      </w:pPr>
      <w:r w:rsidRPr="00283424">
        <w:tab/>
        <w:t>(4)</w:t>
      </w:r>
      <w:r w:rsidRPr="00283424">
        <w:tab/>
        <w:t>This subregulation covers the following financial products:</w:t>
      </w:r>
    </w:p>
    <w:p w14:paraId="12A50556" w14:textId="77777777" w:rsidR="00E93F58" w:rsidRPr="00283424" w:rsidRDefault="00E93F58" w:rsidP="00B50726">
      <w:pPr>
        <w:pStyle w:val="paragraph"/>
      </w:pPr>
      <w:r w:rsidRPr="00283424">
        <w:tab/>
        <w:t>(a)</w:t>
      </w:r>
      <w:r w:rsidRPr="00283424">
        <w:tab/>
        <w:t>an interest in a managed investment scheme;</w:t>
      </w:r>
    </w:p>
    <w:p w14:paraId="5FCA67A4" w14:textId="77777777" w:rsidR="00E93F58" w:rsidRPr="00283424" w:rsidRDefault="00E93F58" w:rsidP="00B50726">
      <w:pPr>
        <w:pStyle w:val="paragraph"/>
      </w:pPr>
      <w:r w:rsidRPr="00283424">
        <w:tab/>
        <w:t>(b)</w:t>
      </w:r>
      <w:r w:rsidRPr="00283424">
        <w:tab/>
        <w:t>a share in a foreign company that has the economic features of a managed investment scheme and is an open</w:t>
      </w:r>
      <w:r>
        <w:noBreakHyphen/>
      </w:r>
      <w:r w:rsidRPr="00283424">
        <w:t xml:space="preserve">end investment company registered with the U.S. Securities and Exchange Commission under the </w:t>
      </w:r>
      <w:r w:rsidRPr="00283424">
        <w:rPr>
          <w:i/>
        </w:rPr>
        <w:t>Investment Company Act 1940</w:t>
      </w:r>
      <w:r w:rsidRPr="00283424">
        <w:t xml:space="preserve"> of the United States of America;</w:t>
      </w:r>
    </w:p>
    <w:p w14:paraId="72F6EFA4" w14:textId="77777777" w:rsidR="00E93F58" w:rsidRPr="00283424" w:rsidRDefault="00E93F58" w:rsidP="00B50726">
      <w:pPr>
        <w:pStyle w:val="paragraph"/>
      </w:pPr>
      <w:r w:rsidRPr="00283424">
        <w:tab/>
        <w:t>(c)</w:t>
      </w:r>
      <w:r w:rsidRPr="00283424">
        <w:tab/>
        <w:t>a legal or equitable right or interest in a financial product covered by paragraph (a) or (b);</w:t>
      </w:r>
    </w:p>
    <w:p w14:paraId="06546A75" w14:textId="77777777" w:rsidR="00E93F58" w:rsidRPr="00283424" w:rsidRDefault="00E93F58" w:rsidP="00B50726">
      <w:pPr>
        <w:pStyle w:val="paragraph"/>
      </w:pPr>
      <w:r w:rsidRPr="00283424">
        <w:tab/>
        <w:t>(d)</w:t>
      </w:r>
      <w:r w:rsidRPr="00283424">
        <w:tab/>
        <w:t>an option to acquire, by way of issue, a financial product covered by paragraph (a), (b) or (c).</w:t>
      </w:r>
    </w:p>
    <w:p w14:paraId="6F84B1FD" w14:textId="77777777" w:rsidR="00E93F58" w:rsidRPr="00283424" w:rsidRDefault="00E93F58" w:rsidP="00B50726">
      <w:pPr>
        <w:pStyle w:val="ActHead5"/>
      </w:pPr>
      <w:bookmarkStart w:id="1414" w:name="_Toc152054684"/>
      <w:bookmarkStart w:id="1415" w:name="_Toc158712500"/>
      <w:r w:rsidRPr="006F296E">
        <w:rPr>
          <w:rStyle w:val="CharSectno"/>
        </w:rPr>
        <w:t>7.8A.10</w:t>
      </w:r>
      <w:r w:rsidRPr="00283424">
        <w:t xml:space="preserve">  Custodial or depository services</w:t>
      </w:r>
      <w:bookmarkEnd w:id="1414"/>
      <w:bookmarkEnd w:id="1415"/>
    </w:p>
    <w:p w14:paraId="50AD2C8C" w14:textId="77777777" w:rsidR="00E93F58" w:rsidRPr="00283424" w:rsidRDefault="00E93F58" w:rsidP="00B50726">
      <w:pPr>
        <w:pStyle w:val="subsection"/>
      </w:pPr>
      <w:r w:rsidRPr="00283424">
        <w:tab/>
      </w:r>
      <w:r w:rsidRPr="00283424">
        <w:tab/>
        <w:t>A person must make a target market determination for a financial product if:</w:t>
      </w:r>
    </w:p>
    <w:p w14:paraId="1E92D798" w14:textId="77777777" w:rsidR="00E93F58" w:rsidRPr="00283424" w:rsidRDefault="00E93F58" w:rsidP="00B50726">
      <w:pPr>
        <w:pStyle w:val="paragraph"/>
      </w:pPr>
      <w:r w:rsidRPr="00283424">
        <w:tab/>
        <w:t>(a)</w:t>
      </w:r>
      <w:r w:rsidRPr="00283424">
        <w:tab/>
        <w:t>the product includes a custodial or depository service; and</w:t>
      </w:r>
    </w:p>
    <w:p w14:paraId="0265A8CE" w14:textId="77777777" w:rsidR="00E93F58" w:rsidRPr="00283424" w:rsidRDefault="00E93F58" w:rsidP="00B50726">
      <w:pPr>
        <w:pStyle w:val="paragraph"/>
      </w:pPr>
      <w:r w:rsidRPr="00283424">
        <w:tab/>
        <w:t>(b)</w:t>
      </w:r>
      <w:r w:rsidRPr="00283424">
        <w:tab/>
        <w:t>but for this regulation, Part 7.8A of the Act would not apply in relation to the financial product; and</w:t>
      </w:r>
    </w:p>
    <w:p w14:paraId="11099E5C" w14:textId="77777777" w:rsidR="00E93F58" w:rsidRPr="00283424" w:rsidRDefault="00E93F58" w:rsidP="00B50726">
      <w:pPr>
        <w:pStyle w:val="paragraph"/>
      </w:pPr>
      <w:r w:rsidRPr="00283424">
        <w:tab/>
        <w:t>(c)</w:t>
      </w:r>
      <w:r w:rsidRPr="00283424">
        <w:tab/>
        <w:t>the custodial or depository service is to be provided to a retail client; and</w:t>
      </w:r>
    </w:p>
    <w:p w14:paraId="390CF9C1" w14:textId="77777777" w:rsidR="00E93F58" w:rsidRPr="00283424" w:rsidRDefault="00E93F58" w:rsidP="00B50726">
      <w:pPr>
        <w:pStyle w:val="paragraph"/>
      </w:pPr>
      <w:r w:rsidRPr="00283424">
        <w:tab/>
        <w:t>(d)</w:t>
      </w:r>
      <w:r w:rsidRPr="00283424">
        <w:tab/>
        <w:t>the person is the issuer of the product.</w:t>
      </w:r>
    </w:p>
    <w:p w14:paraId="41D632C9" w14:textId="77777777" w:rsidR="00E93F58" w:rsidRPr="00283424" w:rsidRDefault="00E93F58" w:rsidP="00B50726">
      <w:pPr>
        <w:pStyle w:val="notetext"/>
      </w:pPr>
      <w:r w:rsidRPr="00283424">
        <w:t>Note:</w:t>
      </w:r>
      <w:r w:rsidRPr="00283424">
        <w:tab/>
        <w:t>The person must make the determination before any person engages in retail product distribution conduct in relation to the product: see subparagraph 994B(2)(b)(ii) of the Act.</w:t>
      </w:r>
    </w:p>
    <w:p w14:paraId="51672269" w14:textId="77777777" w:rsidR="00E93F58" w:rsidRPr="00283424" w:rsidRDefault="00E93F58" w:rsidP="00B50726">
      <w:pPr>
        <w:pStyle w:val="ActHead3"/>
        <w:pageBreakBefore/>
      </w:pPr>
      <w:bookmarkStart w:id="1416" w:name="_Toc152054685"/>
      <w:bookmarkStart w:id="1417" w:name="_Toc158712501"/>
      <w:r w:rsidRPr="006F296E">
        <w:rPr>
          <w:rStyle w:val="CharDivNo"/>
        </w:rPr>
        <w:lastRenderedPageBreak/>
        <w:t>Division 3</w:t>
      </w:r>
      <w:r w:rsidRPr="00283424">
        <w:t>—</w:t>
      </w:r>
      <w:r w:rsidRPr="006F296E">
        <w:rPr>
          <w:rStyle w:val="CharDivText"/>
        </w:rPr>
        <w:t>Exemptions</w:t>
      </w:r>
      <w:bookmarkEnd w:id="1416"/>
      <w:bookmarkEnd w:id="1417"/>
    </w:p>
    <w:p w14:paraId="7C9FE45E" w14:textId="77777777" w:rsidR="00E93F58" w:rsidRPr="00283424" w:rsidRDefault="00E93F58" w:rsidP="00B50726">
      <w:pPr>
        <w:pStyle w:val="ActHead5"/>
      </w:pPr>
      <w:bookmarkStart w:id="1418" w:name="_Toc152054686"/>
      <w:bookmarkStart w:id="1419" w:name="_Toc158712502"/>
      <w:r w:rsidRPr="006F296E">
        <w:rPr>
          <w:rStyle w:val="CharSectno"/>
        </w:rPr>
        <w:t>7.8A.20</w:t>
      </w:r>
      <w:r w:rsidRPr="00283424">
        <w:t xml:space="preserve">  Financial products for which target market determinations are not required</w:t>
      </w:r>
      <w:bookmarkEnd w:id="1418"/>
      <w:bookmarkEnd w:id="1419"/>
    </w:p>
    <w:p w14:paraId="1D08DC44" w14:textId="77777777" w:rsidR="00E93F58" w:rsidRPr="00283424" w:rsidRDefault="00E93F58" w:rsidP="00B50726">
      <w:pPr>
        <w:pStyle w:val="subsection"/>
      </w:pPr>
      <w:r w:rsidRPr="00283424">
        <w:tab/>
        <w:t>(1)</w:t>
      </w:r>
      <w:r w:rsidRPr="00283424">
        <w:tab/>
        <w:t>For the purposes of paragraph 994B(3)(f) of the Act, each kind of financial product covered by a subregulation of this regulation is prescribed.</w:t>
      </w:r>
    </w:p>
    <w:p w14:paraId="77F6E8C1" w14:textId="77777777" w:rsidR="00E93F58" w:rsidRPr="00283424" w:rsidRDefault="00E93F58" w:rsidP="00B50726">
      <w:pPr>
        <w:pStyle w:val="SubsectionHead"/>
      </w:pPr>
      <w:r w:rsidRPr="00283424">
        <w:t>Superannuation</w:t>
      </w:r>
    </w:p>
    <w:p w14:paraId="564C1BF6" w14:textId="77777777" w:rsidR="00E93F58" w:rsidRPr="00283424" w:rsidRDefault="00E93F58" w:rsidP="00B50726">
      <w:pPr>
        <w:pStyle w:val="subsection"/>
      </w:pPr>
      <w:r w:rsidRPr="00283424">
        <w:tab/>
        <w:t>(2)</w:t>
      </w:r>
      <w:r w:rsidRPr="00283424">
        <w:tab/>
        <w:t xml:space="preserve">This subregulation covers an interest in an eligible rollover fund (within the meaning of the </w:t>
      </w:r>
      <w:r w:rsidRPr="00283424">
        <w:rPr>
          <w:i/>
        </w:rPr>
        <w:t>Superannuation Industry (Supervision) Act 1993</w:t>
      </w:r>
      <w:r w:rsidRPr="00283424">
        <w:t>).</w:t>
      </w:r>
    </w:p>
    <w:p w14:paraId="40D9A347" w14:textId="77777777" w:rsidR="00E93F58" w:rsidRPr="00283424" w:rsidRDefault="00E93F58" w:rsidP="00B50726">
      <w:pPr>
        <w:pStyle w:val="subsection"/>
      </w:pPr>
      <w:r w:rsidRPr="00283424">
        <w:tab/>
        <w:t>(3)</w:t>
      </w:r>
      <w:r w:rsidRPr="00283424">
        <w:tab/>
        <w:t xml:space="preserve">This subregulation covers a defined benefit interest (within the meaning of the </w:t>
      </w:r>
      <w:r w:rsidRPr="00283424">
        <w:rPr>
          <w:i/>
        </w:rPr>
        <w:t>Superannuation Industry (Supervision) Regulations 1994</w:t>
      </w:r>
      <w:r w:rsidRPr="00283424">
        <w:t>).</w:t>
      </w:r>
    </w:p>
    <w:p w14:paraId="7859BEBF" w14:textId="77777777" w:rsidR="00E93F58" w:rsidRPr="00283424" w:rsidRDefault="00E93F58" w:rsidP="00B50726">
      <w:pPr>
        <w:pStyle w:val="SubsectionHead"/>
      </w:pPr>
      <w:r w:rsidRPr="00283424">
        <w:t>Insurance products</w:t>
      </w:r>
    </w:p>
    <w:p w14:paraId="25F78B11" w14:textId="77777777" w:rsidR="00E93F58" w:rsidRPr="00283424" w:rsidRDefault="00E93F58" w:rsidP="00B50726">
      <w:pPr>
        <w:pStyle w:val="subsection"/>
      </w:pPr>
      <w:r w:rsidRPr="00283424">
        <w:tab/>
        <w:t>(4)</w:t>
      </w:r>
      <w:r w:rsidRPr="00283424">
        <w:tab/>
        <w:t>This subregulation covers a medical indemnity insurance product.</w:t>
      </w:r>
    </w:p>
    <w:p w14:paraId="249ED163" w14:textId="77777777" w:rsidR="00E93F58" w:rsidRPr="00283424" w:rsidRDefault="00E93F58" w:rsidP="00B50726">
      <w:pPr>
        <w:pStyle w:val="SubsectionHead"/>
      </w:pPr>
      <w:r w:rsidRPr="00283424">
        <w:t>Depository interests</w:t>
      </w:r>
    </w:p>
    <w:p w14:paraId="7BD37E01" w14:textId="77777777" w:rsidR="00E93F58" w:rsidRPr="00283424" w:rsidRDefault="00E93F58" w:rsidP="00B50726">
      <w:pPr>
        <w:pStyle w:val="subsection"/>
      </w:pPr>
      <w:r w:rsidRPr="00283424">
        <w:tab/>
        <w:t>(5)</w:t>
      </w:r>
      <w:r w:rsidRPr="00283424">
        <w:tab/>
        <w:t>This subregulation covers a depository interest in fully paid ordinary shares in a foreign company, being shares in relation to which, if they were offered directly to retail clients, Part 7.8A of the Act would not apply.</w:t>
      </w:r>
    </w:p>
    <w:p w14:paraId="7B95F1A8" w14:textId="77777777" w:rsidR="00E93F58" w:rsidRPr="00283424" w:rsidRDefault="00E93F58" w:rsidP="00B50726">
      <w:pPr>
        <w:pStyle w:val="SubsectionHead"/>
      </w:pPr>
      <w:r w:rsidRPr="00283424">
        <w:t>Money products</w:t>
      </w:r>
    </w:p>
    <w:p w14:paraId="4264BFA1" w14:textId="77777777" w:rsidR="00E93F58" w:rsidRPr="00283424" w:rsidRDefault="00E93F58" w:rsidP="00B50726">
      <w:pPr>
        <w:pStyle w:val="subsection"/>
      </w:pPr>
      <w:r w:rsidRPr="00283424">
        <w:tab/>
        <w:t>(6)</w:t>
      </w:r>
      <w:r w:rsidRPr="00283424">
        <w:tab/>
        <w:t>This subregulation covers a bank draft, including (but not limited to):</w:t>
      </w:r>
    </w:p>
    <w:p w14:paraId="2E18583C" w14:textId="77777777" w:rsidR="00E93F58" w:rsidRPr="00283424" w:rsidRDefault="00E93F58" w:rsidP="00B50726">
      <w:pPr>
        <w:pStyle w:val="paragraph"/>
      </w:pPr>
      <w:r w:rsidRPr="00283424">
        <w:tab/>
        <w:t>(a)</w:t>
      </w:r>
      <w:r w:rsidRPr="00283424">
        <w:tab/>
        <w:t>a cheque drawn by a financial institution on itself; or</w:t>
      </w:r>
    </w:p>
    <w:p w14:paraId="76FDB9FB" w14:textId="77777777" w:rsidR="00E93F58" w:rsidRPr="00283424" w:rsidRDefault="00E93F58" w:rsidP="00B50726">
      <w:pPr>
        <w:pStyle w:val="paragraph"/>
      </w:pPr>
      <w:r w:rsidRPr="00283424">
        <w:tab/>
        <w:t>(b)</w:t>
      </w:r>
      <w:r w:rsidRPr="00283424">
        <w:tab/>
        <w:t>a cheque drawn by a financial institution on a financial institution other than itself.</w:t>
      </w:r>
    </w:p>
    <w:p w14:paraId="7ED4B742" w14:textId="77777777" w:rsidR="00E93F58" w:rsidRPr="00283424" w:rsidRDefault="00E93F58" w:rsidP="00B50726">
      <w:pPr>
        <w:pStyle w:val="subsection"/>
      </w:pPr>
      <w:r w:rsidRPr="00283424">
        <w:tab/>
        <w:t>(7)</w:t>
      </w:r>
      <w:r w:rsidRPr="00283424">
        <w:tab/>
        <w:t>This subregulation covers a money order issued as a money order by, or for, Australia Post.</w:t>
      </w:r>
    </w:p>
    <w:p w14:paraId="41876087" w14:textId="77777777" w:rsidR="00E93F58" w:rsidRPr="00283424" w:rsidRDefault="00E93F58" w:rsidP="00B50726">
      <w:pPr>
        <w:pStyle w:val="SubsectionHead"/>
      </w:pPr>
      <w:r w:rsidRPr="00283424">
        <w:t>Extended operation financial products not received in this jurisdiction</w:t>
      </w:r>
    </w:p>
    <w:p w14:paraId="018EF722" w14:textId="77777777" w:rsidR="00E93F58" w:rsidRPr="00283424" w:rsidRDefault="00E93F58" w:rsidP="00B50726">
      <w:pPr>
        <w:pStyle w:val="subsection"/>
      </w:pPr>
      <w:r w:rsidRPr="00283424">
        <w:tab/>
        <w:t>(8)</w:t>
      </w:r>
      <w:r w:rsidRPr="00283424">
        <w:tab/>
        <w:t>This subregulation covers an extended operation financial product, if the offer to issue or sell the product is not received in this jurisdiction.</w:t>
      </w:r>
    </w:p>
    <w:p w14:paraId="64AB8FE4" w14:textId="77777777" w:rsidR="00E93F58" w:rsidRPr="00283424" w:rsidRDefault="00E93F58" w:rsidP="00B50726">
      <w:pPr>
        <w:pStyle w:val="SubsectionHead"/>
      </w:pPr>
      <w:r w:rsidRPr="00283424">
        <w:t>Credit facilities</w:t>
      </w:r>
    </w:p>
    <w:p w14:paraId="24BC150B" w14:textId="77777777" w:rsidR="00E93F58" w:rsidRPr="00283424" w:rsidRDefault="00E93F58" w:rsidP="00B50726">
      <w:pPr>
        <w:pStyle w:val="subsection"/>
      </w:pPr>
      <w:r w:rsidRPr="00283424">
        <w:tab/>
        <w:t>(9)</w:t>
      </w:r>
      <w:r w:rsidRPr="00283424">
        <w:tab/>
        <w:t>This subregulation covers each of the following:</w:t>
      </w:r>
    </w:p>
    <w:p w14:paraId="5E80058F" w14:textId="77777777" w:rsidR="00E93F58" w:rsidRPr="00283424" w:rsidRDefault="00E93F58" w:rsidP="00B50726">
      <w:pPr>
        <w:pStyle w:val="paragraph"/>
      </w:pPr>
      <w:r w:rsidRPr="00283424">
        <w:tab/>
        <w:t>(a)</w:t>
      </w:r>
      <w:r w:rsidRPr="00283424">
        <w:tab/>
        <w:t>a credit facility that is not or was not issued, or that will not be issued, in the course of a business that is wholly or partly a business of providing credit;</w:t>
      </w:r>
    </w:p>
    <w:p w14:paraId="7062327C" w14:textId="77777777" w:rsidR="00E93F58" w:rsidRPr="00283424" w:rsidRDefault="00E93F58" w:rsidP="00B50726">
      <w:pPr>
        <w:pStyle w:val="paragraph"/>
      </w:pPr>
      <w:r w:rsidRPr="00283424">
        <w:tab/>
        <w:t>(b)</w:t>
      </w:r>
      <w:r w:rsidRPr="00283424">
        <w:tab/>
        <w:t>a credit facility under the terms of which the credit is, or must be, applied wholly or predominantly for business purposes;</w:t>
      </w:r>
    </w:p>
    <w:p w14:paraId="0237C2B3" w14:textId="77777777" w:rsidR="00E93F58" w:rsidRPr="00283424" w:rsidRDefault="00E93F58" w:rsidP="00B50726">
      <w:pPr>
        <w:pStyle w:val="paragraph"/>
      </w:pPr>
      <w:r w:rsidRPr="00283424">
        <w:tab/>
        <w:t>(c)</w:t>
      </w:r>
      <w:r w:rsidRPr="00283424">
        <w:tab/>
        <w:t>a credit facility that:</w:t>
      </w:r>
    </w:p>
    <w:p w14:paraId="3035060D" w14:textId="77777777" w:rsidR="00E93F58" w:rsidRPr="00283424" w:rsidRDefault="00E93F58" w:rsidP="00B50726">
      <w:pPr>
        <w:pStyle w:val="paragraphsub"/>
      </w:pPr>
      <w:r w:rsidRPr="00283424">
        <w:tab/>
        <w:t>(i)</w:t>
      </w:r>
      <w:r w:rsidRPr="00283424">
        <w:tab/>
        <w:t xml:space="preserve">involves a matter referred to in paragraph (b) of the definition of </w:t>
      </w:r>
      <w:r w:rsidRPr="00283424">
        <w:rPr>
          <w:b/>
          <w:i/>
        </w:rPr>
        <w:t>credit</w:t>
      </w:r>
      <w:r w:rsidRPr="00283424">
        <w:t xml:space="preserve"> in subregulation 2B(3) of the </w:t>
      </w:r>
      <w:r w:rsidRPr="00283424">
        <w:rPr>
          <w:i/>
        </w:rPr>
        <w:t xml:space="preserve">Australian Securities and Investments Commission </w:t>
      </w:r>
      <w:r>
        <w:rPr>
          <w:i/>
        </w:rPr>
        <w:t>Regulations 2</w:t>
      </w:r>
      <w:r w:rsidRPr="00283424">
        <w:rPr>
          <w:i/>
        </w:rPr>
        <w:t>001</w:t>
      </w:r>
      <w:r w:rsidRPr="00283424">
        <w:t>; but</w:t>
      </w:r>
    </w:p>
    <w:p w14:paraId="7D35DCF7" w14:textId="77777777" w:rsidR="00E93F58" w:rsidRPr="00283424" w:rsidRDefault="00E93F58" w:rsidP="00B50726">
      <w:pPr>
        <w:pStyle w:val="paragraphsub"/>
      </w:pPr>
      <w:r w:rsidRPr="00283424">
        <w:tab/>
        <w:t>(ii)</w:t>
      </w:r>
      <w:r w:rsidRPr="00283424">
        <w:tab/>
        <w:t>does not involve credit of a kind referred to in paragraph (a) of that definition;</w:t>
      </w:r>
    </w:p>
    <w:p w14:paraId="166AE213" w14:textId="77777777" w:rsidR="00E93F58" w:rsidRPr="00283424" w:rsidRDefault="00E93F58" w:rsidP="00B50726">
      <w:pPr>
        <w:pStyle w:val="paragraph"/>
      </w:pPr>
      <w:r w:rsidRPr="00283424">
        <w:tab/>
        <w:t>(d)</w:t>
      </w:r>
      <w:r w:rsidRPr="00283424">
        <w:tab/>
        <w:t>a credit facility that is the provision of a mortgage that secures obligations under a credit contract (but not the credit contract);</w:t>
      </w:r>
    </w:p>
    <w:p w14:paraId="1D6FAD93" w14:textId="77777777" w:rsidR="00E93F58" w:rsidRPr="00283424" w:rsidRDefault="00E93F58" w:rsidP="00B50726">
      <w:pPr>
        <w:pStyle w:val="paragraph"/>
      </w:pPr>
      <w:r w:rsidRPr="00283424">
        <w:tab/>
        <w:t>(e)</w:t>
      </w:r>
      <w:r w:rsidRPr="00283424">
        <w:tab/>
        <w:t>the provision of credit by a pawnbroker in the ordinary course of a pawnbroker’s business (being a business which is being lawfully conducted by the pawnbroker).</w:t>
      </w:r>
    </w:p>
    <w:p w14:paraId="60629C7E" w14:textId="77777777" w:rsidR="00E93F58" w:rsidRPr="006D627C" w:rsidRDefault="00E93F58" w:rsidP="006A0A17">
      <w:pPr>
        <w:pStyle w:val="SubsectionHead"/>
      </w:pPr>
      <w:r w:rsidRPr="006D627C">
        <w:t>Income management regimes</w:t>
      </w:r>
    </w:p>
    <w:p w14:paraId="421A818A" w14:textId="77777777" w:rsidR="00E93F58" w:rsidRPr="006D627C" w:rsidRDefault="00E93F58" w:rsidP="006A0A17">
      <w:pPr>
        <w:pStyle w:val="subsection"/>
      </w:pPr>
      <w:r w:rsidRPr="006D627C">
        <w:tab/>
        <w:t>(10)</w:t>
      </w:r>
      <w:r w:rsidRPr="006D627C">
        <w:tab/>
        <w:t>This subregulation covers a financial product that is:</w:t>
      </w:r>
    </w:p>
    <w:p w14:paraId="0DE856F7" w14:textId="77777777" w:rsidR="00E93F58" w:rsidRPr="006D627C" w:rsidRDefault="00E93F58" w:rsidP="006A0A17">
      <w:pPr>
        <w:pStyle w:val="paragraph"/>
      </w:pPr>
      <w:r w:rsidRPr="006D627C">
        <w:tab/>
        <w:t>(a)</w:t>
      </w:r>
      <w:r w:rsidRPr="006D627C">
        <w:tab/>
        <w:t xml:space="preserve">a BasicsCard bank account (within the meaning of Part 3AA of the </w:t>
      </w:r>
      <w:r w:rsidRPr="006D627C">
        <w:rPr>
          <w:i/>
        </w:rPr>
        <w:t>Social Security (Administration) Act 1999</w:t>
      </w:r>
      <w:r w:rsidRPr="006D627C">
        <w:t>); or</w:t>
      </w:r>
    </w:p>
    <w:p w14:paraId="255CEE51" w14:textId="77777777" w:rsidR="00E93F58" w:rsidRPr="006D627C" w:rsidRDefault="00E93F58" w:rsidP="006A0A17">
      <w:pPr>
        <w:pStyle w:val="paragraph"/>
      </w:pPr>
      <w:r w:rsidRPr="006D627C">
        <w:tab/>
        <w:t>(b)</w:t>
      </w:r>
      <w:r w:rsidRPr="006D627C">
        <w:tab/>
        <w:t>a debit card that is attached to an account referred to in paragraph (a); or</w:t>
      </w:r>
    </w:p>
    <w:p w14:paraId="792F4FD2" w14:textId="77777777" w:rsidR="00E93F58" w:rsidRPr="006D627C" w:rsidRDefault="00E93F58" w:rsidP="006A0A17">
      <w:pPr>
        <w:pStyle w:val="paragraph"/>
      </w:pPr>
      <w:r w:rsidRPr="006D627C">
        <w:tab/>
        <w:t>(c)</w:t>
      </w:r>
      <w:r w:rsidRPr="006D627C">
        <w:tab/>
        <w:t>an income management account (within the meaning of Part 3B of that Act); or</w:t>
      </w:r>
    </w:p>
    <w:p w14:paraId="2716268C" w14:textId="77777777" w:rsidR="00E93F58" w:rsidRPr="006D627C" w:rsidRDefault="00E93F58" w:rsidP="006A0A17">
      <w:pPr>
        <w:pStyle w:val="paragraph"/>
      </w:pPr>
      <w:r w:rsidRPr="006D627C">
        <w:lastRenderedPageBreak/>
        <w:tab/>
        <w:t>(d)</w:t>
      </w:r>
      <w:r w:rsidRPr="006D627C">
        <w:tab/>
        <w:t>either:</w:t>
      </w:r>
    </w:p>
    <w:p w14:paraId="17D19B0F" w14:textId="77777777" w:rsidR="00E93F58" w:rsidRPr="006D627C" w:rsidRDefault="00E93F58" w:rsidP="006A0A17">
      <w:pPr>
        <w:pStyle w:val="paragraphsub"/>
      </w:pPr>
      <w:r w:rsidRPr="006D627C">
        <w:tab/>
        <w:t>(i)</w:t>
      </w:r>
      <w:r w:rsidRPr="006D627C">
        <w:tab/>
        <w:t>a stored value card (within the meaning of Part 3B of that Act); or</w:t>
      </w:r>
    </w:p>
    <w:p w14:paraId="5F364BE4" w14:textId="77777777" w:rsidR="00E93F58" w:rsidRPr="006D627C" w:rsidRDefault="00E93F58" w:rsidP="006A0A17">
      <w:pPr>
        <w:pStyle w:val="paragraphsub"/>
      </w:pPr>
      <w:r w:rsidRPr="006D627C">
        <w:tab/>
        <w:t>(ii)</w:t>
      </w:r>
      <w:r w:rsidRPr="006D627C">
        <w:tab/>
        <w:t>a voucher given under subsection 123YC(2) or 123YD(2) of that Act;</w:t>
      </w:r>
    </w:p>
    <w:p w14:paraId="410A4192" w14:textId="77777777" w:rsidR="00E93F58" w:rsidRPr="006D627C" w:rsidRDefault="00E93F58" w:rsidP="006A0A17">
      <w:pPr>
        <w:pStyle w:val="paragraph"/>
      </w:pPr>
      <w:r w:rsidRPr="006D627C">
        <w:tab/>
      </w:r>
      <w:r w:rsidRPr="006D627C">
        <w:tab/>
        <w:t>that relates to an account referred to in paragraph (c).</w:t>
      </w:r>
    </w:p>
    <w:p w14:paraId="41824C6A" w14:textId="77777777" w:rsidR="00E93F58" w:rsidRPr="00283424" w:rsidRDefault="00E93F58" w:rsidP="00B50726">
      <w:pPr>
        <w:pStyle w:val="ActHead5"/>
      </w:pPr>
      <w:bookmarkStart w:id="1420" w:name="_Toc152054687"/>
      <w:bookmarkStart w:id="1421" w:name="_Toc158712503"/>
      <w:r w:rsidRPr="006F296E">
        <w:rPr>
          <w:rStyle w:val="CharSectno"/>
        </w:rPr>
        <w:t>7.8A.25</w:t>
      </w:r>
      <w:r w:rsidRPr="00283424">
        <w:t xml:space="preserve">  Exemption from Part 7.8A—Employers complying with certain superannuation guarantee obligations</w:t>
      </w:r>
      <w:bookmarkEnd w:id="1420"/>
      <w:bookmarkEnd w:id="1421"/>
    </w:p>
    <w:p w14:paraId="3EBA5833" w14:textId="77777777" w:rsidR="00E93F58" w:rsidRPr="00283424" w:rsidRDefault="00E93F58" w:rsidP="00B50726">
      <w:pPr>
        <w:pStyle w:val="subsection"/>
      </w:pPr>
      <w:r w:rsidRPr="00283424">
        <w:tab/>
        <w:t>(1)</w:t>
      </w:r>
      <w:r w:rsidRPr="00283424">
        <w:tab/>
        <w:t>For the purposes of paragraph 1368(d) of the Act, Part 7.8A does not have effect in relation to a person in relation to a transaction that involves retail product distribution conduct if:</w:t>
      </w:r>
    </w:p>
    <w:p w14:paraId="0DD66044" w14:textId="77777777" w:rsidR="00E93F58" w:rsidRPr="00283424" w:rsidRDefault="00E93F58" w:rsidP="00B50726">
      <w:pPr>
        <w:pStyle w:val="paragraph"/>
      </w:pPr>
      <w:r w:rsidRPr="00283424">
        <w:tab/>
        <w:t>(a)</w:t>
      </w:r>
      <w:r w:rsidRPr="00283424">
        <w:tab/>
        <w:t>the person is an employer; and</w:t>
      </w:r>
    </w:p>
    <w:p w14:paraId="7437CBF8" w14:textId="77777777" w:rsidR="00E93F58" w:rsidRPr="00283424" w:rsidRDefault="00E93F58" w:rsidP="00B50726">
      <w:pPr>
        <w:pStyle w:val="paragraph"/>
      </w:pPr>
      <w:r w:rsidRPr="00283424">
        <w:tab/>
        <w:t>(b)</w:t>
      </w:r>
      <w:r w:rsidRPr="00283424">
        <w:tab/>
        <w:t>the relevant retail client is an employee of the employer; and</w:t>
      </w:r>
    </w:p>
    <w:p w14:paraId="1B98DCEF" w14:textId="77777777" w:rsidR="00E93F58" w:rsidRPr="00283424" w:rsidRDefault="00E93F58" w:rsidP="00B50726">
      <w:pPr>
        <w:pStyle w:val="paragraph"/>
      </w:pPr>
      <w:r w:rsidRPr="00283424">
        <w:tab/>
        <w:t>(c)</w:t>
      </w:r>
      <w:r w:rsidRPr="00283424">
        <w:tab/>
        <w:t>the conduct is covered by subregulation (2).</w:t>
      </w:r>
    </w:p>
    <w:p w14:paraId="52608FC5" w14:textId="77777777" w:rsidR="00E93F58" w:rsidRPr="00283424" w:rsidRDefault="00E93F58" w:rsidP="00B50726">
      <w:pPr>
        <w:pStyle w:val="subsection"/>
      </w:pPr>
      <w:r w:rsidRPr="00283424">
        <w:tab/>
        <w:t>(2)</w:t>
      </w:r>
      <w:r w:rsidRPr="00283424">
        <w:tab/>
        <w:t>The following retail product distribution conduct is covered by this subregulation:</w:t>
      </w:r>
    </w:p>
    <w:p w14:paraId="5D785553" w14:textId="77777777" w:rsidR="00E93F58" w:rsidRPr="00283424" w:rsidRDefault="00E93F58" w:rsidP="00B50726">
      <w:pPr>
        <w:pStyle w:val="paragraph"/>
      </w:pPr>
      <w:r w:rsidRPr="00283424">
        <w:tab/>
        <w:t>(a)</w:t>
      </w:r>
      <w:r w:rsidRPr="00283424">
        <w:tab/>
        <w:t>under Part 7.9, giving the employee a Product Disclosure Statement for a product that is a default fund product for the employer and employee;</w:t>
      </w:r>
    </w:p>
    <w:p w14:paraId="6C6E4C68" w14:textId="77777777" w:rsidR="00E93F58" w:rsidRPr="00283424" w:rsidRDefault="00E93F58" w:rsidP="00B50726">
      <w:pPr>
        <w:pStyle w:val="paragraph"/>
      </w:pPr>
      <w:r w:rsidRPr="00283424">
        <w:tab/>
        <w:t>(b)</w:t>
      </w:r>
      <w:r w:rsidRPr="00283424">
        <w:tab/>
        <w:t>dealing in a financial product that consists only of the employer paying contributions on behalf of the employee into a product that is:</w:t>
      </w:r>
    </w:p>
    <w:p w14:paraId="5E762A44" w14:textId="77777777" w:rsidR="00E93F58" w:rsidRPr="00283424" w:rsidRDefault="00E93F58" w:rsidP="00B50726">
      <w:pPr>
        <w:pStyle w:val="paragraphsub"/>
      </w:pPr>
      <w:r w:rsidRPr="00283424">
        <w:tab/>
        <w:t>(i)</w:t>
      </w:r>
      <w:r w:rsidRPr="00283424">
        <w:tab/>
        <w:t>a default fund product for the employer and employee; or</w:t>
      </w:r>
    </w:p>
    <w:p w14:paraId="76404F89" w14:textId="77777777" w:rsidR="00E93F58" w:rsidRPr="00283424" w:rsidRDefault="00E93F58" w:rsidP="00B50726">
      <w:pPr>
        <w:pStyle w:val="paragraphsub"/>
      </w:pPr>
      <w:r w:rsidRPr="00283424">
        <w:tab/>
        <w:t>(ii)</w:t>
      </w:r>
      <w:r w:rsidRPr="00283424">
        <w:tab/>
        <w:t>a chosen fund product for the employee;</w:t>
      </w:r>
    </w:p>
    <w:p w14:paraId="1C383CFF" w14:textId="77777777" w:rsidR="00E93F58" w:rsidRPr="00283424" w:rsidRDefault="00E93F58" w:rsidP="00B50726">
      <w:pPr>
        <w:pStyle w:val="paragraph"/>
      </w:pPr>
      <w:r w:rsidRPr="00283424">
        <w:tab/>
        <w:t>(c)</w:t>
      </w:r>
      <w:r w:rsidRPr="00283424">
        <w:tab/>
        <w:t>dealing in a financial product that consists only of the employer arranging for the issue to the employee of a product that is:</w:t>
      </w:r>
    </w:p>
    <w:p w14:paraId="3488D0CA" w14:textId="77777777" w:rsidR="00E93F58" w:rsidRPr="00283424" w:rsidRDefault="00E93F58" w:rsidP="00B50726">
      <w:pPr>
        <w:pStyle w:val="paragraphsub"/>
      </w:pPr>
      <w:r w:rsidRPr="00283424">
        <w:tab/>
        <w:t>(i)</w:t>
      </w:r>
      <w:r w:rsidRPr="00283424">
        <w:tab/>
        <w:t>a default fund product for the employer and employee; or</w:t>
      </w:r>
    </w:p>
    <w:p w14:paraId="7FBE9A2A" w14:textId="77777777" w:rsidR="00E93F58" w:rsidRPr="00283424" w:rsidRDefault="00E93F58" w:rsidP="00B50726">
      <w:pPr>
        <w:pStyle w:val="paragraphsub"/>
      </w:pPr>
      <w:r w:rsidRPr="00283424">
        <w:tab/>
        <w:t>(ii)</w:t>
      </w:r>
      <w:r w:rsidRPr="00283424">
        <w:tab/>
        <w:t>a chosen fund product for the employee.</w:t>
      </w:r>
    </w:p>
    <w:p w14:paraId="4E2D33B8" w14:textId="77777777" w:rsidR="00E93F58" w:rsidRPr="00283424" w:rsidRDefault="00E93F58" w:rsidP="00B50726">
      <w:pPr>
        <w:pStyle w:val="subsection"/>
      </w:pPr>
      <w:r w:rsidRPr="00283424">
        <w:tab/>
        <w:t>(3)</w:t>
      </w:r>
      <w:r w:rsidRPr="00283424">
        <w:tab/>
        <w:t>In this regulation:</w:t>
      </w:r>
    </w:p>
    <w:p w14:paraId="3725FA6D" w14:textId="77777777" w:rsidR="00E93F58" w:rsidRPr="00283424" w:rsidRDefault="00E93F58" w:rsidP="00B50726">
      <w:pPr>
        <w:pStyle w:val="Definition"/>
      </w:pPr>
      <w:r w:rsidRPr="00283424">
        <w:rPr>
          <w:b/>
          <w:i/>
        </w:rPr>
        <w:t>chosen fund product</w:t>
      </w:r>
      <w:r w:rsidRPr="00283424">
        <w:t xml:space="preserve">, for an employee, means a financial product that is an interest in a chosen fund (within the meaning of Part 3A of the </w:t>
      </w:r>
      <w:r w:rsidRPr="00283424">
        <w:rPr>
          <w:i/>
        </w:rPr>
        <w:t>Superannuation Guarantee (Administration) Act 1992</w:t>
      </w:r>
      <w:r w:rsidRPr="00283424">
        <w:t>) for the employee</w:t>
      </w:r>
      <w:r w:rsidRPr="00283424">
        <w:rPr>
          <w:i/>
        </w:rPr>
        <w:t>.</w:t>
      </w:r>
    </w:p>
    <w:p w14:paraId="4705069B" w14:textId="77777777" w:rsidR="00E93F58" w:rsidRPr="00283424" w:rsidRDefault="00E93F58" w:rsidP="00B50726">
      <w:pPr>
        <w:pStyle w:val="Definition"/>
      </w:pPr>
      <w:r w:rsidRPr="00283424">
        <w:rPr>
          <w:b/>
          <w:i/>
        </w:rPr>
        <w:t>default fund product</w:t>
      </w:r>
      <w:r w:rsidRPr="00283424">
        <w:t xml:space="preserve">: a financial product that is an interest in a fund is a </w:t>
      </w:r>
      <w:r w:rsidRPr="00283424">
        <w:rPr>
          <w:b/>
          <w:i/>
        </w:rPr>
        <w:t>default fund product</w:t>
      </w:r>
      <w:r w:rsidRPr="00283424">
        <w:t xml:space="preserve"> for an employer and an employee at a time if, assuming that the employee were a member of the fund and the employer were to make a contribution to the fund at the time for the benefit of the employee, the employer could rely on a provision of section 32C of the </w:t>
      </w:r>
      <w:r w:rsidRPr="00283424">
        <w:rPr>
          <w:i/>
        </w:rPr>
        <w:t>Superannuation Guarantee (Administration) Act 1992</w:t>
      </w:r>
      <w:r w:rsidRPr="00283424">
        <w:t xml:space="preserve"> (other than subsection 32C(1)) to satisfy the choice of fund requirements in relation to the contribution.</w:t>
      </w:r>
    </w:p>
    <w:p w14:paraId="26DB4E70" w14:textId="77777777" w:rsidR="00E93F58" w:rsidRPr="00283424" w:rsidRDefault="00E93F58" w:rsidP="00B50726">
      <w:pPr>
        <w:pStyle w:val="Definition"/>
      </w:pPr>
      <w:r w:rsidRPr="00283424">
        <w:rPr>
          <w:b/>
          <w:i/>
        </w:rPr>
        <w:t>fund</w:t>
      </w:r>
      <w:r w:rsidRPr="00283424">
        <w:t xml:space="preserve"> has the same meaning as in Part 3A of the </w:t>
      </w:r>
      <w:r w:rsidRPr="00283424">
        <w:rPr>
          <w:i/>
        </w:rPr>
        <w:t>Superannuation Guarantee (Administration) Act 1992</w:t>
      </w:r>
      <w:r w:rsidRPr="00283424">
        <w:t>.</w:t>
      </w:r>
    </w:p>
    <w:p w14:paraId="465CE844" w14:textId="77777777" w:rsidR="00E93F58" w:rsidRPr="00283424" w:rsidRDefault="00E93F58" w:rsidP="00B50726">
      <w:pPr>
        <w:pStyle w:val="ActHead2"/>
        <w:pageBreakBefore/>
        <w:rPr>
          <w:color w:val="000000"/>
        </w:rPr>
      </w:pPr>
      <w:bookmarkStart w:id="1422" w:name="_Toc152054688"/>
      <w:bookmarkStart w:id="1423" w:name="_Toc158712504"/>
      <w:r w:rsidRPr="006F296E">
        <w:rPr>
          <w:rStyle w:val="CharPartNo"/>
        </w:rPr>
        <w:lastRenderedPageBreak/>
        <w:t>Part 7.9</w:t>
      </w:r>
      <w:r w:rsidRPr="00283424">
        <w:rPr>
          <w:color w:val="000000"/>
        </w:rPr>
        <w:t>—</w:t>
      </w:r>
      <w:r w:rsidRPr="006F296E">
        <w:rPr>
          <w:rStyle w:val="CharPartText"/>
        </w:rPr>
        <w:t>Financial product disclosure and other provisions relating to issue and sale of financial products</w:t>
      </w:r>
      <w:bookmarkEnd w:id="1422"/>
      <w:bookmarkEnd w:id="1423"/>
    </w:p>
    <w:p w14:paraId="754760C7" w14:textId="77777777" w:rsidR="00E93F58" w:rsidRPr="00283424" w:rsidRDefault="00E93F58" w:rsidP="00B50726">
      <w:pPr>
        <w:pStyle w:val="ActHead3"/>
        <w:rPr>
          <w:color w:val="000000"/>
        </w:rPr>
      </w:pPr>
      <w:bookmarkStart w:id="1424" w:name="_Toc152054689"/>
      <w:bookmarkStart w:id="1425" w:name="_Toc158712505"/>
      <w:r w:rsidRPr="006F296E">
        <w:rPr>
          <w:rStyle w:val="CharDivNo"/>
        </w:rPr>
        <w:t>Division 1</w:t>
      </w:r>
      <w:r w:rsidRPr="00283424">
        <w:rPr>
          <w:color w:val="000000"/>
        </w:rPr>
        <w:t>—</w:t>
      </w:r>
      <w:r w:rsidRPr="006F296E">
        <w:rPr>
          <w:rStyle w:val="CharDivText"/>
        </w:rPr>
        <w:t>Preliminary</w:t>
      </w:r>
      <w:bookmarkEnd w:id="1424"/>
      <w:bookmarkEnd w:id="1425"/>
    </w:p>
    <w:p w14:paraId="4E589798" w14:textId="77777777" w:rsidR="00E93F58" w:rsidRPr="00283424" w:rsidRDefault="00E93F58" w:rsidP="00B50726">
      <w:pPr>
        <w:pStyle w:val="ActHead5"/>
      </w:pPr>
      <w:bookmarkStart w:id="1426" w:name="_Toc152054690"/>
      <w:bookmarkStart w:id="1427" w:name="_Toc158712506"/>
      <w:r w:rsidRPr="006F296E">
        <w:rPr>
          <w:rStyle w:val="CharSectno"/>
        </w:rPr>
        <w:t>7.9.01</w:t>
      </w:r>
      <w:r w:rsidRPr="00283424">
        <w:rPr>
          <w:sz w:val="16"/>
        </w:rPr>
        <w:t xml:space="preserve">  </w:t>
      </w:r>
      <w:r w:rsidRPr="00283424">
        <w:t>Interpretation</w:t>
      </w:r>
      <w:bookmarkEnd w:id="1426"/>
      <w:bookmarkEnd w:id="1427"/>
    </w:p>
    <w:p w14:paraId="37BC923D" w14:textId="77777777" w:rsidR="00E93F58" w:rsidRPr="00283424" w:rsidRDefault="00E93F58" w:rsidP="00B50726">
      <w:pPr>
        <w:pStyle w:val="subsection"/>
      </w:pPr>
      <w:r w:rsidRPr="00283424">
        <w:tab/>
        <w:t>(1)</w:t>
      </w:r>
      <w:r w:rsidRPr="00283424">
        <w:tab/>
        <w:t>In this Part:</w:t>
      </w:r>
    </w:p>
    <w:p w14:paraId="5842F6D7" w14:textId="77777777" w:rsidR="00E93F58" w:rsidRPr="00283424" w:rsidRDefault="00E93F58" w:rsidP="00B50726">
      <w:pPr>
        <w:pStyle w:val="Definition"/>
      </w:pPr>
      <w:r w:rsidRPr="00283424">
        <w:rPr>
          <w:b/>
          <w:i/>
          <w:color w:val="000000"/>
        </w:rPr>
        <w:t>amount</w:t>
      </w:r>
      <w:r w:rsidRPr="00283424">
        <w:rPr>
          <w:color w:val="000000"/>
        </w:rPr>
        <w:t xml:space="preserve"> includes a nil amount.</w:t>
      </w:r>
    </w:p>
    <w:p w14:paraId="1C04774A" w14:textId="77777777" w:rsidR="00E93F58" w:rsidRPr="00283424" w:rsidRDefault="00E93F58" w:rsidP="00B50726">
      <w:pPr>
        <w:pStyle w:val="Definition"/>
      </w:pPr>
      <w:r w:rsidRPr="00283424">
        <w:rPr>
          <w:b/>
          <w:i/>
        </w:rPr>
        <w:t>annuity</w:t>
      </w:r>
      <w:r w:rsidRPr="00283424">
        <w:t xml:space="preserve"> has the same meaning as in regulation 1.05 of the SIS Regulations.</w:t>
      </w:r>
    </w:p>
    <w:p w14:paraId="72611BE9" w14:textId="77777777" w:rsidR="00E93F58" w:rsidRPr="00283424" w:rsidRDefault="00E93F58" w:rsidP="00B50726">
      <w:pPr>
        <w:pStyle w:val="Definition"/>
      </w:pPr>
      <w:r w:rsidRPr="00283424">
        <w:rPr>
          <w:b/>
          <w:i/>
          <w:color w:val="000000"/>
        </w:rPr>
        <w:t>contact details</w:t>
      </w:r>
      <w:r w:rsidRPr="00283424">
        <w:t>, in relation to a superannuation entity, means:</w:t>
      </w:r>
    </w:p>
    <w:p w14:paraId="1278A52B" w14:textId="77777777" w:rsidR="00E93F58" w:rsidRPr="00283424" w:rsidRDefault="00E93F58" w:rsidP="00B50726">
      <w:pPr>
        <w:pStyle w:val="paragraph"/>
      </w:pPr>
      <w:r w:rsidRPr="00283424">
        <w:rPr>
          <w:color w:val="000000"/>
        </w:rPr>
        <w:tab/>
        <w:t>(a)</w:t>
      </w:r>
      <w:r w:rsidRPr="00283424">
        <w:rPr>
          <w:color w:val="000000"/>
        </w:rPr>
        <w:tab/>
        <w:t>the name of the superannuation entity and, if relevant, of the sub</w:t>
      </w:r>
      <w:r>
        <w:rPr>
          <w:color w:val="000000"/>
        </w:rPr>
        <w:noBreakHyphen/>
      </w:r>
      <w:r w:rsidRPr="00283424">
        <w:rPr>
          <w:color w:val="000000"/>
        </w:rPr>
        <w:t>plan; and</w:t>
      </w:r>
    </w:p>
    <w:p w14:paraId="39652F46" w14:textId="77777777" w:rsidR="00E93F58" w:rsidRPr="00283424" w:rsidRDefault="00E93F58" w:rsidP="00B50726">
      <w:pPr>
        <w:pStyle w:val="paragraph"/>
      </w:pPr>
      <w:r w:rsidRPr="00283424">
        <w:tab/>
        <w:t>(b)</w:t>
      </w:r>
      <w:r w:rsidRPr="00283424">
        <w:tab/>
        <w:t>a contact address for the superannuation entity; and</w:t>
      </w:r>
    </w:p>
    <w:p w14:paraId="79D3634C" w14:textId="77777777" w:rsidR="00E93F58" w:rsidRPr="00283424" w:rsidRDefault="00E93F58" w:rsidP="00B50726">
      <w:pPr>
        <w:pStyle w:val="paragraph"/>
      </w:pPr>
      <w:r w:rsidRPr="00283424">
        <w:tab/>
        <w:t>(c)</w:t>
      </w:r>
      <w:r w:rsidRPr="00283424">
        <w:tab/>
        <w:t>a contact person and telephone number for the contact person.</w:t>
      </w:r>
    </w:p>
    <w:p w14:paraId="3D9556C4" w14:textId="77777777" w:rsidR="00E93F58" w:rsidRPr="00283424" w:rsidRDefault="00E93F58" w:rsidP="00B50726">
      <w:pPr>
        <w:pStyle w:val="Definition"/>
      </w:pPr>
      <w:r w:rsidRPr="00283424">
        <w:rPr>
          <w:b/>
          <w:i/>
          <w:color w:val="000000"/>
        </w:rPr>
        <w:t>contact person</w:t>
      </w:r>
      <w:r w:rsidRPr="00283424">
        <w:rPr>
          <w:color w:val="000000"/>
        </w:rPr>
        <w:t>, in relation to a superannuation entity, means a named individual, or a person holding a designated office or position, who is available to receive and deal with inquiries or complaints by product holders (as the case may be).</w:t>
      </w:r>
    </w:p>
    <w:p w14:paraId="252E764B" w14:textId="77777777" w:rsidR="00E93F58" w:rsidRPr="00283424" w:rsidRDefault="00E93F58" w:rsidP="00B50726">
      <w:pPr>
        <w:pStyle w:val="Definition"/>
      </w:pPr>
      <w:r w:rsidRPr="00283424">
        <w:rPr>
          <w:b/>
          <w:i/>
        </w:rPr>
        <w:t>contribution</w:t>
      </w:r>
      <w:r w:rsidRPr="00283424">
        <w:t xml:space="preserve"> includes a benefit that is rolled over or transferred to a fund.</w:t>
      </w:r>
    </w:p>
    <w:p w14:paraId="027CF3F7" w14:textId="77777777" w:rsidR="00E93F58" w:rsidRPr="00283424" w:rsidRDefault="00E93F58" w:rsidP="00B50726">
      <w:pPr>
        <w:pStyle w:val="Definition"/>
      </w:pPr>
      <w:r w:rsidRPr="00283424">
        <w:rPr>
          <w:b/>
          <w:i/>
        </w:rPr>
        <w:t>exit charge</w:t>
      </w:r>
      <w:r w:rsidRPr="00283424">
        <w:t xml:space="preserve"> means a charge that:</w:t>
      </w:r>
    </w:p>
    <w:p w14:paraId="0EA8009B" w14:textId="77777777" w:rsidR="00E93F58" w:rsidRPr="00283424" w:rsidRDefault="00E93F58" w:rsidP="00B50726">
      <w:pPr>
        <w:pStyle w:val="paragraph"/>
      </w:pPr>
      <w:r w:rsidRPr="00283424">
        <w:tab/>
        <w:t>(a)</w:t>
      </w:r>
      <w:r w:rsidRPr="00283424">
        <w:tab/>
        <w:t>is made against:</w:t>
      </w:r>
    </w:p>
    <w:p w14:paraId="5E2C04CA" w14:textId="77777777" w:rsidR="00E93F58" w:rsidRPr="00283424" w:rsidRDefault="00E93F58" w:rsidP="00B50726">
      <w:pPr>
        <w:pStyle w:val="paragraphsub"/>
      </w:pPr>
      <w:r w:rsidRPr="00283424">
        <w:tab/>
        <w:t>(i)</w:t>
      </w:r>
      <w:r w:rsidRPr="00283424">
        <w:tab/>
        <w:t>a product holder’s benefits in a fund or financial product; or</w:t>
      </w:r>
    </w:p>
    <w:p w14:paraId="59C098FD" w14:textId="77777777" w:rsidR="00E93F58" w:rsidRPr="00283424" w:rsidRDefault="00E93F58" w:rsidP="00B50726">
      <w:pPr>
        <w:pStyle w:val="paragraphsub"/>
      </w:pPr>
      <w:r w:rsidRPr="00283424">
        <w:tab/>
        <w:t>(ii)</w:t>
      </w:r>
      <w:r w:rsidRPr="00283424">
        <w:tab/>
        <w:t>a product holder or another person on the product holder’s behalf; and</w:t>
      </w:r>
    </w:p>
    <w:p w14:paraId="4CBA196C" w14:textId="77777777" w:rsidR="00E93F58" w:rsidRPr="00283424" w:rsidRDefault="00E93F58" w:rsidP="00B50726">
      <w:pPr>
        <w:pStyle w:val="paragraph"/>
      </w:pPr>
      <w:r w:rsidRPr="00283424">
        <w:tab/>
        <w:t>(b)</w:t>
      </w:r>
      <w:r w:rsidRPr="00283424">
        <w:tab/>
        <w:t>is only made when a payment is:</w:t>
      </w:r>
    </w:p>
    <w:p w14:paraId="1A6E1336" w14:textId="77777777" w:rsidR="00E93F58" w:rsidRPr="00283424" w:rsidRDefault="00E93F58" w:rsidP="00B50726">
      <w:pPr>
        <w:pStyle w:val="paragraphsub"/>
      </w:pPr>
      <w:r w:rsidRPr="00283424">
        <w:tab/>
        <w:t>(i)</w:t>
      </w:r>
      <w:r w:rsidRPr="00283424">
        <w:tab/>
        <w:t>made in respect of a product holder; or</w:t>
      </w:r>
    </w:p>
    <w:p w14:paraId="0BE3C354" w14:textId="77777777" w:rsidR="00E93F58" w:rsidRPr="00283424" w:rsidRDefault="00E93F58" w:rsidP="00B50726">
      <w:pPr>
        <w:pStyle w:val="paragraphsub"/>
      </w:pPr>
      <w:r w:rsidRPr="00283424">
        <w:tab/>
        <w:t>(ii)</w:t>
      </w:r>
      <w:r w:rsidRPr="00283424">
        <w:tab/>
        <w:t>transferred.</w:t>
      </w:r>
    </w:p>
    <w:p w14:paraId="3BC936A5" w14:textId="77777777" w:rsidR="00E93F58" w:rsidRPr="00AA751B" w:rsidRDefault="00E93F58" w:rsidP="00C9171A">
      <w:pPr>
        <w:pStyle w:val="Definition"/>
      </w:pPr>
      <w:r w:rsidRPr="00AA751B">
        <w:rPr>
          <w:b/>
          <w:i/>
        </w:rPr>
        <w:t>fund information</w:t>
      </w:r>
      <w:r w:rsidRPr="00AA751B">
        <w:t xml:space="preserve">, in relation to a superannuation product or an </w:t>
      </w:r>
      <w:r w:rsidRPr="00BE1284">
        <w:t>RSA</w:t>
      </w:r>
      <w:r w:rsidRPr="00AA751B">
        <w:t>, means information required to be given under Subdivision 5.5.</w:t>
      </w:r>
    </w:p>
    <w:p w14:paraId="31423C92" w14:textId="77777777" w:rsidR="00E93F58" w:rsidRPr="00283424" w:rsidRDefault="00E93F58" w:rsidP="00B50726">
      <w:pPr>
        <w:pStyle w:val="Definition"/>
      </w:pPr>
      <w:r w:rsidRPr="00283424">
        <w:rPr>
          <w:b/>
          <w:i/>
          <w:color w:val="000000"/>
        </w:rPr>
        <w:t>fund reporting period</w:t>
      </w:r>
      <w:r w:rsidRPr="00283424">
        <w:rPr>
          <w:color w:val="000000"/>
        </w:rPr>
        <w:t xml:space="preserve"> means a reporting period for fund information.</w:t>
      </w:r>
    </w:p>
    <w:p w14:paraId="551A84B4" w14:textId="77777777" w:rsidR="00E93F58" w:rsidRPr="00283424" w:rsidRDefault="00E93F58" w:rsidP="00B50726">
      <w:pPr>
        <w:pStyle w:val="Definition"/>
      </w:pPr>
      <w:r w:rsidRPr="00283424">
        <w:rPr>
          <w:b/>
          <w:i/>
        </w:rPr>
        <w:t>Government co</w:t>
      </w:r>
      <w:r>
        <w:rPr>
          <w:b/>
          <w:i/>
        </w:rPr>
        <w:noBreakHyphen/>
      </w:r>
      <w:r w:rsidRPr="00283424">
        <w:rPr>
          <w:b/>
          <w:i/>
        </w:rPr>
        <w:t>contribution</w:t>
      </w:r>
      <w:r w:rsidRPr="00283424">
        <w:t xml:space="preserve"> means a Government co</w:t>
      </w:r>
      <w:r>
        <w:noBreakHyphen/>
      </w:r>
      <w:r w:rsidRPr="00283424">
        <w:t xml:space="preserve">contribution payable under the </w:t>
      </w:r>
      <w:r w:rsidRPr="00283424">
        <w:rPr>
          <w:i/>
        </w:rPr>
        <w:t>Superannuation (Government Co</w:t>
      </w:r>
      <w:r>
        <w:rPr>
          <w:i/>
        </w:rPr>
        <w:noBreakHyphen/>
      </w:r>
      <w:r w:rsidRPr="00283424">
        <w:rPr>
          <w:i/>
        </w:rPr>
        <w:t>contribution for Low Income Earners) Act 2003</w:t>
      </w:r>
      <w:r w:rsidRPr="00283424">
        <w:t>.</w:t>
      </w:r>
    </w:p>
    <w:p w14:paraId="7561DB28" w14:textId="77777777" w:rsidR="00E93F58" w:rsidRPr="00283424" w:rsidRDefault="00E93F58" w:rsidP="00B50726">
      <w:pPr>
        <w:pStyle w:val="Definition"/>
      </w:pPr>
      <w:r w:rsidRPr="00283424">
        <w:rPr>
          <w:b/>
          <w:i/>
        </w:rPr>
        <w:t>legal personal representative</w:t>
      </w:r>
      <w:r w:rsidRPr="00283424">
        <w:t xml:space="preserve"> has the meaning given by section 10 of the SIS Act.</w:t>
      </w:r>
    </w:p>
    <w:p w14:paraId="462191B4" w14:textId="77777777" w:rsidR="00E93F58" w:rsidRPr="00283424" w:rsidRDefault="00E93F58" w:rsidP="00B50726">
      <w:pPr>
        <w:pStyle w:val="Definition"/>
      </w:pPr>
      <w:r w:rsidRPr="00283424">
        <w:rPr>
          <w:b/>
          <w:i/>
        </w:rPr>
        <w:t>lost member</w:t>
      </w:r>
      <w:r w:rsidRPr="00283424">
        <w:t xml:space="preserve"> has the meaning given by the SIS regulations.</w:t>
      </w:r>
    </w:p>
    <w:p w14:paraId="10DF901E" w14:textId="77777777" w:rsidR="00E93F58" w:rsidRPr="00283424" w:rsidRDefault="00E93F58" w:rsidP="00B50726">
      <w:pPr>
        <w:pStyle w:val="Definition"/>
      </w:pPr>
      <w:r w:rsidRPr="00283424">
        <w:rPr>
          <w:b/>
          <w:i/>
        </w:rPr>
        <w:t>lost RSA holder</w:t>
      </w:r>
      <w:r w:rsidRPr="00283424">
        <w:t xml:space="preserve"> has the meaning given by the RSA regulations.</w:t>
      </w:r>
    </w:p>
    <w:p w14:paraId="6BA88DB0" w14:textId="77777777" w:rsidR="00E93F58" w:rsidRPr="00283424" w:rsidRDefault="00E93F58" w:rsidP="00B50726">
      <w:pPr>
        <w:pStyle w:val="Definition"/>
      </w:pPr>
      <w:r w:rsidRPr="00283424">
        <w:rPr>
          <w:b/>
          <w:i/>
        </w:rPr>
        <w:t>net amount of Government co</w:t>
      </w:r>
      <w:r>
        <w:rPr>
          <w:b/>
          <w:i/>
        </w:rPr>
        <w:noBreakHyphen/>
      </w:r>
      <w:r w:rsidRPr="00283424">
        <w:rPr>
          <w:b/>
          <w:i/>
        </w:rPr>
        <w:t>contribution received</w:t>
      </w:r>
      <w:r w:rsidRPr="00283424">
        <w:t xml:space="preserve"> means all amounts of Government co</w:t>
      </w:r>
      <w:r>
        <w:noBreakHyphen/>
      </w:r>
      <w:r w:rsidRPr="00283424">
        <w:t>contributions credited to the member of a superannuation fund (other than a self managed superannuation fund) or an RSA holder, less any amounts deducted by the superannuation provider or providers to reimburse it or them for repaying a co</w:t>
      </w:r>
      <w:r>
        <w:noBreakHyphen/>
      </w:r>
      <w:r w:rsidRPr="00283424">
        <w:t>contribution amount to the Commissioner of Taxation, during the reporting period.</w:t>
      </w:r>
    </w:p>
    <w:p w14:paraId="3C507B05" w14:textId="77777777" w:rsidR="00E93F58" w:rsidRPr="00283424" w:rsidRDefault="00E93F58" w:rsidP="00B50726">
      <w:pPr>
        <w:pStyle w:val="Definition"/>
      </w:pPr>
      <w:r w:rsidRPr="00283424">
        <w:rPr>
          <w:b/>
          <w:i/>
        </w:rPr>
        <w:t>net earnings</w:t>
      </w:r>
      <w:r w:rsidRPr="00283424">
        <w:t xml:space="preserve"> means the investment return on the assets of a fund after payment of transaction costs, government charges, taxes and duties and charges relating to the management of investment of fund assets.</w:t>
      </w:r>
    </w:p>
    <w:p w14:paraId="768C3FD0" w14:textId="77777777" w:rsidR="00E93F58" w:rsidRPr="00283424" w:rsidRDefault="00E93F58" w:rsidP="00B50726">
      <w:pPr>
        <w:pStyle w:val="Definition"/>
      </w:pPr>
      <w:r w:rsidRPr="00283424">
        <w:rPr>
          <w:b/>
          <w:i/>
        </w:rPr>
        <w:t>prescribed net earnings rate</w:t>
      </w:r>
      <w:r w:rsidRPr="00283424">
        <w:t>, in relation to a fixed</w:t>
      </w:r>
      <w:r>
        <w:noBreakHyphen/>
      </w:r>
      <w:r w:rsidRPr="00283424">
        <w:t>rate option offered by a capital guaranteed fund for a period, means the net earnings rate declared, in advance, by the fund.</w:t>
      </w:r>
    </w:p>
    <w:p w14:paraId="7D78F5F6" w14:textId="77777777" w:rsidR="00E93F58" w:rsidRPr="00283424" w:rsidRDefault="00E93F58" w:rsidP="00B50726">
      <w:pPr>
        <w:pStyle w:val="Definition"/>
      </w:pPr>
      <w:r w:rsidRPr="00283424">
        <w:rPr>
          <w:b/>
          <w:i/>
          <w:color w:val="000000"/>
        </w:rPr>
        <w:t>remuneration</w:t>
      </w:r>
      <w:r w:rsidRPr="00283424">
        <w:t>, for an Australian financial services licensee or an authorised representative, means a payment that:</w:t>
      </w:r>
    </w:p>
    <w:p w14:paraId="2480D1AF" w14:textId="77777777" w:rsidR="00E93F58" w:rsidRPr="00283424" w:rsidRDefault="00E93F58" w:rsidP="00B50726">
      <w:pPr>
        <w:pStyle w:val="paragraph"/>
      </w:pPr>
      <w:r w:rsidRPr="00283424">
        <w:rPr>
          <w:color w:val="000000"/>
        </w:rPr>
        <w:tab/>
        <w:t>(a)</w:t>
      </w:r>
      <w:r w:rsidRPr="00283424">
        <w:rPr>
          <w:color w:val="000000"/>
        </w:rPr>
        <w:tab/>
        <w:t>is made to the Australian financial services licensee or authorised representative because a superannuation interest is issued to a member; and</w:t>
      </w:r>
    </w:p>
    <w:p w14:paraId="7CF8EF07" w14:textId="77777777" w:rsidR="00E93F58" w:rsidRPr="00283424" w:rsidRDefault="00E93F58" w:rsidP="00B50726">
      <w:pPr>
        <w:pStyle w:val="paragraph"/>
      </w:pPr>
      <w:r w:rsidRPr="00283424">
        <w:lastRenderedPageBreak/>
        <w:tab/>
        <w:t>(b)</w:t>
      </w:r>
      <w:r w:rsidRPr="00283424">
        <w:tab/>
        <w:t>is not made under an agreement by which the member, or another person on the member’s behalf, has retained the Australian financial services licensee or authorised representative on a fee</w:t>
      </w:r>
      <w:r>
        <w:noBreakHyphen/>
      </w:r>
      <w:r w:rsidRPr="00283424">
        <w:t>for</w:t>
      </w:r>
      <w:r>
        <w:noBreakHyphen/>
      </w:r>
      <w:r w:rsidRPr="00283424">
        <w:t>service basis.</w:t>
      </w:r>
    </w:p>
    <w:p w14:paraId="74F6D22E" w14:textId="77777777" w:rsidR="00E93F58" w:rsidRPr="00283424" w:rsidRDefault="00E93F58" w:rsidP="00B50726">
      <w:pPr>
        <w:pStyle w:val="notetext"/>
      </w:pPr>
      <w:r w:rsidRPr="00283424">
        <w:rPr>
          <w:color w:val="000000"/>
        </w:rPr>
        <w:t>Note:</w:t>
      </w:r>
      <w:r w:rsidRPr="00283424">
        <w:rPr>
          <w:color w:val="000000"/>
        </w:rPr>
        <w:tab/>
        <w:t>Also see subregulation (5).</w:t>
      </w:r>
    </w:p>
    <w:p w14:paraId="3BEA2B9E" w14:textId="77777777" w:rsidR="00E93F58" w:rsidRPr="00283424" w:rsidRDefault="00E93F58" w:rsidP="00B50726">
      <w:pPr>
        <w:pStyle w:val="Definition"/>
      </w:pPr>
      <w:r w:rsidRPr="00283424">
        <w:rPr>
          <w:b/>
          <w:i/>
          <w:color w:val="000000"/>
        </w:rPr>
        <w:t>sub</w:t>
      </w:r>
      <w:r>
        <w:rPr>
          <w:b/>
          <w:i/>
          <w:color w:val="000000"/>
        </w:rPr>
        <w:noBreakHyphen/>
      </w:r>
      <w:r w:rsidRPr="00283424">
        <w:rPr>
          <w:b/>
          <w:i/>
          <w:color w:val="000000"/>
        </w:rPr>
        <w:t>fund</w:t>
      </w:r>
      <w:r w:rsidRPr="00283424">
        <w:t>, in relation to a capital guaranteed fund, means a segment of a public offer superannuation fund that has the following characteristics:</w:t>
      </w:r>
    </w:p>
    <w:p w14:paraId="21981E72" w14:textId="77777777" w:rsidR="00E93F58" w:rsidRPr="00283424" w:rsidRDefault="00E93F58" w:rsidP="00B50726">
      <w:pPr>
        <w:pStyle w:val="paragraph"/>
      </w:pPr>
      <w:r w:rsidRPr="00283424">
        <w:rPr>
          <w:color w:val="000000"/>
        </w:rPr>
        <w:tab/>
        <w:t>(a)</w:t>
      </w:r>
      <w:r w:rsidRPr="00283424">
        <w:rPr>
          <w:color w:val="000000"/>
        </w:rPr>
        <w:tab/>
        <w:t>the sub</w:t>
      </w:r>
      <w:r>
        <w:rPr>
          <w:color w:val="000000"/>
        </w:rPr>
        <w:noBreakHyphen/>
      </w:r>
      <w:r w:rsidRPr="00283424">
        <w:rPr>
          <w:color w:val="000000"/>
        </w:rPr>
        <w:t>fund has separately identifiable assets and separately identifiable beneficiaries;</w:t>
      </w:r>
    </w:p>
    <w:p w14:paraId="63D4D148" w14:textId="77777777" w:rsidR="00E93F58" w:rsidRPr="00283424" w:rsidRDefault="00E93F58" w:rsidP="00B50726">
      <w:pPr>
        <w:pStyle w:val="paragraph"/>
      </w:pPr>
      <w:r w:rsidRPr="00283424">
        <w:tab/>
        <w:t>(b)</w:t>
      </w:r>
      <w:r w:rsidRPr="00283424">
        <w:tab/>
        <w:t>the interest of each beneficiary of the sub</w:t>
      </w:r>
      <w:r>
        <w:noBreakHyphen/>
      </w:r>
      <w:r w:rsidRPr="00283424">
        <w:t>fund is determined by reference only to the conditions governing that sub</w:t>
      </w:r>
      <w:r>
        <w:noBreakHyphen/>
      </w:r>
      <w:r w:rsidRPr="00283424">
        <w:t>fund;</w:t>
      </w:r>
    </w:p>
    <w:p w14:paraId="766D9723" w14:textId="77777777" w:rsidR="00E93F58" w:rsidRPr="00283424" w:rsidRDefault="00E93F58" w:rsidP="00B50726">
      <w:pPr>
        <w:pStyle w:val="paragraph"/>
      </w:pPr>
      <w:r w:rsidRPr="00283424">
        <w:tab/>
        <w:t>(c)</w:t>
      </w:r>
      <w:r w:rsidRPr="00283424">
        <w:tab/>
        <w:t>there is no transfer of assets, benefits or money between the sub</w:t>
      </w:r>
      <w:r>
        <w:noBreakHyphen/>
      </w:r>
      <w:r w:rsidRPr="00283424">
        <w:t>fund and another sub</w:t>
      </w:r>
      <w:r>
        <w:noBreakHyphen/>
      </w:r>
      <w:r w:rsidRPr="00283424">
        <w:t>fund without a transfer of a corresponding beneficial interest;</w:t>
      </w:r>
    </w:p>
    <w:p w14:paraId="654C0DB4" w14:textId="77777777" w:rsidR="00E93F58" w:rsidRPr="00283424" w:rsidRDefault="00E93F58" w:rsidP="00B50726">
      <w:pPr>
        <w:pStyle w:val="paragraph"/>
      </w:pPr>
      <w:r w:rsidRPr="00283424">
        <w:tab/>
        <w:t>(d)</w:t>
      </w:r>
      <w:r w:rsidRPr="00283424">
        <w:tab/>
        <w:t>the insurance and administration costs of the sub</w:t>
      </w:r>
      <w:r>
        <w:noBreakHyphen/>
      </w:r>
      <w:r w:rsidRPr="00283424">
        <w:t>fund are attributable only to that sub</w:t>
      </w:r>
      <w:r>
        <w:noBreakHyphen/>
      </w:r>
      <w:r w:rsidRPr="00283424">
        <w:t>fund.</w:t>
      </w:r>
    </w:p>
    <w:p w14:paraId="31B69320" w14:textId="77777777" w:rsidR="00E93F58" w:rsidRPr="00283424" w:rsidRDefault="00E93F58" w:rsidP="00B50726">
      <w:pPr>
        <w:pStyle w:val="Definition"/>
      </w:pPr>
      <w:r w:rsidRPr="00283424">
        <w:rPr>
          <w:b/>
          <w:i/>
          <w:color w:val="000000"/>
        </w:rPr>
        <w:t>transaction cost</w:t>
      </w:r>
      <w:r w:rsidRPr="00283424">
        <w:t xml:space="preserve"> means:</w:t>
      </w:r>
    </w:p>
    <w:p w14:paraId="4436F935" w14:textId="77777777" w:rsidR="00E93F58" w:rsidRPr="00283424" w:rsidRDefault="00E93F58" w:rsidP="00B50726">
      <w:pPr>
        <w:pStyle w:val="paragraph"/>
      </w:pPr>
      <w:r w:rsidRPr="00283424">
        <w:rPr>
          <w:color w:val="000000"/>
        </w:rPr>
        <w:tab/>
        <w:t>(a)</w:t>
      </w:r>
      <w:r w:rsidRPr="00283424">
        <w:rPr>
          <w:color w:val="000000"/>
        </w:rPr>
        <w:tab/>
        <w:t>brokerage paid because of an investment transaction; or</w:t>
      </w:r>
    </w:p>
    <w:p w14:paraId="0C034424" w14:textId="77777777" w:rsidR="00E93F58" w:rsidRPr="00283424" w:rsidRDefault="00E93F58" w:rsidP="00B50726">
      <w:pPr>
        <w:pStyle w:val="paragraph"/>
      </w:pPr>
      <w:r w:rsidRPr="00283424">
        <w:tab/>
        <w:t>(b)</w:t>
      </w:r>
      <w:r w:rsidRPr="00283424">
        <w:tab/>
        <w:t>a cost arising from maintenance of a property investment; or</w:t>
      </w:r>
    </w:p>
    <w:p w14:paraId="7459E367" w14:textId="77777777" w:rsidR="00E93F58" w:rsidRPr="00283424" w:rsidRDefault="00E93F58" w:rsidP="00B50726">
      <w:pPr>
        <w:pStyle w:val="paragraph"/>
      </w:pPr>
      <w:r w:rsidRPr="00283424">
        <w:tab/>
        <w:t>(c)</w:t>
      </w:r>
      <w:r w:rsidRPr="00283424">
        <w:tab/>
        <w:t>stamp duty on an investment transaction.</w:t>
      </w:r>
    </w:p>
    <w:p w14:paraId="3775EDD0" w14:textId="77777777" w:rsidR="00E93F58" w:rsidRPr="00283424" w:rsidRDefault="00E93F58" w:rsidP="00B50726">
      <w:pPr>
        <w:pStyle w:val="Definition"/>
      </w:pPr>
      <w:r w:rsidRPr="00283424">
        <w:rPr>
          <w:b/>
          <w:i/>
          <w:color w:val="000000"/>
        </w:rPr>
        <w:t>unfunded defined benefits fund</w:t>
      </w:r>
      <w:r w:rsidRPr="00283424">
        <w:rPr>
          <w:color w:val="000000"/>
        </w:rPr>
        <w:t xml:space="preserve"> means a defined benefits fund under which all or some of the amounts that will be required for the payment of a benefit are not paid into the fund until the member concerned becomes entitled to receive the benefit.</w:t>
      </w:r>
    </w:p>
    <w:p w14:paraId="42312718" w14:textId="77777777" w:rsidR="00E93F58" w:rsidRPr="00283424" w:rsidRDefault="00E93F58" w:rsidP="00B50726">
      <w:pPr>
        <w:pStyle w:val="Definition"/>
      </w:pPr>
      <w:r w:rsidRPr="00283424">
        <w:rPr>
          <w:b/>
          <w:i/>
        </w:rPr>
        <w:t>withdrawal benefit</w:t>
      </w:r>
      <w:r w:rsidRPr="00283424">
        <w:t xml:space="preserve"> has the same meaning as in the SIS Regulations.</w:t>
      </w:r>
    </w:p>
    <w:p w14:paraId="72B59816" w14:textId="77777777" w:rsidR="00E93F58" w:rsidRPr="00283424" w:rsidRDefault="00E93F58" w:rsidP="00B50726">
      <w:pPr>
        <w:pStyle w:val="subsection"/>
      </w:pPr>
      <w:r w:rsidRPr="00283424">
        <w:tab/>
        <w:t>(2)</w:t>
      </w:r>
      <w:r w:rsidRPr="00283424">
        <w:tab/>
        <w:t xml:space="preserve">In this Part, unless the contrary intention appears, a reference to a </w:t>
      </w:r>
      <w:r w:rsidRPr="00283424">
        <w:rPr>
          <w:b/>
          <w:i/>
        </w:rPr>
        <w:t>member</w:t>
      </w:r>
      <w:r w:rsidRPr="00283424">
        <w:t xml:space="preserve"> is taken to mean:</w:t>
      </w:r>
    </w:p>
    <w:p w14:paraId="3B987210" w14:textId="77777777" w:rsidR="00E93F58" w:rsidRPr="00283424" w:rsidRDefault="00E93F58" w:rsidP="00B50726">
      <w:pPr>
        <w:pStyle w:val="paragraph"/>
      </w:pPr>
      <w:r w:rsidRPr="00283424">
        <w:tab/>
        <w:t>(a)</w:t>
      </w:r>
      <w:r w:rsidRPr="00283424">
        <w:tab/>
        <w:t>in relation to a superannuation entity—a person who:</w:t>
      </w:r>
    </w:p>
    <w:p w14:paraId="625CA335" w14:textId="77777777" w:rsidR="00E93F58" w:rsidRPr="00283424" w:rsidRDefault="00E93F58" w:rsidP="00B50726">
      <w:pPr>
        <w:pStyle w:val="paragraphsub"/>
      </w:pPr>
      <w:r w:rsidRPr="00283424">
        <w:rPr>
          <w:color w:val="000000"/>
        </w:rPr>
        <w:tab/>
        <w:t>(i)</w:t>
      </w:r>
      <w:r w:rsidRPr="00283424">
        <w:rPr>
          <w:color w:val="000000"/>
        </w:rPr>
        <w:tab/>
        <w:t>is a member of the entity; or</w:t>
      </w:r>
    </w:p>
    <w:p w14:paraId="16EE0877" w14:textId="77777777" w:rsidR="00E93F58" w:rsidRPr="00283424" w:rsidRDefault="00E93F58" w:rsidP="00B50726">
      <w:pPr>
        <w:pStyle w:val="paragraphsub"/>
      </w:pPr>
      <w:r w:rsidRPr="00283424">
        <w:tab/>
        <w:t>(ii)</w:t>
      </w:r>
      <w:r w:rsidRPr="00283424">
        <w:tab/>
        <w:t>receives a pension from the entity; or</w:t>
      </w:r>
    </w:p>
    <w:p w14:paraId="44C77966" w14:textId="77777777" w:rsidR="00E93F58" w:rsidRPr="00283424" w:rsidRDefault="00E93F58" w:rsidP="00B50726">
      <w:pPr>
        <w:pStyle w:val="paragraphsub"/>
      </w:pPr>
      <w:r w:rsidRPr="00283424">
        <w:tab/>
        <w:t>(iii)</w:t>
      </w:r>
      <w:r w:rsidRPr="00283424">
        <w:tab/>
        <w:t>has deferred his or her entitlement to receive a benefit from the entity; and</w:t>
      </w:r>
    </w:p>
    <w:p w14:paraId="3389126D" w14:textId="77777777" w:rsidR="00E93F58" w:rsidRPr="00283424" w:rsidRDefault="00E93F58" w:rsidP="00B50726">
      <w:pPr>
        <w:pStyle w:val="paragraph"/>
      </w:pPr>
      <w:r w:rsidRPr="00283424">
        <w:rPr>
          <w:color w:val="000000"/>
        </w:rPr>
        <w:tab/>
        <w:t>(b)</w:t>
      </w:r>
      <w:r w:rsidRPr="00283424">
        <w:rPr>
          <w:color w:val="000000"/>
        </w:rPr>
        <w:tab/>
        <w:t>in relation to an approved deposit fund—a depositor in the fund; and</w:t>
      </w:r>
    </w:p>
    <w:p w14:paraId="2C94A74E" w14:textId="77777777" w:rsidR="00E93F58" w:rsidRPr="00283424" w:rsidRDefault="00E93F58" w:rsidP="00B50726">
      <w:pPr>
        <w:pStyle w:val="paragraph"/>
      </w:pPr>
      <w:r w:rsidRPr="00283424">
        <w:tab/>
        <w:t>(c)</w:t>
      </w:r>
      <w:r w:rsidRPr="00283424">
        <w:tab/>
        <w:t>in relation to a pooled superannuation trust—a unit</w:t>
      </w:r>
      <w:r>
        <w:noBreakHyphen/>
      </w:r>
      <w:r w:rsidRPr="00283424">
        <w:t>holder.</w:t>
      </w:r>
    </w:p>
    <w:p w14:paraId="5DE32EA8" w14:textId="77777777" w:rsidR="00E93F58" w:rsidRPr="00283424" w:rsidRDefault="00E93F58" w:rsidP="00B50726">
      <w:pPr>
        <w:pStyle w:val="subsection"/>
      </w:pPr>
      <w:r w:rsidRPr="00283424">
        <w:rPr>
          <w:color w:val="000000"/>
        </w:rPr>
        <w:tab/>
        <w:t>(3)</w:t>
      </w:r>
      <w:r w:rsidRPr="00283424">
        <w:rPr>
          <w:color w:val="000000"/>
        </w:rPr>
        <w:tab/>
        <w:t>In a Division of this Part, a reference to a fund is a reference to a fund of the kind to which the Division applies.</w:t>
      </w:r>
    </w:p>
    <w:p w14:paraId="6F81BC45" w14:textId="77777777" w:rsidR="00E93F58" w:rsidRPr="00283424" w:rsidRDefault="00E93F58" w:rsidP="00B50726">
      <w:pPr>
        <w:pStyle w:val="subsection"/>
      </w:pPr>
      <w:r w:rsidRPr="00283424">
        <w:tab/>
        <w:t>(5)</w:t>
      </w:r>
      <w:r w:rsidRPr="00283424">
        <w:tab/>
        <w:t xml:space="preserve">For the definition of </w:t>
      </w:r>
      <w:r w:rsidRPr="00283424">
        <w:rPr>
          <w:b/>
          <w:i/>
        </w:rPr>
        <w:t>remuneration</w:t>
      </w:r>
      <w:r w:rsidRPr="00283424">
        <w:t>, payment is taken to have been given to an Australian financial services licensee or an authorised representative for issuing an interest to a member if:</w:t>
      </w:r>
    </w:p>
    <w:p w14:paraId="5F2089B7" w14:textId="77777777" w:rsidR="00E93F58" w:rsidRPr="00283424" w:rsidRDefault="00E93F58" w:rsidP="00B50726">
      <w:pPr>
        <w:pStyle w:val="paragraph"/>
      </w:pPr>
      <w:r w:rsidRPr="00283424">
        <w:rPr>
          <w:color w:val="000000"/>
        </w:rPr>
        <w:tab/>
        <w:t>(a)</w:t>
      </w:r>
      <w:r w:rsidRPr="00283424">
        <w:rPr>
          <w:color w:val="000000"/>
        </w:rPr>
        <w:tab/>
        <w:t>issuing the interest is taken into account to increase the payment given to the Australian financial services licensee or authorised representative for other matters (for example, bonus commission); or</w:t>
      </w:r>
    </w:p>
    <w:p w14:paraId="7E502BFC" w14:textId="77777777" w:rsidR="00E93F58" w:rsidRPr="00283424" w:rsidRDefault="00E93F58" w:rsidP="00B50726">
      <w:pPr>
        <w:pStyle w:val="paragraph"/>
      </w:pPr>
      <w:r w:rsidRPr="00283424">
        <w:tab/>
        <w:t>(b)</w:t>
      </w:r>
      <w:r w:rsidRPr="00283424">
        <w:tab/>
        <w:t>the payment is given after the interest is issued and only if the member remains a member of the fund (for example, trailing commission).</w:t>
      </w:r>
    </w:p>
    <w:p w14:paraId="64B46213" w14:textId="77777777" w:rsidR="00E93F58" w:rsidRPr="00283424" w:rsidRDefault="00E93F58" w:rsidP="00B50726">
      <w:pPr>
        <w:pStyle w:val="ActHead5"/>
      </w:pPr>
      <w:bookmarkStart w:id="1428" w:name="_Toc152054691"/>
      <w:bookmarkStart w:id="1429" w:name="_Toc158712507"/>
      <w:r w:rsidRPr="006F296E">
        <w:rPr>
          <w:rStyle w:val="CharSectno"/>
        </w:rPr>
        <w:t>7.9.02</w:t>
      </w:r>
      <w:r w:rsidRPr="00283424">
        <w:rPr>
          <w:sz w:val="16"/>
        </w:rPr>
        <w:t xml:space="preserve">  </w:t>
      </w:r>
      <w:r w:rsidRPr="00283424">
        <w:t>Sub</w:t>
      </w:r>
      <w:r>
        <w:noBreakHyphen/>
      </w:r>
      <w:r w:rsidRPr="00283424">
        <w:t>plans</w:t>
      </w:r>
      <w:bookmarkEnd w:id="1428"/>
      <w:bookmarkEnd w:id="1429"/>
    </w:p>
    <w:p w14:paraId="772352BC" w14:textId="77777777" w:rsidR="00E93F58" w:rsidRPr="00283424" w:rsidRDefault="00E93F58" w:rsidP="00B50726">
      <w:pPr>
        <w:pStyle w:val="subsection"/>
      </w:pPr>
      <w:r w:rsidRPr="00283424">
        <w:rPr>
          <w:color w:val="000000"/>
        </w:rPr>
        <w:tab/>
        <w:t>(1)</w:t>
      </w:r>
      <w:r w:rsidRPr="00283424">
        <w:rPr>
          <w:color w:val="000000"/>
        </w:rPr>
        <w:tab/>
        <w:t>This regulation applies if the trustee of a regulated superannuation fund proposes to make a determination as to whether a sub</w:t>
      </w:r>
      <w:r>
        <w:rPr>
          <w:color w:val="000000"/>
        </w:rPr>
        <w:noBreakHyphen/>
      </w:r>
      <w:r w:rsidRPr="00283424">
        <w:rPr>
          <w:color w:val="000000"/>
        </w:rPr>
        <w:t>plan should be made.</w:t>
      </w:r>
    </w:p>
    <w:p w14:paraId="2129DC5A" w14:textId="77777777" w:rsidR="00E93F58" w:rsidRPr="00283424" w:rsidRDefault="00E93F58" w:rsidP="00B50726">
      <w:pPr>
        <w:pStyle w:val="subsection"/>
      </w:pPr>
      <w:r w:rsidRPr="00283424">
        <w:tab/>
        <w:t>(2)</w:t>
      </w:r>
      <w:r w:rsidRPr="00283424">
        <w:tab/>
        <w:t>In making a determination, the trustee must have regard to all relevant matters, including each of the following:</w:t>
      </w:r>
    </w:p>
    <w:p w14:paraId="5DF72B74" w14:textId="77777777" w:rsidR="00E93F58" w:rsidRPr="00283424" w:rsidRDefault="00E93F58" w:rsidP="00B50726">
      <w:pPr>
        <w:pStyle w:val="paragraph"/>
      </w:pPr>
      <w:r w:rsidRPr="00283424">
        <w:rPr>
          <w:color w:val="000000"/>
        </w:rPr>
        <w:tab/>
        <w:t>(a)</w:t>
      </w:r>
      <w:r w:rsidRPr="00283424">
        <w:rPr>
          <w:color w:val="000000"/>
        </w:rPr>
        <w:tab/>
        <w:t>whether there is a common factor in a segment of the fund (for example, whether a group of members of the fund have the same employer);</w:t>
      </w:r>
    </w:p>
    <w:p w14:paraId="6E4AFB45" w14:textId="77777777" w:rsidR="00E93F58" w:rsidRPr="00283424" w:rsidRDefault="00E93F58" w:rsidP="00B50726">
      <w:pPr>
        <w:pStyle w:val="paragraph"/>
      </w:pPr>
      <w:r w:rsidRPr="00283424">
        <w:tab/>
        <w:t>(b)</w:t>
      </w:r>
      <w:r w:rsidRPr="00283424">
        <w:tab/>
        <w:t>whether the governing rules of the fund provide for a particular segment to be a sub</w:t>
      </w:r>
      <w:r>
        <w:noBreakHyphen/>
      </w:r>
      <w:r w:rsidRPr="00283424">
        <w:t>plan.</w:t>
      </w:r>
    </w:p>
    <w:p w14:paraId="4D96891E" w14:textId="77777777" w:rsidR="00E93F58" w:rsidRPr="00283424" w:rsidRDefault="00E93F58" w:rsidP="00B50726">
      <w:pPr>
        <w:pStyle w:val="subsection"/>
      </w:pPr>
      <w:r w:rsidRPr="00283424">
        <w:rPr>
          <w:color w:val="000000"/>
        </w:rPr>
        <w:tab/>
        <w:t>(3)</w:t>
      </w:r>
      <w:r w:rsidRPr="00283424">
        <w:rPr>
          <w:color w:val="000000"/>
        </w:rPr>
        <w:tab/>
        <w:t>For subsection 1017C(9) of the Act, the sub</w:t>
      </w:r>
      <w:r>
        <w:rPr>
          <w:color w:val="000000"/>
        </w:rPr>
        <w:noBreakHyphen/>
      </w:r>
      <w:r w:rsidRPr="00283424">
        <w:rPr>
          <w:color w:val="000000"/>
        </w:rPr>
        <w:t>plan is a relevant sub</w:t>
      </w:r>
      <w:r>
        <w:rPr>
          <w:color w:val="000000"/>
        </w:rPr>
        <w:noBreakHyphen/>
      </w:r>
      <w:r w:rsidRPr="00283424">
        <w:rPr>
          <w:color w:val="000000"/>
        </w:rPr>
        <w:t>plan.</w:t>
      </w:r>
    </w:p>
    <w:p w14:paraId="231711E7" w14:textId="77777777" w:rsidR="00E93F58" w:rsidRPr="00283424" w:rsidRDefault="00E93F58" w:rsidP="00B50726">
      <w:pPr>
        <w:pStyle w:val="subsection"/>
      </w:pPr>
      <w:r w:rsidRPr="00283424">
        <w:tab/>
        <w:t>(4)</w:t>
      </w:r>
      <w:r w:rsidRPr="00283424">
        <w:tab/>
        <w:t>For paragraph 761E(7)(a) of the Act, if:</w:t>
      </w:r>
    </w:p>
    <w:p w14:paraId="471681C4" w14:textId="77777777" w:rsidR="00E93F58" w:rsidRPr="00283424" w:rsidRDefault="00E93F58" w:rsidP="00B50726">
      <w:pPr>
        <w:pStyle w:val="paragraph"/>
      </w:pPr>
      <w:r w:rsidRPr="00283424">
        <w:rPr>
          <w:color w:val="000000"/>
        </w:rPr>
        <w:tab/>
        <w:t>(a)</w:t>
      </w:r>
      <w:r w:rsidRPr="00283424">
        <w:rPr>
          <w:color w:val="000000"/>
        </w:rPr>
        <w:tab/>
        <w:t>a person is a member of a superannuation fund in relation to a sub</w:t>
      </w:r>
      <w:r>
        <w:rPr>
          <w:color w:val="000000"/>
        </w:rPr>
        <w:noBreakHyphen/>
      </w:r>
      <w:r w:rsidRPr="00283424">
        <w:rPr>
          <w:color w:val="000000"/>
        </w:rPr>
        <w:t>plan; and</w:t>
      </w:r>
    </w:p>
    <w:p w14:paraId="457D148B" w14:textId="77777777" w:rsidR="00E93F58" w:rsidRPr="00283424" w:rsidRDefault="00E93F58" w:rsidP="00B50726">
      <w:pPr>
        <w:pStyle w:val="paragraph"/>
      </w:pPr>
      <w:r w:rsidRPr="00283424">
        <w:tab/>
        <w:t>(b)</w:t>
      </w:r>
      <w:r w:rsidRPr="00283424">
        <w:tab/>
        <w:t>either:</w:t>
      </w:r>
    </w:p>
    <w:p w14:paraId="6A89F841" w14:textId="77777777" w:rsidR="00E93F58" w:rsidRPr="00283424" w:rsidRDefault="00E93F58" w:rsidP="00B50726">
      <w:pPr>
        <w:pStyle w:val="paragraphsub"/>
      </w:pPr>
      <w:r w:rsidRPr="00283424">
        <w:tab/>
        <w:t>(i)</w:t>
      </w:r>
      <w:r w:rsidRPr="00283424">
        <w:tab/>
        <w:t>the person’s membership changes to membership in relation to another sub</w:t>
      </w:r>
      <w:r>
        <w:noBreakHyphen/>
      </w:r>
      <w:r w:rsidRPr="00283424">
        <w:t>plan; or</w:t>
      </w:r>
    </w:p>
    <w:p w14:paraId="4A05B4B2" w14:textId="77777777" w:rsidR="00E93F58" w:rsidRPr="00283424" w:rsidRDefault="00E93F58" w:rsidP="00B50726">
      <w:pPr>
        <w:pStyle w:val="paragraphsub"/>
        <w:keepNext/>
        <w:keepLines/>
      </w:pPr>
      <w:r w:rsidRPr="00283424">
        <w:lastRenderedPageBreak/>
        <w:tab/>
        <w:t>(ii)</w:t>
      </w:r>
      <w:r w:rsidRPr="00283424">
        <w:tab/>
        <w:t>the person holds interests in 2 or more sub</w:t>
      </w:r>
      <w:r>
        <w:noBreakHyphen/>
      </w:r>
      <w:r w:rsidRPr="00283424">
        <w:t>plans at the same time;</w:t>
      </w:r>
    </w:p>
    <w:p w14:paraId="57F1FDC2" w14:textId="77777777" w:rsidR="00E93F58" w:rsidRPr="00283424" w:rsidRDefault="00E93F58" w:rsidP="00B50726">
      <w:pPr>
        <w:pStyle w:val="subsection2"/>
      </w:pPr>
      <w:r w:rsidRPr="00283424">
        <w:rPr>
          <w:color w:val="000000"/>
        </w:rPr>
        <w:t>the change to membership in relation to the other sub</w:t>
      </w:r>
      <w:r>
        <w:rPr>
          <w:color w:val="000000"/>
        </w:rPr>
        <w:noBreakHyphen/>
      </w:r>
      <w:r w:rsidRPr="00283424">
        <w:rPr>
          <w:color w:val="000000"/>
        </w:rPr>
        <w:t>plan is taken to be the issue of a new interest in the superannuation fund.</w:t>
      </w:r>
    </w:p>
    <w:p w14:paraId="79A0E74C" w14:textId="77777777" w:rsidR="00E93F58" w:rsidRPr="00283424" w:rsidRDefault="00E93F58" w:rsidP="00B50726">
      <w:pPr>
        <w:pStyle w:val="subsection"/>
      </w:pPr>
      <w:r w:rsidRPr="00283424">
        <w:rPr>
          <w:color w:val="000000"/>
        </w:rPr>
        <w:tab/>
        <w:t>(5)</w:t>
      </w:r>
      <w:r w:rsidRPr="00283424">
        <w:rPr>
          <w:color w:val="000000"/>
        </w:rPr>
        <w:tab/>
        <w:t>For paragraph 1020G(1)(c) of the Act, Part 7.9 of the Act is modified in its application in relation to the fund (including a sub</w:t>
      </w:r>
      <w:r>
        <w:rPr>
          <w:color w:val="000000"/>
        </w:rPr>
        <w:noBreakHyphen/>
      </w:r>
      <w:r w:rsidRPr="00283424">
        <w:rPr>
          <w:color w:val="000000"/>
        </w:rPr>
        <w:t>plan) as set out in Part 1 of Schedule 10A.</w:t>
      </w:r>
    </w:p>
    <w:p w14:paraId="2CD63710" w14:textId="77777777" w:rsidR="00E93F58" w:rsidRPr="00283424" w:rsidRDefault="00E93F58" w:rsidP="00B50726">
      <w:pPr>
        <w:pStyle w:val="ActHead5"/>
      </w:pPr>
      <w:bookmarkStart w:id="1430" w:name="_Toc152054692"/>
      <w:bookmarkStart w:id="1431" w:name="_Toc158712508"/>
      <w:r w:rsidRPr="006F296E">
        <w:rPr>
          <w:rStyle w:val="CharSectno"/>
        </w:rPr>
        <w:t>7.9.02A</w:t>
      </w:r>
      <w:r w:rsidRPr="00283424">
        <w:t xml:space="preserve">  Alternative ways of giving Statement</w:t>
      </w:r>
      <w:bookmarkEnd w:id="1430"/>
      <w:bookmarkEnd w:id="1431"/>
    </w:p>
    <w:p w14:paraId="310B1C62" w14:textId="77777777" w:rsidR="00E93F58" w:rsidRPr="00283424" w:rsidRDefault="00E93F58" w:rsidP="00B50726">
      <w:pPr>
        <w:pStyle w:val="subsection"/>
      </w:pPr>
      <w:r w:rsidRPr="00283424">
        <w:rPr>
          <w:color w:val="0000FF"/>
        </w:rPr>
        <w:tab/>
      </w:r>
      <w:r w:rsidRPr="00283424">
        <w:t>(1)</w:t>
      </w:r>
      <w:r w:rsidRPr="00283424">
        <w:tab/>
        <w:t>For subsection 1015C(4) of the Act, the following are alternative ways of giving a Statement to a person:</w:t>
      </w:r>
    </w:p>
    <w:p w14:paraId="124C9E97" w14:textId="77777777" w:rsidR="00E93F58" w:rsidRPr="00283424" w:rsidRDefault="00E93F58" w:rsidP="00B50726">
      <w:pPr>
        <w:pStyle w:val="paragraph"/>
      </w:pPr>
      <w:r w:rsidRPr="00283424">
        <w:tab/>
        <w:t>(a)</w:t>
      </w:r>
      <w:r w:rsidRPr="00283424">
        <w:tab/>
        <w:t>making the Statement available to the person in any way that:</w:t>
      </w:r>
    </w:p>
    <w:p w14:paraId="206CC92B" w14:textId="77777777" w:rsidR="00E93F58" w:rsidRPr="00283424" w:rsidRDefault="00E93F58" w:rsidP="00B50726">
      <w:pPr>
        <w:pStyle w:val="paragraphsub"/>
      </w:pPr>
      <w:r w:rsidRPr="00283424">
        <w:tab/>
        <w:t>(i)</w:t>
      </w:r>
      <w:r w:rsidRPr="00283424">
        <w:tab/>
        <w:t>is agreed to by the person; and</w:t>
      </w:r>
    </w:p>
    <w:p w14:paraId="086E46F3" w14:textId="77777777" w:rsidR="00E93F58" w:rsidRPr="00283424" w:rsidRDefault="00E93F58" w:rsidP="00B50726">
      <w:pPr>
        <w:pStyle w:val="paragraphsub"/>
      </w:pPr>
      <w:r w:rsidRPr="00283424">
        <w:tab/>
        <w:t>(ii)</w:t>
      </w:r>
      <w:r w:rsidRPr="00283424">
        <w:tab/>
        <w:t>allows the regulated person to be satisfied, on reasonable grounds, that the person has received the Statement;</w:t>
      </w:r>
    </w:p>
    <w:p w14:paraId="09A480F8" w14:textId="77777777" w:rsidR="00E93F58" w:rsidRPr="00283424" w:rsidRDefault="00E93F58" w:rsidP="00B50726">
      <w:pPr>
        <w:pStyle w:val="paragraph"/>
      </w:pPr>
      <w:r w:rsidRPr="00283424">
        <w:tab/>
        <w:t>(b)</w:t>
      </w:r>
      <w:r w:rsidRPr="00283424">
        <w:tab/>
        <w:t>making the Statement available to the person’s agent in any way that:</w:t>
      </w:r>
    </w:p>
    <w:p w14:paraId="06F44F69" w14:textId="77777777" w:rsidR="00E93F58" w:rsidRPr="00283424" w:rsidRDefault="00E93F58" w:rsidP="00B50726">
      <w:pPr>
        <w:pStyle w:val="paragraphsub"/>
      </w:pPr>
      <w:r w:rsidRPr="00283424">
        <w:tab/>
        <w:t>(i)</w:t>
      </w:r>
      <w:r w:rsidRPr="00283424">
        <w:tab/>
        <w:t>is agreed to by the agent; and</w:t>
      </w:r>
    </w:p>
    <w:p w14:paraId="65973427" w14:textId="77777777" w:rsidR="00E93F58" w:rsidRPr="00283424" w:rsidRDefault="00E93F58" w:rsidP="00B50726">
      <w:pPr>
        <w:pStyle w:val="paragraphsub"/>
      </w:pPr>
      <w:r w:rsidRPr="00283424">
        <w:tab/>
        <w:t>(ii)</w:t>
      </w:r>
      <w:r w:rsidRPr="00283424">
        <w:tab/>
        <w:t>allows the regulated person to be satisfied, on reasonable grounds, that the agent has received the Statement.</w:t>
      </w:r>
    </w:p>
    <w:p w14:paraId="74B8A12B" w14:textId="77777777" w:rsidR="00E93F58" w:rsidRPr="00283424" w:rsidRDefault="00E93F58" w:rsidP="00B50726">
      <w:pPr>
        <w:pStyle w:val="subsection"/>
      </w:pPr>
      <w:r w:rsidRPr="00283424">
        <w:tab/>
        <w:t>(2)</w:t>
      </w:r>
      <w:r w:rsidRPr="00283424">
        <w:tab/>
        <w:t>If a provision of the Act or these Regulations imposes additional requirements in relation to a matter in subregulation (1), the alternative way of giving a Statement is subject to the requirements.</w:t>
      </w:r>
    </w:p>
    <w:p w14:paraId="6A0BE920" w14:textId="77777777" w:rsidR="00E93F58" w:rsidRPr="00283424" w:rsidRDefault="00E93F58" w:rsidP="00B50726">
      <w:pPr>
        <w:pStyle w:val="notetext"/>
      </w:pPr>
      <w:r w:rsidRPr="00283424">
        <w:t>Note:</w:t>
      </w:r>
      <w:r w:rsidRPr="00283424">
        <w:tab/>
        <w:t>Regulation 7.9.02B is an example of an additional requirement.</w:t>
      </w:r>
    </w:p>
    <w:p w14:paraId="65FB703A" w14:textId="77777777" w:rsidR="00E93F58" w:rsidRPr="00283424" w:rsidRDefault="00E93F58" w:rsidP="00B50726">
      <w:pPr>
        <w:pStyle w:val="ActHead5"/>
      </w:pPr>
      <w:bookmarkStart w:id="1432" w:name="_Toc152054693"/>
      <w:bookmarkStart w:id="1433" w:name="_Toc158712509"/>
      <w:r w:rsidRPr="006F296E">
        <w:rPr>
          <w:rStyle w:val="CharSectno"/>
        </w:rPr>
        <w:t>7.9.02B</w:t>
      </w:r>
      <w:r w:rsidRPr="00283424">
        <w:t xml:space="preserve">  Product Disclosure Statement in electronic form</w:t>
      </w:r>
      <w:bookmarkEnd w:id="1432"/>
      <w:bookmarkEnd w:id="1433"/>
    </w:p>
    <w:p w14:paraId="7A0D47B8" w14:textId="77777777" w:rsidR="00E93F58" w:rsidRPr="00283424" w:rsidRDefault="00E93F58" w:rsidP="00B50726">
      <w:pPr>
        <w:pStyle w:val="subsection"/>
      </w:pPr>
      <w:r w:rsidRPr="00283424">
        <w:tab/>
        <w:t>(1)</w:t>
      </w:r>
      <w:r w:rsidRPr="00283424">
        <w:tab/>
        <w:t>For paragraph 1015C(5)(b) of the Act, a statement that is to be given in electronic form must, as far as practicable, be presented in a way that will allow the person to whom it is given to keep a copy of it so that the person can have ready access to it in the future.</w:t>
      </w:r>
    </w:p>
    <w:p w14:paraId="6A855833" w14:textId="77777777" w:rsidR="00E93F58" w:rsidRPr="00283424" w:rsidRDefault="00E93F58" w:rsidP="00B50726">
      <w:pPr>
        <w:pStyle w:val="subsection"/>
      </w:pPr>
      <w:r w:rsidRPr="00283424">
        <w:tab/>
        <w:t>(2)</w:t>
      </w:r>
      <w:r w:rsidRPr="00283424">
        <w:tab/>
        <w:t>A statement that is to be given in electronic form must be presented in a way that clearly identifies the information that is part of the statement.</w:t>
      </w:r>
    </w:p>
    <w:p w14:paraId="18958E32" w14:textId="77777777" w:rsidR="00E93F58" w:rsidRPr="00283424" w:rsidRDefault="00E93F58" w:rsidP="00B50726">
      <w:pPr>
        <w:pStyle w:val="ActHead3"/>
        <w:pageBreakBefore/>
        <w:rPr>
          <w:color w:val="000000"/>
        </w:rPr>
      </w:pPr>
      <w:bookmarkStart w:id="1434" w:name="_Toc152054694"/>
      <w:bookmarkStart w:id="1435" w:name="_Toc158712510"/>
      <w:r w:rsidRPr="006F296E">
        <w:rPr>
          <w:rStyle w:val="CharDivNo"/>
        </w:rPr>
        <w:lastRenderedPageBreak/>
        <w:t>Division 2</w:t>
      </w:r>
      <w:r w:rsidRPr="00283424">
        <w:rPr>
          <w:color w:val="000000"/>
        </w:rPr>
        <w:t>—</w:t>
      </w:r>
      <w:r w:rsidRPr="006F296E">
        <w:rPr>
          <w:rStyle w:val="CharDivText"/>
        </w:rPr>
        <w:t xml:space="preserve">Arrangements for Product Disclosure Statements in relation to superannuation products and </w:t>
      </w:r>
      <w:r w:rsidRPr="00A31209">
        <w:rPr>
          <w:rStyle w:val="CharDivText"/>
        </w:rPr>
        <w:t>RSAs</w:t>
      </w:r>
      <w:bookmarkEnd w:id="1434"/>
      <w:bookmarkEnd w:id="1435"/>
    </w:p>
    <w:p w14:paraId="3C7CDCB2" w14:textId="77777777" w:rsidR="00E93F58" w:rsidRPr="00283424" w:rsidRDefault="00E93F58" w:rsidP="00B50726">
      <w:pPr>
        <w:pStyle w:val="ActHead4"/>
      </w:pPr>
      <w:bookmarkStart w:id="1436" w:name="_Toc152054695"/>
      <w:bookmarkStart w:id="1437" w:name="_Toc158712511"/>
      <w:r w:rsidRPr="006F296E">
        <w:rPr>
          <w:rStyle w:val="CharSubdNo"/>
        </w:rPr>
        <w:t>Subdivision 2.1</w:t>
      </w:r>
      <w:r w:rsidRPr="00283424">
        <w:t>—</w:t>
      </w:r>
      <w:r w:rsidRPr="006F296E">
        <w:rPr>
          <w:rStyle w:val="CharSubdText"/>
        </w:rPr>
        <w:t>Preliminary</w:t>
      </w:r>
      <w:bookmarkEnd w:id="1436"/>
      <w:bookmarkEnd w:id="1437"/>
    </w:p>
    <w:p w14:paraId="1D2B6BE9" w14:textId="77777777" w:rsidR="00E93F58" w:rsidRPr="00283424" w:rsidRDefault="00E93F58" w:rsidP="00B50726">
      <w:pPr>
        <w:pStyle w:val="ActHead5"/>
      </w:pPr>
      <w:bookmarkStart w:id="1438" w:name="_Toc152054696"/>
      <w:bookmarkStart w:id="1439" w:name="_Toc158712512"/>
      <w:r w:rsidRPr="006F296E">
        <w:rPr>
          <w:rStyle w:val="CharSectno"/>
        </w:rPr>
        <w:t>7.9.03</w:t>
      </w:r>
      <w:r w:rsidRPr="00283424">
        <w:rPr>
          <w:sz w:val="16"/>
        </w:rPr>
        <w:t xml:space="preserve">  </w:t>
      </w:r>
      <w:r w:rsidRPr="00283424">
        <w:t>Application of Division 2</w:t>
      </w:r>
      <w:bookmarkEnd w:id="1438"/>
      <w:bookmarkEnd w:id="1439"/>
    </w:p>
    <w:p w14:paraId="25D79BEB" w14:textId="77777777" w:rsidR="00E93F58" w:rsidRPr="00283424" w:rsidRDefault="00E93F58" w:rsidP="00B50726">
      <w:pPr>
        <w:pStyle w:val="subsection"/>
      </w:pPr>
      <w:r w:rsidRPr="00283424">
        <w:rPr>
          <w:color w:val="000000"/>
        </w:rPr>
        <w:tab/>
      </w:r>
      <w:r w:rsidRPr="00283424">
        <w:rPr>
          <w:color w:val="000000"/>
        </w:rPr>
        <w:tab/>
        <w:t xml:space="preserve">This Division applies in relation to superannuation products and </w:t>
      </w:r>
      <w:r w:rsidRPr="00BE1284">
        <w:t>RSAs</w:t>
      </w:r>
      <w:r w:rsidRPr="00283424">
        <w:rPr>
          <w:color w:val="000000"/>
        </w:rPr>
        <w:t>.</w:t>
      </w:r>
    </w:p>
    <w:p w14:paraId="5B854AC7" w14:textId="77777777" w:rsidR="00E93F58" w:rsidRPr="00283424" w:rsidRDefault="00E93F58" w:rsidP="00B50726">
      <w:pPr>
        <w:pStyle w:val="notetext"/>
      </w:pPr>
      <w:r w:rsidRPr="00283424">
        <w:rPr>
          <w:color w:val="000000"/>
        </w:rPr>
        <w:t>Note:</w:t>
      </w:r>
      <w:r w:rsidRPr="00283424">
        <w:rPr>
          <w:color w:val="000000"/>
        </w:rPr>
        <w:tab/>
        <w:t>See paragraphs 764A(1)(g) and (h) of the Act.</w:t>
      </w:r>
    </w:p>
    <w:p w14:paraId="2392AE47" w14:textId="77777777" w:rsidR="00E93F58" w:rsidRPr="00283424" w:rsidRDefault="00E93F58" w:rsidP="00B50726">
      <w:pPr>
        <w:pStyle w:val="ActHead4"/>
        <w:rPr>
          <w:color w:val="000000"/>
        </w:rPr>
      </w:pPr>
      <w:bookmarkStart w:id="1440" w:name="_Toc152054697"/>
      <w:bookmarkStart w:id="1441" w:name="_Toc158712513"/>
      <w:r w:rsidRPr="006F296E">
        <w:rPr>
          <w:rStyle w:val="CharSubdNo"/>
        </w:rPr>
        <w:t>Subdivision 2.2</w:t>
      </w:r>
      <w:r w:rsidRPr="00283424">
        <w:t>—</w:t>
      </w:r>
      <w:r w:rsidRPr="006F296E">
        <w:rPr>
          <w:rStyle w:val="CharSubdText"/>
        </w:rPr>
        <w:t>Late provision of Product Disclosure Statement for certain members of regulated superannuation fund, public offer superannuation fund or successor fund</w:t>
      </w:r>
      <w:bookmarkEnd w:id="1440"/>
      <w:bookmarkEnd w:id="1441"/>
    </w:p>
    <w:p w14:paraId="4D34A88B" w14:textId="77777777" w:rsidR="00E93F58" w:rsidRPr="00283424" w:rsidRDefault="00E93F58" w:rsidP="00B50726">
      <w:pPr>
        <w:pStyle w:val="ActHead5"/>
      </w:pPr>
      <w:bookmarkStart w:id="1442" w:name="_Toc152054698"/>
      <w:bookmarkStart w:id="1443" w:name="_Toc158712514"/>
      <w:r w:rsidRPr="006F296E">
        <w:rPr>
          <w:rStyle w:val="CharSectno"/>
        </w:rPr>
        <w:t>7.9.04</w:t>
      </w:r>
      <w:r w:rsidRPr="00283424">
        <w:t xml:space="preserve">  Product Disclosure Statement to be provided later</w:t>
      </w:r>
      <w:bookmarkEnd w:id="1442"/>
      <w:bookmarkEnd w:id="1443"/>
    </w:p>
    <w:p w14:paraId="7832B2A9" w14:textId="77777777" w:rsidR="00E93F58" w:rsidRPr="00283424" w:rsidRDefault="00E93F58" w:rsidP="00B50726">
      <w:pPr>
        <w:pStyle w:val="subsection"/>
      </w:pPr>
      <w:r w:rsidRPr="00283424">
        <w:tab/>
        <w:t>(1)</w:t>
      </w:r>
      <w:r w:rsidRPr="00283424">
        <w:tab/>
        <w:t>For section 1012F of the Act, the following superannuation products are specified:</w:t>
      </w:r>
    </w:p>
    <w:p w14:paraId="4BFCF940" w14:textId="77777777" w:rsidR="00E93F58" w:rsidRPr="00283424" w:rsidRDefault="00E93F58" w:rsidP="00B50726">
      <w:pPr>
        <w:pStyle w:val="paragraph"/>
      </w:pPr>
      <w:r w:rsidRPr="00283424">
        <w:tab/>
        <w:t>(a)</w:t>
      </w:r>
      <w:r w:rsidRPr="00283424">
        <w:tab/>
        <w:t>a superannuation interest issued by the trustee of a regulated superannuation fund that is not a public offer superannuation fund, other than:</w:t>
      </w:r>
    </w:p>
    <w:p w14:paraId="42F2EFD4" w14:textId="77777777" w:rsidR="00E93F58" w:rsidRPr="00283424" w:rsidRDefault="00E93F58" w:rsidP="00B50726">
      <w:pPr>
        <w:pStyle w:val="paragraphsub"/>
      </w:pPr>
      <w:r w:rsidRPr="00283424">
        <w:tab/>
        <w:t>(ii)</w:t>
      </w:r>
      <w:r w:rsidRPr="00283424">
        <w:tab/>
        <w:t>a financial product taken to be issued because of regulation 7.1.04E; or</w:t>
      </w:r>
    </w:p>
    <w:p w14:paraId="7CE78136" w14:textId="77777777" w:rsidR="00E93F58" w:rsidRPr="00283424" w:rsidRDefault="00E93F58" w:rsidP="00B50726">
      <w:pPr>
        <w:pStyle w:val="paragraphsub"/>
      </w:pPr>
      <w:r w:rsidRPr="00283424">
        <w:tab/>
        <w:t>(iii)</w:t>
      </w:r>
      <w:r w:rsidRPr="00283424">
        <w:tab/>
        <w:t>an annuity or pension taken to be issued because of subregulation 7.9.02(4); or</w:t>
      </w:r>
    </w:p>
    <w:p w14:paraId="5854F5B8" w14:textId="77777777" w:rsidR="00E93F58" w:rsidRPr="00283424" w:rsidRDefault="00E93F58" w:rsidP="00B50726">
      <w:pPr>
        <w:pStyle w:val="paragraphsub"/>
      </w:pPr>
      <w:r w:rsidRPr="00283424">
        <w:tab/>
        <w:t>(iv)</w:t>
      </w:r>
      <w:r w:rsidRPr="00283424">
        <w:tab/>
        <w:t>an interest in a self managed superannuation fund that is not acquired at the time that the fund is established;</w:t>
      </w:r>
    </w:p>
    <w:p w14:paraId="4E636C7C" w14:textId="77777777" w:rsidR="00E93F58" w:rsidRPr="00283424" w:rsidRDefault="00E93F58" w:rsidP="00B50726">
      <w:pPr>
        <w:pStyle w:val="paragraph"/>
      </w:pPr>
      <w:r w:rsidRPr="00283424">
        <w:tab/>
        <w:t>(b)</w:t>
      </w:r>
      <w:r w:rsidRPr="00283424">
        <w:tab/>
        <w:t>a pension issued by a superannuation fund the rules of which do not allow a member to receive accumulated benefits in a form other than a pension from that fund;</w:t>
      </w:r>
    </w:p>
    <w:p w14:paraId="5745A650" w14:textId="77777777" w:rsidR="00E93F58" w:rsidRPr="00283424" w:rsidRDefault="00E93F58" w:rsidP="00B50726">
      <w:pPr>
        <w:pStyle w:val="paragraph"/>
      </w:pPr>
      <w:r w:rsidRPr="00283424">
        <w:tab/>
        <w:t>(c)</w:t>
      </w:r>
      <w:r w:rsidRPr="00283424">
        <w:tab/>
        <w:t>a superannuation interest issued by the trustee of a successor fund in relation to the transfer of benefits in the fund;</w:t>
      </w:r>
    </w:p>
    <w:p w14:paraId="260A4007" w14:textId="77777777" w:rsidR="00E93F58" w:rsidRPr="00283424" w:rsidRDefault="00E93F58" w:rsidP="00B50726">
      <w:pPr>
        <w:pStyle w:val="paragraph"/>
      </w:pPr>
      <w:r w:rsidRPr="00283424">
        <w:tab/>
        <w:t>(d)</w:t>
      </w:r>
      <w:r w:rsidRPr="00283424">
        <w:tab/>
        <w:t>a superannuation interest issued by the trustee of a regulated superannuation fund as a result of complying with a commutation authority issued to the trustee under Subdivision 136</w:t>
      </w:r>
      <w:r>
        <w:noBreakHyphen/>
      </w:r>
      <w:r w:rsidRPr="00283424">
        <w:t xml:space="preserve">B in Schedule 1 to the </w:t>
      </w:r>
      <w:r w:rsidRPr="00283424">
        <w:rPr>
          <w:i/>
        </w:rPr>
        <w:t>Taxation Administration Act 1953</w:t>
      </w:r>
      <w:r w:rsidRPr="00283424">
        <w:t>.</w:t>
      </w:r>
    </w:p>
    <w:p w14:paraId="724714C5" w14:textId="77777777" w:rsidR="00E93F58" w:rsidRPr="00283424" w:rsidRDefault="00E93F58" w:rsidP="00B50726">
      <w:pPr>
        <w:pStyle w:val="subsection"/>
      </w:pPr>
      <w:r w:rsidRPr="00283424">
        <w:tab/>
        <w:t>(2)</w:t>
      </w:r>
      <w:r w:rsidRPr="00283424">
        <w:tab/>
        <w:t>For paragraph 1020G(1)(c) of the Act:</w:t>
      </w:r>
    </w:p>
    <w:p w14:paraId="2BF4CDAB" w14:textId="77777777" w:rsidR="00E93F58" w:rsidRPr="00283424" w:rsidRDefault="00E93F58" w:rsidP="00B50726">
      <w:pPr>
        <w:pStyle w:val="paragraph"/>
      </w:pPr>
      <w:r w:rsidRPr="00283424">
        <w:tab/>
        <w:t>(a)</w:t>
      </w:r>
      <w:r w:rsidRPr="00283424">
        <w:tab/>
        <w:t>section 1012B of the Act is modified in its application in relation to the specified superannuation product as set out in Part 17 of Schedule 10A; and</w:t>
      </w:r>
    </w:p>
    <w:p w14:paraId="6982D596" w14:textId="77777777" w:rsidR="00E93F58" w:rsidRPr="00283424" w:rsidRDefault="00E93F58" w:rsidP="00B50726">
      <w:pPr>
        <w:pStyle w:val="paragraph"/>
      </w:pPr>
      <w:r w:rsidRPr="00283424">
        <w:tab/>
        <w:t>(b)</w:t>
      </w:r>
      <w:r w:rsidRPr="00283424">
        <w:tab/>
        <w:t>section 1012I of the Act is modified in its application in relation to the specified superannuation product as set out in Part 17 of Schedule 10A.</w:t>
      </w:r>
    </w:p>
    <w:p w14:paraId="5B48CBBC" w14:textId="77777777" w:rsidR="00E93F58" w:rsidRPr="00283424" w:rsidRDefault="00E93F58" w:rsidP="00B50726">
      <w:pPr>
        <w:pStyle w:val="ActHead4"/>
      </w:pPr>
      <w:bookmarkStart w:id="1444" w:name="_Toc152054699"/>
      <w:bookmarkStart w:id="1445" w:name="_Toc158712515"/>
      <w:r w:rsidRPr="006F296E">
        <w:rPr>
          <w:rStyle w:val="CharSubdNo"/>
        </w:rPr>
        <w:t>Subdivision 2.3</w:t>
      </w:r>
      <w:r w:rsidRPr="00283424">
        <w:rPr>
          <w:sz w:val="16"/>
        </w:rPr>
        <w:t>—</w:t>
      </w:r>
      <w:r w:rsidRPr="006F296E">
        <w:rPr>
          <w:rStyle w:val="CharSubdText"/>
        </w:rPr>
        <w:t xml:space="preserve">Product Disclosure Statement for </w:t>
      </w:r>
      <w:r w:rsidRPr="00FD0EA0">
        <w:rPr>
          <w:rStyle w:val="CharSubdText"/>
        </w:rPr>
        <w:t>RSA</w:t>
      </w:r>
      <w:bookmarkEnd w:id="1444"/>
      <w:bookmarkEnd w:id="1445"/>
    </w:p>
    <w:p w14:paraId="12BCC8E3" w14:textId="77777777" w:rsidR="00E93F58" w:rsidRPr="00283424" w:rsidRDefault="00E93F58" w:rsidP="00B50726">
      <w:pPr>
        <w:pStyle w:val="ActHead5"/>
      </w:pPr>
      <w:bookmarkStart w:id="1446" w:name="_Toc152054700"/>
      <w:bookmarkStart w:id="1447" w:name="_Toc158712516"/>
      <w:r w:rsidRPr="006F296E">
        <w:rPr>
          <w:rStyle w:val="CharSectno"/>
        </w:rPr>
        <w:t>7.9.05</w:t>
      </w:r>
      <w:r w:rsidRPr="00283424">
        <w:rPr>
          <w:sz w:val="16"/>
        </w:rPr>
        <w:t xml:space="preserve">  </w:t>
      </w:r>
      <w:r w:rsidRPr="00283424">
        <w:t>Situation in which Product Disclosure Statement is not required</w:t>
      </w:r>
      <w:bookmarkEnd w:id="1446"/>
      <w:bookmarkEnd w:id="1447"/>
    </w:p>
    <w:p w14:paraId="6F735AEB" w14:textId="77777777" w:rsidR="00E93F58" w:rsidRPr="00283424" w:rsidRDefault="00E93F58" w:rsidP="00B50726">
      <w:pPr>
        <w:pStyle w:val="subsection"/>
      </w:pPr>
      <w:r w:rsidRPr="00283424">
        <w:rPr>
          <w:color w:val="000000"/>
        </w:rPr>
        <w:tab/>
      </w:r>
      <w:r w:rsidRPr="00283424">
        <w:rPr>
          <w:color w:val="000000"/>
        </w:rPr>
        <w:tab/>
        <w:t xml:space="preserve">For paragraph 1020G(1)(c) of the Act, Part 7.9 of the Act is modified in its application in relation to an </w:t>
      </w:r>
      <w:r w:rsidRPr="00BE1284">
        <w:t>RSA</w:t>
      </w:r>
      <w:r w:rsidRPr="00283424">
        <w:rPr>
          <w:color w:val="000000"/>
        </w:rPr>
        <w:t xml:space="preserve"> as set out in Part 2 of Schedule 10A.</w:t>
      </w:r>
    </w:p>
    <w:p w14:paraId="3773DAE3" w14:textId="77777777" w:rsidR="00E93F58" w:rsidRPr="00283424" w:rsidRDefault="00E93F58" w:rsidP="00B50726">
      <w:pPr>
        <w:pStyle w:val="ActHead4"/>
      </w:pPr>
      <w:bookmarkStart w:id="1448" w:name="_Toc152054701"/>
      <w:bookmarkStart w:id="1449" w:name="_Toc158712517"/>
      <w:r w:rsidRPr="006F296E">
        <w:rPr>
          <w:rStyle w:val="CharSubdNo"/>
        </w:rPr>
        <w:t>Subdivision 2.4</w:t>
      </w:r>
      <w:r w:rsidRPr="00283424">
        <w:t>—</w:t>
      </w:r>
      <w:r w:rsidRPr="006F296E">
        <w:rPr>
          <w:rStyle w:val="CharSubdText"/>
        </w:rPr>
        <w:t>Additional obligations for eligible rollover funds</w:t>
      </w:r>
      <w:bookmarkEnd w:id="1448"/>
      <w:bookmarkEnd w:id="1449"/>
    </w:p>
    <w:p w14:paraId="72A1177F" w14:textId="77777777" w:rsidR="00E93F58" w:rsidRPr="00283424" w:rsidRDefault="00E93F58" w:rsidP="00B50726">
      <w:pPr>
        <w:pStyle w:val="ActHead5"/>
      </w:pPr>
      <w:bookmarkStart w:id="1450" w:name="_Toc152054702"/>
      <w:bookmarkStart w:id="1451" w:name="_Toc158712518"/>
      <w:r w:rsidRPr="006F296E">
        <w:rPr>
          <w:rStyle w:val="CharSectno"/>
        </w:rPr>
        <w:t>7.9.06A</w:t>
      </w:r>
      <w:r w:rsidRPr="00283424">
        <w:t xml:space="preserve">  </w:t>
      </w:r>
      <w:r w:rsidRPr="00204441">
        <w:t xml:space="preserve">Meaning of </w:t>
      </w:r>
      <w:r w:rsidRPr="00204441">
        <w:rPr>
          <w:i/>
        </w:rPr>
        <w:t>relevant superannuation entity</w:t>
      </w:r>
      <w:bookmarkEnd w:id="1450"/>
      <w:bookmarkEnd w:id="1451"/>
    </w:p>
    <w:p w14:paraId="290F4598" w14:textId="77777777" w:rsidR="00E93F58" w:rsidRPr="00283424" w:rsidRDefault="00E93F58" w:rsidP="00B50726">
      <w:pPr>
        <w:pStyle w:val="subsection"/>
      </w:pPr>
      <w:r w:rsidRPr="00283424">
        <w:tab/>
      </w:r>
      <w:r w:rsidRPr="00283424">
        <w:tab/>
        <w:t xml:space="preserve">For the definition of </w:t>
      </w:r>
      <w:r w:rsidRPr="00283424">
        <w:rPr>
          <w:b/>
          <w:i/>
        </w:rPr>
        <w:t>relevant superannuation entity</w:t>
      </w:r>
      <w:r w:rsidRPr="00283424">
        <w:t xml:space="preserve"> in subsection 1016A(1) of the Act, a public offer superannuation entity is specified.</w:t>
      </w:r>
    </w:p>
    <w:p w14:paraId="49EDA5C5" w14:textId="77777777" w:rsidR="00E93F58" w:rsidRPr="00283424" w:rsidRDefault="00E93F58" w:rsidP="00B50726">
      <w:pPr>
        <w:pStyle w:val="ActHead5"/>
      </w:pPr>
      <w:bookmarkStart w:id="1452" w:name="_Toc152054703"/>
      <w:bookmarkStart w:id="1453" w:name="_Toc158712519"/>
      <w:r w:rsidRPr="006F296E">
        <w:rPr>
          <w:rStyle w:val="CharSectno"/>
        </w:rPr>
        <w:t>7.9.06B</w:t>
      </w:r>
      <w:r w:rsidRPr="00283424">
        <w:t xml:space="preserve">  Application forms</w:t>
      </w:r>
      <w:bookmarkEnd w:id="1452"/>
      <w:bookmarkEnd w:id="1453"/>
    </w:p>
    <w:p w14:paraId="3CFD5055" w14:textId="77777777" w:rsidR="00E93F58" w:rsidRPr="00283424" w:rsidRDefault="00E93F58" w:rsidP="00B50726">
      <w:pPr>
        <w:pStyle w:val="subsection"/>
      </w:pPr>
      <w:r w:rsidRPr="00283424">
        <w:tab/>
        <w:t>(1)</w:t>
      </w:r>
      <w:r w:rsidRPr="00283424">
        <w:tab/>
        <w:t>For paragraph 1016A(2)(f) of the Act, the following situation in which a restricted issue occurs is prescribed:</w:t>
      </w:r>
    </w:p>
    <w:p w14:paraId="5CFF9795" w14:textId="77777777" w:rsidR="00E93F58" w:rsidRPr="00283424" w:rsidRDefault="00E93F58" w:rsidP="00B50726">
      <w:pPr>
        <w:pStyle w:val="paragraph"/>
      </w:pPr>
      <w:r w:rsidRPr="00283424">
        <w:tab/>
        <w:t>(a)</w:t>
      </w:r>
      <w:r w:rsidRPr="00283424">
        <w:tab/>
        <w:t>the financial product is a superannuation product;</w:t>
      </w:r>
    </w:p>
    <w:p w14:paraId="54670CA3" w14:textId="77777777" w:rsidR="00E93F58" w:rsidRPr="00283424" w:rsidRDefault="00E93F58" w:rsidP="00B50726">
      <w:pPr>
        <w:pStyle w:val="paragraph"/>
      </w:pPr>
      <w:r w:rsidRPr="00283424">
        <w:tab/>
        <w:t>(b)</w:t>
      </w:r>
      <w:r w:rsidRPr="00283424">
        <w:tab/>
        <w:t>the interest is issued by the trustee of a public offer superannuation entity in relation to the payment of benefits to the entity:</w:t>
      </w:r>
    </w:p>
    <w:p w14:paraId="105CBD6F" w14:textId="77777777" w:rsidR="00E93F58" w:rsidRPr="00283424" w:rsidRDefault="00E93F58" w:rsidP="00B50726">
      <w:pPr>
        <w:pStyle w:val="paragraphsub"/>
      </w:pPr>
      <w:r w:rsidRPr="00283424">
        <w:tab/>
        <w:t>(i)</w:t>
      </w:r>
      <w:r w:rsidRPr="00283424">
        <w:tab/>
        <w:t xml:space="preserve">from an </w:t>
      </w:r>
      <w:r w:rsidRPr="00BE1284">
        <w:t>exempt public sector superannuation scheme</w:t>
      </w:r>
      <w:r w:rsidRPr="00283424">
        <w:t>; and</w:t>
      </w:r>
    </w:p>
    <w:p w14:paraId="50DBF43C" w14:textId="77777777" w:rsidR="00E93F58" w:rsidRPr="00283424" w:rsidRDefault="00E93F58" w:rsidP="00B50726">
      <w:pPr>
        <w:pStyle w:val="paragraphsub"/>
      </w:pPr>
      <w:r w:rsidRPr="00283424">
        <w:lastRenderedPageBreak/>
        <w:tab/>
        <w:t>(ii)</w:t>
      </w:r>
      <w:r w:rsidRPr="00283424">
        <w:tab/>
        <w:t xml:space="preserve">in accordance with an application made under the provisions of section 243 of the SIS Act, as applied by subregulation (2) (the </w:t>
      </w:r>
      <w:r w:rsidRPr="00283424">
        <w:rPr>
          <w:b/>
          <w:i/>
        </w:rPr>
        <w:t>applied provisions</w:t>
      </w:r>
      <w:r w:rsidRPr="00283424">
        <w:t>);</w:t>
      </w:r>
    </w:p>
    <w:p w14:paraId="21358262" w14:textId="77777777" w:rsidR="00E93F58" w:rsidRPr="00283424" w:rsidRDefault="00E93F58" w:rsidP="00B50726">
      <w:pPr>
        <w:pStyle w:val="paragraph"/>
      </w:pPr>
      <w:r w:rsidRPr="00283424">
        <w:tab/>
        <w:t>(c)</w:t>
      </w:r>
      <w:r w:rsidRPr="00283424">
        <w:tab/>
        <w:t xml:space="preserve">if the application is the first application under the applied provisions made to the trustee of the public offer superannuation entity by the trustee of the </w:t>
      </w:r>
      <w:r w:rsidRPr="00BE1284">
        <w:t>exempt public sector superannuation scheme</w:t>
      </w:r>
      <w:r w:rsidRPr="00283424">
        <w:t xml:space="preserve"> on behalf of any person—the application is an eligible application.</w:t>
      </w:r>
    </w:p>
    <w:p w14:paraId="1CD7A240" w14:textId="77777777" w:rsidR="00E93F58" w:rsidRPr="00283424" w:rsidRDefault="00E93F58" w:rsidP="00B50726">
      <w:pPr>
        <w:pStyle w:val="subsection"/>
      </w:pPr>
      <w:r w:rsidRPr="00283424">
        <w:tab/>
        <w:t>(2)</w:t>
      </w:r>
      <w:r w:rsidRPr="00283424">
        <w:tab/>
        <w:t xml:space="preserve">For paragraph (1)(b), section 243 of the SIS Act applies in relation to the payment of benefits from the </w:t>
      </w:r>
      <w:r w:rsidRPr="00BE1284">
        <w:t>exempt public sector superannuation scheme</w:t>
      </w:r>
      <w:r w:rsidRPr="00283424">
        <w:t xml:space="preserve"> to a public offer superannuation entity as if:</w:t>
      </w:r>
    </w:p>
    <w:p w14:paraId="17783104" w14:textId="77777777" w:rsidR="00E93F58" w:rsidRPr="00283424" w:rsidRDefault="00E93F58" w:rsidP="00B50726">
      <w:pPr>
        <w:pStyle w:val="paragraph"/>
      </w:pPr>
      <w:r w:rsidRPr="00283424">
        <w:tab/>
        <w:t>(a)</w:t>
      </w:r>
      <w:r w:rsidRPr="00283424">
        <w:tab/>
        <w:t xml:space="preserve">a reference in that section to a transferor fund were a reference to the </w:t>
      </w:r>
      <w:r w:rsidRPr="00BE1284">
        <w:t>exempt public sector superannuation scheme</w:t>
      </w:r>
      <w:r w:rsidRPr="00283424">
        <w:t>; and</w:t>
      </w:r>
    </w:p>
    <w:p w14:paraId="78FD3008" w14:textId="77777777" w:rsidR="00E93F58" w:rsidRPr="00283424" w:rsidRDefault="00E93F58" w:rsidP="00B50726">
      <w:pPr>
        <w:pStyle w:val="paragraph"/>
      </w:pPr>
      <w:r w:rsidRPr="00283424">
        <w:tab/>
        <w:t>(b)</w:t>
      </w:r>
      <w:r w:rsidRPr="00283424">
        <w:tab/>
        <w:t>a reference in that section to an eligible rollover fund were a reference to the public offer superannuation entity.</w:t>
      </w:r>
    </w:p>
    <w:p w14:paraId="24288AFC" w14:textId="77777777" w:rsidR="00E93F58" w:rsidRPr="00283424" w:rsidRDefault="00E93F58" w:rsidP="00B50726">
      <w:pPr>
        <w:pStyle w:val="ActHead4"/>
      </w:pPr>
      <w:bookmarkStart w:id="1454" w:name="_Toc152054704"/>
      <w:bookmarkStart w:id="1455" w:name="_Toc158712520"/>
      <w:r w:rsidRPr="006F296E">
        <w:rPr>
          <w:rStyle w:val="CharSubdNo"/>
        </w:rPr>
        <w:t>Subdivision 2.5</w:t>
      </w:r>
      <w:r w:rsidRPr="00283424">
        <w:rPr>
          <w:sz w:val="16"/>
        </w:rPr>
        <w:t>—</w:t>
      </w:r>
      <w:r w:rsidRPr="006F296E">
        <w:rPr>
          <w:rStyle w:val="CharSubdText"/>
        </w:rPr>
        <w:t>Product Disclosure Statement for insurance options</w:t>
      </w:r>
      <w:bookmarkEnd w:id="1454"/>
      <w:bookmarkEnd w:id="1455"/>
    </w:p>
    <w:p w14:paraId="4268A490" w14:textId="77777777" w:rsidR="00E93F58" w:rsidRPr="00283424" w:rsidRDefault="00E93F58" w:rsidP="00B50726">
      <w:pPr>
        <w:pStyle w:val="ActHead5"/>
      </w:pPr>
      <w:bookmarkStart w:id="1456" w:name="_Toc152054705"/>
      <w:bookmarkStart w:id="1457" w:name="_Toc158712521"/>
      <w:r w:rsidRPr="006F296E">
        <w:rPr>
          <w:rStyle w:val="CharSectno"/>
        </w:rPr>
        <w:t>7.9.07</w:t>
      </w:r>
      <w:r w:rsidRPr="00283424">
        <w:t xml:space="preserve">  Modification of Act: Product Disclosure Statement in relation to insurance options</w:t>
      </w:r>
      <w:bookmarkEnd w:id="1456"/>
      <w:bookmarkEnd w:id="1457"/>
    </w:p>
    <w:p w14:paraId="437DF8EF" w14:textId="77777777" w:rsidR="00E93F58" w:rsidRPr="00283424" w:rsidRDefault="00E93F58" w:rsidP="00B50726">
      <w:pPr>
        <w:pStyle w:val="subsection"/>
      </w:pPr>
      <w:r w:rsidRPr="00283424">
        <w:rPr>
          <w:color w:val="000000"/>
        </w:rPr>
        <w:tab/>
      </w:r>
      <w:r w:rsidRPr="00283424">
        <w:rPr>
          <w:color w:val="000000"/>
        </w:rPr>
        <w:tab/>
        <w:t xml:space="preserve">For paragraph 1020G(1)(c) of the Act, Part 7.9 of the Act is modified in its application in relation to a superannuation entity or an RSA as set out in </w:t>
      </w:r>
      <w:r w:rsidRPr="00283424">
        <w:t>Part 3</w:t>
      </w:r>
      <w:r w:rsidRPr="00283424">
        <w:rPr>
          <w:color w:val="000000"/>
        </w:rPr>
        <w:t xml:space="preserve"> of Schedule 10A.</w:t>
      </w:r>
    </w:p>
    <w:p w14:paraId="52C3D3BF" w14:textId="77777777" w:rsidR="00E93F58" w:rsidRPr="00283424" w:rsidRDefault="00E93F58" w:rsidP="00B50726">
      <w:pPr>
        <w:pStyle w:val="ActHead3"/>
        <w:pageBreakBefore/>
      </w:pPr>
      <w:bookmarkStart w:id="1458" w:name="_Toc152054706"/>
      <w:bookmarkStart w:id="1459" w:name="_Toc158712522"/>
      <w:r w:rsidRPr="006F296E">
        <w:rPr>
          <w:rStyle w:val="CharDivNo"/>
        </w:rPr>
        <w:lastRenderedPageBreak/>
        <w:t>Division 2A</w:t>
      </w:r>
      <w:r w:rsidRPr="00283424">
        <w:t>—</w:t>
      </w:r>
      <w:r w:rsidRPr="006F296E">
        <w:rPr>
          <w:rStyle w:val="CharDivText"/>
        </w:rPr>
        <w:t>Product Disclosure Statement for warrants</w:t>
      </w:r>
      <w:bookmarkEnd w:id="1458"/>
      <w:bookmarkEnd w:id="1459"/>
    </w:p>
    <w:p w14:paraId="3D9F27F2" w14:textId="77777777" w:rsidR="00E93F58" w:rsidRPr="00283424" w:rsidRDefault="00E93F58" w:rsidP="00B50726">
      <w:pPr>
        <w:pStyle w:val="ActHead5"/>
      </w:pPr>
      <w:bookmarkStart w:id="1460" w:name="_Toc152054707"/>
      <w:bookmarkStart w:id="1461" w:name="_Toc158712523"/>
      <w:r w:rsidRPr="006F296E">
        <w:rPr>
          <w:rStyle w:val="CharSectno"/>
        </w:rPr>
        <w:t>7.9.07A</w:t>
      </w:r>
      <w:r w:rsidRPr="00283424">
        <w:t xml:space="preserve">  Warrants</w:t>
      </w:r>
      <w:bookmarkEnd w:id="1460"/>
      <w:bookmarkEnd w:id="1461"/>
    </w:p>
    <w:p w14:paraId="1DCC356D" w14:textId="77777777" w:rsidR="00E93F58" w:rsidRPr="00283424" w:rsidRDefault="00E93F58" w:rsidP="00B50726">
      <w:pPr>
        <w:pStyle w:val="subsection"/>
      </w:pPr>
      <w:r w:rsidRPr="00283424">
        <w:tab/>
        <w:t>(1)</w:t>
      </w:r>
      <w:r w:rsidRPr="00283424">
        <w:tab/>
        <w:t>This regulation applies in relation to warrants.</w:t>
      </w:r>
    </w:p>
    <w:p w14:paraId="3E2A4727" w14:textId="77777777" w:rsidR="00E93F58" w:rsidRPr="00283424" w:rsidRDefault="00E93F58" w:rsidP="00B50726">
      <w:pPr>
        <w:pStyle w:val="subsection"/>
      </w:pPr>
      <w:r w:rsidRPr="00283424">
        <w:tab/>
        <w:t>(2)</w:t>
      </w:r>
      <w:r w:rsidRPr="00283424">
        <w:tab/>
        <w:t>For paragraph 1020G(2)(a) of the Act, section 1010A of the Act is modified by adding after subsection 1010A(1):</w:t>
      </w:r>
    </w:p>
    <w:p w14:paraId="76F8719D" w14:textId="77777777" w:rsidR="00E93F58" w:rsidRPr="00283424" w:rsidRDefault="00E93F58" w:rsidP="00B50726">
      <w:pPr>
        <w:pStyle w:val="paragraph"/>
      </w:pPr>
      <w:r w:rsidRPr="00283424">
        <w:tab/>
        <w:t>‘(1A)</w:t>
      </w:r>
      <w:r w:rsidRPr="00283424">
        <w:tab/>
        <w:t xml:space="preserve">Despite subsection (1), this Part applies in relation to a financial product to which regulation 7.9.07A of the </w:t>
      </w:r>
      <w:r w:rsidRPr="00283424">
        <w:rPr>
          <w:i/>
        </w:rPr>
        <w:t xml:space="preserve">Corporations </w:t>
      </w:r>
      <w:r>
        <w:rPr>
          <w:i/>
        </w:rPr>
        <w:t>Regulations 2</w:t>
      </w:r>
      <w:r w:rsidRPr="00283424">
        <w:rPr>
          <w:i/>
        </w:rPr>
        <w:t>001</w:t>
      </w:r>
      <w:r w:rsidRPr="00283424">
        <w:t xml:space="preserve"> applies.’.</w:t>
      </w:r>
    </w:p>
    <w:p w14:paraId="342B9B0F" w14:textId="77777777" w:rsidR="00E93F58" w:rsidRPr="00283424" w:rsidRDefault="00E93F58" w:rsidP="00B50726">
      <w:pPr>
        <w:pStyle w:val="subsection"/>
      </w:pPr>
      <w:r w:rsidRPr="00283424">
        <w:tab/>
        <w:t>(3)</w:t>
      </w:r>
      <w:r w:rsidRPr="00283424">
        <w:tab/>
        <w:t>For paragraph 761E(7)(a) of the Act, if the financial product is entered into, or acquired, on a financial market through an arrangement made by a financial services licensee acting on behalf of another person:</w:t>
      </w:r>
    </w:p>
    <w:p w14:paraId="07E84E38" w14:textId="77777777" w:rsidR="00E93F58" w:rsidRPr="00283424" w:rsidRDefault="00E93F58" w:rsidP="00B50726">
      <w:pPr>
        <w:pStyle w:val="paragraph"/>
      </w:pPr>
      <w:r w:rsidRPr="00283424">
        <w:tab/>
        <w:t>(a)</w:t>
      </w:r>
      <w:r w:rsidRPr="00283424">
        <w:tab/>
        <w:t>the financial services licensee is not taken to be the issuer of the financial product; and</w:t>
      </w:r>
    </w:p>
    <w:p w14:paraId="760D5D8F" w14:textId="77777777" w:rsidR="00E93F58" w:rsidRPr="00283424" w:rsidRDefault="00E93F58" w:rsidP="00B50726">
      <w:pPr>
        <w:pStyle w:val="paragraph"/>
      </w:pPr>
      <w:r w:rsidRPr="00283424">
        <w:tab/>
        <w:t>(b)</w:t>
      </w:r>
      <w:r w:rsidRPr="00283424">
        <w:tab/>
        <w:t>the warrant issuer is taken to be the issuer of the financial product.</w:t>
      </w:r>
    </w:p>
    <w:p w14:paraId="79CB1F05" w14:textId="77777777" w:rsidR="00E93F58" w:rsidRPr="00283424" w:rsidRDefault="00E93F58" w:rsidP="00B50726">
      <w:pPr>
        <w:pStyle w:val="subsection"/>
      </w:pPr>
      <w:r w:rsidRPr="00283424">
        <w:tab/>
        <w:t>(4)</w:t>
      </w:r>
      <w:r w:rsidRPr="00283424">
        <w:tab/>
        <w:t>For paragraph 761E(7)(a) of the Act, if the financial product is entered into, or acquired, on a financial market through an arrangement made by an authorised representative of a financial services licensee acting on behalf of another person (not being the licensee):</w:t>
      </w:r>
    </w:p>
    <w:p w14:paraId="00720E90" w14:textId="77777777" w:rsidR="00E93F58" w:rsidRPr="00283424" w:rsidRDefault="00E93F58" w:rsidP="00B50726">
      <w:pPr>
        <w:pStyle w:val="paragraph"/>
      </w:pPr>
      <w:r w:rsidRPr="00283424">
        <w:tab/>
        <w:t>(a)</w:t>
      </w:r>
      <w:r w:rsidRPr="00283424">
        <w:tab/>
        <w:t>the financial services licensee is not taken to be the issuer of the financial product; and</w:t>
      </w:r>
    </w:p>
    <w:p w14:paraId="32A554A6" w14:textId="77777777" w:rsidR="00E93F58" w:rsidRPr="00283424" w:rsidRDefault="00E93F58" w:rsidP="00B50726">
      <w:pPr>
        <w:pStyle w:val="paragraph"/>
      </w:pPr>
      <w:r w:rsidRPr="00283424">
        <w:tab/>
        <w:t>(b)</w:t>
      </w:r>
      <w:r w:rsidRPr="00283424">
        <w:tab/>
        <w:t>the warrant issuer is taken to be the issuer of the financial product.</w:t>
      </w:r>
    </w:p>
    <w:p w14:paraId="0BAD2FD6" w14:textId="77777777" w:rsidR="00E93F58" w:rsidRPr="00283424" w:rsidRDefault="00E93F58" w:rsidP="00B50726">
      <w:pPr>
        <w:pStyle w:val="subsection"/>
      </w:pPr>
      <w:r w:rsidRPr="00283424">
        <w:tab/>
        <w:t>(5)</w:t>
      </w:r>
      <w:r w:rsidRPr="00283424">
        <w:tab/>
        <w:t>For paragraph 1013F(2)(f) of the Act:</w:t>
      </w:r>
    </w:p>
    <w:p w14:paraId="0E10E752" w14:textId="77777777" w:rsidR="00E93F58" w:rsidRPr="00283424" w:rsidRDefault="00E93F58" w:rsidP="00B50726">
      <w:pPr>
        <w:pStyle w:val="paragraph"/>
      </w:pPr>
      <w:r w:rsidRPr="00283424">
        <w:tab/>
        <w:t>(a)</w:t>
      </w:r>
      <w:r w:rsidRPr="00283424">
        <w:tab/>
        <w:t>information that is, or is required to be, disclosed to the market in relation to the underlying thing from which a warrant derives its value, including information published by a market operator in relation to financial products (including warrants and types of warrants) in the form of market data or educational material which is generally made available to the public by the market operator is a matter that may be taken into account for section 1013F of the Act; and</w:t>
      </w:r>
    </w:p>
    <w:p w14:paraId="3986E3F5" w14:textId="77777777" w:rsidR="00E93F58" w:rsidRPr="00283424" w:rsidRDefault="00E93F58" w:rsidP="00B50726">
      <w:pPr>
        <w:pStyle w:val="paragraph"/>
      </w:pPr>
      <w:r w:rsidRPr="00283424">
        <w:tab/>
        <w:t>(b)</w:t>
      </w:r>
      <w:r w:rsidRPr="00283424">
        <w:tab/>
        <w:t>other information that a market operator is required to disclose to the market, in accordance with the Act, including:</w:t>
      </w:r>
    </w:p>
    <w:p w14:paraId="06E401D1" w14:textId="77777777" w:rsidR="00E93F58" w:rsidRPr="00283424" w:rsidRDefault="00E93F58" w:rsidP="00B50726">
      <w:pPr>
        <w:pStyle w:val="paragraphsub"/>
      </w:pPr>
      <w:r w:rsidRPr="00283424">
        <w:tab/>
        <w:t>(i)</w:t>
      </w:r>
      <w:r w:rsidRPr="00283424">
        <w:tab/>
        <w:t>information that was required to be disclosed to the market operator; and</w:t>
      </w:r>
    </w:p>
    <w:p w14:paraId="74265596" w14:textId="77777777" w:rsidR="00E93F58" w:rsidRPr="00283424" w:rsidRDefault="00E93F58" w:rsidP="00B50726">
      <w:pPr>
        <w:pStyle w:val="paragraphsub"/>
      </w:pPr>
      <w:r w:rsidRPr="00283424">
        <w:tab/>
        <w:t>(ii)</w:t>
      </w:r>
      <w:r w:rsidRPr="00283424">
        <w:tab/>
        <w:t>information that the operator was required to disclose in order to meet its obligations under the Act;</w:t>
      </w:r>
    </w:p>
    <w:p w14:paraId="7DAE5133" w14:textId="77777777" w:rsidR="00E93F58" w:rsidRPr="00283424" w:rsidRDefault="00E93F58" w:rsidP="00B50726">
      <w:pPr>
        <w:pStyle w:val="paragraph"/>
      </w:pPr>
      <w:r w:rsidRPr="00283424">
        <w:tab/>
      </w:r>
      <w:r w:rsidRPr="00283424">
        <w:tab/>
        <w:t>is a matter that may be taken into account for section 1013F of the Act; and</w:t>
      </w:r>
    </w:p>
    <w:p w14:paraId="236E1F85" w14:textId="77777777" w:rsidR="00E93F58" w:rsidRPr="00283424" w:rsidRDefault="00E93F58" w:rsidP="00B50726">
      <w:pPr>
        <w:pStyle w:val="paragraph"/>
      </w:pPr>
      <w:r w:rsidRPr="00283424">
        <w:tab/>
        <w:t>(c)</w:t>
      </w:r>
      <w:r w:rsidRPr="00283424">
        <w:tab/>
        <w:t>information that is generally made available to the public by a market operator in relation to financial products, including information published about a warrant that is entered into or acquired on a financial market in the form of market data or educational material, is a matter that may be taken into account for section 1013F of the Act.</w:t>
      </w:r>
    </w:p>
    <w:p w14:paraId="52BBECE2" w14:textId="77777777" w:rsidR="00E93F58" w:rsidRPr="00283424" w:rsidRDefault="00E93F58" w:rsidP="00B50726">
      <w:pPr>
        <w:pStyle w:val="subsection"/>
      </w:pPr>
      <w:r w:rsidRPr="00283424">
        <w:tab/>
        <w:t>(6)</w:t>
      </w:r>
      <w:r w:rsidRPr="00283424">
        <w:tab/>
        <w:t>For paragraph 1017B(3)(c) of the Act, a way in which the warrant issuer may notify a holder of a matter to which that paragraph applies is by giving the relevant information to the operator of the financial market on which the warrant was entered into or acquired.</w:t>
      </w:r>
    </w:p>
    <w:p w14:paraId="0E7B8374" w14:textId="77777777" w:rsidR="00E93F58" w:rsidRPr="00283424" w:rsidRDefault="00E93F58" w:rsidP="00B50726">
      <w:pPr>
        <w:pStyle w:val="subsection"/>
      </w:pPr>
      <w:r w:rsidRPr="00283424">
        <w:tab/>
        <w:t>(7)</w:t>
      </w:r>
      <w:r w:rsidRPr="00283424">
        <w:tab/>
        <w:t>For paragraph 1020G(1)(c) of the Act, Part 7.9 of the Act applies in relation to a warrant as if the words ‘but not more than 3 months after, the change or event occurs’ in item 1 of the table in subsection 1017B(5) of the Act were omitted.</w:t>
      </w:r>
    </w:p>
    <w:p w14:paraId="336EBB74" w14:textId="77777777" w:rsidR="00E93F58" w:rsidRPr="00283424" w:rsidRDefault="00E93F58" w:rsidP="00B50726">
      <w:pPr>
        <w:pStyle w:val="subsection"/>
      </w:pPr>
      <w:r w:rsidRPr="00283424">
        <w:tab/>
        <w:t>(8)</w:t>
      </w:r>
      <w:r w:rsidRPr="00283424">
        <w:tab/>
        <w:t>In this regulation:</w:t>
      </w:r>
    </w:p>
    <w:p w14:paraId="3A1A2177" w14:textId="77777777" w:rsidR="00E93F58" w:rsidRPr="00283424" w:rsidRDefault="00E93F58" w:rsidP="00B50726">
      <w:pPr>
        <w:pStyle w:val="Definition"/>
      </w:pPr>
      <w:r w:rsidRPr="00283424">
        <w:rPr>
          <w:b/>
          <w:i/>
        </w:rPr>
        <w:t>warrant issuer</w:t>
      </w:r>
      <w:r w:rsidRPr="00283424">
        <w:t>, in relation to a warrant, means the person who:</w:t>
      </w:r>
    </w:p>
    <w:p w14:paraId="1782A148" w14:textId="77777777" w:rsidR="00E93F58" w:rsidRPr="00283424" w:rsidRDefault="00E93F58" w:rsidP="00B50726">
      <w:pPr>
        <w:pStyle w:val="paragraph"/>
      </w:pPr>
      <w:r w:rsidRPr="00283424">
        <w:tab/>
        <w:t>(a)</w:t>
      </w:r>
      <w:r w:rsidRPr="00283424">
        <w:tab/>
        <w:t>determines the terms of the warrant, including the rights and conditions of the warrant; and</w:t>
      </w:r>
    </w:p>
    <w:p w14:paraId="097212D6" w14:textId="77777777" w:rsidR="00E93F58" w:rsidRPr="00283424" w:rsidRDefault="00E93F58" w:rsidP="00B50726">
      <w:pPr>
        <w:pStyle w:val="paragraph"/>
      </w:pPr>
      <w:r w:rsidRPr="00283424">
        <w:tab/>
        <w:t>(b)</w:t>
      </w:r>
      <w:r w:rsidRPr="00283424">
        <w:tab/>
        <w:t>is responsible for obligations owed under the terms of the warrant.</w:t>
      </w:r>
    </w:p>
    <w:p w14:paraId="784960BF" w14:textId="77777777" w:rsidR="00E93F58" w:rsidRPr="00283424" w:rsidRDefault="00E93F58" w:rsidP="00B50726">
      <w:pPr>
        <w:pStyle w:val="ActHead3"/>
        <w:pageBreakBefore/>
      </w:pPr>
      <w:bookmarkStart w:id="1462" w:name="_Toc152054708"/>
      <w:bookmarkStart w:id="1463" w:name="_Toc158712524"/>
      <w:r w:rsidRPr="006F296E">
        <w:rPr>
          <w:rStyle w:val="CharDivNo"/>
        </w:rPr>
        <w:lastRenderedPageBreak/>
        <w:t>Division 2B</w:t>
      </w:r>
      <w:r w:rsidRPr="00283424">
        <w:t>—</w:t>
      </w:r>
      <w:r w:rsidRPr="006F296E">
        <w:rPr>
          <w:rStyle w:val="CharDivText"/>
        </w:rPr>
        <w:t>Product Disclosure Statement for market</w:t>
      </w:r>
      <w:r w:rsidRPr="006F296E">
        <w:rPr>
          <w:rStyle w:val="CharDivText"/>
        </w:rPr>
        <w:noBreakHyphen/>
        <w:t>traded derivatives</w:t>
      </w:r>
      <w:bookmarkEnd w:id="1462"/>
      <w:bookmarkEnd w:id="1463"/>
    </w:p>
    <w:p w14:paraId="32118AC1" w14:textId="77777777" w:rsidR="00E93F58" w:rsidRPr="00283424" w:rsidRDefault="00E93F58" w:rsidP="00B50726">
      <w:pPr>
        <w:pStyle w:val="ActHead5"/>
      </w:pPr>
      <w:bookmarkStart w:id="1464" w:name="_Toc152054709"/>
      <w:bookmarkStart w:id="1465" w:name="_Toc158712525"/>
      <w:r w:rsidRPr="006F296E">
        <w:rPr>
          <w:rStyle w:val="CharSectno"/>
        </w:rPr>
        <w:t>7.9.07B</w:t>
      </w:r>
      <w:r w:rsidRPr="00283424">
        <w:t xml:space="preserve">  Product Disclosure Statements for certain market</w:t>
      </w:r>
      <w:r>
        <w:noBreakHyphen/>
      </w:r>
      <w:r w:rsidRPr="00283424">
        <w:t>traded derivatives</w:t>
      </w:r>
      <w:bookmarkEnd w:id="1464"/>
      <w:bookmarkEnd w:id="1465"/>
    </w:p>
    <w:p w14:paraId="6604E241" w14:textId="77777777" w:rsidR="00E93F58" w:rsidRPr="00283424" w:rsidRDefault="00E93F58" w:rsidP="00B50726">
      <w:pPr>
        <w:pStyle w:val="subsection"/>
      </w:pPr>
      <w:r w:rsidRPr="00283424">
        <w:tab/>
        <w:t>(1)</w:t>
      </w:r>
      <w:r w:rsidRPr="00283424">
        <w:tab/>
        <w:t>For paragraph 1020G(1)(c) of the Act, subregulations (2) and (3) apply if:</w:t>
      </w:r>
    </w:p>
    <w:p w14:paraId="6468D724" w14:textId="77777777" w:rsidR="00E93F58" w:rsidRPr="00283424" w:rsidRDefault="00E93F58" w:rsidP="00B50726">
      <w:pPr>
        <w:pStyle w:val="paragraph"/>
      </w:pPr>
      <w:r w:rsidRPr="00283424">
        <w:tab/>
        <w:t>(a)</w:t>
      </w:r>
      <w:r w:rsidRPr="00283424">
        <w:tab/>
        <w:t>the standard terms and conditions relating to a type of derivative are:</w:t>
      </w:r>
    </w:p>
    <w:p w14:paraId="25125FC3" w14:textId="77777777" w:rsidR="00E93F58" w:rsidRPr="00283424" w:rsidRDefault="00E93F58" w:rsidP="00B50726">
      <w:pPr>
        <w:pStyle w:val="paragraphsub"/>
      </w:pPr>
      <w:r w:rsidRPr="00283424">
        <w:tab/>
        <w:t>(i)</w:t>
      </w:r>
      <w:r w:rsidRPr="00283424">
        <w:tab/>
        <w:t>specified by the market operator; and</w:t>
      </w:r>
    </w:p>
    <w:p w14:paraId="4CF093F4" w14:textId="77777777" w:rsidR="00E93F58" w:rsidRPr="00283424" w:rsidRDefault="00E93F58" w:rsidP="00B50726">
      <w:pPr>
        <w:pStyle w:val="paragraphsub"/>
      </w:pPr>
      <w:r w:rsidRPr="00283424">
        <w:tab/>
        <w:t>(ii)</w:t>
      </w:r>
      <w:r w:rsidRPr="00283424">
        <w:tab/>
        <w:t>made generally available to the public; and</w:t>
      </w:r>
    </w:p>
    <w:p w14:paraId="4468E8DB" w14:textId="77777777" w:rsidR="00E93F58" w:rsidRPr="00283424" w:rsidRDefault="00E93F58" w:rsidP="00B50726">
      <w:pPr>
        <w:pStyle w:val="paragraph"/>
      </w:pPr>
      <w:r w:rsidRPr="00283424">
        <w:tab/>
        <w:t>(b)</w:t>
      </w:r>
      <w:r w:rsidRPr="00283424">
        <w:tab/>
        <w:t>the financial services licensee in relation to the derivative is taken to be the issuer of the derivative under subsection 761E(6) of the Act; and</w:t>
      </w:r>
    </w:p>
    <w:p w14:paraId="07BA0502" w14:textId="77777777" w:rsidR="00E93F58" w:rsidRPr="00283424" w:rsidRDefault="00E93F58" w:rsidP="00B50726">
      <w:pPr>
        <w:pStyle w:val="paragraph"/>
      </w:pPr>
      <w:r w:rsidRPr="00283424">
        <w:tab/>
        <w:t>(c)</w:t>
      </w:r>
      <w:r w:rsidRPr="00283424">
        <w:tab/>
        <w:t>a retail client for the derivative has agreed to the terms and conditions as applicable to the financial product or products that are the subject of the transaction.</w:t>
      </w:r>
    </w:p>
    <w:p w14:paraId="065EE357" w14:textId="77777777" w:rsidR="00E93F58" w:rsidRPr="00283424" w:rsidRDefault="00E93F58" w:rsidP="00B50726">
      <w:pPr>
        <w:pStyle w:val="subsection"/>
      </w:pPr>
      <w:r w:rsidRPr="00283424">
        <w:tab/>
        <w:t>(2)</w:t>
      </w:r>
      <w:r w:rsidRPr="00283424">
        <w:tab/>
        <w:t>Subsection 1013D(1) of the Act is modified in its application to the derivative as if the information required by paragraphs 1013D(1)(b), (c), (d) and (f) were required to be included as general information about the type of derivative, including, for example:</w:t>
      </w:r>
    </w:p>
    <w:p w14:paraId="01442A45" w14:textId="77777777" w:rsidR="00E93F58" w:rsidRPr="00283424" w:rsidRDefault="00E93F58" w:rsidP="00B50726">
      <w:pPr>
        <w:pStyle w:val="paragraph"/>
      </w:pPr>
      <w:r w:rsidRPr="00283424">
        <w:tab/>
        <w:t>(a)</w:t>
      </w:r>
      <w:r w:rsidRPr="00283424">
        <w:tab/>
        <w:t>general information about exercise prices for the type of derivative; and</w:t>
      </w:r>
    </w:p>
    <w:p w14:paraId="2F164C3E" w14:textId="77777777" w:rsidR="00E93F58" w:rsidRPr="00283424" w:rsidRDefault="00E93F58" w:rsidP="00B50726">
      <w:pPr>
        <w:pStyle w:val="paragraph"/>
      </w:pPr>
      <w:r w:rsidRPr="00283424">
        <w:tab/>
        <w:t>(b)</w:t>
      </w:r>
      <w:r w:rsidRPr="00283424">
        <w:tab/>
        <w:t>general information about expiry dates for the type of derivative; and</w:t>
      </w:r>
    </w:p>
    <w:p w14:paraId="0577C2B1" w14:textId="77777777" w:rsidR="00E93F58" w:rsidRPr="00283424" w:rsidRDefault="00E93F58" w:rsidP="00B50726">
      <w:pPr>
        <w:pStyle w:val="paragraph"/>
      </w:pPr>
      <w:r w:rsidRPr="00283424">
        <w:tab/>
        <w:t>(c)</w:t>
      </w:r>
      <w:r w:rsidRPr="00283424">
        <w:tab/>
        <w:t>general information about exercise styles for the type of derivative.</w:t>
      </w:r>
    </w:p>
    <w:p w14:paraId="5E74A8F3" w14:textId="77777777" w:rsidR="00E93F58" w:rsidRPr="00283424" w:rsidRDefault="00E93F58" w:rsidP="00B50726">
      <w:pPr>
        <w:pStyle w:val="subsection"/>
      </w:pPr>
      <w:r w:rsidRPr="00283424">
        <w:tab/>
        <w:t>(3)</w:t>
      </w:r>
      <w:r w:rsidRPr="00283424">
        <w:tab/>
        <w:t>For paragraph 1013F(2)(f) of the Act:</w:t>
      </w:r>
    </w:p>
    <w:p w14:paraId="3C824DA7" w14:textId="77777777" w:rsidR="00E93F58" w:rsidRPr="00283424" w:rsidRDefault="00E93F58" w:rsidP="00B50726">
      <w:pPr>
        <w:pStyle w:val="paragraph"/>
      </w:pPr>
      <w:r w:rsidRPr="00283424">
        <w:tab/>
        <w:t>(a)</w:t>
      </w:r>
      <w:r w:rsidRPr="00283424">
        <w:tab/>
        <w:t>information that is, or is required to be, disclosed to the market in relation to the underlying thing from which a derivative derives its value, including information published by a market operator in relation to financial products (including derivatives and types of derivatives) in the form of market data or educational material which is generally made available to the public by the market operator is a matter that may be taken into account for section 1013F of the Act; and</w:t>
      </w:r>
    </w:p>
    <w:p w14:paraId="6DE9D9E1" w14:textId="77777777" w:rsidR="00E93F58" w:rsidRPr="00283424" w:rsidRDefault="00E93F58" w:rsidP="00B50726">
      <w:pPr>
        <w:pStyle w:val="paragraph"/>
      </w:pPr>
      <w:r w:rsidRPr="00283424">
        <w:tab/>
        <w:t>(b)</w:t>
      </w:r>
      <w:r w:rsidRPr="00283424">
        <w:tab/>
        <w:t>other information that a market operator is required to disclose to the market, in accordance with the Act, including:</w:t>
      </w:r>
    </w:p>
    <w:p w14:paraId="3F588141" w14:textId="77777777" w:rsidR="00E93F58" w:rsidRPr="00283424" w:rsidRDefault="00E93F58" w:rsidP="00B50726">
      <w:pPr>
        <w:pStyle w:val="paragraphsub"/>
      </w:pPr>
      <w:r w:rsidRPr="00283424">
        <w:tab/>
        <w:t>(i)</w:t>
      </w:r>
      <w:r w:rsidRPr="00283424">
        <w:tab/>
        <w:t>information that was required to be disclosed to the market operator; and</w:t>
      </w:r>
    </w:p>
    <w:p w14:paraId="41635F79" w14:textId="77777777" w:rsidR="00E93F58" w:rsidRPr="00283424" w:rsidRDefault="00E93F58" w:rsidP="00B50726">
      <w:pPr>
        <w:pStyle w:val="paragraphsub"/>
      </w:pPr>
      <w:r w:rsidRPr="00283424">
        <w:tab/>
        <w:t>(ii)</w:t>
      </w:r>
      <w:r w:rsidRPr="00283424">
        <w:tab/>
        <w:t>information that the operator was required to disclose in order to meet its obligations under the Act;</w:t>
      </w:r>
    </w:p>
    <w:p w14:paraId="1C527C07" w14:textId="77777777" w:rsidR="00E93F58" w:rsidRPr="00283424" w:rsidRDefault="00E93F58" w:rsidP="00B50726">
      <w:pPr>
        <w:pStyle w:val="paragraph"/>
      </w:pPr>
      <w:r w:rsidRPr="00283424">
        <w:tab/>
      </w:r>
      <w:r w:rsidRPr="00283424">
        <w:tab/>
        <w:t>is a matter that may be taken into account for section 1013F of the Act; and</w:t>
      </w:r>
    </w:p>
    <w:p w14:paraId="236CCE91" w14:textId="77777777" w:rsidR="00E93F58" w:rsidRPr="00283424" w:rsidRDefault="00E93F58" w:rsidP="00B50726">
      <w:pPr>
        <w:pStyle w:val="paragraph"/>
      </w:pPr>
      <w:r w:rsidRPr="00283424">
        <w:tab/>
        <w:t>(c)</w:t>
      </w:r>
      <w:r w:rsidRPr="00283424">
        <w:tab/>
        <w:t>information that is generally made available to the public by a market operator in relation to financial products, including information published about derivatives and types of derivatives in the form of market data or educational material, is a matter that may be taken into account for section 1013F of the Act.</w:t>
      </w:r>
    </w:p>
    <w:p w14:paraId="203D6918" w14:textId="77777777" w:rsidR="00E93F58" w:rsidRPr="00283424" w:rsidRDefault="00E93F58" w:rsidP="00B50726">
      <w:pPr>
        <w:pStyle w:val="ActHead5"/>
      </w:pPr>
      <w:bookmarkStart w:id="1466" w:name="_Toc152054710"/>
      <w:bookmarkStart w:id="1467" w:name="_Toc158712526"/>
      <w:r w:rsidRPr="006F296E">
        <w:rPr>
          <w:rStyle w:val="CharSectno"/>
        </w:rPr>
        <w:t>7.9.07C</w:t>
      </w:r>
      <w:r w:rsidRPr="00283424">
        <w:t xml:space="preserve">  Remedies for Product Disclosure Statements for certain market</w:t>
      </w:r>
      <w:r>
        <w:noBreakHyphen/>
      </w:r>
      <w:r w:rsidRPr="00283424">
        <w:t>traded derivatives</w:t>
      </w:r>
      <w:bookmarkEnd w:id="1466"/>
      <w:bookmarkEnd w:id="1467"/>
    </w:p>
    <w:p w14:paraId="6EF57E14" w14:textId="77777777" w:rsidR="00E93F58" w:rsidRPr="00283424" w:rsidRDefault="00E93F58" w:rsidP="00B50726">
      <w:pPr>
        <w:pStyle w:val="subsection"/>
      </w:pPr>
      <w:r w:rsidRPr="00283424">
        <w:tab/>
      </w:r>
      <w:r w:rsidRPr="00283424">
        <w:tab/>
        <w:t>For paragraph 1016F(7)(a) of the Act, financial products that are derivatives are excluded from section 1016F if the operating rules of a licensed market or a licensed CS facility permit the closing out of the derivatives by the matching up of the arrangement with another arrangement of the same kind under which a person has assumed an offsetting position.</w:t>
      </w:r>
    </w:p>
    <w:p w14:paraId="5AF2C697" w14:textId="77777777" w:rsidR="00E93F58" w:rsidRPr="00283424" w:rsidRDefault="00E93F58" w:rsidP="00B50726">
      <w:pPr>
        <w:pStyle w:val="ActHead3"/>
        <w:pageBreakBefore/>
      </w:pPr>
      <w:bookmarkStart w:id="1468" w:name="_Toc152054711"/>
      <w:bookmarkStart w:id="1469" w:name="_Toc158712527"/>
      <w:r w:rsidRPr="006F296E">
        <w:rPr>
          <w:rStyle w:val="CharDivNo"/>
        </w:rPr>
        <w:lastRenderedPageBreak/>
        <w:t>Division 2BA</w:t>
      </w:r>
      <w:r w:rsidRPr="00283424">
        <w:t>—</w:t>
      </w:r>
      <w:r w:rsidRPr="006F296E">
        <w:rPr>
          <w:rStyle w:val="CharDivText"/>
        </w:rPr>
        <w:t>Product Disclosure Statement for discretionary mutual funds</w:t>
      </w:r>
      <w:bookmarkEnd w:id="1468"/>
      <w:bookmarkEnd w:id="1469"/>
    </w:p>
    <w:p w14:paraId="2EB97C7A" w14:textId="77777777" w:rsidR="00E93F58" w:rsidRPr="00283424" w:rsidRDefault="00E93F58" w:rsidP="00B50726">
      <w:pPr>
        <w:pStyle w:val="ActHead5"/>
      </w:pPr>
      <w:bookmarkStart w:id="1470" w:name="_Toc152054712"/>
      <w:bookmarkStart w:id="1471" w:name="_Toc158712528"/>
      <w:r w:rsidRPr="006F296E">
        <w:rPr>
          <w:rStyle w:val="CharSectno"/>
        </w:rPr>
        <w:t>7.9.07CA</w:t>
      </w:r>
      <w:r w:rsidRPr="00283424">
        <w:t xml:space="preserve">  Extension of Product Disclosure Statement requirements to wholesale clients</w:t>
      </w:r>
      <w:bookmarkEnd w:id="1470"/>
      <w:bookmarkEnd w:id="1471"/>
    </w:p>
    <w:p w14:paraId="1CE92432" w14:textId="77777777" w:rsidR="00E93F58" w:rsidRPr="00283424" w:rsidRDefault="00E93F58" w:rsidP="00B50726">
      <w:pPr>
        <w:pStyle w:val="subsection"/>
      </w:pPr>
      <w:r w:rsidRPr="00283424">
        <w:tab/>
        <w:t>(1)</w:t>
      </w:r>
      <w:r w:rsidRPr="00283424">
        <w:tab/>
        <w:t>For paragraph 949B(1)(e) of the Act, a regulated person must give a wholesale client a Product Disclosure Statement or a Supplementary Product Disclosure Statement for a financial product if:</w:t>
      </w:r>
    </w:p>
    <w:p w14:paraId="371E5DC5" w14:textId="77777777" w:rsidR="00E93F58" w:rsidRPr="00283424" w:rsidRDefault="00E93F58" w:rsidP="00B50726">
      <w:pPr>
        <w:pStyle w:val="paragraph"/>
      </w:pPr>
      <w:r w:rsidRPr="00283424">
        <w:tab/>
        <w:t>(a)</w:t>
      </w:r>
      <w:r w:rsidRPr="00283424">
        <w:tab/>
        <w:t xml:space="preserve">the financial product is offered or issued by a discretionary mutual fund (within the meaning given by subsections 5(5) and (6) of the </w:t>
      </w:r>
      <w:r w:rsidRPr="00283424">
        <w:rPr>
          <w:i/>
        </w:rPr>
        <w:t>Financial Sector (Collection of Data) Act 2001</w:t>
      </w:r>
      <w:r w:rsidRPr="00283424">
        <w:t>); and</w:t>
      </w:r>
    </w:p>
    <w:p w14:paraId="23000C9C" w14:textId="77777777" w:rsidR="00E93F58" w:rsidRPr="00283424" w:rsidRDefault="00E93F58" w:rsidP="00B50726">
      <w:pPr>
        <w:pStyle w:val="paragraph"/>
      </w:pPr>
      <w:r w:rsidRPr="00283424">
        <w:tab/>
        <w:t>(b)</w:t>
      </w:r>
      <w:r w:rsidRPr="00283424">
        <w:tab/>
        <w:t>the regulated person would be required to give the Statement if the product were offered or issued to a retail client.</w:t>
      </w:r>
    </w:p>
    <w:p w14:paraId="53F07F6F" w14:textId="77777777" w:rsidR="00E93F58" w:rsidRPr="00283424" w:rsidRDefault="00E93F58" w:rsidP="00B50726">
      <w:pPr>
        <w:pStyle w:val="subsection"/>
      </w:pPr>
      <w:r w:rsidRPr="00283424">
        <w:tab/>
        <w:t>(2)</w:t>
      </w:r>
      <w:r w:rsidRPr="00283424">
        <w:tab/>
        <w:t>The Product Disclosure Statement or Supplementary Product Disclosure Statement required to be given under this regulation must be the same as that which would be given to a retail client.</w:t>
      </w:r>
    </w:p>
    <w:p w14:paraId="4C559918" w14:textId="77777777" w:rsidR="00E93F58" w:rsidRPr="00283424" w:rsidRDefault="00E93F58" w:rsidP="00B50726">
      <w:pPr>
        <w:pStyle w:val="ActHead3"/>
        <w:pageBreakBefore/>
      </w:pPr>
      <w:bookmarkStart w:id="1472" w:name="_Toc152054713"/>
      <w:bookmarkStart w:id="1473" w:name="_Toc158712529"/>
      <w:r w:rsidRPr="006F296E">
        <w:rPr>
          <w:rStyle w:val="CharDivNo"/>
        </w:rPr>
        <w:lastRenderedPageBreak/>
        <w:t>Division 2C</w:t>
      </w:r>
      <w:r w:rsidRPr="00283424">
        <w:t>—</w:t>
      </w:r>
      <w:r w:rsidRPr="006F296E">
        <w:rPr>
          <w:rStyle w:val="CharDivText"/>
        </w:rPr>
        <w:t>Situations where a Product Disclosure Statement is not required</w:t>
      </w:r>
      <w:bookmarkEnd w:id="1472"/>
      <w:bookmarkEnd w:id="1473"/>
    </w:p>
    <w:p w14:paraId="0ADF0A69" w14:textId="77777777" w:rsidR="00E93F58" w:rsidRPr="00283424" w:rsidRDefault="00E93F58" w:rsidP="00B50726">
      <w:pPr>
        <w:pStyle w:val="ActHead5"/>
      </w:pPr>
      <w:bookmarkStart w:id="1474" w:name="_Toc152054714"/>
      <w:bookmarkStart w:id="1475" w:name="_Toc158712530"/>
      <w:r w:rsidRPr="006F296E">
        <w:rPr>
          <w:rStyle w:val="CharSectno"/>
        </w:rPr>
        <w:t>7.9.07D</w:t>
      </w:r>
      <w:r w:rsidRPr="00283424">
        <w:t xml:space="preserve">  Product Disclosure Statement not required for offers of bundled contracts of insurance</w:t>
      </w:r>
      <w:bookmarkEnd w:id="1474"/>
      <w:bookmarkEnd w:id="1475"/>
    </w:p>
    <w:p w14:paraId="299F05B5" w14:textId="77777777" w:rsidR="00E93F58" w:rsidRPr="00283424" w:rsidRDefault="00E93F58" w:rsidP="00B50726">
      <w:pPr>
        <w:pStyle w:val="subsection"/>
      </w:pPr>
      <w:r w:rsidRPr="00283424">
        <w:tab/>
      </w:r>
      <w:r w:rsidRPr="00283424">
        <w:tab/>
        <w:t>For paragraph 1020G(1)(c) of the Act, section 1012D of the Act is modified by adding before subsection 1012D(10):</w:t>
      </w:r>
    </w:p>
    <w:p w14:paraId="54AAC6FF" w14:textId="77777777" w:rsidR="00E93F58" w:rsidRPr="00283424" w:rsidRDefault="00E93F58" w:rsidP="00B50726">
      <w:pPr>
        <w:pStyle w:val="paragraph"/>
      </w:pPr>
      <w:r w:rsidRPr="00283424">
        <w:tab/>
        <w:t>‘(9G)</w:t>
      </w:r>
      <w:r w:rsidRPr="00283424">
        <w:tab/>
        <w:t>In an issue situation or a sale situation, the regulated person does not have to give the client a Product Disclosure Statement for a financial product if:</w:t>
      </w:r>
    </w:p>
    <w:p w14:paraId="36A10119" w14:textId="77777777" w:rsidR="00E93F58" w:rsidRPr="00283424" w:rsidRDefault="00E93F58" w:rsidP="00B50726">
      <w:pPr>
        <w:pStyle w:val="paragraphsub"/>
      </w:pPr>
      <w:r w:rsidRPr="00283424">
        <w:tab/>
        <w:t>(a)</w:t>
      </w:r>
      <w:r w:rsidRPr="00283424">
        <w:tab/>
        <w:t>the financial product is a general insurance product; and</w:t>
      </w:r>
    </w:p>
    <w:p w14:paraId="59B3FB77" w14:textId="77777777" w:rsidR="00E93F58" w:rsidRPr="00283424" w:rsidRDefault="00E93F58" w:rsidP="00B50726">
      <w:pPr>
        <w:pStyle w:val="paragraphsub"/>
      </w:pPr>
      <w:r w:rsidRPr="00283424">
        <w:tab/>
        <w:t>(b)</w:t>
      </w:r>
      <w:r w:rsidRPr="00283424">
        <w:tab/>
        <w:t>the product would be provided to the person as a retail client; and</w:t>
      </w:r>
    </w:p>
    <w:p w14:paraId="68C2E6D5" w14:textId="77777777" w:rsidR="00E93F58" w:rsidRPr="00283424" w:rsidRDefault="00E93F58" w:rsidP="00B50726">
      <w:pPr>
        <w:pStyle w:val="paragraphsub"/>
      </w:pPr>
      <w:r w:rsidRPr="00283424">
        <w:tab/>
        <w:t>(c)</w:t>
      </w:r>
      <w:r w:rsidRPr="00283424">
        <w:tab/>
        <w:t>the financial product would be provided as part of a contract of insurance that offers more than one kind of insurance cover; and</w:t>
      </w:r>
    </w:p>
    <w:p w14:paraId="181E7B15" w14:textId="77777777" w:rsidR="00E93F58" w:rsidRPr="00283424" w:rsidRDefault="00E93F58" w:rsidP="00B50726">
      <w:pPr>
        <w:pStyle w:val="paragraphsub"/>
      </w:pPr>
      <w:r w:rsidRPr="00283424">
        <w:tab/>
        <w:t>(d)</w:t>
      </w:r>
      <w:r w:rsidRPr="00283424">
        <w:tab/>
        <w:t>the regulated person reasonably believes that the client does not intend to acquire the product.</w:t>
      </w:r>
    </w:p>
    <w:p w14:paraId="64649836" w14:textId="77777777" w:rsidR="00E93F58" w:rsidRPr="00283424" w:rsidRDefault="00E93F58" w:rsidP="00B50726">
      <w:pPr>
        <w:pStyle w:val="ActHead5"/>
      </w:pPr>
      <w:bookmarkStart w:id="1476" w:name="_Toc152054715"/>
      <w:bookmarkStart w:id="1477" w:name="_Toc158712531"/>
      <w:r w:rsidRPr="006F296E">
        <w:rPr>
          <w:rStyle w:val="CharSectno"/>
        </w:rPr>
        <w:t>7.9.07E</w:t>
      </w:r>
      <w:r w:rsidRPr="00283424">
        <w:t xml:space="preserve">  Product Disclosure Statement not required if offer of financial product is declined</w:t>
      </w:r>
      <w:bookmarkEnd w:id="1476"/>
      <w:bookmarkEnd w:id="1477"/>
    </w:p>
    <w:p w14:paraId="023049AE" w14:textId="77777777" w:rsidR="00E93F58" w:rsidRPr="00283424" w:rsidRDefault="00E93F58" w:rsidP="00B50726">
      <w:pPr>
        <w:pStyle w:val="subsection"/>
      </w:pPr>
      <w:r w:rsidRPr="00283424">
        <w:tab/>
      </w:r>
      <w:r w:rsidRPr="00283424">
        <w:tab/>
        <w:t>For paragraph 1020G(1)(c) of the Act, section 1012D of the Act is modified by adding before subsection 1012D(10):</w:t>
      </w:r>
    </w:p>
    <w:p w14:paraId="11874792" w14:textId="77777777" w:rsidR="00E93F58" w:rsidRPr="00283424" w:rsidRDefault="00E93F58" w:rsidP="00B50726">
      <w:pPr>
        <w:pStyle w:val="paragraph"/>
      </w:pPr>
      <w:r w:rsidRPr="00283424">
        <w:tab/>
        <w:t>‘(9J)</w:t>
      </w:r>
      <w:r w:rsidRPr="00283424">
        <w:tab/>
        <w:t>In an issue situation or sale situation, the regulated person does not have to give the client a Product Disclosure Statement for a financial product if:</w:t>
      </w:r>
    </w:p>
    <w:p w14:paraId="0DD157BA" w14:textId="77777777" w:rsidR="00E93F58" w:rsidRPr="00283424" w:rsidRDefault="00E93F58" w:rsidP="00B50726">
      <w:pPr>
        <w:pStyle w:val="paragraphsub"/>
      </w:pPr>
      <w:r w:rsidRPr="00283424">
        <w:tab/>
        <w:t>(a)</w:t>
      </w:r>
      <w:r w:rsidRPr="00283424">
        <w:tab/>
        <w:t>the situation is an offer to issue or sell the financial product; and</w:t>
      </w:r>
    </w:p>
    <w:p w14:paraId="331F4114" w14:textId="77777777" w:rsidR="00E93F58" w:rsidRPr="00283424" w:rsidRDefault="00E93F58" w:rsidP="00B50726">
      <w:pPr>
        <w:pStyle w:val="paragraphsub"/>
      </w:pPr>
      <w:r w:rsidRPr="00283424">
        <w:tab/>
        <w:t>(b)</w:t>
      </w:r>
      <w:r w:rsidRPr="00283424">
        <w:tab/>
        <w:t>the client informs the regulated person, in the course of the contact during which the offer is made, that the client does not intend to acquire the financial product; and</w:t>
      </w:r>
    </w:p>
    <w:p w14:paraId="5110732F" w14:textId="77777777" w:rsidR="00E93F58" w:rsidRPr="00283424" w:rsidRDefault="00E93F58" w:rsidP="00B50726">
      <w:pPr>
        <w:pStyle w:val="paragraphsub"/>
      </w:pPr>
      <w:r w:rsidRPr="00283424">
        <w:tab/>
        <w:t>(c)</w:t>
      </w:r>
      <w:r w:rsidRPr="00283424">
        <w:tab/>
        <w:t>no issue or sale results from the offer.</w:t>
      </w:r>
    </w:p>
    <w:p w14:paraId="7F1FA085" w14:textId="77777777" w:rsidR="00E93F58" w:rsidRPr="00283424" w:rsidRDefault="00E93F58" w:rsidP="00B50726">
      <w:pPr>
        <w:pStyle w:val="paragraph"/>
      </w:pPr>
      <w:r w:rsidRPr="00283424">
        <w:tab/>
        <w:t>(9K)</w:t>
      </w:r>
      <w:r w:rsidRPr="00283424">
        <w:tab/>
        <w:t>For paragraph (9J)(c), the client must inform the regulated person explicitly but may inform the regulated person orally or in any other way.’.</w:t>
      </w:r>
    </w:p>
    <w:p w14:paraId="7B5E1555" w14:textId="77777777" w:rsidR="00E93F58" w:rsidRPr="00283424" w:rsidRDefault="00E93F58" w:rsidP="00B50726">
      <w:pPr>
        <w:pStyle w:val="ActHead5"/>
      </w:pPr>
      <w:bookmarkStart w:id="1478" w:name="_Toc152054716"/>
      <w:bookmarkStart w:id="1479" w:name="_Toc158712532"/>
      <w:r w:rsidRPr="006F296E">
        <w:rPr>
          <w:rStyle w:val="CharSectno"/>
        </w:rPr>
        <w:t>7.9.07F</w:t>
      </w:r>
      <w:r w:rsidRPr="00283424">
        <w:t xml:space="preserve">  Product Disclosure Statement not required if the client is not contactable</w:t>
      </w:r>
      <w:bookmarkEnd w:id="1478"/>
      <w:bookmarkEnd w:id="1479"/>
    </w:p>
    <w:p w14:paraId="63656A5E" w14:textId="77777777" w:rsidR="00E93F58" w:rsidRPr="00283424" w:rsidRDefault="00E93F58" w:rsidP="00B50726">
      <w:pPr>
        <w:pStyle w:val="subsection"/>
      </w:pPr>
      <w:r w:rsidRPr="00283424">
        <w:tab/>
      </w:r>
      <w:r w:rsidRPr="00283424">
        <w:tab/>
        <w:t>For paragraph 1020G(1)(c) of the Act, section 1012D of the Act is modified by adding before subsection 1012D(10):</w:t>
      </w:r>
    </w:p>
    <w:p w14:paraId="44AE882B" w14:textId="77777777" w:rsidR="00E93F58" w:rsidRPr="00283424" w:rsidRDefault="00E93F58" w:rsidP="00B50726">
      <w:pPr>
        <w:pStyle w:val="paragraph"/>
      </w:pPr>
      <w:r w:rsidRPr="00283424">
        <w:tab/>
        <w:t>‘(9L)</w:t>
      </w:r>
      <w:r w:rsidRPr="00283424">
        <w:tab/>
        <w:t>In an issue situation, the regulated person does not have to give the client a Product Disclosure Statement, if:</w:t>
      </w:r>
    </w:p>
    <w:p w14:paraId="76AAA24C" w14:textId="77777777" w:rsidR="00E93F58" w:rsidRPr="00283424" w:rsidRDefault="00E93F58" w:rsidP="00B50726">
      <w:pPr>
        <w:pStyle w:val="paragraphsub"/>
      </w:pPr>
      <w:r w:rsidRPr="00283424">
        <w:tab/>
        <w:t>(a)</w:t>
      </w:r>
      <w:r w:rsidRPr="00283424">
        <w:tab/>
        <w:t>the regulated person has not given the client a Product Disclosure Statement because the regulated person did not need to give a Product Disclosure Statement at or before the time when it would otherwise be required to be given because of the operation of section 1012F or 1012G of the Act, regulation 7.9.04 or Part 17 of Schedule 10A; and</w:t>
      </w:r>
    </w:p>
    <w:p w14:paraId="0B214529" w14:textId="77777777" w:rsidR="00E93F58" w:rsidRPr="00283424" w:rsidRDefault="00E93F58" w:rsidP="00B50726">
      <w:pPr>
        <w:pStyle w:val="paragraphsub"/>
      </w:pPr>
      <w:r w:rsidRPr="00283424">
        <w:tab/>
        <w:t>(b)</w:t>
      </w:r>
      <w:r w:rsidRPr="00283424">
        <w:tab/>
        <w:t>either:</w:t>
      </w:r>
    </w:p>
    <w:p w14:paraId="1666D9A3" w14:textId="77777777" w:rsidR="00E93F58" w:rsidRPr="00283424" w:rsidRDefault="00E93F58" w:rsidP="00B50726">
      <w:pPr>
        <w:pStyle w:val="paragraphsub-sub"/>
      </w:pPr>
      <w:r w:rsidRPr="00283424">
        <w:tab/>
        <w:t>(i)</w:t>
      </w:r>
      <w:r w:rsidRPr="00283424">
        <w:tab/>
        <w:t>the regulated person:</w:t>
      </w:r>
    </w:p>
    <w:p w14:paraId="02B80E59" w14:textId="77777777" w:rsidR="00E93F58" w:rsidRPr="00283424" w:rsidRDefault="00E93F58" w:rsidP="00B50726">
      <w:pPr>
        <w:pStyle w:val="Paragraphsub-sub-sub"/>
      </w:pPr>
      <w:r w:rsidRPr="00283424">
        <w:tab/>
        <w:t>(A)</w:t>
      </w:r>
      <w:r w:rsidRPr="00283424">
        <w:tab/>
        <w:t>has an address for the client; and</w:t>
      </w:r>
    </w:p>
    <w:p w14:paraId="6A0B0E6C" w14:textId="77777777" w:rsidR="00E93F58" w:rsidRPr="00283424" w:rsidRDefault="00E93F58" w:rsidP="00B50726">
      <w:pPr>
        <w:pStyle w:val="Paragraphsub-sub-sub"/>
      </w:pPr>
      <w:r w:rsidRPr="00283424">
        <w:tab/>
        <w:t>(B)</w:t>
      </w:r>
      <w:r w:rsidRPr="00283424">
        <w:tab/>
        <w:t>is satisfied, on reasonable grounds that the address is incorrect; and</w:t>
      </w:r>
    </w:p>
    <w:p w14:paraId="453537E1" w14:textId="77777777" w:rsidR="00E93F58" w:rsidRPr="00283424" w:rsidRDefault="00E93F58" w:rsidP="00B50726">
      <w:pPr>
        <w:pStyle w:val="Paragraphsub-sub-sub"/>
      </w:pPr>
      <w:r w:rsidRPr="00283424">
        <w:tab/>
        <w:t>(C)</w:t>
      </w:r>
      <w:r w:rsidRPr="00283424">
        <w:tab/>
        <w:t>has taken reasonable steps to locate the client but is unable to do so; or</w:t>
      </w:r>
    </w:p>
    <w:p w14:paraId="25AD79C6" w14:textId="77777777" w:rsidR="00E93F58" w:rsidRPr="00283424" w:rsidRDefault="00E93F58" w:rsidP="00B50726">
      <w:pPr>
        <w:pStyle w:val="paragraphsub-sub"/>
      </w:pPr>
      <w:r w:rsidRPr="00283424">
        <w:tab/>
        <w:t>(ii)</w:t>
      </w:r>
      <w:r w:rsidRPr="00283424">
        <w:tab/>
        <w:t>the regulated person:</w:t>
      </w:r>
    </w:p>
    <w:p w14:paraId="0B255BE7" w14:textId="77777777" w:rsidR="00E93F58" w:rsidRPr="00283424" w:rsidRDefault="00E93F58" w:rsidP="00B50726">
      <w:pPr>
        <w:pStyle w:val="Paragraphsub-sub-sub"/>
      </w:pPr>
      <w:r w:rsidRPr="00283424">
        <w:tab/>
        <w:t>(A)</w:t>
      </w:r>
      <w:r w:rsidRPr="00283424">
        <w:tab/>
        <w:t>does not have an address for the client; and</w:t>
      </w:r>
    </w:p>
    <w:p w14:paraId="33435E86" w14:textId="77777777" w:rsidR="00E93F58" w:rsidRPr="00283424" w:rsidRDefault="00E93F58" w:rsidP="00B50726">
      <w:pPr>
        <w:pStyle w:val="Paragraphsub-sub-sub"/>
      </w:pPr>
      <w:r w:rsidRPr="00283424">
        <w:tab/>
        <w:t>(B)</w:t>
      </w:r>
      <w:r w:rsidRPr="00283424">
        <w:tab/>
        <w:t>is unable to obtain an address for the client; and</w:t>
      </w:r>
    </w:p>
    <w:p w14:paraId="3A8DF799" w14:textId="77777777" w:rsidR="00E93F58" w:rsidRPr="00283424" w:rsidRDefault="00E93F58" w:rsidP="00B50726">
      <w:pPr>
        <w:pStyle w:val="Paragraphsub-sub-sub"/>
      </w:pPr>
      <w:r w:rsidRPr="00283424">
        <w:tab/>
        <w:t>(C)</w:t>
      </w:r>
      <w:r w:rsidRPr="00283424">
        <w:tab/>
        <w:t>has taken reasonable steps to locate the client but has been unable to do so.</w:t>
      </w:r>
    </w:p>
    <w:p w14:paraId="736075E8" w14:textId="77777777" w:rsidR="00E93F58" w:rsidRPr="00283424" w:rsidRDefault="00E93F58" w:rsidP="00B50726">
      <w:pPr>
        <w:pStyle w:val="paragraph"/>
      </w:pPr>
      <w:r w:rsidRPr="00283424">
        <w:tab/>
        <w:t>(9M)</w:t>
      </w:r>
      <w:r w:rsidRPr="00283424">
        <w:tab/>
        <w:t>If a regulated person does not give a client a Product Disclosure Statement in reliance on subsection (9L), and the regulated person becomes aware of the address or location of the client, the regulated person must give the client a Product Disclosure Statement as soon as practicable.’.</w:t>
      </w:r>
    </w:p>
    <w:p w14:paraId="56983081" w14:textId="77777777" w:rsidR="00E93F58" w:rsidRPr="00283424" w:rsidRDefault="00E93F58" w:rsidP="00B50726">
      <w:pPr>
        <w:pStyle w:val="ActHead5"/>
      </w:pPr>
      <w:bookmarkStart w:id="1480" w:name="_Toc152054717"/>
      <w:bookmarkStart w:id="1481" w:name="_Toc158712533"/>
      <w:r w:rsidRPr="006F296E">
        <w:rPr>
          <w:rStyle w:val="CharSectno"/>
        </w:rPr>
        <w:t>7.9.07FA</w:t>
      </w:r>
      <w:r w:rsidRPr="00283424">
        <w:t xml:space="preserve">  Product Disclosure Statement not required for certain specified products</w:t>
      </w:r>
      <w:bookmarkEnd w:id="1480"/>
      <w:bookmarkEnd w:id="1481"/>
    </w:p>
    <w:p w14:paraId="27899C02" w14:textId="77777777" w:rsidR="00E93F58" w:rsidRPr="00283424" w:rsidRDefault="00E93F58" w:rsidP="00B50726">
      <w:pPr>
        <w:pStyle w:val="subsection"/>
      </w:pPr>
      <w:r w:rsidRPr="00283424">
        <w:tab/>
      </w:r>
      <w:r w:rsidRPr="00283424">
        <w:tab/>
        <w:t>For paragraph 1020G(1)(c) of the Act, Part 7.9 of the Act applies as if section 1012D of the Act were modified by inserting the following subsection after subsection 1012D(7):</w:t>
      </w:r>
    </w:p>
    <w:p w14:paraId="6532B5B7" w14:textId="77777777" w:rsidR="00E93F58" w:rsidRPr="00283424" w:rsidRDefault="00E93F58" w:rsidP="00B50726">
      <w:pPr>
        <w:pStyle w:val="SubsectionHead"/>
        <w:keepNext w:val="0"/>
        <w:keepLines w:val="0"/>
      </w:pPr>
      <w:r w:rsidRPr="00283424">
        <w:t>‘Recommendation, issue or sale situation—when Product Disclosure Statement not required</w:t>
      </w:r>
    </w:p>
    <w:p w14:paraId="65722823" w14:textId="77777777" w:rsidR="00E93F58" w:rsidRPr="00283424" w:rsidRDefault="00E93F58" w:rsidP="00B50726">
      <w:pPr>
        <w:pStyle w:val="subsection"/>
        <w:tabs>
          <w:tab w:val="clear" w:pos="1021"/>
          <w:tab w:val="right" w:pos="1036"/>
        </w:tabs>
        <w:ind w:left="1148" w:hanging="1148"/>
      </w:pPr>
      <w:r w:rsidRPr="00283424">
        <w:lastRenderedPageBreak/>
        <w:tab/>
        <w:t>(7A)</w:t>
      </w:r>
      <w:r w:rsidRPr="00283424">
        <w:tab/>
        <w:t>In a recommendation situation, an issue situation or a sale situation, the regulated person does not have to give the client a Product Disclosure Statement for the financial product if:</w:t>
      </w:r>
    </w:p>
    <w:p w14:paraId="677AADD0" w14:textId="77777777" w:rsidR="00E93F58" w:rsidRPr="00283424" w:rsidRDefault="00E93F58" w:rsidP="00B50726">
      <w:pPr>
        <w:pStyle w:val="paragraph"/>
      </w:pPr>
      <w:r w:rsidRPr="00283424">
        <w:tab/>
        <w:t>(a)</w:t>
      </w:r>
      <w:r w:rsidRPr="00283424">
        <w:tab/>
        <w:t>the product is:</w:t>
      </w:r>
    </w:p>
    <w:p w14:paraId="686B025D" w14:textId="77777777" w:rsidR="00E93F58" w:rsidRPr="00283424" w:rsidRDefault="00E93F58" w:rsidP="00B50726">
      <w:pPr>
        <w:pStyle w:val="paragraphsub"/>
      </w:pPr>
      <w:r w:rsidRPr="00283424">
        <w:tab/>
        <w:t>(i)</w:t>
      </w:r>
      <w:r w:rsidRPr="00283424">
        <w:tab/>
        <w:t>a basic deposit product; or</w:t>
      </w:r>
    </w:p>
    <w:p w14:paraId="6C46A903" w14:textId="77777777" w:rsidR="00E93F58" w:rsidRPr="00283424" w:rsidRDefault="00E93F58" w:rsidP="00B50726">
      <w:pPr>
        <w:pStyle w:val="paragraphsub"/>
      </w:pPr>
      <w:r w:rsidRPr="00283424">
        <w:tab/>
        <w:t>(ii)</w:t>
      </w:r>
      <w:r w:rsidRPr="00283424">
        <w:tab/>
        <w:t>a facility for making non</w:t>
      </w:r>
      <w:r>
        <w:noBreakHyphen/>
      </w:r>
      <w:r w:rsidRPr="00283424">
        <w:t>cash payments (see section 763D) that is related to a basic deposit product; or</w:t>
      </w:r>
    </w:p>
    <w:p w14:paraId="6DCEC243" w14:textId="77777777" w:rsidR="00E93F58" w:rsidRPr="00283424" w:rsidRDefault="00E93F58" w:rsidP="00B50726">
      <w:pPr>
        <w:pStyle w:val="paragraphsub"/>
      </w:pPr>
      <w:r w:rsidRPr="00283424">
        <w:tab/>
        <w:t>(iii)</w:t>
      </w:r>
      <w:r w:rsidRPr="00283424">
        <w:tab/>
        <w:t>a traveller’s cheque; and</w:t>
      </w:r>
    </w:p>
    <w:p w14:paraId="2FFF6D04" w14:textId="77777777" w:rsidR="00E93F58" w:rsidRPr="00283424" w:rsidRDefault="00E93F58" w:rsidP="00B50726">
      <w:pPr>
        <w:pStyle w:val="paragraph"/>
      </w:pPr>
      <w:r w:rsidRPr="00283424">
        <w:tab/>
        <w:t>(b)</w:t>
      </w:r>
      <w:r w:rsidRPr="00283424">
        <w:tab/>
        <w:t>the regulated person has provided information about the cost of the product (if any) to the client; and</w:t>
      </w:r>
    </w:p>
    <w:p w14:paraId="750602D9" w14:textId="77777777" w:rsidR="00E93F58" w:rsidRPr="00283424" w:rsidRDefault="00E93F58" w:rsidP="00B50726">
      <w:pPr>
        <w:pStyle w:val="paragraph"/>
      </w:pPr>
      <w:r w:rsidRPr="00283424">
        <w:tab/>
        <w:t>(c)</w:t>
      </w:r>
      <w:r w:rsidRPr="00283424">
        <w:tab/>
        <w:t>the regulated person has informed the client as to whether or not any amounts will or may be payable by the holder of the product, in respect of the product, after its acquisition; and</w:t>
      </w:r>
    </w:p>
    <w:p w14:paraId="02A83B38" w14:textId="77777777" w:rsidR="00E93F58" w:rsidRPr="00283424" w:rsidRDefault="00E93F58" w:rsidP="00B50726">
      <w:pPr>
        <w:pStyle w:val="paragraph"/>
      </w:pPr>
      <w:r w:rsidRPr="00283424">
        <w:tab/>
        <w:t>(ca)</w:t>
      </w:r>
      <w:r w:rsidRPr="00283424">
        <w:tab/>
        <w:t xml:space="preserve">if the product is a protected account under the </w:t>
      </w:r>
      <w:r w:rsidRPr="00283424">
        <w:rPr>
          <w:i/>
        </w:rPr>
        <w:t>Banking Act 1959</w:t>
      </w:r>
      <w:r w:rsidRPr="00283424">
        <w:t>—the regulated person has informed the client that:</w:t>
      </w:r>
    </w:p>
    <w:p w14:paraId="0AF4748A" w14:textId="77777777" w:rsidR="00E93F58" w:rsidRPr="00283424" w:rsidRDefault="00E93F58" w:rsidP="00B50726">
      <w:pPr>
        <w:pStyle w:val="paragraphsub"/>
      </w:pPr>
      <w:r w:rsidRPr="00283424">
        <w:tab/>
        <w:t>(i)</w:t>
      </w:r>
      <w:r w:rsidRPr="00283424">
        <w:tab/>
        <w:t>the account</w:t>
      </w:r>
      <w:r>
        <w:noBreakHyphen/>
      </w:r>
      <w:r w:rsidRPr="00283424">
        <w:t>holder may be entitled to payment under the financial claims scheme; and</w:t>
      </w:r>
    </w:p>
    <w:p w14:paraId="5F279784" w14:textId="77777777" w:rsidR="00E93F58" w:rsidRPr="00283424" w:rsidRDefault="00E93F58" w:rsidP="00B50726">
      <w:pPr>
        <w:pStyle w:val="paragraphsub"/>
      </w:pPr>
      <w:r w:rsidRPr="00283424">
        <w:tab/>
        <w:t>(ii)</w:t>
      </w:r>
      <w:r w:rsidRPr="00283424">
        <w:tab/>
        <w:t>payments under the scheme are subject to a limit for each depositor; and</w:t>
      </w:r>
    </w:p>
    <w:p w14:paraId="0CEC9B6F" w14:textId="77777777" w:rsidR="00E93F58" w:rsidRPr="00283424" w:rsidRDefault="00E93F58" w:rsidP="00B50726">
      <w:pPr>
        <w:pStyle w:val="paragraphsub"/>
      </w:pPr>
      <w:r w:rsidRPr="00283424">
        <w:tab/>
        <w:t>(iii)</w:t>
      </w:r>
      <w:r w:rsidRPr="00283424">
        <w:tab/>
        <w:t>information about the financial claims scheme can be obtained from the APRA website at http://www.fcs.gov.au; and</w:t>
      </w:r>
    </w:p>
    <w:p w14:paraId="6C139882" w14:textId="77777777" w:rsidR="00E93F58" w:rsidRPr="00283424" w:rsidRDefault="00E93F58" w:rsidP="00B50726">
      <w:pPr>
        <w:pStyle w:val="paragraph"/>
      </w:pPr>
      <w:r w:rsidRPr="00283424">
        <w:tab/>
        <w:t>(d)</w:t>
      </w:r>
      <w:r w:rsidRPr="00283424">
        <w:tab/>
        <w:t>the regulated person has asked the client whether or not the client would like further information about the amounts mentioned in paragraph (c); and</w:t>
      </w:r>
    </w:p>
    <w:p w14:paraId="46CEB35B" w14:textId="77777777" w:rsidR="00E93F58" w:rsidRPr="00283424" w:rsidRDefault="00E93F58" w:rsidP="00B50726">
      <w:pPr>
        <w:pStyle w:val="paragraph"/>
      </w:pPr>
      <w:r w:rsidRPr="00283424">
        <w:tab/>
        <w:t>(e)</w:t>
      </w:r>
      <w:r w:rsidRPr="00283424">
        <w:tab/>
        <w:t>if the client indicates that the client would like the further information about the amounts mentioned in paragraph (c)—the regulated person has provided that information.’.</w:t>
      </w:r>
    </w:p>
    <w:p w14:paraId="02C374EB" w14:textId="77777777" w:rsidR="00E93F58" w:rsidRPr="00283424" w:rsidRDefault="00E93F58" w:rsidP="00B50726">
      <w:pPr>
        <w:pStyle w:val="ActHead5"/>
      </w:pPr>
      <w:bookmarkStart w:id="1482" w:name="_Toc152054718"/>
      <w:bookmarkStart w:id="1483" w:name="_Toc158712534"/>
      <w:r w:rsidRPr="006F296E">
        <w:rPr>
          <w:rStyle w:val="CharSectno"/>
        </w:rPr>
        <w:t>7.9.07FB</w:t>
      </w:r>
      <w:r w:rsidRPr="00283424">
        <w:t xml:space="preserve">  Product Disclosure Statement not required if client not in this jurisdiction</w:t>
      </w:r>
      <w:bookmarkEnd w:id="1482"/>
      <w:bookmarkEnd w:id="1483"/>
    </w:p>
    <w:p w14:paraId="1F68FA18" w14:textId="77777777" w:rsidR="00E93F58" w:rsidRPr="00283424" w:rsidRDefault="00E93F58" w:rsidP="00B50726">
      <w:pPr>
        <w:pStyle w:val="subsection"/>
      </w:pPr>
      <w:r w:rsidRPr="00283424">
        <w:tab/>
      </w:r>
      <w:r w:rsidRPr="00283424">
        <w:tab/>
        <w:t>For paragraph 1020G(1)(c) of the Act, section 1012D of the Act is modified by inserting after subsection 1012D(8):</w:t>
      </w:r>
    </w:p>
    <w:p w14:paraId="194F3055" w14:textId="77777777" w:rsidR="00E93F58" w:rsidRPr="00283424" w:rsidRDefault="00E93F58" w:rsidP="00B50726">
      <w:pPr>
        <w:pStyle w:val="subsection"/>
        <w:rPr>
          <w:szCs w:val="22"/>
        </w:rPr>
      </w:pPr>
      <w:r w:rsidRPr="00283424">
        <w:rPr>
          <w:szCs w:val="22"/>
        </w:rPr>
        <w:tab/>
        <w:t>“(8A)</w:t>
      </w:r>
      <w:r w:rsidRPr="00283424">
        <w:rPr>
          <w:szCs w:val="22"/>
        </w:rPr>
        <w:tab/>
        <w:t>In a recommendation situation, an issue situation or a sale situation, the regulated person does not have to give the client a Product Disclosure Statement for the financial product if the client is not in this jurisdiction.”</w:t>
      </w:r>
    </w:p>
    <w:p w14:paraId="0DFDED8C" w14:textId="77777777" w:rsidR="00E93F58" w:rsidRPr="00283424" w:rsidRDefault="00E93F58" w:rsidP="00B50726">
      <w:pPr>
        <w:pStyle w:val="ActHead5"/>
      </w:pPr>
      <w:bookmarkStart w:id="1484" w:name="_Toc152054719"/>
      <w:bookmarkStart w:id="1485" w:name="_Toc158712535"/>
      <w:r w:rsidRPr="006F296E">
        <w:rPr>
          <w:rStyle w:val="CharSectno"/>
        </w:rPr>
        <w:t>7.9.07FC</w:t>
      </w:r>
      <w:r w:rsidRPr="00283424">
        <w:t xml:space="preserve">  Product Disclosure Statement not required general insurance situation</w:t>
      </w:r>
      <w:bookmarkEnd w:id="1484"/>
      <w:bookmarkEnd w:id="1485"/>
    </w:p>
    <w:p w14:paraId="618EBDF8" w14:textId="77777777" w:rsidR="00E93F58" w:rsidRPr="00283424" w:rsidRDefault="00E93F58" w:rsidP="00B50726">
      <w:pPr>
        <w:pStyle w:val="subsection"/>
      </w:pPr>
      <w:r w:rsidRPr="00283424">
        <w:tab/>
      </w:r>
      <w:r w:rsidRPr="00283424">
        <w:tab/>
        <w:t>For paragraph 1020G(1)(c) of the Act, Part 7.9 of the Act is modified by adding after section 1014E of the Act the following section:</w:t>
      </w:r>
    </w:p>
    <w:p w14:paraId="3C1AB015" w14:textId="77777777" w:rsidR="00E93F58" w:rsidRPr="00283424" w:rsidRDefault="00E93F58" w:rsidP="00B50726">
      <w:pPr>
        <w:pStyle w:val="Specials"/>
      </w:pPr>
      <w:r w:rsidRPr="00283424">
        <w:t xml:space="preserve">“1014EA  General insurance product situation in which only a </w:t>
      </w:r>
      <w:r w:rsidRPr="00582086">
        <w:t>Supplementary Product Disclosure Statement</w:t>
      </w:r>
      <w:r w:rsidRPr="00283424">
        <w:t xml:space="preserve"> need be given</w:t>
      </w:r>
    </w:p>
    <w:p w14:paraId="66E1D910" w14:textId="77777777" w:rsidR="00E93F58" w:rsidRPr="00283424" w:rsidRDefault="00E93F58" w:rsidP="00B50726">
      <w:pPr>
        <w:pStyle w:val="subsection"/>
        <w:keepNext/>
        <w:keepLines/>
      </w:pPr>
      <w:r w:rsidRPr="00283424">
        <w:tab/>
        <w:t>(1)</w:t>
      </w:r>
      <w:r w:rsidRPr="00283424">
        <w:tab/>
        <w:t>This section applies if:</w:t>
      </w:r>
    </w:p>
    <w:p w14:paraId="015126F0" w14:textId="77777777" w:rsidR="00E93F58" w:rsidRPr="00283424" w:rsidRDefault="00E93F58" w:rsidP="00B50726">
      <w:pPr>
        <w:pStyle w:val="paragraph"/>
      </w:pPr>
      <w:r w:rsidRPr="00283424">
        <w:tab/>
        <w:t>(a)</w:t>
      </w:r>
      <w:r w:rsidRPr="00283424">
        <w:tab/>
        <w:t xml:space="preserve">a person (the </w:t>
      </w:r>
      <w:r w:rsidRPr="00283424">
        <w:rPr>
          <w:b/>
          <w:i/>
        </w:rPr>
        <w:t>client</w:t>
      </w:r>
      <w:r w:rsidRPr="00283424">
        <w:rPr>
          <w:i/>
        </w:rPr>
        <w:t xml:space="preserve">) </w:t>
      </w:r>
      <w:r w:rsidRPr="00283424">
        <w:t xml:space="preserve">acquires a general insurance product (the </w:t>
      </w:r>
      <w:r w:rsidRPr="00283424">
        <w:rPr>
          <w:b/>
          <w:i/>
        </w:rPr>
        <w:t>original product</w:t>
      </w:r>
      <w:r w:rsidRPr="00283424">
        <w:t xml:space="preserve">) from another person (the </w:t>
      </w:r>
      <w:r w:rsidRPr="00283424">
        <w:rPr>
          <w:b/>
          <w:i/>
        </w:rPr>
        <w:t>regulated person</w:t>
      </w:r>
      <w:r w:rsidRPr="00283424">
        <w:t>); and</w:t>
      </w:r>
    </w:p>
    <w:p w14:paraId="214F7CC9" w14:textId="77777777" w:rsidR="00E93F58" w:rsidRPr="00283424" w:rsidRDefault="00E93F58" w:rsidP="00B50726">
      <w:pPr>
        <w:pStyle w:val="paragraph"/>
      </w:pPr>
      <w:r w:rsidRPr="00283424">
        <w:tab/>
        <w:t>(b)</w:t>
      </w:r>
      <w:r w:rsidRPr="00283424">
        <w:tab/>
        <w:t xml:space="preserve">the client received a Product Disclosure Statement (the </w:t>
      </w:r>
      <w:r w:rsidRPr="00283424">
        <w:rPr>
          <w:b/>
          <w:i/>
        </w:rPr>
        <w:t>original PDS</w:t>
      </w:r>
      <w:r w:rsidRPr="00283424">
        <w:t>) relating to the product as required by the Act; and</w:t>
      </w:r>
    </w:p>
    <w:p w14:paraId="0172FC52" w14:textId="77777777" w:rsidR="00E93F58" w:rsidRPr="00283424" w:rsidRDefault="00E93F58" w:rsidP="00B50726">
      <w:pPr>
        <w:pStyle w:val="paragraph"/>
      </w:pPr>
      <w:r w:rsidRPr="00283424">
        <w:tab/>
        <w:t>(c)</w:t>
      </w:r>
      <w:r w:rsidRPr="00283424">
        <w:tab/>
        <w:t xml:space="preserve">the contract of insurance provides a renewable insurance cover (within the meaning of subsection 58(1) of the </w:t>
      </w:r>
      <w:r w:rsidRPr="00283424">
        <w:rPr>
          <w:i/>
        </w:rPr>
        <w:t>Insurance Contracts Act 1984</w:t>
      </w:r>
      <w:r w:rsidRPr="00283424">
        <w:t>); and</w:t>
      </w:r>
    </w:p>
    <w:p w14:paraId="334697D7" w14:textId="77777777" w:rsidR="00E93F58" w:rsidRPr="00283424" w:rsidRDefault="00E93F58" w:rsidP="00B50726">
      <w:pPr>
        <w:pStyle w:val="paragraph"/>
      </w:pPr>
      <w:r w:rsidRPr="00283424">
        <w:tab/>
        <w:t>(d)</w:t>
      </w:r>
      <w:r w:rsidRPr="00283424">
        <w:tab/>
        <w:t xml:space="preserve">the regulated person offers to renew the client’s contract of insurance (the </w:t>
      </w:r>
      <w:r w:rsidRPr="00283424">
        <w:rPr>
          <w:b/>
          <w:i/>
        </w:rPr>
        <w:t>new product</w:t>
      </w:r>
      <w:r w:rsidRPr="00283424">
        <w:t>); and</w:t>
      </w:r>
    </w:p>
    <w:p w14:paraId="363BDE39" w14:textId="77777777" w:rsidR="00E93F58" w:rsidRPr="00283424" w:rsidRDefault="00E93F58" w:rsidP="00B50726">
      <w:pPr>
        <w:pStyle w:val="paragraph"/>
      </w:pPr>
      <w:r w:rsidRPr="00283424">
        <w:tab/>
        <w:t>(e)</w:t>
      </w:r>
      <w:r w:rsidRPr="00283424">
        <w:tab/>
        <w:t xml:space="preserve">the regulated person is required to give the client a Product Disclosure Statement (the </w:t>
      </w:r>
      <w:r w:rsidRPr="00283424">
        <w:rPr>
          <w:b/>
          <w:i/>
        </w:rPr>
        <w:t>new PDS</w:t>
      </w:r>
      <w:r w:rsidRPr="00283424">
        <w:t>) relating to the new product; and</w:t>
      </w:r>
    </w:p>
    <w:p w14:paraId="31C90680" w14:textId="77777777" w:rsidR="00E93F58" w:rsidRPr="00283424" w:rsidRDefault="00E93F58" w:rsidP="00B50726">
      <w:pPr>
        <w:pStyle w:val="paragraph"/>
      </w:pPr>
      <w:r w:rsidRPr="00283424">
        <w:tab/>
        <w:t>(f)</w:t>
      </w:r>
      <w:r w:rsidRPr="00283424">
        <w:tab/>
        <w:t>the original PDS contains some but not all of the information that the new PDS is required to contain.</w:t>
      </w:r>
    </w:p>
    <w:p w14:paraId="080B3585" w14:textId="77777777" w:rsidR="00E93F58" w:rsidRPr="00283424" w:rsidRDefault="00E93F58" w:rsidP="00B50726">
      <w:pPr>
        <w:pStyle w:val="subsection"/>
      </w:pPr>
      <w:r w:rsidRPr="00283424">
        <w:tab/>
        <w:t>(2)</w:t>
      </w:r>
      <w:r w:rsidRPr="00283424">
        <w:tab/>
        <w:t>The regulated person may give the client a new PDS.</w:t>
      </w:r>
    </w:p>
    <w:p w14:paraId="3110DAB3" w14:textId="77777777" w:rsidR="00E93F58" w:rsidRPr="00283424" w:rsidRDefault="00E93F58" w:rsidP="00B50726">
      <w:pPr>
        <w:pStyle w:val="subsection"/>
        <w:rPr>
          <w:szCs w:val="22"/>
        </w:rPr>
      </w:pPr>
      <w:r w:rsidRPr="00283424">
        <w:tab/>
        <w:t>(3)</w:t>
      </w:r>
      <w:r w:rsidRPr="00283424">
        <w:tab/>
        <w:t>If the</w:t>
      </w:r>
      <w:r w:rsidRPr="00283424">
        <w:rPr>
          <w:szCs w:val="22"/>
        </w:rPr>
        <w:t xml:space="preserve"> regulated person does not give the client a new PDS, the regulated person must give the client a </w:t>
      </w:r>
      <w:r w:rsidRPr="00BE1284">
        <w:t>Supplementary Product Disclosure Statement</w:t>
      </w:r>
      <w:r w:rsidRPr="00283424">
        <w:rPr>
          <w:szCs w:val="22"/>
        </w:rPr>
        <w:t xml:space="preserve"> that contains the additional information.</w:t>
      </w:r>
    </w:p>
    <w:p w14:paraId="6EA2E562" w14:textId="77777777" w:rsidR="00E93F58" w:rsidRPr="00283424" w:rsidRDefault="00E93F58" w:rsidP="00B50726">
      <w:pPr>
        <w:pStyle w:val="subsection"/>
        <w:rPr>
          <w:szCs w:val="22"/>
        </w:rPr>
      </w:pPr>
      <w:r w:rsidRPr="00283424">
        <w:rPr>
          <w:szCs w:val="22"/>
        </w:rPr>
        <w:tab/>
        <w:t>(4)</w:t>
      </w:r>
      <w:r w:rsidRPr="00283424">
        <w:rPr>
          <w:szCs w:val="22"/>
        </w:rPr>
        <w:tab/>
        <w:t xml:space="preserve">If the regulated person gives the client a </w:t>
      </w:r>
      <w:r w:rsidRPr="00BE1284">
        <w:t>Supplementary Product Disclosure Statement</w:t>
      </w:r>
      <w:r w:rsidRPr="00283424">
        <w:rPr>
          <w:szCs w:val="22"/>
        </w:rPr>
        <w:t xml:space="preserve"> under subsection (3), for the purposes of this Act:</w:t>
      </w:r>
    </w:p>
    <w:p w14:paraId="7A46D111" w14:textId="77777777" w:rsidR="00E93F58" w:rsidRPr="00283424" w:rsidRDefault="00E93F58" w:rsidP="00B50726">
      <w:pPr>
        <w:pStyle w:val="paragraph"/>
        <w:rPr>
          <w:szCs w:val="22"/>
        </w:rPr>
      </w:pPr>
      <w:r w:rsidRPr="00283424">
        <w:rPr>
          <w:szCs w:val="22"/>
        </w:rPr>
        <w:tab/>
        <w:t>(a)</w:t>
      </w:r>
      <w:r w:rsidRPr="00283424">
        <w:rPr>
          <w:szCs w:val="22"/>
        </w:rPr>
        <w:tab/>
        <w:t>the original PDS is taken to be the new PDS; and</w:t>
      </w:r>
    </w:p>
    <w:p w14:paraId="09CF6BBF" w14:textId="77777777" w:rsidR="00E93F58" w:rsidRPr="00283424" w:rsidRDefault="00E93F58" w:rsidP="00B50726">
      <w:pPr>
        <w:pStyle w:val="paragraph"/>
      </w:pPr>
      <w:r w:rsidRPr="00283424">
        <w:tab/>
        <w:t>(b)</w:t>
      </w:r>
      <w:r w:rsidRPr="00283424">
        <w:tab/>
        <w:t>the new PDS is taken to have been given to the client as required by this Act.”</w:t>
      </w:r>
    </w:p>
    <w:p w14:paraId="75652785" w14:textId="77777777" w:rsidR="00E93F58" w:rsidRPr="00283424" w:rsidRDefault="00E93F58" w:rsidP="00B50726">
      <w:pPr>
        <w:pStyle w:val="ActHead3"/>
        <w:pageBreakBefore/>
      </w:pPr>
      <w:bookmarkStart w:id="1486" w:name="_Toc152054720"/>
      <w:bookmarkStart w:id="1487" w:name="_Toc158712536"/>
      <w:r w:rsidRPr="006F296E">
        <w:rPr>
          <w:rStyle w:val="CharDivNo"/>
        </w:rPr>
        <w:lastRenderedPageBreak/>
        <w:t>Division 2D</w:t>
      </w:r>
      <w:r w:rsidRPr="00283424">
        <w:t>—</w:t>
      </w:r>
      <w:r w:rsidRPr="006F296E">
        <w:rPr>
          <w:rStyle w:val="CharDivText"/>
        </w:rPr>
        <w:t>Preparation and content of Product Disclosure Statements</w:t>
      </w:r>
      <w:bookmarkEnd w:id="1486"/>
      <w:bookmarkEnd w:id="1487"/>
    </w:p>
    <w:p w14:paraId="44AA0ECE" w14:textId="77777777" w:rsidR="00E93F58" w:rsidRPr="00283424" w:rsidRDefault="00E93F58" w:rsidP="00B50726">
      <w:pPr>
        <w:pStyle w:val="ActHead5"/>
      </w:pPr>
      <w:bookmarkStart w:id="1488" w:name="_Toc152054721"/>
      <w:bookmarkStart w:id="1489" w:name="_Toc158712537"/>
      <w:r w:rsidRPr="006F296E">
        <w:rPr>
          <w:rStyle w:val="CharSectno"/>
        </w:rPr>
        <w:t>7.9.07J</w:t>
      </w:r>
      <w:r w:rsidRPr="00283424">
        <w:t xml:space="preserve">  Only 1 responsible person for a Product Disclosure Statement</w:t>
      </w:r>
      <w:bookmarkEnd w:id="1488"/>
      <w:bookmarkEnd w:id="1489"/>
    </w:p>
    <w:p w14:paraId="4B06C77B" w14:textId="77777777" w:rsidR="00E93F58" w:rsidRPr="00283424" w:rsidRDefault="00E93F58" w:rsidP="00B50726">
      <w:pPr>
        <w:pStyle w:val="subsection"/>
      </w:pPr>
      <w:r w:rsidRPr="00283424">
        <w:tab/>
      </w:r>
      <w:r w:rsidRPr="00283424">
        <w:tab/>
        <w:t>For paragraph 1020G(1)(c) of the Act, Part 7.9 of the Act applies as if section 1013A of the Act were modified by adding after subsection 1013A(3):</w:t>
      </w:r>
    </w:p>
    <w:p w14:paraId="5E1FA0EF" w14:textId="77777777" w:rsidR="00E93F58" w:rsidRPr="00283424" w:rsidRDefault="00E93F58" w:rsidP="00B50726">
      <w:pPr>
        <w:pStyle w:val="paragraph"/>
      </w:pPr>
      <w:r w:rsidRPr="00283424">
        <w:tab/>
        <w:t>‘(3A)</w:t>
      </w:r>
      <w:r w:rsidRPr="00283424">
        <w:tab/>
        <w:t>A Product Disclosure Statement for a product that is not a jointly issued product may be prepared by, or on behalf of, only 1 responsible person.’.</w:t>
      </w:r>
    </w:p>
    <w:p w14:paraId="7E6DD633" w14:textId="77777777" w:rsidR="00E93F58" w:rsidRPr="00283424" w:rsidRDefault="00E93F58" w:rsidP="00B50726">
      <w:pPr>
        <w:pStyle w:val="ActHead5"/>
      </w:pPr>
      <w:bookmarkStart w:id="1490" w:name="_Toc152054722"/>
      <w:bookmarkStart w:id="1491" w:name="_Toc158712538"/>
      <w:r w:rsidRPr="006F296E">
        <w:rPr>
          <w:rStyle w:val="CharSectno"/>
        </w:rPr>
        <w:t>7.9.07K</w:t>
      </w:r>
      <w:r w:rsidRPr="00283424">
        <w:t xml:space="preserve">  Definition of </w:t>
      </w:r>
      <w:r w:rsidRPr="00283424">
        <w:rPr>
          <w:i/>
        </w:rPr>
        <w:t>defective</w:t>
      </w:r>
      <w:r w:rsidRPr="00283424">
        <w:t>: Product Disclosure Statement, Short</w:t>
      </w:r>
      <w:r>
        <w:noBreakHyphen/>
      </w:r>
      <w:r w:rsidRPr="00283424">
        <w:t>Form PDS or Replacement Product Disclosure Statement</w:t>
      </w:r>
      <w:bookmarkEnd w:id="1490"/>
      <w:bookmarkEnd w:id="1491"/>
    </w:p>
    <w:p w14:paraId="56BF5983" w14:textId="77777777" w:rsidR="00E93F58" w:rsidRPr="00283424" w:rsidRDefault="00E93F58" w:rsidP="00B50726">
      <w:pPr>
        <w:pStyle w:val="subsection"/>
      </w:pPr>
      <w:r w:rsidRPr="00283424">
        <w:tab/>
      </w:r>
      <w:r w:rsidRPr="00283424">
        <w:tab/>
        <w:t xml:space="preserve">For paragraph 1020G(1)(c) of the Act, Part 7.9 of the Act applies as if section 1022A of the Act were varied by omitting paragraph (b) of the definition of </w:t>
      </w:r>
      <w:r w:rsidRPr="00283424">
        <w:rPr>
          <w:b/>
          <w:i/>
        </w:rPr>
        <w:t>defective</w:t>
      </w:r>
      <w:r w:rsidRPr="00283424">
        <w:t xml:space="preserve"> in subsection (1) and the following paragraph were inserted:</w:t>
      </w:r>
    </w:p>
    <w:p w14:paraId="05D9E184" w14:textId="77777777" w:rsidR="00E93F58" w:rsidRPr="00283424" w:rsidRDefault="00E93F58" w:rsidP="00B50726">
      <w:pPr>
        <w:pStyle w:val="paragraph"/>
      </w:pPr>
      <w:r w:rsidRPr="00283424">
        <w:tab/>
        <w:t>‘(b)</w:t>
      </w:r>
      <w:r w:rsidRPr="00283424">
        <w:tab/>
        <w:t>if it is a Product Disclosure Statement, a Short</w:t>
      </w:r>
      <w:r>
        <w:noBreakHyphen/>
      </w:r>
      <w:r w:rsidRPr="00283424">
        <w:t>Form PDS or a Replacement Product Disclosure Statement—either:</w:t>
      </w:r>
    </w:p>
    <w:p w14:paraId="12AD4026" w14:textId="77777777" w:rsidR="00E93F58" w:rsidRPr="00283424" w:rsidRDefault="00E93F58" w:rsidP="00B50726">
      <w:pPr>
        <w:pStyle w:val="paragraphsub"/>
      </w:pPr>
      <w:r w:rsidRPr="00283424">
        <w:tab/>
        <w:t>(i)</w:t>
      </w:r>
      <w:r w:rsidRPr="00283424">
        <w:tab/>
        <w:t>it is not prepared in accordance with section 1013A; or</w:t>
      </w:r>
    </w:p>
    <w:p w14:paraId="1B82B851" w14:textId="77777777" w:rsidR="00E93F58" w:rsidRPr="00283424" w:rsidRDefault="00E93F58" w:rsidP="00B50726">
      <w:pPr>
        <w:pStyle w:val="paragraphsub"/>
      </w:pPr>
      <w:r w:rsidRPr="00283424">
        <w:tab/>
        <w:t>(ii)</w:t>
      </w:r>
      <w:r w:rsidRPr="00283424">
        <w:tab/>
        <w:t>there is an omission from the Product Disclosure Statement, Short</w:t>
      </w:r>
      <w:r>
        <w:noBreakHyphen/>
      </w:r>
      <w:r w:rsidRPr="00283424">
        <w:t>Form PDS or Replacement Product Disclosure Statement of material required by section 1013C, other than material required by section 1013B or 1013G; or’.</w:t>
      </w:r>
    </w:p>
    <w:p w14:paraId="00E5ABFC" w14:textId="77777777" w:rsidR="00E93F58" w:rsidRPr="00283424" w:rsidRDefault="00E93F58" w:rsidP="00B50726">
      <w:pPr>
        <w:pStyle w:val="ActHead3"/>
        <w:pageBreakBefore/>
      </w:pPr>
      <w:bookmarkStart w:id="1492" w:name="_Toc152054723"/>
      <w:bookmarkStart w:id="1493" w:name="_Toc158712539"/>
      <w:r w:rsidRPr="006F296E">
        <w:rPr>
          <w:rStyle w:val="CharDivNo"/>
        </w:rPr>
        <w:lastRenderedPageBreak/>
        <w:t>Division 2E</w:t>
      </w:r>
      <w:r w:rsidRPr="00283424">
        <w:t>—</w:t>
      </w:r>
      <w:r w:rsidRPr="006F296E">
        <w:rPr>
          <w:rStyle w:val="CharDivText"/>
        </w:rPr>
        <w:t>Obligation to make information publicly available: registrable superannuation entities</w:t>
      </w:r>
      <w:bookmarkEnd w:id="1492"/>
      <w:bookmarkEnd w:id="1493"/>
    </w:p>
    <w:p w14:paraId="06038AA3" w14:textId="77777777" w:rsidR="00E93F58" w:rsidRPr="00283424" w:rsidRDefault="00E93F58" w:rsidP="00B50726">
      <w:pPr>
        <w:pStyle w:val="ActHead4"/>
      </w:pPr>
      <w:bookmarkStart w:id="1494" w:name="_Toc152054724"/>
      <w:bookmarkStart w:id="1495" w:name="_Toc158712540"/>
      <w:r w:rsidRPr="006F296E">
        <w:rPr>
          <w:rStyle w:val="CharSubdNo"/>
        </w:rPr>
        <w:t>Subdivision 2E.1</w:t>
      </w:r>
      <w:r w:rsidRPr="00283424">
        <w:t>—</w:t>
      </w:r>
      <w:r w:rsidRPr="006F296E">
        <w:rPr>
          <w:rStyle w:val="CharSubdText"/>
        </w:rPr>
        <w:t>Obligation to make product dashboard publicly available</w:t>
      </w:r>
      <w:bookmarkEnd w:id="1494"/>
      <w:bookmarkEnd w:id="1495"/>
    </w:p>
    <w:p w14:paraId="50EA4982" w14:textId="77777777" w:rsidR="00E93F58" w:rsidRPr="00283424" w:rsidRDefault="00E93F58" w:rsidP="00B50726">
      <w:pPr>
        <w:pStyle w:val="ActHead5"/>
      </w:pPr>
      <w:bookmarkStart w:id="1496" w:name="_Toc152054725"/>
      <w:bookmarkStart w:id="1497" w:name="_Toc158712541"/>
      <w:r w:rsidRPr="006F296E">
        <w:rPr>
          <w:rStyle w:val="CharSectno"/>
        </w:rPr>
        <w:t>7.9.07L</w:t>
      </w:r>
      <w:r w:rsidRPr="00283424">
        <w:t xml:space="preserve">  Modification of Act</w:t>
      </w:r>
      <w:bookmarkEnd w:id="1496"/>
      <w:bookmarkEnd w:id="1497"/>
    </w:p>
    <w:p w14:paraId="4712F1B3" w14:textId="77777777" w:rsidR="00E93F58" w:rsidRPr="00283424" w:rsidRDefault="00E93F58" w:rsidP="00B50726">
      <w:pPr>
        <w:pStyle w:val="subsection"/>
      </w:pPr>
      <w:r w:rsidRPr="00283424">
        <w:tab/>
      </w:r>
      <w:r w:rsidRPr="00283424">
        <w:tab/>
        <w:t>For paragraph 1020G(1)(c) of the Act, Part 7.9 of the Act applies as if section 1017BA of the Act were modified as set out in Part 6A of Schedule 10A.</w:t>
      </w:r>
    </w:p>
    <w:p w14:paraId="3CCF4914" w14:textId="77777777" w:rsidR="00E93F58" w:rsidRPr="00283424" w:rsidRDefault="00E93F58" w:rsidP="00B50726">
      <w:pPr>
        <w:pStyle w:val="ActHead5"/>
      </w:pPr>
      <w:bookmarkStart w:id="1498" w:name="_Toc152054726"/>
      <w:bookmarkStart w:id="1499" w:name="_Toc158712542"/>
      <w:r w:rsidRPr="006F296E">
        <w:rPr>
          <w:rStyle w:val="CharSectno"/>
        </w:rPr>
        <w:t>7.9.07M</w:t>
      </w:r>
      <w:r w:rsidRPr="00283424">
        <w:t xml:space="preserve">  Source of power for this Subdivision</w:t>
      </w:r>
      <w:bookmarkEnd w:id="1498"/>
      <w:bookmarkEnd w:id="1499"/>
    </w:p>
    <w:p w14:paraId="77335110" w14:textId="77777777" w:rsidR="00E93F58" w:rsidRPr="00283424" w:rsidRDefault="00E93F58" w:rsidP="00B50726">
      <w:pPr>
        <w:pStyle w:val="subsection"/>
      </w:pPr>
      <w:r w:rsidRPr="00283424">
        <w:tab/>
      </w:r>
      <w:r w:rsidRPr="00283424">
        <w:tab/>
        <w:t>This Subdivision is made for paragraphs 1017BA(1)(c) and (e) and subsection 1017BA(2) of the Act.</w:t>
      </w:r>
    </w:p>
    <w:p w14:paraId="06B9D9FD" w14:textId="77777777" w:rsidR="00E93F58" w:rsidRPr="00283424" w:rsidRDefault="00E93F58" w:rsidP="00B50726">
      <w:pPr>
        <w:pStyle w:val="ActHead5"/>
      </w:pPr>
      <w:bookmarkStart w:id="1500" w:name="_Toc152054727"/>
      <w:bookmarkStart w:id="1501" w:name="_Toc158712543"/>
      <w:r w:rsidRPr="006F296E">
        <w:rPr>
          <w:rStyle w:val="CharSectno"/>
        </w:rPr>
        <w:t>7.9.07N</w:t>
      </w:r>
      <w:r w:rsidRPr="00283424">
        <w:t xml:space="preserve">  Definitions</w:t>
      </w:r>
      <w:bookmarkEnd w:id="1500"/>
      <w:bookmarkEnd w:id="1501"/>
    </w:p>
    <w:p w14:paraId="22EC661A" w14:textId="77777777" w:rsidR="00E93F58" w:rsidRPr="00283424" w:rsidRDefault="00E93F58" w:rsidP="00B50726">
      <w:pPr>
        <w:pStyle w:val="subsection"/>
      </w:pPr>
      <w:r w:rsidRPr="00283424">
        <w:tab/>
      </w:r>
      <w:r w:rsidRPr="00283424">
        <w:tab/>
        <w:t>In this Subdivision:</w:t>
      </w:r>
    </w:p>
    <w:p w14:paraId="6215A6D8" w14:textId="77777777" w:rsidR="00E93F58" w:rsidRPr="00283424" w:rsidRDefault="00E93F58" w:rsidP="00B50726">
      <w:pPr>
        <w:pStyle w:val="Definition"/>
      </w:pPr>
      <w:r w:rsidRPr="00283424">
        <w:rPr>
          <w:b/>
          <w:i/>
        </w:rPr>
        <w:t>lifecycle exception</w:t>
      </w:r>
      <w:r w:rsidRPr="00283424">
        <w:t xml:space="preserve"> has the meaning given by subsection 29TC(2) of the SIS Act.</w:t>
      </w:r>
    </w:p>
    <w:p w14:paraId="73AE9D88" w14:textId="77777777" w:rsidR="00E93F58" w:rsidRPr="00283424" w:rsidRDefault="00E93F58" w:rsidP="00B50726">
      <w:pPr>
        <w:pStyle w:val="Definition"/>
        <w:rPr>
          <w:szCs w:val="22"/>
        </w:rPr>
      </w:pPr>
      <w:r w:rsidRPr="00283424">
        <w:rPr>
          <w:b/>
          <w:i/>
        </w:rPr>
        <w:t>lifecycle MySuper product</w:t>
      </w:r>
      <w:r w:rsidRPr="00283424">
        <w:t xml:space="preserve"> means a MySuper product to which a lifecycle exception </w:t>
      </w:r>
      <w:r w:rsidRPr="00283424">
        <w:rPr>
          <w:iCs/>
          <w:szCs w:val="22"/>
        </w:rPr>
        <w:t>applies.</w:t>
      </w:r>
    </w:p>
    <w:p w14:paraId="0CDE6E49" w14:textId="77777777" w:rsidR="00E93F58" w:rsidRPr="00283424" w:rsidRDefault="00E93F58" w:rsidP="00B50726">
      <w:pPr>
        <w:pStyle w:val="Definition"/>
      </w:pPr>
      <w:r w:rsidRPr="00283424">
        <w:rPr>
          <w:b/>
          <w:i/>
        </w:rPr>
        <w:t>lifecycle stage</w:t>
      </w:r>
      <w:r w:rsidRPr="00283424">
        <w:t>, of a MySuper product offered by a regulated superannuation fund, means a subclass of members of the fund who hold the MySuper product, determined on the basis of:</w:t>
      </w:r>
    </w:p>
    <w:p w14:paraId="4C398E02" w14:textId="77777777" w:rsidR="00E93F58" w:rsidRPr="00283424" w:rsidRDefault="00E93F58" w:rsidP="00B50726">
      <w:pPr>
        <w:pStyle w:val="paragraph"/>
      </w:pPr>
      <w:r w:rsidRPr="00283424">
        <w:tab/>
        <w:t>(a)</w:t>
      </w:r>
      <w:r w:rsidRPr="00283424">
        <w:tab/>
        <w:t>age; or</w:t>
      </w:r>
    </w:p>
    <w:p w14:paraId="5709B200" w14:textId="77777777" w:rsidR="00E93F58" w:rsidRPr="00283424" w:rsidRDefault="00E93F58" w:rsidP="00B50726">
      <w:pPr>
        <w:pStyle w:val="paragraph"/>
      </w:pPr>
      <w:r w:rsidRPr="00283424">
        <w:tab/>
        <w:t>(b)</w:t>
      </w:r>
      <w:r w:rsidRPr="00283424">
        <w:tab/>
        <w:t>age and the factors mentioned in regulation 9.47 of the SIS Regulations.</w:t>
      </w:r>
    </w:p>
    <w:p w14:paraId="29FE8A96" w14:textId="77777777" w:rsidR="00E93F58" w:rsidRPr="00283424" w:rsidRDefault="00E93F58" w:rsidP="00B50726">
      <w:pPr>
        <w:pStyle w:val="Definition"/>
      </w:pPr>
      <w:r w:rsidRPr="00283424">
        <w:rPr>
          <w:b/>
          <w:i/>
        </w:rPr>
        <w:t>offering period</w:t>
      </w:r>
      <w:r w:rsidRPr="00283424">
        <w:t xml:space="preserve"> means:</w:t>
      </w:r>
    </w:p>
    <w:p w14:paraId="25175524" w14:textId="77777777" w:rsidR="00E93F58" w:rsidRPr="00283424" w:rsidRDefault="00E93F58" w:rsidP="00B50726">
      <w:pPr>
        <w:pStyle w:val="paragraph"/>
      </w:pPr>
      <w:r w:rsidRPr="00283424">
        <w:tab/>
        <w:t>(a)</w:t>
      </w:r>
      <w:r w:rsidRPr="00283424">
        <w:tab/>
        <w:t>for a MySuper product other than a lifecycle MySuper product:</w:t>
      </w:r>
    </w:p>
    <w:p w14:paraId="0B2A05D8" w14:textId="77777777" w:rsidR="00E93F58" w:rsidRPr="00283424" w:rsidRDefault="00E93F58" w:rsidP="00B50726">
      <w:pPr>
        <w:pStyle w:val="paragraphsub"/>
      </w:pPr>
      <w:r w:rsidRPr="00283424">
        <w:tab/>
        <w:t>(i)</w:t>
      </w:r>
      <w:r w:rsidRPr="00283424">
        <w:tab/>
        <w:t>if the MySuper product has been offered for less than 10 financial years and there is no predecessor product—the number of whole financial years for which the product has been offered; or</w:t>
      </w:r>
    </w:p>
    <w:p w14:paraId="662EF90C" w14:textId="77777777" w:rsidR="00E93F58" w:rsidRPr="00283424" w:rsidRDefault="00E93F58" w:rsidP="00B50726">
      <w:pPr>
        <w:pStyle w:val="paragraphsub"/>
      </w:pPr>
      <w:r w:rsidRPr="00283424">
        <w:tab/>
        <w:t>(ii)</w:t>
      </w:r>
      <w:r w:rsidRPr="00283424">
        <w:tab/>
        <w:t>if the MySuper product and a predecessor product have been offered for a total of less than 10 financial years—the number of whole financial years for which the products have been offered; or</w:t>
      </w:r>
    </w:p>
    <w:p w14:paraId="33152970" w14:textId="77777777" w:rsidR="00E93F58" w:rsidRPr="00283424" w:rsidRDefault="00E93F58" w:rsidP="00B50726">
      <w:pPr>
        <w:pStyle w:val="paragraph"/>
      </w:pPr>
      <w:r w:rsidRPr="00283424">
        <w:tab/>
        <w:t>(b)</w:t>
      </w:r>
      <w:r w:rsidRPr="00283424">
        <w:tab/>
        <w:t>for a lifecycle stage of a lifecycle MySuper product:</w:t>
      </w:r>
    </w:p>
    <w:p w14:paraId="4DE36CA0" w14:textId="77777777" w:rsidR="00E93F58" w:rsidRPr="00283424" w:rsidRDefault="00E93F58" w:rsidP="00B50726">
      <w:pPr>
        <w:pStyle w:val="paragraphsub"/>
      </w:pPr>
      <w:r w:rsidRPr="00283424">
        <w:tab/>
        <w:t>(i)</w:t>
      </w:r>
      <w:r w:rsidRPr="00283424">
        <w:tab/>
        <w:t>if the lifecycle stage of the MySuper product has been offered for less than 10 financial years and there is no equivalent lifecycle stage of a predecessor product—the number of whole financial years for which the lifecycle stage has been offered; or</w:t>
      </w:r>
    </w:p>
    <w:p w14:paraId="28CB2625" w14:textId="77777777" w:rsidR="00E93F58" w:rsidRPr="00283424" w:rsidRDefault="00E93F58" w:rsidP="00B50726">
      <w:pPr>
        <w:pStyle w:val="paragraphsub"/>
      </w:pPr>
      <w:r w:rsidRPr="00283424">
        <w:tab/>
        <w:t>(ii)</w:t>
      </w:r>
      <w:r w:rsidRPr="00283424">
        <w:tab/>
        <w:t>if the lifecycle stage of the MySuper product and an equivalent lifecycle stage of a predecessor product have been offered for a total of less than 10 financial years—the number of whole financial years for which the lifecycle stage of the MySuper product and the predecessor product have been offered.</w:t>
      </w:r>
    </w:p>
    <w:p w14:paraId="14832220" w14:textId="77777777" w:rsidR="00E93F58" w:rsidRPr="00283424" w:rsidRDefault="00E93F58" w:rsidP="00B50726">
      <w:pPr>
        <w:pStyle w:val="subsection"/>
      </w:pPr>
      <w:r w:rsidRPr="00283424">
        <w:rPr>
          <w:bCs/>
          <w:iCs/>
        </w:rPr>
        <w:tab/>
      </w:r>
      <w:r w:rsidRPr="00283424">
        <w:rPr>
          <w:bCs/>
          <w:iCs/>
        </w:rPr>
        <w:tab/>
      </w:r>
      <w:r w:rsidRPr="00283424">
        <w:rPr>
          <w:b/>
          <w:bCs/>
          <w:i/>
          <w:iCs/>
        </w:rPr>
        <w:t>predecessor product</w:t>
      </w:r>
      <w:r w:rsidRPr="00283424">
        <w:rPr>
          <w:bCs/>
          <w:iCs/>
        </w:rPr>
        <w:t>, in relation to a MySuper product,</w:t>
      </w:r>
      <w:r w:rsidRPr="00283424">
        <w:t xml:space="preserve"> means a default investment option in existence on 30 June 2013 in relation to which, if a member’s accrued default amount were attributed to the MySuper product, the RSE licensee would be exempted from disclosure requirements under subregulation 9.46(2) of the SIS Regulations.</w:t>
      </w:r>
    </w:p>
    <w:p w14:paraId="05C0E073" w14:textId="77777777" w:rsidR="00E93F58" w:rsidRPr="00283424" w:rsidRDefault="00E93F58" w:rsidP="00B50726">
      <w:pPr>
        <w:pStyle w:val="subsection"/>
      </w:pPr>
      <w:r w:rsidRPr="00283424">
        <w:tab/>
      </w:r>
      <w:r w:rsidRPr="00283424">
        <w:tab/>
      </w:r>
      <w:r w:rsidRPr="00283424">
        <w:rPr>
          <w:b/>
          <w:i/>
        </w:rPr>
        <w:t>reporting standard</w:t>
      </w:r>
      <w:r w:rsidRPr="00283424">
        <w:t xml:space="preserve"> means a reporting standard determined by APRA under subsection 13(1) of the </w:t>
      </w:r>
      <w:r w:rsidRPr="00283424">
        <w:rPr>
          <w:i/>
        </w:rPr>
        <w:t>Financial Sector (Collection of Data) Act 2001</w:t>
      </w:r>
      <w:r w:rsidRPr="00283424">
        <w:t>, as in force from time to time.</w:t>
      </w:r>
    </w:p>
    <w:p w14:paraId="536F3F71" w14:textId="77777777" w:rsidR="00E93F58" w:rsidRPr="00283424" w:rsidRDefault="00E93F58" w:rsidP="00B50726">
      <w:pPr>
        <w:pStyle w:val="ActHead5"/>
        <w:rPr>
          <w:i/>
        </w:rPr>
      </w:pPr>
      <w:bookmarkStart w:id="1502" w:name="_Toc152054728"/>
      <w:bookmarkStart w:id="1503" w:name="_Toc158712544"/>
      <w:r w:rsidRPr="006F296E">
        <w:rPr>
          <w:rStyle w:val="CharSectno"/>
        </w:rPr>
        <w:t>7.9.07P</w:t>
      </w:r>
      <w:r w:rsidRPr="00283424">
        <w:t xml:space="preserve">  Meaning of </w:t>
      </w:r>
      <w:r w:rsidRPr="00283424">
        <w:rPr>
          <w:i/>
        </w:rPr>
        <w:t>MySuper product dashboard reporting standards</w:t>
      </w:r>
      <w:bookmarkEnd w:id="1502"/>
      <w:bookmarkEnd w:id="1503"/>
    </w:p>
    <w:p w14:paraId="6DE1BD92" w14:textId="77777777" w:rsidR="00E93F58" w:rsidRPr="00283424" w:rsidRDefault="00E93F58" w:rsidP="00B50726">
      <w:pPr>
        <w:pStyle w:val="subsection"/>
        <w:keepNext/>
        <w:keepLines/>
      </w:pPr>
      <w:r w:rsidRPr="00283424">
        <w:tab/>
      </w:r>
      <w:r w:rsidRPr="00283424">
        <w:tab/>
        <w:t xml:space="preserve">For this Subdivision, a reporting standard is a </w:t>
      </w:r>
      <w:r w:rsidRPr="00283424">
        <w:rPr>
          <w:b/>
          <w:i/>
        </w:rPr>
        <w:t>MySuper product dashboard reporting standard</w:t>
      </w:r>
      <w:r w:rsidRPr="00283424">
        <w:t xml:space="preserve"> if the reporting standard contains a clause stating that it relates to information that will be included in a product dashboard for a MySuper product.</w:t>
      </w:r>
    </w:p>
    <w:p w14:paraId="08327CFC" w14:textId="77777777" w:rsidR="00E93F58" w:rsidRPr="00283424" w:rsidRDefault="00E93F58" w:rsidP="00B50726">
      <w:pPr>
        <w:pStyle w:val="ActHead5"/>
      </w:pPr>
      <w:bookmarkStart w:id="1504" w:name="_Toc152054729"/>
      <w:bookmarkStart w:id="1505" w:name="_Toc158712545"/>
      <w:r w:rsidRPr="006F296E">
        <w:rPr>
          <w:rStyle w:val="CharSectno"/>
        </w:rPr>
        <w:t>7.9.07Q</w:t>
      </w:r>
      <w:r w:rsidRPr="00283424">
        <w:t xml:space="preserve">  Product dashboard—how information must be set out</w:t>
      </w:r>
      <w:bookmarkEnd w:id="1504"/>
      <w:bookmarkEnd w:id="1505"/>
    </w:p>
    <w:p w14:paraId="13F1753D" w14:textId="77777777" w:rsidR="00E93F58" w:rsidRPr="00283424" w:rsidRDefault="00E93F58" w:rsidP="00B50726">
      <w:pPr>
        <w:pStyle w:val="subsection"/>
      </w:pPr>
      <w:r w:rsidRPr="00283424">
        <w:tab/>
        <w:t>(1)</w:t>
      </w:r>
      <w:r w:rsidRPr="00283424">
        <w:tab/>
        <w:t>Information for a MySuper product must be set out in a product dashboard as follows (including the headings):</w:t>
      </w:r>
    </w:p>
    <w:p w14:paraId="312B66A6" w14:textId="77777777" w:rsidR="00E93F58" w:rsidRPr="00283424" w:rsidRDefault="00E93F58" w:rsidP="00B50726">
      <w:pPr>
        <w:pStyle w:val="Tabletext"/>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956"/>
        <w:gridCol w:w="4811"/>
      </w:tblGrid>
      <w:tr w:rsidR="00E93F58" w:rsidRPr="00283424" w14:paraId="4F59D568" w14:textId="77777777" w:rsidTr="00EA0AFF">
        <w:trPr>
          <w:tblHeader/>
        </w:trPr>
        <w:tc>
          <w:tcPr>
            <w:tcW w:w="5000" w:type="pct"/>
            <w:gridSpan w:val="2"/>
          </w:tcPr>
          <w:p w14:paraId="690DBEB3" w14:textId="77777777" w:rsidR="00E93F58" w:rsidRPr="00283424" w:rsidRDefault="00E93F58" w:rsidP="00EA0AFF">
            <w:pPr>
              <w:spacing w:line="240" w:lineRule="auto"/>
              <w:rPr>
                <w:b/>
              </w:rPr>
            </w:pPr>
            <w:r w:rsidRPr="00283424">
              <w:rPr>
                <w:b/>
              </w:rPr>
              <w:t>PRODUCT DASHBOARD</w:t>
            </w:r>
          </w:p>
        </w:tc>
      </w:tr>
      <w:tr w:rsidR="00E93F58" w:rsidRPr="00283424" w14:paraId="09EA7D0D" w14:textId="77777777" w:rsidTr="00EA0AFF">
        <w:trPr>
          <w:tblHeader/>
        </w:trPr>
        <w:tc>
          <w:tcPr>
            <w:tcW w:w="2766" w:type="pct"/>
            <w:shd w:val="clear" w:color="auto" w:fill="auto"/>
          </w:tcPr>
          <w:p w14:paraId="445CE4B3" w14:textId="77777777" w:rsidR="00E93F58" w:rsidRPr="00283424" w:rsidRDefault="00E93F58" w:rsidP="00EA0AFF">
            <w:pPr>
              <w:spacing w:line="240" w:lineRule="auto"/>
              <w:rPr>
                <w:b/>
              </w:rPr>
            </w:pPr>
            <w:r w:rsidRPr="00283424">
              <w:rPr>
                <w:b/>
              </w:rPr>
              <w:t>Return target</w:t>
            </w:r>
          </w:p>
        </w:tc>
        <w:tc>
          <w:tcPr>
            <w:tcW w:w="2234" w:type="pct"/>
            <w:shd w:val="clear" w:color="auto" w:fill="auto"/>
          </w:tcPr>
          <w:p w14:paraId="3ABE92C6" w14:textId="77777777" w:rsidR="00E93F58" w:rsidRPr="00283424" w:rsidRDefault="00E93F58" w:rsidP="00EA0AFF">
            <w:pPr>
              <w:spacing w:line="240" w:lineRule="auto"/>
            </w:pPr>
          </w:p>
          <w:p w14:paraId="3C119769" w14:textId="77777777" w:rsidR="00E93F58" w:rsidRPr="00283424" w:rsidRDefault="00E93F58" w:rsidP="00EA0AFF">
            <w:pPr>
              <w:spacing w:line="240" w:lineRule="auto"/>
              <w:rPr>
                <w:b/>
              </w:rPr>
            </w:pPr>
          </w:p>
        </w:tc>
      </w:tr>
      <w:tr w:rsidR="00E93F58" w:rsidRPr="00283424" w14:paraId="74D762D6" w14:textId="77777777" w:rsidTr="00EA0AFF">
        <w:tc>
          <w:tcPr>
            <w:tcW w:w="2766" w:type="pct"/>
            <w:shd w:val="clear" w:color="auto" w:fill="auto"/>
          </w:tcPr>
          <w:p w14:paraId="03CC1067" w14:textId="77777777" w:rsidR="00E93F58" w:rsidRPr="00283424" w:rsidRDefault="00E93F58" w:rsidP="00EA0AFF">
            <w:pPr>
              <w:spacing w:line="240" w:lineRule="auto"/>
              <w:rPr>
                <w:b/>
              </w:rPr>
            </w:pPr>
            <w:r w:rsidRPr="00283424">
              <w:rPr>
                <w:b/>
              </w:rPr>
              <w:t>Return</w:t>
            </w:r>
          </w:p>
        </w:tc>
        <w:tc>
          <w:tcPr>
            <w:tcW w:w="2234" w:type="pct"/>
            <w:shd w:val="clear" w:color="auto" w:fill="auto"/>
          </w:tcPr>
          <w:p w14:paraId="469DE721" w14:textId="77777777" w:rsidR="00E93F58" w:rsidRPr="00283424" w:rsidRDefault="00E93F58" w:rsidP="00EA0AFF">
            <w:pPr>
              <w:spacing w:line="240" w:lineRule="auto"/>
            </w:pPr>
          </w:p>
          <w:p w14:paraId="32B8C12B" w14:textId="77777777" w:rsidR="00E93F58" w:rsidRPr="00283424" w:rsidRDefault="00E93F58" w:rsidP="00EA0AFF">
            <w:pPr>
              <w:spacing w:line="240" w:lineRule="auto"/>
            </w:pPr>
          </w:p>
        </w:tc>
      </w:tr>
      <w:tr w:rsidR="00E93F58" w:rsidRPr="00283424" w14:paraId="5E96A78D" w14:textId="77777777" w:rsidTr="00EA0AFF">
        <w:tc>
          <w:tcPr>
            <w:tcW w:w="2766" w:type="pct"/>
            <w:shd w:val="clear" w:color="auto" w:fill="auto"/>
          </w:tcPr>
          <w:p w14:paraId="05F7B23E" w14:textId="77777777" w:rsidR="00E93F58" w:rsidRPr="00283424" w:rsidRDefault="00E93F58" w:rsidP="00EA0AFF">
            <w:pPr>
              <w:spacing w:line="240" w:lineRule="auto"/>
              <w:rPr>
                <w:b/>
              </w:rPr>
            </w:pPr>
            <w:r w:rsidRPr="00283424">
              <w:rPr>
                <w:b/>
              </w:rPr>
              <w:t>Comparison between return target and return</w:t>
            </w:r>
          </w:p>
        </w:tc>
        <w:tc>
          <w:tcPr>
            <w:tcW w:w="2234" w:type="pct"/>
            <w:shd w:val="clear" w:color="auto" w:fill="auto"/>
          </w:tcPr>
          <w:p w14:paraId="0A7DA9CD" w14:textId="77777777" w:rsidR="00E93F58" w:rsidRPr="00283424" w:rsidRDefault="00E93F58" w:rsidP="00EA0AFF">
            <w:pPr>
              <w:spacing w:line="240" w:lineRule="auto"/>
            </w:pPr>
          </w:p>
          <w:p w14:paraId="11E7D692" w14:textId="77777777" w:rsidR="00E93F58" w:rsidRPr="00283424" w:rsidRDefault="00E93F58" w:rsidP="00EA0AFF">
            <w:pPr>
              <w:spacing w:line="240" w:lineRule="auto"/>
            </w:pPr>
          </w:p>
          <w:p w14:paraId="061F6241" w14:textId="77777777" w:rsidR="00E93F58" w:rsidRPr="00283424" w:rsidRDefault="00E93F58" w:rsidP="00EA0AFF">
            <w:pPr>
              <w:spacing w:line="240" w:lineRule="auto"/>
            </w:pPr>
          </w:p>
          <w:p w14:paraId="7D090877" w14:textId="77777777" w:rsidR="00E93F58" w:rsidRPr="00283424" w:rsidRDefault="00E93F58" w:rsidP="00EA0AFF">
            <w:pPr>
              <w:spacing w:line="240" w:lineRule="auto"/>
            </w:pPr>
          </w:p>
        </w:tc>
      </w:tr>
      <w:tr w:rsidR="00E93F58" w:rsidRPr="00283424" w14:paraId="40D347C6" w14:textId="77777777" w:rsidTr="00EA0AFF">
        <w:tc>
          <w:tcPr>
            <w:tcW w:w="2766" w:type="pct"/>
            <w:shd w:val="clear" w:color="auto" w:fill="auto"/>
          </w:tcPr>
          <w:p w14:paraId="54A6C2D5" w14:textId="77777777" w:rsidR="00E93F58" w:rsidRPr="00283424" w:rsidRDefault="00E93F58" w:rsidP="00EA0AFF">
            <w:pPr>
              <w:spacing w:line="240" w:lineRule="auto"/>
              <w:rPr>
                <w:b/>
              </w:rPr>
            </w:pPr>
            <w:r w:rsidRPr="00283424">
              <w:rPr>
                <w:b/>
              </w:rPr>
              <w:t>Level of investment risk</w:t>
            </w:r>
          </w:p>
        </w:tc>
        <w:tc>
          <w:tcPr>
            <w:tcW w:w="2234" w:type="pct"/>
            <w:shd w:val="clear" w:color="auto" w:fill="auto"/>
          </w:tcPr>
          <w:p w14:paraId="1C8D53D3" w14:textId="77777777" w:rsidR="00E93F58" w:rsidRPr="00283424" w:rsidRDefault="00E93F58" w:rsidP="00EA0AFF">
            <w:pPr>
              <w:spacing w:line="240" w:lineRule="auto"/>
            </w:pPr>
          </w:p>
          <w:p w14:paraId="74D59573" w14:textId="77777777" w:rsidR="00E93F58" w:rsidRPr="00283424" w:rsidRDefault="00E93F58" w:rsidP="00EA0AFF">
            <w:pPr>
              <w:spacing w:line="240" w:lineRule="auto"/>
            </w:pPr>
          </w:p>
        </w:tc>
      </w:tr>
      <w:tr w:rsidR="00E93F58" w:rsidRPr="00283424" w14:paraId="685E1F30" w14:textId="77777777" w:rsidTr="00EA0AFF">
        <w:tc>
          <w:tcPr>
            <w:tcW w:w="2766" w:type="pct"/>
            <w:shd w:val="clear" w:color="auto" w:fill="auto"/>
          </w:tcPr>
          <w:p w14:paraId="04755F75" w14:textId="77777777" w:rsidR="00E93F58" w:rsidRPr="00283424" w:rsidRDefault="00E93F58" w:rsidP="00EA0AFF">
            <w:pPr>
              <w:spacing w:line="240" w:lineRule="auto"/>
              <w:rPr>
                <w:b/>
              </w:rPr>
            </w:pPr>
            <w:r w:rsidRPr="00283424">
              <w:rPr>
                <w:b/>
              </w:rPr>
              <w:t>Statement of fees and other costs</w:t>
            </w:r>
          </w:p>
        </w:tc>
        <w:tc>
          <w:tcPr>
            <w:tcW w:w="2234" w:type="pct"/>
            <w:shd w:val="clear" w:color="auto" w:fill="auto"/>
          </w:tcPr>
          <w:p w14:paraId="25DBCDE4" w14:textId="77777777" w:rsidR="00E93F58" w:rsidRPr="00283424" w:rsidRDefault="00E93F58" w:rsidP="00EA0AFF">
            <w:pPr>
              <w:spacing w:line="240" w:lineRule="auto"/>
            </w:pPr>
          </w:p>
          <w:p w14:paraId="7C767B1E" w14:textId="77777777" w:rsidR="00E93F58" w:rsidRPr="00283424" w:rsidRDefault="00E93F58" w:rsidP="00EA0AFF">
            <w:pPr>
              <w:spacing w:line="240" w:lineRule="auto"/>
            </w:pPr>
          </w:p>
        </w:tc>
      </w:tr>
    </w:tbl>
    <w:p w14:paraId="7DDF66D9" w14:textId="77777777" w:rsidR="00E93F58" w:rsidRPr="00283424" w:rsidRDefault="00E93F58" w:rsidP="00B50726">
      <w:pPr>
        <w:pStyle w:val="subsection"/>
      </w:pPr>
      <w:r w:rsidRPr="00283424">
        <w:tab/>
        <w:t>(2)</w:t>
      </w:r>
      <w:r w:rsidRPr="00283424">
        <w:tab/>
        <w:t>For a lifecycle MySuper product, the information mentioned in each item of the table must be set out in relation to each lifecycle stage of the product.</w:t>
      </w:r>
    </w:p>
    <w:p w14:paraId="7E79A10B" w14:textId="77777777" w:rsidR="00E93F58" w:rsidRPr="00283424" w:rsidRDefault="00E93F58" w:rsidP="00B50726">
      <w:pPr>
        <w:pStyle w:val="ActHead5"/>
      </w:pPr>
      <w:bookmarkStart w:id="1506" w:name="_Toc152054730"/>
      <w:bookmarkStart w:id="1507" w:name="_Toc158712546"/>
      <w:r w:rsidRPr="006F296E">
        <w:rPr>
          <w:rStyle w:val="CharSectno"/>
        </w:rPr>
        <w:t>7.9.07R</w:t>
      </w:r>
      <w:r w:rsidRPr="00283424">
        <w:t xml:space="preserve">  Product dashboard—return target</w:t>
      </w:r>
      <w:bookmarkEnd w:id="1506"/>
      <w:bookmarkEnd w:id="1507"/>
    </w:p>
    <w:p w14:paraId="1B2419E9" w14:textId="77777777" w:rsidR="00E93F58" w:rsidRPr="00283424" w:rsidRDefault="00E93F58" w:rsidP="00B50726">
      <w:pPr>
        <w:pStyle w:val="subsection"/>
      </w:pPr>
      <w:r w:rsidRPr="00283424">
        <w:tab/>
        <w:t>(1)</w:t>
      </w:r>
      <w:r w:rsidRPr="00283424">
        <w:tab/>
        <w:t>The return target for a MySuper product other than a lifecycle MySuper product must be worked out in accordance with the MySuper product dashboard reporting standards.</w:t>
      </w:r>
    </w:p>
    <w:p w14:paraId="5302BD4F" w14:textId="77777777" w:rsidR="00E93F58" w:rsidRPr="00283424" w:rsidRDefault="00E93F58" w:rsidP="00B50726">
      <w:pPr>
        <w:pStyle w:val="subsection"/>
      </w:pPr>
      <w:r w:rsidRPr="00283424">
        <w:tab/>
        <w:t>(2)</w:t>
      </w:r>
      <w:r w:rsidRPr="00283424">
        <w:tab/>
        <w:t>The return target for a lifecycle MySuper product must be worked out in relation to each lifecycle stage of the product in accordance with the MySuper product dashboard reporting standards.</w:t>
      </w:r>
    </w:p>
    <w:p w14:paraId="2B256C59" w14:textId="77777777" w:rsidR="00E93F58" w:rsidRPr="00283424" w:rsidRDefault="00E93F58" w:rsidP="00B50726">
      <w:pPr>
        <w:pStyle w:val="subsection"/>
      </w:pPr>
      <w:r w:rsidRPr="00283424">
        <w:tab/>
        <w:t>(3)</w:t>
      </w:r>
      <w:r w:rsidRPr="00283424">
        <w:tab/>
        <w:t>The period in relation to which the return target must be worked out is the period of 10 years starting at the beginning of the current financial year.</w:t>
      </w:r>
    </w:p>
    <w:p w14:paraId="55BA5458" w14:textId="77777777" w:rsidR="00E93F58" w:rsidRPr="00283424" w:rsidRDefault="00E93F58" w:rsidP="00B50726">
      <w:pPr>
        <w:pStyle w:val="ActHead5"/>
      </w:pPr>
      <w:bookmarkStart w:id="1508" w:name="_Toc152054731"/>
      <w:bookmarkStart w:id="1509" w:name="_Toc158712547"/>
      <w:r w:rsidRPr="006F296E">
        <w:rPr>
          <w:rStyle w:val="CharSectno"/>
        </w:rPr>
        <w:t>7.9.07S</w:t>
      </w:r>
      <w:r w:rsidRPr="00283424">
        <w:t xml:space="preserve">  Product dashboard—return</w:t>
      </w:r>
      <w:bookmarkEnd w:id="1508"/>
      <w:bookmarkEnd w:id="1509"/>
    </w:p>
    <w:p w14:paraId="68428EC8" w14:textId="77777777" w:rsidR="00E93F58" w:rsidRPr="00283424" w:rsidRDefault="00E93F58" w:rsidP="00B50726">
      <w:pPr>
        <w:pStyle w:val="SubsectionHead"/>
      </w:pPr>
      <w:r w:rsidRPr="00283424">
        <w:t>MySuper product other than lifecycle MySuper product</w:t>
      </w:r>
    </w:p>
    <w:p w14:paraId="5C6C6E30" w14:textId="77777777" w:rsidR="00E93F58" w:rsidRPr="00283424" w:rsidRDefault="00E93F58" w:rsidP="00B50726">
      <w:pPr>
        <w:pStyle w:val="subsection"/>
      </w:pPr>
      <w:r w:rsidRPr="00283424">
        <w:tab/>
        <w:t>(1)</w:t>
      </w:r>
      <w:r w:rsidRPr="00283424">
        <w:tab/>
        <w:t>The return for a MySuper product other than a lifecycle MySuper product must be worked out in accordance with the MySuper product dashboard reporting standards.</w:t>
      </w:r>
    </w:p>
    <w:p w14:paraId="46CC17FB" w14:textId="77777777" w:rsidR="00E93F58" w:rsidRPr="00283424" w:rsidRDefault="00E93F58" w:rsidP="00B50726">
      <w:pPr>
        <w:pStyle w:val="subsection"/>
      </w:pPr>
      <w:r w:rsidRPr="00283424">
        <w:tab/>
        <w:t>(2)</w:t>
      </w:r>
      <w:r w:rsidRPr="00283424">
        <w:tab/>
        <w:t>The period in relation to which the return must be worked out is:</w:t>
      </w:r>
    </w:p>
    <w:p w14:paraId="1EC0CB48" w14:textId="77777777" w:rsidR="00E93F58" w:rsidRPr="00283424" w:rsidRDefault="00E93F58" w:rsidP="00B50726">
      <w:pPr>
        <w:pStyle w:val="paragraph"/>
      </w:pPr>
      <w:r w:rsidRPr="00283424">
        <w:tab/>
        <w:t>(a)</w:t>
      </w:r>
      <w:r w:rsidRPr="00283424">
        <w:tab/>
        <w:t>the last 10 whole financial years, if:</w:t>
      </w:r>
    </w:p>
    <w:p w14:paraId="65434D7D" w14:textId="77777777" w:rsidR="00E93F58" w:rsidRPr="00283424" w:rsidRDefault="00E93F58" w:rsidP="00B50726">
      <w:pPr>
        <w:pStyle w:val="paragraphsub"/>
      </w:pPr>
      <w:r w:rsidRPr="00283424">
        <w:tab/>
        <w:t>(i)</w:t>
      </w:r>
      <w:r w:rsidRPr="00283424">
        <w:tab/>
        <w:t>the MySuper product has been offered for at least 10 financial years; or</w:t>
      </w:r>
    </w:p>
    <w:p w14:paraId="6200A76C" w14:textId="77777777" w:rsidR="00E93F58" w:rsidRPr="00283424" w:rsidRDefault="00E93F58" w:rsidP="00B50726">
      <w:pPr>
        <w:pStyle w:val="paragraphsub"/>
      </w:pPr>
      <w:r w:rsidRPr="00283424">
        <w:tab/>
        <w:t>(ii)</w:t>
      </w:r>
      <w:r w:rsidRPr="00283424">
        <w:tab/>
        <w:t>the MySuper product and a predecessor product have been offered for a total of at least 10 financial years; or</w:t>
      </w:r>
    </w:p>
    <w:p w14:paraId="4E23D378" w14:textId="77777777" w:rsidR="00E93F58" w:rsidRPr="00283424" w:rsidRDefault="00E93F58" w:rsidP="00B50726">
      <w:pPr>
        <w:pStyle w:val="paragraph"/>
      </w:pPr>
      <w:r w:rsidRPr="00283424">
        <w:tab/>
        <w:t>(b)</w:t>
      </w:r>
      <w:r w:rsidRPr="00283424">
        <w:tab/>
        <w:t>the offering period.</w:t>
      </w:r>
    </w:p>
    <w:p w14:paraId="4F747863" w14:textId="77777777" w:rsidR="00E93F58" w:rsidRPr="00283424" w:rsidRDefault="00E93F58" w:rsidP="00B50726">
      <w:pPr>
        <w:pStyle w:val="SubsectionHead"/>
      </w:pPr>
      <w:r w:rsidRPr="00283424">
        <w:t>Lifecycle MySuper product</w:t>
      </w:r>
    </w:p>
    <w:p w14:paraId="423B46FB" w14:textId="77777777" w:rsidR="00E93F58" w:rsidRPr="00283424" w:rsidRDefault="00E93F58" w:rsidP="00B50726">
      <w:pPr>
        <w:pStyle w:val="subsection"/>
      </w:pPr>
      <w:r w:rsidRPr="00283424">
        <w:tab/>
        <w:t>(3)</w:t>
      </w:r>
      <w:r w:rsidRPr="00283424">
        <w:tab/>
        <w:t>The return for a lifecycle MySuper product must be worked out in relation to each lifecycle stage of the product in accordance with the MySuper product dashboard reporting standards.</w:t>
      </w:r>
    </w:p>
    <w:p w14:paraId="771EDCED" w14:textId="77777777" w:rsidR="00E93F58" w:rsidRPr="00283424" w:rsidRDefault="00E93F58" w:rsidP="00B50726">
      <w:pPr>
        <w:pStyle w:val="subsection"/>
      </w:pPr>
      <w:r w:rsidRPr="00283424">
        <w:tab/>
        <w:t>(4)</w:t>
      </w:r>
      <w:r w:rsidRPr="00283424">
        <w:tab/>
        <w:t>The period in relation to which the return in relation to a lifecycle stage of a lifecycle MySuper product must be worked out is:</w:t>
      </w:r>
    </w:p>
    <w:p w14:paraId="760E76D1" w14:textId="77777777" w:rsidR="00E93F58" w:rsidRPr="00283424" w:rsidRDefault="00E93F58" w:rsidP="00B50726">
      <w:pPr>
        <w:pStyle w:val="paragraph"/>
      </w:pPr>
      <w:r w:rsidRPr="00283424">
        <w:tab/>
        <w:t>(a)</w:t>
      </w:r>
      <w:r w:rsidRPr="00283424">
        <w:tab/>
        <w:t>the last 10 whole financial years, if:</w:t>
      </w:r>
    </w:p>
    <w:p w14:paraId="23F1208C" w14:textId="77777777" w:rsidR="00E93F58" w:rsidRPr="00283424" w:rsidRDefault="00E93F58" w:rsidP="00B50726">
      <w:pPr>
        <w:pStyle w:val="paragraphsub"/>
      </w:pPr>
      <w:r w:rsidRPr="00283424">
        <w:tab/>
        <w:t>(i)</w:t>
      </w:r>
      <w:r w:rsidRPr="00283424">
        <w:tab/>
        <w:t>the lifecycle stage of the MySuper product has been offered for at least 10 financial years; or</w:t>
      </w:r>
    </w:p>
    <w:p w14:paraId="747A4EA2" w14:textId="77777777" w:rsidR="00E93F58" w:rsidRPr="00283424" w:rsidRDefault="00E93F58" w:rsidP="00B50726">
      <w:pPr>
        <w:pStyle w:val="paragraphsub"/>
      </w:pPr>
      <w:r w:rsidRPr="00283424">
        <w:tab/>
        <w:t>(ii)</w:t>
      </w:r>
      <w:r w:rsidRPr="00283424">
        <w:tab/>
        <w:t>the lifecycle stage of the MySuper product and an equivalent stage of a predecessor product have been offered for a total of at least 10 financial years; or</w:t>
      </w:r>
    </w:p>
    <w:p w14:paraId="13278A66" w14:textId="77777777" w:rsidR="00E93F58" w:rsidRPr="00283424" w:rsidRDefault="00E93F58" w:rsidP="00B50726">
      <w:pPr>
        <w:pStyle w:val="paragraph"/>
      </w:pPr>
      <w:r w:rsidRPr="00283424">
        <w:tab/>
        <w:t>(b)</w:t>
      </w:r>
      <w:r w:rsidRPr="00283424">
        <w:tab/>
        <w:t>the offering period.</w:t>
      </w:r>
    </w:p>
    <w:p w14:paraId="6EF5341B" w14:textId="77777777" w:rsidR="00E93F58" w:rsidRPr="00283424" w:rsidRDefault="00E93F58" w:rsidP="00B50726">
      <w:pPr>
        <w:pStyle w:val="ActHead5"/>
      </w:pPr>
      <w:bookmarkStart w:id="1510" w:name="_Toc152054732"/>
      <w:bookmarkStart w:id="1511" w:name="_Toc158712548"/>
      <w:r w:rsidRPr="006F296E">
        <w:rPr>
          <w:rStyle w:val="CharSectno"/>
        </w:rPr>
        <w:lastRenderedPageBreak/>
        <w:t>7.9.07T</w:t>
      </w:r>
      <w:r w:rsidRPr="00283424">
        <w:t xml:space="preserve">  Product dashboard—comparison between return target and return</w:t>
      </w:r>
      <w:bookmarkEnd w:id="1510"/>
      <w:bookmarkEnd w:id="1511"/>
    </w:p>
    <w:p w14:paraId="4FDCF3D5" w14:textId="77777777" w:rsidR="00E93F58" w:rsidRPr="00283424" w:rsidRDefault="00E93F58" w:rsidP="00B50726">
      <w:pPr>
        <w:pStyle w:val="SubsectionHead"/>
      </w:pPr>
      <w:r w:rsidRPr="00283424">
        <w:t>MySuper product other than lifecycle MySuper product</w:t>
      </w:r>
    </w:p>
    <w:p w14:paraId="6A830E50" w14:textId="77777777" w:rsidR="00E93F58" w:rsidRPr="00283424" w:rsidRDefault="00E93F58" w:rsidP="00B50726">
      <w:pPr>
        <w:pStyle w:val="subsection"/>
      </w:pPr>
      <w:r w:rsidRPr="00283424">
        <w:tab/>
        <w:t>(1)</w:t>
      </w:r>
      <w:r w:rsidRPr="00283424">
        <w:tab/>
        <w:t>The comparison between the return target and the return for a MySuper product other than a lifecycle MySuper product must be worked out in accordance with the MySuper product dashboard reporting standards.</w:t>
      </w:r>
    </w:p>
    <w:p w14:paraId="40C90E65" w14:textId="77777777" w:rsidR="00E93F58" w:rsidRPr="00283424" w:rsidRDefault="00E93F58" w:rsidP="00B50726">
      <w:pPr>
        <w:pStyle w:val="subsection"/>
      </w:pPr>
      <w:r w:rsidRPr="00283424">
        <w:tab/>
        <w:t>(2)</w:t>
      </w:r>
      <w:r w:rsidRPr="00283424">
        <w:tab/>
        <w:t>The period in relation to which the comparison must be worked out is:</w:t>
      </w:r>
    </w:p>
    <w:p w14:paraId="7C3A11C7" w14:textId="77777777" w:rsidR="00E93F58" w:rsidRPr="00283424" w:rsidRDefault="00E93F58" w:rsidP="00B50726">
      <w:pPr>
        <w:pStyle w:val="paragraph"/>
      </w:pPr>
      <w:r w:rsidRPr="00283424">
        <w:tab/>
        <w:t>(a)</w:t>
      </w:r>
      <w:r w:rsidRPr="00283424">
        <w:tab/>
        <w:t>the last 10 whole financial years, if:</w:t>
      </w:r>
    </w:p>
    <w:p w14:paraId="5AC8FE5F" w14:textId="77777777" w:rsidR="00E93F58" w:rsidRPr="00283424" w:rsidRDefault="00E93F58" w:rsidP="00B50726">
      <w:pPr>
        <w:pStyle w:val="paragraphsub"/>
      </w:pPr>
      <w:r w:rsidRPr="00283424">
        <w:tab/>
        <w:t>(i)</w:t>
      </w:r>
      <w:r w:rsidRPr="00283424">
        <w:tab/>
        <w:t>the MySuper product has been offered for at least 10 financial years; or</w:t>
      </w:r>
    </w:p>
    <w:p w14:paraId="6BD35EBF" w14:textId="77777777" w:rsidR="00E93F58" w:rsidRPr="00283424" w:rsidRDefault="00E93F58" w:rsidP="00B50726">
      <w:pPr>
        <w:pStyle w:val="paragraphsub"/>
      </w:pPr>
      <w:r w:rsidRPr="00283424">
        <w:tab/>
        <w:t>(ii)</w:t>
      </w:r>
      <w:r w:rsidRPr="00283424">
        <w:tab/>
        <w:t>the MySuper product and a predecessor product, or a lifecycle stage have been offered for a total of at least 10 financial years; or</w:t>
      </w:r>
    </w:p>
    <w:p w14:paraId="26E6B63B" w14:textId="77777777" w:rsidR="00E93F58" w:rsidRPr="00283424" w:rsidRDefault="00E93F58" w:rsidP="00B50726">
      <w:pPr>
        <w:pStyle w:val="paragraph"/>
      </w:pPr>
      <w:r w:rsidRPr="00283424">
        <w:tab/>
        <w:t>(b)</w:t>
      </w:r>
      <w:r w:rsidRPr="00283424">
        <w:tab/>
        <w:t>the offering period.</w:t>
      </w:r>
    </w:p>
    <w:p w14:paraId="7BE9BE30" w14:textId="77777777" w:rsidR="00E93F58" w:rsidRPr="00283424" w:rsidRDefault="00E93F58" w:rsidP="00B50726">
      <w:pPr>
        <w:pStyle w:val="SubsectionHead"/>
      </w:pPr>
      <w:r w:rsidRPr="00283424">
        <w:t>Lifecycle MySuper product</w:t>
      </w:r>
    </w:p>
    <w:p w14:paraId="51321F96" w14:textId="77777777" w:rsidR="00E93F58" w:rsidRPr="00283424" w:rsidRDefault="00E93F58" w:rsidP="00B50726">
      <w:pPr>
        <w:pStyle w:val="subsection"/>
      </w:pPr>
      <w:r w:rsidRPr="00283424">
        <w:tab/>
        <w:t>(3)</w:t>
      </w:r>
      <w:r w:rsidRPr="00283424">
        <w:tab/>
        <w:t>The comparison between the return target and the return for a lifecycle MySuper product must be worked out in relation to each lifecycle stage of the product in accordance with the MySuper product dashboard reporting standards.</w:t>
      </w:r>
    </w:p>
    <w:p w14:paraId="0AF2A9EB" w14:textId="77777777" w:rsidR="00E93F58" w:rsidRPr="00283424" w:rsidRDefault="00E93F58" w:rsidP="00B50726">
      <w:pPr>
        <w:pStyle w:val="subsection"/>
      </w:pPr>
      <w:r w:rsidRPr="00283424">
        <w:tab/>
        <w:t>(4)</w:t>
      </w:r>
      <w:r w:rsidRPr="00283424">
        <w:tab/>
        <w:t>The period in relation to which the comparison in relation to a lifecycle stage of a MySuper product must be worked out is:</w:t>
      </w:r>
    </w:p>
    <w:p w14:paraId="1A6D497B" w14:textId="77777777" w:rsidR="00E93F58" w:rsidRPr="00283424" w:rsidRDefault="00E93F58" w:rsidP="00B50726">
      <w:pPr>
        <w:pStyle w:val="paragraph"/>
      </w:pPr>
      <w:r w:rsidRPr="00283424">
        <w:tab/>
        <w:t>(a)</w:t>
      </w:r>
      <w:r w:rsidRPr="00283424">
        <w:tab/>
        <w:t>the last 10 whole financial years, if:</w:t>
      </w:r>
    </w:p>
    <w:p w14:paraId="6DA8B47E" w14:textId="77777777" w:rsidR="00E93F58" w:rsidRPr="00283424" w:rsidRDefault="00E93F58" w:rsidP="00B50726">
      <w:pPr>
        <w:pStyle w:val="paragraphsub"/>
      </w:pPr>
      <w:r w:rsidRPr="00283424">
        <w:tab/>
        <w:t>(i)</w:t>
      </w:r>
      <w:r w:rsidRPr="00283424">
        <w:tab/>
        <w:t>the lifecycle stage of the MySuper product has been offered for at least 10 financial years; or</w:t>
      </w:r>
    </w:p>
    <w:p w14:paraId="7C214A8B" w14:textId="77777777" w:rsidR="00E93F58" w:rsidRPr="00283424" w:rsidRDefault="00E93F58" w:rsidP="00B50726">
      <w:pPr>
        <w:pStyle w:val="paragraphsub"/>
      </w:pPr>
      <w:r w:rsidRPr="00283424">
        <w:tab/>
        <w:t>(ii)</w:t>
      </w:r>
      <w:r w:rsidRPr="00283424">
        <w:tab/>
        <w:t>the lifecycle stage of the MySuper product and an equivalent stage of a predecessor product have been offered for a total of at least 10 financial years; or</w:t>
      </w:r>
    </w:p>
    <w:p w14:paraId="2435B19B" w14:textId="77777777" w:rsidR="00E93F58" w:rsidRPr="00283424" w:rsidRDefault="00E93F58" w:rsidP="00B50726">
      <w:pPr>
        <w:pStyle w:val="paragraph"/>
      </w:pPr>
      <w:r w:rsidRPr="00283424">
        <w:tab/>
        <w:t>(b)</w:t>
      </w:r>
      <w:r w:rsidRPr="00283424">
        <w:tab/>
        <w:t>the offering period.</w:t>
      </w:r>
    </w:p>
    <w:p w14:paraId="3AEB4B92" w14:textId="77777777" w:rsidR="00E93F58" w:rsidRPr="00283424" w:rsidRDefault="00E93F58" w:rsidP="00B50726">
      <w:pPr>
        <w:pStyle w:val="ActHead5"/>
      </w:pPr>
      <w:bookmarkStart w:id="1512" w:name="_Toc152054733"/>
      <w:bookmarkStart w:id="1513" w:name="_Toc158712549"/>
      <w:r w:rsidRPr="006F296E">
        <w:rPr>
          <w:rStyle w:val="CharSectno"/>
        </w:rPr>
        <w:t>7.9.07U</w:t>
      </w:r>
      <w:r w:rsidRPr="00283424">
        <w:t xml:space="preserve">  Comparison to be set out as a graph</w:t>
      </w:r>
      <w:bookmarkEnd w:id="1512"/>
      <w:bookmarkEnd w:id="1513"/>
    </w:p>
    <w:p w14:paraId="6FBEE5B8" w14:textId="77777777" w:rsidR="00E93F58" w:rsidRPr="00283424" w:rsidRDefault="00E93F58" w:rsidP="00B50726">
      <w:pPr>
        <w:pStyle w:val="subsection"/>
      </w:pPr>
      <w:r w:rsidRPr="00283424">
        <w:tab/>
        <w:t>(1)</w:t>
      </w:r>
      <w:r w:rsidRPr="00283424">
        <w:tab/>
        <w:t>A product dashboard must set out a comparison mentioned in regulation 7.9.07T as a graph.</w:t>
      </w:r>
    </w:p>
    <w:p w14:paraId="097FC134" w14:textId="77777777" w:rsidR="00E93F58" w:rsidRPr="00283424" w:rsidRDefault="00E93F58" w:rsidP="00B50726">
      <w:pPr>
        <w:pStyle w:val="subsection"/>
      </w:pPr>
      <w:r w:rsidRPr="00283424">
        <w:tab/>
        <w:t>(2)</w:t>
      </w:r>
      <w:r w:rsidRPr="00283424">
        <w:tab/>
        <w:t>The graph must contain:</w:t>
      </w:r>
    </w:p>
    <w:p w14:paraId="05239706" w14:textId="77777777" w:rsidR="00E93F58" w:rsidRPr="00283424" w:rsidRDefault="00E93F58" w:rsidP="00B50726">
      <w:pPr>
        <w:pStyle w:val="paragraph"/>
      </w:pPr>
      <w:r w:rsidRPr="00283424">
        <w:tab/>
        <w:t>(a)</w:t>
      </w:r>
      <w:r w:rsidRPr="00283424">
        <w:tab/>
        <w:t>a column representing the return for each year in the comparison period; and</w:t>
      </w:r>
    </w:p>
    <w:p w14:paraId="41657E52" w14:textId="77777777" w:rsidR="00E93F58" w:rsidRPr="00283424" w:rsidRDefault="00E93F58" w:rsidP="00B50726">
      <w:pPr>
        <w:pStyle w:val="paragraph"/>
      </w:pPr>
      <w:r w:rsidRPr="00283424">
        <w:tab/>
        <w:t>(b)</w:t>
      </w:r>
      <w:r w:rsidRPr="00283424">
        <w:tab/>
        <w:t>a line representing the moving average return target for the comparison period; and</w:t>
      </w:r>
    </w:p>
    <w:p w14:paraId="6DABF205" w14:textId="77777777" w:rsidR="00E93F58" w:rsidRPr="00283424" w:rsidRDefault="00E93F58" w:rsidP="00B50726">
      <w:pPr>
        <w:pStyle w:val="paragraph"/>
      </w:pPr>
      <w:r w:rsidRPr="00283424">
        <w:tab/>
        <w:t>(c)</w:t>
      </w:r>
      <w:r w:rsidRPr="00283424">
        <w:tab/>
        <w:t>a line representing the moving average return for the comparison period.</w:t>
      </w:r>
    </w:p>
    <w:p w14:paraId="787088AC" w14:textId="77777777" w:rsidR="00E93F58" w:rsidRPr="00283424" w:rsidRDefault="00E93F58" w:rsidP="00B50726">
      <w:pPr>
        <w:pStyle w:val="subsection"/>
      </w:pPr>
      <w:r w:rsidRPr="00283424">
        <w:tab/>
        <w:t>(3)</w:t>
      </w:r>
      <w:r w:rsidRPr="00283424">
        <w:tab/>
        <w:t>The column and the lines mentioned in subregulation (2) must be identified in accordance with the MySuper product dashboard reporting standards.</w:t>
      </w:r>
    </w:p>
    <w:p w14:paraId="10382D31" w14:textId="77777777" w:rsidR="00E93F58" w:rsidRPr="00283424" w:rsidRDefault="00E93F58" w:rsidP="00B50726">
      <w:pPr>
        <w:pStyle w:val="subsection"/>
      </w:pPr>
      <w:r w:rsidRPr="00283424">
        <w:tab/>
        <w:t>(4)</w:t>
      </w:r>
      <w:r w:rsidRPr="00283424">
        <w:tab/>
        <w:t>In this regulation:</w:t>
      </w:r>
    </w:p>
    <w:p w14:paraId="562A6A45" w14:textId="77777777" w:rsidR="00E93F58" w:rsidRPr="00283424" w:rsidRDefault="00E93F58" w:rsidP="00B50726">
      <w:pPr>
        <w:pStyle w:val="Definition"/>
      </w:pPr>
      <w:r w:rsidRPr="00283424">
        <w:rPr>
          <w:b/>
          <w:i/>
        </w:rPr>
        <w:t>comparison period</w:t>
      </w:r>
      <w:r w:rsidRPr="00283424">
        <w:t xml:space="preserve"> means the period mentioned in subregulation 7.9.07S(3) that is applicable in the circumstances.</w:t>
      </w:r>
    </w:p>
    <w:p w14:paraId="343BBF1F" w14:textId="77777777" w:rsidR="00E93F58" w:rsidRPr="00283424" w:rsidRDefault="00E93F58" w:rsidP="00B50726">
      <w:pPr>
        <w:pStyle w:val="Definition"/>
      </w:pPr>
      <w:r w:rsidRPr="00283424">
        <w:rPr>
          <w:b/>
          <w:i/>
        </w:rPr>
        <w:t>moving average return</w:t>
      </w:r>
      <w:r w:rsidRPr="00283424">
        <w:t xml:space="preserve"> has the meaning given by the MySuper product dashboard reporting standards.</w:t>
      </w:r>
    </w:p>
    <w:p w14:paraId="731FCADF" w14:textId="77777777" w:rsidR="00E93F58" w:rsidRPr="00283424" w:rsidRDefault="00E93F58" w:rsidP="00B50726">
      <w:pPr>
        <w:pStyle w:val="Definition"/>
      </w:pPr>
      <w:r w:rsidRPr="00283424">
        <w:rPr>
          <w:b/>
          <w:i/>
        </w:rPr>
        <w:t>moving average return target</w:t>
      </w:r>
      <w:r w:rsidRPr="00283424">
        <w:t xml:space="preserve"> has the meaning given by the MySuper product dashboard reporting standards.</w:t>
      </w:r>
    </w:p>
    <w:p w14:paraId="25B6B936" w14:textId="77777777" w:rsidR="00E93F58" w:rsidRPr="00283424" w:rsidRDefault="00E93F58" w:rsidP="00B50726">
      <w:pPr>
        <w:pStyle w:val="ActHead5"/>
      </w:pPr>
      <w:bookmarkStart w:id="1514" w:name="_Toc152054734"/>
      <w:bookmarkStart w:id="1515" w:name="_Toc158712550"/>
      <w:r w:rsidRPr="006F296E">
        <w:rPr>
          <w:rStyle w:val="CharSectno"/>
        </w:rPr>
        <w:t>7.9.07V</w:t>
      </w:r>
      <w:r w:rsidRPr="00283424">
        <w:t xml:space="preserve">  Product dashboard—level of investment risk</w:t>
      </w:r>
      <w:bookmarkEnd w:id="1514"/>
      <w:bookmarkEnd w:id="1515"/>
    </w:p>
    <w:p w14:paraId="6DEC0B2E" w14:textId="77777777" w:rsidR="00E93F58" w:rsidRPr="00283424" w:rsidRDefault="00E93F58" w:rsidP="00B50726">
      <w:pPr>
        <w:pStyle w:val="subsection"/>
      </w:pPr>
      <w:r w:rsidRPr="00283424">
        <w:tab/>
        <w:t>(1)</w:t>
      </w:r>
      <w:r w:rsidRPr="00283424">
        <w:tab/>
        <w:t>The level of investment risk for a MySuper product other than a lifecycle MySuper product must be worked out in accordance with the MySuper product dashboard reporting standards.</w:t>
      </w:r>
    </w:p>
    <w:p w14:paraId="1375D741" w14:textId="77777777" w:rsidR="00E93F58" w:rsidRPr="00283424" w:rsidRDefault="00E93F58" w:rsidP="00B50726">
      <w:pPr>
        <w:pStyle w:val="subsection"/>
      </w:pPr>
      <w:r w:rsidRPr="00283424">
        <w:tab/>
        <w:t>(2)</w:t>
      </w:r>
      <w:r w:rsidRPr="00283424">
        <w:tab/>
        <w:t>The level of investment risk for a lifecycle MySuper product must be worked out in relation to each lifecycle stage of the product in accordance with the MySuper product dashboard reporting standards.</w:t>
      </w:r>
    </w:p>
    <w:p w14:paraId="2ACF8FB0" w14:textId="77777777" w:rsidR="00E93F58" w:rsidRPr="00283424" w:rsidRDefault="00E93F58" w:rsidP="00B50726">
      <w:pPr>
        <w:pStyle w:val="subsection"/>
      </w:pPr>
      <w:r w:rsidRPr="00283424">
        <w:tab/>
        <w:t>(3)</w:t>
      </w:r>
      <w:r w:rsidRPr="00283424">
        <w:tab/>
        <w:t>The level of investment risk must be expressed using the relevant risk label set out in the MySuper product dashboard reporting standards.</w:t>
      </w:r>
    </w:p>
    <w:p w14:paraId="77C819D1" w14:textId="77777777" w:rsidR="00E93F58" w:rsidRPr="00283424" w:rsidRDefault="00E93F58" w:rsidP="00B50726">
      <w:pPr>
        <w:pStyle w:val="subsection"/>
      </w:pPr>
      <w:r w:rsidRPr="00283424">
        <w:tab/>
        <w:t>(4)</w:t>
      </w:r>
      <w:r w:rsidRPr="00283424">
        <w:tab/>
        <w:t>The period in relation to which the level of investment risk must be worked out is the current financial year.</w:t>
      </w:r>
    </w:p>
    <w:p w14:paraId="529360AF" w14:textId="77777777" w:rsidR="00E93F58" w:rsidRPr="00283424" w:rsidRDefault="00E93F58" w:rsidP="00B50726">
      <w:pPr>
        <w:pStyle w:val="ActHead5"/>
      </w:pPr>
      <w:bookmarkStart w:id="1516" w:name="_Toc152054735"/>
      <w:bookmarkStart w:id="1517" w:name="_Toc158712551"/>
      <w:r w:rsidRPr="006F296E">
        <w:rPr>
          <w:rStyle w:val="CharSectno"/>
        </w:rPr>
        <w:lastRenderedPageBreak/>
        <w:t>7.9.07W</w:t>
      </w:r>
      <w:r w:rsidRPr="00283424">
        <w:t xml:space="preserve">  Product dashboard—statement of fees and other costs</w:t>
      </w:r>
      <w:bookmarkEnd w:id="1516"/>
      <w:bookmarkEnd w:id="1517"/>
    </w:p>
    <w:p w14:paraId="7AF0F9DB" w14:textId="77777777" w:rsidR="00E93F58" w:rsidRPr="00283424" w:rsidRDefault="00E93F58" w:rsidP="00B50726">
      <w:pPr>
        <w:pStyle w:val="subsection"/>
      </w:pPr>
      <w:r w:rsidRPr="00283424">
        <w:tab/>
        <w:t>(1)</w:t>
      </w:r>
      <w:r w:rsidRPr="00283424">
        <w:tab/>
        <w:t>The statement of fees and other costs for a MySuper product other than a lifecycle MySuper product must be worked out in accordance with the MySuper product dashboard reporting standards.</w:t>
      </w:r>
    </w:p>
    <w:p w14:paraId="09AE3010" w14:textId="77777777" w:rsidR="00E93F58" w:rsidRPr="00283424" w:rsidRDefault="00E93F58" w:rsidP="00B50726">
      <w:pPr>
        <w:pStyle w:val="subsection"/>
      </w:pPr>
      <w:r w:rsidRPr="00283424">
        <w:tab/>
        <w:t>(2)</w:t>
      </w:r>
      <w:r w:rsidRPr="00283424">
        <w:tab/>
        <w:t>The statement of fees and other costs for a lifecycle MySuper product must be worked out in relation to each lifecycle stage of the product in accordance with the MySuper product dashboard reporting standards.</w:t>
      </w:r>
    </w:p>
    <w:p w14:paraId="7A767FB2" w14:textId="77777777" w:rsidR="00E93F58" w:rsidRPr="00283424" w:rsidRDefault="00E93F58" w:rsidP="00B50726">
      <w:pPr>
        <w:pStyle w:val="subsection"/>
      </w:pPr>
      <w:r w:rsidRPr="00283424">
        <w:tab/>
        <w:t>(3)</w:t>
      </w:r>
      <w:r w:rsidRPr="00283424">
        <w:tab/>
        <w:t>The period in relation to which the statement of fees and other costs must be worked out is the current financial year.</w:t>
      </w:r>
    </w:p>
    <w:p w14:paraId="2F0DBE1C" w14:textId="77777777" w:rsidR="00E93F58" w:rsidRPr="00283424" w:rsidRDefault="00E93F58" w:rsidP="00B50726">
      <w:pPr>
        <w:pStyle w:val="subsection"/>
      </w:pPr>
      <w:r w:rsidRPr="00283424">
        <w:tab/>
        <w:t>(4)</w:t>
      </w:r>
      <w:r w:rsidRPr="00283424">
        <w:tab/>
        <w:t>For paragraph 1017BA(1)(c) of the Act, the period is 14 days after a change to the fees or other costs.</w:t>
      </w:r>
    </w:p>
    <w:p w14:paraId="3D43081F" w14:textId="77777777" w:rsidR="00E93F58" w:rsidRPr="00283424" w:rsidRDefault="00E93F58" w:rsidP="00B50726">
      <w:pPr>
        <w:pStyle w:val="ActHead4"/>
      </w:pPr>
      <w:bookmarkStart w:id="1518" w:name="_Toc152054736"/>
      <w:bookmarkStart w:id="1519" w:name="_Toc158712552"/>
      <w:r w:rsidRPr="006F296E">
        <w:rPr>
          <w:rStyle w:val="CharSubdNo"/>
        </w:rPr>
        <w:t>Subdivision 2E.2</w:t>
      </w:r>
      <w:r w:rsidRPr="00283424">
        <w:t>—</w:t>
      </w:r>
      <w:r w:rsidRPr="006F296E">
        <w:rPr>
          <w:rStyle w:val="CharSubdText"/>
        </w:rPr>
        <w:t>Making portfolio holding information publicly available</w:t>
      </w:r>
      <w:bookmarkEnd w:id="1518"/>
      <w:bookmarkEnd w:id="1519"/>
    </w:p>
    <w:p w14:paraId="4F9B5FD5" w14:textId="77777777" w:rsidR="00E93F58" w:rsidRPr="00283424" w:rsidRDefault="00E93F58" w:rsidP="00B50726">
      <w:pPr>
        <w:pStyle w:val="ActHead5"/>
      </w:pPr>
      <w:bookmarkStart w:id="1520" w:name="_Toc152054737"/>
      <w:bookmarkStart w:id="1521" w:name="_Toc158712553"/>
      <w:r w:rsidRPr="006F296E">
        <w:rPr>
          <w:rStyle w:val="CharSectno"/>
        </w:rPr>
        <w:t>7.9.07Z</w:t>
      </w:r>
      <w:r w:rsidRPr="00283424">
        <w:t xml:space="preserve">  Kinds of disclosable item for aggregated reporting</w:t>
      </w:r>
      <w:bookmarkEnd w:id="1520"/>
      <w:bookmarkEnd w:id="1521"/>
    </w:p>
    <w:p w14:paraId="16B84EAA" w14:textId="77777777" w:rsidR="00E93F58" w:rsidRPr="00283424" w:rsidRDefault="00E93F58" w:rsidP="00B50726">
      <w:pPr>
        <w:pStyle w:val="subsection"/>
      </w:pPr>
      <w:r w:rsidRPr="00283424">
        <w:tab/>
        <w:t>(1)</w:t>
      </w:r>
      <w:r w:rsidRPr="00283424">
        <w:tab/>
        <w:t>For the purposes of subsection 1017BB(1A) of the Act, investment items of a kind described in an item of Table 1 in Schedule 8D to these Regulations are a prescribed kind of disclosable item if the table provides that individual asset names are not required to be disclosed for investments items that meet that description.</w:t>
      </w:r>
    </w:p>
    <w:p w14:paraId="37AE92E5" w14:textId="77777777" w:rsidR="00E93F58" w:rsidRPr="00283424" w:rsidRDefault="00E93F58" w:rsidP="00B50726">
      <w:pPr>
        <w:pStyle w:val="notetext"/>
      </w:pPr>
      <w:r w:rsidRPr="00283424">
        <w:t>Example:</w:t>
      </w:r>
      <w:r w:rsidRPr="00283424">
        <w:tab/>
        <w:t>Cash assets are required to be organised by the name of the institution and are a prescribed kind of disclosable item as the words “</w:t>
      </w:r>
      <w:r w:rsidRPr="00283424">
        <w:rPr>
          <w:i/>
        </w:rPr>
        <w:t>Individual asset names not required to be disclosed</w:t>
      </w:r>
      <w:r w:rsidRPr="00283424">
        <w:t>” appear immediately below “Name of institution” for cash.</w:t>
      </w:r>
    </w:p>
    <w:p w14:paraId="3F462B71" w14:textId="77777777" w:rsidR="00E93F58" w:rsidRPr="00283424" w:rsidRDefault="00E93F58" w:rsidP="00B50726">
      <w:pPr>
        <w:pStyle w:val="subsection"/>
      </w:pPr>
      <w:r w:rsidRPr="00283424">
        <w:tab/>
        <w:t>(2)</w:t>
      </w:r>
      <w:r w:rsidRPr="00283424">
        <w:tab/>
        <w:t>For the purposes of subsection 1017BB(1A) of the Act, investment items of a kind described in an item of Table 2, 3 or 4 in Schedule 8D are a prescribed kind of disclosable item.</w:t>
      </w:r>
    </w:p>
    <w:p w14:paraId="01FD5623" w14:textId="77777777" w:rsidR="00E93F58" w:rsidRPr="00283424" w:rsidRDefault="00E93F58" w:rsidP="00B50726">
      <w:pPr>
        <w:pStyle w:val="ActHead5"/>
      </w:pPr>
      <w:bookmarkStart w:id="1522" w:name="_Toc152054738"/>
      <w:bookmarkStart w:id="1523" w:name="_Toc158712554"/>
      <w:r w:rsidRPr="006F296E">
        <w:rPr>
          <w:rStyle w:val="CharSectno"/>
        </w:rPr>
        <w:t>7.9.07ZA</w:t>
      </w:r>
      <w:r w:rsidRPr="00283424">
        <w:t xml:space="preserve">  Way the information must be organised</w:t>
      </w:r>
      <w:bookmarkEnd w:id="1522"/>
      <w:bookmarkEnd w:id="1523"/>
    </w:p>
    <w:p w14:paraId="6EDE2626" w14:textId="77777777" w:rsidR="00E93F58" w:rsidRPr="00283424" w:rsidRDefault="00E93F58" w:rsidP="00B50726">
      <w:pPr>
        <w:pStyle w:val="SubsectionHead"/>
      </w:pPr>
      <w:r w:rsidRPr="00283424">
        <w:t>General rule</w:t>
      </w:r>
    </w:p>
    <w:p w14:paraId="5B6A6ACE" w14:textId="77777777" w:rsidR="00E93F58" w:rsidRPr="00283424" w:rsidRDefault="00E93F58" w:rsidP="00B50726">
      <w:pPr>
        <w:pStyle w:val="subsection"/>
      </w:pPr>
      <w:r w:rsidRPr="00283424">
        <w:tab/>
        <w:t>(1)</w:t>
      </w:r>
      <w:r w:rsidRPr="00283424">
        <w:tab/>
        <w:t>For the purposes of subsection 1017BB(3) of the Act, the trustee, or the trustees, of the registrable superannuation entity must organise the information about an investment option in a way that:</w:t>
      </w:r>
    </w:p>
    <w:p w14:paraId="1C903A14" w14:textId="77777777" w:rsidR="00E93F58" w:rsidRPr="00283424" w:rsidRDefault="00E93F58" w:rsidP="00B50726">
      <w:pPr>
        <w:pStyle w:val="paragraph"/>
      </w:pPr>
      <w:r w:rsidRPr="00283424">
        <w:tab/>
        <w:t>(a)</w:t>
      </w:r>
      <w:r w:rsidRPr="00283424">
        <w:tab/>
        <w:t>is consistent with the tables in Schedule 8D to these Regulations; and</w:t>
      </w:r>
    </w:p>
    <w:p w14:paraId="6410D18D" w14:textId="77777777" w:rsidR="00E93F58" w:rsidRPr="00283424" w:rsidRDefault="00E93F58" w:rsidP="00B50726">
      <w:pPr>
        <w:pStyle w:val="paragraph"/>
      </w:pPr>
      <w:r w:rsidRPr="00283424">
        <w:tab/>
        <w:t>(b)</w:t>
      </w:r>
      <w:r w:rsidRPr="00283424">
        <w:tab/>
        <w:t>is easily downloadable and readable; and</w:t>
      </w:r>
    </w:p>
    <w:p w14:paraId="74440894" w14:textId="77777777" w:rsidR="00E93F58" w:rsidRPr="00283424" w:rsidRDefault="00E93F58" w:rsidP="00B50726">
      <w:pPr>
        <w:pStyle w:val="paragraph"/>
      </w:pPr>
      <w:r w:rsidRPr="00283424">
        <w:tab/>
        <w:t>(c)</w:t>
      </w:r>
      <w:r w:rsidRPr="00283424">
        <w:tab/>
        <w:t>is in one or more formats, with at least one of those formats being a delimited file format.</w:t>
      </w:r>
    </w:p>
    <w:p w14:paraId="710A075B" w14:textId="77777777" w:rsidR="00E93F58" w:rsidRPr="00283424" w:rsidRDefault="00E93F58" w:rsidP="00B50726">
      <w:pPr>
        <w:pStyle w:val="SubsectionHead"/>
      </w:pPr>
      <w:r w:rsidRPr="00283424">
        <w:t>Different rows or columns in tables</w:t>
      </w:r>
    </w:p>
    <w:p w14:paraId="28C915FC" w14:textId="77777777" w:rsidR="00E93F58" w:rsidRPr="00283424" w:rsidRDefault="00E93F58" w:rsidP="00B50726">
      <w:pPr>
        <w:pStyle w:val="subsection"/>
      </w:pPr>
      <w:r w:rsidRPr="00283424">
        <w:tab/>
        <w:t>(2)</w:t>
      </w:r>
      <w:r w:rsidRPr="00283424">
        <w:tab/>
        <w:t>For the purposes of paragraph (1)(a), when organising the information about an investment option in a way that is consistent with the tables in Schedule 8D, the tables used for the investment option may have a different number of rows or columns from those in the tables in that Schedule.</w:t>
      </w:r>
    </w:p>
    <w:p w14:paraId="455D3BFD" w14:textId="77777777" w:rsidR="00E93F58" w:rsidRPr="00283424" w:rsidRDefault="00E93F58" w:rsidP="00B50726">
      <w:pPr>
        <w:pStyle w:val="SubsectionHead"/>
      </w:pPr>
      <w:r w:rsidRPr="00283424">
        <w:t>Using subsidiary tables</w:t>
      </w:r>
    </w:p>
    <w:p w14:paraId="24D331C7" w14:textId="77777777" w:rsidR="00E93F58" w:rsidRPr="00283424" w:rsidRDefault="00E93F58" w:rsidP="00B50726">
      <w:pPr>
        <w:pStyle w:val="subsection"/>
      </w:pPr>
      <w:r w:rsidRPr="00283424">
        <w:tab/>
        <w:t>(3)</w:t>
      </w:r>
      <w:r w:rsidRPr="00283424">
        <w:tab/>
        <w:t>Subregulation (1) does not prevent the information about the investment option from being expressed in a table that:</w:t>
      </w:r>
    </w:p>
    <w:p w14:paraId="5529631A" w14:textId="77777777" w:rsidR="00E93F58" w:rsidRPr="00283424" w:rsidRDefault="00E93F58" w:rsidP="00B50726">
      <w:pPr>
        <w:pStyle w:val="paragraph"/>
      </w:pPr>
      <w:r w:rsidRPr="00283424">
        <w:tab/>
        <w:t>(a)</w:t>
      </w:r>
      <w:r w:rsidRPr="00283424">
        <w:tab/>
        <w:t>deals only with the investment option; and</w:t>
      </w:r>
    </w:p>
    <w:p w14:paraId="2FCBC50C" w14:textId="77777777" w:rsidR="00E93F58" w:rsidRPr="00283424" w:rsidRDefault="00E93F58" w:rsidP="00B50726">
      <w:pPr>
        <w:pStyle w:val="paragraph"/>
      </w:pPr>
      <w:r w:rsidRPr="00283424">
        <w:tab/>
        <w:t>(b)</w:t>
      </w:r>
      <w:r w:rsidRPr="00283424">
        <w:tab/>
        <w:t>makes use of one or more subsidiary tables;</w:t>
      </w:r>
    </w:p>
    <w:p w14:paraId="375326B7" w14:textId="77777777" w:rsidR="00E93F58" w:rsidRPr="00283424" w:rsidRDefault="00E93F58" w:rsidP="00B50726">
      <w:pPr>
        <w:pStyle w:val="subsection2"/>
      </w:pPr>
      <w:r w:rsidRPr="00283424">
        <w:t>if all of the information referred to in Schedule 8D is readily accessible from that combination of tables.</w:t>
      </w:r>
    </w:p>
    <w:p w14:paraId="0C010DA8" w14:textId="77777777" w:rsidR="00E93F58" w:rsidRPr="00AA751B" w:rsidRDefault="00E93F58" w:rsidP="00C9171A">
      <w:pPr>
        <w:pStyle w:val="ActHead4"/>
      </w:pPr>
      <w:bookmarkStart w:id="1524" w:name="_Toc152054739"/>
      <w:bookmarkStart w:id="1525" w:name="_Toc158712555"/>
      <w:r w:rsidRPr="006F296E">
        <w:rPr>
          <w:rStyle w:val="CharSubdNo"/>
        </w:rPr>
        <w:t>Subdivision 2E.3</w:t>
      </w:r>
      <w:r w:rsidRPr="00AA751B">
        <w:t>—</w:t>
      </w:r>
      <w:r w:rsidRPr="006F296E">
        <w:rPr>
          <w:rStyle w:val="CharSubdText"/>
        </w:rPr>
        <w:t>Additional obligations to provide information</w:t>
      </w:r>
      <w:bookmarkEnd w:id="1524"/>
      <w:bookmarkEnd w:id="1525"/>
    </w:p>
    <w:p w14:paraId="1F758AF9" w14:textId="77777777" w:rsidR="00E93F58" w:rsidRPr="00AA751B" w:rsidRDefault="00E93F58" w:rsidP="00C9171A">
      <w:pPr>
        <w:pStyle w:val="ActHead5"/>
      </w:pPr>
      <w:bookmarkStart w:id="1526" w:name="_Hlk130559617"/>
      <w:bookmarkStart w:id="1527" w:name="_Toc152054740"/>
      <w:bookmarkStart w:id="1528" w:name="_Toc158712556"/>
      <w:r w:rsidRPr="006F296E">
        <w:rPr>
          <w:rStyle w:val="CharSectno"/>
        </w:rPr>
        <w:t>7.9.07ZB</w:t>
      </w:r>
      <w:bookmarkEnd w:id="1526"/>
      <w:r w:rsidRPr="00AA751B">
        <w:t xml:space="preserve">  Obligation to provide information to the holder of a superannuation product via website</w:t>
      </w:r>
      <w:bookmarkEnd w:id="1527"/>
      <w:bookmarkEnd w:id="1528"/>
    </w:p>
    <w:p w14:paraId="7B613AFC" w14:textId="77777777" w:rsidR="00E93F58" w:rsidRPr="00AA751B" w:rsidRDefault="00E93F58" w:rsidP="00C9171A">
      <w:pPr>
        <w:pStyle w:val="subsection"/>
      </w:pPr>
      <w:r w:rsidRPr="00AA751B">
        <w:tab/>
        <w:t>(1)</w:t>
      </w:r>
      <w:r w:rsidRPr="00AA751B">
        <w:tab/>
        <w:t>This regulation is made for the purposes of paragraph 1017DA(1)(a) of the Act.</w:t>
      </w:r>
    </w:p>
    <w:p w14:paraId="5C20CF27" w14:textId="77777777" w:rsidR="00E93F58" w:rsidRPr="00AA751B" w:rsidRDefault="00E93F58" w:rsidP="00C9171A">
      <w:pPr>
        <w:pStyle w:val="subsection"/>
      </w:pPr>
      <w:r w:rsidRPr="00AA751B">
        <w:tab/>
        <w:t>(2)</w:t>
      </w:r>
      <w:r w:rsidRPr="00AA751B">
        <w:tab/>
        <w:t xml:space="preserve">The trustee of a superannuation entity (other than an entity referred to in subparagraph (b)(i), (ii) or (iii) of the definition of </w:t>
      </w:r>
      <w:r w:rsidRPr="00AA751B">
        <w:rPr>
          <w:b/>
          <w:i/>
        </w:rPr>
        <w:t>registrable superannuation entity</w:t>
      </w:r>
      <w:r w:rsidRPr="00AA751B">
        <w:t xml:space="preserve"> in section 9 of the Act or a self managed superannuation fund) must provide the holder of a superannuation product (being an interest in that entity) with the information, relating to the entity and any relevant sub</w:t>
      </w:r>
      <w:r>
        <w:noBreakHyphen/>
      </w:r>
      <w:r w:rsidRPr="00AA751B">
        <w:t>plan (within the meaning of section 1017C of the Act), specified in an item in the table in subregulation (3).</w:t>
      </w:r>
    </w:p>
    <w:p w14:paraId="71B803E0" w14:textId="77777777" w:rsidR="00E93F58" w:rsidRPr="00AA751B" w:rsidRDefault="00E93F58" w:rsidP="00C9171A">
      <w:pPr>
        <w:pStyle w:val="subsection"/>
      </w:pPr>
      <w:r w:rsidRPr="00AA751B">
        <w:lastRenderedPageBreak/>
        <w:tab/>
        <w:t>(3)</w:t>
      </w:r>
      <w:r w:rsidRPr="00AA751B">
        <w:tab/>
        <w:t>Subject to subregulations (5) to (7), the information specified in an item in the following table must be provided by making it publicly available</w:t>
      </w:r>
      <w:r w:rsidRPr="00AA751B">
        <w:rPr>
          <w:i/>
        </w:rPr>
        <w:t xml:space="preserve"> </w:t>
      </w:r>
      <w:r w:rsidRPr="00AA751B">
        <w:t>on the entity’s website from:</w:t>
      </w:r>
    </w:p>
    <w:p w14:paraId="3B799A1E" w14:textId="77777777" w:rsidR="00E93F58" w:rsidRPr="00AA751B" w:rsidRDefault="00E93F58" w:rsidP="00C9171A">
      <w:pPr>
        <w:pStyle w:val="paragraph"/>
      </w:pPr>
      <w:r w:rsidRPr="00AA751B">
        <w:tab/>
        <w:t>(a)</w:t>
      </w:r>
      <w:r w:rsidRPr="00AA751B">
        <w:tab/>
        <w:t xml:space="preserve">if, immediately before the day Schedule 6 to the </w:t>
      </w:r>
      <w:r w:rsidRPr="00AA751B">
        <w:rPr>
          <w:i/>
        </w:rPr>
        <w:t>Treasury Laws Amendment (2022 Measures No. 4) Act 2023</w:t>
      </w:r>
      <w:r w:rsidRPr="00AA751B">
        <w:t xml:space="preserve"> commences, the information was required under paragraph 29QB(1)(b) of the SIS Act to be made publicly available—the time the </w:t>
      </w:r>
      <w:r w:rsidRPr="00AA751B">
        <w:rPr>
          <w:i/>
        </w:rPr>
        <w:t xml:space="preserve">Treasury Laws Amendment (Financial Reporting and Auditing of Registrable Superannuation Entities) </w:t>
      </w:r>
      <w:r>
        <w:rPr>
          <w:i/>
        </w:rPr>
        <w:t>Regulations 2</w:t>
      </w:r>
      <w:r w:rsidRPr="00AA751B">
        <w:rPr>
          <w:i/>
        </w:rPr>
        <w:t>023</w:t>
      </w:r>
      <w:r w:rsidRPr="00AA751B">
        <w:t xml:space="preserve"> commences; or</w:t>
      </w:r>
    </w:p>
    <w:p w14:paraId="431A408C" w14:textId="77777777" w:rsidR="00E93F58" w:rsidRPr="00AA751B" w:rsidRDefault="00E93F58" w:rsidP="00C9171A">
      <w:pPr>
        <w:pStyle w:val="paragraph"/>
      </w:pPr>
      <w:r w:rsidRPr="00AA751B">
        <w:tab/>
        <w:t>(b)</w:t>
      </w:r>
      <w:r w:rsidRPr="00AA751B">
        <w:tab/>
        <w:t>otherwise—the time specified in that item.</w:t>
      </w:r>
    </w:p>
    <w:p w14:paraId="612B17EB" w14:textId="77777777" w:rsidR="00E93F58" w:rsidRPr="00AA751B" w:rsidRDefault="00E93F58" w:rsidP="00C9171A">
      <w:pPr>
        <w:pStyle w:val="subsection2"/>
      </w:pPr>
      <w:r w:rsidRPr="00AA751B">
        <w:t>If that item specifies an end time, the trustee is not required to provide the information after that time.</w:t>
      </w:r>
    </w:p>
    <w:p w14:paraId="4D418323" w14:textId="77777777" w:rsidR="00E93F58" w:rsidRPr="00AA751B" w:rsidRDefault="00E93F58" w:rsidP="00C9171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534"/>
        <w:gridCol w:w="4064"/>
      </w:tblGrid>
      <w:tr w:rsidR="00E93F58" w:rsidRPr="00AA751B" w14:paraId="658AF3D0" w14:textId="77777777" w:rsidTr="00C9171A">
        <w:trPr>
          <w:tblHeader/>
        </w:trPr>
        <w:tc>
          <w:tcPr>
            <w:tcW w:w="8312" w:type="dxa"/>
            <w:gridSpan w:val="3"/>
            <w:tcBorders>
              <w:top w:val="single" w:sz="12" w:space="0" w:color="auto"/>
              <w:bottom w:val="single" w:sz="6" w:space="0" w:color="auto"/>
            </w:tcBorders>
            <w:shd w:val="clear" w:color="auto" w:fill="auto"/>
          </w:tcPr>
          <w:p w14:paraId="6550BDB7" w14:textId="77777777" w:rsidR="00E93F58" w:rsidRPr="00AA751B" w:rsidRDefault="00E93F58" w:rsidP="00C9171A">
            <w:pPr>
              <w:pStyle w:val="TableHeading"/>
            </w:pPr>
            <w:r w:rsidRPr="00AA751B">
              <w:t>Information to be provided</w:t>
            </w:r>
          </w:p>
        </w:tc>
      </w:tr>
      <w:tr w:rsidR="00E93F58" w:rsidRPr="00AA751B" w14:paraId="3DFE28C9" w14:textId="77777777" w:rsidTr="00C9171A">
        <w:trPr>
          <w:tblHeader/>
        </w:trPr>
        <w:tc>
          <w:tcPr>
            <w:tcW w:w="714" w:type="dxa"/>
            <w:tcBorders>
              <w:top w:val="single" w:sz="6" w:space="0" w:color="auto"/>
              <w:bottom w:val="single" w:sz="12" w:space="0" w:color="auto"/>
            </w:tcBorders>
            <w:shd w:val="clear" w:color="auto" w:fill="auto"/>
          </w:tcPr>
          <w:p w14:paraId="1EB866B4" w14:textId="77777777" w:rsidR="00E93F58" w:rsidRPr="00AA751B" w:rsidRDefault="00E93F58" w:rsidP="00C9171A">
            <w:pPr>
              <w:pStyle w:val="TableHeading"/>
            </w:pPr>
            <w:r w:rsidRPr="00AA751B">
              <w:t>Item</w:t>
            </w:r>
          </w:p>
        </w:tc>
        <w:tc>
          <w:tcPr>
            <w:tcW w:w="3534" w:type="dxa"/>
            <w:tcBorders>
              <w:top w:val="single" w:sz="6" w:space="0" w:color="auto"/>
              <w:bottom w:val="single" w:sz="12" w:space="0" w:color="auto"/>
            </w:tcBorders>
            <w:shd w:val="clear" w:color="auto" w:fill="auto"/>
          </w:tcPr>
          <w:p w14:paraId="2348CFB3" w14:textId="77777777" w:rsidR="00E93F58" w:rsidRPr="00AA751B" w:rsidRDefault="00E93F58" w:rsidP="00C9171A">
            <w:pPr>
              <w:pStyle w:val="TableHeading"/>
            </w:pPr>
            <w:r w:rsidRPr="00AA751B">
              <w:t>Information</w:t>
            </w:r>
          </w:p>
        </w:tc>
        <w:tc>
          <w:tcPr>
            <w:tcW w:w="4064" w:type="dxa"/>
            <w:tcBorders>
              <w:top w:val="single" w:sz="6" w:space="0" w:color="auto"/>
              <w:bottom w:val="single" w:sz="12" w:space="0" w:color="auto"/>
            </w:tcBorders>
            <w:shd w:val="clear" w:color="auto" w:fill="auto"/>
          </w:tcPr>
          <w:p w14:paraId="3B54C45E" w14:textId="77777777" w:rsidR="00E93F58" w:rsidRPr="00AA751B" w:rsidRDefault="00E93F58" w:rsidP="00C9171A">
            <w:pPr>
              <w:pStyle w:val="TableHeading"/>
            </w:pPr>
            <w:r w:rsidRPr="00AA751B">
              <w:t>Time from which information must be made publicly available</w:t>
            </w:r>
          </w:p>
        </w:tc>
      </w:tr>
      <w:tr w:rsidR="00E93F58" w:rsidRPr="00AA751B" w14:paraId="19B7A1CE" w14:textId="77777777" w:rsidTr="00C9171A">
        <w:tc>
          <w:tcPr>
            <w:tcW w:w="714" w:type="dxa"/>
            <w:tcBorders>
              <w:top w:val="single" w:sz="12" w:space="0" w:color="auto"/>
            </w:tcBorders>
            <w:shd w:val="clear" w:color="auto" w:fill="auto"/>
          </w:tcPr>
          <w:p w14:paraId="5A6F6A4E" w14:textId="77777777" w:rsidR="00E93F58" w:rsidRPr="00AA751B" w:rsidRDefault="00E93F58" w:rsidP="00C9171A">
            <w:pPr>
              <w:pStyle w:val="Tabletext"/>
            </w:pPr>
            <w:r w:rsidRPr="00AA751B">
              <w:t>1</w:t>
            </w:r>
          </w:p>
        </w:tc>
        <w:tc>
          <w:tcPr>
            <w:tcW w:w="3534" w:type="dxa"/>
            <w:tcBorders>
              <w:top w:val="single" w:sz="12" w:space="0" w:color="auto"/>
            </w:tcBorders>
            <w:shd w:val="clear" w:color="auto" w:fill="auto"/>
          </w:tcPr>
          <w:p w14:paraId="7F4E1084" w14:textId="77777777" w:rsidR="00E93F58" w:rsidRPr="00AA751B" w:rsidRDefault="00E93F58" w:rsidP="00C9171A">
            <w:pPr>
              <w:pStyle w:val="Tabletext"/>
            </w:pPr>
            <w:r w:rsidRPr="00AA751B">
              <w:t>The current trust deed and any material not incorporated in the current version of the trust deed</w:t>
            </w:r>
          </w:p>
        </w:tc>
        <w:tc>
          <w:tcPr>
            <w:tcW w:w="4064" w:type="dxa"/>
            <w:tcBorders>
              <w:top w:val="single" w:sz="12" w:space="0" w:color="auto"/>
            </w:tcBorders>
            <w:shd w:val="clear" w:color="auto" w:fill="auto"/>
          </w:tcPr>
          <w:p w14:paraId="70DCA484" w14:textId="77777777" w:rsidR="00E93F58" w:rsidRPr="00AA751B" w:rsidRDefault="00E93F58" w:rsidP="00C9171A">
            <w:pPr>
              <w:pStyle w:val="Tabletext"/>
            </w:pPr>
            <w:r w:rsidRPr="00AA751B">
              <w:t>Either:</w:t>
            </w:r>
          </w:p>
          <w:p w14:paraId="5BA052DD" w14:textId="77777777" w:rsidR="00E93F58" w:rsidRPr="00AA751B" w:rsidRDefault="00E93F58" w:rsidP="00C9171A">
            <w:pPr>
              <w:pStyle w:val="Tablea"/>
            </w:pPr>
            <w:r w:rsidRPr="00AA751B">
              <w:t>(a) no later than 20 business days after the deed or material begins to apply; or</w:t>
            </w:r>
          </w:p>
          <w:p w14:paraId="3097CC51" w14:textId="77777777" w:rsidR="00E93F58" w:rsidRPr="00AA751B" w:rsidRDefault="00E93F58" w:rsidP="00C9171A">
            <w:pPr>
              <w:pStyle w:val="Tablea"/>
            </w:pPr>
            <w:r w:rsidRPr="00AA751B">
              <w:t>(b) if the deed or material is amended or replaced—the later of:</w:t>
            </w:r>
          </w:p>
          <w:p w14:paraId="4A8605B5" w14:textId="77777777" w:rsidR="00E93F58" w:rsidRPr="00AA751B" w:rsidRDefault="00E93F58" w:rsidP="00C9171A">
            <w:pPr>
              <w:pStyle w:val="Tablei"/>
            </w:pPr>
            <w:r w:rsidRPr="00AA751B">
              <w:t>(i) the date of the amendment or replacement; and</w:t>
            </w:r>
          </w:p>
          <w:p w14:paraId="1295D922" w14:textId="77777777" w:rsidR="00E93F58" w:rsidRPr="00AA751B" w:rsidRDefault="00E93F58" w:rsidP="00C9171A">
            <w:pPr>
              <w:pStyle w:val="Tablei"/>
            </w:pPr>
            <w:r w:rsidRPr="00AA751B">
              <w:t>(ii) the effective date of the amendment or replacement</w:t>
            </w:r>
          </w:p>
        </w:tc>
      </w:tr>
      <w:tr w:rsidR="00E93F58" w:rsidRPr="00AA751B" w14:paraId="5CA5751F" w14:textId="77777777" w:rsidTr="00C9171A">
        <w:tc>
          <w:tcPr>
            <w:tcW w:w="714" w:type="dxa"/>
            <w:shd w:val="clear" w:color="auto" w:fill="auto"/>
          </w:tcPr>
          <w:p w14:paraId="34C71502" w14:textId="77777777" w:rsidR="00E93F58" w:rsidRPr="00AA751B" w:rsidRDefault="00E93F58" w:rsidP="00C9171A">
            <w:pPr>
              <w:pStyle w:val="Tabletext"/>
            </w:pPr>
            <w:r w:rsidRPr="00AA751B">
              <w:t>2</w:t>
            </w:r>
          </w:p>
        </w:tc>
        <w:tc>
          <w:tcPr>
            <w:tcW w:w="3534" w:type="dxa"/>
            <w:shd w:val="clear" w:color="auto" w:fill="auto"/>
          </w:tcPr>
          <w:p w14:paraId="547DB7E8" w14:textId="77777777" w:rsidR="00E93F58" w:rsidRPr="00AA751B" w:rsidRDefault="00E93F58" w:rsidP="00C9171A">
            <w:pPr>
              <w:pStyle w:val="Tabletext"/>
            </w:pPr>
            <w:r w:rsidRPr="00AA751B">
              <w:t>The governing rules</w:t>
            </w:r>
          </w:p>
        </w:tc>
        <w:tc>
          <w:tcPr>
            <w:tcW w:w="4064" w:type="dxa"/>
            <w:shd w:val="clear" w:color="auto" w:fill="auto"/>
          </w:tcPr>
          <w:p w14:paraId="76051260" w14:textId="77777777" w:rsidR="00E93F58" w:rsidRPr="00AA751B" w:rsidRDefault="00E93F58" w:rsidP="00C9171A">
            <w:pPr>
              <w:pStyle w:val="Tabletext"/>
            </w:pPr>
            <w:r w:rsidRPr="00AA751B">
              <w:t>Either:</w:t>
            </w:r>
          </w:p>
          <w:p w14:paraId="3B9ED793" w14:textId="77777777" w:rsidR="00E93F58" w:rsidRPr="00AA751B" w:rsidRDefault="00E93F58" w:rsidP="00C9171A">
            <w:pPr>
              <w:pStyle w:val="Tablea"/>
            </w:pPr>
            <w:r w:rsidRPr="00AA751B">
              <w:t>(a) no later than 20 business days after the governing rules begin to apply; or</w:t>
            </w:r>
          </w:p>
          <w:p w14:paraId="57C0EF0E" w14:textId="77777777" w:rsidR="00E93F58" w:rsidRPr="00AA751B" w:rsidRDefault="00E93F58" w:rsidP="00C9171A">
            <w:pPr>
              <w:pStyle w:val="Tablea"/>
            </w:pPr>
            <w:r w:rsidRPr="00AA751B">
              <w:t>(b) if the governing rules are amended or replaced—the later of:</w:t>
            </w:r>
          </w:p>
          <w:p w14:paraId="1F9FBEF5" w14:textId="77777777" w:rsidR="00E93F58" w:rsidRPr="00AA751B" w:rsidRDefault="00E93F58" w:rsidP="00C9171A">
            <w:pPr>
              <w:pStyle w:val="Tablei"/>
            </w:pPr>
            <w:r w:rsidRPr="00AA751B">
              <w:t>(i) the date of the amendment or replacement; and</w:t>
            </w:r>
          </w:p>
          <w:p w14:paraId="4E6D92CC" w14:textId="77777777" w:rsidR="00E93F58" w:rsidRPr="00AA751B" w:rsidRDefault="00E93F58" w:rsidP="00C9171A">
            <w:pPr>
              <w:pStyle w:val="Tablei"/>
            </w:pPr>
            <w:r w:rsidRPr="00AA751B">
              <w:t>(ii) the effective date of the amendment or replacement</w:t>
            </w:r>
          </w:p>
        </w:tc>
      </w:tr>
      <w:tr w:rsidR="00E93F58" w:rsidRPr="00AA751B" w14:paraId="301C1A79" w14:textId="77777777" w:rsidTr="00C9171A">
        <w:tc>
          <w:tcPr>
            <w:tcW w:w="714" w:type="dxa"/>
            <w:shd w:val="clear" w:color="auto" w:fill="auto"/>
          </w:tcPr>
          <w:p w14:paraId="528B1E5F" w14:textId="77777777" w:rsidR="00E93F58" w:rsidRPr="00AA751B" w:rsidRDefault="00E93F58" w:rsidP="00C9171A">
            <w:pPr>
              <w:pStyle w:val="Tabletext"/>
            </w:pPr>
            <w:r w:rsidRPr="00AA751B">
              <w:t>3</w:t>
            </w:r>
          </w:p>
        </w:tc>
        <w:tc>
          <w:tcPr>
            <w:tcW w:w="3534" w:type="dxa"/>
            <w:shd w:val="clear" w:color="auto" w:fill="auto"/>
          </w:tcPr>
          <w:p w14:paraId="3E1902DF" w14:textId="77777777" w:rsidR="00E93F58" w:rsidRPr="00AA751B" w:rsidRDefault="00E93F58" w:rsidP="00C9171A">
            <w:pPr>
              <w:pStyle w:val="Tabletext"/>
            </w:pPr>
            <w:r w:rsidRPr="00AA751B">
              <w:t>The rules relating to the nomination, appointment and removal of the trustee or a director of the trustee</w:t>
            </w:r>
          </w:p>
        </w:tc>
        <w:tc>
          <w:tcPr>
            <w:tcW w:w="4064" w:type="dxa"/>
            <w:shd w:val="clear" w:color="auto" w:fill="auto"/>
          </w:tcPr>
          <w:p w14:paraId="608FEF1D" w14:textId="77777777" w:rsidR="00E93F58" w:rsidRPr="00AA751B" w:rsidRDefault="00E93F58" w:rsidP="00C9171A">
            <w:pPr>
              <w:pStyle w:val="Tabletext"/>
            </w:pPr>
            <w:r w:rsidRPr="00AA751B">
              <w:t>Either:</w:t>
            </w:r>
          </w:p>
          <w:p w14:paraId="0CD51E07" w14:textId="77777777" w:rsidR="00E93F58" w:rsidRPr="00AA751B" w:rsidRDefault="00E93F58" w:rsidP="00C9171A">
            <w:pPr>
              <w:pStyle w:val="Tablea"/>
            </w:pPr>
            <w:r w:rsidRPr="00AA751B">
              <w:t>(a) no later than 20 business days after the rules begin to apply; or</w:t>
            </w:r>
          </w:p>
          <w:p w14:paraId="66EDBAFF" w14:textId="77777777" w:rsidR="00E93F58" w:rsidRPr="00AA751B" w:rsidRDefault="00E93F58" w:rsidP="00C9171A">
            <w:pPr>
              <w:pStyle w:val="Tablea"/>
            </w:pPr>
            <w:r w:rsidRPr="00AA751B">
              <w:t>(b) if the rules are amended or replaced—the later of:</w:t>
            </w:r>
          </w:p>
          <w:p w14:paraId="492BBB47" w14:textId="77777777" w:rsidR="00E93F58" w:rsidRPr="00AA751B" w:rsidRDefault="00E93F58" w:rsidP="00C9171A">
            <w:pPr>
              <w:pStyle w:val="Tablei"/>
            </w:pPr>
            <w:r w:rsidRPr="00AA751B">
              <w:t>(i) the date of the amendment or replacement; and</w:t>
            </w:r>
          </w:p>
          <w:p w14:paraId="2DBC6930" w14:textId="77777777" w:rsidR="00E93F58" w:rsidRPr="00AA751B" w:rsidRDefault="00E93F58" w:rsidP="00C9171A">
            <w:pPr>
              <w:pStyle w:val="Tablei"/>
            </w:pPr>
            <w:r w:rsidRPr="00AA751B">
              <w:t>(ii) the effective date of the amendment or replacement</w:t>
            </w:r>
          </w:p>
        </w:tc>
      </w:tr>
      <w:tr w:rsidR="00E93F58" w:rsidRPr="00AA751B" w14:paraId="0A4F795D" w14:textId="77777777" w:rsidTr="00C9171A">
        <w:tc>
          <w:tcPr>
            <w:tcW w:w="714" w:type="dxa"/>
            <w:shd w:val="clear" w:color="auto" w:fill="auto"/>
          </w:tcPr>
          <w:p w14:paraId="41306B19" w14:textId="77777777" w:rsidR="00E93F58" w:rsidRPr="00AA751B" w:rsidRDefault="00E93F58" w:rsidP="00C9171A">
            <w:pPr>
              <w:pStyle w:val="Tabletext"/>
            </w:pPr>
            <w:r w:rsidRPr="00AA751B">
              <w:t>4</w:t>
            </w:r>
          </w:p>
        </w:tc>
        <w:tc>
          <w:tcPr>
            <w:tcW w:w="3534" w:type="dxa"/>
            <w:shd w:val="clear" w:color="auto" w:fill="auto"/>
          </w:tcPr>
          <w:p w14:paraId="7989816F" w14:textId="77777777" w:rsidR="00E93F58" w:rsidRPr="00AA751B" w:rsidRDefault="00E93F58" w:rsidP="00C9171A">
            <w:pPr>
              <w:pStyle w:val="Tabletext"/>
            </w:pPr>
            <w:r w:rsidRPr="00AA751B">
              <w:t>The most recent actuarial report, provided in relation to the entity under a provision of the RSE licensee law, for each defined benefit fund or each defined benefit sub</w:t>
            </w:r>
            <w:r>
              <w:noBreakHyphen/>
            </w:r>
            <w:r w:rsidRPr="00AA751B">
              <w:t>fund in each defined benefit fund</w:t>
            </w:r>
          </w:p>
        </w:tc>
        <w:tc>
          <w:tcPr>
            <w:tcW w:w="4064" w:type="dxa"/>
            <w:shd w:val="clear" w:color="auto" w:fill="auto"/>
          </w:tcPr>
          <w:p w14:paraId="2B3779FC" w14:textId="77777777" w:rsidR="00E93F58" w:rsidRPr="00AA751B" w:rsidRDefault="00E93F58" w:rsidP="00C9171A">
            <w:pPr>
              <w:pStyle w:val="Tabletext"/>
            </w:pPr>
            <w:r w:rsidRPr="00AA751B">
              <w:t>For each report, no later than 20 business days after the trustee receives the report</w:t>
            </w:r>
          </w:p>
        </w:tc>
      </w:tr>
      <w:tr w:rsidR="00E93F58" w:rsidRPr="00AA751B" w14:paraId="2F37A96E" w14:textId="77777777" w:rsidTr="00C9171A">
        <w:tc>
          <w:tcPr>
            <w:tcW w:w="714" w:type="dxa"/>
            <w:shd w:val="clear" w:color="auto" w:fill="auto"/>
          </w:tcPr>
          <w:p w14:paraId="25EF9CD5" w14:textId="77777777" w:rsidR="00E93F58" w:rsidRPr="00AA751B" w:rsidRDefault="00E93F58" w:rsidP="00C9171A">
            <w:pPr>
              <w:pStyle w:val="Tabletext"/>
            </w:pPr>
            <w:r w:rsidRPr="00AA751B">
              <w:t>5</w:t>
            </w:r>
          </w:p>
        </w:tc>
        <w:tc>
          <w:tcPr>
            <w:tcW w:w="3534" w:type="dxa"/>
            <w:shd w:val="clear" w:color="auto" w:fill="auto"/>
          </w:tcPr>
          <w:p w14:paraId="74606C1F" w14:textId="77777777" w:rsidR="00E93F58" w:rsidRPr="00AA751B" w:rsidRDefault="00E93F58" w:rsidP="00C9171A">
            <w:pPr>
              <w:pStyle w:val="Tabletext"/>
            </w:pPr>
            <w:r w:rsidRPr="00AA751B">
              <w:t>The most recent Product Disclosure Statement, Supplementary Product Disclosure Statement or Replacement Product Disclosure Statement, for the product</w:t>
            </w:r>
          </w:p>
        </w:tc>
        <w:tc>
          <w:tcPr>
            <w:tcW w:w="4064" w:type="dxa"/>
            <w:shd w:val="clear" w:color="auto" w:fill="auto"/>
          </w:tcPr>
          <w:p w14:paraId="3220CBD0" w14:textId="77777777" w:rsidR="00E93F58" w:rsidRPr="00AA751B" w:rsidRDefault="00E93F58" w:rsidP="00C9171A">
            <w:pPr>
              <w:pStyle w:val="Tabletext"/>
            </w:pPr>
            <w:r w:rsidRPr="00AA751B">
              <w:t>No later than 20 business days after the statement is first given to a person in respect of a recommendation, issue or sale of the product</w:t>
            </w:r>
          </w:p>
        </w:tc>
      </w:tr>
      <w:tr w:rsidR="00E93F58" w:rsidRPr="00AA751B" w14:paraId="1393E68A" w14:textId="77777777" w:rsidTr="00C9171A">
        <w:tc>
          <w:tcPr>
            <w:tcW w:w="714" w:type="dxa"/>
            <w:shd w:val="clear" w:color="auto" w:fill="auto"/>
          </w:tcPr>
          <w:p w14:paraId="056BA3A7" w14:textId="77777777" w:rsidR="00E93F58" w:rsidRPr="00AA751B" w:rsidRDefault="00E93F58" w:rsidP="00C9171A">
            <w:pPr>
              <w:pStyle w:val="Tabletext"/>
            </w:pPr>
            <w:r w:rsidRPr="00AA751B">
              <w:t>6</w:t>
            </w:r>
          </w:p>
        </w:tc>
        <w:tc>
          <w:tcPr>
            <w:tcW w:w="3534" w:type="dxa"/>
            <w:shd w:val="clear" w:color="auto" w:fill="auto"/>
          </w:tcPr>
          <w:p w14:paraId="0D71E41C" w14:textId="77777777" w:rsidR="00E93F58" w:rsidRPr="00AA751B" w:rsidRDefault="00E93F58" w:rsidP="00C9171A">
            <w:pPr>
              <w:pStyle w:val="Tabletext"/>
            </w:pPr>
            <w:r w:rsidRPr="00AA751B">
              <w:t>If on 31 August in the current financial year both of the following circumstances exist:</w:t>
            </w:r>
          </w:p>
          <w:p w14:paraId="6548C09D" w14:textId="77777777" w:rsidR="00E93F58" w:rsidRPr="00AA751B" w:rsidRDefault="00E93F58" w:rsidP="00C9171A">
            <w:pPr>
              <w:pStyle w:val="Tablea"/>
            </w:pPr>
            <w:r w:rsidRPr="00AA751B">
              <w:t xml:space="preserve">(a) APRA has given the trustee a notification of a determination under subsection 60C(2) of the SIS Act that the requirement in subsection 60D(1) of that Act has not been met for a Part 6A product (within the meaning of that Act) offered by the entity, in </w:t>
            </w:r>
            <w:r w:rsidRPr="00AA751B">
              <w:lastRenderedPageBreak/>
              <w:t>relation to the most recently completed financial year;</w:t>
            </w:r>
          </w:p>
          <w:p w14:paraId="33123AF3" w14:textId="77777777" w:rsidR="00E93F58" w:rsidRPr="00AA751B" w:rsidRDefault="00E93F58" w:rsidP="00C9171A">
            <w:pPr>
              <w:pStyle w:val="Tablea"/>
            </w:pPr>
            <w:r w:rsidRPr="00AA751B">
              <w:t>(b) APRA had not given the trustee a notification of another determination under subsection 60C(2) of the SIS Act that the requirement in subsection 60D(1) of that Act had not been met for the Part 6A product, in relation to the financial year 2 years before the current financial year;</w:t>
            </w:r>
          </w:p>
          <w:p w14:paraId="5D6C560A" w14:textId="77777777" w:rsidR="00E93F58" w:rsidRPr="00AA751B" w:rsidRDefault="00E93F58" w:rsidP="00C9171A">
            <w:pPr>
              <w:pStyle w:val="Tabletext"/>
            </w:pPr>
            <w:r w:rsidRPr="00AA751B">
              <w:t>a description of those circumstances</w:t>
            </w:r>
          </w:p>
        </w:tc>
        <w:tc>
          <w:tcPr>
            <w:tcW w:w="4064" w:type="dxa"/>
            <w:shd w:val="clear" w:color="auto" w:fill="auto"/>
          </w:tcPr>
          <w:p w14:paraId="202DAEB4" w14:textId="77777777" w:rsidR="00E93F58" w:rsidRPr="00AA751B" w:rsidRDefault="00E93F58" w:rsidP="00C9171A">
            <w:pPr>
              <w:pStyle w:val="Tabletext"/>
            </w:pPr>
            <w:r w:rsidRPr="00AA751B">
              <w:lastRenderedPageBreak/>
              <w:t>From 1 business day after 31 August in the current financial year until 1 business day after 31 August in the following financial year</w:t>
            </w:r>
          </w:p>
        </w:tc>
      </w:tr>
      <w:tr w:rsidR="00E93F58" w:rsidRPr="00AA751B" w14:paraId="7BE11104" w14:textId="77777777" w:rsidTr="00C9171A">
        <w:tc>
          <w:tcPr>
            <w:tcW w:w="714" w:type="dxa"/>
            <w:shd w:val="clear" w:color="auto" w:fill="auto"/>
          </w:tcPr>
          <w:p w14:paraId="2C0009FC" w14:textId="77777777" w:rsidR="00E93F58" w:rsidRPr="00AA751B" w:rsidRDefault="00E93F58" w:rsidP="00C9171A">
            <w:pPr>
              <w:pStyle w:val="Tabletext"/>
            </w:pPr>
            <w:r w:rsidRPr="00AA751B">
              <w:t>7</w:t>
            </w:r>
          </w:p>
        </w:tc>
        <w:tc>
          <w:tcPr>
            <w:tcW w:w="3534" w:type="dxa"/>
            <w:shd w:val="clear" w:color="auto" w:fill="auto"/>
          </w:tcPr>
          <w:p w14:paraId="188BD7D3" w14:textId="77777777" w:rsidR="00E93F58" w:rsidRPr="00AA751B" w:rsidRDefault="00E93F58" w:rsidP="00C9171A">
            <w:pPr>
              <w:pStyle w:val="Tabletext"/>
            </w:pPr>
            <w:r w:rsidRPr="00AA751B">
              <w:t>The most recent Financial Services Guide</w:t>
            </w:r>
          </w:p>
        </w:tc>
        <w:tc>
          <w:tcPr>
            <w:tcW w:w="4064" w:type="dxa"/>
            <w:shd w:val="clear" w:color="auto" w:fill="auto"/>
          </w:tcPr>
          <w:p w14:paraId="47E373DF" w14:textId="77777777" w:rsidR="00E93F58" w:rsidRPr="00AA751B" w:rsidRDefault="00E93F58" w:rsidP="00C9171A">
            <w:pPr>
              <w:pStyle w:val="Tabletext"/>
            </w:pPr>
            <w:r w:rsidRPr="00AA751B">
              <w:t>No later than 20 business days after the Financial Services Guide is first given to a person under</w:t>
            </w:r>
            <w:r w:rsidRPr="00AA751B">
              <w:rPr>
                <w:color w:val="000000"/>
                <w:shd w:val="clear" w:color="auto" w:fill="FFFFFF"/>
              </w:rPr>
              <w:t xml:space="preserve"> section 941A or 941B of the Act</w:t>
            </w:r>
          </w:p>
        </w:tc>
      </w:tr>
      <w:tr w:rsidR="00E93F58" w:rsidRPr="00AA751B" w14:paraId="5EB42806" w14:textId="77777777" w:rsidTr="00C9171A">
        <w:tc>
          <w:tcPr>
            <w:tcW w:w="714" w:type="dxa"/>
            <w:shd w:val="clear" w:color="auto" w:fill="auto"/>
          </w:tcPr>
          <w:p w14:paraId="0456D2F3" w14:textId="77777777" w:rsidR="00E93F58" w:rsidRPr="00AA751B" w:rsidRDefault="00E93F58" w:rsidP="00C9171A">
            <w:pPr>
              <w:pStyle w:val="Tabletext"/>
              <w:keepLines/>
            </w:pPr>
            <w:r w:rsidRPr="00AA751B">
              <w:t>8</w:t>
            </w:r>
          </w:p>
        </w:tc>
        <w:tc>
          <w:tcPr>
            <w:tcW w:w="3534" w:type="dxa"/>
            <w:shd w:val="clear" w:color="auto" w:fill="auto"/>
          </w:tcPr>
          <w:p w14:paraId="11E75792" w14:textId="77777777" w:rsidR="00E93F58" w:rsidRPr="00AA751B" w:rsidRDefault="00E93F58" w:rsidP="00C9171A">
            <w:pPr>
              <w:pStyle w:val="Tabletext"/>
              <w:keepLines/>
            </w:pPr>
            <w:r w:rsidRPr="00AA751B">
              <w:t>A summary of each change or event that the holder has been notified of under section 1017B of the Act in the previous 2 years</w:t>
            </w:r>
          </w:p>
        </w:tc>
        <w:tc>
          <w:tcPr>
            <w:tcW w:w="4064" w:type="dxa"/>
            <w:shd w:val="clear" w:color="auto" w:fill="auto"/>
          </w:tcPr>
          <w:p w14:paraId="731744B7" w14:textId="77777777" w:rsidR="00E93F58" w:rsidRPr="00AA751B" w:rsidRDefault="00E93F58" w:rsidP="00C9171A">
            <w:pPr>
              <w:pStyle w:val="Tabletext"/>
              <w:keepLines/>
            </w:pPr>
            <w:r w:rsidRPr="00AA751B">
              <w:t>No later than 20 business days after the most recent notice is given</w:t>
            </w:r>
          </w:p>
        </w:tc>
      </w:tr>
      <w:tr w:rsidR="00E93F58" w:rsidRPr="00AA751B" w14:paraId="4CC828EF" w14:textId="77777777" w:rsidTr="00C9171A">
        <w:tc>
          <w:tcPr>
            <w:tcW w:w="714" w:type="dxa"/>
            <w:shd w:val="clear" w:color="auto" w:fill="auto"/>
          </w:tcPr>
          <w:p w14:paraId="40705EA6" w14:textId="77777777" w:rsidR="00E93F58" w:rsidRPr="00AA751B" w:rsidRDefault="00E93F58" w:rsidP="00C9171A">
            <w:pPr>
              <w:pStyle w:val="Tabletext"/>
            </w:pPr>
            <w:r w:rsidRPr="00AA751B">
              <w:t>9</w:t>
            </w:r>
          </w:p>
        </w:tc>
        <w:tc>
          <w:tcPr>
            <w:tcW w:w="3534" w:type="dxa"/>
            <w:shd w:val="clear" w:color="auto" w:fill="auto"/>
          </w:tcPr>
          <w:p w14:paraId="31EBD26F" w14:textId="77777777" w:rsidR="00E93F58" w:rsidRPr="00AA751B" w:rsidRDefault="00E93F58" w:rsidP="00C9171A">
            <w:pPr>
              <w:pStyle w:val="Tabletext"/>
            </w:pPr>
            <w:r w:rsidRPr="00AA751B">
              <w:t>The register of relevant interests, and the register of relevant duties, provided in relation to the entity under a provision of the RSE licensee law</w:t>
            </w:r>
          </w:p>
        </w:tc>
        <w:tc>
          <w:tcPr>
            <w:tcW w:w="4064" w:type="dxa"/>
            <w:shd w:val="clear" w:color="auto" w:fill="auto"/>
          </w:tcPr>
          <w:p w14:paraId="3EF4B4C8" w14:textId="77777777" w:rsidR="00E93F58" w:rsidRPr="00AA751B" w:rsidRDefault="00E93F58" w:rsidP="00C9171A">
            <w:pPr>
              <w:pStyle w:val="Tabletext"/>
            </w:pPr>
            <w:r w:rsidRPr="00AA751B">
              <w:t>No later than 20 business days after the end of each period of 3 months ending on 31 March, 30 June, 30 September or 31 December</w:t>
            </w:r>
          </w:p>
        </w:tc>
      </w:tr>
      <w:tr w:rsidR="00E93F58" w:rsidRPr="00AA751B" w14:paraId="3F68B8E4" w14:textId="77777777" w:rsidTr="00C9171A">
        <w:tc>
          <w:tcPr>
            <w:tcW w:w="714" w:type="dxa"/>
            <w:shd w:val="clear" w:color="auto" w:fill="auto"/>
          </w:tcPr>
          <w:p w14:paraId="35D72F38" w14:textId="77777777" w:rsidR="00E93F58" w:rsidRPr="00AA751B" w:rsidRDefault="00E93F58" w:rsidP="00C9171A">
            <w:pPr>
              <w:pStyle w:val="Tabletext"/>
            </w:pPr>
            <w:r w:rsidRPr="00AA751B">
              <w:t>10</w:t>
            </w:r>
          </w:p>
        </w:tc>
        <w:tc>
          <w:tcPr>
            <w:tcW w:w="3534" w:type="dxa"/>
            <w:shd w:val="clear" w:color="auto" w:fill="auto"/>
          </w:tcPr>
          <w:p w14:paraId="1B3B3B62" w14:textId="77777777" w:rsidR="00E93F58" w:rsidRPr="00AA751B" w:rsidRDefault="00E93F58" w:rsidP="00C9171A">
            <w:pPr>
              <w:pStyle w:val="Tabletext"/>
            </w:pPr>
            <w:r w:rsidRPr="00AA751B">
              <w:t>A summary of the conflicts management policy</w:t>
            </w:r>
          </w:p>
        </w:tc>
        <w:tc>
          <w:tcPr>
            <w:tcW w:w="4064" w:type="dxa"/>
            <w:shd w:val="clear" w:color="auto" w:fill="auto"/>
          </w:tcPr>
          <w:p w14:paraId="4A61CF61" w14:textId="77777777" w:rsidR="00E93F58" w:rsidRPr="00AA751B" w:rsidRDefault="00E93F58" w:rsidP="00C9171A">
            <w:pPr>
              <w:pStyle w:val="Tabletext"/>
            </w:pPr>
            <w:r w:rsidRPr="00AA751B">
              <w:t>Either:</w:t>
            </w:r>
          </w:p>
          <w:p w14:paraId="255D9F98" w14:textId="77777777" w:rsidR="00E93F58" w:rsidRPr="00AA751B" w:rsidRDefault="00E93F58" w:rsidP="00C9171A">
            <w:pPr>
              <w:pStyle w:val="Tablea"/>
            </w:pPr>
            <w:r w:rsidRPr="00AA751B">
              <w:t>(a) no later than 20 business days after the policy begins to apply; or</w:t>
            </w:r>
          </w:p>
          <w:p w14:paraId="13C05E84" w14:textId="77777777" w:rsidR="00E93F58" w:rsidRPr="00AA751B" w:rsidRDefault="00E93F58" w:rsidP="00C9171A">
            <w:pPr>
              <w:pStyle w:val="Tablea"/>
            </w:pPr>
            <w:r w:rsidRPr="00AA751B">
              <w:t>(b) if the policy is amended or replaced—the later of:</w:t>
            </w:r>
          </w:p>
          <w:p w14:paraId="55F6AEB1" w14:textId="77777777" w:rsidR="00E93F58" w:rsidRPr="00AA751B" w:rsidRDefault="00E93F58" w:rsidP="00C9171A">
            <w:pPr>
              <w:pStyle w:val="Tablei"/>
            </w:pPr>
            <w:r w:rsidRPr="00AA751B">
              <w:t>(i) the date of the amendment or replacement; and</w:t>
            </w:r>
          </w:p>
          <w:p w14:paraId="739893BD" w14:textId="77777777" w:rsidR="00E93F58" w:rsidRPr="00AA751B" w:rsidRDefault="00E93F58" w:rsidP="00C9171A">
            <w:pPr>
              <w:pStyle w:val="Tablei"/>
            </w:pPr>
            <w:r w:rsidRPr="00AA751B">
              <w:t>(ii) the effective date of the amendment or replacement</w:t>
            </w:r>
          </w:p>
        </w:tc>
      </w:tr>
      <w:tr w:rsidR="00E93F58" w:rsidRPr="00AA751B" w14:paraId="65F6CEF6" w14:textId="77777777" w:rsidTr="00C9171A">
        <w:tc>
          <w:tcPr>
            <w:tcW w:w="714" w:type="dxa"/>
            <w:shd w:val="clear" w:color="auto" w:fill="auto"/>
          </w:tcPr>
          <w:p w14:paraId="2F89C6CA" w14:textId="77777777" w:rsidR="00E93F58" w:rsidRPr="00AA751B" w:rsidRDefault="00E93F58" w:rsidP="00C9171A">
            <w:pPr>
              <w:pStyle w:val="Tabletext"/>
            </w:pPr>
            <w:r w:rsidRPr="00AA751B">
              <w:t>11</w:t>
            </w:r>
          </w:p>
        </w:tc>
        <w:tc>
          <w:tcPr>
            <w:tcW w:w="3534" w:type="dxa"/>
            <w:shd w:val="clear" w:color="auto" w:fill="auto"/>
          </w:tcPr>
          <w:p w14:paraId="539C038E" w14:textId="77777777" w:rsidR="00E93F58" w:rsidRPr="00AA751B" w:rsidRDefault="00E93F58" w:rsidP="00C9171A">
            <w:pPr>
              <w:pStyle w:val="Tabletext"/>
            </w:pPr>
            <w:r w:rsidRPr="00AA751B">
              <w:t>The proxy voting policies</w:t>
            </w:r>
          </w:p>
        </w:tc>
        <w:tc>
          <w:tcPr>
            <w:tcW w:w="4064" w:type="dxa"/>
            <w:shd w:val="clear" w:color="auto" w:fill="auto"/>
          </w:tcPr>
          <w:p w14:paraId="23414610" w14:textId="77777777" w:rsidR="00E93F58" w:rsidRPr="00AA751B" w:rsidRDefault="00E93F58" w:rsidP="00C9171A">
            <w:pPr>
              <w:pStyle w:val="Tabletext"/>
            </w:pPr>
            <w:r w:rsidRPr="00AA751B">
              <w:t>For each policy—either:</w:t>
            </w:r>
          </w:p>
          <w:p w14:paraId="1A29A7BC" w14:textId="77777777" w:rsidR="00E93F58" w:rsidRPr="00AA751B" w:rsidRDefault="00E93F58" w:rsidP="00C9171A">
            <w:pPr>
              <w:pStyle w:val="Tablea"/>
            </w:pPr>
            <w:r w:rsidRPr="00AA751B">
              <w:t>(a) no later than 20 business days after the policy begins to apply; or</w:t>
            </w:r>
          </w:p>
          <w:p w14:paraId="4B149B8E" w14:textId="77777777" w:rsidR="00E93F58" w:rsidRPr="00AA751B" w:rsidRDefault="00E93F58" w:rsidP="00C9171A">
            <w:pPr>
              <w:pStyle w:val="Tablea"/>
            </w:pPr>
            <w:r w:rsidRPr="00AA751B">
              <w:t>(b) if the policy is amended or replaced—the later of:</w:t>
            </w:r>
          </w:p>
          <w:p w14:paraId="70A082A1" w14:textId="77777777" w:rsidR="00E93F58" w:rsidRPr="00AA751B" w:rsidRDefault="00E93F58" w:rsidP="00C9171A">
            <w:pPr>
              <w:pStyle w:val="Tablei"/>
            </w:pPr>
            <w:r w:rsidRPr="00AA751B">
              <w:t>(i) the date of the amendment or replacement; and</w:t>
            </w:r>
          </w:p>
          <w:p w14:paraId="58C057D8" w14:textId="77777777" w:rsidR="00E93F58" w:rsidRPr="00AA751B" w:rsidRDefault="00E93F58" w:rsidP="00C9171A">
            <w:pPr>
              <w:pStyle w:val="Tablei"/>
            </w:pPr>
            <w:r w:rsidRPr="00AA751B">
              <w:t>(ii) the effective date of the amendment or replacement</w:t>
            </w:r>
          </w:p>
        </w:tc>
      </w:tr>
      <w:tr w:rsidR="00E93F58" w:rsidRPr="00AA751B" w14:paraId="26CACFCB" w14:textId="77777777" w:rsidTr="00C9171A">
        <w:tc>
          <w:tcPr>
            <w:tcW w:w="714" w:type="dxa"/>
            <w:shd w:val="clear" w:color="auto" w:fill="auto"/>
          </w:tcPr>
          <w:p w14:paraId="486E96DF" w14:textId="77777777" w:rsidR="00E93F58" w:rsidRPr="00AA751B" w:rsidRDefault="00E93F58" w:rsidP="00C9171A">
            <w:pPr>
              <w:pStyle w:val="Tabletext"/>
            </w:pPr>
            <w:r w:rsidRPr="00AA751B">
              <w:t>12</w:t>
            </w:r>
          </w:p>
        </w:tc>
        <w:tc>
          <w:tcPr>
            <w:tcW w:w="3534" w:type="dxa"/>
            <w:shd w:val="clear" w:color="auto" w:fill="auto"/>
          </w:tcPr>
          <w:p w14:paraId="559ECB3E" w14:textId="77777777" w:rsidR="00E93F58" w:rsidRPr="00AA751B" w:rsidRDefault="00E93F58" w:rsidP="00C9171A">
            <w:pPr>
              <w:pStyle w:val="Tabletext"/>
            </w:pPr>
            <w:r w:rsidRPr="00AA751B">
              <w:t>A summary of when, during the previous financial year of the entity, and how the entity has exercised its voting rights in relation to shares in listed companies</w:t>
            </w:r>
          </w:p>
        </w:tc>
        <w:tc>
          <w:tcPr>
            <w:tcW w:w="4064" w:type="dxa"/>
            <w:shd w:val="clear" w:color="auto" w:fill="auto"/>
          </w:tcPr>
          <w:p w14:paraId="47E7E862" w14:textId="77777777" w:rsidR="00E93F58" w:rsidRPr="00AA751B" w:rsidRDefault="00E93F58" w:rsidP="00C9171A">
            <w:pPr>
              <w:pStyle w:val="Tabletext"/>
            </w:pPr>
            <w:r w:rsidRPr="00AA751B">
              <w:t>No later than</w:t>
            </w:r>
            <w:r w:rsidRPr="00AA751B">
              <w:rPr>
                <w:i/>
              </w:rPr>
              <w:t xml:space="preserve"> </w:t>
            </w:r>
            <w:r w:rsidRPr="00AA751B">
              <w:t>20 business days after the end of the previous financial year</w:t>
            </w:r>
          </w:p>
        </w:tc>
      </w:tr>
      <w:tr w:rsidR="00E93F58" w:rsidRPr="00AA751B" w14:paraId="5B9D14F0" w14:textId="77777777" w:rsidTr="00C9171A">
        <w:tc>
          <w:tcPr>
            <w:tcW w:w="714" w:type="dxa"/>
            <w:tcBorders>
              <w:bottom w:val="single" w:sz="2" w:space="0" w:color="auto"/>
            </w:tcBorders>
            <w:shd w:val="clear" w:color="auto" w:fill="auto"/>
          </w:tcPr>
          <w:p w14:paraId="4D927091" w14:textId="77777777" w:rsidR="00E93F58" w:rsidRPr="00AA751B" w:rsidRDefault="00E93F58" w:rsidP="00C9171A">
            <w:pPr>
              <w:pStyle w:val="Tabletext"/>
            </w:pPr>
            <w:r w:rsidRPr="00AA751B">
              <w:t>13</w:t>
            </w:r>
          </w:p>
        </w:tc>
        <w:tc>
          <w:tcPr>
            <w:tcW w:w="3534" w:type="dxa"/>
            <w:tcBorders>
              <w:bottom w:val="single" w:sz="2" w:space="0" w:color="auto"/>
            </w:tcBorders>
            <w:shd w:val="clear" w:color="auto" w:fill="auto"/>
          </w:tcPr>
          <w:p w14:paraId="05F55201" w14:textId="77777777" w:rsidR="00E93F58" w:rsidRPr="00AA751B" w:rsidRDefault="00E93F58" w:rsidP="00C9171A">
            <w:pPr>
              <w:pStyle w:val="Tabletext"/>
            </w:pPr>
            <w:r w:rsidRPr="00AA751B">
              <w:t>If the trustee is a body corporate—the constitution of the body corporate</w:t>
            </w:r>
          </w:p>
        </w:tc>
        <w:tc>
          <w:tcPr>
            <w:tcW w:w="4064" w:type="dxa"/>
            <w:tcBorders>
              <w:bottom w:val="single" w:sz="2" w:space="0" w:color="auto"/>
            </w:tcBorders>
            <w:shd w:val="clear" w:color="auto" w:fill="auto"/>
          </w:tcPr>
          <w:p w14:paraId="2F57B659" w14:textId="77777777" w:rsidR="00E93F58" w:rsidRPr="00AA751B" w:rsidRDefault="00E93F58" w:rsidP="00C9171A">
            <w:pPr>
              <w:pStyle w:val="Tabletext"/>
            </w:pPr>
            <w:r w:rsidRPr="00AA751B">
              <w:t>Either:</w:t>
            </w:r>
          </w:p>
          <w:p w14:paraId="52FB40D5" w14:textId="77777777" w:rsidR="00E93F58" w:rsidRPr="00AA751B" w:rsidRDefault="00E93F58" w:rsidP="00C9171A">
            <w:pPr>
              <w:pStyle w:val="Tablea"/>
            </w:pPr>
            <w:r w:rsidRPr="00AA751B">
              <w:t>(a) no later than 20 business days after the constitution begins to apply; or</w:t>
            </w:r>
          </w:p>
          <w:p w14:paraId="0BF316AE" w14:textId="77777777" w:rsidR="00E93F58" w:rsidRPr="00AA751B" w:rsidRDefault="00E93F58" w:rsidP="00C9171A">
            <w:pPr>
              <w:pStyle w:val="Tablea"/>
            </w:pPr>
            <w:r w:rsidRPr="00AA751B">
              <w:t>(b) if the constitution is amended or replaced—the later of:</w:t>
            </w:r>
          </w:p>
          <w:p w14:paraId="07B9C8E3" w14:textId="77777777" w:rsidR="00E93F58" w:rsidRPr="00AA751B" w:rsidRDefault="00E93F58" w:rsidP="00C9171A">
            <w:pPr>
              <w:pStyle w:val="Tablei"/>
            </w:pPr>
            <w:r w:rsidRPr="00AA751B">
              <w:t>(i) the date of the amendment or replacement; and</w:t>
            </w:r>
          </w:p>
          <w:p w14:paraId="7D5C5E5D" w14:textId="77777777" w:rsidR="00E93F58" w:rsidRPr="00AA751B" w:rsidRDefault="00E93F58" w:rsidP="00C9171A">
            <w:pPr>
              <w:pStyle w:val="Tablei"/>
            </w:pPr>
            <w:r w:rsidRPr="00AA751B">
              <w:t>(ii) the effective date of the amendment or replacement</w:t>
            </w:r>
          </w:p>
        </w:tc>
      </w:tr>
      <w:tr w:rsidR="00E93F58" w:rsidRPr="00AA751B" w14:paraId="3C0C9649" w14:textId="77777777" w:rsidTr="00C9171A">
        <w:tc>
          <w:tcPr>
            <w:tcW w:w="714" w:type="dxa"/>
            <w:tcBorders>
              <w:top w:val="single" w:sz="2" w:space="0" w:color="auto"/>
              <w:bottom w:val="single" w:sz="12" w:space="0" w:color="auto"/>
            </w:tcBorders>
            <w:shd w:val="clear" w:color="auto" w:fill="auto"/>
          </w:tcPr>
          <w:p w14:paraId="34391E78" w14:textId="77777777" w:rsidR="00E93F58" w:rsidRPr="00AA751B" w:rsidRDefault="00E93F58" w:rsidP="00C9171A">
            <w:pPr>
              <w:pStyle w:val="Tabletext"/>
            </w:pPr>
            <w:r w:rsidRPr="00AA751B">
              <w:t>14</w:t>
            </w:r>
          </w:p>
        </w:tc>
        <w:tc>
          <w:tcPr>
            <w:tcW w:w="3534" w:type="dxa"/>
            <w:tcBorders>
              <w:top w:val="single" w:sz="2" w:space="0" w:color="auto"/>
              <w:bottom w:val="single" w:sz="12" w:space="0" w:color="auto"/>
            </w:tcBorders>
            <w:shd w:val="clear" w:color="auto" w:fill="auto"/>
          </w:tcPr>
          <w:p w14:paraId="0E52AEEC" w14:textId="77777777" w:rsidR="00E93F58" w:rsidRPr="00AA751B" w:rsidRDefault="00E93F58" w:rsidP="00C9171A">
            <w:pPr>
              <w:pStyle w:val="Tabletext"/>
            </w:pPr>
            <w:r w:rsidRPr="00AA751B">
              <w:t>The annual financial statement for the previous financial year that the trustee, as a financial services licensee, is required to lodge with ASIC under Part 7.6 of the Act</w:t>
            </w:r>
          </w:p>
        </w:tc>
        <w:tc>
          <w:tcPr>
            <w:tcW w:w="4064" w:type="dxa"/>
            <w:tcBorders>
              <w:top w:val="single" w:sz="2" w:space="0" w:color="auto"/>
              <w:bottom w:val="single" w:sz="12" w:space="0" w:color="auto"/>
            </w:tcBorders>
            <w:shd w:val="clear" w:color="auto" w:fill="auto"/>
          </w:tcPr>
          <w:p w14:paraId="150D5899" w14:textId="77777777" w:rsidR="00E93F58" w:rsidRPr="00AA751B" w:rsidRDefault="00E93F58" w:rsidP="00C9171A">
            <w:pPr>
              <w:pStyle w:val="Tabletext"/>
            </w:pPr>
            <w:r w:rsidRPr="00AA751B">
              <w:t>The day that the annual financial statement is first lodged with ASIC</w:t>
            </w:r>
          </w:p>
        </w:tc>
      </w:tr>
    </w:tbl>
    <w:p w14:paraId="49EE4AE8" w14:textId="77777777" w:rsidR="00E93F58" w:rsidRPr="00AA751B" w:rsidRDefault="00E93F58" w:rsidP="00C9171A">
      <w:pPr>
        <w:pStyle w:val="subsection"/>
      </w:pPr>
      <w:r w:rsidRPr="00AA751B">
        <w:lastRenderedPageBreak/>
        <w:tab/>
        <w:t>(4)</w:t>
      </w:r>
      <w:r w:rsidRPr="00AA751B">
        <w:tab/>
        <w:t>The information must be:</w:t>
      </w:r>
    </w:p>
    <w:p w14:paraId="55BC7EB2" w14:textId="77777777" w:rsidR="00E93F58" w:rsidRPr="00AA751B" w:rsidRDefault="00E93F58" w:rsidP="00C9171A">
      <w:pPr>
        <w:pStyle w:val="paragraph"/>
      </w:pPr>
      <w:r w:rsidRPr="00AA751B">
        <w:tab/>
        <w:t>(a)</w:t>
      </w:r>
      <w:r w:rsidRPr="00AA751B">
        <w:tab/>
        <w:t>readily accessible from the entity’s website; and</w:t>
      </w:r>
    </w:p>
    <w:p w14:paraId="3B555964" w14:textId="77777777" w:rsidR="00E93F58" w:rsidRPr="00AA751B" w:rsidRDefault="00E93F58" w:rsidP="00C9171A">
      <w:pPr>
        <w:pStyle w:val="paragraph"/>
      </w:pPr>
      <w:r w:rsidRPr="00AA751B">
        <w:tab/>
        <w:t>(b)</w:t>
      </w:r>
      <w:r w:rsidRPr="00AA751B">
        <w:tab/>
        <w:t>kept up to date.</w:t>
      </w:r>
    </w:p>
    <w:p w14:paraId="54532C4A" w14:textId="77777777" w:rsidR="00E93F58" w:rsidRPr="00AA751B" w:rsidRDefault="00E93F58" w:rsidP="00C9171A">
      <w:pPr>
        <w:pStyle w:val="SubsectionHead"/>
      </w:pPr>
      <w:r w:rsidRPr="00AA751B">
        <w:t>Exception—personal information</w:t>
      </w:r>
    </w:p>
    <w:p w14:paraId="15D7005B" w14:textId="77777777" w:rsidR="00E93F58" w:rsidRPr="00AA751B" w:rsidRDefault="00E93F58" w:rsidP="00C9171A">
      <w:pPr>
        <w:pStyle w:val="subsection"/>
      </w:pPr>
      <w:r w:rsidRPr="00AA751B">
        <w:tab/>
        <w:t>(5)</w:t>
      </w:r>
      <w:r w:rsidRPr="00AA751B">
        <w:tab/>
        <w:t>If:</w:t>
      </w:r>
    </w:p>
    <w:p w14:paraId="743564FE" w14:textId="77777777" w:rsidR="00E93F58" w:rsidRPr="00AA751B" w:rsidRDefault="00E93F58" w:rsidP="00C9171A">
      <w:pPr>
        <w:pStyle w:val="paragraph"/>
      </w:pPr>
      <w:r w:rsidRPr="00AA751B">
        <w:tab/>
        <w:t>(a)</w:t>
      </w:r>
      <w:r w:rsidRPr="00AA751B">
        <w:tab/>
        <w:t>the trustee is required under subregulations (2) and (3) to make available a document referred to in item 1, 2, 4, 5 or 8 of the table in subregulation (3); and</w:t>
      </w:r>
    </w:p>
    <w:p w14:paraId="3F705E7B" w14:textId="77777777" w:rsidR="00E93F58" w:rsidRPr="00AA751B" w:rsidRDefault="00E93F58" w:rsidP="00C9171A">
      <w:pPr>
        <w:pStyle w:val="paragraph"/>
        <w:rPr>
          <w:shd w:val="clear" w:color="auto" w:fill="FFFFFF"/>
        </w:rPr>
      </w:pPr>
      <w:r w:rsidRPr="00AA751B">
        <w:tab/>
        <w:t>(b)</w:t>
      </w:r>
      <w:r w:rsidRPr="00AA751B">
        <w:tab/>
        <w:t xml:space="preserve">the document contains </w:t>
      </w:r>
      <w:r w:rsidRPr="00AA751B">
        <w:rPr>
          <w:shd w:val="clear" w:color="auto" w:fill="FFFFFF"/>
        </w:rPr>
        <w:t>personal information in relation to a beneficiary or former beneficiary of the registrable superannuation entity;</w:t>
      </w:r>
    </w:p>
    <w:p w14:paraId="54E5786A" w14:textId="77777777" w:rsidR="00E93F58" w:rsidRPr="00AA751B" w:rsidRDefault="00E93F58" w:rsidP="00C9171A">
      <w:pPr>
        <w:pStyle w:val="subsection2"/>
      </w:pPr>
      <w:r w:rsidRPr="00AA751B">
        <w:t>the trustee may instead comply with the requirement by making available a version of the document that has</w:t>
      </w:r>
      <w:r w:rsidRPr="00AA751B">
        <w:rPr>
          <w:color w:val="000000"/>
          <w:shd w:val="clear" w:color="auto" w:fill="FFFFFF"/>
        </w:rPr>
        <w:t xml:space="preserve"> been redacted to exclude </w:t>
      </w:r>
      <w:r w:rsidRPr="00AA751B">
        <w:rPr>
          <w:shd w:val="clear" w:color="auto" w:fill="FFFFFF"/>
        </w:rPr>
        <w:t>personal information (within the meaning of the</w:t>
      </w:r>
      <w:r w:rsidRPr="00AA751B">
        <w:rPr>
          <w:i/>
          <w:shd w:val="clear" w:color="auto" w:fill="FFFFFF"/>
        </w:rPr>
        <w:t xml:space="preserve"> Privacy Act 1988</w:t>
      </w:r>
      <w:r w:rsidRPr="00AA751B">
        <w:rPr>
          <w:shd w:val="clear" w:color="auto" w:fill="FFFFFF"/>
        </w:rPr>
        <w:t>) in relation to a beneficiary or former beneficiary of the registrable superannuation entity.</w:t>
      </w:r>
    </w:p>
    <w:p w14:paraId="02494B49" w14:textId="77777777" w:rsidR="00E93F58" w:rsidRPr="00AA751B" w:rsidRDefault="00E93F58" w:rsidP="00C9171A">
      <w:pPr>
        <w:pStyle w:val="SubsectionHead"/>
      </w:pPr>
      <w:r w:rsidRPr="00AA751B">
        <w:t>Transitional exceptions—</w:t>
      </w:r>
      <w:r w:rsidRPr="00AA751B">
        <w:rPr>
          <w:color w:val="000000"/>
          <w:shd w:val="clear" w:color="auto" w:fill="FFFFFF"/>
        </w:rPr>
        <w:t>standard employer</w:t>
      </w:r>
      <w:r>
        <w:rPr>
          <w:color w:val="000000"/>
          <w:shd w:val="clear" w:color="auto" w:fill="FFFFFF"/>
        </w:rPr>
        <w:noBreakHyphen/>
      </w:r>
      <w:r w:rsidRPr="00AA751B">
        <w:rPr>
          <w:color w:val="000000"/>
          <w:shd w:val="clear" w:color="auto" w:fill="FFFFFF"/>
        </w:rPr>
        <w:t>sponsored sub</w:t>
      </w:r>
      <w:r>
        <w:rPr>
          <w:color w:val="000000"/>
          <w:shd w:val="clear" w:color="auto" w:fill="FFFFFF"/>
        </w:rPr>
        <w:noBreakHyphen/>
      </w:r>
      <w:r w:rsidRPr="00AA751B">
        <w:rPr>
          <w:color w:val="000000"/>
          <w:shd w:val="clear" w:color="auto" w:fill="FFFFFF"/>
        </w:rPr>
        <w:t>plan</w:t>
      </w:r>
    </w:p>
    <w:p w14:paraId="50D9DBA7" w14:textId="77777777" w:rsidR="00E93F58" w:rsidRPr="00AA751B" w:rsidRDefault="00E93F58" w:rsidP="00C9171A">
      <w:pPr>
        <w:pStyle w:val="subsection"/>
      </w:pPr>
      <w:r w:rsidRPr="00AA751B">
        <w:tab/>
        <w:t>(6)</w:t>
      </w:r>
      <w:r w:rsidRPr="00AA751B">
        <w:tab/>
        <w:t>If:</w:t>
      </w:r>
    </w:p>
    <w:p w14:paraId="50CC6EFC" w14:textId="77777777" w:rsidR="00E93F58" w:rsidRPr="00AA751B" w:rsidRDefault="00E93F58" w:rsidP="00C9171A">
      <w:pPr>
        <w:pStyle w:val="paragraph"/>
      </w:pPr>
      <w:r w:rsidRPr="00AA751B">
        <w:tab/>
        <w:t>(a)</w:t>
      </w:r>
      <w:r w:rsidRPr="00AA751B">
        <w:tab/>
        <w:t>before 1 July 2024, the trustee is required under subregulations (2) and (3) to make available a document referred to in item 1, 2, 4, 5 or 8 of the table in subregulation (3); and</w:t>
      </w:r>
    </w:p>
    <w:p w14:paraId="4DCA97CE" w14:textId="77777777" w:rsidR="00E93F58" w:rsidRPr="00AA751B" w:rsidRDefault="00E93F58" w:rsidP="00C9171A">
      <w:pPr>
        <w:pStyle w:val="paragraph"/>
        <w:rPr>
          <w:color w:val="000000"/>
          <w:shd w:val="clear" w:color="auto" w:fill="FFFFFF"/>
        </w:rPr>
      </w:pPr>
      <w:r w:rsidRPr="00AA751B">
        <w:tab/>
        <w:t>(b)</w:t>
      </w:r>
      <w:r w:rsidRPr="00AA751B">
        <w:tab/>
        <w:t xml:space="preserve">the document only relates to the </w:t>
      </w:r>
      <w:r w:rsidRPr="00AA751B">
        <w:rPr>
          <w:color w:val="000000"/>
          <w:shd w:val="clear" w:color="auto" w:fill="FFFFFF"/>
        </w:rPr>
        <w:t>entity because it relates to a standard employer</w:t>
      </w:r>
      <w:r>
        <w:rPr>
          <w:color w:val="000000"/>
          <w:shd w:val="clear" w:color="auto" w:fill="FFFFFF"/>
        </w:rPr>
        <w:noBreakHyphen/>
      </w:r>
      <w:r w:rsidRPr="00AA751B">
        <w:rPr>
          <w:color w:val="000000"/>
          <w:shd w:val="clear" w:color="auto" w:fill="FFFFFF"/>
        </w:rPr>
        <w:t>sponsored sub</w:t>
      </w:r>
      <w:r>
        <w:rPr>
          <w:color w:val="000000"/>
          <w:shd w:val="clear" w:color="auto" w:fill="FFFFFF"/>
        </w:rPr>
        <w:noBreakHyphen/>
      </w:r>
      <w:r w:rsidRPr="00AA751B">
        <w:rPr>
          <w:color w:val="000000"/>
          <w:shd w:val="clear" w:color="auto" w:fill="FFFFFF"/>
        </w:rPr>
        <w:t>plan;</w:t>
      </w:r>
    </w:p>
    <w:p w14:paraId="702EA701" w14:textId="77777777" w:rsidR="00E93F58" w:rsidRPr="00AA751B" w:rsidRDefault="00E93F58" w:rsidP="00C9171A">
      <w:pPr>
        <w:pStyle w:val="subsection2"/>
      </w:pPr>
      <w:r w:rsidRPr="00AA751B">
        <w:t>the trustee may instead comply with the requirement by making the document available from 1 July 2024.</w:t>
      </w:r>
    </w:p>
    <w:p w14:paraId="48C9C427" w14:textId="77777777" w:rsidR="00E93F58" w:rsidRPr="00AA751B" w:rsidRDefault="00E93F58" w:rsidP="00C9171A">
      <w:pPr>
        <w:pStyle w:val="subsection"/>
      </w:pPr>
      <w:r w:rsidRPr="00AA751B">
        <w:tab/>
        <w:t>(7)</w:t>
      </w:r>
      <w:r w:rsidRPr="00AA751B">
        <w:tab/>
        <w:t>If:</w:t>
      </w:r>
    </w:p>
    <w:p w14:paraId="7F76F07E" w14:textId="77777777" w:rsidR="00E93F58" w:rsidRPr="00AA751B" w:rsidRDefault="00E93F58" w:rsidP="00C9171A">
      <w:pPr>
        <w:pStyle w:val="paragraph"/>
      </w:pPr>
      <w:r w:rsidRPr="00AA751B">
        <w:tab/>
        <w:t>(a)</w:t>
      </w:r>
      <w:r w:rsidRPr="00AA751B">
        <w:tab/>
        <w:t>before 1 July 2024, the trustee is required under subregulations (2) and (3) to make available a document referred to in item 1, 2, 4, 5 or 8 of the table in subregulation (3); and</w:t>
      </w:r>
    </w:p>
    <w:p w14:paraId="10F51A4C" w14:textId="77777777" w:rsidR="00E93F58" w:rsidRPr="00AA751B" w:rsidRDefault="00E93F58" w:rsidP="00C9171A">
      <w:pPr>
        <w:pStyle w:val="paragraph"/>
        <w:rPr>
          <w:color w:val="000000"/>
          <w:shd w:val="clear" w:color="auto" w:fill="FFFFFF"/>
        </w:rPr>
      </w:pPr>
      <w:r w:rsidRPr="00AA751B">
        <w:tab/>
        <w:t>(b)</w:t>
      </w:r>
      <w:r w:rsidRPr="00AA751B">
        <w:tab/>
      </w:r>
      <w:r w:rsidRPr="00AA751B">
        <w:rPr>
          <w:color w:val="000000"/>
          <w:shd w:val="clear" w:color="auto" w:fill="FFFFFF"/>
        </w:rPr>
        <w:t>the document contains information that only relates to the registrable entity because it relates to a standard employer</w:t>
      </w:r>
      <w:r>
        <w:rPr>
          <w:color w:val="000000"/>
          <w:shd w:val="clear" w:color="auto" w:fill="FFFFFF"/>
        </w:rPr>
        <w:noBreakHyphen/>
      </w:r>
      <w:r w:rsidRPr="00AA751B">
        <w:rPr>
          <w:color w:val="000000"/>
          <w:shd w:val="clear" w:color="auto" w:fill="FFFFFF"/>
        </w:rPr>
        <w:t>sponsored sub</w:t>
      </w:r>
      <w:r>
        <w:rPr>
          <w:color w:val="000000"/>
          <w:shd w:val="clear" w:color="auto" w:fill="FFFFFF"/>
        </w:rPr>
        <w:noBreakHyphen/>
      </w:r>
      <w:r w:rsidRPr="00AA751B">
        <w:rPr>
          <w:color w:val="000000"/>
          <w:shd w:val="clear" w:color="auto" w:fill="FFFFFF"/>
        </w:rPr>
        <w:t>plan;</w:t>
      </w:r>
    </w:p>
    <w:p w14:paraId="25FE874A" w14:textId="77777777" w:rsidR="00E93F58" w:rsidRPr="00AA751B" w:rsidRDefault="00E93F58" w:rsidP="00C9171A">
      <w:pPr>
        <w:pStyle w:val="subsection2"/>
        <w:rPr>
          <w:shd w:val="clear" w:color="auto" w:fill="FFFFFF"/>
        </w:rPr>
      </w:pPr>
      <w:r w:rsidRPr="00AA751B">
        <w:t>then, until 1 July 2024, the trustee may instead comply with the requirement by making available a version of the document that has</w:t>
      </w:r>
      <w:r w:rsidRPr="00AA751B">
        <w:rPr>
          <w:color w:val="000000"/>
          <w:shd w:val="clear" w:color="auto" w:fill="FFFFFF"/>
        </w:rPr>
        <w:t xml:space="preserve"> been redacted to exclude information that only relates to the registrable entity because it relates to a standard employer</w:t>
      </w:r>
      <w:r>
        <w:rPr>
          <w:color w:val="000000"/>
          <w:shd w:val="clear" w:color="auto" w:fill="FFFFFF"/>
        </w:rPr>
        <w:noBreakHyphen/>
      </w:r>
      <w:r w:rsidRPr="00AA751B">
        <w:rPr>
          <w:color w:val="000000"/>
          <w:shd w:val="clear" w:color="auto" w:fill="FFFFFF"/>
        </w:rPr>
        <w:t>sponsored sub</w:t>
      </w:r>
      <w:r>
        <w:rPr>
          <w:color w:val="000000"/>
          <w:shd w:val="clear" w:color="auto" w:fill="FFFFFF"/>
        </w:rPr>
        <w:noBreakHyphen/>
      </w:r>
      <w:r w:rsidRPr="00AA751B">
        <w:rPr>
          <w:color w:val="000000"/>
          <w:shd w:val="clear" w:color="auto" w:fill="FFFFFF"/>
        </w:rPr>
        <w:t>plan</w:t>
      </w:r>
      <w:r w:rsidRPr="00AA751B">
        <w:rPr>
          <w:shd w:val="clear" w:color="auto" w:fill="FFFFFF"/>
        </w:rPr>
        <w:t>.</w:t>
      </w:r>
    </w:p>
    <w:p w14:paraId="3098E5C5" w14:textId="77777777" w:rsidR="00E93F58" w:rsidRPr="00AA751B" w:rsidRDefault="00E93F58" w:rsidP="00C9171A">
      <w:pPr>
        <w:pStyle w:val="subsection"/>
        <w:rPr>
          <w:szCs w:val="22"/>
        </w:rPr>
      </w:pPr>
      <w:r w:rsidRPr="00AA751B">
        <w:tab/>
        <w:t>(8)</w:t>
      </w:r>
      <w:r w:rsidRPr="00AA751B">
        <w:tab/>
      </w:r>
      <w:r w:rsidRPr="00AA751B">
        <w:rPr>
          <w:shd w:val="clear" w:color="auto" w:fill="FFFFFF"/>
        </w:rPr>
        <w:t xml:space="preserve">A </w:t>
      </w:r>
      <w:r w:rsidRPr="00AA751B">
        <w:rPr>
          <w:b/>
          <w:bCs/>
          <w:i/>
          <w:iCs/>
        </w:rPr>
        <w:t>standard employer</w:t>
      </w:r>
      <w:r>
        <w:rPr>
          <w:b/>
          <w:bCs/>
          <w:i/>
          <w:iCs/>
        </w:rPr>
        <w:noBreakHyphen/>
      </w:r>
      <w:r w:rsidRPr="00AA751B">
        <w:rPr>
          <w:b/>
          <w:bCs/>
          <w:i/>
          <w:iCs/>
        </w:rPr>
        <w:t>sponsored sub</w:t>
      </w:r>
      <w:r>
        <w:rPr>
          <w:b/>
          <w:bCs/>
          <w:i/>
          <w:iCs/>
        </w:rPr>
        <w:noBreakHyphen/>
      </w:r>
      <w:r w:rsidRPr="00AA751B">
        <w:rPr>
          <w:b/>
          <w:bCs/>
          <w:i/>
          <w:iCs/>
        </w:rPr>
        <w:t>plan</w:t>
      </w:r>
      <w:r w:rsidRPr="00AA751B">
        <w:rPr>
          <w:i/>
          <w:iCs/>
        </w:rPr>
        <w:t xml:space="preserve"> </w:t>
      </w:r>
      <w:r w:rsidRPr="00AA751B">
        <w:t>means a segment of a public offer superannuation fund for which each member of the segment is:</w:t>
      </w:r>
    </w:p>
    <w:p w14:paraId="74B37FC5" w14:textId="77777777" w:rsidR="00E93F58" w:rsidRPr="00AA751B" w:rsidRDefault="00E93F58" w:rsidP="00C9171A">
      <w:pPr>
        <w:pStyle w:val="paragraph"/>
      </w:pPr>
      <w:r w:rsidRPr="00AA751B">
        <w:tab/>
        <w:t>(a)</w:t>
      </w:r>
      <w:r w:rsidRPr="00AA751B">
        <w:tab/>
        <w:t>a standard employer</w:t>
      </w:r>
      <w:r>
        <w:noBreakHyphen/>
      </w:r>
      <w:r w:rsidRPr="00AA751B">
        <w:t>sponsored member; or</w:t>
      </w:r>
    </w:p>
    <w:p w14:paraId="2539942A" w14:textId="77777777" w:rsidR="00E93F58" w:rsidRPr="00AA751B" w:rsidRDefault="00E93F58" w:rsidP="00C9171A">
      <w:pPr>
        <w:pStyle w:val="paragraph"/>
      </w:pPr>
      <w:r w:rsidRPr="00AA751B">
        <w:tab/>
        <w:t>(b)</w:t>
      </w:r>
      <w:r w:rsidRPr="00AA751B">
        <w:tab/>
      </w:r>
      <w:bookmarkStart w:id="1529" w:name="_Hlk130394222"/>
      <w:r w:rsidRPr="00AA751B">
        <w:t>a member of a class that is a prescribed class</w:t>
      </w:r>
      <w:bookmarkEnd w:id="1529"/>
      <w:r w:rsidRPr="00AA751B">
        <w:t xml:space="preserve"> for the purposes of sub</w:t>
      </w:r>
      <w:r>
        <w:noBreakHyphen/>
      </w:r>
      <w:r w:rsidRPr="00AA751B">
        <w:t>subparagraph 18(1)(a)(ii)(B) of the SIS Act.</w:t>
      </w:r>
    </w:p>
    <w:p w14:paraId="2CF5E2CE" w14:textId="77777777" w:rsidR="00E93F58" w:rsidRPr="00AA751B" w:rsidRDefault="00E93F58" w:rsidP="00C9171A">
      <w:pPr>
        <w:pStyle w:val="ActHead5"/>
      </w:pPr>
      <w:bookmarkStart w:id="1530" w:name="_Toc152054741"/>
      <w:bookmarkStart w:id="1531" w:name="_Toc158712557"/>
      <w:r w:rsidRPr="006F296E">
        <w:rPr>
          <w:rStyle w:val="CharSectno"/>
        </w:rPr>
        <w:t>7.9.07ZC</w:t>
      </w:r>
      <w:r w:rsidRPr="00AA751B">
        <w:t xml:space="preserve">  Transitional obligation to provide information to the holder of a superannuation product via website</w:t>
      </w:r>
      <w:bookmarkEnd w:id="1530"/>
      <w:bookmarkEnd w:id="1531"/>
    </w:p>
    <w:p w14:paraId="700AC09D" w14:textId="77777777" w:rsidR="00E93F58" w:rsidRPr="00AA751B" w:rsidRDefault="00E93F58" w:rsidP="00C9171A">
      <w:pPr>
        <w:pStyle w:val="subsection"/>
      </w:pPr>
      <w:r w:rsidRPr="00AA751B">
        <w:tab/>
        <w:t>(1)</w:t>
      </w:r>
      <w:r w:rsidRPr="00AA751B">
        <w:tab/>
        <w:t>This regulation is made for the purposes of paragraph 1017DA(1)(a) of the Act.</w:t>
      </w:r>
    </w:p>
    <w:p w14:paraId="678C47AF" w14:textId="77777777" w:rsidR="00E93F58" w:rsidRPr="00AA751B" w:rsidRDefault="00E93F58" w:rsidP="00C9171A">
      <w:pPr>
        <w:pStyle w:val="subsection"/>
      </w:pPr>
      <w:r w:rsidRPr="00AA751B">
        <w:tab/>
        <w:t>(2)</w:t>
      </w:r>
      <w:r w:rsidRPr="00AA751B">
        <w:tab/>
        <w:t xml:space="preserve">The trustee of a superannuation entity (other than an entity referred to in subparagraph (b)(i), (ii) or (iii) of the definition of </w:t>
      </w:r>
      <w:r w:rsidRPr="00AA751B">
        <w:rPr>
          <w:b/>
          <w:i/>
        </w:rPr>
        <w:t>registrable superannuation entity</w:t>
      </w:r>
      <w:r w:rsidRPr="00AA751B">
        <w:t xml:space="preserve"> in section 9 of the Act or a self managed superannuation fund) must provide the holder of a superannuation product (being an interest in that entity) with the information, relating to the entity and any relevant sub</w:t>
      </w:r>
      <w:r>
        <w:noBreakHyphen/>
      </w:r>
      <w:r w:rsidRPr="00AA751B">
        <w:t>plan (within the meaning of section 1017C of the Act), specified in subregulations (3), (5) and (7).</w:t>
      </w:r>
    </w:p>
    <w:p w14:paraId="0BA70022" w14:textId="77777777" w:rsidR="00E93F58" w:rsidRPr="00AA751B" w:rsidRDefault="00E93F58" w:rsidP="00C9171A">
      <w:pPr>
        <w:pStyle w:val="SubsectionHead"/>
      </w:pPr>
      <w:r w:rsidRPr="00AA751B">
        <w:t>Remuneration details—on commencement</w:t>
      </w:r>
    </w:p>
    <w:p w14:paraId="20BCDFFC" w14:textId="77777777" w:rsidR="00E93F58" w:rsidRPr="00AA751B" w:rsidRDefault="00E93F58" w:rsidP="00C9171A">
      <w:pPr>
        <w:pStyle w:val="subsection"/>
      </w:pPr>
      <w:r w:rsidRPr="00AA751B">
        <w:tab/>
        <w:t>(3)</w:t>
      </w:r>
      <w:r w:rsidRPr="00AA751B">
        <w:tab/>
        <w:t xml:space="preserve">If, immediately before the day Schedule 6 to the </w:t>
      </w:r>
      <w:r w:rsidRPr="00AA751B">
        <w:rPr>
          <w:i/>
        </w:rPr>
        <w:t>Treasury Laws Amendment (2022 Measures No. 4) Act 2023</w:t>
      </w:r>
      <w:r w:rsidRPr="00AA751B">
        <w:t xml:space="preserve"> commences, the trustee was required under paragraph 29QB(1)(a) of the SIS Act to make details of remuneration publicly available, the information is those details.</w:t>
      </w:r>
    </w:p>
    <w:p w14:paraId="08E992E7" w14:textId="77777777" w:rsidR="00E93F58" w:rsidRPr="00AA751B" w:rsidRDefault="00E93F58" w:rsidP="00C9171A">
      <w:pPr>
        <w:pStyle w:val="subsection"/>
      </w:pPr>
      <w:r w:rsidRPr="00AA751B">
        <w:tab/>
        <w:t>(4)</w:t>
      </w:r>
      <w:r w:rsidRPr="00AA751B">
        <w:tab/>
        <w:t>The information referred to in subregulation (3) must be provided by making it publicly available on the entity’s website throughout the period:</w:t>
      </w:r>
    </w:p>
    <w:p w14:paraId="03B55EEB" w14:textId="77777777" w:rsidR="00E93F58" w:rsidRPr="00AA751B" w:rsidRDefault="00E93F58" w:rsidP="00C9171A">
      <w:pPr>
        <w:pStyle w:val="paragraph"/>
      </w:pPr>
      <w:r w:rsidRPr="00AA751B">
        <w:tab/>
        <w:t>(a)</w:t>
      </w:r>
      <w:r w:rsidRPr="00AA751B">
        <w:tab/>
        <w:t xml:space="preserve">starting on the day the </w:t>
      </w:r>
      <w:r w:rsidRPr="00AA751B">
        <w:rPr>
          <w:i/>
        </w:rPr>
        <w:t xml:space="preserve">Treasury Laws Amendment (Financial Reporting and Auditing of Registrable Superannuation Entities) </w:t>
      </w:r>
      <w:r>
        <w:rPr>
          <w:i/>
        </w:rPr>
        <w:t>Regulations 2</w:t>
      </w:r>
      <w:r w:rsidRPr="00AA751B">
        <w:rPr>
          <w:i/>
        </w:rPr>
        <w:t xml:space="preserve">023 </w:t>
      </w:r>
      <w:r w:rsidRPr="00AA751B">
        <w:t>commences; and</w:t>
      </w:r>
    </w:p>
    <w:p w14:paraId="60071D49" w14:textId="77777777" w:rsidR="00E93F58" w:rsidRPr="00AA751B" w:rsidRDefault="00E93F58" w:rsidP="00C9171A">
      <w:pPr>
        <w:pStyle w:val="paragraph"/>
      </w:pPr>
      <w:r w:rsidRPr="00AA751B">
        <w:tab/>
        <w:t>(b)</w:t>
      </w:r>
      <w:r w:rsidRPr="00AA751B">
        <w:tab/>
        <w:t>ending on the day before the start of the period referred to in subregulation (6).</w:t>
      </w:r>
    </w:p>
    <w:p w14:paraId="0BFB510A" w14:textId="77777777" w:rsidR="00E93F58" w:rsidRPr="00AA751B" w:rsidRDefault="00E93F58" w:rsidP="00C9171A">
      <w:pPr>
        <w:pStyle w:val="subsection2"/>
      </w:pPr>
      <w:r w:rsidRPr="00AA751B">
        <w:t>The information must be readily accessible from the entity’s website.</w:t>
      </w:r>
    </w:p>
    <w:p w14:paraId="4360A61A" w14:textId="77777777" w:rsidR="00E93F58" w:rsidRPr="00AA751B" w:rsidRDefault="00E93F58" w:rsidP="00C9171A">
      <w:pPr>
        <w:pStyle w:val="SubsectionHead"/>
      </w:pPr>
      <w:r w:rsidRPr="00AA751B">
        <w:lastRenderedPageBreak/>
        <w:t>Remuneration details—2022</w:t>
      </w:r>
      <w:r>
        <w:noBreakHyphen/>
      </w:r>
      <w:r w:rsidRPr="00AA751B">
        <w:t>23 financial year</w:t>
      </w:r>
    </w:p>
    <w:p w14:paraId="6DD1197F" w14:textId="77777777" w:rsidR="00E93F58" w:rsidRPr="00AA751B" w:rsidRDefault="00E93F58" w:rsidP="00C9171A">
      <w:pPr>
        <w:pStyle w:val="subsection"/>
      </w:pPr>
      <w:r w:rsidRPr="00AA751B">
        <w:tab/>
        <w:t>(5)</w:t>
      </w:r>
      <w:r w:rsidRPr="00AA751B">
        <w:tab/>
        <w:t>The information is the details set out in regulation 2M.3.04 in relation to the remuneration of each member of the key management personnel of the superannuation entity for the entity’s 2022</w:t>
      </w:r>
      <w:r>
        <w:noBreakHyphen/>
      </w:r>
      <w:r w:rsidRPr="00AA751B">
        <w:t>23 financial year.</w:t>
      </w:r>
    </w:p>
    <w:p w14:paraId="09CC061D" w14:textId="77777777" w:rsidR="00E93F58" w:rsidRPr="00AA751B" w:rsidRDefault="00E93F58" w:rsidP="00C9171A">
      <w:pPr>
        <w:pStyle w:val="subsection"/>
      </w:pPr>
      <w:r w:rsidRPr="00AA751B">
        <w:tab/>
        <w:t>(6)</w:t>
      </w:r>
      <w:r w:rsidRPr="00AA751B">
        <w:tab/>
        <w:t>The information referred to in subregulation (5) must be provided by making it publicly available on the entity’s website throughout the period:</w:t>
      </w:r>
    </w:p>
    <w:p w14:paraId="73134C71" w14:textId="77777777" w:rsidR="00E93F58" w:rsidRPr="00AA751B" w:rsidRDefault="00E93F58" w:rsidP="00C9171A">
      <w:pPr>
        <w:pStyle w:val="paragraph"/>
      </w:pPr>
      <w:r w:rsidRPr="00AA751B">
        <w:tab/>
        <w:t>(a)</w:t>
      </w:r>
      <w:r w:rsidRPr="00AA751B">
        <w:tab/>
        <w:t>starting on the day that is 3 months after the later of the following:</w:t>
      </w:r>
    </w:p>
    <w:p w14:paraId="466876F3" w14:textId="77777777" w:rsidR="00E93F58" w:rsidRPr="00AA751B" w:rsidRDefault="00E93F58" w:rsidP="00C9171A">
      <w:pPr>
        <w:pStyle w:val="paragraphsub"/>
      </w:pPr>
      <w:r w:rsidRPr="00AA751B">
        <w:tab/>
        <w:t>(i)</w:t>
      </w:r>
      <w:r w:rsidRPr="00AA751B">
        <w:tab/>
        <w:t xml:space="preserve">the day the </w:t>
      </w:r>
      <w:r w:rsidRPr="00AA751B">
        <w:rPr>
          <w:i/>
        </w:rPr>
        <w:t xml:space="preserve">Treasury Laws Amendment (Financial Reporting and Auditing of Registrable Superannuation Entities) </w:t>
      </w:r>
      <w:r>
        <w:rPr>
          <w:i/>
        </w:rPr>
        <w:t>Regulations 2</w:t>
      </w:r>
      <w:r w:rsidRPr="00AA751B">
        <w:rPr>
          <w:i/>
        </w:rPr>
        <w:t xml:space="preserve">023 </w:t>
      </w:r>
      <w:r w:rsidRPr="00AA751B">
        <w:t>commences;</w:t>
      </w:r>
    </w:p>
    <w:p w14:paraId="30A81155" w14:textId="77777777" w:rsidR="00E93F58" w:rsidRPr="00AA751B" w:rsidRDefault="00E93F58" w:rsidP="00C9171A">
      <w:pPr>
        <w:pStyle w:val="paragraphsub"/>
      </w:pPr>
      <w:r w:rsidRPr="00AA751B">
        <w:tab/>
        <w:t>(ii)</w:t>
      </w:r>
      <w:r w:rsidRPr="00AA751B">
        <w:tab/>
        <w:t>the last day of the entity’s 2022</w:t>
      </w:r>
      <w:r>
        <w:noBreakHyphen/>
      </w:r>
      <w:r w:rsidRPr="00AA751B">
        <w:t>23 financial year; and</w:t>
      </w:r>
    </w:p>
    <w:p w14:paraId="3AADC78A" w14:textId="77777777" w:rsidR="00E93F58" w:rsidRPr="00AA751B" w:rsidRDefault="00E93F58" w:rsidP="00C9171A">
      <w:pPr>
        <w:pStyle w:val="paragraph"/>
      </w:pPr>
      <w:r w:rsidRPr="00AA751B">
        <w:tab/>
        <w:t>(b)</w:t>
      </w:r>
      <w:r w:rsidRPr="00AA751B">
        <w:tab/>
        <w:t>ending on the day before the entity first reports to members under section 314AA of the Act.</w:t>
      </w:r>
    </w:p>
    <w:p w14:paraId="37CCD4EC" w14:textId="77777777" w:rsidR="00E93F58" w:rsidRPr="00AA751B" w:rsidRDefault="00E93F58" w:rsidP="00C9171A">
      <w:pPr>
        <w:pStyle w:val="subsection2"/>
      </w:pPr>
      <w:r w:rsidRPr="00AA751B">
        <w:t>The information must be readily accessible from the entity’s website.</w:t>
      </w:r>
    </w:p>
    <w:p w14:paraId="481128C4" w14:textId="77777777" w:rsidR="00E93F58" w:rsidRPr="00AA751B" w:rsidRDefault="00E93F58" w:rsidP="00C9171A">
      <w:pPr>
        <w:pStyle w:val="SubsectionHead"/>
      </w:pPr>
      <w:r w:rsidRPr="00AA751B">
        <w:t>Annual report—on commencement</w:t>
      </w:r>
    </w:p>
    <w:p w14:paraId="5555C889" w14:textId="77777777" w:rsidR="00E93F58" w:rsidRPr="00AA751B" w:rsidRDefault="00E93F58" w:rsidP="00C9171A">
      <w:pPr>
        <w:pStyle w:val="subsection"/>
      </w:pPr>
      <w:r w:rsidRPr="00AA751B">
        <w:tab/>
        <w:t>(7)</w:t>
      </w:r>
      <w:r w:rsidRPr="00AA751B">
        <w:tab/>
        <w:t xml:space="preserve">If, immediately before the day Schedule 6 to the </w:t>
      </w:r>
      <w:r w:rsidRPr="00AA751B">
        <w:rPr>
          <w:i/>
        </w:rPr>
        <w:t>Treasury Laws Amendment (2022 Measures No. 4) Act 2023</w:t>
      </w:r>
      <w:r w:rsidRPr="00AA751B">
        <w:t xml:space="preserve"> commences, the trustee was required under paragraph 29QB(1)(b) of the SIS Act to make an annual report publicly available, the information is the annual report.</w:t>
      </w:r>
    </w:p>
    <w:p w14:paraId="56FB07BC" w14:textId="77777777" w:rsidR="00E93F58" w:rsidRPr="00AA751B" w:rsidRDefault="00E93F58" w:rsidP="00C9171A">
      <w:pPr>
        <w:pStyle w:val="subsection"/>
      </w:pPr>
      <w:r w:rsidRPr="00AA751B">
        <w:tab/>
        <w:t>(8)</w:t>
      </w:r>
      <w:r w:rsidRPr="00AA751B">
        <w:tab/>
        <w:t>Subject to subregulation (9), the information referred to in subregulation (7) must be provided by making it publicly available throughout the period:</w:t>
      </w:r>
    </w:p>
    <w:p w14:paraId="77649A93" w14:textId="77777777" w:rsidR="00E93F58" w:rsidRPr="00AA751B" w:rsidRDefault="00E93F58" w:rsidP="00C9171A">
      <w:pPr>
        <w:pStyle w:val="paragraph"/>
      </w:pPr>
      <w:r w:rsidRPr="00AA751B">
        <w:tab/>
        <w:t>(a)</w:t>
      </w:r>
      <w:r w:rsidRPr="00AA751B">
        <w:tab/>
        <w:t xml:space="preserve">starting on the day the </w:t>
      </w:r>
      <w:r w:rsidRPr="00AA751B">
        <w:rPr>
          <w:i/>
        </w:rPr>
        <w:t xml:space="preserve">Treasury Laws Amendment (Financial Reporting and Auditing of Registrable Superannuation Entities) </w:t>
      </w:r>
      <w:r>
        <w:rPr>
          <w:i/>
        </w:rPr>
        <w:t>Regulations 2</w:t>
      </w:r>
      <w:r w:rsidRPr="00AA751B">
        <w:rPr>
          <w:i/>
        </w:rPr>
        <w:t xml:space="preserve">023 </w:t>
      </w:r>
      <w:r w:rsidRPr="00AA751B">
        <w:t>commences; and</w:t>
      </w:r>
    </w:p>
    <w:p w14:paraId="698AED17" w14:textId="77777777" w:rsidR="00E93F58" w:rsidRPr="00AA751B" w:rsidRDefault="00E93F58" w:rsidP="00C9171A">
      <w:pPr>
        <w:pStyle w:val="paragraph"/>
      </w:pPr>
      <w:r w:rsidRPr="00AA751B">
        <w:tab/>
        <w:t>(b)</w:t>
      </w:r>
      <w:r w:rsidRPr="00AA751B">
        <w:tab/>
        <w:t>ending on the day that the entity next provides fund information under regulation 7.9.32.</w:t>
      </w:r>
    </w:p>
    <w:p w14:paraId="11B67695" w14:textId="77777777" w:rsidR="00E93F58" w:rsidRPr="00AA751B" w:rsidRDefault="00E93F58" w:rsidP="00C9171A">
      <w:pPr>
        <w:pStyle w:val="subsection2"/>
      </w:pPr>
      <w:r w:rsidRPr="00AA751B">
        <w:t>The information must be readily accessible from the entity’s website.</w:t>
      </w:r>
    </w:p>
    <w:p w14:paraId="1FEFE2D6" w14:textId="77777777" w:rsidR="00E93F58" w:rsidRPr="00AA751B" w:rsidRDefault="00E93F58" w:rsidP="00C9171A">
      <w:pPr>
        <w:pStyle w:val="subsection"/>
      </w:pPr>
      <w:r w:rsidRPr="00AA751B">
        <w:tab/>
        <w:t>(9)</w:t>
      </w:r>
      <w:r w:rsidRPr="00AA751B">
        <w:tab/>
        <w:t>Subregulations 7.9.07ZB(5) to (7) apply to the requirement under this regulation to provide the information referred to in subregulation (7) of this regulation in the same way subregulations 7.9.07ZB(5) to (7) would apply if the information were a document referred to in item 1 of the table in subregulation 7.9.07ZB(3).</w:t>
      </w:r>
    </w:p>
    <w:p w14:paraId="50DDE1C4" w14:textId="77777777" w:rsidR="00E93F58" w:rsidRPr="00AA751B" w:rsidRDefault="00E93F58" w:rsidP="00C9171A">
      <w:pPr>
        <w:pStyle w:val="notetext"/>
      </w:pPr>
      <w:r w:rsidRPr="00AA751B">
        <w:t>Note:</w:t>
      </w:r>
      <w:r w:rsidRPr="00AA751B">
        <w:tab/>
        <w:t xml:space="preserve">Subregulations 7.9.07ZB(5) to (7) permit later provision of information or provision of redacted information in certain circumstances, for example, in relation to </w:t>
      </w:r>
      <w:r w:rsidRPr="00AA751B">
        <w:rPr>
          <w:color w:val="000000"/>
          <w:shd w:val="clear" w:color="auto" w:fill="FFFFFF"/>
        </w:rPr>
        <w:t>standard employer</w:t>
      </w:r>
      <w:r>
        <w:rPr>
          <w:color w:val="000000"/>
          <w:shd w:val="clear" w:color="auto" w:fill="FFFFFF"/>
        </w:rPr>
        <w:noBreakHyphen/>
      </w:r>
      <w:r w:rsidRPr="00AA751B">
        <w:rPr>
          <w:color w:val="000000"/>
          <w:shd w:val="clear" w:color="auto" w:fill="FFFFFF"/>
        </w:rPr>
        <w:t>sponsored sub</w:t>
      </w:r>
      <w:r>
        <w:rPr>
          <w:color w:val="000000"/>
          <w:shd w:val="clear" w:color="auto" w:fill="FFFFFF"/>
        </w:rPr>
        <w:noBreakHyphen/>
      </w:r>
      <w:r w:rsidRPr="00AA751B">
        <w:rPr>
          <w:color w:val="000000"/>
          <w:shd w:val="clear" w:color="auto" w:fill="FFFFFF"/>
        </w:rPr>
        <w:t>plans.</w:t>
      </w:r>
    </w:p>
    <w:p w14:paraId="6B2AF49E" w14:textId="77777777" w:rsidR="00E93F58" w:rsidRPr="00283424" w:rsidRDefault="00E93F58" w:rsidP="00B50726">
      <w:pPr>
        <w:pStyle w:val="ActHead3"/>
        <w:pageBreakBefore/>
        <w:rPr>
          <w:color w:val="000000"/>
        </w:rPr>
      </w:pPr>
      <w:bookmarkStart w:id="1532" w:name="_Toc152054742"/>
      <w:bookmarkStart w:id="1533" w:name="_Toc158712558"/>
      <w:r w:rsidRPr="006F296E">
        <w:rPr>
          <w:rStyle w:val="CharDivNo"/>
        </w:rPr>
        <w:lastRenderedPageBreak/>
        <w:t>Division 3</w:t>
      </w:r>
      <w:r w:rsidRPr="00283424">
        <w:rPr>
          <w:color w:val="000000"/>
          <w:sz w:val="16"/>
        </w:rPr>
        <w:t>—</w:t>
      </w:r>
      <w:r w:rsidRPr="006F296E">
        <w:rPr>
          <w:rStyle w:val="CharDivText"/>
        </w:rPr>
        <w:t>Dealing with money received for financial product before the product is issued</w:t>
      </w:r>
      <w:bookmarkEnd w:id="1532"/>
      <w:bookmarkEnd w:id="1533"/>
    </w:p>
    <w:p w14:paraId="69F7381F" w14:textId="77777777" w:rsidR="00E93F58" w:rsidRPr="00283424" w:rsidRDefault="00E93F58" w:rsidP="00B50726">
      <w:pPr>
        <w:pStyle w:val="ActHead5"/>
      </w:pPr>
      <w:bookmarkStart w:id="1534" w:name="_Toc152054743"/>
      <w:bookmarkStart w:id="1535" w:name="_Toc158712559"/>
      <w:r w:rsidRPr="006F296E">
        <w:rPr>
          <w:rStyle w:val="CharSectno"/>
        </w:rPr>
        <w:t>7.9.08</w:t>
      </w:r>
      <w:r w:rsidRPr="00283424">
        <w:rPr>
          <w:sz w:val="16"/>
        </w:rPr>
        <w:t xml:space="preserve">  </w:t>
      </w:r>
      <w:r w:rsidRPr="00283424">
        <w:t>Accounts</w:t>
      </w:r>
      <w:bookmarkEnd w:id="1534"/>
      <w:bookmarkEnd w:id="1535"/>
    </w:p>
    <w:p w14:paraId="4C30FEAA" w14:textId="77777777" w:rsidR="00E93F58" w:rsidRPr="00283424" w:rsidRDefault="00E93F58" w:rsidP="00B50726">
      <w:pPr>
        <w:pStyle w:val="subsection"/>
      </w:pPr>
      <w:r w:rsidRPr="00283424">
        <w:tab/>
        <w:t>(1)</w:t>
      </w:r>
      <w:r w:rsidRPr="00283424">
        <w:tab/>
        <w:t>For subparagraph 1017E(2)(a)(ii) of the Act, the following accounts are prescribed:</w:t>
      </w:r>
    </w:p>
    <w:p w14:paraId="0EA68DD6" w14:textId="77777777" w:rsidR="00E93F58" w:rsidRPr="00283424" w:rsidRDefault="00E93F58" w:rsidP="00B50726">
      <w:pPr>
        <w:pStyle w:val="paragraph"/>
      </w:pPr>
      <w:r w:rsidRPr="00283424">
        <w:rPr>
          <w:color w:val="000000"/>
        </w:rPr>
        <w:tab/>
        <w:t>(a)</w:t>
      </w:r>
      <w:r w:rsidRPr="00283424">
        <w:rPr>
          <w:color w:val="000000"/>
        </w:rPr>
        <w:tab/>
        <w:t>an account with a foreign deposit taking institution that is regulated by a foreign regulatory body that ASIC has approved in writing for this paragraph;</w:t>
      </w:r>
    </w:p>
    <w:p w14:paraId="269C088F" w14:textId="77777777" w:rsidR="00E93F58" w:rsidRPr="00283424" w:rsidRDefault="00E93F58" w:rsidP="00B50726">
      <w:pPr>
        <w:pStyle w:val="paragraph"/>
      </w:pPr>
      <w:r w:rsidRPr="00283424">
        <w:tab/>
        <w:t>(b)</w:t>
      </w:r>
      <w:r w:rsidRPr="00283424">
        <w:tab/>
        <w:t>an account with a cash management trust;</w:t>
      </w:r>
    </w:p>
    <w:p w14:paraId="4B012A2B" w14:textId="77777777" w:rsidR="00E93F58" w:rsidRPr="00283424" w:rsidRDefault="00E93F58" w:rsidP="00B50726">
      <w:pPr>
        <w:pStyle w:val="paragraph"/>
      </w:pPr>
      <w:r w:rsidRPr="00283424">
        <w:tab/>
        <w:t>(c)</w:t>
      </w:r>
      <w:r w:rsidRPr="00283424">
        <w:tab/>
        <w:t xml:space="preserve">a statutory fund under section 29 of the </w:t>
      </w:r>
      <w:r w:rsidRPr="00283424">
        <w:rPr>
          <w:i/>
        </w:rPr>
        <w:t>Life Insurance Act 1995</w:t>
      </w:r>
      <w:r w:rsidRPr="00283424">
        <w:t>.</w:t>
      </w:r>
    </w:p>
    <w:p w14:paraId="06BB93C2" w14:textId="77777777" w:rsidR="00E93F58" w:rsidRPr="00283424" w:rsidRDefault="00E93F58" w:rsidP="00B50726">
      <w:pPr>
        <w:pStyle w:val="subsection"/>
      </w:pPr>
      <w:r w:rsidRPr="00283424">
        <w:tab/>
        <w:t>(2)</w:t>
      </w:r>
      <w:r w:rsidRPr="00283424">
        <w:tab/>
        <w:t>For paragraph 1017E(2)(c) of the Act, a product provider to which subsection 1017E(2) of the Act applies must:</w:t>
      </w:r>
    </w:p>
    <w:p w14:paraId="65202EAC" w14:textId="77777777" w:rsidR="00E93F58" w:rsidRPr="00283424" w:rsidRDefault="00E93F58" w:rsidP="00B50726">
      <w:pPr>
        <w:pStyle w:val="paragraph"/>
      </w:pPr>
      <w:r w:rsidRPr="00283424">
        <w:rPr>
          <w:color w:val="000000"/>
        </w:rPr>
        <w:tab/>
        <w:t>(a)</w:t>
      </w:r>
      <w:r w:rsidRPr="00283424">
        <w:rPr>
          <w:color w:val="000000"/>
        </w:rPr>
        <w:tab/>
        <w:t>operate an account to which paragraph 1017E(2)(a) of the Act applies as a trust account; and</w:t>
      </w:r>
    </w:p>
    <w:p w14:paraId="1EAB7B57" w14:textId="77777777" w:rsidR="00E93F58" w:rsidRPr="00283424" w:rsidRDefault="00E93F58" w:rsidP="00B50726">
      <w:pPr>
        <w:pStyle w:val="paragraph"/>
      </w:pPr>
      <w:r w:rsidRPr="00283424">
        <w:tab/>
        <w:t>(b)</w:t>
      </w:r>
      <w:r w:rsidRPr="00283424">
        <w:tab/>
        <w:t>designate the account to be a trust account; and</w:t>
      </w:r>
    </w:p>
    <w:p w14:paraId="33A77FF0" w14:textId="77777777" w:rsidR="00E93F58" w:rsidRPr="00283424" w:rsidRDefault="00E93F58" w:rsidP="00B50726">
      <w:pPr>
        <w:pStyle w:val="paragraph"/>
      </w:pPr>
      <w:r w:rsidRPr="00283424">
        <w:tab/>
        <w:t>(c)</w:t>
      </w:r>
      <w:r w:rsidRPr="00283424">
        <w:tab/>
        <w:t>hold all moneys paid into the account on trust for the benefit of the person who is entitled to the moneys.</w:t>
      </w:r>
    </w:p>
    <w:p w14:paraId="3BE3F108" w14:textId="77777777" w:rsidR="00E93F58" w:rsidRPr="00283424" w:rsidRDefault="00E93F58" w:rsidP="00B50726">
      <w:pPr>
        <w:pStyle w:val="subsection"/>
      </w:pPr>
      <w:r w:rsidRPr="00283424">
        <w:tab/>
        <w:t>(3)</w:t>
      </w:r>
      <w:r w:rsidRPr="00283424">
        <w:tab/>
        <w:t>For paragraph 1020G(1)(c) of the Act, if money received under section 1017E of the Act is paid into an account under subregulation 7.8.01(6), Part 7.8 of the Act applies to the money.</w:t>
      </w:r>
    </w:p>
    <w:p w14:paraId="32A28764" w14:textId="77777777" w:rsidR="00E93F58" w:rsidRPr="00283424" w:rsidRDefault="00E93F58" w:rsidP="00B50726">
      <w:pPr>
        <w:pStyle w:val="notetext"/>
      </w:pPr>
      <w:r w:rsidRPr="00283424">
        <w:t>Note:</w:t>
      </w:r>
      <w:r w:rsidRPr="00283424">
        <w:tab/>
        <w:t>See also subregulation 7.8.01(7).</w:t>
      </w:r>
    </w:p>
    <w:p w14:paraId="2030C5BF" w14:textId="77777777" w:rsidR="00E93F58" w:rsidRPr="00283424" w:rsidRDefault="00E93F58" w:rsidP="00B50726">
      <w:pPr>
        <w:pStyle w:val="subsection"/>
      </w:pPr>
      <w:r w:rsidRPr="00283424">
        <w:tab/>
        <w:t>(4)</w:t>
      </w:r>
      <w:r w:rsidRPr="00283424">
        <w:tab/>
        <w:t>For paragraph 1020G(1)(c) of the Act, Part 7.9 of the Act applies as if section 1017E of the Act were modified by omitting paragraph 1017E(2)(b) and inserting the following paragraph:</w:t>
      </w:r>
    </w:p>
    <w:p w14:paraId="0A1EEFA1" w14:textId="77777777" w:rsidR="00E93F58" w:rsidRPr="00283424" w:rsidRDefault="00E93F58" w:rsidP="00B50726">
      <w:pPr>
        <w:pStyle w:val="paragraph"/>
      </w:pPr>
      <w:r w:rsidRPr="00283424">
        <w:tab/>
        <w:t>‘(b)</w:t>
      </w:r>
      <w:r w:rsidRPr="00283424">
        <w:tab/>
        <w:t>any money may be paid into the account, provided that:</w:t>
      </w:r>
    </w:p>
    <w:p w14:paraId="5FDBB2A7" w14:textId="77777777" w:rsidR="00E93F58" w:rsidRPr="00283424" w:rsidRDefault="00E93F58" w:rsidP="00B50726">
      <w:pPr>
        <w:pStyle w:val="paragraphsub"/>
      </w:pPr>
      <w:r w:rsidRPr="00283424">
        <w:tab/>
        <w:t>(i)</w:t>
      </w:r>
      <w:r w:rsidRPr="00283424">
        <w:tab/>
        <w:t>money to which this section applies; and</w:t>
      </w:r>
    </w:p>
    <w:p w14:paraId="0A618F3B" w14:textId="77777777" w:rsidR="00E93F58" w:rsidRPr="00283424" w:rsidRDefault="00E93F58" w:rsidP="00B50726">
      <w:pPr>
        <w:pStyle w:val="paragraphsub"/>
      </w:pPr>
      <w:r w:rsidRPr="00283424">
        <w:tab/>
        <w:t>(ii)</w:t>
      </w:r>
      <w:r w:rsidRPr="00283424">
        <w:tab/>
        <w:t>interest on the amount from time to time standing to the credit of the account;</w:t>
      </w:r>
    </w:p>
    <w:p w14:paraId="5BC086C0" w14:textId="77777777" w:rsidR="00E93F58" w:rsidRPr="00283424" w:rsidRDefault="00E93F58" w:rsidP="00B50726">
      <w:pPr>
        <w:pStyle w:val="paragraph"/>
      </w:pPr>
      <w:r w:rsidRPr="00283424">
        <w:tab/>
      </w:r>
      <w:r w:rsidRPr="00283424">
        <w:tab/>
        <w:t>is identified and held in accordance with all other provisions of this section; and’.</w:t>
      </w:r>
    </w:p>
    <w:p w14:paraId="03FE560F" w14:textId="77777777" w:rsidR="00E93F58" w:rsidRPr="00283424" w:rsidRDefault="00E93F58" w:rsidP="00B50726">
      <w:pPr>
        <w:pStyle w:val="ActHead5"/>
      </w:pPr>
      <w:bookmarkStart w:id="1536" w:name="_Toc152054744"/>
      <w:bookmarkStart w:id="1537" w:name="_Toc158712560"/>
      <w:r w:rsidRPr="006F296E">
        <w:rPr>
          <w:rStyle w:val="CharSectno"/>
        </w:rPr>
        <w:t>7.9.08A</w:t>
      </w:r>
      <w:r w:rsidRPr="00283424">
        <w:t xml:space="preserve">  Dealing with interest</w:t>
      </w:r>
      <w:bookmarkEnd w:id="1536"/>
      <w:bookmarkEnd w:id="1537"/>
    </w:p>
    <w:p w14:paraId="4F383CEA" w14:textId="77777777" w:rsidR="00E93F58" w:rsidRPr="00283424" w:rsidRDefault="00E93F58" w:rsidP="00B50726">
      <w:pPr>
        <w:pStyle w:val="subsection"/>
      </w:pPr>
      <w:r w:rsidRPr="00283424">
        <w:tab/>
      </w:r>
      <w:r w:rsidRPr="00283424">
        <w:tab/>
        <w:t>For paragraph 1020G(1)(c) of the Act, Part 7.9 of the Act applies as if section 1017E of the Act were modified by adding after subsection 1017E(2C):</w:t>
      </w:r>
    </w:p>
    <w:p w14:paraId="3B85B114" w14:textId="77777777" w:rsidR="00E93F58" w:rsidRPr="00283424" w:rsidRDefault="00E93F58" w:rsidP="00B50726">
      <w:pPr>
        <w:pStyle w:val="paragraph"/>
      </w:pPr>
      <w:r w:rsidRPr="00283424">
        <w:tab/>
        <w:t>‘(2D)</w:t>
      </w:r>
      <w:r w:rsidRPr="00283424">
        <w:tab/>
        <w:t>In relation to money to which this section applies:</w:t>
      </w:r>
    </w:p>
    <w:p w14:paraId="12E71E77" w14:textId="77777777" w:rsidR="00E93F58" w:rsidRPr="00283424" w:rsidRDefault="00E93F58" w:rsidP="00B50726">
      <w:pPr>
        <w:pStyle w:val="paragraphsub"/>
      </w:pPr>
      <w:r w:rsidRPr="00283424">
        <w:tab/>
        <w:t>(a)</w:t>
      </w:r>
      <w:r w:rsidRPr="00283424">
        <w:tab/>
        <w:t>the product provider is entitled to the interest on the account; and</w:t>
      </w:r>
    </w:p>
    <w:p w14:paraId="478878AC" w14:textId="77777777" w:rsidR="00E93F58" w:rsidRPr="00283424" w:rsidRDefault="00E93F58" w:rsidP="00B50726">
      <w:pPr>
        <w:pStyle w:val="paragraphsub"/>
      </w:pPr>
      <w:r w:rsidRPr="00283424">
        <w:tab/>
        <w:t>(b)</w:t>
      </w:r>
      <w:r w:rsidRPr="00283424">
        <w:tab/>
        <w:t>the interest on the account is not required to be paid into the account;</w:t>
      </w:r>
    </w:p>
    <w:p w14:paraId="598A3639" w14:textId="77777777" w:rsidR="00E93F58" w:rsidRPr="00283424" w:rsidRDefault="00E93F58" w:rsidP="00B50726">
      <w:pPr>
        <w:pStyle w:val="paragraph"/>
      </w:pPr>
      <w:r w:rsidRPr="00283424">
        <w:tab/>
      </w:r>
      <w:r w:rsidRPr="00283424">
        <w:tab/>
        <w:t>only if the product provider discloses to the person who paid the money that the product provider is keeping the interest (if any) earned on the account.’.</w:t>
      </w:r>
    </w:p>
    <w:p w14:paraId="264F1D72" w14:textId="77777777" w:rsidR="00E93F58" w:rsidRPr="00283424" w:rsidRDefault="00E93F58" w:rsidP="00B50726">
      <w:pPr>
        <w:pStyle w:val="ActHead5"/>
      </w:pPr>
      <w:bookmarkStart w:id="1538" w:name="_Toc152054745"/>
      <w:bookmarkStart w:id="1539" w:name="_Toc158712561"/>
      <w:r w:rsidRPr="006F296E">
        <w:rPr>
          <w:rStyle w:val="CharSectno"/>
        </w:rPr>
        <w:t>7.9.08B</w:t>
      </w:r>
      <w:r w:rsidRPr="00283424">
        <w:t xml:space="preserve">  Crediting of payments before money is received</w:t>
      </w:r>
      <w:bookmarkEnd w:id="1538"/>
      <w:bookmarkEnd w:id="1539"/>
    </w:p>
    <w:p w14:paraId="4429781A" w14:textId="77777777" w:rsidR="00E93F58" w:rsidRPr="00283424" w:rsidRDefault="00E93F58" w:rsidP="00B50726">
      <w:pPr>
        <w:pStyle w:val="subsection"/>
      </w:pPr>
      <w:r w:rsidRPr="00283424">
        <w:tab/>
        <w:t>(1)</w:t>
      </w:r>
      <w:r w:rsidRPr="00283424">
        <w:tab/>
        <w:t>For paragraph 1020G(1)(c) of the Act, Part 7.9 of the Act applies as if section 1017E of the Act were modified by adding after subsection 1017E(1):</w:t>
      </w:r>
    </w:p>
    <w:p w14:paraId="05F1678C" w14:textId="77777777" w:rsidR="00E93F58" w:rsidRPr="00283424" w:rsidRDefault="00E93F58" w:rsidP="00B50726">
      <w:pPr>
        <w:pStyle w:val="paragraph"/>
      </w:pPr>
      <w:r w:rsidRPr="00283424">
        <w:tab/>
        <w:t>‘(1A)</w:t>
      </w:r>
      <w:r w:rsidRPr="00283424">
        <w:tab/>
        <w:t>This section also applies to money paid by a product provider in the following circumstances:</w:t>
      </w:r>
    </w:p>
    <w:p w14:paraId="191E2121" w14:textId="77777777" w:rsidR="00E93F58" w:rsidRPr="00283424" w:rsidRDefault="00E93F58" w:rsidP="00B50726">
      <w:pPr>
        <w:pStyle w:val="paragraphsub"/>
      </w:pPr>
      <w:r w:rsidRPr="00283424">
        <w:tab/>
        <w:t>(a)</w:t>
      </w:r>
      <w:r w:rsidRPr="00283424">
        <w:tab/>
        <w:t xml:space="preserve">the product provider knows, or believes on reasonable grounds, that money (the </w:t>
      </w:r>
      <w:r w:rsidRPr="00283424">
        <w:rPr>
          <w:b/>
          <w:i/>
        </w:rPr>
        <w:t>client’s money</w:t>
      </w:r>
      <w:r w:rsidRPr="00283424">
        <w:t>) will be paid to the product provider to acquire, or acquire an increased interest in, one or more of the financial products mentioned in paragraph (1)(a) or (b) from the product provider (whether or not the acquisition would be by a person as a retail client);</w:t>
      </w:r>
    </w:p>
    <w:p w14:paraId="33E9BC77" w14:textId="77777777" w:rsidR="00E93F58" w:rsidRPr="00283424" w:rsidRDefault="00E93F58" w:rsidP="00B50726">
      <w:pPr>
        <w:pStyle w:val="paragraphsub"/>
      </w:pPr>
      <w:r w:rsidRPr="00283424">
        <w:tab/>
        <w:t>(b)</w:t>
      </w:r>
      <w:r w:rsidRPr="00283424">
        <w:tab/>
        <w:t>either:</w:t>
      </w:r>
    </w:p>
    <w:p w14:paraId="28EFF407" w14:textId="77777777" w:rsidR="00E93F58" w:rsidRPr="00283424" w:rsidRDefault="00E93F58" w:rsidP="00B50726">
      <w:pPr>
        <w:pStyle w:val="paragraphsub-sub"/>
      </w:pPr>
      <w:r w:rsidRPr="00283424">
        <w:tab/>
        <w:t>(i)</w:t>
      </w:r>
      <w:r w:rsidRPr="00283424">
        <w:tab/>
        <w:t>the financial product or increased interest was offered in this jurisdiction; or</w:t>
      </w:r>
    </w:p>
    <w:p w14:paraId="18717F5F" w14:textId="77777777" w:rsidR="00E93F58" w:rsidRPr="00283424" w:rsidRDefault="00E93F58" w:rsidP="00B50726">
      <w:pPr>
        <w:pStyle w:val="paragraphsub-sub"/>
      </w:pPr>
      <w:r w:rsidRPr="00283424">
        <w:tab/>
        <w:t>(ii)</w:t>
      </w:r>
      <w:r w:rsidRPr="00283424">
        <w:tab/>
        <w:t>the application for the financial product or increased interest was made in this jurisdiction; or</w:t>
      </w:r>
    </w:p>
    <w:p w14:paraId="55301649" w14:textId="77777777" w:rsidR="00E93F58" w:rsidRPr="00283424" w:rsidRDefault="00E93F58" w:rsidP="00B50726">
      <w:pPr>
        <w:pStyle w:val="paragraphsub-sub"/>
      </w:pPr>
      <w:r w:rsidRPr="00283424">
        <w:tab/>
        <w:t>(iii)</w:t>
      </w:r>
      <w:r w:rsidRPr="00283424">
        <w:tab/>
        <w:t>the money will be received in this jurisdiction;</w:t>
      </w:r>
    </w:p>
    <w:p w14:paraId="30D3BFE5" w14:textId="77777777" w:rsidR="00E93F58" w:rsidRPr="00283424" w:rsidRDefault="00E93F58" w:rsidP="00B50726">
      <w:pPr>
        <w:pStyle w:val="paragraphsub"/>
      </w:pPr>
      <w:r w:rsidRPr="00283424">
        <w:tab/>
        <w:t>(c)</w:t>
      </w:r>
      <w:r w:rsidRPr="00283424">
        <w:tab/>
        <w:t xml:space="preserve">before receiving the client’s money, the product provider pays an equivalent amount of money (the </w:t>
      </w:r>
      <w:r w:rsidRPr="00283424">
        <w:rPr>
          <w:b/>
          <w:i/>
        </w:rPr>
        <w:t>product provider’s money</w:t>
      </w:r>
      <w:r w:rsidRPr="00283424">
        <w:t>) into an account described in subsection (2).’.</w:t>
      </w:r>
    </w:p>
    <w:p w14:paraId="467571B5" w14:textId="77777777" w:rsidR="00E93F58" w:rsidRPr="00283424" w:rsidRDefault="00E93F58" w:rsidP="00B50726">
      <w:pPr>
        <w:pStyle w:val="subsection"/>
      </w:pPr>
      <w:r w:rsidRPr="00283424">
        <w:tab/>
        <w:t>(2)</w:t>
      </w:r>
      <w:r w:rsidRPr="00283424">
        <w:tab/>
        <w:t>For paragraph 1020G(1)(c) of the Act, Part 7.9 of the Act applies as if section 1017E of the Act were modified by adding after subsection 1017E(5):</w:t>
      </w:r>
    </w:p>
    <w:p w14:paraId="22980B77" w14:textId="77777777" w:rsidR="00E93F58" w:rsidRPr="00283424" w:rsidRDefault="00E93F58" w:rsidP="00B50726">
      <w:pPr>
        <w:pStyle w:val="paragraph"/>
      </w:pPr>
      <w:r w:rsidRPr="00283424">
        <w:tab/>
        <w:t>‘(5A)</w:t>
      </w:r>
      <w:r w:rsidRPr="00283424">
        <w:tab/>
        <w:t>If subsection (1A) applies:</w:t>
      </w:r>
    </w:p>
    <w:p w14:paraId="3DFC9E7C" w14:textId="77777777" w:rsidR="00E93F58" w:rsidRPr="00283424" w:rsidRDefault="00E93F58" w:rsidP="00B50726">
      <w:pPr>
        <w:pStyle w:val="paragraphsub"/>
      </w:pPr>
      <w:r w:rsidRPr="00283424">
        <w:lastRenderedPageBreak/>
        <w:tab/>
        <w:t>(a)</w:t>
      </w:r>
      <w:r w:rsidRPr="00283424">
        <w:tab/>
        <w:t>the product provider is not required to comply with this section in relation to the client’s money; and</w:t>
      </w:r>
    </w:p>
    <w:p w14:paraId="1F58D51D" w14:textId="77777777" w:rsidR="00E93F58" w:rsidRPr="00283424" w:rsidRDefault="00E93F58" w:rsidP="00B50726">
      <w:pPr>
        <w:pStyle w:val="paragraphsub"/>
      </w:pPr>
      <w:r w:rsidRPr="00283424">
        <w:tab/>
        <w:t>(b)</w:t>
      </w:r>
      <w:r w:rsidRPr="00283424">
        <w:tab/>
        <w:t>subsections (2A), (2B), (2C), (2D), (3), (4), (5) and (6) apply to the product provider’s money as if the money had been paid by the person who paid, or is expected to pay, the client’s money.’.</w:t>
      </w:r>
    </w:p>
    <w:p w14:paraId="2DF479C0" w14:textId="77777777" w:rsidR="00E93F58" w:rsidRPr="00283424" w:rsidRDefault="00E93F58" w:rsidP="00B50726">
      <w:pPr>
        <w:pStyle w:val="subsection"/>
      </w:pPr>
      <w:r w:rsidRPr="00283424">
        <w:tab/>
        <w:t>(3)</w:t>
      </w:r>
      <w:r w:rsidRPr="00283424">
        <w:tab/>
        <w:t>For paragraph 1017E(3)(d) of the Act, money may be taken out of an account if:</w:t>
      </w:r>
    </w:p>
    <w:p w14:paraId="16EF87C7" w14:textId="77777777" w:rsidR="00E93F58" w:rsidRPr="00283424" w:rsidRDefault="00E93F58" w:rsidP="00B50726">
      <w:pPr>
        <w:pStyle w:val="paragraph"/>
      </w:pPr>
      <w:r w:rsidRPr="00283424">
        <w:tab/>
        <w:t>(a)</w:t>
      </w:r>
      <w:r w:rsidRPr="00283424">
        <w:tab/>
        <w:t>the circumstances described in the modified subsection 1017E(1A) of the Act exist; and</w:t>
      </w:r>
    </w:p>
    <w:p w14:paraId="7E38ACA3" w14:textId="77777777" w:rsidR="00E93F58" w:rsidRPr="00283424" w:rsidRDefault="00E93F58" w:rsidP="00B50726">
      <w:pPr>
        <w:pStyle w:val="paragraph"/>
      </w:pPr>
      <w:r w:rsidRPr="00283424">
        <w:tab/>
        <w:t>(b)</w:t>
      </w:r>
      <w:r w:rsidRPr="00283424">
        <w:tab/>
        <w:t>after paying the product provider’s money, the product provider becomes aware, or has reasonable grounds to believe, that the client’s money will not be paid.</w:t>
      </w:r>
    </w:p>
    <w:p w14:paraId="5F43F721" w14:textId="77777777" w:rsidR="00E93F58" w:rsidRPr="00283424" w:rsidRDefault="00E93F58" w:rsidP="00B50726">
      <w:pPr>
        <w:pStyle w:val="ActHead5"/>
      </w:pPr>
      <w:bookmarkStart w:id="1540" w:name="_Toc152054746"/>
      <w:bookmarkStart w:id="1541" w:name="_Toc158712562"/>
      <w:r w:rsidRPr="006F296E">
        <w:rPr>
          <w:rStyle w:val="CharSectno"/>
        </w:rPr>
        <w:t>7.9.08C</w:t>
      </w:r>
      <w:r w:rsidRPr="00283424">
        <w:t xml:space="preserve">  Money held in trust for a superannuation product or </w:t>
      </w:r>
      <w:r w:rsidRPr="00594584">
        <w:t>RSA</w:t>
      </w:r>
      <w:bookmarkEnd w:id="1540"/>
      <w:bookmarkEnd w:id="1541"/>
    </w:p>
    <w:p w14:paraId="4D6C8807" w14:textId="77777777" w:rsidR="00E93F58" w:rsidRPr="00283424" w:rsidRDefault="00E93F58" w:rsidP="00B50726">
      <w:pPr>
        <w:pStyle w:val="subsection"/>
      </w:pPr>
      <w:r w:rsidRPr="00283424">
        <w:tab/>
      </w:r>
      <w:r w:rsidRPr="00283424">
        <w:tab/>
        <w:t xml:space="preserve">For subsection 1017E(2C) of the Act, if money is paid to a product provider for a financial product that is a superannuation product or </w:t>
      </w:r>
      <w:r w:rsidRPr="00BE1284">
        <w:t>an RSA</w:t>
      </w:r>
      <w:r w:rsidRPr="00283424">
        <w:t>:</w:t>
      </w:r>
    </w:p>
    <w:p w14:paraId="57AB429E" w14:textId="77777777" w:rsidR="00E93F58" w:rsidRPr="00283424" w:rsidRDefault="00E93F58" w:rsidP="00B50726">
      <w:pPr>
        <w:pStyle w:val="paragraph"/>
      </w:pPr>
      <w:r w:rsidRPr="00283424">
        <w:tab/>
        <w:t>(a)</w:t>
      </w:r>
      <w:r w:rsidRPr="00283424">
        <w:tab/>
        <w:t>subsection 1017E(2A) of the Act does not apply in relation to the money; and</w:t>
      </w:r>
    </w:p>
    <w:p w14:paraId="60278B93" w14:textId="77777777" w:rsidR="00E93F58" w:rsidRPr="00283424" w:rsidRDefault="00E93F58" w:rsidP="00B50726">
      <w:pPr>
        <w:pStyle w:val="paragraph"/>
      </w:pPr>
      <w:r w:rsidRPr="00283424">
        <w:tab/>
        <w:t>(b)</w:t>
      </w:r>
      <w:r w:rsidRPr="00283424">
        <w:tab/>
        <w:t>the money is taken to be held in trust by the product provider for the benefit of the person who is entitled to the money.</w:t>
      </w:r>
    </w:p>
    <w:p w14:paraId="682280FC" w14:textId="77777777" w:rsidR="00E93F58" w:rsidRPr="00283424" w:rsidRDefault="00E93F58" w:rsidP="00B50726">
      <w:pPr>
        <w:pStyle w:val="ActHead5"/>
        <w:rPr>
          <w:i/>
        </w:rPr>
      </w:pPr>
      <w:bookmarkStart w:id="1542" w:name="_Toc152054747"/>
      <w:bookmarkStart w:id="1543" w:name="_Toc158712563"/>
      <w:r w:rsidRPr="006F296E">
        <w:rPr>
          <w:rStyle w:val="CharSectno"/>
        </w:rPr>
        <w:t>7.9.08D</w:t>
      </w:r>
      <w:r w:rsidRPr="00283424">
        <w:t xml:space="preserve">  Statutory funds under the </w:t>
      </w:r>
      <w:r w:rsidRPr="00283424">
        <w:rPr>
          <w:i/>
        </w:rPr>
        <w:t>Life Insurance Act 1995</w:t>
      </w:r>
      <w:bookmarkEnd w:id="1542"/>
      <w:bookmarkEnd w:id="1543"/>
    </w:p>
    <w:p w14:paraId="0EBB23AF" w14:textId="77777777" w:rsidR="00E93F58" w:rsidRPr="00283424" w:rsidRDefault="00E93F58" w:rsidP="00B50726">
      <w:pPr>
        <w:pStyle w:val="subsection"/>
      </w:pPr>
      <w:r w:rsidRPr="00283424">
        <w:tab/>
      </w:r>
      <w:r w:rsidRPr="00283424">
        <w:tab/>
        <w:t>For paragraph 1020G(1)(c) of the Act, Part 7.9 of the Act applies in relation to an account mentioned in paragraph 7.9.08(1)(c) of these Regulations as if paragraph 1017E(2)(b) were omitted.</w:t>
      </w:r>
    </w:p>
    <w:p w14:paraId="3C54A5C6" w14:textId="77777777" w:rsidR="00E93F58" w:rsidRPr="00283424" w:rsidRDefault="00E93F58" w:rsidP="00B50726">
      <w:pPr>
        <w:pStyle w:val="ActHead3"/>
        <w:pageBreakBefore/>
        <w:rPr>
          <w:color w:val="000000"/>
        </w:rPr>
      </w:pPr>
      <w:bookmarkStart w:id="1544" w:name="_Toc152054748"/>
      <w:bookmarkStart w:id="1545" w:name="_Toc158712564"/>
      <w:r w:rsidRPr="006F296E">
        <w:rPr>
          <w:rStyle w:val="CharDivNo"/>
        </w:rPr>
        <w:lastRenderedPageBreak/>
        <w:t>Division 4</w:t>
      </w:r>
      <w:r w:rsidRPr="00283424">
        <w:rPr>
          <w:color w:val="000000"/>
          <w:sz w:val="16"/>
        </w:rPr>
        <w:t>—</w:t>
      </w:r>
      <w:r w:rsidRPr="006F296E">
        <w:rPr>
          <w:rStyle w:val="CharDivText"/>
        </w:rPr>
        <w:t>Content of Product Disclosure Statements</w:t>
      </w:r>
      <w:bookmarkEnd w:id="1544"/>
      <w:bookmarkEnd w:id="1545"/>
    </w:p>
    <w:p w14:paraId="1668756C" w14:textId="77777777" w:rsidR="00E93F58" w:rsidRPr="00283424" w:rsidRDefault="00E93F58" w:rsidP="00B50726">
      <w:pPr>
        <w:pStyle w:val="ActHead4"/>
      </w:pPr>
      <w:bookmarkStart w:id="1546" w:name="_Toc152054749"/>
      <w:bookmarkStart w:id="1547" w:name="_Toc158712565"/>
      <w:r w:rsidRPr="006F296E">
        <w:rPr>
          <w:rStyle w:val="CharSubdNo"/>
        </w:rPr>
        <w:t>Subdivision 4.1</w:t>
      </w:r>
      <w:r w:rsidRPr="00283424">
        <w:t>—</w:t>
      </w:r>
      <w:r w:rsidRPr="006F296E">
        <w:rPr>
          <w:rStyle w:val="CharSubdText"/>
        </w:rPr>
        <w:t>Preliminary</w:t>
      </w:r>
      <w:bookmarkEnd w:id="1546"/>
      <w:bookmarkEnd w:id="1547"/>
    </w:p>
    <w:p w14:paraId="406D7791" w14:textId="77777777" w:rsidR="00E93F58" w:rsidRPr="00283424" w:rsidRDefault="00E93F58" w:rsidP="00B50726">
      <w:pPr>
        <w:pStyle w:val="ActHead5"/>
      </w:pPr>
      <w:bookmarkStart w:id="1548" w:name="_Toc152054750"/>
      <w:bookmarkStart w:id="1549" w:name="_Toc158712566"/>
      <w:r w:rsidRPr="006F296E">
        <w:rPr>
          <w:rStyle w:val="CharSectno"/>
        </w:rPr>
        <w:t>7.9.09</w:t>
      </w:r>
      <w:r w:rsidRPr="00283424">
        <w:rPr>
          <w:sz w:val="16"/>
        </w:rPr>
        <w:t xml:space="preserve">  </w:t>
      </w:r>
      <w:r w:rsidRPr="00283424">
        <w:t>Application of this Division</w:t>
      </w:r>
      <w:bookmarkEnd w:id="1548"/>
      <w:bookmarkEnd w:id="1549"/>
    </w:p>
    <w:p w14:paraId="4290CC85" w14:textId="77777777" w:rsidR="00E93F58" w:rsidRPr="00283424" w:rsidRDefault="00E93F58" w:rsidP="00B50726">
      <w:pPr>
        <w:pStyle w:val="subsection"/>
      </w:pPr>
      <w:r w:rsidRPr="00283424">
        <w:tab/>
        <w:t>(1)</w:t>
      </w:r>
      <w:r w:rsidRPr="00283424">
        <w:tab/>
        <w:t>This Division applies in relation to:</w:t>
      </w:r>
    </w:p>
    <w:p w14:paraId="4802D1CC" w14:textId="77777777" w:rsidR="00E93F58" w:rsidRPr="00283424" w:rsidRDefault="00E93F58" w:rsidP="00B50726">
      <w:pPr>
        <w:pStyle w:val="paragraph"/>
      </w:pPr>
      <w:r w:rsidRPr="00283424">
        <w:tab/>
        <w:t>(a)</w:t>
      </w:r>
      <w:r w:rsidRPr="00283424">
        <w:tab/>
        <w:t>superannuation products; and</w:t>
      </w:r>
    </w:p>
    <w:p w14:paraId="2F3763E4" w14:textId="77777777" w:rsidR="00E93F58" w:rsidRPr="00283424" w:rsidRDefault="00E93F58" w:rsidP="00B50726">
      <w:pPr>
        <w:pStyle w:val="paragraph"/>
      </w:pPr>
      <w:r w:rsidRPr="00283424">
        <w:tab/>
        <w:t>(b)</w:t>
      </w:r>
      <w:r w:rsidRPr="00283424">
        <w:tab/>
      </w:r>
      <w:r w:rsidRPr="00BE1284">
        <w:t>RSAs</w:t>
      </w:r>
      <w:r w:rsidRPr="00283424">
        <w:t>; and</w:t>
      </w:r>
    </w:p>
    <w:p w14:paraId="7AFFE110" w14:textId="77777777" w:rsidR="00E93F58" w:rsidRPr="00283424" w:rsidRDefault="00E93F58" w:rsidP="00B50726">
      <w:pPr>
        <w:pStyle w:val="paragraph"/>
      </w:pPr>
      <w:r w:rsidRPr="00283424">
        <w:tab/>
        <w:t>(c)</w:t>
      </w:r>
      <w:r w:rsidRPr="00283424">
        <w:tab/>
        <w:t>annuity products; and</w:t>
      </w:r>
    </w:p>
    <w:p w14:paraId="456A2EB4" w14:textId="77777777" w:rsidR="00E93F58" w:rsidRPr="00283424" w:rsidRDefault="00E93F58" w:rsidP="00B50726">
      <w:pPr>
        <w:pStyle w:val="paragraph"/>
      </w:pPr>
      <w:r w:rsidRPr="00283424">
        <w:tab/>
        <w:t>(e)</w:t>
      </w:r>
      <w:r w:rsidRPr="00283424">
        <w:tab/>
        <w:t xml:space="preserve">a </w:t>
      </w:r>
      <w:r w:rsidRPr="00BE1284">
        <w:t>standard margin lending facility</w:t>
      </w:r>
      <w:r w:rsidRPr="00283424">
        <w:t>; and</w:t>
      </w:r>
    </w:p>
    <w:p w14:paraId="158E8E07" w14:textId="77777777" w:rsidR="00E93F58" w:rsidRPr="00283424" w:rsidRDefault="00E93F58" w:rsidP="00B50726">
      <w:pPr>
        <w:pStyle w:val="paragraph"/>
      </w:pPr>
      <w:r w:rsidRPr="00283424">
        <w:tab/>
        <w:t>(f)</w:t>
      </w:r>
      <w:r w:rsidRPr="00283424">
        <w:tab/>
        <w:t>a superannuation product to which Subdivision 4.2B of this Division applies; and</w:t>
      </w:r>
    </w:p>
    <w:p w14:paraId="18EB65D5" w14:textId="77777777" w:rsidR="00E93F58" w:rsidRPr="00283424" w:rsidRDefault="00E93F58" w:rsidP="00B50726">
      <w:pPr>
        <w:pStyle w:val="paragraph"/>
      </w:pPr>
      <w:r w:rsidRPr="00283424">
        <w:tab/>
        <w:t>(g)</w:t>
      </w:r>
      <w:r w:rsidRPr="00283424">
        <w:tab/>
        <w:t>a simple managed investment scheme to which Subdivision 4.2C of Division 4 of Part 7.9 applies; and</w:t>
      </w:r>
    </w:p>
    <w:p w14:paraId="19AE5434" w14:textId="77777777" w:rsidR="00E93F58" w:rsidRPr="00283424" w:rsidRDefault="00E93F58" w:rsidP="00B50726">
      <w:pPr>
        <w:pStyle w:val="paragraph"/>
      </w:pPr>
      <w:r w:rsidRPr="00283424">
        <w:tab/>
        <w:t>(h)</w:t>
      </w:r>
      <w:r w:rsidRPr="00283424">
        <w:tab/>
        <w:t>a simple sub</w:t>
      </w:r>
      <w:r>
        <w:noBreakHyphen/>
      </w:r>
      <w:r w:rsidRPr="00283424">
        <w:t>fund product to which Subdivision 4.2D of this Division applies.</w:t>
      </w:r>
    </w:p>
    <w:p w14:paraId="4FE10EBB" w14:textId="77777777" w:rsidR="00E93F58" w:rsidRPr="00283424" w:rsidRDefault="00E93F58" w:rsidP="00B50726">
      <w:pPr>
        <w:pStyle w:val="subsection"/>
      </w:pPr>
      <w:r w:rsidRPr="00283424">
        <w:tab/>
        <w:t>(2)</w:t>
      </w:r>
      <w:r w:rsidRPr="00283424">
        <w:tab/>
        <w:t>Each of the Subdivisions of this Division has an application provision:</w:t>
      </w:r>
    </w:p>
    <w:p w14:paraId="07FEEC7C" w14:textId="77777777" w:rsidR="00E93F58" w:rsidRPr="00283424" w:rsidRDefault="00E93F58" w:rsidP="00B50726">
      <w:pPr>
        <w:pStyle w:val="paragraph"/>
      </w:pPr>
      <w:r w:rsidRPr="00283424">
        <w:rPr>
          <w:color w:val="000000"/>
        </w:rPr>
        <w:tab/>
        <w:t>(a)</w:t>
      </w:r>
      <w:r w:rsidRPr="00283424">
        <w:rPr>
          <w:color w:val="000000"/>
        </w:rPr>
        <w:tab/>
        <w:t>stating the types of entity in relation to which the Subdivision applies; and</w:t>
      </w:r>
    </w:p>
    <w:p w14:paraId="59C30EA3" w14:textId="77777777" w:rsidR="00E93F58" w:rsidRPr="00283424" w:rsidRDefault="00E93F58" w:rsidP="00B50726">
      <w:pPr>
        <w:pStyle w:val="paragraph"/>
      </w:pPr>
      <w:r w:rsidRPr="00283424">
        <w:tab/>
        <w:t>(b)</w:t>
      </w:r>
      <w:r w:rsidRPr="00283424">
        <w:tab/>
        <w:t>referring to any provisions that limit or restrict the application of the Subdivision or a particular provision.</w:t>
      </w:r>
    </w:p>
    <w:p w14:paraId="2B1568E5" w14:textId="77777777" w:rsidR="00E93F58" w:rsidRPr="00283424" w:rsidRDefault="00E93F58" w:rsidP="00B50726">
      <w:pPr>
        <w:pStyle w:val="notetext"/>
      </w:pPr>
      <w:r w:rsidRPr="00283424">
        <w:rPr>
          <w:color w:val="000000"/>
        </w:rPr>
        <w:t>Note:</w:t>
      </w:r>
      <w:r w:rsidRPr="00283424">
        <w:rPr>
          <w:color w:val="000000"/>
        </w:rPr>
        <w:tab/>
        <w:t xml:space="preserve">Information content requirements are set out in the main provisions of section 1013D of the Act. These Regulations set out a more detailed statement of the information required under subsection 1013D(1) that the retail clients of superannuation products and </w:t>
      </w:r>
      <w:r w:rsidRPr="00BE1284">
        <w:t>RSAs</w:t>
      </w:r>
      <w:r w:rsidRPr="00283424">
        <w:rPr>
          <w:color w:val="000000"/>
        </w:rPr>
        <w:t xml:space="preserve"> would reasonably require for the purpose of making a decision whether to acquire the financial product.</w:t>
      </w:r>
    </w:p>
    <w:p w14:paraId="6F65DF52" w14:textId="77777777" w:rsidR="00E93F58" w:rsidRPr="00283424" w:rsidRDefault="00E93F58" w:rsidP="00B50726">
      <w:pPr>
        <w:pStyle w:val="ActHead4"/>
      </w:pPr>
      <w:bookmarkStart w:id="1550" w:name="_Toc152054751"/>
      <w:bookmarkStart w:id="1551" w:name="_Toc158712567"/>
      <w:r w:rsidRPr="006F296E">
        <w:rPr>
          <w:rStyle w:val="CharSubdNo"/>
        </w:rPr>
        <w:t>Subdivision 4.1A</w:t>
      </w:r>
      <w:r w:rsidRPr="00283424">
        <w:t>—</w:t>
      </w:r>
      <w:r w:rsidRPr="006F296E">
        <w:rPr>
          <w:rStyle w:val="CharSubdText"/>
        </w:rPr>
        <w:t>No Product Disclosure Statement for carbon units, Australian carbon credit units and eligible international emissions units</w:t>
      </w:r>
      <w:bookmarkEnd w:id="1550"/>
      <w:bookmarkEnd w:id="1551"/>
    </w:p>
    <w:p w14:paraId="32354D98" w14:textId="77777777" w:rsidR="00E93F58" w:rsidRPr="00283424" w:rsidRDefault="00E93F58" w:rsidP="00B50726">
      <w:pPr>
        <w:pStyle w:val="ActHead5"/>
      </w:pPr>
      <w:bookmarkStart w:id="1552" w:name="_Toc152054752"/>
      <w:bookmarkStart w:id="1553" w:name="_Toc158712568"/>
      <w:r w:rsidRPr="006F296E">
        <w:rPr>
          <w:rStyle w:val="CharSectno"/>
        </w:rPr>
        <w:t>7.9.09A</w:t>
      </w:r>
      <w:r w:rsidRPr="00283424">
        <w:t xml:space="preserve">  Application of this Subdivision</w:t>
      </w:r>
      <w:bookmarkEnd w:id="1552"/>
      <w:bookmarkEnd w:id="1553"/>
    </w:p>
    <w:p w14:paraId="41EE7CFC" w14:textId="77777777" w:rsidR="00E93F58" w:rsidRPr="00283424" w:rsidRDefault="00E93F58" w:rsidP="00B50726">
      <w:pPr>
        <w:pStyle w:val="subsection"/>
      </w:pPr>
      <w:r w:rsidRPr="00283424">
        <w:tab/>
      </w:r>
      <w:r w:rsidRPr="00283424">
        <w:tab/>
        <w:t>This Subdivision applies:</w:t>
      </w:r>
    </w:p>
    <w:p w14:paraId="753DB54C" w14:textId="77777777" w:rsidR="00E93F58" w:rsidRPr="00283424" w:rsidRDefault="00E93F58" w:rsidP="00B50726">
      <w:pPr>
        <w:pStyle w:val="paragraph"/>
      </w:pPr>
      <w:r w:rsidRPr="00283424">
        <w:tab/>
        <w:t>(a)</w:t>
      </w:r>
      <w:r w:rsidRPr="00283424">
        <w:tab/>
        <w:t>to a person who, apart from this Subdivision, would be required to give a Product Disclosure Statement for a carbon unit, an Australian carbon credit unit or an eligible international emissions unit; and</w:t>
      </w:r>
    </w:p>
    <w:p w14:paraId="5B611813" w14:textId="77777777" w:rsidR="00E93F58" w:rsidRPr="00283424" w:rsidRDefault="00E93F58" w:rsidP="00B50726">
      <w:pPr>
        <w:pStyle w:val="paragraph"/>
      </w:pPr>
      <w:r w:rsidRPr="00283424">
        <w:tab/>
        <w:t>(b)</w:t>
      </w:r>
      <w:r w:rsidRPr="00283424">
        <w:tab/>
        <w:t>in relation to a carbon unit, an Australian carbon credit unit or an eligible international emissions unit.</w:t>
      </w:r>
    </w:p>
    <w:p w14:paraId="36E5674C" w14:textId="77777777" w:rsidR="00E93F58" w:rsidRPr="00283424" w:rsidRDefault="00E93F58" w:rsidP="00B50726">
      <w:pPr>
        <w:pStyle w:val="ActHead5"/>
      </w:pPr>
      <w:bookmarkStart w:id="1554" w:name="_Toc152054753"/>
      <w:bookmarkStart w:id="1555" w:name="_Toc158712569"/>
      <w:r w:rsidRPr="006F296E">
        <w:rPr>
          <w:rStyle w:val="CharSectno"/>
        </w:rPr>
        <w:t>7.9.09B</w:t>
      </w:r>
      <w:r w:rsidRPr="00283424">
        <w:t xml:space="preserve">  Provisions of Part 7.9 of Act that do not apply in relation to carbon units, Australian carbon credit units and eligible international emissions units</w:t>
      </w:r>
      <w:bookmarkEnd w:id="1554"/>
      <w:bookmarkEnd w:id="1555"/>
    </w:p>
    <w:p w14:paraId="19B892A6" w14:textId="77777777" w:rsidR="00E93F58" w:rsidRPr="00283424" w:rsidRDefault="00E93F58" w:rsidP="00B50726">
      <w:pPr>
        <w:pStyle w:val="subsection"/>
      </w:pPr>
      <w:r w:rsidRPr="00283424">
        <w:tab/>
      </w:r>
      <w:r w:rsidRPr="00283424">
        <w:tab/>
        <w:t>For paragraph 1020G(1)(b) of the Act, the following provisions of Part 7.9 of the Act do not apply in relation to a carbon unit, an Australian carbon credit unit or an eligible international emissions unit:</w:t>
      </w:r>
    </w:p>
    <w:p w14:paraId="58DE9B15" w14:textId="77777777" w:rsidR="00E93F58" w:rsidRPr="00283424" w:rsidRDefault="00E93F58" w:rsidP="00B50726">
      <w:pPr>
        <w:pStyle w:val="paragraph"/>
      </w:pPr>
      <w:r w:rsidRPr="00283424">
        <w:tab/>
        <w:t>(a)</w:t>
      </w:r>
      <w:r w:rsidRPr="00283424">
        <w:tab/>
        <w:t>subparagraph 1012A(3)(b)(i);</w:t>
      </w:r>
    </w:p>
    <w:p w14:paraId="6EF057FB" w14:textId="77777777" w:rsidR="00E93F58" w:rsidRPr="00283424" w:rsidRDefault="00E93F58" w:rsidP="00B50726">
      <w:pPr>
        <w:pStyle w:val="paragraph"/>
      </w:pPr>
      <w:r w:rsidRPr="00283424">
        <w:tab/>
        <w:t>(b)</w:t>
      </w:r>
      <w:r w:rsidRPr="00283424">
        <w:tab/>
        <w:t>subparagraph 1012A(3)(b)(ii);</w:t>
      </w:r>
    </w:p>
    <w:p w14:paraId="156C32D8" w14:textId="77777777" w:rsidR="00E93F58" w:rsidRPr="00283424" w:rsidRDefault="00E93F58" w:rsidP="00B50726">
      <w:pPr>
        <w:pStyle w:val="paragraph"/>
      </w:pPr>
      <w:r w:rsidRPr="00283424">
        <w:tab/>
        <w:t>(c)</w:t>
      </w:r>
      <w:r w:rsidRPr="00283424">
        <w:tab/>
        <w:t>subparagraph 1012B(3)(a)(ii);</w:t>
      </w:r>
    </w:p>
    <w:p w14:paraId="72E74947" w14:textId="77777777" w:rsidR="00E93F58" w:rsidRPr="00283424" w:rsidRDefault="00E93F58" w:rsidP="00B50726">
      <w:pPr>
        <w:pStyle w:val="paragraph"/>
      </w:pPr>
      <w:r w:rsidRPr="00283424">
        <w:tab/>
        <w:t>(d)</w:t>
      </w:r>
      <w:r w:rsidRPr="00283424">
        <w:tab/>
        <w:t>paragraph 1012C(3)(b);</w:t>
      </w:r>
    </w:p>
    <w:p w14:paraId="2DF32D91" w14:textId="77777777" w:rsidR="00E93F58" w:rsidRPr="00283424" w:rsidRDefault="00E93F58" w:rsidP="00B50726">
      <w:pPr>
        <w:pStyle w:val="paragraph"/>
      </w:pPr>
      <w:r w:rsidRPr="00283424">
        <w:tab/>
        <w:t>(e)</w:t>
      </w:r>
      <w:r w:rsidRPr="00283424">
        <w:tab/>
        <w:t>paragraph 1012C(4)(c);</w:t>
      </w:r>
    </w:p>
    <w:p w14:paraId="6527E86B" w14:textId="77777777" w:rsidR="00E93F58" w:rsidRPr="00283424" w:rsidRDefault="00E93F58" w:rsidP="00B50726">
      <w:pPr>
        <w:pStyle w:val="paragraph"/>
      </w:pPr>
      <w:r w:rsidRPr="00283424">
        <w:tab/>
        <w:t>(f)</w:t>
      </w:r>
      <w:r w:rsidRPr="00283424">
        <w:tab/>
        <w:t>subsection 1012C(6);</w:t>
      </w:r>
    </w:p>
    <w:p w14:paraId="470C3B6B" w14:textId="77777777" w:rsidR="00E93F58" w:rsidRPr="00283424" w:rsidRDefault="00E93F58" w:rsidP="00B50726">
      <w:pPr>
        <w:pStyle w:val="paragraph"/>
      </w:pPr>
      <w:r w:rsidRPr="00283424">
        <w:tab/>
        <w:t>(g)</w:t>
      </w:r>
      <w:r w:rsidRPr="00283424">
        <w:tab/>
        <w:t>section 1013A;</w:t>
      </w:r>
    </w:p>
    <w:p w14:paraId="3B505CF3" w14:textId="77777777" w:rsidR="00E93F58" w:rsidRPr="00283424" w:rsidRDefault="00E93F58" w:rsidP="00B50726">
      <w:pPr>
        <w:pStyle w:val="paragraph"/>
      </w:pPr>
      <w:r w:rsidRPr="00283424">
        <w:tab/>
        <w:t>(h)</w:t>
      </w:r>
      <w:r w:rsidRPr="00283424">
        <w:tab/>
        <w:t>section 1013B;</w:t>
      </w:r>
    </w:p>
    <w:p w14:paraId="150AB165" w14:textId="77777777" w:rsidR="00E93F58" w:rsidRPr="00283424" w:rsidRDefault="00E93F58" w:rsidP="00B50726">
      <w:pPr>
        <w:pStyle w:val="paragraph"/>
      </w:pPr>
      <w:r w:rsidRPr="00283424">
        <w:tab/>
        <w:t>(i)</w:t>
      </w:r>
      <w:r w:rsidRPr="00283424">
        <w:tab/>
        <w:t>section 1013C;</w:t>
      </w:r>
    </w:p>
    <w:p w14:paraId="56441E5F" w14:textId="77777777" w:rsidR="00E93F58" w:rsidRPr="00283424" w:rsidRDefault="00E93F58" w:rsidP="00B50726">
      <w:pPr>
        <w:pStyle w:val="paragraph"/>
      </w:pPr>
      <w:r w:rsidRPr="00283424">
        <w:tab/>
        <w:t>(j)</w:t>
      </w:r>
      <w:r w:rsidRPr="00283424">
        <w:tab/>
        <w:t>section 1013D;</w:t>
      </w:r>
    </w:p>
    <w:p w14:paraId="0E4E0293" w14:textId="77777777" w:rsidR="00E93F58" w:rsidRPr="00283424" w:rsidRDefault="00E93F58" w:rsidP="00B50726">
      <w:pPr>
        <w:pStyle w:val="paragraph"/>
      </w:pPr>
      <w:r w:rsidRPr="00283424">
        <w:tab/>
        <w:t>(k)</w:t>
      </w:r>
      <w:r w:rsidRPr="00283424">
        <w:tab/>
        <w:t>section 1013E;</w:t>
      </w:r>
    </w:p>
    <w:p w14:paraId="61C56FA2" w14:textId="77777777" w:rsidR="00E93F58" w:rsidRPr="00283424" w:rsidRDefault="00E93F58" w:rsidP="00B50726">
      <w:pPr>
        <w:pStyle w:val="paragraph"/>
      </w:pPr>
      <w:r w:rsidRPr="00283424">
        <w:tab/>
        <w:t>(l)</w:t>
      </w:r>
      <w:r w:rsidRPr="00283424">
        <w:tab/>
        <w:t>section 1013F;</w:t>
      </w:r>
    </w:p>
    <w:p w14:paraId="6E587676" w14:textId="77777777" w:rsidR="00E93F58" w:rsidRPr="00283424" w:rsidRDefault="00E93F58" w:rsidP="00B50726">
      <w:pPr>
        <w:pStyle w:val="paragraph"/>
      </w:pPr>
      <w:r w:rsidRPr="00283424">
        <w:tab/>
        <w:t>(m)</w:t>
      </w:r>
      <w:r w:rsidRPr="00283424">
        <w:tab/>
        <w:t>section 1013G.</w:t>
      </w:r>
    </w:p>
    <w:p w14:paraId="52C57A30" w14:textId="77777777" w:rsidR="00E93F58" w:rsidRPr="00283424" w:rsidRDefault="00E93F58" w:rsidP="00B50726">
      <w:pPr>
        <w:pStyle w:val="ActHead5"/>
      </w:pPr>
      <w:bookmarkStart w:id="1556" w:name="_Toc152054754"/>
      <w:bookmarkStart w:id="1557" w:name="_Toc158712570"/>
      <w:r w:rsidRPr="006F296E">
        <w:rPr>
          <w:rStyle w:val="CharSectno"/>
        </w:rPr>
        <w:t>7.9.09C</w:t>
      </w:r>
      <w:r w:rsidRPr="00283424">
        <w:t xml:space="preserve">  Modification of Act</w:t>
      </w:r>
      <w:bookmarkEnd w:id="1556"/>
      <w:bookmarkEnd w:id="1557"/>
    </w:p>
    <w:p w14:paraId="7CED5DDF" w14:textId="77777777" w:rsidR="00E93F58" w:rsidRPr="00283424" w:rsidRDefault="00E93F58" w:rsidP="00B50726">
      <w:pPr>
        <w:pStyle w:val="subsection"/>
      </w:pPr>
      <w:r w:rsidRPr="00283424">
        <w:tab/>
      </w:r>
      <w:r w:rsidRPr="00283424">
        <w:tab/>
        <w:t>For paragraph 1020G(1)(c) of the Act, Part 7.9 of the Act is modified in its application to a carbon unit, an Australian carbon credit unit or an eligible international emissions unit as set out in Part 19 of Schedule 10A.</w:t>
      </w:r>
    </w:p>
    <w:p w14:paraId="39373D6E" w14:textId="77777777" w:rsidR="00E93F58" w:rsidRPr="00283424" w:rsidRDefault="00E93F58" w:rsidP="00B50726">
      <w:pPr>
        <w:pStyle w:val="ActHead4"/>
      </w:pPr>
      <w:bookmarkStart w:id="1558" w:name="_Toc152054755"/>
      <w:bookmarkStart w:id="1559" w:name="_Toc158712571"/>
      <w:r w:rsidRPr="006F296E">
        <w:rPr>
          <w:rStyle w:val="CharSubdNo"/>
        </w:rPr>
        <w:lastRenderedPageBreak/>
        <w:t>Subdivision 4.2A</w:t>
      </w:r>
      <w:r w:rsidRPr="00283424">
        <w:t>—</w:t>
      </w:r>
      <w:r w:rsidRPr="006F296E">
        <w:rPr>
          <w:rStyle w:val="CharSubdText"/>
        </w:rPr>
        <w:t xml:space="preserve">Form and content of Product Disclosure Statement for </w:t>
      </w:r>
      <w:r w:rsidRPr="00BF00BF">
        <w:rPr>
          <w:rStyle w:val="CharSubdText"/>
        </w:rPr>
        <w:t>standard margin lending facility</w:t>
      </w:r>
      <w:bookmarkEnd w:id="1558"/>
      <w:bookmarkEnd w:id="1559"/>
    </w:p>
    <w:p w14:paraId="173C83E6" w14:textId="77777777" w:rsidR="00E93F58" w:rsidRPr="00283424" w:rsidRDefault="00E93F58" w:rsidP="00B50726">
      <w:pPr>
        <w:pStyle w:val="ActHead5"/>
      </w:pPr>
      <w:bookmarkStart w:id="1560" w:name="_Toc152054756"/>
      <w:bookmarkStart w:id="1561" w:name="_Toc158712572"/>
      <w:r w:rsidRPr="006F296E">
        <w:rPr>
          <w:rStyle w:val="CharSectno"/>
        </w:rPr>
        <w:t>7.9.11</w:t>
      </w:r>
      <w:r w:rsidRPr="00283424">
        <w:t xml:space="preserve">  Application of this Subdivision</w:t>
      </w:r>
      <w:bookmarkEnd w:id="1560"/>
      <w:bookmarkEnd w:id="1561"/>
    </w:p>
    <w:p w14:paraId="079CC75B" w14:textId="77777777" w:rsidR="00E93F58" w:rsidRPr="00283424" w:rsidRDefault="00E93F58" w:rsidP="00B50726">
      <w:pPr>
        <w:pStyle w:val="subsection"/>
      </w:pPr>
      <w:r w:rsidRPr="00283424">
        <w:tab/>
      </w:r>
      <w:r w:rsidRPr="00283424">
        <w:tab/>
        <w:t>This Subdivision applies to:</w:t>
      </w:r>
    </w:p>
    <w:p w14:paraId="24989566" w14:textId="77777777" w:rsidR="00E93F58" w:rsidRPr="00283424" w:rsidRDefault="00E93F58" w:rsidP="00B50726">
      <w:pPr>
        <w:pStyle w:val="paragraph"/>
      </w:pPr>
      <w:r w:rsidRPr="00283424">
        <w:tab/>
        <w:t>(a)</w:t>
      </w:r>
      <w:r w:rsidRPr="00283424">
        <w:tab/>
        <w:t xml:space="preserve">a person who is required to prepare a Product Disclosure Statement for a </w:t>
      </w:r>
      <w:r w:rsidRPr="00BE1284">
        <w:t>standard margin lending facility</w:t>
      </w:r>
      <w:r w:rsidRPr="00283424">
        <w:t>; and</w:t>
      </w:r>
    </w:p>
    <w:p w14:paraId="0CA82B65" w14:textId="77777777" w:rsidR="00E93F58" w:rsidRPr="00283424" w:rsidRDefault="00E93F58" w:rsidP="00B50726">
      <w:pPr>
        <w:pStyle w:val="paragraph"/>
      </w:pPr>
      <w:r w:rsidRPr="00283424">
        <w:tab/>
        <w:t>(b)</w:t>
      </w:r>
      <w:r w:rsidRPr="00283424">
        <w:tab/>
        <w:t xml:space="preserve">a Product Disclosure Statement for a </w:t>
      </w:r>
      <w:r w:rsidRPr="00BE1284">
        <w:t>standard margin lending facility</w:t>
      </w:r>
      <w:r w:rsidRPr="00283424">
        <w:t>.</w:t>
      </w:r>
    </w:p>
    <w:p w14:paraId="2A958428" w14:textId="77777777" w:rsidR="00E93F58" w:rsidRPr="00283424" w:rsidRDefault="00E93F58" w:rsidP="00B50726">
      <w:pPr>
        <w:pStyle w:val="ActHead5"/>
      </w:pPr>
      <w:bookmarkStart w:id="1562" w:name="_Toc152054757"/>
      <w:bookmarkStart w:id="1563" w:name="_Toc158712573"/>
      <w:r w:rsidRPr="006F296E">
        <w:rPr>
          <w:rStyle w:val="CharSectno"/>
        </w:rPr>
        <w:t>7.9.11A</w:t>
      </w:r>
      <w:r w:rsidRPr="00283424">
        <w:t xml:space="preserve">  Provisions of Part 7.7 of Act that do not apply in relation to </w:t>
      </w:r>
      <w:r w:rsidRPr="00D3778E">
        <w:t>standard margin lending facility</w:t>
      </w:r>
      <w:bookmarkEnd w:id="1562"/>
      <w:bookmarkEnd w:id="1563"/>
    </w:p>
    <w:p w14:paraId="44FBAA6E" w14:textId="77777777" w:rsidR="00E93F58" w:rsidRPr="00283424" w:rsidRDefault="00E93F58" w:rsidP="00B50726">
      <w:pPr>
        <w:pStyle w:val="subsection"/>
        <w:keepNext/>
        <w:keepLines/>
      </w:pPr>
      <w:r w:rsidRPr="00283424">
        <w:tab/>
      </w:r>
      <w:r w:rsidRPr="00283424">
        <w:tab/>
        <w:t xml:space="preserve">For paragraph 951C(1)(b) of the Act, section 942DA of the Act does not apply in relation to a </w:t>
      </w:r>
      <w:r w:rsidRPr="00BE1284">
        <w:t>standard margin lending facility</w:t>
      </w:r>
      <w:r w:rsidRPr="00283424">
        <w:t>.</w:t>
      </w:r>
    </w:p>
    <w:p w14:paraId="05C604C6" w14:textId="77777777" w:rsidR="00E93F58" w:rsidRPr="00283424" w:rsidRDefault="00E93F58" w:rsidP="00B50726">
      <w:pPr>
        <w:pStyle w:val="ActHead5"/>
      </w:pPr>
      <w:bookmarkStart w:id="1564" w:name="_Toc152054758"/>
      <w:bookmarkStart w:id="1565" w:name="_Toc158712574"/>
      <w:r w:rsidRPr="006F296E">
        <w:rPr>
          <w:rStyle w:val="CharSectno"/>
        </w:rPr>
        <w:t>7.9.11B</w:t>
      </w:r>
      <w:r w:rsidRPr="00283424">
        <w:t xml:space="preserve">  Definitions for Subdivision 4.2A</w:t>
      </w:r>
      <w:bookmarkEnd w:id="1564"/>
      <w:bookmarkEnd w:id="1565"/>
    </w:p>
    <w:p w14:paraId="18B1C5FF" w14:textId="77777777" w:rsidR="00E93F58" w:rsidRPr="00283424" w:rsidRDefault="00E93F58" w:rsidP="00B50726">
      <w:pPr>
        <w:pStyle w:val="subsection"/>
      </w:pPr>
      <w:r w:rsidRPr="00283424">
        <w:tab/>
        <w:t>(1)</w:t>
      </w:r>
      <w:r w:rsidRPr="00283424">
        <w:tab/>
        <w:t>In this Subdivision and in Schedule 10C:</w:t>
      </w:r>
    </w:p>
    <w:p w14:paraId="77058599" w14:textId="77777777" w:rsidR="00E93F58" w:rsidRPr="00283424" w:rsidRDefault="00E93F58" w:rsidP="00B50726">
      <w:pPr>
        <w:pStyle w:val="Definition"/>
      </w:pPr>
      <w:r w:rsidRPr="00283424">
        <w:rPr>
          <w:b/>
          <w:i/>
        </w:rPr>
        <w:t>Approved Securities List</w:t>
      </w:r>
      <w:r w:rsidRPr="00283424">
        <w:t xml:space="preserve"> means the list of secured properties that are acceptable for the provider or potential provider of a </w:t>
      </w:r>
      <w:r w:rsidRPr="00BE1284">
        <w:t>standard margin lending facility</w:t>
      </w:r>
      <w:r>
        <w:t xml:space="preserve"> as security for the facility</w:t>
      </w:r>
      <w:r w:rsidRPr="00283424">
        <w:t xml:space="preserve"> and includes the amount of credit the provider will give for each of the properties.</w:t>
      </w:r>
    </w:p>
    <w:p w14:paraId="29E3471A" w14:textId="77777777" w:rsidR="00E93F58" w:rsidRPr="00283424" w:rsidRDefault="00E93F58" w:rsidP="00B50726">
      <w:pPr>
        <w:pStyle w:val="subsection"/>
      </w:pPr>
      <w:r w:rsidRPr="00283424">
        <w:tab/>
        <w:t>(2)</w:t>
      </w:r>
      <w:r w:rsidRPr="00283424">
        <w:tab/>
        <w:t xml:space="preserve">In this Subdivision and in Schedule 10C, a provision of the Act that is modified in accordance with regulation 7.9.11C is referred to as </w:t>
      </w:r>
      <w:r w:rsidRPr="00283424">
        <w:rPr>
          <w:b/>
          <w:i/>
        </w:rPr>
        <w:t>modified</w:t>
      </w:r>
      <w:r w:rsidRPr="00283424">
        <w:t>.</w:t>
      </w:r>
    </w:p>
    <w:p w14:paraId="0F2B887D" w14:textId="77777777" w:rsidR="00E93F58" w:rsidRPr="00283424" w:rsidRDefault="00E93F58" w:rsidP="00B50726">
      <w:pPr>
        <w:pStyle w:val="notetext"/>
      </w:pPr>
      <w:r w:rsidRPr="00283424">
        <w:t>Example:</w:t>
      </w:r>
      <w:r w:rsidRPr="00283424">
        <w:tab/>
        <w:t>Paragraphs 1013C(1)(a) and (b) of the Act as modified by subitem 5A.2(1) of Part 5A of Schedule 10A are referred to in this Subdivision as ‘modified paragraphs 1013C(1)(a) and (b)’.</w:t>
      </w:r>
    </w:p>
    <w:p w14:paraId="141FE74C" w14:textId="77777777" w:rsidR="00E93F58" w:rsidRPr="00283424" w:rsidRDefault="00E93F58" w:rsidP="00B50726">
      <w:pPr>
        <w:pStyle w:val="ActHead5"/>
      </w:pPr>
      <w:bookmarkStart w:id="1566" w:name="_Toc152054759"/>
      <w:bookmarkStart w:id="1567" w:name="_Toc158712575"/>
      <w:r w:rsidRPr="006F296E">
        <w:rPr>
          <w:rStyle w:val="CharSectno"/>
        </w:rPr>
        <w:t>7.9.11C</w:t>
      </w:r>
      <w:r w:rsidRPr="00283424">
        <w:t xml:space="preserve">  Modification of Act—</w:t>
      </w:r>
      <w:r w:rsidRPr="000711D5">
        <w:t>standard margin lending facility</w:t>
      </w:r>
      <w:bookmarkEnd w:id="1566"/>
      <w:bookmarkEnd w:id="1567"/>
    </w:p>
    <w:p w14:paraId="26F917D1" w14:textId="77777777" w:rsidR="00E93F58" w:rsidRPr="00283424" w:rsidRDefault="00E93F58" w:rsidP="00B50726">
      <w:pPr>
        <w:pStyle w:val="subsection"/>
      </w:pPr>
      <w:r w:rsidRPr="00283424">
        <w:tab/>
      </w:r>
      <w:r w:rsidRPr="00283424">
        <w:tab/>
        <w:t xml:space="preserve">For paragraph 1020G(1)(c) of the Act, Part 7.9 of the Act is modified in its application to a </w:t>
      </w:r>
      <w:r w:rsidRPr="00BE1284">
        <w:t>standard margin lending facility</w:t>
      </w:r>
      <w:r w:rsidRPr="00283424">
        <w:t xml:space="preserve"> as set out in Part 5A of Schedule 10A.</w:t>
      </w:r>
    </w:p>
    <w:p w14:paraId="3D137229" w14:textId="77777777" w:rsidR="00E93F58" w:rsidRPr="00283424" w:rsidRDefault="00E93F58" w:rsidP="00B50726">
      <w:pPr>
        <w:pStyle w:val="ActHead5"/>
      </w:pPr>
      <w:bookmarkStart w:id="1568" w:name="_Toc152054760"/>
      <w:bookmarkStart w:id="1569" w:name="_Toc158712576"/>
      <w:r w:rsidRPr="006F296E">
        <w:rPr>
          <w:rStyle w:val="CharSectno"/>
        </w:rPr>
        <w:t>7.9.11D</w:t>
      </w:r>
      <w:r w:rsidRPr="00283424">
        <w:t xml:space="preserve">  Form and content of Product Disclosure Statement for </w:t>
      </w:r>
      <w:r w:rsidRPr="000711D5">
        <w:t>standard margin lending facility</w:t>
      </w:r>
      <w:bookmarkEnd w:id="1568"/>
      <w:bookmarkEnd w:id="1569"/>
    </w:p>
    <w:p w14:paraId="2E0F6271" w14:textId="77777777" w:rsidR="00E93F58" w:rsidRPr="00283424" w:rsidRDefault="00E93F58" w:rsidP="00B50726">
      <w:pPr>
        <w:pStyle w:val="subsection"/>
      </w:pPr>
      <w:r w:rsidRPr="00283424">
        <w:tab/>
        <w:t>(1)</w:t>
      </w:r>
      <w:r w:rsidRPr="00283424">
        <w:tab/>
        <w:t xml:space="preserve">For modified paragraph 1013C(1)(a) of the Act, a Product Disclosure Statement for a </w:t>
      </w:r>
      <w:r w:rsidRPr="00BE1284">
        <w:t>standard margin lending facility</w:t>
      </w:r>
      <w:r w:rsidRPr="00283424">
        <w:t xml:space="preserve"> must include the information and statements mentioned in Schedule 10C.</w:t>
      </w:r>
    </w:p>
    <w:p w14:paraId="1F4050D6" w14:textId="77777777" w:rsidR="00E93F58" w:rsidRPr="00283424" w:rsidRDefault="00E93F58" w:rsidP="00B50726">
      <w:pPr>
        <w:pStyle w:val="subsection"/>
      </w:pPr>
      <w:r w:rsidRPr="00283424">
        <w:tab/>
        <w:t>(2)</w:t>
      </w:r>
      <w:r w:rsidRPr="00283424">
        <w:tab/>
        <w:t xml:space="preserve">For modified paragraph 1013C(1)(b) of the Act, a Product Disclosure Statement for a </w:t>
      </w:r>
      <w:r w:rsidRPr="00BE1284">
        <w:t>standard margin lending facility</w:t>
      </w:r>
      <w:r w:rsidRPr="00283424">
        <w:t xml:space="preserve"> must be in the form mentioned in Schedule 10C.</w:t>
      </w:r>
    </w:p>
    <w:p w14:paraId="0169D5AC" w14:textId="77777777" w:rsidR="00E93F58" w:rsidRPr="00283424" w:rsidRDefault="00E93F58" w:rsidP="00B50726">
      <w:pPr>
        <w:pStyle w:val="ActHead5"/>
      </w:pPr>
      <w:bookmarkStart w:id="1570" w:name="_Toc152054761"/>
      <w:bookmarkStart w:id="1571" w:name="_Toc158712577"/>
      <w:r w:rsidRPr="006F296E">
        <w:rPr>
          <w:rStyle w:val="CharSectno"/>
        </w:rPr>
        <w:t>7.9.11E</w:t>
      </w:r>
      <w:r w:rsidRPr="00283424">
        <w:t xml:space="preserve">  Requirements for references to incorporated information for </w:t>
      </w:r>
      <w:r w:rsidRPr="0041227C">
        <w:t>standard margin lending facility</w:t>
      </w:r>
      <w:bookmarkEnd w:id="1570"/>
      <w:bookmarkEnd w:id="1571"/>
    </w:p>
    <w:p w14:paraId="5436D63D" w14:textId="77777777" w:rsidR="00E93F58" w:rsidRPr="00283424" w:rsidRDefault="00E93F58" w:rsidP="00B50726">
      <w:pPr>
        <w:pStyle w:val="subsection"/>
        <w:keepNext/>
        <w:keepLines/>
      </w:pPr>
      <w:r w:rsidRPr="00283424">
        <w:tab/>
        <w:t>(1)</w:t>
      </w:r>
      <w:r w:rsidRPr="00283424">
        <w:tab/>
        <w:t xml:space="preserve">For subsection 1013C(1D) of the Act, as modified by Part 5A of Schedule 10A, this regulation prescribes requirements for applying, adopting or incorporating, in a Product Disclosure Statement for a </w:t>
      </w:r>
      <w:r w:rsidRPr="00BE1284">
        <w:t>standard margin lending facility</w:t>
      </w:r>
      <w:r w:rsidRPr="00283424">
        <w:t>, a matter contained in writing.</w:t>
      </w:r>
    </w:p>
    <w:p w14:paraId="56C5C930" w14:textId="77777777" w:rsidR="00E93F58" w:rsidRPr="00283424" w:rsidRDefault="00E93F58" w:rsidP="00B50726">
      <w:pPr>
        <w:pStyle w:val="subsection"/>
      </w:pPr>
      <w:r w:rsidRPr="00283424">
        <w:tab/>
        <w:t>(2)</w:t>
      </w:r>
      <w:r w:rsidRPr="00283424">
        <w:tab/>
        <w:t>A Product Disclosure Statement may apply, adopt or incorporate a matter only if a provision of these Regulations requires or permits the matter to be applied, adopted or incorporated by the Statement.</w:t>
      </w:r>
    </w:p>
    <w:p w14:paraId="7CC4125F" w14:textId="77777777" w:rsidR="00E93F58" w:rsidRPr="00283424" w:rsidRDefault="00E93F58" w:rsidP="00B50726">
      <w:pPr>
        <w:pStyle w:val="subsection"/>
      </w:pPr>
      <w:r w:rsidRPr="00283424">
        <w:tab/>
        <w:t>(3)</w:t>
      </w:r>
      <w:r w:rsidRPr="00283424">
        <w:tab/>
        <w:t>If a Product Disclosure Statement applies, adopts or incorporates a matter:</w:t>
      </w:r>
    </w:p>
    <w:p w14:paraId="0901C1D9" w14:textId="77777777" w:rsidR="00E93F58" w:rsidRPr="00283424" w:rsidRDefault="00E93F58" w:rsidP="00B50726">
      <w:pPr>
        <w:pStyle w:val="paragraph"/>
      </w:pPr>
      <w:r w:rsidRPr="00283424">
        <w:tab/>
        <w:t>(a)</w:t>
      </w:r>
      <w:r w:rsidRPr="00283424">
        <w:tab/>
        <w:t>the matter must be:</w:t>
      </w:r>
    </w:p>
    <w:p w14:paraId="237654B6" w14:textId="77777777" w:rsidR="00E93F58" w:rsidRPr="00283424" w:rsidRDefault="00E93F58" w:rsidP="00B50726">
      <w:pPr>
        <w:pStyle w:val="paragraphsub"/>
      </w:pPr>
      <w:r w:rsidRPr="00283424">
        <w:tab/>
        <w:t>(i)</w:t>
      </w:r>
      <w:r w:rsidRPr="00283424">
        <w:tab/>
        <w:t>in writing; and</w:t>
      </w:r>
    </w:p>
    <w:p w14:paraId="0D9C8A69" w14:textId="77777777" w:rsidR="00E93F58" w:rsidRPr="00283424" w:rsidRDefault="00E93F58" w:rsidP="00B50726">
      <w:pPr>
        <w:pStyle w:val="paragraphsub"/>
      </w:pPr>
      <w:r w:rsidRPr="00283424">
        <w:tab/>
        <w:t>(ii)</w:t>
      </w:r>
      <w:r w:rsidRPr="00283424">
        <w:tab/>
        <w:t>clearly distinguishable from any other matters that are not applied, adopted or incorporated; and</w:t>
      </w:r>
    </w:p>
    <w:p w14:paraId="49768BC7" w14:textId="77777777" w:rsidR="00E93F58" w:rsidRPr="00283424" w:rsidRDefault="00E93F58" w:rsidP="00B50726">
      <w:pPr>
        <w:pStyle w:val="paragraphsub"/>
      </w:pPr>
      <w:r w:rsidRPr="00283424">
        <w:tab/>
        <w:t>(iii)</w:t>
      </w:r>
      <w:r w:rsidRPr="00283424">
        <w:tab/>
        <w:t>publicly available in a document other than the Statement; and</w:t>
      </w:r>
    </w:p>
    <w:p w14:paraId="63DD1C85" w14:textId="77777777" w:rsidR="00E93F58" w:rsidRPr="00283424" w:rsidRDefault="00E93F58" w:rsidP="00B50726">
      <w:pPr>
        <w:pStyle w:val="paragraph"/>
      </w:pPr>
      <w:r w:rsidRPr="00283424">
        <w:tab/>
        <w:t>(b)</w:t>
      </w:r>
      <w:r w:rsidRPr="00283424">
        <w:tab/>
        <w:t>the responsible person for the Statement must identify the matter by:</w:t>
      </w:r>
    </w:p>
    <w:p w14:paraId="349C023E" w14:textId="77777777" w:rsidR="00E93F58" w:rsidRPr="00283424" w:rsidRDefault="00E93F58" w:rsidP="00B50726">
      <w:pPr>
        <w:pStyle w:val="paragraphsub"/>
      </w:pPr>
      <w:r w:rsidRPr="00283424">
        <w:tab/>
        <w:t>(i)</w:t>
      </w:r>
      <w:r w:rsidRPr="00283424">
        <w:tab/>
        <w:t>including in the Statement a concise description of the matter; and</w:t>
      </w:r>
    </w:p>
    <w:p w14:paraId="600EDBE3" w14:textId="77777777" w:rsidR="00E93F58" w:rsidRPr="00283424" w:rsidRDefault="00E93F58" w:rsidP="00B50726">
      <w:pPr>
        <w:pStyle w:val="paragraphsub"/>
      </w:pPr>
      <w:r w:rsidRPr="00283424">
        <w:tab/>
        <w:t>(ii)</w:t>
      </w:r>
      <w:r w:rsidRPr="00283424">
        <w:tab/>
        <w:t>ensuring that the reference to the matter is clearly distinguishable from the other contents of the Statement; and</w:t>
      </w:r>
    </w:p>
    <w:p w14:paraId="35168BBA" w14:textId="77777777" w:rsidR="00E93F58" w:rsidRPr="00283424" w:rsidRDefault="00E93F58" w:rsidP="00B50726">
      <w:pPr>
        <w:pStyle w:val="paragraph"/>
      </w:pPr>
      <w:r w:rsidRPr="00283424">
        <w:tab/>
        <w:t>(c)</w:t>
      </w:r>
      <w:r w:rsidRPr="00283424">
        <w:tab/>
        <w:t>the responsible person for the Statement must:</w:t>
      </w:r>
    </w:p>
    <w:p w14:paraId="3CFB2681" w14:textId="77777777" w:rsidR="00E93F58" w:rsidRPr="00283424" w:rsidRDefault="00E93F58" w:rsidP="00B50726">
      <w:pPr>
        <w:pStyle w:val="paragraphsub"/>
      </w:pPr>
      <w:r w:rsidRPr="00283424">
        <w:lastRenderedPageBreak/>
        <w:tab/>
        <w:t>(i)</w:t>
      </w:r>
      <w:r w:rsidRPr="00283424">
        <w:tab/>
        <w:t xml:space="preserve">identify each version of the matter (by including the date on which the version was prepared) so that a person who, at a particular time, is considering a </w:t>
      </w:r>
      <w:r w:rsidRPr="00BE1284">
        <w:t>standard margin lending facility</w:t>
      </w:r>
      <w:r w:rsidRPr="00283424">
        <w:t xml:space="preserve"> can identify the version that is relevant to the </w:t>
      </w:r>
      <w:r w:rsidRPr="00BE1284">
        <w:t>standard margin lending facility</w:t>
      </w:r>
      <w:r w:rsidRPr="00283424">
        <w:t xml:space="preserve"> at that time; and</w:t>
      </w:r>
    </w:p>
    <w:p w14:paraId="0A00E4BB" w14:textId="77777777" w:rsidR="00E93F58" w:rsidRPr="00283424" w:rsidRDefault="00E93F58" w:rsidP="00B50726">
      <w:pPr>
        <w:pStyle w:val="paragraphsub"/>
      </w:pPr>
      <w:r w:rsidRPr="00283424">
        <w:tab/>
        <w:t>(ii)</w:t>
      </w:r>
      <w:r w:rsidRPr="00283424">
        <w:tab/>
        <w:t>state the date on which the version was prepared in a prominent position at or near the front of the version; and</w:t>
      </w:r>
    </w:p>
    <w:p w14:paraId="5F538072" w14:textId="77777777" w:rsidR="00E93F58" w:rsidRPr="00283424" w:rsidRDefault="00E93F58" w:rsidP="00B50726">
      <w:pPr>
        <w:pStyle w:val="paragraph"/>
      </w:pPr>
      <w:r w:rsidRPr="00283424">
        <w:tab/>
        <w:t>(d)</w:t>
      </w:r>
      <w:r w:rsidRPr="00283424">
        <w:tab/>
        <w:t>the responsible person for the Statement must ensure that a person who is relying on the Statement is able to have access to:</w:t>
      </w:r>
    </w:p>
    <w:p w14:paraId="21737D31" w14:textId="77777777" w:rsidR="00E93F58" w:rsidRPr="00283424" w:rsidRDefault="00E93F58" w:rsidP="00B50726">
      <w:pPr>
        <w:pStyle w:val="paragraphsub"/>
      </w:pPr>
      <w:r w:rsidRPr="00283424">
        <w:tab/>
        <w:t>(i)</w:t>
      </w:r>
      <w:r w:rsidRPr="00283424">
        <w:tab/>
        <w:t>the matter; or</w:t>
      </w:r>
    </w:p>
    <w:p w14:paraId="66968A3A" w14:textId="77777777" w:rsidR="00E93F58" w:rsidRPr="00283424" w:rsidRDefault="00E93F58" w:rsidP="00B50726">
      <w:pPr>
        <w:pStyle w:val="paragraphsub"/>
      </w:pPr>
      <w:r w:rsidRPr="00283424">
        <w:tab/>
        <w:t>(ii)</w:t>
      </w:r>
      <w:r w:rsidRPr="00283424">
        <w:tab/>
        <w:t>if there is more than 1 version of the matter—each version;</w:t>
      </w:r>
    </w:p>
    <w:p w14:paraId="3841D393" w14:textId="77777777" w:rsidR="00E93F58" w:rsidRPr="00283424" w:rsidRDefault="00E93F58" w:rsidP="00B50726">
      <w:pPr>
        <w:pStyle w:val="paragraph"/>
      </w:pPr>
      <w:r w:rsidRPr="00283424">
        <w:tab/>
      </w:r>
      <w:r w:rsidRPr="00283424">
        <w:tab/>
        <w:t>reasonably easily and reasonably quickly.</w:t>
      </w:r>
    </w:p>
    <w:p w14:paraId="505E7595" w14:textId="77777777" w:rsidR="00E93F58" w:rsidRPr="00283424" w:rsidRDefault="00E93F58" w:rsidP="00B50726">
      <w:pPr>
        <w:pStyle w:val="subsection"/>
      </w:pPr>
      <w:r w:rsidRPr="00283424">
        <w:tab/>
        <w:t>(4)</w:t>
      </w:r>
      <w:r w:rsidRPr="00283424">
        <w:tab/>
        <w:t>The responsible person for the Product Disclosure Statement must also ensure that the Statement includes the statements in the following table relating to the matter, and sets them out in each place at which the matter has been applied, adopted or incorporated.</w:t>
      </w:r>
    </w:p>
    <w:p w14:paraId="52D1C466"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888"/>
        <w:gridCol w:w="41"/>
        <w:gridCol w:w="9844"/>
      </w:tblGrid>
      <w:tr w:rsidR="00E93F58" w:rsidRPr="00283424" w14:paraId="4AA1006F" w14:textId="77777777" w:rsidTr="00EA0AFF">
        <w:trPr>
          <w:tblHeader/>
        </w:trPr>
        <w:tc>
          <w:tcPr>
            <w:tcW w:w="431" w:type="pct"/>
            <w:gridSpan w:val="2"/>
            <w:tcBorders>
              <w:top w:val="single" w:sz="12" w:space="0" w:color="auto"/>
              <w:bottom w:val="single" w:sz="12" w:space="0" w:color="auto"/>
            </w:tcBorders>
            <w:shd w:val="clear" w:color="auto" w:fill="auto"/>
          </w:tcPr>
          <w:p w14:paraId="54684CC7" w14:textId="77777777" w:rsidR="00E93F58" w:rsidRPr="00283424" w:rsidRDefault="00E93F58" w:rsidP="00EA0AFF">
            <w:pPr>
              <w:pStyle w:val="TableHeading"/>
            </w:pPr>
            <w:r w:rsidRPr="00283424">
              <w:t>Item</w:t>
            </w:r>
          </w:p>
        </w:tc>
        <w:tc>
          <w:tcPr>
            <w:tcW w:w="4569" w:type="pct"/>
            <w:tcBorders>
              <w:top w:val="single" w:sz="12" w:space="0" w:color="auto"/>
              <w:bottom w:val="single" w:sz="12" w:space="0" w:color="auto"/>
            </w:tcBorders>
            <w:shd w:val="clear" w:color="auto" w:fill="auto"/>
          </w:tcPr>
          <w:p w14:paraId="40565253" w14:textId="77777777" w:rsidR="00E93F58" w:rsidRPr="00283424" w:rsidRDefault="00E93F58" w:rsidP="00EA0AFF">
            <w:pPr>
              <w:pStyle w:val="TableHeading"/>
            </w:pPr>
            <w:r w:rsidRPr="00283424">
              <w:t>Statement</w:t>
            </w:r>
          </w:p>
        </w:tc>
      </w:tr>
      <w:tr w:rsidR="00E93F58" w:rsidRPr="00283424" w14:paraId="287D4AA4" w14:textId="77777777" w:rsidTr="00EA0AFF">
        <w:tc>
          <w:tcPr>
            <w:tcW w:w="412" w:type="pct"/>
            <w:tcBorders>
              <w:top w:val="single" w:sz="12" w:space="0" w:color="auto"/>
              <w:bottom w:val="single" w:sz="4" w:space="0" w:color="auto"/>
            </w:tcBorders>
            <w:shd w:val="clear" w:color="auto" w:fill="auto"/>
          </w:tcPr>
          <w:p w14:paraId="1D9A8AB4" w14:textId="77777777" w:rsidR="00E93F58" w:rsidRPr="00283424" w:rsidRDefault="00E93F58" w:rsidP="00EA0AFF">
            <w:pPr>
              <w:pStyle w:val="Tabletext"/>
            </w:pPr>
            <w:r w:rsidRPr="00283424">
              <w:t>1</w:t>
            </w:r>
          </w:p>
        </w:tc>
        <w:tc>
          <w:tcPr>
            <w:tcW w:w="4588" w:type="pct"/>
            <w:gridSpan w:val="2"/>
            <w:tcBorders>
              <w:top w:val="single" w:sz="12" w:space="0" w:color="auto"/>
              <w:bottom w:val="single" w:sz="4" w:space="0" w:color="auto"/>
            </w:tcBorders>
            <w:shd w:val="clear" w:color="auto" w:fill="auto"/>
          </w:tcPr>
          <w:p w14:paraId="4CC7CFD7" w14:textId="77777777" w:rsidR="00E93F58" w:rsidRPr="00283424" w:rsidRDefault="00E93F58" w:rsidP="00EA0AFF">
            <w:pPr>
              <w:pStyle w:val="Tabletext"/>
            </w:pPr>
            <w:r w:rsidRPr="00283424">
              <w:t xml:space="preserve">You should read the important information about </w:t>
            </w:r>
            <w:r w:rsidRPr="00283424">
              <w:rPr>
                <w:i/>
              </w:rPr>
              <w:t xml:space="preserve">[the subject] </w:t>
            </w:r>
            <w:r w:rsidRPr="00283424">
              <w:t xml:space="preserve">before making a decision. Go to </w:t>
            </w:r>
            <w:r w:rsidRPr="00283424">
              <w:rPr>
                <w:i/>
              </w:rPr>
              <w:t>[location of the matter that has been applied, adopted or incorporated]</w:t>
            </w:r>
          </w:p>
        </w:tc>
      </w:tr>
      <w:tr w:rsidR="00E93F58" w:rsidRPr="00283424" w14:paraId="249A73BD" w14:textId="77777777" w:rsidTr="00EA0AFF">
        <w:trPr>
          <w:cantSplit/>
        </w:trPr>
        <w:tc>
          <w:tcPr>
            <w:tcW w:w="412" w:type="pct"/>
            <w:tcBorders>
              <w:bottom w:val="single" w:sz="12" w:space="0" w:color="auto"/>
            </w:tcBorders>
            <w:shd w:val="clear" w:color="auto" w:fill="auto"/>
          </w:tcPr>
          <w:p w14:paraId="69A53FC1" w14:textId="77777777" w:rsidR="00E93F58" w:rsidRPr="00283424" w:rsidRDefault="00E93F58" w:rsidP="00EA0AFF">
            <w:pPr>
              <w:pStyle w:val="Tabletext"/>
            </w:pPr>
            <w:r w:rsidRPr="00283424">
              <w:t>2</w:t>
            </w:r>
          </w:p>
        </w:tc>
        <w:tc>
          <w:tcPr>
            <w:tcW w:w="4588" w:type="pct"/>
            <w:gridSpan w:val="2"/>
            <w:tcBorders>
              <w:bottom w:val="single" w:sz="12" w:space="0" w:color="auto"/>
            </w:tcBorders>
            <w:shd w:val="clear" w:color="auto" w:fill="auto"/>
          </w:tcPr>
          <w:p w14:paraId="038BC893" w14:textId="77777777" w:rsidR="00E93F58" w:rsidRPr="00283424" w:rsidRDefault="00E93F58" w:rsidP="00EA0AFF">
            <w:pPr>
              <w:pStyle w:val="Tabletext"/>
            </w:pPr>
            <w:r w:rsidRPr="00283424">
              <w:t xml:space="preserve">The material relating to </w:t>
            </w:r>
            <w:r w:rsidRPr="00283424">
              <w:rPr>
                <w:i/>
              </w:rPr>
              <w:t>[matter]</w:t>
            </w:r>
            <w:r w:rsidRPr="00283424">
              <w:t xml:space="preserve"> may change between the time when you read this Statement and the day when you sign the application form</w:t>
            </w:r>
          </w:p>
        </w:tc>
      </w:tr>
    </w:tbl>
    <w:p w14:paraId="5456E650" w14:textId="77777777" w:rsidR="00E93F58" w:rsidRPr="00283424" w:rsidRDefault="00E93F58" w:rsidP="00B50726">
      <w:pPr>
        <w:pStyle w:val="subsection"/>
      </w:pPr>
      <w:r w:rsidRPr="00283424">
        <w:tab/>
        <w:t>(5)</w:t>
      </w:r>
      <w:r w:rsidRPr="00283424">
        <w:tab/>
        <w:t>The responsible person for the Product Disclosure Statement must also ensure that each document mentioned in subregulation (3) includes the statement in the following table relating to the matter.</w:t>
      </w:r>
    </w:p>
    <w:p w14:paraId="24CE5DEF"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29"/>
        <w:gridCol w:w="9844"/>
      </w:tblGrid>
      <w:tr w:rsidR="00E93F58" w:rsidRPr="00283424" w14:paraId="18B58942" w14:textId="77777777" w:rsidTr="00EA0AFF">
        <w:tc>
          <w:tcPr>
            <w:tcW w:w="431" w:type="pct"/>
            <w:tcBorders>
              <w:top w:val="single" w:sz="12" w:space="0" w:color="auto"/>
              <w:bottom w:val="single" w:sz="12" w:space="0" w:color="auto"/>
            </w:tcBorders>
            <w:shd w:val="clear" w:color="auto" w:fill="auto"/>
          </w:tcPr>
          <w:p w14:paraId="1BF66F9F" w14:textId="77777777" w:rsidR="00E93F58" w:rsidRPr="00283424" w:rsidRDefault="00E93F58" w:rsidP="00EA0AFF">
            <w:pPr>
              <w:pStyle w:val="TableHeading"/>
            </w:pPr>
            <w:r w:rsidRPr="00283424">
              <w:t>Item</w:t>
            </w:r>
          </w:p>
        </w:tc>
        <w:tc>
          <w:tcPr>
            <w:tcW w:w="4569" w:type="pct"/>
            <w:tcBorders>
              <w:top w:val="single" w:sz="12" w:space="0" w:color="auto"/>
              <w:bottom w:val="single" w:sz="12" w:space="0" w:color="auto"/>
            </w:tcBorders>
            <w:shd w:val="clear" w:color="auto" w:fill="auto"/>
          </w:tcPr>
          <w:p w14:paraId="5824D969" w14:textId="77777777" w:rsidR="00E93F58" w:rsidRPr="00283424" w:rsidRDefault="00E93F58" w:rsidP="00EA0AFF">
            <w:pPr>
              <w:pStyle w:val="TableHeading"/>
            </w:pPr>
            <w:r w:rsidRPr="00283424">
              <w:t>Statement</w:t>
            </w:r>
          </w:p>
        </w:tc>
      </w:tr>
      <w:tr w:rsidR="00E93F58" w:rsidRPr="00283424" w14:paraId="3F6FC471" w14:textId="77777777" w:rsidTr="00EA0AFF">
        <w:tc>
          <w:tcPr>
            <w:tcW w:w="431" w:type="pct"/>
            <w:tcBorders>
              <w:top w:val="single" w:sz="12" w:space="0" w:color="auto"/>
              <w:bottom w:val="single" w:sz="12" w:space="0" w:color="auto"/>
            </w:tcBorders>
            <w:shd w:val="clear" w:color="auto" w:fill="auto"/>
          </w:tcPr>
          <w:p w14:paraId="075F62FA" w14:textId="77777777" w:rsidR="00E93F58" w:rsidRPr="00283424" w:rsidRDefault="00E93F58" w:rsidP="00EA0AFF">
            <w:pPr>
              <w:pStyle w:val="Tabletext"/>
            </w:pPr>
            <w:r w:rsidRPr="00283424">
              <w:t>1</w:t>
            </w:r>
          </w:p>
        </w:tc>
        <w:tc>
          <w:tcPr>
            <w:tcW w:w="4569" w:type="pct"/>
            <w:tcBorders>
              <w:top w:val="single" w:sz="12" w:space="0" w:color="auto"/>
              <w:bottom w:val="single" w:sz="12" w:space="0" w:color="auto"/>
            </w:tcBorders>
            <w:shd w:val="clear" w:color="auto" w:fill="auto"/>
          </w:tcPr>
          <w:p w14:paraId="7164B48F" w14:textId="77777777" w:rsidR="00E93F58" w:rsidRPr="00283424" w:rsidRDefault="00E93F58" w:rsidP="00EA0AFF">
            <w:pPr>
              <w:pStyle w:val="Tabletext"/>
            </w:pPr>
            <w:r w:rsidRPr="00283424">
              <w:t xml:space="preserve">The information in this document forms part of the Product Disclosure Statement </w:t>
            </w:r>
            <w:r w:rsidRPr="00283424">
              <w:rPr>
                <w:i/>
              </w:rPr>
              <w:t>[identification by name, date and version (if applicable) of each Statement]</w:t>
            </w:r>
          </w:p>
        </w:tc>
      </w:tr>
    </w:tbl>
    <w:p w14:paraId="3DCFEB82" w14:textId="77777777" w:rsidR="00E93F58" w:rsidRPr="00283424" w:rsidRDefault="00E93F58" w:rsidP="00B50726">
      <w:pPr>
        <w:pStyle w:val="subsection"/>
      </w:pPr>
      <w:r w:rsidRPr="00283424">
        <w:tab/>
        <w:t>(6)</w:t>
      </w:r>
      <w:r w:rsidRPr="00283424">
        <w:tab/>
        <w:t>For the avoidance of doubt:</w:t>
      </w:r>
    </w:p>
    <w:p w14:paraId="6C8AA680" w14:textId="77777777" w:rsidR="00E93F58" w:rsidRPr="00283424" w:rsidRDefault="00E93F58" w:rsidP="00B50726">
      <w:pPr>
        <w:pStyle w:val="paragraph"/>
      </w:pPr>
      <w:r w:rsidRPr="00283424">
        <w:tab/>
        <w:t>(a)</w:t>
      </w:r>
      <w:r w:rsidRPr="00283424">
        <w:tab/>
        <w:t>the giving of a Product Disclosure Statement to which this Subdivision applies is taken to be the giving of every matter that is applied, adopted or incorporated in accordance with subregulations (1) to (5); and</w:t>
      </w:r>
    </w:p>
    <w:p w14:paraId="1E227942" w14:textId="77777777" w:rsidR="00E93F58" w:rsidRPr="00283424" w:rsidRDefault="00E93F58" w:rsidP="00B50726">
      <w:pPr>
        <w:pStyle w:val="paragraph"/>
      </w:pPr>
      <w:r w:rsidRPr="00283424">
        <w:tab/>
        <w:t>(b)</w:t>
      </w:r>
      <w:r w:rsidRPr="00283424">
        <w:tab/>
        <w:t>if a document mentioned in subparagraph (3)(a)(iii) refers to more than one PDS, the document:</w:t>
      </w:r>
    </w:p>
    <w:p w14:paraId="2B929D17" w14:textId="77777777" w:rsidR="00E93F58" w:rsidRPr="00283424" w:rsidRDefault="00E93F58" w:rsidP="00B50726">
      <w:pPr>
        <w:pStyle w:val="paragraphsub"/>
      </w:pPr>
      <w:r w:rsidRPr="00283424">
        <w:tab/>
        <w:t>(i)</w:t>
      </w:r>
      <w:r w:rsidRPr="00283424">
        <w:tab/>
        <w:t>must include a statement to the effect that the information in the document forms part of the Product Disclosure Statement offered by the responsible entity; but</w:t>
      </w:r>
    </w:p>
    <w:p w14:paraId="32A1331A" w14:textId="77777777" w:rsidR="00E93F58" w:rsidRPr="00283424" w:rsidRDefault="00E93F58" w:rsidP="00B50726">
      <w:pPr>
        <w:pStyle w:val="paragraphsub"/>
      </w:pPr>
      <w:r w:rsidRPr="00283424">
        <w:tab/>
        <w:t>(ii)</w:t>
      </w:r>
      <w:r w:rsidRPr="00283424">
        <w:tab/>
        <w:t>is not required to name each Product Disclosure Statement of which it forms part.</w:t>
      </w:r>
    </w:p>
    <w:p w14:paraId="6D324BAD" w14:textId="77777777" w:rsidR="00E93F58" w:rsidRPr="00283424" w:rsidRDefault="00E93F58" w:rsidP="00B50726">
      <w:pPr>
        <w:pStyle w:val="subsection"/>
      </w:pPr>
      <w:r w:rsidRPr="00283424">
        <w:tab/>
        <w:t>(7)</w:t>
      </w:r>
      <w:r w:rsidRPr="00283424">
        <w:tab/>
        <w:t>If the Product Disclosure Statement applies, adopts or incorporates a matter, the information dealing with the matter is taken to have been given to a person on the day on which the person signs the application form accompanying the Statement.</w:t>
      </w:r>
    </w:p>
    <w:p w14:paraId="3D8E26E1" w14:textId="77777777" w:rsidR="00E93F58" w:rsidRPr="00283424" w:rsidRDefault="00E93F58" w:rsidP="00B50726">
      <w:pPr>
        <w:pStyle w:val="ActHead5"/>
      </w:pPr>
      <w:bookmarkStart w:id="1572" w:name="_Toc152054762"/>
      <w:bookmarkStart w:id="1573" w:name="_Toc158712578"/>
      <w:r w:rsidRPr="006F296E">
        <w:rPr>
          <w:rStyle w:val="CharSectno"/>
        </w:rPr>
        <w:t>7.9.11F</w:t>
      </w:r>
      <w:r w:rsidRPr="00283424">
        <w:t xml:space="preserve">  Retention of copies of Product Disclosure Statement for </w:t>
      </w:r>
      <w:r w:rsidRPr="0032665B">
        <w:t>standard margin lending facility</w:t>
      </w:r>
      <w:bookmarkEnd w:id="1572"/>
      <w:bookmarkEnd w:id="1573"/>
    </w:p>
    <w:p w14:paraId="11766979" w14:textId="77777777" w:rsidR="00E93F58" w:rsidRPr="00283424" w:rsidRDefault="00E93F58" w:rsidP="00B50726">
      <w:pPr>
        <w:pStyle w:val="subsection"/>
      </w:pPr>
      <w:r w:rsidRPr="00283424">
        <w:tab/>
        <w:t>(1)</w:t>
      </w:r>
      <w:r w:rsidRPr="00283424">
        <w:tab/>
        <w:t xml:space="preserve">The responsible person for a Product Disclosure Statement for a </w:t>
      </w:r>
      <w:r w:rsidRPr="00BE1284">
        <w:t>standard margin lending facility</w:t>
      </w:r>
      <w:r w:rsidRPr="00283424">
        <w:t xml:space="preserve"> must retain a copy of each version of the Statement that the responsible person issues for a period of 7 years starting on the day on which the version is prepared.</w:t>
      </w:r>
    </w:p>
    <w:p w14:paraId="06B8F15F" w14:textId="77777777" w:rsidR="00E93F58" w:rsidRPr="00283424" w:rsidRDefault="00E93F58" w:rsidP="00B50726">
      <w:pPr>
        <w:pStyle w:val="subsection"/>
      </w:pPr>
      <w:r w:rsidRPr="00283424">
        <w:tab/>
        <w:t>(2)</w:t>
      </w:r>
      <w:r w:rsidRPr="00283424">
        <w:tab/>
        <w:t>The responsible person for the Product Disclosure Statement must retain a copy of the document from which a matter is applied, adopted or incorporated by the Statement as mentioned in paragraph 7.9.11E(3)(c) for a period of 7 years commencing on the day on which the Statement is prepared.</w:t>
      </w:r>
    </w:p>
    <w:p w14:paraId="001075A6" w14:textId="77777777" w:rsidR="00E93F58" w:rsidRPr="00283424" w:rsidRDefault="00E93F58" w:rsidP="00B50726">
      <w:pPr>
        <w:pStyle w:val="subsection"/>
      </w:pPr>
      <w:r w:rsidRPr="00283424">
        <w:tab/>
        <w:t>(3)</w:t>
      </w:r>
      <w:r w:rsidRPr="00283424">
        <w:tab/>
        <w:t>If a document from which a matter is adopted, applied or incorporated by the Product Disclosure Statement as mentioned in paragraph 7.9.11E(3)(c) is changed in a way that changes the description of, or reference to, the matter, the responsible person for the Statement must retain a copy of the document for a period of 7 years commencing on the day on which the document is changed.</w:t>
      </w:r>
    </w:p>
    <w:p w14:paraId="127E1442" w14:textId="77777777" w:rsidR="00E93F58" w:rsidRPr="00283424" w:rsidRDefault="00E93F58" w:rsidP="00B50726">
      <w:pPr>
        <w:pStyle w:val="ActHead5"/>
      </w:pPr>
      <w:bookmarkStart w:id="1574" w:name="_Toc152054763"/>
      <w:bookmarkStart w:id="1575" w:name="_Toc158712579"/>
      <w:r w:rsidRPr="006F296E">
        <w:rPr>
          <w:rStyle w:val="CharSectno"/>
        </w:rPr>
        <w:lastRenderedPageBreak/>
        <w:t>7.9.11G</w:t>
      </w:r>
      <w:r w:rsidRPr="00283424">
        <w:t xml:space="preserve">  Requirement to provide copy of Product Disclosure Statement for </w:t>
      </w:r>
      <w:r w:rsidRPr="002544F4">
        <w:t>standard margin lending facility</w:t>
      </w:r>
      <w:r w:rsidRPr="00283424">
        <w:t xml:space="preserve"> free of charge</w:t>
      </w:r>
      <w:bookmarkEnd w:id="1574"/>
      <w:bookmarkEnd w:id="1575"/>
    </w:p>
    <w:p w14:paraId="09DBEF3D" w14:textId="77777777" w:rsidR="00E93F58" w:rsidRPr="00283424" w:rsidRDefault="00E93F58" w:rsidP="00B50726">
      <w:pPr>
        <w:pStyle w:val="subsection"/>
        <w:keepNext/>
        <w:keepLines/>
      </w:pPr>
      <w:r w:rsidRPr="00283424">
        <w:tab/>
        <w:t>(1)</w:t>
      </w:r>
      <w:r w:rsidRPr="00283424">
        <w:tab/>
        <w:t xml:space="preserve">For paragraph 1015C(5)(a) of the Act, this regulation specifies requirements as to the manner in which a Product Disclosure Statement for a </w:t>
      </w:r>
      <w:r w:rsidRPr="00BE1284">
        <w:t>standard margin lending facility</w:t>
      </w:r>
      <w:r w:rsidRPr="00283424">
        <w:t xml:space="preserve"> must be given to a person if the person requests a copy of the Statement.</w:t>
      </w:r>
    </w:p>
    <w:p w14:paraId="5575AE53" w14:textId="77777777" w:rsidR="00E93F58" w:rsidRPr="00283424" w:rsidRDefault="00E93F58" w:rsidP="00B50726">
      <w:pPr>
        <w:pStyle w:val="subsection"/>
      </w:pPr>
      <w:r w:rsidRPr="00283424">
        <w:tab/>
        <w:t>(2)</w:t>
      </w:r>
      <w:r w:rsidRPr="00283424">
        <w:tab/>
        <w:t>The responsible person for the Product Disclosure Statement must give the person, free of charge:</w:t>
      </w:r>
    </w:p>
    <w:p w14:paraId="1EAD9285" w14:textId="77777777" w:rsidR="00E93F58" w:rsidRPr="00283424" w:rsidRDefault="00E93F58" w:rsidP="00B50726">
      <w:pPr>
        <w:pStyle w:val="paragraph"/>
      </w:pPr>
      <w:r w:rsidRPr="00283424">
        <w:tab/>
        <w:t>(a)</w:t>
      </w:r>
      <w:r w:rsidRPr="00283424">
        <w:tab/>
        <w:t>a copy of the Statement within 8 business days; and</w:t>
      </w:r>
    </w:p>
    <w:p w14:paraId="03DABCF4" w14:textId="77777777" w:rsidR="00E93F58" w:rsidRPr="00283424" w:rsidRDefault="00E93F58" w:rsidP="00B50726">
      <w:pPr>
        <w:pStyle w:val="paragraph"/>
      </w:pPr>
      <w:r w:rsidRPr="00283424">
        <w:tab/>
        <w:t>(b)</w:t>
      </w:r>
      <w:r w:rsidRPr="00283424">
        <w:tab/>
        <w:t>a copy of a matter in writing that is applied, adopted or incorporated by the Statement within 8 business days.</w:t>
      </w:r>
    </w:p>
    <w:p w14:paraId="798F9ECD" w14:textId="77777777" w:rsidR="00E93F58" w:rsidRPr="00283424" w:rsidRDefault="00E93F58" w:rsidP="00B50726">
      <w:pPr>
        <w:pStyle w:val="ActHead5"/>
      </w:pPr>
      <w:bookmarkStart w:id="1576" w:name="_Toc152054764"/>
      <w:bookmarkStart w:id="1577" w:name="_Toc158712580"/>
      <w:r w:rsidRPr="006F296E">
        <w:rPr>
          <w:rStyle w:val="CharSectno"/>
        </w:rPr>
        <w:t>7.9.11H</w:t>
      </w:r>
      <w:r w:rsidRPr="00283424">
        <w:t xml:space="preserve">  Notification about change to Approved Securities List or current interest rate for </w:t>
      </w:r>
      <w:r w:rsidRPr="000A3175">
        <w:t>standard margin lending facility</w:t>
      </w:r>
      <w:bookmarkEnd w:id="1576"/>
      <w:bookmarkEnd w:id="1577"/>
    </w:p>
    <w:p w14:paraId="15CC073A" w14:textId="77777777" w:rsidR="00E93F58" w:rsidRPr="00283424" w:rsidRDefault="00E93F58" w:rsidP="00B50726">
      <w:pPr>
        <w:pStyle w:val="subsection"/>
      </w:pPr>
      <w:r w:rsidRPr="00283424">
        <w:tab/>
        <w:t>(1)</w:t>
      </w:r>
      <w:r w:rsidRPr="00283424">
        <w:tab/>
        <w:t xml:space="preserve">For paragraph 1017B(1A)(b) of the Act, a change to the Approved Securities List or current interest rate for a </w:t>
      </w:r>
      <w:r w:rsidRPr="00BE1284">
        <w:t>standard margin lending facility</w:t>
      </w:r>
      <w:r w:rsidRPr="00283424">
        <w:t xml:space="preserve"> is specified.</w:t>
      </w:r>
    </w:p>
    <w:p w14:paraId="4F3DED26" w14:textId="77777777" w:rsidR="00E93F58" w:rsidRPr="00283424" w:rsidRDefault="00E93F58" w:rsidP="00B50726">
      <w:pPr>
        <w:pStyle w:val="subsection"/>
      </w:pPr>
      <w:r w:rsidRPr="00283424">
        <w:tab/>
        <w:t>(2)</w:t>
      </w:r>
      <w:r w:rsidRPr="00283424">
        <w:tab/>
        <w:t xml:space="preserve">For paragraph 1017B(3)(c) of the Act, the issuer of the </w:t>
      </w:r>
      <w:r w:rsidRPr="00BE1284">
        <w:t>standard margin lending facility</w:t>
      </w:r>
      <w:r w:rsidRPr="00283424">
        <w:t xml:space="preserve"> must notify the holder of the change by:</w:t>
      </w:r>
    </w:p>
    <w:p w14:paraId="15BFA3AC" w14:textId="77777777" w:rsidR="00E93F58" w:rsidRPr="00283424" w:rsidRDefault="00E93F58" w:rsidP="00B50726">
      <w:pPr>
        <w:pStyle w:val="paragraph"/>
      </w:pPr>
      <w:r w:rsidRPr="00283424">
        <w:tab/>
        <w:t>(a)</w:t>
      </w:r>
      <w:r w:rsidRPr="00283424">
        <w:tab/>
        <w:t>sending notice of the change to the holder:</w:t>
      </w:r>
    </w:p>
    <w:p w14:paraId="73F6C14B" w14:textId="77777777" w:rsidR="00E93F58" w:rsidRPr="00283424" w:rsidRDefault="00E93F58" w:rsidP="00B50726">
      <w:pPr>
        <w:pStyle w:val="paragraphsub"/>
      </w:pPr>
      <w:r w:rsidRPr="00283424">
        <w:tab/>
        <w:t>(i)</w:t>
      </w:r>
      <w:r w:rsidRPr="00283424">
        <w:tab/>
        <w:t>by pre</w:t>
      </w:r>
      <w:r>
        <w:noBreakHyphen/>
      </w:r>
      <w:r w:rsidRPr="00283424">
        <w:t>paid post to a postal address nominated by the holder; or</w:t>
      </w:r>
    </w:p>
    <w:p w14:paraId="5C6242D8" w14:textId="77777777" w:rsidR="00E93F58" w:rsidRPr="00283424" w:rsidRDefault="00E93F58" w:rsidP="00B50726">
      <w:pPr>
        <w:pStyle w:val="paragraphsub"/>
      </w:pPr>
      <w:r w:rsidRPr="00283424">
        <w:tab/>
        <w:t>(ii)</w:t>
      </w:r>
      <w:r w:rsidRPr="00283424">
        <w:tab/>
        <w:t>to an email address nominated by the holder; or</w:t>
      </w:r>
    </w:p>
    <w:p w14:paraId="40AB4830" w14:textId="77777777" w:rsidR="00E93F58" w:rsidRPr="00283424" w:rsidRDefault="00E93F58" w:rsidP="00B50726">
      <w:pPr>
        <w:pStyle w:val="paragraph"/>
      </w:pPr>
      <w:r w:rsidRPr="00283424">
        <w:tab/>
        <w:t>(b)</w:t>
      </w:r>
      <w:r w:rsidRPr="00283424">
        <w:tab/>
        <w:t xml:space="preserve">placing a notice on a webpage that is likely to come to the holder’s attention if the holder is monitoring the holder’s </w:t>
      </w:r>
      <w:r w:rsidRPr="00BE1284">
        <w:t>standard margin lending facility</w:t>
      </w:r>
      <w:r w:rsidRPr="00283424">
        <w:t>.</w:t>
      </w:r>
    </w:p>
    <w:p w14:paraId="05FD2C9D" w14:textId="77777777" w:rsidR="00E93F58" w:rsidRPr="00283424" w:rsidRDefault="00E93F58" w:rsidP="00B50726">
      <w:pPr>
        <w:pStyle w:val="ActHead4"/>
      </w:pPr>
      <w:bookmarkStart w:id="1578" w:name="_Toc152054765"/>
      <w:bookmarkStart w:id="1579" w:name="_Toc158712581"/>
      <w:r w:rsidRPr="006F296E">
        <w:rPr>
          <w:rStyle w:val="CharSubdNo"/>
        </w:rPr>
        <w:t>Subdivision 4.2B</w:t>
      </w:r>
      <w:r w:rsidRPr="00283424">
        <w:t>—</w:t>
      </w:r>
      <w:r w:rsidRPr="006F296E">
        <w:rPr>
          <w:rStyle w:val="CharSubdText"/>
        </w:rPr>
        <w:t>Content of Product Disclosure Statement for superannuation product</w:t>
      </w:r>
      <w:bookmarkEnd w:id="1578"/>
      <w:bookmarkEnd w:id="1579"/>
    </w:p>
    <w:p w14:paraId="5CA527F9" w14:textId="77777777" w:rsidR="00E93F58" w:rsidRPr="00283424" w:rsidRDefault="00E93F58" w:rsidP="00B50726">
      <w:pPr>
        <w:pStyle w:val="ActHead5"/>
      </w:pPr>
      <w:bookmarkStart w:id="1580" w:name="_Toc152054766"/>
      <w:bookmarkStart w:id="1581" w:name="_Toc158712582"/>
      <w:r w:rsidRPr="006F296E">
        <w:rPr>
          <w:rStyle w:val="CharSectno"/>
        </w:rPr>
        <w:t>7.9.11K</w:t>
      </w:r>
      <w:r w:rsidRPr="00283424">
        <w:t xml:space="preserve">  Application of this Subdivision</w:t>
      </w:r>
      <w:bookmarkEnd w:id="1580"/>
      <w:bookmarkEnd w:id="1581"/>
    </w:p>
    <w:p w14:paraId="46FB6A5A" w14:textId="77777777" w:rsidR="00E93F58" w:rsidRPr="00283424" w:rsidRDefault="00E93F58" w:rsidP="00B50726">
      <w:pPr>
        <w:pStyle w:val="subsection"/>
      </w:pPr>
      <w:r w:rsidRPr="00283424">
        <w:tab/>
        <w:t>(1)</w:t>
      </w:r>
      <w:r w:rsidRPr="00283424">
        <w:tab/>
        <w:t>This Subdivision applies to:</w:t>
      </w:r>
    </w:p>
    <w:p w14:paraId="362BD1F1" w14:textId="77777777" w:rsidR="00E93F58" w:rsidRPr="00283424" w:rsidRDefault="00E93F58" w:rsidP="00B50726">
      <w:pPr>
        <w:pStyle w:val="paragraph"/>
      </w:pPr>
      <w:r w:rsidRPr="00283424">
        <w:tab/>
        <w:t>(a)</w:t>
      </w:r>
      <w:r w:rsidRPr="00283424">
        <w:tab/>
        <w:t>a superannuation trustee that is required to prepare a Product Disclosure Statement for a superannuation product; and</w:t>
      </w:r>
    </w:p>
    <w:p w14:paraId="4A21DCD2" w14:textId="77777777" w:rsidR="00E93F58" w:rsidRPr="00283424" w:rsidRDefault="00E93F58" w:rsidP="00B50726">
      <w:pPr>
        <w:pStyle w:val="paragraph"/>
      </w:pPr>
      <w:r w:rsidRPr="00283424">
        <w:tab/>
        <w:t>(b)</w:t>
      </w:r>
      <w:r w:rsidRPr="00283424">
        <w:tab/>
        <w:t>a Product Disclosure Statement for a superannuation product.</w:t>
      </w:r>
    </w:p>
    <w:p w14:paraId="10214F11" w14:textId="77777777" w:rsidR="00E93F58" w:rsidRPr="00283424" w:rsidRDefault="00E93F58" w:rsidP="00B50726">
      <w:pPr>
        <w:pStyle w:val="subsection"/>
      </w:pPr>
      <w:r w:rsidRPr="00283424">
        <w:tab/>
        <w:t>(2)</w:t>
      </w:r>
      <w:r w:rsidRPr="00283424">
        <w:tab/>
        <w:t>However, this Subdivision does not apply to the following financial products:</w:t>
      </w:r>
    </w:p>
    <w:p w14:paraId="68E2EC6E" w14:textId="77777777" w:rsidR="00E93F58" w:rsidRPr="00283424" w:rsidRDefault="00E93F58" w:rsidP="00B50726">
      <w:pPr>
        <w:pStyle w:val="paragraph"/>
      </w:pPr>
      <w:r w:rsidRPr="00283424">
        <w:tab/>
        <w:t>(a)</w:t>
      </w:r>
      <w:r w:rsidRPr="00283424">
        <w:tab/>
        <w:t>an interest in a superannuation product that is solely a defined benefit interest;</w:t>
      </w:r>
    </w:p>
    <w:p w14:paraId="64952D12" w14:textId="77777777" w:rsidR="00E93F58" w:rsidRPr="00283424" w:rsidRDefault="00E93F58" w:rsidP="00B50726">
      <w:pPr>
        <w:pStyle w:val="paragraph"/>
      </w:pPr>
      <w:r w:rsidRPr="00283424">
        <w:tab/>
        <w:t>(b)</w:t>
      </w:r>
      <w:r w:rsidRPr="00283424">
        <w:tab/>
        <w:t>a superannuation product that is solely a pension product;</w:t>
      </w:r>
    </w:p>
    <w:p w14:paraId="49EF0812" w14:textId="77777777" w:rsidR="00E93F58" w:rsidRPr="00283424" w:rsidRDefault="00E93F58" w:rsidP="00B50726">
      <w:pPr>
        <w:pStyle w:val="paragraph"/>
      </w:pPr>
      <w:r w:rsidRPr="00283424">
        <w:tab/>
        <w:t>(c)</w:t>
      </w:r>
      <w:r w:rsidRPr="00283424">
        <w:tab/>
        <w:t>a superannuation product that has no investment component (also known as a risk</w:t>
      </w:r>
      <w:r>
        <w:noBreakHyphen/>
      </w:r>
      <w:r w:rsidRPr="00283424">
        <w:t>only superannuation product).</w:t>
      </w:r>
    </w:p>
    <w:p w14:paraId="72157008" w14:textId="77777777" w:rsidR="00E93F58" w:rsidRPr="00283424" w:rsidRDefault="00E93F58" w:rsidP="00B50726">
      <w:pPr>
        <w:pStyle w:val="ActHead5"/>
      </w:pPr>
      <w:bookmarkStart w:id="1582" w:name="_Toc152054767"/>
      <w:bookmarkStart w:id="1583" w:name="_Toc158712583"/>
      <w:r w:rsidRPr="006F296E">
        <w:rPr>
          <w:rStyle w:val="CharSectno"/>
        </w:rPr>
        <w:t>7.9.11L</w:t>
      </w:r>
      <w:r w:rsidRPr="00283424">
        <w:t xml:space="preserve">  Provisions of Part 7.7 of Act that do not apply in relation to superannuation product</w:t>
      </w:r>
      <w:bookmarkEnd w:id="1582"/>
      <w:bookmarkEnd w:id="1583"/>
    </w:p>
    <w:p w14:paraId="3B77C669" w14:textId="77777777" w:rsidR="00E93F58" w:rsidRPr="00283424" w:rsidRDefault="00E93F58" w:rsidP="00B50726">
      <w:pPr>
        <w:pStyle w:val="subsection"/>
      </w:pPr>
      <w:r w:rsidRPr="00283424">
        <w:tab/>
      </w:r>
      <w:r w:rsidRPr="00283424">
        <w:tab/>
        <w:t>For paragraph 951C(1)(b) of the Act, section 942DA of the Act does not apply in relation to a superannuation product.</w:t>
      </w:r>
    </w:p>
    <w:p w14:paraId="7D038C5F" w14:textId="77777777" w:rsidR="00E93F58" w:rsidRPr="00283424" w:rsidRDefault="00E93F58" w:rsidP="00B50726">
      <w:pPr>
        <w:pStyle w:val="ActHead5"/>
      </w:pPr>
      <w:bookmarkStart w:id="1584" w:name="_Toc152054768"/>
      <w:bookmarkStart w:id="1585" w:name="_Toc158712584"/>
      <w:r w:rsidRPr="006F296E">
        <w:rPr>
          <w:rStyle w:val="CharSectno"/>
        </w:rPr>
        <w:t>7.9.11LA</w:t>
      </w:r>
      <w:r w:rsidRPr="00283424">
        <w:t xml:space="preserve">  Attribution of accrued default amount to MySuper product—exemption from significant event notice requirements</w:t>
      </w:r>
      <w:bookmarkEnd w:id="1584"/>
      <w:bookmarkEnd w:id="1585"/>
    </w:p>
    <w:p w14:paraId="0C2D1DBD" w14:textId="77777777" w:rsidR="00E93F58" w:rsidRPr="00283424" w:rsidRDefault="00E93F58" w:rsidP="00B50726">
      <w:pPr>
        <w:pStyle w:val="subsection"/>
      </w:pPr>
      <w:r w:rsidRPr="00283424">
        <w:tab/>
      </w:r>
      <w:r w:rsidRPr="00283424">
        <w:tab/>
        <w:t>For paragraph 1020G(1)(a) of the Act, a person is exempt from section 1017B of the Act in relation to the attribution or transfer of an accrued default amount if the person:</w:t>
      </w:r>
    </w:p>
    <w:p w14:paraId="39DA8DA3" w14:textId="77777777" w:rsidR="00E93F58" w:rsidRPr="00283424" w:rsidRDefault="00E93F58" w:rsidP="00B50726">
      <w:pPr>
        <w:pStyle w:val="paragraph"/>
      </w:pPr>
      <w:r w:rsidRPr="00283424">
        <w:tab/>
        <w:t>(a)</w:t>
      </w:r>
      <w:r w:rsidRPr="00283424">
        <w:tab/>
        <w:t>is an RSE licensee; and</w:t>
      </w:r>
    </w:p>
    <w:p w14:paraId="107885FA" w14:textId="77777777" w:rsidR="00E93F58" w:rsidRPr="00283424" w:rsidRDefault="00E93F58" w:rsidP="00B50726">
      <w:pPr>
        <w:pStyle w:val="paragraph"/>
      </w:pPr>
      <w:r w:rsidRPr="00283424">
        <w:tab/>
        <w:t>(b)</w:t>
      </w:r>
      <w:r w:rsidRPr="00283424">
        <w:tab/>
        <w:t xml:space="preserve">must comply with a requirement under regulation 9.46 of the </w:t>
      </w:r>
      <w:r w:rsidRPr="00283424">
        <w:rPr>
          <w:i/>
        </w:rPr>
        <w:t>Superannuation Industry (Supervision) Regulations 1994</w:t>
      </w:r>
      <w:r w:rsidRPr="00283424">
        <w:t xml:space="preserve"> in relation to the attribution or transfer.</w:t>
      </w:r>
    </w:p>
    <w:p w14:paraId="7AB8808A" w14:textId="77777777" w:rsidR="00E93F58" w:rsidRPr="00283424" w:rsidRDefault="00E93F58" w:rsidP="00B50726">
      <w:pPr>
        <w:pStyle w:val="ActHead5"/>
      </w:pPr>
      <w:bookmarkStart w:id="1586" w:name="_Toc152054769"/>
      <w:bookmarkStart w:id="1587" w:name="_Toc158712585"/>
      <w:r w:rsidRPr="006F296E">
        <w:rPr>
          <w:rStyle w:val="CharSectno"/>
        </w:rPr>
        <w:t>7.9.11LB</w:t>
      </w:r>
      <w:r w:rsidRPr="00283424">
        <w:t xml:space="preserve">  Attribution of accrued default amount to MySuper product—modification of significant event notice requirements</w:t>
      </w:r>
      <w:bookmarkEnd w:id="1586"/>
      <w:bookmarkEnd w:id="1587"/>
    </w:p>
    <w:p w14:paraId="13281B3B" w14:textId="77777777" w:rsidR="00E93F58" w:rsidRPr="00283424" w:rsidRDefault="00E93F58" w:rsidP="00B50726">
      <w:pPr>
        <w:pStyle w:val="subsection"/>
      </w:pPr>
      <w:r w:rsidRPr="00283424">
        <w:tab/>
      </w:r>
      <w:r w:rsidRPr="00283424">
        <w:tab/>
        <w:t>If a person:</w:t>
      </w:r>
    </w:p>
    <w:p w14:paraId="04A96BE5" w14:textId="77777777" w:rsidR="00E93F58" w:rsidRPr="00283424" w:rsidRDefault="00E93F58" w:rsidP="00B50726">
      <w:pPr>
        <w:pStyle w:val="paragraph"/>
      </w:pPr>
      <w:r w:rsidRPr="00283424">
        <w:tab/>
        <w:t>(a)</w:t>
      </w:r>
      <w:r w:rsidRPr="00283424">
        <w:tab/>
        <w:t>is an RSE licensee; and</w:t>
      </w:r>
    </w:p>
    <w:p w14:paraId="729CF247" w14:textId="77777777" w:rsidR="00E93F58" w:rsidRPr="00283424" w:rsidRDefault="00E93F58" w:rsidP="00B50726">
      <w:pPr>
        <w:pStyle w:val="paragraph"/>
      </w:pPr>
      <w:r w:rsidRPr="00283424">
        <w:lastRenderedPageBreak/>
        <w:tab/>
        <w:t>(b)</w:t>
      </w:r>
      <w:r w:rsidRPr="00283424">
        <w:tab/>
        <w:t xml:space="preserve">is exempted under subregulation 9.46(2) of the </w:t>
      </w:r>
      <w:r w:rsidRPr="00283424">
        <w:rPr>
          <w:i/>
        </w:rPr>
        <w:t>Superannuation Industry (Supervision) Regulations 1994</w:t>
      </w:r>
      <w:r w:rsidRPr="00283424">
        <w:t xml:space="preserve"> from notice requirements in relation to the attribution or transfer of an accrued default amount;</w:t>
      </w:r>
    </w:p>
    <w:p w14:paraId="0A076F94" w14:textId="77777777" w:rsidR="00E93F58" w:rsidRPr="00283424" w:rsidRDefault="00E93F58" w:rsidP="00B50726">
      <w:pPr>
        <w:pStyle w:val="subsection2"/>
      </w:pPr>
      <w:r w:rsidRPr="00283424">
        <w:t>then, for paragraph 1020G(1)(c) of the Act, section 1017B of the Act applies to the person as if subsection 1017B(4) were omitted and the following subsection were substituted:</w:t>
      </w:r>
    </w:p>
    <w:p w14:paraId="5A5035E3" w14:textId="77777777" w:rsidR="00E93F58" w:rsidRPr="00283424" w:rsidRDefault="00E93F58" w:rsidP="00B50726">
      <w:pPr>
        <w:pStyle w:val="subsection"/>
      </w:pPr>
      <w:r w:rsidRPr="00283424">
        <w:tab/>
        <w:t>(4)</w:t>
      </w:r>
      <w:r w:rsidRPr="00283424">
        <w:tab/>
        <w:t>The notice must mention the following:</w:t>
      </w:r>
    </w:p>
    <w:p w14:paraId="52303D59" w14:textId="77777777" w:rsidR="00E93F58" w:rsidRPr="00283424" w:rsidRDefault="00E93F58" w:rsidP="00B50726">
      <w:pPr>
        <w:pStyle w:val="paragraph"/>
      </w:pPr>
      <w:r w:rsidRPr="00283424">
        <w:tab/>
        <w:t>(a)</w:t>
      </w:r>
      <w:r w:rsidRPr="00283424">
        <w:tab/>
        <w:t>the accrued default amount that was attributed or transferred;</w:t>
      </w:r>
    </w:p>
    <w:p w14:paraId="1FAE7127" w14:textId="77777777" w:rsidR="00E93F58" w:rsidRPr="00283424" w:rsidRDefault="00E93F58" w:rsidP="00B50726">
      <w:pPr>
        <w:pStyle w:val="paragraph"/>
      </w:pPr>
      <w:r w:rsidRPr="00283424">
        <w:tab/>
        <w:t>(b)</w:t>
      </w:r>
      <w:r w:rsidRPr="00283424">
        <w:tab/>
        <w:t>the name of the MySuper product to which the amount was attributed or transferred;</w:t>
      </w:r>
    </w:p>
    <w:p w14:paraId="02379547" w14:textId="77777777" w:rsidR="00E93F58" w:rsidRPr="00283424" w:rsidRDefault="00E93F58" w:rsidP="00B50726">
      <w:pPr>
        <w:pStyle w:val="paragraph"/>
      </w:pPr>
      <w:r w:rsidRPr="00283424">
        <w:tab/>
        <w:t>(c)</w:t>
      </w:r>
      <w:r w:rsidRPr="00283424">
        <w:tab/>
        <w:t>how the member may obtain a product disclosure statement for the MySuper product;</w:t>
      </w:r>
    </w:p>
    <w:p w14:paraId="2966696F" w14:textId="77777777" w:rsidR="00E93F58" w:rsidRPr="00283424" w:rsidRDefault="00E93F58" w:rsidP="00B50726">
      <w:pPr>
        <w:pStyle w:val="paragraph"/>
      </w:pPr>
      <w:r w:rsidRPr="00283424">
        <w:tab/>
        <w:t>(d)</w:t>
      </w:r>
      <w:r w:rsidRPr="00283424">
        <w:tab/>
        <w:t>any other information that the member needs to understand the attribution or transfer.</w:t>
      </w:r>
    </w:p>
    <w:p w14:paraId="58E79A59" w14:textId="77777777" w:rsidR="00E93F58" w:rsidRPr="00283424" w:rsidRDefault="00E93F58" w:rsidP="00B50726">
      <w:pPr>
        <w:pStyle w:val="ActHead5"/>
      </w:pPr>
      <w:bookmarkStart w:id="1588" w:name="_Toc152054770"/>
      <w:bookmarkStart w:id="1589" w:name="_Toc158712586"/>
      <w:r w:rsidRPr="006F296E">
        <w:rPr>
          <w:rStyle w:val="CharSectno"/>
        </w:rPr>
        <w:t>7.9.11M</w:t>
      </w:r>
      <w:r w:rsidRPr="00283424">
        <w:t xml:space="preserve">  Provisions of Part 7.9 of Act that do not apply in relation to superannuation product</w:t>
      </w:r>
      <w:bookmarkEnd w:id="1588"/>
      <w:bookmarkEnd w:id="1589"/>
    </w:p>
    <w:p w14:paraId="48191CB3" w14:textId="77777777" w:rsidR="00E93F58" w:rsidRPr="00283424" w:rsidRDefault="00E93F58" w:rsidP="00B50726">
      <w:pPr>
        <w:pStyle w:val="subsection"/>
      </w:pPr>
      <w:r w:rsidRPr="00283424">
        <w:tab/>
        <w:t>(1)</w:t>
      </w:r>
      <w:r w:rsidRPr="00283424">
        <w:tab/>
        <w:t>For paragraph 1020G(1)(b) of the Act, Subdivision D of Division 2 of Part 7.9 of the Act does not apply in relation to a superannuation product.</w:t>
      </w:r>
    </w:p>
    <w:p w14:paraId="066EED1A" w14:textId="77777777" w:rsidR="00E93F58" w:rsidRPr="00283424" w:rsidRDefault="00E93F58" w:rsidP="00B50726">
      <w:pPr>
        <w:pStyle w:val="subsection"/>
      </w:pPr>
      <w:r w:rsidRPr="00283424">
        <w:tab/>
        <w:t>(2)</w:t>
      </w:r>
      <w:r w:rsidRPr="00283424">
        <w:tab/>
        <w:t>If a person:</w:t>
      </w:r>
    </w:p>
    <w:p w14:paraId="688AAB66" w14:textId="77777777" w:rsidR="00E93F58" w:rsidRPr="00283424" w:rsidRDefault="00E93F58" w:rsidP="00B50726">
      <w:pPr>
        <w:pStyle w:val="paragraph"/>
      </w:pPr>
      <w:r w:rsidRPr="00283424">
        <w:tab/>
        <w:t>(a)</w:t>
      </w:r>
      <w:r w:rsidRPr="00283424">
        <w:tab/>
        <w:t xml:space="preserve">proposes to prepare a Product Disclosure Statement or a </w:t>
      </w:r>
      <w:r w:rsidRPr="00BE1284">
        <w:t>Supplementary Product Disclosure Statement</w:t>
      </w:r>
      <w:r w:rsidRPr="00283424">
        <w:t xml:space="preserve"> for a superannuation product during the period commencing on the day on which this subregulation commences and ending on 22 June 2012; and</w:t>
      </w:r>
    </w:p>
    <w:p w14:paraId="2ADE67A9" w14:textId="77777777" w:rsidR="00E93F58" w:rsidRPr="00283424" w:rsidRDefault="00E93F58" w:rsidP="00B50726">
      <w:pPr>
        <w:pStyle w:val="paragraph"/>
      </w:pPr>
      <w:r w:rsidRPr="00283424">
        <w:tab/>
        <w:t>(b)</w:t>
      </w:r>
      <w:r w:rsidRPr="00283424">
        <w:tab/>
        <w:t xml:space="preserve">is permitted to decide, in accordance with regulation 4 of the </w:t>
      </w:r>
      <w:r w:rsidRPr="00283424">
        <w:rPr>
          <w:i/>
        </w:rPr>
        <w:t xml:space="preserve">Corporations Amendment </w:t>
      </w:r>
      <w:r>
        <w:rPr>
          <w:i/>
        </w:rPr>
        <w:t>Regulations 2</w:t>
      </w:r>
      <w:r w:rsidRPr="00283424">
        <w:rPr>
          <w:i/>
        </w:rPr>
        <w:t>010 (No. 5)</w:t>
      </w:r>
      <w:r w:rsidRPr="00283424">
        <w:t xml:space="preserve">, to prepare the Product Disclosure Statement or </w:t>
      </w:r>
      <w:r w:rsidRPr="00BE1284">
        <w:t>Supplementary Product Disclosure Statement</w:t>
      </w:r>
      <w:r w:rsidRPr="00283424">
        <w:t xml:space="preserve"> in accordance with Subdivision D of Division 2 of Part 7.9 of the Act; and</w:t>
      </w:r>
    </w:p>
    <w:p w14:paraId="313B7EAF" w14:textId="77777777" w:rsidR="00E93F58" w:rsidRPr="00283424" w:rsidRDefault="00E93F58" w:rsidP="00B50726">
      <w:pPr>
        <w:pStyle w:val="paragraph"/>
      </w:pPr>
      <w:r w:rsidRPr="00283424">
        <w:tab/>
        <w:t>(c)</w:t>
      </w:r>
      <w:r w:rsidRPr="00283424">
        <w:tab/>
        <w:t xml:space="preserve">prepares the Product Disclosure Statement or </w:t>
      </w:r>
      <w:r w:rsidRPr="00BE1284">
        <w:t>Supplementary Product Disclosure Statement</w:t>
      </w:r>
      <w:r w:rsidRPr="00283424">
        <w:t xml:space="preserve"> in accordance with that Subdivision;</w:t>
      </w:r>
    </w:p>
    <w:p w14:paraId="5277D391" w14:textId="77777777" w:rsidR="00E93F58" w:rsidRPr="00283424" w:rsidRDefault="00E93F58" w:rsidP="00B50726">
      <w:pPr>
        <w:pStyle w:val="subsection2"/>
      </w:pPr>
      <w:r w:rsidRPr="00283424">
        <w:t xml:space="preserve">the preparation of the Product Disclosure Statement or </w:t>
      </w:r>
      <w:r w:rsidRPr="00BE1284">
        <w:t>Supplementary Product Disclosure Statement</w:t>
      </w:r>
      <w:r w:rsidRPr="00283424">
        <w:t xml:space="preserve"> is taken to be full compliance with all requirements of Part 7.9 of the Act and these Regulations relating to how the Product Disclosure Statement or </w:t>
      </w:r>
      <w:r w:rsidRPr="00BE1284">
        <w:t>Supplementary Product Disclosure Statement</w:t>
      </w:r>
      <w:r w:rsidRPr="00283424">
        <w:t xml:space="preserve"> is to be prepared.</w:t>
      </w:r>
    </w:p>
    <w:p w14:paraId="59FC5344" w14:textId="77777777" w:rsidR="00E93F58" w:rsidRPr="00283424" w:rsidRDefault="00E93F58" w:rsidP="00B50726">
      <w:pPr>
        <w:pStyle w:val="notetext"/>
      </w:pPr>
      <w:r w:rsidRPr="00283424">
        <w:t>Note:</w:t>
      </w:r>
      <w:r w:rsidRPr="00283424">
        <w:tab/>
        <w:t xml:space="preserve">The </w:t>
      </w:r>
      <w:r w:rsidRPr="00283424">
        <w:rPr>
          <w:i/>
        </w:rPr>
        <w:t xml:space="preserve">Corporations Amendment </w:t>
      </w:r>
      <w:r>
        <w:rPr>
          <w:i/>
        </w:rPr>
        <w:t>Regulations 2</w:t>
      </w:r>
      <w:r w:rsidRPr="00283424">
        <w:rPr>
          <w:i/>
        </w:rPr>
        <w:t>010 (No. 5)</w:t>
      </w:r>
      <w:r w:rsidRPr="00283424">
        <w:t xml:space="preserve"> amended these Regulations to make new arrangements for the preparation of Product Disclosure Statements for superannuation products, including identifying that Subdivision D of Division 2 of Part 7.9 of the Act would no longer apply. However, the transitional arrangements in subregulations 4(1) to (7) of the Amendment Regulations allowed certain persons to decide to rely on Subdivision D of Division 2 of Part 7.9 of the Act for the purpose of preparing the Product Disclosure Statement.</w:t>
      </w:r>
    </w:p>
    <w:p w14:paraId="40133FA1" w14:textId="77777777" w:rsidR="00E93F58" w:rsidRPr="00283424" w:rsidRDefault="00E93F58" w:rsidP="00B50726">
      <w:pPr>
        <w:pStyle w:val="ActHead5"/>
      </w:pPr>
      <w:bookmarkStart w:id="1590" w:name="_Toc152054771"/>
      <w:bookmarkStart w:id="1591" w:name="_Toc158712587"/>
      <w:r w:rsidRPr="006F296E">
        <w:rPr>
          <w:rStyle w:val="CharSectno"/>
        </w:rPr>
        <w:t>7.9.11N</w:t>
      </w:r>
      <w:r w:rsidRPr="00283424">
        <w:t xml:space="preserve">  Modification of Act—superannuation product</w:t>
      </w:r>
      <w:bookmarkEnd w:id="1590"/>
      <w:bookmarkEnd w:id="1591"/>
    </w:p>
    <w:p w14:paraId="3D7CDADB" w14:textId="77777777" w:rsidR="00E93F58" w:rsidRPr="00283424" w:rsidRDefault="00E93F58" w:rsidP="00B50726">
      <w:pPr>
        <w:pStyle w:val="subsection"/>
      </w:pPr>
      <w:r w:rsidRPr="00283424">
        <w:tab/>
      </w:r>
      <w:r w:rsidRPr="00283424">
        <w:tab/>
        <w:t>For paragraph 1020G(1)(c) of the Act, Part 7.9 of the Act is modified in its application to a superannuation product to which this Subdivision applies as set out in Part 5B of Schedule 10A.</w:t>
      </w:r>
    </w:p>
    <w:p w14:paraId="79E4D574" w14:textId="77777777" w:rsidR="00E93F58" w:rsidRPr="00283424" w:rsidRDefault="00E93F58" w:rsidP="00B50726">
      <w:pPr>
        <w:pStyle w:val="ActHead5"/>
      </w:pPr>
      <w:bookmarkStart w:id="1592" w:name="_Toc152054772"/>
      <w:bookmarkStart w:id="1593" w:name="_Toc158712588"/>
      <w:r w:rsidRPr="006F296E">
        <w:rPr>
          <w:rStyle w:val="CharSectno"/>
        </w:rPr>
        <w:t>7.9.11O</w:t>
      </w:r>
      <w:r w:rsidRPr="00283424">
        <w:t xml:space="preserve">  Form and content of Product Disclosure Statement for superannuation product</w:t>
      </w:r>
      <w:bookmarkEnd w:id="1592"/>
      <w:bookmarkEnd w:id="1593"/>
    </w:p>
    <w:p w14:paraId="5ADDB16F" w14:textId="77777777" w:rsidR="00E93F58" w:rsidRPr="00283424" w:rsidRDefault="00E93F58" w:rsidP="00B50726">
      <w:pPr>
        <w:pStyle w:val="subsection"/>
      </w:pPr>
      <w:r w:rsidRPr="00283424">
        <w:tab/>
        <w:t>(1)</w:t>
      </w:r>
      <w:r w:rsidRPr="00283424">
        <w:tab/>
        <w:t>For modified paragraph 1013C(1)(a) of the Act, a Product Disclosure Statement for a superannuation product to which this Subdivision applies must include the information and statements mentioned in Schedule 10D.</w:t>
      </w:r>
    </w:p>
    <w:p w14:paraId="05ECD78E" w14:textId="77777777" w:rsidR="00E93F58" w:rsidRPr="00283424" w:rsidRDefault="00E93F58" w:rsidP="00B50726">
      <w:pPr>
        <w:pStyle w:val="subsection"/>
      </w:pPr>
      <w:r w:rsidRPr="00283424">
        <w:tab/>
        <w:t>(2)</w:t>
      </w:r>
      <w:r w:rsidRPr="00283424">
        <w:tab/>
        <w:t>For modified paragraph 1013C(1)(b) of the Act, a Product Disclosure Statement for a superannuation product to which this Subdivision applies must be in the form mentioned in Schedule 10D.</w:t>
      </w:r>
    </w:p>
    <w:p w14:paraId="6A160919" w14:textId="77777777" w:rsidR="00E93F58" w:rsidRPr="00283424" w:rsidRDefault="00E93F58" w:rsidP="00B50726">
      <w:pPr>
        <w:pStyle w:val="ActHead5"/>
      </w:pPr>
      <w:bookmarkStart w:id="1594" w:name="_Toc152054773"/>
      <w:bookmarkStart w:id="1595" w:name="_Toc158712589"/>
      <w:r w:rsidRPr="006F296E">
        <w:rPr>
          <w:rStyle w:val="CharSectno"/>
        </w:rPr>
        <w:t>7.9.11P</w:t>
      </w:r>
      <w:r w:rsidRPr="00283424">
        <w:t xml:space="preserve">  Requirements for references to incorporated information for superannuation product</w:t>
      </w:r>
      <w:bookmarkEnd w:id="1594"/>
      <w:bookmarkEnd w:id="1595"/>
    </w:p>
    <w:p w14:paraId="6A67EBDB" w14:textId="77777777" w:rsidR="00E93F58" w:rsidRPr="00283424" w:rsidRDefault="00E93F58" w:rsidP="00B50726">
      <w:pPr>
        <w:pStyle w:val="subsection"/>
        <w:keepNext/>
        <w:keepLines/>
      </w:pPr>
      <w:r w:rsidRPr="00283424">
        <w:tab/>
        <w:t>(1)</w:t>
      </w:r>
      <w:r w:rsidRPr="00283424">
        <w:tab/>
        <w:t>For subsection 1013C(1D) of the Act, as modified by Part 5B of Schedule 10A, this regulation prescribes requirements for applying, adopting or incorporating, in a Product Disclosure Statement for a superannuation product to which this Subdivision applies, a matter contained in writing.</w:t>
      </w:r>
    </w:p>
    <w:p w14:paraId="2FD0205A" w14:textId="77777777" w:rsidR="00E93F58" w:rsidRPr="00283424" w:rsidRDefault="00E93F58" w:rsidP="00B50726">
      <w:pPr>
        <w:pStyle w:val="subsection"/>
      </w:pPr>
      <w:r w:rsidRPr="00283424">
        <w:tab/>
        <w:t>(2)</w:t>
      </w:r>
      <w:r w:rsidRPr="00283424">
        <w:tab/>
        <w:t>A Product Disclosure Statement may apply, adopt or incorporate a matter only if a provision of these Regulations requires or permits the matter to be applied, adopted or incorporated by the Statement.</w:t>
      </w:r>
    </w:p>
    <w:p w14:paraId="5E75F6D5" w14:textId="77777777" w:rsidR="00E93F58" w:rsidRPr="00283424" w:rsidRDefault="00E93F58" w:rsidP="00B50726">
      <w:pPr>
        <w:pStyle w:val="subsection"/>
      </w:pPr>
      <w:r w:rsidRPr="00283424">
        <w:tab/>
        <w:t>(3)</w:t>
      </w:r>
      <w:r w:rsidRPr="00283424">
        <w:tab/>
        <w:t>If a Product Disclosure Statement applies, adopts or incorporates a matter:</w:t>
      </w:r>
    </w:p>
    <w:p w14:paraId="6E8B36EC" w14:textId="77777777" w:rsidR="00E93F58" w:rsidRPr="00283424" w:rsidRDefault="00E93F58" w:rsidP="00B50726">
      <w:pPr>
        <w:pStyle w:val="paragraph"/>
      </w:pPr>
      <w:r w:rsidRPr="00283424">
        <w:tab/>
        <w:t>(a)</w:t>
      </w:r>
      <w:r w:rsidRPr="00283424">
        <w:tab/>
        <w:t>the matter must be:</w:t>
      </w:r>
    </w:p>
    <w:p w14:paraId="6DC6EB00" w14:textId="77777777" w:rsidR="00E93F58" w:rsidRPr="00283424" w:rsidRDefault="00E93F58" w:rsidP="00B50726">
      <w:pPr>
        <w:pStyle w:val="paragraphsub"/>
      </w:pPr>
      <w:r w:rsidRPr="00283424">
        <w:tab/>
        <w:t>(i)</w:t>
      </w:r>
      <w:r w:rsidRPr="00283424">
        <w:tab/>
        <w:t>in writing; and</w:t>
      </w:r>
    </w:p>
    <w:p w14:paraId="0332552A" w14:textId="77777777" w:rsidR="00E93F58" w:rsidRPr="00283424" w:rsidRDefault="00E93F58" w:rsidP="00B50726">
      <w:pPr>
        <w:pStyle w:val="paragraphsub"/>
      </w:pPr>
      <w:r w:rsidRPr="00283424">
        <w:tab/>
        <w:t>(ii)</w:t>
      </w:r>
      <w:r w:rsidRPr="00283424">
        <w:tab/>
        <w:t>clearly distinguishable from any other matters that are not to be applied, adopted or incorporated; and</w:t>
      </w:r>
    </w:p>
    <w:p w14:paraId="3CF9F0F8" w14:textId="77777777" w:rsidR="00E93F58" w:rsidRPr="00283424" w:rsidRDefault="00E93F58" w:rsidP="00B50726">
      <w:pPr>
        <w:pStyle w:val="paragraphsub"/>
      </w:pPr>
      <w:r w:rsidRPr="00283424">
        <w:lastRenderedPageBreak/>
        <w:tab/>
        <w:t>(iii)</w:t>
      </w:r>
      <w:r w:rsidRPr="00283424">
        <w:tab/>
        <w:t>if the superannuation product is not issued to a standard employer</w:t>
      </w:r>
      <w:r>
        <w:noBreakHyphen/>
      </w:r>
      <w:r w:rsidRPr="00283424">
        <w:t>sponsored member—publicly available in a document other than the Statement; and</w:t>
      </w:r>
    </w:p>
    <w:p w14:paraId="5B9E233A" w14:textId="77777777" w:rsidR="00E93F58" w:rsidRPr="00283424" w:rsidRDefault="00E93F58" w:rsidP="00B50726">
      <w:pPr>
        <w:pStyle w:val="paragraph"/>
      </w:pPr>
      <w:r w:rsidRPr="00283424">
        <w:tab/>
        <w:t>(b)</w:t>
      </w:r>
      <w:r w:rsidRPr="00283424">
        <w:tab/>
        <w:t>the responsible person for the Statement must identify the matter by:</w:t>
      </w:r>
    </w:p>
    <w:p w14:paraId="5CBA3D56" w14:textId="77777777" w:rsidR="00E93F58" w:rsidRPr="00283424" w:rsidRDefault="00E93F58" w:rsidP="00B50726">
      <w:pPr>
        <w:pStyle w:val="paragraphsub"/>
      </w:pPr>
      <w:r w:rsidRPr="00283424">
        <w:tab/>
        <w:t>(i)</w:t>
      </w:r>
      <w:r w:rsidRPr="00283424">
        <w:tab/>
        <w:t>including in the Statement a concise description of the matter; and</w:t>
      </w:r>
    </w:p>
    <w:p w14:paraId="6FD00134" w14:textId="77777777" w:rsidR="00E93F58" w:rsidRPr="00283424" w:rsidRDefault="00E93F58" w:rsidP="00B50726">
      <w:pPr>
        <w:pStyle w:val="paragraphsub"/>
      </w:pPr>
      <w:r w:rsidRPr="00283424">
        <w:tab/>
        <w:t>(ii)</w:t>
      </w:r>
      <w:r w:rsidRPr="00283424">
        <w:tab/>
        <w:t>ensuring that the reference to the matter is clearly distinguishable from the other contents of the Statement; and</w:t>
      </w:r>
    </w:p>
    <w:p w14:paraId="19CB167D" w14:textId="77777777" w:rsidR="00E93F58" w:rsidRPr="00283424" w:rsidRDefault="00E93F58" w:rsidP="00B50726">
      <w:pPr>
        <w:pStyle w:val="paragraph"/>
      </w:pPr>
      <w:r w:rsidRPr="00283424">
        <w:tab/>
        <w:t>(c)</w:t>
      </w:r>
      <w:r w:rsidRPr="00283424">
        <w:tab/>
        <w:t>the responsible person for the Statement must:</w:t>
      </w:r>
    </w:p>
    <w:p w14:paraId="1F2A70C9" w14:textId="77777777" w:rsidR="00E93F58" w:rsidRPr="00283424" w:rsidRDefault="00E93F58" w:rsidP="00B50726">
      <w:pPr>
        <w:pStyle w:val="paragraphsub"/>
      </w:pPr>
      <w:r w:rsidRPr="00283424">
        <w:tab/>
        <w:t>(i)</w:t>
      </w:r>
      <w:r w:rsidRPr="00283424">
        <w:tab/>
        <w:t>identify each version of the matter (by including the date on which the version was prepared) so that a person who, at a particular time, is considering a superannuation product can identify the version that is relevant to the superannuation product at that time; and</w:t>
      </w:r>
    </w:p>
    <w:p w14:paraId="3A358B6A" w14:textId="77777777" w:rsidR="00E93F58" w:rsidRPr="00283424" w:rsidRDefault="00E93F58" w:rsidP="00B50726">
      <w:pPr>
        <w:pStyle w:val="paragraphsub"/>
      </w:pPr>
      <w:r w:rsidRPr="00283424">
        <w:tab/>
        <w:t>(ii)</w:t>
      </w:r>
      <w:r w:rsidRPr="00283424">
        <w:tab/>
        <w:t>state the date on which a version was prepared in a prominent position at or near the front of the version; and</w:t>
      </w:r>
    </w:p>
    <w:p w14:paraId="3332246B" w14:textId="77777777" w:rsidR="00E93F58" w:rsidRPr="00283424" w:rsidRDefault="00E93F58" w:rsidP="00B50726">
      <w:pPr>
        <w:pStyle w:val="paragraph"/>
      </w:pPr>
      <w:r w:rsidRPr="00283424">
        <w:tab/>
        <w:t>(d)</w:t>
      </w:r>
      <w:r w:rsidRPr="00283424">
        <w:tab/>
        <w:t>the responsible person for the Statement must ensure that a person who is relying on the Statement is able to have access to:</w:t>
      </w:r>
    </w:p>
    <w:p w14:paraId="25ABFE94" w14:textId="77777777" w:rsidR="00E93F58" w:rsidRPr="00283424" w:rsidRDefault="00E93F58" w:rsidP="00B50726">
      <w:pPr>
        <w:pStyle w:val="paragraphsub"/>
      </w:pPr>
      <w:r w:rsidRPr="00283424">
        <w:tab/>
        <w:t>(i)</w:t>
      </w:r>
      <w:r w:rsidRPr="00283424">
        <w:tab/>
        <w:t>the document containing the matter; or</w:t>
      </w:r>
    </w:p>
    <w:p w14:paraId="52524836" w14:textId="77777777" w:rsidR="00E93F58" w:rsidRPr="00283424" w:rsidRDefault="00E93F58" w:rsidP="00B50726">
      <w:pPr>
        <w:pStyle w:val="paragraphsub"/>
      </w:pPr>
      <w:r w:rsidRPr="00283424">
        <w:tab/>
        <w:t>(ii)</w:t>
      </w:r>
      <w:r w:rsidRPr="00283424">
        <w:tab/>
        <w:t>if there is more than 1 version of the document containing the matter—each version;</w:t>
      </w:r>
    </w:p>
    <w:p w14:paraId="39A90E4B" w14:textId="77777777" w:rsidR="00E93F58" w:rsidRPr="00283424" w:rsidRDefault="00E93F58" w:rsidP="00B50726">
      <w:pPr>
        <w:pStyle w:val="paragraph"/>
      </w:pPr>
      <w:r w:rsidRPr="00283424">
        <w:tab/>
      </w:r>
      <w:r w:rsidRPr="00283424">
        <w:tab/>
        <w:t>reasonably easily and reasonably quickly.</w:t>
      </w:r>
    </w:p>
    <w:p w14:paraId="25962272" w14:textId="77777777" w:rsidR="00E93F58" w:rsidRPr="00283424" w:rsidRDefault="00E93F58" w:rsidP="00B50726">
      <w:pPr>
        <w:pStyle w:val="subsection"/>
      </w:pPr>
      <w:r w:rsidRPr="00283424">
        <w:tab/>
        <w:t>(4)</w:t>
      </w:r>
      <w:r w:rsidRPr="00283424">
        <w:tab/>
        <w:t>The responsible person for the Product Disclosure Statement must also ensure that the Statement includes the statements in the following table relating to the matter, and sets them out in each place at which the matter has been applied, adopted or incorporated.</w:t>
      </w:r>
    </w:p>
    <w:p w14:paraId="0BB44908"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09"/>
        <w:gridCol w:w="9864"/>
      </w:tblGrid>
      <w:tr w:rsidR="00E93F58" w:rsidRPr="00283424" w14:paraId="4C9B8143" w14:textId="77777777" w:rsidTr="00EA0AFF">
        <w:trPr>
          <w:tblHeader/>
        </w:trPr>
        <w:tc>
          <w:tcPr>
            <w:tcW w:w="422" w:type="pct"/>
            <w:tcBorders>
              <w:top w:val="single" w:sz="12" w:space="0" w:color="auto"/>
              <w:bottom w:val="single" w:sz="12" w:space="0" w:color="auto"/>
            </w:tcBorders>
            <w:shd w:val="clear" w:color="auto" w:fill="auto"/>
          </w:tcPr>
          <w:p w14:paraId="1E6274AD" w14:textId="77777777" w:rsidR="00E93F58" w:rsidRPr="00283424" w:rsidRDefault="00E93F58" w:rsidP="00EA0AFF">
            <w:pPr>
              <w:pStyle w:val="TableHeading"/>
            </w:pPr>
            <w:r w:rsidRPr="00283424">
              <w:t>Item</w:t>
            </w:r>
          </w:p>
        </w:tc>
        <w:tc>
          <w:tcPr>
            <w:tcW w:w="4578" w:type="pct"/>
            <w:tcBorders>
              <w:top w:val="single" w:sz="12" w:space="0" w:color="auto"/>
              <w:bottom w:val="single" w:sz="12" w:space="0" w:color="auto"/>
            </w:tcBorders>
            <w:shd w:val="clear" w:color="auto" w:fill="auto"/>
          </w:tcPr>
          <w:p w14:paraId="4222D03D" w14:textId="77777777" w:rsidR="00E93F58" w:rsidRPr="00283424" w:rsidRDefault="00E93F58" w:rsidP="00EA0AFF">
            <w:pPr>
              <w:pStyle w:val="TableHeading"/>
            </w:pPr>
            <w:r w:rsidRPr="00283424">
              <w:t>Statement</w:t>
            </w:r>
          </w:p>
        </w:tc>
      </w:tr>
      <w:tr w:rsidR="00E93F58" w:rsidRPr="00283424" w14:paraId="3579BF21" w14:textId="77777777" w:rsidTr="00EA0AFF">
        <w:tc>
          <w:tcPr>
            <w:tcW w:w="422" w:type="pct"/>
            <w:tcBorders>
              <w:top w:val="single" w:sz="12" w:space="0" w:color="auto"/>
              <w:bottom w:val="single" w:sz="4" w:space="0" w:color="auto"/>
            </w:tcBorders>
            <w:shd w:val="clear" w:color="auto" w:fill="auto"/>
          </w:tcPr>
          <w:p w14:paraId="04BABDA9" w14:textId="77777777" w:rsidR="00E93F58" w:rsidRPr="00283424" w:rsidRDefault="00E93F58" w:rsidP="00EA0AFF">
            <w:pPr>
              <w:pStyle w:val="Tabletext"/>
            </w:pPr>
            <w:r w:rsidRPr="00283424">
              <w:t>1</w:t>
            </w:r>
          </w:p>
        </w:tc>
        <w:tc>
          <w:tcPr>
            <w:tcW w:w="4578" w:type="pct"/>
            <w:tcBorders>
              <w:top w:val="single" w:sz="12" w:space="0" w:color="auto"/>
              <w:bottom w:val="single" w:sz="4" w:space="0" w:color="auto"/>
            </w:tcBorders>
            <w:shd w:val="clear" w:color="auto" w:fill="auto"/>
          </w:tcPr>
          <w:p w14:paraId="0B0AB977" w14:textId="77777777" w:rsidR="00E93F58" w:rsidRPr="00283424" w:rsidRDefault="00E93F58" w:rsidP="00EA0AFF">
            <w:pPr>
              <w:pStyle w:val="Tabletext"/>
            </w:pPr>
            <w:r w:rsidRPr="00283424">
              <w:t xml:space="preserve">You should read the important information about </w:t>
            </w:r>
            <w:r w:rsidRPr="00283424">
              <w:rPr>
                <w:i/>
              </w:rPr>
              <w:t xml:space="preserve">[the subject] </w:t>
            </w:r>
            <w:r w:rsidRPr="00283424">
              <w:t xml:space="preserve">before making a decision. Go to </w:t>
            </w:r>
            <w:r w:rsidRPr="00283424">
              <w:rPr>
                <w:i/>
              </w:rPr>
              <w:t>[location of the matter that has been applied, adopted or incorporated]</w:t>
            </w:r>
          </w:p>
        </w:tc>
      </w:tr>
      <w:tr w:rsidR="00E93F58" w:rsidRPr="00283424" w14:paraId="149C4BFE" w14:textId="77777777" w:rsidTr="00EA0AFF">
        <w:tc>
          <w:tcPr>
            <w:tcW w:w="422" w:type="pct"/>
            <w:tcBorders>
              <w:bottom w:val="single" w:sz="12" w:space="0" w:color="auto"/>
            </w:tcBorders>
            <w:shd w:val="clear" w:color="auto" w:fill="auto"/>
          </w:tcPr>
          <w:p w14:paraId="1AA637F9" w14:textId="77777777" w:rsidR="00E93F58" w:rsidRPr="00283424" w:rsidRDefault="00E93F58" w:rsidP="00EA0AFF">
            <w:pPr>
              <w:pStyle w:val="Tabletext"/>
            </w:pPr>
            <w:r w:rsidRPr="00283424">
              <w:t>2</w:t>
            </w:r>
          </w:p>
        </w:tc>
        <w:tc>
          <w:tcPr>
            <w:tcW w:w="4578" w:type="pct"/>
            <w:tcBorders>
              <w:bottom w:val="single" w:sz="12" w:space="0" w:color="auto"/>
            </w:tcBorders>
            <w:shd w:val="clear" w:color="auto" w:fill="auto"/>
          </w:tcPr>
          <w:p w14:paraId="75BDFCE8" w14:textId="77777777" w:rsidR="00E93F58" w:rsidRPr="00283424" w:rsidRDefault="00E93F58" w:rsidP="00EA0AFF">
            <w:pPr>
              <w:pStyle w:val="Tabletext"/>
            </w:pPr>
            <w:r w:rsidRPr="00283424">
              <w:t xml:space="preserve">The material relating to </w:t>
            </w:r>
            <w:r w:rsidRPr="00283424">
              <w:rPr>
                <w:i/>
              </w:rPr>
              <w:t>[matter]</w:t>
            </w:r>
            <w:r w:rsidRPr="00283424">
              <w:t xml:space="preserve"> may change between the time when you read this Statement and the day</w:t>
            </w:r>
            <w:r w:rsidRPr="00283424">
              <w:rPr>
                <w:szCs w:val="22"/>
              </w:rPr>
              <w:t xml:space="preserve"> when you acquire the product</w:t>
            </w:r>
          </w:p>
        </w:tc>
      </w:tr>
    </w:tbl>
    <w:p w14:paraId="4B1BFE8E" w14:textId="77777777" w:rsidR="00E93F58" w:rsidRPr="00283424" w:rsidRDefault="00E93F58" w:rsidP="00B50726">
      <w:pPr>
        <w:pStyle w:val="subsection"/>
      </w:pPr>
      <w:r w:rsidRPr="00283424">
        <w:tab/>
        <w:t>(5)</w:t>
      </w:r>
      <w:r w:rsidRPr="00283424">
        <w:tab/>
        <w:t>The responsible person for the Product Disclosure Statement must also ensure that each document mentioned in subregulation (3) includes the statement in the following table relating to the matter.</w:t>
      </w:r>
    </w:p>
    <w:p w14:paraId="0C0158AB"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09"/>
        <w:gridCol w:w="9864"/>
      </w:tblGrid>
      <w:tr w:rsidR="00E93F58" w:rsidRPr="00283424" w14:paraId="7C1EB0C8" w14:textId="77777777" w:rsidTr="00EA0AFF">
        <w:tc>
          <w:tcPr>
            <w:tcW w:w="422" w:type="pct"/>
            <w:tcBorders>
              <w:top w:val="single" w:sz="12" w:space="0" w:color="auto"/>
              <w:bottom w:val="single" w:sz="12" w:space="0" w:color="auto"/>
            </w:tcBorders>
            <w:shd w:val="clear" w:color="auto" w:fill="auto"/>
          </w:tcPr>
          <w:p w14:paraId="2AB34BC0" w14:textId="77777777" w:rsidR="00E93F58" w:rsidRPr="00283424" w:rsidRDefault="00E93F58" w:rsidP="00EA0AFF">
            <w:pPr>
              <w:pStyle w:val="TableHeading"/>
            </w:pPr>
            <w:r w:rsidRPr="00283424">
              <w:t>Item</w:t>
            </w:r>
          </w:p>
        </w:tc>
        <w:tc>
          <w:tcPr>
            <w:tcW w:w="4578" w:type="pct"/>
            <w:tcBorders>
              <w:top w:val="single" w:sz="12" w:space="0" w:color="auto"/>
              <w:bottom w:val="single" w:sz="12" w:space="0" w:color="auto"/>
            </w:tcBorders>
            <w:shd w:val="clear" w:color="auto" w:fill="auto"/>
          </w:tcPr>
          <w:p w14:paraId="3B6DBDFF" w14:textId="77777777" w:rsidR="00E93F58" w:rsidRPr="00283424" w:rsidRDefault="00E93F58" w:rsidP="00EA0AFF">
            <w:pPr>
              <w:pStyle w:val="TableHeading"/>
            </w:pPr>
            <w:r w:rsidRPr="00283424">
              <w:t>Statement</w:t>
            </w:r>
          </w:p>
        </w:tc>
      </w:tr>
      <w:tr w:rsidR="00E93F58" w:rsidRPr="00283424" w14:paraId="5CAD9334" w14:textId="77777777" w:rsidTr="00EA0AFF">
        <w:tc>
          <w:tcPr>
            <w:tcW w:w="422" w:type="pct"/>
            <w:tcBorders>
              <w:top w:val="single" w:sz="12" w:space="0" w:color="auto"/>
              <w:bottom w:val="single" w:sz="12" w:space="0" w:color="auto"/>
            </w:tcBorders>
            <w:shd w:val="clear" w:color="auto" w:fill="auto"/>
          </w:tcPr>
          <w:p w14:paraId="4070DDFF" w14:textId="77777777" w:rsidR="00E93F58" w:rsidRPr="00283424" w:rsidRDefault="00E93F58" w:rsidP="00EA0AFF">
            <w:pPr>
              <w:pStyle w:val="Tabletext"/>
            </w:pPr>
            <w:r w:rsidRPr="00283424">
              <w:t>1</w:t>
            </w:r>
          </w:p>
        </w:tc>
        <w:tc>
          <w:tcPr>
            <w:tcW w:w="4578" w:type="pct"/>
            <w:tcBorders>
              <w:top w:val="single" w:sz="12" w:space="0" w:color="auto"/>
              <w:bottom w:val="single" w:sz="12" w:space="0" w:color="auto"/>
            </w:tcBorders>
            <w:shd w:val="clear" w:color="auto" w:fill="auto"/>
          </w:tcPr>
          <w:p w14:paraId="4501447F" w14:textId="77777777" w:rsidR="00E93F58" w:rsidRPr="00283424" w:rsidRDefault="00E93F58" w:rsidP="00EA0AFF">
            <w:pPr>
              <w:pStyle w:val="Tabletext"/>
            </w:pPr>
            <w:r w:rsidRPr="00283424">
              <w:t xml:space="preserve">The information in this document forms part of the Product Disclosure Statement </w:t>
            </w:r>
            <w:r w:rsidRPr="00283424">
              <w:rPr>
                <w:i/>
              </w:rPr>
              <w:t>[identification by name, date and version (if applicable) of each Statement]</w:t>
            </w:r>
          </w:p>
        </w:tc>
      </w:tr>
    </w:tbl>
    <w:p w14:paraId="09F50E48" w14:textId="77777777" w:rsidR="00E93F58" w:rsidRPr="00283424" w:rsidRDefault="00E93F58" w:rsidP="00B50726">
      <w:pPr>
        <w:pStyle w:val="subsection"/>
        <w:keepNext/>
        <w:keepLines/>
      </w:pPr>
      <w:r w:rsidRPr="00283424">
        <w:tab/>
        <w:t>(6)</w:t>
      </w:r>
      <w:r w:rsidRPr="00283424">
        <w:tab/>
        <w:t>For the avoidance of doubt, the giving of a Product Disclosure Statement to which this Subdivision applies is taken to be the giving of every matter that is applied, adopted or incorporated in accordance with subregulations (1) to (5).</w:t>
      </w:r>
    </w:p>
    <w:p w14:paraId="19319236" w14:textId="77777777" w:rsidR="00E93F58" w:rsidRPr="00283424" w:rsidRDefault="00E93F58" w:rsidP="00B50726">
      <w:pPr>
        <w:pStyle w:val="subsection"/>
      </w:pPr>
      <w:r w:rsidRPr="00283424">
        <w:tab/>
        <w:t>(7)</w:t>
      </w:r>
      <w:r w:rsidRPr="00283424">
        <w:tab/>
        <w:t>If the Product Disclosure Statement applies, adopts or incorporates a matter, the information dealing with the matter is taken to have been given to a person on the day on which the product is acquired.</w:t>
      </w:r>
    </w:p>
    <w:p w14:paraId="1DC2E1FC" w14:textId="77777777" w:rsidR="00E93F58" w:rsidRPr="00283424" w:rsidRDefault="00E93F58" w:rsidP="00B50726">
      <w:pPr>
        <w:pStyle w:val="ActHead5"/>
      </w:pPr>
      <w:bookmarkStart w:id="1596" w:name="_Toc152054774"/>
      <w:bookmarkStart w:id="1597" w:name="_Toc158712590"/>
      <w:r w:rsidRPr="006F296E">
        <w:rPr>
          <w:rStyle w:val="CharSectno"/>
        </w:rPr>
        <w:t>7.9.11Q</w:t>
      </w:r>
      <w:r w:rsidRPr="00283424">
        <w:t xml:space="preserve">  Retention of copies of Product Disclosure Statement for superannuation product</w:t>
      </w:r>
      <w:bookmarkEnd w:id="1596"/>
      <w:bookmarkEnd w:id="1597"/>
    </w:p>
    <w:p w14:paraId="58643525" w14:textId="77777777" w:rsidR="00E93F58" w:rsidRPr="00283424" w:rsidRDefault="00E93F58" w:rsidP="00B50726">
      <w:pPr>
        <w:pStyle w:val="subsection"/>
      </w:pPr>
      <w:r w:rsidRPr="00283424">
        <w:tab/>
        <w:t>(1)</w:t>
      </w:r>
      <w:r w:rsidRPr="00283424">
        <w:tab/>
        <w:t>This regulation applies if:</w:t>
      </w:r>
    </w:p>
    <w:p w14:paraId="1757B9EA" w14:textId="77777777" w:rsidR="00E93F58" w:rsidRPr="00283424" w:rsidRDefault="00E93F58" w:rsidP="00B50726">
      <w:pPr>
        <w:pStyle w:val="paragraph"/>
      </w:pPr>
      <w:r w:rsidRPr="00283424">
        <w:tab/>
        <w:t>(a)</w:t>
      </w:r>
      <w:r w:rsidRPr="00283424">
        <w:tab/>
        <w:t>section 1015B of the Act does not apply to require a Product Disclosure Statement to be lodged with ASIC; and</w:t>
      </w:r>
    </w:p>
    <w:p w14:paraId="1B8407F2" w14:textId="77777777" w:rsidR="00E93F58" w:rsidRPr="00283424" w:rsidRDefault="00E93F58" w:rsidP="00B50726">
      <w:pPr>
        <w:pStyle w:val="paragraph"/>
      </w:pPr>
      <w:r w:rsidRPr="00283424">
        <w:tab/>
        <w:t>(b)</w:t>
      </w:r>
      <w:r w:rsidRPr="00283424">
        <w:tab/>
        <w:t>the Statement is for a superannuation product to which this Subdivision applies.</w:t>
      </w:r>
    </w:p>
    <w:p w14:paraId="3331A2C3" w14:textId="77777777" w:rsidR="00E93F58" w:rsidRPr="00283424" w:rsidRDefault="00E93F58" w:rsidP="00B50726">
      <w:pPr>
        <w:pStyle w:val="subsection"/>
      </w:pPr>
      <w:r w:rsidRPr="00283424">
        <w:tab/>
        <w:t>(2)</w:t>
      </w:r>
      <w:r w:rsidRPr="00283424">
        <w:tab/>
        <w:t>The responsible person for the Product Disclosure Statement must retain a copy of each version of the Statement that the responsible person issues for a period of 7 years starting on the day on which the version is prepared.</w:t>
      </w:r>
    </w:p>
    <w:p w14:paraId="123DD022" w14:textId="77777777" w:rsidR="00E93F58" w:rsidRPr="00283424" w:rsidRDefault="00E93F58" w:rsidP="00B50726">
      <w:pPr>
        <w:pStyle w:val="subsection"/>
      </w:pPr>
      <w:r w:rsidRPr="00283424">
        <w:tab/>
        <w:t>(3)</w:t>
      </w:r>
      <w:r w:rsidRPr="00283424">
        <w:tab/>
        <w:t>The responsible person for the Product Disclosure Statement must retain a copy of the document from which a matter is applied, adopted or incorporated by the Statement as mentioned in paragraph 7.9.11P(3)(c) for a period of 7 years commencing on the day on which the Statement is prepared.</w:t>
      </w:r>
    </w:p>
    <w:p w14:paraId="68667227" w14:textId="77777777" w:rsidR="00E93F58" w:rsidRPr="00283424" w:rsidRDefault="00E93F58" w:rsidP="00B50726">
      <w:pPr>
        <w:pStyle w:val="subsection"/>
      </w:pPr>
      <w:r w:rsidRPr="00283424">
        <w:tab/>
        <w:t>(4)</w:t>
      </w:r>
      <w:r w:rsidRPr="00283424">
        <w:tab/>
        <w:t xml:space="preserve">If a document from which a matter is adopted, applied or incorporated by the Product Disclosure Statement as mentioned in paragraph 7.9.11P(3)(c) is changed in a way that changes the description of, or reference to, </w:t>
      </w:r>
      <w:r w:rsidRPr="00283424">
        <w:lastRenderedPageBreak/>
        <w:t>the matter, the responsible person for the Statement must retain a copy of the document for a period of 7 years commencing on the day on which the document is changed.</w:t>
      </w:r>
    </w:p>
    <w:p w14:paraId="3D363F26" w14:textId="77777777" w:rsidR="00E93F58" w:rsidRPr="00283424" w:rsidRDefault="00E93F58" w:rsidP="00B50726">
      <w:pPr>
        <w:pStyle w:val="ActHead5"/>
      </w:pPr>
      <w:bookmarkStart w:id="1598" w:name="_Toc152054775"/>
      <w:bookmarkStart w:id="1599" w:name="_Toc158712591"/>
      <w:r w:rsidRPr="006F296E">
        <w:rPr>
          <w:rStyle w:val="CharSectno"/>
        </w:rPr>
        <w:t>7.9.11R</w:t>
      </w:r>
      <w:r w:rsidRPr="00283424">
        <w:t xml:space="preserve">  Requirement to provide copy of Product Disclosure Statement for superannuation product free of charge</w:t>
      </w:r>
      <w:bookmarkEnd w:id="1598"/>
      <w:bookmarkEnd w:id="1599"/>
    </w:p>
    <w:p w14:paraId="65216DBE" w14:textId="77777777" w:rsidR="00E93F58" w:rsidRPr="00283424" w:rsidRDefault="00E93F58" w:rsidP="00B50726">
      <w:pPr>
        <w:pStyle w:val="subsection"/>
        <w:keepNext/>
        <w:keepLines/>
      </w:pPr>
      <w:r w:rsidRPr="00283424">
        <w:tab/>
        <w:t>(1)</w:t>
      </w:r>
      <w:r w:rsidRPr="00283424">
        <w:tab/>
        <w:t>For paragraph 1015C(5)(a) of the Act, this regulation specifies requirements as to the manner in which a Product Disclosure Statement for a superannuation product to which this Subdivision applies must be given to a person if the person requests a copy of the Statement.</w:t>
      </w:r>
    </w:p>
    <w:p w14:paraId="4E7C032A" w14:textId="77777777" w:rsidR="00E93F58" w:rsidRPr="00283424" w:rsidRDefault="00E93F58" w:rsidP="00B50726">
      <w:pPr>
        <w:pStyle w:val="subsection"/>
      </w:pPr>
      <w:r w:rsidRPr="00283424">
        <w:tab/>
        <w:t>(2)</w:t>
      </w:r>
      <w:r w:rsidRPr="00283424">
        <w:tab/>
        <w:t>The responsible person for the Product Disclosure Statement must give the person, free of charge:</w:t>
      </w:r>
    </w:p>
    <w:p w14:paraId="069246BE" w14:textId="77777777" w:rsidR="00E93F58" w:rsidRPr="00283424" w:rsidRDefault="00E93F58" w:rsidP="00B50726">
      <w:pPr>
        <w:pStyle w:val="paragraph"/>
      </w:pPr>
      <w:r w:rsidRPr="00283424">
        <w:tab/>
        <w:t>(a)</w:t>
      </w:r>
      <w:r w:rsidRPr="00283424">
        <w:tab/>
        <w:t>a copy of the Statement within 8 business days; and</w:t>
      </w:r>
    </w:p>
    <w:p w14:paraId="34B08A64" w14:textId="77777777" w:rsidR="00E93F58" w:rsidRPr="00283424" w:rsidRDefault="00E93F58" w:rsidP="00B50726">
      <w:pPr>
        <w:pStyle w:val="paragraph"/>
      </w:pPr>
      <w:r w:rsidRPr="00283424">
        <w:tab/>
        <w:t>(b)</w:t>
      </w:r>
      <w:r w:rsidRPr="00283424">
        <w:tab/>
        <w:t>a copy of a matter in writing that is applied, adopted or incorporated by the Statement within 8 business days.</w:t>
      </w:r>
    </w:p>
    <w:p w14:paraId="73B9EDF9" w14:textId="77777777" w:rsidR="00E93F58" w:rsidRPr="00283424" w:rsidRDefault="00E93F58" w:rsidP="00B50726">
      <w:pPr>
        <w:pStyle w:val="ActHead4"/>
      </w:pPr>
      <w:bookmarkStart w:id="1600" w:name="_Toc152054776"/>
      <w:bookmarkStart w:id="1601" w:name="_Toc158712592"/>
      <w:r w:rsidRPr="006F296E">
        <w:rPr>
          <w:rStyle w:val="CharSubdNo"/>
        </w:rPr>
        <w:t>Subdivision 4.2C</w:t>
      </w:r>
      <w:r w:rsidRPr="00283424">
        <w:t>—</w:t>
      </w:r>
      <w:r w:rsidRPr="006F296E">
        <w:rPr>
          <w:rStyle w:val="CharSubdText"/>
        </w:rPr>
        <w:t>Content of Product Disclosure Statement for simple managed investment scheme</w:t>
      </w:r>
      <w:bookmarkEnd w:id="1600"/>
      <w:bookmarkEnd w:id="1601"/>
    </w:p>
    <w:p w14:paraId="3EEB6CE2" w14:textId="77777777" w:rsidR="00E93F58" w:rsidRPr="00283424" w:rsidRDefault="00E93F58" w:rsidP="00B50726">
      <w:pPr>
        <w:pStyle w:val="ActHead5"/>
      </w:pPr>
      <w:bookmarkStart w:id="1602" w:name="_Toc152054777"/>
      <w:bookmarkStart w:id="1603" w:name="_Toc158712593"/>
      <w:r w:rsidRPr="006F296E">
        <w:rPr>
          <w:rStyle w:val="CharSectno"/>
        </w:rPr>
        <w:t>7.9.11S</w:t>
      </w:r>
      <w:r w:rsidRPr="00283424">
        <w:t xml:space="preserve">  Application of this Subdivision</w:t>
      </w:r>
      <w:bookmarkEnd w:id="1602"/>
      <w:bookmarkEnd w:id="1603"/>
    </w:p>
    <w:p w14:paraId="68BCE4A7" w14:textId="77777777" w:rsidR="00E93F58" w:rsidRPr="00283424" w:rsidRDefault="00E93F58" w:rsidP="00B50726">
      <w:pPr>
        <w:pStyle w:val="subsection"/>
      </w:pPr>
      <w:r w:rsidRPr="00283424">
        <w:tab/>
        <w:t>(1)</w:t>
      </w:r>
      <w:r w:rsidRPr="00283424">
        <w:tab/>
        <w:t>This Subdivision applies to:</w:t>
      </w:r>
    </w:p>
    <w:p w14:paraId="319CD09B" w14:textId="77777777" w:rsidR="00E93F58" w:rsidRPr="00283424" w:rsidRDefault="00E93F58" w:rsidP="00B50726">
      <w:pPr>
        <w:pStyle w:val="paragraph"/>
      </w:pPr>
      <w:r w:rsidRPr="00283424">
        <w:tab/>
        <w:t>(a)</w:t>
      </w:r>
      <w:r w:rsidRPr="00283424">
        <w:tab/>
        <w:t>a person that is required to prepare a Product Disclosure Statement for a simple managed investment scheme; and</w:t>
      </w:r>
    </w:p>
    <w:p w14:paraId="67FBA066" w14:textId="77777777" w:rsidR="00E93F58" w:rsidRPr="00283424" w:rsidRDefault="00E93F58" w:rsidP="00B50726">
      <w:pPr>
        <w:pStyle w:val="paragraph"/>
      </w:pPr>
      <w:r w:rsidRPr="00283424">
        <w:tab/>
        <w:t>(b)</w:t>
      </w:r>
      <w:r w:rsidRPr="00283424">
        <w:tab/>
        <w:t>a Product Disclosure Statement for a simple managed investment scheme.</w:t>
      </w:r>
    </w:p>
    <w:p w14:paraId="3B455DF2" w14:textId="77777777" w:rsidR="00E93F58" w:rsidRPr="00283424" w:rsidRDefault="00E93F58" w:rsidP="00B50726">
      <w:pPr>
        <w:pStyle w:val="subsection"/>
      </w:pPr>
      <w:r w:rsidRPr="00283424">
        <w:tab/>
        <w:t>(2)</w:t>
      </w:r>
      <w:r w:rsidRPr="00283424">
        <w:tab/>
        <w:t>This Subdivision does not apply to the extent that the simple managed investment scheme relates to a financial product (known as a “quoted product”) which is, or is intended to be, traded on a prescribed financial market.</w:t>
      </w:r>
    </w:p>
    <w:p w14:paraId="6F31CE2D" w14:textId="77777777" w:rsidR="00E93F58" w:rsidRPr="00283424" w:rsidRDefault="00E93F58" w:rsidP="00B50726">
      <w:pPr>
        <w:pStyle w:val="subsection"/>
      </w:pPr>
      <w:r w:rsidRPr="00283424">
        <w:tab/>
        <w:t>(3)</w:t>
      </w:r>
      <w:r w:rsidRPr="00283424">
        <w:tab/>
        <w:t>This Subdivision does not apply to the extent that the simple managed investment scheme relates to a financial product (known as a “stapled security”) to which the following requirements apply:</w:t>
      </w:r>
    </w:p>
    <w:p w14:paraId="64BF7634" w14:textId="77777777" w:rsidR="00E93F58" w:rsidRPr="00283424" w:rsidRDefault="00E93F58" w:rsidP="00B50726">
      <w:pPr>
        <w:pStyle w:val="paragraph"/>
      </w:pPr>
      <w:r w:rsidRPr="00283424">
        <w:tab/>
        <w:t>(a)</w:t>
      </w:r>
      <w:r w:rsidRPr="00283424">
        <w:tab/>
        <w:t>the product consists of interests in 2 or more financial products;</w:t>
      </w:r>
    </w:p>
    <w:p w14:paraId="20268B6C" w14:textId="77777777" w:rsidR="00E93F58" w:rsidRPr="00283424" w:rsidRDefault="00E93F58" w:rsidP="00B50726">
      <w:pPr>
        <w:pStyle w:val="paragraph"/>
      </w:pPr>
      <w:r w:rsidRPr="00283424">
        <w:tab/>
        <w:t>(b)</w:t>
      </w:r>
      <w:r w:rsidRPr="00283424">
        <w:tab/>
        <w:t>the interests include at least 1 interest in a registered scheme;</w:t>
      </w:r>
    </w:p>
    <w:p w14:paraId="01BF829C" w14:textId="77777777" w:rsidR="00E93F58" w:rsidRPr="00283424" w:rsidRDefault="00E93F58" w:rsidP="00B50726">
      <w:pPr>
        <w:pStyle w:val="paragraph"/>
      </w:pPr>
      <w:r w:rsidRPr="00283424">
        <w:tab/>
        <w:t>(c)</w:t>
      </w:r>
      <w:r w:rsidRPr="00283424">
        <w:tab/>
        <w:t>under the terms on which each of the interests is to be traded, the interests must be transferred together;</w:t>
      </w:r>
    </w:p>
    <w:p w14:paraId="2B023C04" w14:textId="77777777" w:rsidR="00E93F58" w:rsidRPr="00283424" w:rsidRDefault="00E93F58" w:rsidP="00B50726">
      <w:pPr>
        <w:pStyle w:val="paragraph"/>
      </w:pPr>
      <w:r w:rsidRPr="00283424">
        <w:tab/>
        <w:t>(d)</w:t>
      </w:r>
      <w:r w:rsidRPr="00283424">
        <w:tab/>
        <w:t>there are no financial products in the same class as the interests which may be transferred separately.</w:t>
      </w:r>
    </w:p>
    <w:p w14:paraId="0FC538C7" w14:textId="77777777" w:rsidR="00E93F58" w:rsidRPr="00283424" w:rsidRDefault="00E93F58" w:rsidP="00B50726">
      <w:pPr>
        <w:pStyle w:val="subsection"/>
      </w:pPr>
      <w:r w:rsidRPr="00283424">
        <w:tab/>
        <w:t>(4)</w:t>
      </w:r>
      <w:r w:rsidRPr="00283424">
        <w:tab/>
        <w:t>This Subdivision does not apply to the extent that the simple managed investment scheme is a managed investment scheme that has a constitution that provides that:</w:t>
      </w:r>
    </w:p>
    <w:p w14:paraId="1C1FF42D" w14:textId="77777777" w:rsidR="00E93F58" w:rsidRPr="00283424" w:rsidRDefault="00E93F58" w:rsidP="00B50726">
      <w:pPr>
        <w:pStyle w:val="paragraph"/>
      </w:pPr>
      <w:r w:rsidRPr="00283424">
        <w:tab/>
        <w:t>(a)</w:t>
      </w:r>
      <w:r w:rsidRPr="00283424">
        <w:tab/>
        <w:t>a member may direct that an amount of money corresponding to part or all of the amount invested by the member in the scheme be invested in accessible investments; and</w:t>
      </w:r>
    </w:p>
    <w:p w14:paraId="10E71993" w14:textId="77777777" w:rsidR="00E93F58" w:rsidRPr="00283424" w:rsidRDefault="00E93F58" w:rsidP="00B50726">
      <w:pPr>
        <w:pStyle w:val="paragraph"/>
      </w:pPr>
      <w:r w:rsidRPr="00283424">
        <w:tab/>
        <w:t>(b)</w:t>
      </w:r>
      <w:r w:rsidRPr="00283424">
        <w:tab/>
        <w:t>the distributions of capital and income from the scheme to the member in relation to the member’s interests in the scheme will be determined by reference to amounts received by the responsible entity or a custodian in relation to the accessible investments acquired in accordance with the direction.</w:t>
      </w:r>
    </w:p>
    <w:p w14:paraId="0CCCCADD" w14:textId="77777777" w:rsidR="00E93F58" w:rsidRPr="00283424" w:rsidRDefault="00E93F58" w:rsidP="00B50726">
      <w:pPr>
        <w:pStyle w:val="ActHead5"/>
      </w:pPr>
      <w:bookmarkStart w:id="1604" w:name="_Toc152054778"/>
      <w:bookmarkStart w:id="1605" w:name="_Toc158712594"/>
      <w:r w:rsidRPr="006F296E">
        <w:rPr>
          <w:rStyle w:val="CharSectno"/>
        </w:rPr>
        <w:t>7.9.11T</w:t>
      </w:r>
      <w:r w:rsidRPr="00283424">
        <w:t xml:space="preserve">  Provisions of Part 7.7 of Act that do not apply in relation to simple managed investment scheme</w:t>
      </w:r>
      <w:bookmarkEnd w:id="1604"/>
      <w:bookmarkEnd w:id="1605"/>
    </w:p>
    <w:p w14:paraId="278F2514" w14:textId="77777777" w:rsidR="00E93F58" w:rsidRPr="00283424" w:rsidRDefault="00E93F58" w:rsidP="00B50726">
      <w:pPr>
        <w:pStyle w:val="subsection"/>
      </w:pPr>
      <w:r w:rsidRPr="00283424">
        <w:tab/>
      </w:r>
      <w:r w:rsidRPr="00283424">
        <w:tab/>
        <w:t>For paragraph 951C(1)(b) of the Act, section 942DA of the Act does not apply in relation to a simple managed investment scheme to which this Subdivision applies.</w:t>
      </w:r>
    </w:p>
    <w:p w14:paraId="398E2ADC" w14:textId="77777777" w:rsidR="00E93F58" w:rsidRPr="00283424" w:rsidRDefault="00E93F58" w:rsidP="00B50726">
      <w:pPr>
        <w:pStyle w:val="ActHead5"/>
      </w:pPr>
      <w:bookmarkStart w:id="1606" w:name="_Toc152054779"/>
      <w:bookmarkStart w:id="1607" w:name="_Toc158712595"/>
      <w:r w:rsidRPr="006F296E">
        <w:rPr>
          <w:rStyle w:val="CharSectno"/>
        </w:rPr>
        <w:t>7.9.11U</w:t>
      </w:r>
      <w:r w:rsidRPr="00283424">
        <w:t xml:space="preserve">  Provisions of Part 7.9 of Act that do not apply in relation to simple managed investment scheme</w:t>
      </w:r>
      <w:bookmarkEnd w:id="1606"/>
      <w:bookmarkEnd w:id="1607"/>
    </w:p>
    <w:p w14:paraId="1E0F1569" w14:textId="77777777" w:rsidR="00E93F58" w:rsidRPr="00283424" w:rsidRDefault="00E93F58" w:rsidP="00B50726">
      <w:pPr>
        <w:pStyle w:val="subsection"/>
      </w:pPr>
      <w:r w:rsidRPr="00283424">
        <w:tab/>
        <w:t>(1)</w:t>
      </w:r>
      <w:r w:rsidRPr="00283424">
        <w:tab/>
        <w:t>For paragraph 1020G(1)(b) of the Act, Subdivision D of Division 2 of Part 7.9 of the Act does not apply in relation to a simple managed investment scheme to which this Subdivision applies.</w:t>
      </w:r>
    </w:p>
    <w:p w14:paraId="43B52EAB" w14:textId="77777777" w:rsidR="00E93F58" w:rsidRPr="00283424" w:rsidRDefault="00E93F58" w:rsidP="00B50726">
      <w:pPr>
        <w:pStyle w:val="subsection"/>
      </w:pPr>
      <w:r w:rsidRPr="00283424">
        <w:tab/>
        <w:t>(2)</w:t>
      </w:r>
      <w:r w:rsidRPr="00283424">
        <w:tab/>
        <w:t>If a person:</w:t>
      </w:r>
    </w:p>
    <w:p w14:paraId="18CC2194" w14:textId="77777777" w:rsidR="00E93F58" w:rsidRPr="00283424" w:rsidRDefault="00E93F58" w:rsidP="00B50726">
      <w:pPr>
        <w:pStyle w:val="paragraph"/>
      </w:pPr>
      <w:r w:rsidRPr="00283424">
        <w:tab/>
        <w:t>(a)</w:t>
      </w:r>
      <w:r w:rsidRPr="00283424">
        <w:tab/>
        <w:t xml:space="preserve">proposes to prepare a Product Disclosure Statement or a </w:t>
      </w:r>
      <w:r w:rsidRPr="00BE1284">
        <w:t>Supplementary Product Disclosure Statement</w:t>
      </w:r>
      <w:r w:rsidRPr="00283424">
        <w:t xml:space="preserve"> for a simple managed investment scheme to which this Subdivision applies during the period commencing on the day on which this subregulation commences and ending on 22 June 2012; and</w:t>
      </w:r>
    </w:p>
    <w:p w14:paraId="6A30DADE" w14:textId="77777777" w:rsidR="00E93F58" w:rsidRPr="00283424" w:rsidRDefault="00E93F58" w:rsidP="00B50726">
      <w:pPr>
        <w:pStyle w:val="paragraph"/>
      </w:pPr>
      <w:r w:rsidRPr="00283424">
        <w:tab/>
        <w:t>(b)</w:t>
      </w:r>
      <w:r w:rsidRPr="00283424">
        <w:tab/>
        <w:t xml:space="preserve">is permitted to decide, in accordance with regulation 4 of the </w:t>
      </w:r>
      <w:r w:rsidRPr="00283424">
        <w:rPr>
          <w:i/>
        </w:rPr>
        <w:t xml:space="preserve">Corporations Amendment </w:t>
      </w:r>
      <w:r>
        <w:rPr>
          <w:i/>
        </w:rPr>
        <w:t>Regulations 2</w:t>
      </w:r>
      <w:r w:rsidRPr="00283424">
        <w:rPr>
          <w:i/>
        </w:rPr>
        <w:t>010 (No. 5)</w:t>
      </w:r>
      <w:r w:rsidRPr="00283424">
        <w:t xml:space="preserve">, to prepare the Product Disclosure Statement or </w:t>
      </w:r>
      <w:r w:rsidRPr="00BE1284">
        <w:t>Supplementary Product Disclosure Statement</w:t>
      </w:r>
      <w:r w:rsidRPr="00283424">
        <w:t xml:space="preserve"> in accordance with Subdivision D of Division 2 of Part 7.9 of the Act; and</w:t>
      </w:r>
    </w:p>
    <w:p w14:paraId="6F496803" w14:textId="77777777" w:rsidR="00E93F58" w:rsidRPr="00283424" w:rsidRDefault="00E93F58" w:rsidP="00B50726">
      <w:pPr>
        <w:pStyle w:val="paragraph"/>
      </w:pPr>
      <w:r w:rsidRPr="00283424">
        <w:lastRenderedPageBreak/>
        <w:tab/>
        <w:t>(c)</w:t>
      </w:r>
      <w:r w:rsidRPr="00283424">
        <w:tab/>
        <w:t xml:space="preserve">prepares the Product Disclosure Statement or </w:t>
      </w:r>
      <w:r w:rsidRPr="00BE1284">
        <w:t>Supplementary Product Disclosure Statement</w:t>
      </w:r>
      <w:r w:rsidRPr="00283424">
        <w:t xml:space="preserve"> in accordance with that Subdivision;</w:t>
      </w:r>
    </w:p>
    <w:p w14:paraId="6E283479" w14:textId="77777777" w:rsidR="00E93F58" w:rsidRPr="00283424" w:rsidRDefault="00E93F58" w:rsidP="00B50726">
      <w:pPr>
        <w:pStyle w:val="subsection2"/>
      </w:pPr>
      <w:r w:rsidRPr="00283424">
        <w:t xml:space="preserve">the preparation of the Product Disclosure Statement or </w:t>
      </w:r>
      <w:r w:rsidRPr="00BE1284">
        <w:t>Supplementary Product Disclosure Statement</w:t>
      </w:r>
      <w:r w:rsidRPr="00283424">
        <w:t xml:space="preserve"> is taken to be full compliance with all requirements of Part 7.9 of the Act and these Regulations relating to how the Product Disclosure Statement or </w:t>
      </w:r>
      <w:r w:rsidRPr="00BE1284">
        <w:t>Supplementary Product Disclosure Statement</w:t>
      </w:r>
      <w:r w:rsidRPr="00283424">
        <w:t xml:space="preserve"> is to be prepared.</w:t>
      </w:r>
    </w:p>
    <w:p w14:paraId="1771E9B0" w14:textId="77777777" w:rsidR="00E93F58" w:rsidRPr="00283424" w:rsidRDefault="00E93F58" w:rsidP="00B50726">
      <w:pPr>
        <w:pStyle w:val="notetext"/>
      </w:pPr>
      <w:r w:rsidRPr="00283424">
        <w:t>Note:</w:t>
      </w:r>
      <w:r w:rsidRPr="00283424">
        <w:tab/>
        <w:t xml:space="preserve">The </w:t>
      </w:r>
      <w:r w:rsidRPr="00283424">
        <w:rPr>
          <w:i/>
        </w:rPr>
        <w:t xml:space="preserve">Corporations Amendment </w:t>
      </w:r>
      <w:r>
        <w:rPr>
          <w:i/>
        </w:rPr>
        <w:t>Regulations 2</w:t>
      </w:r>
      <w:r w:rsidRPr="00283424">
        <w:rPr>
          <w:i/>
        </w:rPr>
        <w:t>010 (No. 5)</w:t>
      </w:r>
      <w:r w:rsidRPr="00283424">
        <w:t xml:space="preserve"> amended these Regulations to make new arrangements for the preparation of Product Disclosure Statements for simple managed investment schemes, including identifying that Subdivision D of Division 2 of Part 7.9 of the Act would no longer apply. However, the transitional arrangements in subregulations 4(1) to (7) of the Amendment Regulations allowed certain persons to decide to rely on Subdivision D of Division 2 of Part 7.9 of the Act for the purpose of preparing the Product Disclosure Statement.</w:t>
      </w:r>
    </w:p>
    <w:p w14:paraId="081ED5CA" w14:textId="77777777" w:rsidR="00E93F58" w:rsidRPr="00283424" w:rsidRDefault="00E93F58" w:rsidP="00B50726">
      <w:pPr>
        <w:pStyle w:val="ActHead5"/>
      </w:pPr>
      <w:bookmarkStart w:id="1608" w:name="_Toc152054780"/>
      <w:bookmarkStart w:id="1609" w:name="_Toc158712596"/>
      <w:r w:rsidRPr="006F296E">
        <w:rPr>
          <w:rStyle w:val="CharSectno"/>
        </w:rPr>
        <w:t>7.9.11V</w:t>
      </w:r>
      <w:r w:rsidRPr="00283424">
        <w:t xml:space="preserve">  Modification of Act—simple managed investment scheme</w:t>
      </w:r>
      <w:bookmarkEnd w:id="1608"/>
      <w:bookmarkEnd w:id="1609"/>
    </w:p>
    <w:p w14:paraId="21FC597C" w14:textId="77777777" w:rsidR="00E93F58" w:rsidRPr="00283424" w:rsidRDefault="00E93F58" w:rsidP="00B50726">
      <w:pPr>
        <w:pStyle w:val="subsection"/>
      </w:pPr>
      <w:r w:rsidRPr="00283424">
        <w:tab/>
      </w:r>
      <w:r w:rsidRPr="00283424">
        <w:tab/>
        <w:t>For paragraph 1020G(1)(c) of the Act, Part 7.9 of the Act is modified in its application to a simple managed investment scheme to which this Subdivision applies as set out in Part 5C of Schedule 10A.</w:t>
      </w:r>
    </w:p>
    <w:p w14:paraId="6901BF3D" w14:textId="77777777" w:rsidR="00E93F58" w:rsidRPr="00283424" w:rsidRDefault="00E93F58" w:rsidP="00B50726">
      <w:pPr>
        <w:pStyle w:val="ActHead5"/>
      </w:pPr>
      <w:bookmarkStart w:id="1610" w:name="_Toc152054781"/>
      <w:bookmarkStart w:id="1611" w:name="_Toc158712597"/>
      <w:r w:rsidRPr="006F296E">
        <w:rPr>
          <w:rStyle w:val="CharSectno"/>
        </w:rPr>
        <w:t>7.9.11W</w:t>
      </w:r>
      <w:r w:rsidRPr="00283424">
        <w:t xml:space="preserve">  Form and content of Product Disclosure Statement for simple managed investment scheme</w:t>
      </w:r>
      <w:bookmarkEnd w:id="1610"/>
      <w:bookmarkEnd w:id="1611"/>
    </w:p>
    <w:p w14:paraId="03127529" w14:textId="77777777" w:rsidR="00E93F58" w:rsidRPr="00283424" w:rsidRDefault="00E93F58" w:rsidP="00B50726">
      <w:pPr>
        <w:pStyle w:val="subsection"/>
      </w:pPr>
      <w:r w:rsidRPr="00283424">
        <w:tab/>
        <w:t>(1)</w:t>
      </w:r>
      <w:r w:rsidRPr="00283424">
        <w:tab/>
        <w:t>For modified paragraph 1013C(1)(a) of the Act, a Product Disclosure Statement for a simple managed investment scheme to which this Subdivision applies must include the information and statements mentioned in Schedule 10E.</w:t>
      </w:r>
    </w:p>
    <w:p w14:paraId="76254BE1" w14:textId="77777777" w:rsidR="00E93F58" w:rsidRPr="00283424" w:rsidRDefault="00E93F58" w:rsidP="00B50726">
      <w:pPr>
        <w:pStyle w:val="subsection"/>
      </w:pPr>
      <w:r w:rsidRPr="00283424">
        <w:tab/>
        <w:t>(2)</w:t>
      </w:r>
      <w:r w:rsidRPr="00283424">
        <w:tab/>
        <w:t>For modified paragraph 1013C(1)(b) of the Act, a Product Disclosure Statement for a simple managed investment scheme to which this Subdivision applies must be in the form mentioned in Schedule 10E.</w:t>
      </w:r>
    </w:p>
    <w:p w14:paraId="0FDCFA78" w14:textId="77777777" w:rsidR="00E93F58" w:rsidRPr="00283424" w:rsidRDefault="00E93F58" w:rsidP="00B50726">
      <w:pPr>
        <w:pStyle w:val="ActHead5"/>
      </w:pPr>
      <w:bookmarkStart w:id="1612" w:name="_Toc152054782"/>
      <w:bookmarkStart w:id="1613" w:name="_Toc158712598"/>
      <w:r w:rsidRPr="006F296E">
        <w:rPr>
          <w:rStyle w:val="CharSectno"/>
        </w:rPr>
        <w:t>7.9.11X</w:t>
      </w:r>
      <w:r w:rsidRPr="00283424">
        <w:t xml:space="preserve">  Requirements for references to incorporated information for simple managed investment scheme</w:t>
      </w:r>
      <w:bookmarkEnd w:id="1612"/>
      <w:bookmarkEnd w:id="1613"/>
    </w:p>
    <w:p w14:paraId="2B817E39" w14:textId="77777777" w:rsidR="00E93F58" w:rsidRPr="00283424" w:rsidRDefault="00E93F58" w:rsidP="00B50726">
      <w:pPr>
        <w:pStyle w:val="subsection"/>
      </w:pPr>
      <w:r w:rsidRPr="00283424">
        <w:tab/>
        <w:t>(1)</w:t>
      </w:r>
      <w:r w:rsidRPr="00283424">
        <w:tab/>
        <w:t>For subsection 1013C(1D) of the Act, as modified by Part 5C of Schedule 10A, this regulation prescribes requirements for applying, adopting or incorporating, in a Product Disclosure Statement for a simple managed investment scheme to which this Subdivision applies, a matter contained in writing.</w:t>
      </w:r>
    </w:p>
    <w:p w14:paraId="21D42621" w14:textId="77777777" w:rsidR="00E93F58" w:rsidRPr="00283424" w:rsidRDefault="00E93F58" w:rsidP="00B50726">
      <w:pPr>
        <w:pStyle w:val="subsection"/>
      </w:pPr>
      <w:r w:rsidRPr="00283424">
        <w:tab/>
        <w:t>(2)</w:t>
      </w:r>
      <w:r w:rsidRPr="00283424">
        <w:tab/>
        <w:t>A Statement may apply, adopt or incorporate a matter only if a provision of these Regulations requires or permits the matter to be applied, adopted or incorporated by the Statement.</w:t>
      </w:r>
    </w:p>
    <w:p w14:paraId="62C77629" w14:textId="77777777" w:rsidR="00E93F58" w:rsidRPr="00283424" w:rsidRDefault="00E93F58" w:rsidP="00B50726">
      <w:pPr>
        <w:pStyle w:val="subsection"/>
      </w:pPr>
      <w:r w:rsidRPr="00283424">
        <w:tab/>
        <w:t>(3)</w:t>
      </w:r>
      <w:r w:rsidRPr="00283424">
        <w:tab/>
        <w:t>If a Product Disclosure Statement applies, adopts or incorporates a matter:</w:t>
      </w:r>
    </w:p>
    <w:p w14:paraId="190CE940" w14:textId="77777777" w:rsidR="00E93F58" w:rsidRPr="00283424" w:rsidRDefault="00E93F58" w:rsidP="00B50726">
      <w:pPr>
        <w:pStyle w:val="paragraph"/>
      </w:pPr>
      <w:r w:rsidRPr="00283424">
        <w:tab/>
        <w:t>(a)</w:t>
      </w:r>
      <w:r w:rsidRPr="00283424">
        <w:tab/>
        <w:t>the matter must be:</w:t>
      </w:r>
    </w:p>
    <w:p w14:paraId="1F5CF460" w14:textId="77777777" w:rsidR="00E93F58" w:rsidRPr="00283424" w:rsidRDefault="00E93F58" w:rsidP="00B50726">
      <w:pPr>
        <w:pStyle w:val="paragraphsub"/>
      </w:pPr>
      <w:r w:rsidRPr="00283424">
        <w:tab/>
        <w:t>(i)</w:t>
      </w:r>
      <w:r w:rsidRPr="00283424">
        <w:tab/>
        <w:t>in writing; and</w:t>
      </w:r>
    </w:p>
    <w:p w14:paraId="4C17BC39" w14:textId="77777777" w:rsidR="00E93F58" w:rsidRPr="00283424" w:rsidRDefault="00E93F58" w:rsidP="00B50726">
      <w:pPr>
        <w:pStyle w:val="paragraphsub"/>
      </w:pPr>
      <w:r w:rsidRPr="00283424">
        <w:tab/>
        <w:t>(ii)</w:t>
      </w:r>
      <w:r w:rsidRPr="00283424">
        <w:tab/>
        <w:t>clearly distinguishable from any other matters that are not applied, adopted or incorporated; and</w:t>
      </w:r>
    </w:p>
    <w:p w14:paraId="459CBD22" w14:textId="77777777" w:rsidR="00E93F58" w:rsidRPr="00283424" w:rsidRDefault="00E93F58" w:rsidP="00B50726">
      <w:pPr>
        <w:pStyle w:val="paragraphsub"/>
      </w:pPr>
      <w:r w:rsidRPr="00283424">
        <w:tab/>
        <w:t>(iii)</w:t>
      </w:r>
      <w:r w:rsidRPr="00283424">
        <w:tab/>
        <w:t>publicly available in a document other than the Statement; and</w:t>
      </w:r>
    </w:p>
    <w:p w14:paraId="2910A6CE" w14:textId="77777777" w:rsidR="00E93F58" w:rsidRPr="00283424" w:rsidRDefault="00E93F58" w:rsidP="00B50726">
      <w:pPr>
        <w:pStyle w:val="paragraph"/>
      </w:pPr>
      <w:r w:rsidRPr="00283424">
        <w:tab/>
        <w:t>(b)</w:t>
      </w:r>
      <w:r w:rsidRPr="00283424">
        <w:tab/>
        <w:t>the responsible person for the Statement must identify the matter by:</w:t>
      </w:r>
    </w:p>
    <w:p w14:paraId="7EDC046C" w14:textId="77777777" w:rsidR="00E93F58" w:rsidRPr="00283424" w:rsidRDefault="00E93F58" w:rsidP="00B50726">
      <w:pPr>
        <w:pStyle w:val="paragraphsub"/>
      </w:pPr>
      <w:r w:rsidRPr="00283424">
        <w:tab/>
        <w:t>(i)</w:t>
      </w:r>
      <w:r w:rsidRPr="00283424">
        <w:tab/>
        <w:t>including in the Statement a concise description of the matter; and</w:t>
      </w:r>
    </w:p>
    <w:p w14:paraId="59A2B066" w14:textId="77777777" w:rsidR="00E93F58" w:rsidRPr="00283424" w:rsidRDefault="00E93F58" w:rsidP="00B50726">
      <w:pPr>
        <w:pStyle w:val="paragraphsub"/>
      </w:pPr>
      <w:r w:rsidRPr="00283424">
        <w:tab/>
        <w:t>(ii)</w:t>
      </w:r>
      <w:r w:rsidRPr="00283424">
        <w:tab/>
        <w:t>ensuring that the reference to the matter is clearly distinguishable from the other contents of the Statement; and</w:t>
      </w:r>
    </w:p>
    <w:p w14:paraId="51561AFC" w14:textId="77777777" w:rsidR="00E93F58" w:rsidRPr="00283424" w:rsidRDefault="00E93F58" w:rsidP="00B50726">
      <w:pPr>
        <w:pStyle w:val="paragraph"/>
      </w:pPr>
      <w:r w:rsidRPr="00283424">
        <w:tab/>
        <w:t>(c)</w:t>
      </w:r>
      <w:r w:rsidRPr="00283424">
        <w:tab/>
        <w:t>the responsible person for the Statement must:</w:t>
      </w:r>
    </w:p>
    <w:p w14:paraId="6F561EE5" w14:textId="77777777" w:rsidR="00E93F58" w:rsidRPr="00283424" w:rsidRDefault="00E93F58" w:rsidP="00B50726">
      <w:pPr>
        <w:pStyle w:val="paragraphsub"/>
      </w:pPr>
      <w:r w:rsidRPr="00283424">
        <w:tab/>
        <w:t>(i)</w:t>
      </w:r>
      <w:r w:rsidRPr="00283424">
        <w:tab/>
        <w:t>identify each version of the matter (by including the date on which the version was prepared) so that a person who, at a particular time, is considering a simple managed investment scheme to which this Subdivision applies can identify the version that is relevant to the simple managed investment scheme at that time; and</w:t>
      </w:r>
    </w:p>
    <w:p w14:paraId="55EC1FDD" w14:textId="77777777" w:rsidR="00E93F58" w:rsidRPr="00283424" w:rsidRDefault="00E93F58" w:rsidP="00B50726">
      <w:pPr>
        <w:pStyle w:val="paragraphsub"/>
      </w:pPr>
      <w:r w:rsidRPr="00283424">
        <w:tab/>
        <w:t>(ii)</w:t>
      </w:r>
      <w:r w:rsidRPr="00283424">
        <w:tab/>
        <w:t>state the date on which the version was prepared in a prominent position at or near the front of the version; and</w:t>
      </w:r>
    </w:p>
    <w:p w14:paraId="5E8F580C" w14:textId="77777777" w:rsidR="00E93F58" w:rsidRPr="00283424" w:rsidRDefault="00E93F58" w:rsidP="00B50726">
      <w:pPr>
        <w:pStyle w:val="paragraph"/>
      </w:pPr>
      <w:r w:rsidRPr="00283424">
        <w:tab/>
        <w:t>(d)</w:t>
      </w:r>
      <w:r w:rsidRPr="00283424">
        <w:tab/>
        <w:t>the responsible person for the Statement must ensure that a person who is relying on the Statement is able to have access to:</w:t>
      </w:r>
    </w:p>
    <w:p w14:paraId="3C319A61" w14:textId="77777777" w:rsidR="00E93F58" w:rsidRPr="00283424" w:rsidRDefault="00E93F58" w:rsidP="00B50726">
      <w:pPr>
        <w:pStyle w:val="paragraphsub"/>
      </w:pPr>
      <w:r w:rsidRPr="00283424">
        <w:tab/>
        <w:t>(i)</w:t>
      </w:r>
      <w:r w:rsidRPr="00283424">
        <w:tab/>
        <w:t>the matter; or</w:t>
      </w:r>
    </w:p>
    <w:p w14:paraId="55FC42CB" w14:textId="77777777" w:rsidR="00E93F58" w:rsidRPr="00283424" w:rsidRDefault="00E93F58" w:rsidP="00B50726">
      <w:pPr>
        <w:pStyle w:val="paragraphsub"/>
      </w:pPr>
      <w:r w:rsidRPr="00283424">
        <w:tab/>
        <w:t>(ii)</w:t>
      </w:r>
      <w:r w:rsidRPr="00283424">
        <w:tab/>
        <w:t>if there is more than 1 version of the matter—each version;</w:t>
      </w:r>
    </w:p>
    <w:p w14:paraId="499B517E" w14:textId="77777777" w:rsidR="00E93F58" w:rsidRPr="00283424" w:rsidRDefault="00E93F58" w:rsidP="00B50726">
      <w:pPr>
        <w:pStyle w:val="paragraph"/>
      </w:pPr>
      <w:r w:rsidRPr="00283424">
        <w:tab/>
      </w:r>
      <w:r w:rsidRPr="00283424">
        <w:tab/>
        <w:t>reasonably easily and reasonably quickly.</w:t>
      </w:r>
    </w:p>
    <w:p w14:paraId="66923041" w14:textId="77777777" w:rsidR="00E93F58" w:rsidRPr="00283424" w:rsidRDefault="00E93F58" w:rsidP="00B50726">
      <w:pPr>
        <w:pStyle w:val="subsection"/>
      </w:pPr>
      <w:r w:rsidRPr="00283424">
        <w:tab/>
        <w:t>(4)</w:t>
      </w:r>
      <w:r w:rsidRPr="00283424">
        <w:tab/>
        <w:t>The responsible person for the Product Disclosure Statement must also ensure that the Statement includes the statements in the following table relating to the matter, and sets them out in each place at which the matter has been applied, adopted or incorporated.</w:t>
      </w:r>
    </w:p>
    <w:p w14:paraId="11521385"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29"/>
        <w:gridCol w:w="9844"/>
      </w:tblGrid>
      <w:tr w:rsidR="00E93F58" w:rsidRPr="00283424" w14:paraId="6A347182" w14:textId="77777777" w:rsidTr="00EA0AFF">
        <w:trPr>
          <w:tblHeader/>
        </w:trPr>
        <w:tc>
          <w:tcPr>
            <w:tcW w:w="431" w:type="pct"/>
            <w:tcBorders>
              <w:top w:val="single" w:sz="12" w:space="0" w:color="auto"/>
              <w:bottom w:val="single" w:sz="12" w:space="0" w:color="auto"/>
            </w:tcBorders>
            <w:shd w:val="clear" w:color="auto" w:fill="auto"/>
          </w:tcPr>
          <w:p w14:paraId="14C389FE" w14:textId="77777777" w:rsidR="00E93F58" w:rsidRPr="00283424" w:rsidRDefault="00E93F58" w:rsidP="00EA0AFF">
            <w:pPr>
              <w:pStyle w:val="TableHeading"/>
            </w:pPr>
            <w:r w:rsidRPr="00283424">
              <w:lastRenderedPageBreak/>
              <w:t>Item</w:t>
            </w:r>
          </w:p>
        </w:tc>
        <w:tc>
          <w:tcPr>
            <w:tcW w:w="4569" w:type="pct"/>
            <w:tcBorders>
              <w:top w:val="single" w:sz="12" w:space="0" w:color="auto"/>
              <w:bottom w:val="single" w:sz="12" w:space="0" w:color="auto"/>
            </w:tcBorders>
            <w:shd w:val="clear" w:color="auto" w:fill="auto"/>
          </w:tcPr>
          <w:p w14:paraId="2C91A35A" w14:textId="77777777" w:rsidR="00E93F58" w:rsidRPr="00283424" w:rsidRDefault="00E93F58" w:rsidP="00EA0AFF">
            <w:pPr>
              <w:pStyle w:val="TableHeading"/>
            </w:pPr>
            <w:r w:rsidRPr="00283424">
              <w:t>Statement</w:t>
            </w:r>
          </w:p>
        </w:tc>
      </w:tr>
      <w:tr w:rsidR="00E93F58" w:rsidRPr="00283424" w14:paraId="3A34DB84" w14:textId="77777777" w:rsidTr="00EA0AFF">
        <w:tc>
          <w:tcPr>
            <w:tcW w:w="431" w:type="pct"/>
            <w:tcBorders>
              <w:top w:val="single" w:sz="12" w:space="0" w:color="auto"/>
              <w:bottom w:val="single" w:sz="4" w:space="0" w:color="auto"/>
            </w:tcBorders>
            <w:shd w:val="clear" w:color="auto" w:fill="auto"/>
          </w:tcPr>
          <w:p w14:paraId="78F382CE" w14:textId="77777777" w:rsidR="00E93F58" w:rsidRPr="00283424" w:rsidRDefault="00E93F58" w:rsidP="00EA0AFF">
            <w:pPr>
              <w:pStyle w:val="Tabletext"/>
            </w:pPr>
            <w:r w:rsidRPr="00283424">
              <w:t>1</w:t>
            </w:r>
          </w:p>
        </w:tc>
        <w:tc>
          <w:tcPr>
            <w:tcW w:w="4569" w:type="pct"/>
            <w:tcBorders>
              <w:top w:val="single" w:sz="12" w:space="0" w:color="auto"/>
              <w:bottom w:val="single" w:sz="4" w:space="0" w:color="auto"/>
            </w:tcBorders>
            <w:shd w:val="clear" w:color="auto" w:fill="auto"/>
          </w:tcPr>
          <w:p w14:paraId="30EE1F55" w14:textId="77777777" w:rsidR="00E93F58" w:rsidRPr="00283424" w:rsidRDefault="00E93F58" w:rsidP="00EA0AFF">
            <w:pPr>
              <w:pStyle w:val="Tabletext"/>
            </w:pPr>
            <w:r w:rsidRPr="00283424">
              <w:t xml:space="preserve">You should read the important information about </w:t>
            </w:r>
            <w:r w:rsidRPr="00283424">
              <w:rPr>
                <w:i/>
              </w:rPr>
              <w:t xml:space="preserve">[the subject] </w:t>
            </w:r>
            <w:r w:rsidRPr="00283424">
              <w:t xml:space="preserve">before making a decision. Go to </w:t>
            </w:r>
            <w:r w:rsidRPr="00283424">
              <w:rPr>
                <w:i/>
              </w:rPr>
              <w:t>[location of the matter that has been applied, adopted or incorporated]</w:t>
            </w:r>
          </w:p>
        </w:tc>
      </w:tr>
      <w:tr w:rsidR="00E93F58" w:rsidRPr="00283424" w14:paraId="251CC110" w14:textId="77777777" w:rsidTr="00EA0AFF">
        <w:tc>
          <w:tcPr>
            <w:tcW w:w="431" w:type="pct"/>
            <w:tcBorders>
              <w:bottom w:val="single" w:sz="12" w:space="0" w:color="auto"/>
            </w:tcBorders>
            <w:shd w:val="clear" w:color="auto" w:fill="auto"/>
          </w:tcPr>
          <w:p w14:paraId="18D6366A" w14:textId="77777777" w:rsidR="00E93F58" w:rsidRPr="00283424" w:rsidRDefault="00E93F58" w:rsidP="00EA0AFF">
            <w:pPr>
              <w:pStyle w:val="Tabletext"/>
            </w:pPr>
            <w:r w:rsidRPr="00283424">
              <w:t>2</w:t>
            </w:r>
          </w:p>
        </w:tc>
        <w:tc>
          <w:tcPr>
            <w:tcW w:w="4569" w:type="pct"/>
            <w:tcBorders>
              <w:bottom w:val="single" w:sz="12" w:space="0" w:color="auto"/>
            </w:tcBorders>
            <w:shd w:val="clear" w:color="auto" w:fill="auto"/>
          </w:tcPr>
          <w:p w14:paraId="6CF243B7" w14:textId="77777777" w:rsidR="00E93F58" w:rsidRPr="00283424" w:rsidRDefault="00E93F58" w:rsidP="00EA0AFF">
            <w:pPr>
              <w:pStyle w:val="Tabletext"/>
            </w:pPr>
            <w:r w:rsidRPr="00283424">
              <w:t xml:space="preserve">The material relating to </w:t>
            </w:r>
            <w:r w:rsidRPr="00283424">
              <w:rPr>
                <w:i/>
              </w:rPr>
              <w:t>[matter]</w:t>
            </w:r>
            <w:r w:rsidRPr="00283424">
              <w:t xml:space="preserve"> may change between the time when you read this Statement and the day</w:t>
            </w:r>
            <w:r w:rsidRPr="00283424">
              <w:rPr>
                <w:szCs w:val="22"/>
              </w:rPr>
              <w:t xml:space="preserve"> when you acquire the product</w:t>
            </w:r>
          </w:p>
        </w:tc>
      </w:tr>
    </w:tbl>
    <w:p w14:paraId="5B2746C5" w14:textId="77777777" w:rsidR="00E93F58" w:rsidRPr="00283424" w:rsidRDefault="00E93F58" w:rsidP="00B50726">
      <w:pPr>
        <w:pStyle w:val="subsection"/>
      </w:pPr>
      <w:r w:rsidRPr="00283424">
        <w:tab/>
        <w:t>(5)</w:t>
      </w:r>
      <w:r w:rsidRPr="00283424">
        <w:tab/>
        <w:t>The responsible person for the Product Disclosure Statement must also ensure that each document mentioned in subregulation (3) includes the statement in the following table relating to the matter.</w:t>
      </w:r>
    </w:p>
    <w:p w14:paraId="0CD2EA1B"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29"/>
        <w:gridCol w:w="9844"/>
      </w:tblGrid>
      <w:tr w:rsidR="00E93F58" w:rsidRPr="00283424" w14:paraId="62A87C4A" w14:textId="77777777" w:rsidTr="00EA0AFF">
        <w:trPr>
          <w:tblHeader/>
        </w:trPr>
        <w:tc>
          <w:tcPr>
            <w:tcW w:w="431" w:type="pct"/>
            <w:tcBorders>
              <w:top w:val="single" w:sz="12" w:space="0" w:color="auto"/>
              <w:bottom w:val="single" w:sz="12" w:space="0" w:color="auto"/>
            </w:tcBorders>
            <w:shd w:val="clear" w:color="auto" w:fill="auto"/>
          </w:tcPr>
          <w:p w14:paraId="126BCEED" w14:textId="77777777" w:rsidR="00E93F58" w:rsidRPr="00283424" w:rsidRDefault="00E93F58" w:rsidP="00EA0AFF">
            <w:pPr>
              <w:pStyle w:val="TableHeading"/>
            </w:pPr>
            <w:r w:rsidRPr="00283424">
              <w:t>Item</w:t>
            </w:r>
          </w:p>
        </w:tc>
        <w:tc>
          <w:tcPr>
            <w:tcW w:w="4569" w:type="pct"/>
            <w:tcBorders>
              <w:top w:val="single" w:sz="12" w:space="0" w:color="auto"/>
              <w:bottom w:val="single" w:sz="12" w:space="0" w:color="auto"/>
            </w:tcBorders>
            <w:shd w:val="clear" w:color="auto" w:fill="auto"/>
          </w:tcPr>
          <w:p w14:paraId="4CEE07A7" w14:textId="77777777" w:rsidR="00E93F58" w:rsidRPr="00283424" w:rsidRDefault="00E93F58" w:rsidP="00EA0AFF">
            <w:pPr>
              <w:pStyle w:val="TableHeading"/>
            </w:pPr>
            <w:r w:rsidRPr="00283424">
              <w:t>Statement</w:t>
            </w:r>
          </w:p>
        </w:tc>
      </w:tr>
      <w:tr w:rsidR="00E93F58" w:rsidRPr="00283424" w14:paraId="6E6112A2" w14:textId="77777777" w:rsidTr="00EA0AFF">
        <w:trPr>
          <w:tblHeader/>
        </w:trPr>
        <w:tc>
          <w:tcPr>
            <w:tcW w:w="431" w:type="pct"/>
            <w:tcBorders>
              <w:top w:val="single" w:sz="12" w:space="0" w:color="auto"/>
              <w:bottom w:val="single" w:sz="12" w:space="0" w:color="auto"/>
            </w:tcBorders>
            <w:shd w:val="clear" w:color="auto" w:fill="auto"/>
          </w:tcPr>
          <w:p w14:paraId="74B50EED" w14:textId="77777777" w:rsidR="00E93F58" w:rsidRPr="00283424" w:rsidRDefault="00E93F58" w:rsidP="00EA0AFF">
            <w:pPr>
              <w:pStyle w:val="Tabletext"/>
            </w:pPr>
            <w:r w:rsidRPr="00283424">
              <w:t>1</w:t>
            </w:r>
          </w:p>
        </w:tc>
        <w:tc>
          <w:tcPr>
            <w:tcW w:w="4569" w:type="pct"/>
            <w:tcBorders>
              <w:top w:val="single" w:sz="12" w:space="0" w:color="auto"/>
              <w:bottom w:val="single" w:sz="12" w:space="0" w:color="auto"/>
            </w:tcBorders>
            <w:shd w:val="clear" w:color="auto" w:fill="auto"/>
          </w:tcPr>
          <w:p w14:paraId="610A9773" w14:textId="77777777" w:rsidR="00E93F58" w:rsidRPr="00283424" w:rsidRDefault="00E93F58" w:rsidP="00EA0AFF">
            <w:pPr>
              <w:pStyle w:val="Tabletext"/>
            </w:pPr>
            <w:r w:rsidRPr="00283424">
              <w:t xml:space="preserve">The information in this document forms part of the Product Disclosure Statement </w:t>
            </w:r>
            <w:r w:rsidRPr="00283424">
              <w:rPr>
                <w:i/>
              </w:rPr>
              <w:t>[identification by name, date and version (if applicable) of each Statement]</w:t>
            </w:r>
          </w:p>
        </w:tc>
      </w:tr>
    </w:tbl>
    <w:p w14:paraId="1D14B45C" w14:textId="77777777" w:rsidR="00E93F58" w:rsidRPr="00283424" w:rsidRDefault="00E93F58" w:rsidP="00B50726">
      <w:pPr>
        <w:pStyle w:val="subsection"/>
      </w:pPr>
      <w:r w:rsidRPr="00283424">
        <w:tab/>
        <w:t>(6)</w:t>
      </w:r>
      <w:r w:rsidRPr="00283424">
        <w:tab/>
        <w:t>For the avoidance of doubt:</w:t>
      </w:r>
    </w:p>
    <w:p w14:paraId="3E57E94A" w14:textId="77777777" w:rsidR="00E93F58" w:rsidRPr="00283424" w:rsidRDefault="00E93F58" w:rsidP="00B50726">
      <w:pPr>
        <w:pStyle w:val="paragraph"/>
      </w:pPr>
      <w:r w:rsidRPr="00283424">
        <w:tab/>
        <w:t>(a)</w:t>
      </w:r>
      <w:r w:rsidRPr="00283424">
        <w:tab/>
        <w:t>the giving of a Product Disclosure Statement to which this Subdivision applies is taken to be the giving of every matter that is applied, adopted or incorporated in accordance with subregulations (1) to (5); and</w:t>
      </w:r>
    </w:p>
    <w:p w14:paraId="4D9D9ABE" w14:textId="77777777" w:rsidR="00E93F58" w:rsidRPr="00283424" w:rsidRDefault="00E93F58" w:rsidP="00B50726">
      <w:pPr>
        <w:pStyle w:val="paragraph"/>
      </w:pPr>
      <w:r w:rsidRPr="00283424">
        <w:tab/>
        <w:t>(b)</w:t>
      </w:r>
      <w:r w:rsidRPr="00283424">
        <w:tab/>
        <w:t>if a document mentioned in subparagraph (3)(a)(iii) refers to more than one PDS, the document:</w:t>
      </w:r>
    </w:p>
    <w:p w14:paraId="32464337" w14:textId="77777777" w:rsidR="00E93F58" w:rsidRPr="00283424" w:rsidRDefault="00E93F58" w:rsidP="00B50726">
      <w:pPr>
        <w:pStyle w:val="paragraphsub"/>
      </w:pPr>
      <w:r w:rsidRPr="00283424">
        <w:tab/>
        <w:t>(i)</w:t>
      </w:r>
      <w:r w:rsidRPr="00283424">
        <w:tab/>
        <w:t>must include a statement to the effect that the information in the document forms part of the Product Disclosure Statement offered by the responsible entity; but</w:t>
      </w:r>
    </w:p>
    <w:p w14:paraId="4C8D66CD" w14:textId="77777777" w:rsidR="00E93F58" w:rsidRPr="00283424" w:rsidRDefault="00E93F58" w:rsidP="00B50726">
      <w:pPr>
        <w:pStyle w:val="paragraphsub"/>
      </w:pPr>
      <w:r w:rsidRPr="00283424">
        <w:tab/>
        <w:t>(ii)</w:t>
      </w:r>
      <w:r w:rsidRPr="00283424">
        <w:tab/>
        <w:t>is not required to name each Product Disclosure Statement of which it forms part.</w:t>
      </w:r>
    </w:p>
    <w:p w14:paraId="67ADADCC" w14:textId="77777777" w:rsidR="00E93F58" w:rsidRPr="00283424" w:rsidRDefault="00E93F58" w:rsidP="00B50726">
      <w:pPr>
        <w:pStyle w:val="subsection"/>
      </w:pPr>
      <w:r w:rsidRPr="00283424">
        <w:tab/>
        <w:t>(7)</w:t>
      </w:r>
      <w:r w:rsidRPr="00283424">
        <w:tab/>
        <w:t>If the Product Disclosure Statement applies, adopts or incorporates a matter, the information dealing with the matter is taken to have been given to a person on the day on which the product is acquired.</w:t>
      </w:r>
    </w:p>
    <w:p w14:paraId="0CF15776" w14:textId="77777777" w:rsidR="00E93F58" w:rsidRPr="00283424" w:rsidRDefault="00E93F58" w:rsidP="00B50726">
      <w:pPr>
        <w:pStyle w:val="ActHead5"/>
      </w:pPr>
      <w:bookmarkStart w:id="1614" w:name="_Toc152054783"/>
      <w:bookmarkStart w:id="1615" w:name="_Toc158712599"/>
      <w:r w:rsidRPr="006F296E">
        <w:rPr>
          <w:rStyle w:val="CharSectno"/>
        </w:rPr>
        <w:t>7.9.11Y</w:t>
      </w:r>
      <w:r w:rsidRPr="00283424">
        <w:t xml:space="preserve">  Retention of copies of Product Disclosure Statement for simple managed investment scheme</w:t>
      </w:r>
      <w:bookmarkEnd w:id="1614"/>
      <w:bookmarkEnd w:id="1615"/>
    </w:p>
    <w:p w14:paraId="21B4F002" w14:textId="77777777" w:rsidR="00E93F58" w:rsidRPr="00283424" w:rsidRDefault="00E93F58" w:rsidP="00B50726">
      <w:pPr>
        <w:pStyle w:val="subsection"/>
      </w:pPr>
      <w:r w:rsidRPr="00283424">
        <w:tab/>
        <w:t>(1)</w:t>
      </w:r>
      <w:r w:rsidRPr="00283424">
        <w:tab/>
        <w:t>The responsible person for a Product Disclosure Statement for a simple managed investment scheme to which this Subdivision applies must retain a copy of each version of the Statement that the responsible person issues for a period of 7 years starting on the day on which the version is prepared.</w:t>
      </w:r>
    </w:p>
    <w:p w14:paraId="356841A9" w14:textId="77777777" w:rsidR="00E93F58" w:rsidRPr="00283424" w:rsidRDefault="00E93F58" w:rsidP="00B50726">
      <w:pPr>
        <w:pStyle w:val="subsection"/>
      </w:pPr>
      <w:r w:rsidRPr="00283424">
        <w:tab/>
        <w:t>(2)</w:t>
      </w:r>
      <w:r w:rsidRPr="00283424">
        <w:tab/>
        <w:t>The responsible person for the Product Disclosure Statement must retain a copy of the document from which a matter is applied, adopted or incorporated by the Statement as mentioned in paragraph 7.9.11X(3)(c) for a period of 7 years commencing on the day on which the Statement is prepared.</w:t>
      </w:r>
    </w:p>
    <w:p w14:paraId="7BABCE6D" w14:textId="77777777" w:rsidR="00E93F58" w:rsidRPr="00283424" w:rsidRDefault="00E93F58" w:rsidP="00B50726">
      <w:pPr>
        <w:pStyle w:val="subsection"/>
      </w:pPr>
      <w:r w:rsidRPr="00283424">
        <w:tab/>
        <w:t>(3)</w:t>
      </w:r>
      <w:r w:rsidRPr="00283424">
        <w:tab/>
        <w:t>If a document from which a matter is adopted, applied or incorporated by the Product Disclosure Statement as mentioned in paragraph 7.9.11X(3)(c) is changed in a way that changes the description of, or reference to, the matter, the responsible person for the Statement must retain a copy of the document for a period of 7 years commencing on the day on which the document is changed.</w:t>
      </w:r>
    </w:p>
    <w:p w14:paraId="091B2A3B" w14:textId="77777777" w:rsidR="00E93F58" w:rsidRPr="00283424" w:rsidRDefault="00E93F58" w:rsidP="00B50726">
      <w:pPr>
        <w:pStyle w:val="ActHead5"/>
      </w:pPr>
      <w:bookmarkStart w:id="1616" w:name="_Toc152054784"/>
      <w:bookmarkStart w:id="1617" w:name="_Toc158712600"/>
      <w:r w:rsidRPr="006F296E">
        <w:rPr>
          <w:rStyle w:val="CharSectno"/>
        </w:rPr>
        <w:t>7.9.11Z</w:t>
      </w:r>
      <w:r w:rsidRPr="00283424">
        <w:t xml:space="preserve">  Requirement to provide copy of Product Disclosure Statement for simple managed investment scheme free of charge</w:t>
      </w:r>
      <w:bookmarkEnd w:id="1616"/>
      <w:bookmarkEnd w:id="1617"/>
    </w:p>
    <w:p w14:paraId="722FCC02" w14:textId="77777777" w:rsidR="00E93F58" w:rsidRPr="00283424" w:rsidRDefault="00E93F58" w:rsidP="00B50726">
      <w:pPr>
        <w:pStyle w:val="subsection"/>
      </w:pPr>
      <w:r w:rsidRPr="00283424">
        <w:tab/>
        <w:t>(1)</w:t>
      </w:r>
      <w:r w:rsidRPr="00283424">
        <w:tab/>
        <w:t>For paragraph 1015C(5)(a) of the Act, this regulation specifies requirements as to the manner in which a Product Disclosure Statement for a simple managed investment scheme to which this Subdivision applies must be given to a person if the person requests a copy of the Statement.</w:t>
      </w:r>
    </w:p>
    <w:p w14:paraId="2EB259DF" w14:textId="77777777" w:rsidR="00E93F58" w:rsidRPr="00283424" w:rsidRDefault="00E93F58" w:rsidP="00B50726">
      <w:pPr>
        <w:pStyle w:val="subsection"/>
      </w:pPr>
      <w:r w:rsidRPr="00283424">
        <w:tab/>
        <w:t>(2)</w:t>
      </w:r>
      <w:r w:rsidRPr="00283424">
        <w:tab/>
        <w:t>The responsible person for the Product Disclosure Statement must give the person, free of charge:</w:t>
      </w:r>
    </w:p>
    <w:p w14:paraId="0B2E7E48" w14:textId="77777777" w:rsidR="00E93F58" w:rsidRPr="00283424" w:rsidRDefault="00E93F58" w:rsidP="00B50726">
      <w:pPr>
        <w:pStyle w:val="paragraph"/>
      </w:pPr>
      <w:r w:rsidRPr="00283424">
        <w:tab/>
        <w:t>(a)</w:t>
      </w:r>
      <w:r w:rsidRPr="00283424">
        <w:tab/>
        <w:t>a copy of the Statement within 8 business days; and</w:t>
      </w:r>
    </w:p>
    <w:p w14:paraId="11AF4176" w14:textId="77777777" w:rsidR="00E93F58" w:rsidRPr="00283424" w:rsidRDefault="00E93F58" w:rsidP="00B50726">
      <w:pPr>
        <w:pStyle w:val="paragraph"/>
      </w:pPr>
      <w:r w:rsidRPr="00283424">
        <w:tab/>
        <w:t>(b)</w:t>
      </w:r>
      <w:r w:rsidRPr="00283424">
        <w:tab/>
        <w:t>a copy of a matter in writing that is applied, adopted or incorporated by the Statement within 8 business days.</w:t>
      </w:r>
    </w:p>
    <w:p w14:paraId="0B6F1347" w14:textId="77777777" w:rsidR="00E93F58" w:rsidRPr="00283424" w:rsidRDefault="00E93F58" w:rsidP="00B50726">
      <w:pPr>
        <w:pStyle w:val="ActHead4"/>
      </w:pPr>
      <w:bookmarkStart w:id="1618" w:name="_Toc152054785"/>
      <w:bookmarkStart w:id="1619" w:name="_Toc158712601"/>
      <w:r w:rsidRPr="006F296E">
        <w:rPr>
          <w:rStyle w:val="CharSubdNo"/>
        </w:rPr>
        <w:t>Subdivision 4.2D</w:t>
      </w:r>
      <w:r w:rsidRPr="00283424">
        <w:t>—</w:t>
      </w:r>
      <w:r w:rsidRPr="006F296E">
        <w:rPr>
          <w:rStyle w:val="CharSubdText"/>
        </w:rPr>
        <w:t>Content of Product Disclosure Statement for simple sub</w:t>
      </w:r>
      <w:r w:rsidRPr="006F296E">
        <w:rPr>
          <w:rStyle w:val="CharSubdText"/>
        </w:rPr>
        <w:noBreakHyphen/>
        <w:t>fund products</w:t>
      </w:r>
      <w:bookmarkEnd w:id="1618"/>
      <w:bookmarkEnd w:id="1619"/>
    </w:p>
    <w:p w14:paraId="3F43423E" w14:textId="77777777" w:rsidR="00E93F58" w:rsidRPr="00283424" w:rsidRDefault="00E93F58" w:rsidP="00B50726">
      <w:pPr>
        <w:pStyle w:val="ActHead5"/>
      </w:pPr>
      <w:bookmarkStart w:id="1620" w:name="_Toc152054786"/>
      <w:bookmarkStart w:id="1621" w:name="_Toc158712602"/>
      <w:r w:rsidRPr="006F296E">
        <w:rPr>
          <w:rStyle w:val="CharSectno"/>
        </w:rPr>
        <w:t>7.9.11ZA</w:t>
      </w:r>
      <w:r w:rsidRPr="00283424">
        <w:t xml:space="preserve">  Application of this Subdivision</w:t>
      </w:r>
      <w:bookmarkEnd w:id="1620"/>
      <w:bookmarkEnd w:id="1621"/>
    </w:p>
    <w:p w14:paraId="125107E3" w14:textId="77777777" w:rsidR="00E93F58" w:rsidRPr="00283424" w:rsidRDefault="00E93F58" w:rsidP="00B50726">
      <w:pPr>
        <w:pStyle w:val="subsection"/>
      </w:pPr>
      <w:r w:rsidRPr="00283424">
        <w:tab/>
        <w:t>(1)</w:t>
      </w:r>
      <w:r w:rsidRPr="00283424">
        <w:tab/>
        <w:t>This Subdivision applies to:</w:t>
      </w:r>
    </w:p>
    <w:p w14:paraId="49A84E41" w14:textId="77777777" w:rsidR="00E93F58" w:rsidRPr="00283424" w:rsidRDefault="00E93F58" w:rsidP="00B50726">
      <w:pPr>
        <w:pStyle w:val="paragraph"/>
      </w:pPr>
      <w:r w:rsidRPr="00283424">
        <w:tab/>
        <w:t>(a)</w:t>
      </w:r>
      <w:r w:rsidRPr="00283424">
        <w:tab/>
        <w:t>a person that is required to prepare a Product Disclosure Statement for a simple sub</w:t>
      </w:r>
      <w:r>
        <w:noBreakHyphen/>
      </w:r>
      <w:r w:rsidRPr="00283424">
        <w:t>fund product; and</w:t>
      </w:r>
    </w:p>
    <w:p w14:paraId="58CEF5B1" w14:textId="77777777" w:rsidR="00E93F58" w:rsidRPr="00283424" w:rsidRDefault="00E93F58" w:rsidP="00B50726">
      <w:pPr>
        <w:pStyle w:val="paragraph"/>
      </w:pPr>
      <w:r w:rsidRPr="00283424">
        <w:tab/>
        <w:t>(b)</w:t>
      </w:r>
      <w:r w:rsidRPr="00283424">
        <w:tab/>
        <w:t>a Product Disclosure Statement for a simple sub</w:t>
      </w:r>
      <w:r>
        <w:noBreakHyphen/>
      </w:r>
      <w:r w:rsidRPr="00283424">
        <w:t>fund product.</w:t>
      </w:r>
    </w:p>
    <w:p w14:paraId="16B47E97" w14:textId="77777777" w:rsidR="00E93F58" w:rsidRPr="00283424" w:rsidRDefault="00E93F58" w:rsidP="00B50726">
      <w:pPr>
        <w:pStyle w:val="subsection"/>
      </w:pPr>
      <w:r w:rsidRPr="00283424">
        <w:lastRenderedPageBreak/>
        <w:tab/>
        <w:t>(2)</w:t>
      </w:r>
      <w:r w:rsidRPr="00283424">
        <w:tab/>
        <w:t>This Subdivision does not apply to the extent that the simple sub</w:t>
      </w:r>
      <w:r>
        <w:noBreakHyphen/>
      </w:r>
      <w:r w:rsidRPr="00283424">
        <w:t>fund product is a financial product (known as a “quoted product”) that is, or is intended to be, traded on a prescribed financial market.</w:t>
      </w:r>
    </w:p>
    <w:p w14:paraId="256920ED" w14:textId="77777777" w:rsidR="00E93F58" w:rsidRPr="00283424" w:rsidRDefault="00E93F58" w:rsidP="00B50726">
      <w:pPr>
        <w:pStyle w:val="subsection"/>
      </w:pPr>
      <w:r w:rsidRPr="00283424">
        <w:tab/>
        <w:t>(3)</w:t>
      </w:r>
      <w:r w:rsidRPr="00283424">
        <w:tab/>
        <w:t>This Subdivision does not apply to the extent that the simple sub</w:t>
      </w:r>
      <w:r>
        <w:noBreakHyphen/>
      </w:r>
      <w:r w:rsidRPr="00283424">
        <w:t>fund product relates to a financial product (known as a “stapled security”) to which the following requirements apply:</w:t>
      </w:r>
    </w:p>
    <w:p w14:paraId="4D20F52B" w14:textId="77777777" w:rsidR="00E93F58" w:rsidRPr="00283424" w:rsidRDefault="00E93F58" w:rsidP="00B50726">
      <w:pPr>
        <w:pStyle w:val="paragraph"/>
      </w:pPr>
      <w:r w:rsidRPr="00283424">
        <w:tab/>
        <w:t>(a)</w:t>
      </w:r>
      <w:r w:rsidRPr="00283424">
        <w:tab/>
        <w:t>the product consists of interests in 2 or more financial products;</w:t>
      </w:r>
    </w:p>
    <w:p w14:paraId="046A60FF" w14:textId="77777777" w:rsidR="00E93F58" w:rsidRPr="00283424" w:rsidRDefault="00E93F58" w:rsidP="00B50726">
      <w:pPr>
        <w:pStyle w:val="paragraph"/>
      </w:pPr>
      <w:r w:rsidRPr="00283424">
        <w:tab/>
        <w:t>(b)</w:t>
      </w:r>
      <w:r w:rsidRPr="00283424">
        <w:tab/>
        <w:t>the interests include at least one security in a CCIV;</w:t>
      </w:r>
    </w:p>
    <w:p w14:paraId="0017B91C" w14:textId="77777777" w:rsidR="00E93F58" w:rsidRPr="00283424" w:rsidRDefault="00E93F58" w:rsidP="00B50726">
      <w:pPr>
        <w:pStyle w:val="paragraph"/>
      </w:pPr>
      <w:r w:rsidRPr="00283424">
        <w:tab/>
        <w:t>(c)</w:t>
      </w:r>
      <w:r w:rsidRPr="00283424">
        <w:tab/>
        <w:t>under the terms on which each of the interests is to be traded, the interests must be transferred together;</w:t>
      </w:r>
    </w:p>
    <w:p w14:paraId="29250991" w14:textId="77777777" w:rsidR="00E93F58" w:rsidRPr="00283424" w:rsidRDefault="00E93F58" w:rsidP="00B50726">
      <w:pPr>
        <w:pStyle w:val="paragraph"/>
      </w:pPr>
      <w:r w:rsidRPr="00283424">
        <w:tab/>
        <w:t>(d)</w:t>
      </w:r>
      <w:r w:rsidRPr="00283424">
        <w:tab/>
        <w:t>there are no financial products in the same class as the interests that may be transferred separately</w:t>
      </w:r>
      <w:r w:rsidRPr="00283424">
        <w:rPr>
          <w:i/>
        </w:rPr>
        <w:t>.</w:t>
      </w:r>
    </w:p>
    <w:p w14:paraId="0CECC178" w14:textId="77777777" w:rsidR="00E93F58" w:rsidRPr="00283424" w:rsidRDefault="00E93F58" w:rsidP="00B50726">
      <w:pPr>
        <w:pStyle w:val="subsection"/>
      </w:pPr>
      <w:r w:rsidRPr="00283424">
        <w:tab/>
        <w:t>(4)</w:t>
      </w:r>
      <w:r w:rsidRPr="00283424">
        <w:tab/>
        <w:t>This Subdivision does not apply to the extent that the simple sub</w:t>
      </w:r>
      <w:r>
        <w:noBreakHyphen/>
      </w:r>
      <w:r w:rsidRPr="00283424">
        <w:t>fund product is a security in a CCIV (referable to a sub</w:t>
      </w:r>
      <w:r>
        <w:noBreakHyphen/>
      </w:r>
      <w:r w:rsidRPr="00283424">
        <w:t>fund of the CCIV) and the CCIV has a constitution that provides:</w:t>
      </w:r>
    </w:p>
    <w:p w14:paraId="71C6C5C6" w14:textId="77777777" w:rsidR="00E93F58" w:rsidRPr="00283424" w:rsidRDefault="00E93F58" w:rsidP="00B50726">
      <w:pPr>
        <w:pStyle w:val="paragraph"/>
      </w:pPr>
      <w:r w:rsidRPr="00283424">
        <w:tab/>
        <w:t>(a)</w:t>
      </w:r>
      <w:r w:rsidRPr="00283424">
        <w:tab/>
        <w:t>that a member of the sub</w:t>
      </w:r>
      <w:r>
        <w:noBreakHyphen/>
      </w:r>
      <w:r w:rsidRPr="00283424">
        <w:t>fund may direct that an amount of money corresponding to part or all of the amount invested by the member in the sub</w:t>
      </w:r>
      <w:r>
        <w:noBreakHyphen/>
      </w:r>
      <w:r w:rsidRPr="00283424">
        <w:t>fund be invested in accessible investments; and</w:t>
      </w:r>
    </w:p>
    <w:p w14:paraId="719E2B12" w14:textId="77777777" w:rsidR="00E93F58" w:rsidRPr="00283424" w:rsidRDefault="00E93F58" w:rsidP="00B50726">
      <w:pPr>
        <w:pStyle w:val="paragraph"/>
      </w:pPr>
      <w:r w:rsidRPr="00283424">
        <w:tab/>
        <w:t>(b)</w:t>
      </w:r>
      <w:r w:rsidRPr="00283424">
        <w:tab/>
        <w:t>that any distributions to members of the sub</w:t>
      </w:r>
      <w:r>
        <w:noBreakHyphen/>
      </w:r>
      <w:r w:rsidRPr="00283424">
        <w:t>fund will be determined by reference to amounts received by the CCIV in relation to the accessible investments acquired in accordance with the direction.</w:t>
      </w:r>
    </w:p>
    <w:p w14:paraId="5BE75257" w14:textId="77777777" w:rsidR="00E93F58" w:rsidRPr="00283424" w:rsidRDefault="00E93F58" w:rsidP="00B50726">
      <w:pPr>
        <w:pStyle w:val="ActHead5"/>
      </w:pPr>
      <w:bookmarkStart w:id="1622" w:name="_Toc152054787"/>
      <w:bookmarkStart w:id="1623" w:name="_Toc158712603"/>
      <w:r w:rsidRPr="006F296E">
        <w:rPr>
          <w:rStyle w:val="CharSectno"/>
        </w:rPr>
        <w:t>7.9.11ZB</w:t>
      </w:r>
      <w:r w:rsidRPr="00283424">
        <w:t xml:space="preserve">  Provisions of Part 7.7 of Act that do not apply in relation to simple sub</w:t>
      </w:r>
      <w:r>
        <w:noBreakHyphen/>
      </w:r>
      <w:r w:rsidRPr="00283424">
        <w:t>fund products</w:t>
      </w:r>
      <w:bookmarkEnd w:id="1622"/>
      <w:bookmarkEnd w:id="1623"/>
    </w:p>
    <w:p w14:paraId="544EB6BC" w14:textId="77777777" w:rsidR="00E93F58" w:rsidRPr="00283424" w:rsidRDefault="00E93F58" w:rsidP="00B50726">
      <w:pPr>
        <w:pStyle w:val="subsection"/>
      </w:pPr>
      <w:r w:rsidRPr="00283424">
        <w:tab/>
      </w:r>
      <w:r w:rsidRPr="00283424">
        <w:tab/>
        <w:t>For the purposes of paragraph 951C(1)(b) of the Act, section 942DA of the Act does not apply in relation to a simple sub</w:t>
      </w:r>
      <w:r>
        <w:noBreakHyphen/>
      </w:r>
      <w:r w:rsidRPr="00283424">
        <w:t>fund product to which this Subdivision applies.</w:t>
      </w:r>
    </w:p>
    <w:p w14:paraId="6AC5300C" w14:textId="77777777" w:rsidR="00E93F58" w:rsidRPr="00283424" w:rsidRDefault="00E93F58" w:rsidP="00B50726">
      <w:pPr>
        <w:pStyle w:val="ActHead5"/>
      </w:pPr>
      <w:bookmarkStart w:id="1624" w:name="_Toc152054788"/>
      <w:bookmarkStart w:id="1625" w:name="_Toc158712604"/>
      <w:r w:rsidRPr="006F296E">
        <w:rPr>
          <w:rStyle w:val="CharSectno"/>
        </w:rPr>
        <w:t>7.9.11ZC</w:t>
      </w:r>
      <w:r w:rsidRPr="00283424">
        <w:t xml:space="preserve">  Provisions of Part 7.9 of Act that do not apply in relation to simple sub</w:t>
      </w:r>
      <w:r>
        <w:noBreakHyphen/>
      </w:r>
      <w:r w:rsidRPr="00283424">
        <w:t>fund products</w:t>
      </w:r>
      <w:bookmarkEnd w:id="1624"/>
      <w:bookmarkEnd w:id="1625"/>
    </w:p>
    <w:p w14:paraId="29D12FD3" w14:textId="77777777" w:rsidR="00E93F58" w:rsidRPr="00283424" w:rsidRDefault="00E93F58" w:rsidP="00B50726">
      <w:pPr>
        <w:pStyle w:val="subsection"/>
      </w:pPr>
      <w:r w:rsidRPr="00283424">
        <w:tab/>
      </w:r>
      <w:r w:rsidRPr="00283424">
        <w:tab/>
        <w:t>For the purposes of paragraph 1020G(1)(b) of the Act, Subdivision D of Division 2 of Part 7.9 of the Act does not apply in relation to a simple sub</w:t>
      </w:r>
      <w:r>
        <w:noBreakHyphen/>
      </w:r>
      <w:r w:rsidRPr="00283424">
        <w:t>fund product to which this Subdivision applies.</w:t>
      </w:r>
    </w:p>
    <w:p w14:paraId="5924880B" w14:textId="77777777" w:rsidR="00E93F58" w:rsidRPr="00283424" w:rsidRDefault="00E93F58" w:rsidP="00B50726">
      <w:pPr>
        <w:pStyle w:val="ActHead5"/>
      </w:pPr>
      <w:bookmarkStart w:id="1626" w:name="_Toc152054789"/>
      <w:bookmarkStart w:id="1627" w:name="_Toc158712605"/>
      <w:r w:rsidRPr="006F296E">
        <w:rPr>
          <w:rStyle w:val="CharSectno"/>
        </w:rPr>
        <w:t>7.9.11ZD</w:t>
      </w:r>
      <w:r w:rsidRPr="00283424">
        <w:t xml:space="preserve">  Modification of Act—simple sub</w:t>
      </w:r>
      <w:r>
        <w:noBreakHyphen/>
      </w:r>
      <w:r w:rsidRPr="00283424">
        <w:t>fund products</w:t>
      </w:r>
      <w:bookmarkEnd w:id="1626"/>
      <w:bookmarkEnd w:id="1627"/>
    </w:p>
    <w:p w14:paraId="6983F864" w14:textId="77777777" w:rsidR="00E93F58" w:rsidRPr="00283424" w:rsidRDefault="00E93F58" w:rsidP="00B50726">
      <w:pPr>
        <w:pStyle w:val="subsection"/>
      </w:pPr>
      <w:r w:rsidRPr="00283424">
        <w:tab/>
      </w:r>
      <w:r w:rsidRPr="00283424">
        <w:tab/>
        <w:t>For the purposes of paragraph 1020G(1)(c) of the Act, Part 7.9 of the Act is modified in its application to a simple sub</w:t>
      </w:r>
      <w:r>
        <w:noBreakHyphen/>
      </w:r>
      <w:r w:rsidRPr="00283424">
        <w:t>fund product to which this Subdivision applies as set out in Part 5D of Schedule 10A</w:t>
      </w:r>
      <w:r w:rsidRPr="00283424">
        <w:rPr>
          <w:i/>
        </w:rPr>
        <w:t>.</w:t>
      </w:r>
    </w:p>
    <w:p w14:paraId="06DD11D6" w14:textId="77777777" w:rsidR="00E93F58" w:rsidRPr="00283424" w:rsidRDefault="00E93F58" w:rsidP="00B50726">
      <w:pPr>
        <w:pStyle w:val="ActHead5"/>
      </w:pPr>
      <w:bookmarkStart w:id="1628" w:name="_Toc152054790"/>
      <w:bookmarkStart w:id="1629" w:name="_Toc158712606"/>
      <w:r w:rsidRPr="006F296E">
        <w:rPr>
          <w:rStyle w:val="CharSectno"/>
        </w:rPr>
        <w:t>7.9.11ZE</w:t>
      </w:r>
      <w:r w:rsidRPr="00283424">
        <w:t xml:space="preserve">  Form and content of Product Disclosure Statement for simple sub</w:t>
      </w:r>
      <w:r>
        <w:noBreakHyphen/>
      </w:r>
      <w:r w:rsidRPr="00283424">
        <w:t>fund products</w:t>
      </w:r>
      <w:bookmarkEnd w:id="1628"/>
      <w:bookmarkEnd w:id="1629"/>
    </w:p>
    <w:p w14:paraId="6A01FBBB" w14:textId="77777777" w:rsidR="00E93F58" w:rsidRPr="00283424" w:rsidRDefault="00E93F58" w:rsidP="00B50726">
      <w:pPr>
        <w:pStyle w:val="subsection"/>
      </w:pPr>
      <w:r w:rsidRPr="00283424">
        <w:tab/>
        <w:t>(1)</w:t>
      </w:r>
      <w:r w:rsidRPr="00283424">
        <w:tab/>
        <w:t>For the purposes of paragraph 1013C(1)(a) of the Act, as modified by Part 5D of Schedule 10A, a Product Disclosure Statement for a simple sub</w:t>
      </w:r>
      <w:r>
        <w:noBreakHyphen/>
      </w:r>
      <w:r w:rsidRPr="00283424">
        <w:t>fund product to which this Subdivision applies must include the statements and information mentioned in Schedule 10F.</w:t>
      </w:r>
    </w:p>
    <w:p w14:paraId="69232F97" w14:textId="77777777" w:rsidR="00E93F58" w:rsidRPr="00283424" w:rsidRDefault="00E93F58" w:rsidP="00B50726">
      <w:pPr>
        <w:pStyle w:val="subsection"/>
      </w:pPr>
      <w:r w:rsidRPr="00283424">
        <w:tab/>
        <w:t>(2)</w:t>
      </w:r>
      <w:r w:rsidRPr="00283424">
        <w:tab/>
        <w:t>For the purposes of paragraph 1013C(1)(b) of the Act, as modified by Part 5D of Schedule 10A, a Product Disclosure Statement for a simple sub</w:t>
      </w:r>
      <w:r>
        <w:noBreakHyphen/>
      </w:r>
      <w:r w:rsidRPr="00283424">
        <w:t>fund product to which this Subdivision applies must be in the form mentioned in Schedule 10F.</w:t>
      </w:r>
    </w:p>
    <w:p w14:paraId="05E59AF6" w14:textId="77777777" w:rsidR="00E93F58" w:rsidRPr="00283424" w:rsidRDefault="00E93F58" w:rsidP="00B50726">
      <w:pPr>
        <w:pStyle w:val="ActHead5"/>
      </w:pPr>
      <w:bookmarkStart w:id="1630" w:name="_Toc152054791"/>
      <w:bookmarkStart w:id="1631" w:name="_Toc158712607"/>
      <w:r w:rsidRPr="006F296E">
        <w:rPr>
          <w:rStyle w:val="CharSectno"/>
        </w:rPr>
        <w:t>7.9.11ZF</w:t>
      </w:r>
      <w:r w:rsidRPr="00283424">
        <w:t xml:space="preserve">  Requirements for references to incorporated information for simple sub</w:t>
      </w:r>
      <w:r>
        <w:noBreakHyphen/>
      </w:r>
      <w:r w:rsidRPr="00283424">
        <w:t>fund products</w:t>
      </w:r>
      <w:bookmarkEnd w:id="1630"/>
      <w:bookmarkEnd w:id="1631"/>
    </w:p>
    <w:p w14:paraId="54768072" w14:textId="77777777" w:rsidR="00E93F58" w:rsidRPr="00283424" w:rsidRDefault="00E93F58" w:rsidP="00B50726">
      <w:pPr>
        <w:pStyle w:val="subsection"/>
      </w:pPr>
      <w:r w:rsidRPr="00283424">
        <w:tab/>
        <w:t>(1)</w:t>
      </w:r>
      <w:r w:rsidRPr="00283424">
        <w:tab/>
        <w:t>For the purposes of subsection 1013C(1D) of the Act, as modified by Part 5D of Schedule 10A, this regulation prescribes requirements for applying, adopting or incorporating, in a Product Disclosure Statement for a simple sub</w:t>
      </w:r>
      <w:r>
        <w:noBreakHyphen/>
      </w:r>
      <w:r w:rsidRPr="00283424">
        <w:t>fund product to which this Subdivision applies, a matter contained in writing.</w:t>
      </w:r>
    </w:p>
    <w:p w14:paraId="612A6E47" w14:textId="77777777" w:rsidR="00E93F58" w:rsidRPr="00283424" w:rsidRDefault="00E93F58" w:rsidP="00B50726">
      <w:pPr>
        <w:pStyle w:val="subsection"/>
      </w:pPr>
      <w:r w:rsidRPr="00283424">
        <w:tab/>
        <w:t>(2)</w:t>
      </w:r>
      <w:r w:rsidRPr="00283424">
        <w:tab/>
        <w:t>A Statement may apply, adopt or incorporate a matter only if a provision of these Regulations requires or permits the matter to be applied, adopted or incorporated by the Statement.</w:t>
      </w:r>
    </w:p>
    <w:p w14:paraId="33D583F8" w14:textId="77777777" w:rsidR="00E93F58" w:rsidRPr="00283424" w:rsidRDefault="00E93F58" w:rsidP="00B50726">
      <w:pPr>
        <w:pStyle w:val="subsection"/>
      </w:pPr>
      <w:r w:rsidRPr="00283424">
        <w:tab/>
        <w:t>(3)</w:t>
      </w:r>
      <w:r w:rsidRPr="00283424">
        <w:tab/>
        <w:t>If a Product Disclosure Statement applies, adopts or incorporates a matter:</w:t>
      </w:r>
    </w:p>
    <w:p w14:paraId="21348355" w14:textId="77777777" w:rsidR="00E93F58" w:rsidRPr="00283424" w:rsidRDefault="00E93F58" w:rsidP="00B50726">
      <w:pPr>
        <w:pStyle w:val="paragraph"/>
      </w:pPr>
      <w:r w:rsidRPr="00283424">
        <w:tab/>
        <w:t>(a)</w:t>
      </w:r>
      <w:r w:rsidRPr="00283424">
        <w:tab/>
        <w:t>the matter must be:</w:t>
      </w:r>
    </w:p>
    <w:p w14:paraId="769F1D3B" w14:textId="77777777" w:rsidR="00E93F58" w:rsidRPr="00283424" w:rsidRDefault="00E93F58" w:rsidP="00B50726">
      <w:pPr>
        <w:pStyle w:val="paragraphsub"/>
      </w:pPr>
      <w:r w:rsidRPr="00283424">
        <w:tab/>
        <w:t>(i)</w:t>
      </w:r>
      <w:r w:rsidRPr="00283424">
        <w:tab/>
        <w:t>in writing; and</w:t>
      </w:r>
    </w:p>
    <w:p w14:paraId="513159F7" w14:textId="77777777" w:rsidR="00E93F58" w:rsidRPr="00283424" w:rsidRDefault="00E93F58" w:rsidP="00B50726">
      <w:pPr>
        <w:pStyle w:val="paragraphsub"/>
      </w:pPr>
      <w:r w:rsidRPr="00283424">
        <w:tab/>
        <w:t>(ii)</w:t>
      </w:r>
      <w:r w:rsidRPr="00283424">
        <w:tab/>
        <w:t>clearly distinguishable from any other matters that are not applied, adopted or incorporated; and</w:t>
      </w:r>
    </w:p>
    <w:p w14:paraId="6D554A8B" w14:textId="77777777" w:rsidR="00E93F58" w:rsidRPr="00283424" w:rsidRDefault="00E93F58" w:rsidP="00B50726">
      <w:pPr>
        <w:pStyle w:val="paragraphsub"/>
      </w:pPr>
      <w:r w:rsidRPr="00283424">
        <w:tab/>
        <w:t>(iii)</w:t>
      </w:r>
      <w:r w:rsidRPr="00283424">
        <w:tab/>
        <w:t>publicly available in a document other than the Statement; and</w:t>
      </w:r>
    </w:p>
    <w:p w14:paraId="7C19B353" w14:textId="77777777" w:rsidR="00E93F58" w:rsidRPr="00283424" w:rsidRDefault="00E93F58" w:rsidP="00B50726">
      <w:pPr>
        <w:pStyle w:val="paragraph"/>
      </w:pPr>
      <w:r w:rsidRPr="00283424">
        <w:tab/>
        <w:t>(b)</w:t>
      </w:r>
      <w:r w:rsidRPr="00283424">
        <w:tab/>
        <w:t>the responsible person for the Statement must identify the matter by:</w:t>
      </w:r>
    </w:p>
    <w:p w14:paraId="010168AC" w14:textId="77777777" w:rsidR="00E93F58" w:rsidRPr="00283424" w:rsidRDefault="00E93F58" w:rsidP="00B50726">
      <w:pPr>
        <w:pStyle w:val="paragraphsub"/>
      </w:pPr>
      <w:r w:rsidRPr="00283424">
        <w:tab/>
        <w:t>(i)</w:t>
      </w:r>
      <w:r w:rsidRPr="00283424">
        <w:tab/>
        <w:t>including in the Statement a concise description of the matter; and</w:t>
      </w:r>
    </w:p>
    <w:p w14:paraId="2E194928" w14:textId="77777777" w:rsidR="00E93F58" w:rsidRPr="00283424" w:rsidRDefault="00E93F58" w:rsidP="00B50726">
      <w:pPr>
        <w:pStyle w:val="paragraphsub"/>
      </w:pPr>
      <w:r w:rsidRPr="00283424">
        <w:tab/>
        <w:t>(ii)</w:t>
      </w:r>
      <w:r w:rsidRPr="00283424">
        <w:tab/>
        <w:t>ensuring that the reference to the matter is clearly distinguishable from the other contents of the Statement; and</w:t>
      </w:r>
    </w:p>
    <w:p w14:paraId="1B183FA1" w14:textId="77777777" w:rsidR="00E93F58" w:rsidRPr="00283424" w:rsidRDefault="00E93F58" w:rsidP="00B50726">
      <w:pPr>
        <w:pStyle w:val="paragraph"/>
      </w:pPr>
      <w:r w:rsidRPr="00283424">
        <w:tab/>
        <w:t>(c)</w:t>
      </w:r>
      <w:r w:rsidRPr="00283424">
        <w:tab/>
        <w:t>the responsible person for the Statement must:</w:t>
      </w:r>
    </w:p>
    <w:p w14:paraId="0C4DB608" w14:textId="77777777" w:rsidR="00E93F58" w:rsidRPr="00283424" w:rsidRDefault="00E93F58" w:rsidP="00B50726">
      <w:pPr>
        <w:pStyle w:val="paragraphsub"/>
      </w:pPr>
      <w:r w:rsidRPr="00283424">
        <w:lastRenderedPageBreak/>
        <w:tab/>
        <w:t>(i)</w:t>
      </w:r>
      <w:r w:rsidRPr="00283424">
        <w:tab/>
        <w:t>identify each version of the matter (by including the date on which the version was prepared) so that a person who, at a particular time, is considering a simple sub</w:t>
      </w:r>
      <w:r>
        <w:noBreakHyphen/>
      </w:r>
      <w:r w:rsidRPr="00283424">
        <w:t>fund product to which this Subdivision applies can identify the version that is relevant to the simple sub</w:t>
      </w:r>
      <w:r>
        <w:noBreakHyphen/>
      </w:r>
      <w:r w:rsidRPr="00283424">
        <w:t>fund product at that time; and</w:t>
      </w:r>
    </w:p>
    <w:p w14:paraId="1C4D0505" w14:textId="77777777" w:rsidR="00E93F58" w:rsidRPr="00283424" w:rsidRDefault="00E93F58" w:rsidP="00B50726">
      <w:pPr>
        <w:pStyle w:val="paragraphsub"/>
      </w:pPr>
      <w:r w:rsidRPr="00283424">
        <w:tab/>
        <w:t>(ii)</w:t>
      </w:r>
      <w:r w:rsidRPr="00283424">
        <w:tab/>
        <w:t>state the date on which the version was prepared in a prominent position at or near the front of the version; and</w:t>
      </w:r>
    </w:p>
    <w:p w14:paraId="51C6642C" w14:textId="77777777" w:rsidR="00E93F58" w:rsidRPr="00283424" w:rsidRDefault="00E93F58" w:rsidP="00B50726">
      <w:pPr>
        <w:pStyle w:val="paragraph"/>
      </w:pPr>
      <w:r w:rsidRPr="00283424">
        <w:tab/>
        <w:t>(d)</w:t>
      </w:r>
      <w:r w:rsidRPr="00283424">
        <w:tab/>
        <w:t>the responsible person for the Statement must ensure that a person who is relying on the Statement is able to have access to:</w:t>
      </w:r>
    </w:p>
    <w:p w14:paraId="42FDDBE4" w14:textId="77777777" w:rsidR="00E93F58" w:rsidRPr="00283424" w:rsidRDefault="00E93F58" w:rsidP="00B50726">
      <w:pPr>
        <w:pStyle w:val="paragraphsub"/>
      </w:pPr>
      <w:r w:rsidRPr="00283424">
        <w:tab/>
        <w:t>(i)</w:t>
      </w:r>
      <w:r w:rsidRPr="00283424">
        <w:tab/>
        <w:t>the matter; or</w:t>
      </w:r>
    </w:p>
    <w:p w14:paraId="1FE98B34" w14:textId="77777777" w:rsidR="00E93F58" w:rsidRPr="00283424" w:rsidRDefault="00E93F58" w:rsidP="00B50726">
      <w:pPr>
        <w:pStyle w:val="paragraphsub"/>
      </w:pPr>
      <w:r w:rsidRPr="00283424">
        <w:tab/>
        <w:t>(ii)</w:t>
      </w:r>
      <w:r w:rsidRPr="00283424">
        <w:tab/>
        <w:t>if there is more than one version of the matter—each version;</w:t>
      </w:r>
    </w:p>
    <w:p w14:paraId="5D8E0768" w14:textId="77777777" w:rsidR="00E93F58" w:rsidRPr="00283424" w:rsidRDefault="00E93F58" w:rsidP="00B50726">
      <w:pPr>
        <w:pStyle w:val="paragraph"/>
      </w:pPr>
      <w:r w:rsidRPr="00283424">
        <w:tab/>
      </w:r>
      <w:r w:rsidRPr="00283424">
        <w:tab/>
        <w:t>reasonably easily and reasonably quickly.</w:t>
      </w:r>
    </w:p>
    <w:p w14:paraId="2CBEFF7E" w14:textId="77777777" w:rsidR="00E93F58" w:rsidRPr="00283424" w:rsidRDefault="00E93F58" w:rsidP="00B50726">
      <w:pPr>
        <w:pStyle w:val="subsection"/>
      </w:pPr>
      <w:r w:rsidRPr="00283424">
        <w:tab/>
        <w:t>(4)</w:t>
      </w:r>
      <w:r w:rsidRPr="00283424">
        <w:tab/>
        <w:t>The responsible person for the Product Disclosure Statement must also ensure that the Statement includes the statements in the following table relating to the matter, and sets them out in each place at which the matter has been applied, adopted or incorporated.</w:t>
      </w:r>
    </w:p>
    <w:p w14:paraId="365C4F07"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29"/>
        <w:gridCol w:w="9844"/>
      </w:tblGrid>
      <w:tr w:rsidR="00E93F58" w:rsidRPr="00283424" w14:paraId="394B927E" w14:textId="77777777" w:rsidTr="00EA0AFF">
        <w:trPr>
          <w:tblHeader/>
        </w:trPr>
        <w:tc>
          <w:tcPr>
            <w:tcW w:w="431" w:type="pct"/>
            <w:tcBorders>
              <w:top w:val="single" w:sz="12" w:space="0" w:color="auto"/>
              <w:bottom w:val="single" w:sz="12" w:space="0" w:color="auto"/>
            </w:tcBorders>
            <w:shd w:val="clear" w:color="auto" w:fill="auto"/>
          </w:tcPr>
          <w:p w14:paraId="0E50999C" w14:textId="77777777" w:rsidR="00E93F58" w:rsidRPr="00283424" w:rsidRDefault="00E93F58" w:rsidP="00EA0AFF">
            <w:pPr>
              <w:pStyle w:val="TableHeading"/>
            </w:pPr>
            <w:r w:rsidRPr="00283424">
              <w:t>Item</w:t>
            </w:r>
          </w:p>
        </w:tc>
        <w:tc>
          <w:tcPr>
            <w:tcW w:w="4569" w:type="pct"/>
            <w:tcBorders>
              <w:top w:val="single" w:sz="12" w:space="0" w:color="auto"/>
              <w:bottom w:val="single" w:sz="12" w:space="0" w:color="auto"/>
            </w:tcBorders>
            <w:shd w:val="clear" w:color="auto" w:fill="auto"/>
          </w:tcPr>
          <w:p w14:paraId="4521B5E3" w14:textId="77777777" w:rsidR="00E93F58" w:rsidRPr="00283424" w:rsidRDefault="00E93F58" w:rsidP="00EA0AFF">
            <w:pPr>
              <w:pStyle w:val="TableHeading"/>
            </w:pPr>
            <w:r w:rsidRPr="00283424">
              <w:t>Statement</w:t>
            </w:r>
          </w:p>
        </w:tc>
      </w:tr>
      <w:tr w:rsidR="00E93F58" w:rsidRPr="00283424" w14:paraId="4A6CB573" w14:textId="77777777" w:rsidTr="00EA0AFF">
        <w:tc>
          <w:tcPr>
            <w:tcW w:w="431" w:type="pct"/>
            <w:tcBorders>
              <w:top w:val="single" w:sz="12" w:space="0" w:color="auto"/>
              <w:bottom w:val="single" w:sz="4" w:space="0" w:color="auto"/>
            </w:tcBorders>
            <w:shd w:val="clear" w:color="auto" w:fill="auto"/>
          </w:tcPr>
          <w:p w14:paraId="233FBB20" w14:textId="77777777" w:rsidR="00E93F58" w:rsidRPr="00283424" w:rsidRDefault="00E93F58" w:rsidP="00EA0AFF">
            <w:pPr>
              <w:pStyle w:val="Tabletext"/>
            </w:pPr>
            <w:r w:rsidRPr="00283424">
              <w:t>1</w:t>
            </w:r>
          </w:p>
        </w:tc>
        <w:tc>
          <w:tcPr>
            <w:tcW w:w="4569" w:type="pct"/>
            <w:tcBorders>
              <w:top w:val="single" w:sz="12" w:space="0" w:color="auto"/>
              <w:bottom w:val="single" w:sz="4" w:space="0" w:color="auto"/>
            </w:tcBorders>
            <w:shd w:val="clear" w:color="auto" w:fill="auto"/>
          </w:tcPr>
          <w:p w14:paraId="5EFA7BD0" w14:textId="77777777" w:rsidR="00E93F58" w:rsidRPr="00283424" w:rsidRDefault="00E93F58" w:rsidP="00EA0AFF">
            <w:pPr>
              <w:pStyle w:val="Tabletext"/>
            </w:pPr>
            <w:r w:rsidRPr="00283424">
              <w:t xml:space="preserve">You should read the important information about </w:t>
            </w:r>
            <w:r w:rsidRPr="00283424">
              <w:rPr>
                <w:i/>
              </w:rPr>
              <w:t xml:space="preserve">[the subject] </w:t>
            </w:r>
            <w:r w:rsidRPr="00283424">
              <w:t xml:space="preserve">before making a decision. Go to </w:t>
            </w:r>
            <w:r w:rsidRPr="00283424">
              <w:rPr>
                <w:i/>
              </w:rPr>
              <w:t>[location of the matter that has been applied, adopted or incorporated]</w:t>
            </w:r>
          </w:p>
        </w:tc>
      </w:tr>
      <w:tr w:rsidR="00E93F58" w:rsidRPr="00283424" w14:paraId="6A4E9C73" w14:textId="77777777" w:rsidTr="00EA0AFF">
        <w:tc>
          <w:tcPr>
            <w:tcW w:w="431" w:type="pct"/>
            <w:tcBorders>
              <w:bottom w:val="single" w:sz="12" w:space="0" w:color="auto"/>
            </w:tcBorders>
            <w:shd w:val="clear" w:color="auto" w:fill="auto"/>
          </w:tcPr>
          <w:p w14:paraId="4779E347" w14:textId="77777777" w:rsidR="00E93F58" w:rsidRPr="00283424" w:rsidRDefault="00E93F58" w:rsidP="00EA0AFF">
            <w:pPr>
              <w:pStyle w:val="Tabletext"/>
            </w:pPr>
            <w:r w:rsidRPr="00283424">
              <w:t>2</w:t>
            </w:r>
          </w:p>
        </w:tc>
        <w:tc>
          <w:tcPr>
            <w:tcW w:w="4569" w:type="pct"/>
            <w:tcBorders>
              <w:bottom w:val="single" w:sz="12" w:space="0" w:color="auto"/>
            </w:tcBorders>
            <w:shd w:val="clear" w:color="auto" w:fill="auto"/>
          </w:tcPr>
          <w:p w14:paraId="2A110737" w14:textId="77777777" w:rsidR="00E93F58" w:rsidRPr="00283424" w:rsidRDefault="00E93F58" w:rsidP="00EA0AFF">
            <w:pPr>
              <w:pStyle w:val="Tabletext"/>
            </w:pPr>
            <w:r w:rsidRPr="00283424">
              <w:t xml:space="preserve">The material relating to </w:t>
            </w:r>
            <w:r w:rsidRPr="00283424">
              <w:rPr>
                <w:i/>
              </w:rPr>
              <w:t>[matter]</w:t>
            </w:r>
            <w:r w:rsidRPr="00283424">
              <w:t xml:space="preserve"> may change between the time when you read this Statement and the day</w:t>
            </w:r>
            <w:r w:rsidRPr="00283424">
              <w:rPr>
                <w:szCs w:val="22"/>
              </w:rPr>
              <w:t xml:space="preserve"> when you acquire the product</w:t>
            </w:r>
          </w:p>
        </w:tc>
      </w:tr>
    </w:tbl>
    <w:p w14:paraId="64D4CEF4" w14:textId="77777777" w:rsidR="00E93F58" w:rsidRPr="00283424" w:rsidRDefault="00E93F58" w:rsidP="00B50726">
      <w:pPr>
        <w:pStyle w:val="subsection"/>
      </w:pPr>
      <w:r w:rsidRPr="00283424">
        <w:tab/>
        <w:t>(5)</w:t>
      </w:r>
      <w:r w:rsidRPr="00283424">
        <w:tab/>
        <w:t>The responsible person for the Product Disclosure Statement must also ensure that each document mentioned in subregulation (3) includes the statement in the following table relating to the matter.</w:t>
      </w:r>
    </w:p>
    <w:p w14:paraId="5314450D"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929"/>
        <w:gridCol w:w="9844"/>
      </w:tblGrid>
      <w:tr w:rsidR="00E93F58" w:rsidRPr="00283424" w14:paraId="7A82B25E" w14:textId="77777777" w:rsidTr="00EA0AFF">
        <w:trPr>
          <w:tblHeader/>
        </w:trPr>
        <w:tc>
          <w:tcPr>
            <w:tcW w:w="431" w:type="pct"/>
            <w:tcBorders>
              <w:top w:val="single" w:sz="12" w:space="0" w:color="auto"/>
              <w:bottom w:val="single" w:sz="12" w:space="0" w:color="auto"/>
            </w:tcBorders>
            <w:shd w:val="clear" w:color="auto" w:fill="auto"/>
          </w:tcPr>
          <w:p w14:paraId="4BA9D877" w14:textId="77777777" w:rsidR="00E93F58" w:rsidRPr="00283424" w:rsidRDefault="00E93F58" w:rsidP="00EA0AFF">
            <w:pPr>
              <w:pStyle w:val="TableHeading"/>
            </w:pPr>
            <w:r w:rsidRPr="00283424">
              <w:t>Item</w:t>
            </w:r>
          </w:p>
        </w:tc>
        <w:tc>
          <w:tcPr>
            <w:tcW w:w="4569" w:type="pct"/>
            <w:tcBorders>
              <w:top w:val="single" w:sz="12" w:space="0" w:color="auto"/>
              <w:bottom w:val="single" w:sz="12" w:space="0" w:color="auto"/>
            </w:tcBorders>
            <w:shd w:val="clear" w:color="auto" w:fill="auto"/>
          </w:tcPr>
          <w:p w14:paraId="4DE237C7" w14:textId="77777777" w:rsidR="00E93F58" w:rsidRPr="00283424" w:rsidRDefault="00E93F58" w:rsidP="00EA0AFF">
            <w:pPr>
              <w:pStyle w:val="TableHeading"/>
            </w:pPr>
            <w:r w:rsidRPr="00283424">
              <w:t>Statement</w:t>
            </w:r>
          </w:p>
        </w:tc>
      </w:tr>
      <w:tr w:rsidR="00E93F58" w:rsidRPr="00283424" w14:paraId="150A0DAF" w14:textId="77777777" w:rsidTr="00EA0AFF">
        <w:trPr>
          <w:tblHeader/>
        </w:trPr>
        <w:tc>
          <w:tcPr>
            <w:tcW w:w="431" w:type="pct"/>
            <w:tcBorders>
              <w:top w:val="single" w:sz="12" w:space="0" w:color="auto"/>
              <w:bottom w:val="single" w:sz="12" w:space="0" w:color="auto"/>
            </w:tcBorders>
            <w:shd w:val="clear" w:color="auto" w:fill="auto"/>
          </w:tcPr>
          <w:p w14:paraId="0301C1A1" w14:textId="77777777" w:rsidR="00E93F58" w:rsidRPr="00283424" w:rsidRDefault="00E93F58" w:rsidP="00EA0AFF">
            <w:pPr>
              <w:pStyle w:val="Tabletext"/>
            </w:pPr>
            <w:r w:rsidRPr="00283424">
              <w:t>1</w:t>
            </w:r>
          </w:p>
        </w:tc>
        <w:tc>
          <w:tcPr>
            <w:tcW w:w="4569" w:type="pct"/>
            <w:tcBorders>
              <w:top w:val="single" w:sz="12" w:space="0" w:color="auto"/>
              <w:bottom w:val="single" w:sz="12" w:space="0" w:color="auto"/>
            </w:tcBorders>
            <w:shd w:val="clear" w:color="auto" w:fill="auto"/>
          </w:tcPr>
          <w:p w14:paraId="756DEC2A" w14:textId="77777777" w:rsidR="00E93F58" w:rsidRPr="00283424" w:rsidRDefault="00E93F58" w:rsidP="00EA0AFF">
            <w:pPr>
              <w:pStyle w:val="Tabletext"/>
            </w:pPr>
            <w:r w:rsidRPr="00283424">
              <w:t xml:space="preserve">The information in this document forms part of the Product Disclosure Statement </w:t>
            </w:r>
            <w:r w:rsidRPr="00283424">
              <w:rPr>
                <w:i/>
              </w:rPr>
              <w:t>[identification by name, date and version (if applicable) of each Statement]</w:t>
            </w:r>
          </w:p>
        </w:tc>
      </w:tr>
    </w:tbl>
    <w:p w14:paraId="3DBBB7E2" w14:textId="77777777" w:rsidR="00E93F58" w:rsidRPr="00283424" w:rsidRDefault="00E93F58" w:rsidP="00B50726">
      <w:pPr>
        <w:pStyle w:val="subsection"/>
      </w:pPr>
      <w:r w:rsidRPr="00283424">
        <w:tab/>
        <w:t>(6)</w:t>
      </w:r>
      <w:r w:rsidRPr="00283424">
        <w:tab/>
        <w:t>For the avoidance of doubt:</w:t>
      </w:r>
    </w:p>
    <w:p w14:paraId="658A339D" w14:textId="77777777" w:rsidR="00E93F58" w:rsidRPr="00283424" w:rsidRDefault="00E93F58" w:rsidP="00B50726">
      <w:pPr>
        <w:pStyle w:val="paragraph"/>
      </w:pPr>
      <w:r w:rsidRPr="00283424">
        <w:tab/>
        <w:t>(a)</w:t>
      </w:r>
      <w:r w:rsidRPr="00283424">
        <w:tab/>
        <w:t>the giving of a Product Disclosure Statement to which this Subdivision applies is taken to be the giving of every matter that is applied, adopted or incorporated in accordance with subregulations (1) to (5); and</w:t>
      </w:r>
    </w:p>
    <w:p w14:paraId="01EAF810" w14:textId="77777777" w:rsidR="00E93F58" w:rsidRPr="00283424" w:rsidRDefault="00E93F58" w:rsidP="00B50726">
      <w:pPr>
        <w:pStyle w:val="paragraph"/>
      </w:pPr>
      <w:r w:rsidRPr="00283424">
        <w:tab/>
        <w:t>(b)</w:t>
      </w:r>
      <w:r w:rsidRPr="00283424">
        <w:tab/>
        <w:t>if a document mentioned in subparagraph (3)(a)(iii) refers to more than one Product Disclosure Statement, the document:</w:t>
      </w:r>
    </w:p>
    <w:p w14:paraId="2E3B321D" w14:textId="77777777" w:rsidR="00E93F58" w:rsidRPr="00283424" w:rsidRDefault="00E93F58" w:rsidP="00B50726">
      <w:pPr>
        <w:pStyle w:val="paragraphsub"/>
      </w:pPr>
      <w:r w:rsidRPr="00283424">
        <w:tab/>
        <w:t>(i)</w:t>
      </w:r>
      <w:r w:rsidRPr="00283424">
        <w:tab/>
        <w:t>must include a statement to the effect that the information in the document forms part of the Product Disclosure Statement offered by the responsible person; but</w:t>
      </w:r>
    </w:p>
    <w:p w14:paraId="2FFE5423" w14:textId="77777777" w:rsidR="00E93F58" w:rsidRPr="00283424" w:rsidRDefault="00E93F58" w:rsidP="00B50726">
      <w:pPr>
        <w:pStyle w:val="paragraphsub"/>
      </w:pPr>
      <w:r w:rsidRPr="00283424">
        <w:tab/>
        <w:t>(ii)</w:t>
      </w:r>
      <w:r w:rsidRPr="00283424">
        <w:tab/>
        <w:t>is not required to name each Product Disclosure Statement of which it forms part.</w:t>
      </w:r>
    </w:p>
    <w:p w14:paraId="4AEE85C6" w14:textId="77777777" w:rsidR="00E93F58" w:rsidRPr="00283424" w:rsidRDefault="00E93F58" w:rsidP="00B50726">
      <w:pPr>
        <w:pStyle w:val="subsection"/>
      </w:pPr>
      <w:r w:rsidRPr="00283424">
        <w:tab/>
        <w:t>(7)</w:t>
      </w:r>
      <w:r w:rsidRPr="00283424">
        <w:tab/>
        <w:t>If the Product Disclosure Statement applies, adopts or incorporates a matter, the information dealing with the matter is taken to have been given to a person on the day on which the product is acquired.</w:t>
      </w:r>
    </w:p>
    <w:p w14:paraId="3B8EEC93" w14:textId="77777777" w:rsidR="00E93F58" w:rsidRPr="00283424" w:rsidRDefault="00E93F58" w:rsidP="00B50726">
      <w:pPr>
        <w:pStyle w:val="ActHead5"/>
      </w:pPr>
      <w:bookmarkStart w:id="1632" w:name="_Toc152054792"/>
      <w:bookmarkStart w:id="1633" w:name="_Toc158712608"/>
      <w:r w:rsidRPr="006F296E">
        <w:rPr>
          <w:rStyle w:val="CharSectno"/>
        </w:rPr>
        <w:t>7.9.11ZG</w:t>
      </w:r>
      <w:r w:rsidRPr="00283424">
        <w:t xml:space="preserve">  Retention of copies of Product Disclosure Statement for simple sub</w:t>
      </w:r>
      <w:r>
        <w:noBreakHyphen/>
      </w:r>
      <w:r w:rsidRPr="00283424">
        <w:t>fund products</w:t>
      </w:r>
      <w:bookmarkEnd w:id="1632"/>
      <w:bookmarkEnd w:id="1633"/>
    </w:p>
    <w:p w14:paraId="75168F9A" w14:textId="77777777" w:rsidR="00E93F58" w:rsidRPr="00283424" w:rsidRDefault="00E93F58" w:rsidP="00B50726">
      <w:pPr>
        <w:pStyle w:val="subsection"/>
      </w:pPr>
      <w:r w:rsidRPr="00283424">
        <w:tab/>
        <w:t>(1)</w:t>
      </w:r>
      <w:r w:rsidRPr="00283424">
        <w:tab/>
        <w:t>The responsible person for a Product Disclosure Statement for a simple sub</w:t>
      </w:r>
      <w:r>
        <w:noBreakHyphen/>
      </w:r>
      <w:r w:rsidRPr="00283424">
        <w:t>fund product to which this Subdivision applies must retain a copy of each version of the Statement that the responsible person issues for a period of 7 years starting on the day on which the version is prepared.</w:t>
      </w:r>
    </w:p>
    <w:p w14:paraId="7D8FFCBB" w14:textId="77777777" w:rsidR="00E93F58" w:rsidRPr="00283424" w:rsidRDefault="00E93F58" w:rsidP="00B50726">
      <w:pPr>
        <w:pStyle w:val="subsection"/>
      </w:pPr>
      <w:r w:rsidRPr="00283424">
        <w:tab/>
        <w:t>(2)</w:t>
      </w:r>
      <w:r w:rsidRPr="00283424">
        <w:tab/>
        <w:t>The responsible person for the Product Disclosure Statement must retain a copy of the document from which a matter is applied, adopted or incorporated by the Statement as mentioned in paragraph 7.9.11ZF(3)(c) for a period of 7 years commencing on the day on which the Statement is prepared.</w:t>
      </w:r>
    </w:p>
    <w:p w14:paraId="17DF8075" w14:textId="77777777" w:rsidR="00E93F58" w:rsidRPr="00283424" w:rsidRDefault="00E93F58" w:rsidP="00B50726">
      <w:pPr>
        <w:pStyle w:val="subsection"/>
      </w:pPr>
      <w:r w:rsidRPr="00283424">
        <w:tab/>
        <w:t>(3)</w:t>
      </w:r>
      <w:r w:rsidRPr="00283424">
        <w:tab/>
        <w:t>If a document from which a matter is adopted, applied or incorporated by the Product Disclosure Statement as mentioned in paragraph 7.9.11ZF(3)(c) is changed in a way that changes the description of, or reference to, the matter, the responsible person for the Statement must retain a copy of the document for a period of 7 years commencing on the day on which the document is changed.</w:t>
      </w:r>
    </w:p>
    <w:p w14:paraId="744FB8FB" w14:textId="77777777" w:rsidR="00E93F58" w:rsidRPr="00283424" w:rsidRDefault="00E93F58" w:rsidP="00B50726">
      <w:pPr>
        <w:pStyle w:val="ActHead5"/>
      </w:pPr>
      <w:bookmarkStart w:id="1634" w:name="_Toc152054793"/>
      <w:bookmarkStart w:id="1635" w:name="_Toc158712609"/>
      <w:r w:rsidRPr="006F296E">
        <w:rPr>
          <w:rStyle w:val="CharSectno"/>
        </w:rPr>
        <w:lastRenderedPageBreak/>
        <w:t>7.9.11ZH</w:t>
      </w:r>
      <w:r w:rsidRPr="00283424">
        <w:t xml:space="preserve">  Requirement to provide copy of Product Disclosure Statement for simple sub</w:t>
      </w:r>
      <w:r>
        <w:noBreakHyphen/>
      </w:r>
      <w:r w:rsidRPr="00283424">
        <w:t>fund products free of charge</w:t>
      </w:r>
      <w:bookmarkEnd w:id="1634"/>
      <w:bookmarkEnd w:id="1635"/>
    </w:p>
    <w:p w14:paraId="31786308" w14:textId="77777777" w:rsidR="00E93F58" w:rsidRPr="00283424" w:rsidRDefault="00E93F58" w:rsidP="00B50726">
      <w:pPr>
        <w:pStyle w:val="subsection"/>
      </w:pPr>
      <w:r w:rsidRPr="00283424">
        <w:tab/>
        <w:t>(1)</w:t>
      </w:r>
      <w:r w:rsidRPr="00283424">
        <w:tab/>
        <w:t>For the purposes of paragraph 1015C(5)(a) of the Act, this regulation specifies requirements as to the manner in which a Product Disclosure Statement for a simple sub</w:t>
      </w:r>
      <w:r>
        <w:noBreakHyphen/>
      </w:r>
      <w:r w:rsidRPr="00283424">
        <w:t>fund product to which this Subdivision applies must be given to a person if the person requests a copy of the Statement.</w:t>
      </w:r>
    </w:p>
    <w:p w14:paraId="727BE878" w14:textId="77777777" w:rsidR="00E93F58" w:rsidRPr="00283424" w:rsidRDefault="00E93F58" w:rsidP="00B50726">
      <w:pPr>
        <w:pStyle w:val="subsection"/>
      </w:pPr>
      <w:r w:rsidRPr="00283424">
        <w:tab/>
        <w:t>(2)</w:t>
      </w:r>
      <w:r w:rsidRPr="00283424">
        <w:tab/>
        <w:t>The responsible person for the Product Disclosure Statement must give the person, free of charge:</w:t>
      </w:r>
    </w:p>
    <w:p w14:paraId="16923723" w14:textId="77777777" w:rsidR="00E93F58" w:rsidRPr="00283424" w:rsidRDefault="00E93F58" w:rsidP="00B50726">
      <w:pPr>
        <w:pStyle w:val="paragraph"/>
      </w:pPr>
      <w:r w:rsidRPr="00283424">
        <w:tab/>
        <w:t>(a)</w:t>
      </w:r>
      <w:r w:rsidRPr="00283424">
        <w:tab/>
        <w:t>a copy of the Statement within 8 business days; and</w:t>
      </w:r>
    </w:p>
    <w:p w14:paraId="0259F0CB" w14:textId="77777777" w:rsidR="00E93F58" w:rsidRPr="00283424" w:rsidRDefault="00E93F58" w:rsidP="00B50726">
      <w:pPr>
        <w:pStyle w:val="paragraph"/>
      </w:pPr>
      <w:r w:rsidRPr="00283424">
        <w:tab/>
        <w:t>(b)</w:t>
      </w:r>
      <w:r w:rsidRPr="00283424">
        <w:tab/>
        <w:t>a copy of a matter in writing that is applied, adopted or incorporated by the Statement within 8 business days.</w:t>
      </w:r>
    </w:p>
    <w:p w14:paraId="4F773C44" w14:textId="77777777" w:rsidR="00E93F58" w:rsidRPr="00283424" w:rsidRDefault="00E93F58" w:rsidP="00B50726">
      <w:pPr>
        <w:pStyle w:val="ActHead4"/>
        <w:keepNext w:val="0"/>
        <w:keepLines w:val="0"/>
      </w:pPr>
      <w:bookmarkStart w:id="1636" w:name="_Toc152054794"/>
      <w:bookmarkStart w:id="1637" w:name="_Toc158712610"/>
      <w:r w:rsidRPr="006F296E">
        <w:rPr>
          <w:rStyle w:val="CharSubdNo"/>
        </w:rPr>
        <w:t>Subdivision 4.3</w:t>
      </w:r>
      <w:r w:rsidRPr="00283424">
        <w:t>—</w:t>
      </w:r>
      <w:r w:rsidRPr="006F296E">
        <w:rPr>
          <w:rStyle w:val="CharSubdText"/>
        </w:rPr>
        <w:t>Other arrangements for Product Disclosure Statements and application forms</w:t>
      </w:r>
      <w:bookmarkEnd w:id="1636"/>
      <w:bookmarkEnd w:id="1637"/>
    </w:p>
    <w:p w14:paraId="2C4FD01A" w14:textId="77777777" w:rsidR="00E93F58" w:rsidRPr="00283424" w:rsidRDefault="00E93F58" w:rsidP="00B50726">
      <w:pPr>
        <w:pStyle w:val="ActHead5"/>
        <w:keepNext w:val="0"/>
        <w:keepLines w:val="0"/>
      </w:pPr>
      <w:bookmarkStart w:id="1638" w:name="_Toc152054795"/>
      <w:bookmarkStart w:id="1639" w:name="_Toc158712611"/>
      <w:r w:rsidRPr="006F296E">
        <w:rPr>
          <w:rStyle w:val="CharSectno"/>
        </w:rPr>
        <w:t>7.9.12</w:t>
      </w:r>
      <w:r w:rsidRPr="00283424">
        <w:rPr>
          <w:sz w:val="16"/>
        </w:rPr>
        <w:t xml:space="preserve">  </w:t>
      </w:r>
      <w:r w:rsidRPr="00283424">
        <w:t>Modification of Act: Product Disclosure Statements and application forms for standard employer</w:t>
      </w:r>
      <w:r>
        <w:noBreakHyphen/>
      </w:r>
      <w:r w:rsidRPr="00283424">
        <w:t>sponsors and successor funds</w:t>
      </w:r>
      <w:bookmarkEnd w:id="1638"/>
      <w:bookmarkEnd w:id="1639"/>
    </w:p>
    <w:p w14:paraId="0CEF464C" w14:textId="77777777" w:rsidR="00E93F58" w:rsidRPr="00283424" w:rsidRDefault="00E93F58" w:rsidP="00B50726">
      <w:pPr>
        <w:pStyle w:val="subsection"/>
      </w:pPr>
      <w:r w:rsidRPr="00283424">
        <w:tab/>
      </w:r>
      <w:r w:rsidRPr="00283424">
        <w:tab/>
        <w:t>For paragraph 1020G(1)(c)</w:t>
      </w:r>
      <w:r w:rsidRPr="00283424">
        <w:rPr>
          <w:color w:val="000000"/>
        </w:rPr>
        <w:t xml:space="preserve"> of the Act, Part 7.9 of the Act is modified in its application in relation to superannuation products and </w:t>
      </w:r>
      <w:r w:rsidRPr="00BE1284">
        <w:t>RSAs</w:t>
      </w:r>
      <w:r w:rsidRPr="00283424">
        <w:rPr>
          <w:color w:val="000000"/>
        </w:rPr>
        <w:t xml:space="preserve"> as set out in Part 6 of Schedule 10A.</w:t>
      </w:r>
    </w:p>
    <w:p w14:paraId="526884B6" w14:textId="77777777" w:rsidR="00E93F58" w:rsidRPr="00283424" w:rsidRDefault="00E93F58" w:rsidP="00B50726">
      <w:pPr>
        <w:pStyle w:val="ActHead5"/>
      </w:pPr>
      <w:bookmarkStart w:id="1640" w:name="_Toc152054796"/>
      <w:bookmarkStart w:id="1641" w:name="_Toc158712612"/>
      <w:r w:rsidRPr="006F296E">
        <w:rPr>
          <w:rStyle w:val="CharSectno"/>
        </w:rPr>
        <w:t>7.9.13</w:t>
      </w:r>
      <w:r w:rsidRPr="00283424">
        <w:rPr>
          <w:sz w:val="16"/>
        </w:rPr>
        <w:t xml:space="preserve">  </w:t>
      </w:r>
      <w:r w:rsidRPr="00283424">
        <w:t>Offer of superannuation interest without application or eligible application</w:t>
      </w:r>
      <w:bookmarkEnd w:id="1640"/>
      <w:bookmarkEnd w:id="1641"/>
    </w:p>
    <w:p w14:paraId="0EB80F50" w14:textId="77777777" w:rsidR="00E93F58" w:rsidRPr="00283424" w:rsidRDefault="00E93F58" w:rsidP="00B50726">
      <w:pPr>
        <w:pStyle w:val="subsection"/>
        <w:keepNext/>
        <w:keepLines/>
        <w:rPr>
          <w:color w:val="000000"/>
        </w:rPr>
      </w:pPr>
      <w:r w:rsidRPr="00283424">
        <w:rPr>
          <w:color w:val="000000"/>
        </w:rPr>
        <w:tab/>
        <w:t>(1)</w:t>
      </w:r>
      <w:r w:rsidRPr="00283424">
        <w:rPr>
          <w:color w:val="000000"/>
        </w:rPr>
        <w:tab/>
        <w:t>For paragraph 1016A(4)(a) of the Act, if a trustee of a public offer entity issues a superannuation interest in the entity to a person without first receiving an application, or an eligible application, the trustee is taken not to have contravened section 1016A of the Act if:</w:t>
      </w:r>
    </w:p>
    <w:p w14:paraId="463037B2" w14:textId="77777777" w:rsidR="00E93F58" w:rsidRPr="00283424" w:rsidRDefault="00E93F58" w:rsidP="00B50726">
      <w:pPr>
        <w:pStyle w:val="paragraph"/>
      </w:pPr>
      <w:r w:rsidRPr="00283424">
        <w:rPr>
          <w:color w:val="000000"/>
        </w:rPr>
        <w:tab/>
        <w:t>(a)</w:t>
      </w:r>
      <w:r w:rsidRPr="00283424">
        <w:rPr>
          <w:color w:val="000000"/>
        </w:rPr>
        <w:tab/>
        <w:t>the entity is a standard employer</w:t>
      </w:r>
      <w:r>
        <w:rPr>
          <w:color w:val="000000"/>
        </w:rPr>
        <w:noBreakHyphen/>
      </w:r>
      <w:r w:rsidRPr="00283424">
        <w:rPr>
          <w:color w:val="000000"/>
        </w:rPr>
        <w:t>sponsored fund; and</w:t>
      </w:r>
    </w:p>
    <w:p w14:paraId="42D57404" w14:textId="77777777" w:rsidR="00E93F58" w:rsidRPr="00283424" w:rsidRDefault="00E93F58" w:rsidP="00B50726">
      <w:pPr>
        <w:pStyle w:val="paragraph"/>
      </w:pPr>
      <w:r w:rsidRPr="00283424">
        <w:tab/>
        <w:t>(b)</w:t>
      </w:r>
      <w:r w:rsidRPr="00283424">
        <w:tab/>
        <w:t>the person holds the interest as a standard employer</w:t>
      </w:r>
      <w:r>
        <w:noBreakHyphen/>
      </w:r>
      <w:r w:rsidRPr="00283424">
        <w:t>sponsored member of the entity; and</w:t>
      </w:r>
    </w:p>
    <w:p w14:paraId="11D09AD1" w14:textId="77777777" w:rsidR="00E93F58" w:rsidRPr="00283424" w:rsidRDefault="00E93F58" w:rsidP="00B50726">
      <w:pPr>
        <w:pStyle w:val="paragraph"/>
      </w:pPr>
      <w:r w:rsidRPr="00283424">
        <w:tab/>
        <w:t>(c)</w:t>
      </w:r>
      <w:r w:rsidRPr="00283424">
        <w:tab/>
        <w:t>after issuing the interest, the trustee makes reasonable efforts:</w:t>
      </w:r>
    </w:p>
    <w:p w14:paraId="0AD003D8" w14:textId="77777777" w:rsidR="00E93F58" w:rsidRPr="00283424" w:rsidRDefault="00E93F58" w:rsidP="00B50726">
      <w:pPr>
        <w:pStyle w:val="paragraphsub"/>
      </w:pPr>
      <w:r w:rsidRPr="00283424">
        <w:rPr>
          <w:color w:val="000000"/>
        </w:rPr>
        <w:tab/>
        <w:t>(i)</w:t>
      </w:r>
      <w:r w:rsidRPr="00283424">
        <w:rPr>
          <w:color w:val="000000"/>
        </w:rPr>
        <w:tab/>
        <w:t xml:space="preserve">to obtain an application or eligible application </w:t>
      </w:r>
      <w:r w:rsidRPr="00283424">
        <w:t>(as the case requires under paragraph 1016A(2)(b) or (c) of the Act)</w:t>
      </w:r>
      <w:r w:rsidRPr="00283424">
        <w:rPr>
          <w:color w:val="000000"/>
        </w:rPr>
        <w:t xml:space="preserve"> from the person’s standard employer</w:t>
      </w:r>
      <w:r>
        <w:rPr>
          <w:color w:val="000000"/>
        </w:rPr>
        <w:noBreakHyphen/>
      </w:r>
      <w:r w:rsidRPr="00283424">
        <w:rPr>
          <w:color w:val="000000"/>
        </w:rPr>
        <w:t>sponsor; or</w:t>
      </w:r>
    </w:p>
    <w:p w14:paraId="6930269F" w14:textId="77777777" w:rsidR="00E93F58" w:rsidRPr="00283424" w:rsidRDefault="00E93F58" w:rsidP="00B50726">
      <w:pPr>
        <w:pStyle w:val="paragraphsub"/>
      </w:pPr>
      <w:r w:rsidRPr="00283424">
        <w:tab/>
        <w:t>(ii)</w:t>
      </w:r>
      <w:r w:rsidRPr="00283424">
        <w:tab/>
        <w:t>to obtain an eligible application mentioned in paragraph 1016A(2)(a) of the Act from the person; and</w:t>
      </w:r>
    </w:p>
    <w:p w14:paraId="77468198" w14:textId="77777777" w:rsidR="00E93F58" w:rsidRPr="00283424" w:rsidRDefault="00E93F58" w:rsidP="00B50726">
      <w:pPr>
        <w:pStyle w:val="paragraph"/>
      </w:pPr>
      <w:r w:rsidRPr="00283424">
        <w:rPr>
          <w:color w:val="000000"/>
        </w:rPr>
        <w:tab/>
        <w:t>(d)</w:t>
      </w:r>
      <w:r w:rsidRPr="00283424">
        <w:rPr>
          <w:color w:val="000000"/>
        </w:rPr>
        <w:tab/>
        <w:t>if the trustee has not obtained the application or eligible application within 90 days after issuing the interest, the trustee does not accept any more contributions from the standard employer</w:t>
      </w:r>
      <w:r>
        <w:rPr>
          <w:color w:val="000000"/>
        </w:rPr>
        <w:noBreakHyphen/>
      </w:r>
      <w:r w:rsidRPr="00283424">
        <w:rPr>
          <w:color w:val="000000"/>
        </w:rPr>
        <w:t>sponsor in respect of the person until the trustee receives the application or eligible application.</w:t>
      </w:r>
    </w:p>
    <w:p w14:paraId="66E68A45" w14:textId="77777777" w:rsidR="00E93F58" w:rsidRPr="00283424" w:rsidRDefault="00E93F58" w:rsidP="00B50726">
      <w:pPr>
        <w:pStyle w:val="subsection"/>
      </w:pPr>
      <w:r w:rsidRPr="00283424">
        <w:rPr>
          <w:color w:val="000000"/>
        </w:rPr>
        <w:tab/>
        <w:t>(2)</w:t>
      </w:r>
      <w:r w:rsidRPr="00283424">
        <w:rPr>
          <w:color w:val="000000"/>
        </w:rPr>
        <w:tab/>
        <w:t>For paragraph 1016A(4)(b) of the Act, if a trustee has not obtained the application or eligible application under subregulation (1) within 90 days after issuing the interest, the trustee must not intentionally or recklessly accept any more contributions from the standard employer</w:t>
      </w:r>
      <w:r>
        <w:rPr>
          <w:color w:val="000000"/>
        </w:rPr>
        <w:noBreakHyphen/>
      </w:r>
      <w:r w:rsidRPr="00283424">
        <w:rPr>
          <w:color w:val="000000"/>
        </w:rPr>
        <w:t>sponsor in respect of the person until the trustee receives the application or eligible application.</w:t>
      </w:r>
    </w:p>
    <w:p w14:paraId="35536231" w14:textId="77777777" w:rsidR="00E93F58" w:rsidRPr="00283424" w:rsidRDefault="00E93F58" w:rsidP="00B50726">
      <w:pPr>
        <w:pStyle w:val="Penalty"/>
      </w:pPr>
      <w:r w:rsidRPr="00283424">
        <w:t>Penalty:</w:t>
      </w:r>
    </w:p>
    <w:p w14:paraId="5AEAC592" w14:textId="77777777" w:rsidR="00E93F58" w:rsidRPr="00283424" w:rsidRDefault="00E93F58" w:rsidP="00B50726">
      <w:pPr>
        <w:pStyle w:val="paragraph"/>
      </w:pPr>
      <w:r w:rsidRPr="00283424">
        <w:tab/>
        <w:t>(a)</w:t>
      </w:r>
      <w:r w:rsidRPr="00283424">
        <w:tab/>
        <w:t>for an individual—50 penalty units; and</w:t>
      </w:r>
    </w:p>
    <w:p w14:paraId="7BAA4EB9" w14:textId="77777777" w:rsidR="00E93F58" w:rsidRPr="00283424" w:rsidRDefault="00E93F58" w:rsidP="00B50726">
      <w:pPr>
        <w:pStyle w:val="paragraph"/>
      </w:pPr>
      <w:r w:rsidRPr="00283424">
        <w:tab/>
        <w:t>(b)</w:t>
      </w:r>
      <w:r w:rsidRPr="00283424">
        <w:tab/>
        <w:t>for a body corporate—500 penalty units.</w:t>
      </w:r>
    </w:p>
    <w:p w14:paraId="4F9B037F" w14:textId="77777777" w:rsidR="00E93F58" w:rsidRPr="00283424" w:rsidRDefault="00E93F58" w:rsidP="00B50726">
      <w:pPr>
        <w:pStyle w:val="subsection"/>
      </w:pPr>
      <w:r w:rsidRPr="00283424">
        <w:rPr>
          <w:color w:val="000000"/>
        </w:rPr>
        <w:tab/>
        <w:t>(3)</w:t>
      </w:r>
      <w:r w:rsidRPr="00283424">
        <w:rPr>
          <w:color w:val="000000"/>
        </w:rPr>
        <w:tab/>
        <w:t>Subregulation (2) does not apply if the person has a reasonable excuse.</w:t>
      </w:r>
    </w:p>
    <w:p w14:paraId="08E1F562" w14:textId="77777777" w:rsidR="00E93F58" w:rsidRPr="00283424" w:rsidRDefault="00E93F58" w:rsidP="00B50726">
      <w:pPr>
        <w:pStyle w:val="notetext"/>
      </w:pPr>
      <w:r w:rsidRPr="00283424">
        <w:rPr>
          <w:color w:val="000000"/>
        </w:rPr>
        <w:t>Note:</w:t>
      </w:r>
      <w:r w:rsidRPr="00283424">
        <w:rPr>
          <w:color w:val="000000"/>
        </w:rPr>
        <w:tab/>
        <w:t xml:space="preserve">A defendant bears an evidential burden in relation to the matter in subregulation (2) (see subsection 13.3(3) of the </w:t>
      </w:r>
      <w:r w:rsidRPr="00283424">
        <w:rPr>
          <w:i/>
          <w:color w:val="000000"/>
        </w:rPr>
        <w:t>Criminal Code</w:t>
      </w:r>
      <w:r w:rsidRPr="00283424">
        <w:rPr>
          <w:color w:val="000000"/>
        </w:rPr>
        <w:t>).</w:t>
      </w:r>
    </w:p>
    <w:p w14:paraId="5F8F66B3" w14:textId="77777777" w:rsidR="00E93F58" w:rsidRPr="00283424" w:rsidRDefault="00E93F58" w:rsidP="00B50726">
      <w:pPr>
        <w:pStyle w:val="subsection"/>
        <w:keepNext/>
        <w:keepLines/>
      </w:pPr>
      <w:r w:rsidRPr="00283424">
        <w:rPr>
          <w:color w:val="000000"/>
        </w:rPr>
        <w:tab/>
        <w:t>(4)</w:t>
      </w:r>
      <w:r w:rsidRPr="00283424">
        <w:rPr>
          <w:color w:val="000000"/>
        </w:rPr>
        <w:tab/>
        <w:t>Strict liability applies to subregulation (2).</w:t>
      </w:r>
    </w:p>
    <w:p w14:paraId="1B63C06A" w14:textId="77777777" w:rsidR="00E93F58" w:rsidRPr="00283424" w:rsidRDefault="00E93F58" w:rsidP="00B50726">
      <w:pPr>
        <w:pStyle w:val="notetext"/>
      </w:pPr>
      <w:r w:rsidRPr="00283424">
        <w:t>Note:</w:t>
      </w:r>
      <w:r w:rsidRPr="00283424">
        <w:tab/>
        <w:t xml:space="preserve">For </w:t>
      </w:r>
      <w:r w:rsidRPr="00283424">
        <w:rPr>
          <w:b/>
          <w:i/>
        </w:rPr>
        <w:t>strict liability</w:t>
      </w:r>
      <w:r w:rsidRPr="00283424">
        <w:t xml:space="preserve">, see section 6.1 of the </w:t>
      </w:r>
      <w:r w:rsidRPr="00283424">
        <w:rPr>
          <w:i/>
        </w:rPr>
        <w:t>Criminal Code</w:t>
      </w:r>
      <w:r w:rsidRPr="00283424">
        <w:t>.</w:t>
      </w:r>
    </w:p>
    <w:p w14:paraId="5CD95EC0" w14:textId="77777777" w:rsidR="00E93F58" w:rsidRPr="00283424" w:rsidRDefault="00E93F58" w:rsidP="00B50726">
      <w:pPr>
        <w:pStyle w:val="ActHead5"/>
      </w:pPr>
      <w:bookmarkStart w:id="1642" w:name="_Toc152054797"/>
      <w:bookmarkStart w:id="1643" w:name="_Toc158712613"/>
      <w:r w:rsidRPr="006F296E">
        <w:rPr>
          <w:rStyle w:val="CharSectno"/>
        </w:rPr>
        <w:t>7.9.14</w:t>
      </w:r>
      <w:r w:rsidRPr="00283424">
        <w:t xml:space="preserve">  Remedies for person acquiring financial product </w:t>
      </w:r>
      <w:r w:rsidRPr="00283424">
        <w:rPr>
          <w:bCs/>
        </w:rPr>
        <w:t>under defective Product Disclosure Statement</w:t>
      </w:r>
      <w:r w:rsidRPr="00283424">
        <w:t>: superannuation and RSAs</w:t>
      </w:r>
      <w:bookmarkEnd w:id="1642"/>
      <w:bookmarkEnd w:id="1643"/>
    </w:p>
    <w:p w14:paraId="1A14C717" w14:textId="77777777" w:rsidR="00E93F58" w:rsidRPr="00283424" w:rsidRDefault="00E93F58" w:rsidP="00B50726">
      <w:pPr>
        <w:pStyle w:val="subsection"/>
      </w:pPr>
      <w:r w:rsidRPr="00283424">
        <w:tab/>
        <w:t>(1)</w:t>
      </w:r>
      <w:r w:rsidRPr="00283424">
        <w:tab/>
        <w:t>This regulation applies to a financial product:</w:t>
      </w:r>
    </w:p>
    <w:p w14:paraId="2A2680F1" w14:textId="77777777" w:rsidR="00E93F58" w:rsidRPr="00283424" w:rsidRDefault="00E93F58" w:rsidP="00B50726">
      <w:pPr>
        <w:pStyle w:val="paragraph"/>
      </w:pPr>
      <w:r w:rsidRPr="00283424">
        <w:tab/>
        <w:t>(a)</w:t>
      </w:r>
      <w:r w:rsidRPr="00283424">
        <w:tab/>
        <w:t>that is:</w:t>
      </w:r>
    </w:p>
    <w:p w14:paraId="222D713F" w14:textId="77777777" w:rsidR="00E93F58" w:rsidRPr="00283424" w:rsidRDefault="00E93F58" w:rsidP="00B50726">
      <w:pPr>
        <w:pStyle w:val="paragraphsub"/>
        <w:rPr>
          <w:color w:val="000000"/>
        </w:rPr>
      </w:pPr>
      <w:r w:rsidRPr="00283424">
        <w:rPr>
          <w:color w:val="000000"/>
        </w:rPr>
        <w:tab/>
        <w:t>(i)</w:t>
      </w:r>
      <w:r w:rsidRPr="00283424">
        <w:rPr>
          <w:color w:val="000000"/>
        </w:rPr>
        <w:tab/>
        <w:t>a superannuation product to which requirements of the SIS Act relating to preservation rules and cashing restrictions apply; or</w:t>
      </w:r>
    </w:p>
    <w:p w14:paraId="445E539B" w14:textId="77777777" w:rsidR="00E93F58" w:rsidRPr="00283424" w:rsidRDefault="00E93F58" w:rsidP="00B50726">
      <w:pPr>
        <w:pStyle w:val="paragraphsub"/>
      </w:pPr>
      <w:r w:rsidRPr="00283424">
        <w:tab/>
        <w:t>(ii)</w:t>
      </w:r>
      <w:r w:rsidRPr="00283424">
        <w:tab/>
        <w:t xml:space="preserve">an </w:t>
      </w:r>
      <w:r w:rsidRPr="00BE1284">
        <w:t>RSA</w:t>
      </w:r>
      <w:r w:rsidRPr="00283424">
        <w:t xml:space="preserve"> to which requirements of the RSA Regulations relating to preservation rules and cashing restrictions apply; and</w:t>
      </w:r>
    </w:p>
    <w:p w14:paraId="71BA335A" w14:textId="77777777" w:rsidR="00E93F58" w:rsidRPr="00283424" w:rsidRDefault="00E93F58" w:rsidP="00B50726">
      <w:pPr>
        <w:pStyle w:val="paragraph"/>
      </w:pPr>
      <w:r w:rsidRPr="00283424">
        <w:rPr>
          <w:color w:val="000000"/>
        </w:rPr>
        <w:lastRenderedPageBreak/>
        <w:tab/>
        <w:t>(b)</w:t>
      </w:r>
      <w:r w:rsidRPr="00283424">
        <w:rPr>
          <w:color w:val="000000"/>
        </w:rPr>
        <w:tab/>
        <w:t>that has been issued or sold in contravention of section 1016E of the Act.</w:t>
      </w:r>
    </w:p>
    <w:p w14:paraId="0F50FFEE" w14:textId="77777777" w:rsidR="00E93F58" w:rsidRPr="00283424" w:rsidRDefault="00E93F58" w:rsidP="00B50726">
      <w:pPr>
        <w:pStyle w:val="subsection"/>
      </w:pPr>
      <w:r w:rsidRPr="00283424">
        <w:tab/>
        <w:t>(2)</w:t>
      </w:r>
      <w:r w:rsidRPr="00283424">
        <w:tab/>
        <w:t>For subsection 1016F(3) of the Act, to exercise a right of return for the financial product in circumstances in which the moneys paid to acquire the financial product are subject to the preservation rules and cashing restrictions, the client must:</w:t>
      </w:r>
    </w:p>
    <w:p w14:paraId="3177073B" w14:textId="77777777" w:rsidR="00E93F58" w:rsidRPr="00283424" w:rsidRDefault="00E93F58" w:rsidP="00B50726">
      <w:pPr>
        <w:pStyle w:val="paragraph"/>
      </w:pPr>
      <w:r w:rsidRPr="00283424">
        <w:rPr>
          <w:color w:val="000000"/>
        </w:rPr>
        <w:tab/>
        <w:t>(a)</w:t>
      </w:r>
      <w:r w:rsidRPr="00283424">
        <w:rPr>
          <w:color w:val="000000"/>
        </w:rPr>
        <w:tab/>
        <w:t xml:space="preserve">nominate a </w:t>
      </w:r>
      <w:r w:rsidRPr="00283424">
        <w:t>superannuation entity or</w:t>
      </w:r>
      <w:r w:rsidRPr="00283424">
        <w:rPr>
          <w:color w:val="000000"/>
        </w:rPr>
        <w:t xml:space="preserve"> RSA into which the </w:t>
      </w:r>
      <w:r w:rsidRPr="00283424">
        <w:t>monies</w:t>
      </w:r>
      <w:r w:rsidRPr="00283424">
        <w:rPr>
          <w:color w:val="000000"/>
        </w:rPr>
        <w:t xml:space="preserve"> subject to the preservation rules and cashing restrictions, and to which preservation conditions apply, are to be repaid; and</w:t>
      </w:r>
    </w:p>
    <w:p w14:paraId="3E5D3DFF" w14:textId="77777777" w:rsidR="00E93F58" w:rsidRPr="00283424" w:rsidRDefault="00E93F58" w:rsidP="00B50726">
      <w:pPr>
        <w:pStyle w:val="paragraph"/>
      </w:pPr>
      <w:r w:rsidRPr="00283424">
        <w:tab/>
        <w:t>(b)</w:t>
      </w:r>
      <w:r w:rsidRPr="00283424">
        <w:tab/>
        <w:t>make the nomination not later than 1 month after notifying the responsible person of the right to exercise the right of return.</w:t>
      </w:r>
    </w:p>
    <w:p w14:paraId="1A203821" w14:textId="77777777" w:rsidR="00E93F58" w:rsidRPr="00283424" w:rsidRDefault="00E93F58" w:rsidP="00B50726">
      <w:pPr>
        <w:pStyle w:val="subsection"/>
      </w:pPr>
      <w:r w:rsidRPr="00283424">
        <w:tab/>
        <w:t>(2A)</w:t>
      </w:r>
      <w:r w:rsidRPr="00283424">
        <w:tab/>
        <w:t>The right of return is taken to have been exercised only on receipt by the responsible person of the nomination.</w:t>
      </w:r>
    </w:p>
    <w:p w14:paraId="61161151" w14:textId="77777777" w:rsidR="00E93F58" w:rsidRPr="00283424" w:rsidRDefault="00E93F58" w:rsidP="00B50726">
      <w:pPr>
        <w:pStyle w:val="subsection"/>
        <w:rPr>
          <w:color w:val="000000"/>
        </w:rPr>
      </w:pPr>
      <w:r w:rsidRPr="00283424">
        <w:rPr>
          <w:color w:val="000000"/>
        </w:rPr>
        <w:tab/>
        <w:t>(3)</w:t>
      </w:r>
      <w:r w:rsidRPr="00283424">
        <w:rPr>
          <w:color w:val="000000"/>
        </w:rPr>
        <w:tab/>
        <w:t>The client must notify the responsible person in writing or by electronic means.</w:t>
      </w:r>
    </w:p>
    <w:p w14:paraId="26A34DA2" w14:textId="77777777" w:rsidR="00E93F58" w:rsidRPr="00283424" w:rsidRDefault="00E93F58" w:rsidP="00B50726">
      <w:pPr>
        <w:pStyle w:val="subsection"/>
        <w:rPr>
          <w:color w:val="000000"/>
        </w:rPr>
      </w:pPr>
      <w:r w:rsidRPr="00283424">
        <w:rPr>
          <w:color w:val="000000"/>
        </w:rPr>
        <w:tab/>
        <w:t>(4)</w:t>
      </w:r>
      <w:r w:rsidRPr="00283424">
        <w:rPr>
          <w:color w:val="000000"/>
        </w:rPr>
        <w:tab/>
        <w:t>For subsection 1016F(6) of the Act, the responsible person must repay the monies as directed.</w:t>
      </w:r>
    </w:p>
    <w:p w14:paraId="61E60755" w14:textId="77777777" w:rsidR="00E93F58" w:rsidRPr="00283424" w:rsidRDefault="00E93F58" w:rsidP="00B50726">
      <w:pPr>
        <w:pStyle w:val="subsection"/>
      </w:pPr>
      <w:r w:rsidRPr="00283424">
        <w:tab/>
        <w:t>(5)</w:t>
      </w:r>
      <w:r w:rsidRPr="00283424">
        <w:tab/>
        <w:t>For subsection 1019B(7) of the Act, if:</w:t>
      </w:r>
    </w:p>
    <w:p w14:paraId="50B42CA8" w14:textId="77777777" w:rsidR="00E93F58" w:rsidRPr="00283424" w:rsidRDefault="00E93F58" w:rsidP="00B50726">
      <w:pPr>
        <w:pStyle w:val="paragraph"/>
      </w:pPr>
      <w:r w:rsidRPr="00283424">
        <w:rPr>
          <w:color w:val="000000"/>
        </w:rPr>
        <w:tab/>
        <w:t>(a)</w:t>
      </w:r>
      <w:r w:rsidRPr="00283424">
        <w:rPr>
          <w:color w:val="000000"/>
        </w:rPr>
        <w:tab/>
        <w:t>a financial product mentioned in this regulation is subject to the nomination of a further superannuation entity or RSA; and</w:t>
      </w:r>
    </w:p>
    <w:p w14:paraId="2B220EA3" w14:textId="77777777" w:rsidR="00E93F58" w:rsidRPr="00283424" w:rsidRDefault="00E93F58" w:rsidP="00B50726">
      <w:pPr>
        <w:pStyle w:val="paragraph"/>
      </w:pPr>
      <w:r w:rsidRPr="00283424">
        <w:tab/>
        <w:t>(b)</w:t>
      </w:r>
      <w:r w:rsidRPr="00283424">
        <w:tab/>
        <w:t>the application in relation to the financial product is not accepted by the nominated superannuation entity or RSA;</w:t>
      </w:r>
    </w:p>
    <w:p w14:paraId="54984261" w14:textId="77777777" w:rsidR="00E93F58" w:rsidRPr="00283424" w:rsidRDefault="00E93F58" w:rsidP="00B50726">
      <w:pPr>
        <w:pStyle w:val="subsection2"/>
      </w:pPr>
      <w:r w:rsidRPr="00283424">
        <w:rPr>
          <w:color w:val="000000"/>
        </w:rPr>
        <w:t>the responsible person may rollover or transfer the client’s benefits to an eligible rollover fund.</w:t>
      </w:r>
    </w:p>
    <w:p w14:paraId="703761CC" w14:textId="77777777" w:rsidR="00E93F58" w:rsidRPr="00283424" w:rsidRDefault="00E93F58" w:rsidP="00B50726">
      <w:pPr>
        <w:pStyle w:val="ActHead5"/>
      </w:pPr>
      <w:bookmarkStart w:id="1644" w:name="_Toc152054798"/>
      <w:bookmarkStart w:id="1645" w:name="_Toc158712614"/>
      <w:r w:rsidRPr="006F296E">
        <w:rPr>
          <w:rStyle w:val="CharSectno"/>
        </w:rPr>
        <w:t>7.9.14A</w:t>
      </w:r>
      <w:r w:rsidRPr="00283424">
        <w:t xml:space="preserve">  Treatment of arrangements under which a person can instruct another person to acquire a financial product</w:t>
      </w:r>
      <w:bookmarkEnd w:id="1644"/>
      <w:bookmarkEnd w:id="1645"/>
    </w:p>
    <w:p w14:paraId="17AFB1CB" w14:textId="77777777" w:rsidR="00E93F58" w:rsidRPr="00283424" w:rsidRDefault="00E93F58" w:rsidP="00B50726">
      <w:pPr>
        <w:pStyle w:val="subsection"/>
      </w:pPr>
      <w:r w:rsidRPr="00283424">
        <w:rPr>
          <w:snapToGrid w:val="0"/>
        </w:rPr>
        <w:tab/>
      </w:r>
      <w:r w:rsidRPr="00283424">
        <w:rPr>
          <w:snapToGrid w:val="0"/>
        </w:rPr>
        <w:tab/>
        <w:t xml:space="preserve">For paragraph 1020G(1)(c) of the Act, Part 7.9 of the Act applies as if the definition of </w:t>
      </w:r>
      <w:r w:rsidRPr="00283424">
        <w:rPr>
          <w:b/>
          <w:i/>
          <w:snapToGrid w:val="0"/>
        </w:rPr>
        <w:t>instruction</w:t>
      </w:r>
      <w:r w:rsidRPr="00283424">
        <w:rPr>
          <w:snapToGrid w:val="0"/>
        </w:rPr>
        <w:t xml:space="preserve"> in subsection 1012IA(1) of the Act were modified by adding at the end ‘, </w:t>
      </w:r>
      <w:r w:rsidRPr="00283424">
        <w:t xml:space="preserve">including a direction to follow an investment strategy mentioned in paragraph 52(4)(a) of the </w:t>
      </w:r>
      <w:r w:rsidRPr="00283424">
        <w:rPr>
          <w:i/>
        </w:rPr>
        <w:t>Superannuation Industry (Supervision) Act 1993</w:t>
      </w:r>
      <w:r w:rsidRPr="00283424">
        <w:t>’.</w:t>
      </w:r>
    </w:p>
    <w:p w14:paraId="4A4474C3" w14:textId="77777777" w:rsidR="00E93F58" w:rsidRPr="00283424" w:rsidRDefault="00E93F58" w:rsidP="00B50726">
      <w:pPr>
        <w:pStyle w:val="ActHead4"/>
      </w:pPr>
      <w:bookmarkStart w:id="1646" w:name="_Toc152054799"/>
      <w:bookmarkStart w:id="1647" w:name="_Toc158712615"/>
      <w:r w:rsidRPr="006F296E">
        <w:rPr>
          <w:rStyle w:val="CharSubdNo"/>
        </w:rPr>
        <w:t>Subdivision 4.4</w:t>
      </w:r>
      <w:r w:rsidRPr="00283424">
        <w:t>—</w:t>
      </w:r>
      <w:r w:rsidRPr="006F296E">
        <w:rPr>
          <w:rStyle w:val="CharSubdText"/>
        </w:rPr>
        <w:t>Product information for certain insurance products</w:t>
      </w:r>
      <w:bookmarkEnd w:id="1646"/>
      <w:bookmarkEnd w:id="1647"/>
    </w:p>
    <w:p w14:paraId="3F4049A3" w14:textId="77777777" w:rsidR="00E93F58" w:rsidRPr="00283424" w:rsidRDefault="00E93F58" w:rsidP="00B50726">
      <w:pPr>
        <w:pStyle w:val="ActHead5"/>
      </w:pPr>
      <w:bookmarkStart w:id="1648" w:name="_Toc152054800"/>
      <w:bookmarkStart w:id="1649" w:name="_Toc158712616"/>
      <w:r w:rsidRPr="006F296E">
        <w:rPr>
          <w:rStyle w:val="CharSectno"/>
        </w:rPr>
        <w:t>7.9.14B</w:t>
      </w:r>
      <w:r w:rsidRPr="00283424">
        <w:t xml:space="preserve">  Product information</w:t>
      </w:r>
      <w:bookmarkEnd w:id="1648"/>
      <w:bookmarkEnd w:id="1649"/>
    </w:p>
    <w:p w14:paraId="2055C22A" w14:textId="77777777" w:rsidR="00E93F58" w:rsidRPr="00283424" w:rsidRDefault="00E93F58" w:rsidP="00B50726">
      <w:pPr>
        <w:pStyle w:val="subsection"/>
      </w:pPr>
      <w:r w:rsidRPr="00283424">
        <w:tab/>
      </w:r>
      <w:r w:rsidRPr="00283424">
        <w:tab/>
        <w:t>For paragraph 1020G(1)(c) of the Act, Part 7.9 of the Act is modified in its application in relation to financial products as if:</w:t>
      </w:r>
    </w:p>
    <w:p w14:paraId="150697D5" w14:textId="77777777" w:rsidR="00E93F58" w:rsidRPr="00283424" w:rsidRDefault="00E93F58" w:rsidP="00B50726">
      <w:pPr>
        <w:pStyle w:val="paragraph"/>
      </w:pPr>
      <w:r w:rsidRPr="00283424">
        <w:tab/>
        <w:t>(a)</w:t>
      </w:r>
      <w:r w:rsidRPr="00283424">
        <w:tab/>
        <w:t>that Part applied to a financial product mentioned in paragraph 7.1.14(2)(d); and</w:t>
      </w:r>
    </w:p>
    <w:p w14:paraId="38FB804D" w14:textId="77777777" w:rsidR="00E93F58" w:rsidRPr="00283424" w:rsidRDefault="00E93F58" w:rsidP="00B50726">
      <w:pPr>
        <w:pStyle w:val="paragraph"/>
      </w:pPr>
      <w:r w:rsidRPr="00283424">
        <w:tab/>
        <w:t>(b)</w:t>
      </w:r>
      <w:r w:rsidRPr="00283424">
        <w:tab/>
        <w:t>the following section were inserted after section 1019B of the Act:</w:t>
      </w:r>
    </w:p>
    <w:p w14:paraId="2375CD1C" w14:textId="77777777" w:rsidR="00E93F58" w:rsidRPr="00283424" w:rsidRDefault="00E93F58" w:rsidP="00B50726">
      <w:pPr>
        <w:pStyle w:val="Specials"/>
      </w:pPr>
      <w:r w:rsidRPr="00283424">
        <w:t>‘1019C  Information about certain vehicle insurance</w:t>
      </w:r>
    </w:p>
    <w:p w14:paraId="794A7B6B" w14:textId="77777777" w:rsidR="00E93F58" w:rsidRPr="00283424" w:rsidRDefault="00E93F58" w:rsidP="00B50726">
      <w:pPr>
        <w:pStyle w:val="paragraph"/>
      </w:pPr>
      <w:r w:rsidRPr="00283424">
        <w:tab/>
        <w:t>(1)</w:t>
      </w:r>
      <w:r w:rsidRPr="00283424">
        <w:tab/>
        <w:t xml:space="preserve">This section applies in relation to the issue of a financial product mentioned in paragraph 7.1.14(2)(d) of the </w:t>
      </w:r>
      <w:r w:rsidRPr="00283424">
        <w:rPr>
          <w:i/>
        </w:rPr>
        <w:t xml:space="preserve">Corporations </w:t>
      </w:r>
      <w:r>
        <w:rPr>
          <w:i/>
        </w:rPr>
        <w:t>Regulations 2</w:t>
      </w:r>
      <w:r w:rsidRPr="00283424">
        <w:rPr>
          <w:i/>
        </w:rPr>
        <w:t>001</w:t>
      </w:r>
      <w:r w:rsidRPr="00283424">
        <w:t>.</w:t>
      </w:r>
    </w:p>
    <w:p w14:paraId="396DA651" w14:textId="77777777" w:rsidR="00E93F58" w:rsidRPr="00283424" w:rsidRDefault="00E93F58" w:rsidP="00B50726">
      <w:pPr>
        <w:pStyle w:val="paragraph"/>
      </w:pPr>
      <w:r w:rsidRPr="00283424">
        <w:tab/>
        <w:t>(2)</w:t>
      </w:r>
      <w:r w:rsidRPr="00283424">
        <w:tab/>
        <w:t>The product issuer of the financial product must, as soon as practicable after issuing the financial product, give the holder of the financial product a statement that contains the information mentioned in paragraphs 1013D(1)(a) and (b) unless:</w:t>
      </w:r>
    </w:p>
    <w:p w14:paraId="3E924160" w14:textId="77777777" w:rsidR="00E93F58" w:rsidRPr="00283424" w:rsidRDefault="00E93F58" w:rsidP="00B50726">
      <w:pPr>
        <w:pStyle w:val="paragraphsub"/>
      </w:pPr>
      <w:r w:rsidRPr="00283424">
        <w:tab/>
        <w:t>(a)</w:t>
      </w:r>
      <w:r w:rsidRPr="00283424">
        <w:tab/>
        <w:t>the product holder already has a statement containing that information; or</w:t>
      </w:r>
    </w:p>
    <w:p w14:paraId="0BE2D273" w14:textId="77777777" w:rsidR="00E93F58" w:rsidRPr="00283424" w:rsidRDefault="00E93F58" w:rsidP="00B50726">
      <w:pPr>
        <w:pStyle w:val="paragraphsub"/>
      </w:pPr>
      <w:r w:rsidRPr="00283424">
        <w:tab/>
        <w:t>(b)</w:t>
      </w:r>
      <w:r w:rsidRPr="00283424">
        <w:tab/>
        <w:t>the product issuer believes on reasonable grounds that the product holder has already received a statement containing that information.</w:t>
      </w:r>
    </w:p>
    <w:p w14:paraId="17B03FB3" w14:textId="77777777" w:rsidR="00E93F58" w:rsidRPr="00283424" w:rsidRDefault="00E93F58" w:rsidP="00B50726">
      <w:pPr>
        <w:pStyle w:val="paragraph"/>
      </w:pPr>
      <w:r w:rsidRPr="00283424">
        <w:tab/>
        <w:t>(3)</w:t>
      </w:r>
      <w:r w:rsidRPr="00283424">
        <w:tab/>
        <w:t>The product issuer must give the statement in the same way as a Product Disclosure Statement is to be given under subsection 1015C.</w:t>
      </w:r>
    </w:p>
    <w:p w14:paraId="5F887929" w14:textId="77777777" w:rsidR="00E93F58" w:rsidRPr="00283424" w:rsidRDefault="00E93F58" w:rsidP="00B50726">
      <w:pPr>
        <w:pStyle w:val="paragraph"/>
      </w:pPr>
      <w:r w:rsidRPr="00283424">
        <w:tab/>
        <w:t>(4)</w:t>
      </w:r>
      <w:r w:rsidRPr="00283424">
        <w:tab/>
        <w:t>The product issuer is not required to comply with any other requirements in Divisions 2 to 6 (inclusive) in relation to the issue of the financial product.</w:t>
      </w:r>
    </w:p>
    <w:p w14:paraId="119D1082" w14:textId="77777777" w:rsidR="00E93F58" w:rsidRPr="00283424" w:rsidRDefault="00E93F58" w:rsidP="00B50726">
      <w:pPr>
        <w:pStyle w:val="paragraph"/>
      </w:pPr>
      <w:r w:rsidRPr="00283424">
        <w:tab/>
        <w:t>(5)</w:t>
      </w:r>
      <w:r w:rsidRPr="00283424">
        <w:tab/>
        <w:t>The product issuer must not refuse, or intentionally or recklessly fail, to comply with subsections (2) and (3).</w:t>
      </w:r>
    </w:p>
    <w:p w14:paraId="518F134F" w14:textId="77777777" w:rsidR="00E93F58" w:rsidRPr="00283424" w:rsidRDefault="00E93F58" w:rsidP="00B50726">
      <w:pPr>
        <w:pStyle w:val="Penalty"/>
      </w:pPr>
      <w:r w:rsidRPr="00283424">
        <w:t>Penalty:</w:t>
      </w:r>
    </w:p>
    <w:p w14:paraId="78E48D7F" w14:textId="77777777" w:rsidR="00E93F58" w:rsidRPr="00283424" w:rsidRDefault="00E93F58" w:rsidP="00B50726">
      <w:pPr>
        <w:pStyle w:val="paragraph"/>
      </w:pPr>
      <w:r w:rsidRPr="00283424">
        <w:tab/>
        <w:t>(a)</w:t>
      </w:r>
      <w:r w:rsidRPr="00283424">
        <w:tab/>
        <w:t>for an individual—50 penalty units; and</w:t>
      </w:r>
    </w:p>
    <w:p w14:paraId="73152C22" w14:textId="77777777" w:rsidR="00E93F58" w:rsidRPr="00283424" w:rsidRDefault="00E93F58" w:rsidP="00B50726">
      <w:pPr>
        <w:pStyle w:val="paragraph"/>
      </w:pPr>
      <w:r w:rsidRPr="00283424">
        <w:tab/>
        <w:t>(b)</w:t>
      </w:r>
      <w:r w:rsidRPr="00283424">
        <w:tab/>
        <w:t>for a body corporate—500 penalty units.</w:t>
      </w:r>
    </w:p>
    <w:p w14:paraId="0E4AFCE1" w14:textId="77777777" w:rsidR="00E93F58" w:rsidRPr="00283424" w:rsidRDefault="00E93F58" w:rsidP="00B50726">
      <w:pPr>
        <w:pStyle w:val="paragraph"/>
      </w:pPr>
      <w:r w:rsidRPr="00283424">
        <w:lastRenderedPageBreak/>
        <w:tab/>
        <w:t>(6)</w:t>
      </w:r>
      <w:r w:rsidRPr="00283424">
        <w:tab/>
        <w:t>Subsection (5) does not apply to the extent that the product issuer has a reasonable excuse.</w:t>
      </w:r>
    </w:p>
    <w:p w14:paraId="6DD40632" w14:textId="77777777" w:rsidR="00E93F58" w:rsidRPr="00283424" w:rsidRDefault="00E93F58" w:rsidP="00B50726">
      <w:pPr>
        <w:pStyle w:val="noteToPara"/>
      </w:pPr>
      <w:r w:rsidRPr="00283424">
        <w:t>Note:</w:t>
      </w:r>
      <w:r w:rsidRPr="00283424">
        <w:tab/>
        <w:t>A defendant bears an evidential burden in relation to the matter in subsection (6A), see subsection 13.3(3) of the Criminal Code.</w:t>
      </w:r>
    </w:p>
    <w:p w14:paraId="79FEB0C9" w14:textId="77777777" w:rsidR="00E93F58" w:rsidRPr="00283424" w:rsidRDefault="00E93F58" w:rsidP="00B50726">
      <w:pPr>
        <w:pStyle w:val="paragraph"/>
      </w:pPr>
      <w:r w:rsidRPr="00283424">
        <w:tab/>
        <w:t>(7)</w:t>
      </w:r>
      <w:r w:rsidRPr="00283424">
        <w:tab/>
        <w:t xml:space="preserve">Divisions 1 and 7 do not apply in relation to the product issuer in relation to the financial product mentioned in paragraph 7.1.14(2)(d) of the </w:t>
      </w:r>
      <w:r w:rsidRPr="00283424">
        <w:rPr>
          <w:i/>
        </w:rPr>
        <w:t xml:space="preserve">Corporations </w:t>
      </w:r>
      <w:r>
        <w:rPr>
          <w:i/>
        </w:rPr>
        <w:t>Regulations 2</w:t>
      </w:r>
      <w:r w:rsidRPr="00283424">
        <w:rPr>
          <w:i/>
        </w:rPr>
        <w:t>001</w:t>
      </w:r>
      <w:r w:rsidRPr="00283424">
        <w:t>.’.</w:t>
      </w:r>
    </w:p>
    <w:p w14:paraId="3AD0FC57" w14:textId="77777777" w:rsidR="00E93F58" w:rsidRPr="00283424" w:rsidRDefault="00E93F58" w:rsidP="00B50726">
      <w:pPr>
        <w:pStyle w:val="ActHead3"/>
        <w:pageBreakBefore/>
      </w:pPr>
      <w:bookmarkStart w:id="1650" w:name="_Toc152054801"/>
      <w:bookmarkStart w:id="1651" w:name="_Toc158712617"/>
      <w:r w:rsidRPr="006F296E">
        <w:rPr>
          <w:rStyle w:val="CharDivNo"/>
        </w:rPr>
        <w:lastRenderedPageBreak/>
        <w:t>Division 4A</w:t>
      </w:r>
      <w:r w:rsidRPr="00283424">
        <w:t>—</w:t>
      </w:r>
      <w:r w:rsidRPr="006F296E">
        <w:rPr>
          <w:rStyle w:val="CharDivText"/>
        </w:rPr>
        <w:t>General</w:t>
      </w:r>
      <w:bookmarkEnd w:id="1650"/>
      <w:bookmarkEnd w:id="1651"/>
    </w:p>
    <w:p w14:paraId="7E6D700A" w14:textId="77777777" w:rsidR="00E93F58" w:rsidRPr="00283424" w:rsidRDefault="00E93F58" w:rsidP="00B50726">
      <w:pPr>
        <w:pStyle w:val="ActHead5"/>
      </w:pPr>
      <w:bookmarkStart w:id="1652" w:name="_Toc152054802"/>
      <w:bookmarkStart w:id="1653" w:name="_Toc158712618"/>
      <w:r w:rsidRPr="006F296E">
        <w:rPr>
          <w:rStyle w:val="CharSectno"/>
        </w:rPr>
        <w:t>7.9.14C</w:t>
      </w:r>
      <w:r w:rsidRPr="00283424">
        <w:t xml:space="preserve">  Labour standards and environmental, social and ethical considerations</w:t>
      </w:r>
      <w:bookmarkEnd w:id="1652"/>
      <w:bookmarkEnd w:id="1653"/>
    </w:p>
    <w:p w14:paraId="4770390D" w14:textId="77777777" w:rsidR="00E93F58" w:rsidRPr="00283424" w:rsidRDefault="00E93F58" w:rsidP="00B50726">
      <w:pPr>
        <w:pStyle w:val="subsection"/>
      </w:pPr>
      <w:r w:rsidRPr="00283424">
        <w:tab/>
      </w:r>
      <w:r w:rsidRPr="00283424">
        <w:tab/>
        <w:t>For paragraph 1013D(4)(c) of the Act, the more detailed information to be included in a Product Disclosure Statement about the extent to which labour standards or environmental, social or ethical considerations are taken into account in the selection, retention or realisation of an investment is:</w:t>
      </w:r>
    </w:p>
    <w:p w14:paraId="374986A8" w14:textId="77777777" w:rsidR="00E93F58" w:rsidRPr="00283424" w:rsidRDefault="00E93F58" w:rsidP="00B50726">
      <w:pPr>
        <w:pStyle w:val="paragraph"/>
      </w:pPr>
      <w:r w:rsidRPr="00283424">
        <w:tab/>
        <w:t>(a)</w:t>
      </w:r>
      <w:r w:rsidRPr="00283424">
        <w:tab/>
        <w:t>a statement that the product issuer does, or does not, take into account labour standards for the purpose of selecting, retaining or realising the investment; and</w:t>
      </w:r>
    </w:p>
    <w:p w14:paraId="1ABFBA31" w14:textId="77777777" w:rsidR="00E93F58" w:rsidRPr="00283424" w:rsidRDefault="00E93F58" w:rsidP="00B50726">
      <w:pPr>
        <w:pStyle w:val="paragraph"/>
      </w:pPr>
      <w:r w:rsidRPr="00283424">
        <w:tab/>
        <w:t>(b)</w:t>
      </w:r>
      <w:r w:rsidRPr="00283424">
        <w:tab/>
        <w:t>a statement that the product issuer does, or does not, take into account environmental, social or ethical considerations for the purpose of selecting, retaining or realising the investment; and</w:t>
      </w:r>
    </w:p>
    <w:p w14:paraId="4856B780" w14:textId="77777777" w:rsidR="00E93F58" w:rsidRPr="00283424" w:rsidRDefault="00E93F58" w:rsidP="00B50726">
      <w:pPr>
        <w:pStyle w:val="paragraph"/>
      </w:pPr>
      <w:r w:rsidRPr="00283424">
        <w:tab/>
        <w:t>(c)</w:t>
      </w:r>
      <w:r w:rsidRPr="00283424">
        <w:tab/>
        <w:t>if the Product Disclosure Statement includes a statement that the product issuer does take into account labour standards for the purpose of selecting, retaining or realising the investment—a statement outlining:</w:t>
      </w:r>
    </w:p>
    <w:p w14:paraId="41CA9133" w14:textId="77777777" w:rsidR="00E93F58" w:rsidRPr="00283424" w:rsidRDefault="00E93F58" w:rsidP="00B50726">
      <w:pPr>
        <w:pStyle w:val="paragraphsub"/>
      </w:pPr>
      <w:r w:rsidRPr="00283424">
        <w:tab/>
        <w:t>(i)</w:t>
      </w:r>
      <w:r w:rsidRPr="00283424">
        <w:tab/>
        <w:t>the standards that the product issuer considers to be labour standards for that purpose; and</w:t>
      </w:r>
    </w:p>
    <w:p w14:paraId="13313A5B" w14:textId="77777777" w:rsidR="00E93F58" w:rsidRPr="00283424" w:rsidRDefault="00E93F58" w:rsidP="00B50726">
      <w:pPr>
        <w:pStyle w:val="paragraphsub"/>
      </w:pPr>
      <w:r w:rsidRPr="00283424">
        <w:tab/>
        <w:t>(ii)</w:t>
      </w:r>
      <w:r w:rsidRPr="00283424">
        <w:tab/>
        <w:t>the extent to which the product issuer takes those standards into account in the selection, retention or realisation of the investment; and</w:t>
      </w:r>
    </w:p>
    <w:p w14:paraId="62986CF4" w14:textId="77777777" w:rsidR="00E93F58" w:rsidRPr="00283424" w:rsidRDefault="00E93F58" w:rsidP="00B50726">
      <w:pPr>
        <w:pStyle w:val="paragraph"/>
      </w:pPr>
      <w:r w:rsidRPr="00283424">
        <w:tab/>
        <w:t>(d)</w:t>
      </w:r>
      <w:r w:rsidRPr="00283424">
        <w:tab/>
        <w:t>if the Product Disclosure Statement includes a statement that the product issuer does take into account environmental, social or ethical considerations for the purpose of selecting, retaining or realising the investment—a statement outlining:</w:t>
      </w:r>
    </w:p>
    <w:p w14:paraId="0C98B9D1" w14:textId="77777777" w:rsidR="00E93F58" w:rsidRPr="00283424" w:rsidRDefault="00E93F58" w:rsidP="00B50726">
      <w:pPr>
        <w:pStyle w:val="paragraphsub"/>
      </w:pPr>
      <w:r w:rsidRPr="00283424">
        <w:tab/>
        <w:t>(i)</w:t>
      </w:r>
      <w:r w:rsidRPr="00283424">
        <w:tab/>
        <w:t>the considerations that the product issuer regards as environmental, social or ethical considerations for that purpose; and</w:t>
      </w:r>
    </w:p>
    <w:p w14:paraId="5A1D2CFD" w14:textId="77777777" w:rsidR="00E93F58" w:rsidRPr="00283424" w:rsidRDefault="00E93F58" w:rsidP="00B50726">
      <w:pPr>
        <w:pStyle w:val="paragraphsub"/>
      </w:pPr>
      <w:r w:rsidRPr="00283424">
        <w:tab/>
        <w:t>(ii)</w:t>
      </w:r>
      <w:r w:rsidRPr="00283424">
        <w:tab/>
        <w:t>the extent to which the product issuer takes those considerations into account in the selection, retention or realisation of the investment.</w:t>
      </w:r>
    </w:p>
    <w:p w14:paraId="2C53CA3E" w14:textId="77777777" w:rsidR="00E93F58" w:rsidRPr="00283424" w:rsidRDefault="00E93F58" w:rsidP="00B50726">
      <w:pPr>
        <w:pStyle w:val="ActHead5"/>
      </w:pPr>
      <w:bookmarkStart w:id="1654" w:name="_Toc152054803"/>
      <w:bookmarkStart w:id="1655" w:name="_Toc158712619"/>
      <w:r w:rsidRPr="006F296E">
        <w:rPr>
          <w:rStyle w:val="CharSectno"/>
        </w:rPr>
        <w:t>7.9.14D</w:t>
      </w:r>
      <w:r w:rsidRPr="00283424">
        <w:t xml:space="preserve">  Further statements required in Product Disclosure Statement—financial claims scheme</w:t>
      </w:r>
      <w:bookmarkEnd w:id="1654"/>
      <w:bookmarkEnd w:id="1655"/>
    </w:p>
    <w:p w14:paraId="25826851" w14:textId="77777777" w:rsidR="00E93F58" w:rsidRPr="00283424" w:rsidRDefault="00E93F58" w:rsidP="00B50726">
      <w:pPr>
        <w:pStyle w:val="subsection"/>
      </w:pPr>
      <w:r w:rsidRPr="00283424">
        <w:tab/>
        <w:t>(1)</w:t>
      </w:r>
      <w:r w:rsidRPr="00283424">
        <w:tab/>
        <w:t>For paragraph 1013D(1)(k) of the Act, the following further statements must be included in a Product Disclosure Statement that relates to a protected policy issued by a general insurer or a protected account issued by an authorised deposit</w:t>
      </w:r>
      <w:r>
        <w:noBreakHyphen/>
      </w:r>
      <w:r w:rsidRPr="00283424">
        <w:t>taking institution:</w:t>
      </w:r>
    </w:p>
    <w:p w14:paraId="16E8C352" w14:textId="77777777" w:rsidR="00E93F58" w:rsidRPr="00283424" w:rsidRDefault="00E93F58" w:rsidP="00B50726">
      <w:pPr>
        <w:pStyle w:val="paragraph"/>
      </w:pPr>
      <w:r w:rsidRPr="00283424">
        <w:tab/>
        <w:t>(a)</w:t>
      </w:r>
      <w:r w:rsidRPr="00283424">
        <w:tab/>
        <w:t>if the Product Disclosure Statement relates to a protected policy—a statement that:</w:t>
      </w:r>
    </w:p>
    <w:p w14:paraId="7A99D6BC" w14:textId="77777777" w:rsidR="00E93F58" w:rsidRPr="00283424" w:rsidRDefault="00E93F58" w:rsidP="00B50726">
      <w:pPr>
        <w:pStyle w:val="paragraphsub"/>
      </w:pPr>
      <w:r w:rsidRPr="00283424">
        <w:tab/>
        <w:t>(i)</w:t>
      </w:r>
      <w:r w:rsidRPr="00283424">
        <w:tab/>
        <w:t>the person entitled to claim under insurance cover under a protected policy may be entitled to payment under the financial claims scheme; and</w:t>
      </w:r>
    </w:p>
    <w:p w14:paraId="7ACFE21B" w14:textId="77777777" w:rsidR="00E93F58" w:rsidRPr="00283424" w:rsidRDefault="00E93F58" w:rsidP="00B50726">
      <w:pPr>
        <w:pStyle w:val="paragraphsub"/>
      </w:pPr>
      <w:r w:rsidRPr="00283424">
        <w:tab/>
        <w:t>(ii)</w:t>
      </w:r>
      <w:r w:rsidRPr="00283424">
        <w:tab/>
        <w:t>access to the scheme is subject to eligibility criteria;</w:t>
      </w:r>
    </w:p>
    <w:p w14:paraId="142210BC" w14:textId="77777777" w:rsidR="00E93F58" w:rsidRPr="00283424" w:rsidRDefault="00E93F58" w:rsidP="00B50726">
      <w:pPr>
        <w:pStyle w:val="paragraph"/>
      </w:pPr>
      <w:r w:rsidRPr="00283424">
        <w:tab/>
        <w:t>(b)</w:t>
      </w:r>
      <w:r w:rsidRPr="00283424">
        <w:tab/>
        <w:t>if the Product Disclosure Statement relates to a protected account—a statement that:</w:t>
      </w:r>
    </w:p>
    <w:p w14:paraId="79E8B790" w14:textId="77777777" w:rsidR="00E93F58" w:rsidRPr="00283424" w:rsidRDefault="00E93F58" w:rsidP="00B50726">
      <w:pPr>
        <w:pStyle w:val="paragraphsub"/>
      </w:pPr>
      <w:r w:rsidRPr="00283424">
        <w:tab/>
        <w:t>(i)</w:t>
      </w:r>
      <w:r w:rsidRPr="00283424">
        <w:tab/>
        <w:t>the account</w:t>
      </w:r>
      <w:r>
        <w:noBreakHyphen/>
      </w:r>
      <w:r w:rsidRPr="00283424">
        <w:t>holder may be entitled to payment under the financial claims scheme; and</w:t>
      </w:r>
    </w:p>
    <w:p w14:paraId="6FD70326" w14:textId="77777777" w:rsidR="00E93F58" w:rsidRPr="00283424" w:rsidRDefault="00E93F58" w:rsidP="00B50726">
      <w:pPr>
        <w:pStyle w:val="paragraphsub"/>
      </w:pPr>
      <w:r w:rsidRPr="00283424">
        <w:tab/>
        <w:t>(ii)</w:t>
      </w:r>
      <w:r w:rsidRPr="00283424">
        <w:tab/>
        <w:t>payments under the scheme are subject to a limit for each depositor;</w:t>
      </w:r>
    </w:p>
    <w:p w14:paraId="26A0C21E" w14:textId="77777777" w:rsidR="00E93F58" w:rsidRPr="00283424" w:rsidRDefault="00E93F58" w:rsidP="00B50726">
      <w:pPr>
        <w:pStyle w:val="paragraph"/>
      </w:pPr>
      <w:r w:rsidRPr="00283424">
        <w:tab/>
        <w:t>(c)</w:t>
      </w:r>
      <w:r w:rsidRPr="00283424">
        <w:tab/>
        <w:t>a statement that information about the scheme can be obtained from the APRA website at http://www.fcs.gov.au.</w:t>
      </w:r>
    </w:p>
    <w:p w14:paraId="0043AF60" w14:textId="77777777" w:rsidR="00E93F58" w:rsidRPr="00283424" w:rsidRDefault="00E93F58" w:rsidP="00B50726">
      <w:pPr>
        <w:pStyle w:val="subsection"/>
      </w:pPr>
      <w:r w:rsidRPr="00283424">
        <w:tab/>
        <w:t>(2)</w:t>
      </w:r>
      <w:r w:rsidRPr="00283424">
        <w:tab/>
        <w:t>In this regulation:</w:t>
      </w:r>
    </w:p>
    <w:p w14:paraId="3FABAB60" w14:textId="77777777" w:rsidR="00E93F58" w:rsidRPr="00283424" w:rsidRDefault="00E93F58" w:rsidP="00B50726">
      <w:pPr>
        <w:pStyle w:val="Definition"/>
      </w:pPr>
      <w:r w:rsidRPr="00283424">
        <w:rPr>
          <w:b/>
          <w:i/>
        </w:rPr>
        <w:t>authorised deposit</w:t>
      </w:r>
      <w:r>
        <w:rPr>
          <w:b/>
          <w:i/>
        </w:rPr>
        <w:noBreakHyphen/>
      </w:r>
      <w:r w:rsidRPr="00283424">
        <w:rPr>
          <w:b/>
          <w:i/>
        </w:rPr>
        <w:t>taking institution</w:t>
      </w:r>
      <w:r w:rsidRPr="00283424">
        <w:t xml:space="preserve"> has the meaning given by subsection 5(1) of the </w:t>
      </w:r>
      <w:r w:rsidRPr="00283424">
        <w:rPr>
          <w:i/>
        </w:rPr>
        <w:t>Banking Act 1959</w:t>
      </w:r>
      <w:r w:rsidRPr="00283424">
        <w:t>.</w:t>
      </w:r>
    </w:p>
    <w:p w14:paraId="37DA4FE1" w14:textId="77777777" w:rsidR="00E93F58" w:rsidRPr="00283424" w:rsidRDefault="00E93F58" w:rsidP="00B50726">
      <w:pPr>
        <w:pStyle w:val="Definition"/>
      </w:pPr>
      <w:r w:rsidRPr="00283424">
        <w:rPr>
          <w:b/>
          <w:i/>
        </w:rPr>
        <w:t>financial claims scheme</w:t>
      </w:r>
      <w:r w:rsidRPr="00283424">
        <w:t xml:space="preserve"> means:</w:t>
      </w:r>
    </w:p>
    <w:p w14:paraId="4D372FF9" w14:textId="77777777" w:rsidR="00E93F58" w:rsidRPr="00283424" w:rsidRDefault="00E93F58" w:rsidP="00B50726">
      <w:pPr>
        <w:pStyle w:val="paragraph"/>
      </w:pPr>
      <w:r w:rsidRPr="00283424">
        <w:tab/>
        <w:t>(a)</w:t>
      </w:r>
      <w:r w:rsidRPr="00283424">
        <w:tab/>
        <w:t xml:space="preserve">the scheme provided for in Division 2AA of Part II of the </w:t>
      </w:r>
      <w:r w:rsidRPr="00283424">
        <w:rPr>
          <w:i/>
        </w:rPr>
        <w:t>Banking Act 1959</w:t>
      </w:r>
      <w:r w:rsidRPr="00283424">
        <w:t>; and</w:t>
      </w:r>
    </w:p>
    <w:p w14:paraId="59383700" w14:textId="77777777" w:rsidR="00E93F58" w:rsidRPr="00283424" w:rsidRDefault="00E93F58" w:rsidP="00B50726">
      <w:pPr>
        <w:pStyle w:val="paragraph"/>
      </w:pPr>
      <w:r w:rsidRPr="00283424">
        <w:tab/>
        <w:t>(b)</w:t>
      </w:r>
      <w:r w:rsidRPr="00283424">
        <w:tab/>
        <w:t>the scheme provided for in Part VC of the</w:t>
      </w:r>
      <w:r w:rsidRPr="00283424">
        <w:rPr>
          <w:i/>
        </w:rPr>
        <w:t xml:space="preserve"> Insurance Act</w:t>
      </w:r>
      <w:r w:rsidRPr="00283424">
        <w:t xml:space="preserve"> </w:t>
      </w:r>
      <w:r w:rsidRPr="00283424">
        <w:rPr>
          <w:i/>
        </w:rPr>
        <w:t>1973</w:t>
      </w:r>
      <w:r w:rsidRPr="00283424">
        <w:t>.</w:t>
      </w:r>
    </w:p>
    <w:p w14:paraId="5CA2E925" w14:textId="77777777" w:rsidR="00E93F58" w:rsidRPr="00283424" w:rsidRDefault="00E93F58" w:rsidP="00B50726">
      <w:pPr>
        <w:pStyle w:val="Definition"/>
      </w:pPr>
      <w:r w:rsidRPr="00283424">
        <w:rPr>
          <w:b/>
          <w:i/>
        </w:rPr>
        <w:t xml:space="preserve">general insurer </w:t>
      </w:r>
      <w:r w:rsidRPr="00283424">
        <w:t>has the meaning given by section 11 of the</w:t>
      </w:r>
      <w:r w:rsidRPr="00283424">
        <w:rPr>
          <w:i/>
        </w:rPr>
        <w:t xml:space="preserve"> Insurance Act 1973</w:t>
      </w:r>
      <w:r w:rsidRPr="00283424">
        <w:t>.</w:t>
      </w:r>
    </w:p>
    <w:p w14:paraId="70D70ABA" w14:textId="77777777" w:rsidR="00E93F58" w:rsidRPr="00283424" w:rsidRDefault="00E93F58" w:rsidP="00B50726">
      <w:pPr>
        <w:pStyle w:val="Definition"/>
      </w:pPr>
      <w:r w:rsidRPr="00283424">
        <w:rPr>
          <w:b/>
          <w:i/>
        </w:rPr>
        <w:t>protected account</w:t>
      </w:r>
      <w:r w:rsidRPr="00283424">
        <w:t xml:space="preserve"> has the meaning given by subsections 5(4) to (7) of the </w:t>
      </w:r>
      <w:r w:rsidRPr="00283424">
        <w:rPr>
          <w:i/>
        </w:rPr>
        <w:t>Banking Act 1959</w:t>
      </w:r>
      <w:r w:rsidRPr="00283424">
        <w:t>.</w:t>
      </w:r>
    </w:p>
    <w:p w14:paraId="04C37D0E" w14:textId="77777777" w:rsidR="00E93F58" w:rsidRPr="00283424" w:rsidRDefault="00E93F58" w:rsidP="00B50726">
      <w:pPr>
        <w:pStyle w:val="Definition"/>
      </w:pPr>
      <w:r w:rsidRPr="00283424">
        <w:rPr>
          <w:b/>
          <w:i/>
        </w:rPr>
        <w:t xml:space="preserve">protected policy </w:t>
      </w:r>
      <w:r w:rsidRPr="00283424">
        <w:t>has the meaning given by subsection 3(1) of the</w:t>
      </w:r>
      <w:r w:rsidRPr="00283424">
        <w:rPr>
          <w:i/>
        </w:rPr>
        <w:t xml:space="preserve"> Insurance Act 1973</w:t>
      </w:r>
      <w:r w:rsidRPr="00283424">
        <w:t>.</w:t>
      </w:r>
    </w:p>
    <w:p w14:paraId="5AA142BF" w14:textId="77777777" w:rsidR="00E93F58" w:rsidRPr="00283424" w:rsidRDefault="00E93F58" w:rsidP="00B50726">
      <w:pPr>
        <w:pStyle w:val="ActHead5"/>
      </w:pPr>
      <w:bookmarkStart w:id="1656" w:name="_Toc152054804"/>
      <w:bookmarkStart w:id="1657" w:name="_Toc158712620"/>
      <w:r w:rsidRPr="006F296E">
        <w:rPr>
          <w:rStyle w:val="CharSectno"/>
        </w:rPr>
        <w:t>7.9.15</w:t>
      </w:r>
      <w:r w:rsidRPr="00283424">
        <w:rPr>
          <w:sz w:val="16"/>
        </w:rPr>
        <w:t xml:space="preserve">  </w:t>
      </w:r>
      <w:r w:rsidRPr="00283424">
        <w:t>More detailed information in Product Disclosure Statement: unauthorised foreign insurer</w:t>
      </w:r>
      <w:bookmarkEnd w:id="1656"/>
      <w:bookmarkEnd w:id="1657"/>
    </w:p>
    <w:p w14:paraId="778A9038" w14:textId="77777777" w:rsidR="00E93F58" w:rsidRPr="00283424" w:rsidRDefault="00E93F58" w:rsidP="00B50726">
      <w:pPr>
        <w:pStyle w:val="subsection"/>
      </w:pPr>
      <w:r w:rsidRPr="00283424">
        <w:tab/>
        <w:t>(1)</w:t>
      </w:r>
      <w:r w:rsidRPr="00283424">
        <w:tab/>
        <w:t>For paragraph 1013D(4)(c) of the Act, the more detailed information that must be included in a Product Disclosure Statement that relates to a financial product issued by an unauthorised foreign insurer is:</w:t>
      </w:r>
    </w:p>
    <w:p w14:paraId="19CBB7B2" w14:textId="77777777" w:rsidR="00E93F58" w:rsidRPr="00283424" w:rsidRDefault="00E93F58" w:rsidP="00B50726">
      <w:pPr>
        <w:pStyle w:val="paragraph"/>
      </w:pPr>
      <w:r w:rsidRPr="00283424">
        <w:tab/>
        <w:t>(a)</w:t>
      </w:r>
      <w:r w:rsidRPr="00283424">
        <w:tab/>
        <w:t>a statement that the product issuer is:</w:t>
      </w:r>
    </w:p>
    <w:p w14:paraId="3752EB2D" w14:textId="77777777" w:rsidR="00E93F58" w:rsidRPr="00283424" w:rsidRDefault="00E93F58" w:rsidP="00B50726">
      <w:pPr>
        <w:pStyle w:val="paragraphsub"/>
      </w:pPr>
      <w:r w:rsidRPr="00283424">
        <w:rPr>
          <w:color w:val="000000"/>
        </w:rPr>
        <w:lastRenderedPageBreak/>
        <w:tab/>
        <w:t>(i)</w:t>
      </w:r>
      <w:r w:rsidRPr="00283424">
        <w:rPr>
          <w:color w:val="000000"/>
        </w:rPr>
        <w:tab/>
        <w:t>an unauthorised foreign insurer; and</w:t>
      </w:r>
    </w:p>
    <w:p w14:paraId="0314EA14" w14:textId="77777777" w:rsidR="00E93F58" w:rsidRPr="00283424" w:rsidRDefault="00E93F58" w:rsidP="00B50726">
      <w:pPr>
        <w:pStyle w:val="paragraphsub"/>
      </w:pPr>
      <w:r w:rsidRPr="00283424">
        <w:tab/>
        <w:t>(ii)</w:t>
      </w:r>
      <w:r w:rsidRPr="00283424">
        <w:tab/>
        <w:t xml:space="preserve">not authorised under the </w:t>
      </w:r>
      <w:r w:rsidRPr="00283424">
        <w:rPr>
          <w:i/>
        </w:rPr>
        <w:t>Insurance Act 1973</w:t>
      </w:r>
      <w:r w:rsidRPr="00283424">
        <w:t xml:space="preserve"> to conduct insurance business in Australia; and</w:t>
      </w:r>
    </w:p>
    <w:p w14:paraId="5464B4BE" w14:textId="77777777" w:rsidR="00E93F58" w:rsidRPr="00283424" w:rsidRDefault="00E93F58" w:rsidP="00B50726">
      <w:pPr>
        <w:pStyle w:val="paragraph"/>
      </w:pPr>
      <w:r w:rsidRPr="00283424">
        <w:rPr>
          <w:color w:val="000000"/>
        </w:rPr>
        <w:tab/>
        <w:t>(b)</w:t>
      </w:r>
      <w:r w:rsidRPr="00283424">
        <w:rPr>
          <w:color w:val="000000"/>
        </w:rPr>
        <w:tab/>
        <w:t xml:space="preserve">a statement that an insurer of that kind is not subject to the provisions of the </w:t>
      </w:r>
      <w:r w:rsidRPr="00283424">
        <w:rPr>
          <w:i/>
          <w:color w:val="000000"/>
        </w:rPr>
        <w:t>Insurance Act 1973</w:t>
      </w:r>
      <w:r w:rsidRPr="00283424">
        <w:rPr>
          <w:color w:val="000000"/>
        </w:rPr>
        <w:t>, which establishes a system of financial supervision of general insurers in Australia; and</w:t>
      </w:r>
    </w:p>
    <w:p w14:paraId="3676AEB3" w14:textId="77777777" w:rsidR="00E93F58" w:rsidRPr="00283424" w:rsidRDefault="00E93F58" w:rsidP="00B50726">
      <w:pPr>
        <w:pStyle w:val="paragraph"/>
      </w:pPr>
      <w:r w:rsidRPr="00283424">
        <w:tab/>
        <w:t>(c)</w:t>
      </w:r>
      <w:r w:rsidRPr="00283424">
        <w:tab/>
        <w:t>a statement that the person should consider whether to obtain further information, including:</w:t>
      </w:r>
    </w:p>
    <w:p w14:paraId="0218D310" w14:textId="77777777" w:rsidR="00E93F58" w:rsidRPr="00283424" w:rsidRDefault="00E93F58" w:rsidP="00B50726">
      <w:pPr>
        <w:pStyle w:val="paragraphsub"/>
      </w:pPr>
      <w:r w:rsidRPr="00283424">
        <w:rPr>
          <w:color w:val="000000"/>
        </w:rPr>
        <w:tab/>
        <w:t>(i)</w:t>
      </w:r>
      <w:r w:rsidRPr="00283424">
        <w:rPr>
          <w:color w:val="000000"/>
        </w:rPr>
        <w:tab/>
        <w:t>the country in which the product issuer is incorporated, and whether the country has a system of financial supervision of insurers; and</w:t>
      </w:r>
    </w:p>
    <w:p w14:paraId="0D65AB9D" w14:textId="77777777" w:rsidR="00E93F58" w:rsidRPr="00283424" w:rsidRDefault="00E93F58" w:rsidP="00B50726">
      <w:pPr>
        <w:pStyle w:val="paragraphsub"/>
      </w:pPr>
      <w:r w:rsidRPr="00283424">
        <w:tab/>
        <w:t>(ii)</w:t>
      </w:r>
      <w:r w:rsidRPr="00283424">
        <w:tab/>
        <w:t>the paid up capital of the product issuer; and</w:t>
      </w:r>
    </w:p>
    <w:p w14:paraId="10754C41" w14:textId="77777777" w:rsidR="00E93F58" w:rsidRPr="00283424" w:rsidRDefault="00E93F58" w:rsidP="00B50726">
      <w:pPr>
        <w:pStyle w:val="paragraphsub"/>
      </w:pPr>
      <w:r w:rsidRPr="00283424">
        <w:tab/>
        <w:t>(iii)</w:t>
      </w:r>
      <w:r w:rsidRPr="00283424">
        <w:tab/>
        <w:t>which country’s laws will determine disputes in relation to the financial product; and</w:t>
      </w:r>
    </w:p>
    <w:p w14:paraId="7EFB1627" w14:textId="77777777" w:rsidR="00E93F58" w:rsidRPr="00283424" w:rsidRDefault="00E93F58" w:rsidP="00B50726">
      <w:pPr>
        <w:pStyle w:val="paragraph"/>
      </w:pPr>
      <w:r w:rsidRPr="00283424">
        <w:tab/>
        <w:t>(d)</w:t>
      </w:r>
      <w:r w:rsidRPr="00283424">
        <w:tab/>
        <w:t xml:space="preserve">a statement that an insurer of that kind cannot be a declared general insurer for the purpose of Part VC of the </w:t>
      </w:r>
      <w:r w:rsidRPr="00283424">
        <w:rPr>
          <w:i/>
        </w:rPr>
        <w:t>Insurance Act 1973</w:t>
      </w:r>
      <w:r w:rsidRPr="00283424">
        <w:t>, and, if the insurer becomes insolvent, the person will not be covered by the financial claims scheme provided under Part VC of that Act.</w:t>
      </w:r>
    </w:p>
    <w:p w14:paraId="018DCD62" w14:textId="77777777" w:rsidR="00E93F58" w:rsidRPr="00283424" w:rsidRDefault="00E93F58" w:rsidP="00B50726">
      <w:pPr>
        <w:pStyle w:val="subsection"/>
      </w:pPr>
      <w:r w:rsidRPr="00283424">
        <w:tab/>
        <w:t>(2)</w:t>
      </w:r>
      <w:r w:rsidRPr="00283424">
        <w:tab/>
        <w:t>In this regulation:</w:t>
      </w:r>
    </w:p>
    <w:p w14:paraId="380CDBC7" w14:textId="77777777" w:rsidR="00E93F58" w:rsidRPr="00283424" w:rsidRDefault="00E93F58" w:rsidP="00B50726">
      <w:pPr>
        <w:pStyle w:val="Definition"/>
        <w:rPr>
          <w:color w:val="000000"/>
        </w:rPr>
      </w:pPr>
      <w:r w:rsidRPr="00283424">
        <w:rPr>
          <w:b/>
          <w:i/>
          <w:color w:val="000000"/>
        </w:rPr>
        <w:t>unauthorised foreign insurer</w:t>
      </w:r>
      <w:r w:rsidRPr="00283424">
        <w:rPr>
          <w:color w:val="000000"/>
        </w:rPr>
        <w:t xml:space="preserve"> means:</w:t>
      </w:r>
    </w:p>
    <w:p w14:paraId="60583D74" w14:textId="77777777" w:rsidR="00E93F58" w:rsidRPr="00283424" w:rsidRDefault="00E93F58" w:rsidP="00B50726">
      <w:pPr>
        <w:pStyle w:val="paragraph"/>
        <w:rPr>
          <w:color w:val="000000"/>
        </w:rPr>
      </w:pPr>
      <w:r w:rsidRPr="00283424">
        <w:rPr>
          <w:color w:val="000000"/>
        </w:rPr>
        <w:tab/>
        <w:t>(a)</w:t>
      </w:r>
      <w:r w:rsidRPr="00283424">
        <w:rPr>
          <w:color w:val="000000"/>
        </w:rPr>
        <w:tab/>
        <w:t>an insurer that:</w:t>
      </w:r>
    </w:p>
    <w:p w14:paraId="343A807B" w14:textId="77777777" w:rsidR="00E93F58" w:rsidRPr="00283424" w:rsidRDefault="00E93F58" w:rsidP="00B50726">
      <w:pPr>
        <w:pStyle w:val="paragraphsub"/>
        <w:rPr>
          <w:color w:val="000000"/>
        </w:rPr>
      </w:pPr>
      <w:r w:rsidRPr="00283424">
        <w:rPr>
          <w:color w:val="000000"/>
        </w:rPr>
        <w:tab/>
        <w:t>(i)</w:t>
      </w:r>
      <w:r w:rsidRPr="00283424">
        <w:rPr>
          <w:color w:val="000000"/>
        </w:rPr>
        <w:tab/>
        <w:t xml:space="preserve">does not have an authority under the </w:t>
      </w:r>
      <w:r w:rsidRPr="00283424">
        <w:rPr>
          <w:i/>
          <w:color w:val="000000"/>
        </w:rPr>
        <w:t>Insurance Act 1973</w:t>
      </w:r>
      <w:r w:rsidRPr="00283424">
        <w:rPr>
          <w:color w:val="000000"/>
        </w:rPr>
        <w:t xml:space="preserve"> to carry on insurance business; and</w:t>
      </w:r>
    </w:p>
    <w:p w14:paraId="435FB365" w14:textId="77777777" w:rsidR="00E93F58" w:rsidRPr="00283424" w:rsidRDefault="00E93F58" w:rsidP="00B50726">
      <w:pPr>
        <w:pStyle w:val="paragraphsub"/>
      </w:pPr>
      <w:r w:rsidRPr="00283424">
        <w:tab/>
        <w:t>(ii)</w:t>
      </w:r>
      <w:r w:rsidRPr="00283424">
        <w:tab/>
        <w:t>is not a person who, because of section 5 of that Act, is not required to have such an authority; and</w:t>
      </w:r>
    </w:p>
    <w:p w14:paraId="4971F2D2" w14:textId="77777777" w:rsidR="00E93F58" w:rsidRPr="00283424" w:rsidRDefault="00E93F58" w:rsidP="00B50726">
      <w:pPr>
        <w:pStyle w:val="paragraphsub"/>
      </w:pPr>
      <w:r w:rsidRPr="00283424">
        <w:tab/>
        <w:t>(iii)</w:t>
      </w:r>
      <w:r w:rsidRPr="00283424">
        <w:tab/>
        <w:t xml:space="preserve">carries on insurance business outside Australia and the external Territories to which the </w:t>
      </w:r>
      <w:r w:rsidRPr="00283424">
        <w:rPr>
          <w:i/>
        </w:rPr>
        <w:t>Insurance Act 1973</w:t>
      </w:r>
      <w:r w:rsidRPr="00283424">
        <w:t xml:space="preserve"> extends; or</w:t>
      </w:r>
    </w:p>
    <w:p w14:paraId="337D46EB" w14:textId="77777777" w:rsidR="00E93F58" w:rsidRPr="00283424" w:rsidRDefault="00E93F58" w:rsidP="00B50726">
      <w:pPr>
        <w:pStyle w:val="paragraph"/>
        <w:rPr>
          <w:color w:val="000000"/>
        </w:rPr>
      </w:pPr>
      <w:r w:rsidRPr="00283424">
        <w:rPr>
          <w:color w:val="000000"/>
        </w:rPr>
        <w:tab/>
        <w:t>(b)</w:t>
      </w:r>
      <w:r w:rsidRPr="00283424">
        <w:rPr>
          <w:color w:val="000000"/>
        </w:rPr>
        <w:tab/>
        <w:t xml:space="preserve">if a direction is in force under section 74 of the </w:t>
      </w:r>
      <w:r w:rsidRPr="00283424">
        <w:rPr>
          <w:i/>
          <w:color w:val="000000"/>
        </w:rPr>
        <w:t>Insurance Act 1973</w:t>
      </w:r>
      <w:r w:rsidRPr="00283424">
        <w:rPr>
          <w:color w:val="000000"/>
        </w:rPr>
        <w:t>—a Lloyd’s underwriter.</w:t>
      </w:r>
    </w:p>
    <w:p w14:paraId="68167D09" w14:textId="77777777" w:rsidR="00E93F58" w:rsidRPr="00283424" w:rsidRDefault="00E93F58" w:rsidP="00B50726">
      <w:pPr>
        <w:pStyle w:val="ActHead5"/>
      </w:pPr>
      <w:bookmarkStart w:id="1658" w:name="_Toc152054805"/>
      <w:bookmarkStart w:id="1659" w:name="_Toc158712621"/>
      <w:r w:rsidRPr="006F296E">
        <w:rPr>
          <w:rStyle w:val="CharSectno"/>
        </w:rPr>
        <w:t>7.9.15A</w:t>
      </w:r>
      <w:r w:rsidRPr="00283424">
        <w:t xml:space="preserve">  Product Disclosure Statements—requirement to state information as amounts in dollars</w:t>
      </w:r>
      <w:bookmarkEnd w:id="1658"/>
      <w:bookmarkEnd w:id="1659"/>
    </w:p>
    <w:p w14:paraId="41C7B00A" w14:textId="77777777" w:rsidR="00E93F58" w:rsidRPr="00283424" w:rsidRDefault="00E93F58" w:rsidP="00B50726">
      <w:pPr>
        <w:pStyle w:val="subsection"/>
      </w:pPr>
      <w:r w:rsidRPr="00283424">
        <w:tab/>
        <w:t>(1)</w:t>
      </w:r>
      <w:r w:rsidRPr="00283424">
        <w:tab/>
        <w:t>For paragraph 1020G(1)(c) of the Act, Part 7.9 of the Act applies as if paragraph 1013D(1)(m) of the Act were modified to read as follows:</w:t>
      </w:r>
    </w:p>
    <w:p w14:paraId="24B94D72" w14:textId="77777777" w:rsidR="00E93F58" w:rsidRPr="00283424" w:rsidRDefault="00E93F58" w:rsidP="00B50726">
      <w:pPr>
        <w:pStyle w:val="paragraphsub"/>
      </w:pPr>
      <w:r w:rsidRPr="00283424">
        <w:tab/>
        <w:t>‘(m)</w:t>
      </w:r>
      <w:r w:rsidRPr="00283424">
        <w:tab/>
        <w:t>unless, in accordance with the regulations and a determination by ASIC, information to be disclosed in accordance with paragraphs (b), (d) and (e) must be stated as amounts in dollars.’.</w:t>
      </w:r>
    </w:p>
    <w:p w14:paraId="73DCD1C6" w14:textId="77777777" w:rsidR="00E93F58" w:rsidRPr="00283424" w:rsidRDefault="00E93F58" w:rsidP="00B50726">
      <w:pPr>
        <w:pStyle w:val="subsection"/>
      </w:pPr>
      <w:r w:rsidRPr="00283424">
        <w:tab/>
        <w:t>(2)</w:t>
      </w:r>
      <w:r w:rsidRPr="00283424">
        <w:tab/>
        <w:t xml:space="preserve">For paragraph 1020G(1)(a) of the Act, an issuer of a financial product does not have to provide the information mentioned in paragraph 1013D(1)(m) of the Act in the form required by that paragraph, in a Product Disclosure Statement prepared before </w:t>
      </w:r>
      <w:r>
        <w:t>1 January</w:t>
      </w:r>
      <w:r w:rsidRPr="00283424">
        <w:t xml:space="preserve"> 2005.</w:t>
      </w:r>
    </w:p>
    <w:p w14:paraId="79687E14" w14:textId="77777777" w:rsidR="00E93F58" w:rsidRPr="00283424" w:rsidRDefault="00E93F58" w:rsidP="00B50726">
      <w:pPr>
        <w:pStyle w:val="ActHead5"/>
      </w:pPr>
      <w:bookmarkStart w:id="1660" w:name="_Toc152054806"/>
      <w:bookmarkStart w:id="1661" w:name="_Toc158712622"/>
      <w:r w:rsidRPr="006F296E">
        <w:rPr>
          <w:rStyle w:val="CharSectno"/>
        </w:rPr>
        <w:t>7.9.15B</w:t>
      </w:r>
      <w:r w:rsidRPr="00283424">
        <w:t xml:space="preserve">  Product Disclosure Statements—disclosure of dollar amounts</w:t>
      </w:r>
      <w:bookmarkEnd w:id="1660"/>
      <w:bookmarkEnd w:id="1661"/>
    </w:p>
    <w:p w14:paraId="38B9CDDC" w14:textId="77777777" w:rsidR="00E93F58" w:rsidRPr="00283424" w:rsidRDefault="00E93F58" w:rsidP="00B50726">
      <w:pPr>
        <w:pStyle w:val="subsection"/>
        <w:keepNext/>
        <w:keepLines/>
      </w:pPr>
      <w:r w:rsidRPr="00283424">
        <w:tab/>
        <w:t>(1)</w:t>
      </w:r>
      <w:r w:rsidRPr="00283424">
        <w:tab/>
        <w:t>For paragraph 1013D(1)(m) of the Act, if ASIC determines that, for a compelling reason, it is not possible to state information to be disclosed in accordance with paragraph 1013D(1)(b), (d) or (e) as an amount in dollars, the information may be set out as a description of the benefit, cost, amount or payment as a percentage of a specified matter (including worked dollar examples, unless that is inappropriate).</w:t>
      </w:r>
    </w:p>
    <w:p w14:paraId="4B1B4FDB" w14:textId="77777777" w:rsidR="00E93F58" w:rsidRPr="00283424" w:rsidRDefault="00E93F58" w:rsidP="00B50726">
      <w:pPr>
        <w:pStyle w:val="subsection"/>
      </w:pPr>
      <w:r w:rsidRPr="00283424">
        <w:tab/>
        <w:t>(2)</w:t>
      </w:r>
      <w:r w:rsidRPr="00283424">
        <w:tab/>
        <w:t>For paragraph 1013D(1)(m) of the Act, if ASIC determines that, for a compelling reason, it is not possible to state information to be disclosed in accordance with paragraph 1013D(1)(b), (d) or (e) as an amount in dollars, or to describe the amount as a percentage, the information may be set out as a description of the method of calculating the benefit, cost, amount or payment (including worked dollar examples, unless that is inappropriate).</w:t>
      </w:r>
    </w:p>
    <w:p w14:paraId="71D363B7" w14:textId="77777777" w:rsidR="00E93F58" w:rsidRPr="00283424" w:rsidRDefault="00E93F58" w:rsidP="00B50726">
      <w:pPr>
        <w:pStyle w:val="subsection"/>
      </w:pPr>
      <w:r w:rsidRPr="00283424">
        <w:tab/>
        <w:t>(3)</w:t>
      </w:r>
      <w:r w:rsidRPr="00283424">
        <w:tab/>
        <w:t>A determination under subregulation (1) or (2) must be:</w:t>
      </w:r>
    </w:p>
    <w:p w14:paraId="55A5578B" w14:textId="77777777" w:rsidR="00E93F58" w:rsidRPr="00283424" w:rsidRDefault="00E93F58" w:rsidP="00B50726">
      <w:pPr>
        <w:pStyle w:val="paragraph"/>
      </w:pPr>
      <w:r w:rsidRPr="00283424">
        <w:tab/>
        <w:t>(a)</w:t>
      </w:r>
      <w:r w:rsidRPr="00283424">
        <w:tab/>
        <w:t>in writing; and</w:t>
      </w:r>
    </w:p>
    <w:p w14:paraId="431C5746"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314CE1DC" w14:textId="77777777" w:rsidR="00E93F58" w:rsidRPr="00283424" w:rsidRDefault="00E93F58" w:rsidP="00B50726">
      <w:pPr>
        <w:pStyle w:val="ActHead5"/>
      </w:pPr>
      <w:bookmarkStart w:id="1662" w:name="_Toc152054807"/>
      <w:bookmarkStart w:id="1663" w:name="_Toc158712623"/>
      <w:r w:rsidRPr="006F296E">
        <w:rPr>
          <w:rStyle w:val="CharSectno"/>
        </w:rPr>
        <w:t>7.9.15C</w:t>
      </w:r>
      <w:r w:rsidRPr="00283424">
        <w:t xml:space="preserve">  Product Disclosure Statements—disclosure of dollar amounts</w:t>
      </w:r>
      <w:bookmarkEnd w:id="1662"/>
      <w:bookmarkEnd w:id="1663"/>
    </w:p>
    <w:p w14:paraId="6D818F0F" w14:textId="77777777" w:rsidR="00E93F58" w:rsidRPr="00283424" w:rsidRDefault="00E93F58" w:rsidP="00B50726">
      <w:pPr>
        <w:pStyle w:val="subsection"/>
      </w:pPr>
      <w:r w:rsidRPr="00283424">
        <w:tab/>
        <w:t>(1)</w:t>
      </w:r>
      <w:r w:rsidRPr="00283424">
        <w:tab/>
        <w:t>For paragraph 1013D(1)(m) of the Act, if ASIC determines that, for a compelling reason based on the nature of a financial product or service, or the nature of the information, to state the information as an amount in dollars:</w:t>
      </w:r>
    </w:p>
    <w:p w14:paraId="1E5A1FFF"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028A42B2"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0D2D5DF7" w14:textId="77777777" w:rsidR="00E93F58" w:rsidRPr="00283424" w:rsidRDefault="00E93F58" w:rsidP="00B50726">
      <w:pPr>
        <w:pStyle w:val="paragraph"/>
      </w:pPr>
      <w:r w:rsidRPr="00283424">
        <w:lastRenderedPageBreak/>
        <w:tab/>
        <w:t>(c)</w:t>
      </w:r>
      <w:r w:rsidRPr="00283424">
        <w:tab/>
        <w:t>would not be in the interests of a client, or a class of clients;</w:t>
      </w:r>
    </w:p>
    <w:p w14:paraId="207A8229"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16E0168F" w14:textId="77777777" w:rsidR="00E93F58" w:rsidRPr="00283424" w:rsidRDefault="00E93F58" w:rsidP="00B50726">
      <w:pPr>
        <w:pStyle w:val="subsection"/>
      </w:pPr>
      <w:r w:rsidRPr="00283424">
        <w:tab/>
        <w:t>(2)</w:t>
      </w:r>
      <w:r w:rsidRPr="00283424">
        <w:tab/>
        <w:t>For paragraph 1013D(1)(m) of the Act, if ASIC determines that, for a compelling reason, based on the nature of a financial product or service, or the nature of the information, to state the information as an amount in dollars, or to describe the amount as a percentage:</w:t>
      </w:r>
    </w:p>
    <w:p w14:paraId="2DCE34F8"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5AD2D516"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65459E05" w14:textId="77777777" w:rsidR="00E93F58" w:rsidRPr="00283424" w:rsidRDefault="00E93F58" w:rsidP="00B50726">
      <w:pPr>
        <w:pStyle w:val="paragraph"/>
      </w:pPr>
      <w:r w:rsidRPr="00283424">
        <w:tab/>
        <w:t>(c)</w:t>
      </w:r>
      <w:r w:rsidRPr="00283424">
        <w:tab/>
        <w:t>would not be in the interests of a client, or a class of clients;</w:t>
      </w:r>
    </w:p>
    <w:p w14:paraId="3ACC1310" w14:textId="77777777" w:rsidR="00E93F58" w:rsidRPr="00283424" w:rsidRDefault="00E93F58" w:rsidP="00B50726">
      <w:pPr>
        <w:pStyle w:val="subsection2"/>
      </w:pPr>
      <w:r w:rsidRPr="00283424">
        <w:t>the information may be set out as a description of the method of calculating the charge or benefit (including worked dollar examples, unless that is inappropriate).</w:t>
      </w:r>
    </w:p>
    <w:p w14:paraId="42042035" w14:textId="77777777" w:rsidR="00E93F58" w:rsidRPr="00283424" w:rsidRDefault="00E93F58" w:rsidP="00B50726">
      <w:pPr>
        <w:pStyle w:val="subsection"/>
      </w:pPr>
      <w:r w:rsidRPr="00283424">
        <w:tab/>
        <w:t>(3)</w:t>
      </w:r>
      <w:r w:rsidRPr="00283424">
        <w:tab/>
        <w:t>A determination under subregulation (1) or (2) must be:</w:t>
      </w:r>
    </w:p>
    <w:p w14:paraId="33547177" w14:textId="77777777" w:rsidR="00E93F58" w:rsidRPr="00283424" w:rsidRDefault="00E93F58" w:rsidP="00B50726">
      <w:pPr>
        <w:pStyle w:val="paragraph"/>
      </w:pPr>
      <w:r w:rsidRPr="00283424">
        <w:tab/>
        <w:t>(a)</w:t>
      </w:r>
      <w:r w:rsidRPr="00283424">
        <w:tab/>
        <w:t>in writing; and</w:t>
      </w:r>
    </w:p>
    <w:p w14:paraId="49919E66"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7276836C" w14:textId="77777777" w:rsidR="00E93F58" w:rsidRPr="00283424" w:rsidRDefault="00E93F58" w:rsidP="00B50726">
      <w:pPr>
        <w:pStyle w:val="subsection"/>
      </w:pPr>
      <w:r w:rsidRPr="00283424">
        <w:tab/>
        <w:t>(4)</w:t>
      </w:r>
      <w:r w:rsidRPr="00283424">
        <w:tab/>
        <w:t>For paragraph 1013D(1)(m) of the Act, for a Product Disclosure Statement that is required in relation to a general insurance product, if:</w:t>
      </w:r>
    </w:p>
    <w:p w14:paraId="479CB44E" w14:textId="77777777" w:rsidR="00E93F58" w:rsidRPr="00283424" w:rsidRDefault="00E93F58" w:rsidP="00B50726">
      <w:pPr>
        <w:pStyle w:val="paragraph"/>
        <w:rPr>
          <w:color w:val="000000"/>
        </w:rPr>
      </w:pPr>
      <w:r w:rsidRPr="00283424">
        <w:rPr>
          <w:color w:val="000000"/>
        </w:rPr>
        <w:tab/>
        <w:t>(a)</w:t>
      </w:r>
      <w:r w:rsidRPr="00283424">
        <w:rPr>
          <w:color w:val="000000"/>
        </w:rPr>
        <w:tab/>
        <w:t>information is required to be stated in dollars; and</w:t>
      </w:r>
    </w:p>
    <w:p w14:paraId="61BDE7BB" w14:textId="77777777" w:rsidR="00E93F58" w:rsidRPr="00283424" w:rsidRDefault="00E93F58" w:rsidP="00B50726">
      <w:pPr>
        <w:pStyle w:val="paragraph"/>
      </w:pPr>
      <w:r w:rsidRPr="00283424">
        <w:tab/>
        <w:t>(b)</w:t>
      </w:r>
      <w:r w:rsidRPr="00283424">
        <w:tab/>
        <w:t>the amount can only be determined:</w:t>
      </w:r>
    </w:p>
    <w:p w14:paraId="4D6FD124" w14:textId="77777777" w:rsidR="00E93F58" w:rsidRPr="00283424" w:rsidRDefault="00E93F58" w:rsidP="00B50726">
      <w:pPr>
        <w:pStyle w:val="paragraphsub"/>
      </w:pPr>
      <w:r w:rsidRPr="00283424">
        <w:rPr>
          <w:color w:val="000000"/>
        </w:rPr>
        <w:tab/>
        <w:t>(i)</w:t>
      </w:r>
      <w:r w:rsidRPr="00283424">
        <w:rPr>
          <w:color w:val="000000"/>
        </w:rPr>
        <w:tab/>
        <w:t>after the responsible person assesses the risk of the insured; or</w:t>
      </w:r>
    </w:p>
    <w:p w14:paraId="55B7349C" w14:textId="77777777" w:rsidR="00E93F58" w:rsidRPr="00283424" w:rsidRDefault="00E93F58" w:rsidP="00B50726">
      <w:pPr>
        <w:pStyle w:val="paragraphsub"/>
      </w:pPr>
      <w:r w:rsidRPr="00283424">
        <w:tab/>
        <w:t>(ii)</w:t>
      </w:r>
      <w:r w:rsidRPr="00283424">
        <w:tab/>
        <w:t>after the insured has nominated desired levels of insurance cover;</w:t>
      </w:r>
    </w:p>
    <w:p w14:paraId="706A190A" w14:textId="77777777" w:rsidR="00E93F58" w:rsidRPr="00283424" w:rsidRDefault="00E93F58" w:rsidP="00B50726">
      <w:pPr>
        <w:pStyle w:val="subsection2"/>
      </w:pPr>
      <w:r w:rsidRPr="00283424">
        <w:rPr>
          <w:color w:val="000000"/>
        </w:rPr>
        <w:t>the responsible person may comply with the requirement to state the information by either of the ways mentioned in subregulation (5).</w:t>
      </w:r>
    </w:p>
    <w:p w14:paraId="314F82B4" w14:textId="77777777" w:rsidR="00E93F58" w:rsidRPr="00283424" w:rsidRDefault="00E93F58" w:rsidP="00B50726">
      <w:pPr>
        <w:pStyle w:val="subsection"/>
      </w:pPr>
      <w:r w:rsidRPr="00283424">
        <w:tab/>
        <w:t>(5)</w:t>
      </w:r>
      <w:r w:rsidRPr="00283424">
        <w:tab/>
        <w:t>For subregulation (4), the responsible person may state the information by:</w:t>
      </w:r>
    </w:p>
    <w:p w14:paraId="525606C9" w14:textId="77777777" w:rsidR="00E93F58" w:rsidRPr="00283424" w:rsidRDefault="00E93F58" w:rsidP="00B50726">
      <w:pPr>
        <w:pStyle w:val="paragraph"/>
      </w:pPr>
      <w:r w:rsidRPr="00283424">
        <w:rPr>
          <w:color w:val="000000"/>
        </w:rPr>
        <w:tab/>
        <w:t>(a)</w:t>
      </w:r>
      <w:r w:rsidRPr="00283424">
        <w:rPr>
          <w:color w:val="000000"/>
        </w:rPr>
        <w:tab/>
        <w:t>stating an amount in dollars in the Product Disclosure Statement; or</w:t>
      </w:r>
    </w:p>
    <w:p w14:paraId="494F2D3A" w14:textId="77777777" w:rsidR="00E93F58" w:rsidRPr="00283424" w:rsidRDefault="00E93F58" w:rsidP="00B50726">
      <w:pPr>
        <w:pStyle w:val="paragraph"/>
      </w:pPr>
      <w:r w:rsidRPr="00283424">
        <w:tab/>
        <w:t>(b)</w:t>
      </w:r>
      <w:r w:rsidRPr="00283424">
        <w:tab/>
        <w:t>giving to the insured:</w:t>
      </w:r>
    </w:p>
    <w:p w14:paraId="7D86EC99" w14:textId="77777777" w:rsidR="00E93F58" w:rsidRPr="00283424" w:rsidRDefault="00E93F58" w:rsidP="00B50726">
      <w:pPr>
        <w:pStyle w:val="paragraphsub"/>
      </w:pPr>
      <w:r w:rsidRPr="00283424">
        <w:rPr>
          <w:color w:val="000000"/>
        </w:rPr>
        <w:tab/>
        <w:t>(i)</w:t>
      </w:r>
      <w:r w:rsidRPr="00283424">
        <w:rPr>
          <w:color w:val="000000"/>
        </w:rPr>
        <w:tab/>
        <w:t>a document containing the information, as soon as practicable (but in any case, not later than 5 business days after the responsible person issues the general insurance product); and</w:t>
      </w:r>
    </w:p>
    <w:p w14:paraId="3C2FA451" w14:textId="77777777" w:rsidR="00E93F58" w:rsidRPr="00283424" w:rsidRDefault="00E93F58" w:rsidP="00B50726">
      <w:pPr>
        <w:pStyle w:val="paragraphsub"/>
      </w:pPr>
      <w:r w:rsidRPr="00283424">
        <w:tab/>
        <w:t>(ii)</w:t>
      </w:r>
      <w:r w:rsidRPr="00283424">
        <w:tab/>
        <w:t>a statement in the Product Disclosure Statement that sets out the information in at least 1 of the following formats:</w:t>
      </w:r>
    </w:p>
    <w:p w14:paraId="0ABF7F49" w14:textId="77777777" w:rsidR="00E93F58" w:rsidRPr="00283424" w:rsidRDefault="00E93F58" w:rsidP="00B50726">
      <w:pPr>
        <w:pStyle w:val="paragraphsub-sub"/>
      </w:pPr>
      <w:r w:rsidRPr="00283424">
        <w:rPr>
          <w:color w:val="000000"/>
        </w:rPr>
        <w:tab/>
        <w:t>(A)</w:t>
      </w:r>
      <w:r w:rsidRPr="00283424">
        <w:rPr>
          <w:color w:val="000000"/>
        </w:rPr>
        <w:tab/>
        <w:t>as a range of amounts in dollars;</w:t>
      </w:r>
    </w:p>
    <w:p w14:paraId="6F82CE69" w14:textId="77777777" w:rsidR="00E93F58" w:rsidRPr="00283424" w:rsidRDefault="00E93F58" w:rsidP="00B50726">
      <w:pPr>
        <w:pStyle w:val="paragraphsub-sub"/>
      </w:pPr>
      <w:r w:rsidRPr="00283424">
        <w:tab/>
        <w:t>(B)</w:t>
      </w:r>
      <w:r w:rsidRPr="00283424">
        <w:tab/>
        <w:t>as a percentage of a matter that is mentioned in the statement;</w:t>
      </w:r>
    </w:p>
    <w:p w14:paraId="08358982" w14:textId="77777777" w:rsidR="00E93F58" w:rsidRPr="00283424" w:rsidRDefault="00E93F58" w:rsidP="00B50726">
      <w:pPr>
        <w:pStyle w:val="paragraphsub-sub"/>
      </w:pPr>
      <w:r w:rsidRPr="00283424">
        <w:tab/>
        <w:t>(C)</w:t>
      </w:r>
      <w:r w:rsidRPr="00283424">
        <w:tab/>
        <w:t>as a description.</w:t>
      </w:r>
    </w:p>
    <w:p w14:paraId="08E90158" w14:textId="77777777" w:rsidR="00E93F58" w:rsidRPr="00283424" w:rsidRDefault="00E93F58" w:rsidP="00B50726">
      <w:pPr>
        <w:pStyle w:val="ActHead5"/>
      </w:pPr>
      <w:bookmarkStart w:id="1664" w:name="_Toc152054808"/>
      <w:bookmarkStart w:id="1665" w:name="_Toc158712624"/>
      <w:r w:rsidRPr="006F296E">
        <w:rPr>
          <w:rStyle w:val="CharSectno"/>
        </w:rPr>
        <w:t>7.9.15CA</w:t>
      </w:r>
      <w:r w:rsidRPr="00283424">
        <w:t xml:space="preserve">  Less information in Product Disclosure Statement—financial claims scheme</w:t>
      </w:r>
      <w:bookmarkEnd w:id="1664"/>
      <w:bookmarkEnd w:id="1665"/>
    </w:p>
    <w:p w14:paraId="6DE53A86" w14:textId="77777777" w:rsidR="00E93F58" w:rsidRPr="00283424" w:rsidRDefault="00E93F58" w:rsidP="00B50726">
      <w:pPr>
        <w:pStyle w:val="subsection"/>
      </w:pPr>
      <w:r w:rsidRPr="00283424">
        <w:tab/>
        <w:t>(1)</w:t>
      </w:r>
      <w:r w:rsidRPr="00283424">
        <w:tab/>
        <w:t>This regulation applies from 18 April 2010 to 11 October 2011.</w:t>
      </w:r>
    </w:p>
    <w:p w14:paraId="0E03114E" w14:textId="77777777" w:rsidR="00E93F58" w:rsidRPr="00283424" w:rsidRDefault="00E93F58" w:rsidP="00B50726">
      <w:pPr>
        <w:pStyle w:val="subsection"/>
      </w:pPr>
      <w:r w:rsidRPr="00283424">
        <w:tab/>
        <w:t>(2)</w:t>
      </w:r>
      <w:r w:rsidRPr="00283424">
        <w:tab/>
        <w:t xml:space="preserve">For paragraph 1013D(4)(b) of the Act, paragraphs 1013D(1)(b) and (f) of the Act do not require a Product Disclosure Statement to contain information relating to Division 2AA of Part II of the </w:t>
      </w:r>
      <w:r w:rsidRPr="00283424">
        <w:rPr>
          <w:i/>
        </w:rPr>
        <w:t>Banking Act 1959</w:t>
      </w:r>
      <w:r w:rsidRPr="00283424">
        <w:t xml:space="preserve"> or Part VC of the </w:t>
      </w:r>
      <w:r w:rsidRPr="00283424">
        <w:rPr>
          <w:i/>
        </w:rPr>
        <w:t>Insurance Act 1973</w:t>
      </w:r>
      <w:r w:rsidRPr="00283424">
        <w:t>.</w:t>
      </w:r>
    </w:p>
    <w:p w14:paraId="26BBA319" w14:textId="77777777" w:rsidR="00E93F58" w:rsidRPr="00283424" w:rsidRDefault="00E93F58" w:rsidP="00B50726">
      <w:pPr>
        <w:pStyle w:val="ActHead5"/>
      </w:pPr>
      <w:bookmarkStart w:id="1666" w:name="_Toc152054809"/>
      <w:bookmarkStart w:id="1667" w:name="_Toc158712625"/>
      <w:r w:rsidRPr="006F296E">
        <w:rPr>
          <w:rStyle w:val="CharSectno"/>
        </w:rPr>
        <w:t>7.9.15D</w:t>
      </w:r>
      <w:r w:rsidRPr="00283424">
        <w:t xml:space="preserve">  Less information in product disclosure statement: general insurance product</w:t>
      </w:r>
      <w:bookmarkEnd w:id="1666"/>
      <w:bookmarkEnd w:id="1667"/>
    </w:p>
    <w:p w14:paraId="076CADAF" w14:textId="77777777" w:rsidR="00E93F58" w:rsidRPr="00283424" w:rsidRDefault="00E93F58" w:rsidP="00B50726">
      <w:pPr>
        <w:pStyle w:val="subsection"/>
      </w:pPr>
      <w:r w:rsidRPr="00283424">
        <w:tab/>
      </w:r>
      <w:r w:rsidRPr="00283424">
        <w:tab/>
        <w:t>For paragraph 1013D(4)(a) of the Act, the following provisions do not apply to a Product Disclosure Statement that relates to a general insurance product:</w:t>
      </w:r>
    </w:p>
    <w:p w14:paraId="6F4FBD81" w14:textId="77777777" w:rsidR="00E93F58" w:rsidRPr="00283424" w:rsidRDefault="00E93F58" w:rsidP="00B50726">
      <w:pPr>
        <w:pStyle w:val="paragraph"/>
      </w:pPr>
      <w:r w:rsidRPr="00283424">
        <w:tab/>
        <w:t>(a)</w:t>
      </w:r>
      <w:r w:rsidRPr="00283424">
        <w:tab/>
        <w:t>paragraph 1013D(1)(c);</w:t>
      </w:r>
    </w:p>
    <w:p w14:paraId="61260123" w14:textId="77777777" w:rsidR="00E93F58" w:rsidRPr="00283424" w:rsidRDefault="00E93F58" w:rsidP="00B50726">
      <w:pPr>
        <w:pStyle w:val="paragraph"/>
      </w:pPr>
      <w:r w:rsidRPr="00283424">
        <w:tab/>
        <w:t>(b)</w:t>
      </w:r>
      <w:r w:rsidRPr="00283424">
        <w:tab/>
        <w:t>subparagraph 1013D(1)(d)(iii);</w:t>
      </w:r>
    </w:p>
    <w:p w14:paraId="0A067E8D" w14:textId="77777777" w:rsidR="00E93F58" w:rsidRPr="00283424" w:rsidRDefault="00E93F58" w:rsidP="00B50726">
      <w:pPr>
        <w:pStyle w:val="paragraph"/>
      </w:pPr>
      <w:r w:rsidRPr="00283424">
        <w:tab/>
        <w:t>(c)</w:t>
      </w:r>
      <w:r w:rsidRPr="00283424">
        <w:tab/>
        <w:t>paragraph 1013D(1)(e);</w:t>
      </w:r>
    </w:p>
    <w:p w14:paraId="36318ABD" w14:textId="77777777" w:rsidR="00E93F58" w:rsidRPr="00283424" w:rsidRDefault="00E93F58" w:rsidP="00B50726">
      <w:pPr>
        <w:pStyle w:val="paragraph"/>
      </w:pPr>
      <w:r w:rsidRPr="00283424">
        <w:tab/>
        <w:t>(d)</w:t>
      </w:r>
      <w:r w:rsidRPr="00283424">
        <w:tab/>
        <w:t>paragraph 1013D(1)(h);</w:t>
      </w:r>
    </w:p>
    <w:p w14:paraId="25A4523F" w14:textId="77777777" w:rsidR="00E93F58" w:rsidRPr="00283424" w:rsidRDefault="00E93F58" w:rsidP="00B50726">
      <w:pPr>
        <w:pStyle w:val="paragraph"/>
      </w:pPr>
      <w:r w:rsidRPr="00283424">
        <w:tab/>
        <w:t>(e)</w:t>
      </w:r>
      <w:r w:rsidRPr="00283424">
        <w:tab/>
        <w:t>paragraph 1013D(1)(j);</w:t>
      </w:r>
    </w:p>
    <w:p w14:paraId="2BF40FB5" w14:textId="77777777" w:rsidR="00E93F58" w:rsidRPr="00283424" w:rsidRDefault="00E93F58" w:rsidP="00B50726">
      <w:pPr>
        <w:pStyle w:val="paragraph"/>
      </w:pPr>
      <w:r w:rsidRPr="00283424">
        <w:tab/>
        <w:t>(f)</w:t>
      </w:r>
      <w:r w:rsidRPr="00283424">
        <w:tab/>
        <w:t>paragraph 1013D(1)(l).</w:t>
      </w:r>
    </w:p>
    <w:p w14:paraId="4D0B5DE8" w14:textId="77777777" w:rsidR="00E93F58" w:rsidRPr="00283424" w:rsidRDefault="00E93F58" w:rsidP="00B50726">
      <w:pPr>
        <w:pStyle w:val="ActHead5"/>
      </w:pPr>
      <w:bookmarkStart w:id="1668" w:name="_Toc152054810"/>
      <w:bookmarkStart w:id="1669" w:name="_Toc158712626"/>
      <w:r w:rsidRPr="006F296E">
        <w:rPr>
          <w:rStyle w:val="CharSectno"/>
        </w:rPr>
        <w:lastRenderedPageBreak/>
        <w:t>7.9.15DA</w:t>
      </w:r>
      <w:r w:rsidRPr="00283424">
        <w:t xml:space="preserve">  Statement or information not included in a Product Disclosure Statement</w:t>
      </w:r>
      <w:bookmarkEnd w:id="1668"/>
      <w:bookmarkEnd w:id="1669"/>
    </w:p>
    <w:p w14:paraId="481E6E3D" w14:textId="77777777" w:rsidR="00E93F58" w:rsidRPr="00283424" w:rsidRDefault="00E93F58" w:rsidP="00B50726">
      <w:pPr>
        <w:pStyle w:val="subsection"/>
      </w:pPr>
      <w:r w:rsidRPr="00283424">
        <w:tab/>
        <w:t>(1)</w:t>
      </w:r>
      <w:r w:rsidRPr="00283424">
        <w:tab/>
        <w:t>For paragraph 1020G(1)(c) of the Act, and subject to subregulation (1A) and (4), a responsible person is not required to include a statement or information mentioned in Part 7.9 of the Act in a Product Disclosure Statement if:</w:t>
      </w:r>
    </w:p>
    <w:p w14:paraId="5277F5A6" w14:textId="77777777" w:rsidR="00E93F58" w:rsidRPr="00283424" w:rsidRDefault="00E93F58" w:rsidP="00B50726">
      <w:pPr>
        <w:pStyle w:val="paragraph"/>
      </w:pPr>
      <w:r w:rsidRPr="00283424">
        <w:rPr>
          <w:color w:val="000000"/>
        </w:rPr>
        <w:tab/>
        <w:t>(a)</w:t>
      </w:r>
      <w:r w:rsidRPr="00283424">
        <w:rPr>
          <w:color w:val="000000"/>
        </w:rPr>
        <w:tab/>
        <w:t>the statement or information is in writing and is publicly available in a document other than the Product Disclosure Statement; and</w:t>
      </w:r>
    </w:p>
    <w:p w14:paraId="5F17B2D3" w14:textId="77777777" w:rsidR="00E93F58" w:rsidRPr="00283424" w:rsidRDefault="00E93F58" w:rsidP="00B50726">
      <w:pPr>
        <w:pStyle w:val="paragraph"/>
      </w:pPr>
      <w:r w:rsidRPr="00283424">
        <w:tab/>
        <w:t>(b)</w:t>
      </w:r>
      <w:r w:rsidRPr="00283424">
        <w:tab/>
        <w:t>the Product Disclosure Statement:</w:t>
      </w:r>
    </w:p>
    <w:p w14:paraId="2B343A78" w14:textId="77777777" w:rsidR="00E93F58" w:rsidRPr="00283424" w:rsidRDefault="00E93F58" w:rsidP="00B50726">
      <w:pPr>
        <w:pStyle w:val="paragraphsub"/>
      </w:pPr>
      <w:r w:rsidRPr="00283424">
        <w:rPr>
          <w:color w:val="000000"/>
        </w:rPr>
        <w:tab/>
        <w:t>(i)</w:t>
      </w:r>
      <w:r w:rsidRPr="00283424">
        <w:rPr>
          <w:color w:val="000000"/>
        </w:rPr>
        <w:tab/>
        <w:t>refers to the statement or information; and</w:t>
      </w:r>
    </w:p>
    <w:p w14:paraId="0DB3E410" w14:textId="77777777" w:rsidR="00E93F58" w:rsidRPr="00283424" w:rsidRDefault="00E93F58" w:rsidP="00B50726">
      <w:pPr>
        <w:pStyle w:val="paragraphsub"/>
      </w:pPr>
      <w:r w:rsidRPr="00283424">
        <w:tab/>
        <w:t>(ii)</w:t>
      </w:r>
      <w:r w:rsidRPr="00283424">
        <w:tab/>
        <w:t>provides sufficient details about the statement or information to enable a person:</w:t>
      </w:r>
    </w:p>
    <w:p w14:paraId="494104D1" w14:textId="77777777" w:rsidR="00E93F58" w:rsidRPr="00283424" w:rsidRDefault="00E93F58" w:rsidP="00B50726">
      <w:pPr>
        <w:pStyle w:val="paragraphsub-sub"/>
      </w:pPr>
      <w:r w:rsidRPr="00283424">
        <w:rPr>
          <w:color w:val="000000"/>
        </w:rPr>
        <w:tab/>
        <w:t>(A)</w:t>
      </w:r>
      <w:r w:rsidRPr="00283424">
        <w:rPr>
          <w:color w:val="000000"/>
        </w:rPr>
        <w:tab/>
        <w:t>to identify by a unique identifier the document, or part of the document, that contains the statement or information; and</w:t>
      </w:r>
    </w:p>
    <w:p w14:paraId="5E6298F2" w14:textId="77777777" w:rsidR="00E93F58" w:rsidRPr="00283424" w:rsidRDefault="00E93F58" w:rsidP="00B50726">
      <w:pPr>
        <w:pStyle w:val="paragraphsub-sub"/>
      </w:pPr>
      <w:r w:rsidRPr="00283424">
        <w:tab/>
        <w:t>(B)</w:t>
      </w:r>
      <w:r w:rsidRPr="00283424">
        <w:tab/>
        <w:t>to locate the statement or information; and</w:t>
      </w:r>
    </w:p>
    <w:p w14:paraId="07925FA6" w14:textId="77777777" w:rsidR="00E93F58" w:rsidRPr="00283424" w:rsidRDefault="00E93F58" w:rsidP="00B50726">
      <w:pPr>
        <w:pStyle w:val="paragraphsub-sub"/>
      </w:pPr>
      <w:r w:rsidRPr="00283424">
        <w:tab/>
        <w:t>(C)</w:t>
      </w:r>
      <w:r w:rsidRPr="00283424">
        <w:tab/>
        <w:t>to decide whether or not to read the statement or information or obtain a copy of the statement or information; and</w:t>
      </w:r>
    </w:p>
    <w:p w14:paraId="156C0DB8" w14:textId="77777777" w:rsidR="00E93F58" w:rsidRPr="00283424" w:rsidRDefault="00E93F58" w:rsidP="00B50726">
      <w:pPr>
        <w:pStyle w:val="paragraphsub"/>
      </w:pPr>
      <w:r w:rsidRPr="00283424">
        <w:rPr>
          <w:color w:val="000000"/>
        </w:rPr>
        <w:tab/>
        <w:t>(iii)</w:t>
      </w:r>
      <w:r w:rsidRPr="00283424">
        <w:rPr>
          <w:color w:val="000000"/>
        </w:rPr>
        <w:tab/>
        <w:t>states that a copy of the statement or information may be obtained from the responsible person on request, at no charge; and</w:t>
      </w:r>
    </w:p>
    <w:p w14:paraId="6D56F7F9" w14:textId="77777777" w:rsidR="00E93F58" w:rsidRPr="00283424" w:rsidRDefault="00E93F58" w:rsidP="00B50726">
      <w:pPr>
        <w:pStyle w:val="paragraph"/>
      </w:pPr>
      <w:r w:rsidRPr="00283424">
        <w:rPr>
          <w:color w:val="000000"/>
        </w:rPr>
        <w:tab/>
        <w:t>(c)</w:t>
      </w:r>
      <w:r w:rsidRPr="00283424">
        <w:rPr>
          <w:color w:val="000000"/>
        </w:rPr>
        <w:tab/>
        <w:t>the statement or information is not a statement or information that is in a Short</w:t>
      </w:r>
      <w:r>
        <w:rPr>
          <w:color w:val="000000"/>
        </w:rPr>
        <w:noBreakHyphen/>
      </w:r>
      <w:r w:rsidRPr="00283424">
        <w:rPr>
          <w:color w:val="000000"/>
        </w:rPr>
        <w:t>Form Product Disclosure Statement.</w:t>
      </w:r>
    </w:p>
    <w:p w14:paraId="3C740B23" w14:textId="77777777" w:rsidR="00E93F58" w:rsidRPr="00283424" w:rsidRDefault="00E93F58" w:rsidP="00B50726">
      <w:pPr>
        <w:pStyle w:val="subsection"/>
      </w:pPr>
      <w:r w:rsidRPr="00283424">
        <w:tab/>
        <w:t>(1A)</w:t>
      </w:r>
      <w:r w:rsidRPr="00283424">
        <w:tab/>
        <w:t>This regulation does not apply if the Product Disclosure Statement is for:</w:t>
      </w:r>
    </w:p>
    <w:p w14:paraId="4ADC04F9" w14:textId="77777777" w:rsidR="00E93F58" w:rsidRPr="00283424" w:rsidRDefault="00E93F58" w:rsidP="00B50726">
      <w:pPr>
        <w:pStyle w:val="paragraph"/>
      </w:pPr>
      <w:r w:rsidRPr="00283424">
        <w:tab/>
        <w:t>(a)</w:t>
      </w:r>
      <w:r w:rsidRPr="00283424">
        <w:tab/>
        <w:t xml:space="preserve">a </w:t>
      </w:r>
      <w:r w:rsidRPr="00BE1284">
        <w:t>standard margin lending facility</w:t>
      </w:r>
      <w:r w:rsidRPr="00283424">
        <w:t>; or</w:t>
      </w:r>
    </w:p>
    <w:p w14:paraId="75B79454" w14:textId="77777777" w:rsidR="00E93F58" w:rsidRPr="00283424" w:rsidRDefault="00E93F58" w:rsidP="00B50726">
      <w:pPr>
        <w:pStyle w:val="paragraph"/>
      </w:pPr>
      <w:r w:rsidRPr="00283424">
        <w:tab/>
        <w:t>(b)</w:t>
      </w:r>
      <w:r w:rsidRPr="00283424">
        <w:tab/>
        <w:t>a superannuation product to which Subdivision 4.2B of Division 4 of this Part applies; or</w:t>
      </w:r>
    </w:p>
    <w:p w14:paraId="1EC24C7C" w14:textId="77777777" w:rsidR="00E93F58" w:rsidRPr="00283424" w:rsidRDefault="00E93F58" w:rsidP="00B50726">
      <w:pPr>
        <w:pStyle w:val="paragraph"/>
      </w:pPr>
      <w:r w:rsidRPr="00283424">
        <w:tab/>
        <w:t>(c)</w:t>
      </w:r>
      <w:r w:rsidRPr="00283424">
        <w:tab/>
        <w:t>a simple managed investment scheme to which Subdivision 4.2C of Division 4 of this Part applies; or</w:t>
      </w:r>
    </w:p>
    <w:p w14:paraId="1EFCEF2A" w14:textId="77777777" w:rsidR="00E93F58" w:rsidRPr="00283424" w:rsidRDefault="00E93F58" w:rsidP="00B50726">
      <w:pPr>
        <w:pStyle w:val="paragraph"/>
      </w:pPr>
      <w:r w:rsidRPr="00283424">
        <w:tab/>
        <w:t>(d)</w:t>
      </w:r>
      <w:r w:rsidRPr="00283424">
        <w:tab/>
        <w:t>a simple sub</w:t>
      </w:r>
      <w:r>
        <w:noBreakHyphen/>
      </w:r>
      <w:r w:rsidRPr="00283424">
        <w:t>fund product to which Subdivision 4.2D of Division 4 of this Part applies.</w:t>
      </w:r>
    </w:p>
    <w:p w14:paraId="686FE7FC" w14:textId="77777777" w:rsidR="00E93F58" w:rsidRPr="00283424" w:rsidRDefault="00E93F58" w:rsidP="00B50726">
      <w:pPr>
        <w:pStyle w:val="subsection"/>
      </w:pPr>
      <w:r w:rsidRPr="00283424">
        <w:rPr>
          <w:color w:val="000000"/>
        </w:rPr>
        <w:tab/>
        <w:t>(2)</w:t>
      </w:r>
      <w:r w:rsidRPr="00283424">
        <w:rPr>
          <w:color w:val="000000"/>
        </w:rPr>
        <w:tab/>
        <w:t>If the client requests a copy of the statement or information that the responsible person is not required to include in accordance with subregulation (1), the responsible person must provide the copy as soon as practicable, at no charge.</w:t>
      </w:r>
    </w:p>
    <w:p w14:paraId="2823A490" w14:textId="77777777" w:rsidR="00E93F58" w:rsidRPr="00283424" w:rsidRDefault="00E93F58" w:rsidP="00B50726">
      <w:pPr>
        <w:pStyle w:val="subsection"/>
      </w:pPr>
      <w:r w:rsidRPr="00283424">
        <w:tab/>
        <w:t>(3)</w:t>
      </w:r>
      <w:r w:rsidRPr="00283424">
        <w:tab/>
        <w:t>If a statement or information is not included in a Product Disclosure Statement because of subregulation (1), the statement or information is taken to be included in the Product Disclosure Statement.</w:t>
      </w:r>
    </w:p>
    <w:p w14:paraId="7A6CDF02" w14:textId="77777777" w:rsidR="00E93F58" w:rsidRPr="00283424" w:rsidRDefault="00E93F58" w:rsidP="00B50726">
      <w:pPr>
        <w:pStyle w:val="subsection"/>
      </w:pPr>
      <w:r w:rsidRPr="00283424">
        <w:tab/>
        <w:t>(4)</w:t>
      </w:r>
      <w:r w:rsidRPr="00283424">
        <w:tab/>
        <w:t>Despite subregulation (3), if a responsible person does not include a statement or information in a Product Disclosure Statement in accordance with subregulation (1), the responsible person must include the following information in the Product Disclosure Statement:</w:t>
      </w:r>
    </w:p>
    <w:p w14:paraId="3DB4407E" w14:textId="77777777" w:rsidR="00E93F58" w:rsidRPr="00283424" w:rsidRDefault="00E93F58" w:rsidP="00B50726">
      <w:pPr>
        <w:pStyle w:val="paragraph"/>
      </w:pPr>
      <w:r w:rsidRPr="00283424">
        <w:rPr>
          <w:color w:val="000000"/>
        </w:rPr>
        <w:tab/>
        <w:t>(a)</w:t>
      </w:r>
      <w:r w:rsidRPr="00283424">
        <w:rPr>
          <w:color w:val="000000"/>
        </w:rPr>
        <w:tab/>
        <w:t>for information required by paragraph 1013D(1)(b) or (f) of the Act—a description, in summary, of the purpose and key features of the product;</w:t>
      </w:r>
    </w:p>
    <w:p w14:paraId="471B09D9" w14:textId="77777777" w:rsidR="00E93F58" w:rsidRPr="00283424" w:rsidRDefault="00E93F58" w:rsidP="00B50726">
      <w:pPr>
        <w:pStyle w:val="paragraph"/>
      </w:pPr>
      <w:r w:rsidRPr="00283424">
        <w:tab/>
        <w:t>(b)</w:t>
      </w:r>
      <w:r w:rsidRPr="00283424">
        <w:tab/>
        <w:t>for information required by paragraph 1013D(1)(c) of the Act—a description, in summary, of the key risks of the product;</w:t>
      </w:r>
    </w:p>
    <w:p w14:paraId="7355AF22" w14:textId="77777777" w:rsidR="00E93F58" w:rsidRPr="00283424" w:rsidRDefault="00E93F58" w:rsidP="00B50726">
      <w:pPr>
        <w:pStyle w:val="paragraph"/>
      </w:pPr>
      <w:r w:rsidRPr="00283424">
        <w:tab/>
        <w:t>(c)</w:t>
      </w:r>
      <w:r w:rsidRPr="00283424">
        <w:tab/>
        <w:t>the information required by:</w:t>
      </w:r>
    </w:p>
    <w:p w14:paraId="392C9B5F" w14:textId="77777777" w:rsidR="00E93F58" w:rsidRPr="00283424" w:rsidRDefault="00E93F58" w:rsidP="00B50726">
      <w:pPr>
        <w:pStyle w:val="paragraphsub"/>
      </w:pPr>
      <w:r w:rsidRPr="00283424">
        <w:rPr>
          <w:color w:val="000000"/>
        </w:rPr>
        <w:tab/>
        <w:t>(i)</w:t>
      </w:r>
      <w:r w:rsidRPr="00283424">
        <w:rPr>
          <w:color w:val="000000"/>
        </w:rPr>
        <w:tab/>
        <w:t>paragraphs 1013D(1)(a), (g) and (i) of the Act; and</w:t>
      </w:r>
    </w:p>
    <w:p w14:paraId="7F515443" w14:textId="77777777" w:rsidR="00E93F58" w:rsidRPr="00283424" w:rsidRDefault="00E93F58" w:rsidP="00B50726">
      <w:pPr>
        <w:pStyle w:val="paragraphsub"/>
      </w:pPr>
      <w:r w:rsidRPr="00283424">
        <w:tab/>
        <w:t>(ii)</w:t>
      </w:r>
      <w:r w:rsidRPr="00283424">
        <w:tab/>
        <w:t>Divisions 1 and 2 of Part 2 of Schedule 10; and</w:t>
      </w:r>
    </w:p>
    <w:p w14:paraId="6E1A9CDA" w14:textId="77777777" w:rsidR="00E93F58" w:rsidRPr="00283424" w:rsidRDefault="00E93F58" w:rsidP="00B50726">
      <w:pPr>
        <w:pStyle w:val="paragraphsub"/>
      </w:pPr>
      <w:r w:rsidRPr="00283424">
        <w:tab/>
        <w:t>(iii)</w:t>
      </w:r>
      <w:r w:rsidRPr="00283424">
        <w:tab/>
        <w:t>paragraphs 209(e) and (h) of Division 4 of Part 2 of Schedule 10; and</w:t>
      </w:r>
    </w:p>
    <w:p w14:paraId="0E00439F" w14:textId="77777777" w:rsidR="00E93F58" w:rsidRPr="00283424" w:rsidRDefault="00E93F58" w:rsidP="00B50726">
      <w:pPr>
        <w:pStyle w:val="paragraphsub"/>
      </w:pPr>
      <w:r w:rsidRPr="00283424">
        <w:tab/>
        <w:t>(iv)</w:t>
      </w:r>
      <w:r w:rsidRPr="00283424">
        <w:tab/>
        <w:t>Divisions 5 and 6 of Part 2 of Schedule 10;</w:t>
      </w:r>
    </w:p>
    <w:p w14:paraId="3B2ED7F2" w14:textId="77777777" w:rsidR="00E93F58" w:rsidRPr="00283424" w:rsidRDefault="00E93F58" w:rsidP="00B50726">
      <w:pPr>
        <w:pStyle w:val="paragraph"/>
      </w:pPr>
      <w:r w:rsidRPr="00283424">
        <w:rPr>
          <w:color w:val="000000"/>
        </w:rPr>
        <w:tab/>
        <w:t>(d)</w:t>
      </w:r>
      <w:r w:rsidRPr="00283424">
        <w:rPr>
          <w:color w:val="000000"/>
        </w:rPr>
        <w:tab/>
        <w:t>the Consumer Advisory Warning in Division 7 of Part 2 of Schedule 10.</w:t>
      </w:r>
    </w:p>
    <w:p w14:paraId="0F1F26B3" w14:textId="77777777" w:rsidR="00E93F58" w:rsidRPr="00283424" w:rsidRDefault="00E93F58" w:rsidP="00B50726">
      <w:pPr>
        <w:pStyle w:val="ActHead5"/>
        <w:rPr>
          <w:rFonts w:eastAsia="MS Mincho"/>
        </w:rPr>
      </w:pPr>
      <w:bookmarkStart w:id="1670" w:name="_Toc152054811"/>
      <w:bookmarkStart w:id="1671" w:name="_Toc158712627"/>
      <w:r w:rsidRPr="006F296E">
        <w:rPr>
          <w:rStyle w:val="CharSectno"/>
          <w:rFonts w:eastAsia="MS Mincho"/>
        </w:rPr>
        <w:t>7.9.15DB</w:t>
      </w:r>
      <w:r w:rsidRPr="00283424">
        <w:rPr>
          <w:rFonts w:eastAsia="MS Mincho"/>
        </w:rPr>
        <w:t xml:space="preserve">  Requirement to keep record of Product Disclosure Statement and other documents</w:t>
      </w:r>
      <w:bookmarkEnd w:id="1670"/>
      <w:bookmarkEnd w:id="1671"/>
    </w:p>
    <w:p w14:paraId="391C54F4" w14:textId="77777777" w:rsidR="00E93F58" w:rsidRPr="00283424" w:rsidRDefault="00E93F58" w:rsidP="00B50726">
      <w:pPr>
        <w:pStyle w:val="subsection"/>
      </w:pPr>
      <w:r w:rsidRPr="00283424">
        <w:tab/>
        <w:t>(1)</w:t>
      </w:r>
      <w:r w:rsidRPr="00283424">
        <w:tab/>
        <w:t>If section 1015B</w:t>
      </w:r>
      <w:r w:rsidRPr="00283424">
        <w:rPr>
          <w:color w:val="000000"/>
        </w:rPr>
        <w:t xml:space="preserve"> of the Act does not require a copy of a Product Disclosure Statement to be lodged with ASIC, the Statement and a document, or part of a document, mentioned in the Statement must be retained by the responsible person for that Statement for 7 years after the date of the Statement.</w:t>
      </w:r>
    </w:p>
    <w:p w14:paraId="0EF3E9C3" w14:textId="77777777" w:rsidR="00E93F58" w:rsidRPr="00283424" w:rsidRDefault="00E93F58" w:rsidP="00B50726">
      <w:pPr>
        <w:pStyle w:val="subsection"/>
      </w:pPr>
      <w:r w:rsidRPr="00283424">
        <w:tab/>
        <w:t>(2)</w:t>
      </w:r>
      <w:r w:rsidRPr="00283424">
        <w:tab/>
        <w:t>This regulation does not apply if the Product Disclosure Statement is for:</w:t>
      </w:r>
    </w:p>
    <w:p w14:paraId="3E5B9E81" w14:textId="77777777" w:rsidR="00E93F58" w:rsidRPr="00283424" w:rsidRDefault="00E93F58" w:rsidP="00B50726">
      <w:pPr>
        <w:pStyle w:val="paragraph"/>
      </w:pPr>
      <w:r w:rsidRPr="00283424">
        <w:tab/>
        <w:t>(a)</w:t>
      </w:r>
      <w:r w:rsidRPr="00283424">
        <w:tab/>
        <w:t xml:space="preserve">a </w:t>
      </w:r>
      <w:r w:rsidRPr="00BE1284">
        <w:t>standard margin lending facility</w:t>
      </w:r>
      <w:r w:rsidRPr="00283424">
        <w:t>; or</w:t>
      </w:r>
    </w:p>
    <w:p w14:paraId="5BDC8B56" w14:textId="77777777" w:rsidR="00E93F58" w:rsidRPr="00283424" w:rsidRDefault="00E93F58" w:rsidP="00B50726">
      <w:pPr>
        <w:pStyle w:val="paragraph"/>
      </w:pPr>
      <w:r w:rsidRPr="00283424">
        <w:tab/>
        <w:t>(b)</w:t>
      </w:r>
      <w:r w:rsidRPr="00283424">
        <w:tab/>
        <w:t>a superannuation product to which Subdivision 4.2B of Division 4 of this Part applies; or</w:t>
      </w:r>
    </w:p>
    <w:p w14:paraId="36DA3F3B" w14:textId="77777777" w:rsidR="00E93F58" w:rsidRPr="00283424" w:rsidRDefault="00E93F58" w:rsidP="00B50726">
      <w:pPr>
        <w:pStyle w:val="paragraph"/>
      </w:pPr>
      <w:r w:rsidRPr="00283424">
        <w:tab/>
        <w:t>(c)</w:t>
      </w:r>
      <w:r w:rsidRPr="00283424">
        <w:tab/>
        <w:t>a simple managed investment scheme to which Subdivision 4.2C of Division 4 of this Part applies; or</w:t>
      </w:r>
    </w:p>
    <w:p w14:paraId="6DB87DDE" w14:textId="77777777" w:rsidR="00E93F58" w:rsidRPr="00283424" w:rsidRDefault="00E93F58" w:rsidP="00B50726">
      <w:pPr>
        <w:pStyle w:val="paragraph"/>
      </w:pPr>
      <w:r w:rsidRPr="00283424">
        <w:tab/>
        <w:t>(d)</w:t>
      </w:r>
      <w:r w:rsidRPr="00283424">
        <w:tab/>
        <w:t>a simple sub</w:t>
      </w:r>
      <w:r>
        <w:noBreakHyphen/>
      </w:r>
      <w:r w:rsidRPr="00283424">
        <w:t>fund product to which Subdivision 4.2D of Division 4 of this Part applies.</w:t>
      </w:r>
    </w:p>
    <w:p w14:paraId="59C199C5" w14:textId="77777777" w:rsidR="00E93F58" w:rsidRPr="00283424" w:rsidRDefault="00E93F58" w:rsidP="00B50726">
      <w:pPr>
        <w:pStyle w:val="ActHead5"/>
      </w:pPr>
      <w:bookmarkStart w:id="1672" w:name="_Toc152054812"/>
      <w:bookmarkStart w:id="1673" w:name="_Toc158712628"/>
      <w:r w:rsidRPr="006F296E">
        <w:rPr>
          <w:rStyle w:val="CharSectno"/>
        </w:rPr>
        <w:lastRenderedPageBreak/>
        <w:t>7.9.15DC</w:t>
      </w:r>
      <w:r w:rsidRPr="00283424">
        <w:t xml:space="preserve">  Requirement to lodge documents mentioned in a Product Disclosure Statement with ASIC</w:t>
      </w:r>
      <w:bookmarkEnd w:id="1672"/>
      <w:bookmarkEnd w:id="1673"/>
    </w:p>
    <w:p w14:paraId="7334F899" w14:textId="77777777" w:rsidR="00E93F58" w:rsidRPr="00283424" w:rsidRDefault="00E93F58" w:rsidP="00B50726">
      <w:pPr>
        <w:pStyle w:val="subsection"/>
      </w:pPr>
      <w:r w:rsidRPr="00283424">
        <w:tab/>
        <w:t>(1)</w:t>
      </w:r>
      <w:r w:rsidRPr="00283424">
        <w:tab/>
        <w:t xml:space="preserve">A document, </w:t>
      </w:r>
      <w:r w:rsidRPr="00283424">
        <w:rPr>
          <w:color w:val="000000"/>
        </w:rPr>
        <w:t>or part of a document, mentioned in a Product Disclosure Statement that was required to be lodged with ASIC under section 1015B of the Act must be lodged with ASIC as if the document, or part of the document, were a Statement within the meaning of section 1015B of the Act.</w:t>
      </w:r>
    </w:p>
    <w:p w14:paraId="52320436" w14:textId="77777777" w:rsidR="00E93F58" w:rsidRPr="00283424" w:rsidRDefault="00E93F58" w:rsidP="00B50726">
      <w:pPr>
        <w:pStyle w:val="subsection"/>
      </w:pPr>
      <w:r w:rsidRPr="00283424">
        <w:tab/>
        <w:t>(2)</w:t>
      </w:r>
      <w:r w:rsidRPr="00283424">
        <w:tab/>
        <w:t>This regulation does not apply if the Product Disclosure Statement is for:</w:t>
      </w:r>
    </w:p>
    <w:p w14:paraId="63D8648E" w14:textId="77777777" w:rsidR="00E93F58" w:rsidRPr="00283424" w:rsidRDefault="00E93F58" w:rsidP="00B50726">
      <w:pPr>
        <w:pStyle w:val="paragraph"/>
      </w:pPr>
      <w:r w:rsidRPr="00283424">
        <w:tab/>
        <w:t>(a)</w:t>
      </w:r>
      <w:r w:rsidRPr="00283424">
        <w:tab/>
        <w:t xml:space="preserve">a </w:t>
      </w:r>
      <w:r w:rsidRPr="00BE1284">
        <w:t>standard margin lending facility</w:t>
      </w:r>
      <w:r w:rsidRPr="00283424">
        <w:t>; or</w:t>
      </w:r>
    </w:p>
    <w:p w14:paraId="7F968CB9" w14:textId="77777777" w:rsidR="00E93F58" w:rsidRPr="00283424" w:rsidRDefault="00E93F58" w:rsidP="00B50726">
      <w:pPr>
        <w:pStyle w:val="paragraph"/>
      </w:pPr>
      <w:r w:rsidRPr="00283424">
        <w:tab/>
        <w:t>(b)</w:t>
      </w:r>
      <w:r w:rsidRPr="00283424">
        <w:tab/>
        <w:t>a superannuation product to which Subdivision 4.2B of Division 4 of this Part applies; or</w:t>
      </w:r>
    </w:p>
    <w:p w14:paraId="4DA1A00C" w14:textId="77777777" w:rsidR="00E93F58" w:rsidRPr="00283424" w:rsidRDefault="00E93F58" w:rsidP="00B50726">
      <w:pPr>
        <w:pStyle w:val="paragraph"/>
      </w:pPr>
      <w:r w:rsidRPr="00283424">
        <w:tab/>
        <w:t>(c)</w:t>
      </w:r>
      <w:r w:rsidRPr="00283424">
        <w:tab/>
        <w:t>a simple managed investment scheme to which Subdivision 4.2C of Division 4 of this Part applies; or</w:t>
      </w:r>
    </w:p>
    <w:p w14:paraId="4C85DC87" w14:textId="77777777" w:rsidR="00E93F58" w:rsidRPr="00283424" w:rsidRDefault="00E93F58" w:rsidP="00B50726">
      <w:pPr>
        <w:pStyle w:val="paragraph"/>
      </w:pPr>
      <w:r w:rsidRPr="00283424">
        <w:tab/>
        <w:t>(d)</w:t>
      </w:r>
      <w:r w:rsidRPr="00283424">
        <w:tab/>
        <w:t>a simple sub</w:t>
      </w:r>
      <w:r>
        <w:noBreakHyphen/>
      </w:r>
      <w:r w:rsidRPr="00283424">
        <w:t>fund product to which Subdivision 4.2D of Division 4 of this Part applies.</w:t>
      </w:r>
    </w:p>
    <w:p w14:paraId="4669FDA9" w14:textId="77777777" w:rsidR="00E93F58" w:rsidRPr="00283424" w:rsidRDefault="00E93F58" w:rsidP="00B50726">
      <w:pPr>
        <w:pStyle w:val="ActHead5"/>
      </w:pPr>
      <w:bookmarkStart w:id="1674" w:name="_Toc152054813"/>
      <w:bookmarkStart w:id="1675" w:name="_Toc158712629"/>
      <w:r w:rsidRPr="006F296E">
        <w:rPr>
          <w:rStyle w:val="CharSectno"/>
        </w:rPr>
        <w:t>7.9.15E</w:t>
      </w:r>
      <w:r w:rsidRPr="00283424">
        <w:t xml:space="preserve">  More detailed information in product disclosure statement: general insurance product</w:t>
      </w:r>
      <w:bookmarkEnd w:id="1674"/>
      <w:bookmarkEnd w:id="1675"/>
    </w:p>
    <w:p w14:paraId="6B351555" w14:textId="77777777" w:rsidR="00E93F58" w:rsidRPr="00283424" w:rsidRDefault="00E93F58" w:rsidP="00B50726">
      <w:pPr>
        <w:pStyle w:val="subsection"/>
      </w:pPr>
      <w:r w:rsidRPr="00283424">
        <w:tab/>
      </w:r>
      <w:r w:rsidRPr="00283424">
        <w:tab/>
        <w:t>For paragraph 1013D(4)(c) of the Act, the more detailed statement of the information, for paragraph 1013D(1)(f), that must be included in a Product Disclosure Statement that relates to a general insurance product is:</w:t>
      </w:r>
    </w:p>
    <w:p w14:paraId="6E804F05" w14:textId="77777777" w:rsidR="00E93F58" w:rsidRPr="00283424" w:rsidRDefault="00E93F58" w:rsidP="00B50726">
      <w:pPr>
        <w:pStyle w:val="paragraph"/>
      </w:pPr>
      <w:r w:rsidRPr="00283424">
        <w:tab/>
        <w:t>(a)</w:t>
      </w:r>
      <w:r w:rsidRPr="00283424">
        <w:tab/>
        <w:t xml:space="preserve">the terms and conditions of the policy document (within the meaning of the </w:t>
      </w:r>
      <w:r w:rsidRPr="00283424">
        <w:rPr>
          <w:i/>
        </w:rPr>
        <w:t>Insurance Contracts Act 1984</w:t>
      </w:r>
      <w:r w:rsidRPr="00283424">
        <w:t>) being terms and conditions that are not provided in a Schedule to the policy document; and</w:t>
      </w:r>
    </w:p>
    <w:p w14:paraId="4B645772" w14:textId="77777777" w:rsidR="00E93F58" w:rsidRPr="00283424" w:rsidRDefault="00E93F58" w:rsidP="00B50726">
      <w:pPr>
        <w:pStyle w:val="paragraph"/>
      </w:pPr>
      <w:r w:rsidRPr="00283424">
        <w:tab/>
        <w:t>(b)</w:t>
      </w:r>
      <w:r w:rsidRPr="00283424">
        <w:tab/>
        <w:t xml:space="preserve">information that, if the issuer were seeking to rely on subsection 35(2) and section 37 of the </w:t>
      </w:r>
      <w:r w:rsidRPr="00283424">
        <w:rPr>
          <w:i/>
        </w:rPr>
        <w:t>Insurance Contracts Act 1984</w:t>
      </w:r>
      <w:r w:rsidRPr="00283424">
        <w:t>, the issuer would have had to provide to the insured before the contract of insurance was entered into.</w:t>
      </w:r>
    </w:p>
    <w:p w14:paraId="637B8827" w14:textId="77777777" w:rsidR="00E93F58" w:rsidRPr="00283424" w:rsidRDefault="00E93F58" w:rsidP="00B50726">
      <w:pPr>
        <w:pStyle w:val="ActHead5"/>
      </w:pPr>
      <w:bookmarkStart w:id="1676" w:name="_Toc152054814"/>
      <w:bookmarkStart w:id="1677" w:name="_Toc158712630"/>
      <w:r w:rsidRPr="006F296E">
        <w:rPr>
          <w:rStyle w:val="CharSectno"/>
        </w:rPr>
        <w:t>7.9.15F</w:t>
      </w:r>
      <w:r w:rsidRPr="00283424">
        <w:t xml:space="preserve">  Product disclosure statement: general insurance product</w:t>
      </w:r>
      <w:bookmarkEnd w:id="1676"/>
      <w:bookmarkEnd w:id="1677"/>
    </w:p>
    <w:p w14:paraId="152334E9" w14:textId="77777777" w:rsidR="00E93F58" w:rsidRPr="00283424" w:rsidRDefault="00E93F58" w:rsidP="00B50726">
      <w:pPr>
        <w:pStyle w:val="subsection"/>
      </w:pPr>
      <w:r w:rsidRPr="00283424">
        <w:tab/>
      </w:r>
      <w:r w:rsidRPr="00283424">
        <w:tab/>
        <w:t>For paragraph 1020G(1)(b) of the Act, Part 7.9 of the Act applies to general insurance products as if subparagraph 1013C(1)(a)(ii) and section 1013E were omitted.</w:t>
      </w:r>
    </w:p>
    <w:p w14:paraId="02B181F9" w14:textId="77777777" w:rsidR="00E93F58" w:rsidRPr="00283424" w:rsidRDefault="00E93F58" w:rsidP="00B50726">
      <w:pPr>
        <w:pStyle w:val="ActHead5"/>
      </w:pPr>
      <w:bookmarkStart w:id="1678" w:name="_Toc152054815"/>
      <w:bookmarkStart w:id="1679" w:name="_Toc158712631"/>
      <w:r w:rsidRPr="006F296E">
        <w:rPr>
          <w:rStyle w:val="CharSectno"/>
        </w:rPr>
        <w:t>7.9.15FA</w:t>
      </w:r>
      <w:r w:rsidRPr="00283424">
        <w:t xml:space="preserve">  </w:t>
      </w:r>
      <w:r w:rsidRPr="00283424">
        <w:rPr>
          <w:rFonts w:eastAsia="MS Mincho"/>
        </w:rPr>
        <w:t>Transitional arrangements for regulations 7.9.15D, 7.9.15E and 7.9.15F</w:t>
      </w:r>
      <w:bookmarkEnd w:id="1678"/>
      <w:bookmarkEnd w:id="1679"/>
    </w:p>
    <w:p w14:paraId="6ED3F131" w14:textId="77777777" w:rsidR="00E93F58" w:rsidRPr="00283424" w:rsidRDefault="00E93F58" w:rsidP="00B50726">
      <w:pPr>
        <w:pStyle w:val="subsection"/>
        <w:rPr>
          <w:rFonts w:eastAsia="MS Mincho"/>
        </w:rPr>
      </w:pPr>
      <w:r w:rsidRPr="00283424">
        <w:rPr>
          <w:rFonts w:eastAsia="MS Mincho"/>
        </w:rPr>
        <w:tab/>
        <w:t>(1)</w:t>
      </w:r>
      <w:r w:rsidRPr="00283424">
        <w:rPr>
          <w:rFonts w:eastAsia="MS Mincho"/>
        </w:rPr>
        <w:tab/>
        <w:t>If, at any time during the transition period, a Product Disclosure Statement for a general insurance product complies with the requirements of old sections 1013C and 1013D, the Product Disclosure Statement is taken to comply with the requirements of:</w:t>
      </w:r>
    </w:p>
    <w:p w14:paraId="53D8C66F" w14:textId="77777777" w:rsidR="00E93F58" w:rsidRPr="00283424" w:rsidRDefault="00E93F58" w:rsidP="00B50726">
      <w:pPr>
        <w:pStyle w:val="paragraph"/>
        <w:rPr>
          <w:rFonts w:eastAsia="MS Mincho"/>
        </w:rPr>
      </w:pPr>
      <w:r w:rsidRPr="00283424">
        <w:rPr>
          <w:rFonts w:eastAsia="MS Mincho"/>
        </w:rPr>
        <w:tab/>
        <w:t>(a)</w:t>
      </w:r>
      <w:r w:rsidRPr="00283424">
        <w:rPr>
          <w:rFonts w:eastAsia="MS Mincho"/>
        </w:rPr>
        <w:tab/>
        <w:t>sections 1013C and 1013D of the Act; and</w:t>
      </w:r>
    </w:p>
    <w:p w14:paraId="3E4174CE" w14:textId="77777777" w:rsidR="00E93F58" w:rsidRPr="00283424" w:rsidRDefault="00E93F58" w:rsidP="00B50726">
      <w:pPr>
        <w:pStyle w:val="paragraph"/>
        <w:rPr>
          <w:rFonts w:eastAsia="MS Mincho"/>
        </w:rPr>
      </w:pPr>
      <w:r w:rsidRPr="00283424">
        <w:rPr>
          <w:rFonts w:eastAsia="MS Mincho"/>
        </w:rPr>
        <w:tab/>
        <w:t>(b)</w:t>
      </w:r>
      <w:r w:rsidRPr="00283424">
        <w:rPr>
          <w:rFonts w:eastAsia="MS Mincho"/>
        </w:rPr>
        <w:tab/>
        <w:t>the provisions of any regulations made for the purposes of, or modifying, sections 1013C and 1013D of the Act;</w:t>
      </w:r>
    </w:p>
    <w:p w14:paraId="702ACC90" w14:textId="77777777" w:rsidR="00E93F58" w:rsidRPr="00283424" w:rsidRDefault="00E93F58" w:rsidP="00B50726">
      <w:pPr>
        <w:pStyle w:val="subsection2"/>
        <w:rPr>
          <w:rFonts w:eastAsia="MS Mincho"/>
        </w:rPr>
      </w:pPr>
      <w:r w:rsidRPr="00283424">
        <w:rPr>
          <w:rFonts w:eastAsia="MS Mincho"/>
        </w:rPr>
        <w:t>as in force at that time.</w:t>
      </w:r>
    </w:p>
    <w:p w14:paraId="34F6A653" w14:textId="77777777" w:rsidR="00E93F58" w:rsidRPr="00283424" w:rsidRDefault="00E93F58" w:rsidP="00B50726">
      <w:pPr>
        <w:pStyle w:val="subsection"/>
        <w:rPr>
          <w:rFonts w:eastAsia="MS Mincho"/>
        </w:rPr>
      </w:pPr>
      <w:r w:rsidRPr="00283424">
        <w:rPr>
          <w:rFonts w:eastAsia="MS Mincho"/>
        </w:rPr>
        <w:tab/>
        <w:t>(2)</w:t>
      </w:r>
      <w:r w:rsidRPr="00283424">
        <w:rPr>
          <w:rFonts w:eastAsia="MS Mincho"/>
        </w:rPr>
        <w:tab/>
        <w:t>In this regulation:</w:t>
      </w:r>
    </w:p>
    <w:p w14:paraId="75579B49" w14:textId="77777777" w:rsidR="00E93F58" w:rsidRPr="00283424" w:rsidRDefault="00E93F58" w:rsidP="00B50726">
      <w:pPr>
        <w:pStyle w:val="Definition"/>
        <w:rPr>
          <w:rFonts w:eastAsia="MS Mincho"/>
        </w:rPr>
      </w:pPr>
      <w:r w:rsidRPr="00283424">
        <w:rPr>
          <w:rFonts w:eastAsia="MS Mincho"/>
          <w:b/>
          <w:bCs/>
          <w:i/>
          <w:iCs/>
          <w:color w:val="000000"/>
          <w:lang w:eastAsia="ja-JP"/>
        </w:rPr>
        <w:t xml:space="preserve">commencing day </w:t>
      </w:r>
      <w:r w:rsidRPr="00283424">
        <w:rPr>
          <w:rFonts w:eastAsia="MS Mincho"/>
          <w:color w:val="000000"/>
          <w:lang w:eastAsia="ja-JP"/>
        </w:rPr>
        <w:t>means the day on which this regulation commences.</w:t>
      </w:r>
    </w:p>
    <w:p w14:paraId="3CED3741" w14:textId="77777777" w:rsidR="00E93F58" w:rsidRPr="00283424" w:rsidRDefault="00E93F58" w:rsidP="00B50726">
      <w:pPr>
        <w:pStyle w:val="Definition"/>
        <w:rPr>
          <w:rFonts w:eastAsia="MS Mincho"/>
        </w:rPr>
      </w:pPr>
      <w:r w:rsidRPr="00283424">
        <w:rPr>
          <w:rFonts w:eastAsia="MS Mincho"/>
          <w:b/>
          <w:bCs/>
          <w:i/>
          <w:iCs/>
          <w:color w:val="000000"/>
          <w:lang w:eastAsia="ja-JP"/>
        </w:rPr>
        <w:t xml:space="preserve">old sections 1013C and 1013D </w:t>
      </w:r>
      <w:r w:rsidRPr="00283424">
        <w:rPr>
          <w:rFonts w:eastAsia="MS Mincho"/>
        </w:rPr>
        <w:t>means:</w:t>
      </w:r>
    </w:p>
    <w:p w14:paraId="736D9CA4" w14:textId="77777777" w:rsidR="00E93F58" w:rsidRPr="00283424" w:rsidRDefault="00E93F58" w:rsidP="00B50726">
      <w:pPr>
        <w:pStyle w:val="paragraph"/>
        <w:rPr>
          <w:rFonts w:eastAsia="MS Mincho"/>
        </w:rPr>
      </w:pPr>
      <w:r w:rsidRPr="00283424">
        <w:rPr>
          <w:rFonts w:eastAsia="MS Mincho"/>
        </w:rPr>
        <w:tab/>
        <w:t>(a)</w:t>
      </w:r>
      <w:r w:rsidRPr="00283424">
        <w:rPr>
          <w:rFonts w:eastAsia="MS Mincho"/>
        </w:rPr>
        <w:tab/>
        <w:t>sections 1013C and 1013D of the Act; and</w:t>
      </w:r>
    </w:p>
    <w:p w14:paraId="4F1F2C39" w14:textId="77777777" w:rsidR="00E93F58" w:rsidRPr="00283424" w:rsidRDefault="00E93F58" w:rsidP="00B50726">
      <w:pPr>
        <w:pStyle w:val="paragraph"/>
        <w:rPr>
          <w:rFonts w:eastAsia="MS Mincho"/>
        </w:rPr>
      </w:pPr>
      <w:r w:rsidRPr="00283424">
        <w:rPr>
          <w:rFonts w:eastAsia="MS Mincho"/>
        </w:rPr>
        <w:tab/>
        <w:t>(b)</w:t>
      </w:r>
      <w:r w:rsidRPr="00283424">
        <w:rPr>
          <w:rFonts w:eastAsia="MS Mincho"/>
        </w:rPr>
        <w:tab/>
        <w:t>the provisions of any regulations made for the purposes of, or modifying, those sections;</w:t>
      </w:r>
    </w:p>
    <w:p w14:paraId="79F06F3B" w14:textId="77777777" w:rsidR="00E93F58" w:rsidRPr="00283424" w:rsidRDefault="00E93F58" w:rsidP="00B50726">
      <w:pPr>
        <w:pStyle w:val="Definition"/>
        <w:rPr>
          <w:rFonts w:eastAsia="MS Mincho"/>
        </w:rPr>
      </w:pPr>
      <w:r w:rsidRPr="00283424">
        <w:rPr>
          <w:rFonts w:eastAsia="MS Mincho"/>
          <w:color w:val="000000"/>
          <w:lang w:eastAsia="ja-JP"/>
        </w:rPr>
        <w:t>as in force immediately before the commencing day.</w:t>
      </w:r>
    </w:p>
    <w:p w14:paraId="17E81330" w14:textId="77777777" w:rsidR="00E93F58" w:rsidRPr="00283424" w:rsidRDefault="00E93F58" w:rsidP="00B50726">
      <w:pPr>
        <w:pStyle w:val="Definition"/>
        <w:rPr>
          <w:rFonts w:eastAsia="MS Mincho"/>
        </w:rPr>
      </w:pPr>
      <w:r w:rsidRPr="00283424">
        <w:rPr>
          <w:rFonts w:eastAsia="MS Mincho"/>
          <w:b/>
          <w:bCs/>
          <w:i/>
          <w:iCs/>
        </w:rPr>
        <w:t xml:space="preserve">transition period </w:t>
      </w:r>
      <w:r w:rsidRPr="00283424">
        <w:rPr>
          <w:rFonts w:eastAsia="MS Mincho"/>
        </w:rPr>
        <w:t>means the period starting on the commencing day and ending at the end of 30 June 2008.</w:t>
      </w:r>
    </w:p>
    <w:p w14:paraId="3D34C984" w14:textId="77777777" w:rsidR="00E93F58" w:rsidRPr="00283424" w:rsidRDefault="00E93F58" w:rsidP="00B50726">
      <w:pPr>
        <w:pStyle w:val="notetext"/>
        <w:rPr>
          <w:rFonts w:eastAsia="MS Mincho"/>
        </w:rPr>
      </w:pPr>
      <w:r w:rsidRPr="00283424">
        <w:rPr>
          <w:rFonts w:eastAsia="MS Mincho"/>
          <w:color w:val="000000"/>
          <w:lang w:eastAsia="ja-JP"/>
        </w:rPr>
        <w:t>Note:</w:t>
      </w:r>
      <w:r w:rsidRPr="00283424">
        <w:rPr>
          <w:rFonts w:eastAsia="MS Mincho"/>
          <w:color w:val="000000"/>
          <w:lang w:eastAsia="ja-JP"/>
        </w:rPr>
        <w:tab/>
      </w:r>
      <w:r w:rsidRPr="00283424">
        <w:rPr>
          <w:rFonts w:eastAsia="MS Mincho"/>
          <w:color w:val="000000"/>
        </w:rPr>
        <w:t xml:space="preserve">Before the commencement of this regulation, transitional arrangements </w:t>
      </w:r>
      <w:r w:rsidRPr="00283424">
        <w:rPr>
          <w:rFonts w:eastAsia="MS Mincho"/>
          <w:color w:val="000000"/>
          <w:lang w:eastAsia="ja-JP"/>
        </w:rPr>
        <w:t xml:space="preserve">in similar terms were provided </w:t>
      </w:r>
      <w:r w:rsidRPr="00283424">
        <w:rPr>
          <w:rFonts w:eastAsia="MS Mincho"/>
          <w:color w:val="000000"/>
        </w:rPr>
        <w:t xml:space="preserve">for </w:t>
      </w:r>
      <w:r w:rsidRPr="00283424">
        <w:rPr>
          <w:rFonts w:eastAsia="MS Mincho"/>
          <w:color w:val="000000"/>
          <w:lang w:eastAsia="ja-JP"/>
        </w:rPr>
        <w:t xml:space="preserve">regulations 7.9.15D, 7.9.15E and 7.9.15F by item 2 of Schedule 5 to the </w:t>
      </w:r>
      <w:r w:rsidRPr="00283424">
        <w:rPr>
          <w:rFonts w:eastAsia="MS Mincho"/>
          <w:i/>
          <w:color w:val="000000"/>
          <w:lang w:eastAsia="ja-JP"/>
        </w:rPr>
        <w:t xml:space="preserve">Corporations Amendment </w:t>
      </w:r>
      <w:r>
        <w:rPr>
          <w:rFonts w:eastAsia="MS Mincho"/>
          <w:i/>
          <w:color w:val="000000"/>
          <w:lang w:eastAsia="ja-JP"/>
        </w:rPr>
        <w:t>Regulations 2</w:t>
      </w:r>
      <w:r w:rsidRPr="00283424">
        <w:rPr>
          <w:rFonts w:eastAsia="MS Mincho"/>
          <w:i/>
          <w:color w:val="000000"/>
          <w:lang w:eastAsia="ja-JP"/>
        </w:rPr>
        <w:t>005 (No. 5)</w:t>
      </w:r>
      <w:r w:rsidRPr="00283424">
        <w:rPr>
          <w:rFonts w:eastAsia="MS Mincho"/>
          <w:color w:val="000000"/>
          <w:lang w:eastAsia="ja-JP"/>
        </w:rPr>
        <w:t xml:space="preserve"> (SLI 2005 No. 324).</w:t>
      </w:r>
    </w:p>
    <w:p w14:paraId="2D23A5D2" w14:textId="77777777" w:rsidR="00E93F58" w:rsidRPr="00283424" w:rsidRDefault="00E93F58" w:rsidP="00B50726">
      <w:pPr>
        <w:pStyle w:val="ActHead5"/>
      </w:pPr>
      <w:bookmarkStart w:id="1680" w:name="_Toc152054816"/>
      <w:bookmarkStart w:id="1681" w:name="_Toc158712632"/>
      <w:r w:rsidRPr="006F296E">
        <w:rPr>
          <w:rStyle w:val="CharSectno"/>
        </w:rPr>
        <w:t>7.9.15H</w:t>
      </w:r>
      <w:r w:rsidRPr="00283424">
        <w:t xml:space="preserve">  New section 1012G: product disclosure statement may sometimes be provided later</w:t>
      </w:r>
      <w:bookmarkEnd w:id="1680"/>
      <w:bookmarkEnd w:id="1681"/>
    </w:p>
    <w:p w14:paraId="4B9D2D19" w14:textId="77777777" w:rsidR="00E93F58" w:rsidRPr="00283424" w:rsidRDefault="00E93F58" w:rsidP="00B50726">
      <w:pPr>
        <w:pStyle w:val="subsection"/>
      </w:pPr>
      <w:r w:rsidRPr="00283424">
        <w:tab/>
      </w:r>
      <w:r w:rsidRPr="00283424">
        <w:tab/>
        <w:t>For paragraph 1020G(1)(c) of the Act, Part 7.9 of the Act applies as if section 1012G were omitted and the following section were substituted:</w:t>
      </w:r>
    </w:p>
    <w:p w14:paraId="67D800AE" w14:textId="77777777" w:rsidR="00E93F58" w:rsidRPr="00283424" w:rsidRDefault="00E93F58" w:rsidP="00B50726">
      <w:pPr>
        <w:pStyle w:val="Specials"/>
      </w:pPr>
      <w:r w:rsidRPr="00283424">
        <w:lastRenderedPageBreak/>
        <w:t>“1012G  Product disclosure statement may sometimes be provided later: financial products subject to a cooling off period</w:t>
      </w:r>
    </w:p>
    <w:p w14:paraId="649F02ED" w14:textId="77777777" w:rsidR="00E93F58" w:rsidRPr="00283424" w:rsidRDefault="00E93F58" w:rsidP="00283424">
      <w:pPr>
        <w:pStyle w:val="SubsectionHead"/>
        <w:spacing w:line="240" w:lineRule="exact"/>
      </w:pPr>
      <w:r w:rsidRPr="00283424">
        <w:t>Application of section</w:t>
      </w:r>
    </w:p>
    <w:p w14:paraId="434037A2" w14:textId="77777777" w:rsidR="00E93F58" w:rsidRPr="00283424" w:rsidRDefault="00E93F58" w:rsidP="00B50726">
      <w:pPr>
        <w:pStyle w:val="subsection"/>
      </w:pPr>
      <w:r w:rsidRPr="00283424">
        <w:tab/>
        <w:t>(1)</w:t>
      </w:r>
      <w:r w:rsidRPr="00283424">
        <w:tab/>
        <w:t>The regulated person may deal with a financial product under this section only if the financial product is one for which an application form is not required under section 1016A and section 1019B (cooling off period) will apply if the client enters into a legal obligation to acquire the product pursuant to the recommendation or offer that constitutes the relevant conduct.</w:t>
      </w:r>
    </w:p>
    <w:p w14:paraId="11A30D28" w14:textId="77777777" w:rsidR="00E93F58" w:rsidRPr="00283424" w:rsidRDefault="00E93F58" w:rsidP="00283424">
      <w:pPr>
        <w:pStyle w:val="SubsectionHead"/>
      </w:pPr>
      <w:r w:rsidRPr="00283424">
        <w:t>No need to give Product Disclosure Statement in certain circumstances</w:t>
      </w:r>
    </w:p>
    <w:p w14:paraId="373C8010" w14:textId="77777777" w:rsidR="00E93F58" w:rsidRPr="00283424" w:rsidRDefault="00E93F58" w:rsidP="00B50726">
      <w:pPr>
        <w:pStyle w:val="subsection"/>
      </w:pPr>
      <w:r w:rsidRPr="00283424">
        <w:tab/>
        <w:t>(2)</w:t>
      </w:r>
      <w:r w:rsidRPr="00283424">
        <w:tab/>
        <w:t>In a recommendation situation or an issue situation, the regulated person need not give the client a Product Disclosure Statement for the financial product at or before the time when it would otherwise be required to be given if:</w:t>
      </w:r>
    </w:p>
    <w:p w14:paraId="2709B90F" w14:textId="77777777" w:rsidR="00E93F58" w:rsidRPr="00283424" w:rsidRDefault="00E93F58" w:rsidP="00B50726">
      <w:pPr>
        <w:pStyle w:val="paragraph"/>
      </w:pPr>
      <w:r w:rsidRPr="00283424">
        <w:tab/>
        <w:t>(a)</w:t>
      </w:r>
      <w:r w:rsidRPr="00283424">
        <w:tab/>
        <w:t>the client expressly instructs the regulated person that they require:</w:t>
      </w:r>
    </w:p>
    <w:p w14:paraId="3B0D46B9" w14:textId="77777777" w:rsidR="00E93F58" w:rsidRPr="00283424" w:rsidRDefault="00E93F58" w:rsidP="00B50726">
      <w:pPr>
        <w:pStyle w:val="paragraphsub"/>
      </w:pPr>
      <w:r w:rsidRPr="00283424">
        <w:tab/>
        <w:t>(i)</w:t>
      </w:r>
      <w:r w:rsidRPr="00283424">
        <w:tab/>
        <w:t>in a recommendation situation—the advice constituting the recommendation; or</w:t>
      </w:r>
    </w:p>
    <w:p w14:paraId="075EEB9F" w14:textId="77777777" w:rsidR="00E93F58" w:rsidRPr="00283424" w:rsidRDefault="00E93F58" w:rsidP="00B50726">
      <w:pPr>
        <w:pStyle w:val="paragraphsub"/>
      </w:pPr>
      <w:r w:rsidRPr="00283424">
        <w:tab/>
        <w:t>(ii)</w:t>
      </w:r>
      <w:r w:rsidRPr="00283424">
        <w:tab/>
        <w:t>in an issue situation—the financial product;</w:t>
      </w:r>
    </w:p>
    <w:p w14:paraId="5F81E004" w14:textId="77777777" w:rsidR="00E93F58" w:rsidRPr="00283424" w:rsidRDefault="00E93F58" w:rsidP="00B50726">
      <w:pPr>
        <w:pStyle w:val="paragraph"/>
      </w:pPr>
      <w:r w:rsidRPr="00283424">
        <w:tab/>
      </w:r>
      <w:r w:rsidRPr="00283424">
        <w:tab/>
        <w:t>to be provided or issued immediately, or by a specified time; and</w:t>
      </w:r>
    </w:p>
    <w:p w14:paraId="147BEE92" w14:textId="77777777" w:rsidR="00E93F58" w:rsidRPr="00283424" w:rsidRDefault="00E93F58" w:rsidP="00B50726">
      <w:pPr>
        <w:pStyle w:val="paragraph"/>
      </w:pPr>
      <w:r w:rsidRPr="00283424">
        <w:tab/>
        <w:t>(b)</w:t>
      </w:r>
      <w:r w:rsidRPr="00283424">
        <w:tab/>
        <w:t>it is not reasonably practicable, while complying with the client’s instructions, to give the client the Product Disclosure Statement at or before the time when it would otherwise be required to be given.</w:t>
      </w:r>
    </w:p>
    <w:p w14:paraId="717C06D7" w14:textId="77777777" w:rsidR="00E93F58" w:rsidRPr="00283424" w:rsidRDefault="00E93F58" w:rsidP="00B50726">
      <w:pPr>
        <w:pStyle w:val="subsection2"/>
      </w:pPr>
      <w:r w:rsidRPr="00283424">
        <w:t>The regulated person must comply instead with subsection (3).</w:t>
      </w:r>
    </w:p>
    <w:p w14:paraId="3E1F61F6" w14:textId="77777777" w:rsidR="00E93F58" w:rsidRPr="00283424" w:rsidRDefault="00E93F58" w:rsidP="00B50726">
      <w:pPr>
        <w:pStyle w:val="SubsectionHead"/>
      </w:pPr>
      <w:r w:rsidRPr="00283424">
        <w:t>Requirements to be complied with to be able to give Product Disclosure statement later</w:t>
      </w:r>
    </w:p>
    <w:p w14:paraId="54FDFDF2" w14:textId="77777777" w:rsidR="00E93F58" w:rsidRPr="00283424" w:rsidRDefault="00E93F58" w:rsidP="00B50726">
      <w:pPr>
        <w:pStyle w:val="subsection"/>
      </w:pPr>
      <w:r w:rsidRPr="00283424">
        <w:tab/>
        <w:t>(3)</w:t>
      </w:r>
      <w:r w:rsidRPr="00283424">
        <w:tab/>
        <w:t>The regulated person must:</w:t>
      </w:r>
    </w:p>
    <w:p w14:paraId="2F04161D" w14:textId="77777777" w:rsidR="00E93F58" w:rsidRPr="00283424" w:rsidRDefault="00E93F58" w:rsidP="00B50726">
      <w:pPr>
        <w:pStyle w:val="paragraph"/>
      </w:pPr>
      <w:r w:rsidRPr="00283424">
        <w:tab/>
        <w:t>(a)</w:t>
      </w:r>
      <w:r w:rsidRPr="00283424">
        <w:tab/>
        <w:t>at or before the time referred to in paragraph (2)(b), orally communicate the following information to the client:</w:t>
      </w:r>
    </w:p>
    <w:p w14:paraId="4AD13146" w14:textId="77777777" w:rsidR="00E93F58" w:rsidRPr="00283424" w:rsidRDefault="00E93F58" w:rsidP="00B50726">
      <w:pPr>
        <w:pStyle w:val="paragraphsub"/>
      </w:pPr>
      <w:r w:rsidRPr="00283424">
        <w:tab/>
        <w:t>(i)</w:t>
      </w:r>
      <w:r w:rsidRPr="00283424">
        <w:tab/>
        <w:t>the name and contact details of the issuer of the financial product;</w:t>
      </w:r>
    </w:p>
    <w:p w14:paraId="565C22FE" w14:textId="77777777" w:rsidR="00E93F58" w:rsidRPr="00283424" w:rsidRDefault="00E93F58" w:rsidP="00B50726">
      <w:pPr>
        <w:pStyle w:val="paragraphsub"/>
        <w:rPr>
          <w:szCs w:val="22"/>
        </w:rPr>
      </w:pPr>
      <w:r w:rsidRPr="00283424">
        <w:tab/>
      </w:r>
      <w:r w:rsidRPr="00283424">
        <w:rPr>
          <w:szCs w:val="22"/>
        </w:rPr>
        <w:t>(ii)</w:t>
      </w:r>
      <w:r w:rsidRPr="00283424">
        <w:rPr>
          <w:szCs w:val="22"/>
        </w:rPr>
        <w:tab/>
        <w:t>information about the cooling off regime that applies in respect of acquisitions of the product (whether this regime is provided for by law or otherwise);</w:t>
      </w:r>
    </w:p>
    <w:p w14:paraId="27B75EF0" w14:textId="77777777" w:rsidR="00E93F58" w:rsidRPr="00283424" w:rsidRDefault="00E93F58" w:rsidP="00B50726">
      <w:pPr>
        <w:pStyle w:val="paragraphsub"/>
        <w:spacing w:line="240" w:lineRule="exact"/>
      </w:pPr>
      <w:r w:rsidRPr="00283424">
        <w:tab/>
        <w:t>(iii)</w:t>
      </w:r>
      <w:r w:rsidRPr="00283424">
        <w:tab/>
        <w:t>that the client should consider the information in the Product Disclosure Statement that will be provided to the client;</w:t>
      </w:r>
    </w:p>
    <w:p w14:paraId="40C1EFE9" w14:textId="77777777" w:rsidR="00E93F58" w:rsidRPr="00283424" w:rsidRDefault="00E93F58" w:rsidP="00B50726">
      <w:pPr>
        <w:pStyle w:val="paragraphsub"/>
      </w:pPr>
      <w:r w:rsidRPr="00283424">
        <w:tab/>
        <w:t>(iv)</w:t>
      </w:r>
      <w:r w:rsidRPr="00283424">
        <w:tab/>
        <w:t>the further information (if any) requested by the client in response to a question under paragraph (b); and</w:t>
      </w:r>
    </w:p>
    <w:p w14:paraId="6B1D8580" w14:textId="77777777" w:rsidR="00E93F58" w:rsidRPr="00283424" w:rsidRDefault="00E93F58" w:rsidP="00B50726">
      <w:pPr>
        <w:pStyle w:val="paragraph"/>
      </w:pPr>
      <w:r w:rsidRPr="00283424">
        <w:tab/>
        <w:t>(b)</w:t>
      </w:r>
      <w:r w:rsidRPr="00283424">
        <w:tab/>
        <w:t>at or before the time referred to in paragraph (2)(b), ask the client whether the client would like further information about the financial product</w:t>
      </w:r>
      <w:r w:rsidRPr="00283424">
        <w:rPr>
          <w:szCs w:val="22"/>
        </w:rPr>
        <w:t xml:space="preserve">; </w:t>
      </w:r>
      <w:r w:rsidRPr="00283424">
        <w:t>and</w:t>
      </w:r>
    </w:p>
    <w:p w14:paraId="669760C1" w14:textId="77777777" w:rsidR="00E93F58" w:rsidRPr="00283424" w:rsidRDefault="00E93F58" w:rsidP="00B50726">
      <w:pPr>
        <w:pStyle w:val="paragraph"/>
      </w:pPr>
      <w:r w:rsidRPr="00283424">
        <w:tab/>
        <w:t>(c)</w:t>
      </w:r>
      <w:r w:rsidRPr="00283424">
        <w:tab/>
        <w:t>give the client the Product Disclosure Statement as soon as practicable after that time, and in any event not later than:</w:t>
      </w:r>
    </w:p>
    <w:p w14:paraId="5867C39F" w14:textId="77777777" w:rsidR="00E93F58" w:rsidRPr="00283424" w:rsidRDefault="00E93F58" w:rsidP="00B50726">
      <w:pPr>
        <w:pStyle w:val="paragraphsub"/>
      </w:pPr>
      <w:r w:rsidRPr="00283424">
        <w:tab/>
        <w:t>(i)</w:t>
      </w:r>
      <w:r w:rsidRPr="00283424">
        <w:tab/>
        <w:t>the time when the confirmation requirement (if applicable) is complied with; or</w:t>
      </w:r>
    </w:p>
    <w:p w14:paraId="1FC8A01A" w14:textId="77777777" w:rsidR="00E93F58" w:rsidRPr="00283424" w:rsidRDefault="00E93F58" w:rsidP="00B50726">
      <w:pPr>
        <w:pStyle w:val="paragraphsub"/>
      </w:pPr>
      <w:r w:rsidRPr="00283424">
        <w:tab/>
        <w:t>(ii)</w:t>
      </w:r>
      <w:r w:rsidRPr="00283424">
        <w:tab/>
        <w:t>the end of the fifth business day after the day on which the financial product was issued or sold to the client.</w:t>
      </w:r>
    </w:p>
    <w:p w14:paraId="6EB2CA27" w14:textId="77777777" w:rsidR="00E93F58" w:rsidRPr="00283424" w:rsidRDefault="00E93F58" w:rsidP="00B50726">
      <w:pPr>
        <w:pStyle w:val="SubsectionHead"/>
        <w:keepNext w:val="0"/>
        <w:keepLines w:val="0"/>
      </w:pPr>
      <w:r w:rsidRPr="00283424">
        <w:t>How information to be communicated</w:t>
      </w:r>
    </w:p>
    <w:p w14:paraId="5C0229A9" w14:textId="77777777" w:rsidR="00E93F58" w:rsidRPr="00283424" w:rsidRDefault="00E93F58" w:rsidP="00B50726">
      <w:pPr>
        <w:pStyle w:val="subsection"/>
      </w:pPr>
      <w:r w:rsidRPr="00283424">
        <w:tab/>
        <w:t>(4)</w:t>
      </w:r>
      <w:r w:rsidRPr="00283424">
        <w:tab/>
        <w:t xml:space="preserve">The information referred to in </w:t>
      </w:r>
      <w:r w:rsidRPr="00283424">
        <w:rPr>
          <w:szCs w:val="22"/>
        </w:rPr>
        <w:t xml:space="preserve">paragraph (3)(a) </w:t>
      </w:r>
      <w:r w:rsidRPr="00283424">
        <w:t>must be communicated in a clear, concise and effective manner.</w:t>
      </w:r>
    </w:p>
    <w:p w14:paraId="5A051D06" w14:textId="77777777" w:rsidR="00E93F58" w:rsidRPr="00283424" w:rsidRDefault="00E93F58" w:rsidP="00B50726">
      <w:pPr>
        <w:pStyle w:val="SubsectionHead"/>
      </w:pPr>
      <w:r w:rsidRPr="00283424">
        <w:t>How confirmation requirement to be complied with</w:t>
      </w:r>
    </w:p>
    <w:p w14:paraId="113746D9" w14:textId="77777777" w:rsidR="00E93F58" w:rsidRPr="00283424" w:rsidRDefault="00E93F58" w:rsidP="00B50726">
      <w:pPr>
        <w:pStyle w:val="subsection"/>
      </w:pPr>
      <w:r w:rsidRPr="00283424">
        <w:tab/>
        <w:t>(5)</w:t>
      </w:r>
      <w:r w:rsidRPr="00283424">
        <w:tab/>
        <w:t xml:space="preserve">For the purposes of </w:t>
      </w:r>
      <w:r w:rsidRPr="00283424">
        <w:rPr>
          <w:szCs w:val="22"/>
        </w:rPr>
        <w:t>subparagraph (3)(c)(i),</w:t>
      </w:r>
      <w:r w:rsidRPr="00283424">
        <w:t xml:space="preserve"> the confirmation requirement is complied with when:</w:t>
      </w:r>
    </w:p>
    <w:p w14:paraId="10A5BA3E" w14:textId="77777777" w:rsidR="00E93F58" w:rsidRPr="00283424" w:rsidRDefault="00E93F58" w:rsidP="00B50726">
      <w:pPr>
        <w:pStyle w:val="paragraph"/>
      </w:pPr>
      <w:r w:rsidRPr="00283424">
        <w:tab/>
        <w:t>(a)</w:t>
      </w:r>
      <w:r w:rsidRPr="00283424">
        <w:tab/>
        <w:t>the client receives confirmation, as mentioned in paragraph 1017F(5)(a), of the transaction by which they acquired the financial product; or</w:t>
      </w:r>
    </w:p>
    <w:p w14:paraId="40E693F8" w14:textId="77777777" w:rsidR="00E93F58" w:rsidRPr="00283424" w:rsidRDefault="00E93F58" w:rsidP="00B50726">
      <w:pPr>
        <w:pStyle w:val="paragraph"/>
      </w:pPr>
      <w:r w:rsidRPr="00283424">
        <w:tab/>
        <w:t>(b)</w:t>
      </w:r>
      <w:r w:rsidRPr="00283424">
        <w:tab/>
        <w:t>confirmation of that transaction is available to the client by a facility as mentioned in paragraph 1017F(5)(b).”</w:t>
      </w:r>
    </w:p>
    <w:p w14:paraId="68C77AD1" w14:textId="77777777" w:rsidR="00E93F58" w:rsidRPr="00283424" w:rsidRDefault="00E93F58" w:rsidP="00B50726">
      <w:pPr>
        <w:pStyle w:val="ActHead5"/>
      </w:pPr>
      <w:bookmarkStart w:id="1682" w:name="_Toc152054817"/>
      <w:bookmarkStart w:id="1683" w:name="_Toc158712633"/>
      <w:r w:rsidRPr="006F296E">
        <w:rPr>
          <w:rStyle w:val="CharSectno"/>
        </w:rPr>
        <w:t>7.9.15I</w:t>
      </w:r>
      <w:r w:rsidRPr="00283424">
        <w:t xml:space="preserve">  Modification of section 1012IA</w:t>
      </w:r>
      <w:bookmarkEnd w:id="1682"/>
      <w:bookmarkEnd w:id="1683"/>
    </w:p>
    <w:p w14:paraId="47BF8914" w14:textId="77777777" w:rsidR="00E93F58" w:rsidRPr="00283424" w:rsidRDefault="00E93F58" w:rsidP="00B50726">
      <w:pPr>
        <w:pStyle w:val="subsection"/>
      </w:pPr>
      <w:r w:rsidRPr="00283424">
        <w:tab/>
      </w:r>
      <w:r w:rsidRPr="00283424">
        <w:tab/>
        <w:t>For paragraph 1020G(1)(c) of the Act, Part 7.9 of the Act applies as if subparagraph 1012IA(4)(b)(ii) were omitted and the following subparagraph was inserted:</w:t>
      </w:r>
    </w:p>
    <w:p w14:paraId="19FAA659" w14:textId="77777777" w:rsidR="00E93F58" w:rsidRPr="00283424" w:rsidRDefault="00E93F58" w:rsidP="00B50726">
      <w:pPr>
        <w:pStyle w:val="paragraphsub"/>
        <w:spacing w:before="120" w:line="240" w:lineRule="exact"/>
      </w:pPr>
      <w:r w:rsidRPr="00283424">
        <w:lastRenderedPageBreak/>
        <w:tab/>
        <w:t>“(ii)</w:t>
      </w:r>
      <w:r w:rsidRPr="00283424">
        <w:tab/>
        <w:t>subsection 1012G(3) applies in relation to the provider, the client and the regulated acquisition as if the reference to the regulated person were instead a reference to the provider, as if subparagraph 1012G(3)(c)(i) were omitted and as if the reference in subparagraph 1012G(3)(c)(ii) to the day on which the financial product was issued or sold to the client were instead a reference to the day on which the regulated acquisition occurs.”</w:t>
      </w:r>
    </w:p>
    <w:p w14:paraId="3FCC7541" w14:textId="77777777" w:rsidR="00E93F58" w:rsidRPr="00283424" w:rsidRDefault="00E93F58" w:rsidP="00B50726">
      <w:pPr>
        <w:pStyle w:val="ActHead5"/>
      </w:pPr>
      <w:bookmarkStart w:id="1684" w:name="_Toc152054818"/>
      <w:bookmarkStart w:id="1685" w:name="_Toc158712634"/>
      <w:r w:rsidRPr="006F296E">
        <w:rPr>
          <w:rStyle w:val="CharSectno"/>
        </w:rPr>
        <w:t>7.9.16</w:t>
      </w:r>
      <w:r w:rsidRPr="00283424">
        <w:rPr>
          <w:sz w:val="16"/>
        </w:rPr>
        <w:t xml:space="preserve">  </w:t>
      </w:r>
      <w:r w:rsidRPr="00283424">
        <w:t>More detailed information in Product Disclosure Statement: consumer credit insurance product</w:t>
      </w:r>
      <w:bookmarkEnd w:id="1684"/>
      <w:bookmarkEnd w:id="1685"/>
    </w:p>
    <w:p w14:paraId="21BB1F0C" w14:textId="77777777" w:rsidR="00E93F58" w:rsidRPr="00283424" w:rsidRDefault="00E93F58" w:rsidP="00B50726">
      <w:pPr>
        <w:pStyle w:val="subsection"/>
        <w:keepNext/>
        <w:keepLines/>
      </w:pPr>
      <w:r w:rsidRPr="00283424">
        <w:tab/>
        <w:t>(1)</w:t>
      </w:r>
      <w:r w:rsidRPr="00283424">
        <w:tab/>
        <w:t>For paragraph 1013D(4)(c) of the Act, the more detailed information that must be included in a Product Disclosure Statement that relates to a consumer credit insurance product is:</w:t>
      </w:r>
    </w:p>
    <w:p w14:paraId="22A2E06F" w14:textId="77777777" w:rsidR="00E93F58" w:rsidRPr="00283424" w:rsidRDefault="00E93F58" w:rsidP="00B50726">
      <w:pPr>
        <w:pStyle w:val="paragraph"/>
      </w:pPr>
      <w:r w:rsidRPr="00283424">
        <w:rPr>
          <w:color w:val="000000"/>
        </w:rPr>
        <w:tab/>
        <w:t>(a)</w:t>
      </w:r>
      <w:r w:rsidRPr="00283424">
        <w:rPr>
          <w:color w:val="000000"/>
        </w:rPr>
        <w:tab/>
        <w:t>a brief explanation of the purposes of consumer credit insurance; and</w:t>
      </w:r>
    </w:p>
    <w:p w14:paraId="5D88CA54" w14:textId="77777777" w:rsidR="00E93F58" w:rsidRPr="00283424" w:rsidRDefault="00E93F58" w:rsidP="00B50726">
      <w:pPr>
        <w:pStyle w:val="paragraph"/>
      </w:pPr>
      <w:r w:rsidRPr="00283424">
        <w:tab/>
        <w:t>(b)</w:t>
      </w:r>
      <w:r w:rsidRPr="00283424">
        <w:tab/>
        <w:t>an outline statement of general areas covered by the consumer credit insurance product, or the kind of consumer credit insurance product; and</w:t>
      </w:r>
    </w:p>
    <w:p w14:paraId="63C6E7B5" w14:textId="77777777" w:rsidR="00E93F58" w:rsidRPr="00283424" w:rsidRDefault="00E93F58" w:rsidP="00B50726">
      <w:pPr>
        <w:pStyle w:val="paragraph"/>
      </w:pPr>
      <w:r w:rsidRPr="00283424">
        <w:tab/>
        <w:t>(c)</w:t>
      </w:r>
      <w:r w:rsidRPr="00283424">
        <w:tab/>
        <w:t>a statement that it is important that the insured read the Product Disclosure Statement carefully to understand the extent of cover provided by the consumer credit insurance product, and its limitations; and</w:t>
      </w:r>
    </w:p>
    <w:p w14:paraId="60B3F9DF" w14:textId="77777777" w:rsidR="00E93F58" w:rsidRPr="00283424" w:rsidRDefault="00E93F58" w:rsidP="00B50726">
      <w:pPr>
        <w:pStyle w:val="paragraph"/>
      </w:pPr>
      <w:r w:rsidRPr="00283424">
        <w:tab/>
        <w:t>(d)</w:t>
      </w:r>
      <w:r w:rsidRPr="00283424">
        <w:tab/>
        <w:t>if all of the following matters apply under the consumer credit insurance product:</w:t>
      </w:r>
    </w:p>
    <w:p w14:paraId="7385C829" w14:textId="77777777" w:rsidR="00E93F58" w:rsidRPr="00283424" w:rsidRDefault="00E93F58" w:rsidP="00B50726">
      <w:pPr>
        <w:pStyle w:val="paragraphsub"/>
        <w:rPr>
          <w:color w:val="000000"/>
        </w:rPr>
      </w:pPr>
      <w:r w:rsidRPr="00283424">
        <w:rPr>
          <w:color w:val="000000"/>
        </w:rPr>
        <w:tab/>
        <w:t>(i)</w:t>
      </w:r>
      <w:r w:rsidRPr="00283424">
        <w:rPr>
          <w:color w:val="000000"/>
        </w:rPr>
        <w:tab/>
        <w:t>a person who applies for, or obtains, consumer credit insurance is not obliged to buy the consumer credit insurance;</w:t>
      </w:r>
    </w:p>
    <w:p w14:paraId="6E5CB92A" w14:textId="77777777" w:rsidR="00E93F58" w:rsidRPr="00283424" w:rsidRDefault="00E93F58" w:rsidP="00B50726">
      <w:pPr>
        <w:pStyle w:val="paragraphsub"/>
      </w:pPr>
      <w:r w:rsidRPr="00283424">
        <w:tab/>
        <w:t>(ii)</w:t>
      </w:r>
      <w:r w:rsidRPr="00283424">
        <w:tab/>
        <w:t>cover is provided under the consumer credit insurance product in respect of losses caused by certain contingencies;</w:t>
      </w:r>
    </w:p>
    <w:p w14:paraId="76386C3A" w14:textId="77777777" w:rsidR="00E93F58" w:rsidRPr="00283424" w:rsidRDefault="00E93F58" w:rsidP="00B50726">
      <w:pPr>
        <w:pStyle w:val="paragraphsub"/>
      </w:pPr>
      <w:r w:rsidRPr="00283424">
        <w:tab/>
        <w:t>(iii)</w:t>
      </w:r>
      <w:r w:rsidRPr="00283424">
        <w:tab/>
        <w:t>the extent of loss to the consumer credit insurance product applies is measured by reference to the liability of the insured under the credit agreement to which the consumer credit insurance applies;</w:t>
      </w:r>
    </w:p>
    <w:p w14:paraId="6D9CE388" w14:textId="77777777" w:rsidR="00E93F58" w:rsidRPr="00283424" w:rsidRDefault="00E93F58" w:rsidP="00B50726">
      <w:pPr>
        <w:pStyle w:val="paragraph"/>
      </w:pPr>
      <w:r w:rsidRPr="00283424">
        <w:rPr>
          <w:color w:val="000000"/>
        </w:rPr>
        <w:tab/>
      </w:r>
      <w:r w:rsidRPr="00283424">
        <w:rPr>
          <w:color w:val="000000"/>
        </w:rPr>
        <w:tab/>
        <w:t>a statement to that effect, accompanied by examples of the contingencies; and</w:t>
      </w:r>
    </w:p>
    <w:p w14:paraId="36D1B8FD" w14:textId="77777777" w:rsidR="00E93F58" w:rsidRPr="00283424" w:rsidRDefault="00E93F58" w:rsidP="00B50726">
      <w:pPr>
        <w:pStyle w:val="paragraph"/>
      </w:pPr>
      <w:r w:rsidRPr="00283424">
        <w:tab/>
        <w:t>(e)</w:t>
      </w:r>
      <w:r w:rsidRPr="00283424">
        <w:tab/>
        <w:t>a table of the benefit limits applicable under the consumer credit insurance product; and</w:t>
      </w:r>
    </w:p>
    <w:p w14:paraId="26B2A0FF" w14:textId="77777777" w:rsidR="00E93F58" w:rsidRPr="00283424" w:rsidRDefault="00E93F58" w:rsidP="00B50726">
      <w:pPr>
        <w:pStyle w:val="paragraph"/>
      </w:pPr>
      <w:r w:rsidRPr="00283424">
        <w:tab/>
        <w:t>(f)</w:t>
      </w:r>
      <w:r w:rsidRPr="00283424">
        <w:tab/>
        <w:t>a statement that the insured:</w:t>
      </w:r>
    </w:p>
    <w:p w14:paraId="2DD71D5F" w14:textId="77777777" w:rsidR="00E93F58" w:rsidRPr="00283424" w:rsidRDefault="00E93F58" w:rsidP="00B50726">
      <w:pPr>
        <w:pStyle w:val="paragraphsub"/>
      </w:pPr>
      <w:r w:rsidRPr="00283424">
        <w:rPr>
          <w:color w:val="000000"/>
        </w:rPr>
        <w:tab/>
        <w:t>(i)</w:t>
      </w:r>
      <w:r w:rsidRPr="00283424">
        <w:rPr>
          <w:color w:val="000000"/>
        </w:rPr>
        <w:tab/>
        <w:t>is required to be truthful; and</w:t>
      </w:r>
    </w:p>
    <w:p w14:paraId="308E8AF9" w14:textId="77777777" w:rsidR="00E93F58" w:rsidRPr="00283424" w:rsidRDefault="00E93F58" w:rsidP="00B50726">
      <w:pPr>
        <w:pStyle w:val="paragraphsub"/>
      </w:pPr>
      <w:r w:rsidRPr="00283424">
        <w:tab/>
        <w:t>(ii)</w:t>
      </w:r>
      <w:r w:rsidRPr="00283424">
        <w:tab/>
        <w:t>is able to arrange consumer credit insurance through a different insurer; and</w:t>
      </w:r>
    </w:p>
    <w:p w14:paraId="6776348B" w14:textId="77777777" w:rsidR="00E93F58" w:rsidRPr="00283424" w:rsidRDefault="00E93F58" w:rsidP="00B50726">
      <w:pPr>
        <w:pStyle w:val="paragraph"/>
      </w:pPr>
      <w:r w:rsidRPr="00283424">
        <w:rPr>
          <w:color w:val="000000"/>
        </w:rPr>
        <w:tab/>
        <w:t>(g)</w:t>
      </w:r>
      <w:r w:rsidRPr="00283424">
        <w:rPr>
          <w:color w:val="000000"/>
        </w:rPr>
        <w:tab/>
        <w:t>a statement of the commission paid or payable in relation to the provision of the consumer credit insurance product.</w:t>
      </w:r>
    </w:p>
    <w:p w14:paraId="3CCA9A47" w14:textId="77777777" w:rsidR="00E93F58" w:rsidRPr="00283424" w:rsidRDefault="00E93F58" w:rsidP="00B50726">
      <w:pPr>
        <w:pStyle w:val="subsection"/>
      </w:pPr>
      <w:r w:rsidRPr="00283424">
        <w:tab/>
        <w:t>(2)</w:t>
      </w:r>
      <w:r w:rsidRPr="00283424">
        <w:tab/>
        <w:t>In this regulation:</w:t>
      </w:r>
    </w:p>
    <w:p w14:paraId="438D7135" w14:textId="77777777" w:rsidR="00E93F58" w:rsidRPr="00283424" w:rsidRDefault="00E93F58" w:rsidP="00B50726">
      <w:pPr>
        <w:pStyle w:val="Definition"/>
        <w:rPr>
          <w:color w:val="000000"/>
        </w:rPr>
      </w:pPr>
      <w:r w:rsidRPr="00283424">
        <w:rPr>
          <w:b/>
          <w:i/>
          <w:color w:val="000000"/>
        </w:rPr>
        <w:t>consumer credit insurance product</w:t>
      </w:r>
      <w:r w:rsidRPr="00283424">
        <w:rPr>
          <w:color w:val="000000"/>
        </w:rPr>
        <w:t xml:space="preserve"> means a general insurance product provided by a class of contracts of insurance that is:</w:t>
      </w:r>
    </w:p>
    <w:p w14:paraId="243CC8CF" w14:textId="77777777" w:rsidR="00E93F58" w:rsidRPr="00283424" w:rsidRDefault="00E93F58" w:rsidP="00B50726">
      <w:pPr>
        <w:pStyle w:val="paragraph"/>
        <w:rPr>
          <w:color w:val="000000"/>
        </w:rPr>
      </w:pPr>
      <w:r w:rsidRPr="00283424">
        <w:rPr>
          <w:color w:val="000000"/>
        </w:rPr>
        <w:tab/>
        <w:t>(a)</w:t>
      </w:r>
      <w:r w:rsidRPr="00283424">
        <w:rPr>
          <w:color w:val="000000"/>
        </w:rPr>
        <w:tab/>
        <w:t xml:space="preserve">declared, in accordance with the </w:t>
      </w:r>
      <w:r w:rsidRPr="00283424">
        <w:rPr>
          <w:i/>
          <w:color w:val="000000"/>
        </w:rPr>
        <w:t>Insurance Contracts Act 1984</w:t>
      </w:r>
      <w:r w:rsidRPr="00283424">
        <w:rPr>
          <w:color w:val="000000"/>
        </w:rPr>
        <w:t xml:space="preserve"> to be a class of contracts to which Division 1 of Part V of that Act applies; and</w:t>
      </w:r>
    </w:p>
    <w:p w14:paraId="4AF07CC6" w14:textId="77777777" w:rsidR="00E93F58" w:rsidRPr="00283424" w:rsidRDefault="00E93F58" w:rsidP="00B50726">
      <w:pPr>
        <w:pStyle w:val="paragraph"/>
      </w:pPr>
      <w:r w:rsidRPr="00283424">
        <w:tab/>
        <w:t>(b)</w:t>
      </w:r>
      <w:r w:rsidRPr="00283424">
        <w:tab/>
        <w:t>identified as consumer credit insurance as part of that declaration.</w:t>
      </w:r>
    </w:p>
    <w:p w14:paraId="06EF8E07" w14:textId="77777777" w:rsidR="00E93F58" w:rsidRPr="00283424" w:rsidRDefault="00E93F58" w:rsidP="00B50726">
      <w:pPr>
        <w:pStyle w:val="ActHead5"/>
      </w:pPr>
      <w:bookmarkStart w:id="1686" w:name="_Toc152054819"/>
      <w:bookmarkStart w:id="1687" w:name="_Toc158712635"/>
      <w:r w:rsidRPr="006F296E">
        <w:rPr>
          <w:rStyle w:val="CharSectno"/>
        </w:rPr>
        <w:t>7.9.16A</w:t>
      </w:r>
      <w:r w:rsidRPr="00283424">
        <w:t xml:space="preserve">  Small scale offerings of managed investment and other prescribed financial products (20 issues or sales in 12 months)</w:t>
      </w:r>
      <w:bookmarkEnd w:id="1686"/>
      <w:bookmarkEnd w:id="1687"/>
    </w:p>
    <w:p w14:paraId="2F284AB5" w14:textId="77777777" w:rsidR="00E93F58" w:rsidRPr="00283424" w:rsidRDefault="00E93F58" w:rsidP="00B50726">
      <w:pPr>
        <w:pStyle w:val="subsection"/>
      </w:pPr>
      <w:r w:rsidRPr="00283424">
        <w:tab/>
      </w:r>
      <w:r w:rsidRPr="00283424">
        <w:tab/>
        <w:t>For paragraph 1012E(1)(b) of the Act, interests in financial products covered by paragraph 764A(1)(ba) of the Act (which deals with financial products in relation to certain managed investment schemes that are not registered schemes) are prescribed.</w:t>
      </w:r>
    </w:p>
    <w:p w14:paraId="37C6C304" w14:textId="77777777" w:rsidR="00E93F58" w:rsidRPr="00283424" w:rsidRDefault="00E93F58" w:rsidP="00B50726">
      <w:pPr>
        <w:pStyle w:val="ActHead3"/>
        <w:pageBreakBefore/>
      </w:pPr>
      <w:bookmarkStart w:id="1688" w:name="_Toc152054820"/>
      <w:bookmarkStart w:id="1689" w:name="_Toc158712636"/>
      <w:r w:rsidRPr="006F296E">
        <w:rPr>
          <w:rStyle w:val="CharDivNo"/>
        </w:rPr>
        <w:lastRenderedPageBreak/>
        <w:t>Division 4B</w:t>
      </w:r>
      <w:r w:rsidRPr="00283424">
        <w:t>—</w:t>
      </w:r>
      <w:r w:rsidRPr="006F296E">
        <w:rPr>
          <w:rStyle w:val="CharDivText"/>
        </w:rPr>
        <w:t>Ongoing disclosure</w:t>
      </w:r>
      <w:bookmarkEnd w:id="1688"/>
      <w:bookmarkEnd w:id="1689"/>
    </w:p>
    <w:p w14:paraId="5F34524F" w14:textId="77777777" w:rsidR="00E93F58" w:rsidRPr="00283424" w:rsidRDefault="00E93F58" w:rsidP="00B50726">
      <w:pPr>
        <w:pStyle w:val="ActHead5"/>
      </w:pPr>
      <w:bookmarkStart w:id="1690" w:name="_Toc152054821"/>
      <w:bookmarkStart w:id="1691" w:name="_Toc158712637"/>
      <w:r w:rsidRPr="006F296E">
        <w:rPr>
          <w:rStyle w:val="CharSectno"/>
        </w:rPr>
        <w:t>7.9.16G</w:t>
      </w:r>
      <w:r w:rsidRPr="00283424">
        <w:t xml:space="preserve">  Ongoing disclosure of material changes and significant events</w:t>
      </w:r>
      <w:bookmarkEnd w:id="1690"/>
      <w:bookmarkEnd w:id="1691"/>
    </w:p>
    <w:p w14:paraId="75468314" w14:textId="77777777" w:rsidR="00E93F58" w:rsidRPr="00283424" w:rsidRDefault="00E93F58" w:rsidP="00B50726">
      <w:pPr>
        <w:pStyle w:val="subsection"/>
      </w:pPr>
      <w:r w:rsidRPr="00283424">
        <w:tab/>
        <w:t>(1)</w:t>
      </w:r>
      <w:r w:rsidRPr="00283424">
        <w:tab/>
        <w:t>For paragraph 1017B(1)(d) of the Act, the circumstances in subregulation (2) are specified.</w:t>
      </w:r>
    </w:p>
    <w:p w14:paraId="2D1F8310" w14:textId="77777777" w:rsidR="00E93F58" w:rsidRPr="00283424" w:rsidRDefault="00E93F58" w:rsidP="00B50726">
      <w:pPr>
        <w:pStyle w:val="subsection"/>
      </w:pPr>
      <w:r w:rsidRPr="00283424">
        <w:tab/>
        <w:t>(2)</w:t>
      </w:r>
      <w:r w:rsidRPr="00283424">
        <w:tab/>
        <w:t>The circumstances are that the product issuer issued a financial product that was acquired by a holder as a retail client:</w:t>
      </w:r>
    </w:p>
    <w:p w14:paraId="2CF3CCC3" w14:textId="77777777" w:rsidR="00E93F58" w:rsidRPr="00283424" w:rsidRDefault="00E93F58" w:rsidP="00B50726">
      <w:pPr>
        <w:pStyle w:val="paragraph"/>
      </w:pPr>
      <w:r w:rsidRPr="00283424">
        <w:tab/>
        <w:t>(a)</w:t>
      </w:r>
      <w:r w:rsidRPr="00283424">
        <w:tab/>
        <w:t>in a sale situation in which the issuer is not required to give a Product Disclosure Statement for the product under section 1012C of the Act; or</w:t>
      </w:r>
    </w:p>
    <w:p w14:paraId="2003276A" w14:textId="77777777" w:rsidR="00E93F58" w:rsidRPr="00283424" w:rsidRDefault="00E93F58" w:rsidP="00B50726">
      <w:pPr>
        <w:pStyle w:val="paragraph"/>
      </w:pPr>
      <w:r w:rsidRPr="00283424">
        <w:tab/>
        <w:t>(b)</w:t>
      </w:r>
      <w:r w:rsidRPr="00283424">
        <w:tab/>
        <w:t>in a situation in which a Product Disclosure Statement is not required because of the operation of section 1012D of the Act other than subsection (1), (2), (2A) or (2B) of that section; or</w:t>
      </w:r>
    </w:p>
    <w:p w14:paraId="340BC76E" w14:textId="77777777" w:rsidR="00E93F58" w:rsidRPr="00283424" w:rsidRDefault="00E93F58" w:rsidP="00B50726">
      <w:pPr>
        <w:pStyle w:val="paragraph"/>
      </w:pPr>
      <w:r w:rsidRPr="00283424">
        <w:tab/>
        <w:t>(c)</w:t>
      </w:r>
      <w:r w:rsidRPr="00283424">
        <w:tab/>
        <w:t>in an offer situation in which a Product Disclosure Statement is not required under section 1012E of the Act.</w:t>
      </w:r>
    </w:p>
    <w:p w14:paraId="42EE8A19" w14:textId="77777777" w:rsidR="00E93F58" w:rsidRPr="00283424" w:rsidRDefault="00E93F58" w:rsidP="00B50726">
      <w:pPr>
        <w:pStyle w:val="subsection"/>
      </w:pPr>
      <w:r w:rsidRPr="00283424">
        <w:tab/>
        <w:t>(3)</w:t>
      </w:r>
      <w:r w:rsidRPr="00283424">
        <w:tab/>
        <w:t>For paragraph 1017B(1A)(c) of the Act, the attribution, on the recommendation of the trustee, of an amount in relation to a member in a MySuper product to another class of beneficial interest in the fund is specified.</w:t>
      </w:r>
    </w:p>
    <w:p w14:paraId="5434B154" w14:textId="77777777" w:rsidR="00E93F58" w:rsidRPr="00283424" w:rsidRDefault="00E93F58" w:rsidP="00B50726">
      <w:pPr>
        <w:pStyle w:val="ActHead3"/>
        <w:pageBreakBefore/>
      </w:pPr>
      <w:bookmarkStart w:id="1692" w:name="_Toc152054822"/>
      <w:bookmarkStart w:id="1693" w:name="_Toc158712638"/>
      <w:r w:rsidRPr="006F296E">
        <w:rPr>
          <w:rStyle w:val="CharDivNo"/>
        </w:rPr>
        <w:lastRenderedPageBreak/>
        <w:t>Division 4C</w:t>
      </w:r>
      <w:r w:rsidRPr="00283424">
        <w:t>—</w:t>
      </w:r>
      <w:r w:rsidRPr="006F296E">
        <w:rPr>
          <w:rStyle w:val="CharDivText"/>
        </w:rPr>
        <w:t>Fee Disclosure for certain financial products</w:t>
      </w:r>
      <w:bookmarkEnd w:id="1692"/>
      <w:bookmarkEnd w:id="1693"/>
    </w:p>
    <w:p w14:paraId="0483D1F7" w14:textId="77777777" w:rsidR="00E93F58" w:rsidRPr="00283424" w:rsidRDefault="00E93F58" w:rsidP="00B50726">
      <w:pPr>
        <w:pStyle w:val="ActHead4"/>
      </w:pPr>
      <w:bookmarkStart w:id="1694" w:name="_Toc152054823"/>
      <w:bookmarkStart w:id="1695" w:name="_Toc158712639"/>
      <w:r w:rsidRPr="006F296E">
        <w:rPr>
          <w:rStyle w:val="CharSubdNo"/>
        </w:rPr>
        <w:t>Subdivision 4C.1</w:t>
      </w:r>
      <w:r w:rsidRPr="00283424">
        <w:t>—</w:t>
      </w:r>
      <w:r w:rsidRPr="006F296E">
        <w:rPr>
          <w:rStyle w:val="CharSubdText"/>
        </w:rPr>
        <w:t>Application</w:t>
      </w:r>
      <w:bookmarkEnd w:id="1694"/>
      <w:bookmarkEnd w:id="1695"/>
    </w:p>
    <w:p w14:paraId="501A9A2A" w14:textId="77777777" w:rsidR="00E93F58" w:rsidRPr="00283424" w:rsidRDefault="00E93F58" w:rsidP="00B50726">
      <w:pPr>
        <w:pStyle w:val="ActHead5"/>
      </w:pPr>
      <w:bookmarkStart w:id="1696" w:name="_Toc152054824"/>
      <w:bookmarkStart w:id="1697" w:name="_Toc158712640"/>
      <w:r w:rsidRPr="006F296E">
        <w:rPr>
          <w:rStyle w:val="CharSectno"/>
        </w:rPr>
        <w:t>7.9.16J</w:t>
      </w:r>
      <w:r w:rsidRPr="00283424">
        <w:t xml:space="preserve">  Application of this Division to financial products</w:t>
      </w:r>
      <w:bookmarkEnd w:id="1696"/>
      <w:bookmarkEnd w:id="1697"/>
    </w:p>
    <w:p w14:paraId="27992842" w14:textId="77777777" w:rsidR="00E93F58" w:rsidRPr="00283424" w:rsidRDefault="00E93F58" w:rsidP="00B50726">
      <w:pPr>
        <w:pStyle w:val="subsection"/>
      </w:pPr>
      <w:r w:rsidRPr="00283424">
        <w:tab/>
      </w:r>
      <w:r w:rsidRPr="00283424">
        <w:tab/>
        <w:t>This Division applies to:</w:t>
      </w:r>
    </w:p>
    <w:p w14:paraId="39AA2E24" w14:textId="77777777" w:rsidR="00E93F58" w:rsidRPr="00283424" w:rsidRDefault="00E93F58" w:rsidP="00B50726">
      <w:pPr>
        <w:pStyle w:val="paragraph"/>
      </w:pPr>
      <w:r w:rsidRPr="00283424">
        <w:tab/>
        <w:t>(a)</w:t>
      </w:r>
      <w:r w:rsidRPr="00283424">
        <w:tab/>
        <w:t>superannuation products other than:</w:t>
      </w:r>
    </w:p>
    <w:p w14:paraId="50B8DD77" w14:textId="77777777" w:rsidR="00E93F58" w:rsidRPr="00283424" w:rsidRDefault="00E93F58" w:rsidP="00B50726">
      <w:pPr>
        <w:pStyle w:val="paragraphsub"/>
      </w:pPr>
      <w:r w:rsidRPr="00283424">
        <w:tab/>
        <w:t>(i)</w:t>
      </w:r>
      <w:r w:rsidRPr="00283424">
        <w:tab/>
        <w:t>self managed superannuation funds; and</w:t>
      </w:r>
    </w:p>
    <w:p w14:paraId="5F14F585" w14:textId="77777777" w:rsidR="00E93F58" w:rsidRPr="00283424" w:rsidRDefault="00E93F58" w:rsidP="00B50726">
      <w:pPr>
        <w:pStyle w:val="paragraphsub"/>
      </w:pPr>
      <w:r w:rsidRPr="00283424">
        <w:tab/>
        <w:t>(ii)</w:t>
      </w:r>
      <w:r w:rsidRPr="00283424">
        <w:tab/>
        <w:t>superannuation products that have no investment component (also known as risk</w:t>
      </w:r>
      <w:r>
        <w:noBreakHyphen/>
      </w:r>
      <w:r w:rsidRPr="00283424">
        <w:t>only superannuation products); and</w:t>
      </w:r>
    </w:p>
    <w:p w14:paraId="421BE09C" w14:textId="77777777" w:rsidR="00E93F58" w:rsidRPr="00283424" w:rsidRDefault="00E93F58" w:rsidP="00B50726">
      <w:pPr>
        <w:pStyle w:val="paragraphsub"/>
      </w:pPr>
      <w:r w:rsidRPr="00283424">
        <w:tab/>
        <w:t>(iii)</w:t>
      </w:r>
      <w:r w:rsidRPr="00283424">
        <w:tab/>
        <w:t>annuities (except market</w:t>
      </w:r>
      <w:r>
        <w:noBreakHyphen/>
      </w:r>
      <w:r w:rsidRPr="00283424">
        <w:t>linked annuities); and</w:t>
      </w:r>
    </w:p>
    <w:p w14:paraId="42848CB9" w14:textId="77777777" w:rsidR="00E93F58" w:rsidRPr="00283424" w:rsidRDefault="00E93F58" w:rsidP="00B50726">
      <w:pPr>
        <w:pStyle w:val="paragraphsub"/>
      </w:pPr>
      <w:r w:rsidRPr="00283424">
        <w:tab/>
        <w:t>(iv)</w:t>
      </w:r>
      <w:r w:rsidRPr="00283424">
        <w:tab/>
        <w:t>non</w:t>
      </w:r>
      <w:r>
        <w:noBreakHyphen/>
      </w:r>
      <w:r w:rsidRPr="00283424">
        <w:t>investment or accumulation life insurance policies offered through a superannuation fund; and</w:t>
      </w:r>
    </w:p>
    <w:p w14:paraId="72177D0E" w14:textId="77777777" w:rsidR="00E93F58" w:rsidRPr="00283424" w:rsidRDefault="00E93F58" w:rsidP="00B50726">
      <w:pPr>
        <w:pStyle w:val="paragraph"/>
      </w:pPr>
      <w:r w:rsidRPr="00283424">
        <w:tab/>
        <w:t>(b)</w:t>
      </w:r>
      <w:r w:rsidRPr="00283424">
        <w:tab/>
        <w:t>managed investment products; and</w:t>
      </w:r>
    </w:p>
    <w:p w14:paraId="0A2578DA" w14:textId="77777777" w:rsidR="00E93F58" w:rsidRPr="00283424" w:rsidRDefault="00E93F58" w:rsidP="00B50726">
      <w:pPr>
        <w:pStyle w:val="paragraph"/>
      </w:pPr>
      <w:r w:rsidRPr="00283424">
        <w:tab/>
        <w:t>(c)</w:t>
      </w:r>
      <w:r w:rsidRPr="00283424">
        <w:tab/>
        <w:t>foreign passport fund products; and</w:t>
      </w:r>
    </w:p>
    <w:p w14:paraId="5A99F2EC" w14:textId="77777777" w:rsidR="00E93F58" w:rsidRPr="00283424" w:rsidRDefault="00E93F58" w:rsidP="00B50726">
      <w:pPr>
        <w:pStyle w:val="paragraph"/>
      </w:pPr>
      <w:r w:rsidRPr="00283424">
        <w:tab/>
        <w:t>(d)</w:t>
      </w:r>
      <w:r w:rsidRPr="00283424">
        <w:tab/>
        <w:t>securities in a CCIV.</w:t>
      </w:r>
    </w:p>
    <w:p w14:paraId="5F093C9F" w14:textId="77777777" w:rsidR="00E93F58" w:rsidRPr="00283424" w:rsidRDefault="00E93F58" w:rsidP="00B50726">
      <w:pPr>
        <w:pStyle w:val="ActHead5"/>
        <w:rPr>
          <w:color w:val="000000"/>
        </w:rPr>
      </w:pPr>
      <w:bookmarkStart w:id="1698" w:name="_Toc152054825"/>
      <w:bookmarkStart w:id="1699" w:name="_Toc158712641"/>
      <w:r w:rsidRPr="006F296E">
        <w:rPr>
          <w:rStyle w:val="CharSectno"/>
        </w:rPr>
        <w:t>7.9.16JA</w:t>
      </w:r>
      <w:r w:rsidRPr="00283424">
        <w:t xml:space="preserve">  Application of this Division to financial products—temporary arrangements</w:t>
      </w:r>
      <w:bookmarkEnd w:id="1698"/>
      <w:bookmarkEnd w:id="1699"/>
    </w:p>
    <w:p w14:paraId="00678764" w14:textId="77777777" w:rsidR="00E93F58" w:rsidRPr="00283424" w:rsidRDefault="00E93F58" w:rsidP="00B50726">
      <w:pPr>
        <w:pStyle w:val="subsection"/>
      </w:pPr>
      <w:r w:rsidRPr="00283424">
        <w:tab/>
      </w:r>
      <w:r w:rsidRPr="00283424">
        <w:tab/>
        <w:t>For paragraph 1020G(1)(a) of the Act:</w:t>
      </w:r>
    </w:p>
    <w:p w14:paraId="1EC1C2D3" w14:textId="77777777" w:rsidR="00E93F58" w:rsidRPr="00283424" w:rsidRDefault="00E93F58" w:rsidP="00B50726">
      <w:pPr>
        <w:pStyle w:val="paragraph"/>
      </w:pPr>
      <w:r w:rsidRPr="00283424">
        <w:tab/>
        <w:t>(a)</w:t>
      </w:r>
      <w:r w:rsidRPr="00283424">
        <w:tab/>
        <w:t>an issuer of a superannuation product to which this Division applies does not have to provide the information mentioned in subparagraph 1013D(1)(d)(iii) of the Act in a Product Disclosure Statement issued before 1 July 2005; and</w:t>
      </w:r>
    </w:p>
    <w:p w14:paraId="0A5BD4AD" w14:textId="77777777" w:rsidR="00E93F58" w:rsidRPr="00283424" w:rsidRDefault="00E93F58" w:rsidP="00B50726">
      <w:pPr>
        <w:pStyle w:val="paragraph"/>
      </w:pPr>
      <w:r w:rsidRPr="00283424">
        <w:tab/>
        <w:t>(b)</w:t>
      </w:r>
      <w:r w:rsidRPr="00283424">
        <w:tab/>
        <w:t>an issuer of a financial product, other than a superannuation product to which this Division applies, does not have to provide the information mentioned in subparagraph 1013D(1)(d)(iii) of the Act in a Product Disclosure Statement issued before 1 July 2006.</w:t>
      </w:r>
    </w:p>
    <w:p w14:paraId="7FFA9F4D" w14:textId="77777777" w:rsidR="00E93F58" w:rsidRPr="00283424" w:rsidRDefault="00E93F58" w:rsidP="00B50726">
      <w:pPr>
        <w:pStyle w:val="ActHead5"/>
      </w:pPr>
      <w:bookmarkStart w:id="1700" w:name="_Toc152054826"/>
      <w:bookmarkStart w:id="1701" w:name="_Toc158712642"/>
      <w:r w:rsidRPr="006F296E">
        <w:rPr>
          <w:rStyle w:val="CharSectno"/>
        </w:rPr>
        <w:t>7.9.16K</w:t>
      </w:r>
      <w:r w:rsidRPr="00283424">
        <w:t xml:space="preserve">  Application of this Division to periodic statements and Product Disclosure Statements</w:t>
      </w:r>
      <w:bookmarkEnd w:id="1700"/>
      <w:bookmarkEnd w:id="1701"/>
    </w:p>
    <w:p w14:paraId="4CBE3E7D" w14:textId="77777777" w:rsidR="00E93F58" w:rsidRPr="00283424" w:rsidRDefault="00E93F58" w:rsidP="00B50726">
      <w:pPr>
        <w:pStyle w:val="subsection"/>
      </w:pPr>
      <w:r w:rsidRPr="00283424">
        <w:tab/>
      </w:r>
      <w:r w:rsidRPr="00283424">
        <w:tab/>
        <w:t>This Division applies:</w:t>
      </w:r>
    </w:p>
    <w:p w14:paraId="39702271" w14:textId="77777777" w:rsidR="00E93F58" w:rsidRPr="00283424" w:rsidRDefault="00E93F58" w:rsidP="00B50726">
      <w:pPr>
        <w:pStyle w:val="paragraph"/>
      </w:pPr>
      <w:r w:rsidRPr="00283424">
        <w:tab/>
        <w:t>(a)</w:t>
      </w:r>
      <w:r w:rsidRPr="00283424">
        <w:tab/>
        <w:t>in relation to superannuation products:</w:t>
      </w:r>
    </w:p>
    <w:p w14:paraId="1DE62B82" w14:textId="77777777" w:rsidR="00E93F58" w:rsidRPr="00283424" w:rsidRDefault="00E93F58" w:rsidP="00B50726">
      <w:pPr>
        <w:pStyle w:val="paragraphsub"/>
      </w:pPr>
      <w:r w:rsidRPr="00283424">
        <w:tab/>
        <w:t>(i)</w:t>
      </w:r>
      <w:r w:rsidRPr="00283424">
        <w:tab/>
        <w:t>to periodic statements (other than exit statements) in relation to a reporting period commencing on or after 1 July 2005; and</w:t>
      </w:r>
    </w:p>
    <w:p w14:paraId="221FE7A1" w14:textId="77777777" w:rsidR="00E93F58" w:rsidRPr="00283424" w:rsidRDefault="00E93F58" w:rsidP="00B50726">
      <w:pPr>
        <w:pStyle w:val="paragraphsub"/>
      </w:pPr>
      <w:r w:rsidRPr="00283424">
        <w:tab/>
        <w:t>(ii)</w:t>
      </w:r>
      <w:r w:rsidRPr="00283424">
        <w:tab/>
        <w:t>to periodic statements that are exit statements issued on or after 1 July 2006; and</w:t>
      </w:r>
    </w:p>
    <w:p w14:paraId="3D05D751" w14:textId="77777777" w:rsidR="00E93F58" w:rsidRPr="00283424" w:rsidRDefault="00E93F58" w:rsidP="00B50726">
      <w:pPr>
        <w:pStyle w:val="paragraphsub"/>
      </w:pPr>
      <w:r w:rsidRPr="00283424">
        <w:tab/>
        <w:t>(iii)</w:t>
      </w:r>
      <w:r w:rsidRPr="00283424">
        <w:tab/>
        <w:t>to Product Disclosure Statements issued on or after 1 July 2005; and</w:t>
      </w:r>
    </w:p>
    <w:p w14:paraId="24221160" w14:textId="77777777" w:rsidR="00E93F58" w:rsidRPr="00283424" w:rsidRDefault="00E93F58" w:rsidP="00B50726">
      <w:pPr>
        <w:pStyle w:val="paragraph"/>
      </w:pPr>
      <w:r w:rsidRPr="00283424">
        <w:tab/>
        <w:t>(b)</w:t>
      </w:r>
      <w:r w:rsidRPr="00283424">
        <w:tab/>
        <w:t>in relation to managed investment products:</w:t>
      </w:r>
    </w:p>
    <w:p w14:paraId="4A014646" w14:textId="77777777" w:rsidR="00E93F58" w:rsidRPr="00283424" w:rsidRDefault="00E93F58" w:rsidP="00B50726">
      <w:pPr>
        <w:pStyle w:val="paragraphsub"/>
      </w:pPr>
      <w:r w:rsidRPr="00283424">
        <w:tab/>
        <w:t>(i)</w:t>
      </w:r>
      <w:r w:rsidRPr="00283424">
        <w:tab/>
        <w:t>to periodic statements (other than exit statements) in relation to a reporting period commencing on or after 1 July 2006; and</w:t>
      </w:r>
    </w:p>
    <w:p w14:paraId="2DF1C053" w14:textId="77777777" w:rsidR="00E93F58" w:rsidRPr="00283424" w:rsidRDefault="00E93F58" w:rsidP="00B50726">
      <w:pPr>
        <w:pStyle w:val="paragraphsub"/>
      </w:pPr>
      <w:r w:rsidRPr="00283424">
        <w:tab/>
        <w:t>(ii)</w:t>
      </w:r>
      <w:r w:rsidRPr="00283424">
        <w:tab/>
        <w:t>to periodic statements that are exit statements issued on or after 1 July 2007; and</w:t>
      </w:r>
    </w:p>
    <w:p w14:paraId="2E6C0246" w14:textId="77777777" w:rsidR="00E93F58" w:rsidRPr="00283424" w:rsidRDefault="00E93F58" w:rsidP="00B50726">
      <w:pPr>
        <w:pStyle w:val="paragraphsub"/>
      </w:pPr>
      <w:r w:rsidRPr="00283424">
        <w:tab/>
        <w:t>(iii)</w:t>
      </w:r>
      <w:r w:rsidRPr="00283424">
        <w:tab/>
        <w:t>to Product Disclosure Statements issued on or after 1 July 2006; and</w:t>
      </w:r>
    </w:p>
    <w:p w14:paraId="00A01445" w14:textId="77777777" w:rsidR="00E93F58" w:rsidRPr="00283424" w:rsidRDefault="00E93F58" w:rsidP="00B50726">
      <w:pPr>
        <w:pStyle w:val="paragraph"/>
      </w:pPr>
      <w:r w:rsidRPr="00283424">
        <w:tab/>
        <w:t>(c)</w:t>
      </w:r>
      <w:r w:rsidRPr="00283424">
        <w:tab/>
        <w:t>in relation to securities in a CCIV:</w:t>
      </w:r>
    </w:p>
    <w:p w14:paraId="18365091" w14:textId="77777777" w:rsidR="00E93F58" w:rsidRPr="00283424" w:rsidRDefault="00E93F58" w:rsidP="00B50726">
      <w:pPr>
        <w:pStyle w:val="paragraphsub"/>
      </w:pPr>
      <w:r w:rsidRPr="00283424">
        <w:tab/>
        <w:t>(i)</w:t>
      </w:r>
      <w:r w:rsidRPr="00283424">
        <w:tab/>
        <w:t>to periodic statements (including exit statements) in relation to a reporting period commencing on or after 1 July 2022; and</w:t>
      </w:r>
    </w:p>
    <w:p w14:paraId="76BD98AD" w14:textId="77777777" w:rsidR="00E93F58" w:rsidRPr="00283424" w:rsidRDefault="00E93F58" w:rsidP="00B50726">
      <w:pPr>
        <w:pStyle w:val="paragraphsub"/>
      </w:pPr>
      <w:r w:rsidRPr="00283424">
        <w:tab/>
        <w:t>(ii)</w:t>
      </w:r>
      <w:r w:rsidRPr="00283424">
        <w:tab/>
        <w:t>to Product Disclosure Statements issued on or after 1 July 2022</w:t>
      </w:r>
      <w:r w:rsidRPr="00283424">
        <w:rPr>
          <w:i/>
        </w:rPr>
        <w:t>.</w:t>
      </w:r>
    </w:p>
    <w:p w14:paraId="62970D8F" w14:textId="77777777" w:rsidR="00E93F58" w:rsidRPr="00283424" w:rsidRDefault="00E93F58" w:rsidP="00B50726">
      <w:pPr>
        <w:pStyle w:val="ActHead4"/>
      </w:pPr>
      <w:bookmarkStart w:id="1702" w:name="_Toc152054827"/>
      <w:bookmarkStart w:id="1703" w:name="_Toc158712643"/>
      <w:r w:rsidRPr="006F296E">
        <w:rPr>
          <w:rStyle w:val="CharSubdNo"/>
        </w:rPr>
        <w:t>Subdivision 4C.2</w:t>
      </w:r>
      <w:r w:rsidRPr="00283424">
        <w:t>—</w:t>
      </w:r>
      <w:r w:rsidRPr="006F296E">
        <w:rPr>
          <w:rStyle w:val="CharSubdText"/>
        </w:rPr>
        <w:t>Product Disclosure Statements</w:t>
      </w:r>
      <w:bookmarkEnd w:id="1702"/>
      <w:bookmarkEnd w:id="1703"/>
    </w:p>
    <w:p w14:paraId="57F00DF9" w14:textId="77777777" w:rsidR="00E93F58" w:rsidRPr="00283424" w:rsidRDefault="00E93F58" w:rsidP="00B50726">
      <w:pPr>
        <w:pStyle w:val="ActHead5"/>
      </w:pPr>
      <w:bookmarkStart w:id="1704" w:name="_Toc152054828"/>
      <w:bookmarkStart w:id="1705" w:name="_Toc158712644"/>
      <w:r w:rsidRPr="006F296E">
        <w:rPr>
          <w:rStyle w:val="CharSectno"/>
        </w:rPr>
        <w:t>7.9.16L</w:t>
      </w:r>
      <w:r w:rsidRPr="00283424">
        <w:t xml:space="preserve">  More detailed information about fees and costs</w:t>
      </w:r>
      <w:bookmarkEnd w:id="1704"/>
      <w:bookmarkEnd w:id="1705"/>
    </w:p>
    <w:p w14:paraId="2F55004B" w14:textId="77777777" w:rsidR="00E93F58" w:rsidRPr="00283424" w:rsidRDefault="00E93F58" w:rsidP="00B50726">
      <w:pPr>
        <w:pStyle w:val="subsection"/>
      </w:pPr>
      <w:r w:rsidRPr="00283424">
        <w:tab/>
        <w:t>(1)</w:t>
      </w:r>
      <w:r w:rsidRPr="00283424">
        <w:tab/>
        <w:t>For paragraph 1013D(4)(c) of the Act, a Product Disclosure Statement must include the details of fees and costs set out in Part 2 of Schedule 10.</w:t>
      </w:r>
    </w:p>
    <w:p w14:paraId="6AF91A3B" w14:textId="77777777" w:rsidR="00E93F58" w:rsidRPr="00283424" w:rsidRDefault="00E93F58" w:rsidP="00B50726">
      <w:pPr>
        <w:pStyle w:val="subsection"/>
      </w:pPr>
      <w:r w:rsidRPr="00283424">
        <w:tab/>
        <w:t>(2)</w:t>
      </w:r>
      <w:r w:rsidRPr="00283424">
        <w:tab/>
        <w:t>This regulation does not apply if the Product Disclosure Statement is for:</w:t>
      </w:r>
    </w:p>
    <w:p w14:paraId="7170333B" w14:textId="77777777" w:rsidR="00E93F58" w:rsidRPr="00283424" w:rsidRDefault="00E93F58" w:rsidP="00B50726">
      <w:pPr>
        <w:pStyle w:val="paragraph"/>
      </w:pPr>
      <w:r w:rsidRPr="00283424">
        <w:tab/>
        <w:t>(a)</w:t>
      </w:r>
      <w:r w:rsidRPr="00283424">
        <w:tab/>
        <w:t xml:space="preserve">a </w:t>
      </w:r>
      <w:r w:rsidRPr="00BE1284">
        <w:t>standard margin lending facility</w:t>
      </w:r>
      <w:r w:rsidRPr="00283424">
        <w:t>; or</w:t>
      </w:r>
    </w:p>
    <w:p w14:paraId="786A4A8D" w14:textId="77777777" w:rsidR="00E93F58" w:rsidRPr="00283424" w:rsidRDefault="00E93F58" w:rsidP="00B50726">
      <w:pPr>
        <w:pStyle w:val="paragraph"/>
      </w:pPr>
      <w:r w:rsidRPr="00283424">
        <w:tab/>
        <w:t>(b)</w:t>
      </w:r>
      <w:r w:rsidRPr="00283424">
        <w:tab/>
        <w:t>a superannuation product to which Subdivision 4.2B of Division 4 of this Part applies; or</w:t>
      </w:r>
    </w:p>
    <w:p w14:paraId="20BB07A0" w14:textId="77777777" w:rsidR="00E93F58" w:rsidRPr="00283424" w:rsidRDefault="00E93F58" w:rsidP="00B50726">
      <w:pPr>
        <w:pStyle w:val="paragraph"/>
      </w:pPr>
      <w:r w:rsidRPr="00283424">
        <w:tab/>
        <w:t>(c)</w:t>
      </w:r>
      <w:r w:rsidRPr="00283424">
        <w:tab/>
        <w:t>a simple managed investment scheme to which Subdivision 4.2C of Division 4 of this Part applies; or</w:t>
      </w:r>
    </w:p>
    <w:p w14:paraId="4220371A" w14:textId="77777777" w:rsidR="00E93F58" w:rsidRPr="00283424" w:rsidRDefault="00E93F58" w:rsidP="00B50726">
      <w:pPr>
        <w:pStyle w:val="paragraph"/>
      </w:pPr>
      <w:r w:rsidRPr="00283424">
        <w:lastRenderedPageBreak/>
        <w:tab/>
        <w:t>(d)</w:t>
      </w:r>
      <w:r w:rsidRPr="00283424">
        <w:tab/>
        <w:t>a simple sub</w:t>
      </w:r>
      <w:r>
        <w:noBreakHyphen/>
      </w:r>
      <w:r w:rsidRPr="00283424">
        <w:t>fund product to which Subdivision 4.2D of Division 4 of this Part applies.</w:t>
      </w:r>
    </w:p>
    <w:p w14:paraId="68EEC034" w14:textId="77777777" w:rsidR="00E93F58" w:rsidRPr="00283424" w:rsidRDefault="00E93F58" w:rsidP="00B50726">
      <w:pPr>
        <w:pStyle w:val="ActHead5"/>
      </w:pPr>
      <w:bookmarkStart w:id="1706" w:name="_Toc152054829"/>
      <w:bookmarkStart w:id="1707" w:name="_Toc158712645"/>
      <w:r w:rsidRPr="006F296E">
        <w:rPr>
          <w:rStyle w:val="CharSectno"/>
        </w:rPr>
        <w:t>7.9.16M</w:t>
      </w:r>
      <w:r w:rsidRPr="00283424">
        <w:t xml:space="preserve">  Modification of section 1015C of the Act</w:t>
      </w:r>
      <w:bookmarkEnd w:id="1706"/>
      <w:bookmarkEnd w:id="1707"/>
    </w:p>
    <w:p w14:paraId="2A5069FA" w14:textId="77777777" w:rsidR="00E93F58" w:rsidRPr="00283424" w:rsidRDefault="00E93F58" w:rsidP="00B50726">
      <w:pPr>
        <w:pStyle w:val="subsection"/>
      </w:pPr>
      <w:r w:rsidRPr="00283424">
        <w:tab/>
      </w:r>
      <w:r w:rsidRPr="00283424">
        <w:tab/>
        <w:t>For paragraph 1020G(1)(c) of the Act, Part 7.9 of the Act applies in relation to a product mentioned in regulation 7.9.16J as if paragraph 1015C(5)(b) of the Act were modified to omit the words ‘that is to be given in electronic form’.</w:t>
      </w:r>
    </w:p>
    <w:p w14:paraId="69FE628D" w14:textId="77777777" w:rsidR="00E93F58" w:rsidRPr="00283424" w:rsidRDefault="00E93F58" w:rsidP="00B50726">
      <w:pPr>
        <w:pStyle w:val="ActHead5"/>
      </w:pPr>
      <w:bookmarkStart w:id="1708" w:name="_Toc152054830"/>
      <w:bookmarkStart w:id="1709" w:name="_Toc158712646"/>
      <w:r w:rsidRPr="006F296E">
        <w:rPr>
          <w:rStyle w:val="CharSectno"/>
        </w:rPr>
        <w:t>7.9.16N</w:t>
      </w:r>
      <w:r w:rsidRPr="00283424">
        <w:t xml:space="preserve">  Presentation, structure and format of fees and costs in Product Disclosure Statements</w:t>
      </w:r>
      <w:bookmarkEnd w:id="1708"/>
      <w:bookmarkEnd w:id="1709"/>
    </w:p>
    <w:p w14:paraId="5F17A70B" w14:textId="77777777" w:rsidR="00E93F58" w:rsidRPr="00283424" w:rsidRDefault="00E93F58" w:rsidP="00B50726">
      <w:pPr>
        <w:pStyle w:val="subsection"/>
      </w:pPr>
      <w:r w:rsidRPr="00283424">
        <w:tab/>
        <w:t>(1)</w:t>
      </w:r>
      <w:r w:rsidRPr="00283424">
        <w:tab/>
        <w:t>For paragraph 1015C(5)(b) of the Act, the information required by paragraphs 1013D(1)(d) and (e) of the Act must be set out in a single section of the Product Disclosure Statement (</w:t>
      </w:r>
      <w:r w:rsidRPr="00283424">
        <w:rPr>
          <w:b/>
          <w:i/>
        </w:rPr>
        <w:t>fees section</w:t>
      </w:r>
      <w:r w:rsidRPr="00283424">
        <w:t>) with the heading ‘Fees and other costs’.</w:t>
      </w:r>
    </w:p>
    <w:p w14:paraId="29703973" w14:textId="77777777" w:rsidR="00E93F58" w:rsidRPr="00283424" w:rsidRDefault="00E93F58" w:rsidP="00B50726">
      <w:pPr>
        <w:pStyle w:val="subsection"/>
      </w:pPr>
      <w:r w:rsidRPr="00283424">
        <w:tab/>
        <w:t>(2)</w:t>
      </w:r>
      <w:r w:rsidRPr="00283424">
        <w:tab/>
        <w:t>The fees section of a Product Disclosure Statement must include:</w:t>
      </w:r>
    </w:p>
    <w:p w14:paraId="5158AC32" w14:textId="77777777" w:rsidR="00E93F58" w:rsidRPr="00283424" w:rsidRDefault="00E93F58" w:rsidP="00B50726">
      <w:pPr>
        <w:pStyle w:val="paragraph"/>
      </w:pPr>
      <w:r w:rsidRPr="00283424">
        <w:tab/>
        <w:t>(a)</w:t>
      </w:r>
      <w:r w:rsidRPr="00283424">
        <w:tab/>
        <w:t>the Fees and Costs Template, comprising the template and the additional explanation of fees and costs set out in Part 2 of Schedule 10; and</w:t>
      </w:r>
    </w:p>
    <w:p w14:paraId="51D2D593" w14:textId="77777777" w:rsidR="00E93F58" w:rsidRPr="00283424" w:rsidRDefault="00E93F58" w:rsidP="00B50726">
      <w:pPr>
        <w:pStyle w:val="paragraph"/>
      </w:pPr>
      <w:r w:rsidRPr="00283424">
        <w:tab/>
        <w:t>(b)</w:t>
      </w:r>
      <w:r w:rsidRPr="00283424">
        <w:tab/>
        <w:t>an example of annual fees and costs and associated notes as set out in Part 2 of Schedule 10; and</w:t>
      </w:r>
    </w:p>
    <w:p w14:paraId="20585952" w14:textId="77777777" w:rsidR="00E93F58" w:rsidRPr="00283424" w:rsidRDefault="00E93F58" w:rsidP="00B50726">
      <w:pPr>
        <w:pStyle w:val="paragraph"/>
      </w:pPr>
      <w:r w:rsidRPr="00283424">
        <w:tab/>
        <w:t>(c)</w:t>
      </w:r>
      <w:r w:rsidRPr="00283424">
        <w:tab/>
        <w:t>the boxed Consumer Advisory Warning Statement set out in Part 2 of Schedule 10.</w:t>
      </w:r>
    </w:p>
    <w:p w14:paraId="78676E5C" w14:textId="77777777" w:rsidR="00E93F58" w:rsidRPr="00283424" w:rsidRDefault="00E93F58" w:rsidP="00B50726">
      <w:pPr>
        <w:pStyle w:val="ActHead4"/>
      </w:pPr>
      <w:bookmarkStart w:id="1710" w:name="_Toc152054831"/>
      <w:bookmarkStart w:id="1711" w:name="_Toc158712647"/>
      <w:r w:rsidRPr="006F296E">
        <w:rPr>
          <w:rStyle w:val="CharSubdNo"/>
        </w:rPr>
        <w:t>Subdivision 4C.3</w:t>
      </w:r>
      <w:r w:rsidRPr="00283424">
        <w:t>—</w:t>
      </w:r>
      <w:r w:rsidRPr="006F296E">
        <w:rPr>
          <w:rStyle w:val="CharSubdText"/>
        </w:rPr>
        <w:t>Periodic statements</w:t>
      </w:r>
      <w:bookmarkEnd w:id="1710"/>
      <w:bookmarkEnd w:id="1711"/>
    </w:p>
    <w:p w14:paraId="3301BBE1" w14:textId="77777777" w:rsidR="00E93F58" w:rsidRPr="00283424" w:rsidRDefault="00E93F58" w:rsidP="00B50726">
      <w:pPr>
        <w:pStyle w:val="ActHead5"/>
      </w:pPr>
      <w:bookmarkStart w:id="1712" w:name="_Toc152054832"/>
      <w:bookmarkStart w:id="1713" w:name="_Toc158712648"/>
      <w:r w:rsidRPr="006F296E">
        <w:rPr>
          <w:rStyle w:val="CharSectno"/>
        </w:rPr>
        <w:t>7.9.16O</w:t>
      </w:r>
      <w:r w:rsidRPr="00283424">
        <w:t xml:space="preserve">  Presentation, structure and format of fees and charges in periodic statements</w:t>
      </w:r>
      <w:bookmarkEnd w:id="1712"/>
      <w:bookmarkEnd w:id="1713"/>
    </w:p>
    <w:p w14:paraId="64917556" w14:textId="77777777" w:rsidR="00E93F58" w:rsidRPr="00283424" w:rsidRDefault="00E93F58" w:rsidP="00B50726">
      <w:pPr>
        <w:pStyle w:val="subsection"/>
      </w:pPr>
      <w:r w:rsidRPr="00283424">
        <w:tab/>
        <w:t>(1)</w:t>
      </w:r>
      <w:r w:rsidRPr="00283424">
        <w:tab/>
        <w:t>For paragraph 1020G(1)(c) of the Act, Part 7.9 of the Act applies in relation to a product mentioned in regulation 7.9.16J as if section 1017D of the Act were modified to add, after subsection (7):</w:t>
      </w:r>
    </w:p>
    <w:p w14:paraId="3B4F52D6" w14:textId="77777777" w:rsidR="00E93F58" w:rsidRPr="00283424" w:rsidRDefault="00E93F58" w:rsidP="00B50726">
      <w:pPr>
        <w:pStyle w:val="paragraph"/>
      </w:pPr>
      <w:r w:rsidRPr="00283424">
        <w:tab/>
        <w:t>‘(8)</w:t>
      </w:r>
      <w:r w:rsidRPr="00283424">
        <w:tab/>
        <w:t>The regulations may specify requirements as to the presentation, structure and format of a periodic statement.’.</w:t>
      </w:r>
    </w:p>
    <w:p w14:paraId="6D29B97A" w14:textId="77777777" w:rsidR="00E93F58" w:rsidRPr="00283424" w:rsidRDefault="00E93F58" w:rsidP="00B50726">
      <w:pPr>
        <w:pStyle w:val="subsection"/>
      </w:pPr>
      <w:r w:rsidRPr="00283424">
        <w:tab/>
        <w:t>(2)</w:t>
      </w:r>
      <w:r w:rsidRPr="00283424">
        <w:tab/>
        <w:t>For subsection 1017D(8) of the Act, the information required by paragraph 1017D(5)(c) of the Act must be set out in the periodic statement:</w:t>
      </w:r>
    </w:p>
    <w:p w14:paraId="74BD6013" w14:textId="77777777" w:rsidR="00E93F58" w:rsidRPr="00283424" w:rsidRDefault="00E93F58" w:rsidP="00B50726">
      <w:pPr>
        <w:pStyle w:val="paragraph"/>
      </w:pPr>
      <w:r w:rsidRPr="00283424">
        <w:tab/>
        <w:t>(a)</w:t>
      </w:r>
      <w:r w:rsidRPr="00283424">
        <w:tab/>
        <w:t>in the manner specified in Part 3 of Schedule 10; and</w:t>
      </w:r>
    </w:p>
    <w:p w14:paraId="201BA254" w14:textId="77777777" w:rsidR="00E93F58" w:rsidRPr="00283424" w:rsidRDefault="00E93F58" w:rsidP="00B50726">
      <w:pPr>
        <w:pStyle w:val="paragraph"/>
      </w:pPr>
      <w:r w:rsidRPr="00283424">
        <w:tab/>
        <w:t>(b)</w:t>
      </w:r>
      <w:r w:rsidRPr="00283424">
        <w:tab/>
        <w:t>using the terminology used in Part 3 of Schedule 10.</w:t>
      </w:r>
    </w:p>
    <w:p w14:paraId="5F2F39DE" w14:textId="77777777" w:rsidR="00E93F58" w:rsidRPr="00283424" w:rsidRDefault="00E93F58" w:rsidP="00B50726">
      <w:pPr>
        <w:pStyle w:val="ActHead3"/>
        <w:pageBreakBefore/>
      </w:pPr>
      <w:bookmarkStart w:id="1714" w:name="_Toc152054833"/>
      <w:bookmarkStart w:id="1715" w:name="_Toc158712649"/>
      <w:r w:rsidRPr="006F296E">
        <w:rPr>
          <w:rStyle w:val="CharDivNo"/>
        </w:rPr>
        <w:lastRenderedPageBreak/>
        <w:t>Division 4D</w:t>
      </w:r>
      <w:r w:rsidRPr="00283424">
        <w:t>—</w:t>
      </w:r>
      <w:r w:rsidRPr="006F296E">
        <w:rPr>
          <w:rStyle w:val="CharDivText"/>
        </w:rPr>
        <w:t>Other requirements relating to Product Disclosure Statements and Supplementary Product Disclosure Statements</w:t>
      </w:r>
      <w:bookmarkEnd w:id="1714"/>
      <w:bookmarkEnd w:id="1715"/>
    </w:p>
    <w:p w14:paraId="31CBF32F" w14:textId="77777777" w:rsidR="00E93F58" w:rsidRPr="00283424" w:rsidRDefault="00E93F58" w:rsidP="00B50726">
      <w:pPr>
        <w:pStyle w:val="ActHead4"/>
      </w:pPr>
      <w:bookmarkStart w:id="1716" w:name="_Toc152054834"/>
      <w:bookmarkStart w:id="1717" w:name="_Toc158712650"/>
      <w:r w:rsidRPr="006F296E">
        <w:rPr>
          <w:rStyle w:val="CharSubdNo"/>
        </w:rPr>
        <w:t>Subdivision 4D.1</w:t>
      </w:r>
      <w:r w:rsidRPr="00283424">
        <w:t>—</w:t>
      </w:r>
      <w:r w:rsidRPr="006F296E">
        <w:rPr>
          <w:rStyle w:val="CharSubdText"/>
        </w:rPr>
        <w:t>Requirement to lodge a notice with ASIC</w:t>
      </w:r>
      <w:bookmarkEnd w:id="1716"/>
      <w:bookmarkEnd w:id="1717"/>
    </w:p>
    <w:p w14:paraId="783D1D60" w14:textId="77777777" w:rsidR="00E93F58" w:rsidRPr="00283424" w:rsidRDefault="00E93F58" w:rsidP="00B50726">
      <w:pPr>
        <w:pStyle w:val="ActHead5"/>
      </w:pPr>
      <w:bookmarkStart w:id="1718" w:name="_Toc152054835"/>
      <w:bookmarkStart w:id="1719" w:name="_Toc158712651"/>
      <w:r w:rsidRPr="006F296E">
        <w:rPr>
          <w:rStyle w:val="CharSectno"/>
        </w:rPr>
        <w:t>7.9.16T</w:t>
      </w:r>
      <w:r w:rsidRPr="00283424">
        <w:t xml:space="preserve">  Variation of paragraph 1015D(2)(b) of the Act</w:t>
      </w:r>
      <w:bookmarkEnd w:id="1718"/>
      <w:bookmarkEnd w:id="1719"/>
    </w:p>
    <w:p w14:paraId="5B9CDAC4" w14:textId="77777777" w:rsidR="00E93F58" w:rsidRPr="00283424" w:rsidRDefault="00E93F58" w:rsidP="00B50726">
      <w:pPr>
        <w:pStyle w:val="subsection"/>
      </w:pPr>
      <w:r w:rsidRPr="00283424">
        <w:tab/>
      </w:r>
      <w:r w:rsidRPr="00283424">
        <w:tab/>
        <w:t>For paragraph 1020G(1)(c) of the Act, Part 7.9 of the Act applies as if paragraph 1015D(2)(b) of the Act were omitted and the following paragraph and note were inserted:</w:t>
      </w:r>
    </w:p>
    <w:p w14:paraId="2B818AD0" w14:textId="77777777" w:rsidR="00E93F58" w:rsidRPr="00283424" w:rsidRDefault="00E93F58" w:rsidP="00B50726">
      <w:pPr>
        <w:pStyle w:val="paragraph"/>
      </w:pPr>
      <w:r w:rsidRPr="00283424">
        <w:tab/>
        <w:t>‘(b)</w:t>
      </w:r>
      <w:r w:rsidRPr="00283424">
        <w:tab/>
        <w:t>a change is made to the fees and charges set out in the enhanced fee disclosure table in the Statement;</w:t>
      </w:r>
    </w:p>
    <w:p w14:paraId="23B71FD6" w14:textId="77777777" w:rsidR="00E93F58" w:rsidRPr="00283424" w:rsidRDefault="00E93F58" w:rsidP="00B50726">
      <w:pPr>
        <w:pStyle w:val="notetext"/>
      </w:pPr>
      <w:r w:rsidRPr="00283424">
        <w:t>Note:</w:t>
      </w:r>
      <w:r w:rsidRPr="00283424">
        <w:tab/>
        <w:t xml:space="preserve">The templates for the enhanced fee disclosure table are set out in items 201 and 202 of Schedule 10 to the </w:t>
      </w:r>
      <w:r w:rsidRPr="00283424">
        <w:rPr>
          <w:i/>
        </w:rPr>
        <w:t xml:space="preserve">Corporations </w:t>
      </w:r>
      <w:r>
        <w:rPr>
          <w:i/>
        </w:rPr>
        <w:t>Regulations 2</w:t>
      </w:r>
      <w:r w:rsidRPr="00283424">
        <w:rPr>
          <w:i/>
        </w:rPr>
        <w:t>001</w:t>
      </w:r>
      <w:r w:rsidRPr="00283424">
        <w:t>.’.</w:t>
      </w:r>
    </w:p>
    <w:p w14:paraId="434D1927" w14:textId="77777777" w:rsidR="00E93F58" w:rsidRPr="00283424" w:rsidRDefault="00E93F58" w:rsidP="00B50726">
      <w:pPr>
        <w:pStyle w:val="ActHead3"/>
        <w:pageBreakBefore/>
      </w:pPr>
      <w:bookmarkStart w:id="1720" w:name="_Toc152054836"/>
      <w:bookmarkStart w:id="1721" w:name="_Toc158712652"/>
      <w:r w:rsidRPr="006F296E">
        <w:rPr>
          <w:rStyle w:val="CharDivNo"/>
        </w:rPr>
        <w:lastRenderedPageBreak/>
        <w:t>Division 5</w:t>
      </w:r>
      <w:r w:rsidRPr="00283424">
        <w:t>—</w:t>
      </w:r>
      <w:r w:rsidRPr="006F296E">
        <w:rPr>
          <w:rStyle w:val="CharDivText"/>
        </w:rPr>
        <w:t>Ongoing requirements for product disclosure after person becomes a member</w:t>
      </w:r>
      <w:bookmarkEnd w:id="1720"/>
      <w:bookmarkEnd w:id="1721"/>
    </w:p>
    <w:p w14:paraId="7FCAC0C9" w14:textId="77777777" w:rsidR="00E93F58" w:rsidRPr="00283424" w:rsidRDefault="00E93F58" w:rsidP="00B50726">
      <w:pPr>
        <w:pStyle w:val="ActHead4"/>
      </w:pPr>
      <w:bookmarkStart w:id="1722" w:name="_Toc152054837"/>
      <w:bookmarkStart w:id="1723" w:name="_Toc158712653"/>
      <w:r w:rsidRPr="006F296E">
        <w:rPr>
          <w:rStyle w:val="CharSubdNo"/>
        </w:rPr>
        <w:t>Subdivision 5.1</w:t>
      </w:r>
      <w:r w:rsidRPr="00283424">
        <w:t>—</w:t>
      </w:r>
      <w:r w:rsidRPr="006F296E">
        <w:rPr>
          <w:rStyle w:val="CharSubdText"/>
        </w:rPr>
        <w:t>Preliminary</w:t>
      </w:r>
      <w:bookmarkEnd w:id="1722"/>
      <w:bookmarkEnd w:id="1723"/>
    </w:p>
    <w:p w14:paraId="2052D422" w14:textId="77777777" w:rsidR="00E93F58" w:rsidRPr="00283424" w:rsidRDefault="00E93F58" w:rsidP="00B50726">
      <w:pPr>
        <w:pStyle w:val="ActHead5"/>
      </w:pPr>
      <w:bookmarkStart w:id="1724" w:name="_Toc152054838"/>
      <w:bookmarkStart w:id="1725" w:name="_Toc158712654"/>
      <w:r w:rsidRPr="006F296E">
        <w:rPr>
          <w:rStyle w:val="CharSectno"/>
        </w:rPr>
        <w:t>7.9.17</w:t>
      </w:r>
      <w:r w:rsidRPr="00283424">
        <w:rPr>
          <w:sz w:val="16"/>
        </w:rPr>
        <w:t xml:space="preserve">  </w:t>
      </w:r>
      <w:r w:rsidRPr="00283424">
        <w:t>Application of Division 5</w:t>
      </w:r>
      <w:bookmarkEnd w:id="1724"/>
      <w:bookmarkEnd w:id="1725"/>
    </w:p>
    <w:p w14:paraId="24A0F299" w14:textId="77777777" w:rsidR="00E93F58" w:rsidRPr="00283424" w:rsidRDefault="00E93F58" w:rsidP="00B50726">
      <w:pPr>
        <w:pStyle w:val="subsection"/>
      </w:pPr>
      <w:r w:rsidRPr="00283424">
        <w:tab/>
      </w:r>
      <w:r w:rsidRPr="00283424">
        <w:tab/>
        <w:t>This Division applies in relation to the following entities:</w:t>
      </w:r>
    </w:p>
    <w:p w14:paraId="4D878DAE" w14:textId="77777777" w:rsidR="00E93F58" w:rsidRPr="00283424" w:rsidRDefault="00E93F58" w:rsidP="00B50726">
      <w:pPr>
        <w:pStyle w:val="paragraph"/>
        <w:rPr>
          <w:color w:val="000000"/>
        </w:rPr>
      </w:pPr>
      <w:r w:rsidRPr="00283424">
        <w:rPr>
          <w:color w:val="000000"/>
        </w:rPr>
        <w:tab/>
        <w:t>(a)</w:t>
      </w:r>
      <w:r w:rsidRPr="00283424">
        <w:rPr>
          <w:color w:val="000000"/>
        </w:rPr>
        <w:tab/>
        <w:t>a regulated superannuation fund;</w:t>
      </w:r>
    </w:p>
    <w:p w14:paraId="64532B98" w14:textId="77777777" w:rsidR="00E93F58" w:rsidRPr="00283424" w:rsidRDefault="00E93F58" w:rsidP="00B50726">
      <w:pPr>
        <w:pStyle w:val="paragraph"/>
      </w:pPr>
      <w:r w:rsidRPr="00283424">
        <w:tab/>
        <w:t>(b)</w:t>
      </w:r>
      <w:r w:rsidRPr="00283424">
        <w:tab/>
        <w:t>an approved deposit fund;</w:t>
      </w:r>
    </w:p>
    <w:p w14:paraId="65BC48D3" w14:textId="77777777" w:rsidR="00E93F58" w:rsidRPr="00283424" w:rsidRDefault="00E93F58" w:rsidP="00B50726">
      <w:pPr>
        <w:pStyle w:val="paragraph"/>
      </w:pPr>
      <w:r w:rsidRPr="00283424">
        <w:tab/>
        <w:t>(c)</w:t>
      </w:r>
      <w:r w:rsidRPr="00283424">
        <w:tab/>
        <w:t>a pooled superannuation trust;</w:t>
      </w:r>
    </w:p>
    <w:p w14:paraId="0342A1FE" w14:textId="77777777" w:rsidR="00E93F58" w:rsidRPr="00283424" w:rsidRDefault="00E93F58" w:rsidP="00B50726">
      <w:pPr>
        <w:pStyle w:val="paragraph"/>
      </w:pPr>
      <w:r w:rsidRPr="00283424">
        <w:tab/>
        <w:t>(d)</w:t>
      </w:r>
      <w:r w:rsidRPr="00283424">
        <w:tab/>
        <w:t>an RSA.</w:t>
      </w:r>
    </w:p>
    <w:p w14:paraId="2E4D50DC" w14:textId="77777777" w:rsidR="00E93F58" w:rsidRPr="00283424" w:rsidRDefault="00E93F58" w:rsidP="00B50726">
      <w:pPr>
        <w:pStyle w:val="ActHead4"/>
      </w:pPr>
      <w:bookmarkStart w:id="1726" w:name="_Toc152054839"/>
      <w:bookmarkStart w:id="1727" w:name="_Toc158712655"/>
      <w:r w:rsidRPr="006F296E">
        <w:rPr>
          <w:rStyle w:val="CharSubdNo"/>
        </w:rPr>
        <w:t>Subdivision 5.2</w:t>
      </w:r>
      <w:r w:rsidRPr="00283424">
        <w:rPr>
          <w:sz w:val="16"/>
        </w:rPr>
        <w:t>—</w:t>
      </w:r>
      <w:r w:rsidRPr="006F296E">
        <w:rPr>
          <w:rStyle w:val="CharSubdText"/>
        </w:rPr>
        <w:t xml:space="preserve">Periodic statements for retail clients for financial products that have an investment component: regulated superannuation funds, </w:t>
      </w:r>
      <w:r w:rsidRPr="00591C46">
        <w:rPr>
          <w:rStyle w:val="CharSubdText"/>
        </w:rPr>
        <w:t>approved deposit funds</w:t>
      </w:r>
      <w:r w:rsidRPr="006F296E">
        <w:rPr>
          <w:rStyle w:val="CharSubdText"/>
        </w:rPr>
        <w:t xml:space="preserve"> and RSAs</w:t>
      </w:r>
      <w:bookmarkEnd w:id="1726"/>
      <w:bookmarkEnd w:id="1727"/>
    </w:p>
    <w:p w14:paraId="6723DB9E" w14:textId="77777777" w:rsidR="00E93F58" w:rsidRPr="00283424" w:rsidRDefault="00E93F58" w:rsidP="00B50726">
      <w:pPr>
        <w:pStyle w:val="ActHead5"/>
      </w:pPr>
      <w:bookmarkStart w:id="1728" w:name="_Toc152054840"/>
      <w:bookmarkStart w:id="1729" w:name="_Toc158712656"/>
      <w:r w:rsidRPr="006F296E">
        <w:rPr>
          <w:rStyle w:val="CharSectno"/>
        </w:rPr>
        <w:t>7.9.18</w:t>
      </w:r>
      <w:r w:rsidRPr="00283424">
        <w:rPr>
          <w:sz w:val="16"/>
        </w:rPr>
        <w:t xml:space="preserve">  </w:t>
      </w:r>
      <w:r w:rsidRPr="00283424">
        <w:t>Application of Subdivision 5.2</w:t>
      </w:r>
      <w:bookmarkEnd w:id="1728"/>
      <w:bookmarkEnd w:id="1729"/>
    </w:p>
    <w:p w14:paraId="65AD291E" w14:textId="77777777" w:rsidR="00E93F58" w:rsidRPr="00283424" w:rsidRDefault="00E93F58" w:rsidP="00B50726">
      <w:pPr>
        <w:pStyle w:val="subsection"/>
      </w:pPr>
      <w:r w:rsidRPr="00283424">
        <w:tab/>
      </w:r>
      <w:r w:rsidRPr="00283424">
        <w:tab/>
        <w:t>This Subdivision applies in relation to:</w:t>
      </w:r>
    </w:p>
    <w:p w14:paraId="3F0F533E" w14:textId="77777777" w:rsidR="00E93F58" w:rsidRPr="00283424" w:rsidRDefault="00E93F58" w:rsidP="00B50726">
      <w:pPr>
        <w:pStyle w:val="paragraph"/>
      </w:pPr>
      <w:r w:rsidRPr="00283424">
        <w:rPr>
          <w:color w:val="000000"/>
        </w:rPr>
        <w:tab/>
        <w:t>(a)</w:t>
      </w:r>
      <w:r w:rsidRPr="00283424">
        <w:rPr>
          <w:color w:val="000000"/>
        </w:rPr>
        <w:tab/>
        <w:t>a regulated superannuation fund; and</w:t>
      </w:r>
    </w:p>
    <w:p w14:paraId="49F94837" w14:textId="77777777" w:rsidR="00E93F58" w:rsidRPr="00283424" w:rsidRDefault="00E93F58" w:rsidP="00B50726">
      <w:pPr>
        <w:pStyle w:val="paragraph"/>
      </w:pPr>
      <w:r w:rsidRPr="00283424">
        <w:tab/>
        <w:t>(b)</w:t>
      </w:r>
      <w:r w:rsidRPr="00283424">
        <w:tab/>
        <w:t>an approved deposit fund; and</w:t>
      </w:r>
    </w:p>
    <w:p w14:paraId="7B5445E3" w14:textId="77777777" w:rsidR="00E93F58" w:rsidRPr="00283424" w:rsidRDefault="00E93F58" w:rsidP="00B50726">
      <w:pPr>
        <w:pStyle w:val="paragraph"/>
      </w:pPr>
      <w:r w:rsidRPr="00283424">
        <w:tab/>
        <w:t>(c)</w:t>
      </w:r>
      <w:r w:rsidRPr="00283424">
        <w:tab/>
        <w:t>an RSA.</w:t>
      </w:r>
    </w:p>
    <w:p w14:paraId="6B0A027C" w14:textId="77777777" w:rsidR="00E93F58" w:rsidRPr="00283424" w:rsidRDefault="00E93F58" w:rsidP="00B50726">
      <w:pPr>
        <w:pStyle w:val="ActHead5"/>
      </w:pPr>
      <w:bookmarkStart w:id="1730" w:name="_Toc152054841"/>
      <w:bookmarkStart w:id="1731" w:name="_Toc158712657"/>
      <w:r w:rsidRPr="006F296E">
        <w:rPr>
          <w:rStyle w:val="CharSectno"/>
        </w:rPr>
        <w:t>7.9.19</w:t>
      </w:r>
      <w:r w:rsidRPr="00283424">
        <w:rPr>
          <w:sz w:val="16"/>
        </w:rPr>
        <w:t xml:space="preserve">  </w:t>
      </w:r>
      <w:r w:rsidRPr="00283424">
        <w:t>Specific requirements for periodic statements: superannuation funds (other than self managed superannuation funds) and RSAs</w:t>
      </w:r>
      <w:bookmarkEnd w:id="1730"/>
      <w:bookmarkEnd w:id="1731"/>
    </w:p>
    <w:p w14:paraId="7A0E33F9" w14:textId="77777777" w:rsidR="00E93F58" w:rsidRPr="00283424" w:rsidRDefault="00E93F58" w:rsidP="00B50726">
      <w:pPr>
        <w:pStyle w:val="subsection"/>
      </w:pPr>
      <w:r w:rsidRPr="00283424">
        <w:tab/>
      </w:r>
      <w:r w:rsidRPr="00283424">
        <w:tab/>
        <w:t xml:space="preserve">For paragraph 1017D(5)(g) of the Act, a periodic statement for a superannuation product, given to a member of a superannuation fund (other than a self managed superannuation fund) or an </w:t>
      </w:r>
      <w:r w:rsidRPr="00BE1284">
        <w:t>RSA</w:t>
      </w:r>
      <w:r w:rsidRPr="00283424">
        <w:t xml:space="preserve"> given to an RSA holder must include the following details:</w:t>
      </w:r>
    </w:p>
    <w:p w14:paraId="0DECCB13" w14:textId="77777777" w:rsidR="00E93F58" w:rsidRPr="00283424" w:rsidRDefault="00E93F58" w:rsidP="00B50726">
      <w:pPr>
        <w:pStyle w:val="paragraph"/>
      </w:pPr>
      <w:r w:rsidRPr="00283424">
        <w:rPr>
          <w:color w:val="000000"/>
        </w:rPr>
        <w:tab/>
        <w:t>(a)</w:t>
      </w:r>
      <w:r w:rsidRPr="00283424">
        <w:rPr>
          <w:color w:val="000000"/>
        </w:rPr>
        <w:tab/>
        <w:t>the contact details of the fund or the RSA provider;</w:t>
      </w:r>
    </w:p>
    <w:p w14:paraId="503755DE" w14:textId="77777777" w:rsidR="00E93F58" w:rsidRPr="00283424" w:rsidRDefault="00E93F58" w:rsidP="00B50726">
      <w:pPr>
        <w:pStyle w:val="paragraph"/>
      </w:pPr>
      <w:r w:rsidRPr="00283424">
        <w:tab/>
        <w:t>(b)</w:t>
      </w:r>
      <w:r w:rsidRPr="00283424">
        <w:tab/>
        <w:t>the amount of withdrawal benefit for the member or RSA holder at the start of the reporting period;</w:t>
      </w:r>
    </w:p>
    <w:p w14:paraId="75E607CD" w14:textId="77777777" w:rsidR="00E93F58" w:rsidRPr="00283424" w:rsidRDefault="00E93F58" w:rsidP="00B50726">
      <w:pPr>
        <w:pStyle w:val="paragraph"/>
      </w:pPr>
      <w:r w:rsidRPr="00283424">
        <w:tab/>
        <w:t>(c)</w:t>
      </w:r>
      <w:r w:rsidRPr="00283424">
        <w:tab/>
        <w:t>the amount of the withdrawal benefit for the member or RSA holder at the end of the reporting period, and the method by which that amount was worked out;</w:t>
      </w:r>
    </w:p>
    <w:p w14:paraId="14C641BB" w14:textId="77777777" w:rsidR="00E93F58" w:rsidRPr="00283424" w:rsidRDefault="00E93F58" w:rsidP="00B50726">
      <w:pPr>
        <w:pStyle w:val="paragraph"/>
      </w:pPr>
      <w:r w:rsidRPr="00283424">
        <w:tab/>
        <w:t>(d)</w:t>
      </w:r>
      <w:r w:rsidRPr="00283424">
        <w:tab/>
        <w:t>the amount (if any) of the withdrawal benefit for the member or RSA holder, at the end of the reporting period, that consists of preserved benefits;</w:t>
      </w:r>
    </w:p>
    <w:p w14:paraId="14D458F6" w14:textId="77777777" w:rsidR="00E93F58" w:rsidRPr="00283424" w:rsidRDefault="00E93F58" w:rsidP="00B50726">
      <w:pPr>
        <w:pStyle w:val="paragraph"/>
      </w:pPr>
      <w:r w:rsidRPr="00283424">
        <w:tab/>
        <w:t>(e)</w:t>
      </w:r>
      <w:r w:rsidRPr="00283424">
        <w:tab/>
        <w:t>the amount (if any) of the withdrawal benefit for the member or RSA holder, at the end of the reporting period, that consists of restricted non</w:t>
      </w:r>
      <w:r>
        <w:noBreakHyphen/>
      </w:r>
      <w:r w:rsidRPr="00283424">
        <w:t>preserved benefits;</w:t>
      </w:r>
    </w:p>
    <w:p w14:paraId="3165876C" w14:textId="77777777" w:rsidR="00E93F58" w:rsidRPr="00283424" w:rsidRDefault="00E93F58" w:rsidP="00B50726">
      <w:pPr>
        <w:pStyle w:val="paragraph"/>
      </w:pPr>
      <w:r w:rsidRPr="00283424">
        <w:tab/>
        <w:t>(f)</w:t>
      </w:r>
      <w:r w:rsidRPr="00283424">
        <w:tab/>
        <w:t>the amount (if any) of the withdrawal benefit for the member or RSA holder, at the end of the reporting period, that consists of unrestricted non</w:t>
      </w:r>
      <w:r>
        <w:noBreakHyphen/>
      </w:r>
      <w:r w:rsidRPr="00283424">
        <w:t>preserved benefits;</w:t>
      </w:r>
    </w:p>
    <w:p w14:paraId="1F08FA9A" w14:textId="77777777" w:rsidR="00E93F58" w:rsidRPr="00283424" w:rsidRDefault="00E93F58" w:rsidP="00B50726">
      <w:pPr>
        <w:pStyle w:val="paragraph"/>
      </w:pPr>
      <w:r w:rsidRPr="00283424">
        <w:tab/>
        <w:t>(g)</w:t>
      </w:r>
      <w:r w:rsidRPr="00283424">
        <w:tab/>
        <w:t>if, in providing details of the amount of the withdrawal benefit at the end of the reporting period, a deduction for fees, charges or expenses has been made or might be made—details of the deduction;</w:t>
      </w:r>
    </w:p>
    <w:p w14:paraId="36829A8C" w14:textId="77777777" w:rsidR="00E93F58" w:rsidRPr="00283424" w:rsidRDefault="00E93F58" w:rsidP="00B50726">
      <w:pPr>
        <w:pStyle w:val="paragraph"/>
      </w:pPr>
      <w:r w:rsidRPr="00283424">
        <w:tab/>
        <w:t>(h)</w:t>
      </w:r>
      <w:r w:rsidRPr="00283424">
        <w:tab/>
        <w:t>if relevant, a statement informing the product holder that:</w:t>
      </w:r>
    </w:p>
    <w:p w14:paraId="4B6FB3F7" w14:textId="77777777" w:rsidR="00E93F58" w:rsidRPr="00283424" w:rsidRDefault="00E93F58" w:rsidP="00B50726">
      <w:pPr>
        <w:pStyle w:val="paragraphsub"/>
      </w:pPr>
      <w:r w:rsidRPr="00283424">
        <w:tab/>
        <w:t>(i)</w:t>
      </w:r>
      <w:r w:rsidRPr="00283424">
        <w:tab/>
        <w:t>the information about the withdrawal benefit for the product holder at the end of the reporting period is based on notional amounts that would have been attributable to the product holder if the product holder had disposed of his or her interest in the product on the date shown in the statement; and</w:t>
      </w:r>
    </w:p>
    <w:p w14:paraId="1757F309" w14:textId="77777777" w:rsidR="00E93F58" w:rsidRPr="00283424" w:rsidRDefault="00E93F58" w:rsidP="00B50726">
      <w:pPr>
        <w:pStyle w:val="paragraphsub"/>
      </w:pPr>
      <w:r w:rsidRPr="00283424">
        <w:tab/>
        <w:t>(ii)</w:t>
      </w:r>
      <w:r w:rsidRPr="00283424">
        <w:tab/>
        <w:t>the amounts on which that information is based might change; and</w:t>
      </w:r>
    </w:p>
    <w:p w14:paraId="24134DC1" w14:textId="77777777" w:rsidR="00E93F58" w:rsidRPr="00283424" w:rsidRDefault="00E93F58" w:rsidP="00B50726">
      <w:pPr>
        <w:pStyle w:val="paragraphsub"/>
      </w:pPr>
      <w:r w:rsidRPr="00283424">
        <w:tab/>
        <w:t>(iii)</w:t>
      </w:r>
      <w:r w:rsidRPr="00283424">
        <w:tab/>
        <w:t>before disposing of that product, the product holder should seek information from the product issuer on the withdrawal benefit at that time;</w:t>
      </w:r>
    </w:p>
    <w:p w14:paraId="139AA268" w14:textId="77777777" w:rsidR="00E93F58" w:rsidRPr="00283424" w:rsidRDefault="00E93F58" w:rsidP="00B50726">
      <w:pPr>
        <w:pStyle w:val="paragraph"/>
      </w:pPr>
      <w:r w:rsidRPr="00283424">
        <w:tab/>
        <w:t>(i)</w:t>
      </w:r>
      <w:r w:rsidRPr="00283424">
        <w:tab/>
        <w:t>a statement informing the product holder that the product issuer is obliged to provide a member with any information that he or she reasonably requires to understand his or her benefit entitlements;</w:t>
      </w:r>
    </w:p>
    <w:p w14:paraId="2E553996" w14:textId="77777777" w:rsidR="00E93F58" w:rsidRPr="00283424" w:rsidRDefault="00E93F58" w:rsidP="00B50726">
      <w:pPr>
        <w:pStyle w:val="paragraph"/>
      </w:pPr>
      <w:r w:rsidRPr="00283424">
        <w:tab/>
        <w:t>(j)</w:t>
      </w:r>
      <w:r w:rsidRPr="00283424">
        <w:tab/>
        <w:t>a statement of the way in which a product holder is able to gain access to information in relation to his or her investment in the financial product.</w:t>
      </w:r>
    </w:p>
    <w:p w14:paraId="168F061D" w14:textId="77777777" w:rsidR="00E93F58" w:rsidRPr="00283424" w:rsidRDefault="00E93F58" w:rsidP="00B50726">
      <w:pPr>
        <w:pStyle w:val="ActHead5"/>
      </w:pPr>
      <w:bookmarkStart w:id="1732" w:name="_Toc152054842"/>
      <w:bookmarkStart w:id="1733" w:name="_Toc158712658"/>
      <w:r w:rsidRPr="006F296E">
        <w:rPr>
          <w:rStyle w:val="CharSectno"/>
        </w:rPr>
        <w:lastRenderedPageBreak/>
        <w:t>7.9.19A</w:t>
      </w:r>
      <w:r w:rsidRPr="00283424">
        <w:t xml:space="preserve">  Withdrawal benefit—fees, charges or expenses</w:t>
      </w:r>
      <w:bookmarkEnd w:id="1732"/>
      <w:bookmarkEnd w:id="1733"/>
    </w:p>
    <w:p w14:paraId="07EA391E" w14:textId="77777777" w:rsidR="00E93F58" w:rsidRPr="00283424" w:rsidRDefault="00E93F58" w:rsidP="00B50726">
      <w:pPr>
        <w:pStyle w:val="subsection"/>
      </w:pPr>
      <w:r w:rsidRPr="00283424">
        <w:tab/>
        <w:t>(1)</w:t>
      </w:r>
      <w:r w:rsidRPr="00283424">
        <w:tab/>
        <w:t>For subsection 1017D(5A) of the Act, in providing details of a deduction for fees, charges or expenses in accordance with paragraph 7.9.19(g), the amount must be stated in dollars.</w:t>
      </w:r>
    </w:p>
    <w:p w14:paraId="3F9DD850" w14:textId="77777777" w:rsidR="00E93F58" w:rsidRPr="00283424" w:rsidRDefault="00E93F58" w:rsidP="00B50726">
      <w:pPr>
        <w:pStyle w:val="subsection"/>
      </w:pPr>
      <w:r w:rsidRPr="00283424">
        <w:tab/>
        <w:t>(2)</w:t>
      </w:r>
      <w:r w:rsidRPr="00283424">
        <w:tab/>
        <w:t>If ASIC determines that, for a compelling reason, it is not possible to state the amount of a deduction in dollars the amount of the deduction may be set out as a description of the fees, charges or expenses as a percentage of a specified matter (including worked dollar examples, unless that is inappropriate).</w:t>
      </w:r>
    </w:p>
    <w:p w14:paraId="2580598B" w14:textId="77777777" w:rsidR="00E93F58" w:rsidRPr="00283424" w:rsidRDefault="00E93F58" w:rsidP="00B50726">
      <w:pPr>
        <w:pStyle w:val="subsection"/>
      </w:pPr>
      <w:r w:rsidRPr="00283424">
        <w:tab/>
        <w:t>(3)</w:t>
      </w:r>
      <w:r w:rsidRPr="00283424">
        <w:tab/>
        <w:t>If ASIC determines that, for a compelling reason, it is not possible to state the amount of a deduction in dollars, or to set out the amount as a percentage, the product issuer may provide:</w:t>
      </w:r>
    </w:p>
    <w:p w14:paraId="47F7F33A" w14:textId="77777777" w:rsidR="00E93F58" w:rsidRPr="00283424" w:rsidRDefault="00E93F58" w:rsidP="00B50726">
      <w:pPr>
        <w:pStyle w:val="paragraph"/>
      </w:pPr>
      <w:r w:rsidRPr="00283424">
        <w:tab/>
        <w:t>(a)</w:t>
      </w:r>
      <w:r w:rsidRPr="00283424">
        <w:tab/>
        <w:t>a statement informing the holder of the product that amounts for fees, charges or expenses are applicable; and</w:t>
      </w:r>
    </w:p>
    <w:p w14:paraId="0E3AC7B9" w14:textId="77777777" w:rsidR="00E93F58" w:rsidRPr="00283424" w:rsidRDefault="00E93F58" w:rsidP="00B50726">
      <w:pPr>
        <w:pStyle w:val="paragraph"/>
      </w:pPr>
      <w:r w:rsidRPr="00283424">
        <w:tab/>
        <w:t>(b)</w:t>
      </w:r>
      <w:r w:rsidRPr="00283424">
        <w:tab/>
        <w:t>if information about access to the information about the amount of the deduction is not provided in the statement mentioned in paragraph 7.9.19(h)—details of the means by which a product holder can gain access to information relating to the amount of the deduction.</w:t>
      </w:r>
    </w:p>
    <w:p w14:paraId="000CBAE9" w14:textId="77777777" w:rsidR="00E93F58" w:rsidRPr="00283424" w:rsidRDefault="00E93F58" w:rsidP="00B50726">
      <w:pPr>
        <w:pStyle w:val="subsection"/>
      </w:pPr>
      <w:r w:rsidRPr="00283424">
        <w:tab/>
        <w:t>(4)</w:t>
      </w:r>
      <w:r w:rsidRPr="00283424">
        <w:tab/>
        <w:t>A determination under subregulation (2) or (3) must be:</w:t>
      </w:r>
    </w:p>
    <w:p w14:paraId="036B20B0" w14:textId="77777777" w:rsidR="00E93F58" w:rsidRPr="00283424" w:rsidRDefault="00E93F58" w:rsidP="00B50726">
      <w:pPr>
        <w:pStyle w:val="paragraph"/>
      </w:pPr>
      <w:r w:rsidRPr="00283424">
        <w:tab/>
        <w:t>(a)</w:t>
      </w:r>
      <w:r w:rsidRPr="00283424">
        <w:tab/>
        <w:t>in writing; and</w:t>
      </w:r>
    </w:p>
    <w:p w14:paraId="3FD1C194"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6CFC1064" w14:textId="77777777" w:rsidR="00E93F58" w:rsidRPr="00283424" w:rsidRDefault="00E93F58" w:rsidP="00B50726">
      <w:pPr>
        <w:pStyle w:val="ActHead5"/>
      </w:pPr>
      <w:bookmarkStart w:id="1734" w:name="_Toc152054843"/>
      <w:bookmarkStart w:id="1735" w:name="_Toc158712659"/>
      <w:r w:rsidRPr="006F296E">
        <w:rPr>
          <w:rStyle w:val="CharSectno"/>
        </w:rPr>
        <w:t>7.9.19B</w:t>
      </w:r>
      <w:r w:rsidRPr="00283424">
        <w:t xml:space="preserve">  Withdrawal benefit—fees, charges and expenses</w:t>
      </w:r>
      <w:bookmarkEnd w:id="1734"/>
      <w:bookmarkEnd w:id="1735"/>
    </w:p>
    <w:p w14:paraId="1D0DBADA" w14:textId="77777777" w:rsidR="00E93F58" w:rsidRPr="00283424" w:rsidRDefault="00E93F58" w:rsidP="00B50726">
      <w:pPr>
        <w:pStyle w:val="subsection"/>
      </w:pPr>
      <w:r w:rsidRPr="00283424">
        <w:tab/>
        <w:t>(1)</w:t>
      </w:r>
      <w:r w:rsidRPr="00283424">
        <w:tab/>
        <w:t>For subsection 1017D(5A) of the Act, this regulation applies to details of a deduction for fees, charges or expenses in accordance with paragraph 7.9.19(g).</w:t>
      </w:r>
    </w:p>
    <w:p w14:paraId="32C5EDAD" w14:textId="77777777" w:rsidR="00E93F58" w:rsidRPr="00283424" w:rsidRDefault="00E93F58" w:rsidP="00B50726">
      <w:pPr>
        <w:pStyle w:val="subsection"/>
      </w:pPr>
      <w:r w:rsidRPr="00283424">
        <w:tab/>
        <w:t>(2)</w:t>
      </w:r>
      <w:r w:rsidRPr="00283424">
        <w:tab/>
        <w:t>If ASIC determines that, for a compelling reason based on the nature of a financial product or service, or the nature of the information, to state the information as an amount in dollars:</w:t>
      </w:r>
    </w:p>
    <w:p w14:paraId="6E3BCD54"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0740F44C"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61E8C6EC" w14:textId="77777777" w:rsidR="00E93F58" w:rsidRPr="00283424" w:rsidRDefault="00E93F58" w:rsidP="00B50726">
      <w:pPr>
        <w:pStyle w:val="paragraph"/>
      </w:pPr>
      <w:r w:rsidRPr="00283424">
        <w:tab/>
        <w:t>(c)</w:t>
      </w:r>
      <w:r w:rsidRPr="00283424">
        <w:tab/>
        <w:t>would not be in the interests of a product holder, or a class of product holders;</w:t>
      </w:r>
    </w:p>
    <w:p w14:paraId="3A24383B"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1A8E09E0" w14:textId="77777777" w:rsidR="00E93F58" w:rsidRPr="00283424" w:rsidRDefault="00E93F58" w:rsidP="00B50726">
      <w:pPr>
        <w:pStyle w:val="subsection"/>
      </w:pPr>
      <w:r w:rsidRPr="00283424">
        <w:tab/>
        <w:t>(3)</w:t>
      </w:r>
      <w:r w:rsidRPr="00283424">
        <w:tab/>
        <w:t>If ASIC determines that, for a compelling reason, based on the nature of a financial product or service, or the nature of the information, to state the information as an amount in dollars, or to describe the amount as a percentage:</w:t>
      </w:r>
    </w:p>
    <w:p w14:paraId="561D9311"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479FD1F6"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59469B97" w14:textId="77777777" w:rsidR="00E93F58" w:rsidRPr="00283424" w:rsidRDefault="00E93F58" w:rsidP="00B50726">
      <w:pPr>
        <w:pStyle w:val="paragraph"/>
      </w:pPr>
      <w:r w:rsidRPr="00283424">
        <w:tab/>
        <w:t>(c)</w:t>
      </w:r>
      <w:r w:rsidRPr="00283424">
        <w:tab/>
        <w:t>would not be in the interests of a product holder, or a class of product holders;</w:t>
      </w:r>
    </w:p>
    <w:p w14:paraId="04CBC5CD" w14:textId="77777777" w:rsidR="00E93F58" w:rsidRPr="00283424" w:rsidRDefault="00E93F58" w:rsidP="00B50726">
      <w:pPr>
        <w:pStyle w:val="subsection2"/>
      </w:pPr>
      <w:r w:rsidRPr="00283424">
        <w:t>the product issuer must provide the information in subregulation (4).</w:t>
      </w:r>
    </w:p>
    <w:p w14:paraId="18700A10" w14:textId="77777777" w:rsidR="00E93F58" w:rsidRPr="00283424" w:rsidRDefault="00E93F58" w:rsidP="00B50726">
      <w:pPr>
        <w:pStyle w:val="subsection"/>
      </w:pPr>
      <w:r w:rsidRPr="00283424">
        <w:tab/>
        <w:t>(4)</w:t>
      </w:r>
      <w:r w:rsidRPr="00283424">
        <w:tab/>
        <w:t>If subregulation (3) applies, the product issuer must provide:</w:t>
      </w:r>
    </w:p>
    <w:p w14:paraId="1D3ED152" w14:textId="77777777" w:rsidR="00E93F58" w:rsidRPr="00283424" w:rsidRDefault="00E93F58" w:rsidP="00B50726">
      <w:pPr>
        <w:pStyle w:val="paragraph"/>
      </w:pPr>
      <w:r w:rsidRPr="00283424">
        <w:tab/>
        <w:t>(a)</w:t>
      </w:r>
      <w:r w:rsidRPr="00283424">
        <w:tab/>
        <w:t>a statement informing the product holder that amounts for fees, charges or expenses are applicable; and</w:t>
      </w:r>
    </w:p>
    <w:p w14:paraId="0DF0F189" w14:textId="77777777" w:rsidR="00E93F58" w:rsidRPr="00283424" w:rsidRDefault="00E93F58" w:rsidP="00B50726">
      <w:pPr>
        <w:pStyle w:val="paragraph"/>
      </w:pPr>
      <w:r w:rsidRPr="00283424">
        <w:tab/>
        <w:t>(b)</w:t>
      </w:r>
      <w:r w:rsidRPr="00283424">
        <w:tab/>
        <w:t>if information about access to the information is not provided in the statement mentioned in paragraph 7.9.19(i)—details of the means by which a product holder can gain access to information relating to the amount of the deduction.</w:t>
      </w:r>
    </w:p>
    <w:p w14:paraId="6F6ED7D4" w14:textId="77777777" w:rsidR="00E93F58" w:rsidRPr="00283424" w:rsidRDefault="00E93F58" w:rsidP="00B50726">
      <w:pPr>
        <w:pStyle w:val="subsection"/>
      </w:pPr>
      <w:r w:rsidRPr="00283424">
        <w:tab/>
        <w:t>(5)</w:t>
      </w:r>
      <w:r w:rsidRPr="00283424">
        <w:tab/>
        <w:t>A determination under subregulation (2) or (3) must be:</w:t>
      </w:r>
    </w:p>
    <w:p w14:paraId="0A5ACFAA" w14:textId="77777777" w:rsidR="00E93F58" w:rsidRPr="00283424" w:rsidRDefault="00E93F58" w:rsidP="00B50726">
      <w:pPr>
        <w:pStyle w:val="paragraph"/>
      </w:pPr>
      <w:r w:rsidRPr="00283424">
        <w:tab/>
        <w:t>(a)</w:t>
      </w:r>
      <w:r w:rsidRPr="00283424">
        <w:tab/>
        <w:t>in writing; and</w:t>
      </w:r>
    </w:p>
    <w:p w14:paraId="58DD52BF"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3DBC46BF" w14:textId="77777777" w:rsidR="00E93F58" w:rsidRPr="00283424" w:rsidRDefault="00E93F58" w:rsidP="00B50726">
      <w:pPr>
        <w:pStyle w:val="ActHead5"/>
      </w:pPr>
      <w:bookmarkStart w:id="1736" w:name="_Toc152054844"/>
      <w:bookmarkStart w:id="1737" w:name="_Toc158712660"/>
      <w:r w:rsidRPr="006F296E">
        <w:rPr>
          <w:rStyle w:val="CharSectno"/>
        </w:rPr>
        <w:t>7.9.20</w:t>
      </w:r>
      <w:r w:rsidRPr="00283424">
        <w:rPr>
          <w:sz w:val="16"/>
        </w:rPr>
        <w:t xml:space="preserve">  </w:t>
      </w:r>
      <w:r w:rsidRPr="00283424">
        <w:t>Specific requirements for certain periodic statements: superannuation funds (other than self managed superannuation funds)</w:t>
      </w:r>
      <w:bookmarkEnd w:id="1736"/>
      <w:bookmarkEnd w:id="1737"/>
    </w:p>
    <w:p w14:paraId="7AF2F3A9" w14:textId="77777777" w:rsidR="00E93F58" w:rsidRPr="00283424" w:rsidRDefault="00E93F58" w:rsidP="00B50726">
      <w:pPr>
        <w:pStyle w:val="subsection"/>
      </w:pPr>
      <w:r w:rsidRPr="00283424">
        <w:tab/>
        <w:t>(1)</w:t>
      </w:r>
      <w:r w:rsidRPr="00283424">
        <w:tab/>
        <w:t>For paragraph 1017D(5)(g) of the Act, a periodic statement for a member of a fund (other than a self managed superannuation fund) must include the following details:</w:t>
      </w:r>
    </w:p>
    <w:p w14:paraId="557A9846" w14:textId="77777777" w:rsidR="00E93F58" w:rsidRPr="00283424" w:rsidRDefault="00E93F58" w:rsidP="00B50726">
      <w:pPr>
        <w:pStyle w:val="paragraph"/>
      </w:pPr>
      <w:r w:rsidRPr="00283424">
        <w:rPr>
          <w:color w:val="000000"/>
        </w:rPr>
        <w:tab/>
        <w:t>(a)</w:t>
      </w:r>
      <w:r w:rsidRPr="00283424">
        <w:rPr>
          <w:color w:val="000000"/>
        </w:rPr>
        <w:tab/>
        <w:t>the amount of the member’s contributions during the reporting period;</w:t>
      </w:r>
    </w:p>
    <w:p w14:paraId="5B309543" w14:textId="77777777" w:rsidR="00E93F58" w:rsidRPr="00283424" w:rsidRDefault="00E93F58" w:rsidP="00B50726">
      <w:pPr>
        <w:pStyle w:val="paragraph"/>
      </w:pPr>
      <w:r w:rsidRPr="00283424">
        <w:tab/>
        <w:t>(b)</w:t>
      </w:r>
      <w:r w:rsidRPr="00283424">
        <w:tab/>
        <w:t>the amount of benefits rolled</w:t>
      </w:r>
      <w:r>
        <w:noBreakHyphen/>
      </w:r>
      <w:r w:rsidRPr="00283424">
        <w:t>over or otherwise transferred into the fund during the reporting period;</w:t>
      </w:r>
    </w:p>
    <w:p w14:paraId="71DB1164" w14:textId="77777777" w:rsidR="00E93F58" w:rsidRPr="00283424" w:rsidRDefault="00E93F58" w:rsidP="00B50726">
      <w:pPr>
        <w:pStyle w:val="paragraph"/>
      </w:pPr>
      <w:r w:rsidRPr="00283424">
        <w:lastRenderedPageBreak/>
        <w:tab/>
        <w:t>(c)</w:t>
      </w:r>
      <w:r w:rsidRPr="00283424">
        <w:tab/>
        <w:t>the amount of withdrawals during the reporting period;</w:t>
      </w:r>
    </w:p>
    <w:p w14:paraId="7C37124D" w14:textId="77777777" w:rsidR="00E93F58" w:rsidRPr="00283424" w:rsidRDefault="00E93F58" w:rsidP="00B50726">
      <w:pPr>
        <w:pStyle w:val="paragraph"/>
      </w:pPr>
      <w:r w:rsidRPr="00283424">
        <w:tab/>
        <w:t>(d)</w:t>
      </w:r>
      <w:r w:rsidRPr="00283424">
        <w:tab/>
        <w:t>the information about costs of transactions mentioned in regulation 7.9.75;</w:t>
      </w:r>
    </w:p>
    <w:p w14:paraId="67C6003E" w14:textId="77777777" w:rsidR="00E93F58" w:rsidRPr="00283424" w:rsidRDefault="00E93F58" w:rsidP="00B50726">
      <w:pPr>
        <w:pStyle w:val="paragraph"/>
      </w:pPr>
      <w:r w:rsidRPr="00283424">
        <w:tab/>
        <w:t>(e)</w:t>
      </w:r>
      <w:r w:rsidRPr="00283424">
        <w:tab/>
        <w:t>the amount of any allotment of employer contributions during the reporting period;</w:t>
      </w:r>
    </w:p>
    <w:p w14:paraId="3204367F" w14:textId="77777777" w:rsidR="00E93F58" w:rsidRPr="00283424" w:rsidRDefault="00E93F58" w:rsidP="00B50726">
      <w:pPr>
        <w:pStyle w:val="paragraph"/>
      </w:pPr>
      <w:r w:rsidRPr="00283424">
        <w:tab/>
        <w:t>(f)</w:t>
      </w:r>
      <w:r w:rsidRPr="00283424">
        <w:tab/>
        <w:t>the amount of any allotment of net earnings during the reporting period (including, for a unitised product, the presentation of changes in price as amounts in dollars);</w:t>
      </w:r>
    </w:p>
    <w:p w14:paraId="66AB7628" w14:textId="77777777" w:rsidR="00E93F58" w:rsidRPr="00283424" w:rsidRDefault="00E93F58" w:rsidP="00B50726">
      <w:pPr>
        <w:pStyle w:val="paragraph"/>
      </w:pPr>
      <w:r w:rsidRPr="00283424">
        <w:tab/>
        <w:t>(g)</w:t>
      </w:r>
      <w:r w:rsidRPr="00283424">
        <w:tab/>
        <w:t>the rate of any allotment of net earnings during the reporting period;</w:t>
      </w:r>
    </w:p>
    <w:p w14:paraId="5AE0DC6F" w14:textId="77777777" w:rsidR="00E93F58" w:rsidRPr="00283424" w:rsidRDefault="00E93F58" w:rsidP="00B50726">
      <w:pPr>
        <w:pStyle w:val="paragraph"/>
      </w:pPr>
      <w:r w:rsidRPr="00283424">
        <w:tab/>
        <w:t>(h)</w:t>
      </w:r>
      <w:r w:rsidRPr="00283424">
        <w:tab/>
        <w:t>the amount of bonuses that have accrued at the end of the reporting period;</w:t>
      </w:r>
    </w:p>
    <w:p w14:paraId="7F756A7C" w14:textId="77777777" w:rsidR="00E93F58" w:rsidRPr="00283424" w:rsidRDefault="00E93F58" w:rsidP="00B50726">
      <w:pPr>
        <w:pStyle w:val="paragraph"/>
      </w:pPr>
      <w:r w:rsidRPr="00283424">
        <w:tab/>
        <w:t>(i)</w:t>
      </w:r>
      <w:r w:rsidRPr="00283424">
        <w:tab/>
        <w:t>the amount of the sum assured;</w:t>
      </w:r>
    </w:p>
    <w:p w14:paraId="568300EB" w14:textId="77777777" w:rsidR="00E93F58" w:rsidRPr="00283424" w:rsidRDefault="00E93F58" w:rsidP="00B50726">
      <w:pPr>
        <w:pStyle w:val="paragraph"/>
      </w:pPr>
      <w:r w:rsidRPr="00283424">
        <w:tab/>
        <w:t>(j)</w:t>
      </w:r>
      <w:r w:rsidRPr="00283424">
        <w:tab/>
        <w:t>the amount payable in the event of the member’s death:</w:t>
      </w:r>
    </w:p>
    <w:p w14:paraId="7AC72A88" w14:textId="77777777" w:rsidR="00E93F58" w:rsidRPr="00283424" w:rsidRDefault="00E93F58" w:rsidP="00B50726">
      <w:pPr>
        <w:pStyle w:val="paragraphsub"/>
      </w:pPr>
      <w:r w:rsidRPr="00283424">
        <w:rPr>
          <w:color w:val="000000"/>
        </w:rPr>
        <w:tab/>
        <w:t>(i)</w:t>
      </w:r>
      <w:r w:rsidRPr="00283424">
        <w:rPr>
          <w:color w:val="000000"/>
        </w:rPr>
        <w:tab/>
        <w:t>at the end of the reporting period; or</w:t>
      </w:r>
    </w:p>
    <w:p w14:paraId="45B7AA94" w14:textId="77777777" w:rsidR="00E93F58" w:rsidRPr="00283424" w:rsidRDefault="00E93F58" w:rsidP="00B50726">
      <w:pPr>
        <w:pStyle w:val="paragraphsub"/>
      </w:pPr>
      <w:r w:rsidRPr="00283424">
        <w:tab/>
        <w:t>(ii)</w:t>
      </w:r>
      <w:r w:rsidRPr="00283424">
        <w:tab/>
        <w:t>on the first day of the next reporting period;</w:t>
      </w:r>
    </w:p>
    <w:p w14:paraId="3217BD51" w14:textId="77777777" w:rsidR="00E93F58" w:rsidRPr="00283424" w:rsidRDefault="00E93F58" w:rsidP="00B50726">
      <w:pPr>
        <w:pStyle w:val="paragraph"/>
      </w:pPr>
      <w:r w:rsidRPr="00283424">
        <w:rPr>
          <w:color w:val="000000"/>
        </w:rPr>
        <w:tab/>
      </w:r>
      <w:r w:rsidRPr="00283424">
        <w:rPr>
          <w:color w:val="000000"/>
        </w:rPr>
        <w:tab/>
        <w:t>or the method by which that amount is worked out;</w:t>
      </w:r>
    </w:p>
    <w:p w14:paraId="53C6A630" w14:textId="77777777" w:rsidR="00E93F58" w:rsidRPr="00283424" w:rsidRDefault="00E93F58" w:rsidP="00B50726">
      <w:pPr>
        <w:pStyle w:val="paragraph"/>
      </w:pPr>
      <w:r w:rsidRPr="00283424">
        <w:tab/>
        <w:t>(k)</w:t>
      </w:r>
      <w:r w:rsidRPr="00283424">
        <w:tab/>
        <w:t>for a reporting period (within the meaning of subsection 1017D(2) of the Act) commencing before 1 July 2004—details, including the amount or method of working out, of other significant benefits, including, in particular, disability benefits;</w:t>
      </w:r>
    </w:p>
    <w:p w14:paraId="06E27082" w14:textId="77777777" w:rsidR="00E93F58" w:rsidRPr="00283424" w:rsidRDefault="00E93F58" w:rsidP="00B50726">
      <w:pPr>
        <w:pStyle w:val="paragraph"/>
      </w:pPr>
      <w:r w:rsidRPr="00283424">
        <w:tab/>
        <w:t>(ka)</w:t>
      </w:r>
      <w:r w:rsidRPr="00283424">
        <w:tab/>
        <w:t>for a reporting period (within the meaning of subsection 1017D(2) of the Act) commencing on or after 1 July 2004:</w:t>
      </w:r>
    </w:p>
    <w:p w14:paraId="3802E260" w14:textId="77777777" w:rsidR="00E93F58" w:rsidRPr="00283424" w:rsidRDefault="00E93F58" w:rsidP="00B50726">
      <w:pPr>
        <w:pStyle w:val="paragraphsub"/>
      </w:pPr>
      <w:r w:rsidRPr="00283424">
        <w:tab/>
        <w:t>(i)</w:t>
      </w:r>
      <w:r w:rsidRPr="00283424">
        <w:tab/>
        <w:t>details of other significant benefits, including disability benefits, and the amount of the benefits at the end of the reporting period, or the method of working out the amount of the benefits; and</w:t>
      </w:r>
    </w:p>
    <w:p w14:paraId="61B34AB9" w14:textId="77777777" w:rsidR="00E93F58" w:rsidRPr="00283424" w:rsidRDefault="00E93F58" w:rsidP="00B50726">
      <w:pPr>
        <w:pStyle w:val="paragraphsub"/>
      </w:pPr>
      <w:r w:rsidRPr="00283424">
        <w:tab/>
        <w:t>(ii)</w:t>
      </w:r>
      <w:r w:rsidRPr="00283424">
        <w:tab/>
        <w:t>if the periodic statement includes an amount mentioned in subparagraph (i)—a statement informing the holder of the product that:</w:t>
      </w:r>
    </w:p>
    <w:p w14:paraId="364690D8" w14:textId="77777777" w:rsidR="00E93F58" w:rsidRPr="00283424" w:rsidRDefault="00E93F58" w:rsidP="00B50726">
      <w:pPr>
        <w:pStyle w:val="paragraphsub-sub"/>
      </w:pPr>
      <w:r w:rsidRPr="00283424">
        <w:tab/>
        <w:t>(A)</w:t>
      </w:r>
      <w:r w:rsidRPr="00283424">
        <w:tab/>
        <w:t>the details of the significant benefit reflects the situation for the member on the date shown in the statement and the amount might change; and</w:t>
      </w:r>
    </w:p>
    <w:p w14:paraId="4C2F8F0D" w14:textId="77777777" w:rsidR="00E93F58" w:rsidRPr="00283424" w:rsidRDefault="00E93F58" w:rsidP="00B50726">
      <w:pPr>
        <w:pStyle w:val="paragraphsub-sub"/>
      </w:pPr>
      <w:r w:rsidRPr="00283424">
        <w:tab/>
        <w:t>(B)</w:t>
      </w:r>
      <w:r w:rsidRPr="00283424">
        <w:tab/>
        <w:t>the issuer is obliged to provide product holders with any information they reasonably require for the purpose of understanding their benefit entitlements; and</w:t>
      </w:r>
    </w:p>
    <w:p w14:paraId="578FC4BB" w14:textId="77777777" w:rsidR="00E93F58" w:rsidRPr="00283424" w:rsidRDefault="00E93F58" w:rsidP="00B50726">
      <w:pPr>
        <w:pStyle w:val="paragraphsub"/>
      </w:pPr>
      <w:r w:rsidRPr="00283424">
        <w:tab/>
        <w:t>(iii)</w:t>
      </w:r>
      <w:r w:rsidRPr="00283424">
        <w:tab/>
        <w:t>details of the means by which a product holder is able to gain access to information relating to the amount of a significant benefit;</w:t>
      </w:r>
    </w:p>
    <w:p w14:paraId="417B2010" w14:textId="77777777" w:rsidR="00E93F58" w:rsidRPr="00283424" w:rsidRDefault="00E93F58" w:rsidP="00B50726">
      <w:pPr>
        <w:pStyle w:val="paragraph"/>
      </w:pPr>
      <w:r w:rsidRPr="00283424">
        <w:tab/>
        <w:t>(kb)</w:t>
      </w:r>
      <w:r w:rsidRPr="00283424">
        <w:tab/>
        <w:t>if, in providing details of other significant benefits for a reporting period, a deduction for fees, charges or expenses has been made or might be made—details of the deduction;</w:t>
      </w:r>
    </w:p>
    <w:p w14:paraId="2B89CF65" w14:textId="77777777" w:rsidR="00E93F58" w:rsidRPr="00283424" w:rsidRDefault="00E93F58" w:rsidP="00B50726">
      <w:pPr>
        <w:pStyle w:val="paragraph"/>
      </w:pPr>
      <w:r w:rsidRPr="00283424">
        <w:tab/>
        <w:t>(l)</w:t>
      </w:r>
      <w:r w:rsidRPr="00283424">
        <w:tab/>
        <w:t>if the trustee is aware, or ought reasonably to be aware, of contributions that are due and payable during the reporting period but have not been paid to the fund at, or shortly before, the date of issue of the report, details of the amount of those contributions and of action that the trustee has taken, or proposes to take, to have the contributions paid;</w:t>
      </w:r>
    </w:p>
    <w:p w14:paraId="60E61767" w14:textId="77777777" w:rsidR="00E93F58" w:rsidRPr="00283424" w:rsidRDefault="00E93F58" w:rsidP="00B50726">
      <w:pPr>
        <w:pStyle w:val="paragraph"/>
      </w:pPr>
      <w:r w:rsidRPr="00283424">
        <w:tab/>
        <w:t>(m)</w:t>
      </w:r>
      <w:r w:rsidRPr="00283424">
        <w:tab/>
        <w:t>the net amount of Government co</w:t>
      </w:r>
      <w:r>
        <w:noBreakHyphen/>
      </w:r>
      <w:r w:rsidRPr="00283424">
        <w:t xml:space="preserve">contribution received during the </w:t>
      </w:r>
      <w:r w:rsidRPr="00283424">
        <w:rPr>
          <w:color w:val="000000"/>
        </w:rPr>
        <w:t>reporting period;</w:t>
      </w:r>
    </w:p>
    <w:p w14:paraId="761CAFB8" w14:textId="77777777" w:rsidR="00E93F58" w:rsidRPr="00283424" w:rsidRDefault="00E93F58" w:rsidP="00B50726">
      <w:pPr>
        <w:pStyle w:val="paragraph"/>
      </w:pPr>
      <w:r w:rsidRPr="00283424">
        <w:tab/>
        <w:t>(n)</w:t>
      </w:r>
      <w:r w:rsidRPr="00283424">
        <w:tab/>
        <w:t>for a regulated superannuation fund—a statement of long</w:t>
      </w:r>
      <w:r>
        <w:noBreakHyphen/>
      </w:r>
      <w:r w:rsidRPr="00283424">
        <w:t>term returns, in accordance with regulation 7.9.20AA, of:</w:t>
      </w:r>
    </w:p>
    <w:p w14:paraId="458E15DD" w14:textId="77777777" w:rsidR="00E93F58" w:rsidRPr="00283424" w:rsidRDefault="00E93F58" w:rsidP="00B50726">
      <w:pPr>
        <w:pStyle w:val="paragraphsub"/>
      </w:pPr>
      <w:r w:rsidRPr="00283424">
        <w:tab/>
        <w:t>(i)</w:t>
      </w:r>
      <w:r w:rsidRPr="00283424">
        <w:tab/>
        <w:t>the MySuper product or investment option within a choice product in which a member is invested; or</w:t>
      </w:r>
    </w:p>
    <w:p w14:paraId="76E9880A" w14:textId="77777777" w:rsidR="00E93F58" w:rsidRPr="00283424" w:rsidRDefault="00E93F58" w:rsidP="00B50726">
      <w:pPr>
        <w:pStyle w:val="paragraphsub"/>
      </w:pPr>
      <w:r w:rsidRPr="00283424">
        <w:tab/>
        <w:t>(ii)</w:t>
      </w:r>
      <w:r w:rsidRPr="00283424">
        <w:tab/>
        <w:t>the sub</w:t>
      </w:r>
      <w:r>
        <w:noBreakHyphen/>
      </w:r>
      <w:r w:rsidRPr="00283424">
        <w:t>plan, or, if none, the fund in which the member holds an interest;</w:t>
      </w:r>
    </w:p>
    <w:p w14:paraId="7814CFC8" w14:textId="77777777" w:rsidR="00E93F58" w:rsidRPr="00283424" w:rsidRDefault="00E93F58" w:rsidP="00B50726">
      <w:pPr>
        <w:pStyle w:val="paragraph"/>
      </w:pPr>
      <w:r w:rsidRPr="00283424">
        <w:tab/>
        <w:t>(o)</w:t>
      </w:r>
      <w:r w:rsidRPr="00283424">
        <w:tab/>
        <w:t>for a regulated superannuation fund, if the trustee is required to make publicly available a product dashboard for the investment option, under section 1017BA of the Act—the latest product dashboard for the investment option.</w:t>
      </w:r>
    </w:p>
    <w:p w14:paraId="51741814" w14:textId="77777777" w:rsidR="00E93F58" w:rsidRPr="00283424" w:rsidRDefault="00E93F58" w:rsidP="00B50726">
      <w:pPr>
        <w:pStyle w:val="subsection"/>
      </w:pPr>
      <w:r w:rsidRPr="00283424">
        <w:rPr>
          <w:color w:val="000000"/>
        </w:rPr>
        <w:tab/>
        <w:t>(2)</w:t>
      </w:r>
      <w:r w:rsidRPr="00283424">
        <w:rPr>
          <w:color w:val="000000"/>
        </w:rPr>
        <w:tab/>
        <w:t xml:space="preserve">For paragraph (1)(g), if the earnings rate for members of the fund is reflected in the price of units of the fund, rather than being credited or debited against the accounts of members, an earnings rate allotted to members in respect of a period is taken to be a change in the value of the </w:t>
      </w:r>
      <w:r w:rsidRPr="00283424">
        <w:t>members’</w:t>
      </w:r>
      <w:r w:rsidRPr="00283424">
        <w:rPr>
          <w:color w:val="000000"/>
        </w:rPr>
        <w:t xml:space="preserve"> units being determined by the trustee in respect of that period.</w:t>
      </w:r>
    </w:p>
    <w:p w14:paraId="6DCC8ACF" w14:textId="77777777" w:rsidR="00E93F58" w:rsidRPr="00283424" w:rsidRDefault="00E93F58" w:rsidP="00B50726">
      <w:pPr>
        <w:pStyle w:val="subsection"/>
        <w:rPr>
          <w:color w:val="000000"/>
        </w:rPr>
      </w:pPr>
      <w:r w:rsidRPr="00283424">
        <w:rPr>
          <w:color w:val="000000"/>
        </w:rPr>
        <w:tab/>
        <w:t>(2A)</w:t>
      </w:r>
      <w:r w:rsidRPr="00283424">
        <w:rPr>
          <w:color w:val="000000"/>
        </w:rPr>
        <w:tab/>
        <w:t xml:space="preserve">For paragraph (1)(m), the periodic statement </w:t>
      </w:r>
      <w:r w:rsidRPr="00283424">
        <w:t>may</w:t>
      </w:r>
      <w:r w:rsidRPr="00283424">
        <w:rPr>
          <w:color w:val="000000"/>
        </w:rPr>
        <w:t xml:space="preserve"> state separately:</w:t>
      </w:r>
    </w:p>
    <w:p w14:paraId="5AF61558" w14:textId="77777777" w:rsidR="00E93F58" w:rsidRPr="00283424" w:rsidRDefault="00E93F58" w:rsidP="00B50726">
      <w:pPr>
        <w:pStyle w:val="paragraph"/>
      </w:pPr>
      <w:r w:rsidRPr="00283424">
        <w:tab/>
        <w:t>(a)</w:t>
      </w:r>
      <w:r w:rsidRPr="00283424">
        <w:tab/>
        <w:t>the amount of Government co</w:t>
      </w:r>
      <w:r>
        <w:noBreakHyphen/>
      </w:r>
      <w:r w:rsidRPr="00283424">
        <w:t>contributions received; and</w:t>
      </w:r>
    </w:p>
    <w:p w14:paraId="2D9DAB69" w14:textId="77777777" w:rsidR="00E93F58" w:rsidRPr="00283424" w:rsidRDefault="00E93F58" w:rsidP="00B50726">
      <w:pPr>
        <w:pStyle w:val="paragraph"/>
      </w:pPr>
      <w:r w:rsidRPr="00283424">
        <w:tab/>
        <w:t>(b)</w:t>
      </w:r>
      <w:r w:rsidRPr="00283424">
        <w:tab/>
        <w:t>the amount of low income superannuation contributions received; and</w:t>
      </w:r>
    </w:p>
    <w:p w14:paraId="14C597D7" w14:textId="77777777" w:rsidR="00E93F58" w:rsidRPr="00283424" w:rsidRDefault="00E93F58" w:rsidP="00B50726">
      <w:pPr>
        <w:pStyle w:val="paragraph"/>
      </w:pPr>
      <w:r w:rsidRPr="00283424">
        <w:tab/>
        <w:t>(c)</w:t>
      </w:r>
      <w:r w:rsidRPr="00283424">
        <w:tab/>
        <w:t>the amount of low income superannuation tax offsets received.</w:t>
      </w:r>
    </w:p>
    <w:p w14:paraId="7B5ECB86" w14:textId="77777777" w:rsidR="00E93F58" w:rsidRPr="00283424" w:rsidRDefault="00E93F58" w:rsidP="00B50726">
      <w:pPr>
        <w:pStyle w:val="notetext"/>
      </w:pPr>
      <w:r w:rsidRPr="00283424">
        <w:t>Note:</w:t>
      </w:r>
      <w:r w:rsidRPr="00283424">
        <w:tab/>
        <w:t xml:space="preserve">See section 12B of the </w:t>
      </w:r>
      <w:r w:rsidRPr="00283424">
        <w:rPr>
          <w:i/>
        </w:rPr>
        <w:t>Superannuation (Government Co</w:t>
      </w:r>
      <w:r>
        <w:rPr>
          <w:i/>
        </w:rPr>
        <w:noBreakHyphen/>
      </w:r>
      <w:r w:rsidRPr="00283424">
        <w:rPr>
          <w:i/>
        </w:rPr>
        <w:t>contribution for Low Income Earners) Act 2003</w:t>
      </w:r>
      <w:r w:rsidRPr="00283424">
        <w:t xml:space="preserve"> for the way in which a law that applies in relation to a Government co</w:t>
      </w:r>
      <w:r>
        <w:noBreakHyphen/>
      </w:r>
      <w:r w:rsidRPr="00283424">
        <w:t>contribution applies in relation to a low income superannuation tax offset.</w:t>
      </w:r>
    </w:p>
    <w:p w14:paraId="7EB2CB43" w14:textId="77777777" w:rsidR="00E93F58" w:rsidRPr="00283424" w:rsidRDefault="00E93F58" w:rsidP="00B50726">
      <w:pPr>
        <w:pStyle w:val="subsection"/>
        <w:rPr>
          <w:color w:val="000000"/>
        </w:rPr>
      </w:pPr>
      <w:r w:rsidRPr="00283424">
        <w:rPr>
          <w:color w:val="000000"/>
        </w:rPr>
        <w:tab/>
        <w:t>(3)</w:t>
      </w:r>
      <w:r w:rsidRPr="00283424">
        <w:rPr>
          <w:color w:val="000000"/>
        </w:rPr>
        <w:tab/>
        <w:t>A nil amount need not be disclosed.</w:t>
      </w:r>
    </w:p>
    <w:p w14:paraId="2C2CC5A6" w14:textId="77777777" w:rsidR="00E93F58" w:rsidRPr="00283424" w:rsidRDefault="00E93F58" w:rsidP="00B50726">
      <w:pPr>
        <w:pStyle w:val="ActHead5"/>
      </w:pPr>
      <w:bookmarkStart w:id="1738" w:name="_Toc152054845"/>
      <w:bookmarkStart w:id="1739" w:name="_Toc158712661"/>
      <w:r w:rsidRPr="006F296E">
        <w:rPr>
          <w:rStyle w:val="CharSectno"/>
        </w:rPr>
        <w:lastRenderedPageBreak/>
        <w:t>7.9.20AA</w:t>
      </w:r>
      <w:r w:rsidRPr="00283424">
        <w:t xml:space="preserve">  Specific requirements for certain periodic statements: superannuation funds (other than self managed superannuation funds)—long</w:t>
      </w:r>
      <w:r>
        <w:noBreakHyphen/>
      </w:r>
      <w:r w:rsidRPr="00283424">
        <w:t>term returns</w:t>
      </w:r>
      <w:bookmarkEnd w:id="1738"/>
      <w:bookmarkEnd w:id="1739"/>
    </w:p>
    <w:p w14:paraId="4CA731F8" w14:textId="77777777" w:rsidR="00E93F58" w:rsidRPr="00283424" w:rsidRDefault="00E93F58" w:rsidP="00B50726">
      <w:pPr>
        <w:pStyle w:val="subsection"/>
      </w:pPr>
      <w:r w:rsidRPr="00283424">
        <w:rPr>
          <w:color w:val="000000"/>
        </w:rPr>
        <w:tab/>
        <w:t>(1)</w:t>
      </w:r>
      <w:r w:rsidRPr="00283424">
        <w:rPr>
          <w:color w:val="000000"/>
        </w:rPr>
        <w:tab/>
        <w:t>For paragraph 7.9.20(1)(n), this regulation sets out requirements that apply to a trustee of a regulated superannuation fund (other than a self managed fund).</w:t>
      </w:r>
    </w:p>
    <w:p w14:paraId="4534C791" w14:textId="77777777" w:rsidR="00E93F58" w:rsidRPr="00283424" w:rsidRDefault="00E93F58" w:rsidP="00B50726">
      <w:pPr>
        <w:pStyle w:val="subsection"/>
      </w:pPr>
      <w:r w:rsidRPr="00283424">
        <w:tab/>
        <w:t>(1A)</w:t>
      </w:r>
      <w:r w:rsidRPr="00283424">
        <w:tab/>
        <w:t>This regulation does not apply if:</w:t>
      </w:r>
    </w:p>
    <w:p w14:paraId="14D8E2AA" w14:textId="77777777" w:rsidR="00E93F58" w:rsidRPr="00283424" w:rsidRDefault="00E93F58" w:rsidP="00B50726">
      <w:pPr>
        <w:pStyle w:val="paragraph"/>
      </w:pPr>
      <w:r w:rsidRPr="00283424">
        <w:tab/>
        <w:t>(a)</w:t>
      </w:r>
      <w:r w:rsidRPr="00283424">
        <w:tab/>
        <w:t>the superannuation product is a non</w:t>
      </w:r>
      <w:r>
        <w:noBreakHyphen/>
      </w:r>
      <w:r w:rsidRPr="00283424">
        <w:t>investment or accumulation life insurance policy that is offered through the regulated superannuation fund; or</w:t>
      </w:r>
    </w:p>
    <w:p w14:paraId="5F7C5731" w14:textId="77777777" w:rsidR="00E93F58" w:rsidRPr="00283424" w:rsidRDefault="00E93F58" w:rsidP="00B50726">
      <w:pPr>
        <w:pStyle w:val="paragraph"/>
      </w:pPr>
      <w:r w:rsidRPr="00283424">
        <w:tab/>
        <w:t>(b)</w:t>
      </w:r>
      <w:r w:rsidRPr="00283424">
        <w:tab/>
        <w:t>the superannuation product has no investment component (also known as a risk</w:t>
      </w:r>
      <w:r>
        <w:noBreakHyphen/>
      </w:r>
      <w:r w:rsidRPr="00283424">
        <w:t>only superannuation product); or</w:t>
      </w:r>
    </w:p>
    <w:p w14:paraId="4029DEEC" w14:textId="77777777" w:rsidR="00E93F58" w:rsidRPr="00283424" w:rsidRDefault="00E93F58" w:rsidP="00B50726">
      <w:pPr>
        <w:pStyle w:val="paragraph"/>
      </w:pPr>
      <w:r w:rsidRPr="00283424">
        <w:tab/>
        <w:t>(c)</w:t>
      </w:r>
      <w:r w:rsidRPr="00283424">
        <w:tab/>
        <w:t>the statement is a periodic statement to be given to a member of the regulated superannuation fund for a reporting period mentioned in paragraph 1017D(2)(d) of the Act.</w:t>
      </w:r>
    </w:p>
    <w:p w14:paraId="2159E1B2" w14:textId="77777777" w:rsidR="00E93F58" w:rsidRPr="00283424" w:rsidRDefault="00E93F58" w:rsidP="00B50726">
      <w:pPr>
        <w:pStyle w:val="subsection"/>
      </w:pPr>
      <w:r w:rsidRPr="00283424">
        <w:rPr>
          <w:color w:val="000000"/>
        </w:rPr>
        <w:tab/>
        <w:t>(8)</w:t>
      </w:r>
      <w:r w:rsidRPr="00283424">
        <w:rPr>
          <w:color w:val="000000"/>
        </w:rPr>
        <w:tab/>
        <w:t xml:space="preserve">The trustee must provide the following, in the periodic statement for a reporting period that is provided from 1 July </w:t>
      </w:r>
      <w:r w:rsidRPr="00283424">
        <w:t>2011</w:t>
      </w:r>
      <w:r w:rsidRPr="00283424">
        <w:rPr>
          <w:color w:val="000000"/>
        </w:rPr>
        <w:t>, to each member of the regulated superannuation fund:</w:t>
      </w:r>
    </w:p>
    <w:p w14:paraId="10343AF7" w14:textId="77777777" w:rsidR="00E93F58" w:rsidRPr="00283424" w:rsidRDefault="00E93F58" w:rsidP="00B50726">
      <w:pPr>
        <w:pStyle w:val="paragraph"/>
      </w:pPr>
      <w:r w:rsidRPr="00283424">
        <w:rPr>
          <w:color w:val="000000"/>
        </w:rPr>
        <w:tab/>
        <w:t>(a)</w:t>
      </w:r>
      <w:r w:rsidRPr="00283424">
        <w:rPr>
          <w:color w:val="000000"/>
        </w:rPr>
        <w:tab/>
        <w:t>if the member is invested in an investment option at the end of the reporting period—a statement of the long</w:t>
      </w:r>
      <w:r>
        <w:rPr>
          <w:color w:val="000000"/>
        </w:rPr>
        <w:noBreakHyphen/>
      </w:r>
      <w:r w:rsidRPr="00283424">
        <w:rPr>
          <w:color w:val="000000"/>
        </w:rPr>
        <w:t>term returns of the investment option;</w:t>
      </w:r>
    </w:p>
    <w:p w14:paraId="3EC6CC47" w14:textId="77777777" w:rsidR="00E93F58" w:rsidRPr="00283424" w:rsidRDefault="00E93F58" w:rsidP="00B50726">
      <w:pPr>
        <w:pStyle w:val="paragraph"/>
      </w:pPr>
      <w:r w:rsidRPr="00283424">
        <w:tab/>
        <w:t>(b)</w:t>
      </w:r>
      <w:r w:rsidRPr="00283424">
        <w:tab/>
        <w:t>if the member is not invested in an investment option at the end of the reporting period—a statement of the long term returns of the sub</w:t>
      </w:r>
      <w:r>
        <w:noBreakHyphen/>
      </w:r>
      <w:r w:rsidRPr="00283424">
        <w:t>plan, or, if none, the fund in which the member holds an interest at the end of the reporting period.</w:t>
      </w:r>
    </w:p>
    <w:p w14:paraId="6B97A29F" w14:textId="77777777" w:rsidR="00E93F58" w:rsidRPr="00283424" w:rsidRDefault="00E93F58" w:rsidP="00B50726">
      <w:pPr>
        <w:pStyle w:val="subsection"/>
      </w:pPr>
      <w:r w:rsidRPr="00283424">
        <w:rPr>
          <w:color w:val="000000"/>
        </w:rPr>
        <w:tab/>
        <w:t>(9)</w:t>
      </w:r>
      <w:r w:rsidRPr="00283424">
        <w:rPr>
          <w:color w:val="000000"/>
        </w:rPr>
        <w:tab/>
        <w:t>For paragraph (8)(a), the long</w:t>
      </w:r>
      <w:r>
        <w:rPr>
          <w:color w:val="000000"/>
        </w:rPr>
        <w:noBreakHyphen/>
      </w:r>
      <w:r w:rsidRPr="00283424">
        <w:rPr>
          <w:color w:val="000000"/>
        </w:rPr>
        <w:t>term returns must be stated as:</w:t>
      </w:r>
    </w:p>
    <w:p w14:paraId="33469E01" w14:textId="77777777" w:rsidR="00E93F58" w:rsidRPr="00283424" w:rsidRDefault="00E93F58" w:rsidP="00B50726">
      <w:pPr>
        <w:pStyle w:val="paragraph"/>
      </w:pPr>
      <w:r w:rsidRPr="00283424">
        <w:rPr>
          <w:color w:val="000000"/>
        </w:rPr>
        <w:tab/>
        <w:t>(a)</w:t>
      </w:r>
      <w:r w:rsidRPr="00283424">
        <w:rPr>
          <w:color w:val="000000"/>
        </w:rPr>
        <w:tab/>
        <w:t>the compound average effective rate of net earnings of the investment option for the period of 5 years ending at the end of the last financial year or reporting period before the provision of the periodic statement; and</w:t>
      </w:r>
    </w:p>
    <w:p w14:paraId="37286A19" w14:textId="77777777" w:rsidR="00E93F58" w:rsidRPr="00283424" w:rsidRDefault="00E93F58" w:rsidP="00B50726">
      <w:pPr>
        <w:pStyle w:val="paragraph"/>
      </w:pPr>
      <w:r w:rsidRPr="00283424">
        <w:tab/>
        <w:t>(b)</w:t>
      </w:r>
      <w:r w:rsidRPr="00283424">
        <w:tab/>
        <w:t>the compound average effective rate of net earnings of the investment option for the period of 10 years ending at the end of that financial year or reporting period.</w:t>
      </w:r>
    </w:p>
    <w:p w14:paraId="247B23D7" w14:textId="77777777" w:rsidR="00E93F58" w:rsidRPr="00283424" w:rsidRDefault="00E93F58" w:rsidP="00B50726">
      <w:pPr>
        <w:pStyle w:val="subsection"/>
      </w:pPr>
      <w:r w:rsidRPr="00283424">
        <w:rPr>
          <w:color w:val="000000"/>
        </w:rPr>
        <w:tab/>
        <w:t>(10)</w:t>
      </w:r>
      <w:r w:rsidRPr="00283424">
        <w:rPr>
          <w:color w:val="000000"/>
        </w:rPr>
        <w:tab/>
        <w:t>For paragraph (8)(b), the long</w:t>
      </w:r>
      <w:r>
        <w:rPr>
          <w:color w:val="000000"/>
        </w:rPr>
        <w:noBreakHyphen/>
      </w:r>
      <w:r w:rsidRPr="00283424">
        <w:rPr>
          <w:color w:val="000000"/>
        </w:rPr>
        <w:t>term returns must be stated as:</w:t>
      </w:r>
    </w:p>
    <w:p w14:paraId="231AB205" w14:textId="77777777" w:rsidR="00E93F58" w:rsidRPr="00283424" w:rsidRDefault="00E93F58" w:rsidP="00B50726">
      <w:pPr>
        <w:pStyle w:val="paragraph"/>
      </w:pPr>
      <w:r w:rsidRPr="00283424">
        <w:rPr>
          <w:color w:val="000000"/>
        </w:rPr>
        <w:tab/>
        <w:t>(a)</w:t>
      </w:r>
      <w:r w:rsidRPr="00283424">
        <w:rPr>
          <w:color w:val="000000"/>
        </w:rPr>
        <w:tab/>
        <w:t>the compound average effective rate of net earnings of the sub</w:t>
      </w:r>
      <w:r>
        <w:rPr>
          <w:color w:val="000000"/>
        </w:rPr>
        <w:noBreakHyphen/>
      </w:r>
      <w:r w:rsidRPr="00283424">
        <w:rPr>
          <w:color w:val="000000"/>
        </w:rPr>
        <w:t>plan or fund for the period of 5 years ending at the end of the last financial year or reporting period before the provision of the periodic statement; and</w:t>
      </w:r>
    </w:p>
    <w:p w14:paraId="522C2529" w14:textId="77777777" w:rsidR="00E93F58" w:rsidRPr="00283424" w:rsidRDefault="00E93F58" w:rsidP="00B50726">
      <w:pPr>
        <w:pStyle w:val="paragraph"/>
      </w:pPr>
      <w:r w:rsidRPr="00283424">
        <w:tab/>
        <w:t>(b)</w:t>
      </w:r>
      <w:r w:rsidRPr="00283424">
        <w:tab/>
        <w:t>the compound average effective rate of net earnings of the sub</w:t>
      </w:r>
      <w:r>
        <w:noBreakHyphen/>
      </w:r>
      <w:r w:rsidRPr="00283424">
        <w:t>plan or fund for the period of 10 years ending at the end of that financial year or reporting period.</w:t>
      </w:r>
    </w:p>
    <w:p w14:paraId="029A6A58" w14:textId="77777777" w:rsidR="00E93F58" w:rsidRPr="00283424" w:rsidRDefault="00E93F58" w:rsidP="00B50726">
      <w:pPr>
        <w:pStyle w:val="subsection"/>
      </w:pPr>
      <w:r w:rsidRPr="00283424">
        <w:rPr>
          <w:color w:val="000000"/>
        </w:rPr>
        <w:tab/>
        <w:t>(11)</w:t>
      </w:r>
      <w:r w:rsidRPr="00283424">
        <w:rPr>
          <w:color w:val="000000"/>
        </w:rPr>
        <w:tab/>
        <w:t>The trustee must include in the periodic statement, near to the statement of long</w:t>
      </w:r>
      <w:r>
        <w:rPr>
          <w:color w:val="000000"/>
        </w:rPr>
        <w:noBreakHyphen/>
      </w:r>
      <w:r w:rsidRPr="00283424">
        <w:rPr>
          <w:color w:val="000000"/>
        </w:rPr>
        <w:t>term returns, a statement to the effect that the returns are not the returns of the member’s investment in the investment option, sub</w:t>
      </w:r>
      <w:r>
        <w:rPr>
          <w:color w:val="000000"/>
        </w:rPr>
        <w:noBreakHyphen/>
      </w:r>
      <w:r w:rsidRPr="00283424">
        <w:rPr>
          <w:color w:val="000000"/>
        </w:rPr>
        <w:t>plan or fund.</w:t>
      </w:r>
    </w:p>
    <w:p w14:paraId="78EE5A47" w14:textId="77777777" w:rsidR="00E93F58" w:rsidRPr="00283424" w:rsidRDefault="00E93F58" w:rsidP="00B50726">
      <w:pPr>
        <w:pStyle w:val="SubsectionHead"/>
      </w:pPr>
      <w:r w:rsidRPr="00283424">
        <w:t>General requirements</w:t>
      </w:r>
    </w:p>
    <w:p w14:paraId="6B0A4B5B" w14:textId="77777777" w:rsidR="00E93F58" w:rsidRPr="00283424" w:rsidRDefault="00E93F58" w:rsidP="00B50726">
      <w:pPr>
        <w:pStyle w:val="subsection"/>
        <w:rPr>
          <w:color w:val="000000"/>
        </w:rPr>
      </w:pPr>
      <w:r w:rsidRPr="00283424">
        <w:rPr>
          <w:color w:val="000000"/>
        </w:rPr>
        <w:tab/>
        <w:t>(12)</w:t>
      </w:r>
      <w:r w:rsidRPr="00283424">
        <w:rPr>
          <w:color w:val="000000"/>
        </w:rPr>
        <w:tab/>
        <w:t>For subregulations (3), (4), (9) and (10), if the investment option, sub</w:t>
      </w:r>
      <w:r>
        <w:rPr>
          <w:color w:val="000000"/>
        </w:rPr>
        <w:noBreakHyphen/>
      </w:r>
      <w:r w:rsidRPr="00283424">
        <w:rPr>
          <w:color w:val="000000"/>
        </w:rPr>
        <w:t>plan or fund has been in operation for less than the 5</w:t>
      </w:r>
      <w:r>
        <w:rPr>
          <w:color w:val="000000"/>
        </w:rPr>
        <w:noBreakHyphen/>
      </w:r>
      <w:r w:rsidRPr="00283424">
        <w:rPr>
          <w:color w:val="000000"/>
        </w:rPr>
        <w:t>year or 10</w:t>
      </w:r>
      <w:r>
        <w:rPr>
          <w:color w:val="000000"/>
        </w:rPr>
        <w:noBreakHyphen/>
      </w:r>
      <w:r w:rsidRPr="00283424">
        <w:rPr>
          <w:color w:val="000000"/>
        </w:rPr>
        <w:t>year period to be reported on, the trustee must provide:</w:t>
      </w:r>
    </w:p>
    <w:p w14:paraId="04F9D2AE" w14:textId="77777777" w:rsidR="00E93F58" w:rsidRPr="00283424" w:rsidRDefault="00E93F58" w:rsidP="00B50726">
      <w:pPr>
        <w:pStyle w:val="paragraph"/>
      </w:pPr>
      <w:r w:rsidRPr="00283424">
        <w:rPr>
          <w:color w:val="000000"/>
        </w:rPr>
        <w:tab/>
        <w:t>(a)</w:t>
      </w:r>
      <w:r w:rsidRPr="00283424">
        <w:rPr>
          <w:color w:val="000000"/>
        </w:rPr>
        <w:tab/>
        <w:t>the long</w:t>
      </w:r>
      <w:r>
        <w:rPr>
          <w:color w:val="000000"/>
        </w:rPr>
        <w:noBreakHyphen/>
      </w:r>
      <w:r w:rsidRPr="00283424">
        <w:rPr>
          <w:color w:val="000000"/>
        </w:rPr>
        <w:t>term return for the period in which the investment option, sub</w:t>
      </w:r>
      <w:r>
        <w:rPr>
          <w:color w:val="000000"/>
        </w:rPr>
        <w:noBreakHyphen/>
      </w:r>
      <w:r w:rsidRPr="00283424">
        <w:rPr>
          <w:color w:val="000000"/>
        </w:rPr>
        <w:t>plan or fund has been in operation; and</w:t>
      </w:r>
    </w:p>
    <w:p w14:paraId="7F1410FC" w14:textId="77777777" w:rsidR="00E93F58" w:rsidRPr="00283424" w:rsidRDefault="00E93F58" w:rsidP="00B50726">
      <w:pPr>
        <w:pStyle w:val="paragraph"/>
      </w:pPr>
      <w:r w:rsidRPr="00283424">
        <w:tab/>
        <w:t>(b)</w:t>
      </w:r>
      <w:r w:rsidRPr="00283424">
        <w:tab/>
        <w:t>the date on which the investment option, sub</w:t>
      </w:r>
      <w:r>
        <w:noBreakHyphen/>
      </w:r>
      <w:r w:rsidRPr="00283424">
        <w:t>plan or fund came into operation.</w:t>
      </w:r>
    </w:p>
    <w:p w14:paraId="3FDC8118" w14:textId="77777777" w:rsidR="00E93F58" w:rsidRPr="00283424" w:rsidRDefault="00E93F58" w:rsidP="00B50726">
      <w:pPr>
        <w:pStyle w:val="subsection"/>
      </w:pPr>
      <w:r w:rsidRPr="00283424">
        <w:rPr>
          <w:color w:val="000000"/>
        </w:rPr>
        <w:tab/>
        <w:t>(13)</w:t>
      </w:r>
      <w:r w:rsidRPr="00283424">
        <w:rPr>
          <w:color w:val="000000"/>
        </w:rPr>
        <w:tab/>
        <w:t>If the long</w:t>
      </w:r>
      <w:r>
        <w:rPr>
          <w:color w:val="000000"/>
        </w:rPr>
        <w:noBreakHyphen/>
      </w:r>
      <w:r w:rsidRPr="00283424">
        <w:rPr>
          <w:color w:val="000000"/>
        </w:rPr>
        <w:t>term returns are provided in the periodic statement, they must be positioned near to the statement of the rate of any allotment of earnings during the reporting period.</w:t>
      </w:r>
    </w:p>
    <w:p w14:paraId="09513EC7" w14:textId="77777777" w:rsidR="00E93F58" w:rsidRPr="00283424" w:rsidRDefault="00E93F58" w:rsidP="00B50726">
      <w:pPr>
        <w:pStyle w:val="subsection"/>
      </w:pPr>
      <w:r w:rsidRPr="00283424">
        <w:tab/>
        <w:t>(14)</w:t>
      </w:r>
      <w:r w:rsidRPr="00283424">
        <w:tab/>
        <w:t>The long</w:t>
      </w:r>
      <w:r>
        <w:noBreakHyphen/>
      </w:r>
      <w:r w:rsidRPr="00283424">
        <w:t>term returns must be presented in a clear, concise and effective manner.</w:t>
      </w:r>
    </w:p>
    <w:p w14:paraId="0CE20F98" w14:textId="77777777" w:rsidR="00E93F58" w:rsidRPr="00283424" w:rsidRDefault="00E93F58" w:rsidP="00283424">
      <w:pPr>
        <w:pStyle w:val="ActHead5"/>
      </w:pPr>
      <w:bookmarkStart w:id="1740" w:name="_Toc152054846"/>
      <w:bookmarkStart w:id="1741" w:name="_Toc158712662"/>
      <w:r w:rsidRPr="006F296E">
        <w:rPr>
          <w:rStyle w:val="CharSectno"/>
        </w:rPr>
        <w:lastRenderedPageBreak/>
        <w:t>7.9.20A</w:t>
      </w:r>
      <w:r w:rsidRPr="00283424">
        <w:t xml:space="preserve">  Details of other significant benefits—disclosure of fees, charges or expenses</w:t>
      </w:r>
      <w:bookmarkEnd w:id="1740"/>
      <w:bookmarkEnd w:id="1741"/>
    </w:p>
    <w:p w14:paraId="577CEFA4" w14:textId="77777777" w:rsidR="00E93F58" w:rsidRPr="00283424" w:rsidRDefault="00E93F58" w:rsidP="00283424">
      <w:pPr>
        <w:pStyle w:val="subsection"/>
        <w:keepNext/>
        <w:keepLines/>
      </w:pPr>
      <w:r w:rsidRPr="00283424">
        <w:tab/>
        <w:t>(1)</w:t>
      </w:r>
      <w:r w:rsidRPr="00283424">
        <w:tab/>
        <w:t>For subsection 1017D(5A) of the Act, in providing details of a deduction for fees, charges or expenses in accordance with paragraph 7.9.20(1)(kb):</w:t>
      </w:r>
    </w:p>
    <w:p w14:paraId="6F0253F9" w14:textId="77777777" w:rsidR="00E93F58" w:rsidRPr="00283424" w:rsidRDefault="00E93F58" w:rsidP="00283424">
      <w:pPr>
        <w:pStyle w:val="paragraph"/>
        <w:keepNext/>
        <w:keepLines/>
      </w:pPr>
      <w:r w:rsidRPr="00283424">
        <w:tab/>
        <w:t>(a)</w:t>
      </w:r>
      <w:r w:rsidRPr="00283424">
        <w:tab/>
        <w:t>the amount must be stated in dollars; or</w:t>
      </w:r>
    </w:p>
    <w:p w14:paraId="475C58CA" w14:textId="77777777" w:rsidR="00E93F58" w:rsidRPr="00283424" w:rsidRDefault="00E93F58" w:rsidP="00283424">
      <w:pPr>
        <w:pStyle w:val="paragraph"/>
        <w:keepNext/>
        <w:keepLines/>
      </w:pPr>
      <w:r w:rsidRPr="00283424">
        <w:tab/>
        <w:t>(b)</w:t>
      </w:r>
      <w:r w:rsidRPr="00283424">
        <w:tab/>
        <w:t>if ASIC determines that, for a compelling reason, it is not possible to state the amount of a deduction in dollars the amount of the deduction may be set out as a description of the fees, charges or expenses as a percentage of a specified matter (including worked dollar examples, unless that is inappropriate); or</w:t>
      </w:r>
    </w:p>
    <w:p w14:paraId="3CC7156D" w14:textId="77777777" w:rsidR="00E93F58" w:rsidRPr="00283424" w:rsidRDefault="00E93F58" w:rsidP="00B50726">
      <w:pPr>
        <w:pStyle w:val="paragraph"/>
      </w:pPr>
      <w:r w:rsidRPr="00283424">
        <w:tab/>
        <w:t>(c)</w:t>
      </w:r>
      <w:r w:rsidRPr="00283424">
        <w:tab/>
        <w:t>if ASIC determines that, for a compelling reason, it is not possible to state the amount of a deduction in dollars, or to set out the amount as a percentage, the product issuer may provide:</w:t>
      </w:r>
    </w:p>
    <w:p w14:paraId="3C8DBA7C" w14:textId="77777777" w:rsidR="00E93F58" w:rsidRPr="00283424" w:rsidRDefault="00E93F58" w:rsidP="00B50726">
      <w:pPr>
        <w:pStyle w:val="paragraphsub"/>
      </w:pPr>
      <w:r w:rsidRPr="00283424">
        <w:tab/>
        <w:t>(i)</w:t>
      </w:r>
      <w:r w:rsidRPr="00283424">
        <w:tab/>
        <w:t>a statement informing the holder of the product that amounts for fees, charges or expenses are applicable; and</w:t>
      </w:r>
    </w:p>
    <w:p w14:paraId="2437F041" w14:textId="77777777" w:rsidR="00E93F58" w:rsidRPr="00283424" w:rsidRDefault="00E93F58" w:rsidP="00B50726">
      <w:pPr>
        <w:pStyle w:val="paragraphsub"/>
      </w:pPr>
      <w:r w:rsidRPr="00283424">
        <w:tab/>
        <w:t>(ii)</w:t>
      </w:r>
      <w:r w:rsidRPr="00283424">
        <w:tab/>
        <w:t>if information about the deduction is not provided in the statement mentioned in sub</w:t>
      </w:r>
      <w:r>
        <w:noBreakHyphen/>
      </w:r>
      <w:r w:rsidRPr="00283424">
        <w:t>subparagraph 7.9.20(1)(ka)(ii)(B)—details of the means by which a product holder can gain access to information relating to the amount.</w:t>
      </w:r>
    </w:p>
    <w:p w14:paraId="1108B2DA" w14:textId="77777777" w:rsidR="00E93F58" w:rsidRPr="00283424" w:rsidRDefault="00E93F58" w:rsidP="00B50726">
      <w:pPr>
        <w:pStyle w:val="subsection"/>
      </w:pPr>
      <w:r w:rsidRPr="00283424">
        <w:tab/>
        <w:t>(2)</w:t>
      </w:r>
      <w:r w:rsidRPr="00283424">
        <w:tab/>
        <w:t>A determination under paragraph (1)(b) or (c) must be:</w:t>
      </w:r>
    </w:p>
    <w:p w14:paraId="15C20261" w14:textId="77777777" w:rsidR="00E93F58" w:rsidRPr="00283424" w:rsidRDefault="00E93F58" w:rsidP="00B50726">
      <w:pPr>
        <w:pStyle w:val="paragraph"/>
      </w:pPr>
      <w:r w:rsidRPr="00283424">
        <w:tab/>
        <w:t>(a)</w:t>
      </w:r>
      <w:r w:rsidRPr="00283424">
        <w:tab/>
        <w:t>in writing; and</w:t>
      </w:r>
    </w:p>
    <w:p w14:paraId="4EE20B05"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50CD991B" w14:textId="77777777" w:rsidR="00E93F58" w:rsidRPr="00283424" w:rsidRDefault="00E93F58" w:rsidP="00B50726">
      <w:pPr>
        <w:pStyle w:val="ActHead5"/>
      </w:pPr>
      <w:bookmarkStart w:id="1742" w:name="_Toc152054847"/>
      <w:bookmarkStart w:id="1743" w:name="_Toc158712663"/>
      <w:r w:rsidRPr="006F296E">
        <w:rPr>
          <w:rStyle w:val="CharSectno"/>
        </w:rPr>
        <w:t>7.9.20B</w:t>
      </w:r>
      <w:r w:rsidRPr="00283424">
        <w:t xml:space="preserve">  Other significant benefits—disclosure of fees, charges or expenses</w:t>
      </w:r>
      <w:bookmarkEnd w:id="1742"/>
      <w:bookmarkEnd w:id="1743"/>
    </w:p>
    <w:p w14:paraId="7A7775ED" w14:textId="77777777" w:rsidR="00E93F58" w:rsidRPr="00283424" w:rsidRDefault="00E93F58" w:rsidP="00B50726">
      <w:pPr>
        <w:pStyle w:val="subsection"/>
      </w:pPr>
      <w:r w:rsidRPr="00283424">
        <w:tab/>
        <w:t>(1)</w:t>
      </w:r>
      <w:r w:rsidRPr="00283424">
        <w:tab/>
        <w:t>For subsection 1017D(5A) of the Act, this regulation applies to details of a deduction for fees, charges or expenses mentioned in paragraph 7.9.20(1)(kb).</w:t>
      </w:r>
    </w:p>
    <w:p w14:paraId="53F3EC20" w14:textId="77777777" w:rsidR="00E93F58" w:rsidRPr="00283424" w:rsidRDefault="00E93F58" w:rsidP="00B50726">
      <w:pPr>
        <w:pStyle w:val="subsection"/>
      </w:pPr>
      <w:r w:rsidRPr="00283424">
        <w:tab/>
        <w:t>(2)</w:t>
      </w:r>
      <w:r w:rsidRPr="00283424">
        <w:tab/>
        <w:t>If ASIC determines that, for a compelling reason based on the nature of a financial product or service, or the nature of the information, to state the amount of the deduction in dollars:</w:t>
      </w:r>
    </w:p>
    <w:p w14:paraId="4FB6582C"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216173F1"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32A9A3DE" w14:textId="77777777" w:rsidR="00E93F58" w:rsidRPr="00283424" w:rsidRDefault="00E93F58" w:rsidP="00B50726">
      <w:pPr>
        <w:pStyle w:val="paragraph"/>
      </w:pPr>
      <w:r w:rsidRPr="00283424">
        <w:tab/>
        <w:t>(c)</w:t>
      </w:r>
      <w:r w:rsidRPr="00283424">
        <w:tab/>
        <w:t>would not be in the interests of a product holder, or a class of product holders;</w:t>
      </w:r>
    </w:p>
    <w:p w14:paraId="310041C8"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71E87018" w14:textId="77777777" w:rsidR="00E93F58" w:rsidRPr="00283424" w:rsidRDefault="00E93F58" w:rsidP="00B50726">
      <w:pPr>
        <w:pStyle w:val="subsection"/>
      </w:pPr>
      <w:r w:rsidRPr="00283424">
        <w:tab/>
        <w:t>(3)</w:t>
      </w:r>
      <w:r w:rsidRPr="00283424">
        <w:tab/>
        <w:t>If ASIC determines that, for a compelling reason, based on the nature of a financial product or service, or the nature of the information, to state the amount of a deduction in dollars, or, to describe the amount as a percentage:</w:t>
      </w:r>
    </w:p>
    <w:p w14:paraId="7D212BC5"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7C9929DC"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1AE7E286" w14:textId="77777777" w:rsidR="00E93F58" w:rsidRPr="00283424" w:rsidRDefault="00E93F58" w:rsidP="00B50726">
      <w:pPr>
        <w:pStyle w:val="paragraph"/>
      </w:pPr>
      <w:r w:rsidRPr="00283424">
        <w:tab/>
        <w:t>(c)</w:t>
      </w:r>
      <w:r w:rsidRPr="00283424">
        <w:tab/>
        <w:t>would not be in the interests of a product holder, or a class of product holders;</w:t>
      </w:r>
    </w:p>
    <w:p w14:paraId="4CE9DD0F" w14:textId="77777777" w:rsidR="00E93F58" w:rsidRPr="00283424" w:rsidRDefault="00E93F58" w:rsidP="00B50726">
      <w:pPr>
        <w:pStyle w:val="subsection2"/>
      </w:pPr>
      <w:r w:rsidRPr="00283424">
        <w:t>the product issuer must provide the information in subregulation (4).</w:t>
      </w:r>
    </w:p>
    <w:p w14:paraId="42D272FF" w14:textId="77777777" w:rsidR="00E93F58" w:rsidRPr="00283424" w:rsidRDefault="00E93F58" w:rsidP="00B50726">
      <w:pPr>
        <w:pStyle w:val="subsection"/>
      </w:pPr>
      <w:r w:rsidRPr="00283424">
        <w:tab/>
        <w:t>(4)</w:t>
      </w:r>
      <w:r w:rsidRPr="00283424">
        <w:tab/>
        <w:t>If subregulation (3) applies, the product issuer must provide:</w:t>
      </w:r>
    </w:p>
    <w:p w14:paraId="1E9285B8" w14:textId="77777777" w:rsidR="00E93F58" w:rsidRPr="00283424" w:rsidRDefault="00E93F58" w:rsidP="00B50726">
      <w:pPr>
        <w:pStyle w:val="paragraph"/>
      </w:pPr>
      <w:r w:rsidRPr="00283424">
        <w:tab/>
        <w:t>(a)</w:t>
      </w:r>
      <w:r w:rsidRPr="00283424">
        <w:tab/>
        <w:t>a statement informing the product holder that amounts for fees, charges or expenses are applicable; and</w:t>
      </w:r>
    </w:p>
    <w:p w14:paraId="76209897" w14:textId="77777777" w:rsidR="00E93F58" w:rsidRPr="00283424" w:rsidRDefault="00E93F58" w:rsidP="00B50726">
      <w:pPr>
        <w:pStyle w:val="paragraph"/>
      </w:pPr>
      <w:r w:rsidRPr="00283424">
        <w:tab/>
        <w:t>(b)</w:t>
      </w:r>
      <w:r w:rsidRPr="00283424">
        <w:tab/>
        <w:t>if information about the deduction is not provided in the statement mentioned in sub</w:t>
      </w:r>
      <w:r>
        <w:noBreakHyphen/>
      </w:r>
      <w:r w:rsidRPr="00283424">
        <w:t>subparagraph 7.9.20(1)(ka)(ii)(B)—details of the means by which a product holder can gain access to information relating to the amount of the deduction.</w:t>
      </w:r>
    </w:p>
    <w:p w14:paraId="5B8AD443" w14:textId="77777777" w:rsidR="00E93F58" w:rsidRPr="00283424" w:rsidRDefault="00E93F58" w:rsidP="00B50726">
      <w:pPr>
        <w:pStyle w:val="subsection"/>
      </w:pPr>
      <w:r w:rsidRPr="00283424">
        <w:tab/>
        <w:t>(5)</w:t>
      </w:r>
      <w:r w:rsidRPr="00283424">
        <w:tab/>
        <w:t>A determination under subregulation (2) or (3) must be:</w:t>
      </w:r>
    </w:p>
    <w:p w14:paraId="77FDEE78" w14:textId="77777777" w:rsidR="00E93F58" w:rsidRPr="00283424" w:rsidRDefault="00E93F58" w:rsidP="00B50726">
      <w:pPr>
        <w:pStyle w:val="paragraph"/>
      </w:pPr>
      <w:r w:rsidRPr="00283424">
        <w:tab/>
        <w:t>(a)</w:t>
      </w:r>
      <w:r w:rsidRPr="00283424">
        <w:tab/>
        <w:t>in writing; and</w:t>
      </w:r>
    </w:p>
    <w:p w14:paraId="63B27384"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50068DF5" w14:textId="77777777" w:rsidR="00E93F58" w:rsidRPr="00283424" w:rsidRDefault="00E93F58" w:rsidP="00B50726">
      <w:pPr>
        <w:pStyle w:val="ActHead5"/>
      </w:pPr>
      <w:bookmarkStart w:id="1744" w:name="_Toc152054848"/>
      <w:bookmarkStart w:id="1745" w:name="_Toc158712664"/>
      <w:r w:rsidRPr="006F296E">
        <w:rPr>
          <w:rStyle w:val="CharSectno"/>
        </w:rPr>
        <w:lastRenderedPageBreak/>
        <w:t>7.9.21</w:t>
      </w:r>
      <w:r w:rsidRPr="00283424">
        <w:rPr>
          <w:sz w:val="16"/>
        </w:rPr>
        <w:t xml:space="preserve">  </w:t>
      </w:r>
      <w:r w:rsidRPr="00283424">
        <w:t>Specific requirements in particular cases: member (other than capital guaranteed member) of fund other than a self managed superannuation fund</w:t>
      </w:r>
      <w:bookmarkEnd w:id="1744"/>
      <w:bookmarkEnd w:id="1745"/>
    </w:p>
    <w:p w14:paraId="2680C546" w14:textId="77777777" w:rsidR="00E93F58" w:rsidRPr="00283424" w:rsidRDefault="00E93F58" w:rsidP="00B50726">
      <w:pPr>
        <w:pStyle w:val="subsection"/>
        <w:keepNext/>
        <w:keepLines/>
      </w:pPr>
      <w:r w:rsidRPr="00283424">
        <w:tab/>
        <w:t>(1)</w:t>
      </w:r>
      <w:r w:rsidRPr="00283424">
        <w:tab/>
        <w:t>For paragraph 1017D(5)(g) of the Act, and in addition to regulations 7.9.19 and 7.9.20, a periodic statement for a member (other than a capital guaranteed member) of a fund (other than a self managed superannuation fund) must include the following details:</w:t>
      </w:r>
    </w:p>
    <w:p w14:paraId="351CDD08" w14:textId="77777777" w:rsidR="00E93F58" w:rsidRPr="00283424" w:rsidRDefault="00E93F58" w:rsidP="00B50726">
      <w:pPr>
        <w:pStyle w:val="paragraph"/>
      </w:pPr>
      <w:r w:rsidRPr="00283424">
        <w:tab/>
        <w:t>(a)</w:t>
      </w:r>
      <w:r w:rsidRPr="00283424">
        <w:tab/>
        <w:t xml:space="preserve">if the fund is an unfunded defined benefits fund—details of the surcharge debt account kept by the trustee, under subsection 16(2) of the </w:t>
      </w:r>
      <w:r w:rsidRPr="00283424">
        <w:rPr>
          <w:i/>
        </w:rPr>
        <w:t>Superannuation Contributions Tax (Assessment and Collection) Act 1997</w:t>
      </w:r>
      <w:r w:rsidRPr="00283424">
        <w:t>, for the member, including:</w:t>
      </w:r>
    </w:p>
    <w:p w14:paraId="2F584423" w14:textId="77777777" w:rsidR="00E93F58" w:rsidRPr="00283424" w:rsidRDefault="00E93F58" w:rsidP="00B50726">
      <w:pPr>
        <w:pStyle w:val="paragraphsub"/>
      </w:pPr>
      <w:r w:rsidRPr="00283424">
        <w:rPr>
          <w:color w:val="000000"/>
        </w:rPr>
        <w:tab/>
        <w:t>(i)</w:t>
      </w:r>
      <w:r w:rsidRPr="00283424">
        <w:rPr>
          <w:color w:val="000000"/>
        </w:rPr>
        <w:tab/>
        <w:t>the balance of the account at the start of the reporting period; and</w:t>
      </w:r>
    </w:p>
    <w:p w14:paraId="683AD073" w14:textId="77777777" w:rsidR="00E93F58" w:rsidRPr="00283424" w:rsidRDefault="00E93F58" w:rsidP="00B50726">
      <w:pPr>
        <w:pStyle w:val="paragraphsub"/>
      </w:pPr>
      <w:r w:rsidRPr="00283424">
        <w:tab/>
        <w:t>(ii)</w:t>
      </w:r>
      <w:r w:rsidRPr="00283424">
        <w:tab/>
        <w:t>the amount debited to the account for superannuation contributions surcharge assessed, by the Commissioner of Taxation, to be payable on the member’s surchargeable contributions; and</w:t>
      </w:r>
    </w:p>
    <w:p w14:paraId="335BAE89" w14:textId="77777777" w:rsidR="00E93F58" w:rsidRPr="00283424" w:rsidRDefault="00E93F58" w:rsidP="00B50726">
      <w:pPr>
        <w:pStyle w:val="paragraphsub"/>
      </w:pPr>
      <w:r w:rsidRPr="00283424">
        <w:tab/>
        <w:t>(iii)</w:t>
      </w:r>
      <w:r w:rsidRPr="00283424">
        <w:tab/>
        <w:t>the amount of interest debited, under subsection 16(4) of that Act, to the account during the reporting period; and</w:t>
      </w:r>
    </w:p>
    <w:p w14:paraId="5F4380AE" w14:textId="77777777" w:rsidR="00E93F58" w:rsidRPr="00283424" w:rsidRDefault="00E93F58" w:rsidP="00B50726">
      <w:pPr>
        <w:pStyle w:val="paragraphsub"/>
      </w:pPr>
      <w:r w:rsidRPr="00283424">
        <w:tab/>
        <w:t>(iv)</w:t>
      </w:r>
      <w:r w:rsidRPr="00283424">
        <w:tab/>
        <w:t>the balance of the account at the end of the reporting period;</w:t>
      </w:r>
    </w:p>
    <w:p w14:paraId="3BAC74EB" w14:textId="77777777" w:rsidR="00E93F58" w:rsidRPr="00283424" w:rsidRDefault="00E93F58" w:rsidP="00B50726">
      <w:pPr>
        <w:pStyle w:val="paragraph"/>
      </w:pPr>
      <w:r w:rsidRPr="00283424">
        <w:tab/>
        <w:t>(b)</w:t>
      </w:r>
      <w:r w:rsidRPr="00283424">
        <w:tab/>
        <w:t>if the trustee reduced the member’s benefits in connection with payment of a superannuation contributions surcharge or an advance instalment of surcharge:</w:t>
      </w:r>
    </w:p>
    <w:p w14:paraId="620E2FD0" w14:textId="77777777" w:rsidR="00E93F58" w:rsidRPr="00283424" w:rsidRDefault="00E93F58" w:rsidP="00B50726">
      <w:pPr>
        <w:pStyle w:val="paragraphsub"/>
        <w:rPr>
          <w:color w:val="000000"/>
        </w:rPr>
      </w:pPr>
      <w:r w:rsidRPr="00283424">
        <w:rPr>
          <w:color w:val="000000"/>
        </w:rPr>
        <w:tab/>
        <w:t>(i)</w:t>
      </w:r>
      <w:r w:rsidRPr="00283424">
        <w:rPr>
          <w:color w:val="000000"/>
        </w:rPr>
        <w:tab/>
        <w:t>the amount deducted; and</w:t>
      </w:r>
    </w:p>
    <w:p w14:paraId="554D3399" w14:textId="77777777" w:rsidR="00E93F58" w:rsidRPr="00283424" w:rsidRDefault="00E93F58" w:rsidP="00B50726">
      <w:pPr>
        <w:pStyle w:val="paragraphsub"/>
      </w:pPr>
      <w:r w:rsidRPr="00283424">
        <w:tab/>
        <w:t>(ii)</w:t>
      </w:r>
      <w:r w:rsidRPr="00283424">
        <w:tab/>
        <w:t xml:space="preserve">if there is a difference between the amount deducted and the amount assessed under subsection 15(1) of the </w:t>
      </w:r>
      <w:r w:rsidRPr="00283424">
        <w:rPr>
          <w:i/>
        </w:rPr>
        <w:t xml:space="preserve">Superannuation Contributions Tax (Assessment and Collection) Act 1997 </w:t>
      </w:r>
      <w:r w:rsidRPr="00283424">
        <w:t>or between the amount deducted and the amount determined under subsection 15(2) of that Act—a statement explaining the difference;</w:t>
      </w:r>
    </w:p>
    <w:p w14:paraId="0DC16A26" w14:textId="77777777" w:rsidR="00E93F58" w:rsidRPr="00283424" w:rsidRDefault="00E93F58" w:rsidP="00B50726">
      <w:pPr>
        <w:pStyle w:val="paragraph"/>
      </w:pPr>
      <w:r w:rsidRPr="00283424">
        <w:rPr>
          <w:color w:val="000000"/>
        </w:rPr>
        <w:tab/>
        <w:t>(c)</w:t>
      </w:r>
      <w:r w:rsidRPr="00283424">
        <w:rPr>
          <w:color w:val="000000"/>
        </w:rPr>
        <w:tab/>
        <w:t>a description of the nature, effect and significant features of surcharge debt accounts.</w:t>
      </w:r>
    </w:p>
    <w:p w14:paraId="5011E70E"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59D9E737" w14:textId="77777777" w:rsidR="00E93F58" w:rsidRPr="00283424" w:rsidRDefault="00E93F58" w:rsidP="00B50726">
      <w:pPr>
        <w:pStyle w:val="ActHead5"/>
      </w:pPr>
      <w:bookmarkStart w:id="1746" w:name="_Toc152054849"/>
      <w:bookmarkStart w:id="1747" w:name="_Toc158712665"/>
      <w:r w:rsidRPr="006F296E">
        <w:rPr>
          <w:rStyle w:val="CharSectno"/>
        </w:rPr>
        <w:t>7.9.22</w:t>
      </w:r>
      <w:r w:rsidRPr="00283424">
        <w:rPr>
          <w:sz w:val="16"/>
        </w:rPr>
        <w:t xml:space="preserve">  </w:t>
      </w:r>
      <w:r w:rsidRPr="00283424">
        <w:t>Specific requirements: capital guaranteed funds and RSAs</w:t>
      </w:r>
      <w:bookmarkEnd w:id="1746"/>
      <w:bookmarkEnd w:id="1747"/>
    </w:p>
    <w:p w14:paraId="17880EBC" w14:textId="77777777" w:rsidR="00E93F58" w:rsidRPr="00283424" w:rsidRDefault="00E93F58" w:rsidP="00B50726">
      <w:pPr>
        <w:pStyle w:val="subsection"/>
      </w:pPr>
      <w:r w:rsidRPr="00283424">
        <w:tab/>
        <w:t>(1)</w:t>
      </w:r>
      <w:r w:rsidRPr="00283424">
        <w:tab/>
        <w:t>For paragraph 1017D(5)(g) of the Act, and in addition to regulations 7.9.19 and 7.9.20, a periodic statement for a member of a capital guaranteed fund must include the following details:</w:t>
      </w:r>
    </w:p>
    <w:p w14:paraId="59AA0F66" w14:textId="77777777" w:rsidR="00E93F58" w:rsidRPr="00283424" w:rsidRDefault="00E93F58" w:rsidP="00B50726">
      <w:pPr>
        <w:pStyle w:val="paragraph"/>
      </w:pPr>
      <w:r w:rsidRPr="00283424">
        <w:rPr>
          <w:color w:val="000000"/>
        </w:rPr>
        <w:tab/>
        <w:t>(a)</w:t>
      </w:r>
      <w:r w:rsidRPr="00283424">
        <w:rPr>
          <w:color w:val="000000"/>
        </w:rPr>
        <w:tab/>
        <w:t>a statement that outlines the means by which the fund is to be maintained as a capital guaranteed fund and sets out the name of the institution providing the investments that back the fund;</w:t>
      </w:r>
    </w:p>
    <w:p w14:paraId="6C1D925F" w14:textId="77777777" w:rsidR="00E93F58" w:rsidRPr="00283424" w:rsidRDefault="00E93F58" w:rsidP="00B50726">
      <w:pPr>
        <w:pStyle w:val="paragraph"/>
      </w:pPr>
      <w:r w:rsidRPr="00283424">
        <w:tab/>
        <w:t>(b)</w:t>
      </w:r>
      <w:r w:rsidRPr="00283424">
        <w:tab/>
        <w:t>a statement that outlines the effect of the lower</w:t>
      </w:r>
      <w:r>
        <w:noBreakHyphen/>
      </w:r>
      <w:r w:rsidRPr="00283424">
        <w:t>risk/lower</w:t>
      </w:r>
      <w:r>
        <w:noBreakHyphen/>
      </w:r>
      <w:r w:rsidRPr="00283424">
        <w:t>return nature of the product on possible benefits in the long term;</w:t>
      </w:r>
    </w:p>
    <w:p w14:paraId="458529F1" w14:textId="77777777" w:rsidR="00E93F58" w:rsidRPr="00283424" w:rsidRDefault="00E93F58" w:rsidP="00B50726">
      <w:pPr>
        <w:pStyle w:val="paragraph"/>
      </w:pPr>
      <w:r w:rsidRPr="00283424">
        <w:tab/>
        <w:t>(c)</w:t>
      </w:r>
      <w:r w:rsidRPr="00283424">
        <w:tab/>
        <w:t>a statement that the member may wish to consider:</w:t>
      </w:r>
    </w:p>
    <w:p w14:paraId="20A6DDE4" w14:textId="77777777" w:rsidR="00E93F58" w:rsidRPr="00283424" w:rsidRDefault="00E93F58" w:rsidP="00B50726">
      <w:pPr>
        <w:pStyle w:val="paragraphsub"/>
      </w:pPr>
      <w:r w:rsidRPr="00283424">
        <w:rPr>
          <w:color w:val="000000"/>
        </w:rPr>
        <w:tab/>
        <w:t>(i)</w:t>
      </w:r>
      <w:r w:rsidRPr="00283424">
        <w:rPr>
          <w:color w:val="000000"/>
        </w:rPr>
        <w:tab/>
        <w:t>other superannuation arrangements that may provide a greater return over the long term; and</w:t>
      </w:r>
    </w:p>
    <w:p w14:paraId="3C9B376A" w14:textId="77777777" w:rsidR="00E93F58" w:rsidRPr="00283424" w:rsidRDefault="00E93F58" w:rsidP="00B50726">
      <w:pPr>
        <w:pStyle w:val="paragraphsub"/>
      </w:pPr>
      <w:r w:rsidRPr="00283424">
        <w:tab/>
        <w:t>(ii)</w:t>
      </w:r>
      <w:r w:rsidRPr="00283424">
        <w:tab/>
        <w:t>seeking advice on alternative investment arrangements that may be more suitable.</w:t>
      </w:r>
    </w:p>
    <w:p w14:paraId="29A9B134" w14:textId="77777777" w:rsidR="00E93F58" w:rsidRPr="00283424" w:rsidRDefault="00E93F58" w:rsidP="00B50726">
      <w:pPr>
        <w:pStyle w:val="subsection"/>
      </w:pPr>
      <w:r w:rsidRPr="00283424">
        <w:tab/>
        <w:t>(2)</w:t>
      </w:r>
      <w:r w:rsidRPr="00283424">
        <w:tab/>
        <w:t>For paragraph 1017D(5)(g) of the Act, and in addition to regulation 7.9.19, a periodic statement for an RSA holder must include the following details:</w:t>
      </w:r>
    </w:p>
    <w:p w14:paraId="6DFFED9B" w14:textId="77777777" w:rsidR="00E93F58" w:rsidRPr="00283424" w:rsidRDefault="00E93F58" w:rsidP="00B50726">
      <w:pPr>
        <w:pStyle w:val="paragraph"/>
        <w:rPr>
          <w:color w:val="000000"/>
        </w:rPr>
      </w:pPr>
      <w:r w:rsidRPr="00283424">
        <w:rPr>
          <w:color w:val="000000"/>
        </w:rPr>
        <w:tab/>
        <w:t>(a)</w:t>
      </w:r>
      <w:r w:rsidRPr="00283424">
        <w:rPr>
          <w:color w:val="000000"/>
        </w:rPr>
        <w:tab/>
        <w:t>a statement that outlines the effect of the lower</w:t>
      </w:r>
      <w:r>
        <w:rPr>
          <w:color w:val="000000"/>
        </w:rPr>
        <w:noBreakHyphen/>
      </w:r>
      <w:r w:rsidRPr="00283424">
        <w:rPr>
          <w:color w:val="000000"/>
        </w:rPr>
        <w:t>risk/lower</w:t>
      </w:r>
      <w:r>
        <w:rPr>
          <w:color w:val="000000"/>
        </w:rPr>
        <w:noBreakHyphen/>
      </w:r>
      <w:r w:rsidRPr="00283424">
        <w:rPr>
          <w:color w:val="000000"/>
        </w:rPr>
        <w:t>return nature of the product on possible benefits in the long term;</w:t>
      </w:r>
    </w:p>
    <w:p w14:paraId="0E4B4BB9" w14:textId="77777777" w:rsidR="00E93F58" w:rsidRPr="00283424" w:rsidRDefault="00E93F58" w:rsidP="00B50726">
      <w:pPr>
        <w:pStyle w:val="paragraph"/>
      </w:pPr>
      <w:r w:rsidRPr="00283424">
        <w:tab/>
        <w:t>(b)</w:t>
      </w:r>
      <w:r w:rsidRPr="00283424">
        <w:tab/>
        <w:t>a suggestion that the RSA holder may wish to consider:</w:t>
      </w:r>
    </w:p>
    <w:p w14:paraId="79A4A7C9" w14:textId="77777777" w:rsidR="00E93F58" w:rsidRPr="00283424" w:rsidRDefault="00E93F58" w:rsidP="00B50726">
      <w:pPr>
        <w:pStyle w:val="paragraphsub"/>
      </w:pPr>
      <w:r w:rsidRPr="00283424">
        <w:rPr>
          <w:color w:val="000000"/>
        </w:rPr>
        <w:tab/>
        <w:t>(i)</w:t>
      </w:r>
      <w:r w:rsidRPr="00283424">
        <w:rPr>
          <w:color w:val="000000"/>
        </w:rPr>
        <w:tab/>
        <w:t>other superannuation arrangements that may provide a greater return over the long term; and</w:t>
      </w:r>
    </w:p>
    <w:p w14:paraId="3CC5B0F9" w14:textId="77777777" w:rsidR="00E93F58" w:rsidRPr="00283424" w:rsidRDefault="00E93F58" w:rsidP="00B50726">
      <w:pPr>
        <w:pStyle w:val="paragraphsub"/>
      </w:pPr>
      <w:r w:rsidRPr="00283424">
        <w:tab/>
        <w:t>(ii)</w:t>
      </w:r>
      <w:r w:rsidRPr="00283424">
        <w:tab/>
        <w:t>seeking advice on alternative investment strategies that may be more suitable.</w:t>
      </w:r>
    </w:p>
    <w:p w14:paraId="07230A1E" w14:textId="77777777" w:rsidR="00E93F58" w:rsidRPr="00283424" w:rsidRDefault="00E93F58" w:rsidP="00B50726">
      <w:pPr>
        <w:pStyle w:val="ActHead5"/>
      </w:pPr>
      <w:bookmarkStart w:id="1748" w:name="_Toc152054850"/>
      <w:bookmarkStart w:id="1749" w:name="_Toc158712666"/>
      <w:r w:rsidRPr="006F296E">
        <w:rPr>
          <w:rStyle w:val="CharSectno"/>
        </w:rPr>
        <w:t>7.9.23</w:t>
      </w:r>
      <w:r w:rsidRPr="00283424">
        <w:rPr>
          <w:sz w:val="16"/>
        </w:rPr>
        <w:t xml:space="preserve">  </w:t>
      </w:r>
      <w:r w:rsidRPr="00283424">
        <w:t>Information for capital guaranteed fund: benefits reach $10 000</w:t>
      </w:r>
      <w:bookmarkEnd w:id="1748"/>
      <w:bookmarkEnd w:id="1749"/>
    </w:p>
    <w:p w14:paraId="6647C337" w14:textId="77777777" w:rsidR="00E93F58" w:rsidRPr="00283424" w:rsidRDefault="00E93F58" w:rsidP="00B50726">
      <w:pPr>
        <w:pStyle w:val="subsection"/>
        <w:keepNext/>
        <w:keepLines/>
      </w:pPr>
      <w:r w:rsidRPr="00283424">
        <w:tab/>
      </w:r>
      <w:r w:rsidRPr="00283424">
        <w:tab/>
        <w:t>For paragraph 1017D(5)(g) of the Act, and in addition to regulations 7.9.19 and 7.9.22, if the amount of the benefits of a member in a capital guaranteed fund at the end of a reporting period is at least $10 000, the periodic statement for that reporting period must include the following details:</w:t>
      </w:r>
    </w:p>
    <w:p w14:paraId="6A18F629" w14:textId="77777777" w:rsidR="00E93F58" w:rsidRPr="00283424" w:rsidRDefault="00E93F58" w:rsidP="00B50726">
      <w:pPr>
        <w:pStyle w:val="paragraph"/>
        <w:rPr>
          <w:color w:val="000000"/>
        </w:rPr>
      </w:pPr>
      <w:r w:rsidRPr="00283424">
        <w:rPr>
          <w:color w:val="000000"/>
        </w:rPr>
        <w:tab/>
        <w:t>(a)</w:t>
      </w:r>
      <w:r w:rsidRPr="00283424">
        <w:rPr>
          <w:color w:val="000000"/>
        </w:rPr>
        <w:tab/>
        <w:t>a statement of that fact;</w:t>
      </w:r>
    </w:p>
    <w:p w14:paraId="5AA87349" w14:textId="77777777" w:rsidR="00E93F58" w:rsidRPr="00283424" w:rsidRDefault="00E93F58" w:rsidP="00B50726">
      <w:pPr>
        <w:pStyle w:val="paragraph"/>
      </w:pPr>
      <w:r w:rsidRPr="00283424">
        <w:tab/>
        <w:t>(b)</w:t>
      </w:r>
      <w:r w:rsidRPr="00283424">
        <w:tab/>
        <w:t>a statement that the information contained in the periodic statement is important and that the notice must be read carefully;</w:t>
      </w:r>
    </w:p>
    <w:p w14:paraId="0B5BA30C" w14:textId="77777777" w:rsidR="00E93F58" w:rsidRPr="00283424" w:rsidRDefault="00E93F58" w:rsidP="00B50726">
      <w:pPr>
        <w:pStyle w:val="paragraph"/>
      </w:pPr>
      <w:r w:rsidRPr="00283424">
        <w:tab/>
        <w:t>(c)</w:t>
      </w:r>
      <w:r w:rsidRPr="00283424">
        <w:tab/>
        <w:t>a statement that outlines the effect of the lower</w:t>
      </w:r>
      <w:r>
        <w:noBreakHyphen/>
      </w:r>
      <w:r w:rsidRPr="00283424">
        <w:t>risk/lower</w:t>
      </w:r>
      <w:r>
        <w:noBreakHyphen/>
      </w:r>
      <w:r w:rsidRPr="00283424">
        <w:t>return nature of the product on possible benefits in the long term;</w:t>
      </w:r>
    </w:p>
    <w:p w14:paraId="558AA992" w14:textId="77777777" w:rsidR="00E93F58" w:rsidRPr="00283424" w:rsidRDefault="00E93F58" w:rsidP="00B50726">
      <w:pPr>
        <w:pStyle w:val="paragraph"/>
      </w:pPr>
      <w:r w:rsidRPr="00283424">
        <w:tab/>
        <w:t>(d)</w:t>
      </w:r>
      <w:r w:rsidRPr="00283424">
        <w:tab/>
        <w:t>a statement that the member may wish to consider:</w:t>
      </w:r>
    </w:p>
    <w:p w14:paraId="4398384E" w14:textId="77777777" w:rsidR="00E93F58" w:rsidRPr="00283424" w:rsidRDefault="00E93F58" w:rsidP="00B50726">
      <w:pPr>
        <w:pStyle w:val="paragraphsub"/>
      </w:pPr>
      <w:r w:rsidRPr="00283424">
        <w:rPr>
          <w:color w:val="000000"/>
        </w:rPr>
        <w:tab/>
        <w:t>(i)</w:t>
      </w:r>
      <w:r w:rsidRPr="00283424">
        <w:rPr>
          <w:color w:val="000000"/>
        </w:rPr>
        <w:tab/>
        <w:t>other superannuation arrangements that may provide a greater return over the long term; and</w:t>
      </w:r>
    </w:p>
    <w:p w14:paraId="41B4E240" w14:textId="77777777" w:rsidR="00E93F58" w:rsidRPr="00283424" w:rsidRDefault="00E93F58" w:rsidP="00B50726">
      <w:pPr>
        <w:pStyle w:val="paragraphsub"/>
      </w:pPr>
      <w:r w:rsidRPr="00283424">
        <w:tab/>
        <w:t>(ii)</w:t>
      </w:r>
      <w:r w:rsidRPr="00283424">
        <w:tab/>
        <w:t>seeking advice on alternative investment arrangements that may be more suitable.</w:t>
      </w:r>
    </w:p>
    <w:p w14:paraId="535889E4" w14:textId="77777777" w:rsidR="00E93F58" w:rsidRPr="00283424" w:rsidRDefault="00E93F58" w:rsidP="00B50726">
      <w:pPr>
        <w:pStyle w:val="ActHead5"/>
      </w:pPr>
      <w:bookmarkStart w:id="1750" w:name="_Toc152054851"/>
      <w:bookmarkStart w:id="1751" w:name="_Toc158712667"/>
      <w:r w:rsidRPr="006F296E">
        <w:rPr>
          <w:rStyle w:val="CharSectno"/>
        </w:rPr>
        <w:lastRenderedPageBreak/>
        <w:t>7.9.24</w:t>
      </w:r>
      <w:r w:rsidRPr="00283424">
        <w:rPr>
          <w:sz w:val="16"/>
        </w:rPr>
        <w:t xml:space="preserve">  </w:t>
      </w:r>
      <w:r w:rsidRPr="00283424">
        <w:t>Modification of Act: pensioners, members subject to compulsory protection of small amounts and members with small amounts that are expected to grow quickly</w:t>
      </w:r>
      <w:bookmarkEnd w:id="1750"/>
      <w:bookmarkEnd w:id="1751"/>
    </w:p>
    <w:p w14:paraId="06AEC51A" w14:textId="77777777" w:rsidR="00E93F58" w:rsidRPr="00283424" w:rsidRDefault="00E93F58" w:rsidP="00B50726">
      <w:pPr>
        <w:pStyle w:val="subsection"/>
      </w:pPr>
      <w:r w:rsidRPr="00283424">
        <w:rPr>
          <w:color w:val="000000"/>
        </w:rPr>
        <w:tab/>
      </w:r>
      <w:r w:rsidRPr="00283424">
        <w:rPr>
          <w:color w:val="000000"/>
        </w:rPr>
        <w:tab/>
        <w:t>For paragraph 1020G(1)(c) of the Act, Part 7.9 of the Act is modified in its application in relation to a superannuation entity or an RSA to which this Subdivision applies as set out in Part 7 of Schedule 10A.</w:t>
      </w:r>
    </w:p>
    <w:p w14:paraId="79CC1EAE" w14:textId="77777777" w:rsidR="00E93F58" w:rsidRPr="00283424" w:rsidRDefault="00E93F58" w:rsidP="00B50726">
      <w:pPr>
        <w:pStyle w:val="ActHead4"/>
      </w:pPr>
      <w:bookmarkStart w:id="1752" w:name="_Toc152054852"/>
      <w:bookmarkStart w:id="1753" w:name="_Toc158712668"/>
      <w:r w:rsidRPr="006F296E">
        <w:rPr>
          <w:rStyle w:val="CharSubdNo"/>
        </w:rPr>
        <w:t>Subdivision 5.3</w:t>
      </w:r>
      <w:r w:rsidRPr="00283424">
        <w:t>—</w:t>
      </w:r>
      <w:r w:rsidRPr="006F296E">
        <w:rPr>
          <w:rStyle w:val="CharSubdText"/>
        </w:rPr>
        <w:t>Periodic statements for retail clients for financial products that have an investment component: information for RSAs</w:t>
      </w:r>
      <w:bookmarkEnd w:id="1752"/>
      <w:bookmarkEnd w:id="1753"/>
    </w:p>
    <w:p w14:paraId="26C1E7CF" w14:textId="77777777" w:rsidR="00E93F58" w:rsidRPr="00283424" w:rsidRDefault="00E93F58" w:rsidP="00B50726">
      <w:pPr>
        <w:pStyle w:val="ActHead5"/>
      </w:pPr>
      <w:bookmarkStart w:id="1754" w:name="_Toc152054853"/>
      <w:bookmarkStart w:id="1755" w:name="_Toc158712669"/>
      <w:r w:rsidRPr="006F296E">
        <w:rPr>
          <w:rStyle w:val="CharSectno"/>
        </w:rPr>
        <w:t>7.9.25</w:t>
      </w:r>
      <w:r w:rsidRPr="00283424">
        <w:rPr>
          <w:sz w:val="16"/>
        </w:rPr>
        <w:t xml:space="preserve">  </w:t>
      </w:r>
      <w:r w:rsidRPr="00283424">
        <w:t>Application of Subdivision 5.3</w:t>
      </w:r>
      <w:bookmarkEnd w:id="1754"/>
      <w:bookmarkEnd w:id="1755"/>
    </w:p>
    <w:p w14:paraId="77E6A791" w14:textId="77777777" w:rsidR="00E93F58" w:rsidRPr="00283424" w:rsidRDefault="00E93F58" w:rsidP="00B50726">
      <w:pPr>
        <w:pStyle w:val="subsection"/>
      </w:pPr>
      <w:r w:rsidRPr="00283424">
        <w:rPr>
          <w:color w:val="000000"/>
        </w:rPr>
        <w:tab/>
      </w:r>
      <w:r w:rsidRPr="00283424">
        <w:rPr>
          <w:color w:val="000000"/>
        </w:rPr>
        <w:tab/>
        <w:t>This Subdivision applies in relation to an RSA provider.</w:t>
      </w:r>
    </w:p>
    <w:p w14:paraId="66B76ECB" w14:textId="77777777" w:rsidR="00E93F58" w:rsidRPr="00283424" w:rsidRDefault="00E93F58" w:rsidP="00B50726">
      <w:pPr>
        <w:pStyle w:val="ActHead5"/>
      </w:pPr>
      <w:bookmarkStart w:id="1756" w:name="_Toc152054854"/>
      <w:bookmarkStart w:id="1757" w:name="_Toc158712670"/>
      <w:r w:rsidRPr="006F296E">
        <w:rPr>
          <w:rStyle w:val="CharSectno"/>
        </w:rPr>
        <w:t>7.9.26</w:t>
      </w:r>
      <w:r w:rsidRPr="00283424">
        <w:rPr>
          <w:sz w:val="16"/>
        </w:rPr>
        <w:t xml:space="preserve">  </w:t>
      </w:r>
      <w:r w:rsidRPr="00283424">
        <w:t>Specific requirements where applicable: RSAs</w:t>
      </w:r>
      <w:bookmarkEnd w:id="1756"/>
      <w:bookmarkEnd w:id="1757"/>
    </w:p>
    <w:p w14:paraId="26224B2C" w14:textId="77777777" w:rsidR="00E93F58" w:rsidRPr="00283424" w:rsidRDefault="00E93F58" w:rsidP="00B50726">
      <w:pPr>
        <w:pStyle w:val="subsection"/>
      </w:pPr>
      <w:r w:rsidRPr="00283424">
        <w:tab/>
        <w:t>(1)</w:t>
      </w:r>
      <w:r w:rsidRPr="00283424">
        <w:tab/>
        <w:t>For paragraph 1017D(5)(g) of the Act, and in addition to regulation 7.9.19, a periodic statement for an RSA holder must include details of the following matters in respect of the RSA holder so far as they are applicable:</w:t>
      </w:r>
    </w:p>
    <w:p w14:paraId="0CAAA045" w14:textId="77777777" w:rsidR="00E93F58" w:rsidRPr="00283424" w:rsidRDefault="00E93F58" w:rsidP="00B50726">
      <w:pPr>
        <w:pStyle w:val="paragraph"/>
      </w:pPr>
      <w:r w:rsidRPr="00283424">
        <w:rPr>
          <w:color w:val="000000"/>
        </w:rPr>
        <w:tab/>
        <w:t>(a)</w:t>
      </w:r>
      <w:r w:rsidRPr="00283424">
        <w:rPr>
          <w:color w:val="000000"/>
        </w:rPr>
        <w:tab/>
        <w:t>the amount of the RSA holder’s contributions during the reporting period;</w:t>
      </w:r>
    </w:p>
    <w:p w14:paraId="08D31CE9" w14:textId="77777777" w:rsidR="00E93F58" w:rsidRPr="00283424" w:rsidRDefault="00E93F58" w:rsidP="00B50726">
      <w:pPr>
        <w:pStyle w:val="paragraph"/>
      </w:pPr>
      <w:r w:rsidRPr="00283424">
        <w:tab/>
        <w:t>(b)</w:t>
      </w:r>
      <w:r w:rsidRPr="00283424">
        <w:tab/>
        <w:t>the amount of employer contributions during the reporting period;</w:t>
      </w:r>
    </w:p>
    <w:p w14:paraId="2608BFB5" w14:textId="77777777" w:rsidR="00E93F58" w:rsidRPr="00283424" w:rsidRDefault="00E93F58" w:rsidP="00B50726">
      <w:pPr>
        <w:pStyle w:val="paragraph"/>
      </w:pPr>
      <w:r w:rsidRPr="00283424">
        <w:tab/>
        <w:t>(c)</w:t>
      </w:r>
      <w:r w:rsidRPr="00283424">
        <w:tab/>
        <w:t>the amount of benefits rolled</w:t>
      </w:r>
      <w:r>
        <w:noBreakHyphen/>
      </w:r>
      <w:r w:rsidRPr="00283424">
        <w:t>over or transferred into the RSA during the reporting period;</w:t>
      </w:r>
    </w:p>
    <w:p w14:paraId="38AF4AE9" w14:textId="77777777" w:rsidR="00E93F58" w:rsidRPr="00283424" w:rsidRDefault="00E93F58" w:rsidP="00B50726">
      <w:pPr>
        <w:pStyle w:val="paragraph"/>
      </w:pPr>
      <w:r w:rsidRPr="00283424">
        <w:tab/>
        <w:t>(d)</w:t>
      </w:r>
      <w:r w:rsidRPr="00283424">
        <w:tab/>
        <w:t>the amount of withdrawals during the reporting period;</w:t>
      </w:r>
    </w:p>
    <w:p w14:paraId="37D9A36A" w14:textId="77777777" w:rsidR="00E93F58" w:rsidRPr="00283424" w:rsidRDefault="00E93F58" w:rsidP="00B50726">
      <w:pPr>
        <w:pStyle w:val="paragraph"/>
      </w:pPr>
      <w:r w:rsidRPr="00283424">
        <w:tab/>
        <w:t>(e)</w:t>
      </w:r>
      <w:r w:rsidRPr="00283424">
        <w:tab/>
        <w:t>information about the cost of transactions mentioned in Division 8;</w:t>
      </w:r>
    </w:p>
    <w:p w14:paraId="335EDA06" w14:textId="77777777" w:rsidR="00E93F58" w:rsidRPr="00283424" w:rsidRDefault="00E93F58" w:rsidP="00B50726">
      <w:pPr>
        <w:pStyle w:val="paragraph"/>
      </w:pPr>
      <w:r w:rsidRPr="00283424">
        <w:tab/>
        <w:t>(f)</w:t>
      </w:r>
      <w:r w:rsidRPr="00283424">
        <w:tab/>
        <w:t>the amount of interest credited to the RSA during the reporting period;</w:t>
      </w:r>
    </w:p>
    <w:p w14:paraId="58DEDAB7" w14:textId="77777777" w:rsidR="00E93F58" w:rsidRPr="00283424" w:rsidRDefault="00E93F58" w:rsidP="00B50726">
      <w:pPr>
        <w:pStyle w:val="paragraph"/>
      </w:pPr>
      <w:r w:rsidRPr="00283424">
        <w:tab/>
        <w:t>(g)</w:t>
      </w:r>
      <w:r w:rsidRPr="00283424">
        <w:tab/>
        <w:t>the annual effective rate of net interest applied to the RSA during the reporting period;</w:t>
      </w:r>
    </w:p>
    <w:p w14:paraId="787983B5" w14:textId="77777777" w:rsidR="00E93F58" w:rsidRPr="00283424" w:rsidRDefault="00E93F58" w:rsidP="00B50726">
      <w:pPr>
        <w:pStyle w:val="paragraph"/>
      </w:pPr>
      <w:r w:rsidRPr="00283424">
        <w:tab/>
        <w:t>(h)</w:t>
      </w:r>
      <w:r w:rsidRPr="00283424">
        <w:tab/>
        <w:t>a statement of:</w:t>
      </w:r>
    </w:p>
    <w:p w14:paraId="68BE9FCD" w14:textId="77777777" w:rsidR="00E93F58" w:rsidRPr="00283424" w:rsidRDefault="00E93F58" w:rsidP="00B50726">
      <w:pPr>
        <w:pStyle w:val="paragraphsub"/>
      </w:pPr>
      <w:r w:rsidRPr="00283424">
        <w:rPr>
          <w:color w:val="000000"/>
        </w:rPr>
        <w:tab/>
        <w:t>(i)</w:t>
      </w:r>
      <w:r w:rsidRPr="00283424">
        <w:rPr>
          <w:color w:val="000000"/>
        </w:rPr>
        <w:tab/>
        <w:t>the annual effective rate of net earnings in each of the most recent reporting periods that, in total, constitute a period of at least 5 years; and</w:t>
      </w:r>
    </w:p>
    <w:p w14:paraId="74056EC9" w14:textId="77777777" w:rsidR="00E93F58" w:rsidRPr="00283424" w:rsidRDefault="00E93F58" w:rsidP="00B50726">
      <w:pPr>
        <w:pStyle w:val="paragraphsub"/>
      </w:pPr>
      <w:r w:rsidRPr="00283424">
        <w:tab/>
        <w:t>(ii)</w:t>
      </w:r>
      <w:r w:rsidRPr="00283424">
        <w:tab/>
        <w:t>the compound average effective rate of net earnings for the period of 5 years ending at the end of the reporting period;</w:t>
      </w:r>
    </w:p>
    <w:p w14:paraId="0F7803C4" w14:textId="77777777" w:rsidR="00E93F58" w:rsidRPr="00283424" w:rsidRDefault="00E93F58" w:rsidP="00B50726">
      <w:pPr>
        <w:pStyle w:val="paragraph"/>
      </w:pPr>
      <w:r w:rsidRPr="00283424">
        <w:rPr>
          <w:color w:val="000000"/>
        </w:rPr>
        <w:tab/>
        <w:t>(i)</w:t>
      </w:r>
      <w:r w:rsidRPr="00283424">
        <w:rPr>
          <w:color w:val="000000"/>
        </w:rPr>
        <w:tab/>
        <w:t>the effect of the RSA holder</w:t>
      </w:r>
      <w:r>
        <w:rPr>
          <w:color w:val="000000"/>
        </w:rPr>
        <w:noBreakHyphen/>
      </w:r>
      <w:r w:rsidRPr="00283424">
        <w:rPr>
          <w:color w:val="000000"/>
        </w:rPr>
        <w:t>protection standards under the RSA Regulations;</w:t>
      </w:r>
    </w:p>
    <w:p w14:paraId="0A353BAA" w14:textId="77777777" w:rsidR="00E93F58" w:rsidRPr="00283424" w:rsidRDefault="00E93F58" w:rsidP="00B50726">
      <w:pPr>
        <w:pStyle w:val="paragraph"/>
      </w:pPr>
      <w:r w:rsidRPr="00283424">
        <w:tab/>
        <w:t>(j)</w:t>
      </w:r>
      <w:r w:rsidRPr="00283424">
        <w:tab/>
        <w:t>the amount of bonuses that have accrued at the end of the reporting period;</w:t>
      </w:r>
    </w:p>
    <w:p w14:paraId="373EAAD8" w14:textId="77777777" w:rsidR="00E93F58" w:rsidRPr="00283424" w:rsidRDefault="00E93F58" w:rsidP="00B50726">
      <w:pPr>
        <w:pStyle w:val="paragraph"/>
      </w:pPr>
      <w:r w:rsidRPr="00283424">
        <w:tab/>
        <w:t>(k)</w:t>
      </w:r>
      <w:r w:rsidRPr="00283424">
        <w:tab/>
        <w:t>if a risk insurance product is held by the RSA provider—the amount of the sum assured;</w:t>
      </w:r>
    </w:p>
    <w:p w14:paraId="7A2D023F" w14:textId="77777777" w:rsidR="00E93F58" w:rsidRPr="00283424" w:rsidRDefault="00E93F58" w:rsidP="00B50726">
      <w:pPr>
        <w:pStyle w:val="paragraph"/>
      </w:pPr>
      <w:r w:rsidRPr="00283424">
        <w:tab/>
        <w:t>(l)</w:t>
      </w:r>
      <w:r w:rsidRPr="00283424">
        <w:tab/>
        <w:t>the circumstances when benefits may be paid to an eligible rollover fund, the effect of that payment and the contact details of the eligible rollover fund;</w:t>
      </w:r>
    </w:p>
    <w:p w14:paraId="2BBC2CAA" w14:textId="77777777" w:rsidR="00E93F58" w:rsidRPr="00283424" w:rsidRDefault="00E93F58" w:rsidP="00B50726">
      <w:pPr>
        <w:pStyle w:val="paragraph"/>
      </w:pPr>
      <w:r w:rsidRPr="00283424">
        <w:tab/>
        <w:t>(m)</w:t>
      </w:r>
      <w:r w:rsidRPr="00283424">
        <w:tab/>
        <w:t>the amount payable in the event of the RSA holder’s death:</w:t>
      </w:r>
    </w:p>
    <w:p w14:paraId="6D0A404F" w14:textId="77777777" w:rsidR="00E93F58" w:rsidRPr="00283424" w:rsidRDefault="00E93F58" w:rsidP="00B50726">
      <w:pPr>
        <w:pStyle w:val="paragraphsub"/>
      </w:pPr>
      <w:r w:rsidRPr="00283424">
        <w:rPr>
          <w:color w:val="000000"/>
        </w:rPr>
        <w:tab/>
        <w:t>(i)</w:t>
      </w:r>
      <w:r w:rsidRPr="00283424">
        <w:rPr>
          <w:color w:val="000000"/>
        </w:rPr>
        <w:tab/>
        <w:t>at the end of the reporting period; or</w:t>
      </w:r>
    </w:p>
    <w:p w14:paraId="3D520CA3" w14:textId="77777777" w:rsidR="00E93F58" w:rsidRPr="00283424" w:rsidRDefault="00E93F58" w:rsidP="00B50726">
      <w:pPr>
        <w:pStyle w:val="paragraphsub"/>
      </w:pPr>
      <w:r w:rsidRPr="00283424">
        <w:tab/>
        <w:t>(ii)</w:t>
      </w:r>
      <w:r w:rsidRPr="00283424">
        <w:tab/>
        <w:t>on the first day of the next reporting period;</w:t>
      </w:r>
    </w:p>
    <w:p w14:paraId="0FBB9F76" w14:textId="77777777" w:rsidR="00E93F58" w:rsidRPr="00283424" w:rsidRDefault="00E93F58" w:rsidP="00B50726">
      <w:pPr>
        <w:pStyle w:val="paragraph"/>
      </w:pPr>
      <w:r w:rsidRPr="00283424">
        <w:rPr>
          <w:color w:val="000000"/>
        </w:rPr>
        <w:tab/>
      </w:r>
      <w:r w:rsidRPr="00283424">
        <w:rPr>
          <w:color w:val="000000"/>
        </w:rPr>
        <w:tab/>
        <w:t>or the method by which that amount is worked out;</w:t>
      </w:r>
    </w:p>
    <w:p w14:paraId="2BE127F8" w14:textId="77777777" w:rsidR="00E93F58" w:rsidRPr="00283424" w:rsidRDefault="00E93F58" w:rsidP="00B50726">
      <w:pPr>
        <w:pStyle w:val="paragraph"/>
      </w:pPr>
      <w:r w:rsidRPr="00283424">
        <w:tab/>
        <w:t>(n)</w:t>
      </w:r>
      <w:r w:rsidRPr="00283424">
        <w:tab/>
        <w:t>the amount, or method of working out, of other benefits including, in particular, disability benefits;</w:t>
      </w:r>
    </w:p>
    <w:p w14:paraId="77C70E1C" w14:textId="77777777" w:rsidR="00E93F58" w:rsidRPr="00283424" w:rsidRDefault="00E93F58" w:rsidP="00B50726">
      <w:pPr>
        <w:pStyle w:val="paragraph"/>
      </w:pPr>
      <w:r w:rsidRPr="00283424">
        <w:tab/>
        <w:t>(o)</w:t>
      </w:r>
      <w:r w:rsidRPr="00283424">
        <w:tab/>
        <w:t>if the RSA provider reduced the RSA holder’s benefits in connection with payment of a superannuation contributions surcharge or an advance instalment of surcharge:</w:t>
      </w:r>
    </w:p>
    <w:p w14:paraId="2A755124" w14:textId="77777777" w:rsidR="00E93F58" w:rsidRPr="00283424" w:rsidRDefault="00E93F58" w:rsidP="00B50726">
      <w:pPr>
        <w:pStyle w:val="paragraphsub"/>
      </w:pPr>
      <w:r w:rsidRPr="00283424">
        <w:rPr>
          <w:color w:val="000000"/>
        </w:rPr>
        <w:tab/>
        <w:t>(i)</w:t>
      </w:r>
      <w:r w:rsidRPr="00283424">
        <w:rPr>
          <w:color w:val="000000"/>
        </w:rPr>
        <w:tab/>
        <w:t>the amount deducted; and</w:t>
      </w:r>
    </w:p>
    <w:p w14:paraId="71B6AD6A" w14:textId="77777777" w:rsidR="00E93F58" w:rsidRPr="00283424" w:rsidRDefault="00E93F58" w:rsidP="00B50726">
      <w:pPr>
        <w:pStyle w:val="paragraphsub"/>
      </w:pPr>
      <w:r w:rsidRPr="00283424">
        <w:tab/>
        <w:t>(ii)</w:t>
      </w:r>
      <w:r w:rsidRPr="00283424">
        <w:tab/>
        <w:t xml:space="preserve">if there is a difference between the amount deducted and the amount assessed under subsection 15(1) of the </w:t>
      </w:r>
      <w:r w:rsidRPr="00283424">
        <w:rPr>
          <w:i/>
        </w:rPr>
        <w:t xml:space="preserve">Superannuation Contributions Tax (Assessment and Collection) Act 1997 </w:t>
      </w:r>
      <w:r w:rsidRPr="00283424">
        <w:t>or between the amount deducted and the amount determined under subsection 15(2) of that Act—a statement explaining the difference;</w:t>
      </w:r>
    </w:p>
    <w:p w14:paraId="0827A576" w14:textId="77777777" w:rsidR="00E93F58" w:rsidRPr="00283424" w:rsidRDefault="00E93F58" w:rsidP="00B50726">
      <w:pPr>
        <w:pStyle w:val="paragraph"/>
      </w:pPr>
      <w:r w:rsidRPr="00283424">
        <w:tab/>
        <w:t>(p)</w:t>
      </w:r>
      <w:r w:rsidRPr="00283424">
        <w:tab/>
        <w:t>the net amount of Government co</w:t>
      </w:r>
      <w:r>
        <w:noBreakHyphen/>
      </w:r>
      <w:r w:rsidRPr="00283424">
        <w:t>contribution received during the reporting period.</w:t>
      </w:r>
    </w:p>
    <w:p w14:paraId="74034D59"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3DBB32FD" w14:textId="77777777" w:rsidR="00E93F58" w:rsidRPr="00283424" w:rsidRDefault="00E93F58" w:rsidP="00B50726">
      <w:pPr>
        <w:pStyle w:val="subsection"/>
      </w:pPr>
      <w:r w:rsidRPr="00283424">
        <w:tab/>
        <w:t>(3)</w:t>
      </w:r>
      <w:r w:rsidRPr="00283424">
        <w:tab/>
        <w:t>If, at the end of a reporting period, an RSA has not been in existence for 5 years, the references in paragraph (1)(h) to 5 years are taken to be references to the whole period of existence of the RSA.</w:t>
      </w:r>
    </w:p>
    <w:p w14:paraId="519FDDDD" w14:textId="77777777" w:rsidR="00E93F58" w:rsidRPr="00283424" w:rsidRDefault="00E93F58" w:rsidP="00B50726">
      <w:pPr>
        <w:pStyle w:val="ActHead5"/>
      </w:pPr>
      <w:bookmarkStart w:id="1758" w:name="_Toc152054855"/>
      <w:bookmarkStart w:id="1759" w:name="_Toc158712671"/>
      <w:r w:rsidRPr="006F296E">
        <w:rPr>
          <w:rStyle w:val="CharSectno"/>
        </w:rPr>
        <w:lastRenderedPageBreak/>
        <w:t>7.9.27</w:t>
      </w:r>
      <w:r w:rsidRPr="00283424">
        <w:rPr>
          <w:sz w:val="16"/>
        </w:rPr>
        <w:t xml:space="preserve">  </w:t>
      </w:r>
      <w:r w:rsidRPr="00283424">
        <w:t>Modification of Act: periodic statements for RSA holders</w:t>
      </w:r>
      <w:bookmarkEnd w:id="1758"/>
      <w:bookmarkEnd w:id="1759"/>
    </w:p>
    <w:p w14:paraId="7D0F4BD6" w14:textId="77777777" w:rsidR="00E93F58" w:rsidRPr="00283424" w:rsidRDefault="00E93F58" w:rsidP="00B50726">
      <w:pPr>
        <w:pStyle w:val="subsection"/>
        <w:keepNext/>
        <w:keepLines/>
      </w:pPr>
      <w:r w:rsidRPr="00283424">
        <w:rPr>
          <w:color w:val="000000"/>
        </w:rPr>
        <w:tab/>
      </w:r>
      <w:r w:rsidRPr="00283424">
        <w:rPr>
          <w:color w:val="000000"/>
        </w:rPr>
        <w:tab/>
        <w:t>For paragraph 1020G(1)(c) of the Act, Part 7.9 of the Act is modified in its application in relation to an RSA to which this Subdivision applies as set out in Part 8 of Schedule 10A.</w:t>
      </w:r>
    </w:p>
    <w:p w14:paraId="4EDD47CD" w14:textId="77777777" w:rsidR="00E93F58" w:rsidRPr="00283424" w:rsidRDefault="00E93F58" w:rsidP="00B50726">
      <w:pPr>
        <w:pStyle w:val="ActHead5"/>
      </w:pPr>
      <w:bookmarkStart w:id="1760" w:name="_Toc152054856"/>
      <w:bookmarkStart w:id="1761" w:name="_Toc158712672"/>
      <w:r w:rsidRPr="006F296E">
        <w:rPr>
          <w:rStyle w:val="CharSectno"/>
        </w:rPr>
        <w:t>7.9.28</w:t>
      </w:r>
      <w:r w:rsidRPr="00283424">
        <w:rPr>
          <w:sz w:val="16"/>
        </w:rPr>
        <w:t xml:space="preserve">  </w:t>
      </w:r>
      <w:r w:rsidRPr="00283424">
        <w:t>Information for RSA: amount reaches $10 000</w:t>
      </w:r>
      <w:bookmarkEnd w:id="1760"/>
      <w:bookmarkEnd w:id="1761"/>
    </w:p>
    <w:p w14:paraId="1A187571" w14:textId="77777777" w:rsidR="00E93F58" w:rsidRPr="00283424" w:rsidRDefault="00E93F58" w:rsidP="00B50726">
      <w:pPr>
        <w:pStyle w:val="subsection"/>
      </w:pPr>
      <w:r w:rsidRPr="00283424">
        <w:tab/>
      </w:r>
      <w:r w:rsidRPr="00283424">
        <w:tab/>
        <w:t>For paragraph 1017D(5)(g) of the Act, if the amount of an RSA at the end of a reporting period is at least $10 000, the periodic statement for that reporting period must include the following, in addition to the details mentioned in regulations 7.9.19 and 7.9.22:</w:t>
      </w:r>
    </w:p>
    <w:p w14:paraId="375E2E18" w14:textId="77777777" w:rsidR="00E93F58" w:rsidRPr="00283424" w:rsidRDefault="00E93F58" w:rsidP="00B50726">
      <w:pPr>
        <w:pStyle w:val="paragraph"/>
        <w:rPr>
          <w:color w:val="000000"/>
        </w:rPr>
      </w:pPr>
      <w:r w:rsidRPr="00283424">
        <w:rPr>
          <w:color w:val="000000"/>
        </w:rPr>
        <w:tab/>
        <w:t>(a)</w:t>
      </w:r>
      <w:r w:rsidRPr="00283424">
        <w:rPr>
          <w:color w:val="000000"/>
        </w:rPr>
        <w:tab/>
        <w:t>a statement of that fact;</w:t>
      </w:r>
    </w:p>
    <w:p w14:paraId="331B117B" w14:textId="77777777" w:rsidR="00E93F58" w:rsidRPr="00283424" w:rsidRDefault="00E93F58" w:rsidP="00B50726">
      <w:pPr>
        <w:pStyle w:val="paragraph"/>
      </w:pPr>
      <w:r w:rsidRPr="00283424">
        <w:tab/>
        <w:t>(b)</w:t>
      </w:r>
      <w:r w:rsidRPr="00283424">
        <w:tab/>
        <w:t>a statement that the information contained in the periodic statement is important and that the notice must be read carefully;</w:t>
      </w:r>
    </w:p>
    <w:p w14:paraId="307A6F74" w14:textId="77777777" w:rsidR="00E93F58" w:rsidRPr="00283424" w:rsidRDefault="00E93F58" w:rsidP="00B50726">
      <w:pPr>
        <w:pStyle w:val="paragraph"/>
      </w:pPr>
      <w:r w:rsidRPr="00283424">
        <w:tab/>
        <w:t>(c)</w:t>
      </w:r>
      <w:r w:rsidRPr="00283424">
        <w:tab/>
        <w:t>a statement that outlines the effect of the lower</w:t>
      </w:r>
      <w:r>
        <w:noBreakHyphen/>
      </w:r>
      <w:r w:rsidRPr="00283424">
        <w:t>risk/ lower</w:t>
      </w:r>
      <w:r>
        <w:noBreakHyphen/>
      </w:r>
      <w:r w:rsidRPr="00283424">
        <w:t>return nature of the RSA on possible benefits in the long term;</w:t>
      </w:r>
    </w:p>
    <w:p w14:paraId="641291D3" w14:textId="77777777" w:rsidR="00E93F58" w:rsidRPr="00283424" w:rsidRDefault="00E93F58" w:rsidP="00B50726">
      <w:pPr>
        <w:pStyle w:val="paragraph"/>
      </w:pPr>
      <w:r w:rsidRPr="00283424">
        <w:tab/>
        <w:t>(d)</w:t>
      </w:r>
      <w:r w:rsidRPr="00283424">
        <w:tab/>
        <w:t>a suggestion that the RSA holder may wish to consider:</w:t>
      </w:r>
    </w:p>
    <w:p w14:paraId="37713FF1" w14:textId="77777777" w:rsidR="00E93F58" w:rsidRPr="00283424" w:rsidRDefault="00E93F58" w:rsidP="00B50726">
      <w:pPr>
        <w:pStyle w:val="paragraphsub"/>
      </w:pPr>
      <w:r w:rsidRPr="00283424">
        <w:rPr>
          <w:color w:val="000000"/>
        </w:rPr>
        <w:tab/>
        <w:t>(i)</w:t>
      </w:r>
      <w:r w:rsidRPr="00283424">
        <w:rPr>
          <w:color w:val="000000"/>
        </w:rPr>
        <w:tab/>
        <w:t>other superannuation arrangements that may provide a greater return over the long term; and</w:t>
      </w:r>
    </w:p>
    <w:p w14:paraId="0EAED6CC" w14:textId="77777777" w:rsidR="00E93F58" w:rsidRPr="00283424" w:rsidRDefault="00E93F58" w:rsidP="00B50726">
      <w:pPr>
        <w:pStyle w:val="paragraphsub"/>
      </w:pPr>
      <w:r w:rsidRPr="00283424">
        <w:tab/>
        <w:t>(ii)</w:t>
      </w:r>
      <w:r w:rsidRPr="00283424">
        <w:tab/>
        <w:t>seeking advice on alternative investment strategies that may be more suitable.</w:t>
      </w:r>
    </w:p>
    <w:p w14:paraId="64730635" w14:textId="77777777" w:rsidR="00E93F58" w:rsidRPr="00283424" w:rsidRDefault="00E93F58" w:rsidP="00B50726">
      <w:pPr>
        <w:pStyle w:val="ActHead4"/>
      </w:pPr>
      <w:bookmarkStart w:id="1762" w:name="_Toc152054857"/>
      <w:bookmarkStart w:id="1763" w:name="_Toc158712673"/>
      <w:r w:rsidRPr="006F296E">
        <w:rPr>
          <w:rStyle w:val="CharSubdNo"/>
        </w:rPr>
        <w:t>Subdivision 5.4</w:t>
      </w:r>
      <w:r w:rsidRPr="00283424">
        <w:t>—</w:t>
      </w:r>
      <w:r w:rsidRPr="006F296E">
        <w:rPr>
          <w:rStyle w:val="CharSubdText"/>
        </w:rPr>
        <w:t>Periodic statements for retail clients for financial products that have an investment component: additional information for superannuation entities and RSA providers</w:t>
      </w:r>
      <w:bookmarkEnd w:id="1762"/>
      <w:bookmarkEnd w:id="1763"/>
    </w:p>
    <w:p w14:paraId="2BC1FEA4" w14:textId="77777777" w:rsidR="00E93F58" w:rsidRPr="00283424" w:rsidRDefault="00E93F58" w:rsidP="00B50726">
      <w:pPr>
        <w:pStyle w:val="ActHead5"/>
      </w:pPr>
      <w:bookmarkStart w:id="1764" w:name="_Toc152054858"/>
      <w:bookmarkStart w:id="1765" w:name="_Toc158712674"/>
      <w:r w:rsidRPr="006F296E">
        <w:rPr>
          <w:rStyle w:val="CharSectno"/>
        </w:rPr>
        <w:t>7.9.29</w:t>
      </w:r>
      <w:r w:rsidRPr="00283424">
        <w:rPr>
          <w:sz w:val="16"/>
        </w:rPr>
        <w:t xml:space="preserve">  </w:t>
      </w:r>
      <w:r w:rsidRPr="00283424">
        <w:t>Application of Subdivision 5.4</w:t>
      </w:r>
      <w:bookmarkEnd w:id="1764"/>
      <w:bookmarkEnd w:id="1765"/>
    </w:p>
    <w:p w14:paraId="4C5295D2" w14:textId="77777777" w:rsidR="00E93F58" w:rsidRPr="00283424" w:rsidRDefault="00E93F58" w:rsidP="00B50726">
      <w:pPr>
        <w:pStyle w:val="subsection"/>
      </w:pPr>
      <w:r w:rsidRPr="00283424">
        <w:rPr>
          <w:color w:val="000000"/>
        </w:rPr>
        <w:tab/>
      </w:r>
      <w:r w:rsidRPr="00283424">
        <w:rPr>
          <w:color w:val="000000"/>
        </w:rPr>
        <w:tab/>
        <w:t>This Subdivision applies in relation to a superannuation entity and an RSA provider.</w:t>
      </w:r>
    </w:p>
    <w:p w14:paraId="174A74A1" w14:textId="77777777" w:rsidR="00E93F58" w:rsidRPr="00283424" w:rsidRDefault="00E93F58" w:rsidP="00B50726">
      <w:pPr>
        <w:pStyle w:val="ActHead5"/>
      </w:pPr>
      <w:bookmarkStart w:id="1766" w:name="_Toc152054859"/>
      <w:bookmarkStart w:id="1767" w:name="_Toc158712675"/>
      <w:r w:rsidRPr="006F296E">
        <w:rPr>
          <w:rStyle w:val="CharSectno"/>
        </w:rPr>
        <w:t>7.9.30</w:t>
      </w:r>
      <w:r w:rsidRPr="00283424">
        <w:rPr>
          <w:sz w:val="16"/>
        </w:rPr>
        <w:t xml:space="preserve">  </w:t>
      </w:r>
      <w:r w:rsidRPr="00283424">
        <w:t>Additional information for change to choices</w:t>
      </w:r>
      <w:bookmarkEnd w:id="1766"/>
      <w:bookmarkEnd w:id="1767"/>
    </w:p>
    <w:p w14:paraId="1E690813" w14:textId="77777777" w:rsidR="00E93F58" w:rsidRPr="00283424" w:rsidRDefault="00E93F58" w:rsidP="00B50726">
      <w:pPr>
        <w:pStyle w:val="subsection"/>
        <w:keepNext/>
        <w:keepLines/>
      </w:pPr>
      <w:r w:rsidRPr="00283424">
        <w:tab/>
        <w:t>(1)</w:t>
      </w:r>
      <w:r w:rsidRPr="00283424">
        <w:tab/>
        <w:t>For paragraph 1017D(5)(g) of the Act, a periodic statement for a holder of a financial product must include, if relevant, either of the following details (in addition to the details mentioned in regulation 7.9.20 or 7.9.26, as appropriate):</w:t>
      </w:r>
    </w:p>
    <w:p w14:paraId="3E679499" w14:textId="77777777" w:rsidR="00E93F58" w:rsidRPr="00283424" w:rsidRDefault="00E93F58" w:rsidP="00B50726">
      <w:pPr>
        <w:pStyle w:val="paragraph"/>
      </w:pPr>
      <w:r w:rsidRPr="00283424">
        <w:tab/>
        <w:t>(a)</w:t>
      </w:r>
      <w:r w:rsidRPr="00283424">
        <w:tab/>
        <w:t>details of:</w:t>
      </w:r>
    </w:p>
    <w:p w14:paraId="26BC874D" w14:textId="77777777" w:rsidR="00E93F58" w:rsidRPr="00283424" w:rsidRDefault="00E93F58" w:rsidP="00B50726">
      <w:pPr>
        <w:pStyle w:val="paragraphsub"/>
      </w:pPr>
      <w:r w:rsidRPr="00283424">
        <w:rPr>
          <w:color w:val="000000"/>
        </w:rPr>
        <w:tab/>
        <w:t>(i)</w:t>
      </w:r>
      <w:r w:rsidRPr="00283424">
        <w:rPr>
          <w:color w:val="000000"/>
        </w:rPr>
        <w:tab/>
        <w:t xml:space="preserve">other investment strategies available to the holder </w:t>
      </w:r>
      <w:r w:rsidRPr="00283424">
        <w:t>(if applicable)</w:t>
      </w:r>
      <w:r w:rsidRPr="00283424">
        <w:rPr>
          <w:color w:val="000000"/>
        </w:rPr>
        <w:t>; and</w:t>
      </w:r>
    </w:p>
    <w:p w14:paraId="299F6705" w14:textId="77777777" w:rsidR="00E93F58" w:rsidRPr="00283424" w:rsidRDefault="00E93F58" w:rsidP="00B50726">
      <w:pPr>
        <w:pStyle w:val="paragraphsub"/>
      </w:pPr>
      <w:r w:rsidRPr="00283424">
        <w:tab/>
        <w:t>(ii)</w:t>
      </w:r>
      <w:r w:rsidRPr="00283424">
        <w:tab/>
        <w:t>other contribution levels available to the holder; and</w:t>
      </w:r>
    </w:p>
    <w:p w14:paraId="634000AF" w14:textId="77777777" w:rsidR="00E93F58" w:rsidRPr="00283424" w:rsidRDefault="00E93F58" w:rsidP="00B50726">
      <w:pPr>
        <w:pStyle w:val="paragraphsub"/>
      </w:pPr>
      <w:r w:rsidRPr="00283424">
        <w:tab/>
        <w:t>(iii)</w:t>
      </w:r>
      <w:r w:rsidRPr="00283424">
        <w:tab/>
        <w:t>other insurance coverage available to the holder in relation to the financial product;</w:t>
      </w:r>
    </w:p>
    <w:p w14:paraId="2967198F" w14:textId="77777777" w:rsidR="00E93F58" w:rsidRPr="00283424" w:rsidRDefault="00E93F58" w:rsidP="00B50726">
      <w:pPr>
        <w:pStyle w:val="paragraph"/>
      </w:pPr>
      <w:r w:rsidRPr="00283424">
        <w:tab/>
        <w:t>(b)</w:t>
      </w:r>
      <w:r w:rsidRPr="00283424">
        <w:tab/>
        <w:t>a statement:</w:t>
      </w:r>
    </w:p>
    <w:p w14:paraId="734C5092" w14:textId="77777777" w:rsidR="00E93F58" w:rsidRPr="00283424" w:rsidRDefault="00E93F58" w:rsidP="00B50726">
      <w:pPr>
        <w:pStyle w:val="paragraphsub"/>
        <w:rPr>
          <w:color w:val="000000"/>
        </w:rPr>
      </w:pPr>
      <w:r w:rsidRPr="00283424">
        <w:rPr>
          <w:color w:val="000000"/>
        </w:rPr>
        <w:tab/>
        <w:t>(i)</w:t>
      </w:r>
      <w:r w:rsidRPr="00283424">
        <w:rPr>
          <w:color w:val="000000"/>
        </w:rPr>
        <w:tab/>
        <w:t>that the details in paragraph (a) are available on request from the responsible person; and</w:t>
      </w:r>
    </w:p>
    <w:p w14:paraId="51BBF822" w14:textId="77777777" w:rsidR="00E93F58" w:rsidRPr="00283424" w:rsidRDefault="00E93F58" w:rsidP="00B50726">
      <w:pPr>
        <w:pStyle w:val="paragraphsub"/>
      </w:pPr>
      <w:r w:rsidRPr="00283424">
        <w:tab/>
        <w:t>(ii)</w:t>
      </w:r>
      <w:r w:rsidRPr="00283424">
        <w:tab/>
        <w:t>about how to ask for the details.</w:t>
      </w:r>
    </w:p>
    <w:p w14:paraId="332B1D60" w14:textId="77777777" w:rsidR="00E93F58" w:rsidRPr="00283424" w:rsidRDefault="00E93F58" w:rsidP="00B50726">
      <w:pPr>
        <w:pStyle w:val="subsection"/>
      </w:pPr>
      <w:r w:rsidRPr="00283424">
        <w:tab/>
        <w:t>(2)</w:t>
      </w:r>
      <w:r w:rsidRPr="00283424">
        <w:tab/>
        <w:t>The details or statement must relate to:</w:t>
      </w:r>
    </w:p>
    <w:p w14:paraId="1812AA5E" w14:textId="77777777" w:rsidR="00E93F58" w:rsidRPr="00283424" w:rsidRDefault="00E93F58" w:rsidP="00B50726">
      <w:pPr>
        <w:pStyle w:val="paragraph"/>
      </w:pPr>
      <w:r w:rsidRPr="00283424">
        <w:rPr>
          <w:color w:val="000000"/>
        </w:rPr>
        <w:tab/>
        <w:t>(a)</w:t>
      </w:r>
      <w:r w:rsidRPr="00283424">
        <w:rPr>
          <w:color w:val="000000"/>
        </w:rPr>
        <w:tab/>
        <w:t>an interest in the same sub</w:t>
      </w:r>
      <w:r>
        <w:rPr>
          <w:color w:val="000000"/>
        </w:rPr>
        <w:noBreakHyphen/>
      </w:r>
      <w:r w:rsidRPr="00283424">
        <w:rPr>
          <w:color w:val="000000"/>
        </w:rPr>
        <w:t>plan; or</w:t>
      </w:r>
    </w:p>
    <w:p w14:paraId="1F1E9E5C" w14:textId="77777777" w:rsidR="00E93F58" w:rsidRPr="00283424" w:rsidRDefault="00E93F58" w:rsidP="00B50726">
      <w:pPr>
        <w:pStyle w:val="paragraph"/>
      </w:pPr>
      <w:r w:rsidRPr="00283424">
        <w:tab/>
        <w:t>(b)</w:t>
      </w:r>
      <w:r w:rsidRPr="00283424">
        <w:tab/>
        <w:t>if there is no sub</w:t>
      </w:r>
      <w:r>
        <w:noBreakHyphen/>
      </w:r>
      <w:r w:rsidRPr="00283424">
        <w:t>plan—an interest in the same superannuation entity or an RSA.</w:t>
      </w:r>
    </w:p>
    <w:p w14:paraId="74ADEA76" w14:textId="77777777" w:rsidR="00E93F58" w:rsidRPr="00283424" w:rsidRDefault="00E93F58" w:rsidP="00B50726">
      <w:pPr>
        <w:pStyle w:val="subsection"/>
      </w:pPr>
      <w:r w:rsidRPr="00283424">
        <w:rPr>
          <w:color w:val="000000"/>
        </w:rPr>
        <w:tab/>
        <w:t>(3)</w:t>
      </w:r>
      <w:r w:rsidRPr="00283424">
        <w:rPr>
          <w:color w:val="000000"/>
        </w:rPr>
        <w:tab/>
        <w:t>For paragraph 1020G(1)(c) of the Act, Part 7.9 of the Act is modified in its application in relation to a superannuation entity and an RSA provider as set out in Part 9 of Schedule 10A.</w:t>
      </w:r>
    </w:p>
    <w:p w14:paraId="4F08B62A" w14:textId="77777777" w:rsidR="00E93F58" w:rsidRPr="00283424" w:rsidRDefault="00E93F58" w:rsidP="00B50726">
      <w:pPr>
        <w:pStyle w:val="ActHead4"/>
      </w:pPr>
      <w:bookmarkStart w:id="1768" w:name="_Toc152054860"/>
      <w:bookmarkStart w:id="1769" w:name="_Toc158712676"/>
      <w:r w:rsidRPr="006F296E">
        <w:rPr>
          <w:rStyle w:val="CharSubdNo"/>
        </w:rPr>
        <w:t>Subdivision 5.4A</w:t>
      </w:r>
      <w:r w:rsidRPr="00283424">
        <w:t>—</w:t>
      </w:r>
      <w:r w:rsidRPr="006F296E">
        <w:rPr>
          <w:rStyle w:val="CharSubdText"/>
        </w:rPr>
        <w:t>Periodic statements for retail clients for financial products that have an investment component: additional information for margin lending facilities</w:t>
      </w:r>
      <w:bookmarkEnd w:id="1768"/>
      <w:bookmarkEnd w:id="1769"/>
    </w:p>
    <w:p w14:paraId="1C41487F" w14:textId="77777777" w:rsidR="00E93F58" w:rsidRPr="00283424" w:rsidRDefault="00E93F58" w:rsidP="00B50726">
      <w:pPr>
        <w:pStyle w:val="ActHead5"/>
      </w:pPr>
      <w:bookmarkStart w:id="1770" w:name="_Toc152054861"/>
      <w:bookmarkStart w:id="1771" w:name="_Toc158712677"/>
      <w:r w:rsidRPr="006F296E">
        <w:rPr>
          <w:rStyle w:val="CharSectno"/>
        </w:rPr>
        <w:t>7.9.30A</w:t>
      </w:r>
      <w:r w:rsidRPr="00283424">
        <w:t xml:space="preserve">  Application of Subdivision 5.4A</w:t>
      </w:r>
      <w:bookmarkEnd w:id="1770"/>
      <w:bookmarkEnd w:id="1771"/>
    </w:p>
    <w:p w14:paraId="0F86DE72" w14:textId="77777777" w:rsidR="00E93F58" w:rsidRPr="00283424" w:rsidRDefault="00E93F58" w:rsidP="00B50726">
      <w:pPr>
        <w:pStyle w:val="subsection"/>
      </w:pPr>
      <w:r w:rsidRPr="00283424">
        <w:tab/>
        <w:t>(1)</w:t>
      </w:r>
      <w:r w:rsidRPr="00283424">
        <w:tab/>
        <w:t>This Subdivision applies in relation to the provider of a margin lending facility.</w:t>
      </w:r>
    </w:p>
    <w:p w14:paraId="441078A1" w14:textId="77777777" w:rsidR="00E93F58" w:rsidRPr="00283424" w:rsidRDefault="00E93F58" w:rsidP="00B50726">
      <w:pPr>
        <w:pStyle w:val="subsection"/>
      </w:pPr>
      <w:r w:rsidRPr="00283424">
        <w:tab/>
        <w:t>(2)</w:t>
      </w:r>
      <w:r w:rsidRPr="00283424">
        <w:tab/>
        <w:t>For the purposes of this Subdivision, subsection 1017D(5) of the Act is modified to omit paragraphs (a) to (f).</w:t>
      </w:r>
    </w:p>
    <w:p w14:paraId="46F0A1B0" w14:textId="77777777" w:rsidR="00E93F58" w:rsidRPr="00283424" w:rsidRDefault="00E93F58" w:rsidP="00B50726">
      <w:pPr>
        <w:pStyle w:val="notetext"/>
      </w:pPr>
      <w:r w:rsidRPr="00283424">
        <w:t>Note:</w:t>
      </w:r>
      <w:r w:rsidRPr="00283424">
        <w:tab/>
        <w:t>Paragraph 1020G(1)(c) of the Act provides that the regulations may provide that Part 7.9 of the Act applies as if specified provisions were omitted, modified or varied as specified in the regulations.</w:t>
      </w:r>
    </w:p>
    <w:p w14:paraId="1877B7AE" w14:textId="77777777" w:rsidR="00E93F58" w:rsidRPr="00283424" w:rsidRDefault="00E93F58" w:rsidP="00B50726">
      <w:pPr>
        <w:pStyle w:val="ActHead5"/>
      </w:pPr>
      <w:bookmarkStart w:id="1772" w:name="_Toc152054862"/>
      <w:bookmarkStart w:id="1773" w:name="_Toc158712678"/>
      <w:r w:rsidRPr="006F296E">
        <w:rPr>
          <w:rStyle w:val="CharSectno"/>
        </w:rPr>
        <w:lastRenderedPageBreak/>
        <w:t>7.9.30B</w:t>
      </w:r>
      <w:r w:rsidRPr="00283424">
        <w:t xml:space="preserve">  Details to be included in periodic statements for margin lending facilities</w:t>
      </w:r>
      <w:bookmarkEnd w:id="1772"/>
      <w:bookmarkEnd w:id="1773"/>
    </w:p>
    <w:p w14:paraId="43CE406A" w14:textId="77777777" w:rsidR="00E93F58" w:rsidRPr="00283424" w:rsidRDefault="00E93F58" w:rsidP="00B50726">
      <w:pPr>
        <w:pStyle w:val="subsection"/>
      </w:pPr>
      <w:r w:rsidRPr="00283424">
        <w:tab/>
      </w:r>
      <w:r w:rsidRPr="00283424">
        <w:tab/>
        <w:t>For paragraph 1017D(5)(g) of the Act, a periodic statement for a holder of a financial product must include the following details about the margin lending facility:</w:t>
      </w:r>
    </w:p>
    <w:p w14:paraId="5A89F0CE" w14:textId="77777777" w:rsidR="00E93F58" w:rsidRPr="00283424" w:rsidRDefault="00E93F58" w:rsidP="00B50726">
      <w:pPr>
        <w:pStyle w:val="paragraph"/>
      </w:pPr>
      <w:r w:rsidRPr="00283424">
        <w:tab/>
        <w:t>(a)</w:t>
      </w:r>
      <w:r w:rsidRPr="00283424">
        <w:tab/>
        <w:t>the outstanding loan amount;</w:t>
      </w:r>
    </w:p>
    <w:p w14:paraId="78E807EB" w14:textId="77777777" w:rsidR="00E93F58" w:rsidRPr="00283424" w:rsidRDefault="00E93F58" w:rsidP="00B50726">
      <w:pPr>
        <w:pStyle w:val="paragraph"/>
      </w:pPr>
      <w:r w:rsidRPr="00283424">
        <w:tab/>
        <w:t>(b)</w:t>
      </w:r>
      <w:r w:rsidRPr="00283424">
        <w:tab/>
        <w:t>the loan credit limit;</w:t>
      </w:r>
    </w:p>
    <w:p w14:paraId="7884B096" w14:textId="77777777" w:rsidR="00E93F58" w:rsidRPr="00283424" w:rsidRDefault="00E93F58" w:rsidP="00B50726">
      <w:pPr>
        <w:pStyle w:val="paragraph"/>
      </w:pPr>
      <w:r w:rsidRPr="00283424">
        <w:tab/>
        <w:t>(c)</w:t>
      </w:r>
      <w:r w:rsidRPr="00283424">
        <w:tab/>
        <w:t>the current interest rate, and any changes to the interest rate since the last statement was provided;</w:t>
      </w:r>
    </w:p>
    <w:p w14:paraId="15777231" w14:textId="77777777" w:rsidR="00E93F58" w:rsidRPr="00283424" w:rsidRDefault="00E93F58" w:rsidP="00B50726">
      <w:pPr>
        <w:pStyle w:val="paragraph"/>
      </w:pPr>
      <w:r w:rsidRPr="00283424">
        <w:tab/>
        <w:t>(d)</w:t>
      </w:r>
      <w:r w:rsidRPr="00283424">
        <w:tab/>
        <w:t>an itemised list of the property by which the credit is secured, including:</w:t>
      </w:r>
    </w:p>
    <w:p w14:paraId="2264737B" w14:textId="77777777" w:rsidR="00E93F58" w:rsidRPr="00283424" w:rsidRDefault="00E93F58" w:rsidP="00B50726">
      <w:pPr>
        <w:pStyle w:val="paragraphsub"/>
      </w:pPr>
      <w:r w:rsidRPr="00283424">
        <w:tab/>
        <w:t>(i)</w:t>
      </w:r>
      <w:r w:rsidRPr="00283424">
        <w:tab/>
        <w:t>the value of each item used for calculating the current LVR; and</w:t>
      </w:r>
    </w:p>
    <w:p w14:paraId="02AEF993" w14:textId="77777777" w:rsidR="00E93F58" w:rsidRPr="00283424" w:rsidRDefault="00E93F58" w:rsidP="00B50726">
      <w:pPr>
        <w:pStyle w:val="paragraphsub"/>
      </w:pPr>
      <w:r w:rsidRPr="00283424">
        <w:tab/>
        <w:t>(ii)</w:t>
      </w:r>
      <w:r w:rsidRPr="00283424">
        <w:tab/>
        <w:t>the loan to value ratio (if any) of each property item listed;</w:t>
      </w:r>
    </w:p>
    <w:p w14:paraId="0DA91F3F" w14:textId="77777777" w:rsidR="00E93F58" w:rsidRPr="00283424" w:rsidRDefault="00E93F58" w:rsidP="00B50726">
      <w:pPr>
        <w:pStyle w:val="paragraph"/>
      </w:pPr>
      <w:r w:rsidRPr="00283424">
        <w:tab/>
        <w:t>(e)</w:t>
      </w:r>
      <w:r w:rsidRPr="00283424">
        <w:tab/>
        <w:t>a summary of the loan to security ratios, showing separately:</w:t>
      </w:r>
    </w:p>
    <w:p w14:paraId="2C207920" w14:textId="77777777" w:rsidR="00E93F58" w:rsidRPr="00283424" w:rsidRDefault="00E93F58" w:rsidP="00B50726">
      <w:pPr>
        <w:pStyle w:val="paragraphsub"/>
      </w:pPr>
      <w:r w:rsidRPr="00283424">
        <w:tab/>
        <w:t>(i)</w:t>
      </w:r>
      <w:r w:rsidRPr="00283424">
        <w:tab/>
        <w:t>the allowable loan to security ratio; and</w:t>
      </w:r>
    </w:p>
    <w:p w14:paraId="74D384CF" w14:textId="77777777" w:rsidR="00E93F58" w:rsidRPr="00283424" w:rsidRDefault="00E93F58" w:rsidP="00B50726">
      <w:pPr>
        <w:pStyle w:val="paragraphsub"/>
      </w:pPr>
      <w:r w:rsidRPr="00283424">
        <w:tab/>
        <w:t>(ii)</w:t>
      </w:r>
      <w:r w:rsidRPr="00283424">
        <w:tab/>
        <w:t>the maximum loan to security ratio, including any buffer allowed under the terms of the facility; and</w:t>
      </w:r>
    </w:p>
    <w:p w14:paraId="719ADE46" w14:textId="77777777" w:rsidR="00E93F58" w:rsidRPr="00283424" w:rsidRDefault="00E93F58" w:rsidP="00B50726">
      <w:pPr>
        <w:pStyle w:val="paragraphsub"/>
      </w:pPr>
      <w:r w:rsidRPr="00283424">
        <w:tab/>
        <w:t>(iii)</w:t>
      </w:r>
      <w:r w:rsidRPr="00283424">
        <w:tab/>
        <w:t>the current LVR;</w:t>
      </w:r>
    </w:p>
    <w:p w14:paraId="5D4E24FB" w14:textId="77777777" w:rsidR="00E93F58" w:rsidRPr="00283424" w:rsidRDefault="00E93F58" w:rsidP="00B50726">
      <w:pPr>
        <w:pStyle w:val="paragraph"/>
      </w:pPr>
      <w:r w:rsidRPr="00283424">
        <w:tab/>
        <w:t>(f)</w:t>
      </w:r>
      <w:r w:rsidRPr="00283424">
        <w:tab/>
        <w:t>a summary of all transactions affecting the margin lending facility during the reporting period.</w:t>
      </w:r>
    </w:p>
    <w:p w14:paraId="19ED8D46" w14:textId="77777777" w:rsidR="00E93F58" w:rsidRPr="00283424" w:rsidRDefault="00E93F58" w:rsidP="00B50726">
      <w:pPr>
        <w:pStyle w:val="ActHead4"/>
      </w:pPr>
      <w:bookmarkStart w:id="1774" w:name="_Toc152054863"/>
      <w:bookmarkStart w:id="1775" w:name="_Toc158712679"/>
      <w:r w:rsidRPr="006F296E">
        <w:rPr>
          <w:rStyle w:val="CharSubdNo"/>
        </w:rPr>
        <w:t>Subdivision 5.5</w:t>
      </w:r>
      <w:r w:rsidRPr="00283424">
        <w:rPr>
          <w:sz w:val="16"/>
        </w:rPr>
        <w:t>—</w:t>
      </w:r>
      <w:r w:rsidRPr="006F296E">
        <w:rPr>
          <w:rStyle w:val="CharSubdText"/>
        </w:rPr>
        <w:t>Fund information for retail clients for financial products that have an investment component: superannuation</w:t>
      </w:r>
      <w:bookmarkEnd w:id="1774"/>
      <w:bookmarkEnd w:id="1775"/>
    </w:p>
    <w:p w14:paraId="495172F9" w14:textId="77777777" w:rsidR="00E93F58" w:rsidRPr="00283424" w:rsidRDefault="00E93F58" w:rsidP="00B50726">
      <w:pPr>
        <w:pStyle w:val="ActHead5"/>
      </w:pPr>
      <w:bookmarkStart w:id="1776" w:name="_Toc152054864"/>
      <w:bookmarkStart w:id="1777" w:name="_Toc158712680"/>
      <w:r w:rsidRPr="006F296E">
        <w:rPr>
          <w:rStyle w:val="CharSectno"/>
        </w:rPr>
        <w:t>7.9.31</w:t>
      </w:r>
      <w:r w:rsidRPr="00283424">
        <w:rPr>
          <w:sz w:val="16"/>
        </w:rPr>
        <w:t xml:space="preserve">  </w:t>
      </w:r>
      <w:r w:rsidRPr="00283424">
        <w:t>Application of Subdivision 5.5</w:t>
      </w:r>
      <w:bookmarkEnd w:id="1776"/>
      <w:bookmarkEnd w:id="1777"/>
    </w:p>
    <w:p w14:paraId="54B48B4E" w14:textId="77777777" w:rsidR="00E93F58" w:rsidRPr="00283424" w:rsidRDefault="00E93F58" w:rsidP="00B50726">
      <w:pPr>
        <w:pStyle w:val="subsection"/>
      </w:pPr>
      <w:r w:rsidRPr="00283424">
        <w:tab/>
      </w:r>
      <w:r w:rsidRPr="00283424">
        <w:tab/>
        <w:t>This Subdivision applies in relation to:</w:t>
      </w:r>
    </w:p>
    <w:p w14:paraId="2D5108CD" w14:textId="77777777" w:rsidR="00E93F58" w:rsidRPr="00283424" w:rsidRDefault="00E93F58" w:rsidP="00B50726">
      <w:pPr>
        <w:pStyle w:val="paragraph"/>
      </w:pPr>
      <w:r w:rsidRPr="00283424">
        <w:rPr>
          <w:color w:val="000000"/>
        </w:rPr>
        <w:tab/>
        <w:t>(a)</w:t>
      </w:r>
      <w:r w:rsidRPr="00283424">
        <w:rPr>
          <w:color w:val="000000"/>
        </w:rPr>
        <w:tab/>
        <w:t>a regulated superannuation fund; and</w:t>
      </w:r>
    </w:p>
    <w:p w14:paraId="18CB75AB" w14:textId="77777777" w:rsidR="00E93F58" w:rsidRPr="00283424" w:rsidRDefault="00E93F58" w:rsidP="00B50726">
      <w:pPr>
        <w:pStyle w:val="paragraph"/>
      </w:pPr>
      <w:r w:rsidRPr="00283424">
        <w:tab/>
        <w:t>(b)</w:t>
      </w:r>
      <w:r w:rsidRPr="00283424">
        <w:tab/>
        <w:t>an approved deposit fund; and</w:t>
      </w:r>
    </w:p>
    <w:p w14:paraId="506DE8C0" w14:textId="77777777" w:rsidR="00E93F58" w:rsidRPr="00283424" w:rsidRDefault="00E93F58" w:rsidP="00B50726">
      <w:pPr>
        <w:pStyle w:val="paragraph"/>
      </w:pPr>
      <w:r w:rsidRPr="00283424">
        <w:tab/>
        <w:t>(c)</w:t>
      </w:r>
      <w:r w:rsidRPr="00283424">
        <w:tab/>
        <w:t>a pooled superannuation trust.</w:t>
      </w:r>
    </w:p>
    <w:p w14:paraId="23870078" w14:textId="77777777" w:rsidR="00E93F58" w:rsidRPr="00AA751B" w:rsidRDefault="00E93F58" w:rsidP="00C9171A">
      <w:pPr>
        <w:pStyle w:val="ActHead5"/>
      </w:pPr>
      <w:bookmarkStart w:id="1778" w:name="_Toc152054865"/>
      <w:bookmarkStart w:id="1779" w:name="_Toc158712681"/>
      <w:r w:rsidRPr="006F296E">
        <w:rPr>
          <w:rStyle w:val="CharSectno"/>
        </w:rPr>
        <w:t>7.9.31A</w:t>
      </w:r>
      <w:r w:rsidRPr="00AA751B">
        <w:t xml:space="preserve">  Trustee of superannuation entity must provide fund information to holders of interests in the entity</w:t>
      </w:r>
      <w:bookmarkEnd w:id="1778"/>
      <w:bookmarkEnd w:id="1779"/>
    </w:p>
    <w:p w14:paraId="0D29B298" w14:textId="77777777" w:rsidR="00E93F58" w:rsidRPr="00AA751B" w:rsidRDefault="00E93F58" w:rsidP="00C9171A">
      <w:pPr>
        <w:pStyle w:val="subsection"/>
      </w:pPr>
      <w:r w:rsidRPr="00AA751B">
        <w:tab/>
      </w:r>
      <w:r w:rsidRPr="00AA751B">
        <w:tab/>
        <w:t>For the purposes of paragraph 1017DA(1)(a) of the Act, the trustee of a superannuation entity must provide the holder of a superannuation product (being an interest in that entity) with the following fund information relating to the entity and any relevant sub</w:t>
      </w:r>
      <w:r>
        <w:noBreakHyphen/>
      </w:r>
      <w:r w:rsidRPr="00AA751B">
        <w:t>plan (within the meaning of section 1017C of the Act):</w:t>
      </w:r>
    </w:p>
    <w:p w14:paraId="13B53123" w14:textId="77777777" w:rsidR="00E93F58" w:rsidRPr="00AA751B" w:rsidRDefault="00E93F58" w:rsidP="00C9171A">
      <w:pPr>
        <w:pStyle w:val="paragraph"/>
      </w:pPr>
      <w:r w:rsidRPr="00AA751B">
        <w:tab/>
        <w:t>(a)</w:t>
      </w:r>
      <w:r w:rsidRPr="00AA751B">
        <w:tab/>
        <w:t>if the entity is not a self managed superannuation fund—the name and ABN of each outsourced service provider that has provided, at any time in the previous 12 months, a service which may affect a material business activity of the entity;</w:t>
      </w:r>
    </w:p>
    <w:p w14:paraId="292ABCDF" w14:textId="77777777" w:rsidR="00E93F58" w:rsidRPr="00AA751B" w:rsidRDefault="00E93F58" w:rsidP="00C9171A">
      <w:pPr>
        <w:pStyle w:val="paragraph"/>
      </w:pPr>
      <w:r w:rsidRPr="00AA751B">
        <w:tab/>
        <w:t>(b)</w:t>
      </w:r>
      <w:r w:rsidRPr="00AA751B">
        <w:tab/>
        <w:t>if the entity is not a self managed superannuation fund—the following information about each member of the key management personnel of the entity:</w:t>
      </w:r>
    </w:p>
    <w:p w14:paraId="679C707B" w14:textId="77777777" w:rsidR="00E93F58" w:rsidRPr="00AA751B" w:rsidRDefault="00E93F58" w:rsidP="00C9171A">
      <w:pPr>
        <w:pStyle w:val="paragraphsub"/>
      </w:pPr>
      <w:r w:rsidRPr="00AA751B">
        <w:tab/>
        <w:t>(i)</w:t>
      </w:r>
      <w:r w:rsidRPr="00AA751B">
        <w:tab/>
        <w:t>the member’s name;</w:t>
      </w:r>
    </w:p>
    <w:p w14:paraId="779404BC" w14:textId="77777777" w:rsidR="00E93F58" w:rsidRPr="00AA751B" w:rsidRDefault="00E93F58" w:rsidP="00C9171A">
      <w:pPr>
        <w:pStyle w:val="paragraphsub"/>
      </w:pPr>
      <w:r w:rsidRPr="00AA751B">
        <w:tab/>
        <w:t>(ii)</w:t>
      </w:r>
      <w:r w:rsidRPr="00AA751B">
        <w:tab/>
        <w:t>the member’s qualifications;</w:t>
      </w:r>
    </w:p>
    <w:p w14:paraId="04868946" w14:textId="77777777" w:rsidR="00E93F58" w:rsidRPr="00AA751B" w:rsidRDefault="00E93F58" w:rsidP="00C9171A">
      <w:pPr>
        <w:pStyle w:val="paragraphsub"/>
      </w:pPr>
      <w:r w:rsidRPr="00AA751B">
        <w:tab/>
        <w:t>(iii)</w:t>
      </w:r>
      <w:r w:rsidRPr="00AA751B">
        <w:tab/>
        <w:t>a summary of the member’s experience as a trustee or board member, including the periods during which the member served as a trustee or board member;</w:t>
      </w:r>
    </w:p>
    <w:p w14:paraId="384D0857" w14:textId="77777777" w:rsidR="00E93F58" w:rsidRPr="00AA751B" w:rsidRDefault="00E93F58" w:rsidP="00C9171A">
      <w:pPr>
        <w:pStyle w:val="paragraph"/>
      </w:pPr>
      <w:r w:rsidRPr="00AA751B">
        <w:tab/>
        <w:t>(c)</w:t>
      </w:r>
      <w:r w:rsidRPr="00AA751B">
        <w:tab/>
        <w:t>if the entity is not a self managed superannuation fund—the record of attendance at board meetings for each director of the entity for:</w:t>
      </w:r>
    </w:p>
    <w:p w14:paraId="7E45B723" w14:textId="77777777" w:rsidR="00E93F58" w:rsidRPr="00AA751B" w:rsidRDefault="00E93F58" w:rsidP="00C9171A">
      <w:pPr>
        <w:pStyle w:val="paragraphsub"/>
      </w:pPr>
      <w:r w:rsidRPr="00AA751B">
        <w:tab/>
        <w:t>(i)</w:t>
      </w:r>
      <w:r w:rsidRPr="00AA751B">
        <w:tab/>
        <w:t>the last 7 financial years; or</w:t>
      </w:r>
    </w:p>
    <w:p w14:paraId="538FA922" w14:textId="77777777" w:rsidR="00E93F58" w:rsidRPr="00AA751B" w:rsidRDefault="00E93F58" w:rsidP="00C9171A">
      <w:pPr>
        <w:pStyle w:val="paragraphsub"/>
      </w:pPr>
      <w:r w:rsidRPr="00AA751B">
        <w:tab/>
        <w:t>(ii)</w:t>
      </w:r>
      <w:r w:rsidRPr="00AA751B">
        <w:tab/>
        <w:t>if a director has served for a period of less than 7 years—that period;</w:t>
      </w:r>
    </w:p>
    <w:p w14:paraId="49585B16" w14:textId="77777777" w:rsidR="00E93F58" w:rsidRPr="00AA751B" w:rsidRDefault="00E93F58" w:rsidP="00C9171A">
      <w:pPr>
        <w:pStyle w:val="paragraph"/>
      </w:pPr>
      <w:r w:rsidRPr="00AA751B">
        <w:tab/>
        <w:t>(d)</w:t>
      </w:r>
      <w:r w:rsidRPr="00AA751B">
        <w:tab/>
        <w:t>the fund information specified in Subdivisions 5.6 and 5.7 of this Division that is applicable to the entity.</w:t>
      </w:r>
    </w:p>
    <w:p w14:paraId="5DAB3DBF" w14:textId="77777777" w:rsidR="00E93F58" w:rsidRPr="00AA751B" w:rsidRDefault="00E93F58" w:rsidP="00C9171A">
      <w:pPr>
        <w:pStyle w:val="ActHead5"/>
      </w:pPr>
      <w:bookmarkStart w:id="1780" w:name="_Toc152054866"/>
      <w:bookmarkStart w:id="1781" w:name="_Toc158712682"/>
      <w:r w:rsidRPr="006F296E">
        <w:rPr>
          <w:rStyle w:val="CharSectno"/>
        </w:rPr>
        <w:t>7.9.32</w:t>
      </w:r>
      <w:r w:rsidRPr="00AA751B">
        <w:t xml:space="preserve">  Fund information must be provided for each fund reporting period</w:t>
      </w:r>
      <w:bookmarkEnd w:id="1780"/>
      <w:bookmarkEnd w:id="1781"/>
    </w:p>
    <w:p w14:paraId="0D6CB1AA" w14:textId="77777777" w:rsidR="00E93F58" w:rsidRPr="00AA751B" w:rsidRDefault="00E93F58" w:rsidP="00C9171A">
      <w:pPr>
        <w:pStyle w:val="subsection"/>
      </w:pPr>
      <w:r w:rsidRPr="00AA751B">
        <w:tab/>
        <w:t>(1)</w:t>
      </w:r>
      <w:r w:rsidRPr="00AA751B">
        <w:tab/>
        <w:t>For the purposes of subsection 1017DA(1) of the Act, fund information must be provided, in accordance with this regulation, to the product holder, for each fund reporting period during which the holder holds the product.</w:t>
      </w:r>
    </w:p>
    <w:p w14:paraId="1DE8821A" w14:textId="77777777" w:rsidR="00E93F58" w:rsidRPr="00283424" w:rsidRDefault="00E93F58" w:rsidP="00B50726">
      <w:pPr>
        <w:pStyle w:val="subsection"/>
      </w:pPr>
      <w:r w:rsidRPr="00283424">
        <w:tab/>
        <w:t>(2)</w:t>
      </w:r>
      <w:r w:rsidRPr="00283424">
        <w:tab/>
        <w:t>The following provisions apply in relation to fund reporting periods:</w:t>
      </w:r>
    </w:p>
    <w:p w14:paraId="7BD3F3E3" w14:textId="77777777" w:rsidR="00E93F58" w:rsidRPr="00283424" w:rsidRDefault="00E93F58" w:rsidP="00B50726">
      <w:pPr>
        <w:pStyle w:val="paragraph"/>
      </w:pPr>
      <w:r w:rsidRPr="00283424">
        <w:tab/>
        <w:t>(a)</w:t>
      </w:r>
      <w:r w:rsidRPr="00283424">
        <w:tab/>
        <w:t>each reporting period lasts for:</w:t>
      </w:r>
    </w:p>
    <w:p w14:paraId="0D404082" w14:textId="77777777" w:rsidR="00E93F58" w:rsidRPr="00283424" w:rsidRDefault="00E93F58" w:rsidP="00B50726">
      <w:pPr>
        <w:pStyle w:val="paragraphsub"/>
      </w:pPr>
      <w:r w:rsidRPr="00283424">
        <w:rPr>
          <w:color w:val="000000"/>
        </w:rPr>
        <w:tab/>
        <w:t>(i)</w:t>
      </w:r>
      <w:r w:rsidRPr="00283424">
        <w:rPr>
          <w:color w:val="000000"/>
        </w:rPr>
        <w:tab/>
        <w:t>a period not exceeding 1 year, fixed by the issuer; or</w:t>
      </w:r>
    </w:p>
    <w:p w14:paraId="74F76436" w14:textId="77777777" w:rsidR="00E93F58" w:rsidRPr="00283424" w:rsidRDefault="00E93F58" w:rsidP="00B50726">
      <w:pPr>
        <w:pStyle w:val="paragraphsub"/>
      </w:pPr>
      <w:r w:rsidRPr="00283424">
        <w:lastRenderedPageBreak/>
        <w:tab/>
        <w:t>(ii)</w:t>
      </w:r>
      <w:r w:rsidRPr="00283424">
        <w:tab/>
        <w:t>a longer period fixed by ASIC on the application of the issuer to which the period relates;</w:t>
      </w:r>
    </w:p>
    <w:p w14:paraId="51CC532B" w14:textId="77777777" w:rsidR="00E93F58" w:rsidRPr="00283424" w:rsidRDefault="00E93F58" w:rsidP="00B50726">
      <w:pPr>
        <w:pStyle w:val="paragraph"/>
      </w:pPr>
      <w:r w:rsidRPr="00283424">
        <w:rPr>
          <w:color w:val="000000"/>
        </w:rPr>
        <w:tab/>
        <w:t>(b)</w:t>
      </w:r>
      <w:r w:rsidRPr="00283424">
        <w:rPr>
          <w:color w:val="000000"/>
        </w:rPr>
        <w:tab/>
        <w:t>the first reporting period starts when the holder acquired the product;</w:t>
      </w:r>
    </w:p>
    <w:p w14:paraId="269F73A9" w14:textId="77777777" w:rsidR="00E93F58" w:rsidRPr="00283424" w:rsidRDefault="00E93F58" w:rsidP="00B50726">
      <w:pPr>
        <w:pStyle w:val="paragraph"/>
      </w:pPr>
      <w:r w:rsidRPr="00283424">
        <w:tab/>
        <w:t>(c)</w:t>
      </w:r>
      <w:r w:rsidRPr="00283424">
        <w:tab/>
        <w:t>each subsequent reporting period starts at the end of the preceding reporting period.</w:t>
      </w:r>
    </w:p>
    <w:p w14:paraId="4E24E878" w14:textId="77777777" w:rsidR="00E93F58" w:rsidRPr="00AA751B" w:rsidRDefault="00E93F58" w:rsidP="00C9171A">
      <w:pPr>
        <w:pStyle w:val="subsection"/>
      </w:pPr>
      <w:r w:rsidRPr="00AA751B">
        <w:tab/>
        <w:t>(3)</w:t>
      </w:r>
      <w:r w:rsidRPr="00AA751B">
        <w:tab/>
        <w:t>Fund information for a fund reporting period must be provided as soon as practicable after, and in any event within 6 months after, the end of the reporting period.</w:t>
      </w:r>
    </w:p>
    <w:p w14:paraId="78F727C5" w14:textId="77777777" w:rsidR="00E93F58" w:rsidRPr="001C4A59" w:rsidRDefault="00E93F58" w:rsidP="00967647">
      <w:pPr>
        <w:pStyle w:val="subsection"/>
      </w:pPr>
      <w:r w:rsidRPr="001C4A59">
        <w:tab/>
        <w:t>(5)</w:t>
      </w:r>
      <w:r w:rsidRPr="001C4A59">
        <w:tab/>
        <w:t>Fund information in relation to a particular product holder need not all be provided in respect of the same fund reporting period.</w:t>
      </w:r>
    </w:p>
    <w:p w14:paraId="3CBDAB26" w14:textId="77777777" w:rsidR="00E93F58" w:rsidRPr="001C4A59" w:rsidRDefault="00E93F58" w:rsidP="00967647">
      <w:pPr>
        <w:pStyle w:val="SubsectionHead"/>
      </w:pPr>
      <w:r w:rsidRPr="001C4A59">
        <w:t>Fund information must be provided on website and, if holder elects, in hard copy or electronic copy</w:t>
      </w:r>
    </w:p>
    <w:p w14:paraId="535BB0F0" w14:textId="77777777" w:rsidR="00E93F58" w:rsidRPr="001C4A59" w:rsidRDefault="00E93F58" w:rsidP="00967647">
      <w:pPr>
        <w:pStyle w:val="subsection"/>
      </w:pPr>
      <w:r w:rsidRPr="001C4A59">
        <w:tab/>
        <w:t>(6)</w:t>
      </w:r>
      <w:r w:rsidRPr="001C4A59">
        <w:tab/>
        <w:t>The trustee must provide fund information for a fund reporting period to a product holder:</w:t>
      </w:r>
    </w:p>
    <w:p w14:paraId="7F9FC2BF" w14:textId="77777777" w:rsidR="00E93F58" w:rsidRPr="001C4A59" w:rsidRDefault="00E93F58" w:rsidP="00967647">
      <w:pPr>
        <w:pStyle w:val="paragraph"/>
      </w:pPr>
      <w:r w:rsidRPr="001C4A59">
        <w:tab/>
        <w:t>(a)</w:t>
      </w:r>
      <w:r w:rsidRPr="001C4A59">
        <w:tab/>
        <w:t>by making the fund information publicly available on the superannuation entity’s website; and</w:t>
      </w:r>
    </w:p>
    <w:p w14:paraId="2EFF183E" w14:textId="77777777" w:rsidR="00E93F58" w:rsidRPr="001C4A59" w:rsidRDefault="00E93F58" w:rsidP="00967647">
      <w:pPr>
        <w:pStyle w:val="paragraph"/>
      </w:pPr>
      <w:r w:rsidRPr="001C4A59">
        <w:tab/>
        <w:t>(b)</w:t>
      </w:r>
      <w:r w:rsidRPr="001C4A59">
        <w:tab/>
        <w:t>if the holder elects to have a hard copy or electronic copy of the fund information—by sending the fund information to the holder, in that form, until the holder notifies the trustee that a hard copy or electronic copy is no longer required.</w:t>
      </w:r>
    </w:p>
    <w:p w14:paraId="0B51C9EF" w14:textId="77777777" w:rsidR="00E93F58" w:rsidRPr="001C4A59" w:rsidRDefault="00E93F58" w:rsidP="00967647">
      <w:pPr>
        <w:pStyle w:val="subsection"/>
      </w:pPr>
      <w:r w:rsidRPr="001C4A59">
        <w:tab/>
        <w:t>(7)</w:t>
      </w:r>
      <w:r w:rsidRPr="001C4A59">
        <w:tab/>
        <w:t>Fund information for a fund reporting period must be readily accessible from the entity’s website.</w:t>
      </w:r>
    </w:p>
    <w:p w14:paraId="5BBC8D45" w14:textId="77777777" w:rsidR="00E93F58" w:rsidRPr="001C4A59" w:rsidRDefault="00E93F58" w:rsidP="00967647">
      <w:pPr>
        <w:pStyle w:val="subsection"/>
      </w:pPr>
      <w:r w:rsidRPr="001C4A59">
        <w:tab/>
        <w:t>(8)</w:t>
      </w:r>
      <w:r w:rsidRPr="001C4A59">
        <w:tab/>
        <w:t>Subregulations (6) and (7) do not apply to a self managed superannuation fund.</w:t>
      </w:r>
    </w:p>
    <w:p w14:paraId="6B8479CA" w14:textId="77777777" w:rsidR="00E93F58" w:rsidRPr="00283424" w:rsidRDefault="00E93F58" w:rsidP="00B50726">
      <w:pPr>
        <w:pStyle w:val="ActHead5"/>
      </w:pPr>
      <w:bookmarkStart w:id="1782" w:name="_Toc152054867"/>
      <w:bookmarkStart w:id="1783" w:name="_Toc158712683"/>
      <w:r w:rsidRPr="006F296E">
        <w:rPr>
          <w:rStyle w:val="CharSectno"/>
        </w:rPr>
        <w:t>7.9.33</w:t>
      </w:r>
      <w:r w:rsidRPr="00283424">
        <w:t xml:space="preserve">  Use of more than 1 document</w:t>
      </w:r>
      <w:bookmarkEnd w:id="1782"/>
      <w:bookmarkEnd w:id="1783"/>
    </w:p>
    <w:p w14:paraId="54411F89" w14:textId="77777777" w:rsidR="00E93F58" w:rsidRPr="00283424" w:rsidRDefault="00E93F58" w:rsidP="00B50726">
      <w:pPr>
        <w:pStyle w:val="subsection"/>
      </w:pPr>
      <w:r w:rsidRPr="00283424">
        <w:tab/>
      </w:r>
      <w:r w:rsidRPr="00283424">
        <w:tab/>
      </w:r>
      <w:r w:rsidRPr="00AA751B">
        <w:t>For the purposes of subsection 1017DA(1) of the Act, a reference in Subdivisions 5.5 to 5.7 of this Division to fund information</w:t>
      </w:r>
      <w:r w:rsidRPr="00283424">
        <w:t>:</w:t>
      </w:r>
    </w:p>
    <w:p w14:paraId="6163AD00" w14:textId="77777777" w:rsidR="00E93F58" w:rsidRPr="00283424" w:rsidRDefault="00E93F58" w:rsidP="00B50726">
      <w:pPr>
        <w:pStyle w:val="paragraph"/>
      </w:pPr>
      <w:r w:rsidRPr="00283424">
        <w:rPr>
          <w:color w:val="000000"/>
        </w:rPr>
        <w:tab/>
        <w:t>(a)</w:t>
      </w:r>
      <w:r w:rsidRPr="00283424">
        <w:rPr>
          <w:color w:val="000000"/>
        </w:rPr>
        <w:tab/>
        <w:t>includes 2 or more documents that include all of the information required by those Subdivisions; and</w:t>
      </w:r>
    </w:p>
    <w:p w14:paraId="47F0B7DC" w14:textId="77777777" w:rsidR="00E93F58" w:rsidRPr="00283424" w:rsidRDefault="00E93F58" w:rsidP="00B50726">
      <w:pPr>
        <w:pStyle w:val="paragraph"/>
      </w:pPr>
      <w:r w:rsidRPr="00283424">
        <w:tab/>
        <w:t>(b)</w:t>
      </w:r>
      <w:r w:rsidRPr="00283424">
        <w:tab/>
        <w:t xml:space="preserve">is to be read as if subsections 1013L(1), (2), (3), (5) and (7) of the Act were included in those Subdivisions, and referred to </w:t>
      </w:r>
      <w:r w:rsidRPr="00AA751B">
        <w:t>fund information</w:t>
      </w:r>
      <w:r w:rsidRPr="00283424">
        <w:t xml:space="preserve"> instead of a Product Disclosure Statement.</w:t>
      </w:r>
    </w:p>
    <w:p w14:paraId="78CA4B1C" w14:textId="77777777" w:rsidR="00E93F58" w:rsidRPr="00283424" w:rsidRDefault="00E93F58" w:rsidP="00B50726">
      <w:pPr>
        <w:pStyle w:val="ActHead4"/>
      </w:pPr>
      <w:bookmarkStart w:id="1784" w:name="_Toc152054868"/>
      <w:bookmarkStart w:id="1785" w:name="_Toc158712684"/>
      <w:r w:rsidRPr="006F296E">
        <w:rPr>
          <w:rStyle w:val="CharSubdNo"/>
        </w:rPr>
        <w:t>Subdivision 5.6</w:t>
      </w:r>
      <w:r w:rsidRPr="00283424">
        <w:t>—</w:t>
      </w:r>
      <w:r w:rsidRPr="006F296E">
        <w:rPr>
          <w:rStyle w:val="CharSubdText"/>
        </w:rPr>
        <w:t xml:space="preserve">Fund information for retail clients for financial products that have an investment component: fund information for regulated superannuation funds and </w:t>
      </w:r>
      <w:r w:rsidRPr="00B37A1E">
        <w:rPr>
          <w:rStyle w:val="CharSubdText"/>
        </w:rPr>
        <w:t>approved deposit funds</w:t>
      </w:r>
      <w:bookmarkEnd w:id="1784"/>
      <w:bookmarkEnd w:id="1785"/>
    </w:p>
    <w:p w14:paraId="03B0695C" w14:textId="77777777" w:rsidR="00E93F58" w:rsidRPr="00283424" w:rsidRDefault="00E93F58" w:rsidP="00B50726">
      <w:pPr>
        <w:pStyle w:val="ActHead5"/>
      </w:pPr>
      <w:bookmarkStart w:id="1786" w:name="_Toc152054869"/>
      <w:bookmarkStart w:id="1787" w:name="_Toc158712685"/>
      <w:r w:rsidRPr="006F296E">
        <w:rPr>
          <w:rStyle w:val="CharSectno"/>
        </w:rPr>
        <w:t>7.9.34</w:t>
      </w:r>
      <w:r w:rsidRPr="00283424">
        <w:t xml:space="preserve">  Application of Subdivision 5.6</w:t>
      </w:r>
      <w:bookmarkEnd w:id="1786"/>
      <w:bookmarkEnd w:id="1787"/>
    </w:p>
    <w:p w14:paraId="21C6AF63" w14:textId="77777777" w:rsidR="00E93F58" w:rsidRPr="00283424" w:rsidRDefault="00E93F58" w:rsidP="00B50726">
      <w:pPr>
        <w:pStyle w:val="subsection"/>
      </w:pPr>
      <w:r w:rsidRPr="00283424">
        <w:tab/>
      </w:r>
      <w:r w:rsidRPr="00283424">
        <w:tab/>
        <w:t>This Subdivision applies in relation to:</w:t>
      </w:r>
    </w:p>
    <w:p w14:paraId="5E432EF2" w14:textId="77777777" w:rsidR="00E93F58" w:rsidRPr="00283424" w:rsidRDefault="00E93F58" w:rsidP="00B50726">
      <w:pPr>
        <w:pStyle w:val="paragraph"/>
      </w:pPr>
      <w:r w:rsidRPr="00283424">
        <w:rPr>
          <w:color w:val="000000"/>
        </w:rPr>
        <w:tab/>
        <w:t>(a)</w:t>
      </w:r>
      <w:r w:rsidRPr="00283424">
        <w:rPr>
          <w:color w:val="000000"/>
        </w:rPr>
        <w:tab/>
        <w:t>a regulated superannuation fund; and</w:t>
      </w:r>
    </w:p>
    <w:p w14:paraId="526CECC7" w14:textId="77777777" w:rsidR="00E93F58" w:rsidRPr="00283424" w:rsidRDefault="00E93F58" w:rsidP="00B50726">
      <w:pPr>
        <w:pStyle w:val="paragraph"/>
      </w:pPr>
      <w:r w:rsidRPr="00283424">
        <w:tab/>
        <w:t>(b)</w:t>
      </w:r>
      <w:r w:rsidRPr="00283424">
        <w:tab/>
        <w:t>an approved deposit fund.</w:t>
      </w:r>
    </w:p>
    <w:p w14:paraId="37C47997" w14:textId="77777777" w:rsidR="00E93F58" w:rsidRPr="00283424" w:rsidRDefault="00E93F58" w:rsidP="00B50726">
      <w:pPr>
        <w:pStyle w:val="ActHead5"/>
      </w:pPr>
      <w:bookmarkStart w:id="1788" w:name="_Toc152054870"/>
      <w:bookmarkStart w:id="1789" w:name="_Toc158712686"/>
      <w:r w:rsidRPr="006F296E">
        <w:rPr>
          <w:rStyle w:val="CharSectno"/>
        </w:rPr>
        <w:t>7.9.35</w:t>
      </w:r>
      <w:r w:rsidRPr="00283424">
        <w:t xml:space="preserve">  General requirement</w:t>
      </w:r>
      <w:bookmarkEnd w:id="1788"/>
      <w:bookmarkEnd w:id="1789"/>
    </w:p>
    <w:p w14:paraId="077973E5" w14:textId="77777777" w:rsidR="00E93F58" w:rsidRPr="00283424" w:rsidRDefault="00E93F58" w:rsidP="00B50726">
      <w:pPr>
        <w:pStyle w:val="subsection"/>
        <w:keepNext/>
        <w:keepLines/>
      </w:pPr>
      <w:r w:rsidRPr="00283424">
        <w:tab/>
      </w:r>
      <w:r w:rsidRPr="00283424">
        <w:tab/>
      </w:r>
      <w:r w:rsidRPr="00AA751B">
        <w:t>Fund information includes</w:t>
      </w:r>
      <w:r w:rsidRPr="00283424">
        <w:t xml:space="preserve"> all information that the responsible person reasonably believes a product holder would reasonably need for the purpose of:</w:t>
      </w:r>
    </w:p>
    <w:p w14:paraId="595FCA18" w14:textId="77777777" w:rsidR="00E93F58" w:rsidRPr="00283424" w:rsidRDefault="00E93F58" w:rsidP="00B50726">
      <w:pPr>
        <w:pStyle w:val="paragraph"/>
      </w:pPr>
      <w:r w:rsidRPr="00283424">
        <w:rPr>
          <w:color w:val="000000"/>
        </w:rPr>
        <w:tab/>
        <w:t>(a)</w:t>
      </w:r>
      <w:r w:rsidRPr="00283424">
        <w:rPr>
          <w:color w:val="000000"/>
        </w:rPr>
        <w:tab/>
        <w:t>understanding the management and financial condition of the fund and of the relevant sub</w:t>
      </w:r>
      <w:r>
        <w:rPr>
          <w:color w:val="000000"/>
        </w:rPr>
        <w:noBreakHyphen/>
      </w:r>
      <w:r w:rsidRPr="00283424">
        <w:rPr>
          <w:color w:val="000000"/>
        </w:rPr>
        <w:t>plan (if any); and</w:t>
      </w:r>
    </w:p>
    <w:p w14:paraId="4AD8D382" w14:textId="77777777" w:rsidR="00E93F58" w:rsidRPr="00283424" w:rsidRDefault="00E93F58" w:rsidP="00B50726">
      <w:pPr>
        <w:pStyle w:val="paragraph"/>
      </w:pPr>
      <w:r w:rsidRPr="00283424">
        <w:tab/>
        <w:t>(b)</w:t>
      </w:r>
      <w:r w:rsidRPr="00283424">
        <w:tab/>
        <w:t>understanding the investment performance of the relevant sub</w:t>
      </w:r>
      <w:r>
        <w:noBreakHyphen/>
      </w:r>
      <w:r w:rsidRPr="00283424">
        <w:t>plan or, if none, of the fund.</w:t>
      </w:r>
    </w:p>
    <w:p w14:paraId="7B37056E" w14:textId="77777777" w:rsidR="00E93F58" w:rsidRPr="00283424" w:rsidRDefault="00E93F58" w:rsidP="00B50726">
      <w:pPr>
        <w:pStyle w:val="ActHead5"/>
      </w:pPr>
      <w:bookmarkStart w:id="1790" w:name="_Toc152054871"/>
      <w:bookmarkStart w:id="1791" w:name="_Toc158712687"/>
      <w:r w:rsidRPr="006F296E">
        <w:rPr>
          <w:rStyle w:val="CharSectno"/>
        </w:rPr>
        <w:t>7.9.36</w:t>
      </w:r>
      <w:r w:rsidRPr="00283424">
        <w:t xml:space="preserve">  Specific requirements in all cases</w:t>
      </w:r>
      <w:bookmarkEnd w:id="1790"/>
      <w:bookmarkEnd w:id="1791"/>
    </w:p>
    <w:p w14:paraId="08D839B0" w14:textId="77777777" w:rsidR="00E93F58" w:rsidRPr="00283424" w:rsidRDefault="00E93F58" w:rsidP="00B50726">
      <w:pPr>
        <w:pStyle w:val="subsection"/>
      </w:pPr>
      <w:r w:rsidRPr="00283424">
        <w:tab/>
      </w:r>
      <w:r w:rsidRPr="00283424">
        <w:tab/>
      </w:r>
      <w:bookmarkStart w:id="1792" w:name="_Hlk141430285"/>
      <w:r w:rsidRPr="001C4A59">
        <w:t>Fund information includes</w:t>
      </w:r>
      <w:bookmarkEnd w:id="1792"/>
      <w:r w:rsidRPr="00283424">
        <w:t xml:space="preserve"> all of the following items of information:</w:t>
      </w:r>
    </w:p>
    <w:p w14:paraId="6A29B7A1" w14:textId="77777777" w:rsidR="00E93F58" w:rsidRPr="00283424" w:rsidRDefault="00E93F58" w:rsidP="00B50726">
      <w:pPr>
        <w:pStyle w:val="paragraph"/>
      </w:pPr>
      <w:r w:rsidRPr="00283424">
        <w:rPr>
          <w:color w:val="000000"/>
        </w:rPr>
        <w:tab/>
        <w:t>(a)</w:t>
      </w:r>
      <w:r w:rsidRPr="00283424">
        <w:rPr>
          <w:color w:val="000000"/>
        </w:rPr>
        <w:tab/>
        <w:t>the contact details of the fund;</w:t>
      </w:r>
    </w:p>
    <w:p w14:paraId="5D767926" w14:textId="77777777" w:rsidR="00E93F58" w:rsidRPr="00283424" w:rsidRDefault="00E93F58" w:rsidP="00B50726">
      <w:pPr>
        <w:pStyle w:val="paragraph"/>
      </w:pPr>
      <w:r w:rsidRPr="00283424">
        <w:tab/>
        <w:t>(b)</w:t>
      </w:r>
      <w:r w:rsidRPr="00283424">
        <w:tab/>
        <w:t>in respect of the relevant sub</w:t>
      </w:r>
      <w:r>
        <w:noBreakHyphen/>
      </w:r>
      <w:r w:rsidRPr="00283424">
        <w:t>plan or, if none, of the fund—a description of:</w:t>
      </w:r>
    </w:p>
    <w:p w14:paraId="25128298" w14:textId="77777777" w:rsidR="00E93F58" w:rsidRPr="00283424" w:rsidRDefault="00E93F58" w:rsidP="00B50726">
      <w:pPr>
        <w:pStyle w:val="paragraphsub"/>
      </w:pPr>
      <w:r w:rsidRPr="00283424">
        <w:rPr>
          <w:color w:val="000000"/>
        </w:rPr>
        <w:tab/>
        <w:t>(i)</w:t>
      </w:r>
      <w:r w:rsidRPr="00283424">
        <w:rPr>
          <w:color w:val="000000"/>
        </w:rPr>
        <w:tab/>
        <w:t>the investment strategy of the fund trustee, having regard to the requirements of paragraph 52(2)(f) of the SIS Act; and</w:t>
      </w:r>
    </w:p>
    <w:p w14:paraId="5228C840" w14:textId="77777777" w:rsidR="00E93F58" w:rsidRPr="00283424" w:rsidRDefault="00E93F58" w:rsidP="00B50726">
      <w:pPr>
        <w:pStyle w:val="paragraphsub"/>
      </w:pPr>
      <w:r w:rsidRPr="00283424">
        <w:tab/>
        <w:t>(ii)</w:t>
      </w:r>
      <w:r w:rsidRPr="00283424">
        <w:tab/>
        <w:t>the investment objectives.</w:t>
      </w:r>
    </w:p>
    <w:p w14:paraId="01972096" w14:textId="77777777" w:rsidR="00E93F58" w:rsidRPr="00283424" w:rsidRDefault="00E93F58" w:rsidP="00B50726">
      <w:pPr>
        <w:pStyle w:val="ActHead5"/>
      </w:pPr>
      <w:bookmarkStart w:id="1793" w:name="_Toc152054872"/>
      <w:bookmarkStart w:id="1794" w:name="_Toc158712688"/>
      <w:r w:rsidRPr="006F296E">
        <w:rPr>
          <w:rStyle w:val="CharSectno"/>
        </w:rPr>
        <w:t>7.9.37</w:t>
      </w:r>
      <w:r w:rsidRPr="00283424">
        <w:t xml:space="preserve">  Specific requirements in particular cases</w:t>
      </w:r>
      <w:bookmarkEnd w:id="1793"/>
      <w:bookmarkEnd w:id="1794"/>
    </w:p>
    <w:p w14:paraId="1DC9CC19" w14:textId="77777777" w:rsidR="00E93F58" w:rsidRPr="00283424" w:rsidRDefault="00E93F58" w:rsidP="00B50726">
      <w:pPr>
        <w:pStyle w:val="subsection"/>
      </w:pPr>
      <w:r w:rsidRPr="00283424">
        <w:tab/>
        <w:t>(1)</w:t>
      </w:r>
      <w:r w:rsidRPr="00283424">
        <w:tab/>
      </w:r>
      <w:r w:rsidRPr="00AA751B">
        <w:t>Fund information includes</w:t>
      </w:r>
      <w:r w:rsidRPr="00283424">
        <w:t xml:space="preserve"> all of the following, so far as they are applicable:</w:t>
      </w:r>
    </w:p>
    <w:p w14:paraId="61A79800" w14:textId="77777777" w:rsidR="00E93F58" w:rsidRPr="00283424" w:rsidRDefault="00E93F58" w:rsidP="00B50726">
      <w:pPr>
        <w:pStyle w:val="paragraph"/>
      </w:pPr>
      <w:r w:rsidRPr="00283424">
        <w:rPr>
          <w:color w:val="000000"/>
        </w:rPr>
        <w:lastRenderedPageBreak/>
        <w:tab/>
        <w:t>(a)</w:t>
      </w:r>
      <w:r w:rsidRPr="00283424">
        <w:rPr>
          <w:color w:val="000000"/>
        </w:rPr>
        <w:tab/>
        <w:t>in respect of the relevant sub</w:t>
      </w:r>
      <w:r>
        <w:rPr>
          <w:color w:val="000000"/>
        </w:rPr>
        <w:noBreakHyphen/>
      </w:r>
      <w:r w:rsidRPr="00283424">
        <w:rPr>
          <w:color w:val="000000"/>
        </w:rPr>
        <w:t>plan or, if none, of the fund—the names of investment managers appointed by the trustee;</w:t>
      </w:r>
    </w:p>
    <w:p w14:paraId="757F10D3" w14:textId="77777777" w:rsidR="00E93F58" w:rsidRPr="00283424" w:rsidRDefault="00E93F58" w:rsidP="00B50726">
      <w:pPr>
        <w:pStyle w:val="paragraph"/>
      </w:pPr>
      <w:r w:rsidRPr="00283424">
        <w:tab/>
        <w:t>(b)</w:t>
      </w:r>
      <w:r w:rsidRPr="00283424">
        <w:tab/>
        <w:t>in the case of a standard employer</w:t>
      </w:r>
      <w:r>
        <w:noBreakHyphen/>
      </w:r>
      <w:r w:rsidRPr="00283424">
        <w:t>sponsored fund that is not a public offer superannuation fund and does not have a trustee approved under subsection 92(10) of the SIS Act:</w:t>
      </w:r>
    </w:p>
    <w:p w14:paraId="26B5687D" w14:textId="77777777" w:rsidR="00E93F58" w:rsidRPr="00283424" w:rsidRDefault="00E93F58" w:rsidP="00B50726">
      <w:pPr>
        <w:pStyle w:val="paragraphsub"/>
      </w:pPr>
      <w:r w:rsidRPr="00283424">
        <w:rPr>
          <w:color w:val="000000"/>
        </w:rPr>
        <w:tab/>
        <w:t>(i)</w:t>
      </w:r>
      <w:r w:rsidRPr="00283424">
        <w:rPr>
          <w:color w:val="000000"/>
        </w:rPr>
        <w:tab/>
        <w:t>if the trustee of the fund is a body corporate, the name of that body corporate and the names of all its directors during the whole or any part of the reporting period and, in respect of each of those directors, details of how and by whom they were appointed;</w:t>
      </w:r>
    </w:p>
    <w:p w14:paraId="18764460" w14:textId="77777777" w:rsidR="00E93F58" w:rsidRPr="00283424" w:rsidRDefault="00E93F58" w:rsidP="00B50726">
      <w:pPr>
        <w:pStyle w:val="paragraphsub"/>
      </w:pPr>
      <w:r w:rsidRPr="00283424">
        <w:tab/>
        <w:t>(ii)</w:t>
      </w:r>
      <w:r w:rsidRPr="00283424">
        <w:tab/>
        <w:t>if the trustees of the fund are individuals, the names of the trustees of the fund during the whole or any part of the relevant reporting period and, in respect of each of those trustees, details of how and by whom they were appointed;</w:t>
      </w:r>
    </w:p>
    <w:p w14:paraId="0C29DCDD" w14:textId="77777777" w:rsidR="00E93F58" w:rsidRPr="00283424" w:rsidRDefault="00E93F58" w:rsidP="00B50726">
      <w:pPr>
        <w:pStyle w:val="paragraph"/>
      </w:pPr>
      <w:r w:rsidRPr="00283424">
        <w:tab/>
        <w:t>(c)</w:t>
      </w:r>
      <w:r w:rsidRPr="00283424">
        <w:tab/>
        <w:t>in the case of a fund other than a fund mentioned in paragraph (b):</w:t>
      </w:r>
    </w:p>
    <w:p w14:paraId="3D0AB06D" w14:textId="77777777" w:rsidR="00E93F58" w:rsidRPr="00283424" w:rsidRDefault="00E93F58" w:rsidP="00B50726">
      <w:pPr>
        <w:pStyle w:val="paragraphsub"/>
      </w:pPr>
      <w:r w:rsidRPr="00283424">
        <w:rPr>
          <w:color w:val="000000"/>
        </w:rPr>
        <w:tab/>
        <w:t>(i)</w:t>
      </w:r>
      <w:r w:rsidRPr="00283424">
        <w:rPr>
          <w:color w:val="000000"/>
        </w:rPr>
        <w:tab/>
        <w:t>the name of each corporate trustee of the fund during the relevant reporting period; and</w:t>
      </w:r>
    </w:p>
    <w:p w14:paraId="5E1F0A88" w14:textId="77777777" w:rsidR="00E93F58" w:rsidRPr="00283424" w:rsidRDefault="00E93F58" w:rsidP="00B50726">
      <w:pPr>
        <w:pStyle w:val="paragraphsub"/>
      </w:pPr>
      <w:r w:rsidRPr="00283424">
        <w:tab/>
        <w:t>(ii)</w:t>
      </w:r>
      <w:r w:rsidRPr="00283424">
        <w:tab/>
        <w:t>in respect of the relevant policy committee (if any), details of the committee (including the names of the committee members as at the end of that reporting period and, in respect of each of the members, details of how and by whom they were appointed);</w:t>
      </w:r>
    </w:p>
    <w:p w14:paraId="67E3E170" w14:textId="77777777" w:rsidR="00E93F58" w:rsidRPr="00283424" w:rsidRDefault="00E93F58" w:rsidP="00B50726">
      <w:pPr>
        <w:pStyle w:val="paragraph"/>
      </w:pPr>
      <w:r w:rsidRPr="00283424">
        <w:rPr>
          <w:color w:val="000000"/>
        </w:rPr>
        <w:tab/>
        <w:t>(d)</w:t>
      </w:r>
      <w:r w:rsidRPr="00283424">
        <w:rPr>
          <w:color w:val="000000"/>
        </w:rPr>
        <w:tab/>
        <w:t>a statement as to whether or not any indemnity insurance has been taken out by the trustee;</w:t>
      </w:r>
    </w:p>
    <w:p w14:paraId="2C4C8451" w14:textId="77777777" w:rsidR="00E93F58" w:rsidRPr="00283424" w:rsidRDefault="00E93F58" w:rsidP="00B50726">
      <w:pPr>
        <w:pStyle w:val="paragraph"/>
      </w:pPr>
      <w:r w:rsidRPr="00283424">
        <w:tab/>
        <w:t>(f)</w:t>
      </w:r>
      <w:r w:rsidRPr="00283424">
        <w:tab/>
        <w:t>in respect of the relevant sub</w:t>
      </w:r>
      <w:r>
        <w:noBreakHyphen/>
      </w:r>
      <w:r w:rsidRPr="00283424">
        <w:t>plan or, if none, of the fund—a statement of assets as at the end of:</w:t>
      </w:r>
    </w:p>
    <w:p w14:paraId="0E7CF038" w14:textId="77777777" w:rsidR="00E93F58" w:rsidRPr="00283424" w:rsidRDefault="00E93F58" w:rsidP="00B50726">
      <w:pPr>
        <w:pStyle w:val="paragraphsub"/>
      </w:pPr>
      <w:r w:rsidRPr="00283424">
        <w:rPr>
          <w:color w:val="000000"/>
        </w:rPr>
        <w:tab/>
        <w:t>(i)</w:t>
      </w:r>
      <w:r w:rsidRPr="00283424">
        <w:rPr>
          <w:color w:val="000000"/>
        </w:rPr>
        <w:tab/>
        <w:t>the relevant reporting period; and</w:t>
      </w:r>
    </w:p>
    <w:p w14:paraId="6A18512F" w14:textId="77777777" w:rsidR="00E93F58" w:rsidRPr="00283424" w:rsidRDefault="00E93F58" w:rsidP="00B50726">
      <w:pPr>
        <w:pStyle w:val="paragraphsub"/>
      </w:pPr>
      <w:r w:rsidRPr="00283424">
        <w:tab/>
        <w:t>(ii)</w:t>
      </w:r>
      <w:r w:rsidRPr="00283424">
        <w:tab/>
        <w:t>the immediately preceding reporting period;</w:t>
      </w:r>
    </w:p>
    <w:p w14:paraId="41EF64CC" w14:textId="77777777" w:rsidR="00E93F58" w:rsidRPr="00283424" w:rsidRDefault="00E93F58" w:rsidP="00B50726">
      <w:pPr>
        <w:pStyle w:val="paragraph"/>
      </w:pPr>
      <w:r w:rsidRPr="00283424">
        <w:rPr>
          <w:color w:val="000000"/>
        </w:rPr>
        <w:tab/>
      </w:r>
      <w:r w:rsidRPr="00283424">
        <w:rPr>
          <w:color w:val="000000"/>
        </w:rPr>
        <w:tab/>
        <w:t>that includes all information that the responsible person reasonably believes a member would reasonably need to understand the asset allocation at those times;</w:t>
      </w:r>
    </w:p>
    <w:p w14:paraId="17FAAF18" w14:textId="77777777" w:rsidR="00E93F58" w:rsidRPr="00283424" w:rsidRDefault="00E93F58" w:rsidP="00B50726">
      <w:pPr>
        <w:pStyle w:val="paragraph"/>
      </w:pPr>
      <w:r w:rsidRPr="00283424">
        <w:tab/>
        <w:t>(g)</w:t>
      </w:r>
      <w:r w:rsidRPr="00283424">
        <w:tab/>
        <w:t>details of:</w:t>
      </w:r>
    </w:p>
    <w:p w14:paraId="071BDC0D" w14:textId="77777777" w:rsidR="00E93F58" w:rsidRPr="00283424" w:rsidRDefault="00E93F58" w:rsidP="00B50726">
      <w:pPr>
        <w:pStyle w:val="paragraphsub"/>
      </w:pPr>
      <w:r w:rsidRPr="00283424">
        <w:rPr>
          <w:color w:val="000000"/>
        </w:rPr>
        <w:tab/>
        <w:t>(i)</w:t>
      </w:r>
      <w:r w:rsidRPr="00283424">
        <w:rPr>
          <w:color w:val="000000"/>
        </w:rPr>
        <w:tab/>
        <w:t>each investment that has a value in excess of 5% of the total assets of the relevant sub</w:t>
      </w:r>
      <w:r>
        <w:rPr>
          <w:color w:val="000000"/>
        </w:rPr>
        <w:noBreakHyphen/>
      </w:r>
      <w:r w:rsidRPr="00283424">
        <w:rPr>
          <w:color w:val="000000"/>
        </w:rPr>
        <w:t>plan or, if none, of the fund; and</w:t>
      </w:r>
    </w:p>
    <w:p w14:paraId="52D59844" w14:textId="77777777" w:rsidR="00E93F58" w:rsidRPr="00283424" w:rsidRDefault="00E93F58" w:rsidP="00B50726">
      <w:pPr>
        <w:pStyle w:val="paragraphsub"/>
      </w:pPr>
      <w:r w:rsidRPr="00283424">
        <w:tab/>
        <w:t>(ii)</w:t>
      </w:r>
      <w:r w:rsidRPr="00283424">
        <w:tab/>
        <w:t>each combination of investments that the trustee knows or ought reasonably to know are invested in, directly or indirectly, a single enterprise or single group of associated enterprises and that have a combined value in excess of 5% of the total assets of the relevant sub</w:t>
      </w:r>
      <w:r>
        <w:noBreakHyphen/>
      </w:r>
      <w:r w:rsidRPr="00283424">
        <w:t>plan or, if none, of the fund;</w:t>
      </w:r>
    </w:p>
    <w:p w14:paraId="673F55B9" w14:textId="77777777" w:rsidR="00E93F58" w:rsidRPr="00283424" w:rsidRDefault="00E93F58" w:rsidP="00B50726">
      <w:pPr>
        <w:pStyle w:val="paragraph"/>
      </w:pPr>
      <w:r w:rsidRPr="00283424">
        <w:rPr>
          <w:color w:val="000000"/>
        </w:rPr>
        <w:tab/>
        <w:t>(h)</w:t>
      </w:r>
      <w:r w:rsidRPr="00283424">
        <w:rPr>
          <w:color w:val="000000"/>
        </w:rPr>
        <w:tab/>
        <w:t>a statement regarding the funds policy toward the use of derivative securities;</w:t>
      </w:r>
    </w:p>
    <w:p w14:paraId="03C87F11" w14:textId="77777777" w:rsidR="00E93F58" w:rsidRPr="00283424" w:rsidRDefault="00E93F58" w:rsidP="00B50726">
      <w:pPr>
        <w:pStyle w:val="paragraph"/>
      </w:pPr>
      <w:r w:rsidRPr="00283424">
        <w:tab/>
        <w:t>(i)</w:t>
      </w:r>
      <w:r w:rsidRPr="00283424">
        <w:tab/>
        <w:t>if the derivatives charge ratio of the fund (as defined in the SIS Regulations) exceeded 5% at any time during the reporting period:</w:t>
      </w:r>
    </w:p>
    <w:p w14:paraId="3DBF4F05" w14:textId="77777777" w:rsidR="00E93F58" w:rsidRPr="00283424" w:rsidRDefault="00E93F58" w:rsidP="00B50726">
      <w:pPr>
        <w:pStyle w:val="paragraphsub"/>
      </w:pPr>
      <w:r w:rsidRPr="00283424">
        <w:rPr>
          <w:color w:val="000000"/>
        </w:rPr>
        <w:tab/>
        <w:t>(i)</w:t>
      </w:r>
      <w:r w:rsidRPr="00283424">
        <w:rPr>
          <w:color w:val="000000"/>
        </w:rPr>
        <w:tab/>
        <w:t>the derivatives charge ratio as at the end of the reporting period; and</w:t>
      </w:r>
    </w:p>
    <w:p w14:paraId="6F475438" w14:textId="77777777" w:rsidR="00E93F58" w:rsidRPr="00283424" w:rsidRDefault="00E93F58" w:rsidP="00B50726">
      <w:pPr>
        <w:pStyle w:val="paragraphsub"/>
      </w:pPr>
      <w:r w:rsidRPr="00283424">
        <w:tab/>
        <w:t>(ii)</w:t>
      </w:r>
      <w:r w:rsidRPr="00283424">
        <w:tab/>
        <w:t>the highest derivatives charge ratio attained during the reporting period; and</w:t>
      </w:r>
    </w:p>
    <w:p w14:paraId="1E76EDA5" w14:textId="77777777" w:rsidR="00E93F58" w:rsidRPr="00283424" w:rsidRDefault="00E93F58" w:rsidP="00B50726">
      <w:pPr>
        <w:pStyle w:val="paragraphsub"/>
      </w:pPr>
      <w:r w:rsidRPr="00283424">
        <w:tab/>
        <w:t>(iii)</w:t>
      </w:r>
      <w:r w:rsidRPr="00283424">
        <w:tab/>
        <w:t>an explanation of why the derivatives charge ratio exceeded 5%; and</w:t>
      </w:r>
    </w:p>
    <w:p w14:paraId="53878BD0" w14:textId="77777777" w:rsidR="00E93F58" w:rsidRPr="00283424" w:rsidRDefault="00E93F58" w:rsidP="00B50726">
      <w:pPr>
        <w:pStyle w:val="paragraphsub"/>
      </w:pPr>
      <w:r w:rsidRPr="00283424">
        <w:tab/>
        <w:t>(iv)</w:t>
      </w:r>
      <w:r w:rsidRPr="00283424">
        <w:tab/>
        <w:t>an explanation of the meaning of derivatives charge ratio in, or to the effect of the following:</w:t>
      </w:r>
    </w:p>
    <w:p w14:paraId="120B7F3C" w14:textId="77777777" w:rsidR="00E93F58" w:rsidRPr="00283424" w:rsidRDefault="00E93F58" w:rsidP="00B50726">
      <w:pPr>
        <w:pStyle w:val="paragraphsub"/>
      </w:pPr>
      <w:r w:rsidRPr="00283424">
        <w:rPr>
          <w:color w:val="000000"/>
        </w:rPr>
        <w:tab/>
      </w:r>
      <w:r w:rsidRPr="00283424">
        <w:rPr>
          <w:color w:val="000000"/>
        </w:rPr>
        <w:tab/>
        <w:t>‘The derivatives charge ratio is the percentage of the total market value of the assets of the fund (other than cash) that the trustee has charged as security for derivatives investments made by the trustee.’;</w:t>
      </w:r>
    </w:p>
    <w:p w14:paraId="5E1CDE03" w14:textId="77777777" w:rsidR="00E93F58" w:rsidRPr="00283424" w:rsidRDefault="00E93F58" w:rsidP="00B50726">
      <w:pPr>
        <w:pStyle w:val="paragraph"/>
        <w:rPr>
          <w:color w:val="000000"/>
        </w:rPr>
      </w:pPr>
      <w:r w:rsidRPr="00283424">
        <w:rPr>
          <w:color w:val="000000"/>
        </w:rPr>
        <w:tab/>
        <w:t>(k)</w:t>
      </w:r>
      <w:r w:rsidRPr="00283424">
        <w:rPr>
          <w:color w:val="000000"/>
        </w:rPr>
        <w:tab/>
        <w:t>if the fund maintains reserves—in respect of the relevant sub</w:t>
      </w:r>
      <w:r>
        <w:rPr>
          <w:color w:val="000000"/>
        </w:rPr>
        <w:noBreakHyphen/>
      </w:r>
      <w:r w:rsidRPr="00283424">
        <w:rPr>
          <w:color w:val="000000"/>
        </w:rPr>
        <w:t>plan or, if none, of the fund, details of movements of reserves during the most recent reporting periods that, in total, constitute at least 3 years;</w:t>
      </w:r>
    </w:p>
    <w:p w14:paraId="147E024B" w14:textId="77777777" w:rsidR="00E93F58" w:rsidRPr="00283424" w:rsidRDefault="00E93F58" w:rsidP="00B50726">
      <w:pPr>
        <w:pStyle w:val="paragraph"/>
      </w:pPr>
      <w:r w:rsidRPr="00283424">
        <w:tab/>
        <w:t>(l)</w:t>
      </w:r>
      <w:r w:rsidRPr="00283424">
        <w:tab/>
        <w:t>if the net earnings of the fund are allotted to members’ accounts—in respect of the relevant sub</w:t>
      </w:r>
      <w:r>
        <w:noBreakHyphen/>
      </w:r>
      <w:r w:rsidRPr="00283424">
        <w:t>plan or, if none, of the fund, the manner in which the allotment is made;</w:t>
      </w:r>
    </w:p>
    <w:p w14:paraId="412AAB9F" w14:textId="77777777" w:rsidR="00E93F58" w:rsidRPr="00283424" w:rsidRDefault="00E93F58" w:rsidP="00B50726">
      <w:pPr>
        <w:pStyle w:val="paragraph"/>
      </w:pPr>
      <w:r w:rsidRPr="00283424">
        <w:tab/>
        <w:t>(m)</w:t>
      </w:r>
      <w:r w:rsidRPr="00283424">
        <w:tab/>
        <w:t>if the fund maintains reserves—in respect of the relevant sub</w:t>
      </w:r>
      <w:r>
        <w:noBreakHyphen/>
      </w:r>
      <w:r w:rsidRPr="00283424">
        <w:t>plan or, if none, of the fund, a description of the management strategy of the fund trustee in relation to the reserves, having regard to the requirements of paragraph 52(2)(g) of the SIS Act;</w:t>
      </w:r>
    </w:p>
    <w:p w14:paraId="1D06CB54" w14:textId="77777777" w:rsidR="00E93F58" w:rsidRPr="00283424" w:rsidRDefault="00E93F58" w:rsidP="00B50726">
      <w:pPr>
        <w:pStyle w:val="paragraph"/>
      </w:pPr>
      <w:r w:rsidRPr="00283424">
        <w:tab/>
        <w:t>(n)</w:t>
      </w:r>
      <w:r w:rsidRPr="00283424">
        <w:tab/>
        <w:t>details of any penalties imposed on the responsible person under:</w:t>
      </w:r>
    </w:p>
    <w:p w14:paraId="28B323D1" w14:textId="77777777" w:rsidR="00E93F58" w:rsidRPr="00283424" w:rsidRDefault="00E93F58" w:rsidP="00B50726">
      <w:pPr>
        <w:pStyle w:val="paragraphsub"/>
      </w:pPr>
      <w:r w:rsidRPr="00283424">
        <w:rPr>
          <w:color w:val="000000"/>
        </w:rPr>
        <w:tab/>
        <w:t>(i)</w:t>
      </w:r>
      <w:r w:rsidRPr="00283424">
        <w:rPr>
          <w:color w:val="000000"/>
        </w:rPr>
        <w:tab/>
        <w:t>section 38A of the SIS Act; or</w:t>
      </w:r>
    </w:p>
    <w:p w14:paraId="7B71DBA5" w14:textId="77777777" w:rsidR="00E93F58" w:rsidRPr="00283424" w:rsidRDefault="00E93F58" w:rsidP="00B50726">
      <w:pPr>
        <w:pStyle w:val="paragraphsub"/>
      </w:pPr>
      <w:r w:rsidRPr="00283424">
        <w:tab/>
        <w:t>(ii)</w:t>
      </w:r>
      <w:r w:rsidRPr="00283424">
        <w:tab/>
        <w:t>section 182 of the RSA Act;</w:t>
      </w:r>
    </w:p>
    <w:p w14:paraId="5A043729" w14:textId="77777777" w:rsidR="00E93F58" w:rsidRPr="00283424" w:rsidRDefault="00E93F58" w:rsidP="00B50726">
      <w:pPr>
        <w:pStyle w:val="paragraph"/>
      </w:pPr>
      <w:r w:rsidRPr="00283424">
        <w:tab/>
        <w:t>(o)</w:t>
      </w:r>
      <w:r w:rsidRPr="00283424">
        <w:tab/>
        <w:t>if the fund is:</w:t>
      </w:r>
    </w:p>
    <w:p w14:paraId="6EC50139" w14:textId="77777777" w:rsidR="00E93F58" w:rsidRPr="00283424" w:rsidRDefault="00E93F58" w:rsidP="00B50726">
      <w:pPr>
        <w:pStyle w:val="paragraphsub"/>
      </w:pPr>
      <w:r w:rsidRPr="00283424">
        <w:rPr>
          <w:color w:val="000000"/>
        </w:rPr>
        <w:tab/>
        <w:t>(i)</w:t>
      </w:r>
      <w:r w:rsidRPr="00283424">
        <w:rPr>
          <w:color w:val="000000"/>
        </w:rPr>
        <w:tab/>
        <w:t>a defined benefit fund; and</w:t>
      </w:r>
    </w:p>
    <w:p w14:paraId="16CCE60A" w14:textId="77777777" w:rsidR="00E93F58" w:rsidRPr="00283424" w:rsidRDefault="00E93F58" w:rsidP="00B50726">
      <w:pPr>
        <w:pStyle w:val="paragraphsub"/>
      </w:pPr>
      <w:r w:rsidRPr="00283424">
        <w:tab/>
        <w:t>(ii)</w:t>
      </w:r>
      <w:r w:rsidRPr="00283424">
        <w:tab/>
        <w:t>the contributions paid by the employer</w:t>
      </w:r>
      <w:r>
        <w:noBreakHyphen/>
      </w:r>
      <w:r w:rsidRPr="00283424">
        <w:t>sponsor in the reporting period are less than the amount that an actuary has approved as sufficient contributions in that period; and</w:t>
      </w:r>
    </w:p>
    <w:p w14:paraId="4DA1CAB3" w14:textId="77777777" w:rsidR="00E93F58" w:rsidRPr="00283424" w:rsidRDefault="00E93F58" w:rsidP="00B50726">
      <w:pPr>
        <w:pStyle w:val="paragraphsub"/>
      </w:pPr>
      <w:r w:rsidRPr="00283424">
        <w:tab/>
        <w:t>(iii)</w:t>
      </w:r>
      <w:r w:rsidRPr="00283424">
        <w:tab/>
        <w:t>the difference is material;</w:t>
      </w:r>
    </w:p>
    <w:p w14:paraId="52EA104A" w14:textId="77777777" w:rsidR="00E93F58" w:rsidRPr="00283424" w:rsidRDefault="00E93F58" w:rsidP="00B50726">
      <w:pPr>
        <w:pStyle w:val="paragraph"/>
      </w:pPr>
      <w:r w:rsidRPr="00283424">
        <w:tab/>
      </w:r>
      <w:r w:rsidRPr="00283424">
        <w:tab/>
        <w:t>in respect of the relevant sub</w:t>
      </w:r>
      <w:r>
        <w:noBreakHyphen/>
      </w:r>
      <w:r w:rsidRPr="00283424">
        <w:t>plan or, if none, of the fund—a statement to the effect that the matters stated in subparagraphs (ii) and (iii) apply, and statements of:</w:t>
      </w:r>
    </w:p>
    <w:p w14:paraId="787FC9DC" w14:textId="77777777" w:rsidR="00E93F58" w:rsidRPr="00283424" w:rsidRDefault="00E93F58" w:rsidP="00B50726">
      <w:pPr>
        <w:pStyle w:val="paragraphsub"/>
      </w:pPr>
      <w:r w:rsidRPr="00283424">
        <w:rPr>
          <w:color w:val="000000"/>
        </w:rPr>
        <w:tab/>
        <w:t>(iv)</w:t>
      </w:r>
      <w:r w:rsidRPr="00283424">
        <w:rPr>
          <w:color w:val="000000"/>
        </w:rPr>
        <w:tab/>
        <w:t>the consequences for the fund of the shortfall; and</w:t>
      </w:r>
    </w:p>
    <w:p w14:paraId="596FFB1A" w14:textId="77777777" w:rsidR="00E93F58" w:rsidRPr="00283424" w:rsidRDefault="00E93F58" w:rsidP="00B50726">
      <w:pPr>
        <w:pStyle w:val="paragraphsub"/>
      </w:pPr>
      <w:r w:rsidRPr="00283424">
        <w:lastRenderedPageBreak/>
        <w:tab/>
        <w:t>(v)</w:t>
      </w:r>
      <w:r w:rsidRPr="00283424">
        <w:tab/>
        <w:t>any action that the trustee has taken, or proposes to take, in relation to the matter;</w:t>
      </w:r>
    </w:p>
    <w:p w14:paraId="3800E9CA" w14:textId="77777777" w:rsidR="00E93F58" w:rsidRPr="00283424" w:rsidRDefault="00E93F58" w:rsidP="00B50726">
      <w:pPr>
        <w:pStyle w:val="paragraph"/>
      </w:pPr>
      <w:r w:rsidRPr="00283424">
        <w:rPr>
          <w:color w:val="000000"/>
        </w:rPr>
        <w:tab/>
        <w:t>(p)</w:t>
      </w:r>
      <w:r w:rsidRPr="00283424">
        <w:rPr>
          <w:color w:val="000000"/>
        </w:rPr>
        <w:tab/>
        <w:t>the ultimate source (including, for example, the fund’s reserves, the members’ accounts or the employer) from which payments in connection with superannuation contributions surcharges or advance instalments of surcharge will be drawn;</w:t>
      </w:r>
    </w:p>
    <w:p w14:paraId="1615BFF4" w14:textId="77777777" w:rsidR="00E93F58" w:rsidRPr="00283424" w:rsidRDefault="00E93F58" w:rsidP="00B50726">
      <w:pPr>
        <w:pStyle w:val="paragraph"/>
      </w:pPr>
      <w:r w:rsidRPr="00283424">
        <w:tab/>
        <w:t>(q)</w:t>
      </w:r>
      <w:r w:rsidRPr="00283424">
        <w:tab/>
        <w:t>if there are circumstances in which the trustee would pay the member’s benefit to an eligible rollover fund:</w:t>
      </w:r>
    </w:p>
    <w:p w14:paraId="5B71B7C0" w14:textId="77777777" w:rsidR="00E93F58" w:rsidRPr="00283424" w:rsidRDefault="00E93F58" w:rsidP="00B50726">
      <w:pPr>
        <w:pStyle w:val="paragraphsub"/>
      </w:pPr>
      <w:r w:rsidRPr="00283424">
        <w:rPr>
          <w:color w:val="000000"/>
        </w:rPr>
        <w:tab/>
        <w:t>(i)</w:t>
      </w:r>
      <w:r w:rsidRPr="00283424">
        <w:rPr>
          <w:color w:val="000000"/>
        </w:rPr>
        <w:tab/>
        <w:t>details of those circumstances; and</w:t>
      </w:r>
    </w:p>
    <w:p w14:paraId="34A31EDC" w14:textId="77777777" w:rsidR="00E93F58" w:rsidRPr="00283424" w:rsidRDefault="00E93F58" w:rsidP="00B50726">
      <w:pPr>
        <w:pStyle w:val="paragraphsub"/>
      </w:pPr>
      <w:r w:rsidRPr="00283424">
        <w:tab/>
        <w:t>(ii)</w:t>
      </w:r>
      <w:r w:rsidRPr="00283424">
        <w:tab/>
        <w:t>the contact details of the eligible rollover fund; and</w:t>
      </w:r>
    </w:p>
    <w:p w14:paraId="70E3BD27" w14:textId="77777777" w:rsidR="00E93F58" w:rsidRPr="00283424" w:rsidRDefault="00E93F58" w:rsidP="00B50726">
      <w:pPr>
        <w:pStyle w:val="paragraphsub"/>
      </w:pPr>
      <w:r w:rsidRPr="00283424">
        <w:tab/>
        <w:t>(iii)</w:t>
      </w:r>
      <w:r w:rsidRPr="00283424">
        <w:tab/>
        <w:t>a statement of the effect of the payment of benefits to the eligible rollover fund.</w:t>
      </w:r>
    </w:p>
    <w:p w14:paraId="6BDC7C33" w14:textId="77777777" w:rsidR="00E93F58" w:rsidRPr="00AA751B" w:rsidRDefault="00E93F58" w:rsidP="00C9171A">
      <w:pPr>
        <w:pStyle w:val="subsection"/>
      </w:pPr>
      <w:r w:rsidRPr="00AA751B">
        <w:tab/>
        <w:t>(1A)</w:t>
      </w:r>
      <w:r w:rsidRPr="00AA751B">
        <w:tab/>
        <w:t>Subregulation (1) does not apply to a self managed superannuation fund. Fund information for a self managed superannuation fund includes the ultimate source (including, for example, the fund’s reserves, the members’ accounts or the employer) from which payments in connection with superannuation contributions surcharges or advance instalments of surcharge will be drawn.</w:t>
      </w:r>
    </w:p>
    <w:p w14:paraId="04959443"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796578D2" w14:textId="77777777" w:rsidR="00E93F58" w:rsidRPr="00283424" w:rsidRDefault="00E93F58" w:rsidP="00B50726">
      <w:pPr>
        <w:pStyle w:val="subsection"/>
      </w:pPr>
      <w:r w:rsidRPr="00283424">
        <w:tab/>
        <w:t>(3)</w:t>
      </w:r>
      <w:r w:rsidRPr="00283424">
        <w:tab/>
        <w:t>For subparagraph (1)(g)(ii), investments in a trust are taken not to be invested in the trustee of the trust.</w:t>
      </w:r>
    </w:p>
    <w:p w14:paraId="44D9101E" w14:textId="77777777" w:rsidR="00E93F58" w:rsidRPr="00283424" w:rsidRDefault="00E93F58" w:rsidP="00B50726">
      <w:pPr>
        <w:pStyle w:val="ActHead5"/>
      </w:pPr>
      <w:bookmarkStart w:id="1795" w:name="_Toc152054873"/>
      <w:bookmarkStart w:id="1796" w:name="_Toc158712689"/>
      <w:r w:rsidRPr="006F296E">
        <w:rPr>
          <w:rStyle w:val="CharSectno"/>
        </w:rPr>
        <w:t>7.9.39</w:t>
      </w:r>
      <w:r w:rsidRPr="00283424">
        <w:t xml:space="preserve">  Benefits determined by life insurance products</w:t>
      </w:r>
      <w:bookmarkEnd w:id="1795"/>
      <w:bookmarkEnd w:id="1796"/>
    </w:p>
    <w:p w14:paraId="564C243E" w14:textId="77777777" w:rsidR="00E93F58" w:rsidRPr="00283424" w:rsidRDefault="00E93F58" w:rsidP="00B50726">
      <w:pPr>
        <w:pStyle w:val="subsection"/>
      </w:pPr>
      <w:r w:rsidRPr="00283424">
        <w:rPr>
          <w:color w:val="000000"/>
        </w:rPr>
        <w:tab/>
        <w:t>(1)</w:t>
      </w:r>
      <w:r w:rsidRPr="00283424">
        <w:rPr>
          <w:color w:val="000000"/>
        </w:rPr>
        <w:tab/>
        <w:t>Paragraphs 7.9.37(1)(e), (f) and (g) do not apply to funds from which the benefits paid to each member are wholly determined by reference to life insurance products.</w:t>
      </w:r>
    </w:p>
    <w:p w14:paraId="42173417" w14:textId="77777777" w:rsidR="00E93F58" w:rsidRPr="00283424" w:rsidRDefault="00E93F58" w:rsidP="00B50726">
      <w:pPr>
        <w:pStyle w:val="subsection"/>
      </w:pPr>
      <w:r w:rsidRPr="00283424">
        <w:tab/>
        <w:t>(2)</w:t>
      </w:r>
      <w:r w:rsidRPr="00283424">
        <w:tab/>
        <w:t>If:</w:t>
      </w:r>
    </w:p>
    <w:p w14:paraId="0F3640D5" w14:textId="77777777" w:rsidR="00E93F58" w:rsidRPr="00283424" w:rsidRDefault="00E93F58" w:rsidP="00B50726">
      <w:pPr>
        <w:pStyle w:val="paragraph"/>
      </w:pPr>
      <w:r w:rsidRPr="00283424">
        <w:rPr>
          <w:color w:val="000000"/>
        </w:rPr>
        <w:tab/>
        <w:t>(a)</w:t>
      </w:r>
      <w:r w:rsidRPr="00283424">
        <w:rPr>
          <w:color w:val="000000"/>
        </w:rPr>
        <w:tab/>
        <w:t>subregulation (1) does not apply only because shares in the life insurance company issuing the life insurance products were acquired because the company was demutualised; and</w:t>
      </w:r>
    </w:p>
    <w:p w14:paraId="2F61E320" w14:textId="77777777" w:rsidR="00E93F58" w:rsidRPr="00283424" w:rsidRDefault="00E93F58" w:rsidP="00B50726">
      <w:pPr>
        <w:pStyle w:val="paragraph"/>
      </w:pPr>
      <w:r w:rsidRPr="00283424">
        <w:tab/>
        <w:t>(b)</w:t>
      </w:r>
      <w:r w:rsidRPr="00283424">
        <w:tab/>
        <w:t>the shares have been held for not more than 18 months after the date of acquisition;</w:t>
      </w:r>
    </w:p>
    <w:p w14:paraId="595321DC" w14:textId="77777777" w:rsidR="00E93F58" w:rsidRPr="00283424" w:rsidRDefault="00E93F58" w:rsidP="00B50726">
      <w:pPr>
        <w:pStyle w:val="subsection2"/>
      </w:pPr>
      <w:r w:rsidRPr="00283424">
        <w:rPr>
          <w:color w:val="000000"/>
        </w:rPr>
        <w:t>paragraphs 7.9.37(1)(e), (f) and (g) do not apply to funds from which the benefits paid to each individual member would otherwise be wholly determined by reference to life insurance products.</w:t>
      </w:r>
    </w:p>
    <w:p w14:paraId="6546C997" w14:textId="77777777" w:rsidR="00E93F58" w:rsidRPr="00283424" w:rsidRDefault="00E93F58" w:rsidP="00B50726">
      <w:pPr>
        <w:pStyle w:val="subsection"/>
      </w:pPr>
      <w:r w:rsidRPr="00283424">
        <w:rPr>
          <w:color w:val="000000"/>
        </w:rPr>
        <w:tab/>
        <w:t>(3)</w:t>
      </w:r>
      <w:r w:rsidRPr="00283424">
        <w:rPr>
          <w:color w:val="000000"/>
        </w:rPr>
        <w:tab/>
        <w:t>If subregulation (1) or (2) applies, the fund information must include the reason why the information for paragraphs 7.9.37(1)(e), (f) and (g) has not been given.</w:t>
      </w:r>
    </w:p>
    <w:p w14:paraId="67B0896F" w14:textId="77777777" w:rsidR="00E93F58" w:rsidRPr="00283424" w:rsidRDefault="00E93F58" w:rsidP="00B50726">
      <w:pPr>
        <w:pStyle w:val="ActHead4"/>
      </w:pPr>
      <w:bookmarkStart w:id="1797" w:name="_Toc152054874"/>
      <w:bookmarkStart w:id="1798" w:name="_Toc158712690"/>
      <w:r w:rsidRPr="006F296E">
        <w:rPr>
          <w:rStyle w:val="CharSubdNo"/>
        </w:rPr>
        <w:t>Subdivision 5.7</w:t>
      </w:r>
      <w:r w:rsidRPr="00283424">
        <w:t>—</w:t>
      </w:r>
      <w:r w:rsidRPr="006F296E">
        <w:rPr>
          <w:rStyle w:val="CharSubdText"/>
        </w:rPr>
        <w:t>Fund information for retail clients for financial products that have an investment component: fund information for pooled superannuation trusts</w:t>
      </w:r>
      <w:bookmarkEnd w:id="1797"/>
      <w:bookmarkEnd w:id="1798"/>
    </w:p>
    <w:p w14:paraId="7A955085" w14:textId="77777777" w:rsidR="00E93F58" w:rsidRPr="00283424" w:rsidRDefault="00E93F58" w:rsidP="00B50726">
      <w:pPr>
        <w:pStyle w:val="ActHead5"/>
      </w:pPr>
      <w:bookmarkStart w:id="1799" w:name="_Toc152054875"/>
      <w:bookmarkStart w:id="1800" w:name="_Toc158712691"/>
      <w:r w:rsidRPr="006F296E">
        <w:rPr>
          <w:rStyle w:val="CharSectno"/>
        </w:rPr>
        <w:t>7.9.40</w:t>
      </w:r>
      <w:r w:rsidRPr="00283424">
        <w:t xml:space="preserve">  Application of Subdivision 5.7</w:t>
      </w:r>
      <w:bookmarkEnd w:id="1799"/>
      <w:bookmarkEnd w:id="1800"/>
    </w:p>
    <w:p w14:paraId="4D3EFF6B" w14:textId="77777777" w:rsidR="00E93F58" w:rsidRPr="00283424" w:rsidRDefault="00E93F58" w:rsidP="00B50726">
      <w:pPr>
        <w:pStyle w:val="subsection"/>
      </w:pPr>
      <w:r w:rsidRPr="00283424">
        <w:rPr>
          <w:color w:val="000000"/>
        </w:rPr>
        <w:tab/>
      </w:r>
      <w:r w:rsidRPr="00283424">
        <w:rPr>
          <w:color w:val="000000"/>
        </w:rPr>
        <w:tab/>
        <w:t>This Subdivision applies in relation to a pooled superannuation trust.</w:t>
      </w:r>
    </w:p>
    <w:p w14:paraId="04D98484" w14:textId="77777777" w:rsidR="00E93F58" w:rsidRPr="00283424" w:rsidRDefault="00E93F58" w:rsidP="00B50726">
      <w:pPr>
        <w:pStyle w:val="ActHead5"/>
      </w:pPr>
      <w:bookmarkStart w:id="1801" w:name="_Toc152054876"/>
      <w:bookmarkStart w:id="1802" w:name="_Toc158712692"/>
      <w:r w:rsidRPr="006F296E">
        <w:rPr>
          <w:rStyle w:val="CharSectno"/>
        </w:rPr>
        <w:t>7.9.41</w:t>
      </w:r>
      <w:r w:rsidRPr="00283424">
        <w:t xml:space="preserve">  Specific requirements in all cases</w:t>
      </w:r>
      <w:bookmarkEnd w:id="1801"/>
      <w:bookmarkEnd w:id="1802"/>
    </w:p>
    <w:p w14:paraId="27BD6ADC" w14:textId="77777777" w:rsidR="00E93F58" w:rsidRPr="00283424" w:rsidRDefault="00E93F58" w:rsidP="00B50726">
      <w:pPr>
        <w:pStyle w:val="subsection"/>
      </w:pPr>
      <w:r w:rsidRPr="00283424">
        <w:tab/>
      </w:r>
      <w:r w:rsidRPr="00283424">
        <w:tab/>
      </w:r>
      <w:r w:rsidRPr="00AA751B">
        <w:t>Fund information includes</w:t>
      </w:r>
      <w:r w:rsidRPr="00283424">
        <w:t xml:space="preserve"> the following:</w:t>
      </w:r>
    </w:p>
    <w:p w14:paraId="28B94886" w14:textId="77777777" w:rsidR="00E93F58" w:rsidRPr="00283424" w:rsidRDefault="00E93F58" w:rsidP="00B50726">
      <w:pPr>
        <w:pStyle w:val="paragraph"/>
      </w:pPr>
      <w:r w:rsidRPr="00283424">
        <w:tab/>
        <w:t>(a)</w:t>
      </w:r>
      <w:r w:rsidRPr="00283424">
        <w:tab/>
        <w:t>in respect of the pooled superannuation trust—a description of the investment strategy of the pooled superannuation trust trustee, having regard to:</w:t>
      </w:r>
    </w:p>
    <w:p w14:paraId="672004E9" w14:textId="77777777" w:rsidR="00E93F58" w:rsidRPr="00283424" w:rsidRDefault="00E93F58" w:rsidP="00B50726">
      <w:pPr>
        <w:pStyle w:val="paragraphsub"/>
      </w:pPr>
      <w:r w:rsidRPr="00283424">
        <w:rPr>
          <w:color w:val="000000"/>
        </w:rPr>
        <w:tab/>
        <w:t>(i)</w:t>
      </w:r>
      <w:r w:rsidRPr="00283424">
        <w:rPr>
          <w:color w:val="000000"/>
        </w:rPr>
        <w:tab/>
        <w:t>the requirements of paragraph 52(2)(f) of the SIS Act; and</w:t>
      </w:r>
    </w:p>
    <w:p w14:paraId="52693C61" w14:textId="77777777" w:rsidR="00E93F58" w:rsidRPr="00283424" w:rsidRDefault="00E93F58" w:rsidP="00B50726">
      <w:pPr>
        <w:pStyle w:val="paragraphsub"/>
      </w:pPr>
      <w:r w:rsidRPr="00283424">
        <w:tab/>
        <w:t>(ii)</w:t>
      </w:r>
      <w:r w:rsidRPr="00283424">
        <w:tab/>
        <w:t>the investment objectives of the pooled superannuation trust;</w:t>
      </w:r>
    </w:p>
    <w:p w14:paraId="2A3E37FF" w14:textId="77777777" w:rsidR="00E93F58" w:rsidRPr="00283424" w:rsidRDefault="00E93F58" w:rsidP="00B50726">
      <w:pPr>
        <w:pStyle w:val="paragraph"/>
      </w:pPr>
      <w:r w:rsidRPr="00283424">
        <w:rPr>
          <w:color w:val="000000"/>
        </w:rPr>
        <w:tab/>
        <w:t>(b)</w:t>
      </w:r>
      <w:r w:rsidRPr="00283424">
        <w:rPr>
          <w:color w:val="000000"/>
        </w:rPr>
        <w:tab/>
        <w:t>a statement to the effect that other information is available on request.</w:t>
      </w:r>
    </w:p>
    <w:p w14:paraId="2FF6F48D" w14:textId="77777777" w:rsidR="00E93F58" w:rsidRPr="00283424" w:rsidRDefault="00E93F58" w:rsidP="00B50726">
      <w:pPr>
        <w:pStyle w:val="ActHead5"/>
      </w:pPr>
      <w:bookmarkStart w:id="1803" w:name="_Toc152054877"/>
      <w:bookmarkStart w:id="1804" w:name="_Toc158712693"/>
      <w:r w:rsidRPr="006F296E">
        <w:rPr>
          <w:rStyle w:val="CharSectno"/>
        </w:rPr>
        <w:t>7.9.42</w:t>
      </w:r>
      <w:r w:rsidRPr="00283424">
        <w:t xml:space="preserve">  Specific requirements in particular cases</w:t>
      </w:r>
      <w:bookmarkEnd w:id="1803"/>
      <w:bookmarkEnd w:id="1804"/>
    </w:p>
    <w:p w14:paraId="30108091" w14:textId="77777777" w:rsidR="00E93F58" w:rsidRPr="00283424" w:rsidRDefault="00E93F58" w:rsidP="00B50726">
      <w:pPr>
        <w:pStyle w:val="subsection"/>
      </w:pPr>
      <w:r w:rsidRPr="00283424">
        <w:tab/>
        <w:t>(1)</w:t>
      </w:r>
      <w:r w:rsidRPr="00283424">
        <w:tab/>
      </w:r>
      <w:r w:rsidRPr="001C4A59">
        <w:t>Subject to subregulations (2) and (3), fund information includes</w:t>
      </w:r>
      <w:r w:rsidRPr="00283424">
        <w:t xml:space="preserve"> the following, so far as they are applicable:</w:t>
      </w:r>
    </w:p>
    <w:p w14:paraId="04210F20" w14:textId="77777777" w:rsidR="00E93F58" w:rsidRPr="00283424" w:rsidRDefault="00E93F58" w:rsidP="00B50726">
      <w:pPr>
        <w:pStyle w:val="paragraph"/>
      </w:pPr>
      <w:r w:rsidRPr="00283424">
        <w:rPr>
          <w:color w:val="000000"/>
        </w:rPr>
        <w:tab/>
        <w:t>(a)</w:t>
      </w:r>
      <w:r w:rsidRPr="00283424">
        <w:rPr>
          <w:color w:val="000000"/>
        </w:rPr>
        <w:tab/>
        <w:t>in respect of the pooled superannuation trust—the names of investment managers appointed by the trustee;</w:t>
      </w:r>
    </w:p>
    <w:p w14:paraId="034DE6F1" w14:textId="77777777" w:rsidR="00E93F58" w:rsidRPr="00283424" w:rsidRDefault="00E93F58" w:rsidP="00B50726">
      <w:pPr>
        <w:pStyle w:val="paragraph"/>
      </w:pPr>
      <w:r w:rsidRPr="00283424">
        <w:tab/>
        <w:t>(b)</w:t>
      </w:r>
      <w:r w:rsidRPr="00283424">
        <w:tab/>
        <w:t>the name of each approved trustee of the pooled superannuation trust during the relevant reporting period;</w:t>
      </w:r>
    </w:p>
    <w:p w14:paraId="5EA15463" w14:textId="77777777" w:rsidR="00E93F58" w:rsidRPr="00283424" w:rsidRDefault="00E93F58" w:rsidP="00B50726">
      <w:pPr>
        <w:pStyle w:val="paragraph"/>
      </w:pPr>
      <w:r w:rsidRPr="00283424">
        <w:tab/>
        <w:t>(d)</w:t>
      </w:r>
      <w:r w:rsidRPr="00283424">
        <w:tab/>
        <w:t>in respect of the pooled superannuation trust—a statement of assets as at the end of:</w:t>
      </w:r>
    </w:p>
    <w:p w14:paraId="6E2F3394" w14:textId="77777777" w:rsidR="00E93F58" w:rsidRPr="00283424" w:rsidRDefault="00E93F58" w:rsidP="00B50726">
      <w:pPr>
        <w:pStyle w:val="paragraphsub"/>
      </w:pPr>
      <w:r w:rsidRPr="00283424">
        <w:rPr>
          <w:color w:val="000000"/>
        </w:rPr>
        <w:tab/>
        <w:t>(i)</w:t>
      </w:r>
      <w:r w:rsidRPr="00283424">
        <w:rPr>
          <w:color w:val="000000"/>
        </w:rPr>
        <w:tab/>
        <w:t>the relevant reporting period; and</w:t>
      </w:r>
    </w:p>
    <w:p w14:paraId="23DAAEE7" w14:textId="77777777" w:rsidR="00E93F58" w:rsidRPr="00283424" w:rsidRDefault="00E93F58" w:rsidP="00B50726">
      <w:pPr>
        <w:pStyle w:val="paragraphsub"/>
      </w:pPr>
      <w:r w:rsidRPr="00283424">
        <w:tab/>
        <w:t>(ii)</w:t>
      </w:r>
      <w:r w:rsidRPr="00283424">
        <w:tab/>
        <w:t>the immediately preceding reporting period;</w:t>
      </w:r>
    </w:p>
    <w:p w14:paraId="17748A65" w14:textId="77777777" w:rsidR="00E93F58" w:rsidRPr="00283424" w:rsidRDefault="00E93F58" w:rsidP="00B50726">
      <w:pPr>
        <w:pStyle w:val="paragraph"/>
      </w:pPr>
      <w:r w:rsidRPr="00283424">
        <w:rPr>
          <w:color w:val="000000"/>
        </w:rPr>
        <w:lastRenderedPageBreak/>
        <w:tab/>
      </w:r>
      <w:r w:rsidRPr="00283424">
        <w:rPr>
          <w:color w:val="000000"/>
        </w:rPr>
        <w:tab/>
        <w:t>that includes sufficient information to enable unit</w:t>
      </w:r>
      <w:r>
        <w:rPr>
          <w:color w:val="000000"/>
        </w:rPr>
        <w:noBreakHyphen/>
      </w:r>
      <w:r w:rsidRPr="00283424">
        <w:rPr>
          <w:color w:val="000000"/>
        </w:rPr>
        <w:t>holders to understand the asset allocation at those times;</w:t>
      </w:r>
    </w:p>
    <w:p w14:paraId="6CEDFA30" w14:textId="77777777" w:rsidR="00E93F58" w:rsidRPr="00283424" w:rsidRDefault="00E93F58" w:rsidP="00B50726">
      <w:pPr>
        <w:pStyle w:val="paragraph"/>
      </w:pPr>
      <w:r w:rsidRPr="00283424">
        <w:tab/>
        <w:t>(e)</w:t>
      </w:r>
      <w:r w:rsidRPr="00283424">
        <w:tab/>
        <w:t>details of:</w:t>
      </w:r>
    </w:p>
    <w:p w14:paraId="00A3F7CE" w14:textId="77777777" w:rsidR="00E93F58" w:rsidRPr="00283424" w:rsidRDefault="00E93F58" w:rsidP="00B50726">
      <w:pPr>
        <w:pStyle w:val="paragraphsub"/>
      </w:pPr>
      <w:r w:rsidRPr="00283424">
        <w:rPr>
          <w:color w:val="000000"/>
        </w:rPr>
        <w:tab/>
        <w:t>(i)</w:t>
      </w:r>
      <w:r w:rsidRPr="00283424">
        <w:rPr>
          <w:color w:val="000000"/>
        </w:rPr>
        <w:tab/>
        <w:t>each investment that has a value in excess of 5% of the total assets of the pooled superannuation trust; and</w:t>
      </w:r>
    </w:p>
    <w:p w14:paraId="2D6650C3" w14:textId="77777777" w:rsidR="00E93F58" w:rsidRPr="00283424" w:rsidRDefault="00E93F58" w:rsidP="00B50726">
      <w:pPr>
        <w:pStyle w:val="paragraphsub"/>
      </w:pPr>
      <w:r w:rsidRPr="00283424">
        <w:tab/>
        <w:t>(ii)</w:t>
      </w:r>
      <w:r w:rsidRPr="00283424">
        <w:tab/>
        <w:t>details of each combination of investments that the trustee knows or ought reasonably to know are invested, directly or indirectly, in a single enterprise or single group of associated enterprises and that have a combined value in excess of 5% of the total assets of the pooled superannuation trust;</w:t>
      </w:r>
    </w:p>
    <w:p w14:paraId="493501C9" w14:textId="77777777" w:rsidR="00E93F58" w:rsidRPr="00283424" w:rsidRDefault="00E93F58" w:rsidP="00B50726">
      <w:pPr>
        <w:pStyle w:val="paragraph"/>
      </w:pPr>
      <w:r w:rsidRPr="00283424">
        <w:rPr>
          <w:color w:val="000000"/>
        </w:rPr>
        <w:tab/>
        <w:t>(f)</w:t>
      </w:r>
      <w:r w:rsidRPr="00283424">
        <w:rPr>
          <w:color w:val="000000"/>
        </w:rPr>
        <w:tab/>
        <w:t>in respect of the pooled superannuation trust—the effective rate of net earnings of the pooled superannuation trust in the most recent reporting periods that, in total, constitute a period of at least 3 years;</w:t>
      </w:r>
    </w:p>
    <w:p w14:paraId="11926329" w14:textId="77777777" w:rsidR="00E93F58" w:rsidRPr="00283424" w:rsidRDefault="00E93F58" w:rsidP="00B50726">
      <w:pPr>
        <w:pStyle w:val="paragraph"/>
      </w:pPr>
      <w:r w:rsidRPr="00283424">
        <w:tab/>
        <w:t>(g)</w:t>
      </w:r>
      <w:r w:rsidRPr="00283424">
        <w:tab/>
        <w:t>the information about costs of transactions mentioned in regulation 7.9.75;</w:t>
      </w:r>
    </w:p>
    <w:p w14:paraId="37F2E3AD" w14:textId="77777777" w:rsidR="00E93F58" w:rsidRPr="00283424" w:rsidRDefault="00E93F58" w:rsidP="00B50726">
      <w:pPr>
        <w:pStyle w:val="paragraph"/>
      </w:pPr>
      <w:r w:rsidRPr="00283424">
        <w:tab/>
        <w:t>(h)</w:t>
      </w:r>
      <w:r w:rsidRPr="00283424">
        <w:tab/>
        <w:t>details of any penalties imposed on the trustee under:</w:t>
      </w:r>
    </w:p>
    <w:p w14:paraId="7C153E22" w14:textId="77777777" w:rsidR="00E93F58" w:rsidRPr="00283424" w:rsidRDefault="00E93F58" w:rsidP="00B50726">
      <w:pPr>
        <w:pStyle w:val="paragraphsub"/>
      </w:pPr>
      <w:r w:rsidRPr="00283424">
        <w:rPr>
          <w:color w:val="000000"/>
        </w:rPr>
        <w:tab/>
        <w:t>(i)</w:t>
      </w:r>
      <w:r w:rsidRPr="00283424">
        <w:rPr>
          <w:color w:val="000000"/>
        </w:rPr>
        <w:tab/>
        <w:t>section 38A of the SIS Act; or</w:t>
      </w:r>
    </w:p>
    <w:p w14:paraId="55FD99D5" w14:textId="77777777" w:rsidR="00E93F58" w:rsidRPr="00283424" w:rsidRDefault="00E93F58" w:rsidP="00B50726">
      <w:pPr>
        <w:pStyle w:val="paragraphsub"/>
      </w:pPr>
      <w:r w:rsidRPr="00283424">
        <w:tab/>
        <w:t>(ii)</w:t>
      </w:r>
      <w:r w:rsidRPr="00283424">
        <w:tab/>
        <w:t>section 182 of the RSA Act.</w:t>
      </w:r>
    </w:p>
    <w:p w14:paraId="7D036767"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06A2D142" w14:textId="77777777" w:rsidR="00E93F58" w:rsidRPr="00283424" w:rsidRDefault="00E93F58" w:rsidP="00B50726">
      <w:pPr>
        <w:pStyle w:val="subsection"/>
      </w:pPr>
      <w:r w:rsidRPr="00283424">
        <w:tab/>
        <w:t>(3)</w:t>
      </w:r>
      <w:r w:rsidRPr="00283424">
        <w:tab/>
        <w:t>For subparagraph (1)(e)(ii), investments in a trust are taken not to be invested in the trustee of the trust.</w:t>
      </w:r>
    </w:p>
    <w:p w14:paraId="2F4287C0" w14:textId="77777777" w:rsidR="00E93F58" w:rsidRPr="00283424" w:rsidRDefault="00E93F58" w:rsidP="00B50726">
      <w:pPr>
        <w:pStyle w:val="ActHead4"/>
      </w:pPr>
      <w:bookmarkStart w:id="1805" w:name="_Toc152054878"/>
      <w:bookmarkStart w:id="1806" w:name="_Toc158712694"/>
      <w:r w:rsidRPr="006F296E">
        <w:rPr>
          <w:rStyle w:val="CharSubdNo"/>
        </w:rPr>
        <w:t>Subdivision 5.8</w:t>
      </w:r>
      <w:r w:rsidRPr="00283424">
        <w:t>—</w:t>
      </w:r>
      <w:r w:rsidRPr="006F296E">
        <w:rPr>
          <w:rStyle w:val="CharSubdText"/>
        </w:rPr>
        <w:t>Ongoing disclosure of material changes and significant events</w:t>
      </w:r>
      <w:bookmarkEnd w:id="1805"/>
      <w:bookmarkEnd w:id="1806"/>
    </w:p>
    <w:p w14:paraId="265EA220" w14:textId="77777777" w:rsidR="00E93F58" w:rsidRPr="00283424" w:rsidRDefault="00E93F58" w:rsidP="00B50726">
      <w:pPr>
        <w:pStyle w:val="ActHead5"/>
      </w:pPr>
      <w:bookmarkStart w:id="1807" w:name="_Toc152054879"/>
      <w:bookmarkStart w:id="1808" w:name="_Toc158712695"/>
      <w:r w:rsidRPr="006F296E">
        <w:rPr>
          <w:rStyle w:val="CharSectno"/>
        </w:rPr>
        <w:t>7.9.43</w:t>
      </w:r>
      <w:r w:rsidRPr="00283424">
        <w:t xml:space="preserve">  Modification of Act: disclosure of material changes and significant events in relation to superannuation products and </w:t>
      </w:r>
      <w:r w:rsidRPr="006E32BB">
        <w:t>RSAs</w:t>
      </w:r>
      <w:bookmarkEnd w:id="1807"/>
      <w:bookmarkEnd w:id="1808"/>
    </w:p>
    <w:p w14:paraId="177E6325" w14:textId="77777777" w:rsidR="00E93F58" w:rsidRPr="00283424" w:rsidRDefault="00E93F58" w:rsidP="00B50726">
      <w:pPr>
        <w:pStyle w:val="subsection"/>
        <w:keepNext/>
        <w:keepLines/>
      </w:pPr>
      <w:r w:rsidRPr="00283424">
        <w:tab/>
      </w:r>
      <w:r w:rsidRPr="00283424">
        <w:tab/>
        <w:t>For paragraph 1020G(1)(c) of the Act, Part 7.9 of the Act is modified in its application in relation to:</w:t>
      </w:r>
    </w:p>
    <w:p w14:paraId="66AE3AC9" w14:textId="77777777" w:rsidR="00E93F58" w:rsidRPr="00283424" w:rsidRDefault="00E93F58" w:rsidP="00B50726">
      <w:pPr>
        <w:pStyle w:val="paragraph"/>
      </w:pPr>
      <w:r w:rsidRPr="00283424">
        <w:rPr>
          <w:color w:val="000000"/>
        </w:rPr>
        <w:tab/>
        <w:t>(a)</w:t>
      </w:r>
      <w:r w:rsidRPr="00283424">
        <w:rPr>
          <w:color w:val="000000"/>
        </w:rPr>
        <w:tab/>
        <w:t>a regulated superannuation fund (other than a self managed superannuation fund); and</w:t>
      </w:r>
    </w:p>
    <w:p w14:paraId="451221A3" w14:textId="77777777" w:rsidR="00E93F58" w:rsidRPr="00283424" w:rsidRDefault="00E93F58" w:rsidP="00B50726">
      <w:pPr>
        <w:pStyle w:val="paragraph"/>
      </w:pPr>
      <w:r w:rsidRPr="00283424">
        <w:tab/>
        <w:t>(b)</w:t>
      </w:r>
      <w:r w:rsidRPr="00283424">
        <w:tab/>
        <w:t>an approved deposit fund (other than an excluded approved deposit fund); and</w:t>
      </w:r>
    </w:p>
    <w:p w14:paraId="63A14447" w14:textId="77777777" w:rsidR="00E93F58" w:rsidRPr="00283424" w:rsidRDefault="00E93F58" w:rsidP="00B50726">
      <w:pPr>
        <w:pStyle w:val="paragraph"/>
      </w:pPr>
      <w:r w:rsidRPr="00283424">
        <w:tab/>
        <w:t>(c)</w:t>
      </w:r>
      <w:r w:rsidRPr="00283424">
        <w:tab/>
        <w:t>a pooled superannuation trust; and</w:t>
      </w:r>
    </w:p>
    <w:p w14:paraId="3CC53E5F" w14:textId="77777777" w:rsidR="00E93F58" w:rsidRPr="00283424" w:rsidRDefault="00E93F58" w:rsidP="00B50726">
      <w:pPr>
        <w:pStyle w:val="paragraph"/>
      </w:pPr>
      <w:r w:rsidRPr="00283424">
        <w:tab/>
        <w:t>(d)</w:t>
      </w:r>
      <w:r w:rsidRPr="00283424">
        <w:tab/>
        <w:t>an RSA;</w:t>
      </w:r>
    </w:p>
    <w:p w14:paraId="75F68F89" w14:textId="77777777" w:rsidR="00E93F58" w:rsidRPr="00283424" w:rsidRDefault="00E93F58" w:rsidP="00B50726">
      <w:pPr>
        <w:pStyle w:val="subsection2"/>
      </w:pPr>
      <w:r w:rsidRPr="00283424">
        <w:rPr>
          <w:color w:val="000000"/>
        </w:rPr>
        <w:t>as set out in Part 10 of Schedule 10A.</w:t>
      </w:r>
    </w:p>
    <w:p w14:paraId="0EED707C" w14:textId="77777777" w:rsidR="00E93F58" w:rsidRPr="00283424" w:rsidRDefault="00E93F58" w:rsidP="00B50726">
      <w:pPr>
        <w:pStyle w:val="ActHead5"/>
      </w:pPr>
      <w:bookmarkStart w:id="1809" w:name="_Toc152054880"/>
      <w:bookmarkStart w:id="1810" w:name="_Toc158712696"/>
      <w:r w:rsidRPr="006F296E">
        <w:rPr>
          <w:rStyle w:val="CharSectno"/>
        </w:rPr>
        <w:t>7.9.44</w:t>
      </w:r>
      <w:r w:rsidRPr="00283424">
        <w:t xml:space="preserve">  Benefits to be paid to eligible rollover fund</w:t>
      </w:r>
      <w:bookmarkEnd w:id="1809"/>
      <w:bookmarkEnd w:id="1810"/>
    </w:p>
    <w:p w14:paraId="4601064F" w14:textId="77777777" w:rsidR="00E93F58" w:rsidRPr="00283424" w:rsidRDefault="00E93F58" w:rsidP="00B50726">
      <w:pPr>
        <w:pStyle w:val="subsection"/>
      </w:pPr>
      <w:r w:rsidRPr="00283424">
        <w:rPr>
          <w:color w:val="000000"/>
        </w:rPr>
        <w:tab/>
        <w:t>(1)</w:t>
      </w:r>
      <w:r w:rsidRPr="00283424">
        <w:rPr>
          <w:color w:val="000000"/>
        </w:rPr>
        <w:tab/>
        <w:t xml:space="preserve">For subsection 1017DA(1) of the Act, if the benefits of a superannuation product holder or </w:t>
      </w:r>
      <w:r w:rsidRPr="00BE1284">
        <w:t>an RSA</w:t>
      </w:r>
      <w:r w:rsidRPr="00283424">
        <w:rPr>
          <w:color w:val="000000"/>
        </w:rPr>
        <w:t xml:space="preserve"> holder </w:t>
      </w:r>
      <w:r w:rsidRPr="00283424">
        <w:t>will be paid (otherwise than under a payment split) to an eligible rollover fund</w:t>
      </w:r>
      <w:r w:rsidRPr="00283424">
        <w:rPr>
          <w:color w:val="000000"/>
        </w:rPr>
        <w:t xml:space="preserve"> unless the holder chooses, within a specified period, another superannuation entity, an </w:t>
      </w:r>
      <w:r w:rsidRPr="00BE1284">
        <w:t>exempt public sector superannuation scheme</w:t>
      </w:r>
      <w:r w:rsidRPr="00283424">
        <w:rPr>
          <w:color w:val="000000"/>
        </w:rPr>
        <w:t xml:space="preserve"> or an RSA to which those benefits will be paid, the responsible person must give a notice to the product holder within a reasonable period to allow a decision to be made.</w:t>
      </w:r>
    </w:p>
    <w:p w14:paraId="305BE68F" w14:textId="77777777" w:rsidR="00E93F58" w:rsidRPr="00283424" w:rsidRDefault="00E93F58" w:rsidP="00B50726">
      <w:pPr>
        <w:pStyle w:val="subsection"/>
      </w:pPr>
      <w:r w:rsidRPr="00283424">
        <w:tab/>
        <w:t>(2)</w:t>
      </w:r>
      <w:r w:rsidRPr="00283424">
        <w:tab/>
        <w:t>The notice must include:</w:t>
      </w:r>
    </w:p>
    <w:p w14:paraId="50A8B7F7" w14:textId="77777777" w:rsidR="00E93F58" w:rsidRPr="00283424" w:rsidRDefault="00E93F58" w:rsidP="00B50726">
      <w:pPr>
        <w:pStyle w:val="paragraph"/>
        <w:rPr>
          <w:color w:val="000000"/>
        </w:rPr>
      </w:pPr>
      <w:r w:rsidRPr="00283424">
        <w:rPr>
          <w:color w:val="000000"/>
        </w:rPr>
        <w:tab/>
        <w:t>(a)</w:t>
      </w:r>
      <w:r w:rsidRPr="00283424">
        <w:rPr>
          <w:color w:val="000000"/>
        </w:rPr>
        <w:tab/>
        <w:t xml:space="preserve">information about the payment to the eligible rollover fund that will assist the product holder to decide between having the benefits paid to that other superannuation entity, the </w:t>
      </w:r>
      <w:r w:rsidRPr="00BE1284">
        <w:t>exempt public sector superannuation scheme</w:t>
      </w:r>
      <w:r w:rsidRPr="00283424">
        <w:rPr>
          <w:color w:val="000000"/>
        </w:rPr>
        <w:t>, the RSA or the eligible rollover fund; and</w:t>
      </w:r>
    </w:p>
    <w:p w14:paraId="73A66B86" w14:textId="77777777" w:rsidR="00E93F58" w:rsidRPr="00283424" w:rsidRDefault="00E93F58" w:rsidP="00B50726">
      <w:pPr>
        <w:pStyle w:val="paragraph"/>
      </w:pPr>
      <w:r w:rsidRPr="00283424">
        <w:tab/>
        <w:t>(b)</w:t>
      </w:r>
      <w:r w:rsidRPr="00283424">
        <w:tab/>
        <w:t>so much of the following information as is relevant:</w:t>
      </w:r>
    </w:p>
    <w:p w14:paraId="5277E9FE" w14:textId="77777777" w:rsidR="00E93F58" w:rsidRPr="00283424" w:rsidRDefault="00E93F58" w:rsidP="00B50726">
      <w:pPr>
        <w:pStyle w:val="paragraphsub"/>
        <w:rPr>
          <w:color w:val="000000"/>
        </w:rPr>
      </w:pPr>
      <w:r w:rsidRPr="00283424">
        <w:rPr>
          <w:color w:val="000000"/>
        </w:rPr>
        <w:tab/>
        <w:t>(i)</w:t>
      </w:r>
      <w:r w:rsidRPr="00283424">
        <w:rPr>
          <w:color w:val="000000"/>
        </w:rPr>
        <w:tab/>
        <w:t xml:space="preserve">an explanation why the product issuer (the </w:t>
      </w:r>
      <w:r w:rsidRPr="00283424">
        <w:rPr>
          <w:b/>
          <w:i/>
          <w:color w:val="000000"/>
        </w:rPr>
        <w:t>transferor</w:t>
      </w:r>
      <w:r w:rsidRPr="00283424">
        <w:rPr>
          <w:color w:val="000000"/>
        </w:rPr>
        <w:t>) intends to pay the product holder’s benefits to the eligible rollover fund if the product holder does not make the choice within the period;</w:t>
      </w:r>
    </w:p>
    <w:p w14:paraId="5D5887EB" w14:textId="77777777" w:rsidR="00E93F58" w:rsidRPr="00283424" w:rsidRDefault="00E93F58" w:rsidP="00B50726">
      <w:pPr>
        <w:pStyle w:val="paragraphsub"/>
      </w:pPr>
      <w:r w:rsidRPr="00283424">
        <w:tab/>
        <w:t>(ii)</w:t>
      </w:r>
      <w:r w:rsidRPr="00283424">
        <w:tab/>
        <w:t>a statement of the effect of the payment of benefits to the eligible rollover fund;</w:t>
      </w:r>
    </w:p>
    <w:p w14:paraId="286329A0" w14:textId="77777777" w:rsidR="00E93F58" w:rsidRPr="00283424" w:rsidRDefault="00E93F58" w:rsidP="00B50726">
      <w:pPr>
        <w:pStyle w:val="paragraphsub"/>
      </w:pPr>
      <w:r w:rsidRPr="00283424">
        <w:tab/>
        <w:t>(iii)</w:t>
      </w:r>
      <w:r w:rsidRPr="00283424">
        <w:tab/>
        <w:t>the contact details of the eligible rollover fund;</w:t>
      </w:r>
    </w:p>
    <w:p w14:paraId="7F409E23" w14:textId="77777777" w:rsidR="00E93F58" w:rsidRPr="00283424" w:rsidRDefault="00E93F58" w:rsidP="00B50726">
      <w:pPr>
        <w:pStyle w:val="paragraphsub"/>
      </w:pPr>
      <w:r w:rsidRPr="00283424">
        <w:tab/>
        <w:t>(iv)</w:t>
      </w:r>
      <w:r w:rsidRPr="00283424">
        <w:tab/>
        <w:t>subject to subregulation (3), the amount, of the product holder’s benefits that will be paid from the transferor;</w:t>
      </w:r>
    </w:p>
    <w:p w14:paraId="6CFF9BB3" w14:textId="77777777" w:rsidR="00E93F58" w:rsidRPr="00283424" w:rsidRDefault="00E93F58" w:rsidP="00B50726">
      <w:pPr>
        <w:pStyle w:val="paragraphsub"/>
      </w:pPr>
      <w:r w:rsidRPr="00283424">
        <w:tab/>
        <w:t>(v)</w:t>
      </w:r>
      <w:r w:rsidRPr="00283424">
        <w:tab/>
        <w:t xml:space="preserve">a statement to the effect that, if the product holder chooses a superannuation entity, </w:t>
      </w:r>
      <w:r w:rsidRPr="00BE1284">
        <w:t>exempt public sector superannuation scheme</w:t>
      </w:r>
      <w:r w:rsidRPr="00283424">
        <w:t xml:space="preserve"> or RSA that refuses to accept the payment of the product holder’s benefit, or the product holder makes no choice within the specified period, the responsible person will pay the product holder’s benefits to the eligible rollover fund.</w:t>
      </w:r>
    </w:p>
    <w:p w14:paraId="25050CF4" w14:textId="77777777" w:rsidR="00E93F58" w:rsidRPr="00283424" w:rsidRDefault="00E93F58" w:rsidP="00B50726">
      <w:pPr>
        <w:pStyle w:val="subsection"/>
      </w:pPr>
      <w:r w:rsidRPr="00283424">
        <w:rPr>
          <w:color w:val="000000"/>
        </w:rPr>
        <w:tab/>
        <w:t>(3)</w:t>
      </w:r>
      <w:r w:rsidRPr="00283424">
        <w:rPr>
          <w:color w:val="000000"/>
        </w:rPr>
        <w:tab/>
        <w:t>For subparagraph (2)(b)(iv), the product issuer may inform a product holder of the approximate amount of the product holder’s benefits if, at the time the information is to be given, the responsible person cannot determine the exact amount of the product holder’s benefits that will be paid from the superannuation entity or RSA.</w:t>
      </w:r>
    </w:p>
    <w:p w14:paraId="4DCEA7E9" w14:textId="77777777" w:rsidR="00E93F58" w:rsidRPr="00283424" w:rsidRDefault="00E93F58" w:rsidP="00B50726">
      <w:pPr>
        <w:pStyle w:val="subsection"/>
      </w:pPr>
      <w:r w:rsidRPr="00283424">
        <w:lastRenderedPageBreak/>
        <w:tab/>
        <w:t>(4)</w:t>
      </w:r>
      <w:r w:rsidRPr="00283424">
        <w:tab/>
        <w:t xml:space="preserve">This regulation does not require the responsible person of the transferor to provide information about RSAs, </w:t>
      </w:r>
      <w:r w:rsidRPr="00BE1284">
        <w:t>exempt public sector superannuation schemes</w:t>
      </w:r>
      <w:r w:rsidRPr="00283424">
        <w:t xml:space="preserve"> or superannuation entities other than the eligible rollover fund.</w:t>
      </w:r>
    </w:p>
    <w:p w14:paraId="0C0C6320" w14:textId="77777777" w:rsidR="00E93F58" w:rsidRPr="00283424" w:rsidRDefault="00E93F58" w:rsidP="00B50726">
      <w:pPr>
        <w:pStyle w:val="subsection"/>
      </w:pPr>
      <w:r w:rsidRPr="00283424">
        <w:tab/>
        <w:t>(5)</w:t>
      </w:r>
      <w:r w:rsidRPr="00283424">
        <w:tab/>
        <w:t>The notice may be given in writing or electronic form.</w:t>
      </w:r>
    </w:p>
    <w:p w14:paraId="52436F0F" w14:textId="77777777" w:rsidR="00E93F58" w:rsidRPr="00283424" w:rsidRDefault="00E93F58" w:rsidP="00B50726">
      <w:pPr>
        <w:pStyle w:val="subsection"/>
      </w:pPr>
      <w:r w:rsidRPr="00283424">
        <w:tab/>
        <w:t>(6)</w:t>
      </w:r>
      <w:r w:rsidRPr="00283424">
        <w:tab/>
        <w:t>In this regulation:</w:t>
      </w:r>
    </w:p>
    <w:p w14:paraId="00086147" w14:textId="77777777" w:rsidR="00E93F58" w:rsidRPr="00283424" w:rsidRDefault="00E93F58" w:rsidP="00B50726">
      <w:pPr>
        <w:pStyle w:val="Definition"/>
      </w:pPr>
      <w:r w:rsidRPr="00283424">
        <w:rPr>
          <w:b/>
          <w:i/>
          <w:color w:val="000000"/>
        </w:rPr>
        <w:t>responsible person</w:t>
      </w:r>
      <w:r w:rsidRPr="00283424">
        <w:t xml:space="preserve"> means:</w:t>
      </w:r>
    </w:p>
    <w:p w14:paraId="5C889790" w14:textId="77777777" w:rsidR="00E93F58" w:rsidRPr="00283424" w:rsidRDefault="00E93F58" w:rsidP="00B50726">
      <w:pPr>
        <w:pStyle w:val="paragraph"/>
        <w:rPr>
          <w:color w:val="000000"/>
        </w:rPr>
      </w:pPr>
      <w:r w:rsidRPr="00283424">
        <w:rPr>
          <w:color w:val="000000"/>
        </w:rPr>
        <w:tab/>
        <w:t>(a)</w:t>
      </w:r>
      <w:r w:rsidRPr="00283424">
        <w:rPr>
          <w:color w:val="000000"/>
        </w:rPr>
        <w:tab/>
        <w:t>a trustee of a superannuation entity; or</w:t>
      </w:r>
    </w:p>
    <w:p w14:paraId="7F2B670C" w14:textId="77777777" w:rsidR="00E93F58" w:rsidRPr="00283424" w:rsidRDefault="00E93F58" w:rsidP="00B50726">
      <w:pPr>
        <w:pStyle w:val="paragraph"/>
      </w:pPr>
      <w:r w:rsidRPr="00283424">
        <w:tab/>
        <w:t>(b)</w:t>
      </w:r>
      <w:r w:rsidRPr="00283424">
        <w:tab/>
        <w:t>an RSA provider.</w:t>
      </w:r>
    </w:p>
    <w:p w14:paraId="3F1D28E0" w14:textId="77777777" w:rsidR="00E93F58" w:rsidRPr="00283424" w:rsidRDefault="00E93F58" w:rsidP="00B50726">
      <w:pPr>
        <w:pStyle w:val="ActHead4"/>
      </w:pPr>
      <w:bookmarkStart w:id="1811" w:name="_Toc152054881"/>
      <w:bookmarkStart w:id="1812" w:name="_Toc158712697"/>
      <w:r w:rsidRPr="006F296E">
        <w:rPr>
          <w:rStyle w:val="CharSubdNo"/>
        </w:rPr>
        <w:t>Subdivision 5.8A</w:t>
      </w:r>
      <w:r w:rsidRPr="00283424">
        <w:t>—</w:t>
      </w:r>
      <w:r w:rsidRPr="006F296E">
        <w:rPr>
          <w:rStyle w:val="CharSubdText"/>
        </w:rPr>
        <w:t>Information in relation to inactive superannuation accounts</w:t>
      </w:r>
      <w:bookmarkEnd w:id="1811"/>
      <w:bookmarkEnd w:id="1812"/>
    </w:p>
    <w:p w14:paraId="5CB5FA68" w14:textId="77777777" w:rsidR="00E93F58" w:rsidRPr="00283424" w:rsidRDefault="00E93F58" w:rsidP="00B50726">
      <w:pPr>
        <w:pStyle w:val="ActHead5"/>
      </w:pPr>
      <w:bookmarkStart w:id="1813" w:name="_Toc152054882"/>
      <w:bookmarkStart w:id="1814" w:name="_Toc158712698"/>
      <w:r w:rsidRPr="006F296E">
        <w:rPr>
          <w:rStyle w:val="CharSectno"/>
        </w:rPr>
        <w:t>7.9.44A</w:t>
      </w:r>
      <w:r w:rsidRPr="00283424">
        <w:t xml:space="preserve">  Meaning of </w:t>
      </w:r>
      <w:r w:rsidRPr="00283424">
        <w:rPr>
          <w:i/>
        </w:rPr>
        <w:t>inactive</w:t>
      </w:r>
      <w:bookmarkEnd w:id="1813"/>
      <w:bookmarkEnd w:id="1814"/>
    </w:p>
    <w:p w14:paraId="4C544A3D" w14:textId="77777777" w:rsidR="00E93F58" w:rsidRPr="00283424" w:rsidRDefault="00E93F58" w:rsidP="00B50726">
      <w:pPr>
        <w:pStyle w:val="subsection"/>
      </w:pPr>
      <w:r w:rsidRPr="00283424">
        <w:tab/>
      </w:r>
      <w:r w:rsidRPr="00283424">
        <w:tab/>
        <w:t xml:space="preserve">In this Subdivision, a member of a regulated superannuation fund has an account that is </w:t>
      </w:r>
      <w:r w:rsidRPr="00283424">
        <w:rPr>
          <w:b/>
          <w:i/>
        </w:rPr>
        <w:t xml:space="preserve">inactive </w:t>
      </w:r>
      <w:r w:rsidRPr="00283424">
        <w:t>in relation to a choice product or a MySuper product for a period if the member has an account that is inactive in relation to the product for the period within the meaning of subsection 68AAA(3) of the SIS Act.</w:t>
      </w:r>
    </w:p>
    <w:p w14:paraId="58B0D38F" w14:textId="77777777" w:rsidR="00E93F58" w:rsidRPr="00283424" w:rsidRDefault="00E93F58" w:rsidP="00B50726">
      <w:pPr>
        <w:pStyle w:val="ActHead5"/>
      </w:pPr>
      <w:bookmarkStart w:id="1815" w:name="_Toc152054883"/>
      <w:bookmarkStart w:id="1816" w:name="_Toc158712699"/>
      <w:r w:rsidRPr="006F296E">
        <w:rPr>
          <w:rStyle w:val="CharSectno"/>
        </w:rPr>
        <w:t>7.9.44B</w:t>
      </w:r>
      <w:r w:rsidRPr="00283424">
        <w:t xml:space="preserve">  Notices about insurance—inactivity</w:t>
      </w:r>
      <w:bookmarkEnd w:id="1815"/>
      <w:bookmarkEnd w:id="1816"/>
    </w:p>
    <w:p w14:paraId="12B10725" w14:textId="77777777" w:rsidR="00E93F58" w:rsidRPr="00283424" w:rsidRDefault="00E93F58" w:rsidP="00B50726">
      <w:pPr>
        <w:pStyle w:val="subsection"/>
      </w:pPr>
      <w:r w:rsidRPr="00283424">
        <w:tab/>
        <w:t>(1)</w:t>
      </w:r>
      <w:r w:rsidRPr="00283424">
        <w:tab/>
        <w:t>This regulation is made for the purposes of paragraph 1017DA(1)(a) of the Act.</w:t>
      </w:r>
    </w:p>
    <w:p w14:paraId="2C6BC306" w14:textId="77777777" w:rsidR="00E93F58" w:rsidRPr="00283424" w:rsidRDefault="00E93F58" w:rsidP="00B50726">
      <w:pPr>
        <w:pStyle w:val="SubsectionHead"/>
      </w:pPr>
      <w:r w:rsidRPr="00283424">
        <w:t>Application</w:t>
      </w:r>
    </w:p>
    <w:p w14:paraId="3D2599F1" w14:textId="77777777" w:rsidR="00E93F58" w:rsidRPr="00283424" w:rsidRDefault="00E93F58" w:rsidP="00B50726">
      <w:pPr>
        <w:pStyle w:val="subsection"/>
      </w:pPr>
      <w:r w:rsidRPr="00283424">
        <w:tab/>
        <w:t>(2)</w:t>
      </w:r>
      <w:r w:rsidRPr="00283424">
        <w:tab/>
        <w:t>This regulation applies if:</w:t>
      </w:r>
    </w:p>
    <w:p w14:paraId="668F8771" w14:textId="77777777" w:rsidR="00E93F58" w:rsidRPr="00283424" w:rsidRDefault="00E93F58" w:rsidP="00B50726">
      <w:pPr>
        <w:pStyle w:val="paragraph"/>
      </w:pPr>
      <w:r w:rsidRPr="00283424">
        <w:tab/>
        <w:t>(a)</w:t>
      </w:r>
      <w:r w:rsidRPr="00283424">
        <w:tab/>
        <w:t>a member of a regulated superannuation fund holds a choice product or a MySuper product offered by the fund; and</w:t>
      </w:r>
    </w:p>
    <w:p w14:paraId="2B4BF289" w14:textId="77777777" w:rsidR="00E93F58" w:rsidRPr="00283424" w:rsidRDefault="00E93F58" w:rsidP="00B50726">
      <w:pPr>
        <w:pStyle w:val="paragraph"/>
      </w:pPr>
      <w:r w:rsidRPr="00283424">
        <w:tab/>
        <w:t>(b)</w:t>
      </w:r>
      <w:r w:rsidRPr="00283424">
        <w:tab/>
        <w:t>the fund provides a benefit to, or in respect of, the member</w:t>
      </w:r>
      <w:r w:rsidRPr="00283424">
        <w:rPr>
          <w:b/>
          <w:i/>
        </w:rPr>
        <w:t xml:space="preserve"> </w:t>
      </w:r>
      <w:r w:rsidRPr="00283424">
        <w:t>under the product by taking out or maintaining insurance; and</w:t>
      </w:r>
    </w:p>
    <w:p w14:paraId="1BA44E9C" w14:textId="77777777" w:rsidR="00E93F58" w:rsidRPr="00283424" w:rsidRDefault="00E93F58" w:rsidP="00B50726">
      <w:pPr>
        <w:pStyle w:val="paragraph"/>
      </w:pPr>
      <w:r w:rsidRPr="00283424">
        <w:tab/>
        <w:t>(c)</w:t>
      </w:r>
      <w:r w:rsidRPr="00283424">
        <w:tab/>
        <w:t>the member has not made an election, under subsection 68AAA(2) of the SIS Act, that the benefit will be provided to, or in respect of, the member under the product by taking out or maintaining insurance even if the member’s account is inactive in relation to the product for a continuous period of 16 months; and</w:t>
      </w:r>
    </w:p>
    <w:p w14:paraId="09686C2D" w14:textId="77777777" w:rsidR="00E93F58" w:rsidRPr="00283424" w:rsidRDefault="00E93F58" w:rsidP="00B50726">
      <w:pPr>
        <w:pStyle w:val="paragraph"/>
      </w:pPr>
      <w:r w:rsidRPr="00283424">
        <w:tab/>
        <w:t>(d)</w:t>
      </w:r>
      <w:r w:rsidRPr="00283424">
        <w:tab/>
        <w:t>if under the governing rules of the fund the benefit will not be provided to, or in respect of, the member under the product by taking out or maintaining insurance if the member’s account is inactive for a period of less than 16 months—the member has not made an election under the governing rules of the fund that the benefit will be provided in that way even if the member’s account is inactive in relation to the product for that lesser period.</w:t>
      </w:r>
    </w:p>
    <w:p w14:paraId="060AA1FD" w14:textId="77777777" w:rsidR="00E93F58" w:rsidRPr="00283424" w:rsidRDefault="00E93F58" w:rsidP="00B50726">
      <w:pPr>
        <w:pStyle w:val="subsection"/>
      </w:pPr>
      <w:r w:rsidRPr="00283424">
        <w:tab/>
        <w:t>(3)</w:t>
      </w:r>
      <w:r w:rsidRPr="00283424">
        <w:tab/>
        <w:t>However, this regulation does not apply in relation to:</w:t>
      </w:r>
    </w:p>
    <w:p w14:paraId="60F51DC2" w14:textId="77777777" w:rsidR="00E93F58" w:rsidRPr="00283424" w:rsidRDefault="00E93F58" w:rsidP="00B50726">
      <w:pPr>
        <w:pStyle w:val="paragraph"/>
      </w:pPr>
      <w:r w:rsidRPr="00283424">
        <w:tab/>
        <w:t>(a)</w:t>
      </w:r>
      <w:r w:rsidRPr="00283424">
        <w:tab/>
        <w:t>a defined benefit member; or</w:t>
      </w:r>
    </w:p>
    <w:p w14:paraId="368373D1" w14:textId="77777777" w:rsidR="00E93F58" w:rsidRPr="00283424" w:rsidRDefault="00E93F58" w:rsidP="00B50726">
      <w:pPr>
        <w:pStyle w:val="paragraph"/>
      </w:pPr>
      <w:r w:rsidRPr="00283424">
        <w:tab/>
        <w:t>(b)</w:t>
      </w:r>
      <w:r w:rsidRPr="00283424">
        <w:tab/>
        <w:t xml:space="preserve">an ADF Super member (within the meaning of the </w:t>
      </w:r>
      <w:r w:rsidRPr="00283424">
        <w:rPr>
          <w:i/>
        </w:rPr>
        <w:t>Australian Defence Force Superannuation Act 2015</w:t>
      </w:r>
      <w:r w:rsidRPr="00283424">
        <w:t>); or</w:t>
      </w:r>
    </w:p>
    <w:p w14:paraId="6BFEF8AF" w14:textId="77777777" w:rsidR="00E93F58" w:rsidRPr="00283424" w:rsidRDefault="00E93F58" w:rsidP="00B50726">
      <w:pPr>
        <w:pStyle w:val="paragraph"/>
      </w:pPr>
      <w:r w:rsidRPr="00283424">
        <w:tab/>
        <w:t>(c)</w:t>
      </w:r>
      <w:r w:rsidRPr="00283424">
        <w:tab/>
        <w:t xml:space="preserve">a person who would be an ADF Super member apart from the fact that the regulated superannuation fund is or was, for the purposes of Part 3A of the </w:t>
      </w:r>
      <w:r w:rsidRPr="00283424">
        <w:rPr>
          <w:i/>
        </w:rPr>
        <w:t>Superannuation Guarantee (Administration) Act 1992</w:t>
      </w:r>
      <w:r w:rsidRPr="00283424">
        <w:t>, a chosen fund for contributions for the person’s superannuation by the Commonwealth; or</w:t>
      </w:r>
    </w:p>
    <w:p w14:paraId="2F9730A9" w14:textId="77777777" w:rsidR="00E93F58" w:rsidRPr="00283424" w:rsidRDefault="00E93F58" w:rsidP="00B50726">
      <w:pPr>
        <w:pStyle w:val="paragraph"/>
      </w:pPr>
      <w:r w:rsidRPr="00283424">
        <w:tab/>
        <w:t>(d)</w:t>
      </w:r>
      <w:r w:rsidRPr="00283424">
        <w:tab/>
        <w:t>a member to whom the employer</w:t>
      </w:r>
      <w:r>
        <w:noBreakHyphen/>
      </w:r>
      <w:r w:rsidRPr="00283424">
        <w:t>sponsor contribution exception applies under section 68AAE of the SIS Act.</w:t>
      </w:r>
    </w:p>
    <w:p w14:paraId="56328A33" w14:textId="77777777" w:rsidR="00E93F58" w:rsidRPr="00283424" w:rsidRDefault="00E93F58" w:rsidP="00B50726">
      <w:pPr>
        <w:pStyle w:val="SubsectionHead"/>
      </w:pPr>
      <w:r w:rsidRPr="00283424">
        <w:t>Insurance inactivity notices</w:t>
      </w:r>
    </w:p>
    <w:p w14:paraId="6BECB951" w14:textId="77777777" w:rsidR="00E93F58" w:rsidRPr="00283424" w:rsidRDefault="00E93F58" w:rsidP="00B50726">
      <w:pPr>
        <w:pStyle w:val="subsection"/>
      </w:pPr>
      <w:r w:rsidRPr="00283424">
        <w:tab/>
        <w:t>(4)</w:t>
      </w:r>
      <w:r w:rsidRPr="00283424">
        <w:tab/>
        <w:t>Each trustee of the regulated superannuation fund must ensure that the member is given an insurance inactivity notice in relation to the benefit for each occasion on which one of the following paragraphs is satisfied:</w:t>
      </w:r>
    </w:p>
    <w:p w14:paraId="738E3CC0" w14:textId="77777777" w:rsidR="00E93F58" w:rsidRPr="00283424" w:rsidRDefault="00E93F58" w:rsidP="00B50726">
      <w:pPr>
        <w:pStyle w:val="paragraph"/>
      </w:pPr>
      <w:r w:rsidRPr="00283424">
        <w:tab/>
        <w:t>(a)</w:t>
      </w:r>
      <w:r w:rsidRPr="00283424">
        <w:tab/>
        <w:t>the member’s account has been continuously inactive in relation to the product under which the benefit is provided for a period and, were the member’s account to continue to be inactive in relation to the product for a further period of 7 months, the fund would cease to provide the benefit by taking out or maintaining insurance either under the governing rules of the fund or because of the application of section 68AAA of the SIS Act;</w:t>
      </w:r>
    </w:p>
    <w:p w14:paraId="32BD9A58" w14:textId="77777777" w:rsidR="00E93F58" w:rsidRPr="00283424" w:rsidRDefault="00E93F58" w:rsidP="00B50726">
      <w:pPr>
        <w:pStyle w:val="paragraph"/>
      </w:pPr>
      <w:r w:rsidRPr="00283424">
        <w:tab/>
        <w:t>(b)</w:t>
      </w:r>
      <w:r w:rsidRPr="00283424">
        <w:tab/>
        <w:t xml:space="preserve">the member’s account has been continuously inactive in relation to the product under which the benefit is provided for a period and, were the member’s account to continue to be inactive in relation to the </w:t>
      </w:r>
      <w:r w:rsidRPr="00283424">
        <w:lastRenderedPageBreak/>
        <w:t>product for a further period of 4 months, the fund would cease to provide the benefit by taking out or maintaining insurance either under the governing rules of the fund or because of the application of section 68AAA of the SIS Act;</w:t>
      </w:r>
    </w:p>
    <w:p w14:paraId="2ED700E7" w14:textId="77777777" w:rsidR="00E93F58" w:rsidRPr="00283424" w:rsidRDefault="00E93F58" w:rsidP="00B50726">
      <w:pPr>
        <w:pStyle w:val="paragraph"/>
      </w:pPr>
      <w:r w:rsidRPr="00283424">
        <w:tab/>
        <w:t>(c)</w:t>
      </w:r>
      <w:r w:rsidRPr="00283424">
        <w:tab/>
        <w:t>the member’s account has been continuously inactive in relation to the product under which the benefit is provided for a period and, were the member’s account to continue to be inactive in relation to the product for a further period of 1 month, the fund would cease to provide the benefit by taking out or maintaining insurance either under the governing rules of the fund or because of the application of section 68AAA of the SIS Act.</w:t>
      </w:r>
    </w:p>
    <w:p w14:paraId="094A7D15" w14:textId="77777777" w:rsidR="00E93F58" w:rsidRPr="00283424" w:rsidRDefault="00E93F58" w:rsidP="00B50726">
      <w:pPr>
        <w:pStyle w:val="subsection"/>
      </w:pPr>
      <w:r w:rsidRPr="00283424">
        <w:tab/>
        <w:t>(5)</w:t>
      </w:r>
      <w:r w:rsidRPr="00283424">
        <w:tab/>
        <w:t xml:space="preserve">For the purposes of subregulation (4), an </w:t>
      </w:r>
      <w:r w:rsidRPr="00283424">
        <w:rPr>
          <w:b/>
          <w:i/>
        </w:rPr>
        <w:t>insurance inactivity notice</w:t>
      </w:r>
      <w:r w:rsidRPr="00283424">
        <w:rPr>
          <w:b/>
        </w:rPr>
        <w:t xml:space="preserve"> </w:t>
      </w:r>
      <w:r w:rsidRPr="00283424">
        <w:t>in relation to the benefit is a notice in writing given to the member:</w:t>
      </w:r>
    </w:p>
    <w:p w14:paraId="09AD35F8" w14:textId="77777777" w:rsidR="00E93F58" w:rsidRPr="00283424" w:rsidRDefault="00E93F58" w:rsidP="00B50726">
      <w:pPr>
        <w:pStyle w:val="paragraph"/>
      </w:pPr>
      <w:r w:rsidRPr="00283424">
        <w:tab/>
        <w:t>(a)</w:t>
      </w:r>
      <w:r w:rsidRPr="00283424">
        <w:tab/>
        <w:t>stating the length of the continuous period for which the member’s account has been inactive in relation to the product under which the benefit is provided; and</w:t>
      </w:r>
    </w:p>
    <w:p w14:paraId="54FC2C6E" w14:textId="77777777" w:rsidR="00E93F58" w:rsidRPr="00283424" w:rsidRDefault="00E93F58" w:rsidP="00B50726">
      <w:pPr>
        <w:pStyle w:val="paragraph"/>
      </w:pPr>
      <w:r w:rsidRPr="00283424">
        <w:tab/>
        <w:t>(b)</w:t>
      </w:r>
      <w:r w:rsidRPr="00283424">
        <w:tab/>
        <w:t>explaining that the member’s account will be active in relation to the product if an amount, such as a contribution, is paid into the account; and</w:t>
      </w:r>
    </w:p>
    <w:p w14:paraId="694160C9" w14:textId="77777777" w:rsidR="00E93F58" w:rsidRPr="00283424" w:rsidRDefault="00E93F58" w:rsidP="00B50726">
      <w:pPr>
        <w:pStyle w:val="paragraph"/>
      </w:pPr>
      <w:r w:rsidRPr="00283424">
        <w:tab/>
        <w:t>(c)</w:t>
      </w:r>
      <w:r w:rsidRPr="00283424">
        <w:tab/>
        <w:t>stating the date on which, if there is no activity, the benefit will cease to be provided; and</w:t>
      </w:r>
    </w:p>
    <w:p w14:paraId="0C2ADD48" w14:textId="77777777" w:rsidR="00E93F58" w:rsidRPr="00283424" w:rsidRDefault="00E93F58" w:rsidP="00B50726">
      <w:pPr>
        <w:pStyle w:val="paragraph"/>
      </w:pPr>
      <w:r w:rsidRPr="00283424">
        <w:tab/>
        <w:t>(d)</w:t>
      </w:r>
      <w:r w:rsidRPr="00283424">
        <w:tab/>
        <w:t>stating:</w:t>
      </w:r>
    </w:p>
    <w:p w14:paraId="6377D9F6" w14:textId="77777777" w:rsidR="00E93F58" w:rsidRPr="00283424" w:rsidRDefault="00E93F58" w:rsidP="00B50726">
      <w:pPr>
        <w:pStyle w:val="paragraphsub"/>
      </w:pPr>
      <w:r w:rsidRPr="00283424">
        <w:tab/>
        <w:t>(i)</w:t>
      </w:r>
      <w:r w:rsidRPr="00283424">
        <w:tab/>
        <w:t>the amount of insurance fee charged in relation to the product for the fund’s most recent completed year of income; and</w:t>
      </w:r>
    </w:p>
    <w:p w14:paraId="07F1A529" w14:textId="77777777" w:rsidR="00E93F58" w:rsidRPr="00283424" w:rsidRDefault="00E93F58" w:rsidP="00B50726">
      <w:pPr>
        <w:pStyle w:val="paragraphsub"/>
      </w:pPr>
      <w:r w:rsidRPr="00283424">
        <w:tab/>
        <w:t>(ii)</w:t>
      </w:r>
      <w:r w:rsidRPr="00283424">
        <w:tab/>
        <w:t>the amount of insurance fee likely to be charged in relation to the product for the fund’s current year of income; and</w:t>
      </w:r>
    </w:p>
    <w:p w14:paraId="5C59D3DC" w14:textId="77777777" w:rsidR="00E93F58" w:rsidRPr="00283424" w:rsidRDefault="00E93F58" w:rsidP="00B50726">
      <w:pPr>
        <w:pStyle w:val="paragraph"/>
      </w:pPr>
      <w:r w:rsidRPr="00283424">
        <w:tab/>
        <w:t>(e)</w:t>
      </w:r>
      <w:r w:rsidRPr="00283424">
        <w:tab/>
        <w:t>explaining whether the benefit will cease to be provided:</w:t>
      </w:r>
    </w:p>
    <w:p w14:paraId="7D218113" w14:textId="77777777" w:rsidR="00E93F58" w:rsidRPr="00283424" w:rsidRDefault="00E93F58" w:rsidP="00B50726">
      <w:pPr>
        <w:pStyle w:val="paragraphsub"/>
      </w:pPr>
      <w:r w:rsidRPr="00283424">
        <w:tab/>
        <w:t>(i)</w:t>
      </w:r>
      <w:r w:rsidRPr="00283424">
        <w:tab/>
        <w:t>under the governing rules of the fund; or</w:t>
      </w:r>
    </w:p>
    <w:p w14:paraId="0961B429" w14:textId="77777777" w:rsidR="00E93F58" w:rsidRPr="00283424" w:rsidRDefault="00E93F58" w:rsidP="00B50726">
      <w:pPr>
        <w:pStyle w:val="paragraphsub"/>
      </w:pPr>
      <w:r w:rsidRPr="00283424">
        <w:tab/>
        <w:t>(ii)</w:t>
      </w:r>
      <w:r w:rsidRPr="00283424">
        <w:tab/>
        <w:t>because of the application of section 68AAA of the SIS Act; and</w:t>
      </w:r>
    </w:p>
    <w:p w14:paraId="04493EEC" w14:textId="77777777" w:rsidR="00E93F58" w:rsidRPr="00283424" w:rsidRDefault="00E93F58" w:rsidP="00B50726">
      <w:pPr>
        <w:pStyle w:val="paragraph"/>
      </w:pPr>
      <w:r w:rsidRPr="00283424">
        <w:tab/>
        <w:t>(f)</w:t>
      </w:r>
      <w:r w:rsidRPr="00283424">
        <w:tab/>
        <w:t>setting out:</w:t>
      </w:r>
    </w:p>
    <w:p w14:paraId="08FF95CA" w14:textId="77777777" w:rsidR="00E93F58" w:rsidRPr="00283424" w:rsidRDefault="00E93F58" w:rsidP="00B50726">
      <w:pPr>
        <w:pStyle w:val="paragraphsub"/>
      </w:pPr>
      <w:r w:rsidRPr="00283424">
        <w:tab/>
        <w:t>(i)</w:t>
      </w:r>
      <w:r w:rsidRPr="00283424">
        <w:tab/>
        <w:t>whether or not it is possible for the member to elect to continue to be provided the benefit; and</w:t>
      </w:r>
    </w:p>
    <w:p w14:paraId="502226BF" w14:textId="77777777" w:rsidR="00E93F58" w:rsidRPr="00283424" w:rsidRDefault="00E93F58" w:rsidP="00B50726">
      <w:pPr>
        <w:pStyle w:val="paragraphsub"/>
      </w:pPr>
      <w:r w:rsidRPr="00283424">
        <w:tab/>
        <w:t>(ii)</w:t>
      </w:r>
      <w:r w:rsidRPr="00283424">
        <w:tab/>
        <w:t>if it is possible for the member to do so—the method by which the member can make the election.</w:t>
      </w:r>
    </w:p>
    <w:p w14:paraId="49354859" w14:textId="77777777" w:rsidR="00E93F58" w:rsidRPr="00283424" w:rsidRDefault="00E93F58" w:rsidP="00B50726">
      <w:pPr>
        <w:pStyle w:val="SubsectionHead"/>
      </w:pPr>
      <w:r w:rsidRPr="00283424">
        <w:t>Time for giving notice</w:t>
      </w:r>
    </w:p>
    <w:p w14:paraId="1C256BCE" w14:textId="77777777" w:rsidR="00E93F58" w:rsidRPr="00283424" w:rsidRDefault="00E93F58" w:rsidP="00B50726">
      <w:pPr>
        <w:pStyle w:val="subsection"/>
      </w:pPr>
      <w:r w:rsidRPr="00283424">
        <w:tab/>
        <w:t>(6)</w:t>
      </w:r>
      <w:r w:rsidRPr="00283424">
        <w:tab/>
        <w:t>If a trustee of a regulated superannuation fund is required under subregulation (4) to ensure that a member of the fund is given a notice in relation to a benefit provided to the member under a product offered by the fund, the notice must be given:</w:t>
      </w:r>
    </w:p>
    <w:p w14:paraId="62A57FC5" w14:textId="77777777" w:rsidR="00E93F58" w:rsidRPr="00283424" w:rsidRDefault="00E93F58" w:rsidP="00B50726">
      <w:pPr>
        <w:pStyle w:val="paragraph"/>
      </w:pPr>
      <w:r w:rsidRPr="00283424">
        <w:tab/>
        <w:t>(a)</w:t>
      </w:r>
      <w:r w:rsidRPr="00283424">
        <w:tab/>
        <w:t>if paragraph (4)(a) is satisfied—within the period of 2 weeks after the day on which that paragraph is satisfied; and</w:t>
      </w:r>
    </w:p>
    <w:p w14:paraId="0223A2C7" w14:textId="77777777" w:rsidR="00E93F58" w:rsidRPr="00283424" w:rsidRDefault="00E93F58" w:rsidP="00B50726">
      <w:pPr>
        <w:pStyle w:val="paragraph"/>
      </w:pPr>
      <w:r w:rsidRPr="00283424">
        <w:tab/>
        <w:t>(b)</w:t>
      </w:r>
      <w:r w:rsidRPr="00283424">
        <w:tab/>
        <w:t>if paragraph (4)(b) is satisfied—within the period of 2 weeks after the day on which that paragraph is satisfied; and</w:t>
      </w:r>
    </w:p>
    <w:p w14:paraId="2C286996" w14:textId="77777777" w:rsidR="00E93F58" w:rsidRPr="00283424" w:rsidRDefault="00E93F58" w:rsidP="00B50726">
      <w:pPr>
        <w:pStyle w:val="paragraph"/>
      </w:pPr>
      <w:r w:rsidRPr="00283424">
        <w:tab/>
        <w:t>(c)</w:t>
      </w:r>
      <w:r w:rsidRPr="00283424">
        <w:tab/>
        <w:t>if paragraph (4)(c) is satisfied—within the period of 2 weeks after the day on which that paragraph is satisfied.</w:t>
      </w:r>
    </w:p>
    <w:p w14:paraId="2567694D" w14:textId="77777777" w:rsidR="00E93F58" w:rsidRPr="00283424" w:rsidRDefault="00E93F58" w:rsidP="00B50726">
      <w:pPr>
        <w:pStyle w:val="ActHead5"/>
      </w:pPr>
      <w:bookmarkStart w:id="1817" w:name="_Toc152054884"/>
      <w:bookmarkStart w:id="1818" w:name="_Toc158712700"/>
      <w:r w:rsidRPr="006F296E">
        <w:rPr>
          <w:rStyle w:val="CharSectno"/>
        </w:rPr>
        <w:t>7.9.44C</w:t>
      </w:r>
      <w:r w:rsidRPr="00283424">
        <w:t xml:space="preserve">  Notices about insurance—right to cease insurance cover</w:t>
      </w:r>
      <w:bookmarkEnd w:id="1817"/>
      <w:bookmarkEnd w:id="1818"/>
    </w:p>
    <w:p w14:paraId="0B3F763C" w14:textId="77777777" w:rsidR="00E93F58" w:rsidRPr="00283424" w:rsidRDefault="00E93F58" w:rsidP="00B50726">
      <w:pPr>
        <w:pStyle w:val="subsection"/>
      </w:pPr>
      <w:r w:rsidRPr="00283424">
        <w:tab/>
        <w:t>(1)</w:t>
      </w:r>
      <w:r w:rsidRPr="00283424">
        <w:tab/>
        <w:t>This regulation is made for the purposes of paragraph 1017DA(1)(a) of the Act.</w:t>
      </w:r>
    </w:p>
    <w:p w14:paraId="1CA7854F" w14:textId="77777777" w:rsidR="00E93F58" w:rsidRPr="00283424" w:rsidRDefault="00E93F58" w:rsidP="00B50726">
      <w:pPr>
        <w:pStyle w:val="SubsectionHead"/>
      </w:pPr>
      <w:r w:rsidRPr="00283424">
        <w:t>Application</w:t>
      </w:r>
    </w:p>
    <w:p w14:paraId="61B1F34D" w14:textId="77777777" w:rsidR="00E93F58" w:rsidRPr="00283424" w:rsidRDefault="00E93F58" w:rsidP="00B50726">
      <w:pPr>
        <w:pStyle w:val="subsection"/>
      </w:pPr>
      <w:r w:rsidRPr="00283424">
        <w:tab/>
        <w:t>(2)</w:t>
      </w:r>
      <w:r w:rsidRPr="00283424">
        <w:tab/>
        <w:t>This regulation applies if:</w:t>
      </w:r>
    </w:p>
    <w:p w14:paraId="02CFB561" w14:textId="77777777" w:rsidR="00E93F58" w:rsidRPr="00283424" w:rsidRDefault="00E93F58" w:rsidP="00B50726">
      <w:pPr>
        <w:pStyle w:val="paragraph"/>
      </w:pPr>
      <w:r w:rsidRPr="00283424">
        <w:tab/>
        <w:t>(a)</w:t>
      </w:r>
      <w:r w:rsidRPr="00283424">
        <w:tab/>
        <w:t>a member of a regulated superannuation fund holds a choice product or a MySuper product offered by the fund; and</w:t>
      </w:r>
    </w:p>
    <w:p w14:paraId="756E0CFF" w14:textId="77777777" w:rsidR="00E93F58" w:rsidRPr="00283424" w:rsidRDefault="00E93F58" w:rsidP="00B50726">
      <w:pPr>
        <w:pStyle w:val="paragraph"/>
      </w:pPr>
      <w:r w:rsidRPr="00283424">
        <w:tab/>
        <w:t>(b)</w:t>
      </w:r>
      <w:r w:rsidRPr="00283424">
        <w:tab/>
        <w:t>the fund provides a benefit to, or in respect of, the member</w:t>
      </w:r>
      <w:r w:rsidRPr="00283424">
        <w:rPr>
          <w:b/>
          <w:i/>
        </w:rPr>
        <w:t xml:space="preserve"> </w:t>
      </w:r>
      <w:r w:rsidRPr="00283424">
        <w:t>under the product by taking out or maintaining insurance; and</w:t>
      </w:r>
    </w:p>
    <w:p w14:paraId="19F58CC6" w14:textId="77777777" w:rsidR="00E93F58" w:rsidRPr="00283424" w:rsidRDefault="00E93F58" w:rsidP="00B50726">
      <w:pPr>
        <w:pStyle w:val="paragraph"/>
      </w:pPr>
      <w:r w:rsidRPr="00283424">
        <w:tab/>
        <w:t>(c)</w:t>
      </w:r>
      <w:r w:rsidRPr="00283424">
        <w:tab/>
        <w:t>either:</w:t>
      </w:r>
    </w:p>
    <w:p w14:paraId="7C265554" w14:textId="77777777" w:rsidR="00E93F58" w:rsidRPr="00283424" w:rsidRDefault="00E93F58" w:rsidP="00B50726">
      <w:pPr>
        <w:pStyle w:val="paragraphsub"/>
      </w:pPr>
      <w:r w:rsidRPr="00283424">
        <w:tab/>
        <w:t>(i)</w:t>
      </w:r>
      <w:r w:rsidRPr="00283424">
        <w:tab/>
        <w:t>the member has made an election, under subsection 68AAA(2) of the SIS Act, that the benefit will be provided to, or in respect of, the member under the product by taking out or maintaining insurance even if the member’s account is inactive in relation to the product for a continuous period of 16 months; or</w:t>
      </w:r>
    </w:p>
    <w:p w14:paraId="65A469B4" w14:textId="77777777" w:rsidR="00E93F58" w:rsidRPr="00283424" w:rsidRDefault="00E93F58" w:rsidP="00B50726">
      <w:pPr>
        <w:pStyle w:val="paragraphsub"/>
      </w:pPr>
      <w:r w:rsidRPr="00283424">
        <w:tab/>
        <w:t>(ii)</w:t>
      </w:r>
      <w:r w:rsidRPr="00283424">
        <w:tab/>
        <w:t xml:space="preserve">if under the governing rules of the fund the benefit will not be provided to, or in respect of, the member under the product by taking out or maintaining insurance if the member’s account is inactive for a period of less than 16 months—the member has made an election under the </w:t>
      </w:r>
      <w:r w:rsidRPr="00283424">
        <w:lastRenderedPageBreak/>
        <w:t>governing rules of the fund that the benefit will be provided in that way even if the member’s account is inactive in relation to the product for that lesser period.</w:t>
      </w:r>
    </w:p>
    <w:p w14:paraId="6F7817B2" w14:textId="77777777" w:rsidR="00E93F58" w:rsidRPr="00283424" w:rsidRDefault="00E93F58" w:rsidP="00B50726">
      <w:pPr>
        <w:pStyle w:val="subsection"/>
      </w:pPr>
      <w:r w:rsidRPr="00283424">
        <w:tab/>
        <w:t>(3)</w:t>
      </w:r>
      <w:r w:rsidRPr="00283424">
        <w:tab/>
        <w:t>However, this regulation does not apply in relation to:</w:t>
      </w:r>
    </w:p>
    <w:p w14:paraId="6D320AC9" w14:textId="77777777" w:rsidR="00E93F58" w:rsidRPr="00283424" w:rsidRDefault="00E93F58" w:rsidP="00B50726">
      <w:pPr>
        <w:pStyle w:val="paragraph"/>
      </w:pPr>
      <w:r w:rsidRPr="00283424">
        <w:tab/>
        <w:t>(a)</w:t>
      </w:r>
      <w:r w:rsidRPr="00283424">
        <w:tab/>
        <w:t>a defined benefit member; or</w:t>
      </w:r>
    </w:p>
    <w:p w14:paraId="33D4BC6D" w14:textId="77777777" w:rsidR="00E93F58" w:rsidRPr="00283424" w:rsidRDefault="00E93F58" w:rsidP="00B50726">
      <w:pPr>
        <w:pStyle w:val="paragraph"/>
      </w:pPr>
      <w:r w:rsidRPr="00283424">
        <w:tab/>
        <w:t>(b)</w:t>
      </w:r>
      <w:r w:rsidRPr="00283424">
        <w:tab/>
        <w:t xml:space="preserve">an ADF Super member (within the meaning of the </w:t>
      </w:r>
      <w:r w:rsidRPr="00283424">
        <w:rPr>
          <w:i/>
        </w:rPr>
        <w:t>Australian Defence Force Superannuation Act 2015</w:t>
      </w:r>
      <w:r w:rsidRPr="00283424">
        <w:t>); or</w:t>
      </w:r>
    </w:p>
    <w:p w14:paraId="034D81BC" w14:textId="77777777" w:rsidR="00E93F58" w:rsidRPr="00283424" w:rsidRDefault="00E93F58" w:rsidP="00B50726">
      <w:pPr>
        <w:pStyle w:val="paragraph"/>
      </w:pPr>
      <w:r w:rsidRPr="00283424">
        <w:tab/>
        <w:t>(c)</w:t>
      </w:r>
      <w:r w:rsidRPr="00283424">
        <w:tab/>
        <w:t xml:space="preserve">a person who would be an ADF Super member apart from the fact that the regulated superannuation fund is or was, for the purposes of Part 3A of the </w:t>
      </w:r>
      <w:r w:rsidRPr="00283424">
        <w:rPr>
          <w:i/>
        </w:rPr>
        <w:t>Superannuation Guarantee (Administration) Act 1992</w:t>
      </w:r>
      <w:r w:rsidRPr="00283424">
        <w:t>, a chosen fund for contributions for the person’s superannuation by the Commonwealth; or</w:t>
      </w:r>
    </w:p>
    <w:p w14:paraId="4F76BE7F" w14:textId="77777777" w:rsidR="00E93F58" w:rsidRPr="00283424" w:rsidRDefault="00E93F58" w:rsidP="00B50726">
      <w:pPr>
        <w:pStyle w:val="paragraph"/>
      </w:pPr>
      <w:r w:rsidRPr="00283424">
        <w:tab/>
        <w:t>(d)</w:t>
      </w:r>
      <w:r w:rsidRPr="00283424">
        <w:tab/>
        <w:t>a member to whom the employer</w:t>
      </w:r>
      <w:r>
        <w:noBreakHyphen/>
      </w:r>
      <w:r w:rsidRPr="00283424">
        <w:t>sponsor contribution exception applies under section 68AAE of the SIS Act.</w:t>
      </w:r>
    </w:p>
    <w:p w14:paraId="1976E6A2" w14:textId="77777777" w:rsidR="00E93F58" w:rsidRPr="00283424" w:rsidRDefault="00E93F58" w:rsidP="00B50726">
      <w:pPr>
        <w:pStyle w:val="subsection"/>
      </w:pPr>
      <w:r w:rsidRPr="00283424">
        <w:tab/>
        <w:t>(4)</w:t>
      </w:r>
      <w:r w:rsidRPr="00283424">
        <w:tab/>
        <w:t>Each trustee of the regulated superannuation fund must ensure that the member is given a notice about rights to cease insurance in relation to the benefit:</w:t>
      </w:r>
    </w:p>
    <w:p w14:paraId="017A8CD4" w14:textId="77777777" w:rsidR="00E93F58" w:rsidRPr="00283424" w:rsidRDefault="00E93F58" w:rsidP="00B50726">
      <w:pPr>
        <w:pStyle w:val="paragraph"/>
      </w:pPr>
      <w:r w:rsidRPr="00283424">
        <w:tab/>
        <w:t>(a)</w:t>
      </w:r>
      <w:r w:rsidRPr="00283424">
        <w:tab/>
        <w:t>within 2 weeks after the day on which the member makes the election mentioned in subparagraph (2)(c)(i) or (ii) in relation to the benefit; and</w:t>
      </w:r>
    </w:p>
    <w:p w14:paraId="5579486D" w14:textId="77777777" w:rsidR="00E93F58" w:rsidRPr="00283424" w:rsidRDefault="00E93F58" w:rsidP="00B50726">
      <w:pPr>
        <w:pStyle w:val="paragraph"/>
      </w:pPr>
      <w:r w:rsidRPr="00283424">
        <w:tab/>
        <w:t>(b)</w:t>
      </w:r>
      <w:r w:rsidRPr="00283424">
        <w:tab/>
        <w:t>after the first notice about rights to cease insurance in relation to the benefit is given, at regular intervals of no more than 15 months.</w:t>
      </w:r>
    </w:p>
    <w:p w14:paraId="28DC6C45" w14:textId="77777777" w:rsidR="00E93F58" w:rsidRPr="00283424" w:rsidRDefault="00E93F58" w:rsidP="00B50726">
      <w:pPr>
        <w:pStyle w:val="subsection"/>
      </w:pPr>
      <w:r w:rsidRPr="00283424">
        <w:tab/>
        <w:t>(5)</w:t>
      </w:r>
      <w:r w:rsidRPr="00283424">
        <w:tab/>
        <w:t xml:space="preserve">For the purposes of subregulation (4), a </w:t>
      </w:r>
      <w:r w:rsidRPr="00283424">
        <w:rPr>
          <w:b/>
          <w:i/>
        </w:rPr>
        <w:t xml:space="preserve">notice about rights to cease insurance </w:t>
      </w:r>
      <w:r w:rsidRPr="00283424">
        <w:t>in relation to a benefit is a notice in writing given to the member:</w:t>
      </w:r>
    </w:p>
    <w:p w14:paraId="2B325CDF" w14:textId="77777777" w:rsidR="00E93F58" w:rsidRPr="00283424" w:rsidRDefault="00E93F58" w:rsidP="00B50726">
      <w:pPr>
        <w:pStyle w:val="paragraph"/>
      </w:pPr>
      <w:r w:rsidRPr="00283424">
        <w:tab/>
        <w:t>(a)</w:t>
      </w:r>
      <w:r w:rsidRPr="00283424">
        <w:tab/>
        <w:t>explaining that the member has elected for the benefit to continue to be provided:</w:t>
      </w:r>
    </w:p>
    <w:p w14:paraId="4621ADA1" w14:textId="77777777" w:rsidR="00E93F58" w:rsidRPr="00283424" w:rsidRDefault="00E93F58" w:rsidP="00B50726">
      <w:pPr>
        <w:pStyle w:val="paragraphsub"/>
      </w:pPr>
      <w:r w:rsidRPr="00283424">
        <w:tab/>
        <w:t>(i)</w:t>
      </w:r>
      <w:r w:rsidRPr="00283424">
        <w:tab/>
        <w:t>under the governing rules of the fund; or</w:t>
      </w:r>
    </w:p>
    <w:p w14:paraId="150ED26E" w14:textId="77777777" w:rsidR="00E93F58" w:rsidRPr="00283424" w:rsidRDefault="00E93F58" w:rsidP="00B50726">
      <w:pPr>
        <w:pStyle w:val="paragraphsub"/>
      </w:pPr>
      <w:r w:rsidRPr="00283424">
        <w:tab/>
        <w:t>(ii)</w:t>
      </w:r>
      <w:r w:rsidRPr="00283424">
        <w:tab/>
        <w:t>because of the application of section 68AAA of the SIS Act; and</w:t>
      </w:r>
    </w:p>
    <w:p w14:paraId="74AB90BD" w14:textId="77777777" w:rsidR="00E93F58" w:rsidRPr="00283424" w:rsidRDefault="00E93F58" w:rsidP="00B50726">
      <w:pPr>
        <w:pStyle w:val="paragraph"/>
      </w:pPr>
      <w:r w:rsidRPr="00283424">
        <w:tab/>
        <w:t>(b)</w:t>
      </w:r>
      <w:r w:rsidRPr="00283424">
        <w:tab/>
        <w:t>stating the date on which, and the manner in which, the member made that election; and</w:t>
      </w:r>
    </w:p>
    <w:p w14:paraId="74DC8723" w14:textId="77777777" w:rsidR="00E93F58" w:rsidRPr="00283424" w:rsidRDefault="00E93F58" w:rsidP="00B50726">
      <w:pPr>
        <w:pStyle w:val="paragraph"/>
      </w:pPr>
      <w:r w:rsidRPr="00283424">
        <w:tab/>
        <w:t>(c)</w:t>
      </w:r>
      <w:r w:rsidRPr="00283424">
        <w:tab/>
        <w:t>explaining what the member needs to do if the member wishes to cease to obtain the benefit.</w:t>
      </w:r>
    </w:p>
    <w:p w14:paraId="4B3939E2" w14:textId="77777777" w:rsidR="00E93F58" w:rsidRPr="00283424" w:rsidRDefault="00E93F58" w:rsidP="00B50726">
      <w:pPr>
        <w:pStyle w:val="ActHead4"/>
      </w:pPr>
      <w:bookmarkStart w:id="1819" w:name="_Toc152054885"/>
      <w:bookmarkStart w:id="1820" w:name="_Toc158712701"/>
      <w:r w:rsidRPr="006F296E">
        <w:rPr>
          <w:rStyle w:val="CharSubdNo"/>
        </w:rPr>
        <w:t>Subdivision 5.9</w:t>
      </w:r>
      <w:r w:rsidRPr="00283424">
        <w:t>—</w:t>
      </w:r>
      <w:r w:rsidRPr="006F296E">
        <w:rPr>
          <w:rStyle w:val="CharSubdText"/>
        </w:rPr>
        <w:t>Information on request: members</w:t>
      </w:r>
      <w:bookmarkEnd w:id="1819"/>
      <w:bookmarkEnd w:id="1820"/>
    </w:p>
    <w:p w14:paraId="6D6E69CB" w14:textId="77777777" w:rsidR="00E93F58" w:rsidRPr="00283424" w:rsidRDefault="00E93F58" w:rsidP="00B50726">
      <w:pPr>
        <w:pStyle w:val="ActHead5"/>
      </w:pPr>
      <w:bookmarkStart w:id="1821" w:name="_Toc152054886"/>
      <w:bookmarkStart w:id="1822" w:name="_Toc158712702"/>
      <w:r w:rsidRPr="006F296E">
        <w:rPr>
          <w:rStyle w:val="CharSectno"/>
        </w:rPr>
        <w:t>7.9.45</w:t>
      </w:r>
      <w:r w:rsidRPr="00283424">
        <w:t xml:space="preserve">  Regulated superannuation funds, </w:t>
      </w:r>
      <w:r w:rsidRPr="00FD592E">
        <w:t>approved deposit funds</w:t>
      </w:r>
      <w:r w:rsidRPr="00283424">
        <w:t xml:space="preserve"> and pooled superannuation trusts</w:t>
      </w:r>
      <w:bookmarkEnd w:id="1821"/>
      <w:bookmarkEnd w:id="1822"/>
    </w:p>
    <w:p w14:paraId="3FDD70A8" w14:textId="77777777" w:rsidR="00E93F58" w:rsidRPr="00283424" w:rsidRDefault="00E93F58" w:rsidP="00B50726">
      <w:pPr>
        <w:pStyle w:val="subsection"/>
      </w:pPr>
      <w:r w:rsidRPr="00283424">
        <w:tab/>
        <w:t>(1)</w:t>
      </w:r>
      <w:r w:rsidRPr="00283424">
        <w:tab/>
        <w:t>This regulation applies in relation to:</w:t>
      </w:r>
    </w:p>
    <w:p w14:paraId="2D37A3B1" w14:textId="77777777" w:rsidR="00E93F58" w:rsidRPr="00283424" w:rsidRDefault="00E93F58" w:rsidP="00B50726">
      <w:pPr>
        <w:pStyle w:val="paragraph"/>
      </w:pPr>
      <w:r w:rsidRPr="00283424">
        <w:rPr>
          <w:color w:val="000000"/>
        </w:rPr>
        <w:tab/>
        <w:t>(a)</w:t>
      </w:r>
      <w:r w:rsidRPr="00283424">
        <w:rPr>
          <w:color w:val="000000"/>
        </w:rPr>
        <w:tab/>
        <w:t>a regulated superannuation fund (other than a self managed superannuation fund); and</w:t>
      </w:r>
    </w:p>
    <w:p w14:paraId="4A8F7BCA" w14:textId="77777777" w:rsidR="00E93F58" w:rsidRPr="00283424" w:rsidRDefault="00E93F58" w:rsidP="00B50726">
      <w:pPr>
        <w:pStyle w:val="paragraph"/>
      </w:pPr>
      <w:r w:rsidRPr="00283424">
        <w:tab/>
        <w:t>(b)</w:t>
      </w:r>
      <w:r w:rsidRPr="00283424">
        <w:tab/>
        <w:t>an approved deposit fund (other than an excluded approved deposit fund); and</w:t>
      </w:r>
    </w:p>
    <w:p w14:paraId="7D8CE0F3" w14:textId="77777777" w:rsidR="00E93F58" w:rsidRPr="00283424" w:rsidRDefault="00E93F58" w:rsidP="00B50726">
      <w:pPr>
        <w:pStyle w:val="paragraph"/>
      </w:pPr>
      <w:r w:rsidRPr="00283424">
        <w:tab/>
        <w:t>(c)</w:t>
      </w:r>
      <w:r w:rsidRPr="00283424">
        <w:tab/>
        <w:t>a pooled superannuation trust.</w:t>
      </w:r>
    </w:p>
    <w:p w14:paraId="209ED20D" w14:textId="77777777" w:rsidR="00E93F58" w:rsidRPr="00283424" w:rsidRDefault="00E93F58" w:rsidP="00B50726">
      <w:pPr>
        <w:pStyle w:val="subsection"/>
      </w:pPr>
      <w:r w:rsidRPr="00283424">
        <w:tab/>
        <w:t>(2)</w:t>
      </w:r>
      <w:r w:rsidRPr="00283424">
        <w:tab/>
        <w:t>For paragraph 1017C(5)(a) of the Act, the following are prescribed documents:</w:t>
      </w:r>
    </w:p>
    <w:p w14:paraId="07ECF54C" w14:textId="77777777" w:rsidR="00E93F58" w:rsidRPr="00283424" w:rsidRDefault="00E93F58" w:rsidP="00B50726">
      <w:pPr>
        <w:pStyle w:val="paragraph"/>
      </w:pPr>
      <w:r w:rsidRPr="00283424">
        <w:rPr>
          <w:color w:val="000000"/>
        </w:rPr>
        <w:tab/>
        <w:t>(a)</w:t>
      </w:r>
      <w:r w:rsidRPr="00283424">
        <w:rPr>
          <w:color w:val="000000"/>
        </w:rPr>
        <w:tab/>
        <w:t>the governing rules of the fund or pooled superannuation trust;</w:t>
      </w:r>
    </w:p>
    <w:p w14:paraId="288B1D68" w14:textId="77777777" w:rsidR="00E93F58" w:rsidRPr="00283424" w:rsidRDefault="00E93F58" w:rsidP="00B50726">
      <w:pPr>
        <w:pStyle w:val="paragraph"/>
      </w:pPr>
      <w:r w:rsidRPr="00283424">
        <w:tab/>
        <w:t>(b)</w:t>
      </w:r>
      <w:r w:rsidRPr="00283424">
        <w:tab/>
        <w:t>audited accounts of the fund or pooled superannuation trust, together with (whether or not specifically requested) the auditor’s report in relation to the accounts;</w:t>
      </w:r>
    </w:p>
    <w:p w14:paraId="7BF3EC7B" w14:textId="77777777" w:rsidR="00E93F58" w:rsidRPr="00283424" w:rsidRDefault="00E93F58" w:rsidP="00B50726">
      <w:pPr>
        <w:pStyle w:val="paragraph"/>
      </w:pPr>
      <w:r w:rsidRPr="00283424">
        <w:tab/>
        <w:t>(c)</w:t>
      </w:r>
      <w:r w:rsidRPr="00283424">
        <w:tab/>
        <w:t>for a fund—the most recent actuarial report (as referred to in regulation 9.30 of the SIS Regulations) on the fund, and any subsequent written advice by an actuary to the trustee, to the extent that those documents are relevant to:</w:t>
      </w:r>
    </w:p>
    <w:p w14:paraId="57C41262" w14:textId="77777777" w:rsidR="00E93F58" w:rsidRPr="00283424" w:rsidRDefault="00E93F58" w:rsidP="00B50726">
      <w:pPr>
        <w:pStyle w:val="paragraphsub"/>
      </w:pPr>
      <w:r w:rsidRPr="00283424">
        <w:rPr>
          <w:color w:val="000000"/>
        </w:rPr>
        <w:tab/>
        <w:t>(i)</w:t>
      </w:r>
      <w:r w:rsidRPr="00283424">
        <w:rPr>
          <w:color w:val="000000"/>
        </w:rPr>
        <w:tab/>
        <w:t>the overall financial condition of the fund; or</w:t>
      </w:r>
    </w:p>
    <w:p w14:paraId="1802226E" w14:textId="77777777" w:rsidR="00E93F58" w:rsidRPr="00283424" w:rsidRDefault="00E93F58" w:rsidP="00B50726">
      <w:pPr>
        <w:pStyle w:val="paragraphsub"/>
      </w:pPr>
      <w:r w:rsidRPr="00283424">
        <w:tab/>
        <w:t>(ii)</w:t>
      </w:r>
      <w:r w:rsidRPr="00283424">
        <w:tab/>
        <w:t>the entitlements of a person;</w:t>
      </w:r>
    </w:p>
    <w:p w14:paraId="24EF8DDC" w14:textId="77777777" w:rsidR="00E93F58" w:rsidRPr="00AA751B" w:rsidRDefault="00E93F58" w:rsidP="00C9171A">
      <w:pPr>
        <w:pStyle w:val="paragraph"/>
      </w:pPr>
      <w:r w:rsidRPr="00AA751B">
        <w:tab/>
        <w:t>(d)</w:t>
      </w:r>
      <w:r w:rsidRPr="00AA751B">
        <w:tab/>
        <w:t>the most recent fund information provided under regulation 7.9.32 to product holders of interests in the fund or the trust.</w:t>
      </w:r>
    </w:p>
    <w:p w14:paraId="1521F7BB" w14:textId="77777777" w:rsidR="00E93F58" w:rsidRPr="00AA751B" w:rsidRDefault="00E93F58" w:rsidP="00C9171A">
      <w:pPr>
        <w:pStyle w:val="notetext"/>
      </w:pPr>
      <w:r w:rsidRPr="00AA751B">
        <w:t>Note:</w:t>
      </w:r>
      <w:r w:rsidRPr="00AA751B">
        <w:tab/>
        <w:t>See also Subdivision 2.4.3 of the SIS Regulations in relation to the calculation of derivatives charge ratio (which relates to fund information referred to in regulation 7.9.37 of this instrument).</w:t>
      </w:r>
    </w:p>
    <w:p w14:paraId="53298D5C" w14:textId="77777777" w:rsidR="00E93F58" w:rsidRPr="00283424" w:rsidRDefault="00E93F58" w:rsidP="00B50726">
      <w:pPr>
        <w:pStyle w:val="ActHead5"/>
      </w:pPr>
      <w:bookmarkStart w:id="1823" w:name="_Toc152054887"/>
      <w:bookmarkStart w:id="1824" w:name="_Toc158712703"/>
      <w:r w:rsidRPr="006F296E">
        <w:rPr>
          <w:rStyle w:val="CharSectno"/>
        </w:rPr>
        <w:t>7.9.46</w:t>
      </w:r>
      <w:r w:rsidRPr="00283424">
        <w:t xml:space="preserve">  RSAs</w:t>
      </w:r>
      <w:bookmarkEnd w:id="1823"/>
      <w:bookmarkEnd w:id="1824"/>
    </w:p>
    <w:p w14:paraId="7C20E6BF" w14:textId="77777777" w:rsidR="00E93F58" w:rsidRPr="00283424" w:rsidRDefault="00E93F58" w:rsidP="00B50726">
      <w:pPr>
        <w:pStyle w:val="subsection"/>
      </w:pPr>
      <w:r w:rsidRPr="00283424">
        <w:rPr>
          <w:color w:val="000000"/>
        </w:rPr>
        <w:tab/>
        <w:t>(1)</w:t>
      </w:r>
      <w:r w:rsidRPr="00283424">
        <w:rPr>
          <w:color w:val="000000"/>
        </w:rPr>
        <w:tab/>
        <w:t>This regulation applies in relation to an RSA.</w:t>
      </w:r>
    </w:p>
    <w:p w14:paraId="154135E9" w14:textId="77777777" w:rsidR="00E93F58" w:rsidRPr="00283424" w:rsidRDefault="00E93F58" w:rsidP="00B50726">
      <w:pPr>
        <w:pStyle w:val="subsection"/>
      </w:pPr>
      <w:r w:rsidRPr="00283424">
        <w:rPr>
          <w:color w:val="000000"/>
        </w:rPr>
        <w:tab/>
        <w:t>(2)</w:t>
      </w:r>
      <w:r w:rsidRPr="00283424">
        <w:rPr>
          <w:color w:val="000000"/>
        </w:rPr>
        <w:tab/>
        <w:t>For paragraph 1017C(5)(a) of the Act, the terms and conditions of the RSA are a prescribed document.</w:t>
      </w:r>
    </w:p>
    <w:p w14:paraId="01BDDD53" w14:textId="77777777" w:rsidR="00E93F58" w:rsidRPr="00283424" w:rsidRDefault="00E93F58" w:rsidP="00B50726">
      <w:pPr>
        <w:pStyle w:val="ActHead4"/>
      </w:pPr>
      <w:bookmarkStart w:id="1825" w:name="_Toc152054888"/>
      <w:bookmarkStart w:id="1826" w:name="_Toc158712704"/>
      <w:r w:rsidRPr="006F296E">
        <w:rPr>
          <w:rStyle w:val="CharSubdNo"/>
        </w:rPr>
        <w:lastRenderedPageBreak/>
        <w:t>Subdivision 5.10</w:t>
      </w:r>
      <w:r w:rsidRPr="00283424">
        <w:t>—</w:t>
      </w:r>
      <w:r w:rsidRPr="006F296E">
        <w:rPr>
          <w:rStyle w:val="CharSubdText"/>
        </w:rPr>
        <w:t>Information on request: payments</w:t>
      </w:r>
      <w:bookmarkEnd w:id="1825"/>
      <w:bookmarkEnd w:id="1826"/>
    </w:p>
    <w:p w14:paraId="6BE07D09" w14:textId="77777777" w:rsidR="00E93F58" w:rsidRPr="00283424" w:rsidRDefault="00E93F58" w:rsidP="00B50726">
      <w:pPr>
        <w:pStyle w:val="ActHead5"/>
      </w:pPr>
      <w:bookmarkStart w:id="1827" w:name="_Toc152054889"/>
      <w:bookmarkStart w:id="1828" w:name="_Toc158712705"/>
      <w:r w:rsidRPr="006F296E">
        <w:rPr>
          <w:rStyle w:val="CharSectno"/>
        </w:rPr>
        <w:t>7.9.47</w:t>
      </w:r>
      <w:r w:rsidRPr="00283424">
        <w:t xml:space="preserve">  Modification of Act: charges for information requested</w:t>
      </w:r>
      <w:bookmarkEnd w:id="1827"/>
      <w:bookmarkEnd w:id="1828"/>
    </w:p>
    <w:p w14:paraId="1E29B1D8" w14:textId="77777777" w:rsidR="00E93F58" w:rsidRPr="00283424" w:rsidRDefault="00E93F58" w:rsidP="00B50726">
      <w:pPr>
        <w:pStyle w:val="subsection"/>
      </w:pPr>
      <w:r w:rsidRPr="00283424">
        <w:rPr>
          <w:color w:val="000000"/>
        </w:rPr>
        <w:tab/>
      </w:r>
      <w:r w:rsidRPr="00283424">
        <w:rPr>
          <w:color w:val="000000"/>
        </w:rPr>
        <w:tab/>
        <w:t>For paragraph 1020G(1)(c) of the Act, Part 7.9 of the Act is modified in its application in relation to a superannuation entity or an RSA provider as set out in Part 11 of Schedule 10A.</w:t>
      </w:r>
    </w:p>
    <w:p w14:paraId="40986158" w14:textId="77777777" w:rsidR="00E93F58" w:rsidRPr="00283424" w:rsidRDefault="00E93F58" w:rsidP="00B50726">
      <w:pPr>
        <w:pStyle w:val="ActHead4"/>
      </w:pPr>
      <w:bookmarkStart w:id="1829" w:name="_Toc152054890"/>
      <w:bookmarkStart w:id="1830" w:name="_Toc158712706"/>
      <w:r w:rsidRPr="006F296E">
        <w:rPr>
          <w:rStyle w:val="CharSubdNo"/>
        </w:rPr>
        <w:t>Subdivision 5.12</w:t>
      </w:r>
      <w:r w:rsidRPr="00283424">
        <w:t>—</w:t>
      </w:r>
      <w:r w:rsidRPr="006F296E">
        <w:rPr>
          <w:rStyle w:val="CharSubdText"/>
        </w:rPr>
        <w:t xml:space="preserve">Periodic report when product holder ceases to hold product: superannuation products and </w:t>
      </w:r>
      <w:r w:rsidRPr="008C5080">
        <w:rPr>
          <w:rStyle w:val="CharSubdText"/>
        </w:rPr>
        <w:t>RSAs</w:t>
      </w:r>
      <w:bookmarkEnd w:id="1829"/>
      <w:bookmarkEnd w:id="1830"/>
    </w:p>
    <w:p w14:paraId="30DB3773" w14:textId="77777777" w:rsidR="00E93F58" w:rsidRPr="00283424" w:rsidRDefault="00E93F58" w:rsidP="00B50726">
      <w:pPr>
        <w:pStyle w:val="ActHead5"/>
      </w:pPr>
      <w:bookmarkStart w:id="1831" w:name="_Toc152054891"/>
      <w:bookmarkStart w:id="1832" w:name="_Toc158712707"/>
      <w:r w:rsidRPr="006F296E">
        <w:rPr>
          <w:rStyle w:val="CharSectno"/>
        </w:rPr>
        <w:t>7.9.49</w:t>
      </w:r>
      <w:r w:rsidRPr="00283424">
        <w:t xml:space="preserve">  Application of Subdivision 5.12</w:t>
      </w:r>
      <w:bookmarkEnd w:id="1831"/>
      <w:bookmarkEnd w:id="1832"/>
    </w:p>
    <w:p w14:paraId="64EAFF62" w14:textId="77777777" w:rsidR="00E93F58" w:rsidRPr="00283424" w:rsidRDefault="00E93F58" w:rsidP="00B50726">
      <w:pPr>
        <w:pStyle w:val="subsection"/>
      </w:pPr>
      <w:r w:rsidRPr="00283424">
        <w:tab/>
      </w:r>
      <w:r w:rsidRPr="00283424">
        <w:tab/>
        <w:t>For paragraph 1017D(5)(g) of the Act, this Subdivision applies in relation to:</w:t>
      </w:r>
    </w:p>
    <w:p w14:paraId="26542CD1" w14:textId="77777777" w:rsidR="00E93F58" w:rsidRPr="00283424" w:rsidRDefault="00E93F58" w:rsidP="00B50726">
      <w:pPr>
        <w:pStyle w:val="paragraph"/>
      </w:pPr>
      <w:r w:rsidRPr="00283424">
        <w:rPr>
          <w:color w:val="000000"/>
        </w:rPr>
        <w:tab/>
        <w:t>(a)</w:t>
      </w:r>
      <w:r w:rsidRPr="00283424">
        <w:rPr>
          <w:color w:val="000000"/>
        </w:rPr>
        <w:tab/>
        <w:t>superannuation products; and</w:t>
      </w:r>
    </w:p>
    <w:p w14:paraId="06481C14" w14:textId="77777777" w:rsidR="00E93F58" w:rsidRPr="00283424" w:rsidRDefault="00E93F58" w:rsidP="00B50726">
      <w:pPr>
        <w:pStyle w:val="paragraph"/>
      </w:pPr>
      <w:r w:rsidRPr="00283424">
        <w:tab/>
        <w:t>(b)</w:t>
      </w:r>
      <w:r w:rsidRPr="00283424">
        <w:tab/>
      </w:r>
      <w:r w:rsidRPr="00BE1284">
        <w:t>RSAs</w:t>
      </w:r>
      <w:r w:rsidRPr="00283424">
        <w:t>.</w:t>
      </w:r>
    </w:p>
    <w:p w14:paraId="1769F00D" w14:textId="77777777" w:rsidR="00E93F58" w:rsidRPr="00283424" w:rsidRDefault="00E93F58" w:rsidP="00B50726">
      <w:pPr>
        <w:pStyle w:val="ActHead5"/>
      </w:pPr>
      <w:bookmarkStart w:id="1833" w:name="_Toc152054892"/>
      <w:bookmarkStart w:id="1834" w:name="_Toc158712708"/>
      <w:r w:rsidRPr="006F296E">
        <w:rPr>
          <w:rStyle w:val="CharSectno"/>
        </w:rPr>
        <w:t>7.9.50</w:t>
      </w:r>
      <w:r w:rsidRPr="00283424">
        <w:t xml:space="preserve">  </w:t>
      </w:r>
      <w:r w:rsidRPr="00204441">
        <w:t xml:space="preserve">Meaning of </w:t>
      </w:r>
      <w:r w:rsidRPr="00204441">
        <w:rPr>
          <w:i/>
        </w:rPr>
        <w:t>exit reporting period</w:t>
      </w:r>
      <w:bookmarkEnd w:id="1833"/>
      <w:bookmarkEnd w:id="1834"/>
    </w:p>
    <w:p w14:paraId="562AF2D2" w14:textId="77777777" w:rsidR="00E93F58" w:rsidRPr="00283424" w:rsidRDefault="00E93F58" w:rsidP="00B50726">
      <w:pPr>
        <w:pStyle w:val="subsection"/>
      </w:pPr>
      <w:r w:rsidRPr="00283424">
        <w:rPr>
          <w:color w:val="000000"/>
        </w:rPr>
        <w:tab/>
      </w:r>
      <w:r w:rsidRPr="00283424">
        <w:rPr>
          <w:color w:val="000000"/>
        </w:rPr>
        <w:tab/>
        <w:t xml:space="preserve">In this Subdivision, </w:t>
      </w:r>
      <w:r w:rsidRPr="00283424">
        <w:rPr>
          <w:b/>
          <w:i/>
          <w:color w:val="000000"/>
        </w:rPr>
        <w:t>exit reporting period</w:t>
      </w:r>
      <w:r w:rsidRPr="00283424">
        <w:rPr>
          <w:color w:val="000000"/>
        </w:rPr>
        <w:t>, in relation to a person who ceases to hold a product to which this Subdivision applies, means the reporting period mentioned in paragraph 1017D(2)(d) of the Act.</w:t>
      </w:r>
    </w:p>
    <w:p w14:paraId="48B242CC" w14:textId="77777777" w:rsidR="00E93F58" w:rsidRPr="00283424" w:rsidRDefault="00E93F58" w:rsidP="00B50726">
      <w:pPr>
        <w:pStyle w:val="ActHead5"/>
      </w:pPr>
      <w:bookmarkStart w:id="1835" w:name="_Toc152054893"/>
      <w:bookmarkStart w:id="1836" w:name="_Toc158712709"/>
      <w:r w:rsidRPr="006F296E">
        <w:rPr>
          <w:rStyle w:val="CharSectno"/>
        </w:rPr>
        <w:t>7.9.51</w:t>
      </w:r>
      <w:r w:rsidRPr="00283424">
        <w:t xml:space="preserve">  Time for compliance</w:t>
      </w:r>
      <w:bookmarkEnd w:id="1835"/>
      <w:bookmarkEnd w:id="1836"/>
    </w:p>
    <w:p w14:paraId="79B96426" w14:textId="77777777" w:rsidR="00E93F58" w:rsidRPr="00283424" w:rsidRDefault="00E93F58" w:rsidP="00B50726">
      <w:pPr>
        <w:pStyle w:val="subsection"/>
      </w:pPr>
      <w:r w:rsidRPr="00283424">
        <w:rPr>
          <w:color w:val="000000"/>
        </w:rPr>
        <w:tab/>
      </w:r>
      <w:r w:rsidRPr="00283424">
        <w:rPr>
          <w:color w:val="000000"/>
        </w:rPr>
        <w:tab/>
        <w:t>For paragraph 1020G(1)(c) of the Act, Part 7.9 of the Act is modified in its application in relation to a fund as set out in Part 12 of Schedule 10A.</w:t>
      </w:r>
    </w:p>
    <w:p w14:paraId="5843F00D" w14:textId="77777777" w:rsidR="00E93F58" w:rsidRPr="00283424" w:rsidRDefault="00E93F58" w:rsidP="00B50726">
      <w:pPr>
        <w:pStyle w:val="ActHead5"/>
      </w:pPr>
      <w:bookmarkStart w:id="1837" w:name="_Toc152054894"/>
      <w:bookmarkStart w:id="1838" w:name="_Toc158712710"/>
      <w:r w:rsidRPr="006F296E">
        <w:rPr>
          <w:rStyle w:val="CharSectno"/>
        </w:rPr>
        <w:t>7.9.52</w:t>
      </w:r>
      <w:r w:rsidRPr="00283424">
        <w:t xml:space="preserve">  General requirement</w:t>
      </w:r>
      <w:bookmarkEnd w:id="1837"/>
      <w:bookmarkEnd w:id="1838"/>
    </w:p>
    <w:p w14:paraId="415D1271" w14:textId="77777777" w:rsidR="00E93F58" w:rsidRPr="00283424" w:rsidRDefault="00E93F58" w:rsidP="00B50726">
      <w:pPr>
        <w:pStyle w:val="subsection"/>
      </w:pPr>
      <w:r w:rsidRPr="00283424">
        <w:tab/>
      </w:r>
      <w:r w:rsidRPr="00283424">
        <w:tab/>
        <w:t xml:space="preserve">For paragraph 1020G(2)(b) of the Act, subsections 1017D(2) and (4) of the Act are modified, in its application in relation to a person who ceases to hold a superannuation product or an </w:t>
      </w:r>
      <w:r w:rsidRPr="00BE1284">
        <w:t>RSA</w:t>
      </w:r>
      <w:r w:rsidRPr="00283424">
        <w:t xml:space="preserve"> (other than a product issued by a capital guaranteed fund) by requiring the issuer of the product to give all information to:</w:t>
      </w:r>
    </w:p>
    <w:p w14:paraId="2A994C39" w14:textId="77777777" w:rsidR="00E93F58" w:rsidRPr="00283424" w:rsidRDefault="00E93F58" w:rsidP="00B50726">
      <w:pPr>
        <w:pStyle w:val="paragraph"/>
      </w:pPr>
      <w:r w:rsidRPr="00283424">
        <w:rPr>
          <w:color w:val="000000"/>
        </w:rPr>
        <w:tab/>
        <w:t>(a)</w:t>
      </w:r>
      <w:r w:rsidRPr="00283424">
        <w:rPr>
          <w:color w:val="000000"/>
        </w:rPr>
        <w:tab/>
        <w:t>if the person is alive—the person; or</w:t>
      </w:r>
    </w:p>
    <w:p w14:paraId="560DF202" w14:textId="77777777" w:rsidR="00E93F58" w:rsidRPr="00283424" w:rsidRDefault="00E93F58" w:rsidP="00B50726">
      <w:pPr>
        <w:pStyle w:val="paragraph"/>
      </w:pPr>
      <w:r w:rsidRPr="00283424">
        <w:tab/>
        <w:t>(b)</w:t>
      </w:r>
      <w:r w:rsidRPr="00283424">
        <w:tab/>
        <w:t>if the person is deceased—each person receiving a benefit as a result of the person’s death;</w:t>
      </w:r>
    </w:p>
    <w:p w14:paraId="700A259E" w14:textId="77777777" w:rsidR="00E93F58" w:rsidRPr="00283424" w:rsidRDefault="00E93F58" w:rsidP="00B50726">
      <w:pPr>
        <w:pStyle w:val="subsection2"/>
      </w:pPr>
      <w:r w:rsidRPr="00283424">
        <w:rPr>
          <w:color w:val="000000"/>
        </w:rPr>
        <w:t>that the trustee reasonably believes such a person would reasonably need for the purpose of understanding his or her investment in the financial product.</w:t>
      </w:r>
    </w:p>
    <w:p w14:paraId="50521802" w14:textId="77777777" w:rsidR="00E93F58" w:rsidRPr="00283424" w:rsidRDefault="00E93F58" w:rsidP="00B50726">
      <w:pPr>
        <w:pStyle w:val="ActHead5"/>
      </w:pPr>
      <w:bookmarkStart w:id="1839" w:name="_Toc152054895"/>
      <w:bookmarkStart w:id="1840" w:name="_Toc158712711"/>
      <w:r w:rsidRPr="006F296E">
        <w:rPr>
          <w:rStyle w:val="CharSectno"/>
        </w:rPr>
        <w:t>7.9.53</w:t>
      </w:r>
      <w:r w:rsidRPr="00283424">
        <w:t xml:space="preserve">  Information on death of product holder</w:t>
      </w:r>
      <w:bookmarkEnd w:id="1839"/>
      <w:bookmarkEnd w:id="1840"/>
    </w:p>
    <w:p w14:paraId="786FD712" w14:textId="77777777" w:rsidR="00E93F58" w:rsidRPr="00283424" w:rsidRDefault="00E93F58" w:rsidP="00B50726">
      <w:pPr>
        <w:pStyle w:val="subsection"/>
      </w:pPr>
      <w:r w:rsidRPr="00283424">
        <w:tab/>
      </w:r>
      <w:r w:rsidRPr="00283424">
        <w:tab/>
        <w:t xml:space="preserve">For paragraph 1017D(5)(g) of the Act, if a person ceases by death to hold a superannuation product (other than an interest in a pooled superannuation trust) or an </w:t>
      </w:r>
      <w:r w:rsidRPr="00BE1284">
        <w:t>RSA</w:t>
      </w:r>
      <w:r w:rsidRPr="00283424">
        <w:t>, the periodic report given to each person receiving a benefit from the issuer of the product as a result of the person’s death must include:</w:t>
      </w:r>
    </w:p>
    <w:p w14:paraId="759ABF47" w14:textId="77777777" w:rsidR="00E93F58" w:rsidRPr="00283424" w:rsidRDefault="00E93F58" w:rsidP="00B50726">
      <w:pPr>
        <w:pStyle w:val="paragraph"/>
      </w:pPr>
      <w:r w:rsidRPr="00283424">
        <w:rPr>
          <w:color w:val="000000"/>
        </w:rPr>
        <w:tab/>
        <w:t>(a)</w:t>
      </w:r>
      <w:r w:rsidRPr="00283424">
        <w:rPr>
          <w:color w:val="000000"/>
        </w:rPr>
        <w:tab/>
        <w:t>a statement setting out details (in summary form) of arrangements that the issuer has made to deal with inquiries and information about the dispute resolution system that covers complaints; or</w:t>
      </w:r>
    </w:p>
    <w:p w14:paraId="4CA8FCCE" w14:textId="77777777" w:rsidR="00E93F58" w:rsidRPr="00283424" w:rsidRDefault="00E93F58" w:rsidP="00B50726">
      <w:pPr>
        <w:pStyle w:val="paragraph"/>
      </w:pPr>
      <w:r w:rsidRPr="00283424">
        <w:tab/>
        <w:t>(b)</w:t>
      </w:r>
      <w:r w:rsidRPr="00283424">
        <w:tab/>
        <w:t>a statement that the details are available on request.</w:t>
      </w:r>
    </w:p>
    <w:p w14:paraId="09F747FA" w14:textId="77777777" w:rsidR="00E93F58" w:rsidRPr="00283424" w:rsidRDefault="00E93F58" w:rsidP="00B50726">
      <w:pPr>
        <w:pStyle w:val="ActHead5"/>
      </w:pPr>
      <w:bookmarkStart w:id="1841" w:name="_Toc152054896"/>
      <w:bookmarkStart w:id="1842" w:name="_Toc158712712"/>
      <w:r w:rsidRPr="006F296E">
        <w:rPr>
          <w:rStyle w:val="CharSectno"/>
        </w:rPr>
        <w:t>7.9.54</w:t>
      </w:r>
      <w:r w:rsidRPr="00283424">
        <w:t xml:space="preserve">  Specific requirements in all cases</w:t>
      </w:r>
      <w:bookmarkEnd w:id="1841"/>
      <w:bookmarkEnd w:id="1842"/>
    </w:p>
    <w:p w14:paraId="6E90ECD4" w14:textId="77777777" w:rsidR="00E93F58" w:rsidRPr="00283424" w:rsidRDefault="00E93F58" w:rsidP="00B50726">
      <w:pPr>
        <w:pStyle w:val="subsection"/>
      </w:pPr>
      <w:r w:rsidRPr="00283424">
        <w:tab/>
      </w:r>
      <w:r w:rsidRPr="00283424">
        <w:tab/>
        <w:t>For paragraph 1017D(5)(g) of the Act, if a reporting period is the exit reporting period, the issuer of a superannuation product (other than the trustee of a self managed superannuation fund or pooled superannuation trust) must include in the periodic report given to a person who ceases, otherwise than by death to hold the product:</w:t>
      </w:r>
    </w:p>
    <w:p w14:paraId="48DA64E5" w14:textId="77777777" w:rsidR="00E93F58" w:rsidRPr="00283424" w:rsidRDefault="00E93F58" w:rsidP="00B50726">
      <w:pPr>
        <w:pStyle w:val="paragraph"/>
      </w:pPr>
      <w:r w:rsidRPr="00283424">
        <w:rPr>
          <w:color w:val="000000"/>
        </w:rPr>
        <w:tab/>
        <w:t>(a)</w:t>
      </w:r>
      <w:r w:rsidRPr="00283424">
        <w:rPr>
          <w:color w:val="000000"/>
        </w:rPr>
        <w:tab/>
        <w:t>the information mentioned in regulation 7.9.19; and</w:t>
      </w:r>
    </w:p>
    <w:p w14:paraId="7D5D83F9" w14:textId="77777777" w:rsidR="00E93F58" w:rsidRPr="00283424" w:rsidRDefault="00E93F58" w:rsidP="00B50726">
      <w:pPr>
        <w:pStyle w:val="paragraph"/>
      </w:pPr>
      <w:r w:rsidRPr="00283424">
        <w:tab/>
        <w:t>(b)</w:t>
      </w:r>
      <w:r w:rsidRPr="00283424">
        <w:tab/>
        <w:t>in relation to a death or disability benefit that ceases or reduces, because the person has ceased to hold the product:</w:t>
      </w:r>
    </w:p>
    <w:p w14:paraId="079CDF0C" w14:textId="77777777" w:rsidR="00E93F58" w:rsidRPr="00283424" w:rsidRDefault="00E93F58" w:rsidP="00B50726">
      <w:pPr>
        <w:pStyle w:val="paragraphsub"/>
      </w:pPr>
      <w:r w:rsidRPr="00283424">
        <w:tab/>
        <w:t>(i)</w:t>
      </w:r>
      <w:r w:rsidRPr="00283424">
        <w:tab/>
        <w:t>either:</w:t>
      </w:r>
    </w:p>
    <w:p w14:paraId="28257EF1" w14:textId="77777777" w:rsidR="00E93F58" w:rsidRPr="00283424" w:rsidRDefault="00E93F58" w:rsidP="00B50726">
      <w:pPr>
        <w:pStyle w:val="paragraphsub-sub"/>
      </w:pPr>
      <w:r w:rsidRPr="00283424">
        <w:rPr>
          <w:color w:val="000000"/>
        </w:rPr>
        <w:tab/>
        <w:t>(A)</w:t>
      </w:r>
      <w:r w:rsidRPr="00283424">
        <w:rPr>
          <w:color w:val="000000"/>
        </w:rPr>
        <w:tab/>
        <w:t>the amount of the death or disability benefit immediately before the person ceased to hold the product or at the end of the last reporting period; or</w:t>
      </w:r>
    </w:p>
    <w:p w14:paraId="4183A424" w14:textId="77777777" w:rsidR="00E93F58" w:rsidRPr="00283424" w:rsidRDefault="00E93F58" w:rsidP="00B50726">
      <w:pPr>
        <w:pStyle w:val="paragraphsub-sub"/>
      </w:pPr>
      <w:r w:rsidRPr="00283424">
        <w:tab/>
        <w:t>(B)</w:t>
      </w:r>
      <w:r w:rsidRPr="00283424">
        <w:tab/>
        <w:t>the method of working out the death or disability benefit; and</w:t>
      </w:r>
    </w:p>
    <w:p w14:paraId="723CC294" w14:textId="77777777" w:rsidR="00E93F58" w:rsidRPr="00283424" w:rsidRDefault="00E93F58" w:rsidP="00B50726">
      <w:pPr>
        <w:pStyle w:val="paragraphsub"/>
      </w:pPr>
      <w:r w:rsidRPr="00283424">
        <w:rPr>
          <w:color w:val="000000"/>
        </w:rPr>
        <w:tab/>
        <w:t>(ii)</w:t>
      </w:r>
      <w:r w:rsidRPr="00283424">
        <w:rPr>
          <w:color w:val="000000"/>
        </w:rPr>
        <w:tab/>
        <w:t>whether a continuation option is available to the person and, if it is, details of the option, a contact person who is available to discuss the option and a telephone number for the contact person.</w:t>
      </w:r>
    </w:p>
    <w:p w14:paraId="2001AF3D" w14:textId="77777777" w:rsidR="00E93F58" w:rsidRPr="00283424" w:rsidRDefault="00E93F58" w:rsidP="00B50726">
      <w:pPr>
        <w:pStyle w:val="ActHead5"/>
      </w:pPr>
      <w:bookmarkStart w:id="1843" w:name="_Toc152054897"/>
      <w:bookmarkStart w:id="1844" w:name="_Toc158712713"/>
      <w:r w:rsidRPr="006F296E">
        <w:rPr>
          <w:rStyle w:val="CharSectno"/>
        </w:rPr>
        <w:lastRenderedPageBreak/>
        <w:t>7.9.55</w:t>
      </w:r>
      <w:r w:rsidRPr="00283424">
        <w:t xml:space="preserve">  Specific requirements in particular cases</w:t>
      </w:r>
      <w:bookmarkEnd w:id="1843"/>
      <w:bookmarkEnd w:id="1844"/>
    </w:p>
    <w:p w14:paraId="7BAC7A38" w14:textId="77777777" w:rsidR="00E93F58" w:rsidRPr="00283424" w:rsidRDefault="00E93F58" w:rsidP="00B50726">
      <w:pPr>
        <w:pStyle w:val="subsection"/>
      </w:pPr>
      <w:r w:rsidRPr="00283424">
        <w:rPr>
          <w:color w:val="000000"/>
        </w:rPr>
        <w:tab/>
        <w:t>(1)</w:t>
      </w:r>
      <w:r w:rsidRPr="00283424">
        <w:rPr>
          <w:color w:val="000000"/>
        </w:rPr>
        <w:tab/>
        <w:t>For paragraph 1017D(5)(g) of the Act, if a reporting period is the exit reporting period, the issuer of a superannuation product (other than the trustee of a self managed superannuation fund or pooled superannuation trust) must include in the periodic report given to a person who ceases, otherwise than by death to hold the product, the information mentioned in regulation 7.9.20.</w:t>
      </w:r>
    </w:p>
    <w:p w14:paraId="22D9A5FD"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12C1A744" w14:textId="77777777" w:rsidR="00E93F58" w:rsidRPr="00283424" w:rsidRDefault="00E93F58" w:rsidP="00B50726">
      <w:pPr>
        <w:pStyle w:val="ActHead5"/>
      </w:pPr>
      <w:bookmarkStart w:id="1845" w:name="_Toc152054898"/>
      <w:bookmarkStart w:id="1846" w:name="_Toc158712714"/>
      <w:r w:rsidRPr="006F296E">
        <w:rPr>
          <w:rStyle w:val="CharSectno"/>
        </w:rPr>
        <w:t>7.9.56</w:t>
      </w:r>
      <w:r w:rsidRPr="00283424">
        <w:t xml:space="preserve">  Exceptions to exit reporting period provisions: superannuation products and </w:t>
      </w:r>
      <w:r w:rsidRPr="008A72F0">
        <w:t>RSAs</w:t>
      </w:r>
      <w:bookmarkEnd w:id="1845"/>
      <w:bookmarkEnd w:id="1846"/>
    </w:p>
    <w:p w14:paraId="2A3A92B4" w14:textId="77777777" w:rsidR="00E93F58" w:rsidRPr="00283424" w:rsidRDefault="00E93F58" w:rsidP="00B50726">
      <w:pPr>
        <w:pStyle w:val="subsection"/>
      </w:pPr>
      <w:r w:rsidRPr="00283424">
        <w:rPr>
          <w:color w:val="000000"/>
        </w:rPr>
        <w:tab/>
      </w:r>
      <w:r w:rsidRPr="00283424">
        <w:rPr>
          <w:color w:val="000000"/>
        </w:rPr>
        <w:tab/>
        <w:t>This Subdivision does not apply in relation to a superannuation product holder who has been provided with the relevant information in the circumstances described in Part 13 of Schedule 10A.</w:t>
      </w:r>
    </w:p>
    <w:p w14:paraId="241AC34E" w14:textId="77777777" w:rsidR="00E93F58" w:rsidRPr="00283424" w:rsidRDefault="00E93F58" w:rsidP="00B50726">
      <w:pPr>
        <w:pStyle w:val="ActHead5"/>
      </w:pPr>
      <w:bookmarkStart w:id="1847" w:name="_Toc152054899"/>
      <w:bookmarkStart w:id="1848" w:name="_Toc158712715"/>
      <w:r w:rsidRPr="006F296E">
        <w:rPr>
          <w:rStyle w:val="CharSectno"/>
        </w:rPr>
        <w:t>7.9.57</w:t>
      </w:r>
      <w:r w:rsidRPr="00283424">
        <w:t xml:space="preserve">  Exception—members subject to compulsory protection of small amounts</w:t>
      </w:r>
      <w:bookmarkEnd w:id="1847"/>
      <w:bookmarkEnd w:id="1848"/>
    </w:p>
    <w:p w14:paraId="31C35EDA" w14:textId="77777777" w:rsidR="00E93F58" w:rsidRPr="00283424" w:rsidRDefault="00E93F58" w:rsidP="00B50726">
      <w:pPr>
        <w:pStyle w:val="subsection"/>
      </w:pPr>
      <w:r w:rsidRPr="00283424">
        <w:tab/>
      </w:r>
      <w:r w:rsidRPr="00283424">
        <w:tab/>
        <w:t xml:space="preserve">For paragraph 1017D(5)(g) of the Act, if a protected holder of a superannuation product or </w:t>
      </w:r>
      <w:r w:rsidRPr="00BE1284">
        <w:t>RSA</w:t>
      </w:r>
      <w:r w:rsidRPr="00283424">
        <w:t xml:space="preserve"> ceases to hold the product, a periodic statement must include the following information for the exit reporting period:</w:t>
      </w:r>
    </w:p>
    <w:p w14:paraId="2F1AB108" w14:textId="77777777" w:rsidR="00E93F58" w:rsidRPr="00283424" w:rsidRDefault="00E93F58" w:rsidP="00B50726">
      <w:pPr>
        <w:pStyle w:val="paragraph"/>
      </w:pPr>
      <w:r w:rsidRPr="00283424">
        <w:rPr>
          <w:color w:val="000000"/>
        </w:rPr>
        <w:tab/>
        <w:t>(a)</w:t>
      </w:r>
      <w:r w:rsidRPr="00283424">
        <w:rPr>
          <w:color w:val="000000"/>
        </w:rPr>
        <w:tab/>
        <w:t>the contact details of the product provider;</w:t>
      </w:r>
    </w:p>
    <w:p w14:paraId="2E063F99" w14:textId="77777777" w:rsidR="00E93F58" w:rsidRPr="00283424" w:rsidRDefault="00E93F58" w:rsidP="00B50726">
      <w:pPr>
        <w:pStyle w:val="paragraph"/>
      </w:pPr>
      <w:r w:rsidRPr="00283424">
        <w:tab/>
        <w:t>(b)</w:t>
      </w:r>
      <w:r w:rsidRPr="00283424">
        <w:tab/>
        <w:t>the amount of the product holder’s withdrawal benefit;</w:t>
      </w:r>
    </w:p>
    <w:p w14:paraId="40C29332" w14:textId="77777777" w:rsidR="00E93F58" w:rsidRPr="00283424" w:rsidRDefault="00E93F58" w:rsidP="00B50726">
      <w:pPr>
        <w:pStyle w:val="paragraph"/>
      </w:pPr>
      <w:r w:rsidRPr="00283424">
        <w:tab/>
        <w:t>(c)</w:t>
      </w:r>
      <w:r w:rsidRPr="00283424">
        <w:tab/>
        <w:t>the amount of any deduction, from the product holder’s benefits, in connection with payment of a superannuation contributions surcharge, or an advance instalment of surcharge, during the exit reporting period;</w:t>
      </w:r>
    </w:p>
    <w:p w14:paraId="0395AB00" w14:textId="77777777" w:rsidR="00E93F58" w:rsidRPr="00283424" w:rsidRDefault="00E93F58" w:rsidP="00B50726">
      <w:pPr>
        <w:pStyle w:val="paragraph"/>
      </w:pPr>
      <w:r w:rsidRPr="00283424">
        <w:tab/>
        <w:t>(d)</w:t>
      </w:r>
      <w:r w:rsidRPr="00283424">
        <w:tab/>
        <w:t xml:space="preserve">if there is a difference between the amount deducted and the amount assessed under subsection 15(1) of the </w:t>
      </w:r>
      <w:r w:rsidRPr="00283424">
        <w:rPr>
          <w:i/>
        </w:rPr>
        <w:t>Superannuation Contributions Tax (Assessment and Collection) Act 1997</w:t>
      </w:r>
      <w:r w:rsidRPr="00283424">
        <w:t>, or between the amount deducted and the amount determined under subsection 15(2) of that Act—a statement explaining the difference;</w:t>
      </w:r>
    </w:p>
    <w:p w14:paraId="1FCDDD91" w14:textId="77777777" w:rsidR="00E93F58" w:rsidRPr="00283424" w:rsidRDefault="00E93F58" w:rsidP="00B50726">
      <w:pPr>
        <w:pStyle w:val="paragraph"/>
      </w:pPr>
      <w:r w:rsidRPr="00283424">
        <w:tab/>
        <w:t>(e)</w:t>
      </w:r>
      <w:r w:rsidRPr="00283424">
        <w:tab/>
        <w:t xml:space="preserve">for a superannuation product provided by an unfunded defined benefits fund—details of the surcharge debt account kept by the issuer, under subsection 16(2) of the </w:t>
      </w:r>
      <w:r w:rsidRPr="00283424">
        <w:rPr>
          <w:i/>
        </w:rPr>
        <w:t>Superannuation Contributions Tax (Assessment and Collection) Act 1997</w:t>
      </w:r>
      <w:r w:rsidRPr="00283424">
        <w:t>, for the holder including:</w:t>
      </w:r>
    </w:p>
    <w:p w14:paraId="37B9D0DA" w14:textId="77777777" w:rsidR="00E93F58" w:rsidRPr="00283424" w:rsidRDefault="00E93F58" w:rsidP="00B50726">
      <w:pPr>
        <w:pStyle w:val="paragraphsub"/>
      </w:pPr>
      <w:r w:rsidRPr="00283424">
        <w:rPr>
          <w:color w:val="000000"/>
        </w:rPr>
        <w:tab/>
        <w:t>(i)</w:t>
      </w:r>
      <w:r w:rsidRPr="00283424">
        <w:rPr>
          <w:color w:val="000000"/>
        </w:rPr>
        <w:tab/>
        <w:t>the balance of the account at the start of the exit reporting period; and</w:t>
      </w:r>
    </w:p>
    <w:p w14:paraId="6E8E187B" w14:textId="77777777" w:rsidR="00E93F58" w:rsidRPr="00283424" w:rsidRDefault="00E93F58" w:rsidP="00B50726">
      <w:pPr>
        <w:pStyle w:val="paragraphsub"/>
      </w:pPr>
      <w:r w:rsidRPr="00283424">
        <w:tab/>
        <w:t>(ii)</w:t>
      </w:r>
      <w:r w:rsidRPr="00283424">
        <w:tab/>
        <w:t>the amount debited to the account during the exit reporting period for superannuation contributions surcharge that is assessed, by the Commissioner of Taxation, to be payable on the member’s surchargeable contributions; and</w:t>
      </w:r>
    </w:p>
    <w:p w14:paraId="5C4E05FE" w14:textId="77777777" w:rsidR="00E93F58" w:rsidRPr="00283424" w:rsidRDefault="00E93F58" w:rsidP="00B50726">
      <w:pPr>
        <w:pStyle w:val="paragraphsub"/>
      </w:pPr>
      <w:r w:rsidRPr="00283424">
        <w:tab/>
        <w:t>(iii)</w:t>
      </w:r>
      <w:r w:rsidRPr="00283424">
        <w:tab/>
        <w:t>the amount of interest debited to the account, under subsection 16(4) of that Act, during the exit reporting period; and</w:t>
      </w:r>
    </w:p>
    <w:p w14:paraId="3848BCE9" w14:textId="77777777" w:rsidR="00E93F58" w:rsidRPr="00283424" w:rsidRDefault="00E93F58" w:rsidP="00B50726">
      <w:pPr>
        <w:pStyle w:val="paragraphsub"/>
      </w:pPr>
      <w:r w:rsidRPr="00283424">
        <w:tab/>
        <w:t>(iv)</w:t>
      </w:r>
      <w:r w:rsidRPr="00283424">
        <w:tab/>
        <w:t>the balance of the account at the end of the exit reporting period.</w:t>
      </w:r>
    </w:p>
    <w:p w14:paraId="5984161A" w14:textId="77777777" w:rsidR="00E93F58" w:rsidRPr="00283424" w:rsidRDefault="00E93F58" w:rsidP="00B50726">
      <w:pPr>
        <w:pStyle w:val="ActHead5"/>
      </w:pPr>
      <w:bookmarkStart w:id="1849" w:name="_Toc152054900"/>
      <w:bookmarkStart w:id="1850" w:name="_Toc158712716"/>
      <w:r w:rsidRPr="006F296E">
        <w:rPr>
          <w:rStyle w:val="CharSectno"/>
        </w:rPr>
        <w:t>7.9.58</w:t>
      </w:r>
      <w:r w:rsidRPr="00283424">
        <w:t xml:space="preserve">  Information to be given in cases other than death of RSA holder</w:t>
      </w:r>
      <w:bookmarkEnd w:id="1849"/>
      <w:bookmarkEnd w:id="1850"/>
    </w:p>
    <w:p w14:paraId="3B50CD05" w14:textId="77777777" w:rsidR="00E93F58" w:rsidRPr="00283424" w:rsidRDefault="00E93F58" w:rsidP="00B50726">
      <w:pPr>
        <w:pStyle w:val="subsection"/>
      </w:pPr>
      <w:r w:rsidRPr="00283424">
        <w:tab/>
        <w:t>(1)</w:t>
      </w:r>
      <w:r w:rsidRPr="00283424">
        <w:tab/>
        <w:t>For paragraph 1017D(5)(g) of the Act, if a reporting period for an RSA is the exit reporting period to which paragraph 1017D(2)(d) of the Act applies for an RSA holder who ceases to be an RSA holder, otherwise than by death:</w:t>
      </w:r>
    </w:p>
    <w:p w14:paraId="25D61009" w14:textId="77777777" w:rsidR="00E93F58" w:rsidRPr="00283424" w:rsidRDefault="00E93F58" w:rsidP="00B50726">
      <w:pPr>
        <w:pStyle w:val="paragraph"/>
      </w:pPr>
      <w:r w:rsidRPr="00283424">
        <w:rPr>
          <w:color w:val="000000"/>
        </w:rPr>
        <w:tab/>
        <w:t>(a)</w:t>
      </w:r>
      <w:r w:rsidRPr="00283424">
        <w:rPr>
          <w:color w:val="000000"/>
        </w:rPr>
        <w:tab/>
        <w:t>the RSA provider must give the RSA holder the information mentioned in regulation 7.9.19; and</w:t>
      </w:r>
    </w:p>
    <w:p w14:paraId="2031ED3B" w14:textId="77777777" w:rsidR="00E93F58" w:rsidRPr="00283424" w:rsidRDefault="00E93F58" w:rsidP="00B50726">
      <w:pPr>
        <w:pStyle w:val="paragraph"/>
      </w:pPr>
      <w:r w:rsidRPr="00283424">
        <w:tab/>
        <w:t>(b)</w:t>
      </w:r>
      <w:r w:rsidRPr="00283424">
        <w:tab/>
        <w:t>regulation 7.9.22 does not apply.</w:t>
      </w:r>
    </w:p>
    <w:p w14:paraId="3666C09C"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1EF7E1C9" w14:textId="77777777" w:rsidR="00E93F58" w:rsidRPr="00283424" w:rsidRDefault="00E93F58" w:rsidP="00B50726">
      <w:pPr>
        <w:pStyle w:val="ActHead5"/>
      </w:pPr>
      <w:bookmarkStart w:id="1851" w:name="_Toc152054901"/>
      <w:bookmarkStart w:id="1852" w:name="_Toc158712717"/>
      <w:r w:rsidRPr="006F296E">
        <w:rPr>
          <w:rStyle w:val="CharSectno"/>
        </w:rPr>
        <w:t>7.9.59</w:t>
      </w:r>
      <w:r w:rsidRPr="00283424">
        <w:t xml:space="preserve">  Information to be given where applicable</w:t>
      </w:r>
      <w:bookmarkEnd w:id="1851"/>
      <w:bookmarkEnd w:id="1852"/>
    </w:p>
    <w:p w14:paraId="269DAFF1" w14:textId="77777777" w:rsidR="00E93F58" w:rsidRPr="00283424" w:rsidRDefault="00E93F58" w:rsidP="00B50726">
      <w:pPr>
        <w:pStyle w:val="subsection"/>
      </w:pPr>
      <w:r w:rsidRPr="00283424">
        <w:tab/>
        <w:t>(1)</w:t>
      </w:r>
      <w:r w:rsidRPr="00283424">
        <w:tab/>
        <w:t>For paragraph 1017D(5)(g) of the Act, if a reporting period for an RSA is the exit reporting period to which paragraph 1017D(2)(d) of the Act applies for an RSA holder who ceases to be an RSA holder, otherwise than by death, the RSA provider must give the RSA holder:</w:t>
      </w:r>
    </w:p>
    <w:p w14:paraId="0A7374D0" w14:textId="77777777" w:rsidR="00E93F58" w:rsidRPr="00283424" w:rsidRDefault="00E93F58" w:rsidP="00B50726">
      <w:pPr>
        <w:pStyle w:val="paragraph"/>
      </w:pPr>
      <w:r w:rsidRPr="00283424">
        <w:rPr>
          <w:color w:val="000000"/>
        </w:rPr>
        <w:tab/>
        <w:t>(a)</w:t>
      </w:r>
      <w:r w:rsidRPr="00283424">
        <w:rPr>
          <w:color w:val="000000"/>
        </w:rPr>
        <w:tab/>
        <w:t>the information mentioned in regulation 7.9.26 (other than paragraphs 7.9.26(1)(h), (i), (l) and (m); and</w:t>
      </w:r>
    </w:p>
    <w:p w14:paraId="0A551540" w14:textId="77777777" w:rsidR="00E93F58" w:rsidRPr="00283424" w:rsidRDefault="00E93F58" w:rsidP="00B50726">
      <w:pPr>
        <w:pStyle w:val="paragraph"/>
      </w:pPr>
      <w:r w:rsidRPr="00283424">
        <w:tab/>
        <w:t>(b)</w:t>
      </w:r>
      <w:r w:rsidRPr="00283424">
        <w:tab/>
        <w:t>in the case of a death benefit that ceases or reduces, or will cease or reduce, because the person has closed the RSA:</w:t>
      </w:r>
    </w:p>
    <w:p w14:paraId="7D1CE8E0" w14:textId="77777777" w:rsidR="00E93F58" w:rsidRPr="00283424" w:rsidRDefault="00E93F58" w:rsidP="00B50726">
      <w:pPr>
        <w:pStyle w:val="paragraphsub"/>
      </w:pPr>
      <w:r w:rsidRPr="00283424">
        <w:tab/>
        <w:t>(i)</w:t>
      </w:r>
      <w:r w:rsidRPr="00283424">
        <w:tab/>
        <w:t>either:</w:t>
      </w:r>
    </w:p>
    <w:p w14:paraId="591ED528" w14:textId="77777777" w:rsidR="00E93F58" w:rsidRPr="00283424" w:rsidRDefault="00E93F58" w:rsidP="00B50726">
      <w:pPr>
        <w:pStyle w:val="paragraphsub-sub"/>
      </w:pPr>
      <w:r w:rsidRPr="00283424">
        <w:rPr>
          <w:color w:val="000000"/>
        </w:rPr>
        <w:tab/>
        <w:t>(A)</w:t>
      </w:r>
      <w:r w:rsidRPr="00283424">
        <w:rPr>
          <w:color w:val="000000"/>
        </w:rPr>
        <w:tab/>
        <w:t>the amount of the death benefit immediately before the person closed the RSA or at the end of the last RSA holder reporting period; or</w:t>
      </w:r>
    </w:p>
    <w:p w14:paraId="0EE43C12" w14:textId="77777777" w:rsidR="00E93F58" w:rsidRPr="00283424" w:rsidRDefault="00E93F58" w:rsidP="00B50726">
      <w:pPr>
        <w:pStyle w:val="paragraphsub-sub"/>
      </w:pPr>
      <w:r w:rsidRPr="00283424">
        <w:tab/>
        <w:t>(B)</w:t>
      </w:r>
      <w:r w:rsidRPr="00283424">
        <w:tab/>
        <w:t>the method of working out the death benefit; and</w:t>
      </w:r>
    </w:p>
    <w:p w14:paraId="64E13E87" w14:textId="77777777" w:rsidR="00E93F58" w:rsidRPr="00283424" w:rsidRDefault="00E93F58" w:rsidP="00B50726">
      <w:pPr>
        <w:pStyle w:val="paragraphsub"/>
      </w:pPr>
      <w:r w:rsidRPr="00283424">
        <w:rPr>
          <w:color w:val="000000"/>
        </w:rPr>
        <w:lastRenderedPageBreak/>
        <w:tab/>
        <w:t>(ii)</w:t>
      </w:r>
      <w:r w:rsidRPr="00283424">
        <w:rPr>
          <w:color w:val="000000"/>
        </w:rPr>
        <w:tab/>
        <w:t>whether a continuation option for insurance cover is available to the person and, if it is, details of the option, a contact person who is available to discuss the option and a telephone number for the contact person.</w:t>
      </w:r>
    </w:p>
    <w:p w14:paraId="30289F87" w14:textId="77777777" w:rsidR="00E93F58" w:rsidRPr="00283424" w:rsidRDefault="00E93F58" w:rsidP="00B50726">
      <w:pPr>
        <w:pStyle w:val="subsection"/>
      </w:pPr>
      <w:r w:rsidRPr="00283424">
        <w:rPr>
          <w:color w:val="000000"/>
        </w:rPr>
        <w:tab/>
        <w:t>(2)</w:t>
      </w:r>
      <w:r w:rsidRPr="00283424">
        <w:rPr>
          <w:color w:val="000000"/>
        </w:rPr>
        <w:tab/>
        <w:t>A nil amount need not be disclosed.</w:t>
      </w:r>
    </w:p>
    <w:p w14:paraId="217CD9C2" w14:textId="77777777" w:rsidR="00E93F58" w:rsidRPr="00283424" w:rsidRDefault="00E93F58" w:rsidP="00B50726">
      <w:pPr>
        <w:pStyle w:val="ActHead5"/>
      </w:pPr>
      <w:bookmarkStart w:id="1853" w:name="_Toc152054902"/>
      <w:bookmarkStart w:id="1854" w:name="_Toc158712718"/>
      <w:r w:rsidRPr="006F296E">
        <w:rPr>
          <w:rStyle w:val="CharSectno"/>
        </w:rPr>
        <w:t>7.9.60</w:t>
      </w:r>
      <w:r w:rsidRPr="00283424">
        <w:t xml:space="preserve">  Modification of Act: exceptions to exit reporting period provisions</w:t>
      </w:r>
      <w:bookmarkEnd w:id="1853"/>
      <w:bookmarkEnd w:id="1854"/>
    </w:p>
    <w:p w14:paraId="4DBAA78A" w14:textId="77777777" w:rsidR="00E93F58" w:rsidRPr="00283424" w:rsidRDefault="00E93F58" w:rsidP="00B50726">
      <w:pPr>
        <w:pStyle w:val="subsection"/>
        <w:keepNext/>
        <w:keepLines/>
      </w:pPr>
      <w:r w:rsidRPr="00283424">
        <w:rPr>
          <w:color w:val="000000"/>
        </w:rPr>
        <w:tab/>
      </w:r>
      <w:r w:rsidRPr="00283424">
        <w:rPr>
          <w:color w:val="000000"/>
        </w:rPr>
        <w:tab/>
        <w:t>For paragraph 1020G(1)(c) of the Act, Part 7.9 of the Act is modified in its application in relation to an RSA as set out in Part 13 of Schedule 10A.</w:t>
      </w:r>
    </w:p>
    <w:p w14:paraId="0CBA3E97" w14:textId="77777777" w:rsidR="00E93F58" w:rsidRPr="00283424" w:rsidRDefault="00E93F58" w:rsidP="00B50726">
      <w:pPr>
        <w:pStyle w:val="ActHead3"/>
        <w:pageBreakBefore/>
      </w:pPr>
      <w:bookmarkStart w:id="1855" w:name="_Toc152054903"/>
      <w:bookmarkStart w:id="1856" w:name="_Toc158712719"/>
      <w:r w:rsidRPr="006F296E">
        <w:rPr>
          <w:rStyle w:val="CharDivNo"/>
        </w:rPr>
        <w:lastRenderedPageBreak/>
        <w:t>Division 5AA</w:t>
      </w:r>
      <w:r w:rsidRPr="00283424">
        <w:t>—</w:t>
      </w:r>
      <w:r w:rsidRPr="006F296E">
        <w:rPr>
          <w:rStyle w:val="CharDivText"/>
        </w:rPr>
        <w:t>General requirements for financial disclosure</w:t>
      </w:r>
      <w:bookmarkEnd w:id="1855"/>
      <w:bookmarkEnd w:id="1856"/>
    </w:p>
    <w:p w14:paraId="5FFFD815" w14:textId="77777777" w:rsidR="00E93F58" w:rsidRPr="00283424" w:rsidRDefault="00E93F58" w:rsidP="00B50726">
      <w:pPr>
        <w:pStyle w:val="ActHead5"/>
      </w:pPr>
      <w:bookmarkStart w:id="1857" w:name="_Toc152054904"/>
      <w:bookmarkStart w:id="1858" w:name="_Toc158712720"/>
      <w:r w:rsidRPr="006F296E">
        <w:rPr>
          <w:rStyle w:val="CharSectno"/>
        </w:rPr>
        <w:t>7.9.60A</w:t>
      </w:r>
      <w:r w:rsidRPr="00283424">
        <w:t xml:space="preserve">  Modification of Act: disclosure</w:t>
      </w:r>
      <w:bookmarkEnd w:id="1857"/>
      <w:bookmarkEnd w:id="1858"/>
    </w:p>
    <w:p w14:paraId="7511846D" w14:textId="77777777" w:rsidR="00E93F58" w:rsidRPr="00283424" w:rsidRDefault="00E93F58" w:rsidP="00B50726">
      <w:pPr>
        <w:pStyle w:val="subsection"/>
      </w:pPr>
      <w:r w:rsidRPr="00283424">
        <w:rPr>
          <w:color w:val="000000"/>
        </w:rPr>
        <w:tab/>
      </w:r>
      <w:r w:rsidRPr="00283424">
        <w:rPr>
          <w:color w:val="000000"/>
        </w:rPr>
        <w:tab/>
        <w:t>For paragraph 1020G(1)(c) of the Act, Part 7.9 of the Act is modified in its application in relation to the obligation to give information about financial products as set out in Part 14 of Schedule 10A.</w:t>
      </w:r>
    </w:p>
    <w:p w14:paraId="3C1251E5" w14:textId="77777777" w:rsidR="00E93F58" w:rsidRPr="00283424" w:rsidRDefault="00E93F58" w:rsidP="00B50726">
      <w:pPr>
        <w:pStyle w:val="ActHead5"/>
      </w:pPr>
      <w:bookmarkStart w:id="1859" w:name="_Toc152054905"/>
      <w:bookmarkStart w:id="1860" w:name="_Toc158712721"/>
      <w:r w:rsidRPr="006F296E">
        <w:rPr>
          <w:rStyle w:val="CharSectno"/>
        </w:rPr>
        <w:t>7.9.60B</w:t>
      </w:r>
      <w:r w:rsidRPr="00283424">
        <w:t xml:space="preserve">  Disclosure of transactions in periodic statements</w:t>
      </w:r>
      <w:bookmarkEnd w:id="1859"/>
      <w:bookmarkEnd w:id="1860"/>
    </w:p>
    <w:p w14:paraId="25DC8141" w14:textId="77777777" w:rsidR="00E93F58" w:rsidRPr="00283424" w:rsidRDefault="00E93F58" w:rsidP="00B50726">
      <w:pPr>
        <w:pStyle w:val="subsection"/>
      </w:pPr>
      <w:r w:rsidRPr="00283424">
        <w:tab/>
        <w:t>(1)</w:t>
      </w:r>
      <w:r w:rsidRPr="00283424">
        <w:tab/>
        <w:t>This regulation applies to the following periodic statements:</w:t>
      </w:r>
    </w:p>
    <w:p w14:paraId="175763E5" w14:textId="77777777" w:rsidR="00E93F58" w:rsidRPr="00283424" w:rsidRDefault="00E93F58" w:rsidP="00B50726">
      <w:pPr>
        <w:pStyle w:val="paragraph"/>
      </w:pPr>
      <w:r w:rsidRPr="00283424">
        <w:tab/>
        <w:t>(a)</w:t>
      </w:r>
      <w:r w:rsidRPr="00283424">
        <w:tab/>
        <w:t>for a financial product other than a superannuation product, a managed investment product, a foreign passport fund product or an investment life insurance product—a periodic statement in relation to a reporting period commencing on or after 1 July 2005;</w:t>
      </w:r>
    </w:p>
    <w:p w14:paraId="0EA01466" w14:textId="77777777" w:rsidR="00E93F58" w:rsidRPr="00283424" w:rsidRDefault="00E93F58" w:rsidP="00B50726">
      <w:pPr>
        <w:pStyle w:val="paragraph"/>
      </w:pPr>
      <w:r w:rsidRPr="00283424">
        <w:tab/>
        <w:t>(b)</w:t>
      </w:r>
      <w:r w:rsidRPr="00283424">
        <w:tab/>
        <w:t>for a superannuation product:</w:t>
      </w:r>
    </w:p>
    <w:p w14:paraId="2E3B361E" w14:textId="77777777" w:rsidR="00E93F58" w:rsidRPr="00283424" w:rsidRDefault="00E93F58" w:rsidP="00B50726">
      <w:pPr>
        <w:pStyle w:val="paragraphsub"/>
      </w:pPr>
      <w:r w:rsidRPr="00283424">
        <w:tab/>
        <w:t>(i)</w:t>
      </w:r>
      <w:r w:rsidRPr="00283424">
        <w:tab/>
        <w:t>if the periodic statement is not an exit statement—a periodic statement in relation to a reporting period commencing on or after 1 July 2005; and</w:t>
      </w:r>
    </w:p>
    <w:p w14:paraId="3097E50E" w14:textId="77777777" w:rsidR="00E93F58" w:rsidRPr="00283424" w:rsidRDefault="00E93F58" w:rsidP="00B50726">
      <w:pPr>
        <w:pStyle w:val="paragraphsub"/>
      </w:pPr>
      <w:r w:rsidRPr="00283424">
        <w:tab/>
        <w:t>(ii)</w:t>
      </w:r>
      <w:r w:rsidRPr="00283424">
        <w:tab/>
        <w:t>if the periodic statement is an exit statement—a periodic statement issued on or after 1 July 2006;</w:t>
      </w:r>
    </w:p>
    <w:p w14:paraId="4E3B20DA" w14:textId="77777777" w:rsidR="00E93F58" w:rsidRPr="00283424" w:rsidRDefault="00E93F58" w:rsidP="00B50726">
      <w:pPr>
        <w:pStyle w:val="paragraph"/>
      </w:pPr>
      <w:r w:rsidRPr="00283424">
        <w:tab/>
        <w:t>(c)</w:t>
      </w:r>
      <w:r w:rsidRPr="00283424">
        <w:tab/>
        <w:t>for a managed investment product:</w:t>
      </w:r>
    </w:p>
    <w:p w14:paraId="4D683212" w14:textId="77777777" w:rsidR="00E93F58" w:rsidRPr="00283424" w:rsidRDefault="00E93F58" w:rsidP="00B50726">
      <w:pPr>
        <w:pStyle w:val="paragraphsub"/>
      </w:pPr>
      <w:r w:rsidRPr="00283424">
        <w:tab/>
        <w:t>(i)</w:t>
      </w:r>
      <w:r w:rsidRPr="00283424">
        <w:tab/>
        <w:t>if the periodic statement is not an exit statement—a periodic statement in relation to a reporting period commencing on or after 1 July 2006; and</w:t>
      </w:r>
    </w:p>
    <w:p w14:paraId="3155C571" w14:textId="77777777" w:rsidR="00E93F58" w:rsidRPr="00283424" w:rsidRDefault="00E93F58" w:rsidP="00B50726">
      <w:pPr>
        <w:pStyle w:val="paragraphsub"/>
      </w:pPr>
      <w:r w:rsidRPr="00283424">
        <w:tab/>
        <w:t>(ii)</w:t>
      </w:r>
      <w:r w:rsidRPr="00283424">
        <w:tab/>
        <w:t>if the periodic statement is an exit statement—a periodic statement issued on or after 1 July 2007;</w:t>
      </w:r>
    </w:p>
    <w:p w14:paraId="42843EEA" w14:textId="77777777" w:rsidR="00E93F58" w:rsidRPr="00283424" w:rsidRDefault="00E93F58" w:rsidP="00B50726">
      <w:pPr>
        <w:pStyle w:val="paragraph"/>
      </w:pPr>
      <w:r w:rsidRPr="00283424">
        <w:tab/>
        <w:t>(d)</w:t>
      </w:r>
      <w:r w:rsidRPr="00283424">
        <w:tab/>
        <w:t>for an investment life insurance product:</w:t>
      </w:r>
    </w:p>
    <w:p w14:paraId="666E800E" w14:textId="77777777" w:rsidR="00E93F58" w:rsidRPr="00283424" w:rsidRDefault="00E93F58" w:rsidP="00B50726">
      <w:pPr>
        <w:pStyle w:val="paragraphsub"/>
      </w:pPr>
      <w:r w:rsidRPr="00283424">
        <w:tab/>
        <w:t>(i)</w:t>
      </w:r>
      <w:r w:rsidRPr="00283424">
        <w:tab/>
        <w:t>if the periodic statement is not an exit statement—a periodic statement in relation to a reporting period commencing on or after 1 July 2005; and</w:t>
      </w:r>
    </w:p>
    <w:p w14:paraId="38338C40" w14:textId="77777777" w:rsidR="00E93F58" w:rsidRPr="00283424" w:rsidRDefault="00E93F58" w:rsidP="00B50726">
      <w:pPr>
        <w:pStyle w:val="paragraphsub"/>
      </w:pPr>
      <w:r w:rsidRPr="00283424">
        <w:tab/>
        <w:t>(ii)</w:t>
      </w:r>
      <w:r w:rsidRPr="00283424">
        <w:tab/>
        <w:t>if the periodic statement is an exit statement—a periodic statement issued on or after 1 July 2006.</w:t>
      </w:r>
    </w:p>
    <w:p w14:paraId="2C98540F" w14:textId="77777777" w:rsidR="00E93F58" w:rsidRPr="00283424" w:rsidRDefault="00E93F58" w:rsidP="00B50726">
      <w:pPr>
        <w:pStyle w:val="subsection"/>
      </w:pPr>
      <w:r w:rsidRPr="00283424">
        <w:tab/>
        <w:t>(2)</w:t>
      </w:r>
      <w:r w:rsidRPr="00283424">
        <w:tab/>
        <w:t>For paragraph 1017D(5)(c) of the Act, the periodic statement must include a brief description of each transaction in relation to the product during the reporting period.</w:t>
      </w:r>
    </w:p>
    <w:p w14:paraId="6ADD90FF" w14:textId="77777777" w:rsidR="00E93F58" w:rsidRPr="00283424" w:rsidRDefault="00E93F58" w:rsidP="00B50726">
      <w:pPr>
        <w:pStyle w:val="subsection"/>
      </w:pPr>
      <w:r w:rsidRPr="00283424">
        <w:tab/>
        <w:t>(3)</w:t>
      </w:r>
      <w:r w:rsidRPr="00283424">
        <w:tab/>
        <w:t>The amount of a transaction must include, if applicable:</w:t>
      </w:r>
    </w:p>
    <w:p w14:paraId="511086C3" w14:textId="77777777" w:rsidR="00E93F58" w:rsidRPr="00283424" w:rsidRDefault="00E93F58" w:rsidP="00B50726">
      <w:pPr>
        <w:pStyle w:val="paragraph"/>
      </w:pPr>
      <w:r w:rsidRPr="00283424">
        <w:tab/>
        <w:t>(a)</w:t>
      </w:r>
      <w:r w:rsidRPr="00283424">
        <w:tab/>
        <w:t>GST; and</w:t>
      </w:r>
    </w:p>
    <w:p w14:paraId="020ED810" w14:textId="77777777" w:rsidR="00E93F58" w:rsidRPr="00283424" w:rsidRDefault="00E93F58" w:rsidP="00B50726">
      <w:pPr>
        <w:pStyle w:val="paragraph"/>
      </w:pPr>
      <w:r w:rsidRPr="00283424">
        <w:tab/>
        <w:t>(b)</w:t>
      </w:r>
      <w:r w:rsidRPr="00283424">
        <w:tab/>
        <w:t>stamp duty; and</w:t>
      </w:r>
    </w:p>
    <w:p w14:paraId="0E837C89" w14:textId="77777777" w:rsidR="00E93F58" w:rsidRPr="00283424" w:rsidRDefault="00E93F58" w:rsidP="00B50726">
      <w:pPr>
        <w:pStyle w:val="paragraph"/>
      </w:pPr>
      <w:r w:rsidRPr="00283424">
        <w:tab/>
        <w:t>(c)</w:t>
      </w:r>
      <w:r w:rsidRPr="00283424">
        <w:tab/>
        <w:t>income tax, after deductions have been taken into account.</w:t>
      </w:r>
    </w:p>
    <w:p w14:paraId="654D5961" w14:textId="77777777" w:rsidR="00E93F58" w:rsidRPr="00283424" w:rsidRDefault="00E93F58" w:rsidP="00B50726">
      <w:pPr>
        <w:pStyle w:val="subsection"/>
      </w:pPr>
      <w:r w:rsidRPr="00283424">
        <w:tab/>
        <w:t>(4)</w:t>
      </w:r>
      <w:r w:rsidRPr="00283424">
        <w:tab/>
        <w:t>The description of a contribution paid into a superannuation account must be sufficient to identify the source of the contribution, if that information has been recorded by the fund.</w:t>
      </w:r>
    </w:p>
    <w:p w14:paraId="636AC543" w14:textId="77777777" w:rsidR="00E93F58" w:rsidRPr="00283424" w:rsidRDefault="00E93F58" w:rsidP="00B50726">
      <w:pPr>
        <w:pStyle w:val="subsection"/>
      </w:pPr>
      <w:r w:rsidRPr="00283424">
        <w:tab/>
        <w:t>(5)</w:t>
      </w:r>
      <w:r w:rsidRPr="00283424">
        <w:tab/>
        <w:t>A transaction (other than a contribution) of the same kind as another transaction may be described with the other transaction in a single item in the periodic statement if:</w:t>
      </w:r>
    </w:p>
    <w:p w14:paraId="121E922E" w14:textId="77777777" w:rsidR="00E93F58" w:rsidRPr="00283424" w:rsidRDefault="00E93F58" w:rsidP="00B50726">
      <w:pPr>
        <w:pStyle w:val="paragraph"/>
      </w:pPr>
      <w:r w:rsidRPr="00283424">
        <w:tab/>
        <w:t>(a)</w:t>
      </w:r>
      <w:r w:rsidRPr="00283424">
        <w:tab/>
        <w:t>it is practicable to do so; and</w:t>
      </w:r>
    </w:p>
    <w:p w14:paraId="39DAA556" w14:textId="77777777" w:rsidR="00E93F58" w:rsidRPr="00283424" w:rsidRDefault="00E93F58" w:rsidP="00B50726">
      <w:pPr>
        <w:pStyle w:val="paragraph"/>
      </w:pPr>
      <w:r w:rsidRPr="00283424">
        <w:tab/>
        <w:t>(b)</w:t>
      </w:r>
      <w:r w:rsidRPr="00283424">
        <w:tab/>
        <w:t>the items are described together on a consistent basis in the periodic statement.</w:t>
      </w:r>
    </w:p>
    <w:p w14:paraId="140597AE" w14:textId="77777777" w:rsidR="00E93F58" w:rsidRPr="00283424" w:rsidRDefault="00E93F58" w:rsidP="00B50726">
      <w:pPr>
        <w:pStyle w:val="notetext"/>
      </w:pPr>
      <w:r w:rsidRPr="00283424">
        <w:t>Example:</w:t>
      </w:r>
      <w:r w:rsidRPr="00283424">
        <w:tab/>
        <w:t>If a member incurs a weekly management cost, the transactions may be grouped consistently on a monthly basis in the member’s periodic statement.</w:t>
      </w:r>
    </w:p>
    <w:p w14:paraId="3598B3F8" w14:textId="77777777" w:rsidR="00E93F58" w:rsidRPr="00283424" w:rsidRDefault="00E93F58" w:rsidP="00B50726">
      <w:pPr>
        <w:pStyle w:val="subsection"/>
      </w:pPr>
      <w:r w:rsidRPr="00283424">
        <w:tab/>
        <w:t>(6)</w:t>
      </w:r>
      <w:r w:rsidRPr="00283424">
        <w:tab/>
        <w:t>For a superannuation product, a managed investment product, a security in a CCIV or a foreign passport fund product, the only fees and costs that need to be itemised in a periodic statement are the fees and costs shown in the fees and costs template for a Product Disclosure Statement in Part 2 of Schedule 10.</w:t>
      </w:r>
    </w:p>
    <w:p w14:paraId="3E3D0F0E" w14:textId="77777777" w:rsidR="00E93F58" w:rsidRPr="00283424" w:rsidRDefault="00E93F58" w:rsidP="00B50726">
      <w:pPr>
        <w:pStyle w:val="subsection"/>
      </w:pPr>
      <w:r w:rsidRPr="00283424">
        <w:tab/>
        <w:t>(7)</w:t>
      </w:r>
      <w:r w:rsidRPr="00283424">
        <w:tab/>
        <w:t>The fees and costs mentioned in subsection (6) must be described using the terms used in the template.</w:t>
      </w:r>
    </w:p>
    <w:p w14:paraId="47775D62" w14:textId="77777777" w:rsidR="00E93F58" w:rsidRPr="00283424" w:rsidRDefault="00E93F58" w:rsidP="00B50726">
      <w:pPr>
        <w:pStyle w:val="ActHead3"/>
        <w:pageBreakBefore/>
      </w:pPr>
      <w:bookmarkStart w:id="1861" w:name="_Toc152054906"/>
      <w:bookmarkStart w:id="1862" w:name="_Toc158712722"/>
      <w:r w:rsidRPr="006F296E">
        <w:rPr>
          <w:rStyle w:val="CharDivNo"/>
        </w:rPr>
        <w:lastRenderedPageBreak/>
        <w:t>Division 5AB</w:t>
      </w:r>
      <w:r w:rsidRPr="00283424">
        <w:t>—</w:t>
      </w:r>
      <w:r w:rsidRPr="006F296E">
        <w:rPr>
          <w:rStyle w:val="CharDivText"/>
        </w:rPr>
        <w:t>Short</w:t>
      </w:r>
      <w:r w:rsidRPr="006F296E">
        <w:rPr>
          <w:rStyle w:val="CharDivText"/>
        </w:rPr>
        <w:noBreakHyphen/>
        <w:t>Form Product Disclosure Statements</w:t>
      </w:r>
      <w:bookmarkEnd w:id="1861"/>
      <w:bookmarkEnd w:id="1862"/>
    </w:p>
    <w:p w14:paraId="49465583" w14:textId="77777777" w:rsidR="00E93F58" w:rsidRPr="00283424" w:rsidRDefault="00E93F58" w:rsidP="00B50726">
      <w:pPr>
        <w:pStyle w:val="ActHead5"/>
      </w:pPr>
      <w:bookmarkStart w:id="1863" w:name="_Toc152054907"/>
      <w:bookmarkStart w:id="1864" w:name="_Toc158712723"/>
      <w:r w:rsidRPr="006F296E">
        <w:rPr>
          <w:rStyle w:val="CharSectno"/>
        </w:rPr>
        <w:t>7.9.61AA</w:t>
      </w:r>
      <w:r w:rsidRPr="00283424">
        <w:t xml:space="preserve">  Modification of the Act: Short</w:t>
      </w:r>
      <w:r>
        <w:noBreakHyphen/>
      </w:r>
      <w:r w:rsidRPr="00283424">
        <w:t>Form Product Disclosure Statements</w:t>
      </w:r>
      <w:bookmarkEnd w:id="1863"/>
      <w:bookmarkEnd w:id="1864"/>
    </w:p>
    <w:p w14:paraId="2A4B656C" w14:textId="77777777" w:rsidR="00E93F58" w:rsidRPr="00283424" w:rsidRDefault="00E93F58" w:rsidP="00B50726">
      <w:pPr>
        <w:pStyle w:val="SubsectionHead"/>
      </w:pPr>
      <w:r w:rsidRPr="00283424">
        <w:t>Definition of Short</w:t>
      </w:r>
      <w:r>
        <w:noBreakHyphen/>
      </w:r>
      <w:r w:rsidRPr="00283424">
        <w:t>Form Product Disclosure Statement</w:t>
      </w:r>
    </w:p>
    <w:p w14:paraId="297EAA1E" w14:textId="77777777" w:rsidR="00E93F58" w:rsidRPr="00283424" w:rsidRDefault="00E93F58" w:rsidP="00B50726">
      <w:pPr>
        <w:pStyle w:val="subsection"/>
      </w:pPr>
      <w:r w:rsidRPr="00283424">
        <w:tab/>
        <w:t>(1)</w:t>
      </w:r>
      <w:r w:rsidRPr="00283424">
        <w:tab/>
        <w:t xml:space="preserve">For the provisions of the Act set out in column 2 of the following table, the Parts of the Act specified in column 3 apply as if </w:t>
      </w:r>
      <w:r>
        <w:t>section 9</w:t>
      </w:r>
      <w:r w:rsidRPr="00283424">
        <w:t xml:space="preserve"> of the Act were modified by inserting </w:t>
      </w:r>
      <w:r w:rsidRPr="00BE1284">
        <w:t>the following definition in the appropriate position</w:t>
      </w:r>
      <w:r w:rsidRPr="00283424">
        <w:t>:</w:t>
      </w:r>
    </w:p>
    <w:p w14:paraId="7B50F81E" w14:textId="77777777" w:rsidR="00E93F58" w:rsidRPr="00283424" w:rsidRDefault="00E93F58" w:rsidP="00B50726">
      <w:pPr>
        <w:pStyle w:val="Definition"/>
      </w:pPr>
      <w:r w:rsidRPr="00283424">
        <w:t>“</w:t>
      </w:r>
      <w:r w:rsidRPr="00283424">
        <w:rPr>
          <w:b/>
          <w:i/>
        </w:rPr>
        <w:t>Short</w:t>
      </w:r>
      <w:r>
        <w:rPr>
          <w:b/>
          <w:i/>
        </w:rPr>
        <w:noBreakHyphen/>
      </w:r>
      <w:r w:rsidRPr="00283424">
        <w:rPr>
          <w:b/>
          <w:i/>
        </w:rPr>
        <w:t>Form Product Disclosure Statement</w:t>
      </w:r>
      <w:r w:rsidRPr="00283424">
        <w:t xml:space="preserve">, or </w:t>
      </w:r>
      <w:r w:rsidRPr="00283424">
        <w:rPr>
          <w:b/>
          <w:i/>
        </w:rPr>
        <w:t>Short</w:t>
      </w:r>
      <w:r>
        <w:rPr>
          <w:b/>
          <w:i/>
        </w:rPr>
        <w:noBreakHyphen/>
      </w:r>
      <w:r w:rsidRPr="00283424">
        <w:rPr>
          <w:b/>
          <w:i/>
        </w:rPr>
        <w:t>Form PDS</w:t>
      </w:r>
      <w:r w:rsidRPr="00283424">
        <w:t>, means a short</w:t>
      </w:r>
      <w:r>
        <w:noBreakHyphen/>
      </w:r>
      <w:r w:rsidRPr="00283424">
        <w:t>form Product Disclosure Statement that complies with the requirements of Division 3A of Part 7.9.”</w:t>
      </w:r>
    </w:p>
    <w:p w14:paraId="6C4B9214"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277"/>
        <w:gridCol w:w="5434"/>
        <w:gridCol w:w="3062"/>
      </w:tblGrid>
      <w:tr w:rsidR="00E93F58" w:rsidRPr="00283424" w14:paraId="06442D19" w14:textId="77777777" w:rsidTr="00EA0AFF">
        <w:trPr>
          <w:tblHeader/>
        </w:trPr>
        <w:tc>
          <w:tcPr>
            <w:tcW w:w="1057" w:type="pct"/>
            <w:tcBorders>
              <w:top w:val="single" w:sz="12" w:space="0" w:color="auto"/>
              <w:bottom w:val="single" w:sz="6" w:space="0" w:color="auto"/>
            </w:tcBorders>
            <w:shd w:val="clear" w:color="auto" w:fill="auto"/>
          </w:tcPr>
          <w:p w14:paraId="2A2FFAC9" w14:textId="77777777" w:rsidR="00E93F58" w:rsidRPr="00283424" w:rsidRDefault="00E93F58" w:rsidP="00EA0AFF">
            <w:pPr>
              <w:pStyle w:val="TableHeading"/>
            </w:pPr>
            <w:r w:rsidRPr="00283424">
              <w:t>Column 1</w:t>
            </w:r>
          </w:p>
        </w:tc>
        <w:tc>
          <w:tcPr>
            <w:tcW w:w="2522" w:type="pct"/>
            <w:tcBorders>
              <w:top w:val="single" w:sz="12" w:space="0" w:color="auto"/>
              <w:bottom w:val="single" w:sz="6" w:space="0" w:color="auto"/>
            </w:tcBorders>
            <w:shd w:val="clear" w:color="auto" w:fill="auto"/>
          </w:tcPr>
          <w:p w14:paraId="0DB4ABB1" w14:textId="77777777" w:rsidR="00E93F58" w:rsidRPr="00283424" w:rsidRDefault="00E93F58" w:rsidP="00EA0AFF">
            <w:pPr>
              <w:pStyle w:val="TableHeading"/>
            </w:pPr>
            <w:r w:rsidRPr="00283424">
              <w:t>Column 2</w:t>
            </w:r>
          </w:p>
        </w:tc>
        <w:tc>
          <w:tcPr>
            <w:tcW w:w="1421" w:type="pct"/>
            <w:tcBorders>
              <w:top w:val="single" w:sz="12" w:space="0" w:color="auto"/>
              <w:bottom w:val="single" w:sz="6" w:space="0" w:color="auto"/>
            </w:tcBorders>
            <w:shd w:val="clear" w:color="auto" w:fill="auto"/>
          </w:tcPr>
          <w:p w14:paraId="672B6164" w14:textId="77777777" w:rsidR="00E93F58" w:rsidRPr="00283424" w:rsidRDefault="00E93F58" w:rsidP="00EA0AFF">
            <w:pPr>
              <w:pStyle w:val="TableHeading"/>
            </w:pPr>
            <w:r w:rsidRPr="00283424">
              <w:t>Column 3</w:t>
            </w:r>
          </w:p>
        </w:tc>
      </w:tr>
      <w:tr w:rsidR="00E93F58" w:rsidRPr="00283424" w14:paraId="19E162FB" w14:textId="77777777" w:rsidTr="00EA0AFF">
        <w:trPr>
          <w:tblHeader/>
        </w:trPr>
        <w:tc>
          <w:tcPr>
            <w:tcW w:w="1057" w:type="pct"/>
            <w:tcBorders>
              <w:top w:val="single" w:sz="6" w:space="0" w:color="auto"/>
              <w:bottom w:val="single" w:sz="12" w:space="0" w:color="auto"/>
            </w:tcBorders>
            <w:shd w:val="clear" w:color="auto" w:fill="auto"/>
          </w:tcPr>
          <w:p w14:paraId="0082BD8D" w14:textId="77777777" w:rsidR="00E93F58" w:rsidRPr="00283424" w:rsidRDefault="00E93F58" w:rsidP="00EA0AFF">
            <w:pPr>
              <w:pStyle w:val="TableHeading"/>
            </w:pPr>
            <w:r w:rsidRPr="00283424">
              <w:t>Item</w:t>
            </w:r>
          </w:p>
        </w:tc>
        <w:tc>
          <w:tcPr>
            <w:tcW w:w="2522" w:type="pct"/>
            <w:tcBorders>
              <w:top w:val="single" w:sz="6" w:space="0" w:color="auto"/>
              <w:bottom w:val="single" w:sz="12" w:space="0" w:color="auto"/>
            </w:tcBorders>
            <w:shd w:val="clear" w:color="auto" w:fill="auto"/>
          </w:tcPr>
          <w:p w14:paraId="32AE76CE" w14:textId="77777777" w:rsidR="00E93F58" w:rsidRPr="00283424" w:rsidRDefault="00E93F58" w:rsidP="00EA0AFF">
            <w:pPr>
              <w:pStyle w:val="TableHeading"/>
            </w:pPr>
            <w:r w:rsidRPr="00283424">
              <w:t>Provisions of Act</w:t>
            </w:r>
          </w:p>
        </w:tc>
        <w:tc>
          <w:tcPr>
            <w:tcW w:w="1421" w:type="pct"/>
            <w:tcBorders>
              <w:top w:val="single" w:sz="6" w:space="0" w:color="auto"/>
              <w:bottom w:val="single" w:sz="12" w:space="0" w:color="auto"/>
            </w:tcBorders>
            <w:shd w:val="clear" w:color="auto" w:fill="auto"/>
          </w:tcPr>
          <w:p w14:paraId="6A109999" w14:textId="77777777" w:rsidR="00E93F58" w:rsidRPr="00283424" w:rsidRDefault="00E93F58" w:rsidP="00EA0AFF">
            <w:pPr>
              <w:pStyle w:val="TableHeading"/>
            </w:pPr>
          </w:p>
        </w:tc>
      </w:tr>
      <w:tr w:rsidR="00E93F58" w:rsidRPr="00283424" w14:paraId="56A2DBA1" w14:textId="77777777" w:rsidTr="00EA0AFF">
        <w:tc>
          <w:tcPr>
            <w:tcW w:w="1057" w:type="pct"/>
            <w:tcBorders>
              <w:top w:val="single" w:sz="12" w:space="0" w:color="auto"/>
            </w:tcBorders>
            <w:shd w:val="clear" w:color="auto" w:fill="auto"/>
          </w:tcPr>
          <w:p w14:paraId="769EF1A0" w14:textId="77777777" w:rsidR="00E93F58" w:rsidRPr="00283424" w:rsidRDefault="00E93F58" w:rsidP="00EA0AFF">
            <w:pPr>
              <w:pStyle w:val="Tabletext"/>
            </w:pPr>
            <w:r w:rsidRPr="00283424">
              <w:t>1</w:t>
            </w:r>
          </w:p>
        </w:tc>
        <w:tc>
          <w:tcPr>
            <w:tcW w:w="2522" w:type="pct"/>
            <w:tcBorders>
              <w:top w:val="single" w:sz="12" w:space="0" w:color="auto"/>
            </w:tcBorders>
            <w:shd w:val="clear" w:color="auto" w:fill="auto"/>
          </w:tcPr>
          <w:p w14:paraId="4AA87B0A" w14:textId="77777777" w:rsidR="00E93F58" w:rsidRPr="00283424" w:rsidRDefault="00E93F58" w:rsidP="00EA0AFF">
            <w:pPr>
              <w:pStyle w:val="Tabletext"/>
            </w:pPr>
            <w:r w:rsidRPr="00283424">
              <w:t>paragraph 951C(1)(c)</w:t>
            </w:r>
          </w:p>
        </w:tc>
        <w:tc>
          <w:tcPr>
            <w:tcW w:w="1421" w:type="pct"/>
            <w:tcBorders>
              <w:top w:val="single" w:sz="12" w:space="0" w:color="auto"/>
            </w:tcBorders>
            <w:shd w:val="clear" w:color="auto" w:fill="auto"/>
          </w:tcPr>
          <w:p w14:paraId="3C850879" w14:textId="77777777" w:rsidR="00E93F58" w:rsidRPr="00283424" w:rsidRDefault="00E93F58" w:rsidP="00EA0AFF">
            <w:pPr>
              <w:pStyle w:val="Tabletext"/>
            </w:pPr>
            <w:r w:rsidRPr="00283424">
              <w:t>Part 7.7</w:t>
            </w:r>
          </w:p>
        </w:tc>
      </w:tr>
      <w:tr w:rsidR="00E93F58" w:rsidRPr="00283424" w14:paraId="11FBA907" w14:textId="77777777" w:rsidTr="00EA0AFF">
        <w:tc>
          <w:tcPr>
            <w:tcW w:w="1057" w:type="pct"/>
            <w:tcBorders>
              <w:bottom w:val="single" w:sz="4" w:space="0" w:color="auto"/>
            </w:tcBorders>
            <w:shd w:val="clear" w:color="auto" w:fill="auto"/>
          </w:tcPr>
          <w:p w14:paraId="40D088E1" w14:textId="77777777" w:rsidR="00E93F58" w:rsidRPr="00283424" w:rsidRDefault="00E93F58" w:rsidP="00EA0AFF">
            <w:pPr>
              <w:pStyle w:val="Tabletext"/>
            </w:pPr>
            <w:r w:rsidRPr="00283424">
              <w:t>2</w:t>
            </w:r>
          </w:p>
        </w:tc>
        <w:tc>
          <w:tcPr>
            <w:tcW w:w="2522" w:type="pct"/>
            <w:tcBorders>
              <w:bottom w:val="single" w:sz="4" w:space="0" w:color="auto"/>
            </w:tcBorders>
            <w:shd w:val="clear" w:color="auto" w:fill="auto"/>
          </w:tcPr>
          <w:p w14:paraId="1B1FEDF7" w14:textId="77777777" w:rsidR="00E93F58" w:rsidRPr="00283424" w:rsidRDefault="00E93F58" w:rsidP="00EA0AFF">
            <w:pPr>
              <w:pStyle w:val="Tabletext"/>
            </w:pPr>
            <w:r w:rsidRPr="00283424">
              <w:t>paragraph 992C(1)(c)</w:t>
            </w:r>
          </w:p>
        </w:tc>
        <w:tc>
          <w:tcPr>
            <w:tcW w:w="1421" w:type="pct"/>
            <w:tcBorders>
              <w:bottom w:val="single" w:sz="4" w:space="0" w:color="auto"/>
            </w:tcBorders>
            <w:shd w:val="clear" w:color="auto" w:fill="auto"/>
          </w:tcPr>
          <w:p w14:paraId="32F8E87C" w14:textId="77777777" w:rsidR="00E93F58" w:rsidRPr="00283424" w:rsidRDefault="00E93F58" w:rsidP="00EA0AFF">
            <w:pPr>
              <w:pStyle w:val="Tabletext"/>
            </w:pPr>
            <w:r w:rsidRPr="00283424">
              <w:t>Part 7.8</w:t>
            </w:r>
          </w:p>
        </w:tc>
      </w:tr>
      <w:tr w:rsidR="00E93F58" w:rsidRPr="00283424" w14:paraId="610E4FD5" w14:textId="77777777" w:rsidTr="00EA0AFF">
        <w:tc>
          <w:tcPr>
            <w:tcW w:w="1057" w:type="pct"/>
            <w:tcBorders>
              <w:bottom w:val="single" w:sz="12" w:space="0" w:color="auto"/>
            </w:tcBorders>
            <w:shd w:val="clear" w:color="auto" w:fill="auto"/>
          </w:tcPr>
          <w:p w14:paraId="7E902C0F" w14:textId="77777777" w:rsidR="00E93F58" w:rsidRPr="00283424" w:rsidRDefault="00E93F58" w:rsidP="00EA0AFF">
            <w:pPr>
              <w:pStyle w:val="Tabletext"/>
            </w:pPr>
            <w:r w:rsidRPr="00283424">
              <w:t>3</w:t>
            </w:r>
          </w:p>
        </w:tc>
        <w:tc>
          <w:tcPr>
            <w:tcW w:w="2522" w:type="pct"/>
            <w:tcBorders>
              <w:bottom w:val="single" w:sz="12" w:space="0" w:color="auto"/>
            </w:tcBorders>
            <w:shd w:val="clear" w:color="auto" w:fill="auto"/>
          </w:tcPr>
          <w:p w14:paraId="7BF73654" w14:textId="77777777" w:rsidR="00E93F58" w:rsidRPr="00283424" w:rsidRDefault="00E93F58" w:rsidP="00EA0AFF">
            <w:pPr>
              <w:pStyle w:val="Tabletext"/>
            </w:pPr>
            <w:r w:rsidRPr="00283424">
              <w:t>paragraph 1020G(1)(c)</w:t>
            </w:r>
          </w:p>
        </w:tc>
        <w:tc>
          <w:tcPr>
            <w:tcW w:w="1421" w:type="pct"/>
            <w:tcBorders>
              <w:bottom w:val="single" w:sz="12" w:space="0" w:color="auto"/>
            </w:tcBorders>
            <w:shd w:val="clear" w:color="auto" w:fill="auto"/>
          </w:tcPr>
          <w:p w14:paraId="55EC3085" w14:textId="77777777" w:rsidR="00E93F58" w:rsidRPr="00283424" w:rsidRDefault="00E93F58" w:rsidP="00EA0AFF">
            <w:pPr>
              <w:pStyle w:val="Tabletext"/>
            </w:pPr>
            <w:r w:rsidRPr="00283424">
              <w:t>Part 7.9</w:t>
            </w:r>
          </w:p>
        </w:tc>
      </w:tr>
    </w:tbl>
    <w:p w14:paraId="7D197F55" w14:textId="77777777" w:rsidR="00E93F58" w:rsidRPr="00283424" w:rsidRDefault="00E93F58" w:rsidP="00B50726">
      <w:pPr>
        <w:pStyle w:val="SubsectionHead"/>
      </w:pPr>
      <w:r w:rsidRPr="00283424">
        <w:t>Definition of Supplementary Short</w:t>
      </w:r>
      <w:r>
        <w:noBreakHyphen/>
      </w:r>
      <w:r w:rsidRPr="00283424">
        <w:t>Form Product Disclosure Statement</w:t>
      </w:r>
    </w:p>
    <w:p w14:paraId="5636E1BB" w14:textId="77777777" w:rsidR="00E93F58" w:rsidRPr="00283424" w:rsidRDefault="00E93F58" w:rsidP="00B50726">
      <w:pPr>
        <w:pStyle w:val="subsection"/>
      </w:pPr>
      <w:r w:rsidRPr="00283424">
        <w:tab/>
        <w:t>(2)</w:t>
      </w:r>
      <w:r w:rsidRPr="00283424">
        <w:tab/>
        <w:t xml:space="preserve">For the provisions of the Act set out in column 2 of the following table, the Parts of the Act specified in column 3 apply as if </w:t>
      </w:r>
      <w:r>
        <w:t>section 9</w:t>
      </w:r>
      <w:r w:rsidRPr="00283424">
        <w:t xml:space="preserve"> of the Act were modified by inserting </w:t>
      </w:r>
      <w:r w:rsidRPr="00BE1284">
        <w:t>the following definition in the appropriate position</w:t>
      </w:r>
      <w:r w:rsidRPr="00283424">
        <w:t>:</w:t>
      </w:r>
    </w:p>
    <w:p w14:paraId="127E9489" w14:textId="77777777" w:rsidR="00E93F58" w:rsidRPr="00283424" w:rsidRDefault="00E93F58" w:rsidP="00B50726">
      <w:pPr>
        <w:pStyle w:val="Definition"/>
      </w:pPr>
      <w:r w:rsidRPr="00283424">
        <w:t>“</w:t>
      </w:r>
      <w:r w:rsidRPr="00283424">
        <w:rPr>
          <w:b/>
          <w:i/>
        </w:rPr>
        <w:t>Supplementary Short</w:t>
      </w:r>
      <w:r>
        <w:rPr>
          <w:b/>
          <w:i/>
        </w:rPr>
        <w:noBreakHyphen/>
      </w:r>
      <w:r w:rsidRPr="00283424">
        <w:rPr>
          <w:b/>
          <w:i/>
        </w:rPr>
        <w:t>Form Product Disclosure Statement</w:t>
      </w:r>
      <w:r w:rsidRPr="00283424">
        <w:t xml:space="preserve">, or </w:t>
      </w:r>
      <w:r w:rsidRPr="00283424">
        <w:rPr>
          <w:b/>
          <w:i/>
        </w:rPr>
        <w:t>Supplementary Short</w:t>
      </w:r>
      <w:r>
        <w:rPr>
          <w:b/>
          <w:i/>
        </w:rPr>
        <w:noBreakHyphen/>
      </w:r>
      <w:r w:rsidRPr="00283424">
        <w:rPr>
          <w:b/>
          <w:i/>
        </w:rPr>
        <w:t>Form PDS</w:t>
      </w:r>
      <w:r w:rsidRPr="00283424">
        <w:t>, has the meaning given by section 1017L.”</w:t>
      </w:r>
    </w:p>
    <w:p w14:paraId="1D14F7D4"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277"/>
        <w:gridCol w:w="5434"/>
        <w:gridCol w:w="3062"/>
      </w:tblGrid>
      <w:tr w:rsidR="00E93F58" w:rsidRPr="00283424" w14:paraId="3057C09A" w14:textId="77777777" w:rsidTr="00EA0AFF">
        <w:tc>
          <w:tcPr>
            <w:tcW w:w="1057" w:type="pct"/>
            <w:tcBorders>
              <w:top w:val="single" w:sz="12" w:space="0" w:color="auto"/>
              <w:bottom w:val="single" w:sz="4" w:space="0" w:color="auto"/>
            </w:tcBorders>
            <w:shd w:val="clear" w:color="auto" w:fill="auto"/>
          </w:tcPr>
          <w:p w14:paraId="4874525D" w14:textId="77777777" w:rsidR="00E93F58" w:rsidRPr="00283424" w:rsidRDefault="00E93F58" w:rsidP="00EA0AFF">
            <w:pPr>
              <w:pStyle w:val="TableHeading"/>
            </w:pPr>
            <w:r w:rsidRPr="00283424">
              <w:t>Column 1</w:t>
            </w:r>
          </w:p>
        </w:tc>
        <w:tc>
          <w:tcPr>
            <w:tcW w:w="2522" w:type="pct"/>
            <w:tcBorders>
              <w:top w:val="single" w:sz="12" w:space="0" w:color="auto"/>
              <w:bottom w:val="single" w:sz="4" w:space="0" w:color="auto"/>
            </w:tcBorders>
            <w:shd w:val="clear" w:color="auto" w:fill="auto"/>
          </w:tcPr>
          <w:p w14:paraId="3188852A" w14:textId="77777777" w:rsidR="00E93F58" w:rsidRPr="00283424" w:rsidRDefault="00E93F58" w:rsidP="00EA0AFF">
            <w:pPr>
              <w:pStyle w:val="TableHeading"/>
            </w:pPr>
            <w:r w:rsidRPr="00283424">
              <w:t>Column 2</w:t>
            </w:r>
          </w:p>
        </w:tc>
        <w:tc>
          <w:tcPr>
            <w:tcW w:w="1421" w:type="pct"/>
            <w:tcBorders>
              <w:top w:val="single" w:sz="12" w:space="0" w:color="auto"/>
              <w:bottom w:val="single" w:sz="4" w:space="0" w:color="auto"/>
            </w:tcBorders>
            <w:shd w:val="clear" w:color="auto" w:fill="auto"/>
          </w:tcPr>
          <w:p w14:paraId="5D696BC1" w14:textId="77777777" w:rsidR="00E93F58" w:rsidRPr="00283424" w:rsidRDefault="00E93F58" w:rsidP="00EA0AFF">
            <w:pPr>
              <w:pStyle w:val="TableHeading"/>
            </w:pPr>
            <w:r w:rsidRPr="00283424">
              <w:t>Column 3</w:t>
            </w:r>
          </w:p>
        </w:tc>
      </w:tr>
      <w:tr w:rsidR="00E93F58" w:rsidRPr="00283424" w14:paraId="6196950F" w14:textId="77777777" w:rsidTr="00EA0AFF">
        <w:tc>
          <w:tcPr>
            <w:tcW w:w="1057" w:type="pct"/>
            <w:tcBorders>
              <w:top w:val="single" w:sz="4" w:space="0" w:color="auto"/>
              <w:bottom w:val="single" w:sz="12" w:space="0" w:color="auto"/>
            </w:tcBorders>
            <w:shd w:val="clear" w:color="auto" w:fill="auto"/>
          </w:tcPr>
          <w:p w14:paraId="3184A698" w14:textId="77777777" w:rsidR="00E93F58" w:rsidRPr="00283424" w:rsidRDefault="00E93F58" w:rsidP="00EA0AFF">
            <w:pPr>
              <w:pStyle w:val="TableHeading"/>
            </w:pPr>
            <w:r w:rsidRPr="00283424">
              <w:t>Item</w:t>
            </w:r>
          </w:p>
        </w:tc>
        <w:tc>
          <w:tcPr>
            <w:tcW w:w="2522" w:type="pct"/>
            <w:tcBorders>
              <w:top w:val="single" w:sz="4" w:space="0" w:color="auto"/>
              <w:bottom w:val="single" w:sz="12" w:space="0" w:color="auto"/>
            </w:tcBorders>
            <w:shd w:val="clear" w:color="auto" w:fill="auto"/>
          </w:tcPr>
          <w:p w14:paraId="48F7D61B" w14:textId="77777777" w:rsidR="00E93F58" w:rsidRPr="00283424" w:rsidRDefault="00E93F58" w:rsidP="00EA0AFF">
            <w:pPr>
              <w:pStyle w:val="TableHeading"/>
            </w:pPr>
            <w:r w:rsidRPr="00283424">
              <w:t>Provisions of Act</w:t>
            </w:r>
          </w:p>
        </w:tc>
        <w:tc>
          <w:tcPr>
            <w:tcW w:w="1421" w:type="pct"/>
            <w:tcBorders>
              <w:top w:val="single" w:sz="4" w:space="0" w:color="auto"/>
              <w:bottom w:val="single" w:sz="12" w:space="0" w:color="auto"/>
            </w:tcBorders>
            <w:shd w:val="clear" w:color="auto" w:fill="auto"/>
          </w:tcPr>
          <w:p w14:paraId="66DDAF2F" w14:textId="77777777" w:rsidR="00E93F58" w:rsidRPr="00283424" w:rsidRDefault="00E93F58" w:rsidP="00EA0AFF">
            <w:pPr>
              <w:pStyle w:val="TableHeading"/>
            </w:pPr>
          </w:p>
        </w:tc>
      </w:tr>
      <w:tr w:rsidR="00E93F58" w:rsidRPr="00283424" w14:paraId="4B129D47" w14:textId="77777777" w:rsidTr="00EA0AFF">
        <w:tc>
          <w:tcPr>
            <w:tcW w:w="1057" w:type="pct"/>
            <w:tcBorders>
              <w:top w:val="single" w:sz="12" w:space="0" w:color="auto"/>
            </w:tcBorders>
            <w:shd w:val="clear" w:color="auto" w:fill="auto"/>
          </w:tcPr>
          <w:p w14:paraId="68E14B5F" w14:textId="77777777" w:rsidR="00E93F58" w:rsidRPr="00283424" w:rsidRDefault="00E93F58" w:rsidP="00EA0AFF">
            <w:pPr>
              <w:pStyle w:val="Tabletext"/>
            </w:pPr>
            <w:r w:rsidRPr="00283424">
              <w:t>1</w:t>
            </w:r>
          </w:p>
        </w:tc>
        <w:tc>
          <w:tcPr>
            <w:tcW w:w="2522" w:type="pct"/>
            <w:tcBorders>
              <w:top w:val="single" w:sz="12" w:space="0" w:color="auto"/>
            </w:tcBorders>
            <w:shd w:val="clear" w:color="auto" w:fill="auto"/>
          </w:tcPr>
          <w:p w14:paraId="26155D12" w14:textId="77777777" w:rsidR="00E93F58" w:rsidRPr="00283424" w:rsidRDefault="00E93F58" w:rsidP="00EA0AFF">
            <w:pPr>
              <w:pStyle w:val="Tabletext"/>
            </w:pPr>
            <w:r w:rsidRPr="00283424">
              <w:t>paragraph 951C(1)(c)</w:t>
            </w:r>
          </w:p>
        </w:tc>
        <w:tc>
          <w:tcPr>
            <w:tcW w:w="1421" w:type="pct"/>
            <w:tcBorders>
              <w:top w:val="single" w:sz="12" w:space="0" w:color="auto"/>
            </w:tcBorders>
            <w:shd w:val="clear" w:color="auto" w:fill="auto"/>
          </w:tcPr>
          <w:p w14:paraId="1CA0420D" w14:textId="77777777" w:rsidR="00E93F58" w:rsidRPr="00283424" w:rsidRDefault="00E93F58" w:rsidP="00EA0AFF">
            <w:pPr>
              <w:pStyle w:val="Tabletext"/>
            </w:pPr>
            <w:r w:rsidRPr="00283424">
              <w:t>Part 7.7</w:t>
            </w:r>
          </w:p>
        </w:tc>
      </w:tr>
      <w:tr w:rsidR="00E93F58" w:rsidRPr="00283424" w14:paraId="4E5CCDF1" w14:textId="77777777" w:rsidTr="00EA0AFF">
        <w:tc>
          <w:tcPr>
            <w:tcW w:w="1057" w:type="pct"/>
            <w:tcBorders>
              <w:bottom w:val="single" w:sz="4" w:space="0" w:color="auto"/>
            </w:tcBorders>
            <w:shd w:val="clear" w:color="auto" w:fill="auto"/>
          </w:tcPr>
          <w:p w14:paraId="24287B3F" w14:textId="77777777" w:rsidR="00E93F58" w:rsidRPr="00283424" w:rsidRDefault="00E93F58" w:rsidP="00EA0AFF">
            <w:pPr>
              <w:pStyle w:val="Tabletext"/>
            </w:pPr>
            <w:r w:rsidRPr="00283424">
              <w:t>2</w:t>
            </w:r>
          </w:p>
        </w:tc>
        <w:tc>
          <w:tcPr>
            <w:tcW w:w="2522" w:type="pct"/>
            <w:tcBorders>
              <w:bottom w:val="single" w:sz="4" w:space="0" w:color="auto"/>
            </w:tcBorders>
            <w:shd w:val="clear" w:color="auto" w:fill="auto"/>
          </w:tcPr>
          <w:p w14:paraId="400CDA2E" w14:textId="77777777" w:rsidR="00E93F58" w:rsidRPr="00283424" w:rsidRDefault="00E93F58" w:rsidP="00EA0AFF">
            <w:pPr>
              <w:pStyle w:val="Tabletext"/>
            </w:pPr>
            <w:r w:rsidRPr="00283424">
              <w:t>paragraph 992C(1)(c)</w:t>
            </w:r>
          </w:p>
        </w:tc>
        <w:tc>
          <w:tcPr>
            <w:tcW w:w="1421" w:type="pct"/>
            <w:tcBorders>
              <w:bottom w:val="single" w:sz="4" w:space="0" w:color="auto"/>
            </w:tcBorders>
            <w:shd w:val="clear" w:color="auto" w:fill="auto"/>
          </w:tcPr>
          <w:p w14:paraId="481AFCB0" w14:textId="77777777" w:rsidR="00E93F58" w:rsidRPr="00283424" w:rsidRDefault="00E93F58" w:rsidP="00EA0AFF">
            <w:pPr>
              <w:pStyle w:val="Tabletext"/>
            </w:pPr>
            <w:r w:rsidRPr="00283424">
              <w:t>Part 7.8</w:t>
            </w:r>
          </w:p>
        </w:tc>
      </w:tr>
      <w:tr w:rsidR="00E93F58" w:rsidRPr="00283424" w14:paraId="04808A63" w14:textId="77777777" w:rsidTr="00EA0AFF">
        <w:tc>
          <w:tcPr>
            <w:tcW w:w="1057" w:type="pct"/>
            <w:tcBorders>
              <w:bottom w:val="single" w:sz="12" w:space="0" w:color="auto"/>
            </w:tcBorders>
            <w:shd w:val="clear" w:color="auto" w:fill="auto"/>
          </w:tcPr>
          <w:p w14:paraId="595586DE" w14:textId="77777777" w:rsidR="00E93F58" w:rsidRPr="00283424" w:rsidRDefault="00E93F58" w:rsidP="00EA0AFF">
            <w:pPr>
              <w:pStyle w:val="Tabletext"/>
            </w:pPr>
            <w:r w:rsidRPr="00283424">
              <w:t>3</w:t>
            </w:r>
          </w:p>
        </w:tc>
        <w:tc>
          <w:tcPr>
            <w:tcW w:w="2522" w:type="pct"/>
            <w:tcBorders>
              <w:bottom w:val="single" w:sz="12" w:space="0" w:color="auto"/>
            </w:tcBorders>
            <w:shd w:val="clear" w:color="auto" w:fill="auto"/>
          </w:tcPr>
          <w:p w14:paraId="4123D734" w14:textId="77777777" w:rsidR="00E93F58" w:rsidRPr="00283424" w:rsidRDefault="00E93F58" w:rsidP="00EA0AFF">
            <w:pPr>
              <w:pStyle w:val="Tabletext"/>
            </w:pPr>
            <w:r w:rsidRPr="00283424">
              <w:t>paragraph 1020G(1)(c)</w:t>
            </w:r>
          </w:p>
        </w:tc>
        <w:tc>
          <w:tcPr>
            <w:tcW w:w="1421" w:type="pct"/>
            <w:tcBorders>
              <w:bottom w:val="single" w:sz="12" w:space="0" w:color="auto"/>
            </w:tcBorders>
            <w:shd w:val="clear" w:color="auto" w:fill="auto"/>
          </w:tcPr>
          <w:p w14:paraId="1703B697" w14:textId="77777777" w:rsidR="00E93F58" w:rsidRPr="00283424" w:rsidRDefault="00E93F58" w:rsidP="00EA0AFF">
            <w:pPr>
              <w:pStyle w:val="Tabletext"/>
            </w:pPr>
            <w:r w:rsidRPr="00283424">
              <w:t>Part 7.9</w:t>
            </w:r>
          </w:p>
        </w:tc>
      </w:tr>
    </w:tbl>
    <w:p w14:paraId="5249AF09" w14:textId="77777777" w:rsidR="00E93F58" w:rsidRPr="00283424" w:rsidRDefault="00E93F58" w:rsidP="00B50726">
      <w:pPr>
        <w:pStyle w:val="SubsectionHead"/>
      </w:pPr>
      <w:r w:rsidRPr="00283424">
        <w:t>Further modifications in Schedule 10BA</w:t>
      </w:r>
    </w:p>
    <w:p w14:paraId="6FCCD983" w14:textId="77777777" w:rsidR="00E93F58" w:rsidRPr="00283424" w:rsidRDefault="00E93F58" w:rsidP="00B50726">
      <w:pPr>
        <w:pStyle w:val="subsection"/>
      </w:pPr>
      <w:r w:rsidRPr="00283424">
        <w:tab/>
        <w:t>(3)</w:t>
      </w:r>
      <w:r w:rsidRPr="00283424">
        <w:tab/>
        <w:t>For paragraph 951C(1)(c) of the Act, Part 7.7 of the Act is modified in its application in relation to Short</w:t>
      </w:r>
      <w:r>
        <w:noBreakHyphen/>
      </w:r>
      <w:r w:rsidRPr="00283424">
        <w:t>Form Product Disclosure Statements as set out in Schedule 10BA.</w:t>
      </w:r>
    </w:p>
    <w:p w14:paraId="20C1705A" w14:textId="77777777" w:rsidR="00E93F58" w:rsidRPr="00283424" w:rsidRDefault="00E93F58" w:rsidP="00B50726">
      <w:pPr>
        <w:pStyle w:val="subsection"/>
      </w:pPr>
      <w:r w:rsidRPr="00283424">
        <w:tab/>
        <w:t>(4)</w:t>
      </w:r>
      <w:r w:rsidRPr="00283424">
        <w:tab/>
        <w:t>For paragraph 992C(1)(c) of the Act, Part 7.8 of the Act is modified in its application to Short</w:t>
      </w:r>
      <w:r>
        <w:noBreakHyphen/>
      </w:r>
      <w:r w:rsidRPr="00283424">
        <w:t>Form Product Disclosure Statements as set out in Schedule 10BA.</w:t>
      </w:r>
    </w:p>
    <w:p w14:paraId="37FFE69E" w14:textId="77777777" w:rsidR="00E93F58" w:rsidRPr="00283424" w:rsidRDefault="00E93F58" w:rsidP="00B50726">
      <w:pPr>
        <w:pStyle w:val="subsection"/>
      </w:pPr>
      <w:r w:rsidRPr="00283424">
        <w:tab/>
        <w:t>(5)</w:t>
      </w:r>
      <w:r w:rsidRPr="00283424">
        <w:tab/>
        <w:t>For paragraph 1020G(1)(c) of the Act, Part 7.9 of the Act is modified in its application to Short</w:t>
      </w:r>
      <w:r>
        <w:noBreakHyphen/>
      </w:r>
      <w:r w:rsidRPr="00283424">
        <w:t>Form Product Disclosure Statements as set out in Schedule 10BA.</w:t>
      </w:r>
    </w:p>
    <w:p w14:paraId="6F3EFE88" w14:textId="77777777" w:rsidR="00E93F58" w:rsidRPr="00283424" w:rsidRDefault="00E93F58" w:rsidP="00B50726">
      <w:pPr>
        <w:pStyle w:val="ActHead3"/>
        <w:pageBreakBefore/>
      </w:pPr>
      <w:bookmarkStart w:id="1865" w:name="_Toc152054908"/>
      <w:bookmarkStart w:id="1866" w:name="_Toc158712724"/>
      <w:r w:rsidRPr="006F296E">
        <w:rPr>
          <w:rStyle w:val="CharDivNo"/>
        </w:rPr>
        <w:lastRenderedPageBreak/>
        <w:t>Division 5A</w:t>
      </w:r>
      <w:r w:rsidRPr="00283424">
        <w:t>—</w:t>
      </w:r>
      <w:r w:rsidRPr="006F296E">
        <w:rPr>
          <w:rStyle w:val="CharDivText"/>
        </w:rPr>
        <w:t>Dealing with money received for financial product before the product is issued</w:t>
      </w:r>
      <w:bookmarkEnd w:id="1865"/>
      <w:bookmarkEnd w:id="1866"/>
    </w:p>
    <w:p w14:paraId="5EB79E04" w14:textId="77777777" w:rsidR="00E93F58" w:rsidRPr="00283424" w:rsidRDefault="00E93F58" w:rsidP="00B50726">
      <w:pPr>
        <w:pStyle w:val="ActHead5"/>
      </w:pPr>
      <w:bookmarkStart w:id="1867" w:name="_Toc152054909"/>
      <w:bookmarkStart w:id="1868" w:name="_Toc158712725"/>
      <w:r w:rsidRPr="006F296E">
        <w:rPr>
          <w:rStyle w:val="CharSectno"/>
        </w:rPr>
        <w:t>7.9.61A</w:t>
      </w:r>
      <w:r w:rsidRPr="00283424">
        <w:t xml:space="preserve">  Lost application money</w:t>
      </w:r>
      <w:bookmarkEnd w:id="1867"/>
      <w:bookmarkEnd w:id="1868"/>
    </w:p>
    <w:p w14:paraId="4535EDF9" w14:textId="77777777" w:rsidR="00E93F58" w:rsidRPr="00283424" w:rsidRDefault="00E93F58" w:rsidP="00B50726">
      <w:pPr>
        <w:pStyle w:val="subsection"/>
      </w:pPr>
      <w:r w:rsidRPr="00283424">
        <w:tab/>
        <w:t>(1)</w:t>
      </w:r>
      <w:r w:rsidRPr="00283424">
        <w:tab/>
        <w:t>This regulation applies if:</w:t>
      </w:r>
    </w:p>
    <w:p w14:paraId="40F74039" w14:textId="77777777" w:rsidR="00E93F58" w:rsidRPr="00283424" w:rsidRDefault="00E93F58" w:rsidP="00B50726">
      <w:pPr>
        <w:pStyle w:val="paragraph"/>
      </w:pPr>
      <w:r w:rsidRPr="00283424">
        <w:tab/>
        <w:t>(a)</w:t>
      </w:r>
      <w:r w:rsidRPr="00283424">
        <w:tab/>
        <w:t>a product provider is not able to return money in compliance with subsection 1017E(4) of the Act; and</w:t>
      </w:r>
    </w:p>
    <w:p w14:paraId="6867B195" w14:textId="77777777" w:rsidR="00E93F58" w:rsidRPr="00283424" w:rsidRDefault="00E93F58" w:rsidP="00B50726">
      <w:pPr>
        <w:pStyle w:val="paragraph"/>
      </w:pPr>
      <w:r w:rsidRPr="00283424">
        <w:tab/>
        <w:t>(b)</w:t>
      </w:r>
      <w:r w:rsidRPr="00283424">
        <w:tab/>
        <w:t>the product provider is not able to issue or transfer a financial product to, or in accordance with the instructions of, the person who paid that money in compliance with subsection 1017E(4); and</w:t>
      </w:r>
    </w:p>
    <w:p w14:paraId="6D148A07" w14:textId="77777777" w:rsidR="00E93F58" w:rsidRPr="00283424" w:rsidRDefault="00E93F58" w:rsidP="00B50726">
      <w:pPr>
        <w:pStyle w:val="paragraph"/>
      </w:pPr>
      <w:r w:rsidRPr="00283424">
        <w:tab/>
        <w:t>(c)</w:t>
      </w:r>
      <w:r w:rsidRPr="00283424">
        <w:tab/>
        <w:t>the money is to be transferred to ASIC to be dealt with under Part 9.7 of the Act.</w:t>
      </w:r>
    </w:p>
    <w:p w14:paraId="480013C5" w14:textId="77777777" w:rsidR="00E93F58" w:rsidRPr="00283424" w:rsidRDefault="00E93F58" w:rsidP="00B50726">
      <w:pPr>
        <w:pStyle w:val="subsection"/>
      </w:pPr>
      <w:r w:rsidRPr="00283424">
        <w:tab/>
        <w:t>(2)</w:t>
      </w:r>
      <w:r w:rsidRPr="00283424">
        <w:tab/>
        <w:t>This regulation also applies if:</w:t>
      </w:r>
    </w:p>
    <w:p w14:paraId="460355B1" w14:textId="77777777" w:rsidR="00E93F58" w:rsidRPr="00283424" w:rsidRDefault="00E93F58" w:rsidP="00B50726">
      <w:pPr>
        <w:pStyle w:val="paragraph"/>
      </w:pPr>
      <w:r w:rsidRPr="00283424">
        <w:tab/>
        <w:t>(a)</w:t>
      </w:r>
      <w:r w:rsidRPr="00283424">
        <w:tab/>
        <w:t>money is taken out of an account mentioned in subsection 1017E(2) of the Act by a product provider for the purpose of returning it to the person by whom it was paid in compliance with paragraph 1017E(3)(a); and</w:t>
      </w:r>
    </w:p>
    <w:p w14:paraId="08FB3B13" w14:textId="77777777" w:rsidR="00E93F58" w:rsidRPr="00283424" w:rsidRDefault="00E93F58" w:rsidP="00B50726">
      <w:pPr>
        <w:pStyle w:val="paragraph"/>
      </w:pPr>
      <w:r w:rsidRPr="00283424">
        <w:tab/>
        <w:t>(b)</w:t>
      </w:r>
      <w:r w:rsidRPr="00283424">
        <w:tab/>
        <w:t>the product provider is not able to return the money in compliance with subsection 1017E(4).</w:t>
      </w:r>
    </w:p>
    <w:p w14:paraId="2915FE3A" w14:textId="77777777" w:rsidR="00E93F58" w:rsidRPr="00283424" w:rsidRDefault="00E93F58" w:rsidP="00B50726">
      <w:pPr>
        <w:pStyle w:val="subsection"/>
      </w:pPr>
      <w:r w:rsidRPr="00283424">
        <w:tab/>
        <w:t>(3)</w:t>
      </w:r>
      <w:r w:rsidRPr="00283424">
        <w:tab/>
        <w:t>For paragraph 1017E(3)(d) of the Act, the situations mentioned in subregulations (1) and (2) are situations in which money may be taken out of an account mentioned in section 1017E.</w:t>
      </w:r>
    </w:p>
    <w:p w14:paraId="4BC6C4FF" w14:textId="77777777" w:rsidR="00E93F58" w:rsidRPr="00283424" w:rsidRDefault="00E93F58" w:rsidP="00B50726">
      <w:pPr>
        <w:pStyle w:val="subsection"/>
      </w:pPr>
      <w:r w:rsidRPr="00283424">
        <w:tab/>
        <w:t>(4)</w:t>
      </w:r>
      <w:r w:rsidRPr="00283424">
        <w:tab/>
        <w:t>For paragraph 1017E(4)(c) of the Act, the product provider must, after taking the money out of the account:</w:t>
      </w:r>
    </w:p>
    <w:p w14:paraId="238040E2" w14:textId="77777777" w:rsidR="00E93F58" w:rsidRPr="00283424" w:rsidRDefault="00E93F58" w:rsidP="00B50726">
      <w:pPr>
        <w:pStyle w:val="paragraph"/>
      </w:pPr>
      <w:r w:rsidRPr="00283424">
        <w:tab/>
        <w:t>(a)</w:t>
      </w:r>
      <w:r w:rsidRPr="00283424">
        <w:tab/>
        <w:t>transfer the money to ASIC to be dealt with under Part 9.7 of the Act; and</w:t>
      </w:r>
    </w:p>
    <w:p w14:paraId="0A45D434" w14:textId="77777777" w:rsidR="00E93F58" w:rsidRPr="00283424" w:rsidRDefault="00E93F58" w:rsidP="00B50726">
      <w:pPr>
        <w:pStyle w:val="paragraph"/>
      </w:pPr>
      <w:r w:rsidRPr="00283424">
        <w:tab/>
        <w:t>(b)</w:t>
      </w:r>
      <w:r w:rsidRPr="00283424">
        <w:tab/>
        <w:t>give ASIC any information in the possession of the product provider that could reasonably assist ASIC to assess a claim by a person that the person is entitled to the money.</w:t>
      </w:r>
    </w:p>
    <w:p w14:paraId="33EA87EA" w14:textId="77777777" w:rsidR="00E93F58" w:rsidRPr="00283424" w:rsidRDefault="00E93F58" w:rsidP="00B50726">
      <w:pPr>
        <w:pStyle w:val="ActHead5"/>
      </w:pPr>
      <w:bookmarkStart w:id="1869" w:name="_Toc152054910"/>
      <w:bookmarkStart w:id="1870" w:name="_Toc158712726"/>
      <w:r w:rsidRPr="006F296E">
        <w:rPr>
          <w:rStyle w:val="CharSectno"/>
        </w:rPr>
        <w:t>7.9.61B</w:t>
      </w:r>
      <w:r w:rsidRPr="00283424">
        <w:t xml:space="preserve">  Issue of substitute insurance product</w:t>
      </w:r>
      <w:bookmarkEnd w:id="1869"/>
      <w:bookmarkEnd w:id="1870"/>
    </w:p>
    <w:p w14:paraId="476CD840" w14:textId="77777777" w:rsidR="00E93F58" w:rsidRPr="00283424" w:rsidRDefault="00E93F58" w:rsidP="00B50726">
      <w:pPr>
        <w:pStyle w:val="subsection"/>
        <w:keepNext/>
        <w:keepLines/>
      </w:pPr>
      <w:r w:rsidRPr="00283424">
        <w:tab/>
        <w:t>(1)</w:t>
      </w:r>
      <w:r w:rsidRPr="00283424">
        <w:tab/>
        <w:t>This regulation applies if:</w:t>
      </w:r>
    </w:p>
    <w:p w14:paraId="35B0EA97" w14:textId="77777777" w:rsidR="00E93F58" w:rsidRPr="00283424" w:rsidRDefault="00E93F58" w:rsidP="00B50726">
      <w:pPr>
        <w:pStyle w:val="paragraph"/>
        <w:keepNext/>
        <w:keepLines/>
      </w:pPr>
      <w:r w:rsidRPr="00283424">
        <w:tab/>
        <w:t>(a)</w:t>
      </w:r>
      <w:r w:rsidRPr="00283424">
        <w:tab/>
        <w:t xml:space="preserve">money is paid to acquire an insurance product (the </w:t>
      </w:r>
      <w:r w:rsidRPr="00283424">
        <w:rPr>
          <w:b/>
          <w:i/>
        </w:rPr>
        <w:t>new product</w:t>
      </w:r>
      <w:r w:rsidRPr="00283424">
        <w:t>); and</w:t>
      </w:r>
    </w:p>
    <w:p w14:paraId="5F246670" w14:textId="77777777" w:rsidR="00E93F58" w:rsidRPr="00283424" w:rsidRDefault="00E93F58" w:rsidP="00B50726">
      <w:pPr>
        <w:pStyle w:val="paragraph"/>
      </w:pPr>
      <w:r w:rsidRPr="00283424">
        <w:tab/>
        <w:t>(b)</w:t>
      </w:r>
      <w:r w:rsidRPr="00283424">
        <w:tab/>
        <w:t xml:space="preserve">the product provider issues another product (the </w:t>
      </w:r>
      <w:r w:rsidRPr="00283424">
        <w:rPr>
          <w:b/>
          <w:i/>
        </w:rPr>
        <w:t>other product</w:t>
      </w:r>
      <w:r w:rsidRPr="00283424">
        <w:t>) which is the same as the new product except for the date on which it ceases to have effect; and</w:t>
      </w:r>
    </w:p>
    <w:p w14:paraId="127AD0C0" w14:textId="77777777" w:rsidR="00E93F58" w:rsidRPr="00283424" w:rsidRDefault="00E93F58" w:rsidP="00B50726">
      <w:pPr>
        <w:pStyle w:val="paragraph"/>
      </w:pPr>
      <w:r w:rsidRPr="00283424">
        <w:tab/>
        <w:t>(c)</w:t>
      </w:r>
      <w:r w:rsidRPr="00283424">
        <w:tab/>
        <w:t>the product provider has not issued the new product.</w:t>
      </w:r>
    </w:p>
    <w:p w14:paraId="0CA7051C" w14:textId="77777777" w:rsidR="00E93F58" w:rsidRPr="00283424" w:rsidRDefault="00E93F58" w:rsidP="00B50726">
      <w:pPr>
        <w:pStyle w:val="subsection"/>
      </w:pPr>
      <w:r w:rsidRPr="00283424">
        <w:tab/>
        <w:t>(2)</w:t>
      </w:r>
      <w:r w:rsidRPr="00283424">
        <w:tab/>
        <w:t>For paragraph 1017E(3)(d) of the Act, the situation mentioned in subregulation (1) is a situation in which money may be taken out of an account mentioned in section 1017E.</w:t>
      </w:r>
    </w:p>
    <w:p w14:paraId="7E7BAEDA" w14:textId="77777777" w:rsidR="00E93F58" w:rsidRPr="00283424" w:rsidRDefault="00E93F58" w:rsidP="00B50726">
      <w:pPr>
        <w:pStyle w:val="subsection"/>
      </w:pPr>
      <w:r w:rsidRPr="00283424">
        <w:tab/>
        <w:t>(3)</w:t>
      </w:r>
      <w:r w:rsidRPr="00283424">
        <w:tab/>
        <w:t>For paragraph 1017E(4)(c) of the Act, the product provider must, after taking the money out of the account:</w:t>
      </w:r>
    </w:p>
    <w:p w14:paraId="69EFDD6D" w14:textId="77777777" w:rsidR="00E93F58" w:rsidRPr="00283424" w:rsidRDefault="00E93F58" w:rsidP="00B50726">
      <w:pPr>
        <w:pStyle w:val="paragraph"/>
      </w:pPr>
      <w:r w:rsidRPr="00283424">
        <w:tab/>
        <w:t>(a)</w:t>
      </w:r>
      <w:r w:rsidRPr="00283424">
        <w:tab/>
        <w:t>issue the new product before the date on which the other product ceases to have effect; or</w:t>
      </w:r>
    </w:p>
    <w:p w14:paraId="320E7EBB" w14:textId="77777777" w:rsidR="00E93F58" w:rsidRPr="00283424" w:rsidRDefault="00E93F58" w:rsidP="00B50726">
      <w:pPr>
        <w:pStyle w:val="paragraph"/>
      </w:pPr>
      <w:r w:rsidRPr="00283424">
        <w:tab/>
        <w:t>(b)</w:t>
      </w:r>
      <w:r w:rsidRPr="00283424">
        <w:tab/>
        <w:t>return the money to the person by whom it was paid before the date on which the other product ceases to have effect.</w:t>
      </w:r>
    </w:p>
    <w:p w14:paraId="7120A77E" w14:textId="77777777" w:rsidR="00E93F58" w:rsidRPr="00283424" w:rsidRDefault="00E93F58" w:rsidP="00B50726">
      <w:pPr>
        <w:pStyle w:val="ActHead5"/>
      </w:pPr>
      <w:bookmarkStart w:id="1871" w:name="_Toc152054911"/>
      <w:bookmarkStart w:id="1872" w:name="_Toc158712727"/>
      <w:r w:rsidRPr="006F296E">
        <w:rPr>
          <w:rStyle w:val="CharSectno"/>
        </w:rPr>
        <w:t>7.9.61C</w:t>
      </w:r>
      <w:r w:rsidRPr="00283424">
        <w:t xml:space="preserve">  Cheques</w:t>
      </w:r>
      <w:bookmarkEnd w:id="1871"/>
      <w:bookmarkEnd w:id="1872"/>
    </w:p>
    <w:p w14:paraId="0CC68BA1" w14:textId="77777777" w:rsidR="00E93F58" w:rsidRPr="00283424" w:rsidRDefault="00E93F58" w:rsidP="00B50726">
      <w:pPr>
        <w:pStyle w:val="subsection"/>
      </w:pPr>
      <w:r w:rsidRPr="00283424">
        <w:tab/>
      </w:r>
      <w:r w:rsidRPr="00283424">
        <w:tab/>
        <w:t>For paragraph 1020G(1)(c) of the Act, Part 7.9 applies as if section 1017E of the Act were modified by adding, after subsection 1017E(6):</w:t>
      </w:r>
    </w:p>
    <w:p w14:paraId="37E766E5" w14:textId="77777777" w:rsidR="00E93F58" w:rsidRPr="00283424" w:rsidRDefault="00E93F58" w:rsidP="00B50726">
      <w:pPr>
        <w:pStyle w:val="paragraph"/>
      </w:pPr>
      <w:r w:rsidRPr="00283424">
        <w:tab/>
        <w:t>‘(7)</w:t>
      </w:r>
      <w:r w:rsidRPr="00283424">
        <w:tab/>
        <w:t>For this section, if a payment is made by cheque, the payment is taken to have been paid to, and received by, the product provider when the cheque is honoured.’.</w:t>
      </w:r>
    </w:p>
    <w:p w14:paraId="43633D00" w14:textId="77777777" w:rsidR="00E93F58" w:rsidRPr="00283424" w:rsidRDefault="00E93F58" w:rsidP="00B50726">
      <w:pPr>
        <w:pStyle w:val="ActHead3"/>
        <w:pageBreakBefore/>
      </w:pPr>
      <w:bookmarkStart w:id="1873" w:name="_Toc152054912"/>
      <w:bookmarkStart w:id="1874" w:name="_Toc158712728"/>
      <w:r w:rsidRPr="006F296E">
        <w:rPr>
          <w:rStyle w:val="CharDivNo"/>
        </w:rPr>
        <w:lastRenderedPageBreak/>
        <w:t>Division 5B</w:t>
      </w:r>
      <w:r w:rsidRPr="00283424">
        <w:t>—</w:t>
      </w:r>
      <w:r w:rsidRPr="006F296E">
        <w:rPr>
          <w:rStyle w:val="CharDivText"/>
        </w:rPr>
        <w:t>Confirming transactions</w:t>
      </w:r>
      <w:bookmarkEnd w:id="1873"/>
      <w:bookmarkEnd w:id="1874"/>
    </w:p>
    <w:p w14:paraId="512812B9" w14:textId="77777777" w:rsidR="00E93F58" w:rsidRPr="00283424" w:rsidRDefault="00E93F58" w:rsidP="00B50726">
      <w:pPr>
        <w:pStyle w:val="ActHead5"/>
      </w:pPr>
      <w:bookmarkStart w:id="1875" w:name="_Toc152054913"/>
      <w:bookmarkStart w:id="1876" w:name="_Toc158712729"/>
      <w:r w:rsidRPr="006F296E">
        <w:rPr>
          <w:rStyle w:val="CharSectno"/>
        </w:rPr>
        <w:t>7.9.61D</w:t>
      </w:r>
      <w:r w:rsidRPr="00283424">
        <w:t xml:space="preserve">  Transactions involving superannuation products</w:t>
      </w:r>
      <w:bookmarkEnd w:id="1875"/>
      <w:bookmarkEnd w:id="1876"/>
    </w:p>
    <w:p w14:paraId="0963285D" w14:textId="77777777" w:rsidR="00E93F58" w:rsidRPr="00283424" w:rsidRDefault="00E93F58" w:rsidP="00B50726">
      <w:pPr>
        <w:pStyle w:val="subsection"/>
      </w:pPr>
      <w:r w:rsidRPr="00283424">
        <w:tab/>
        <w:t>(1)</w:t>
      </w:r>
      <w:r w:rsidRPr="00283424">
        <w:tab/>
        <w:t>For paragraph 1020G(1)(c) of the Act, this regulation applies in relation to the following financial products:</w:t>
      </w:r>
    </w:p>
    <w:p w14:paraId="3C103381" w14:textId="77777777" w:rsidR="00E93F58" w:rsidRPr="00283424" w:rsidRDefault="00E93F58" w:rsidP="00B50726">
      <w:pPr>
        <w:pStyle w:val="paragraph"/>
      </w:pPr>
      <w:r w:rsidRPr="00283424">
        <w:tab/>
        <w:t>(a)</w:t>
      </w:r>
      <w:r w:rsidRPr="00283424">
        <w:tab/>
        <w:t>an interest in a regulated superannuation fund that is not a public offer superannuation fund;</w:t>
      </w:r>
    </w:p>
    <w:p w14:paraId="5494ACC9" w14:textId="77777777" w:rsidR="00E93F58" w:rsidRPr="00283424" w:rsidRDefault="00E93F58" w:rsidP="00B50726">
      <w:pPr>
        <w:pStyle w:val="paragraph"/>
      </w:pPr>
      <w:r w:rsidRPr="00283424">
        <w:tab/>
        <w:t>(b)</w:t>
      </w:r>
      <w:r w:rsidRPr="00283424">
        <w:tab/>
        <w:t xml:space="preserve">an </w:t>
      </w:r>
      <w:r w:rsidRPr="00BE1284">
        <w:t>RSA</w:t>
      </w:r>
      <w:r w:rsidRPr="00283424">
        <w:t xml:space="preserve"> that has been issued to the product holder because of the operation of subsection 52(4) of the RSA Act;</w:t>
      </w:r>
    </w:p>
    <w:p w14:paraId="66B57B73" w14:textId="77777777" w:rsidR="00E93F58" w:rsidRPr="00283424" w:rsidRDefault="00E93F58" w:rsidP="00B50726">
      <w:pPr>
        <w:pStyle w:val="paragraph"/>
      </w:pPr>
      <w:r w:rsidRPr="00283424">
        <w:tab/>
        <w:t>(c)</w:t>
      </w:r>
      <w:r w:rsidRPr="00283424">
        <w:tab/>
        <w:t>an interest in an eligible rollover fund of which the product holder became a member under section 243 of the SIS Act;</w:t>
      </w:r>
    </w:p>
    <w:p w14:paraId="5B4DE236" w14:textId="77777777" w:rsidR="00E93F58" w:rsidRPr="00283424" w:rsidRDefault="00E93F58" w:rsidP="00B50726">
      <w:pPr>
        <w:pStyle w:val="paragraph"/>
      </w:pPr>
      <w:r w:rsidRPr="00283424">
        <w:tab/>
        <w:t>(d)</w:t>
      </w:r>
      <w:r w:rsidRPr="00283424">
        <w:tab/>
        <w:t>an interest in an eligible rollover fund of which the product holder became a member in the circumstances mentioned in section 89 of the RSA Act;</w:t>
      </w:r>
    </w:p>
    <w:p w14:paraId="55EC1FFC" w14:textId="77777777" w:rsidR="00E93F58" w:rsidRPr="00283424" w:rsidRDefault="00E93F58" w:rsidP="00B50726">
      <w:pPr>
        <w:pStyle w:val="paragraph"/>
      </w:pPr>
      <w:r w:rsidRPr="00283424">
        <w:tab/>
        <w:t>(e)</w:t>
      </w:r>
      <w:r w:rsidRPr="00283424">
        <w:tab/>
        <w:t>an interest in a public offer superannuation fund that is not a successor fund if:</w:t>
      </w:r>
    </w:p>
    <w:p w14:paraId="5E93F5BD" w14:textId="77777777" w:rsidR="00E93F58" w:rsidRPr="00283424" w:rsidRDefault="00E93F58" w:rsidP="00B50726">
      <w:pPr>
        <w:pStyle w:val="paragraphsub"/>
      </w:pPr>
      <w:r w:rsidRPr="00283424">
        <w:tab/>
        <w:t>(i)</w:t>
      </w:r>
      <w:r w:rsidRPr="00283424">
        <w:tab/>
        <w:t>the product holder is a standard employer</w:t>
      </w:r>
      <w:r>
        <w:noBreakHyphen/>
      </w:r>
      <w:r w:rsidRPr="00283424">
        <w:t>sponsored member of the fund; or</w:t>
      </w:r>
    </w:p>
    <w:p w14:paraId="6D4742C7" w14:textId="77777777" w:rsidR="00E93F58" w:rsidRPr="00283424" w:rsidRDefault="00E93F58" w:rsidP="00B50726">
      <w:pPr>
        <w:pStyle w:val="paragraphsub"/>
      </w:pPr>
      <w:r w:rsidRPr="00283424">
        <w:tab/>
        <w:t>(ii)</w:t>
      </w:r>
      <w:r w:rsidRPr="00283424">
        <w:tab/>
        <w:t>the product holder is a person who became a member of the fund in the circumstances mentioned in regulation 7.9.06B.</w:t>
      </w:r>
    </w:p>
    <w:p w14:paraId="61D9B471" w14:textId="77777777" w:rsidR="00E93F58" w:rsidRPr="00283424" w:rsidRDefault="00E93F58" w:rsidP="00B50726">
      <w:pPr>
        <w:pStyle w:val="subsection"/>
      </w:pPr>
      <w:r w:rsidRPr="00283424">
        <w:tab/>
        <w:t>(2)</w:t>
      </w:r>
      <w:r w:rsidRPr="00283424">
        <w:tab/>
        <w:t>Part 7.9 of the Act applies in relation to the financial products as if the following subsection were inserted after subsection 1017F(5A) of the Act:</w:t>
      </w:r>
    </w:p>
    <w:p w14:paraId="77EC3F78" w14:textId="77777777" w:rsidR="00E93F58" w:rsidRPr="00283424" w:rsidRDefault="00E93F58" w:rsidP="00B50726">
      <w:pPr>
        <w:pStyle w:val="paragraph"/>
      </w:pPr>
      <w:r w:rsidRPr="00283424">
        <w:tab/>
        <w:t>‘(5B)</w:t>
      </w:r>
      <w:r w:rsidRPr="00283424">
        <w:tab/>
        <w:t xml:space="preserve">For a financial product mentioned in regulation 7.9.61D of the </w:t>
      </w:r>
      <w:r w:rsidRPr="00283424">
        <w:rPr>
          <w:i/>
        </w:rPr>
        <w:t xml:space="preserve">Corporations </w:t>
      </w:r>
      <w:r>
        <w:rPr>
          <w:i/>
        </w:rPr>
        <w:t>Regulations 2</w:t>
      </w:r>
      <w:r w:rsidRPr="00283424">
        <w:rPr>
          <w:i/>
        </w:rPr>
        <w:t>001</w:t>
      </w:r>
      <w:r w:rsidRPr="00283424">
        <w:t>:</w:t>
      </w:r>
    </w:p>
    <w:p w14:paraId="3D4BD86D" w14:textId="77777777" w:rsidR="00E93F58" w:rsidRPr="00283424" w:rsidRDefault="00E93F58" w:rsidP="00B50726">
      <w:pPr>
        <w:pStyle w:val="paragraphsub"/>
      </w:pPr>
      <w:r w:rsidRPr="00283424">
        <w:tab/>
        <w:t>(a)</w:t>
      </w:r>
      <w:r w:rsidRPr="00283424">
        <w:tab/>
        <w:t>subsection (5A) does not apply if the responsible person in relation to a transaction involving the financial product provides the holder of the financial product with a facility that is able to be accessed by the holder:</w:t>
      </w:r>
    </w:p>
    <w:p w14:paraId="21BAB4ED" w14:textId="77777777" w:rsidR="00E93F58" w:rsidRPr="00283424" w:rsidRDefault="00E93F58" w:rsidP="00B50726">
      <w:pPr>
        <w:pStyle w:val="paragraphsub-sub"/>
      </w:pPr>
      <w:r w:rsidRPr="00283424">
        <w:tab/>
        <w:t>(i)</w:t>
      </w:r>
      <w:r w:rsidRPr="00283424">
        <w:tab/>
        <w:t>by phone; or</w:t>
      </w:r>
    </w:p>
    <w:p w14:paraId="12BBAE15" w14:textId="77777777" w:rsidR="00E93F58" w:rsidRPr="00283424" w:rsidRDefault="00E93F58" w:rsidP="00B50726">
      <w:pPr>
        <w:pStyle w:val="paragraphsub-sub"/>
      </w:pPr>
      <w:r w:rsidRPr="00283424">
        <w:tab/>
        <w:t>(ii)</w:t>
      </w:r>
      <w:r w:rsidRPr="00283424">
        <w:tab/>
        <w:t>by writing; or</w:t>
      </w:r>
    </w:p>
    <w:p w14:paraId="45122821" w14:textId="77777777" w:rsidR="00E93F58" w:rsidRPr="00283424" w:rsidRDefault="00E93F58" w:rsidP="00B50726">
      <w:pPr>
        <w:pStyle w:val="paragraphsub-sub"/>
      </w:pPr>
      <w:r w:rsidRPr="00283424">
        <w:tab/>
        <w:t>(iii)</w:t>
      </w:r>
      <w:r w:rsidRPr="00283424">
        <w:tab/>
        <w:t>by another method that the responsible person knows, or reasonably believes, that the product holder is able to use; and</w:t>
      </w:r>
    </w:p>
    <w:p w14:paraId="649A6549" w14:textId="77777777" w:rsidR="00E93F58" w:rsidRPr="00283424" w:rsidRDefault="00E93F58" w:rsidP="00B50726">
      <w:pPr>
        <w:pStyle w:val="paragraphsub"/>
      </w:pPr>
      <w:r w:rsidRPr="00283424">
        <w:tab/>
        <w:t>(b)</w:t>
      </w:r>
      <w:r w:rsidRPr="00283424">
        <w:tab/>
        <w:t>confirmation may be provided by means of the facility mentioned in paragraph (a).’.</w:t>
      </w:r>
    </w:p>
    <w:p w14:paraId="122C7F8F" w14:textId="77777777" w:rsidR="00E93F58" w:rsidRPr="00283424" w:rsidRDefault="00E93F58" w:rsidP="00B50726">
      <w:pPr>
        <w:pStyle w:val="subsection"/>
      </w:pPr>
      <w:r w:rsidRPr="00283424">
        <w:tab/>
        <w:t>(3)</w:t>
      </w:r>
      <w:r w:rsidRPr="00283424">
        <w:tab/>
        <w:t>Part 7.9 of the Act applies in relation to the financial products as if paragraph 1017F(6)(a) of the Act were replaced by the following paragraph:</w:t>
      </w:r>
    </w:p>
    <w:p w14:paraId="502642DA" w14:textId="77777777" w:rsidR="00E93F58" w:rsidRPr="00283424" w:rsidRDefault="00E93F58" w:rsidP="00B50726">
      <w:pPr>
        <w:pStyle w:val="paragraphsub"/>
      </w:pPr>
      <w:r w:rsidRPr="00283424">
        <w:tab/>
        <w:t>‘(a)</w:t>
      </w:r>
      <w:r w:rsidRPr="00283424">
        <w:tab/>
        <w:t>must be:</w:t>
      </w:r>
    </w:p>
    <w:p w14:paraId="66DF7DFC" w14:textId="77777777" w:rsidR="00E93F58" w:rsidRPr="00283424" w:rsidRDefault="00E93F58" w:rsidP="00B50726">
      <w:pPr>
        <w:pStyle w:val="paragraphsub-sub"/>
      </w:pPr>
      <w:r w:rsidRPr="00283424">
        <w:tab/>
        <w:t>(i)</w:t>
      </w:r>
      <w:r w:rsidRPr="00283424">
        <w:tab/>
        <w:t>by telephone; or</w:t>
      </w:r>
    </w:p>
    <w:p w14:paraId="26F10FC1" w14:textId="77777777" w:rsidR="00E93F58" w:rsidRPr="00283424" w:rsidRDefault="00E93F58" w:rsidP="00B50726">
      <w:pPr>
        <w:pStyle w:val="paragraphsub-sub"/>
      </w:pPr>
      <w:r w:rsidRPr="00283424">
        <w:tab/>
        <w:t>(ii)</w:t>
      </w:r>
      <w:r w:rsidRPr="00283424">
        <w:tab/>
        <w:t>by writing; or</w:t>
      </w:r>
    </w:p>
    <w:p w14:paraId="08F6257A" w14:textId="77777777" w:rsidR="00E93F58" w:rsidRPr="00283424" w:rsidRDefault="00E93F58" w:rsidP="00B50726">
      <w:pPr>
        <w:pStyle w:val="paragraphsub-sub"/>
      </w:pPr>
      <w:r w:rsidRPr="00283424">
        <w:tab/>
        <w:t>(iii)</w:t>
      </w:r>
      <w:r w:rsidRPr="00283424">
        <w:tab/>
        <w:t>by another method that the responsible person knows, or reasonably believes, that the product holder is able to use; and’.</w:t>
      </w:r>
    </w:p>
    <w:p w14:paraId="66085BEF" w14:textId="77777777" w:rsidR="00E93F58" w:rsidRPr="00283424" w:rsidRDefault="00E93F58" w:rsidP="00B50726">
      <w:pPr>
        <w:pStyle w:val="ActHead3"/>
        <w:pageBreakBefore/>
      </w:pPr>
      <w:bookmarkStart w:id="1877" w:name="_Toc152054914"/>
      <w:bookmarkStart w:id="1878" w:name="_Toc158712730"/>
      <w:r w:rsidRPr="006F296E">
        <w:rPr>
          <w:rStyle w:val="CharDivNo"/>
        </w:rPr>
        <w:lastRenderedPageBreak/>
        <w:t>Division 5C</w:t>
      </w:r>
      <w:r w:rsidRPr="00283424">
        <w:t>—</w:t>
      </w:r>
      <w:r w:rsidRPr="006F296E">
        <w:rPr>
          <w:rStyle w:val="CharDivText"/>
        </w:rPr>
        <w:t>CGS depository interests</w:t>
      </w:r>
      <w:bookmarkEnd w:id="1877"/>
      <w:bookmarkEnd w:id="1878"/>
    </w:p>
    <w:p w14:paraId="69BBDCE1" w14:textId="77777777" w:rsidR="00E93F58" w:rsidRPr="00BE1284" w:rsidRDefault="00E93F58" w:rsidP="00362C37">
      <w:pPr>
        <w:pStyle w:val="ActHead5"/>
      </w:pPr>
      <w:bookmarkStart w:id="1879" w:name="_Toc152054915"/>
      <w:bookmarkStart w:id="1880" w:name="_Toc158712731"/>
      <w:r w:rsidRPr="00EE4AA9">
        <w:rPr>
          <w:rStyle w:val="CharSectno"/>
        </w:rPr>
        <w:t>7.9.61E</w:t>
      </w:r>
      <w:r w:rsidRPr="00BE1284">
        <w:t xml:space="preserve">  Meaning of </w:t>
      </w:r>
      <w:r w:rsidRPr="00BE1284">
        <w:rPr>
          <w:i/>
        </w:rPr>
        <w:t>CGS depository interest information website</w:t>
      </w:r>
      <w:bookmarkEnd w:id="1879"/>
      <w:bookmarkEnd w:id="1880"/>
    </w:p>
    <w:p w14:paraId="671583A5" w14:textId="77777777" w:rsidR="00E93F58" w:rsidRPr="00BE1284" w:rsidRDefault="00E93F58" w:rsidP="00362C37">
      <w:pPr>
        <w:pStyle w:val="subsection"/>
      </w:pPr>
      <w:r w:rsidRPr="00BE1284">
        <w:tab/>
      </w:r>
      <w:r w:rsidRPr="00BE1284">
        <w:tab/>
        <w:t xml:space="preserve">For the purposes of the definition of </w:t>
      </w:r>
      <w:r w:rsidRPr="00BE1284">
        <w:rPr>
          <w:b/>
          <w:i/>
        </w:rPr>
        <w:t xml:space="preserve">CGS depository interest information website </w:t>
      </w:r>
      <w:r w:rsidRPr="00BE1284">
        <w:t xml:space="preserve">in </w:t>
      </w:r>
      <w:r>
        <w:t>subsection 1</w:t>
      </w:r>
      <w:r w:rsidRPr="00BE1284">
        <w:t>020AH(1) of the Act, the website prescribed is www.australiangovernmentbonds.gov.au.</w:t>
      </w:r>
    </w:p>
    <w:p w14:paraId="3F683DF6" w14:textId="77777777" w:rsidR="00E93F58" w:rsidRPr="00283424" w:rsidRDefault="00E93F58" w:rsidP="00B50726">
      <w:pPr>
        <w:pStyle w:val="ActHead3"/>
        <w:pageBreakBefore/>
        <w:rPr>
          <w:color w:val="000000"/>
        </w:rPr>
      </w:pPr>
      <w:bookmarkStart w:id="1881" w:name="_Toc152054916"/>
      <w:bookmarkStart w:id="1882" w:name="_Toc158712732"/>
      <w:r w:rsidRPr="006F296E">
        <w:rPr>
          <w:rStyle w:val="CharDivNo"/>
        </w:rPr>
        <w:lastRenderedPageBreak/>
        <w:t>Division 6</w:t>
      </w:r>
      <w:r w:rsidRPr="00283424">
        <w:rPr>
          <w:color w:val="000000"/>
        </w:rPr>
        <w:t>—</w:t>
      </w:r>
      <w:r w:rsidRPr="006F296E">
        <w:rPr>
          <w:rStyle w:val="CharDivText"/>
        </w:rPr>
        <w:t>Confirmation of transactions</w:t>
      </w:r>
      <w:bookmarkEnd w:id="1881"/>
      <w:bookmarkEnd w:id="1882"/>
    </w:p>
    <w:p w14:paraId="1D1DEB39" w14:textId="77777777" w:rsidR="00E93F58" w:rsidRPr="00283424" w:rsidRDefault="00E93F58" w:rsidP="00B50726">
      <w:pPr>
        <w:pStyle w:val="ActHead5"/>
      </w:pPr>
      <w:bookmarkStart w:id="1883" w:name="_Toc152054917"/>
      <w:bookmarkStart w:id="1884" w:name="_Toc158712733"/>
      <w:r w:rsidRPr="006F296E">
        <w:rPr>
          <w:rStyle w:val="CharSectno"/>
        </w:rPr>
        <w:t>7.9.62</w:t>
      </w:r>
      <w:r w:rsidRPr="00283424">
        <w:t xml:space="preserve">  Confirmation of transactions not required</w:t>
      </w:r>
      <w:bookmarkEnd w:id="1883"/>
      <w:bookmarkEnd w:id="1884"/>
    </w:p>
    <w:p w14:paraId="1FD5AFEB" w14:textId="77777777" w:rsidR="00E93F58" w:rsidRPr="00283424" w:rsidRDefault="00E93F58" w:rsidP="00B50726">
      <w:pPr>
        <w:pStyle w:val="subsection"/>
      </w:pPr>
      <w:r w:rsidRPr="00283424">
        <w:tab/>
        <w:t>(1)</w:t>
      </w:r>
      <w:r w:rsidRPr="00283424">
        <w:tab/>
        <w:t xml:space="preserve">For paragraph 1017F(4)(e) of the Act, a transaction is not required to be confirmed by the trustee of a superannuation fund, an </w:t>
      </w:r>
      <w:r w:rsidRPr="00BE1284">
        <w:t>approved deposit fund</w:t>
      </w:r>
      <w:r w:rsidRPr="00283424">
        <w:t xml:space="preserve"> or pooled superannuation trust if:</w:t>
      </w:r>
    </w:p>
    <w:p w14:paraId="63CA856A" w14:textId="77777777" w:rsidR="00E93F58" w:rsidRPr="00283424" w:rsidRDefault="00E93F58" w:rsidP="00B50726">
      <w:pPr>
        <w:pStyle w:val="paragraph"/>
      </w:pPr>
      <w:r w:rsidRPr="00283424">
        <w:rPr>
          <w:color w:val="000000"/>
        </w:rPr>
        <w:tab/>
        <w:t>(a)</w:t>
      </w:r>
      <w:r w:rsidRPr="00283424">
        <w:rPr>
          <w:color w:val="000000"/>
        </w:rPr>
        <w:tab/>
        <w:t>the transaction relates to t</w:t>
      </w:r>
      <w:r w:rsidRPr="00283424">
        <w:t>he termination of</w:t>
      </w:r>
      <w:r w:rsidRPr="00283424">
        <w:rPr>
          <w:color w:val="000000"/>
        </w:rPr>
        <w:t xml:space="preserve"> a superannuation </w:t>
      </w:r>
      <w:r w:rsidRPr="00283424">
        <w:t>product; and</w:t>
      </w:r>
    </w:p>
    <w:p w14:paraId="6B6D1271" w14:textId="77777777" w:rsidR="00E93F58" w:rsidRPr="00283424" w:rsidRDefault="00E93F58" w:rsidP="00B50726">
      <w:pPr>
        <w:pStyle w:val="paragraph"/>
      </w:pPr>
      <w:r w:rsidRPr="00283424">
        <w:tab/>
        <w:t>(b)</w:t>
      </w:r>
      <w:r w:rsidRPr="00283424">
        <w:tab/>
        <w:t xml:space="preserve">the trustee has provided information in accordance with section 1017D of the Act and Subdivision 5.12 of these Regulations about having left the superannuation fund, </w:t>
      </w:r>
      <w:r w:rsidRPr="00BE1284">
        <w:t>approved deposit fund</w:t>
      </w:r>
      <w:r w:rsidRPr="00283424">
        <w:t xml:space="preserve"> or pooled superannuation trust.</w:t>
      </w:r>
    </w:p>
    <w:p w14:paraId="52695835" w14:textId="77777777" w:rsidR="00E93F58" w:rsidRPr="00283424" w:rsidRDefault="00E93F58" w:rsidP="00B50726">
      <w:pPr>
        <w:pStyle w:val="subsection"/>
      </w:pPr>
      <w:r w:rsidRPr="00283424">
        <w:tab/>
        <w:t>(1A)</w:t>
      </w:r>
      <w:r w:rsidRPr="00283424">
        <w:tab/>
        <w:t>For paragraph 1017F(4)(e) of the Act, a transaction is not required to be confirmed by the trustee of a superannuation fund if the transaction relates to a superannuation product provided by a self managed superannuation fund.</w:t>
      </w:r>
    </w:p>
    <w:p w14:paraId="2E69DD78" w14:textId="77777777" w:rsidR="00E93F58" w:rsidRPr="00283424" w:rsidRDefault="00E93F58" w:rsidP="00B50726">
      <w:pPr>
        <w:pStyle w:val="subsection"/>
      </w:pPr>
      <w:r w:rsidRPr="00283424">
        <w:tab/>
        <w:t>(2)</w:t>
      </w:r>
      <w:r w:rsidRPr="00283424">
        <w:tab/>
        <w:t>For paragraph 1017F(4)(e) of the Act, a transaction is not required to be confirmed to the product holder by an RSA provider if:</w:t>
      </w:r>
    </w:p>
    <w:p w14:paraId="2E6213DF" w14:textId="77777777" w:rsidR="00E93F58" w:rsidRPr="00283424" w:rsidRDefault="00E93F58" w:rsidP="00B50726">
      <w:pPr>
        <w:pStyle w:val="paragraph"/>
      </w:pPr>
      <w:r w:rsidRPr="00283424">
        <w:rPr>
          <w:color w:val="000000"/>
        </w:rPr>
        <w:tab/>
        <w:t>(a)</w:t>
      </w:r>
      <w:r w:rsidRPr="00283424">
        <w:rPr>
          <w:color w:val="000000"/>
        </w:rPr>
        <w:tab/>
        <w:t xml:space="preserve">the transaction relates to an </w:t>
      </w:r>
      <w:r w:rsidRPr="00283424">
        <w:t>RSA; and</w:t>
      </w:r>
    </w:p>
    <w:p w14:paraId="03A10C3C" w14:textId="77777777" w:rsidR="00E93F58" w:rsidRPr="00283424" w:rsidRDefault="00E93F58" w:rsidP="00B50726">
      <w:pPr>
        <w:pStyle w:val="paragraph"/>
      </w:pPr>
      <w:r w:rsidRPr="00283424">
        <w:tab/>
        <w:t>(b)</w:t>
      </w:r>
      <w:r w:rsidRPr="00283424">
        <w:tab/>
        <w:t>the trustee has provided information in accordance with section 1017D of the Act and Subdivision 5.12 of these Regulations about closing the RSA.</w:t>
      </w:r>
    </w:p>
    <w:p w14:paraId="545F1271" w14:textId="77777777" w:rsidR="00E93F58" w:rsidRPr="00283424" w:rsidRDefault="00E93F58" w:rsidP="00B50726">
      <w:pPr>
        <w:pStyle w:val="subsection"/>
      </w:pPr>
      <w:r w:rsidRPr="00283424">
        <w:tab/>
        <w:t>(3)</w:t>
      </w:r>
      <w:r w:rsidRPr="00283424">
        <w:tab/>
        <w:t>For paragraph 1017F(4)(e) of the Act, the following transactions in relation to a financial product are not required to be confirmed:</w:t>
      </w:r>
    </w:p>
    <w:p w14:paraId="5E535F2D" w14:textId="77777777" w:rsidR="00E93F58" w:rsidRPr="00283424" w:rsidRDefault="00E93F58" w:rsidP="00B50726">
      <w:pPr>
        <w:pStyle w:val="paragraph"/>
      </w:pPr>
      <w:r w:rsidRPr="00283424">
        <w:tab/>
        <w:t>(a)</w:t>
      </w:r>
      <w:r w:rsidRPr="00283424">
        <w:tab/>
        <w:t>debiting for fees, taxes or charges in respect of the financial product or other transactions involving the financial product;</w:t>
      </w:r>
    </w:p>
    <w:p w14:paraId="3F77314A" w14:textId="77777777" w:rsidR="00E93F58" w:rsidRPr="00283424" w:rsidRDefault="00E93F58" w:rsidP="00B50726">
      <w:pPr>
        <w:pStyle w:val="paragraph"/>
      </w:pPr>
      <w:r w:rsidRPr="00283424">
        <w:tab/>
        <w:t>(b)</w:t>
      </w:r>
      <w:r w:rsidRPr="00283424">
        <w:tab/>
        <w:t>debiting for charges or duties on deposits into, or withdrawals from, the financial product that are payable under a law of the Commonwealth or of a State or Territory;</w:t>
      </w:r>
    </w:p>
    <w:p w14:paraId="5AAACBF5" w14:textId="77777777" w:rsidR="00E93F58" w:rsidRPr="00283424" w:rsidRDefault="00E93F58" w:rsidP="00B50726">
      <w:pPr>
        <w:pStyle w:val="paragraph"/>
      </w:pPr>
      <w:r w:rsidRPr="00283424">
        <w:tab/>
        <w:t>(c)</w:t>
      </w:r>
      <w:r w:rsidRPr="00283424">
        <w:tab/>
        <w:t>debiting an amount from a basic deposit product if:</w:t>
      </w:r>
    </w:p>
    <w:p w14:paraId="655F5B4E" w14:textId="77777777" w:rsidR="00E93F58" w:rsidRPr="00283424" w:rsidRDefault="00E93F58" w:rsidP="00B50726">
      <w:pPr>
        <w:pStyle w:val="paragraphsub"/>
      </w:pPr>
      <w:r w:rsidRPr="00283424">
        <w:tab/>
        <w:t>(i)</w:t>
      </w:r>
      <w:r w:rsidRPr="00283424">
        <w:tab/>
        <w:t>the holder of the product has been given a periodic statement under section 1017D of the Act not later than 6 months after the transaction occurs; and</w:t>
      </w:r>
    </w:p>
    <w:p w14:paraId="163EAF5B" w14:textId="77777777" w:rsidR="00E93F58" w:rsidRPr="00283424" w:rsidRDefault="00E93F58" w:rsidP="00B50726">
      <w:pPr>
        <w:pStyle w:val="paragraphsub"/>
      </w:pPr>
      <w:r w:rsidRPr="00283424">
        <w:tab/>
        <w:t>(ii)</w:t>
      </w:r>
      <w:r w:rsidRPr="00283424">
        <w:tab/>
        <w:t>the periodic statement contains the information about the transaction that is required by that section;</w:t>
      </w:r>
    </w:p>
    <w:p w14:paraId="7DD9FEBC" w14:textId="77777777" w:rsidR="00E93F58" w:rsidRPr="00283424" w:rsidRDefault="00E93F58" w:rsidP="00B50726">
      <w:pPr>
        <w:pStyle w:val="paragraph"/>
      </w:pPr>
      <w:r w:rsidRPr="00283424">
        <w:tab/>
        <w:t>(d)</w:t>
      </w:r>
      <w:r w:rsidRPr="00283424">
        <w:tab/>
        <w:t>crediting an amount to a basic deposit product if:</w:t>
      </w:r>
    </w:p>
    <w:p w14:paraId="2F0E79D8" w14:textId="77777777" w:rsidR="00E93F58" w:rsidRPr="00283424" w:rsidRDefault="00E93F58" w:rsidP="00B50726">
      <w:pPr>
        <w:pStyle w:val="paragraphsub"/>
      </w:pPr>
      <w:r w:rsidRPr="00283424">
        <w:tab/>
        <w:t>(i)</w:t>
      </w:r>
      <w:r w:rsidRPr="00283424">
        <w:tab/>
        <w:t>the holder of the product has been given a periodic statement under section 1017D of the Act not later than 6 months after the transaction occurs; and</w:t>
      </w:r>
    </w:p>
    <w:p w14:paraId="59651D92" w14:textId="77777777" w:rsidR="00E93F58" w:rsidRPr="00283424" w:rsidRDefault="00E93F58" w:rsidP="00B50726">
      <w:pPr>
        <w:pStyle w:val="paragraphsub"/>
      </w:pPr>
      <w:r w:rsidRPr="00283424">
        <w:tab/>
        <w:t>(ii)</w:t>
      </w:r>
      <w:r w:rsidRPr="00283424">
        <w:tab/>
        <w:t>the periodic statement contains the information about the transaction that is required by that section.</w:t>
      </w:r>
    </w:p>
    <w:p w14:paraId="172C5C88" w14:textId="77777777" w:rsidR="00E93F58" w:rsidRPr="00283424" w:rsidRDefault="00E93F58" w:rsidP="00B50726">
      <w:pPr>
        <w:pStyle w:val="subsection"/>
      </w:pPr>
      <w:r w:rsidRPr="00283424">
        <w:tab/>
        <w:t>(4)</w:t>
      </w:r>
      <w:r w:rsidRPr="00283424">
        <w:tab/>
        <w:t>For paragraph 1017F(4)(e) of the Act, the following transactions in relation to a financial product are not required to be confirmed:</w:t>
      </w:r>
    </w:p>
    <w:p w14:paraId="1BE695DD" w14:textId="77777777" w:rsidR="00E93F58" w:rsidRPr="00283424" w:rsidRDefault="00E93F58" w:rsidP="00B50726">
      <w:pPr>
        <w:pStyle w:val="paragraph"/>
      </w:pPr>
      <w:r w:rsidRPr="00283424">
        <w:tab/>
        <w:t>(a)</w:t>
      </w:r>
      <w:r w:rsidRPr="00283424">
        <w:tab/>
        <w:t>a transaction that is required or authorised by a law of the Commonwealth or of a State or Territory;</w:t>
      </w:r>
    </w:p>
    <w:p w14:paraId="78100B8F" w14:textId="77777777" w:rsidR="00E93F58" w:rsidRPr="00283424" w:rsidRDefault="00E93F58" w:rsidP="00B50726">
      <w:pPr>
        <w:pStyle w:val="paragraph"/>
      </w:pPr>
      <w:r w:rsidRPr="00283424">
        <w:tab/>
        <w:t>(b)</w:t>
      </w:r>
      <w:r w:rsidRPr="00283424">
        <w:tab/>
        <w:t>a transaction:</w:t>
      </w:r>
    </w:p>
    <w:p w14:paraId="1A9869B5" w14:textId="77777777" w:rsidR="00E93F58" w:rsidRPr="00283424" w:rsidRDefault="00E93F58" w:rsidP="00B50726">
      <w:pPr>
        <w:pStyle w:val="paragraphsub"/>
      </w:pPr>
      <w:r w:rsidRPr="00283424">
        <w:tab/>
        <w:t>(i)</w:t>
      </w:r>
      <w:r w:rsidRPr="00283424">
        <w:tab/>
        <w:t>consisting solely of an additional contribution towards the financial product; and</w:t>
      </w:r>
    </w:p>
    <w:p w14:paraId="641C08DD" w14:textId="77777777" w:rsidR="00E93F58" w:rsidRPr="00283424" w:rsidRDefault="00E93F58" w:rsidP="00B50726">
      <w:pPr>
        <w:pStyle w:val="paragraphsub"/>
      </w:pPr>
      <w:r w:rsidRPr="00283424">
        <w:tab/>
        <w:t>(ii)</w:t>
      </w:r>
      <w:r w:rsidRPr="00283424">
        <w:tab/>
        <w:t>in relation to which the holder has agreed to the timing and amount, or method of calculating the amount, of the additional contribution;</w:t>
      </w:r>
    </w:p>
    <w:p w14:paraId="228CE466" w14:textId="77777777" w:rsidR="00E93F58" w:rsidRPr="00283424" w:rsidRDefault="00E93F58" w:rsidP="00B50726">
      <w:pPr>
        <w:pStyle w:val="paragraph"/>
      </w:pPr>
      <w:r w:rsidRPr="00283424">
        <w:tab/>
        <w:t>(c)</w:t>
      </w:r>
      <w:r w:rsidRPr="00283424">
        <w:tab/>
        <w:t>a transaction:</w:t>
      </w:r>
    </w:p>
    <w:p w14:paraId="1222D5EE" w14:textId="77777777" w:rsidR="00E93F58" w:rsidRPr="00283424" w:rsidRDefault="00E93F58" w:rsidP="00B50726">
      <w:pPr>
        <w:pStyle w:val="paragraphsub"/>
      </w:pPr>
      <w:r w:rsidRPr="00283424">
        <w:tab/>
        <w:t>(i)</w:t>
      </w:r>
      <w:r w:rsidRPr="00283424">
        <w:tab/>
        <w:t>consisting solely of a withdrawal from the financial product; and</w:t>
      </w:r>
    </w:p>
    <w:p w14:paraId="5D75B9C4" w14:textId="77777777" w:rsidR="00E93F58" w:rsidRPr="00283424" w:rsidRDefault="00E93F58" w:rsidP="00B50726">
      <w:pPr>
        <w:pStyle w:val="paragraphsub"/>
      </w:pPr>
      <w:r w:rsidRPr="00283424">
        <w:tab/>
        <w:t>(ii)</w:t>
      </w:r>
      <w:r w:rsidRPr="00283424">
        <w:tab/>
        <w:t>in relation to which the holder has agreed to the timing and amount, or method of calculating the amount, of the withdrawal;</w:t>
      </w:r>
    </w:p>
    <w:p w14:paraId="086477C9" w14:textId="77777777" w:rsidR="00E93F58" w:rsidRPr="00283424" w:rsidRDefault="00E93F58" w:rsidP="00B50726">
      <w:pPr>
        <w:pStyle w:val="paragraph"/>
      </w:pPr>
      <w:r w:rsidRPr="00283424">
        <w:tab/>
        <w:t>(d)</w:t>
      </w:r>
      <w:r w:rsidRPr="00283424">
        <w:tab/>
        <w:t>a transaction:</w:t>
      </w:r>
    </w:p>
    <w:p w14:paraId="11541CDC" w14:textId="77777777" w:rsidR="00E93F58" w:rsidRPr="00283424" w:rsidRDefault="00E93F58" w:rsidP="00B50726">
      <w:pPr>
        <w:pStyle w:val="paragraphsub"/>
      </w:pPr>
      <w:r w:rsidRPr="00283424">
        <w:tab/>
        <w:t>(i)</w:t>
      </w:r>
      <w:r w:rsidRPr="00283424">
        <w:tab/>
        <w:t>consisting solely of the acquisition of managed investment products; and</w:t>
      </w:r>
    </w:p>
    <w:p w14:paraId="62E3D84C" w14:textId="77777777" w:rsidR="00E93F58" w:rsidRPr="00283424" w:rsidRDefault="00E93F58" w:rsidP="00B50726">
      <w:pPr>
        <w:pStyle w:val="paragraphsub"/>
      </w:pPr>
      <w:r w:rsidRPr="00283424">
        <w:tab/>
        <w:t>(ii)</w:t>
      </w:r>
      <w:r w:rsidRPr="00283424">
        <w:tab/>
        <w:t>in relation to which the holder has agreed to the timing and amount, or method of calculating the amount, of the acquisition; and</w:t>
      </w:r>
    </w:p>
    <w:p w14:paraId="59EDB42C" w14:textId="77777777" w:rsidR="00E93F58" w:rsidRPr="00283424" w:rsidRDefault="00E93F58" w:rsidP="00B50726">
      <w:pPr>
        <w:pStyle w:val="paragraphsub"/>
      </w:pPr>
      <w:r w:rsidRPr="00283424">
        <w:tab/>
        <w:t>(iii)</w:t>
      </w:r>
      <w:r w:rsidRPr="00283424">
        <w:tab/>
        <w:t>in relation to which the holder of the managed investment products, before agreeing to the acquisition, already held or had agreed to acquire managed investment products that were interests in the same registered scheme as the managed investment products that are to be acquired under the agreement;</w:t>
      </w:r>
    </w:p>
    <w:p w14:paraId="0F25F0A7" w14:textId="77777777" w:rsidR="00E93F58" w:rsidRPr="00283424" w:rsidRDefault="00E93F58" w:rsidP="00B50726">
      <w:pPr>
        <w:pStyle w:val="paragraph"/>
      </w:pPr>
      <w:r w:rsidRPr="00283424">
        <w:tab/>
        <w:t>(da)</w:t>
      </w:r>
      <w:r w:rsidRPr="00283424">
        <w:tab/>
        <w:t>a transaction:</w:t>
      </w:r>
    </w:p>
    <w:p w14:paraId="3D8DE307" w14:textId="77777777" w:rsidR="00E93F58" w:rsidRPr="00283424" w:rsidRDefault="00E93F58" w:rsidP="00B50726">
      <w:pPr>
        <w:pStyle w:val="paragraphsub"/>
      </w:pPr>
      <w:r w:rsidRPr="00283424">
        <w:lastRenderedPageBreak/>
        <w:tab/>
        <w:t>(i)</w:t>
      </w:r>
      <w:r w:rsidRPr="00283424">
        <w:tab/>
        <w:t>consisting solely of the acquisition of foreign passport fund products; and</w:t>
      </w:r>
    </w:p>
    <w:p w14:paraId="074B4B67" w14:textId="77777777" w:rsidR="00E93F58" w:rsidRPr="00283424" w:rsidRDefault="00E93F58" w:rsidP="00B50726">
      <w:pPr>
        <w:pStyle w:val="paragraphsub"/>
      </w:pPr>
      <w:r w:rsidRPr="00283424">
        <w:tab/>
        <w:t>(ii)</w:t>
      </w:r>
      <w:r w:rsidRPr="00283424">
        <w:tab/>
        <w:t>in relation to which the holder has agreed to the timing and amount, or method of calculating the amount, of the acquisition; and</w:t>
      </w:r>
    </w:p>
    <w:p w14:paraId="6E98694F" w14:textId="77777777" w:rsidR="00E93F58" w:rsidRPr="00283424" w:rsidRDefault="00E93F58" w:rsidP="00B50726">
      <w:pPr>
        <w:pStyle w:val="paragraphsub"/>
      </w:pPr>
      <w:r w:rsidRPr="00283424">
        <w:tab/>
        <w:t>(iii)</w:t>
      </w:r>
      <w:r w:rsidRPr="00283424">
        <w:tab/>
        <w:t>in relation to which the holder of the foreign passport fund products, before agreeing to the acquisition, already held or had agreed to acquire foreign passport fund products that were interests in the same notified foreign passport fund as the foreign passport fund products that are to be acquired under the agreement;</w:t>
      </w:r>
    </w:p>
    <w:p w14:paraId="680CF30F" w14:textId="77777777" w:rsidR="00E93F58" w:rsidRPr="00283424" w:rsidRDefault="00E93F58" w:rsidP="00B50726">
      <w:pPr>
        <w:pStyle w:val="paragraph"/>
      </w:pPr>
      <w:r w:rsidRPr="00283424">
        <w:tab/>
        <w:t>(e)</w:t>
      </w:r>
      <w:r w:rsidRPr="00283424">
        <w:tab/>
        <w:t>a transaction that relates to:</w:t>
      </w:r>
    </w:p>
    <w:p w14:paraId="53D56DED" w14:textId="77777777" w:rsidR="00E93F58" w:rsidRPr="00283424" w:rsidRDefault="00E93F58" w:rsidP="00B50726">
      <w:pPr>
        <w:pStyle w:val="paragraphsub"/>
      </w:pPr>
      <w:r w:rsidRPr="00283424">
        <w:tab/>
        <w:t>(i)</w:t>
      </w:r>
      <w:r w:rsidRPr="00283424">
        <w:tab/>
        <w:t xml:space="preserve">a superannuation product or an </w:t>
      </w:r>
      <w:r w:rsidRPr="00BE1284">
        <w:t>RSA</w:t>
      </w:r>
      <w:r w:rsidRPr="00283424">
        <w:t>; and</w:t>
      </w:r>
    </w:p>
    <w:p w14:paraId="3DE6F105" w14:textId="77777777" w:rsidR="00E93F58" w:rsidRPr="00283424" w:rsidRDefault="00E93F58" w:rsidP="00B50726">
      <w:pPr>
        <w:pStyle w:val="paragraphsub"/>
      </w:pPr>
      <w:r w:rsidRPr="00283424">
        <w:tab/>
        <w:t>(ii)</w:t>
      </w:r>
      <w:r w:rsidRPr="00283424">
        <w:tab/>
        <w:t xml:space="preserve">a superannuation surcharge liability for a product holder arising under section 10 of the </w:t>
      </w:r>
      <w:r w:rsidRPr="00283424">
        <w:rPr>
          <w:i/>
        </w:rPr>
        <w:t>Superannuation Contribution Tax (Assessment and Collections) Act 1997</w:t>
      </w:r>
      <w:r w:rsidRPr="00283424">
        <w:t>;</w:t>
      </w:r>
    </w:p>
    <w:p w14:paraId="5FB91113" w14:textId="77777777" w:rsidR="00E93F58" w:rsidRPr="00283424" w:rsidRDefault="00E93F58" w:rsidP="00B50726">
      <w:pPr>
        <w:pStyle w:val="paragraph"/>
      </w:pPr>
      <w:r w:rsidRPr="00283424">
        <w:tab/>
        <w:t>(g)</w:t>
      </w:r>
      <w:r w:rsidRPr="00283424">
        <w:tab/>
        <w:t>a transaction consisting of:</w:t>
      </w:r>
    </w:p>
    <w:p w14:paraId="59D0F1F3" w14:textId="77777777" w:rsidR="00E93F58" w:rsidRPr="00283424" w:rsidRDefault="00E93F58" w:rsidP="00B50726">
      <w:pPr>
        <w:pStyle w:val="paragraphsub"/>
      </w:pPr>
      <w:r w:rsidRPr="00283424">
        <w:tab/>
        <w:t>(i)</w:t>
      </w:r>
      <w:r w:rsidRPr="00283424">
        <w:tab/>
        <w:t>the generating by a financial product of a financial return or other benefit for the holder of the product; or</w:t>
      </w:r>
    </w:p>
    <w:p w14:paraId="3FDECE45" w14:textId="77777777" w:rsidR="00E93F58" w:rsidRPr="00283424" w:rsidRDefault="00E93F58" w:rsidP="00B50726">
      <w:pPr>
        <w:pStyle w:val="paragraphsub"/>
      </w:pPr>
      <w:r w:rsidRPr="00283424">
        <w:tab/>
        <w:t>(ii)</w:t>
      </w:r>
      <w:r w:rsidRPr="00283424">
        <w:tab/>
        <w:t>the payment to that holder of that return or other benefit, if the holder has agreed to the method by which the payment will be made; or</w:t>
      </w:r>
    </w:p>
    <w:p w14:paraId="619C027C" w14:textId="77777777" w:rsidR="00E93F58" w:rsidRPr="00283424" w:rsidRDefault="00E93F58" w:rsidP="00B50726">
      <w:pPr>
        <w:pStyle w:val="paragraphsub"/>
      </w:pPr>
      <w:r w:rsidRPr="00283424">
        <w:tab/>
        <w:t>(iii)</w:t>
      </w:r>
      <w:r w:rsidRPr="00283424">
        <w:tab/>
        <w:t xml:space="preserve">crediting negative interest to a member’s notional account in a superannuation fund, </w:t>
      </w:r>
      <w:r w:rsidRPr="00BE1284">
        <w:t>approved deposit fund</w:t>
      </w:r>
      <w:r w:rsidRPr="00283424">
        <w:t xml:space="preserve"> or pooled superannuation trust account;</w:t>
      </w:r>
    </w:p>
    <w:p w14:paraId="39182B96" w14:textId="77777777" w:rsidR="00E93F58" w:rsidRPr="00283424" w:rsidRDefault="00E93F58" w:rsidP="00B50726">
      <w:pPr>
        <w:pStyle w:val="paragraph"/>
      </w:pPr>
      <w:r w:rsidRPr="00283424">
        <w:tab/>
        <w:t>(h)</w:t>
      </w:r>
      <w:r w:rsidRPr="00283424">
        <w:tab/>
        <w:t>a transaction that relates to:</w:t>
      </w:r>
    </w:p>
    <w:p w14:paraId="6F4CD97A" w14:textId="77777777" w:rsidR="00E93F58" w:rsidRPr="00283424" w:rsidRDefault="00E93F58" w:rsidP="00B50726">
      <w:pPr>
        <w:pStyle w:val="paragraphsub"/>
      </w:pPr>
      <w:r w:rsidRPr="00283424">
        <w:tab/>
        <w:t>(i)</w:t>
      </w:r>
      <w:r w:rsidRPr="00283424">
        <w:tab/>
        <w:t xml:space="preserve">a superannuation product or an </w:t>
      </w:r>
      <w:r w:rsidRPr="00BE1284">
        <w:t>RSA</w:t>
      </w:r>
      <w:r w:rsidRPr="00283424">
        <w:t>; and</w:t>
      </w:r>
    </w:p>
    <w:p w14:paraId="7240222A" w14:textId="77777777" w:rsidR="00E93F58" w:rsidRPr="00283424" w:rsidRDefault="00E93F58" w:rsidP="00B50726">
      <w:pPr>
        <w:pStyle w:val="paragraphsub"/>
      </w:pPr>
      <w:r w:rsidRPr="00283424">
        <w:tab/>
        <w:t>(ii)</w:t>
      </w:r>
      <w:r w:rsidRPr="00283424">
        <w:tab/>
        <w:t>a Government co</w:t>
      </w:r>
      <w:r>
        <w:noBreakHyphen/>
      </w:r>
      <w:r w:rsidRPr="00283424">
        <w:t xml:space="preserve">contribution arising under section 6 of the </w:t>
      </w:r>
      <w:r w:rsidRPr="00283424">
        <w:rPr>
          <w:i/>
          <w:iCs/>
        </w:rPr>
        <w:t>Superannuation (Government Co</w:t>
      </w:r>
      <w:r>
        <w:rPr>
          <w:i/>
          <w:iCs/>
        </w:rPr>
        <w:noBreakHyphen/>
      </w:r>
      <w:r w:rsidRPr="00283424">
        <w:rPr>
          <w:i/>
          <w:iCs/>
        </w:rPr>
        <w:t>contribution for Low Income Earners) Act 2003</w:t>
      </w:r>
      <w:r w:rsidRPr="00283424">
        <w:t>.</w:t>
      </w:r>
    </w:p>
    <w:p w14:paraId="216BA769" w14:textId="77777777" w:rsidR="00E93F58" w:rsidRPr="00283424" w:rsidRDefault="00E93F58" w:rsidP="00B50726">
      <w:pPr>
        <w:pStyle w:val="subsection"/>
      </w:pPr>
      <w:r w:rsidRPr="00283424">
        <w:tab/>
        <w:t>(5)</w:t>
      </w:r>
      <w:r w:rsidRPr="00283424">
        <w:tab/>
        <w:t>For paragraph 1017F(4)(e) of the Act, a transaction in relation to a financial product is not required to be confirmed if:</w:t>
      </w:r>
    </w:p>
    <w:p w14:paraId="3A022E41" w14:textId="77777777" w:rsidR="00E93F58" w:rsidRPr="00283424" w:rsidRDefault="00E93F58" w:rsidP="00B50726">
      <w:pPr>
        <w:pStyle w:val="paragraph"/>
      </w:pPr>
      <w:r w:rsidRPr="00283424">
        <w:tab/>
        <w:t>(a)</w:t>
      </w:r>
      <w:r w:rsidRPr="00283424">
        <w:tab/>
        <w:t>the transaction is debiting an amount from a basic deposit product in the circumstances in paragraph (3)(c); and</w:t>
      </w:r>
    </w:p>
    <w:p w14:paraId="00B5358E" w14:textId="77777777" w:rsidR="00E93F58" w:rsidRPr="00283424" w:rsidRDefault="00E93F58" w:rsidP="00B50726">
      <w:pPr>
        <w:pStyle w:val="paragraph"/>
      </w:pPr>
      <w:r w:rsidRPr="00283424">
        <w:tab/>
        <w:t>(b)</w:t>
      </w:r>
      <w:r w:rsidRPr="00283424">
        <w:tab/>
        <w:t>the transaction involves the use of a facility for making non</w:t>
      </w:r>
      <w:r>
        <w:noBreakHyphen/>
      </w:r>
      <w:r w:rsidRPr="00283424">
        <w:t>cash payments that is linked to the basic deposit product; and</w:t>
      </w:r>
    </w:p>
    <w:p w14:paraId="42D43611" w14:textId="77777777" w:rsidR="00E93F58" w:rsidRPr="00283424" w:rsidRDefault="00E93F58" w:rsidP="00B50726">
      <w:pPr>
        <w:pStyle w:val="paragraph"/>
      </w:pPr>
      <w:r w:rsidRPr="00283424">
        <w:tab/>
        <w:t>(c)</w:t>
      </w:r>
      <w:r w:rsidRPr="00283424">
        <w:tab/>
        <w:t>the amount is debited from the basic deposit product for the purpose of making a payment.</w:t>
      </w:r>
    </w:p>
    <w:p w14:paraId="622B0DD4" w14:textId="77777777" w:rsidR="00E93F58" w:rsidRPr="00283424" w:rsidRDefault="00E93F58" w:rsidP="00B50726">
      <w:pPr>
        <w:pStyle w:val="subsection"/>
      </w:pPr>
      <w:r w:rsidRPr="00283424">
        <w:tab/>
        <w:t>(6)</w:t>
      </w:r>
      <w:r w:rsidRPr="00283424">
        <w:tab/>
        <w:t>For paragraph 1017F(4)(e) of the Act, a transaction in relation to a financial product is not required to be confirmed if:</w:t>
      </w:r>
    </w:p>
    <w:p w14:paraId="28BE79A6" w14:textId="77777777" w:rsidR="00E93F58" w:rsidRPr="00283424" w:rsidRDefault="00E93F58" w:rsidP="00B50726">
      <w:pPr>
        <w:pStyle w:val="paragraph"/>
      </w:pPr>
      <w:r w:rsidRPr="00283424">
        <w:tab/>
        <w:t>(a)</w:t>
      </w:r>
      <w:r w:rsidRPr="00283424">
        <w:tab/>
        <w:t>the transaction is crediting an amount to a credit facility; and</w:t>
      </w:r>
    </w:p>
    <w:p w14:paraId="2E4DA3E8" w14:textId="77777777" w:rsidR="00E93F58" w:rsidRPr="00283424" w:rsidRDefault="00E93F58" w:rsidP="00B50726">
      <w:pPr>
        <w:pStyle w:val="paragraph"/>
      </w:pPr>
      <w:r w:rsidRPr="00283424">
        <w:tab/>
        <w:t>(b)</w:t>
      </w:r>
      <w:r w:rsidRPr="00283424">
        <w:tab/>
        <w:t>the transaction involves the use of a facility for making non</w:t>
      </w:r>
      <w:r>
        <w:noBreakHyphen/>
      </w:r>
      <w:r w:rsidRPr="00283424">
        <w:t>cash payments that is linked to the credit facility; and</w:t>
      </w:r>
    </w:p>
    <w:p w14:paraId="7395C382" w14:textId="77777777" w:rsidR="00E93F58" w:rsidRPr="00283424" w:rsidRDefault="00E93F58" w:rsidP="00B50726">
      <w:pPr>
        <w:pStyle w:val="paragraph"/>
      </w:pPr>
      <w:r w:rsidRPr="00283424">
        <w:tab/>
        <w:t>(c)</w:t>
      </w:r>
      <w:r w:rsidRPr="00283424">
        <w:tab/>
        <w:t>the amount is credited to the credit facility for the purpose of making a payment.</w:t>
      </w:r>
    </w:p>
    <w:p w14:paraId="537A5653" w14:textId="77777777" w:rsidR="00E93F58" w:rsidRPr="00283424" w:rsidRDefault="00E93F58" w:rsidP="00B50726">
      <w:pPr>
        <w:pStyle w:val="ActHead5"/>
      </w:pPr>
      <w:bookmarkStart w:id="1885" w:name="_Toc152054918"/>
      <w:bookmarkStart w:id="1886" w:name="_Toc158712734"/>
      <w:r w:rsidRPr="006F296E">
        <w:rPr>
          <w:rStyle w:val="CharSectno"/>
        </w:rPr>
        <w:t>7.9.63</w:t>
      </w:r>
      <w:r w:rsidRPr="00283424">
        <w:t xml:space="preserve">  Confirmation of transactions: precise costs of transaction not known</w:t>
      </w:r>
      <w:bookmarkEnd w:id="1885"/>
      <w:bookmarkEnd w:id="1886"/>
    </w:p>
    <w:p w14:paraId="174E90FC" w14:textId="77777777" w:rsidR="00E93F58" w:rsidRPr="00283424" w:rsidRDefault="00E93F58" w:rsidP="00B50726">
      <w:pPr>
        <w:pStyle w:val="subsection"/>
      </w:pPr>
      <w:r w:rsidRPr="00283424">
        <w:rPr>
          <w:color w:val="000000"/>
        </w:rPr>
        <w:tab/>
        <w:t>(1)</w:t>
      </w:r>
      <w:r w:rsidRPr="00283424">
        <w:rPr>
          <w:color w:val="000000"/>
        </w:rPr>
        <w:tab/>
        <w:t>For subparagraph 1017F(8)(c)(iii) of the Act, the confirmation of a transaction of a financial product is not required to include details of the amount payable by the holder of the financial product if the amount is not known at the time of the confirmation.</w:t>
      </w:r>
    </w:p>
    <w:p w14:paraId="3C1CDD6D" w14:textId="77777777" w:rsidR="00E93F58" w:rsidRPr="00283424" w:rsidRDefault="00E93F58" w:rsidP="00B50726">
      <w:pPr>
        <w:pStyle w:val="subsection"/>
      </w:pPr>
      <w:r w:rsidRPr="00283424">
        <w:rPr>
          <w:color w:val="000000"/>
        </w:rPr>
        <w:tab/>
        <w:t>(2)</w:t>
      </w:r>
      <w:r w:rsidRPr="00283424">
        <w:rPr>
          <w:color w:val="000000"/>
        </w:rPr>
        <w:tab/>
        <w:t>For subparagraph 1017F(8)(c)(iv) of the Act, the confirmation of a transaction of a financial product is not required to give details of the taxes and stamp duties payable in relation to the transaction if the amount of the taxes and stamp duties is not known at the time of the confirmation.</w:t>
      </w:r>
    </w:p>
    <w:p w14:paraId="3A677C2F" w14:textId="77777777" w:rsidR="00E93F58" w:rsidRPr="00283424" w:rsidRDefault="00E93F58" w:rsidP="00B50726">
      <w:pPr>
        <w:pStyle w:val="subsection"/>
      </w:pPr>
      <w:r w:rsidRPr="00283424">
        <w:tab/>
        <w:t>(3)</w:t>
      </w:r>
      <w:r w:rsidRPr="00283424">
        <w:tab/>
        <w:t>For paragraph 1017F(9)(c) of the Act, section 1017F of the Act is modified in relation to its application to a transaction of a financial product as set out in Part 15 of Schedule 10A.</w:t>
      </w:r>
    </w:p>
    <w:p w14:paraId="2F13EBE5" w14:textId="77777777" w:rsidR="00E93F58" w:rsidRPr="00283424" w:rsidRDefault="00E93F58" w:rsidP="00B50726">
      <w:pPr>
        <w:pStyle w:val="ActHead5"/>
      </w:pPr>
      <w:bookmarkStart w:id="1887" w:name="_Toc152054919"/>
      <w:bookmarkStart w:id="1888" w:name="_Toc158712735"/>
      <w:r w:rsidRPr="006F296E">
        <w:rPr>
          <w:rStyle w:val="CharSectno"/>
        </w:rPr>
        <w:t>7.9.63A</w:t>
      </w:r>
      <w:r w:rsidRPr="00283424">
        <w:t xml:space="preserve">  Persons who must confirm transactions</w:t>
      </w:r>
      <w:bookmarkEnd w:id="1887"/>
      <w:bookmarkEnd w:id="1888"/>
    </w:p>
    <w:p w14:paraId="2A4D7B59" w14:textId="77777777" w:rsidR="00E93F58" w:rsidRPr="00283424" w:rsidRDefault="00E93F58" w:rsidP="00B50726">
      <w:pPr>
        <w:pStyle w:val="subsection"/>
      </w:pPr>
      <w:r w:rsidRPr="00283424">
        <w:tab/>
        <w:t>(1)</w:t>
      </w:r>
      <w:r w:rsidRPr="00283424">
        <w:tab/>
        <w:t>For paragraph 1017F(9)(a) of the Act, this regulation modifies subsection 1017F(2) of the Act to change the person required to provide confirmation of a transaction.</w:t>
      </w:r>
    </w:p>
    <w:p w14:paraId="7981BFEC" w14:textId="77777777" w:rsidR="00E93F58" w:rsidRPr="00283424" w:rsidRDefault="00E93F58" w:rsidP="00B50726">
      <w:pPr>
        <w:pStyle w:val="subsection"/>
      </w:pPr>
      <w:r w:rsidRPr="00283424">
        <w:tab/>
        <w:t>(2)</w:t>
      </w:r>
      <w:r w:rsidRPr="00283424">
        <w:tab/>
        <w:t>A transaction:</w:t>
      </w:r>
    </w:p>
    <w:p w14:paraId="01ACC297" w14:textId="77777777" w:rsidR="00E93F58" w:rsidRPr="00283424" w:rsidRDefault="00E93F58" w:rsidP="00B50726">
      <w:pPr>
        <w:pStyle w:val="paragraph"/>
      </w:pPr>
      <w:r w:rsidRPr="00283424">
        <w:tab/>
        <w:t>(a)</w:t>
      </w:r>
      <w:r w:rsidRPr="00283424">
        <w:tab/>
        <w:t>that is not the issue of a financial product (other than a derivative that is not a warrant); and</w:t>
      </w:r>
    </w:p>
    <w:p w14:paraId="5BB1C616" w14:textId="77777777" w:rsidR="00E93F58" w:rsidRPr="00283424" w:rsidRDefault="00E93F58" w:rsidP="00B50726">
      <w:pPr>
        <w:pStyle w:val="paragraph"/>
      </w:pPr>
      <w:r w:rsidRPr="00283424">
        <w:tab/>
        <w:t>(b)</w:t>
      </w:r>
      <w:r w:rsidRPr="00283424">
        <w:tab/>
        <w:t>in which a financial services licensee deals in the financial product on behalf of the holder of the financial product; and</w:t>
      </w:r>
    </w:p>
    <w:p w14:paraId="4E0932C7" w14:textId="77777777" w:rsidR="00E93F58" w:rsidRPr="00283424" w:rsidRDefault="00E93F58" w:rsidP="00B50726">
      <w:pPr>
        <w:pStyle w:val="paragraph"/>
      </w:pPr>
      <w:r w:rsidRPr="00283424">
        <w:lastRenderedPageBreak/>
        <w:tab/>
        <w:t>(c)</w:t>
      </w:r>
      <w:r w:rsidRPr="00283424">
        <w:tab/>
        <w:t>by which the holder acquires or disposes of all or part of the financial product;</w:t>
      </w:r>
    </w:p>
    <w:p w14:paraId="51EDE5A4" w14:textId="77777777" w:rsidR="00E93F58" w:rsidRPr="00283424" w:rsidRDefault="00E93F58" w:rsidP="00B50726">
      <w:pPr>
        <w:pStyle w:val="subsection2"/>
      </w:pPr>
      <w:r w:rsidRPr="00283424">
        <w:t>must be confirmed by the financial services licensee.</w:t>
      </w:r>
    </w:p>
    <w:p w14:paraId="2E8FAD41" w14:textId="77777777" w:rsidR="00E93F58" w:rsidRPr="00283424" w:rsidRDefault="00E93F58" w:rsidP="00B50726">
      <w:pPr>
        <w:pStyle w:val="subsection"/>
      </w:pPr>
      <w:r w:rsidRPr="00283424">
        <w:tab/>
        <w:t>(3)</w:t>
      </w:r>
      <w:r w:rsidRPr="00283424">
        <w:tab/>
        <w:t>A transaction:</w:t>
      </w:r>
    </w:p>
    <w:p w14:paraId="58F666EF" w14:textId="77777777" w:rsidR="00E93F58" w:rsidRPr="00283424" w:rsidRDefault="00E93F58" w:rsidP="00B50726">
      <w:pPr>
        <w:pStyle w:val="paragraph"/>
      </w:pPr>
      <w:r w:rsidRPr="00283424">
        <w:tab/>
        <w:t>(a)</w:t>
      </w:r>
      <w:r w:rsidRPr="00283424">
        <w:tab/>
        <w:t>to which subregulation (2) does not apply; and</w:t>
      </w:r>
    </w:p>
    <w:p w14:paraId="7FD7D43C" w14:textId="77777777" w:rsidR="00E93F58" w:rsidRPr="00283424" w:rsidRDefault="00E93F58" w:rsidP="00B50726">
      <w:pPr>
        <w:pStyle w:val="paragraph"/>
      </w:pPr>
      <w:r w:rsidRPr="00283424">
        <w:tab/>
        <w:t>(b)</w:t>
      </w:r>
      <w:r w:rsidRPr="00283424">
        <w:tab/>
        <w:t>by which a financial product is issued to a holder;</w:t>
      </w:r>
    </w:p>
    <w:p w14:paraId="15F5F3D7" w14:textId="77777777" w:rsidR="00E93F58" w:rsidRPr="00283424" w:rsidRDefault="00E93F58" w:rsidP="00B50726">
      <w:pPr>
        <w:pStyle w:val="subsection2"/>
      </w:pPr>
      <w:r w:rsidRPr="00283424">
        <w:t>must be confirmed by the issuer of the financial product.</w:t>
      </w:r>
    </w:p>
    <w:p w14:paraId="17984444" w14:textId="77777777" w:rsidR="00E93F58" w:rsidRPr="00283424" w:rsidRDefault="00E93F58" w:rsidP="00B50726">
      <w:pPr>
        <w:pStyle w:val="subsection"/>
      </w:pPr>
      <w:r w:rsidRPr="00283424">
        <w:tab/>
        <w:t>(4)</w:t>
      </w:r>
      <w:r w:rsidRPr="00283424">
        <w:tab/>
        <w:t>A transaction:</w:t>
      </w:r>
    </w:p>
    <w:p w14:paraId="477FB148" w14:textId="77777777" w:rsidR="00E93F58" w:rsidRPr="00283424" w:rsidRDefault="00E93F58" w:rsidP="00B50726">
      <w:pPr>
        <w:pStyle w:val="paragraph"/>
      </w:pPr>
      <w:r w:rsidRPr="00283424">
        <w:tab/>
        <w:t>(a)</w:t>
      </w:r>
      <w:r w:rsidRPr="00283424">
        <w:tab/>
        <w:t>that is a sale pursuant to an offer to which section 1012C of the Act applies; and</w:t>
      </w:r>
    </w:p>
    <w:p w14:paraId="08C0E310" w14:textId="77777777" w:rsidR="00E93F58" w:rsidRPr="00283424" w:rsidRDefault="00E93F58" w:rsidP="00B50726">
      <w:pPr>
        <w:pStyle w:val="paragraph"/>
      </w:pPr>
      <w:r w:rsidRPr="00283424">
        <w:tab/>
        <w:t>(b)</w:t>
      </w:r>
      <w:r w:rsidRPr="00283424">
        <w:tab/>
        <w:t>to which subregulation (2) does not apply; and</w:t>
      </w:r>
    </w:p>
    <w:p w14:paraId="6AD3905C" w14:textId="77777777" w:rsidR="00E93F58" w:rsidRPr="00283424" w:rsidRDefault="00E93F58" w:rsidP="00B50726">
      <w:pPr>
        <w:pStyle w:val="paragraph"/>
      </w:pPr>
      <w:r w:rsidRPr="00283424">
        <w:tab/>
        <w:t>(c)</w:t>
      </w:r>
      <w:r w:rsidRPr="00283424">
        <w:tab/>
        <w:t>by which a holder acquires a financial product;</w:t>
      </w:r>
    </w:p>
    <w:p w14:paraId="5156186D" w14:textId="77777777" w:rsidR="00E93F58" w:rsidRPr="00283424" w:rsidRDefault="00E93F58" w:rsidP="00B50726">
      <w:pPr>
        <w:pStyle w:val="subsection2"/>
      </w:pPr>
      <w:r w:rsidRPr="00283424">
        <w:t>must be confirmed by the seller of the financial product.</w:t>
      </w:r>
    </w:p>
    <w:p w14:paraId="6EF3E2F0" w14:textId="77777777" w:rsidR="00E93F58" w:rsidRPr="00283424" w:rsidRDefault="00E93F58" w:rsidP="00B50726">
      <w:pPr>
        <w:pStyle w:val="subsection"/>
      </w:pPr>
      <w:r w:rsidRPr="00283424">
        <w:tab/>
        <w:t>(5)</w:t>
      </w:r>
      <w:r w:rsidRPr="00283424">
        <w:tab/>
        <w:t>A transaction:</w:t>
      </w:r>
    </w:p>
    <w:p w14:paraId="1D560D1F" w14:textId="77777777" w:rsidR="00E93F58" w:rsidRPr="00283424" w:rsidRDefault="00E93F58" w:rsidP="00B50726">
      <w:pPr>
        <w:pStyle w:val="paragraph"/>
      </w:pPr>
      <w:r w:rsidRPr="00283424">
        <w:tab/>
        <w:t>(a)</w:t>
      </w:r>
      <w:r w:rsidRPr="00283424">
        <w:tab/>
        <w:t>to which subregulation (2) does not apply; and</w:t>
      </w:r>
    </w:p>
    <w:p w14:paraId="09422286" w14:textId="77777777" w:rsidR="00E93F58" w:rsidRPr="00283424" w:rsidRDefault="00E93F58" w:rsidP="00B50726">
      <w:pPr>
        <w:pStyle w:val="paragraph"/>
      </w:pPr>
      <w:r w:rsidRPr="00283424">
        <w:tab/>
        <w:t>(b)</w:t>
      </w:r>
      <w:r w:rsidRPr="00283424">
        <w:tab/>
        <w:t>by which the holder of the financial product disposes of all or part of the financial product to the issuer of the financial product;</w:t>
      </w:r>
    </w:p>
    <w:p w14:paraId="4933345D" w14:textId="77777777" w:rsidR="00E93F58" w:rsidRPr="00283424" w:rsidRDefault="00E93F58" w:rsidP="00B50726">
      <w:pPr>
        <w:pStyle w:val="subsection2"/>
      </w:pPr>
      <w:r w:rsidRPr="00283424">
        <w:t>must be confirmed by the issuer of the financial product.</w:t>
      </w:r>
    </w:p>
    <w:p w14:paraId="4C6CAAC7" w14:textId="77777777" w:rsidR="00E93F58" w:rsidRPr="00283424" w:rsidRDefault="00E93F58" w:rsidP="00B50726">
      <w:pPr>
        <w:pStyle w:val="subsection"/>
      </w:pPr>
      <w:r w:rsidRPr="00283424">
        <w:tab/>
        <w:t>(6)</w:t>
      </w:r>
      <w:r w:rsidRPr="00283424">
        <w:tab/>
        <w:t>A transaction that:</w:t>
      </w:r>
    </w:p>
    <w:p w14:paraId="7FE069B5" w14:textId="77777777" w:rsidR="00E93F58" w:rsidRPr="00283424" w:rsidRDefault="00E93F58" w:rsidP="00B50726">
      <w:pPr>
        <w:pStyle w:val="paragraph"/>
      </w:pPr>
      <w:r w:rsidRPr="00283424">
        <w:tab/>
        <w:t>(a)</w:t>
      </w:r>
      <w:r w:rsidRPr="00283424">
        <w:tab/>
        <w:t>relates to a financial product held by a particular holder; and</w:t>
      </w:r>
    </w:p>
    <w:p w14:paraId="5F4447A7" w14:textId="77777777" w:rsidR="00E93F58" w:rsidRPr="00283424" w:rsidRDefault="00E93F58" w:rsidP="00B50726">
      <w:pPr>
        <w:pStyle w:val="paragraph"/>
      </w:pPr>
      <w:r w:rsidRPr="00283424">
        <w:tab/>
        <w:t>(b)</w:t>
      </w:r>
      <w:r w:rsidRPr="00283424">
        <w:tab/>
        <w:t>occurs while that holder holds the financial product; and</w:t>
      </w:r>
    </w:p>
    <w:p w14:paraId="597DB818" w14:textId="77777777" w:rsidR="00E93F58" w:rsidRPr="00283424" w:rsidRDefault="00E93F58" w:rsidP="00B50726">
      <w:pPr>
        <w:pStyle w:val="paragraph"/>
      </w:pPr>
      <w:r w:rsidRPr="00283424">
        <w:tab/>
        <w:t>(c)</w:t>
      </w:r>
      <w:r w:rsidRPr="00283424">
        <w:tab/>
        <w:t>is not the acquisition or a disposal of all or part of the financial product;</w:t>
      </w:r>
    </w:p>
    <w:p w14:paraId="470C562C" w14:textId="77777777" w:rsidR="00E93F58" w:rsidRPr="00283424" w:rsidRDefault="00E93F58" w:rsidP="00B50726">
      <w:pPr>
        <w:pStyle w:val="subsection2"/>
      </w:pPr>
      <w:r w:rsidRPr="00283424">
        <w:t>must be confirmed by the issuer of the financial product.</w:t>
      </w:r>
    </w:p>
    <w:p w14:paraId="3F52AD93" w14:textId="77777777" w:rsidR="00E93F58" w:rsidRPr="00283424" w:rsidRDefault="00E93F58" w:rsidP="00B50726">
      <w:pPr>
        <w:pStyle w:val="ActHead5"/>
      </w:pPr>
      <w:bookmarkStart w:id="1889" w:name="_Toc152054920"/>
      <w:bookmarkStart w:id="1890" w:name="_Toc158712736"/>
      <w:r w:rsidRPr="006F296E">
        <w:rPr>
          <w:rStyle w:val="CharSectno"/>
        </w:rPr>
        <w:t>7.9.63B</w:t>
      </w:r>
      <w:r w:rsidRPr="00283424">
        <w:t xml:space="preserve">  Content of confirmation of transactions—general</w:t>
      </w:r>
      <w:bookmarkEnd w:id="1889"/>
      <w:bookmarkEnd w:id="1890"/>
    </w:p>
    <w:p w14:paraId="61D9C734" w14:textId="77777777" w:rsidR="00E93F58" w:rsidRPr="00283424" w:rsidRDefault="00E93F58" w:rsidP="00B50726">
      <w:pPr>
        <w:pStyle w:val="subsection"/>
        <w:keepNext/>
        <w:keepLines/>
      </w:pPr>
      <w:r w:rsidRPr="00283424">
        <w:tab/>
        <w:t>(1)</w:t>
      </w:r>
      <w:r w:rsidRPr="00283424">
        <w:tab/>
        <w:t>For paragraph 1017F(8)(d) of the Act, this regulation applies in relation to a transaction that is the acquisition or disposal of a financial product.</w:t>
      </w:r>
    </w:p>
    <w:p w14:paraId="7ABBF7D2" w14:textId="77777777" w:rsidR="00E93F58" w:rsidRPr="00283424" w:rsidRDefault="00E93F58" w:rsidP="00B50726">
      <w:pPr>
        <w:pStyle w:val="subsection"/>
        <w:keepNext/>
        <w:keepLines/>
      </w:pPr>
      <w:r w:rsidRPr="00283424">
        <w:tab/>
        <w:t>(2)</w:t>
      </w:r>
      <w:r w:rsidRPr="00283424">
        <w:tab/>
        <w:t>The confirmation of the transaction must identify:</w:t>
      </w:r>
    </w:p>
    <w:p w14:paraId="181F1CA4" w14:textId="77777777" w:rsidR="00E93F58" w:rsidRPr="00283424" w:rsidRDefault="00E93F58" w:rsidP="00B50726">
      <w:pPr>
        <w:pStyle w:val="paragraph"/>
        <w:keepNext/>
        <w:keepLines/>
      </w:pPr>
      <w:r w:rsidRPr="00283424">
        <w:tab/>
        <w:t>(a)</w:t>
      </w:r>
      <w:r w:rsidRPr="00283424">
        <w:tab/>
        <w:t>the financial product; and</w:t>
      </w:r>
    </w:p>
    <w:p w14:paraId="7C9A8209" w14:textId="77777777" w:rsidR="00E93F58" w:rsidRPr="00283424" w:rsidRDefault="00E93F58" w:rsidP="00B50726">
      <w:pPr>
        <w:pStyle w:val="paragraph"/>
      </w:pPr>
      <w:r w:rsidRPr="00283424">
        <w:tab/>
        <w:t>(b)</w:t>
      </w:r>
      <w:r w:rsidRPr="00283424">
        <w:tab/>
        <w:t>the number or amount of financial products that are the subject of the transaction.</w:t>
      </w:r>
    </w:p>
    <w:p w14:paraId="4E7B97E4" w14:textId="77777777" w:rsidR="00E93F58" w:rsidRPr="00283424" w:rsidRDefault="00E93F58" w:rsidP="00B50726">
      <w:pPr>
        <w:pStyle w:val="subsection"/>
      </w:pPr>
      <w:r w:rsidRPr="00283424">
        <w:tab/>
        <w:t>(3)</w:t>
      </w:r>
      <w:r w:rsidRPr="00283424">
        <w:tab/>
        <w:t>If the transaction takes place in the ordinary course of business on a licensed market, the confirmation of the transaction must also identify each licensed market of which the responsible person is a participant.</w:t>
      </w:r>
    </w:p>
    <w:p w14:paraId="767EF325" w14:textId="77777777" w:rsidR="00E93F58" w:rsidRPr="00283424" w:rsidRDefault="00E93F58" w:rsidP="00B50726">
      <w:pPr>
        <w:pStyle w:val="subsection"/>
      </w:pPr>
      <w:r w:rsidRPr="00283424">
        <w:tab/>
        <w:t>(4)</w:t>
      </w:r>
      <w:r w:rsidRPr="00283424">
        <w:tab/>
        <w:t>If the responsible person is dealing on their own behalf with a person who is not a financial services licensee, the confirmation of the transaction must also state that the responsible person is dealing in that way.</w:t>
      </w:r>
    </w:p>
    <w:p w14:paraId="7F42D32A" w14:textId="77777777" w:rsidR="00E93F58" w:rsidRPr="00283424" w:rsidRDefault="00E93F58" w:rsidP="00B50726">
      <w:pPr>
        <w:pStyle w:val="subsection"/>
      </w:pPr>
      <w:r w:rsidRPr="00283424">
        <w:tab/>
        <w:t>(5)</w:t>
      </w:r>
      <w:r w:rsidRPr="00283424">
        <w:tab/>
        <w:t>Subregulation (4) does not apply if:</w:t>
      </w:r>
    </w:p>
    <w:p w14:paraId="41ABF4DC" w14:textId="77777777" w:rsidR="00E93F58" w:rsidRPr="00283424" w:rsidRDefault="00E93F58" w:rsidP="00B50726">
      <w:pPr>
        <w:pStyle w:val="paragraph"/>
      </w:pPr>
      <w:r w:rsidRPr="00283424">
        <w:tab/>
        <w:t>(a)</w:t>
      </w:r>
      <w:r w:rsidRPr="00283424">
        <w:tab/>
        <w:t>the transaction is the issue of a product; and</w:t>
      </w:r>
    </w:p>
    <w:p w14:paraId="7CDD6679" w14:textId="77777777" w:rsidR="00E93F58" w:rsidRPr="00283424" w:rsidRDefault="00E93F58" w:rsidP="00B50726">
      <w:pPr>
        <w:pStyle w:val="paragraph"/>
      </w:pPr>
      <w:r w:rsidRPr="00283424">
        <w:tab/>
        <w:t>(b)</w:t>
      </w:r>
      <w:r w:rsidRPr="00283424">
        <w:tab/>
        <w:t>the responsible person is the product issuer.</w:t>
      </w:r>
    </w:p>
    <w:p w14:paraId="54B125E5" w14:textId="77777777" w:rsidR="00E93F58" w:rsidRPr="00283424" w:rsidRDefault="00E93F58" w:rsidP="00B50726">
      <w:pPr>
        <w:pStyle w:val="subsection"/>
      </w:pPr>
      <w:r w:rsidRPr="00283424">
        <w:tab/>
        <w:t>(6)</w:t>
      </w:r>
      <w:r w:rsidRPr="00283424">
        <w:tab/>
        <w:t>If:</w:t>
      </w:r>
    </w:p>
    <w:p w14:paraId="2B07986F" w14:textId="77777777" w:rsidR="00E93F58" w:rsidRPr="00283424" w:rsidRDefault="00E93F58" w:rsidP="00B50726">
      <w:pPr>
        <w:pStyle w:val="paragraph"/>
      </w:pPr>
      <w:r w:rsidRPr="00283424">
        <w:tab/>
        <w:t>(a)</w:t>
      </w:r>
      <w:r w:rsidRPr="00283424">
        <w:tab/>
        <w:t>the financial product is able to be traded on a market in which the responsible person is a participant; and</w:t>
      </w:r>
    </w:p>
    <w:p w14:paraId="5D6FB6C9" w14:textId="77777777" w:rsidR="00E93F58" w:rsidRPr="00283424" w:rsidRDefault="00E93F58" w:rsidP="00B50726">
      <w:pPr>
        <w:pStyle w:val="paragraph"/>
      </w:pPr>
      <w:r w:rsidRPr="00283424">
        <w:tab/>
        <w:t>(b)</w:t>
      </w:r>
      <w:r w:rsidRPr="00283424">
        <w:tab/>
        <w:t>the transaction did not take place in the ordinary course of business on a licensed market in which the responsible person is a participant;</w:t>
      </w:r>
    </w:p>
    <w:p w14:paraId="21C41C68" w14:textId="77777777" w:rsidR="00E93F58" w:rsidRPr="00283424" w:rsidRDefault="00E93F58" w:rsidP="00B50726">
      <w:pPr>
        <w:pStyle w:val="subsection2"/>
      </w:pPr>
      <w:r w:rsidRPr="00283424">
        <w:t>the confirmation of the transaction must also include a statement to that effect.</w:t>
      </w:r>
    </w:p>
    <w:p w14:paraId="7B827E05" w14:textId="77777777" w:rsidR="00E93F58" w:rsidRPr="00283424" w:rsidRDefault="00E93F58" w:rsidP="00B50726">
      <w:pPr>
        <w:pStyle w:val="subsection"/>
      </w:pPr>
      <w:r w:rsidRPr="00283424">
        <w:tab/>
        <w:t>(7)</w:t>
      </w:r>
      <w:r w:rsidRPr="00283424">
        <w:tab/>
        <w:t>If the transaction took place on</w:t>
      </w:r>
      <w:r>
        <w:noBreakHyphen/>
      </w:r>
      <w:r w:rsidRPr="00283424">
        <w:t>market, the confirmation of the transaction must also include the name by which that market is generally known.</w:t>
      </w:r>
    </w:p>
    <w:p w14:paraId="58298784" w14:textId="77777777" w:rsidR="00E93F58" w:rsidRPr="00283424" w:rsidRDefault="00E93F58" w:rsidP="00B50726">
      <w:pPr>
        <w:pStyle w:val="subsection"/>
      </w:pPr>
      <w:r w:rsidRPr="00283424">
        <w:tab/>
        <w:t>(8)</w:t>
      </w:r>
      <w:r w:rsidRPr="00283424">
        <w:tab/>
        <w:t>If the transaction involves more than one financial product, the confirmation of the transaction must also include the price per unit of the financial products.</w:t>
      </w:r>
    </w:p>
    <w:p w14:paraId="4C40BCFA" w14:textId="77777777" w:rsidR="00E93F58" w:rsidRPr="00283424" w:rsidRDefault="00E93F58" w:rsidP="00B50726">
      <w:pPr>
        <w:pStyle w:val="subsection"/>
      </w:pPr>
      <w:r w:rsidRPr="00283424">
        <w:tab/>
        <w:t>(9)</w:t>
      </w:r>
      <w:r w:rsidRPr="00283424">
        <w:tab/>
        <w:t>For paragraph 1017F(9)(c) of the Act, paragraph 1017F(8)(a) of the Act is modified in its application to a transaction involving a basic deposit product (other than an acquisition or disposal of the product) by omitting ‘and the holder’.</w:t>
      </w:r>
    </w:p>
    <w:p w14:paraId="6A9E9D7B" w14:textId="77777777" w:rsidR="00E93F58" w:rsidRPr="00283424" w:rsidRDefault="00E93F58" w:rsidP="00B50726">
      <w:pPr>
        <w:pStyle w:val="ActHead5"/>
      </w:pPr>
      <w:bookmarkStart w:id="1891" w:name="_Toc152054921"/>
      <w:bookmarkStart w:id="1892" w:name="_Toc158712737"/>
      <w:r w:rsidRPr="006F296E">
        <w:rPr>
          <w:rStyle w:val="CharSectno"/>
        </w:rPr>
        <w:lastRenderedPageBreak/>
        <w:t>7.9.63C</w:t>
      </w:r>
      <w:r w:rsidRPr="00283424">
        <w:t xml:space="preserve">  Confirmation of transaction—multiple transactions</w:t>
      </w:r>
      <w:bookmarkEnd w:id="1891"/>
      <w:bookmarkEnd w:id="1892"/>
    </w:p>
    <w:p w14:paraId="620C6FA4" w14:textId="77777777" w:rsidR="00E93F58" w:rsidRPr="00283424" w:rsidRDefault="00E93F58" w:rsidP="00B50726">
      <w:pPr>
        <w:pStyle w:val="subsection"/>
      </w:pPr>
      <w:r w:rsidRPr="00283424">
        <w:tab/>
        <w:t>(1)</w:t>
      </w:r>
      <w:r w:rsidRPr="00283424">
        <w:tab/>
        <w:t>For paragraph 1017F(9)(b) of the Act, subregulation (2) applies in relation to a transaction if:</w:t>
      </w:r>
    </w:p>
    <w:p w14:paraId="1223DF5E" w14:textId="77777777" w:rsidR="00E93F58" w:rsidRPr="00283424" w:rsidRDefault="00E93F58" w:rsidP="00B50726">
      <w:pPr>
        <w:pStyle w:val="paragraph"/>
      </w:pPr>
      <w:r w:rsidRPr="00283424">
        <w:tab/>
        <w:t>(a)</w:t>
      </w:r>
      <w:r w:rsidRPr="00283424">
        <w:tab/>
        <w:t>the responsible person is a participant of a licensed market; and</w:t>
      </w:r>
    </w:p>
    <w:p w14:paraId="053CC523" w14:textId="77777777" w:rsidR="00E93F58" w:rsidRPr="00283424" w:rsidRDefault="00E93F58" w:rsidP="00B50726">
      <w:pPr>
        <w:pStyle w:val="paragraph"/>
        <w:rPr>
          <w:color w:val="000000"/>
        </w:rPr>
      </w:pPr>
      <w:r w:rsidRPr="00283424">
        <w:rPr>
          <w:color w:val="000000"/>
        </w:rPr>
        <w:tab/>
        <w:t>(b)</w:t>
      </w:r>
      <w:r w:rsidRPr="00283424">
        <w:rPr>
          <w:color w:val="000000"/>
        </w:rPr>
        <w:tab/>
        <w:t>the participant has complied with all of the participant’s obligations in relation to the transaction under the market integrity rules and the operating rules of the licensed market; and</w:t>
      </w:r>
    </w:p>
    <w:p w14:paraId="076374BC" w14:textId="77777777" w:rsidR="00E93F58" w:rsidRPr="00283424" w:rsidRDefault="00E93F58" w:rsidP="00B50726">
      <w:pPr>
        <w:pStyle w:val="paragraph"/>
      </w:pPr>
      <w:r w:rsidRPr="00283424">
        <w:tab/>
        <w:t>(c)</w:t>
      </w:r>
      <w:r w:rsidRPr="00283424">
        <w:tab/>
        <w:t>the transaction forms part of a series of transactions made to complete an order placed with a financial services licensee; and</w:t>
      </w:r>
    </w:p>
    <w:p w14:paraId="0D81F970" w14:textId="77777777" w:rsidR="00E93F58" w:rsidRPr="00283424" w:rsidRDefault="00E93F58" w:rsidP="00B50726">
      <w:pPr>
        <w:pStyle w:val="paragraph"/>
      </w:pPr>
      <w:r w:rsidRPr="00283424">
        <w:tab/>
        <w:t>(d)</w:t>
      </w:r>
      <w:r w:rsidRPr="00283424">
        <w:tab/>
        <w:t>the holder of the product has given to the financial services licensee, in relation to that order or all orders (or all orders included in a class in which that order is included) placed with the financial services licensee by the holder, prior authorisation to give to the client a single confirmation in respect of a series of transactions carried out under the order instead of an individual confirmation in respect of each transaction in the series.</w:t>
      </w:r>
    </w:p>
    <w:p w14:paraId="4E4AE673" w14:textId="77777777" w:rsidR="00E93F58" w:rsidRPr="00283424" w:rsidRDefault="00E93F58" w:rsidP="00B50726">
      <w:pPr>
        <w:pStyle w:val="subsection"/>
      </w:pPr>
      <w:r w:rsidRPr="00283424">
        <w:tab/>
        <w:t>(2)</w:t>
      </w:r>
      <w:r w:rsidRPr="00283424">
        <w:tab/>
        <w:t>Subsection 1017F(5) of the Act is taken to be satisfied if, in respect of the transaction:</w:t>
      </w:r>
    </w:p>
    <w:p w14:paraId="2A779C6D" w14:textId="77777777" w:rsidR="00E93F58" w:rsidRPr="00283424" w:rsidRDefault="00E93F58" w:rsidP="00B50726">
      <w:pPr>
        <w:pStyle w:val="paragraph"/>
      </w:pPr>
      <w:r w:rsidRPr="00283424">
        <w:tab/>
        <w:t>(a)</w:t>
      </w:r>
      <w:r w:rsidRPr="00283424">
        <w:tab/>
        <w:t>the financial services licensee gives to the holder a single confirmation in respect of the series of transactions in which the transaction is included that:</w:t>
      </w:r>
    </w:p>
    <w:p w14:paraId="49B8C27C" w14:textId="77777777" w:rsidR="00E93F58" w:rsidRPr="00283424" w:rsidRDefault="00E93F58" w:rsidP="00B50726">
      <w:pPr>
        <w:pStyle w:val="paragraphsub"/>
      </w:pPr>
      <w:r w:rsidRPr="00283424">
        <w:tab/>
        <w:t>(i)</w:t>
      </w:r>
      <w:r w:rsidRPr="00283424">
        <w:tab/>
        <w:t>is in accordance with the authorisation; and</w:t>
      </w:r>
    </w:p>
    <w:p w14:paraId="5009F46D" w14:textId="77777777" w:rsidR="00E93F58" w:rsidRPr="00283424" w:rsidRDefault="00E93F58" w:rsidP="00B50726">
      <w:pPr>
        <w:pStyle w:val="paragraphsub"/>
      </w:pPr>
      <w:r w:rsidRPr="00283424">
        <w:tab/>
        <w:t>(ii)</w:t>
      </w:r>
      <w:r w:rsidRPr="00283424">
        <w:tab/>
        <w:t>subject to subregulation (4), complies with the Act; and</w:t>
      </w:r>
    </w:p>
    <w:p w14:paraId="28F2CA39" w14:textId="77777777" w:rsidR="00E93F58" w:rsidRPr="00283424" w:rsidRDefault="00E93F58" w:rsidP="00B50726">
      <w:pPr>
        <w:pStyle w:val="paragraph"/>
      </w:pPr>
      <w:r w:rsidRPr="00283424">
        <w:tab/>
        <w:t>(b)</w:t>
      </w:r>
      <w:r w:rsidRPr="00283424">
        <w:tab/>
        <w:t>the confirmation is given:</w:t>
      </w:r>
    </w:p>
    <w:p w14:paraId="0544B145" w14:textId="77777777" w:rsidR="00E93F58" w:rsidRPr="00283424" w:rsidRDefault="00E93F58" w:rsidP="00B50726">
      <w:pPr>
        <w:pStyle w:val="paragraphsub"/>
      </w:pPr>
      <w:r w:rsidRPr="00283424">
        <w:tab/>
        <w:t>(i)</w:t>
      </w:r>
      <w:r w:rsidRPr="00283424">
        <w:tab/>
        <w:t>as soon as practicable; or</w:t>
      </w:r>
    </w:p>
    <w:p w14:paraId="37515F43" w14:textId="77777777" w:rsidR="00E93F58" w:rsidRPr="00283424" w:rsidRDefault="00E93F58" w:rsidP="00B50726">
      <w:pPr>
        <w:pStyle w:val="paragraphsub"/>
      </w:pPr>
      <w:r w:rsidRPr="00283424">
        <w:tab/>
        <w:t>(ii)</w:t>
      </w:r>
      <w:r w:rsidRPr="00283424">
        <w:tab/>
        <w:t xml:space="preserve">otherwise as permitted by the </w:t>
      </w:r>
      <w:r w:rsidRPr="00283424">
        <w:rPr>
          <w:color w:val="000000"/>
        </w:rPr>
        <w:t xml:space="preserve">market integrity rules </w:t>
      </w:r>
      <w:r w:rsidRPr="00283424">
        <w:rPr>
          <w:color w:val="000000"/>
          <w:shd w:val="clear" w:color="auto" w:fill="FFFFFF"/>
        </w:rPr>
        <w:t>or</w:t>
      </w:r>
      <w:r w:rsidRPr="00283424">
        <w:rPr>
          <w:color w:val="000000"/>
        </w:rPr>
        <w:t xml:space="preserve"> the </w:t>
      </w:r>
      <w:r w:rsidRPr="00283424">
        <w:t>operating rules of that licensed market.</w:t>
      </w:r>
    </w:p>
    <w:p w14:paraId="47C053D9" w14:textId="77777777" w:rsidR="00E93F58" w:rsidRPr="00283424" w:rsidRDefault="00E93F58" w:rsidP="00B50726">
      <w:pPr>
        <w:pStyle w:val="subsection"/>
      </w:pPr>
      <w:r w:rsidRPr="00283424">
        <w:tab/>
        <w:t>(3)</w:t>
      </w:r>
      <w:r w:rsidRPr="00283424">
        <w:tab/>
        <w:t>For paragraph 1017F(9)(c) of the Act, subregulation (4) applies in relation to a transaction if:</w:t>
      </w:r>
    </w:p>
    <w:p w14:paraId="385D82C0" w14:textId="77777777" w:rsidR="00E93F58" w:rsidRPr="00283424" w:rsidRDefault="00E93F58" w:rsidP="00B50726">
      <w:pPr>
        <w:pStyle w:val="paragraph"/>
      </w:pPr>
      <w:r w:rsidRPr="00283424">
        <w:tab/>
        <w:t>(a)</w:t>
      </w:r>
      <w:r w:rsidRPr="00283424">
        <w:tab/>
        <w:t>the responsible person is a participant of a licensed market; and</w:t>
      </w:r>
    </w:p>
    <w:p w14:paraId="766DCE32" w14:textId="77777777" w:rsidR="00E93F58" w:rsidRPr="00283424" w:rsidRDefault="00E93F58" w:rsidP="00B50726">
      <w:pPr>
        <w:pStyle w:val="paragraph"/>
        <w:rPr>
          <w:color w:val="000000"/>
        </w:rPr>
      </w:pPr>
      <w:r w:rsidRPr="00283424">
        <w:rPr>
          <w:color w:val="000000"/>
        </w:rPr>
        <w:tab/>
        <w:t>(b)</w:t>
      </w:r>
      <w:r w:rsidRPr="00283424">
        <w:rPr>
          <w:color w:val="000000"/>
        </w:rPr>
        <w:tab/>
        <w:t>the participant has complied with all of the participant’s obligations in relation to the transaction under the market integrity rules and the operating rules of the licensed market; and</w:t>
      </w:r>
    </w:p>
    <w:p w14:paraId="6D8C5B2F" w14:textId="77777777" w:rsidR="00E93F58" w:rsidRPr="00283424" w:rsidRDefault="00E93F58" w:rsidP="00B50726">
      <w:pPr>
        <w:pStyle w:val="paragraph"/>
      </w:pPr>
      <w:r w:rsidRPr="00283424">
        <w:tab/>
        <w:t>(c)</w:t>
      </w:r>
      <w:r w:rsidRPr="00283424">
        <w:tab/>
        <w:t>the transaction forms part of a series of transactions made to complete an order placed with a financial services licensee; and</w:t>
      </w:r>
    </w:p>
    <w:p w14:paraId="3C930034" w14:textId="77777777" w:rsidR="00E93F58" w:rsidRPr="00283424" w:rsidRDefault="00E93F58" w:rsidP="00B50726">
      <w:pPr>
        <w:pStyle w:val="paragraph"/>
      </w:pPr>
      <w:r w:rsidRPr="00283424">
        <w:tab/>
        <w:t>(d)</w:t>
      </w:r>
      <w:r w:rsidRPr="00283424">
        <w:tab/>
        <w:t>the holder of the product has given to the financial services licensee, in relation to that order or all orders (or all orders included in a class in which that order is included) placed with the financial services licensee by the holder, prior authorisation to give to the client a single confirmation in respect of the series of transactions that specifies the average price per unit of financial products acquired or disposed of in the series of transactions, instead of an individual confirmation in respect of each transaction in the series, that specifies the price per unit of the financial products acquired or disposed of in the transaction to which each confirmation relates.</w:t>
      </w:r>
    </w:p>
    <w:p w14:paraId="6E7B948B" w14:textId="77777777" w:rsidR="00E93F58" w:rsidRPr="00283424" w:rsidRDefault="00E93F58" w:rsidP="00B50726">
      <w:pPr>
        <w:pStyle w:val="subsection"/>
      </w:pPr>
      <w:r w:rsidRPr="00283424">
        <w:tab/>
        <w:t>(4)</w:t>
      </w:r>
      <w:r w:rsidRPr="00283424">
        <w:tab/>
        <w:t>Subregulation 7.9.63B(7) is taken to be satisfied if, in respect of the transaction:</w:t>
      </w:r>
    </w:p>
    <w:p w14:paraId="15FE878B" w14:textId="77777777" w:rsidR="00E93F58" w:rsidRPr="00283424" w:rsidRDefault="00E93F58" w:rsidP="00B50726">
      <w:pPr>
        <w:pStyle w:val="paragraph"/>
      </w:pPr>
      <w:r w:rsidRPr="00283424">
        <w:tab/>
        <w:t>(a)</w:t>
      </w:r>
      <w:r w:rsidRPr="00283424">
        <w:tab/>
        <w:t>the financial services licensee gives the confirmation to the holder in accordance with the authorisation; and</w:t>
      </w:r>
    </w:p>
    <w:p w14:paraId="60A29A77" w14:textId="77777777" w:rsidR="00E93F58" w:rsidRPr="00283424" w:rsidRDefault="00E93F58" w:rsidP="00B50726">
      <w:pPr>
        <w:pStyle w:val="paragraph"/>
      </w:pPr>
      <w:r w:rsidRPr="00283424">
        <w:tab/>
        <w:t>(b)</w:t>
      </w:r>
      <w:r w:rsidRPr="00283424">
        <w:tab/>
        <w:t xml:space="preserve">unless otherwise provided by </w:t>
      </w:r>
      <w:r w:rsidRPr="00283424">
        <w:rPr>
          <w:color w:val="000000"/>
        </w:rPr>
        <w:t xml:space="preserve">the market integrity rules or </w:t>
      </w:r>
      <w:r w:rsidRPr="00283424">
        <w:t>the operating rules of the licensed market, the financial services licensee, if requested to do so by the client, also gives to the holder a document that specifies the price per unit of the financial products sold or bought in each transaction in the series.</w:t>
      </w:r>
    </w:p>
    <w:p w14:paraId="590C9F32" w14:textId="77777777" w:rsidR="00E93F58" w:rsidRPr="00283424" w:rsidRDefault="00E93F58" w:rsidP="00B50726">
      <w:pPr>
        <w:pStyle w:val="subsection"/>
      </w:pPr>
      <w:r w:rsidRPr="00283424">
        <w:tab/>
        <w:t>(5)</w:t>
      </w:r>
      <w:r w:rsidRPr="00283424">
        <w:tab/>
        <w:t>For this regulation, an authorisation given by a person to a financial services licensee:</w:t>
      </w:r>
    </w:p>
    <w:p w14:paraId="54442471" w14:textId="77777777" w:rsidR="00E93F58" w:rsidRPr="00283424" w:rsidRDefault="00E93F58" w:rsidP="00B50726">
      <w:pPr>
        <w:pStyle w:val="paragraph"/>
      </w:pPr>
      <w:r w:rsidRPr="00283424">
        <w:tab/>
        <w:t>(a)</w:t>
      </w:r>
      <w:r w:rsidRPr="00283424">
        <w:tab/>
        <w:t>must be given orally, or in writing, by the person; and</w:t>
      </w:r>
    </w:p>
    <w:p w14:paraId="5536F6BD" w14:textId="77777777" w:rsidR="00E93F58" w:rsidRPr="00283424" w:rsidRDefault="00E93F58" w:rsidP="00B50726">
      <w:pPr>
        <w:pStyle w:val="paragraph"/>
      </w:pPr>
      <w:r w:rsidRPr="00283424">
        <w:tab/>
        <w:t>(b)</w:t>
      </w:r>
      <w:r w:rsidRPr="00283424">
        <w:tab/>
        <w:t>is effective until it is revoked, either orally or in writing, by the person.</w:t>
      </w:r>
    </w:p>
    <w:p w14:paraId="38A49BE2" w14:textId="77777777" w:rsidR="00E93F58" w:rsidRPr="00283424" w:rsidRDefault="00E93F58" w:rsidP="00B50726">
      <w:pPr>
        <w:pStyle w:val="subsection"/>
      </w:pPr>
      <w:r w:rsidRPr="00283424">
        <w:tab/>
        <w:t>(6)</w:t>
      </w:r>
      <w:r w:rsidRPr="00283424">
        <w:tab/>
        <w:t>If a person gives an oral authorisation to a financial services licensee, or revokes an authorisation orally, the financial services licensee must:</w:t>
      </w:r>
    </w:p>
    <w:p w14:paraId="1DFD042C" w14:textId="77777777" w:rsidR="00E93F58" w:rsidRPr="00283424" w:rsidRDefault="00E93F58" w:rsidP="00B50726">
      <w:pPr>
        <w:pStyle w:val="paragraph"/>
      </w:pPr>
      <w:r w:rsidRPr="00283424">
        <w:tab/>
        <w:t>(a)</w:t>
      </w:r>
      <w:r w:rsidRPr="00283424">
        <w:tab/>
        <w:t>make a written record of the authorisation or revocation; and</w:t>
      </w:r>
    </w:p>
    <w:p w14:paraId="0E95C203" w14:textId="77777777" w:rsidR="00E93F58" w:rsidRPr="00283424" w:rsidRDefault="00E93F58" w:rsidP="00B50726">
      <w:pPr>
        <w:pStyle w:val="paragraph"/>
      </w:pPr>
      <w:r w:rsidRPr="00283424">
        <w:tab/>
        <w:t>(b)</w:t>
      </w:r>
      <w:r w:rsidRPr="00283424">
        <w:tab/>
        <w:t>send a copy of the written record to the person.</w:t>
      </w:r>
    </w:p>
    <w:p w14:paraId="22409F25" w14:textId="77777777" w:rsidR="00E93F58" w:rsidRPr="00283424" w:rsidRDefault="00E93F58" w:rsidP="00B50726">
      <w:pPr>
        <w:pStyle w:val="subsection"/>
      </w:pPr>
      <w:r w:rsidRPr="00283424">
        <w:tab/>
        <w:t>(7)</w:t>
      </w:r>
      <w:r w:rsidRPr="00283424">
        <w:tab/>
        <w:t>In this regulation:</w:t>
      </w:r>
    </w:p>
    <w:p w14:paraId="24260ECF" w14:textId="77777777" w:rsidR="00E93F58" w:rsidRPr="00283424" w:rsidRDefault="00E93F58" w:rsidP="00B50726">
      <w:pPr>
        <w:pStyle w:val="Definition"/>
      </w:pPr>
      <w:r w:rsidRPr="00283424">
        <w:rPr>
          <w:b/>
          <w:i/>
        </w:rPr>
        <w:t>order</w:t>
      </w:r>
      <w:r w:rsidRPr="00283424">
        <w:t xml:space="preserve"> means an instruction, or a series of instructions, to acquire or dispose of financial products.</w:t>
      </w:r>
    </w:p>
    <w:p w14:paraId="6312CFCC" w14:textId="77777777" w:rsidR="00E93F58" w:rsidRPr="00283424" w:rsidRDefault="00E93F58" w:rsidP="00B50726">
      <w:pPr>
        <w:pStyle w:val="ActHead5"/>
      </w:pPr>
      <w:bookmarkStart w:id="1893" w:name="_Toc152054922"/>
      <w:bookmarkStart w:id="1894" w:name="_Toc158712738"/>
      <w:r w:rsidRPr="006F296E">
        <w:rPr>
          <w:rStyle w:val="CharSectno"/>
        </w:rPr>
        <w:t>7.9.63D</w:t>
      </w:r>
      <w:r w:rsidRPr="00283424">
        <w:t xml:space="preserve">  Confirmation of transaction—information about cooling</w:t>
      </w:r>
      <w:r>
        <w:noBreakHyphen/>
      </w:r>
      <w:r w:rsidRPr="00283424">
        <w:t>off period</w:t>
      </w:r>
      <w:bookmarkEnd w:id="1893"/>
      <w:bookmarkEnd w:id="1894"/>
    </w:p>
    <w:p w14:paraId="63BAB294" w14:textId="77777777" w:rsidR="00E93F58" w:rsidRPr="00283424" w:rsidRDefault="00E93F58" w:rsidP="00B50726">
      <w:pPr>
        <w:pStyle w:val="subsection"/>
      </w:pPr>
      <w:r w:rsidRPr="00283424">
        <w:tab/>
        <w:t>(1)</w:t>
      </w:r>
      <w:r w:rsidRPr="00283424">
        <w:tab/>
        <w:t>For paragraph 1017F(8)(d) of the Act, this regulation applies in relation to a transaction:</w:t>
      </w:r>
    </w:p>
    <w:p w14:paraId="0C61C012" w14:textId="77777777" w:rsidR="00E93F58" w:rsidRPr="00283424" w:rsidRDefault="00E93F58" w:rsidP="00B50726">
      <w:pPr>
        <w:pStyle w:val="paragraph"/>
      </w:pPr>
      <w:r w:rsidRPr="00283424">
        <w:tab/>
        <w:t>(a)</w:t>
      </w:r>
      <w:r w:rsidRPr="00283424">
        <w:tab/>
        <w:t>that is the acquisition of a financial product to which:</w:t>
      </w:r>
    </w:p>
    <w:p w14:paraId="1D122006" w14:textId="77777777" w:rsidR="00E93F58" w:rsidRPr="00283424" w:rsidRDefault="00E93F58" w:rsidP="00B50726">
      <w:pPr>
        <w:pStyle w:val="paragraphsub"/>
      </w:pPr>
      <w:r w:rsidRPr="00283424">
        <w:lastRenderedPageBreak/>
        <w:tab/>
        <w:t>(i)</w:t>
      </w:r>
      <w:r w:rsidRPr="00283424">
        <w:tab/>
        <w:t>regulation 7.9.14, 7.9.66 or 7.9.68 applies; and</w:t>
      </w:r>
    </w:p>
    <w:p w14:paraId="5B634378" w14:textId="77777777" w:rsidR="00E93F58" w:rsidRPr="00283424" w:rsidRDefault="00E93F58" w:rsidP="00B50726">
      <w:pPr>
        <w:pStyle w:val="paragraphsub"/>
      </w:pPr>
      <w:r w:rsidRPr="00283424">
        <w:tab/>
        <w:t>(ii)</w:t>
      </w:r>
      <w:r w:rsidRPr="00283424">
        <w:tab/>
        <w:t>to which regulation 7.9.64 does not apply; or</w:t>
      </w:r>
    </w:p>
    <w:p w14:paraId="0A2042C4" w14:textId="77777777" w:rsidR="00E93F58" w:rsidRPr="00283424" w:rsidRDefault="00E93F58" w:rsidP="00B50726">
      <w:pPr>
        <w:pStyle w:val="paragraph"/>
      </w:pPr>
      <w:r w:rsidRPr="00283424">
        <w:tab/>
        <w:t>(b)</w:t>
      </w:r>
      <w:r w:rsidRPr="00283424">
        <w:tab/>
        <w:t xml:space="preserve">relating to an </w:t>
      </w:r>
      <w:r w:rsidRPr="00BE1284">
        <w:t>RSA</w:t>
      </w:r>
      <w:r w:rsidRPr="00283424">
        <w:t xml:space="preserve"> to which subsection 1012I(2) of the Act applies, other than:</w:t>
      </w:r>
    </w:p>
    <w:p w14:paraId="12AE0976" w14:textId="77777777" w:rsidR="00E93F58" w:rsidRPr="00283424" w:rsidRDefault="00E93F58" w:rsidP="00B50726">
      <w:pPr>
        <w:pStyle w:val="paragraphsub"/>
      </w:pPr>
      <w:r w:rsidRPr="00283424">
        <w:tab/>
        <w:t>(i)</w:t>
      </w:r>
      <w:r w:rsidRPr="00283424">
        <w:tab/>
        <w:t>an acquisition to which subsection 52(5) of the RSA Act applies; or</w:t>
      </w:r>
    </w:p>
    <w:p w14:paraId="39ADA672" w14:textId="77777777" w:rsidR="00E93F58" w:rsidRPr="00283424" w:rsidRDefault="00E93F58" w:rsidP="00B50726">
      <w:pPr>
        <w:pStyle w:val="paragraphsub"/>
      </w:pPr>
      <w:r w:rsidRPr="00283424">
        <w:tab/>
        <w:t>(ii)</w:t>
      </w:r>
      <w:r w:rsidRPr="00283424">
        <w:tab/>
        <w:t>a transaction in which the product holder disposes of the holder’s interest in the product before the time that confirmation of the acquisition is required under section 1017F of the Act.</w:t>
      </w:r>
    </w:p>
    <w:p w14:paraId="55D72E31" w14:textId="77777777" w:rsidR="00E93F58" w:rsidRPr="00283424" w:rsidRDefault="00E93F58" w:rsidP="00B50726">
      <w:pPr>
        <w:pStyle w:val="subsection"/>
      </w:pPr>
      <w:r w:rsidRPr="00283424">
        <w:tab/>
        <w:t>(2)</w:t>
      </w:r>
      <w:r w:rsidRPr="00283424">
        <w:tab/>
        <w:t>The confirmation of the transaction must identify information about any cooling</w:t>
      </w:r>
      <w:r>
        <w:noBreakHyphen/>
      </w:r>
      <w:r w:rsidRPr="00283424">
        <w:t>off regime that applies in respect of acquisitions of the product (whether the regime is provided for by a law or otherwise).</w:t>
      </w:r>
    </w:p>
    <w:p w14:paraId="3B13F248" w14:textId="77777777" w:rsidR="00E93F58" w:rsidRPr="00283424" w:rsidRDefault="00E93F58" w:rsidP="00B50726">
      <w:pPr>
        <w:pStyle w:val="ActHead5"/>
      </w:pPr>
      <w:bookmarkStart w:id="1895" w:name="_Toc152054923"/>
      <w:bookmarkStart w:id="1896" w:name="_Toc158712739"/>
      <w:r w:rsidRPr="006F296E">
        <w:rPr>
          <w:rStyle w:val="CharSectno"/>
        </w:rPr>
        <w:t>7.9.63E</w:t>
      </w:r>
      <w:r w:rsidRPr="00283424">
        <w:t xml:space="preserve">  Confirmation of transaction—facility that provides written confirmation</w:t>
      </w:r>
      <w:bookmarkEnd w:id="1895"/>
      <w:bookmarkEnd w:id="1896"/>
    </w:p>
    <w:p w14:paraId="07427DE4" w14:textId="77777777" w:rsidR="00E93F58" w:rsidRPr="00283424" w:rsidRDefault="00E93F58" w:rsidP="00B50726">
      <w:pPr>
        <w:pStyle w:val="subsection"/>
      </w:pPr>
      <w:r w:rsidRPr="00283424">
        <w:tab/>
      </w:r>
      <w:r w:rsidRPr="00283424">
        <w:tab/>
        <w:t>For paragraph 1020G(1)(c) of the Act, Part 7.9 of the Act applies to all financial products and transactions as if subsection 1017F(5) of the Act were modified by omitting:</w:t>
      </w:r>
    </w:p>
    <w:p w14:paraId="1CE43D1E" w14:textId="77777777" w:rsidR="00E93F58" w:rsidRPr="00283424" w:rsidRDefault="00E93F58" w:rsidP="00B50726">
      <w:pPr>
        <w:pStyle w:val="paragraph"/>
      </w:pPr>
      <w:r w:rsidRPr="00283424">
        <w:tab/>
      </w:r>
      <w:r w:rsidRPr="00283424">
        <w:tab/>
        <w:t>‘An arrangement under which the holder may request or require another person to provide a confirmation does not count as a facility that satisfies paragraph (b).’</w:t>
      </w:r>
    </w:p>
    <w:p w14:paraId="7B095E98" w14:textId="77777777" w:rsidR="00E93F58" w:rsidRPr="00283424" w:rsidRDefault="00E93F58" w:rsidP="00B50726">
      <w:pPr>
        <w:pStyle w:val="subsection"/>
      </w:pPr>
      <w:r w:rsidRPr="00283424">
        <w:tab/>
      </w:r>
      <w:r w:rsidRPr="00283424">
        <w:tab/>
        <w:t>and inserting:</w:t>
      </w:r>
    </w:p>
    <w:p w14:paraId="317EDDFD" w14:textId="77777777" w:rsidR="00E93F58" w:rsidRPr="00283424" w:rsidRDefault="00E93F58" w:rsidP="00B50726">
      <w:pPr>
        <w:pStyle w:val="paragraph"/>
      </w:pPr>
      <w:r w:rsidRPr="00283424">
        <w:tab/>
      </w:r>
      <w:r w:rsidRPr="00283424">
        <w:tab/>
        <w:t>‘An arrangement under which the holder may request or require another person (other than the responsible person or a person acting on behalf of the responsible person) to provide a confirmation does not count as a facility that satisfies paragraph (b).’.</w:t>
      </w:r>
    </w:p>
    <w:p w14:paraId="6B16F49F" w14:textId="77777777" w:rsidR="00E93F58" w:rsidRPr="00283424" w:rsidRDefault="00E93F58" w:rsidP="00B50726">
      <w:pPr>
        <w:pStyle w:val="ActHead5"/>
      </w:pPr>
      <w:bookmarkStart w:id="1897" w:name="_Toc152054924"/>
      <w:bookmarkStart w:id="1898" w:name="_Toc158712740"/>
      <w:r w:rsidRPr="006F296E">
        <w:rPr>
          <w:rStyle w:val="CharSectno"/>
        </w:rPr>
        <w:t>7.9.63F</w:t>
      </w:r>
      <w:r w:rsidRPr="00283424">
        <w:t xml:space="preserve">  Confirmation of transaction—acquisition of financial product</w:t>
      </w:r>
      <w:bookmarkEnd w:id="1897"/>
      <w:bookmarkEnd w:id="1898"/>
    </w:p>
    <w:p w14:paraId="6AB35D10" w14:textId="77777777" w:rsidR="00E93F58" w:rsidRPr="00283424" w:rsidRDefault="00E93F58" w:rsidP="00B50726">
      <w:pPr>
        <w:pStyle w:val="subsection"/>
      </w:pPr>
      <w:r w:rsidRPr="00283424">
        <w:tab/>
        <w:t>(1)</w:t>
      </w:r>
      <w:r w:rsidRPr="00283424">
        <w:tab/>
        <w:t>For subparagraph 1017F(8)(c)(iii) of the Act, this regulation applies in relation to the confirmation of a transaction that is the acquisition of a financial product.</w:t>
      </w:r>
    </w:p>
    <w:p w14:paraId="7E061ED4" w14:textId="77777777" w:rsidR="00E93F58" w:rsidRPr="00283424" w:rsidRDefault="00E93F58" w:rsidP="00B50726">
      <w:pPr>
        <w:pStyle w:val="subsection"/>
      </w:pPr>
      <w:r w:rsidRPr="00283424">
        <w:tab/>
        <w:t>(2)</w:t>
      </w:r>
      <w:r w:rsidRPr="00283424">
        <w:tab/>
        <w:t>The details of the transaction relating to the amount paid or payable by the holder in relation to the transaction need include only the amount the holder is required to pay to acquire the product.</w:t>
      </w:r>
    </w:p>
    <w:p w14:paraId="4BD99A0F" w14:textId="77777777" w:rsidR="00E93F58" w:rsidRPr="00283424" w:rsidRDefault="00E93F58" w:rsidP="00B50726">
      <w:pPr>
        <w:pStyle w:val="ActHead5"/>
      </w:pPr>
      <w:bookmarkStart w:id="1899" w:name="_Toc152054925"/>
      <w:bookmarkStart w:id="1900" w:name="_Toc158712741"/>
      <w:r w:rsidRPr="006F296E">
        <w:rPr>
          <w:rStyle w:val="CharSectno"/>
        </w:rPr>
        <w:t>7.9.63G</w:t>
      </w:r>
      <w:r w:rsidRPr="00283424">
        <w:t xml:space="preserve">  Confirmation of transaction—disposal of financial product</w:t>
      </w:r>
      <w:bookmarkEnd w:id="1899"/>
      <w:bookmarkEnd w:id="1900"/>
    </w:p>
    <w:p w14:paraId="75F812C7" w14:textId="77777777" w:rsidR="00E93F58" w:rsidRPr="00283424" w:rsidRDefault="00E93F58" w:rsidP="00B50726">
      <w:pPr>
        <w:pStyle w:val="subsection"/>
        <w:keepNext/>
        <w:keepLines/>
      </w:pPr>
      <w:r w:rsidRPr="00283424">
        <w:tab/>
        <w:t>(1)</w:t>
      </w:r>
      <w:r w:rsidRPr="00283424">
        <w:tab/>
        <w:t>For paragraph 1017F(8)(d) of the Act, this regulation applies in relation to the confirmation of a transaction that is the disposal of a financial product.</w:t>
      </w:r>
    </w:p>
    <w:p w14:paraId="48F55A9F" w14:textId="77777777" w:rsidR="00E93F58" w:rsidRPr="00283424" w:rsidRDefault="00E93F58" w:rsidP="00B50726">
      <w:pPr>
        <w:pStyle w:val="subsection"/>
      </w:pPr>
      <w:r w:rsidRPr="00283424">
        <w:tab/>
        <w:t>(2)</w:t>
      </w:r>
      <w:r w:rsidRPr="00283424">
        <w:tab/>
        <w:t>The confirmation must include the amount paid or payable to the holder as a result of the disposal.</w:t>
      </w:r>
    </w:p>
    <w:p w14:paraId="07A26932" w14:textId="77777777" w:rsidR="00E93F58" w:rsidRPr="00283424" w:rsidRDefault="00E93F58" w:rsidP="00B50726">
      <w:pPr>
        <w:pStyle w:val="ActHead5"/>
      </w:pPr>
      <w:bookmarkStart w:id="1901" w:name="_Toc152054926"/>
      <w:bookmarkStart w:id="1902" w:name="_Toc158712742"/>
      <w:r w:rsidRPr="006F296E">
        <w:rPr>
          <w:rStyle w:val="CharSectno"/>
        </w:rPr>
        <w:t>7.9.63H</w:t>
      </w:r>
      <w:r w:rsidRPr="00283424">
        <w:t xml:space="preserve">  Certain product issuers and regulated persons must meet appropriate dispute resolution requirements—self managed superannuation funds</w:t>
      </w:r>
      <w:bookmarkEnd w:id="1901"/>
      <w:bookmarkEnd w:id="1902"/>
    </w:p>
    <w:p w14:paraId="7CAA580F" w14:textId="77777777" w:rsidR="00E93F58" w:rsidRPr="00283424" w:rsidRDefault="00E93F58" w:rsidP="00B50726">
      <w:pPr>
        <w:pStyle w:val="subsection"/>
      </w:pPr>
      <w:r w:rsidRPr="00283424">
        <w:tab/>
      </w:r>
      <w:r w:rsidRPr="00283424">
        <w:tab/>
        <w:t>For paragraph 1020G(1)(c) of the Act, Part 7.9 of the Act applies in relation to a self managed superannuation fund as if section 1017G of the Act were omitted.</w:t>
      </w:r>
    </w:p>
    <w:p w14:paraId="2E0140CB" w14:textId="77777777" w:rsidR="00E93F58" w:rsidRPr="00283424" w:rsidRDefault="00E93F58" w:rsidP="00B50726">
      <w:pPr>
        <w:pStyle w:val="ActHead5"/>
      </w:pPr>
      <w:bookmarkStart w:id="1903" w:name="_Toc152054927"/>
      <w:bookmarkStart w:id="1904" w:name="_Toc158712743"/>
      <w:r w:rsidRPr="006F296E">
        <w:rPr>
          <w:rStyle w:val="CharSectno"/>
        </w:rPr>
        <w:t>7.9.63I</w:t>
      </w:r>
      <w:r w:rsidRPr="00283424">
        <w:t xml:space="preserve">  Confirmation of transaction in electronic form</w:t>
      </w:r>
      <w:bookmarkEnd w:id="1903"/>
      <w:bookmarkEnd w:id="1904"/>
    </w:p>
    <w:p w14:paraId="011F83A4" w14:textId="77777777" w:rsidR="00E93F58" w:rsidRPr="00283424" w:rsidRDefault="00E93F58" w:rsidP="00B50726">
      <w:pPr>
        <w:pStyle w:val="subsection"/>
      </w:pPr>
      <w:r w:rsidRPr="00283424">
        <w:tab/>
        <w:t>(1)</w:t>
      </w:r>
      <w:r w:rsidRPr="00283424">
        <w:tab/>
        <w:t>For subparagraph 1017F(6)(a)(ii) of the Act, a confirmation of a transaction that is to be given in electronic form must, as far as practicable, be presented in a way that will allow the person to whom it is given to keep a copy of it so that the person can have ready access to it in the future.</w:t>
      </w:r>
    </w:p>
    <w:p w14:paraId="3109E087" w14:textId="77777777" w:rsidR="00E93F58" w:rsidRPr="00283424" w:rsidRDefault="00E93F58" w:rsidP="00B50726">
      <w:pPr>
        <w:pStyle w:val="subsection"/>
      </w:pPr>
      <w:r w:rsidRPr="00283424">
        <w:tab/>
        <w:t>(2)</w:t>
      </w:r>
      <w:r w:rsidRPr="00283424">
        <w:tab/>
        <w:t>A confirmation of a transaction that is to be given in electronic form must be presented in a way that clearly identifies the information that is part of the confirmation.</w:t>
      </w:r>
    </w:p>
    <w:p w14:paraId="62F76C7D" w14:textId="77777777" w:rsidR="00E93F58" w:rsidRPr="00283424" w:rsidRDefault="00E93F58" w:rsidP="00B50726">
      <w:pPr>
        <w:pStyle w:val="ActHead3"/>
        <w:pageBreakBefore/>
        <w:rPr>
          <w:color w:val="000000"/>
        </w:rPr>
      </w:pPr>
      <w:bookmarkStart w:id="1905" w:name="_Toc152054928"/>
      <w:bookmarkStart w:id="1906" w:name="_Toc158712744"/>
      <w:r w:rsidRPr="006F296E">
        <w:rPr>
          <w:rStyle w:val="CharDivNo"/>
        </w:rPr>
        <w:lastRenderedPageBreak/>
        <w:t>Division 7</w:t>
      </w:r>
      <w:r w:rsidRPr="00283424">
        <w:rPr>
          <w:color w:val="000000"/>
        </w:rPr>
        <w:t>—</w:t>
      </w:r>
      <w:r w:rsidRPr="006F296E">
        <w:rPr>
          <w:rStyle w:val="CharDivText"/>
        </w:rPr>
        <w:t>Cooling</w:t>
      </w:r>
      <w:r w:rsidRPr="006F296E">
        <w:rPr>
          <w:rStyle w:val="CharDivText"/>
        </w:rPr>
        <w:noBreakHyphen/>
        <w:t>off periods</w:t>
      </w:r>
      <w:bookmarkEnd w:id="1905"/>
      <w:bookmarkEnd w:id="1906"/>
    </w:p>
    <w:p w14:paraId="4909EDC2" w14:textId="77777777" w:rsidR="00E93F58" w:rsidRPr="00283424" w:rsidRDefault="00E93F58" w:rsidP="00B50726">
      <w:pPr>
        <w:pStyle w:val="ActHead5"/>
      </w:pPr>
      <w:bookmarkStart w:id="1907" w:name="_Toc152054929"/>
      <w:bookmarkStart w:id="1908" w:name="_Toc158712745"/>
      <w:r w:rsidRPr="006F296E">
        <w:rPr>
          <w:rStyle w:val="CharSectno"/>
        </w:rPr>
        <w:t>7.9.64</w:t>
      </w:r>
      <w:r w:rsidRPr="00283424">
        <w:t xml:space="preserve">  Cooling</w:t>
      </w:r>
      <w:r>
        <w:noBreakHyphen/>
      </w:r>
      <w:r w:rsidRPr="00283424">
        <w:t>off periods not to apply</w:t>
      </w:r>
      <w:bookmarkEnd w:id="1907"/>
      <w:bookmarkEnd w:id="1908"/>
    </w:p>
    <w:p w14:paraId="1CF314AE" w14:textId="77777777" w:rsidR="00E93F58" w:rsidRPr="00283424" w:rsidRDefault="00E93F58" w:rsidP="00B50726">
      <w:pPr>
        <w:pStyle w:val="subsection"/>
      </w:pPr>
      <w:r w:rsidRPr="00283424">
        <w:tab/>
        <w:t>(1)</w:t>
      </w:r>
      <w:r w:rsidRPr="00283424">
        <w:tab/>
        <w:t>For paragraph 1019A(2)(a) of the Act, the following subclasses of financial products are excluded from paragraph 1019A(1)(a) of the Act:</w:t>
      </w:r>
    </w:p>
    <w:p w14:paraId="346D0B96" w14:textId="77777777" w:rsidR="00E93F58" w:rsidRPr="00283424" w:rsidRDefault="00E93F58" w:rsidP="00B50726">
      <w:pPr>
        <w:pStyle w:val="paragraph"/>
      </w:pPr>
      <w:r w:rsidRPr="00283424">
        <w:rPr>
          <w:color w:val="000000"/>
        </w:rPr>
        <w:tab/>
        <w:t>(a)</w:t>
      </w:r>
      <w:r w:rsidRPr="00283424">
        <w:rPr>
          <w:color w:val="000000"/>
        </w:rPr>
        <w:tab/>
        <w:t>a financial product offered or issued under a distribution reinvestment plan or switching facility;</w:t>
      </w:r>
    </w:p>
    <w:p w14:paraId="5662520E" w14:textId="77777777" w:rsidR="00E93F58" w:rsidRPr="00283424" w:rsidRDefault="00E93F58" w:rsidP="00B50726">
      <w:pPr>
        <w:pStyle w:val="paragraph"/>
      </w:pPr>
      <w:r w:rsidRPr="00283424">
        <w:tab/>
        <w:t>(b)</w:t>
      </w:r>
      <w:r w:rsidRPr="00283424">
        <w:tab/>
        <w:t>a financial product the acquisition of which is an additional contribution made under an existing agreement or contract;</w:t>
      </w:r>
    </w:p>
    <w:p w14:paraId="14F2D7C1" w14:textId="77777777" w:rsidR="00E93F58" w:rsidRPr="00283424" w:rsidRDefault="00E93F58" w:rsidP="00B50726">
      <w:pPr>
        <w:pStyle w:val="paragraph"/>
      </w:pPr>
      <w:r w:rsidRPr="00283424">
        <w:tab/>
        <w:t>(c)</w:t>
      </w:r>
      <w:r w:rsidRPr="00283424">
        <w:tab/>
        <w:t>a financial product issued as consideration for an offer made under a takeover bid under Chapter 6 of the Act;</w:t>
      </w:r>
    </w:p>
    <w:p w14:paraId="434BB379" w14:textId="77777777" w:rsidR="00E93F58" w:rsidRPr="00283424" w:rsidRDefault="00E93F58" w:rsidP="00B50726">
      <w:pPr>
        <w:pStyle w:val="paragraph"/>
      </w:pPr>
      <w:r w:rsidRPr="00283424">
        <w:tab/>
        <w:t>(d)</w:t>
      </w:r>
      <w:r w:rsidRPr="00283424">
        <w:tab/>
        <w:t xml:space="preserve">an interim contract of insurance within the meaning of subsection 11(2) of the </w:t>
      </w:r>
      <w:r w:rsidRPr="00283424">
        <w:rPr>
          <w:i/>
        </w:rPr>
        <w:t>Insurance Contracts Act 1984</w:t>
      </w:r>
      <w:r w:rsidRPr="00283424">
        <w:t>;</w:t>
      </w:r>
    </w:p>
    <w:p w14:paraId="4A30F0D0" w14:textId="77777777" w:rsidR="00E93F58" w:rsidRDefault="00E93F58" w:rsidP="001D08A3">
      <w:pPr>
        <w:pStyle w:val="paragraph"/>
      </w:pPr>
      <w:r w:rsidRPr="00BE1284">
        <w:tab/>
        <w:t>(e)</w:t>
      </w:r>
      <w:r w:rsidRPr="00BE1284">
        <w:tab/>
        <w:t>a managed investment product if, at the time the product is issued, the managed investment scheme to which the product relates</w:t>
      </w:r>
      <w:r>
        <w:t xml:space="preserve"> is</w:t>
      </w:r>
      <w:r w:rsidRPr="00BE1284">
        <w:t xml:space="preserve"> not liquid</w:t>
      </w:r>
      <w:r>
        <w:t xml:space="preserve"> (or if the scheme is not a registered scheme at that time, would not be liquid if the scheme was a registered scheme at that time)</w:t>
      </w:r>
      <w:r w:rsidRPr="00BE1284">
        <w:t>;</w:t>
      </w:r>
    </w:p>
    <w:p w14:paraId="52933CD2" w14:textId="77777777" w:rsidR="00E93F58" w:rsidRPr="00283424" w:rsidRDefault="00E93F58" w:rsidP="00B50726">
      <w:pPr>
        <w:pStyle w:val="paragraph"/>
      </w:pPr>
      <w:r w:rsidRPr="00283424">
        <w:tab/>
        <w:t>(ea)</w:t>
      </w:r>
      <w:r w:rsidRPr="00283424">
        <w:tab/>
        <w:t>a security in a CCIV if, at the time the security is issued, section 1230H of the Act (about when a sub</w:t>
      </w:r>
      <w:r>
        <w:noBreakHyphen/>
      </w:r>
      <w:r w:rsidRPr="00283424">
        <w:t>fund is liquid) applies to the sub</w:t>
      </w:r>
      <w:r>
        <w:noBreakHyphen/>
      </w:r>
      <w:r w:rsidRPr="00283424">
        <w:t>fund of the CCIV to which the security is referable;</w:t>
      </w:r>
    </w:p>
    <w:p w14:paraId="75911549" w14:textId="77777777" w:rsidR="00E93F58" w:rsidRPr="00283424" w:rsidRDefault="00E93F58" w:rsidP="00B50726">
      <w:pPr>
        <w:pStyle w:val="paragraph"/>
      </w:pPr>
      <w:r w:rsidRPr="00283424">
        <w:tab/>
        <w:t>(f)</w:t>
      </w:r>
      <w:r w:rsidRPr="00283424">
        <w:tab/>
        <w:t>a superannuation product that is issued in relation to a superannuation entity that is not a public offer superannuation entity, other than;</w:t>
      </w:r>
    </w:p>
    <w:p w14:paraId="59EA78EB" w14:textId="77777777" w:rsidR="00E93F58" w:rsidRPr="00283424" w:rsidRDefault="00E93F58" w:rsidP="00B50726">
      <w:pPr>
        <w:pStyle w:val="paragraphsub"/>
      </w:pPr>
      <w:r w:rsidRPr="00283424">
        <w:tab/>
        <w:t>(i)</w:t>
      </w:r>
      <w:r w:rsidRPr="00283424">
        <w:tab/>
        <w:t>a superannuation product taken to be issued because of regulation 7.1.04E; or</w:t>
      </w:r>
    </w:p>
    <w:p w14:paraId="132DC2B0" w14:textId="77777777" w:rsidR="00E93F58" w:rsidRPr="00283424" w:rsidRDefault="00E93F58" w:rsidP="00B50726">
      <w:pPr>
        <w:pStyle w:val="paragraphsub"/>
      </w:pPr>
      <w:r w:rsidRPr="00283424">
        <w:tab/>
        <w:t>(ii)</w:t>
      </w:r>
      <w:r w:rsidRPr="00283424">
        <w:tab/>
        <w:t>an annuity or pension taken to be issued because of subregulation 7.9.02(4);</w:t>
      </w:r>
    </w:p>
    <w:p w14:paraId="5D92A251" w14:textId="77777777" w:rsidR="00E93F58" w:rsidRPr="00283424" w:rsidRDefault="00E93F58" w:rsidP="00B50726">
      <w:pPr>
        <w:pStyle w:val="paragraph"/>
      </w:pPr>
      <w:r w:rsidRPr="00283424">
        <w:tab/>
        <w:t>(fa)</w:t>
      </w:r>
      <w:r w:rsidRPr="00283424">
        <w:tab/>
        <w:t>a superannuation product that is issued in relation to:</w:t>
      </w:r>
    </w:p>
    <w:p w14:paraId="5D69E919" w14:textId="77777777" w:rsidR="00E93F58" w:rsidRPr="00283424" w:rsidRDefault="00E93F58" w:rsidP="00B50726">
      <w:pPr>
        <w:pStyle w:val="paragraphsub"/>
      </w:pPr>
      <w:r w:rsidRPr="00283424">
        <w:tab/>
        <w:t>(i)</w:t>
      </w:r>
      <w:r w:rsidRPr="00283424">
        <w:tab/>
        <w:t>a public offer superannuation entity mentioned in paragraph 7.6.01(1)(b), (c) or (d); or</w:t>
      </w:r>
    </w:p>
    <w:p w14:paraId="43203E98" w14:textId="77777777" w:rsidR="00E93F58" w:rsidRPr="00283424" w:rsidRDefault="00E93F58" w:rsidP="00B50726">
      <w:pPr>
        <w:pStyle w:val="paragraphsub"/>
      </w:pPr>
      <w:r w:rsidRPr="00283424">
        <w:tab/>
        <w:t>(ii)</w:t>
      </w:r>
      <w:r w:rsidRPr="00283424">
        <w:tab/>
        <w:t>a public offer superannuation entity that is a successor fund in relation to the transfer of benefits to that fund; or</w:t>
      </w:r>
    </w:p>
    <w:p w14:paraId="470E373E" w14:textId="77777777" w:rsidR="00E93F58" w:rsidRPr="00283424" w:rsidRDefault="00E93F58" w:rsidP="00B50726">
      <w:pPr>
        <w:pStyle w:val="paragraphsub"/>
      </w:pPr>
      <w:r w:rsidRPr="00283424">
        <w:tab/>
        <w:t>(iii)</w:t>
      </w:r>
      <w:r w:rsidRPr="00283424">
        <w:tab/>
        <w:t>a public offer superannuation entity that is an eligible rollover fund and in relation to which the superannuation product is issued pursuant to Part 24 of the SIS Act or Part 9 of the RSA Act;</w:t>
      </w:r>
    </w:p>
    <w:p w14:paraId="076A2031" w14:textId="77777777" w:rsidR="00E93F58" w:rsidRPr="00283424" w:rsidRDefault="00E93F58" w:rsidP="00B50726">
      <w:pPr>
        <w:pStyle w:val="paragraph"/>
      </w:pPr>
      <w:r w:rsidRPr="00283424">
        <w:tab/>
        <w:t>(fb)</w:t>
      </w:r>
      <w:r w:rsidRPr="00283424">
        <w:tab/>
        <w:t>a superannuation product that is a pension issued by a superannuation fund the rules of which do not allow a member to receive accumulated benefits in a form other than a pension from that fund;</w:t>
      </w:r>
    </w:p>
    <w:p w14:paraId="0D61A30A" w14:textId="77777777" w:rsidR="00E93F58" w:rsidRPr="00283424" w:rsidRDefault="00E93F58" w:rsidP="00B50726">
      <w:pPr>
        <w:pStyle w:val="paragraph"/>
        <w:rPr>
          <w:snapToGrid w:val="0"/>
        </w:rPr>
      </w:pPr>
      <w:r w:rsidRPr="00283424">
        <w:rPr>
          <w:snapToGrid w:val="0"/>
        </w:rPr>
        <w:tab/>
        <w:t>(g)</w:t>
      </w:r>
      <w:r w:rsidRPr="00283424">
        <w:rPr>
          <w:snapToGrid w:val="0"/>
        </w:rPr>
        <w:tab/>
        <w:t>a risk insurance product that is:</w:t>
      </w:r>
    </w:p>
    <w:p w14:paraId="75B862B0" w14:textId="77777777" w:rsidR="00E93F58" w:rsidRPr="00283424" w:rsidRDefault="00E93F58" w:rsidP="00B50726">
      <w:pPr>
        <w:pStyle w:val="paragraphsub"/>
        <w:rPr>
          <w:snapToGrid w:val="0"/>
        </w:rPr>
      </w:pPr>
      <w:r w:rsidRPr="00283424">
        <w:rPr>
          <w:snapToGrid w:val="0"/>
          <w:color w:val="000000"/>
        </w:rPr>
        <w:tab/>
        <w:t>(i)</w:t>
      </w:r>
      <w:r w:rsidRPr="00283424">
        <w:rPr>
          <w:snapToGrid w:val="0"/>
          <w:color w:val="000000"/>
        </w:rPr>
        <w:tab/>
        <w:t xml:space="preserve">of less than 12 months </w:t>
      </w:r>
      <w:r w:rsidRPr="00283424">
        <w:t>duration; and</w:t>
      </w:r>
    </w:p>
    <w:p w14:paraId="3DAEF2A6" w14:textId="77777777" w:rsidR="00E93F58" w:rsidRPr="00283424" w:rsidRDefault="00E93F58" w:rsidP="00B50726">
      <w:pPr>
        <w:pStyle w:val="paragraphsub"/>
        <w:rPr>
          <w:snapToGrid w:val="0"/>
        </w:rPr>
      </w:pPr>
      <w:r w:rsidRPr="00283424">
        <w:rPr>
          <w:snapToGrid w:val="0"/>
        </w:rPr>
        <w:tab/>
        <w:t>(ii)</w:t>
      </w:r>
      <w:r w:rsidRPr="00283424">
        <w:rPr>
          <w:snapToGrid w:val="0"/>
        </w:rPr>
        <w:tab/>
        <w:t xml:space="preserve">a renewal of an existing product on the terms and conditions to which the product is currently </w:t>
      </w:r>
      <w:r w:rsidRPr="00283424">
        <w:t>subject;</w:t>
      </w:r>
    </w:p>
    <w:p w14:paraId="7B9F95C1" w14:textId="77777777" w:rsidR="00E93F58" w:rsidRPr="00283424" w:rsidRDefault="00E93F58" w:rsidP="00B50726">
      <w:pPr>
        <w:pStyle w:val="paragraph"/>
      </w:pPr>
      <w:r w:rsidRPr="00283424">
        <w:tab/>
        <w:t>(h)</w:t>
      </w:r>
      <w:r w:rsidRPr="00283424">
        <w:tab/>
        <w:t>a managed investment product in relation to which subsection 1016D(1) of the Act applies;</w:t>
      </w:r>
    </w:p>
    <w:p w14:paraId="344109F2" w14:textId="77777777" w:rsidR="00E93F58" w:rsidRPr="00283424" w:rsidRDefault="00E93F58" w:rsidP="00B50726">
      <w:pPr>
        <w:pStyle w:val="paragraph"/>
      </w:pPr>
      <w:r w:rsidRPr="00283424">
        <w:tab/>
        <w:t>(ha)</w:t>
      </w:r>
      <w:r w:rsidRPr="00283424">
        <w:tab/>
        <w:t>a foreign passport fund product in relation to which subsection 1016D(1) of the Act applies;</w:t>
      </w:r>
    </w:p>
    <w:p w14:paraId="3E275411" w14:textId="77777777" w:rsidR="00E93F58" w:rsidRPr="00283424" w:rsidRDefault="00E93F58" w:rsidP="00B50726">
      <w:pPr>
        <w:pStyle w:val="paragraph"/>
      </w:pPr>
      <w:r w:rsidRPr="00283424">
        <w:tab/>
        <w:t>(hb)</w:t>
      </w:r>
      <w:r w:rsidRPr="00283424">
        <w:tab/>
        <w:t>a security in a CCIV in relation to which subsection 1016D(1) of the Act applies;</w:t>
      </w:r>
    </w:p>
    <w:p w14:paraId="05D0F123" w14:textId="77777777" w:rsidR="00E93F58" w:rsidRPr="00283424" w:rsidRDefault="00E93F58" w:rsidP="00B50726">
      <w:pPr>
        <w:pStyle w:val="paragraph"/>
      </w:pPr>
      <w:r w:rsidRPr="00283424">
        <w:tab/>
        <w:t>(i)</w:t>
      </w:r>
      <w:r w:rsidRPr="00283424">
        <w:tab/>
        <w:t>a managed investment product:</w:t>
      </w:r>
    </w:p>
    <w:p w14:paraId="3BBF80D7" w14:textId="77777777" w:rsidR="00E93F58" w:rsidRPr="00283424" w:rsidRDefault="00E93F58" w:rsidP="00B50726">
      <w:pPr>
        <w:pStyle w:val="paragraphsub"/>
      </w:pPr>
      <w:r w:rsidRPr="00283424">
        <w:tab/>
        <w:t>(i)</w:t>
      </w:r>
      <w:r w:rsidRPr="00283424">
        <w:tab/>
        <w:t>to which Chapter 6D of the old Corporations Act applied; and</w:t>
      </w:r>
    </w:p>
    <w:p w14:paraId="3CBE89A1" w14:textId="77777777" w:rsidR="00E93F58" w:rsidRPr="00283424" w:rsidRDefault="00E93F58" w:rsidP="00B50726">
      <w:pPr>
        <w:pStyle w:val="paragraphsub"/>
      </w:pPr>
      <w:r w:rsidRPr="00283424">
        <w:tab/>
        <w:t>(ii)</w:t>
      </w:r>
      <w:r w:rsidRPr="00283424">
        <w:tab/>
        <w:t>that was listed before the FSR commencement.</w:t>
      </w:r>
    </w:p>
    <w:p w14:paraId="74B2B0F0" w14:textId="77777777" w:rsidR="00E93F58" w:rsidRPr="00283424" w:rsidRDefault="00E93F58" w:rsidP="00B50726">
      <w:pPr>
        <w:pStyle w:val="subsection"/>
      </w:pPr>
      <w:r w:rsidRPr="00283424">
        <w:rPr>
          <w:color w:val="000000"/>
        </w:rPr>
        <w:tab/>
        <w:t>(2)</w:t>
      </w:r>
      <w:r w:rsidRPr="00283424">
        <w:rPr>
          <w:color w:val="000000"/>
        </w:rPr>
        <w:tab/>
        <w:t>For paragraph 1020G(1)(a) of the Act, a reference in paragraph 1019A(3)(a) of the Act to a client does not include a person who holds a superannuation product as a standard employer</w:t>
      </w:r>
      <w:r>
        <w:rPr>
          <w:color w:val="000000"/>
        </w:rPr>
        <w:noBreakHyphen/>
      </w:r>
      <w:r w:rsidRPr="00283424">
        <w:rPr>
          <w:color w:val="000000"/>
        </w:rPr>
        <w:t>sponsor member.</w:t>
      </w:r>
    </w:p>
    <w:p w14:paraId="063AE406" w14:textId="77777777" w:rsidR="00E93F58" w:rsidRPr="00283424" w:rsidRDefault="00E93F58" w:rsidP="00B50726">
      <w:pPr>
        <w:pStyle w:val="ActHead5"/>
      </w:pPr>
      <w:bookmarkStart w:id="1909" w:name="_Toc152054930"/>
      <w:bookmarkStart w:id="1910" w:name="_Toc158712746"/>
      <w:r w:rsidRPr="006F296E">
        <w:rPr>
          <w:rStyle w:val="CharSectno"/>
        </w:rPr>
        <w:t>7.9.64A</w:t>
      </w:r>
      <w:r w:rsidRPr="00283424">
        <w:t xml:space="preserve">  Notification of exercise of right of return—risk insurance products</w:t>
      </w:r>
      <w:bookmarkEnd w:id="1909"/>
      <w:bookmarkEnd w:id="1910"/>
    </w:p>
    <w:p w14:paraId="1C4A5EF9" w14:textId="77777777" w:rsidR="00E93F58" w:rsidRPr="00283424" w:rsidRDefault="00E93F58" w:rsidP="00B50726">
      <w:pPr>
        <w:pStyle w:val="subsection"/>
      </w:pPr>
      <w:r w:rsidRPr="00283424">
        <w:tab/>
      </w:r>
      <w:r w:rsidRPr="00283424">
        <w:tab/>
        <w:t>For paragraph 1019B(2)(c) of the Act, a right of return may be exercised in relation to a risk insurance product by notifying the responsible person in a way permitted by the responsible person.</w:t>
      </w:r>
    </w:p>
    <w:p w14:paraId="6C2A310C" w14:textId="77777777" w:rsidR="00E93F58" w:rsidRPr="00283424" w:rsidRDefault="00E93F58" w:rsidP="00B50726">
      <w:pPr>
        <w:pStyle w:val="ActHead5"/>
      </w:pPr>
      <w:bookmarkStart w:id="1911" w:name="_Toc152054931"/>
      <w:bookmarkStart w:id="1912" w:name="_Toc158712747"/>
      <w:r w:rsidRPr="006F296E">
        <w:rPr>
          <w:rStyle w:val="CharSectno"/>
        </w:rPr>
        <w:t>7.9.65</w:t>
      </w:r>
      <w:r w:rsidRPr="00283424">
        <w:t xml:space="preserve">  Return of financial product: general</w:t>
      </w:r>
      <w:bookmarkEnd w:id="1911"/>
      <w:bookmarkEnd w:id="1912"/>
    </w:p>
    <w:p w14:paraId="29A89B36" w14:textId="77777777" w:rsidR="00E93F58" w:rsidRPr="00283424" w:rsidRDefault="00E93F58" w:rsidP="00B50726">
      <w:pPr>
        <w:pStyle w:val="subsection"/>
      </w:pPr>
      <w:r w:rsidRPr="00283424">
        <w:tab/>
        <w:t>(1)</w:t>
      </w:r>
      <w:r w:rsidRPr="00283424">
        <w:tab/>
        <w:t>For subsection 1019B(5A) of the Act, the right to return the risk insurance product for an event that will start and end within the 14 day period mentioned in subsection 1019B(3) of the Act (and to have money paid to acquire the risk insurance product repaid) cannot be exercised at any time after the end of the period starting when the risk insurance product was provided and ending on the earlier of:</w:t>
      </w:r>
    </w:p>
    <w:p w14:paraId="44573837" w14:textId="77777777" w:rsidR="00E93F58" w:rsidRPr="00283424" w:rsidRDefault="00E93F58" w:rsidP="00B50726">
      <w:pPr>
        <w:pStyle w:val="paragraph"/>
      </w:pPr>
      <w:r w:rsidRPr="00283424">
        <w:tab/>
        <w:t>(a)</w:t>
      </w:r>
      <w:r w:rsidRPr="00283424">
        <w:tab/>
        <w:t>the 14</w:t>
      </w:r>
      <w:r>
        <w:noBreakHyphen/>
      </w:r>
      <w:r w:rsidRPr="00283424">
        <w:t>day period mentioned in subsection 1019B(3) of the Act; and</w:t>
      </w:r>
    </w:p>
    <w:p w14:paraId="61146866" w14:textId="77777777" w:rsidR="00E93F58" w:rsidRPr="00283424" w:rsidRDefault="00E93F58" w:rsidP="00B50726">
      <w:pPr>
        <w:pStyle w:val="paragraph"/>
        <w:rPr>
          <w:color w:val="000000"/>
        </w:rPr>
      </w:pPr>
      <w:r w:rsidRPr="00283424">
        <w:rPr>
          <w:color w:val="000000"/>
        </w:rPr>
        <w:tab/>
        <w:t>(b)</w:t>
      </w:r>
      <w:r w:rsidRPr="00283424">
        <w:rPr>
          <w:color w:val="000000"/>
        </w:rPr>
        <w:tab/>
        <w:t>the start of the event.</w:t>
      </w:r>
    </w:p>
    <w:p w14:paraId="66F609C3" w14:textId="77777777" w:rsidR="00E93F58" w:rsidRPr="00283424" w:rsidRDefault="00E93F58" w:rsidP="00B50726">
      <w:pPr>
        <w:pStyle w:val="notetext"/>
      </w:pPr>
      <w:r w:rsidRPr="00283424">
        <w:lastRenderedPageBreak/>
        <w:t>Example:</w:t>
      </w:r>
      <w:r w:rsidRPr="00283424">
        <w:tab/>
        <w:t>Short</w:t>
      </w:r>
      <w:r>
        <w:noBreakHyphen/>
      </w:r>
      <w:r w:rsidRPr="00283424">
        <w:t>term travel insurance.</w:t>
      </w:r>
    </w:p>
    <w:p w14:paraId="07E16F96" w14:textId="77777777" w:rsidR="00E93F58" w:rsidRPr="00283424" w:rsidRDefault="00E93F58" w:rsidP="00B50726">
      <w:pPr>
        <w:pStyle w:val="subsection"/>
      </w:pPr>
      <w:r w:rsidRPr="00283424">
        <w:tab/>
        <w:t>(1A)</w:t>
      </w:r>
      <w:r w:rsidRPr="00283424">
        <w:tab/>
        <w:t>For subsection 1019B(5A) of the Act, if:</w:t>
      </w:r>
    </w:p>
    <w:p w14:paraId="6E8276A0" w14:textId="77777777" w:rsidR="00E93F58" w:rsidRPr="00283424" w:rsidRDefault="00E93F58" w:rsidP="00B50726">
      <w:pPr>
        <w:pStyle w:val="paragraph"/>
      </w:pPr>
      <w:r w:rsidRPr="00283424">
        <w:tab/>
        <w:t>(a)</w:t>
      </w:r>
      <w:r w:rsidRPr="00283424">
        <w:tab/>
        <w:t>a person acquires an interest in a managed investment scheme; and</w:t>
      </w:r>
    </w:p>
    <w:p w14:paraId="1E0DCD9D" w14:textId="77777777" w:rsidR="00E93F58" w:rsidRPr="00283424" w:rsidRDefault="00E93F58" w:rsidP="00B50726">
      <w:pPr>
        <w:pStyle w:val="paragraph"/>
      </w:pPr>
      <w:r w:rsidRPr="00283424">
        <w:tab/>
        <w:t>(b)</w:t>
      </w:r>
      <w:r w:rsidRPr="00283424">
        <w:tab/>
        <w:t>the interest is a managed investment product or a foreign passport fund product; and</w:t>
      </w:r>
    </w:p>
    <w:p w14:paraId="1295D2AF" w14:textId="77777777" w:rsidR="00E93F58" w:rsidRPr="00283424" w:rsidRDefault="00E93F58" w:rsidP="00B50726">
      <w:pPr>
        <w:pStyle w:val="paragraph"/>
      </w:pPr>
      <w:r w:rsidRPr="00283424">
        <w:tab/>
        <w:t>(c)</w:t>
      </w:r>
      <w:r w:rsidRPr="00283424">
        <w:tab/>
        <w:t>the person acquires one or more other interests in that managed investment scheme in the course of the same transaction;</w:t>
      </w:r>
    </w:p>
    <w:p w14:paraId="18C04477" w14:textId="77777777" w:rsidR="00E93F58" w:rsidRPr="00283424" w:rsidRDefault="00E93F58" w:rsidP="00B50726">
      <w:pPr>
        <w:pStyle w:val="subsection2"/>
      </w:pPr>
      <w:r w:rsidRPr="00283424">
        <w:t>the person cannot exercise a right to return the product otherwise than by returning all of those interests.</w:t>
      </w:r>
    </w:p>
    <w:p w14:paraId="230F483F" w14:textId="77777777" w:rsidR="00E93F58" w:rsidRPr="00283424" w:rsidRDefault="00E93F58" w:rsidP="00B50726">
      <w:pPr>
        <w:pStyle w:val="notetext"/>
      </w:pPr>
      <w:r w:rsidRPr="00283424">
        <w:t>Note:</w:t>
      </w:r>
      <w:r w:rsidRPr="00283424">
        <w:tab/>
        <w:t>For the purposes of the Act and these Regulations, managed investment schemes include notified foreign passport funds: see section 1213E of the Act.</w:t>
      </w:r>
    </w:p>
    <w:p w14:paraId="1C536983" w14:textId="77777777" w:rsidR="00E93F58" w:rsidRPr="00283424" w:rsidRDefault="00E93F58" w:rsidP="00B50726">
      <w:pPr>
        <w:pStyle w:val="subsection"/>
      </w:pPr>
      <w:r w:rsidRPr="00283424">
        <w:tab/>
        <w:t>(2)</w:t>
      </w:r>
      <w:r w:rsidRPr="00283424">
        <w:tab/>
        <w:t>In this regulation:</w:t>
      </w:r>
    </w:p>
    <w:p w14:paraId="47038B26" w14:textId="77777777" w:rsidR="00E93F58" w:rsidRPr="00283424" w:rsidRDefault="00E93F58" w:rsidP="00B50726">
      <w:pPr>
        <w:pStyle w:val="Definition"/>
      </w:pPr>
      <w:r w:rsidRPr="00283424">
        <w:rPr>
          <w:b/>
          <w:i/>
          <w:color w:val="000000"/>
        </w:rPr>
        <w:t>event</w:t>
      </w:r>
      <w:r w:rsidRPr="00283424">
        <w:rPr>
          <w:color w:val="000000"/>
        </w:rPr>
        <w:t xml:space="preserve"> means the commencement of the process in relation to which the risk insurance product was entered into.</w:t>
      </w:r>
    </w:p>
    <w:p w14:paraId="6DFE125C" w14:textId="77777777" w:rsidR="00E93F58" w:rsidRPr="00283424" w:rsidRDefault="00E93F58" w:rsidP="00B50726">
      <w:pPr>
        <w:pStyle w:val="notetext"/>
      </w:pPr>
      <w:r w:rsidRPr="00283424">
        <w:t>Examples:</w:t>
      </w:r>
    </w:p>
    <w:p w14:paraId="4713404B" w14:textId="77777777" w:rsidR="00E93F58" w:rsidRPr="00283424" w:rsidRDefault="00E93F58" w:rsidP="00B50726">
      <w:pPr>
        <w:pStyle w:val="notetext"/>
      </w:pPr>
      <w:r w:rsidRPr="00283424">
        <w:t>1</w:t>
      </w:r>
      <w:r w:rsidRPr="00283424">
        <w:tab/>
        <w:t>For insurance on household goods during removal, the commencement of loading a transportation vehicle is the event.</w:t>
      </w:r>
    </w:p>
    <w:p w14:paraId="4896543D" w14:textId="77777777" w:rsidR="00E93F58" w:rsidRPr="00283424" w:rsidRDefault="00E93F58" w:rsidP="00B50726">
      <w:pPr>
        <w:pStyle w:val="notetext"/>
      </w:pPr>
      <w:r w:rsidRPr="00283424">
        <w:t>2</w:t>
      </w:r>
      <w:r w:rsidRPr="00283424">
        <w:tab/>
        <w:t>For travel insurance, the commencement of the journey is the event.</w:t>
      </w:r>
    </w:p>
    <w:p w14:paraId="4A2A7D94" w14:textId="77777777" w:rsidR="00E93F58" w:rsidRPr="00283424" w:rsidRDefault="00E93F58" w:rsidP="00B50726">
      <w:pPr>
        <w:pStyle w:val="ActHead5"/>
      </w:pPr>
      <w:bookmarkStart w:id="1913" w:name="_Toc152054932"/>
      <w:bookmarkStart w:id="1914" w:name="_Toc158712748"/>
      <w:r w:rsidRPr="006F296E">
        <w:rPr>
          <w:rStyle w:val="CharSectno"/>
        </w:rPr>
        <w:t>7.9.66</w:t>
      </w:r>
      <w:r w:rsidRPr="00283424">
        <w:t xml:space="preserve">  Return of financial product: superannuation and RSAs</w:t>
      </w:r>
      <w:bookmarkEnd w:id="1913"/>
      <w:bookmarkEnd w:id="1914"/>
    </w:p>
    <w:p w14:paraId="5B20734D" w14:textId="77777777" w:rsidR="00E93F58" w:rsidRPr="00283424" w:rsidRDefault="00E93F58" w:rsidP="00B50726">
      <w:pPr>
        <w:pStyle w:val="subsection"/>
      </w:pPr>
      <w:r w:rsidRPr="00283424">
        <w:tab/>
        <w:t>(2)</w:t>
      </w:r>
      <w:r w:rsidRPr="00283424">
        <w:tab/>
        <w:t xml:space="preserve">For subsection 1019B(2) of the Act, it is a requirement of the exercise of the right to return a superannuation product or </w:t>
      </w:r>
      <w:r w:rsidRPr="00BE1284">
        <w:t>RSA</w:t>
      </w:r>
      <w:r w:rsidRPr="00283424">
        <w:t xml:space="preserve"> that, if the money to be repaid includes:</w:t>
      </w:r>
    </w:p>
    <w:p w14:paraId="06F43754" w14:textId="77777777" w:rsidR="00E93F58" w:rsidRPr="00283424" w:rsidRDefault="00E93F58" w:rsidP="00B50726">
      <w:pPr>
        <w:pStyle w:val="paragraph"/>
      </w:pPr>
      <w:r w:rsidRPr="00283424">
        <w:rPr>
          <w:color w:val="000000"/>
        </w:rPr>
        <w:tab/>
        <w:t>(a)</w:t>
      </w:r>
      <w:r w:rsidRPr="00283424">
        <w:rPr>
          <w:color w:val="000000"/>
        </w:rPr>
        <w:tab/>
        <w:t>restricted non</w:t>
      </w:r>
      <w:r>
        <w:rPr>
          <w:color w:val="000000"/>
        </w:rPr>
        <w:noBreakHyphen/>
      </w:r>
      <w:r w:rsidRPr="00283424">
        <w:rPr>
          <w:color w:val="000000"/>
        </w:rPr>
        <w:t xml:space="preserve">preserved benefits </w:t>
      </w:r>
      <w:r w:rsidRPr="00283424">
        <w:t>within the meaning of the SIS Regulations</w:t>
      </w:r>
      <w:r w:rsidRPr="00283424">
        <w:rPr>
          <w:color w:val="000000"/>
        </w:rPr>
        <w:t>; or</w:t>
      </w:r>
    </w:p>
    <w:p w14:paraId="61FB49A3" w14:textId="77777777" w:rsidR="00E93F58" w:rsidRPr="00283424" w:rsidRDefault="00E93F58" w:rsidP="00B50726">
      <w:pPr>
        <w:pStyle w:val="paragraph"/>
      </w:pPr>
      <w:r w:rsidRPr="00283424">
        <w:tab/>
        <w:t>(b)</w:t>
      </w:r>
      <w:r w:rsidRPr="00283424">
        <w:tab/>
        <w:t>preserved benefits within the meaning of the SIS Regulations;</w:t>
      </w:r>
    </w:p>
    <w:p w14:paraId="0044CDEE" w14:textId="77777777" w:rsidR="00E93F58" w:rsidRPr="00283424" w:rsidRDefault="00E93F58" w:rsidP="00B50726">
      <w:pPr>
        <w:pStyle w:val="subsection2"/>
      </w:pPr>
      <w:r w:rsidRPr="00283424">
        <w:t>the holder of the product must nominate a superannuation entity</w:t>
      </w:r>
      <w:r w:rsidRPr="00283424">
        <w:rPr>
          <w:color w:val="000000"/>
        </w:rPr>
        <w:t xml:space="preserve"> or RSA into which the money representing restricted non</w:t>
      </w:r>
      <w:r>
        <w:rPr>
          <w:color w:val="000000"/>
        </w:rPr>
        <w:noBreakHyphen/>
      </w:r>
      <w:r w:rsidRPr="00283424">
        <w:rPr>
          <w:color w:val="000000"/>
        </w:rPr>
        <w:t>preserved benefits or preserved benefits is to be repaid.</w:t>
      </w:r>
    </w:p>
    <w:p w14:paraId="6A9CE386" w14:textId="77777777" w:rsidR="00E93F58" w:rsidRPr="00283424" w:rsidRDefault="00E93F58" w:rsidP="00B50726">
      <w:pPr>
        <w:pStyle w:val="subsection"/>
      </w:pPr>
      <w:r w:rsidRPr="00283424">
        <w:tab/>
        <w:t>(3)</w:t>
      </w:r>
      <w:r w:rsidRPr="00283424">
        <w:tab/>
        <w:t>The right of return is taken to have been exercised only on receipt by the responsible person of the nomination.</w:t>
      </w:r>
    </w:p>
    <w:p w14:paraId="1FD17123" w14:textId="77777777" w:rsidR="00E93F58" w:rsidRPr="00283424" w:rsidRDefault="00E93F58" w:rsidP="00B50726">
      <w:pPr>
        <w:pStyle w:val="subsection"/>
      </w:pPr>
      <w:r w:rsidRPr="00283424">
        <w:tab/>
        <w:t>(4)</w:t>
      </w:r>
      <w:r w:rsidRPr="00283424">
        <w:tab/>
        <w:t>The holder must make the nomination not later than 1 month after notifying the responsible person of the right to exercise the right of return.</w:t>
      </w:r>
    </w:p>
    <w:p w14:paraId="40EE0B54" w14:textId="77777777" w:rsidR="00E93F58" w:rsidRPr="00283424" w:rsidRDefault="00E93F58" w:rsidP="00B50726">
      <w:pPr>
        <w:pStyle w:val="subsection"/>
      </w:pPr>
      <w:r w:rsidRPr="00283424">
        <w:tab/>
        <w:t>(5)</w:t>
      </w:r>
      <w:r w:rsidRPr="00283424">
        <w:tab/>
      </w:r>
      <w:r w:rsidRPr="00283424">
        <w:rPr>
          <w:color w:val="000000"/>
        </w:rPr>
        <w:t xml:space="preserve">The holder must notify the </w:t>
      </w:r>
      <w:r w:rsidRPr="00283424">
        <w:t>responsible person</w:t>
      </w:r>
      <w:r w:rsidRPr="00283424">
        <w:rPr>
          <w:color w:val="000000"/>
        </w:rPr>
        <w:t xml:space="preserve"> in writing or by electronic means</w:t>
      </w:r>
      <w:r w:rsidRPr="00283424">
        <w:t>.</w:t>
      </w:r>
    </w:p>
    <w:p w14:paraId="07357787" w14:textId="77777777" w:rsidR="00E93F58" w:rsidRPr="00283424" w:rsidRDefault="00E93F58" w:rsidP="00B50726">
      <w:pPr>
        <w:pStyle w:val="subsection"/>
      </w:pPr>
      <w:r w:rsidRPr="00283424">
        <w:tab/>
        <w:t>(6)</w:t>
      </w:r>
      <w:r w:rsidRPr="00283424">
        <w:tab/>
        <w:t>For subsection 1019B(7) of the Act, if:</w:t>
      </w:r>
    </w:p>
    <w:p w14:paraId="293719A3" w14:textId="77777777" w:rsidR="00E93F58" w:rsidRPr="00283424" w:rsidRDefault="00E93F58" w:rsidP="00B50726">
      <w:pPr>
        <w:pStyle w:val="paragraph"/>
      </w:pPr>
      <w:r w:rsidRPr="00283424">
        <w:tab/>
        <w:t>(a)</w:t>
      </w:r>
      <w:r w:rsidRPr="00283424">
        <w:tab/>
        <w:t>a holder nominates a superannuation entity or RSA; and</w:t>
      </w:r>
    </w:p>
    <w:p w14:paraId="41DF4068" w14:textId="77777777" w:rsidR="00E93F58" w:rsidRPr="00283424" w:rsidRDefault="00E93F58" w:rsidP="00B50726">
      <w:pPr>
        <w:pStyle w:val="paragraph"/>
      </w:pPr>
      <w:r w:rsidRPr="00283424">
        <w:tab/>
        <w:t>(b)</w:t>
      </w:r>
      <w:r w:rsidRPr="00283424">
        <w:tab/>
        <w:t>the superannuation entity or RSA does not accept the nomination;</w:t>
      </w:r>
    </w:p>
    <w:p w14:paraId="2CB6A67B" w14:textId="77777777" w:rsidR="00E93F58" w:rsidRPr="00283424" w:rsidRDefault="00E93F58" w:rsidP="00B50726">
      <w:pPr>
        <w:pStyle w:val="subsection2"/>
      </w:pPr>
      <w:r w:rsidRPr="00283424">
        <w:t>the responsible person may rollover or transfer the holder’s benefits to an eligible rollover fund.</w:t>
      </w:r>
    </w:p>
    <w:p w14:paraId="761D8835" w14:textId="77777777" w:rsidR="00E93F58" w:rsidRPr="00283424" w:rsidRDefault="00E93F58" w:rsidP="00B50726">
      <w:pPr>
        <w:pStyle w:val="subsection"/>
      </w:pPr>
      <w:r w:rsidRPr="00283424">
        <w:tab/>
        <w:t>(7)</w:t>
      </w:r>
      <w:r w:rsidRPr="00283424">
        <w:tab/>
        <w:t>For subsection 1019B(7) of the Act, if the right of return is exercised, the responsible person must return the money as directed.</w:t>
      </w:r>
    </w:p>
    <w:p w14:paraId="65FF5D0D" w14:textId="77777777" w:rsidR="00E93F58" w:rsidRPr="00283424" w:rsidRDefault="00E93F58" w:rsidP="00B50726">
      <w:pPr>
        <w:pStyle w:val="ActHead5"/>
      </w:pPr>
      <w:bookmarkStart w:id="1915" w:name="_Toc152054933"/>
      <w:bookmarkStart w:id="1916" w:name="_Toc158712749"/>
      <w:r w:rsidRPr="006F296E">
        <w:rPr>
          <w:rStyle w:val="CharSectno"/>
        </w:rPr>
        <w:t>7.9.67</w:t>
      </w:r>
      <w:r w:rsidRPr="00283424">
        <w:t xml:space="preserve">  Variation of amount to be repaid</w:t>
      </w:r>
      <w:bookmarkEnd w:id="1915"/>
      <w:bookmarkEnd w:id="1916"/>
    </w:p>
    <w:p w14:paraId="10A1A90C" w14:textId="77777777" w:rsidR="00E93F58" w:rsidRPr="00283424" w:rsidRDefault="00E93F58" w:rsidP="00B50726">
      <w:pPr>
        <w:pStyle w:val="subsection"/>
      </w:pPr>
      <w:r w:rsidRPr="00283424">
        <w:rPr>
          <w:color w:val="000000"/>
        </w:rPr>
        <w:tab/>
        <w:t>(1)</w:t>
      </w:r>
      <w:r w:rsidRPr="00283424">
        <w:rPr>
          <w:color w:val="000000"/>
        </w:rPr>
        <w:tab/>
        <w:t>For subsection 1019B(8) of the Act, the amount to be repaid on an exercise of the right to return a financial product is to be varied in accordance with this regulation.</w:t>
      </w:r>
    </w:p>
    <w:p w14:paraId="24DEE55D" w14:textId="77777777" w:rsidR="00E93F58" w:rsidRPr="00283424" w:rsidRDefault="00E93F58" w:rsidP="00B50726">
      <w:pPr>
        <w:pStyle w:val="SubsectionHead"/>
      </w:pPr>
      <w:r w:rsidRPr="00283424">
        <w:t>Investment</w:t>
      </w:r>
      <w:r>
        <w:noBreakHyphen/>
      </w:r>
      <w:r w:rsidRPr="00283424">
        <w:t>linked product</w:t>
      </w:r>
    </w:p>
    <w:p w14:paraId="1611D683" w14:textId="77777777" w:rsidR="00E93F58" w:rsidRPr="00283424" w:rsidRDefault="00E93F58" w:rsidP="00B50726">
      <w:pPr>
        <w:pStyle w:val="subsection"/>
      </w:pPr>
      <w:r w:rsidRPr="00283424">
        <w:tab/>
        <w:t>(2)</w:t>
      </w:r>
      <w:r w:rsidRPr="00283424">
        <w:tab/>
        <w:t>If:</w:t>
      </w:r>
    </w:p>
    <w:p w14:paraId="455F1C22" w14:textId="77777777" w:rsidR="00E93F58" w:rsidRPr="00283424" w:rsidRDefault="00E93F58" w:rsidP="00B50726">
      <w:pPr>
        <w:pStyle w:val="paragraph"/>
      </w:pPr>
      <w:r w:rsidRPr="00283424">
        <w:tab/>
        <w:t>(a)</w:t>
      </w:r>
      <w:r w:rsidRPr="00283424">
        <w:tab/>
        <w:t>the financial product is:</w:t>
      </w:r>
    </w:p>
    <w:p w14:paraId="6CC71532" w14:textId="77777777" w:rsidR="00E93F58" w:rsidRPr="00283424" w:rsidRDefault="00E93F58" w:rsidP="00B50726">
      <w:pPr>
        <w:pStyle w:val="paragraphsub"/>
      </w:pPr>
      <w:r w:rsidRPr="00283424">
        <w:rPr>
          <w:color w:val="000000"/>
        </w:rPr>
        <w:tab/>
        <w:t>(i)</w:t>
      </w:r>
      <w:r w:rsidRPr="00283424">
        <w:rPr>
          <w:color w:val="000000"/>
        </w:rPr>
        <w:tab/>
        <w:t>an investment</w:t>
      </w:r>
      <w:r>
        <w:rPr>
          <w:color w:val="000000"/>
        </w:rPr>
        <w:noBreakHyphen/>
      </w:r>
      <w:r w:rsidRPr="00283424">
        <w:rPr>
          <w:color w:val="000000"/>
        </w:rPr>
        <w:t xml:space="preserve">linked product within the meaning of the </w:t>
      </w:r>
      <w:r w:rsidRPr="00283424">
        <w:rPr>
          <w:i/>
          <w:color w:val="000000"/>
        </w:rPr>
        <w:t>Insurance Contracts Act 1984</w:t>
      </w:r>
      <w:r w:rsidRPr="00283424">
        <w:rPr>
          <w:color w:val="000000"/>
        </w:rPr>
        <w:t>; or</w:t>
      </w:r>
    </w:p>
    <w:p w14:paraId="2C851EFE" w14:textId="77777777" w:rsidR="00E93F58" w:rsidRPr="00283424" w:rsidRDefault="00E93F58" w:rsidP="00B50726">
      <w:pPr>
        <w:pStyle w:val="paragraphsub"/>
      </w:pPr>
      <w:r w:rsidRPr="00283424">
        <w:tab/>
        <w:t>(ii)</w:t>
      </w:r>
      <w:r w:rsidRPr="00283424">
        <w:tab/>
        <w:t xml:space="preserve">a </w:t>
      </w:r>
      <w:r w:rsidRPr="00283424">
        <w:rPr>
          <w:snapToGrid w:val="0"/>
        </w:rPr>
        <w:t>managed investment product; or</w:t>
      </w:r>
    </w:p>
    <w:p w14:paraId="0A02CB9F" w14:textId="77777777" w:rsidR="00E93F58" w:rsidRPr="00283424" w:rsidRDefault="00E93F58" w:rsidP="00B50726">
      <w:pPr>
        <w:pStyle w:val="paragraphsub"/>
      </w:pPr>
      <w:r w:rsidRPr="00283424">
        <w:tab/>
        <w:t>(iia)</w:t>
      </w:r>
      <w:r w:rsidRPr="00283424">
        <w:tab/>
        <w:t>a foreign passport fund product; or</w:t>
      </w:r>
    </w:p>
    <w:p w14:paraId="284A41F8" w14:textId="77777777" w:rsidR="00E93F58" w:rsidRPr="00283424" w:rsidRDefault="00E93F58" w:rsidP="00B50726">
      <w:pPr>
        <w:pStyle w:val="paragraphsub"/>
      </w:pPr>
      <w:r w:rsidRPr="00283424">
        <w:tab/>
        <w:t>(iib)</w:t>
      </w:r>
      <w:r w:rsidRPr="00283424">
        <w:tab/>
        <w:t>a security in a CCIV; or</w:t>
      </w:r>
    </w:p>
    <w:p w14:paraId="43D18B34" w14:textId="77777777" w:rsidR="00E93F58" w:rsidRPr="00283424" w:rsidRDefault="00E93F58" w:rsidP="00B50726">
      <w:pPr>
        <w:pStyle w:val="paragraphsub"/>
      </w:pPr>
      <w:r w:rsidRPr="00283424">
        <w:tab/>
        <w:t>(iii)</w:t>
      </w:r>
      <w:r w:rsidRPr="00283424">
        <w:tab/>
        <w:t xml:space="preserve">a </w:t>
      </w:r>
      <w:r w:rsidRPr="00283424">
        <w:rPr>
          <w:snapToGrid w:val="0"/>
        </w:rPr>
        <w:t>superannuation product (subject to the governing rules of the issuer of the superannuation product relevant to the redemption of superannuation interests)</w:t>
      </w:r>
      <w:r w:rsidRPr="00283424">
        <w:t>; and</w:t>
      </w:r>
    </w:p>
    <w:p w14:paraId="58D62800" w14:textId="77777777" w:rsidR="00E93F58" w:rsidRPr="00283424" w:rsidRDefault="00E93F58" w:rsidP="00B50726">
      <w:pPr>
        <w:pStyle w:val="paragraph"/>
      </w:pPr>
      <w:r w:rsidRPr="00283424">
        <w:rPr>
          <w:color w:val="000000"/>
        </w:rPr>
        <w:tab/>
        <w:t>(b)</w:t>
      </w:r>
      <w:r w:rsidRPr="00283424">
        <w:rPr>
          <w:color w:val="000000"/>
        </w:rPr>
        <w:tab/>
        <w:t xml:space="preserve">on the day on which the </w:t>
      </w:r>
      <w:r w:rsidRPr="00283424">
        <w:t>responsible person</w:t>
      </w:r>
      <w:r w:rsidRPr="00283424">
        <w:rPr>
          <w:color w:val="000000"/>
        </w:rPr>
        <w:t xml:space="preserve"> receives notification from the product holder exercising the holder’s right to return, the amount that would have been the price at which the product was acquired </w:t>
      </w:r>
      <w:r w:rsidRPr="00283424">
        <w:rPr>
          <w:color w:val="000000"/>
        </w:rPr>
        <w:lastRenderedPageBreak/>
        <w:t xml:space="preserve">(the </w:t>
      </w:r>
      <w:r w:rsidRPr="00283424">
        <w:rPr>
          <w:b/>
          <w:i/>
          <w:color w:val="000000"/>
        </w:rPr>
        <w:t>allocation price</w:t>
      </w:r>
      <w:r w:rsidRPr="00283424">
        <w:rPr>
          <w:color w:val="000000"/>
        </w:rPr>
        <w:t>) if the product had been acquired on that day is less than the allocation price on the day on which the product was acquired;</w:t>
      </w:r>
    </w:p>
    <w:p w14:paraId="2AC9673C" w14:textId="77777777" w:rsidR="00E93F58" w:rsidRPr="00283424" w:rsidRDefault="00E93F58" w:rsidP="00B50726">
      <w:pPr>
        <w:pStyle w:val="subsection2"/>
      </w:pPr>
      <w:r w:rsidRPr="00283424">
        <w:rPr>
          <w:color w:val="000000"/>
        </w:rPr>
        <w:t>the amount that would otherwise be repaid may be reduced by the adjustment amount.</w:t>
      </w:r>
    </w:p>
    <w:p w14:paraId="0B8A3D78" w14:textId="77777777" w:rsidR="00E93F58" w:rsidRPr="00283424" w:rsidRDefault="00E93F58" w:rsidP="00B50726">
      <w:pPr>
        <w:pStyle w:val="subsection"/>
      </w:pPr>
      <w:r w:rsidRPr="00283424">
        <w:tab/>
        <w:t>(3)</w:t>
      </w:r>
      <w:r w:rsidRPr="00283424">
        <w:tab/>
        <w:t>If:</w:t>
      </w:r>
    </w:p>
    <w:p w14:paraId="5164E1CF" w14:textId="77777777" w:rsidR="00E93F58" w:rsidRPr="00283424" w:rsidRDefault="00E93F58" w:rsidP="00B50726">
      <w:pPr>
        <w:pStyle w:val="paragraph"/>
      </w:pPr>
      <w:r w:rsidRPr="00283424">
        <w:tab/>
        <w:t>(a)</w:t>
      </w:r>
      <w:r w:rsidRPr="00283424">
        <w:tab/>
        <w:t>the financial product is:</w:t>
      </w:r>
    </w:p>
    <w:p w14:paraId="2637AB67" w14:textId="77777777" w:rsidR="00E93F58" w:rsidRPr="00283424" w:rsidRDefault="00E93F58" w:rsidP="00B50726">
      <w:pPr>
        <w:pStyle w:val="paragraphsub"/>
      </w:pPr>
      <w:r w:rsidRPr="00283424">
        <w:rPr>
          <w:color w:val="000000"/>
        </w:rPr>
        <w:tab/>
        <w:t>(i)</w:t>
      </w:r>
      <w:r w:rsidRPr="00283424">
        <w:rPr>
          <w:color w:val="000000"/>
        </w:rPr>
        <w:tab/>
        <w:t>an investment</w:t>
      </w:r>
      <w:r>
        <w:rPr>
          <w:color w:val="000000"/>
        </w:rPr>
        <w:noBreakHyphen/>
      </w:r>
      <w:r w:rsidRPr="00283424">
        <w:rPr>
          <w:color w:val="000000"/>
        </w:rPr>
        <w:t xml:space="preserve">linked product within the meaning given by the </w:t>
      </w:r>
      <w:r w:rsidRPr="00283424">
        <w:rPr>
          <w:i/>
          <w:color w:val="000000"/>
        </w:rPr>
        <w:t>Insurance Contracts Act 1984</w:t>
      </w:r>
      <w:r w:rsidRPr="00283424">
        <w:rPr>
          <w:color w:val="000000"/>
        </w:rPr>
        <w:t>; or</w:t>
      </w:r>
    </w:p>
    <w:p w14:paraId="40B742CB" w14:textId="77777777" w:rsidR="00E93F58" w:rsidRPr="00283424" w:rsidRDefault="00E93F58" w:rsidP="00B50726">
      <w:pPr>
        <w:pStyle w:val="paragraphsub"/>
      </w:pPr>
      <w:r w:rsidRPr="00283424">
        <w:tab/>
        <w:t>(ii)</w:t>
      </w:r>
      <w:r w:rsidRPr="00283424">
        <w:tab/>
        <w:t xml:space="preserve">a </w:t>
      </w:r>
      <w:r w:rsidRPr="00283424">
        <w:rPr>
          <w:snapToGrid w:val="0"/>
        </w:rPr>
        <w:t>managed investment product; or</w:t>
      </w:r>
    </w:p>
    <w:p w14:paraId="518A3E50" w14:textId="77777777" w:rsidR="00E93F58" w:rsidRPr="00283424" w:rsidRDefault="00E93F58" w:rsidP="00B50726">
      <w:pPr>
        <w:pStyle w:val="paragraphsub"/>
      </w:pPr>
      <w:r w:rsidRPr="00283424">
        <w:tab/>
        <w:t>(iia)</w:t>
      </w:r>
      <w:r w:rsidRPr="00283424">
        <w:tab/>
        <w:t>a foreign passport fund product; or</w:t>
      </w:r>
    </w:p>
    <w:p w14:paraId="3F85515D" w14:textId="77777777" w:rsidR="00E93F58" w:rsidRPr="00283424" w:rsidRDefault="00E93F58" w:rsidP="00B50726">
      <w:pPr>
        <w:pStyle w:val="paragraphsub"/>
      </w:pPr>
      <w:r w:rsidRPr="00283424">
        <w:tab/>
        <w:t>(iib)</w:t>
      </w:r>
      <w:r w:rsidRPr="00283424">
        <w:tab/>
        <w:t>a security in a CCIV; or</w:t>
      </w:r>
    </w:p>
    <w:p w14:paraId="788F2F81" w14:textId="77777777" w:rsidR="00E93F58" w:rsidRPr="00283424" w:rsidRDefault="00E93F58" w:rsidP="00B50726">
      <w:pPr>
        <w:pStyle w:val="paragraphsub"/>
      </w:pPr>
      <w:r w:rsidRPr="00283424">
        <w:tab/>
        <w:t>(iii)</w:t>
      </w:r>
      <w:r w:rsidRPr="00283424">
        <w:tab/>
        <w:t xml:space="preserve">a </w:t>
      </w:r>
      <w:r w:rsidRPr="00283424">
        <w:rPr>
          <w:snapToGrid w:val="0"/>
        </w:rPr>
        <w:t>superannuation product</w:t>
      </w:r>
      <w:r w:rsidRPr="00283424">
        <w:t>; and</w:t>
      </w:r>
    </w:p>
    <w:p w14:paraId="281E5616" w14:textId="77777777" w:rsidR="00E93F58" w:rsidRPr="00283424" w:rsidRDefault="00E93F58" w:rsidP="00B50726">
      <w:pPr>
        <w:pStyle w:val="paragraph"/>
      </w:pPr>
      <w:r w:rsidRPr="00283424">
        <w:rPr>
          <w:color w:val="000000"/>
        </w:rPr>
        <w:tab/>
        <w:t>(b)</w:t>
      </w:r>
      <w:r w:rsidRPr="00283424">
        <w:rPr>
          <w:color w:val="000000"/>
        </w:rPr>
        <w:tab/>
        <w:t xml:space="preserve">on the day on which the </w:t>
      </w:r>
      <w:r w:rsidRPr="00283424">
        <w:t>responsible person</w:t>
      </w:r>
      <w:r w:rsidRPr="00283424">
        <w:rPr>
          <w:color w:val="000000"/>
        </w:rPr>
        <w:t xml:space="preserve"> receives notification from the product holder exercising the holder’s right to return, the amount that would have been the price at which the product was acquired (the </w:t>
      </w:r>
      <w:r w:rsidRPr="00283424">
        <w:rPr>
          <w:b/>
          <w:i/>
          <w:color w:val="000000"/>
        </w:rPr>
        <w:t>allocation price</w:t>
      </w:r>
      <w:r w:rsidRPr="00283424">
        <w:rPr>
          <w:color w:val="000000"/>
        </w:rPr>
        <w:t>) if the product had been acquired on that day is greater than the allocation price on the day on which the product was acquired;</w:t>
      </w:r>
    </w:p>
    <w:p w14:paraId="2ED944F6" w14:textId="77777777" w:rsidR="00E93F58" w:rsidRPr="00283424" w:rsidRDefault="00E93F58" w:rsidP="00B50726">
      <w:pPr>
        <w:pStyle w:val="subsection2"/>
      </w:pPr>
      <w:r w:rsidRPr="00283424">
        <w:rPr>
          <w:color w:val="000000"/>
        </w:rPr>
        <w:t>the amount that would otherwise be repaid is increased by the adjustment amount.</w:t>
      </w:r>
    </w:p>
    <w:p w14:paraId="60376955" w14:textId="77777777" w:rsidR="00E93F58" w:rsidRPr="00283424" w:rsidRDefault="00E93F58" w:rsidP="00B50726">
      <w:pPr>
        <w:pStyle w:val="subsection"/>
      </w:pPr>
      <w:r w:rsidRPr="00283424">
        <w:tab/>
        <w:t>(4)</w:t>
      </w:r>
      <w:r w:rsidRPr="00283424">
        <w:tab/>
        <w:t xml:space="preserve">For subregulations (2) and (3), the </w:t>
      </w:r>
      <w:r w:rsidRPr="00283424">
        <w:rPr>
          <w:b/>
          <w:i/>
        </w:rPr>
        <w:t>adjustment amount</w:t>
      </w:r>
      <w:r w:rsidRPr="00283424">
        <w:t xml:space="preserve"> is the difference between:</w:t>
      </w:r>
    </w:p>
    <w:p w14:paraId="48D0C529" w14:textId="77777777" w:rsidR="00E93F58" w:rsidRPr="00283424" w:rsidRDefault="00E93F58" w:rsidP="00B50726">
      <w:pPr>
        <w:pStyle w:val="paragraph"/>
      </w:pPr>
      <w:r w:rsidRPr="00283424">
        <w:rPr>
          <w:color w:val="000000"/>
        </w:rPr>
        <w:tab/>
        <w:t>(a)</w:t>
      </w:r>
      <w:r w:rsidRPr="00283424">
        <w:rPr>
          <w:color w:val="000000"/>
        </w:rPr>
        <w:tab/>
        <w:t>the price at which the product was acquired; and</w:t>
      </w:r>
    </w:p>
    <w:p w14:paraId="0C288339" w14:textId="77777777" w:rsidR="00E93F58" w:rsidRPr="00283424" w:rsidRDefault="00E93F58" w:rsidP="00B50726">
      <w:pPr>
        <w:pStyle w:val="paragraph"/>
      </w:pPr>
      <w:r w:rsidRPr="00283424">
        <w:tab/>
        <w:t>(b)</w:t>
      </w:r>
      <w:r w:rsidRPr="00283424">
        <w:tab/>
        <w:t>the price at which the product could be acquired on the day on which the responsible person receives notification from the product holder exercising the holder’s right to return.</w:t>
      </w:r>
    </w:p>
    <w:p w14:paraId="093EE692" w14:textId="77777777" w:rsidR="00E93F58" w:rsidRPr="00283424" w:rsidRDefault="00E93F58" w:rsidP="00B50726">
      <w:pPr>
        <w:pStyle w:val="subsection"/>
      </w:pPr>
      <w:r w:rsidRPr="00283424">
        <w:tab/>
        <w:t>(5)</w:t>
      </w:r>
      <w:r w:rsidRPr="00283424">
        <w:tab/>
        <w:t>If the price referred to in paragraph (4)(b) is not determined under the relevant contract or legal relationship on the day on which the responsible person receives notification from the product holder exercising the holder’s right to return, the amount to be repaid and the adjustment amount is to be determined:</w:t>
      </w:r>
    </w:p>
    <w:p w14:paraId="4D201FBE" w14:textId="77777777" w:rsidR="00E93F58" w:rsidRPr="00283424" w:rsidRDefault="00E93F58" w:rsidP="00B50726">
      <w:pPr>
        <w:pStyle w:val="paragraph"/>
      </w:pPr>
      <w:r w:rsidRPr="00283424">
        <w:rPr>
          <w:color w:val="000000"/>
        </w:rPr>
        <w:tab/>
        <w:t>(a)</w:t>
      </w:r>
      <w:r w:rsidRPr="00283424">
        <w:rPr>
          <w:color w:val="000000"/>
        </w:rPr>
        <w:tab/>
        <w:t>on the basis of the most recent day on which a price was calculated under the contract or legal relationship; or</w:t>
      </w:r>
    </w:p>
    <w:p w14:paraId="646E9868" w14:textId="77777777" w:rsidR="00E93F58" w:rsidRPr="00283424" w:rsidRDefault="00E93F58" w:rsidP="00B50726">
      <w:pPr>
        <w:pStyle w:val="paragraph"/>
      </w:pPr>
      <w:r w:rsidRPr="00283424">
        <w:tab/>
        <w:t>(b)</w:t>
      </w:r>
      <w:r w:rsidRPr="00283424">
        <w:tab/>
        <w:t>if there is no day of that kind, as soon as practicable after the product issuer receives the notification.</w:t>
      </w:r>
    </w:p>
    <w:p w14:paraId="01D9CC90" w14:textId="77777777" w:rsidR="00E93F58" w:rsidRPr="00283424" w:rsidRDefault="00E93F58" w:rsidP="00B50726">
      <w:pPr>
        <w:pStyle w:val="SubsectionHead"/>
      </w:pPr>
      <w:r w:rsidRPr="00283424">
        <w:t>Tax</w:t>
      </w:r>
    </w:p>
    <w:p w14:paraId="1B8970AE" w14:textId="77777777" w:rsidR="00E93F58" w:rsidRPr="00283424" w:rsidRDefault="00E93F58" w:rsidP="00B50726">
      <w:pPr>
        <w:pStyle w:val="subsection"/>
      </w:pPr>
      <w:r w:rsidRPr="00283424">
        <w:tab/>
        <w:t>(6)</w:t>
      </w:r>
      <w:r w:rsidRPr="00283424">
        <w:tab/>
        <w:t>If:</w:t>
      </w:r>
    </w:p>
    <w:p w14:paraId="02B477D1" w14:textId="77777777" w:rsidR="00E93F58" w:rsidRPr="00283424" w:rsidRDefault="00E93F58" w:rsidP="00B50726">
      <w:pPr>
        <w:pStyle w:val="paragraph"/>
      </w:pPr>
      <w:r w:rsidRPr="00283424">
        <w:rPr>
          <w:color w:val="000000"/>
        </w:rPr>
        <w:tab/>
        <w:t>(a)</w:t>
      </w:r>
      <w:r w:rsidRPr="00283424">
        <w:rPr>
          <w:color w:val="000000"/>
        </w:rPr>
        <w:tab/>
        <w:t>tax or duty of any kind has been paid, or is payable, by the r</w:t>
      </w:r>
      <w:r w:rsidRPr="00283424">
        <w:t>esponsible person</w:t>
      </w:r>
      <w:r w:rsidRPr="00283424">
        <w:rPr>
          <w:color w:val="000000"/>
        </w:rPr>
        <w:t xml:space="preserve"> because of the issue of the financial product; and</w:t>
      </w:r>
    </w:p>
    <w:p w14:paraId="606544AC" w14:textId="77777777" w:rsidR="00E93F58" w:rsidRPr="00283424" w:rsidRDefault="00E93F58" w:rsidP="00B50726">
      <w:pPr>
        <w:pStyle w:val="paragraph"/>
      </w:pPr>
      <w:r w:rsidRPr="00283424">
        <w:tab/>
        <w:t>(b)</w:t>
      </w:r>
      <w:r w:rsidRPr="00283424">
        <w:tab/>
        <w:t>either:</w:t>
      </w:r>
    </w:p>
    <w:p w14:paraId="280859B9" w14:textId="77777777" w:rsidR="00E93F58" w:rsidRPr="00283424" w:rsidRDefault="00E93F58" w:rsidP="00B50726">
      <w:pPr>
        <w:pStyle w:val="paragraphsub"/>
      </w:pPr>
      <w:r w:rsidRPr="00283424">
        <w:rPr>
          <w:color w:val="000000"/>
        </w:rPr>
        <w:tab/>
        <w:t>(i)</w:t>
      </w:r>
      <w:r w:rsidRPr="00283424">
        <w:rPr>
          <w:color w:val="000000"/>
        </w:rPr>
        <w:tab/>
        <w:t xml:space="preserve">if the tax or duty has been paid, the </w:t>
      </w:r>
      <w:r w:rsidRPr="00283424">
        <w:t>responsible person</w:t>
      </w:r>
      <w:r w:rsidRPr="00283424">
        <w:rPr>
          <w:color w:val="000000"/>
        </w:rPr>
        <w:t xml:space="preserve"> is unable to obtain a refund of the tax or duty; or</w:t>
      </w:r>
    </w:p>
    <w:p w14:paraId="6366D384" w14:textId="77777777" w:rsidR="00E93F58" w:rsidRPr="00283424" w:rsidRDefault="00E93F58" w:rsidP="00B50726">
      <w:pPr>
        <w:pStyle w:val="paragraphsub"/>
      </w:pPr>
      <w:r w:rsidRPr="00283424">
        <w:tab/>
        <w:t>(ii)</w:t>
      </w:r>
      <w:r w:rsidRPr="00283424">
        <w:tab/>
        <w:t>if the tax or duty has not been paid, the tax or duty does not cease to be payable as a result of the exercise of the right to return the financial product;</w:t>
      </w:r>
    </w:p>
    <w:p w14:paraId="7ACD4977" w14:textId="77777777" w:rsidR="00E93F58" w:rsidRPr="00283424" w:rsidRDefault="00E93F58" w:rsidP="00B50726">
      <w:pPr>
        <w:pStyle w:val="subsection2"/>
      </w:pPr>
      <w:r w:rsidRPr="00283424">
        <w:rPr>
          <w:color w:val="000000"/>
        </w:rPr>
        <w:t>the amount that would otherwise be repaid is reduced by the amount of the tax or duty.</w:t>
      </w:r>
    </w:p>
    <w:p w14:paraId="30884441" w14:textId="77777777" w:rsidR="00E93F58" w:rsidRPr="00283424" w:rsidRDefault="00E93F58" w:rsidP="00B50726">
      <w:pPr>
        <w:pStyle w:val="SubsectionHead"/>
      </w:pPr>
      <w:r w:rsidRPr="00283424">
        <w:t>Certain financial products</w:t>
      </w:r>
    </w:p>
    <w:p w14:paraId="76AF4C59" w14:textId="77777777" w:rsidR="00E93F58" w:rsidRPr="00283424" w:rsidRDefault="00E93F58" w:rsidP="00B50726">
      <w:pPr>
        <w:pStyle w:val="subsection"/>
        <w:rPr>
          <w:snapToGrid w:val="0"/>
        </w:rPr>
      </w:pPr>
      <w:r w:rsidRPr="00283424">
        <w:tab/>
        <w:t>(7)</w:t>
      </w:r>
      <w:r w:rsidRPr="00283424">
        <w:tab/>
        <w:t xml:space="preserve">The amount that would otherwise be repaid in relation to the return of a financial product (other than an </w:t>
      </w:r>
      <w:r w:rsidRPr="00BE1284">
        <w:t>RSA</w:t>
      </w:r>
      <w:r w:rsidRPr="00283424">
        <w:t xml:space="preserve">) may be reduced </w:t>
      </w:r>
      <w:r w:rsidRPr="00283424">
        <w:rPr>
          <w:snapToGrid w:val="0"/>
        </w:rPr>
        <w:t xml:space="preserve">to account for reasonable administrative and transaction costs (other than the payment of commissions or similar benefits) </w:t>
      </w:r>
      <w:r w:rsidRPr="00283424">
        <w:t>incurred by the responsible person</w:t>
      </w:r>
      <w:r w:rsidRPr="00283424">
        <w:rPr>
          <w:snapToGrid w:val="0"/>
        </w:rPr>
        <w:t xml:space="preserve"> that:</w:t>
      </w:r>
    </w:p>
    <w:p w14:paraId="3E10F143" w14:textId="77777777" w:rsidR="00E93F58" w:rsidRPr="00283424" w:rsidRDefault="00E93F58" w:rsidP="00B50726">
      <w:pPr>
        <w:pStyle w:val="paragraph"/>
      </w:pPr>
      <w:r w:rsidRPr="00283424">
        <w:rPr>
          <w:snapToGrid w:val="0"/>
          <w:color w:val="000000"/>
        </w:rPr>
        <w:tab/>
        <w:t>(a)</w:t>
      </w:r>
      <w:r w:rsidRPr="00283424">
        <w:rPr>
          <w:snapToGrid w:val="0"/>
          <w:color w:val="000000"/>
        </w:rPr>
        <w:tab/>
        <w:t>are reasonably related to the acquisition of the financial product and the subsequent termination of the contract or legal relationship</w:t>
      </w:r>
      <w:r w:rsidRPr="00283424">
        <w:rPr>
          <w:color w:val="000000"/>
        </w:rPr>
        <w:t>; and</w:t>
      </w:r>
    </w:p>
    <w:p w14:paraId="2B0465CB" w14:textId="77777777" w:rsidR="00E93F58" w:rsidRPr="00283424" w:rsidRDefault="00E93F58" w:rsidP="00B50726">
      <w:pPr>
        <w:pStyle w:val="paragraph"/>
      </w:pPr>
      <w:r w:rsidRPr="00283424">
        <w:tab/>
        <w:t>(b)</w:t>
      </w:r>
      <w:r w:rsidRPr="00283424">
        <w:tab/>
        <w:t>do not exceed the true cost of an arms’ length transaction.</w:t>
      </w:r>
    </w:p>
    <w:p w14:paraId="62C1D70A" w14:textId="77777777" w:rsidR="00E93F58" w:rsidRPr="00283424" w:rsidRDefault="00E93F58" w:rsidP="00B50726">
      <w:pPr>
        <w:pStyle w:val="SubsectionHead"/>
      </w:pPr>
      <w:r w:rsidRPr="00283424">
        <w:t>Financial product issued for specific period</w:t>
      </w:r>
    </w:p>
    <w:p w14:paraId="4163809C" w14:textId="77777777" w:rsidR="00E93F58" w:rsidRPr="00283424" w:rsidRDefault="00E93F58" w:rsidP="00B50726">
      <w:pPr>
        <w:pStyle w:val="subsection"/>
      </w:pPr>
      <w:r w:rsidRPr="00283424">
        <w:tab/>
        <w:t>(8)</w:t>
      </w:r>
      <w:r w:rsidRPr="00283424">
        <w:tab/>
        <w:t>If:</w:t>
      </w:r>
    </w:p>
    <w:p w14:paraId="2149C2AE" w14:textId="77777777" w:rsidR="00E93F58" w:rsidRPr="00283424" w:rsidRDefault="00E93F58" w:rsidP="00B50726">
      <w:pPr>
        <w:pStyle w:val="paragraph"/>
      </w:pPr>
      <w:r w:rsidRPr="00283424">
        <w:tab/>
        <w:t>(a)</w:t>
      </w:r>
      <w:r w:rsidRPr="00283424">
        <w:tab/>
        <w:t>the financial product is:</w:t>
      </w:r>
    </w:p>
    <w:p w14:paraId="25BE572B" w14:textId="77777777" w:rsidR="00E93F58" w:rsidRPr="00283424" w:rsidRDefault="00E93F58" w:rsidP="00B50726">
      <w:pPr>
        <w:pStyle w:val="paragraphsub"/>
      </w:pPr>
      <w:r w:rsidRPr="00283424">
        <w:rPr>
          <w:color w:val="000000"/>
        </w:rPr>
        <w:tab/>
        <w:t>(i)</w:t>
      </w:r>
      <w:r w:rsidRPr="00283424">
        <w:rPr>
          <w:color w:val="000000"/>
        </w:rPr>
        <w:tab/>
        <w:t>a risk insurance product; or</w:t>
      </w:r>
    </w:p>
    <w:p w14:paraId="1222CAD1" w14:textId="77777777" w:rsidR="00E93F58" w:rsidRPr="00283424" w:rsidRDefault="00E93F58" w:rsidP="00B50726">
      <w:pPr>
        <w:pStyle w:val="paragraphsub"/>
      </w:pPr>
      <w:r w:rsidRPr="00283424">
        <w:tab/>
        <w:t>(ii)</w:t>
      </w:r>
      <w:r w:rsidRPr="00283424">
        <w:tab/>
        <w:t>that part of a financial product that is a risk insurance product; and</w:t>
      </w:r>
    </w:p>
    <w:p w14:paraId="5BCB5E42" w14:textId="77777777" w:rsidR="00E93F58" w:rsidRPr="00283424" w:rsidRDefault="00E93F58" w:rsidP="00B50726">
      <w:pPr>
        <w:pStyle w:val="paragraph"/>
      </w:pPr>
      <w:r w:rsidRPr="00283424">
        <w:tab/>
        <w:t>(b)</w:t>
      </w:r>
      <w:r w:rsidRPr="00283424">
        <w:tab/>
        <w:t>either:</w:t>
      </w:r>
    </w:p>
    <w:p w14:paraId="23EBFBDF" w14:textId="77777777" w:rsidR="00E93F58" w:rsidRPr="00283424" w:rsidRDefault="00E93F58" w:rsidP="00B50726">
      <w:pPr>
        <w:pStyle w:val="paragraphsub"/>
      </w:pPr>
      <w:r w:rsidRPr="00283424">
        <w:tab/>
        <w:t>(i)</w:t>
      </w:r>
      <w:r w:rsidRPr="00283424">
        <w:tab/>
        <w:t>the financial product has been issued for a specific period; or</w:t>
      </w:r>
    </w:p>
    <w:p w14:paraId="2F2A5116" w14:textId="77777777" w:rsidR="00E93F58" w:rsidRPr="00283424" w:rsidRDefault="00E93F58" w:rsidP="00B50726">
      <w:pPr>
        <w:pStyle w:val="paragraphsub"/>
      </w:pPr>
      <w:r w:rsidRPr="00283424">
        <w:tab/>
        <w:t>(ii)</w:t>
      </w:r>
      <w:r w:rsidRPr="00283424">
        <w:tab/>
        <w:t>the premium for the financial product has been paid in relation to cover for a specific period; and</w:t>
      </w:r>
    </w:p>
    <w:p w14:paraId="05757FE1" w14:textId="77777777" w:rsidR="00E93F58" w:rsidRPr="00283424" w:rsidRDefault="00E93F58" w:rsidP="00B50726">
      <w:pPr>
        <w:pStyle w:val="paragraph"/>
      </w:pPr>
      <w:r w:rsidRPr="00283424">
        <w:rPr>
          <w:color w:val="000000"/>
        </w:rPr>
        <w:lastRenderedPageBreak/>
        <w:tab/>
        <w:t>(c)</w:t>
      </w:r>
      <w:r w:rsidRPr="00283424">
        <w:rPr>
          <w:color w:val="000000"/>
        </w:rPr>
        <w:tab/>
        <w:t>a proportion of that period has already passed when the right to return the risk insurance product is exercised;</w:t>
      </w:r>
    </w:p>
    <w:p w14:paraId="07B787C6" w14:textId="77777777" w:rsidR="00E93F58" w:rsidRPr="00283424" w:rsidRDefault="00E93F58" w:rsidP="00B50726">
      <w:pPr>
        <w:pStyle w:val="subsection2"/>
      </w:pPr>
      <w:r w:rsidRPr="00283424">
        <w:rPr>
          <w:color w:val="000000"/>
        </w:rPr>
        <w:t>the amount that would otherwise be repaid may be reduced by a proportion equal to the proportion of the period that has passed.</w:t>
      </w:r>
    </w:p>
    <w:p w14:paraId="26E070C7" w14:textId="77777777" w:rsidR="00E93F58" w:rsidRPr="00283424" w:rsidRDefault="00E93F58" w:rsidP="00B50726">
      <w:pPr>
        <w:pStyle w:val="SubsectionHead"/>
      </w:pPr>
      <w:r w:rsidRPr="00283424">
        <w:t>General</w:t>
      </w:r>
    </w:p>
    <w:p w14:paraId="0B533E77" w14:textId="77777777" w:rsidR="00E93F58" w:rsidRPr="00283424" w:rsidRDefault="00E93F58" w:rsidP="00B50726">
      <w:pPr>
        <w:pStyle w:val="subsection"/>
      </w:pPr>
      <w:r w:rsidRPr="00283424">
        <w:tab/>
        <w:t>(9)</w:t>
      </w:r>
      <w:r w:rsidRPr="00283424">
        <w:tab/>
        <w:t>If the financial product is subject to a distribution to which subregulation 7.9.70(2) applies, the amount that would otherwise be repaid may be reduced by the amount of that distribution.</w:t>
      </w:r>
    </w:p>
    <w:p w14:paraId="1390093D" w14:textId="77777777" w:rsidR="00E93F58" w:rsidRPr="00283424" w:rsidRDefault="00E93F58" w:rsidP="00B50726">
      <w:pPr>
        <w:pStyle w:val="ActHead5"/>
      </w:pPr>
      <w:bookmarkStart w:id="1917" w:name="_Toc152054934"/>
      <w:bookmarkStart w:id="1918" w:name="_Toc158712750"/>
      <w:r w:rsidRPr="006F296E">
        <w:rPr>
          <w:rStyle w:val="CharSectno"/>
        </w:rPr>
        <w:t>7.9.68</w:t>
      </w:r>
      <w:r w:rsidRPr="00283424">
        <w:t xml:space="preserve">  Modification of section 1019B of the Act: client includes standard employer</w:t>
      </w:r>
      <w:r>
        <w:noBreakHyphen/>
      </w:r>
      <w:r w:rsidRPr="00283424">
        <w:t>sponsor</w:t>
      </w:r>
      <w:bookmarkEnd w:id="1917"/>
      <w:bookmarkEnd w:id="1918"/>
    </w:p>
    <w:p w14:paraId="17BF30DF" w14:textId="77777777" w:rsidR="00E93F58" w:rsidRPr="00283424" w:rsidRDefault="00E93F58" w:rsidP="00B50726">
      <w:pPr>
        <w:pStyle w:val="subsection"/>
      </w:pPr>
      <w:r w:rsidRPr="00283424">
        <w:rPr>
          <w:color w:val="000000"/>
        </w:rPr>
        <w:tab/>
        <w:t>(1)</w:t>
      </w:r>
      <w:r w:rsidRPr="00283424">
        <w:rPr>
          <w:color w:val="000000"/>
        </w:rPr>
        <w:tab/>
      </w:r>
      <w:r w:rsidRPr="00283424">
        <w:t>For paragraph 1020G(1)(c) of the Act, subsection 1019A(1) and paragraph 1019A(3)(a)</w:t>
      </w:r>
      <w:r w:rsidRPr="00283424">
        <w:rPr>
          <w:color w:val="000000"/>
        </w:rPr>
        <w:t xml:space="preserve"> of the Act are modified so that a reference in </w:t>
      </w:r>
      <w:r w:rsidRPr="00283424">
        <w:t>those provisions</w:t>
      </w:r>
      <w:r w:rsidRPr="00283424">
        <w:rPr>
          <w:color w:val="000000"/>
        </w:rPr>
        <w:t xml:space="preserve"> to a client includes </w:t>
      </w:r>
      <w:r w:rsidRPr="00283424">
        <w:t>a standard employer</w:t>
      </w:r>
      <w:r>
        <w:noBreakHyphen/>
      </w:r>
      <w:r w:rsidRPr="00283424">
        <w:t>sponsor in respect of the issue of a superannuation product to an employee of the standard employer</w:t>
      </w:r>
      <w:r>
        <w:noBreakHyphen/>
      </w:r>
      <w:r w:rsidRPr="00283424">
        <w:t>sponsor as a standard employer</w:t>
      </w:r>
      <w:r>
        <w:noBreakHyphen/>
      </w:r>
      <w:r w:rsidRPr="00283424">
        <w:t>sponsored member in accordance with subparagraph 1016A(2)(b)(iii) of the Act.</w:t>
      </w:r>
    </w:p>
    <w:p w14:paraId="1CC287F9" w14:textId="77777777" w:rsidR="00E93F58" w:rsidRPr="00283424" w:rsidRDefault="00E93F58" w:rsidP="00B50726">
      <w:pPr>
        <w:pStyle w:val="subsection"/>
      </w:pPr>
      <w:r w:rsidRPr="00283424">
        <w:tab/>
        <w:t>(2)</w:t>
      </w:r>
      <w:r w:rsidRPr="00283424">
        <w:tab/>
        <w:t>For paragraph 1020G(1)(c) of the Act, subsection 1019B(1) of the Act is modified in its application to the issue of a superannuation product mentioned in subregulation (1) as if a reference in subsection 1019B(1) to money paid to acquire a financial product were a reference to all monies paid in relation to the superannuation product.</w:t>
      </w:r>
    </w:p>
    <w:p w14:paraId="6DE70E55" w14:textId="77777777" w:rsidR="00E93F58" w:rsidRPr="00283424" w:rsidRDefault="00E93F58" w:rsidP="00B50726">
      <w:pPr>
        <w:pStyle w:val="subsection"/>
      </w:pPr>
      <w:r w:rsidRPr="00283424">
        <w:tab/>
        <w:t>(3)</w:t>
      </w:r>
      <w:r w:rsidRPr="00283424">
        <w:tab/>
        <w:t>For subsection 1019B(2) of the Act, it is a requirement of the exercise of the right to return a superannuation product mentioned in subregulation (1) that, if the monies to be repaid include employer contributions (whether or not they are mandated employer contributions), the standard employer</w:t>
      </w:r>
      <w:r>
        <w:noBreakHyphen/>
      </w:r>
      <w:r w:rsidRPr="00283424">
        <w:t>sponsor must nominate a superannuation fund, approved deposit fund or RSA into which the employer contributions are to be repaid.</w:t>
      </w:r>
    </w:p>
    <w:p w14:paraId="541DB988" w14:textId="77777777" w:rsidR="00E93F58" w:rsidRPr="00283424" w:rsidRDefault="00E93F58" w:rsidP="00B50726">
      <w:pPr>
        <w:pStyle w:val="subsection"/>
      </w:pPr>
      <w:r w:rsidRPr="00283424">
        <w:tab/>
        <w:t>(4)</w:t>
      </w:r>
      <w:r w:rsidRPr="00283424">
        <w:tab/>
        <w:t>The right of return is taken to have been exercised only on receipt by the responsible person of the nomination.</w:t>
      </w:r>
    </w:p>
    <w:p w14:paraId="13636A8E" w14:textId="77777777" w:rsidR="00E93F58" w:rsidRPr="00283424" w:rsidRDefault="00E93F58" w:rsidP="00B50726">
      <w:pPr>
        <w:pStyle w:val="subsection"/>
      </w:pPr>
      <w:r w:rsidRPr="00283424">
        <w:tab/>
        <w:t>(5)</w:t>
      </w:r>
      <w:r w:rsidRPr="00283424">
        <w:tab/>
        <w:t>The standard employer</w:t>
      </w:r>
      <w:r>
        <w:noBreakHyphen/>
      </w:r>
      <w:r w:rsidRPr="00283424">
        <w:t>sponsor must make the nomination not later than 1 month after notifying the responsible person of the right to exercise the right of return.</w:t>
      </w:r>
    </w:p>
    <w:p w14:paraId="67FB7C63" w14:textId="77777777" w:rsidR="00E93F58" w:rsidRPr="00283424" w:rsidRDefault="00E93F58" w:rsidP="00B50726">
      <w:pPr>
        <w:pStyle w:val="subsection"/>
      </w:pPr>
      <w:r w:rsidRPr="00283424">
        <w:tab/>
        <w:t>(6)</w:t>
      </w:r>
      <w:r w:rsidRPr="00283424">
        <w:tab/>
      </w:r>
      <w:r w:rsidRPr="00283424">
        <w:rPr>
          <w:color w:val="000000"/>
        </w:rPr>
        <w:t xml:space="preserve">The </w:t>
      </w:r>
      <w:r w:rsidRPr="00283424">
        <w:t>standard employer</w:t>
      </w:r>
      <w:r>
        <w:noBreakHyphen/>
      </w:r>
      <w:r w:rsidRPr="00283424">
        <w:t>sponsor</w:t>
      </w:r>
      <w:r w:rsidRPr="00283424">
        <w:rPr>
          <w:color w:val="000000"/>
        </w:rPr>
        <w:t xml:space="preserve"> must notify the </w:t>
      </w:r>
      <w:r w:rsidRPr="00283424">
        <w:t>responsible person</w:t>
      </w:r>
      <w:r w:rsidRPr="00283424">
        <w:rPr>
          <w:color w:val="000000"/>
        </w:rPr>
        <w:t xml:space="preserve"> in writing or by electronic means</w:t>
      </w:r>
      <w:r w:rsidRPr="00283424">
        <w:t>.</w:t>
      </w:r>
    </w:p>
    <w:p w14:paraId="35DFC1A6" w14:textId="77777777" w:rsidR="00E93F58" w:rsidRPr="00283424" w:rsidRDefault="00E93F58" w:rsidP="00B50726">
      <w:pPr>
        <w:pStyle w:val="subsection"/>
      </w:pPr>
      <w:r w:rsidRPr="00283424">
        <w:tab/>
        <w:t>(7)</w:t>
      </w:r>
      <w:r w:rsidRPr="00283424">
        <w:tab/>
        <w:t>For subsection 1019B(7) of the Act, if the right of return is exercised by a standard employer</w:t>
      </w:r>
      <w:r>
        <w:noBreakHyphen/>
      </w:r>
      <w:r w:rsidRPr="00283424">
        <w:t>sponsor under this regulation, the responsible person must return the money as directed.</w:t>
      </w:r>
    </w:p>
    <w:p w14:paraId="6414D56B" w14:textId="77777777" w:rsidR="00E93F58" w:rsidRPr="00283424" w:rsidRDefault="00E93F58" w:rsidP="00B50726">
      <w:pPr>
        <w:pStyle w:val="subsection"/>
      </w:pPr>
      <w:r w:rsidRPr="00283424">
        <w:tab/>
        <w:t>(8)</w:t>
      </w:r>
      <w:r w:rsidRPr="00283424">
        <w:tab/>
        <w:t>For subsection 1019B(7) of the Act, if the right of return is exercised by a standard employer</w:t>
      </w:r>
      <w:r>
        <w:noBreakHyphen/>
      </w:r>
      <w:r w:rsidRPr="00283424">
        <w:t>sponsor under this regulation, and if the monies to be repaid include monies paid in relation to the superannuation product by the standard employer</w:t>
      </w:r>
      <w:r>
        <w:noBreakHyphen/>
      </w:r>
      <w:r w:rsidRPr="00283424">
        <w:t xml:space="preserve">sponsored member (including monies rolled over or transferred from another superannuation entity or RSA) (the </w:t>
      </w:r>
      <w:r w:rsidRPr="00283424">
        <w:rPr>
          <w:b/>
          <w:i/>
        </w:rPr>
        <w:t>relevant monies</w:t>
      </w:r>
      <w:r w:rsidRPr="00283424">
        <w:t>) the relevant monies are to be paid by the responsible person:</w:t>
      </w:r>
    </w:p>
    <w:p w14:paraId="0E4C5B17" w14:textId="77777777" w:rsidR="00E93F58" w:rsidRPr="00283424" w:rsidRDefault="00E93F58" w:rsidP="00B50726">
      <w:pPr>
        <w:pStyle w:val="paragraph"/>
      </w:pPr>
      <w:r w:rsidRPr="00283424">
        <w:tab/>
        <w:t>(a)</w:t>
      </w:r>
      <w:r w:rsidRPr="00283424">
        <w:tab/>
        <w:t>in respect of benefits defined under the SIS Regulations as a restricted non</w:t>
      </w:r>
      <w:r>
        <w:noBreakHyphen/>
      </w:r>
      <w:r w:rsidRPr="00283424">
        <w:t>preserved benefits or preserved benefits (</w:t>
      </w:r>
      <w:r w:rsidRPr="00283424">
        <w:rPr>
          <w:b/>
          <w:i/>
        </w:rPr>
        <w:t>restricted monies</w:t>
      </w:r>
      <w:r w:rsidRPr="00283424">
        <w:t>)—to a superannuation entity or RSA as directed by the standard employer</w:t>
      </w:r>
      <w:r>
        <w:noBreakHyphen/>
      </w:r>
      <w:r w:rsidRPr="00283424">
        <w:t>sponsored member; or</w:t>
      </w:r>
    </w:p>
    <w:p w14:paraId="224F4671" w14:textId="77777777" w:rsidR="00E93F58" w:rsidRPr="00283424" w:rsidRDefault="00E93F58" w:rsidP="00B50726">
      <w:pPr>
        <w:pStyle w:val="paragraph"/>
      </w:pPr>
      <w:r w:rsidRPr="00283424">
        <w:tab/>
        <w:t>(b)</w:t>
      </w:r>
      <w:r w:rsidRPr="00283424">
        <w:tab/>
        <w:t>in respect of any other relevant monies paid by the standard employer</w:t>
      </w:r>
      <w:r>
        <w:noBreakHyphen/>
      </w:r>
      <w:r w:rsidRPr="00283424">
        <w:t>sponsored member—as directed by the standard employer</w:t>
      </w:r>
      <w:r>
        <w:noBreakHyphen/>
      </w:r>
      <w:r w:rsidRPr="00283424">
        <w:t>sponsored member.</w:t>
      </w:r>
    </w:p>
    <w:p w14:paraId="564E22A8" w14:textId="77777777" w:rsidR="00E93F58" w:rsidRPr="00283424" w:rsidRDefault="00E93F58" w:rsidP="00B50726">
      <w:pPr>
        <w:pStyle w:val="subsection"/>
      </w:pPr>
      <w:r w:rsidRPr="00283424">
        <w:tab/>
        <w:t>(9)</w:t>
      </w:r>
      <w:r w:rsidRPr="00283424">
        <w:tab/>
        <w:t>For subsection 1019B(7) of the Act, if:</w:t>
      </w:r>
    </w:p>
    <w:p w14:paraId="0E947D6C" w14:textId="77777777" w:rsidR="00E93F58" w:rsidRPr="00283424" w:rsidRDefault="00E93F58" w:rsidP="00B50726">
      <w:pPr>
        <w:pStyle w:val="paragraph"/>
      </w:pPr>
      <w:r w:rsidRPr="00283424">
        <w:tab/>
        <w:t>(a)</w:t>
      </w:r>
      <w:r w:rsidRPr="00283424">
        <w:tab/>
        <w:t>a financial product mentioned in this regulation is subject to the nomination of a further superannuation entity or RSA; and</w:t>
      </w:r>
    </w:p>
    <w:p w14:paraId="719C4B68" w14:textId="77777777" w:rsidR="00E93F58" w:rsidRPr="00283424" w:rsidRDefault="00E93F58" w:rsidP="00B50726">
      <w:pPr>
        <w:pStyle w:val="paragraph"/>
      </w:pPr>
      <w:r w:rsidRPr="00283424">
        <w:tab/>
        <w:t>(b)</w:t>
      </w:r>
      <w:r w:rsidRPr="00283424">
        <w:tab/>
        <w:t>the application in relation to the issue of a financial product is not accepted by the nominated superannuation entity or RSA;</w:t>
      </w:r>
    </w:p>
    <w:p w14:paraId="1405D74F" w14:textId="77777777" w:rsidR="00E93F58" w:rsidRPr="00283424" w:rsidRDefault="00E93F58" w:rsidP="00B50726">
      <w:pPr>
        <w:pStyle w:val="subsection2"/>
      </w:pPr>
      <w:r w:rsidRPr="00283424">
        <w:t>the responsible person may rollover or transfer the holder’s benefits to an eligible rollover fund.</w:t>
      </w:r>
    </w:p>
    <w:p w14:paraId="3F21B55C" w14:textId="77777777" w:rsidR="00E93F58" w:rsidRPr="00283424" w:rsidRDefault="00E93F58" w:rsidP="00B50726">
      <w:pPr>
        <w:pStyle w:val="ActHead5"/>
      </w:pPr>
      <w:bookmarkStart w:id="1919" w:name="_Toc152054935"/>
      <w:bookmarkStart w:id="1920" w:name="_Toc158712751"/>
      <w:r w:rsidRPr="006F296E">
        <w:rPr>
          <w:rStyle w:val="CharSectno"/>
        </w:rPr>
        <w:t>7.9.69</w:t>
      </w:r>
      <w:r w:rsidRPr="00283424">
        <w:t xml:space="preserve">  Modification of provisions of Division 5 of Part 7.9 of the Act: terms of contract</w:t>
      </w:r>
      <w:bookmarkEnd w:id="1919"/>
      <w:bookmarkEnd w:id="1920"/>
    </w:p>
    <w:p w14:paraId="0B376517" w14:textId="77777777" w:rsidR="00E93F58" w:rsidRPr="00283424" w:rsidRDefault="00E93F58" w:rsidP="00B50726">
      <w:pPr>
        <w:pStyle w:val="subsection"/>
        <w:keepNext/>
        <w:keepLines/>
      </w:pPr>
      <w:r w:rsidRPr="00283424">
        <w:tab/>
        <w:t>(1)</w:t>
      </w:r>
      <w:r w:rsidRPr="00283424">
        <w:tab/>
        <w:t>For paragraph 1020G(2)(a) of the Act, this regulation applies in relation to the following financial products:</w:t>
      </w:r>
    </w:p>
    <w:p w14:paraId="672DCE96" w14:textId="77777777" w:rsidR="00E93F58" w:rsidRPr="00283424" w:rsidRDefault="00E93F58" w:rsidP="00B50726">
      <w:pPr>
        <w:pStyle w:val="paragraph"/>
        <w:rPr>
          <w:color w:val="000000"/>
        </w:rPr>
      </w:pPr>
      <w:r w:rsidRPr="00283424">
        <w:rPr>
          <w:color w:val="000000"/>
        </w:rPr>
        <w:tab/>
        <w:t>(a)</w:t>
      </w:r>
      <w:r w:rsidRPr="00283424">
        <w:rPr>
          <w:color w:val="000000"/>
        </w:rPr>
        <w:tab/>
        <w:t>an investment</w:t>
      </w:r>
      <w:r>
        <w:rPr>
          <w:color w:val="000000"/>
        </w:rPr>
        <w:noBreakHyphen/>
      </w:r>
      <w:r w:rsidRPr="00283424">
        <w:rPr>
          <w:color w:val="000000"/>
        </w:rPr>
        <w:t xml:space="preserve">linked product within the meaning of the </w:t>
      </w:r>
      <w:r w:rsidRPr="00283424">
        <w:rPr>
          <w:i/>
          <w:color w:val="000000"/>
        </w:rPr>
        <w:t>Insurance Contracts Act 1984</w:t>
      </w:r>
      <w:r w:rsidRPr="00283424">
        <w:rPr>
          <w:color w:val="000000"/>
        </w:rPr>
        <w:t>;</w:t>
      </w:r>
    </w:p>
    <w:p w14:paraId="635B4946" w14:textId="77777777" w:rsidR="00E93F58" w:rsidRPr="00283424" w:rsidRDefault="00E93F58" w:rsidP="00B50726">
      <w:pPr>
        <w:pStyle w:val="paragraph"/>
        <w:rPr>
          <w:snapToGrid w:val="0"/>
        </w:rPr>
      </w:pPr>
      <w:r w:rsidRPr="00283424">
        <w:tab/>
        <w:t>(b)</w:t>
      </w:r>
      <w:r w:rsidRPr="00283424">
        <w:tab/>
        <w:t xml:space="preserve">a </w:t>
      </w:r>
      <w:r w:rsidRPr="00283424">
        <w:rPr>
          <w:snapToGrid w:val="0"/>
        </w:rPr>
        <w:t>managed investment product;</w:t>
      </w:r>
    </w:p>
    <w:p w14:paraId="4016FB24" w14:textId="77777777" w:rsidR="00E93F58" w:rsidRPr="00283424" w:rsidRDefault="00E93F58" w:rsidP="00B50726">
      <w:pPr>
        <w:pStyle w:val="paragraph"/>
      </w:pPr>
      <w:r w:rsidRPr="00283424">
        <w:tab/>
        <w:t>(ba)</w:t>
      </w:r>
      <w:r w:rsidRPr="00283424">
        <w:tab/>
        <w:t>a foreign passport fund product;</w:t>
      </w:r>
    </w:p>
    <w:p w14:paraId="4CAD5F75" w14:textId="77777777" w:rsidR="00E93F58" w:rsidRPr="00283424" w:rsidRDefault="00E93F58" w:rsidP="00B50726">
      <w:pPr>
        <w:pStyle w:val="paragraph"/>
        <w:rPr>
          <w:snapToGrid w:val="0"/>
        </w:rPr>
      </w:pPr>
      <w:r w:rsidRPr="00283424">
        <w:tab/>
        <w:t>(c)</w:t>
      </w:r>
      <w:r w:rsidRPr="00283424">
        <w:tab/>
        <w:t xml:space="preserve">a </w:t>
      </w:r>
      <w:r w:rsidRPr="00283424">
        <w:rPr>
          <w:snapToGrid w:val="0"/>
        </w:rPr>
        <w:t>superannuation product</w:t>
      </w:r>
      <w:r w:rsidRPr="00283424">
        <w:t>;</w:t>
      </w:r>
    </w:p>
    <w:p w14:paraId="3233DB01" w14:textId="77777777" w:rsidR="00E93F58" w:rsidRPr="00283424" w:rsidRDefault="00E93F58" w:rsidP="00B50726">
      <w:pPr>
        <w:pStyle w:val="paragraph"/>
      </w:pPr>
      <w:r w:rsidRPr="00283424">
        <w:lastRenderedPageBreak/>
        <w:tab/>
        <w:t>(d)</w:t>
      </w:r>
      <w:r w:rsidRPr="00283424">
        <w:tab/>
        <w:t>a security in a CCIV.</w:t>
      </w:r>
    </w:p>
    <w:p w14:paraId="0A65847E" w14:textId="77777777" w:rsidR="00E93F58" w:rsidRPr="00283424" w:rsidRDefault="00E93F58" w:rsidP="00B50726">
      <w:pPr>
        <w:pStyle w:val="subsection"/>
        <w:rPr>
          <w:snapToGrid w:val="0"/>
        </w:rPr>
      </w:pPr>
      <w:r w:rsidRPr="00283424">
        <w:tab/>
        <w:t>(2)</w:t>
      </w:r>
      <w:r w:rsidRPr="00283424">
        <w:tab/>
        <w:t xml:space="preserve">Division 5 of Part 7.9 of the Act is modified to the extent necessary to provide that a </w:t>
      </w:r>
      <w:r w:rsidRPr="00283424">
        <w:rPr>
          <w:snapToGrid w:val="0"/>
        </w:rPr>
        <w:t xml:space="preserve">contract or legal relationship governing the issue and redemption of the financial product </w:t>
      </w:r>
      <w:r w:rsidRPr="00283424">
        <w:t>is taken to include</w:t>
      </w:r>
      <w:r w:rsidRPr="00283424">
        <w:rPr>
          <w:snapToGrid w:val="0"/>
        </w:rPr>
        <w:t xml:space="preserve"> a provision that:</w:t>
      </w:r>
    </w:p>
    <w:p w14:paraId="7398820E" w14:textId="77777777" w:rsidR="00E93F58" w:rsidRPr="00283424" w:rsidRDefault="00E93F58" w:rsidP="00B50726">
      <w:pPr>
        <w:pStyle w:val="paragraph"/>
      </w:pPr>
      <w:r w:rsidRPr="00283424">
        <w:rPr>
          <w:snapToGrid w:val="0"/>
          <w:color w:val="000000"/>
        </w:rPr>
        <w:tab/>
        <w:t>(a)</w:t>
      </w:r>
      <w:r w:rsidRPr="00283424">
        <w:rPr>
          <w:snapToGrid w:val="0"/>
          <w:color w:val="000000"/>
        </w:rPr>
        <w:tab/>
        <w:t xml:space="preserve">a product holder may have the right to return a financial product </w:t>
      </w:r>
      <w:r w:rsidRPr="00283424">
        <w:rPr>
          <w:color w:val="000000"/>
        </w:rPr>
        <w:t>under the Act; and</w:t>
      </w:r>
    </w:p>
    <w:p w14:paraId="3CC23A56" w14:textId="77777777" w:rsidR="00E93F58" w:rsidRPr="00283424" w:rsidRDefault="00E93F58" w:rsidP="00B50726">
      <w:pPr>
        <w:pStyle w:val="paragraph"/>
      </w:pPr>
      <w:r w:rsidRPr="00283424">
        <w:tab/>
        <w:t>(b)</w:t>
      </w:r>
      <w:r w:rsidRPr="00283424">
        <w:tab/>
        <w:t>the product issuer does not contravene any terms of the contract or legal relationship by complying with a request to return a financial product made in accordance with the Act; and</w:t>
      </w:r>
    </w:p>
    <w:p w14:paraId="0244DAC6" w14:textId="77777777" w:rsidR="00E93F58" w:rsidRPr="00283424" w:rsidRDefault="00E93F58" w:rsidP="00B50726">
      <w:pPr>
        <w:pStyle w:val="paragraph"/>
      </w:pPr>
      <w:r w:rsidRPr="00283424">
        <w:tab/>
        <w:t>(c)</w:t>
      </w:r>
      <w:r w:rsidRPr="00283424">
        <w:tab/>
        <w:t>the amount to be repaid following the exercise of the right to return a financial product is the amount calculated in accordance with the Act.</w:t>
      </w:r>
    </w:p>
    <w:p w14:paraId="26899621" w14:textId="77777777" w:rsidR="00E93F58" w:rsidRPr="00283424" w:rsidRDefault="00E93F58" w:rsidP="00B50726">
      <w:pPr>
        <w:pStyle w:val="subsection"/>
      </w:pPr>
      <w:r w:rsidRPr="00283424">
        <w:rPr>
          <w:color w:val="000000"/>
        </w:rPr>
        <w:tab/>
        <w:t>(3)</w:t>
      </w:r>
      <w:r w:rsidRPr="00283424">
        <w:rPr>
          <w:color w:val="000000"/>
        </w:rPr>
        <w:tab/>
        <w:t>Division 5 of Part 7.9 of the Act, and the regulations made for, or relating to, provisions of that Division, are also modified to the extent necessary to give effect to the modification set out in subregulation (2).</w:t>
      </w:r>
    </w:p>
    <w:p w14:paraId="07512C50" w14:textId="77777777" w:rsidR="00E93F58" w:rsidRPr="00283424" w:rsidRDefault="00E93F58" w:rsidP="00B50726">
      <w:pPr>
        <w:pStyle w:val="ActHead5"/>
      </w:pPr>
      <w:bookmarkStart w:id="1921" w:name="_Toc152054936"/>
      <w:bookmarkStart w:id="1922" w:name="_Toc158712752"/>
      <w:r w:rsidRPr="006F296E">
        <w:rPr>
          <w:rStyle w:val="CharSectno"/>
        </w:rPr>
        <w:t>7.9.70</w:t>
      </w:r>
      <w:r w:rsidRPr="00283424">
        <w:t xml:space="preserve">  Modification of provisions of Division 5 of Part 7.9 of the Act: distributions</w:t>
      </w:r>
      <w:bookmarkEnd w:id="1921"/>
      <w:bookmarkEnd w:id="1922"/>
    </w:p>
    <w:p w14:paraId="501DA5A5" w14:textId="77777777" w:rsidR="00E93F58" w:rsidRPr="00283424" w:rsidRDefault="00E93F58" w:rsidP="00B50726">
      <w:pPr>
        <w:pStyle w:val="subsection"/>
        <w:keepNext/>
        <w:keepLines/>
      </w:pPr>
      <w:r w:rsidRPr="00283424">
        <w:tab/>
        <w:t>(1)</w:t>
      </w:r>
      <w:r w:rsidRPr="00283424">
        <w:tab/>
        <w:t>For paragraph 1020G(2)(a) of the Act, this regulation applies in relation to the holder of:</w:t>
      </w:r>
    </w:p>
    <w:p w14:paraId="1C6887B5" w14:textId="77777777" w:rsidR="00E93F58" w:rsidRPr="00283424" w:rsidRDefault="00E93F58" w:rsidP="00B50726">
      <w:pPr>
        <w:pStyle w:val="paragraph"/>
      </w:pPr>
      <w:r w:rsidRPr="00283424">
        <w:rPr>
          <w:color w:val="000000"/>
        </w:rPr>
        <w:tab/>
        <w:t>(a)</w:t>
      </w:r>
      <w:r w:rsidRPr="00283424">
        <w:rPr>
          <w:color w:val="000000"/>
        </w:rPr>
        <w:tab/>
        <w:t>an investment</w:t>
      </w:r>
      <w:r>
        <w:rPr>
          <w:color w:val="000000"/>
        </w:rPr>
        <w:noBreakHyphen/>
      </w:r>
      <w:r w:rsidRPr="00283424">
        <w:rPr>
          <w:color w:val="000000"/>
        </w:rPr>
        <w:t xml:space="preserve">linked product within the meaning of the </w:t>
      </w:r>
      <w:r w:rsidRPr="00283424">
        <w:rPr>
          <w:i/>
          <w:color w:val="000000"/>
        </w:rPr>
        <w:t>Insurance Contracts Act 1984</w:t>
      </w:r>
      <w:r w:rsidRPr="00283424">
        <w:rPr>
          <w:color w:val="000000"/>
        </w:rPr>
        <w:t>; or</w:t>
      </w:r>
    </w:p>
    <w:p w14:paraId="712AD948" w14:textId="77777777" w:rsidR="00E93F58" w:rsidRPr="00283424" w:rsidRDefault="00E93F58" w:rsidP="00B50726">
      <w:pPr>
        <w:pStyle w:val="paragraph"/>
      </w:pPr>
      <w:r w:rsidRPr="00283424">
        <w:tab/>
        <w:t>(b)</w:t>
      </w:r>
      <w:r w:rsidRPr="00283424">
        <w:tab/>
        <w:t>a managed investment product; or</w:t>
      </w:r>
    </w:p>
    <w:p w14:paraId="13DE97A5" w14:textId="77777777" w:rsidR="00E93F58" w:rsidRPr="00283424" w:rsidRDefault="00E93F58" w:rsidP="00B50726">
      <w:pPr>
        <w:pStyle w:val="paragraph"/>
      </w:pPr>
      <w:r w:rsidRPr="00283424">
        <w:tab/>
        <w:t>(ba)</w:t>
      </w:r>
      <w:r w:rsidRPr="00283424">
        <w:tab/>
        <w:t>a foreign passport fund product; or</w:t>
      </w:r>
    </w:p>
    <w:p w14:paraId="5D6C4B6A" w14:textId="77777777" w:rsidR="00E93F58" w:rsidRPr="00283424" w:rsidRDefault="00E93F58" w:rsidP="00B50726">
      <w:pPr>
        <w:pStyle w:val="paragraph"/>
      </w:pPr>
      <w:r w:rsidRPr="00283424">
        <w:tab/>
        <w:t>(c)</w:t>
      </w:r>
      <w:r w:rsidRPr="00283424">
        <w:tab/>
        <w:t>a superannuation product; or</w:t>
      </w:r>
    </w:p>
    <w:p w14:paraId="1E95FD5F" w14:textId="77777777" w:rsidR="00E93F58" w:rsidRPr="00283424" w:rsidRDefault="00E93F58" w:rsidP="00B50726">
      <w:pPr>
        <w:pStyle w:val="paragraph"/>
      </w:pPr>
      <w:r w:rsidRPr="00283424">
        <w:tab/>
        <w:t>(d)</w:t>
      </w:r>
      <w:r w:rsidRPr="00283424">
        <w:tab/>
        <w:t>a security in a CCIV.</w:t>
      </w:r>
    </w:p>
    <w:p w14:paraId="7B25F382" w14:textId="77777777" w:rsidR="00E93F58" w:rsidRPr="00283424" w:rsidRDefault="00E93F58" w:rsidP="00B50726">
      <w:pPr>
        <w:pStyle w:val="subsection"/>
      </w:pPr>
      <w:r w:rsidRPr="00283424">
        <w:rPr>
          <w:color w:val="000000"/>
        </w:rPr>
        <w:tab/>
        <w:t>(2)</w:t>
      </w:r>
      <w:r w:rsidRPr="00283424">
        <w:rPr>
          <w:color w:val="000000"/>
        </w:rPr>
        <w:tab/>
        <w:t>A reference in paragraph 1019B(5)(a) of the Act to a right or power does not include the making of a distribution to the holder.</w:t>
      </w:r>
    </w:p>
    <w:p w14:paraId="79FBC5CC" w14:textId="77777777" w:rsidR="00E93F58" w:rsidRPr="00283424" w:rsidRDefault="00E93F58" w:rsidP="00B50726">
      <w:pPr>
        <w:pStyle w:val="ActHead3"/>
        <w:pageBreakBefore/>
        <w:rPr>
          <w:color w:val="000000"/>
        </w:rPr>
      </w:pPr>
      <w:bookmarkStart w:id="1923" w:name="_Toc152054937"/>
      <w:bookmarkStart w:id="1924" w:name="_Toc158712753"/>
      <w:r w:rsidRPr="006F296E">
        <w:rPr>
          <w:rStyle w:val="CharDivNo"/>
        </w:rPr>
        <w:lastRenderedPageBreak/>
        <w:t>Division 8</w:t>
      </w:r>
      <w:r w:rsidRPr="00283424">
        <w:rPr>
          <w:color w:val="000000"/>
        </w:rPr>
        <w:t>—</w:t>
      </w:r>
      <w:r w:rsidRPr="006F296E">
        <w:rPr>
          <w:rStyle w:val="CharDivText"/>
        </w:rPr>
        <w:t>Other requirements</w:t>
      </w:r>
      <w:bookmarkEnd w:id="1923"/>
      <w:bookmarkEnd w:id="1924"/>
    </w:p>
    <w:p w14:paraId="4AE021D0" w14:textId="77777777" w:rsidR="00E93F58" w:rsidRPr="00283424" w:rsidRDefault="00E93F58" w:rsidP="00B50726">
      <w:pPr>
        <w:pStyle w:val="ActHead5"/>
      </w:pPr>
      <w:bookmarkStart w:id="1925" w:name="_Toc152054938"/>
      <w:bookmarkStart w:id="1926" w:name="_Toc158712754"/>
      <w:r w:rsidRPr="006F296E">
        <w:rPr>
          <w:rStyle w:val="CharSectno"/>
        </w:rPr>
        <w:t>7.9.71</w:t>
      </w:r>
      <w:r w:rsidRPr="00283424">
        <w:t xml:space="preserve">  Modification of section 1017D of the Act: use of more than 1 document</w:t>
      </w:r>
      <w:bookmarkEnd w:id="1925"/>
      <w:bookmarkEnd w:id="1926"/>
    </w:p>
    <w:p w14:paraId="137E0866" w14:textId="77777777" w:rsidR="00E93F58" w:rsidRPr="00283424" w:rsidRDefault="00E93F58" w:rsidP="00B50726">
      <w:pPr>
        <w:pStyle w:val="subsection"/>
      </w:pPr>
      <w:r w:rsidRPr="00283424">
        <w:tab/>
      </w:r>
      <w:r w:rsidRPr="00283424">
        <w:tab/>
        <w:t>For paragraph 1020G(1)(c) of the Act, section 1017D of the Act is modified:</w:t>
      </w:r>
    </w:p>
    <w:p w14:paraId="6514F0BE" w14:textId="77777777" w:rsidR="00E93F58" w:rsidRPr="00283424" w:rsidRDefault="00E93F58" w:rsidP="00B50726">
      <w:pPr>
        <w:pStyle w:val="paragraph"/>
      </w:pPr>
      <w:r w:rsidRPr="00283424">
        <w:rPr>
          <w:color w:val="000000"/>
        </w:rPr>
        <w:tab/>
        <w:t>(a)</w:t>
      </w:r>
      <w:r w:rsidRPr="00283424">
        <w:rPr>
          <w:color w:val="000000"/>
        </w:rPr>
        <w:tab/>
        <w:t>so that a reference in those sections to a periodic statement includes 2 or more documents that include all of the information required by those sections; and</w:t>
      </w:r>
    </w:p>
    <w:p w14:paraId="6F6491FF" w14:textId="77777777" w:rsidR="00E93F58" w:rsidRPr="00283424" w:rsidRDefault="00E93F58" w:rsidP="00B50726">
      <w:pPr>
        <w:pStyle w:val="paragraph"/>
      </w:pPr>
      <w:r w:rsidRPr="00283424">
        <w:tab/>
        <w:t>(b)</w:t>
      </w:r>
      <w:r w:rsidRPr="00283424">
        <w:tab/>
        <w:t>as if subsections 1013L(1), (2), (3), (5) and (7) of the Act were included in that section, and referred to a periodic statement instead of a Product Disclosure Statement.</w:t>
      </w:r>
    </w:p>
    <w:p w14:paraId="0041CFD6" w14:textId="77777777" w:rsidR="00E93F58" w:rsidRPr="00283424" w:rsidRDefault="00E93F58" w:rsidP="00B50726">
      <w:pPr>
        <w:pStyle w:val="ActHead5"/>
      </w:pPr>
      <w:bookmarkStart w:id="1927" w:name="_Toc152054939"/>
      <w:bookmarkStart w:id="1928" w:name="_Toc158712755"/>
      <w:r w:rsidRPr="006F296E">
        <w:rPr>
          <w:rStyle w:val="CharSectno"/>
        </w:rPr>
        <w:t>7.9.71A</w:t>
      </w:r>
      <w:r w:rsidRPr="00283424">
        <w:t xml:space="preserve">  Periodic statements—exemption for passbook accounts</w:t>
      </w:r>
      <w:bookmarkEnd w:id="1927"/>
      <w:bookmarkEnd w:id="1928"/>
    </w:p>
    <w:p w14:paraId="77CF034E" w14:textId="77777777" w:rsidR="00E93F58" w:rsidRPr="00283424" w:rsidRDefault="00E93F58" w:rsidP="00B50726">
      <w:pPr>
        <w:pStyle w:val="subsection"/>
      </w:pPr>
      <w:r w:rsidRPr="00283424">
        <w:tab/>
      </w:r>
      <w:r w:rsidRPr="00283424">
        <w:tab/>
        <w:t>For paragraph 1020G(1)(b) of the Act, a basic deposit product (</w:t>
      </w:r>
      <w:r w:rsidRPr="00283424">
        <w:rPr>
          <w:b/>
          <w:i/>
        </w:rPr>
        <w:t>an account</w:t>
      </w:r>
      <w:r w:rsidRPr="00283424">
        <w:t>) for which the holder of the product is provided with, and keeps, a document commonly referred to as a ‘passbook’ is exempt from section 1017D of the Act if, under the terms of the operation of the account:</w:t>
      </w:r>
    </w:p>
    <w:p w14:paraId="5BBEBAE0" w14:textId="77777777" w:rsidR="00E93F58" w:rsidRPr="00283424" w:rsidRDefault="00E93F58" w:rsidP="00B50726">
      <w:pPr>
        <w:pStyle w:val="paragraph"/>
      </w:pPr>
      <w:r w:rsidRPr="00283424">
        <w:tab/>
        <w:t>(a)</w:t>
      </w:r>
      <w:r w:rsidRPr="00283424">
        <w:tab/>
        <w:t>the client has a right to a reasonable opportunity to present the passbook to the issuer; and</w:t>
      </w:r>
    </w:p>
    <w:p w14:paraId="3F140F0C" w14:textId="77777777" w:rsidR="00E93F58" w:rsidRPr="00283424" w:rsidRDefault="00E93F58" w:rsidP="00B50726">
      <w:pPr>
        <w:pStyle w:val="paragraph"/>
      </w:pPr>
      <w:r w:rsidRPr="00283424">
        <w:tab/>
        <w:t>(b)</w:t>
      </w:r>
      <w:r w:rsidRPr="00283424">
        <w:tab/>
        <w:t>the issuer enters particulars of each transaction involving the account including the amount of the transaction and the current balance of the account; and</w:t>
      </w:r>
    </w:p>
    <w:p w14:paraId="7F9219DF" w14:textId="77777777" w:rsidR="00E93F58" w:rsidRPr="00283424" w:rsidRDefault="00E93F58" w:rsidP="00B50726">
      <w:pPr>
        <w:pStyle w:val="paragraph"/>
      </w:pPr>
      <w:r w:rsidRPr="00283424">
        <w:tab/>
        <w:t>(c)</w:t>
      </w:r>
      <w:r w:rsidRPr="00283424">
        <w:tab/>
        <w:t>there is no fee associated with the passbook or the entry of particulars into the passbook.</w:t>
      </w:r>
    </w:p>
    <w:p w14:paraId="22F76A0A" w14:textId="77777777" w:rsidR="00E93F58" w:rsidRPr="00283424" w:rsidRDefault="00E93F58" w:rsidP="00B50726">
      <w:pPr>
        <w:pStyle w:val="ActHead5"/>
      </w:pPr>
      <w:bookmarkStart w:id="1929" w:name="_Toc152054940"/>
      <w:bookmarkStart w:id="1930" w:name="_Toc158712756"/>
      <w:r w:rsidRPr="006F296E">
        <w:rPr>
          <w:rStyle w:val="CharSectno"/>
        </w:rPr>
        <w:t>7.9.72</w:t>
      </w:r>
      <w:r w:rsidRPr="00283424">
        <w:t xml:space="preserve">  Modification of section 1017D of the Act: information already given</w:t>
      </w:r>
      <w:bookmarkEnd w:id="1929"/>
      <w:bookmarkEnd w:id="1930"/>
    </w:p>
    <w:p w14:paraId="08ABB603" w14:textId="77777777" w:rsidR="00E93F58" w:rsidRPr="00283424" w:rsidRDefault="00E93F58" w:rsidP="00B50726">
      <w:pPr>
        <w:pStyle w:val="subsection"/>
      </w:pPr>
      <w:r w:rsidRPr="00283424">
        <w:tab/>
      </w:r>
      <w:r w:rsidRPr="00283424">
        <w:tab/>
        <w:t>For paragraph 1020G(1)(c) of the Act section 1017D of the Act is modified so that if:</w:t>
      </w:r>
    </w:p>
    <w:p w14:paraId="3E72434B" w14:textId="77777777" w:rsidR="00E93F58" w:rsidRPr="00283424" w:rsidRDefault="00E93F58" w:rsidP="00B50726">
      <w:pPr>
        <w:pStyle w:val="paragraph"/>
      </w:pPr>
      <w:r w:rsidRPr="00283424">
        <w:rPr>
          <w:color w:val="000000"/>
        </w:rPr>
        <w:tab/>
        <w:t>(a)</w:t>
      </w:r>
      <w:r w:rsidRPr="00283424">
        <w:rPr>
          <w:color w:val="000000"/>
        </w:rPr>
        <w:tab/>
        <w:t xml:space="preserve">a financial product is a superannuation product or an </w:t>
      </w:r>
      <w:r w:rsidRPr="00BE1284">
        <w:t>RSA</w:t>
      </w:r>
      <w:r w:rsidRPr="00283424">
        <w:rPr>
          <w:color w:val="000000"/>
        </w:rPr>
        <w:t>; and</w:t>
      </w:r>
    </w:p>
    <w:p w14:paraId="408C628C" w14:textId="77777777" w:rsidR="00E93F58" w:rsidRPr="00283424" w:rsidRDefault="00E93F58" w:rsidP="00B50726">
      <w:pPr>
        <w:pStyle w:val="paragraph"/>
      </w:pPr>
      <w:r w:rsidRPr="00283424">
        <w:tab/>
        <w:t>(b)</w:t>
      </w:r>
      <w:r w:rsidRPr="00283424">
        <w:tab/>
        <w:t>the issuer has provided information in accordance with Subdivisions 5.2 and 5.3; and</w:t>
      </w:r>
    </w:p>
    <w:p w14:paraId="64AD6794" w14:textId="77777777" w:rsidR="00E93F58" w:rsidRPr="00283424" w:rsidRDefault="00E93F58" w:rsidP="00B50726">
      <w:pPr>
        <w:pStyle w:val="paragraph"/>
      </w:pPr>
      <w:r w:rsidRPr="00283424">
        <w:tab/>
        <w:t>(c)</w:t>
      </w:r>
      <w:r w:rsidRPr="00283424">
        <w:tab/>
        <w:t>that information has also been provided in accordance with subsection 1017D(5A) of the Act;</w:t>
      </w:r>
    </w:p>
    <w:p w14:paraId="6B6B86FC" w14:textId="77777777" w:rsidR="00E93F58" w:rsidRPr="00283424" w:rsidRDefault="00E93F58" w:rsidP="00B50726">
      <w:pPr>
        <w:pStyle w:val="subsection2"/>
      </w:pPr>
      <w:r w:rsidRPr="00283424">
        <w:t>paragraphs 1017D(5)(a), (b), (d) and (e)</w:t>
      </w:r>
      <w:r w:rsidRPr="00283424">
        <w:rPr>
          <w:color w:val="000000"/>
        </w:rPr>
        <w:t xml:space="preserve"> are omitted.</w:t>
      </w:r>
    </w:p>
    <w:p w14:paraId="172652CE" w14:textId="77777777" w:rsidR="00E93F58" w:rsidRPr="00283424" w:rsidRDefault="00E93F58" w:rsidP="00B50726">
      <w:pPr>
        <w:pStyle w:val="ActHead5"/>
      </w:pPr>
      <w:bookmarkStart w:id="1931" w:name="_Toc152054941"/>
      <w:bookmarkStart w:id="1932" w:name="_Toc158712757"/>
      <w:r w:rsidRPr="006F296E">
        <w:rPr>
          <w:rStyle w:val="CharSectno"/>
        </w:rPr>
        <w:t>7.9.73</w:t>
      </w:r>
      <w:r w:rsidRPr="00283424">
        <w:t xml:space="preserve">  Reporting periods: general</w:t>
      </w:r>
      <w:bookmarkEnd w:id="1931"/>
      <w:bookmarkEnd w:id="1932"/>
    </w:p>
    <w:p w14:paraId="344379FC" w14:textId="77777777" w:rsidR="00E93F58" w:rsidRPr="00283424" w:rsidRDefault="00E93F58" w:rsidP="00B50726">
      <w:pPr>
        <w:pStyle w:val="subsection"/>
      </w:pPr>
      <w:r w:rsidRPr="00283424">
        <w:rPr>
          <w:color w:val="000000"/>
        </w:rPr>
        <w:tab/>
      </w:r>
      <w:r w:rsidRPr="00283424">
        <w:rPr>
          <w:color w:val="000000"/>
        </w:rPr>
        <w:tab/>
        <w:t>For paragraph 1020G(1)(c) of the Act, Part 7.9 of the Act is modified in its application in relation to financial products as set out in Part 16 of Schedule 10A.</w:t>
      </w:r>
    </w:p>
    <w:p w14:paraId="1BAB8786" w14:textId="77777777" w:rsidR="00E93F58" w:rsidRPr="00283424" w:rsidRDefault="00E93F58" w:rsidP="00B50726">
      <w:pPr>
        <w:pStyle w:val="ActHead5"/>
      </w:pPr>
      <w:bookmarkStart w:id="1933" w:name="_Toc152054942"/>
      <w:bookmarkStart w:id="1934" w:name="_Toc158712758"/>
      <w:r w:rsidRPr="006F296E">
        <w:rPr>
          <w:rStyle w:val="CharSectno"/>
        </w:rPr>
        <w:t>7.9.74</w:t>
      </w:r>
      <w:r w:rsidRPr="00283424">
        <w:t xml:space="preserve">  Form of application</w:t>
      </w:r>
      <w:bookmarkEnd w:id="1933"/>
      <w:bookmarkEnd w:id="1934"/>
    </w:p>
    <w:p w14:paraId="1E7AE464" w14:textId="77777777" w:rsidR="00E93F58" w:rsidRPr="00283424" w:rsidRDefault="00E93F58" w:rsidP="00B50726">
      <w:pPr>
        <w:pStyle w:val="subsection"/>
      </w:pPr>
      <w:r w:rsidRPr="00283424">
        <w:tab/>
        <w:t>(1)</w:t>
      </w:r>
      <w:r w:rsidRPr="00283424">
        <w:tab/>
        <w:t xml:space="preserve">For paragraph (c) of the definition of </w:t>
      </w:r>
      <w:r w:rsidRPr="00283424">
        <w:rPr>
          <w:b/>
          <w:i/>
        </w:rPr>
        <w:t>eligible application</w:t>
      </w:r>
      <w:r w:rsidRPr="00283424">
        <w:t xml:space="preserve"> in subsection 1016A(1) of the Act, an application form for a financial product, for use by a client, that is attached to, accompanying or derived from a Product Disclosure Statement must require the following information:</w:t>
      </w:r>
    </w:p>
    <w:p w14:paraId="6B989975" w14:textId="77777777" w:rsidR="00E93F58" w:rsidRPr="00283424" w:rsidRDefault="00E93F58" w:rsidP="00B50726">
      <w:pPr>
        <w:pStyle w:val="paragraph"/>
        <w:rPr>
          <w:color w:val="000000"/>
        </w:rPr>
      </w:pPr>
      <w:r w:rsidRPr="00283424">
        <w:rPr>
          <w:color w:val="000000"/>
        </w:rPr>
        <w:tab/>
        <w:t>(a)</w:t>
      </w:r>
      <w:r w:rsidRPr="00283424">
        <w:rPr>
          <w:color w:val="000000"/>
        </w:rPr>
        <w:tab/>
        <w:t>the applicant’s name;</w:t>
      </w:r>
    </w:p>
    <w:p w14:paraId="58440222" w14:textId="77777777" w:rsidR="00E93F58" w:rsidRPr="00283424" w:rsidRDefault="00E93F58" w:rsidP="00B50726">
      <w:pPr>
        <w:pStyle w:val="paragraph"/>
      </w:pPr>
      <w:r w:rsidRPr="00283424">
        <w:tab/>
        <w:t>(b)</w:t>
      </w:r>
      <w:r w:rsidRPr="00283424">
        <w:tab/>
        <w:t>the applicant’s date of birth;</w:t>
      </w:r>
    </w:p>
    <w:p w14:paraId="4412AA18" w14:textId="77777777" w:rsidR="00E93F58" w:rsidRPr="00283424" w:rsidRDefault="00E93F58" w:rsidP="00B50726">
      <w:pPr>
        <w:pStyle w:val="paragraph"/>
      </w:pPr>
      <w:r w:rsidRPr="00283424">
        <w:tab/>
        <w:t>(c)</w:t>
      </w:r>
      <w:r w:rsidRPr="00283424">
        <w:tab/>
        <w:t>the applicant’s address.</w:t>
      </w:r>
    </w:p>
    <w:p w14:paraId="1B142919" w14:textId="77777777" w:rsidR="00E93F58" w:rsidRPr="00283424" w:rsidRDefault="00E93F58" w:rsidP="00B50726">
      <w:pPr>
        <w:pStyle w:val="subsection"/>
      </w:pPr>
      <w:r w:rsidRPr="00283424">
        <w:rPr>
          <w:color w:val="000000"/>
        </w:rPr>
        <w:tab/>
        <w:t>(2)</w:t>
      </w:r>
      <w:r w:rsidRPr="00283424">
        <w:rPr>
          <w:color w:val="000000"/>
        </w:rPr>
        <w:tab/>
        <w:t>An application form for a financial product, for use by an employer that is applying as a prospective standard employer</w:t>
      </w:r>
      <w:r>
        <w:rPr>
          <w:color w:val="000000"/>
        </w:rPr>
        <w:noBreakHyphen/>
      </w:r>
      <w:r w:rsidRPr="00283424">
        <w:rPr>
          <w:color w:val="000000"/>
        </w:rPr>
        <w:t xml:space="preserve">sponsor, that is attached to, accompanying or derived from a Product Disclosure Statement must </w:t>
      </w:r>
      <w:r w:rsidRPr="00283424">
        <w:t>require</w:t>
      </w:r>
      <w:r w:rsidRPr="00283424">
        <w:rPr>
          <w:color w:val="000000"/>
        </w:rPr>
        <w:t xml:space="preserve"> the employer’s name and address.</w:t>
      </w:r>
    </w:p>
    <w:p w14:paraId="6F795768" w14:textId="77777777" w:rsidR="00E93F58" w:rsidRPr="00283424" w:rsidRDefault="00E93F58" w:rsidP="00B50726">
      <w:pPr>
        <w:pStyle w:val="ActHead5"/>
      </w:pPr>
      <w:bookmarkStart w:id="1935" w:name="_Toc152054943"/>
      <w:bookmarkStart w:id="1936" w:name="_Toc158712759"/>
      <w:r w:rsidRPr="006F296E">
        <w:rPr>
          <w:rStyle w:val="CharSectno"/>
        </w:rPr>
        <w:t>7.9.74A</w:t>
      </w:r>
      <w:r w:rsidRPr="00283424">
        <w:t xml:space="preserve">  Periodic statements—requirement to state information as amounts in dollars</w:t>
      </w:r>
      <w:bookmarkEnd w:id="1935"/>
      <w:bookmarkEnd w:id="1936"/>
    </w:p>
    <w:p w14:paraId="1D1B1AE2" w14:textId="77777777" w:rsidR="00E93F58" w:rsidRPr="00283424" w:rsidRDefault="00E93F58" w:rsidP="00B50726">
      <w:pPr>
        <w:pStyle w:val="subsection"/>
      </w:pPr>
      <w:r w:rsidRPr="00283424">
        <w:tab/>
        <w:t>(1)</w:t>
      </w:r>
      <w:r w:rsidRPr="00283424">
        <w:tab/>
        <w:t>For paragraph 1020G(1)(c) of the Act, Part 7.9 of the Act applies as if subsection 1017D(5A) were modified to read as follows:</w:t>
      </w:r>
    </w:p>
    <w:p w14:paraId="33E30B5F" w14:textId="77777777" w:rsidR="00E93F58" w:rsidRPr="00283424" w:rsidRDefault="00E93F58" w:rsidP="00B50726">
      <w:pPr>
        <w:pStyle w:val="paragraph"/>
      </w:pPr>
      <w:r w:rsidRPr="00283424">
        <w:tab/>
        <w:t>‘(5A)</w:t>
      </w:r>
      <w:r w:rsidRPr="00283424">
        <w:tab/>
        <w:t>Unless in accordance with the regulations and a determination by ASIC:</w:t>
      </w:r>
    </w:p>
    <w:p w14:paraId="283808FD" w14:textId="77777777" w:rsidR="00E93F58" w:rsidRPr="00283424" w:rsidRDefault="00E93F58" w:rsidP="00B50726">
      <w:pPr>
        <w:pStyle w:val="paragraphsub"/>
      </w:pPr>
      <w:r w:rsidRPr="00283424">
        <w:tab/>
        <w:t>(a)</w:t>
      </w:r>
      <w:r w:rsidRPr="00283424">
        <w:tab/>
        <w:t>information to be disclosed in accordance with paragraphs (5)(a), (b), (c), (d) and (e) must be stated as amounts in dollars; and</w:t>
      </w:r>
    </w:p>
    <w:p w14:paraId="08BDA4B6" w14:textId="77777777" w:rsidR="00E93F58" w:rsidRPr="00283424" w:rsidRDefault="00E93F58" w:rsidP="00B50726">
      <w:pPr>
        <w:pStyle w:val="paragraphsub"/>
      </w:pPr>
      <w:r w:rsidRPr="00283424">
        <w:tab/>
        <w:t>(b)</w:t>
      </w:r>
      <w:r w:rsidRPr="00283424">
        <w:tab/>
        <w:t>any other information in relation to amounts paid by the holder of the financial product during the period must be stated as amounts in dollars.’.</w:t>
      </w:r>
    </w:p>
    <w:p w14:paraId="6E648293" w14:textId="77777777" w:rsidR="00E93F58" w:rsidRPr="00283424" w:rsidRDefault="00E93F58" w:rsidP="00B50726">
      <w:pPr>
        <w:pStyle w:val="subsection"/>
      </w:pPr>
      <w:r w:rsidRPr="00283424">
        <w:tab/>
        <w:t>(2)</w:t>
      </w:r>
      <w:r w:rsidRPr="00283424">
        <w:tab/>
        <w:t xml:space="preserve">For paragraph 1020G(1)(a) of the Act, the issuer of a financial product does not have to provide the information mentioned in subsection 1017D(5A) of the Act in the form required by that subsection, in a periodic statement prepared before </w:t>
      </w:r>
      <w:r>
        <w:t>1 January</w:t>
      </w:r>
      <w:r w:rsidRPr="00283424">
        <w:t xml:space="preserve"> 2005.</w:t>
      </w:r>
    </w:p>
    <w:p w14:paraId="20F244E7" w14:textId="77777777" w:rsidR="00E93F58" w:rsidRPr="00283424" w:rsidRDefault="00E93F58" w:rsidP="00B50726">
      <w:pPr>
        <w:pStyle w:val="subsection"/>
      </w:pPr>
      <w:r w:rsidRPr="00283424">
        <w:lastRenderedPageBreak/>
        <w:tab/>
        <w:t>(3)</w:t>
      </w:r>
      <w:r w:rsidRPr="00283424">
        <w:tab/>
        <w:t>For subsection 1017D(5A) of the Act, as modified in accordance with subregulation (1), if ASIC determines that, for a compelling reason based on the nature of a financial product or service, or the nature of the information, to state information to be disclosed in accordance with paragraphs 1017D(5)(a), (b), (c), (d) and (e) of the Act as an amount in dollars:</w:t>
      </w:r>
    </w:p>
    <w:p w14:paraId="094A235E"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7C3B91A1"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144ECE71" w14:textId="77777777" w:rsidR="00E93F58" w:rsidRPr="00283424" w:rsidRDefault="00E93F58" w:rsidP="00B50726">
      <w:pPr>
        <w:pStyle w:val="paragraph"/>
      </w:pPr>
      <w:r w:rsidRPr="00283424">
        <w:tab/>
        <w:t>(c)</w:t>
      </w:r>
      <w:r w:rsidRPr="00283424">
        <w:tab/>
        <w:t>would not be in the interests of a client, or a class of clients;</w:t>
      </w:r>
    </w:p>
    <w:p w14:paraId="2E528FC1"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3061BCA0" w14:textId="77777777" w:rsidR="00E93F58" w:rsidRPr="00283424" w:rsidRDefault="00E93F58" w:rsidP="00B50726">
      <w:pPr>
        <w:pStyle w:val="subsection"/>
      </w:pPr>
      <w:r w:rsidRPr="00283424">
        <w:tab/>
        <w:t>(4)</w:t>
      </w:r>
      <w:r w:rsidRPr="00283424">
        <w:tab/>
        <w:t>For subsection 1017D(5A) of the Act, as modified in accordance with subregulation (1), if ASIC determines that, for a compelling reason, based on the nature of a financial product or service, or the nature of the information, to state information to be disclosed in accordance with paragraphs 1017D(5)(a), (b), (c), (d) and (e) of the Act as an amount in dollars, or to describe the amount as a percentage:</w:t>
      </w:r>
    </w:p>
    <w:p w14:paraId="308E13FA"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55A12D18"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234BD24E" w14:textId="77777777" w:rsidR="00E93F58" w:rsidRPr="00283424" w:rsidRDefault="00E93F58" w:rsidP="00B50726">
      <w:pPr>
        <w:pStyle w:val="paragraph"/>
      </w:pPr>
      <w:r w:rsidRPr="00283424">
        <w:tab/>
        <w:t>(c)</w:t>
      </w:r>
      <w:r w:rsidRPr="00283424">
        <w:tab/>
        <w:t>would not be in the interests of a client, or a class of clients;</w:t>
      </w:r>
    </w:p>
    <w:p w14:paraId="2ECFB2FC" w14:textId="77777777" w:rsidR="00E93F58" w:rsidRPr="00283424" w:rsidRDefault="00E93F58" w:rsidP="00B50726">
      <w:pPr>
        <w:pStyle w:val="subsection2"/>
      </w:pPr>
      <w:r w:rsidRPr="00283424">
        <w:t>the information may be set out as a description of the method of calculating the charge or benefit (including worked dollar examples, unless that is inappropriate).</w:t>
      </w:r>
    </w:p>
    <w:p w14:paraId="71122D4F" w14:textId="77777777" w:rsidR="00E93F58" w:rsidRPr="00283424" w:rsidRDefault="00E93F58" w:rsidP="00B50726">
      <w:pPr>
        <w:pStyle w:val="subsection"/>
      </w:pPr>
      <w:r w:rsidRPr="00283424">
        <w:tab/>
        <w:t>(5)</w:t>
      </w:r>
      <w:r w:rsidRPr="00283424">
        <w:tab/>
        <w:t>A determination under subregulation (3) or (4) must be:</w:t>
      </w:r>
    </w:p>
    <w:p w14:paraId="61611FA4" w14:textId="77777777" w:rsidR="00E93F58" w:rsidRPr="00283424" w:rsidRDefault="00E93F58" w:rsidP="00B50726">
      <w:pPr>
        <w:pStyle w:val="paragraph"/>
      </w:pPr>
      <w:r w:rsidRPr="00283424">
        <w:tab/>
        <w:t>(a)</w:t>
      </w:r>
      <w:r w:rsidRPr="00283424">
        <w:tab/>
        <w:t>in writing; and</w:t>
      </w:r>
    </w:p>
    <w:p w14:paraId="6607BECD"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522FB1B6" w14:textId="77777777" w:rsidR="00E93F58" w:rsidRPr="00283424" w:rsidRDefault="00E93F58" w:rsidP="00B50726">
      <w:pPr>
        <w:pStyle w:val="ActHead5"/>
      </w:pPr>
      <w:bookmarkStart w:id="1937" w:name="_Toc152054944"/>
      <w:bookmarkStart w:id="1938" w:name="_Toc158712760"/>
      <w:r w:rsidRPr="006F296E">
        <w:rPr>
          <w:rStyle w:val="CharSectno"/>
        </w:rPr>
        <w:t>7.9.75</w:t>
      </w:r>
      <w:r w:rsidRPr="00283424">
        <w:t xml:space="preserve">  Content of periodic statements: costs of transactions</w:t>
      </w:r>
      <w:bookmarkEnd w:id="1937"/>
      <w:bookmarkEnd w:id="1938"/>
    </w:p>
    <w:p w14:paraId="0AC17AE5" w14:textId="77777777" w:rsidR="00E93F58" w:rsidRPr="00283424" w:rsidRDefault="00E93F58" w:rsidP="00B50726">
      <w:pPr>
        <w:pStyle w:val="subsection"/>
      </w:pPr>
      <w:r w:rsidRPr="00283424">
        <w:tab/>
        <w:t>(1)</w:t>
      </w:r>
      <w:r w:rsidRPr="00283424">
        <w:tab/>
        <w:t>For paragraph 1017D(5)(g) of the Act, the prescribed details in relation to a financial product include:</w:t>
      </w:r>
    </w:p>
    <w:p w14:paraId="3B946C9F" w14:textId="77777777" w:rsidR="00E93F58" w:rsidRPr="00283424" w:rsidRDefault="00E93F58" w:rsidP="00B50726">
      <w:pPr>
        <w:pStyle w:val="paragraph"/>
      </w:pPr>
      <w:r w:rsidRPr="00283424">
        <w:tab/>
        <w:t>(a)</w:t>
      </w:r>
      <w:r w:rsidRPr="00283424">
        <w:tab/>
        <w:t>the amounts paid by the holder of the financial product in respect of the financial product during the period; and</w:t>
      </w:r>
    </w:p>
    <w:p w14:paraId="4817E9E6" w14:textId="77777777" w:rsidR="00E93F58" w:rsidRPr="00283424" w:rsidRDefault="00E93F58" w:rsidP="00B50726">
      <w:pPr>
        <w:pStyle w:val="paragraph"/>
      </w:pPr>
      <w:r w:rsidRPr="00283424">
        <w:tab/>
        <w:t>(b)</w:t>
      </w:r>
      <w:r w:rsidRPr="00283424">
        <w:tab/>
        <w:t>if the amounts paid in respect of the financial product, and the amounts paid in respect of other financial products, are paid into a common fund, and amounts are deducted from the common fund by way of expenses, fees and charges:</w:t>
      </w:r>
    </w:p>
    <w:p w14:paraId="58750A19" w14:textId="77777777" w:rsidR="00E93F58" w:rsidRPr="00283424" w:rsidRDefault="00E93F58" w:rsidP="00B50726">
      <w:pPr>
        <w:pStyle w:val="paragraphsub"/>
      </w:pPr>
      <w:r w:rsidRPr="00283424">
        <w:tab/>
        <w:t>(i)</w:t>
      </w:r>
      <w:r w:rsidRPr="00283424">
        <w:tab/>
        <w:t>a proportion of the amount deducted that is actually or notionally attributable to the product holder’s interest; and</w:t>
      </w:r>
    </w:p>
    <w:p w14:paraId="1D11505A" w14:textId="77777777" w:rsidR="00E93F58" w:rsidRPr="00283424" w:rsidRDefault="00E93F58" w:rsidP="00B50726">
      <w:pPr>
        <w:pStyle w:val="paragraphsub"/>
      </w:pPr>
      <w:r w:rsidRPr="00283424">
        <w:tab/>
        <w:t>(ii)</w:t>
      </w:r>
      <w:r w:rsidRPr="00283424">
        <w:tab/>
        <w:t>if applicable—a statement informing the product holder that the notional proportion of the amount may not give an accurate estimate of the effect of the deduction on the product holder’s interest; and</w:t>
      </w:r>
    </w:p>
    <w:p w14:paraId="3C445C6B" w14:textId="77777777" w:rsidR="00E93F58" w:rsidRPr="00283424" w:rsidRDefault="00E93F58" w:rsidP="00B50726">
      <w:pPr>
        <w:pStyle w:val="paragraph"/>
      </w:pPr>
      <w:r w:rsidRPr="00283424">
        <w:tab/>
        <w:t>(c)</w:t>
      </w:r>
      <w:r w:rsidRPr="00283424">
        <w:tab/>
        <w:t>a statement informing the product holder:</w:t>
      </w:r>
    </w:p>
    <w:p w14:paraId="259A58E7" w14:textId="77777777" w:rsidR="00E93F58" w:rsidRPr="00283424" w:rsidRDefault="00E93F58" w:rsidP="00B50726">
      <w:pPr>
        <w:pStyle w:val="paragraphsub"/>
      </w:pPr>
      <w:r w:rsidRPr="00283424">
        <w:tab/>
        <w:t>(i)</w:t>
      </w:r>
      <w:r w:rsidRPr="00283424">
        <w:tab/>
        <w:t>that there is a dispute resolution mechanism that covers complaints by holders of the product; and</w:t>
      </w:r>
    </w:p>
    <w:p w14:paraId="2D515C34" w14:textId="77777777" w:rsidR="00E93F58" w:rsidRPr="00283424" w:rsidRDefault="00E93F58" w:rsidP="00B50726">
      <w:pPr>
        <w:pStyle w:val="paragraphsub"/>
      </w:pPr>
      <w:r w:rsidRPr="00283424">
        <w:tab/>
        <w:t>(ii)</w:t>
      </w:r>
      <w:r w:rsidRPr="00283424">
        <w:tab/>
        <w:t>of the means by which a product holder is able to gain access to that mechanism; and</w:t>
      </w:r>
    </w:p>
    <w:p w14:paraId="254AF8E8" w14:textId="77777777" w:rsidR="00E93F58" w:rsidRPr="00283424" w:rsidRDefault="00E93F58" w:rsidP="00B50726">
      <w:pPr>
        <w:pStyle w:val="paragraph"/>
      </w:pPr>
      <w:r w:rsidRPr="00283424">
        <w:tab/>
        <w:t>(d)</w:t>
      </w:r>
      <w:r w:rsidRPr="00283424">
        <w:tab/>
        <w:t>a statement that further information in relation to the financial product is available on request, and the means by which the product holder can gain access to that information; and</w:t>
      </w:r>
    </w:p>
    <w:p w14:paraId="483B90BB" w14:textId="77777777" w:rsidR="00E93F58" w:rsidRPr="00283424" w:rsidRDefault="00E93F58" w:rsidP="00B50726">
      <w:pPr>
        <w:pStyle w:val="paragraph"/>
      </w:pPr>
      <w:r w:rsidRPr="00283424">
        <w:tab/>
        <w:t>(e)</w:t>
      </w:r>
      <w:r w:rsidRPr="00283424">
        <w:tab/>
        <w:t>in relation to a superannuation product (other than a self managed superannuation fund), a managed investment product or a foreign passport fund product—the details set out in Part 3 of Schedule 10.</w:t>
      </w:r>
    </w:p>
    <w:p w14:paraId="302C3578" w14:textId="77777777" w:rsidR="00E93F58" w:rsidRPr="00283424" w:rsidRDefault="00E93F58" w:rsidP="00B50726">
      <w:pPr>
        <w:pStyle w:val="subsection"/>
      </w:pPr>
      <w:r w:rsidRPr="00283424">
        <w:tab/>
        <w:t>(1A)</w:t>
      </w:r>
      <w:r w:rsidRPr="00283424">
        <w:tab/>
        <w:t>However, for a periodic statement mentioned in an item of the table that is issued for the financial product mentioned in the item, and issued at a time described in the item, the prescribed details set out in paragraph (1)(b) are not required to be included if the statement includes, or is accompanied by, statements to the effect that:</w:t>
      </w:r>
    </w:p>
    <w:p w14:paraId="2B0C06C6" w14:textId="77777777" w:rsidR="00E93F58" w:rsidRPr="00283424" w:rsidRDefault="00E93F58" w:rsidP="00B50726">
      <w:pPr>
        <w:pStyle w:val="paragraph"/>
      </w:pPr>
      <w:r w:rsidRPr="00283424">
        <w:tab/>
        <w:t>(a)</w:t>
      </w:r>
      <w:r w:rsidRPr="00283424">
        <w:tab/>
        <w:t>amounts for fees, expenses or charges have been deducted from a common fund to which the product relates in relation to the reporting period; and</w:t>
      </w:r>
    </w:p>
    <w:p w14:paraId="076CAD07" w14:textId="77777777" w:rsidR="00E93F58" w:rsidRPr="00283424" w:rsidRDefault="00E93F58" w:rsidP="00B50726">
      <w:pPr>
        <w:pStyle w:val="paragraph"/>
      </w:pPr>
      <w:r w:rsidRPr="00283424">
        <w:tab/>
        <w:t>(b)</w:t>
      </w:r>
      <w:r w:rsidRPr="00283424">
        <w:tab/>
        <w:t>those deductions are borne indirectly by the holders of the product, and may affect the return to the holders; and</w:t>
      </w:r>
    </w:p>
    <w:p w14:paraId="6F36A9E0" w14:textId="77777777" w:rsidR="00E93F58" w:rsidRPr="00283424" w:rsidRDefault="00E93F58" w:rsidP="00B50726">
      <w:pPr>
        <w:pStyle w:val="paragraph"/>
      </w:pPr>
      <w:r w:rsidRPr="00283424">
        <w:tab/>
        <w:t>(c)</w:t>
      </w:r>
      <w:r w:rsidRPr="00283424">
        <w:tab/>
        <w:t>further information about the deductions can be obtained by contacting the issuer of the product.</w:t>
      </w:r>
    </w:p>
    <w:p w14:paraId="1F1FE964"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906"/>
        <w:gridCol w:w="2644"/>
        <w:gridCol w:w="4400"/>
        <w:gridCol w:w="2823"/>
      </w:tblGrid>
      <w:tr w:rsidR="00E93F58" w:rsidRPr="00283424" w14:paraId="13F5A3BB" w14:textId="77777777" w:rsidTr="00EA0AFF">
        <w:trPr>
          <w:tblHeader/>
        </w:trPr>
        <w:tc>
          <w:tcPr>
            <w:tcW w:w="421" w:type="pct"/>
            <w:tcBorders>
              <w:top w:val="single" w:sz="12" w:space="0" w:color="auto"/>
              <w:bottom w:val="single" w:sz="12" w:space="0" w:color="auto"/>
            </w:tcBorders>
            <w:shd w:val="clear" w:color="auto" w:fill="auto"/>
          </w:tcPr>
          <w:p w14:paraId="26497447" w14:textId="77777777" w:rsidR="00E93F58" w:rsidRPr="00283424" w:rsidRDefault="00E93F58" w:rsidP="00EA0AFF">
            <w:pPr>
              <w:pStyle w:val="TableHeading"/>
            </w:pPr>
            <w:r w:rsidRPr="00283424">
              <w:lastRenderedPageBreak/>
              <w:t>Item</w:t>
            </w:r>
          </w:p>
        </w:tc>
        <w:tc>
          <w:tcPr>
            <w:tcW w:w="1227" w:type="pct"/>
            <w:tcBorders>
              <w:top w:val="single" w:sz="12" w:space="0" w:color="auto"/>
              <w:bottom w:val="single" w:sz="12" w:space="0" w:color="auto"/>
            </w:tcBorders>
            <w:shd w:val="clear" w:color="auto" w:fill="auto"/>
          </w:tcPr>
          <w:p w14:paraId="6AFE7E30" w14:textId="77777777" w:rsidR="00E93F58" w:rsidRPr="00283424" w:rsidRDefault="00E93F58" w:rsidP="00EA0AFF">
            <w:pPr>
              <w:pStyle w:val="TableHeading"/>
            </w:pPr>
            <w:r w:rsidRPr="00283424">
              <w:t>Kind of statement</w:t>
            </w:r>
          </w:p>
        </w:tc>
        <w:tc>
          <w:tcPr>
            <w:tcW w:w="2042" w:type="pct"/>
            <w:tcBorders>
              <w:top w:val="single" w:sz="12" w:space="0" w:color="auto"/>
              <w:bottom w:val="single" w:sz="12" w:space="0" w:color="auto"/>
            </w:tcBorders>
            <w:shd w:val="clear" w:color="auto" w:fill="auto"/>
          </w:tcPr>
          <w:p w14:paraId="403BF2B2" w14:textId="77777777" w:rsidR="00E93F58" w:rsidRPr="00283424" w:rsidRDefault="00E93F58" w:rsidP="00EA0AFF">
            <w:pPr>
              <w:pStyle w:val="TableHeading"/>
            </w:pPr>
            <w:r w:rsidRPr="00283424">
              <w:t>Product</w:t>
            </w:r>
          </w:p>
        </w:tc>
        <w:tc>
          <w:tcPr>
            <w:tcW w:w="1310" w:type="pct"/>
            <w:tcBorders>
              <w:top w:val="single" w:sz="12" w:space="0" w:color="auto"/>
              <w:bottom w:val="single" w:sz="12" w:space="0" w:color="auto"/>
            </w:tcBorders>
            <w:shd w:val="clear" w:color="auto" w:fill="auto"/>
          </w:tcPr>
          <w:p w14:paraId="56DA68DC" w14:textId="77777777" w:rsidR="00E93F58" w:rsidRPr="00283424" w:rsidRDefault="00E93F58" w:rsidP="00EA0AFF">
            <w:pPr>
              <w:pStyle w:val="TableHeading"/>
            </w:pPr>
            <w:r w:rsidRPr="00283424">
              <w:t>Statement issued</w:t>
            </w:r>
          </w:p>
        </w:tc>
      </w:tr>
      <w:tr w:rsidR="00E93F58" w:rsidRPr="00283424" w14:paraId="57514516" w14:textId="77777777" w:rsidTr="00EA0AFF">
        <w:tc>
          <w:tcPr>
            <w:tcW w:w="421" w:type="pct"/>
            <w:tcBorders>
              <w:top w:val="single" w:sz="12" w:space="0" w:color="auto"/>
            </w:tcBorders>
            <w:shd w:val="clear" w:color="auto" w:fill="auto"/>
          </w:tcPr>
          <w:p w14:paraId="5196EE50" w14:textId="77777777" w:rsidR="00E93F58" w:rsidRPr="00283424" w:rsidRDefault="00E93F58" w:rsidP="00EA0AFF">
            <w:pPr>
              <w:pStyle w:val="Tabletext"/>
            </w:pPr>
            <w:r w:rsidRPr="00283424">
              <w:t>1</w:t>
            </w:r>
          </w:p>
        </w:tc>
        <w:tc>
          <w:tcPr>
            <w:tcW w:w="1227" w:type="pct"/>
            <w:tcBorders>
              <w:top w:val="single" w:sz="12" w:space="0" w:color="auto"/>
            </w:tcBorders>
            <w:shd w:val="clear" w:color="auto" w:fill="auto"/>
          </w:tcPr>
          <w:p w14:paraId="26414170" w14:textId="77777777" w:rsidR="00E93F58" w:rsidRPr="00283424" w:rsidRDefault="00E93F58" w:rsidP="00EA0AFF">
            <w:pPr>
              <w:pStyle w:val="Tabletext"/>
            </w:pPr>
            <w:r w:rsidRPr="00283424">
              <w:t>Periodic statement other than exit statement</w:t>
            </w:r>
          </w:p>
        </w:tc>
        <w:tc>
          <w:tcPr>
            <w:tcW w:w="2042" w:type="pct"/>
            <w:tcBorders>
              <w:top w:val="single" w:sz="12" w:space="0" w:color="auto"/>
            </w:tcBorders>
            <w:shd w:val="clear" w:color="auto" w:fill="auto"/>
          </w:tcPr>
          <w:p w14:paraId="30783F61" w14:textId="77777777" w:rsidR="00E93F58" w:rsidRPr="00283424" w:rsidRDefault="00E93F58" w:rsidP="00EA0AFF">
            <w:pPr>
              <w:pStyle w:val="Tabletext"/>
            </w:pPr>
            <w:r w:rsidRPr="00283424">
              <w:t>Superannuation product to which Division 4C of this Part applies</w:t>
            </w:r>
          </w:p>
        </w:tc>
        <w:tc>
          <w:tcPr>
            <w:tcW w:w="1310" w:type="pct"/>
            <w:tcBorders>
              <w:top w:val="single" w:sz="12" w:space="0" w:color="auto"/>
            </w:tcBorders>
            <w:shd w:val="clear" w:color="auto" w:fill="auto"/>
          </w:tcPr>
          <w:p w14:paraId="10242FFA" w14:textId="77777777" w:rsidR="00E93F58" w:rsidRPr="00283424" w:rsidRDefault="00E93F58" w:rsidP="00EA0AFF">
            <w:pPr>
              <w:pStyle w:val="Tabletext"/>
            </w:pPr>
            <w:r w:rsidRPr="00283424">
              <w:t>in relation to a reporting period commencing before 1 July 2005</w:t>
            </w:r>
          </w:p>
        </w:tc>
      </w:tr>
      <w:tr w:rsidR="00E93F58" w:rsidRPr="00283424" w14:paraId="3BC8B2B6" w14:textId="77777777" w:rsidTr="00EA0AFF">
        <w:tc>
          <w:tcPr>
            <w:tcW w:w="421" w:type="pct"/>
            <w:shd w:val="clear" w:color="auto" w:fill="auto"/>
          </w:tcPr>
          <w:p w14:paraId="63D450D4" w14:textId="77777777" w:rsidR="00E93F58" w:rsidRPr="00283424" w:rsidRDefault="00E93F58" w:rsidP="00EA0AFF">
            <w:pPr>
              <w:pStyle w:val="Tabletext"/>
            </w:pPr>
            <w:r w:rsidRPr="00283424">
              <w:t>2</w:t>
            </w:r>
          </w:p>
        </w:tc>
        <w:tc>
          <w:tcPr>
            <w:tcW w:w="1227" w:type="pct"/>
            <w:shd w:val="clear" w:color="auto" w:fill="auto"/>
          </w:tcPr>
          <w:p w14:paraId="632DCE2C" w14:textId="77777777" w:rsidR="00E93F58" w:rsidRPr="00283424" w:rsidRDefault="00E93F58" w:rsidP="00EA0AFF">
            <w:pPr>
              <w:pStyle w:val="Tabletext"/>
            </w:pPr>
            <w:r w:rsidRPr="00283424">
              <w:t>Exit statement</w:t>
            </w:r>
          </w:p>
        </w:tc>
        <w:tc>
          <w:tcPr>
            <w:tcW w:w="2042" w:type="pct"/>
            <w:shd w:val="clear" w:color="auto" w:fill="auto"/>
          </w:tcPr>
          <w:p w14:paraId="6F4B632B" w14:textId="77777777" w:rsidR="00E93F58" w:rsidRPr="00283424" w:rsidRDefault="00E93F58" w:rsidP="00EA0AFF">
            <w:pPr>
              <w:pStyle w:val="Tabletext"/>
            </w:pPr>
            <w:r w:rsidRPr="00283424">
              <w:t>Superannuation product to which Division 4C of this Part applies</w:t>
            </w:r>
          </w:p>
        </w:tc>
        <w:tc>
          <w:tcPr>
            <w:tcW w:w="1310" w:type="pct"/>
            <w:shd w:val="clear" w:color="auto" w:fill="auto"/>
          </w:tcPr>
          <w:p w14:paraId="3A286C1F" w14:textId="77777777" w:rsidR="00E93F58" w:rsidRPr="00283424" w:rsidRDefault="00E93F58" w:rsidP="00EA0AFF">
            <w:pPr>
              <w:pStyle w:val="Tabletext"/>
            </w:pPr>
            <w:r w:rsidRPr="00283424">
              <w:t>before 1 July 2006</w:t>
            </w:r>
          </w:p>
        </w:tc>
      </w:tr>
      <w:tr w:rsidR="00E93F58" w:rsidRPr="00283424" w14:paraId="3886FE8E" w14:textId="77777777" w:rsidTr="00EA0AFF">
        <w:tc>
          <w:tcPr>
            <w:tcW w:w="421" w:type="pct"/>
            <w:tcBorders>
              <w:bottom w:val="single" w:sz="4" w:space="0" w:color="auto"/>
            </w:tcBorders>
            <w:shd w:val="clear" w:color="auto" w:fill="auto"/>
          </w:tcPr>
          <w:p w14:paraId="1D7CB49B" w14:textId="77777777" w:rsidR="00E93F58" w:rsidRPr="00283424" w:rsidRDefault="00E93F58" w:rsidP="00EA0AFF">
            <w:pPr>
              <w:pStyle w:val="Tabletext"/>
            </w:pPr>
            <w:r w:rsidRPr="00283424">
              <w:t>3</w:t>
            </w:r>
          </w:p>
        </w:tc>
        <w:tc>
          <w:tcPr>
            <w:tcW w:w="1227" w:type="pct"/>
            <w:tcBorders>
              <w:bottom w:val="single" w:sz="4" w:space="0" w:color="auto"/>
            </w:tcBorders>
            <w:shd w:val="clear" w:color="auto" w:fill="auto"/>
          </w:tcPr>
          <w:p w14:paraId="54295288" w14:textId="77777777" w:rsidR="00E93F58" w:rsidRPr="00283424" w:rsidRDefault="00E93F58" w:rsidP="00EA0AFF">
            <w:pPr>
              <w:pStyle w:val="Tabletext"/>
            </w:pPr>
            <w:r w:rsidRPr="00283424">
              <w:t>Periodic statement other than exit statement</w:t>
            </w:r>
          </w:p>
        </w:tc>
        <w:tc>
          <w:tcPr>
            <w:tcW w:w="2042" w:type="pct"/>
            <w:tcBorders>
              <w:bottom w:val="single" w:sz="4" w:space="0" w:color="auto"/>
            </w:tcBorders>
            <w:shd w:val="clear" w:color="auto" w:fill="auto"/>
          </w:tcPr>
          <w:p w14:paraId="50501C66" w14:textId="77777777" w:rsidR="00E93F58" w:rsidRPr="00283424" w:rsidRDefault="00E93F58" w:rsidP="00EA0AFF">
            <w:pPr>
              <w:pStyle w:val="Tabletext"/>
            </w:pPr>
            <w:r w:rsidRPr="00283424">
              <w:t>Financial product other than superannuation product to which Division 4C of this Part applies</w:t>
            </w:r>
          </w:p>
        </w:tc>
        <w:tc>
          <w:tcPr>
            <w:tcW w:w="1310" w:type="pct"/>
            <w:tcBorders>
              <w:bottom w:val="single" w:sz="4" w:space="0" w:color="auto"/>
            </w:tcBorders>
            <w:shd w:val="clear" w:color="auto" w:fill="auto"/>
          </w:tcPr>
          <w:p w14:paraId="2C5E4B99" w14:textId="77777777" w:rsidR="00E93F58" w:rsidRPr="00283424" w:rsidRDefault="00E93F58" w:rsidP="00EA0AFF">
            <w:pPr>
              <w:pStyle w:val="Tabletext"/>
            </w:pPr>
            <w:r w:rsidRPr="00283424">
              <w:t>in relation to a reporting period commencing before 1 July 2006</w:t>
            </w:r>
          </w:p>
        </w:tc>
      </w:tr>
      <w:tr w:rsidR="00E93F58" w:rsidRPr="00283424" w14:paraId="728AC5F6" w14:textId="77777777" w:rsidTr="00EA0AFF">
        <w:trPr>
          <w:cantSplit/>
        </w:trPr>
        <w:tc>
          <w:tcPr>
            <w:tcW w:w="421" w:type="pct"/>
            <w:tcBorders>
              <w:bottom w:val="single" w:sz="12" w:space="0" w:color="auto"/>
            </w:tcBorders>
            <w:shd w:val="clear" w:color="auto" w:fill="auto"/>
          </w:tcPr>
          <w:p w14:paraId="2DE05C7D" w14:textId="77777777" w:rsidR="00E93F58" w:rsidRPr="00283424" w:rsidRDefault="00E93F58" w:rsidP="00EA0AFF">
            <w:pPr>
              <w:pStyle w:val="Tabletext"/>
            </w:pPr>
            <w:r w:rsidRPr="00283424">
              <w:t>4</w:t>
            </w:r>
          </w:p>
        </w:tc>
        <w:tc>
          <w:tcPr>
            <w:tcW w:w="1227" w:type="pct"/>
            <w:tcBorders>
              <w:bottom w:val="single" w:sz="12" w:space="0" w:color="auto"/>
            </w:tcBorders>
            <w:shd w:val="clear" w:color="auto" w:fill="auto"/>
          </w:tcPr>
          <w:p w14:paraId="1348E527" w14:textId="77777777" w:rsidR="00E93F58" w:rsidRPr="00283424" w:rsidRDefault="00E93F58" w:rsidP="00EA0AFF">
            <w:pPr>
              <w:pStyle w:val="Tabletext"/>
            </w:pPr>
            <w:r w:rsidRPr="00283424">
              <w:t>Exit statement</w:t>
            </w:r>
          </w:p>
        </w:tc>
        <w:tc>
          <w:tcPr>
            <w:tcW w:w="2042" w:type="pct"/>
            <w:tcBorders>
              <w:bottom w:val="single" w:sz="12" w:space="0" w:color="auto"/>
            </w:tcBorders>
            <w:shd w:val="clear" w:color="auto" w:fill="auto"/>
          </w:tcPr>
          <w:p w14:paraId="6E8BD66B" w14:textId="77777777" w:rsidR="00E93F58" w:rsidRPr="00283424" w:rsidRDefault="00E93F58" w:rsidP="00EA0AFF">
            <w:pPr>
              <w:pStyle w:val="Tabletext"/>
            </w:pPr>
            <w:r w:rsidRPr="00283424">
              <w:t>Financial product other than superannuation product to which Division 4C of this Part applies</w:t>
            </w:r>
          </w:p>
        </w:tc>
        <w:tc>
          <w:tcPr>
            <w:tcW w:w="1310" w:type="pct"/>
            <w:tcBorders>
              <w:bottom w:val="single" w:sz="12" w:space="0" w:color="auto"/>
            </w:tcBorders>
            <w:shd w:val="clear" w:color="auto" w:fill="auto"/>
          </w:tcPr>
          <w:p w14:paraId="05ADAB21" w14:textId="77777777" w:rsidR="00E93F58" w:rsidRPr="00283424" w:rsidRDefault="00E93F58" w:rsidP="00EA0AFF">
            <w:pPr>
              <w:pStyle w:val="Tabletext"/>
            </w:pPr>
            <w:r w:rsidRPr="00283424">
              <w:t>before 1 July 2007</w:t>
            </w:r>
          </w:p>
        </w:tc>
      </w:tr>
    </w:tbl>
    <w:p w14:paraId="50D95851" w14:textId="77777777" w:rsidR="00E93F58" w:rsidRPr="00283424" w:rsidRDefault="00E93F58" w:rsidP="00B50726">
      <w:pPr>
        <w:pStyle w:val="subsection"/>
      </w:pPr>
      <w:r w:rsidRPr="00283424">
        <w:tab/>
        <w:t>(2)</w:t>
      </w:r>
      <w:r w:rsidRPr="00283424">
        <w:tab/>
        <w:t>For paragraph (1)(a), an amount has been paid in respect of a financial product if:</w:t>
      </w:r>
    </w:p>
    <w:p w14:paraId="3D1DEF45" w14:textId="77777777" w:rsidR="00E93F58" w:rsidRPr="00283424" w:rsidRDefault="00E93F58" w:rsidP="00B50726">
      <w:pPr>
        <w:pStyle w:val="paragraph"/>
      </w:pPr>
      <w:r w:rsidRPr="00283424">
        <w:tab/>
        <w:t>(a)</w:t>
      </w:r>
      <w:r w:rsidRPr="00283424">
        <w:tab/>
        <w:t>the product holder has paid an amount in respect of the product; or</w:t>
      </w:r>
    </w:p>
    <w:p w14:paraId="40710DB9" w14:textId="77777777" w:rsidR="00E93F58" w:rsidRPr="00283424" w:rsidRDefault="00E93F58" w:rsidP="00B50726">
      <w:pPr>
        <w:pStyle w:val="paragraph"/>
      </w:pPr>
      <w:r w:rsidRPr="00283424">
        <w:tab/>
        <w:t>(b)</w:t>
      </w:r>
      <w:r w:rsidRPr="00283424">
        <w:tab/>
        <w:t>an amount has been deducted from:</w:t>
      </w:r>
    </w:p>
    <w:p w14:paraId="4C283C03" w14:textId="77777777" w:rsidR="00E93F58" w:rsidRPr="00283424" w:rsidRDefault="00E93F58" w:rsidP="00B50726">
      <w:pPr>
        <w:pStyle w:val="paragraphsub"/>
      </w:pPr>
      <w:r w:rsidRPr="00283424">
        <w:tab/>
        <w:t>(i)</w:t>
      </w:r>
      <w:r w:rsidRPr="00283424">
        <w:tab/>
        <w:t>a payment made by the product holder; or</w:t>
      </w:r>
    </w:p>
    <w:p w14:paraId="3E9315B5" w14:textId="77777777" w:rsidR="00E93F58" w:rsidRPr="00283424" w:rsidRDefault="00E93F58" w:rsidP="00B50726">
      <w:pPr>
        <w:pStyle w:val="paragraphsub"/>
      </w:pPr>
      <w:r w:rsidRPr="00283424">
        <w:tab/>
        <w:t>(ii)</w:t>
      </w:r>
      <w:r w:rsidRPr="00283424">
        <w:tab/>
        <w:t>a payment made to the product holder; or</w:t>
      </w:r>
    </w:p>
    <w:p w14:paraId="2BB499B2" w14:textId="77777777" w:rsidR="00E93F58" w:rsidRPr="00283424" w:rsidRDefault="00E93F58" w:rsidP="00B50726">
      <w:pPr>
        <w:pStyle w:val="paragraph"/>
      </w:pPr>
      <w:r w:rsidRPr="00283424">
        <w:tab/>
        <w:t>(c)</w:t>
      </w:r>
      <w:r w:rsidRPr="00283424">
        <w:tab/>
        <w:t>the product holder has paid an amount or an amount has been deducted or debited as a fee, expense or charge in relation to the financial product; or</w:t>
      </w:r>
    </w:p>
    <w:p w14:paraId="4A790C71" w14:textId="77777777" w:rsidR="00E93F58" w:rsidRPr="00283424" w:rsidRDefault="00E93F58" w:rsidP="00B50726">
      <w:pPr>
        <w:pStyle w:val="paragraph"/>
      </w:pPr>
      <w:r w:rsidRPr="00283424">
        <w:tab/>
        <w:t>(d)</w:t>
      </w:r>
      <w:r w:rsidRPr="00283424">
        <w:tab/>
        <w:t>an amount is held on the product holder’s behalf under the financial product (excluding any amounts referred to in paragraph (1)(b) deducted from a common fund).</w:t>
      </w:r>
    </w:p>
    <w:p w14:paraId="20DF2F88" w14:textId="77777777" w:rsidR="00E93F58" w:rsidRPr="00283424" w:rsidRDefault="00E93F58" w:rsidP="00B50726">
      <w:pPr>
        <w:pStyle w:val="subsection"/>
      </w:pPr>
      <w:r w:rsidRPr="00283424">
        <w:tab/>
        <w:t>(3)</w:t>
      </w:r>
      <w:r w:rsidRPr="00283424">
        <w:tab/>
        <w:t>For paragraph 1017D(5A)(a) of the Act, subregulations (4) and (5) apply in relation to a financial product that has:</w:t>
      </w:r>
    </w:p>
    <w:p w14:paraId="2D2F3E23" w14:textId="77777777" w:rsidR="00E93F58" w:rsidRPr="00283424" w:rsidRDefault="00E93F58" w:rsidP="00B50726">
      <w:pPr>
        <w:pStyle w:val="paragraph"/>
      </w:pPr>
      <w:r w:rsidRPr="00283424">
        <w:tab/>
        <w:t>(a)</w:t>
      </w:r>
      <w:r w:rsidRPr="00283424">
        <w:tab/>
        <w:t>an opening or closing balance mentioned in paragraph 1017D(5)(a) of the Act; or</w:t>
      </w:r>
    </w:p>
    <w:p w14:paraId="086F945E" w14:textId="77777777" w:rsidR="00E93F58" w:rsidRPr="00283424" w:rsidRDefault="00E93F58" w:rsidP="00B50726">
      <w:pPr>
        <w:pStyle w:val="paragraph"/>
      </w:pPr>
      <w:r w:rsidRPr="00283424">
        <w:tab/>
        <w:t>(b)</w:t>
      </w:r>
      <w:r w:rsidRPr="00283424">
        <w:tab/>
        <w:t>the termination value mentioned in paragraph 1017D(5)(b) of the Act; or</w:t>
      </w:r>
    </w:p>
    <w:p w14:paraId="3B9B90D9" w14:textId="77777777" w:rsidR="00E93F58" w:rsidRPr="00283424" w:rsidRDefault="00E93F58" w:rsidP="00B50726">
      <w:pPr>
        <w:pStyle w:val="paragraph"/>
      </w:pPr>
      <w:r w:rsidRPr="00283424">
        <w:tab/>
        <w:t>(c)</w:t>
      </w:r>
      <w:r w:rsidRPr="00283424">
        <w:tab/>
        <w:t>an increase in contributions mentioned in paragraph 1017D(5)(d) of the Act; or</w:t>
      </w:r>
    </w:p>
    <w:p w14:paraId="5A109F3C" w14:textId="77777777" w:rsidR="00E93F58" w:rsidRPr="00283424" w:rsidRDefault="00E93F58" w:rsidP="00B50726">
      <w:pPr>
        <w:pStyle w:val="paragraph"/>
      </w:pPr>
      <w:r w:rsidRPr="00283424">
        <w:tab/>
        <w:t>(d)</w:t>
      </w:r>
      <w:r w:rsidRPr="00283424">
        <w:tab/>
        <w:t>a return on investment mentioned in paragraph 1017D(5)(e) of the Act.</w:t>
      </w:r>
    </w:p>
    <w:p w14:paraId="4AB9A8CC" w14:textId="77777777" w:rsidR="00E93F58" w:rsidRPr="00283424" w:rsidRDefault="00E93F58" w:rsidP="00B50726">
      <w:pPr>
        <w:pStyle w:val="subsection"/>
      </w:pPr>
      <w:r w:rsidRPr="00283424">
        <w:rPr>
          <w:color w:val="000000"/>
        </w:rPr>
        <w:tab/>
        <w:t>(4)</w:t>
      </w:r>
      <w:r w:rsidRPr="00283424">
        <w:rPr>
          <w:color w:val="000000"/>
        </w:rPr>
        <w:tab/>
        <w:t>If ASIC determines that, for a compelling reason, it is not possible to state the amount in dollars, the amount may be described as a percentage of a specified matter (including worked dollar examples, unless that is inappropriate).</w:t>
      </w:r>
    </w:p>
    <w:p w14:paraId="4F8D7872" w14:textId="77777777" w:rsidR="00E93F58" w:rsidRPr="00283424" w:rsidRDefault="00E93F58" w:rsidP="00B50726">
      <w:pPr>
        <w:pStyle w:val="subsection"/>
      </w:pPr>
      <w:r w:rsidRPr="00283424">
        <w:tab/>
        <w:t>(5)</w:t>
      </w:r>
      <w:r w:rsidRPr="00283424">
        <w:tab/>
        <w:t>If ASIC determines that, for a compelling reason, it is not possible to state the amount in dollars, or to describe the amount as a percentage, the periodic statement must include:</w:t>
      </w:r>
    </w:p>
    <w:p w14:paraId="01527B32" w14:textId="77777777" w:rsidR="00E93F58" w:rsidRPr="00283424" w:rsidRDefault="00E93F58" w:rsidP="00B50726">
      <w:pPr>
        <w:pStyle w:val="paragraph"/>
      </w:pPr>
      <w:r w:rsidRPr="00283424">
        <w:tab/>
        <w:t>(a)</w:t>
      </w:r>
      <w:r w:rsidRPr="00283424">
        <w:tab/>
        <w:t>a statement informing the holder of the product that the amount is applicable; and</w:t>
      </w:r>
    </w:p>
    <w:p w14:paraId="544CCF1B" w14:textId="77777777" w:rsidR="00E93F58" w:rsidRPr="00283424" w:rsidRDefault="00E93F58" w:rsidP="00B50726">
      <w:pPr>
        <w:pStyle w:val="paragraph"/>
      </w:pPr>
      <w:r w:rsidRPr="00283424">
        <w:tab/>
        <w:t>(b)</w:t>
      </w:r>
      <w:r w:rsidRPr="00283424">
        <w:tab/>
        <w:t>details of the means by which a product holder is able to gain access to information relating to the amount.</w:t>
      </w:r>
    </w:p>
    <w:p w14:paraId="21B22384" w14:textId="77777777" w:rsidR="00E93F58" w:rsidRPr="00283424" w:rsidRDefault="00E93F58" w:rsidP="00B50726">
      <w:pPr>
        <w:pStyle w:val="subsection"/>
      </w:pPr>
      <w:r w:rsidRPr="00283424">
        <w:tab/>
        <w:t>(6)</w:t>
      </w:r>
      <w:r w:rsidRPr="00283424">
        <w:tab/>
        <w:t>A determination under subregulation (4) or (5) must be:</w:t>
      </w:r>
    </w:p>
    <w:p w14:paraId="4A0942B0" w14:textId="77777777" w:rsidR="00E93F58" w:rsidRPr="00283424" w:rsidRDefault="00E93F58" w:rsidP="00B50726">
      <w:pPr>
        <w:pStyle w:val="paragraph"/>
      </w:pPr>
      <w:r w:rsidRPr="00283424">
        <w:tab/>
        <w:t>(a)</w:t>
      </w:r>
      <w:r w:rsidRPr="00283424">
        <w:tab/>
        <w:t>in writing; and</w:t>
      </w:r>
    </w:p>
    <w:p w14:paraId="60503B91"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010A1D85" w14:textId="77777777" w:rsidR="00E93F58" w:rsidRPr="00283424" w:rsidRDefault="00E93F58" w:rsidP="00B50726">
      <w:pPr>
        <w:pStyle w:val="ActHead5"/>
      </w:pPr>
      <w:bookmarkStart w:id="1939" w:name="_Toc152054945"/>
      <w:bookmarkStart w:id="1940" w:name="_Toc158712761"/>
      <w:r w:rsidRPr="006F296E">
        <w:rPr>
          <w:rStyle w:val="CharSectno"/>
        </w:rPr>
        <w:t>7.9.75A</w:t>
      </w:r>
      <w:r w:rsidRPr="00283424">
        <w:t xml:space="preserve">  Ways of giving information</w:t>
      </w:r>
      <w:bookmarkEnd w:id="1939"/>
      <w:bookmarkEnd w:id="1940"/>
    </w:p>
    <w:p w14:paraId="7C1B23BF" w14:textId="77777777" w:rsidR="00E93F58" w:rsidRPr="00283424" w:rsidRDefault="00E93F58" w:rsidP="00B50726">
      <w:pPr>
        <w:pStyle w:val="subsection"/>
      </w:pPr>
      <w:r w:rsidRPr="00283424">
        <w:tab/>
        <w:t>(1)</w:t>
      </w:r>
      <w:r w:rsidRPr="00283424">
        <w:tab/>
        <w:t>For paragraph 1017B(3)(c) of the Act, the following are ways in which a responsible person may notify a holder:</w:t>
      </w:r>
    </w:p>
    <w:p w14:paraId="38374B94" w14:textId="77777777" w:rsidR="00E93F58" w:rsidRPr="00283424" w:rsidRDefault="00E93F58" w:rsidP="00B50726">
      <w:pPr>
        <w:pStyle w:val="paragraph"/>
      </w:pPr>
      <w:r w:rsidRPr="00283424">
        <w:tab/>
        <w:t>(a)</w:t>
      </w:r>
      <w:r w:rsidRPr="00283424">
        <w:tab/>
        <w:t>notifying the holder in any way agreed to by the holder;</w:t>
      </w:r>
    </w:p>
    <w:p w14:paraId="3C5B2F14" w14:textId="77777777" w:rsidR="00E93F58" w:rsidRPr="00283424" w:rsidRDefault="00E93F58" w:rsidP="00B50726">
      <w:pPr>
        <w:pStyle w:val="paragraph"/>
      </w:pPr>
      <w:r w:rsidRPr="00283424">
        <w:tab/>
        <w:t>(b)</w:t>
      </w:r>
      <w:r w:rsidRPr="00283424">
        <w:tab/>
        <w:t>notifying the holder’s agent in any way agreed to by the agent.</w:t>
      </w:r>
    </w:p>
    <w:p w14:paraId="1129E298" w14:textId="77777777" w:rsidR="00E93F58" w:rsidRPr="00283424" w:rsidRDefault="00E93F58" w:rsidP="00B50726">
      <w:pPr>
        <w:pStyle w:val="subsection"/>
      </w:pPr>
      <w:r w:rsidRPr="00283424">
        <w:tab/>
        <w:t>(2)</w:t>
      </w:r>
      <w:r w:rsidRPr="00283424">
        <w:tab/>
        <w:t>For paragraph 1017D(6)(c) of the Act, the following are ways of giving a periodic statement to a holder:</w:t>
      </w:r>
    </w:p>
    <w:p w14:paraId="0EE689E8" w14:textId="77777777" w:rsidR="00E93F58" w:rsidRPr="00283424" w:rsidRDefault="00E93F58" w:rsidP="00B50726">
      <w:pPr>
        <w:pStyle w:val="paragraph"/>
      </w:pPr>
      <w:r w:rsidRPr="00283424">
        <w:tab/>
        <w:t>(a)</w:t>
      </w:r>
      <w:r w:rsidRPr="00283424">
        <w:tab/>
        <w:t>making the periodic statement available to the holder in any way agreed to by the holder;</w:t>
      </w:r>
    </w:p>
    <w:p w14:paraId="3D4554F6" w14:textId="77777777" w:rsidR="00E93F58" w:rsidRPr="00283424" w:rsidRDefault="00E93F58" w:rsidP="00B50726">
      <w:pPr>
        <w:pStyle w:val="paragraph"/>
      </w:pPr>
      <w:r w:rsidRPr="00283424">
        <w:tab/>
        <w:t>(b)</w:t>
      </w:r>
      <w:r w:rsidRPr="00283424">
        <w:tab/>
        <w:t>making the periodic statement available to the holder’s agent in any way agreed to by the agent.</w:t>
      </w:r>
    </w:p>
    <w:p w14:paraId="27D92661" w14:textId="77777777" w:rsidR="00E93F58" w:rsidRPr="00283424" w:rsidRDefault="00E93F58" w:rsidP="00B50726">
      <w:pPr>
        <w:pStyle w:val="subsection"/>
      </w:pPr>
      <w:r w:rsidRPr="00283424">
        <w:tab/>
        <w:t>(3)</w:t>
      </w:r>
      <w:r w:rsidRPr="00283424">
        <w:tab/>
        <w:t>For paragraph 1017DA(2)(c) of the Act, the following are ways in which information mentioned in subsection 1017DA(1) of the Act may be provided to a person:</w:t>
      </w:r>
    </w:p>
    <w:p w14:paraId="50A215E1" w14:textId="77777777" w:rsidR="00E93F58" w:rsidRPr="00283424" w:rsidRDefault="00E93F58" w:rsidP="00B50726">
      <w:pPr>
        <w:pStyle w:val="paragraph"/>
      </w:pPr>
      <w:r w:rsidRPr="00283424">
        <w:tab/>
        <w:t>(a)</w:t>
      </w:r>
      <w:r w:rsidRPr="00283424">
        <w:tab/>
        <w:t>in writing;</w:t>
      </w:r>
    </w:p>
    <w:p w14:paraId="752E2CE1" w14:textId="77777777" w:rsidR="00E93F58" w:rsidRPr="00283424" w:rsidRDefault="00E93F58" w:rsidP="00B50726">
      <w:pPr>
        <w:pStyle w:val="paragraph"/>
      </w:pPr>
      <w:r w:rsidRPr="00283424">
        <w:tab/>
        <w:t>(b)</w:t>
      </w:r>
      <w:r w:rsidRPr="00283424">
        <w:tab/>
        <w:t>electronically;</w:t>
      </w:r>
    </w:p>
    <w:p w14:paraId="077CB345" w14:textId="77777777" w:rsidR="00E93F58" w:rsidRPr="00283424" w:rsidRDefault="00E93F58" w:rsidP="00B50726">
      <w:pPr>
        <w:pStyle w:val="paragraph"/>
      </w:pPr>
      <w:r w:rsidRPr="00283424">
        <w:tab/>
        <w:t>(c)</w:t>
      </w:r>
      <w:r w:rsidRPr="00283424">
        <w:tab/>
        <w:t>providing the information to the person in any way agreed to by the person;</w:t>
      </w:r>
    </w:p>
    <w:p w14:paraId="55F61789" w14:textId="77777777" w:rsidR="00E93F58" w:rsidRPr="00283424" w:rsidRDefault="00E93F58" w:rsidP="00B50726">
      <w:pPr>
        <w:pStyle w:val="paragraph"/>
      </w:pPr>
      <w:r w:rsidRPr="00283424">
        <w:tab/>
        <w:t>(d)</w:t>
      </w:r>
      <w:r w:rsidRPr="00283424">
        <w:tab/>
        <w:t>making the information available to the person’s agent in any way agreed to by the agent</w:t>
      </w:r>
      <w:r w:rsidRPr="00AA751B">
        <w:t>;</w:t>
      </w:r>
    </w:p>
    <w:p w14:paraId="5CF1C8D2" w14:textId="77777777" w:rsidR="00E93F58" w:rsidRPr="00AA751B" w:rsidRDefault="00E93F58" w:rsidP="00C9171A">
      <w:pPr>
        <w:pStyle w:val="paragraph"/>
      </w:pPr>
      <w:r w:rsidRPr="00AA751B">
        <w:tab/>
        <w:t>(e)</w:t>
      </w:r>
      <w:r w:rsidRPr="00AA751B">
        <w:tab/>
        <w:t>making the information publicly available on the superannuation entity’s website.</w:t>
      </w:r>
    </w:p>
    <w:p w14:paraId="42B20944" w14:textId="77777777" w:rsidR="00E93F58" w:rsidRPr="00283424" w:rsidRDefault="00E93F58" w:rsidP="00B50726">
      <w:pPr>
        <w:pStyle w:val="subsection"/>
      </w:pPr>
      <w:r w:rsidRPr="00283424">
        <w:lastRenderedPageBreak/>
        <w:tab/>
        <w:t>(4)</w:t>
      </w:r>
      <w:r w:rsidRPr="00283424">
        <w:tab/>
        <w:t>If a provision of the Act or these Regulations imposes additional requirements in relation to a matter in subregulation (1), (2) or (3), the ways of notifying a holder, giving a periodic statement and providing information are subject to the requirements.</w:t>
      </w:r>
    </w:p>
    <w:p w14:paraId="431A3B89" w14:textId="77777777" w:rsidR="00E93F58" w:rsidRPr="00283424" w:rsidRDefault="00E93F58" w:rsidP="00B50726">
      <w:pPr>
        <w:pStyle w:val="notetext"/>
      </w:pPr>
      <w:r w:rsidRPr="00283424">
        <w:t>Note:</w:t>
      </w:r>
      <w:r w:rsidRPr="00283424">
        <w:tab/>
        <w:t>Regulation 7.9.75B is an example of an additional requirement.</w:t>
      </w:r>
    </w:p>
    <w:p w14:paraId="606ADBB2" w14:textId="77777777" w:rsidR="00E93F58" w:rsidRPr="00283424" w:rsidRDefault="00E93F58" w:rsidP="00B50726">
      <w:pPr>
        <w:pStyle w:val="subsection"/>
      </w:pPr>
      <w:r w:rsidRPr="00283424">
        <w:tab/>
        <w:t>(5)</w:t>
      </w:r>
      <w:r w:rsidRPr="00283424">
        <w:tab/>
        <w:t>For this regulation, a notification, a periodic statement or information may be given or sent to a person’s agent only if the agent is not acting as the person’s agent in one of the capacities mentioned in subsection 1015C(3) of the Act.</w:t>
      </w:r>
    </w:p>
    <w:p w14:paraId="7E7B2F33" w14:textId="77777777" w:rsidR="00E93F58" w:rsidRPr="00283424" w:rsidRDefault="00E93F58" w:rsidP="00B50726">
      <w:pPr>
        <w:pStyle w:val="ActHead5"/>
      </w:pPr>
      <w:bookmarkStart w:id="1941" w:name="_Toc152054946"/>
      <w:bookmarkStart w:id="1942" w:name="_Toc158712762"/>
      <w:r w:rsidRPr="006F296E">
        <w:rPr>
          <w:rStyle w:val="CharSectno"/>
        </w:rPr>
        <w:t>7.9.75B</w:t>
      </w:r>
      <w:r w:rsidRPr="00283424">
        <w:t xml:space="preserve">  Information in electronic form</w:t>
      </w:r>
      <w:bookmarkEnd w:id="1941"/>
      <w:bookmarkEnd w:id="1942"/>
    </w:p>
    <w:p w14:paraId="56CEBB2D" w14:textId="77777777" w:rsidR="00E93F58" w:rsidRPr="00283424" w:rsidRDefault="00E93F58" w:rsidP="00B50726">
      <w:pPr>
        <w:pStyle w:val="subsection"/>
      </w:pPr>
      <w:r w:rsidRPr="00283424">
        <w:tab/>
        <w:t>(1)</w:t>
      </w:r>
      <w:r w:rsidRPr="00283424">
        <w:tab/>
        <w:t>For:</w:t>
      </w:r>
    </w:p>
    <w:p w14:paraId="53EF8CBB" w14:textId="77777777" w:rsidR="00E93F58" w:rsidRPr="00283424" w:rsidRDefault="00E93F58" w:rsidP="00B50726">
      <w:pPr>
        <w:pStyle w:val="paragraph"/>
      </w:pPr>
      <w:r w:rsidRPr="00283424">
        <w:tab/>
        <w:t>(a)</w:t>
      </w:r>
      <w:r w:rsidRPr="00283424">
        <w:tab/>
        <w:t>paragraph 1017B(3)(b) of the Act; and</w:t>
      </w:r>
    </w:p>
    <w:p w14:paraId="27F6C48B" w14:textId="77777777" w:rsidR="00E93F58" w:rsidRPr="00283424" w:rsidRDefault="00E93F58" w:rsidP="00B50726">
      <w:pPr>
        <w:pStyle w:val="paragraph"/>
      </w:pPr>
      <w:r w:rsidRPr="00283424">
        <w:tab/>
        <w:t>(b)</w:t>
      </w:r>
      <w:r w:rsidRPr="00283424">
        <w:tab/>
        <w:t>paragraph 1017D(6)(b) of the Act; and</w:t>
      </w:r>
    </w:p>
    <w:p w14:paraId="40DEBD78" w14:textId="77777777" w:rsidR="00E93F58" w:rsidRPr="00283424" w:rsidRDefault="00E93F58" w:rsidP="00B50726">
      <w:pPr>
        <w:pStyle w:val="paragraph"/>
      </w:pPr>
      <w:r w:rsidRPr="00283424">
        <w:tab/>
        <w:t>(c)</w:t>
      </w:r>
      <w:r w:rsidRPr="00283424">
        <w:tab/>
        <w:t>paragraph 1017DA(2)(c) of the Act;</w:t>
      </w:r>
    </w:p>
    <w:p w14:paraId="3C178E8B" w14:textId="77777777" w:rsidR="00E93F58" w:rsidRPr="00283424" w:rsidRDefault="00E93F58" w:rsidP="00B50726">
      <w:pPr>
        <w:pStyle w:val="subsection2"/>
      </w:pPr>
      <w:r w:rsidRPr="00283424">
        <w:t>a notification, statement or information that is to be given in electronic form must, as far as practicable, be presented in a way that will allow the person to whom it is given to keep a copy of it so that the person can have ready access to it in the future.</w:t>
      </w:r>
    </w:p>
    <w:p w14:paraId="6EC43E30" w14:textId="77777777" w:rsidR="00E93F58" w:rsidRPr="00283424" w:rsidRDefault="00E93F58" w:rsidP="00B50726">
      <w:pPr>
        <w:pStyle w:val="subsection"/>
      </w:pPr>
      <w:r w:rsidRPr="00283424">
        <w:tab/>
        <w:t>(2)</w:t>
      </w:r>
      <w:r w:rsidRPr="00283424">
        <w:tab/>
        <w:t>A notification or statement that is to be given in electronic form must be presented in a way that clearly identifies the information that is part of the notification or statement.</w:t>
      </w:r>
    </w:p>
    <w:p w14:paraId="7992B384" w14:textId="77777777" w:rsidR="00E93F58" w:rsidRPr="00283424" w:rsidRDefault="00E93F58" w:rsidP="00B50726">
      <w:pPr>
        <w:pStyle w:val="ActHead5"/>
      </w:pPr>
      <w:bookmarkStart w:id="1943" w:name="_Toc152054947"/>
      <w:bookmarkStart w:id="1944" w:name="_Toc158712763"/>
      <w:r w:rsidRPr="006F296E">
        <w:rPr>
          <w:rStyle w:val="CharSectno"/>
        </w:rPr>
        <w:t>7.9.75C</w:t>
      </w:r>
      <w:r w:rsidRPr="00283424">
        <w:t xml:space="preserve">  Periodic statements—disclosure of amounts</w:t>
      </w:r>
      <w:bookmarkEnd w:id="1943"/>
      <w:bookmarkEnd w:id="1944"/>
    </w:p>
    <w:p w14:paraId="0BFDC75E" w14:textId="77777777" w:rsidR="00E93F58" w:rsidRPr="00283424" w:rsidRDefault="00E93F58" w:rsidP="00B50726">
      <w:pPr>
        <w:pStyle w:val="subsection"/>
      </w:pPr>
      <w:r w:rsidRPr="00283424">
        <w:tab/>
        <w:t>(1)</w:t>
      </w:r>
      <w:r w:rsidRPr="00283424">
        <w:tab/>
        <w:t xml:space="preserve">For paragraph 1017D(5A)(b) of the Act, this regulation applies to a periodic statement prepared on or after </w:t>
      </w:r>
      <w:r>
        <w:t>1 January</w:t>
      </w:r>
      <w:r w:rsidRPr="00283424">
        <w:t xml:space="preserve"> 2005 in relation to an amount mentioned in paragraph 7.9.75(1)(a) or (b) of these Regulations.</w:t>
      </w:r>
    </w:p>
    <w:p w14:paraId="21D610BB" w14:textId="77777777" w:rsidR="00E93F58" w:rsidRPr="00283424" w:rsidRDefault="00E93F58" w:rsidP="00B50726">
      <w:pPr>
        <w:pStyle w:val="subsection"/>
      </w:pPr>
      <w:r w:rsidRPr="00283424">
        <w:tab/>
        <w:t>(2)</w:t>
      </w:r>
      <w:r w:rsidRPr="00283424">
        <w:tab/>
        <w:t>If ASIC determines that, for a compelling reason, it is not possible to state the amount in dollars the amount may be described as a percentage of a specified matter (including worked dollar examples, unless that is inappropriate).</w:t>
      </w:r>
    </w:p>
    <w:p w14:paraId="2C4C9686" w14:textId="77777777" w:rsidR="00E93F58" w:rsidRPr="00283424" w:rsidRDefault="00E93F58" w:rsidP="00B50726">
      <w:pPr>
        <w:pStyle w:val="subsection"/>
      </w:pPr>
      <w:r w:rsidRPr="00283424">
        <w:tab/>
        <w:t>(3)</w:t>
      </w:r>
      <w:r w:rsidRPr="00283424">
        <w:tab/>
        <w:t>If ASIC determines that, for a compelling reason, it is not possible to state the amount in dollars, or to describe the amount as a percentage, the periodic statement must include:</w:t>
      </w:r>
    </w:p>
    <w:p w14:paraId="11375C30" w14:textId="77777777" w:rsidR="00E93F58" w:rsidRPr="00283424" w:rsidRDefault="00E93F58" w:rsidP="00B50726">
      <w:pPr>
        <w:pStyle w:val="paragraph"/>
      </w:pPr>
      <w:r w:rsidRPr="00283424">
        <w:tab/>
        <w:t>(a)</w:t>
      </w:r>
      <w:r w:rsidRPr="00283424">
        <w:tab/>
        <w:t>a statement informing the holder of the product that the amount is applicable; and</w:t>
      </w:r>
    </w:p>
    <w:p w14:paraId="13D8582F" w14:textId="77777777" w:rsidR="00E93F58" w:rsidRPr="00283424" w:rsidRDefault="00E93F58" w:rsidP="00B50726">
      <w:pPr>
        <w:pStyle w:val="paragraph"/>
      </w:pPr>
      <w:r w:rsidRPr="00283424">
        <w:tab/>
        <w:t>(b)</w:t>
      </w:r>
      <w:r w:rsidRPr="00283424">
        <w:tab/>
        <w:t>details of the means by which a product holder is able to gain access to information relating to the amount.</w:t>
      </w:r>
    </w:p>
    <w:p w14:paraId="6DBBC622" w14:textId="77777777" w:rsidR="00E93F58" w:rsidRPr="00283424" w:rsidRDefault="00E93F58" w:rsidP="00B50726">
      <w:pPr>
        <w:pStyle w:val="subsection"/>
      </w:pPr>
      <w:r w:rsidRPr="00283424">
        <w:tab/>
        <w:t>(4)</w:t>
      </w:r>
      <w:r w:rsidRPr="00283424">
        <w:tab/>
        <w:t>A determination under subregulation (2) or (3) must be:</w:t>
      </w:r>
    </w:p>
    <w:p w14:paraId="57ACF5FE" w14:textId="77777777" w:rsidR="00E93F58" w:rsidRPr="00283424" w:rsidRDefault="00E93F58" w:rsidP="00B50726">
      <w:pPr>
        <w:pStyle w:val="paragraph"/>
      </w:pPr>
      <w:r w:rsidRPr="00283424">
        <w:tab/>
        <w:t>(a)</w:t>
      </w:r>
      <w:r w:rsidRPr="00283424">
        <w:tab/>
        <w:t>in writing; and</w:t>
      </w:r>
    </w:p>
    <w:p w14:paraId="216603FE"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61B3DE45" w14:textId="77777777" w:rsidR="00E93F58" w:rsidRPr="00283424" w:rsidRDefault="00E93F58" w:rsidP="00B50726">
      <w:pPr>
        <w:pStyle w:val="ActHead5"/>
      </w:pPr>
      <w:bookmarkStart w:id="1945" w:name="_Toc152054948"/>
      <w:bookmarkStart w:id="1946" w:name="_Toc158712764"/>
      <w:r w:rsidRPr="006F296E">
        <w:rPr>
          <w:rStyle w:val="CharSectno"/>
        </w:rPr>
        <w:t>7.9.75D</w:t>
      </w:r>
      <w:r w:rsidRPr="00283424">
        <w:t xml:space="preserve">  Periodic statements—disclosure of amounts</w:t>
      </w:r>
      <w:bookmarkEnd w:id="1945"/>
      <w:bookmarkEnd w:id="1946"/>
    </w:p>
    <w:p w14:paraId="4C62E358" w14:textId="77777777" w:rsidR="00E93F58" w:rsidRPr="00283424" w:rsidRDefault="00E93F58" w:rsidP="00B50726">
      <w:pPr>
        <w:pStyle w:val="subsection"/>
      </w:pPr>
      <w:r w:rsidRPr="00283424">
        <w:tab/>
        <w:t>(1)</w:t>
      </w:r>
      <w:r w:rsidRPr="00283424">
        <w:tab/>
        <w:t xml:space="preserve">For paragraph 1017D(5A)(b) of the Act, this regulation applies to a periodic statement prepared on or after </w:t>
      </w:r>
      <w:r>
        <w:t>1 January</w:t>
      </w:r>
      <w:r w:rsidRPr="00283424">
        <w:t xml:space="preserve"> 2005 in relation to an amount mentioned in paragraph 7.9.75(1)(a) or (b) of these Regulations.</w:t>
      </w:r>
    </w:p>
    <w:p w14:paraId="08B87E7D" w14:textId="77777777" w:rsidR="00E93F58" w:rsidRPr="00283424" w:rsidRDefault="00E93F58" w:rsidP="00B50726">
      <w:pPr>
        <w:pStyle w:val="subsection"/>
      </w:pPr>
      <w:r w:rsidRPr="00283424">
        <w:tab/>
        <w:t>(2)</w:t>
      </w:r>
      <w:r w:rsidRPr="00283424">
        <w:tab/>
        <w:t>If ASIC determines that, for a compelling reason based on the nature of a financial product or service, or the nature of the information, to state the amount of the deduction in dollars:</w:t>
      </w:r>
    </w:p>
    <w:p w14:paraId="28D93AE2"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30B4AFCB"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1EC8C15C" w14:textId="77777777" w:rsidR="00E93F58" w:rsidRPr="00283424" w:rsidRDefault="00E93F58" w:rsidP="00B50726">
      <w:pPr>
        <w:pStyle w:val="paragraph"/>
      </w:pPr>
      <w:r w:rsidRPr="00283424">
        <w:tab/>
        <w:t>(c)</w:t>
      </w:r>
      <w:r w:rsidRPr="00283424">
        <w:tab/>
        <w:t>would not be in the interests of a product holder, or a class of product holders;</w:t>
      </w:r>
    </w:p>
    <w:p w14:paraId="16AEAC42" w14:textId="77777777" w:rsidR="00E93F58" w:rsidRPr="00283424" w:rsidRDefault="00E93F58" w:rsidP="00B50726">
      <w:pPr>
        <w:pStyle w:val="subsection2"/>
      </w:pPr>
      <w:r w:rsidRPr="00283424">
        <w:t>the information may be set out as a description of the amount as a percentage of a specified matter (including worked dollar examples, unless that is inappropriate).</w:t>
      </w:r>
    </w:p>
    <w:p w14:paraId="46131E8B" w14:textId="77777777" w:rsidR="00E93F58" w:rsidRPr="00283424" w:rsidRDefault="00E93F58" w:rsidP="00B50726">
      <w:pPr>
        <w:pStyle w:val="subsection"/>
      </w:pPr>
      <w:r w:rsidRPr="00283424">
        <w:tab/>
        <w:t>(3)</w:t>
      </w:r>
      <w:r w:rsidRPr="00283424">
        <w:tab/>
        <w:t>If ASIC determines that, for a compelling reason, based on the nature of a financial product or service, or the nature of the information, to state the amount of a deduction in dollars, or to describe the amount as a percentage:</w:t>
      </w:r>
    </w:p>
    <w:p w14:paraId="668787AC" w14:textId="77777777" w:rsidR="00E93F58" w:rsidRPr="00283424" w:rsidRDefault="00E93F58" w:rsidP="00B50726">
      <w:pPr>
        <w:pStyle w:val="paragraph"/>
      </w:pPr>
      <w:r w:rsidRPr="00283424">
        <w:tab/>
        <w:t>(a)</w:t>
      </w:r>
      <w:r w:rsidRPr="00283424">
        <w:tab/>
        <w:t>would impose an unreasonable burden on a product issuer, or a class of product issuers; or</w:t>
      </w:r>
    </w:p>
    <w:p w14:paraId="786CAEC4" w14:textId="77777777" w:rsidR="00E93F58" w:rsidRPr="00283424" w:rsidRDefault="00E93F58" w:rsidP="00B50726">
      <w:pPr>
        <w:pStyle w:val="paragraph"/>
      </w:pPr>
      <w:r w:rsidRPr="00283424">
        <w:tab/>
        <w:t>(b)</w:t>
      </w:r>
      <w:r w:rsidRPr="00283424">
        <w:tab/>
        <w:t>would impose an unreasonable burden on a product issuer, or a class of product issuers, within a period specified in the determination; or</w:t>
      </w:r>
    </w:p>
    <w:p w14:paraId="7C799ADF" w14:textId="77777777" w:rsidR="00E93F58" w:rsidRPr="00283424" w:rsidRDefault="00E93F58" w:rsidP="00B50726">
      <w:pPr>
        <w:pStyle w:val="paragraph"/>
      </w:pPr>
      <w:r w:rsidRPr="00283424">
        <w:lastRenderedPageBreak/>
        <w:tab/>
        <w:t>(c)</w:t>
      </w:r>
      <w:r w:rsidRPr="00283424">
        <w:tab/>
        <w:t>would not be in the interests of a product holder, or a class of product holders;</w:t>
      </w:r>
    </w:p>
    <w:p w14:paraId="60375F03" w14:textId="77777777" w:rsidR="00E93F58" w:rsidRPr="00283424" w:rsidRDefault="00E93F58" w:rsidP="00B50726">
      <w:pPr>
        <w:pStyle w:val="subsection2"/>
      </w:pPr>
      <w:r w:rsidRPr="00283424">
        <w:t>the periodic statement must include the information in subregulation (4).</w:t>
      </w:r>
    </w:p>
    <w:p w14:paraId="4744D5A0" w14:textId="77777777" w:rsidR="00E93F58" w:rsidRPr="00283424" w:rsidRDefault="00E93F58" w:rsidP="00B50726">
      <w:pPr>
        <w:pStyle w:val="subsection"/>
      </w:pPr>
      <w:r w:rsidRPr="00283424">
        <w:tab/>
        <w:t>(4)</w:t>
      </w:r>
      <w:r w:rsidRPr="00283424">
        <w:tab/>
        <w:t>If subregulation (3) applies, the periodic statement must include:</w:t>
      </w:r>
    </w:p>
    <w:p w14:paraId="36C4254E" w14:textId="77777777" w:rsidR="00E93F58" w:rsidRPr="00283424" w:rsidRDefault="00E93F58" w:rsidP="00B50726">
      <w:pPr>
        <w:pStyle w:val="paragraph"/>
      </w:pPr>
      <w:r w:rsidRPr="00283424">
        <w:tab/>
        <w:t>(a)</w:t>
      </w:r>
      <w:r w:rsidRPr="00283424">
        <w:tab/>
        <w:t>a statement informing the product holder that the amount is applicable; and</w:t>
      </w:r>
    </w:p>
    <w:p w14:paraId="1DD7F46F" w14:textId="77777777" w:rsidR="00E93F58" w:rsidRPr="00283424" w:rsidRDefault="00E93F58" w:rsidP="00B50726">
      <w:pPr>
        <w:pStyle w:val="paragraph"/>
      </w:pPr>
      <w:r w:rsidRPr="00283424">
        <w:tab/>
        <w:t>(b)</w:t>
      </w:r>
      <w:r w:rsidRPr="00283424">
        <w:tab/>
        <w:t>details of the means by which a product holder is able to gain access to information relating to the amount.</w:t>
      </w:r>
    </w:p>
    <w:p w14:paraId="00C90AAA" w14:textId="77777777" w:rsidR="00E93F58" w:rsidRPr="00283424" w:rsidRDefault="00E93F58" w:rsidP="00B50726">
      <w:pPr>
        <w:pStyle w:val="subsection"/>
      </w:pPr>
      <w:r w:rsidRPr="00283424">
        <w:tab/>
        <w:t>(5)</w:t>
      </w:r>
      <w:r w:rsidRPr="00283424">
        <w:tab/>
        <w:t>A determination under subregulation (2) or (3) must be:</w:t>
      </w:r>
    </w:p>
    <w:p w14:paraId="3BAAC20C" w14:textId="77777777" w:rsidR="00E93F58" w:rsidRPr="00283424" w:rsidRDefault="00E93F58" w:rsidP="00B50726">
      <w:pPr>
        <w:pStyle w:val="paragraph"/>
      </w:pPr>
      <w:r w:rsidRPr="00283424">
        <w:tab/>
        <w:t>(a)</w:t>
      </w:r>
      <w:r w:rsidRPr="00283424">
        <w:tab/>
        <w:t>in writing; and</w:t>
      </w:r>
    </w:p>
    <w:p w14:paraId="20E3193C" w14:textId="77777777" w:rsidR="00E93F58" w:rsidRPr="00283424" w:rsidRDefault="00E93F58" w:rsidP="00B50726">
      <w:pPr>
        <w:pStyle w:val="paragraph"/>
      </w:pPr>
      <w:r w:rsidRPr="00283424">
        <w:tab/>
        <w:t>(b)</w:t>
      </w:r>
      <w:r w:rsidRPr="00283424">
        <w:tab/>
        <w:t xml:space="preserve">published in the </w:t>
      </w:r>
      <w:r w:rsidRPr="00283424">
        <w:rPr>
          <w:i/>
        </w:rPr>
        <w:t>Gazette</w:t>
      </w:r>
      <w:r w:rsidRPr="00283424">
        <w:t>.</w:t>
      </w:r>
    </w:p>
    <w:p w14:paraId="434BCDB1" w14:textId="77777777" w:rsidR="00E93F58" w:rsidRPr="00283424" w:rsidRDefault="00E93F58" w:rsidP="00B50726">
      <w:pPr>
        <w:pStyle w:val="ActHead5"/>
      </w:pPr>
      <w:bookmarkStart w:id="1947" w:name="_Toc152054949"/>
      <w:bookmarkStart w:id="1948" w:name="_Toc158712765"/>
      <w:r w:rsidRPr="006F296E">
        <w:rPr>
          <w:rStyle w:val="CharSectno"/>
        </w:rPr>
        <w:t>7.9.76</w:t>
      </w:r>
      <w:r w:rsidRPr="00283424">
        <w:t xml:space="preserve">  Consents to certain statements</w:t>
      </w:r>
      <w:bookmarkEnd w:id="1947"/>
      <w:bookmarkEnd w:id="1948"/>
    </w:p>
    <w:p w14:paraId="4E1ED04C" w14:textId="77777777" w:rsidR="00E93F58" w:rsidRPr="00283424" w:rsidRDefault="00E93F58" w:rsidP="00B50726">
      <w:pPr>
        <w:pStyle w:val="subsection"/>
      </w:pPr>
      <w:r w:rsidRPr="00283424">
        <w:rPr>
          <w:color w:val="000000"/>
        </w:rPr>
        <w:tab/>
        <w:t>(1)</w:t>
      </w:r>
      <w:r w:rsidRPr="00283424">
        <w:rPr>
          <w:color w:val="000000"/>
        </w:rPr>
        <w:tab/>
        <w:t>For subsection 1013K(2) of the Act, the period for which a person must keep a consent or a copy of a consent is 7 years from the date of the consent.</w:t>
      </w:r>
    </w:p>
    <w:p w14:paraId="0F29DB04" w14:textId="77777777" w:rsidR="00E93F58" w:rsidRPr="00283424" w:rsidRDefault="00E93F58" w:rsidP="00B50726">
      <w:pPr>
        <w:pStyle w:val="subsection"/>
      </w:pPr>
      <w:r w:rsidRPr="00283424">
        <w:tab/>
        <w:t>(2)</w:t>
      </w:r>
      <w:r w:rsidRPr="00283424">
        <w:tab/>
        <w:t>The copy of the consent may be kept:</w:t>
      </w:r>
    </w:p>
    <w:p w14:paraId="53C3CF0A" w14:textId="77777777" w:rsidR="00E93F58" w:rsidRPr="00283424" w:rsidRDefault="00E93F58" w:rsidP="00B50726">
      <w:pPr>
        <w:pStyle w:val="paragraph"/>
      </w:pPr>
      <w:r w:rsidRPr="00283424">
        <w:rPr>
          <w:color w:val="000000"/>
        </w:rPr>
        <w:tab/>
        <w:t>(a)</w:t>
      </w:r>
      <w:r w:rsidRPr="00283424">
        <w:rPr>
          <w:color w:val="000000"/>
        </w:rPr>
        <w:tab/>
        <w:t>in its physical form; or</w:t>
      </w:r>
    </w:p>
    <w:p w14:paraId="19EAA161" w14:textId="77777777" w:rsidR="00E93F58" w:rsidRPr="00283424" w:rsidRDefault="00E93F58" w:rsidP="00B50726">
      <w:pPr>
        <w:pStyle w:val="paragraph"/>
      </w:pPr>
      <w:r w:rsidRPr="00283424">
        <w:tab/>
        <w:t>(b)</w:t>
      </w:r>
      <w:r w:rsidRPr="00283424">
        <w:tab/>
        <w:t>in an electronic form that is capable of being reproduced in physical form.</w:t>
      </w:r>
    </w:p>
    <w:p w14:paraId="593DCB8C" w14:textId="77777777" w:rsidR="00E93F58" w:rsidRPr="00283424" w:rsidRDefault="00E93F58" w:rsidP="00B50726">
      <w:pPr>
        <w:pStyle w:val="ActHead5"/>
      </w:pPr>
      <w:bookmarkStart w:id="1949" w:name="_Toc152054950"/>
      <w:bookmarkStart w:id="1950" w:name="_Toc158712766"/>
      <w:r w:rsidRPr="006F296E">
        <w:rPr>
          <w:rStyle w:val="CharSectno"/>
        </w:rPr>
        <w:t>7.9.77</w:t>
      </w:r>
      <w:r w:rsidRPr="00283424">
        <w:t xml:space="preserve">  Alternative dispute resolution requirements—product issuer that is not a financial services licensee</w:t>
      </w:r>
      <w:bookmarkEnd w:id="1949"/>
      <w:bookmarkEnd w:id="1950"/>
    </w:p>
    <w:p w14:paraId="32B69460" w14:textId="77777777" w:rsidR="00E93F58" w:rsidRPr="00283424" w:rsidRDefault="00E93F58" w:rsidP="00B50726">
      <w:pPr>
        <w:pStyle w:val="subsection"/>
      </w:pPr>
      <w:r w:rsidRPr="00283424">
        <w:tab/>
        <w:t>(1)</w:t>
      </w:r>
      <w:r w:rsidRPr="00283424">
        <w:tab/>
        <w:t>For subparagraph 1017G(2)(a)(i) of the Act, ASIC must take the following matters into account when considering whether to make or approve standards or requirements relating to internal dispute resolution:</w:t>
      </w:r>
    </w:p>
    <w:p w14:paraId="2166EA8A" w14:textId="77777777" w:rsidR="00E93F58" w:rsidRPr="00283424" w:rsidRDefault="00E93F58" w:rsidP="00B50726">
      <w:pPr>
        <w:pStyle w:val="paragraph"/>
      </w:pPr>
      <w:r w:rsidRPr="00283424">
        <w:tab/>
        <w:t>(a)</w:t>
      </w:r>
      <w:r w:rsidRPr="00283424">
        <w:tab/>
        <w:t xml:space="preserve">Australian/New Zealand Standard AS/NZS 10002:2014 </w:t>
      </w:r>
      <w:r w:rsidRPr="00283424">
        <w:rPr>
          <w:i/>
        </w:rPr>
        <w:t xml:space="preserve">Guidelines for complaint management in organizations </w:t>
      </w:r>
      <w:r w:rsidRPr="00283424">
        <w:t>published jointly by, or on behalf of, Standards Australia and Standards New Zealand, as in force or existing on 29 October 2014;</w:t>
      </w:r>
    </w:p>
    <w:p w14:paraId="04406470" w14:textId="77777777" w:rsidR="00E93F58" w:rsidRPr="00283424" w:rsidRDefault="00E93F58" w:rsidP="00B50726">
      <w:pPr>
        <w:pStyle w:val="paragraph"/>
      </w:pPr>
      <w:r w:rsidRPr="00283424">
        <w:rPr>
          <w:color w:val="000000"/>
        </w:rPr>
        <w:tab/>
        <w:t>(b)</w:t>
      </w:r>
      <w:r w:rsidRPr="00283424">
        <w:rPr>
          <w:color w:val="000000"/>
        </w:rPr>
        <w:tab/>
        <w:t>any other matter ASIC considers relevant.</w:t>
      </w:r>
    </w:p>
    <w:p w14:paraId="3559C7EC" w14:textId="77777777" w:rsidR="00E93F58" w:rsidRPr="00283424" w:rsidRDefault="00E93F58" w:rsidP="00B50726">
      <w:pPr>
        <w:pStyle w:val="subsection"/>
      </w:pPr>
      <w:r w:rsidRPr="00283424">
        <w:tab/>
        <w:t>(2)</w:t>
      </w:r>
      <w:r w:rsidRPr="00283424">
        <w:tab/>
        <w:t>ASIC may:</w:t>
      </w:r>
    </w:p>
    <w:p w14:paraId="50577B28" w14:textId="77777777" w:rsidR="00E93F58" w:rsidRPr="00283424" w:rsidRDefault="00E93F58" w:rsidP="00B50726">
      <w:pPr>
        <w:pStyle w:val="paragraph"/>
      </w:pPr>
      <w:r w:rsidRPr="00283424">
        <w:rPr>
          <w:color w:val="000000"/>
        </w:rPr>
        <w:tab/>
        <w:t>(a)</w:t>
      </w:r>
      <w:r w:rsidRPr="00283424">
        <w:rPr>
          <w:color w:val="000000"/>
        </w:rPr>
        <w:tab/>
        <w:t>vary or revoke a standard or requirement that it has made in relation to an internal dispute resolution procedure; and</w:t>
      </w:r>
    </w:p>
    <w:p w14:paraId="471C7FE1" w14:textId="77777777" w:rsidR="00E93F58" w:rsidRPr="00283424" w:rsidRDefault="00E93F58" w:rsidP="00B50726">
      <w:pPr>
        <w:pStyle w:val="paragraph"/>
      </w:pPr>
      <w:r w:rsidRPr="00283424">
        <w:tab/>
        <w:t>(b)</w:t>
      </w:r>
      <w:r w:rsidRPr="00283424">
        <w:tab/>
        <w:t>vary or revoke the operation of a standard or requirement that it has approved in its application to an internal dispute resolution procedure.</w:t>
      </w:r>
    </w:p>
    <w:p w14:paraId="2B62A61E" w14:textId="77777777" w:rsidR="00E93F58" w:rsidRPr="00283424" w:rsidRDefault="00E93F58" w:rsidP="00B50726">
      <w:pPr>
        <w:pStyle w:val="ActHead5"/>
      </w:pPr>
      <w:bookmarkStart w:id="1951" w:name="_Toc152054951"/>
      <w:bookmarkStart w:id="1952" w:name="_Toc158712767"/>
      <w:r w:rsidRPr="006F296E">
        <w:rPr>
          <w:rStyle w:val="CharSectno"/>
        </w:rPr>
        <w:t>7.9.77A</w:t>
      </w:r>
      <w:r w:rsidRPr="00283424">
        <w:t xml:space="preserve">  Dispute resolution requirement—obligation to cooperate with AFCA</w:t>
      </w:r>
      <w:bookmarkEnd w:id="1951"/>
      <w:bookmarkEnd w:id="1952"/>
    </w:p>
    <w:p w14:paraId="028B9C67" w14:textId="77777777" w:rsidR="00E93F58" w:rsidRPr="00283424" w:rsidRDefault="00E93F58" w:rsidP="00B50726">
      <w:pPr>
        <w:pStyle w:val="subsection"/>
      </w:pPr>
      <w:r w:rsidRPr="00283424">
        <w:tab/>
      </w:r>
      <w:r w:rsidRPr="00283424">
        <w:tab/>
        <w:t>For the purposes of paragraph 1020G(1)(c) of the Act, Part 7.9 of the Act applies as if subsection 1017G(1) of the Act were modified by inserting the following paragraph after paragraph 1017G(1)(d):</w:t>
      </w:r>
    </w:p>
    <w:p w14:paraId="40FBC42E" w14:textId="77777777" w:rsidR="00E93F58" w:rsidRPr="00283424" w:rsidRDefault="00E93F58" w:rsidP="00B50726">
      <w:pPr>
        <w:pStyle w:val="paragraph"/>
      </w:pPr>
      <w:r w:rsidRPr="00283424">
        <w:tab/>
        <w:t>; and (e)</w:t>
      </w:r>
      <w:r w:rsidRPr="00283424">
        <w:tab/>
        <w:t>take reasonable steps to cooperate with AFCA in resolving any complaint (other than a superannuation complaint) under the AFCA scheme to which the issuer or regulated person is a party, including by:</w:t>
      </w:r>
    </w:p>
    <w:p w14:paraId="15A1EB5D" w14:textId="77777777" w:rsidR="00E93F58" w:rsidRPr="00283424" w:rsidRDefault="00E93F58" w:rsidP="00B50726">
      <w:pPr>
        <w:pStyle w:val="paragraphsub"/>
      </w:pPr>
      <w:r w:rsidRPr="00283424">
        <w:tab/>
        <w:t>(i)</w:t>
      </w:r>
      <w:r w:rsidRPr="00283424">
        <w:tab/>
        <w:t>giving reasonable assistance to AFCA in resolving the complaint; and</w:t>
      </w:r>
    </w:p>
    <w:p w14:paraId="7FCF004F" w14:textId="77777777" w:rsidR="00E93F58" w:rsidRPr="00283424" w:rsidRDefault="00E93F58" w:rsidP="00B50726">
      <w:pPr>
        <w:pStyle w:val="paragraphsub"/>
      </w:pPr>
      <w:r w:rsidRPr="00283424">
        <w:tab/>
        <w:t>(ii)</w:t>
      </w:r>
      <w:r w:rsidRPr="00283424">
        <w:tab/>
        <w:t>identifying, locating and providing to AFCA any documents and information that AFCA reasonably requires for the purposes of resolving the complaint; and</w:t>
      </w:r>
    </w:p>
    <w:p w14:paraId="434BD960" w14:textId="77777777" w:rsidR="00E93F58" w:rsidRPr="00283424" w:rsidRDefault="00E93F58" w:rsidP="00B50726">
      <w:pPr>
        <w:pStyle w:val="paragraphsub"/>
      </w:pPr>
      <w:r w:rsidRPr="00283424">
        <w:tab/>
        <w:t>(iii)</w:t>
      </w:r>
      <w:r w:rsidRPr="00283424">
        <w:tab/>
        <w:t>giving effect to any determination made by AFCA in relation to the complaint.</w:t>
      </w:r>
    </w:p>
    <w:p w14:paraId="4FDF0952" w14:textId="77777777" w:rsidR="00E93F58" w:rsidRPr="00283424" w:rsidRDefault="00E93F58" w:rsidP="00B50726">
      <w:pPr>
        <w:pStyle w:val="ActHead5"/>
      </w:pPr>
      <w:bookmarkStart w:id="1953" w:name="_Toc152054952"/>
      <w:bookmarkStart w:id="1954" w:name="_Toc158712768"/>
      <w:r w:rsidRPr="006F296E">
        <w:rPr>
          <w:rStyle w:val="CharSectno"/>
        </w:rPr>
        <w:t>7.9.78</w:t>
      </w:r>
      <w:r w:rsidRPr="00283424">
        <w:t xml:space="preserve">  Additional statement: trustee required to provide benefits</w:t>
      </w:r>
      <w:bookmarkEnd w:id="1953"/>
      <w:bookmarkEnd w:id="1954"/>
    </w:p>
    <w:p w14:paraId="3A7579A3" w14:textId="77777777" w:rsidR="00E93F58" w:rsidRPr="00283424" w:rsidRDefault="00E93F58" w:rsidP="00B50726">
      <w:pPr>
        <w:pStyle w:val="subsection"/>
      </w:pPr>
      <w:r w:rsidRPr="00283424">
        <w:tab/>
        <w:t>(1)</w:t>
      </w:r>
      <w:r w:rsidRPr="00283424">
        <w:tab/>
        <w:t>For paragraph 1017D(5)(g) of the Act, the prescribed details in relation to a superannuation product for which there is in force a notice under subregulation 6.17A(4) of the SIS Regulations, are:</w:t>
      </w:r>
    </w:p>
    <w:p w14:paraId="47C83CCE" w14:textId="77777777" w:rsidR="00E93F58" w:rsidRPr="00283424" w:rsidRDefault="00E93F58" w:rsidP="00B50726">
      <w:pPr>
        <w:pStyle w:val="paragraph"/>
      </w:pPr>
      <w:r w:rsidRPr="00283424">
        <w:rPr>
          <w:color w:val="000000"/>
        </w:rPr>
        <w:tab/>
        <w:t>(a)</w:t>
      </w:r>
      <w:r w:rsidRPr="00283424">
        <w:rPr>
          <w:color w:val="000000"/>
        </w:rPr>
        <w:tab/>
        <w:t>the person, persons or class, or classes, of persons mentioned in the notice; and</w:t>
      </w:r>
    </w:p>
    <w:p w14:paraId="67D17576" w14:textId="77777777" w:rsidR="00E93F58" w:rsidRPr="00283424" w:rsidRDefault="00E93F58" w:rsidP="00B50726">
      <w:pPr>
        <w:pStyle w:val="paragraph"/>
      </w:pPr>
      <w:r w:rsidRPr="00283424">
        <w:tab/>
        <w:t>(b)</w:t>
      </w:r>
      <w:r w:rsidRPr="00283424">
        <w:tab/>
        <w:t>the fact that, in accordance with the notice, the trustee will pay a benefit in respect of the member, on or after the death of the member, to the person, persons or class, or classes, of persons mentioned in the notice if:</w:t>
      </w:r>
    </w:p>
    <w:p w14:paraId="69942CC5" w14:textId="77777777" w:rsidR="00E93F58" w:rsidRPr="00283424" w:rsidRDefault="00E93F58" w:rsidP="00B50726">
      <w:pPr>
        <w:pStyle w:val="paragraphsub"/>
      </w:pPr>
      <w:r w:rsidRPr="00283424">
        <w:rPr>
          <w:color w:val="000000"/>
        </w:rPr>
        <w:tab/>
        <w:t>(i)</w:t>
      </w:r>
      <w:r w:rsidRPr="00283424">
        <w:rPr>
          <w:color w:val="000000"/>
        </w:rPr>
        <w:tab/>
        <w:t>the person, or each person, mentioned in the notice is the legal personal representative or a dependant of the member; and</w:t>
      </w:r>
    </w:p>
    <w:p w14:paraId="748679E6" w14:textId="77777777" w:rsidR="00E93F58" w:rsidRPr="00283424" w:rsidRDefault="00E93F58" w:rsidP="00B50726">
      <w:pPr>
        <w:pStyle w:val="paragraphsub"/>
      </w:pPr>
      <w:r w:rsidRPr="00283424">
        <w:lastRenderedPageBreak/>
        <w:tab/>
        <w:t>(ii)</w:t>
      </w:r>
      <w:r w:rsidRPr="00283424">
        <w:tab/>
        <w:t>the proportion of the benefit that will be paid to that person, or to each of those persons, is certain or readily ascertainable from the notice or a statement under regulation 6.17B of the SIS Regulations; and</w:t>
      </w:r>
    </w:p>
    <w:p w14:paraId="65FF61D1" w14:textId="77777777" w:rsidR="00E93F58" w:rsidRPr="00283424" w:rsidRDefault="00E93F58" w:rsidP="00B50726">
      <w:pPr>
        <w:pStyle w:val="paragraphsub"/>
      </w:pPr>
      <w:r w:rsidRPr="00283424">
        <w:tab/>
        <w:t>(iii)</w:t>
      </w:r>
      <w:r w:rsidRPr="00283424">
        <w:tab/>
        <w:t>the notice is in effect; and</w:t>
      </w:r>
    </w:p>
    <w:p w14:paraId="1158731C" w14:textId="77777777" w:rsidR="00E93F58" w:rsidRPr="00283424" w:rsidRDefault="00E93F58" w:rsidP="00B50726">
      <w:pPr>
        <w:pStyle w:val="paragraph"/>
      </w:pPr>
      <w:r w:rsidRPr="00283424">
        <w:tab/>
        <w:t>(c)</w:t>
      </w:r>
      <w:r w:rsidRPr="00283424">
        <w:tab/>
        <w:t>the statement of the member about:</w:t>
      </w:r>
    </w:p>
    <w:p w14:paraId="0944A708" w14:textId="77777777" w:rsidR="00E93F58" w:rsidRPr="00283424" w:rsidRDefault="00E93F58" w:rsidP="00B50726">
      <w:pPr>
        <w:pStyle w:val="paragraphsub"/>
      </w:pPr>
      <w:r w:rsidRPr="00283424">
        <w:rPr>
          <w:color w:val="000000"/>
        </w:rPr>
        <w:tab/>
        <w:t>(i)</w:t>
      </w:r>
      <w:r w:rsidRPr="00283424">
        <w:rPr>
          <w:color w:val="000000"/>
        </w:rPr>
        <w:tab/>
        <w:t>the proportion of the benefit that will be paid to the person, or to each person, mentioned in the notice; or</w:t>
      </w:r>
    </w:p>
    <w:p w14:paraId="29C897AD" w14:textId="77777777" w:rsidR="00E93F58" w:rsidRPr="00283424" w:rsidRDefault="00E93F58" w:rsidP="00B50726">
      <w:pPr>
        <w:pStyle w:val="paragraphsub"/>
      </w:pPr>
      <w:r w:rsidRPr="00283424">
        <w:tab/>
        <w:t>(ii)</w:t>
      </w:r>
      <w:r w:rsidRPr="00283424">
        <w:tab/>
        <w:t>how that proportion is to be determined; and</w:t>
      </w:r>
    </w:p>
    <w:p w14:paraId="0F6FA36A" w14:textId="77777777" w:rsidR="00E93F58" w:rsidRPr="00283424" w:rsidRDefault="00E93F58" w:rsidP="00B50726">
      <w:pPr>
        <w:pStyle w:val="paragraph"/>
      </w:pPr>
      <w:r w:rsidRPr="00283424">
        <w:rPr>
          <w:color w:val="000000"/>
        </w:rPr>
        <w:tab/>
        <w:t>(d)</w:t>
      </w:r>
      <w:r w:rsidRPr="00283424">
        <w:rPr>
          <w:color w:val="000000"/>
        </w:rPr>
        <w:tab/>
        <w:t>the fact that the member may confirm, amend or revoke the notice in accordance with subregulation 6.17A(5) of the SIS Regulations; and</w:t>
      </w:r>
    </w:p>
    <w:p w14:paraId="48DCCBA2" w14:textId="77777777" w:rsidR="00E93F58" w:rsidRPr="00283424" w:rsidRDefault="00E93F58" w:rsidP="00B50726">
      <w:pPr>
        <w:pStyle w:val="paragraph"/>
      </w:pPr>
      <w:r w:rsidRPr="00283424">
        <w:tab/>
        <w:t>(e)</w:t>
      </w:r>
      <w:r w:rsidRPr="00283424">
        <w:tab/>
        <w:t>the date when the notice ceases to have effect under paragraph 6.17A(7)(a) or (b) of the SIS Regulations.</w:t>
      </w:r>
    </w:p>
    <w:p w14:paraId="597CF38C" w14:textId="77777777" w:rsidR="00E93F58" w:rsidRPr="00283424" w:rsidRDefault="00E93F58" w:rsidP="00B50726">
      <w:pPr>
        <w:pStyle w:val="subsection"/>
      </w:pPr>
      <w:r w:rsidRPr="00283424">
        <w:rPr>
          <w:color w:val="000000"/>
        </w:rPr>
        <w:tab/>
        <w:t>(2)</w:t>
      </w:r>
      <w:r w:rsidRPr="00283424">
        <w:rPr>
          <w:color w:val="000000"/>
        </w:rPr>
        <w:tab/>
        <w:t>The periodic statement must also include information that the member may use to confirm, amend or revoke the notice.</w:t>
      </w:r>
    </w:p>
    <w:p w14:paraId="299818B4" w14:textId="77777777" w:rsidR="00E93F58" w:rsidRPr="00283424" w:rsidRDefault="00E93F58" w:rsidP="00B50726">
      <w:pPr>
        <w:pStyle w:val="subsection"/>
      </w:pPr>
      <w:r w:rsidRPr="00283424">
        <w:tab/>
        <w:t>(3)</w:t>
      </w:r>
      <w:r w:rsidRPr="00283424">
        <w:tab/>
        <w:t>In this regulation, a reference to a notice includes a reference to the notice as confirmed, or amended, under subregulation 6.17A(5) of the SIS Regulations.</w:t>
      </w:r>
    </w:p>
    <w:p w14:paraId="4AF878DF" w14:textId="77777777" w:rsidR="00E93F58" w:rsidRPr="00283424" w:rsidRDefault="00E93F58" w:rsidP="00B50726">
      <w:pPr>
        <w:pStyle w:val="ActHead5"/>
      </w:pPr>
      <w:bookmarkStart w:id="1955" w:name="_Toc152054953"/>
      <w:bookmarkStart w:id="1956" w:name="_Toc158712769"/>
      <w:r w:rsidRPr="006F296E">
        <w:rPr>
          <w:rStyle w:val="CharSectno"/>
        </w:rPr>
        <w:t>7.9.80B</w:t>
      </w:r>
      <w:r w:rsidRPr="00283424">
        <w:t xml:space="preserve">  Short selling of certain warrants</w:t>
      </w:r>
      <w:bookmarkEnd w:id="1955"/>
      <w:bookmarkEnd w:id="1956"/>
    </w:p>
    <w:p w14:paraId="3941E7CA" w14:textId="77777777" w:rsidR="00E93F58" w:rsidRPr="00283424" w:rsidRDefault="00E93F58" w:rsidP="00B50726">
      <w:pPr>
        <w:pStyle w:val="subsection"/>
      </w:pPr>
      <w:r w:rsidRPr="00283424">
        <w:tab/>
      </w:r>
      <w:r w:rsidRPr="00283424">
        <w:tab/>
        <w:t>For paragraph 1020B(1)(d) of the Act, a financial product that is transferable and is:</w:t>
      </w:r>
    </w:p>
    <w:p w14:paraId="306615FD" w14:textId="77777777" w:rsidR="00E93F58" w:rsidRPr="00283424" w:rsidRDefault="00E93F58" w:rsidP="00B50726">
      <w:pPr>
        <w:pStyle w:val="paragraph"/>
      </w:pPr>
      <w:r w:rsidRPr="00283424">
        <w:tab/>
        <w:t>(a)</w:t>
      </w:r>
      <w:r w:rsidRPr="00283424">
        <w:tab/>
        <w:t>a derivative; or</w:t>
      </w:r>
    </w:p>
    <w:p w14:paraId="57664A13" w14:textId="77777777" w:rsidR="00E93F58" w:rsidRPr="00BE1284" w:rsidRDefault="00E93F58" w:rsidP="00D61510">
      <w:pPr>
        <w:pStyle w:val="paragraph"/>
        <w:rPr>
          <w:shd w:val="clear" w:color="auto" w:fill="FFFFFF"/>
        </w:rPr>
      </w:pPr>
      <w:r w:rsidRPr="00BE1284">
        <w:rPr>
          <w:shd w:val="clear" w:color="auto" w:fill="FFFFFF"/>
        </w:rPr>
        <w:tab/>
        <w:t>(b)</w:t>
      </w:r>
      <w:r w:rsidRPr="00BE1284">
        <w:rPr>
          <w:shd w:val="clear" w:color="auto" w:fill="FFFFFF"/>
        </w:rPr>
        <w:tab/>
        <w:t xml:space="preserve">a financial product that would, apart from the effect of paragraph 761D(3)(c) of the Act, </w:t>
      </w:r>
      <w:r w:rsidRPr="00BE1284">
        <w:t xml:space="preserve">be a derivative and is excluded from that paragraph only because it is a security described in </w:t>
      </w:r>
      <w:r>
        <w:t>paragraph 9</w:t>
      </w:r>
      <w:r w:rsidRPr="00BE1284">
        <w:t>2(5)</w:t>
      </w:r>
      <w:r>
        <w:t>(c)</w:t>
      </w:r>
      <w:r w:rsidRPr="00BE1284">
        <w:t xml:space="preserve"> of the Act</w:t>
      </w:r>
      <w:r w:rsidRPr="00BE1284">
        <w:rPr>
          <w:shd w:val="clear" w:color="auto" w:fill="FFFFFF"/>
        </w:rPr>
        <w:t>; or</w:t>
      </w:r>
    </w:p>
    <w:p w14:paraId="0A349977" w14:textId="77777777" w:rsidR="00E93F58" w:rsidRPr="00283424" w:rsidRDefault="00E93F58" w:rsidP="00B50726">
      <w:pPr>
        <w:pStyle w:val="paragraph"/>
      </w:pPr>
      <w:r w:rsidRPr="00283424">
        <w:tab/>
        <w:t>(c)</w:t>
      </w:r>
      <w:r w:rsidRPr="00283424">
        <w:tab/>
        <w:t>a legal or equitable right or interest in an interest in a managed investment scheme of the kind mentioned in paragraph 764A(1)(ba) of the Act;</w:t>
      </w:r>
    </w:p>
    <w:p w14:paraId="1EF0268D" w14:textId="77777777" w:rsidR="00E93F58" w:rsidRPr="00283424" w:rsidRDefault="00E93F58" w:rsidP="00B50726">
      <w:pPr>
        <w:pStyle w:val="subsection2"/>
      </w:pPr>
      <w:r w:rsidRPr="00283424">
        <w:t>is prescribed.</w:t>
      </w:r>
    </w:p>
    <w:p w14:paraId="7E03AB29" w14:textId="77777777" w:rsidR="00E93F58" w:rsidRPr="00283424" w:rsidRDefault="00E93F58" w:rsidP="00B50726">
      <w:pPr>
        <w:pStyle w:val="notetext"/>
      </w:pPr>
      <w:r w:rsidRPr="00283424">
        <w:t>Note:</w:t>
      </w:r>
      <w:r w:rsidRPr="00283424">
        <w:tab/>
        <w:t>Paragraph 764A(1)(ba) of the Act refers to a managed investment scheme that is not a registered scheme, other than a scheme (whether or not operated in this jurisdiction) in relation to which none of paragraphs 601ED(1)(a), (b) and (c) of the Act are satisfied.</w:t>
      </w:r>
    </w:p>
    <w:p w14:paraId="6DCA5015" w14:textId="77777777" w:rsidR="00E93F58" w:rsidRPr="00283424" w:rsidRDefault="00E93F58" w:rsidP="00B50726">
      <w:pPr>
        <w:pStyle w:val="ActHead3"/>
        <w:pageBreakBefore/>
      </w:pPr>
      <w:bookmarkStart w:id="1957" w:name="_Toc152054954"/>
      <w:bookmarkStart w:id="1958" w:name="_Toc158712770"/>
      <w:r w:rsidRPr="006F296E">
        <w:rPr>
          <w:rStyle w:val="CharDivNo"/>
        </w:rPr>
        <w:lastRenderedPageBreak/>
        <w:t>Division 9</w:t>
      </w:r>
      <w:r w:rsidRPr="00283424">
        <w:t>—</w:t>
      </w:r>
      <w:r w:rsidRPr="006F296E">
        <w:rPr>
          <w:rStyle w:val="CharDivText"/>
        </w:rPr>
        <w:t>Additional requirements for transfer of lost members and lost RSA holders</w:t>
      </w:r>
      <w:bookmarkEnd w:id="1957"/>
      <w:bookmarkEnd w:id="1958"/>
    </w:p>
    <w:p w14:paraId="056F3024" w14:textId="77777777" w:rsidR="00E93F58" w:rsidRPr="00283424" w:rsidRDefault="00E93F58" w:rsidP="00B50726">
      <w:pPr>
        <w:pStyle w:val="ActHead5"/>
      </w:pPr>
      <w:bookmarkStart w:id="1959" w:name="_Toc152054955"/>
      <w:bookmarkStart w:id="1960" w:name="_Toc158712771"/>
      <w:r w:rsidRPr="006F296E">
        <w:rPr>
          <w:rStyle w:val="CharSectno"/>
        </w:rPr>
        <w:t>7.9.81</w:t>
      </w:r>
      <w:r w:rsidRPr="00283424">
        <w:t xml:space="preserve">  Lost members</w:t>
      </w:r>
      <w:bookmarkEnd w:id="1959"/>
      <w:bookmarkEnd w:id="1960"/>
    </w:p>
    <w:p w14:paraId="159687F5" w14:textId="77777777" w:rsidR="00E93F58" w:rsidRPr="00283424" w:rsidRDefault="00E93F58" w:rsidP="00B50726">
      <w:pPr>
        <w:pStyle w:val="subsection"/>
      </w:pPr>
      <w:r w:rsidRPr="00283424">
        <w:tab/>
        <w:t>(1)</w:t>
      </w:r>
      <w:r w:rsidRPr="00283424">
        <w:tab/>
        <w:t>For paragraph 1020G(1)(c) of the Act, this regulation applies in relation to a restricted issue of a relevant financial product if:</w:t>
      </w:r>
    </w:p>
    <w:p w14:paraId="4AEA824B" w14:textId="77777777" w:rsidR="00E93F58" w:rsidRPr="00283424" w:rsidRDefault="00E93F58" w:rsidP="00B50726">
      <w:pPr>
        <w:pStyle w:val="paragraph"/>
      </w:pPr>
      <w:r w:rsidRPr="00283424">
        <w:tab/>
        <w:t>(a)</w:t>
      </w:r>
      <w:r w:rsidRPr="00283424">
        <w:tab/>
        <w:t>the issue is mentioned in paragraph 1016A(2)(c) of the Act; and</w:t>
      </w:r>
    </w:p>
    <w:p w14:paraId="21954B3E" w14:textId="77777777" w:rsidR="00E93F58" w:rsidRPr="00283424" w:rsidRDefault="00E93F58" w:rsidP="00B50726">
      <w:pPr>
        <w:pStyle w:val="paragraph"/>
      </w:pPr>
      <w:r w:rsidRPr="00283424">
        <w:tab/>
        <w:t>(b)</w:t>
      </w:r>
      <w:r w:rsidRPr="00283424">
        <w:tab/>
        <w:t>the recipient is a lost member.</w:t>
      </w:r>
    </w:p>
    <w:p w14:paraId="777454C0" w14:textId="77777777" w:rsidR="00E93F58" w:rsidRPr="00283424" w:rsidRDefault="00E93F58" w:rsidP="00B50726">
      <w:pPr>
        <w:pStyle w:val="subsection"/>
      </w:pPr>
      <w:r w:rsidRPr="00283424">
        <w:tab/>
        <w:t>(2)</w:t>
      </w:r>
      <w:r w:rsidRPr="00283424">
        <w:tab/>
        <w:t>Part 7.9 of the Act applies in relation to the restricted issue as if paragraph 1016A(2)(c) of the Act included an obligation on the trustee of the fund that is applying for the issue on behalf of the recipient to give to the trustee that is to issue the financial product:</w:t>
      </w:r>
    </w:p>
    <w:p w14:paraId="44E431AD" w14:textId="77777777" w:rsidR="00E93F58" w:rsidRPr="00283424" w:rsidRDefault="00E93F58" w:rsidP="00B50726">
      <w:pPr>
        <w:pStyle w:val="paragraph"/>
      </w:pPr>
      <w:r w:rsidRPr="00283424">
        <w:tab/>
        <w:t>(a)</w:t>
      </w:r>
      <w:r w:rsidRPr="00283424">
        <w:tab/>
        <w:t>a statement that the recipient is a lost member; and</w:t>
      </w:r>
    </w:p>
    <w:p w14:paraId="0152914B" w14:textId="77777777" w:rsidR="00E93F58" w:rsidRPr="00283424" w:rsidRDefault="00E93F58" w:rsidP="00B50726">
      <w:pPr>
        <w:pStyle w:val="paragraph"/>
      </w:pPr>
      <w:r w:rsidRPr="00283424">
        <w:tab/>
        <w:t>(b)</w:t>
      </w:r>
      <w:r w:rsidRPr="00283424">
        <w:tab/>
        <w:t>if the recipient has specifically asked the trustee making the application not to disclose information of a specified kind—a statement to that effect; and</w:t>
      </w:r>
    </w:p>
    <w:p w14:paraId="579C9CBF" w14:textId="77777777" w:rsidR="00E93F58" w:rsidRPr="00283424" w:rsidRDefault="00E93F58" w:rsidP="00B50726">
      <w:pPr>
        <w:pStyle w:val="paragraph"/>
      </w:pPr>
      <w:r w:rsidRPr="00283424">
        <w:tab/>
        <w:t>(c)</w:t>
      </w:r>
      <w:r w:rsidRPr="00283424">
        <w:tab/>
        <w:t>all information in the possession of the trustee making the application that could reasonably help the other trustee to locate or identify the recipient, other than information of a kind that the recipient has specifically asked the trustee not to disclose.</w:t>
      </w:r>
    </w:p>
    <w:p w14:paraId="2E363590" w14:textId="77777777" w:rsidR="00E93F58" w:rsidRPr="00283424" w:rsidRDefault="00E93F58" w:rsidP="00B50726">
      <w:pPr>
        <w:pStyle w:val="ActHead5"/>
      </w:pPr>
      <w:bookmarkStart w:id="1961" w:name="_Toc152054956"/>
      <w:bookmarkStart w:id="1962" w:name="_Toc158712772"/>
      <w:r w:rsidRPr="006F296E">
        <w:rPr>
          <w:rStyle w:val="CharSectno"/>
        </w:rPr>
        <w:t>7.9.82</w:t>
      </w:r>
      <w:r w:rsidRPr="00283424">
        <w:t xml:space="preserve">  Lost RSA holders</w:t>
      </w:r>
      <w:bookmarkEnd w:id="1961"/>
      <w:bookmarkEnd w:id="1962"/>
    </w:p>
    <w:p w14:paraId="70B1A303" w14:textId="77777777" w:rsidR="00E93F58" w:rsidRPr="00283424" w:rsidRDefault="00E93F58" w:rsidP="00B50726">
      <w:pPr>
        <w:pStyle w:val="subsection"/>
      </w:pPr>
      <w:r w:rsidRPr="00283424">
        <w:tab/>
        <w:t>(1)</w:t>
      </w:r>
      <w:r w:rsidRPr="00283424">
        <w:tab/>
        <w:t>For paragraph 1020G(1)(c) of the Act, this regulation applies in relation to a restricted issue of a relevant financial product if:</w:t>
      </w:r>
    </w:p>
    <w:p w14:paraId="69C791CA" w14:textId="77777777" w:rsidR="00E93F58" w:rsidRPr="00283424" w:rsidRDefault="00E93F58" w:rsidP="00B50726">
      <w:pPr>
        <w:pStyle w:val="paragraph"/>
      </w:pPr>
      <w:r w:rsidRPr="00283424">
        <w:tab/>
        <w:t>(a)</w:t>
      </w:r>
      <w:r w:rsidRPr="00283424">
        <w:tab/>
        <w:t>the issue is mentioned in paragraph 1016A(2)(d) of the Act; and</w:t>
      </w:r>
    </w:p>
    <w:p w14:paraId="2830DB36" w14:textId="77777777" w:rsidR="00E93F58" w:rsidRPr="00283424" w:rsidRDefault="00E93F58" w:rsidP="00B50726">
      <w:pPr>
        <w:pStyle w:val="paragraph"/>
      </w:pPr>
      <w:r w:rsidRPr="00283424">
        <w:tab/>
        <w:t>(b)</w:t>
      </w:r>
      <w:r w:rsidRPr="00283424">
        <w:tab/>
        <w:t>the recipient is a lost RSA holder.</w:t>
      </w:r>
    </w:p>
    <w:p w14:paraId="75565E83" w14:textId="77777777" w:rsidR="00E93F58" w:rsidRPr="00283424" w:rsidRDefault="00E93F58" w:rsidP="00B50726">
      <w:pPr>
        <w:pStyle w:val="subsection"/>
      </w:pPr>
      <w:r w:rsidRPr="00283424">
        <w:tab/>
        <w:t>(2)</w:t>
      </w:r>
      <w:r w:rsidRPr="00283424">
        <w:tab/>
        <w:t>Part 7.9 of the Act applies in relation to the restricted issue as if paragraph 1016A(2)(d) of the Act included an obligation on the RSA provider that is applying for the issue on behalf of the recipient to give to the trustee that is to issue the financial product:</w:t>
      </w:r>
    </w:p>
    <w:p w14:paraId="0D74B4C4" w14:textId="77777777" w:rsidR="00E93F58" w:rsidRPr="00283424" w:rsidRDefault="00E93F58" w:rsidP="00B50726">
      <w:pPr>
        <w:pStyle w:val="paragraph"/>
      </w:pPr>
      <w:r w:rsidRPr="00283424">
        <w:tab/>
        <w:t>(a)</w:t>
      </w:r>
      <w:r w:rsidRPr="00283424">
        <w:tab/>
        <w:t>a statement that the recipient is a lost RSA holder; and</w:t>
      </w:r>
    </w:p>
    <w:p w14:paraId="51476957" w14:textId="77777777" w:rsidR="00E93F58" w:rsidRPr="00283424" w:rsidRDefault="00E93F58" w:rsidP="00B50726">
      <w:pPr>
        <w:pStyle w:val="paragraph"/>
      </w:pPr>
      <w:r w:rsidRPr="00283424">
        <w:tab/>
        <w:t>(b)</w:t>
      </w:r>
      <w:r w:rsidRPr="00283424">
        <w:tab/>
        <w:t>if the recipient has specifically asked the RSA holder not to disclose information of a specified kind—a statement to that effect; and</w:t>
      </w:r>
    </w:p>
    <w:p w14:paraId="3BA119E7" w14:textId="77777777" w:rsidR="00E93F58" w:rsidRPr="00283424" w:rsidRDefault="00E93F58" w:rsidP="00B50726">
      <w:pPr>
        <w:pStyle w:val="paragraph"/>
      </w:pPr>
      <w:r w:rsidRPr="00283424">
        <w:tab/>
        <w:t>(c)</w:t>
      </w:r>
      <w:r w:rsidRPr="00283424">
        <w:tab/>
        <w:t>all information in the possession of the RSA holder that could reasonably help the trustee to locate or identify the recipient, other than information of a kind that the recipient has specifically asked the RSA holder not to disclose.</w:t>
      </w:r>
    </w:p>
    <w:p w14:paraId="2E6B90F4" w14:textId="77777777" w:rsidR="00E93F58" w:rsidRPr="00283424" w:rsidRDefault="00E93F58" w:rsidP="00B50726">
      <w:pPr>
        <w:pStyle w:val="ActHead3"/>
        <w:pageBreakBefore/>
      </w:pPr>
      <w:bookmarkStart w:id="1963" w:name="_Toc152054957"/>
      <w:bookmarkStart w:id="1964" w:name="_Toc158712773"/>
      <w:r w:rsidRPr="006F296E">
        <w:rPr>
          <w:rStyle w:val="CharDivNo"/>
        </w:rPr>
        <w:lastRenderedPageBreak/>
        <w:t>Division 11</w:t>
      </w:r>
      <w:r w:rsidRPr="00283424">
        <w:t>—</w:t>
      </w:r>
      <w:r w:rsidRPr="006F296E">
        <w:rPr>
          <w:rStyle w:val="CharDivText"/>
        </w:rPr>
        <w:t>Superannuation to which arrangements apply under the Family Law Act 1975</w:t>
      </w:r>
      <w:bookmarkEnd w:id="1963"/>
      <w:bookmarkEnd w:id="1964"/>
    </w:p>
    <w:p w14:paraId="6FA4B8E7" w14:textId="77777777" w:rsidR="00E93F58" w:rsidRPr="00283424" w:rsidRDefault="00E93F58" w:rsidP="00B50726">
      <w:pPr>
        <w:pStyle w:val="ActHead5"/>
      </w:pPr>
      <w:bookmarkStart w:id="1965" w:name="_Toc152054958"/>
      <w:bookmarkStart w:id="1966" w:name="_Toc158712774"/>
      <w:r w:rsidRPr="006F296E">
        <w:rPr>
          <w:rStyle w:val="CharSectno"/>
        </w:rPr>
        <w:t>7.9.84</w:t>
      </w:r>
      <w:r w:rsidRPr="00283424">
        <w:t xml:space="preserve">  Definitions for Division 11</w:t>
      </w:r>
      <w:bookmarkEnd w:id="1965"/>
      <w:bookmarkEnd w:id="1966"/>
    </w:p>
    <w:p w14:paraId="1D567513" w14:textId="77777777" w:rsidR="00E93F58" w:rsidRPr="00283424" w:rsidRDefault="00E93F58" w:rsidP="00B50726">
      <w:pPr>
        <w:pStyle w:val="subsection"/>
      </w:pPr>
      <w:r w:rsidRPr="00283424">
        <w:tab/>
      </w:r>
      <w:r w:rsidRPr="00283424">
        <w:tab/>
        <w:t>In this Division:</w:t>
      </w:r>
    </w:p>
    <w:p w14:paraId="18D616D2" w14:textId="77777777" w:rsidR="00E93F58" w:rsidRPr="00283424" w:rsidRDefault="00E93F58" w:rsidP="00B50726">
      <w:pPr>
        <w:pStyle w:val="Definition"/>
      </w:pPr>
      <w:r w:rsidRPr="00283424">
        <w:rPr>
          <w:b/>
          <w:i/>
        </w:rPr>
        <w:t>adjusted base amount</w:t>
      </w:r>
      <w:r w:rsidRPr="00283424">
        <w:t>, in relation to a non</w:t>
      </w:r>
      <w:r>
        <w:noBreakHyphen/>
      </w:r>
      <w:r w:rsidRPr="00283424">
        <w:t>member spouse on a day, means the adjusted base amount applicable to the non</w:t>
      </w:r>
      <w:r>
        <w:noBreakHyphen/>
      </w:r>
      <w:r w:rsidRPr="00283424">
        <w:t xml:space="preserve">member spouse on that day worked out under regulation 47 of the </w:t>
      </w:r>
      <w:r w:rsidRPr="00283424">
        <w:rPr>
          <w:i/>
        </w:rPr>
        <w:t xml:space="preserve">Family Law (Superannuation) </w:t>
      </w:r>
      <w:r>
        <w:rPr>
          <w:i/>
        </w:rPr>
        <w:t>Regulations 2</w:t>
      </w:r>
      <w:r w:rsidRPr="00283424">
        <w:rPr>
          <w:i/>
        </w:rPr>
        <w:t>001</w:t>
      </w:r>
      <w:r w:rsidRPr="00283424">
        <w:t>.</w:t>
      </w:r>
    </w:p>
    <w:p w14:paraId="6836439D" w14:textId="77777777" w:rsidR="00E93F58" w:rsidRPr="00283424" w:rsidRDefault="00E93F58" w:rsidP="00B50726">
      <w:pPr>
        <w:pStyle w:val="Definition"/>
      </w:pPr>
      <w:r w:rsidRPr="00283424">
        <w:rPr>
          <w:b/>
          <w:i/>
        </w:rPr>
        <w:t>base amount</w:t>
      </w:r>
      <w:r w:rsidRPr="00283424">
        <w:t>, in relation to a non</w:t>
      </w:r>
      <w:r>
        <w:noBreakHyphen/>
      </w:r>
      <w:r w:rsidRPr="00283424">
        <w:t xml:space="preserve">member spouse means the amount mentioned in regulation 45 of the </w:t>
      </w:r>
      <w:r w:rsidRPr="00283424">
        <w:rPr>
          <w:i/>
        </w:rPr>
        <w:t xml:space="preserve">Family Law (Superannuation) </w:t>
      </w:r>
      <w:r>
        <w:rPr>
          <w:i/>
        </w:rPr>
        <w:t>Regulations 2</w:t>
      </w:r>
      <w:r w:rsidRPr="00283424">
        <w:rPr>
          <w:i/>
        </w:rPr>
        <w:t>001</w:t>
      </w:r>
      <w:r w:rsidRPr="00283424">
        <w:t>.</w:t>
      </w:r>
    </w:p>
    <w:p w14:paraId="04CCC943" w14:textId="77777777" w:rsidR="00E93F58" w:rsidRPr="00283424" w:rsidRDefault="00E93F58" w:rsidP="00B50726">
      <w:pPr>
        <w:pStyle w:val="Definition"/>
      </w:pPr>
      <w:r w:rsidRPr="00283424">
        <w:rPr>
          <w:b/>
          <w:i/>
        </w:rPr>
        <w:t>base amount payment split</w:t>
      </w:r>
      <w:r w:rsidRPr="00283424">
        <w:t>, in relation to a superannuation interest, means a payment split under which a base amount is allocated to the non</w:t>
      </w:r>
      <w:r>
        <w:noBreakHyphen/>
      </w:r>
      <w:r w:rsidRPr="00283424">
        <w:t xml:space="preserve">member spouse in relation to the superannuation interest under Part VIIIB or VIIIC of the </w:t>
      </w:r>
      <w:r w:rsidRPr="00283424">
        <w:rPr>
          <w:i/>
        </w:rPr>
        <w:t>Family Law Act 1975</w:t>
      </w:r>
      <w:r w:rsidRPr="00283424">
        <w:t>.</w:t>
      </w:r>
    </w:p>
    <w:p w14:paraId="3F51C00B" w14:textId="77777777" w:rsidR="00E93F58" w:rsidRPr="00283424" w:rsidRDefault="00E93F58" w:rsidP="00B50726">
      <w:pPr>
        <w:pStyle w:val="Definition"/>
      </w:pPr>
      <w:r w:rsidRPr="00283424">
        <w:rPr>
          <w:b/>
          <w:i/>
        </w:rPr>
        <w:t>flag lifting agreement</w:t>
      </w:r>
      <w:r w:rsidRPr="00283424">
        <w:t xml:space="preserve"> means a flag lifting agreement within the meaning of Part VIIIB or VIIIC of the </w:t>
      </w:r>
      <w:r w:rsidRPr="00283424">
        <w:rPr>
          <w:i/>
        </w:rPr>
        <w:t>Family Law Act 1975</w:t>
      </w:r>
      <w:r w:rsidRPr="00283424">
        <w:t>.</w:t>
      </w:r>
    </w:p>
    <w:p w14:paraId="3E414262" w14:textId="77777777" w:rsidR="00E93F58" w:rsidRPr="00283424" w:rsidRDefault="00E93F58" w:rsidP="00B50726">
      <w:pPr>
        <w:pStyle w:val="Definition"/>
      </w:pPr>
      <w:r w:rsidRPr="00283424">
        <w:rPr>
          <w:b/>
          <w:i/>
        </w:rPr>
        <w:t>member spouse</w:t>
      </w:r>
      <w:r w:rsidRPr="00283424">
        <w:t xml:space="preserve">, in relation to a superannuation interest that is subject to a payment split, means the person who is the member spouse within the meaning of Part VIIIB or VIIIC of the </w:t>
      </w:r>
      <w:r w:rsidRPr="00283424">
        <w:rPr>
          <w:i/>
        </w:rPr>
        <w:t>Family Law Act 1975</w:t>
      </w:r>
      <w:r w:rsidRPr="00283424">
        <w:t xml:space="preserve"> in relation to the interest.</w:t>
      </w:r>
    </w:p>
    <w:p w14:paraId="689C8204" w14:textId="77777777" w:rsidR="00E93F58" w:rsidRPr="00283424" w:rsidRDefault="00E93F58" w:rsidP="00B50726">
      <w:pPr>
        <w:pStyle w:val="Definition"/>
      </w:pPr>
      <w:r w:rsidRPr="00283424">
        <w:rPr>
          <w:b/>
          <w:i/>
        </w:rPr>
        <w:t>non</w:t>
      </w:r>
      <w:r>
        <w:rPr>
          <w:b/>
          <w:i/>
        </w:rPr>
        <w:noBreakHyphen/>
      </w:r>
      <w:r w:rsidRPr="00283424">
        <w:rPr>
          <w:b/>
          <w:i/>
        </w:rPr>
        <w:t>member spouse</w:t>
      </w:r>
      <w:r w:rsidRPr="00283424">
        <w:t>, in relation to a superannuation interest that is subject to a payment split, means the person who is the non</w:t>
      </w:r>
      <w:r>
        <w:noBreakHyphen/>
      </w:r>
      <w:r w:rsidRPr="00283424">
        <w:t xml:space="preserve">member spouse within the meaning of Part VIIIB or VIIIC of the </w:t>
      </w:r>
      <w:r w:rsidRPr="00283424">
        <w:rPr>
          <w:i/>
        </w:rPr>
        <w:t>Family Law Act 1975</w:t>
      </w:r>
      <w:r w:rsidRPr="00283424">
        <w:t xml:space="preserve"> in relation to the interest.</w:t>
      </w:r>
    </w:p>
    <w:p w14:paraId="5734BA2E" w14:textId="77777777" w:rsidR="00E93F58" w:rsidRPr="00283424" w:rsidRDefault="00E93F58" w:rsidP="00B50726">
      <w:pPr>
        <w:pStyle w:val="Definition"/>
      </w:pPr>
      <w:r w:rsidRPr="00283424">
        <w:rPr>
          <w:b/>
          <w:i/>
        </w:rPr>
        <w:t>payment split</w:t>
      </w:r>
      <w:r w:rsidRPr="00283424">
        <w:t xml:space="preserve"> means a payment split within the meaning of Part VIIIB or VIIIC of the </w:t>
      </w:r>
      <w:r w:rsidRPr="00283424">
        <w:rPr>
          <w:i/>
        </w:rPr>
        <w:t>Family Law Act 1975</w:t>
      </w:r>
      <w:r w:rsidRPr="00283424">
        <w:t>.</w:t>
      </w:r>
    </w:p>
    <w:p w14:paraId="1CD751AD" w14:textId="77777777" w:rsidR="00E93F58" w:rsidRPr="00283424" w:rsidRDefault="00E93F58" w:rsidP="00B50726">
      <w:pPr>
        <w:pStyle w:val="Definition"/>
      </w:pPr>
      <w:r w:rsidRPr="00283424">
        <w:rPr>
          <w:b/>
          <w:i/>
        </w:rPr>
        <w:t>payment split notice</w:t>
      </w:r>
      <w:r w:rsidRPr="00283424">
        <w:t xml:space="preserve"> means a notice given by a product issuer under:</w:t>
      </w:r>
    </w:p>
    <w:p w14:paraId="0B6520F5" w14:textId="77777777" w:rsidR="00E93F58" w:rsidRPr="00283424" w:rsidRDefault="00E93F58" w:rsidP="00B50726">
      <w:pPr>
        <w:pStyle w:val="paragraph"/>
      </w:pPr>
      <w:r w:rsidRPr="00283424">
        <w:tab/>
        <w:t>(a)</w:t>
      </w:r>
      <w:r w:rsidRPr="00283424">
        <w:tab/>
        <w:t>regulation 7A.03 of the SIS Regulations; or</w:t>
      </w:r>
    </w:p>
    <w:p w14:paraId="41AE18F1" w14:textId="77777777" w:rsidR="00E93F58" w:rsidRPr="00283424" w:rsidRDefault="00E93F58" w:rsidP="00B50726">
      <w:pPr>
        <w:pStyle w:val="paragraph"/>
      </w:pPr>
      <w:r w:rsidRPr="00283424">
        <w:tab/>
        <w:t>(b)</w:t>
      </w:r>
      <w:r w:rsidRPr="00283424">
        <w:tab/>
        <w:t>regulation 4A.03 of the RSA Regulations.</w:t>
      </w:r>
    </w:p>
    <w:p w14:paraId="4EFFA965" w14:textId="77777777" w:rsidR="00E93F58" w:rsidRPr="00283424" w:rsidRDefault="00E93F58" w:rsidP="00B50726">
      <w:pPr>
        <w:pStyle w:val="Definition"/>
      </w:pPr>
      <w:r w:rsidRPr="00283424">
        <w:rPr>
          <w:b/>
          <w:i/>
        </w:rPr>
        <w:t>percentage</w:t>
      </w:r>
      <w:r>
        <w:rPr>
          <w:b/>
          <w:i/>
        </w:rPr>
        <w:noBreakHyphen/>
      </w:r>
      <w:r w:rsidRPr="00283424">
        <w:rPr>
          <w:b/>
          <w:i/>
        </w:rPr>
        <w:t>only interest</w:t>
      </w:r>
      <w:r w:rsidRPr="00283424">
        <w:t xml:space="preserve"> means percentage</w:t>
      </w:r>
      <w:r>
        <w:noBreakHyphen/>
      </w:r>
      <w:r w:rsidRPr="00283424">
        <w:t xml:space="preserve">only interest within the meaning of Part VIIIB or VIIIC of the </w:t>
      </w:r>
      <w:r w:rsidRPr="00283424">
        <w:rPr>
          <w:i/>
        </w:rPr>
        <w:t>Family Law Act 1975</w:t>
      </w:r>
      <w:r w:rsidRPr="00283424">
        <w:t>.</w:t>
      </w:r>
    </w:p>
    <w:p w14:paraId="41126B59" w14:textId="77777777" w:rsidR="00E93F58" w:rsidRPr="00283424" w:rsidRDefault="00E93F58" w:rsidP="00B50726">
      <w:pPr>
        <w:pStyle w:val="Definition"/>
      </w:pPr>
      <w:r w:rsidRPr="00283424">
        <w:rPr>
          <w:b/>
          <w:i/>
        </w:rPr>
        <w:t>percentage payment split</w:t>
      </w:r>
      <w:r w:rsidRPr="00283424">
        <w:t>, in relation to a superannuation interest, means a payment split under a superannuation agreement, flag lifting agreement or splitting order that specifies a percentage that is to apply to all splittable payments in respect of the superannuation interest.</w:t>
      </w:r>
    </w:p>
    <w:p w14:paraId="7AACFF22" w14:textId="77777777" w:rsidR="00E93F58" w:rsidRPr="00283424" w:rsidRDefault="00E93F58" w:rsidP="00B50726">
      <w:pPr>
        <w:pStyle w:val="Definition"/>
      </w:pPr>
      <w:r w:rsidRPr="00283424">
        <w:rPr>
          <w:b/>
          <w:i/>
        </w:rPr>
        <w:t>splitting order</w:t>
      </w:r>
      <w:r w:rsidRPr="00283424">
        <w:t xml:space="preserve"> means a splitting order within the meaning of Part VIIIB or VIIIC of the </w:t>
      </w:r>
      <w:r w:rsidRPr="00283424">
        <w:rPr>
          <w:i/>
        </w:rPr>
        <w:t>Family Law Act 1975</w:t>
      </w:r>
      <w:r w:rsidRPr="00283424">
        <w:t>.</w:t>
      </w:r>
    </w:p>
    <w:p w14:paraId="59C4B855" w14:textId="77777777" w:rsidR="00E93F58" w:rsidRPr="00283424" w:rsidRDefault="00E93F58" w:rsidP="00B50726">
      <w:pPr>
        <w:pStyle w:val="Definition"/>
      </w:pPr>
      <w:r w:rsidRPr="00283424">
        <w:rPr>
          <w:b/>
          <w:i/>
        </w:rPr>
        <w:t>superannuation agreement</w:t>
      </w:r>
      <w:r w:rsidRPr="00283424">
        <w:t xml:space="preserve"> means a superannuation agreement within the meaning of Part VIIIB or VIIIC of the </w:t>
      </w:r>
      <w:r w:rsidRPr="00283424">
        <w:rPr>
          <w:i/>
        </w:rPr>
        <w:t>Family Law Act 1975</w:t>
      </w:r>
      <w:r w:rsidRPr="00283424">
        <w:t>.</w:t>
      </w:r>
    </w:p>
    <w:p w14:paraId="6AE06DD1" w14:textId="77777777" w:rsidR="00E93F58" w:rsidRPr="00283424" w:rsidRDefault="00E93F58" w:rsidP="00B50726">
      <w:pPr>
        <w:pStyle w:val="Definition"/>
      </w:pPr>
      <w:r w:rsidRPr="00283424">
        <w:rPr>
          <w:b/>
          <w:i/>
        </w:rPr>
        <w:t>superannuation interest</w:t>
      </w:r>
      <w:r w:rsidRPr="00283424">
        <w:t xml:space="preserve"> means a superannuation interest within the meaning of Part VIIIB or VIIIC of the </w:t>
      </w:r>
      <w:r w:rsidRPr="00283424">
        <w:rPr>
          <w:i/>
        </w:rPr>
        <w:t>Family Law Act 1975</w:t>
      </w:r>
      <w:r w:rsidRPr="00283424">
        <w:t>.</w:t>
      </w:r>
    </w:p>
    <w:p w14:paraId="3EE1DC11" w14:textId="77777777" w:rsidR="00E93F58" w:rsidRPr="00283424" w:rsidRDefault="00E93F58" w:rsidP="00B50726">
      <w:pPr>
        <w:pStyle w:val="ActHead5"/>
      </w:pPr>
      <w:bookmarkStart w:id="1967" w:name="_Toc152054959"/>
      <w:bookmarkStart w:id="1968" w:name="_Toc158712775"/>
      <w:r w:rsidRPr="006F296E">
        <w:rPr>
          <w:rStyle w:val="CharSectno"/>
        </w:rPr>
        <w:t>7.9.85</w:t>
      </w:r>
      <w:r w:rsidRPr="00283424">
        <w:t xml:space="preserve">  Application of Division 11</w:t>
      </w:r>
      <w:bookmarkEnd w:id="1967"/>
      <w:bookmarkEnd w:id="1968"/>
    </w:p>
    <w:p w14:paraId="79C45CCD" w14:textId="77777777" w:rsidR="00E93F58" w:rsidRPr="00283424" w:rsidRDefault="00E93F58" w:rsidP="00B50726">
      <w:pPr>
        <w:pStyle w:val="subsection"/>
      </w:pPr>
      <w:r w:rsidRPr="00283424">
        <w:tab/>
      </w:r>
      <w:r w:rsidRPr="00283424">
        <w:tab/>
        <w:t>This Division applies in relation to a superannuation interest.</w:t>
      </w:r>
    </w:p>
    <w:p w14:paraId="7D292280" w14:textId="77777777" w:rsidR="00E93F58" w:rsidRPr="00283424" w:rsidRDefault="00E93F58" w:rsidP="00B50726">
      <w:pPr>
        <w:pStyle w:val="ActHead5"/>
      </w:pPr>
      <w:bookmarkStart w:id="1969" w:name="_Toc152054960"/>
      <w:bookmarkStart w:id="1970" w:name="_Toc158712776"/>
      <w:r w:rsidRPr="006F296E">
        <w:rPr>
          <w:rStyle w:val="CharSectno"/>
        </w:rPr>
        <w:t>7.9.86</w:t>
      </w:r>
      <w:r w:rsidRPr="00283424">
        <w:t xml:space="preserve">  Acquisition of financial product</w:t>
      </w:r>
      <w:bookmarkEnd w:id="1969"/>
      <w:bookmarkEnd w:id="1970"/>
    </w:p>
    <w:p w14:paraId="2E1D766C" w14:textId="77777777" w:rsidR="00E93F58" w:rsidRPr="00283424" w:rsidRDefault="00E93F58" w:rsidP="00B50726">
      <w:pPr>
        <w:pStyle w:val="subsection"/>
      </w:pPr>
      <w:r w:rsidRPr="00283424">
        <w:tab/>
      </w:r>
      <w:r w:rsidRPr="00283424">
        <w:tab/>
        <w:t>For paragraph 761E(7)(a) of the Act, if:</w:t>
      </w:r>
    </w:p>
    <w:p w14:paraId="3B54D2B2" w14:textId="77777777" w:rsidR="00E93F58" w:rsidRPr="00283424" w:rsidRDefault="00E93F58" w:rsidP="00B50726">
      <w:pPr>
        <w:pStyle w:val="paragraph"/>
      </w:pPr>
      <w:r w:rsidRPr="00283424">
        <w:tab/>
        <w:t>(a)</w:t>
      </w:r>
      <w:r w:rsidRPr="00283424">
        <w:tab/>
        <w:t>a person is a non</w:t>
      </w:r>
      <w:r>
        <w:noBreakHyphen/>
      </w:r>
      <w:r w:rsidRPr="00283424">
        <w:t>member spouse; and</w:t>
      </w:r>
    </w:p>
    <w:p w14:paraId="4023B8C0" w14:textId="77777777" w:rsidR="00E93F58" w:rsidRPr="00283424" w:rsidRDefault="00E93F58" w:rsidP="00B50726">
      <w:pPr>
        <w:pStyle w:val="paragraph"/>
      </w:pPr>
      <w:r w:rsidRPr="00283424">
        <w:tab/>
        <w:t>(b)</w:t>
      </w:r>
      <w:r w:rsidRPr="00283424">
        <w:tab/>
        <w:t>an entitlement to a benefit in relation to a superannuation interest under a payment split is first issued, granted or otherwise made available to that person;</w:t>
      </w:r>
    </w:p>
    <w:p w14:paraId="35737F88" w14:textId="77777777" w:rsidR="00E93F58" w:rsidRPr="00283424" w:rsidRDefault="00E93F58" w:rsidP="00B50726">
      <w:pPr>
        <w:pStyle w:val="subsection2"/>
      </w:pPr>
      <w:r w:rsidRPr="00283424">
        <w:t xml:space="preserve">the person is taken to have been issued with a superannuation product or an </w:t>
      </w:r>
      <w:r w:rsidRPr="00BE1284">
        <w:t>RSA</w:t>
      </w:r>
      <w:r w:rsidRPr="00283424">
        <w:t xml:space="preserve"> as appropriate.</w:t>
      </w:r>
    </w:p>
    <w:p w14:paraId="2AF05FD2" w14:textId="77777777" w:rsidR="00E93F58" w:rsidRPr="00283424" w:rsidRDefault="00E93F58" w:rsidP="00B50726">
      <w:pPr>
        <w:pStyle w:val="ActHead5"/>
      </w:pPr>
      <w:bookmarkStart w:id="1971" w:name="_Toc152054961"/>
      <w:bookmarkStart w:id="1972" w:name="_Toc158712777"/>
      <w:r w:rsidRPr="006F296E">
        <w:rPr>
          <w:rStyle w:val="CharSectno"/>
        </w:rPr>
        <w:lastRenderedPageBreak/>
        <w:t>7.9.87</w:t>
      </w:r>
      <w:r w:rsidRPr="00283424">
        <w:t xml:space="preserve">  Modification of Act: Product Disclosure Statement in relation to superannuation interest under Family Law Act</w:t>
      </w:r>
      <w:bookmarkEnd w:id="1971"/>
      <w:bookmarkEnd w:id="1972"/>
    </w:p>
    <w:p w14:paraId="6298C5D7" w14:textId="77777777" w:rsidR="00E93F58" w:rsidRPr="00283424" w:rsidRDefault="00E93F58" w:rsidP="00B50726">
      <w:pPr>
        <w:pStyle w:val="subsection"/>
        <w:keepNext/>
        <w:keepLines/>
      </w:pPr>
      <w:r w:rsidRPr="00283424">
        <w:tab/>
        <w:t>(1)</w:t>
      </w:r>
      <w:r w:rsidRPr="00283424">
        <w:tab/>
        <w:t>Subject to subregulation (4), for paragraph 1020G(1)(c) of the Act, paragraph 1012F(b) of the Act is modified in its application in relation to:</w:t>
      </w:r>
    </w:p>
    <w:p w14:paraId="19EABF0C" w14:textId="77777777" w:rsidR="00E93F58" w:rsidRPr="00283424" w:rsidRDefault="00E93F58" w:rsidP="00B50726">
      <w:pPr>
        <w:pStyle w:val="paragraph"/>
      </w:pPr>
      <w:r w:rsidRPr="00283424">
        <w:tab/>
        <w:t>(a)</w:t>
      </w:r>
      <w:r w:rsidRPr="00283424">
        <w:tab/>
        <w:t>a superannuation interest; and</w:t>
      </w:r>
    </w:p>
    <w:p w14:paraId="5DAFDF16" w14:textId="77777777" w:rsidR="00E93F58" w:rsidRPr="00283424" w:rsidRDefault="00E93F58" w:rsidP="00B50726">
      <w:pPr>
        <w:pStyle w:val="paragraph"/>
      </w:pPr>
      <w:r w:rsidRPr="00283424">
        <w:tab/>
        <w:t>(b)</w:t>
      </w:r>
      <w:r w:rsidRPr="00283424">
        <w:tab/>
        <w:t>the non</w:t>
      </w:r>
      <w:r>
        <w:noBreakHyphen/>
      </w:r>
      <w:r w:rsidRPr="00283424">
        <w:t>member spouse who acquires the superannuation interest;</w:t>
      </w:r>
    </w:p>
    <w:p w14:paraId="3F0E43E1" w14:textId="77777777" w:rsidR="00E93F58" w:rsidRPr="00283424" w:rsidRDefault="00E93F58" w:rsidP="00B50726">
      <w:pPr>
        <w:pStyle w:val="subsection2"/>
      </w:pPr>
      <w:r w:rsidRPr="00283424">
        <w:t>in accordance with subregulation (2).</w:t>
      </w:r>
    </w:p>
    <w:p w14:paraId="214EF65E" w14:textId="77777777" w:rsidR="00E93F58" w:rsidRPr="00283424" w:rsidRDefault="00E93F58" w:rsidP="00B50726">
      <w:pPr>
        <w:pStyle w:val="subsection"/>
      </w:pPr>
      <w:r w:rsidRPr="00283424">
        <w:tab/>
        <w:t>(2)</w:t>
      </w:r>
      <w:r w:rsidRPr="00283424">
        <w:tab/>
        <w:t>Paragraph 1012F(b) is taken to require a regulated person to give the non</w:t>
      </w:r>
      <w:r>
        <w:noBreakHyphen/>
      </w:r>
      <w:r w:rsidRPr="00283424">
        <w:t>member spouse a Product Disclosure Statement when the regulated person gives a payment split notice to the non</w:t>
      </w:r>
      <w:r>
        <w:noBreakHyphen/>
      </w:r>
      <w:r w:rsidRPr="00283424">
        <w:t>member spouse.</w:t>
      </w:r>
    </w:p>
    <w:p w14:paraId="6D4E2FA4" w14:textId="77777777" w:rsidR="00E93F58" w:rsidRPr="00283424" w:rsidRDefault="00E93F58" w:rsidP="00B50726">
      <w:pPr>
        <w:pStyle w:val="subsection"/>
      </w:pPr>
      <w:r w:rsidRPr="00283424">
        <w:tab/>
        <w:t>(3)</w:t>
      </w:r>
      <w:r w:rsidRPr="00283424">
        <w:tab/>
        <w:t>If paragraph 1012F(b), as modified in accordance with subregulation (2), applies in relation to a superannuation interest, regulation 7.9.04 does not apply in relation to the interest and the non</w:t>
      </w:r>
      <w:r>
        <w:noBreakHyphen/>
      </w:r>
      <w:r w:rsidRPr="00283424">
        <w:t>member spouse.</w:t>
      </w:r>
    </w:p>
    <w:p w14:paraId="6B8688F5" w14:textId="77777777" w:rsidR="00E93F58" w:rsidRPr="00283424" w:rsidRDefault="00E93F58" w:rsidP="00B50726">
      <w:pPr>
        <w:pStyle w:val="subsection"/>
      </w:pPr>
      <w:r w:rsidRPr="00283424">
        <w:tab/>
        <w:t>(4)</w:t>
      </w:r>
      <w:r w:rsidRPr="00283424">
        <w:tab/>
        <w:t>For paragraph 1020G(1)(a) of the Act, if the governing rules of a superannuation entity do not provide for a non</w:t>
      </w:r>
      <w:r>
        <w:noBreakHyphen/>
      </w:r>
      <w:r w:rsidRPr="00283424">
        <w:t>member spouse to become a member of a superannuation fund in relation to the superannuation entity, section 1012B is modified by adding, after subsection 1012B(1):</w:t>
      </w:r>
    </w:p>
    <w:p w14:paraId="23410BE0" w14:textId="77777777" w:rsidR="00E93F58" w:rsidRPr="00283424" w:rsidRDefault="00E93F58" w:rsidP="00B50726">
      <w:pPr>
        <w:pStyle w:val="paragraph"/>
      </w:pPr>
      <w:r w:rsidRPr="00283424">
        <w:tab/>
        <w:t>‘(1A)</w:t>
      </w:r>
      <w:r w:rsidRPr="00283424">
        <w:tab/>
        <w:t>This section does not apply in relation to:</w:t>
      </w:r>
    </w:p>
    <w:p w14:paraId="1171675F" w14:textId="77777777" w:rsidR="00E93F58" w:rsidRPr="00283424" w:rsidRDefault="00E93F58" w:rsidP="00B50726">
      <w:pPr>
        <w:pStyle w:val="paragraphsub"/>
      </w:pPr>
      <w:r w:rsidRPr="00283424">
        <w:tab/>
        <w:t>(a)</w:t>
      </w:r>
      <w:r w:rsidRPr="00283424">
        <w:tab/>
        <w:t>a superannuation interest; and</w:t>
      </w:r>
    </w:p>
    <w:p w14:paraId="46975691" w14:textId="77777777" w:rsidR="00E93F58" w:rsidRPr="00283424" w:rsidRDefault="00E93F58" w:rsidP="00B50726">
      <w:pPr>
        <w:pStyle w:val="paragraphsub"/>
      </w:pPr>
      <w:r w:rsidRPr="00283424">
        <w:tab/>
        <w:t>(b)</w:t>
      </w:r>
      <w:r w:rsidRPr="00283424">
        <w:tab/>
        <w:t>the non</w:t>
      </w:r>
      <w:r>
        <w:noBreakHyphen/>
      </w:r>
      <w:r w:rsidRPr="00283424">
        <w:t>member spouse who acquires the superannuation interest;</w:t>
      </w:r>
    </w:p>
    <w:p w14:paraId="36E0D537" w14:textId="77777777" w:rsidR="00E93F58" w:rsidRPr="00283424" w:rsidRDefault="00E93F58" w:rsidP="00B50726">
      <w:pPr>
        <w:pStyle w:val="paragraph"/>
      </w:pPr>
      <w:r w:rsidRPr="00283424">
        <w:tab/>
      </w:r>
      <w:r w:rsidRPr="00283424">
        <w:tab/>
        <w:t>if the governing rules of a superannuation entity do not provide for a non</w:t>
      </w:r>
      <w:r>
        <w:noBreakHyphen/>
      </w:r>
      <w:r w:rsidRPr="00283424">
        <w:t>member spouse to become a member of a superannuation fund in relation to the superannuation entity.’.</w:t>
      </w:r>
    </w:p>
    <w:p w14:paraId="6A605EF8" w14:textId="77777777" w:rsidR="00E93F58" w:rsidRPr="00283424" w:rsidRDefault="00E93F58" w:rsidP="00B50726">
      <w:pPr>
        <w:pStyle w:val="ActHead5"/>
      </w:pPr>
      <w:bookmarkStart w:id="1973" w:name="_Toc152054962"/>
      <w:bookmarkStart w:id="1974" w:name="_Toc158712778"/>
      <w:r w:rsidRPr="006F296E">
        <w:rPr>
          <w:rStyle w:val="CharSectno"/>
        </w:rPr>
        <w:t>7.9.88</w:t>
      </w:r>
      <w:r w:rsidRPr="00283424">
        <w:t xml:space="preserve">  Statement content in relation to superannuation interest under Family Law Act: superannuation fund</w:t>
      </w:r>
      <w:bookmarkEnd w:id="1973"/>
      <w:bookmarkEnd w:id="1974"/>
    </w:p>
    <w:p w14:paraId="0E282E95" w14:textId="77777777" w:rsidR="00E93F58" w:rsidRPr="00283424" w:rsidRDefault="00E93F58" w:rsidP="00B50726">
      <w:pPr>
        <w:pStyle w:val="subsection"/>
        <w:keepNext/>
        <w:keepLines/>
      </w:pPr>
      <w:r w:rsidRPr="00283424">
        <w:tab/>
        <w:t>(1)</w:t>
      </w:r>
      <w:r w:rsidRPr="00283424">
        <w:tab/>
        <w:t>For subparagraphs 1017DA(1)(a)(ii) and (iii), and paragraph 1017DA(1)(b), of the Act, a trustee of a superannuation entity that is a product issuer must give to a non</w:t>
      </w:r>
      <w:r>
        <w:noBreakHyphen/>
      </w:r>
      <w:r w:rsidRPr="00283424">
        <w:t>member spouse in relation to a superannuation product issued under a payment split a statement providing the following information:</w:t>
      </w:r>
    </w:p>
    <w:p w14:paraId="368FBF7B" w14:textId="77777777" w:rsidR="00E93F58" w:rsidRPr="00283424" w:rsidRDefault="00E93F58" w:rsidP="00B50726">
      <w:pPr>
        <w:pStyle w:val="paragraph"/>
      </w:pPr>
      <w:r w:rsidRPr="00283424">
        <w:tab/>
        <w:t>(a)</w:t>
      </w:r>
      <w:r w:rsidRPr="00283424">
        <w:tab/>
        <w:t>the contact details for the product issuer;</w:t>
      </w:r>
    </w:p>
    <w:p w14:paraId="43B191BF" w14:textId="77777777" w:rsidR="00E93F58" w:rsidRPr="00283424" w:rsidRDefault="00E93F58" w:rsidP="00B50726">
      <w:pPr>
        <w:pStyle w:val="paragraph"/>
      </w:pPr>
      <w:r w:rsidRPr="00283424">
        <w:tab/>
        <w:t>(b)</w:t>
      </w:r>
      <w:r w:rsidRPr="00283424">
        <w:tab/>
        <w:t>if the interest is not a percentage</w:t>
      </w:r>
      <w:r>
        <w:noBreakHyphen/>
      </w:r>
      <w:r w:rsidRPr="00283424">
        <w:t>only interest and the payment split is a base amount payment split:</w:t>
      </w:r>
    </w:p>
    <w:p w14:paraId="0E3131D8" w14:textId="77777777" w:rsidR="00E93F58" w:rsidRPr="00283424" w:rsidRDefault="00E93F58" w:rsidP="00B50726">
      <w:pPr>
        <w:pStyle w:val="paragraphsub"/>
      </w:pPr>
      <w:r w:rsidRPr="00283424">
        <w:tab/>
        <w:t>(i)</w:t>
      </w:r>
      <w:r w:rsidRPr="00283424">
        <w:tab/>
        <w:t>the base amount allocated to the non</w:t>
      </w:r>
      <w:r>
        <w:noBreakHyphen/>
      </w:r>
      <w:r w:rsidRPr="00283424">
        <w:t>member spouse under the relevant agreement, flag lifting agreement or splitting order; and</w:t>
      </w:r>
    </w:p>
    <w:p w14:paraId="1051DCB3" w14:textId="77777777" w:rsidR="00E93F58" w:rsidRPr="00283424" w:rsidRDefault="00E93F58" w:rsidP="00B50726">
      <w:pPr>
        <w:pStyle w:val="paragraphsub"/>
      </w:pPr>
      <w:r w:rsidRPr="00283424">
        <w:tab/>
        <w:t>(ii)</w:t>
      </w:r>
      <w:r w:rsidRPr="00283424">
        <w:tab/>
        <w:t>the method by which the base amount will be adjusted on an ongoing basis; and</w:t>
      </w:r>
    </w:p>
    <w:p w14:paraId="2F8C7F78" w14:textId="77777777" w:rsidR="00E93F58" w:rsidRPr="00283424" w:rsidRDefault="00E93F58" w:rsidP="00B50726">
      <w:pPr>
        <w:pStyle w:val="paragraphsub"/>
      </w:pPr>
      <w:r w:rsidRPr="00283424">
        <w:tab/>
        <w:t>(iii)</w:t>
      </w:r>
      <w:r w:rsidRPr="00283424">
        <w:tab/>
        <w:t>whether the governing rules of the fund would allow the non</w:t>
      </w:r>
      <w:r>
        <w:noBreakHyphen/>
      </w:r>
      <w:r w:rsidRPr="00283424">
        <w:t>member spouse to become a member of the superannuation entity; and</w:t>
      </w:r>
    </w:p>
    <w:p w14:paraId="3C02DA2A" w14:textId="77777777" w:rsidR="00E93F58" w:rsidRPr="00283424" w:rsidRDefault="00E93F58" w:rsidP="00B50726">
      <w:pPr>
        <w:pStyle w:val="paragraphsub"/>
      </w:pPr>
      <w:r w:rsidRPr="00283424">
        <w:tab/>
        <w:t>(iv)</w:t>
      </w:r>
      <w:r w:rsidRPr="00283424">
        <w:tab/>
        <w:t>information about the options available to the non</w:t>
      </w:r>
      <w:r>
        <w:noBreakHyphen/>
      </w:r>
      <w:r w:rsidRPr="00283424">
        <w:t>member spouse in relation to the interest under Part 7A of the SIS Regulations;</w:t>
      </w:r>
    </w:p>
    <w:p w14:paraId="5478403E" w14:textId="77777777" w:rsidR="00E93F58" w:rsidRPr="00283424" w:rsidRDefault="00E93F58" w:rsidP="00B50726">
      <w:pPr>
        <w:pStyle w:val="paragraph"/>
      </w:pPr>
      <w:r w:rsidRPr="00283424">
        <w:tab/>
        <w:t>(c)</w:t>
      </w:r>
      <w:r w:rsidRPr="00283424">
        <w:tab/>
        <w:t>if the interest is not a percentage</w:t>
      </w:r>
      <w:r>
        <w:noBreakHyphen/>
      </w:r>
      <w:r w:rsidRPr="00283424">
        <w:t>only interest and the payment split is a percentage payment split:</w:t>
      </w:r>
    </w:p>
    <w:p w14:paraId="24457333" w14:textId="77777777" w:rsidR="00E93F58" w:rsidRPr="00283424" w:rsidRDefault="00E93F58" w:rsidP="00B50726">
      <w:pPr>
        <w:pStyle w:val="paragraphsub"/>
      </w:pPr>
      <w:r w:rsidRPr="00283424">
        <w:tab/>
        <w:t>(i)</w:t>
      </w:r>
      <w:r w:rsidRPr="00283424">
        <w:tab/>
        <w:t>the percentage that is to apply to all splittable payments in respect of the interest; and</w:t>
      </w:r>
    </w:p>
    <w:p w14:paraId="17613BDA" w14:textId="77777777" w:rsidR="00E93F58" w:rsidRPr="00283424" w:rsidRDefault="00E93F58" w:rsidP="00B50726">
      <w:pPr>
        <w:pStyle w:val="paragraphsub"/>
      </w:pPr>
      <w:r w:rsidRPr="00283424">
        <w:tab/>
        <w:t>(ii)</w:t>
      </w:r>
      <w:r w:rsidRPr="00283424">
        <w:tab/>
        <w:t>whether the governing rules of the fund would allow the non</w:t>
      </w:r>
      <w:r>
        <w:noBreakHyphen/>
      </w:r>
      <w:r w:rsidRPr="00283424">
        <w:t>member spouse to become a member of the superannuation entity; and</w:t>
      </w:r>
    </w:p>
    <w:p w14:paraId="0841E940" w14:textId="77777777" w:rsidR="00E93F58" w:rsidRPr="00283424" w:rsidRDefault="00E93F58" w:rsidP="00B50726">
      <w:pPr>
        <w:pStyle w:val="paragraphsub"/>
      </w:pPr>
      <w:r w:rsidRPr="00283424">
        <w:tab/>
        <w:t>(iii)</w:t>
      </w:r>
      <w:r w:rsidRPr="00283424">
        <w:tab/>
        <w:t>information about the options available to the non</w:t>
      </w:r>
      <w:r>
        <w:noBreakHyphen/>
      </w:r>
      <w:r w:rsidRPr="00283424">
        <w:t>member spouse in relation to the interest under Part 7A of the SIS Regulations;</w:t>
      </w:r>
    </w:p>
    <w:p w14:paraId="639DE190" w14:textId="77777777" w:rsidR="00E93F58" w:rsidRPr="00283424" w:rsidRDefault="00E93F58" w:rsidP="00B50726">
      <w:pPr>
        <w:pStyle w:val="paragraph"/>
      </w:pPr>
      <w:r w:rsidRPr="00283424">
        <w:tab/>
        <w:t>(d)</w:t>
      </w:r>
      <w:r w:rsidRPr="00283424">
        <w:tab/>
        <w:t>if the interest is a percentage</w:t>
      </w:r>
      <w:r>
        <w:noBreakHyphen/>
      </w:r>
      <w:r w:rsidRPr="00283424">
        <w:t>only interest:</w:t>
      </w:r>
    </w:p>
    <w:p w14:paraId="3AE33CAF" w14:textId="77777777" w:rsidR="00E93F58" w:rsidRPr="00283424" w:rsidRDefault="00E93F58" w:rsidP="00B50726">
      <w:pPr>
        <w:pStyle w:val="paragraphsub"/>
      </w:pPr>
      <w:r w:rsidRPr="00283424">
        <w:tab/>
        <w:t>(i)</w:t>
      </w:r>
      <w:r w:rsidRPr="00283424">
        <w:tab/>
        <w:t>the percentage specified in the relevant superannuation agreement, flag lifting agreement or splitting order; and</w:t>
      </w:r>
    </w:p>
    <w:p w14:paraId="3A9BEA94" w14:textId="77777777" w:rsidR="00E93F58" w:rsidRPr="00283424" w:rsidRDefault="00E93F58" w:rsidP="00B50726">
      <w:pPr>
        <w:pStyle w:val="paragraphsub"/>
      </w:pPr>
      <w:r w:rsidRPr="00283424">
        <w:tab/>
        <w:t>(ii)</w:t>
      </w:r>
      <w:r w:rsidRPr="00283424">
        <w:tab/>
        <w:t xml:space="preserve">if the payment is under a superannuation agreement or flag lifting agreement, whether the percentage is to apply for the purposes of subparagraph 90XJ(1)(b)(i) or 90YN(1)(b)(i) (as the case may be) of the </w:t>
      </w:r>
      <w:r w:rsidRPr="00283424">
        <w:rPr>
          <w:i/>
        </w:rPr>
        <w:t>Family Law Act 1975</w:t>
      </w:r>
      <w:r w:rsidRPr="00283424">
        <w:t>; and</w:t>
      </w:r>
    </w:p>
    <w:p w14:paraId="0A8303EA" w14:textId="77777777" w:rsidR="00E93F58" w:rsidRPr="00283424" w:rsidRDefault="00E93F58" w:rsidP="00B50726">
      <w:pPr>
        <w:pStyle w:val="paragraphsub"/>
      </w:pPr>
      <w:r w:rsidRPr="00283424">
        <w:tab/>
        <w:t>(iii)</w:t>
      </w:r>
      <w:r w:rsidRPr="00283424">
        <w:tab/>
        <w:t xml:space="preserve">if the payment split is under a splitting order, whether the order is made under paragraph 90XT(1)(c) or 90YY(1)(c) (as the case may be) of the </w:t>
      </w:r>
      <w:r w:rsidRPr="00283424">
        <w:rPr>
          <w:i/>
        </w:rPr>
        <w:t>Family law Act 1975</w:t>
      </w:r>
      <w:r w:rsidRPr="00283424">
        <w:t>;</w:t>
      </w:r>
    </w:p>
    <w:p w14:paraId="5F39DACF" w14:textId="77777777" w:rsidR="00E93F58" w:rsidRPr="00283424" w:rsidRDefault="00E93F58" w:rsidP="00B50726">
      <w:pPr>
        <w:pStyle w:val="paragraph"/>
      </w:pPr>
      <w:r w:rsidRPr="00283424">
        <w:tab/>
        <w:t>(e)</w:t>
      </w:r>
      <w:r w:rsidRPr="00283424">
        <w:tab/>
        <w:t>the circumstances in which the entitlement of the non</w:t>
      </w:r>
      <w:r>
        <w:noBreakHyphen/>
      </w:r>
      <w:r w:rsidRPr="00283424">
        <w:t>member spouse will become payable;</w:t>
      </w:r>
    </w:p>
    <w:p w14:paraId="498C16E2" w14:textId="77777777" w:rsidR="00E93F58" w:rsidRPr="00283424" w:rsidRDefault="00E93F58" w:rsidP="00B50726">
      <w:pPr>
        <w:pStyle w:val="paragraph"/>
      </w:pPr>
      <w:r w:rsidRPr="00283424">
        <w:tab/>
        <w:t>(g)</w:t>
      </w:r>
      <w:r w:rsidRPr="00283424">
        <w:tab/>
        <w:t>information about the dispute resolution system that covers complaints by holders of the product and about how that system may be accessed;</w:t>
      </w:r>
    </w:p>
    <w:p w14:paraId="1E56B438" w14:textId="77777777" w:rsidR="00E93F58" w:rsidRPr="00283424" w:rsidRDefault="00E93F58" w:rsidP="00B50726">
      <w:pPr>
        <w:pStyle w:val="paragraph"/>
      </w:pPr>
      <w:r w:rsidRPr="00283424">
        <w:tab/>
        <w:t>(h)</w:t>
      </w:r>
      <w:r w:rsidRPr="00283424">
        <w:tab/>
        <w:t>details of any amounts payable by the non</w:t>
      </w:r>
      <w:r>
        <w:noBreakHyphen/>
      </w:r>
      <w:r w:rsidRPr="00283424">
        <w:t>member spouse in respect of the payment split, and arrangements for the payment of any such amounts.</w:t>
      </w:r>
    </w:p>
    <w:p w14:paraId="7F4C9332" w14:textId="77777777" w:rsidR="00E93F58" w:rsidRPr="00283424" w:rsidRDefault="00E93F58" w:rsidP="00B50726">
      <w:pPr>
        <w:pStyle w:val="subsection"/>
      </w:pPr>
      <w:r w:rsidRPr="00283424">
        <w:lastRenderedPageBreak/>
        <w:tab/>
        <w:t>(2)</w:t>
      </w:r>
      <w:r w:rsidRPr="00283424">
        <w:tab/>
        <w:t>For paragraph 1017DA(2)(b) of the Act, the statement mentioned in subregulation (1) is to be provided by a regulated person when the regulated person gives a payment split notice to the non</w:t>
      </w:r>
      <w:r>
        <w:noBreakHyphen/>
      </w:r>
      <w:r w:rsidRPr="00283424">
        <w:t>member spouse.</w:t>
      </w:r>
    </w:p>
    <w:p w14:paraId="37B7D09D" w14:textId="77777777" w:rsidR="00E93F58" w:rsidRPr="00283424" w:rsidRDefault="00E93F58" w:rsidP="00B50726">
      <w:pPr>
        <w:pStyle w:val="ActHead5"/>
      </w:pPr>
      <w:bookmarkStart w:id="1975" w:name="_Toc152054963"/>
      <w:bookmarkStart w:id="1976" w:name="_Toc158712779"/>
      <w:r w:rsidRPr="006F296E">
        <w:rPr>
          <w:rStyle w:val="CharSectno"/>
        </w:rPr>
        <w:t>7.9.89</w:t>
      </w:r>
      <w:r w:rsidRPr="00283424">
        <w:t xml:space="preserve">  Statement content in relation to superannuation interest under Family Law Act: RSA</w:t>
      </w:r>
      <w:bookmarkEnd w:id="1975"/>
      <w:bookmarkEnd w:id="1976"/>
    </w:p>
    <w:p w14:paraId="21CADCCC" w14:textId="77777777" w:rsidR="00E93F58" w:rsidRPr="00283424" w:rsidRDefault="00E93F58" w:rsidP="00B50726">
      <w:pPr>
        <w:pStyle w:val="subsection"/>
      </w:pPr>
      <w:r w:rsidRPr="00283424">
        <w:tab/>
        <w:t>(1)</w:t>
      </w:r>
      <w:r w:rsidRPr="00283424">
        <w:tab/>
        <w:t>For subparagraphs 1017DA(1)(a)(ii) and (iii), and paragraph 1017DA(1)(b), of the Act, an RSA provider that is a product issuer must give to a non</w:t>
      </w:r>
      <w:r>
        <w:noBreakHyphen/>
      </w:r>
      <w:r w:rsidRPr="00283424">
        <w:t xml:space="preserve">member spouse in relation to an </w:t>
      </w:r>
      <w:r w:rsidRPr="00BE1284">
        <w:t>RSA</w:t>
      </w:r>
      <w:r w:rsidRPr="00283424">
        <w:t xml:space="preserve"> issued under a payment split a statement providing the following information:</w:t>
      </w:r>
    </w:p>
    <w:p w14:paraId="7E8535B4" w14:textId="77777777" w:rsidR="00E93F58" w:rsidRPr="00283424" w:rsidRDefault="00E93F58" w:rsidP="00B50726">
      <w:pPr>
        <w:pStyle w:val="paragraph"/>
      </w:pPr>
      <w:r w:rsidRPr="00283424">
        <w:tab/>
        <w:t>(a)</w:t>
      </w:r>
      <w:r w:rsidRPr="00283424">
        <w:tab/>
        <w:t>the contact details for the product issuer;</w:t>
      </w:r>
    </w:p>
    <w:p w14:paraId="576A320D" w14:textId="77777777" w:rsidR="00E93F58" w:rsidRPr="00283424" w:rsidRDefault="00E93F58" w:rsidP="00B50726">
      <w:pPr>
        <w:pStyle w:val="paragraph"/>
        <w:rPr>
          <w:snapToGrid w:val="0"/>
        </w:rPr>
      </w:pPr>
      <w:r w:rsidRPr="00283424">
        <w:rPr>
          <w:snapToGrid w:val="0"/>
        </w:rPr>
        <w:tab/>
        <w:t>(b)</w:t>
      </w:r>
      <w:r w:rsidRPr="00283424">
        <w:rPr>
          <w:snapToGrid w:val="0"/>
        </w:rPr>
        <w:tab/>
        <w:t>if the payment split is a base amount payment split:</w:t>
      </w:r>
    </w:p>
    <w:p w14:paraId="200EF9B6" w14:textId="77777777" w:rsidR="00E93F58" w:rsidRPr="00283424" w:rsidRDefault="00E93F58" w:rsidP="00B50726">
      <w:pPr>
        <w:pStyle w:val="paragraphsub"/>
      </w:pPr>
      <w:r w:rsidRPr="00283424">
        <w:rPr>
          <w:snapToGrid w:val="0"/>
        </w:rPr>
        <w:tab/>
        <w:t>(i)</w:t>
      </w:r>
      <w:r w:rsidRPr="00283424">
        <w:rPr>
          <w:snapToGrid w:val="0"/>
        </w:rPr>
        <w:tab/>
        <w:t>the base amount allocated to the non</w:t>
      </w:r>
      <w:r>
        <w:rPr>
          <w:snapToGrid w:val="0"/>
        </w:rPr>
        <w:noBreakHyphen/>
      </w:r>
      <w:r w:rsidRPr="00283424">
        <w:rPr>
          <w:snapToGrid w:val="0"/>
        </w:rPr>
        <w:t xml:space="preserve">member spouse under the relevant superannuation agreement, flag lifting agreement </w:t>
      </w:r>
      <w:r w:rsidRPr="00283424">
        <w:t>or splitting order; and</w:t>
      </w:r>
    </w:p>
    <w:p w14:paraId="798E7E8D" w14:textId="77777777" w:rsidR="00E93F58" w:rsidRPr="00283424" w:rsidRDefault="00E93F58" w:rsidP="00B50726">
      <w:pPr>
        <w:pStyle w:val="paragraphsub"/>
        <w:rPr>
          <w:snapToGrid w:val="0"/>
        </w:rPr>
      </w:pPr>
      <w:r w:rsidRPr="00283424">
        <w:rPr>
          <w:snapToGrid w:val="0"/>
        </w:rPr>
        <w:tab/>
        <w:t>(ii)</w:t>
      </w:r>
      <w:r w:rsidRPr="00283424">
        <w:rPr>
          <w:snapToGrid w:val="0"/>
        </w:rPr>
        <w:tab/>
        <w:t xml:space="preserve">the method by which the base amount will be </w:t>
      </w:r>
      <w:r w:rsidRPr="00283424">
        <w:t>adjusted on an ongoing basis;</w:t>
      </w:r>
    </w:p>
    <w:p w14:paraId="6A99D358" w14:textId="77777777" w:rsidR="00E93F58" w:rsidRPr="00283424" w:rsidRDefault="00E93F58" w:rsidP="00B50726">
      <w:pPr>
        <w:pStyle w:val="paragraph"/>
      </w:pPr>
      <w:r w:rsidRPr="00283424">
        <w:rPr>
          <w:snapToGrid w:val="0"/>
        </w:rPr>
        <w:tab/>
        <w:t>(c)</w:t>
      </w:r>
      <w:r w:rsidRPr="00283424">
        <w:rPr>
          <w:snapToGrid w:val="0"/>
        </w:rPr>
        <w:tab/>
        <w:t>if the payment split is a percentage payment split, the percentage that is to apply to all splittable payments in respect</w:t>
      </w:r>
      <w:r w:rsidRPr="00283424">
        <w:t xml:space="preserve"> of the interest;</w:t>
      </w:r>
    </w:p>
    <w:p w14:paraId="2A4DB501" w14:textId="77777777" w:rsidR="00E93F58" w:rsidRPr="00283424" w:rsidRDefault="00E93F58" w:rsidP="00B50726">
      <w:pPr>
        <w:pStyle w:val="paragraph"/>
      </w:pPr>
      <w:r w:rsidRPr="00283424">
        <w:tab/>
        <w:t>(d)</w:t>
      </w:r>
      <w:r w:rsidRPr="00283424">
        <w:tab/>
        <w:t>the circumstances in which the entitlement of the non</w:t>
      </w:r>
      <w:r>
        <w:noBreakHyphen/>
      </w:r>
      <w:r w:rsidRPr="00283424">
        <w:t>member spouse will become payable;</w:t>
      </w:r>
    </w:p>
    <w:p w14:paraId="0225BFA2" w14:textId="77777777" w:rsidR="00E93F58" w:rsidRPr="00283424" w:rsidRDefault="00E93F58" w:rsidP="00B50726">
      <w:pPr>
        <w:pStyle w:val="paragraph"/>
      </w:pPr>
      <w:r w:rsidRPr="00283424">
        <w:tab/>
        <w:t>(e)</w:t>
      </w:r>
      <w:r w:rsidRPr="00283424">
        <w:tab/>
        <w:t>the options available under Part 4A of the RSA Regulations in relation to the non</w:t>
      </w:r>
      <w:r>
        <w:noBreakHyphen/>
      </w:r>
      <w:r w:rsidRPr="00283424">
        <w:t>member spouse’s entitlement in respect of the interest;</w:t>
      </w:r>
    </w:p>
    <w:p w14:paraId="7D355C46" w14:textId="77777777" w:rsidR="00E93F58" w:rsidRPr="00283424" w:rsidRDefault="00E93F58" w:rsidP="00B50726">
      <w:pPr>
        <w:pStyle w:val="paragraph"/>
      </w:pPr>
      <w:r w:rsidRPr="00283424">
        <w:tab/>
        <w:t>(g)</w:t>
      </w:r>
      <w:r w:rsidRPr="00283424">
        <w:tab/>
        <w:t>information about the dispute resolution system that covers complaints by holders of the product and about how that system may be accessed;</w:t>
      </w:r>
    </w:p>
    <w:p w14:paraId="0321F301" w14:textId="77777777" w:rsidR="00E93F58" w:rsidRPr="00283424" w:rsidRDefault="00E93F58" w:rsidP="00B50726">
      <w:pPr>
        <w:pStyle w:val="paragraph"/>
      </w:pPr>
      <w:r w:rsidRPr="00283424">
        <w:tab/>
        <w:t>(h)</w:t>
      </w:r>
      <w:r w:rsidRPr="00283424">
        <w:tab/>
        <w:t>details of any amounts payable by the non</w:t>
      </w:r>
      <w:r>
        <w:noBreakHyphen/>
      </w:r>
      <w:r w:rsidRPr="00283424">
        <w:t>member spouse in respect of the payment split, and arrangements for the payment of any such amounts.</w:t>
      </w:r>
    </w:p>
    <w:p w14:paraId="4874246F" w14:textId="77777777" w:rsidR="00E93F58" w:rsidRPr="00283424" w:rsidRDefault="00E93F58" w:rsidP="00B50726">
      <w:pPr>
        <w:pStyle w:val="subsection"/>
      </w:pPr>
      <w:r w:rsidRPr="00283424">
        <w:tab/>
        <w:t>(2)</w:t>
      </w:r>
      <w:r w:rsidRPr="00283424">
        <w:tab/>
        <w:t>For paragraph 1017DA(2)(b) of the Act, the statement mentioned in subregulation (1) is to be provided by a regulated person when the regulated person gives a payment split notice to the non</w:t>
      </w:r>
      <w:r>
        <w:noBreakHyphen/>
      </w:r>
      <w:r w:rsidRPr="00283424">
        <w:t>member spouse.</w:t>
      </w:r>
    </w:p>
    <w:p w14:paraId="2AA6A393" w14:textId="77777777" w:rsidR="00E93F58" w:rsidRPr="00283424" w:rsidRDefault="00E93F58" w:rsidP="00B50726">
      <w:pPr>
        <w:pStyle w:val="ActHead5"/>
      </w:pPr>
      <w:bookmarkStart w:id="1977" w:name="_Toc152054964"/>
      <w:bookmarkStart w:id="1978" w:name="_Toc158712780"/>
      <w:r w:rsidRPr="006F296E">
        <w:rPr>
          <w:rStyle w:val="CharSectno"/>
        </w:rPr>
        <w:t>7.9.90</w:t>
      </w:r>
      <w:r w:rsidRPr="00283424">
        <w:t xml:space="preserve">  Information for existing holders of superannuation products and </w:t>
      </w:r>
      <w:r w:rsidRPr="004C19A0">
        <w:t>RSAs</w:t>
      </w:r>
      <w:r w:rsidRPr="00283424">
        <w:t xml:space="preserve"> in relation to superannuation interest</w:t>
      </w:r>
      <w:bookmarkEnd w:id="1977"/>
      <w:bookmarkEnd w:id="1978"/>
    </w:p>
    <w:p w14:paraId="55DE0270" w14:textId="77777777" w:rsidR="00E93F58" w:rsidRPr="00283424" w:rsidRDefault="00E93F58" w:rsidP="00B50726">
      <w:pPr>
        <w:pStyle w:val="subsection"/>
      </w:pPr>
      <w:r w:rsidRPr="00283424">
        <w:tab/>
        <w:t>(1)</w:t>
      </w:r>
      <w:r w:rsidRPr="00283424">
        <w:tab/>
        <w:t>For paragraph 1020G(1)(c) of the Act, this regulation applies in relation to a non</w:t>
      </w:r>
      <w:r>
        <w:noBreakHyphen/>
      </w:r>
      <w:r w:rsidRPr="00283424">
        <w:t>member spouse.</w:t>
      </w:r>
    </w:p>
    <w:p w14:paraId="411059D4" w14:textId="77777777" w:rsidR="00E93F58" w:rsidRPr="00283424" w:rsidRDefault="00E93F58" w:rsidP="00B50726">
      <w:pPr>
        <w:pStyle w:val="subsection"/>
      </w:pPr>
      <w:r w:rsidRPr="00283424">
        <w:tab/>
        <w:t>(2)</w:t>
      </w:r>
      <w:r w:rsidRPr="00283424">
        <w:tab/>
        <w:t xml:space="preserve">The definition of </w:t>
      </w:r>
      <w:r w:rsidRPr="00283424">
        <w:rPr>
          <w:b/>
          <w:i/>
        </w:rPr>
        <w:t>concerned person</w:t>
      </w:r>
      <w:r w:rsidRPr="00283424">
        <w:t xml:space="preserve"> in subsection 1017C(9) of the Act is modified by adding after paragraph (a) of the definition:</w:t>
      </w:r>
    </w:p>
    <w:p w14:paraId="2B52FD5F" w14:textId="77777777" w:rsidR="00E93F58" w:rsidRPr="00283424" w:rsidRDefault="00E93F58" w:rsidP="00B50726">
      <w:pPr>
        <w:pStyle w:val="paragraph"/>
      </w:pPr>
      <w:r w:rsidRPr="00283424">
        <w:tab/>
        <w:t>‘(aa)</w:t>
      </w:r>
      <w:r w:rsidRPr="00283424">
        <w:tab/>
        <w:t>is a non</w:t>
      </w:r>
      <w:r>
        <w:noBreakHyphen/>
      </w:r>
      <w:r w:rsidRPr="00283424">
        <w:t xml:space="preserve">member spouse in relation to a superannuation product or an </w:t>
      </w:r>
      <w:r w:rsidRPr="00BE1284">
        <w:t>RSA</w:t>
      </w:r>
      <w:r w:rsidRPr="00283424">
        <w:t xml:space="preserve"> that is issued in relation to a payment split; or’.</w:t>
      </w:r>
    </w:p>
    <w:p w14:paraId="29CEF9CF" w14:textId="77777777" w:rsidR="00E93F58" w:rsidRPr="00283424" w:rsidRDefault="00E93F58" w:rsidP="00B50726">
      <w:pPr>
        <w:pStyle w:val="ActHead5"/>
      </w:pPr>
      <w:bookmarkStart w:id="1979" w:name="_Toc152054965"/>
      <w:bookmarkStart w:id="1980" w:name="_Toc158712781"/>
      <w:r w:rsidRPr="006F296E">
        <w:rPr>
          <w:rStyle w:val="CharSectno"/>
        </w:rPr>
        <w:t>7.9.91</w:t>
      </w:r>
      <w:r w:rsidRPr="00283424">
        <w:t xml:space="preserve">  Periodic statements for retail clients for financial products that have an investment component—general</w:t>
      </w:r>
      <w:bookmarkEnd w:id="1979"/>
      <w:bookmarkEnd w:id="1980"/>
    </w:p>
    <w:p w14:paraId="04523AF1" w14:textId="77777777" w:rsidR="00E93F58" w:rsidRPr="00283424" w:rsidRDefault="00E93F58" w:rsidP="00B50726">
      <w:pPr>
        <w:pStyle w:val="subsection"/>
      </w:pPr>
      <w:r w:rsidRPr="00283424">
        <w:tab/>
        <w:t>(1)</w:t>
      </w:r>
      <w:r w:rsidRPr="00283424">
        <w:tab/>
        <w:t>For paragraph 1020G(1)(a) of the Act, this regulation applies in relation to a non</w:t>
      </w:r>
      <w:r>
        <w:noBreakHyphen/>
      </w:r>
      <w:r w:rsidRPr="00283424">
        <w:t xml:space="preserve">member spouse who holds a superannuation or </w:t>
      </w:r>
      <w:r w:rsidRPr="00BE1284">
        <w:t>RSA</w:t>
      </w:r>
      <w:r w:rsidRPr="00283424">
        <w:t xml:space="preserve"> by way of a payment split.</w:t>
      </w:r>
    </w:p>
    <w:p w14:paraId="61ABE0A1" w14:textId="77777777" w:rsidR="00E93F58" w:rsidRPr="00283424" w:rsidRDefault="00E93F58" w:rsidP="00B50726">
      <w:pPr>
        <w:pStyle w:val="subsection"/>
      </w:pPr>
      <w:r w:rsidRPr="00283424">
        <w:tab/>
        <w:t>(2)</w:t>
      </w:r>
      <w:r w:rsidRPr="00283424">
        <w:tab/>
        <w:t xml:space="preserve">The product issuer in relation to the superannuation product or </w:t>
      </w:r>
      <w:r w:rsidRPr="00BE1284">
        <w:t>RSA</w:t>
      </w:r>
      <w:r w:rsidRPr="00283424">
        <w:t xml:space="preserve"> is not required to comply with:</w:t>
      </w:r>
    </w:p>
    <w:p w14:paraId="19D5595B" w14:textId="77777777" w:rsidR="00E93F58" w:rsidRPr="00283424" w:rsidRDefault="00E93F58" w:rsidP="00B50726">
      <w:pPr>
        <w:pStyle w:val="paragraph"/>
      </w:pPr>
      <w:r w:rsidRPr="00283424">
        <w:tab/>
        <w:t>(a)</w:t>
      </w:r>
      <w:r w:rsidRPr="00283424">
        <w:tab/>
        <w:t>paragraphs 1017D(5)(a) to (f) of the Act; and</w:t>
      </w:r>
    </w:p>
    <w:p w14:paraId="28D1BBDF" w14:textId="77777777" w:rsidR="00E93F58" w:rsidRPr="00283424" w:rsidRDefault="00E93F58" w:rsidP="00B50726">
      <w:pPr>
        <w:pStyle w:val="paragraph"/>
      </w:pPr>
      <w:r w:rsidRPr="00283424">
        <w:tab/>
        <w:t>(b)</w:t>
      </w:r>
      <w:r w:rsidRPr="00283424">
        <w:tab/>
        <w:t>regulation 7.9.72 and subregulation 7.9.75(1).</w:t>
      </w:r>
    </w:p>
    <w:p w14:paraId="11211C40" w14:textId="77777777" w:rsidR="00E93F58" w:rsidRPr="00283424" w:rsidRDefault="00E93F58" w:rsidP="00B50726">
      <w:pPr>
        <w:pStyle w:val="ActHead5"/>
      </w:pPr>
      <w:bookmarkStart w:id="1981" w:name="_Toc152054966"/>
      <w:bookmarkStart w:id="1982" w:name="_Toc158712782"/>
      <w:r w:rsidRPr="006F296E">
        <w:rPr>
          <w:rStyle w:val="CharSectno"/>
        </w:rPr>
        <w:t>7.9.92</w:t>
      </w:r>
      <w:r w:rsidRPr="00283424">
        <w:t xml:space="preserve">  Periodic statements for retail clients for financial products that have an investment component—superannuation interest other than percentage</w:t>
      </w:r>
      <w:r>
        <w:noBreakHyphen/>
      </w:r>
      <w:r w:rsidRPr="00283424">
        <w:t>only interest</w:t>
      </w:r>
      <w:bookmarkEnd w:id="1981"/>
      <w:bookmarkEnd w:id="1982"/>
    </w:p>
    <w:p w14:paraId="3E458C9B" w14:textId="77777777" w:rsidR="00E93F58" w:rsidRPr="00283424" w:rsidRDefault="00E93F58" w:rsidP="00B50726">
      <w:pPr>
        <w:pStyle w:val="subsection"/>
      </w:pPr>
      <w:r w:rsidRPr="00283424">
        <w:tab/>
        <w:t>(1)</w:t>
      </w:r>
      <w:r w:rsidRPr="00283424">
        <w:tab/>
        <w:t>For paragraph 1017D(5)(g) of the Act, this regulation applies if:</w:t>
      </w:r>
    </w:p>
    <w:p w14:paraId="0D2FE97C" w14:textId="77777777" w:rsidR="00E93F58" w:rsidRPr="00283424" w:rsidRDefault="00E93F58" w:rsidP="00B50726">
      <w:pPr>
        <w:pStyle w:val="paragraph"/>
      </w:pPr>
      <w:r w:rsidRPr="00283424">
        <w:tab/>
        <w:t>(a)</w:t>
      </w:r>
      <w:r w:rsidRPr="00283424">
        <w:tab/>
        <w:t>an interest in a superannuation product is subject to a base amount payment split; and</w:t>
      </w:r>
    </w:p>
    <w:p w14:paraId="021CDEFE" w14:textId="77777777" w:rsidR="00E93F58" w:rsidRPr="00283424" w:rsidRDefault="00E93F58" w:rsidP="00B50726">
      <w:pPr>
        <w:pStyle w:val="paragraph"/>
      </w:pPr>
      <w:r w:rsidRPr="00283424">
        <w:tab/>
        <w:t>(b)</w:t>
      </w:r>
      <w:r w:rsidRPr="00283424">
        <w:tab/>
        <w:t>the interest is not a percentage</w:t>
      </w:r>
      <w:r>
        <w:noBreakHyphen/>
      </w:r>
      <w:r w:rsidRPr="00283424">
        <w:t>only interest; and</w:t>
      </w:r>
    </w:p>
    <w:p w14:paraId="28A35871" w14:textId="77777777" w:rsidR="00E93F58" w:rsidRPr="00283424" w:rsidRDefault="00E93F58" w:rsidP="00B50726">
      <w:pPr>
        <w:pStyle w:val="paragraph"/>
      </w:pPr>
      <w:r w:rsidRPr="00283424">
        <w:tab/>
        <w:t>(c)</w:t>
      </w:r>
      <w:r w:rsidRPr="00283424">
        <w:tab/>
        <w:t>the interest is in the growth phase; and</w:t>
      </w:r>
    </w:p>
    <w:p w14:paraId="1D84BA4D" w14:textId="77777777" w:rsidR="00E93F58" w:rsidRPr="00283424" w:rsidRDefault="00E93F58" w:rsidP="00B50726">
      <w:pPr>
        <w:pStyle w:val="paragraph"/>
      </w:pPr>
      <w:r w:rsidRPr="00283424">
        <w:tab/>
        <w:t>(d)</w:t>
      </w:r>
      <w:r w:rsidRPr="00283424">
        <w:tab/>
        <w:t>none of the following has occurred under Part 7A of the SIS Regulations:</w:t>
      </w:r>
    </w:p>
    <w:p w14:paraId="07EBDEE3" w14:textId="77777777" w:rsidR="00E93F58" w:rsidRPr="00283424" w:rsidRDefault="00E93F58" w:rsidP="00B50726">
      <w:pPr>
        <w:pStyle w:val="paragraphsub"/>
      </w:pPr>
      <w:r w:rsidRPr="00283424">
        <w:tab/>
        <w:t>(i)</w:t>
      </w:r>
      <w:r w:rsidRPr="00283424">
        <w:tab/>
        <w:t>a new membership interest has been created for the non</w:t>
      </w:r>
      <w:r>
        <w:noBreakHyphen/>
      </w:r>
      <w:r w:rsidRPr="00283424">
        <w:t>member spouse in relation to the payment split;</w:t>
      </w:r>
    </w:p>
    <w:p w14:paraId="7ED265CE" w14:textId="77777777" w:rsidR="00E93F58" w:rsidRPr="00283424" w:rsidRDefault="00E93F58" w:rsidP="00B50726">
      <w:pPr>
        <w:pStyle w:val="paragraphsub"/>
      </w:pPr>
      <w:r w:rsidRPr="00283424">
        <w:tab/>
        <w:t>(ii)</w:t>
      </w:r>
      <w:r w:rsidRPr="00283424">
        <w:tab/>
        <w:t>the transferable benefits of the non</w:t>
      </w:r>
      <w:r>
        <w:noBreakHyphen/>
      </w:r>
      <w:r w:rsidRPr="00283424">
        <w:t>member spouse have been transferred or rolled out of the superannuation fund;</w:t>
      </w:r>
    </w:p>
    <w:p w14:paraId="68988AA4" w14:textId="77777777" w:rsidR="00E93F58" w:rsidRPr="00283424" w:rsidRDefault="00E93F58" w:rsidP="00B50726">
      <w:pPr>
        <w:pStyle w:val="paragraphsub"/>
      </w:pPr>
      <w:r w:rsidRPr="00283424">
        <w:tab/>
        <w:t>(iii)</w:t>
      </w:r>
      <w:r w:rsidRPr="00283424">
        <w:tab/>
        <w:t>the amount to which the non</w:t>
      </w:r>
      <w:r>
        <w:noBreakHyphen/>
      </w:r>
      <w:r w:rsidRPr="00283424">
        <w:t>member spouse is entitled under the payment split has been paid, as a lump sum, to the non</w:t>
      </w:r>
      <w:r>
        <w:noBreakHyphen/>
      </w:r>
      <w:r w:rsidRPr="00283424">
        <w:t>member spouse.</w:t>
      </w:r>
    </w:p>
    <w:p w14:paraId="3F0BAAB1" w14:textId="77777777" w:rsidR="00E93F58" w:rsidRPr="00283424" w:rsidRDefault="00E93F58" w:rsidP="00B50726">
      <w:pPr>
        <w:pStyle w:val="subsection"/>
      </w:pPr>
      <w:r w:rsidRPr="00283424">
        <w:lastRenderedPageBreak/>
        <w:tab/>
        <w:t>(2)</w:t>
      </w:r>
      <w:r w:rsidRPr="00283424">
        <w:tab/>
        <w:t>This regulation also applies if:</w:t>
      </w:r>
    </w:p>
    <w:p w14:paraId="3DA01E78" w14:textId="77777777" w:rsidR="00E93F58" w:rsidRPr="00283424" w:rsidRDefault="00E93F58" w:rsidP="00B50726">
      <w:pPr>
        <w:pStyle w:val="paragraph"/>
      </w:pPr>
      <w:r w:rsidRPr="00283424">
        <w:tab/>
        <w:t>(a)</w:t>
      </w:r>
      <w:r w:rsidRPr="00283424">
        <w:tab/>
        <w:t xml:space="preserve">an interest in an </w:t>
      </w:r>
      <w:r w:rsidRPr="00BE1284">
        <w:t>RSA</w:t>
      </w:r>
      <w:r w:rsidRPr="00283424">
        <w:t xml:space="preserve"> is subject to a base amount payment split; and</w:t>
      </w:r>
    </w:p>
    <w:p w14:paraId="42BDB716" w14:textId="77777777" w:rsidR="00E93F58" w:rsidRPr="00283424" w:rsidRDefault="00E93F58" w:rsidP="00B50726">
      <w:pPr>
        <w:pStyle w:val="paragraph"/>
      </w:pPr>
      <w:r w:rsidRPr="00283424">
        <w:tab/>
        <w:t>(b)</w:t>
      </w:r>
      <w:r w:rsidRPr="00283424">
        <w:tab/>
        <w:t>the interest is in the growth phase; and</w:t>
      </w:r>
    </w:p>
    <w:p w14:paraId="0325AA80" w14:textId="77777777" w:rsidR="00E93F58" w:rsidRPr="00283424" w:rsidRDefault="00E93F58" w:rsidP="00B50726">
      <w:pPr>
        <w:pStyle w:val="paragraph"/>
      </w:pPr>
      <w:r w:rsidRPr="00283424">
        <w:tab/>
        <w:t>(c)</w:t>
      </w:r>
      <w:r w:rsidRPr="00283424">
        <w:tab/>
        <w:t>none of the following has occurred under Part 4A of the RSA Regulations:</w:t>
      </w:r>
    </w:p>
    <w:p w14:paraId="570AAC5E" w14:textId="77777777" w:rsidR="00E93F58" w:rsidRPr="00283424" w:rsidRDefault="00E93F58" w:rsidP="00B50726">
      <w:pPr>
        <w:pStyle w:val="paragraphsub"/>
        <w:rPr>
          <w:snapToGrid w:val="0"/>
        </w:rPr>
      </w:pPr>
      <w:r w:rsidRPr="00283424">
        <w:rPr>
          <w:snapToGrid w:val="0"/>
        </w:rPr>
        <w:tab/>
        <w:t>(i)</w:t>
      </w:r>
      <w:r w:rsidRPr="00283424">
        <w:rPr>
          <w:snapToGrid w:val="0"/>
        </w:rPr>
        <w:tab/>
        <w:t>a new RSA has been opened for the non</w:t>
      </w:r>
      <w:r>
        <w:rPr>
          <w:snapToGrid w:val="0"/>
        </w:rPr>
        <w:noBreakHyphen/>
      </w:r>
      <w:r w:rsidRPr="00283424">
        <w:rPr>
          <w:snapToGrid w:val="0"/>
        </w:rPr>
        <w:t>member spouse;</w:t>
      </w:r>
    </w:p>
    <w:p w14:paraId="4F837102" w14:textId="77777777" w:rsidR="00E93F58" w:rsidRPr="00283424" w:rsidRDefault="00E93F58" w:rsidP="00B50726">
      <w:pPr>
        <w:pStyle w:val="paragraphsub"/>
        <w:rPr>
          <w:snapToGrid w:val="0"/>
        </w:rPr>
      </w:pPr>
      <w:r w:rsidRPr="00283424">
        <w:rPr>
          <w:snapToGrid w:val="0"/>
        </w:rPr>
        <w:tab/>
        <w:t>(ii)</w:t>
      </w:r>
      <w:r w:rsidRPr="00283424">
        <w:rPr>
          <w:snapToGrid w:val="0"/>
        </w:rPr>
        <w:tab/>
        <w:t>the transferable benefits of the non</w:t>
      </w:r>
      <w:r>
        <w:rPr>
          <w:snapToGrid w:val="0"/>
        </w:rPr>
        <w:noBreakHyphen/>
      </w:r>
      <w:r w:rsidRPr="00283424">
        <w:rPr>
          <w:snapToGrid w:val="0"/>
        </w:rPr>
        <w:t>member spouse have been transferred or rolled out of the RSA;</w:t>
      </w:r>
    </w:p>
    <w:p w14:paraId="009348ED" w14:textId="77777777" w:rsidR="00E93F58" w:rsidRPr="00283424" w:rsidRDefault="00E93F58" w:rsidP="00B50726">
      <w:pPr>
        <w:pStyle w:val="paragraphsub"/>
        <w:rPr>
          <w:snapToGrid w:val="0"/>
        </w:rPr>
      </w:pPr>
      <w:r w:rsidRPr="00283424">
        <w:rPr>
          <w:snapToGrid w:val="0"/>
        </w:rPr>
        <w:tab/>
        <w:t>(iii)</w:t>
      </w:r>
      <w:r w:rsidRPr="00283424">
        <w:rPr>
          <w:snapToGrid w:val="0"/>
        </w:rPr>
        <w:tab/>
        <w:t>the amount to which the non</w:t>
      </w:r>
      <w:r>
        <w:rPr>
          <w:snapToGrid w:val="0"/>
        </w:rPr>
        <w:noBreakHyphen/>
      </w:r>
      <w:r w:rsidRPr="00283424">
        <w:rPr>
          <w:snapToGrid w:val="0"/>
        </w:rPr>
        <w:t>member spouse is entitled under the payment split has been paid, as a lump sum, to the non</w:t>
      </w:r>
      <w:r>
        <w:rPr>
          <w:snapToGrid w:val="0"/>
        </w:rPr>
        <w:noBreakHyphen/>
      </w:r>
      <w:r w:rsidRPr="00283424">
        <w:rPr>
          <w:snapToGrid w:val="0"/>
        </w:rPr>
        <w:t>member spouse.</w:t>
      </w:r>
    </w:p>
    <w:p w14:paraId="2D614E7E" w14:textId="77777777" w:rsidR="00E93F58" w:rsidRPr="00283424" w:rsidRDefault="00E93F58" w:rsidP="00B50726">
      <w:pPr>
        <w:pStyle w:val="subsection"/>
      </w:pPr>
      <w:r w:rsidRPr="00283424">
        <w:tab/>
        <w:t>(3)</w:t>
      </w:r>
      <w:r w:rsidRPr="00283424">
        <w:tab/>
        <w:t>The periodic statement for the member spouse and the non</w:t>
      </w:r>
      <w:r>
        <w:noBreakHyphen/>
      </w:r>
      <w:r w:rsidRPr="00283424">
        <w:t>member spouse must include the following information:</w:t>
      </w:r>
    </w:p>
    <w:p w14:paraId="090CF991" w14:textId="77777777" w:rsidR="00E93F58" w:rsidRPr="00283424" w:rsidRDefault="00E93F58" w:rsidP="00B50726">
      <w:pPr>
        <w:pStyle w:val="paragraph"/>
      </w:pPr>
      <w:r w:rsidRPr="00283424">
        <w:tab/>
        <w:t>(a)</w:t>
      </w:r>
      <w:r w:rsidRPr="00283424">
        <w:tab/>
        <w:t>the value of the adjusted base amount applicable to the non</w:t>
      </w:r>
      <w:r>
        <w:noBreakHyphen/>
      </w:r>
      <w:r w:rsidRPr="00283424">
        <w:t>member spouse at the end of the reporting period;</w:t>
      </w:r>
    </w:p>
    <w:p w14:paraId="51CEDAB9" w14:textId="77777777" w:rsidR="00E93F58" w:rsidRPr="00283424" w:rsidRDefault="00E93F58" w:rsidP="00B50726">
      <w:pPr>
        <w:pStyle w:val="paragraph"/>
      </w:pPr>
      <w:r w:rsidRPr="00283424">
        <w:tab/>
        <w:t>(b)</w:t>
      </w:r>
      <w:r w:rsidRPr="00283424">
        <w:tab/>
        <w:t>the amount of the adjustment in the reporting period;</w:t>
      </w:r>
    </w:p>
    <w:p w14:paraId="07A9BF65" w14:textId="77777777" w:rsidR="00E93F58" w:rsidRPr="00283424" w:rsidRDefault="00E93F58" w:rsidP="00B50726">
      <w:pPr>
        <w:pStyle w:val="paragraph"/>
      </w:pPr>
      <w:r w:rsidRPr="00283424">
        <w:tab/>
        <w:t>(c)</w:t>
      </w:r>
      <w:r w:rsidRPr="00283424">
        <w:tab/>
        <w:t xml:space="preserve">the method used to calculate the adjustment, including the applicable interest rate required under regulation 48 of the </w:t>
      </w:r>
      <w:r w:rsidRPr="00283424">
        <w:rPr>
          <w:i/>
        </w:rPr>
        <w:t xml:space="preserve">Family Law (Superannuation) </w:t>
      </w:r>
      <w:r>
        <w:rPr>
          <w:i/>
        </w:rPr>
        <w:t>Regulations 2</w:t>
      </w:r>
      <w:r w:rsidRPr="00283424">
        <w:rPr>
          <w:i/>
        </w:rPr>
        <w:t>001</w:t>
      </w:r>
      <w:r w:rsidRPr="00283424">
        <w:t>.</w:t>
      </w:r>
    </w:p>
    <w:p w14:paraId="162028C3" w14:textId="77777777" w:rsidR="00E93F58" w:rsidRPr="00283424" w:rsidRDefault="00E93F58" w:rsidP="00B50726">
      <w:pPr>
        <w:pStyle w:val="ActHead5"/>
      </w:pPr>
      <w:bookmarkStart w:id="1983" w:name="_Toc152054967"/>
      <w:bookmarkStart w:id="1984" w:name="_Toc158712783"/>
      <w:r w:rsidRPr="006F296E">
        <w:rPr>
          <w:rStyle w:val="CharSectno"/>
        </w:rPr>
        <w:t>7.9.93</w:t>
      </w:r>
      <w:r w:rsidRPr="00283424">
        <w:t xml:space="preserve">  Trustees of superannuation entities—additional obligation to provide information in relation to superannuation interest</w:t>
      </w:r>
      <w:bookmarkEnd w:id="1983"/>
      <w:bookmarkEnd w:id="1984"/>
    </w:p>
    <w:p w14:paraId="6AC8749D" w14:textId="77777777" w:rsidR="00E93F58" w:rsidRPr="00283424" w:rsidRDefault="00E93F58" w:rsidP="00B50726">
      <w:pPr>
        <w:pStyle w:val="subsection"/>
      </w:pPr>
      <w:r w:rsidRPr="00283424">
        <w:tab/>
        <w:t>(1)</w:t>
      </w:r>
      <w:r w:rsidRPr="00283424">
        <w:tab/>
        <w:t>For paragraph 1017DA(2)(a) of the Act, no information is to be provided to a non</w:t>
      </w:r>
      <w:r>
        <w:noBreakHyphen/>
      </w:r>
      <w:r w:rsidRPr="00283424">
        <w:t>member spouse under section 1017DA of the Act if the governing rules of a superannuation entity do not provide for the non</w:t>
      </w:r>
      <w:r>
        <w:noBreakHyphen/>
      </w:r>
      <w:r w:rsidRPr="00283424">
        <w:t>member spouse to become a member of a superannuation fund in relation to the superannuation entity.</w:t>
      </w:r>
    </w:p>
    <w:p w14:paraId="272E9895" w14:textId="77777777" w:rsidR="00E93F58" w:rsidRPr="00283424" w:rsidRDefault="00E93F58" w:rsidP="00B50726">
      <w:pPr>
        <w:pStyle w:val="subsection"/>
      </w:pPr>
      <w:r w:rsidRPr="00283424">
        <w:tab/>
        <w:t>(2)</w:t>
      </w:r>
      <w:r w:rsidRPr="00283424">
        <w:tab/>
        <w:t>For paragraph 1017DA(2)(b) of the Act, if the governing rules of a superannuation entity provide for a non</w:t>
      </w:r>
      <w:r>
        <w:noBreakHyphen/>
      </w:r>
      <w:r w:rsidRPr="00283424">
        <w:t>member spouse to become a member of a superannuation fund in relation to the superannuation entity:</w:t>
      </w:r>
    </w:p>
    <w:p w14:paraId="41A0552F" w14:textId="77777777" w:rsidR="00E93F58" w:rsidRPr="00283424" w:rsidRDefault="00E93F58" w:rsidP="00B50726">
      <w:pPr>
        <w:pStyle w:val="paragraph"/>
      </w:pPr>
      <w:r w:rsidRPr="00283424">
        <w:tab/>
        <w:t>(a)</w:t>
      </w:r>
      <w:r w:rsidRPr="00283424">
        <w:tab/>
        <w:t>information is to be provided to the non</w:t>
      </w:r>
      <w:r>
        <w:noBreakHyphen/>
      </w:r>
      <w:r w:rsidRPr="00283424">
        <w:t>member spouse under section 1017DA of the Act (and Subdivisions 5.5 to 5.7 of Part 7.9 of these Regulations) when the payment split notice is given to the non</w:t>
      </w:r>
      <w:r>
        <w:noBreakHyphen/>
      </w:r>
      <w:r w:rsidRPr="00283424">
        <w:t>member spouse; and</w:t>
      </w:r>
    </w:p>
    <w:p w14:paraId="3EF0C9BC" w14:textId="77777777" w:rsidR="00E93F58" w:rsidRPr="00283424" w:rsidRDefault="00E93F58" w:rsidP="00B50726">
      <w:pPr>
        <w:pStyle w:val="paragraph"/>
      </w:pPr>
      <w:r w:rsidRPr="00283424">
        <w:tab/>
        <w:t>(b)</w:t>
      </w:r>
      <w:r w:rsidRPr="00283424">
        <w:tab/>
        <w:t>the information is to be provided with the payment split notice.</w:t>
      </w:r>
    </w:p>
    <w:p w14:paraId="36780D16" w14:textId="77777777" w:rsidR="00E93F58" w:rsidRPr="00283424" w:rsidRDefault="00E93F58" w:rsidP="00B50726">
      <w:pPr>
        <w:pStyle w:val="ActHead5"/>
      </w:pPr>
      <w:bookmarkStart w:id="1985" w:name="_Toc152054968"/>
      <w:bookmarkStart w:id="1986" w:name="_Toc158712784"/>
      <w:r w:rsidRPr="006F296E">
        <w:rPr>
          <w:rStyle w:val="CharSectno"/>
        </w:rPr>
        <w:t>7.9.94</w:t>
      </w:r>
      <w:r w:rsidRPr="00283424">
        <w:t xml:space="preserve">  Division 5 of Part 7.9 of the Act not to apply in relation to non</w:t>
      </w:r>
      <w:r>
        <w:noBreakHyphen/>
      </w:r>
      <w:r w:rsidRPr="00283424">
        <w:t>member spouse</w:t>
      </w:r>
      <w:bookmarkEnd w:id="1985"/>
      <w:bookmarkEnd w:id="1986"/>
    </w:p>
    <w:p w14:paraId="369ACC06" w14:textId="77777777" w:rsidR="00E93F58" w:rsidRPr="00283424" w:rsidRDefault="00E93F58" w:rsidP="00B50726">
      <w:pPr>
        <w:pStyle w:val="subsection"/>
      </w:pPr>
      <w:r w:rsidRPr="00283424">
        <w:tab/>
      </w:r>
      <w:r w:rsidRPr="00283424">
        <w:tab/>
        <w:t xml:space="preserve">For paragraph 1019A(2)(c) of the Act, Division 5 of Part 7.9 of the Act does not apply in relation to the issue of a superannuation product or </w:t>
      </w:r>
      <w:r w:rsidRPr="00BE1284">
        <w:t>RSA</w:t>
      </w:r>
      <w:r w:rsidRPr="00283424">
        <w:t xml:space="preserve"> to a non</w:t>
      </w:r>
      <w:r>
        <w:noBreakHyphen/>
      </w:r>
      <w:r w:rsidRPr="00283424">
        <w:t>member spouse who acquires the superannuation interest by means of a payment split.</w:t>
      </w:r>
    </w:p>
    <w:p w14:paraId="6B91E382" w14:textId="77777777" w:rsidR="00E93F58" w:rsidRPr="00283424" w:rsidRDefault="00E93F58" w:rsidP="00B50726">
      <w:pPr>
        <w:pStyle w:val="notetext"/>
      </w:pPr>
      <w:r w:rsidRPr="00283424">
        <w:t>Note:</w:t>
      </w:r>
      <w:r w:rsidRPr="00283424">
        <w:tab/>
        <w:t>The non</w:t>
      </w:r>
      <w:r>
        <w:noBreakHyphen/>
      </w:r>
      <w:r w:rsidRPr="00283424">
        <w:t>member spouse may also wish to acquire an interest in the superannuation fund, or become an RSA holder, by making an application. In that case, regulation 7.9.94 would not apply and Division 5 of Part 7.9 of the Act would apply to the extent that that Division provides.</w:t>
      </w:r>
    </w:p>
    <w:p w14:paraId="56D1F08E" w14:textId="77777777" w:rsidR="00E93F58" w:rsidRPr="00283424" w:rsidRDefault="00E93F58" w:rsidP="00B50726">
      <w:pPr>
        <w:pStyle w:val="ActHead3"/>
        <w:pageBreakBefore/>
      </w:pPr>
      <w:bookmarkStart w:id="1987" w:name="_Toc152054969"/>
      <w:bookmarkStart w:id="1988" w:name="_Toc158712785"/>
      <w:r w:rsidRPr="006F296E">
        <w:rPr>
          <w:rStyle w:val="CharDivNo"/>
        </w:rPr>
        <w:lastRenderedPageBreak/>
        <w:t>Division 12</w:t>
      </w:r>
      <w:r w:rsidRPr="00283424">
        <w:t>—</w:t>
      </w:r>
      <w:r w:rsidRPr="006F296E">
        <w:rPr>
          <w:rStyle w:val="CharDivText"/>
        </w:rPr>
        <w:t>Medical indemnity insurance</w:t>
      </w:r>
      <w:bookmarkEnd w:id="1987"/>
      <w:bookmarkEnd w:id="1988"/>
    </w:p>
    <w:p w14:paraId="4F065B04" w14:textId="77777777" w:rsidR="00E93F58" w:rsidRPr="00283424" w:rsidRDefault="00E93F58" w:rsidP="00B50726">
      <w:pPr>
        <w:pStyle w:val="ActHead5"/>
      </w:pPr>
      <w:bookmarkStart w:id="1989" w:name="_Toc152054970"/>
      <w:bookmarkStart w:id="1990" w:name="_Toc158712786"/>
      <w:r w:rsidRPr="006F296E">
        <w:rPr>
          <w:rStyle w:val="CharSectno"/>
        </w:rPr>
        <w:t>7.9.95</w:t>
      </w:r>
      <w:r w:rsidRPr="00283424">
        <w:t xml:space="preserve">  Medical indemnity insurance—exemption from product disclosure provisions</w:t>
      </w:r>
      <w:bookmarkEnd w:id="1989"/>
      <w:bookmarkEnd w:id="1990"/>
    </w:p>
    <w:p w14:paraId="41DE83B7" w14:textId="77777777" w:rsidR="00E93F58" w:rsidRPr="00283424" w:rsidRDefault="00E93F58" w:rsidP="00B50726">
      <w:pPr>
        <w:pStyle w:val="subsection"/>
      </w:pPr>
      <w:r w:rsidRPr="00283424">
        <w:tab/>
      </w:r>
      <w:r w:rsidRPr="00283424">
        <w:tab/>
        <w:t>For paragraph 1020G(1)(b) of the Act, a medical indemnity insurance product is exempt from the provisions of Part 7.9 of the Act, until the earlier of:</w:t>
      </w:r>
    </w:p>
    <w:p w14:paraId="106FE677" w14:textId="77777777" w:rsidR="00E93F58" w:rsidRPr="00283424" w:rsidRDefault="00E93F58" w:rsidP="00B50726">
      <w:pPr>
        <w:pStyle w:val="paragraph"/>
      </w:pPr>
      <w:r w:rsidRPr="00283424">
        <w:tab/>
        <w:t>(a)</w:t>
      </w:r>
      <w:r w:rsidRPr="00283424">
        <w:tab/>
        <w:t>the date specified in a notice, lodged with ASIC by the issuer of the product, that indicates that the issuer of the product wants the provisions of Part 7.9 of the Act to apply in relation to the product from that date; and</w:t>
      </w:r>
    </w:p>
    <w:p w14:paraId="2FE914AF" w14:textId="77777777" w:rsidR="00E93F58" w:rsidRPr="00283424" w:rsidRDefault="00E93F58" w:rsidP="00B50726">
      <w:pPr>
        <w:pStyle w:val="paragraph"/>
      </w:pPr>
      <w:r w:rsidRPr="00283424">
        <w:tab/>
        <w:t>(b)</w:t>
      </w:r>
      <w:r w:rsidRPr="00283424">
        <w:tab/>
        <w:t>11 March 2004.</w:t>
      </w:r>
    </w:p>
    <w:p w14:paraId="1BCB52EC" w14:textId="77777777" w:rsidR="00E93F58" w:rsidRPr="00283424" w:rsidRDefault="00E93F58" w:rsidP="00B50726">
      <w:pPr>
        <w:pStyle w:val="ActHead3"/>
        <w:pageBreakBefore/>
      </w:pPr>
      <w:bookmarkStart w:id="1991" w:name="_Toc152054971"/>
      <w:bookmarkStart w:id="1992" w:name="_Toc158712787"/>
      <w:r w:rsidRPr="006F296E">
        <w:rPr>
          <w:rStyle w:val="CharDivNo"/>
        </w:rPr>
        <w:lastRenderedPageBreak/>
        <w:t>Division 13</w:t>
      </w:r>
      <w:r w:rsidRPr="00283424">
        <w:t>—</w:t>
      </w:r>
      <w:r w:rsidRPr="006F296E">
        <w:rPr>
          <w:rStyle w:val="CharDivText"/>
        </w:rPr>
        <w:t>Unsolicited offers to purchase financial products off market</w:t>
      </w:r>
      <w:bookmarkEnd w:id="1991"/>
      <w:bookmarkEnd w:id="1992"/>
    </w:p>
    <w:p w14:paraId="6238D6F0" w14:textId="77777777" w:rsidR="00E93F58" w:rsidRPr="00283424" w:rsidRDefault="00E93F58" w:rsidP="00B50726">
      <w:pPr>
        <w:pStyle w:val="ActHead4"/>
      </w:pPr>
      <w:bookmarkStart w:id="1993" w:name="_Toc152054972"/>
      <w:bookmarkStart w:id="1994" w:name="_Toc158712788"/>
      <w:r w:rsidRPr="006F296E">
        <w:rPr>
          <w:rStyle w:val="CharSubdNo"/>
        </w:rPr>
        <w:t>Subdivision A</w:t>
      </w:r>
      <w:r w:rsidRPr="00283424">
        <w:t>—</w:t>
      </w:r>
      <w:r w:rsidRPr="006F296E">
        <w:rPr>
          <w:rStyle w:val="CharSubdText"/>
        </w:rPr>
        <w:t>Modifying provisions of Part 7.9 of the Act: offers to purchase securities in certain proprietary companies</w:t>
      </w:r>
      <w:bookmarkEnd w:id="1993"/>
      <w:bookmarkEnd w:id="1994"/>
    </w:p>
    <w:p w14:paraId="399A9FA9" w14:textId="77777777" w:rsidR="00E93F58" w:rsidRPr="00283424" w:rsidRDefault="00E93F58" w:rsidP="00B50726">
      <w:pPr>
        <w:pStyle w:val="ActHead5"/>
      </w:pPr>
      <w:bookmarkStart w:id="1995" w:name="_Toc152054973"/>
      <w:bookmarkStart w:id="1996" w:name="_Toc158712789"/>
      <w:r w:rsidRPr="006F296E">
        <w:rPr>
          <w:rStyle w:val="CharSectno"/>
        </w:rPr>
        <w:t>7.9.95A</w:t>
      </w:r>
      <w:r w:rsidRPr="00283424">
        <w:t xml:space="preserve">  Offers to which this Subdivision applies</w:t>
      </w:r>
      <w:bookmarkEnd w:id="1995"/>
      <w:bookmarkEnd w:id="1996"/>
    </w:p>
    <w:p w14:paraId="7BEBF480" w14:textId="77777777" w:rsidR="00E93F58" w:rsidRPr="00283424" w:rsidRDefault="00E93F58" w:rsidP="00B50726">
      <w:pPr>
        <w:pStyle w:val="subsection"/>
      </w:pPr>
      <w:r w:rsidRPr="00283424">
        <w:rPr>
          <w:lang w:eastAsia="en-US"/>
        </w:rPr>
        <w:tab/>
      </w:r>
      <w:r w:rsidRPr="00283424">
        <w:rPr>
          <w:lang w:eastAsia="en-US"/>
        </w:rPr>
        <w:tab/>
        <w:t>For the purposes of paragraph 1020G(1)(c) of the Act, this Subdivision applies</w:t>
      </w:r>
      <w:r w:rsidRPr="00283424">
        <w:t xml:space="preserve"> in relation to an offer for the purchase of securities of a proprietary company if:</w:t>
      </w:r>
    </w:p>
    <w:p w14:paraId="260FD819" w14:textId="77777777" w:rsidR="00E93F58" w:rsidRPr="00283424" w:rsidRDefault="00E93F58" w:rsidP="00B50726">
      <w:pPr>
        <w:pStyle w:val="paragraph"/>
      </w:pPr>
      <w:r w:rsidRPr="00283424">
        <w:tab/>
        <w:t>(a)</w:t>
      </w:r>
      <w:r w:rsidRPr="00283424">
        <w:tab/>
        <w:t>at the time the offer is made, the company:</w:t>
      </w:r>
    </w:p>
    <w:p w14:paraId="48E20BD3" w14:textId="77777777" w:rsidR="00E93F58" w:rsidRPr="00283424" w:rsidRDefault="00E93F58" w:rsidP="00B50726">
      <w:pPr>
        <w:pStyle w:val="paragraphsub"/>
      </w:pPr>
      <w:r w:rsidRPr="00283424">
        <w:tab/>
        <w:t>(i)</w:t>
      </w:r>
      <w:r w:rsidRPr="00283424">
        <w:tab/>
        <w:t>has one or more CSF shareholders; and</w:t>
      </w:r>
    </w:p>
    <w:p w14:paraId="22EC8834" w14:textId="77777777" w:rsidR="00E93F58" w:rsidRPr="00283424" w:rsidRDefault="00E93F58" w:rsidP="00B50726">
      <w:pPr>
        <w:pStyle w:val="paragraphsub"/>
      </w:pPr>
      <w:r w:rsidRPr="00283424">
        <w:tab/>
        <w:t>(ii)</w:t>
      </w:r>
      <w:r w:rsidRPr="00283424">
        <w:tab/>
        <w:t>is an eligible CSF company; and</w:t>
      </w:r>
    </w:p>
    <w:p w14:paraId="6731F19B" w14:textId="77777777" w:rsidR="00E93F58" w:rsidRPr="00283424" w:rsidRDefault="00E93F58" w:rsidP="00B50726">
      <w:pPr>
        <w:pStyle w:val="paragraph"/>
      </w:pPr>
      <w:r w:rsidRPr="00283424">
        <w:tab/>
        <w:t>(b)</w:t>
      </w:r>
      <w:r w:rsidRPr="00283424">
        <w:tab/>
        <w:t>Division 5A of Part 7.9 of the Act applies to the offer.</w:t>
      </w:r>
    </w:p>
    <w:p w14:paraId="020EA26D" w14:textId="77777777" w:rsidR="00E93F58" w:rsidRPr="00283424" w:rsidRDefault="00E93F58" w:rsidP="00B50726">
      <w:pPr>
        <w:pStyle w:val="ActHead5"/>
      </w:pPr>
      <w:bookmarkStart w:id="1997" w:name="_Toc152054974"/>
      <w:bookmarkStart w:id="1998" w:name="_Toc158712790"/>
      <w:r w:rsidRPr="006F296E">
        <w:rPr>
          <w:rStyle w:val="CharSectno"/>
        </w:rPr>
        <w:t>7.9.95B</w:t>
      </w:r>
      <w:r w:rsidRPr="00283424">
        <w:t xml:space="preserve">  Duration and withdrawal of the offer</w:t>
      </w:r>
      <w:bookmarkEnd w:id="1997"/>
      <w:bookmarkEnd w:id="1998"/>
    </w:p>
    <w:p w14:paraId="0679DE48" w14:textId="77777777" w:rsidR="00E93F58" w:rsidRPr="00283424" w:rsidRDefault="00E93F58" w:rsidP="00B50726">
      <w:pPr>
        <w:pStyle w:val="subsection"/>
      </w:pPr>
      <w:r w:rsidRPr="00283424">
        <w:tab/>
      </w:r>
      <w:r w:rsidRPr="00283424">
        <w:tab/>
        <w:t>Part 7.9 of the Act applies in relation to the offer as if subsections 1019G(1) and (2) of the Act were modified by omitting “1 month” and inserting “14 days”.</w:t>
      </w:r>
    </w:p>
    <w:p w14:paraId="0C5129DB" w14:textId="77777777" w:rsidR="00E93F58" w:rsidRPr="00283424" w:rsidRDefault="00E93F58" w:rsidP="00B50726">
      <w:pPr>
        <w:pStyle w:val="ActHead5"/>
      </w:pPr>
      <w:bookmarkStart w:id="1999" w:name="_Toc152054975"/>
      <w:bookmarkStart w:id="2000" w:name="_Toc158712791"/>
      <w:r w:rsidRPr="006F296E">
        <w:rPr>
          <w:rStyle w:val="CharSectno"/>
        </w:rPr>
        <w:t>7.9.95C</w:t>
      </w:r>
      <w:r w:rsidRPr="00283424">
        <w:t xml:space="preserve">  Varying the terms of the offer</w:t>
      </w:r>
      <w:bookmarkEnd w:id="1999"/>
      <w:bookmarkEnd w:id="2000"/>
    </w:p>
    <w:p w14:paraId="20BF7BC9" w14:textId="77777777" w:rsidR="00E93F58" w:rsidRPr="00283424" w:rsidRDefault="00E93F58" w:rsidP="00B50726">
      <w:pPr>
        <w:pStyle w:val="subsection"/>
      </w:pPr>
      <w:r w:rsidRPr="00283424">
        <w:tab/>
      </w:r>
      <w:r w:rsidRPr="00283424">
        <w:tab/>
        <w:t>Part 7.9 of the Act applies in relation to the offer as if section 1019H of the Act were modified by replacing that section with the following:</w:t>
      </w:r>
    </w:p>
    <w:p w14:paraId="6CFC924E" w14:textId="77777777" w:rsidR="00E93F58" w:rsidRPr="00283424" w:rsidRDefault="00E93F58" w:rsidP="00B50726">
      <w:pPr>
        <w:pStyle w:val="Specials"/>
      </w:pPr>
      <w:r w:rsidRPr="00283424">
        <w:t>1019H  Varying terms of offer</w:t>
      </w:r>
    </w:p>
    <w:p w14:paraId="3085ADCD" w14:textId="77777777" w:rsidR="00E93F58" w:rsidRPr="00283424" w:rsidRDefault="00E93F58" w:rsidP="00B50726">
      <w:pPr>
        <w:pStyle w:val="subsection"/>
      </w:pPr>
      <w:r w:rsidRPr="00283424">
        <w:tab/>
        <w:t>(1)</w:t>
      </w:r>
      <w:r w:rsidRPr="00283424">
        <w:tab/>
        <w:t>An offeror may vary the terms of an offer to which this Division applies for the purchase of securities in a proprietary company if:</w:t>
      </w:r>
    </w:p>
    <w:p w14:paraId="136967DE" w14:textId="77777777" w:rsidR="00E93F58" w:rsidRPr="00283424" w:rsidRDefault="00E93F58" w:rsidP="00B50726">
      <w:pPr>
        <w:pStyle w:val="paragraph"/>
      </w:pPr>
      <w:r w:rsidRPr="00283424">
        <w:tab/>
        <w:t>(a)</w:t>
      </w:r>
      <w:r w:rsidRPr="00283424">
        <w:tab/>
        <w:t>the variation is:</w:t>
      </w:r>
    </w:p>
    <w:p w14:paraId="4DC273AF" w14:textId="77777777" w:rsidR="00E93F58" w:rsidRPr="00283424" w:rsidRDefault="00E93F58" w:rsidP="00B50726">
      <w:pPr>
        <w:pStyle w:val="paragraphsub"/>
      </w:pPr>
      <w:r w:rsidRPr="00283424">
        <w:tab/>
        <w:t>(i)</w:t>
      </w:r>
      <w:r w:rsidRPr="00283424">
        <w:tab/>
        <w:t>to improve the consideration offered under the offer; or</w:t>
      </w:r>
    </w:p>
    <w:p w14:paraId="37DCD7B7" w14:textId="77777777" w:rsidR="00E93F58" w:rsidRPr="00283424" w:rsidRDefault="00E93F58" w:rsidP="00B50726">
      <w:pPr>
        <w:pStyle w:val="paragraphsub"/>
      </w:pPr>
      <w:r w:rsidRPr="00283424">
        <w:tab/>
        <w:t>(ii)</w:t>
      </w:r>
      <w:r w:rsidRPr="00283424">
        <w:tab/>
        <w:t>to extend the period that the offer remains open at any time before the end of that period; and</w:t>
      </w:r>
    </w:p>
    <w:p w14:paraId="2E4C6AD6" w14:textId="77777777" w:rsidR="00E93F58" w:rsidRPr="00283424" w:rsidRDefault="00E93F58" w:rsidP="00B50726">
      <w:pPr>
        <w:pStyle w:val="paragraph"/>
      </w:pPr>
      <w:r w:rsidRPr="00283424">
        <w:tab/>
        <w:t>(b)</w:t>
      </w:r>
      <w:r w:rsidRPr="00283424">
        <w:tab/>
        <w:t>the variation will apply to each offeree that has not accepted the offer before the variation is made.</w:t>
      </w:r>
    </w:p>
    <w:p w14:paraId="44AB6809" w14:textId="77777777" w:rsidR="00E93F58" w:rsidRPr="00283424" w:rsidRDefault="00E93F58" w:rsidP="00B50726">
      <w:pPr>
        <w:pStyle w:val="subsection"/>
      </w:pPr>
      <w:r w:rsidRPr="00283424">
        <w:tab/>
        <w:t>(2)</w:t>
      </w:r>
      <w:r w:rsidRPr="00283424">
        <w:tab/>
        <w:t>The variation may only be made by sending a supplementary offer document in printed or electronic form to:</w:t>
      </w:r>
    </w:p>
    <w:p w14:paraId="7EC3085E" w14:textId="77777777" w:rsidR="00E93F58" w:rsidRPr="00283424" w:rsidRDefault="00E93F58" w:rsidP="00B50726">
      <w:pPr>
        <w:pStyle w:val="paragraph"/>
      </w:pPr>
      <w:r w:rsidRPr="00283424">
        <w:tab/>
        <w:t>(a)</w:t>
      </w:r>
      <w:r w:rsidRPr="00283424">
        <w:tab/>
        <w:t>if the variation is to improve the consideration offered under the offer—each offeree in accordance with paragraphs 1019E(1)(a) and (b); or</w:t>
      </w:r>
    </w:p>
    <w:p w14:paraId="1B24FBF5" w14:textId="77777777" w:rsidR="00E93F58" w:rsidRPr="00283424" w:rsidRDefault="00E93F58" w:rsidP="00B50726">
      <w:pPr>
        <w:pStyle w:val="paragraph"/>
      </w:pPr>
      <w:r w:rsidRPr="00283424">
        <w:tab/>
        <w:t>(b)</w:t>
      </w:r>
      <w:r w:rsidRPr="00283424">
        <w:tab/>
        <w:t>if the variation is to extend the period that the offer remains open—each offeree that has not accepted the offer in accordance with paragraphs 1019E(1)(a) and (b).</w:t>
      </w:r>
    </w:p>
    <w:p w14:paraId="74E29894" w14:textId="77777777" w:rsidR="00E93F58" w:rsidRPr="00283424" w:rsidRDefault="00E93F58" w:rsidP="00B50726">
      <w:pPr>
        <w:pStyle w:val="subsection"/>
      </w:pPr>
      <w:r w:rsidRPr="00283424">
        <w:tab/>
        <w:t>(3)</w:t>
      </w:r>
      <w:r w:rsidRPr="00283424">
        <w:tab/>
        <w:t>The supplementary offer document must:</w:t>
      </w:r>
    </w:p>
    <w:p w14:paraId="340456E9" w14:textId="77777777" w:rsidR="00E93F58" w:rsidRPr="00283424" w:rsidRDefault="00E93F58" w:rsidP="00B50726">
      <w:pPr>
        <w:pStyle w:val="paragraph"/>
      </w:pPr>
      <w:r w:rsidRPr="00283424">
        <w:tab/>
        <w:t>(a)</w:t>
      </w:r>
      <w:r w:rsidRPr="00283424">
        <w:tab/>
        <w:t>identify the offer to which it relates; and</w:t>
      </w:r>
    </w:p>
    <w:p w14:paraId="2586E6E9" w14:textId="77777777" w:rsidR="00E93F58" w:rsidRPr="00283424" w:rsidRDefault="00E93F58" w:rsidP="00B50726">
      <w:pPr>
        <w:pStyle w:val="paragraph"/>
      </w:pPr>
      <w:r w:rsidRPr="00283424">
        <w:tab/>
        <w:t>(b)</w:t>
      </w:r>
      <w:r w:rsidRPr="00283424">
        <w:tab/>
        <w:t>describe the variation; and</w:t>
      </w:r>
    </w:p>
    <w:p w14:paraId="43555050" w14:textId="77777777" w:rsidR="00E93F58" w:rsidRPr="00283424" w:rsidRDefault="00E93F58" w:rsidP="00B50726">
      <w:pPr>
        <w:pStyle w:val="paragraph"/>
      </w:pPr>
      <w:r w:rsidRPr="00283424">
        <w:tab/>
        <w:t>(c)</w:t>
      </w:r>
      <w:r w:rsidRPr="00283424">
        <w:tab/>
        <w:t>be worded and presented in a clear, concise and effective manner.</w:t>
      </w:r>
    </w:p>
    <w:p w14:paraId="3AF6D478" w14:textId="77777777" w:rsidR="00E93F58" w:rsidRPr="00283424" w:rsidRDefault="00E93F58" w:rsidP="00B50726">
      <w:pPr>
        <w:pStyle w:val="subsection"/>
      </w:pPr>
      <w:r w:rsidRPr="00283424">
        <w:tab/>
        <w:t>(4)</w:t>
      </w:r>
      <w:r w:rsidRPr="00283424">
        <w:tab/>
        <w:t>The terms of the offer cannot be varied otherwise than under this section.</w:t>
      </w:r>
    </w:p>
    <w:p w14:paraId="2A41DD68" w14:textId="77777777" w:rsidR="00E93F58" w:rsidRPr="00283424" w:rsidRDefault="00E93F58" w:rsidP="00B50726">
      <w:pPr>
        <w:pStyle w:val="subsection"/>
      </w:pPr>
      <w:r w:rsidRPr="00283424">
        <w:tab/>
        <w:t>(5)</w:t>
      </w:r>
      <w:r w:rsidRPr="00283424">
        <w:tab/>
        <w:t>This section does not:</w:t>
      </w:r>
    </w:p>
    <w:p w14:paraId="3BD7A224" w14:textId="77777777" w:rsidR="00E93F58" w:rsidRPr="00283424" w:rsidRDefault="00E93F58" w:rsidP="00B50726">
      <w:pPr>
        <w:pStyle w:val="paragraph"/>
      </w:pPr>
      <w:r w:rsidRPr="00283424">
        <w:tab/>
        <w:t>(a)</w:t>
      </w:r>
      <w:r w:rsidRPr="00283424">
        <w:tab/>
        <w:t>affect the offeror’s obligation under section 1019J to update the market value of the financial product to which the offer relates; or</w:t>
      </w:r>
    </w:p>
    <w:p w14:paraId="5A74243B" w14:textId="77777777" w:rsidR="00E93F58" w:rsidRPr="00283424" w:rsidRDefault="00E93F58" w:rsidP="00B50726">
      <w:pPr>
        <w:pStyle w:val="paragraph"/>
      </w:pPr>
      <w:r w:rsidRPr="00283424">
        <w:tab/>
        <w:t>(b)</w:t>
      </w:r>
      <w:r w:rsidRPr="00283424">
        <w:tab/>
        <w:t>prevent the offeror from withdrawing the offer in accordance with section 1019G or paragraph 1019J(2)(a) and making another offer on different terms; or</w:t>
      </w:r>
    </w:p>
    <w:p w14:paraId="349ECD84" w14:textId="77777777" w:rsidR="00E93F58" w:rsidRPr="00283424" w:rsidRDefault="00E93F58" w:rsidP="00B50726">
      <w:pPr>
        <w:pStyle w:val="paragraph"/>
      </w:pPr>
      <w:r w:rsidRPr="00283424">
        <w:tab/>
        <w:t>(c)</w:t>
      </w:r>
      <w:r w:rsidRPr="00283424">
        <w:tab/>
        <w:t>prevent the offeree from making a counter</w:t>
      </w:r>
      <w:r>
        <w:noBreakHyphen/>
      </w:r>
      <w:r w:rsidRPr="00283424">
        <w:t>offer on different terms.</w:t>
      </w:r>
    </w:p>
    <w:p w14:paraId="4B3F11E0" w14:textId="77777777" w:rsidR="00E93F58" w:rsidRPr="00283424" w:rsidRDefault="00E93F58" w:rsidP="00B50726">
      <w:pPr>
        <w:pStyle w:val="ActHead5"/>
      </w:pPr>
      <w:bookmarkStart w:id="2001" w:name="_Toc152054976"/>
      <w:bookmarkStart w:id="2002" w:name="_Toc158712792"/>
      <w:r w:rsidRPr="006F296E">
        <w:rPr>
          <w:rStyle w:val="CharSectno"/>
        </w:rPr>
        <w:t>7.9.95D</w:t>
      </w:r>
      <w:r w:rsidRPr="00283424">
        <w:t xml:space="preserve">  Rights if requirements not complied with</w:t>
      </w:r>
      <w:bookmarkEnd w:id="2001"/>
      <w:bookmarkEnd w:id="2002"/>
    </w:p>
    <w:p w14:paraId="4D9D9ECF" w14:textId="77777777" w:rsidR="00E93F58" w:rsidRPr="00283424" w:rsidRDefault="00E93F58" w:rsidP="00B50726">
      <w:pPr>
        <w:pStyle w:val="subsection"/>
      </w:pPr>
      <w:r w:rsidRPr="00283424">
        <w:tab/>
      </w:r>
      <w:r w:rsidRPr="00283424">
        <w:tab/>
        <w:t>Part 7.9 of the Act applies in relation to the offer as if subsection 1019K(1) of the Act were modified by inserting after paragraph 1019K(1)(b) of the Act:</w:t>
      </w:r>
    </w:p>
    <w:p w14:paraId="32E23C46" w14:textId="77777777" w:rsidR="00E93F58" w:rsidRPr="00283424" w:rsidRDefault="00E93F58" w:rsidP="00B50726">
      <w:pPr>
        <w:pStyle w:val="paragraph"/>
      </w:pPr>
      <w:r w:rsidRPr="00283424">
        <w:tab/>
        <w:t>(ba)</w:t>
      </w:r>
      <w:r w:rsidRPr="00283424">
        <w:tab/>
        <w:t>in a situation where section 1019H applies:</w:t>
      </w:r>
    </w:p>
    <w:p w14:paraId="2C2F1170" w14:textId="77777777" w:rsidR="00E93F58" w:rsidRPr="00283424" w:rsidRDefault="00E93F58" w:rsidP="00B50726">
      <w:pPr>
        <w:pStyle w:val="paragraphsub"/>
      </w:pPr>
      <w:r w:rsidRPr="00283424">
        <w:tab/>
        <w:t>(i)</w:t>
      </w:r>
      <w:r w:rsidRPr="00283424">
        <w:tab/>
        <w:t>subsection 1019H(2) was not complied with; or</w:t>
      </w:r>
    </w:p>
    <w:p w14:paraId="24BCBE85" w14:textId="77777777" w:rsidR="00E93F58" w:rsidRPr="00283424" w:rsidRDefault="00E93F58" w:rsidP="00B50726">
      <w:pPr>
        <w:pStyle w:val="paragraphsub"/>
      </w:pPr>
      <w:r w:rsidRPr="00283424">
        <w:lastRenderedPageBreak/>
        <w:tab/>
        <w:t>(ii)</w:t>
      </w:r>
      <w:r w:rsidRPr="00283424">
        <w:tab/>
        <w:t>the supplementary offer document did not comply with subsection 1019H(3); or</w:t>
      </w:r>
    </w:p>
    <w:p w14:paraId="77E5BD12" w14:textId="77777777" w:rsidR="00E93F58" w:rsidRPr="00283424" w:rsidRDefault="00E93F58" w:rsidP="00B50726">
      <w:pPr>
        <w:pStyle w:val="paragraphsub"/>
      </w:pPr>
      <w:r w:rsidRPr="00283424">
        <w:tab/>
        <w:t>(iii)</w:t>
      </w:r>
      <w:r w:rsidRPr="00283424">
        <w:tab/>
        <w:t>there was a misleading or deceptive statement in the supplementary offer document;</w:t>
      </w:r>
    </w:p>
    <w:p w14:paraId="439343B1" w14:textId="77777777" w:rsidR="00E93F58" w:rsidRPr="00283424" w:rsidRDefault="00E93F58" w:rsidP="00B50726">
      <w:pPr>
        <w:pStyle w:val="ActHead4"/>
      </w:pPr>
      <w:bookmarkStart w:id="2003" w:name="_Toc152054977"/>
      <w:bookmarkStart w:id="2004" w:name="_Toc158712793"/>
      <w:r w:rsidRPr="006F296E">
        <w:rPr>
          <w:rStyle w:val="CharSubdNo"/>
        </w:rPr>
        <w:t>Subdivision B</w:t>
      </w:r>
      <w:r w:rsidRPr="00283424">
        <w:t>—</w:t>
      </w:r>
      <w:r w:rsidRPr="006F296E">
        <w:rPr>
          <w:rStyle w:val="CharSubdText"/>
        </w:rPr>
        <w:t>Other matters</w:t>
      </w:r>
      <w:bookmarkEnd w:id="2003"/>
      <w:bookmarkEnd w:id="2004"/>
    </w:p>
    <w:p w14:paraId="0398A35D" w14:textId="77777777" w:rsidR="00E93F58" w:rsidRPr="00283424" w:rsidRDefault="00E93F58" w:rsidP="00B50726">
      <w:pPr>
        <w:pStyle w:val="ActHead5"/>
      </w:pPr>
      <w:bookmarkStart w:id="2005" w:name="_Toc152054978"/>
      <w:bookmarkStart w:id="2006" w:name="_Toc158712794"/>
      <w:r w:rsidRPr="006F296E">
        <w:rPr>
          <w:rStyle w:val="CharSectno"/>
        </w:rPr>
        <w:t>7.9.96</w:t>
      </w:r>
      <w:r w:rsidRPr="00283424">
        <w:t xml:space="preserve">  Percentage increase or decrease in the market value of a product</w:t>
      </w:r>
      <w:bookmarkEnd w:id="2005"/>
      <w:bookmarkEnd w:id="2006"/>
    </w:p>
    <w:p w14:paraId="11BFD3E5" w14:textId="77777777" w:rsidR="00E93F58" w:rsidRPr="00283424" w:rsidRDefault="00E93F58" w:rsidP="00B50726">
      <w:pPr>
        <w:pStyle w:val="subsection"/>
      </w:pPr>
      <w:r w:rsidRPr="00283424">
        <w:tab/>
      </w:r>
      <w:r w:rsidRPr="00283424">
        <w:tab/>
        <w:t>For paragraph 1019J(1)(c) of the Act, 50% is specified.</w:t>
      </w:r>
    </w:p>
    <w:p w14:paraId="0730B902" w14:textId="77777777" w:rsidR="00E93F58" w:rsidRPr="00283424" w:rsidRDefault="00E93F58" w:rsidP="00B50726">
      <w:pPr>
        <w:pStyle w:val="ActHead5"/>
      </w:pPr>
      <w:bookmarkStart w:id="2007" w:name="_Toc152054979"/>
      <w:bookmarkStart w:id="2008" w:name="_Toc158712795"/>
      <w:r w:rsidRPr="006F296E">
        <w:rPr>
          <w:rStyle w:val="CharSectno"/>
        </w:rPr>
        <w:t>7.9.97</w:t>
      </w:r>
      <w:r w:rsidRPr="00283424">
        <w:t xml:space="preserve">  Off</w:t>
      </w:r>
      <w:r>
        <w:noBreakHyphen/>
      </w:r>
      <w:r w:rsidRPr="00283424">
        <w:t>market trading by professional investors etc</w:t>
      </w:r>
      <w:bookmarkEnd w:id="2007"/>
      <w:bookmarkEnd w:id="2008"/>
    </w:p>
    <w:p w14:paraId="733639C5" w14:textId="77777777" w:rsidR="00E93F58" w:rsidRPr="00283424" w:rsidRDefault="00E93F58" w:rsidP="00B50726">
      <w:pPr>
        <w:pStyle w:val="subsection"/>
      </w:pPr>
      <w:r w:rsidRPr="00283424">
        <w:tab/>
        <w:t>(1)</w:t>
      </w:r>
      <w:r w:rsidRPr="00283424">
        <w:tab/>
        <w:t>For subparagraph 1019D(1)(d)(viii) of the Act, the following circumstances are specified:</w:t>
      </w:r>
    </w:p>
    <w:p w14:paraId="025335AD" w14:textId="77777777" w:rsidR="00E93F58" w:rsidRPr="00283424" w:rsidRDefault="00E93F58" w:rsidP="00B50726">
      <w:pPr>
        <w:pStyle w:val="paragraph"/>
      </w:pPr>
      <w:r w:rsidRPr="00283424">
        <w:tab/>
        <w:t>(a)</w:t>
      </w:r>
      <w:r w:rsidRPr="00283424">
        <w:tab/>
        <w:t>the offer mentioned in subsection 1019D(1) of the Act is to:</w:t>
      </w:r>
    </w:p>
    <w:p w14:paraId="4D3EF21B" w14:textId="77777777" w:rsidR="00E93F58" w:rsidRPr="00283424" w:rsidRDefault="00E93F58" w:rsidP="00B50726">
      <w:pPr>
        <w:pStyle w:val="paragraphsub"/>
      </w:pPr>
      <w:r w:rsidRPr="00283424">
        <w:tab/>
        <w:t>(i)</w:t>
      </w:r>
      <w:r w:rsidRPr="00283424">
        <w:tab/>
        <w:t>a professional investor; or</w:t>
      </w:r>
    </w:p>
    <w:p w14:paraId="02DAE1DD" w14:textId="77777777" w:rsidR="00E93F58" w:rsidRPr="00283424" w:rsidRDefault="00E93F58" w:rsidP="00B50726">
      <w:pPr>
        <w:pStyle w:val="paragraphsub"/>
      </w:pPr>
      <w:r w:rsidRPr="00283424">
        <w:tab/>
        <w:t>(ii)</w:t>
      </w:r>
      <w:r w:rsidRPr="00283424">
        <w:tab/>
        <w:t>a person who has net assets of at least the amount specified in regulations made for the purposes of subparagraph 761G(7)(c)(i) of the Act; or</w:t>
      </w:r>
    </w:p>
    <w:p w14:paraId="22177C8E" w14:textId="77777777" w:rsidR="00E93F58" w:rsidRPr="00283424" w:rsidRDefault="00E93F58" w:rsidP="00B50726">
      <w:pPr>
        <w:pStyle w:val="paragraphsub"/>
      </w:pPr>
      <w:r w:rsidRPr="00283424">
        <w:tab/>
        <w:t>(iii)</w:t>
      </w:r>
      <w:r w:rsidRPr="00283424">
        <w:tab/>
        <w:t>a person who has gross income for each of the last 2 financial years of at least the amount specified in regulations made for the purposes of subparagraph 761G(7)(c)(ii) of the Act; or</w:t>
      </w:r>
    </w:p>
    <w:p w14:paraId="7A121FF0" w14:textId="77777777" w:rsidR="00E93F58" w:rsidRPr="00283424" w:rsidRDefault="00E93F58" w:rsidP="00B50726">
      <w:pPr>
        <w:pStyle w:val="paragraphsub"/>
      </w:pPr>
      <w:r w:rsidRPr="00283424">
        <w:tab/>
        <w:t>(iv)</w:t>
      </w:r>
      <w:r w:rsidRPr="00283424">
        <w:tab/>
        <w:t>a business that is not a small business within the meaning of subsection 761G(12) of the Act;</w:t>
      </w:r>
    </w:p>
    <w:p w14:paraId="24602E8E" w14:textId="77777777" w:rsidR="00E93F58" w:rsidRPr="00283424" w:rsidRDefault="00E93F58" w:rsidP="00B50726">
      <w:pPr>
        <w:pStyle w:val="paragraph"/>
      </w:pPr>
      <w:r w:rsidRPr="00283424">
        <w:tab/>
        <w:t>(b)</w:t>
      </w:r>
      <w:r w:rsidRPr="00283424">
        <w:tab/>
        <w:t>the minimum amount payable for securities on acceptance of the offer by the person to whom the offer is made is at least $500 000;</w:t>
      </w:r>
    </w:p>
    <w:p w14:paraId="18E6B483" w14:textId="77777777" w:rsidR="00E93F58" w:rsidRPr="00283424" w:rsidRDefault="00E93F58" w:rsidP="00B50726">
      <w:pPr>
        <w:pStyle w:val="paragraph"/>
      </w:pPr>
      <w:r w:rsidRPr="00283424">
        <w:tab/>
        <w:t>(c)</w:t>
      </w:r>
      <w:r w:rsidRPr="00283424">
        <w:tab/>
        <w:t>for a financial product other than securities, the offer for the financial product is for an amount that equals or exceeds the amount specified in regulations made for the purposes of paragraph 761G(7)(a) of the Act.</w:t>
      </w:r>
    </w:p>
    <w:p w14:paraId="65A7BE89" w14:textId="77777777" w:rsidR="00E93F58" w:rsidRPr="00283424" w:rsidRDefault="00E93F58" w:rsidP="00B50726">
      <w:pPr>
        <w:pStyle w:val="subsection"/>
      </w:pPr>
      <w:r w:rsidRPr="00283424">
        <w:tab/>
        <w:t>(2)</w:t>
      </w:r>
      <w:r w:rsidRPr="00283424">
        <w:tab/>
        <w:t>For paragraph (b), in calculating the amount payable for securities, disregard any amount payable or paid to the extent to which it is to be paid, or was paid, out of money lent by the person offering the securities or an associate of the person offering the securities.</w:t>
      </w:r>
    </w:p>
    <w:p w14:paraId="6F456967" w14:textId="77777777" w:rsidR="00E93F58" w:rsidRPr="00283424" w:rsidRDefault="00E93F58" w:rsidP="00B50726">
      <w:pPr>
        <w:pStyle w:val="ActHead5"/>
      </w:pPr>
      <w:bookmarkStart w:id="2009" w:name="_Toc152054980"/>
      <w:bookmarkStart w:id="2010" w:name="_Toc158712796"/>
      <w:r w:rsidRPr="006F296E">
        <w:rPr>
          <w:rStyle w:val="CharSectno"/>
        </w:rPr>
        <w:t>7.9.97A</w:t>
      </w:r>
      <w:r w:rsidRPr="00283424">
        <w:t xml:space="preserve">  Information in offer document if payment is to be made in instalments</w:t>
      </w:r>
      <w:bookmarkEnd w:id="2009"/>
      <w:bookmarkEnd w:id="2010"/>
    </w:p>
    <w:p w14:paraId="54E99A3D" w14:textId="77777777" w:rsidR="00E93F58" w:rsidRPr="00283424" w:rsidRDefault="00E93F58" w:rsidP="00B50726">
      <w:pPr>
        <w:pStyle w:val="subsection"/>
        <w:keepNext/>
        <w:keepLines/>
      </w:pPr>
      <w:r w:rsidRPr="00283424">
        <w:tab/>
        <w:t>(1)</w:t>
      </w:r>
      <w:r w:rsidRPr="00283424">
        <w:tab/>
        <w:t>For paragraph 1019I(2)(f) of the Act, the following information is specified for an offer document if payment for the financial products mentioned in the document is to be made in instalments:</w:t>
      </w:r>
    </w:p>
    <w:p w14:paraId="20CEFFE3" w14:textId="77777777" w:rsidR="00E93F58" w:rsidRPr="00283424" w:rsidRDefault="00E93F58" w:rsidP="00B50726">
      <w:pPr>
        <w:pStyle w:val="paragraph"/>
      </w:pPr>
      <w:r w:rsidRPr="00283424">
        <w:tab/>
        <w:t>(a)</w:t>
      </w:r>
      <w:r w:rsidRPr="00283424">
        <w:tab/>
        <w:t>the amount of each instalment;</w:t>
      </w:r>
    </w:p>
    <w:p w14:paraId="403B6641" w14:textId="77777777" w:rsidR="00E93F58" w:rsidRPr="00283424" w:rsidRDefault="00E93F58" w:rsidP="00B50726">
      <w:pPr>
        <w:pStyle w:val="paragraph"/>
      </w:pPr>
      <w:r w:rsidRPr="00283424">
        <w:tab/>
        <w:t>(b)</w:t>
      </w:r>
      <w:r w:rsidRPr="00283424">
        <w:tab/>
        <w:t>when each instalment will be paid;</w:t>
      </w:r>
    </w:p>
    <w:p w14:paraId="41CEADB2" w14:textId="77777777" w:rsidR="00E93F58" w:rsidRPr="00283424" w:rsidRDefault="00E93F58" w:rsidP="00B50726">
      <w:pPr>
        <w:pStyle w:val="paragraph"/>
      </w:pPr>
      <w:r w:rsidRPr="00283424">
        <w:tab/>
        <w:t>(c)</w:t>
      </w:r>
      <w:r w:rsidRPr="00283424">
        <w:tab/>
        <w:t>how many instalments will be paid;</w:t>
      </w:r>
    </w:p>
    <w:p w14:paraId="30EA5696" w14:textId="77777777" w:rsidR="00E93F58" w:rsidRPr="00283424" w:rsidRDefault="00E93F58" w:rsidP="00B50726">
      <w:pPr>
        <w:pStyle w:val="paragraph"/>
      </w:pPr>
      <w:r w:rsidRPr="00283424">
        <w:tab/>
        <w:t>(d)</w:t>
      </w:r>
      <w:r w:rsidRPr="00283424">
        <w:tab/>
        <w:t>how each instalment will be paid;</w:t>
      </w:r>
    </w:p>
    <w:p w14:paraId="290898ED" w14:textId="77777777" w:rsidR="00E93F58" w:rsidRPr="00283424" w:rsidRDefault="00E93F58" w:rsidP="00B50726">
      <w:pPr>
        <w:pStyle w:val="paragraph"/>
      </w:pPr>
      <w:r w:rsidRPr="00283424">
        <w:tab/>
        <w:t>(e)</w:t>
      </w:r>
      <w:r w:rsidRPr="00283424">
        <w:tab/>
        <w:t>the following text, replacing X with the total present value of the instalments and Y with the total current value of the financial products:</w:t>
      </w:r>
    </w:p>
    <w:p w14:paraId="49DF8D2B" w14:textId="77777777" w:rsidR="00E93F58" w:rsidRPr="00283424" w:rsidRDefault="00E93F58" w:rsidP="00B50726">
      <w:pPr>
        <w:pStyle w:val="subsection2"/>
      </w:pPr>
      <w:r w:rsidRPr="00283424">
        <w:t>‘Money loses value over time.  In this case, the value of the total instalment payments being offered to you is approximately the same as being paid a single amount of $X today.  $X represents the ‘present day value’ of the instalment payments.  Commonwealth legislation sets out a method for calculating the present value of the offer, using the rate of interest of 1.1% per month.  You can assess this offer by comparing the present day value of the instalment payments ($X) with the total market price of your shares or other financial products ($Y).</w:t>
      </w:r>
    </w:p>
    <w:p w14:paraId="203798FE" w14:textId="77777777" w:rsidR="00E93F58" w:rsidRPr="00283424" w:rsidRDefault="00E93F58" w:rsidP="00B50726">
      <w:pPr>
        <w:pStyle w:val="subsection2"/>
      </w:pPr>
      <w:r w:rsidRPr="00283424">
        <w:t>‘In general, if the present day value of the instalment payments being offered is less than the market price of your shares or other financial products, then this offer may not be fair to you.’</w:t>
      </w:r>
    </w:p>
    <w:p w14:paraId="0FF5111B" w14:textId="77777777" w:rsidR="00E93F58" w:rsidRPr="00283424" w:rsidRDefault="00E93F58" w:rsidP="00B50726">
      <w:pPr>
        <w:pStyle w:val="subsection"/>
      </w:pPr>
      <w:r w:rsidRPr="00283424">
        <w:tab/>
        <w:t>(2)</w:t>
      </w:r>
      <w:r w:rsidRPr="00283424">
        <w:tab/>
        <w:t xml:space="preserve">For this regulation, the </w:t>
      </w:r>
      <w:r w:rsidRPr="00283424">
        <w:rPr>
          <w:b/>
          <w:i/>
        </w:rPr>
        <w:t>total present value</w:t>
      </w:r>
      <w:r w:rsidRPr="00283424">
        <w:t xml:space="preserve"> of a series of instalment payments is the amount:</w:t>
      </w:r>
    </w:p>
    <w:p w14:paraId="479E0190" w14:textId="77777777" w:rsidR="00E93F58" w:rsidRPr="00283424" w:rsidRDefault="00E93F58" w:rsidP="00B50726">
      <w:pPr>
        <w:pStyle w:val="subsection"/>
        <w:spacing w:before="120" w:after="120"/>
      </w:pPr>
      <w:r w:rsidRPr="00283424">
        <w:tab/>
      </w:r>
      <w:r w:rsidRPr="00283424">
        <w:tab/>
      </w:r>
      <w:r w:rsidRPr="00283424">
        <w:rPr>
          <w:noProof/>
        </w:rPr>
        <w:drawing>
          <wp:inline distT="0" distB="0" distL="0" distR="0" wp14:anchorId="47E31F99" wp14:editId="6F40144F">
            <wp:extent cx="647700" cy="466725"/>
            <wp:effectExtent l="0" t="0" r="0" b="9525"/>
            <wp:docPr id="691325071" name="Picture 691325071" descr="A formula to work out the total present value of a series of instalmen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formula to work out the total present value of a series of instalment paym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p>
    <w:p w14:paraId="13AED977" w14:textId="77777777" w:rsidR="00E93F58" w:rsidRPr="00283424" w:rsidRDefault="00E93F58" w:rsidP="00B50726">
      <w:pPr>
        <w:pStyle w:val="subsection2"/>
      </w:pPr>
      <w:r w:rsidRPr="00283424">
        <w:t>where:</w:t>
      </w:r>
    </w:p>
    <w:p w14:paraId="35D97024" w14:textId="77777777" w:rsidR="00E93F58" w:rsidRPr="00283424" w:rsidRDefault="00E93F58" w:rsidP="00B50726">
      <w:pPr>
        <w:pStyle w:val="Definition"/>
      </w:pPr>
      <w:r w:rsidRPr="00283424">
        <w:rPr>
          <w:b/>
          <w:i/>
        </w:rPr>
        <w:t>n</w:t>
      </w:r>
      <w:r w:rsidRPr="00283424">
        <w:t xml:space="preserve"> is the number of instalment payments to be made.</w:t>
      </w:r>
    </w:p>
    <w:p w14:paraId="71AFDA9C" w14:textId="77777777" w:rsidR="00E93F58" w:rsidRPr="00283424" w:rsidRDefault="00E93F58" w:rsidP="00B50726">
      <w:pPr>
        <w:pStyle w:val="Definition"/>
      </w:pPr>
      <w:r w:rsidRPr="00283424">
        <w:rPr>
          <w:b/>
          <w:i/>
        </w:rPr>
        <w:t>R</w:t>
      </w:r>
      <w:r w:rsidRPr="00283424">
        <w:rPr>
          <w:b/>
          <w:i/>
          <w:vertAlign w:val="subscript"/>
        </w:rPr>
        <w:t>p</w:t>
      </w:r>
      <w:r w:rsidRPr="00283424">
        <w:t xml:space="preserve"> is the amount of instalment payment number </w:t>
      </w:r>
      <w:r w:rsidRPr="00283424">
        <w:rPr>
          <w:i/>
        </w:rPr>
        <w:t>p</w:t>
      </w:r>
      <w:r w:rsidRPr="00283424">
        <w:t xml:space="preserve">, where each instalment payment is assigned a number from l to </w:t>
      </w:r>
      <w:r w:rsidRPr="00283424">
        <w:rPr>
          <w:i/>
        </w:rPr>
        <w:t>n</w:t>
      </w:r>
      <w:r w:rsidRPr="00283424">
        <w:t>.</w:t>
      </w:r>
    </w:p>
    <w:p w14:paraId="02628218" w14:textId="77777777" w:rsidR="00E93F58" w:rsidRPr="00283424" w:rsidRDefault="00E93F58" w:rsidP="00B50726">
      <w:pPr>
        <w:pStyle w:val="Definition"/>
      </w:pPr>
      <w:r w:rsidRPr="00283424">
        <w:rPr>
          <w:b/>
          <w:i/>
        </w:rPr>
        <w:t>t</w:t>
      </w:r>
      <w:r w:rsidRPr="00283424">
        <w:rPr>
          <w:b/>
          <w:i/>
          <w:vertAlign w:val="subscript"/>
        </w:rPr>
        <w:t>p</w:t>
      </w:r>
      <w:r w:rsidRPr="00283424">
        <w:t xml:space="preserve"> is the number of whole months between the date of offer and the date that the instalment number </w:t>
      </w:r>
      <w:r w:rsidRPr="00283424">
        <w:rPr>
          <w:i/>
        </w:rPr>
        <w:t>p</w:t>
      </w:r>
      <w:r w:rsidRPr="00283424">
        <w:t xml:space="preserve"> is due.</w:t>
      </w:r>
    </w:p>
    <w:p w14:paraId="18258A18" w14:textId="77777777" w:rsidR="00E93F58" w:rsidRPr="00283424" w:rsidRDefault="00E93F58" w:rsidP="00B50726">
      <w:pPr>
        <w:pStyle w:val="subsection"/>
      </w:pPr>
      <w:r w:rsidRPr="00283424">
        <w:lastRenderedPageBreak/>
        <w:tab/>
        <w:t>(3)</w:t>
      </w:r>
      <w:r w:rsidRPr="00283424">
        <w:tab/>
        <w:t>For this regulation, the</w:t>
      </w:r>
      <w:r w:rsidRPr="00283424">
        <w:rPr>
          <w:b/>
          <w:i/>
        </w:rPr>
        <w:t xml:space="preserve"> total current value</w:t>
      </w:r>
      <w:r w:rsidRPr="00283424">
        <w:t xml:space="preserve"> of a financial product is the market value for the product on the date of offer as mentioned in paragraph 1019I(2)(b) of the Act or the fair estimate of the value of the product on the date of offer as mentioned in paragraph 1019I(2)(c) of the Act, as applicable.</w:t>
      </w:r>
    </w:p>
    <w:p w14:paraId="732F771C" w14:textId="77777777" w:rsidR="00E93F58" w:rsidRPr="00283424" w:rsidRDefault="00E93F58" w:rsidP="00B50726">
      <w:pPr>
        <w:pStyle w:val="subsection"/>
      </w:pPr>
      <w:r w:rsidRPr="00283424">
        <w:tab/>
        <w:t>(4)</w:t>
      </w:r>
      <w:r w:rsidRPr="00283424">
        <w:tab/>
        <w:t>For this regulation, all money amounts must be represented in Australian currency.</w:t>
      </w:r>
    </w:p>
    <w:p w14:paraId="7EF96D72" w14:textId="77777777" w:rsidR="00E93F58" w:rsidRPr="00283424" w:rsidRDefault="00E93F58" w:rsidP="00B50726">
      <w:pPr>
        <w:pStyle w:val="ActHead3"/>
        <w:pageBreakBefore/>
      </w:pPr>
      <w:bookmarkStart w:id="2011" w:name="_Toc152054981"/>
      <w:bookmarkStart w:id="2012" w:name="_Toc158712797"/>
      <w:r w:rsidRPr="006F296E">
        <w:rPr>
          <w:rStyle w:val="CharDivNo"/>
        </w:rPr>
        <w:lastRenderedPageBreak/>
        <w:t>Division 14</w:t>
      </w:r>
      <w:r w:rsidRPr="00283424">
        <w:t>—</w:t>
      </w:r>
      <w:r w:rsidRPr="006F296E">
        <w:rPr>
          <w:rStyle w:val="CharDivText"/>
        </w:rPr>
        <w:t>Exemptions from Parts 7.7, 7.8 and 7.9 of the Act</w:t>
      </w:r>
      <w:bookmarkEnd w:id="2011"/>
      <w:bookmarkEnd w:id="2012"/>
    </w:p>
    <w:p w14:paraId="41E8AD6B" w14:textId="77777777" w:rsidR="00E93F58" w:rsidRPr="00283424" w:rsidRDefault="00E93F58" w:rsidP="00B50726">
      <w:pPr>
        <w:pStyle w:val="ActHead5"/>
      </w:pPr>
      <w:bookmarkStart w:id="2013" w:name="_Toc152054982"/>
      <w:bookmarkStart w:id="2014" w:name="_Toc158712798"/>
      <w:r w:rsidRPr="006F296E">
        <w:rPr>
          <w:rStyle w:val="CharSectno"/>
        </w:rPr>
        <w:t>7.9.98</w:t>
      </w:r>
      <w:r w:rsidRPr="00283424">
        <w:t xml:space="preserve">  Certain providers of financial services exempted from the requirements of Parts 7.7, 7.8 and 7.9 of the Act</w:t>
      </w:r>
      <w:bookmarkEnd w:id="2013"/>
      <w:bookmarkEnd w:id="2014"/>
    </w:p>
    <w:p w14:paraId="1651B738" w14:textId="77777777" w:rsidR="00E93F58" w:rsidRPr="00283424" w:rsidRDefault="00E93F58" w:rsidP="00B50726">
      <w:pPr>
        <w:pStyle w:val="subsection"/>
      </w:pPr>
      <w:r w:rsidRPr="00283424">
        <w:tab/>
      </w:r>
      <w:r w:rsidRPr="00283424">
        <w:tab/>
        <w:t>For the provisions of the Act set out in column 2 of the following table, a person who is providing a financial service in the circumstances set out subsections 911A(2A) to (2E) is exempt from the operation of the Parts of the Act specified in column 3 in relation to the provision of that service.</w:t>
      </w:r>
    </w:p>
    <w:p w14:paraId="57EE8E8C"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2"/>
        <w:gridCol w:w="5837"/>
        <w:gridCol w:w="3294"/>
      </w:tblGrid>
      <w:tr w:rsidR="00E93F58" w:rsidRPr="00283424" w14:paraId="609CB61C" w14:textId="77777777" w:rsidTr="00EA0AFF">
        <w:trPr>
          <w:tblHeader/>
        </w:trPr>
        <w:tc>
          <w:tcPr>
            <w:tcW w:w="762" w:type="pct"/>
            <w:tcBorders>
              <w:top w:val="single" w:sz="12" w:space="0" w:color="auto"/>
              <w:bottom w:val="single" w:sz="6" w:space="0" w:color="auto"/>
            </w:tcBorders>
            <w:shd w:val="clear" w:color="auto" w:fill="auto"/>
          </w:tcPr>
          <w:p w14:paraId="75DF7B54" w14:textId="77777777" w:rsidR="00E93F58" w:rsidRPr="00283424" w:rsidRDefault="00E93F58" w:rsidP="00EA0AFF">
            <w:pPr>
              <w:pStyle w:val="TableHeading"/>
            </w:pPr>
            <w:r w:rsidRPr="00283424">
              <w:t>Column 1</w:t>
            </w:r>
          </w:p>
        </w:tc>
        <w:tc>
          <w:tcPr>
            <w:tcW w:w="2709" w:type="pct"/>
            <w:tcBorders>
              <w:top w:val="single" w:sz="12" w:space="0" w:color="auto"/>
              <w:bottom w:val="single" w:sz="6" w:space="0" w:color="auto"/>
            </w:tcBorders>
            <w:shd w:val="clear" w:color="auto" w:fill="auto"/>
          </w:tcPr>
          <w:p w14:paraId="198B49FE" w14:textId="77777777" w:rsidR="00E93F58" w:rsidRPr="00283424" w:rsidRDefault="00E93F58" w:rsidP="00EA0AFF">
            <w:pPr>
              <w:pStyle w:val="TableHeading"/>
            </w:pPr>
            <w:r w:rsidRPr="00283424">
              <w:t>Column 2</w:t>
            </w:r>
          </w:p>
        </w:tc>
        <w:tc>
          <w:tcPr>
            <w:tcW w:w="1529" w:type="pct"/>
            <w:tcBorders>
              <w:top w:val="single" w:sz="12" w:space="0" w:color="auto"/>
              <w:bottom w:val="single" w:sz="6" w:space="0" w:color="auto"/>
            </w:tcBorders>
            <w:shd w:val="clear" w:color="auto" w:fill="auto"/>
          </w:tcPr>
          <w:p w14:paraId="0FA24E26" w14:textId="77777777" w:rsidR="00E93F58" w:rsidRPr="00283424" w:rsidRDefault="00E93F58" w:rsidP="00EA0AFF">
            <w:pPr>
              <w:pStyle w:val="TableHeading"/>
            </w:pPr>
            <w:r w:rsidRPr="00283424">
              <w:t>Column 3</w:t>
            </w:r>
          </w:p>
        </w:tc>
      </w:tr>
      <w:tr w:rsidR="00E93F58" w:rsidRPr="00283424" w14:paraId="13492005" w14:textId="77777777" w:rsidTr="00EA0AFF">
        <w:trPr>
          <w:tblHeader/>
        </w:trPr>
        <w:tc>
          <w:tcPr>
            <w:tcW w:w="762" w:type="pct"/>
            <w:tcBorders>
              <w:top w:val="single" w:sz="6" w:space="0" w:color="auto"/>
              <w:bottom w:val="single" w:sz="12" w:space="0" w:color="auto"/>
            </w:tcBorders>
            <w:shd w:val="clear" w:color="auto" w:fill="auto"/>
          </w:tcPr>
          <w:p w14:paraId="770333C0" w14:textId="77777777" w:rsidR="00E93F58" w:rsidRPr="00283424" w:rsidRDefault="00E93F58" w:rsidP="00EA0AFF">
            <w:pPr>
              <w:pStyle w:val="TableHeading"/>
            </w:pPr>
            <w:r w:rsidRPr="00283424">
              <w:t>Item</w:t>
            </w:r>
          </w:p>
        </w:tc>
        <w:tc>
          <w:tcPr>
            <w:tcW w:w="2709" w:type="pct"/>
            <w:tcBorders>
              <w:top w:val="single" w:sz="6" w:space="0" w:color="auto"/>
              <w:bottom w:val="single" w:sz="12" w:space="0" w:color="auto"/>
            </w:tcBorders>
            <w:shd w:val="clear" w:color="auto" w:fill="auto"/>
          </w:tcPr>
          <w:p w14:paraId="50E535F3" w14:textId="77777777" w:rsidR="00E93F58" w:rsidRPr="00283424" w:rsidRDefault="00E93F58" w:rsidP="00EA0AFF">
            <w:pPr>
              <w:pStyle w:val="TableHeading"/>
            </w:pPr>
            <w:r w:rsidRPr="00283424">
              <w:t>Provisions of Act</w:t>
            </w:r>
          </w:p>
        </w:tc>
        <w:tc>
          <w:tcPr>
            <w:tcW w:w="1529" w:type="pct"/>
            <w:tcBorders>
              <w:top w:val="single" w:sz="6" w:space="0" w:color="auto"/>
              <w:bottom w:val="single" w:sz="12" w:space="0" w:color="auto"/>
            </w:tcBorders>
            <w:shd w:val="clear" w:color="auto" w:fill="auto"/>
          </w:tcPr>
          <w:p w14:paraId="04538605" w14:textId="77777777" w:rsidR="00E93F58" w:rsidRPr="00283424" w:rsidRDefault="00E93F58" w:rsidP="00EA0AFF">
            <w:pPr>
              <w:pStyle w:val="TableHeading"/>
            </w:pPr>
          </w:p>
        </w:tc>
      </w:tr>
      <w:tr w:rsidR="00E93F58" w:rsidRPr="00283424" w14:paraId="319F5CBB" w14:textId="77777777" w:rsidTr="00EA0AFF">
        <w:tc>
          <w:tcPr>
            <w:tcW w:w="762" w:type="pct"/>
            <w:tcBorders>
              <w:top w:val="single" w:sz="12" w:space="0" w:color="auto"/>
            </w:tcBorders>
            <w:shd w:val="clear" w:color="auto" w:fill="auto"/>
          </w:tcPr>
          <w:p w14:paraId="775E2E1D" w14:textId="77777777" w:rsidR="00E93F58" w:rsidRPr="00283424" w:rsidRDefault="00E93F58" w:rsidP="00EA0AFF">
            <w:pPr>
              <w:pStyle w:val="Tabletext"/>
            </w:pPr>
            <w:r w:rsidRPr="00283424">
              <w:t>1</w:t>
            </w:r>
          </w:p>
        </w:tc>
        <w:tc>
          <w:tcPr>
            <w:tcW w:w="2709" w:type="pct"/>
            <w:tcBorders>
              <w:top w:val="single" w:sz="12" w:space="0" w:color="auto"/>
            </w:tcBorders>
            <w:shd w:val="clear" w:color="auto" w:fill="auto"/>
          </w:tcPr>
          <w:p w14:paraId="731C079E" w14:textId="77777777" w:rsidR="00E93F58" w:rsidRPr="00283424" w:rsidRDefault="00E93F58" w:rsidP="00EA0AFF">
            <w:pPr>
              <w:pStyle w:val="Tabletext"/>
            </w:pPr>
            <w:r w:rsidRPr="00283424">
              <w:t>paragraph 951C(1)(a)</w:t>
            </w:r>
          </w:p>
        </w:tc>
        <w:tc>
          <w:tcPr>
            <w:tcW w:w="1529" w:type="pct"/>
            <w:tcBorders>
              <w:top w:val="single" w:sz="12" w:space="0" w:color="auto"/>
            </w:tcBorders>
            <w:shd w:val="clear" w:color="auto" w:fill="auto"/>
          </w:tcPr>
          <w:p w14:paraId="155D269F" w14:textId="77777777" w:rsidR="00E93F58" w:rsidRPr="00283424" w:rsidRDefault="00E93F58" w:rsidP="00EA0AFF">
            <w:pPr>
              <w:pStyle w:val="Tabletext"/>
            </w:pPr>
            <w:r w:rsidRPr="00283424">
              <w:t>Part 7.7</w:t>
            </w:r>
          </w:p>
        </w:tc>
      </w:tr>
      <w:tr w:rsidR="00E93F58" w:rsidRPr="00283424" w14:paraId="53A89166" w14:textId="77777777" w:rsidTr="00EA0AFF">
        <w:tc>
          <w:tcPr>
            <w:tcW w:w="762" w:type="pct"/>
            <w:tcBorders>
              <w:bottom w:val="single" w:sz="4" w:space="0" w:color="auto"/>
            </w:tcBorders>
            <w:shd w:val="clear" w:color="auto" w:fill="auto"/>
          </w:tcPr>
          <w:p w14:paraId="49B549E6" w14:textId="77777777" w:rsidR="00E93F58" w:rsidRPr="00283424" w:rsidRDefault="00E93F58" w:rsidP="00EA0AFF">
            <w:pPr>
              <w:pStyle w:val="Tabletext"/>
            </w:pPr>
            <w:r w:rsidRPr="00283424">
              <w:t>2</w:t>
            </w:r>
          </w:p>
        </w:tc>
        <w:tc>
          <w:tcPr>
            <w:tcW w:w="2709" w:type="pct"/>
            <w:tcBorders>
              <w:bottom w:val="single" w:sz="4" w:space="0" w:color="auto"/>
            </w:tcBorders>
            <w:shd w:val="clear" w:color="auto" w:fill="auto"/>
          </w:tcPr>
          <w:p w14:paraId="4AE0DFD6" w14:textId="77777777" w:rsidR="00E93F58" w:rsidRPr="00283424" w:rsidRDefault="00E93F58" w:rsidP="00EA0AFF">
            <w:pPr>
              <w:pStyle w:val="Tabletext"/>
            </w:pPr>
            <w:r w:rsidRPr="00283424">
              <w:t>paragraph 992C(1)(a)</w:t>
            </w:r>
          </w:p>
        </w:tc>
        <w:tc>
          <w:tcPr>
            <w:tcW w:w="1529" w:type="pct"/>
            <w:tcBorders>
              <w:bottom w:val="single" w:sz="4" w:space="0" w:color="auto"/>
            </w:tcBorders>
            <w:shd w:val="clear" w:color="auto" w:fill="auto"/>
          </w:tcPr>
          <w:p w14:paraId="2FF7E212" w14:textId="77777777" w:rsidR="00E93F58" w:rsidRPr="00283424" w:rsidRDefault="00E93F58" w:rsidP="00EA0AFF">
            <w:pPr>
              <w:pStyle w:val="Tabletext"/>
            </w:pPr>
            <w:r w:rsidRPr="00283424">
              <w:t>Part 7.8</w:t>
            </w:r>
          </w:p>
        </w:tc>
      </w:tr>
      <w:tr w:rsidR="00E93F58" w:rsidRPr="00283424" w14:paraId="1CA99B93" w14:textId="77777777" w:rsidTr="00EA0AFF">
        <w:tc>
          <w:tcPr>
            <w:tcW w:w="762" w:type="pct"/>
            <w:tcBorders>
              <w:bottom w:val="single" w:sz="12" w:space="0" w:color="auto"/>
            </w:tcBorders>
            <w:shd w:val="clear" w:color="auto" w:fill="auto"/>
          </w:tcPr>
          <w:p w14:paraId="04DECD20" w14:textId="77777777" w:rsidR="00E93F58" w:rsidRPr="00283424" w:rsidRDefault="00E93F58" w:rsidP="00EA0AFF">
            <w:pPr>
              <w:pStyle w:val="Tabletext"/>
            </w:pPr>
            <w:r w:rsidRPr="00283424">
              <w:t>3</w:t>
            </w:r>
          </w:p>
        </w:tc>
        <w:tc>
          <w:tcPr>
            <w:tcW w:w="2709" w:type="pct"/>
            <w:tcBorders>
              <w:bottom w:val="single" w:sz="12" w:space="0" w:color="auto"/>
            </w:tcBorders>
            <w:shd w:val="clear" w:color="auto" w:fill="auto"/>
          </w:tcPr>
          <w:p w14:paraId="726FFAA5" w14:textId="77777777" w:rsidR="00E93F58" w:rsidRPr="00283424" w:rsidRDefault="00E93F58" w:rsidP="00EA0AFF">
            <w:pPr>
              <w:pStyle w:val="Tabletext"/>
            </w:pPr>
            <w:r w:rsidRPr="00283424">
              <w:t>paragraph 1020G(1)(a)</w:t>
            </w:r>
          </w:p>
        </w:tc>
        <w:tc>
          <w:tcPr>
            <w:tcW w:w="1529" w:type="pct"/>
            <w:tcBorders>
              <w:bottom w:val="single" w:sz="12" w:space="0" w:color="auto"/>
            </w:tcBorders>
            <w:shd w:val="clear" w:color="auto" w:fill="auto"/>
          </w:tcPr>
          <w:p w14:paraId="4CEF8AB8" w14:textId="77777777" w:rsidR="00E93F58" w:rsidRPr="00283424" w:rsidRDefault="00E93F58" w:rsidP="00EA0AFF">
            <w:pPr>
              <w:pStyle w:val="Tabletext"/>
            </w:pPr>
            <w:r w:rsidRPr="00283424">
              <w:t>Part 7.9</w:t>
            </w:r>
          </w:p>
        </w:tc>
      </w:tr>
    </w:tbl>
    <w:p w14:paraId="31C20B01" w14:textId="77777777" w:rsidR="00E93F58" w:rsidRPr="00283424" w:rsidRDefault="00E93F58" w:rsidP="00B50726">
      <w:pPr>
        <w:pStyle w:val="ActHead5"/>
      </w:pPr>
      <w:bookmarkStart w:id="2015" w:name="_Toc152054983"/>
      <w:bookmarkStart w:id="2016" w:name="_Toc158712799"/>
      <w:r w:rsidRPr="006F296E">
        <w:rPr>
          <w:rStyle w:val="CharSectno"/>
        </w:rPr>
        <w:t>7.9.98A</w:t>
      </w:r>
      <w:r w:rsidRPr="00283424">
        <w:t xml:space="preserve">  Exemption from application of Part 7.9 of the Act</w:t>
      </w:r>
      <w:bookmarkEnd w:id="2015"/>
      <w:bookmarkEnd w:id="2016"/>
    </w:p>
    <w:p w14:paraId="7C2CEC78" w14:textId="77777777" w:rsidR="00E93F58" w:rsidRPr="00283424" w:rsidRDefault="00E93F58" w:rsidP="00B50726">
      <w:pPr>
        <w:pStyle w:val="subsection"/>
      </w:pPr>
      <w:r w:rsidRPr="00283424">
        <w:tab/>
      </w:r>
      <w:r w:rsidRPr="00283424">
        <w:tab/>
        <w:t>For paragraph 1020G(1)(a) of the Act, Part 7.9 of the Act does not apply to a person to the extent that the person is:</w:t>
      </w:r>
    </w:p>
    <w:p w14:paraId="62789FE4" w14:textId="77777777" w:rsidR="00E93F58" w:rsidRPr="00283424" w:rsidRDefault="00E93F58" w:rsidP="00B50726">
      <w:pPr>
        <w:pStyle w:val="paragraph"/>
      </w:pPr>
      <w:r w:rsidRPr="00283424">
        <w:tab/>
        <w:t>(a)</w:t>
      </w:r>
      <w:r w:rsidRPr="00283424">
        <w:tab/>
        <w:t>issuing or selling:</w:t>
      </w:r>
    </w:p>
    <w:p w14:paraId="489AE809" w14:textId="77777777" w:rsidR="00E93F58" w:rsidRPr="00283424" w:rsidRDefault="00E93F58" w:rsidP="00B50726">
      <w:pPr>
        <w:pStyle w:val="paragraphsub"/>
      </w:pPr>
      <w:r w:rsidRPr="00283424">
        <w:tab/>
        <w:t>(i)</w:t>
      </w:r>
      <w:r w:rsidRPr="00283424">
        <w:tab/>
        <w:t>a litigation funding scheme mentioned in regulation 5C.11.01; or</w:t>
      </w:r>
    </w:p>
    <w:p w14:paraId="79C484EC" w14:textId="77777777" w:rsidR="00E93F58" w:rsidRPr="00283424" w:rsidRDefault="00E93F58" w:rsidP="00B50726">
      <w:pPr>
        <w:pStyle w:val="paragraphsub"/>
      </w:pPr>
      <w:r w:rsidRPr="00283424">
        <w:tab/>
        <w:t>(ii)</w:t>
      </w:r>
      <w:r w:rsidRPr="00283424">
        <w:tab/>
        <w:t>a litigation funding arrangement mentioned in regulation 5C.11.01; or</w:t>
      </w:r>
    </w:p>
    <w:p w14:paraId="032C41E8" w14:textId="77777777" w:rsidR="00E93F58" w:rsidRPr="00283424" w:rsidRDefault="00E93F58" w:rsidP="00B50726">
      <w:pPr>
        <w:pStyle w:val="paragraph"/>
      </w:pPr>
      <w:r w:rsidRPr="00283424">
        <w:tab/>
        <w:t>(b)</w:t>
      </w:r>
      <w:r w:rsidRPr="00283424">
        <w:tab/>
        <w:t>making a recommendation to acquire:</w:t>
      </w:r>
    </w:p>
    <w:p w14:paraId="53E9119C" w14:textId="77777777" w:rsidR="00E93F58" w:rsidRPr="00283424" w:rsidRDefault="00E93F58" w:rsidP="00B50726">
      <w:pPr>
        <w:pStyle w:val="paragraphsub"/>
      </w:pPr>
      <w:r w:rsidRPr="00283424">
        <w:tab/>
        <w:t>(i)</w:t>
      </w:r>
      <w:r w:rsidRPr="00283424">
        <w:tab/>
        <w:t>a litigation funding scheme mentioned in regulation 5C.11.01; or</w:t>
      </w:r>
    </w:p>
    <w:p w14:paraId="2F556D95" w14:textId="77777777" w:rsidR="00E93F58" w:rsidRPr="00283424" w:rsidRDefault="00E93F58" w:rsidP="00B50726">
      <w:pPr>
        <w:pStyle w:val="paragraphsub"/>
      </w:pPr>
      <w:r w:rsidRPr="00283424">
        <w:tab/>
        <w:t>(ii)</w:t>
      </w:r>
      <w:r w:rsidRPr="00283424">
        <w:tab/>
        <w:t>a litigation funding arrangement mentioned in regulation 5C.11.01; or</w:t>
      </w:r>
    </w:p>
    <w:p w14:paraId="7B59CAC9" w14:textId="77777777" w:rsidR="00E93F58" w:rsidRPr="00283424" w:rsidRDefault="00E93F58" w:rsidP="00B50726">
      <w:pPr>
        <w:pStyle w:val="paragraph"/>
        <w:keepNext/>
        <w:keepLines/>
      </w:pPr>
      <w:r w:rsidRPr="00283424">
        <w:tab/>
        <w:t>(c)</w:t>
      </w:r>
      <w:r w:rsidRPr="00283424">
        <w:tab/>
        <w:t>making an offer relating to the issue or sale of:</w:t>
      </w:r>
    </w:p>
    <w:p w14:paraId="3EC5832C" w14:textId="77777777" w:rsidR="00E93F58" w:rsidRPr="00283424" w:rsidRDefault="00E93F58" w:rsidP="00B50726">
      <w:pPr>
        <w:pStyle w:val="paragraphsub"/>
      </w:pPr>
      <w:r w:rsidRPr="00283424">
        <w:tab/>
        <w:t>(i)</w:t>
      </w:r>
      <w:r w:rsidRPr="00283424">
        <w:tab/>
        <w:t>a litigation funding scheme mentioned in regulation 5C.11.01; or</w:t>
      </w:r>
    </w:p>
    <w:p w14:paraId="3A45F618" w14:textId="77777777" w:rsidR="00E93F58" w:rsidRPr="00283424" w:rsidRDefault="00E93F58" w:rsidP="00B50726">
      <w:pPr>
        <w:pStyle w:val="paragraphsub"/>
      </w:pPr>
      <w:r w:rsidRPr="00283424">
        <w:tab/>
        <w:t>(ii)</w:t>
      </w:r>
      <w:r w:rsidRPr="00283424">
        <w:tab/>
        <w:t>a litigation funding arrangement mentioned in regulation 5C.11.01; or</w:t>
      </w:r>
    </w:p>
    <w:p w14:paraId="28FEB8A8" w14:textId="77777777" w:rsidR="00E93F58" w:rsidRPr="00283424" w:rsidRDefault="00E93F58" w:rsidP="00B50726">
      <w:pPr>
        <w:pStyle w:val="paragraph"/>
      </w:pPr>
      <w:r w:rsidRPr="00283424">
        <w:tab/>
        <w:t>(d)</w:t>
      </w:r>
      <w:r w:rsidRPr="00283424">
        <w:tab/>
        <w:t>advertising:</w:t>
      </w:r>
    </w:p>
    <w:p w14:paraId="4EFED8E0" w14:textId="77777777" w:rsidR="00E93F58" w:rsidRPr="00283424" w:rsidRDefault="00E93F58" w:rsidP="00B50726">
      <w:pPr>
        <w:pStyle w:val="paragraphsub"/>
      </w:pPr>
      <w:r w:rsidRPr="00283424">
        <w:tab/>
        <w:t>(i)</w:t>
      </w:r>
      <w:r w:rsidRPr="00283424">
        <w:tab/>
        <w:t>a litigation funding scheme mentioned in regulation 5C.11.01; or</w:t>
      </w:r>
    </w:p>
    <w:p w14:paraId="21D2ED08" w14:textId="77777777" w:rsidR="00E93F58" w:rsidRPr="00283424" w:rsidRDefault="00E93F58" w:rsidP="00B50726">
      <w:pPr>
        <w:pStyle w:val="paragraphsub"/>
      </w:pPr>
      <w:r w:rsidRPr="00283424">
        <w:tab/>
        <w:t>(ii)</w:t>
      </w:r>
      <w:r w:rsidRPr="00283424">
        <w:tab/>
        <w:t>a litigation funding arrangement mentioned in regulation 5C.11.01.</w:t>
      </w:r>
    </w:p>
    <w:p w14:paraId="33DC15B6" w14:textId="77777777" w:rsidR="00E93F58" w:rsidRPr="00283424" w:rsidRDefault="00E93F58" w:rsidP="00B50726">
      <w:pPr>
        <w:pStyle w:val="ActHead3"/>
        <w:pageBreakBefore/>
      </w:pPr>
      <w:bookmarkStart w:id="2017" w:name="_Toc152054984"/>
      <w:bookmarkStart w:id="2018" w:name="_Toc158712800"/>
      <w:r w:rsidRPr="006F296E">
        <w:rPr>
          <w:rStyle w:val="CharDivNo"/>
        </w:rPr>
        <w:lastRenderedPageBreak/>
        <w:t>Division 15</w:t>
      </w:r>
      <w:r w:rsidRPr="00283424">
        <w:t>—</w:t>
      </w:r>
      <w:r w:rsidRPr="006F296E">
        <w:rPr>
          <w:rStyle w:val="CharDivText"/>
        </w:rPr>
        <w:t>Disclosure in relation to short sales covered by securities lending arrangement of listed section 1020B products</w:t>
      </w:r>
      <w:bookmarkEnd w:id="2017"/>
      <w:bookmarkEnd w:id="2018"/>
    </w:p>
    <w:p w14:paraId="1D39BDBD" w14:textId="77777777" w:rsidR="00E93F58" w:rsidRPr="00283424" w:rsidRDefault="00E93F58" w:rsidP="00B50726">
      <w:pPr>
        <w:pStyle w:val="ActHead5"/>
      </w:pPr>
      <w:bookmarkStart w:id="2019" w:name="_Toc152054985"/>
      <w:bookmarkStart w:id="2020" w:name="_Toc158712801"/>
      <w:r w:rsidRPr="006F296E">
        <w:rPr>
          <w:rStyle w:val="CharSectno"/>
        </w:rPr>
        <w:t>7.9.99</w:t>
      </w:r>
      <w:r w:rsidRPr="00283424">
        <w:t xml:space="preserve">  Interpretation</w:t>
      </w:r>
      <w:bookmarkEnd w:id="2019"/>
      <w:bookmarkEnd w:id="2020"/>
    </w:p>
    <w:p w14:paraId="4B30AE3D" w14:textId="77777777" w:rsidR="00E93F58" w:rsidRPr="00283424" w:rsidRDefault="00E93F58" w:rsidP="00B50726">
      <w:pPr>
        <w:pStyle w:val="subsection"/>
      </w:pPr>
      <w:r w:rsidRPr="00283424">
        <w:tab/>
        <w:t>(1)</w:t>
      </w:r>
      <w:r w:rsidRPr="00283424">
        <w:tab/>
        <w:t>In this Division:</w:t>
      </w:r>
    </w:p>
    <w:p w14:paraId="259924F1" w14:textId="77777777" w:rsidR="00E93F58" w:rsidRPr="00283424" w:rsidRDefault="00E93F58" w:rsidP="00B50726">
      <w:pPr>
        <w:pStyle w:val="Definition"/>
      </w:pPr>
      <w:r w:rsidRPr="00283424">
        <w:rPr>
          <w:b/>
          <w:i/>
        </w:rPr>
        <w:t>reporting day</w:t>
      </w:r>
      <w:r w:rsidRPr="00283424">
        <w:t>, in relation to a short position, means a day on which the Sydney office of ASIC is open for business.</w:t>
      </w:r>
    </w:p>
    <w:p w14:paraId="7F2AEFAA" w14:textId="77777777" w:rsidR="00E93F58" w:rsidRPr="00283424" w:rsidRDefault="00E93F58" w:rsidP="00B50726">
      <w:pPr>
        <w:pStyle w:val="SubsectionHead"/>
      </w:pPr>
      <w:r w:rsidRPr="00283424">
        <w:t>Meaning of short position</w:t>
      </w:r>
    </w:p>
    <w:p w14:paraId="2D393CDA" w14:textId="77777777" w:rsidR="00E93F58" w:rsidRPr="00283424" w:rsidRDefault="00E93F58" w:rsidP="00B50726">
      <w:pPr>
        <w:pStyle w:val="subsection"/>
      </w:pPr>
      <w:r w:rsidRPr="00283424">
        <w:tab/>
        <w:t>(2)</w:t>
      </w:r>
      <w:r w:rsidRPr="00283424">
        <w:tab/>
        <w:t xml:space="preserve">In this Division, a </w:t>
      </w:r>
      <w:r w:rsidRPr="00283424">
        <w:rPr>
          <w:b/>
          <w:i/>
        </w:rPr>
        <w:t>short position</w:t>
      </w:r>
      <w:r w:rsidRPr="00283424">
        <w:t xml:space="preserve"> is a position in relation to a section 1020B product in a listed entity where the quantity of the product which a person has is less than the quantity of the product which the person has an obligation to deliver.</w:t>
      </w:r>
    </w:p>
    <w:p w14:paraId="07E046D9" w14:textId="77777777" w:rsidR="00E93F58" w:rsidRPr="00283424" w:rsidRDefault="00E93F58" w:rsidP="00B50726">
      <w:pPr>
        <w:pStyle w:val="subsection"/>
      </w:pPr>
      <w:r w:rsidRPr="00283424">
        <w:tab/>
        <w:t>(3)</w:t>
      </w:r>
      <w:r w:rsidRPr="00283424">
        <w:tab/>
        <w:t>In subregulation (2), the person has the product if:</w:t>
      </w:r>
    </w:p>
    <w:p w14:paraId="420AA988" w14:textId="77777777" w:rsidR="00E93F58" w:rsidRPr="00283424" w:rsidRDefault="00E93F58" w:rsidP="00B50726">
      <w:pPr>
        <w:pStyle w:val="paragraph"/>
      </w:pPr>
      <w:r w:rsidRPr="00283424">
        <w:tab/>
        <w:t>(a)</w:t>
      </w:r>
      <w:r w:rsidRPr="00283424">
        <w:tab/>
        <w:t>the person is holding the product on the person’s own behalf; or</w:t>
      </w:r>
    </w:p>
    <w:p w14:paraId="2E1690D0" w14:textId="77777777" w:rsidR="00E93F58" w:rsidRPr="00283424" w:rsidRDefault="00E93F58" w:rsidP="00B50726">
      <w:pPr>
        <w:pStyle w:val="paragraph"/>
      </w:pPr>
      <w:r w:rsidRPr="00283424">
        <w:tab/>
        <w:t>(b)</w:t>
      </w:r>
      <w:r w:rsidRPr="00283424">
        <w:tab/>
        <w:t>another person is holding the product on the person’s behalf; or</w:t>
      </w:r>
    </w:p>
    <w:p w14:paraId="32BE3D33" w14:textId="77777777" w:rsidR="00E93F58" w:rsidRPr="00283424" w:rsidRDefault="00E93F58" w:rsidP="00B50726">
      <w:pPr>
        <w:pStyle w:val="paragraph"/>
      </w:pPr>
      <w:r w:rsidRPr="00283424">
        <w:tab/>
        <w:t>(c)</w:t>
      </w:r>
      <w:r w:rsidRPr="00283424">
        <w:tab/>
        <w:t>the person has entered into an agreement to buy the product but has not received it; or</w:t>
      </w:r>
    </w:p>
    <w:p w14:paraId="473EABDD" w14:textId="77777777" w:rsidR="00E93F58" w:rsidRPr="00283424" w:rsidRDefault="00E93F58" w:rsidP="00B50726">
      <w:pPr>
        <w:pStyle w:val="paragraph"/>
      </w:pPr>
      <w:r w:rsidRPr="00283424">
        <w:tab/>
        <w:t>(d)</w:t>
      </w:r>
      <w:r w:rsidRPr="00283424">
        <w:tab/>
        <w:t>the person has vested title in the product in a borrower, or in an entity nominated by the borrower, under a securities lending arrangement.</w:t>
      </w:r>
    </w:p>
    <w:p w14:paraId="4A540B0F" w14:textId="77777777" w:rsidR="00E93F58" w:rsidRPr="00283424" w:rsidRDefault="00E93F58" w:rsidP="00B50726">
      <w:pPr>
        <w:pStyle w:val="subsection"/>
      </w:pPr>
      <w:r w:rsidRPr="00283424">
        <w:tab/>
        <w:t>(4)</w:t>
      </w:r>
      <w:r w:rsidRPr="00283424">
        <w:tab/>
        <w:t>In subregulation (2), the product which the person has an obligation to deliver is the product which the person:</w:t>
      </w:r>
    </w:p>
    <w:p w14:paraId="15392D1F" w14:textId="77777777" w:rsidR="00E93F58" w:rsidRPr="00283424" w:rsidRDefault="00E93F58" w:rsidP="00B50726">
      <w:pPr>
        <w:pStyle w:val="paragraph"/>
      </w:pPr>
      <w:r w:rsidRPr="00283424">
        <w:tab/>
        <w:t>(a)</w:t>
      </w:r>
      <w:r w:rsidRPr="00283424">
        <w:tab/>
        <w:t>has an obligation to deliver under a sale agreement where the product has not been delivered; or</w:t>
      </w:r>
    </w:p>
    <w:p w14:paraId="4D84BC9A" w14:textId="77777777" w:rsidR="00E93F58" w:rsidRPr="00283424" w:rsidRDefault="00E93F58" w:rsidP="00B50726">
      <w:pPr>
        <w:pStyle w:val="paragraph"/>
      </w:pPr>
      <w:r w:rsidRPr="00283424">
        <w:tab/>
        <w:t>(b)</w:t>
      </w:r>
      <w:r w:rsidRPr="00283424">
        <w:tab/>
        <w:t>has an obligation to vest title in a lender under a securities lending arrangement; or</w:t>
      </w:r>
    </w:p>
    <w:p w14:paraId="78443E94" w14:textId="77777777" w:rsidR="00E93F58" w:rsidRPr="00283424" w:rsidRDefault="00E93F58" w:rsidP="00B50726">
      <w:pPr>
        <w:pStyle w:val="paragraph"/>
      </w:pPr>
      <w:r w:rsidRPr="00283424">
        <w:tab/>
        <w:t>(c)</w:t>
      </w:r>
      <w:r w:rsidRPr="00283424">
        <w:tab/>
        <w:t>has any other non</w:t>
      </w:r>
      <w:r>
        <w:noBreakHyphen/>
      </w:r>
      <w:r w:rsidRPr="00283424">
        <w:t>contingent legal obligation to deliver.</w:t>
      </w:r>
    </w:p>
    <w:p w14:paraId="6D219D69" w14:textId="77777777" w:rsidR="00E93F58" w:rsidRPr="00283424" w:rsidRDefault="00E93F58" w:rsidP="00B50726">
      <w:pPr>
        <w:pStyle w:val="SubsectionHead"/>
      </w:pPr>
      <w:r w:rsidRPr="00283424">
        <w:t>References to time</w:t>
      </w:r>
    </w:p>
    <w:p w14:paraId="3DA0C9D8" w14:textId="77777777" w:rsidR="00E93F58" w:rsidRPr="00283424" w:rsidRDefault="00E93F58" w:rsidP="00B50726">
      <w:pPr>
        <w:pStyle w:val="subsection"/>
      </w:pPr>
      <w:r w:rsidRPr="00283424">
        <w:tab/>
        <w:t>(5)</w:t>
      </w:r>
      <w:r w:rsidRPr="00283424">
        <w:tab/>
        <w:t>A reference in this Division to a time is a reference to the legal time in Sydney, New South Wales.</w:t>
      </w:r>
    </w:p>
    <w:p w14:paraId="5C6C3151" w14:textId="77777777" w:rsidR="00E93F58" w:rsidRPr="00283424" w:rsidRDefault="00E93F58" w:rsidP="00B50726">
      <w:pPr>
        <w:pStyle w:val="ActHead5"/>
      </w:pPr>
      <w:bookmarkStart w:id="2021" w:name="_Toc152054986"/>
      <w:bookmarkStart w:id="2022" w:name="_Toc158712802"/>
      <w:r w:rsidRPr="006F296E">
        <w:rPr>
          <w:rStyle w:val="CharSectno"/>
        </w:rPr>
        <w:t>7.9.100</w:t>
      </w:r>
      <w:r w:rsidRPr="00283424">
        <w:t xml:space="preserve">  Seller disclosure</w:t>
      </w:r>
      <w:bookmarkEnd w:id="2021"/>
      <w:bookmarkEnd w:id="2022"/>
    </w:p>
    <w:p w14:paraId="3DACE610" w14:textId="77777777" w:rsidR="00E93F58" w:rsidRPr="00283424" w:rsidRDefault="00E93F58" w:rsidP="00B50726">
      <w:pPr>
        <w:pStyle w:val="subsection"/>
      </w:pPr>
      <w:r w:rsidRPr="00283424">
        <w:tab/>
        <w:t>(1)</w:t>
      </w:r>
      <w:r w:rsidRPr="00283424">
        <w:tab/>
        <w:t>For paragraph 1020AB(3)(a) of the Act, the particulars that a seller must give in relation to a sale of a listed section 1020B product where the seller has a presently exercisable and unconditional right to vest the product in a buyer under a securities lending arrangement are as follows:</w:t>
      </w:r>
    </w:p>
    <w:p w14:paraId="2D02D466" w14:textId="77777777" w:rsidR="00E93F58" w:rsidRPr="00283424" w:rsidRDefault="00E93F58" w:rsidP="00B50726">
      <w:pPr>
        <w:pStyle w:val="paragraph"/>
      </w:pPr>
      <w:r w:rsidRPr="00283424">
        <w:tab/>
        <w:t>(a)</w:t>
      </w:r>
      <w:r w:rsidRPr="00283424">
        <w:tab/>
        <w:t>the number of section 1020B products that the seller will vest in the buyer under the arrangement;</w:t>
      </w:r>
    </w:p>
    <w:p w14:paraId="609B05B3" w14:textId="77777777" w:rsidR="00E93F58" w:rsidRPr="00283424" w:rsidRDefault="00E93F58" w:rsidP="00B50726">
      <w:pPr>
        <w:pStyle w:val="paragraph"/>
      </w:pPr>
      <w:r w:rsidRPr="00283424">
        <w:tab/>
        <w:t>(b)</w:t>
      </w:r>
      <w:r w:rsidRPr="00283424">
        <w:tab/>
        <w:t>a description of the product;</w:t>
      </w:r>
    </w:p>
    <w:p w14:paraId="36368A28" w14:textId="77777777" w:rsidR="00E93F58" w:rsidRPr="00283424" w:rsidRDefault="00E93F58" w:rsidP="00B50726">
      <w:pPr>
        <w:pStyle w:val="paragraph"/>
      </w:pPr>
      <w:r w:rsidRPr="00283424">
        <w:tab/>
        <w:t>(c)</w:t>
      </w:r>
      <w:r w:rsidRPr="00283424">
        <w:tab/>
        <w:t>the name of the entity that issued the product;</w:t>
      </w:r>
    </w:p>
    <w:p w14:paraId="655EEA1C" w14:textId="77777777" w:rsidR="00E93F58" w:rsidRPr="00283424" w:rsidRDefault="00E93F58" w:rsidP="00B50726">
      <w:pPr>
        <w:pStyle w:val="paragraph"/>
      </w:pPr>
      <w:r w:rsidRPr="00283424">
        <w:tab/>
        <w:t>(d)</w:t>
      </w:r>
      <w:r w:rsidRPr="00283424">
        <w:tab/>
        <w:t>the seller’s short position as at the close of business 3 reporting days before the day the particulars must be given under subregulation (4).</w:t>
      </w:r>
    </w:p>
    <w:p w14:paraId="05481C40" w14:textId="77777777" w:rsidR="00E93F58" w:rsidRPr="00283424" w:rsidRDefault="00E93F58" w:rsidP="00B50726">
      <w:pPr>
        <w:pStyle w:val="subsection"/>
      </w:pPr>
      <w:r w:rsidRPr="00283424">
        <w:tab/>
        <w:t>(2)</w:t>
      </w:r>
      <w:r w:rsidRPr="00283424">
        <w:tab/>
        <w:t>For subparagraph 1020AB(3)(b)(i) of the Act, in relation to particulars mentioned in paragraphs (1)(a), (b), and (c):</w:t>
      </w:r>
    </w:p>
    <w:p w14:paraId="3A708231" w14:textId="77777777" w:rsidR="00E93F58" w:rsidRPr="00283424" w:rsidRDefault="00E93F58" w:rsidP="00B50726">
      <w:pPr>
        <w:pStyle w:val="paragraph"/>
      </w:pPr>
      <w:r w:rsidRPr="00283424">
        <w:tab/>
        <w:t>(a)</w:t>
      </w:r>
      <w:r w:rsidRPr="00283424">
        <w:tab/>
        <w:t>the seller mentioned in subparagraph 1020AB(1)(a)(i) of the Act must give the particulars at the time of entering into an agreement to sell; and</w:t>
      </w:r>
    </w:p>
    <w:p w14:paraId="093F5B75" w14:textId="77777777" w:rsidR="00E93F58" w:rsidRPr="00283424" w:rsidRDefault="00E93F58" w:rsidP="00B50726">
      <w:pPr>
        <w:pStyle w:val="paragraph"/>
      </w:pPr>
      <w:r w:rsidRPr="00283424">
        <w:tab/>
        <w:t>(b)</w:t>
      </w:r>
      <w:r w:rsidRPr="00283424">
        <w:tab/>
        <w:t>the seller mentioned in subparagraph 1020AB(1)(a)(ii) of the Act must give the particulars on or before 9 am:</w:t>
      </w:r>
    </w:p>
    <w:p w14:paraId="5EA4602F" w14:textId="77777777" w:rsidR="00E93F58" w:rsidRPr="00283424" w:rsidRDefault="00E93F58" w:rsidP="00B50726">
      <w:pPr>
        <w:pStyle w:val="paragraphsub"/>
      </w:pPr>
      <w:r w:rsidRPr="00283424">
        <w:tab/>
        <w:t>(i)</w:t>
      </w:r>
      <w:r w:rsidRPr="00283424">
        <w:tab/>
        <w:t>if the sale occurs after the start of the trading day but before 7 pm—on the next trading day after entering into an agreement to sell; and</w:t>
      </w:r>
    </w:p>
    <w:p w14:paraId="630ACC41" w14:textId="77777777" w:rsidR="00E93F58" w:rsidRPr="00283424" w:rsidRDefault="00E93F58" w:rsidP="00B50726">
      <w:pPr>
        <w:pStyle w:val="paragraphsub"/>
      </w:pPr>
      <w:r w:rsidRPr="00283424">
        <w:tab/>
        <w:t>(ii)</w:t>
      </w:r>
      <w:r w:rsidRPr="00283424">
        <w:tab/>
        <w:t>if the sale occurs after 7 pm but before the start of the next trading day—on the second trading day after entering into an agreement to sell.</w:t>
      </w:r>
    </w:p>
    <w:p w14:paraId="304ACA02" w14:textId="77777777" w:rsidR="00E93F58" w:rsidRPr="00283424" w:rsidRDefault="00E93F58" w:rsidP="00B50726">
      <w:pPr>
        <w:pStyle w:val="subsection"/>
      </w:pPr>
      <w:r w:rsidRPr="00283424">
        <w:tab/>
        <w:t>(3)</w:t>
      </w:r>
      <w:r w:rsidRPr="00283424">
        <w:tab/>
        <w:t xml:space="preserve">A reference to </w:t>
      </w:r>
      <w:r w:rsidRPr="00283424">
        <w:rPr>
          <w:b/>
          <w:i/>
        </w:rPr>
        <w:t>trading day</w:t>
      </w:r>
      <w:r w:rsidRPr="00283424">
        <w:t xml:space="preserve"> in subregulation (2) is to a trading day of the market where the sale is executed or reported.</w:t>
      </w:r>
    </w:p>
    <w:p w14:paraId="403473E3" w14:textId="77777777" w:rsidR="00E93F58" w:rsidRPr="00283424" w:rsidRDefault="00E93F58" w:rsidP="00B50726">
      <w:pPr>
        <w:pStyle w:val="subsection"/>
      </w:pPr>
      <w:r w:rsidRPr="00283424">
        <w:tab/>
        <w:t>(4)</w:t>
      </w:r>
      <w:r w:rsidRPr="00283424">
        <w:tab/>
        <w:t>For subparagraph 1020AB(3)(b)(i) of the Act, in relation to particulars mentioned in paragraph (1)(d), the seller must give the particulars:</w:t>
      </w:r>
    </w:p>
    <w:p w14:paraId="374E980B" w14:textId="77777777" w:rsidR="00E93F58" w:rsidRPr="00283424" w:rsidRDefault="00E93F58" w:rsidP="00B50726">
      <w:pPr>
        <w:pStyle w:val="paragraph"/>
      </w:pPr>
      <w:r w:rsidRPr="00283424">
        <w:lastRenderedPageBreak/>
        <w:tab/>
        <w:t>(a)</w:t>
      </w:r>
      <w:r w:rsidRPr="00283424">
        <w:tab/>
        <w:t>on or before 9 am on the third reporting day after entering into the agreement to sell that causes the short position to occur; and</w:t>
      </w:r>
    </w:p>
    <w:p w14:paraId="5D2BA9E6" w14:textId="77777777" w:rsidR="00E93F58" w:rsidRPr="00283424" w:rsidRDefault="00E93F58" w:rsidP="00B50726">
      <w:pPr>
        <w:pStyle w:val="paragraph"/>
      </w:pPr>
      <w:r w:rsidRPr="00283424">
        <w:tab/>
        <w:t>(b)</w:t>
      </w:r>
      <w:r w:rsidRPr="00283424">
        <w:tab/>
        <w:t>on or before 9 am on each subsequent reporting day as long as the seller has a short position.</w:t>
      </w:r>
    </w:p>
    <w:p w14:paraId="6F21B677" w14:textId="77777777" w:rsidR="00E93F58" w:rsidRPr="00283424" w:rsidRDefault="00E93F58" w:rsidP="00B50726">
      <w:pPr>
        <w:pStyle w:val="subsection"/>
      </w:pPr>
      <w:r w:rsidRPr="00283424">
        <w:tab/>
        <w:t>(5)</w:t>
      </w:r>
      <w:r w:rsidRPr="00283424">
        <w:tab/>
        <w:t>Paragraph (4)(b) applies whether or not the particulars about the short position have changed from that given on the previous day.</w:t>
      </w:r>
    </w:p>
    <w:p w14:paraId="7B61F23B" w14:textId="77777777" w:rsidR="00E93F58" w:rsidRPr="00283424" w:rsidRDefault="00E93F58" w:rsidP="00B50726">
      <w:pPr>
        <w:pStyle w:val="subsection"/>
      </w:pPr>
      <w:r w:rsidRPr="00283424">
        <w:tab/>
        <w:t>(6)</w:t>
      </w:r>
      <w:r w:rsidRPr="00283424">
        <w:tab/>
        <w:t>For subparagraph 1020AB(3)(b)(ii) of the Act, in relation to particulars mentioned in paragraph (1)(d), the seller must give the particulars in the form required by ASIC.</w:t>
      </w:r>
    </w:p>
    <w:p w14:paraId="7796BD23" w14:textId="77777777" w:rsidR="00E93F58" w:rsidRPr="00283424" w:rsidRDefault="00E93F58" w:rsidP="00B50726">
      <w:pPr>
        <w:pStyle w:val="subsection"/>
      </w:pPr>
      <w:r w:rsidRPr="00283424">
        <w:tab/>
        <w:t>(7)</w:t>
      </w:r>
      <w:r w:rsidRPr="00283424">
        <w:tab/>
        <w:t>For subparagraphs 1020AB(4)(a)(ii) and (b)(ii) of the Act, in relation to the particulars mentioned in paragraph (1)(d), the entity is ASIC.</w:t>
      </w:r>
    </w:p>
    <w:p w14:paraId="6CE2E3B8" w14:textId="77777777" w:rsidR="00E93F58" w:rsidRPr="00283424" w:rsidRDefault="00E93F58" w:rsidP="00B50726">
      <w:pPr>
        <w:pStyle w:val="subsection"/>
      </w:pPr>
      <w:r w:rsidRPr="00283424">
        <w:tab/>
        <w:t>(8)</w:t>
      </w:r>
      <w:r w:rsidRPr="00283424">
        <w:tab/>
        <w:t>For subparagraph 1020AB(4)(b)(ii) of the Act, and in relation to the particulars other than the particulars mentioned in paragraph (1)(d), if the operator of the licensed market mentioned in subparagraph 1020AB(1)(a)(ii) of the Act (</w:t>
      </w:r>
      <w:r w:rsidRPr="00283424">
        <w:rPr>
          <w:b/>
          <w:i/>
        </w:rPr>
        <w:t>operator 1</w:t>
      </w:r>
      <w:r w:rsidRPr="00283424">
        <w:t>) appoints the operator of another licensed market (</w:t>
      </w:r>
      <w:r w:rsidRPr="00283424">
        <w:rPr>
          <w:b/>
          <w:i/>
        </w:rPr>
        <w:t>operator 2</w:t>
      </w:r>
      <w:r w:rsidRPr="00283424">
        <w:t>), in writing, as operator 1’s agent for the purpose of receiving any of those particulars, operator 2 is the entity for those particulars.</w:t>
      </w:r>
    </w:p>
    <w:p w14:paraId="5746FB5C" w14:textId="77777777" w:rsidR="00E93F58" w:rsidRPr="00283424" w:rsidRDefault="00E93F58" w:rsidP="00B50726">
      <w:pPr>
        <w:pStyle w:val="ActHead5"/>
      </w:pPr>
      <w:bookmarkStart w:id="2023" w:name="_Toc152054987"/>
      <w:bookmarkStart w:id="2024" w:name="_Toc158712803"/>
      <w:r w:rsidRPr="006F296E">
        <w:rPr>
          <w:rStyle w:val="CharSectno"/>
        </w:rPr>
        <w:t>7.9.100A</w:t>
      </w:r>
      <w:r w:rsidRPr="00283424">
        <w:t xml:space="preserve">  Seller disclosure of existing short position</w:t>
      </w:r>
      <w:bookmarkEnd w:id="2023"/>
      <w:bookmarkEnd w:id="2024"/>
    </w:p>
    <w:p w14:paraId="5925D974" w14:textId="77777777" w:rsidR="00E93F58" w:rsidRPr="00283424" w:rsidRDefault="00E93F58" w:rsidP="00B50726">
      <w:pPr>
        <w:pStyle w:val="subsection"/>
        <w:keepNext/>
        <w:keepLines/>
      </w:pPr>
      <w:r w:rsidRPr="00283424">
        <w:tab/>
        <w:t>(1)</w:t>
      </w:r>
      <w:r w:rsidRPr="00283424">
        <w:tab/>
        <w:t>If a seller has a short position which arises from an agreement to sell, entered into before commencement of this regulation, the seller must give particulars about the short position as at the close of business on the day this regulation commences:</w:t>
      </w:r>
    </w:p>
    <w:p w14:paraId="1C141999" w14:textId="77777777" w:rsidR="00E93F58" w:rsidRPr="00283424" w:rsidRDefault="00E93F58" w:rsidP="00B50726">
      <w:pPr>
        <w:pStyle w:val="paragraph"/>
      </w:pPr>
      <w:r w:rsidRPr="00283424">
        <w:tab/>
        <w:t>(a)</w:t>
      </w:r>
      <w:r w:rsidRPr="00283424">
        <w:tab/>
        <w:t>on or before 9 am on the third reporting day after commencement of this regulation; and</w:t>
      </w:r>
    </w:p>
    <w:p w14:paraId="4A26CFFC" w14:textId="77777777" w:rsidR="00E93F58" w:rsidRPr="00283424" w:rsidRDefault="00E93F58" w:rsidP="00B50726">
      <w:pPr>
        <w:pStyle w:val="paragraph"/>
      </w:pPr>
      <w:r w:rsidRPr="00283424">
        <w:tab/>
        <w:t>(b)</w:t>
      </w:r>
      <w:r w:rsidRPr="00283424">
        <w:tab/>
        <w:t>on or before 9 am on each subsequent reporting day as long as the seller has a short position.</w:t>
      </w:r>
    </w:p>
    <w:p w14:paraId="4E05C260" w14:textId="77777777" w:rsidR="00E93F58" w:rsidRPr="00283424" w:rsidRDefault="00E93F58" w:rsidP="00B50726">
      <w:pPr>
        <w:pStyle w:val="subsection"/>
      </w:pPr>
      <w:r w:rsidRPr="00283424">
        <w:tab/>
        <w:t>(2)</w:t>
      </w:r>
      <w:r w:rsidRPr="00283424">
        <w:tab/>
        <w:t>The particulars must be given to ASIC in the form required by ASIC.</w:t>
      </w:r>
    </w:p>
    <w:p w14:paraId="4DFEAFD2" w14:textId="77777777" w:rsidR="00E93F58" w:rsidRPr="00283424" w:rsidRDefault="00E93F58" w:rsidP="00B50726">
      <w:pPr>
        <w:pStyle w:val="ActHead5"/>
      </w:pPr>
      <w:bookmarkStart w:id="2025" w:name="_Toc152054988"/>
      <w:bookmarkStart w:id="2026" w:name="_Toc158712804"/>
      <w:r w:rsidRPr="006F296E">
        <w:rPr>
          <w:rStyle w:val="CharSectno"/>
        </w:rPr>
        <w:t>7.9.101</w:t>
      </w:r>
      <w:r w:rsidRPr="00283424">
        <w:t xml:space="preserve">  Licensee disclosure</w:t>
      </w:r>
      <w:bookmarkEnd w:id="2025"/>
      <w:bookmarkEnd w:id="2026"/>
    </w:p>
    <w:p w14:paraId="3EABE80D" w14:textId="77777777" w:rsidR="00E93F58" w:rsidRPr="00283424" w:rsidRDefault="00E93F58" w:rsidP="00B50726">
      <w:pPr>
        <w:pStyle w:val="subsection"/>
      </w:pPr>
      <w:r w:rsidRPr="00283424">
        <w:tab/>
        <w:t>(1)</w:t>
      </w:r>
      <w:r w:rsidRPr="00283424">
        <w:tab/>
        <w:t>For paragraph 1020AC(2)(a) of the Act, the particulars that a financial services licensee must give in relation to information given to the licensee under section 1020AB of the Act in relation to a sale of a listed section 1020B product is the information specified in paragraphs 7.9.100(1)(a), (b) and (c).</w:t>
      </w:r>
    </w:p>
    <w:p w14:paraId="63F20F9D" w14:textId="77777777" w:rsidR="00E93F58" w:rsidRPr="00283424" w:rsidRDefault="00E93F58" w:rsidP="00B50726">
      <w:pPr>
        <w:pStyle w:val="subsection"/>
      </w:pPr>
      <w:r w:rsidRPr="00283424">
        <w:tab/>
        <w:t>(2)</w:t>
      </w:r>
      <w:r w:rsidRPr="00283424">
        <w:tab/>
        <w:t>For paragraph 1020AC(2)(b) of the Act:</w:t>
      </w:r>
    </w:p>
    <w:p w14:paraId="584DF285" w14:textId="77777777" w:rsidR="00E93F58" w:rsidRPr="00283424" w:rsidRDefault="00E93F58" w:rsidP="00B50726">
      <w:pPr>
        <w:pStyle w:val="paragraph"/>
      </w:pPr>
      <w:r w:rsidRPr="00283424">
        <w:tab/>
        <w:t>(a)</w:t>
      </w:r>
      <w:r w:rsidRPr="00283424">
        <w:tab/>
        <w:t>the time for disclosure of the information is on or before 9 am:</w:t>
      </w:r>
    </w:p>
    <w:p w14:paraId="415DB527" w14:textId="77777777" w:rsidR="00E93F58" w:rsidRPr="00283424" w:rsidRDefault="00E93F58" w:rsidP="00B50726">
      <w:pPr>
        <w:pStyle w:val="paragraphsub"/>
      </w:pPr>
      <w:r w:rsidRPr="00283424">
        <w:tab/>
        <w:t>(i)</w:t>
      </w:r>
      <w:r w:rsidRPr="00283424">
        <w:tab/>
        <w:t>if the information is given to the licensee after the start of the trading day but before 7 pm—on the next trading day after the licensee is given the information under section 1020AB of the Act; and</w:t>
      </w:r>
    </w:p>
    <w:p w14:paraId="42FB7508" w14:textId="77777777" w:rsidR="00E93F58" w:rsidRPr="00283424" w:rsidRDefault="00E93F58" w:rsidP="00B50726">
      <w:pPr>
        <w:pStyle w:val="paragraphsub"/>
      </w:pPr>
      <w:r w:rsidRPr="00283424">
        <w:tab/>
        <w:t>(ii)</w:t>
      </w:r>
      <w:r w:rsidRPr="00283424">
        <w:tab/>
        <w:t>if the information is given to the licensee after 7 pm but before the start of the next trading day—on the second trading day after the licensee is given the information under section 1020AB of the Act; and</w:t>
      </w:r>
    </w:p>
    <w:p w14:paraId="43C581E8" w14:textId="77777777" w:rsidR="00E93F58" w:rsidRPr="00283424" w:rsidRDefault="00E93F58" w:rsidP="00B50726">
      <w:pPr>
        <w:pStyle w:val="paragraph"/>
      </w:pPr>
      <w:r w:rsidRPr="00283424">
        <w:tab/>
        <w:t>(b)</w:t>
      </w:r>
      <w:r w:rsidRPr="00283424">
        <w:tab/>
        <w:t>the manner for disclosure of the information is by electronic transmission to the operator.</w:t>
      </w:r>
    </w:p>
    <w:p w14:paraId="0B157E7F" w14:textId="77777777" w:rsidR="00E93F58" w:rsidRPr="00283424" w:rsidRDefault="00E93F58" w:rsidP="00B50726">
      <w:pPr>
        <w:pStyle w:val="subsection"/>
      </w:pPr>
      <w:r w:rsidRPr="00283424">
        <w:tab/>
        <w:t>(3)</w:t>
      </w:r>
      <w:r w:rsidRPr="00283424">
        <w:tab/>
        <w:t xml:space="preserve">A reference to </w:t>
      </w:r>
      <w:r w:rsidRPr="00283424">
        <w:rPr>
          <w:b/>
          <w:i/>
        </w:rPr>
        <w:t>trading day</w:t>
      </w:r>
      <w:r w:rsidRPr="00283424">
        <w:t xml:space="preserve"> in subregulation (2) is to a trading day of the market where the information is given.</w:t>
      </w:r>
    </w:p>
    <w:p w14:paraId="52A2801D" w14:textId="77777777" w:rsidR="00E93F58" w:rsidRPr="00283424" w:rsidRDefault="00E93F58" w:rsidP="00B50726">
      <w:pPr>
        <w:pStyle w:val="subsection"/>
      </w:pPr>
      <w:r w:rsidRPr="00283424">
        <w:tab/>
        <w:t>(4)</w:t>
      </w:r>
      <w:r w:rsidRPr="00283424">
        <w:tab/>
        <w:t>For paragraph 1020AC(3)(b) of the Act, and in relation to the particulars mentioned in paragraph 1020AC(3)(a) of the Act, if the operator of the licensed market mentioned in paragraph 1020AC(1)(a) of the Act (</w:t>
      </w:r>
      <w:r w:rsidRPr="00283424">
        <w:rPr>
          <w:b/>
          <w:i/>
        </w:rPr>
        <w:t>operator 1</w:t>
      </w:r>
      <w:r w:rsidRPr="00283424">
        <w:t>) appoints the operator of another licensed market (</w:t>
      </w:r>
      <w:r w:rsidRPr="00283424">
        <w:rPr>
          <w:b/>
          <w:i/>
        </w:rPr>
        <w:t>operator 2</w:t>
      </w:r>
      <w:r w:rsidRPr="00283424">
        <w:t>), in writing, as operator 1’s agent for the purpose of receiving any of those, operator 2 is the entity for those particulars.</w:t>
      </w:r>
    </w:p>
    <w:p w14:paraId="3F19B84B" w14:textId="77777777" w:rsidR="00E93F58" w:rsidRPr="00283424" w:rsidRDefault="00E93F58" w:rsidP="00B50726">
      <w:pPr>
        <w:pStyle w:val="ActHead5"/>
      </w:pPr>
      <w:bookmarkStart w:id="2027" w:name="_Toc152054989"/>
      <w:bookmarkStart w:id="2028" w:name="_Toc158712805"/>
      <w:r w:rsidRPr="006F296E">
        <w:rPr>
          <w:rStyle w:val="CharSectno"/>
        </w:rPr>
        <w:t>7.9.102</w:t>
      </w:r>
      <w:r w:rsidRPr="00283424">
        <w:t xml:space="preserve">  Public disclosure of information</w:t>
      </w:r>
      <w:bookmarkEnd w:id="2027"/>
      <w:bookmarkEnd w:id="2028"/>
    </w:p>
    <w:p w14:paraId="58BFF454" w14:textId="77777777" w:rsidR="00E93F58" w:rsidRPr="00283424" w:rsidRDefault="00E93F58" w:rsidP="00B50726">
      <w:pPr>
        <w:pStyle w:val="subsection"/>
      </w:pPr>
      <w:r w:rsidRPr="00283424">
        <w:tab/>
        <w:t>(1)</w:t>
      </w:r>
      <w:r w:rsidRPr="00283424">
        <w:tab/>
        <w:t>For paragraph 1020AD(2)(a) of the Act, the particulars which the operator of a licensed market must publicly disclose in relation to information given to the operator under section 1020AB or 1020AC of the Act in relation to a sale of a listed section 1020B product are the total number of each kind of section 1020B product that has been sold on a particular day and disclosed to the operator under section 1020AB or 1020AC of the Act.</w:t>
      </w:r>
    </w:p>
    <w:p w14:paraId="570D279C" w14:textId="77777777" w:rsidR="00E93F58" w:rsidRPr="00283424" w:rsidRDefault="00E93F58" w:rsidP="00B50726">
      <w:pPr>
        <w:pStyle w:val="subsection"/>
      </w:pPr>
      <w:r w:rsidRPr="00283424">
        <w:tab/>
        <w:t>(1A)</w:t>
      </w:r>
      <w:r w:rsidRPr="00283424">
        <w:tab/>
        <w:t xml:space="preserve">For paragraph 1020AD(2)(a) of the Act, the particulars which ASIC must publicly disclose in relation to information given to it under section 1020AB of the Act in relation to a sale of a listed section 1020B </w:t>
      </w:r>
      <w:r w:rsidRPr="00283424">
        <w:lastRenderedPageBreak/>
        <w:t>product are the total of all short positions in a product issued by a listed entity that have been disclosed to ASIC under section 1020AB of the Act on the previous reporting day.</w:t>
      </w:r>
    </w:p>
    <w:p w14:paraId="2EB5777F" w14:textId="77777777" w:rsidR="00E93F58" w:rsidRPr="00283424" w:rsidRDefault="00E93F58" w:rsidP="00B50726">
      <w:pPr>
        <w:pStyle w:val="subsection"/>
      </w:pPr>
      <w:r w:rsidRPr="00283424">
        <w:tab/>
        <w:t>(2)</w:t>
      </w:r>
      <w:r w:rsidRPr="00283424">
        <w:tab/>
        <w:t>For subparagraph 1020AD(2)(b)(i) of the Act, the time for the disclosure of the information mentioned in subregulation (1) is:</w:t>
      </w:r>
    </w:p>
    <w:p w14:paraId="02B6053A" w14:textId="77777777" w:rsidR="00E93F58" w:rsidRPr="00283424" w:rsidRDefault="00E93F58" w:rsidP="00B50726">
      <w:pPr>
        <w:pStyle w:val="paragraph"/>
      </w:pPr>
      <w:r w:rsidRPr="00283424">
        <w:tab/>
        <w:t>(a)</w:t>
      </w:r>
      <w:r w:rsidRPr="00283424">
        <w:tab/>
        <w:t>if the information is given to the licensee after the start of the trading day but before 7 pm—on the next trading day after the day the agreements to sell were entered into; and</w:t>
      </w:r>
    </w:p>
    <w:p w14:paraId="1BF33D7E" w14:textId="77777777" w:rsidR="00E93F58" w:rsidRPr="00283424" w:rsidRDefault="00E93F58" w:rsidP="00B50726">
      <w:pPr>
        <w:pStyle w:val="paragraph"/>
      </w:pPr>
      <w:r w:rsidRPr="00283424">
        <w:tab/>
        <w:t>(b)</w:t>
      </w:r>
      <w:r w:rsidRPr="00283424">
        <w:tab/>
        <w:t>if the information is given to the licensee after 7 pm but before the start of the next trading day—on the second trading day after the day the agreements to sell were entered into.</w:t>
      </w:r>
    </w:p>
    <w:p w14:paraId="5D8ABFD3" w14:textId="77777777" w:rsidR="00E93F58" w:rsidRPr="00283424" w:rsidRDefault="00E93F58" w:rsidP="00B50726">
      <w:pPr>
        <w:pStyle w:val="subsection"/>
      </w:pPr>
      <w:r w:rsidRPr="00283424">
        <w:tab/>
        <w:t>(3)</w:t>
      </w:r>
      <w:r w:rsidRPr="00283424">
        <w:tab/>
        <w:t xml:space="preserve">A reference to </w:t>
      </w:r>
      <w:r w:rsidRPr="00283424">
        <w:rPr>
          <w:b/>
          <w:i/>
        </w:rPr>
        <w:t>trading day</w:t>
      </w:r>
      <w:r w:rsidRPr="00283424">
        <w:t xml:space="preserve"> in subregulation (2) is to a trading day of the market in relation to which the operator is responsible for disclosure of the information.</w:t>
      </w:r>
    </w:p>
    <w:p w14:paraId="2EEDE336" w14:textId="77777777" w:rsidR="00E93F58" w:rsidRPr="00283424" w:rsidRDefault="00E93F58" w:rsidP="00B50726">
      <w:pPr>
        <w:pStyle w:val="subsection"/>
      </w:pPr>
      <w:r w:rsidRPr="00283424">
        <w:tab/>
        <w:t>(3A)</w:t>
      </w:r>
      <w:r w:rsidRPr="00283424">
        <w:tab/>
        <w:t>For subparagraph 1020AD(2)(b)(i) of the Act, the time for the disclosure of the information mentioned in subregulation (1A) is the first reporting day after the day the information is received.</w:t>
      </w:r>
    </w:p>
    <w:p w14:paraId="7732551F" w14:textId="77777777" w:rsidR="00E93F58" w:rsidRPr="00283424" w:rsidRDefault="00E93F58" w:rsidP="00B50726">
      <w:pPr>
        <w:pStyle w:val="subsection"/>
      </w:pPr>
      <w:r w:rsidRPr="00283424">
        <w:tab/>
        <w:t>(4)</w:t>
      </w:r>
      <w:r w:rsidRPr="00283424">
        <w:tab/>
        <w:t>For subparagraph 1020AD(2)(b)(ii) of the Act, the manner of public disclosure of the information mentioned in subregulation (1) is by publication:</w:t>
      </w:r>
    </w:p>
    <w:p w14:paraId="60F8838A" w14:textId="77777777" w:rsidR="00E93F58" w:rsidRPr="00283424" w:rsidRDefault="00E93F58" w:rsidP="00B50726">
      <w:pPr>
        <w:pStyle w:val="paragraph"/>
      </w:pPr>
      <w:r w:rsidRPr="00283424">
        <w:tab/>
        <w:t>(a)</w:t>
      </w:r>
      <w:r w:rsidRPr="00283424">
        <w:tab/>
        <w:t>on the operator’s website; or</w:t>
      </w:r>
    </w:p>
    <w:p w14:paraId="38DB39F2" w14:textId="77777777" w:rsidR="00E93F58" w:rsidRPr="00283424" w:rsidRDefault="00E93F58" w:rsidP="00B50726">
      <w:pPr>
        <w:pStyle w:val="paragraph"/>
      </w:pPr>
      <w:r w:rsidRPr="00283424">
        <w:tab/>
        <w:t>(b)</w:t>
      </w:r>
      <w:r w:rsidRPr="00283424">
        <w:tab/>
        <w:t>in any other form that is easily accessible by the public.</w:t>
      </w:r>
    </w:p>
    <w:p w14:paraId="4D4AD992" w14:textId="77777777" w:rsidR="00E93F58" w:rsidRPr="00283424" w:rsidRDefault="00E93F58" w:rsidP="00B50726">
      <w:pPr>
        <w:pStyle w:val="subsection"/>
      </w:pPr>
      <w:r w:rsidRPr="00283424">
        <w:tab/>
        <w:t>(5)</w:t>
      </w:r>
      <w:r w:rsidRPr="00283424">
        <w:tab/>
        <w:t>For subparagraph 1020AD(2)(b)(ii) of the Act, the manner of public disclosure of the information mentioned in subregulation (1A) is by publication:</w:t>
      </w:r>
    </w:p>
    <w:p w14:paraId="4B899C04" w14:textId="77777777" w:rsidR="00E93F58" w:rsidRPr="00283424" w:rsidRDefault="00E93F58" w:rsidP="00B50726">
      <w:pPr>
        <w:pStyle w:val="paragraph"/>
      </w:pPr>
      <w:r w:rsidRPr="00283424">
        <w:tab/>
        <w:t>(a)</w:t>
      </w:r>
      <w:r w:rsidRPr="00283424">
        <w:tab/>
        <w:t>on ASIC’s website; or</w:t>
      </w:r>
    </w:p>
    <w:p w14:paraId="79332775" w14:textId="77777777" w:rsidR="00E93F58" w:rsidRPr="00283424" w:rsidRDefault="00E93F58" w:rsidP="00B50726">
      <w:pPr>
        <w:pStyle w:val="paragraph"/>
      </w:pPr>
      <w:r w:rsidRPr="00283424">
        <w:tab/>
        <w:t>(b)</w:t>
      </w:r>
      <w:r w:rsidRPr="00283424">
        <w:tab/>
        <w:t>in any other form that is readily accessible by the public.</w:t>
      </w:r>
    </w:p>
    <w:p w14:paraId="3A7DA3D2" w14:textId="77777777" w:rsidR="00E93F58" w:rsidRPr="00283424" w:rsidRDefault="00E93F58" w:rsidP="00B50726">
      <w:pPr>
        <w:pStyle w:val="ActHead2"/>
        <w:pageBreakBefore/>
      </w:pPr>
      <w:bookmarkStart w:id="2029" w:name="_Toc152054990"/>
      <w:bookmarkStart w:id="2030" w:name="_Toc158712806"/>
      <w:r w:rsidRPr="006F296E">
        <w:rPr>
          <w:rStyle w:val="CharPartNo"/>
        </w:rPr>
        <w:lastRenderedPageBreak/>
        <w:t>Part 7.10</w:t>
      </w:r>
      <w:r w:rsidRPr="00283424">
        <w:t>—</w:t>
      </w:r>
      <w:r w:rsidRPr="006F296E">
        <w:rPr>
          <w:rStyle w:val="CharPartText"/>
        </w:rPr>
        <w:t>Market misconduct and other prohibited conduct relating to financial products and financial services</w:t>
      </w:r>
      <w:bookmarkEnd w:id="2029"/>
      <w:bookmarkEnd w:id="2030"/>
    </w:p>
    <w:p w14:paraId="010293EC" w14:textId="77777777" w:rsidR="00E93F58" w:rsidRPr="00283424" w:rsidRDefault="00E93F58" w:rsidP="00B50726">
      <w:pPr>
        <w:pStyle w:val="Header"/>
      </w:pPr>
      <w:r w:rsidRPr="006F296E">
        <w:rPr>
          <w:rStyle w:val="CharDivNo"/>
        </w:rPr>
        <w:t xml:space="preserve"> </w:t>
      </w:r>
      <w:r w:rsidRPr="006F296E">
        <w:rPr>
          <w:rStyle w:val="CharDivText"/>
        </w:rPr>
        <w:t xml:space="preserve"> </w:t>
      </w:r>
    </w:p>
    <w:p w14:paraId="5AF17609" w14:textId="77777777" w:rsidR="00E93F58" w:rsidRPr="00BE1284" w:rsidRDefault="00E93F58" w:rsidP="00A641E8">
      <w:pPr>
        <w:pStyle w:val="ActHead5"/>
      </w:pPr>
      <w:bookmarkStart w:id="2031" w:name="_Toc152054991"/>
      <w:bookmarkStart w:id="2032" w:name="_Toc158712807"/>
      <w:r w:rsidRPr="00EE4AA9">
        <w:rPr>
          <w:rStyle w:val="CharSectno"/>
        </w:rPr>
        <w:t>7.10.01</w:t>
      </w:r>
      <w:r w:rsidRPr="00BE1284">
        <w:t xml:space="preserve">  Meaning of </w:t>
      </w:r>
      <w:r w:rsidRPr="00BE1284">
        <w:rPr>
          <w:i/>
        </w:rPr>
        <w:t>Division 3 financial products—</w:t>
      </w:r>
      <w:r w:rsidRPr="00BE1284">
        <w:t>excluded superannuation products</w:t>
      </w:r>
      <w:bookmarkEnd w:id="2031"/>
      <w:bookmarkEnd w:id="2032"/>
    </w:p>
    <w:p w14:paraId="7C4A250A" w14:textId="77777777" w:rsidR="00E93F58" w:rsidRPr="00BE1284" w:rsidRDefault="00E93F58" w:rsidP="00A641E8">
      <w:pPr>
        <w:pStyle w:val="subsection"/>
      </w:pPr>
      <w:r w:rsidRPr="00BE1284">
        <w:tab/>
      </w:r>
      <w:r w:rsidRPr="00BE1284">
        <w:tab/>
        <w:t xml:space="preserve">For the purposes of </w:t>
      </w:r>
      <w:r>
        <w:t>paragraph (</w:t>
      </w:r>
      <w:r w:rsidRPr="00BE1284">
        <w:t>e) of the definition of</w:t>
      </w:r>
      <w:r w:rsidRPr="00BE1284">
        <w:rPr>
          <w:b/>
          <w:i/>
        </w:rPr>
        <w:t xml:space="preserve"> Division 3 financial products</w:t>
      </w:r>
      <w:r w:rsidRPr="00BE1284">
        <w:t xml:space="preserve"> in </w:t>
      </w:r>
      <w:r>
        <w:t>subsection 1</w:t>
      </w:r>
      <w:r w:rsidRPr="00BE1284">
        <w:t>042A(1) of the Act, superannuation products provided by a superannuation entity that is not a public offer entity are prescribed.</w:t>
      </w:r>
    </w:p>
    <w:p w14:paraId="437BD9E8" w14:textId="77777777" w:rsidR="00E93F58" w:rsidRPr="00BE1284" w:rsidRDefault="00E93F58" w:rsidP="00A641E8">
      <w:pPr>
        <w:pStyle w:val="notetext"/>
      </w:pPr>
      <w:r w:rsidRPr="00BE1284">
        <w:t>Note:</w:t>
      </w:r>
      <w:r w:rsidRPr="00BE1284">
        <w:tab/>
        <w:t>This means that these superannuation products are not Division 3 financial products.</w:t>
      </w:r>
    </w:p>
    <w:p w14:paraId="01637B11" w14:textId="77777777" w:rsidR="00E93F58" w:rsidRPr="00283424" w:rsidRDefault="00E93F58" w:rsidP="00B50726">
      <w:pPr>
        <w:pStyle w:val="ActHead5"/>
      </w:pPr>
      <w:bookmarkStart w:id="2033" w:name="_Toc152054992"/>
      <w:bookmarkStart w:id="2034" w:name="_Toc158712808"/>
      <w:r w:rsidRPr="006F296E">
        <w:rPr>
          <w:rStyle w:val="CharSectno"/>
        </w:rPr>
        <w:t>7.10.02</w:t>
      </w:r>
      <w:r w:rsidRPr="00283424">
        <w:t xml:space="preserve">  Professional standards schemes</w:t>
      </w:r>
      <w:bookmarkEnd w:id="2033"/>
      <w:bookmarkEnd w:id="2034"/>
    </w:p>
    <w:p w14:paraId="6074F039" w14:textId="77777777" w:rsidR="00E93F58" w:rsidRPr="00283424" w:rsidRDefault="00E93F58" w:rsidP="00B50726">
      <w:pPr>
        <w:pStyle w:val="subsection"/>
      </w:pPr>
      <w:r w:rsidRPr="00283424">
        <w:tab/>
      </w:r>
      <w:r w:rsidRPr="00283424">
        <w:tab/>
        <w:t>For subsection 1044B(2) of the Act, a scheme and any modifications to the scheme set out in the following table are prescribed.</w:t>
      </w:r>
    </w:p>
    <w:p w14:paraId="0130ABA1" w14:textId="77777777" w:rsidR="00E93F58" w:rsidRPr="00283424" w:rsidRDefault="00E93F58" w:rsidP="00B50726">
      <w:pPr>
        <w:pStyle w:val="notetext"/>
      </w:pPr>
      <w:r w:rsidRPr="00283424">
        <w:t>Note:</w:t>
      </w:r>
      <w:r w:rsidRPr="00283424">
        <w:tab/>
        <w:t>Column 2 of the table below is included for information only.</w:t>
      </w:r>
    </w:p>
    <w:p w14:paraId="4334F42A" w14:textId="77777777" w:rsidR="00E93F58" w:rsidRPr="00283424" w:rsidRDefault="00E93F58" w:rsidP="00B50726">
      <w:pPr>
        <w:pStyle w:val="Tabletext"/>
      </w:pPr>
    </w:p>
    <w:tbl>
      <w:tblPr>
        <w:tblW w:w="5005" w:type="pct"/>
        <w:tblBorders>
          <w:top w:val="single" w:sz="4" w:space="0" w:color="auto"/>
          <w:bottom w:val="single" w:sz="2" w:space="0" w:color="auto"/>
          <w:insideH w:val="single" w:sz="4" w:space="0" w:color="auto"/>
        </w:tblBorders>
        <w:tblLook w:val="01E0" w:firstRow="1" w:lastRow="1" w:firstColumn="1" w:lastColumn="1" w:noHBand="0" w:noVBand="0"/>
      </w:tblPr>
      <w:tblGrid>
        <w:gridCol w:w="984"/>
        <w:gridCol w:w="6576"/>
        <w:gridCol w:w="3224"/>
      </w:tblGrid>
      <w:tr w:rsidR="00E93F58" w:rsidRPr="00283424" w14:paraId="2F775586" w14:textId="77777777" w:rsidTr="00EA0AFF">
        <w:trPr>
          <w:tblHeader/>
        </w:trPr>
        <w:tc>
          <w:tcPr>
            <w:tcW w:w="5000" w:type="pct"/>
            <w:gridSpan w:val="3"/>
            <w:tcBorders>
              <w:top w:val="single" w:sz="12" w:space="0" w:color="auto"/>
              <w:bottom w:val="single" w:sz="2" w:space="0" w:color="auto"/>
            </w:tcBorders>
            <w:shd w:val="clear" w:color="auto" w:fill="auto"/>
          </w:tcPr>
          <w:p w14:paraId="6187BD55" w14:textId="77777777" w:rsidR="00E93F58" w:rsidRPr="00283424" w:rsidRDefault="00E93F58" w:rsidP="00EA0AFF">
            <w:pPr>
              <w:pStyle w:val="TableHeading"/>
            </w:pPr>
            <w:r w:rsidRPr="00283424">
              <w:t>Prescribed professional standards schemes</w:t>
            </w:r>
          </w:p>
        </w:tc>
      </w:tr>
      <w:tr w:rsidR="00E93F58" w:rsidRPr="00283424" w14:paraId="77272C4B" w14:textId="77777777" w:rsidTr="00EA0AFF">
        <w:trPr>
          <w:tblHeader/>
        </w:trPr>
        <w:tc>
          <w:tcPr>
            <w:tcW w:w="456" w:type="pct"/>
            <w:tcBorders>
              <w:top w:val="single" w:sz="2" w:space="0" w:color="auto"/>
              <w:bottom w:val="single" w:sz="12" w:space="0" w:color="auto"/>
            </w:tcBorders>
            <w:shd w:val="clear" w:color="auto" w:fill="auto"/>
          </w:tcPr>
          <w:p w14:paraId="1018C1E3" w14:textId="77777777" w:rsidR="00E93F58" w:rsidRPr="00283424" w:rsidRDefault="00E93F58" w:rsidP="00EA0AFF">
            <w:pPr>
              <w:pStyle w:val="TableHeading"/>
            </w:pPr>
            <w:r w:rsidRPr="00283424">
              <w:t>Item</w:t>
            </w:r>
          </w:p>
        </w:tc>
        <w:tc>
          <w:tcPr>
            <w:tcW w:w="3049" w:type="pct"/>
            <w:tcBorders>
              <w:top w:val="single" w:sz="2" w:space="0" w:color="auto"/>
              <w:bottom w:val="single" w:sz="12" w:space="0" w:color="auto"/>
            </w:tcBorders>
            <w:shd w:val="clear" w:color="auto" w:fill="auto"/>
          </w:tcPr>
          <w:p w14:paraId="20D2CA87" w14:textId="77777777" w:rsidR="00E93F58" w:rsidRPr="00283424" w:rsidRDefault="00E93F58" w:rsidP="00EA0AFF">
            <w:pPr>
              <w:pStyle w:val="TableHeading"/>
            </w:pPr>
            <w:r w:rsidRPr="00283424">
              <w:t>Column 1</w:t>
            </w:r>
            <w:r w:rsidRPr="00283424">
              <w:br/>
              <w:t>Scheme</w:t>
            </w:r>
          </w:p>
        </w:tc>
        <w:tc>
          <w:tcPr>
            <w:tcW w:w="1495" w:type="pct"/>
            <w:tcBorders>
              <w:top w:val="single" w:sz="2" w:space="0" w:color="auto"/>
              <w:bottom w:val="single" w:sz="12" w:space="0" w:color="auto"/>
            </w:tcBorders>
            <w:shd w:val="clear" w:color="auto" w:fill="auto"/>
          </w:tcPr>
          <w:p w14:paraId="51B06533" w14:textId="77777777" w:rsidR="00E93F58" w:rsidRPr="00283424" w:rsidRDefault="00E93F58" w:rsidP="00EA0AFF">
            <w:pPr>
              <w:pStyle w:val="TableHeading"/>
            </w:pPr>
            <w:r w:rsidRPr="00283424">
              <w:t>Column 2</w:t>
            </w:r>
            <w:r w:rsidRPr="00283424">
              <w:br/>
              <w:t>Date prescribed</w:t>
            </w:r>
          </w:p>
        </w:tc>
      </w:tr>
      <w:tr w:rsidR="00E93F58" w:rsidRPr="00283424" w14:paraId="6E3B7010" w14:textId="77777777" w:rsidTr="00EA0AFF">
        <w:tblPrEx>
          <w:tblBorders>
            <w:top w:val="none" w:sz="0" w:space="0" w:color="auto"/>
            <w:bottom w:val="none" w:sz="0" w:space="0" w:color="auto"/>
            <w:insideH w:val="none" w:sz="0" w:space="0" w:color="auto"/>
          </w:tblBorders>
        </w:tblPrEx>
        <w:tc>
          <w:tcPr>
            <w:tcW w:w="456" w:type="pct"/>
            <w:tcBorders>
              <w:bottom w:val="single" w:sz="4" w:space="0" w:color="auto"/>
            </w:tcBorders>
            <w:shd w:val="clear" w:color="auto" w:fill="auto"/>
          </w:tcPr>
          <w:p w14:paraId="34DB2020" w14:textId="77777777" w:rsidR="00E93F58" w:rsidRPr="00283424" w:rsidRDefault="00E93F58" w:rsidP="00EA0AFF">
            <w:pPr>
              <w:pStyle w:val="Tabletext"/>
              <w:rPr>
                <w:color w:val="000000"/>
              </w:rPr>
            </w:pPr>
            <w:r w:rsidRPr="00283424">
              <w:rPr>
                <w:color w:val="000000"/>
              </w:rPr>
              <w:t>1</w:t>
            </w:r>
          </w:p>
        </w:tc>
        <w:tc>
          <w:tcPr>
            <w:tcW w:w="3049" w:type="pct"/>
            <w:tcBorders>
              <w:bottom w:val="single" w:sz="4" w:space="0" w:color="auto"/>
            </w:tcBorders>
            <w:shd w:val="clear" w:color="auto" w:fill="auto"/>
          </w:tcPr>
          <w:p w14:paraId="556C2E3C" w14:textId="77777777" w:rsidR="00E93F58" w:rsidRPr="00283424" w:rsidRDefault="00E93F58" w:rsidP="00EA0AFF">
            <w:pPr>
              <w:pStyle w:val="Tabletext"/>
              <w:rPr>
                <w:color w:val="000000"/>
              </w:rPr>
            </w:pPr>
            <w:r w:rsidRPr="00283424">
              <w:t>The CPA Australia Ltd Professional Standards (Accountants) Scheme, published in the New South Wales Government Gazette No. 98, 30 August 2019</w:t>
            </w:r>
          </w:p>
          <w:p w14:paraId="32369FFF" w14:textId="77777777" w:rsidR="00E93F58" w:rsidRPr="00283424" w:rsidRDefault="00E93F58" w:rsidP="00EA0AFF">
            <w:pPr>
              <w:pStyle w:val="notemargin"/>
            </w:pPr>
            <w:r w:rsidRPr="00283424">
              <w:t>Note:</w:t>
            </w:r>
            <w:r w:rsidRPr="00283424">
              <w:tab/>
              <w:t xml:space="preserve">This Scheme was formerly the </w:t>
            </w:r>
            <w:r w:rsidRPr="00283424">
              <w:rPr>
                <w:color w:val="000000"/>
              </w:rPr>
              <w:t>CPA Australia Ltd Professional Standards (Accountants) Scheme, published in the New South Wales Government Gazette No. 138, 22 December 2017.</w:t>
            </w:r>
          </w:p>
        </w:tc>
        <w:tc>
          <w:tcPr>
            <w:tcW w:w="1495" w:type="pct"/>
            <w:tcBorders>
              <w:bottom w:val="single" w:sz="4" w:space="0" w:color="auto"/>
            </w:tcBorders>
            <w:shd w:val="clear" w:color="auto" w:fill="auto"/>
          </w:tcPr>
          <w:p w14:paraId="74A4B833" w14:textId="77777777" w:rsidR="00E93F58" w:rsidRPr="00283424" w:rsidRDefault="00E93F58" w:rsidP="00EA0AFF">
            <w:pPr>
              <w:pStyle w:val="Tabletext"/>
              <w:rPr>
                <w:color w:val="000000"/>
              </w:rPr>
            </w:pPr>
            <w:r w:rsidRPr="00283424">
              <w:t>22 October 2019</w:t>
            </w:r>
          </w:p>
        </w:tc>
      </w:tr>
      <w:tr w:rsidR="00E93F58" w:rsidRPr="00283424" w14:paraId="0F73FFC6" w14:textId="77777777" w:rsidTr="00EA0AFF">
        <w:tblPrEx>
          <w:tblBorders>
            <w:top w:val="none" w:sz="0" w:space="0" w:color="auto"/>
            <w:bottom w:val="none" w:sz="0" w:space="0" w:color="auto"/>
            <w:insideH w:val="none" w:sz="0" w:space="0" w:color="auto"/>
          </w:tblBorders>
        </w:tblPrEx>
        <w:tc>
          <w:tcPr>
            <w:tcW w:w="456" w:type="pct"/>
            <w:tcBorders>
              <w:top w:val="single" w:sz="4" w:space="0" w:color="auto"/>
              <w:bottom w:val="single" w:sz="4" w:space="0" w:color="auto"/>
            </w:tcBorders>
            <w:shd w:val="clear" w:color="auto" w:fill="auto"/>
          </w:tcPr>
          <w:p w14:paraId="7947199C" w14:textId="77777777" w:rsidR="00E93F58" w:rsidRPr="00283424" w:rsidRDefault="00E93F58" w:rsidP="00EA0AFF">
            <w:pPr>
              <w:pStyle w:val="Tabletext"/>
              <w:rPr>
                <w:color w:val="000000"/>
              </w:rPr>
            </w:pPr>
            <w:r w:rsidRPr="00283424">
              <w:rPr>
                <w:color w:val="000000"/>
              </w:rPr>
              <w:t>2</w:t>
            </w:r>
          </w:p>
        </w:tc>
        <w:tc>
          <w:tcPr>
            <w:tcW w:w="3049" w:type="pct"/>
            <w:tcBorders>
              <w:top w:val="single" w:sz="4" w:space="0" w:color="auto"/>
              <w:bottom w:val="single" w:sz="4" w:space="0" w:color="auto"/>
            </w:tcBorders>
            <w:shd w:val="clear" w:color="auto" w:fill="auto"/>
          </w:tcPr>
          <w:p w14:paraId="37AE62FE" w14:textId="77777777" w:rsidR="00E93F58" w:rsidRPr="00283424" w:rsidRDefault="00E93F58" w:rsidP="00EA0AFF">
            <w:pPr>
              <w:pStyle w:val="Tabletext"/>
            </w:pPr>
            <w:r w:rsidRPr="00283424">
              <w:t>Chartered Accountants Australia and New Zealand Professional Standards Scheme, published in the New South Wales Government Gazette No. 72, 12 July 2019</w:t>
            </w:r>
          </w:p>
          <w:p w14:paraId="381884B6" w14:textId="77777777" w:rsidR="00E93F58" w:rsidRPr="00283424" w:rsidRDefault="00E93F58" w:rsidP="00EA0AFF">
            <w:pPr>
              <w:pStyle w:val="notemargin"/>
            </w:pPr>
            <w:r w:rsidRPr="00283424">
              <w:t>Note:</w:t>
            </w:r>
            <w:r w:rsidRPr="00283424">
              <w:tab/>
              <w:t>This Scheme is a national Scheme which replaces 7 previous State and Territory Schemes of the same name.</w:t>
            </w:r>
          </w:p>
        </w:tc>
        <w:tc>
          <w:tcPr>
            <w:tcW w:w="1495" w:type="pct"/>
            <w:tcBorders>
              <w:top w:val="single" w:sz="4" w:space="0" w:color="auto"/>
              <w:bottom w:val="single" w:sz="4" w:space="0" w:color="auto"/>
            </w:tcBorders>
            <w:shd w:val="clear" w:color="auto" w:fill="auto"/>
          </w:tcPr>
          <w:p w14:paraId="1FA81D2D" w14:textId="77777777" w:rsidR="00E93F58" w:rsidRPr="00283424" w:rsidRDefault="00E93F58" w:rsidP="00EA0AFF">
            <w:pPr>
              <w:pStyle w:val="Tabletext"/>
              <w:rPr>
                <w:color w:val="000000"/>
              </w:rPr>
            </w:pPr>
            <w:r w:rsidRPr="00283424">
              <w:t>22 October 2019</w:t>
            </w:r>
          </w:p>
        </w:tc>
      </w:tr>
      <w:tr w:rsidR="00E93F58" w:rsidRPr="00283424" w14:paraId="1C36D140" w14:textId="77777777" w:rsidTr="00EA0AFF">
        <w:tblPrEx>
          <w:tblBorders>
            <w:top w:val="none" w:sz="0" w:space="0" w:color="auto"/>
            <w:bottom w:val="none" w:sz="0" w:space="0" w:color="auto"/>
          </w:tblBorders>
          <w:tblLook w:val="0000" w:firstRow="0" w:lastRow="0" w:firstColumn="0" w:lastColumn="0" w:noHBand="0" w:noVBand="0"/>
        </w:tblPrEx>
        <w:tc>
          <w:tcPr>
            <w:tcW w:w="456" w:type="pct"/>
            <w:tcBorders>
              <w:top w:val="single" w:sz="4" w:space="0" w:color="auto"/>
              <w:bottom w:val="single" w:sz="4" w:space="0" w:color="auto"/>
            </w:tcBorders>
            <w:shd w:val="clear" w:color="auto" w:fill="auto"/>
          </w:tcPr>
          <w:p w14:paraId="7027F9C9" w14:textId="77777777" w:rsidR="00E93F58" w:rsidRPr="00283424" w:rsidRDefault="00E93F58" w:rsidP="00DC263D">
            <w:pPr>
              <w:pStyle w:val="Tabletext"/>
              <w:rPr>
                <w:color w:val="000000"/>
              </w:rPr>
            </w:pPr>
            <w:r w:rsidRPr="00A06D39">
              <w:t>3</w:t>
            </w:r>
          </w:p>
        </w:tc>
        <w:tc>
          <w:tcPr>
            <w:tcW w:w="3049" w:type="pct"/>
            <w:tcBorders>
              <w:top w:val="single" w:sz="4" w:space="0" w:color="auto"/>
              <w:bottom w:val="single" w:sz="4" w:space="0" w:color="auto"/>
            </w:tcBorders>
          </w:tcPr>
          <w:p w14:paraId="48A69053" w14:textId="77777777" w:rsidR="00E93F58" w:rsidRPr="00A06D39" w:rsidRDefault="00E93F58" w:rsidP="00DC263D">
            <w:pPr>
              <w:pStyle w:val="Tabletext"/>
              <w:rPr>
                <w:i/>
              </w:rPr>
            </w:pPr>
            <w:r w:rsidRPr="00A06D39">
              <w:t>The Law Society of New South Wales Professional Standards Scheme, published in the New South Wales Government Gazette No. 87, 7 September 2018, including as modified by the extension published in the New South Wales Government Gazette No. 311, 14 July 2023</w:t>
            </w:r>
          </w:p>
          <w:p w14:paraId="38FBA72E" w14:textId="77777777" w:rsidR="00E93F58" w:rsidRPr="00283424" w:rsidRDefault="00E93F58" w:rsidP="00F2321D">
            <w:pPr>
              <w:pStyle w:val="notemargin"/>
            </w:pPr>
            <w:r w:rsidRPr="00A06D39">
              <w:t>Note:</w:t>
            </w:r>
            <w:r w:rsidRPr="00A06D39">
              <w:tab/>
            </w:r>
            <w:r w:rsidRPr="00A06D39">
              <w:rPr>
                <w:shd w:val="clear" w:color="auto" w:fill="FFFFFF"/>
              </w:rPr>
              <w:t>This Scheme was formerly the Law Society of New South Wales Scheme, published in the New South Wales Government Gazette No. 78, 27 July 2012, including as modified by the extension published in the New South Wales Government Gazette No. 72, 30 June 2017.</w:t>
            </w:r>
          </w:p>
        </w:tc>
        <w:tc>
          <w:tcPr>
            <w:tcW w:w="1495" w:type="pct"/>
            <w:tcBorders>
              <w:top w:val="single" w:sz="4" w:space="0" w:color="auto"/>
              <w:bottom w:val="single" w:sz="4" w:space="0" w:color="auto"/>
            </w:tcBorders>
            <w:shd w:val="clear" w:color="auto" w:fill="auto"/>
          </w:tcPr>
          <w:p w14:paraId="29496030" w14:textId="77777777" w:rsidR="00E93F58" w:rsidRPr="00A06D39" w:rsidRDefault="00E93F58" w:rsidP="00DC263D">
            <w:pPr>
              <w:pStyle w:val="Tabletext"/>
              <w:rPr>
                <w:color w:val="000000"/>
                <w:shd w:val="clear" w:color="auto" w:fill="FFFFFF"/>
              </w:rPr>
            </w:pPr>
            <w:r w:rsidRPr="00A06D39">
              <w:rPr>
                <w:color w:val="000000"/>
                <w:shd w:val="clear" w:color="auto" w:fill="FFFFFF"/>
              </w:rPr>
              <w:t xml:space="preserve">The </w:t>
            </w:r>
            <w:r>
              <w:rPr>
                <w:color w:val="000000"/>
                <w:shd w:val="clear" w:color="auto" w:fill="FFFFFF"/>
              </w:rPr>
              <w:t>S</w:t>
            </w:r>
            <w:r w:rsidRPr="00A06D39">
              <w:rPr>
                <w:color w:val="000000"/>
                <w:shd w:val="clear" w:color="auto" w:fill="FFFFFF"/>
              </w:rPr>
              <w:t>cheme—26 March 2019</w:t>
            </w:r>
          </w:p>
          <w:p w14:paraId="7EFBC80F" w14:textId="77777777" w:rsidR="00E93F58" w:rsidRPr="00283424" w:rsidRDefault="00E93F58" w:rsidP="00DC263D">
            <w:pPr>
              <w:pStyle w:val="Tabletext"/>
            </w:pPr>
            <w:r w:rsidRPr="00A06D39">
              <w:t xml:space="preserve">The extension—the day the </w:t>
            </w:r>
            <w:r>
              <w:rPr>
                <w:i/>
              </w:rPr>
              <w:t>Treasury Laws Amendment (Professional Standards Schemes) Regulations 2023</w:t>
            </w:r>
            <w:r w:rsidRPr="00A06D39">
              <w:t xml:space="preserve"> commence</w:t>
            </w:r>
          </w:p>
        </w:tc>
      </w:tr>
      <w:tr w:rsidR="00E93F58" w:rsidRPr="00283424" w14:paraId="75EDBD5D" w14:textId="77777777" w:rsidTr="00EA0AFF">
        <w:tblPrEx>
          <w:tblBorders>
            <w:top w:val="none" w:sz="0" w:space="0" w:color="auto"/>
            <w:bottom w:val="none" w:sz="0" w:space="0" w:color="auto"/>
          </w:tblBorders>
          <w:tblLook w:val="0000" w:firstRow="0" w:lastRow="0" w:firstColumn="0" w:lastColumn="0" w:noHBand="0" w:noVBand="0"/>
        </w:tblPrEx>
        <w:trPr>
          <w:cantSplit/>
        </w:trPr>
        <w:tc>
          <w:tcPr>
            <w:tcW w:w="456" w:type="pct"/>
            <w:tcBorders>
              <w:top w:val="single" w:sz="4" w:space="0" w:color="auto"/>
              <w:bottom w:val="single" w:sz="4" w:space="0" w:color="auto"/>
            </w:tcBorders>
            <w:shd w:val="clear" w:color="auto" w:fill="auto"/>
          </w:tcPr>
          <w:p w14:paraId="7E064A01" w14:textId="77777777" w:rsidR="00E93F58" w:rsidRPr="00283424" w:rsidRDefault="00E93F58" w:rsidP="00EA0AFF">
            <w:pPr>
              <w:pStyle w:val="Tabletext"/>
              <w:rPr>
                <w:color w:val="000000"/>
              </w:rPr>
            </w:pPr>
            <w:r w:rsidRPr="00283424">
              <w:rPr>
                <w:color w:val="000000"/>
              </w:rPr>
              <w:t>4</w:t>
            </w:r>
          </w:p>
        </w:tc>
        <w:tc>
          <w:tcPr>
            <w:tcW w:w="3049" w:type="pct"/>
            <w:tcBorders>
              <w:top w:val="single" w:sz="4" w:space="0" w:color="auto"/>
              <w:bottom w:val="single" w:sz="4" w:space="0" w:color="auto"/>
            </w:tcBorders>
          </w:tcPr>
          <w:p w14:paraId="52520CB0" w14:textId="77777777" w:rsidR="00E93F58" w:rsidRPr="00283424" w:rsidRDefault="00E93F58" w:rsidP="00EA0AFF">
            <w:pPr>
              <w:pStyle w:val="Tabletext"/>
            </w:pPr>
            <w:r w:rsidRPr="00283424">
              <w:rPr>
                <w:color w:val="000000"/>
              </w:rPr>
              <w:t xml:space="preserve">The New South Wales Bar Association Professional Standards Scheme, published in the </w:t>
            </w:r>
            <w:r w:rsidRPr="00283424">
              <w:t>New South Wales</w:t>
            </w:r>
            <w:r w:rsidRPr="00283424">
              <w:rPr>
                <w:color w:val="000000"/>
              </w:rPr>
              <w:t xml:space="preserve"> Government Gazette No. 179, 20 December 2019</w:t>
            </w:r>
          </w:p>
          <w:p w14:paraId="30BD8D63" w14:textId="77777777" w:rsidR="00E93F58" w:rsidRPr="00283424" w:rsidRDefault="00E93F58" w:rsidP="00EA0AFF">
            <w:pPr>
              <w:pStyle w:val="notemargin"/>
            </w:pPr>
            <w:r w:rsidRPr="00283424">
              <w:t>Note:</w:t>
            </w:r>
            <w:r w:rsidRPr="00283424">
              <w:tab/>
              <w:t>This scheme was formerly the New South Wales Bar Association Scheme, published in the New South Wales Government Gazette No. 17, 5 March 2015, including as modified by the amendments published in the New South Wales Government Gazette No. 123, 10 November 2017.</w:t>
            </w:r>
          </w:p>
        </w:tc>
        <w:tc>
          <w:tcPr>
            <w:tcW w:w="1495" w:type="pct"/>
            <w:tcBorders>
              <w:top w:val="single" w:sz="4" w:space="0" w:color="auto"/>
              <w:bottom w:val="single" w:sz="4" w:space="0" w:color="auto"/>
            </w:tcBorders>
            <w:shd w:val="clear" w:color="auto" w:fill="auto"/>
          </w:tcPr>
          <w:p w14:paraId="72E5D372" w14:textId="77777777" w:rsidR="00E93F58" w:rsidRPr="00283424" w:rsidRDefault="00E93F58" w:rsidP="00EA0AFF">
            <w:pPr>
              <w:pStyle w:val="Tabletext"/>
              <w:keepNext/>
              <w:keepLines/>
              <w:rPr>
                <w:color w:val="000000"/>
              </w:rPr>
            </w:pPr>
            <w:r w:rsidRPr="00283424">
              <w:rPr>
                <w:color w:val="000000"/>
              </w:rPr>
              <w:t>1 July 2020</w:t>
            </w:r>
          </w:p>
        </w:tc>
      </w:tr>
      <w:tr w:rsidR="00E93F58" w:rsidRPr="00283424" w:rsidDel="00ED51AA" w14:paraId="50475FEA" w14:textId="77777777" w:rsidTr="00EA0AFF">
        <w:trPr>
          <w:cantSplit/>
        </w:trPr>
        <w:tc>
          <w:tcPr>
            <w:tcW w:w="456" w:type="pct"/>
            <w:tcBorders>
              <w:top w:val="single" w:sz="4" w:space="0" w:color="auto"/>
            </w:tcBorders>
            <w:shd w:val="clear" w:color="auto" w:fill="auto"/>
          </w:tcPr>
          <w:p w14:paraId="3C8689DA" w14:textId="77777777" w:rsidR="00E93F58" w:rsidRPr="00283424" w:rsidRDefault="00E93F58" w:rsidP="00EA0AFF">
            <w:pPr>
              <w:pStyle w:val="Tabletext"/>
              <w:rPr>
                <w:color w:val="000000"/>
              </w:rPr>
            </w:pPr>
            <w:r w:rsidRPr="00283424">
              <w:t>6</w:t>
            </w:r>
          </w:p>
        </w:tc>
        <w:tc>
          <w:tcPr>
            <w:tcW w:w="3049" w:type="pct"/>
            <w:tcBorders>
              <w:top w:val="single" w:sz="4" w:space="0" w:color="auto"/>
            </w:tcBorders>
            <w:shd w:val="clear" w:color="auto" w:fill="auto"/>
          </w:tcPr>
          <w:p w14:paraId="10634DC9" w14:textId="77777777" w:rsidR="00E93F58" w:rsidRPr="00283424" w:rsidRDefault="00E93F58" w:rsidP="00EA0AFF">
            <w:pPr>
              <w:pStyle w:val="Tabletext"/>
            </w:pPr>
            <w:r w:rsidRPr="00283424">
              <w:t>The Law Institute of Victoria Limited Professional Standards Scheme, published in the Victoria Government Gazette No. G 11, 17 March 2022</w:t>
            </w:r>
          </w:p>
          <w:p w14:paraId="4CABC67A" w14:textId="77777777" w:rsidR="00E93F58" w:rsidRPr="00283424" w:rsidRDefault="00E93F58" w:rsidP="00EA0AFF">
            <w:pPr>
              <w:pStyle w:val="notemargin"/>
            </w:pPr>
            <w:r w:rsidRPr="00283424">
              <w:t>Note:</w:t>
            </w:r>
            <w:r w:rsidRPr="00283424">
              <w:tab/>
              <w:t>This Scheme was formerly the Law Institute of Victoria Limited Scheme, published in the Victoria Government Gazette No. G 16, 21 April 2016, including as modified by the extension published in the Victoria Government Gazette No. G 9, 4 March 2021.</w:t>
            </w:r>
          </w:p>
        </w:tc>
        <w:tc>
          <w:tcPr>
            <w:tcW w:w="1495" w:type="pct"/>
            <w:tcBorders>
              <w:top w:val="single" w:sz="4" w:space="0" w:color="auto"/>
            </w:tcBorders>
            <w:shd w:val="clear" w:color="auto" w:fill="auto"/>
          </w:tcPr>
          <w:p w14:paraId="74EA0178" w14:textId="77777777" w:rsidR="00E93F58" w:rsidRPr="00283424" w:rsidRDefault="00E93F58" w:rsidP="00EA0AFF">
            <w:pPr>
              <w:pStyle w:val="Tabletext"/>
            </w:pPr>
            <w:r w:rsidRPr="00283424">
              <w:t>1 July 2022</w:t>
            </w:r>
          </w:p>
        </w:tc>
      </w:tr>
      <w:tr w:rsidR="00E93F58" w:rsidRPr="00283424" w14:paraId="267B7CB7" w14:textId="77777777" w:rsidTr="00EA0AFF">
        <w:tblPrEx>
          <w:tblBorders>
            <w:top w:val="none" w:sz="0" w:space="0" w:color="auto"/>
            <w:bottom w:val="none" w:sz="0" w:space="0" w:color="auto"/>
            <w:insideH w:val="none" w:sz="0" w:space="0" w:color="auto"/>
          </w:tblBorders>
        </w:tblPrEx>
        <w:tc>
          <w:tcPr>
            <w:tcW w:w="456" w:type="pct"/>
            <w:shd w:val="clear" w:color="auto" w:fill="auto"/>
          </w:tcPr>
          <w:p w14:paraId="5D376FA5" w14:textId="77777777" w:rsidR="00E93F58" w:rsidRPr="00283424" w:rsidRDefault="00E93F58" w:rsidP="00EA0AFF">
            <w:pPr>
              <w:pStyle w:val="Tabletext"/>
              <w:rPr>
                <w:color w:val="000000"/>
              </w:rPr>
            </w:pPr>
            <w:r w:rsidRPr="00283424">
              <w:rPr>
                <w:color w:val="000000"/>
              </w:rPr>
              <w:t>7</w:t>
            </w:r>
          </w:p>
        </w:tc>
        <w:tc>
          <w:tcPr>
            <w:tcW w:w="3049" w:type="pct"/>
            <w:shd w:val="clear" w:color="auto" w:fill="auto"/>
          </w:tcPr>
          <w:p w14:paraId="32C2EC67" w14:textId="77777777" w:rsidR="00E93F58" w:rsidRPr="00283424" w:rsidRDefault="00E93F58" w:rsidP="00EA0AFF">
            <w:pPr>
              <w:pStyle w:val="Tabletext"/>
              <w:rPr>
                <w:color w:val="000000"/>
              </w:rPr>
            </w:pPr>
            <w:r w:rsidRPr="00283424">
              <w:t>The Victorian Bar Professional Standards Scheme, published in the Victoria Government Gazette No. G 16, 18 April 2019</w:t>
            </w:r>
          </w:p>
          <w:p w14:paraId="7AF3EEA0" w14:textId="77777777" w:rsidR="00E93F58" w:rsidRPr="00283424" w:rsidRDefault="00E93F58" w:rsidP="00EA0AFF">
            <w:pPr>
              <w:pStyle w:val="notemargin"/>
            </w:pPr>
            <w:r w:rsidRPr="00283424">
              <w:t>Note:</w:t>
            </w:r>
            <w:r w:rsidRPr="00283424">
              <w:tab/>
              <w:t xml:space="preserve">This Scheme was formerly the </w:t>
            </w:r>
            <w:r w:rsidRPr="00283424">
              <w:rPr>
                <w:color w:val="000000"/>
              </w:rPr>
              <w:t>Victorian Bar Professional Standards Scheme, published in the Victoria Government Gazette No. S 134, 24 April 2014.</w:t>
            </w:r>
          </w:p>
        </w:tc>
        <w:tc>
          <w:tcPr>
            <w:tcW w:w="1495" w:type="pct"/>
            <w:shd w:val="clear" w:color="auto" w:fill="auto"/>
          </w:tcPr>
          <w:p w14:paraId="7B166DB4" w14:textId="77777777" w:rsidR="00E93F58" w:rsidRPr="00283424" w:rsidRDefault="00E93F58" w:rsidP="00EA0AFF">
            <w:pPr>
              <w:pStyle w:val="Tabletext"/>
              <w:rPr>
                <w:color w:val="000000"/>
              </w:rPr>
            </w:pPr>
            <w:r w:rsidRPr="00283424">
              <w:t>22 October 2019</w:t>
            </w:r>
          </w:p>
        </w:tc>
      </w:tr>
      <w:tr w:rsidR="00E93F58" w:rsidRPr="00283424" w14:paraId="6AB6D269" w14:textId="77777777" w:rsidTr="00EA0AFF">
        <w:tc>
          <w:tcPr>
            <w:tcW w:w="456" w:type="pct"/>
            <w:shd w:val="clear" w:color="auto" w:fill="auto"/>
          </w:tcPr>
          <w:p w14:paraId="6A6C48BA" w14:textId="77777777" w:rsidR="00E93F58" w:rsidRPr="00283424" w:rsidRDefault="00E93F58" w:rsidP="00EA0AFF">
            <w:pPr>
              <w:pStyle w:val="Tabletext"/>
            </w:pPr>
            <w:r w:rsidRPr="00283424">
              <w:rPr>
                <w:color w:val="000000"/>
              </w:rPr>
              <w:t>8</w:t>
            </w:r>
          </w:p>
        </w:tc>
        <w:tc>
          <w:tcPr>
            <w:tcW w:w="3049" w:type="pct"/>
            <w:shd w:val="clear" w:color="auto" w:fill="auto"/>
          </w:tcPr>
          <w:p w14:paraId="572EF603" w14:textId="77777777" w:rsidR="00E93F58" w:rsidRPr="00283424" w:rsidRDefault="00E93F58" w:rsidP="00EA0AFF">
            <w:pPr>
              <w:pStyle w:val="Tabletext"/>
              <w:rPr>
                <w:color w:val="000000"/>
              </w:rPr>
            </w:pPr>
            <w:r w:rsidRPr="00283424">
              <w:t>The Bar Association of Queensland Professional Standards Scheme</w:t>
            </w:r>
            <w:r w:rsidRPr="00283424">
              <w:rPr>
                <w:color w:val="000000"/>
              </w:rPr>
              <w:t xml:space="preserve">, approved as described in the </w:t>
            </w:r>
            <w:r w:rsidRPr="00283424">
              <w:rPr>
                <w:i/>
                <w:color w:val="000000"/>
              </w:rPr>
              <w:t xml:space="preserve">Professional Standards (Bar Association of Queensland Professional Standards Scheme) Notice 2019 </w:t>
            </w:r>
            <w:r w:rsidRPr="00283424">
              <w:rPr>
                <w:color w:val="000000"/>
              </w:rPr>
              <w:t>(Qld), 18 February 2019</w:t>
            </w:r>
          </w:p>
          <w:p w14:paraId="3FA0C741" w14:textId="77777777" w:rsidR="00E93F58" w:rsidRPr="00283424" w:rsidRDefault="00E93F58" w:rsidP="00EA0AFF">
            <w:pPr>
              <w:pStyle w:val="notemargin"/>
            </w:pPr>
            <w:r w:rsidRPr="00283424">
              <w:t>Note:</w:t>
            </w:r>
            <w:r w:rsidRPr="00283424">
              <w:tab/>
              <w:t xml:space="preserve">This Scheme was formerly the Bar Association of Queensland Scheme, </w:t>
            </w:r>
            <w:r w:rsidRPr="00283424">
              <w:lastRenderedPageBreak/>
              <w:t>published in the Queensland Government Gazette No. 40, 24 June 2013, including as modified by the extension published in the Queensland Government Gazette No. 60, 23 March 2018.</w:t>
            </w:r>
          </w:p>
        </w:tc>
        <w:tc>
          <w:tcPr>
            <w:tcW w:w="1495" w:type="pct"/>
            <w:shd w:val="clear" w:color="auto" w:fill="auto"/>
          </w:tcPr>
          <w:p w14:paraId="1608CD40" w14:textId="77777777" w:rsidR="00E93F58" w:rsidRPr="00283424" w:rsidRDefault="00E93F58" w:rsidP="00EA0AFF">
            <w:pPr>
              <w:pStyle w:val="Tabletext"/>
            </w:pPr>
            <w:r w:rsidRPr="00283424">
              <w:lastRenderedPageBreak/>
              <w:t>26 March 2019</w:t>
            </w:r>
          </w:p>
        </w:tc>
      </w:tr>
      <w:tr w:rsidR="00E93F58" w:rsidRPr="00283424" w:rsidDel="002C630A" w14:paraId="1475722A" w14:textId="77777777" w:rsidTr="00EA0AFF">
        <w:tc>
          <w:tcPr>
            <w:tcW w:w="456" w:type="pct"/>
            <w:tcBorders>
              <w:bottom w:val="single" w:sz="4" w:space="0" w:color="auto"/>
            </w:tcBorders>
            <w:shd w:val="clear" w:color="auto" w:fill="auto"/>
          </w:tcPr>
          <w:p w14:paraId="02B2EEE6" w14:textId="77777777" w:rsidR="00E93F58" w:rsidRPr="00283424" w:rsidRDefault="00E93F58" w:rsidP="00EA0AFF">
            <w:pPr>
              <w:pStyle w:val="Tabletext"/>
            </w:pPr>
            <w:r w:rsidRPr="00283424">
              <w:t>10</w:t>
            </w:r>
          </w:p>
        </w:tc>
        <w:tc>
          <w:tcPr>
            <w:tcW w:w="3049" w:type="pct"/>
            <w:tcBorders>
              <w:bottom w:val="single" w:sz="4" w:space="0" w:color="auto"/>
            </w:tcBorders>
            <w:shd w:val="clear" w:color="auto" w:fill="auto"/>
          </w:tcPr>
          <w:p w14:paraId="25839E7C" w14:textId="77777777" w:rsidR="00E93F58" w:rsidRPr="00283424" w:rsidRDefault="00E93F58" w:rsidP="00EA0AFF">
            <w:pPr>
              <w:pStyle w:val="Tabletext"/>
            </w:pPr>
            <w:r w:rsidRPr="00283424">
              <w:t xml:space="preserve">The Queensland Law Society Professional Standards Scheme, approved as described in the </w:t>
            </w:r>
            <w:r w:rsidRPr="00283424">
              <w:rPr>
                <w:i/>
              </w:rPr>
              <w:t>Professional Standards (The Queensland Law Society Professional Standards Scheme) Notice 2021</w:t>
            </w:r>
            <w:r w:rsidRPr="00283424">
              <w:t xml:space="preserve"> (Qld), 17 December 2021</w:t>
            </w:r>
          </w:p>
          <w:p w14:paraId="4563C5FA" w14:textId="77777777" w:rsidR="00E93F58" w:rsidRPr="00283424" w:rsidRDefault="00E93F58" w:rsidP="00EA0AFF">
            <w:pPr>
              <w:pStyle w:val="notemargin"/>
              <w:rPr>
                <w:sz w:val="20"/>
              </w:rPr>
            </w:pPr>
            <w:r w:rsidRPr="00283424">
              <w:t>Note:</w:t>
            </w:r>
            <w:r w:rsidRPr="00283424">
              <w:tab/>
              <w:t xml:space="preserve">The Scheme was formerly the Queensland Law Society Professional Standards Scheme, approved as described in the </w:t>
            </w:r>
            <w:r w:rsidRPr="00283424">
              <w:rPr>
                <w:i/>
              </w:rPr>
              <w:t xml:space="preserve">Professional Standards (Queensland Law Society Professional Standards Scheme) Notice 2016 </w:t>
            </w:r>
            <w:r w:rsidRPr="00283424">
              <w:t>(Qld), 30 June 2016, including as modified by the extension published in the Queensland Government Gazette No. 63, 23 April 2021.</w:t>
            </w:r>
          </w:p>
        </w:tc>
        <w:tc>
          <w:tcPr>
            <w:tcW w:w="1495" w:type="pct"/>
            <w:tcBorders>
              <w:bottom w:val="single" w:sz="4" w:space="0" w:color="auto"/>
            </w:tcBorders>
            <w:shd w:val="clear" w:color="auto" w:fill="auto"/>
          </w:tcPr>
          <w:p w14:paraId="1FAEEAE1" w14:textId="77777777" w:rsidR="00E93F58" w:rsidRPr="00283424" w:rsidRDefault="00E93F58" w:rsidP="00EA0AFF">
            <w:pPr>
              <w:pStyle w:val="Tabletext"/>
              <w:rPr>
                <w:color w:val="000000"/>
              </w:rPr>
            </w:pPr>
            <w:r w:rsidRPr="00283424">
              <w:t>1 July 2022</w:t>
            </w:r>
          </w:p>
        </w:tc>
      </w:tr>
      <w:tr w:rsidR="00E93F58" w:rsidRPr="00283424" w14:paraId="554C1ECA" w14:textId="77777777" w:rsidTr="00EA0AFF">
        <w:tc>
          <w:tcPr>
            <w:tcW w:w="456" w:type="pct"/>
            <w:tcBorders>
              <w:top w:val="single" w:sz="4" w:space="0" w:color="auto"/>
              <w:bottom w:val="single" w:sz="4" w:space="0" w:color="auto"/>
            </w:tcBorders>
            <w:shd w:val="clear" w:color="auto" w:fill="auto"/>
          </w:tcPr>
          <w:p w14:paraId="78A9601D" w14:textId="77777777" w:rsidR="00E93F58" w:rsidRPr="00283424" w:rsidRDefault="00E93F58" w:rsidP="00EA0AFF">
            <w:pPr>
              <w:pStyle w:val="Tabletext"/>
              <w:rPr>
                <w:color w:val="000000"/>
              </w:rPr>
            </w:pPr>
            <w:r w:rsidRPr="00283424">
              <w:rPr>
                <w:color w:val="000000"/>
              </w:rPr>
              <w:t>12</w:t>
            </w:r>
          </w:p>
        </w:tc>
        <w:tc>
          <w:tcPr>
            <w:tcW w:w="3049" w:type="pct"/>
            <w:tcBorders>
              <w:top w:val="single" w:sz="4" w:space="0" w:color="auto"/>
              <w:bottom w:val="single" w:sz="4" w:space="0" w:color="auto"/>
            </w:tcBorders>
            <w:shd w:val="clear" w:color="auto" w:fill="auto"/>
          </w:tcPr>
          <w:p w14:paraId="14D934D8" w14:textId="77777777" w:rsidR="00E93F58" w:rsidRPr="00283424" w:rsidRDefault="00E93F58" w:rsidP="00EA0AFF">
            <w:pPr>
              <w:pStyle w:val="Tabletext"/>
              <w:rPr>
                <w:color w:val="000000"/>
              </w:rPr>
            </w:pPr>
            <w:r w:rsidRPr="00283424">
              <w:t>The Law Society of Western Australia Professional Standards Scheme, published in the Western Australian Government Gazette No. 62, 7 May 2019</w:t>
            </w:r>
          </w:p>
          <w:p w14:paraId="6BCD0321" w14:textId="77777777" w:rsidR="00E93F58" w:rsidRPr="00283424" w:rsidRDefault="00E93F58" w:rsidP="00EA0AFF">
            <w:pPr>
              <w:pStyle w:val="notemargin"/>
            </w:pPr>
            <w:r w:rsidRPr="00283424">
              <w:t>Note:</w:t>
            </w:r>
            <w:r w:rsidRPr="00283424">
              <w:tab/>
              <w:t xml:space="preserve">This Scheme was formerly the </w:t>
            </w:r>
            <w:r w:rsidRPr="00283424">
              <w:rPr>
                <w:color w:val="000000"/>
              </w:rPr>
              <w:t>Law Society of Western Australia Scheme, published in the Western Australian Government Gazette No. 54, 11 April 2014.</w:t>
            </w:r>
          </w:p>
        </w:tc>
        <w:tc>
          <w:tcPr>
            <w:tcW w:w="1495" w:type="pct"/>
            <w:tcBorders>
              <w:top w:val="single" w:sz="4" w:space="0" w:color="auto"/>
              <w:bottom w:val="single" w:sz="4" w:space="0" w:color="auto"/>
            </w:tcBorders>
            <w:shd w:val="clear" w:color="auto" w:fill="auto"/>
          </w:tcPr>
          <w:p w14:paraId="32FDFFD3" w14:textId="77777777" w:rsidR="00E93F58" w:rsidRPr="00283424" w:rsidRDefault="00E93F58" w:rsidP="00EA0AFF">
            <w:pPr>
              <w:pStyle w:val="Tabletext"/>
              <w:rPr>
                <w:color w:val="000000"/>
              </w:rPr>
            </w:pPr>
            <w:r w:rsidRPr="00283424">
              <w:t>22 October 2019</w:t>
            </w:r>
          </w:p>
        </w:tc>
      </w:tr>
      <w:tr w:rsidR="00E93F58" w:rsidRPr="00283424" w14:paraId="58397089" w14:textId="77777777" w:rsidTr="00EA0AFF">
        <w:trPr>
          <w:cantSplit/>
        </w:trPr>
        <w:tc>
          <w:tcPr>
            <w:tcW w:w="456" w:type="pct"/>
            <w:tcBorders>
              <w:top w:val="single" w:sz="4" w:space="0" w:color="auto"/>
              <w:bottom w:val="single" w:sz="4" w:space="0" w:color="auto"/>
            </w:tcBorders>
            <w:shd w:val="clear" w:color="auto" w:fill="auto"/>
          </w:tcPr>
          <w:p w14:paraId="6445FCC1" w14:textId="77777777" w:rsidR="00E93F58" w:rsidRPr="00283424" w:rsidRDefault="00E93F58" w:rsidP="00EA0AFF">
            <w:pPr>
              <w:pStyle w:val="Tabletext"/>
            </w:pPr>
            <w:r w:rsidRPr="00283424">
              <w:t>13</w:t>
            </w:r>
          </w:p>
        </w:tc>
        <w:tc>
          <w:tcPr>
            <w:tcW w:w="3049" w:type="pct"/>
            <w:tcBorders>
              <w:top w:val="single" w:sz="4" w:space="0" w:color="auto"/>
              <w:bottom w:val="single" w:sz="4" w:space="0" w:color="auto"/>
            </w:tcBorders>
            <w:shd w:val="clear" w:color="auto" w:fill="auto"/>
          </w:tcPr>
          <w:p w14:paraId="6BFE5BFE" w14:textId="77777777" w:rsidR="00E93F58" w:rsidRPr="00283424" w:rsidRDefault="00E93F58" w:rsidP="00EA0AFF">
            <w:pPr>
              <w:pStyle w:val="Tabletext"/>
            </w:pPr>
            <w:r w:rsidRPr="00283424">
              <w:t>The Western Australian Bar Association Professional Standards Scheme, published in the Western Australian Government Gazette No. 63, 24 April 2020</w:t>
            </w:r>
          </w:p>
          <w:p w14:paraId="181BFDFC" w14:textId="77777777" w:rsidR="00E93F58" w:rsidRPr="00283424" w:rsidRDefault="00E93F58" w:rsidP="00EA0AFF">
            <w:pPr>
              <w:pStyle w:val="notemargin"/>
            </w:pPr>
            <w:r w:rsidRPr="00283424">
              <w:t>Note:</w:t>
            </w:r>
            <w:r w:rsidRPr="00283424">
              <w:tab/>
              <w:t>This scheme was formerly the Western Australian Bar Association Scheme, published in the Western Australian Government Gazette No. 57, 17 April 2014, including as modified by the extension published in the Western Australian Government Gazette No. 196, 21 December 2018.</w:t>
            </w:r>
          </w:p>
        </w:tc>
        <w:tc>
          <w:tcPr>
            <w:tcW w:w="1495" w:type="pct"/>
            <w:tcBorders>
              <w:top w:val="single" w:sz="4" w:space="0" w:color="auto"/>
              <w:bottom w:val="single" w:sz="4" w:space="0" w:color="auto"/>
            </w:tcBorders>
            <w:shd w:val="clear" w:color="auto" w:fill="auto"/>
          </w:tcPr>
          <w:p w14:paraId="04EB76CE" w14:textId="77777777" w:rsidR="00E93F58" w:rsidRPr="00283424" w:rsidRDefault="00E93F58" w:rsidP="00EA0AFF">
            <w:pPr>
              <w:pStyle w:val="Tabletext"/>
            </w:pPr>
            <w:r w:rsidRPr="00283424">
              <w:rPr>
                <w:color w:val="000000"/>
              </w:rPr>
              <w:t>1 July 2020</w:t>
            </w:r>
          </w:p>
        </w:tc>
      </w:tr>
      <w:tr w:rsidR="00E93F58" w:rsidRPr="00283424" w14:paraId="389677CA" w14:textId="77777777" w:rsidTr="00EA0AFF">
        <w:tblPrEx>
          <w:tblBorders>
            <w:top w:val="none" w:sz="0" w:space="0" w:color="auto"/>
            <w:bottom w:val="none" w:sz="0" w:space="0" w:color="auto"/>
          </w:tblBorders>
          <w:tblLook w:val="0000" w:firstRow="0" w:lastRow="0" w:firstColumn="0" w:lastColumn="0" w:noHBand="0" w:noVBand="0"/>
        </w:tblPrEx>
        <w:tc>
          <w:tcPr>
            <w:tcW w:w="456" w:type="pct"/>
            <w:tcBorders>
              <w:top w:val="single" w:sz="4" w:space="0" w:color="auto"/>
              <w:bottom w:val="single" w:sz="4" w:space="0" w:color="auto"/>
            </w:tcBorders>
            <w:shd w:val="clear" w:color="auto" w:fill="auto"/>
          </w:tcPr>
          <w:p w14:paraId="2E9F1E59" w14:textId="77777777" w:rsidR="00E93F58" w:rsidRPr="00283424" w:rsidRDefault="00E93F58" w:rsidP="00EA0AFF">
            <w:pPr>
              <w:pStyle w:val="Tabletext"/>
              <w:rPr>
                <w:color w:val="000000"/>
              </w:rPr>
            </w:pPr>
            <w:r w:rsidRPr="00283424">
              <w:t>15</w:t>
            </w:r>
          </w:p>
        </w:tc>
        <w:tc>
          <w:tcPr>
            <w:tcW w:w="3049" w:type="pct"/>
            <w:tcBorders>
              <w:top w:val="single" w:sz="4" w:space="0" w:color="auto"/>
              <w:bottom w:val="single" w:sz="4" w:space="0" w:color="auto"/>
            </w:tcBorders>
          </w:tcPr>
          <w:p w14:paraId="295C095C" w14:textId="77777777" w:rsidR="00E93F58" w:rsidRPr="00283424" w:rsidRDefault="00E93F58" w:rsidP="00EA0AFF">
            <w:pPr>
              <w:pStyle w:val="Tabletext"/>
            </w:pPr>
            <w:r w:rsidRPr="00283424">
              <w:t>The Law Society of South Australia Professional Standards Scheme, published in the South Australian Government Gazette No. 5, 20 January 2022</w:t>
            </w:r>
          </w:p>
          <w:p w14:paraId="4ADFDDC5" w14:textId="77777777" w:rsidR="00E93F58" w:rsidRPr="00283424" w:rsidRDefault="00E93F58" w:rsidP="00EA0AFF">
            <w:pPr>
              <w:pStyle w:val="notemargin"/>
              <w:rPr>
                <w:color w:val="000000"/>
              </w:rPr>
            </w:pPr>
            <w:r w:rsidRPr="00283424">
              <w:t>Note:</w:t>
            </w:r>
            <w:r w:rsidRPr="00283424">
              <w:tab/>
              <w:t>This Scheme was formerly the Law Society of South Australia Professional Standards Scheme, published in the South Australian Government Gazette No. 21, 5 April 2017, including as modified by the amendments published in the South Australian Government Gazette No. 77, 21 November 2017.</w:t>
            </w:r>
          </w:p>
        </w:tc>
        <w:tc>
          <w:tcPr>
            <w:tcW w:w="1495" w:type="pct"/>
            <w:tcBorders>
              <w:top w:val="single" w:sz="4" w:space="0" w:color="auto"/>
              <w:bottom w:val="single" w:sz="4" w:space="0" w:color="auto"/>
            </w:tcBorders>
            <w:shd w:val="clear" w:color="auto" w:fill="auto"/>
          </w:tcPr>
          <w:p w14:paraId="094BB61F" w14:textId="77777777" w:rsidR="00E93F58" w:rsidRPr="00283424" w:rsidRDefault="00E93F58" w:rsidP="00EA0AFF">
            <w:pPr>
              <w:pStyle w:val="Tabletext"/>
              <w:keepNext/>
              <w:keepLines/>
              <w:rPr>
                <w:color w:val="000000"/>
              </w:rPr>
            </w:pPr>
            <w:r w:rsidRPr="00283424">
              <w:t>1 July 2022</w:t>
            </w:r>
          </w:p>
        </w:tc>
      </w:tr>
      <w:tr w:rsidR="00E93F58" w:rsidRPr="00283424" w:rsidDel="00ED51AA" w14:paraId="552EC08F" w14:textId="77777777" w:rsidTr="00EA0AFF">
        <w:tblPrEx>
          <w:tblBorders>
            <w:top w:val="none" w:sz="0" w:space="0" w:color="auto"/>
            <w:bottom w:val="none" w:sz="0" w:space="0" w:color="auto"/>
            <w:insideH w:val="none" w:sz="0" w:space="0" w:color="auto"/>
          </w:tblBorders>
        </w:tblPrEx>
        <w:tc>
          <w:tcPr>
            <w:tcW w:w="456" w:type="pct"/>
            <w:tcBorders>
              <w:top w:val="single" w:sz="2" w:space="0" w:color="auto"/>
            </w:tcBorders>
            <w:shd w:val="clear" w:color="auto" w:fill="auto"/>
          </w:tcPr>
          <w:p w14:paraId="7F7E4085" w14:textId="77777777" w:rsidR="00E93F58" w:rsidRPr="00283424" w:rsidRDefault="00E93F58" w:rsidP="00EA0AFF">
            <w:pPr>
              <w:pStyle w:val="Tabletext"/>
            </w:pPr>
            <w:r w:rsidRPr="00283424">
              <w:t>16</w:t>
            </w:r>
          </w:p>
        </w:tc>
        <w:tc>
          <w:tcPr>
            <w:tcW w:w="3049" w:type="pct"/>
            <w:tcBorders>
              <w:top w:val="single" w:sz="2" w:space="0" w:color="auto"/>
            </w:tcBorders>
            <w:shd w:val="clear" w:color="auto" w:fill="auto"/>
          </w:tcPr>
          <w:p w14:paraId="297E1ABD" w14:textId="77777777" w:rsidR="00E93F58" w:rsidRPr="00283424" w:rsidRDefault="00E93F58" w:rsidP="00EA0AFF">
            <w:pPr>
              <w:pStyle w:val="Tabletext"/>
            </w:pPr>
            <w:r w:rsidRPr="00283424">
              <w:t>The South Australian Bar Association Professional Standards Scheme, published in the South Australian Government Gazette No. 15, 10 March 2022</w:t>
            </w:r>
          </w:p>
          <w:p w14:paraId="65D49834" w14:textId="77777777" w:rsidR="00E93F58" w:rsidRPr="00283424" w:rsidRDefault="00E93F58" w:rsidP="00EA0AFF">
            <w:pPr>
              <w:pStyle w:val="notemargin"/>
            </w:pPr>
            <w:r w:rsidRPr="00283424">
              <w:t>Note:</w:t>
            </w:r>
            <w:r w:rsidRPr="00283424">
              <w:tab/>
              <w:t>This Scheme was formerly the South Australian Bar Association Inc Professional Standards Scheme, published in the South Australian Government Gazette No. 35, 30 May 2017.</w:t>
            </w:r>
          </w:p>
        </w:tc>
        <w:tc>
          <w:tcPr>
            <w:tcW w:w="1495" w:type="pct"/>
            <w:tcBorders>
              <w:top w:val="single" w:sz="2" w:space="0" w:color="auto"/>
            </w:tcBorders>
            <w:shd w:val="clear" w:color="auto" w:fill="auto"/>
          </w:tcPr>
          <w:p w14:paraId="27DFF109" w14:textId="77777777" w:rsidR="00E93F58" w:rsidRPr="00283424" w:rsidRDefault="00E93F58" w:rsidP="00EA0AFF">
            <w:pPr>
              <w:pStyle w:val="Tabletext"/>
              <w:rPr>
                <w:color w:val="000000"/>
              </w:rPr>
            </w:pPr>
            <w:r w:rsidRPr="00283424">
              <w:t>1 July 2022</w:t>
            </w:r>
          </w:p>
        </w:tc>
      </w:tr>
      <w:tr w:rsidR="00E93F58" w:rsidRPr="00283424" w:rsidDel="00855B0E" w14:paraId="5E6C5A41" w14:textId="77777777" w:rsidTr="00EA0AFF">
        <w:tblPrEx>
          <w:tblBorders>
            <w:top w:val="none" w:sz="0" w:space="0" w:color="auto"/>
            <w:bottom w:val="none" w:sz="0" w:space="0" w:color="auto"/>
            <w:insideH w:val="none" w:sz="0" w:space="0" w:color="auto"/>
          </w:tblBorders>
          <w:shd w:val="clear" w:color="auto" w:fill="FFFFFF"/>
        </w:tblPrEx>
        <w:trPr>
          <w:cantSplit/>
        </w:trPr>
        <w:tc>
          <w:tcPr>
            <w:tcW w:w="456" w:type="pct"/>
            <w:tcBorders>
              <w:top w:val="single" w:sz="4" w:space="0" w:color="auto"/>
              <w:bottom w:val="single" w:sz="4" w:space="0" w:color="auto"/>
            </w:tcBorders>
            <w:shd w:val="clear" w:color="auto" w:fill="FFFFFF"/>
          </w:tcPr>
          <w:p w14:paraId="7D9E0310" w14:textId="77777777" w:rsidR="00E93F58" w:rsidRPr="00283424" w:rsidDel="00855B0E" w:rsidRDefault="00E93F58" w:rsidP="00EA0AFF">
            <w:pPr>
              <w:pStyle w:val="Tabletext"/>
              <w:rPr>
                <w:color w:val="000000"/>
              </w:rPr>
            </w:pPr>
            <w:r w:rsidRPr="00283424">
              <w:t>19</w:t>
            </w:r>
          </w:p>
        </w:tc>
        <w:tc>
          <w:tcPr>
            <w:tcW w:w="3049" w:type="pct"/>
            <w:tcBorders>
              <w:top w:val="single" w:sz="4" w:space="0" w:color="auto"/>
              <w:bottom w:val="single" w:sz="4" w:space="0" w:color="auto"/>
            </w:tcBorders>
            <w:shd w:val="clear" w:color="auto" w:fill="FFFFFF"/>
          </w:tcPr>
          <w:p w14:paraId="31E88A34" w14:textId="77777777" w:rsidR="00E93F58" w:rsidRPr="00283424" w:rsidRDefault="00E93F58" w:rsidP="00EA0AFF">
            <w:pPr>
              <w:pStyle w:val="Tabletext"/>
            </w:pPr>
            <w:r w:rsidRPr="00283424">
              <w:t>The Institute of Public Accountants Professional Standards Scheme, published in the Victoria Government Gazette No. S 598, 27 October 2021</w:t>
            </w:r>
          </w:p>
          <w:p w14:paraId="410ABD70" w14:textId="77777777" w:rsidR="00E93F58" w:rsidRPr="00283424" w:rsidDel="00855B0E" w:rsidRDefault="00E93F58" w:rsidP="00EA0AFF">
            <w:pPr>
              <w:pStyle w:val="notemargin"/>
            </w:pPr>
            <w:r w:rsidRPr="00283424">
              <w:t>Note:</w:t>
            </w:r>
            <w:r w:rsidRPr="00283424">
              <w:tab/>
              <w:t>This Scheme was formerly the Institute of Public Accountants Professional Standards Scheme, published in the Victoria Government Gazette No. G 42, 18 October 2018, including as modified by the extension published in the Victoria Government Gazette No. S 695, 24 December 2020.</w:t>
            </w:r>
          </w:p>
        </w:tc>
        <w:tc>
          <w:tcPr>
            <w:tcW w:w="1495" w:type="pct"/>
            <w:tcBorders>
              <w:top w:val="single" w:sz="4" w:space="0" w:color="auto"/>
              <w:bottom w:val="single" w:sz="4" w:space="0" w:color="auto"/>
            </w:tcBorders>
            <w:shd w:val="clear" w:color="auto" w:fill="FFFFFF"/>
          </w:tcPr>
          <w:p w14:paraId="541255A4" w14:textId="77777777" w:rsidR="00E93F58" w:rsidRPr="00283424" w:rsidDel="00855B0E" w:rsidRDefault="00E93F58" w:rsidP="00EA0AFF">
            <w:pPr>
              <w:pStyle w:val="Tabletext"/>
            </w:pPr>
            <w:r w:rsidRPr="00283424">
              <w:rPr>
                <w:color w:val="000000"/>
              </w:rPr>
              <w:t>22 March 2022</w:t>
            </w:r>
          </w:p>
        </w:tc>
      </w:tr>
      <w:tr w:rsidR="00E93F58" w:rsidRPr="00283424" w14:paraId="6C752D39" w14:textId="77777777" w:rsidTr="00EA0AFF">
        <w:tblPrEx>
          <w:tblLook w:val="0000" w:firstRow="0" w:lastRow="0" w:firstColumn="0" w:lastColumn="0" w:noHBand="0" w:noVBand="0"/>
        </w:tblPrEx>
        <w:tc>
          <w:tcPr>
            <w:tcW w:w="456" w:type="pct"/>
            <w:tcBorders>
              <w:top w:val="single" w:sz="4" w:space="0" w:color="auto"/>
              <w:bottom w:val="single" w:sz="4" w:space="0" w:color="auto"/>
            </w:tcBorders>
            <w:shd w:val="clear" w:color="auto" w:fill="auto"/>
          </w:tcPr>
          <w:p w14:paraId="7DCF5C1B" w14:textId="77777777" w:rsidR="00E93F58" w:rsidRPr="00283424" w:rsidRDefault="00E93F58" w:rsidP="00EA0AFF">
            <w:pPr>
              <w:pStyle w:val="Tabletext"/>
              <w:rPr>
                <w:color w:val="000000"/>
              </w:rPr>
            </w:pPr>
            <w:r w:rsidRPr="00283424">
              <w:t>20</w:t>
            </w:r>
          </w:p>
        </w:tc>
        <w:tc>
          <w:tcPr>
            <w:tcW w:w="3049" w:type="pct"/>
            <w:tcBorders>
              <w:top w:val="single" w:sz="4" w:space="0" w:color="auto"/>
              <w:bottom w:val="single" w:sz="4" w:space="0" w:color="auto"/>
            </w:tcBorders>
            <w:shd w:val="clear" w:color="auto" w:fill="auto"/>
          </w:tcPr>
          <w:p w14:paraId="170D789D" w14:textId="77777777" w:rsidR="00E93F58" w:rsidRPr="00283424" w:rsidRDefault="00E93F58" w:rsidP="00EA0AFF">
            <w:pPr>
              <w:pStyle w:val="Tabletext"/>
            </w:pPr>
            <w:r w:rsidRPr="00283424">
              <w:rPr>
                <w:color w:val="000000"/>
              </w:rPr>
              <w:t xml:space="preserve">The Association of Consulting Surveyors National Professional Standards Scheme, published in the </w:t>
            </w:r>
            <w:r w:rsidRPr="00283424">
              <w:t>New South Wales</w:t>
            </w:r>
            <w:r w:rsidRPr="00283424">
              <w:rPr>
                <w:color w:val="000000"/>
              </w:rPr>
              <w:t xml:space="preserve"> Government Gazette No. 90, 1 May 2020</w:t>
            </w:r>
          </w:p>
        </w:tc>
        <w:tc>
          <w:tcPr>
            <w:tcW w:w="1495" w:type="pct"/>
            <w:tcBorders>
              <w:top w:val="single" w:sz="4" w:space="0" w:color="auto"/>
              <w:bottom w:val="single" w:sz="4" w:space="0" w:color="auto"/>
            </w:tcBorders>
            <w:shd w:val="clear" w:color="auto" w:fill="auto"/>
          </w:tcPr>
          <w:p w14:paraId="7AD8DBCC" w14:textId="77777777" w:rsidR="00E93F58" w:rsidRPr="00283424" w:rsidRDefault="00E93F58" w:rsidP="00EA0AFF">
            <w:pPr>
              <w:pStyle w:val="Tabletext"/>
            </w:pPr>
            <w:r w:rsidRPr="00283424">
              <w:rPr>
                <w:color w:val="000000"/>
              </w:rPr>
              <w:t>1 July 2020</w:t>
            </w:r>
          </w:p>
        </w:tc>
      </w:tr>
      <w:tr w:rsidR="00E93F58" w:rsidRPr="00283424" w14:paraId="31207EFA" w14:textId="77777777" w:rsidTr="00EA0AFF">
        <w:tblPrEx>
          <w:tblBorders>
            <w:top w:val="none" w:sz="0" w:space="0" w:color="auto"/>
            <w:bottom w:val="none" w:sz="0" w:space="0" w:color="auto"/>
          </w:tblBorders>
          <w:tblLook w:val="0000" w:firstRow="0" w:lastRow="0" w:firstColumn="0" w:lastColumn="0" w:noHBand="0" w:noVBand="0"/>
        </w:tblPrEx>
        <w:tc>
          <w:tcPr>
            <w:tcW w:w="456" w:type="pct"/>
            <w:tcBorders>
              <w:top w:val="single" w:sz="4" w:space="0" w:color="auto"/>
              <w:bottom w:val="single" w:sz="12" w:space="0" w:color="auto"/>
            </w:tcBorders>
            <w:shd w:val="clear" w:color="auto" w:fill="auto"/>
          </w:tcPr>
          <w:p w14:paraId="6654D752" w14:textId="77777777" w:rsidR="00E93F58" w:rsidRPr="00283424" w:rsidRDefault="00E93F58" w:rsidP="00EA0AFF">
            <w:pPr>
              <w:pStyle w:val="Tabletext"/>
            </w:pPr>
            <w:r w:rsidRPr="00283424">
              <w:t>21</w:t>
            </w:r>
          </w:p>
        </w:tc>
        <w:tc>
          <w:tcPr>
            <w:tcW w:w="3049" w:type="pct"/>
            <w:tcBorders>
              <w:top w:val="single" w:sz="4" w:space="0" w:color="auto"/>
              <w:bottom w:val="single" w:sz="12" w:space="0" w:color="auto"/>
            </w:tcBorders>
            <w:shd w:val="clear" w:color="auto" w:fill="auto"/>
          </w:tcPr>
          <w:p w14:paraId="5FD5491E" w14:textId="77777777" w:rsidR="00E93F58" w:rsidRPr="00283424" w:rsidRDefault="00E93F58" w:rsidP="00EA0AFF">
            <w:pPr>
              <w:pStyle w:val="Tabletext"/>
              <w:rPr>
                <w:color w:val="000000"/>
              </w:rPr>
            </w:pPr>
            <w:r w:rsidRPr="00283424">
              <w:t>The Australian Property Institute Valuers Limited Professional Standards Scheme, published in the New South Wales Government Gazette No. 214, 21 May 2021</w:t>
            </w:r>
          </w:p>
        </w:tc>
        <w:tc>
          <w:tcPr>
            <w:tcW w:w="1495" w:type="pct"/>
            <w:tcBorders>
              <w:top w:val="single" w:sz="4" w:space="0" w:color="auto"/>
              <w:bottom w:val="single" w:sz="12" w:space="0" w:color="auto"/>
            </w:tcBorders>
            <w:shd w:val="clear" w:color="auto" w:fill="auto"/>
          </w:tcPr>
          <w:p w14:paraId="1462E60F" w14:textId="77777777" w:rsidR="00E93F58" w:rsidRPr="00283424" w:rsidRDefault="00E93F58" w:rsidP="00EA0AFF">
            <w:pPr>
              <w:pStyle w:val="Tabletext"/>
            </w:pPr>
            <w:r w:rsidRPr="00283424">
              <w:rPr>
                <w:color w:val="000000"/>
              </w:rPr>
              <w:t>1 September 2021</w:t>
            </w:r>
          </w:p>
        </w:tc>
      </w:tr>
    </w:tbl>
    <w:p w14:paraId="46B41922" w14:textId="77777777" w:rsidR="00E93F58" w:rsidRPr="00283424" w:rsidRDefault="00E93F58" w:rsidP="00B50726">
      <w:pPr>
        <w:pStyle w:val="ActHead5"/>
      </w:pPr>
      <w:bookmarkStart w:id="2035" w:name="_Toc152054993"/>
      <w:bookmarkStart w:id="2036" w:name="_Toc158712809"/>
      <w:r w:rsidRPr="006F296E">
        <w:rPr>
          <w:rStyle w:val="CharSectno"/>
        </w:rPr>
        <w:t>7.10.03</w:t>
      </w:r>
      <w:r w:rsidRPr="00283424">
        <w:t xml:space="preserve">  Exemption for market participants of qualifying gas trading exchange</w:t>
      </w:r>
      <w:bookmarkEnd w:id="2035"/>
      <w:bookmarkEnd w:id="2036"/>
    </w:p>
    <w:p w14:paraId="0634FECD" w14:textId="77777777" w:rsidR="00E93F58" w:rsidRPr="00283424" w:rsidRDefault="00E93F58" w:rsidP="00B50726">
      <w:pPr>
        <w:pStyle w:val="subsection"/>
      </w:pPr>
      <w:r w:rsidRPr="00283424">
        <w:tab/>
      </w:r>
      <w:r w:rsidRPr="00283424">
        <w:tab/>
        <w:t>For paragraph 1045A(1)(a) of the Act, a person is exempt from Part 7.10 of the Act if the person:</w:t>
      </w:r>
    </w:p>
    <w:p w14:paraId="3A1FC2F5" w14:textId="77777777" w:rsidR="00E93F58" w:rsidRPr="00283424" w:rsidRDefault="00E93F58" w:rsidP="00B50726">
      <w:pPr>
        <w:pStyle w:val="paragraph"/>
      </w:pPr>
      <w:r w:rsidRPr="00283424">
        <w:tab/>
        <w:t>(a)</w:t>
      </w:r>
      <w:r w:rsidRPr="00283424">
        <w:tab/>
        <w:t>is a participant in relation to a qualifying gas trading exchange; and</w:t>
      </w:r>
    </w:p>
    <w:p w14:paraId="6F870B97" w14:textId="77777777" w:rsidR="00E93F58" w:rsidRPr="00283424" w:rsidRDefault="00E93F58" w:rsidP="00B50726">
      <w:pPr>
        <w:pStyle w:val="paragraph"/>
      </w:pPr>
      <w:r w:rsidRPr="00283424">
        <w:tab/>
        <w:t>(b)</w:t>
      </w:r>
      <w:r w:rsidRPr="00283424">
        <w:tab/>
        <w:t>is engaging in trading activities in relation to qualifying gas exchange products on a qualifying gas trading exchange.</w:t>
      </w:r>
    </w:p>
    <w:p w14:paraId="2AD490D9" w14:textId="77777777" w:rsidR="00E93F58" w:rsidRPr="006E341F" w:rsidRDefault="00E93F58" w:rsidP="00922F3C">
      <w:pPr>
        <w:pStyle w:val="ActHead2"/>
        <w:pageBreakBefore/>
      </w:pPr>
      <w:bookmarkStart w:id="2037" w:name="_Toc152054994"/>
      <w:bookmarkStart w:id="2038" w:name="_Toc158712810"/>
      <w:r w:rsidRPr="006F296E">
        <w:rPr>
          <w:rStyle w:val="CharPartNo"/>
        </w:rPr>
        <w:lastRenderedPageBreak/>
        <w:t>Part 7.10B</w:t>
      </w:r>
      <w:r w:rsidRPr="006E341F">
        <w:t>—</w:t>
      </w:r>
      <w:r w:rsidRPr="006F296E">
        <w:rPr>
          <w:rStyle w:val="CharPartText"/>
        </w:rPr>
        <w:t>Financial services compensation scheme of last resort</w:t>
      </w:r>
      <w:bookmarkEnd w:id="2037"/>
      <w:bookmarkEnd w:id="2038"/>
    </w:p>
    <w:p w14:paraId="37C5AB60" w14:textId="77777777" w:rsidR="00E93F58" w:rsidRPr="00797B1A" w:rsidRDefault="00E93F58" w:rsidP="00621847">
      <w:pPr>
        <w:pStyle w:val="Header"/>
      </w:pPr>
      <w:r w:rsidRPr="006F296E">
        <w:rPr>
          <w:rStyle w:val="CharDivNo"/>
        </w:rPr>
        <w:t xml:space="preserve"> </w:t>
      </w:r>
      <w:r w:rsidRPr="006F296E">
        <w:rPr>
          <w:rStyle w:val="CharDivText"/>
        </w:rPr>
        <w:t xml:space="preserve"> </w:t>
      </w:r>
    </w:p>
    <w:p w14:paraId="354C53D9" w14:textId="77777777" w:rsidR="00E93F58" w:rsidRPr="006E341F" w:rsidRDefault="00E93F58" w:rsidP="00621847">
      <w:pPr>
        <w:pStyle w:val="ActHead5"/>
      </w:pPr>
      <w:bookmarkStart w:id="2039" w:name="_Toc152054995"/>
      <w:bookmarkStart w:id="2040" w:name="_Toc158712811"/>
      <w:r w:rsidRPr="006F296E">
        <w:rPr>
          <w:rStyle w:val="CharSectno"/>
        </w:rPr>
        <w:t>7.10B.50</w:t>
      </w:r>
      <w:r w:rsidRPr="006E341F">
        <w:t xml:space="preserve">  Reporting by CSLR operator if sub</w:t>
      </w:r>
      <w:r>
        <w:noBreakHyphen/>
      </w:r>
      <w:r w:rsidRPr="006E341F">
        <w:t>sector levy cap could be exceeded (or further exceeded)</w:t>
      </w:r>
      <w:bookmarkEnd w:id="2039"/>
      <w:bookmarkEnd w:id="2040"/>
    </w:p>
    <w:p w14:paraId="4C397ABB" w14:textId="77777777" w:rsidR="00E93F58" w:rsidRPr="006E341F" w:rsidRDefault="00E93F58" w:rsidP="00621847">
      <w:pPr>
        <w:pStyle w:val="subsection"/>
      </w:pPr>
      <w:r w:rsidRPr="006E341F">
        <w:tab/>
      </w:r>
      <w:r w:rsidRPr="006E341F">
        <w:tab/>
        <w:t>For the purposes of subsection 1069F(4) of the Act, the following information is prescribed for a notice about a revised claims, fees and costs estimate for a levy period and a sub</w:t>
      </w:r>
      <w:r>
        <w:noBreakHyphen/>
      </w:r>
      <w:r w:rsidRPr="006E341F">
        <w:t>sector that has come into force and could cause the sub</w:t>
      </w:r>
      <w:r>
        <w:noBreakHyphen/>
      </w:r>
      <w:r w:rsidRPr="006E341F">
        <w:t>sector levy cap for the levy period and sub</w:t>
      </w:r>
      <w:r>
        <w:noBreakHyphen/>
      </w:r>
      <w:r w:rsidRPr="006E341F">
        <w:t>sector to be exceeded (or further exceeded):</w:t>
      </w:r>
    </w:p>
    <w:p w14:paraId="54263C09" w14:textId="77777777" w:rsidR="00E93F58" w:rsidRPr="006E341F" w:rsidRDefault="00E93F58" w:rsidP="00621847">
      <w:pPr>
        <w:pStyle w:val="paragraph"/>
      </w:pPr>
      <w:r w:rsidRPr="006E341F">
        <w:tab/>
        <w:t>(a)</w:t>
      </w:r>
      <w:r w:rsidRPr="006E341F">
        <w:tab/>
        <w:t>the number of applications made under section 1066 of the Act that underpin the revised estimate;</w:t>
      </w:r>
    </w:p>
    <w:p w14:paraId="59DA18E2" w14:textId="77777777" w:rsidR="00E93F58" w:rsidRPr="006E341F" w:rsidRDefault="00E93F58" w:rsidP="00621847">
      <w:pPr>
        <w:pStyle w:val="paragraph"/>
      </w:pPr>
      <w:r w:rsidRPr="006E341F">
        <w:tab/>
        <w:t>(b)</w:t>
      </w:r>
      <w:r w:rsidRPr="006E341F">
        <w:tab/>
        <w:t>the total amount of compensation that (having regard to actuarial principles) will be payable under section 1063 of the Act for those applications;</w:t>
      </w:r>
    </w:p>
    <w:p w14:paraId="1EF97A5C" w14:textId="77777777" w:rsidR="00E93F58" w:rsidRPr="006E341F" w:rsidRDefault="00E93F58" w:rsidP="00621847">
      <w:pPr>
        <w:pStyle w:val="paragraph"/>
      </w:pPr>
      <w:r w:rsidRPr="006E341F">
        <w:tab/>
        <w:t>(c)</w:t>
      </w:r>
      <w:r w:rsidRPr="006E341F">
        <w:tab/>
        <w:t>the portion of the sum of AFCA’s unpaid fees that (having regard to actuarial principles) will be attributable to the sub</w:t>
      </w:r>
      <w:r>
        <w:noBreakHyphen/>
      </w:r>
      <w:r w:rsidRPr="006E341F">
        <w:t>sector and that underpins the revised estimate.</w:t>
      </w:r>
    </w:p>
    <w:p w14:paraId="63D7D03F" w14:textId="77777777" w:rsidR="00E93F58" w:rsidRPr="006E341F" w:rsidRDefault="00E93F58" w:rsidP="00621847">
      <w:pPr>
        <w:pStyle w:val="ActHead5"/>
      </w:pPr>
      <w:bookmarkStart w:id="2041" w:name="_Toc152054996"/>
      <w:bookmarkStart w:id="2042" w:name="_Toc158712812"/>
      <w:r w:rsidRPr="006F296E">
        <w:rPr>
          <w:rStyle w:val="CharSectno"/>
        </w:rPr>
        <w:t>7.10B.55</w:t>
      </w:r>
      <w:r w:rsidRPr="006E341F">
        <w:t xml:space="preserve">  Reporting by CSLR operator after the end of each levy period</w:t>
      </w:r>
      <w:bookmarkEnd w:id="2041"/>
      <w:bookmarkEnd w:id="2042"/>
    </w:p>
    <w:p w14:paraId="695CDCE5" w14:textId="77777777" w:rsidR="00E93F58" w:rsidRPr="006E341F" w:rsidRDefault="00E93F58" w:rsidP="00621847">
      <w:pPr>
        <w:pStyle w:val="subsection"/>
      </w:pPr>
      <w:r w:rsidRPr="006E341F">
        <w:tab/>
      </w:r>
      <w:r w:rsidRPr="006E341F">
        <w:tab/>
        <w:t>For the purposes of subsection 1069G(1) of the Act, the following matters are prescribed for a report for a levy period:</w:t>
      </w:r>
    </w:p>
    <w:p w14:paraId="2A933F7E" w14:textId="77777777" w:rsidR="00E93F58" w:rsidRPr="006E341F" w:rsidRDefault="00E93F58" w:rsidP="00621847">
      <w:pPr>
        <w:pStyle w:val="paragraph"/>
      </w:pPr>
      <w:r w:rsidRPr="006E341F">
        <w:tab/>
        <w:t>(a)</w:t>
      </w:r>
      <w:r w:rsidRPr="006E341F">
        <w:tab/>
        <w:t>the CSLR operator’s estimate of the costs for the financial services compensation scheme of last resort for the levy period, including the following:</w:t>
      </w:r>
    </w:p>
    <w:p w14:paraId="6DF799BD" w14:textId="77777777" w:rsidR="00E93F58" w:rsidRPr="006E341F" w:rsidRDefault="00E93F58" w:rsidP="00621847">
      <w:pPr>
        <w:pStyle w:val="paragraphsub"/>
      </w:pPr>
      <w:r w:rsidRPr="006E341F">
        <w:tab/>
        <w:t>(i)</w:t>
      </w:r>
      <w:r w:rsidRPr="006E341F">
        <w:tab/>
        <w:t xml:space="preserve">each claims, fees and costs estimate (within the meaning of the </w:t>
      </w:r>
      <w:r w:rsidRPr="006E341F">
        <w:rPr>
          <w:i/>
        </w:rPr>
        <w:t>Financial Services Compensation Scheme of Last Resort Levy (Collection) Act 2023</w:t>
      </w:r>
      <w:r w:rsidRPr="006E341F">
        <w:t>) for the levy period;</w:t>
      </w:r>
    </w:p>
    <w:p w14:paraId="4ED1E71D" w14:textId="77777777" w:rsidR="00E93F58" w:rsidRPr="006E341F" w:rsidRDefault="00E93F58" w:rsidP="00621847">
      <w:pPr>
        <w:pStyle w:val="paragraphsub"/>
      </w:pPr>
      <w:r w:rsidRPr="006E341F">
        <w:tab/>
        <w:t>(ii)</w:t>
      </w:r>
      <w:r w:rsidRPr="006E341F">
        <w:tab/>
        <w:t>for the first levy period—the estimate under section 11 of that Act;</w:t>
      </w:r>
    </w:p>
    <w:p w14:paraId="659C1C53" w14:textId="77777777" w:rsidR="00E93F58" w:rsidRPr="006E341F" w:rsidRDefault="00E93F58" w:rsidP="00621847">
      <w:pPr>
        <w:pStyle w:val="paragraphsub"/>
      </w:pPr>
      <w:r w:rsidRPr="006E341F">
        <w:tab/>
        <w:t>(iii)</w:t>
      </w:r>
      <w:r w:rsidRPr="006E341F">
        <w:tab/>
        <w:t>for each of the first 4 levy periods—any revised estimate under section 12 of that Act that is made before the time of preparing the report and that has not been included in an earlier report;</w:t>
      </w:r>
    </w:p>
    <w:p w14:paraId="30F77F5C" w14:textId="77777777" w:rsidR="00E93F58" w:rsidRPr="006E341F" w:rsidRDefault="00E93F58" w:rsidP="00621847">
      <w:pPr>
        <w:pStyle w:val="paragraph"/>
      </w:pPr>
      <w:r w:rsidRPr="006E341F">
        <w:tab/>
        <w:t>(b)</w:t>
      </w:r>
      <w:r w:rsidRPr="006E341F">
        <w:tab/>
        <w:t>the CSLR operator’s approach to determining each of these estimates;</w:t>
      </w:r>
    </w:p>
    <w:p w14:paraId="21DDB2C8" w14:textId="77777777" w:rsidR="00E93F58" w:rsidRPr="006E341F" w:rsidRDefault="00E93F58" w:rsidP="00621847">
      <w:pPr>
        <w:pStyle w:val="paragraph"/>
      </w:pPr>
      <w:r w:rsidRPr="006E341F">
        <w:tab/>
        <w:t>(c)</w:t>
      </w:r>
      <w:r w:rsidRPr="006E341F">
        <w:tab/>
        <w:t>the number of applications made under section 1066 of the Act during the levy period;</w:t>
      </w:r>
    </w:p>
    <w:p w14:paraId="51206BA3" w14:textId="77777777" w:rsidR="00E93F58" w:rsidRPr="006E341F" w:rsidRDefault="00E93F58" w:rsidP="00621847">
      <w:pPr>
        <w:pStyle w:val="paragraph"/>
      </w:pPr>
      <w:r w:rsidRPr="006E341F">
        <w:tab/>
        <w:t>(d)</w:t>
      </w:r>
      <w:r w:rsidRPr="006E341F">
        <w:tab/>
        <w:t>the number of payments of amounts of compensation under section 1063 of the Act during the levy period, and the total of those amounts;</w:t>
      </w:r>
    </w:p>
    <w:p w14:paraId="63CE22E8" w14:textId="77777777" w:rsidR="00E93F58" w:rsidRPr="006E341F" w:rsidRDefault="00E93F58" w:rsidP="00621847">
      <w:pPr>
        <w:pStyle w:val="paragraph"/>
      </w:pPr>
      <w:r w:rsidRPr="006E341F">
        <w:tab/>
        <w:t>(e)</w:t>
      </w:r>
      <w:r w:rsidRPr="006E341F">
        <w:tab/>
        <w:t>the number of applications made under section 1066 of the Act by persons during the levy period for which the persons are not eligible under section 1064 of the Act for compensation;</w:t>
      </w:r>
    </w:p>
    <w:p w14:paraId="761DFE30" w14:textId="77777777" w:rsidR="00E93F58" w:rsidRPr="006E341F" w:rsidRDefault="00E93F58" w:rsidP="00621847">
      <w:pPr>
        <w:pStyle w:val="paragraph"/>
      </w:pPr>
      <w:r w:rsidRPr="006E341F">
        <w:tab/>
        <w:t>(f)</w:t>
      </w:r>
      <w:r w:rsidRPr="006E341F">
        <w:tab/>
        <w:t>the number of applications made under section 1066 of the Act by persons during the levy period for which, at the time of preparing the report, it is too early for the persons to be notified under section 1068 of the Act of:</w:t>
      </w:r>
    </w:p>
    <w:p w14:paraId="77AD6475" w14:textId="77777777" w:rsidR="00E93F58" w:rsidRPr="006E341F" w:rsidRDefault="00E93F58" w:rsidP="00621847">
      <w:pPr>
        <w:pStyle w:val="paragraphsub"/>
      </w:pPr>
      <w:r w:rsidRPr="006E341F">
        <w:tab/>
        <w:t>(i)</w:t>
      </w:r>
      <w:r w:rsidRPr="006E341F">
        <w:tab/>
        <w:t>offers of compensation; or</w:t>
      </w:r>
    </w:p>
    <w:p w14:paraId="51F3C16E" w14:textId="77777777" w:rsidR="00E93F58" w:rsidRPr="006E341F" w:rsidRDefault="00E93F58" w:rsidP="00621847">
      <w:pPr>
        <w:pStyle w:val="paragraphsub"/>
      </w:pPr>
      <w:r w:rsidRPr="006E341F">
        <w:tab/>
        <w:t>(ii)</w:t>
      </w:r>
      <w:r w:rsidRPr="006E341F">
        <w:tab/>
        <w:t>ineligibility for compensation;</w:t>
      </w:r>
    </w:p>
    <w:p w14:paraId="0F508C94" w14:textId="77777777" w:rsidR="00E93F58" w:rsidRPr="006E341F" w:rsidRDefault="00E93F58" w:rsidP="00621847">
      <w:pPr>
        <w:pStyle w:val="paragraph"/>
      </w:pPr>
      <w:r w:rsidRPr="006E341F">
        <w:tab/>
        <w:t>(g)</w:t>
      </w:r>
      <w:r w:rsidRPr="006E341F">
        <w:tab/>
        <w:t>the average time taken after the CSLR operator receives an application made under section 1066 of the Act by a person during the levy period for the CSLR operator to notify the person under section 1068 of the Act:</w:t>
      </w:r>
    </w:p>
    <w:p w14:paraId="202DC7A9" w14:textId="77777777" w:rsidR="00E93F58" w:rsidRPr="006E341F" w:rsidRDefault="00E93F58" w:rsidP="00621847">
      <w:pPr>
        <w:pStyle w:val="paragraphsub"/>
      </w:pPr>
      <w:r w:rsidRPr="006E341F">
        <w:tab/>
        <w:t>(i)</w:t>
      </w:r>
      <w:r w:rsidRPr="006E341F">
        <w:tab/>
        <w:t>of an offer of compensation; or</w:t>
      </w:r>
    </w:p>
    <w:p w14:paraId="17515339" w14:textId="77777777" w:rsidR="00E93F58" w:rsidRPr="006E341F" w:rsidRDefault="00E93F58" w:rsidP="00621847">
      <w:pPr>
        <w:pStyle w:val="paragraphsub"/>
      </w:pPr>
      <w:r w:rsidRPr="006E341F">
        <w:tab/>
        <w:t>(ii)</w:t>
      </w:r>
      <w:r w:rsidRPr="006E341F">
        <w:tab/>
        <w:t>that the person is not eligible for compensation;</w:t>
      </w:r>
    </w:p>
    <w:p w14:paraId="25F2675C" w14:textId="77777777" w:rsidR="00E93F58" w:rsidRPr="006E341F" w:rsidRDefault="00E93F58" w:rsidP="00621847">
      <w:pPr>
        <w:pStyle w:val="paragraph"/>
      </w:pPr>
      <w:r w:rsidRPr="006E341F">
        <w:tab/>
        <w:t>(h)</w:t>
      </w:r>
      <w:r w:rsidRPr="006E341F">
        <w:tab/>
        <w:t>an analysis of the applications made under section 1066 of the Act during the levy period that includes details of:</w:t>
      </w:r>
    </w:p>
    <w:p w14:paraId="5F73E9FE" w14:textId="77777777" w:rsidR="00E93F58" w:rsidRPr="006E341F" w:rsidRDefault="00E93F58" w:rsidP="00621847">
      <w:pPr>
        <w:pStyle w:val="paragraphsub"/>
      </w:pPr>
      <w:r w:rsidRPr="006E341F">
        <w:tab/>
        <w:t>(i)</w:t>
      </w:r>
      <w:r w:rsidRPr="006E341F">
        <w:tab/>
        <w:t>the kinds of products or services covered by the relevant AFCA determinations to which the applications relate; and</w:t>
      </w:r>
    </w:p>
    <w:p w14:paraId="7CE4B09A" w14:textId="77777777" w:rsidR="00E93F58" w:rsidRPr="006E341F" w:rsidRDefault="00E93F58" w:rsidP="00621847">
      <w:pPr>
        <w:pStyle w:val="paragraphsub"/>
      </w:pPr>
      <w:r w:rsidRPr="006E341F">
        <w:tab/>
        <w:t>(ii)</w:t>
      </w:r>
      <w:r w:rsidRPr="006E341F">
        <w:tab/>
        <w:t>the kinds of providers of those products or services; and</w:t>
      </w:r>
    </w:p>
    <w:p w14:paraId="6C580365" w14:textId="77777777" w:rsidR="00E93F58" w:rsidRPr="006E341F" w:rsidRDefault="00E93F58" w:rsidP="00621847">
      <w:pPr>
        <w:pStyle w:val="paragraphsub"/>
      </w:pPr>
      <w:r w:rsidRPr="006E341F">
        <w:tab/>
        <w:t>(iii)</w:t>
      </w:r>
      <w:r w:rsidRPr="006E341F">
        <w:tab/>
        <w:t>any patterns or trends;</w:t>
      </w:r>
    </w:p>
    <w:p w14:paraId="078738D9" w14:textId="77777777" w:rsidR="00E93F58" w:rsidRPr="006E341F" w:rsidRDefault="00E93F58" w:rsidP="00621847">
      <w:pPr>
        <w:pStyle w:val="paragraph"/>
      </w:pPr>
      <w:r w:rsidRPr="006E341F">
        <w:tab/>
        <w:t>(i)</w:t>
      </w:r>
      <w:r w:rsidRPr="006E341F">
        <w:tab/>
        <w:t>the number of notifications under subsection 1069F(3) of the Act (about a sub</w:t>
      </w:r>
      <w:r>
        <w:noBreakHyphen/>
      </w:r>
      <w:r w:rsidRPr="006E341F">
        <w:t>sector levy cap being exceeded (or further exceeded)) during the levy period;</w:t>
      </w:r>
    </w:p>
    <w:p w14:paraId="699C99BF" w14:textId="77777777" w:rsidR="00E93F58" w:rsidRPr="006E341F" w:rsidRDefault="00E93F58" w:rsidP="00621847">
      <w:pPr>
        <w:pStyle w:val="paragraph"/>
      </w:pPr>
      <w:r w:rsidRPr="006E341F">
        <w:tab/>
        <w:t>(j)</w:t>
      </w:r>
      <w:r w:rsidRPr="006E341F">
        <w:tab/>
        <w:t>for each sub</w:t>
      </w:r>
      <w:r>
        <w:noBreakHyphen/>
      </w:r>
      <w:r w:rsidRPr="006E341F">
        <w:t xml:space="preserve">sector—the total amount of levy paid that was imposed by the </w:t>
      </w:r>
      <w:r w:rsidRPr="006E341F">
        <w:rPr>
          <w:i/>
        </w:rPr>
        <w:t>Financial Services Compensation Scheme of Last Resort Levy Act 2023</w:t>
      </w:r>
      <w:r w:rsidRPr="006E341F">
        <w:t xml:space="preserve"> across all persons for the levy period and the sub</w:t>
      </w:r>
      <w:r>
        <w:noBreakHyphen/>
      </w:r>
      <w:r w:rsidRPr="006E341F">
        <w:t>sector;</w:t>
      </w:r>
    </w:p>
    <w:p w14:paraId="37C32814" w14:textId="77777777" w:rsidR="00E93F58" w:rsidRPr="006E341F" w:rsidRDefault="00E93F58" w:rsidP="00621847">
      <w:pPr>
        <w:pStyle w:val="paragraph"/>
      </w:pPr>
      <w:r w:rsidRPr="006E341F">
        <w:tab/>
        <w:t>(k)</w:t>
      </w:r>
      <w:r w:rsidRPr="006E341F">
        <w:tab/>
        <w:t>the number of determinations made under section 1069H of the Act for the levy period that:</w:t>
      </w:r>
    </w:p>
    <w:p w14:paraId="54E54C20" w14:textId="77777777" w:rsidR="00E93F58" w:rsidRPr="006E341F" w:rsidRDefault="00E93F58" w:rsidP="00621847">
      <w:pPr>
        <w:pStyle w:val="paragraphsub"/>
      </w:pPr>
      <w:r w:rsidRPr="006E341F">
        <w:tab/>
        <w:t>(i)</w:t>
      </w:r>
      <w:r w:rsidRPr="006E341F">
        <w:tab/>
        <w:t xml:space="preserve">under subsection 1069H(4) of the Act, specify that levy needs to be imposed by subsection 8(3) of the </w:t>
      </w:r>
      <w:r w:rsidRPr="006E341F">
        <w:rPr>
          <w:i/>
        </w:rPr>
        <w:t>Financial Services Compensation Scheme of Last Resort Levy Act 2023</w:t>
      </w:r>
      <w:r w:rsidRPr="006E341F">
        <w:t xml:space="preserve"> (about special levy for just the primary sub</w:t>
      </w:r>
      <w:r>
        <w:noBreakHyphen/>
      </w:r>
      <w:r w:rsidRPr="006E341F">
        <w:t>sector); or</w:t>
      </w:r>
    </w:p>
    <w:p w14:paraId="7BA63EB0" w14:textId="77777777" w:rsidR="00E93F58" w:rsidRPr="006E341F" w:rsidRDefault="00E93F58" w:rsidP="00621847">
      <w:pPr>
        <w:pStyle w:val="paragraphsub"/>
      </w:pPr>
      <w:r w:rsidRPr="006E341F">
        <w:lastRenderedPageBreak/>
        <w:tab/>
        <w:t>(ii)</w:t>
      </w:r>
      <w:r w:rsidRPr="006E341F">
        <w:tab/>
        <w:t>under subsection 1069H(5) of the Act, specify that levy needs to be imposed by section 9 of that Act (about special levy to be spread across several sub</w:t>
      </w:r>
      <w:r>
        <w:noBreakHyphen/>
      </w:r>
      <w:r w:rsidRPr="006E341F">
        <w:t>sectors);</w:t>
      </w:r>
    </w:p>
    <w:p w14:paraId="33BFE8B0" w14:textId="77777777" w:rsidR="00E93F58" w:rsidRPr="006E341F" w:rsidRDefault="00E93F58" w:rsidP="00621847">
      <w:pPr>
        <w:pStyle w:val="paragraph"/>
      </w:pPr>
      <w:r w:rsidRPr="006E341F">
        <w:tab/>
        <w:t>(l)</w:t>
      </w:r>
      <w:r w:rsidRPr="006E341F">
        <w:tab/>
        <w:t>for each determination referred to in paragraph (k):</w:t>
      </w:r>
    </w:p>
    <w:p w14:paraId="644E806D" w14:textId="77777777" w:rsidR="00E93F58" w:rsidRPr="006E341F" w:rsidRDefault="00E93F58" w:rsidP="00621847">
      <w:pPr>
        <w:pStyle w:val="paragraphsub"/>
      </w:pPr>
      <w:r w:rsidRPr="006E341F">
        <w:tab/>
        <w:t>(i)</w:t>
      </w:r>
      <w:r w:rsidRPr="006E341F">
        <w:tab/>
        <w:t>details of the determination; and</w:t>
      </w:r>
    </w:p>
    <w:p w14:paraId="32A1C34B" w14:textId="77777777" w:rsidR="00E93F58" w:rsidRPr="006E341F" w:rsidRDefault="00E93F58" w:rsidP="00621847">
      <w:pPr>
        <w:pStyle w:val="paragraphsub"/>
      </w:pPr>
      <w:r w:rsidRPr="006E341F">
        <w:tab/>
        <w:t>(ii)</w:t>
      </w:r>
      <w:r w:rsidRPr="006E341F">
        <w:tab/>
        <w:t>details about the levy paid as a result of the determination.</w:t>
      </w:r>
    </w:p>
    <w:p w14:paraId="02CDEB18" w14:textId="77777777" w:rsidR="00E93F58" w:rsidRPr="006E341F" w:rsidRDefault="00E93F58" w:rsidP="00621847">
      <w:pPr>
        <w:pStyle w:val="notetext"/>
      </w:pPr>
      <w:r w:rsidRPr="006E341F">
        <w:t>Note 1:</w:t>
      </w:r>
      <w:r w:rsidRPr="006E341F">
        <w:tab/>
        <w:t>Information about the matters in each of these paragraphs is required by subsection 1069G(1) of the Act to be included in each report.</w:t>
      </w:r>
    </w:p>
    <w:p w14:paraId="30C098D7" w14:textId="77777777" w:rsidR="00E93F58" w:rsidRPr="006E341F" w:rsidRDefault="00E93F58" w:rsidP="00621847">
      <w:pPr>
        <w:pStyle w:val="notetext"/>
      </w:pPr>
      <w:r w:rsidRPr="006E341F">
        <w:t>Note 2:</w:t>
      </w:r>
      <w:r w:rsidRPr="006E341F">
        <w:tab/>
        <w:t>The estimates referred to in subparagraphs (a)(ii) and (iii) are of unpaid claims, and AFCA’s fees, for complaints given to AFCA before the accumulation recovery day.</w:t>
      </w:r>
    </w:p>
    <w:p w14:paraId="67B42E85" w14:textId="77777777" w:rsidR="00E93F58" w:rsidRPr="00283424" w:rsidRDefault="00E93F58" w:rsidP="00B50726">
      <w:pPr>
        <w:pStyle w:val="ActHead2"/>
        <w:pageBreakBefore/>
        <w:rPr>
          <w:color w:val="000000"/>
        </w:rPr>
      </w:pPr>
      <w:bookmarkStart w:id="2043" w:name="_Toc152054997"/>
      <w:bookmarkStart w:id="2044" w:name="_Toc158712813"/>
      <w:r w:rsidRPr="006F296E">
        <w:rPr>
          <w:rStyle w:val="CharPartNo"/>
        </w:rPr>
        <w:lastRenderedPageBreak/>
        <w:t>Part 7.11</w:t>
      </w:r>
      <w:r w:rsidRPr="00283424">
        <w:rPr>
          <w:color w:val="000000"/>
        </w:rPr>
        <w:t>—</w:t>
      </w:r>
      <w:r w:rsidRPr="006F296E">
        <w:rPr>
          <w:rStyle w:val="CharPartText"/>
        </w:rPr>
        <w:t>Title and transfer</w:t>
      </w:r>
      <w:bookmarkEnd w:id="2043"/>
      <w:bookmarkEnd w:id="2044"/>
    </w:p>
    <w:p w14:paraId="0669A0ED" w14:textId="77777777" w:rsidR="00E93F58" w:rsidRPr="00283424" w:rsidRDefault="00E93F58" w:rsidP="00B50726">
      <w:pPr>
        <w:pStyle w:val="ActHead3"/>
        <w:rPr>
          <w:color w:val="000000"/>
        </w:rPr>
      </w:pPr>
      <w:bookmarkStart w:id="2045" w:name="_Toc152054998"/>
      <w:bookmarkStart w:id="2046" w:name="_Toc158712814"/>
      <w:r w:rsidRPr="006F296E">
        <w:rPr>
          <w:rStyle w:val="CharDivNo"/>
        </w:rPr>
        <w:t>Division 1</w:t>
      </w:r>
      <w:r w:rsidRPr="00283424">
        <w:rPr>
          <w:color w:val="000000"/>
        </w:rPr>
        <w:t>—</w:t>
      </w:r>
      <w:r w:rsidRPr="006F296E">
        <w:rPr>
          <w:rStyle w:val="CharDivText"/>
        </w:rPr>
        <w:t>Preliminary</w:t>
      </w:r>
      <w:bookmarkEnd w:id="2045"/>
      <w:bookmarkEnd w:id="2046"/>
    </w:p>
    <w:p w14:paraId="1D4F5A33" w14:textId="77777777" w:rsidR="00E93F58" w:rsidRPr="00283424" w:rsidRDefault="00E93F58" w:rsidP="00B50726">
      <w:pPr>
        <w:pStyle w:val="ActHead5"/>
      </w:pPr>
      <w:bookmarkStart w:id="2047" w:name="_Toc152054999"/>
      <w:bookmarkStart w:id="2048" w:name="_Toc158712815"/>
      <w:r w:rsidRPr="006F296E">
        <w:rPr>
          <w:rStyle w:val="CharSectno"/>
        </w:rPr>
        <w:t>7.11.01</w:t>
      </w:r>
      <w:r w:rsidRPr="00283424">
        <w:t xml:space="preserve">  Definitions</w:t>
      </w:r>
      <w:bookmarkEnd w:id="2047"/>
      <w:bookmarkEnd w:id="2048"/>
    </w:p>
    <w:p w14:paraId="08440F8D" w14:textId="77777777" w:rsidR="00E93F58" w:rsidRPr="00283424" w:rsidRDefault="00E93F58" w:rsidP="00B50726">
      <w:pPr>
        <w:pStyle w:val="subsection"/>
      </w:pPr>
      <w:r w:rsidRPr="00283424">
        <w:tab/>
      </w:r>
      <w:r w:rsidRPr="00283424">
        <w:tab/>
        <w:t>In this Part:</w:t>
      </w:r>
    </w:p>
    <w:p w14:paraId="36155077" w14:textId="77777777" w:rsidR="00E93F58" w:rsidRPr="00283424" w:rsidRDefault="00E93F58" w:rsidP="00B50726">
      <w:pPr>
        <w:pStyle w:val="Definition"/>
        <w:rPr>
          <w:color w:val="000000"/>
        </w:rPr>
      </w:pPr>
      <w:r w:rsidRPr="00283424">
        <w:rPr>
          <w:b/>
          <w:i/>
          <w:color w:val="000000"/>
        </w:rPr>
        <w:t>associate</w:t>
      </w:r>
      <w:r w:rsidRPr="00283424">
        <w:rPr>
          <w:color w:val="000000"/>
        </w:rPr>
        <w:t>, in relation to a broker or participant, means:</w:t>
      </w:r>
    </w:p>
    <w:p w14:paraId="6ABCC091" w14:textId="77777777" w:rsidR="00E93F58" w:rsidRPr="00283424" w:rsidRDefault="00E93F58" w:rsidP="00B50726">
      <w:pPr>
        <w:pStyle w:val="paragraph"/>
      </w:pPr>
      <w:r w:rsidRPr="00283424">
        <w:tab/>
        <w:t>(a)</w:t>
      </w:r>
      <w:r w:rsidRPr="00283424">
        <w:tab/>
        <w:t>if the broker or participant:</w:t>
      </w:r>
    </w:p>
    <w:p w14:paraId="6634649F" w14:textId="77777777" w:rsidR="00E93F58" w:rsidRPr="00283424" w:rsidRDefault="00E93F58" w:rsidP="00B50726">
      <w:pPr>
        <w:pStyle w:val="paragraphsub"/>
        <w:rPr>
          <w:color w:val="000000"/>
        </w:rPr>
      </w:pPr>
      <w:r w:rsidRPr="00283424">
        <w:rPr>
          <w:color w:val="000000"/>
        </w:rPr>
        <w:tab/>
        <w:t>(i)</w:t>
      </w:r>
      <w:r w:rsidRPr="00283424">
        <w:rPr>
          <w:color w:val="000000"/>
        </w:rPr>
        <w:tab/>
        <w:t>is a member of a firm of brokers or participants; and</w:t>
      </w:r>
    </w:p>
    <w:p w14:paraId="030521D3" w14:textId="77777777" w:rsidR="00E93F58" w:rsidRPr="00283424" w:rsidRDefault="00E93F58" w:rsidP="00B50726">
      <w:pPr>
        <w:pStyle w:val="paragraphsub"/>
      </w:pPr>
      <w:r w:rsidRPr="00283424">
        <w:tab/>
        <w:t>(ii)</w:t>
      </w:r>
      <w:r w:rsidRPr="00283424">
        <w:tab/>
        <w:t>is not a broker’s agent or a participant’s agent;</w:t>
      </w:r>
    </w:p>
    <w:p w14:paraId="76EF4B01" w14:textId="77777777" w:rsidR="00E93F58" w:rsidRPr="00283424" w:rsidRDefault="00E93F58" w:rsidP="00B50726">
      <w:pPr>
        <w:pStyle w:val="paragraph"/>
        <w:rPr>
          <w:color w:val="000000"/>
        </w:rPr>
      </w:pPr>
      <w:r w:rsidRPr="00283424">
        <w:rPr>
          <w:color w:val="000000"/>
        </w:rPr>
        <w:tab/>
      </w:r>
      <w:r w:rsidRPr="00283424">
        <w:rPr>
          <w:color w:val="000000"/>
        </w:rPr>
        <w:tab/>
        <w:t>any other member of the firm; or</w:t>
      </w:r>
    </w:p>
    <w:p w14:paraId="551D5DC6" w14:textId="77777777" w:rsidR="00E93F58" w:rsidRPr="00283424" w:rsidRDefault="00E93F58" w:rsidP="00B50726">
      <w:pPr>
        <w:pStyle w:val="paragraph"/>
      </w:pPr>
      <w:r w:rsidRPr="00283424">
        <w:tab/>
        <w:t>(b)</w:t>
      </w:r>
      <w:r w:rsidRPr="00283424">
        <w:tab/>
        <w:t>if:</w:t>
      </w:r>
    </w:p>
    <w:p w14:paraId="62A361CC" w14:textId="77777777" w:rsidR="00E93F58" w:rsidRPr="00283424" w:rsidRDefault="00E93F58" w:rsidP="00B50726">
      <w:pPr>
        <w:pStyle w:val="paragraphsub"/>
      </w:pPr>
      <w:r w:rsidRPr="00283424">
        <w:rPr>
          <w:color w:val="000000"/>
        </w:rPr>
        <w:tab/>
        <w:t>(i)</w:t>
      </w:r>
      <w:r w:rsidRPr="00283424">
        <w:rPr>
          <w:color w:val="000000"/>
        </w:rPr>
        <w:tab/>
        <w:t>the broker or participant is the agent or employee of another broker or participant; and</w:t>
      </w:r>
    </w:p>
    <w:p w14:paraId="30EBCC64" w14:textId="77777777" w:rsidR="00E93F58" w:rsidRPr="00283424" w:rsidRDefault="00E93F58" w:rsidP="00B50726">
      <w:pPr>
        <w:pStyle w:val="paragraphsub"/>
      </w:pPr>
      <w:r w:rsidRPr="00283424">
        <w:tab/>
        <w:t>(ii)</w:t>
      </w:r>
      <w:r w:rsidRPr="00283424">
        <w:tab/>
        <w:t>the other broker or participant is not a member of a firm of brokers or participants;</w:t>
      </w:r>
    </w:p>
    <w:p w14:paraId="610CE6C7" w14:textId="77777777" w:rsidR="00E93F58" w:rsidRPr="00283424" w:rsidRDefault="00E93F58" w:rsidP="00B50726">
      <w:pPr>
        <w:pStyle w:val="paragraph"/>
        <w:rPr>
          <w:color w:val="000000"/>
        </w:rPr>
      </w:pPr>
      <w:r w:rsidRPr="00283424">
        <w:rPr>
          <w:color w:val="000000"/>
        </w:rPr>
        <w:tab/>
      </w:r>
      <w:r w:rsidRPr="00283424">
        <w:rPr>
          <w:color w:val="000000"/>
        </w:rPr>
        <w:tab/>
        <w:t>the other broker or participant; or</w:t>
      </w:r>
    </w:p>
    <w:p w14:paraId="46FE40F3" w14:textId="77777777" w:rsidR="00E93F58" w:rsidRPr="00283424" w:rsidRDefault="00E93F58" w:rsidP="00B50726">
      <w:pPr>
        <w:pStyle w:val="paragraph"/>
      </w:pPr>
      <w:r w:rsidRPr="00283424">
        <w:tab/>
        <w:t>(c)</w:t>
      </w:r>
      <w:r w:rsidRPr="00283424">
        <w:tab/>
        <w:t>if:</w:t>
      </w:r>
    </w:p>
    <w:p w14:paraId="230E9042" w14:textId="77777777" w:rsidR="00E93F58" w:rsidRPr="00283424" w:rsidRDefault="00E93F58" w:rsidP="00B50726">
      <w:pPr>
        <w:pStyle w:val="paragraphsub"/>
      </w:pPr>
      <w:r w:rsidRPr="00283424">
        <w:rPr>
          <w:color w:val="000000"/>
        </w:rPr>
        <w:tab/>
        <w:t>(i)</w:t>
      </w:r>
      <w:r w:rsidRPr="00283424">
        <w:rPr>
          <w:color w:val="000000"/>
        </w:rPr>
        <w:tab/>
        <w:t>the broker or participant is the agent or employee of another broker or participant; and</w:t>
      </w:r>
    </w:p>
    <w:p w14:paraId="00C0EFA0" w14:textId="77777777" w:rsidR="00E93F58" w:rsidRPr="00283424" w:rsidRDefault="00E93F58" w:rsidP="00B50726">
      <w:pPr>
        <w:pStyle w:val="paragraphsub"/>
      </w:pPr>
      <w:r w:rsidRPr="00283424">
        <w:tab/>
        <w:t>(ii)</w:t>
      </w:r>
      <w:r w:rsidRPr="00283424">
        <w:tab/>
        <w:t>the other broker or participant is a member of a firm of brokers or participants;</w:t>
      </w:r>
    </w:p>
    <w:p w14:paraId="04B570B8" w14:textId="77777777" w:rsidR="00E93F58" w:rsidRPr="00283424" w:rsidRDefault="00E93F58" w:rsidP="00B50726">
      <w:pPr>
        <w:pStyle w:val="paragraph"/>
        <w:rPr>
          <w:color w:val="000000"/>
        </w:rPr>
      </w:pPr>
      <w:r w:rsidRPr="00283424">
        <w:rPr>
          <w:color w:val="000000"/>
        </w:rPr>
        <w:tab/>
      </w:r>
      <w:r w:rsidRPr="00283424">
        <w:rPr>
          <w:color w:val="000000"/>
        </w:rPr>
        <w:tab/>
        <w:t>any member of that firm.</w:t>
      </w:r>
    </w:p>
    <w:p w14:paraId="3FB20109" w14:textId="77777777" w:rsidR="00E93F58" w:rsidRPr="00283424" w:rsidRDefault="00E93F58" w:rsidP="00B50726">
      <w:pPr>
        <w:pStyle w:val="Definition"/>
      </w:pPr>
      <w:r w:rsidRPr="00283424">
        <w:rPr>
          <w:b/>
          <w:i/>
          <w:color w:val="000000"/>
        </w:rPr>
        <w:t>ASTC subregister</w:t>
      </w:r>
      <w:r w:rsidRPr="00283424">
        <w:rPr>
          <w:color w:val="000000"/>
        </w:rPr>
        <w:t xml:space="preserve"> means a subregister of Division 4 financial products maintained in accordance with the ASTC operating rules.</w:t>
      </w:r>
    </w:p>
    <w:p w14:paraId="2ADE9277" w14:textId="77777777" w:rsidR="00E93F58" w:rsidRPr="00283424" w:rsidRDefault="00E93F58" w:rsidP="00B50726">
      <w:pPr>
        <w:pStyle w:val="Definition"/>
      </w:pPr>
      <w:r w:rsidRPr="00283424">
        <w:rPr>
          <w:b/>
          <w:i/>
        </w:rPr>
        <w:t>beneficial owner</w:t>
      </w:r>
      <w:r w:rsidRPr="00283424">
        <w:t>, in relation to Division 3 securities, means a person for whom a licensed trustee company, a Public Trustee of a State or Territory, or a company listed in Schedule 9 holds (whether alone or together with any other person or persons) the Division 3 securities in trust in the ordinary course of its business.</w:t>
      </w:r>
    </w:p>
    <w:p w14:paraId="37A5B1CD" w14:textId="77777777" w:rsidR="00E93F58" w:rsidRPr="00283424" w:rsidRDefault="00E93F58" w:rsidP="00B50726">
      <w:pPr>
        <w:pStyle w:val="Definition"/>
      </w:pPr>
      <w:r w:rsidRPr="00283424">
        <w:rPr>
          <w:b/>
          <w:i/>
        </w:rPr>
        <w:t xml:space="preserve">broker </w:t>
      </w:r>
      <w:r w:rsidRPr="00283424">
        <w:t>means an Australian financial services licensee who is a participant of a financial market.</w:t>
      </w:r>
    </w:p>
    <w:p w14:paraId="6AA2E5C1" w14:textId="77777777" w:rsidR="00E93F58" w:rsidRPr="00283424" w:rsidRDefault="00E93F58" w:rsidP="00B50726">
      <w:pPr>
        <w:pStyle w:val="Definition"/>
      </w:pPr>
      <w:r w:rsidRPr="00283424">
        <w:rPr>
          <w:b/>
          <w:i/>
          <w:color w:val="000000"/>
        </w:rPr>
        <w:t>broker’s agent</w:t>
      </w:r>
      <w:r w:rsidRPr="00283424">
        <w:t xml:space="preserve"> means:</w:t>
      </w:r>
    </w:p>
    <w:p w14:paraId="0655069E" w14:textId="77777777" w:rsidR="00E93F58" w:rsidRPr="00283424" w:rsidRDefault="00E93F58" w:rsidP="00B50726">
      <w:pPr>
        <w:pStyle w:val="paragraph"/>
        <w:rPr>
          <w:color w:val="000000"/>
        </w:rPr>
      </w:pPr>
      <w:r w:rsidRPr="00283424">
        <w:rPr>
          <w:color w:val="000000"/>
        </w:rPr>
        <w:tab/>
        <w:t>(a)</w:t>
      </w:r>
      <w:r w:rsidRPr="00283424">
        <w:rPr>
          <w:color w:val="000000"/>
        </w:rPr>
        <w:tab/>
        <w:t>the agent of a broker; or</w:t>
      </w:r>
    </w:p>
    <w:p w14:paraId="06EB854A" w14:textId="77777777" w:rsidR="00E93F58" w:rsidRPr="00283424" w:rsidRDefault="00E93F58" w:rsidP="00B50726">
      <w:pPr>
        <w:pStyle w:val="paragraph"/>
      </w:pPr>
      <w:r w:rsidRPr="00283424">
        <w:tab/>
        <w:t>(b)</w:t>
      </w:r>
      <w:r w:rsidRPr="00283424">
        <w:tab/>
        <w:t>the employee of a broker.</w:t>
      </w:r>
    </w:p>
    <w:p w14:paraId="1465099B" w14:textId="77777777" w:rsidR="00E93F58" w:rsidRPr="00283424" w:rsidRDefault="00E93F58" w:rsidP="00B50726">
      <w:pPr>
        <w:pStyle w:val="Definition"/>
      </w:pPr>
      <w:r w:rsidRPr="00283424">
        <w:rPr>
          <w:b/>
          <w:i/>
        </w:rPr>
        <w:t>duly completed</w:t>
      </w:r>
      <w:r w:rsidRPr="00283424">
        <w:t>, in relation to a transfer document, includes the requirements set out in regulation 7.11.05.</w:t>
      </w:r>
    </w:p>
    <w:p w14:paraId="032E28BF" w14:textId="77777777" w:rsidR="00E93F58" w:rsidRPr="00283424" w:rsidRDefault="00E93F58" w:rsidP="00B50726">
      <w:pPr>
        <w:pStyle w:val="Definition"/>
      </w:pPr>
      <w:r w:rsidRPr="00283424">
        <w:rPr>
          <w:b/>
          <w:i/>
        </w:rPr>
        <w:t xml:space="preserve">duly completed Part 1 </w:t>
      </w:r>
      <w:r w:rsidRPr="00283424">
        <w:t>means a transfer document that has been duly completed in accordance with Part 1 of Form 1, 2, 3, 5, 6 or 7.</w:t>
      </w:r>
    </w:p>
    <w:p w14:paraId="1CDDEC06" w14:textId="77777777" w:rsidR="00E93F58" w:rsidRPr="00283424" w:rsidRDefault="00E93F58" w:rsidP="00B50726">
      <w:pPr>
        <w:pStyle w:val="Definition"/>
      </w:pPr>
      <w:r w:rsidRPr="00283424">
        <w:rPr>
          <w:b/>
          <w:i/>
          <w:color w:val="000000"/>
        </w:rPr>
        <w:t>execution time</w:t>
      </w:r>
      <w:r w:rsidRPr="00283424">
        <w:t>, in relation to a transfer document, means:</w:t>
      </w:r>
    </w:p>
    <w:p w14:paraId="08B46459" w14:textId="77777777" w:rsidR="00E93F58" w:rsidRPr="00283424" w:rsidRDefault="00E93F58" w:rsidP="00B50726">
      <w:pPr>
        <w:pStyle w:val="paragraph"/>
      </w:pPr>
      <w:r w:rsidRPr="00283424">
        <w:rPr>
          <w:color w:val="000000"/>
        </w:rPr>
        <w:tab/>
        <w:t>(a)</w:t>
      </w:r>
      <w:r w:rsidRPr="00283424">
        <w:rPr>
          <w:color w:val="000000"/>
        </w:rPr>
        <w:tab/>
        <w:t>for a sufficient transfer under regulation 7.11.11—the time when the transfer document was stamped with a stamp purporting to be that of the transferee’s broker; and</w:t>
      </w:r>
    </w:p>
    <w:p w14:paraId="0B7A5D5D" w14:textId="77777777" w:rsidR="00E93F58" w:rsidRPr="00283424" w:rsidRDefault="00E93F58" w:rsidP="00B50726">
      <w:pPr>
        <w:pStyle w:val="paragraph"/>
      </w:pPr>
      <w:r w:rsidRPr="00283424">
        <w:tab/>
        <w:t>(b)</w:t>
      </w:r>
      <w:r w:rsidRPr="00283424">
        <w:tab/>
        <w:t>for a sufficient transfer under regulation 7.11.12 or 7.11.13—the time when the transfer document was executed by the transferor.</w:t>
      </w:r>
    </w:p>
    <w:p w14:paraId="705C60A5" w14:textId="77777777" w:rsidR="00E93F58" w:rsidRPr="00283424" w:rsidRDefault="00E93F58" w:rsidP="00B50726">
      <w:pPr>
        <w:pStyle w:val="Definition"/>
      </w:pPr>
      <w:r w:rsidRPr="00283424">
        <w:rPr>
          <w:b/>
          <w:i/>
          <w:color w:val="000000"/>
        </w:rPr>
        <w:t>identification code</w:t>
      </w:r>
      <w:r w:rsidRPr="00283424">
        <w:t>, in relation to a participant, means a code that, for the purposes of the ASTC operating rules, is:</w:t>
      </w:r>
    </w:p>
    <w:p w14:paraId="22F48C0F" w14:textId="77777777" w:rsidR="00E93F58" w:rsidRPr="00283424" w:rsidRDefault="00E93F58" w:rsidP="00B50726">
      <w:pPr>
        <w:pStyle w:val="paragraph"/>
        <w:rPr>
          <w:color w:val="000000"/>
        </w:rPr>
      </w:pPr>
      <w:r w:rsidRPr="00283424">
        <w:rPr>
          <w:color w:val="000000"/>
        </w:rPr>
        <w:tab/>
        <w:t>(a)</w:t>
      </w:r>
      <w:r w:rsidRPr="00283424">
        <w:rPr>
          <w:color w:val="000000"/>
        </w:rPr>
        <w:tab/>
        <w:t>the participant’s identification code; or</w:t>
      </w:r>
    </w:p>
    <w:p w14:paraId="1AADE781" w14:textId="77777777" w:rsidR="00E93F58" w:rsidRPr="00283424" w:rsidRDefault="00E93F58" w:rsidP="00B50726">
      <w:pPr>
        <w:pStyle w:val="paragraph"/>
      </w:pPr>
      <w:r w:rsidRPr="00283424">
        <w:tab/>
        <w:t>(b)</w:t>
      </w:r>
      <w:r w:rsidRPr="00283424">
        <w:tab/>
        <w:t>one of its identification codes.</w:t>
      </w:r>
    </w:p>
    <w:p w14:paraId="1C97015A" w14:textId="77777777" w:rsidR="00E93F58" w:rsidRPr="00283424" w:rsidRDefault="00E93F58" w:rsidP="00B50726">
      <w:pPr>
        <w:pStyle w:val="Definition"/>
      </w:pPr>
      <w:r w:rsidRPr="00283424">
        <w:rPr>
          <w:b/>
          <w:i/>
          <w:color w:val="000000"/>
        </w:rPr>
        <w:t>in accordance with</w:t>
      </w:r>
      <w:r w:rsidRPr="00283424">
        <w:rPr>
          <w:color w:val="000000"/>
        </w:rPr>
        <w:t xml:space="preserve"> includes to the effect of.</w:t>
      </w:r>
    </w:p>
    <w:p w14:paraId="681BAA17" w14:textId="77777777" w:rsidR="00E93F58" w:rsidRPr="00283424" w:rsidRDefault="00E93F58" w:rsidP="00B50726">
      <w:pPr>
        <w:pStyle w:val="Definition"/>
      </w:pPr>
      <w:r w:rsidRPr="00283424">
        <w:rPr>
          <w:b/>
          <w:i/>
          <w:color w:val="000000"/>
        </w:rPr>
        <w:t>issuer of a Division 4 financial product</w:t>
      </w:r>
      <w:r w:rsidRPr="00283424">
        <w:t xml:space="preserve"> means:</w:t>
      </w:r>
    </w:p>
    <w:p w14:paraId="085930BD" w14:textId="77777777" w:rsidR="00E93F58" w:rsidRPr="00283424" w:rsidRDefault="00E93F58" w:rsidP="00B50726">
      <w:pPr>
        <w:pStyle w:val="paragraph"/>
      </w:pPr>
      <w:r w:rsidRPr="00BE1284">
        <w:tab/>
        <w:t>(a)</w:t>
      </w:r>
      <w:r w:rsidRPr="00BE1284">
        <w:tab/>
        <w:t xml:space="preserve">the issuer in relation to the product; </w:t>
      </w:r>
      <w:r>
        <w:t>or</w:t>
      </w:r>
    </w:p>
    <w:p w14:paraId="60AF8A37" w14:textId="77777777" w:rsidR="00E93F58" w:rsidRPr="00283424" w:rsidRDefault="00E93F58" w:rsidP="00B50726">
      <w:pPr>
        <w:pStyle w:val="paragraph"/>
      </w:pPr>
      <w:r w:rsidRPr="00283424">
        <w:tab/>
        <w:t>(b)</w:t>
      </w:r>
      <w:r w:rsidRPr="00283424">
        <w:tab/>
        <w:t>any other person identified as an issuer, or treated as an issuer, under the ASTC operating rules.</w:t>
      </w:r>
    </w:p>
    <w:p w14:paraId="49564BBA" w14:textId="77777777" w:rsidR="00E93F58" w:rsidRPr="00283424" w:rsidRDefault="00E93F58" w:rsidP="00B50726">
      <w:pPr>
        <w:pStyle w:val="Definition"/>
      </w:pPr>
      <w:r w:rsidRPr="00283424">
        <w:rPr>
          <w:b/>
          <w:i/>
          <w:color w:val="000000"/>
        </w:rPr>
        <w:t>market licensee</w:t>
      </w:r>
      <w:r w:rsidRPr="00283424">
        <w:rPr>
          <w:color w:val="000000"/>
        </w:rPr>
        <w:t>, in relation to securities specified in a transfer document, means the market licensee that operates the market for the securities.</w:t>
      </w:r>
    </w:p>
    <w:p w14:paraId="0EA4000E" w14:textId="77777777" w:rsidR="00E93F58" w:rsidRPr="00283424" w:rsidRDefault="00E93F58" w:rsidP="00B50726">
      <w:pPr>
        <w:pStyle w:val="ActHead5"/>
      </w:pPr>
      <w:bookmarkStart w:id="2049" w:name="_Toc152055000"/>
      <w:bookmarkStart w:id="2050" w:name="_Toc158712816"/>
      <w:r w:rsidRPr="006F296E">
        <w:rPr>
          <w:rStyle w:val="CharSectno"/>
        </w:rPr>
        <w:lastRenderedPageBreak/>
        <w:t>7.11.03</w:t>
      </w:r>
      <w:r w:rsidRPr="00283424">
        <w:t xml:space="preserve">  Arrangements about Division 4 financial products</w:t>
      </w:r>
      <w:bookmarkEnd w:id="2049"/>
      <w:bookmarkEnd w:id="2050"/>
    </w:p>
    <w:p w14:paraId="44A2D8A0" w14:textId="77777777" w:rsidR="00E93F58" w:rsidRPr="00283424" w:rsidRDefault="00E93F58" w:rsidP="00B50726">
      <w:pPr>
        <w:pStyle w:val="subsection"/>
        <w:keepNext/>
        <w:keepLines/>
      </w:pPr>
      <w:r w:rsidRPr="00283424">
        <w:tab/>
        <w:t>(1)</w:t>
      </w:r>
      <w:r w:rsidRPr="00283424">
        <w:tab/>
        <w:t xml:space="preserve">A financial product is a </w:t>
      </w:r>
      <w:r w:rsidRPr="00283424">
        <w:rPr>
          <w:b/>
          <w:i/>
        </w:rPr>
        <w:t>Division 4 financial product</w:t>
      </w:r>
      <w:r w:rsidRPr="00283424">
        <w:t xml:space="preserve"> if the financial product is:</w:t>
      </w:r>
    </w:p>
    <w:p w14:paraId="365D4D2A" w14:textId="77777777" w:rsidR="00E93F58" w:rsidRPr="00283424" w:rsidRDefault="00E93F58" w:rsidP="00B50726">
      <w:pPr>
        <w:pStyle w:val="paragraph"/>
      </w:pPr>
      <w:r w:rsidRPr="00283424">
        <w:rPr>
          <w:color w:val="000000"/>
        </w:rPr>
        <w:tab/>
        <w:t>(a)</w:t>
      </w:r>
      <w:r w:rsidRPr="00283424">
        <w:rPr>
          <w:color w:val="000000"/>
        </w:rPr>
        <w:tab/>
        <w:t>a Division 3 security other than a security mentioned in paragraph 1073A(1)(e) of the Act; or</w:t>
      </w:r>
    </w:p>
    <w:p w14:paraId="34661256" w14:textId="77777777" w:rsidR="00E93F58" w:rsidRPr="00283424" w:rsidRDefault="00E93F58" w:rsidP="00B50726">
      <w:pPr>
        <w:pStyle w:val="paragraph"/>
      </w:pPr>
      <w:r w:rsidRPr="00283424">
        <w:tab/>
        <w:t>(b)</w:t>
      </w:r>
      <w:r w:rsidRPr="00283424">
        <w:tab/>
        <w:t>declared by ASIC, under section 1075A of the Act, to be a financial product the transfer of which will be effected through ASTC under these Regulations.</w:t>
      </w:r>
    </w:p>
    <w:p w14:paraId="4ADA2B0F" w14:textId="77777777" w:rsidR="00E93F58" w:rsidRPr="00283424" w:rsidRDefault="00E93F58" w:rsidP="00B50726">
      <w:pPr>
        <w:pStyle w:val="subsection"/>
      </w:pPr>
      <w:r w:rsidRPr="00283424">
        <w:rPr>
          <w:color w:val="000000"/>
        </w:rPr>
        <w:tab/>
        <w:t>(2)</w:t>
      </w:r>
      <w:r w:rsidRPr="00283424">
        <w:rPr>
          <w:color w:val="000000"/>
        </w:rPr>
        <w:tab/>
        <w:t>Subregulations (3) to (8) apply in relation to a class of Division 4 financial products that is admitted to quotation.</w:t>
      </w:r>
    </w:p>
    <w:p w14:paraId="2EB2B2AC" w14:textId="77777777" w:rsidR="00E93F58" w:rsidRPr="00283424" w:rsidRDefault="00E93F58" w:rsidP="00B50726">
      <w:pPr>
        <w:pStyle w:val="subsection"/>
      </w:pPr>
      <w:r w:rsidRPr="00283424">
        <w:tab/>
        <w:t>(3)</w:t>
      </w:r>
      <w:r w:rsidRPr="00283424">
        <w:tab/>
        <w:t>A Division 4 financial product in the class of Division 4 financial products is not taken to have stopped being quoted merely because of a temporary suspension of quotation of the class.</w:t>
      </w:r>
    </w:p>
    <w:p w14:paraId="187D2A42" w14:textId="77777777" w:rsidR="00E93F58" w:rsidRPr="00283424" w:rsidRDefault="00E93F58" w:rsidP="00B50726">
      <w:pPr>
        <w:pStyle w:val="subsection"/>
      </w:pPr>
      <w:r w:rsidRPr="00283424">
        <w:tab/>
        <w:t>(4)</w:t>
      </w:r>
      <w:r w:rsidRPr="00283424">
        <w:tab/>
        <w:t>If:</w:t>
      </w:r>
    </w:p>
    <w:p w14:paraId="14CADB2E" w14:textId="77777777" w:rsidR="00E93F58" w:rsidRPr="00283424" w:rsidRDefault="00E93F58" w:rsidP="00B50726">
      <w:pPr>
        <w:pStyle w:val="paragraph"/>
        <w:rPr>
          <w:color w:val="000000"/>
        </w:rPr>
      </w:pPr>
      <w:r w:rsidRPr="00283424">
        <w:rPr>
          <w:color w:val="000000"/>
        </w:rPr>
        <w:tab/>
        <w:t>(a)</w:t>
      </w:r>
      <w:r w:rsidRPr="00283424">
        <w:rPr>
          <w:color w:val="000000"/>
        </w:rPr>
        <w:tab/>
        <w:t>there is a suspension of the quotation of a Division 4 financial product in the class; and</w:t>
      </w:r>
    </w:p>
    <w:p w14:paraId="454725D7" w14:textId="77777777" w:rsidR="00E93F58" w:rsidRPr="00283424" w:rsidRDefault="00E93F58" w:rsidP="00B50726">
      <w:pPr>
        <w:pStyle w:val="paragraph"/>
      </w:pPr>
      <w:r w:rsidRPr="00283424">
        <w:tab/>
        <w:t>(b)</w:t>
      </w:r>
      <w:r w:rsidRPr="00283424">
        <w:tab/>
        <w:t>during the suspension, the issuer in relation to the Division 4 financial product ceases to be included in the official list of the market licensee on which the Division 4 financial product is traded;</w:t>
      </w:r>
    </w:p>
    <w:p w14:paraId="55837070" w14:textId="77777777" w:rsidR="00E93F58" w:rsidRPr="00283424" w:rsidRDefault="00E93F58" w:rsidP="00B50726">
      <w:pPr>
        <w:pStyle w:val="subsection2"/>
      </w:pPr>
      <w:r w:rsidRPr="00283424">
        <w:rPr>
          <w:color w:val="000000"/>
        </w:rPr>
        <w:t>the Division 4 financial product is taken to stop being quoted when the issuer ceases to be included in the official list.</w:t>
      </w:r>
    </w:p>
    <w:p w14:paraId="2E7D4F88" w14:textId="77777777" w:rsidR="00E93F58" w:rsidRPr="00283424" w:rsidRDefault="00E93F58" w:rsidP="00B50726">
      <w:pPr>
        <w:pStyle w:val="subsection"/>
        <w:rPr>
          <w:color w:val="000000"/>
        </w:rPr>
      </w:pPr>
      <w:r w:rsidRPr="00283424">
        <w:rPr>
          <w:color w:val="000000"/>
        </w:rPr>
        <w:tab/>
        <w:t>(5)</w:t>
      </w:r>
      <w:r w:rsidRPr="00283424">
        <w:rPr>
          <w:color w:val="000000"/>
        </w:rPr>
        <w:tab/>
        <w:t>Subregulation (4) does not limit the circumstances in which a Division 4 financial product in the class may be taken to have stopped being quoted on a financial market of a market licensee.</w:t>
      </w:r>
    </w:p>
    <w:p w14:paraId="1860DBE4" w14:textId="77777777" w:rsidR="00E93F58" w:rsidRPr="00283424" w:rsidRDefault="00E93F58" w:rsidP="00B50726">
      <w:pPr>
        <w:pStyle w:val="subsection"/>
      </w:pPr>
      <w:r w:rsidRPr="00283424">
        <w:tab/>
        <w:t>(6)</w:t>
      </w:r>
      <w:r w:rsidRPr="00283424">
        <w:tab/>
        <w:t>For the provisions mentioned in subregulation (8), if:</w:t>
      </w:r>
    </w:p>
    <w:p w14:paraId="56E0783E" w14:textId="77777777" w:rsidR="00E93F58" w:rsidRPr="00283424" w:rsidRDefault="00E93F58" w:rsidP="00B50726">
      <w:pPr>
        <w:pStyle w:val="paragraph"/>
      </w:pPr>
      <w:r w:rsidRPr="00283424">
        <w:rPr>
          <w:color w:val="000000"/>
        </w:rPr>
        <w:tab/>
        <w:t>(a)</w:t>
      </w:r>
      <w:r w:rsidRPr="00283424">
        <w:rPr>
          <w:color w:val="000000"/>
        </w:rPr>
        <w:tab/>
        <w:t>a Division 4 financial product stops being quoted on a financial market of a market licensee; and</w:t>
      </w:r>
    </w:p>
    <w:p w14:paraId="7C71C81F" w14:textId="77777777" w:rsidR="00E93F58" w:rsidRPr="00283424" w:rsidRDefault="00E93F58" w:rsidP="00B50726">
      <w:pPr>
        <w:pStyle w:val="paragraph"/>
      </w:pPr>
      <w:r w:rsidRPr="00283424">
        <w:tab/>
        <w:t>(b)</w:t>
      </w:r>
      <w:r w:rsidRPr="00283424">
        <w:tab/>
        <w:t>the ASTC operating rules provide that the Division 4 financial product is to be taken to continue to be quoted for a specified period;</w:t>
      </w:r>
    </w:p>
    <w:p w14:paraId="34175927" w14:textId="77777777" w:rsidR="00E93F58" w:rsidRPr="00283424" w:rsidRDefault="00E93F58" w:rsidP="00B50726">
      <w:pPr>
        <w:pStyle w:val="subsection2"/>
        <w:rPr>
          <w:color w:val="000000"/>
        </w:rPr>
      </w:pPr>
      <w:r w:rsidRPr="00283424">
        <w:rPr>
          <w:color w:val="000000"/>
        </w:rPr>
        <w:t>the Division 4 financial product is taken to be quoted during the period.</w:t>
      </w:r>
    </w:p>
    <w:p w14:paraId="7EC40BCD" w14:textId="77777777" w:rsidR="00E93F58" w:rsidRPr="00283424" w:rsidRDefault="00E93F58" w:rsidP="00B50726">
      <w:pPr>
        <w:pStyle w:val="subsection"/>
      </w:pPr>
      <w:r w:rsidRPr="00283424">
        <w:tab/>
        <w:t>(7)</w:t>
      </w:r>
      <w:r w:rsidRPr="00283424">
        <w:tab/>
        <w:t>For the provisions mentioned in subregulation (8), if:</w:t>
      </w:r>
    </w:p>
    <w:p w14:paraId="4205A11F" w14:textId="77777777" w:rsidR="00E93F58" w:rsidRPr="00283424" w:rsidRDefault="00E93F58" w:rsidP="00B50726">
      <w:pPr>
        <w:pStyle w:val="paragraph"/>
      </w:pPr>
      <w:r w:rsidRPr="00283424">
        <w:rPr>
          <w:color w:val="000000"/>
        </w:rPr>
        <w:tab/>
        <w:t>(a)</w:t>
      </w:r>
      <w:r w:rsidRPr="00283424">
        <w:rPr>
          <w:color w:val="000000"/>
        </w:rPr>
        <w:tab/>
        <w:t>a Division 4 financial product has been issued; and</w:t>
      </w:r>
    </w:p>
    <w:p w14:paraId="6D030098" w14:textId="77777777" w:rsidR="00E93F58" w:rsidRPr="00283424" w:rsidRDefault="00E93F58" w:rsidP="00B50726">
      <w:pPr>
        <w:pStyle w:val="paragraph"/>
      </w:pPr>
      <w:r w:rsidRPr="00283424">
        <w:tab/>
        <w:t>(b)</w:t>
      </w:r>
      <w:r w:rsidRPr="00283424">
        <w:tab/>
        <w:t>the Division 4 financial product:</w:t>
      </w:r>
    </w:p>
    <w:p w14:paraId="273ABB5C" w14:textId="77777777" w:rsidR="00E93F58" w:rsidRPr="00283424" w:rsidRDefault="00E93F58" w:rsidP="00B50726">
      <w:pPr>
        <w:pStyle w:val="paragraphsub"/>
      </w:pPr>
      <w:r w:rsidRPr="00283424">
        <w:rPr>
          <w:color w:val="000000"/>
        </w:rPr>
        <w:tab/>
        <w:t>(i)</w:t>
      </w:r>
      <w:r w:rsidRPr="00283424">
        <w:rPr>
          <w:color w:val="000000"/>
        </w:rPr>
        <w:tab/>
        <w:t>is approved, by a market licensee, to be admitted to quotation on a financial market of the market licensee; and</w:t>
      </w:r>
    </w:p>
    <w:p w14:paraId="133280E1" w14:textId="77777777" w:rsidR="00E93F58" w:rsidRPr="00283424" w:rsidRDefault="00E93F58" w:rsidP="00B50726">
      <w:pPr>
        <w:pStyle w:val="paragraphsub"/>
      </w:pPr>
      <w:r w:rsidRPr="00283424">
        <w:tab/>
        <w:t>(ii)</w:t>
      </w:r>
      <w:r w:rsidRPr="00283424">
        <w:tab/>
        <w:t>has not yet been quoted; and</w:t>
      </w:r>
    </w:p>
    <w:p w14:paraId="13870405" w14:textId="77777777" w:rsidR="00E93F58" w:rsidRPr="00283424" w:rsidRDefault="00E93F58" w:rsidP="00B50726">
      <w:pPr>
        <w:pStyle w:val="paragraph"/>
      </w:pPr>
      <w:r w:rsidRPr="00283424">
        <w:rPr>
          <w:color w:val="000000"/>
        </w:rPr>
        <w:tab/>
        <w:t>(c)</w:t>
      </w:r>
      <w:r w:rsidRPr="00283424">
        <w:rPr>
          <w:color w:val="000000"/>
        </w:rPr>
        <w:tab/>
        <w:t>the ASTC operating rules provide that the Division 4 financial product is taken to be quoted for a specified period;</w:t>
      </w:r>
    </w:p>
    <w:p w14:paraId="3DB1E3D9" w14:textId="77777777" w:rsidR="00E93F58" w:rsidRPr="00283424" w:rsidRDefault="00E93F58" w:rsidP="00B50726">
      <w:pPr>
        <w:pStyle w:val="subsection2"/>
      </w:pPr>
      <w:r w:rsidRPr="00283424">
        <w:rPr>
          <w:color w:val="000000"/>
        </w:rPr>
        <w:t>the Division 4 financial product is taken to be quoted during the period.</w:t>
      </w:r>
    </w:p>
    <w:p w14:paraId="6C7EBFDD" w14:textId="77777777" w:rsidR="00E93F58" w:rsidRPr="00283424" w:rsidRDefault="00E93F58" w:rsidP="00B50726">
      <w:pPr>
        <w:pStyle w:val="subsection"/>
        <w:rPr>
          <w:color w:val="000000"/>
        </w:rPr>
      </w:pPr>
      <w:r w:rsidRPr="00283424">
        <w:rPr>
          <w:color w:val="000000"/>
        </w:rPr>
        <w:tab/>
        <w:t>(8)</w:t>
      </w:r>
      <w:r w:rsidRPr="00283424">
        <w:rPr>
          <w:color w:val="000000"/>
        </w:rPr>
        <w:tab/>
        <w:t>The provisions are:</w:t>
      </w:r>
    </w:p>
    <w:p w14:paraId="55937ECA" w14:textId="77777777" w:rsidR="00E93F58" w:rsidRPr="00283424" w:rsidRDefault="00E93F58" w:rsidP="00B50726">
      <w:pPr>
        <w:pStyle w:val="paragraph"/>
      </w:pPr>
      <w:r w:rsidRPr="00283424">
        <w:tab/>
        <w:t>(a)</w:t>
      </w:r>
      <w:r w:rsidRPr="00283424">
        <w:tab/>
        <w:t>the definitions of:</w:t>
      </w:r>
    </w:p>
    <w:p w14:paraId="1673EED1" w14:textId="77777777" w:rsidR="00E93F58" w:rsidRPr="00283424" w:rsidRDefault="00E93F58" w:rsidP="00B50726">
      <w:pPr>
        <w:pStyle w:val="paragraphsub"/>
      </w:pPr>
      <w:r w:rsidRPr="00283424">
        <w:tab/>
        <w:t>(i)</w:t>
      </w:r>
      <w:r w:rsidRPr="00283424">
        <w:tab/>
        <w:t>ASTC certificate cancellation provisions; and</w:t>
      </w:r>
    </w:p>
    <w:p w14:paraId="789D7CD2" w14:textId="77777777" w:rsidR="00E93F58" w:rsidRPr="00283424" w:rsidRDefault="00E93F58" w:rsidP="00B50726">
      <w:pPr>
        <w:pStyle w:val="paragraphsub"/>
      </w:pPr>
      <w:r w:rsidRPr="00283424">
        <w:tab/>
        <w:t>(ii)</w:t>
      </w:r>
      <w:r w:rsidRPr="00283424">
        <w:tab/>
        <w:t>ASTC</w:t>
      </w:r>
      <w:r>
        <w:noBreakHyphen/>
      </w:r>
      <w:r w:rsidRPr="00283424">
        <w:t>regulated transfer; and</w:t>
      </w:r>
    </w:p>
    <w:p w14:paraId="4CCA8DA2" w14:textId="77777777" w:rsidR="00E93F58" w:rsidRPr="00283424" w:rsidRDefault="00E93F58" w:rsidP="00B50726">
      <w:pPr>
        <w:pStyle w:val="paragraphsub"/>
      </w:pPr>
      <w:r w:rsidRPr="00283424">
        <w:tab/>
        <w:t>(iii)</w:t>
      </w:r>
      <w:r w:rsidRPr="00283424">
        <w:tab/>
        <w:t>ASTC subregister; and</w:t>
      </w:r>
    </w:p>
    <w:p w14:paraId="11A857BF" w14:textId="77777777" w:rsidR="00E93F58" w:rsidRPr="00283424" w:rsidRDefault="00E93F58" w:rsidP="00B50726">
      <w:pPr>
        <w:pStyle w:val="paragraphsub"/>
      </w:pPr>
      <w:r w:rsidRPr="00283424">
        <w:tab/>
        <w:t>(iv)</w:t>
      </w:r>
      <w:r w:rsidRPr="00283424">
        <w:tab/>
        <w:t>proper ASTC transfer; and</w:t>
      </w:r>
    </w:p>
    <w:p w14:paraId="023AF057" w14:textId="77777777" w:rsidR="00E93F58" w:rsidRPr="00283424" w:rsidRDefault="00E93F58" w:rsidP="00B50726">
      <w:pPr>
        <w:pStyle w:val="paragraph"/>
      </w:pPr>
      <w:r w:rsidRPr="00283424">
        <w:rPr>
          <w:color w:val="000000"/>
        </w:rPr>
        <w:tab/>
        <w:t>(b)</w:t>
      </w:r>
      <w:r w:rsidRPr="00283424">
        <w:rPr>
          <w:color w:val="000000"/>
        </w:rPr>
        <w:tab/>
        <w:t>section 653A of the Act; and</w:t>
      </w:r>
    </w:p>
    <w:p w14:paraId="2A22E4B1" w14:textId="77777777" w:rsidR="00E93F58" w:rsidRPr="00283424" w:rsidRDefault="00E93F58" w:rsidP="00B50726">
      <w:pPr>
        <w:pStyle w:val="paragraph"/>
      </w:pPr>
      <w:r w:rsidRPr="00283424">
        <w:tab/>
        <w:t>(c)</w:t>
      </w:r>
      <w:r w:rsidRPr="00283424">
        <w:tab/>
        <w:t>Part 7.11 of the Act; and</w:t>
      </w:r>
    </w:p>
    <w:p w14:paraId="17AC1ECA" w14:textId="77777777" w:rsidR="00E93F58" w:rsidRPr="00283424" w:rsidRDefault="00E93F58" w:rsidP="00B50726">
      <w:pPr>
        <w:pStyle w:val="paragraph"/>
      </w:pPr>
      <w:r w:rsidRPr="00283424">
        <w:tab/>
        <w:t>(d)</w:t>
      </w:r>
      <w:r w:rsidRPr="00283424">
        <w:tab/>
        <w:t>regulations made for the purposes of Part 7.11 of the Act.</w:t>
      </w:r>
    </w:p>
    <w:p w14:paraId="4125F69C" w14:textId="77777777" w:rsidR="00E93F58" w:rsidRPr="00283424" w:rsidRDefault="00E93F58" w:rsidP="00B50726">
      <w:pPr>
        <w:pStyle w:val="ActHead5"/>
      </w:pPr>
      <w:bookmarkStart w:id="2051" w:name="_Toc152055001"/>
      <w:bookmarkStart w:id="2052" w:name="_Toc158712817"/>
      <w:r w:rsidRPr="006F296E">
        <w:rPr>
          <w:rStyle w:val="CharSectno"/>
        </w:rPr>
        <w:t>7.11.04</w:t>
      </w:r>
      <w:r w:rsidRPr="00283424">
        <w:t xml:space="preserve">  Arrangements for forms</w:t>
      </w:r>
      <w:bookmarkEnd w:id="2051"/>
      <w:bookmarkEnd w:id="2052"/>
    </w:p>
    <w:p w14:paraId="6872A698" w14:textId="77777777" w:rsidR="00E93F58" w:rsidRPr="00283424" w:rsidRDefault="00E93F58" w:rsidP="00B50726">
      <w:pPr>
        <w:pStyle w:val="subsection"/>
      </w:pPr>
      <w:r w:rsidRPr="00283424">
        <w:tab/>
        <w:t>(1)</w:t>
      </w:r>
      <w:r w:rsidRPr="00283424">
        <w:tab/>
        <w:t>A reference in this Part to a form by number is a reference to:</w:t>
      </w:r>
    </w:p>
    <w:p w14:paraId="116E12F4" w14:textId="77777777" w:rsidR="00E93F58" w:rsidRPr="00283424" w:rsidRDefault="00E93F58" w:rsidP="00B50726">
      <w:pPr>
        <w:pStyle w:val="paragraph"/>
        <w:rPr>
          <w:color w:val="000000"/>
        </w:rPr>
      </w:pPr>
      <w:r w:rsidRPr="00283424">
        <w:rPr>
          <w:color w:val="000000"/>
        </w:rPr>
        <w:tab/>
        <w:t>(a)</w:t>
      </w:r>
      <w:r w:rsidRPr="00283424">
        <w:rPr>
          <w:color w:val="000000"/>
        </w:rPr>
        <w:tab/>
        <w:t>the form numbered in that way in Schedule 2A; or</w:t>
      </w:r>
    </w:p>
    <w:p w14:paraId="46D9C62D" w14:textId="77777777" w:rsidR="00E93F58" w:rsidRPr="00283424" w:rsidRDefault="00E93F58" w:rsidP="00B50726">
      <w:pPr>
        <w:pStyle w:val="paragraph"/>
      </w:pPr>
      <w:r w:rsidRPr="00283424">
        <w:tab/>
        <w:t>(b)</w:t>
      </w:r>
      <w:r w:rsidRPr="00283424">
        <w:tab/>
        <w:t>a form that has the same effect.</w:t>
      </w:r>
    </w:p>
    <w:p w14:paraId="2B947448" w14:textId="77777777" w:rsidR="00E93F58" w:rsidRPr="00283424" w:rsidRDefault="00E93F58" w:rsidP="00B50726">
      <w:pPr>
        <w:pStyle w:val="subsection"/>
      </w:pPr>
      <w:r w:rsidRPr="00283424">
        <w:rPr>
          <w:color w:val="000000"/>
        </w:rPr>
        <w:tab/>
        <w:t>(2)</w:t>
      </w:r>
      <w:r w:rsidRPr="00283424">
        <w:rPr>
          <w:color w:val="000000"/>
        </w:rPr>
        <w:tab/>
        <w:t>If a form in Schedule 2A refers to the full name of the transferor of Division 3 securities, the reference includes a reference to the name of the person shown in the records of the issuer in relation to those securities as the holder of those securities.</w:t>
      </w:r>
    </w:p>
    <w:p w14:paraId="793DB004" w14:textId="77777777" w:rsidR="00E93F58" w:rsidRPr="00283424" w:rsidRDefault="00E93F58" w:rsidP="00B50726">
      <w:pPr>
        <w:pStyle w:val="ActHead5"/>
      </w:pPr>
      <w:bookmarkStart w:id="2053" w:name="_Toc152055002"/>
      <w:bookmarkStart w:id="2054" w:name="_Toc158712818"/>
      <w:r w:rsidRPr="006F296E">
        <w:rPr>
          <w:rStyle w:val="CharSectno"/>
        </w:rPr>
        <w:lastRenderedPageBreak/>
        <w:t>7.11.05</w:t>
      </w:r>
      <w:r w:rsidRPr="00283424">
        <w:t xml:space="preserve">  Document duly completed in accordance with a particular form</w:t>
      </w:r>
      <w:bookmarkEnd w:id="2053"/>
      <w:bookmarkEnd w:id="2054"/>
    </w:p>
    <w:p w14:paraId="4E967CB1" w14:textId="77777777" w:rsidR="00E93F58" w:rsidRPr="00283424" w:rsidRDefault="00E93F58" w:rsidP="00B50726">
      <w:pPr>
        <w:pStyle w:val="subsection"/>
        <w:rPr>
          <w:color w:val="000000"/>
        </w:rPr>
      </w:pPr>
      <w:r w:rsidRPr="00283424">
        <w:rPr>
          <w:color w:val="000000"/>
        </w:rPr>
        <w:tab/>
        <w:t>(1)</w:t>
      </w:r>
      <w:r w:rsidRPr="00283424">
        <w:rPr>
          <w:color w:val="000000"/>
        </w:rPr>
        <w:tab/>
        <w:t xml:space="preserve">Subject to subregulation (2), a document is not </w:t>
      </w:r>
      <w:r w:rsidRPr="00283424">
        <w:rPr>
          <w:b/>
          <w:i/>
          <w:color w:val="000000"/>
        </w:rPr>
        <w:t>duly completed</w:t>
      </w:r>
      <w:r w:rsidRPr="00283424">
        <w:rPr>
          <w:color w:val="000000"/>
        </w:rPr>
        <w:t xml:space="preserve"> in accordance with one of Forms 1, 2, 3, 4, 5, 6, 7 and 8, or a part of one of those forms, unless the following requirements are met:</w:t>
      </w:r>
    </w:p>
    <w:p w14:paraId="7E3A7A39" w14:textId="77777777" w:rsidR="00E93F58" w:rsidRPr="00283424" w:rsidRDefault="00E93F58" w:rsidP="00B50726">
      <w:pPr>
        <w:pStyle w:val="paragraph"/>
        <w:rPr>
          <w:color w:val="000000"/>
        </w:rPr>
      </w:pPr>
      <w:r w:rsidRPr="00283424">
        <w:rPr>
          <w:color w:val="000000"/>
        </w:rPr>
        <w:tab/>
        <w:t>(a)</w:t>
      </w:r>
      <w:r w:rsidRPr="00283424">
        <w:rPr>
          <w:color w:val="000000"/>
        </w:rPr>
        <w:tab/>
        <w:t>the document must purport to state the transferee’s name and address where the form or part requires that information;</w:t>
      </w:r>
    </w:p>
    <w:p w14:paraId="246FDA70" w14:textId="77777777" w:rsidR="00E93F58" w:rsidRPr="00283424" w:rsidRDefault="00E93F58" w:rsidP="00B50726">
      <w:pPr>
        <w:pStyle w:val="paragraph"/>
      </w:pPr>
      <w:r w:rsidRPr="00283424">
        <w:tab/>
        <w:t>(b)</w:t>
      </w:r>
      <w:r w:rsidRPr="00283424">
        <w:tab/>
        <w:t>the document must bear a stamp that purports to be the transferor’s broker’s stamp where the form or part requires that information;</w:t>
      </w:r>
    </w:p>
    <w:p w14:paraId="721BCCBB" w14:textId="77777777" w:rsidR="00E93F58" w:rsidRPr="00283424" w:rsidRDefault="00E93F58" w:rsidP="00B50726">
      <w:pPr>
        <w:pStyle w:val="paragraph"/>
      </w:pPr>
      <w:r w:rsidRPr="00283424">
        <w:tab/>
        <w:t>(c)</w:t>
      </w:r>
      <w:r w:rsidRPr="00283424">
        <w:tab/>
        <w:t>the document must bear a stamp that purports to be the transferee’s broker’s stamp where the form or part requires that information;</w:t>
      </w:r>
    </w:p>
    <w:p w14:paraId="2F8A1E2B" w14:textId="77777777" w:rsidR="00E93F58" w:rsidRPr="00283424" w:rsidRDefault="00E93F58" w:rsidP="00B50726">
      <w:pPr>
        <w:pStyle w:val="paragraph"/>
      </w:pPr>
      <w:r w:rsidRPr="00283424">
        <w:tab/>
        <w:t>(d)</w:t>
      </w:r>
      <w:r w:rsidRPr="00283424">
        <w:tab/>
        <w:t>the document must bear a stamp that purports to be a market licensee’s stamp where the form or part requires that information.</w:t>
      </w:r>
    </w:p>
    <w:p w14:paraId="60B41164" w14:textId="77777777" w:rsidR="00E93F58" w:rsidRPr="00283424" w:rsidRDefault="00E93F58" w:rsidP="00B50726">
      <w:pPr>
        <w:pStyle w:val="subsection"/>
      </w:pPr>
      <w:r w:rsidRPr="00283424">
        <w:tab/>
        <w:t>(2)</w:t>
      </w:r>
      <w:r w:rsidRPr="00283424">
        <w:tab/>
        <w:t xml:space="preserve">If a document (the </w:t>
      </w:r>
      <w:r w:rsidRPr="00283424">
        <w:rPr>
          <w:b/>
          <w:i/>
        </w:rPr>
        <w:t>first document</w:t>
      </w:r>
      <w:r w:rsidRPr="00283424">
        <w:t xml:space="preserve">) relates to particular Division 3 securities, the following paragraphs apply for the purposes of determining whether the first document and another document (the </w:t>
      </w:r>
      <w:r w:rsidRPr="00283424">
        <w:rPr>
          <w:b/>
          <w:i/>
        </w:rPr>
        <w:t>second document</w:t>
      </w:r>
      <w:r w:rsidRPr="00283424">
        <w:t>) are, together or with 1 or more other documents, a sufficient transfer of the Division 3 securities:</w:t>
      </w:r>
    </w:p>
    <w:p w14:paraId="770C04E3" w14:textId="77777777" w:rsidR="00E93F58" w:rsidRPr="00283424" w:rsidRDefault="00E93F58" w:rsidP="00B50726">
      <w:pPr>
        <w:pStyle w:val="paragraph"/>
      </w:pPr>
      <w:r w:rsidRPr="00283424">
        <w:tab/>
        <w:t>(a)</w:t>
      </w:r>
      <w:r w:rsidRPr="00283424">
        <w:tab/>
        <w:t>the first document is not duly completed in accordance with Part 3 of Form 1, 2, 3, 5, 6 or 7 unless it:</w:t>
      </w:r>
    </w:p>
    <w:p w14:paraId="23247752" w14:textId="77777777" w:rsidR="00E93F58" w:rsidRPr="00283424" w:rsidRDefault="00E93F58" w:rsidP="00B50726">
      <w:pPr>
        <w:pStyle w:val="paragraphsub"/>
        <w:rPr>
          <w:color w:val="000000"/>
        </w:rPr>
      </w:pPr>
      <w:r w:rsidRPr="00283424">
        <w:rPr>
          <w:color w:val="000000"/>
        </w:rPr>
        <w:tab/>
        <w:t>(i)</w:t>
      </w:r>
      <w:r w:rsidRPr="00283424">
        <w:rPr>
          <w:color w:val="000000"/>
        </w:rPr>
        <w:tab/>
        <w:t>bears a stamp that purports to be the transferee’s broker’s stamp where that part refers to the transferee’s broker’s stamp; and</w:t>
      </w:r>
    </w:p>
    <w:p w14:paraId="49024C32" w14:textId="77777777" w:rsidR="00E93F58" w:rsidRPr="00283424" w:rsidRDefault="00E93F58" w:rsidP="00B50726">
      <w:pPr>
        <w:pStyle w:val="paragraphsub"/>
      </w:pPr>
      <w:r w:rsidRPr="00283424">
        <w:tab/>
        <w:t>(ii)</w:t>
      </w:r>
      <w:r w:rsidRPr="00283424">
        <w:tab/>
        <w:t>sets out a string of characters that purports to be the transfer consolidation number of the first document where that part refers to the transferee’s broker’s stamp;</w:t>
      </w:r>
    </w:p>
    <w:p w14:paraId="7831F7F9" w14:textId="77777777" w:rsidR="00E93F58" w:rsidRPr="00283424" w:rsidRDefault="00E93F58" w:rsidP="00B50726">
      <w:pPr>
        <w:pStyle w:val="paragraph"/>
      </w:pPr>
      <w:r w:rsidRPr="00283424">
        <w:rPr>
          <w:color w:val="000000"/>
        </w:rPr>
        <w:tab/>
        <w:t>(b)</w:t>
      </w:r>
      <w:r w:rsidRPr="00283424">
        <w:rPr>
          <w:color w:val="000000"/>
        </w:rPr>
        <w:tab/>
        <w:t>the second document is not duly completed in accordance with Part 1 of Form 4 or 8 unless it sets out a string of characters that purports to be the transfer consolidation number of the first document where that part refers to a transfer consolidation number or transfer consolidation numbers (whether or not it sets out 1 or more strings of characters that do not purport to be the transfer consolidation number);</w:t>
      </w:r>
    </w:p>
    <w:p w14:paraId="3002F52F" w14:textId="77777777" w:rsidR="00E93F58" w:rsidRPr="00283424" w:rsidRDefault="00E93F58" w:rsidP="00B50726">
      <w:pPr>
        <w:pStyle w:val="paragraph"/>
      </w:pPr>
      <w:r w:rsidRPr="00283424">
        <w:tab/>
        <w:t>(c)</w:t>
      </w:r>
      <w:r w:rsidRPr="00283424">
        <w:tab/>
        <w:t>the second document can be duly completed in accordance with Part 1 of Form 4 or 8 even if it does not set out correctly the number of Division 3 securities to which it relates.</w:t>
      </w:r>
    </w:p>
    <w:p w14:paraId="7C84CAF0" w14:textId="77777777" w:rsidR="00E93F58" w:rsidRPr="00283424" w:rsidRDefault="00E93F58" w:rsidP="00B50726">
      <w:pPr>
        <w:pStyle w:val="notetext"/>
      </w:pPr>
      <w:r w:rsidRPr="00283424">
        <w:rPr>
          <w:color w:val="000000"/>
        </w:rPr>
        <w:t>Note:</w:t>
      </w:r>
      <w:r w:rsidRPr="00283424">
        <w:rPr>
          <w:color w:val="000000"/>
        </w:rPr>
        <w:tab/>
        <w:t xml:space="preserve">If the document mentioned in subregulation (1), or the documents mentioned in subregulation (2), are a sufficient transfer of the Division 3 securities, the document or documents become </w:t>
      </w:r>
      <w:r w:rsidRPr="00283424">
        <w:rPr>
          <w:b/>
          <w:i/>
          <w:color w:val="000000"/>
        </w:rPr>
        <w:t>transfer documents</w:t>
      </w:r>
      <w:r w:rsidRPr="00283424">
        <w:rPr>
          <w:color w:val="000000"/>
        </w:rPr>
        <w:t xml:space="preserve"> for this Part.</w:t>
      </w:r>
    </w:p>
    <w:p w14:paraId="0D6A423E" w14:textId="77777777" w:rsidR="00E93F58" w:rsidRPr="00283424" w:rsidRDefault="00E93F58" w:rsidP="00B50726">
      <w:pPr>
        <w:pStyle w:val="ActHead5"/>
      </w:pPr>
      <w:bookmarkStart w:id="2055" w:name="_Toc152055003"/>
      <w:bookmarkStart w:id="2056" w:name="_Toc158712819"/>
      <w:r w:rsidRPr="006F296E">
        <w:rPr>
          <w:rStyle w:val="CharSectno"/>
        </w:rPr>
        <w:t>7.11.06</w:t>
      </w:r>
      <w:r w:rsidRPr="00283424">
        <w:t xml:space="preserve">  Stamping of documents</w:t>
      </w:r>
      <w:bookmarkEnd w:id="2055"/>
      <w:bookmarkEnd w:id="2056"/>
    </w:p>
    <w:p w14:paraId="407BEB1D" w14:textId="77777777" w:rsidR="00E93F58" w:rsidRPr="00283424" w:rsidRDefault="00E93F58" w:rsidP="00B50726">
      <w:pPr>
        <w:pStyle w:val="subsection"/>
        <w:rPr>
          <w:color w:val="000000"/>
        </w:rPr>
      </w:pPr>
      <w:r w:rsidRPr="00283424">
        <w:rPr>
          <w:color w:val="000000"/>
        </w:rPr>
        <w:tab/>
        <w:t>(1)</w:t>
      </w:r>
      <w:r w:rsidRPr="00283424">
        <w:rPr>
          <w:color w:val="000000"/>
        </w:rPr>
        <w:tab/>
        <w:t>In this Part (other than regulation 7.11.40):</w:t>
      </w:r>
    </w:p>
    <w:p w14:paraId="6CF77FEA" w14:textId="77777777" w:rsidR="00E93F58" w:rsidRPr="00283424" w:rsidRDefault="00E93F58" w:rsidP="00B50726">
      <w:pPr>
        <w:pStyle w:val="paragraph"/>
        <w:rPr>
          <w:color w:val="000000"/>
        </w:rPr>
      </w:pPr>
      <w:r w:rsidRPr="00283424">
        <w:rPr>
          <w:color w:val="000000"/>
        </w:rPr>
        <w:tab/>
        <w:t>(a)</w:t>
      </w:r>
      <w:r w:rsidRPr="00283424">
        <w:rPr>
          <w:color w:val="000000"/>
        </w:rPr>
        <w:tab/>
        <w:t>a reference to the stamping of a document is a reference to stamping in ink; and</w:t>
      </w:r>
    </w:p>
    <w:p w14:paraId="6DF31FAD" w14:textId="77777777" w:rsidR="00E93F58" w:rsidRPr="00283424" w:rsidRDefault="00E93F58" w:rsidP="00B50726">
      <w:pPr>
        <w:pStyle w:val="paragraph"/>
      </w:pPr>
      <w:r w:rsidRPr="00283424">
        <w:tab/>
        <w:t>(b)</w:t>
      </w:r>
      <w:r w:rsidRPr="00283424">
        <w:tab/>
        <w:t>a reference to a stamp on a document, or to a stamp borne by a document, is a reference to a stamp stamped on the document in ink.</w:t>
      </w:r>
    </w:p>
    <w:p w14:paraId="231330CD" w14:textId="77777777" w:rsidR="00E93F58" w:rsidRPr="00283424" w:rsidRDefault="00E93F58" w:rsidP="00B50726">
      <w:pPr>
        <w:pStyle w:val="subsection"/>
      </w:pPr>
      <w:r w:rsidRPr="00283424">
        <w:rPr>
          <w:color w:val="000000"/>
        </w:rPr>
        <w:tab/>
        <w:t>(2)</w:t>
      </w:r>
      <w:r w:rsidRPr="00283424">
        <w:rPr>
          <w:color w:val="000000"/>
        </w:rPr>
        <w:tab/>
        <w:t>A reference in regulation 7.11.40 to the stamping of a document is a reference to stamping the document in any manner.</w:t>
      </w:r>
    </w:p>
    <w:p w14:paraId="3243F32D" w14:textId="77777777" w:rsidR="00E93F58" w:rsidRPr="00283424" w:rsidRDefault="00E93F58" w:rsidP="00B50726">
      <w:pPr>
        <w:pStyle w:val="notetext"/>
      </w:pPr>
      <w:r w:rsidRPr="00283424">
        <w:t>Examples:</w:t>
      </w:r>
    </w:p>
    <w:p w14:paraId="73D4E2DB" w14:textId="77777777" w:rsidR="00E93F58" w:rsidRPr="00283424" w:rsidRDefault="00E93F58" w:rsidP="00B50726">
      <w:pPr>
        <w:pStyle w:val="notetext"/>
      </w:pPr>
      <w:r w:rsidRPr="00283424">
        <w:t>1</w:t>
      </w:r>
      <w:r w:rsidRPr="00283424">
        <w:tab/>
        <w:t>Stamping in ink.</w:t>
      </w:r>
    </w:p>
    <w:p w14:paraId="490FDFC6" w14:textId="77777777" w:rsidR="00E93F58" w:rsidRPr="00283424" w:rsidRDefault="00E93F58" w:rsidP="00B50726">
      <w:pPr>
        <w:pStyle w:val="notetext"/>
      </w:pPr>
      <w:r w:rsidRPr="00283424">
        <w:t>2</w:t>
      </w:r>
      <w:r w:rsidRPr="00283424">
        <w:tab/>
        <w:t>Affixing a stamp.</w:t>
      </w:r>
    </w:p>
    <w:p w14:paraId="01087E48" w14:textId="77777777" w:rsidR="00E93F58" w:rsidRPr="00283424" w:rsidRDefault="00E93F58" w:rsidP="00B50726">
      <w:pPr>
        <w:pStyle w:val="notetext"/>
      </w:pPr>
      <w:r w:rsidRPr="00283424">
        <w:t>3</w:t>
      </w:r>
      <w:r w:rsidRPr="00283424">
        <w:tab/>
        <w:t>Impressing a stamp.</w:t>
      </w:r>
    </w:p>
    <w:p w14:paraId="3DE15158" w14:textId="77777777" w:rsidR="00E93F58" w:rsidRPr="00283424" w:rsidRDefault="00E93F58" w:rsidP="00B50726">
      <w:pPr>
        <w:pStyle w:val="ActHead5"/>
      </w:pPr>
      <w:bookmarkStart w:id="2057" w:name="_Toc152055004"/>
      <w:bookmarkStart w:id="2058" w:name="_Toc158712820"/>
      <w:r w:rsidRPr="006F296E">
        <w:rPr>
          <w:rStyle w:val="CharSectno"/>
        </w:rPr>
        <w:t>7.11.07</w:t>
      </w:r>
      <w:r w:rsidRPr="00283424">
        <w:t xml:space="preserve">  Application of Division 3 of Part 7.11 of the Act to certain bodies</w:t>
      </w:r>
      <w:bookmarkEnd w:id="2057"/>
      <w:bookmarkEnd w:id="2058"/>
    </w:p>
    <w:p w14:paraId="07FA77DD" w14:textId="77777777" w:rsidR="00E93F58" w:rsidRPr="00283424" w:rsidRDefault="00E93F58" w:rsidP="00B50726">
      <w:pPr>
        <w:pStyle w:val="subsection"/>
      </w:pPr>
      <w:r w:rsidRPr="00283424">
        <w:rPr>
          <w:color w:val="000000"/>
        </w:rPr>
        <w:tab/>
        <w:t>(1)</w:t>
      </w:r>
      <w:r w:rsidRPr="00283424">
        <w:rPr>
          <w:color w:val="000000"/>
        </w:rPr>
        <w:tab/>
        <w:t>For subparagraph 1073C(a)(ii) of the Act, the Westpac Banking Corporation is prescribed.</w:t>
      </w:r>
    </w:p>
    <w:p w14:paraId="2ED4FE87" w14:textId="77777777" w:rsidR="00E93F58" w:rsidRPr="00283424" w:rsidRDefault="00E93F58" w:rsidP="00B50726">
      <w:pPr>
        <w:pStyle w:val="subsection"/>
      </w:pPr>
      <w:r w:rsidRPr="00283424">
        <w:rPr>
          <w:color w:val="000000"/>
        </w:rPr>
        <w:tab/>
        <w:t>(2)</w:t>
      </w:r>
      <w:r w:rsidRPr="00283424">
        <w:rPr>
          <w:color w:val="000000"/>
        </w:rPr>
        <w:tab/>
        <w:t>For subparagraph 1073C(b)(iii) of the Act, the Australian Gas Light Company is prescribed.</w:t>
      </w:r>
    </w:p>
    <w:p w14:paraId="3C353F16" w14:textId="77777777" w:rsidR="00E93F58" w:rsidRPr="00283424" w:rsidRDefault="00E93F58" w:rsidP="00B50726">
      <w:pPr>
        <w:pStyle w:val="notetext"/>
      </w:pPr>
      <w:r w:rsidRPr="00283424">
        <w:rPr>
          <w:color w:val="000000"/>
        </w:rPr>
        <w:t>Note:</w:t>
      </w:r>
      <w:r w:rsidRPr="00283424">
        <w:rPr>
          <w:color w:val="000000"/>
        </w:rPr>
        <w:tab/>
        <w:t>The effect of section 1073C of the Act is that Division 3 of Part 7.11 of the Act applies to bodies prescribed for that section as if they were companies.</w:t>
      </w:r>
    </w:p>
    <w:p w14:paraId="61C1F1C0" w14:textId="77777777" w:rsidR="00E93F58" w:rsidRPr="00283424" w:rsidRDefault="00E93F58" w:rsidP="00B50726">
      <w:pPr>
        <w:pStyle w:val="ActHead5"/>
      </w:pPr>
      <w:bookmarkStart w:id="2059" w:name="_Toc152055005"/>
      <w:bookmarkStart w:id="2060" w:name="_Toc158712821"/>
      <w:r w:rsidRPr="006F296E">
        <w:rPr>
          <w:rStyle w:val="CharSectno"/>
        </w:rPr>
        <w:t>7.11.08</w:t>
      </w:r>
      <w:r w:rsidRPr="00283424">
        <w:t xml:space="preserve">  Interests in registered schemes</w:t>
      </w:r>
      <w:bookmarkEnd w:id="2059"/>
      <w:bookmarkEnd w:id="2060"/>
    </w:p>
    <w:p w14:paraId="68644CE2" w14:textId="77777777" w:rsidR="00E93F58" w:rsidRPr="00283424" w:rsidRDefault="00E93F58" w:rsidP="00B50726">
      <w:pPr>
        <w:pStyle w:val="subsection"/>
        <w:keepNext/>
        <w:keepLines/>
      </w:pPr>
      <w:r w:rsidRPr="00283424">
        <w:tab/>
      </w:r>
      <w:r w:rsidRPr="00283424">
        <w:tab/>
        <w:t xml:space="preserve">For paragraph 1073A(1)(c) of the Act, an interest in a registered scheme is an </w:t>
      </w:r>
      <w:r w:rsidRPr="00283424">
        <w:rPr>
          <w:b/>
          <w:i/>
        </w:rPr>
        <w:t xml:space="preserve">interest in a registered scheme </w:t>
      </w:r>
      <w:r w:rsidRPr="00283424">
        <w:t>if the interest:</w:t>
      </w:r>
    </w:p>
    <w:p w14:paraId="6AE656C9" w14:textId="77777777" w:rsidR="00E93F58" w:rsidRPr="00283424" w:rsidRDefault="00E93F58" w:rsidP="00B50726">
      <w:pPr>
        <w:pStyle w:val="paragraph"/>
      </w:pPr>
      <w:r w:rsidRPr="00283424">
        <w:rPr>
          <w:color w:val="000000"/>
        </w:rPr>
        <w:tab/>
        <w:t>(a)</w:t>
      </w:r>
      <w:r w:rsidRPr="00283424">
        <w:rPr>
          <w:color w:val="000000"/>
        </w:rPr>
        <w:tab/>
        <w:t>is an interest in a managed investment scheme that is registered under section 601EB of the Act; and</w:t>
      </w:r>
    </w:p>
    <w:p w14:paraId="219C514F" w14:textId="77777777" w:rsidR="00E93F58" w:rsidRPr="00283424" w:rsidRDefault="00E93F58" w:rsidP="00B50726">
      <w:pPr>
        <w:pStyle w:val="paragraph"/>
      </w:pPr>
      <w:r w:rsidRPr="00283424">
        <w:tab/>
        <w:t>(b)</w:t>
      </w:r>
      <w:r w:rsidRPr="00283424">
        <w:tab/>
        <w:t>is quoted on the financial market of the Australian Stock Exchange Limited.</w:t>
      </w:r>
    </w:p>
    <w:p w14:paraId="04E819F2" w14:textId="77777777" w:rsidR="00E93F58" w:rsidRPr="00283424" w:rsidRDefault="00E93F58" w:rsidP="00B50726">
      <w:pPr>
        <w:pStyle w:val="ActHead3"/>
        <w:pageBreakBefore/>
        <w:rPr>
          <w:color w:val="000000"/>
        </w:rPr>
      </w:pPr>
      <w:bookmarkStart w:id="2061" w:name="_Toc152055006"/>
      <w:bookmarkStart w:id="2062" w:name="_Toc158712822"/>
      <w:r w:rsidRPr="006F296E">
        <w:rPr>
          <w:rStyle w:val="CharDivNo"/>
        </w:rPr>
        <w:lastRenderedPageBreak/>
        <w:t>Division 2</w:t>
      </w:r>
      <w:r w:rsidRPr="00283424">
        <w:rPr>
          <w:color w:val="000000"/>
        </w:rPr>
        <w:t>—</w:t>
      </w:r>
      <w:r w:rsidRPr="006F296E">
        <w:rPr>
          <w:rStyle w:val="CharDivText"/>
        </w:rPr>
        <w:t>Application of Part 7.11</w:t>
      </w:r>
      <w:bookmarkEnd w:id="2061"/>
      <w:bookmarkEnd w:id="2062"/>
    </w:p>
    <w:p w14:paraId="57380F03" w14:textId="77777777" w:rsidR="00E93F58" w:rsidRPr="00283424" w:rsidRDefault="00E93F58" w:rsidP="00B50726">
      <w:pPr>
        <w:pStyle w:val="ActHead5"/>
      </w:pPr>
      <w:bookmarkStart w:id="2063" w:name="_Toc152055007"/>
      <w:bookmarkStart w:id="2064" w:name="_Toc158712823"/>
      <w:r w:rsidRPr="006F296E">
        <w:rPr>
          <w:rStyle w:val="CharSectno"/>
        </w:rPr>
        <w:t>7.11.09</w:t>
      </w:r>
      <w:r w:rsidRPr="00283424">
        <w:t xml:space="preserve">  Application</w:t>
      </w:r>
      <w:bookmarkEnd w:id="2063"/>
      <w:bookmarkEnd w:id="2064"/>
    </w:p>
    <w:p w14:paraId="1CA4C57A" w14:textId="77777777" w:rsidR="00E93F58" w:rsidRPr="00283424" w:rsidRDefault="00E93F58" w:rsidP="00B50726">
      <w:pPr>
        <w:pStyle w:val="subsection"/>
      </w:pPr>
      <w:r w:rsidRPr="00283424">
        <w:rPr>
          <w:color w:val="000000"/>
        </w:rPr>
        <w:tab/>
      </w:r>
      <w:r w:rsidRPr="00283424">
        <w:rPr>
          <w:color w:val="000000"/>
        </w:rPr>
        <w:tab/>
        <w:t>This Part applies to conduct engaged in in this jurisdiction or otherwise.</w:t>
      </w:r>
    </w:p>
    <w:p w14:paraId="7838958F" w14:textId="77777777" w:rsidR="00E93F58" w:rsidRPr="00283424" w:rsidRDefault="00E93F58" w:rsidP="00B50726">
      <w:pPr>
        <w:pStyle w:val="ActHead3"/>
        <w:pageBreakBefore/>
        <w:rPr>
          <w:color w:val="000000"/>
        </w:rPr>
      </w:pPr>
      <w:bookmarkStart w:id="2065" w:name="_Toc152055008"/>
      <w:bookmarkStart w:id="2066" w:name="_Toc158712824"/>
      <w:r w:rsidRPr="006F296E">
        <w:rPr>
          <w:rStyle w:val="CharDivNo"/>
        </w:rPr>
        <w:lastRenderedPageBreak/>
        <w:t>Division 3</w:t>
      </w:r>
      <w:r w:rsidRPr="00283424">
        <w:rPr>
          <w:color w:val="000000"/>
        </w:rPr>
        <w:t>—</w:t>
      </w:r>
      <w:r w:rsidRPr="006F296E">
        <w:rPr>
          <w:rStyle w:val="CharDivText"/>
        </w:rPr>
        <w:t>Transfer of Division 3 securities effected otherwise than through a prescribed CS facility</w:t>
      </w:r>
      <w:bookmarkEnd w:id="2065"/>
      <w:bookmarkEnd w:id="2066"/>
    </w:p>
    <w:p w14:paraId="2DCE90A7" w14:textId="77777777" w:rsidR="00E93F58" w:rsidRPr="00283424" w:rsidRDefault="00E93F58" w:rsidP="00B50726">
      <w:pPr>
        <w:pStyle w:val="ActHead5"/>
      </w:pPr>
      <w:bookmarkStart w:id="2067" w:name="_Toc152055009"/>
      <w:bookmarkStart w:id="2068" w:name="_Toc158712825"/>
      <w:r w:rsidRPr="006F296E">
        <w:rPr>
          <w:rStyle w:val="CharSectno"/>
        </w:rPr>
        <w:t>7.11.10</w:t>
      </w:r>
      <w:r w:rsidRPr="00283424">
        <w:t xml:space="preserve">  Application of Division 3</w:t>
      </w:r>
      <w:bookmarkEnd w:id="2067"/>
      <w:bookmarkEnd w:id="2068"/>
    </w:p>
    <w:p w14:paraId="68901A53" w14:textId="77777777" w:rsidR="00E93F58" w:rsidRPr="00283424" w:rsidRDefault="00E93F58" w:rsidP="00B50726">
      <w:pPr>
        <w:pStyle w:val="subsection"/>
      </w:pPr>
      <w:r w:rsidRPr="00283424">
        <w:rPr>
          <w:color w:val="000000"/>
        </w:rPr>
        <w:tab/>
      </w:r>
      <w:r w:rsidRPr="00283424">
        <w:rPr>
          <w:color w:val="000000"/>
        </w:rPr>
        <w:tab/>
        <w:t>This Division is made under section 1073D of the Act, and applies to transfers of Division 3 securities effected otherwise than through a prescribed CS facility.</w:t>
      </w:r>
    </w:p>
    <w:p w14:paraId="7B4EE32D" w14:textId="77777777" w:rsidR="00E93F58" w:rsidRPr="00283424" w:rsidRDefault="00E93F58" w:rsidP="00B50726">
      <w:pPr>
        <w:pStyle w:val="ActHead5"/>
      </w:pPr>
      <w:bookmarkStart w:id="2069" w:name="_Toc152055010"/>
      <w:bookmarkStart w:id="2070" w:name="_Toc158712826"/>
      <w:r w:rsidRPr="006F296E">
        <w:rPr>
          <w:rStyle w:val="CharSectno"/>
        </w:rPr>
        <w:t>7.11.11</w:t>
      </w:r>
      <w:r w:rsidRPr="00283424">
        <w:t xml:space="preserve">  Sufficient transfer: general</w:t>
      </w:r>
      <w:bookmarkEnd w:id="2069"/>
      <w:bookmarkEnd w:id="2070"/>
    </w:p>
    <w:p w14:paraId="1C6E2D4F" w14:textId="77777777" w:rsidR="00E93F58" w:rsidRPr="00283424" w:rsidRDefault="00E93F58" w:rsidP="00B50726">
      <w:pPr>
        <w:pStyle w:val="subsection"/>
      </w:pPr>
      <w:r w:rsidRPr="00283424">
        <w:tab/>
        <w:t>(1)</w:t>
      </w:r>
      <w:r w:rsidRPr="00283424">
        <w:tab/>
        <w:t xml:space="preserve">A document is a </w:t>
      </w:r>
      <w:r w:rsidRPr="00283424">
        <w:rPr>
          <w:b/>
          <w:i/>
        </w:rPr>
        <w:t>sufficient transfer</w:t>
      </w:r>
      <w:r w:rsidRPr="00283424">
        <w:rPr>
          <w:b/>
        </w:rPr>
        <w:t xml:space="preserve"> </w:t>
      </w:r>
      <w:r w:rsidRPr="00283424">
        <w:t>of Division 3 assets if it:</w:t>
      </w:r>
    </w:p>
    <w:p w14:paraId="49CD0232" w14:textId="77777777" w:rsidR="00E93F58" w:rsidRPr="00283424" w:rsidRDefault="00E93F58" w:rsidP="00B50726">
      <w:pPr>
        <w:pStyle w:val="paragraph"/>
        <w:rPr>
          <w:color w:val="000000"/>
        </w:rPr>
      </w:pPr>
      <w:r w:rsidRPr="00283424">
        <w:rPr>
          <w:color w:val="000000"/>
        </w:rPr>
        <w:tab/>
        <w:t>(a)</w:t>
      </w:r>
      <w:r w:rsidRPr="00283424">
        <w:rPr>
          <w:color w:val="000000"/>
        </w:rPr>
        <w:tab/>
        <w:t>relates to those assets; and</w:t>
      </w:r>
    </w:p>
    <w:p w14:paraId="58DA117A" w14:textId="77777777" w:rsidR="00E93F58" w:rsidRPr="00283424" w:rsidRDefault="00E93F58" w:rsidP="00B50726">
      <w:pPr>
        <w:pStyle w:val="paragraph"/>
      </w:pPr>
      <w:r w:rsidRPr="00283424">
        <w:tab/>
        <w:t>(b)</w:t>
      </w:r>
      <w:r w:rsidRPr="00283424">
        <w:tab/>
        <w:t>is duly completed in accordance with the documentation in any of the following subparagraphs:</w:t>
      </w:r>
    </w:p>
    <w:p w14:paraId="40DD62F1" w14:textId="77777777" w:rsidR="00E93F58" w:rsidRPr="00283424" w:rsidRDefault="00E93F58" w:rsidP="00B50726">
      <w:pPr>
        <w:pStyle w:val="paragraphsub"/>
        <w:rPr>
          <w:color w:val="000000"/>
        </w:rPr>
      </w:pPr>
      <w:r w:rsidRPr="00283424">
        <w:rPr>
          <w:color w:val="000000"/>
        </w:rPr>
        <w:tab/>
        <w:t>(i)</w:t>
      </w:r>
      <w:r w:rsidRPr="00283424">
        <w:rPr>
          <w:color w:val="000000"/>
        </w:rPr>
        <w:tab/>
        <w:t>Parts 1 and 2 of Form 1;</w:t>
      </w:r>
    </w:p>
    <w:p w14:paraId="0829876E" w14:textId="77777777" w:rsidR="00E93F58" w:rsidRPr="00283424" w:rsidRDefault="00E93F58" w:rsidP="00B50726">
      <w:pPr>
        <w:pStyle w:val="paragraphsub"/>
      </w:pPr>
      <w:r w:rsidRPr="00283424">
        <w:tab/>
        <w:t>(ii)</w:t>
      </w:r>
      <w:r w:rsidRPr="00283424">
        <w:tab/>
        <w:t>Part 1 of Form 1 and Parts 1 and 2 of Form 2 or Form 3;</w:t>
      </w:r>
    </w:p>
    <w:p w14:paraId="3C3D2C33" w14:textId="77777777" w:rsidR="00E93F58" w:rsidRPr="00283424" w:rsidRDefault="00E93F58" w:rsidP="00B50726">
      <w:pPr>
        <w:pStyle w:val="paragraphsub"/>
      </w:pPr>
      <w:r w:rsidRPr="00283424">
        <w:tab/>
        <w:t>(iii)</w:t>
      </w:r>
      <w:r w:rsidRPr="00283424">
        <w:tab/>
        <w:t>Parts 1 and 3 of Form 1 and both parts of Form 4;</w:t>
      </w:r>
    </w:p>
    <w:p w14:paraId="11D584EF" w14:textId="77777777" w:rsidR="00E93F58" w:rsidRPr="00283424" w:rsidRDefault="00E93F58" w:rsidP="00B50726">
      <w:pPr>
        <w:pStyle w:val="paragraphsub"/>
      </w:pPr>
      <w:r w:rsidRPr="00283424">
        <w:tab/>
        <w:t>(iv)</w:t>
      </w:r>
      <w:r w:rsidRPr="00283424">
        <w:tab/>
        <w:t>Part 1 of Form 1, Parts 1 and 3 of Form 2 or Form 3 and both parts of Form 4.</w:t>
      </w:r>
    </w:p>
    <w:p w14:paraId="47598796" w14:textId="77777777" w:rsidR="00E93F58" w:rsidRPr="00283424" w:rsidRDefault="00E93F58" w:rsidP="00B50726">
      <w:pPr>
        <w:pStyle w:val="subsection"/>
      </w:pPr>
      <w:r w:rsidRPr="00283424">
        <w:tab/>
        <w:t>(2)</w:t>
      </w:r>
      <w:r w:rsidRPr="00283424">
        <w:tab/>
        <w:t xml:space="preserve">A document is a </w:t>
      </w:r>
      <w:r w:rsidRPr="00283424">
        <w:rPr>
          <w:b/>
          <w:i/>
        </w:rPr>
        <w:t>sufficient transfer</w:t>
      </w:r>
      <w:r w:rsidRPr="00283424">
        <w:t xml:space="preserve"> of Division 3 rights if it:</w:t>
      </w:r>
    </w:p>
    <w:p w14:paraId="50B35943" w14:textId="77777777" w:rsidR="00E93F58" w:rsidRPr="00283424" w:rsidRDefault="00E93F58" w:rsidP="00B50726">
      <w:pPr>
        <w:pStyle w:val="paragraph"/>
        <w:rPr>
          <w:color w:val="000000"/>
        </w:rPr>
      </w:pPr>
      <w:r w:rsidRPr="00283424">
        <w:rPr>
          <w:color w:val="000000"/>
        </w:rPr>
        <w:tab/>
        <w:t>(a)</w:t>
      </w:r>
      <w:r w:rsidRPr="00283424">
        <w:rPr>
          <w:color w:val="000000"/>
        </w:rPr>
        <w:tab/>
        <w:t>relates to those rights; and</w:t>
      </w:r>
    </w:p>
    <w:p w14:paraId="0B743C08" w14:textId="77777777" w:rsidR="00E93F58" w:rsidRPr="00283424" w:rsidRDefault="00E93F58" w:rsidP="00B50726">
      <w:pPr>
        <w:pStyle w:val="paragraph"/>
      </w:pPr>
      <w:r w:rsidRPr="00283424">
        <w:tab/>
        <w:t>(b)</w:t>
      </w:r>
      <w:r w:rsidRPr="00283424">
        <w:tab/>
        <w:t>is duly completed in accordance with the documentation in any of the following subparagraphs:</w:t>
      </w:r>
    </w:p>
    <w:p w14:paraId="052FA679" w14:textId="77777777" w:rsidR="00E93F58" w:rsidRPr="00283424" w:rsidRDefault="00E93F58" w:rsidP="00B50726">
      <w:pPr>
        <w:pStyle w:val="paragraphsub"/>
        <w:rPr>
          <w:color w:val="000000"/>
        </w:rPr>
      </w:pPr>
      <w:r w:rsidRPr="00283424">
        <w:rPr>
          <w:color w:val="000000"/>
        </w:rPr>
        <w:tab/>
        <w:t>(i)</w:t>
      </w:r>
      <w:r w:rsidRPr="00283424">
        <w:rPr>
          <w:color w:val="000000"/>
        </w:rPr>
        <w:tab/>
        <w:t>Parts 1 and 2 of Form 5;</w:t>
      </w:r>
    </w:p>
    <w:p w14:paraId="10121FD7" w14:textId="77777777" w:rsidR="00E93F58" w:rsidRPr="00283424" w:rsidRDefault="00E93F58" w:rsidP="00B50726">
      <w:pPr>
        <w:pStyle w:val="paragraphsub"/>
      </w:pPr>
      <w:r w:rsidRPr="00283424">
        <w:tab/>
        <w:t>(ii)</w:t>
      </w:r>
      <w:r w:rsidRPr="00283424">
        <w:tab/>
        <w:t>Part 1 of Form 5 and Parts 1 and 2 of Form 6 or Form 7;</w:t>
      </w:r>
    </w:p>
    <w:p w14:paraId="225C3135" w14:textId="77777777" w:rsidR="00E93F58" w:rsidRPr="00283424" w:rsidRDefault="00E93F58" w:rsidP="00B50726">
      <w:pPr>
        <w:pStyle w:val="paragraphsub"/>
      </w:pPr>
      <w:r w:rsidRPr="00283424">
        <w:tab/>
        <w:t>(iii)</w:t>
      </w:r>
      <w:r w:rsidRPr="00283424">
        <w:tab/>
        <w:t>Parts 1 and 3 of Form 5 and both parts of Form 8;</w:t>
      </w:r>
    </w:p>
    <w:p w14:paraId="45D87746" w14:textId="77777777" w:rsidR="00E93F58" w:rsidRPr="00283424" w:rsidRDefault="00E93F58" w:rsidP="00B50726">
      <w:pPr>
        <w:pStyle w:val="paragraphsub"/>
      </w:pPr>
      <w:r w:rsidRPr="00283424">
        <w:tab/>
        <w:t>(iv)</w:t>
      </w:r>
      <w:r w:rsidRPr="00283424">
        <w:tab/>
        <w:t>Part 1 of Form 5, Parts 1 and 3 of Form 6 or Form 7 and both parts of Form 8.</w:t>
      </w:r>
    </w:p>
    <w:p w14:paraId="1C649B0A" w14:textId="77777777" w:rsidR="00E93F58" w:rsidRPr="00283424" w:rsidRDefault="00E93F58" w:rsidP="00B50726">
      <w:pPr>
        <w:pStyle w:val="ActHead5"/>
      </w:pPr>
      <w:bookmarkStart w:id="2071" w:name="_Toc152055011"/>
      <w:bookmarkStart w:id="2072" w:name="_Toc158712827"/>
      <w:r w:rsidRPr="006F296E">
        <w:rPr>
          <w:rStyle w:val="CharSectno"/>
        </w:rPr>
        <w:t>7.11.12</w:t>
      </w:r>
      <w:r w:rsidRPr="00283424">
        <w:t xml:space="preserve">  Sufficient </w:t>
      </w:r>
      <w:r w:rsidRPr="00283424">
        <w:rPr>
          <w:color w:val="000000"/>
        </w:rPr>
        <w:t>transfer</w:t>
      </w:r>
      <w:r w:rsidRPr="00283424">
        <w:t xml:space="preserve"> of Division 3 assets: licensed trustee company or Public Trustee of a State or Territory</w:t>
      </w:r>
      <w:bookmarkEnd w:id="2071"/>
      <w:bookmarkEnd w:id="2072"/>
    </w:p>
    <w:p w14:paraId="5A9C839B" w14:textId="77777777" w:rsidR="00E93F58" w:rsidRPr="00283424" w:rsidRDefault="00E93F58" w:rsidP="00B50726">
      <w:pPr>
        <w:pStyle w:val="subsection"/>
        <w:keepNext/>
        <w:keepLines/>
      </w:pPr>
      <w:r w:rsidRPr="00283424">
        <w:tab/>
        <w:t>(1)</w:t>
      </w:r>
      <w:r w:rsidRPr="00283424">
        <w:tab/>
        <w:t>This regulation applies to the transfer of Division 3 assets, otherwise than by way of sale, gift or exchange, by:</w:t>
      </w:r>
    </w:p>
    <w:p w14:paraId="4171BB42" w14:textId="77777777" w:rsidR="00E93F58" w:rsidRPr="00283424" w:rsidRDefault="00E93F58" w:rsidP="00B50726">
      <w:pPr>
        <w:pStyle w:val="paragraph"/>
      </w:pPr>
      <w:r w:rsidRPr="00283424">
        <w:tab/>
        <w:t>(a)</w:t>
      </w:r>
      <w:r w:rsidRPr="00283424">
        <w:tab/>
        <w:t>a licensed trustee company; or</w:t>
      </w:r>
    </w:p>
    <w:p w14:paraId="4329A6AC" w14:textId="77777777" w:rsidR="00E93F58" w:rsidRPr="00283424" w:rsidRDefault="00E93F58" w:rsidP="00B50726">
      <w:pPr>
        <w:pStyle w:val="paragraph"/>
      </w:pPr>
      <w:r w:rsidRPr="00283424">
        <w:tab/>
        <w:t>(b)</w:t>
      </w:r>
      <w:r w:rsidRPr="00283424">
        <w:tab/>
        <w:t>a Public Trustee of a State or Territory; or</w:t>
      </w:r>
    </w:p>
    <w:p w14:paraId="2FEBEA34" w14:textId="77777777" w:rsidR="00E93F58" w:rsidRPr="00283424" w:rsidRDefault="00E93F58" w:rsidP="00B50726">
      <w:pPr>
        <w:pStyle w:val="paragraph"/>
      </w:pPr>
      <w:r w:rsidRPr="00283424">
        <w:tab/>
        <w:t>(c)</w:t>
      </w:r>
      <w:r w:rsidRPr="00283424">
        <w:tab/>
        <w:t>a company mentioned in Schedule 9;</w:t>
      </w:r>
    </w:p>
    <w:p w14:paraId="08849EF1" w14:textId="77777777" w:rsidR="00E93F58" w:rsidRPr="00283424" w:rsidRDefault="00E93F58" w:rsidP="00B50726">
      <w:pPr>
        <w:pStyle w:val="subsection2"/>
      </w:pPr>
      <w:r w:rsidRPr="00283424">
        <w:t>whether alone or together with any other person or persons, to the beneficial owner of the Division 3 assets.</w:t>
      </w:r>
    </w:p>
    <w:p w14:paraId="62D2330E" w14:textId="77777777" w:rsidR="00E93F58" w:rsidRPr="00283424" w:rsidRDefault="00E93F58" w:rsidP="00B50726">
      <w:pPr>
        <w:pStyle w:val="subsection"/>
      </w:pPr>
      <w:r w:rsidRPr="00283424">
        <w:tab/>
        <w:t>(2)</w:t>
      </w:r>
      <w:r w:rsidRPr="00283424">
        <w:tab/>
        <w:t>A document is a sufficient transfer of the Division 3 assets if it:</w:t>
      </w:r>
    </w:p>
    <w:p w14:paraId="34FD8012" w14:textId="77777777" w:rsidR="00E93F58" w:rsidRPr="00283424" w:rsidRDefault="00E93F58" w:rsidP="00B50726">
      <w:pPr>
        <w:pStyle w:val="paragraph"/>
      </w:pPr>
      <w:r w:rsidRPr="00283424">
        <w:tab/>
        <w:t>(a)</w:t>
      </w:r>
      <w:r w:rsidRPr="00283424">
        <w:tab/>
        <w:t>relates to those assets; and</w:t>
      </w:r>
    </w:p>
    <w:p w14:paraId="7C270029" w14:textId="77777777" w:rsidR="00E93F58" w:rsidRPr="00283424" w:rsidRDefault="00E93F58" w:rsidP="00B50726">
      <w:pPr>
        <w:pStyle w:val="paragraph"/>
      </w:pPr>
      <w:r w:rsidRPr="00283424">
        <w:tab/>
        <w:t>(b)</w:t>
      </w:r>
      <w:r w:rsidRPr="00283424">
        <w:tab/>
        <w:t>is completed in accordance with Form 9.</w:t>
      </w:r>
    </w:p>
    <w:p w14:paraId="7F3E2BFD" w14:textId="77777777" w:rsidR="00E93F58" w:rsidRPr="00283424" w:rsidRDefault="00E93F58" w:rsidP="00B50726">
      <w:pPr>
        <w:pStyle w:val="ActHead5"/>
      </w:pPr>
      <w:bookmarkStart w:id="2073" w:name="_Toc152055012"/>
      <w:bookmarkStart w:id="2074" w:name="_Toc158712828"/>
      <w:r w:rsidRPr="006F296E">
        <w:rPr>
          <w:rStyle w:val="CharSectno"/>
        </w:rPr>
        <w:t>7.11.13</w:t>
      </w:r>
      <w:r w:rsidRPr="00283424">
        <w:t xml:space="preserve">  Sufficient transfer of Division 3 rights: licensed trustee company or Public Trustee of a State or Territory</w:t>
      </w:r>
      <w:bookmarkEnd w:id="2073"/>
      <w:bookmarkEnd w:id="2074"/>
    </w:p>
    <w:p w14:paraId="0F2A75EF" w14:textId="77777777" w:rsidR="00E93F58" w:rsidRPr="00283424" w:rsidRDefault="00E93F58" w:rsidP="00B50726">
      <w:pPr>
        <w:pStyle w:val="subsection"/>
      </w:pPr>
      <w:r w:rsidRPr="00283424">
        <w:tab/>
        <w:t>(1)</w:t>
      </w:r>
      <w:r w:rsidRPr="00283424">
        <w:tab/>
        <w:t>This regulation applies to the transfer of Division 3 rights, otherwise than by way of sale, gift or exchange, by:</w:t>
      </w:r>
    </w:p>
    <w:p w14:paraId="6AFB1063" w14:textId="77777777" w:rsidR="00E93F58" w:rsidRPr="00283424" w:rsidRDefault="00E93F58" w:rsidP="00B50726">
      <w:pPr>
        <w:pStyle w:val="paragraph"/>
      </w:pPr>
      <w:r w:rsidRPr="00283424">
        <w:tab/>
        <w:t>(a)</w:t>
      </w:r>
      <w:r w:rsidRPr="00283424">
        <w:tab/>
        <w:t>a licensed trustee company; or</w:t>
      </w:r>
    </w:p>
    <w:p w14:paraId="3CB09981" w14:textId="77777777" w:rsidR="00E93F58" w:rsidRPr="00283424" w:rsidRDefault="00E93F58" w:rsidP="00B50726">
      <w:pPr>
        <w:pStyle w:val="paragraph"/>
      </w:pPr>
      <w:r w:rsidRPr="00283424">
        <w:tab/>
        <w:t>(b)</w:t>
      </w:r>
      <w:r w:rsidRPr="00283424">
        <w:tab/>
        <w:t>a Public Trustee of a State or Territory; or</w:t>
      </w:r>
    </w:p>
    <w:p w14:paraId="5DFDC74C" w14:textId="77777777" w:rsidR="00E93F58" w:rsidRPr="00283424" w:rsidRDefault="00E93F58" w:rsidP="00B50726">
      <w:pPr>
        <w:pStyle w:val="paragraph"/>
      </w:pPr>
      <w:r w:rsidRPr="00283424">
        <w:tab/>
        <w:t>(c)</w:t>
      </w:r>
      <w:r w:rsidRPr="00283424">
        <w:tab/>
        <w:t>a company mentioned in Schedule 9;</w:t>
      </w:r>
    </w:p>
    <w:p w14:paraId="6BD39BDA" w14:textId="77777777" w:rsidR="00E93F58" w:rsidRPr="00283424" w:rsidRDefault="00E93F58" w:rsidP="00B50726">
      <w:pPr>
        <w:pStyle w:val="subsection2"/>
      </w:pPr>
      <w:r w:rsidRPr="00283424">
        <w:t>whether alone or together with any other person or persons, in favour of the beneficial owner of those rights.</w:t>
      </w:r>
    </w:p>
    <w:p w14:paraId="300EF3F5" w14:textId="77777777" w:rsidR="00E93F58" w:rsidRPr="00283424" w:rsidRDefault="00E93F58" w:rsidP="00B50726">
      <w:pPr>
        <w:pStyle w:val="subsection"/>
      </w:pPr>
      <w:r w:rsidRPr="00283424">
        <w:tab/>
        <w:t>(2)</w:t>
      </w:r>
      <w:r w:rsidRPr="00283424">
        <w:tab/>
        <w:t>A document is a sufficient transfer of the Division 3 rights if it:</w:t>
      </w:r>
    </w:p>
    <w:p w14:paraId="48B1B7EC" w14:textId="77777777" w:rsidR="00E93F58" w:rsidRPr="00283424" w:rsidRDefault="00E93F58" w:rsidP="00B50726">
      <w:pPr>
        <w:pStyle w:val="paragraph"/>
      </w:pPr>
      <w:r w:rsidRPr="00283424">
        <w:tab/>
        <w:t>(a)</w:t>
      </w:r>
      <w:r w:rsidRPr="00283424">
        <w:tab/>
        <w:t>relates to those rights; and</w:t>
      </w:r>
    </w:p>
    <w:p w14:paraId="64E9C23B" w14:textId="77777777" w:rsidR="00E93F58" w:rsidRPr="00283424" w:rsidRDefault="00E93F58" w:rsidP="00B50726">
      <w:pPr>
        <w:pStyle w:val="paragraph"/>
      </w:pPr>
      <w:r w:rsidRPr="00283424">
        <w:tab/>
        <w:t>(b)</w:t>
      </w:r>
      <w:r w:rsidRPr="00283424">
        <w:tab/>
        <w:t>is completed in accordance with Form 10.</w:t>
      </w:r>
    </w:p>
    <w:p w14:paraId="76CD480B" w14:textId="77777777" w:rsidR="00E93F58" w:rsidRPr="00283424" w:rsidRDefault="00E93F58" w:rsidP="00B50726">
      <w:pPr>
        <w:pStyle w:val="ActHead5"/>
      </w:pPr>
      <w:bookmarkStart w:id="2075" w:name="_Toc152055013"/>
      <w:bookmarkStart w:id="2076" w:name="_Toc158712829"/>
      <w:r w:rsidRPr="006F296E">
        <w:rPr>
          <w:rStyle w:val="CharSectno"/>
        </w:rPr>
        <w:t>7.11.14</w:t>
      </w:r>
      <w:r w:rsidRPr="00283424">
        <w:t xml:space="preserve">  Sufficient transfer</w:t>
      </w:r>
      <w:bookmarkEnd w:id="2075"/>
      <w:bookmarkEnd w:id="2076"/>
    </w:p>
    <w:p w14:paraId="3C51BC71" w14:textId="77777777" w:rsidR="00E93F58" w:rsidRPr="00283424" w:rsidRDefault="00E93F58" w:rsidP="00B50726">
      <w:pPr>
        <w:pStyle w:val="subsection"/>
        <w:rPr>
          <w:color w:val="000000"/>
        </w:rPr>
      </w:pPr>
      <w:r w:rsidRPr="00283424">
        <w:rPr>
          <w:color w:val="000000"/>
        </w:rPr>
        <w:tab/>
        <w:t>(1)</w:t>
      </w:r>
      <w:r w:rsidRPr="00283424">
        <w:rPr>
          <w:color w:val="000000"/>
        </w:rPr>
        <w:tab/>
        <w:t>A document that is a sufficient transfer of Division 3 assets may be used:</w:t>
      </w:r>
    </w:p>
    <w:p w14:paraId="26B70B00" w14:textId="77777777" w:rsidR="00E93F58" w:rsidRPr="00283424" w:rsidRDefault="00E93F58" w:rsidP="00B50726">
      <w:pPr>
        <w:pStyle w:val="paragraph"/>
        <w:rPr>
          <w:color w:val="000000"/>
        </w:rPr>
      </w:pPr>
      <w:r w:rsidRPr="00283424">
        <w:rPr>
          <w:color w:val="000000"/>
        </w:rPr>
        <w:lastRenderedPageBreak/>
        <w:tab/>
        <w:t>(a)</w:t>
      </w:r>
      <w:r w:rsidRPr="00283424">
        <w:rPr>
          <w:color w:val="000000"/>
        </w:rPr>
        <w:tab/>
        <w:t>as a proper instrument of transfer for section 1071B of the Act; and</w:t>
      </w:r>
    </w:p>
    <w:p w14:paraId="572DD192" w14:textId="77777777" w:rsidR="00E93F58" w:rsidRPr="00283424" w:rsidRDefault="00E93F58" w:rsidP="00B50726">
      <w:pPr>
        <w:pStyle w:val="paragraph"/>
      </w:pPr>
      <w:r w:rsidRPr="00283424">
        <w:tab/>
        <w:t>(b)</w:t>
      </w:r>
      <w:r w:rsidRPr="00283424">
        <w:tab/>
        <w:t>as an instrument of transfer for the purposes of any other law or instrument governing or relating to those assets.</w:t>
      </w:r>
    </w:p>
    <w:p w14:paraId="13CDAE53" w14:textId="77777777" w:rsidR="00E93F58" w:rsidRPr="00283424" w:rsidRDefault="00E93F58" w:rsidP="00B50726">
      <w:pPr>
        <w:pStyle w:val="subsection"/>
        <w:rPr>
          <w:color w:val="000000"/>
        </w:rPr>
      </w:pPr>
      <w:r w:rsidRPr="00283424">
        <w:rPr>
          <w:color w:val="000000"/>
        </w:rPr>
        <w:tab/>
        <w:t>(2)</w:t>
      </w:r>
      <w:r w:rsidRPr="00283424">
        <w:rPr>
          <w:color w:val="000000"/>
        </w:rPr>
        <w:tab/>
        <w:t>A document that is a sufficient transfer of Division 3 rights may be used as an instrument of transfer of those rights for the purposes of any law or instrument governing or relating to those rights.</w:t>
      </w:r>
    </w:p>
    <w:p w14:paraId="54A5694A" w14:textId="77777777" w:rsidR="00E93F58" w:rsidRPr="00283424" w:rsidRDefault="00E93F58" w:rsidP="00B50726">
      <w:pPr>
        <w:pStyle w:val="ActHead5"/>
      </w:pPr>
      <w:bookmarkStart w:id="2077" w:name="_Toc152055014"/>
      <w:bookmarkStart w:id="2078" w:name="_Toc158712830"/>
      <w:r w:rsidRPr="006F296E">
        <w:rPr>
          <w:rStyle w:val="CharSectno"/>
        </w:rPr>
        <w:t>7.11.15</w:t>
      </w:r>
      <w:r w:rsidRPr="00283424">
        <w:t xml:space="preserve">  Transferee’s execution of transfer of Division 3 assets</w:t>
      </w:r>
      <w:bookmarkEnd w:id="2077"/>
      <w:bookmarkEnd w:id="2078"/>
    </w:p>
    <w:p w14:paraId="68C50C21" w14:textId="77777777" w:rsidR="00E93F58" w:rsidRPr="00283424" w:rsidRDefault="00E93F58" w:rsidP="00B50726">
      <w:pPr>
        <w:pStyle w:val="subsection"/>
      </w:pPr>
      <w:r w:rsidRPr="00283424">
        <w:tab/>
        <w:t>(1)</w:t>
      </w:r>
      <w:r w:rsidRPr="00283424">
        <w:tab/>
        <w:t>If Division 3 assets are transferred by means of a sufficient transfer:</w:t>
      </w:r>
    </w:p>
    <w:p w14:paraId="6A6F3C6E" w14:textId="77777777" w:rsidR="00E93F58" w:rsidRPr="00283424" w:rsidRDefault="00E93F58" w:rsidP="00B50726">
      <w:pPr>
        <w:pStyle w:val="paragraph"/>
      </w:pPr>
      <w:r w:rsidRPr="00283424">
        <w:rPr>
          <w:color w:val="000000"/>
        </w:rPr>
        <w:tab/>
        <w:t>(a)</w:t>
      </w:r>
      <w:r w:rsidRPr="00283424">
        <w:rPr>
          <w:color w:val="000000"/>
        </w:rPr>
        <w:tab/>
        <w:t>the transferee is taken to have agreed at the execution time to accept the Division 3 assets subject to the terms and conditions on which the transferor held them at that time; and</w:t>
      </w:r>
    </w:p>
    <w:p w14:paraId="486E3E1F" w14:textId="77777777" w:rsidR="00E93F58" w:rsidRPr="00283424" w:rsidRDefault="00E93F58" w:rsidP="00B50726">
      <w:pPr>
        <w:pStyle w:val="paragraph"/>
      </w:pPr>
      <w:r w:rsidRPr="00283424">
        <w:tab/>
        <w:t>(b)</w:t>
      </w:r>
      <w:r w:rsidRPr="00283424">
        <w:tab/>
        <w:t>the terms and conditions are the terms and conditions applicable as between:</w:t>
      </w:r>
    </w:p>
    <w:p w14:paraId="48521642" w14:textId="77777777" w:rsidR="00E93F58" w:rsidRPr="00283424" w:rsidRDefault="00E93F58" w:rsidP="00B50726">
      <w:pPr>
        <w:pStyle w:val="paragraphsub"/>
        <w:rPr>
          <w:color w:val="000000"/>
        </w:rPr>
      </w:pPr>
      <w:r w:rsidRPr="00283424">
        <w:rPr>
          <w:color w:val="000000"/>
        </w:rPr>
        <w:tab/>
        <w:t>(i)</w:t>
      </w:r>
      <w:r w:rsidRPr="00283424">
        <w:rPr>
          <w:color w:val="000000"/>
        </w:rPr>
        <w:tab/>
        <w:t>the issuer in relation to the Division 3 assets; and</w:t>
      </w:r>
    </w:p>
    <w:p w14:paraId="102CCA81" w14:textId="77777777" w:rsidR="00E93F58" w:rsidRPr="00283424" w:rsidRDefault="00E93F58" w:rsidP="00B50726">
      <w:pPr>
        <w:pStyle w:val="paragraphsub"/>
      </w:pPr>
      <w:r w:rsidRPr="00283424">
        <w:tab/>
        <w:t>(ii)</w:t>
      </w:r>
      <w:r w:rsidRPr="00283424">
        <w:tab/>
        <w:t>the holder for the time being of the Division 3 assets.</w:t>
      </w:r>
    </w:p>
    <w:p w14:paraId="21617940" w14:textId="77777777" w:rsidR="00E93F58" w:rsidRPr="00283424" w:rsidRDefault="00E93F58" w:rsidP="00B50726">
      <w:pPr>
        <w:pStyle w:val="subsection"/>
      </w:pPr>
      <w:r w:rsidRPr="00283424">
        <w:tab/>
        <w:t>(2)</w:t>
      </w:r>
      <w:r w:rsidRPr="00283424">
        <w:tab/>
        <w:t>If the Division 3 assets are shares, the transferee is also taken to have agreed, at the execution time:</w:t>
      </w:r>
    </w:p>
    <w:p w14:paraId="3375638B" w14:textId="77777777" w:rsidR="00E93F58" w:rsidRPr="00283424" w:rsidRDefault="00E93F58" w:rsidP="00B50726">
      <w:pPr>
        <w:pStyle w:val="paragraph"/>
        <w:rPr>
          <w:color w:val="000000"/>
        </w:rPr>
      </w:pPr>
      <w:r w:rsidRPr="00283424">
        <w:rPr>
          <w:color w:val="000000"/>
        </w:rPr>
        <w:tab/>
        <w:t>(a)</w:t>
      </w:r>
      <w:r w:rsidRPr="00283424">
        <w:rPr>
          <w:color w:val="000000"/>
        </w:rPr>
        <w:tab/>
        <w:t>to become a member of the issuer; and</w:t>
      </w:r>
    </w:p>
    <w:p w14:paraId="3978966D" w14:textId="77777777" w:rsidR="00E93F58" w:rsidRPr="00283424" w:rsidRDefault="00E93F58" w:rsidP="00B50726">
      <w:pPr>
        <w:pStyle w:val="paragraph"/>
      </w:pPr>
      <w:r w:rsidRPr="00283424">
        <w:tab/>
        <w:t>(b)</w:t>
      </w:r>
      <w:r w:rsidRPr="00283424">
        <w:tab/>
        <w:t>to be bound, on being registered as the holder of the shares, by the issuer’s constitution.</w:t>
      </w:r>
    </w:p>
    <w:p w14:paraId="622F9FA6" w14:textId="77777777" w:rsidR="00E93F58" w:rsidRPr="00283424" w:rsidRDefault="00E93F58" w:rsidP="00B50726">
      <w:pPr>
        <w:pStyle w:val="ActHead5"/>
      </w:pPr>
      <w:bookmarkStart w:id="2079" w:name="_Toc152055015"/>
      <w:bookmarkStart w:id="2080" w:name="_Toc158712831"/>
      <w:r w:rsidRPr="006F296E">
        <w:rPr>
          <w:rStyle w:val="CharSectno"/>
        </w:rPr>
        <w:t>7.11.16</w:t>
      </w:r>
      <w:r w:rsidRPr="00283424">
        <w:t xml:space="preserve">  Transferee’s execution of transfer of Division 3 rights</w:t>
      </w:r>
      <w:bookmarkEnd w:id="2079"/>
      <w:bookmarkEnd w:id="2080"/>
    </w:p>
    <w:p w14:paraId="580C8B27" w14:textId="77777777" w:rsidR="00E93F58" w:rsidRPr="00283424" w:rsidRDefault="00E93F58" w:rsidP="00B50726">
      <w:pPr>
        <w:pStyle w:val="subsection"/>
        <w:rPr>
          <w:color w:val="000000"/>
        </w:rPr>
      </w:pPr>
      <w:r w:rsidRPr="00283424">
        <w:rPr>
          <w:color w:val="000000"/>
        </w:rPr>
        <w:tab/>
        <w:t>(1)</w:t>
      </w:r>
      <w:r w:rsidRPr="00283424">
        <w:rPr>
          <w:color w:val="000000"/>
        </w:rPr>
        <w:tab/>
        <w:t>If Division 3 rights relating to Division 3 assets are transferred by means of a sufficient transfer, the transferee is taken:</w:t>
      </w:r>
    </w:p>
    <w:p w14:paraId="74434DED" w14:textId="77777777" w:rsidR="00E93F58" w:rsidRPr="00283424" w:rsidRDefault="00E93F58" w:rsidP="00B50726">
      <w:pPr>
        <w:pStyle w:val="paragraph"/>
        <w:rPr>
          <w:color w:val="000000"/>
        </w:rPr>
      </w:pPr>
      <w:r w:rsidRPr="00283424">
        <w:rPr>
          <w:color w:val="000000"/>
        </w:rPr>
        <w:tab/>
        <w:t>(a)</w:t>
      </w:r>
      <w:r w:rsidRPr="00283424">
        <w:rPr>
          <w:color w:val="000000"/>
        </w:rPr>
        <w:tab/>
        <w:t>to have applied at the execution time to the issuer in relation to the Division 3 assets for the issue to the transferee of the Division 3 assets; and</w:t>
      </w:r>
    </w:p>
    <w:p w14:paraId="5511797A" w14:textId="77777777" w:rsidR="00E93F58" w:rsidRPr="00283424" w:rsidRDefault="00E93F58" w:rsidP="00B50726">
      <w:pPr>
        <w:pStyle w:val="paragraph"/>
      </w:pPr>
      <w:r w:rsidRPr="00283424">
        <w:tab/>
        <w:t>(b)</w:t>
      </w:r>
      <w:r w:rsidRPr="00283424">
        <w:tab/>
        <w:t>to have agreed at the execution time to accept the Division 3 assets subject to the terms and conditions on which the issuer offers them for subscription.</w:t>
      </w:r>
    </w:p>
    <w:p w14:paraId="1A6E2B3E" w14:textId="77777777" w:rsidR="00E93F58" w:rsidRPr="00283424" w:rsidRDefault="00E93F58" w:rsidP="00B50726">
      <w:pPr>
        <w:pStyle w:val="subsection"/>
      </w:pPr>
      <w:r w:rsidRPr="00283424">
        <w:tab/>
        <w:t>(2)</w:t>
      </w:r>
      <w:r w:rsidRPr="00283424">
        <w:tab/>
        <w:t>If the Division 3 assets are shares, the transferee is also taken to have agreed, at the execution time:</w:t>
      </w:r>
    </w:p>
    <w:p w14:paraId="0F7DAEE9" w14:textId="77777777" w:rsidR="00E93F58" w:rsidRPr="00283424" w:rsidRDefault="00E93F58" w:rsidP="00B50726">
      <w:pPr>
        <w:pStyle w:val="paragraph"/>
        <w:rPr>
          <w:color w:val="000000"/>
        </w:rPr>
      </w:pPr>
      <w:r w:rsidRPr="00283424">
        <w:rPr>
          <w:color w:val="000000"/>
        </w:rPr>
        <w:tab/>
        <w:t>(a)</w:t>
      </w:r>
      <w:r w:rsidRPr="00283424">
        <w:rPr>
          <w:color w:val="000000"/>
        </w:rPr>
        <w:tab/>
        <w:t>to become a member of the issuer; and</w:t>
      </w:r>
    </w:p>
    <w:p w14:paraId="63ABDBC3" w14:textId="77777777" w:rsidR="00E93F58" w:rsidRPr="00283424" w:rsidRDefault="00E93F58" w:rsidP="00B50726">
      <w:pPr>
        <w:pStyle w:val="paragraph"/>
      </w:pPr>
      <w:r w:rsidRPr="00283424">
        <w:tab/>
        <w:t>(b)</w:t>
      </w:r>
      <w:r w:rsidRPr="00283424">
        <w:tab/>
        <w:t>to be bound, on being registered as the holder of the shares, by the issuer’s constitution.</w:t>
      </w:r>
    </w:p>
    <w:p w14:paraId="531AADBE" w14:textId="77777777" w:rsidR="00E93F58" w:rsidRPr="00283424" w:rsidRDefault="00E93F58" w:rsidP="00B50726">
      <w:pPr>
        <w:pStyle w:val="ActHead5"/>
      </w:pPr>
      <w:bookmarkStart w:id="2081" w:name="_Toc152055016"/>
      <w:bookmarkStart w:id="2082" w:name="_Toc158712832"/>
      <w:r w:rsidRPr="006F296E">
        <w:rPr>
          <w:rStyle w:val="CharSectno"/>
        </w:rPr>
        <w:t>7.11.17</w:t>
      </w:r>
      <w:r w:rsidRPr="00283424">
        <w:t xml:space="preserve">  Transfer document that purports to bear stamp of transferor's broker</w:t>
      </w:r>
      <w:bookmarkEnd w:id="2081"/>
      <w:bookmarkEnd w:id="2082"/>
    </w:p>
    <w:p w14:paraId="41882D10"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 a transfer document relating to Division 3 assets or Division 3 rights:</w:t>
      </w:r>
    </w:p>
    <w:p w14:paraId="20358CE4" w14:textId="77777777" w:rsidR="00E93F58" w:rsidRPr="00283424" w:rsidRDefault="00E93F58" w:rsidP="00B50726">
      <w:pPr>
        <w:pStyle w:val="paragraph"/>
        <w:rPr>
          <w:color w:val="000000"/>
        </w:rPr>
      </w:pPr>
      <w:r w:rsidRPr="00283424">
        <w:rPr>
          <w:color w:val="000000"/>
        </w:rPr>
        <w:tab/>
        <w:t>(a)</w:t>
      </w:r>
      <w:r w:rsidRPr="00283424">
        <w:rPr>
          <w:color w:val="000000"/>
        </w:rPr>
        <w:tab/>
        <w:t>is a duly completed Part 1; and</w:t>
      </w:r>
    </w:p>
    <w:p w14:paraId="416AC4A5" w14:textId="77777777" w:rsidR="00E93F58" w:rsidRPr="00283424" w:rsidRDefault="00E93F58" w:rsidP="00B50726">
      <w:pPr>
        <w:pStyle w:val="paragraph"/>
      </w:pPr>
      <w:r w:rsidRPr="00283424">
        <w:tab/>
        <w:t>(b)</w:t>
      </w:r>
      <w:r w:rsidRPr="00283424">
        <w:tab/>
        <w:t xml:space="preserve">bears a stamp that purports to be a stamp of the transferor’s broker (the </w:t>
      </w:r>
      <w:r w:rsidRPr="00283424">
        <w:rPr>
          <w:b/>
          <w:i/>
        </w:rPr>
        <w:t>designated broker</w:t>
      </w:r>
      <w:r w:rsidRPr="00283424">
        <w:t>).</w:t>
      </w:r>
    </w:p>
    <w:p w14:paraId="3806C229" w14:textId="77777777" w:rsidR="00E93F58" w:rsidRPr="00283424" w:rsidRDefault="00E93F58" w:rsidP="00B50726">
      <w:pPr>
        <w:pStyle w:val="subsection"/>
        <w:rPr>
          <w:color w:val="000000"/>
        </w:rPr>
      </w:pPr>
      <w:r w:rsidRPr="00283424">
        <w:rPr>
          <w:color w:val="000000"/>
        </w:rPr>
        <w:tab/>
        <w:t>(2)</w:t>
      </w:r>
      <w:r w:rsidRPr="00283424">
        <w:rPr>
          <w:color w:val="000000"/>
        </w:rPr>
        <w:tab/>
        <w:t>Each associate (if any) of the designated broker is taken to have warranted:</w:t>
      </w:r>
    </w:p>
    <w:p w14:paraId="76537F06" w14:textId="77777777" w:rsidR="00E93F58" w:rsidRPr="00283424" w:rsidRDefault="00E93F58" w:rsidP="00B50726">
      <w:pPr>
        <w:pStyle w:val="paragraph"/>
        <w:rPr>
          <w:color w:val="000000"/>
        </w:rPr>
      </w:pPr>
      <w:r w:rsidRPr="00283424">
        <w:rPr>
          <w:color w:val="000000"/>
        </w:rPr>
        <w:tab/>
        <w:t>(a)</w:t>
      </w:r>
      <w:r w:rsidRPr="00283424">
        <w:rPr>
          <w:color w:val="000000"/>
        </w:rPr>
        <w:tab/>
        <w:t>that the statements in the transfer document that purport to be certified by the designated broker are accurate; and</w:t>
      </w:r>
    </w:p>
    <w:p w14:paraId="7C3D0B1A" w14:textId="77777777" w:rsidR="00E93F58" w:rsidRPr="00283424" w:rsidRDefault="00E93F58" w:rsidP="00B50726">
      <w:pPr>
        <w:pStyle w:val="paragraph"/>
      </w:pPr>
      <w:r w:rsidRPr="00283424">
        <w:tab/>
        <w:t>(b)</w:t>
      </w:r>
      <w:r w:rsidRPr="00283424">
        <w:tab/>
        <w:t>that the transferor is:</w:t>
      </w:r>
    </w:p>
    <w:p w14:paraId="4CDFE373" w14:textId="77777777" w:rsidR="00E93F58" w:rsidRPr="00283424" w:rsidRDefault="00E93F58" w:rsidP="00B50726">
      <w:pPr>
        <w:pStyle w:val="paragraphsub"/>
        <w:rPr>
          <w:color w:val="000000"/>
        </w:rPr>
      </w:pPr>
      <w:r w:rsidRPr="00283424">
        <w:rPr>
          <w:color w:val="000000"/>
        </w:rPr>
        <w:tab/>
        <w:t>(i)</w:t>
      </w:r>
      <w:r w:rsidRPr="00283424">
        <w:rPr>
          <w:color w:val="000000"/>
        </w:rPr>
        <w:tab/>
        <w:t>the registered holder of, or entitled to be registered as the holder of, the Division 3 assets; or</w:t>
      </w:r>
    </w:p>
    <w:p w14:paraId="4425881F" w14:textId="77777777" w:rsidR="00E93F58" w:rsidRPr="00283424" w:rsidRDefault="00E93F58" w:rsidP="00B50726">
      <w:pPr>
        <w:pStyle w:val="paragraphsub"/>
      </w:pPr>
      <w:r w:rsidRPr="00283424">
        <w:tab/>
        <w:t>(ii)</w:t>
      </w:r>
      <w:r w:rsidRPr="00283424">
        <w:tab/>
        <w:t>is entitled to the Division 3 rights;</w:t>
      </w:r>
    </w:p>
    <w:p w14:paraId="6EE3E2D4" w14:textId="77777777" w:rsidR="00E93F58" w:rsidRPr="00283424" w:rsidRDefault="00E93F58" w:rsidP="00B50726">
      <w:pPr>
        <w:pStyle w:val="paragraph"/>
        <w:rPr>
          <w:color w:val="000000"/>
        </w:rPr>
      </w:pPr>
      <w:r w:rsidRPr="00283424">
        <w:rPr>
          <w:color w:val="000000"/>
        </w:rPr>
        <w:tab/>
      </w:r>
      <w:r w:rsidRPr="00283424">
        <w:rPr>
          <w:color w:val="000000"/>
        </w:rPr>
        <w:tab/>
        <w:t>and is legally entitled or authorised to sell or dispose of the Division 3 assets or Division 3 rights.</w:t>
      </w:r>
    </w:p>
    <w:p w14:paraId="3781C97D" w14:textId="77777777" w:rsidR="00E93F58" w:rsidRPr="00283424" w:rsidRDefault="00E93F58" w:rsidP="00B50726">
      <w:pPr>
        <w:pStyle w:val="subsection"/>
        <w:rPr>
          <w:color w:val="000000"/>
        </w:rPr>
      </w:pPr>
      <w:r w:rsidRPr="00283424">
        <w:rPr>
          <w:color w:val="000000"/>
        </w:rPr>
        <w:tab/>
        <w:t>(3)</w:t>
      </w:r>
      <w:r w:rsidRPr="00283424">
        <w:rPr>
          <w:color w:val="000000"/>
        </w:rPr>
        <w:tab/>
        <w:t>If the designated broker is not a broker’s agent, the designated broker is taken to have warranted:</w:t>
      </w:r>
    </w:p>
    <w:p w14:paraId="091B9E99" w14:textId="77777777" w:rsidR="00E93F58" w:rsidRPr="00283424" w:rsidRDefault="00E93F58" w:rsidP="00B50726">
      <w:pPr>
        <w:pStyle w:val="paragraph"/>
        <w:rPr>
          <w:color w:val="000000"/>
        </w:rPr>
      </w:pPr>
      <w:r w:rsidRPr="00283424">
        <w:rPr>
          <w:color w:val="000000"/>
        </w:rPr>
        <w:tab/>
        <w:t>(a)</w:t>
      </w:r>
      <w:r w:rsidRPr="00283424">
        <w:rPr>
          <w:color w:val="000000"/>
        </w:rPr>
        <w:tab/>
        <w:t>that the statements in the transfer document that purport to be certified by the designated broker are accurate; and</w:t>
      </w:r>
    </w:p>
    <w:p w14:paraId="03A0136D" w14:textId="77777777" w:rsidR="00E93F58" w:rsidRPr="00283424" w:rsidRDefault="00E93F58" w:rsidP="00B50726">
      <w:pPr>
        <w:pStyle w:val="paragraph"/>
      </w:pPr>
      <w:r w:rsidRPr="00283424">
        <w:tab/>
        <w:t>(b)</w:t>
      </w:r>
      <w:r w:rsidRPr="00283424">
        <w:tab/>
        <w:t>that the transferor is:</w:t>
      </w:r>
    </w:p>
    <w:p w14:paraId="2F15E6C9" w14:textId="77777777" w:rsidR="00E93F58" w:rsidRPr="00283424" w:rsidRDefault="00E93F58" w:rsidP="00B50726">
      <w:pPr>
        <w:pStyle w:val="paragraphsub"/>
        <w:rPr>
          <w:color w:val="000000"/>
        </w:rPr>
      </w:pPr>
      <w:r w:rsidRPr="00283424">
        <w:rPr>
          <w:color w:val="000000"/>
        </w:rPr>
        <w:tab/>
        <w:t>(i)</w:t>
      </w:r>
      <w:r w:rsidRPr="00283424">
        <w:rPr>
          <w:color w:val="000000"/>
        </w:rPr>
        <w:tab/>
        <w:t>the registered holder of, or entitled to be registered as the holder of, the Division 3 assets; or</w:t>
      </w:r>
    </w:p>
    <w:p w14:paraId="76436A9C" w14:textId="77777777" w:rsidR="00E93F58" w:rsidRPr="00283424" w:rsidRDefault="00E93F58" w:rsidP="00B50726">
      <w:pPr>
        <w:pStyle w:val="paragraphsub"/>
      </w:pPr>
      <w:r w:rsidRPr="00283424">
        <w:tab/>
        <w:t>(ii)</w:t>
      </w:r>
      <w:r w:rsidRPr="00283424">
        <w:tab/>
        <w:t>is entitled to the Division 3 rights;</w:t>
      </w:r>
    </w:p>
    <w:p w14:paraId="135DC85A" w14:textId="77777777" w:rsidR="00E93F58" w:rsidRPr="00283424" w:rsidRDefault="00E93F58" w:rsidP="00B50726">
      <w:pPr>
        <w:pStyle w:val="paragraph"/>
        <w:rPr>
          <w:color w:val="000000"/>
        </w:rPr>
      </w:pPr>
      <w:r w:rsidRPr="00283424">
        <w:rPr>
          <w:color w:val="000000"/>
        </w:rPr>
        <w:tab/>
      </w:r>
      <w:r w:rsidRPr="00283424">
        <w:rPr>
          <w:color w:val="000000"/>
        </w:rPr>
        <w:tab/>
        <w:t>and is legally entitled or authorised to sell or dispose of the Division 3 assets or Division 3 rights.</w:t>
      </w:r>
    </w:p>
    <w:p w14:paraId="0FDBEAE8" w14:textId="77777777" w:rsidR="00E93F58" w:rsidRPr="00283424" w:rsidRDefault="00E93F58" w:rsidP="00B50726">
      <w:pPr>
        <w:pStyle w:val="subsection"/>
        <w:rPr>
          <w:color w:val="000000"/>
        </w:rPr>
      </w:pPr>
      <w:r w:rsidRPr="00283424">
        <w:rPr>
          <w:color w:val="000000"/>
        </w:rPr>
        <w:tab/>
        <w:t>(4)</w:t>
      </w:r>
      <w:r w:rsidRPr="00283424">
        <w:rPr>
          <w:color w:val="000000"/>
        </w:rPr>
        <w:tab/>
        <w:t>The following additional arrangements apply if the transfer document has been duly completed in accordance with Part 1 of Form 1 or Form 5:</w:t>
      </w:r>
    </w:p>
    <w:p w14:paraId="02CF8154" w14:textId="77777777" w:rsidR="00E93F58" w:rsidRPr="00283424" w:rsidRDefault="00E93F58" w:rsidP="00B50726">
      <w:pPr>
        <w:pStyle w:val="paragraph"/>
        <w:rPr>
          <w:color w:val="000000"/>
        </w:rPr>
      </w:pPr>
      <w:r w:rsidRPr="00283424">
        <w:rPr>
          <w:color w:val="000000"/>
        </w:rPr>
        <w:tab/>
        <w:t>(a)</w:t>
      </w:r>
      <w:r w:rsidRPr="00283424">
        <w:rPr>
          <w:color w:val="000000"/>
        </w:rPr>
        <w:tab/>
        <w:t>if, when the transfer document was stamped with the stamp mentioned in paragraph (1)(b), the designated broker had authority to sell the Division 3 assets or Division 3 rights, on the transferor’s behalf, to:</w:t>
      </w:r>
    </w:p>
    <w:p w14:paraId="6DA12C16" w14:textId="77777777" w:rsidR="00E93F58" w:rsidRPr="00283424" w:rsidRDefault="00E93F58" w:rsidP="00B50726">
      <w:pPr>
        <w:pStyle w:val="paragraphsub"/>
      </w:pPr>
      <w:r w:rsidRPr="00283424">
        <w:rPr>
          <w:color w:val="000000"/>
        </w:rPr>
        <w:lastRenderedPageBreak/>
        <w:tab/>
        <w:t>(i)</w:t>
      </w:r>
      <w:r w:rsidRPr="00283424">
        <w:rPr>
          <w:color w:val="000000"/>
        </w:rPr>
        <w:tab/>
        <w:t>the transferee; or</w:t>
      </w:r>
    </w:p>
    <w:p w14:paraId="5B252727" w14:textId="77777777" w:rsidR="00E93F58" w:rsidRPr="00283424" w:rsidRDefault="00E93F58" w:rsidP="00B50726">
      <w:pPr>
        <w:pStyle w:val="paragraphsub"/>
      </w:pPr>
      <w:r w:rsidRPr="00283424">
        <w:tab/>
        <w:t>(ii)</w:t>
      </w:r>
      <w:r w:rsidRPr="00283424">
        <w:tab/>
        <w:t>particular persons who include, or particular classes of persons at least one of which includes, the transferee; or</w:t>
      </w:r>
    </w:p>
    <w:p w14:paraId="3B5BE7F2" w14:textId="77777777" w:rsidR="00E93F58" w:rsidRPr="00283424" w:rsidRDefault="00E93F58" w:rsidP="00B50726">
      <w:pPr>
        <w:pStyle w:val="paragraphsub"/>
      </w:pPr>
      <w:r w:rsidRPr="00283424">
        <w:tab/>
        <w:t>(iii)</w:t>
      </w:r>
      <w:r w:rsidRPr="00283424">
        <w:tab/>
        <w:t>any person at all;</w:t>
      </w:r>
    </w:p>
    <w:p w14:paraId="4FDE1484" w14:textId="77777777" w:rsidR="00E93F58" w:rsidRPr="00283424" w:rsidRDefault="00E93F58" w:rsidP="00B50726">
      <w:pPr>
        <w:pStyle w:val="paragraph"/>
      </w:pPr>
      <w:r w:rsidRPr="00283424">
        <w:rPr>
          <w:color w:val="000000"/>
        </w:rPr>
        <w:tab/>
      </w:r>
      <w:r w:rsidRPr="00283424">
        <w:rPr>
          <w:color w:val="000000"/>
        </w:rPr>
        <w:tab/>
        <w:t>the designated broker is taken to have been authorised to execute, and to have executed, the transfer document on the transferor’s behalf;</w:t>
      </w:r>
    </w:p>
    <w:p w14:paraId="15C5F17C" w14:textId="77777777" w:rsidR="00E93F58" w:rsidRPr="00283424" w:rsidRDefault="00E93F58" w:rsidP="00B50726">
      <w:pPr>
        <w:pStyle w:val="paragraph"/>
      </w:pPr>
      <w:r w:rsidRPr="00283424">
        <w:tab/>
        <w:t>(b)</w:t>
      </w:r>
      <w:r w:rsidRPr="00283424">
        <w:tab/>
        <w:t>each associate (if any) of the designated broker is liable to indemnify:</w:t>
      </w:r>
    </w:p>
    <w:p w14:paraId="65CDDA3E" w14:textId="77777777" w:rsidR="00E93F58" w:rsidRPr="00283424" w:rsidRDefault="00E93F58" w:rsidP="00B50726">
      <w:pPr>
        <w:pStyle w:val="paragraphsub"/>
      </w:pPr>
      <w:r w:rsidRPr="00283424">
        <w:rPr>
          <w:color w:val="000000"/>
        </w:rPr>
        <w:tab/>
        <w:t>(i)</w:t>
      </w:r>
      <w:r w:rsidRPr="00283424">
        <w:rPr>
          <w:color w:val="000000"/>
        </w:rPr>
        <w:tab/>
        <w:t>the issuer in relation to the Division 3 assets or Division 3 rights; and</w:t>
      </w:r>
    </w:p>
    <w:p w14:paraId="253A5F35" w14:textId="77777777" w:rsidR="00E93F58" w:rsidRPr="00283424" w:rsidRDefault="00E93F58" w:rsidP="00B50726">
      <w:pPr>
        <w:pStyle w:val="paragraphsub"/>
      </w:pPr>
      <w:r w:rsidRPr="00283424">
        <w:tab/>
        <w:t>(ii)</w:t>
      </w:r>
      <w:r w:rsidRPr="00283424">
        <w:tab/>
        <w:t>the transferor; and</w:t>
      </w:r>
    </w:p>
    <w:p w14:paraId="4B633032" w14:textId="77777777" w:rsidR="00E93F58" w:rsidRPr="00283424" w:rsidRDefault="00E93F58" w:rsidP="00B50726">
      <w:pPr>
        <w:pStyle w:val="paragraphsub"/>
      </w:pPr>
      <w:r w:rsidRPr="00283424">
        <w:tab/>
        <w:t>(iii)</w:t>
      </w:r>
      <w:r w:rsidRPr="00283424">
        <w:tab/>
        <w:t>the transferee; and</w:t>
      </w:r>
    </w:p>
    <w:p w14:paraId="373CD3FE" w14:textId="77777777" w:rsidR="00E93F58" w:rsidRPr="00283424" w:rsidRDefault="00E93F58" w:rsidP="00B50726">
      <w:pPr>
        <w:pStyle w:val="paragraphsub"/>
      </w:pPr>
      <w:r w:rsidRPr="00283424">
        <w:tab/>
        <w:t>(iv)</w:t>
      </w:r>
      <w:r w:rsidRPr="00283424">
        <w:tab/>
        <w:t>the transferee’s broker;</w:t>
      </w:r>
    </w:p>
    <w:p w14:paraId="339D8B58" w14:textId="77777777" w:rsidR="00E93F58" w:rsidRPr="00283424" w:rsidRDefault="00E93F58" w:rsidP="00B50726">
      <w:pPr>
        <w:pStyle w:val="paragraph"/>
        <w:rPr>
          <w:color w:val="000000"/>
        </w:rPr>
      </w:pPr>
      <w:r w:rsidRPr="00283424">
        <w:rPr>
          <w:color w:val="000000"/>
        </w:rPr>
        <w:tab/>
      </w:r>
      <w:r w:rsidRPr="00283424">
        <w:rPr>
          <w:color w:val="000000"/>
        </w:rPr>
        <w:tab/>
        <w:t>against any loss or damage arising if:</w:t>
      </w:r>
    </w:p>
    <w:p w14:paraId="3DF7812A" w14:textId="77777777" w:rsidR="00E93F58" w:rsidRPr="00283424" w:rsidRDefault="00E93F58" w:rsidP="00B50726">
      <w:pPr>
        <w:pStyle w:val="paragraphsub"/>
        <w:rPr>
          <w:color w:val="000000"/>
        </w:rPr>
      </w:pPr>
      <w:r w:rsidRPr="00283424">
        <w:rPr>
          <w:color w:val="000000"/>
        </w:rPr>
        <w:tab/>
        <w:t>(v)</w:t>
      </w:r>
      <w:r w:rsidRPr="00283424">
        <w:rPr>
          <w:color w:val="000000"/>
        </w:rPr>
        <w:tab/>
        <w:t>the stamp mentioned in paragraph (1)(b) is not the designated broker’s stamp; or</w:t>
      </w:r>
    </w:p>
    <w:p w14:paraId="5B230C10" w14:textId="77777777" w:rsidR="00E93F58" w:rsidRPr="00283424" w:rsidRDefault="00E93F58" w:rsidP="00B50726">
      <w:pPr>
        <w:pStyle w:val="paragraphsub"/>
      </w:pPr>
      <w:r w:rsidRPr="00283424">
        <w:tab/>
        <w:t>(vi)</w:t>
      </w:r>
      <w:r w:rsidRPr="00283424">
        <w:tab/>
        <w:t>apart from paragraph (a), the designated broker was not authorised to execute the transfer document on the transferor’s behalf;</w:t>
      </w:r>
    </w:p>
    <w:p w14:paraId="6A92998D" w14:textId="77777777" w:rsidR="00E93F58" w:rsidRPr="00283424" w:rsidRDefault="00E93F58" w:rsidP="00B50726">
      <w:pPr>
        <w:pStyle w:val="paragraph"/>
        <w:rPr>
          <w:color w:val="000000"/>
        </w:rPr>
      </w:pPr>
      <w:r w:rsidRPr="00283424">
        <w:rPr>
          <w:color w:val="000000"/>
        </w:rPr>
        <w:tab/>
        <w:t>(c)</w:t>
      </w:r>
      <w:r w:rsidRPr="00283424">
        <w:rPr>
          <w:color w:val="000000"/>
        </w:rPr>
        <w:tab/>
        <w:t>if the designated broker is not a broker’s agent, the designated broker is liable to indemnify:</w:t>
      </w:r>
    </w:p>
    <w:p w14:paraId="1519AAF7" w14:textId="77777777" w:rsidR="00E93F58" w:rsidRPr="00283424" w:rsidRDefault="00E93F58" w:rsidP="00B50726">
      <w:pPr>
        <w:pStyle w:val="paragraphsub"/>
      </w:pPr>
      <w:r w:rsidRPr="00283424">
        <w:rPr>
          <w:color w:val="000000"/>
        </w:rPr>
        <w:tab/>
        <w:t>(i)</w:t>
      </w:r>
      <w:r w:rsidRPr="00283424">
        <w:rPr>
          <w:color w:val="000000"/>
        </w:rPr>
        <w:tab/>
        <w:t>the issuer in relation to the Division 3 assets or Division 3 rights; and</w:t>
      </w:r>
    </w:p>
    <w:p w14:paraId="14C0790F" w14:textId="77777777" w:rsidR="00E93F58" w:rsidRPr="00283424" w:rsidRDefault="00E93F58" w:rsidP="00B50726">
      <w:pPr>
        <w:pStyle w:val="paragraphsub"/>
      </w:pPr>
      <w:r w:rsidRPr="00283424">
        <w:tab/>
        <w:t>(ii)</w:t>
      </w:r>
      <w:r w:rsidRPr="00283424">
        <w:tab/>
        <w:t>the transferor; and</w:t>
      </w:r>
    </w:p>
    <w:p w14:paraId="36F0F82F" w14:textId="77777777" w:rsidR="00E93F58" w:rsidRPr="00283424" w:rsidRDefault="00E93F58" w:rsidP="00B50726">
      <w:pPr>
        <w:pStyle w:val="paragraphsub"/>
      </w:pPr>
      <w:r w:rsidRPr="00283424">
        <w:tab/>
        <w:t>(iii)</w:t>
      </w:r>
      <w:r w:rsidRPr="00283424">
        <w:tab/>
        <w:t>the transferee; and</w:t>
      </w:r>
    </w:p>
    <w:p w14:paraId="556E04B4" w14:textId="77777777" w:rsidR="00E93F58" w:rsidRPr="00283424" w:rsidRDefault="00E93F58" w:rsidP="00B50726">
      <w:pPr>
        <w:pStyle w:val="paragraphsub"/>
      </w:pPr>
      <w:r w:rsidRPr="00283424">
        <w:tab/>
        <w:t>(iv)</w:t>
      </w:r>
      <w:r w:rsidRPr="00283424">
        <w:tab/>
        <w:t>the transferee’s broker;</w:t>
      </w:r>
    </w:p>
    <w:p w14:paraId="78B7613A" w14:textId="77777777" w:rsidR="00E93F58" w:rsidRPr="00283424" w:rsidRDefault="00E93F58" w:rsidP="00B50726">
      <w:pPr>
        <w:pStyle w:val="paragraph"/>
        <w:rPr>
          <w:color w:val="000000"/>
        </w:rPr>
      </w:pPr>
      <w:r w:rsidRPr="00283424">
        <w:rPr>
          <w:color w:val="000000"/>
        </w:rPr>
        <w:tab/>
      </w:r>
      <w:r w:rsidRPr="00283424">
        <w:rPr>
          <w:color w:val="000000"/>
        </w:rPr>
        <w:tab/>
        <w:t>against any loss or damage arising if:</w:t>
      </w:r>
    </w:p>
    <w:p w14:paraId="2E19E73B" w14:textId="77777777" w:rsidR="00E93F58" w:rsidRPr="00283424" w:rsidRDefault="00E93F58" w:rsidP="00B50726">
      <w:pPr>
        <w:pStyle w:val="paragraphsub"/>
        <w:rPr>
          <w:color w:val="000000"/>
        </w:rPr>
      </w:pPr>
      <w:r w:rsidRPr="00283424">
        <w:rPr>
          <w:color w:val="000000"/>
        </w:rPr>
        <w:tab/>
        <w:t>(v)</w:t>
      </w:r>
      <w:r w:rsidRPr="00283424">
        <w:rPr>
          <w:color w:val="000000"/>
        </w:rPr>
        <w:tab/>
        <w:t>the stamp mentioned in paragraph (1)(b) is not the designated broker’s stamp; or</w:t>
      </w:r>
    </w:p>
    <w:p w14:paraId="32C89156" w14:textId="77777777" w:rsidR="00E93F58" w:rsidRPr="00283424" w:rsidRDefault="00E93F58" w:rsidP="00B50726">
      <w:pPr>
        <w:pStyle w:val="paragraphsub"/>
      </w:pPr>
      <w:r w:rsidRPr="00283424">
        <w:tab/>
        <w:t>(vi)</w:t>
      </w:r>
      <w:r w:rsidRPr="00283424">
        <w:tab/>
        <w:t>apart from paragraph (a), the designated broker was not authorised to execute the transfer document on the transferor’s behalf.</w:t>
      </w:r>
    </w:p>
    <w:p w14:paraId="537C4DFB" w14:textId="77777777" w:rsidR="00E93F58" w:rsidRPr="00283424" w:rsidRDefault="00E93F58" w:rsidP="00B50726">
      <w:pPr>
        <w:pStyle w:val="ActHead5"/>
      </w:pPr>
      <w:bookmarkStart w:id="2083" w:name="_Toc152055017"/>
      <w:bookmarkStart w:id="2084" w:name="_Toc158712833"/>
      <w:r w:rsidRPr="006F296E">
        <w:rPr>
          <w:rStyle w:val="CharSectno"/>
        </w:rPr>
        <w:t>7.11.18</w:t>
      </w:r>
      <w:r w:rsidRPr="00283424">
        <w:t xml:space="preserve">  Warranties by market licensee if transfer document purports to bear its stamp</w:t>
      </w:r>
      <w:bookmarkEnd w:id="2083"/>
      <w:bookmarkEnd w:id="2084"/>
    </w:p>
    <w:p w14:paraId="62C889CC"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 a transfer document:</w:t>
      </w:r>
    </w:p>
    <w:p w14:paraId="425B3B5D" w14:textId="77777777" w:rsidR="00E93F58" w:rsidRPr="00283424" w:rsidRDefault="00E93F58" w:rsidP="00B50726">
      <w:pPr>
        <w:pStyle w:val="paragraph"/>
        <w:rPr>
          <w:color w:val="000000"/>
        </w:rPr>
      </w:pPr>
      <w:r w:rsidRPr="00283424">
        <w:rPr>
          <w:color w:val="000000"/>
        </w:rPr>
        <w:tab/>
        <w:t>(a)</w:t>
      </w:r>
      <w:r w:rsidRPr="00283424">
        <w:rPr>
          <w:color w:val="000000"/>
        </w:rPr>
        <w:tab/>
        <w:t>has been duly completed in accordance with Part 1 of Form 3 or Form 7; and</w:t>
      </w:r>
    </w:p>
    <w:p w14:paraId="410139F9" w14:textId="77777777" w:rsidR="00E93F58" w:rsidRPr="00283424" w:rsidRDefault="00E93F58" w:rsidP="00B50726">
      <w:pPr>
        <w:pStyle w:val="paragraph"/>
      </w:pPr>
      <w:r w:rsidRPr="00283424">
        <w:tab/>
        <w:t>(b)</w:t>
      </w:r>
      <w:r w:rsidRPr="00283424">
        <w:tab/>
        <w:t>bears a stamp that purports to be a stamp of a market licensee.</w:t>
      </w:r>
    </w:p>
    <w:p w14:paraId="6719E178" w14:textId="77777777" w:rsidR="00E93F58" w:rsidRPr="00283424" w:rsidRDefault="00E93F58" w:rsidP="00B50726">
      <w:pPr>
        <w:pStyle w:val="subsection"/>
        <w:rPr>
          <w:color w:val="000000"/>
        </w:rPr>
      </w:pPr>
      <w:r w:rsidRPr="00283424">
        <w:rPr>
          <w:color w:val="000000"/>
        </w:rPr>
        <w:tab/>
        <w:t>(2)</w:t>
      </w:r>
      <w:r w:rsidRPr="00283424">
        <w:rPr>
          <w:color w:val="000000"/>
        </w:rPr>
        <w:tab/>
        <w:t>The market licensee is taken to have warranted that:</w:t>
      </w:r>
    </w:p>
    <w:p w14:paraId="66EB9487" w14:textId="77777777" w:rsidR="00E93F58" w:rsidRPr="00283424" w:rsidRDefault="00E93F58" w:rsidP="00B50726">
      <w:pPr>
        <w:pStyle w:val="paragraph"/>
        <w:rPr>
          <w:color w:val="000000"/>
        </w:rPr>
      </w:pPr>
      <w:r w:rsidRPr="00283424">
        <w:rPr>
          <w:color w:val="000000"/>
        </w:rPr>
        <w:tab/>
        <w:t>(a)</w:t>
      </w:r>
      <w:r w:rsidRPr="00283424">
        <w:rPr>
          <w:color w:val="000000"/>
        </w:rPr>
        <w:tab/>
        <w:t>the statements in the transfer document that purport to be certified by a market licensee are accurate; and</w:t>
      </w:r>
    </w:p>
    <w:p w14:paraId="76ADFA5F" w14:textId="77777777" w:rsidR="00E93F58" w:rsidRPr="00283424" w:rsidRDefault="00E93F58" w:rsidP="00B50726">
      <w:pPr>
        <w:pStyle w:val="paragraph"/>
      </w:pPr>
      <w:r w:rsidRPr="00283424">
        <w:tab/>
        <w:t>(b)</w:t>
      </w:r>
      <w:r w:rsidRPr="00283424">
        <w:tab/>
        <w:t>the transferor is:</w:t>
      </w:r>
    </w:p>
    <w:p w14:paraId="0B6B0DF8" w14:textId="77777777" w:rsidR="00E93F58" w:rsidRPr="00283424" w:rsidRDefault="00E93F58" w:rsidP="00B50726">
      <w:pPr>
        <w:pStyle w:val="paragraphsub"/>
        <w:rPr>
          <w:color w:val="000000"/>
        </w:rPr>
      </w:pPr>
      <w:r w:rsidRPr="00283424">
        <w:rPr>
          <w:color w:val="000000"/>
        </w:rPr>
        <w:tab/>
        <w:t>(i)</w:t>
      </w:r>
      <w:r w:rsidRPr="00283424">
        <w:rPr>
          <w:color w:val="000000"/>
        </w:rPr>
        <w:tab/>
        <w:t>the registered holder of, or entitled to be registered as the holder of, the Division 3 assets; or</w:t>
      </w:r>
    </w:p>
    <w:p w14:paraId="25039586" w14:textId="77777777" w:rsidR="00E93F58" w:rsidRPr="00283424" w:rsidRDefault="00E93F58" w:rsidP="00B50726">
      <w:pPr>
        <w:pStyle w:val="paragraphsub"/>
      </w:pPr>
      <w:r w:rsidRPr="00283424">
        <w:tab/>
        <w:t>(ii)</w:t>
      </w:r>
      <w:r w:rsidRPr="00283424">
        <w:tab/>
        <w:t>entitled to the Division 3 rights;</w:t>
      </w:r>
    </w:p>
    <w:p w14:paraId="158BF286" w14:textId="77777777" w:rsidR="00E93F58" w:rsidRPr="00283424" w:rsidRDefault="00E93F58" w:rsidP="00B50726">
      <w:pPr>
        <w:pStyle w:val="paragraph"/>
        <w:rPr>
          <w:color w:val="000000"/>
        </w:rPr>
      </w:pPr>
      <w:r w:rsidRPr="00283424">
        <w:rPr>
          <w:color w:val="000000"/>
        </w:rPr>
        <w:tab/>
      </w:r>
      <w:r w:rsidRPr="00283424">
        <w:rPr>
          <w:color w:val="000000"/>
        </w:rPr>
        <w:tab/>
        <w:t>and is legally entitled or authorised to sell or dispose of the Division 3 assets or Division 3 rights.</w:t>
      </w:r>
    </w:p>
    <w:p w14:paraId="34E3C50A" w14:textId="77777777" w:rsidR="00E93F58" w:rsidRPr="00283424" w:rsidRDefault="00E93F58" w:rsidP="00B50726">
      <w:pPr>
        <w:pStyle w:val="ActHead5"/>
      </w:pPr>
      <w:bookmarkStart w:id="2085" w:name="_Toc152055018"/>
      <w:bookmarkStart w:id="2086" w:name="_Toc158712834"/>
      <w:r w:rsidRPr="006F296E">
        <w:rPr>
          <w:rStyle w:val="CharSectno"/>
        </w:rPr>
        <w:t>7.11.19</w:t>
      </w:r>
      <w:r w:rsidRPr="00283424">
        <w:t xml:space="preserve">  Indemnities by market licensee and broker if transfer document purports to bear their stamps</w:t>
      </w:r>
      <w:bookmarkEnd w:id="2085"/>
      <w:bookmarkEnd w:id="2086"/>
    </w:p>
    <w:p w14:paraId="210AD99D"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w:t>
      </w:r>
    </w:p>
    <w:p w14:paraId="384B32BA" w14:textId="77777777" w:rsidR="00E93F58" w:rsidRPr="00283424" w:rsidRDefault="00E93F58" w:rsidP="00B50726">
      <w:pPr>
        <w:pStyle w:val="paragraph"/>
        <w:rPr>
          <w:color w:val="000000"/>
        </w:rPr>
      </w:pPr>
      <w:r w:rsidRPr="00283424">
        <w:rPr>
          <w:color w:val="000000"/>
        </w:rPr>
        <w:tab/>
        <w:t>(a)</w:t>
      </w:r>
      <w:r w:rsidRPr="00283424">
        <w:rPr>
          <w:color w:val="000000"/>
        </w:rPr>
        <w:tab/>
        <w:t xml:space="preserve">a transfer document (the </w:t>
      </w:r>
      <w:r w:rsidRPr="00283424">
        <w:rPr>
          <w:b/>
          <w:i/>
          <w:color w:val="000000"/>
        </w:rPr>
        <w:t>first document</w:t>
      </w:r>
      <w:r w:rsidRPr="00283424">
        <w:rPr>
          <w:color w:val="000000"/>
        </w:rPr>
        <w:t>) relating to Division 3 assets or Division 3 rights:</w:t>
      </w:r>
    </w:p>
    <w:p w14:paraId="37E5E97B" w14:textId="77777777" w:rsidR="00E93F58" w:rsidRPr="00283424" w:rsidRDefault="00E93F58" w:rsidP="00B50726">
      <w:pPr>
        <w:pStyle w:val="paragraphsub"/>
        <w:rPr>
          <w:color w:val="000000"/>
        </w:rPr>
      </w:pPr>
      <w:r w:rsidRPr="00283424">
        <w:rPr>
          <w:color w:val="000000"/>
        </w:rPr>
        <w:tab/>
        <w:t>(i)</w:t>
      </w:r>
      <w:r w:rsidRPr="00283424">
        <w:rPr>
          <w:color w:val="000000"/>
        </w:rPr>
        <w:tab/>
        <w:t>has been duly completed in accordance with Part 1 of Form 1 or Form 5; and</w:t>
      </w:r>
    </w:p>
    <w:p w14:paraId="0A3ADA58" w14:textId="77777777" w:rsidR="00E93F58" w:rsidRPr="00283424" w:rsidRDefault="00E93F58" w:rsidP="00B50726">
      <w:pPr>
        <w:pStyle w:val="paragraphsub"/>
      </w:pPr>
      <w:r w:rsidRPr="00283424">
        <w:tab/>
        <w:t>(ii)</w:t>
      </w:r>
      <w:r w:rsidRPr="00283424">
        <w:tab/>
        <w:t>bears a stamp that purports to be the stamp of the transferor’s broker; and</w:t>
      </w:r>
    </w:p>
    <w:p w14:paraId="0ED72076" w14:textId="77777777" w:rsidR="00E93F58" w:rsidRPr="00283424" w:rsidRDefault="00E93F58" w:rsidP="00B50726">
      <w:pPr>
        <w:pStyle w:val="paragraph"/>
        <w:rPr>
          <w:color w:val="000000"/>
        </w:rPr>
      </w:pPr>
      <w:r w:rsidRPr="00283424">
        <w:rPr>
          <w:color w:val="000000"/>
        </w:rPr>
        <w:tab/>
        <w:t>(b)</w:t>
      </w:r>
      <w:r w:rsidRPr="00283424">
        <w:rPr>
          <w:color w:val="000000"/>
        </w:rPr>
        <w:tab/>
        <w:t>another transfer document:</w:t>
      </w:r>
    </w:p>
    <w:p w14:paraId="6E051513" w14:textId="77777777" w:rsidR="00E93F58" w:rsidRPr="00283424" w:rsidRDefault="00E93F58" w:rsidP="00B50726">
      <w:pPr>
        <w:pStyle w:val="paragraphsub"/>
      </w:pPr>
      <w:r w:rsidRPr="00283424">
        <w:rPr>
          <w:color w:val="000000"/>
        </w:rPr>
        <w:tab/>
        <w:t>(i)</w:t>
      </w:r>
      <w:r w:rsidRPr="00283424">
        <w:rPr>
          <w:color w:val="000000"/>
        </w:rPr>
        <w:tab/>
        <w:t>relates to any or all of the Division 3 assets or Division 3 rights; and</w:t>
      </w:r>
    </w:p>
    <w:p w14:paraId="54065B4F" w14:textId="77777777" w:rsidR="00E93F58" w:rsidRPr="00283424" w:rsidRDefault="00E93F58" w:rsidP="00B50726">
      <w:pPr>
        <w:pStyle w:val="paragraphsub"/>
      </w:pPr>
      <w:r w:rsidRPr="00283424">
        <w:tab/>
        <w:t>(ii)</w:t>
      </w:r>
      <w:r w:rsidRPr="00283424">
        <w:tab/>
        <w:t>has been duly completed in accordance with Part 1 of Form 3 or Form 7; and</w:t>
      </w:r>
    </w:p>
    <w:p w14:paraId="12E9C4A3" w14:textId="77777777" w:rsidR="00E93F58" w:rsidRPr="00283424" w:rsidRDefault="00E93F58" w:rsidP="00B50726">
      <w:pPr>
        <w:pStyle w:val="paragraphsub"/>
      </w:pPr>
      <w:r w:rsidRPr="00283424">
        <w:tab/>
        <w:t>(iii)</w:t>
      </w:r>
      <w:r w:rsidRPr="00283424">
        <w:tab/>
        <w:t>bears a stamp that purports to be the stamp of a market licensee.</w:t>
      </w:r>
    </w:p>
    <w:p w14:paraId="2D295A03" w14:textId="77777777" w:rsidR="00E93F58" w:rsidRPr="00283424" w:rsidRDefault="00E93F58" w:rsidP="00B50726">
      <w:pPr>
        <w:pStyle w:val="subsection"/>
        <w:rPr>
          <w:color w:val="000000"/>
        </w:rPr>
      </w:pPr>
      <w:r w:rsidRPr="00283424">
        <w:rPr>
          <w:color w:val="000000"/>
        </w:rPr>
        <w:tab/>
        <w:t>(2)</w:t>
      </w:r>
      <w:r w:rsidRPr="00283424">
        <w:rPr>
          <w:color w:val="000000"/>
        </w:rPr>
        <w:tab/>
        <w:t>The market licensee is liable to indemnify:</w:t>
      </w:r>
    </w:p>
    <w:p w14:paraId="266EF2CB" w14:textId="77777777" w:rsidR="00E93F58" w:rsidRPr="00283424" w:rsidRDefault="00E93F58" w:rsidP="00B50726">
      <w:pPr>
        <w:pStyle w:val="paragraph"/>
      </w:pPr>
      <w:r w:rsidRPr="00283424">
        <w:rPr>
          <w:color w:val="000000"/>
        </w:rPr>
        <w:tab/>
        <w:t>(a)</w:t>
      </w:r>
      <w:r w:rsidRPr="00283424">
        <w:rPr>
          <w:color w:val="000000"/>
        </w:rPr>
        <w:tab/>
        <w:t>the issuer in relation to the Division 3 assets or Division 3 rights; and</w:t>
      </w:r>
    </w:p>
    <w:p w14:paraId="09651716" w14:textId="77777777" w:rsidR="00E93F58" w:rsidRPr="00283424" w:rsidRDefault="00E93F58" w:rsidP="00B50726">
      <w:pPr>
        <w:pStyle w:val="paragraph"/>
      </w:pPr>
      <w:r w:rsidRPr="00283424">
        <w:tab/>
        <w:t>(b)</w:t>
      </w:r>
      <w:r w:rsidRPr="00283424">
        <w:tab/>
        <w:t>the transferor in relation to the other document; and</w:t>
      </w:r>
    </w:p>
    <w:p w14:paraId="06336975" w14:textId="77777777" w:rsidR="00E93F58" w:rsidRPr="00283424" w:rsidRDefault="00E93F58" w:rsidP="00B50726">
      <w:pPr>
        <w:pStyle w:val="paragraph"/>
      </w:pPr>
      <w:r w:rsidRPr="00283424">
        <w:tab/>
        <w:t>(c)</w:t>
      </w:r>
      <w:r w:rsidRPr="00283424">
        <w:tab/>
        <w:t>the transferee in relation to the other document; and</w:t>
      </w:r>
    </w:p>
    <w:p w14:paraId="7D616566" w14:textId="77777777" w:rsidR="00E93F58" w:rsidRPr="00283424" w:rsidRDefault="00E93F58" w:rsidP="00B50726">
      <w:pPr>
        <w:pStyle w:val="paragraph"/>
      </w:pPr>
      <w:r w:rsidRPr="00283424">
        <w:tab/>
        <w:t>(d)</w:t>
      </w:r>
      <w:r w:rsidRPr="00283424">
        <w:tab/>
        <w:t>the broker of the transferee in relation to the other document;</w:t>
      </w:r>
    </w:p>
    <w:p w14:paraId="1C7BE73A" w14:textId="77777777" w:rsidR="00E93F58" w:rsidRPr="00283424" w:rsidRDefault="00E93F58" w:rsidP="00B50726">
      <w:pPr>
        <w:pStyle w:val="subsection2"/>
      </w:pPr>
      <w:r w:rsidRPr="00283424">
        <w:rPr>
          <w:color w:val="000000"/>
        </w:rPr>
        <w:t>against any loss or damage arising if:</w:t>
      </w:r>
    </w:p>
    <w:p w14:paraId="58626892" w14:textId="77777777" w:rsidR="00E93F58" w:rsidRPr="00283424" w:rsidRDefault="00E93F58" w:rsidP="00B50726">
      <w:pPr>
        <w:pStyle w:val="paragraph"/>
        <w:rPr>
          <w:color w:val="000000"/>
        </w:rPr>
      </w:pPr>
      <w:r w:rsidRPr="00283424">
        <w:rPr>
          <w:color w:val="000000"/>
        </w:rPr>
        <w:lastRenderedPageBreak/>
        <w:tab/>
        <w:t>(e)</w:t>
      </w:r>
      <w:r w:rsidRPr="00283424">
        <w:rPr>
          <w:color w:val="000000"/>
        </w:rPr>
        <w:tab/>
        <w:t>the stamp mentioned in subparagraph (1)(a)(ii) is not the stamp of the transferor’s broker; or</w:t>
      </w:r>
    </w:p>
    <w:p w14:paraId="52529456" w14:textId="77777777" w:rsidR="00E93F58" w:rsidRPr="00283424" w:rsidRDefault="00E93F58" w:rsidP="00B50726">
      <w:pPr>
        <w:pStyle w:val="paragraph"/>
      </w:pPr>
      <w:r w:rsidRPr="00283424">
        <w:tab/>
        <w:t>(f)</w:t>
      </w:r>
      <w:r w:rsidRPr="00283424">
        <w:tab/>
        <w:t>apart from paragraph 7.11.17(4)(a), the designated broker was not authorised to execute the first document on behalf of the transferor in relation to the first document.</w:t>
      </w:r>
    </w:p>
    <w:p w14:paraId="45118547" w14:textId="77777777" w:rsidR="00E93F58" w:rsidRPr="00283424" w:rsidRDefault="00E93F58" w:rsidP="00B50726">
      <w:pPr>
        <w:pStyle w:val="subsection"/>
        <w:rPr>
          <w:color w:val="000000"/>
        </w:rPr>
      </w:pPr>
      <w:r w:rsidRPr="00283424">
        <w:rPr>
          <w:color w:val="000000"/>
        </w:rPr>
        <w:tab/>
        <w:t>(3)</w:t>
      </w:r>
      <w:r w:rsidRPr="00283424">
        <w:rPr>
          <w:color w:val="000000"/>
        </w:rPr>
        <w:tab/>
        <w:t>Each associate (if any) of the transferor’s broker is liable to indemnify the market licensee against any loss or damage arising as mentioned in subregulation (2).</w:t>
      </w:r>
    </w:p>
    <w:p w14:paraId="4C32CD0F" w14:textId="77777777" w:rsidR="00E93F58" w:rsidRPr="00283424" w:rsidRDefault="00E93F58" w:rsidP="00B50726">
      <w:pPr>
        <w:pStyle w:val="subsection"/>
      </w:pPr>
      <w:r w:rsidRPr="00283424">
        <w:tab/>
        <w:t>(4)</w:t>
      </w:r>
      <w:r w:rsidRPr="00283424">
        <w:tab/>
        <w:t>If the transferor’s broker is not a broker’s agent, the transferor’s broker is liable to indemnify the market licensee against any loss or damage arising as mentioned in subregulation (2).</w:t>
      </w:r>
    </w:p>
    <w:p w14:paraId="53F1913D" w14:textId="77777777" w:rsidR="00E93F58" w:rsidRPr="00283424" w:rsidRDefault="00E93F58" w:rsidP="00B50726">
      <w:pPr>
        <w:pStyle w:val="subsection"/>
      </w:pPr>
      <w:r w:rsidRPr="00283424">
        <w:tab/>
        <w:t>(5)</w:t>
      </w:r>
      <w:r w:rsidRPr="00283424">
        <w:tab/>
        <w:t>Nothing in this regulation limits the operation of anything in regulation 7.11.17 or 7.11.18 or of anything else in this regulation.</w:t>
      </w:r>
    </w:p>
    <w:p w14:paraId="755DB45D" w14:textId="77777777" w:rsidR="00E93F58" w:rsidRPr="00283424" w:rsidRDefault="00E93F58" w:rsidP="00B50726">
      <w:pPr>
        <w:pStyle w:val="ActHead5"/>
      </w:pPr>
      <w:bookmarkStart w:id="2087" w:name="_Toc152055019"/>
      <w:bookmarkStart w:id="2088" w:name="_Toc158712835"/>
      <w:r w:rsidRPr="006F296E">
        <w:rPr>
          <w:rStyle w:val="CharSectno"/>
        </w:rPr>
        <w:t>7.11.20</w:t>
      </w:r>
      <w:r w:rsidRPr="00283424">
        <w:t xml:space="preserve">  Joint and several warranties and liabilities</w:t>
      </w:r>
      <w:bookmarkEnd w:id="2087"/>
      <w:bookmarkEnd w:id="2088"/>
    </w:p>
    <w:p w14:paraId="26DD4082" w14:textId="77777777" w:rsidR="00E93F58" w:rsidRPr="00283424" w:rsidRDefault="00E93F58" w:rsidP="00B50726">
      <w:pPr>
        <w:pStyle w:val="subsection"/>
        <w:rPr>
          <w:color w:val="000000"/>
        </w:rPr>
      </w:pPr>
      <w:r w:rsidRPr="00283424">
        <w:rPr>
          <w:color w:val="000000"/>
        </w:rPr>
        <w:tab/>
        <w:t>(1)</w:t>
      </w:r>
      <w:r w:rsidRPr="00283424">
        <w:rPr>
          <w:color w:val="000000"/>
        </w:rPr>
        <w:tab/>
        <w:t>If 2 or more persons are taken to have warranted in the terms mentioned in paragraphs 7.11.17(2)(a) and (b) or 7.11.17(3)(a) and (b), the persons are taken to have warranted jointly and severally.</w:t>
      </w:r>
    </w:p>
    <w:p w14:paraId="11008449" w14:textId="77777777" w:rsidR="00E93F58" w:rsidRPr="00283424" w:rsidRDefault="00E93F58" w:rsidP="00B50726">
      <w:pPr>
        <w:pStyle w:val="subsection"/>
        <w:rPr>
          <w:color w:val="000000"/>
        </w:rPr>
      </w:pPr>
      <w:r w:rsidRPr="00283424">
        <w:rPr>
          <w:color w:val="000000"/>
        </w:rPr>
        <w:tab/>
        <w:t>(2)</w:t>
      </w:r>
      <w:r w:rsidRPr="00283424">
        <w:rPr>
          <w:color w:val="000000"/>
        </w:rPr>
        <w:tab/>
        <w:t>If 2 or more persons are liable as mentioned in paragraph 7.11.17(4)(b) or (c), or subregulation 7.11.19(3) or (4), the persons are liable jointly and severally.</w:t>
      </w:r>
    </w:p>
    <w:p w14:paraId="5BDF9BD1" w14:textId="77777777" w:rsidR="00E93F58" w:rsidRPr="00283424" w:rsidRDefault="00E93F58" w:rsidP="00B50726">
      <w:pPr>
        <w:pStyle w:val="ActHead5"/>
      </w:pPr>
      <w:bookmarkStart w:id="2089" w:name="_Toc152055020"/>
      <w:bookmarkStart w:id="2090" w:name="_Toc158712836"/>
      <w:r w:rsidRPr="006F296E">
        <w:rPr>
          <w:rStyle w:val="CharSectno"/>
        </w:rPr>
        <w:t>7.11.21</w:t>
      </w:r>
      <w:r w:rsidRPr="00283424">
        <w:t xml:space="preserve">  Registration of certain instruments</w:t>
      </w:r>
      <w:bookmarkEnd w:id="2089"/>
      <w:bookmarkEnd w:id="2090"/>
    </w:p>
    <w:p w14:paraId="2C697CB7" w14:textId="77777777" w:rsidR="00E93F58" w:rsidRPr="00283424" w:rsidRDefault="00E93F58" w:rsidP="00B50726">
      <w:pPr>
        <w:pStyle w:val="subsection"/>
      </w:pPr>
      <w:r w:rsidRPr="00283424">
        <w:tab/>
        <w:t>(1)</w:t>
      </w:r>
      <w:r w:rsidRPr="00283424">
        <w:tab/>
        <w:t>This regulation applies if a sufficient transfer under this Part is lodged with a company for the purpose of:</w:t>
      </w:r>
    </w:p>
    <w:p w14:paraId="65E23F83" w14:textId="77777777" w:rsidR="00E93F58" w:rsidRPr="00283424" w:rsidRDefault="00E93F58" w:rsidP="00B50726">
      <w:pPr>
        <w:pStyle w:val="paragraph"/>
      </w:pPr>
      <w:r w:rsidRPr="00283424">
        <w:rPr>
          <w:color w:val="000000"/>
        </w:rPr>
        <w:tab/>
        <w:t>(a)</w:t>
      </w:r>
      <w:r w:rsidRPr="00283424">
        <w:rPr>
          <w:color w:val="000000"/>
        </w:rPr>
        <w:tab/>
        <w:t>registering a transfer of Division 3 assets; or</w:t>
      </w:r>
    </w:p>
    <w:p w14:paraId="33AB65EC" w14:textId="77777777" w:rsidR="00E93F58" w:rsidRPr="00283424" w:rsidRDefault="00E93F58" w:rsidP="00B50726">
      <w:pPr>
        <w:pStyle w:val="paragraph"/>
      </w:pPr>
      <w:r w:rsidRPr="00283424">
        <w:tab/>
        <w:t>(b)</w:t>
      </w:r>
      <w:r w:rsidRPr="00283424">
        <w:tab/>
        <w:t>obtaining the issue of Division 3 assets.</w:t>
      </w:r>
    </w:p>
    <w:p w14:paraId="5171E6B3" w14:textId="77777777" w:rsidR="00E93F58" w:rsidRPr="00283424" w:rsidRDefault="00E93F58" w:rsidP="00B50726">
      <w:pPr>
        <w:pStyle w:val="subsection"/>
        <w:rPr>
          <w:color w:val="000000"/>
        </w:rPr>
      </w:pPr>
      <w:r w:rsidRPr="00283424">
        <w:rPr>
          <w:color w:val="000000"/>
        </w:rPr>
        <w:tab/>
        <w:t>(2)</w:t>
      </w:r>
      <w:r w:rsidRPr="00283424">
        <w:rPr>
          <w:color w:val="000000"/>
        </w:rPr>
        <w:tab/>
        <w:t>If the sufficient transfer is a transfer under regulation 7.11.11, the company and its officers are, in the absence of knowledge to the contrary, entitled to assume without inquiry that:</w:t>
      </w:r>
    </w:p>
    <w:p w14:paraId="19AC444F" w14:textId="77777777" w:rsidR="00E93F58" w:rsidRPr="00283424" w:rsidRDefault="00E93F58" w:rsidP="00B50726">
      <w:pPr>
        <w:pStyle w:val="paragraph"/>
      </w:pPr>
      <w:r w:rsidRPr="00283424">
        <w:rPr>
          <w:color w:val="000000"/>
        </w:rPr>
        <w:tab/>
        <w:t>(a)</w:t>
      </w:r>
      <w:r w:rsidRPr="00283424">
        <w:rPr>
          <w:color w:val="000000"/>
        </w:rPr>
        <w:tab/>
        <w:t>a stamp on the transfer document that purports to be the transferor’s broker’s stamp is the stamp of that broker; and</w:t>
      </w:r>
    </w:p>
    <w:p w14:paraId="00C55808" w14:textId="77777777" w:rsidR="00E93F58" w:rsidRPr="00283424" w:rsidRDefault="00E93F58" w:rsidP="00B50726">
      <w:pPr>
        <w:pStyle w:val="paragraph"/>
      </w:pPr>
      <w:r w:rsidRPr="00283424">
        <w:tab/>
        <w:t>(b)</w:t>
      </w:r>
      <w:r w:rsidRPr="00283424">
        <w:tab/>
        <w:t>a stamp on the transfer document that purports to be the transferee’s broker’s stamp is the stamp of that broker; and</w:t>
      </w:r>
    </w:p>
    <w:p w14:paraId="2DCEC967" w14:textId="77777777" w:rsidR="00E93F58" w:rsidRPr="00283424" w:rsidRDefault="00E93F58" w:rsidP="00B50726">
      <w:pPr>
        <w:pStyle w:val="paragraph"/>
      </w:pPr>
      <w:r w:rsidRPr="00283424">
        <w:tab/>
        <w:t>(c)</w:t>
      </w:r>
      <w:r w:rsidRPr="00283424">
        <w:tab/>
        <w:t>a stamp on the transfer document that purports to be the stamp of a market licensee is the stamp of that market licensee.</w:t>
      </w:r>
    </w:p>
    <w:p w14:paraId="71114B7C" w14:textId="77777777" w:rsidR="00E93F58" w:rsidRPr="00283424" w:rsidRDefault="00E93F58" w:rsidP="00B50726">
      <w:pPr>
        <w:pStyle w:val="subsection"/>
        <w:rPr>
          <w:color w:val="000000"/>
        </w:rPr>
      </w:pPr>
      <w:r w:rsidRPr="00283424">
        <w:rPr>
          <w:color w:val="000000"/>
        </w:rPr>
        <w:tab/>
        <w:t>(3)</w:t>
      </w:r>
      <w:r w:rsidRPr="00283424">
        <w:rPr>
          <w:color w:val="000000"/>
        </w:rPr>
        <w:tab/>
        <w:t>If the sufficient transfer is a transfer under regulation 7.11.12 or 7.11.13, the company and its officers are, in the absence of knowledge to the contrary, entitled to assume without inquiry that:</w:t>
      </w:r>
    </w:p>
    <w:p w14:paraId="3F89BBEF" w14:textId="77777777" w:rsidR="00E93F58" w:rsidRPr="00283424" w:rsidRDefault="00E93F58" w:rsidP="00B50726">
      <w:pPr>
        <w:pStyle w:val="paragraph"/>
        <w:rPr>
          <w:color w:val="000000"/>
        </w:rPr>
      </w:pPr>
      <w:r w:rsidRPr="00283424">
        <w:rPr>
          <w:color w:val="000000"/>
        </w:rPr>
        <w:tab/>
        <w:t>(a)</w:t>
      </w:r>
      <w:r w:rsidRPr="00283424">
        <w:rPr>
          <w:color w:val="000000"/>
        </w:rPr>
        <w:tab/>
        <w:t xml:space="preserve">at the execution time, </w:t>
      </w:r>
      <w:r w:rsidRPr="00283424">
        <w:t xml:space="preserve">the licensed trustee company, a Public Trustee of a State or Territory, or a company listed in Schedule 9 </w:t>
      </w:r>
      <w:r w:rsidRPr="00283424">
        <w:rPr>
          <w:color w:val="000000"/>
        </w:rPr>
        <w:t>named in the instrument held (whether alone or together with any other person or persons) in the ordinary course of its business, in trust for or on behalf of the transferee, the Division 3 assets or Division 3 rights to which the sufficient transfer relates; and</w:t>
      </w:r>
    </w:p>
    <w:p w14:paraId="21FBA701" w14:textId="77777777" w:rsidR="00E93F58" w:rsidRPr="00283424" w:rsidRDefault="00E93F58" w:rsidP="00B50726">
      <w:pPr>
        <w:pStyle w:val="paragraph"/>
      </w:pPr>
      <w:r w:rsidRPr="00283424">
        <w:tab/>
        <w:t>(b)</w:t>
      </w:r>
      <w:r w:rsidRPr="00283424">
        <w:tab/>
        <w:t>the transfer was not made by way of a sale, gift or exchange of the Division 3 assets or Division 3 rights.</w:t>
      </w:r>
    </w:p>
    <w:p w14:paraId="4E428969" w14:textId="77777777" w:rsidR="00E93F58" w:rsidRPr="00283424" w:rsidRDefault="00E93F58" w:rsidP="00B50726">
      <w:pPr>
        <w:pStyle w:val="ActHead5"/>
      </w:pPr>
      <w:bookmarkStart w:id="2091" w:name="_Toc152055021"/>
      <w:bookmarkStart w:id="2092" w:name="_Toc158712837"/>
      <w:r w:rsidRPr="006F296E">
        <w:rPr>
          <w:rStyle w:val="CharSectno"/>
        </w:rPr>
        <w:t>7.11.22</w:t>
      </w:r>
      <w:r w:rsidRPr="00283424">
        <w:t xml:space="preserve">  Details to be included in instrument of transfer</w:t>
      </w:r>
      <w:bookmarkEnd w:id="2091"/>
      <w:bookmarkEnd w:id="2092"/>
    </w:p>
    <w:p w14:paraId="699E55E3" w14:textId="77777777" w:rsidR="00E93F58" w:rsidRPr="00283424" w:rsidRDefault="00E93F58" w:rsidP="00B50726">
      <w:pPr>
        <w:pStyle w:val="subsection"/>
        <w:keepNext/>
        <w:keepLines/>
      </w:pPr>
      <w:r w:rsidRPr="00283424">
        <w:tab/>
        <w:t>(1)</w:t>
      </w:r>
      <w:r w:rsidRPr="00283424">
        <w:tab/>
        <w:t>For subsection 1071B(3) of the Act, for a transfer of unquoted securities, the State or Territory in this jurisdiction in which the company is taken to be registered is a prescribed detail.</w:t>
      </w:r>
    </w:p>
    <w:p w14:paraId="7A51D002" w14:textId="77777777" w:rsidR="00E93F58" w:rsidRPr="00283424" w:rsidRDefault="00E93F58" w:rsidP="00B50726">
      <w:pPr>
        <w:pStyle w:val="subsection"/>
      </w:pPr>
      <w:r w:rsidRPr="00283424">
        <w:tab/>
        <w:t>(2)</w:t>
      </w:r>
      <w:r w:rsidRPr="00283424">
        <w:tab/>
        <w:t>In this regulation:</w:t>
      </w:r>
    </w:p>
    <w:p w14:paraId="2FA5E82B" w14:textId="77777777" w:rsidR="00E93F58" w:rsidRPr="00283424" w:rsidRDefault="00E93F58" w:rsidP="00B50726">
      <w:pPr>
        <w:pStyle w:val="Definition"/>
      </w:pPr>
      <w:r w:rsidRPr="00283424">
        <w:rPr>
          <w:b/>
          <w:i/>
        </w:rPr>
        <w:t xml:space="preserve">unquoted securities </w:t>
      </w:r>
      <w:r w:rsidRPr="00283424">
        <w:t>means securities (within the meaning of subsection 1071A(1) of the Act) that are not admitted to quotation on any of the financial markets operated by the Australian Stock Exchange Limited, Bendigo Stock Exchange Limited or National Stock Exchange of Australia Limited.</w:t>
      </w:r>
    </w:p>
    <w:p w14:paraId="0AC894D0" w14:textId="77777777" w:rsidR="00E93F58" w:rsidRPr="00283424" w:rsidRDefault="00E93F58" w:rsidP="00B50726">
      <w:pPr>
        <w:pStyle w:val="ActHead3"/>
        <w:pageBreakBefore/>
        <w:rPr>
          <w:color w:val="000000"/>
        </w:rPr>
      </w:pPr>
      <w:bookmarkStart w:id="2093" w:name="_Toc152055022"/>
      <w:bookmarkStart w:id="2094" w:name="_Toc158712838"/>
      <w:r w:rsidRPr="006F296E">
        <w:rPr>
          <w:rStyle w:val="CharDivNo"/>
        </w:rPr>
        <w:lastRenderedPageBreak/>
        <w:t>Division 4</w:t>
      </w:r>
      <w:r w:rsidRPr="00283424">
        <w:rPr>
          <w:color w:val="000000"/>
        </w:rPr>
        <w:t>—</w:t>
      </w:r>
      <w:r w:rsidRPr="006F296E">
        <w:rPr>
          <w:rStyle w:val="CharDivText"/>
        </w:rPr>
        <w:t>Transfer of Division 4 financial products effected through prescribed CS facility</w:t>
      </w:r>
      <w:bookmarkEnd w:id="2093"/>
      <w:bookmarkEnd w:id="2094"/>
    </w:p>
    <w:p w14:paraId="4C01A536" w14:textId="77777777" w:rsidR="00E93F58" w:rsidRPr="00283424" w:rsidRDefault="00E93F58" w:rsidP="00B50726">
      <w:pPr>
        <w:pStyle w:val="ActHead5"/>
      </w:pPr>
      <w:bookmarkStart w:id="2095" w:name="_Toc152055023"/>
      <w:bookmarkStart w:id="2096" w:name="_Toc158712839"/>
      <w:r w:rsidRPr="006F296E">
        <w:rPr>
          <w:rStyle w:val="CharSectno"/>
        </w:rPr>
        <w:t>7.11.23</w:t>
      </w:r>
      <w:r w:rsidRPr="00283424">
        <w:t xml:space="preserve">  Application of Division 4</w:t>
      </w:r>
      <w:bookmarkEnd w:id="2095"/>
      <w:bookmarkEnd w:id="2096"/>
    </w:p>
    <w:p w14:paraId="762BE48D" w14:textId="77777777" w:rsidR="00E93F58" w:rsidRPr="00283424" w:rsidRDefault="00E93F58" w:rsidP="00B50726">
      <w:pPr>
        <w:pStyle w:val="subsection"/>
      </w:pPr>
      <w:r w:rsidRPr="00283424">
        <w:rPr>
          <w:color w:val="000000"/>
        </w:rPr>
        <w:tab/>
      </w:r>
      <w:r w:rsidRPr="00283424">
        <w:rPr>
          <w:color w:val="000000"/>
        </w:rPr>
        <w:tab/>
        <w:t>This Division is made under sections 1074A and 1074E of the Act, and applies to transfers of Division 4 financial products effected through ASTC.</w:t>
      </w:r>
    </w:p>
    <w:p w14:paraId="0CEBF08F" w14:textId="77777777" w:rsidR="00E93F58" w:rsidRPr="00283424" w:rsidRDefault="00E93F58" w:rsidP="00B50726">
      <w:pPr>
        <w:pStyle w:val="notetext"/>
      </w:pPr>
      <w:r w:rsidRPr="00283424">
        <w:rPr>
          <w:color w:val="000000"/>
        </w:rPr>
        <w:t>Note:</w:t>
      </w:r>
      <w:r w:rsidRPr="00283424">
        <w:rPr>
          <w:color w:val="000000"/>
        </w:rPr>
        <w:tab/>
        <w:t>ASTC—the ASX Settlement and Transfer Corporation Pty Limited—is a prescribed CS facility</w:t>
      </w:r>
      <w:r w:rsidRPr="00BE1284">
        <w:t xml:space="preserve">: see </w:t>
      </w:r>
      <w:r>
        <w:t>regulation 1</w:t>
      </w:r>
      <w:r w:rsidRPr="00BE1284">
        <w:t>.0.02AB</w:t>
      </w:r>
      <w:r w:rsidRPr="00283424">
        <w:rPr>
          <w:color w:val="000000"/>
        </w:rPr>
        <w:t>.</w:t>
      </w:r>
    </w:p>
    <w:p w14:paraId="527850D3" w14:textId="77777777" w:rsidR="00E93F58" w:rsidRPr="00283424" w:rsidRDefault="00E93F58" w:rsidP="00B50726">
      <w:pPr>
        <w:pStyle w:val="ActHead5"/>
      </w:pPr>
      <w:bookmarkStart w:id="2097" w:name="_Toc152055024"/>
      <w:bookmarkStart w:id="2098" w:name="_Toc158712840"/>
      <w:r w:rsidRPr="006F296E">
        <w:rPr>
          <w:rStyle w:val="CharSectno"/>
        </w:rPr>
        <w:t>7.11.24</w:t>
      </w:r>
      <w:r w:rsidRPr="00283424">
        <w:t xml:space="preserve">  Application of ASTC operating rules</w:t>
      </w:r>
      <w:bookmarkEnd w:id="2097"/>
      <w:bookmarkEnd w:id="2098"/>
    </w:p>
    <w:p w14:paraId="6CC1954D" w14:textId="77777777" w:rsidR="00E93F58" w:rsidRPr="00283424" w:rsidRDefault="00E93F58" w:rsidP="00B50726">
      <w:pPr>
        <w:pStyle w:val="subsection"/>
        <w:rPr>
          <w:color w:val="000000"/>
        </w:rPr>
      </w:pPr>
      <w:r w:rsidRPr="00283424">
        <w:rPr>
          <w:color w:val="000000"/>
        </w:rPr>
        <w:tab/>
      </w:r>
      <w:r w:rsidRPr="00283424">
        <w:rPr>
          <w:color w:val="000000"/>
        </w:rPr>
        <w:tab/>
        <w:t>If the ASTC operating rules include provisions determining:</w:t>
      </w:r>
    </w:p>
    <w:p w14:paraId="5989A554" w14:textId="77777777" w:rsidR="00E93F58" w:rsidRPr="00283424" w:rsidRDefault="00E93F58" w:rsidP="00B50726">
      <w:pPr>
        <w:pStyle w:val="paragraph"/>
        <w:rPr>
          <w:color w:val="000000"/>
        </w:rPr>
      </w:pPr>
      <w:r w:rsidRPr="00283424">
        <w:rPr>
          <w:color w:val="000000"/>
        </w:rPr>
        <w:tab/>
        <w:t>(a)</w:t>
      </w:r>
      <w:r w:rsidRPr="00283424">
        <w:rPr>
          <w:color w:val="000000"/>
        </w:rPr>
        <w:tab/>
        <w:t>which participant effected a proper ASTC transfer; or</w:t>
      </w:r>
    </w:p>
    <w:p w14:paraId="1098792F" w14:textId="77777777" w:rsidR="00E93F58" w:rsidRPr="00283424" w:rsidRDefault="00E93F58" w:rsidP="00B50726">
      <w:pPr>
        <w:pStyle w:val="paragraph"/>
      </w:pPr>
      <w:r w:rsidRPr="00283424">
        <w:tab/>
        <w:t>(b)</w:t>
      </w:r>
      <w:r w:rsidRPr="00283424">
        <w:tab/>
        <w:t>when a proper ASTC transfer takes effect;</w:t>
      </w:r>
    </w:p>
    <w:p w14:paraId="446DC89B" w14:textId="77777777" w:rsidR="00E93F58" w:rsidRPr="00283424" w:rsidRDefault="00E93F58" w:rsidP="00B50726">
      <w:pPr>
        <w:pStyle w:val="subsection2"/>
        <w:rPr>
          <w:color w:val="000000"/>
        </w:rPr>
      </w:pPr>
      <w:r w:rsidRPr="00283424">
        <w:rPr>
          <w:color w:val="000000"/>
        </w:rPr>
        <w:t>those provisions have effect for this Division.</w:t>
      </w:r>
    </w:p>
    <w:p w14:paraId="42B5B58E" w14:textId="77777777" w:rsidR="00E93F58" w:rsidRPr="00283424" w:rsidRDefault="00E93F58" w:rsidP="00B50726">
      <w:pPr>
        <w:pStyle w:val="ActHead5"/>
      </w:pPr>
      <w:bookmarkStart w:id="2099" w:name="_Toc152055025"/>
      <w:bookmarkStart w:id="2100" w:name="_Toc158712841"/>
      <w:r w:rsidRPr="006F296E">
        <w:rPr>
          <w:rStyle w:val="CharSectno"/>
        </w:rPr>
        <w:t>7.11.25</w:t>
      </w:r>
      <w:r w:rsidRPr="00283424">
        <w:t xml:space="preserve">  Participant’s authority to enter into transaction continues despite client’s death</w:t>
      </w:r>
      <w:bookmarkEnd w:id="2099"/>
      <w:bookmarkEnd w:id="2100"/>
    </w:p>
    <w:p w14:paraId="5002DADB"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w:t>
      </w:r>
    </w:p>
    <w:p w14:paraId="1892EE56" w14:textId="77777777" w:rsidR="00E93F58" w:rsidRPr="00283424" w:rsidRDefault="00E93F58" w:rsidP="00B50726">
      <w:pPr>
        <w:pStyle w:val="paragraph"/>
        <w:rPr>
          <w:color w:val="000000"/>
        </w:rPr>
      </w:pPr>
      <w:r w:rsidRPr="00283424">
        <w:rPr>
          <w:color w:val="000000"/>
        </w:rPr>
        <w:tab/>
        <w:t>(a)</w:t>
      </w:r>
      <w:r w:rsidRPr="00283424">
        <w:rPr>
          <w:color w:val="000000"/>
        </w:rPr>
        <w:tab/>
        <w:t>a person authorises a participant to enter into a transaction involving the disposal of a Division 4 financial product (for example, a sale); and</w:t>
      </w:r>
    </w:p>
    <w:p w14:paraId="57CE067F" w14:textId="77777777" w:rsidR="00E93F58" w:rsidRPr="00283424" w:rsidRDefault="00E93F58" w:rsidP="00B50726">
      <w:pPr>
        <w:pStyle w:val="paragraph"/>
      </w:pPr>
      <w:r w:rsidRPr="00283424">
        <w:tab/>
        <w:t>(b)</w:t>
      </w:r>
      <w:r w:rsidRPr="00283424">
        <w:tab/>
        <w:t>the person dies before the participant enters into the transaction; and</w:t>
      </w:r>
    </w:p>
    <w:p w14:paraId="15DC2B41" w14:textId="77777777" w:rsidR="00E93F58" w:rsidRPr="00283424" w:rsidRDefault="00E93F58" w:rsidP="00B50726">
      <w:pPr>
        <w:pStyle w:val="paragraph"/>
      </w:pPr>
      <w:r w:rsidRPr="00283424">
        <w:tab/>
        <w:t>(c)</w:t>
      </w:r>
      <w:r w:rsidRPr="00283424">
        <w:tab/>
        <w:t>the authority is still in force immediately before the person dies.</w:t>
      </w:r>
    </w:p>
    <w:p w14:paraId="3A740C6B" w14:textId="77777777" w:rsidR="00E93F58" w:rsidRPr="00283424" w:rsidRDefault="00E93F58" w:rsidP="00B50726">
      <w:pPr>
        <w:pStyle w:val="subsection"/>
      </w:pPr>
      <w:r w:rsidRPr="00283424">
        <w:rPr>
          <w:color w:val="000000"/>
        </w:rPr>
        <w:tab/>
        <w:t>(2)</w:t>
      </w:r>
      <w:r w:rsidRPr="00283424">
        <w:rPr>
          <w:color w:val="000000"/>
        </w:rPr>
        <w:tab/>
        <w:t>The authority continues, despite the person’s death, as if the person were still alive.</w:t>
      </w:r>
    </w:p>
    <w:p w14:paraId="110D3A5E" w14:textId="77777777" w:rsidR="00E93F58" w:rsidRPr="00283424" w:rsidRDefault="00E93F58" w:rsidP="00B50726">
      <w:pPr>
        <w:pStyle w:val="subsection"/>
      </w:pPr>
      <w:r w:rsidRPr="00283424">
        <w:tab/>
        <w:t>(3)</w:t>
      </w:r>
      <w:r w:rsidRPr="00283424">
        <w:tab/>
        <w:t>If the participant enters into the transaction while the authority so continues, the transaction is binding on the person’s legal representative.</w:t>
      </w:r>
    </w:p>
    <w:p w14:paraId="4384E54A" w14:textId="77777777" w:rsidR="00E93F58" w:rsidRPr="00283424" w:rsidRDefault="00E93F58" w:rsidP="00B50726">
      <w:pPr>
        <w:pStyle w:val="subsection"/>
      </w:pPr>
      <w:r w:rsidRPr="00283424">
        <w:tab/>
        <w:t>(4)</w:t>
      </w:r>
      <w:r w:rsidRPr="00283424">
        <w:tab/>
        <w:t>The authority can be revoked by the person’s legal representative in any way that the person could have revoked it while the person was alive.</w:t>
      </w:r>
    </w:p>
    <w:p w14:paraId="5C5D2A1D" w14:textId="77777777" w:rsidR="00E93F58" w:rsidRPr="00283424" w:rsidRDefault="00E93F58" w:rsidP="00B50726">
      <w:pPr>
        <w:pStyle w:val="ActHead5"/>
      </w:pPr>
      <w:bookmarkStart w:id="2101" w:name="_Toc152055026"/>
      <w:bookmarkStart w:id="2102" w:name="_Toc158712842"/>
      <w:r w:rsidRPr="006F296E">
        <w:rPr>
          <w:rStyle w:val="CharSectno"/>
        </w:rPr>
        <w:t>7.11.26</w:t>
      </w:r>
      <w:r w:rsidRPr="00283424">
        <w:t xml:space="preserve">  Authority to enter into transaction gives authority to transfer</w:t>
      </w:r>
      <w:bookmarkEnd w:id="2101"/>
      <w:bookmarkEnd w:id="2102"/>
    </w:p>
    <w:p w14:paraId="7D257964" w14:textId="77777777" w:rsidR="00E93F58" w:rsidRPr="00283424" w:rsidRDefault="00E93F58" w:rsidP="00B50726">
      <w:pPr>
        <w:pStyle w:val="subsection"/>
      </w:pPr>
      <w:r w:rsidRPr="00283424">
        <w:rPr>
          <w:color w:val="000000"/>
        </w:rPr>
        <w:tab/>
        <w:t>(1)</w:t>
      </w:r>
      <w:r w:rsidRPr="00283424">
        <w:rPr>
          <w:color w:val="000000"/>
        </w:rPr>
        <w:tab/>
        <w:t>This regulation applies if a person authorises a participant to enter into a transaction involving the disposal of a Division 4 financial product (for example, a sale).</w:t>
      </w:r>
    </w:p>
    <w:p w14:paraId="21AEEFE2" w14:textId="77777777" w:rsidR="00E93F58" w:rsidRPr="00283424" w:rsidRDefault="00E93F58" w:rsidP="00B50726">
      <w:pPr>
        <w:pStyle w:val="subsection"/>
        <w:rPr>
          <w:color w:val="000000"/>
        </w:rPr>
      </w:pPr>
      <w:r w:rsidRPr="00283424">
        <w:rPr>
          <w:color w:val="000000"/>
        </w:rPr>
        <w:tab/>
        <w:t>(2)</w:t>
      </w:r>
      <w:r w:rsidRPr="00283424">
        <w:rPr>
          <w:color w:val="000000"/>
        </w:rPr>
        <w:tab/>
        <w:t>The person is taken to have authorised the participant to effect any proper ASTC transfer of the Division 4 financial product that the participant effects, whether or not the transfer has any connection with the transaction.</w:t>
      </w:r>
    </w:p>
    <w:p w14:paraId="4F3582FF" w14:textId="77777777" w:rsidR="00E93F58" w:rsidRPr="00283424" w:rsidRDefault="00E93F58" w:rsidP="00B50726">
      <w:pPr>
        <w:pStyle w:val="notetext"/>
        <w:rPr>
          <w:color w:val="000000"/>
        </w:rPr>
      </w:pPr>
      <w:r w:rsidRPr="00283424">
        <w:rPr>
          <w:color w:val="000000"/>
        </w:rPr>
        <w:t>Note:</w:t>
      </w:r>
      <w:r w:rsidRPr="00283424">
        <w:rPr>
          <w:color w:val="000000"/>
        </w:rPr>
        <w:tab/>
        <w:t>The transfer may have no connection with the transaction because of the operation of the provisions of the ASTC operating rules mentioned in subregulation 7.5.41(1).</w:t>
      </w:r>
    </w:p>
    <w:p w14:paraId="52EF5EEE" w14:textId="77777777" w:rsidR="00E93F58" w:rsidRPr="00283424" w:rsidRDefault="00E93F58" w:rsidP="00B50726">
      <w:pPr>
        <w:pStyle w:val="subsection"/>
        <w:rPr>
          <w:color w:val="000000"/>
        </w:rPr>
      </w:pPr>
      <w:r w:rsidRPr="00283424">
        <w:rPr>
          <w:color w:val="000000"/>
        </w:rPr>
        <w:tab/>
        <w:t>(3)</w:t>
      </w:r>
      <w:r w:rsidRPr="00283424">
        <w:rPr>
          <w:color w:val="000000"/>
        </w:rPr>
        <w:tab/>
        <w:t>The authority that the person is taken by subregulation (2) to have given:</w:t>
      </w:r>
    </w:p>
    <w:p w14:paraId="4419B8B0" w14:textId="77777777" w:rsidR="00E93F58" w:rsidRPr="00283424" w:rsidRDefault="00E93F58" w:rsidP="00B50726">
      <w:pPr>
        <w:pStyle w:val="paragraph"/>
        <w:rPr>
          <w:color w:val="000000"/>
        </w:rPr>
      </w:pPr>
      <w:r w:rsidRPr="00283424">
        <w:rPr>
          <w:color w:val="000000"/>
        </w:rPr>
        <w:tab/>
        <w:t>(a)</w:t>
      </w:r>
      <w:r w:rsidRPr="00283424">
        <w:rPr>
          <w:color w:val="000000"/>
        </w:rPr>
        <w:tab/>
        <w:t>is revoked if, before the transaction is entered into, the authority to enter into the transaction is revoked or otherwise ceases to have effect; and</w:t>
      </w:r>
    </w:p>
    <w:p w14:paraId="29CF04D1" w14:textId="77777777" w:rsidR="00E93F58" w:rsidRPr="00283424" w:rsidRDefault="00E93F58" w:rsidP="00B50726">
      <w:pPr>
        <w:pStyle w:val="paragraph"/>
      </w:pPr>
      <w:r w:rsidRPr="00283424">
        <w:tab/>
        <w:t>(b)</w:t>
      </w:r>
      <w:r w:rsidRPr="00283424">
        <w:tab/>
        <w:t>cannot otherwise be revoked.</w:t>
      </w:r>
    </w:p>
    <w:p w14:paraId="05F88758" w14:textId="77777777" w:rsidR="00E93F58" w:rsidRPr="00283424" w:rsidRDefault="00E93F58" w:rsidP="00B50726">
      <w:pPr>
        <w:pStyle w:val="subsection"/>
      </w:pPr>
      <w:r w:rsidRPr="00283424">
        <w:tab/>
        <w:t>(4)</w:t>
      </w:r>
      <w:r w:rsidRPr="00283424">
        <w:tab/>
        <w:t>If the person dies after the transaction is entered into, the authority:</w:t>
      </w:r>
    </w:p>
    <w:p w14:paraId="2A6CDE09" w14:textId="77777777" w:rsidR="00E93F58" w:rsidRPr="00283424" w:rsidRDefault="00E93F58" w:rsidP="00B50726">
      <w:pPr>
        <w:pStyle w:val="paragraph"/>
      </w:pPr>
      <w:r w:rsidRPr="00283424">
        <w:rPr>
          <w:color w:val="000000"/>
        </w:rPr>
        <w:tab/>
        <w:t>(a)</w:t>
      </w:r>
      <w:r w:rsidRPr="00283424">
        <w:rPr>
          <w:color w:val="000000"/>
        </w:rPr>
        <w:tab/>
        <w:t>continues in force, despite the person’s death, as if the person were still alive; and</w:t>
      </w:r>
    </w:p>
    <w:p w14:paraId="2D8ED969" w14:textId="77777777" w:rsidR="00E93F58" w:rsidRPr="00283424" w:rsidRDefault="00E93F58" w:rsidP="00B50726">
      <w:pPr>
        <w:pStyle w:val="paragraph"/>
      </w:pPr>
      <w:r w:rsidRPr="00283424">
        <w:tab/>
        <w:t>(b)</w:t>
      </w:r>
      <w:r w:rsidRPr="00283424">
        <w:tab/>
        <w:t>cannot be revoked.</w:t>
      </w:r>
    </w:p>
    <w:p w14:paraId="5C375853" w14:textId="77777777" w:rsidR="00E93F58" w:rsidRPr="00283424" w:rsidRDefault="00E93F58" w:rsidP="00B50726">
      <w:pPr>
        <w:pStyle w:val="subsection"/>
      </w:pPr>
      <w:r w:rsidRPr="00283424">
        <w:tab/>
        <w:t>(5)</w:t>
      </w:r>
      <w:r w:rsidRPr="00283424">
        <w:tab/>
        <w:t>If:</w:t>
      </w:r>
    </w:p>
    <w:p w14:paraId="5244576C" w14:textId="77777777" w:rsidR="00E93F58" w:rsidRPr="00B449EC" w:rsidRDefault="00E93F58" w:rsidP="00494F25">
      <w:pPr>
        <w:pStyle w:val="paragraph"/>
      </w:pPr>
      <w:r w:rsidRPr="00B449EC">
        <w:tab/>
        <w:t>(a)</w:t>
      </w:r>
      <w:r w:rsidRPr="00B449EC">
        <w:tab/>
        <w:t>the authority mentioned in subregulations (1) and (2) is given to a participant</w:t>
      </w:r>
      <w:r>
        <w:t xml:space="preserve"> </w:t>
      </w:r>
      <w:r w:rsidRPr="00B449EC">
        <w:t xml:space="preserve">(the </w:t>
      </w:r>
      <w:r w:rsidRPr="00B449EC">
        <w:rPr>
          <w:b/>
          <w:i/>
        </w:rPr>
        <w:t>transacting participant</w:t>
      </w:r>
      <w:r>
        <w:t>) in a financial market</w:t>
      </w:r>
      <w:r w:rsidRPr="00B449EC">
        <w:t>; and</w:t>
      </w:r>
    </w:p>
    <w:p w14:paraId="22DA99F6" w14:textId="77777777" w:rsidR="00E93F58" w:rsidRPr="00B449EC" w:rsidRDefault="00E93F58" w:rsidP="00494F25">
      <w:pPr>
        <w:pStyle w:val="paragraph"/>
      </w:pPr>
      <w:r w:rsidRPr="00B449EC">
        <w:tab/>
        <w:t>(b)</w:t>
      </w:r>
      <w:r w:rsidRPr="00B449EC">
        <w:tab/>
        <w:t>under the market licensee’s operating rules,</w:t>
      </w:r>
      <w:r>
        <w:t xml:space="preserve"> </w:t>
      </w:r>
      <w:r w:rsidRPr="00B449EC">
        <w:t xml:space="preserve">a participant </w:t>
      </w:r>
      <w:r>
        <w:t>in a clearing and settlement facility</w:t>
      </w:r>
      <w:r w:rsidRPr="00B449EC">
        <w:t xml:space="preserve"> (the </w:t>
      </w:r>
      <w:r w:rsidRPr="00B449EC">
        <w:rPr>
          <w:b/>
          <w:i/>
        </w:rPr>
        <w:t>clearing participant</w:t>
      </w:r>
      <w:r w:rsidRPr="00B449EC">
        <w:t>) has the function of completing the relevant transaction</w:t>
      </w:r>
      <w:r>
        <w:t>;</w:t>
      </w:r>
    </w:p>
    <w:p w14:paraId="37513009" w14:textId="77777777" w:rsidR="00E93F58" w:rsidRPr="00283424" w:rsidRDefault="00E93F58" w:rsidP="00B50726">
      <w:pPr>
        <w:pStyle w:val="subsection2"/>
      </w:pPr>
      <w:r w:rsidRPr="00283424">
        <w:rPr>
          <w:color w:val="000000"/>
        </w:rPr>
        <w:t>the clearing participant has the same authority as the transacting participant has under subregulations (1) and (2).</w:t>
      </w:r>
    </w:p>
    <w:p w14:paraId="40AC8F8D" w14:textId="77777777" w:rsidR="00E93F58" w:rsidRPr="00283424" w:rsidRDefault="00E93F58" w:rsidP="00B50726">
      <w:pPr>
        <w:pStyle w:val="ActHead5"/>
      </w:pPr>
      <w:bookmarkStart w:id="2103" w:name="_Toc152055027"/>
      <w:bookmarkStart w:id="2104" w:name="_Toc158712843"/>
      <w:r w:rsidRPr="006F296E">
        <w:rPr>
          <w:rStyle w:val="CharSectno"/>
        </w:rPr>
        <w:lastRenderedPageBreak/>
        <w:t>7.11.27</w:t>
      </w:r>
      <w:r w:rsidRPr="00283424">
        <w:t xml:space="preserve">  Effect of proper ASTC transfer on transferee: Division 4 financial products other than rights</w:t>
      </w:r>
      <w:bookmarkEnd w:id="2103"/>
      <w:bookmarkEnd w:id="2104"/>
    </w:p>
    <w:p w14:paraId="370BFC99" w14:textId="77777777" w:rsidR="00E93F58" w:rsidRPr="00283424" w:rsidRDefault="00E93F58" w:rsidP="00B50726">
      <w:pPr>
        <w:pStyle w:val="subsection"/>
      </w:pPr>
      <w:r w:rsidRPr="00283424">
        <w:tab/>
        <w:t>(1)</w:t>
      </w:r>
      <w:r w:rsidRPr="00283424">
        <w:tab/>
        <w:t>If a proper ASTC transfer of a Division 4 financial product (other than rights) takes effect at a particular time:</w:t>
      </w:r>
    </w:p>
    <w:p w14:paraId="61E65465" w14:textId="77777777" w:rsidR="00E93F58" w:rsidRPr="00283424" w:rsidRDefault="00E93F58" w:rsidP="00B50726">
      <w:pPr>
        <w:pStyle w:val="paragraph"/>
      </w:pPr>
      <w:r w:rsidRPr="00283424">
        <w:rPr>
          <w:color w:val="000000"/>
        </w:rPr>
        <w:tab/>
        <w:t>(a)</w:t>
      </w:r>
      <w:r w:rsidRPr="00283424">
        <w:rPr>
          <w:color w:val="000000"/>
        </w:rPr>
        <w:tab/>
        <w:t>the transferee is taken to have agreed at that time to accept the Division 4 financial product subject to the terms and conditions on which the transferor held them immediately before that time; and</w:t>
      </w:r>
    </w:p>
    <w:p w14:paraId="5C408639" w14:textId="77777777" w:rsidR="00E93F58" w:rsidRPr="00283424" w:rsidRDefault="00E93F58" w:rsidP="00B50726">
      <w:pPr>
        <w:pStyle w:val="paragraph"/>
      </w:pPr>
      <w:r w:rsidRPr="00283424">
        <w:tab/>
        <w:t>(b)</w:t>
      </w:r>
      <w:r w:rsidRPr="00283424">
        <w:tab/>
        <w:t>the terms and conditions are the terms and conditions applicable as between the issuer in relation to, and the holder for the time being of, the Division 4 financial product.</w:t>
      </w:r>
    </w:p>
    <w:p w14:paraId="326A2940" w14:textId="77777777" w:rsidR="00E93F58" w:rsidRPr="00283424" w:rsidRDefault="00E93F58" w:rsidP="00B50726">
      <w:pPr>
        <w:pStyle w:val="subsection"/>
      </w:pPr>
      <w:r w:rsidRPr="00283424">
        <w:tab/>
        <w:t>(2)</w:t>
      </w:r>
      <w:r w:rsidRPr="00283424">
        <w:tab/>
        <w:t>If the Division 4 financial product is shares, the transferee is also taken to have agreed at that time:</w:t>
      </w:r>
    </w:p>
    <w:p w14:paraId="2DBD4F59" w14:textId="77777777" w:rsidR="00E93F58" w:rsidRPr="00283424" w:rsidRDefault="00E93F58" w:rsidP="00B50726">
      <w:pPr>
        <w:pStyle w:val="paragraph"/>
        <w:rPr>
          <w:color w:val="000000"/>
        </w:rPr>
      </w:pPr>
      <w:r w:rsidRPr="00283424">
        <w:rPr>
          <w:color w:val="000000"/>
        </w:rPr>
        <w:tab/>
        <w:t>(a)</w:t>
      </w:r>
      <w:r w:rsidRPr="00283424">
        <w:rPr>
          <w:color w:val="000000"/>
        </w:rPr>
        <w:tab/>
        <w:t>to become a member of the issuer; and</w:t>
      </w:r>
    </w:p>
    <w:p w14:paraId="5299CDAA" w14:textId="77777777" w:rsidR="00E93F58" w:rsidRPr="00283424" w:rsidRDefault="00E93F58" w:rsidP="00B50726">
      <w:pPr>
        <w:pStyle w:val="paragraph"/>
      </w:pPr>
      <w:r w:rsidRPr="00283424">
        <w:tab/>
        <w:t>(b)</w:t>
      </w:r>
      <w:r w:rsidRPr="00283424">
        <w:tab/>
        <w:t>to be bound by the issuer’s constitution.</w:t>
      </w:r>
    </w:p>
    <w:p w14:paraId="7173E5C5" w14:textId="77777777" w:rsidR="00E93F58" w:rsidRPr="00283424" w:rsidRDefault="00E93F58" w:rsidP="00B50726">
      <w:pPr>
        <w:pStyle w:val="subsection"/>
      </w:pPr>
      <w:r w:rsidRPr="00283424">
        <w:tab/>
        <w:t>(3)</w:t>
      </w:r>
      <w:r w:rsidRPr="00283424">
        <w:tab/>
        <w:t>If the Division 4 financial product is an interest in a managed investment scheme, the transferee is also taken to have agreed at that time:</w:t>
      </w:r>
    </w:p>
    <w:p w14:paraId="0642AFCE" w14:textId="77777777" w:rsidR="00E93F58" w:rsidRPr="00283424" w:rsidRDefault="00E93F58" w:rsidP="00B50726">
      <w:pPr>
        <w:pStyle w:val="paragraph"/>
      </w:pPr>
      <w:r w:rsidRPr="00283424">
        <w:rPr>
          <w:color w:val="000000"/>
        </w:rPr>
        <w:tab/>
        <w:t>(a)</w:t>
      </w:r>
      <w:r w:rsidRPr="00283424">
        <w:rPr>
          <w:color w:val="000000"/>
        </w:rPr>
        <w:tab/>
        <w:t>to become a member of the managed investment scheme; and</w:t>
      </w:r>
    </w:p>
    <w:p w14:paraId="475F216A" w14:textId="77777777" w:rsidR="00E93F58" w:rsidRPr="00283424" w:rsidRDefault="00E93F58" w:rsidP="00B50726">
      <w:pPr>
        <w:pStyle w:val="paragraph"/>
      </w:pPr>
      <w:r w:rsidRPr="00283424">
        <w:tab/>
        <w:t>(b)</w:t>
      </w:r>
      <w:r w:rsidRPr="00283424">
        <w:tab/>
        <w:t>to be bound by the constitution of the managed investment scheme to the extent that:</w:t>
      </w:r>
    </w:p>
    <w:p w14:paraId="2791C676" w14:textId="77777777" w:rsidR="00E93F58" w:rsidRPr="00283424" w:rsidRDefault="00E93F58" w:rsidP="00B50726">
      <w:pPr>
        <w:pStyle w:val="paragraphsub"/>
      </w:pPr>
      <w:r w:rsidRPr="00283424">
        <w:rPr>
          <w:color w:val="000000"/>
        </w:rPr>
        <w:tab/>
        <w:t>(i)</w:t>
      </w:r>
      <w:r w:rsidRPr="00283424">
        <w:rPr>
          <w:color w:val="000000"/>
        </w:rPr>
        <w:tab/>
        <w:t>the transferee will comply with any requirement imposed on the transferee by the constitution; and</w:t>
      </w:r>
    </w:p>
    <w:p w14:paraId="1E776660" w14:textId="77777777" w:rsidR="00E93F58" w:rsidRPr="00283424" w:rsidRDefault="00E93F58" w:rsidP="00B50726">
      <w:pPr>
        <w:pStyle w:val="paragraphsub"/>
      </w:pPr>
      <w:r w:rsidRPr="00283424">
        <w:tab/>
        <w:t>(ii)</w:t>
      </w:r>
      <w:r w:rsidRPr="00283424">
        <w:tab/>
        <w:t>the transferee will not impede compliance by another person with any requirement imposed on the other person by the constitution.</w:t>
      </w:r>
    </w:p>
    <w:p w14:paraId="659F2B9E" w14:textId="77777777" w:rsidR="00E93F58" w:rsidRPr="00283424" w:rsidRDefault="00E93F58" w:rsidP="00B50726">
      <w:pPr>
        <w:pStyle w:val="subsection"/>
      </w:pPr>
      <w:r w:rsidRPr="00283424">
        <w:tab/>
        <w:t>(4)</w:t>
      </w:r>
      <w:r w:rsidRPr="00283424">
        <w:tab/>
        <w:t>In this regulation:</w:t>
      </w:r>
    </w:p>
    <w:p w14:paraId="265935D3" w14:textId="77777777" w:rsidR="00E93F58" w:rsidRPr="00283424" w:rsidRDefault="00E93F58" w:rsidP="00B50726">
      <w:pPr>
        <w:pStyle w:val="Definition"/>
      </w:pPr>
      <w:r w:rsidRPr="00283424">
        <w:rPr>
          <w:b/>
          <w:i/>
          <w:color w:val="000000"/>
        </w:rPr>
        <w:t>right</w:t>
      </w:r>
      <w:r w:rsidRPr="00283424">
        <w:t xml:space="preserve"> means a right, whether existing or future, and whether contingent or not, of a person to have any of the following issued to the person, whether or not on payment of any money or for any other consideration:</w:t>
      </w:r>
    </w:p>
    <w:p w14:paraId="4772A8EF" w14:textId="77777777" w:rsidR="00E93F58" w:rsidRPr="00283424" w:rsidRDefault="00E93F58" w:rsidP="00B50726">
      <w:pPr>
        <w:pStyle w:val="paragraph"/>
      </w:pPr>
      <w:r w:rsidRPr="00283424">
        <w:rPr>
          <w:color w:val="000000"/>
        </w:rPr>
        <w:tab/>
        <w:t>(a)</w:t>
      </w:r>
      <w:r w:rsidRPr="00283424">
        <w:rPr>
          <w:color w:val="000000"/>
        </w:rPr>
        <w:tab/>
        <w:t>a share in a company (including a body to which section 1073C of the Act applies);</w:t>
      </w:r>
    </w:p>
    <w:p w14:paraId="14C7A507" w14:textId="77777777" w:rsidR="00E93F58" w:rsidRPr="00283424" w:rsidRDefault="00E93F58" w:rsidP="00B50726">
      <w:pPr>
        <w:pStyle w:val="paragraph"/>
      </w:pPr>
      <w:r w:rsidRPr="00283424">
        <w:tab/>
        <w:t>(b)</w:t>
      </w:r>
      <w:r w:rsidRPr="00283424">
        <w:tab/>
        <w:t>a debenture of a company (including a body to which section 1073C of the Act applies);</w:t>
      </w:r>
    </w:p>
    <w:p w14:paraId="4A12CCF7" w14:textId="77777777" w:rsidR="00E93F58" w:rsidRPr="00283424" w:rsidRDefault="00E93F58" w:rsidP="00B50726">
      <w:pPr>
        <w:pStyle w:val="paragraph"/>
      </w:pPr>
      <w:r w:rsidRPr="00283424">
        <w:tab/>
        <w:t>(c)</w:t>
      </w:r>
      <w:r w:rsidRPr="00283424">
        <w:tab/>
        <w:t>an interest in a registered scheme mentioned in regulations made under paragraph 1073A(1)(c) of the Act.</w:t>
      </w:r>
    </w:p>
    <w:p w14:paraId="4E4E0E40" w14:textId="77777777" w:rsidR="00E93F58" w:rsidRPr="00283424" w:rsidRDefault="00E93F58" w:rsidP="00B50726">
      <w:pPr>
        <w:pStyle w:val="ActHead5"/>
      </w:pPr>
      <w:bookmarkStart w:id="2105" w:name="_Toc152055028"/>
      <w:bookmarkStart w:id="2106" w:name="_Toc158712844"/>
      <w:r w:rsidRPr="006F296E">
        <w:rPr>
          <w:rStyle w:val="CharSectno"/>
        </w:rPr>
        <w:t>7.11.28</w:t>
      </w:r>
      <w:r w:rsidRPr="00283424">
        <w:t xml:space="preserve">  Effect of proper ASTC transfer on transferee: rights</w:t>
      </w:r>
      <w:bookmarkEnd w:id="2105"/>
      <w:bookmarkEnd w:id="2106"/>
    </w:p>
    <w:p w14:paraId="23858405" w14:textId="77777777" w:rsidR="00E93F58" w:rsidRPr="00283424" w:rsidRDefault="00E93F58" w:rsidP="00B50726">
      <w:pPr>
        <w:pStyle w:val="subsection"/>
        <w:rPr>
          <w:color w:val="000000"/>
        </w:rPr>
      </w:pPr>
      <w:r w:rsidRPr="00283424">
        <w:rPr>
          <w:color w:val="000000"/>
        </w:rPr>
        <w:tab/>
        <w:t>(1)</w:t>
      </w:r>
      <w:r w:rsidRPr="00283424">
        <w:rPr>
          <w:color w:val="000000"/>
        </w:rPr>
        <w:tab/>
        <w:t>If a proper ASTC transfer of a Division 4 financial product that is rights (other than rights that relate to an interest in a managed investment scheme) takes effect at a particular time, the transferee is taken:</w:t>
      </w:r>
    </w:p>
    <w:p w14:paraId="54267454" w14:textId="77777777" w:rsidR="00E93F58" w:rsidRPr="00283424" w:rsidRDefault="00E93F58" w:rsidP="00B50726">
      <w:pPr>
        <w:pStyle w:val="paragraph"/>
        <w:rPr>
          <w:color w:val="000000"/>
        </w:rPr>
      </w:pPr>
      <w:r w:rsidRPr="00283424">
        <w:rPr>
          <w:color w:val="000000"/>
        </w:rPr>
        <w:tab/>
        <w:t>(a)</w:t>
      </w:r>
      <w:r w:rsidRPr="00283424">
        <w:rPr>
          <w:color w:val="000000"/>
        </w:rPr>
        <w:tab/>
        <w:t>to have applied at that time to the issuer in relation to the rights for the issue to the transferee of the Division 4 financial product to which the rights relate; and</w:t>
      </w:r>
    </w:p>
    <w:p w14:paraId="6249A36A" w14:textId="77777777" w:rsidR="00E93F58" w:rsidRPr="00283424" w:rsidRDefault="00E93F58" w:rsidP="00B50726">
      <w:pPr>
        <w:pStyle w:val="paragraph"/>
      </w:pPr>
      <w:r w:rsidRPr="00283424">
        <w:tab/>
        <w:t>(b)</w:t>
      </w:r>
      <w:r w:rsidRPr="00283424">
        <w:tab/>
        <w:t>to have agreed at that time to accept the Division 4 financial product to which the rights relate subject to the terms and conditions on which the issuer offers them for subscription.</w:t>
      </w:r>
    </w:p>
    <w:p w14:paraId="3E0EFEBD" w14:textId="77777777" w:rsidR="00E93F58" w:rsidRPr="00283424" w:rsidRDefault="00E93F58" w:rsidP="00B50726">
      <w:pPr>
        <w:pStyle w:val="subsection"/>
      </w:pPr>
      <w:r w:rsidRPr="00283424">
        <w:tab/>
        <w:t>(2)</w:t>
      </w:r>
      <w:r w:rsidRPr="00283424">
        <w:tab/>
        <w:t>If the Division 4 financial product to which the rights (other than rights that relate to an interest in a managed investment scheme) relate is shares, the transferee is also taken to have agreed, at that time:</w:t>
      </w:r>
    </w:p>
    <w:p w14:paraId="604F5B58" w14:textId="77777777" w:rsidR="00E93F58" w:rsidRPr="00283424" w:rsidRDefault="00E93F58" w:rsidP="00B50726">
      <w:pPr>
        <w:pStyle w:val="paragraph"/>
        <w:rPr>
          <w:color w:val="000000"/>
        </w:rPr>
      </w:pPr>
      <w:r w:rsidRPr="00283424">
        <w:rPr>
          <w:color w:val="000000"/>
        </w:rPr>
        <w:tab/>
        <w:t>(a)</w:t>
      </w:r>
      <w:r w:rsidRPr="00283424">
        <w:rPr>
          <w:color w:val="000000"/>
        </w:rPr>
        <w:tab/>
        <w:t>to become a member of the issuer; and</w:t>
      </w:r>
    </w:p>
    <w:p w14:paraId="5F703222" w14:textId="77777777" w:rsidR="00E93F58" w:rsidRPr="00283424" w:rsidRDefault="00E93F58" w:rsidP="00B50726">
      <w:pPr>
        <w:pStyle w:val="paragraph"/>
      </w:pPr>
      <w:r w:rsidRPr="00283424">
        <w:tab/>
        <w:t>(b)</w:t>
      </w:r>
      <w:r w:rsidRPr="00283424">
        <w:tab/>
        <w:t>to be bound, on being registered as the holder of the shares, by the issuer’s constitution.</w:t>
      </w:r>
    </w:p>
    <w:p w14:paraId="6E402328" w14:textId="77777777" w:rsidR="00E93F58" w:rsidRPr="00283424" w:rsidRDefault="00E93F58" w:rsidP="00B50726">
      <w:pPr>
        <w:pStyle w:val="subsection"/>
      </w:pPr>
      <w:r w:rsidRPr="00283424">
        <w:tab/>
        <w:t>(3)</w:t>
      </w:r>
      <w:r w:rsidRPr="00283424">
        <w:tab/>
        <w:t>If the Division 4 financial product is a right to an interest in a managed investment scheme, the transferee is also taken to have agreed at that time:</w:t>
      </w:r>
    </w:p>
    <w:p w14:paraId="2D91A972" w14:textId="77777777" w:rsidR="00E93F58" w:rsidRPr="00283424" w:rsidRDefault="00E93F58" w:rsidP="00B50726">
      <w:pPr>
        <w:pStyle w:val="paragraph"/>
      </w:pPr>
      <w:r w:rsidRPr="00283424">
        <w:rPr>
          <w:color w:val="000000"/>
        </w:rPr>
        <w:tab/>
        <w:t>(a)</w:t>
      </w:r>
      <w:r w:rsidRPr="00283424">
        <w:rPr>
          <w:color w:val="000000"/>
        </w:rPr>
        <w:tab/>
        <w:t>to have applied at that time to the responsible entity in relation to the rights for the issue to the transferee of the interest in a managed investment scheme to which the rights relate; and</w:t>
      </w:r>
    </w:p>
    <w:p w14:paraId="481E5441" w14:textId="77777777" w:rsidR="00E93F58" w:rsidRPr="00283424" w:rsidRDefault="00E93F58" w:rsidP="00B50726">
      <w:pPr>
        <w:pStyle w:val="paragraph"/>
      </w:pPr>
      <w:r w:rsidRPr="00283424">
        <w:tab/>
        <w:t>(b)</w:t>
      </w:r>
      <w:r w:rsidRPr="00283424">
        <w:tab/>
        <w:t>to have agreed at that time to accept the interest in a managed investment scheme to which the rights relate subject to the terms and conditions on which they are offered by the responsible entity; and</w:t>
      </w:r>
    </w:p>
    <w:p w14:paraId="4E931349" w14:textId="77777777" w:rsidR="00E93F58" w:rsidRPr="00283424" w:rsidRDefault="00E93F58" w:rsidP="00B50726">
      <w:pPr>
        <w:pStyle w:val="paragraph"/>
      </w:pPr>
      <w:r w:rsidRPr="00283424">
        <w:tab/>
        <w:t>(c)</w:t>
      </w:r>
      <w:r w:rsidRPr="00283424">
        <w:tab/>
        <w:t>to become a member of the managed investment scheme; and</w:t>
      </w:r>
    </w:p>
    <w:p w14:paraId="7B57B0E8" w14:textId="77777777" w:rsidR="00E93F58" w:rsidRPr="00283424" w:rsidRDefault="00E93F58" w:rsidP="00B50726">
      <w:pPr>
        <w:pStyle w:val="paragraph"/>
      </w:pPr>
      <w:r w:rsidRPr="00283424">
        <w:tab/>
        <w:t>(d)</w:t>
      </w:r>
      <w:r w:rsidRPr="00283424">
        <w:tab/>
        <w:t>to be bound by the constitution of the managed investment scheme to the extent that:</w:t>
      </w:r>
    </w:p>
    <w:p w14:paraId="6E2AA8DE" w14:textId="77777777" w:rsidR="00E93F58" w:rsidRPr="00283424" w:rsidRDefault="00E93F58" w:rsidP="00B50726">
      <w:pPr>
        <w:pStyle w:val="paragraphsub"/>
      </w:pPr>
      <w:r w:rsidRPr="00283424">
        <w:rPr>
          <w:color w:val="000000"/>
        </w:rPr>
        <w:tab/>
        <w:t>(i)</w:t>
      </w:r>
      <w:r w:rsidRPr="00283424">
        <w:rPr>
          <w:color w:val="000000"/>
        </w:rPr>
        <w:tab/>
        <w:t>the transferee will comply with any requirement imposed on the transferee by the constitution; and</w:t>
      </w:r>
    </w:p>
    <w:p w14:paraId="759D3EC3" w14:textId="77777777" w:rsidR="00E93F58" w:rsidRPr="00283424" w:rsidRDefault="00E93F58" w:rsidP="00B50726">
      <w:pPr>
        <w:pStyle w:val="paragraphsub"/>
      </w:pPr>
      <w:r w:rsidRPr="00283424">
        <w:tab/>
        <w:t>(ii)</w:t>
      </w:r>
      <w:r w:rsidRPr="00283424">
        <w:tab/>
        <w:t>the transferee will not impede compliance by another person with any requirement imposed on the other person by the constitution.</w:t>
      </w:r>
    </w:p>
    <w:p w14:paraId="2C7DB142" w14:textId="77777777" w:rsidR="00E93F58" w:rsidRPr="00283424" w:rsidRDefault="00E93F58" w:rsidP="00B50726">
      <w:pPr>
        <w:pStyle w:val="subsection"/>
      </w:pPr>
      <w:r w:rsidRPr="00283424">
        <w:tab/>
        <w:t>(4)</w:t>
      </w:r>
      <w:r w:rsidRPr="00283424">
        <w:tab/>
        <w:t>In this regulation:</w:t>
      </w:r>
    </w:p>
    <w:p w14:paraId="6D05F289" w14:textId="77777777" w:rsidR="00E93F58" w:rsidRPr="00283424" w:rsidRDefault="00E93F58" w:rsidP="00B50726">
      <w:pPr>
        <w:pStyle w:val="Definition"/>
      </w:pPr>
      <w:r w:rsidRPr="00283424">
        <w:rPr>
          <w:b/>
          <w:i/>
          <w:color w:val="000000"/>
        </w:rPr>
        <w:lastRenderedPageBreak/>
        <w:t>right</w:t>
      </w:r>
      <w:r w:rsidRPr="00283424">
        <w:t xml:space="preserve"> means a right, whether existing or future, and whether contingent or not, of a person to have any of the following issued to the person, whether or not on payment of any money or for any other consideration:</w:t>
      </w:r>
    </w:p>
    <w:p w14:paraId="18366F81" w14:textId="77777777" w:rsidR="00E93F58" w:rsidRPr="00283424" w:rsidRDefault="00E93F58" w:rsidP="00B50726">
      <w:pPr>
        <w:pStyle w:val="paragraph"/>
      </w:pPr>
      <w:r w:rsidRPr="00283424">
        <w:rPr>
          <w:color w:val="000000"/>
        </w:rPr>
        <w:tab/>
        <w:t>(a)</w:t>
      </w:r>
      <w:r w:rsidRPr="00283424">
        <w:rPr>
          <w:color w:val="000000"/>
        </w:rPr>
        <w:tab/>
        <w:t>a share in a company (including a body to which section 1073C of the Act applies);</w:t>
      </w:r>
    </w:p>
    <w:p w14:paraId="7B60538B" w14:textId="77777777" w:rsidR="00E93F58" w:rsidRPr="00283424" w:rsidRDefault="00E93F58" w:rsidP="00B50726">
      <w:pPr>
        <w:pStyle w:val="paragraph"/>
      </w:pPr>
      <w:r w:rsidRPr="00283424">
        <w:tab/>
        <w:t>(b)</w:t>
      </w:r>
      <w:r w:rsidRPr="00283424">
        <w:tab/>
        <w:t>a debenture of a company (including a body to which section 1073C of the Act applies);</w:t>
      </w:r>
    </w:p>
    <w:p w14:paraId="3971F7BA" w14:textId="77777777" w:rsidR="00E93F58" w:rsidRPr="00283424" w:rsidRDefault="00E93F58" w:rsidP="00B50726">
      <w:pPr>
        <w:pStyle w:val="paragraph"/>
      </w:pPr>
      <w:r w:rsidRPr="00283424">
        <w:tab/>
        <w:t>(c)</w:t>
      </w:r>
      <w:r w:rsidRPr="00283424">
        <w:tab/>
        <w:t>an interest in a registered scheme mentioned in regulations made under paragraph 1073A(1)(c) of the Act.</w:t>
      </w:r>
    </w:p>
    <w:p w14:paraId="64397AB4" w14:textId="77777777" w:rsidR="00E93F58" w:rsidRPr="00283424" w:rsidRDefault="00E93F58" w:rsidP="00B50726">
      <w:pPr>
        <w:pStyle w:val="ActHead5"/>
      </w:pPr>
      <w:bookmarkStart w:id="2107" w:name="_Toc152055029"/>
      <w:bookmarkStart w:id="2108" w:name="_Toc158712845"/>
      <w:r w:rsidRPr="006F296E">
        <w:rPr>
          <w:rStyle w:val="CharSectno"/>
        </w:rPr>
        <w:t>7.11.29</w:t>
      </w:r>
      <w:r w:rsidRPr="00283424">
        <w:t xml:space="preserve">  Warranties by participant if identification code is included in transfer document</w:t>
      </w:r>
      <w:bookmarkEnd w:id="2107"/>
      <w:bookmarkEnd w:id="2108"/>
    </w:p>
    <w:p w14:paraId="0C2526F5"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 the transfer document for a proper ASTC transfer of a Division 4 financial product includes a participant’s identification code as the identification code of the participant effecting the transfer.</w:t>
      </w:r>
    </w:p>
    <w:p w14:paraId="08543722" w14:textId="77777777" w:rsidR="00E93F58" w:rsidRPr="00283424" w:rsidRDefault="00E93F58" w:rsidP="00B50726">
      <w:pPr>
        <w:pStyle w:val="subsection"/>
        <w:rPr>
          <w:color w:val="000000"/>
        </w:rPr>
      </w:pPr>
      <w:r w:rsidRPr="00283424">
        <w:rPr>
          <w:color w:val="000000"/>
        </w:rPr>
        <w:tab/>
        <w:t>(2)</w:t>
      </w:r>
      <w:r w:rsidRPr="00283424">
        <w:rPr>
          <w:color w:val="000000"/>
        </w:rPr>
        <w:tab/>
        <w:t>If the participant is the transferor, the participant is taken to have warranted that:</w:t>
      </w:r>
    </w:p>
    <w:p w14:paraId="21D3DAAF" w14:textId="77777777" w:rsidR="00E93F58" w:rsidRPr="00283424" w:rsidRDefault="00E93F58" w:rsidP="00B50726">
      <w:pPr>
        <w:pStyle w:val="paragraph"/>
        <w:rPr>
          <w:color w:val="000000"/>
        </w:rPr>
      </w:pPr>
      <w:r w:rsidRPr="00283424">
        <w:rPr>
          <w:color w:val="000000"/>
        </w:rPr>
        <w:tab/>
        <w:t>(a)</w:t>
      </w:r>
      <w:r w:rsidRPr="00283424">
        <w:rPr>
          <w:color w:val="000000"/>
        </w:rPr>
        <w:tab/>
        <w:t>the transfer was effected by the participant; and</w:t>
      </w:r>
    </w:p>
    <w:p w14:paraId="5779426A" w14:textId="77777777" w:rsidR="00E93F58" w:rsidRPr="00283424" w:rsidRDefault="00E93F58" w:rsidP="00B50726">
      <w:pPr>
        <w:pStyle w:val="paragraph"/>
      </w:pPr>
      <w:r w:rsidRPr="00283424">
        <w:tab/>
        <w:t>(b)</w:t>
      </w:r>
      <w:r w:rsidRPr="00283424">
        <w:tab/>
        <w:t>the transferor was legally entitled or authorised to transfer the Division 4 financial product.</w:t>
      </w:r>
    </w:p>
    <w:p w14:paraId="61F5CA5A" w14:textId="77777777" w:rsidR="00E93F58" w:rsidRPr="00283424" w:rsidRDefault="00E93F58" w:rsidP="00B50726">
      <w:pPr>
        <w:pStyle w:val="subsection"/>
        <w:rPr>
          <w:color w:val="000000"/>
        </w:rPr>
      </w:pPr>
      <w:r w:rsidRPr="00283424">
        <w:rPr>
          <w:color w:val="000000"/>
        </w:rPr>
        <w:tab/>
        <w:t>(3)</w:t>
      </w:r>
      <w:r w:rsidRPr="00283424">
        <w:rPr>
          <w:color w:val="000000"/>
        </w:rPr>
        <w:tab/>
        <w:t>Subregulation (4) applies if:</w:t>
      </w:r>
    </w:p>
    <w:p w14:paraId="2D60C37A" w14:textId="77777777" w:rsidR="00E93F58" w:rsidRPr="00283424" w:rsidRDefault="00E93F58" w:rsidP="00B50726">
      <w:pPr>
        <w:pStyle w:val="paragraph"/>
        <w:rPr>
          <w:color w:val="000000"/>
        </w:rPr>
      </w:pPr>
      <w:r w:rsidRPr="00283424">
        <w:rPr>
          <w:color w:val="000000"/>
        </w:rPr>
        <w:tab/>
        <w:t>(a)</w:t>
      </w:r>
      <w:r w:rsidRPr="00283424">
        <w:rPr>
          <w:color w:val="000000"/>
        </w:rPr>
        <w:tab/>
        <w:t>the participant is not the transferor; and</w:t>
      </w:r>
    </w:p>
    <w:p w14:paraId="7437DE8F" w14:textId="77777777" w:rsidR="00E93F58" w:rsidRPr="00283424" w:rsidRDefault="00E93F58" w:rsidP="00B50726">
      <w:pPr>
        <w:pStyle w:val="paragraph"/>
      </w:pPr>
      <w:r w:rsidRPr="00283424">
        <w:tab/>
        <w:t>(b)</w:t>
      </w:r>
      <w:r w:rsidRPr="00283424">
        <w:tab/>
        <w:t>the transfer is pursuant to a transaction in relation to which, or to transactions in relation to each of which, one of the following conditions is satisfied:</w:t>
      </w:r>
    </w:p>
    <w:p w14:paraId="1E61F97B" w14:textId="77777777" w:rsidR="00E93F58" w:rsidRPr="00283424" w:rsidRDefault="00E93F58" w:rsidP="00B50726">
      <w:pPr>
        <w:pStyle w:val="paragraphsub"/>
        <w:rPr>
          <w:color w:val="000000"/>
        </w:rPr>
      </w:pPr>
      <w:r w:rsidRPr="00283424">
        <w:rPr>
          <w:color w:val="000000"/>
        </w:rPr>
        <w:tab/>
        <w:t>(i)</w:t>
      </w:r>
      <w:r w:rsidRPr="00283424">
        <w:rPr>
          <w:color w:val="000000"/>
        </w:rPr>
        <w:tab/>
        <w:t>the transaction was entered into in the ordinary course of trading on a financial market;</w:t>
      </w:r>
    </w:p>
    <w:p w14:paraId="2FAC9BF5" w14:textId="77777777" w:rsidR="00E93F58" w:rsidRPr="00283424" w:rsidRDefault="00E93F58" w:rsidP="00B50726">
      <w:pPr>
        <w:pStyle w:val="paragraphsub"/>
      </w:pPr>
      <w:r w:rsidRPr="00283424">
        <w:tab/>
        <w:t>(ii)</w:t>
      </w:r>
      <w:r w:rsidRPr="00283424">
        <w:tab/>
        <w:t>the transaction is, under the operating rules of a market licensee, described, or to be described, as ‘special’ when it is reported to the market licensee.</w:t>
      </w:r>
    </w:p>
    <w:p w14:paraId="0BE7C94B" w14:textId="77777777" w:rsidR="00E93F58" w:rsidRPr="00283424" w:rsidRDefault="00E93F58" w:rsidP="00B50726">
      <w:pPr>
        <w:pStyle w:val="subsection"/>
      </w:pPr>
      <w:r w:rsidRPr="00283424">
        <w:tab/>
        <w:t>(4)</w:t>
      </w:r>
      <w:r w:rsidRPr="00283424">
        <w:tab/>
        <w:t>The participant is taken to have warranted that:</w:t>
      </w:r>
    </w:p>
    <w:p w14:paraId="5621FA11" w14:textId="77777777" w:rsidR="00E93F58" w:rsidRPr="00283424" w:rsidRDefault="00E93F58" w:rsidP="00B50726">
      <w:pPr>
        <w:pStyle w:val="paragraph"/>
        <w:rPr>
          <w:color w:val="000000"/>
        </w:rPr>
      </w:pPr>
      <w:r w:rsidRPr="00283424">
        <w:rPr>
          <w:color w:val="000000"/>
        </w:rPr>
        <w:tab/>
        <w:t>(a)</w:t>
      </w:r>
      <w:r w:rsidRPr="00283424">
        <w:rPr>
          <w:color w:val="000000"/>
        </w:rPr>
        <w:tab/>
        <w:t>the transferor was legally entitled or authorised to transfer the Division 4 financial product; and</w:t>
      </w:r>
    </w:p>
    <w:p w14:paraId="70834460" w14:textId="77777777" w:rsidR="00E93F58" w:rsidRPr="00283424" w:rsidRDefault="00E93F58" w:rsidP="00B50726">
      <w:pPr>
        <w:pStyle w:val="paragraph"/>
      </w:pPr>
      <w:r w:rsidRPr="00283424">
        <w:tab/>
        <w:t>(b)</w:t>
      </w:r>
      <w:r w:rsidRPr="00283424">
        <w:tab/>
        <w:t>the transfer was effected by the participant; and</w:t>
      </w:r>
    </w:p>
    <w:p w14:paraId="76E30DC8" w14:textId="77777777" w:rsidR="00E93F58" w:rsidRPr="00283424" w:rsidRDefault="00E93F58" w:rsidP="00B50726">
      <w:pPr>
        <w:pStyle w:val="paragraph"/>
      </w:pPr>
      <w:r w:rsidRPr="00283424">
        <w:tab/>
        <w:t>(c)</w:t>
      </w:r>
      <w:r w:rsidRPr="00283424">
        <w:tab/>
        <w:t>the participant was authorised by the transferor to effect the transfer.</w:t>
      </w:r>
    </w:p>
    <w:p w14:paraId="7F94BC0C" w14:textId="77777777" w:rsidR="00E93F58" w:rsidRPr="00283424" w:rsidRDefault="00E93F58" w:rsidP="00B50726">
      <w:pPr>
        <w:pStyle w:val="subsection"/>
        <w:rPr>
          <w:color w:val="000000"/>
        </w:rPr>
      </w:pPr>
      <w:r w:rsidRPr="00283424">
        <w:rPr>
          <w:color w:val="000000"/>
        </w:rPr>
        <w:tab/>
        <w:t>(5)</w:t>
      </w:r>
      <w:r w:rsidRPr="00283424">
        <w:rPr>
          <w:color w:val="000000"/>
        </w:rPr>
        <w:tab/>
        <w:t>Subregulation (6) applies if:</w:t>
      </w:r>
    </w:p>
    <w:p w14:paraId="07FF0516" w14:textId="77777777" w:rsidR="00E93F58" w:rsidRPr="00283424" w:rsidRDefault="00E93F58" w:rsidP="00B50726">
      <w:pPr>
        <w:pStyle w:val="paragraph"/>
        <w:rPr>
          <w:color w:val="000000"/>
        </w:rPr>
      </w:pPr>
      <w:r w:rsidRPr="00283424">
        <w:rPr>
          <w:color w:val="000000"/>
        </w:rPr>
        <w:tab/>
        <w:t>(a)</w:t>
      </w:r>
      <w:r w:rsidRPr="00283424">
        <w:rPr>
          <w:color w:val="000000"/>
        </w:rPr>
        <w:tab/>
        <w:t>the participant is not the transferor; and</w:t>
      </w:r>
    </w:p>
    <w:p w14:paraId="5D72BFAF" w14:textId="77777777" w:rsidR="00E93F58" w:rsidRPr="00283424" w:rsidRDefault="00E93F58" w:rsidP="00B50726">
      <w:pPr>
        <w:pStyle w:val="paragraph"/>
      </w:pPr>
      <w:r w:rsidRPr="00283424">
        <w:tab/>
        <w:t>(b)</w:t>
      </w:r>
      <w:r w:rsidRPr="00283424">
        <w:tab/>
        <w:t>the transfer is not pursuant to a transaction in relation to which, or to transactions in relation to each of which, one of the following conditions is satisfied:</w:t>
      </w:r>
    </w:p>
    <w:p w14:paraId="16307A3D" w14:textId="77777777" w:rsidR="00E93F58" w:rsidRPr="00283424" w:rsidRDefault="00E93F58" w:rsidP="00B50726">
      <w:pPr>
        <w:pStyle w:val="paragraphsub"/>
        <w:rPr>
          <w:color w:val="000000"/>
        </w:rPr>
      </w:pPr>
      <w:r w:rsidRPr="00283424">
        <w:rPr>
          <w:color w:val="000000"/>
        </w:rPr>
        <w:tab/>
        <w:t>(i)</w:t>
      </w:r>
      <w:r w:rsidRPr="00283424">
        <w:rPr>
          <w:color w:val="000000"/>
        </w:rPr>
        <w:tab/>
        <w:t>the transaction was entered into in the ordinary course of trading on a financial market;</w:t>
      </w:r>
    </w:p>
    <w:p w14:paraId="5CCE2B95" w14:textId="77777777" w:rsidR="00E93F58" w:rsidRPr="00283424" w:rsidRDefault="00E93F58" w:rsidP="00B50726">
      <w:pPr>
        <w:pStyle w:val="paragraphsub"/>
      </w:pPr>
      <w:r w:rsidRPr="00283424">
        <w:tab/>
        <w:t>(ii)</w:t>
      </w:r>
      <w:r w:rsidRPr="00283424">
        <w:tab/>
        <w:t>the transaction is, under the operating rules of a market licensee, described, or to be described, as ‘special’ when it is reported to the market licensee.</w:t>
      </w:r>
    </w:p>
    <w:p w14:paraId="6C6AE086" w14:textId="77777777" w:rsidR="00E93F58" w:rsidRPr="00283424" w:rsidRDefault="00E93F58" w:rsidP="00B50726">
      <w:pPr>
        <w:pStyle w:val="subsection"/>
      </w:pPr>
      <w:r w:rsidRPr="00283424">
        <w:tab/>
        <w:t>(6)</w:t>
      </w:r>
      <w:r w:rsidRPr="00283424">
        <w:tab/>
        <w:t>The participant is taken to have warranted that:</w:t>
      </w:r>
    </w:p>
    <w:p w14:paraId="5B345603" w14:textId="77777777" w:rsidR="00E93F58" w:rsidRPr="00283424" w:rsidRDefault="00E93F58" w:rsidP="00B50726">
      <w:pPr>
        <w:pStyle w:val="paragraph"/>
        <w:rPr>
          <w:color w:val="000000"/>
        </w:rPr>
      </w:pPr>
      <w:r w:rsidRPr="00283424">
        <w:rPr>
          <w:color w:val="000000"/>
        </w:rPr>
        <w:tab/>
        <w:t>(a)</w:t>
      </w:r>
      <w:r w:rsidRPr="00283424">
        <w:rPr>
          <w:color w:val="000000"/>
        </w:rPr>
        <w:tab/>
        <w:t>the transfer was effected by the participant; and</w:t>
      </w:r>
    </w:p>
    <w:p w14:paraId="01D48922" w14:textId="77777777" w:rsidR="00E93F58" w:rsidRPr="00283424" w:rsidRDefault="00E93F58" w:rsidP="00B50726">
      <w:pPr>
        <w:pStyle w:val="paragraph"/>
      </w:pPr>
      <w:r w:rsidRPr="00283424">
        <w:tab/>
        <w:t>(b)</w:t>
      </w:r>
      <w:r w:rsidRPr="00283424">
        <w:tab/>
        <w:t>the participant was authorised by the transferor to effect the transfer.</w:t>
      </w:r>
    </w:p>
    <w:p w14:paraId="519DA13C" w14:textId="77777777" w:rsidR="00E93F58" w:rsidRPr="00283424" w:rsidRDefault="00E93F58" w:rsidP="00B50726">
      <w:pPr>
        <w:pStyle w:val="ActHead5"/>
      </w:pPr>
      <w:bookmarkStart w:id="2109" w:name="_Toc152055030"/>
      <w:bookmarkStart w:id="2110" w:name="_Toc158712846"/>
      <w:r w:rsidRPr="006F296E">
        <w:rPr>
          <w:rStyle w:val="CharSectno"/>
        </w:rPr>
        <w:t>7.11.30</w:t>
      </w:r>
      <w:r w:rsidRPr="00283424">
        <w:t xml:space="preserve">  Indemnities in respect of warranted matters: transfer not effected by the participant</w:t>
      </w:r>
      <w:bookmarkEnd w:id="2109"/>
      <w:bookmarkEnd w:id="2110"/>
    </w:p>
    <w:p w14:paraId="273F6A5F"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w:t>
      </w:r>
    </w:p>
    <w:p w14:paraId="46E07463" w14:textId="77777777" w:rsidR="00E93F58" w:rsidRPr="00283424" w:rsidRDefault="00E93F58" w:rsidP="00B50726">
      <w:pPr>
        <w:pStyle w:val="paragraph"/>
        <w:rPr>
          <w:color w:val="000000"/>
        </w:rPr>
      </w:pPr>
      <w:r w:rsidRPr="00283424">
        <w:rPr>
          <w:color w:val="000000"/>
        </w:rPr>
        <w:tab/>
        <w:t>(a)</w:t>
      </w:r>
      <w:r w:rsidRPr="00283424">
        <w:rPr>
          <w:color w:val="000000"/>
        </w:rPr>
        <w:tab/>
        <w:t>a participant is taken by regulation 7.11.29 to have warranted, in relation to a proper ASTC transfer of a Division 4 financial product, that the transfer was effected by the participant; and</w:t>
      </w:r>
    </w:p>
    <w:p w14:paraId="2BDDC472" w14:textId="77777777" w:rsidR="00E93F58" w:rsidRPr="00283424" w:rsidRDefault="00E93F58" w:rsidP="00B50726">
      <w:pPr>
        <w:pStyle w:val="paragraph"/>
      </w:pPr>
      <w:r w:rsidRPr="00283424">
        <w:tab/>
        <w:t>(b)</w:t>
      </w:r>
      <w:r w:rsidRPr="00283424">
        <w:tab/>
        <w:t>the transfer was not effected by the participant.</w:t>
      </w:r>
    </w:p>
    <w:p w14:paraId="75C61204" w14:textId="77777777" w:rsidR="00E93F58" w:rsidRPr="00283424" w:rsidRDefault="00E93F58" w:rsidP="00B50726">
      <w:pPr>
        <w:pStyle w:val="subsection"/>
      </w:pPr>
      <w:r w:rsidRPr="00283424">
        <w:tab/>
        <w:t>(2)</w:t>
      </w:r>
      <w:r w:rsidRPr="00283424">
        <w:tab/>
        <w:t>The participant is liable to indemnify each of the following against any loss or damage arising from the transfer not having been effected by the participant:</w:t>
      </w:r>
    </w:p>
    <w:p w14:paraId="4AAE2408" w14:textId="77777777" w:rsidR="00E93F58" w:rsidRPr="00283424" w:rsidRDefault="00E93F58" w:rsidP="00B50726">
      <w:pPr>
        <w:pStyle w:val="paragraph"/>
        <w:rPr>
          <w:color w:val="000000"/>
        </w:rPr>
      </w:pPr>
      <w:r w:rsidRPr="00283424">
        <w:rPr>
          <w:color w:val="000000"/>
        </w:rPr>
        <w:tab/>
        <w:t>(a)</w:t>
      </w:r>
      <w:r w:rsidRPr="00283424">
        <w:rPr>
          <w:color w:val="000000"/>
        </w:rPr>
        <w:tab/>
        <w:t>the issuer in relation to the Division 4 financial product;</w:t>
      </w:r>
    </w:p>
    <w:p w14:paraId="15A9150F" w14:textId="77777777" w:rsidR="00E93F58" w:rsidRPr="00283424" w:rsidRDefault="00E93F58" w:rsidP="00B50726">
      <w:pPr>
        <w:pStyle w:val="paragraph"/>
      </w:pPr>
      <w:r w:rsidRPr="00283424">
        <w:tab/>
        <w:t>(b)</w:t>
      </w:r>
      <w:r w:rsidRPr="00283424">
        <w:tab/>
        <w:t>the transferor;</w:t>
      </w:r>
    </w:p>
    <w:p w14:paraId="1299A53D" w14:textId="77777777" w:rsidR="00E93F58" w:rsidRPr="00283424" w:rsidRDefault="00E93F58" w:rsidP="00B50726">
      <w:pPr>
        <w:pStyle w:val="paragraph"/>
      </w:pPr>
      <w:r w:rsidRPr="00283424">
        <w:tab/>
        <w:t>(c)</w:t>
      </w:r>
      <w:r w:rsidRPr="00283424">
        <w:tab/>
        <w:t>the transferee;</w:t>
      </w:r>
    </w:p>
    <w:p w14:paraId="2B64BEE6" w14:textId="77777777" w:rsidR="00E93F58" w:rsidRPr="00283424" w:rsidRDefault="00E93F58" w:rsidP="00B50726">
      <w:pPr>
        <w:pStyle w:val="paragraph"/>
      </w:pPr>
      <w:r w:rsidRPr="00283424">
        <w:tab/>
        <w:t>(d)</w:t>
      </w:r>
      <w:r w:rsidRPr="00283424">
        <w:tab/>
        <w:t>if a participant acted as the transferee’s agent in the transfer—that participant;</w:t>
      </w:r>
    </w:p>
    <w:p w14:paraId="52FC37B3" w14:textId="77777777" w:rsidR="00E93F58" w:rsidRPr="00283424" w:rsidRDefault="00E93F58" w:rsidP="00B50726">
      <w:pPr>
        <w:pStyle w:val="paragraph"/>
      </w:pPr>
      <w:r w:rsidRPr="00283424">
        <w:tab/>
        <w:t>(e)</w:t>
      </w:r>
      <w:r w:rsidRPr="00283424">
        <w:tab/>
        <w:t>the prescribed CS facility operated by ASTC;</w:t>
      </w:r>
    </w:p>
    <w:p w14:paraId="30F1A612" w14:textId="77777777" w:rsidR="00E93F58" w:rsidRPr="00283424" w:rsidRDefault="00E93F58" w:rsidP="00B50726">
      <w:pPr>
        <w:pStyle w:val="paragraph"/>
      </w:pPr>
      <w:r w:rsidRPr="00283424">
        <w:tab/>
        <w:t>(f)</w:t>
      </w:r>
      <w:r w:rsidRPr="00283424">
        <w:tab/>
        <w:t>if TNS Clearing Pty Limited is the counter</w:t>
      </w:r>
      <w:r>
        <w:noBreakHyphen/>
      </w:r>
      <w:r w:rsidRPr="00283424">
        <w:t>party in the transaction—TNS Clearing Pty Limited;</w:t>
      </w:r>
    </w:p>
    <w:p w14:paraId="417CC46D" w14:textId="77777777" w:rsidR="00E93F58" w:rsidRPr="00283424" w:rsidRDefault="00E93F58" w:rsidP="00B50726">
      <w:pPr>
        <w:pStyle w:val="paragraph"/>
      </w:pPr>
      <w:r w:rsidRPr="00283424">
        <w:tab/>
        <w:t>(g)</w:t>
      </w:r>
      <w:r w:rsidRPr="00283424">
        <w:tab/>
        <w:t>if Options Clearing House Pty Limited is the counter</w:t>
      </w:r>
      <w:r>
        <w:noBreakHyphen/>
      </w:r>
      <w:r w:rsidRPr="00283424">
        <w:t>party in the transaction—Options Clearing House Pty Limited.</w:t>
      </w:r>
    </w:p>
    <w:p w14:paraId="6A8852CD" w14:textId="77777777" w:rsidR="00E93F58" w:rsidRPr="00283424" w:rsidRDefault="00E93F58" w:rsidP="00B50726">
      <w:pPr>
        <w:pStyle w:val="subsection"/>
        <w:rPr>
          <w:color w:val="000000"/>
        </w:rPr>
      </w:pPr>
      <w:r w:rsidRPr="00283424">
        <w:rPr>
          <w:color w:val="000000"/>
        </w:rPr>
        <w:tab/>
        <w:t>(3)</w:t>
      </w:r>
      <w:r w:rsidRPr="00283424">
        <w:rPr>
          <w:color w:val="000000"/>
        </w:rPr>
        <w:tab/>
        <w:t>For this regulation, the effect of regulation 7.11.26 is to be disregarded in determining whether a person:</w:t>
      </w:r>
    </w:p>
    <w:p w14:paraId="0ADD6E13" w14:textId="77777777" w:rsidR="00E93F58" w:rsidRPr="00283424" w:rsidRDefault="00E93F58" w:rsidP="00B50726">
      <w:pPr>
        <w:pStyle w:val="paragraph"/>
        <w:rPr>
          <w:color w:val="000000"/>
        </w:rPr>
      </w:pPr>
      <w:r w:rsidRPr="00283424">
        <w:rPr>
          <w:color w:val="000000"/>
        </w:rPr>
        <w:lastRenderedPageBreak/>
        <w:tab/>
        <w:t>(a)</w:t>
      </w:r>
      <w:r w:rsidRPr="00283424">
        <w:rPr>
          <w:color w:val="000000"/>
        </w:rPr>
        <w:tab/>
        <w:t>was legally entitled or authorised to transfer Division 4 financial products; or</w:t>
      </w:r>
    </w:p>
    <w:p w14:paraId="6BD47C15" w14:textId="77777777" w:rsidR="00E93F58" w:rsidRPr="00283424" w:rsidRDefault="00E93F58" w:rsidP="00B50726">
      <w:pPr>
        <w:pStyle w:val="paragraph"/>
      </w:pPr>
      <w:r w:rsidRPr="00283424">
        <w:tab/>
        <w:t>(b)</w:t>
      </w:r>
      <w:r w:rsidRPr="00283424">
        <w:tab/>
        <w:t>was authorised by another person to effect a transfer of Division 4 financial products.</w:t>
      </w:r>
    </w:p>
    <w:p w14:paraId="51A91FC6" w14:textId="77777777" w:rsidR="00E93F58" w:rsidRPr="00283424" w:rsidRDefault="00E93F58" w:rsidP="00B50726">
      <w:pPr>
        <w:pStyle w:val="ActHead5"/>
      </w:pPr>
      <w:bookmarkStart w:id="2111" w:name="_Toc152055031"/>
      <w:bookmarkStart w:id="2112" w:name="_Toc158712847"/>
      <w:r w:rsidRPr="006F296E">
        <w:rPr>
          <w:rStyle w:val="CharSectno"/>
        </w:rPr>
        <w:t>7.11.31</w:t>
      </w:r>
      <w:r w:rsidRPr="00283424">
        <w:t xml:space="preserve">  Indemnities in respect of warranted matters: transferor not legally entitled or authorised to transfer Division 4 financial products</w:t>
      </w:r>
      <w:bookmarkEnd w:id="2111"/>
      <w:bookmarkEnd w:id="2112"/>
    </w:p>
    <w:p w14:paraId="6034C95E" w14:textId="77777777" w:rsidR="00E93F58" w:rsidRPr="00283424" w:rsidRDefault="00E93F58" w:rsidP="00B50726">
      <w:pPr>
        <w:pStyle w:val="subsection"/>
        <w:keepNext/>
        <w:keepLines/>
        <w:rPr>
          <w:color w:val="000000"/>
        </w:rPr>
      </w:pPr>
      <w:r w:rsidRPr="00283424">
        <w:rPr>
          <w:color w:val="000000"/>
        </w:rPr>
        <w:tab/>
        <w:t>(1)</w:t>
      </w:r>
      <w:r w:rsidRPr="00283424">
        <w:rPr>
          <w:color w:val="000000"/>
        </w:rPr>
        <w:tab/>
        <w:t>This regulation applies if:</w:t>
      </w:r>
    </w:p>
    <w:p w14:paraId="641DFE34" w14:textId="77777777" w:rsidR="00E93F58" w:rsidRPr="00283424" w:rsidRDefault="00E93F58" w:rsidP="00B50726">
      <w:pPr>
        <w:pStyle w:val="paragraph"/>
        <w:keepNext/>
        <w:keepLines/>
        <w:rPr>
          <w:color w:val="000000"/>
        </w:rPr>
      </w:pPr>
      <w:r w:rsidRPr="00283424">
        <w:rPr>
          <w:color w:val="000000"/>
        </w:rPr>
        <w:tab/>
        <w:t>(a)</w:t>
      </w:r>
      <w:r w:rsidRPr="00283424">
        <w:rPr>
          <w:color w:val="000000"/>
        </w:rPr>
        <w:tab/>
        <w:t>a participant is taken by regulation 7.11.29 to have warranted, in relation to a proper ASTC transfer of a Division 4 financial product, that the transferor was legally entitled or authorised to transfer the Division 4 financial product; and</w:t>
      </w:r>
    </w:p>
    <w:p w14:paraId="6DADEFAC" w14:textId="77777777" w:rsidR="00E93F58" w:rsidRPr="00283424" w:rsidRDefault="00E93F58" w:rsidP="00B50726">
      <w:pPr>
        <w:pStyle w:val="paragraph"/>
      </w:pPr>
      <w:r w:rsidRPr="00283424">
        <w:tab/>
        <w:t>(b)</w:t>
      </w:r>
      <w:r w:rsidRPr="00283424">
        <w:tab/>
        <w:t>the transferor was not legally entitled or authorised to transfer the Division 4 financial product.</w:t>
      </w:r>
    </w:p>
    <w:p w14:paraId="44D09112" w14:textId="77777777" w:rsidR="00E93F58" w:rsidRPr="00283424" w:rsidRDefault="00E93F58" w:rsidP="00B50726">
      <w:pPr>
        <w:pStyle w:val="subsection"/>
      </w:pPr>
      <w:r w:rsidRPr="00283424">
        <w:tab/>
        <w:t>(2)</w:t>
      </w:r>
      <w:r w:rsidRPr="00283424">
        <w:tab/>
        <w:t>The participant is liable to indemnify each of the following against any loss or damage arising from the transferor not having been legally entitled or authorised to transfer the Division 4 financial product:</w:t>
      </w:r>
    </w:p>
    <w:p w14:paraId="105A357C" w14:textId="77777777" w:rsidR="00E93F58" w:rsidRPr="00283424" w:rsidRDefault="00E93F58" w:rsidP="00B50726">
      <w:pPr>
        <w:pStyle w:val="paragraph"/>
        <w:rPr>
          <w:color w:val="000000"/>
        </w:rPr>
      </w:pPr>
      <w:r w:rsidRPr="00283424">
        <w:rPr>
          <w:color w:val="000000"/>
        </w:rPr>
        <w:tab/>
        <w:t>(a)</w:t>
      </w:r>
      <w:r w:rsidRPr="00283424">
        <w:rPr>
          <w:color w:val="000000"/>
        </w:rPr>
        <w:tab/>
        <w:t>the issuer in relation to the Division 4 financial product;</w:t>
      </w:r>
    </w:p>
    <w:p w14:paraId="6FC296A2" w14:textId="77777777" w:rsidR="00E93F58" w:rsidRPr="00283424" w:rsidRDefault="00E93F58" w:rsidP="00B50726">
      <w:pPr>
        <w:pStyle w:val="paragraph"/>
      </w:pPr>
      <w:r w:rsidRPr="00283424">
        <w:tab/>
        <w:t>(b)</w:t>
      </w:r>
      <w:r w:rsidRPr="00283424">
        <w:tab/>
        <w:t>the transferee;</w:t>
      </w:r>
    </w:p>
    <w:p w14:paraId="1719B4B9" w14:textId="77777777" w:rsidR="00E93F58" w:rsidRPr="00283424" w:rsidRDefault="00E93F58" w:rsidP="00B50726">
      <w:pPr>
        <w:pStyle w:val="paragraph"/>
      </w:pPr>
      <w:r w:rsidRPr="00283424">
        <w:tab/>
        <w:t>(c)</w:t>
      </w:r>
      <w:r w:rsidRPr="00283424">
        <w:tab/>
        <w:t>if a participant acted as the transferee’s agent in the transfer—that participant;</w:t>
      </w:r>
    </w:p>
    <w:p w14:paraId="5036D806" w14:textId="77777777" w:rsidR="00E93F58" w:rsidRPr="00283424" w:rsidRDefault="00E93F58" w:rsidP="00B50726">
      <w:pPr>
        <w:pStyle w:val="paragraph"/>
      </w:pPr>
      <w:r w:rsidRPr="00283424">
        <w:tab/>
        <w:t>(d)</w:t>
      </w:r>
      <w:r w:rsidRPr="00283424">
        <w:tab/>
        <w:t>the prescribed CS facility operated by ASTC;</w:t>
      </w:r>
    </w:p>
    <w:p w14:paraId="630A4E92" w14:textId="77777777" w:rsidR="00E93F58" w:rsidRPr="00283424" w:rsidRDefault="00E93F58" w:rsidP="00B50726">
      <w:pPr>
        <w:pStyle w:val="paragraph"/>
      </w:pPr>
      <w:r w:rsidRPr="00283424">
        <w:tab/>
        <w:t>(e)</w:t>
      </w:r>
      <w:r w:rsidRPr="00283424">
        <w:tab/>
        <w:t>if TNS Clearing Pty Limited is the counter</w:t>
      </w:r>
      <w:r>
        <w:noBreakHyphen/>
      </w:r>
      <w:r w:rsidRPr="00283424">
        <w:t>party in the transaction—TNS Clearing Pty Limited;</w:t>
      </w:r>
    </w:p>
    <w:p w14:paraId="1D752290" w14:textId="77777777" w:rsidR="00E93F58" w:rsidRPr="00283424" w:rsidRDefault="00E93F58" w:rsidP="00B50726">
      <w:pPr>
        <w:pStyle w:val="paragraph"/>
      </w:pPr>
      <w:r w:rsidRPr="00283424">
        <w:tab/>
        <w:t>(f)</w:t>
      </w:r>
      <w:r w:rsidRPr="00283424">
        <w:tab/>
        <w:t>if Options Clearing House Pty Limited is the counter</w:t>
      </w:r>
      <w:r>
        <w:noBreakHyphen/>
      </w:r>
      <w:r w:rsidRPr="00283424">
        <w:t>party in the transaction—Options Clearing House Pty Limited.</w:t>
      </w:r>
    </w:p>
    <w:p w14:paraId="31BBBAE4" w14:textId="77777777" w:rsidR="00E93F58" w:rsidRPr="00283424" w:rsidRDefault="00E93F58" w:rsidP="00B50726">
      <w:pPr>
        <w:pStyle w:val="subsection"/>
        <w:rPr>
          <w:color w:val="000000"/>
        </w:rPr>
      </w:pPr>
      <w:r w:rsidRPr="00283424">
        <w:rPr>
          <w:color w:val="000000"/>
        </w:rPr>
        <w:tab/>
        <w:t>(3)</w:t>
      </w:r>
      <w:r w:rsidRPr="00283424">
        <w:rPr>
          <w:color w:val="000000"/>
        </w:rPr>
        <w:tab/>
        <w:t>For this regulation, the effect of regulation 7.11.26 is to be disregarded in determining whether a person:</w:t>
      </w:r>
    </w:p>
    <w:p w14:paraId="09FD88BC" w14:textId="77777777" w:rsidR="00E93F58" w:rsidRPr="00283424" w:rsidRDefault="00E93F58" w:rsidP="00B50726">
      <w:pPr>
        <w:pStyle w:val="paragraph"/>
        <w:rPr>
          <w:color w:val="000000"/>
        </w:rPr>
      </w:pPr>
      <w:r w:rsidRPr="00283424">
        <w:rPr>
          <w:color w:val="000000"/>
        </w:rPr>
        <w:tab/>
        <w:t>(a)</w:t>
      </w:r>
      <w:r w:rsidRPr="00283424">
        <w:rPr>
          <w:color w:val="000000"/>
        </w:rPr>
        <w:tab/>
        <w:t>was legally entitled or authorised to transfer Division 4 financial products; or</w:t>
      </w:r>
    </w:p>
    <w:p w14:paraId="5E7347D9" w14:textId="77777777" w:rsidR="00E93F58" w:rsidRPr="00283424" w:rsidRDefault="00E93F58" w:rsidP="00B50726">
      <w:pPr>
        <w:pStyle w:val="paragraph"/>
      </w:pPr>
      <w:r w:rsidRPr="00283424">
        <w:tab/>
        <w:t>(b)</w:t>
      </w:r>
      <w:r w:rsidRPr="00283424">
        <w:tab/>
        <w:t>was authorised by another person to effect a transfer of Division 4 financial products.</w:t>
      </w:r>
    </w:p>
    <w:p w14:paraId="0798287A" w14:textId="77777777" w:rsidR="00E93F58" w:rsidRPr="00283424" w:rsidRDefault="00E93F58" w:rsidP="00B50726">
      <w:pPr>
        <w:pStyle w:val="ActHead5"/>
      </w:pPr>
      <w:bookmarkStart w:id="2113" w:name="_Toc152055032"/>
      <w:bookmarkStart w:id="2114" w:name="_Toc158712848"/>
      <w:r w:rsidRPr="006F296E">
        <w:rPr>
          <w:rStyle w:val="CharSectno"/>
        </w:rPr>
        <w:t>7.11.32</w:t>
      </w:r>
      <w:r w:rsidRPr="00283424">
        <w:t xml:space="preserve">  Indemnities in respect of warranted matters: participant not authorised to effect transfer</w:t>
      </w:r>
      <w:bookmarkEnd w:id="2113"/>
      <w:bookmarkEnd w:id="2114"/>
    </w:p>
    <w:p w14:paraId="73557F39" w14:textId="77777777" w:rsidR="00E93F58" w:rsidRPr="00283424" w:rsidRDefault="00E93F58" w:rsidP="00B50726">
      <w:pPr>
        <w:pStyle w:val="subsection"/>
        <w:keepNext/>
        <w:keepLines/>
        <w:rPr>
          <w:color w:val="000000"/>
        </w:rPr>
      </w:pPr>
      <w:r w:rsidRPr="00283424">
        <w:rPr>
          <w:color w:val="000000"/>
        </w:rPr>
        <w:tab/>
        <w:t>(1)</w:t>
      </w:r>
      <w:r w:rsidRPr="00283424">
        <w:rPr>
          <w:color w:val="000000"/>
        </w:rPr>
        <w:tab/>
        <w:t>This regulation applies if:</w:t>
      </w:r>
    </w:p>
    <w:p w14:paraId="31FEA2AC" w14:textId="77777777" w:rsidR="00E93F58" w:rsidRPr="00283424" w:rsidRDefault="00E93F58" w:rsidP="00B50726">
      <w:pPr>
        <w:pStyle w:val="paragraph"/>
        <w:keepNext/>
        <w:keepLines/>
        <w:rPr>
          <w:color w:val="000000"/>
        </w:rPr>
      </w:pPr>
      <w:r w:rsidRPr="00283424">
        <w:rPr>
          <w:color w:val="000000"/>
        </w:rPr>
        <w:tab/>
        <w:t>(a)</w:t>
      </w:r>
      <w:r w:rsidRPr="00283424">
        <w:rPr>
          <w:color w:val="000000"/>
        </w:rPr>
        <w:tab/>
        <w:t>a participant is taken by regulation 7.11.29 to have warranted, in relation to a proper ASTC transfer of a Division 4 financial product, that the participant was authorised by the transferor to effect the transfer; and</w:t>
      </w:r>
    </w:p>
    <w:p w14:paraId="10B368CB" w14:textId="77777777" w:rsidR="00E93F58" w:rsidRPr="00283424" w:rsidRDefault="00E93F58" w:rsidP="00B50726">
      <w:pPr>
        <w:pStyle w:val="paragraph"/>
      </w:pPr>
      <w:r w:rsidRPr="00283424">
        <w:tab/>
        <w:t>(b)</w:t>
      </w:r>
      <w:r w:rsidRPr="00283424">
        <w:tab/>
        <w:t>the participant was not authorised by the transferor to effect the transfer.</w:t>
      </w:r>
    </w:p>
    <w:p w14:paraId="4DC7F216" w14:textId="77777777" w:rsidR="00E93F58" w:rsidRPr="00283424" w:rsidRDefault="00E93F58" w:rsidP="00B50726">
      <w:pPr>
        <w:pStyle w:val="subsection"/>
      </w:pPr>
      <w:r w:rsidRPr="00283424">
        <w:tab/>
        <w:t>(2)</w:t>
      </w:r>
      <w:r w:rsidRPr="00283424">
        <w:tab/>
        <w:t>The participant is liable to indemnify each of the following against any loss or damage arising from the participant not having been authorised by the transferor to effect the transfer:</w:t>
      </w:r>
    </w:p>
    <w:p w14:paraId="0A9F14A1" w14:textId="77777777" w:rsidR="00E93F58" w:rsidRPr="00283424" w:rsidRDefault="00E93F58" w:rsidP="00B50726">
      <w:pPr>
        <w:pStyle w:val="paragraph"/>
        <w:rPr>
          <w:color w:val="000000"/>
        </w:rPr>
      </w:pPr>
      <w:r w:rsidRPr="00283424">
        <w:rPr>
          <w:color w:val="000000"/>
        </w:rPr>
        <w:tab/>
        <w:t>(a)</w:t>
      </w:r>
      <w:r w:rsidRPr="00283424">
        <w:rPr>
          <w:color w:val="000000"/>
        </w:rPr>
        <w:tab/>
        <w:t>the issuer in relation to the Division 4 financial product;</w:t>
      </w:r>
    </w:p>
    <w:p w14:paraId="13E727C7" w14:textId="77777777" w:rsidR="00E93F58" w:rsidRPr="00283424" w:rsidRDefault="00E93F58" w:rsidP="00B50726">
      <w:pPr>
        <w:pStyle w:val="paragraph"/>
      </w:pPr>
      <w:r w:rsidRPr="00283424">
        <w:tab/>
        <w:t>(b)</w:t>
      </w:r>
      <w:r w:rsidRPr="00283424">
        <w:tab/>
        <w:t>the transferor;</w:t>
      </w:r>
    </w:p>
    <w:p w14:paraId="25EDB51E" w14:textId="77777777" w:rsidR="00E93F58" w:rsidRPr="00283424" w:rsidRDefault="00E93F58" w:rsidP="00B50726">
      <w:pPr>
        <w:pStyle w:val="paragraph"/>
      </w:pPr>
      <w:r w:rsidRPr="00283424">
        <w:tab/>
        <w:t>(c)</w:t>
      </w:r>
      <w:r w:rsidRPr="00283424">
        <w:tab/>
        <w:t>the transferee;</w:t>
      </w:r>
    </w:p>
    <w:p w14:paraId="2B49FFBD" w14:textId="77777777" w:rsidR="00E93F58" w:rsidRPr="00283424" w:rsidRDefault="00E93F58" w:rsidP="00B50726">
      <w:pPr>
        <w:pStyle w:val="paragraph"/>
      </w:pPr>
      <w:r w:rsidRPr="00283424">
        <w:tab/>
        <w:t>(d)</w:t>
      </w:r>
      <w:r w:rsidRPr="00283424">
        <w:tab/>
        <w:t>if a participant acted as the transferee’s agent in the transfer—that participant;</w:t>
      </w:r>
    </w:p>
    <w:p w14:paraId="50E4C635" w14:textId="77777777" w:rsidR="00E93F58" w:rsidRPr="00283424" w:rsidRDefault="00E93F58" w:rsidP="00B50726">
      <w:pPr>
        <w:pStyle w:val="paragraph"/>
      </w:pPr>
      <w:r w:rsidRPr="00283424">
        <w:tab/>
        <w:t>(e)</w:t>
      </w:r>
      <w:r w:rsidRPr="00283424">
        <w:tab/>
        <w:t>the prescribed CS facility operated by ASTC;</w:t>
      </w:r>
    </w:p>
    <w:p w14:paraId="7394C335" w14:textId="77777777" w:rsidR="00E93F58" w:rsidRPr="00283424" w:rsidRDefault="00E93F58" w:rsidP="00B50726">
      <w:pPr>
        <w:pStyle w:val="paragraph"/>
      </w:pPr>
      <w:r w:rsidRPr="00283424">
        <w:tab/>
        <w:t>(f)</w:t>
      </w:r>
      <w:r w:rsidRPr="00283424">
        <w:tab/>
        <w:t>if TNS Clearing Pty Limited is the counter</w:t>
      </w:r>
      <w:r>
        <w:noBreakHyphen/>
      </w:r>
      <w:r w:rsidRPr="00283424">
        <w:t>party in the transaction—TNS Clearing Pty Limited;</w:t>
      </w:r>
    </w:p>
    <w:p w14:paraId="2D11ADEF" w14:textId="77777777" w:rsidR="00E93F58" w:rsidRPr="00283424" w:rsidRDefault="00E93F58" w:rsidP="00B50726">
      <w:pPr>
        <w:pStyle w:val="paragraph"/>
      </w:pPr>
      <w:r w:rsidRPr="00283424">
        <w:tab/>
        <w:t>(g)</w:t>
      </w:r>
      <w:r w:rsidRPr="00283424">
        <w:tab/>
        <w:t>if Options Clearing House Pty Limited is the counter</w:t>
      </w:r>
      <w:r>
        <w:noBreakHyphen/>
      </w:r>
      <w:r w:rsidRPr="00283424">
        <w:t>party in the transaction—Options Clearing House Pty Limited.</w:t>
      </w:r>
    </w:p>
    <w:p w14:paraId="1A4A7009" w14:textId="77777777" w:rsidR="00E93F58" w:rsidRPr="00283424" w:rsidRDefault="00E93F58" w:rsidP="00B50726">
      <w:pPr>
        <w:pStyle w:val="subsection"/>
        <w:rPr>
          <w:color w:val="000000"/>
        </w:rPr>
      </w:pPr>
      <w:r w:rsidRPr="00283424">
        <w:rPr>
          <w:color w:val="000000"/>
        </w:rPr>
        <w:tab/>
        <w:t>(3)</w:t>
      </w:r>
      <w:r w:rsidRPr="00283424">
        <w:rPr>
          <w:color w:val="000000"/>
        </w:rPr>
        <w:tab/>
        <w:t>For this regulation, the effect of regulation 7.11.26 is to be disregarded in determining whether a person:</w:t>
      </w:r>
    </w:p>
    <w:p w14:paraId="34B8C450" w14:textId="77777777" w:rsidR="00E93F58" w:rsidRPr="00283424" w:rsidRDefault="00E93F58" w:rsidP="00B50726">
      <w:pPr>
        <w:pStyle w:val="paragraph"/>
        <w:rPr>
          <w:color w:val="000000"/>
        </w:rPr>
      </w:pPr>
      <w:r w:rsidRPr="00283424">
        <w:rPr>
          <w:color w:val="000000"/>
        </w:rPr>
        <w:tab/>
        <w:t>(a)</w:t>
      </w:r>
      <w:r w:rsidRPr="00283424">
        <w:rPr>
          <w:color w:val="000000"/>
        </w:rPr>
        <w:tab/>
        <w:t>was legally entitled or authorised to transfer Division 4 financial products; or</w:t>
      </w:r>
    </w:p>
    <w:p w14:paraId="2F500FFF" w14:textId="77777777" w:rsidR="00E93F58" w:rsidRPr="00283424" w:rsidRDefault="00E93F58" w:rsidP="00B50726">
      <w:pPr>
        <w:pStyle w:val="paragraph"/>
      </w:pPr>
      <w:r w:rsidRPr="00283424">
        <w:tab/>
        <w:t>(b)</w:t>
      </w:r>
      <w:r w:rsidRPr="00283424">
        <w:tab/>
        <w:t>was authorised by another person to effect a transfer of Division 4 financial products.</w:t>
      </w:r>
    </w:p>
    <w:p w14:paraId="2D8288CC" w14:textId="77777777" w:rsidR="00E93F58" w:rsidRPr="00283424" w:rsidRDefault="00E93F58" w:rsidP="00B50726">
      <w:pPr>
        <w:pStyle w:val="ActHead5"/>
      </w:pPr>
      <w:bookmarkStart w:id="2115" w:name="_Toc152055033"/>
      <w:bookmarkStart w:id="2116" w:name="_Toc158712849"/>
      <w:r w:rsidRPr="006F296E">
        <w:rPr>
          <w:rStyle w:val="CharSectno"/>
        </w:rPr>
        <w:t>7.11.33</w:t>
      </w:r>
      <w:r w:rsidRPr="00283424">
        <w:t xml:space="preserve">  Joint and several warranties and liabilities</w:t>
      </w:r>
      <w:bookmarkEnd w:id="2115"/>
      <w:bookmarkEnd w:id="2116"/>
    </w:p>
    <w:p w14:paraId="03C6C7D0" w14:textId="77777777" w:rsidR="00E93F58" w:rsidRPr="00283424" w:rsidRDefault="00E93F58" w:rsidP="00B50726">
      <w:pPr>
        <w:pStyle w:val="subsection"/>
        <w:rPr>
          <w:color w:val="000000"/>
        </w:rPr>
      </w:pPr>
      <w:r w:rsidRPr="00283424">
        <w:rPr>
          <w:color w:val="000000"/>
        </w:rPr>
        <w:tab/>
        <w:t>(1)</w:t>
      </w:r>
      <w:r w:rsidRPr="00283424">
        <w:rPr>
          <w:color w:val="000000"/>
        </w:rPr>
        <w:tab/>
        <w:t>If 2 or more persons are taken to have warranted in the terms mentioned in subregulation 7.11.29(2), (4) or (6), the persons are taken to have warranted jointly and severally.</w:t>
      </w:r>
    </w:p>
    <w:p w14:paraId="7BEC37E6" w14:textId="77777777" w:rsidR="00E93F58" w:rsidRPr="00283424" w:rsidRDefault="00E93F58" w:rsidP="00B50726">
      <w:pPr>
        <w:pStyle w:val="subsection"/>
        <w:rPr>
          <w:color w:val="000000"/>
        </w:rPr>
      </w:pPr>
      <w:r w:rsidRPr="00283424">
        <w:rPr>
          <w:color w:val="000000"/>
        </w:rPr>
        <w:tab/>
        <w:t>(2)</w:t>
      </w:r>
      <w:r w:rsidRPr="00283424">
        <w:rPr>
          <w:color w:val="000000"/>
        </w:rPr>
        <w:tab/>
        <w:t>If 2 or more persons are liable as mentioned in regulation 7.11.30, 7.11.31 or 7.11.32, the persons are liable jointly and severally.</w:t>
      </w:r>
    </w:p>
    <w:p w14:paraId="30295B61" w14:textId="77777777" w:rsidR="00E93F58" w:rsidRPr="00283424" w:rsidRDefault="00E93F58" w:rsidP="00B50726">
      <w:pPr>
        <w:pStyle w:val="ActHead5"/>
      </w:pPr>
      <w:bookmarkStart w:id="2117" w:name="_Toc152055034"/>
      <w:bookmarkStart w:id="2118" w:name="_Toc158712850"/>
      <w:r w:rsidRPr="006F296E">
        <w:rPr>
          <w:rStyle w:val="CharSectno"/>
        </w:rPr>
        <w:lastRenderedPageBreak/>
        <w:t>7.11.34</w:t>
      </w:r>
      <w:r w:rsidRPr="00283424">
        <w:t xml:space="preserve">  ASTC entitled to assume its operating rules complied with</w:t>
      </w:r>
      <w:bookmarkEnd w:id="2117"/>
      <w:bookmarkEnd w:id="2118"/>
    </w:p>
    <w:p w14:paraId="3DA37693" w14:textId="77777777" w:rsidR="00E93F58" w:rsidRPr="00283424" w:rsidRDefault="00E93F58" w:rsidP="00B50726">
      <w:pPr>
        <w:pStyle w:val="subsection"/>
        <w:rPr>
          <w:color w:val="000000"/>
        </w:rPr>
      </w:pPr>
      <w:r w:rsidRPr="00283424">
        <w:rPr>
          <w:color w:val="000000"/>
        </w:rPr>
        <w:tab/>
        <w:t>(1)</w:t>
      </w:r>
      <w:r w:rsidRPr="00283424">
        <w:rPr>
          <w:color w:val="000000"/>
        </w:rPr>
        <w:tab/>
        <w:t>This regulation applies if the prescribed CS facility operated by ASTC assumes without inquiry, in the absence of knowledge to the contrary, that anything purporting to be done under the ASTC operating rules in connection with a transfer of a Division 4 financial product has been done in accordance with those rules.</w:t>
      </w:r>
    </w:p>
    <w:p w14:paraId="4308B32E" w14:textId="77777777" w:rsidR="00E93F58" w:rsidRPr="00283424" w:rsidRDefault="00E93F58" w:rsidP="00B50726">
      <w:pPr>
        <w:pStyle w:val="subsection"/>
        <w:rPr>
          <w:color w:val="000000"/>
        </w:rPr>
      </w:pPr>
      <w:r w:rsidRPr="00283424">
        <w:rPr>
          <w:color w:val="000000"/>
        </w:rPr>
        <w:tab/>
        <w:t>(2)</w:t>
      </w:r>
      <w:r w:rsidRPr="00283424">
        <w:rPr>
          <w:color w:val="000000"/>
        </w:rPr>
        <w:tab/>
        <w:t>If the prescribed CS facility operated by ASTC assumes, in reliance on subregulation (1), that a thing was done in accordance with the ASTC operating rules, the thing is taken to have been done in accordance with those rules.</w:t>
      </w:r>
    </w:p>
    <w:p w14:paraId="3FCEB404" w14:textId="77777777" w:rsidR="00E93F58" w:rsidRPr="00283424" w:rsidRDefault="00E93F58" w:rsidP="00B50726">
      <w:pPr>
        <w:pStyle w:val="subsection"/>
      </w:pPr>
      <w:r w:rsidRPr="00283424">
        <w:tab/>
        <w:t>(3)</w:t>
      </w:r>
      <w:r w:rsidRPr="00283424">
        <w:tab/>
        <w:t>If the prescribed CS facility operated by ASTC:</w:t>
      </w:r>
    </w:p>
    <w:p w14:paraId="77DCE227" w14:textId="77777777" w:rsidR="00E93F58" w:rsidRPr="00283424" w:rsidRDefault="00E93F58" w:rsidP="00B50726">
      <w:pPr>
        <w:pStyle w:val="paragraph"/>
      </w:pPr>
      <w:r w:rsidRPr="00283424">
        <w:rPr>
          <w:color w:val="000000"/>
        </w:rPr>
        <w:tab/>
        <w:t>(a)</w:t>
      </w:r>
      <w:r w:rsidRPr="00283424">
        <w:rPr>
          <w:color w:val="000000"/>
        </w:rPr>
        <w:tab/>
        <w:t>acts on behalf of the issuer in relation to a Division 4 financial product; and</w:t>
      </w:r>
    </w:p>
    <w:p w14:paraId="6FDCF72A" w14:textId="77777777" w:rsidR="00E93F58" w:rsidRPr="00283424" w:rsidRDefault="00E93F58" w:rsidP="00B50726">
      <w:pPr>
        <w:pStyle w:val="paragraph"/>
      </w:pPr>
      <w:r w:rsidRPr="00283424">
        <w:tab/>
        <w:t>(b)</w:t>
      </w:r>
      <w:r w:rsidRPr="00283424">
        <w:tab/>
        <w:t>as part of that function assumes, in reliance on subregulation (1), that a thing was done in accordance with the ASTC operating rules;</w:t>
      </w:r>
    </w:p>
    <w:p w14:paraId="0B02EFFC" w14:textId="77777777" w:rsidR="00E93F58" w:rsidRPr="00283424" w:rsidRDefault="00E93F58" w:rsidP="00B50726">
      <w:pPr>
        <w:pStyle w:val="subsection2"/>
        <w:rPr>
          <w:color w:val="000000"/>
        </w:rPr>
      </w:pPr>
      <w:r w:rsidRPr="00283424">
        <w:rPr>
          <w:color w:val="000000"/>
        </w:rPr>
        <w:t>the issuer is also taken to assume, and to be entitled to assume, that the thing was done in accordance with the ASTC operating rules.</w:t>
      </w:r>
    </w:p>
    <w:p w14:paraId="0ABD556A" w14:textId="77777777" w:rsidR="00E93F58" w:rsidRPr="00283424" w:rsidRDefault="00E93F58" w:rsidP="00B50726">
      <w:pPr>
        <w:pStyle w:val="ActHead5"/>
      </w:pPr>
      <w:bookmarkStart w:id="2119" w:name="_Toc152055035"/>
      <w:bookmarkStart w:id="2120" w:name="_Toc158712851"/>
      <w:r w:rsidRPr="006F296E">
        <w:rPr>
          <w:rStyle w:val="CharSectno"/>
        </w:rPr>
        <w:t>7.11.35</w:t>
      </w:r>
      <w:r w:rsidRPr="00283424">
        <w:t xml:space="preserve">  ASTC</w:t>
      </w:r>
      <w:r>
        <w:noBreakHyphen/>
      </w:r>
      <w:r w:rsidRPr="00283424">
        <w:t>regulated transfer not to be registered unless proper ASTC transfer</w:t>
      </w:r>
      <w:bookmarkEnd w:id="2119"/>
      <w:bookmarkEnd w:id="2120"/>
    </w:p>
    <w:p w14:paraId="1C828632" w14:textId="77777777" w:rsidR="00E93F58" w:rsidRPr="00283424" w:rsidRDefault="00E93F58" w:rsidP="00B50726">
      <w:pPr>
        <w:pStyle w:val="subsection"/>
        <w:rPr>
          <w:color w:val="000000"/>
        </w:rPr>
      </w:pPr>
      <w:r w:rsidRPr="00283424">
        <w:rPr>
          <w:color w:val="000000"/>
        </w:rPr>
        <w:tab/>
        <w:t>(1)</w:t>
      </w:r>
      <w:r w:rsidRPr="00283424">
        <w:rPr>
          <w:color w:val="000000"/>
        </w:rPr>
        <w:tab/>
        <w:t>The issuer in relation to a Division 4 financial product must not register, or otherwise give effect to, an ASTC</w:t>
      </w:r>
      <w:r>
        <w:rPr>
          <w:color w:val="000000"/>
        </w:rPr>
        <w:noBreakHyphen/>
      </w:r>
      <w:r w:rsidRPr="00283424">
        <w:rPr>
          <w:color w:val="000000"/>
        </w:rPr>
        <w:t>regulated transfer of the Division 4 financial product unless the transfer is a proper ASTC transfer.</w:t>
      </w:r>
    </w:p>
    <w:p w14:paraId="5662F8F7" w14:textId="77777777" w:rsidR="00E93F58" w:rsidRPr="00283424" w:rsidRDefault="00E93F58" w:rsidP="00B50726">
      <w:pPr>
        <w:pStyle w:val="subsection"/>
        <w:rPr>
          <w:color w:val="000000"/>
        </w:rPr>
      </w:pPr>
      <w:r w:rsidRPr="00283424">
        <w:rPr>
          <w:color w:val="000000"/>
        </w:rPr>
        <w:tab/>
        <w:t>(2)</w:t>
      </w:r>
      <w:r w:rsidRPr="00283424">
        <w:rPr>
          <w:color w:val="000000"/>
        </w:rPr>
        <w:tab/>
        <w:t>Subregulation (1) has effect despite anything in:</w:t>
      </w:r>
    </w:p>
    <w:p w14:paraId="2DF5FC8A" w14:textId="77777777" w:rsidR="00E93F58" w:rsidRPr="00283424" w:rsidRDefault="00E93F58" w:rsidP="00B50726">
      <w:pPr>
        <w:pStyle w:val="paragraph"/>
        <w:rPr>
          <w:color w:val="000000"/>
        </w:rPr>
      </w:pPr>
      <w:r w:rsidRPr="00283424">
        <w:rPr>
          <w:color w:val="000000"/>
        </w:rPr>
        <w:tab/>
        <w:t>(a)</w:t>
      </w:r>
      <w:r w:rsidRPr="00283424">
        <w:rPr>
          <w:color w:val="000000"/>
        </w:rPr>
        <w:tab/>
        <w:t>the issuer’s constitution; or</w:t>
      </w:r>
    </w:p>
    <w:p w14:paraId="50E607AF" w14:textId="77777777" w:rsidR="00E93F58" w:rsidRPr="00283424" w:rsidRDefault="00E93F58" w:rsidP="00B50726">
      <w:pPr>
        <w:pStyle w:val="paragraph"/>
      </w:pPr>
      <w:r w:rsidRPr="00283424">
        <w:tab/>
        <w:t>(b)</w:t>
      </w:r>
      <w:r w:rsidRPr="00283424">
        <w:tab/>
        <w:t>a deed relating to debentures; or</w:t>
      </w:r>
    </w:p>
    <w:p w14:paraId="23C19E57" w14:textId="77777777" w:rsidR="00E93F58" w:rsidRPr="00283424" w:rsidRDefault="00E93F58" w:rsidP="00B50726">
      <w:pPr>
        <w:pStyle w:val="paragraph"/>
      </w:pPr>
      <w:r w:rsidRPr="00283424">
        <w:tab/>
        <w:t>(c)</w:t>
      </w:r>
      <w:r w:rsidRPr="00283424">
        <w:tab/>
        <w:t>the constitution of a registered scheme; or</w:t>
      </w:r>
    </w:p>
    <w:p w14:paraId="55E43A4F" w14:textId="77777777" w:rsidR="00E93F58" w:rsidRPr="00283424" w:rsidRDefault="00E93F58" w:rsidP="00B50726">
      <w:pPr>
        <w:pStyle w:val="paragraph"/>
      </w:pPr>
      <w:r w:rsidRPr="00283424">
        <w:tab/>
        <w:t>(d)</w:t>
      </w:r>
      <w:r w:rsidRPr="00283424">
        <w:tab/>
        <w:t>a deed relating to interests.</w:t>
      </w:r>
    </w:p>
    <w:p w14:paraId="2F9DC636" w14:textId="77777777" w:rsidR="00E93F58" w:rsidRPr="00283424" w:rsidRDefault="00E93F58" w:rsidP="00B50726">
      <w:pPr>
        <w:pStyle w:val="ActHead5"/>
      </w:pPr>
      <w:bookmarkStart w:id="2121" w:name="_Toc152055036"/>
      <w:bookmarkStart w:id="2122" w:name="_Toc158712852"/>
      <w:r w:rsidRPr="006F296E">
        <w:rPr>
          <w:rStyle w:val="CharSectno"/>
        </w:rPr>
        <w:t>7.11.36</w:t>
      </w:r>
      <w:r w:rsidRPr="00283424">
        <w:t xml:space="preserve">  Issuer not to refuse to register proper ASTC transfer</w:t>
      </w:r>
      <w:bookmarkEnd w:id="2121"/>
      <w:bookmarkEnd w:id="2122"/>
    </w:p>
    <w:p w14:paraId="52C9D378" w14:textId="77777777" w:rsidR="00E93F58" w:rsidRPr="00283424" w:rsidRDefault="00E93F58" w:rsidP="00B50726">
      <w:pPr>
        <w:pStyle w:val="subsection"/>
      </w:pPr>
      <w:r w:rsidRPr="00283424">
        <w:tab/>
      </w:r>
      <w:r w:rsidRPr="00283424">
        <w:tab/>
        <w:t>The issuer in relation to a Division 4 financial product must not:</w:t>
      </w:r>
    </w:p>
    <w:p w14:paraId="23C271DF" w14:textId="77777777" w:rsidR="00E93F58" w:rsidRPr="00283424" w:rsidRDefault="00E93F58" w:rsidP="00B50726">
      <w:pPr>
        <w:pStyle w:val="paragraph"/>
      </w:pPr>
      <w:r w:rsidRPr="00283424">
        <w:rPr>
          <w:color w:val="000000"/>
        </w:rPr>
        <w:tab/>
        <w:t>(a)</w:t>
      </w:r>
      <w:r w:rsidRPr="00283424">
        <w:rPr>
          <w:color w:val="000000"/>
        </w:rPr>
        <w:tab/>
        <w:t>refuse or fail to register a proper ASTC transfer of the Division 4 financial product; or</w:t>
      </w:r>
    </w:p>
    <w:p w14:paraId="7597323A" w14:textId="77777777" w:rsidR="00E93F58" w:rsidRPr="00283424" w:rsidRDefault="00E93F58" w:rsidP="00B50726">
      <w:pPr>
        <w:pStyle w:val="paragraph"/>
      </w:pPr>
      <w:r w:rsidRPr="00283424">
        <w:tab/>
        <w:t>(b)</w:t>
      </w:r>
      <w:r w:rsidRPr="00283424">
        <w:tab/>
        <w:t>refuse or fail to give effect to a proper ASTC transfer of the Division 4 financial product.</w:t>
      </w:r>
    </w:p>
    <w:p w14:paraId="446EE071" w14:textId="77777777" w:rsidR="00E93F58" w:rsidRPr="00283424" w:rsidRDefault="00E93F58" w:rsidP="00B50726">
      <w:pPr>
        <w:pStyle w:val="ActHead5"/>
      </w:pPr>
      <w:bookmarkStart w:id="2123" w:name="_Toc152055037"/>
      <w:bookmarkStart w:id="2124" w:name="_Toc158712853"/>
      <w:r w:rsidRPr="006F296E">
        <w:rPr>
          <w:rStyle w:val="CharSectno"/>
        </w:rPr>
        <w:t>7.11.37</w:t>
      </w:r>
      <w:r w:rsidRPr="00283424">
        <w:t xml:space="preserve">  Determination of who holds Division 4 financial products for the purposes of meeting</w:t>
      </w:r>
      <w:bookmarkEnd w:id="2123"/>
      <w:bookmarkEnd w:id="2124"/>
    </w:p>
    <w:p w14:paraId="6CA5352D" w14:textId="77777777" w:rsidR="00E93F58" w:rsidRPr="00283424" w:rsidRDefault="00E93F58" w:rsidP="00B50726">
      <w:pPr>
        <w:pStyle w:val="subsection"/>
      </w:pPr>
      <w:r w:rsidRPr="00283424">
        <w:rPr>
          <w:color w:val="000000"/>
        </w:rPr>
        <w:tab/>
        <w:t>(1)</w:t>
      </w:r>
      <w:r w:rsidRPr="00283424">
        <w:rPr>
          <w:color w:val="000000"/>
        </w:rPr>
        <w:tab/>
        <w:t>This regulation applies to a meeting of the holders of securities of a body corporate if some or all of the securities are Division 4 financial products.</w:t>
      </w:r>
    </w:p>
    <w:p w14:paraId="18F5EF4B" w14:textId="77777777" w:rsidR="00E93F58" w:rsidRPr="00283424" w:rsidRDefault="00E93F58" w:rsidP="00B50726">
      <w:pPr>
        <w:pStyle w:val="subsection"/>
      </w:pPr>
      <w:r w:rsidRPr="00283424">
        <w:rPr>
          <w:color w:val="000000"/>
        </w:rPr>
        <w:tab/>
        <w:t>(2)</w:t>
      </w:r>
      <w:r w:rsidRPr="00283424">
        <w:rPr>
          <w:color w:val="000000"/>
        </w:rPr>
        <w:tab/>
        <w:t>The convener of the meeting may determine that all the securities of the body corporate that are Division 4 financial products at a specified time before the meeting are taken, for the purposes of the meeting, to be held by the persons who held them at the specified time.</w:t>
      </w:r>
    </w:p>
    <w:p w14:paraId="2DE9D21C" w14:textId="77777777" w:rsidR="00E93F58" w:rsidRPr="00283424" w:rsidRDefault="00E93F58" w:rsidP="00B50726">
      <w:pPr>
        <w:pStyle w:val="subsection"/>
      </w:pPr>
      <w:r w:rsidRPr="00283424">
        <w:tab/>
        <w:t>(3)</w:t>
      </w:r>
      <w:r w:rsidRPr="00283424">
        <w:tab/>
        <w:t>The specified time:</w:t>
      </w:r>
    </w:p>
    <w:p w14:paraId="7E2E490B" w14:textId="77777777" w:rsidR="00E93F58" w:rsidRPr="00283424" w:rsidRDefault="00E93F58" w:rsidP="00B50726">
      <w:pPr>
        <w:pStyle w:val="paragraph"/>
      </w:pPr>
      <w:r w:rsidRPr="00283424">
        <w:rPr>
          <w:color w:val="000000"/>
        </w:rPr>
        <w:tab/>
        <w:t>(a)</w:t>
      </w:r>
      <w:r w:rsidRPr="00283424">
        <w:rPr>
          <w:color w:val="000000"/>
        </w:rPr>
        <w:tab/>
        <w:t>must satisfy any applicable requirements of the ASTC operating rules; but</w:t>
      </w:r>
    </w:p>
    <w:p w14:paraId="50B53922" w14:textId="77777777" w:rsidR="00E93F58" w:rsidRPr="00283424" w:rsidRDefault="00E93F58" w:rsidP="00B50726">
      <w:pPr>
        <w:pStyle w:val="paragraph"/>
      </w:pPr>
      <w:r w:rsidRPr="00283424">
        <w:tab/>
        <w:t>(b)</w:t>
      </w:r>
      <w:r w:rsidRPr="00283424">
        <w:tab/>
        <w:t>in any case, must not be more than 48 hours before the meeting.</w:t>
      </w:r>
    </w:p>
    <w:p w14:paraId="535DBD38" w14:textId="77777777" w:rsidR="00E93F58" w:rsidRPr="00283424" w:rsidRDefault="00E93F58" w:rsidP="00B50726">
      <w:pPr>
        <w:pStyle w:val="subsection"/>
      </w:pPr>
      <w:r w:rsidRPr="00283424">
        <w:tab/>
        <w:t>(4)</w:t>
      </w:r>
      <w:r w:rsidRPr="00283424">
        <w:tab/>
        <w:t>The convenor must make a determination:</w:t>
      </w:r>
    </w:p>
    <w:p w14:paraId="4E30EE73" w14:textId="77777777" w:rsidR="00E93F58" w:rsidRPr="00283424" w:rsidRDefault="00E93F58" w:rsidP="00B50726">
      <w:pPr>
        <w:pStyle w:val="paragraph"/>
      </w:pPr>
      <w:r w:rsidRPr="00283424">
        <w:rPr>
          <w:color w:val="000000"/>
        </w:rPr>
        <w:tab/>
        <w:t>(a)</w:t>
      </w:r>
      <w:r w:rsidRPr="00283424">
        <w:rPr>
          <w:color w:val="000000"/>
        </w:rPr>
        <w:tab/>
        <w:t>in accordance with any applicable requirements of the ASTC operating rules as to the way in which it must be made; but</w:t>
      </w:r>
    </w:p>
    <w:p w14:paraId="46389B34" w14:textId="77777777" w:rsidR="00E93F58" w:rsidRPr="00283424" w:rsidRDefault="00E93F58" w:rsidP="00B50726">
      <w:pPr>
        <w:pStyle w:val="paragraph"/>
      </w:pPr>
      <w:r w:rsidRPr="00283424">
        <w:tab/>
        <w:t>(b)</w:t>
      </w:r>
      <w:r w:rsidRPr="00283424">
        <w:tab/>
        <w:t>in any case, before notice of the meeting is given.</w:t>
      </w:r>
    </w:p>
    <w:p w14:paraId="04A6E32D" w14:textId="77777777" w:rsidR="00E93F58" w:rsidRPr="00283424" w:rsidRDefault="00E93F58" w:rsidP="00B50726">
      <w:pPr>
        <w:pStyle w:val="subsection"/>
      </w:pPr>
      <w:r w:rsidRPr="00283424">
        <w:rPr>
          <w:color w:val="000000"/>
        </w:rPr>
        <w:tab/>
        <w:t>(5)</w:t>
      </w:r>
      <w:r w:rsidRPr="00283424">
        <w:rPr>
          <w:color w:val="000000"/>
        </w:rPr>
        <w:tab/>
        <w:t>The convenor must include particulars of the determination in the notice of the meeting.</w:t>
      </w:r>
    </w:p>
    <w:p w14:paraId="1165DB31" w14:textId="77777777" w:rsidR="00E93F58" w:rsidRPr="00283424" w:rsidRDefault="00E93F58" w:rsidP="00B50726">
      <w:pPr>
        <w:pStyle w:val="subsection"/>
      </w:pPr>
      <w:r w:rsidRPr="00283424">
        <w:tab/>
        <w:t>(6)</w:t>
      </w:r>
      <w:r w:rsidRPr="00283424">
        <w:tab/>
        <w:t>However, a failure to include particulars of the determination in the notice of the meeting does not invalidate the determination.</w:t>
      </w:r>
    </w:p>
    <w:p w14:paraId="0B968FDD" w14:textId="77777777" w:rsidR="00E93F58" w:rsidRPr="00283424" w:rsidRDefault="00E93F58" w:rsidP="00B50726">
      <w:pPr>
        <w:pStyle w:val="subsection"/>
      </w:pPr>
      <w:r w:rsidRPr="00283424">
        <w:tab/>
        <w:t>(7)</w:t>
      </w:r>
      <w:r w:rsidRPr="00283424">
        <w:tab/>
        <w:t>The convenor’s determination has effect accordingly despite anything in:</w:t>
      </w:r>
    </w:p>
    <w:p w14:paraId="2A19D971" w14:textId="77777777" w:rsidR="00E93F58" w:rsidRPr="00283424" w:rsidRDefault="00E93F58" w:rsidP="00B50726">
      <w:pPr>
        <w:pStyle w:val="paragraph"/>
      </w:pPr>
      <w:r w:rsidRPr="00283424">
        <w:rPr>
          <w:color w:val="000000"/>
        </w:rPr>
        <w:tab/>
        <w:t>(a)</w:t>
      </w:r>
      <w:r w:rsidRPr="00283424">
        <w:rPr>
          <w:color w:val="000000"/>
        </w:rPr>
        <w:tab/>
        <w:t>the Act; and</w:t>
      </w:r>
    </w:p>
    <w:p w14:paraId="3CB79AD1" w14:textId="77777777" w:rsidR="00E93F58" w:rsidRPr="00283424" w:rsidRDefault="00E93F58" w:rsidP="00B50726">
      <w:pPr>
        <w:pStyle w:val="paragraph"/>
      </w:pPr>
      <w:r w:rsidRPr="00283424">
        <w:tab/>
        <w:t>(b)</w:t>
      </w:r>
      <w:r w:rsidRPr="00283424">
        <w:tab/>
        <w:t>these Regulations; and</w:t>
      </w:r>
    </w:p>
    <w:p w14:paraId="6ABB2ACD" w14:textId="77777777" w:rsidR="00E93F58" w:rsidRPr="00283424" w:rsidRDefault="00E93F58" w:rsidP="00B50726">
      <w:pPr>
        <w:pStyle w:val="paragraph"/>
      </w:pPr>
      <w:r w:rsidRPr="00283424">
        <w:tab/>
        <w:t>(c)</w:t>
      </w:r>
      <w:r w:rsidRPr="00283424">
        <w:tab/>
        <w:t>any other law (written or unwritten) that applies to the meeting; and</w:t>
      </w:r>
    </w:p>
    <w:p w14:paraId="2965E360" w14:textId="77777777" w:rsidR="00E93F58" w:rsidRPr="00283424" w:rsidRDefault="00E93F58" w:rsidP="00B50726">
      <w:pPr>
        <w:pStyle w:val="paragraph"/>
      </w:pPr>
      <w:r w:rsidRPr="00283424">
        <w:lastRenderedPageBreak/>
        <w:tab/>
        <w:t>(d)</w:t>
      </w:r>
      <w:r w:rsidRPr="00283424">
        <w:tab/>
        <w:t>any document that applies to the meeting (for example, the body corporate’s constitution or any relevant trust deed).</w:t>
      </w:r>
    </w:p>
    <w:p w14:paraId="44D098BD" w14:textId="77777777" w:rsidR="00E93F58" w:rsidRPr="00283424" w:rsidRDefault="00E93F58" w:rsidP="00B50726">
      <w:pPr>
        <w:pStyle w:val="ActHead5"/>
      </w:pPr>
      <w:bookmarkStart w:id="2125" w:name="_Toc152055038"/>
      <w:bookmarkStart w:id="2126" w:name="_Toc158712854"/>
      <w:r w:rsidRPr="006F296E">
        <w:rPr>
          <w:rStyle w:val="CharSectno"/>
        </w:rPr>
        <w:t>7.11.38</w:t>
      </w:r>
      <w:r w:rsidRPr="00283424">
        <w:t xml:space="preserve">  Determination of who holds Division 4 financial products in class of Division 4 financial products for the purposes of meeting</w:t>
      </w:r>
      <w:bookmarkEnd w:id="2125"/>
      <w:bookmarkEnd w:id="2126"/>
    </w:p>
    <w:p w14:paraId="118073B6" w14:textId="77777777" w:rsidR="00E93F58" w:rsidRPr="00283424" w:rsidRDefault="00E93F58" w:rsidP="00B50726">
      <w:pPr>
        <w:pStyle w:val="subsection"/>
      </w:pPr>
      <w:r w:rsidRPr="00283424">
        <w:rPr>
          <w:color w:val="000000"/>
        </w:rPr>
        <w:tab/>
        <w:t>(1)</w:t>
      </w:r>
      <w:r w:rsidRPr="00283424">
        <w:rPr>
          <w:color w:val="000000"/>
        </w:rPr>
        <w:tab/>
        <w:t>This regulation applies to a meeting of the holders of a class of securities of a body corporate if some or all of the securities in that class are Division 4 financial products.</w:t>
      </w:r>
    </w:p>
    <w:p w14:paraId="07E3D9EC" w14:textId="77777777" w:rsidR="00E93F58" w:rsidRPr="00283424" w:rsidRDefault="00E93F58" w:rsidP="00B50726">
      <w:pPr>
        <w:pStyle w:val="subsection"/>
      </w:pPr>
      <w:r w:rsidRPr="00283424">
        <w:rPr>
          <w:color w:val="000000"/>
        </w:rPr>
        <w:tab/>
        <w:t>(2)</w:t>
      </w:r>
      <w:r w:rsidRPr="00283424">
        <w:rPr>
          <w:color w:val="000000"/>
        </w:rPr>
        <w:tab/>
        <w:t>The convener of the meeting may determine that all the securities of the body corporate in the relevant class that are Division 4 financial products at a specified time before the meeting are taken, for the purposes of the meeting, to be held by the persons who held them at the specified time.</w:t>
      </w:r>
    </w:p>
    <w:p w14:paraId="4B2BED2E" w14:textId="77777777" w:rsidR="00E93F58" w:rsidRPr="00283424" w:rsidRDefault="00E93F58" w:rsidP="00B50726">
      <w:pPr>
        <w:pStyle w:val="subsection"/>
      </w:pPr>
      <w:r w:rsidRPr="00283424">
        <w:tab/>
        <w:t>(3)</w:t>
      </w:r>
      <w:r w:rsidRPr="00283424">
        <w:tab/>
        <w:t>The specified time:</w:t>
      </w:r>
    </w:p>
    <w:p w14:paraId="6F36CB42" w14:textId="77777777" w:rsidR="00E93F58" w:rsidRPr="00283424" w:rsidRDefault="00E93F58" w:rsidP="00B50726">
      <w:pPr>
        <w:pStyle w:val="paragraph"/>
      </w:pPr>
      <w:r w:rsidRPr="00283424">
        <w:rPr>
          <w:color w:val="000000"/>
        </w:rPr>
        <w:tab/>
        <w:t>(a)</w:t>
      </w:r>
      <w:r w:rsidRPr="00283424">
        <w:rPr>
          <w:color w:val="000000"/>
        </w:rPr>
        <w:tab/>
        <w:t>must satisfy any applicable requirements of the ASTC operating rules; but</w:t>
      </w:r>
    </w:p>
    <w:p w14:paraId="2420A31B" w14:textId="77777777" w:rsidR="00E93F58" w:rsidRPr="00283424" w:rsidRDefault="00E93F58" w:rsidP="00B50726">
      <w:pPr>
        <w:pStyle w:val="paragraph"/>
      </w:pPr>
      <w:r w:rsidRPr="00283424">
        <w:tab/>
        <w:t>(b)</w:t>
      </w:r>
      <w:r w:rsidRPr="00283424">
        <w:tab/>
        <w:t>in any case, must not be more than 48 hours before the meeting.</w:t>
      </w:r>
    </w:p>
    <w:p w14:paraId="131E0DAA" w14:textId="77777777" w:rsidR="00E93F58" w:rsidRPr="00283424" w:rsidRDefault="00E93F58" w:rsidP="00B50726">
      <w:pPr>
        <w:pStyle w:val="subsection"/>
      </w:pPr>
      <w:r w:rsidRPr="00283424">
        <w:tab/>
        <w:t>(4)</w:t>
      </w:r>
      <w:r w:rsidRPr="00283424">
        <w:tab/>
        <w:t>The convenor must make a determination:</w:t>
      </w:r>
    </w:p>
    <w:p w14:paraId="02FEF7D9" w14:textId="77777777" w:rsidR="00E93F58" w:rsidRPr="00283424" w:rsidRDefault="00E93F58" w:rsidP="00B50726">
      <w:pPr>
        <w:pStyle w:val="paragraph"/>
      </w:pPr>
      <w:r w:rsidRPr="00283424">
        <w:rPr>
          <w:color w:val="000000"/>
        </w:rPr>
        <w:tab/>
        <w:t>(a)</w:t>
      </w:r>
      <w:r w:rsidRPr="00283424">
        <w:rPr>
          <w:color w:val="000000"/>
        </w:rPr>
        <w:tab/>
        <w:t>in accordance with any applicable requirements of the ASTC operating rules as to the way in which it must be made; but</w:t>
      </w:r>
    </w:p>
    <w:p w14:paraId="0A76DF15" w14:textId="77777777" w:rsidR="00E93F58" w:rsidRPr="00283424" w:rsidRDefault="00E93F58" w:rsidP="00B50726">
      <w:pPr>
        <w:pStyle w:val="paragraph"/>
      </w:pPr>
      <w:r w:rsidRPr="00283424">
        <w:tab/>
        <w:t>(b)</w:t>
      </w:r>
      <w:r w:rsidRPr="00283424">
        <w:tab/>
        <w:t>in any case, before notice of the meeting is given.</w:t>
      </w:r>
    </w:p>
    <w:p w14:paraId="0D58D24B" w14:textId="77777777" w:rsidR="00E93F58" w:rsidRPr="00283424" w:rsidRDefault="00E93F58" w:rsidP="00B50726">
      <w:pPr>
        <w:pStyle w:val="subsection"/>
      </w:pPr>
      <w:r w:rsidRPr="00283424">
        <w:rPr>
          <w:color w:val="000000"/>
        </w:rPr>
        <w:tab/>
        <w:t>(5)</w:t>
      </w:r>
      <w:r w:rsidRPr="00283424">
        <w:rPr>
          <w:color w:val="000000"/>
        </w:rPr>
        <w:tab/>
        <w:t>The convenor must include particulars of the determination in the notice of the meeting.</w:t>
      </w:r>
    </w:p>
    <w:p w14:paraId="2388516B" w14:textId="77777777" w:rsidR="00E93F58" w:rsidRPr="00283424" w:rsidRDefault="00E93F58" w:rsidP="00B50726">
      <w:pPr>
        <w:pStyle w:val="subsection"/>
      </w:pPr>
      <w:r w:rsidRPr="00283424">
        <w:tab/>
        <w:t>(6)</w:t>
      </w:r>
      <w:r w:rsidRPr="00283424">
        <w:tab/>
        <w:t>However, a failure to include particulars of the determination in the notice of the meeting does not invalidate the determination.</w:t>
      </w:r>
    </w:p>
    <w:p w14:paraId="3FA839B8" w14:textId="77777777" w:rsidR="00E93F58" w:rsidRPr="00283424" w:rsidRDefault="00E93F58" w:rsidP="00B50726">
      <w:pPr>
        <w:pStyle w:val="subsection"/>
      </w:pPr>
      <w:r w:rsidRPr="00283424">
        <w:tab/>
        <w:t>(7)</w:t>
      </w:r>
      <w:r w:rsidRPr="00283424">
        <w:tab/>
        <w:t>The convenor’s determination has effect accordingly despite anything in:</w:t>
      </w:r>
    </w:p>
    <w:p w14:paraId="33BB20BF" w14:textId="77777777" w:rsidR="00E93F58" w:rsidRPr="00283424" w:rsidRDefault="00E93F58" w:rsidP="00B50726">
      <w:pPr>
        <w:pStyle w:val="paragraph"/>
      </w:pPr>
      <w:r w:rsidRPr="00283424">
        <w:rPr>
          <w:color w:val="000000"/>
        </w:rPr>
        <w:tab/>
        <w:t>(a)</w:t>
      </w:r>
      <w:r w:rsidRPr="00283424">
        <w:rPr>
          <w:color w:val="000000"/>
        </w:rPr>
        <w:tab/>
        <w:t>the Act; and</w:t>
      </w:r>
    </w:p>
    <w:p w14:paraId="2CE419E7" w14:textId="77777777" w:rsidR="00E93F58" w:rsidRPr="00283424" w:rsidRDefault="00E93F58" w:rsidP="00B50726">
      <w:pPr>
        <w:pStyle w:val="paragraph"/>
      </w:pPr>
      <w:r w:rsidRPr="00283424">
        <w:tab/>
        <w:t>(b)</w:t>
      </w:r>
      <w:r w:rsidRPr="00283424">
        <w:tab/>
        <w:t>these Regulations; and</w:t>
      </w:r>
    </w:p>
    <w:p w14:paraId="45C27694" w14:textId="77777777" w:rsidR="00E93F58" w:rsidRPr="00283424" w:rsidRDefault="00E93F58" w:rsidP="00B50726">
      <w:pPr>
        <w:pStyle w:val="paragraph"/>
      </w:pPr>
      <w:r w:rsidRPr="00283424">
        <w:tab/>
        <w:t>(c)</w:t>
      </w:r>
      <w:r w:rsidRPr="00283424">
        <w:tab/>
        <w:t>any other law (written or unwritten) that applies to the meeting; and</w:t>
      </w:r>
    </w:p>
    <w:p w14:paraId="504BE66E" w14:textId="77777777" w:rsidR="00E93F58" w:rsidRPr="00283424" w:rsidRDefault="00E93F58" w:rsidP="00B50726">
      <w:pPr>
        <w:pStyle w:val="paragraph"/>
      </w:pPr>
      <w:r w:rsidRPr="00283424">
        <w:tab/>
        <w:t>(d)</w:t>
      </w:r>
      <w:r w:rsidRPr="00283424">
        <w:tab/>
        <w:t>any document that applies to the meeting (for example, the body corporate’s constitution or a relevant trust deed).</w:t>
      </w:r>
    </w:p>
    <w:p w14:paraId="0AD3DB90" w14:textId="77777777" w:rsidR="00E93F58" w:rsidRPr="00283424" w:rsidRDefault="00E93F58" w:rsidP="00B50726">
      <w:pPr>
        <w:pStyle w:val="ActHead5"/>
      </w:pPr>
      <w:bookmarkStart w:id="2127" w:name="_Toc152055039"/>
      <w:bookmarkStart w:id="2128" w:name="_Toc158712855"/>
      <w:r w:rsidRPr="006F296E">
        <w:rPr>
          <w:rStyle w:val="CharSectno"/>
        </w:rPr>
        <w:t>7.11.39</w:t>
      </w:r>
      <w:r w:rsidRPr="00283424">
        <w:t xml:space="preserve">  Determination of who holds Division 4 financial products for the purposes of conferring security benefits</w:t>
      </w:r>
      <w:bookmarkEnd w:id="2127"/>
      <w:bookmarkEnd w:id="2128"/>
    </w:p>
    <w:p w14:paraId="7C9ACF5E" w14:textId="77777777" w:rsidR="00E93F58" w:rsidRPr="00283424" w:rsidRDefault="00E93F58" w:rsidP="00B50726">
      <w:pPr>
        <w:pStyle w:val="subsection"/>
        <w:rPr>
          <w:color w:val="000000"/>
        </w:rPr>
      </w:pPr>
      <w:r w:rsidRPr="00283424">
        <w:rPr>
          <w:color w:val="000000"/>
        </w:rPr>
        <w:tab/>
        <w:t>(1)</w:t>
      </w:r>
      <w:r w:rsidRPr="00283424">
        <w:rPr>
          <w:color w:val="000000"/>
        </w:rPr>
        <w:tab/>
        <w:t>If the ASTC operating rules include provisions relating to the determination, for the purposes of conferring security benefits, of who holds or is taken to hold Division 4 financial products at a particular time, those provisions have effect accordingly despite anything in:</w:t>
      </w:r>
    </w:p>
    <w:p w14:paraId="5A1241DB" w14:textId="77777777" w:rsidR="00E93F58" w:rsidRPr="00283424" w:rsidRDefault="00E93F58" w:rsidP="00B50726">
      <w:pPr>
        <w:pStyle w:val="paragraph"/>
      </w:pPr>
      <w:r w:rsidRPr="00283424">
        <w:rPr>
          <w:color w:val="000000"/>
        </w:rPr>
        <w:tab/>
        <w:t>(a)</w:t>
      </w:r>
      <w:r w:rsidRPr="00283424">
        <w:rPr>
          <w:color w:val="000000"/>
        </w:rPr>
        <w:tab/>
        <w:t>the Act; and</w:t>
      </w:r>
    </w:p>
    <w:p w14:paraId="09756061" w14:textId="77777777" w:rsidR="00E93F58" w:rsidRPr="00283424" w:rsidRDefault="00E93F58" w:rsidP="00B50726">
      <w:pPr>
        <w:pStyle w:val="paragraph"/>
      </w:pPr>
      <w:r w:rsidRPr="00283424">
        <w:tab/>
        <w:t>(b)</w:t>
      </w:r>
      <w:r w:rsidRPr="00283424">
        <w:tab/>
        <w:t>these Regulations; and</w:t>
      </w:r>
    </w:p>
    <w:p w14:paraId="76FF1957" w14:textId="77777777" w:rsidR="00E93F58" w:rsidRPr="00283424" w:rsidRDefault="00E93F58" w:rsidP="00B50726">
      <w:pPr>
        <w:pStyle w:val="paragraph"/>
      </w:pPr>
      <w:r w:rsidRPr="00283424">
        <w:tab/>
        <w:t>(c)</w:t>
      </w:r>
      <w:r w:rsidRPr="00283424">
        <w:tab/>
        <w:t>any other law (written or unwritten) that applies to the conferral; and</w:t>
      </w:r>
    </w:p>
    <w:p w14:paraId="337C0FF9" w14:textId="77777777" w:rsidR="00E93F58" w:rsidRPr="00283424" w:rsidRDefault="00E93F58" w:rsidP="00B50726">
      <w:pPr>
        <w:pStyle w:val="paragraph"/>
      </w:pPr>
      <w:r w:rsidRPr="00283424">
        <w:tab/>
        <w:t>(d)</w:t>
      </w:r>
      <w:r w:rsidRPr="00283424">
        <w:tab/>
        <w:t>any document that applies to the conferral (for example, the body corporate’s constitution or a relevant trust deed).</w:t>
      </w:r>
    </w:p>
    <w:p w14:paraId="397D968E" w14:textId="77777777" w:rsidR="00E93F58" w:rsidRPr="00283424" w:rsidRDefault="00E93F58" w:rsidP="00B50726">
      <w:pPr>
        <w:pStyle w:val="subsection"/>
        <w:rPr>
          <w:color w:val="000000"/>
        </w:rPr>
      </w:pPr>
      <w:r w:rsidRPr="00283424">
        <w:rPr>
          <w:color w:val="000000"/>
        </w:rPr>
        <w:tab/>
        <w:t>(2)</w:t>
      </w:r>
      <w:r w:rsidRPr="00283424">
        <w:rPr>
          <w:color w:val="000000"/>
        </w:rPr>
        <w:tab/>
        <w:t xml:space="preserve">In subregulation (1), </w:t>
      </w:r>
      <w:r w:rsidRPr="00283424">
        <w:rPr>
          <w:b/>
          <w:i/>
          <w:color w:val="000000"/>
        </w:rPr>
        <w:t>conferring a security benefit</w:t>
      </w:r>
      <w:r w:rsidRPr="00283424">
        <w:rPr>
          <w:color w:val="000000"/>
        </w:rPr>
        <w:t xml:space="preserve"> means:</w:t>
      </w:r>
    </w:p>
    <w:p w14:paraId="220589EC" w14:textId="77777777" w:rsidR="00E93F58" w:rsidRPr="00283424" w:rsidRDefault="00E93F58" w:rsidP="00B50726">
      <w:pPr>
        <w:pStyle w:val="paragraph"/>
        <w:rPr>
          <w:color w:val="000000"/>
        </w:rPr>
      </w:pPr>
      <w:r w:rsidRPr="00283424">
        <w:rPr>
          <w:color w:val="000000"/>
        </w:rPr>
        <w:tab/>
        <w:t>(a)</w:t>
      </w:r>
      <w:r w:rsidRPr="00283424">
        <w:rPr>
          <w:color w:val="000000"/>
        </w:rPr>
        <w:tab/>
        <w:t>paying or transferring money or property to a person because the person holds or held a Division 4 financial product; or</w:t>
      </w:r>
    </w:p>
    <w:p w14:paraId="4988EF63" w14:textId="77777777" w:rsidR="00E93F58" w:rsidRPr="00283424" w:rsidRDefault="00E93F58" w:rsidP="00B50726">
      <w:pPr>
        <w:pStyle w:val="paragraph"/>
      </w:pPr>
      <w:r w:rsidRPr="00283424">
        <w:tab/>
        <w:t>(b)</w:t>
      </w:r>
      <w:r w:rsidRPr="00283424">
        <w:tab/>
        <w:t>issuing securities to a person because the person holds or held a Division 4 financial product; or</w:t>
      </w:r>
    </w:p>
    <w:p w14:paraId="25547BD6" w14:textId="77777777" w:rsidR="00E93F58" w:rsidRPr="00283424" w:rsidRDefault="00E93F58" w:rsidP="00B50726">
      <w:pPr>
        <w:pStyle w:val="paragraph"/>
      </w:pPr>
      <w:r w:rsidRPr="00283424">
        <w:tab/>
        <w:t>(c)</w:t>
      </w:r>
      <w:r w:rsidRPr="00283424">
        <w:tab/>
        <w:t>conferring a right on a person because the person holds or held a Division 4 financial product.</w:t>
      </w:r>
    </w:p>
    <w:p w14:paraId="351F9689" w14:textId="77777777" w:rsidR="00E93F58" w:rsidRPr="00283424" w:rsidRDefault="00E93F58" w:rsidP="00B50726">
      <w:pPr>
        <w:pStyle w:val="ActHead3"/>
        <w:pageBreakBefore/>
        <w:rPr>
          <w:snapToGrid w:val="0"/>
          <w:color w:val="000000"/>
        </w:rPr>
      </w:pPr>
      <w:bookmarkStart w:id="2129" w:name="_Toc152055040"/>
      <w:bookmarkStart w:id="2130" w:name="_Toc158712856"/>
      <w:r w:rsidRPr="006F296E">
        <w:rPr>
          <w:rStyle w:val="CharDivNo"/>
        </w:rPr>
        <w:lastRenderedPageBreak/>
        <w:t>Division 5</w:t>
      </w:r>
      <w:r w:rsidRPr="00283424">
        <w:rPr>
          <w:snapToGrid w:val="0"/>
          <w:color w:val="000000"/>
        </w:rPr>
        <w:t>—</w:t>
      </w:r>
      <w:r w:rsidRPr="006F296E">
        <w:rPr>
          <w:rStyle w:val="CharDivText"/>
        </w:rPr>
        <w:t>Offences</w:t>
      </w:r>
      <w:bookmarkEnd w:id="2129"/>
      <w:bookmarkEnd w:id="2130"/>
    </w:p>
    <w:p w14:paraId="17DEDECA" w14:textId="77777777" w:rsidR="00E93F58" w:rsidRPr="00283424" w:rsidRDefault="00E93F58" w:rsidP="00B50726">
      <w:pPr>
        <w:pStyle w:val="ActHead5"/>
      </w:pPr>
      <w:bookmarkStart w:id="2131" w:name="_Toc152055041"/>
      <w:bookmarkStart w:id="2132" w:name="_Toc158712857"/>
      <w:r w:rsidRPr="006F296E">
        <w:rPr>
          <w:rStyle w:val="CharSectno"/>
        </w:rPr>
        <w:t>7.11.40</w:t>
      </w:r>
      <w:r w:rsidRPr="00283424">
        <w:t xml:space="preserve">  Stamping of broker’s stamp on sufficient transfer</w:t>
      </w:r>
      <w:bookmarkEnd w:id="2131"/>
      <w:bookmarkEnd w:id="2132"/>
    </w:p>
    <w:p w14:paraId="5C1596C4" w14:textId="77777777" w:rsidR="00E93F58" w:rsidRPr="00283424" w:rsidRDefault="00E93F58" w:rsidP="00B50726">
      <w:pPr>
        <w:pStyle w:val="subsection"/>
      </w:pPr>
      <w:r w:rsidRPr="00283424">
        <w:tab/>
        <w:t>(1)</w:t>
      </w:r>
      <w:r w:rsidRPr="00283424">
        <w:tab/>
        <w:t xml:space="preserve">A broker must not stamp with a broker’s stamp a document (a </w:t>
      </w:r>
      <w:r w:rsidRPr="00283424">
        <w:rPr>
          <w:b/>
          <w:i/>
        </w:rPr>
        <w:t>transfer document</w:t>
      </w:r>
      <w:r w:rsidRPr="00283424">
        <w:t>) that:</w:t>
      </w:r>
    </w:p>
    <w:p w14:paraId="4345BD90" w14:textId="77777777" w:rsidR="00E93F58" w:rsidRPr="00283424" w:rsidRDefault="00E93F58" w:rsidP="00B50726">
      <w:pPr>
        <w:pStyle w:val="paragraph"/>
        <w:rPr>
          <w:color w:val="000000"/>
        </w:rPr>
      </w:pPr>
      <w:r w:rsidRPr="00283424">
        <w:rPr>
          <w:color w:val="000000"/>
        </w:rPr>
        <w:tab/>
        <w:t>(a)</w:t>
      </w:r>
      <w:r w:rsidRPr="00283424">
        <w:rPr>
          <w:color w:val="000000"/>
        </w:rPr>
        <w:tab/>
        <w:t>relates to Division 3 securities; and</w:t>
      </w:r>
    </w:p>
    <w:p w14:paraId="6586076A" w14:textId="77777777" w:rsidR="00E93F58" w:rsidRPr="00283424" w:rsidRDefault="00E93F58" w:rsidP="00B50726">
      <w:pPr>
        <w:pStyle w:val="paragraph"/>
      </w:pPr>
      <w:r w:rsidRPr="00283424">
        <w:tab/>
        <w:t>(b)</w:t>
      </w:r>
      <w:r w:rsidRPr="00283424">
        <w:tab/>
        <w:t>may be used as a sufficient transfer under this Part;</w:t>
      </w:r>
    </w:p>
    <w:p w14:paraId="61D75FFF" w14:textId="77777777" w:rsidR="00E93F58" w:rsidRPr="00283424" w:rsidRDefault="00E93F58" w:rsidP="00B50726">
      <w:pPr>
        <w:pStyle w:val="subsection2"/>
        <w:rPr>
          <w:color w:val="000000"/>
        </w:rPr>
      </w:pPr>
      <w:r w:rsidRPr="00283424">
        <w:rPr>
          <w:color w:val="000000"/>
        </w:rPr>
        <w:t>unless the transfer document relates to a sale or purchase of the Division 3 securities, in the ordinary course of the broker’s business, for a consideration of not less than their unencumbered market value at the time of the sale or purchase.</w:t>
      </w:r>
    </w:p>
    <w:p w14:paraId="1E8AA875" w14:textId="77777777" w:rsidR="00E93F58" w:rsidRPr="00283424" w:rsidRDefault="00E93F58" w:rsidP="00B50726">
      <w:pPr>
        <w:pStyle w:val="subsection"/>
        <w:rPr>
          <w:color w:val="000000"/>
        </w:rPr>
      </w:pPr>
      <w:r w:rsidRPr="00283424">
        <w:rPr>
          <w:color w:val="000000"/>
        </w:rPr>
        <w:tab/>
        <w:t>(2)</w:t>
      </w:r>
      <w:r w:rsidRPr="00283424">
        <w:rPr>
          <w:color w:val="000000"/>
        </w:rPr>
        <w:tab/>
        <w:t>A person must not stamp a transfer document with a stamp that purports to be that of the transferor’s broker unless:</w:t>
      </w:r>
    </w:p>
    <w:p w14:paraId="486D5CC8" w14:textId="77777777" w:rsidR="00E93F58" w:rsidRPr="00283424" w:rsidRDefault="00E93F58" w:rsidP="00B50726">
      <w:pPr>
        <w:pStyle w:val="paragraph"/>
      </w:pPr>
      <w:r w:rsidRPr="00283424">
        <w:rPr>
          <w:color w:val="000000"/>
        </w:rPr>
        <w:tab/>
        <w:t>(a)</w:t>
      </w:r>
      <w:r w:rsidRPr="00283424">
        <w:rPr>
          <w:color w:val="000000"/>
        </w:rPr>
        <w:tab/>
        <w:t>the stamp is the stamp of the transferor’s broker; and</w:t>
      </w:r>
    </w:p>
    <w:p w14:paraId="268D3B0D" w14:textId="77777777" w:rsidR="00E93F58" w:rsidRPr="00283424" w:rsidRDefault="00E93F58" w:rsidP="00B50726">
      <w:pPr>
        <w:pStyle w:val="paragraph"/>
      </w:pPr>
      <w:r w:rsidRPr="00283424">
        <w:tab/>
        <w:t>(b)</w:t>
      </w:r>
      <w:r w:rsidRPr="00283424">
        <w:tab/>
        <w:t>apart from paragraph 7.11.17(4)(a), the transferor’s broker is authorised to execute the document on the transferor’s behalf; and</w:t>
      </w:r>
    </w:p>
    <w:p w14:paraId="131F25C3" w14:textId="77777777" w:rsidR="00E93F58" w:rsidRPr="00283424" w:rsidRDefault="00E93F58" w:rsidP="00B50726">
      <w:pPr>
        <w:pStyle w:val="paragraph"/>
      </w:pPr>
      <w:r w:rsidRPr="00283424">
        <w:tab/>
        <w:t>(c)</w:t>
      </w:r>
      <w:r w:rsidRPr="00283424">
        <w:tab/>
        <w:t>the person is:</w:t>
      </w:r>
    </w:p>
    <w:p w14:paraId="2CF85A9F" w14:textId="77777777" w:rsidR="00E93F58" w:rsidRPr="00283424" w:rsidRDefault="00E93F58" w:rsidP="00B50726">
      <w:pPr>
        <w:pStyle w:val="paragraphsub"/>
        <w:rPr>
          <w:color w:val="000000"/>
        </w:rPr>
      </w:pPr>
      <w:r w:rsidRPr="00283424">
        <w:rPr>
          <w:color w:val="000000"/>
        </w:rPr>
        <w:tab/>
        <w:t>(i)</w:t>
      </w:r>
      <w:r w:rsidRPr="00283424">
        <w:rPr>
          <w:color w:val="000000"/>
        </w:rPr>
        <w:tab/>
        <w:t>the transferor’s broker; or</w:t>
      </w:r>
    </w:p>
    <w:p w14:paraId="4EB942C1" w14:textId="77777777" w:rsidR="00E93F58" w:rsidRPr="00283424" w:rsidRDefault="00E93F58" w:rsidP="00B50726">
      <w:pPr>
        <w:pStyle w:val="paragraphsub"/>
      </w:pPr>
      <w:r w:rsidRPr="00283424">
        <w:tab/>
        <w:t>(ii)</w:t>
      </w:r>
      <w:r w:rsidRPr="00283424">
        <w:tab/>
        <w:t>authorised to stamp the document on the transferor’s broker’s behalf.</w:t>
      </w:r>
    </w:p>
    <w:p w14:paraId="3442BA69" w14:textId="77777777" w:rsidR="00E93F58" w:rsidRPr="00283424" w:rsidRDefault="00E93F58" w:rsidP="00B50726">
      <w:pPr>
        <w:pStyle w:val="subsection"/>
        <w:rPr>
          <w:color w:val="000000"/>
        </w:rPr>
      </w:pPr>
      <w:r w:rsidRPr="00283424">
        <w:rPr>
          <w:color w:val="000000"/>
        </w:rPr>
        <w:tab/>
        <w:t>(3)</w:t>
      </w:r>
      <w:r w:rsidRPr="00283424">
        <w:rPr>
          <w:color w:val="000000"/>
        </w:rPr>
        <w:tab/>
        <w:t>A market licensee must not stamp with a stamp of the market licensee a document that may be used as a sufficient transfer under this Part of Division 3 securities unless:</w:t>
      </w:r>
    </w:p>
    <w:p w14:paraId="7EF60EE1" w14:textId="77777777" w:rsidR="00E93F58" w:rsidRPr="00283424" w:rsidRDefault="00E93F58" w:rsidP="00B50726">
      <w:pPr>
        <w:pStyle w:val="paragraph"/>
      </w:pPr>
      <w:r w:rsidRPr="00283424">
        <w:rPr>
          <w:color w:val="000000"/>
        </w:rPr>
        <w:tab/>
        <w:t>(a)</w:t>
      </w:r>
      <w:r w:rsidRPr="00283424">
        <w:rPr>
          <w:color w:val="000000"/>
        </w:rPr>
        <w:tab/>
        <w:t>a duly completed Part 1, relating to the Division 3 securities, has been lodged with the issuer in relation to the Division 3 securities; or</w:t>
      </w:r>
    </w:p>
    <w:p w14:paraId="40A5CB8B" w14:textId="77777777" w:rsidR="00E93F58" w:rsidRPr="00283424" w:rsidRDefault="00E93F58" w:rsidP="00B50726">
      <w:pPr>
        <w:pStyle w:val="paragraph"/>
      </w:pPr>
      <w:r w:rsidRPr="00283424">
        <w:tab/>
        <w:t>(b)</w:t>
      </w:r>
      <w:r w:rsidRPr="00283424">
        <w:tab/>
        <w:t>the market licensee holds a duly completed Part 1 that:</w:t>
      </w:r>
    </w:p>
    <w:p w14:paraId="337E6C70" w14:textId="77777777" w:rsidR="00E93F58" w:rsidRPr="00283424" w:rsidRDefault="00E93F58" w:rsidP="00B50726">
      <w:pPr>
        <w:pStyle w:val="paragraphsub"/>
        <w:rPr>
          <w:color w:val="000000"/>
        </w:rPr>
      </w:pPr>
      <w:r w:rsidRPr="00283424">
        <w:rPr>
          <w:color w:val="000000"/>
        </w:rPr>
        <w:tab/>
        <w:t>(i)</w:t>
      </w:r>
      <w:r w:rsidRPr="00283424">
        <w:rPr>
          <w:color w:val="000000"/>
        </w:rPr>
        <w:tab/>
        <w:t>bears a certificate that purports to be that of the transferor’s broker; and</w:t>
      </w:r>
    </w:p>
    <w:p w14:paraId="1412CF78" w14:textId="77777777" w:rsidR="00E93F58" w:rsidRPr="00283424" w:rsidRDefault="00E93F58" w:rsidP="00B50726">
      <w:pPr>
        <w:pStyle w:val="paragraphsub"/>
      </w:pPr>
      <w:r w:rsidRPr="00283424">
        <w:tab/>
        <w:t>(ii)</w:t>
      </w:r>
      <w:r w:rsidRPr="00283424">
        <w:tab/>
        <w:t>states that a duly completed Part 1, relating to the Division 3 securities, has been lodged or will be lodged with the issuer in relation to the Division 3 securities.</w:t>
      </w:r>
    </w:p>
    <w:p w14:paraId="30ADECB6" w14:textId="77777777" w:rsidR="00E93F58" w:rsidRPr="00283424" w:rsidRDefault="00E93F58" w:rsidP="00B50726">
      <w:pPr>
        <w:pStyle w:val="subsection"/>
      </w:pPr>
      <w:r w:rsidRPr="00283424">
        <w:tab/>
        <w:t>(4)</w:t>
      </w:r>
      <w:r w:rsidRPr="00283424">
        <w:tab/>
        <w:t>A person must not execute a document that:</w:t>
      </w:r>
    </w:p>
    <w:p w14:paraId="1B5ECBD9" w14:textId="77777777" w:rsidR="00E93F58" w:rsidRPr="00283424" w:rsidRDefault="00E93F58" w:rsidP="00B50726">
      <w:pPr>
        <w:pStyle w:val="paragraph"/>
        <w:rPr>
          <w:color w:val="000000"/>
        </w:rPr>
      </w:pPr>
      <w:r w:rsidRPr="00283424">
        <w:rPr>
          <w:color w:val="000000"/>
        </w:rPr>
        <w:tab/>
        <w:t>(a)</w:t>
      </w:r>
      <w:r w:rsidRPr="00283424">
        <w:rPr>
          <w:color w:val="000000"/>
        </w:rPr>
        <w:tab/>
        <w:t>may be used as a sufficient transfer under regulation 7.11.12 or 7.11.13; and</w:t>
      </w:r>
    </w:p>
    <w:p w14:paraId="1EBF137C" w14:textId="77777777" w:rsidR="00E93F58" w:rsidRPr="00283424" w:rsidRDefault="00E93F58" w:rsidP="00B50726">
      <w:pPr>
        <w:pStyle w:val="paragraph"/>
      </w:pPr>
      <w:r w:rsidRPr="00283424">
        <w:tab/>
        <w:t>(b)</w:t>
      </w:r>
      <w:r w:rsidRPr="00283424">
        <w:tab/>
        <w:t>relates to a transfer of Division 3 securities:</w:t>
      </w:r>
    </w:p>
    <w:p w14:paraId="235B32BF" w14:textId="77777777" w:rsidR="00E93F58" w:rsidRPr="00283424" w:rsidRDefault="00E93F58" w:rsidP="00B50726">
      <w:pPr>
        <w:pStyle w:val="paragraphsub"/>
        <w:rPr>
          <w:color w:val="000000"/>
        </w:rPr>
      </w:pPr>
      <w:r w:rsidRPr="00283424">
        <w:rPr>
          <w:color w:val="000000"/>
        </w:rPr>
        <w:tab/>
        <w:t>(i)</w:t>
      </w:r>
      <w:r w:rsidRPr="00283424">
        <w:rPr>
          <w:color w:val="000000"/>
        </w:rPr>
        <w:tab/>
        <w:t>made by way of a sale, gift or exchange of the Division 3 securities; or</w:t>
      </w:r>
    </w:p>
    <w:p w14:paraId="7CB693CA" w14:textId="77777777" w:rsidR="00E93F58" w:rsidRPr="00283424" w:rsidRDefault="00E93F58" w:rsidP="00B50726">
      <w:pPr>
        <w:pStyle w:val="paragraphsub"/>
      </w:pPr>
      <w:r w:rsidRPr="00283424">
        <w:tab/>
        <w:t>(ii)</w:t>
      </w:r>
      <w:r w:rsidRPr="00283424">
        <w:tab/>
        <w:t>to or in favour of a person who is not the beneficial owner of the Division 3 securities.</w:t>
      </w:r>
    </w:p>
    <w:p w14:paraId="03509463" w14:textId="77777777" w:rsidR="00E93F58" w:rsidRPr="00283424" w:rsidRDefault="00E93F58" w:rsidP="00B50726">
      <w:pPr>
        <w:pStyle w:val="subsection"/>
      </w:pPr>
      <w:r w:rsidRPr="00283424">
        <w:tab/>
        <w:t>(5)</w:t>
      </w:r>
      <w:r w:rsidRPr="00283424">
        <w:tab/>
        <w:t>A person who is not a licensed trustee company, a Public Trustee of a State or Territory, or a company listed in Schedule 9 must not knowingly cause, authorise or permit to be executed a document that:</w:t>
      </w:r>
    </w:p>
    <w:p w14:paraId="455951F0" w14:textId="77777777" w:rsidR="00E93F58" w:rsidRPr="00283424" w:rsidRDefault="00E93F58" w:rsidP="00B50726">
      <w:pPr>
        <w:pStyle w:val="paragraph"/>
        <w:rPr>
          <w:color w:val="000000"/>
        </w:rPr>
      </w:pPr>
      <w:r w:rsidRPr="00283424">
        <w:rPr>
          <w:color w:val="000000"/>
        </w:rPr>
        <w:tab/>
        <w:t>(a)</w:t>
      </w:r>
      <w:r w:rsidRPr="00283424">
        <w:rPr>
          <w:color w:val="000000"/>
        </w:rPr>
        <w:tab/>
        <w:t>relates to Division 3 securities; and</w:t>
      </w:r>
    </w:p>
    <w:p w14:paraId="0EA931F8" w14:textId="77777777" w:rsidR="00E93F58" w:rsidRPr="00283424" w:rsidRDefault="00E93F58" w:rsidP="00B50726">
      <w:pPr>
        <w:pStyle w:val="paragraph"/>
      </w:pPr>
      <w:r w:rsidRPr="00283424">
        <w:tab/>
        <w:t>(b)</w:t>
      </w:r>
      <w:r w:rsidRPr="00283424">
        <w:tab/>
        <w:t>may be used as a sufficient transfer under regulation 7.11.12 or 7.11.13;</w:t>
      </w:r>
    </w:p>
    <w:p w14:paraId="0BEEB00B" w14:textId="77777777" w:rsidR="00E93F58" w:rsidRPr="00283424" w:rsidRDefault="00E93F58" w:rsidP="00B50726">
      <w:pPr>
        <w:pStyle w:val="subsection2"/>
        <w:rPr>
          <w:color w:val="000000"/>
        </w:rPr>
      </w:pPr>
      <w:r w:rsidRPr="00283424">
        <w:rPr>
          <w:color w:val="000000"/>
        </w:rPr>
        <w:t>but is not a sufficient transfer under that regulation.</w:t>
      </w:r>
    </w:p>
    <w:p w14:paraId="5EE44B45" w14:textId="77777777" w:rsidR="00E93F58" w:rsidRPr="00283424" w:rsidRDefault="00E93F58" w:rsidP="00B50726">
      <w:pPr>
        <w:pStyle w:val="subsection"/>
      </w:pPr>
      <w:r w:rsidRPr="00283424">
        <w:tab/>
        <w:t>(6)</w:t>
      </w:r>
      <w:r w:rsidRPr="00283424">
        <w:tab/>
        <w:t>A person must not knowingly lodge or cause to be lodged with a company a document that has been:</w:t>
      </w:r>
    </w:p>
    <w:p w14:paraId="77287586" w14:textId="77777777" w:rsidR="00E93F58" w:rsidRPr="00283424" w:rsidRDefault="00E93F58" w:rsidP="00B50726">
      <w:pPr>
        <w:pStyle w:val="paragraph"/>
        <w:rPr>
          <w:color w:val="000000"/>
        </w:rPr>
      </w:pPr>
      <w:r w:rsidRPr="00283424">
        <w:rPr>
          <w:color w:val="000000"/>
        </w:rPr>
        <w:tab/>
        <w:t>(a)</w:t>
      </w:r>
      <w:r w:rsidRPr="00283424">
        <w:rPr>
          <w:color w:val="000000"/>
        </w:rPr>
        <w:tab/>
        <w:t>stamped in contravention of subregulation (1), (2) or (3); or</w:t>
      </w:r>
    </w:p>
    <w:p w14:paraId="66317F40" w14:textId="77777777" w:rsidR="00E93F58" w:rsidRPr="00283424" w:rsidRDefault="00E93F58" w:rsidP="00B50726">
      <w:pPr>
        <w:pStyle w:val="paragraph"/>
      </w:pPr>
      <w:r w:rsidRPr="00283424">
        <w:tab/>
        <w:t>(b)</w:t>
      </w:r>
      <w:r w:rsidRPr="00283424">
        <w:tab/>
        <w:t>executed in contravention of subregulation (4);</w:t>
      </w:r>
    </w:p>
    <w:p w14:paraId="13EBB7E8" w14:textId="77777777" w:rsidR="00E93F58" w:rsidRPr="00283424" w:rsidRDefault="00E93F58" w:rsidP="00B50726">
      <w:pPr>
        <w:pStyle w:val="subsection2"/>
        <w:rPr>
          <w:color w:val="000000"/>
        </w:rPr>
      </w:pPr>
      <w:r w:rsidRPr="00283424">
        <w:rPr>
          <w:color w:val="000000"/>
        </w:rPr>
        <w:t>for the purpose of securing the registration of the transfer of, or the issue of, Division 3 securities to the transferee named in the document.</w:t>
      </w:r>
    </w:p>
    <w:p w14:paraId="54FB0A35" w14:textId="77777777" w:rsidR="00E93F58" w:rsidRPr="00283424" w:rsidRDefault="00E93F58" w:rsidP="00B50726">
      <w:pPr>
        <w:pStyle w:val="ActHead5"/>
      </w:pPr>
      <w:bookmarkStart w:id="2133" w:name="_Toc152055042"/>
      <w:bookmarkStart w:id="2134" w:name="_Toc158712858"/>
      <w:r w:rsidRPr="006F296E">
        <w:rPr>
          <w:rStyle w:val="CharSectno"/>
        </w:rPr>
        <w:t>7.11.41</w:t>
      </w:r>
      <w:r w:rsidRPr="00283424">
        <w:t xml:space="preserve">  Inclusion of identification codes in proper ASTC transfers</w:t>
      </w:r>
      <w:bookmarkEnd w:id="2133"/>
      <w:bookmarkEnd w:id="2134"/>
    </w:p>
    <w:p w14:paraId="3DC385AB" w14:textId="77777777" w:rsidR="00E93F58" w:rsidRPr="00283424" w:rsidRDefault="00E93F58" w:rsidP="00B50726">
      <w:pPr>
        <w:pStyle w:val="subsection"/>
        <w:rPr>
          <w:color w:val="000000"/>
        </w:rPr>
      </w:pPr>
      <w:r w:rsidRPr="00283424">
        <w:rPr>
          <w:color w:val="000000"/>
        </w:rPr>
        <w:tab/>
      </w:r>
      <w:r w:rsidRPr="00283424">
        <w:rPr>
          <w:color w:val="000000"/>
        </w:rPr>
        <w:tab/>
        <w:t>A person must not include a participant’s identification code in a document that may be used to effect a proper ASTC transfer unless:</w:t>
      </w:r>
    </w:p>
    <w:p w14:paraId="10EBD8FA" w14:textId="77777777" w:rsidR="00E93F58" w:rsidRPr="00283424" w:rsidRDefault="00E93F58" w:rsidP="00B50726">
      <w:pPr>
        <w:pStyle w:val="paragraph"/>
        <w:rPr>
          <w:color w:val="000000"/>
        </w:rPr>
      </w:pPr>
      <w:r w:rsidRPr="00283424">
        <w:rPr>
          <w:color w:val="000000"/>
        </w:rPr>
        <w:tab/>
        <w:t>(a)</w:t>
      </w:r>
      <w:r w:rsidRPr="00283424">
        <w:rPr>
          <w:color w:val="000000"/>
        </w:rPr>
        <w:tab/>
        <w:t>the person:</w:t>
      </w:r>
    </w:p>
    <w:p w14:paraId="42EF98DB" w14:textId="77777777" w:rsidR="00E93F58" w:rsidRPr="00283424" w:rsidRDefault="00E93F58" w:rsidP="00B50726">
      <w:pPr>
        <w:pStyle w:val="paragraphsub"/>
        <w:rPr>
          <w:color w:val="000000"/>
        </w:rPr>
      </w:pPr>
      <w:r w:rsidRPr="00283424">
        <w:rPr>
          <w:color w:val="000000"/>
        </w:rPr>
        <w:tab/>
        <w:t>(i)</w:t>
      </w:r>
      <w:r w:rsidRPr="00283424">
        <w:rPr>
          <w:color w:val="000000"/>
        </w:rPr>
        <w:tab/>
        <w:t>is the participant; or</w:t>
      </w:r>
    </w:p>
    <w:p w14:paraId="7CC7DF93" w14:textId="77777777" w:rsidR="00E93F58" w:rsidRPr="00283424" w:rsidRDefault="00E93F58" w:rsidP="00B50726">
      <w:pPr>
        <w:pStyle w:val="paragraphsub"/>
      </w:pPr>
      <w:r w:rsidRPr="00283424">
        <w:tab/>
        <w:t>(ii)</w:t>
      </w:r>
      <w:r w:rsidRPr="00283424">
        <w:tab/>
        <w:t>is authorised so to include the identification code by the participant; and</w:t>
      </w:r>
    </w:p>
    <w:p w14:paraId="1AD8F853" w14:textId="77777777" w:rsidR="00E93F58" w:rsidRPr="00283424" w:rsidRDefault="00E93F58" w:rsidP="00B50726">
      <w:pPr>
        <w:pStyle w:val="paragraph"/>
        <w:keepNext/>
        <w:keepLines/>
        <w:rPr>
          <w:color w:val="000000"/>
        </w:rPr>
      </w:pPr>
      <w:r w:rsidRPr="00283424">
        <w:rPr>
          <w:color w:val="000000"/>
        </w:rPr>
        <w:tab/>
        <w:t>(b)</w:t>
      </w:r>
      <w:r w:rsidRPr="00283424">
        <w:rPr>
          <w:color w:val="000000"/>
        </w:rPr>
        <w:tab/>
        <w:t>if:</w:t>
      </w:r>
    </w:p>
    <w:p w14:paraId="10BB4D9D" w14:textId="77777777" w:rsidR="00E93F58" w:rsidRPr="00283424" w:rsidRDefault="00E93F58" w:rsidP="00B50726">
      <w:pPr>
        <w:pStyle w:val="paragraphsub"/>
        <w:rPr>
          <w:color w:val="000000"/>
        </w:rPr>
      </w:pPr>
      <w:r w:rsidRPr="00283424">
        <w:rPr>
          <w:color w:val="000000"/>
        </w:rPr>
        <w:tab/>
        <w:t>(i)</w:t>
      </w:r>
      <w:r w:rsidRPr="00283424">
        <w:rPr>
          <w:color w:val="000000"/>
        </w:rPr>
        <w:tab/>
        <w:t>the identification code is so included as the identification code of the participant effecting the transfer; and</w:t>
      </w:r>
    </w:p>
    <w:p w14:paraId="7C9D421E" w14:textId="77777777" w:rsidR="00E93F58" w:rsidRPr="00283424" w:rsidRDefault="00E93F58" w:rsidP="00B50726">
      <w:pPr>
        <w:pStyle w:val="paragraphsub"/>
      </w:pPr>
      <w:r w:rsidRPr="00283424">
        <w:tab/>
        <w:t>(ii)</w:t>
      </w:r>
      <w:r w:rsidRPr="00283424">
        <w:tab/>
        <w:t>the participant is not the transferor;</w:t>
      </w:r>
    </w:p>
    <w:p w14:paraId="37FE810B" w14:textId="77777777" w:rsidR="00E93F58" w:rsidRPr="00283424" w:rsidRDefault="00E93F58" w:rsidP="00B50726">
      <w:pPr>
        <w:pStyle w:val="paragraph"/>
        <w:rPr>
          <w:color w:val="000000"/>
        </w:rPr>
      </w:pPr>
      <w:r w:rsidRPr="00283424">
        <w:rPr>
          <w:color w:val="000000"/>
        </w:rPr>
        <w:lastRenderedPageBreak/>
        <w:tab/>
      </w:r>
      <w:r w:rsidRPr="00283424">
        <w:rPr>
          <w:color w:val="000000"/>
        </w:rPr>
        <w:tab/>
        <w:t>the participant is, apart from the effect of regulation 7.11.26, authorised by the transferor to effect the transfer.</w:t>
      </w:r>
    </w:p>
    <w:p w14:paraId="39A95E7C" w14:textId="77777777" w:rsidR="00E93F58" w:rsidRPr="00283424" w:rsidRDefault="00E93F58" w:rsidP="00B50726">
      <w:pPr>
        <w:pStyle w:val="ActHead5"/>
      </w:pPr>
      <w:bookmarkStart w:id="2135" w:name="_Toc152055043"/>
      <w:bookmarkStart w:id="2136" w:name="_Toc158712859"/>
      <w:r w:rsidRPr="006F296E">
        <w:rPr>
          <w:rStyle w:val="CharSectno"/>
        </w:rPr>
        <w:t>7.11.42</w:t>
      </w:r>
      <w:r w:rsidRPr="00283424">
        <w:t xml:space="preserve">  Contravention by participant of the ASTC certificate cancellation provisions relating to use of cancellation stamps</w:t>
      </w:r>
      <w:bookmarkEnd w:id="2135"/>
      <w:bookmarkEnd w:id="2136"/>
    </w:p>
    <w:p w14:paraId="319A8C92" w14:textId="77777777" w:rsidR="00E93F58" w:rsidRPr="00283424" w:rsidRDefault="00E93F58" w:rsidP="00B50726">
      <w:pPr>
        <w:pStyle w:val="subsection"/>
        <w:rPr>
          <w:color w:val="000000"/>
        </w:rPr>
      </w:pPr>
      <w:r w:rsidRPr="00283424">
        <w:rPr>
          <w:color w:val="000000"/>
        </w:rPr>
        <w:tab/>
      </w:r>
      <w:r w:rsidRPr="00283424">
        <w:rPr>
          <w:color w:val="000000"/>
        </w:rPr>
        <w:tab/>
        <w:t>A participant must not, intentionally or recklessly, contravene the ASTC certificate cancellation provisions by affixing, or failing to affix, a cancellation stamp to a certificate or other document of title to a Division 4 financial product.</w:t>
      </w:r>
    </w:p>
    <w:p w14:paraId="110F887F" w14:textId="77777777" w:rsidR="00E93F58" w:rsidRPr="00283424" w:rsidRDefault="00E93F58" w:rsidP="00B50726">
      <w:pPr>
        <w:pStyle w:val="ActHead3"/>
        <w:pageBreakBefore/>
        <w:rPr>
          <w:color w:val="000000"/>
        </w:rPr>
      </w:pPr>
      <w:bookmarkStart w:id="2137" w:name="_Toc152055044"/>
      <w:bookmarkStart w:id="2138" w:name="_Toc158712860"/>
      <w:r w:rsidRPr="006F296E">
        <w:rPr>
          <w:rStyle w:val="CharDivNo"/>
        </w:rPr>
        <w:lastRenderedPageBreak/>
        <w:t>Division 6</w:t>
      </w:r>
      <w:r w:rsidRPr="00283424">
        <w:rPr>
          <w:color w:val="000000"/>
        </w:rPr>
        <w:t>—</w:t>
      </w:r>
      <w:r w:rsidRPr="006F296E">
        <w:rPr>
          <w:rStyle w:val="CharDivText"/>
        </w:rPr>
        <w:t>Civil liability</w:t>
      </w:r>
      <w:bookmarkEnd w:id="2137"/>
      <w:bookmarkEnd w:id="2138"/>
    </w:p>
    <w:p w14:paraId="1BF4203E" w14:textId="77777777" w:rsidR="00E93F58" w:rsidRPr="00283424" w:rsidRDefault="00E93F58" w:rsidP="00B50726">
      <w:pPr>
        <w:pStyle w:val="ActHead5"/>
      </w:pPr>
      <w:bookmarkStart w:id="2139" w:name="_Toc152055045"/>
      <w:bookmarkStart w:id="2140" w:name="_Toc158712861"/>
      <w:r w:rsidRPr="006F296E">
        <w:rPr>
          <w:rStyle w:val="CharSectno"/>
        </w:rPr>
        <w:t>7.11.43</w:t>
      </w:r>
      <w:r w:rsidRPr="00283424">
        <w:t xml:space="preserve">  Contravention by participant of the ASTC certificate cancellation provisions</w:t>
      </w:r>
      <w:bookmarkEnd w:id="2139"/>
      <w:bookmarkEnd w:id="2140"/>
    </w:p>
    <w:p w14:paraId="7F85B586" w14:textId="77777777" w:rsidR="00E93F58" w:rsidRPr="00283424" w:rsidRDefault="00E93F58" w:rsidP="00B50726">
      <w:pPr>
        <w:pStyle w:val="subsection"/>
      </w:pPr>
      <w:r w:rsidRPr="00283424">
        <w:rPr>
          <w:color w:val="000000"/>
        </w:rPr>
        <w:tab/>
        <w:t>(1)</w:t>
      </w:r>
      <w:r w:rsidRPr="00283424">
        <w:rPr>
          <w:color w:val="000000"/>
        </w:rPr>
        <w:tab/>
        <w:t>This regulation applies to a person who suffers loss or damage because of conduct of a participant that was engaged in a contravention of the ASTC certificate cancellation provisions.</w:t>
      </w:r>
    </w:p>
    <w:p w14:paraId="4791CF10" w14:textId="77777777" w:rsidR="00E93F58" w:rsidRPr="00283424" w:rsidRDefault="00E93F58" w:rsidP="00B50726">
      <w:pPr>
        <w:pStyle w:val="subsection"/>
        <w:rPr>
          <w:color w:val="000000"/>
        </w:rPr>
      </w:pPr>
      <w:r w:rsidRPr="00283424">
        <w:rPr>
          <w:color w:val="000000"/>
        </w:rPr>
        <w:tab/>
        <w:t>(2)</w:t>
      </w:r>
      <w:r w:rsidRPr="00283424">
        <w:rPr>
          <w:color w:val="000000"/>
        </w:rPr>
        <w:tab/>
        <w:t>The person may, unless the person was involved in the contravention, recover the amount of the loss or damage by action against the participant, whether or not the participant has been convicted of an offence in respect of the contravention.</w:t>
      </w:r>
    </w:p>
    <w:p w14:paraId="3FC17C8B" w14:textId="77777777" w:rsidR="00E93F58" w:rsidRPr="00283424" w:rsidRDefault="00E93F58" w:rsidP="00B50726">
      <w:pPr>
        <w:pStyle w:val="subsection"/>
      </w:pPr>
      <w:r w:rsidRPr="00283424">
        <w:tab/>
        <w:t>(3)</w:t>
      </w:r>
      <w:r w:rsidRPr="00283424">
        <w:tab/>
        <w:t>An action under subregulation (2) must be begun within 6 years after the day on which the cause of action arose.</w:t>
      </w:r>
    </w:p>
    <w:p w14:paraId="7CD3B144" w14:textId="77777777" w:rsidR="00E93F58" w:rsidRPr="00283424" w:rsidRDefault="00E93F58" w:rsidP="00B50726">
      <w:pPr>
        <w:pStyle w:val="subsection"/>
      </w:pPr>
      <w:r w:rsidRPr="00283424">
        <w:tab/>
        <w:t>(4)</w:t>
      </w:r>
      <w:r w:rsidRPr="00283424">
        <w:tab/>
        <w:t>This regulation does not affect a liability that a person has under any other law.</w:t>
      </w:r>
    </w:p>
    <w:p w14:paraId="60447690" w14:textId="77777777" w:rsidR="00E93F58" w:rsidRPr="00283424" w:rsidRDefault="00E93F58" w:rsidP="00B50726">
      <w:pPr>
        <w:pStyle w:val="subsection"/>
      </w:pPr>
      <w:r w:rsidRPr="00283424">
        <w:tab/>
        <w:t>(5)</w:t>
      </w:r>
      <w:r w:rsidRPr="00283424">
        <w:tab/>
        <w:t>For section 1310B of the Act, an action under subregulation (2) is taken to be a proceeding in respect of loss or damage arising out of a contravention of the Act.</w:t>
      </w:r>
    </w:p>
    <w:p w14:paraId="3D854BB4" w14:textId="77777777" w:rsidR="00E93F58" w:rsidRPr="00283424" w:rsidRDefault="00E93F58" w:rsidP="00B50726">
      <w:pPr>
        <w:pStyle w:val="ActHead2"/>
        <w:pageBreakBefore/>
      </w:pPr>
      <w:bookmarkStart w:id="2141" w:name="_Toc152055046"/>
      <w:bookmarkStart w:id="2142" w:name="_Toc158712862"/>
      <w:r w:rsidRPr="006F296E">
        <w:rPr>
          <w:rStyle w:val="CharPartNo"/>
        </w:rPr>
        <w:lastRenderedPageBreak/>
        <w:t>Part 7.12</w:t>
      </w:r>
      <w:r w:rsidRPr="00283424">
        <w:rPr>
          <w:color w:val="000000"/>
        </w:rPr>
        <w:t>—</w:t>
      </w:r>
      <w:r w:rsidRPr="006F296E">
        <w:rPr>
          <w:rStyle w:val="CharPartText"/>
        </w:rPr>
        <w:t>Miscellaneous</w:t>
      </w:r>
      <w:bookmarkEnd w:id="2141"/>
      <w:bookmarkEnd w:id="2142"/>
    </w:p>
    <w:p w14:paraId="3DB6069E" w14:textId="77777777" w:rsidR="00E93F58" w:rsidRPr="00283424" w:rsidRDefault="00E93F58" w:rsidP="00B50726">
      <w:pPr>
        <w:pStyle w:val="Header"/>
      </w:pPr>
      <w:r w:rsidRPr="006F296E">
        <w:rPr>
          <w:rStyle w:val="CharDivNo"/>
        </w:rPr>
        <w:t xml:space="preserve"> </w:t>
      </w:r>
      <w:r w:rsidRPr="006F296E">
        <w:rPr>
          <w:rStyle w:val="CharDivText"/>
        </w:rPr>
        <w:t xml:space="preserve"> </w:t>
      </w:r>
    </w:p>
    <w:p w14:paraId="0B28A728" w14:textId="77777777" w:rsidR="00E93F58" w:rsidRPr="00283424" w:rsidRDefault="00E93F58" w:rsidP="00B50726">
      <w:pPr>
        <w:pStyle w:val="ActHead5"/>
      </w:pPr>
      <w:bookmarkStart w:id="2143" w:name="_Toc152055047"/>
      <w:bookmarkStart w:id="2144" w:name="_Toc158712863"/>
      <w:r w:rsidRPr="006F296E">
        <w:rPr>
          <w:rStyle w:val="CharSectno"/>
        </w:rPr>
        <w:t>7.12.01</w:t>
      </w:r>
      <w:r w:rsidRPr="00283424">
        <w:t xml:space="preserve">  Destruction of records by ASIC</w:t>
      </w:r>
      <w:bookmarkEnd w:id="2143"/>
      <w:bookmarkEnd w:id="2144"/>
    </w:p>
    <w:p w14:paraId="31A14F25" w14:textId="77777777" w:rsidR="00E93F58" w:rsidRPr="00283424" w:rsidRDefault="00E93F58" w:rsidP="00B50726">
      <w:pPr>
        <w:pStyle w:val="subsection"/>
      </w:pPr>
      <w:r w:rsidRPr="00283424">
        <w:rPr>
          <w:color w:val="000000"/>
        </w:rPr>
        <w:tab/>
      </w:r>
      <w:r w:rsidRPr="00283424">
        <w:rPr>
          <w:color w:val="000000"/>
        </w:rPr>
        <w:tab/>
        <w:t>For paragraph 1101D(b) of the Act, the period of possession is 7 years.</w:t>
      </w:r>
    </w:p>
    <w:p w14:paraId="14661F54" w14:textId="77777777" w:rsidR="00E93F58" w:rsidRPr="00283424" w:rsidRDefault="00E93F58" w:rsidP="00B50726">
      <w:pPr>
        <w:pStyle w:val="ActHead1"/>
        <w:pageBreakBefore/>
      </w:pPr>
      <w:bookmarkStart w:id="2145" w:name="_Toc152055048"/>
      <w:bookmarkStart w:id="2146" w:name="_Toc158712864"/>
      <w:r w:rsidRPr="006F296E">
        <w:rPr>
          <w:rStyle w:val="CharChapNo"/>
        </w:rPr>
        <w:lastRenderedPageBreak/>
        <w:t>Chapter 8</w:t>
      </w:r>
      <w:r w:rsidRPr="00283424">
        <w:t>—</w:t>
      </w:r>
      <w:r w:rsidRPr="006F296E">
        <w:rPr>
          <w:rStyle w:val="CharChapText"/>
        </w:rPr>
        <w:t>Mutual recognition of securities offers</w:t>
      </w:r>
      <w:bookmarkEnd w:id="2145"/>
      <w:bookmarkEnd w:id="2146"/>
    </w:p>
    <w:p w14:paraId="2CCC87AC" w14:textId="77777777" w:rsidR="00E93F58" w:rsidRPr="00283424" w:rsidRDefault="00E93F58" w:rsidP="00B50726">
      <w:pPr>
        <w:pStyle w:val="ActHead2"/>
      </w:pPr>
      <w:bookmarkStart w:id="2147" w:name="_Toc152055049"/>
      <w:bookmarkStart w:id="2148" w:name="_Toc158712865"/>
      <w:r w:rsidRPr="006F296E">
        <w:rPr>
          <w:rStyle w:val="CharPartNo"/>
        </w:rPr>
        <w:t>Part 8.1</w:t>
      </w:r>
      <w:r w:rsidRPr="00283424">
        <w:t>—</w:t>
      </w:r>
      <w:r w:rsidRPr="006F296E">
        <w:rPr>
          <w:rStyle w:val="CharPartText"/>
        </w:rPr>
        <w:t>Preliminary</w:t>
      </w:r>
      <w:bookmarkEnd w:id="2147"/>
      <w:bookmarkEnd w:id="2148"/>
    </w:p>
    <w:p w14:paraId="3D7DA721" w14:textId="77777777" w:rsidR="00E93F58" w:rsidRPr="00283424" w:rsidRDefault="00E93F58" w:rsidP="00B50726">
      <w:pPr>
        <w:pStyle w:val="Header"/>
      </w:pPr>
      <w:r w:rsidRPr="006F296E">
        <w:rPr>
          <w:rStyle w:val="CharDivNo"/>
        </w:rPr>
        <w:t xml:space="preserve"> </w:t>
      </w:r>
      <w:r w:rsidRPr="006F296E">
        <w:rPr>
          <w:rStyle w:val="CharDivText"/>
        </w:rPr>
        <w:t xml:space="preserve"> </w:t>
      </w:r>
    </w:p>
    <w:p w14:paraId="18816812" w14:textId="77777777" w:rsidR="00E93F58" w:rsidRPr="00283424" w:rsidRDefault="00E93F58" w:rsidP="00B50726">
      <w:pPr>
        <w:pStyle w:val="ActHead5"/>
      </w:pPr>
      <w:bookmarkStart w:id="2149" w:name="_Toc152055050"/>
      <w:bookmarkStart w:id="2150" w:name="_Toc158712866"/>
      <w:r w:rsidRPr="006F296E">
        <w:rPr>
          <w:rStyle w:val="CharSectno"/>
        </w:rPr>
        <w:t>8.1.01</w:t>
      </w:r>
      <w:r w:rsidRPr="00283424">
        <w:t xml:space="preserve">  </w:t>
      </w:r>
      <w:r w:rsidRPr="00204441">
        <w:t xml:space="preserve">Meaning of </w:t>
      </w:r>
      <w:r w:rsidRPr="00204441">
        <w:rPr>
          <w:i/>
        </w:rPr>
        <w:t>foreign recognition scheme</w:t>
      </w:r>
      <w:bookmarkEnd w:id="2149"/>
      <w:bookmarkEnd w:id="2150"/>
    </w:p>
    <w:p w14:paraId="37822E2A" w14:textId="77777777" w:rsidR="00E93F58" w:rsidRPr="00283424" w:rsidRDefault="00E93F58" w:rsidP="00B50726">
      <w:pPr>
        <w:pStyle w:val="subsection"/>
      </w:pPr>
      <w:r w:rsidRPr="00283424">
        <w:tab/>
      </w:r>
      <w:r w:rsidRPr="00283424">
        <w:tab/>
        <w:t xml:space="preserve">For the definition of </w:t>
      </w:r>
      <w:r w:rsidRPr="00283424">
        <w:rPr>
          <w:b/>
          <w:i/>
        </w:rPr>
        <w:t>foreign recognition scheme</w:t>
      </w:r>
      <w:r w:rsidRPr="00283424">
        <w:t xml:space="preserve"> in subsection 1200A(1) of the Act, the provisions of Subpart 6 of Part 9 of the Financial Markets Conduct Act 2013 of New Zealand and the Financial Markets Conduct </w:t>
      </w:r>
      <w:r>
        <w:t>Regulations 2</w:t>
      </w:r>
      <w:r w:rsidRPr="00283424">
        <w:t>014 of New Zealand comprise a foreign recognition scheme.</w:t>
      </w:r>
    </w:p>
    <w:p w14:paraId="1831E0DE" w14:textId="77777777" w:rsidR="00E93F58" w:rsidRPr="00283424" w:rsidRDefault="00E93F58" w:rsidP="00B50726">
      <w:pPr>
        <w:pStyle w:val="ActHead5"/>
      </w:pPr>
      <w:bookmarkStart w:id="2151" w:name="_Toc152055051"/>
      <w:bookmarkStart w:id="2152" w:name="_Toc158712867"/>
      <w:r w:rsidRPr="006F296E">
        <w:rPr>
          <w:rStyle w:val="CharSectno"/>
        </w:rPr>
        <w:t>8.1.02</w:t>
      </w:r>
      <w:r w:rsidRPr="00283424">
        <w:t xml:space="preserve">  </w:t>
      </w:r>
      <w:r w:rsidRPr="00204441">
        <w:t xml:space="preserve">Meaning of </w:t>
      </w:r>
      <w:r w:rsidRPr="00204441">
        <w:rPr>
          <w:i/>
        </w:rPr>
        <w:t>offeror—</w:t>
      </w:r>
      <w:r w:rsidRPr="00204441">
        <w:t>prescribed offer and kind of person</w:t>
      </w:r>
      <w:bookmarkEnd w:id="2151"/>
      <w:bookmarkEnd w:id="2152"/>
    </w:p>
    <w:p w14:paraId="4C8C75CC" w14:textId="77777777" w:rsidR="00E93F58" w:rsidRPr="00283424" w:rsidRDefault="00E93F58" w:rsidP="00B50726">
      <w:pPr>
        <w:pStyle w:val="subsection"/>
      </w:pPr>
      <w:r w:rsidRPr="00283424">
        <w:tab/>
      </w:r>
      <w:r w:rsidRPr="00283424">
        <w:tab/>
      </w:r>
      <w:r w:rsidRPr="00BE1284">
        <w:t xml:space="preserve">For the purposes of </w:t>
      </w:r>
      <w:r>
        <w:t xml:space="preserve">subparagraph (c)(ii) of </w:t>
      </w:r>
      <w:r w:rsidRPr="00BE1284">
        <w:t xml:space="preserve">the definition of </w:t>
      </w:r>
      <w:r w:rsidRPr="00BE1284">
        <w:rPr>
          <w:b/>
          <w:i/>
        </w:rPr>
        <w:t>offer</w:t>
      </w:r>
      <w:r w:rsidRPr="00BE1284">
        <w:t xml:space="preserve"> in </w:t>
      </w:r>
      <w:r>
        <w:t>section 9</w:t>
      </w:r>
      <w:r w:rsidRPr="00283424">
        <w:t xml:space="preserve"> of the Act:</w:t>
      </w:r>
    </w:p>
    <w:p w14:paraId="438FE215" w14:textId="77777777" w:rsidR="00E93F58" w:rsidRPr="00283424" w:rsidRDefault="00E93F58" w:rsidP="00B50726">
      <w:pPr>
        <w:pStyle w:val="paragraph"/>
      </w:pPr>
      <w:r w:rsidRPr="00283424">
        <w:tab/>
        <w:t>(a)</w:t>
      </w:r>
      <w:r w:rsidRPr="00283424">
        <w:tab/>
        <w:t>an offer of an interest in a managed investment scheme governed by the laws of New Zealand is prescribed as a kind of offer; and</w:t>
      </w:r>
    </w:p>
    <w:p w14:paraId="01E12AB5" w14:textId="77777777" w:rsidR="00E93F58" w:rsidRPr="00283424" w:rsidRDefault="00E93F58" w:rsidP="00B50726">
      <w:pPr>
        <w:pStyle w:val="paragraph"/>
      </w:pPr>
      <w:r w:rsidRPr="00283424">
        <w:tab/>
        <w:t>(b)</w:t>
      </w:r>
      <w:r w:rsidRPr="00283424">
        <w:tab/>
        <w:t>for that offer, if the scheme is a managed investment scheme within the meaning of the Financial Markets Conduct Act 2013 of New Zealand—the offeror is the manager of the managed investment scheme as defined in that Act.</w:t>
      </w:r>
    </w:p>
    <w:p w14:paraId="36300486" w14:textId="77777777" w:rsidR="00E93F58" w:rsidRPr="00283424" w:rsidRDefault="00E93F58" w:rsidP="00B50726">
      <w:pPr>
        <w:pStyle w:val="ActHead5"/>
      </w:pPr>
      <w:bookmarkStart w:id="2153" w:name="_Toc152055052"/>
      <w:bookmarkStart w:id="2154" w:name="_Toc158712868"/>
      <w:r w:rsidRPr="006F296E">
        <w:rPr>
          <w:rStyle w:val="CharSectno"/>
        </w:rPr>
        <w:t>8.1.03</w:t>
      </w:r>
      <w:r w:rsidRPr="00283424">
        <w:t xml:space="preserve">  </w:t>
      </w:r>
      <w:r w:rsidRPr="00204441">
        <w:t xml:space="preserve">Meaning of </w:t>
      </w:r>
      <w:r w:rsidRPr="00204441">
        <w:rPr>
          <w:i/>
        </w:rPr>
        <w:t>recognised jurisdiction</w:t>
      </w:r>
      <w:bookmarkEnd w:id="2153"/>
      <w:bookmarkEnd w:id="2154"/>
    </w:p>
    <w:p w14:paraId="6B2A46F2" w14:textId="77777777" w:rsidR="00E93F58" w:rsidRPr="00283424" w:rsidRDefault="00E93F58" w:rsidP="00B50726">
      <w:pPr>
        <w:pStyle w:val="subsection"/>
        <w:keepNext/>
        <w:keepLines/>
      </w:pPr>
      <w:r w:rsidRPr="00283424">
        <w:tab/>
      </w:r>
      <w:r w:rsidRPr="00283424">
        <w:tab/>
        <w:t xml:space="preserve">For the definition of </w:t>
      </w:r>
      <w:r w:rsidRPr="00283424">
        <w:rPr>
          <w:b/>
          <w:i/>
        </w:rPr>
        <w:t>recognised jurisdiction</w:t>
      </w:r>
      <w:r w:rsidRPr="00283424">
        <w:t xml:space="preserve"> in subsection 1200A(1) of the Act, New Zealand is prescribed.</w:t>
      </w:r>
    </w:p>
    <w:p w14:paraId="4FF0A095" w14:textId="77777777" w:rsidR="00E93F58" w:rsidRPr="00283424" w:rsidRDefault="00E93F58" w:rsidP="00B50726">
      <w:pPr>
        <w:pStyle w:val="ActHead2"/>
        <w:pageBreakBefore/>
      </w:pPr>
      <w:bookmarkStart w:id="2155" w:name="_Toc152055053"/>
      <w:bookmarkStart w:id="2156" w:name="_Toc158712869"/>
      <w:r w:rsidRPr="006F296E">
        <w:rPr>
          <w:rStyle w:val="CharPartNo"/>
        </w:rPr>
        <w:lastRenderedPageBreak/>
        <w:t>Part 8.2</w:t>
      </w:r>
      <w:r w:rsidRPr="00283424">
        <w:t>—</w:t>
      </w:r>
      <w:r w:rsidRPr="006F296E">
        <w:rPr>
          <w:rStyle w:val="CharPartText"/>
        </w:rPr>
        <w:t>Foreign offers that are recognised in this jurisdiction</w:t>
      </w:r>
      <w:bookmarkEnd w:id="2155"/>
      <w:bookmarkEnd w:id="2156"/>
    </w:p>
    <w:p w14:paraId="5D4D58E8" w14:textId="77777777" w:rsidR="00E93F58" w:rsidRPr="00283424" w:rsidRDefault="00E93F58" w:rsidP="00B50726">
      <w:pPr>
        <w:pStyle w:val="ActHead3"/>
      </w:pPr>
      <w:bookmarkStart w:id="2157" w:name="_Toc152055054"/>
      <w:bookmarkStart w:id="2158" w:name="_Toc158712870"/>
      <w:r w:rsidRPr="006F296E">
        <w:rPr>
          <w:rStyle w:val="CharDivNo"/>
        </w:rPr>
        <w:t>Division 1</w:t>
      </w:r>
      <w:r w:rsidRPr="00283424">
        <w:t>—</w:t>
      </w:r>
      <w:r w:rsidRPr="006F296E">
        <w:rPr>
          <w:rStyle w:val="CharDivText"/>
        </w:rPr>
        <w:t>Recognised offers</w:t>
      </w:r>
      <w:bookmarkEnd w:id="2157"/>
      <w:bookmarkEnd w:id="2158"/>
    </w:p>
    <w:p w14:paraId="7B58A1E1" w14:textId="77777777" w:rsidR="00E93F58" w:rsidRPr="00283424" w:rsidRDefault="00E93F58" w:rsidP="00B50726">
      <w:pPr>
        <w:pStyle w:val="ActHead5"/>
        <w:rPr>
          <w:sz w:val="18"/>
        </w:rPr>
      </w:pPr>
      <w:bookmarkStart w:id="2159" w:name="_Toc152055055"/>
      <w:bookmarkStart w:id="2160" w:name="_Toc158712871"/>
      <w:r w:rsidRPr="006F296E">
        <w:rPr>
          <w:rStyle w:val="CharSectno"/>
        </w:rPr>
        <w:t>8.2.01</w:t>
      </w:r>
      <w:r w:rsidRPr="00283424">
        <w:t xml:space="preserve">  Prescribed offer (Act s 1200C(4))</w:t>
      </w:r>
      <w:bookmarkEnd w:id="2159"/>
      <w:bookmarkEnd w:id="2160"/>
    </w:p>
    <w:p w14:paraId="124740A2" w14:textId="77777777" w:rsidR="00E93F58" w:rsidRPr="00283424" w:rsidRDefault="00E93F58" w:rsidP="00B50726">
      <w:pPr>
        <w:pStyle w:val="subsection"/>
      </w:pPr>
      <w:r w:rsidRPr="00283424">
        <w:tab/>
      </w:r>
      <w:r w:rsidRPr="00283424">
        <w:tab/>
        <w:t>For subsection 1200C(4) of the Act an offer of a security is a prescribed offer in relation to New Zealand if a disclosure document (as defined in the Financial Markets Conduct Act 2013 of New Zealand) must be prepared in accordance with:</w:t>
      </w:r>
    </w:p>
    <w:p w14:paraId="52873F1F" w14:textId="77777777" w:rsidR="00E93F58" w:rsidRPr="00283424" w:rsidRDefault="00E93F58" w:rsidP="00B50726">
      <w:pPr>
        <w:pStyle w:val="paragraph"/>
      </w:pPr>
      <w:r w:rsidRPr="00283424">
        <w:tab/>
        <w:t>(a)</w:t>
      </w:r>
      <w:r w:rsidRPr="00283424">
        <w:tab/>
        <w:t>the Financial Markets Conduct Act 2013 of New Zealand; or</w:t>
      </w:r>
    </w:p>
    <w:p w14:paraId="298D71EA" w14:textId="77777777" w:rsidR="00E93F58" w:rsidRPr="00283424" w:rsidRDefault="00E93F58" w:rsidP="00B50726">
      <w:pPr>
        <w:pStyle w:val="paragraph"/>
      </w:pPr>
      <w:r w:rsidRPr="00283424">
        <w:tab/>
        <w:t>(b)</w:t>
      </w:r>
      <w:r w:rsidRPr="00283424">
        <w:tab/>
        <w:t xml:space="preserve">the Financial Markets Conduct </w:t>
      </w:r>
      <w:r>
        <w:t>Regulations 2</w:t>
      </w:r>
      <w:r w:rsidRPr="00283424">
        <w:t>014 of New Zealand</w:t>
      </w:r>
      <w:r w:rsidRPr="00283424">
        <w:rPr>
          <w:rStyle w:val="paragraphChar"/>
        </w:rPr>
        <w:t>.</w:t>
      </w:r>
    </w:p>
    <w:p w14:paraId="3257D5D5" w14:textId="77777777" w:rsidR="00E93F58" w:rsidRPr="00283424" w:rsidRDefault="00E93F58" w:rsidP="00B50726">
      <w:pPr>
        <w:pStyle w:val="notetext"/>
      </w:pPr>
      <w:r w:rsidRPr="00283424">
        <w:t>Note:</w:t>
      </w:r>
      <w:r w:rsidRPr="00283424">
        <w:tab/>
        <w:t xml:space="preserve">For the purpose of Chapter 8 of the Act and Chapter 8 of these regulations, a security does not include all of the financial products defined as securities in the Financial Markets Conduct Act 2013 of New Zealand—see the definition of </w:t>
      </w:r>
      <w:r w:rsidRPr="00283424">
        <w:rPr>
          <w:b/>
          <w:i/>
        </w:rPr>
        <w:t>securities</w:t>
      </w:r>
      <w:r w:rsidRPr="00283424">
        <w:t xml:space="preserve"> in </w:t>
      </w:r>
      <w:r>
        <w:t>subsection 92(7)</w:t>
      </w:r>
      <w:r w:rsidRPr="00283424">
        <w:t xml:space="preserve"> of the Act. For example, a security does not include an interest in a superannuation scheme or a life insurance policy.</w:t>
      </w:r>
    </w:p>
    <w:p w14:paraId="6EB30C37" w14:textId="77777777" w:rsidR="00E93F58" w:rsidRPr="00283424" w:rsidRDefault="00E93F58" w:rsidP="00B50726">
      <w:pPr>
        <w:pStyle w:val="ActHead5"/>
      </w:pPr>
      <w:bookmarkStart w:id="2161" w:name="_Toc152055056"/>
      <w:bookmarkStart w:id="2162" w:name="_Toc158712872"/>
      <w:r w:rsidRPr="006F296E">
        <w:rPr>
          <w:rStyle w:val="CharSectno"/>
        </w:rPr>
        <w:t>8.2.02</w:t>
      </w:r>
      <w:r w:rsidRPr="00283424">
        <w:t xml:space="preserve">  Prescribed warning statements (Act s 1200E)</w:t>
      </w:r>
      <w:bookmarkEnd w:id="2161"/>
      <w:bookmarkEnd w:id="2162"/>
    </w:p>
    <w:p w14:paraId="65E890E4" w14:textId="77777777" w:rsidR="00E93F58" w:rsidRPr="00283424" w:rsidRDefault="00E93F58" w:rsidP="00B50726">
      <w:pPr>
        <w:pStyle w:val="subsection"/>
      </w:pPr>
      <w:r w:rsidRPr="00283424">
        <w:tab/>
        <w:t>(1)</w:t>
      </w:r>
      <w:r w:rsidRPr="00283424">
        <w:tab/>
        <w:t>For paragraph 1200E(a) of the Act, the following statements are prescribed:</w:t>
      </w:r>
    </w:p>
    <w:p w14:paraId="260B5EDC" w14:textId="77777777" w:rsidR="00E93F58" w:rsidRPr="00283424" w:rsidRDefault="00E93F58" w:rsidP="00B50726">
      <w:pPr>
        <w:pStyle w:val="paragraph"/>
      </w:pPr>
      <w:r w:rsidRPr="00283424">
        <w:tab/>
        <w:t>(a)</w:t>
      </w:r>
      <w:r w:rsidRPr="00283424">
        <w:tab/>
        <w:t xml:space="preserve">this offer to Australian investors is a recognised offer made under Australian and New Zealand law. In Australia, this is Chapter 8 of the </w:t>
      </w:r>
      <w:r w:rsidRPr="00283424">
        <w:rPr>
          <w:i/>
        </w:rPr>
        <w:t>Corporations Act 2001</w:t>
      </w:r>
      <w:r w:rsidRPr="00283424">
        <w:t xml:space="preserve"> and Regulations. In New Zealand, this is Subpart 6 of Part 9 of the Financial Markets Conduct Act 2013 of New Zealand and the Financial Markets Conduct </w:t>
      </w:r>
      <w:r>
        <w:t>Regulations 2</w:t>
      </w:r>
      <w:r w:rsidRPr="00283424">
        <w:t>014 of New Zealand;</w:t>
      </w:r>
    </w:p>
    <w:p w14:paraId="1D42E435" w14:textId="77777777" w:rsidR="00E93F58" w:rsidRPr="00283424" w:rsidRDefault="00E93F58" w:rsidP="00B50726">
      <w:pPr>
        <w:pStyle w:val="paragraph"/>
      </w:pPr>
      <w:r w:rsidRPr="00283424">
        <w:tab/>
        <w:t>(b)</w:t>
      </w:r>
      <w:r w:rsidRPr="00283424">
        <w:tab/>
        <w:t xml:space="preserve">this offer and the content of the offer document are principally governed by New Zealand, rather than Australian, law. In the main, the Financial Markets Conduct Act 2013 of New Zealand and the Financial Markets Conduct </w:t>
      </w:r>
      <w:r>
        <w:t>Regulations 2</w:t>
      </w:r>
      <w:r w:rsidRPr="00283424">
        <w:t>014 of New Zealand set out how the offer must be made;</w:t>
      </w:r>
    </w:p>
    <w:p w14:paraId="2A398744" w14:textId="77777777" w:rsidR="00E93F58" w:rsidRPr="00283424" w:rsidRDefault="00E93F58" w:rsidP="00B50726">
      <w:pPr>
        <w:pStyle w:val="paragraph"/>
      </w:pPr>
      <w:r w:rsidRPr="00283424">
        <w:tab/>
        <w:t>(c)</w:t>
      </w:r>
      <w:r w:rsidRPr="00283424">
        <w:tab/>
        <w:t>there are differences in how securities and financial products are regulated under New Zealand, as opposed to Australian, law. For example, the disclosure of fees for managed investment schemes is different under New Zealand law;</w:t>
      </w:r>
    </w:p>
    <w:p w14:paraId="7C071683" w14:textId="77777777" w:rsidR="00E93F58" w:rsidRPr="00283424" w:rsidRDefault="00E93F58" w:rsidP="00B50726">
      <w:pPr>
        <w:pStyle w:val="paragraph"/>
      </w:pPr>
      <w:r w:rsidRPr="00283424">
        <w:tab/>
        <w:t>(d)</w:t>
      </w:r>
      <w:r w:rsidRPr="00283424">
        <w:tab/>
        <w:t xml:space="preserve">the rights, remedies and </w:t>
      </w:r>
      <w:r w:rsidRPr="00BE1284">
        <w:t>arrangements for compensation</w:t>
      </w:r>
      <w:r w:rsidRPr="00283424">
        <w:t xml:space="preserve"> available to Australian investors in New Zealand securities and financial products may differ from the rights, remedies and </w:t>
      </w:r>
      <w:r w:rsidRPr="00BE1284">
        <w:t>arrangements for compensation</w:t>
      </w:r>
      <w:r w:rsidRPr="00283424">
        <w:t xml:space="preserve"> for Australian securities and financial products;</w:t>
      </w:r>
    </w:p>
    <w:p w14:paraId="36F7A57D" w14:textId="77777777" w:rsidR="00E93F58" w:rsidRPr="00283424" w:rsidRDefault="00E93F58" w:rsidP="00B50726">
      <w:pPr>
        <w:pStyle w:val="paragraph"/>
      </w:pPr>
      <w:r w:rsidRPr="00283424">
        <w:tab/>
        <w:t>(e)</w:t>
      </w:r>
      <w:r w:rsidRPr="00283424">
        <w:tab/>
        <w:t>both the Australian and New Zealand securities regulators have enforcement responsibilities in relation to this offer. If you need to make a complaint about this offer, please contact the Australian Securities and Investments Commission (ASIC). The Australian and New Zealand regulators will work together to settle your complaint;</w:t>
      </w:r>
    </w:p>
    <w:p w14:paraId="559476AA" w14:textId="77777777" w:rsidR="00E93F58" w:rsidRPr="00283424" w:rsidRDefault="00E93F58" w:rsidP="00B50726">
      <w:pPr>
        <w:pStyle w:val="paragraph"/>
      </w:pPr>
      <w:r w:rsidRPr="00283424">
        <w:tab/>
        <w:t>(f)</w:t>
      </w:r>
      <w:r w:rsidRPr="00283424">
        <w:tab/>
        <w:t>the taxation treatment of New Zealand securities and financial products is not the same as that for Australian securities and products;</w:t>
      </w:r>
    </w:p>
    <w:p w14:paraId="3B9931D2" w14:textId="77777777" w:rsidR="00E93F58" w:rsidRPr="00283424" w:rsidRDefault="00E93F58" w:rsidP="00B50726">
      <w:pPr>
        <w:pStyle w:val="paragraph"/>
      </w:pPr>
      <w:r w:rsidRPr="00283424">
        <w:tab/>
        <w:t>(g)</w:t>
      </w:r>
      <w:r w:rsidRPr="00283424">
        <w:tab/>
        <w:t>if you are uncertain about whether this investment is appropriate for you, you should seek the advice of an appropriately qualified financial advisor.</w:t>
      </w:r>
    </w:p>
    <w:p w14:paraId="7F192BDD" w14:textId="77777777" w:rsidR="00E93F58" w:rsidRPr="00283424" w:rsidRDefault="00E93F58" w:rsidP="00B50726">
      <w:pPr>
        <w:pStyle w:val="subsection"/>
      </w:pPr>
      <w:r w:rsidRPr="00283424">
        <w:tab/>
        <w:t>(2)</w:t>
      </w:r>
      <w:r w:rsidRPr="00283424">
        <w:tab/>
        <w:t>For paragraph 1200E(a) of the Act, the following additional warning statements are prescribed for offers involving the payment of proceeds, from securities or financial products, that are not Australian dollars:</w:t>
      </w:r>
    </w:p>
    <w:p w14:paraId="03B4B0AE" w14:textId="77777777" w:rsidR="00E93F58" w:rsidRPr="00283424" w:rsidRDefault="00E93F58" w:rsidP="00B50726">
      <w:pPr>
        <w:pStyle w:val="paragraph"/>
      </w:pPr>
      <w:r w:rsidRPr="00283424">
        <w:tab/>
        <w:t>(a)</w:t>
      </w:r>
      <w:r w:rsidRPr="00283424">
        <w:tab/>
        <w:t>The offer may involve a currency exchange risk. The currency for the security or financial product is in dollars that are not Australian dollars. The value of the security or financial product will go up and down according to changes in the exchange rate between those dollars and Australian dollars. These changes may be significant;</w:t>
      </w:r>
    </w:p>
    <w:p w14:paraId="45EAAC32" w14:textId="77777777" w:rsidR="00E93F58" w:rsidRPr="00283424" w:rsidRDefault="00E93F58" w:rsidP="00B50726">
      <w:pPr>
        <w:pStyle w:val="paragraph"/>
      </w:pPr>
      <w:r w:rsidRPr="00283424">
        <w:tab/>
        <w:t>(b)</w:t>
      </w:r>
      <w:r w:rsidRPr="00283424">
        <w:tab/>
        <w:t>If you receive any payments in relation to the security or financial product that are not in Australian dollars, you may incur significant fees in having the funds credited to a bank account in Australia in Australian dollars.</w:t>
      </w:r>
    </w:p>
    <w:p w14:paraId="56DCE1B7" w14:textId="77777777" w:rsidR="00E93F58" w:rsidRPr="00283424" w:rsidRDefault="00E93F58" w:rsidP="00B50726">
      <w:pPr>
        <w:pStyle w:val="subsection"/>
      </w:pPr>
      <w:r w:rsidRPr="00283424">
        <w:tab/>
        <w:t>(3)</w:t>
      </w:r>
      <w:r w:rsidRPr="00283424">
        <w:tab/>
        <w:t>For paragraph 1200E(a) of the Act, the following additional warning statement is prescribed for offers involving securities and financial products, able to be traded on a financial market:</w:t>
      </w:r>
    </w:p>
    <w:p w14:paraId="72CC045E" w14:textId="77777777" w:rsidR="00E93F58" w:rsidRPr="00283424" w:rsidRDefault="00E93F58" w:rsidP="00B50726">
      <w:pPr>
        <w:pStyle w:val="subsection2"/>
      </w:pPr>
      <w:r w:rsidRPr="00283424">
        <w:t xml:space="preserve">If the security or financial product is able to be traded on a financial market and you wish to trade the security or financial product through that market, you will have to make arrangements for a participant in that market to sell the security or financial product on your behalf. If the financial market is a foreign market that is not licensed in Australia (such as a securities market operated by the New Zealand Exchange Limited (NZX)) the way in which the market operates, the regulation of participants in that market and the </w:t>
      </w:r>
      <w:r w:rsidRPr="00283424">
        <w:lastRenderedPageBreak/>
        <w:t>information available to you about the security or financial product and trading may differ from Australian licensed markets.</w:t>
      </w:r>
    </w:p>
    <w:p w14:paraId="17D070A7" w14:textId="77777777" w:rsidR="00E93F58" w:rsidRPr="00283424" w:rsidRDefault="00E93F58" w:rsidP="00B50726">
      <w:pPr>
        <w:pStyle w:val="ActHead5"/>
      </w:pPr>
      <w:bookmarkStart w:id="2163" w:name="_Toc152055057"/>
      <w:bookmarkStart w:id="2164" w:name="_Toc158712873"/>
      <w:r w:rsidRPr="006F296E">
        <w:rPr>
          <w:rStyle w:val="CharSectno"/>
        </w:rPr>
        <w:t>8.2.03</w:t>
      </w:r>
      <w:r w:rsidRPr="00283424">
        <w:t xml:space="preserve">  Prescribed details to be given in warning statements (Act s 1200E(b))</w:t>
      </w:r>
      <w:bookmarkEnd w:id="2163"/>
      <w:bookmarkEnd w:id="2164"/>
    </w:p>
    <w:p w14:paraId="327E7CBA" w14:textId="77777777" w:rsidR="00E93F58" w:rsidRPr="00283424" w:rsidRDefault="00E93F58" w:rsidP="00B50726">
      <w:pPr>
        <w:pStyle w:val="subsection"/>
      </w:pPr>
      <w:r w:rsidRPr="00283424">
        <w:tab/>
      </w:r>
      <w:r w:rsidRPr="00283424">
        <w:tab/>
        <w:t>For paragraph 1200E(b) of the Act, if a matter is referred to in an item of the Table, the details in the item are prescribed for the matter.</w:t>
      </w:r>
    </w:p>
    <w:p w14:paraId="3983BF0B"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39"/>
        <w:gridCol w:w="4464"/>
        <w:gridCol w:w="5070"/>
      </w:tblGrid>
      <w:tr w:rsidR="00E93F58" w:rsidRPr="00283424" w14:paraId="1F8E3622" w14:textId="77777777" w:rsidTr="00EA0AFF">
        <w:tc>
          <w:tcPr>
            <w:tcW w:w="575" w:type="pct"/>
            <w:tcBorders>
              <w:top w:val="single" w:sz="12" w:space="0" w:color="auto"/>
              <w:bottom w:val="single" w:sz="12" w:space="0" w:color="auto"/>
            </w:tcBorders>
            <w:shd w:val="clear" w:color="auto" w:fill="auto"/>
          </w:tcPr>
          <w:p w14:paraId="0E44C9D0" w14:textId="77777777" w:rsidR="00E93F58" w:rsidRPr="00283424" w:rsidRDefault="00E93F58" w:rsidP="00EA0AFF">
            <w:pPr>
              <w:pStyle w:val="TableHeading"/>
            </w:pPr>
            <w:r w:rsidRPr="00283424">
              <w:t>Item</w:t>
            </w:r>
          </w:p>
        </w:tc>
        <w:tc>
          <w:tcPr>
            <w:tcW w:w="2072" w:type="pct"/>
            <w:tcBorders>
              <w:top w:val="single" w:sz="12" w:space="0" w:color="auto"/>
              <w:bottom w:val="single" w:sz="12" w:space="0" w:color="auto"/>
            </w:tcBorders>
            <w:shd w:val="clear" w:color="auto" w:fill="auto"/>
          </w:tcPr>
          <w:p w14:paraId="7FFEE89B" w14:textId="77777777" w:rsidR="00E93F58" w:rsidRPr="00283424" w:rsidRDefault="00E93F58" w:rsidP="00EA0AFF">
            <w:pPr>
              <w:pStyle w:val="TableHeading"/>
            </w:pPr>
            <w:r w:rsidRPr="00283424">
              <w:t>Matter</w:t>
            </w:r>
          </w:p>
        </w:tc>
        <w:tc>
          <w:tcPr>
            <w:tcW w:w="2353" w:type="pct"/>
            <w:tcBorders>
              <w:top w:val="single" w:sz="12" w:space="0" w:color="auto"/>
              <w:bottom w:val="single" w:sz="12" w:space="0" w:color="auto"/>
            </w:tcBorders>
            <w:shd w:val="clear" w:color="auto" w:fill="auto"/>
          </w:tcPr>
          <w:p w14:paraId="712E7D6A" w14:textId="77777777" w:rsidR="00E93F58" w:rsidRPr="00283424" w:rsidRDefault="00E93F58" w:rsidP="00EA0AFF">
            <w:pPr>
              <w:pStyle w:val="TableHeading"/>
            </w:pPr>
            <w:r w:rsidRPr="00283424">
              <w:t>Details to be provided</w:t>
            </w:r>
          </w:p>
        </w:tc>
      </w:tr>
      <w:tr w:rsidR="00E93F58" w:rsidRPr="00283424" w14:paraId="14105E38" w14:textId="77777777" w:rsidTr="00EA0AFF">
        <w:tc>
          <w:tcPr>
            <w:tcW w:w="575" w:type="pct"/>
            <w:tcBorders>
              <w:top w:val="single" w:sz="12" w:space="0" w:color="auto"/>
            </w:tcBorders>
            <w:shd w:val="clear" w:color="auto" w:fill="auto"/>
          </w:tcPr>
          <w:p w14:paraId="2DBF7C1C" w14:textId="77777777" w:rsidR="00E93F58" w:rsidRPr="00283424" w:rsidRDefault="00E93F58" w:rsidP="00EA0AFF">
            <w:pPr>
              <w:pStyle w:val="Tabletext"/>
            </w:pPr>
            <w:r w:rsidRPr="00283424">
              <w:t>1</w:t>
            </w:r>
          </w:p>
        </w:tc>
        <w:tc>
          <w:tcPr>
            <w:tcW w:w="2072" w:type="pct"/>
            <w:tcBorders>
              <w:top w:val="single" w:sz="12" w:space="0" w:color="auto"/>
            </w:tcBorders>
            <w:shd w:val="clear" w:color="auto" w:fill="auto"/>
          </w:tcPr>
          <w:p w14:paraId="26091C22" w14:textId="77777777" w:rsidR="00E93F58" w:rsidRPr="00283424" w:rsidRDefault="00E93F58" w:rsidP="00EA0AFF">
            <w:pPr>
              <w:pStyle w:val="Tabletext"/>
            </w:pPr>
            <w:r w:rsidRPr="00283424">
              <w:t>An offer to invest in a managed investment scheme is subject to an obligation to provide for a dispute resolution process</w:t>
            </w:r>
          </w:p>
        </w:tc>
        <w:tc>
          <w:tcPr>
            <w:tcW w:w="2353" w:type="pct"/>
            <w:tcBorders>
              <w:top w:val="single" w:sz="12" w:space="0" w:color="auto"/>
            </w:tcBorders>
            <w:shd w:val="clear" w:color="auto" w:fill="auto"/>
          </w:tcPr>
          <w:p w14:paraId="468915A6" w14:textId="77777777" w:rsidR="00E93F58" w:rsidRPr="00283424" w:rsidRDefault="00E93F58" w:rsidP="00EA0AFF">
            <w:pPr>
              <w:pStyle w:val="Tabletext"/>
            </w:pPr>
            <w:r w:rsidRPr="00283424">
              <w:t>Details of the dispute resolution process available in relation to that offer</w:t>
            </w:r>
          </w:p>
        </w:tc>
      </w:tr>
      <w:tr w:rsidR="00E93F58" w:rsidRPr="00283424" w14:paraId="153D1909" w14:textId="77777777" w:rsidTr="00EA0AFF">
        <w:tc>
          <w:tcPr>
            <w:tcW w:w="575" w:type="pct"/>
            <w:tcBorders>
              <w:bottom w:val="single" w:sz="4" w:space="0" w:color="auto"/>
            </w:tcBorders>
            <w:shd w:val="clear" w:color="auto" w:fill="auto"/>
          </w:tcPr>
          <w:p w14:paraId="52FB46CF" w14:textId="77777777" w:rsidR="00E93F58" w:rsidRPr="00283424" w:rsidRDefault="00E93F58" w:rsidP="00EA0AFF">
            <w:pPr>
              <w:pStyle w:val="Tabletext"/>
            </w:pPr>
            <w:r w:rsidRPr="00283424">
              <w:t>2</w:t>
            </w:r>
          </w:p>
        </w:tc>
        <w:tc>
          <w:tcPr>
            <w:tcW w:w="2072" w:type="pct"/>
            <w:tcBorders>
              <w:bottom w:val="single" w:sz="4" w:space="0" w:color="auto"/>
            </w:tcBorders>
            <w:shd w:val="clear" w:color="auto" w:fill="auto"/>
          </w:tcPr>
          <w:p w14:paraId="0CD86372" w14:textId="77777777" w:rsidR="00E93F58" w:rsidRPr="00283424" w:rsidRDefault="00E93F58" w:rsidP="00EA0AFF">
            <w:pPr>
              <w:pStyle w:val="Tabletext"/>
            </w:pPr>
            <w:r w:rsidRPr="00283424">
              <w:t>An offer is subject to continuous disclosure obligations</w:t>
            </w:r>
          </w:p>
        </w:tc>
        <w:tc>
          <w:tcPr>
            <w:tcW w:w="2353" w:type="pct"/>
            <w:tcBorders>
              <w:bottom w:val="single" w:sz="4" w:space="0" w:color="auto"/>
            </w:tcBorders>
            <w:shd w:val="clear" w:color="auto" w:fill="auto"/>
          </w:tcPr>
          <w:p w14:paraId="646BC3A2" w14:textId="77777777" w:rsidR="00E93F58" w:rsidRPr="00283424" w:rsidRDefault="00E93F58" w:rsidP="00EA0AFF">
            <w:pPr>
              <w:pStyle w:val="Tabletext"/>
            </w:pPr>
            <w:r w:rsidRPr="00283424">
              <w:t>Details of the availability of the continuous disclosure notices that relate to that offer</w:t>
            </w:r>
          </w:p>
        </w:tc>
      </w:tr>
      <w:tr w:rsidR="00E93F58" w:rsidRPr="00283424" w14:paraId="6AF91C7A" w14:textId="77777777" w:rsidTr="00EA0AFF">
        <w:tc>
          <w:tcPr>
            <w:tcW w:w="575" w:type="pct"/>
            <w:tcBorders>
              <w:bottom w:val="single" w:sz="12" w:space="0" w:color="auto"/>
            </w:tcBorders>
            <w:shd w:val="clear" w:color="auto" w:fill="auto"/>
          </w:tcPr>
          <w:p w14:paraId="63F6396C" w14:textId="77777777" w:rsidR="00E93F58" w:rsidRPr="00283424" w:rsidRDefault="00E93F58" w:rsidP="00EA0AFF">
            <w:pPr>
              <w:pStyle w:val="Tabletext"/>
            </w:pPr>
            <w:r w:rsidRPr="00283424">
              <w:t>3</w:t>
            </w:r>
          </w:p>
        </w:tc>
        <w:tc>
          <w:tcPr>
            <w:tcW w:w="2072" w:type="pct"/>
            <w:tcBorders>
              <w:bottom w:val="single" w:sz="12" w:space="0" w:color="auto"/>
            </w:tcBorders>
            <w:shd w:val="clear" w:color="auto" w:fill="auto"/>
          </w:tcPr>
          <w:p w14:paraId="7805C530" w14:textId="77777777" w:rsidR="00E93F58" w:rsidRPr="00283424" w:rsidRDefault="00E93F58" w:rsidP="00EA0AFF">
            <w:pPr>
              <w:pStyle w:val="Tabletext"/>
            </w:pPr>
            <w:r w:rsidRPr="00283424">
              <w:t>An offer of a product that is currently listed or is to be listed on a financial market</w:t>
            </w:r>
          </w:p>
        </w:tc>
        <w:tc>
          <w:tcPr>
            <w:tcW w:w="2353" w:type="pct"/>
            <w:tcBorders>
              <w:bottom w:val="single" w:sz="12" w:space="0" w:color="auto"/>
            </w:tcBorders>
            <w:shd w:val="clear" w:color="auto" w:fill="auto"/>
          </w:tcPr>
          <w:p w14:paraId="106AC44B" w14:textId="77777777" w:rsidR="00E93F58" w:rsidRPr="00283424" w:rsidRDefault="00E93F58" w:rsidP="00EA0AFF">
            <w:pPr>
              <w:pStyle w:val="Tabletext"/>
            </w:pPr>
            <w:r w:rsidRPr="00283424">
              <w:t>Details of the financial market on which the product is listed, or on which it is proposed to be listed</w:t>
            </w:r>
          </w:p>
        </w:tc>
      </w:tr>
    </w:tbl>
    <w:p w14:paraId="71C66D1A" w14:textId="77777777" w:rsidR="00E93F58" w:rsidRPr="00283424" w:rsidRDefault="00E93F58" w:rsidP="00B50726">
      <w:pPr>
        <w:pStyle w:val="ActHead5"/>
      </w:pPr>
      <w:bookmarkStart w:id="2165" w:name="_Toc152055058"/>
      <w:bookmarkStart w:id="2166" w:name="_Toc158712874"/>
      <w:r w:rsidRPr="006F296E">
        <w:rPr>
          <w:rStyle w:val="CharSectno"/>
        </w:rPr>
        <w:t>8.2.04</w:t>
      </w:r>
      <w:r w:rsidRPr="00283424">
        <w:t xml:space="preserve">  Prescribed home regulators (Act s 1200G(13) and (14))</w:t>
      </w:r>
      <w:bookmarkEnd w:id="2165"/>
      <w:bookmarkEnd w:id="2166"/>
    </w:p>
    <w:p w14:paraId="64547727" w14:textId="77777777" w:rsidR="00E93F58" w:rsidRPr="00283424" w:rsidRDefault="00E93F58" w:rsidP="00B50726">
      <w:pPr>
        <w:pStyle w:val="subsection"/>
      </w:pPr>
      <w:r w:rsidRPr="00283424">
        <w:tab/>
      </w:r>
      <w:r w:rsidRPr="00283424">
        <w:tab/>
        <w:t>For subsections 1200G(13) and (14) of the Act:</w:t>
      </w:r>
    </w:p>
    <w:p w14:paraId="176C04FD" w14:textId="77777777" w:rsidR="00E93F58" w:rsidRPr="00283424" w:rsidRDefault="00E93F58" w:rsidP="00B50726">
      <w:pPr>
        <w:pStyle w:val="paragraph"/>
      </w:pPr>
      <w:r w:rsidRPr="00283424">
        <w:tab/>
        <w:t>(a)</w:t>
      </w:r>
      <w:r w:rsidRPr="00283424">
        <w:tab/>
        <w:t>an authority referred to in an item of the Table is prescribed as a home regulator for New Zealand; and</w:t>
      </w:r>
    </w:p>
    <w:p w14:paraId="26080E04" w14:textId="77777777" w:rsidR="00E93F58" w:rsidRPr="00283424" w:rsidRDefault="00E93F58" w:rsidP="00B50726">
      <w:pPr>
        <w:pStyle w:val="paragraph"/>
      </w:pPr>
      <w:r w:rsidRPr="00283424">
        <w:tab/>
        <w:t>(b)</w:t>
      </w:r>
      <w:r w:rsidRPr="00283424">
        <w:tab/>
        <w:t>each matter listed in the item in relation to the authority is prescribed as a matter in relation to which the authority is to be regarded as the home regulator.</w:t>
      </w:r>
    </w:p>
    <w:p w14:paraId="1E0E7A75" w14:textId="77777777" w:rsidR="00E93F58" w:rsidRPr="00283424" w:rsidRDefault="00E93F58" w:rsidP="00B5072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67"/>
        <w:gridCol w:w="4436"/>
        <w:gridCol w:w="5070"/>
      </w:tblGrid>
      <w:tr w:rsidR="00E93F58" w:rsidRPr="00283424" w14:paraId="39E8FEDE" w14:textId="77777777" w:rsidTr="00EA0AFF">
        <w:tc>
          <w:tcPr>
            <w:tcW w:w="588" w:type="pct"/>
            <w:tcBorders>
              <w:top w:val="single" w:sz="12" w:space="0" w:color="auto"/>
              <w:bottom w:val="single" w:sz="12" w:space="0" w:color="auto"/>
            </w:tcBorders>
            <w:shd w:val="clear" w:color="auto" w:fill="auto"/>
          </w:tcPr>
          <w:p w14:paraId="2C7CAD87" w14:textId="77777777" w:rsidR="00E93F58" w:rsidRPr="00283424" w:rsidRDefault="00E93F58" w:rsidP="00EA0AFF">
            <w:pPr>
              <w:pStyle w:val="TableHeading"/>
            </w:pPr>
            <w:r w:rsidRPr="00283424">
              <w:t>Item</w:t>
            </w:r>
          </w:p>
        </w:tc>
        <w:tc>
          <w:tcPr>
            <w:tcW w:w="2059" w:type="pct"/>
            <w:tcBorders>
              <w:top w:val="single" w:sz="12" w:space="0" w:color="auto"/>
              <w:bottom w:val="single" w:sz="12" w:space="0" w:color="auto"/>
            </w:tcBorders>
            <w:shd w:val="clear" w:color="auto" w:fill="auto"/>
          </w:tcPr>
          <w:p w14:paraId="4619D169" w14:textId="77777777" w:rsidR="00E93F58" w:rsidRPr="00283424" w:rsidRDefault="00E93F58" w:rsidP="00EA0AFF">
            <w:pPr>
              <w:pStyle w:val="TableHeading"/>
            </w:pPr>
            <w:r w:rsidRPr="00283424">
              <w:t>Authority</w:t>
            </w:r>
          </w:p>
        </w:tc>
        <w:tc>
          <w:tcPr>
            <w:tcW w:w="2353" w:type="pct"/>
            <w:tcBorders>
              <w:top w:val="single" w:sz="12" w:space="0" w:color="auto"/>
              <w:bottom w:val="single" w:sz="12" w:space="0" w:color="auto"/>
            </w:tcBorders>
            <w:shd w:val="clear" w:color="auto" w:fill="auto"/>
          </w:tcPr>
          <w:p w14:paraId="678379EA" w14:textId="77777777" w:rsidR="00E93F58" w:rsidRPr="00283424" w:rsidRDefault="00E93F58" w:rsidP="00EA0AFF">
            <w:pPr>
              <w:pStyle w:val="TableHeading"/>
            </w:pPr>
            <w:r w:rsidRPr="00283424">
              <w:t>Matter(s) in relation to which the authority is to be regarded as the home regulator</w:t>
            </w:r>
          </w:p>
        </w:tc>
      </w:tr>
      <w:tr w:rsidR="00E93F58" w:rsidRPr="00283424" w14:paraId="4CBCF462" w14:textId="77777777" w:rsidTr="00EA0AFF">
        <w:tc>
          <w:tcPr>
            <w:tcW w:w="588" w:type="pct"/>
            <w:tcBorders>
              <w:top w:val="single" w:sz="12" w:space="0" w:color="auto"/>
              <w:bottom w:val="single" w:sz="4" w:space="0" w:color="auto"/>
            </w:tcBorders>
            <w:shd w:val="clear" w:color="auto" w:fill="auto"/>
          </w:tcPr>
          <w:p w14:paraId="3A8663F7" w14:textId="77777777" w:rsidR="00E93F58" w:rsidRPr="00283424" w:rsidRDefault="00E93F58" w:rsidP="00EA0AFF">
            <w:pPr>
              <w:pStyle w:val="Tabletext"/>
            </w:pPr>
            <w:r w:rsidRPr="00283424">
              <w:t>1</w:t>
            </w:r>
          </w:p>
        </w:tc>
        <w:tc>
          <w:tcPr>
            <w:tcW w:w="2059" w:type="pct"/>
            <w:tcBorders>
              <w:top w:val="single" w:sz="12" w:space="0" w:color="auto"/>
              <w:bottom w:val="single" w:sz="4" w:space="0" w:color="auto"/>
            </w:tcBorders>
            <w:shd w:val="clear" w:color="auto" w:fill="auto"/>
          </w:tcPr>
          <w:p w14:paraId="50B5C1FD" w14:textId="77777777" w:rsidR="00E93F58" w:rsidRPr="00283424" w:rsidRDefault="00E93F58" w:rsidP="00EA0AFF">
            <w:pPr>
              <w:pStyle w:val="Tabletext"/>
            </w:pPr>
            <w:r w:rsidRPr="00283424">
              <w:t>Registrar of Financial Service Providers of New Zealand</w:t>
            </w:r>
          </w:p>
        </w:tc>
        <w:tc>
          <w:tcPr>
            <w:tcW w:w="2353" w:type="pct"/>
            <w:tcBorders>
              <w:top w:val="single" w:sz="12" w:space="0" w:color="auto"/>
              <w:bottom w:val="single" w:sz="4" w:space="0" w:color="auto"/>
            </w:tcBorders>
            <w:shd w:val="clear" w:color="auto" w:fill="auto"/>
          </w:tcPr>
          <w:p w14:paraId="67DFD6C8" w14:textId="77777777" w:rsidR="00E93F58" w:rsidRPr="00283424" w:rsidRDefault="00E93F58" w:rsidP="00EA0AFF">
            <w:pPr>
              <w:pStyle w:val="Tabletext"/>
            </w:pPr>
            <w:r w:rsidRPr="00283424">
              <w:t>Each matter mentioned in:</w:t>
            </w:r>
          </w:p>
          <w:p w14:paraId="113FA8A0" w14:textId="77777777" w:rsidR="00E93F58" w:rsidRPr="00283424" w:rsidRDefault="00E93F58" w:rsidP="00EA0AFF">
            <w:pPr>
              <w:pStyle w:val="Tablea"/>
            </w:pPr>
            <w:r w:rsidRPr="00283424">
              <w:t>(a) items 1 to 4 of the Table at subsection 1200G(9) of the Act; or</w:t>
            </w:r>
          </w:p>
          <w:p w14:paraId="5234C02A" w14:textId="77777777" w:rsidR="00E93F58" w:rsidRPr="00283424" w:rsidRDefault="00E93F58" w:rsidP="00EA0AFF">
            <w:pPr>
              <w:pStyle w:val="Tablea"/>
            </w:pPr>
            <w:r w:rsidRPr="00283424">
              <w:t>(b) item 4 of the Table at subsection 1200N(1) of the Act</w:t>
            </w:r>
          </w:p>
        </w:tc>
      </w:tr>
      <w:tr w:rsidR="00E93F58" w:rsidRPr="00283424" w14:paraId="16840663" w14:textId="77777777" w:rsidTr="00EA0AFF">
        <w:tc>
          <w:tcPr>
            <w:tcW w:w="588" w:type="pct"/>
            <w:tcBorders>
              <w:bottom w:val="single" w:sz="12" w:space="0" w:color="auto"/>
            </w:tcBorders>
            <w:shd w:val="clear" w:color="auto" w:fill="auto"/>
          </w:tcPr>
          <w:p w14:paraId="07F82760" w14:textId="77777777" w:rsidR="00E93F58" w:rsidRPr="00283424" w:rsidRDefault="00E93F58" w:rsidP="00EA0AFF">
            <w:pPr>
              <w:pStyle w:val="Tabletext"/>
            </w:pPr>
            <w:r w:rsidRPr="00283424">
              <w:t>2</w:t>
            </w:r>
          </w:p>
        </w:tc>
        <w:tc>
          <w:tcPr>
            <w:tcW w:w="2059" w:type="pct"/>
            <w:tcBorders>
              <w:bottom w:val="single" w:sz="12" w:space="0" w:color="auto"/>
            </w:tcBorders>
            <w:shd w:val="clear" w:color="auto" w:fill="auto"/>
          </w:tcPr>
          <w:p w14:paraId="560B4432" w14:textId="77777777" w:rsidR="00E93F58" w:rsidRPr="00283424" w:rsidRDefault="00E93F58" w:rsidP="00EA0AFF">
            <w:pPr>
              <w:pStyle w:val="Tabletext"/>
            </w:pPr>
            <w:r w:rsidRPr="00283424">
              <w:t>Financial Markets Authority of New Zealand</w:t>
            </w:r>
          </w:p>
        </w:tc>
        <w:tc>
          <w:tcPr>
            <w:tcW w:w="2353" w:type="pct"/>
            <w:tcBorders>
              <w:bottom w:val="single" w:sz="12" w:space="0" w:color="auto"/>
            </w:tcBorders>
            <w:shd w:val="clear" w:color="auto" w:fill="auto"/>
          </w:tcPr>
          <w:p w14:paraId="09442675" w14:textId="77777777" w:rsidR="00E93F58" w:rsidRPr="00283424" w:rsidRDefault="00E93F58" w:rsidP="00EA0AFF">
            <w:pPr>
              <w:pStyle w:val="Tabletext"/>
            </w:pPr>
            <w:r w:rsidRPr="00283424">
              <w:t>Each matter mentioned in items 5 to 7 of the Table at subsection 1200G(9) of the Act</w:t>
            </w:r>
          </w:p>
        </w:tc>
      </w:tr>
    </w:tbl>
    <w:p w14:paraId="61F5BA10" w14:textId="77777777" w:rsidR="00E93F58" w:rsidRPr="00283424" w:rsidRDefault="00E93F58" w:rsidP="00B50726">
      <w:pPr>
        <w:pStyle w:val="ActHead3"/>
        <w:pageBreakBefore/>
      </w:pPr>
      <w:bookmarkStart w:id="2167" w:name="_Toc152055059"/>
      <w:bookmarkStart w:id="2168" w:name="_Toc158712875"/>
      <w:r w:rsidRPr="006F296E">
        <w:rPr>
          <w:rStyle w:val="CharDivNo"/>
        </w:rPr>
        <w:lastRenderedPageBreak/>
        <w:t>Division 4</w:t>
      </w:r>
      <w:r w:rsidRPr="00283424">
        <w:t>—</w:t>
      </w:r>
      <w:r w:rsidRPr="006F296E">
        <w:rPr>
          <w:rStyle w:val="CharDivText"/>
        </w:rPr>
        <w:t>Modification of the Act in relation to its application to recognised offers for interests in New Zealand managed investment schemes (Act s 1020G, 1200M)</w:t>
      </w:r>
      <w:bookmarkEnd w:id="2167"/>
      <w:bookmarkEnd w:id="2168"/>
    </w:p>
    <w:p w14:paraId="2AEFD733" w14:textId="77777777" w:rsidR="00E93F58" w:rsidRPr="00283424" w:rsidRDefault="00E93F58" w:rsidP="00B50726">
      <w:pPr>
        <w:pStyle w:val="ActHead5"/>
      </w:pPr>
      <w:bookmarkStart w:id="2169" w:name="_Toc152055060"/>
      <w:bookmarkStart w:id="2170" w:name="_Toc158712876"/>
      <w:r w:rsidRPr="006F296E">
        <w:rPr>
          <w:rStyle w:val="CharSectno"/>
        </w:rPr>
        <w:t>8.4.01</w:t>
      </w:r>
      <w:r w:rsidRPr="00283424">
        <w:t xml:space="preserve">  Modification of Part 7.9 of the Act—New Zealand offer documents replace Product Disclosure Statements</w:t>
      </w:r>
      <w:bookmarkEnd w:id="2169"/>
      <w:bookmarkEnd w:id="2170"/>
    </w:p>
    <w:p w14:paraId="4E1F7BC5" w14:textId="77777777" w:rsidR="00E93F58" w:rsidRPr="00283424" w:rsidRDefault="00E93F58" w:rsidP="00B50726">
      <w:pPr>
        <w:pStyle w:val="subsection"/>
      </w:pPr>
      <w:r w:rsidRPr="00283424">
        <w:tab/>
      </w:r>
      <w:r w:rsidRPr="00283424">
        <w:tab/>
        <w:t>For section 1020G of the Act, Part 7.9 of the Act is modified in its application in relation to managed investment schemes as set out in Part 18 of Schedule 10A.</w:t>
      </w:r>
    </w:p>
    <w:p w14:paraId="28DC0FE8" w14:textId="77777777" w:rsidR="00E93F58" w:rsidRPr="00283424" w:rsidRDefault="00E93F58" w:rsidP="00B50726">
      <w:pPr>
        <w:pStyle w:val="ActHead5"/>
      </w:pPr>
      <w:bookmarkStart w:id="2171" w:name="_Toc152055061"/>
      <w:bookmarkStart w:id="2172" w:name="_Toc158712877"/>
      <w:r w:rsidRPr="006F296E">
        <w:rPr>
          <w:rStyle w:val="CharSectno"/>
        </w:rPr>
        <w:t>8.4.02</w:t>
      </w:r>
      <w:r w:rsidRPr="00283424">
        <w:t xml:space="preserve">  Modification of Part 6D.2 of the Act and Part 7.9 of the Act—certain disclosure obligations not to apply</w:t>
      </w:r>
      <w:bookmarkEnd w:id="2171"/>
      <w:bookmarkEnd w:id="2172"/>
    </w:p>
    <w:p w14:paraId="1D5AFADE" w14:textId="77777777" w:rsidR="00E93F58" w:rsidRPr="00283424" w:rsidRDefault="00E93F58" w:rsidP="00B50726">
      <w:pPr>
        <w:pStyle w:val="subsection"/>
      </w:pPr>
      <w:r w:rsidRPr="00283424">
        <w:tab/>
      </w:r>
      <w:r w:rsidRPr="00283424">
        <w:tab/>
        <w:t>For section 1200M of the Act, Part 6D.2 of the Act and Part 7.9 of the Act are modified in relation to their application in respect of a recognised offer or a proposed offer of securities that may become a recognised offer as set out in Part 1 of Schedule 10AA.</w:t>
      </w:r>
    </w:p>
    <w:p w14:paraId="4656EA58" w14:textId="77777777" w:rsidR="00E93F58" w:rsidRPr="00283424" w:rsidRDefault="00E93F58" w:rsidP="00B50726">
      <w:pPr>
        <w:pStyle w:val="ActHead1"/>
        <w:pageBreakBefore/>
      </w:pPr>
      <w:bookmarkStart w:id="2173" w:name="_Toc152055062"/>
      <w:bookmarkStart w:id="2174" w:name="_Toc158712878"/>
      <w:r w:rsidRPr="006F296E">
        <w:rPr>
          <w:rStyle w:val="CharChapNo"/>
        </w:rPr>
        <w:lastRenderedPageBreak/>
        <w:t>Chapter 8A</w:t>
      </w:r>
      <w:r w:rsidRPr="00283424">
        <w:t>—</w:t>
      </w:r>
      <w:r w:rsidRPr="006F296E">
        <w:rPr>
          <w:rStyle w:val="CharChapText"/>
        </w:rPr>
        <w:t>Asia Region Funds Passport</w:t>
      </w:r>
      <w:bookmarkEnd w:id="2173"/>
      <w:bookmarkEnd w:id="2174"/>
    </w:p>
    <w:p w14:paraId="0F6907B1" w14:textId="77777777" w:rsidR="00E93F58" w:rsidRPr="00283424" w:rsidRDefault="00E93F58" w:rsidP="00B50726">
      <w:pPr>
        <w:pStyle w:val="ActHead2"/>
      </w:pPr>
      <w:bookmarkStart w:id="2175" w:name="_Toc152055063"/>
      <w:bookmarkStart w:id="2176" w:name="_Toc158712879"/>
      <w:r w:rsidRPr="006F296E">
        <w:rPr>
          <w:rStyle w:val="CharPartNo"/>
        </w:rPr>
        <w:t>Part 8A.4</w:t>
      </w:r>
      <w:r w:rsidRPr="00283424">
        <w:t>—</w:t>
      </w:r>
      <w:r w:rsidRPr="006F296E">
        <w:rPr>
          <w:rStyle w:val="CharPartText"/>
        </w:rPr>
        <w:t>Notified foreign passport funds</w:t>
      </w:r>
      <w:bookmarkEnd w:id="2175"/>
      <w:bookmarkEnd w:id="2176"/>
    </w:p>
    <w:p w14:paraId="4B58BCFC" w14:textId="77777777" w:rsidR="00E93F58" w:rsidRPr="00283424" w:rsidRDefault="00E93F58" w:rsidP="00B50726">
      <w:pPr>
        <w:pStyle w:val="ActHead3"/>
      </w:pPr>
      <w:bookmarkStart w:id="2177" w:name="_Toc152055064"/>
      <w:bookmarkStart w:id="2178" w:name="_Toc158712880"/>
      <w:r w:rsidRPr="006F296E">
        <w:rPr>
          <w:rStyle w:val="CharDivNo"/>
        </w:rPr>
        <w:t>Division 1</w:t>
      </w:r>
      <w:r w:rsidRPr="00283424">
        <w:t>—</w:t>
      </w:r>
      <w:r w:rsidRPr="006F296E">
        <w:rPr>
          <w:rStyle w:val="CharDivText"/>
        </w:rPr>
        <w:t>Becoming a notified foreign passport fund</w:t>
      </w:r>
      <w:bookmarkEnd w:id="2177"/>
      <w:bookmarkEnd w:id="2178"/>
    </w:p>
    <w:p w14:paraId="2656E56B" w14:textId="77777777" w:rsidR="00E93F58" w:rsidRPr="00283424" w:rsidRDefault="00E93F58" w:rsidP="00B50726">
      <w:pPr>
        <w:pStyle w:val="ActHead5"/>
      </w:pPr>
      <w:bookmarkStart w:id="2179" w:name="_Toc152055065"/>
      <w:bookmarkStart w:id="2180" w:name="_Toc158712881"/>
      <w:r w:rsidRPr="006F296E">
        <w:rPr>
          <w:rStyle w:val="CharSectno"/>
        </w:rPr>
        <w:t>8A.4.10</w:t>
      </w:r>
      <w:r w:rsidRPr="00283424">
        <w:t xml:space="preserve">  Rejecting a notice of intention—name of fund identical to another or unacceptable</w:t>
      </w:r>
      <w:bookmarkEnd w:id="2179"/>
      <w:bookmarkEnd w:id="2180"/>
    </w:p>
    <w:p w14:paraId="6EABF37D" w14:textId="77777777" w:rsidR="00E93F58" w:rsidRPr="00283424" w:rsidRDefault="00E93F58" w:rsidP="00B50726">
      <w:pPr>
        <w:pStyle w:val="subsection"/>
      </w:pPr>
      <w:r w:rsidRPr="00283424">
        <w:tab/>
        <w:t>(1)</w:t>
      </w:r>
      <w:r w:rsidRPr="00283424">
        <w:tab/>
        <w:t>For the purposes of subparagraphs 1213B(5)(a)(i), (ii), (iii) and (iv) of the Act, the rules for ascertaining whether a name is identical with another name are the rules set out in Part 1 of Schedule 6.</w:t>
      </w:r>
    </w:p>
    <w:p w14:paraId="55A8F666" w14:textId="77777777" w:rsidR="00E93F58" w:rsidRPr="00283424" w:rsidRDefault="00E93F58" w:rsidP="00B50726">
      <w:pPr>
        <w:pStyle w:val="subsection"/>
      </w:pPr>
      <w:r w:rsidRPr="00283424">
        <w:tab/>
        <w:t>(2)</w:t>
      </w:r>
      <w:r w:rsidRPr="00283424">
        <w:tab/>
        <w:t>For the purposes of subparagraph 1213B(5)(a)(v) of the Act, a name is unacceptable for registration under the regulations if it is unacceptable under the rules set out in Part 2 of Schedule 6.</w:t>
      </w:r>
    </w:p>
    <w:p w14:paraId="4E0187C9" w14:textId="77777777" w:rsidR="00E93F58" w:rsidRPr="00283424" w:rsidRDefault="00E93F58" w:rsidP="00B50726">
      <w:pPr>
        <w:pStyle w:val="ActHead3"/>
        <w:pageBreakBefore/>
        <w:shd w:val="clear" w:color="auto" w:fill="FFFFFF" w:themeFill="background1"/>
      </w:pPr>
      <w:bookmarkStart w:id="2181" w:name="_Toc152055066"/>
      <w:bookmarkStart w:id="2182" w:name="_Toc158712882"/>
      <w:r w:rsidRPr="006F296E">
        <w:rPr>
          <w:rStyle w:val="CharDivNo"/>
        </w:rPr>
        <w:lastRenderedPageBreak/>
        <w:t>Division 4</w:t>
      </w:r>
      <w:r w:rsidRPr="00283424">
        <w:t>—</w:t>
      </w:r>
      <w:r w:rsidRPr="006F296E">
        <w:rPr>
          <w:rStyle w:val="CharDivText"/>
        </w:rPr>
        <w:t>Providing key information in relation to notified foreign passport funds</w:t>
      </w:r>
      <w:bookmarkEnd w:id="2181"/>
      <w:bookmarkEnd w:id="2182"/>
    </w:p>
    <w:p w14:paraId="2BC316F8" w14:textId="77777777" w:rsidR="00E93F58" w:rsidRPr="00283424" w:rsidRDefault="00E93F58" w:rsidP="00B50726">
      <w:pPr>
        <w:pStyle w:val="ActHead5"/>
      </w:pPr>
      <w:bookmarkStart w:id="2183" w:name="_Toc152055067"/>
      <w:bookmarkStart w:id="2184" w:name="_Toc158712883"/>
      <w:r w:rsidRPr="006F296E">
        <w:rPr>
          <w:rStyle w:val="CharSectno"/>
        </w:rPr>
        <w:t>8A.4.40</w:t>
      </w:r>
      <w:r w:rsidRPr="00283424">
        <w:t xml:space="preserve">  Register of members—purposes for which a person may obtain and use a copy</w:t>
      </w:r>
      <w:bookmarkEnd w:id="2183"/>
      <w:bookmarkEnd w:id="2184"/>
    </w:p>
    <w:p w14:paraId="7654DF9D" w14:textId="77777777" w:rsidR="00E93F58" w:rsidRPr="00283424" w:rsidRDefault="00E93F58" w:rsidP="00B50726">
      <w:pPr>
        <w:pStyle w:val="subsection"/>
      </w:pPr>
      <w:r w:rsidRPr="00283424">
        <w:tab/>
      </w:r>
      <w:r w:rsidRPr="00283424">
        <w:tab/>
        <w:t>For the purposes of paragraph 1213K(2)(c) (and paragraph 1213L(3)(a)) of the Act, the following purposes are prescribed:</w:t>
      </w:r>
    </w:p>
    <w:p w14:paraId="31137ABB" w14:textId="77777777" w:rsidR="00E93F58" w:rsidRPr="00283424" w:rsidRDefault="00E93F58" w:rsidP="00B50726">
      <w:pPr>
        <w:pStyle w:val="paragraph"/>
      </w:pPr>
      <w:r w:rsidRPr="00283424">
        <w:tab/>
        <w:t>(a)</w:t>
      </w:r>
      <w:r w:rsidRPr="00283424">
        <w:tab/>
        <w:t>soliciting a donation from a member of a notified foreign passport fund;</w:t>
      </w:r>
    </w:p>
    <w:p w14:paraId="5358129A" w14:textId="77777777" w:rsidR="00E93F58" w:rsidRPr="00283424" w:rsidRDefault="00E93F58" w:rsidP="00B50726">
      <w:pPr>
        <w:pStyle w:val="paragraph"/>
      </w:pPr>
      <w:r w:rsidRPr="00283424">
        <w:tab/>
        <w:t>(b)</w:t>
      </w:r>
      <w:r w:rsidRPr="00283424">
        <w:tab/>
        <w:t>soliciting a member of a notified foreign passport fund by a person who is authorised to assume or use the word stockbroker or sharebroker in accordance with section 923B of the Act;</w:t>
      </w:r>
    </w:p>
    <w:p w14:paraId="74CE8066" w14:textId="77777777" w:rsidR="00E93F58" w:rsidRPr="00283424" w:rsidRDefault="00E93F58" w:rsidP="00B50726">
      <w:pPr>
        <w:pStyle w:val="paragraph"/>
      </w:pPr>
      <w:r w:rsidRPr="00283424">
        <w:tab/>
        <w:t>(c)</w:t>
      </w:r>
      <w:r w:rsidRPr="00283424">
        <w:tab/>
        <w:t>gathering information about the personal wealth of a member of a notified foreign passport fund;</w:t>
      </w:r>
    </w:p>
    <w:p w14:paraId="3120BCD2" w14:textId="77777777" w:rsidR="00E93F58" w:rsidRPr="00283424" w:rsidRDefault="00E93F58" w:rsidP="00B50726">
      <w:pPr>
        <w:pStyle w:val="paragraph"/>
      </w:pPr>
      <w:r w:rsidRPr="00283424">
        <w:tab/>
        <w:t>(d)</w:t>
      </w:r>
      <w:r w:rsidRPr="00283424">
        <w:tab/>
        <w:t>making an offer that satisfies paragraphs 1019D(1)(a) to (d) of the Act;</w:t>
      </w:r>
    </w:p>
    <w:p w14:paraId="4FF89031" w14:textId="77777777" w:rsidR="00E93F58" w:rsidRPr="00283424" w:rsidRDefault="00E93F58" w:rsidP="00B50726">
      <w:pPr>
        <w:pStyle w:val="paragraph"/>
      </w:pPr>
      <w:r w:rsidRPr="00283424">
        <w:tab/>
        <w:t>(e)</w:t>
      </w:r>
      <w:r w:rsidRPr="00283424">
        <w:tab/>
        <w:t>making an invitation that, were it an offer to purchase a financial product, would be an offer that satisfies paragraphs 1019D(1)(a) to (d) of the Act.</w:t>
      </w:r>
    </w:p>
    <w:p w14:paraId="0DC081B8" w14:textId="77777777" w:rsidR="00E93F58" w:rsidRPr="00283424" w:rsidRDefault="00E93F58" w:rsidP="00B50726">
      <w:pPr>
        <w:pStyle w:val="notetext"/>
      </w:pPr>
      <w:r w:rsidRPr="00283424">
        <w:t>Note:</w:t>
      </w:r>
      <w:r w:rsidRPr="00283424">
        <w:tab/>
        <w:t>Section 1019D of the Act deals with unsolicited offers to purchase financial products off</w:t>
      </w:r>
      <w:r>
        <w:noBreakHyphen/>
      </w:r>
      <w:r w:rsidRPr="00283424">
        <w:t>market.</w:t>
      </w:r>
    </w:p>
    <w:p w14:paraId="2D3D221F" w14:textId="77777777" w:rsidR="00E93F58" w:rsidRPr="00283424" w:rsidRDefault="00E93F58" w:rsidP="00B50726">
      <w:pPr>
        <w:pStyle w:val="ActHead5"/>
      </w:pPr>
      <w:bookmarkStart w:id="2185" w:name="_Toc152055068"/>
      <w:bookmarkStart w:id="2186" w:name="_Toc158712884"/>
      <w:r w:rsidRPr="006F296E">
        <w:rPr>
          <w:rStyle w:val="CharSectno"/>
        </w:rPr>
        <w:t>8A.4.45</w:t>
      </w:r>
      <w:r w:rsidRPr="00283424">
        <w:t xml:space="preserve">  Destruction of records by ASIC—period before documents may be destroyed</w:t>
      </w:r>
      <w:bookmarkEnd w:id="2185"/>
      <w:bookmarkEnd w:id="2186"/>
    </w:p>
    <w:p w14:paraId="1D52D488" w14:textId="77777777" w:rsidR="00E93F58" w:rsidRPr="00283424" w:rsidRDefault="00E93F58" w:rsidP="00B50726">
      <w:pPr>
        <w:pStyle w:val="subsection"/>
      </w:pPr>
      <w:r w:rsidRPr="00283424">
        <w:tab/>
      </w:r>
      <w:r w:rsidRPr="00283424">
        <w:tab/>
        <w:t>For the purposes of paragraph 1213Q(b) of the Act, the period of possession is 7 years.</w:t>
      </w:r>
    </w:p>
    <w:p w14:paraId="0DB03402" w14:textId="77777777" w:rsidR="00E93F58" w:rsidRPr="00283424" w:rsidRDefault="00E93F58" w:rsidP="00B50726">
      <w:pPr>
        <w:pStyle w:val="ActHead2"/>
        <w:pageBreakBefore/>
      </w:pPr>
      <w:bookmarkStart w:id="2187" w:name="_Toc152055069"/>
      <w:bookmarkStart w:id="2188" w:name="_Toc158712885"/>
      <w:r w:rsidRPr="006F296E">
        <w:rPr>
          <w:rStyle w:val="CharPartNo"/>
        </w:rPr>
        <w:lastRenderedPageBreak/>
        <w:t>Part 8A.5</w:t>
      </w:r>
      <w:r w:rsidRPr="00283424">
        <w:t>—</w:t>
      </w:r>
      <w:r w:rsidRPr="006F296E">
        <w:rPr>
          <w:rStyle w:val="CharPartText"/>
        </w:rPr>
        <w:t>Register of passport funds</w:t>
      </w:r>
      <w:bookmarkEnd w:id="2187"/>
      <w:bookmarkEnd w:id="2188"/>
    </w:p>
    <w:p w14:paraId="3BC7F8F5" w14:textId="77777777" w:rsidR="00E93F58" w:rsidRPr="00283424" w:rsidRDefault="00E93F58" w:rsidP="00B50726">
      <w:pPr>
        <w:pStyle w:val="Header"/>
      </w:pPr>
      <w:r w:rsidRPr="006F296E">
        <w:rPr>
          <w:rStyle w:val="CharDivNo"/>
        </w:rPr>
        <w:t xml:space="preserve"> </w:t>
      </w:r>
      <w:r w:rsidRPr="006F296E">
        <w:rPr>
          <w:rStyle w:val="CharDivText"/>
        </w:rPr>
        <w:t xml:space="preserve"> </w:t>
      </w:r>
    </w:p>
    <w:p w14:paraId="01A6ACBE" w14:textId="77777777" w:rsidR="00E93F58" w:rsidRPr="00283424" w:rsidRDefault="00E93F58" w:rsidP="00B50726">
      <w:pPr>
        <w:pStyle w:val="ActHead5"/>
      </w:pPr>
      <w:bookmarkStart w:id="2189" w:name="_Toc152055070"/>
      <w:bookmarkStart w:id="2190" w:name="_Toc158712886"/>
      <w:r w:rsidRPr="006F296E">
        <w:rPr>
          <w:rStyle w:val="CharSectno"/>
        </w:rPr>
        <w:t>8A.5.10</w:t>
      </w:r>
      <w:r w:rsidRPr="00283424">
        <w:t xml:space="preserve">  Prescribed details for the Register of Passport Funds</w:t>
      </w:r>
      <w:bookmarkEnd w:id="2189"/>
      <w:bookmarkEnd w:id="2190"/>
    </w:p>
    <w:p w14:paraId="723DB16A" w14:textId="77777777" w:rsidR="00E93F58" w:rsidRPr="00283424" w:rsidRDefault="00E93F58" w:rsidP="00B50726">
      <w:pPr>
        <w:pStyle w:val="SubsectionHead"/>
      </w:pPr>
      <w:r w:rsidRPr="00283424">
        <w:t>Prescribed details of Australian passport funds</w:t>
      </w:r>
    </w:p>
    <w:p w14:paraId="43CC18C9" w14:textId="77777777" w:rsidR="00E93F58" w:rsidRPr="00283424" w:rsidRDefault="00E93F58" w:rsidP="00B50726">
      <w:pPr>
        <w:pStyle w:val="subsection"/>
      </w:pPr>
      <w:r w:rsidRPr="00283424">
        <w:tab/>
        <w:t>(1)</w:t>
      </w:r>
      <w:r w:rsidRPr="00283424">
        <w:tab/>
        <w:t>For the purposes of paragraph 1214(3)(a) of the Act, the following details are prescribed for each Australian passport fund:</w:t>
      </w:r>
    </w:p>
    <w:p w14:paraId="07DF9DFB" w14:textId="77777777" w:rsidR="00E93F58" w:rsidRPr="00283424" w:rsidRDefault="00E93F58" w:rsidP="00B50726">
      <w:pPr>
        <w:pStyle w:val="paragraph"/>
      </w:pPr>
      <w:r w:rsidRPr="00283424">
        <w:tab/>
        <w:t>(a)</w:t>
      </w:r>
      <w:r w:rsidRPr="00283424">
        <w:tab/>
        <w:t>the APFRN for the fund;</w:t>
      </w:r>
    </w:p>
    <w:p w14:paraId="28BC5A30" w14:textId="77777777" w:rsidR="00E93F58" w:rsidRPr="00283424" w:rsidRDefault="00E93F58" w:rsidP="00B50726">
      <w:pPr>
        <w:pStyle w:val="paragraph"/>
      </w:pPr>
      <w:r w:rsidRPr="00283424">
        <w:tab/>
        <w:t>(b)</w:t>
      </w:r>
      <w:r w:rsidRPr="00283424">
        <w:tab/>
        <w:t>the name of the fund;</w:t>
      </w:r>
    </w:p>
    <w:p w14:paraId="5CDC9929" w14:textId="77777777" w:rsidR="00E93F58" w:rsidRPr="00283424" w:rsidRDefault="00E93F58" w:rsidP="00B50726">
      <w:pPr>
        <w:pStyle w:val="paragraph"/>
      </w:pPr>
      <w:r w:rsidRPr="00283424">
        <w:tab/>
        <w:t>(c)</w:t>
      </w:r>
      <w:r w:rsidRPr="00283424">
        <w:tab/>
        <w:t>the ARSN of the registered scheme that constitutes the fund;</w:t>
      </w:r>
    </w:p>
    <w:p w14:paraId="15EC9CCE" w14:textId="77777777" w:rsidR="00E93F58" w:rsidRPr="00283424" w:rsidRDefault="00E93F58" w:rsidP="00B50726">
      <w:pPr>
        <w:pStyle w:val="paragraph"/>
      </w:pPr>
      <w:r w:rsidRPr="00283424">
        <w:tab/>
        <w:t>(ca)</w:t>
      </w:r>
      <w:r w:rsidRPr="00283424">
        <w:tab/>
        <w:t>the ARFN of the sub</w:t>
      </w:r>
      <w:r>
        <w:noBreakHyphen/>
      </w:r>
      <w:r w:rsidRPr="00283424">
        <w:t>fund of a CCIV that constitutes the fund;</w:t>
      </w:r>
    </w:p>
    <w:p w14:paraId="31483552" w14:textId="77777777" w:rsidR="00E93F58" w:rsidRPr="00283424" w:rsidRDefault="00E93F58" w:rsidP="00B50726">
      <w:pPr>
        <w:pStyle w:val="paragraph"/>
      </w:pPr>
      <w:r w:rsidRPr="00283424">
        <w:tab/>
        <w:t>(d)</w:t>
      </w:r>
      <w:r w:rsidRPr="00283424">
        <w:tab/>
        <w:t>a statement that the fund is registered as an Australian passport fund;</w:t>
      </w:r>
    </w:p>
    <w:p w14:paraId="3A326441" w14:textId="77777777" w:rsidR="00E93F58" w:rsidRPr="00283424" w:rsidRDefault="00E93F58" w:rsidP="00B50726">
      <w:pPr>
        <w:pStyle w:val="paragraph"/>
      </w:pPr>
      <w:r w:rsidRPr="00283424">
        <w:tab/>
        <w:t>(e)</w:t>
      </w:r>
      <w:r w:rsidRPr="00283424">
        <w:tab/>
        <w:t>the date on which the fund was registered as an Australian passport fund;</w:t>
      </w:r>
    </w:p>
    <w:p w14:paraId="3A3CE6CF" w14:textId="77777777" w:rsidR="00E93F58" w:rsidRPr="00283424" w:rsidRDefault="00E93F58" w:rsidP="00B50726">
      <w:pPr>
        <w:pStyle w:val="paragraph"/>
      </w:pPr>
      <w:r w:rsidRPr="00283424">
        <w:tab/>
        <w:t>(f)</w:t>
      </w:r>
      <w:r w:rsidRPr="00283424">
        <w:tab/>
        <w:t>if the fund has or had a name in a participating economy (including Australia) that is different from its current name in Australia, then for each name that the fund has or had in a participating economy:</w:t>
      </w:r>
    </w:p>
    <w:p w14:paraId="4D6F5AD5" w14:textId="77777777" w:rsidR="00E93F58" w:rsidRPr="00283424" w:rsidRDefault="00E93F58" w:rsidP="00B50726">
      <w:pPr>
        <w:pStyle w:val="paragraphsub"/>
      </w:pPr>
      <w:r w:rsidRPr="00283424">
        <w:tab/>
        <w:t>(i)</w:t>
      </w:r>
      <w:r w:rsidRPr="00283424">
        <w:tab/>
        <w:t>that name; and</w:t>
      </w:r>
    </w:p>
    <w:p w14:paraId="43FC69BB" w14:textId="77777777" w:rsidR="00E93F58" w:rsidRPr="00283424" w:rsidRDefault="00E93F58" w:rsidP="00B50726">
      <w:pPr>
        <w:pStyle w:val="paragraphsub"/>
      </w:pPr>
      <w:r w:rsidRPr="00283424">
        <w:tab/>
        <w:t>(ii)</w:t>
      </w:r>
      <w:r w:rsidRPr="00283424">
        <w:tab/>
        <w:t>the name of each participating economy in which the fund has or had that name; and</w:t>
      </w:r>
    </w:p>
    <w:p w14:paraId="4571084B" w14:textId="77777777" w:rsidR="00E93F58" w:rsidRPr="00283424" w:rsidRDefault="00E93F58" w:rsidP="00B50726">
      <w:pPr>
        <w:pStyle w:val="paragraphsub"/>
      </w:pPr>
      <w:r w:rsidRPr="00283424">
        <w:tab/>
        <w:t>(iii)</w:t>
      </w:r>
      <w:r w:rsidRPr="00283424">
        <w:tab/>
        <w:t>for each such economy—the start date and (if applicable) the end date of each period during which the fund has or had that name in that economy;</w:t>
      </w:r>
    </w:p>
    <w:p w14:paraId="1C580B87" w14:textId="77777777" w:rsidR="00E93F58" w:rsidRPr="00283424" w:rsidRDefault="00E93F58" w:rsidP="00B50726">
      <w:pPr>
        <w:pStyle w:val="paragraph"/>
      </w:pPr>
      <w:r w:rsidRPr="00283424">
        <w:tab/>
        <w:t>(g)</w:t>
      </w:r>
      <w:r w:rsidRPr="00283424">
        <w:tab/>
        <w:t>the name, ACN and ABN (if any) of the operator of the fund;</w:t>
      </w:r>
    </w:p>
    <w:p w14:paraId="78BEEB31" w14:textId="77777777" w:rsidR="00E93F58" w:rsidRPr="00283424" w:rsidRDefault="00E93F58" w:rsidP="00B50726">
      <w:pPr>
        <w:pStyle w:val="paragraph"/>
      </w:pPr>
      <w:r w:rsidRPr="00283424">
        <w:tab/>
        <w:t>(h)</w:t>
      </w:r>
      <w:r w:rsidRPr="00283424">
        <w:tab/>
        <w:t>if the fund has at any time had an operator with a name, ACN or ABN that is different from the name, ACN or ABN (as the case requires) mentioned in paragraph (g):</w:t>
      </w:r>
    </w:p>
    <w:p w14:paraId="4F51BCFF" w14:textId="77777777" w:rsidR="00E93F58" w:rsidRPr="00283424" w:rsidRDefault="00E93F58" w:rsidP="00B50726">
      <w:pPr>
        <w:pStyle w:val="paragraphsub"/>
      </w:pPr>
      <w:r w:rsidRPr="00283424">
        <w:tab/>
        <w:t>(i)</w:t>
      </w:r>
      <w:r w:rsidRPr="00283424">
        <w:tab/>
        <w:t>that other name, ACN or ABN; and</w:t>
      </w:r>
    </w:p>
    <w:p w14:paraId="0DCC68C4" w14:textId="77777777" w:rsidR="00E93F58" w:rsidRPr="00283424" w:rsidRDefault="00E93F58" w:rsidP="00B50726">
      <w:pPr>
        <w:pStyle w:val="paragraphsub"/>
      </w:pPr>
      <w:r w:rsidRPr="00283424">
        <w:tab/>
        <w:t>(ii)</w:t>
      </w:r>
      <w:r w:rsidRPr="00283424">
        <w:tab/>
        <w:t>the start date and the end date of each period during which an operator of the fund has had that other name, ACN or ABN;</w:t>
      </w:r>
    </w:p>
    <w:p w14:paraId="75DBF0C8" w14:textId="77777777" w:rsidR="00E93F58" w:rsidRPr="00283424" w:rsidRDefault="00E93F58" w:rsidP="00B50726">
      <w:pPr>
        <w:pStyle w:val="paragraph"/>
      </w:pPr>
      <w:r w:rsidRPr="00283424">
        <w:tab/>
        <w:t>(i)</w:t>
      </w:r>
      <w:r w:rsidRPr="00283424">
        <w:tab/>
        <w:t>the review date for the fund;</w:t>
      </w:r>
    </w:p>
    <w:p w14:paraId="11B110BC" w14:textId="77777777" w:rsidR="00E93F58" w:rsidRPr="00283424" w:rsidRDefault="00E93F58" w:rsidP="00B50726">
      <w:pPr>
        <w:pStyle w:val="paragraph"/>
      </w:pPr>
      <w:r w:rsidRPr="00283424">
        <w:tab/>
        <w:t>(j)</w:t>
      </w:r>
      <w:r w:rsidRPr="00283424">
        <w:tab/>
        <w:t>for each financial year for the fund—the name of each auditor of a financial report for the fund for that year;</w:t>
      </w:r>
    </w:p>
    <w:p w14:paraId="50DBBB50" w14:textId="77777777" w:rsidR="00E93F58" w:rsidRPr="00283424" w:rsidRDefault="00E93F58" w:rsidP="00B50726">
      <w:pPr>
        <w:pStyle w:val="paragraph"/>
      </w:pPr>
      <w:r w:rsidRPr="00283424">
        <w:tab/>
        <w:t>(k)</w:t>
      </w:r>
      <w:r w:rsidRPr="00283424">
        <w:tab/>
        <w:t>for each review period for the fund for which the fund is required under section 15 of the Passport Rules for this jurisdiction to conduct an implementation review—the name of the implementation reviewer.</w:t>
      </w:r>
    </w:p>
    <w:p w14:paraId="18ADBCB0" w14:textId="77777777" w:rsidR="00E93F58" w:rsidRPr="00283424" w:rsidRDefault="00E93F58" w:rsidP="00B50726">
      <w:pPr>
        <w:pStyle w:val="subsection"/>
      </w:pPr>
      <w:r w:rsidRPr="00283424">
        <w:tab/>
        <w:t>(2)</w:t>
      </w:r>
      <w:r w:rsidRPr="00283424">
        <w:tab/>
        <w:t>For the purposes of paragraph 1214(3)(b) of the Act, the following details are prescribed for each fund that has been deregistered as an Australian passport fund:</w:t>
      </w:r>
    </w:p>
    <w:p w14:paraId="5C2C707F" w14:textId="77777777" w:rsidR="00E93F58" w:rsidRPr="00283424" w:rsidRDefault="00E93F58" w:rsidP="00B50726">
      <w:pPr>
        <w:pStyle w:val="paragraph"/>
      </w:pPr>
      <w:r w:rsidRPr="00283424">
        <w:tab/>
        <w:t>(a)</w:t>
      </w:r>
      <w:r w:rsidRPr="00283424">
        <w:tab/>
        <w:t>the details that were prescribed for the fund under subregulation (1) immediately before the fund was deregistered, except for the details that were prescribed under paragraph (1)(d);</w:t>
      </w:r>
    </w:p>
    <w:p w14:paraId="2FE499B2" w14:textId="77777777" w:rsidR="00E93F58" w:rsidRPr="00283424" w:rsidRDefault="00E93F58" w:rsidP="00B50726">
      <w:pPr>
        <w:pStyle w:val="paragraph"/>
      </w:pPr>
      <w:r w:rsidRPr="00283424">
        <w:tab/>
        <w:t>(b)</w:t>
      </w:r>
      <w:r w:rsidRPr="00283424">
        <w:tab/>
        <w:t>a statement that the fund has been deregistered;</w:t>
      </w:r>
    </w:p>
    <w:p w14:paraId="6FE9082B" w14:textId="77777777" w:rsidR="00E93F58" w:rsidRPr="00283424" w:rsidRDefault="00E93F58" w:rsidP="00B50726">
      <w:pPr>
        <w:pStyle w:val="paragraph"/>
      </w:pPr>
      <w:r w:rsidRPr="00283424">
        <w:tab/>
        <w:t>(c)</w:t>
      </w:r>
      <w:r w:rsidRPr="00283424">
        <w:tab/>
        <w:t>the date on which the fund was deregistered;</w:t>
      </w:r>
    </w:p>
    <w:p w14:paraId="59EB56E6" w14:textId="77777777" w:rsidR="00E93F58" w:rsidRPr="00283424" w:rsidRDefault="00E93F58" w:rsidP="00B50726">
      <w:pPr>
        <w:pStyle w:val="paragraph"/>
      </w:pPr>
      <w:r w:rsidRPr="00283424">
        <w:tab/>
        <w:t>(d)</w:t>
      </w:r>
      <w:r w:rsidRPr="00283424">
        <w:tab/>
        <w:t>a statement indicating which of the following the fund was deregistered under:</w:t>
      </w:r>
    </w:p>
    <w:p w14:paraId="3471AA5E" w14:textId="77777777" w:rsidR="00E93F58" w:rsidRPr="00283424" w:rsidRDefault="00E93F58" w:rsidP="00B50726">
      <w:pPr>
        <w:pStyle w:val="paragraphsub"/>
      </w:pPr>
      <w:r w:rsidRPr="00283424">
        <w:tab/>
        <w:t>(i)</w:t>
      </w:r>
      <w:r w:rsidRPr="00283424">
        <w:tab/>
        <w:t>Division 2 of Part 5C.10 of the Act (deregistration as an Australian passport fund as a result of deregistration as a registration scheme);</w:t>
      </w:r>
    </w:p>
    <w:p w14:paraId="07A1B8CF" w14:textId="77777777" w:rsidR="00E93F58" w:rsidRPr="00283424" w:rsidRDefault="00E93F58" w:rsidP="00B50726">
      <w:pPr>
        <w:pStyle w:val="paragraphsub"/>
      </w:pPr>
      <w:r w:rsidRPr="00283424">
        <w:tab/>
        <w:t>(ii)</w:t>
      </w:r>
      <w:r w:rsidRPr="00283424">
        <w:tab/>
        <w:t>Subdivision A of Division 1 of Part 8A.7 of the Act (voluntary deregistration);</w:t>
      </w:r>
    </w:p>
    <w:p w14:paraId="623B9CD0" w14:textId="77777777" w:rsidR="00E93F58" w:rsidRPr="00283424" w:rsidRDefault="00E93F58" w:rsidP="00B50726">
      <w:pPr>
        <w:pStyle w:val="paragraphsub"/>
      </w:pPr>
      <w:r w:rsidRPr="00283424">
        <w:tab/>
        <w:t>(iii)</w:t>
      </w:r>
      <w:r w:rsidRPr="00283424">
        <w:tab/>
        <w:t>Subdivision B of Division 1 of Part 8A.7 of the Act (deregistration initiated by ASIC).</w:t>
      </w:r>
    </w:p>
    <w:p w14:paraId="23FBB992" w14:textId="77777777" w:rsidR="00E93F58" w:rsidRPr="00283424" w:rsidRDefault="00E93F58" w:rsidP="00B50726">
      <w:pPr>
        <w:pStyle w:val="SubsectionHead"/>
      </w:pPr>
      <w:r w:rsidRPr="00283424">
        <w:t>Prescribed details of notified foreign passport funds</w:t>
      </w:r>
    </w:p>
    <w:p w14:paraId="0B0ADFFF" w14:textId="77777777" w:rsidR="00E93F58" w:rsidRPr="00283424" w:rsidRDefault="00E93F58" w:rsidP="00B50726">
      <w:pPr>
        <w:pStyle w:val="subsection"/>
      </w:pPr>
      <w:r w:rsidRPr="00283424">
        <w:tab/>
        <w:t>(3)</w:t>
      </w:r>
      <w:r w:rsidRPr="00283424">
        <w:tab/>
        <w:t>For the purposes of paragraph 1214(3)(a) of the Act, the following details are prescribed for each notified foreign passport fund:</w:t>
      </w:r>
    </w:p>
    <w:p w14:paraId="3B3FF7D4" w14:textId="77777777" w:rsidR="00E93F58" w:rsidRPr="00283424" w:rsidRDefault="00E93F58" w:rsidP="00B50726">
      <w:pPr>
        <w:pStyle w:val="paragraph"/>
      </w:pPr>
      <w:r w:rsidRPr="00283424">
        <w:tab/>
        <w:t>(a)</w:t>
      </w:r>
      <w:r w:rsidRPr="00283424">
        <w:tab/>
        <w:t>the NFPFRN for the fund and any other unique number for the fund allocated to the fund by ASIC;</w:t>
      </w:r>
    </w:p>
    <w:p w14:paraId="201350B7" w14:textId="77777777" w:rsidR="00E93F58" w:rsidRPr="00283424" w:rsidRDefault="00E93F58" w:rsidP="00B50726">
      <w:pPr>
        <w:pStyle w:val="paragraph"/>
      </w:pPr>
      <w:r w:rsidRPr="00283424">
        <w:tab/>
        <w:t>(b)</w:t>
      </w:r>
      <w:r w:rsidRPr="00283424">
        <w:tab/>
        <w:t>the name of the fund;</w:t>
      </w:r>
    </w:p>
    <w:p w14:paraId="200C4803" w14:textId="77777777" w:rsidR="00E93F58" w:rsidRPr="00283424" w:rsidRDefault="00E93F58" w:rsidP="00B50726">
      <w:pPr>
        <w:pStyle w:val="paragraph"/>
      </w:pPr>
      <w:r w:rsidRPr="00283424">
        <w:tab/>
        <w:t>(c)</w:t>
      </w:r>
      <w:r w:rsidRPr="00283424">
        <w:tab/>
        <w:t>a statement that the fund is a notified foreign passport fund;</w:t>
      </w:r>
    </w:p>
    <w:p w14:paraId="1233522A" w14:textId="77777777" w:rsidR="00E93F58" w:rsidRPr="00283424" w:rsidRDefault="00E93F58" w:rsidP="00B50726">
      <w:pPr>
        <w:pStyle w:val="paragraph"/>
      </w:pPr>
      <w:r w:rsidRPr="00283424">
        <w:tab/>
        <w:t>(d)</w:t>
      </w:r>
      <w:r w:rsidRPr="00283424">
        <w:tab/>
        <w:t>the name of the home economy for the fund;</w:t>
      </w:r>
    </w:p>
    <w:p w14:paraId="55E3DC24" w14:textId="77777777" w:rsidR="00E93F58" w:rsidRPr="00283424" w:rsidRDefault="00E93F58" w:rsidP="00B50726">
      <w:pPr>
        <w:pStyle w:val="paragraph"/>
      </w:pPr>
      <w:r w:rsidRPr="00283424">
        <w:tab/>
        <w:t>(e)</w:t>
      </w:r>
      <w:r w:rsidRPr="00283424">
        <w:tab/>
        <w:t>the date on which the fund became a notified foreign passport fund;</w:t>
      </w:r>
    </w:p>
    <w:p w14:paraId="2181247A" w14:textId="77777777" w:rsidR="00E93F58" w:rsidRPr="00283424" w:rsidRDefault="00E93F58" w:rsidP="00B50726">
      <w:pPr>
        <w:pStyle w:val="paragraph"/>
      </w:pPr>
      <w:r w:rsidRPr="00283424">
        <w:lastRenderedPageBreak/>
        <w:tab/>
        <w:t>(f)</w:t>
      </w:r>
      <w:r w:rsidRPr="00283424">
        <w:tab/>
        <w:t>if the fund has or had a name in a participating economy (including Australia) that is different from its current name in Australia, then for each name that the fund has or had in a participating economy:</w:t>
      </w:r>
    </w:p>
    <w:p w14:paraId="7261162A" w14:textId="77777777" w:rsidR="00E93F58" w:rsidRPr="00283424" w:rsidRDefault="00E93F58" w:rsidP="00B50726">
      <w:pPr>
        <w:pStyle w:val="paragraphsub"/>
      </w:pPr>
      <w:r w:rsidRPr="00283424">
        <w:tab/>
        <w:t>(i)</w:t>
      </w:r>
      <w:r w:rsidRPr="00283424">
        <w:tab/>
        <w:t>that name; and</w:t>
      </w:r>
    </w:p>
    <w:p w14:paraId="119C2BCB" w14:textId="77777777" w:rsidR="00E93F58" w:rsidRPr="00283424" w:rsidRDefault="00E93F58" w:rsidP="00B50726">
      <w:pPr>
        <w:pStyle w:val="paragraphsub"/>
      </w:pPr>
      <w:r w:rsidRPr="00283424">
        <w:tab/>
        <w:t>(ii)</w:t>
      </w:r>
      <w:r w:rsidRPr="00283424">
        <w:tab/>
        <w:t>the name of each participating economy in which the fund has or had that name; and</w:t>
      </w:r>
    </w:p>
    <w:p w14:paraId="2F48B8D4" w14:textId="77777777" w:rsidR="00E93F58" w:rsidRPr="00283424" w:rsidRDefault="00E93F58" w:rsidP="00B50726">
      <w:pPr>
        <w:pStyle w:val="paragraphsub"/>
      </w:pPr>
      <w:r w:rsidRPr="00283424">
        <w:tab/>
        <w:t>(iii)</w:t>
      </w:r>
      <w:r w:rsidRPr="00283424">
        <w:tab/>
        <w:t>for each such economy—the start date and (if applicable) the end date of each period during which the fund has or had that name in that economy;</w:t>
      </w:r>
    </w:p>
    <w:p w14:paraId="13E76BB1" w14:textId="77777777" w:rsidR="00E93F58" w:rsidRPr="00283424" w:rsidRDefault="00E93F58" w:rsidP="00B50726">
      <w:pPr>
        <w:pStyle w:val="paragraph"/>
      </w:pPr>
      <w:r w:rsidRPr="00283424">
        <w:tab/>
        <w:t>(g)</w:t>
      </w:r>
      <w:r w:rsidRPr="00283424">
        <w:tab/>
        <w:t>the name and ARBN of the operator of the fund;</w:t>
      </w:r>
    </w:p>
    <w:p w14:paraId="301B3480" w14:textId="77777777" w:rsidR="00E93F58" w:rsidRPr="00283424" w:rsidRDefault="00E93F58" w:rsidP="00B50726">
      <w:pPr>
        <w:pStyle w:val="paragraph"/>
      </w:pPr>
      <w:r w:rsidRPr="00283424">
        <w:tab/>
        <w:t>(h)</w:t>
      </w:r>
      <w:r w:rsidRPr="00283424">
        <w:tab/>
        <w:t>if the fund has at any time had an operator with a name or ARBN that is different from the name or ARBN (as the case requires) mentioned in paragraph (g):</w:t>
      </w:r>
    </w:p>
    <w:p w14:paraId="1EB9EC1E" w14:textId="77777777" w:rsidR="00E93F58" w:rsidRPr="00283424" w:rsidRDefault="00E93F58" w:rsidP="00B50726">
      <w:pPr>
        <w:pStyle w:val="paragraphsub"/>
      </w:pPr>
      <w:r w:rsidRPr="00283424">
        <w:tab/>
        <w:t>(i)</w:t>
      </w:r>
      <w:r w:rsidRPr="00283424">
        <w:tab/>
        <w:t>that other name or ARBN; and</w:t>
      </w:r>
    </w:p>
    <w:p w14:paraId="5DA3F7AA" w14:textId="77777777" w:rsidR="00E93F58" w:rsidRPr="00283424" w:rsidRDefault="00E93F58" w:rsidP="00B50726">
      <w:pPr>
        <w:pStyle w:val="paragraphsub"/>
      </w:pPr>
      <w:r w:rsidRPr="00283424">
        <w:tab/>
        <w:t>(ii)</w:t>
      </w:r>
      <w:r w:rsidRPr="00283424">
        <w:tab/>
        <w:t>the start date and the end date of each period during which an operator of the fund has had that other name or ARBN;</w:t>
      </w:r>
    </w:p>
    <w:p w14:paraId="76611A82" w14:textId="77777777" w:rsidR="00E93F58" w:rsidRPr="00283424" w:rsidRDefault="00E93F58" w:rsidP="00B50726">
      <w:pPr>
        <w:pStyle w:val="paragraph"/>
      </w:pPr>
      <w:r w:rsidRPr="00283424">
        <w:tab/>
        <w:t>(i)</w:t>
      </w:r>
      <w:r w:rsidRPr="00283424">
        <w:tab/>
        <w:t>the review date for the fund;</w:t>
      </w:r>
    </w:p>
    <w:p w14:paraId="0642E0B2" w14:textId="77777777" w:rsidR="00E93F58" w:rsidRPr="00283424" w:rsidRDefault="00E93F58" w:rsidP="00B50726">
      <w:pPr>
        <w:pStyle w:val="paragraph"/>
      </w:pPr>
      <w:r w:rsidRPr="00283424">
        <w:tab/>
        <w:t>(j)</w:t>
      </w:r>
      <w:r w:rsidRPr="00283424">
        <w:tab/>
        <w:t xml:space="preserve">for each financial year for the fund—the name of each auditor of a report for the fund for that year that is prepared in accordance with the financial reporting requirements applying to the fund under the Passport Rules for the </w:t>
      </w:r>
      <w:r w:rsidRPr="00BE1284">
        <w:t>home economy for the fund</w:t>
      </w:r>
      <w:r w:rsidRPr="00283424">
        <w:t>;</w:t>
      </w:r>
    </w:p>
    <w:p w14:paraId="4EB2BCB1" w14:textId="77777777" w:rsidR="00E93F58" w:rsidRPr="00283424" w:rsidRDefault="00E93F58" w:rsidP="00B50726">
      <w:pPr>
        <w:pStyle w:val="paragraph"/>
      </w:pPr>
      <w:r w:rsidRPr="00283424">
        <w:tab/>
        <w:t>(k)</w:t>
      </w:r>
      <w:r w:rsidRPr="00283424">
        <w:tab/>
        <w:t>for each review period for the fund for which the fund is required under section 15 of the Passport Rules for this jurisdiction to conduct an implementation review—the name of the implementation reviewer.</w:t>
      </w:r>
    </w:p>
    <w:p w14:paraId="39FDBCB3" w14:textId="77777777" w:rsidR="00E93F58" w:rsidRPr="00283424" w:rsidRDefault="00E93F58" w:rsidP="00B50726">
      <w:pPr>
        <w:pStyle w:val="subsection"/>
      </w:pPr>
      <w:r w:rsidRPr="00283424">
        <w:tab/>
        <w:t>(4)</w:t>
      </w:r>
      <w:r w:rsidRPr="00283424">
        <w:tab/>
        <w:t>For the purposes of paragraph 1214(3)(b) of the Act, the following details are prescribed for each fund that has been removed as a notified foreign passport fund:</w:t>
      </w:r>
    </w:p>
    <w:p w14:paraId="563CF62B" w14:textId="77777777" w:rsidR="00E93F58" w:rsidRPr="00283424" w:rsidRDefault="00E93F58" w:rsidP="00B50726">
      <w:pPr>
        <w:pStyle w:val="paragraph"/>
      </w:pPr>
      <w:r w:rsidRPr="00283424">
        <w:tab/>
        <w:t>(a)</w:t>
      </w:r>
      <w:r w:rsidRPr="00283424">
        <w:tab/>
        <w:t>the details that were prescribed for the fund under subregulation (3) immediately before the fund was removed, except for the details that were prescribed under paragraph (3)(c);</w:t>
      </w:r>
    </w:p>
    <w:p w14:paraId="7BBCB2F9" w14:textId="77777777" w:rsidR="00E93F58" w:rsidRPr="00283424" w:rsidRDefault="00E93F58" w:rsidP="00B50726">
      <w:pPr>
        <w:pStyle w:val="paragraph"/>
      </w:pPr>
      <w:r w:rsidRPr="00283424">
        <w:tab/>
        <w:t>(b)</w:t>
      </w:r>
      <w:r w:rsidRPr="00283424">
        <w:tab/>
        <w:t>a statement that the fund has been removed;</w:t>
      </w:r>
    </w:p>
    <w:p w14:paraId="112AF51E" w14:textId="77777777" w:rsidR="00E93F58" w:rsidRPr="00283424" w:rsidRDefault="00E93F58" w:rsidP="00B50726">
      <w:pPr>
        <w:pStyle w:val="paragraph"/>
      </w:pPr>
      <w:r w:rsidRPr="00283424">
        <w:tab/>
        <w:t>(c)</w:t>
      </w:r>
      <w:r w:rsidRPr="00283424">
        <w:tab/>
        <w:t>the date on which the fund was removed;</w:t>
      </w:r>
    </w:p>
    <w:p w14:paraId="380A40B6" w14:textId="77777777" w:rsidR="00E93F58" w:rsidRPr="00283424" w:rsidRDefault="00E93F58" w:rsidP="00B50726">
      <w:pPr>
        <w:pStyle w:val="paragraph"/>
      </w:pPr>
      <w:r w:rsidRPr="00283424">
        <w:tab/>
        <w:t>(d)</w:t>
      </w:r>
      <w:r w:rsidRPr="00283424">
        <w:tab/>
        <w:t>a statement indicating which of the following the fund was removed under:</w:t>
      </w:r>
    </w:p>
    <w:p w14:paraId="7C616486" w14:textId="77777777" w:rsidR="00E93F58" w:rsidRPr="00283424" w:rsidRDefault="00E93F58" w:rsidP="00B50726">
      <w:pPr>
        <w:pStyle w:val="paragraphsub"/>
      </w:pPr>
      <w:r w:rsidRPr="00283424">
        <w:tab/>
        <w:t>(i)</w:t>
      </w:r>
      <w:r w:rsidRPr="00283424">
        <w:tab/>
        <w:t>Subdivision A of Division 2 of Part 8A.7 of the Act (voluntarily denotification);</w:t>
      </w:r>
    </w:p>
    <w:p w14:paraId="3F5A63CA" w14:textId="77777777" w:rsidR="00E93F58" w:rsidRPr="00283424" w:rsidRDefault="00E93F58" w:rsidP="00B50726">
      <w:pPr>
        <w:pStyle w:val="paragraphsub"/>
      </w:pPr>
      <w:r w:rsidRPr="00283424">
        <w:tab/>
        <w:t>(ii)</w:t>
      </w:r>
      <w:r w:rsidRPr="00283424">
        <w:tab/>
        <w:t>Subdivision B of Division 2 of Part 8A.7 of the Act (denotification as a result of deregistration as a passport fund in the home economy for the fund).</w:t>
      </w:r>
    </w:p>
    <w:p w14:paraId="09B300A5" w14:textId="77777777" w:rsidR="00E93F58" w:rsidRPr="00283424" w:rsidRDefault="00E93F58" w:rsidP="00B50726">
      <w:pPr>
        <w:pStyle w:val="ActHead2"/>
        <w:pageBreakBefore/>
      </w:pPr>
      <w:bookmarkStart w:id="2191" w:name="_Toc152055071"/>
      <w:bookmarkStart w:id="2192" w:name="_Toc158712887"/>
      <w:r w:rsidRPr="006F296E">
        <w:rPr>
          <w:rStyle w:val="CharPartNo"/>
        </w:rPr>
        <w:lastRenderedPageBreak/>
        <w:t>Part 8A.7</w:t>
      </w:r>
      <w:r w:rsidRPr="00283424">
        <w:t>—</w:t>
      </w:r>
      <w:r w:rsidRPr="006F296E">
        <w:rPr>
          <w:rStyle w:val="CharPartText"/>
        </w:rPr>
        <w:t>Deregistration and denotification</w:t>
      </w:r>
      <w:bookmarkEnd w:id="2191"/>
      <w:bookmarkEnd w:id="2192"/>
    </w:p>
    <w:p w14:paraId="332C7FA0" w14:textId="77777777" w:rsidR="00E93F58" w:rsidRPr="00283424" w:rsidRDefault="00E93F58" w:rsidP="00B50726">
      <w:pPr>
        <w:pStyle w:val="Header"/>
      </w:pPr>
      <w:r w:rsidRPr="006F296E">
        <w:rPr>
          <w:rStyle w:val="CharDivNo"/>
        </w:rPr>
        <w:t xml:space="preserve"> </w:t>
      </w:r>
      <w:r w:rsidRPr="006F296E">
        <w:rPr>
          <w:rStyle w:val="CharDivText"/>
        </w:rPr>
        <w:t xml:space="preserve"> </w:t>
      </w:r>
    </w:p>
    <w:p w14:paraId="4D28F41E" w14:textId="77777777" w:rsidR="00E93F58" w:rsidRPr="00283424" w:rsidRDefault="00E93F58" w:rsidP="00B50726">
      <w:pPr>
        <w:pStyle w:val="ActHead5"/>
      </w:pPr>
      <w:bookmarkStart w:id="2193" w:name="_Toc152055072"/>
      <w:bookmarkStart w:id="2194" w:name="_Toc158712888"/>
      <w:r w:rsidRPr="006F296E">
        <w:rPr>
          <w:rStyle w:val="CharSectno"/>
        </w:rPr>
        <w:t>8A.7.10</w:t>
      </w:r>
      <w:r w:rsidRPr="00283424">
        <w:t xml:space="preserve">  Authority</w:t>
      </w:r>
      <w:bookmarkEnd w:id="2193"/>
      <w:bookmarkEnd w:id="2194"/>
    </w:p>
    <w:p w14:paraId="3729F851" w14:textId="77777777" w:rsidR="00E93F58" w:rsidRPr="00283424" w:rsidRDefault="00E93F58" w:rsidP="00B50726">
      <w:pPr>
        <w:pStyle w:val="subsection"/>
      </w:pPr>
      <w:r w:rsidRPr="00283424">
        <w:tab/>
      </w:r>
      <w:r w:rsidRPr="00283424">
        <w:tab/>
        <w:t>This Part is made under section 1216L of the Act.</w:t>
      </w:r>
    </w:p>
    <w:p w14:paraId="602817F6" w14:textId="77777777" w:rsidR="00E93F58" w:rsidRPr="00283424" w:rsidRDefault="00E93F58" w:rsidP="00B50726">
      <w:pPr>
        <w:pStyle w:val="ActHead5"/>
      </w:pPr>
      <w:bookmarkStart w:id="2195" w:name="_Toc152055073"/>
      <w:bookmarkStart w:id="2196" w:name="_Toc158712889"/>
      <w:r w:rsidRPr="006F296E">
        <w:rPr>
          <w:rStyle w:val="CharSectno"/>
        </w:rPr>
        <w:t>8A.7.15</w:t>
      </w:r>
      <w:r w:rsidRPr="00283424">
        <w:t xml:space="preserve">  Continued application of Corporations legislation to deregistered Australian passport funds</w:t>
      </w:r>
      <w:bookmarkEnd w:id="2195"/>
      <w:bookmarkEnd w:id="2196"/>
    </w:p>
    <w:p w14:paraId="7D2C1EB7" w14:textId="77777777" w:rsidR="00E93F58" w:rsidRPr="00283424" w:rsidRDefault="00E93F58" w:rsidP="00B50726">
      <w:pPr>
        <w:pStyle w:val="subsection"/>
      </w:pPr>
      <w:r w:rsidRPr="00283424">
        <w:tab/>
        <w:t>(1)</w:t>
      </w:r>
      <w:r w:rsidRPr="00283424">
        <w:tab/>
        <w:t>During the transition period for a fund that has been deregistered as an Australian passport fund, each of the following continues to apply in relation to the fund as if it were an Australian passport fund:</w:t>
      </w:r>
    </w:p>
    <w:p w14:paraId="20A35755" w14:textId="77777777" w:rsidR="00E93F58" w:rsidRPr="00283424" w:rsidRDefault="00E93F58" w:rsidP="00B50726">
      <w:pPr>
        <w:pStyle w:val="paragraph"/>
      </w:pPr>
      <w:r w:rsidRPr="00283424">
        <w:tab/>
        <w:t>(a)</w:t>
      </w:r>
      <w:r w:rsidRPr="00283424">
        <w:tab/>
        <w:t>Part 1.2A and any provisions of the Act dealing with disclosing entities;</w:t>
      </w:r>
    </w:p>
    <w:p w14:paraId="355A0D4E" w14:textId="77777777" w:rsidR="00E93F58" w:rsidRPr="00283424" w:rsidRDefault="00E93F58" w:rsidP="00B50726">
      <w:pPr>
        <w:pStyle w:val="paragraph"/>
      </w:pPr>
      <w:r w:rsidRPr="00283424">
        <w:tab/>
        <w:t>(b)</w:t>
      </w:r>
      <w:r w:rsidRPr="00283424">
        <w:tab/>
        <w:t>Chapters 2C, 2D, 2F, 2G, 2M, 2N and 2P;</w:t>
      </w:r>
    </w:p>
    <w:p w14:paraId="5ABD305E" w14:textId="77777777" w:rsidR="00E93F58" w:rsidRPr="00283424" w:rsidRDefault="00E93F58" w:rsidP="00B50726">
      <w:pPr>
        <w:pStyle w:val="paragraph"/>
      </w:pPr>
      <w:r w:rsidRPr="00283424">
        <w:tab/>
        <w:t>(c)</w:t>
      </w:r>
      <w:r w:rsidRPr="00283424">
        <w:tab/>
        <w:t>Chapters 6, 6A, 6B, 6C and 6CA;</w:t>
      </w:r>
    </w:p>
    <w:p w14:paraId="26F5677B" w14:textId="77777777" w:rsidR="00E93F58" w:rsidRPr="00283424" w:rsidRDefault="00E93F58" w:rsidP="00B50726">
      <w:pPr>
        <w:pStyle w:val="paragraph"/>
      </w:pPr>
      <w:r w:rsidRPr="00283424">
        <w:tab/>
        <w:t>(d)</w:t>
      </w:r>
      <w:r w:rsidRPr="00283424">
        <w:tab/>
        <w:t>Chapter 7;</w:t>
      </w:r>
    </w:p>
    <w:p w14:paraId="2F8FB1A7" w14:textId="77777777" w:rsidR="00E93F58" w:rsidRPr="00283424" w:rsidRDefault="00E93F58" w:rsidP="00B50726">
      <w:pPr>
        <w:pStyle w:val="paragraph"/>
      </w:pPr>
      <w:r w:rsidRPr="00283424">
        <w:tab/>
        <w:t>(e)</w:t>
      </w:r>
      <w:r w:rsidRPr="00283424">
        <w:tab/>
        <w:t>Part 8A.1, Part 8A.2, section 1212B, Part 8A.5, Part 8A.6, Part 8A.7 and Part 8A.8;</w:t>
      </w:r>
    </w:p>
    <w:p w14:paraId="369F1096" w14:textId="77777777" w:rsidR="00E93F58" w:rsidRPr="00283424" w:rsidRDefault="00E93F58" w:rsidP="00B50726">
      <w:pPr>
        <w:pStyle w:val="paragraph"/>
      </w:pPr>
      <w:r w:rsidRPr="00283424">
        <w:tab/>
        <w:t>(f)</w:t>
      </w:r>
      <w:r w:rsidRPr="00283424">
        <w:tab/>
        <w:t>Chapter 9;</w:t>
      </w:r>
    </w:p>
    <w:p w14:paraId="0F4C17D2" w14:textId="77777777" w:rsidR="00E93F58" w:rsidRPr="00283424" w:rsidRDefault="00E93F58" w:rsidP="00B50726">
      <w:pPr>
        <w:pStyle w:val="paragraph"/>
      </w:pPr>
      <w:r w:rsidRPr="00283424">
        <w:tab/>
        <w:t>(g)</w:t>
      </w:r>
      <w:r w:rsidRPr="00283424">
        <w:tab/>
        <w:t>the remaining provisions of the Corporations legislation, to the extent that they apply:</w:t>
      </w:r>
    </w:p>
    <w:p w14:paraId="753A9825" w14:textId="77777777" w:rsidR="00E93F58" w:rsidRPr="00283424" w:rsidRDefault="00E93F58" w:rsidP="00B50726">
      <w:pPr>
        <w:pStyle w:val="paragraphsub"/>
      </w:pPr>
      <w:r w:rsidRPr="00283424">
        <w:tab/>
        <w:t>(i)</w:t>
      </w:r>
      <w:r w:rsidRPr="00283424">
        <w:tab/>
        <w:t>in relation to a provision mentioned in paragraphs (a) to (f); or</w:t>
      </w:r>
    </w:p>
    <w:p w14:paraId="63EBC0DF" w14:textId="77777777" w:rsidR="00E93F58" w:rsidRPr="00283424" w:rsidRDefault="00E93F58" w:rsidP="00B50726">
      <w:pPr>
        <w:pStyle w:val="paragraphsub"/>
      </w:pPr>
      <w:r w:rsidRPr="00283424">
        <w:tab/>
        <w:t>(ii)</w:t>
      </w:r>
      <w:r w:rsidRPr="00283424">
        <w:tab/>
        <w:t>in relation to compliance with or enforcement of a provision mentioned in paragraphs (a) to (f).</w:t>
      </w:r>
    </w:p>
    <w:p w14:paraId="6653078C" w14:textId="77777777" w:rsidR="00E93F58" w:rsidRPr="00283424" w:rsidRDefault="00E93F58" w:rsidP="00B50726">
      <w:pPr>
        <w:pStyle w:val="notetext"/>
      </w:pPr>
      <w:r w:rsidRPr="00283424">
        <w:t>Note:</w:t>
      </w:r>
      <w:r w:rsidRPr="00283424">
        <w:tab/>
        <w:t>A fund may be deregistered as an Australian passport fund under Division 1 of Part 8A.7 of the Act or under Division 2 of Part 5C.10 of the Act.</w:t>
      </w:r>
    </w:p>
    <w:p w14:paraId="1A556C37" w14:textId="77777777" w:rsidR="00E93F58" w:rsidRPr="00283424" w:rsidRDefault="00E93F58" w:rsidP="00B50726">
      <w:pPr>
        <w:pStyle w:val="subsection"/>
      </w:pPr>
      <w:r w:rsidRPr="00283424">
        <w:tab/>
        <w:t>(2)</w:t>
      </w:r>
      <w:r w:rsidRPr="00283424">
        <w:tab/>
        <w:t xml:space="preserve">In this regulation, the </w:t>
      </w:r>
      <w:r w:rsidRPr="00283424">
        <w:rPr>
          <w:b/>
          <w:i/>
        </w:rPr>
        <w:t>transition period</w:t>
      </w:r>
      <w:r w:rsidRPr="00283424">
        <w:t xml:space="preserve"> for a fund that has been deregistered as an Australian passport fund is the period:</w:t>
      </w:r>
    </w:p>
    <w:p w14:paraId="5A25321A" w14:textId="77777777" w:rsidR="00E93F58" w:rsidRPr="00283424" w:rsidRDefault="00E93F58" w:rsidP="00B50726">
      <w:pPr>
        <w:pStyle w:val="paragraph"/>
      </w:pPr>
      <w:r w:rsidRPr="00283424">
        <w:tab/>
        <w:t>(a)</w:t>
      </w:r>
      <w:r w:rsidRPr="00283424">
        <w:tab/>
        <w:t>beginning on the day on which the fund is deregistered as an Australian passport fund (see subsection 1216D(3) of the Act); and</w:t>
      </w:r>
    </w:p>
    <w:p w14:paraId="5FFFEB28" w14:textId="77777777" w:rsidR="00E93F58" w:rsidRPr="00283424" w:rsidRDefault="00E93F58" w:rsidP="00B50726">
      <w:pPr>
        <w:pStyle w:val="paragraph"/>
      </w:pPr>
      <w:r w:rsidRPr="00283424">
        <w:tab/>
        <w:t>(b)</w:t>
      </w:r>
      <w:r w:rsidRPr="00283424">
        <w:tab/>
        <w:t>ending on the last day on which there are any protected members of the fund.</w:t>
      </w:r>
    </w:p>
    <w:p w14:paraId="77ED43F5" w14:textId="77777777" w:rsidR="00E93F58" w:rsidRPr="00283424" w:rsidRDefault="00E93F58" w:rsidP="00B50726">
      <w:pPr>
        <w:pStyle w:val="subsection"/>
      </w:pPr>
      <w:r w:rsidRPr="00283424">
        <w:tab/>
        <w:t>(3)</w:t>
      </w:r>
      <w:r w:rsidRPr="00283424">
        <w:tab/>
        <w:t xml:space="preserve">A person is a </w:t>
      </w:r>
      <w:r w:rsidRPr="00283424">
        <w:rPr>
          <w:b/>
          <w:i/>
        </w:rPr>
        <w:t xml:space="preserve">protected member </w:t>
      </w:r>
      <w:r w:rsidRPr="00283424">
        <w:t>of a fund that has been deregistered as an Australian passport fund if the person became a member of the fund (whether in this jurisdiction or any host economy for the fund):</w:t>
      </w:r>
    </w:p>
    <w:p w14:paraId="6454F374" w14:textId="77777777" w:rsidR="00E93F58" w:rsidRPr="00283424" w:rsidRDefault="00E93F58" w:rsidP="00B50726">
      <w:pPr>
        <w:pStyle w:val="paragraph"/>
      </w:pPr>
      <w:r w:rsidRPr="00283424">
        <w:tab/>
        <w:t>(a)</w:t>
      </w:r>
      <w:r w:rsidRPr="00283424">
        <w:tab/>
        <w:t>after the fund became an Australian passport fund; or</w:t>
      </w:r>
    </w:p>
    <w:p w14:paraId="2A0CA73F" w14:textId="77777777" w:rsidR="00E93F58" w:rsidRPr="00283424" w:rsidRDefault="00E93F58" w:rsidP="00B50726">
      <w:pPr>
        <w:pStyle w:val="paragraph"/>
      </w:pPr>
      <w:r w:rsidRPr="00283424">
        <w:tab/>
        <w:t>(b)</w:t>
      </w:r>
      <w:r w:rsidRPr="00283424">
        <w:tab/>
        <w:t>on the expectation that the fund would become an Australian passport fund.</w:t>
      </w:r>
    </w:p>
    <w:p w14:paraId="4278EA43" w14:textId="77777777" w:rsidR="00E93F58" w:rsidRPr="00283424" w:rsidRDefault="00E93F58" w:rsidP="00B50726">
      <w:pPr>
        <w:pStyle w:val="subsection"/>
      </w:pPr>
      <w:r w:rsidRPr="00283424">
        <w:tab/>
        <w:t>(4)</w:t>
      </w:r>
      <w:r w:rsidRPr="00283424">
        <w:tab/>
        <w:t xml:space="preserve">For the purposes of the definition of </w:t>
      </w:r>
      <w:r w:rsidRPr="00283424">
        <w:rPr>
          <w:b/>
          <w:i/>
        </w:rPr>
        <w:t>protected member</w:t>
      </w:r>
      <w:r w:rsidRPr="00283424">
        <w:t xml:space="preserve"> in subregulation (3), ignore any member of the fund that:</w:t>
      </w:r>
    </w:p>
    <w:p w14:paraId="33BFE608" w14:textId="77777777" w:rsidR="00E93F58" w:rsidRPr="00283424" w:rsidRDefault="00E93F58" w:rsidP="00B50726">
      <w:pPr>
        <w:pStyle w:val="paragraph"/>
      </w:pPr>
      <w:r w:rsidRPr="00283424">
        <w:tab/>
        <w:t>(a)</w:t>
      </w:r>
      <w:r w:rsidRPr="00283424">
        <w:tab/>
        <w:t>is, or has at any time been, the operator of the fund; or</w:t>
      </w:r>
    </w:p>
    <w:p w14:paraId="63E884A4" w14:textId="77777777" w:rsidR="00E93F58" w:rsidRPr="00283424" w:rsidRDefault="00E93F58" w:rsidP="00B50726">
      <w:pPr>
        <w:pStyle w:val="paragraph"/>
      </w:pPr>
      <w:r w:rsidRPr="00283424">
        <w:tab/>
        <w:t>(b)</w:t>
      </w:r>
      <w:r w:rsidRPr="00283424">
        <w:tab/>
        <w:t>is a related party of an entity that is, or has at any time been, the operator of the fund.</w:t>
      </w:r>
    </w:p>
    <w:p w14:paraId="6A356935" w14:textId="77777777" w:rsidR="00E93F58" w:rsidRPr="00283424" w:rsidRDefault="00E93F58" w:rsidP="00B50726">
      <w:pPr>
        <w:pStyle w:val="subsection"/>
      </w:pPr>
      <w:r w:rsidRPr="00283424">
        <w:tab/>
        <w:t>(5)</w:t>
      </w:r>
      <w:r w:rsidRPr="00283424">
        <w:tab/>
        <w:t xml:space="preserve">If a fund has been deregistered as an Australian passport fund, a reference to the </w:t>
      </w:r>
      <w:r w:rsidRPr="00283424">
        <w:rPr>
          <w:b/>
          <w:i/>
        </w:rPr>
        <w:t xml:space="preserve">operator </w:t>
      </w:r>
      <w:r w:rsidRPr="00283424">
        <w:t>in relation to the fund in:</w:t>
      </w:r>
    </w:p>
    <w:p w14:paraId="1E120A18" w14:textId="77777777" w:rsidR="00E93F58" w:rsidRPr="00283424" w:rsidRDefault="00E93F58" w:rsidP="00B50726">
      <w:pPr>
        <w:pStyle w:val="paragraph"/>
      </w:pPr>
      <w:r w:rsidRPr="00283424">
        <w:tab/>
        <w:t>(a)</w:t>
      </w:r>
      <w:r w:rsidRPr="00283424">
        <w:tab/>
        <w:t>this regulation; or</w:t>
      </w:r>
    </w:p>
    <w:p w14:paraId="351A0D84" w14:textId="77777777" w:rsidR="00E93F58" w:rsidRPr="00283424" w:rsidRDefault="00E93F58" w:rsidP="00B50726">
      <w:pPr>
        <w:pStyle w:val="paragraph"/>
      </w:pPr>
      <w:r w:rsidRPr="00283424">
        <w:tab/>
        <w:t>(b)</w:t>
      </w:r>
      <w:r w:rsidRPr="00283424">
        <w:tab/>
        <w:t>any provision of the Corporations legislation the application of which is continued under subregulation (1);</w:t>
      </w:r>
    </w:p>
    <w:p w14:paraId="43854FC7" w14:textId="77777777" w:rsidR="00E93F58" w:rsidRPr="00283424" w:rsidRDefault="00E93F58" w:rsidP="00B50726">
      <w:pPr>
        <w:pStyle w:val="subsection2"/>
      </w:pPr>
      <w:r w:rsidRPr="00283424">
        <w:t>is a reference to the responsible entity for the registered scheme that constitutes the fund or, if the fund has ceased to be a registered scheme, the entity or entities that control the fund.</w:t>
      </w:r>
    </w:p>
    <w:p w14:paraId="6C52626D" w14:textId="77777777" w:rsidR="00E93F58" w:rsidRPr="00283424" w:rsidRDefault="00E93F58" w:rsidP="00B50726">
      <w:pPr>
        <w:pStyle w:val="ActHead5"/>
      </w:pPr>
      <w:bookmarkStart w:id="2197" w:name="_Toc152055074"/>
      <w:bookmarkStart w:id="2198" w:name="_Toc158712890"/>
      <w:r w:rsidRPr="006F296E">
        <w:rPr>
          <w:rStyle w:val="CharSectno"/>
        </w:rPr>
        <w:t>8A.7.20</w:t>
      </w:r>
      <w:r w:rsidRPr="00283424">
        <w:t xml:space="preserve">  Continued application of Corporations legislation to funds that have been removed as notified foreign passport funds</w:t>
      </w:r>
      <w:bookmarkEnd w:id="2197"/>
      <w:bookmarkEnd w:id="2198"/>
    </w:p>
    <w:p w14:paraId="2F96E756" w14:textId="77777777" w:rsidR="00E93F58" w:rsidRPr="00283424" w:rsidRDefault="00E93F58" w:rsidP="00B50726">
      <w:pPr>
        <w:pStyle w:val="subsection"/>
      </w:pPr>
      <w:r w:rsidRPr="00283424">
        <w:tab/>
        <w:t>(1)</w:t>
      </w:r>
      <w:r w:rsidRPr="00283424">
        <w:tab/>
        <w:t>During the transition period for a fund that has been removed as a notified foreign passport fund, each of the following continues to apply in relation to the fund as if it were a notified foreign passport fund:</w:t>
      </w:r>
    </w:p>
    <w:p w14:paraId="4B358BE8" w14:textId="77777777" w:rsidR="00E93F58" w:rsidRPr="00283424" w:rsidRDefault="00E93F58" w:rsidP="00B50726">
      <w:pPr>
        <w:pStyle w:val="paragraph"/>
      </w:pPr>
      <w:r w:rsidRPr="00283424">
        <w:tab/>
        <w:t>(a)</w:t>
      </w:r>
      <w:r w:rsidRPr="00283424">
        <w:tab/>
        <w:t>Part 1.2A and any provisions of the Act dealing with disclosing entities;</w:t>
      </w:r>
    </w:p>
    <w:p w14:paraId="60452FED" w14:textId="77777777" w:rsidR="00E93F58" w:rsidRPr="00283424" w:rsidRDefault="00E93F58" w:rsidP="00B50726">
      <w:pPr>
        <w:pStyle w:val="paragraph"/>
      </w:pPr>
      <w:r w:rsidRPr="00283424">
        <w:tab/>
        <w:t>(b)</w:t>
      </w:r>
      <w:r w:rsidRPr="00283424">
        <w:tab/>
        <w:t>Chapters 2C, 2D, 2F, 2G, 2M, 2N and 2P;</w:t>
      </w:r>
    </w:p>
    <w:p w14:paraId="594C7F79" w14:textId="77777777" w:rsidR="00E93F58" w:rsidRPr="00283424" w:rsidRDefault="00E93F58" w:rsidP="00B50726">
      <w:pPr>
        <w:pStyle w:val="paragraph"/>
      </w:pPr>
      <w:r w:rsidRPr="00283424">
        <w:tab/>
        <w:t>(c)</w:t>
      </w:r>
      <w:r w:rsidRPr="00283424">
        <w:tab/>
        <w:t>Chapters 6, 6A, 6B, 6C and 6CA;</w:t>
      </w:r>
    </w:p>
    <w:p w14:paraId="66C31FC5" w14:textId="77777777" w:rsidR="00E93F58" w:rsidRPr="00283424" w:rsidRDefault="00E93F58" w:rsidP="00B50726">
      <w:pPr>
        <w:pStyle w:val="paragraph"/>
      </w:pPr>
      <w:r w:rsidRPr="00283424">
        <w:tab/>
        <w:t>(d)</w:t>
      </w:r>
      <w:r w:rsidRPr="00283424">
        <w:tab/>
        <w:t>Chapter 7;</w:t>
      </w:r>
    </w:p>
    <w:p w14:paraId="66A6A819" w14:textId="77777777" w:rsidR="00E93F58" w:rsidRPr="00283424" w:rsidRDefault="00E93F58" w:rsidP="00B50726">
      <w:pPr>
        <w:pStyle w:val="paragraph"/>
      </w:pPr>
      <w:r w:rsidRPr="00283424">
        <w:tab/>
        <w:t>(e)</w:t>
      </w:r>
      <w:r w:rsidRPr="00283424">
        <w:tab/>
        <w:t>Part 8A.1, Part 8A.2, Divisions 2, 3 and 4 of Part 8A.4, Part 8A.5, Part 8A.6, Part 8A.7 and Part 8A.8;</w:t>
      </w:r>
    </w:p>
    <w:p w14:paraId="228BB7A0" w14:textId="77777777" w:rsidR="00E93F58" w:rsidRPr="00283424" w:rsidRDefault="00E93F58" w:rsidP="00B50726">
      <w:pPr>
        <w:pStyle w:val="paragraph"/>
      </w:pPr>
      <w:r w:rsidRPr="00283424">
        <w:tab/>
        <w:t>(f)</w:t>
      </w:r>
      <w:r w:rsidRPr="00283424">
        <w:tab/>
        <w:t>Chapter 9;</w:t>
      </w:r>
    </w:p>
    <w:p w14:paraId="65104838" w14:textId="77777777" w:rsidR="00E93F58" w:rsidRPr="00283424" w:rsidRDefault="00E93F58" w:rsidP="00B50726">
      <w:pPr>
        <w:pStyle w:val="paragraph"/>
      </w:pPr>
      <w:r w:rsidRPr="00283424">
        <w:lastRenderedPageBreak/>
        <w:tab/>
        <w:t>(g)</w:t>
      </w:r>
      <w:r w:rsidRPr="00283424">
        <w:tab/>
        <w:t>the remaining provisions of the Corporations legislation, to the extent that they apply:</w:t>
      </w:r>
    </w:p>
    <w:p w14:paraId="3CAF770B" w14:textId="77777777" w:rsidR="00E93F58" w:rsidRPr="00283424" w:rsidRDefault="00E93F58" w:rsidP="00B50726">
      <w:pPr>
        <w:pStyle w:val="paragraphsub"/>
      </w:pPr>
      <w:r w:rsidRPr="00283424">
        <w:tab/>
        <w:t>(i)</w:t>
      </w:r>
      <w:r w:rsidRPr="00283424">
        <w:tab/>
        <w:t>in relation to a provision mentioned in paragraphs (a) to (f); or</w:t>
      </w:r>
    </w:p>
    <w:p w14:paraId="3276ADA6" w14:textId="77777777" w:rsidR="00E93F58" w:rsidRPr="00283424" w:rsidRDefault="00E93F58" w:rsidP="00B50726">
      <w:pPr>
        <w:pStyle w:val="paragraphsub"/>
      </w:pPr>
      <w:r w:rsidRPr="00283424">
        <w:tab/>
        <w:t>(ii)</w:t>
      </w:r>
      <w:r w:rsidRPr="00283424">
        <w:tab/>
        <w:t>in relation to compliance with or enforcement of a provision mentioned in paragraphs (a) to (f).</w:t>
      </w:r>
    </w:p>
    <w:p w14:paraId="0DF08C2E" w14:textId="77777777" w:rsidR="00E93F58" w:rsidRPr="00283424" w:rsidRDefault="00E93F58" w:rsidP="00B50726">
      <w:pPr>
        <w:pStyle w:val="notetext"/>
      </w:pPr>
      <w:r w:rsidRPr="00283424">
        <w:t>Note:</w:t>
      </w:r>
      <w:r w:rsidRPr="00283424">
        <w:tab/>
        <w:t>A fund may be removed as a notified foreign passport fund under Division 2 of Part 8A.7 of the Act.</w:t>
      </w:r>
    </w:p>
    <w:p w14:paraId="603E7024" w14:textId="77777777" w:rsidR="00E93F58" w:rsidRPr="00283424" w:rsidRDefault="00E93F58" w:rsidP="00B50726">
      <w:pPr>
        <w:pStyle w:val="subsection"/>
      </w:pPr>
      <w:r w:rsidRPr="00283424">
        <w:tab/>
        <w:t>(2)</w:t>
      </w:r>
      <w:r w:rsidRPr="00283424">
        <w:tab/>
        <w:t xml:space="preserve">In this regulation, the </w:t>
      </w:r>
      <w:r w:rsidRPr="00283424">
        <w:rPr>
          <w:b/>
          <w:i/>
        </w:rPr>
        <w:t>transition period</w:t>
      </w:r>
      <w:r w:rsidRPr="00283424">
        <w:t xml:space="preserve"> for a fund that has been removed as a notified foreign passport fund is the period:</w:t>
      </w:r>
    </w:p>
    <w:p w14:paraId="5660EE18" w14:textId="77777777" w:rsidR="00E93F58" w:rsidRPr="00283424" w:rsidRDefault="00E93F58" w:rsidP="00B50726">
      <w:pPr>
        <w:pStyle w:val="paragraph"/>
      </w:pPr>
      <w:r w:rsidRPr="00283424">
        <w:tab/>
        <w:t>(a)</w:t>
      </w:r>
      <w:r w:rsidRPr="00283424">
        <w:tab/>
        <w:t>beginning on the day on which the fund is removed as a notified foreign passport fund (see subsection 1216J(3)); and</w:t>
      </w:r>
    </w:p>
    <w:p w14:paraId="5F9AE077" w14:textId="77777777" w:rsidR="00E93F58" w:rsidRPr="00283424" w:rsidRDefault="00E93F58" w:rsidP="00B50726">
      <w:pPr>
        <w:pStyle w:val="paragraph"/>
      </w:pPr>
      <w:r w:rsidRPr="00283424">
        <w:tab/>
        <w:t>(b)</w:t>
      </w:r>
      <w:r w:rsidRPr="00283424">
        <w:tab/>
        <w:t>ending on the last day on which there are any protected members of the fund.</w:t>
      </w:r>
    </w:p>
    <w:p w14:paraId="53A21596" w14:textId="77777777" w:rsidR="00E93F58" w:rsidRPr="00283424" w:rsidRDefault="00E93F58" w:rsidP="00B50726">
      <w:pPr>
        <w:pStyle w:val="subsection"/>
      </w:pPr>
      <w:r w:rsidRPr="00283424">
        <w:tab/>
        <w:t>(3)</w:t>
      </w:r>
      <w:r w:rsidRPr="00283424">
        <w:tab/>
        <w:t xml:space="preserve">A person is a </w:t>
      </w:r>
      <w:r w:rsidRPr="00283424">
        <w:rPr>
          <w:b/>
          <w:i/>
        </w:rPr>
        <w:t xml:space="preserve">protected member </w:t>
      </w:r>
      <w:r w:rsidRPr="00283424">
        <w:t>of a fund that has been removed as a notified foreign passport fund if the person became a member of the fund (whether in this jurisdiction or any other participating economy for the fund):</w:t>
      </w:r>
    </w:p>
    <w:p w14:paraId="0C230BF7" w14:textId="77777777" w:rsidR="00E93F58" w:rsidRPr="00283424" w:rsidRDefault="00E93F58" w:rsidP="00B50726">
      <w:pPr>
        <w:pStyle w:val="paragraph"/>
      </w:pPr>
      <w:r w:rsidRPr="00283424">
        <w:tab/>
        <w:t>(a)</w:t>
      </w:r>
      <w:r w:rsidRPr="00283424">
        <w:tab/>
        <w:t>after the fund became a notified foreign passport fund; or</w:t>
      </w:r>
    </w:p>
    <w:p w14:paraId="378EA87F" w14:textId="77777777" w:rsidR="00E93F58" w:rsidRPr="00283424" w:rsidRDefault="00E93F58" w:rsidP="00B50726">
      <w:pPr>
        <w:pStyle w:val="paragraph"/>
      </w:pPr>
      <w:r w:rsidRPr="00283424">
        <w:tab/>
        <w:t>(b)</w:t>
      </w:r>
      <w:r w:rsidRPr="00283424">
        <w:tab/>
        <w:t>on the expectation that the fund would become a notified foreign passport fund.</w:t>
      </w:r>
    </w:p>
    <w:p w14:paraId="76E2D897" w14:textId="77777777" w:rsidR="00E93F58" w:rsidRPr="00283424" w:rsidRDefault="00E93F58" w:rsidP="00B50726">
      <w:pPr>
        <w:pStyle w:val="subsection"/>
      </w:pPr>
      <w:r w:rsidRPr="00283424">
        <w:tab/>
        <w:t>(4)</w:t>
      </w:r>
      <w:r w:rsidRPr="00283424">
        <w:tab/>
        <w:t xml:space="preserve">For the purposes of the definition of </w:t>
      </w:r>
      <w:r w:rsidRPr="00283424">
        <w:rPr>
          <w:b/>
          <w:i/>
        </w:rPr>
        <w:t>protected member</w:t>
      </w:r>
      <w:r w:rsidRPr="00283424">
        <w:t xml:space="preserve"> in subregulation (3), ignore any member of the fund that:</w:t>
      </w:r>
    </w:p>
    <w:p w14:paraId="779C0B7E" w14:textId="77777777" w:rsidR="00E93F58" w:rsidRPr="00283424" w:rsidRDefault="00E93F58" w:rsidP="00B50726">
      <w:pPr>
        <w:pStyle w:val="paragraph"/>
      </w:pPr>
      <w:r w:rsidRPr="00283424">
        <w:tab/>
        <w:t>(a)</w:t>
      </w:r>
      <w:r w:rsidRPr="00283424">
        <w:tab/>
        <w:t>is, or has at any time been, the operator of the fund; or</w:t>
      </w:r>
    </w:p>
    <w:p w14:paraId="3871DDAE" w14:textId="77777777" w:rsidR="00E93F58" w:rsidRPr="00283424" w:rsidRDefault="00E93F58" w:rsidP="00B50726">
      <w:pPr>
        <w:pStyle w:val="paragraph"/>
      </w:pPr>
      <w:r w:rsidRPr="00283424">
        <w:tab/>
        <w:t>(b)</w:t>
      </w:r>
      <w:r w:rsidRPr="00283424">
        <w:tab/>
        <w:t>is a related party of an entity that is, or has at any time been, the operator of the fund.</w:t>
      </w:r>
    </w:p>
    <w:p w14:paraId="03522E43" w14:textId="77777777" w:rsidR="00E93F58" w:rsidRPr="00283424" w:rsidRDefault="00E93F58" w:rsidP="00B50726">
      <w:pPr>
        <w:pStyle w:val="subsection"/>
      </w:pPr>
      <w:r w:rsidRPr="00283424">
        <w:tab/>
        <w:t>(5)</w:t>
      </w:r>
      <w:r w:rsidRPr="00283424">
        <w:tab/>
        <w:t xml:space="preserve">If a fund has been removed as a notified foreign passport fund, a reference to the </w:t>
      </w:r>
      <w:r w:rsidRPr="00283424">
        <w:rPr>
          <w:b/>
          <w:i/>
        </w:rPr>
        <w:t xml:space="preserve">operator </w:t>
      </w:r>
      <w:r w:rsidRPr="00283424">
        <w:t>in relation to the fund in:</w:t>
      </w:r>
    </w:p>
    <w:p w14:paraId="02C56FD9" w14:textId="77777777" w:rsidR="00E93F58" w:rsidRPr="00283424" w:rsidRDefault="00E93F58" w:rsidP="00B50726">
      <w:pPr>
        <w:pStyle w:val="paragraph"/>
      </w:pPr>
      <w:r w:rsidRPr="00283424">
        <w:tab/>
        <w:t>(a)</w:t>
      </w:r>
      <w:r w:rsidRPr="00283424">
        <w:tab/>
        <w:t>this regulation; or</w:t>
      </w:r>
    </w:p>
    <w:p w14:paraId="6B609174" w14:textId="77777777" w:rsidR="00E93F58" w:rsidRPr="00283424" w:rsidRDefault="00E93F58" w:rsidP="00B50726">
      <w:pPr>
        <w:pStyle w:val="paragraph"/>
      </w:pPr>
      <w:r w:rsidRPr="00283424">
        <w:tab/>
        <w:t>(b)</w:t>
      </w:r>
      <w:r w:rsidRPr="00283424">
        <w:tab/>
        <w:t>any provision of the Corporations legislation the application of which is continued under subregulation (1);</w:t>
      </w:r>
    </w:p>
    <w:p w14:paraId="72B8F3C3" w14:textId="77777777" w:rsidR="00E93F58" w:rsidRPr="00283424" w:rsidRDefault="00E93F58" w:rsidP="00B50726">
      <w:pPr>
        <w:pStyle w:val="subsection2"/>
      </w:pPr>
      <w:r w:rsidRPr="00283424">
        <w:t>is a reference to the operator of the regulated CIS that constitutes the fund or, if the fund has ceased to be a regulated CIS, the entity or entities that control the fund.</w:t>
      </w:r>
    </w:p>
    <w:p w14:paraId="3C6C764D" w14:textId="77777777" w:rsidR="00E93F58" w:rsidRPr="00283424" w:rsidRDefault="00E93F58" w:rsidP="00B50726">
      <w:pPr>
        <w:pStyle w:val="ActHead1"/>
        <w:pageBreakBefore/>
      </w:pPr>
      <w:bookmarkStart w:id="2199" w:name="_Toc152055075"/>
      <w:bookmarkStart w:id="2200" w:name="_Toc158712891"/>
      <w:r w:rsidRPr="006F296E">
        <w:rPr>
          <w:rStyle w:val="CharChapNo"/>
        </w:rPr>
        <w:lastRenderedPageBreak/>
        <w:t>Chapter 8B</w:t>
      </w:r>
      <w:r w:rsidRPr="00283424">
        <w:t>—</w:t>
      </w:r>
      <w:r w:rsidRPr="006F296E">
        <w:rPr>
          <w:rStyle w:val="CharChapText"/>
        </w:rPr>
        <w:t>Corporate collective investment vehicles</w:t>
      </w:r>
      <w:bookmarkEnd w:id="2199"/>
      <w:bookmarkEnd w:id="2200"/>
    </w:p>
    <w:p w14:paraId="2803488F" w14:textId="77777777" w:rsidR="00E93F58" w:rsidRPr="00283424" w:rsidRDefault="00E93F58" w:rsidP="00B50726">
      <w:pPr>
        <w:pStyle w:val="ActHead2"/>
      </w:pPr>
      <w:bookmarkStart w:id="2201" w:name="_Toc152055076"/>
      <w:bookmarkStart w:id="2202" w:name="_Toc158712892"/>
      <w:r w:rsidRPr="006F296E">
        <w:rPr>
          <w:rStyle w:val="CharPartNo"/>
        </w:rPr>
        <w:t>Part 8B.4</w:t>
      </w:r>
      <w:r w:rsidRPr="00283424">
        <w:t>—</w:t>
      </w:r>
      <w:r w:rsidRPr="006F296E">
        <w:rPr>
          <w:rStyle w:val="CharPartText"/>
        </w:rPr>
        <w:t>Corporate finance and financial reporting for CCIVs</w:t>
      </w:r>
      <w:bookmarkEnd w:id="2201"/>
      <w:bookmarkEnd w:id="2202"/>
    </w:p>
    <w:p w14:paraId="21034E99" w14:textId="77777777" w:rsidR="00E93F58" w:rsidRPr="00283424" w:rsidRDefault="00E93F58" w:rsidP="00B50726">
      <w:pPr>
        <w:pStyle w:val="ActHead3"/>
      </w:pPr>
      <w:bookmarkStart w:id="2203" w:name="_Toc152055077"/>
      <w:bookmarkStart w:id="2204" w:name="_Toc158712893"/>
      <w:r w:rsidRPr="006F296E">
        <w:rPr>
          <w:rStyle w:val="CharDivNo"/>
        </w:rPr>
        <w:t>Division 1</w:t>
      </w:r>
      <w:r w:rsidRPr="00283424">
        <w:t>—</w:t>
      </w:r>
      <w:r w:rsidRPr="006F296E">
        <w:rPr>
          <w:rStyle w:val="CharDivText"/>
        </w:rPr>
        <w:t>Shares</w:t>
      </w:r>
      <w:bookmarkEnd w:id="2203"/>
      <w:bookmarkEnd w:id="2204"/>
    </w:p>
    <w:p w14:paraId="16EB0359" w14:textId="77777777" w:rsidR="00E93F58" w:rsidRPr="00283424" w:rsidRDefault="00E93F58" w:rsidP="00B50726">
      <w:pPr>
        <w:pStyle w:val="ActHead5"/>
      </w:pPr>
      <w:bookmarkStart w:id="2205" w:name="_Toc152055078"/>
      <w:bookmarkStart w:id="2206" w:name="_Hlk89089428"/>
      <w:bookmarkStart w:id="2207" w:name="_Hlk89245265"/>
      <w:bookmarkStart w:id="2208" w:name="_Toc158712894"/>
      <w:r w:rsidRPr="006F296E">
        <w:rPr>
          <w:rStyle w:val="CharSectno"/>
        </w:rPr>
        <w:t>8B.4.10</w:t>
      </w:r>
      <w:r w:rsidRPr="00283424">
        <w:t xml:space="preserve">  Cross investment between sub</w:t>
      </w:r>
      <w:r>
        <w:noBreakHyphen/>
      </w:r>
      <w:r w:rsidRPr="00283424">
        <w:t>funds of a CCIV—restriction for circular cross</w:t>
      </w:r>
      <w:r>
        <w:noBreakHyphen/>
      </w:r>
      <w:r w:rsidRPr="00283424">
        <w:t>investment</w:t>
      </w:r>
      <w:bookmarkEnd w:id="2205"/>
      <w:bookmarkEnd w:id="2208"/>
    </w:p>
    <w:bookmarkEnd w:id="2206"/>
    <w:bookmarkEnd w:id="2207"/>
    <w:p w14:paraId="50EC36E9" w14:textId="77777777" w:rsidR="00E93F58" w:rsidRPr="00283424" w:rsidRDefault="00E93F58" w:rsidP="00B50726">
      <w:pPr>
        <w:pStyle w:val="subsection"/>
      </w:pPr>
      <w:r w:rsidRPr="00283424">
        <w:tab/>
      </w:r>
      <w:r w:rsidRPr="00283424">
        <w:tab/>
        <w:t>For the purposes of subsection 1230R(1) of the Act, a CCIV must not acquire, in respect of a sub</w:t>
      </w:r>
      <w:r>
        <w:noBreakHyphen/>
      </w:r>
      <w:r w:rsidRPr="00283424">
        <w:t xml:space="preserve">fund of the CCIV (the </w:t>
      </w:r>
      <w:r w:rsidRPr="00283424">
        <w:rPr>
          <w:b/>
          <w:i/>
        </w:rPr>
        <w:t>acquiring sub</w:t>
      </w:r>
      <w:r>
        <w:rPr>
          <w:b/>
          <w:i/>
        </w:rPr>
        <w:noBreakHyphen/>
      </w:r>
      <w:r w:rsidRPr="00283424">
        <w:rPr>
          <w:b/>
          <w:i/>
        </w:rPr>
        <w:t>fund</w:t>
      </w:r>
      <w:r w:rsidRPr="00283424">
        <w:t>), one or more shares referable to another sub</w:t>
      </w:r>
      <w:r>
        <w:noBreakHyphen/>
      </w:r>
      <w:r w:rsidRPr="00283424">
        <w:t xml:space="preserve">fund of the CCIV (the </w:t>
      </w:r>
      <w:r w:rsidRPr="00283424">
        <w:rPr>
          <w:b/>
          <w:i/>
        </w:rPr>
        <w:t>issuing sub</w:t>
      </w:r>
      <w:r>
        <w:rPr>
          <w:b/>
          <w:i/>
        </w:rPr>
        <w:noBreakHyphen/>
      </w:r>
      <w:r w:rsidRPr="00283424">
        <w:rPr>
          <w:b/>
          <w:i/>
        </w:rPr>
        <w:t>fund</w:t>
      </w:r>
      <w:r w:rsidRPr="00283424">
        <w:t>) if, at the time of the proposed acquisition, the assets of the issuing sub</w:t>
      </w:r>
      <w:r>
        <w:noBreakHyphen/>
      </w:r>
      <w:r w:rsidRPr="00283424">
        <w:t>fund:</w:t>
      </w:r>
    </w:p>
    <w:p w14:paraId="110370B9" w14:textId="77777777" w:rsidR="00E93F58" w:rsidRPr="00283424" w:rsidRDefault="00E93F58" w:rsidP="00B50726">
      <w:pPr>
        <w:pStyle w:val="paragraph"/>
        <w:rPr>
          <w:sz w:val="20"/>
        </w:rPr>
      </w:pPr>
      <w:r w:rsidRPr="00283424">
        <w:tab/>
        <w:t>(a)</w:t>
      </w:r>
      <w:r w:rsidRPr="00283424">
        <w:tab/>
        <w:t>directly include; or</w:t>
      </w:r>
    </w:p>
    <w:p w14:paraId="4C082825" w14:textId="77777777" w:rsidR="00E93F58" w:rsidRPr="00283424" w:rsidRDefault="00E93F58" w:rsidP="00B50726">
      <w:pPr>
        <w:pStyle w:val="paragraph"/>
      </w:pPr>
      <w:r w:rsidRPr="00283424">
        <w:tab/>
        <w:t>(b)</w:t>
      </w:r>
      <w:r w:rsidRPr="00283424">
        <w:tab/>
        <w:t>indirectly include, through one or more interposed sub</w:t>
      </w:r>
      <w:r>
        <w:noBreakHyphen/>
      </w:r>
      <w:r w:rsidRPr="00283424">
        <w:t>funds of the CCIV;</w:t>
      </w:r>
    </w:p>
    <w:p w14:paraId="6FF90375" w14:textId="77777777" w:rsidR="00E93F58" w:rsidRPr="00283424" w:rsidRDefault="00E93F58" w:rsidP="00B50726">
      <w:pPr>
        <w:pStyle w:val="subsection2"/>
      </w:pPr>
      <w:r w:rsidRPr="00283424">
        <w:t>one or more shares referable to the acquiring sub</w:t>
      </w:r>
      <w:r>
        <w:noBreakHyphen/>
      </w:r>
      <w:r w:rsidRPr="00283424">
        <w:t>fund.</w:t>
      </w:r>
    </w:p>
    <w:p w14:paraId="3F068E8C" w14:textId="77777777" w:rsidR="00E93F58" w:rsidRPr="00283424" w:rsidRDefault="00E93F58" w:rsidP="00B50726">
      <w:pPr>
        <w:pStyle w:val="notetext"/>
      </w:pPr>
      <w:r w:rsidRPr="00283424">
        <w:t>Note:</w:t>
      </w:r>
      <w:r w:rsidRPr="00283424">
        <w:tab/>
        <w:t>Paragraph (b) applies if, for example, at the time of the proposed acquisition:</w:t>
      </w:r>
    </w:p>
    <w:p w14:paraId="79977230" w14:textId="77777777" w:rsidR="00E93F58" w:rsidRPr="00283424" w:rsidRDefault="00E93F58" w:rsidP="00B50726">
      <w:pPr>
        <w:pStyle w:val="notepara"/>
      </w:pPr>
      <w:r w:rsidRPr="00283424">
        <w:t>(a)</w:t>
      </w:r>
      <w:r w:rsidRPr="00283424">
        <w:tab/>
        <w:t>the assets of the issuing sub</w:t>
      </w:r>
      <w:r>
        <w:noBreakHyphen/>
      </w:r>
      <w:r w:rsidRPr="00283424">
        <w:t>fund include shares referable to sub</w:t>
      </w:r>
      <w:r>
        <w:noBreakHyphen/>
      </w:r>
      <w:r w:rsidRPr="00283424">
        <w:t>fund C of the CCIV; and</w:t>
      </w:r>
    </w:p>
    <w:p w14:paraId="420499C4" w14:textId="77777777" w:rsidR="00E93F58" w:rsidRPr="00283424" w:rsidRDefault="00E93F58" w:rsidP="00B50726">
      <w:pPr>
        <w:pStyle w:val="notepara"/>
      </w:pPr>
      <w:r w:rsidRPr="00283424">
        <w:t>(b)</w:t>
      </w:r>
      <w:r w:rsidRPr="00283424">
        <w:tab/>
        <w:t>the assets of sub</w:t>
      </w:r>
      <w:r>
        <w:noBreakHyphen/>
      </w:r>
      <w:r w:rsidRPr="00283424">
        <w:t>fund C include shares referable to sub</w:t>
      </w:r>
      <w:r>
        <w:noBreakHyphen/>
      </w:r>
      <w:r w:rsidRPr="00283424">
        <w:t>fund D of the CCIV; and</w:t>
      </w:r>
    </w:p>
    <w:p w14:paraId="458BD7A2" w14:textId="77777777" w:rsidR="00E93F58" w:rsidRPr="00283424" w:rsidRDefault="00E93F58" w:rsidP="00B50726">
      <w:pPr>
        <w:pStyle w:val="notepara"/>
      </w:pPr>
      <w:r w:rsidRPr="00283424">
        <w:t>(c)</w:t>
      </w:r>
      <w:r w:rsidRPr="00283424">
        <w:tab/>
        <w:t>the assets of sub</w:t>
      </w:r>
      <w:r>
        <w:noBreakHyphen/>
      </w:r>
      <w:r w:rsidRPr="00283424">
        <w:t>fund D include shares referable to the acquiring sub</w:t>
      </w:r>
      <w:r>
        <w:noBreakHyphen/>
      </w:r>
      <w:r w:rsidRPr="00283424">
        <w:t>fund.</w:t>
      </w:r>
    </w:p>
    <w:p w14:paraId="20DC3D1E" w14:textId="77777777" w:rsidR="00E93F58" w:rsidRPr="00283424" w:rsidRDefault="00E93F58" w:rsidP="00B50726">
      <w:pPr>
        <w:pStyle w:val="notepara"/>
      </w:pPr>
      <w:r w:rsidRPr="00283424">
        <w:t>In this example, sub</w:t>
      </w:r>
      <w:r>
        <w:noBreakHyphen/>
      </w:r>
      <w:r w:rsidRPr="00283424">
        <w:t>funds C and D are each interposed sub</w:t>
      </w:r>
      <w:r>
        <w:noBreakHyphen/>
      </w:r>
      <w:r w:rsidRPr="00283424">
        <w:t>funds.</w:t>
      </w:r>
    </w:p>
    <w:p w14:paraId="3C216484" w14:textId="77777777" w:rsidR="00E93F58" w:rsidRPr="00283424" w:rsidRDefault="00E93F58" w:rsidP="00B50726">
      <w:pPr>
        <w:pStyle w:val="ActHead5"/>
      </w:pPr>
      <w:bookmarkStart w:id="2209" w:name="_Toc152055079"/>
      <w:bookmarkStart w:id="2210" w:name="_Hlk89241519"/>
      <w:bookmarkStart w:id="2211" w:name="_Hlk89096204"/>
      <w:bookmarkStart w:id="2212" w:name="_Hlk89081436"/>
      <w:bookmarkStart w:id="2213" w:name="_Toc158712895"/>
      <w:r w:rsidRPr="006F296E">
        <w:rPr>
          <w:rStyle w:val="CharSectno"/>
        </w:rPr>
        <w:t>8B.4.15</w:t>
      </w:r>
      <w:r w:rsidRPr="00283424">
        <w:t xml:space="preserve">  Cross investment between sub</w:t>
      </w:r>
      <w:r>
        <w:noBreakHyphen/>
      </w:r>
      <w:r w:rsidRPr="00283424">
        <w:t>funds of a CCIV—requirements and restrictions on membership rights</w:t>
      </w:r>
      <w:bookmarkEnd w:id="2209"/>
      <w:bookmarkEnd w:id="2213"/>
    </w:p>
    <w:bookmarkEnd w:id="2210"/>
    <w:p w14:paraId="6819F3C4" w14:textId="77777777" w:rsidR="00E93F58" w:rsidRPr="00283424" w:rsidRDefault="00E93F58" w:rsidP="00B50726">
      <w:pPr>
        <w:pStyle w:val="subsection"/>
      </w:pPr>
      <w:r w:rsidRPr="00283424">
        <w:tab/>
        <w:t>(1)</w:t>
      </w:r>
      <w:r w:rsidRPr="00283424">
        <w:tab/>
        <w:t>For the purposes of paragraph 1230T(3)(b) of the Act, a CCIV’s entitlement, as described in subsection 1230T(2) of the Act, to vote:</w:t>
      </w:r>
    </w:p>
    <w:p w14:paraId="46A9A1E9" w14:textId="77777777" w:rsidR="00E93F58" w:rsidRPr="00283424" w:rsidRDefault="00E93F58" w:rsidP="00B50726">
      <w:pPr>
        <w:pStyle w:val="paragraph"/>
      </w:pPr>
      <w:r w:rsidRPr="00283424">
        <w:tab/>
        <w:t>(a)</w:t>
      </w:r>
      <w:r w:rsidRPr="00283424">
        <w:tab/>
        <w:t>in respect of each share that the CCIV has acquired in respect of a sub</w:t>
      </w:r>
      <w:r>
        <w:noBreakHyphen/>
      </w:r>
      <w:r w:rsidRPr="00283424">
        <w:t xml:space="preserve">fund of the CCIV (the </w:t>
      </w:r>
      <w:r w:rsidRPr="00283424">
        <w:rPr>
          <w:b/>
          <w:i/>
        </w:rPr>
        <w:t>first sub</w:t>
      </w:r>
      <w:r>
        <w:rPr>
          <w:b/>
          <w:i/>
        </w:rPr>
        <w:noBreakHyphen/>
      </w:r>
      <w:r w:rsidRPr="00283424">
        <w:rPr>
          <w:b/>
          <w:i/>
        </w:rPr>
        <w:t>fund</w:t>
      </w:r>
      <w:r w:rsidRPr="00283424">
        <w:t>) and that is referable to another sub</w:t>
      </w:r>
      <w:r>
        <w:noBreakHyphen/>
      </w:r>
      <w:r w:rsidRPr="00283424">
        <w:t xml:space="preserve">fund of the CCIV (the </w:t>
      </w:r>
      <w:r w:rsidRPr="00283424">
        <w:rPr>
          <w:b/>
          <w:i/>
        </w:rPr>
        <w:t>second sub</w:t>
      </w:r>
      <w:r>
        <w:rPr>
          <w:b/>
          <w:i/>
        </w:rPr>
        <w:noBreakHyphen/>
      </w:r>
      <w:r w:rsidRPr="00283424">
        <w:rPr>
          <w:b/>
          <w:i/>
        </w:rPr>
        <w:t>fund</w:t>
      </w:r>
      <w:r w:rsidRPr="00283424">
        <w:t>); and</w:t>
      </w:r>
    </w:p>
    <w:p w14:paraId="74B53D36" w14:textId="77777777" w:rsidR="00E93F58" w:rsidRPr="00283424" w:rsidRDefault="00E93F58" w:rsidP="00B50726">
      <w:pPr>
        <w:pStyle w:val="paragraph"/>
      </w:pPr>
      <w:r w:rsidRPr="00283424">
        <w:tab/>
        <w:t>(b)</w:t>
      </w:r>
      <w:r w:rsidRPr="00283424">
        <w:tab/>
        <w:t>as a member of the second sub</w:t>
      </w:r>
      <w:r>
        <w:noBreakHyphen/>
      </w:r>
      <w:r w:rsidRPr="00283424">
        <w:t xml:space="preserve">fund on a resolution (the </w:t>
      </w:r>
      <w:r w:rsidRPr="00283424">
        <w:rPr>
          <w:b/>
          <w:i/>
        </w:rPr>
        <w:t>relevant resolution</w:t>
      </w:r>
      <w:r w:rsidRPr="00283424">
        <w:t>) at a meeting of the members of the second sub</w:t>
      </w:r>
      <w:r>
        <w:noBreakHyphen/>
      </w:r>
      <w:r w:rsidRPr="00283424">
        <w:t>fund;</w:t>
      </w:r>
    </w:p>
    <w:p w14:paraId="67FA2B17" w14:textId="77777777" w:rsidR="00E93F58" w:rsidRPr="00283424" w:rsidRDefault="00E93F58" w:rsidP="00B50726">
      <w:pPr>
        <w:pStyle w:val="subsection2"/>
      </w:pPr>
      <w:r w:rsidRPr="00283424">
        <w:t>is subject to the requirement and restriction mentioned in subregulation (2).</w:t>
      </w:r>
    </w:p>
    <w:p w14:paraId="0353EF8B" w14:textId="77777777" w:rsidR="00E93F58" w:rsidRPr="00283424" w:rsidRDefault="00E93F58" w:rsidP="00B50726">
      <w:pPr>
        <w:pStyle w:val="subsection"/>
      </w:pPr>
      <w:r w:rsidRPr="00283424">
        <w:tab/>
        <w:t>(2)</w:t>
      </w:r>
      <w:r w:rsidRPr="00283424">
        <w:tab/>
        <w:t>For the purposes of subregulation (1), there is:</w:t>
      </w:r>
    </w:p>
    <w:p w14:paraId="46196756" w14:textId="77777777" w:rsidR="00E93F58" w:rsidRPr="00283424" w:rsidRDefault="00E93F58" w:rsidP="00B50726">
      <w:pPr>
        <w:pStyle w:val="paragraph"/>
      </w:pPr>
      <w:r w:rsidRPr="00283424">
        <w:tab/>
        <w:t>(a)</w:t>
      </w:r>
      <w:r w:rsidRPr="00283424">
        <w:tab/>
        <w:t>a requirement that the CCIV must vote, in respect of each such share, on the relevant resolution in the way determined by resolution of the members of the first sub</w:t>
      </w:r>
      <w:r>
        <w:noBreakHyphen/>
      </w:r>
      <w:r w:rsidRPr="00283424">
        <w:t>fund; and</w:t>
      </w:r>
    </w:p>
    <w:p w14:paraId="579E1ECB" w14:textId="77777777" w:rsidR="00E93F58" w:rsidRPr="00283424" w:rsidRDefault="00E93F58" w:rsidP="00B50726">
      <w:pPr>
        <w:pStyle w:val="paragraph"/>
      </w:pPr>
      <w:r w:rsidRPr="00283424">
        <w:tab/>
        <w:t>(b)</w:t>
      </w:r>
      <w:r w:rsidRPr="00283424">
        <w:tab/>
        <w:t>a restriction that the CCIV must not vote, in respect of each such share, on the relevant resolution if a resolution that determines the way the CCIV must vote on the relevant resolution is not made by the members of the first sub</w:t>
      </w:r>
      <w:r>
        <w:noBreakHyphen/>
      </w:r>
      <w:r w:rsidRPr="00283424">
        <w:t>fund.</w:t>
      </w:r>
    </w:p>
    <w:p w14:paraId="68102657" w14:textId="77777777" w:rsidR="00E93F58" w:rsidRPr="00283424" w:rsidRDefault="00E93F58" w:rsidP="00B50726">
      <w:pPr>
        <w:pStyle w:val="ActHead3"/>
        <w:pageBreakBefore/>
        <w:shd w:val="clear" w:color="auto" w:fill="FFFFFF" w:themeFill="background1"/>
      </w:pPr>
      <w:bookmarkStart w:id="2214" w:name="_Toc152055080"/>
      <w:bookmarkStart w:id="2215" w:name="_Toc158712896"/>
      <w:r w:rsidRPr="006F296E">
        <w:rPr>
          <w:rStyle w:val="CharDivNo"/>
        </w:rPr>
        <w:lastRenderedPageBreak/>
        <w:t>Division 4</w:t>
      </w:r>
      <w:r w:rsidRPr="00283424">
        <w:t>—</w:t>
      </w:r>
      <w:r w:rsidRPr="006F296E">
        <w:rPr>
          <w:rStyle w:val="CharDivText"/>
        </w:rPr>
        <w:t>Financial reports and audit of CCIVs</w:t>
      </w:r>
      <w:bookmarkEnd w:id="2214"/>
      <w:bookmarkEnd w:id="2215"/>
    </w:p>
    <w:p w14:paraId="4E9BB437" w14:textId="77777777" w:rsidR="00E93F58" w:rsidRPr="00283424" w:rsidRDefault="00E93F58" w:rsidP="00B50726">
      <w:pPr>
        <w:pStyle w:val="ActHead5"/>
      </w:pPr>
      <w:bookmarkStart w:id="2216" w:name="_Toc152055081"/>
      <w:bookmarkStart w:id="2217" w:name="_Toc158712897"/>
      <w:r w:rsidRPr="006F296E">
        <w:rPr>
          <w:rStyle w:val="CharSectno"/>
        </w:rPr>
        <w:t>8B.4.40</w:t>
      </w:r>
      <w:r w:rsidRPr="00283424">
        <w:t xml:space="preserve">  Keeping financial records for sub</w:t>
      </w:r>
      <w:r>
        <w:noBreakHyphen/>
      </w:r>
      <w:r w:rsidRPr="00283424">
        <w:t>funds—further requirement for cross</w:t>
      </w:r>
      <w:r>
        <w:noBreakHyphen/>
      </w:r>
      <w:r w:rsidRPr="00283424">
        <w:t>investment</w:t>
      </w:r>
      <w:bookmarkEnd w:id="2216"/>
      <w:bookmarkEnd w:id="2217"/>
    </w:p>
    <w:p w14:paraId="465D8F4D" w14:textId="77777777" w:rsidR="00E93F58" w:rsidRPr="00283424" w:rsidRDefault="00E93F58" w:rsidP="00B50726">
      <w:pPr>
        <w:pStyle w:val="subsection"/>
      </w:pPr>
      <w:r w:rsidRPr="00283424">
        <w:tab/>
        <w:t>(1)</w:t>
      </w:r>
      <w:r w:rsidRPr="00283424">
        <w:tab/>
        <w:t>For the purposes of paragraph 1232A(1)(c) of the Act, the written financial records that a CCIV must keep, for each sub</w:t>
      </w:r>
      <w:r>
        <w:noBreakHyphen/>
      </w:r>
      <w:r w:rsidRPr="00283424">
        <w:t>fund of the CCIV, must comply with the further requirement set out in subregulation (2).</w:t>
      </w:r>
    </w:p>
    <w:p w14:paraId="0E4F5757" w14:textId="77777777" w:rsidR="00E93F58" w:rsidRPr="00283424" w:rsidRDefault="00E93F58" w:rsidP="00B50726">
      <w:pPr>
        <w:pStyle w:val="subsection"/>
      </w:pPr>
      <w:r w:rsidRPr="00283424">
        <w:tab/>
        <w:t>(2)</w:t>
      </w:r>
      <w:r w:rsidRPr="00283424">
        <w:tab/>
        <w:t>Those records must correctly and clearly identify and explain all cross</w:t>
      </w:r>
      <w:r>
        <w:noBreakHyphen/>
      </w:r>
      <w:r w:rsidRPr="00283424">
        <w:t>investment between the sub</w:t>
      </w:r>
      <w:r>
        <w:noBreakHyphen/>
      </w:r>
      <w:r w:rsidRPr="00283424">
        <w:t>fund and any other sub</w:t>
      </w:r>
      <w:r>
        <w:noBreakHyphen/>
      </w:r>
      <w:r w:rsidRPr="00283424">
        <w:t>fund of the CCIV.</w:t>
      </w:r>
    </w:p>
    <w:p w14:paraId="14D65A55" w14:textId="77777777" w:rsidR="00E93F58" w:rsidRPr="00283424" w:rsidRDefault="00E93F58" w:rsidP="00B50726">
      <w:pPr>
        <w:pStyle w:val="ActHead5"/>
      </w:pPr>
      <w:bookmarkStart w:id="2218" w:name="_Toc152055082"/>
      <w:bookmarkStart w:id="2219" w:name="_Toc158712898"/>
      <w:r w:rsidRPr="006F296E">
        <w:rPr>
          <w:rStyle w:val="CharSectno"/>
        </w:rPr>
        <w:t>8B.4.45</w:t>
      </w:r>
      <w:r w:rsidRPr="00283424">
        <w:t xml:space="preserve">  Annual financial reports for sub</w:t>
      </w:r>
      <w:r>
        <w:noBreakHyphen/>
      </w:r>
      <w:r w:rsidRPr="00283424">
        <w:t>funds—further requirement for cross</w:t>
      </w:r>
      <w:r>
        <w:noBreakHyphen/>
      </w:r>
      <w:r w:rsidRPr="00283424">
        <w:t>investment</w:t>
      </w:r>
      <w:bookmarkEnd w:id="2218"/>
      <w:bookmarkEnd w:id="2219"/>
    </w:p>
    <w:p w14:paraId="7E542B6B" w14:textId="77777777" w:rsidR="00E93F58" w:rsidRPr="00283424" w:rsidRDefault="00E93F58" w:rsidP="00B50726">
      <w:pPr>
        <w:pStyle w:val="subsection"/>
      </w:pPr>
      <w:r w:rsidRPr="00283424">
        <w:tab/>
        <w:t>(1)</w:t>
      </w:r>
      <w:r w:rsidRPr="00283424">
        <w:tab/>
        <w:t>For the purposes of subsection 1232D(3) of the Act, a retail CCIV’s financial report for a sub</w:t>
      </w:r>
      <w:r>
        <w:noBreakHyphen/>
      </w:r>
      <w:r w:rsidRPr="00283424">
        <w:t xml:space="preserve">fund (the </w:t>
      </w:r>
      <w:r w:rsidRPr="00283424">
        <w:rPr>
          <w:b/>
          <w:i/>
        </w:rPr>
        <w:t>reporting sub</w:t>
      </w:r>
      <w:r>
        <w:rPr>
          <w:b/>
          <w:i/>
        </w:rPr>
        <w:noBreakHyphen/>
      </w:r>
      <w:r w:rsidRPr="00283424">
        <w:rPr>
          <w:b/>
          <w:i/>
        </w:rPr>
        <w:t>fund</w:t>
      </w:r>
      <w:r w:rsidRPr="00283424">
        <w:t>) for a financial year must comply with:</w:t>
      </w:r>
    </w:p>
    <w:p w14:paraId="7E129F14" w14:textId="77777777" w:rsidR="00E93F58" w:rsidRPr="00283424" w:rsidRDefault="00E93F58" w:rsidP="00B50726">
      <w:pPr>
        <w:pStyle w:val="paragraph"/>
      </w:pPr>
      <w:r w:rsidRPr="00283424">
        <w:tab/>
        <w:t>(a)</w:t>
      </w:r>
      <w:r w:rsidRPr="00283424">
        <w:tab/>
        <w:t>the further requirements set out in subregulation (2) to the extent that the assets of the reporting sub</w:t>
      </w:r>
      <w:r>
        <w:noBreakHyphen/>
      </w:r>
      <w:r w:rsidRPr="00283424">
        <w:t>fund include shares in the CCIV referable to another sub</w:t>
      </w:r>
      <w:r>
        <w:noBreakHyphen/>
      </w:r>
      <w:r w:rsidRPr="00283424">
        <w:t>fund of the CCIV; and</w:t>
      </w:r>
    </w:p>
    <w:p w14:paraId="2B6DC22B" w14:textId="77777777" w:rsidR="00E93F58" w:rsidRPr="00283424" w:rsidRDefault="00E93F58" w:rsidP="00B50726">
      <w:pPr>
        <w:pStyle w:val="paragraph"/>
      </w:pPr>
      <w:r w:rsidRPr="00283424">
        <w:tab/>
        <w:t>(b)</w:t>
      </w:r>
      <w:r w:rsidRPr="00283424">
        <w:tab/>
        <w:t>the further requirements set out in subregulation (3) to the extent that the assets of another sub</w:t>
      </w:r>
      <w:r>
        <w:noBreakHyphen/>
      </w:r>
      <w:r w:rsidRPr="00283424">
        <w:t>fund of the CCIV include shares in the CCIV referable to the reporting sub</w:t>
      </w:r>
      <w:r>
        <w:noBreakHyphen/>
      </w:r>
      <w:r w:rsidRPr="00283424">
        <w:t>fund.</w:t>
      </w:r>
    </w:p>
    <w:p w14:paraId="2CBEC7DC" w14:textId="77777777" w:rsidR="00E93F58" w:rsidRPr="00283424" w:rsidRDefault="00E93F58" w:rsidP="00B50726">
      <w:pPr>
        <w:pStyle w:val="SubsectionHead"/>
      </w:pPr>
      <w:r w:rsidRPr="00283424">
        <w:t>Requirements for the reporting sub</w:t>
      </w:r>
      <w:r>
        <w:noBreakHyphen/>
      </w:r>
      <w:r w:rsidRPr="00283424">
        <w:t>fund as an investor sub</w:t>
      </w:r>
      <w:r>
        <w:noBreakHyphen/>
      </w:r>
      <w:r w:rsidRPr="00283424">
        <w:t>fund</w:t>
      </w:r>
    </w:p>
    <w:p w14:paraId="2E060D67" w14:textId="77777777" w:rsidR="00E93F58" w:rsidRPr="00283424" w:rsidRDefault="00E93F58" w:rsidP="00B50726">
      <w:pPr>
        <w:pStyle w:val="subsection"/>
      </w:pPr>
      <w:r w:rsidRPr="00283424">
        <w:tab/>
        <w:t>(2)</w:t>
      </w:r>
      <w:r w:rsidRPr="00283424">
        <w:tab/>
        <w:t>The report must ensure that disclosures of the following are included in the notes to the financial statements of the reporting sub</w:t>
      </w:r>
      <w:r>
        <w:noBreakHyphen/>
      </w:r>
      <w:r w:rsidRPr="00283424">
        <w:t>fund for the financial year:</w:t>
      </w:r>
    </w:p>
    <w:p w14:paraId="393CF106" w14:textId="77777777" w:rsidR="00E93F58" w:rsidRPr="00283424" w:rsidRDefault="00E93F58" w:rsidP="00B50726">
      <w:pPr>
        <w:pStyle w:val="paragraph"/>
      </w:pPr>
      <w:r w:rsidRPr="00283424">
        <w:tab/>
        <w:t>(a)</w:t>
      </w:r>
      <w:r w:rsidRPr="00283424">
        <w:tab/>
        <w:t>the total number of shares in the CCIV that:</w:t>
      </w:r>
    </w:p>
    <w:p w14:paraId="71F74D64" w14:textId="77777777" w:rsidR="00E93F58" w:rsidRPr="00283424" w:rsidRDefault="00E93F58" w:rsidP="00B50726">
      <w:pPr>
        <w:pStyle w:val="paragraphsub"/>
      </w:pPr>
      <w:r w:rsidRPr="00283424">
        <w:tab/>
        <w:t>(i)</w:t>
      </w:r>
      <w:r w:rsidRPr="00283424">
        <w:tab/>
        <w:t>are assets of the reporting sub</w:t>
      </w:r>
      <w:r>
        <w:noBreakHyphen/>
      </w:r>
      <w:r w:rsidRPr="00283424">
        <w:t>fund; and</w:t>
      </w:r>
    </w:p>
    <w:p w14:paraId="3760E9D8" w14:textId="77777777" w:rsidR="00E93F58" w:rsidRPr="00283424" w:rsidRDefault="00E93F58" w:rsidP="00B50726">
      <w:pPr>
        <w:pStyle w:val="paragraphsub"/>
      </w:pPr>
      <w:r w:rsidRPr="00283424">
        <w:tab/>
        <w:t>(ii)</w:t>
      </w:r>
      <w:r w:rsidRPr="00283424">
        <w:tab/>
        <w:t>are referable to other sub</w:t>
      </w:r>
      <w:r>
        <w:noBreakHyphen/>
      </w:r>
      <w:r w:rsidRPr="00283424">
        <w:t>funds of the CCIV at the end of the financial year;</w:t>
      </w:r>
    </w:p>
    <w:p w14:paraId="1BF7C855" w14:textId="77777777" w:rsidR="00E93F58" w:rsidRPr="00283424" w:rsidRDefault="00E93F58" w:rsidP="00B50726">
      <w:pPr>
        <w:pStyle w:val="paragraph"/>
      </w:pPr>
      <w:r w:rsidRPr="00283424">
        <w:tab/>
        <w:t>(b)</w:t>
      </w:r>
      <w:r w:rsidRPr="00283424">
        <w:tab/>
        <w:t>the total value</w:t>
      </w:r>
      <w:r w:rsidRPr="00283424">
        <w:rPr>
          <w:i/>
        </w:rPr>
        <w:t xml:space="preserve"> </w:t>
      </w:r>
      <w:r w:rsidRPr="00283424">
        <w:t>of those shares at the end of the financial year and expressed in Australian dollars;</w:t>
      </w:r>
    </w:p>
    <w:p w14:paraId="0BCD1596" w14:textId="77777777" w:rsidR="00E93F58" w:rsidRPr="00283424" w:rsidRDefault="00E93F58" w:rsidP="00B50726">
      <w:pPr>
        <w:pStyle w:val="paragraph"/>
      </w:pPr>
      <w:r w:rsidRPr="00283424">
        <w:tab/>
        <w:t>(c)</w:t>
      </w:r>
      <w:r w:rsidRPr="00283424">
        <w:tab/>
        <w:t>so much of each of the totals in paragraphs (a) and (b) as relates to the shares referable to each of those other sub</w:t>
      </w:r>
      <w:r>
        <w:noBreakHyphen/>
      </w:r>
      <w:r w:rsidRPr="00283424">
        <w:t>funds.</w:t>
      </w:r>
    </w:p>
    <w:p w14:paraId="55C1D184" w14:textId="77777777" w:rsidR="00E93F58" w:rsidRPr="00283424" w:rsidRDefault="00E93F58" w:rsidP="00B50726">
      <w:pPr>
        <w:pStyle w:val="SubsectionHead"/>
      </w:pPr>
      <w:r w:rsidRPr="00283424">
        <w:t>Requirements for the reporting sub</w:t>
      </w:r>
      <w:r>
        <w:noBreakHyphen/>
      </w:r>
      <w:r w:rsidRPr="00283424">
        <w:t>fund as an investee sub</w:t>
      </w:r>
      <w:r>
        <w:noBreakHyphen/>
      </w:r>
      <w:r w:rsidRPr="00283424">
        <w:t>fund</w:t>
      </w:r>
    </w:p>
    <w:p w14:paraId="078F8D5F" w14:textId="77777777" w:rsidR="00E93F58" w:rsidRPr="00283424" w:rsidRDefault="00E93F58" w:rsidP="00B50726">
      <w:pPr>
        <w:pStyle w:val="subsection"/>
      </w:pPr>
      <w:r w:rsidRPr="00283424">
        <w:tab/>
        <w:t>(3)</w:t>
      </w:r>
      <w:r w:rsidRPr="00283424">
        <w:tab/>
        <w:t>The report must ensure that disclosures of the following are included in the notes to the financial statements of the reporting sub</w:t>
      </w:r>
      <w:r>
        <w:noBreakHyphen/>
      </w:r>
      <w:r w:rsidRPr="00283424">
        <w:t>fund for the financial year:</w:t>
      </w:r>
    </w:p>
    <w:p w14:paraId="292F35E0" w14:textId="77777777" w:rsidR="00E93F58" w:rsidRPr="00283424" w:rsidRDefault="00E93F58" w:rsidP="00B50726">
      <w:pPr>
        <w:pStyle w:val="paragraph"/>
      </w:pPr>
      <w:r w:rsidRPr="00283424">
        <w:tab/>
        <w:t>(a)</w:t>
      </w:r>
      <w:r w:rsidRPr="00283424">
        <w:tab/>
        <w:t>for the shares in the CCIV referable to the reporting sub</w:t>
      </w:r>
      <w:r>
        <w:noBreakHyphen/>
      </w:r>
      <w:r w:rsidRPr="00283424">
        <w:t>fund of the CCIV:</w:t>
      </w:r>
    </w:p>
    <w:p w14:paraId="1332AD57" w14:textId="77777777" w:rsidR="00E93F58" w:rsidRPr="00283424" w:rsidRDefault="00E93F58" w:rsidP="00B50726">
      <w:pPr>
        <w:pStyle w:val="paragraphsub"/>
      </w:pPr>
      <w:r w:rsidRPr="00283424">
        <w:tab/>
        <w:t>(i)</w:t>
      </w:r>
      <w:r w:rsidRPr="00283424">
        <w:tab/>
        <w:t>the total number of those shares that are assets of other sub</w:t>
      </w:r>
      <w:r>
        <w:noBreakHyphen/>
      </w:r>
      <w:r w:rsidRPr="00283424">
        <w:t>funds of the CCIV at the start of the financial year; and</w:t>
      </w:r>
    </w:p>
    <w:p w14:paraId="1A30A9B7" w14:textId="77777777" w:rsidR="00E93F58" w:rsidRPr="00283424" w:rsidRDefault="00E93F58" w:rsidP="00B50726">
      <w:pPr>
        <w:pStyle w:val="paragraphsub"/>
      </w:pPr>
      <w:r w:rsidRPr="00283424">
        <w:tab/>
        <w:t>(ii)</w:t>
      </w:r>
      <w:r w:rsidRPr="00283424">
        <w:tab/>
        <w:t>the total number of those shares that become assets of one or more other sub</w:t>
      </w:r>
      <w:r>
        <w:noBreakHyphen/>
      </w:r>
      <w:r w:rsidRPr="00283424">
        <w:t>funds of the CCIV at any time during the financial year; and</w:t>
      </w:r>
    </w:p>
    <w:p w14:paraId="57EB936B" w14:textId="77777777" w:rsidR="00E93F58" w:rsidRPr="00283424" w:rsidRDefault="00E93F58" w:rsidP="00B50726">
      <w:pPr>
        <w:pStyle w:val="paragraphsub"/>
      </w:pPr>
      <w:r w:rsidRPr="00283424">
        <w:tab/>
        <w:t>(iii)</w:t>
      </w:r>
      <w:r w:rsidRPr="00283424">
        <w:tab/>
        <w:t>the total number of those shares that cease to be assets of one or more other sub</w:t>
      </w:r>
      <w:r>
        <w:noBreakHyphen/>
      </w:r>
      <w:r w:rsidRPr="00283424">
        <w:t>funds of the CCIV at any time during the financial year; and</w:t>
      </w:r>
    </w:p>
    <w:p w14:paraId="038343B8" w14:textId="77777777" w:rsidR="00E93F58" w:rsidRPr="00283424" w:rsidRDefault="00E93F58" w:rsidP="00B50726">
      <w:pPr>
        <w:pStyle w:val="paragraphsub"/>
      </w:pPr>
      <w:r w:rsidRPr="00283424">
        <w:tab/>
        <w:t>(iv)</w:t>
      </w:r>
      <w:r w:rsidRPr="00283424">
        <w:tab/>
        <w:t>the total number of those shares that are assets of other sub</w:t>
      </w:r>
      <w:r>
        <w:noBreakHyphen/>
      </w:r>
      <w:r w:rsidRPr="00283424">
        <w:t>funds of the CCIV at the end of the financial year;</w:t>
      </w:r>
    </w:p>
    <w:p w14:paraId="5DC9A722" w14:textId="77777777" w:rsidR="00E93F58" w:rsidRPr="00283424" w:rsidRDefault="00E93F58" w:rsidP="00B50726">
      <w:pPr>
        <w:pStyle w:val="paragraph"/>
      </w:pPr>
      <w:r w:rsidRPr="00283424">
        <w:tab/>
        <w:t>(b)</w:t>
      </w:r>
      <w:r w:rsidRPr="00283424">
        <w:tab/>
        <w:t>all of the following:</w:t>
      </w:r>
    </w:p>
    <w:p w14:paraId="1C1DB386" w14:textId="77777777" w:rsidR="00E93F58" w:rsidRPr="00283424" w:rsidRDefault="00E93F58" w:rsidP="00B50726">
      <w:pPr>
        <w:pStyle w:val="paragraphsub"/>
      </w:pPr>
      <w:r w:rsidRPr="00283424">
        <w:tab/>
        <w:t>(i)</w:t>
      </w:r>
      <w:r w:rsidRPr="00283424">
        <w:tab/>
        <w:t>for the shares covered by subparagraph (a)(i)—the total value of those shares at the start of the financial year and expressed in Australian dollars;</w:t>
      </w:r>
    </w:p>
    <w:p w14:paraId="3A7CCBEF" w14:textId="77777777" w:rsidR="00E93F58" w:rsidRPr="00283424" w:rsidRDefault="00E93F58" w:rsidP="00B50726">
      <w:pPr>
        <w:pStyle w:val="paragraphsub"/>
      </w:pPr>
      <w:r w:rsidRPr="00283424">
        <w:tab/>
        <w:t>(ii)</w:t>
      </w:r>
      <w:r w:rsidRPr="00283424">
        <w:tab/>
        <w:t>for the shares covered by subparagraph (a)(ii)—the total value of those shares, worked out using the value of each share at the time the share becomes an asset as mentioned in that subparagraph, and expressed in Australian dollars;</w:t>
      </w:r>
    </w:p>
    <w:p w14:paraId="60A868C3" w14:textId="77777777" w:rsidR="00E93F58" w:rsidRPr="00283424" w:rsidRDefault="00E93F58" w:rsidP="00B50726">
      <w:pPr>
        <w:pStyle w:val="paragraphsub"/>
      </w:pPr>
      <w:r w:rsidRPr="00283424">
        <w:tab/>
        <w:t>(iii)</w:t>
      </w:r>
      <w:r w:rsidRPr="00283424">
        <w:tab/>
        <w:t>for the shares covered by subparagraph (a)(iii)—the total value of those shares, worked out using the value of each share at the time the share ceases to be an asset as mentioned in that subparagraph, and expressed in Australian dollars;</w:t>
      </w:r>
    </w:p>
    <w:p w14:paraId="37C7F1FB" w14:textId="77777777" w:rsidR="00E93F58" w:rsidRPr="00283424" w:rsidRDefault="00E93F58" w:rsidP="00B50726">
      <w:pPr>
        <w:pStyle w:val="paragraphsub"/>
      </w:pPr>
      <w:r w:rsidRPr="00283424">
        <w:tab/>
        <w:t>(iv)</w:t>
      </w:r>
      <w:r w:rsidRPr="00283424">
        <w:tab/>
        <w:t>for the shares covered by subparagraph (a)(iv)—the total value of those shares at the end of the financial year and expressed in Australian dollars;</w:t>
      </w:r>
    </w:p>
    <w:p w14:paraId="0C9B0EAA" w14:textId="77777777" w:rsidR="00E93F58" w:rsidRPr="00283424" w:rsidRDefault="00E93F58" w:rsidP="00B50726">
      <w:pPr>
        <w:pStyle w:val="paragraph"/>
      </w:pPr>
      <w:r w:rsidRPr="00283424">
        <w:tab/>
        <w:t>(c)</w:t>
      </w:r>
      <w:r w:rsidRPr="00283424">
        <w:tab/>
        <w:t>so much of each of the totals in paragraphs (a) and (b) as relates to the shares that are assets of each of those other sub</w:t>
      </w:r>
      <w:r>
        <w:noBreakHyphen/>
      </w:r>
      <w:r w:rsidRPr="00283424">
        <w:t>funds of the CCIV.</w:t>
      </w:r>
    </w:p>
    <w:p w14:paraId="338E597D" w14:textId="77777777" w:rsidR="00E93F58" w:rsidRPr="00283424" w:rsidRDefault="00E93F58" w:rsidP="00B50726">
      <w:pPr>
        <w:pStyle w:val="ActHead5"/>
      </w:pPr>
      <w:bookmarkStart w:id="2220" w:name="_Toc152055083"/>
      <w:bookmarkStart w:id="2221" w:name="_Toc158712899"/>
      <w:r w:rsidRPr="006F296E">
        <w:rPr>
          <w:rStyle w:val="CharSectno"/>
        </w:rPr>
        <w:lastRenderedPageBreak/>
        <w:t>8B.4.50</w:t>
      </w:r>
      <w:r w:rsidRPr="00283424">
        <w:t xml:space="preserve">  Combining financial reports, and directors’ reports etc., for sub</w:t>
      </w:r>
      <w:r>
        <w:noBreakHyphen/>
      </w:r>
      <w:r w:rsidRPr="00283424">
        <w:t>funds of the same CCIV</w:t>
      </w:r>
      <w:bookmarkEnd w:id="2220"/>
      <w:bookmarkEnd w:id="2221"/>
    </w:p>
    <w:p w14:paraId="770BE00E" w14:textId="77777777" w:rsidR="00E93F58" w:rsidRPr="00283424" w:rsidRDefault="00E93F58" w:rsidP="00B50726">
      <w:pPr>
        <w:pStyle w:val="subsection"/>
      </w:pPr>
      <w:r w:rsidRPr="00283424">
        <w:tab/>
        <w:t>(1)</w:t>
      </w:r>
      <w:r w:rsidRPr="00283424">
        <w:tab/>
        <w:t xml:space="preserve">This regulation deals with how the provisions (the </w:t>
      </w:r>
      <w:r w:rsidRPr="00283424">
        <w:rPr>
          <w:b/>
          <w:i/>
        </w:rPr>
        <w:t>reporting provisions</w:t>
      </w:r>
      <w:r w:rsidRPr="00283424">
        <w:t>) of Part 2M.3 of the Act (as modified by Chapter 8B of the Act) apply to a retail CCIV.</w:t>
      </w:r>
    </w:p>
    <w:p w14:paraId="1D9F7C83" w14:textId="77777777" w:rsidR="00E93F58" w:rsidRPr="00283424" w:rsidRDefault="00E93F58" w:rsidP="00B50726">
      <w:pPr>
        <w:pStyle w:val="subsection"/>
      </w:pPr>
      <w:r w:rsidRPr="00283424">
        <w:tab/>
        <w:t>(2)</w:t>
      </w:r>
      <w:r w:rsidRPr="00283424">
        <w:tab/>
        <w:t>For the purposes of section 343 and subsection 1243A(1) of the Act, this regulation modifies the operation of the reporting provisions to the extent that, apart from those modifications, the reporting provisions could not alternatively apply to:</w:t>
      </w:r>
    </w:p>
    <w:p w14:paraId="0A787826" w14:textId="77777777" w:rsidR="00E93F58" w:rsidRPr="00283424" w:rsidRDefault="00E93F58" w:rsidP="00B50726">
      <w:pPr>
        <w:pStyle w:val="paragraph"/>
      </w:pPr>
      <w:r w:rsidRPr="00283424">
        <w:tab/>
        <w:t>(a)</w:t>
      </w:r>
      <w:r w:rsidRPr="00283424">
        <w:tab/>
        <w:t>a single financial report for a financial year covering one or more sub</w:t>
      </w:r>
      <w:r>
        <w:noBreakHyphen/>
      </w:r>
      <w:r w:rsidRPr="00283424">
        <w:t>funds of the CCIV; or</w:t>
      </w:r>
    </w:p>
    <w:p w14:paraId="4AA5F304" w14:textId="77777777" w:rsidR="00E93F58" w:rsidRPr="00283424" w:rsidRDefault="00E93F58" w:rsidP="00B50726">
      <w:pPr>
        <w:pStyle w:val="paragraph"/>
      </w:pPr>
      <w:r w:rsidRPr="00283424">
        <w:tab/>
        <w:t>(b)</w:t>
      </w:r>
      <w:r w:rsidRPr="00283424">
        <w:tab/>
        <w:t>a single directors’ report for a financial year covering one or more sub</w:t>
      </w:r>
      <w:r>
        <w:noBreakHyphen/>
      </w:r>
      <w:r w:rsidRPr="00283424">
        <w:t>funds of the CCIV; or</w:t>
      </w:r>
    </w:p>
    <w:p w14:paraId="5B68B68B" w14:textId="77777777" w:rsidR="00E93F58" w:rsidRPr="00283424" w:rsidRDefault="00E93F58" w:rsidP="00B50726">
      <w:pPr>
        <w:pStyle w:val="paragraph"/>
      </w:pPr>
      <w:r w:rsidRPr="00283424">
        <w:tab/>
        <w:t>(c)</w:t>
      </w:r>
      <w:r w:rsidRPr="00283424">
        <w:tab/>
        <w:t>a single financial report for a half</w:t>
      </w:r>
      <w:r>
        <w:noBreakHyphen/>
      </w:r>
      <w:r w:rsidRPr="00283424">
        <w:t>year covering one or more sub</w:t>
      </w:r>
      <w:r>
        <w:noBreakHyphen/>
      </w:r>
      <w:r w:rsidRPr="00283424">
        <w:t>funds of the CCIV; or</w:t>
      </w:r>
    </w:p>
    <w:p w14:paraId="5B2FE762" w14:textId="77777777" w:rsidR="00E93F58" w:rsidRPr="00283424" w:rsidRDefault="00E93F58" w:rsidP="00B50726">
      <w:pPr>
        <w:pStyle w:val="paragraph"/>
      </w:pPr>
      <w:r w:rsidRPr="00283424">
        <w:tab/>
        <w:t>(d)</w:t>
      </w:r>
      <w:r w:rsidRPr="00283424">
        <w:tab/>
        <w:t>a single auditor’s report on the financial report referred to in paragraph (a) of this subregulation; or</w:t>
      </w:r>
    </w:p>
    <w:p w14:paraId="57CC823A" w14:textId="77777777" w:rsidR="00E93F58" w:rsidRPr="00283424" w:rsidRDefault="00E93F58" w:rsidP="00B50726">
      <w:pPr>
        <w:pStyle w:val="paragraph"/>
      </w:pPr>
      <w:r w:rsidRPr="00283424">
        <w:tab/>
        <w:t>(e)</w:t>
      </w:r>
      <w:r w:rsidRPr="00283424">
        <w:tab/>
        <w:t>a single concise report (see paragraph 1232H(1)(b) of the Act) for a financial year covering one or more sub</w:t>
      </w:r>
      <w:r>
        <w:noBreakHyphen/>
      </w:r>
      <w:r w:rsidRPr="00283424">
        <w:t>funds of the CCIV.</w:t>
      </w:r>
    </w:p>
    <w:p w14:paraId="5BACCCED" w14:textId="77777777" w:rsidR="00E93F58" w:rsidRPr="00283424" w:rsidRDefault="00E93F58" w:rsidP="00B50726">
      <w:pPr>
        <w:pStyle w:val="notetext"/>
      </w:pPr>
      <w:r w:rsidRPr="00283424">
        <w:t>Note 1:</w:t>
      </w:r>
      <w:r w:rsidRPr="00283424">
        <w:tab/>
        <w:t>Not all of the sub</w:t>
      </w:r>
      <w:r>
        <w:noBreakHyphen/>
      </w:r>
      <w:r w:rsidRPr="00283424">
        <w:t>funds of the CCIV need to be covered by one of these single reports if the CCIV chooses. The reporting provisions will continue to apply, unmodified by this regulation, for any sub</w:t>
      </w:r>
      <w:r>
        <w:noBreakHyphen/>
      </w:r>
      <w:r w:rsidRPr="00283424">
        <w:t>funds not covered by the report.</w:t>
      </w:r>
    </w:p>
    <w:p w14:paraId="0F3E827B" w14:textId="77777777" w:rsidR="00E93F58" w:rsidRPr="00283424" w:rsidRDefault="00E93F58" w:rsidP="00B50726">
      <w:pPr>
        <w:pStyle w:val="notetext"/>
      </w:pPr>
      <w:r w:rsidRPr="00283424">
        <w:t>Note 2:</w:t>
      </w:r>
      <w:r w:rsidRPr="00283424">
        <w:tab/>
        <w:t>All of the sub</w:t>
      </w:r>
      <w:r>
        <w:noBreakHyphen/>
      </w:r>
      <w:r w:rsidRPr="00283424">
        <w:t>funds covered by one of these single reports must be sub</w:t>
      </w:r>
      <w:r>
        <w:noBreakHyphen/>
      </w:r>
      <w:r w:rsidRPr="00283424">
        <w:t>funds of the same CCIV. The report cannot cover sub</w:t>
      </w:r>
      <w:r>
        <w:noBreakHyphen/>
      </w:r>
      <w:r w:rsidRPr="00283424">
        <w:t>funds of different CCIVs, even if the CCIVs share the same corporate director.</w:t>
      </w:r>
    </w:p>
    <w:p w14:paraId="6C206F1D" w14:textId="77777777" w:rsidR="00E93F58" w:rsidRPr="00283424" w:rsidRDefault="00E93F58" w:rsidP="00B50726">
      <w:pPr>
        <w:pStyle w:val="subsection"/>
      </w:pPr>
      <w:r w:rsidRPr="00283424">
        <w:tab/>
        <w:t>(3)</w:t>
      </w:r>
      <w:r w:rsidRPr="00283424">
        <w:tab/>
        <w:t>The report referred to in paragraph (2)(d) must be prepared by a single auditor, audit firm or audit company.</w:t>
      </w:r>
    </w:p>
    <w:p w14:paraId="3353A1D9" w14:textId="77777777" w:rsidR="00E93F58" w:rsidRPr="00283424" w:rsidRDefault="00E93F58" w:rsidP="00B50726">
      <w:pPr>
        <w:pStyle w:val="subsection"/>
      </w:pPr>
      <w:r w:rsidRPr="00283424">
        <w:tab/>
        <w:t>(4)</w:t>
      </w:r>
      <w:r w:rsidRPr="00283424">
        <w:tab/>
        <w:t>Each single report referred to in subregulation (2) must be prepared so that each of the matters covered by the report is shown so that the matter is clearly identifiable for each of the sub</w:t>
      </w:r>
      <w:r>
        <w:noBreakHyphen/>
      </w:r>
      <w:r w:rsidRPr="00283424">
        <w:t>funds covered by the report.</w:t>
      </w:r>
    </w:p>
    <w:p w14:paraId="2A74D47B" w14:textId="77777777" w:rsidR="00E93F58" w:rsidRPr="00283424" w:rsidRDefault="00E93F58" w:rsidP="00B50726">
      <w:pPr>
        <w:pStyle w:val="ActHead2"/>
        <w:pageBreakBefore/>
      </w:pPr>
      <w:bookmarkStart w:id="2222" w:name="_Toc152055084"/>
      <w:bookmarkStart w:id="2223" w:name="_Toc158712900"/>
      <w:r w:rsidRPr="006F296E">
        <w:rPr>
          <w:rStyle w:val="CharPartNo"/>
        </w:rPr>
        <w:lastRenderedPageBreak/>
        <w:t>Part 8B.5</w:t>
      </w:r>
      <w:r w:rsidRPr="00283424">
        <w:t>—</w:t>
      </w:r>
      <w:r w:rsidRPr="006F296E">
        <w:rPr>
          <w:rStyle w:val="CharPartText"/>
        </w:rPr>
        <w:t>Operating a CCIV</w:t>
      </w:r>
      <w:bookmarkEnd w:id="2222"/>
      <w:bookmarkEnd w:id="2223"/>
    </w:p>
    <w:p w14:paraId="5F083392" w14:textId="77777777" w:rsidR="00E93F58" w:rsidRPr="00283424" w:rsidRDefault="00E93F58" w:rsidP="00B50726">
      <w:pPr>
        <w:pStyle w:val="Header"/>
      </w:pPr>
      <w:r w:rsidRPr="006F296E">
        <w:rPr>
          <w:rStyle w:val="CharDivNo"/>
        </w:rPr>
        <w:t xml:space="preserve"> </w:t>
      </w:r>
      <w:r w:rsidRPr="006F296E">
        <w:rPr>
          <w:rStyle w:val="CharDivText"/>
        </w:rPr>
        <w:t xml:space="preserve"> </w:t>
      </w:r>
    </w:p>
    <w:p w14:paraId="58AF4D6A" w14:textId="77777777" w:rsidR="00E93F58" w:rsidRPr="00283424" w:rsidRDefault="00E93F58" w:rsidP="00B50726">
      <w:pPr>
        <w:pStyle w:val="ActHead5"/>
      </w:pPr>
      <w:bookmarkStart w:id="2224" w:name="_Toc152055085"/>
      <w:bookmarkStart w:id="2225" w:name="_Toc158712901"/>
      <w:r w:rsidRPr="006F296E">
        <w:rPr>
          <w:rStyle w:val="CharSectno"/>
        </w:rPr>
        <w:t>8B.5.10</w:t>
      </w:r>
      <w:r w:rsidRPr="00283424">
        <w:t xml:space="preserve">  Who may hold CCIV assets—minimum standards and other requirements</w:t>
      </w:r>
      <w:bookmarkEnd w:id="2224"/>
      <w:bookmarkEnd w:id="2225"/>
    </w:p>
    <w:p w14:paraId="5839D27E" w14:textId="77777777" w:rsidR="00E93F58" w:rsidRPr="00283424" w:rsidRDefault="00E93F58" w:rsidP="00B50726">
      <w:pPr>
        <w:pStyle w:val="subsection"/>
      </w:pPr>
      <w:r w:rsidRPr="00283424">
        <w:tab/>
        <w:t>(1)</w:t>
      </w:r>
      <w:r w:rsidRPr="00283424">
        <w:tab/>
        <w:t>For the purposes of subsection 1234G(2) of the Act, the money and property of a CCIV may be held by a person other than the CCIV if:</w:t>
      </w:r>
    </w:p>
    <w:p w14:paraId="3D4D16B2" w14:textId="77777777" w:rsidR="00E93F58" w:rsidRPr="00283424" w:rsidRDefault="00E93F58" w:rsidP="00B50726">
      <w:pPr>
        <w:pStyle w:val="paragraph"/>
      </w:pPr>
      <w:r w:rsidRPr="00283424">
        <w:tab/>
        <w:t>(a)</w:t>
      </w:r>
      <w:r w:rsidRPr="00283424">
        <w:tab/>
        <w:t>the corporate director of the CCIV is satisfied that the minimum standards in subregulation (2) are met:</w:t>
      </w:r>
    </w:p>
    <w:p w14:paraId="516C8C38" w14:textId="77777777" w:rsidR="00E93F58" w:rsidRPr="00283424" w:rsidRDefault="00E93F58" w:rsidP="00B50726">
      <w:pPr>
        <w:pStyle w:val="paragraphsub"/>
      </w:pPr>
      <w:r w:rsidRPr="00283424">
        <w:tab/>
        <w:t>(i)</w:t>
      </w:r>
      <w:r w:rsidRPr="00283424">
        <w:tab/>
        <w:t>for the person; and</w:t>
      </w:r>
    </w:p>
    <w:p w14:paraId="4C4C2D37" w14:textId="77777777" w:rsidR="00E93F58" w:rsidRPr="00283424" w:rsidRDefault="00E93F58" w:rsidP="00B50726">
      <w:pPr>
        <w:pStyle w:val="paragraphsub"/>
      </w:pPr>
      <w:r w:rsidRPr="00283424">
        <w:tab/>
        <w:t>(ii)</w:t>
      </w:r>
      <w:r w:rsidRPr="00283424">
        <w:tab/>
        <w:t>for the period in which the person is engaged to perform the function of holding the money and property of the CCIV; and</w:t>
      </w:r>
    </w:p>
    <w:p w14:paraId="216F6DE6" w14:textId="77777777" w:rsidR="00E93F58" w:rsidRPr="00283424" w:rsidRDefault="00E93F58" w:rsidP="00B50726">
      <w:pPr>
        <w:pStyle w:val="paragraph"/>
      </w:pPr>
      <w:r w:rsidRPr="00283424">
        <w:tab/>
        <w:t>(b)</w:t>
      </w:r>
      <w:r w:rsidRPr="00283424">
        <w:tab/>
        <w:t>the corporate director monitors the person’s compliance with the minimum standards during that period; and</w:t>
      </w:r>
    </w:p>
    <w:p w14:paraId="4AD7DF01" w14:textId="77777777" w:rsidR="00E93F58" w:rsidRPr="00283424" w:rsidRDefault="00E93F58" w:rsidP="00B50726">
      <w:pPr>
        <w:pStyle w:val="paragraph"/>
      </w:pPr>
      <w:r w:rsidRPr="00283424">
        <w:tab/>
        <w:t>(c)</w:t>
      </w:r>
      <w:r w:rsidRPr="00283424">
        <w:tab/>
        <w:t>the corporate director undertakes a review of the person’s compliance with the minimum standards every 13 months starting on the day the person is engaged to perform the function of holding the money and property of the CCIV; and</w:t>
      </w:r>
    </w:p>
    <w:p w14:paraId="56930A05" w14:textId="77777777" w:rsidR="00E93F58" w:rsidRPr="00283424" w:rsidRDefault="00E93F58" w:rsidP="00B50726">
      <w:pPr>
        <w:pStyle w:val="paragraph"/>
      </w:pPr>
      <w:r w:rsidRPr="00283424">
        <w:tab/>
        <w:t>(d)</w:t>
      </w:r>
      <w:r w:rsidRPr="00283424">
        <w:tab/>
        <w:t>the corporate director makes available to ASIC, on request, the outcomes of the review.</w:t>
      </w:r>
    </w:p>
    <w:p w14:paraId="61F447CB" w14:textId="77777777" w:rsidR="00E93F58" w:rsidRPr="00283424" w:rsidRDefault="00E93F58" w:rsidP="00B50726">
      <w:pPr>
        <w:pStyle w:val="subsection"/>
      </w:pPr>
      <w:r w:rsidRPr="00283424">
        <w:tab/>
        <w:t>(2)</w:t>
      </w:r>
      <w:r w:rsidRPr="00283424">
        <w:tab/>
        <w:t>For the purposes of subregulation (1), the minimum standards for holding the money and property of a CCIV are met for a person and a period if:</w:t>
      </w:r>
    </w:p>
    <w:p w14:paraId="737318C0" w14:textId="77777777" w:rsidR="00E93F58" w:rsidRPr="00283424" w:rsidRDefault="00E93F58" w:rsidP="00B50726">
      <w:pPr>
        <w:pStyle w:val="paragraph"/>
      </w:pPr>
      <w:r w:rsidRPr="00283424">
        <w:tab/>
        <w:t>(a)</w:t>
      </w:r>
      <w:r w:rsidRPr="00283424">
        <w:tab/>
        <w:t>during the period, the person has adequate capacity and resources to hold the money and property of the CCIV; and</w:t>
      </w:r>
    </w:p>
    <w:p w14:paraId="21896E12" w14:textId="77777777" w:rsidR="00E93F58" w:rsidRPr="00283424" w:rsidRDefault="00E93F58" w:rsidP="00B50726">
      <w:pPr>
        <w:pStyle w:val="paragraph"/>
      </w:pPr>
      <w:r w:rsidRPr="00283424">
        <w:tab/>
        <w:t>(b)</w:t>
      </w:r>
      <w:r w:rsidRPr="00283424">
        <w:tab/>
        <w:t>in the case that the person performs other functions for the CCIV at any time during the period—the person has in place, at that time, adequate arrangements for the management of conflicts of interest that may arise wholly, or partially, in relation to activities undertaken by the person in performing the other functions.</w:t>
      </w:r>
    </w:p>
    <w:p w14:paraId="305066CE" w14:textId="77777777" w:rsidR="00E93F58" w:rsidRPr="00283424" w:rsidRDefault="00E93F58" w:rsidP="00B50726">
      <w:pPr>
        <w:pStyle w:val="ActHead5"/>
      </w:pPr>
      <w:bookmarkStart w:id="2226" w:name="_Toc152055086"/>
      <w:bookmarkStart w:id="2227" w:name="_Toc158712902"/>
      <w:r w:rsidRPr="006F296E">
        <w:rPr>
          <w:rStyle w:val="CharSectno"/>
        </w:rPr>
        <w:t>8B.5.15</w:t>
      </w:r>
      <w:r w:rsidRPr="00283424">
        <w:t xml:space="preserve">  Holding money and property of a CCIV on trust—exception</w:t>
      </w:r>
      <w:bookmarkEnd w:id="2226"/>
      <w:bookmarkEnd w:id="2227"/>
    </w:p>
    <w:p w14:paraId="1784C481" w14:textId="77777777" w:rsidR="00E93F58" w:rsidRPr="00283424" w:rsidRDefault="00E93F58" w:rsidP="00B50726">
      <w:pPr>
        <w:pStyle w:val="subsection"/>
      </w:pPr>
      <w:r w:rsidRPr="00283424">
        <w:tab/>
        <w:t>(1)</w:t>
      </w:r>
      <w:r w:rsidRPr="00283424">
        <w:tab/>
        <w:t>For the purposes of subsection 1234K(1) of the Act, subsection 1234H(1) of the Act does not apply to the class of assets that is the money or property of a CCIV that is held outside of Australia in another jurisdiction in the circumstance mentioned in subregulation (2)</w:t>
      </w:r>
    </w:p>
    <w:p w14:paraId="5B735045" w14:textId="77777777" w:rsidR="00E93F58" w:rsidRPr="00283424" w:rsidRDefault="00E93F58" w:rsidP="00B50726">
      <w:pPr>
        <w:pStyle w:val="subsection"/>
      </w:pPr>
      <w:r w:rsidRPr="00283424">
        <w:tab/>
        <w:t>(2)</w:t>
      </w:r>
      <w:r w:rsidRPr="00283424">
        <w:tab/>
        <w:t>For the purposes of subregulation (1), the circumstance is that:</w:t>
      </w:r>
    </w:p>
    <w:p w14:paraId="71DB44E0" w14:textId="77777777" w:rsidR="00E93F58" w:rsidRPr="00283424" w:rsidRDefault="00E93F58" w:rsidP="00B50726">
      <w:pPr>
        <w:pStyle w:val="paragraph"/>
      </w:pPr>
      <w:r w:rsidRPr="00283424">
        <w:tab/>
        <w:t>(a)</w:t>
      </w:r>
      <w:r w:rsidRPr="00283424">
        <w:tab/>
        <w:t>it is not reasonable for the money or property of the CCIV to be held on trust under the laws in force in the other jurisdiction; and</w:t>
      </w:r>
    </w:p>
    <w:p w14:paraId="03EE2F1A" w14:textId="77777777" w:rsidR="00E93F58" w:rsidRPr="00283424" w:rsidRDefault="00E93F58" w:rsidP="00B50726">
      <w:pPr>
        <w:pStyle w:val="paragraph"/>
      </w:pPr>
      <w:r w:rsidRPr="00283424">
        <w:tab/>
        <w:t>(b)</w:t>
      </w:r>
      <w:r w:rsidRPr="00283424">
        <w:tab/>
      </w:r>
      <w:r w:rsidRPr="00283424" w:rsidDel="005E6438">
        <w:t xml:space="preserve">there </w:t>
      </w:r>
      <w:r w:rsidRPr="00283424">
        <w:t xml:space="preserve">are adequate </w:t>
      </w:r>
      <w:r w:rsidRPr="00283424" w:rsidDel="005E6438">
        <w:t xml:space="preserve">safeguards </w:t>
      </w:r>
      <w:r w:rsidRPr="00283424">
        <w:t>in place for protecting the money or property of the CCIV, including if the person holding the money or property of the CCIV becomes insolvent.</w:t>
      </w:r>
    </w:p>
    <w:p w14:paraId="6391B74F" w14:textId="77777777" w:rsidR="00E93F58" w:rsidRPr="00283424" w:rsidRDefault="00E93F58" w:rsidP="00B50726">
      <w:pPr>
        <w:pStyle w:val="ActHead5"/>
      </w:pPr>
      <w:bookmarkStart w:id="2228" w:name="_Toc152055087"/>
      <w:bookmarkStart w:id="2229" w:name="_Toc158712903"/>
      <w:r w:rsidRPr="006F296E">
        <w:rPr>
          <w:rStyle w:val="CharSectno"/>
        </w:rPr>
        <w:t>8B.5.20</w:t>
      </w:r>
      <w:r w:rsidRPr="00283424">
        <w:t xml:space="preserve">  Holding money and property of a CCIV separately—exception and other requirements for certain classes of assets</w:t>
      </w:r>
      <w:bookmarkEnd w:id="2228"/>
      <w:bookmarkEnd w:id="2229"/>
    </w:p>
    <w:p w14:paraId="68323ABF" w14:textId="77777777" w:rsidR="00E93F58" w:rsidRPr="00283424" w:rsidRDefault="00E93F58" w:rsidP="00B50726">
      <w:pPr>
        <w:pStyle w:val="subsection"/>
      </w:pPr>
      <w:r w:rsidRPr="00283424">
        <w:tab/>
        <w:t>(1)</w:t>
      </w:r>
      <w:r w:rsidRPr="00283424">
        <w:tab/>
        <w:t>For the purposes of subsections 1234K(1) and (2) of the Act, subsections 1234J(1) to (3) of the Act do not apply in relation to the class of assets of a sub</w:t>
      </w:r>
      <w:r>
        <w:noBreakHyphen/>
      </w:r>
      <w:r w:rsidRPr="00283424">
        <w:t>fund of a CCIV that consists of assets that:</w:t>
      </w:r>
    </w:p>
    <w:p w14:paraId="6A04A48D" w14:textId="77777777" w:rsidR="00E93F58" w:rsidRPr="00283424" w:rsidRDefault="00E93F58" w:rsidP="00B50726">
      <w:pPr>
        <w:pStyle w:val="paragraph"/>
      </w:pPr>
      <w:r w:rsidRPr="00283424">
        <w:tab/>
        <w:t>(a)</w:t>
      </w:r>
      <w:r w:rsidRPr="00283424">
        <w:tab/>
        <w:t xml:space="preserve">are of any of the following kinds (the </w:t>
      </w:r>
      <w:r w:rsidRPr="00283424">
        <w:rPr>
          <w:b/>
          <w:i/>
        </w:rPr>
        <w:t>prescribed assets</w:t>
      </w:r>
      <w:r w:rsidRPr="00283424">
        <w:t>):</w:t>
      </w:r>
    </w:p>
    <w:p w14:paraId="4F299608" w14:textId="77777777" w:rsidR="00E93F58" w:rsidRPr="00283424" w:rsidRDefault="00E93F58" w:rsidP="00B50726">
      <w:pPr>
        <w:pStyle w:val="paragraphsub"/>
      </w:pPr>
      <w:r w:rsidRPr="00283424">
        <w:tab/>
        <w:t>(i)</w:t>
      </w:r>
      <w:r w:rsidRPr="00283424">
        <w:tab/>
        <w:t>Australian or foreign currency;</w:t>
      </w:r>
    </w:p>
    <w:p w14:paraId="096D7E76" w14:textId="77777777" w:rsidR="00E93F58" w:rsidRPr="00283424" w:rsidRDefault="00E93F58" w:rsidP="00B50726">
      <w:pPr>
        <w:pStyle w:val="paragraphsub"/>
      </w:pPr>
      <w:r w:rsidRPr="00283424">
        <w:tab/>
        <w:t>(ii)</w:t>
      </w:r>
      <w:r w:rsidRPr="00283424">
        <w:tab/>
        <w:t>rights to Australian or foreign currency that is held in a deposit</w:t>
      </w:r>
      <w:r>
        <w:noBreakHyphen/>
      </w:r>
      <w:r w:rsidRPr="00283424">
        <w:t xml:space="preserve">taking facility made available by an ADI (within the meaning of the </w:t>
      </w:r>
      <w:r w:rsidRPr="00283424">
        <w:rPr>
          <w:i/>
        </w:rPr>
        <w:t>Banking Act 1959</w:t>
      </w:r>
      <w:r w:rsidRPr="00283424">
        <w:t>);</w:t>
      </w:r>
    </w:p>
    <w:p w14:paraId="48992845" w14:textId="77777777" w:rsidR="00E93F58" w:rsidRPr="00283424" w:rsidRDefault="00E93F58" w:rsidP="00B50726">
      <w:pPr>
        <w:pStyle w:val="paragraphsub"/>
      </w:pPr>
      <w:r w:rsidRPr="00283424">
        <w:tab/>
        <w:t>(iii)</w:t>
      </w:r>
      <w:r w:rsidRPr="00283424">
        <w:tab/>
        <w:t>rights to Australian or foreign currency that is held in a deposit</w:t>
      </w:r>
      <w:r>
        <w:noBreakHyphen/>
      </w:r>
      <w:r w:rsidRPr="00283424">
        <w:t>taking facility made available by a body corporate that is authorised to carry on a banking business (within the meaning of that Act) in a foreign country;</w:t>
      </w:r>
    </w:p>
    <w:p w14:paraId="36AAA9C5" w14:textId="77777777" w:rsidR="00E93F58" w:rsidRPr="00283424" w:rsidRDefault="00E93F58" w:rsidP="00B50726">
      <w:pPr>
        <w:pStyle w:val="paragraphsub"/>
      </w:pPr>
      <w:r w:rsidRPr="00283424">
        <w:tab/>
        <w:t>(iv)</w:t>
      </w:r>
      <w:r w:rsidRPr="00283424">
        <w:tab/>
        <w:t>securities;</w:t>
      </w:r>
    </w:p>
    <w:p w14:paraId="4C3FC814" w14:textId="77777777" w:rsidR="00E93F58" w:rsidRPr="00283424" w:rsidRDefault="00E93F58" w:rsidP="00B50726">
      <w:pPr>
        <w:pStyle w:val="paragraphsub"/>
      </w:pPr>
      <w:r w:rsidRPr="00283424">
        <w:tab/>
        <w:t>(v)</w:t>
      </w:r>
      <w:r w:rsidRPr="00283424">
        <w:tab/>
        <w:t>derivatives; and</w:t>
      </w:r>
    </w:p>
    <w:p w14:paraId="45EB751E" w14:textId="77777777" w:rsidR="00E93F58" w:rsidRPr="00283424" w:rsidRDefault="00E93F58" w:rsidP="00B50726">
      <w:pPr>
        <w:pStyle w:val="paragraph"/>
      </w:pPr>
      <w:r w:rsidRPr="00283424">
        <w:tab/>
        <w:t>(b)</w:t>
      </w:r>
      <w:r w:rsidRPr="00283424">
        <w:tab/>
        <w:t>are held in accordance with the requirements mentioned in subregulation (2).</w:t>
      </w:r>
    </w:p>
    <w:p w14:paraId="74F8CF2B" w14:textId="77777777" w:rsidR="00E93F58" w:rsidRPr="00283424" w:rsidRDefault="00E93F58" w:rsidP="00B50726">
      <w:pPr>
        <w:pStyle w:val="subsection"/>
      </w:pPr>
      <w:r w:rsidRPr="00283424">
        <w:tab/>
        <w:t>(2)</w:t>
      </w:r>
      <w:r w:rsidRPr="00283424">
        <w:tab/>
        <w:t>For the purposes of subregulation (1), the following requirements apply in relation to the holding, by a person, of assets of a sub</w:t>
      </w:r>
      <w:r>
        <w:noBreakHyphen/>
      </w:r>
      <w:r w:rsidRPr="00283424">
        <w:t>fund of a CCIV that are prescribed assets:</w:t>
      </w:r>
    </w:p>
    <w:p w14:paraId="0830AB92" w14:textId="77777777" w:rsidR="00E93F58" w:rsidRPr="00283424" w:rsidRDefault="00E93F58" w:rsidP="00B50726">
      <w:pPr>
        <w:pStyle w:val="paragraph"/>
      </w:pPr>
      <w:r w:rsidRPr="00283424">
        <w:tab/>
        <w:t>(a)</w:t>
      </w:r>
      <w:r w:rsidRPr="00283424">
        <w:tab/>
        <w:t>a requirement that the person holds the prescribed assets separately from any money or property of the person;</w:t>
      </w:r>
    </w:p>
    <w:p w14:paraId="4E32B8C2" w14:textId="77777777" w:rsidR="00E93F58" w:rsidRPr="00283424" w:rsidRDefault="00E93F58" w:rsidP="00B50726">
      <w:pPr>
        <w:pStyle w:val="paragraph"/>
      </w:pPr>
      <w:r w:rsidRPr="00283424">
        <w:lastRenderedPageBreak/>
        <w:tab/>
        <w:t>(b)</w:t>
      </w:r>
      <w:r w:rsidRPr="00283424">
        <w:tab/>
        <w:t xml:space="preserve">a requirement that there are adequate </w:t>
      </w:r>
      <w:r w:rsidRPr="00283424" w:rsidDel="005E6438">
        <w:t xml:space="preserve">safeguards </w:t>
      </w:r>
      <w:r w:rsidRPr="00283424">
        <w:t>in place for the protection of the prescribed assets, including if the assets of another sub</w:t>
      </w:r>
      <w:r>
        <w:noBreakHyphen/>
      </w:r>
      <w:r w:rsidRPr="00283424">
        <w:t>fund of the CCIV or the assets of another entity are subject to external administration;</w:t>
      </w:r>
    </w:p>
    <w:p w14:paraId="0AE6D793" w14:textId="77777777" w:rsidR="00E93F58" w:rsidRPr="00283424" w:rsidRDefault="00E93F58" w:rsidP="00B50726">
      <w:pPr>
        <w:pStyle w:val="paragraph"/>
      </w:pPr>
      <w:r w:rsidRPr="00283424">
        <w:tab/>
        <w:t>(c)</w:t>
      </w:r>
      <w:r w:rsidRPr="00283424">
        <w:tab/>
        <w:t>a requirement that the person do all things necessary to ensure that not holding the prescribed assets in accordance with subsections 1234J(1) to (3) of the Act does not restrict the CCIV’s capacity to exercise any rights in respect of the prescribed assets;</w:t>
      </w:r>
    </w:p>
    <w:p w14:paraId="54E8E7DC" w14:textId="77777777" w:rsidR="00E93F58" w:rsidRPr="00283424" w:rsidRDefault="00E93F58" w:rsidP="00B50726">
      <w:pPr>
        <w:pStyle w:val="paragraph"/>
        <w:rPr>
          <w:color w:val="000000"/>
          <w:shd w:val="clear" w:color="auto" w:fill="FFFFFF"/>
        </w:rPr>
      </w:pPr>
      <w:r w:rsidRPr="00283424">
        <w:tab/>
        <w:t>(d)</w:t>
      </w:r>
      <w:r w:rsidRPr="00283424">
        <w:tab/>
        <w:t xml:space="preserve">a requirement that the person do all </w:t>
      </w:r>
      <w:r w:rsidRPr="00283424">
        <w:rPr>
          <w:color w:val="000000"/>
          <w:shd w:val="clear" w:color="auto" w:fill="FFFFFF"/>
        </w:rPr>
        <w:t>things necessary to ensure that a reconciliation of the prescribed assets occurs:</w:t>
      </w:r>
    </w:p>
    <w:p w14:paraId="0613CB60" w14:textId="77777777" w:rsidR="00E93F58" w:rsidRPr="00283424" w:rsidRDefault="00E93F58" w:rsidP="00B50726">
      <w:pPr>
        <w:pStyle w:val="paragraphsub"/>
        <w:rPr>
          <w:shd w:val="clear" w:color="auto" w:fill="FFFFFF"/>
        </w:rPr>
      </w:pPr>
      <w:r w:rsidRPr="00283424">
        <w:rPr>
          <w:shd w:val="clear" w:color="auto" w:fill="FFFFFF"/>
        </w:rPr>
        <w:tab/>
        <w:t>(i)</w:t>
      </w:r>
      <w:r w:rsidRPr="00283424">
        <w:rPr>
          <w:shd w:val="clear" w:color="auto" w:fill="FFFFFF"/>
        </w:rPr>
        <w:tab/>
        <w:t>each business day; or</w:t>
      </w:r>
    </w:p>
    <w:p w14:paraId="406DDD4B" w14:textId="77777777" w:rsidR="00E93F58" w:rsidRPr="00283424" w:rsidRDefault="00E93F58" w:rsidP="00B50726">
      <w:pPr>
        <w:pStyle w:val="paragraphsub"/>
        <w:rPr>
          <w:shd w:val="clear" w:color="auto" w:fill="FFFFFF"/>
        </w:rPr>
      </w:pPr>
      <w:r w:rsidRPr="00283424">
        <w:rPr>
          <w:shd w:val="clear" w:color="auto" w:fill="FFFFFF"/>
        </w:rPr>
        <w:tab/>
        <w:t>(ii)</w:t>
      </w:r>
      <w:r w:rsidRPr="00283424">
        <w:rPr>
          <w:shd w:val="clear" w:color="auto" w:fill="FFFFFF"/>
        </w:rPr>
        <w:tab/>
      </w:r>
      <w:r w:rsidRPr="00283424">
        <w:t>if it is ordinary and reasonable, in commercial practice, to reconcile assets of the same class less frequently—as frequently as reconciliation of assets of that class would occur in accordance with that practice</w:t>
      </w:r>
      <w:r w:rsidRPr="00283424">
        <w:rPr>
          <w:shd w:val="clear" w:color="auto" w:fill="FFFFFF"/>
        </w:rPr>
        <w:t>;</w:t>
      </w:r>
    </w:p>
    <w:p w14:paraId="51CF61A8" w14:textId="77777777" w:rsidR="00E93F58" w:rsidRPr="00283424" w:rsidRDefault="00E93F58" w:rsidP="00B50726">
      <w:pPr>
        <w:pStyle w:val="paragraph"/>
        <w:rPr>
          <w:shd w:val="clear" w:color="auto" w:fill="FFFFFF"/>
        </w:rPr>
      </w:pPr>
      <w:r w:rsidRPr="00283424">
        <w:rPr>
          <w:shd w:val="clear" w:color="auto" w:fill="FFFFFF"/>
        </w:rPr>
        <w:tab/>
        <w:t>(e)</w:t>
      </w:r>
      <w:r w:rsidRPr="00283424">
        <w:rPr>
          <w:shd w:val="clear" w:color="auto" w:fill="FFFFFF"/>
        </w:rPr>
        <w:tab/>
        <w:t>if there is a discrepancy in the reconciliation of the prescribed assets—a requirement that the person do all things necessary to rectify the discrepancy within the period of 2 business days starting after the day the person identifies, or becomes aware of, the discrepancy;</w:t>
      </w:r>
    </w:p>
    <w:p w14:paraId="1BE25AF3" w14:textId="77777777" w:rsidR="00E93F58" w:rsidRPr="00283424" w:rsidRDefault="00E93F58" w:rsidP="00B50726">
      <w:pPr>
        <w:pStyle w:val="paragraph"/>
      </w:pPr>
      <w:r w:rsidRPr="00283424">
        <w:tab/>
        <w:t>(f)</w:t>
      </w:r>
      <w:r w:rsidRPr="00283424">
        <w:tab/>
        <w:t>a requirement that the person:</w:t>
      </w:r>
    </w:p>
    <w:p w14:paraId="55C7EBDA" w14:textId="77777777" w:rsidR="00E93F58" w:rsidRPr="00283424" w:rsidRDefault="00E93F58" w:rsidP="00B50726">
      <w:pPr>
        <w:pStyle w:val="paragraphsub"/>
        <w:rPr>
          <w:i/>
        </w:rPr>
      </w:pPr>
      <w:r w:rsidRPr="00283424">
        <w:tab/>
        <w:t>(i)</w:t>
      </w:r>
      <w:r w:rsidRPr="00283424">
        <w:tab/>
        <w:t>keep adequate records of the prescribed assets; and</w:t>
      </w:r>
    </w:p>
    <w:p w14:paraId="71AFE049" w14:textId="77777777" w:rsidR="00E93F58" w:rsidRPr="00283424" w:rsidRDefault="00E93F58" w:rsidP="00B50726">
      <w:pPr>
        <w:pStyle w:val="paragraphsub"/>
      </w:pPr>
      <w:r w:rsidRPr="00283424">
        <w:tab/>
        <w:t>(ii)</w:t>
      </w:r>
      <w:r w:rsidRPr="00283424">
        <w:tab/>
        <w:t>provide reasonable assistance to the corporate director of the CCIV.</w:t>
      </w:r>
    </w:p>
    <w:p w14:paraId="033C4569" w14:textId="77777777" w:rsidR="00E93F58" w:rsidRPr="00283424" w:rsidRDefault="00E93F58" w:rsidP="00B50726">
      <w:pPr>
        <w:pStyle w:val="notetext"/>
      </w:pPr>
      <w:r w:rsidRPr="00283424">
        <w:t>Note:</w:t>
      </w:r>
      <w:r w:rsidRPr="00283424">
        <w:tab/>
        <w:t>For the purposes of paragraph (e), one of the ways a discrepancy may be rectified is through the provision of additional property by the CCIV at the request of the person holding the property.</w:t>
      </w:r>
    </w:p>
    <w:bookmarkEnd w:id="2211"/>
    <w:bookmarkEnd w:id="2212"/>
    <w:p w14:paraId="33470DA4" w14:textId="77777777" w:rsidR="00E93F58" w:rsidRPr="00283424" w:rsidRDefault="00E93F58" w:rsidP="00B50726"/>
    <w:p w14:paraId="4146CC75" w14:textId="77777777" w:rsidR="00E93F58" w:rsidRPr="00D97EFB" w:rsidRDefault="00E93F58" w:rsidP="00BB7E31">
      <w:pPr>
        <w:pStyle w:val="ActHead1"/>
        <w:pageBreakBefore/>
      </w:pPr>
      <w:bookmarkStart w:id="2230" w:name="_Toc151994394"/>
      <w:bookmarkStart w:id="2231" w:name="_Toc158712904"/>
      <w:r w:rsidRPr="000D40D5">
        <w:rPr>
          <w:rStyle w:val="CharChapNo"/>
        </w:rPr>
        <w:lastRenderedPageBreak/>
        <w:t>Chapter 9</w:t>
      </w:r>
      <w:r w:rsidRPr="00D97EFB">
        <w:t>—</w:t>
      </w:r>
      <w:r w:rsidRPr="000D40D5">
        <w:rPr>
          <w:rStyle w:val="CharChapText"/>
        </w:rPr>
        <w:t>Miscellaneous</w:t>
      </w:r>
      <w:bookmarkEnd w:id="2230"/>
      <w:bookmarkEnd w:id="2231"/>
    </w:p>
    <w:p w14:paraId="541E86BC" w14:textId="77777777" w:rsidR="00E93F58" w:rsidRPr="00D97EFB" w:rsidRDefault="00E93F58" w:rsidP="00BB7E31">
      <w:pPr>
        <w:pStyle w:val="ActHead2"/>
      </w:pPr>
      <w:bookmarkStart w:id="2232" w:name="_Toc151994395"/>
      <w:bookmarkStart w:id="2233" w:name="_Toc158712905"/>
      <w:r w:rsidRPr="000D40D5">
        <w:rPr>
          <w:rStyle w:val="CharPartNo"/>
        </w:rPr>
        <w:t>Part 9.1</w:t>
      </w:r>
      <w:r w:rsidRPr="00D97EFB">
        <w:t>—</w:t>
      </w:r>
      <w:r w:rsidRPr="000D40D5">
        <w:rPr>
          <w:rStyle w:val="CharPartText"/>
        </w:rPr>
        <w:t>Registers and registration of documents</w:t>
      </w:r>
      <w:bookmarkEnd w:id="2232"/>
      <w:bookmarkEnd w:id="2233"/>
    </w:p>
    <w:p w14:paraId="3223B928"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1F830BB9" w14:textId="77777777" w:rsidR="00E93F58" w:rsidRPr="00D97EFB" w:rsidRDefault="00E93F58" w:rsidP="00E45818">
      <w:pPr>
        <w:pStyle w:val="ActHead5"/>
      </w:pPr>
      <w:bookmarkStart w:id="2234" w:name="_Toc151994396"/>
      <w:bookmarkStart w:id="2235" w:name="_Toc158712906"/>
      <w:r w:rsidRPr="000D40D5">
        <w:rPr>
          <w:rStyle w:val="CharSectno"/>
        </w:rPr>
        <w:t>9.1.01</w:t>
      </w:r>
      <w:r w:rsidRPr="00D97EFB">
        <w:t xml:space="preserve">  Prescribed registers</w:t>
      </w:r>
      <w:bookmarkEnd w:id="2234"/>
      <w:bookmarkEnd w:id="2235"/>
    </w:p>
    <w:p w14:paraId="01658A08" w14:textId="77777777" w:rsidR="00E93F58" w:rsidRPr="00D97EFB" w:rsidRDefault="00E93F58" w:rsidP="007804D8">
      <w:pPr>
        <w:pStyle w:val="subsection"/>
      </w:pPr>
      <w:r w:rsidRPr="00D97EFB">
        <w:tab/>
      </w:r>
      <w:r w:rsidRPr="00D97EFB">
        <w:tab/>
        <w:t>For subsections 1274A(2), (3) and (4) of the Act, the following registers are prescribed:</w:t>
      </w:r>
    </w:p>
    <w:p w14:paraId="2F6D15DF" w14:textId="77777777" w:rsidR="00E93F58" w:rsidRPr="00D97EFB" w:rsidRDefault="00E93F58" w:rsidP="007804D8">
      <w:pPr>
        <w:pStyle w:val="paragraph"/>
      </w:pPr>
      <w:r w:rsidRPr="00D97EFB">
        <w:tab/>
        <w:t>(a)</w:t>
      </w:r>
      <w:r w:rsidRPr="00D97EFB">
        <w:tab/>
        <w:t>the register of companies registered under section 118 or 601BD of the Act or the registration of which is continued by section 1378 of the Act;</w:t>
      </w:r>
    </w:p>
    <w:p w14:paraId="06ECD200" w14:textId="77777777" w:rsidR="00E93F58" w:rsidRPr="00D97EFB" w:rsidRDefault="00E93F58" w:rsidP="007804D8">
      <w:pPr>
        <w:pStyle w:val="paragraph"/>
      </w:pPr>
      <w:r w:rsidRPr="00D97EFB">
        <w:tab/>
        <w:t>(b)</w:t>
      </w:r>
      <w:r w:rsidRPr="00D97EFB">
        <w:tab/>
        <w:t>the register of Disqualified Company Directors and Other Officers kept under section 1274AA of the Act;</w:t>
      </w:r>
    </w:p>
    <w:p w14:paraId="4640FBA4" w14:textId="77777777" w:rsidR="00E93F58" w:rsidRPr="00D97EFB" w:rsidRDefault="00E93F58" w:rsidP="007804D8">
      <w:pPr>
        <w:pStyle w:val="paragraph"/>
      </w:pPr>
      <w:r w:rsidRPr="00D97EFB">
        <w:tab/>
        <w:t>(c)</w:t>
      </w:r>
      <w:r w:rsidRPr="00D97EFB">
        <w:tab/>
        <w:t>the Australian Register of Company Charges kept under section 265 of the Act;</w:t>
      </w:r>
    </w:p>
    <w:p w14:paraId="46029629" w14:textId="77777777" w:rsidR="00E93F58" w:rsidRPr="00D97EFB" w:rsidRDefault="00E93F58" w:rsidP="007804D8">
      <w:pPr>
        <w:pStyle w:val="paragraph"/>
      </w:pPr>
      <w:r w:rsidRPr="00D97EFB">
        <w:tab/>
        <w:t>(d)</w:t>
      </w:r>
      <w:r w:rsidRPr="00D97EFB">
        <w:tab/>
        <w:t>the register of registered Australian bodies kept under Division 1 of Part 5B.2 of the Act;</w:t>
      </w:r>
    </w:p>
    <w:p w14:paraId="6C47814D" w14:textId="77777777" w:rsidR="00E93F58" w:rsidRPr="00D97EFB" w:rsidRDefault="00E93F58" w:rsidP="007804D8">
      <w:pPr>
        <w:pStyle w:val="paragraph"/>
      </w:pPr>
      <w:r w:rsidRPr="00D97EFB">
        <w:tab/>
        <w:t>(e)</w:t>
      </w:r>
      <w:r w:rsidRPr="00D97EFB">
        <w:tab/>
        <w:t>the register of foreign companies registered under Division 2 of Part 5B.2 of the Act;</w:t>
      </w:r>
    </w:p>
    <w:p w14:paraId="0E386215" w14:textId="77777777" w:rsidR="00E93F58" w:rsidRPr="00D97EFB" w:rsidRDefault="00E93F58" w:rsidP="007804D8">
      <w:pPr>
        <w:pStyle w:val="paragraph"/>
      </w:pPr>
      <w:r w:rsidRPr="00D97EFB">
        <w:tab/>
        <w:t>(f)</w:t>
      </w:r>
      <w:r w:rsidRPr="00D97EFB">
        <w:tab/>
        <w:t>the register of names reserved under section 152 of the Act;</w:t>
      </w:r>
    </w:p>
    <w:p w14:paraId="241783E4" w14:textId="77777777" w:rsidR="00E93F58" w:rsidRPr="00D97EFB" w:rsidRDefault="00E93F58" w:rsidP="007804D8">
      <w:pPr>
        <w:pStyle w:val="paragraph"/>
      </w:pPr>
      <w:r w:rsidRPr="00D97EFB">
        <w:tab/>
        <w:t>(g)</w:t>
      </w:r>
      <w:r w:rsidRPr="00D97EFB">
        <w:tab/>
        <w:t>the Register of Licence Holders kept under section 789 of the Act;</w:t>
      </w:r>
    </w:p>
    <w:p w14:paraId="352B8783" w14:textId="77777777" w:rsidR="00E93F58" w:rsidRPr="00D97EFB" w:rsidRDefault="00E93F58" w:rsidP="007804D8">
      <w:pPr>
        <w:pStyle w:val="paragraph"/>
      </w:pPr>
      <w:r w:rsidRPr="00D97EFB">
        <w:tab/>
        <w:t>(h)</w:t>
      </w:r>
      <w:r w:rsidRPr="00D97EFB">
        <w:tab/>
        <w:t>the register of managed investment schemes registered under section 601EB of the Act;</w:t>
      </w:r>
    </w:p>
    <w:p w14:paraId="61FA8394" w14:textId="77777777" w:rsidR="00E93F58" w:rsidRPr="00D97EFB" w:rsidRDefault="00E93F58" w:rsidP="007804D8">
      <w:pPr>
        <w:pStyle w:val="paragraph"/>
      </w:pPr>
      <w:r w:rsidRPr="00D97EFB">
        <w:tab/>
        <w:t>(i)</w:t>
      </w:r>
      <w:r w:rsidRPr="00D97EFB">
        <w:tab/>
        <w:t>the Register of Futures Licensees kept under section 1155 of the Act;</w:t>
      </w:r>
    </w:p>
    <w:p w14:paraId="6296C08C" w14:textId="77777777" w:rsidR="00E93F58" w:rsidRPr="00D97EFB" w:rsidRDefault="00E93F58" w:rsidP="007804D8">
      <w:pPr>
        <w:pStyle w:val="paragraph"/>
      </w:pPr>
      <w:r w:rsidRPr="00D97EFB">
        <w:tab/>
        <w:t>(ia)</w:t>
      </w:r>
      <w:r w:rsidRPr="00D97EFB">
        <w:tab/>
        <w:t>the Register of Passport Funds that is established and maintained in accordance with section 1214 of the Act;</w:t>
      </w:r>
    </w:p>
    <w:p w14:paraId="4C659765" w14:textId="77777777" w:rsidR="00E93F58" w:rsidRPr="00D97EFB" w:rsidRDefault="00E93F58" w:rsidP="007804D8">
      <w:pPr>
        <w:pStyle w:val="paragraph"/>
      </w:pPr>
      <w:r w:rsidRPr="00D97EFB">
        <w:tab/>
        <w:t>(j)</w:t>
      </w:r>
      <w:r w:rsidRPr="00D97EFB">
        <w:tab/>
        <w:t>the Register of Auditors kept under section 1285 of the Act;</w:t>
      </w:r>
    </w:p>
    <w:p w14:paraId="706DE40A" w14:textId="77777777" w:rsidR="00E93F58" w:rsidRPr="00D97EFB" w:rsidRDefault="00E93F58" w:rsidP="007804D8">
      <w:pPr>
        <w:pStyle w:val="paragraph"/>
        <w:rPr>
          <w:color w:val="000000"/>
        </w:rPr>
      </w:pPr>
      <w:r w:rsidRPr="00D97EFB">
        <w:rPr>
          <w:color w:val="000000"/>
        </w:rPr>
        <w:tab/>
        <w:t>(m)</w:t>
      </w:r>
      <w:r w:rsidRPr="00D97EFB">
        <w:rPr>
          <w:color w:val="000000"/>
        </w:rPr>
        <w:tab/>
        <w:t>the register in respect of financial services licensees mentioned in subsection 922A(2) of the Act;</w:t>
      </w:r>
    </w:p>
    <w:p w14:paraId="42D2587B" w14:textId="77777777" w:rsidR="00E93F58" w:rsidRPr="00D97EFB" w:rsidRDefault="00E93F58" w:rsidP="007804D8">
      <w:pPr>
        <w:pStyle w:val="paragraph"/>
        <w:rPr>
          <w:color w:val="000000"/>
        </w:rPr>
      </w:pPr>
      <w:r w:rsidRPr="00D97EFB">
        <w:rPr>
          <w:color w:val="000000"/>
        </w:rPr>
        <w:tab/>
        <w:t>(n)</w:t>
      </w:r>
      <w:r w:rsidRPr="00D97EFB">
        <w:rPr>
          <w:color w:val="000000"/>
        </w:rPr>
        <w:tab/>
        <w:t>the register in respect of authorised representatives of financial services licensees mentioned in subsection 922A(2) of the Act;</w:t>
      </w:r>
    </w:p>
    <w:p w14:paraId="1A994279" w14:textId="77777777" w:rsidR="00E93F58" w:rsidRPr="00D97EFB" w:rsidRDefault="00E93F58" w:rsidP="007804D8">
      <w:pPr>
        <w:pStyle w:val="paragraph"/>
        <w:rPr>
          <w:color w:val="000000"/>
        </w:rPr>
      </w:pPr>
      <w:r w:rsidRPr="00D97EFB">
        <w:rPr>
          <w:color w:val="000000"/>
        </w:rPr>
        <w:tab/>
        <w:t>(o)</w:t>
      </w:r>
      <w:r w:rsidRPr="00D97EFB">
        <w:rPr>
          <w:color w:val="000000"/>
        </w:rPr>
        <w:tab/>
        <w:t xml:space="preserve">the register in respect of persons against whom a banning order or disqualification order is made mentioned in subsection 922A(2) of </w:t>
      </w:r>
      <w:r w:rsidRPr="00D97EFB">
        <w:t>the Act;</w:t>
      </w:r>
    </w:p>
    <w:p w14:paraId="0497E2FE" w14:textId="77777777" w:rsidR="00E93F58" w:rsidRPr="00D97EFB" w:rsidRDefault="00E93F58" w:rsidP="007804D8">
      <w:pPr>
        <w:pStyle w:val="paragraph"/>
      </w:pPr>
      <w:r w:rsidRPr="00D97EFB">
        <w:tab/>
        <w:t>(p)</w:t>
      </w:r>
      <w:r w:rsidRPr="00D97EFB">
        <w:tab/>
        <w:t xml:space="preserve">the register relating to trustees for debenture holders kept under section 283BCA of the Act; </w:t>
      </w:r>
    </w:p>
    <w:p w14:paraId="51EBE53E" w14:textId="77777777" w:rsidR="00E93F58" w:rsidRPr="00D97EFB" w:rsidRDefault="00E93F58" w:rsidP="007804D8">
      <w:pPr>
        <w:pStyle w:val="paragraph"/>
      </w:pPr>
      <w:r w:rsidRPr="00D97EFB">
        <w:tab/>
        <w:t>(q)</w:t>
      </w:r>
      <w:r w:rsidRPr="00D97EFB">
        <w:tab/>
        <w:t>the Register of Relevant Providers maintained under section 922Q of the Act.</w:t>
      </w:r>
    </w:p>
    <w:p w14:paraId="61C6537D" w14:textId="77777777" w:rsidR="00E93F58" w:rsidRPr="00D97EFB" w:rsidRDefault="00E93F58" w:rsidP="00E45818">
      <w:pPr>
        <w:pStyle w:val="ActHead5"/>
        <w:rPr>
          <w:sz w:val="18"/>
        </w:rPr>
      </w:pPr>
      <w:bookmarkStart w:id="2236" w:name="_Toc151994397"/>
      <w:bookmarkStart w:id="2237" w:name="_Toc158712907"/>
      <w:r w:rsidRPr="000D40D5">
        <w:rPr>
          <w:rStyle w:val="CharSectno"/>
        </w:rPr>
        <w:t>9.1.02</w:t>
      </w:r>
      <w:r w:rsidRPr="00D97EFB">
        <w:t xml:space="preserve">  Prescribed information</w:t>
      </w:r>
      <w:bookmarkEnd w:id="2236"/>
      <w:bookmarkEnd w:id="2237"/>
    </w:p>
    <w:p w14:paraId="107DC5B2" w14:textId="77777777" w:rsidR="00E93F58" w:rsidRPr="00D97EFB" w:rsidRDefault="00E93F58" w:rsidP="007804D8">
      <w:pPr>
        <w:pStyle w:val="subsection"/>
      </w:pPr>
      <w:r w:rsidRPr="00D97EFB">
        <w:tab/>
      </w:r>
      <w:r w:rsidRPr="00D97EFB">
        <w:tab/>
        <w:t>For subsections 1274A(3) and (4) of the Act, the following information is prescribed:</w:t>
      </w:r>
    </w:p>
    <w:p w14:paraId="4415E4A0" w14:textId="77777777" w:rsidR="00E93F58" w:rsidRPr="00D97EFB" w:rsidRDefault="00E93F58" w:rsidP="007804D8">
      <w:pPr>
        <w:pStyle w:val="paragraph"/>
      </w:pPr>
      <w:r w:rsidRPr="00D97EFB">
        <w:tab/>
        <w:t>(a)</w:t>
      </w:r>
      <w:r w:rsidRPr="00D97EFB">
        <w:tab/>
        <w:t>in relation to each company (other than a CCIV) registered under section 118 or 601BD of the Act or the registration of which is continued by section 1378 of the Act:</w:t>
      </w:r>
    </w:p>
    <w:p w14:paraId="16F0B95A" w14:textId="77777777" w:rsidR="00E93F58" w:rsidRPr="00D97EFB" w:rsidRDefault="00E93F58" w:rsidP="007804D8">
      <w:pPr>
        <w:pStyle w:val="paragraphsub"/>
      </w:pPr>
      <w:r w:rsidRPr="00D97EFB">
        <w:tab/>
        <w:t>(i)</w:t>
      </w:r>
      <w:r w:rsidRPr="00D97EFB">
        <w:tab/>
        <w:t>its full name, the date of its registration and its registration number;</w:t>
      </w:r>
    </w:p>
    <w:p w14:paraId="2C036266" w14:textId="77777777" w:rsidR="00E93F58" w:rsidRPr="00D97EFB" w:rsidRDefault="00E93F58" w:rsidP="007804D8">
      <w:pPr>
        <w:pStyle w:val="paragraphsub"/>
      </w:pPr>
      <w:r w:rsidRPr="00D97EFB">
        <w:tab/>
        <w:t>(ii)</w:t>
      </w:r>
      <w:r w:rsidRPr="00D97EFB">
        <w:tab/>
        <w:t>whether it is a public company or a proprietary company;</w:t>
      </w:r>
    </w:p>
    <w:p w14:paraId="18E2BF72" w14:textId="77777777" w:rsidR="00E93F58" w:rsidRPr="00D97EFB" w:rsidRDefault="00E93F58" w:rsidP="007804D8">
      <w:pPr>
        <w:pStyle w:val="paragraphsub"/>
      </w:pPr>
      <w:r w:rsidRPr="00D97EFB">
        <w:tab/>
        <w:t>(iii)</w:t>
      </w:r>
      <w:r w:rsidRPr="00D97EFB">
        <w:tab/>
        <w:t>whether it is a company limited by shares, a company limited by guarantee, a company limited by both shares and guarantee, an unlimited company or a no liability company;</w:t>
      </w:r>
    </w:p>
    <w:p w14:paraId="4DD72A77" w14:textId="77777777" w:rsidR="00E93F58" w:rsidRPr="00D97EFB" w:rsidRDefault="00E93F58" w:rsidP="007804D8">
      <w:pPr>
        <w:pStyle w:val="paragraphsub"/>
      </w:pPr>
      <w:r w:rsidRPr="00D97EFB">
        <w:tab/>
        <w:t>(iv)</w:t>
      </w:r>
      <w:r w:rsidRPr="00D97EFB">
        <w:tab/>
        <w:t>its contact address;</w:t>
      </w:r>
    </w:p>
    <w:p w14:paraId="5284FDF5" w14:textId="77777777" w:rsidR="00E93F58" w:rsidRPr="00D97EFB" w:rsidRDefault="00E93F58" w:rsidP="007804D8">
      <w:pPr>
        <w:pStyle w:val="paragraphsub"/>
      </w:pPr>
      <w:r w:rsidRPr="00D97EFB">
        <w:tab/>
        <w:t>(iva)</w:t>
      </w:r>
      <w:r w:rsidRPr="00D97EFB">
        <w:tab/>
        <w:t>its principal place of business;</w:t>
      </w:r>
    </w:p>
    <w:p w14:paraId="530F7AF7" w14:textId="77777777" w:rsidR="00E93F58" w:rsidRPr="00D97EFB" w:rsidRDefault="00E93F58" w:rsidP="007804D8">
      <w:pPr>
        <w:pStyle w:val="paragraphsub"/>
      </w:pPr>
      <w:r w:rsidRPr="00D97EFB">
        <w:tab/>
        <w:t>(v)</w:t>
      </w:r>
      <w:r w:rsidRPr="00D97EFB">
        <w:tab/>
        <w:t>its registered office;</w:t>
      </w:r>
    </w:p>
    <w:p w14:paraId="13ED4334" w14:textId="77777777" w:rsidR="00E93F58" w:rsidRPr="00D97EFB" w:rsidRDefault="00E93F58" w:rsidP="007804D8">
      <w:pPr>
        <w:pStyle w:val="paragraphsub"/>
      </w:pPr>
      <w:r w:rsidRPr="00D97EFB">
        <w:tab/>
        <w:t>(vi)</w:t>
      </w:r>
      <w:r w:rsidRPr="00D97EFB">
        <w:tab/>
        <w:t>its officers;</w:t>
      </w:r>
    </w:p>
    <w:p w14:paraId="1037E3D5" w14:textId="77777777" w:rsidR="00E93F58" w:rsidRPr="00D97EFB" w:rsidRDefault="00E93F58" w:rsidP="0062516C">
      <w:pPr>
        <w:pStyle w:val="paragraphsub"/>
      </w:pPr>
      <w:r w:rsidRPr="00D97EFB">
        <w:tab/>
        <w:t>(vii)</w:t>
      </w:r>
      <w:r w:rsidRPr="00D97EFB">
        <w:tab/>
        <w:t>any scheme of arrangement it has entered into with its creditors, its placement under voluntary administration, a deed of company arrangement, restructuring or receivership, or its liquidation;</w:t>
      </w:r>
    </w:p>
    <w:p w14:paraId="4B2C0FDC" w14:textId="77777777" w:rsidR="00E93F58" w:rsidRPr="00D97EFB" w:rsidRDefault="00E93F58" w:rsidP="007804D8">
      <w:pPr>
        <w:pStyle w:val="paragraphsub"/>
      </w:pPr>
      <w:r w:rsidRPr="00D97EFB">
        <w:tab/>
        <w:t>(viii)</w:t>
      </w:r>
      <w:r w:rsidRPr="00D97EFB">
        <w:tab/>
        <w:t>its paid</w:t>
      </w:r>
      <w:r>
        <w:noBreakHyphen/>
      </w:r>
      <w:r w:rsidRPr="00D97EFB">
        <w:t>up and unpaid capital;</w:t>
      </w:r>
    </w:p>
    <w:p w14:paraId="74694E93" w14:textId="77777777" w:rsidR="00E93F58" w:rsidRPr="00D97EFB" w:rsidRDefault="00E93F58" w:rsidP="007804D8">
      <w:pPr>
        <w:pStyle w:val="paragraphsub"/>
      </w:pPr>
      <w:r w:rsidRPr="00D97EFB">
        <w:tab/>
        <w:t>(ix)</w:t>
      </w:r>
      <w:r w:rsidRPr="00D97EFB">
        <w:tab/>
        <w:t>its deregistration;</w:t>
      </w:r>
    </w:p>
    <w:p w14:paraId="06F84D93" w14:textId="77777777" w:rsidR="00E93F58" w:rsidRPr="00D97EFB" w:rsidRDefault="00E93F58" w:rsidP="007804D8">
      <w:pPr>
        <w:pStyle w:val="paragraphsub"/>
      </w:pPr>
      <w:r w:rsidRPr="00D97EFB">
        <w:tab/>
        <w:t>(x)</w:t>
      </w:r>
      <w:r w:rsidRPr="00D97EFB">
        <w:tab/>
        <w:t>any charges on its property that have been lodged with ASIC or entered in the Australian Register of Company Charges;</w:t>
      </w:r>
    </w:p>
    <w:p w14:paraId="7EC4B0BA" w14:textId="77777777" w:rsidR="00E93F58" w:rsidRPr="00D97EFB" w:rsidRDefault="00E93F58" w:rsidP="00A27F5D">
      <w:pPr>
        <w:pStyle w:val="paragraph"/>
      </w:pPr>
      <w:r w:rsidRPr="00D97EFB">
        <w:tab/>
        <w:t>(aa)</w:t>
      </w:r>
      <w:r w:rsidRPr="00D97EFB">
        <w:tab/>
        <w:t>in relation to each CCIV registered under section 118 of the Act as modified by section 1222C of the Act:</w:t>
      </w:r>
    </w:p>
    <w:p w14:paraId="5ABCD5D7" w14:textId="77777777" w:rsidR="00E93F58" w:rsidRPr="00D97EFB" w:rsidRDefault="00E93F58" w:rsidP="00A27F5D">
      <w:pPr>
        <w:pStyle w:val="paragraphsub"/>
      </w:pPr>
      <w:r w:rsidRPr="00D97EFB">
        <w:tab/>
        <w:t>(i)</w:t>
      </w:r>
      <w:r w:rsidRPr="00D97EFB">
        <w:tab/>
        <w:t>the name and address of the corporate director of the CCIV;</w:t>
      </w:r>
    </w:p>
    <w:p w14:paraId="19648621" w14:textId="77777777" w:rsidR="00E93F58" w:rsidRPr="00D97EFB" w:rsidRDefault="00E93F58" w:rsidP="00A27F5D">
      <w:pPr>
        <w:pStyle w:val="paragraphsub"/>
      </w:pPr>
      <w:r w:rsidRPr="00D97EFB">
        <w:tab/>
        <w:t>(ii)</w:t>
      </w:r>
      <w:r w:rsidRPr="00D97EFB">
        <w:tab/>
        <w:t>the name and address of the auditor of the corporate director of the CCIV;</w:t>
      </w:r>
    </w:p>
    <w:p w14:paraId="407A5E7B" w14:textId="77777777" w:rsidR="00E93F58" w:rsidRPr="00D97EFB" w:rsidRDefault="00E93F58" w:rsidP="00A27F5D">
      <w:pPr>
        <w:pStyle w:val="paragraphsub"/>
      </w:pPr>
      <w:r w:rsidRPr="00D97EFB">
        <w:tab/>
        <w:t>(iii)</w:t>
      </w:r>
      <w:r w:rsidRPr="00D97EFB">
        <w:tab/>
        <w:t>the name and ARFN of each sub</w:t>
      </w:r>
      <w:r>
        <w:noBreakHyphen/>
      </w:r>
      <w:r w:rsidRPr="00D97EFB">
        <w:t>fund of the CCIV;</w:t>
      </w:r>
    </w:p>
    <w:p w14:paraId="31875AE5" w14:textId="77777777" w:rsidR="00E93F58" w:rsidRPr="00D97EFB" w:rsidRDefault="00E93F58" w:rsidP="00A27F5D">
      <w:pPr>
        <w:pStyle w:val="paragraphsub"/>
      </w:pPr>
      <w:r w:rsidRPr="00D97EFB">
        <w:tab/>
        <w:t>(iv)</w:t>
      </w:r>
      <w:r w:rsidRPr="00D97EFB">
        <w:tab/>
        <w:t>if the CCIV is a retail CCIV—the name and address of the auditor of the compliance plan for</w:t>
      </w:r>
      <w:r w:rsidRPr="00D97EFB">
        <w:rPr>
          <w:i/>
        </w:rPr>
        <w:t xml:space="preserve"> </w:t>
      </w:r>
      <w:r w:rsidRPr="00D97EFB">
        <w:t>the retail CCIV;</w:t>
      </w:r>
    </w:p>
    <w:p w14:paraId="30B6BE3C" w14:textId="77777777" w:rsidR="00E93F58" w:rsidRPr="00D97EFB" w:rsidRDefault="00E93F58" w:rsidP="00A27F5D">
      <w:pPr>
        <w:pStyle w:val="paragraphsub"/>
      </w:pPr>
      <w:r w:rsidRPr="00D97EFB">
        <w:lastRenderedPageBreak/>
        <w:tab/>
        <w:t>(v)</w:t>
      </w:r>
      <w:r w:rsidRPr="00D97EFB">
        <w:tab/>
        <w:t>the date of any amendment of the constitution or compliance plan of the CCIV;</w:t>
      </w:r>
    </w:p>
    <w:p w14:paraId="6DACE2BB" w14:textId="77777777" w:rsidR="00E93F58" w:rsidRPr="00D97EFB" w:rsidRDefault="00E93F58" w:rsidP="00A27F5D">
      <w:pPr>
        <w:pStyle w:val="paragraphsub"/>
      </w:pPr>
      <w:r w:rsidRPr="00D97EFB">
        <w:tab/>
        <w:t>(vi)</w:t>
      </w:r>
      <w:r w:rsidRPr="00D97EFB">
        <w:tab/>
        <w:t>any deregistration of the CCIV or a sub</w:t>
      </w:r>
      <w:r>
        <w:noBreakHyphen/>
      </w:r>
      <w:r w:rsidRPr="00D97EFB">
        <w:t>fund of the CCIV;</w:t>
      </w:r>
    </w:p>
    <w:p w14:paraId="1C82FF18" w14:textId="77777777" w:rsidR="00E93F58" w:rsidRPr="00D97EFB" w:rsidRDefault="00E93F58" w:rsidP="00A27F5D">
      <w:pPr>
        <w:pStyle w:val="paragraphsub"/>
      </w:pPr>
      <w:r w:rsidRPr="00D97EFB">
        <w:tab/>
        <w:t>(vii)</w:t>
      </w:r>
      <w:r w:rsidRPr="00D97EFB">
        <w:tab/>
        <w:t>the name and address of the auditor of the CCIV;</w:t>
      </w:r>
    </w:p>
    <w:p w14:paraId="68810991" w14:textId="77777777" w:rsidR="00E93F58" w:rsidRPr="00D97EFB" w:rsidRDefault="00E93F58" w:rsidP="007804D8">
      <w:pPr>
        <w:pStyle w:val="paragraph"/>
      </w:pPr>
      <w:r w:rsidRPr="00D97EFB">
        <w:tab/>
        <w:t>(b)</w:t>
      </w:r>
      <w:r w:rsidRPr="00D97EFB">
        <w:tab/>
        <w:t>in relation to the Register of Disqualified Company Directors and Other Officers—orders and notices registered under section 1274AA of the Act;</w:t>
      </w:r>
    </w:p>
    <w:p w14:paraId="3958F550" w14:textId="77777777" w:rsidR="00E93F58" w:rsidRPr="00D97EFB" w:rsidRDefault="00E93F58" w:rsidP="007804D8">
      <w:pPr>
        <w:pStyle w:val="paragraph"/>
      </w:pPr>
      <w:r w:rsidRPr="00D97EFB">
        <w:tab/>
        <w:t>(c)</w:t>
      </w:r>
      <w:r w:rsidRPr="00D97EFB">
        <w:tab/>
        <w:t>in relation to the Australian Register of Company Charges—each charge registered under subsection 265(2) of the Act;</w:t>
      </w:r>
    </w:p>
    <w:p w14:paraId="24C7DEA6" w14:textId="77777777" w:rsidR="00E93F58" w:rsidRPr="00D97EFB" w:rsidRDefault="00E93F58" w:rsidP="007804D8">
      <w:pPr>
        <w:pStyle w:val="paragraph"/>
      </w:pPr>
      <w:r w:rsidRPr="00D97EFB">
        <w:tab/>
        <w:t>(d)</w:t>
      </w:r>
      <w:r w:rsidRPr="00D97EFB">
        <w:tab/>
        <w:t>in relation to each body registered in the register of registered Australian bodies:</w:t>
      </w:r>
    </w:p>
    <w:p w14:paraId="22B53EF4" w14:textId="77777777" w:rsidR="00E93F58" w:rsidRPr="00D97EFB" w:rsidRDefault="00E93F58" w:rsidP="007804D8">
      <w:pPr>
        <w:pStyle w:val="paragraphsub"/>
      </w:pPr>
      <w:r w:rsidRPr="00D97EFB">
        <w:tab/>
        <w:t>(i)</w:t>
      </w:r>
      <w:r w:rsidRPr="00D97EFB">
        <w:tab/>
        <w:t>its full name, the date of its incorporation and its registration number;</w:t>
      </w:r>
    </w:p>
    <w:p w14:paraId="1E3CD668" w14:textId="77777777" w:rsidR="00E93F58" w:rsidRPr="00D97EFB" w:rsidRDefault="00E93F58" w:rsidP="007804D8">
      <w:pPr>
        <w:pStyle w:val="paragraphsub"/>
      </w:pPr>
      <w:r w:rsidRPr="00D97EFB">
        <w:tab/>
        <w:t>(ii)</w:t>
      </w:r>
      <w:r w:rsidRPr="00D97EFB">
        <w:tab/>
        <w:t>the class of the body in its place of origin and whether the liability of members of the body is limited;</w:t>
      </w:r>
    </w:p>
    <w:p w14:paraId="1EFA1D5D" w14:textId="77777777" w:rsidR="00E93F58" w:rsidRPr="00D97EFB" w:rsidRDefault="00E93F58" w:rsidP="007804D8">
      <w:pPr>
        <w:pStyle w:val="paragraphsub"/>
      </w:pPr>
      <w:r w:rsidRPr="00D97EFB">
        <w:tab/>
        <w:t>(iii)</w:t>
      </w:r>
      <w:r w:rsidRPr="00D97EFB">
        <w:tab/>
        <w:t>its contact address;</w:t>
      </w:r>
    </w:p>
    <w:p w14:paraId="7C453A7E" w14:textId="77777777" w:rsidR="00E93F58" w:rsidRPr="00D97EFB" w:rsidRDefault="00E93F58" w:rsidP="007804D8">
      <w:pPr>
        <w:pStyle w:val="paragraphsub"/>
      </w:pPr>
      <w:r w:rsidRPr="00D97EFB">
        <w:tab/>
        <w:t>(iiia)</w:t>
      </w:r>
      <w:r w:rsidRPr="00D97EFB">
        <w:tab/>
        <w:t>its principal place of business;</w:t>
      </w:r>
    </w:p>
    <w:p w14:paraId="06E1FF72" w14:textId="77777777" w:rsidR="00E93F58" w:rsidRPr="00D97EFB" w:rsidRDefault="00E93F58" w:rsidP="007804D8">
      <w:pPr>
        <w:pStyle w:val="paragraphsub"/>
      </w:pPr>
      <w:r w:rsidRPr="00D97EFB">
        <w:tab/>
        <w:t>(iv)</w:t>
      </w:r>
      <w:r w:rsidRPr="00D97EFB">
        <w:tab/>
        <w:t>its registered office;</w:t>
      </w:r>
    </w:p>
    <w:p w14:paraId="27115BB5" w14:textId="77777777" w:rsidR="00E93F58" w:rsidRPr="00D97EFB" w:rsidRDefault="00E93F58" w:rsidP="007804D8">
      <w:pPr>
        <w:pStyle w:val="paragraphsub"/>
      </w:pPr>
      <w:r w:rsidRPr="00D97EFB">
        <w:tab/>
        <w:t>(v)</w:t>
      </w:r>
      <w:r w:rsidRPr="00D97EFB">
        <w:tab/>
        <w:t>its registered office or principal place of business in its place of origin;</w:t>
      </w:r>
    </w:p>
    <w:p w14:paraId="5FF7F76F" w14:textId="77777777" w:rsidR="00E93F58" w:rsidRPr="00D97EFB" w:rsidRDefault="00E93F58" w:rsidP="007804D8">
      <w:pPr>
        <w:pStyle w:val="paragraphsub"/>
      </w:pPr>
      <w:r w:rsidRPr="00D97EFB">
        <w:tab/>
        <w:t>(vi)</w:t>
      </w:r>
      <w:r w:rsidRPr="00D97EFB">
        <w:tab/>
        <w:t>its officers;</w:t>
      </w:r>
    </w:p>
    <w:p w14:paraId="46DC3E82" w14:textId="77777777" w:rsidR="00E93F58" w:rsidRPr="00D97EFB" w:rsidRDefault="00E93F58" w:rsidP="007804D8">
      <w:pPr>
        <w:pStyle w:val="paragraphsub"/>
      </w:pPr>
      <w:r w:rsidRPr="00D97EFB">
        <w:tab/>
        <w:t>(vii)</w:t>
      </w:r>
      <w:r w:rsidRPr="00D97EFB">
        <w:tab/>
        <w:t>any scheme of arrangement it has entered into with its creditors, its placement under voluntary administration or a deed of company arrangement or receivership or its liquidation;</w:t>
      </w:r>
    </w:p>
    <w:p w14:paraId="0A56CB42" w14:textId="77777777" w:rsidR="00E93F58" w:rsidRPr="00D97EFB" w:rsidRDefault="00E93F58" w:rsidP="007804D8">
      <w:pPr>
        <w:pStyle w:val="paragraphsub"/>
      </w:pPr>
      <w:r w:rsidRPr="00D97EFB">
        <w:tab/>
        <w:t>(viii)</w:t>
      </w:r>
      <w:r w:rsidRPr="00D97EFB">
        <w:tab/>
        <w:t>its paid</w:t>
      </w:r>
      <w:r>
        <w:noBreakHyphen/>
      </w:r>
      <w:r w:rsidRPr="00D97EFB">
        <w:t>up and unpaid capital;</w:t>
      </w:r>
    </w:p>
    <w:p w14:paraId="3EC06823" w14:textId="77777777" w:rsidR="00E93F58" w:rsidRPr="00D97EFB" w:rsidRDefault="00E93F58" w:rsidP="007804D8">
      <w:pPr>
        <w:pStyle w:val="paragraphsub"/>
      </w:pPr>
      <w:r w:rsidRPr="00D97EFB">
        <w:tab/>
        <w:t>(ix)</w:t>
      </w:r>
      <w:r w:rsidRPr="00D97EFB">
        <w:tab/>
        <w:t>its deregistration;</w:t>
      </w:r>
    </w:p>
    <w:p w14:paraId="7667D34A" w14:textId="77777777" w:rsidR="00E93F58" w:rsidRPr="00D97EFB" w:rsidRDefault="00E93F58" w:rsidP="007804D8">
      <w:pPr>
        <w:pStyle w:val="paragraphsub"/>
      </w:pPr>
      <w:r w:rsidRPr="00D97EFB">
        <w:tab/>
        <w:t>(x)</w:t>
      </w:r>
      <w:r w:rsidRPr="00D97EFB">
        <w:tab/>
        <w:t>any charges on its property that have been lodged with ASIC or entered in the Australian Register of Company Charges;</w:t>
      </w:r>
    </w:p>
    <w:p w14:paraId="0821B027" w14:textId="77777777" w:rsidR="00E93F58" w:rsidRPr="00D97EFB" w:rsidRDefault="00E93F58" w:rsidP="007804D8">
      <w:pPr>
        <w:pStyle w:val="paragraph"/>
      </w:pPr>
      <w:r w:rsidRPr="00D97EFB">
        <w:tab/>
        <w:t>(e)</w:t>
      </w:r>
      <w:r w:rsidRPr="00D97EFB">
        <w:tab/>
        <w:t>in relation to each company entered in the register of foreign companies:</w:t>
      </w:r>
    </w:p>
    <w:p w14:paraId="0F6F7BCC" w14:textId="77777777" w:rsidR="00E93F58" w:rsidRPr="00D97EFB" w:rsidRDefault="00E93F58" w:rsidP="007804D8">
      <w:pPr>
        <w:pStyle w:val="paragraphsub"/>
      </w:pPr>
      <w:r w:rsidRPr="00D97EFB">
        <w:tab/>
        <w:t>(i)</w:t>
      </w:r>
      <w:r w:rsidRPr="00D97EFB">
        <w:tab/>
        <w:t>its full name, the date and place of its incorporation or registration in its place of origin and its registration number;</w:t>
      </w:r>
    </w:p>
    <w:p w14:paraId="42ECFA5B" w14:textId="77777777" w:rsidR="00E93F58" w:rsidRPr="00D97EFB" w:rsidRDefault="00E93F58" w:rsidP="007804D8">
      <w:pPr>
        <w:pStyle w:val="paragraphsub"/>
      </w:pPr>
      <w:r w:rsidRPr="00D97EFB">
        <w:tab/>
        <w:t>(ii)</w:t>
      </w:r>
      <w:r w:rsidRPr="00D97EFB">
        <w:tab/>
        <w:t>the class of the foreign company in its place of origin and whether the liability of its members is limited;</w:t>
      </w:r>
    </w:p>
    <w:p w14:paraId="184D4635" w14:textId="77777777" w:rsidR="00E93F58" w:rsidRPr="00D97EFB" w:rsidRDefault="00E93F58" w:rsidP="007804D8">
      <w:pPr>
        <w:pStyle w:val="paragraphsub"/>
      </w:pPr>
      <w:r w:rsidRPr="00D97EFB">
        <w:tab/>
        <w:t>(iii)</w:t>
      </w:r>
      <w:r w:rsidRPr="00D97EFB">
        <w:tab/>
        <w:t>its contact address;</w:t>
      </w:r>
    </w:p>
    <w:p w14:paraId="678B2E3A" w14:textId="77777777" w:rsidR="00E93F58" w:rsidRPr="00D97EFB" w:rsidRDefault="00E93F58" w:rsidP="007804D8">
      <w:pPr>
        <w:pStyle w:val="paragraphsub"/>
      </w:pPr>
      <w:r w:rsidRPr="00D97EFB">
        <w:tab/>
        <w:t>(iiia)</w:t>
      </w:r>
      <w:r w:rsidRPr="00D97EFB">
        <w:tab/>
        <w:t>its principal place of business;</w:t>
      </w:r>
    </w:p>
    <w:p w14:paraId="61795224" w14:textId="77777777" w:rsidR="00E93F58" w:rsidRPr="00D97EFB" w:rsidRDefault="00E93F58" w:rsidP="007804D8">
      <w:pPr>
        <w:pStyle w:val="paragraphsub"/>
      </w:pPr>
      <w:r w:rsidRPr="00D97EFB">
        <w:tab/>
        <w:t>(iv)</w:t>
      </w:r>
      <w:r w:rsidRPr="00D97EFB">
        <w:tab/>
        <w:t>its registered office;</w:t>
      </w:r>
    </w:p>
    <w:p w14:paraId="06511E93" w14:textId="77777777" w:rsidR="00E93F58" w:rsidRPr="00D97EFB" w:rsidRDefault="00E93F58" w:rsidP="007804D8">
      <w:pPr>
        <w:pStyle w:val="paragraphsub"/>
      </w:pPr>
      <w:r w:rsidRPr="00D97EFB">
        <w:tab/>
        <w:t>(v)</w:t>
      </w:r>
      <w:r w:rsidRPr="00D97EFB">
        <w:tab/>
        <w:t>its registered office or principal place of business in its place of origin;</w:t>
      </w:r>
    </w:p>
    <w:p w14:paraId="710EABAA" w14:textId="77777777" w:rsidR="00E93F58" w:rsidRPr="00D97EFB" w:rsidRDefault="00E93F58" w:rsidP="007804D8">
      <w:pPr>
        <w:pStyle w:val="paragraphsub"/>
      </w:pPr>
      <w:r w:rsidRPr="00D97EFB">
        <w:tab/>
        <w:t>(vi)</w:t>
      </w:r>
      <w:r w:rsidRPr="00D97EFB">
        <w:tab/>
        <w:t>its officers;</w:t>
      </w:r>
    </w:p>
    <w:p w14:paraId="5ADC96C9" w14:textId="77777777" w:rsidR="00E93F58" w:rsidRPr="00D97EFB" w:rsidRDefault="00E93F58" w:rsidP="007804D8">
      <w:pPr>
        <w:pStyle w:val="paragraphsub"/>
      </w:pPr>
      <w:r w:rsidRPr="00D97EFB">
        <w:tab/>
        <w:t>(vii)</w:t>
      </w:r>
      <w:r w:rsidRPr="00D97EFB">
        <w:tab/>
        <w:t>its agent;</w:t>
      </w:r>
    </w:p>
    <w:p w14:paraId="5B918AF0" w14:textId="77777777" w:rsidR="00E93F58" w:rsidRPr="00D97EFB" w:rsidRDefault="00E93F58" w:rsidP="007804D8">
      <w:pPr>
        <w:pStyle w:val="paragraphsub"/>
      </w:pPr>
      <w:r w:rsidRPr="00D97EFB">
        <w:tab/>
        <w:t>(viii)</w:t>
      </w:r>
      <w:r w:rsidRPr="00D97EFB">
        <w:tab/>
        <w:t>any scheme of arrangement it has entered into with its creditors, its placement under voluntary administration or a deed of company arrangement or receivership or its liquidation;</w:t>
      </w:r>
    </w:p>
    <w:p w14:paraId="798C04EE" w14:textId="77777777" w:rsidR="00E93F58" w:rsidRPr="00D97EFB" w:rsidRDefault="00E93F58" w:rsidP="007804D8">
      <w:pPr>
        <w:pStyle w:val="paragraphsub"/>
      </w:pPr>
      <w:r w:rsidRPr="00D97EFB">
        <w:tab/>
        <w:t>(ix)</w:t>
      </w:r>
      <w:r w:rsidRPr="00D97EFB">
        <w:tab/>
        <w:t>its paid</w:t>
      </w:r>
      <w:r>
        <w:noBreakHyphen/>
      </w:r>
      <w:r w:rsidRPr="00D97EFB">
        <w:t>up and unpaid capital;</w:t>
      </w:r>
    </w:p>
    <w:p w14:paraId="0BA6264F" w14:textId="77777777" w:rsidR="00E93F58" w:rsidRPr="00D97EFB" w:rsidRDefault="00E93F58" w:rsidP="007804D8">
      <w:pPr>
        <w:pStyle w:val="paragraphsub"/>
      </w:pPr>
      <w:r w:rsidRPr="00D97EFB">
        <w:tab/>
        <w:t>(x)</w:t>
      </w:r>
      <w:r w:rsidRPr="00D97EFB">
        <w:tab/>
        <w:t>its deregistration;</w:t>
      </w:r>
    </w:p>
    <w:p w14:paraId="00186451" w14:textId="77777777" w:rsidR="00E93F58" w:rsidRPr="00D97EFB" w:rsidRDefault="00E93F58" w:rsidP="007804D8">
      <w:pPr>
        <w:pStyle w:val="paragraphsub"/>
      </w:pPr>
      <w:r w:rsidRPr="00D97EFB">
        <w:tab/>
        <w:t>(xi)</w:t>
      </w:r>
      <w:r w:rsidRPr="00D97EFB">
        <w:tab/>
        <w:t>any charges on its property that have been lodged with ASIC or entered in the Australian Register of Company Charges;</w:t>
      </w:r>
    </w:p>
    <w:p w14:paraId="42CD3312" w14:textId="77777777" w:rsidR="00E93F58" w:rsidRPr="00D97EFB" w:rsidRDefault="00E93F58" w:rsidP="007804D8">
      <w:pPr>
        <w:pStyle w:val="paragraph"/>
      </w:pPr>
      <w:r w:rsidRPr="00D97EFB">
        <w:tab/>
        <w:t>(f)</w:t>
      </w:r>
      <w:r w:rsidRPr="00D97EFB">
        <w:tab/>
        <w:t>in relation to the register of reserved or registered names—a name entered in that register, the number allocated to that name and the date on which the entry was made;</w:t>
      </w:r>
    </w:p>
    <w:p w14:paraId="552D037E" w14:textId="77777777" w:rsidR="00E93F58" w:rsidRPr="00D97EFB" w:rsidRDefault="00E93F58" w:rsidP="007804D8">
      <w:pPr>
        <w:pStyle w:val="paragraph"/>
      </w:pPr>
      <w:r w:rsidRPr="00D97EFB">
        <w:tab/>
        <w:t>(g)</w:t>
      </w:r>
      <w:r w:rsidRPr="00D97EFB">
        <w:tab/>
        <w:t>in relation to the Register of Licence Holders—each licence holder registered under section 783 or 784 of the Act;</w:t>
      </w:r>
    </w:p>
    <w:p w14:paraId="3AEBEAF7" w14:textId="77777777" w:rsidR="00E93F58" w:rsidRPr="00D97EFB" w:rsidRDefault="00E93F58" w:rsidP="007804D8">
      <w:pPr>
        <w:pStyle w:val="paragraph"/>
      </w:pPr>
      <w:r w:rsidRPr="00D97EFB">
        <w:tab/>
        <w:t>(h)</w:t>
      </w:r>
      <w:r w:rsidRPr="00D97EFB">
        <w:tab/>
        <w:t>in relation to each registered scheme:</w:t>
      </w:r>
    </w:p>
    <w:p w14:paraId="07A1D8AE" w14:textId="77777777" w:rsidR="00E93F58" w:rsidRPr="00D97EFB" w:rsidRDefault="00E93F58" w:rsidP="007804D8">
      <w:pPr>
        <w:pStyle w:val="paragraphsub"/>
      </w:pPr>
      <w:r w:rsidRPr="00D97EFB">
        <w:tab/>
        <w:t>(i)</w:t>
      </w:r>
      <w:r w:rsidRPr="00D97EFB">
        <w:tab/>
        <w:t>the ARSN of the scheme;</w:t>
      </w:r>
    </w:p>
    <w:p w14:paraId="6702419B" w14:textId="77777777" w:rsidR="00E93F58" w:rsidRPr="00D97EFB" w:rsidRDefault="00E93F58" w:rsidP="007804D8">
      <w:pPr>
        <w:pStyle w:val="paragraphsub"/>
      </w:pPr>
      <w:r w:rsidRPr="00D97EFB">
        <w:tab/>
        <w:t>(ii)</w:t>
      </w:r>
      <w:r w:rsidRPr="00D97EFB">
        <w:tab/>
        <w:t>the name of the scheme;</w:t>
      </w:r>
    </w:p>
    <w:p w14:paraId="5C9BD290" w14:textId="77777777" w:rsidR="00E93F58" w:rsidRPr="00D97EFB" w:rsidRDefault="00E93F58" w:rsidP="007804D8">
      <w:pPr>
        <w:pStyle w:val="paragraphsub"/>
      </w:pPr>
      <w:r w:rsidRPr="00D97EFB">
        <w:tab/>
        <w:t>(iii)</w:t>
      </w:r>
      <w:r w:rsidRPr="00D97EFB">
        <w:tab/>
        <w:t>the date of registration of the scheme under Part 5C.1 of the Act;</w:t>
      </w:r>
    </w:p>
    <w:p w14:paraId="60E9D6CC" w14:textId="77777777" w:rsidR="00E93F58" w:rsidRPr="00D97EFB" w:rsidRDefault="00E93F58" w:rsidP="007804D8">
      <w:pPr>
        <w:pStyle w:val="paragraphsub"/>
      </w:pPr>
      <w:r w:rsidRPr="00D97EFB">
        <w:tab/>
        <w:t>(iiia)</w:t>
      </w:r>
      <w:r w:rsidRPr="00D97EFB">
        <w:tab/>
        <w:t>its contact address;</w:t>
      </w:r>
    </w:p>
    <w:p w14:paraId="05E22CF3" w14:textId="77777777" w:rsidR="00E93F58" w:rsidRPr="00D97EFB" w:rsidRDefault="00E93F58" w:rsidP="007804D8">
      <w:pPr>
        <w:pStyle w:val="paragraphsub"/>
      </w:pPr>
      <w:r w:rsidRPr="00D97EFB">
        <w:tab/>
        <w:t>(iiib)</w:t>
      </w:r>
      <w:r w:rsidRPr="00D97EFB">
        <w:tab/>
        <w:t>its principal place of business;</w:t>
      </w:r>
    </w:p>
    <w:p w14:paraId="50E31BC7" w14:textId="77777777" w:rsidR="00E93F58" w:rsidRPr="00D97EFB" w:rsidRDefault="00E93F58" w:rsidP="007804D8">
      <w:pPr>
        <w:pStyle w:val="paragraphsub"/>
      </w:pPr>
      <w:r w:rsidRPr="00D97EFB">
        <w:tab/>
        <w:t>(iv)</w:t>
      </w:r>
      <w:r w:rsidRPr="00D97EFB">
        <w:tab/>
        <w:t>the name and address of the registered office of the responsible entity of the scheme;</w:t>
      </w:r>
    </w:p>
    <w:p w14:paraId="33AD6F4B" w14:textId="77777777" w:rsidR="00E93F58" w:rsidRPr="00D97EFB" w:rsidRDefault="00E93F58" w:rsidP="007804D8">
      <w:pPr>
        <w:pStyle w:val="paragraphsub"/>
      </w:pPr>
      <w:r w:rsidRPr="00D97EFB">
        <w:tab/>
        <w:t>(v)</w:t>
      </w:r>
      <w:r w:rsidRPr="00D97EFB">
        <w:tab/>
        <w:t>the name and address of the auditor of the scheme’s compliance plan;</w:t>
      </w:r>
    </w:p>
    <w:p w14:paraId="1F936D76" w14:textId="77777777" w:rsidR="00E93F58" w:rsidRPr="00D97EFB" w:rsidRDefault="00E93F58" w:rsidP="007804D8">
      <w:pPr>
        <w:pStyle w:val="paragraphsub"/>
      </w:pPr>
      <w:r w:rsidRPr="00D97EFB">
        <w:tab/>
        <w:t>(vi)</w:t>
      </w:r>
      <w:r w:rsidRPr="00D97EFB">
        <w:tab/>
        <w:t>the date of any amendment of the constitution or compliance plan of the scheme;</w:t>
      </w:r>
    </w:p>
    <w:p w14:paraId="75DAF9D7" w14:textId="77777777" w:rsidR="00E93F58" w:rsidRPr="00D97EFB" w:rsidRDefault="00E93F58" w:rsidP="007804D8">
      <w:pPr>
        <w:pStyle w:val="paragraphsub"/>
      </w:pPr>
      <w:r w:rsidRPr="00D97EFB">
        <w:tab/>
        <w:t>(vii)</w:t>
      </w:r>
      <w:r w:rsidRPr="00D97EFB">
        <w:tab/>
        <w:t>any winding up of the scheme under Part 5C.9 of the Act;</w:t>
      </w:r>
    </w:p>
    <w:p w14:paraId="6CAFB33A" w14:textId="77777777" w:rsidR="00E93F58" w:rsidRPr="00D97EFB" w:rsidRDefault="00E93F58" w:rsidP="007804D8">
      <w:pPr>
        <w:pStyle w:val="paragraphsub"/>
      </w:pPr>
      <w:r w:rsidRPr="00D97EFB">
        <w:tab/>
        <w:t>(viia)</w:t>
      </w:r>
      <w:r w:rsidRPr="00D97EFB">
        <w:tab/>
        <w:t>any deregistration of the scheme under Part 5C.10 of the Act;</w:t>
      </w:r>
    </w:p>
    <w:p w14:paraId="2B7B974E" w14:textId="77777777" w:rsidR="00E93F58" w:rsidRPr="00D97EFB" w:rsidRDefault="00E93F58" w:rsidP="007804D8">
      <w:pPr>
        <w:pStyle w:val="paragraphsub"/>
      </w:pPr>
      <w:r w:rsidRPr="00D97EFB">
        <w:tab/>
        <w:t>(viii)</w:t>
      </w:r>
      <w:r w:rsidRPr="00D97EFB">
        <w:tab/>
        <w:t>the name and address of the auditor of the scheme;</w:t>
      </w:r>
    </w:p>
    <w:p w14:paraId="3F686015" w14:textId="77777777" w:rsidR="00E93F58" w:rsidRPr="00D97EFB" w:rsidRDefault="00E93F58" w:rsidP="007804D8">
      <w:pPr>
        <w:pStyle w:val="paragraph"/>
      </w:pPr>
      <w:r w:rsidRPr="00D97EFB">
        <w:lastRenderedPageBreak/>
        <w:tab/>
        <w:t>(ha)</w:t>
      </w:r>
      <w:r w:rsidRPr="00D97EFB">
        <w:tab/>
        <w:t>in relation to each fund entered in the Register of Passport Funds—the information about the fund that must be included on the Register of Passport Funds under paragraph 1214(3)(a) or (b) of the Act;</w:t>
      </w:r>
    </w:p>
    <w:p w14:paraId="223AC9D1" w14:textId="77777777" w:rsidR="00E93F58" w:rsidRPr="00D97EFB" w:rsidRDefault="00E93F58" w:rsidP="007804D8">
      <w:pPr>
        <w:pStyle w:val="paragraph"/>
      </w:pPr>
      <w:r w:rsidRPr="00D97EFB">
        <w:tab/>
        <w:t>(i)</w:t>
      </w:r>
      <w:r w:rsidRPr="00D97EFB">
        <w:tab/>
        <w:t>in relation to the Register of Futures Licensees—the name of each registered futures licensee;</w:t>
      </w:r>
    </w:p>
    <w:p w14:paraId="445D15A4" w14:textId="77777777" w:rsidR="00E93F58" w:rsidRPr="00D97EFB" w:rsidRDefault="00E93F58" w:rsidP="007804D8">
      <w:pPr>
        <w:pStyle w:val="paragraph"/>
      </w:pPr>
      <w:r w:rsidRPr="00D97EFB">
        <w:tab/>
        <w:t>(j)</w:t>
      </w:r>
      <w:r w:rsidRPr="00D97EFB">
        <w:tab/>
        <w:t>in relation to the Register of Auditors—the name of each registered auditor;</w:t>
      </w:r>
    </w:p>
    <w:p w14:paraId="42140FB1" w14:textId="77777777" w:rsidR="00E93F58" w:rsidRPr="00D97EFB" w:rsidRDefault="00E93F58" w:rsidP="007804D8">
      <w:pPr>
        <w:pStyle w:val="paragraph"/>
      </w:pPr>
      <w:r w:rsidRPr="00D97EFB">
        <w:tab/>
        <w:t>(m)</w:t>
      </w:r>
      <w:r w:rsidRPr="00D97EFB">
        <w:tab/>
        <w:t>in relation to the register in respect of financial services licensees mentioned in subsection 922A(2) of the Act:</w:t>
      </w:r>
    </w:p>
    <w:p w14:paraId="16AACE59" w14:textId="77777777" w:rsidR="00E93F58" w:rsidRPr="00D97EFB" w:rsidRDefault="00E93F58" w:rsidP="007804D8">
      <w:pPr>
        <w:pStyle w:val="paragraphsub"/>
      </w:pPr>
      <w:r w:rsidRPr="00D97EFB">
        <w:rPr>
          <w:color w:val="000000"/>
        </w:rPr>
        <w:tab/>
        <w:t>(i)</w:t>
      </w:r>
      <w:r w:rsidRPr="00D97EFB">
        <w:rPr>
          <w:color w:val="000000"/>
        </w:rPr>
        <w:tab/>
        <w:t>all of the information in the register which ASIC considers appropriate for a person to search in accordance with subsection 1274A(3) of the Act; or</w:t>
      </w:r>
    </w:p>
    <w:p w14:paraId="31BAE607" w14:textId="77777777" w:rsidR="00E93F58" w:rsidRPr="00D97EFB" w:rsidRDefault="00E93F58" w:rsidP="007804D8">
      <w:pPr>
        <w:pStyle w:val="paragraphsub"/>
      </w:pPr>
      <w:r w:rsidRPr="00D97EFB">
        <w:tab/>
        <w:t>(ii)</w:t>
      </w:r>
      <w:r w:rsidRPr="00D97EFB">
        <w:tab/>
        <w:t>all of the information in the register which ASIC considers appropriate to make available in accordance with subsection 1274A(4) of the Act;</w:t>
      </w:r>
    </w:p>
    <w:p w14:paraId="6A176F23" w14:textId="77777777" w:rsidR="00E93F58" w:rsidRPr="00D97EFB" w:rsidRDefault="00E93F58" w:rsidP="00BB7E31">
      <w:pPr>
        <w:pStyle w:val="paragraph"/>
      </w:pPr>
      <w:r w:rsidRPr="00D97EFB">
        <w:tab/>
        <w:t>(n)</w:t>
      </w:r>
      <w:r w:rsidRPr="00D97EFB">
        <w:tab/>
        <w:t>in relation to the register in respect of authorised representatives of financial services licensees mentioned in subsection 922A(2) of the Act:</w:t>
      </w:r>
    </w:p>
    <w:p w14:paraId="200F6E54" w14:textId="77777777" w:rsidR="00E93F58" w:rsidRPr="00D97EFB" w:rsidRDefault="00E93F58" w:rsidP="00BB7E31">
      <w:pPr>
        <w:pStyle w:val="paragraphsub"/>
      </w:pPr>
      <w:r w:rsidRPr="00D97EFB">
        <w:rPr>
          <w:color w:val="000000"/>
        </w:rPr>
        <w:tab/>
        <w:t>(i)</w:t>
      </w:r>
      <w:r w:rsidRPr="00D97EFB">
        <w:rPr>
          <w:color w:val="000000"/>
        </w:rPr>
        <w:tab/>
        <w:t>all of the information in the register which ASIC considers appropriate for a person to search in accordance with subsection 1274A(3) of the Act; or</w:t>
      </w:r>
    </w:p>
    <w:p w14:paraId="0B08537A" w14:textId="77777777" w:rsidR="00E93F58" w:rsidRPr="00D97EFB" w:rsidRDefault="00E93F58" w:rsidP="00BB7E31">
      <w:pPr>
        <w:pStyle w:val="paragraphsub"/>
      </w:pPr>
      <w:r w:rsidRPr="00D97EFB">
        <w:tab/>
        <w:t>(ii)</w:t>
      </w:r>
      <w:r w:rsidRPr="00D97EFB">
        <w:tab/>
        <w:t>all of the information in the register which ASIC considers appropriate to make available in accordance with subsection 1274A(4) of the Act;</w:t>
      </w:r>
    </w:p>
    <w:p w14:paraId="59772352" w14:textId="77777777" w:rsidR="00E93F58" w:rsidRPr="00D97EFB" w:rsidRDefault="00E93F58" w:rsidP="00BB7E31">
      <w:pPr>
        <w:pStyle w:val="paragraph"/>
      </w:pPr>
      <w:r w:rsidRPr="00D97EFB">
        <w:tab/>
        <w:t>(o)</w:t>
      </w:r>
      <w:r w:rsidRPr="00D97EFB">
        <w:tab/>
        <w:t>in relation to the register in respect of persons against whom a banning order or disqualification order is made mentioned in subsection 922A(2) of the Act:</w:t>
      </w:r>
    </w:p>
    <w:p w14:paraId="4A92DCE0" w14:textId="77777777" w:rsidR="00E93F58" w:rsidRPr="00D97EFB" w:rsidRDefault="00E93F58" w:rsidP="00BB7E31">
      <w:pPr>
        <w:pStyle w:val="paragraphsub"/>
      </w:pPr>
      <w:r w:rsidRPr="00D97EFB">
        <w:rPr>
          <w:color w:val="000000"/>
        </w:rPr>
        <w:tab/>
        <w:t>(i)</w:t>
      </w:r>
      <w:r w:rsidRPr="00D97EFB">
        <w:rPr>
          <w:color w:val="000000"/>
        </w:rPr>
        <w:tab/>
        <w:t>all of the information in the register which ASIC considers appropriate for a person to search in accordance with subsection 1274A(3) of the Act; or</w:t>
      </w:r>
    </w:p>
    <w:p w14:paraId="7F306047" w14:textId="77777777" w:rsidR="00E93F58" w:rsidRPr="00D97EFB" w:rsidRDefault="00E93F58" w:rsidP="00BB7E31">
      <w:pPr>
        <w:pStyle w:val="paragraphsub"/>
      </w:pPr>
      <w:r w:rsidRPr="00D97EFB">
        <w:tab/>
        <w:t>(ii)</w:t>
      </w:r>
      <w:r w:rsidRPr="00D97EFB">
        <w:tab/>
        <w:t>all of the information in the register which ASIC considers appropriate to make available in accordance with subsection 1274A(4) of the Act;</w:t>
      </w:r>
    </w:p>
    <w:p w14:paraId="7DEA7B00" w14:textId="77777777" w:rsidR="00E93F58" w:rsidRPr="00D97EFB" w:rsidRDefault="00E93F58" w:rsidP="00BB7E31">
      <w:pPr>
        <w:pStyle w:val="paragraph"/>
      </w:pPr>
      <w:r w:rsidRPr="00D97EFB">
        <w:tab/>
        <w:t>(p)</w:t>
      </w:r>
      <w:r w:rsidRPr="00D97EFB">
        <w:tab/>
        <w:t>in relation to the register relating to trustees for debenture holders kept under section 283BCA of the Act:</w:t>
      </w:r>
    </w:p>
    <w:p w14:paraId="277DAEE8" w14:textId="77777777" w:rsidR="00E93F58" w:rsidRPr="00D97EFB" w:rsidRDefault="00E93F58" w:rsidP="00BB7E31">
      <w:pPr>
        <w:pStyle w:val="paragraphsub"/>
      </w:pPr>
      <w:r w:rsidRPr="00D97EFB">
        <w:tab/>
        <w:t>(i)</w:t>
      </w:r>
      <w:r w:rsidRPr="00D97EFB">
        <w:tab/>
        <w:t>all of the information in the register which ASIC considers appropriate for a person to search in accordance with subsection 1274A(3) of the Act; or</w:t>
      </w:r>
    </w:p>
    <w:p w14:paraId="1BABB028" w14:textId="77777777" w:rsidR="00E93F58" w:rsidRPr="00D97EFB" w:rsidRDefault="00E93F58" w:rsidP="005A3047">
      <w:pPr>
        <w:pStyle w:val="paragraphsub"/>
      </w:pPr>
      <w:r w:rsidRPr="00D97EFB">
        <w:tab/>
        <w:t>(ii)</w:t>
      </w:r>
      <w:r w:rsidRPr="00D97EFB">
        <w:tab/>
        <w:t xml:space="preserve">all of the information in the register which ASIC considers appropriate to make available in accordance with subsection 1274A(4) of the Act; </w:t>
      </w:r>
    </w:p>
    <w:p w14:paraId="2491B903" w14:textId="77777777" w:rsidR="00E93F58" w:rsidRPr="00D97EFB" w:rsidRDefault="00E93F58" w:rsidP="00B03E4C">
      <w:pPr>
        <w:pStyle w:val="paragraph"/>
      </w:pPr>
      <w:r w:rsidRPr="00D97EFB">
        <w:tab/>
        <w:t>(q)</w:t>
      </w:r>
      <w:r w:rsidRPr="00D97EFB">
        <w:tab/>
        <w:t>in relation to the Register of Relevant Providers:</w:t>
      </w:r>
    </w:p>
    <w:p w14:paraId="057370B3" w14:textId="77777777" w:rsidR="00E93F58" w:rsidRPr="00D97EFB" w:rsidRDefault="00E93F58" w:rsidP="00B03E4C">
      <w:pPr>
        <w:pStyle w:val="paragraphsub"/>
      </w:pPr>
      <w:r w:rsidRPr="00D97EFB">
        <w:tab/>
        <w:t>(i)</w:t>
      </w:r>
      <w:r w:rsidRPr="00D97EFB">
        <w:tab/>
        <w:t>all of the information in the Register (other than a relevant provider’s date and place of birth) which ASIC considers appropriate for a person to search in accordance with subsection 1274A(3) of the Act; or</w:t>
      </w:r>
    </w:p>
    <w:p w14:paraId="38B736E1" w14:textId="77777777" w:rsidR="00E93F58" w:rsidRPr="00D97EFB" w:rsidRDefault="00E93F58" w:rsidP="007C451E">
      <w:pPr>
        <w:pStyle w:val="paragraphsub"/>
      </w:pPr>
      <w:r w:rsidRPr="00D97EFB">
        <w:tab/>
        <w:t>(ii)</w:t>
      </w:r>
      <w:r w:rsidRPr="00D97EFB">
        <w:tab/>
        <w:t>all of the information in the Register (other than a relevant provider’s date and place of birth) which ASIC considers appropriate to make available in accordance with subsection 1274A(4) of the Act.</w:t>
      </w:r>
    </w:p>
    <w:p w14:paraId="67C123E3" w14:textId="77777777" w:rsidR="00E93F58" w:rsidRPr="00D97EFB" w:rsidRDefault="00E93F58" w:rsidP="00B03E4C">
      <w:pPr>
        <w:pStyle w:val="ActHead2"/>
        <w:pageBreakBefore/>
      </w:pPr>
      <w:bookmarkStart w:id="2238" w:name="_Toc151994398"/>
      <w:bookmarkStart w:id="2239" w:name="_Toc158712908"/>
      <w:r w:rsidRPr="000D40D5">
        <w:rPr>
          <w:rStyle w:val="CharPartNo"/>
        </w:rPr>
        <w:lastRenderedPageBreak/>
        <w:t>Part 9.2</w:t>
      </w:r>
      <w:r w:rsidRPr="00D97EFB">
        <w:t>—</w:t>
      </w:r>
      <w:r w:rsidRPr="000D40D5">
        <w:rPr>
          <w:rStyle w:val="CharPartText"/>
        </w:rPr>
        <w:t>Registration of auditors</w:t>
      </w:r>
      <w:bookmarkEnd w:id="2238"/>
      <w:bookmarkEnd w:id="2239"/>
    </w:p>
    <w:p w14:paraId="778AA69C" w14:textId="77777777" w:rsidR="00E93F58" w:rsidRPr="00D97EFB" w:rsidRDefault="00E93F58" w:rsidP="00BB7E31">
      <w:pPr>
        <w:pStyle w:val="ActHead3"/>
      </w:pPr>
      <w:bookmarkStart w:id="2240" w:name="_Toc151994399"/>
      <w:bookmarkStart w:id="2241" w:name="_Toc158712909"/>
      <w:r w:rsidRPr="000D40D5">
        <w:rPr>
          <w:rStyle w:val="CharDivNo"/>
        </w:rPr>
        <w:t>Division 2</w:t>
      </w:r>
      <w:r w:rsidRPr="00D97EFB">
        <w:t>—</w:t>
      </w:r>
      <w:r w:rsidRPr="000D40D5">
        <w:rPr>
          <w:rStyle w:val="CharDivText"/>
        </w:rPr>
        <w:t>Registration</w:t>
      </w:r>
      <w:bookmarkEnd w:id="2240"/>
      <w:bookmarkEnd w:id="2241"/>
    </w:p>
    <w:p w14:paraId="1D26A523" w14:textId="77777777" w:rsidR="00E93F58" w:rsidRPr="00D97EFB" w:rsidRDefault="00E93F58" w:rsidP="00BB7E31">
      <w:pPr>
        <w:pStyle w:val="ActHead5"/>
      </w:pPr>
      <w:bookmarkStart w:id="2242" w:name="_Toc151994400"/>
      <w:bookmarkStart w:id="2243" w:name="_Toc158712910"/>
      <w:r w:rsidRPr="000D40D5">
        <w:rPr>
          <w:rStyle w:val="CharSectno"/>
        </w:rPr>
        <w:t>9.2.01</w:t>
      </w:r>
      <w:r w:rsidRPr="00D97EFB">
        <w:t xml:space="preserve">  Practical experience in auditing (Act s 1280(2))</w:t>
      </w:r>
      <w:bookmarkEnd w:id="2242"/>
      <w:bookmarkEnd w:id="2243"/>
    </w:p>
    <w:p w14:paraId="6E99E9EE" w14:textId="77777777" w:rsidR="00E93F58" w:rsidRPr="00D97EFB" w:rsidRDefault="00E93F58" w:rsidP="00BB7E31">
      <w:pPr>
        <w:pStyle w:val="subsection"/>
      </w:pPr>
      <w:r w:rsidRPr="00D97EFB">
        <w:tab/>
      </w:r>
      <w:r w:rsidRPr="00D97EFB">
        <w:tab/>
        <w:t>For subparagraph 1280(2)(b)(ii) of the Act, each of the following is prescribed practical experience in auditing:</w:t>
      </w:r>
    </w:p>
    <w:p w14:paraId="21B054D6" w14:textId="77777777" w:rsidR="00E93F58" w:rsidRPr="00D97EFB" w:rsidRDefault="00E93F58" w:rsidP="00BB7E31">
      <w:pPr>
        <w:pStyle w:val="paragraph"/>
      </w:pPr>
      <w:r w:rsidRPr="00D97EFB">
        <w:tab/>
        <w:t>(a)</w:t>
      </w:r>
      <w:r w:rsidRPr="00D97EFB">
        <w:tab/>
        <w:t>during the 5 years immediately before the date of the application, at least 3 000 hours work in auditing under the direction of a registered company auditor, including:</w:t>
      </w:r>
    </w:p>
    <w:p w14:paraId="04B35583" w14:textId="77777777" w:rsidR="00E93F58" w:rsidRPr="00D97EFB" w:rsidRDefault="00E93F58" w:rsidP="00BB7E31">
      <w:pPr>
        <w:pStyle w:val="paragraphsub"/>
      </w:pPr>
      <w:r w:rsidRPr="00D97EFB">
        <w:tab/>
        <w:t>(i)</w:t>
      </w:r>
      <w:r w:rsidRPr="00D97EFB">
        <w:tab/>
        <w:t>appraising the operations of companies and forming opinions on the matters specified in sections 307, 308 and 309 of the Act; and</w:t>
      </w:r>
    </w:p>
    <w:p w14:paraId="6EE425CE" w14:textId="77777777" w:rsidR="00E93F58" w:rsidRPr="00D97EFB" w:rsidRDefault="00E93F58" w:rsidP="00BB7E31">
      <w:pPr>
        <w:pStyle w:val="paragraphsub"/>
      </w:pPr>
      <w:r w:rsidRPr="00D97EFB">
        <w:tab/>
        <w:t>(ii)</w:t>
      </w:r>
      <w:r w:rsidRPr="00D97EFB">
        <w:tab/>
        <w:t>at least 750 hours spent supervising audits of companies;</w:t>
      </w:r>
    </w:p>
    <w:p w14:paraId="418B37E9" w14:textId="77777777" w:rsidR="00E93F58" w:rsidRPr="00D97EFB" w:rsidRDefault="00E93F58" w:rsidP="00BB7E31">
      <w:pPr>
        <w:pStyle w:val="paragraph"/>
      </w:pPr>
      <w:r w:rsidRPr="00D97EFB">
        <w:tab/>
        <w:t>(b)</w:t>
      </w:r>
      <w:r w:rsidRPr="00D97EFB">
        <w:tab/>
        <w:t>practical experience that, in the opinion of ASIC, is equivalent to the practical experience mentioned in paragraph (a);</w:t>
      </w:r>
    </w:p>
    <w:p w14:paraId="14ECCB07" w14:textId="77777777" w:rsidR="00E93F58" w:rsidRPr="00D97EFB" w:rsidRDefault="00E93F58" w:rsidP="00BB7E31">
      <w:pPr>
        <w:pStyle w:val="paragraph"/>
      </w:pPr>
      <w:r w:rsidRPr="00D97EFB">
        <w:tab/>
        <w:t>(c)</w:t>
      </w:r>
      <w:r w:rsidRPr="00D97EFB">
        <w:tab/>
        <w:t>work of the kind and duration mentioned in paragraph (a) that was done under previous laws corresponding to sections 307, 308 and 309 of the Act.</w:t>
      </w:r>
    </w:p>
    <w:p w14:paraId="5B3575CD" w14:textId="77777777" w:rsidR="00E93F58" w:rsidRPr="00D97EFB" w:rsidRDefault="00E93F58" w:rsidP="005E03BA">
      <w:pPr>
        <w:pStyle w:val="ActHead5"/>
      </w:pPr>
      <w:bookmarkStart w:id="2244" w:name="_Toc151994401"/>
      <w:bookmarkStart w:id="2245" w:name="_Toc158712911"/>
      <w:r w:rsidRPr="000D40D5">
        <w:rPr>
          <w:rStyle w:val="CharSectno"/>
        </w:rPr>
        <w:t>9.2.02</w:t>
      </w:r>
      <w:r w:rsidRPr="00D97EFB">
        <w:t xml:space="preserve">  Prescribed universities and institutions (Act ss 1280(2A))</w:t>
      </w:r>
      <w:bookmarkEnd w:id="2244"/>
      <w:bookmarkEnd w:id="2245"/>
    </w:p>
    <w:p w14:paraId="2CF52466" w14:textId="77777777" w:rsidR="00E93F58" w:rsidRPr="00D97EFB" w:rsidRDefault="00E93F58" w:rsidP="00BB7E31">
      <w:pPr>
        <w:pStyle w:val="subsection"/>
      </w:pPr>
      <w:r w:rsidRPr="00D97EFB">
        <w:tab/>
      </w:r>
      <w:r w:rsidRPr="00D97EFB">
        <w:tab/>
        <w:t>For paragraph 1280(2A)(a) of the Act:</w:t>
      </w:r>
    </w:p>
    <w:p w14:paraId="5382183F" w14:textId="77777777" w:rsidR="00E93F58" w:rsidRPr="00D97EFB" w:rsidRDefault="00E93F58" w:rsidP="00BB7E31">
      <w:pPr>
        <w:pStyle w:val="paragraph"/>
      </w:pPr>
      <w:r w:rsidRPr="00D97EFB">
        <w:tab/>
        <w:t>(a)</w:t>
      </w:r>
      <w:r w:rsidRPr="00D97EFB">
        <w:tab/>
        <w:t>the universities mentioned in Part 1 of the table are prescribed; and</w:t>
      </w:r>
    </w:p>
    <w:p w14:paraId="40E915C2" w14:textId="77777777" w:rsidR="00E93F58" w:rsidRPr="00D97EFB" w:rsidRDefault="00E93F58" w:rsidP="00BB7E31">
      <w:pPr>
        <w:pStyle w:val="paragraph"/>
      </w:pPr>
      <w:r w:rsidRPr="00D97EFB">
        <w:tab/>
        <w:t>(b)</w:t>
      </w:r>
      <w:r w:rsidRPr="00D97EFB">
        <w:tab/>
        <w:t>the institution mentioned in Part 2 of the table is prescribed.</w:t>
      </w:r>
    </w:p>
    <w:p w14:paraId="48F48A65" w14:textId="77777777" w:rsidR="00E93F58" w:rsidRPr="00D97EFB" w:rsidRDefault="00E93F58" w:rsidP="00D90695">
      <w:pPr>
        <w:pStyle w:val="Tabletext"/>
      </w:pPr>
    </w:p>
    <w:tbl>
      <w:tblPr>
        <w:tblW w:w="5000" w:type="pct"/>
        <w:tblLook w:val="0000" w:firstRow="0" w:lastRow="0" w:firstColumn="0" w:lastColumn="0" w:noHBand="0" w:noVBand="0"/>
      </w:tblPr>
      <w:tblGrid>
        <w:gridCol w:w="1222"/>
        <w:gridCol w:w="9551"/>
      </w:tblGrid>
      <w:tr w:rsidR="00E93F58" w:rsidRPr="00D97EFB" w14:paraId="167E0E47" w14:textId="77777777" w:rsidTr="005828AC">
        <w:trPr>
          <w:tblHeader/>
        </w:trPr>
        <w:tc>
          <w:tcPr>
            <w:tcW w:w="567" w:type="pct"/>
            <w:tcBorders>
              <w:top w:val="single" w:sz="12" w:space="0" w:color="auto"/>
              <w:bottom w:val="single" w:sz="12" w:space="0" w:color="auto"/>
            </w:tcBorders>
          </w:tcPr>
          <w:p w14:paraId="686E1324" w14:textId="77777777" w:rsidR="00E93F58" w:rsidRPr="00D97EFB" w:rsidRDefault="00E93F58" w:rsidP="00214218">
            <w:pPr>
              <w:pStyle w:val="TableHeading"/>
              <w:spacing w:before="240"/>
            </w:pPr>
            <w:r w:rsidRPr="00D97EFB">
              <w:t>Part 1</w:t>
            </w:r>
          </w:p>
        </w:tc>
        <w:tc>
          <w:tcPr>
            <w:tcW w:w="4433" w:type="pct"/>
            <w:tcBorders>
              <w:top w:val="single" w:sz="12" w:space="0" w:color="auto"/>
              <w:bottom w:val="single" w:sz="12" w:space="0" w:color="auto"/>
            </w:tcBorders>
          </w:tcPr>
          <w:p w14:paraId="61E12CBC" w14:textId="77777777" w:rsidR="00E93F58" w:rsidRPr="00D97EFB" w:rsidRDefault="00E93F58" w:rsidP="00214218">
            <w:pPr>
              <w:pStyle w:val="TableHeading"/>
              <w:spacing w:before="240"/>
            </w:pPr>
            <w:r w:rsidRPr="00D97EFB">
              <w:t>University</w:t>
            </w:r>
          </w:p>
        </w:tc>
      </w:tr>
      <w:tr w:rsidR="00E93F58" w:rsidRPr="00D97EFB" w14:paraId="35725F35" w14:textId="77777777" w:rsidTr="005828AC">
        <w:tc>
          <w:tcPr>
            <w:tcW w:w="567" w:type="pct"/>
            <w:tcBorders>
              <w:top w:val="single" w:sz="12" w:space="0" w:color="auto"/>
              <w:bottom w:val="single" w:sz="4" w:space="0" w:color="auto"/>
            </w:tcBorders>
          </w:tcPr>
          <w:p w14:paraId="7CF6756F" w14:textId="77777777" w:rsidR="00E93F58" w:rsidRPr="00D97EFB" w:rsidRDefault="00E93F58" w:rsidP="00264E01">
            <w:pPr>
              <w:pStyle w:val="Tabletext"/>
            </w:pPr>
            <w:r w:rsidRPr="00D97EFB">
              <w:t>101</w:t>
            </w:r>
          </w:p>
        </w:tc>
        <w:tc>
          <w:tcPr>
            <w:tcW w:w="4433" w:type="pct"/>
            <w:tcBorders>
              <w:top w:val="single" w:sz="12" w:space="0" w:color="auto"/>
              <w:bottom w:val="single" w:sz="4" w:space="0" w:color="auto"/>
            </w:tcBorders>
          </w:tcPr>
          <w:p w14:paraId="160413A5" w14:textId="77777777" w:rsidR="00E93F58" w:rsidRPr="00D97EFB" w:rsidRDefault="00E93F58" w:rsidP="00264E01">
            <w:pPr>
              <w:pStyle w:val="Tabletext"/>
            </w:pPr>
            <w:r w:rsidRPr="00D97EFB">
              <w:t>Australian Catholic University</w:t>
            </w:r>
          </w:p>
        </w:tc>
      </w:tr>
      <w:tr w:rsidR="00E93F58" w:rsidRPr="00D97EFB" w14:paraId="267A96F7" w14:textId="77777777" w:rsidTr="005828AC">
        <w:tc>
          <w:tcPr>
            <w:tcW w:w="567" w:type="pct"/>
            <w:tcBorders>
              <w:top w:val="single" w:sz="4" w:space="0" w:color="auto"/>
              <w:bottom w:val="single" w:sz="4" w:space="0" w:color="auto"/>
            </w:tcBorders>
            <w:shd w:val="clear" w:color="auto" w:fill="auto"/>
          </w:tcPr>
          <w:p w14:paraId="7FBB4BEB" w14:textId="77777777" w:rsidR="00E93F58" w:rsidRPr="00D97EFB" w:rsidRDefault="00E93F58" w:rsidP="00264E01">
            <w:pPr>
              <w:pStyle w:val="Tabletext"/>
            </w:pPr>
            <w:r w:rsidRPr="00D97EFB">
              <w:t>102</w:t>
            </w:r>
          </w:p>
        </w:tc>
        <w:tc>
          <w:tcPr>
            <w:tcW w:w="4433" w:type="pct"/>
            <w:tcBorders>
              <w:top w:val="single" w:sz="4" w:space="0" w:color="auto"/>
              <w:bottom w:val="single" w:sz="4" w:space="0" w:color="auto"/>
            </w:tcBorders>
            <w:shd w:val="clear" w:color="auto" w:fill="auto"/>
          </w:tcPr>
          <w:p w14:paraId="4F5C6424" w14:textId="77777777" w:rsidR="00E93F58" w:rsidRPr="00D97EFB" w:rsidRDefault="00E93F58" w:rsidP="00264E01">
            <w:pPr>
              <w:pStyle w:val="Tabletext"/>
            </w:pPr>
            <w:r w:rsidRPr="00D97EFB">
              <w:t>Australian National University</w:t>
            </w:r>
          </w:p>
        </w:tc>
      </w:tr>
      <w:tr w:rsidR="00E93F58" w:rsidRPr="00D97EFB" w14:paraId="27239D24" w14:textId="77777777" w:rsidTr="005828AC">
        <w:tc>
          <w:tcPr>
            <w:tcW w:w="567" w:type="pct"/>
            <w:tcBorders>
              <w:top w:val="single" w:sz="4" w:space="0" w:color="auto"/>
              <w:bottom w:val="single" w:sz="4" w:space="0" w:color="auto"/>
            </w:tcBorders>
          </w:tcPr>
          <w:p w14:paraId="47FE4C0F" w14:textId="77777777" w:rsidR="00E93F58" w:rsidRPr="00D97EFB" w:rsidRDefault="00E93F58" w:rsidP="00264E01">
            <w:pPr>
              <w:pStyle w:val="Tabletext"/>
            </w:pPr>
            <w:r w:rsidRPr="00D97EFB">
              <w:t>103</w:t>
            </w:r>
          </w:p>
        </w:tc>
        <w:tc>
          <w:tcPr>
            <w:tcW w:w="4433" w:type="pct"/>
            <w:tcBorders>
              <w:top w:val="single" w:sz="4" w:space="0" w:color="auto"/>
              <w:bottom w:val="single" w:sz="4" w:space="0" w:color="auto"/>
            </w:tcBorders>
          </w:tcPr>
          <w:p w14:paraId="01B8BC7C" w14:textId="77777777" w:rsidR="00E93F58" w:rsidRPr="00D97EFB" w:rsidRDefault="00E93F58" w:rsidP="00264E01">
            <w:pPr>
              <w:pStyle w:val="Tabletext"/>
            </w:pPr>
            <w:r w:rsidRPr="00D97EFB">
              <w:t>Bond University</w:t>
            </w:r>
          </w:p>
        </w:tc>
      </w:tr>
      <w:tr w:rsidR="00E93F58" w:rsidRPr="00D97EFB" w14:paraId="171451D6" w14:textId="77777777" w:rsidTr="005828AC">
        <w:tc>
          <w:tcPr>
            <w:tcW w:w="567" w:type="pct"/>
            <w:tcBorders>
              <w:top w:val="single" w:sz="4" w:space="0" w:color="auto"/>
              <w:bottom w:val="single" w:sz="4" w:space="0" w:color="auto"/>
            </w:tcBorders>
          </w:tcPr>
          <w:p w14:paraId="1C503B7C" w14:textId="77777777" w:rsidR="00E93F58" w:rsidRPr="00D97EFB" w:rsidRDefault="00E93F58" w:rsidP="00264E01">
            <w:pPr>
              <w:pStyle w:val="Tabletext"/>
            </w:pPr>
            <w:r w:rsidRPr="00D97EFB">
              <w:t>104</w:t>
            </w:r>
          </w:p>
        </w:tc>
        <w:tc>
          <w:tcPr>
            <w:tcW w:w="4433" w:type="pct"/>
            <w:tcBorders>
              <w:top w:val="single" w:sz="4" w:space="0" w:color="auto"/>
              <w:bottom w:val="single" w:sz="4" w:space="0" w:color="auto"/>
            </w:tcBorders>
          </w:tcPr>
          <w:p w14:paraId="4D06C083" w14:textId="77777777" w:rsidR="00E93F58" w:rsidRPr="00D97EFB" w:rsidRDefault="00E93F58" w:rsidP="00264E01">
            <w:pPr>
              <w:pStyle w:val="Tabletext"/>
            </w:pPr>
            <w:r w:rsidRPr="00D97EFB">
              <w:t>Central Queensland University</w:t>
            </w:r>
          </w:p>
        </w:tc>
      </w:tr>
      <w:tr w:rsidR="00E93F58" w:rsidRPr="00D97EFB" w14:paraId="15CC0161" w14:textId="77777777" w:rsidTr="005828AC">
        <w:tc>
          <w:tcPr>
            <w:tcW w:w="567" w:type="pct"/>
            <w:tcBorders>
              <w:top w:val="single" w:sz="4" w:space="0" w:color="auto"/>
              <w:bottom w:val="single" w:sz="4" w:space="0" w:color="auto"/>
            </w:tcBorders>
          </w:tcPr>
          <w:p w14:paraId="019435F8" w14:textId="77777777" w:rsidR="00E93F58" w:rsidRPr="00D97EFB" w:rsidRDefault="00E93F58" w:rsidP="00264E01">
            <w:pPr>
              <w:pStyle w:val="Tabletext"/>
            </w:pPr>
            <w:r w:rsidRPr="00D97EFB">
              <w:t>105</w:t>
            </w:r>
          </w:p>
        </w:tc>
        <w:tc>
          <w:tcPr>
            <w:tcW w:w="4433" w:type="pct"/>
            <w:tcBorders>
              <w:top w:val="single" w:sz="4" w:space="0" w:color="auto"/>
              <w:bottom w:val="single" w:sz="4" w:space="0" w:color="auto"/>
            </w:tcBorders>
          </w:tcPr>
          <w:p w14:paraId="2DE7198D" w14:textId="77777777" w:rsidR="00E93F58" w:rsidRPr="00D97EFB" w:rsidRDefault="00E93F58" w:rsidP="00264E01">
            <w:pPr>
              <w:pStyle w:val="Tabletext"/>
            </w:pPr>
            <w:r w:rsidRPr="00D97EFB">
              <w:t>Charles Darwin University</w:t>
            </w:r>
          </w:p>
        </w:tc>
      </w:tr>
      <w:tr w:rsidR="00E93F58" w:rsidRPr="00D97EFB" w14:paraId="45B1226D" w14:textId="77777777" w:rsidTr="005828AC">
        <w:tc>
          <w:tcPr>
            <w:tcW w:w="567" w:type="pct"/>
            <w:tcBorders>
              <w:top w:val="single" w:sz="4" w:space="0" w:color="auto"/>
              <w:bottom w:val="single" w:sz="4" w:space="0" w:color="auto"/>
            </w:tcBorders>
          </w:tcPr>
          <w:p w14:paraId="4E5DAC55" w14:textId="77777777" w:rsidR="00E93F58" w:rsidRPr="00D97EFB" w:rsidRDefault="00E93F58" w:rsidP="00264E01">
            <w:pPr>
              <w:pStyle w:val="Tabletext"/>
            </w:pPr>
            <w:r w:rsidRPr="00D97EFB">
              <w:t>106</w:t>
            </w:r>
          </w:p>
        </w:tc>
        <w:tc>
          <w:tcPr>
            <w:tcW w:w="4433" w:type="pct"/>
            <w:tcBorders>
              <w:top w:val="single" w:sz="4" w:space="0" w:color="auto"/>
              <w:bottom w:val="single" w:sz="4" w:space="0" w:color="auto"/>
            </w:tcBorders>
          </w:tcPr>
          <w:p w14:paraId="7AA92303" w14:textId="77777777" w:rsidR="00E93F58" w:rsidRPr="00D97EFB" w:rsidRDefault="00E93F58" w:rsidP="00264E01">
            <w:pPr>
              <w:pStyle w:val="Tabletext"/>
            </w:pPr>
            <w:r w:rsidRPr="00D97EFB">
              <w:t xml:space="preserve">Charles Sturt University </w:t>
            </w:r>
          </w:p>
        </w:tc>
      </w:tr>
      <w:tr w:rsidR="00E93F58" w:rsidRPr="00D97EFB" w14:paraId="7DBE958D" w14:textId="77777777" w:rsidTr="005828AC">
        <w:tc>
          <w:tcPr>
            <w:tcW w:w="567" w:type="pct"/>
            <w:tcBorders>
              <w:top w:val="single" w:sz="4" w:space="0" w:color="auto"/>
              <w:bottom w:val="single" w:sz="4" w:space="0" w:color="auto"/>
            </w:tcBorders>
          </w:tcPr>
          <w:p w14:paraId="37827EA6" w14:textId="77777777" w:rsidR="00E93F58" w:rsidRPr="00D97EFB" w:rsidRDefault="00E93F58" w:rsidP="00264E01">
            <w:pPr>
              <w:pStyle w:val="Tabletext"/>
            </w:pPr>
            <w:r w:rsidRPr="00D97EFB">
              <w:t>107</w:t>
            </w:r>
          </w:p>
        </w:tc>
        <w:tc>
          <w:tcPr>
            <w:tcW w:w="4433" w:type="pct"/>
            <w:tcBorders>
              <w:top w:val="single" w:sz="4" w:space="0" w:color="auto"/>
              <w:bottom w:val="single" w:sz="4" w:space="0" w:color="auto"/>
            </w:tcBorders>
          </w:tcPr>
          <w:p w14:paraId="244171FC" w14:textId="77777777" w:rsidR="00E93F58" w:rsidRPr="00D97EFB" w:rsidRDefault="00E93F58" w:rsidP="00264E01">
            <w:pPr>
              <w:pStyle w:val="Tabletext"/>
            </w:pPr>
            <w:r w:rsidRPr="00D97EFB">
              <w:t>Curtin University of Technology</w:t>
            </w:r>
          </w:p>
        </w:tc>
      </w:tr>
      <w:tr w:rsidR="00E93F58" w:rsidRPr="00D97EFB" w14:paraId="3EBDCF2A" w14:textId="77777777" w:rsidTr="005828AC">
        <w:tc>
          <w:tcPr>
            <w:tcW w:w="567" w:type="pct"/>
            <w:tcBorders>
              <w:top w:val="single" w:sz="4" w:space="0" w:color="auto"/>
              <w:bottom w:val="single" w:sz="4" w:space="0" w:color="auto"/>
            </w:tcBorders>
          </w:tcPr>
          <w:p w14:paraId="137C4D98" w14:textId="77777777" w:rsidR="00E93F58" w:rsidRPr="00D97EFB" w:rsidRDefault="00E93F58" w:rsidP="00264E01">
            <w:pPr>
              <w:pStyle w:val="Tabletext"/>
            </w:pPr>
            <w:r w:rsidRPr="00D97EFB">
              <w:t>108</w:t>
            </w:r>
          </w:p>
        </w:tc>
        <w:tc>
          <w:tcPr>
            <w:tcW w:w="4433" w:type="pct"/>
            <w:tcBorders>
              <w:top w:val="single" w:sz="4" w:space="0" w:color="auto"/>
              <w:bottom w:val="single" w:sz="4" w:space="0" w:color="auto"/>
            </w:tcBorders>
          </w:tcPr>
          <w:p w14:paraId="22B96E01" w14:textId="77777777" w:rsidR="00E93F58" w:rsidRPr="00D97EFB" w:rsidRDefault="00E93F58" w:rsidP="00264E01">
            <w:pPr>
              <w:pStyle w:val="Tabletext"/>
            </w:pPr>
            <w:r w:rsidRPr="00D97EFB">
              <w:t>Deakin University</w:t>
            </w:r>
          </w:p>
        </w:tc>
      </w:tr>
      <w:tr w:rsidR="00E93F58" w:rsidRPr="00D97EFB" w14:paraId="1EC870FA" w14:textId="77777777" w:rsidTr="005828AC">
        <w:tc>
          <w:tcPr>
            <w:tcW w:w="567" w:type="pct"/>
            <w:tcBorders>
              <w:top w:val="single" w:sz="4" w:space="0" w:color="auto"/>
              <w:bottom w:val="single" w:sz="4" w:space="0" w:color="auto"/>
            </w:tcBorders>
          </w:tcPr>
          <w:p w14:paraId="12C15DF2" w14:textId="77777777" w:rsidR="00E93F58" w:rsidRPr="00D97EFB" w:rsidRDefault="00E93F58" w:rsidP="00264E01">
            <w:pPr>
              <w:pStyle w:val="Tabletext"/>
            </w:pPr>
            <w:r w:rsidRPr="00D97EFB">
              <w:t>109</w:t>
            </w:r>
          </w:p>
        </w:tc>
        <w:tc>
          <w:tcPr>
            <w:tcW w:w="4433" w:type="pct"/>
            <w:tcBorders>
              <w:top w:val="single" w:sz="4" w:space="0" w:color="auto"/>
              <w:bottom w:val="single" w:sz="4" w:space="0" w:color="auto"/>
            </w:tcBorders>
          </w:tcPr>
          <w:p w14:paraId="1F3DBEAB" w14:textId="77777777" w:rsidR="00E93F58" w:rsidRPr="00D97EFB" w:rsidRDefault="00E93F58" w:rsidP="00264E01">
            <w:pPr>
              <w:pStyle w:val="Tabletext"/>
            </w:pPr>
            <w:r w:rsidRPr="00D97EFB">
              <w:t>Edith Cowan University</w:t>
            </w:r>
          </w:p>
        </w:tc>
      </w:tr>
      <w:tr w:rsidR="00E93F58" w:rsidRPr="00D97EFB" w14:paraId="003342DB" w14:textId="77777777" w:rsidTr="005828AC">
        <w:tc>
          <w:tcPr>
            <w:tcW w:w="567" w:type="pct"/>
            <w:tcBorders>
              <w:top w:val="single" w:sz="4" w:space="0" w:color="auto"/>
              <w:bottom w:val="single" w:sz="4" w:space="0" w:color="auto"/>
            </w:tcBorders>
          </w:tcPr>
          <w:p w14:paraId="0AA2EBE8" w14:textId="77777777" w:rsidR="00E93F58" w:rsidRPr="00D97EFB" w:rsidRDefault="00E93F58" w:rsidP="00264E01">
            <w:pPr>
              <w:pStyle w:val="Tabletext"/>
            </w:pPr>
            <w:r w:rsidRPr="00D97EFB">
              <w:t>110</w:t>
            </w:r>
          </w:p>
        </w:tc>
        <w:tc>
          <w:tcPr>
            <w:tcW w:w="4433" w:type="pct"/>
            <w:tcBorders>
              <w:top w:val="single" w:sz="4" w:space="0" w:color="auto"/>
              <w:bottom w:val="single" w:sz="4" w:space="0" w:color="auto"/>
            </w:tcBorders>
          </w:tcPr>
          <w:p w14:paraId="2740E8E4" w14:textId="77777777" w:rsidR="00E93F58" w:rsidRPr="00D97EFB" w:rsidRDefault="00E93F58" w:rsidP="00264E01">
            <w:pPr>
              <w:pStyle w:val="Tabletext"/>
            </w:pPr>
            <w:r w:rsidRPr="00D97EFB">
              <w:t>Griffith University</w:t>
            </w:r>
          </w:p>
        </w:tc>
      </w:tr>
      <w:tr w:rsidR="00E93F58" w:rsidRPr="00D97EFB" w14:paraId="6FF756C3" w14:textId="77777777" w:rsidTr="005828AC">
        <w:tc>
          <w:tcPr>
            <w:tcW w:w="567" w:type="pct"/>
            <w:tcBorders>
              <w:top w:val="single" w:sz="4" w:space="0" w:color="auto"/>
              <w:bottom w:val="single" w:sz="4" w:space="0" w:color="auto"/>
            </w:tcBorders>
          </w:tcPr>
          <w:p w14:paraId="49987EBC" w14:textId="77777777" w:rsidR="00E93F58" w:rsidRPr="00D97EFB" w:rsidRDefault="00E93F58" w:rsidP="00264E01">
            <w:pPr>
              <w:pStyle w:val="Tabletext"/>
            </w:pPr>
            <w:r w:rsidRPr="00D97EFB">
              <w:t>111</w:t>
            </w:r>
          </w:p>
        </w:tc>
        <w:tc>
          <w:tcPr>
            <w:tcW w:w="4433" w:type="pct"/>
            <w:tcBorders>
              <w:top w:val="single" w:sz="4" w:space="0" w:color="auto"/>
              <w:bottom w:val="single" w:sz="4" w:space="0" w:color="auto"/>
            </w:tcBorders>
          </w:tcPr>
          <w:p w14:paraId="7A42CE75" w14:textId="77777777" w:rsidR="00E93F58" w:rsidRPr="00D97EFB" w:rsidRDefault="00E93F58" w:rsidP="00264E01">
            <w:pPr>
              <w:pStyle w:val="Tabletext"/>
            </w:pPr>
            <w:r w:rsidRPr="00D97EFB">
              <w:t>Flinders University of South Australia</w:t>
            </w:r>
          </w:p>
        </w:tc>
      </w:tr>
      <w:tr w:rsidR="00E93F58" w:rsidRPr="00D97EFB" w14:paraId="63DE917A" w14:textId="77777777" w:rsidTr="005828AC">
        <w:tc>
          <w:tcPr>
            <w:tcW w:w="567" w:type="pct"/>
            <w:tcBorders>
              <w:top w:val="single" w:sz="4" w:space="0" w:color="auto"/>
              <w:bottom w:val="single" w:sz="4" w:space="0" w:color="auto"/>
            </w:tcBorders>
          </w:tcPr>
          <w:p w14:paraId="7EC86535" w14:textId="77777777" w:rsidR="00E93F58" w:rsidRPr="00D97EFB" w:rsidRDefault="00E93F58" w:rsidP="00264E01">
            <w:pPr>
              <w:pStyle w:val="Tabletext"/>
            </w:pPr>
            <w:r w:rsidRPr="00D97EFB">
              <w:t>112</w:t>
            </w:r>
          </w:p>
        </w:tc>
        <w:tc>
          <w:tcPr>
            <w:tcW w:w="4433" w:type="pct"/>
            <w:tcBorders>
              <w:top w:val="single" w:sz="4" w:space="0" w:color="auto"/>
              <w:bottom w:val="single" w:sz="4" w:space="0" w:color="auto"/>
            </w:tcBorders>
          </w:tcPr>
          <w:p w14:paraId="68DF9185" w14:textId="77777777" w:rsidR="00E93F58" w:rsidRPr="00D97EFB" w:rsidRDefault="00E93F58" w:rsidP="00264E01">
            <w:pPr>
              <w:pStyle w:val="Tabletext"/>
            </w:pPr>
            <w:r w:rsidRPr="00D97EFB">
              <w:t xml:space="preserve">James Cook University </w:t>
            </w:r>
          </w:p>
        </w:tc>
      </w:tr>
      <w:tr w:rsidR="00E93F58" w:rsidRPr="00D97EFB" w14:paraId="63B3321A" w14:textId="77777777" w:rsidTr="005828AC">
        <w:tc>
          <w:tcPr>
            <w:tcW w:w="567" w:type="pct"/>
            <w:tcBorders>
              <w:top w:val="single" w:sz="4" w:space="0" w:color="auto"/>
              <w:bottom w:val="single" w:sz="4" w:space="0" w:color="auto"/>
            </w:tcBorders>
          </w:tcPr>
          <w:p w14:paraId="6C7FE051" w14:textId="77777777" w:rsidR="00E93F58" w:rsidRPr="00D97EFB" w:rsidRDefault="00E93F58" w:rsidP="00264E01">
            <w:pPr>
              <w:pStyle w:val="Tabletext"/>
            </w:pPr>
            <w:r w:rsidRPr="00D97EFB">
              <w:t>113</w:t>
            </w:r>
          </w:p>
        </w:tc>
        <w:tc>
          <w:tcPr>
            <w:tcW w:w="4433" w:type="pct"/>
            <w:tcBorders>
              <w:top w:val="single" w:sz="4" w:space="0" w:color="auto"/>
              <w:bottom w:val="single" w:sz="4" w:space="0" w:color="auto"/>
            </w:tcBorders>
          </w:tcPr>
          <w:p w14:paraId="00CD6BF4" w14:textId="77777777" w:rsidR="00E93F58" w:rsidRPr="00D97EFB" w:rsidRDefault="00E93F58" w:rsidP="00264E01">
            <w:pPr>
              <w:pStyle w:val="Tabletext"/>
            </w:pPr>
            <w:r w:rsidRPr="00D97EFB">
              <w:t>La Trobe University</w:t>
            </w:r>
          </w:p>
        </w:tc>
      </w:tr>
      <w:tr w:rsidR="00E93F58" w:rsidRPr="00D97EFB" w14:paraId="2B2CD01B" w14:textId="77777777" w:rsidTr="005828AC">
        <w:tc>
          <w:tcPr>
            <w:tcW w:w="567" w:type="pct"/>
            <w:tcBorders>
              <w:top w:val="single" w:sz="4" w:space="0" w:color="auto"/>
              <w:bottom w:val="single" w:sz="4" w:space="0" w:color="auto"/>
            </w:tcBorders>
          </w:tcPr>
          <w:p w14:paraId="6C95EDB4" w14:textId="77777777" w:rsidR="00E93F58" w:rsidRPr="00D97EFB" w:rsidRDefault="00E93F58" w:rsidP="00264E01">
            <w:pPr>
              <w:pStyle w:val="Tabletext"/>
            </w:pPr>
            <w:r w:rsidRPr="00D97EFB">
              <w:t>114</w:t>
            </w:r>
          </w:p>
        </w:tc>
        <w:tc>
          <w:tcPr>
            <w:tcW w:w="4433" w:type="pct"/>
            <w:tcBorders>
              <w:top w:val="single" w:sz="4" w:space="0" w:color="auto"/>
              <w:bottom w:val="single" w:sz="4" w:space="0" w:color="auto"/>
            </w:tcBorders>
          </w:tcPr>
          <w:p w14:paraId="4ECD0B06" w14:textId="77777777" w:rsidR="00E93F58" w:rsidRPr="00D97EFB" w:rsidRDefault="00E93F58" w:rsidP="00264E01">
            <w:pPr>
              <w:pStyle w:val="Tabletext"/>
            </w:pPr>
            <w:r w:rsidRPr="00D97EFB">
              <w:t>Macquarie University</w:t>
            </w:r>
          </w:p>
        </w:tc>
      </w:tr>
      <w:tr w:rsidR="00E93F58" w:rsidRPr="00D97EFB" w14:paraId="405F4D01" w14:textId="77777777" w:rsidTr="005828AC">
        <w:tc>
          <w:tcPr>
            <w:tcW w:w="567" w:type="pct"/>
            <w:tcBorders>
              <w:top w:val="single" w:sz="4" w:space="0" w:color="auto"/>
              <w:bottom w:val="single" w:sz="4" w:space="0" w:color="auto"/>
            </w:tcBorders>
          </w:tcPr>
          <w:p w14:paraId="71385700" w14:textId="77777777" w:rsidR="00E93F58" w:rsidRPr="00D97EFB" w:rsidRDefault="00E93F58" w:rsidP="00264E01">
            <w:pPr>
              <w:pStyle w:val="Tabletext"/>
            </w:pPr>
            <w:r w:rsidRPr="00D97EFB">
              <w:t>115</w:t>
            </w:r>
          </w:p>
        </w:tc>
        <w:tc>
          <w:tcPr>
            <w:tcW w:w="4433" w:type="pct"/>
            <w:tcBorders>
              <w:top w:val="single" w:sz="4" w:space="0" w:color="auto"/>
              <w:bottom w:val="single" w:sz="4" w:space="0" w:color="auto"/>
            </w:tcBorders>
          </w:tcPr>
          <w:p w14:paraId="196E87E0" w14:textId="77777777" w:rsidR="00E93F58" w:rsidRPr="00D97EFB" w:rsidRDefault="00E93F58" w:rsidP="00264E01">
            <w:pPr>
              <w:pStyle w:val="Tabletext"/>
            </w:pPr>
            <w:r w:rsidRPr="00D97EFB">
              <w:t>Monash University</w:t>
            </w:r>
          </w:p>
        </w:tc>
      </w:tr>
      <w:tr w:rsidR="00E93F58" w:rsidRPr="00D97EFB" w14:paraId="19C63328" w14:textId="77777777" w:rsidTr="005828AC">
        <w:tc>
          <w:tcPr>
            <w:tcW w:w="567" w:type="pct"/>
            <w:tcBorders>
              <w:top w:val="single" w:sz="4" w:space="0" w:color="auto"/>
              <w:bottom w:val="single" w:sz="4" w:space="0" w:color="auto"/>
            </w:tcBorders>
          </w:tcPr>
          <w:p w14:paraId="2319F4C9" w14:textId="77777777" w:rsidR="00E93F58" w:rsidRPr="00D97EFB" w:rsidRDefault="00E93F58" w:rsidP="00264E01">
            <w:pPr>
              <w:pStyle w:val="Tabletext"/>
            </w:pPr>
            <w:r w:rsidRPr="00D97EFB">
              <w:t>116</w:t>
            </w:r>
          </w:p>
        </w:tc>
        <w:tc>
          <w:tcPr>
            <w:tcW w:w="4433" w:type="pct"/>
            <w:tcBorders>
              <w:top w:val="single" w:sz="4" w:space="0" w:color="auto"/>
              <w:bottom w:val="single" w:sz="4" w:space="0" w:color="auto"/>
            </w:tcBorders>
          </w:tcPr>
          <w:p w14:paraId="35D07932" w14:textId="77777777" w:rsidR="00E93F58" w:rsidRPr="00D97EFB" w:rsidRDefault="00E93F58" w:rsidP="00264E01">
            <w:pPr>
              <w:pStyle w:val="Tabletext"/>
            </w:pPr>
            <w:r w:rsidRPr="00D97EFB">
              <w:t>Murdoch University</w:t>
            </w:r>
          </w:p>
        </w:tc>
      </w:tr>
      <w:tr w:rsidR="00E93F58" w:rsidRPr="00D97EFB" w14:paraId="55306EAA" w14:textId="77777777" w:rsidTr="005828AC">
        <w:tc>
          <w:tcPr>
            <w:tcW w:w="567" w:type="pct"/>
            <w:tcBorders>
              <w:top w:val="single" w:sz="4" w:space="0" w:color="auto"/>
              <w:bottom w:val="single" w:sz="4" w:space="0" w:color="auto"/>
            </w:tcBorders>
          </w:tcPr>
          <w:p w14:paraId="63A53DA7" w14:textId="77777777" w:rsidR="00E93F58" w:rsidRPr="00D97EFB" w:rsidRDefault="00E93F58" w:rsidP="00264E01">
            <w:pPr>
              <w:pStyle w:val="Tabletext"/>
            </w:pPr>
            <w:r w:rsidRPr="00D97EFB">
              <w:t>117</w:t>
            </w:r>
          </w:p>
        </w:tc>
        <w:tc>
          <w:tcPr>
            <w:tcW w:w="4433" w:type="pct"/>
            <w:tcBorders>
              <w:top w:val="single" w:sz="4" w:space="0" w:color="auto"/>
              <w:bottom w:val="single" w:sz="4" w:space="0" w:color="auto"/>
            </w:tcBorders>
          </w:tcPr>
          <w:p w14:paraId="553B0B61" w14:textId="77777777" w:rsidR="00E93F58" w:rsidRPr="00D97EFB" w:rsidRDefault="00E93F58" w:rsidP="00264E01">
            <w:pPr>
              <w:pStyle w:val="Tabletext"/>
            </w:pPr>
            <w:r w:rsidRPr="00D97EFB">
              <w:t xml:space="preserve">Queensland University of Technology </w:t>
            </w:r>
          </w:p>
        </w:tc>
      </w:tr>
      <w:tr w:rsidR="00E93F58" w:rsidRPr="00D97EFB" w14:paraId="3D4F680E" w14:textId="77777777" w:rsidTr="005828AC">
        <w:tc>
          <w:tcPr>
            <w:tcW w:w="567" w:type="pct"/>
            <w:tcBorders>
              <w:top w:val="single" w:sz="4" w:space="0" w:color="auto"/>
              <w:bottom w:val="single" w:sz="4" w:space="0" w:color="auto"/>
            </w:tcBorders>
          </w:tcPr>
          <w:p w14:paraId="3E125536" w14:textId="77777777" w:rsidR="00E93F58" w:rsidRPr="00D97EFB" w:rsidRDefault="00E93F58" w:rsidP="00264E01">
            <w:pPr>
              <w:pStyle w:val="Tabletext"/>
            </w:pPr>
            <w:r w:rsidRPr="00D97EFB">
              <w:t>118</w:t>
            </w:r>
          </w:p>
        </w:tc>
        <w:tc>
          <w:tcPr>
            <w:tcW w:w="4433" w:type="pct"/>
            <w:tcBorders>
              <w:top w:val="single" w:sz="4" w:space="0" w:color="auto"/>
              <w:bottom w:val="single" w:sz="4" w:space="0" w:color="auto"/>
            </w:tcBorders>
          </w:tcPr>
          <w:p w14:paraId="605BD035" w14:textId="77777777" w:rsidR="00E93F58" w:rsidRPr="00D97EFB" w:rsidRDefault="00E93F58" w:rsidP="00264E01">
            <w:pPr>
              <w:pStyle w:val="Tabletext"/>
            </w:pPr>
            <w:r w:rsidRPr="00D97EFB">
              <w:t xml:space="preserve">Royal Melbourne Institute of Technology University </w:t>
            </w:r>
          </w:p>
        </w:tc>
      </w:tr>
      <w:tr w:rsidR="00E93F58" w:rsidRPr="00D97EFB" w14:paraId="773EF625" w14:textId="77777777" w:rsidTr="005828AC">
        <w:tc>
          <w:tcPr>
            <w:tcW w:w="567" w:type="pct"/>
            <w:tcBorders>
              <w:top w:val="single" w:sz="4" w:space="0" w:color="auto"/>
              <w:bottom w:val="single" w:sz="4" w:space="0" w:color="auto"/>
            </w:tcBorders>
          </w:tcPr>
          <w:p w14:paraId="2A57C305" w14:textId="77777777" w:rsidR="00E93F58" w:rsidRPr="00D97EFB" w:rsidRDefault="00E93F58" w:rsidP="00264E01">
            <w:pPr>
              <w:pStyle w:val="Tabletext"/>
            </w:pPr>
            <w:r w:rsidRPr="00D97EFB">
              <w:t>119</w:t>
            </w:r>
          </w:p>
        </w:tc>
        <w:tc>
          <w:tcPr>
            <w:tcW w:w="4433" w:type="pct"/>
            <w:tcBorders>
              <w:top w:val="single" w:sz="4" w:space="0" w:color="auto"/>
              <w:bottom w:val="single" w:sz="4" w:space="0" w:color="auto"/>
            </w:tcBorders>
          </w:tcPr>
          <w:p w14:paraId="03E159CE" w14:textId="77777777" w:rsidR="00E93F58" w:rsidRPr="00D97EFB" w:rsidRDefault="00E93F58" w:rsidP="00264E01">
            <w:pPr>
              <w:pStyle w:val="Tabletext"/>
            </w:pPr>
            <w:r w:rsidRPr="00D97EFB">
              <w:t>Southern Cross University</w:t>
            </w:r>
          </w:p>
        </w:tc>
      </w:tr>
      <w:tr w:rsidR="00E93F58" w:rsidRPr="00D97EFB" w14:paraId="4314484F" w14:textId="77777777" w:rsidTr="005828AC">
        <w:tc>
          <w:tcPr>
            <w:tcW w:w="567" w:type="pct"/>
            <w:tcBorders>
              <w:top w:val="single" w:sz="4" w:space="0" w:color="auto"/>
              <w:bottom w:val="single" w:sz="4" w:space="0" w:color="auto"/>
            </w:tcBorders>
          </w:tcPr>
          <w:p w14:paraId="4575E021" w14:textId="77777777" w:rsidR="00E93F58" w:rsidRPr="00D97EFB" w:rsidRDefault="00E93F58" w:rsidP="00264E01">
            <w:pPr>
              <w:pStyle w:val="Tabletext"/>
            </w:pPr>
            <w:r w:rsidRPr="00D97EFB">
              <w:t>120</w:t>
            </w:r>
          </w:p>
        </w:tc>
        <w:tc>
          <w:tcPr>
            <w:tcW w:w="4433" w:type="pct"/>
            <w:tcBorders>
              <w:top w:val="single" w:sz="4" w:space="0" w:color="auto"/>
              <w:bottom w:val="single" w:sz="4" w:space="0" w:color="auto"/>
            </w:tcBorders>
          </w:tcPr>
          <w:p w14:paraId="56242109" w14:textId="77777777" w:rsidR="00E93F58" w:rsidRPr="00D97EFB" w:rsidRDefault="00E93F58" w:rsidP="00264E01">
            <w:pPr>
              <w:pStyle w:val="Tabletext"/>
            </w:pPr>
            <w:r w:rsidRPr="00D97EFB">
              <w:t>Swinburne University of Technology</w:t>
            </w:r>
          </w:p>
        </w:tc>
      </w:tr>
      <w:tr w:rsidR="00E93F58" w:rsidRPr="00D97EFB" w14:paraId="0B853DA5" w14:textId="77777777" w:rsidTr="005828AC">
        <w:tc>
          <w:tcPr>
            <w:tcW w:w="567" w:type="pct"/>
            <w:tcBorders>
              <w:top w:val="single" w:sz="4" w:space="0" w:color="auto"/>
              <w:bottom w:val="single" w:sz="4" w:space="0" w:color="auto"/>
            </w:tcBorders>
          </w:tcPr>
          <w:p w14:paraId="7C26EA11" w14:textId="77777777" w:rsidR="00E93F58" w:rsidRPr="00D97EFB" w:rsidRDefault="00E93F58" w:rsidP="00264E01">
            <w:pPr>
              <w:pStyle w:val="Tabletext"/>
            </w:pPr>
            <w:r w:rsidRPr="00D97EFB">
              <w:t>121</w:t>
            </w:r>
          </w:p>
        </w:tc>
        <w:tc>
          <w:tcPr>
            <w:tcW w:w="4433" w:type="pct"/>
            <w:tcBorders>
              <w:top w:val="single" w:sz="4" w:space="0" w:color="auto"/>
              <w:bottom w:val="single" w:sz="4" w:space="0" w:color="auto"/>
            </w:tcBorders>
          </w:tcPr>
          <w:p w14:paraId="7BEE998A" w14:textId="77777777" w:rsidR="00E93F58" w:rsidRPr="00D97EFB" w:rsidRDefault="00E93F58" w:rsidP="00264E01">
            <w:pPr>
              <w:pStyle w:val="Tabletext"/>
            </w:pPr>
            <w:r w:rsidRPr="00D97EFB">
              <w:t>University of Adelaide</w:t>
            </w:r>
          </w:p>
        </w:tc>
      </w:tr>
      <w:tr w:rsidR="00E93F58" w:rsidRPr="00D97EFB" w14:paraId="27E356C3" w14:textId="77777777" w:rsidTr="005828AC">
        <w:tc>
          <w:tcPr>
            <w:tcW w:w="567" w:type="pct"/>
            <w:tcBorders>
              <w:top w:val="single" w:sz="4" w:space="0" w:color="auto"/>
              <w:bottom w:val="single" w:sz="4" w:space="0" w:color="auto"/>
            </w:tcBorders>
          </w:tcPr>
          <w:p w14:paraId="119A95D2" w14:textId="77777777" w:rsidR="00E93F58" w:rsidRPr="00D97EFB" w:rsidRDefault="00E93F58" w:rsidP="00264E01">
            <w:pPr>
              <w:pStyle w:val="Tabletext"/>
            </w:pPr>
            <w:r w:rsidRPr="00D97EFB">
              <w:t>122</w:t>
            </w:r>
          </w:p>
        </w:tc>
        <w:tc>
          <w:tcPr>
            <w:tcW w:w="4433" w:type="pct"/>
            <w:tcBorders>
              <w:top w:val="single" w:sz="4" w:space="0" w:color="auto"/>
              <w:bottom w:val="single" w:sz="4" w:space="0" w:color="auto"/>
            </w:tcBorders>
          </w:tcPr>
          <w:p w14:paraId="72725993" w14:textId="77777777" w:rsidR="00E93F58" w:rsidRPr="00D97EFB" w:rsidRDefault="00E93F58" w:rsidP="00264E01">
            <w:pPr>
              <w:pStyle w:val="Tabletext"/>
            </w:pPr>
            <w:r w:rsidRPr="00D97EFB">
              <w:t xml:space="preserve">University of Ballarat </w:t>
            </w:r>
          </w:p>
        </w:tc>
      </w:tr>
      <w:tr w:rsidR="00E93F58" w:rsidRPr="00D97EFB" w14:paraId="42BE1CB4" w14:textId="77777777" w:rsidTr="005828AC">
        <w:tc>
          <w:tcPr>
            <w:tcW w:w="567" w:type="pct"/>
            <w:tcBorders>
              <w:top w:val="single" w:sz="4" w:space="0" w:color="auto"/>
              <w:bottom w:val="single" w:sz="4" w:space="0" w:color="auto"/>
            </w:tcBorders>
          </w:tcPr>
          <w:p w14:paraId="57844224" w14:textId="77777777" w:rsidR="00E93F58" w:rsidRPr="00D97EFB" w:rsidRDefault="00E93F58" w:rsidP="00264E01">
            <w:pPr>
              <w:pStyle w:val="Tabletext"/>
            </w:pPr>
            <w:r w:rsidRPr="00D97EFB">
              <w:t>123</w:t>
            </w:r>
          </w:p>
        </w:tc>
        <w:tc>
          <w:tcPr>
            <w:tcW w:w="4433" w:type="pct"/>
            <w:tcBorders>
              <w:top w:val="single" w:sz="4" w:space="0" w:color="auto"/>
              <w:bottom w:val="single" w:sz="4" w:space="0" w:color="auto"/>
            </w:tcBorders>
          </w:tcPr>
          <w:p w14:paraId="07EA4DFA" w14:textId="77777777" w:rsidR="00E93F58" w:rsidRPr="00D97EFB" w:rsidRDefault="00E93F58" w:rsidP="00264E01">
            <w:pPr>
              <w:pStyle w:val="Tabletext"/>
            </w:pPr>
            <w:r w:rsidRPr="00D97EFB">
              <w:t>University of Canberra</w:t>
            </w:r>
          </w:p>
        </w:tc>
      </w:tr>
      <w:tr w:rsidR="00E93F58" w:rsidRPr="00D97EFB" w14:paraId="34DFBA3E" w14:textId="77777777" w:rsidTr="005828AC">
        <w:tc>
          <w:tcPr>
            <w:tcW w:w="567" w:type="pct"/>
            <w:tcBorders>
              <w:top w:val="single" w:sz="4" w:space="0" w:color="auto"/>
              <w:bottom w:val="single" w:sz="4" w:space="0" w:color="auto"/>
            </w:tcBorders>
          </w:tcPr>
          <w:p w14:paraId="125FF7AA" w14:textId="77777777" w:rsidR="00E93F58" w:rsidRPr="00D97EFB" w:rsidRDefault="00E93F58" w:rsidP="00264E01">
            <w:pPr>
              <w:pStyle w:val="Tabletext"/>
            </w:pPr>
            <w:r w:rsidRPr="00D97EFB">
              <w:t>124</w:t>
            </w:r>
          </w:p>
        </w:tc>
        <w:tc>
          <w:tcPr>
            <w:tcW w:w="4433" w:type="pct"/>
            <w:tcBorders>
              <w:top w:val="single" w:sz="4" w:space="0" w:color="auto"/>
              <w:bottom w:val="single" w:sz="4" w:space="0" w:color="auto"/>
            </w:tcBorders>
          </w:tcPr>
          <w:p w14:paraId="06ACF92C" w14:textId="77777777" w:rsidR="00E93F58" w:rsidRPr="00D97EFB" w:rsidRDefault="00E93F58" w:rsidP="00264E01">
            <w:pPr>
              <w:pStyle w:val="Tabletext"/>
            </w:pPr>
            <w:r w:rsidRPr="00D97EFB">
              <w:t>University of Melbourne</w:t>
            </w:r>
          </w:p>
        </w:tc>
      </w:tr>
      <w:tr w:rsidR="00E93F58" w:rsidRPr="00D97EFB" w14:paraId="446C2D13" w14:textId="77777777" w:rsidTr="005828AC">
        <w:tc>
          <w:tcPr>
            <w:tcW w:w="567" w:type="pct"/>
            <w:tcBorders>
              <w:top w:val="single" w:sz="4" w:space="0" w:color="auto"/>
              <w:bottom w:val="single" w:sz="4" w:space="0" w:color="auto"/>
            </w:tcBorders>
          </w:tcPr>
          <w:p w14:paraId="05F8AB47" w14:textId="77777777" w:rsidR="00E93F58" w:rsidRPr="00D97EFB" w:rsidRDefault="00E93F58" w:rsidP="00264E01">
            <w:pPr>
              <w:pStyle w:val="Tabletext"/>
            </w:pPr>
            <w:r w:rsidRPr="00D97EFB">
              <w:t>125</w:t>
            </w:r>
          </w:p>
        </w:tc>
        <w:tc>
          <w:tcPr>
            <w:tcW w:w="4433" w:type="pct"/>
            <w:tcBorders>
              <w:top w:val="single" w:sz="4" w:space="0" w:color="auto"/>
              <w:bottom w:val="single" w:sz="4" w:space="0" w:color="auto"/>
            </w:tcBorders>
          </w:tcPr>
          <w:p w14:paraId="2FCF7299" w14:textId="77777777" w:rsidR="00E93F58" w:rsidRPr="00D97EFB" w:rsidRDefault="00E93F58" w:rsidP="00264E01">
            <w:pPr>
              <w:pStyle w:val="Tabletext"/>
            </w:pPr>
            <w:r w:rsidRPr="00D97EFB">
              <w:t>University of Newcastle</w:t>
            </w:r>
          </w:p>
        </w:tc>
      </w:tr>
      <w:tr w:rsidR="00E93F58" w:rsidRPr="00D97EFB" w14:paraId="3FA066F3" w14:textId="77777777" w:rsidTr="005828AC">
        <w:tc>
          <w:tcPr>
            <w:tcW w:w="567" w:type="pct"/>
            <w:tcBorders>
              <w:top w:val="single" w:sz="4" w:space="0" w:color="auto"/>
              <w:bottom w:val="single" w:sz="4" w:space="0" w:color="auto"/>
            </w:tcBorders>
          </w:tcPr>
          <w:p w14:paraId="050A1569" w14:textId="77777777" w:rsidR="00E93F58" w:rsidRPr="00D97EFB" w:rsidRDefault="00E93F58" w:rsidP="00264E01">
            <w:pPr>
              <w:pStyle w:val="Tabletext"/>
            </w:pPr>
            <w:r w:rsidRPr="00D97EFB">
              <w:t>126</w:t>
            </w:r>
          </w:p>
        </w:tc>
        <w:tc>
          <w:tcPr>
            <w:tcW w:w="4433" w:type="pct"/>
            <w:tcBorders>
              <w:top w:val="single" w:sz="4" w:space="0" w:color="auto"/>
              <w:bottom w:val="single" w:sz="4" w:space="0" w:color="auto"/>
            </w:tcBorders>
          </w:tcPr>
          <w:p w14:paraId="6EE41902" w14:textId="77777777" w:rsidR="00E93F58" w:rsidRPr="00D97EFB" w:rsidRDefault="00E93F58" w:rsidP="00264E01">
            <w:pPr>
              <w:pStyle w:val="Tabletext"/>
            </w:pPr>
            <w:r w:rsidRPr="00D97EFB">
              <w:t>University of New England</w:t>
            </w:r>
          </w:p>
        </w:tc>
      </w:tr>
      <w:tr w:rsidR="00E93F58" w:rsidRPr="00D97EFB" w14:paraId="7980E69D" w14:textId="77777777" w:rsidTr="005828AC">
        <w:tc>
          <w:tcPr>
            <w:tcW w:w="567" w:type="pct"/>
            <w:tcBorders>
              <w:top w:val="single" w:sz="4" w:space="0" w:color="auto"/>
              <w:bottom w:val="single" w:sz="4" w:space="0" w:color="auto"/>
            </w:tcBorders>
          </w:tcPr>
          <w:p w14:paraId="079A509F" w14:textId="77777777" w:rsidR="00E93F58" w:rsidRPr="00D97EFB" w:rsidRDefault="00E93F58" w:rsidP="00264E01">
            <w:pPr>
              <w:pStyle w:val="Tabletext"/>
            </w:pPr>
            <w:r w:rsidRPr="00D97EFB">
              <w:lastRenderedPageBreak/>
              <w:t>127</w:t>
            </w:r>
          </w:p>
        </w:tc>
        <w:tc>
          <w:tcPr>
            <w:tcW w:w="4433" w:type="pct"/>
            <w:tcBorders>
              <w:top w:val="single" w:sz="4" w:space="0" w:color="auto"/>
              <w:bottom w:val="single" w:sz="4" w:space="0" w:color="auto"/>
            </w:tcBorders>
          </w:tcPr>
          <w:p w14:paraId="46139D28" w14:textId="77777777" w:rsidR="00E93F58" w:rsidRPr="00D97EFB" w:rsidRDefault="00E93F58" w:rsidP="00264E01">
            <w:pPr>
              <w:pStyle w:val="Tabletext"/>
            </w:pPr>
            <w:r w:rsidRPr="00D97EFB">
              <w:t xml:space="preserve">University of New South Wales </w:t>
            </w:r>
          </w:p>
        </w:tc>
      </w:tr>
      <w:tr w:rsidR="00E93F58" w:rsidRPr="00D97EFB" w14:paraId="01EEC8A7" w14:textId="77777777" w:rsidTr="005828AC">
        <w:tc>
          <w:tcPr>
            <w:tcW w:w="567" w:type="pct"/>
            <w:tcBorders>
              <w:top w:val="single" w:sz="4" w:space="0" w:color="auto"/>
              <w:bottom w:val="single" w:sz="4" w:space="0" w:color="auto"/>
            </w:tcBorders>
          </w:tcPr>
          <w:p w14:paraId="611C0221" w14:textId="77777777" w:rsidR="00E93F58" w:rsidRPr="00D97EFB" w:rsidRDefault="00E93F58" w:rsidP="00264E01">
            <w:pPr>
              <w:pStyle w:val="Tabletext"/>
            </w:pPr>
            <w:r w:rsidRPr="00D97EFB">
              <w:t>128</w:t>
            </w:r>
          </w:p>
        </w:tc>
        <w:tc>
          <w:tcPr>
            <w:tcW w:w="4433" w:type="pct"/>
            <w:tcBorders>
              <w:top w:val="single" w:sz="4" w:space="0" w:color="auto"/>
              <w:bottom w:val="single" w:sz="4" w:space="0" w:color="auto"/>
            </w:tcBorders>
          </w:tcPr>
          <w:p w14:paraId="0A8A97D0" w14:textId="77777777" w:rsidR="00E93F58" w:rsidRPr="00D97EFB" w:rsidRDefault="00E93F58" w:rsidP="00264E01">
            <w:pPr>
              <w:pStyle w:val="Tabletext"/>
            </w:pPr>
            <w:r w:rsidRPr="00D97EFB">
              <w:t xml:space="preserve">University of Notre Dame Australia </w:t>
            </w:r>
          </w:p>
        </w:tc>
      </w:tr>
      <w:tr w:rsidR="00E93F58" w:rsidRPr="00D97EFB" w14:paraId="328DDC57" w14:textId="77777777" w:rsidTr="005828AC">
        <w:tc>
          <w:tcPr>
            <w:tcW w:w="567" w:type="pct"/>
            <w:tcBorders>
              <w:top w:val="single" w:sz="4" w:space="0" w:color="auto"/>
              <w:bottom w:val="single" w:sz="4" w:space="0" w:color="auto"/>
            </w:tcBorders>
          </w:tcPr>
          <w:p w14:paraId="40946A16" w14:textId="77777777" w:rsidR="00E93F58" w:rsidRPr="00D97EFB" w:rsidRDefault="00E93F58" w:rsidP="00264E01">
            <w:pPr>
              <w:pStyle w:val="Tabletext"/>
            </w:pPr>
            <w:r w:rsidRPr="00D97EFB">
              <w:t>129</w:t>
            </w:r>
          </w:p>
        </w:tc>
        <w:tc>
          <w:tcPr>
            <w:tcW w:w="4433" w:type="pct"/>
            <w:tcBorders>
              <w:top w:val="single" w:sz="4" w:space="0" w:color="auto"/>
              <w:bottom w:val="single" w:sz="4" w:space="0" w:color="auto"/>
            </w:tcBorders>
          </w:tcPr>
          <w:p w14:paraId="18B6A969" w14:textId="77777777" w:rsidR="00E93F58" w:rsidRPr="00D97EFB" w:rsidRDefault="00E93F58" w:rsidP="00264E01">
            <w:pPr>
              <w:pStyle w:val="Tabletext"/>
            </w:pPr>
            <w:r w:rsidRPr="00D97EFB">
              <w:t>University of Queensland</w:t>
            </w:r>
          </w:p>
        </w:tc>
      </w:tr>
      <w:tr w:rsidR="00E93F58" w:rsidRPr="00D97EFB" w14:paraId="27CFDF98" w14:textId="77777777" w:rsidTr="005828AC">
        <w:tc>
          <w:tcPr>
            <w:tcW w:w="567" w:type="pct"/>
            <w:tcBorders>
              <w:top w:val="single" w:sz="4" w:space="0" w:color="auto"/>
              <w:bottom w:val="single" w:sz="4" w:space="0" w:color="auto"/>
            </w:tcBorders>
          </w:tcPr>
          <w:p w14:paraId="074ABC1E" w14:textId="77777777" w:rsidR="00E93F58" w:rsidRPr="00D97EFB" w:rsidRDefault="00E93F58" w:rsidP="00264E01">
            <w:pPr>
              <w:pStyle w:val="Tabletext"/>
            </w:pPr>
            <w:r w:rsidRPr="00D97EFB">
              <w:t>130</w:t>
            </w:r>
          </w:p>
        </w:tc>
        <w:tc>
          <w:tcPr>
            <w:tcW w:w="4433" w:type="pct"/>
            <w:tcBorders>
              <w:top w:val="single" w:sz="4" w:space="0" w:color="auto"/>
              <w:bottom w:val="single" w:sz="4" w:space="0" w:color="auto"/>
            </w:tcBorders>
          </w:tcPr>
          <w:p w14:paraId="591F7B73" w14:textId="77777777" w:rsidR="00E93F58" w:rsidRPr="00D97EFB" w:rsidRDefault="00E93F58" w:rsidP="00264E01">
            <w:pPr>
              <w:pStyle w:val="Tabletext"/>
            </w:pPr>
            <w:r w:rsidRPr="00D97EFB">
              <w:t>University of South Australia</w:t>
            </w:r>
          </w:p>
        </w:tc>
      </w:tr>
      <w:tr w:rsidR="00E93F58" w:rsidRPr="00D97EFB" w14:paraId="08624BC3" w14:textId="77777777" w:rsidTr="005828AC">
        <w:tc>
          <w:tcPr>
            <w:tcW w:w="567" w:type="pct"/>
            <w:tcBorders>
              <w:top w:val="single" w:sz="4" w:space="0" w:color="auto"/>
              <w:bottom w:val="single" w:sz="4" w:space="0" w:color="auto"/>
            </w:tcBorders>
          </w:tcPr>
          <w:p w14:paraId="6CC18483" w14:textId="77777777" w:rsidR="00E93F58" w:rsidRPr="00D97EFB" w:rsidRDefault="00E93F58" w:rsidP="00264E01">
            <w:pPr>
              <w:pStyle w:val="Tabletext"/>
            </w:pPr>
            <w:r w:rsidRPr="00D97EFB">
              <w:t>131</w:t>
            </w:r>
          </w:p>
        </w:tc>
        <w:tc>
          <w:tcPr>
            <w:tcW w:w="4433" w:type="pct"/>
            <w:tcBorders>
              <w:top w:val="single" w:sz="4" w:space="0" w:color="auto"/>
              <w:bottom w:val="single" w:sz="4" w:space="0" w:color="auto"/>
            </w:tcBorders>
          </w:tcPr>
          <w:p w14:paraId="57057B91" w14:textId="77777777" w:rsidR="00E93F58" w:rsidRPr="00D97EFB" w:rsidRDefault="00E93F58" w:rsidP="00264E01">
            <w:pPr>
              <w:pStyle w:val="Tabletext"/>
            </w:pPr>
            <w:r w:rsidRPr="00D97EFB">
              <w:t xml:space="preserve">University of Southern Queensland </w:t>
            </w:r>
          </w:p>
        </w:tc>
      </w:tr>
      <w:tr w:rsidR="00E93F58" w:rsidRPr="00D97EFB" w14:paraId="056E237D" w14:textId="77777777" w:rsidTr="005828AC">
        <w:tc>
          <w:tcPr>
            <w:tcW w:w="567" w:type="pct"/>
            <w:tcBorders>
              <w:top w:val="single" w:sz="4" w:space="0" w:color="auto"/>
              <w:bottom w:val="single" w:sz="4" w:space="0" w:color="auto"/>
            </w:tcBorders>
          </w:tcPr>
          <w:p w14:paraId="3E012266" w14:textId="77777777" w:rsidR="00E93F58" w:rsidRPr="00D97EFB" w:rsidRDefault="00E93F58" w:rsidP="00264E01">
            <w:pPr>
              <w:pStyle w:val="Tabletext"/>
            </w:pPr>
            <w:r w:rsidRPr="00D97EFB">
              <w:t>132</w:t>
            </w:r>
          </w:p>
        </w:tc>
        <w:tc>
          <w:tcPr>
            <w:tcW w:w="4433" w:type="pct"/>
            <w:tcBorders>
              <w:top w:val="single" w:sz="4" w:space="0" w:color="auto"/>
              <w:bottom w:val="single" w:sz="4" w:space="0" w:color="auto"/>
            </w:tcBorders>
          </w:tcPr>
          <w:p w14:paraId="4C91837D" w14:textId="77777777" w:rsidR="00E93F58" w:rsidRPr="00D97EFB" w:rsidRDefault="00E93F58" w:rsidP="00264E01">
            <w:pPr>
              <w:pStyle w:val="Tabletext"/>
            </w:pPr>
            <w:r w:rsidRPr="00D97EFB">
              <w:t>University of Sydney</w:t>
            </w:r>
          </w:p>
        </w:tc>
      </w:tr>
      <w:tr w:rsidR="00E93F58" w:rsidRPr="00D97EFB" w14:paraId="7AC57120" w14:textId="77777777" w:rsidTr="005828AC">
        <w:tc>
          <w:tcPr>
            <w:tcW w:w="567" w:type="pct"/>
            <w:tcBorders>
              <w:top w:val="single" w:sz="4" w:space="0" w:color="auto"/>
              <w:bottom w:val="single" w:sz="4" w:space="0" w:color="auto"/>
            </w:tcBorders>
            <w:shd w:val="clear" w:color="auto" w:fill="auto"/>
          </w:tcPr>
          <w:p w14:paraId="6D54140D" w14:textId="77777777" w:rsidR="00E93F58" w:rsidRPr="00D97EFB" w:rsidRDefault="00E93F58" w:rsidP="00264E01">
            <w:pPr>
              <w:pStyle w:val="Tabletext"/>
            </w:pPr>
            <w:r w:rsidRPr="00D97EFB">
              <w:t>133</w:t>
            </w:r>
          </w:p>
        </w:tc>
        <w:tc>
          <w:tcPr>
            <w:tcW w:w="4433" w:type="pct"/>
            <w:tcBorders>
              <w:top w:val="single" w:sz="4" w:space="0" w:color="auto"/>
              <w:bottom w:val="single" w:sz="4" w:space="0" w:color="auto"/>
            </w:tcBorders>
            <w:shd w:val="clear" w:color="auto" w:fill="auto"/>
          </w:tcPr>
          <w:p w14:paraId="4D9225EA" w14:textId="77777777" w:rsidR="00E93F58" w:rsidRPr="00D97EFB" w:rsidRDefault="00E93F58" w:rsidP="00264E01">
            <w:pPr>
              <w:pStyle w:val="Tabletext"/>
            </w:pPr>
            <w:r w:rsidRPr="00D97EFB">
              <w:t>University of Tasmania</w:t>
            </w:r>
          </w:p>
        </w:tc>
      </w:tr>
      <w:tr w:rsidR="00E93F58" w:rsidRPr="00D97EFB" w14:paraId="7453482A" w14:textId="77777777" w:rsidTr="005828AC">
        <w:tc>
          <w:tcPr>
            <w:tcW w:w="567" w:type="pct"/>
            <w:tcBorders>
              <w:top w:val="single" w:sz="4" w:space="0" w:color="auto"/>
              <w:bottom w:val="single" w:sz="4" w:space="0" w:color="auto"/>
            </w:tcBorders>
          </w:tcPr>
          <w:p w14:paraId="0391C0C8" w14:textId="77777777" w:rsidR="00E93F58" w:rsidRPr="00D97EFB" w:rsidRDefault="00E93F58" w:rsidP="00264E01">
            <w:pPr>
              <w:pStyle w:val="Tabletext"/>
            </w:pPr>
            <w:r w:rsidRPr="00D97EFB">
              <w:t>134</w:t>
            </w:r>
          </w:p>
        </w:tc>
        <w:tc>
          <w:tcPr>
            <w:tcW w:w="4433" w:type="pct"/>
            <w:tcBorders>
              <w:top w:val="single" w:sz="4" w:space="0" w:color="auto"/>
              <w:bottom w:val="single" w:sz="4" w:space="0" w:color="auto"/>
            </w:tcBorders>
          </w:tcPr>
          <w:p w14:paraId="099D585B" w14:textId="77777777" w:rsidR="00E93F58" w:rsidRPr="00D97EFB" w:rsidRDefault="00E93F58" w:rsidP="00264E01">
            <w:pPr>
              <w:pStyle w:val="Tabletext"/>
            </w:pPr>
            <w:r w:rsidRPr="00D97EFB">
              <w:t>University of Technology, Sydney</w:t>
            </w:r>
          </w:p>
        </w:tc>
      </w:tr>
      <w:tr w:rsidR="00E93F58" w:rsidRPr="00D97EFB" w14:paraId="3FC00AE9" w14:textId="77777777" w:rsidTr="005828AC">
        <w:tc>
          <w:tcPr>
            <w:tcW w:w="567" w:type="pct"/>
            <w:tcBorders>
              <w:top w:val="single" w:sz="4" w:space="0" w:color="auto"/>
              <w:bottom w:val="single" w:sz="4" w:space="0" w:color="auto"/>
            </w:tcBorders>
          </w:tcPr>
          <w:p w14:paraId="3A045A6F" w14:textId="77777777" w:rsidR="00E93F58" w:rsidRPr="00D97EFB" w:rsidRDefault="00E93F58" w:rsidP="00264E01">
            <w:pPr>
              <w:pStyle w:val="Tabletext"/>
            </w:pPr>
            <w:r w:rsidRPr="00D97EFB">
              <w:t>135</w:t>
            </w:r>
          </w:p>
        </w:tc>
        <w:tc>
          <w:tcPr>
            <w:tcW w:w="4433" w:type="pct"/>
            <w:tcBorders>
              <w:top w:val="single" w:sz="4" w:space="0" w:color="auto"/>
              <w:bottom w:val="single" w:sz="4" w:space="0" w:color="auto"/>
            </w:tcBorders>
          </w:tcPr>
          <w:p w14:paraId="540E32CF" w14:textId="77777777" w:rsidR="00E93F58" w:rsidRPr="00D97EFB" w:rsidRDefault="00E93F58" w:rsidP="00264E01">
            <w:pPr>
              <w:pStyle w:val="Tabletext"/>
            </w:pPr>
            <w:r w:rsidRPr="00D97EFB">
              <w:t>University of the Sunshine Coast</w:t>
            </w:r>
          </w:p>
        </w:tc>
      </w:tr>
      <w:tr w:rsidR="00E93F58" w:rsidRPr="00D97EFB" w14:paraId="59AF0DDD" w14:textId="77777777" w:rsidTr="005828AC">
        <w:tc>
          <w:tcPr>
            <w:tcW w:w="567" w:type="pct"/>
            <w:tcBorders>
              <w:top w:val="single" w:sz="4" w:space="0" w:color="auto"/>
              <w:bottom w:val="single" w:sz="4" w:space="0" w:color="auto"/>
            </w:tcBorders>
          </w:tcPr>
          <w:p w14:paraId="456F7312" w14:textId="77777777" w:rsidR="00E93F58" w:rsidRPr="00D97EFB" w:rsidRDefault="00E93F58" w:rsidP="00264E01">
            <w:pPr>
              <w:pStyle w:val="Tabletext"/>
            </w:pPr>
            <w:r w:rsidRPr="00D97EFB">
              <w:t>136</w:t>
            </w:r>
          </w:p>
        </w:tc>
        <w:tc>
          <w:tcPr>
            <w:tcW w:w="4433" w:type="pct"/>
            <w:tcBorders>
              <w:top w:val="single" w:sz="4" w:space="0" w:color="auto"/>
              <w:bottom w:val="single" w:sz="4" w:space="0" w:color="auto"/>
            </w:tcBorders>
          </w:tcPr>
          <w:p w14:paraId="5F9E5EFE" w14:textId="77777777" w:rsidR="00E93F58" w:rsidRPr="00D97EFB" w:rsidRDefault="00E93F58" w:rsidP="00264E01">
            <w:pPr>
              <w:pStyle w:val="Tabletext"/>
            </w:pPr>
            <w:r w:rsidRPr="00D97EFB">
              <w:t>University of Western Australia</w:t>
            </w:r>
          </w:p>
        </w:tc>
      </w:tr>
      <w:tr w:rsidR="00E93F58" w:rsidRPr="00D97EFB" w14:paraId="1C24CE16" w14:textId="77777777" w:rsidTr="005828AC">
        <w:tc>
          <w:tcPr>
            <w:tcW w:w="567" w:type="pct"/>
            <w:tcBorders>
              <w:top w:val="single" w:sz="4" w:space="0" w:color="auto"/>
              <w:bottom w:val="single" w:sz="4" w:space="0" w:color="auto"/>
            </w:tcBorders>
          </w:tcPr>
          <w:p w14:paraId="2BB3BE17" w14:textId="77777777" w:rsidR="00E93F58" w:rsidRPr="00D97EFB" w:rsidRDefault="00E93F58" w:rsidP="00264E01">
            <w:pPr>
              <w:pStyle w:val="Tabletext"/>
            </w:pPr>
            <w:r w:rsidRPr="00D97EFB">
              <w:t>137</w:t>
            </w:r>
          </w:p>
        </w:tc>
        <w:tc>
          <w:tcPr>
            <w:tcW w:w="4433" w:type="pct"/>
            <w:tcBorders>
              <w:top w:val="single" w:sz="4" w:space="0" w:color="auto"/>
              <w:bottom w:val="single" w:sz="4" w:space="0" w:color="auto"/>
            </w:tcBorders>
          </w:tcPr>
          <w:p w14:paraId="299033ED" w14:textId="77777777" w:rsidR="00E93F58" w:rsidRPr="00D97EFB" w:rsidRDefault="00E93F58" w:rsidP="00264E01">
            <w:pPr>
              <w:pStyle w:val="Tabletext"/>
            </w:pPr>
            <w:r w:rsidRPr="00D97EFB">
              <w:t xml:space="preserve">University of Western Sydney </w:t>
            </w:r>
          </w:p>
        </w:tc>
      </w:tr>
      <w:tr w:rsidR="00E93F58" w:rsidRPr="00D97EFB" w14:paraId="39A5A672" w14:textId="77777777" w:rsidTr="005828AC">
        <w:tc>
          <w:tcPr>
            <w:tcW w:w="567" w:type="pct"/>
            <w:tcBorders>
              <w:top w:val="single" w:sz="4" w:space="0" w:color="auto"/>
              <w:bottom w:val="single" w:sz="4" w:space="0" w:color="auto"/>
            </w:tcBorders>
          </w:tcPr>
          <w:p w14:paraId="4B02E44E" w14:textId="77777777" w:rsidR="00E93F58" w:rsidRPr="00D97EFB" w:rsidRDefault="00E93F58" w:rsidP="00264E01">
            <w:pPr>
              <w:pStyle w:val="Tabletext"/>
            </w:pPr>
            <w:r w:rsidRPr="00D97EFB">
              <w:t>138</w:t>
            </w:r>
          </w:p>
        </w:tc>
        <w:tc>
          <w:tcPr>
            <w:tcW w:w="4433" w:type="pct"/>
            <w:tcBorders>
              <w:top w:val="single" w:sz="4" w:space="0" w:color="auto"/>
              <w:bottom w:val="single" w:sz="4" w:space="0" w:color="auto"/>
            </w:tcBorders>
          </w:tcPr>
          <w:p w14:paraId="48FD54A9" w14:textId="77777777" w:rsidR="00E93F58" w:rsidRPr="00D97EFB" w:rsidRDefault="00E93F58" w:rsidP="00264E01">
            <w:pPr>
              <w:pStyle w:val="Tabletext"/>
            </w:pPr>
            <w:r w:rsidRPr="00D97EFB">
              <w:t>University of Wollongong</w:t>
            </w:r>
          </w:p>
        </w:tc>
      </w:tr>
      <w:tr w:rsidR="00E93F58" w:rsidRPr="00D97EFB" w14:paraId="72677492" w14:textId="77777777" w:rsidTr="005828AC">
        <w:tc>
          <w:tcPr>
            <w:tcW w:w="567" w:type="pct"/>
            <w:tcBorders>
              <w:top w:val="single" w:sz="4" w:space="0" w:color="auto"/>
              <w:bottom w:val="single" w:sz="12" w:space="0" w:color="auto"/>
            </w:tcBorders>
          </w:tcPr>
          <w:p w14:paraId="22EF2F18" w14:textId="77777777" w:rsidR="00E93F58" w:rsidRPr="00D97EFB" w:rsidRDefault="00E93F58" w:rsidP="00264E01">
            <w:pPr>
              <w:pStyle w:val="Tabletext"/>
            </w:pPr>
            <w:r w:rsidRPr="00D97EFB">
              <w:t>139</w:t>
            </w:r>
          </w:p>
        </w:tc>
        <w:tc>
          <w:tcPr>
            <w:tcW w:w="4433" w:type="pct"/>
            <w:tcBorders>
              <w:top w:val="single" w:sz="4" w:space="0" w:color="auto"/>
              <w:bottom w:val="single" w:sz="12" w:space="0" w:color="auto"/>
            </w:tcBorders>
          </w:tcPr>
          <w:p w14:paraId="4CEE70BA" w14:textId="77777777" w:rsidR="00E93F58" w:rsidRPr="00D97EFB" w:rsidRDefault="00E93F58" w:rsidP="00264E01">
            <w:pPr>
              <w:pStyle w:val="Tabletext"/>
            </w:pPr>
            <w:r w:rsidRPr="00D97EFB">
              <w:t>Victoria University</w:t>
            </w:r>
          </w:p>
        </w:tc>
      </w:tr>
      <w:tr w:rsidR="00E93F58" w:rsidRPr="00D97EFB" w14:paraId="1584E0BD" w14:textId="77777777" w:rsidTr="005828AC">
        <w:tc>
          <w:tcPr>
            <w:tcW w:w="567" w:type="pct"/>
            <w:tcBorders>
              <w:top w:val="single" w:sz="12" w:space="0" w:color="auto"/>
              <w:bottom w:val="single" w:sz="12" w:space="0" w:color="auto"/>
            </w:tcBorders>
          </w:tcPr>
          <w:p w14:paraId="05EFFF8D" w14:textId="77777777" w:rsidR="00E93F58" w:rsidRPr="00D97EFB" w:rsidRDefault="00E93F58" w:rsidP="00214218">
            <w:pPr>
              <w:pStyle w:val="TableHeading"/>
              <w:spacing w:before="240"/>
            </w:pPr>
            <w:r w:rsidRPr="00D97EFB">
              <w:t>Part 2</w:t>
            </w:r>
          </w:p>
        </w:tc>
        <w:tc>
          <w:tcPr>
            <w:tcW w:w="4433" w:type="pct"/>
            <w:tcBorders>
              <w:top w:val="single" w:sz="12" w:space="0" w:color="auto"/>
              <w:bottom w:val="single" w:sz="12" w:space="0" w:color="auto"/>
            </w:tcBorders>
          </w:tcPr>
          <w:p w14:paraId="632B7719" w14:textId="77777777" w:rsidR="00E93F58" w:rsidRPr="00D97EFB" w:rsidRDefault="00E93F58" w:rsidP="00214218">
            <w:pPr>
              <w:pStyle w:val="TableHeading"/>
              <w:spacing w:before="240"/>
            </w:pPr>
            <w:r w:rsidRPr="00D97EFB">
              <w:t>Institution</w:t>
            </w:r>
          </w:p>
        </w:tc>
      </w:tr>
      <w:tr w:rsidR="00E93F58" w:rsidRPr="00D97EFB" w14:paraId="76D351E1" w14:textId="77777777" w:rsidTr="005828AC">
        <w:tc>
          <w:tcPr>
            <w:tcW w:w="567" w:type="pct"/>
            <w:tcBorders>
              <w:top w:val="single" w:sz="12" w:space="0" w:color="auto"/>
              <w:bottom w:val="single" w:sz="12" w:space="0" w:color="auto"/>
            </w:tcBorders>
          </w:tcPr>
          <w:p w14:paraId="25AE604B" w14:textId="77777777" w:rsidR="00E93F58" w:rsidRPr="00D97EFB" w:rsidRDefault="00E93F58" w:rsidP="008A43ED">
            <w:pPr>
              <w:pStyle w:val="Tabletext"/>
            </w:pPr>
            <w:r w:rsidRPr="00D97EFB">
              <w:t>201</w:t>
            </w:r>
          </w:p>
        </w:tc>
        <w:tc>
          <w:tcPr>
            <w:tcW w:w="4433" w:type="pct"/>
            <w:tcBorders>
              <w:top w:val="single" w:sz="12" w:space="0" w:color="auto"/>
              <w:bottom w:val="single" w:sz="12" w:space="0" w:color="auto"/>
            </w:tcBorders>
          </w:tcPr>
          <w:p w14:paraId="2DB0E87A" w14:textId="77777777" w:rsidR="00E93F58" w:rsidRPr="00D97EFB" w:rsidRDefault="00E93F58" w:rsidP="008A43ED">
            <w:pPr>
              <w:pStyle w:val="Tabletext"/>
            </w:pPr>
            <w:r w:rsidRPr="00D97EFB">
              <w:t>Avondale College</w:t>
            </w:r>
          </w:p>
        </w:tc>
      </w:tr>
    </w:tbl>
    <w:p w14:paraId="23F92278" w14:textId="77777777" w:rsidR="00E93F58" w:rsidRPr="00D97EFB" w:rsidRDefault="00E93F58" w:rsidP="00BB7E31">
      <w:pPr>
        <w:pStyle w:val="ActHead5"/>
      </w:pPr>
      <w:bookmarkStart w:id="2246" w:name="_Toc151994402"/>
      <w:bookmarkStart w:id="2247" w:name="_Toc158712912"/>
      <w:r w:rsidRPr="000D40D5">
        <w:rPr>
          <w:rStyle w:val="CharSectno"/>
        </w:rPr>
        <w:t>9.2.03</w:t>
      </w:r>
      <w:r w:rsidRPr="00D97EFB">
        <w:t xml:space="preserve">  Prescribed courses (Act s 1280(2A))</w:t>
      </w:r>
      <w:bookmarkEnd w:id="2246"/>
      <w:bookmarkEnd w:id="2247"/>
    </w:p>
    <w:p w14:paraId="27AC27A4" w14:textId="77777777" w:rsidR="00E93F58" w:rsidRPr="00D97EFB" w:rsidRDefault="00E93F58" w:rsidP="00BB7E31">
      <w:pPr>
        <w:pStyle w:val="subsection"/>
      </w:pPr>
      <w:r w:rsidRPr="00D97EFB">
        <w:tab/>
      </w:r>
      <w:r w:rsidRPr="00D97EFB">
        <w:tab/>
        <w:t>For paragraph 1280(2A)(c) of the Act, the courses prescribed are:</w:t>
      </w:r>
    </w:p>
    <w:p w14:paraId="12799473" w14:textId="77777777" w:rsidR="00E93F58" w:rsidRPr="00D97EFB" w:rsidRDefault="00E93F58" w:rsidP="00BB7E31">
      <w:pPr>
        <w:pStyle w:val="paragraph"/>
      </w:pPr>
      <w:r w:rsidRPr="00D97EFB">
        <w:tab/>
        <w:t>(a)</w:t>
      </w:r>
      <w:r w:rsidRPr="00D97EFB">
        <w:tab/>
        <w:t>the following courses conducted by The Institute of Chartered Accountants in Australia:</w:t>
      </w:r>
    </w:p>
    <w:p w14:paraId="5D40B965" w14:textId="77777777" w:rsidR="00E93F58" w:rsidRPr="00D97EFB" w:rsidRDefault="00E93F58" w:rsidP="00BB7E31">
      <w:pPr>
        <w:pStyle w:val="paragraphsub"/>
      </w:pPr>
      <w:r w:rsidRPr="00D97EFB">
        <w:tab/>
        <w:t>(i)</w:t>
      </w:r>
      <w:r w:rsidRPr="00D97EFB">
        <w:tab/>
        <w:t>Audit and Assurance in the CA Program;</w:t>
      </w:r>
    </w:p>
    <w:p w14:paraId="17154BAF" w14:textId="77777777" w:rsidR="00E93F58" w:rsidRPr="00D97EFB" w:rsidRDefault="00E93F58" w:rsidP="00BB7E31">
      <w:pPr>
        <w:pStyle w:val="paragraphsub"/>
      </w:pPr>
      <w:r w:rsidRPr="00D97EFB">
        <w:tab/>
        <w:t>(ii)</w:t>
      </w:r>
      <w:r w:rsidRPr="00D97EFB">
        <w:tab/>
        <w:t>Financial Reporting and Assurance in the CA Program;</w:t>
      </w:r>
    </w:p>
    <w:p w14:paraId="270532F2" w14:textId="77777777" w:rsidR="00E93F58" w:rsidRPr="00D97EFB" w:rsidRDefault="00E93F58" w:rsidP="00BB7E31">
      <w:pPr>
        <w:pStyle w:val="paragraphsub"/>
      </w:pPr>
      <w:r w:rsidRPr="00D97EFB">
        <w:tab/>
        <w:t>(iii)</w:t>
      </w:r>
      <w:r w:rsidRPr="00D97EFB">
        <w:tab/>
        <w:t>Accounting 2 in the Professional Year Program;</w:t>
      </w:r>
    </w:p>
    <w:p w14:paraId="0D803480" w14:textId="77777777" w:rsidR="00E93F58" w:rsidRPr="00D97EFB" w:rsidRDefault="00E93F58" w:rsidP="00BB7E31">
      <w:pPr>
        <w:pStyle w:val="paragraphsub"/>
      </w:pPr>
      <w:r w:rsidRPr="00D97EFB">
        <w:tab/>
        <w:t>(iv)</w:t>
      </w:r>
      <w:r w:rsidRPr="00D97EFB">
        <w:tab/>
        <w:t>Audit and EDP Module in the Professional Year Program;</w:t>
      </w:r>
    </w:p>
    <w:p w14:paraId="0A6ACA07" w14:textId="77777777" w:rsidR="00E93F58" w:rsidRPr="00D97EFB" w:rsidRDefault="00E93F58" w:rsidP="00BB7E31">
      <w:pPr>
        <w:pStyle w:val="paragraphsub"/>
      </w:pPr>
      <w:r w:rsidRPr="00D97EFB">
        <w:tab/>
        <w:t>(v)</w:t>
      </w:r>
      <w:r w:rsidRPr="00D97EFB">
        <w:tab/>
        <w:t>an audit module in the Professional Year Program conducted before 1986 that is equivalent to a course mentioned in subparagraph (i), (ii), (iii) or (iv); and</w:t>
      </w:r>
    </w:p>
    <w:p w14:paraId="3DD51282" w14:textId="77777777" w:rsidR="00E93F58" w:rsidRPr="00D97EFB" w:rsidRDefault="00E93F58" w:rsidP="00BB7E31">
      <w:pPr>
        <w:pStyle w:val="paragraph"/>
      </w:pPr>
      <w:r w:rsidRPr="00D97EFB">
        <w:tab/>
        <w:t>(b)</w:t>
      </w:r>
      <w:r w:rsidRPr="00D97EFB">
        <w:tab/>
        <w:t>the following courses in the CPA Program conducted by CPA Australia:</w:t>
      </w:r>
    </w:p>
    <w:p w14:paraId="3233E643" w14:textId="77777777" w:rsidR="00E93F58" w:rsidRPr="00D97EFB" w:rsidRDefault="00E93F58" w:rsidP="00BB7E31">
      <w:pPr>
        <w:pStyle w:val="paragraphsub"/>
      </w:pPr>
      <w:r w:rsidRPr="00D97EFB">
        <w:tab/>
        <w:t>(i)</w:t>
      </w:r>
      <w:r w:rsidRPr="00D97EFB">
        <w:tab/>
        <w:t>Assurance Services and Auditing;</w:t>
      </w:r>
    </w:p>
    <w:p w14:paraId="0C155470" w14:textId="77777777" w:rsidR="00E93F58" w:rsidRPr="00D97EFB" w:rsidRDefault="00E93F58" w:rsidP="00BB7E31">
      <w:pPr>
        <w:pStyle w:val="paragraphsub"/>
      </w:pPr>
      <w:r w:rsidRPr="00D97EFB">
        <w:tab/>
        <w:t>(ii)</w:t>
      </w:r>
      <w:r w:rsidRPr="00D97EFB">
        <w:tab/>
        <w:t>Advanced Audit and Assurance; and</w:t>
      </w:r>
    </w:p>
    <w:p w14:paraId="2954F3BA" w14:textId="77777777" w:rsidR="00E93F58" w:rsidRPr="00D97EFB" w:rsidRDefault="00E93F58" w:rsidP="00BB7E31">
      <w:pPr>
        <w:pStyle w:val="paragraph"/>
      </w:pPr>
      <w:r w:rsidRPr="00D97EFB">
        <w:tab/>
        <w:t>(c)</w:t>
      </w:r>
      <w:r w:rsidRPr="00D97EFB">
        <w:tab/>
        <w:t>the following courses conducted by, or on behalf of, the National Institute of Accountants:</w:t>
      </w:r>
    </w:p>
    <w:p w14:paraId="3B16F266" w14:textId="77777777" w:rsidR="00E93F58" w:rsidRPr="00D97EFB" w:rsidRDefault="00E93F58" w:rsidP="00BB7E31">
      <w:pPr>
        <w:pStyle w:val="paragraphsub"/>
      </w:pPr>
      <w:r w:rsidRPr="00D97EFB">
        <w:tab/>
        <w:t>(i)</w:t>
      </w:r>
      <w:r w:rsidRPr="00D97EFB">
        <w:tab/>
        <w:t>Issues in Auditing and Professional Practice in the Graduate Certificate in Professional Accounting, offered by the University of New England in conjunction with the National Institute of Accountants;</w:t>
      </w:r>
    </w:p>
    <w:p w14:paraId="7A5E05FF" w14:textId="77777777" w:rsidR="00E93F58" w:rsidRPr="00D97EFB" w:rsidRDefault="00E93F58" w:rsidP="00BB7E31">
      <w:pPr>
        <w:pStyle w:val="paragraphsub"/>
      </w:pPr>
      <w:r w:rsidRPr="00D97EFB">
        <w:tab/>
        <w:t>(ii)</w:t>
      </w:r>
      <w:r w:rsidRPr="00D97EFB">
        <w:tab/>
        <w:t>Issues in Auditing and Professional Practice in the Degree of Master of Commerce (Professional Accounting), offered by the University of New England in conjunction with the National Institute of Accountants.</w:t>
      </w:r>
    </w:p>
    <w:p w14:paraId="04190AC4" w14:textId="77777777" w:rsidR="00E93F58" w:rsidRPr="00D97EFB" w:rsidRDefault="00E93F58" w:rsidP="00C0664B">
      <w:pPr>
        <w:pStyle w:val="ActHead3"/>
        <w:pageBreakBefore/>
      </w:pPr>
      <w:bookmarkStart w:id="2248" w:name="_Toc151994403"/>
      <w:bookmarkStart w:id="2249" w:name="_Toc158712913"/>
      <w:r w:rsidRPr="000D40D5">
        <w:rPr>
          <w:rStyle w:val="CharDivNo"/>
        </w:rPr>
        <w:lastRenderedPageBreak/>
        <w:t>Division 2A</w:t>
      </w:r>
      <w:r w:rsidRPr="00D97EFB">
        <w:t>—</w:t>
      </w:r>
      <w:r w:rsidRPr="000D40D5">
        <w:rPr>
          <w:rStyle w:val="CharDivText"/>
        </w:rPr>
        <w:t>Conditions on registration</w:t>
      </w:r>
      <w:bookmarkEnd w:id="2248"/>
      <w:bookmarkEnd w:id="2249"/>
    </w:p>
    <w:p w14:paraId="4FBEAFE2" w14:textId="77777777" w:rsidR="00E93F58" w:rsidRPr="00D97EFB" w:rsidRDefault="00E93F58" w:rsidP="00BB7E31">
      <w:pPr>
        <w:pStyle w:val="ActHead5"/>
      </w:pPr>
      <w:bookmarkStart w:id="2250" w:name="_Toc151994404"/>
      <w:bookmarkStart w:id="2251" w:name="_Toc158712914"/>
      <w:r w:rsidRPr="000D40D5">
        <w:rPr>
          <w:rStyle w:val="CharSectno"/>
        </w:rPr>
        <w:t>9.2.08</w:t>
      </w:r>
      <w:r w:rsidRPr="00D97EFB">
        <w:t xml:space="preserve">  Kinds of conditions (Act s 1289A)</w:t>
      </w:r>
      <w:bookmarkEnd w:id="2250"/>
      <w:bookmarkEnd w:id="2251"/>
    </w:p>
    <w:p w14:paraId="616E5128" w14:textId="77777777" w:rsidR="00E93F58" w:rsidRPr="00D97EFB" w:rsidRDefault="00E93F58" w:rsidP="00BB7E31">
      <w:pPr>
        <w:pStyle w:val="subsection"/>
      </w:pPr>
      <w:r w:rsidRPr="00D97EFB">
        <w:tab/>
      </w:r>
      <w:r w:rsidRPr="00D97EFB">
        <w:tab/>
        <w:t>For subsection 1289A(1) of the Act, the following kinds of conditions are specified:</w:t>
      </w:r>
    </w:p>
    <w:p w14:paraId="602C667D" w14:textId="77777777" w:rsidR="00E93F58" w:rsidRPr="00D97EFB" w:rsidRDefault="00E93F58" w:rsidP="00BB7E31">
      <w:pPr>
        <w:pStyle w:val="paragraph"/>
      </w:pPr>
      <w:r w:rsidRPr="00D97EFB">
        <w:tab/>
        <w:t>(a)</w:t>
      </w:r>
      <w:r w:rsidRPr="00D97EFB">
        <w:tab/>
        <w:t>conditions relating to the minimum amount and nature of continuing or other professional education that must be undertaken by a registered company auditor;</w:t>
      </w:r>
    </w:p>
    <w:p w14:paraId="2264A606" w14:textId="77777777" w:rsidR="00E93F58" w:rsidRPr="00D97EFB" w:rsidRDefault="00E93F58" w:rsidP="00BB7E31">
      <w:pPr>
        <w:pStyle w:val="paragraph"/>
      </w:pPr>
      <w:r w:rsidRPr="00D97EFB">
        <w:tab/>
        <w:t>(b)</w:t>
      </w:r>
      <w:r w:rsidRPr="00D97EFB">
        <w:tab/>
        <w:t>conditions relating to the periodic or other review of the audit and audit</w:t>
      </w:r>
      <w:r>
        <w:noBreakHyphen/>
      </w:r>
      <w:r w:rsidRPr="00D97EFB">
        <w:t>related work of a registered company auditor as part of a quality assurance or review program;</w:t>
      </w:r>
    </w:p>
    <w:p w14:paraId="0A41FB24" w14:textId="77777777" w:rsidR="00E93F58" w:rsidRPr="00D97EFB" w:rsidRDefault="00E93F58" w:rsidP="00BB7E31">
      <w:pPr>
        <w:pStyle w:val="paragraph"/>
      </w:pPr>
      <w:r w:rsidRPr="00D97EFB">
        <w:tab/>
        <w:t>(c)</w:t>
      </w:r>
      <w:r w:rsidRPr="00D97EFB">
        <w:tab/>
        <w:t>conditions relating to having a current policy of professional indemnity insurance for claims against a registered company auditor in relation to audits conducted under the Act;</w:t>
      </w:r>
    </w:p>
    <w:p w14:paraId="204C4815" w14:textId="77777777" w:rsidR="00E93F58" w:rsidRPr="00D97EFB" w:rsidRDefault="00E93F58" w:rsidP="00BB7E31">
      <w:pPr>
        <w:pStyle w:val="paragraph"/>
      </w:pPr>
      <w:r w:rsidRPr="00D97EFB">
        <w:tab/>
        <w:t>(d)</w:t>
      </w:r>
      <w:r w:rsidRPr="00D97EFB">
        <w:tab/>
        <w:t>conditions relating to establishing and maintaining a system for resolving complaints made against a registered company auditor by audit clients in relation to audits conducted under the Act.</w:t>
      </w:r>
    </w:p>
    <w:p w14:paraId="2976035B" w14:textId="77777777" w:rsidR="00E93F58" w:rsidRPr="00D97EFB" w:rsidRDefault="00E93F58" w:rsidP="00BB7E31">
      <w:pPr>
        <w:pStyle w:val="ActHead2"/>
        <w:pageBreakBefore/>
      </w:pPr>
      <w:bookmarkStart w:id="2252" w:name="_Toc151994405"/>
      <w:bookmarkStart w:id="2253" w:name="_Toc158712915"/>
      <w:r w:rsidRPr="000D40D5">
        <w:rPr>
          <w:rStyle w:val="CharPartNo"/>
        </w:rPr>
        <w:lastRenderedPageBreak/>
        <w:t>Part 9.2A</w:t>
      </w:r>
      <w:r w:rsidRPr="00D97EFB">
        <w:t>—</w:t>
      </w:r>
      <w:r w:rsidRPr="000D40D5">
        <w:rPr>
          <w:rStyle w:val="CharPartText"/>
        </w:rPr>
        <w:t>Authorised audit companies</w:t>
      </w:r>
      <w:bookmarkEnd w:id="2252"/>
      <w:bookmarkEnd w:id="2253"/>
    </w:p>
    <w:p w14:paraId="2F6B769A" w14:textId="77777777" w:rsidR="00E93F58" w:rsidRPr="00D97EFB" w:rsidRDefault="00E93F58" w:rsidP="00BB7E31">
      <w:pPr>
        <w:pStyle w:val="ActHead3"/>
      </w:pPr>
      <w:bookmarkStart w:id="2254" w:name="_Toc151994406"/>
      <w:bookmarkStart w:id="2255" w:name="_Toc158712916"/>
      <w:r w:rsidRPr="000D40D5">
        <w:rPr>
          <w:rStyle w:val="CharDivNo"/>
        </w:rPr>
        <w:t>Division 1</w:t>
      </w:r>
      <w:r w:rsidRPr="00D97EFB">
        <w:t>—</w:t>
      </w:r>
      <w:r w:rsidRPr="000D40D5">
        <w:rPr>
          <w:rStyle w:val="CharDivText"/>
        </w:rPr>
        <w:t>Registration</w:t>
      </w:r>
      <w:bookmarkEnd w:id="2254"/>
      <w:bookmarkEnd w:id="2255"/>
    </w:p>
    <w:p w14:paraId="48B1C2CB" w14:textId="77777777" w:rsidR="00E93F58" w:rsidRPr="00D97EFB" w:rsidRDefault="00E93F58" w:rsidP="00BB7E31">
      <w:pPr>
        <w:pStyle w:val="ActHead5"/>
      </w:pPr>
      <w:bookmarkStart w:id="2256" w:name="_Toc151994407"/>
      <w:bookmarkStart w:id="2257" w:name="_Toc158712917"/>
      <w:r w:rsidRPr="000D40D5">
        <w:rPr>
          <w:rStyle w:val="CharSectno"/>
        </w:rPr>
        <w:t>9.2A.01</w:t>
      </w:r>
      <w:r w:rsidRPr="00D97EFB">
        <w:t xml:space="preserve">  Application for registration as authorised audit company (Act s 1299A)</w:t>
      </w:r>
      <w:bookmarkEnd w:id="2256"/>
      <w:bookmarkEnd w:id="2257"/>
    </w:p>
    <w:p w14:paraId="668ABF35" w14:textId="77777777" w:rsidR="00E93F58" w:rsidRPr="00D97EFB" w:rsidRDefault="00E93F58" w:rsidP="00BB7E31">
      <w:pPr>
        <w:pStyle w:val="subsection"/>
      </w:pPr>
      <w:r w:rsidRPr="00D97EFB">
        <w:tab/>
      </w:r>
      <w:r w:rsidRPr="00D97EFB">
        <w:tab/>
        <w:t>For subsection 1299A(2) of the Act, the information is:</w:t>
      </w:r>
    </w:p>
    <w:p w14:paraId="73D64FCF" w14:textId="77777777" w:rsidR="00E93F58" w:rsidRPr="00D97EFB" w:rsidRDefault="00E93F58" w:rsidP="00BB7E31">
      <w:pPr>
        <w:pStyle w:val="paragraph"/>
      </w:pPr>
      <w:r w:rsidRPr="00D97EFB">
        <w:tab/>
        <w:t>(a)</w:t>
      </w:r>
      <w:r w:rsidRPr="00D97EFB">
        <w:tab/>
        <w:t>the following information about the applicant:</w:t>
      </w:r>
    </w:p>
    <w:p w14:paraId="7FC0A631" w14:textId="77777777" w:rsidR="00E93F58" w:rsidRPr="00D97EFB" w:rsidRDefault="00E93F58" w:rsidP="00BB7E31">
      <w:pPr>
        <w:pStyle w:val="paragraphsub"/>
      </w:pPr>
      <w:r w:rsidRPr="00D97EFB">
        <w:tab/>
        <w:t>(i)</w:t>
      </w:r>
      <w:r w:rsidRPr="00D97EFB">
        <w:tab/>
        <w:t>the applicant’s name;</w:t>
      </w:r>
    </w:p>
    <w:p w14:paraId="1CB49885" w14:textId="77777777" w:rsidR="00E93F58" w:rsidRPr="00D97EFB" w:rsidRDefault="00E93F58" w:rsidP="00BB7E31">
      <w:pPr>
        <w:pStyle w:val="paragraphsub"/>
      </w:pPr>
      <w:r w:rsidRPr="00D97EFB">
        <w:tab/>
        <w:t>(ii)</w:t>
      </w:r>
      <w:r w:rsidRPr="00D97EFB">
        <w:tab/>
        <w:t>the applicant’s ABN or ACN;</w:t>
      </w:r>
    </w:p>
    <w:p w14:paraId="574BDD63" w14:textId="77777777" w:rsidR="00E93F58" w:rsidRPr="00D97EFB" w:rsidRDefault="00E93F58" w:rsidP="00BB7E31">
      <w:pPr>
        <w:pStyle w:val="paragraphsub"/>
      </w:pPr>
      <w:r w:rsidRPr="00D97EFB">
        <w:tab/>
        <w:t>(iii)</w:t>
      </w:r>
      <w:r w:rsidRPr="00D97EFB">
        <w:tab/>
        <w:t>the address of the applicant’s registered office;</w:t>
      </w:r>
    </w:p>
    <w:p w14:paraId="14790C37" w14:textId="77777777" w:rsidR="00E93F58" w:rsidRPr="00D97EFB" w:rsidRDefault="00E93F58" w:rsidP="00BB7E31">
      <w:pPr>
        <w:pStyle w:val="paragraphsub"/>
      </w:pPr>
      <w:r w:rsidRPr="00D97EFB">
        <w:tab/>
        <w:t>(iv)</w:t>
      </w:r>
      <w:r w:rsidRPr="00D97EFB">
        <w:tab/>
        <w:t>the address of the principal place at which the applicant proposes to practise as an auditor;</w:t>
      </w:r>
    </w:p>
    <w:p w14:paraId="02D64704" w14:textId="77777777" w:rsidR="00E93F58" w:rsidRPr="00D97EFB" w:rsidRDefault="00E93F58" w:rsidP="00BB7E31">
      <w:pPr>
        <w:pStyle w:val="paragraphsub"/>
      </w:pPr>
      <w:r w:rsidRPr="00D97EFB">
        <w:tab/>
        <w:t>(v)</w:t>
      </w:r>
      <w:r w:rsidRPr="00D97EFB">
        <w:tab/>
        <w:t>the address of each other place (if any) at which the applicant proposes to practise as an auditor; and</w:t>
      </w:r>
    </w:p>
    <w:p w14:paraId="716F1E4C" w14:textId="77777777" w:rsidR="00E93F58" w:rsidRPr="00D97EFB" w:rsidRDefault="00E93F58" w:rsidP="00BB7E31">
      <w:pPr>
        <w:pStyle w:val="paragraph"/>
      </w:pPr>
      <w:r w:rsidRPr="00D97EFB">
        <w:tab/>
        <w:t>(b)</w:t>
      </w:r>
      <w:r w:rsidRPr="00D97EFB">
        <w:tab/>
        <w:t>the following information about each director of the applicant:</w:t>
      </w:r>
    </w:p>
    <w:p w14:paraId="4EEA2C24" w14:textId="77777777" w:rsidR="00E93F58" w:rsidRPr="00D97EFB" w:rsidRDefault="00E93F58" w:rsidP="00BB7E31">
      <w:pPr>
        <w:pStyle w:val="paragraphsub"/>
      </w:pPr>
      <w:r w:rsidRPr="00D97EFB">
        <w:tab/>
        <w:t>(i)</w:t>
      </w:r>
      <w:r w:rsidRPr="00D97EFB">
        <w:tab/>
        <w:t>the director’s name and address;</w:t>
      </w:r>
    </w:p>
    <w:p w14:paraId="08AC4C74" w14:textId="77777777" w:rsidR="00E93F58" w:rsidRPr="00D97EFB" w:rsidRDefault="00E93F58" w:rsidP="00BB7E31">
      <w:pPr>
        <w:pStyle w:val="paragraphsub"/>
      </w:pPr>
      <w:r w:rsidRPr="00D97EFB">
        <w:tab/>
        <w:t>(ii)</w:t>
      </w:r>
      <w:r w:rsidRPr="00D97EFB">
        <w:tab/>
        <w:t>the director’s registration number as a registered company auditor; and</w:t>
      </w:r>
    </w:p>
    <w:p w14:paraId="54FDBCC8" w14:textId="77777777" w:rsidR="00E93F58" w:rsidRPr="00D97EFB" w:rsidRDefault="00E93F58" w:rsidP="00BB7E31">
      <w:pPr>
        <w:pStyle w:val="paragraph"/>
      </w:pPr>
      <w:r w:rsidRPr="00D97EFB">
        <w:tab/>
        <w:t>(c)</w:t>
      </w:r>
      <w:r w:rsidRPr="00D97EFB">
        <w:tab/>
        <w:t>the following statements:</w:t>
      </w:r>
    </w:p>
    <w:p w14:paraId="254018CD" w14:textId="77777777" w:rsidR="00E93F58" w:rsidRPr="00D97EFB" w:rsidRDefault="00E93F58" w:rsidP="00BB7E31">
      <w:pPr>
        <w:pStyle w:val="paragraphsub"/>
      </w:pPr>
      <w:r w:rsidRPr="00D97EFB">
        <w:tab/>
        <w:t>(i)</w:t>
      </w:r>
      <w:r w:rsidRPr="00D97EFB">
        <w:tab/>
        <w:t>a statement to the effect that none of the directors of the applicant have been disqualified from managing a company under Part 2D.6 of the Act;</w:t>
      </w:r>
    </w:p>
    <w:p w14:paraId="270449A4" w14:textId="77777777" w:rsidR="00E93F58" w:rsidRPr="00D97EFB" w:rsidRDefault="00E93F58" w:rsidP="00BB7E31">
      <w:pPr>
        <w:pStyle w:val="paragraphsub"/>
      </w:pPr>
      <w:r w:rsidRPr="00D97EFB">
        <w:tab/>
        <w:t>(ii)</w:t>
      </w:r>
      <w:r w:rsidRPr="00D97EFB">
        <w:tab/>
        <w:t>a statement to the effect that each share in the applicant is held and beneficially owned by an individual or by the legal personal representative of an individual;</w:t>
      </w:r>
    </w:p>
    <w:p w14:paraId="6A89D1E5" w14:textId="77777777" w:rsidR="00E93F58" w:rsidRPr="00D97EFB" w:rsidRDefault="00E93F58" w:rsidP="00BB7E31">
      <w:pPr>
        <w:pStyle w:val="paragraphsub"/>
      </w:pPr>
      <w:r w:rsidRPr="00D97EFB">
        <w:tab/>
        <w:t>(iii)</w:t>
      </w:r>
      <w:r w:rsidRPr="00D97EFB">
        <w:tab/>
        <w:t>a statement of whether the applicant’s constitution allows a share in the applicant to be held and beneficially owned by a person other than an individual or the legal personal representative of an individual;</w:t>
      </w:r>
    </w:p>
    <w:p w14:paraId="44463CAC" w14:textId="77777777" w:rsidR="00E93F58" w:rsidRPr="00D97EFB" w:rsidRDefault="00E93F58" w:rsidP="00BB7E31">
      <w:pPr>
        <w:pStyle w:val="paragraphsub"/>
      </w:pPr>
      <w:r w:rsidRPr="00D97EFB">
        <w:tab/>
        <w:t>(iv)</w:t>
      </w:r>
      <w:r w:rsidRPr="00D97EFB">
        <w:tab/>
        <w:t>a statement to the effect that a majority of the votes that may be cast at a general meeting of the applicant attach to shares in the applicant that are held and beneficially owned by individuals who are registered company auditors;</w:t>
      </w:r>
    </w:p>
    <w:p w14:paraId="55925D56" w14:textId="77777777" w:rsidR="00E93F58" w:rsidRPr="00D97EFB" w:rsidRDefault="00E93F58" w:rsidP="00BB7E31">
      <w:pPr>
        <w:pStyle w:val="paragraphsub"/>
      </w:pPr>
      <w:r w:rsidRPr="00D97EFB">
        <w:tab/>
        <w:t>(v)</w:t>
      </w:r>
      <w:r w:rsidRPr="00D97EFB">
        <w:tab/>
        <w:t>a statement to the effect that the applicant is not a Chapter 5 body corporate; and</w:t>
      </w:r>
    </w:p>
    <w:p w14:paraId="6B1397B0" w14:textId="77777777" w:rsidR="00E93F58" w:rsidRPr="00D97EFB" w:rsidRDefault="00E93F58" w:rsidP="00BB7E31">
      <w:pPr>
        <w:pStyle w:val="paragraph"/>
      </w:pPr>
      <w:r w:rsidRPr="00D97EFB">
        <w:tab/>
        <w:t>(d)</w:t>
      </w:r>
      <w:r w:rsidRPr="00D97EFB">
        <w:tab/>
        <w:t>the name and address of each person who performs a chief executive officer function (within the meaning of section 295A of the Act) in relation to the applicant; and</w:t>
      </w:r>
    </w:p>
    <w:p w14:paraId="69AF26E8" w14:textId="77777777" w:rsidR="00E93F58" w:rsidRPr="00D97EFB" w:rsidRDefault="00E93F58" w:rsidP="00BB7E31">
      <w:pPr>
        <w:pStyle w:val="paragraph"/>
      </w:pPr>
      <w:r w:rsidRPr="00D97EFB">
        <w:tab/>
        <w:t>(e)</w:t>
      </w:r>
      <w:r w:rsidRPr="00D97EFB">
        <w:tab/>
        <w:t>the following details about the applicant’s professional indemnity insurance policy for claims that may be made against the applicant in relation to the audit of companies and registered schemes under the Act:</w:t>
      </w:r>
    </w:p>
    <w:p w14:paraId="7F7488BD" w14:textId="77777777" w:rsidR="00E93F58" w:rsidRPr="00D97EFB" w:rsidRDefault="00E93F58" w:rsidP="00BB7E31">
      <w:pPr>
        <w:pStyle w:val="paragraphsub"/>
      </w:pPr>
      <w:r w:rsidRPr="00D97EFB">
        <w:tab/>
        <w:t>(i)</w:t>
      </w:r>
      <w:r w:rsidRPr="00D97EFB">
        <w:tab/>
        <w:t>the insurer’s name;</w:t>
      </w:r>
    </w:p>
    <w:p w14:paraId="34AEC188" w14:textId="77777777" w:rsidR="00E93F58" w:rsidRPr="00D97EFB" w:rsidRDefault="00E93F58" w:rsidP="00BB7E31">
      <w:pPr>
        <w:pStyle w:val="paragraphsub"/>
      </w:pPr>
      <w:r w:rsidRPr="00D97EFB">
        <w:tab/>
        <w:t>(ii)</w:t>
      </w:r>
      <w:r w:rsidRPr="00D97EFB">
        <w:tab/>
        <w:t>the policy number;</w:t>
      </w:r>
    </w:p>
    <w:p w14:paraId="2F435673" w14:textId="77777777" w:rsidR="00E93F58" w:rsidRPr="00D97EFB" w:rsidRDefault="00E93F58" w:rsidP="00BB7E31">
      <w:pPr>
        <w:pStyle w:val="paragraphsub"/>
      </w:pPr>
      <w:r w:rsidRPr="00D97EFB">
        <w:tab/>
        <w:t>(iii)</w:t>
      </w:r>
      <w:r w:rsidRPr="00D97EFB">
        <w:tab/>
        <w:t>the terms and conditions of the policy.</w:t>
      </w:r>
    </w:p>
    <w:p w14:paraId="45583DAA" w14:textId="77777777" w:rsidR="00E93F58" w:rsidRPr="00D97EFB" w:rsidRDefault="00E93F58" w:rsidP="00BB7E31">
      <w:pPr>
        <w:pStyle w:val="ActHead5"/>
      </w:pPr>
      <w:bookmarkStart w:id="2258" w:name="_Toc151994408"/>
      <w:bookmarkStart w:id="2259" w:name="_Toc158712918"/>
      <w:r w:rsidRPr="000D40D5">
        <w:rPr>
          <w:rStyle w:val="CharSectno"/>
        </w:rPr>
        <w:t>9.2A.03</w:t>
      </w:r>
      <w:r w:rsidRPr="00D97EFB">
        <w:t xml:space="preserve">  Annual statements by authorised audit company (Act s 1299G)</w:t>
      </w:r>
      <w:bookmarkEnd w:id="2258"/>
      <w:bookmarkEnd w:id="2259"/>
    </w:p>
    <w:p w14:paraId="65426BF6" w14:textId="77777777" w:rsidR="00E93F58" w:rsidRPr="00D97EFB" w:rsidRDefault="00E93F58" w:rsidP="00BB7E31">
      <w:pPr>
        <w:pStyle w:val="subsection"/>
      </w:pPr>
      <w:r w:rsidRPr="00D97EFB">
        <w:tab/>
        <w:t>(1)</w:t>
      </w:r>
      <w:r w:rsidRPr="00D97EFB">
        <w:tab/>
        <w:t>For subsection 1299G(1A) of the Act, the information is:</w:t>
      </w:r>
    </w:p>
    <w:p w14:paraId="4034A7F7" w14:textId="77777777" w:rsidR="00E93F58" w:rsidRPr="00D97EFB" w:rsidRDefault="00E93F58" w:rsidP="00BB7E31">
      <w:pPr>
        <w:pStyle w:val="paragraph"/>
      </w:pPr>
      <w:r w:rsidRPr="00D97EFB">
        <w:tab/>
        <w:t>(a)</w:t>
      </w:r>
      <w:r w:rsidRPr="00D97EFB">
        <w:tab/>
        <w:t>whether the information about the company on the Register of Authorised Audit Companies under section 1299E of the Act is correct; and</w:t>
      </w:r>
    </w:p>
    <w:p w14:paraId="3F1C8247" w14:textId="77777777" w:rsidR="00E93F58" w:rsidRPr="00D97EFB" w:rsidRDefault="00E93F58" w:rsidP="00BB7E31">
      <w:pPr>
        <w:pStyle w:val="paragraph"/>
      </w:pPr>
      <w:r w:rsidRPr="00D97EFB">
        <w:tab/>
        <w:t>(b)</w:t>
      </w:r>
      <w:r w:rsidRPr="00D97EFB">
        <w:tab/>
        <w:t>a statement of whether the company has, at all times in the relevant period, met the requirements of paragraphs 1299B(a), (b), (c) and (e) of the Act; and</w:t>
      </w:r>
    </w:p>
    <w:p w14:paraId="43BEA593" w14:textId="77777777" w:rsidR="00E93F58" w:rsidRPr="00D97EFB" w:rsidRDefault="00E93F58" w:rsidP="00BB7E31">
      <w:pPr>
        <w:pStyle w:val="paragraph"/>
      </w:pPr>
      <w:r w:rsidRPr="00D97EFB">
        <w:tab/>
        <w:t>(c)</w:t>
      </w:r>
      <w:r w:rsidRPr="00D97EFB">
        <w:tab/>
        <w:t>if the company has not, at all times in the relevant period, met the requirements of paragraphs 1299B(a), (b), (c) and (e) of the Act—details about the way in which the company did not meet the requirements; and</w:t>
      </w:r>
    </w:p>
    <w:p w14:paraId="03E2D2B2" w14:textId="77777777" w:rsidR="00E93F58" w:rsidRPr="00D97EFB" w:rsidRDefault="00E93F58" w:rsidP="00BB7E31">
      <w:pPr>
        <w:pStyle w:val="paragraph"/>
      </w:pPr>
      <w:r w:rsidRPr="00D97EFB">
        <w:tab/>
        <w:t>(d)</w:t>
      </w:r>
      <w:r w:rsidRPr="00D97EFB">
        <w:tab/>
        <w:t>the following details about the company’s professional indemnity insurance policy for claims that may be made against the applicant in relation to the audit of companies and registered schemes under the Act:</w:t>
      </w:r>
    </w:p>
    <w:p w14:paraId="2FB9A56C" w14:textId="77777777" w:rsidR="00E93F58" w:rsidRPr="00D97EFB" w:rsidRDefault="00E93F58" w:rsidP="00BB7E31">
      <w:pPr>
        <w:pStyle w:val="paragraphsub"/>
      </w:pPr>
      <w:r w:rsidRPr="00D97EFB">
        <w:tab/>
        <w:t>(i)</w:t>
      </w:r>
      <w:r w:rsidRPr="00D97EFB">
        <w:tab/>
        <w:t>the insurer’s name;</w:t>
      </w:r>
    </w:p>
    <w:p w14:paraId="000BE0E7" w14:textId="77777777" w:rsidR="00E93F58" w:rsidRPr="00D97EFB" w:rsidRDefault="00E93F58" w:rsidP="00BB7E31">
      <w:pPr>
        <w:pStyle w:val="paragraphsub"/>
      </w:pPr>
      <w:r w:rsidRPr="00D97EFB">
        <w:tab/>
        <w:t>(ii)</w:t>
      </w:r>
      <w:r w:rsidRPr="00D97EFB">
        <w:tab/>
        <w:t>the policy number;</w:t>
      </w:r>
    </w:p>
    <w:p w14:paraId="62BFA807" w14:textId="77777777" w:rsidR="00E93F58" w:rsidRPr="00D97EFB" w:rsidRDefault="00E93F58" w:rsidP="00BB7E31">
      <w:pPr>
        <w:pStyle w:val="paragraphsub"/>
      </w:pPr>
      <w:r w:rsidRPr="00D97EFB">
        <w:tab/>
        <w:t>(iii)</w:t>
      </w:r>
      <w:r w:rsidRPr="00D97EFB">
        <w:tab/>
        <w:t>the terms and conditions of the policy; and</w:t>
      </w:r>
    </w:p>
    <w:p w14:paraId="6D9DF187" w14:textId="77777777" w:rsidR="00E93F58" w:rsidRPr="00D97EFB" w:rsidRDefault="00E93F58" w:rsidP="00BB7E31">
      <w:pPr>
        <w:pStyle w:val="paragraph"/>
      </w:pPr>
      <w:r w:rsidRPr="00D97EFB">
        <w:tab/>
        <w:t>(e)</w:t>
      </w:r>
      <w:r w:rsidRPr="00D97EFB">
        <w:tab/>
        <w:t>information about criminal proceedings (if any) that have been taken against the company in the relevant period; and</w:t>
      </w:r>
    </w:p>
    <w:p w14:paraId="5F47BF7A" w14:textId="77777777" w:rsidR="00E93F58" w:rsidRPr="00D97EFB" w:rsidRDefault="00E93F58" w:rsidP="00BB7E31">
      <w:pPr>
        <w:pStyle w:val="paragraph"/>
      </w:pPr>
      <w:r w:rsidRPr="00D97EFB">
        <w:lastRenderedPageBreak/>
        <w:tab/>
        <w:t>(f)</w:t>
      </w:r>
      <w:r w:rsidRPr="00D97EFB">
        <w:tab/>
        <w:t>for each director of the company and each employee of the company who is a registered company auditor, details of criminal or disciplinary proceedings (if any) that have been taken against the director or employee in the relevant period (including exclusion from practice as an auditor or liquidator or suspension of registration as an auditor or liquidator); and</w:t>
      </w:r>
    </w:p>
    <w:p w14:paraId="5E8999D7" w14:textId="77777777" w:rsidR="00E93F58" w:rsidRPr="00D97EFB" w:rsidRDefault="00E93F58" w:rsidP="00BB7E31">
      <w:pPr>
        <w:pStyle w:val="paragraph"/>
      </w:pPr>
      <w:r w:rsidRPr="00D97EFB">
        <w:tab/>
        <w:t>(g)</w:t>
      </w:r>
      <w:r w:rsidRPr="00D97EFB">
        <w:tab/>
        <w:t>a statement of whether the company has resigned or been removed from office as an auditor during the relevant period; and</w:t>
      </w:r>
    </w:p>
    <w:p w14:paraId="5FDFA3DF" w14:textId="77777777" w:rsidR="00E93F58" w:rsidRPr="00D97EFB" w:rsidRDefault="00E93F58" w:rsidP="00BB7E31">
      <w:pPr>
        <w:pStyle w:val="paragraph"/>
      </w:pPr>
      <w:r w:rsidRPr="00D97EFB">
        <w:tab/>
        <w:t>(h)</w:t>
      </w:r>
      <w:r w:rsidRPr="00D97EFB">
        <w:tab/>
        <w:t>if the company has resigned or been removed from office as an auditor during the relevant period, the following details about each resignation or removal:</w:t>
      </w:r>
    </w:p>
    <w:p w14:paraId="219E88E4" w14:textId="77777777" w:rsidR="00E93F58" w:rsidRPr="00D97EFB" w:rsidRDefault="00E93F58" w:rsidP="00BB7E31">
      <w:pPr>
        <w:pStyle w:val="paragraphsub"/>
      </w:pPr>
      <w:r w:rsidRPr="00D97EFB">
        <w:tab/>
        <w:t>(i)</w:t>
      </w:r>
      <w:r w:rsidRPr="00D97EFB">
        <w:tab/>
        <w:t>the name and ACN of the corporation, registered scheme, disclosing entity or financial services licensee being audited;</w:t>
      </w:r>
    </w:p>
    <w:p w14:paraId="59F6555D" w14:textId="77777777" w:rsidR="00E93F58" w:rsidRPr="00D97EFB" w:rsidRDefault="00E93F58" w:rsidP="00BB7E31">
      <w:pPr>
        <w:pStyle w:val="paragraphsub"/>
      </w:pPr>
      <w:r w:rsidRPr="00D97EFB">
        <w:tab/>
        <w:t>(ii)</w:t>
      </w:r>
      <w:r w:rsidRPr="00D97EFB">
        <w:tab/>
        <w:t>the date of the company’s resignation or removal from office;</w:t>
      </w:r>
    </w:p>
    <w:p w14:paraId="5A35B603" w14:textId="77777777" w:rsidR="00E93F58" w:rsidRPr="00D97EFB" w:rsidRDefault="00E93F58" w:rsidP="00BB7E31">
      <w:pPr>
        <w:pStyle w:val="paragraphsub"/>
      </w:pPr>
      <w:r w:rsidRPr="00D97EFB">
        <w:tab/>
        <w:t>(iii)</w:t>
      </w:r>
      <w:r w:rsidRPr="00D97EFB">
        <w:tab/>
        <w:t>the reason for the company’s resignation or removal from office; and</w:t>
      </w:r>
    </w:p>
    <w:p w14:paraId="59947A23" w14:textId="77777777" w:rsidR="00E93F58" w:rsidRPr="00D97EFB" w:rsidRDefault="00E93F58" w:rsidP="00BB7E31">
      <w:pPr>
        <w:pStyle w:val="paragraph"/>
      </w:pPr>
      <w:r w:rsidRPr="00D97EFB">
        <w:tab/>
        <w:t>(i)</w:t>
      </w:r>
      <w:r w:rsidRPr="00D97EFB">
        <w:tab/>
        <w:t>a statement of whether a director or employee of the company has resigned or been removed from office as a liquidator during the relevant period; and</w:t>
      </w:r>
    </w:p>
    <w:p w14:paraId="301E83E2" w14:textId="77777777" w:rsidR="00E93F58" w:rsidRPr="00D97EFB" w:rsidRDefault="00E93F58" w:rsidP="00BB7E31">
      <w:pPr>
        <w:pStyle w:val="paragraph"/>
      </w:pPr>
      <w:r w:rsidRPr="00D97EFB">
        <w:tab/>
        <w:t>(j)</w:t>
      </w:r>
      <w:r w:rsidRPr="00D97EFB">
        <w:tab/>
        <w:t>if a director or employee of the company has resigned, or has been removed from office as a liquidator, during the relevant period, the following details about each resignation or removal:</w:t>
      </w:r>
    </w:p>
    <w:p w14:paraId="1DB62F8C" w14:textId="77777777" w:rsidR="00E93F58" w:rsidRPr="00D97EFB" w:rsidRDefault="00E93F58" w:rsidP="00BB7E31">
      <w:pPr>
        <w:pStyle w:val="paragraphsub"/>
      </w:pPr>
      <w:r w:rsidRPr="00D97EFB">
        <w:tab/>
        <w:t>(i)</w:t>
      </w:r>
      <w:r w:rsidRPr="00D97EFB">
        <w:tab/>
        <w:t>the name and ACN of the corporation, registered scheme, disclosing entity or financial services licensee being liquidated;</w:t>
      </w:r>
    </w:p>
    <w:p w14:paraId="714ADB68" w14:textId="77777777" w:rsidR="00E93F58" w:rsidRPr="00D97EFB" w:rsidRDefault="00E93F58" w:rsidP="00BB7E31">
      <w:pPr>
        <w:pStyle w:val="paragraphsub"/>
      </w:pPr>
      <w:r w:rsidRPr="00D97EFB">
        <w:tab/>
        <w:t>(ii)</w:t>
      </w:r>
      <w:r w:rsidRPr="00D97EFB">
        <w:tab/>
        <w:t>the date of the resignation or removal from office;</w:t>
      </w:r>
    </w:p>
    <w:p w14:paraId="5FD024E8" w14:textId="77777777" w:rsidR="00E93F58" w:rsidRPr="00D97EFB" w:rsidRDefault="00E93F58" w:rsidP="00BB7E31">
      <w:pPr>
        <w:pStyle w:val="paragraphsub"/>
      </w:pPr>
      <w:r w:rsidRPr="00D97EFB">
        <w:tab/>
        <w:t>(iii)</w:t>
      </w:r>
      <w:r w:rsidRPr="00D97EFB">
        <w:tab/>
        <w:t>the reason for the resignation or removal from office; and</w:t>
      </w:r>
    </w:p>
    <w:p w14:paraId="4F24C97F" w14:textId="77777777" w:rsidR="00E93F58" w:rsidRPr="00D97EFB" w:rsidRDefault="00E93F58" w:rsidP="00BB7E31">
      <w:pPr>
        <w:pStyle w:val="paragraph"/>
      </w:pPr>
      <w:r w:rsidRPr="00D97EFB">
        <w:tab/>
        <w:t>(k)</w:t>
      </w:r>
      <w:r w:rsidRPr="00D97EFB">
        <w:tab/>
        <w:t>a list of the 10 audits, including the approximate dollar value of the fees, for which the company has received the highest audit engagement fees in the relevant period.</w:t>
      </w:r>
    </w:p>
    <w:p w14:paraId="5152F895" w14:textId="77777777" w:rsidR="00E93F58" w:rsidRPr="00D97EFB" w:rsidRDefault="00E93F58" w:rsidP="00BB7E31">
      <w:pPr>
        <w:pStyle w:val="subsection"/>
      </w:pPr>
      <w:r w:rsidRPr="00D97EFB">
        <w:tab/>
        <w:t>(2)</w:t>
      </w:r>
      <w:r w:rsidRPr="00D97EFB">
        <w:tab/>
        <w:t>In this regulation:</w:t>
      </w:r>
    </w:p>
    <w:p w14:paraId="77175819" w14:textId="77777777" w:rsidR="00E93F58" w:rsidRPr="00D97EFB" w:rsidRDefault="00E93F58" w:rsidP="00BB7E31">
      <w:pPr>
        <w:pStyle w:val="Definition"/>
      </w:pPr>
      <w:r w:rsidRPr="00D97EFB">
        <w:rPr>
          <w:b/>
          <w:i/>
        </w:rPr>
        <w:t xml:space="preserve">relevant period </w:t>
      </w:r>
      <w:r w:rsidRPr="00D97EFB">
        <w:t>means the period of 12 months to which the statement relates under subsection 1299G(1) of the Act.</w:t>
      </w:r>
    </w:p>
    <w:p w14:paraId="559BAD78" w14:textId="77777777" w:rsidR="00E93F58" w:rsidRPr="00D97EFB" w:rsidRDefault="00E93F58" w:rsidP="00E23F70">
      <w:pPr>
        <w:pStyle w:val="ActHead2"/>
        <w:pageBreakBefore/>
      </w:pPr>
      <w:bookmarkStart w:id="2260" w:name="_Toc151994409"/>
      <w:bookmarkStart w:id="2261" w:name="_Toc158712919"/>
      <w:r w:rsidRPr="000D40D5">
        <w:rPr>
          <w:rStyle w:val="CharPartNo"/>
        </w:rPr>
        <w:lastRenderedPageBreak/>
        <w:t>Part 9.4A</w:t>
      </w:r>
      <w:r w:rsidRPr="00D97EFB">
        <w:t>—</w:t>
      </w:r>
      <w:r w:rsidRPr="000D40D5">
        <w:rPr>
          <w:rStyle w:val="CharPartText"/>
        </w:rPr>
        <w:t>Register and index</w:t>
      </w:r>
      <w:bookmarkEnd w:id="2260"/>
      <w:bookmarkEnd w:id="2261"/>
    </w:p>
    <w:p w14:paraId="505AAE22"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41D72A83" w14:textId="77777777" w:rsidR="00E93F58" w:rsidRPr="00D97EFB" w:rsidRDefault="00E93F58" w:rsidP="00BB7E31">
      <w:pPr>
        <w:pStyle w:val="ActHead5"/>
      </w:pPr>
      <w:bookmarkStart w:id="2262" w:name="_Toc151994410"/>
      <w:bookmarkStart w:id="2263" w:name="_Toc158712920"/>
      <w:r w:rsidRPr="000D40D5">
        <w:rPr>
          <w:rStyle w:val="CharSectno"/>
        </w:rPr>
        <w:t>9.4A.01</w:t>
      </w:r>
      <w:r w:rsidRPr="00D97EFB">
        <w:t xml:space="preserve">  Definitions for Part 9.4A</w:t>
      </w:r>
      <w:bookmarkEnd w:id="2262"/>
      <w:bookmarkEnd w:id="2263"/>
    </w:p>
    <w:p w14:paraId="7686CD76" w14:textId="77777777" w:rsidR="00E93F58" w:rsidRPr="00D97EFB" w:rsidRDefault="00E93F58" w:rsidP="00BB7E31">
      <w:pPr>
        <w:pStyle w:val="subsection"/>
      </w:pPr>
      <w:r w:rsidRPr="00D97EFB">
        <w:tab/>
      </w:r>
      <w:r w:rsidRPr="00D97EFB">
        <w:tab/>
        <w:t>In this Part, unless the contrary intention appears:</w:t>
      </w:r>
    </w:p>
    <w:p w14:paraId="2C851AF5" w14:textId="77777777" w:rsidR="00E93F58" w:rsidRPr="00D97EFB" w:rsidRDefault="00E93F58" w:rsidP="00BB7E31">
      <w:pPr>
        <w:pStyle w:val="Definition"/>
      </w:pPr>
      <w:r w:rsidRPr="00D97EFB">
        <w:rPr>
          <w:b/>
          <w:i/>
        </w:rPr>
        <w:t>index</w:t>
      </w:r>
      <w:r w:rsidRPr="00D97EFB">
        <w:t xml:space="preserve"> means an instrument, prepared for subsection 1306(4) of the Act, that is an index of members of a corporation, registered scheme or notified foreign passport fund.</w:t>
      </w:r>
    </w:p>
    <w:p w14:paraId="096802D9" w14:textId="77777777" w:rsidR="00E93F58" w:rsidRPr="00D97EFB" w:rsidRDefault="00E93F58" w:rsidP="00BB7E31">
      <w:pPr>
        <w:pStyle w:val="Definition"/>
      </w:pPr>
      <w:r w:rsidRPr="00D97EFB">
        <w:rPr>
          <w:b/>
          <w:i/>
        </w:rPr>
        <w:t>register</w:t>
      </w:r>
      <w:r w:rsidRPr="00D97EFB">
        <w:t xml:space="preserve"> means an instrument, prepared for subsection 1306(4) of the Act, that is any of the following:</w:t>
      </w:r>
    </w:p>
    <w:p w14:paraId="7641EA23" w14:textId="77777777" w:rsidR="00E93F58" w:rsidRPr="00D97EFB" w:rsidRDefault="00E93F58" w:rsidP="00BB7E31">
      <w:pPr>
        <w:pStyle w:val="paragraph"/>
      </w:pPr>
      <w:r w:rsidRPr="00D97EFB">
        <w:tab/>
        <w:t>(a)</w:t>
      </w:r>
      <w:r w:rsidRPr="00D97EFB">
        <w:tab/>
        <w:t>register of members of a corporation;</w:t>
      </w:r>
    </w:p>
    <w:p w14:paraId="59C04077" w14:textId="77777777" w:rsidR="00E93F58" w:rsidRPr="00D97EFB" w:rsidRDefault="00E93F58" w:rsidP="00BB7E31">
      <w:pPr>
        <w:pStyle w:val="paragraph"/>
      </w:pPr>
      <w:r w:rsidRPr="00D97EFB">
        <w:tab/>
        <w:t>(b)</w:t>
      </w:r>
      <w:r w:rsidRPr="00D97EFB">
        <w:tab/>
        <w:t>register of holders of debentures of a corporation;</w:t>
      </w:r>
    </w:p>
    <w:p w14:paraId="3F7609E5" w14:textId="77777777" w:rsidR="00E93F58" w:rsidRPr="00D97EFB" w:rsidRDefault="00E93F58" w:rsidP="00BB7E31">
      <w:pPr>
        <w:pStyle w:val="paragraph"/>
      </w:pPr>
      <w:r w:rsidRPr="00D97EFB">
        <w:tab/>
        <w:t>(c)</w:t>
      </w:r>
      <w:r w:rsidRPr="00D97EFB">
        <w:tab/>
        <w:t>register of members of a registered scheme;</w:t>
      </w:r>
    </w:p>
    <w:p w14:paraId="2E6668EA" w14:textId="77777777" w:rsidR="00E93F58" w:rsidRPr="00D97EFB" w:rsidRDefault="00E93F58" w:rsidP="00481E9A">
      <w:pPr>
        <w:pStyle w:val="paragraph"/>
      </w:pPr>
      <w:r w:rsidRPr="00D97EFB">
        <w:tab/>
        <w:t>(ca)</w:t>
      </w:r>
      <w:r w:rsidRPr="00D97EFB">
        <w:tab/>
        <w:t>register of members of a notified foreign passport fund;</w:t>
      </w:r>
    </w:p>
    <w:p w14:paraId="29D3A0DE" w14:textId="77777777" w:rsidR="00E93F58" w:rsidRPr="00D97EFB" w:rsidRDefault="00E93F58" w:rsidP="00BB7E31">
      <w:pPr>
        <w:pStyle w:val="paragraph"/>
      </w:pPr>
      <w:r w:rsidRPr="00D97EFB">
        <w:tab/>
        <w:t>(d)</w:t>
      </w:r>
      <w:r w:rsidRPr="00D97EFB">
        <w:tab/>
        <w:t>register of holders of options of a corporation;</w:t>
      </w:r>
    </w:p>
    <w:p w14:paraId="36CF1F8B" w14:textId="77777777" w:rsidR="00E93F58" w:rsidRPr="00D97EFB" w:rsidRDefault="00E93F58" w:rsidP="00713407">
      <w:pPr>
        <w:pStyle w:val="paragraph"/>
      </w:pPr>
      <w:r w:rsidRPr="00D97EFB">
        <w:tab/>
        <w:t>(e)</w:t>
      </w:r>
      <w:r w:rsidRPr="00D97EFB">
        <w:tab/>
        <w:t>register of information about relevant interests kept under section 672DA of the Act.</w:t>
      </w:r>
    </w:p>
    <w:p w14:paraId="42F9E87E" w14:textId="77777777" w:rsidR="00E93F58" w:rsidRPr="00D97EFB" w:rsidRDefault="00E93F58" w:rsidP="00BB7E31">
      <w:pPr>
        <w:pStyle w:val="ActHead5"/>
      </w:pPr>
      <w:bookmarkStart w:id="2264" w:name="_Toc151994411"/>
      <w:bookmarkStart w:id="2265" w:name="_Toc158712921"/>
      <w:r w:rsidRPr="000D40D5">
        <w:rPr>
          <w:rStyle w:val="CharSectno"/>
        </w:rPr>
        <w:t>9.4A.02</w:t>
      </w:r>
      <w:r w:rsidRPr="00D97EFB">
        <w:t xml:space="preserve">  Register and index must be kept up to date: subsection 1306(4A) of the Act</w:t>
      </w:r>
      <w:bookmarkEnd w:id="2264"/>
      <w:bookmarkEnd w:id="2265"/>
    </w:p>
    <w:p w14:paraId="0859112E" w14:textId="77777777" w:rsidR="00E93F58" w:rsidRPr="00D97EFB" w:rsidRDefault="00E93F58" w:rsidP="00BB7E31">
      <w:pPr>
        <w:pStyle w:val="subsection"/>
      </w:pPr>
      <w:r w:rsidRPr="00D97EFB">
        <w:tab/>
        <w:t>(1)</w:t>
      </w:r>
      <w:r w:rsidRPr="00D97EFB">
        <w:tab/>
        <w:t xml:space="preserve">A corporation that is </w:t>
      </w:r>
      <w:r w:rsidRPr="00D97EFB">
        <w:rPr>
          <w:color w:val="000000"/>
        </w:rPr>
        <w:t xml:space="preserve">an issuer </w:t>
      </w:r>
      <w:r w:rsidRPr="00BE1284">
        <w:t>in relation to a financial product and</w:t>
      </w:r>
      <w:r>
        <w:t xml:space="preserve"> </w:t>
      </w:r>
      <w:r w:rsidRPr="00D97EFB">
        <w:rPr>
          <w:color w:val="000000"/>
        </w:rPr>
        <w:t>that is required to keep 1 or more registers</w:t>
      </w:r>
      <w:r w:rsidRPr="00D97EFB">
        <w:t xml:space="preserve"> must ensure that the registers and indexes (if any) are, at any time, not more than 20 business days out of date.</w:t>
      </w:r>
    </w:p>
    <w:p w14:paraId="5BF4B84C" w14:textId="77777777" w:rsidR="00E93F58" w:rsidRPr="00D97EFB" w:rsidRDefault="00E93F58" w:rsidP="00BB7E31">
      <w:pPr>
        <w:pStyle w:val="subsection"/>
      </w:pPr>
      <w:r w:rsidRPr="00D97EFB">
        <w:tab/>
        <w:t>(2)</w:t>
      </w:r>
      <w:r w:rsidRPr="00D97EFB">
        <w:tab/>
        <w:t xml:space="preserve">If a person notifies a corporation that is </w:t>
      </w:r>
      <w:r w:rsidRPr="00D97EFB">
        <w:rPr>
          <w:color w:val="000000"/>
        </w:rPr>
        <w:t xml:space="preserve">an issuer </w:t>
      </w:r>
      <w:r w:rsidRPr="00BE1284">
        <w:t>in relation to a financial product and</w:t>
      </w:r>
      <w:r>
        <w:t xml:space="preserve"> </w:t>
      </w:r>
      <w:r w:rsidRPr="00D97EFB">
        <w:rPr>
          <w:color w:val="000000"/>
        </w:rPr>
        <w:t>that is required to keep 1 or more registers</w:t>
      </w:r>
      <w:r w:rsidRPr="00D97EFB">
        <w:t xml:space="preserve"> that the person wishes to inspect a register or index, the corporation must ensure that, at the beginning of the business day following the day on which it receives the notice, the register or index that the person wishes to inspect is not more than 5 business days out of date.</w:t>
      </w:r>
    </w:p>
    <w:p w14:paraId="564F2A5A" w14:textId="77777777" w:rsidR="00E93F58" w:rsidRPr="00D97EFB" w:rsidRDefault="00E93F58" w:rsidP="008D0F39">
      <w:pPr>
        <w:pStyle w:val="ActHead2"/>
        <w:pageBreakBefore/>
      </w:pPr>
      <w:bookmarkStart w:id="2266" w:name="_Toc151994412"/>
      <w:bookmarkStart w:id="2267" w:name="_Toc158712922"/>
      <w:r w:rsidRPr="000D40D5">
        <w:rPr>
          <w:rStyle w:val="CharPartNo"/>
        </w:rPr>
        <w:lastRenderedPageBreak/>
        <w:t>Part 9.4AB</w:t>
      </w:r>
      <w:r w:rsidRPr="00D97EFB">
        <w:t>—</w:t>
      </w:r>
      <w:r w:rsidRPr="000D40D5">
        <w:rPr>
          <w:rStyle w:val="CharPartText"/>
        </w:rPr>
        <w:t>Infringement notices</w:t>
      </w:r>
      <w:bookmarkEnd w:id="2266"/>
      <w:bookmarkEnd w:id="2267"/>
    </w:p>
    <w:p w14:paraId="3618AA5E" w14:textId="77777777" w:rsidR="00E93F58" w:rsidRPr="00D97EFB" w:rsidRDefault="00E93F58" w:rsidP="00244C3F">
      <w:pPr>
        <w:pStyle w:val="Header"/>
      </w:pPr>
      <w:r w:rsidRPr="000D40D5">
        <w:rPr>
          <w:rStyle w:val="CharDivNo"/>
        </w:rPr>
        <w:t xml:space="preserve"> </w:t>
      </w:r>
      <w:r w:rsidRPr="000D40D5">
        <w:rPr>
          <w:rStyle w:val="CharDivText"/>
        </w:rPr>
        <w:t xml:space="preserve"> </w:t>
      </w:r>
    </w:p>
    <w:p w14:paraId="6B4CB2A9" w14:textId="77777777" w:rsidR="00E93F58" w:rsidRPr="00D97EFB" w:rsidRDefault="00E93F58" w:rsidP="00244C3F">
      <w:pPr>
        <w:pStyle w:val="ActHead5"/>
      </w:pPr>
      <w:bookmarkStart w:id="2268" w:name="_Toc151994413"/>
      <w:bookmarkStart w:id="2269" w:name="_Toc158712923"/>
      <w:r w:rsidRPr="000D40D5">
        <w:rPr>
          <w:rStyle w:val="CharSectno"/>
        </w:rPr>
        <w:t>9.4AB.01</w:t>
      </w:r>
      <w:r w:rsidRPr="00D97EFB">
        <w:t xml:space="preserve">  Prescribed offences (Act s 1317DAN)</w:t>
      </w:r>
      <w:bookmarkEnd w:id="2268"/>
      <w:bookmarkEnd w:id="2269"/>
    </w:p>
    <w:p w14:paraId="786EE76A" w14:textId="77777777" w:rsidR="00E93F58" w:rsidRPr="00D97EFB" w:rsidRDefault="00E93F58" w:rsidP="00244C3F">
      <w:pPr>
        <w:pStyle w:val="subsection"/>
      </w:pPr>
      <w:r w:rsidRPr="00D97EFB">
        <w:tab/>
        <w:t>(1)</w:t>
      </w:r>
      <w:r w:rsidRPr="00D97EFB">
        <w:tab/>
        <w:t>This regulation is made for the purposes of paragraph 1317DAN(c) of the Act.</w:t>
      </w:r>
    </w:p>
    <w:p w14:paraId="51B0CE9C" w14:textId="77777777" w:rsidR="00E93F58" w:rsidRPr="00D97EFB" w:rsidRDefault="00E93F58" w:rsidP="00244C3F">
      <w:pPr>
        <w:pStyle w:val="subsection"/>
      </w:pPr>
      <w:r w:rsidRPr="00D97EFB">
        <w:tab/>
        <w:t>(2)</w:t>
      </w:r>
      <w:r w:rsidRPr="00D97EFB">
        <w:tab/>
        <w:t>An alleged offence based on any of the following provisions of the Act is subject to an infringement notice:</w:t>
      </w:r>
    </w:p>
    <w:p w14:paraId="06F30F51" w14:textId="77777777" w:rsidR="00E93F58" w:rsidRPr="00D97EFB" w:rsidRDefault="00E93F58" w:rsidP="00244C3F">
      <w:pPr>
        <w:pStyle w:val="paragraph"/>
      </w:pPr>
      <w:r w:rsidRPr="00D97EFB">
        <w:tab/>
        <w:t>(a)</w:t>
      </w:r>
      <w:r w:rsidRPr="00D97EFB">
        <w:tab/>
        <w:t>subsections 792B(1), (2), (3), (4) and (5);</w:t>
      </w:r>
    </w:p>
    <w:p w14:paraId="359F4555" w14:textId="77777777" w:rsidR="00E93F58" w:rsidRPr="00D97EFB" w:rsidRDefault="00E93F58" w:rsidP="00244C3F">
      <w:pPr>
        <w:pStyle w:val="paragraph"/>
      </w:pPr>
      <w:r w:rsidRPr="00D97EFB">
        <w:tab/>
        <w:t>(b)</w:t>
      </w:r>
      <w:r w:rsidRPr="00D97EFB">
        <w:tab/>
        <w:t>subsections 821B(1), (2), (3) and (4);</w:t>
      </w:r>
    </w:p>
    <w:p w14:paraId="3A339C7B" w14:textId="77777777" w:rsidR="00E93F58" w:rsidRPr="00D97EFB" w:rsidRDefault="00E93F58" w:rsidP="00962BBD">
      <w:pPr>
        <w:pStyle w:val="paragraph"/>
      </w:pPr>
      <w:r w:rsidRPr="00D97EFB">
        <w:tab/>
        <w:t>(c)</w:t>
      </w:r>
      <w:r w:rsidRPr="00D97EFB">
        <w:tab/>
        <w:t>subsection 912DAA(1);</w:t>
      </w:r>
    </w:p>
    <w:p w14:paraId="6906E2EA" w14:textId="77777777" w:rsidR="00E93F58" w:rsidRPr="00D97EFB" w:rsidRDefault="00E93F58" w:rsidP="00962BBD">
      <w:pPr>
        <w:pStyle w:val="paragraph"/>
      </w:pPr>
      <w:r w:rsidRPr="00D97EFB">
        <w:tab/>
        <w:t>(ca)</w:t>
      </w:r>
      <w:r w:rsidRPr="00D97EFB">
        <w:tab/>
        <w:t>subsection 912DAC(1);</w:t>
      </w:r>
    </w:p>
    <w:p w14:paraId="483C08BE" w14:textId="77777777" w:rsidR="00E93F58" w:rsidRPr="00D97EFB" w:rsidRDefault="00E93F58" w:rsidP="00244C3F">
      <w:pPr>
        <w:pStyle w:val="paragraph"/>
      </w:pPr>
      <w:r w:rsidRPr="00D97EFB">
        <w:tab/>
        <w:t>(d)</w:t>
      </w:r>
      <w:r w:rsidRPr="00D97EFB">
        <w:tab/>
        <w:t>subsection 1351(2).</w:t>
      </w:r>
    </w:p>
    <w:p w14:paraId="422843C7" w14:textId="77777777" w:rsidR="00E93F58" w:rsidRPr="00D97EFB" w:rsidRDefault="00E93F58" w:rsidP="00244C3F">
      <w:pPr>
        <w:pStyle w:val="ActHead5"/>
      </w:pPr>
      <w:bookmarkStart w:id="2270" w:name="_Toc151994414"/>
      <w:bookmarkStart w:id="2271" w:name="_Toc158712924"/>
      <w:r w:rsidRPr="000D40D5">
        <w:rPr>
          <w:rStyle w:val="CharSectno"/>
        </w:rPr>
        <w:t>9.4AB.02</w:t>
      </w:r>
      <w:r w:rsidRPr="00D97EFB">
        <w:t xml:space="preserve">  Prescribed civil penalty provisions (Act s 1317DAN)</w:t>
      </w:r>
      <w:bookmarkEnd w:id="2270"/>
      <w:bookmarkEnd w:id="2271"/>
    </w:p>
    <w:p w14:paraId="1DBD1292" w14:textId="77777777" w:rsidR="00E93F58" w:rsidRPr="00D97EFB" w:rsidRDefault="00E93F58" w:rsidP="00244C3F">
      <w:pPr>
        <w:pStyle w:val="subsection"/>
      </w:pPr>
      <w:r w:rsidRPr="00D97EFB">
        <w:tab/>
        <w:t>(1)</w:t>
      </w:r>
      <w:r w:rsidRPr="00D97EFB">
        <w:tab/>
        <w:t>This regulation is made for the purposes of paragraph 1317DAN(d) of the Act.</w:t>
      </w:r>
    </w:p>
    <w:p w14:paraId="797E2661" w14:textId="77777777" w:rsidR="00E93F58" w:rsidRPr="00D97EFB" w:rsidRDefault="00E93F58" w:rsidP="00244C3F">
      <w:pPr>
        <w:pStyle w:val="subsection"/>
      </w:pPr>
      <w:r w:rsidRPr="00D97EFB">
        <w:tab/>
        <w:t>(2)</w:t>
      </w:r>
      <w:r w:rsidRPr="00D97EFB">
        <w:tab/>
        <w:t>The following civil penalty provisions of the Act are subject to an infringement notice:</w:t>
      </w:r>
    </w:p>
    <w:p w14:paraId="7793520B" w14:textId="77777777" w:rsidR="00E93F58" w:rsidRPr="00D97EFB" w:rsidRDefault="00E93F58" w:rsidP="00244C3F">
      <w:pPr>
        <w:pStyle w:val="paragraph"/>
      </w:pPr>
      <w:r w:rsidRPr="00D97EFB">
        <w:tab/>
        <w:t>(a)</w:t>
      </w:r>
      <w:r w:rsidRPr="00D97EFB">
        <w:tab/>
        <w:t>subsections 188(1) and (2);</w:t>
      </w:r>
    </w:p>
    <w:p w14:paraId="69BF651B" w14:textId="77777777" w:rsidR="00E93F58" w:rsidRPr="00D97EFB" w:rsidRDefault="00E93F58" w:rsidP="00962BBD">
      <w:pPr>
        <w:pStyle w:val="paragraph"/>
      </w:pPr>
      <w:r w:rsidRPr="00D97EFB">
        <w:tab/>
        <w:t>(aa)</w:t>
      </w:r>
      <w:r w:rsidRPr="00D97EFB">
        <w:tab/>
        <w:t>subsection 912DAB(8);</w:t>
      </w:r>
    </w:p>
    <w:p w14:paraId="6E96B969" w14:textId="77777777" w:rsidR="00E93F58" w:rsidRPr="00D97EFB" w:rsidRDefault="00E93F58" w:rsidP="00244C3F">
      <w:pPr>
        <w:pStyle w:val="paragraph"/>
      </w:pPr>
      <w:r w:rsidRPr="00D97EFB">
        <w:tab/>
        <w:t>(b)</w:t>
      </w:r>
      <w:r w:rsidRPr="00D97EFB">
        <w:tab/>
        <w:t>subsection 941A(3);</w:t>
      </w:r>
    </w:p>
    <w:p w14:paraId="2753F3F9" w14:textId="77777777" w:rsidR="00E93F58" w:rsidRPr="00D97EFB" w:rsidRDefault="00E93F58" w:rsidP="00244C3F">
      <w:pPr>
        <w:pStyle w:val="paragraph"/>
      </w:pPr>
      <w:r w:rsidRPr="00D97EFB">
        <w:tab/>
        <w:t>(c)</w:t>
      </w:r>
      <w:r w:rsidRPr="00D97EFB">
        <w:tab/>
        <w:t>subsections 941B(4);</w:t>
      </w:r>
    </w:p>
    <w:p w14:paraId="5AC350A0" w14:textId="77777777" w:rsidR="00E93F58" w:rsidRPr="00D97EFB" w:rsidRDefault="00E93F58" w:rsidP="00244C3F">
      <w:pPr>
        <w:pStyle w:val="paragraph"/>
      </w:pPr>
      <w:r w:rsidRPr="00D97EFB">
        <w:tab/>
        <w:t>(d)</w:t>
      </w:r>
      <w:r w:rsidRPr="00D97EFB">
        <w:tab/>
        <w:t>subsection 946A(4);</w:t>
      </w:r>
    </w:p>
    <w:p w14:paraId="11F8FAAC" w14:textId="77777777" w:rsidR="00E93F58" w:rsidRPr="00D97EFB" w:rsidRDefault="00E93F58" w:rsidP="00244C3F">
      <w:pPr>
        <w:pStyle w:val="paragraph"/>
      </w:pPr>
      <w:r w:rsidRPr="00D97EFB">
        <w:tab/>
        <w:t>(e)</w:t>
      </w:r>
      <w:r w:rsidRPr="00D97EFB">
        <w:tab/>
        <w:t>section 962P;</w:t>
      </w:r>
    </w:p>
    <w:p w14:paraId="17B54538" w14:textId="77777777" w:rsidR="00E93F58" w:rsidRPr="00D97EFB" w:rsidRDefault="00E93F58" w:rsidP="00B92A18">
      <w:pPr>
        <w:pStyle w:val="paragraph"/>
      </w:pPr>
      <w:r w:rsidRPr="00D97EFB">
        <w:tab/>
        <w:t>(f)</w:t>
      </w:r>
      <w:r w:rsidRPr="00D97EFB">
        <w:tab/>
        <w:t>subsection 962U(3);</w:t>
      </w:r>
    </w:p>
    <w:p w14:paraId="202D39AE" w14:textId="77777777" w:rsidR="00E93F58" w:rsidRPr="00D97EFB" w:rsidRDefault="00E93F58" w:rsidP="00244C3F">
      <w:pPr>
        <w:pStyle w:val="paragraph"/>
      </w:pPr>
      <w:r w:rsidRPr="00D97EFB">
        <w:tab/>
        <w:t>(g)</w:t>
      </w:r>
      <w:r w:rsidRPr="00D97EFB">
        <w:tab/>
        <w:t>subsections 963E(1) and (2);</w:t>
      </w:r>
    </w:p>
    <w:p w14:paraId="020A94DE" w14:textId="77777777" w:rsidR="00E93F58" w:rsidRPr="00D97EFB" w:rsidRDefault="00E93F58" w:rsidP="00244C3F">
      <w:pPr>
        <w:pStyle w:val="paragraph"/>
      </w:pPr>
      <w:r w:rsidRPr="00D97EFB">
        <w:tab/>
        <w:t>(h)</w:t>
      </w:r>
      <w:r w:rsidRPr="00D97EFB">
        <w:tab/>
        <w:t>subsection 963G(1);</w:t>
      </w:r>
    </w:p>
    <w:p w14:paraId="6AFDB527" w14:textId="77777777" w:rsidR="00E93F58" w:rsidRPr="00D97EFB" w:rsidRDefault="00E93F58" w:rsidP="00244C3F">
      <w:pPr>
        <w:pStyle w:val="paragraph"/>
      </w:pPr>
      <w:r w:rsidRPr="00D97EFB">
        <w:tab/>
        <w:t>(i)</w:t>
      </w:r>
      <w:r w:rsidRPr="00D97EFB">
        <w:tab/>
        <w:t>section 963J;</w:t>
      </w:r>
    </w:p>
    <w:p w14:paraId="221B9554" w14:textId="77777777" w:rsidR="00E93F58" w:rsidRPr="00D97EFB" w:rsidRDefault="00E93F58" w:rsidP="00244C3F">
      <w:pPr>
        <w:pStyle w:val="paragraph"/>
      </w:pPr>
      <w:r w:rsidRPr="00D97EFB">
        <w:tab/>
        <w:t>(j)</w:t>
      </w:r>
      <w:r w:rsidRPr="00D97EFB">
        <w:tab/>
        <w:t>section 963K;</w:t>
      </w:r>
    </w:p>
    <w:p w14:paraId="173C812C" w14:textId="77777777" w:rsidR="00E93F58" w:rsidRPr="00D97EFB" w:rsidRDefault="00E93F58" w:rsidP="00244C3F">
      <w:pPr>
        <w:pStyle w:val="paragraph"/>
      </w:pPr>
      <w:r w:rsidRPr="00D97EFB">
        <w:tab/>
        <w:t>(k)</w:t>
      </w:r>
      <w:r w:rsidRPr="00D97EFB">
        <w:tab/>
        <w:t>subsection 964A(1);</w:t>
      </w:r>
    </w:p>
    <w:p w14:paraId="07343DAB" w14:textId="77777777" w:rsidR="00E93F58" w:rsidRPr="00D97EFB" w:rsidRDefault="00E93F58" w:rsidP="00244C3F">
      <w:pPr>
        <w:pStyle w:val="paragraph"/>
      </w:pPr>
      <w:r w:rsidRPr="00D97EFB">
        <w:tab/>
        <w:t>(l)</w:t>
      </w:r>
      <w:r w:rsidRPr="00D97EFB">
        <w:tab/>
        <w:t>subsections 964D(1) and (2);</w:t>
      </w:r>
    </w:p>
    <w:p w14:paraId="7A2E83F0" w14:textId="77777777" w:rsidR="00E93F58" w:rsidRPr="00D97EFB" w:rsidRDefault="00E93F58" w:rsidP="00244C3F">
      <w:pPr>
        <w:pStyle w:val="paragraph"/>
      </w:pPr>
      <w:r w:rsidRPr="00D97EFB">
        <w:tab/>
        <w:t>(m)</w:t>
      </w:r>
      <w:r w:rsidRPr="00D97EFB">
        <w:tab/>
        <w:t>subsection 964E(1);</w:t>
      </w:r>
    </w:p>
    <w:p w14:paraId="65887E94" w14:textId="77777777" w:rsidR="00E93F58" w:rsidRPr="00D97EFB" w:rsidRDefault="00E93F58" w:rsidP="00244C3F">
      <w:pPr>
        <w:pStyle w:val="paragraph"/>
      </w:pPr>
      <w:r w:rsidRPr="00D97EFB">
        <w:tab/>
        <w:t>(n)</w:t>
      </w:r>
      <w:r w:rsidRPr="00D97EFB">
        <w:tab/>
        <w:t>subsection 985E(1);</w:t>
      </w:r>
    </w:p>
    <w:p w14:paraId="406CDF4A" w14:textId="77777777" w:rsidR="00E93F58" w:rsidRPr="00D97EFB" w:rsidRDefault="00E93F58" w:rsidP="00244C3F">
      <w:pPr>
        <w:pStyle w:val="paragraph"/>
      </w:pPr>
      <w:r w:rsidRPr="00D97EFB">
        <w:tab/>
        <w:t>(o)</w:t>
      </w:r>
      <w:r w:rsidRPr="00D97EFB">
        <w:tab/>
        <w:t>section 985L;</w:t>
      </w:r>
    </w:p>
    <w:p w14:paraId="2BBEE676" w14:textId="77777777" w:rsidR="00E93F58" w:rsidRPr="00D97EFB" w:rsidRDefault="00E93F58" w:rsidP="00244C3F">
      <w:pPr>
        <w:pStyle w:val="paragraph"/>
      </w:pPr>
      <w:r w:rsidRPr="00D97EFB">
        <w:tab/>
        <w:t>(p)</w:t>
      </w:r>
      <w:r w:rsidRPr="00D97EFB">
        <w:tab/>
        <w:t>subsection 1012A(5);</w:t>
      </w:r>
    </w:p>
    <w:p w14:paraId="559C08C5" w14:textId="77777777" w:rsidR="00E93F58" w:rsidRPr="00D97EFB" w:rsidRDefault="00E93F58" w:rsidP="00244C3F">
      <w:pPr>
        <w:pStyle w:val="paragraph"/>
      </w:pPr>
      <w:r w:rsidRPr="00D97EFB">
        <w:tab/>
        <w:t>(q)</w:t>
      </w:r>
      <w:r w:rsidRPr="00D97EFB">
        <w:tab/>
        <w:t>subsection 1012B(6);</w:t>
      </w:r>
    </w:p>
    <w:p w14:paraId="5E09477B" w14:textId="77777777" w:rsidR="00E93F58" w:rsidRPr="00D97EFB" w:rsidRDefault="00E93F58" w:rsidP="00244C3F">
      <w:pPr>
        <w:pStyle w:val="paragraph"/>
      </w:pPr>
      <w:r w:rsidRPr="00D97EFB">
        <w:tab/>
        <w:t>(r)</w:t>
      </w:r>
      <w:r w:rsidRPr="00D97EFB">
        <w:tab/>
        <w:t>subsection 1012C(11);</w:t>
      </w:r>
    </w:p>
    <w:p w14:paraId="25081253" w14:textId="77777777" w:rsidR="00E93F58" w:rsidRPr="00D97EFB" w:rsidRDefault="00E93F58" w:rsidP="00244C3F">
      <w:pPr>
        <w:pStyle w:val="paragraph"/>
      </w:pPr>
      <w:r w:rsidRPr="00D97EFB">
        <w:tab/>
        <w:t>(s)</w:t>
      </w:r>
      <w:r w:rsidRPr="00D97EFB">
        <w:tab/>
        <w:t>subsection 1017BA(4B).</w:t>
      </w:r>
    </w:p>
    <w:p w14:paraId="41B3CF6C" w14:textId="77777777" w:rsidR="00E93F58" w:rsidRPr="00D97EFB" w:rsidRDefault="00E93F58" w:rsidP="00E23F70">
      <w:pPr>
        <w:pStyle w:val="ActHead2"/>
        <w:pageBreakBefore/>
      </w:pPr>
      <w:bookmarkStart w:id="2272" w:name="_Toc151994415"/>
      <w:bookmarkStart w:id="2273" w:name="_Toc158712925"/>
      <w:r w:rsidRPr="000D40D5">
        <w:rPr>
          <w:rStyle w:val="CharPartNo"/>
        </w:rPr>
        <w:lastRenderedPageBreak/>
        <w:t>Part 9.5</w:t>
      </w:r>
      <w:r w:rsidRPr="00D97EFB">
        <w:t>—</w:t>
      </w:r>
      <w:r w:rsidRPr="000D40D5">
        <w:rPr>
          <w:rStyle w:val="CharPartText"/>
        </w:rPr>
        <w:t>Delegation of powers and functions under the Act</w:t>
      </w:r>
      <w:bookmarkEnd w:id="2272"/>
      <w:bookmarkEnd w:id="2273"/>
    </w:p>
    <w:p w14:paraId="2A2930D6" w14:textId="77777777" w:rsidR="00E93F58" w:rsidRPr="00D97EFB" w:rsidRDefault="00E93F58" w:rsidP="0043693D">
      <w:pPr>
        <w:pStyle w:val="Header"/>
      </w:pPr>
      <w:r w:rsidRPr="000D40D5">
        <w:rPr>
          <w:rStyle w:val="CharDivNo"/>
        </w:rPr>
        <w:t xml:space="preserve"> </w:t>
      </w:r>
      <w:r w:rsidRPr="000D40D5">
        <w:rPr>
          <w:rStyle w:val="CharDivText"/>
        </w:rPr>
        <w:t xml:space="preserve"> </w:t>
      </w:r>
    </w:p>
    <w:p w14:paraId="094349FA" w14:textId="77777777" w:rsidR="00E93F58" w:rsidRPr="00D97EFB" w:rsidRDefault="00E93F58" w:rsidP="00BB7E31">
      <w:pPr>
        <w:pStyle w:val="ActHead5"/>
      </w:pPr>
      <w:bookmarkStart w:id="2274" w:name="_Toc151994416"/>
      <w:bookmarkStart w:id="2275" w:name="_Toc158712926"/>
      <w:r w:rsidRPr="000D40D5">
        <w:rPr>
          <w:rStyle w:val="CharSectno"/>
        </w:rPr>
        <w:t>9.5.01</w:t>
      </w:r>
      <w:r w:rsidRPr="00D97EFB">
        <w:t xml:space="preserve">  Prescribed functions (Law s 1345A(1))</w:t>
      </w:r>
      <w:bookmarkEnd w:id="2274"/>
      <w:bookmarkEnd w:id="2275"/>
    </w:p>
    <w:p w14:paraId="7579B330" w14:textId="77777777" w:rsidR="00E93F58" w:rsidRPr="00D97EFB" w:rsidRDefault="00E93F58" w:rsidP="00BB7E31">
      <w:pPr>
        <w:pStyle w:val="subsection"/>
      </w:pPr>
      <w:r w:rsidRPr="00D97EFB">
        <w:tab/>
      </w:r>
      <w:r w:rsidRPr="00D97EFB">
        <w:tab/>
        <w:t>For subsection 1345A(1) of the Act, the functions and powers of the Minister under the following provisions of the Act are prescribed:</w:t>
      </w:r>
    </w:p>
    <w:p w14:paraId="58DC418E" w14:textId="77777777" w:rsidR="00E93F58" w:rsidRPr="00D97EFB" w:rsidRDefault="00E93F58" w:rsidP="00BB7E31">
      <w:pPr>
        <w:pStyle w:val="paragraph"/>
      </w:pPr>
      <w:r w:rsidRPr="00D97EFB">
        <w:tab/>
        <w:t>(a)</w:t>
      </w:r>
      <w:r w:rsidRPr="00D97EFB">
        <w:tab/>
        <w:t>subsection 147(2) or 601DC(2) (Names available with Minister’s consent);</w:t>
      </w:r>
    </w:p>
    <w:p w14:paraId="14CBCE03" w14:textId="77777777" w:rsidR="00E93F58" w:rsidRPr="00D97EFB" w:rsidRDefault="00E93F58" w:rsidP="00A95BE0">
      <w:pPr>
        <w:pStyle w:val="paragraph"/>
      </w:pPr>
      <w:r w:rsidRPr="00D97EFB">
        <w:tab/>
        <w:t>(b)</w:t>
      </w:r>
      <w:r w:rsidRPr="00D97EFB">
        <w:tab/>
        <w:t>subsection 921G(2) (Approving or refusing to approve foreign qualifications);</w:t>
      </w:r>
    </w:p>
    <w:p w14:paraId="69AB125E" w14:textId="77777777" w:rsidR="00E93F58" w:rsidRPr="00D97EFB" w:rsidRDefault="00E93F58" w:rsidP="00A95BE0">
      <w:pPr>
        <w:pStyle w:val="paragraph"/>
      </w:pPr>
      <w:r w:rsidRPr="00D97EFB">
        <w:tab/>
        <w:t>(ba)</w:t>
      </w:r>
      <w:r w:rsidRPr="00D97EFB">
        <w:tab/>
        <w:t>subsection 921G(4) (Specifying courses);</w:t>
      </w:r>
    </w:p>
    <w:p w14:paraId="62EC92B6" w14:textId="77777777" w:rsidR="00E93F58" w:rsidRPr="00D97EFB" w:rsidRDefault="00E93F58" w:rsidP="00BB7E31">
      <w:pPr>
        <w:pStyle w:val="paragraph"/>
      </w:pPr>
      <w:r w:rsidRPr="00D97EFB">
        <w:tab/>
        <w:t>(c)</w:t>
      </w:r>
      <w:r w:rsidRPr="00D97EFB">
        <w:tab/>
        <w:t>Part 9.7 (Unclaimed property).</w:t>
      </w:r>
    </w:p>
    <w:p w14:paraId="28C545E8" w14:textId="77777777" w:rsidR="00E93F58" w:rsidRPr="00D97EFB" w:rsidRDefault="00E93F58" w:rsidP="002B7DA6">
      <w:pPr>
        <w:pStyle w:val="ActHead2"/>
        <w:pageBreakBefore/>
      </w:pPr>
      <w:bookmarkStart w:id="2276" w:name="_Toc151994417"/>
      <w:bookmarkStart w:id="2277" w:name="_Toc158712927"/>
      <w:r w:rsidRPr="000D40D5">
        <w:rPr>
          <w:rStyle w:val="CharPartNo"/>
        </w:rPr>
        <w:lastRenderedPageBreak/>
        <w:t>Part 9.7</w:t>
      </w:r>
      <w:r w:rsidRPr="00D97EFB">
        <w:t>—</w:t>
      </w:r>
      <w:r w:rsidRPr="000D40D5">
        <w:rPr>
          <w:rStyle w:val="CharPartText"/>
        </w:rPr>
        <w:t>Unclaimed property</w:t>
      </w:r>
      <w:bookmarkEnd w:id="2276"/>
      <w:bookmarkEnd w:id="2277"/>
    </w:p>
    <w:p w14:paraId="33179D70" w14:textId="77777777" w:rsidR="00E93F58" w:rsidRPr="00D97EFB" w:rsidRDefault="00E93F58" w:rsidP="0043693D">
      <w:pPr>
        <w:pStyle w:val="Header"/>
      </w:pPr>
      <w:r w:rsidRPr="000D40D5">
        <w:rPr>
          <w:rStyle w:val="CharDivNo"/>
        </w:rPr>
        <w:t xml:space="preserve"> </w:t>
      </w:r>
      <w:r w:rsidRPr="000D40D5">
        <w:rPr>
          <w:rStyle w:val="CharDivText"/>
        </w:rPr>
        <w:t xml:space="preserve"> </w:t>
      </w:r>
    </w:p>
    <w:p w14:paraId="2BFFA875" w14:textId="77777777" w:rsidR="00E93F58" w:rsidRPr="00D97EFB" w:rsidRDefault="00E93F58" w:rsidP="00FB29FD">
      <w:pPr>
        <w:pStyle w:val="ActHead5"/>
      </w:pPr>
      <w:bookmarkStart w:id="2278" w:name="_Toc151994418"/>
      <w:bookmarkStart w:id="2279" w:name="_Toc158712928"/>
      <w:r w:rsidRPr="000D40D5">
        <w:rPr>
          <w:rStyle w:val="CharSectno"/>
        </w:rPr>
        <w:t>9.7.01</w:t>
      </w:r>
      <w:r w:rsidRPr="00D97EFB">
        <w:t xml:space="preserve">  Entitlement to unclaimed property</w:t>
      </w:r>
      <w:bookmarkEnd w:id="2278"/>
      <w:bookmarkEnd w:id="2279"/>
    </w:p>
    <w:p w14:paraId="09EE5105" w14:textId="77777777" w:rsidR="00E93F58" w:rsidRPr="00D97EFB" w:rsidRDefault="00E93F58" w:rsidP="00FB29FD">
      <w:pPr>
        <w:pStyle w:val="subsection"/>
      </w:pPr>
      <w:r w:rsidRPr="00D97EFB">
        <w:tab/>
        <w:t>(1)</w:t>
      </w:r>
      <w:r w:rsidRPr="00D97EFB">
        <w:tab/>
        <w:t>This regulation sets out how to work out the interest for paragraph 1341(3A)(a) of the Act.</w:t>
      </w:r>
    </w:p>
    <w:p w14:paraId="16A6EF5B" w14:textId="77777777" w:rsidR="00E93F58" w:rsidRPr="00D97EFB" w:rsidRDefault="00E93F58" w:rsidP="00FB29FD">
      <w:pPr>
        <w:pStyle w:val="subsection"/>
      </w:pPr>
      <w:r w:rsidRPr="00D97EFB">
        <w:tab/>
        <w:t>(2)</w:t>
      </w:r>
      <w:r w:rsidRPr="00D97EFB">
        <w:tab/>
        <w:t>If the unclaimed money is paid to ASIC in more than one payment, the interest is to be worked out separately for each payment.</w:t>
      </w:r>
    </w:p>
    <w:p w14:paraId="1D3934ED" w14:textId="77777777" w:rsidR="00E93F58" w:rsidRPr="00D97EFB" w:rsidRDefault="00E93F58" w:rsidP="00FB29FD">
      <w:pPr>
        <w:pStyle w:val="subsection"/>
      </w:pPr>
      <w:r w:rsidRPr="00D97EFB">
        <w:tab/>
        <w:t>(3)</w:t>
      </w:r>
      <w:r w:rsidRPr="00D97EFB">
        <w:tab/>
        <w:t xml:space="preserve">The interest is to be worked out for the period (the </w:t>
      </w:r>
      <w:r w:rsidRPr="00D97EFB">
        <w:rPr>
          <w:b/>
          <w:i/>
        </w:rPr>
        <w:t>interest period</w:t>
      </w:r>
      <w:r w:rsidRPr="00D97EFB">
        <w:t>) that:</w:t>
      </w:r>
    </w:p>
    <w:p w14:paraId="36B02AC9" w14:textId="77777777" w:rsidR="00E93F58" w:rsidRPr="00D97EFB" w:rsidRDefault="00E93F58" w:rsidP="00FB29FD">
      <w:pPr>
        <w:pStyle w:val="paragraph"/>
      </w:pPr>
      <w:r w:rsidRPr="00D97EFB">
        <w:tab/>
        <w:t>(a)</w:t>
      </w:r>
      <w:r w:rsidRPr="00D97EFB">
        <w:tab/>
        <w:t>starts on the later of:</w:t>
      </w:r>
    </w:p>
    <w:p w14:paraId="1F662DD3" w14:textId="77777777" w:rsidR="00E93F58" w:rsidRPr="00D97EFB" w:rsidRDefault="00E93F58" w:rsidP="00FB29FD">
      <w:pPr>
        <w:pStyle w:val="paragraphsub"/>
      </w:pPr>
      <w:r w:rsidRPr="00D97EFB">
        <w:tab/>
        <w:t>(i)</w:t>
      </w:r>
      <w:r w:rsidRPr="00D97EFB">
        <w:tab/>
        <w:t>1 July 2013; and</w:t>
      </w:r>
    </w:p>
    <w:p w14:paraId="2DF8B219" w14:textId="77777777" w:rsidR="00E93F58" w:rsidRPr="00D97EFB" w:rsidRDefault="00E93F58" w:rsidP="00FB29FD">
      <w:pPr>
        <w:pStyle w:val="paragraphsub"/>
      </w:pPr>
      <w:r w:rsidRPr="00D97EFB">
        <w:tab/>
        <w:t>(ii)</w:t>
      </w:r>
      <w:r w:rsidRPr="00D97EFB">
        <w:tab/>
        <w:t>the day when the unclaimed money was paid to ASIC; and</w:t>
      </w:r>
    </w:p>
    <w:p w14:paraId="38D536A2" w14:textId="77777777" w:rsidR="00E93F58" w:rsidRPr="00D97EFB" w:rsidRDefault="00E93F58" w:rsidP="00FB29FD">
      <w:pPr>
        <w:pStyle w:val="paragraph"/>
      </w:pPr>
      <w:r w:rsidRPr="00D97EFB">
        <w:tab/>
        <w:t>(b)</w:t>
      </w:r>
      <w:r w:rsidRPr="00D97EFB">
        <w:tab/>
        <w:t>ends on the 14th day after ASIC last authorised the unclaimed money to be paid under subsection 1341(1) or (2) of the Act.</w:t>
      </w:r>
    </w:p>
    <w:p w14:paraId="669DBE9D" w14:textId="77777777" w:rsidR="00E93F58" w:rsidRPr="00D97EFB" w:rsidRDefault="00E93F58" w:rsidP="00FB29FD">
      <w:pPr>
        <w:pStyle w:val="subsection"/>
      </w:pPr>
      <w:r w:rsidRPr="00D97EFB">
        <w:tab/>
        <w:t>(4)</w:t>
      </w:r>
      <w:r w:rsidRPr="00D97EFB">
        <w:tab/>
        <w:t>The interest is to be worked out by adding together the interest for each financial year during the interest period.</w:t>
      </w:r>
    </w:p>
    <w:p w14:paraId="4CA67E1A" w14:textId="77777777" w:rsidR="00E93F58" w:rsidRPr="00D97EFB" w:rsidRDefault="00E93F58" w:rsidP="00FB29FD">
      <w:pPr>
        <w:pStyle w:val="subsection"/>
      </w:pPr>
      <w:r w:rsidRPr="00D97EFB">
        <w:tab/>
        <w:t>(5)</w:t>
      </w:r>
      <w:r w:rsidRPr="00D97EFB">
        <w:tab/>
        <w:t>The interest for each financial year is worked out using the following formula, and rounding the result to the nearest cent:</w:t>
      </w:r>
    </w:p>
    <w:p w14:paraId="2A4088F5" w14:textId="77777777" w:rsidR="00E93F58" w:rsidRPr="00D97EFB" w:rsidRDefault="00E93F58" w:rsidP="00FB29FD">
      <w:pPr>
        <w:pStyle w:val="subsection"/>
      </w:pPr>
      <w:r w:rsidRPr="00D97EFB">
        <w:tab/>
      </w:r>
      <w:r w:rsidRPr="00D97EFB">
        <w:tab/>
      </w:r>
      <w:r w:rsidRPr="00D97EFB">
        <w:rPr>
          <w:noProof/>
        </w:rPr>
        <w:drawing>
          <wp:inline distT="0" distB="0" distL="0" distR="0" wp14:anchorId="4E0BC40E" wp14:editId="346D208F">
            <wp:extent cx="2409190" cy="445135"/>
            <wp:effectExtent l="0" t="0" r="0" b="0"/>
            <wp:docPr id="1922575786" name="Picture 1922575786" descr="start formula start fraction Amount times Days interest payable times Interest rate over Days in the financial year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 formula start fraction Amount times Days payable times Interest rate over Days in the financial year end fraction end formu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190" cy="445135"/>
                    </a:xfrm>
                    <a:prstGeom prst="rect">
                      <a:avLst/>
                    </a:prstGeom>
                    <a:noFill/>
                    <a:ln>
                      <a:noFill/>
                    </a:ln>
                  </pic:spPr>
                </pic:pic>
              </a:graphicData>
            </a:graphic>
          </wp:inline>
        </w:drawing>
      </w:r>
    </w:p>
    <w:p w14:paraId="08D2ECDC" w14:textId="77777777" w:rsidR="00E93F58" w:rsidRPr="00D97EFB" w:rsidRDefault="00E93F58" w:rsidP="00FB29FD">
      <w:pPr>
        <w:pStyle w:val="subsection"/>
      </w:pPr>
      <w:r w:rsidRPr="00D97EFB">
        <w:tab/>
      </w:r>
      <w:r w:rsidRPr="00D97EFB">
        <w:tab/>
        <w:t>where:</w:t>
      </w:r>
    </w:p>
    <w:p w14:paraId="1ED55CD6" w14:textId="77777777" w:rsidR="00E93F58" w:rsidRPr="00D97EFB" w:rsidRDefault="00E93F58" w:rsidP="00FB29FD">
      <w:pPr>
        <w:pStyle w:val="Definition"/>
      </w:pPr>
      <w:r w:rsidRPr="00D97EFB">
        <w:rPr>
          <w:b/>
          <w:i/>
        </w:rPr>
        <w:t>amount</w:t>
      </w:r>
      <w:r w:rsidRPr="00D97EFB">
        <w:t xml:space="preserve"> means the amount of unclaimed money plus the interest (if any) worked out for each earlier financial year for which interest is payable.</w:t>
      </w:r>
    </w:p>
    <w:p w14:paraId="7A5737F5" w14:textId="77777777" w:rsidR="00E93F58" w:rsidRPr="00D97EFB" w:rsidRDefault="00E93F58" w:rsidP="00FB29FD">
      <w:pPr>
        <w:pStyle w:val="Definition"/>
      </w:pPr>
      <w:r w:rsidRPr="00D97EFB">
        <w:rPr>
          <w:b/>
          <w:i/>
        </w:rPr>
        <w:t>days interest payable</w:t>
      </w:r>
      <w:r w:rsidRPr="00D97EFB">
        <w:t xml:space="preserve"> means the number of days in the financial year for which interest is payable.</w:t>
      </w:r>
    </w:p>
    <w:p w14:paraId="7F0AB75F" w14:textId="77777777" w:rsidR="00E93F58" w:rsidRPr="00D97EFB" w:rsidRDefault="00E93F58" w:rsidP="00FB29FD">
      <w:pPr>
        <w:pStyle w:val="Definition"/>
      </w:pPr>
      <w:r w:rsidRPr="00D97EFB">
        <w:rPr>
          <w:b/>
          <w:i/>
        </w:rPr>
        <w:t>days in the financial year</w:t>
      </w:r>
      <w:r w:rsidRPr="00D97EFB">
        <w:t xml:space="preserve"> means the number of days in the financial year.</w:t>
      </w:r>
    </w:p>
    <w:p w14:paraId="5929C400" w14:textId="77777777" w:rsidR="00E93F58" w:rsidRPr="00D97EFB" w:rsidRDefault="00E93F58" w:rsidP="00FB29FD">
      <w:pPr>
        <w:pStyle w:val="Definition"/>
      </w:pPr>
      <w:r w:rsidRPr="00D97EFB">
        <w:rPr>
          <w:b/>
          <w:i/>
        </w:rPr>
        <w:t>interest rate</w:t>
      </w:r>
      <w:r w:rsidRPr="00D97EFB">
        <w:t>, for a financial year, means:</w:t>
      </w:r>
    </w:p>
    <w:p w14:paraId="32512405" w14:textId="77777777" w:rsidR="00E93F58" w:rsidRPr="00D97EFB" w:rsidRDefault="00E93F58" w:rsidP="00FB29FD">
      <w:pPr>
        <w:pStyle w:val="paragraph"/>
      </w:pPr>
      <w:r w:rsidRPr="00D97EFB">
        <w:tab/>
        <w:t>(a)</w:t>
      </w:r>
      <w:r w:rsidRPr="00D97EFB">
        <w:tab/>
        <w:t>the percentage change in the All Groups CPI between the 2 March quarters most recently published before the first day of the financial year (rounded up to 4 decimal places); or</w:t>
      </w:r>
    </w:p>
    <w:p w14:paraId="6DDF9C7F" w14:textId="77777777" w:rsidR="00E93F58" w:rsidRPr="00D97EFB" w:rsidRDefault="00E93F58" w:rsidP="00FB29FD">
      <w:pPr>
        <w:pStyle w:val="paragraph"/>
      </w:pPr>
      <w:r w:rsidRPr="00D97EFB">
        <w:tab/>
        <w:t>(b)</w:t>
      </w:r>
      <w:r w:rsidRPr="00D97EFB">
        <w:tab/>
        <w:t>if that percentage change is less than 0%—0%.</w:t>
      </w:r>
    </w:p>
    <w:p w14:paraId="36839552" w14:textId="77777777" w:rsidR="00E93F58" w:rsidRPr="00D97EFB" w:rsidRDefault="00E93F58" w:rsidP="002966AA">
      <w:pPr>
        <w:pStyle w:val="ActHead2"/>
        <w:pageBreakBefore/>
      </w:pPr>
      <w:bookmarkStart w:id="2280" w:name="_Toc151994419"/>
      <w:bookmarkStart w:id="2281" w:name="_Toc158712929"/>
      <w:r w:rsidRPr="000D40D5">
        <w:rPr>
          <w:rStyle w:val="CharPartNo"/>
        </w:rPr>
        <w:lastRenderedPageBreak/>
        <w:t>Part 9.10</w:t>
      </w:r>
      <w:r w:rsidRPr="00D97EFB">
        <w:t>—</w:t>
      </w:r>
      <w:r w:rsidRPr="000D40D5">
        <w:rPr>
          <w:rStyle w:val="CharPartText"/>
        </w:rPr>
        <w:t>Fees imposed by the Corporations (Fees) Act 2001 and the Corporations (Review Fees) Act 2003</w:t>
      </w:r>
      <w:bookmarkEnd w:id="2280"/>
      <w:bookmarkEnd w:id="2281"/>
    </w:p>
    <w:p w14:paraId="710434E4" w14:textId="77777777" w:rsidR="00E93F58" w:rsidRPr="00D97EFB" w:rsidRDefault="00E93F58" w:rsidP="00244C3F">
      <w:pPr>
        <w:pStyle w:val="Header"/>
      </w:pPr>
      <w:r w:rsidRPr="000D40D5">
        <w:rPr>
          <w:rStyle w:val="CharDivNo"/>
        </w:rPr>
        <w:t xml:space="preserve"> </w:t>
      </w:r>
      <w:r w:rsidRPr="000D40D5">
        <w:rPr>
          <w:rStyle w:val="CharDivText"/>
        </w:rPr>
        <w:t xml:space="preserve"> </w:t>
      </w:r>
    </w:p>
    <w:p w14:paraId="496E0151" w14:textId="77777777" w:rsidR="00E93F58" w:rsidRPr="00D97EFB" w:rsidRDefault="00E93F58" w:rsidP="00244C3F">
      <w:pPr>
        <w:pStyle w:val="ActHead5"/>
      </w:pPr>
      <w:bookmarkStart w:id="2282" w:name="_Toc151994420"/>
      <w:bookmarkStart w:id="2283" w:name="_Toc158712930"/>
      <w:r w:rsidRPr="000D40D5">
        <w:rPr>
          <w:rStyle w:val="CharSectno"/>
        </w:rPr>
        <w:t>9.10.01</w:t>
      </w:r>
      <w:r w:rsidRPr="00D97EFB">
        <w:t xml:space="preserve">  Penalty for failure to pay review fee on time—prescribed penalty (Act s 1364)</w:t>
      </w:r>
      <w:bookmarkEnd w:id="2282"/>
      <w:bookmarkEnd w:id="2283"/>
    </w:p>
    <w:p w14:paraId="1C356F3F" w14:textId="77777777" w:rsidR="00E93F58" w:rsidRPr="00D97EFB" w:rsidRDefault="00E93F58" w:rsidP="00244C3F">
      <w:pPr>
        <w:pStyle w:val="subsection"/>
      </w:pPr>
      <w:r w:rsidRPr="00D97EFB">
        <w:tab/>
        <w:t>(1)</w:t>
      </w:r>
      <w:r w:rsidRPr="00D97EFB">
        <w:tab/>
        <w:t>This regulation is made for the purposes of paragraph 1364(2)(n) of the Act.</w:t>
      </w:r>
    </w:p>
    <w:p w14:paraId="48F9902A" w14:textId="77777777" w:rsidR="00E93F58" w:rsidRPr="00D97EFB" w:rsidRDefault="00E93F58" w:rsidP="00244C3F">
      <w:pPr>
        <w:pStyle w:val="subsection"/>
      </w:pPr>
      <w:r w:rsidRPr="00D97EFB">
        <w:tab/>
        <w:t>(2)</w:t>
      </w:r>
      <w:r w:rsidRPr="00D97EFB">
        <w:tab/>
        <w:t>The penalty for the failure to pay a review fee is:</w:t>
      </w:r>
    </w:p>
    <w:p w14:paraId="291C71A7" w14:textId="77777777" w:rsidR="00E93F58" w:rsidRPr="00D97EFB" w:rsidRDefault="00E93F58" w:rsidP="00244C3F">
      <w:pPr>
        <w:pStyle w:val="paragraph"/>
      </w:pPr>
      <w:r w:rsidRPr="00D97EFB">
        <w:tab/>
        <w:t>(a)</w:t>
      </w:r>
      <w:r w:rsidRPr="00D97EFB">
        <w:tab/>
        <w:t>if payment is received within 1 month after the due date—$65; and</w:t>
      </w:r>
    </w:p>
    <w:p w14:paraId="4340D7B4" w14:textId="77777777" w:rsidR="00E93F58" w:rsidRPr="00D97EFB" w:rsidRDefault="00E93F58" w:rsidP="00244C3F">
      <w:pPr>
        <w:pStyle w:val="paragraph"/>
      </w:pPr>
      <w:r w:rsidRPr="00D97EFB">
        <w:tab/>
        <w:t>(b)</w:t>
      </w:r>
      <w:r w:rsidRPr="00D97EFB">
        <w:tab/>
        <w:t>if payment is not received within 1 month after the due date—$270.</w:t>
      </w:r>
    </w:p>
    <w:p w14:paraId="299FEB89" w14:textId="77777777" w:rsidR="00E93F58" w:rsidRPr="00D97EFB" w:rsidRDefault="00E93F58" w:rsidP="00244C3F">
      <w:pPr>
        <w:pStyle w:val="notetext"/>
      </w:pPr>
      <w:r w:rsidRPr="00D97EFB">
        <w:t>Note:</w:t>
      </w:r>
      <w:r w:rsidRPr="00D97EFB">
        <w:tab/>
        <w:t>The date on which a service fee is due and payable is worked out under subsection 1351(3) of the Act.</w:t>
      </w:r>
    </w:p>
    <w:p w14:paraId="771BA3C2" w14:textId="77777777" w:rsidR="00E93F58" w:rsidRPr="00D97EFB" w:rsidRDefault="00E93F58" w:rsidP="00BB7E31">
      <w:pPr>
        <w:pStyle w:val="ActHead2"/>
        <w:pageBreakBefore/>
      </w:pPr>
      <w:bookmarkStart w:id="2284" w:name="_Toc151994421"/>
      <w:bookmarkStart w:id="2285" w:name="_Toc158712931"/>
      <w:r w:rsidRPr="000D40D5">
        <w:rPr>
          <w:rStyle w:val="CharPartNo"/>
        </w:rPr>
        <w:lastRenderedPageBreak/>
        <w:t>Part 9.12</w:t>
      </w:r>
      <w:r w:rsidRPr="00D97EFB">
        <w:t>—</w:t>
      </w:r>
      <w:r w:rsidRPr="000D40D5">
        <w:rPr>
          <w:rStyle w:val="CharPartText"/>
        </w:rPr>
        <w:t>Matters relating to regulations</w:t>
      </w:r>
      <w:bookmarkEnd w:id="2284"/>
      <w:bookmarkEnd w:id="2285"/>
    </w:p>
    <w:p w14:paraId="7A664422" w14:textId="77777777" w:rsidR="00E93F58" w:rsidRPr="00D97EFB" w:rsidRDefault="00E93F58" w:rsidP="0043693D">
      <w:pPr>
        <w:pStyle w:val="Header"/>
      </w:pPr>
      <w:r w:rsidRPr="000D40D5">
        <w:rPr>
          <w:rStyle w:val="CharDivNo"/>
        </w:rPr>
        <w:t xml:space="preserve"> </w:t>
      </w:r>
      <w:r w:rsidRPr="000D40D5">
        <w:rPr>
          <w:rStyle w:val="CharDivText"/>
        </w:rPr>
        <w:t xml:space="preserve"> </w:t>
      </w:r>
    </w:p>
    <w:p w14:paraId="4050B387" w14:textId="77777777" w:rsidR="00E93F58" w:rsidRPr="00D97EFB" w:rsidRDefault="00E93F58" w:rsidP="00BB7E31">
      <w:pPr>
        <w:pStyle w:val="ActHead5"/>
      </w:pPr>
      <w:bookmarkStart w:id="2286" w:name="_Toc151994422"/>
      <w:bookmarkStart w:id="2287" w:name="_Toc158712932"/>
      <w:r w:rsidRPr="000D40D5">
        <w:rPr>
          <w:rStyle w:val="CharSectno"/>
        </w:rPr>
        <w:t>9.12.01</w:t>
      </w:r>
      <w:r w:rsidRPr="00D97EFB">
        <w:t xml:space="preserve">  Exemptions from Chapter 7</w:t>
      </w:r>
      <w:bookmarkEnd w:id="2286"/>
      <w:bookmarkEnd w:id="2287"/>
    </w:p>
    <w:p w14:paraId="73042086" w14:textId="77777777" w:rsidR="00E93F58" w:rsidRPr="00D97EFB" w:rsidRDefault="00E93F58" w:rsidP="00BB7E31">
      <w:pPr>
        <w:pStyle w:val="subsection"/>
      </w:pPr>
      <w:r w:rsidRPr="00D97EFB">
        <w:tab/>
      </w:r>
      <w:r w:rsidRPr="00D97EFB">
        <w:tab/>
        <w:t>Subsection 1043A(1) of the Act does not have effect in relation to the following:</w:t>
      </w:r>
    </w:p>
    <w:p w14:paraId="0060B6C2" w14:textId="77777777" w:rsidR="00E93F58" w:rsidRPr="00D97EFB" w:rsidRDefault="00E93F58" w:rsidP="00BB7E31">
      <w:pPr>
        <w:pStyle w:val="paragraph"/>
      </w:pPr>
      <w:r w:rsidRPr="00D97EFB">
        <w:tab/>
        <w:t>(a)</w:t>
      </w:r>
      <w:r w:rsidRPr="00D97EFB">
        <w:tab/>
        <w:t>the obtaining by a director of a share qualification;</w:t>
      </w:r>
    </w:p>
    <w:p w14:paraId="194FF08B" w14:textId="77777777" w:rsidR="00E93F58" w:rsidRPr="00D97EFB" w:rsidRDefault="00E93F58" w:rsidP="00BB7E31">
      <w:pPr>
        <w:pStyle w:val="paragraph"/>
      </w:pPr>
      <w:r w:rsidRPr="00D97EFB">
        <w:tab/>
        <w:t>(b)</w:t>
      </w:r>
      <w:r w:rsidRPr="00D97EFB">
        <w:tab/>
        <w:t>the application for, and acquisition under that application of, financial products of a body corporate by, or by a trustee for, employees of that body, or of a body corporate that is related to the first</w:t>
      </w:r>
      <w:r>
        <w:noBreakHyphen/>
      </w:r>
      <w:r w:rsidRPr="00D97EFB">
        <w:t>mentioned body under a superannuation scheme, pension fund or other scheme established solely or primarily for the benefit of the employees;</w:t>
      </w:r>
    </w:p>
    <w:p w14:paraId="2ACBC397" w14:textId="77777777" w:rsidR="00E93F58" w:rsidRPr="00D97EFB" w:rsidRDefault="00E93F58" w:rsidP="00BB7E31">
      <w:pPr>
        <w:pStyle w:val="paragraph"/>
      </w:pPr>
      <w:r w:rsidRPr="00D97EFB">
        <w:tab/>
        <w:t>(c)</w:t>
      </w:r>
      <w:r w:rsidRPr="00D97EFB">
        <w:tab/>
        <w:t>a transaction entered into by a person in accordance with his or her obligations under an underwriting agreement;</w:t>
      </w:r>
    </w:p>
    <w:p w14:paraId="661B3773" w14:textId="77777777" w:rsidR="00E93F58" w:rsidRPr="00D97EFB" w:rsidRDefault="00E93F58" w:rsidP="00BB7E31">
      <w:pPr>
        <w:pStyle w:val="paragraph"/>
      </w:pPr>
      <w:r w:rsidRPr="00D97EFB">
        <w:tab/>
        <w:t>(d)</w:t>
      </w:r>
      <w:r w:rsidRPr="00D97EFB">
        <w:tab/>
        <w:t>a person holding the office of:</w:t>
      </w:r>
    </w:p>
    <w:p w14:paraId="3D2B20A7" w14:textId="77777777" w:rsidR="00E93F58" w:rsidRPr="00D97EFB" w:rsidRDefault="00E93F58" w:rsidP="00BB7E31">
      <w:pPr>
        <w:pStyle w:val="paragraphsub"/>
      </w:pPr>
      <w:r w:rsidRPr="00D97EFB">
        <w:tab/>
        <w:t>(i)</w:t>
      </w:r>
      <w:r w:rsidRPr="00D97EFB">
        <w:tab/>
        <w:t>personal representative of a deceased person; or</w:t>
      </w:r>
    </w:p>
    <w:p w14:paraId="3A907365" w14:textId="77777777" w:rsidR="00E93F58" w:rsidRPr="00D97EFB" w:rsidRDefault="00E93F58" w:rsidP="00BB7E31">
      <w:pPr>
        <w:pStyle w:val="paragraphsub"/>
      </w:pPr>
      <w:r w:rsidRPr="00D97EFB">
        <w:tab/>
        <w:t>(ii)</w:t>
      </w:r>
      <w:r w:rsidRPr="00D97EFB">
        <w:tab/>
        <w:t>liquidator; or</w:t>
      </w:r>
    </w:p>
    <w:p w14:paraId="52A7C388" w14:textId="77777777" w:rsidR="00E93F58" w:rsidRPr="00D97EFB" w:rsidRDefault="00E93F58" w:rsidP="00BB7E31">
      <w:pPr>
        <w:pStyle w:val="paragraphsub"/>
      </w:pPr>
      <w:r w:rsidRPr="00D97EFB">
        <w:tab/>
        <w:t>(iii)</w:t>
      </w:r>
      <w:r w:rsidRPr="00D97EFB">
        <w:tab/>
        <w:t xml:space="preserve">trustee under Parts IV, X and XI of the </w:t>
      </w:r>
      <w:r w:rsidRPr="00D97EFB">
        <w:rPr>
          <w:i/>
        </w:rPr>
        <w:t>Bankruptcy Act 1966</w:t>
      </w:r>
      <w:r w:rsidRPr="00D97EFB">
        <w:t>;</w:t>
      </w:r>
    </w:p>
    <w:p w14:paraId="09050A15" w14:textId="77777777" w:rsidR="00E93F58" w:rsidRPr="00D97EFB" w:rsidRDefault="00E93F58" w:rsidP="00BB7E31">
      <w:pPr>
        <w:pStyle w:val="paragraph"/>
      </w:pPr>
      <w:r w:rsidRPr="00D97EFB">
        <w:tab/>
      </w:r>
      <w:r w:rsidRPr="00D97EFB">
        <w:tab/>
        <w:t>in respect of a transaction entered into by the person in good faith in the performance of the functions of the office;</w:t>
      </w:r>
    </w:p>
    <w:p w14:paraId="21607AA8" w14:textId="77777777" w:rsidR="00E93F58" w:rsidRPr="00D97EFB" w:rsidRDefault="00E93F58" w:rsidP="00BB7E31">
      <w:pPr>
        <w:pStyle w:val="paragraph"/>
      </w:pPr>
      <w:r w:rsidRPr="00D97EFB">
        <w:tab/>
        <w:t>(e)</w:t>
      </w:r>
      <w:r w:rsidRPr="00D97EFB">
        <w:tab/>
        <w:t>a sale of financial products under:</w:t>
      </w:r>
    </w:p>
    <w:p w14:paraId="0D4E4D43" w14:textId="77777777" w:rsidR="00E93F58" w:rsidRPr="00D97EFB" w:rsidRDefault="00E93F58" w:rsidP="00BB7E31">
      <w:pPr>
        <w:pStyle w:val="paragraphsub"/>
      </w:pPr>
      <w:r w:rsidRPr="00D97EFB">
        <w:tab/>
        <w:t>(i)</w:t>
      </w:r>
      <w:r w:rsidRPr="00D97EFB">
        <w:tab/>
        <w:t>a mortgage or charge of the financial products; or</w:t>
      </w:r>
    </w:p>
    <w:p w14:paraId="0FF6A8BB" w14:textId="77777777" w:rsidR="00E93F58" w:rsidRPr="00D97EFB" w:rsidRDefault="00E93F58" w:rsidP="00BB7E31">
      <w:pPr>
        <w:pStyle w:val="paragraphsub"/>
      </w:pPr>
      <w:r w:rsidRPr="00D97EFB">
        <w:tab/>
        <w:t>(ii)</w:t>
      </w:r>
      <w:r w:rsidRPr="00D97EFB">
        <w:tab/>
        <w:t>a mortgage, charge, pledge or lien of documents of title to the financial products.</w:t>
      </w:r>
    </w:p>
    <w:p w14:paraId="04B3D9EA" w14:textId="77777777" w:rsidR="00E93F58" w:rsidRPr="00D97EFB" w:rsidRDefault="00E93F58" w:rsidP="00BB7E31">
      <w:pPr>
        <w:pStyle w:val="ActHead5"/>
      </w:pPr>
      <w:bookmarkStart w:id="2288" w:name="_Toc151994423"/>
      <w:bookmarkStart w:id="2289" w:name="_Toc158712933"/>
      <w:r w:rsidRPr="000D40D5">
        <w:rPr>
          <w:rStyle w:val="CharSectno"/>
        </w:rPr>
        <w:t>9.12.02</w:t>
      </w:r>
      <w:r w:rsidRPr="00D97EFB">
        <w:t xml:space="preserve">  Exemption from provisions of Chapter 7—CLS Bank</w:t>
      </w:r>
      <w:bookmarkEnd w:id="2288"/>
      <w:bookmarkEnd w:id="2289"/>
    </w:p>
    <w:p w14:paraId="02BBA088" w14:textId="77777777" w:rsidR="00E93F58" w:rsidRPr="00D97EFB" w:rsidRDefault="00E93F58" w:rsidP="00BB7E31">
      <w:pPr>
        <w:pStyle w:val="subsection"/>
      </w:pPr>
      <w:r w:rsidRPr="00D97EFB">
        <w:tab/>
        <w:t>(1)</w:t>
      </w:r>
      <w:r w:rsidRPr="00D97EFB">
        <w:tab/>
        <w:t xml:space="preserve">For section 1368 of the Act, the following provisions of Chapter 7 of the Act do not have effect in relation to the following transactions by </w:t>
      </w:r>
      <w:r w:rsidRPr="00BE1284">
        <w:t>CLS participants</w:t>
      </w:r>
      <w:r w:rsidRPr="00D97EFB">
        <w:t xml:space="preserve"> in the facility operated CLS Bank International:</w:t>
      </w:r>
    </w:p>
    <w:p w14:paraId="730A2F8F" w14:textId="77777777" w:rsidR="00E93F58" w:rsidRPr="00D97EFB" w:rsidRDefault="00E93F58" w:rsidP="00BB7E31">
      <w:pPr>
        <w:pStyle w:val="paragraph"/>
      </w:pPr>
      <w:r w:rsidRPr="00D97EFB">
        <w:tab/>
        <w:t>(a)</w:t>
      </w:r>
      <w:r w:rsidRPr="00D97EFB">
        <w:tab/>
        <w:t>section 794E—settlement of non</w:t>
      </w:r>
      <w:r>
        <w:noBreakHyphen/>
      </w:r>
      <w:r w:rsidRPr="00D97EFB">
        <w:t xml:space="preserve">cash payments between </w:t>
      </w:r>
      <w:r w:rsidRPr="00BE1284">
        <w:t>CLS participants</w:t>
      </w:r>
      <w:r w:rsidRPr="00D97EFB">
        <w:t>;</w:t>
      </w:r>
    </w:p>
    <w:p w14:paraId="68CF7CF5" w14:textId="77777777" w:rsidR="00E93F58" w:rsidRPr="006B33D9" w:rsidRDefault="00E93F58" w:rsidP="00B4270B">
      <w:pPr>
        <w:pStyle w:val="paragraph"/>
      </w:pPr>
      <w:r w:rsidRPr="00D97EFB">
        <w:tab/>
        <w:t>(b)</w:t>
      </w:r>
      <w:r w:rsidRPr="00D97EFB">
        <w:tab/>
        <w:t>Part 7.3—settlement of non</w:t>
      </w:r>
      <w:r>
        <w:noBreakHyphen/>
      </w:r>
      <w:r w:rsidRPr="00D97EFB">
        <w:t xml:space="preserve">cash payments between </w:t>
      </w:r>
      <w:r w:rsidRPr="00BE1284">
        <w:t>CLS participants</w:t>
      </w:r>
      <w:r w:rsidRPr="00D97EFB">
        <w:t xml:space="preserve"> in relation to the </w:t>
      </w:r>
      <w:r w:rsidRPr="006B33D9">
        <w:t>provision or transfer of:</w:t>
      </w:r>
    </w:p>
    <w:p w14:paraId="7AF9A515" w14:textId="77777777" w:rsidR="00E93F58" w:rsidRPr="00C726DF" w:rsidRDefault="00E93F58" w:rsidP="00B4270B">
      <w:pPr>
        <w:pStyle w:val="paragraphsub"/>
      </w:pPr>
      <w:r>
        <w:tab/>
      </w:r>
      <w:r w:rsidRPr="00C726DF">
        <w:t>(</w:t>
      </w:r>
      <w:r>
        <w:t>i</w:t>
      </w:r>
      <w:r w:rsidRPr="00C726DF">
        <w:t>)</w:t>
      </w:r>
      <w:r>
        <w:tab/>
      </w:r>
      <w:r w:rsidRPr="00C726DF">
        <w:t xml:space="preserve">a </w:t>
      </w:r>
      <w:r>
        <w:t xml:space="preserve">security, or a </w:t>
      </w:r>
      <w:r w:rsidRPr="00C726DF">
        <w:t>managed investment product; or</w:t>
      </w:r>
    </w:p>
    <w:p w14:paraId="563F0DEA" w14:textId="77777777" w:rsidR="00E93F58" w:rsidRDefault="00E93F58" w:rsidP="00B4270B">
      <w:pPr>
        <w:pStyle w:val="paragraphsub"/>
      </w:pPr>
      <w:r>
        <w:tab/>
      </w:r>
      <w:r w:rsidRPr="00C726DF">
        <w:t>(</w:t>
      </w:r>
      <w:r>
        <w:t>ii</w:t>
      </w:r>
      <w:r w:rsidRPr="00C726DF">
        <w:t>)</w:t>
      </w:r>
      <w:r>
        <w:tab/>
      </w:r>
      <w:r w:rsidRPr="00C726DF">
        <w:t>a financial product mentioned in paragraph 764A</w:t>
      </w:r>
      <w:r>
        <w:t>(1)</w:t>
      </w:r>
      <w:r w:rsidRPr="00C726DF">
        <w:t>(ba), (c), (j) or (k) of the Act.</w:t>
      </w:r>
    </w:p>
    <w:p w14:paraId="4C05AA71" w14:textId="77777777" w:rsidR="00E93F58" w:rsidRPr="00D97EFB" w:rsidRDefault="00E93F58" w:rsidP="00B4270B">
      <w:pPr>
        <w:pStyle w:val="paragraph"/>
      </w:pPr>
      <w:r w:rsidRPr="00D97EFB">
        <w:tab/>
        <w:t>(2)</w:t>
      </w:r>
      <w:r w:rsidRPr="00D97EFB">
        <w:tab/>
        <w:t>Subregulation (1) is subject to the conditions set out in this regulation.</w:t>
      </w:r>
    </w:p>
    <w:p w14:paraId="10688220" w14:textId="77777777" w:rsidR="00E93F58" w:rsidRPr="00D97EFB" w:rsidRDefault="00E93F58" w:rsidP="00BB7E31">
      <w:pPr>
        <w:pStyle w:val="subsection"/>
      </w:pPr>
      <w:r w:rsidRPr="00D97EFB">
        <w:tab/>
        <w:t>(3)</w:t>
      </w:r>
      <w:r w:rsidRPr="00D97EFB">
        <w:tab/>
        <w:t>CLS Bank International must:</w:t>
      </w:r>
    </w:p>
    <w:p w14:paraId="1454CDA2" w14:textId="77777777" w:rsidR="00E93F58" w:rsidRPr="00D97EFB" w:rsidRDefault="00E93F58" w:rsidP="00BB7E31">
      <w:pPr>
        <w:pStyle w:val="paragraph"/>
      </w:pPr>
      <w:r w:rsidRPr="00D97EFB">
        <w:tab/>
        <w:t>(a)</w:t>
      </w:r>
      <w:r w:rsidRPr="00D97EFB">
        <w:tab/>
        <w:t>operate under section 25A of the Federal Reserve Act of the United States of America; and</w:t>
      </w:r>
    </w:p>
    <w:p w14:paraId="146188AF" w14:textId="77777777" w:rsidR="00E93F58" w:rsidRPr="00D97EFB" w:rsidRDefault="00E93F58" w:rsidP="00BB7E31">
      <w:pPr>
        <w:pStyle w:val="paragraph"/>
      </w:pPr>
      <w:r w:rsidRPr="00D97EFB">
        <w:tab/>
        <w:t>(b)</w:t>
      </w:r>
      <w:r w:rsidRPr="00D97EFB">
        <w:tab/>
        <w:t>be regulated as a bank by the Board of Governors of the Federal Reserve System of the United States of America.</w:t>
      </w:r>
    </w:p>
    <w:p w14:paraId="7CC56A54" w14:textId="77777777" w:rsidR="00E93F58" w:rsidRPr="00D97EFB" w:rsidRDefault="00E93F58" w:rsidP="00BB7E31">
      <w:pPr>
        <w:pStyle w:val="subsection"/>
      </w:pPr>
      <w:r w:rsidRPr="00D97EFB">
        <w:tab/>
        <w:t>(4)</w:t>
      </w:r>
      <w:r w:rsidRPr="00D97EFB">
        <w:tab/>
        <w:t xml:space="preserve">An Australian entity that is a </w:t>
      </w:r>
      <w:r w:rsidRPr="00BE1284">
        <w:t>CLS participant</w:t>
      </w:r>
      <w:r w:rsidRPr="00D97EFB">
        <w:t xml:space="preserve"> in the facility operated by CLS Bank International:</w:t>
      </w:r>
    </w:p>
    <w:p w14:paraId="3C8D00AB" w14:textId="77777777" w:rsidR="00E93F58" w:rsidRPr="00D97EFB" w:rsidRDefault="00E93F58" w:rsidP="00BB7E31">
      <w:pPr>
        <w:pStyle w:val="paragraph"/>
      </w:pPr>
      <w:r w:rsidRPr="00D97EFB">
        <w:tab/>
        <w:t>(a)</w:t>
      </w:r>
      <w:r w:rsidRPr="00D97EFB">
        <w:tab/>
        <w:t>must be regulated by APRA; and</w:t>
      </w:r>
    </w:p>
    <w:p w14:paraId="085F662F" w14:textId="77777777" w:rsidR="00E93F58" w:rsidRPr="00D97EFB" w:rsidRDefault="00E93F58" w:rsidP="00BB7E31">
      <w:pPr>
        <w:pStyle w:val="paragraph"/>
      </w:pPr>
      <w:r w:rsidRPr="00D97EFB">
        <w:tab/>
        <w:t>(b)</w:t>
      </w:r>
      <w:r w:rsidRPr="00D97EFB">
        <w:tab/>
        <w:t>must not use the services of CLS Bank International as a retail client.</w:t>
      </w:r>
    </w:p>
    <w:p w14:paraId="4EDFC62E" w14:textId="77777777" w:rsidR="00E93F58" w:rsidRPr="00D97EFB" w:rsidRDefault="00E93F58" w:rsidP="00BB7E31">
      <w:pPr>
        <w:pStyle w:val="subsection"/>
      </w:pPr>
      <w:r w:rsidRPr="00D97EFB">
        <w:tab/>
        <w:t>(5)</w:t>
      </w:r>
      <w:r w:rsidRPr="00D97EFB">
        <w:tab/>
        <w:t>CLS Bank International must tell the Reserve Bank of Australia in writing as soon as practicable after any of the following circumstances happen:</w:t>
      </w:r>
    </w:p>
    <w:p w14:paraId="79C2B9E2" w14:textId="77777777" w:rsidR="00E93F58" w:rsidRPr="00D97EFB" w:rsidRDefault="00E93F58" w:rsidP="00BB7E31">
      <w:pPr>
        <w:pStyle w:val="paragraph"/>
      </w:pPr>
      <w:r w:rsidRPr="00D97EFB">
        <w:tab/>
        <w:t>(a)</w:t>
      </w:r>
      <w:r w:rsidRPr="00D97EFB">
        <w:tab/>
        <w:t xml:space="preserve">CLS Bank International receives a request for an Australian entity to become a </w:t>
      </w:r>
      <w:r w:rsidRPr="00BE1284">
        <w:t>CLS participant</w:t>
      </w:r>
      <w:r w:rsidRPr="00D97EFB">
        <w:t xml:space="preserve"> in the facility it operates;</w:t>
      </w:r>
    </w:p>
    <w:p w14:paraId="3E6217E0" w14:textId="77777777" w:rsidR="00E93F58" w:rsidRPr="00D97EFB" w:rsidRDefault="00E93F58" w:rsidP="00BB7E31">
      <w:pPr>
        <w:pStyle w:val="paragraph"/>
      </w:pPr>
      <w:r w:rsidRPr="00D97EFB">
        <w:tab/>
        <w:t>(b)</w:t>
      </w:r>
      <w:r w:rsidRPr="00D97EFB">
        <w:tab/>
        <w:t>CLS Bank International proposes approving an additional Australian entity or Australian resident as a shareholder;</w:t>
      </w:r>
    </w:p>
    <w:p w14:paraId="543AC11E" w14:textId="77777777" w:rsidR="00E93F58" w:rsidRPr="00D97EFB" w:rsidRDefault="00E93F58" w:rsidP="00BB7E31">
      <w:pPr>
        <w:pStyle w:val="paragraph"/>
      </w:pPr>
      <w:r w:rsidRPr="00D97EFB">
        <w:tab/>
        <w:t>(c)</w:t>
      </w:r>
      <w:r w:rsidRPr="00D97EFB">
        <w:tab/>
        <w:t>CLS Bank International notifies the Board of Governors of the Federal Reserve System of the United States of America of a proposed change in the character or nature of the facility or a significant change in its operations;</w:t>
      </w:r>
    </w:p>
    <w:p w14:paraId="6D0F8672" w14:textId="77777777" w:rsidR="00E93F58" w:rsidRPr="00D97EFB" w:rsidRDefault="00E93F58" w:rsidP="00BB7E31">
      <w:pPr>
        <w:pStyle w:val="paragraph"/>
      </w:pPr>
      <w:r w:rsidRPr="00D97EFB">
        <w:tab/>
        <w:t>(d)</w:t>
      </w:r>
      <w:r w:rsidRPr="00D97EFB">
        <w:tab/>
        <w:t>material regulatory action is taken against CLS Bank International in any other jurisdiction.</w:t>
      </w:r>
    </w:p>
    <w:p w14:paraId="07A5A87F" w14:textId="77777777" w:rsidR="00E93F58" w:rsidRPr="00D97EFB" w:rsidRDefault="00E93F58" w:rsidP="00BB7E31">
      <w:pPr>
        <w:pStyle w:val="subsection"/>
      </w:pPr>
      <w:r w:rsidRPr="00D97EFB">
        <w:tab/>
        <w:t>(6)</w:t>
      </w:r>
      <w:r w:rsidRPr="00D97EFB">
        <w:tab/>
        <w:t>In this regulation:</w:t>
      </w:r>
    </w:p>
    <w:p w14:paraId="793DC4F5" w14:textId="77777777" w:rsidR="00E93F58" w:rsidRPr="00D97EFB" w:rsidRDefault="00E93F58" w:rsidP="00BB7E31">
      <w:pPr>
        <w:pStyle w:val="Definition"/>
      </w:pPr>
      <w:r w:rsidRPr="00D97EFB">
        <w:rPr>
          <w:b/>
          <w:i/>
        </w:rPr>
        <w:t>Australian entity</w:t>
      </w:r>
      <w:r w:rsidRPr="00D97EFB">
        <w:t xml:space="preserve"> includes:</w:t>
      </w:r>
    </w:p>
    <w:p w14:paraId="51B9ED61" w14:textId="77777777" w:rsidR="00E93F58" w:rsidRPr="00D97EFB" w:rsidRDefault="00E93F58" w:rsidP="007F1D22">
      <w:pPr>
        <w:pStyle w:val="paragraph"/>
      </w:pPr>
      <w:r w:rsidRPr="00D97EFB">
        <w:tab/>
        <w:t>(a)</w:t>
      </w:r>
      <w:r w:rsidRPr="00D97EFB">
        <w:tab/>
        <w:t xml:space="preserve">an Australian ADI that is permitted under section 66 of the </w:t>
      </w:r>
      <w:r w:rsidRPr="00D97EFB">
        <w:rPr>
          <w:i/>
        </w:rPr>
        <w:t>Banking Act 1959</w:t>
      </w:r>
      <w:r w:rsidRPr="00D97EFB">
        <w:t xml:space="preserve"> to assume or use:</w:t>
      </w:r>
    </w:p>
    <w:p w14:paraId="64D47E2C" w14:textId="77777777" w:rsidR="00E93F58" w:rsidRPr="00D97EFB" w:rsidRDefault="00E93F58" w:rsidP="007F1D22">
      <w:pPr>
        <w:pStyle w:val="paragraphsub"/>
      </w:pPr>
      <w:r w:rsidRPr="00D97EFB">
        <w:lastRenderedPageBreak/>
        <w:tab/>
        <w:t>(i)</w:t>
      </w:r>
      <w:r w:rsidRPr="00D97EFB">
        <w:tab/>
        <w:t>the word bank, banker or banking; or</w:t>
      </w:r>
    </w:p>
    <w:p w14:paraId="46F95951" w14:textId="77777777" w:rsidR="00E93F58" w:rsidRPr="00D97EFB" w:rsidRDefault="00E93F58" w:rsidP="007F1D22">
      <w:pPr>
        <w:pStyle w:val="paragraphsub"/>
      </w:pPr>
      <w:r w:rsidRPr="00D97EFB">
        <w:tab/>
        <w:t>(ii)</w:t>
      </w:r>
      <w:r w:rsidRPr="00D97EFB">
        <w:tab/>
        <w:t>any other word (whether or not in English) that is of like import to a word referred to in subparagraph (i); or</w:t>
      </w:r>
    </w:p>
    <w:p w14:paraId="66E45183" w14:textId="77777777" w:rsidR="00E93F58" w:rsidRPr="00D97EFB" w:rsidRDefault="00E93F58" w:rsidP="00BB7E31">
      <w:pPr>
        <w:pStyle w:val="paragraph"/>
      </w:pPr>
      <w:r w:rsidRPr="00D97EFB">
        <w:tab/>
        <w:t>(b)</w:t>
      </w:r>
      <w:r w:rsidRPr="00D97EFB">
        <w:tab/>
        <w:t>a financial services licensee.</w:t>
      </w:r>
    </w:p>
    <w:p w14:paraId="60180DAB" w14:textId="77777777" w:rsidR="00E93F58" w:rsidRPr="00BE1284" w:rsidRDefault="00E93F58" w:rsidP="00F376BA">
      <w:pPr>
        <w:pStyle w:val="Definition"/>
      </w:pPr>
      <w:r w:rsidRPr="00BE1284">
        <w:rPr>
          <w:b/>
          <w:i/>
        </w:rPr>
        <w:t>CLS participant</w:t>
      </w:r>
      <w:r w:rsidRPr="00BE1284">
        <w:t xml:space="preserve"> in the facility operated by CLS Bank International means a person who, under the facility’s operating rules, is allowed to participate directly in the facility, with or without the authority of another such person.</w:t>
      </w:r>
    </w:p>
    <w:p w14:paraId="15D1355C" w14:textId="77777777" w:rsidR="00E93F58" w:rsidRPr="00D97EFB" w:rsidRDefault="00E93F58" w:rsidP="00BB7E31">
      <w:pPr>
        <w:pStyle w:val="Definition"/>
      </w:pPr>
      <w:r w:rsidRPr="00D97EFB">
        <w:rPr>
          <w:b/>
          <w:i/>
        </w:rPr>
        <w:t>material regulatory action</w:t>
      </w:r>
      <w:r w:rsidRPr="00D97EFB">
        <w:t>, for the facility operated by CLS Bank International, means:</w:t>
      </w:r>
    </w:p>
    <w:p w14:paraId="15F8D4E7" w14:textId="77777777" w:rsidR="00E93F58" w:rsidRPr="00D97EFB" w:rsidRDefault="00E93F58" w:rsidP="00BB7E31">
      <w:pPr>
        <w:pStyle w:val="paragraph"/>
      </w:pPr>
      <w:r w:rsidRPr="00D97EFB">
        <w:tab/>
        <w:t>(a)</w:t>
      </w:r>
      <w:r w:rsidRPr="00D97EFB">
        <w:tab/>
        <w:t>any action by the Board of Governors of the Federal Reserve System of the United States of America that requires CLS Bank International to cease, suspend or vary its operations or to take any other action in the nature of a sanction or corrective action in relation to either the operation of the facility or CLS Bank International; or</w:t>
      </w:r>
    </w:p>
    <w:p w14:paraId="060C6A87" w14:textId="77777777" w:rsidR="00E93F58" w:rsidRPr="00D97EFB" w:rsidRDefault="00E93F58" w:rsidP="00BB7E31">
      <w:pPr>
        <w:pStyle w:val="paragraph"/>
      </w:pPr>
      <w:r w:rsidRPr="00D97EFB">
        <w:tab/>
        <w:t>(b)</w:t>
      </w:r>
      <w:r w:rsidRPr="00D97EFB">
        <w:tab/>
        <w:t xml:space="preserve">regulatory action that is likely to affect Australian </w:t>
      </w:r>
      <w:r w:rsidRPr="00BE1284">
        <w:t>CLS participants</w:t>
      </w:r>
      <w:r w:rsidRPr="00D97EFB">
        <w:t xml:space="preserve"> in the facility or any Australian operations of CLS Bank International.</w:t>
      </w:r>
    </w:p>
    <w:p w14:paraId="255F70E5" w14:textId="77777777" w:rsidR="00E93F58" w:rsidRPr="00D97EFB" w:rsidRDefault="00E93F58" w:rsidP="00BB7E31">
      <w:pPr>
        <w:pStyle w:val="ActHead5"/>
      </w:pPr>
      <w:bookmarkStart w:id="2290" w:name="_Toc151994424"/>
      <w:bookmarkStart w:id="2291" w:name="_Toc158712934"/>
      <w:r w:rsidRPr="000D40D5">
        <w:rPr>
          <w:rStyle w:val="CharSectno"/>
        </w:rPr>
        <w:t>9.12.03</w:t>
      </w:r>
      <w:r w:rsidRPr="00D97EFB">
        <w:t xml:space="preserve">  Partial exemption of foreign</w:t>
      </w:r>
      <w:r>
        <w:noBreakHyphen/>
      </w:r>
      <w:r w:rsidRPr="00D97EFB">
        <w:t>based market licensees from certain notification obligations</w:t>
      </w:r>
      <w:bookmarkEnd w:id="2290"/>
      <w:bookmarkEnd w:id="2291"/>
    </w:p>
    <w:p w14:paraId="597ACF57" w14:textId="77777777" w:rsidR="00E93F58" w:rsidRPr="00D97EFB" w:rsidRDefault="00E93F58" w:rsidP="00BB7E31">
      <w:pPr>
        <w:pStyle w:val="subsection"/>
      </w:pPr>
      <w:r w:rsidRPr="00D97EFB">
        <w:tab/>
        <w:t>(1)</w:t>
      </w:r>
      <w:r w:rsidRPr="00D97EFB">
        <w:tab/>
        <w:t>This regulation sets out the extent to which, for section 1368 of the Act, specified provisions of the Act have effect in relation to a market licensee whose licence was granted under subsection 795B(2) of the Act.</w:t>
      </w:r>
    </w:p>
    <w:p w14:paraId="577127C0" w14:textId="77777777" w:rsidR="00E93F58" w:rsidRPr="00D97EFB" w:rsidRDefault="00E93F58" w:rsidP="00BB7E31">
      <w:pPr>
        <w:pStyle w:val="subsection"/>
      </w:pPr>
      <w:r w:rsidRPr="00D97EFB">
        <w:tab/>
        <w:t>(2)</w:t>
      </w:r>
      <w:r w:rsidRPr="00D97EFB">
        <w:tab/>
        <w:t>Paragraph 792B(2)(b) of the Act has effect only to the extent that:</w:t>
      </w:r>
    </w:p>
    <w:p w14:paraId="2B0EE737" w14:textId="77777777" w:rsidR="00E93F58" w:rsidRPr="00D97EFB" w:rsidRDefault="00E93F58" w:rsidP="00BB7E31">
      <w:pPr>
        <w:pStyle w:val="paragraph"/>
      </w:pPr>
      <w:r w:rsidRPr="00D97EFB">
        <w:tab/>
        <w:t>(a)</w:t>
      </w:r>
      <w:r w:rsidRPr="00D97EFB">
        <w:tab/>
        <w:t>the participant in the market against whom disciplinary action is taken is in this jurisdiction; or</w:t>
      </w:r>
    </w:p>
    <w:p w14:paraId="75C8E31F" w14:textId="77777777" w:rsidR="00E93F58" w:rsidRPr="00D97EFB" w:rsidRDefault="00E93F58" w:rsidP="00BB7E31">
      <w:pPr>
        <w:pStyle w:val="paragraph"/>
      </w:pPr>
      <w:r w:rsidRPr="00D97EFB">
        <w:tab/>
        <w:t>(b)</w:t>
      </w:r>
      <w:r w:rsidRPr="00D97EFB">
        <w:tab/>
        <w:t>the activity giving rise to the disciplinary action may significantly affect:</w:t>
      </w:r>
    </w:p>
    <w:p w14:paraId="36BE1AAB" w14:textId="77777777" w:rsidR="00E93F58" w:rsidRPr="00D97EFB" w:rsidRDefault="00E93F58" w:rsidP="00BB7E31">
      <w:pPr>
        <w:pStyle w:val="paragraphsub"/>
      </w:pPr>
      <w:r w:rsidRPr="00D97EFB">
        <w:tab/>
        <w:t>(i)</w:t>
      </w:r>
      <w:r w:rsidRPr="00D97EFB">
        <w:tab/>
        <w:t>another participant in the market who is in this jurisdiction; or</w:t>
      </w:r>
    </w:p>
    <w:p w14:paraId="3611D615" w14:textId="77777777" w:rsidR="00E93F58" w:rsidRPr="00D97EFB" w:rsidRDefault="00E93F58" w:rsidP="00BB7E31">
      <w:pPr>
        <w:pStyle w:val="paragraphsub"/>
      </w:pPr>
      <w:r w:rsidRPr="00D97EFB">
        <w:tab/>
        <w:t>(ii)</w:t>
      </w:r>
      <w:r w:rsidRPr="00D97EFB">
        <w:tab/>
        <w:t>a client, of a participant in the market, whom the market licensee believes to be in this jurisdiction.</w:t>
      </w:r>
    </w:p>
    <w:p w14:paraId="654EB3CD" w14:textId="77777777" w:rsidR="00E93F58" w:rsidRPr="00D97EFB" w:rsidRDefault="00E93F58" w:rsidP="00BB7E31">
      <w:pPr>
        <w:pStyle w:val="subsection"/>
      </w:pPr>
      <w:r w:rsidRPr="00D97EFB">
        <w:tab/>
        <w:t>(3)</w:t>
      </w:r>
      <w:r w:rsidRPr="00D97EFB">
        <w:tab/>
        <w:t>Paragraph 792B(2)(c) of the Act has effect only to the extent that:</w:t>
      </w:r>
    </w:p>
    <w:p w14:paraId="1754A6F4" w14:textId="77777777" w:rsidR="00E93F58" w:rsidRPr="00D97EFB" w:rsidRDefault="00E93F58" w:rsidP="00BB7E31">
      <w:pPr>
        <w:pStyle w:val="paragraph"/>
      </w:pPr>
      <w:r w:rsidRPr="00D97EFB">
        <w:tab/>
        <w:t>(a)</w:t>
      </w:r>
      <w:r w:rsidRPr="00D97EFB">
        <w:tab/>
        <w:t>the person suspected of the contravention or impending contravention of the market’s operating rules or the Act is a participant in the market who is in this jurisdiction; or</w:t>
      </w:r>
    </w:p>
    <w:p w14:paraId="25958C33" w14:textId="77777777" w:rsidR="00E93F58" w:rsidRPr="00D97EFB" w:rsidRDefault="00E93F58" w:rsidP="00BB7E31">
      <w:pPr>
        <w:pStyle w:val="paragraph"/>
      </w:pPr>
      <w:r w:rsidRPr="00D97EFB">
        <w:tab/>
        <w:t>(b)</w:t>
      </w:r>
      <w:r w:rsidRPr="00D97EFB">
        <w:tab/>
        <w:t>the contravention or impending contravention may significantly affect:</w:t>
      </w:r>
    </w:p>
    <w:p w14:paraId="753044C9" w14:textId="77777777" w:rsidR="00E93F58" w:rsidRPr="00D97EFB" w:rsidRDefault="00E93F58" w:rsidP="00BB7E31">
      <w:pPr>
        <w:pStyle w:val="paragraphsub"/>
      </w:pPr>
      <w:r w:rsidRPr="00D97EFB">
        <w:tab/>
        <w:t>(i)</w:t>
      </w:r>
      <w:r w:rsidRPr="00D97EFB">
        <w:tab/>
        <w:t>a participant in the market who is in this jurisdiction; or</w:t>
      </w:r>
    </w:p>
    <w:p w14:paraId="57CBBF11" w14:textId="77777777" w:rsidR="00E93F58" w:rsidRPr="00D97EFB" w:rsidRDefault="00E93F58" w:rsidP="00BB7E31">
      <w:pPr>
        <w:pStyle w:val="paragraphsub"/>
      </w:pPr>
      <w:r w:rsidRPr="00D97EFB">
        <w:tab/>
        <w:t>(ii)</w:t>
      </w:r>
      <w:r w:rsidRPr="00D97EFB">
        <w:tab/>
        <w:t>a client, of a participant in the market, whom the market licensee believes to be in this jurisdiction.</w:t>
      </w:r>
    </w:p>
    <w:p w14:paraId="3E6DC651" w14:textId="77777777" w:rsidR="00E93F58" w:rsidRPr="00D97EFB" w:rsidRDefault="00E93F58" w:rsidP="00BB7E31">
      <w:pPr>
        <w:pStyle w:val="subsection"/>
      </w:pPr>
      <w:r w:rsidRPr="00D97EFB">
        <w:tab/>
        <w:t>(4)</w:t>
      </w:r>
      <w:r w:rsidRPr="00D97EFB">
        <w:tab/>
        <w:t>In spite of subregulation (3), paragraph 792B(2)(c) of the Act has effect only to the extent of requiring inclusion in the notice to ASIC of information that, under the regulatory regime applying to financial markets in the foreign country in which the market licensee’s principal place of business is located, it is permissible for the market licensee to include in the notice.</w:t>
      </w:r>
    </w:p>
    <w:p w14:paraId="145DF4C9" w14:textId="77777777" w:rsidR="00E93F58" w:rsidRPr="00D97EFB" w:rsidRDefault="00E93F58" w:rsidP="00BB7E31">
      <w:pPr>
        <w:pStyle w:val="subsection"/>
      </w:pPr>
      <w:r w:rsidRPr="00D97EFB">
        <w:tab/>
        <w:t>(5)</w:t>
      </w:r>
      <w:r w:rsidRPr="00D97EFB">
        <w:tab/>
        <w:t>Subregulation (4) is subject to the conditions that:</w:t>
      </w:r>
    </w:p>
    <w:p w14:paraId="738470F3" w14:textId="77777777" w:rsidR="00E93F58" w:rsidRPr="00D97EFB" w:rsidRDefault="00E93F58" w:rsidP="00BB7E31">
      <w:pPr>
        <w:pStyle w:val="paragraph"/>
      </w:pPr>
      <w:r w:rsidRPr="00D97EFB">
        <w:tab/>
        <w:t>(a)</w:t>
      </w:r>
      <w:r w:rsidRPr="00D97EFB">
        <w:tab/>
        <w:t>the market licensee gives notice of the contravention or impending contravention to a body responsible for the regulation of financial markets in the foreign country in which the market licensee’s principal place of business is located as soon as practicable after suspecting the commission of the contravention, or the likelihood of the impending contravention; and</w:t>
      </w:r>
    </w:p>
    <w:p w14:paraId="3AEE0161" w14:textId="77777777" w:rsidR="00E93F58" w:rsidRPr="00D97EFB" w:rsidRDefault="00E93F58" w:rsidP="00BB7E31">
      <w:pPr>
        <w:pStyle w:val="paragraph"/>
      </w:pPr>
      <w:r w:rsidRPr="00D97EFB">
        <w:tab/>
        <w:t>(b)</w:t>
      </w:r>
      <w:r w:rsidRPr="00D97EFB">
        <w:tab/>
        <w:t>the notice to that body includes the information mentioned in subparagraphs 792B(2)(c)(i), (ii) and (iii) of the Act; and</w:t>
      </w:r>
    </w:p>
    <w:p w14:paraId="57B7BDAE" w14:textId="77777777" w:rsidR="00E93F58" w:rsidRPr="00D97EFB" w:rsidRDefault="00E93F58" w:rsidP="00BB7E31">
      <w:pPr>
        <w:pStyle w:val="paragraph"/>
      </w:pPr>
      <w:r w:rsidRPr="00D97EFB">
        <w:tab/>
        <w:t>(c)</w:t>
      </w:r>
      <w:r w:rsidRPr="00D97EFB">
        <w:tab/>
        <w:t>the market licensee informs ASIC of the following:</w:t>
      </w:r>
    </w:p>
    <w:p w14:paraId="3EF49514" w14:textId="77777777" w:rsidR="00E93F58" w:rsidRPr="00D97EFB" w:rsidRDefault="00E93F58" w:rsidP="00BB7E31">
      <w:pPr>
        <w:pStyle w:val="paragraphsub"/>
      </w:pPr>
      <w:r w:rsidRPr="00D97EFB">
        <w:tab/>
        <w:t>(i)</w:t>
      </w:r>
      <w:r w:rsidRPr="00D97EFB">
        <w:tab/>
        <w:t>the giving of the notice mentioned in paragraph (a);</w:t>
      </w:r>
    </w:p>
    <w:p w14:paraId="4807E413" w14:textId="77777777" w:rsidR="00E93F58" w:rsidRPr="00D97EFB" w:rsidRDefault="00E93F58" w:rsidP="00BB7E31">
      <w:pPr>
        <w:pStyle w:val="paragraphsub"/>
      </w:pPr>
      <w:r w:rsidRPr="00D97EFB">
        <w:tab/>
        <w:t>(ii)</w:t>
      </w:r>
      <w:r w:rsidRPr="00D97EFB">
        <w:tab/>
        <w:t>the name and address of the regulatory body to whom it was given;</w:t>
      </w:r>
    </w:p>
    <w:p w14:paraId="71C59580" w14:textId="77777777" w:rsidR="00E93F58" w:rsidRPr="00D97EFB" w:rsidRDefault="00E93F58" w:rsidP="00BB7E31">
      <w:pPr>
        <w:pStyle w:val="paragraphsub"/>
      </w:pPr>
      <w:r w:rsidRPr="00D97EFB">
        <w:tab/>
        <w:t>(iii)</w:t>
      </w:r>
      <w:r w:rsidRPr="00D97EFB">
        <w:tab/>
        <w:t>when the notice was given; and</w:t>
      </w:r>
    </w:p>
    <w:p w14:paraId="44053F38" w14:textId="77777777" w:rsidR="00E93F58" w:rsidRPr="00D97EFB" w:rsidRDefault="00E93F58" w:rsidP="00BB7E31">
      <w:pPr>
        <w:pStyle w:val="paragraph"/>
      </w:pPr>
      <w:r w:rsidRPr="00D97EFB">
        <w:tab/>
        <w:t>(d)</w:t>
      </w:r>
      <w:r w:rsidRPr="00D97EFB">
        <w:tab/>
        <w:t>arrangements exist for that body to give notice to ASIC about the contravention or impending contravention that includes the information that it is not permissible for the market licensee to include in the notice it gives to ASIC under subregulation (4).</w:t>
      </w:r>
    </w:p>
    <w:p w14:paraId="18571A98" w14:textId="77777777" w:rsidR="00E93F58" w:rsidRPr="00D97EFB" w:rsidRDefault="00E93F58" w:rsidP="000A7E3B">
      <w:pPr>
        <w:pStyle w:val="ActHead5"/>
      </w:pPr>
      <w:bookmarkStart w:id="2292" w:name="_Toc151994425"/>
      <w:bookmarkStart w:id="2293" w:name="_Toc158712935"/>
      <w:r w:rsidRPr="000D40D5">
        <w:rPr>
          <w:rStyle w:val="CharSectno"/>
        </w:rPr>
        <w:lastRenderedPageBreak/>
        <w:t>9.12.03A</w:t>
      </w:r>
      <w:r w:rsidRPr="00D97EFB">
        <w:t xml:space="preserve">  Exemption from provisions of Chapter 7—compliance with ASIC exemptions</w:t>
      </w:r>
      <w:bookmarkEnd w:id="2292"/>
      <w:bookmarkEnd w:id="2293"/>
    </w:p>
    <w:p w14:paraId="60A3E520" w14:textId="77777777" w:rsidR="00E93F58" w:rsidRPr="00D97EFB" w:rsidRDefault="00E93F58" w:rsidP="000A7E3B">
      <w:pPr>
        <w:pStyle w:val="subsection"/>
        <w:keepNext/>
        <w:keepLines/>
      </w:pPr>
      <w:r w:rsidRPr="00D97EFB">
        <w:tab/>
        <w:t>(1)</w:t>
      </w:r>
      <w:r w:rsidRPr="00D97EFB">
        <w:tab/>
        <w:t>For paragraph 1368(a) of the Act, Division 2 of Part 7.7A of the Act does not have effect in relation to a person to whom one of the following exemptions made by ASIC is stated to apply:</w:t>
      </w:r>
    </w:p>
    <w:p w14:paraId="0A99E767" w14:textId="77777777" w:rsidR="00E93F58" w:rsidRPr="00D97EFB" w:rsidRDefault="00E93F58" w:rsidP="00E41245">
      <w:pPr>
        <w:pStyle w:val="paragraph"/>
      </w:pPr>
      <w:r w:rsidRPr="00D97EFB">
        <w:tab/>
        <w:t>(a)</w:t>
      </w:r>
      <w:r w:rsidRPr="00D97EFB">
        <w:tab/>
        <w:t>ASIC Class Order [CO 05/736];</w:t>
      </w:r>
    </w:p>
    <w:p w14:paraId="4D4F07AD" w14:textId="77777777" w:rsidR="00E93F58" w:rsidRPr="00D97EFB" w:rsidRDefault="00E93F58" w:rsidP="00E41245">
      <w:pPr>
        <w:pStyle w:val="paragraph"/>
      </w:pPr>
      <w:r w:rsidRPr="00D97EFB">
        <w:tab/>
        <w:t>(b)</w:t>
      </w:r>
      <w:r w:rsidRPr="00D97EFB">
        <w:tab/>
        <w:t>ASIC Class Order [CO 05/1122];</w:t>
      </w:r>
    </w:p>
    <w:p w14:paraId="6BE64698" w14:textId="77777777" w:rsidR="00E93F58" w:rsidRPr="00D97EFB" w:rsidRDefault="00E93F58" w:rsidP="00E41245">
      <w:pPr>
        <w:pStyle w:val="paragraph"/>
      </w:pPr>
      <w:r w:rsidRPr="00D97EFB">
        <w:tab/>
        <w:t>(c)</w:t>
      </w:r>
      <w:r w:rsidRPr="00D97EFB">
        <w:tab/>
        <w:t>ASIC Class Order [CO 08/01];</w:t>
      </w:r>
    </w:p>
    <w:p w14:paraId="7C2F31BF" w14:textId="77777777" w:rsidR="00E93F58" w:rsidRPr="00D97EFB" w:rsidRDefault="00E93F58" w:rsidP="00E41245">
      <w:pPr>
        <w:pStyle w:val="paragraph"/>
      </w:pPr>
      <w:r w:rsidRPr="00D97EFB">
        <w:tab/>
        <w:t>(d)</w:t>
      </w:r>
      <w:r w:rsidRPr="00D97EFB">
        <w:tab/>
        <w:t>ASIC Class Order [CO 11/1227].</w:t>
      </w:r>
    </w:p>
    <w:p w14:paraId="39946865" w14:textId="77777777" w:rsidR="00E93F58" w:rsidRPr="00D97EFB" w:rsidRDefault="00E93F58" w:rsidP="00E41245">
      <w:pPr>
        <w:pStyle w:val="subsection"/>
      </w:pPr>
      <w:r w:rsidRPr="00D97EFB">
        <w:tab/>
        <w:t>(2)</w:t>
      </w:r>
      <w:r w:rsidRPr="00D97EFB">
        <w:tab/>
        <w:t>The Division does not have effect subject to the condition that the person complies with the conditions set out in the exemption which applies to the person.</w:t>
      </w:r>
    </w:p>
    <w:p w14:paraId="0D75B5D9" w14:textId="77777777" w:rsidR="00E93F58" w:rsidRPr="00D97EFB" w:rsidRDefault="00E93F58" w:rsidP="00B37D9B">
      <w:pPr>
        <w:pStyle w:val="ActHead5"/>
      </w:pPr>
      <w:bookmarkStart w:id="2294" w:name="_Toc151994426"/>
      <w:bookmarkStart w:id="2295" w:name="_Toc158712936"/>
      <w:r w:rsidRPr="000D40D5">
        <w:rPr>
          <w:rStyle w:val="CharSectno"/>
        </w:rPr>
        <w:t>9.12.04</w:t>
      </w:r>
      <w:r w:rsidRPr="00D97EFB">
        <w:t xml:space="preserve">  Exemption from provisions of Chapter 7—carbon unit auctions</w:t>
      </w:r>
      <w:bookmarkEnd w:id="2294"/>
      <w:bookmarkEnd w:id="2295"/>
    </w:p>
    <w:p w14:paraId="77CE006C" w14:textId="77777777" w:rsidR="00E93F58" w:rsidRPr="00D97EFB" w:rsidRDefault="00E93F58" w:rsidP="00B37D9B">
      <w:pPr>
        <w:pStyle w:val="subsection"/>
      </w:pPr>
      <w:r w:rsidRPr="00D97EFB">
        <w:tab/>
        <w:t>(1)</w:t>
      </w:r>
      <w:r w:rsidRPr="00D97EFB">
        <w:tab/>
        <w:t>For paragraph 1368(a) of the Act, section 791A of the Act does not have effect in relation to a person if:</w:t>
      </w:r>
    </w:p>
    <w:p w14:paraId="34F33116" w14:textId="77777777" w:rsidR="00E93F58" w:rsidRPr="00D97EFB" w:rsidRDefault="00E93F58" w:rsidP="00B37D9B">
      <w:pPr>
        <w:pStyle w:val="paragraph"/>
      </w:pPr>
      <w:r w:rsidRPr="00D97EFB">
        <w:tab/>
        <w:t>(a)</w:t>
      </w:r>
      <w:r w:rsidRPr="00D97EFB">
        <w:tab/>
        <w:t xml:space="preserve">the person is engaged, by the Clean Energy Regulator, to assist in the conduct of the auction of carbon units under the </w:t>
      </w:r>
      <w:r w:rsidRPr="00D97EFB">
        <w:rPr>
          <w:i/>
        </w:rPr>
        <w:t>Clean Energy Act 2011</w:t>
      </w:r>
      <w:r w:rsidRPr="00D97EFB">
        <w:t>; and</w:t>
      </w:r>
    </w:p>
    <w:p w14:paraId="70AEEA96" w14:textId="77777777" w:rsidR="00E93F58" w:rsidRPr="00D97EFB" w:rsidRDefault="00E93F58" w:rsidP="00B37D9B">
      <w:pPr>
        <w:pStyle w:val="paragraph"/>
      </w:pPr>
      <w:r w:rsidRPr="00D97EFB">
        <w:tab/>
        <w:t>(b)</w:t>
      </w:r>
      <w:r w:rsidRPr="00D97EFB">
        <w:tab/>
        <w:t>in conducting or assisting in the conduct of the auction, the person engages in conduct that constitutes operating a financial market.</w:t>
      </w:r>
    </w:p>
    <w:p w14:paraId="016A7548" w14:textId="77777777" w:rsidR="00E93F58" w:rsidRPr="00D97EFB" w:rsidRDefault="00E93F58" w:rsidP="00B37D9B">
      <w:pPr>
        <w:pStyle w:val="subsection"/>
      </w:pPr>
      <w:r w:rsidRPr="00D97EFB">
        <w:tab/>
        <w:t>(2)</w:t>
      </w:r>
      <w:r w:rsidRPr="00D97EFB">
        <w:tab/>
        <w:t>For paragraph 1368(a) of the Act, section 820A of the Act does not have effect in relation to a person if:</w:t>
      </w:r>
    </w:p>
    <w:p w14:paraId="6C21F723" w14:textId="77777777" w:rsidR="00E93F58" w:rsidRPr="00D97EFB" w:rsidRDefault="00E93F58" w:rsidP="00B37D9B">
      <w:pPr>
        <w:pStyle w:val="paragraph"/>
      </w:pPr>
      <w:r w:rsidRPr="00D97EFB">
        <w:tab/>
        <w:t>(a)</w:t>
      </w:r>
      <w:r w:rsidRPr="00D97EFB">
        <w:tab/>
        <w:t>the person is engaged, by the Clean Energy Regulator, to assist in the conduct of the auction of carbon units; and</w:t>
      </w:r>
    </w:p>
    <w:p w14:paraId="6E12EB74" w14:textId="77777777" w:rsidR="00E93F58" w:rsidRPr="00D97EFB" w:rsidRDefault="00E93F58" w:rsidP="00B37D9B">
      <w:pPr>
        <w:pStyle w:val="paragraph"/>
      </w:pPr>
      <w:r w:rsidRPr="00D97EFB">
        <w:tab/>
        <w:t>(b)</w:t>
      </w:r>
      <w:r w:rsidRPr="00D97EFB">
        <w:tab/>
        <w:t>in conducting or assisting in the conduct of the auction, the person engages in conduct that constitutes operating a clearing and settlement facility.</w:t>
      </w:r>
    </w:p>
    <w:p w14:paraId="66DFC28A" w14:textId="77777777" w:rsidR="00E93F58" w:rsidRPr="00D97EFB" w:rsidRDefault="00E93F58" w:rsidP="000A7E3B">
      <w:pPr>
        <w:pStyle w:val="ActHead5"/>
      </w:pPr>
      <w:bookmarkStart w:id="2296" w:name="_Toc151994427"/>
      <w:bookmarkStart w:id="2297" w:name="_Toc158712937"/>
      <w:r w:rsidRPr="000D40D5">
        <w:rPr>
          <w:rStyle w:val="CharSectno"/>
        </w:rPr>
        <w:t>9.12.05</w:t>
      </w:r>
      <w:r w:rsidRPr="00D97EFB">
        <w:t xml:space="preserve">  Exemption from provisions of Chapter 7—gas trading exchange</w:t>
      </w:r>
      <w:bookmarkEnd w:id="2296"/>
      <w:bookmarkEnd w:id="2297"/>
    </w:p>
    <w:p w14:paraId="31371CA6" w14:textId="77777777" w:rsidR="00E93F58" w:rsidRPr="00D97EFB" w:rsidRDefault="00E93F58" w:rsidP="000A7E3B">
      <w:pPr>
        <w:pStyle w:val="subsection"/>
        <w:keepNext/>
        <w:keepLines/>
      </w:pPr>
      <w:r w:rsidRPr="00D97EFB">
        <w:tab/>
        <w:t>(1)</w:t>
      </w:r>
      <w:r w:rsidRPr="00D97EFB">
        <w:tab/>
        <w:t>For paragraph 1368(a) of the Act, section 791A of the Act does not have effect in relation to the operator of a qualifying gas trading exchange carrying out its role of operating a market in qualifying gas exchange products on the qualifying gas trading exchange.</w:t>
      </w:r>
    </w:p>
    <w:p w14:paraId="2A52D117" w14:textId="77777777" w:rsidR="00E93F58" w:rsidRPr="00D97EFB" w:rsidRDefault="00E93F58" w:rsidP="00DE0E22">
      <w:pPr>
        <w:pStyle w:val="subsection"/>
      </w:pPr>
      <w:r w:rsidRPr="00D97EFB">
        <w:tab/>
        <w:t>(2)</w:t>
      </w:r>
      <w:r w:rsidRPr="00D97EFB">
        <w:tab/>
        <w:t>For paragraph 1368(a) of the Act, section 820A of the Act does not have effect in relation to the operator of a qualifying gas trading exchange carrying out its role in relation to clearing and settlement arrangements for qualifying gas exchange products on the qualifying gas trading exchange.</w:t>
      </w:r>
    </w:p>
    <w:p w14:paraId="462C2F74" w14:textId="77777777" w:rsidR="00E93F58" w:rsidRPr="00D97EFB" w:rsidRDefault="00E93F58" w:rsidP="00E501CC">
      <w:pPr>
        <w:pStyle w:val="ActHead1"/>
        <w:pageBreakBefore/>
      </w:pPr>
      <w:bookmarkStart w:id="2298" w:name="_Toc151994428"/>
      <w:bookmarkStart w:id="2299" w:name="_Toc158712938"/>
      <w:r w:rsidRPr="000D40D5">
        <w:rPr>
          <w:rStyle w:val="CharChapNo"/>
        </w:rPr>
        <w:lastRenderedPageBreak/>
        <w:t>Chapter 10</w:t>
      </w:r>
      <w:r w:rsidRPr="00D97EFB">
        <w:t>—</w:t>
      </w:r>
      <w:r w:rsidRPr="000D40D5">
        <w:rPr>
          <w:rStyle w:val="CharChapText"/>
        </w:rPr>
        <w:t>Repeals, transitional matters and application provisions</w:t>
      </w:r>
      <w:bookmarkEnd w:id="2298"/>
      <w:bookmarkEnd w:id="2299"/>
    </w:p>
    <w:p w14:paraId="282555A6" w14:textId="77777777" w:rsidR="00E93F58" w:rsidRPr="00D97EFB" w:rsidRDefault="00E93F58" w:rsidP="00EC025F">
      <w:pPr>
        <w:pStyle w:val="ActHead2"/>
      </w:pPr>
      <w:bookmarkStart w:id="2300" w:name="_Toc151994429"/>
      <w:bookmarkStart w:id="2301" w:name="_Toc158712939"/>
      <w:r w:rsidRPr="000D40D5">
        <w:rPr>
          <w:rStyle w:val="CharPartNo"/>
        </w:rPr>
        <w:t>Part 10.2</w:t>
      </w:r>
      <w:r w:rsidRPr="00D97EFB">
        <w:t>—</w:t>
      </w:r>
      <w:r w:rsidRPr="000D40D5">
        <w:rPr>
          <w:rStyle w:val="CharPartText"/>
        </w:rPr>
        <w:t>Transitional arrangements relating to Financial Services Reform legislation</w:t>
      </w:r>
      <w:bookmarkEnd w:id="2300"/>
      <w:bookmarkEnd w:id="2301"/>
    </w:p>
    <w:p w14:paraId="3B539959" w14:textId="77777777" w:rsidR="00E93F58" w:rsidRPr="00D97EFB" w:rsidRDefault="00E93F58" w:rsidP="00BB7E31">
      <w:pPr>
        <w:pStyle w:val="ActHead3"/>
        <w:rPr>
          <w:color w:val="000000"/>
        </w:rPr>
      </w:pPr>
      <w:bookmarkStart w:id="2302" w:name="_Toc151994430"/>
      <w:bookmarkStart w:id="2303" w:name="_Toc158712940"/>
      <w:r w:rsidRPr="000D40D5">
        <w:rPr>
          <w:rStyle w:val="CharDivNo"/>
        </w:rPr>
        <w:t>Division 1</w:t>
      </w:r>
      <w:r w:rsidRPr="00D97EFB">
        <w:rPr>
          <w:color w:val="000000"/>
        </w:rPr>
        <w:t>—</w:t>
      </w:r>
      <w:r w:rsidRPr="000D40D5">
        <w:rPr>
          <w:rStyle w:val="CharDivText"/>
        </w:rPr>
        <w:t>Preliminary</w:t>
      </w:r>
      <w:bookmarkEnd w:id="2302"/>
      <w:bookmarkEnd w:id="2303"/>
    </w:p>
    <w:p w14:paraId="112EAF38" w14:textId="77777777" w:rsidR="00E93F58" w:rsidRPr="00D97EFB" w:rsidRDefault="00E93F58" w:rsidP="00BB7E31">
      <w:pPr>
        <w:pStyle w:val="ActHead5"/>
      </w:pPr>
      <w:bookmarkStart w:id="2304" w:name="_Toc151994431"/>
      <w:bookmarkStart w:id="2305" w:name="_Toc158712941"/>
      <w:r w:rsidRPr="000D40D5">
        <w:rPr>
          <w:rStyle w:val="CharSectno"/>
        </w:rPr>
        <w:t>10.2.01</w:t>
      </w:r>
      <w:r w:rsidRPr="00D97EFB">
        <w:t xml:space="preserve">  Application of Part 10.2</w:t>
      </w:r>
      <w:bookmarkEnd w:id="2304"/>
      <w:bookmarkEnd w:id="2305"/>
    </w:p>
    <w:p w14:paraId="4704C08C" w14:textId="77777777" w:rsidR="00E93F58" w:rsidRPr="00D97EFB" w:rsidRDefault="00E93F58" w:rsidP="00BB7E31">
      <w:pPr>
        <w:pStyle w:val="subsection"/>
      </w:pPr>
      <w:r w:rsidRPr="00D97EFB">
        <w:rPr>
          <w:color w:val="000000"/>
        </w:rPr>
        <w:tab/>
      </w:r>
      <w:r w:rsidRPr="00D97EFB">
        <w:rPr>
          <w:color w:val="000000"/>
        </w:rPr>
        <w:tab/>
        <w:t xml:space="preserve">For Part 10.2 of the Act, this Part deals with matters of a transitional, saving or application nature relating to amendments made by the </w:t>
      </w:r>
      <w:r w:rsidRPr="00D97EFB">
        <w:rPr>
          <w:i/>
          <w:color w:val="000000"/>
        </w:rPr>
        <w:t>Financial Services Reform Act 2001</w:t>
      </w:r>
      <w:r w:rsidRPr="00D97EFB">
        <w:rPr>
          <w:color w:val="000000"/>
        </w:rPr>
        <w:t xml:space="preserve"> and the transition from the application of the old legislation to the application of the new legislation.</w:t>
      </w:r>
    </w:p>
    <w:p w14:paraId="1C5BA675" w14:textId="77777777" w:rsidR="00E93F58" w:rsidRPr="00D97EFB" w:rsidRDefault="00E93F58" w:rsidP="00BB7E31">
      <w:pPr>
        <w:pStyle w:val="notetext"/>
      </w:pPr>
      <w:r w:rsidRPr="00D97EFB">
        <w:rPr>
          <w:color w:val="000000"/>
        </w:rPr>
        <w:t>Note:</w:t>
      </w:r>
      <w:r w:rsidRPr="00D97EFB">
        <w:rPr>
          <w:color w:val="000000"/>
        </w:rPr>
        <w:tab/>
        <w:t>Part 10.2 contains a number of regulation</w:t>
      </w:r>
      <w:r>
        <w:rPr>
          <w:color w:val="000000"/>
        </w:rPr>
        <w:noBreakHyphen/>
      </w:r>
      <w:r w:rsidRPr="00D97EFB">
        <w:rPr>
          <w:color w:val="000000"/>
        </w:rPr>
        <w:t>making powers that relate to matters of a transitional, saving and application nature.</w:t>
      </w:r>
    </w:p>
    <w:p w14:paraId="030DAA0E" w14:textId="77777777" w:rsidR="00E93F58" w:rsidRPr="00D97EFB" w:rsidRDefault="00E93F58" w:rsidP="00BB7E31">
      <w:pPr>
        <w:pStyle w:val="ActHead5"/>
      </w:pPr>
      <w:bookmarkStart w:id="2306" w:name="_Toc151994432"/>
      <w:bookmarkStart w:id="2307" w:name="_Toc158712942"/>
      <w:r w:rsidRPr="000D40D5">
        <w:rPr>
          <w:rStyle w:val="CharSectno"/>
        </w:rPr>
        <w:t>10.2.02</w:t>
      </w:r>
      <w:r w:rsidRPr="00D97EFB">
        <w:t xml:space="preserve">  Definitions</w:t>
      </w:r>
      <w:bookmarkEnd w:id="2306"/>
      <w:bookmarkEnd w:id="2307"/>
    </w:p>
    <w:p w14:paraId="3E417C81" w14:textId="77777777" w:rsidR="00E93F58" w:rsidRPr="00D97EFB" w:rsidRDefault="00E93F58" w:rsidP="00BB7E31">
      <w:pPr>
        <w:pStyle w:val="subsection"/>
      </w:pPr>
      <w:r w:rsidRPr="00D97EFB">
        <w:tab/>
      </w:r>
      <w:r w:rsidRPr="00D97EFB">
        <w:tab/>
        <w:t>In this Part:</w:t>
      </w:r>
    </w:p>
    <w:p w14:paraId="71523B27" w14:textId="77777777" w:rsidR="00E93F58" w:rsidRPr="00D97EFB" w:rsidRDefault="00E93F58" w:rsidP="00BB7E31">
      <w:pPr>
        <w:pStyle w:val="Definition"/>
      </w:pPr>
      <w:r w:rsidRPr="00D97EFB">
        <w:rPr>
          <w:b/>
          <w:i/>
        </w:rPr>
        <w:t>old Corporations Regulations</w:t>
      </w:r>
      <w:r w:rsidRPr="00D97EFB">
        <w:t xml:space="preserve"> means these Regulations as in force immediately before the FSR commencement.</w:t>
      </w:r>
    </w:p>
    <w:p w14:paraId="7AB43349" w14:textId="77777777" w:rsidR="00E93F58" w:rsidRPr="00D97EFB" w:rsidRDefault="00E93F58" w:rsidP="00BB7E31">
      <w:pPr>
        <w:pStyle w:val="notetext"/>
      </w:pPr>
      <w:r w:rsidRPr="00D97EFB">
        <w:t>Note:</w:t>
      </w:r>
      <w:r w:rsidRPr="00D97EFB">
        <w:tab/>
        <w:t>Section 9 and Part 10.2 of the Act include a number of definitions of words and expressions that are relevant to the operation of this Part. They have the same meanings when used in this Part.</w:t>
      </w:r>
    </w:p>
    <w:p w14:paraId="6E207BEA" w14:textId="77777777" w:rsidR="00E93F58" w:rsidRPr="00D97EFB" w:rsidRDefault="00E93F58" w:rsidP="00BB7E31">
      <w:pPr>
        <w:pStyle w:val="notetext"/>
      </w:pPr>
      <w:r w:rsidRPr="00D97EFB">
        <w:tab/>
        <w:t xml:space="preserve">Part 10.2 also includes several expressions that have particular meanings in the context of particular provisions or circumstances, including </w:t>
      </w:r>
      <w:r w:rsidRPr="00D97EFB">
        <w:rPr>
          <w:b/>
          <w:i/>
        </w:rPr>
        <w:t>relevant old legislation</w:t>
      </w:r>
      <w:r w:rsidRPr="00D97EFB">
        <w:t xml:space="preserve">, </w:t>
      </w:r>
      <w:r w:rsidRPr="00D97EFB">
        <w:rPr>
          <w:b/>
          <w:i/>
        </w:rPr>
        <w:t>relevant new legislation</w:t>
      </w:r>
      <w:r w:rsidRPr="00D97EFB">
        <w:t xml:space="preserve"> and </w:t>
      </w:r>
      <w:r w:rsidRPr="00D97EFB">
        <w:rPr>
          <w:b/>
          <w:i/>
        </w:rPr>
        <w:t>transition period</w:t>
      </w:r>
      <w:r w:rsidRPr="00D97EFB">
        <w:t>.</w:t>
      </w:r>
    </w:p>
    <w:p w14:paraId="6F3EBEB6" w14:textId="77777777" w:rsidR="00E93F58" w:rsidRPr="00D97EFB" w:rsidRDefault="00E93F58" w:rsidP="00BB7E31">
      <w:pPr>
        <w:pStyle w:val="ActHead5"/>
      </w:pPr>
      <w:bookmarkStart w:id="2308" w:name="_Toc151994433"/>
      <w:bookmarkStart w:id="2309" w:name="_Toc158712943"/>
      <w:r w:rsidRPr="000D40D5">
        <w:rPr>
          <w:rStyle w:val="CharSectno"/>
        </w:rPr>
        <w:t>10.2.02A</w:t>
      </w:r>
      <w:r w:rsidRPr="00D97EFB">
        <w:t xml:space="preserve">  References to transition periods</w:t>
      </w:r>
      <w:bookmarkEnd w:id="2308"/>
      <w:bookmarkEnd w:id="2309"/>
    </w:p>
    <w:p w14:paraId="55272BF3" w14:textId="77777777" w:rsidR="00E93F58" w:rsidRPr="00D97EFB" w:rsidRDefault="00E93F58" w:rsidP="00BB7E31">
      <w:pPr>
        <w:pStyle w:val="subsection"/>
      </w:pPr>
      <w:r w:rsidRPr="00D97EFB">
        <w:tab/>
      </w:r>
      <w:r w:rsidRPr="00D97EFB">
        <w:tab/>
        <w:t>In these Regulations, unless the contrary intention appears, a reference to a transition period includes a transition period that has been extended under section 1437 of the Act.</w:t>
      </w:r>
    </w:p>
    <w:p w14:paraId="5ACDEF67" w14:textId="77777777" w:rsidR="00E93F58" w:rsidRPr="00D97EFB" w:rsidRDefault="00E93F58" w:rsidP="000A7E3B">
      <w:pPr>
        <w:pStyle w:val="ActHead5"/>
      </w:pPr>
      <w:bookmarkStart w:id="2310" w:name="_Toc151994434"/>
      <w:bookmarkStart w:id="2311" w:name="_Toc158712944"/>
      <w:r w:rsidRPr="000D40D5">
        <w:rPr>
          <w:rStyle w:val="CharSectno"/>
        </w:rPr>
        <w:t>10.2.02B</w:t>
      </w:r>
      <w:r w:rsidRPr="00D97EFB">
        <w:t xml:space="preserve">  References to the application of Division 2 of Part 7.9 of the Act</w:t>
      </w:r>
      <w:bookmarkEnd w:id="2310"/>
      <w:bookmarkEnd w:id="2311"/>
    </w:p>
    <w:p w14:paraId="2966325D" w14:textId="77777777" w:rsidR="00E93F58" w:rsidRPr="00D97EFB" w:rsidRDefault="00E93F58" w:rsidP="000A7E3B">
      <w:pPr>
        <w:pStyle w:val="subsection"/>
        <w:keepNext/>
        <w:keepLines/>
      </w:pPr>
      <w:r w:rsidRPr="00D97EFB">
        <w:tab/>
      </w:r>
      <w:r w:rsidRPr="00D97EFB">
        <w:tab/>
        <w:t>In these Regulations, unless the contrary intention appears:</w:t>
      </w:r>
    </w:p>
    <w:p w14:paraId="50A6DB7F" w14:textId="77777777" w:rsidR="00E93F58" w:rsidRPr="00D97EFB" w:rsidRDefault="00E93F58" w:rsidP="000A7E3B">
      <w:pPr>
        <w:pStyle w:val="paragraph"/>
        <w:keepNext/>
        <w:keepLines/>
        <w:rPr>
          <w:snapToGrid w:val="0"/>
        </w:rPr>
      </w:pPr>
      <w:r w:rsidRPr="00D97EFB">
        <w:rPr>
          <w:snapToGrid w:val="0"/>
        </w:rPr>
        <w:tab/>
        <w:t>(a)</w:t>
      </w:r>
      <w:r w:rsidRPr="00D97EFB">
        <w:rPr>
          <w:snapToGrid w:val="0"/>
        </w:rPr>
        <w:tab/>
        <w:t>a reference to Division 2 of Part 7.9 of the Act not applying to or in relation to a financial product is taken to refer only to circumstances in which that Division does not apply because of the effect of a provision of Part 10.2 of the Act; and</w:t>
      </w:r>
    </w:p>
    <w:p w14:paraId="2C3F7C71" w14:textId="77777777" w:rsidR="00E93F58" w:rsidRPr="00D97EFB" w:rsidRDefault="00E93F58" w:rsidP="00BB7E31">
      <w:pPr>
        <w:pStyle w:val="paragraph"/>
        <w:rPr>
          <w:snapToGrid w:val="0"/>
        </w:rPr>
      </w:pPr>
      <w:r w:rsidRPr="00D97EFB">
        <w:rPr>
          <w:snapToGrid w:val="0"/>
        </w:rPr>
        <w:tab/>
        <w:t>(b)</w:t>
      </w:r>
      <w:r w:rsidRPr="00D97EFB">
        <w:rPr>
          <w:snapToGrid w:val="0"/>
        </w:rPr>
        <w:tab/>
        <w:t>a reference to a financial product to which, or in relation to which, Division 2 of Part 7.9 of the Act applies is taken to include any financial product except a financial product to which that Division does not apply because of the effect of a provision of Part 10.2 of the Act.</w:t>
      </w:r>
    </w:p>
    <w:p w14:paraId="1A95C4B5" w14:textId="77777777" w:rsidR="00E93F58" w:rsidRPr="00D97EFB" w:rsidRDefault="00E93F58" w:rsidP="00C0664B">
      <w:pPr>
        <w:pStyle w:val="ActHead3"/>
        <w:pageBreakBefore/>
      </w:pPr>
      <w:bookmarkStart w:id="2312" w:name="_Toc151994435"/>
      <w:bookmarkStart w:id="2313" w:name="_Toc158712945"/>
      <w:r w:rsidRPr="000D40D5">
        <w:rPr>
          <w:rStyle w:val="CharDivNo"/>
        </w:rPr>
        <w:lastRenderedPageBreak/>
        <w:t>Division 1A</w:t>
      </w:r>
      <w:r w:rsidRPr="00D97EFB">
        <w:t>—</w:t>
      </w:r>
      <w:r w:rsidRPr="000D40D5">
        <w:rPr>
          <w:rStyle w:val="CharDivText"/>
        </w:rPr>
        <w:t>Treatment of proposed markets that have not started to operate by the FSR commencement</w:t>
      </w:r>
      <w:bookmarkEnd w:id="2312"/>
      <w:bookmarkEnd w:id="2313"/>
    </w:p>
    <w:p w14:paraId="7EA81C6E" w14:textId="77777777" w:rsidR="00E93F58" w:rsidRPr="00D97EFB" w:rsidRDefault="00E93F58" w:rsidP="00BB7E31">
      <w:pPr>
        <w:pStyle w:val="ActHead5"/>
      </w:pPr>
      <w:bookmarkStart w:id="2314" w:name="_Toc151994436"/>
      <w:bookmarkStart w:id="2315" w:name="_Toc158712946"/>
      <w:r w:rsidRPr="000D40D5">
        <w:rPr>
          <w:rStyle w:val="CharSectno"/>
        </w:rPr>
        <w:t>10.2.02C</w:t>
      </w:r>
      <w:r w:rsidRPr="00D97EFB">
        <w:t xml:space="preserve">  Proposed markets</w:t>
      </w:r>
      <w:bookmarkEnd w:id="2314"/>
      <w:bookmarkEnd w:id="2315"/>
    </w:p>
    <w:p w14:paraId="1257AF82" w14:textId="77777777" w:rsidR="00E93F58" w:rsidRPr="00D97EFB" w:rsidRDefault="00E93F58" w:rsidP="00BB7E31">
      <w:pPr>
        <w:pStyle w:val="subsection"/>
      </w:pPr>
      <w:r w:rsidRPr="00D97EFB">
        <w:tab/>
      </w:r>
      <w:r w:rsidRPr="00D97EFB">
        <w:tab/>
        <w:t>For paragraph 1412(1)(b) of the Act, the following markets are identified:</w:t>
      </w:r>
    </w:p>
    <w:p w14:paraId="48F4D855" w14:textId="77777777" w:rsidR="00E93F58" w:rsidRPr="00D97EFB" w:rsidRDefault="00E93F58" w:rsidP="00BB7E31">
      <w:pPr>
        <w:pStyle w:val="paragraph"/>
      </w:pPr>
      <w:r w:rsidRPr="00D97EFB">
        <w:tab/>
        <w:t>(a)</w:t>
      </w:r>
      <w:r w:rsidRPr="00D97EFB">
        <w:tab/>
        <w:t>a market in futures contracts proposed to be operated by Atriax Limited;</w:t>
      </w:r>
    </w:p>
    <w:p w14:paraId="741C0101" w14:textId="77777777" w:rsidR="00E93F58" w:rsidRPr="00D97EFB" w:rsidRDefault="00E93F58" w:rsidP="00BB7E31">
      <w:pPr>
        <w:pStyle w:val="paragraph"/>
      </w:pPr>
      <w:r w:rsidRPr="00D97EFB">
        <w:tab/>
        <w:t>(b)</w:t>
      </w:r>
      <w:r w:rsidRPr="00D97EFB">
        <w:tab/>
        <w:t>a market in futures contracts proposed to be operated by Hong Kong Futures Exchange Limited;</w:t>
      </w:r>
    </w:p>
    <w:p w14:paraId="715F722E" w14:textId="77777777" w:rsidR="00E93F58" w:rsidRPr="00D97EFB" w:rsidRDefault="00E93F58" w:rsidP="00BB7E31">
      <w:pPr>
        <w:pStyle w:val="paragraph"/>
      </w:pPr>
      <w:r w:rsidRPr="00D97EFB">
        <w:tab/>
        <w:t>(c)</w:t>
      </w:r>
      <w:r w:rsidRPr="00D97EFB">
        <w:tab/>
        <w:t>a market in securities proposed to be operated by Bloomberg L.P;</w:t>
      </w:r>
    </w:p>
    <w:p w14:paraId="75AC416C" w14:textId="77777777" w:rsidR="00E93F58" w:rsidRPr="00D97EFB" w:rsidRDefault="00E93F58" w:rsidP="00BB7E31">
      <w:pPr>
        <w:pStyle w:val="paragraph"/>
      </w:pPr>
      <w:r w:rsidRPr="00D97EFB">
        <w:tab/>
        <w:t>(d)</w:t>
      </w:r>
      <w:r w:rsidRPr="00D97EFB">
        <w:tab/>
        <w:t>a market in futures contracts proposed to be operated by The London Metal Exchange;</w:t>
      </w:r>
    </w:p>
    <w:p w14:paraId="6C56D008" w14:textId="77777777" w:rsidR="00E93F58" w:rsidRPr="00D97EFB" w:rsidRDefault="00E93F58" w:rsidP="00BB7E31">
      <w:pPr>
        <w:pStyle w:val="paragraph"/>
      </w:pPr>
      <w:r w:rsidRPr="00D97EFB">
        <w:tab/>
        <w:t>(e)</w:t>
      </w:r>
      <w:r w:rsidRPr="00D97EFB">
        <w:tab/>
        <w:t>a market in futures contracts proposed to be operated by Credit Suisse First Boston (Europe) Limited;</w:t>
      </w:r>
    </w:p>
    <w:p w14:paraId="5977B03A" w14:textId="77777777" w:rsidR="00E93F58" w:rsidRPr="00D97EFB" w:rsidRDefault="00E93F58" w:rsidP="00BB7E31">
      <w:pPr>
        <w:pStyle w:val="paragraph"/>
      </w:pPr>
      <w:r w:rsidRPr="00D97EFB">
        <w:tab/>
        <w:t>(f)</w:t>
      </w:r>
      <w:r w:rsidRPr="00D97EFB">
        <w:tab/>
        <w:t>a market in securities proposed to be operated by Eurex Deutschland;</w:t>
      </w:r>
    </w:p>
    <w:p w14:paraId="5FB07B82" w14:textId="77777777" w:rsidR="00E93F58" w:rsidRPr="00D97EFB" w:rsidRDefault="00E93F58" w:rsidP="00BB7E31">
      <w:pPr>
        <w:pStyle w:val="paragraph"/>
      </w:pPr>
      <w:r w:rsidRPr="00D97EFB">
        <w:tab/>
        <w:t>(g)</w:t>
      </w:r>
      <w:r w:rsidRPr="00D97EFB">
        <w:tab/>
        <w:t>a market in futures contracts proposed to be operated by Eurex Deutschland.</w:t>
      </w:r>
    </w:p>
    <w:p w14:paraId="107F0D49" w14:textId="77777777" w:rsidR="00E93F58" w:rsidRPr="00D97EFB" w:rsidRDefault="00E93F58" w:rsidP="00C0664B">
      <w:pPr>
        <w:pStyle w:val="ActHead3"/>
        <w:pageBreakBefore/>
        <w:rPr>
          <w:color w:val="000000"/>
        </w:rPr>
      </w:pPr>
      <w:bookmarkStart w:id="2316" w:name="_Toc151994437"/>
      <w:bookmarkStart w:id="2317" w:name="_Toc158712947"/>
      <w:r w:rsidRPr="000D40D5">
        <w:rPr>
          <w:rStyle w:val="CharDivNo"/>
        </w:rPr>
        <w:lastRenderedPageBreak/>
        <w:t>Division 2</w:t>
      </w:r>
      <w:r w:rsidRPr="00D97EFB">
        <w:rPr>
          <w:color w:val="000000"/>
        </w:rPr>
        <w:t>—</w:t>
      </w:r>
      <w:r w:rsidRPr="000D40D5">
        <w:rPr>
          <w:rStyle w:val="CharDivText"/>
        </w:rPr>
        <w:t>Transitional arrangements relating to business rules or listing rules</w:t>
      </w:r>
      <w:bookmarkEnd w:id="2316"/>
      <w:bookmarkEnd w:id="2317"/>
    </w:p>
    <w:p w14:paraId="752D61F0" w14:textId="77777777" w:rsidR="00E93F58" w:rsidRPr="00D97EFB" w:rsidRDefault="00E93F58" w:rsidP="00BB7E31">
      <w:pPr>
        <w:pStyle w:val="ActHead4"/>
      </w:pPr>
      <w:bookmarkStart w:id="2318" w:name="_Toc151994438"/>
      <w:bookmarkStart w:id="2319" w:name="_Toc158712948"/>
      <w:r w:rsidRPr="000D40D5">
        <w:rPr>
          <w:rStyle w:val="CharSubdNo"/>
        </w:rPr>
        <w:t>Subdivision 2.1</w:t>
      </w:r>
      <w:r w:rsidRPr="00D97EFB">
        <w:t>—</w:t>
      </w:r>
      <w:r w:rsidRPr="000D40D5">
        <w:rPr>
          <w:rStyle w:val="CharSubdText"/>
        </w:rPr>
        <w:t>Business rules</w:t>
      </w:r>
      <w:bookmarkEnd w:id="2318"/>
      <w:bookmarkEnd w:id="2319"/>
    </w:p>
    <w:p w14:paraId="69132BC5" w14:textId="77777777" w:rsidR="00E93F58" w:rsidRPr="00D97EFB" w:rsidRDefault="00E93F58" w:rsidP="00BB7E31">
      <w:pPr>
        <w:pStyle w:val="ActHead5"/>
      </w:pPr>
      <w:bookmarkStart w:id="2320" w:name="_Toc151994439"/>
      <w:bookmarkStart w:id="2321" w:name="_Toc158712949"/>
      <w:r w:rsidRPr="000D40D5">
        <w:rPr>
          <w:rStyle w:val="CharSectno"/>
        </w:rPr>
        <w:t>10.2.03</w:t>
      </w:r>
      <w:r w:rsidRPr="00D97EFB">
        <w:t xml:space="preserve">  Amendment of business rules of securities exchange before FSR commencement</w:t>
      </w:r>
      <w:bookmarkEnd w:id="2320"/>
      <w:bookmarkEnd w:id="2321"/>
    </w:p>
    <w:p w14:paraId="1F8320E0" w14:textId="77777777" w:rsidR="00E93F58" w:rsidRPr="00D97EFB" w:rsidRDefault="00E93F58" w:rsidP="00BB7E31">
      <w:pPr>
        <w:pStyle w:val="subsection"/>
      </w:pPr>
      <w:r w:rsidRPr="00D97EFB">
        <w:tab/>
        <w:t>(1)</w:t>
      </w:r>
      <w:r w:rsidRPr="00D97EFB">
        <w:tab/>
        <w:t>This regulation applies if:</w:t>
      </w:r>
    </w:p>
    <w:p w14:paraId="0490F1F8" w14:textId="77777777" w:rsidR="00E93F58" w:rsidRPr="00D97EFB" w:rsidRDefault="00E93F58" w:rsidP="00BB7E31">
      <w:pPr>
        <w:pStyle w:val="paragraph"/>
      </w:pPr>
      <w:r w:rsidRPr="00D97EFB">
        <w:rPr>
          <w:color w:val="000000"/>
        </w:rPr>
        <w:tab/>
        <w:t>(a)</w:t>
      </w:r>
      <w:r w:rsidRPr="00D97EFB">
        <w:rPr>
          <w:color w:val="000000"/>
        </w:rPr>
        <w:tab/>
        <w:t>an amendment was made, by way of rescission, alteration or addition, to the business rules of a securities exchange before the FSR commencement; and</w:t>
      </w:r>
    </w:p>
    <w:p w14:paraId="479F5A3C" w14:textId="77777777" w:rsidR="00E93F58" w:rsidRPr="00D97EFB" w:rsidRDefault="00E93F58" w:rsidP="00BB7E31">
      <w:pPr>
        <w:pStyle w:val="paragraph"/>
      </w:pPr>
      <w:r w:rsidRPr="00D97EFB">
        <w:tab/>
        <w:t>(b)</w:t>
      </w:r>
      <w:r w:rsidRPr="00D97EFB">
        <w:tab/>
        <w:t>written notice of the amendment was lodged in accordance with subsection 774(1) of the old Corporations Act before the FSR commencement; and</w:t>
      </w:r>
    </w:p>
    <w:p w14:paraId="475590E7" w14:textId="77777777" w:rsidR="00E93F58" w:rsidRPr="00D97EFB" w:rsidRDefault="00E93F58" w:rsidP="00BB7E31">
      <w:pPr>
        <w:pStyle w:val="paragraph"/>
      </w:pPr>
      <w:r w:rsidRPr="00D97EFB">
        <w:tab/>
        <w:t>(c)</w:t>
      </w:r>
      <w:r w:rsidRPr="00D97EFB">
        <w:tab/>
        <w:t>the period of 28 days in relation to the amendment, mentioned in subsection 774(5) of the old Corporations Act, had not expired before the FSR commencement; and</w:t>
      </w:r>
    </w:p>
    <w:p w14:paraId="38A4D758" w14:textId="77777777" w:rsidR="00E93F58" w:rsidRPr="00D97EFB" w:rsidRDefault="00E93F58" w:rsidP="00BB7E31">
      <w:pPr>
        <w:pStyle w:val="paragraph"/>
      </w:pPr>
      <w:r w:rsidRPr="00D97EFB">
        <w:tab/>
        <w:t>(d)</w:t>
      </w:r>
      <w:r w:rsidRPr="00D97EFB">
        <w:tab/>
        <w:t>the Minister had not decided, before the FSR commencement, whether to disallow the whole or a specified part of the amendment under subsection 774(5) of the old Corporations Act.</w:t>
      </w:r>
    </w:p>
    <w:p w14:paraId="26E61440" w14:textId="77777777" w:rsidR="00E93F58" w:rsidRPr="00D97EFB" w:rsidRDefault="00E93F58" w:rsidP="00BB7E31">
      <w:pPr>
        <w:pStyle w:val="notetext"/>
      </w:pPr>
      <w:r w:rsidRPr="00D97EFB">
        <w:rPr>
          <w:color w:val="000000"/>
        </w:rPr>
        <w:t>Note:</w:t>
      </w:r>
      <w:r w:rsidRPr="00D97EFB">
        <w:rPr>
          <w:color w:val="000000"/>
        </w:rPr>
        <w:tab/>
        <w:t>The period of 28 days in paragraph (c) is the period in which the Minister may disallow the whole or a specified part of the amendment.</w:t>
      </w:r>
    </w:p>
    <w:p w14:paraId="63A3A773" w14:textId="77777777" w:rsidR="00E93F58" w:rsidRPr="00D97EFB" w:rsidRDefault="00E93F58" w:rsidP="00BB7E31">
      <w:pPr>
        <w:pStyle w:val="subsection"/>
      </w:pPr>
      <w:r w:rsidRPr="00D97EFB">
        <w:rPr>
          <w:color w:val="000000"/>
        </w:rPr>
        <w:tab/>
        <w:t>(2)</w:t>
      </w:r>
      <w:r w:rsidRPr="00D97EFB">
        <w:rPr>
          <w:color w:val="000000"/>
        </w:rPr>
        <w:tab/>
        <w:t>On and after the FSR commencement, section 793E of the Act has effect in relation to the amendment as if the amendment were a change to the operating rules of a licensed market mentioned in section 793D of the Act.</w:t>
      </w:r>
    </w:p>
    <w:p w14:paraId="185BDC91" w14:textId="77777777" w:rsidR="00E93F58" w:rsidRPr="00D97EFB" w:rsidRDefault="00E93F58" w:rsidP="00BB7E31">
      <w:pPr>
        <w:pStyle w:val="subsection"/>
      </w:pPr>
      <w:r w:rsidRPr="00D97EFB">
        <w:tab/>
        <w:t>(3)</w:t>
      </w:r>
      <w:r w:rsidRPr="00D97EFB">
        <w:tab/>
        <w:t>For subregulation (2):</w:t>
      </w:r>
    </w:p>
    <w:p w14:paraId="17296ED6" w14:textId="77777777" w:rsidR="00E93F58" w:rsidRPr="00D97EFB" w:rsidRDefault="00E93F58" w:rsidP="00BB7E31">
      <w:pPr>
        <w:pStyle w:val="paragraph"/>
      </w:pPr>
      <w:r w:rsidRPr="00D97EFB">
        <w:rPr>
          <w:color w:val="000000"/>
        </w:rPr>
        <w:tab/>
        <w:t>(a)</w:t>
      </w:r>
      <w:r w:rsidRPr="00D97EFB">
        <w:rPr>
          <w:color w:val="000000"/>
        </w:rPr>
        <w:tab/>
        <w:t>the securities exchange is to be treated, under sections 793D and 793E of the Act, as a market licensee that has lodged written notice of the change with ASIC; and</w:t>
      </w:r>
    </w:p>
    <w:p w14:paraId="2B8DB826" w14:textId="77777777" w:rsidR="00E93F58" w:rsidRPr="00D97EFB" w:rsidRDefault="00E93F58" w:rsidP="00BB7E31">
      <w:pPr>
        <w:pStyle w:val="paragraph"/>
      </w:pPr>
      <w:r w:rsidRPr="00D97EFB">
        <w:tab/>
        <w:t>(b)</w:t>
      </w:r>
      <w:r w:rsidRPr="00D97EFB">
        <w:tab/>
        <w:t>ASIC is taken to have complied with its obligations to the Minister under section 793E of the Act; and</w:t>
      </w:r>
    </w:p>
    <w:p w14:paraId="76DE4A51" w14:textId="77777777" w:rsidR="00E93F58" w:rsidRPr="00D97EFB" w:rsidRDefault="00E93F58" w:rsidP="00BB7E31">
      <w:pPr>
        <w:pStyle w:val="paragraph"/>
      </w:pPr>
      <w:r w:rsidRPr="00D97EFB">
        <w:tab/>
        <w:t>(c)</w:t>
      </w:r>
      <w:r w:rsidRPr="00D97EFB">
        <w:tab/>
        <w:t>the Minister is taken to have been given the notice of the change on the day on which written notice of the amendment was lodged in accordance with subsection 774(1) of the old Corporations Act.</w:t>
      </w:r>
    </w:p>
    <w:p w14:paraId="48D5EE53" w14:textId="77777777" w:rsidR="00E93F58" w:rsidRPr="00D97EFB" w:rsidRDefault="00E93F58" w:rsidP="00BB7E31">
      <w:pPr>
        <w:pStyle w:val="ActHead5"/>
      </w:pPr>
      <w:bookmarkStart w:id="2322" w:name="_Toc151994440"/>
      <w:bookmarkStart w:id="2323" w:name="_Toc158712950"/>
      <w:r w:rsidRPr="000D40D5">
        <w:rPr>
          <w:rStyle w:val="CharSectno"/>
        </w:rPr>
        <w:t>10.2.04</w:t>
      </w:r>
      <w:r w:rsidRPr="00D97EFB">
        <w:t xml:space="preserve">  Amendment of SCH business rules before FSR commencement</w:t>
      </w:r>
      <w:bookmarkEnd w:id="2322"/>
      <w:bookmarkEnd w:id="2323"/>
    </w:p>
    <w:p w14:paraId="5224CB61" w14:textId="77777777" w:rsidR="00E93F58" w:rsidRPr="00D97EFB" w:rsidRDefault="00E93F58" w:rsidP="00BB7E31">
      <w:pPr>
        <w:pStyle w:val="subsection"/>
      </w:pPr>
      <w:r w:rsidRPr="00D97EFB">
        <w:tab/>
        <w:t>(1)</w:t>
      </w:r>
      <w:r w:rsidRPr="00D97EFB">
        <w:tab/>
        <w:t>This regulation applies if:</w:t>
      </w:r>
    </w:p>
    <w:p w14:paraId="689B3149" w14:textId="77777777" w:rsidR="00E93F58" w:rsidRPr="00D97EFB" w:rsidRDefault="00E93F58" w:rsidP="00BB7E31">
      <w:pPr>
        <w:pStyle w:val="paragraph"/>
      </w:pPr>
      <w:r w:rsidRPr="00D97EFB">
        <w:rPr>
          <w:color w:val="000000"/>
        </w:rPr>
        <w:tab/>
        <w:t>(a)</w:t>
      </w:r>
      <w:r w:rsidRPr="00D97EFB">
        <w:rPr>
          <w:color w:val="000000"/>
        </w:rPr>
        <w:tab/>
        <w:t>an amendment was made, by way of rescission, alteration or addition, to the SCH business rules before the FSR commencement; and</w:t>
      </w:r>
    </w:p>
    <w:p w14:paraId="24BEB0B0" w14:textId="77777777" w:rsidR="00E93F58" w:rsidRPr="00D97EFB" w:rsidRDefault="00E93F58" w:rsidP="00BB7E31">
      <w:pPr>
        <w:pStyle w:val="paragraph"/>
      </w:pPr>
      <w:r w:rsidRPr="00D97EFB">
        <w:tab/>
        <w:t>(b)</w:t>
      </w:r>
      <w:r w:rsidRPr="00D97EFB">
        <w:tab/>
        <w:t>written notice of the amendment was given in accordance with subsection 779C(1) of the old Corporations Act before the FSR commencement; and</w:t>
      </w:r>
    </w:p>
    <w:p w14:paraId="428D0A62" w14:textId="77777777" w:rsidR="00E93F58" w:rsidRPr="00D97EFB" w:rsidRDefault="00E93F58" w:rsidP="00BB7E31">
      <w:pPr>
        <w:pStyle w:val="paragraph"/>
      </w:pPr>
      <w:r w:rsidRPr="00D97EFB">
        <w:tab/>
        <w:t>(c)</w:t>
      </w:r>
      <w:r w:rsidRPr="00D97EFB">
        <w:tab/>
        <w:t>the period of 28 days in relation to the amendment, mentioned in subsection 779C(5) of the old Corporations Act, had not expired before the FSR commencement; and</w:t>
      </w:r>
    </w:p>
    <w:p w14:paraId="37D41F27" w14:textId="77777777" w:rsidR="00E93F58" w:rsidRPr="00D97EFB" w:rsidRDefault="00E93F58" w:rsidP="00BB7E31">
      <w:pPr>
        <w:pStyle w:val="paragraph"/>
      </w:pPr>
      <w:r w:rsidRPr="00D97EFB">
        <w:tab/>
        <w:t>(d)</w:t>
      </w:r>
      <w:r w:rsidRPr="00D97EFB">
        <w:tab/>
        <w:t>the Minister had not decided, before the FSR commencement, whether to disallow the whole or a specified part of the amendment under subsection 779C(5) of the old Corporations Act.</w:t>
      </w:r>
    </w:p>
    <w:p w14:paraId="5FBBF4EE" w14:textId="77777777" w:rsidR="00E93F58" w:rsidRPr="00D97EFB" w:rsidRDefault="00E93F58" w:rsidP="00BB7E31">
      <w:pPr>
        <w:pStyle w:val="notetext"/>
      </w:pPr>
      <w:r w:rsidRPr="00D97EFB">
        <w:rPr>
          <w:color w:val="000000"/>
        </w:rPr>
        <w:t>Note:</w:t>
      </w:r>
      <w:r w:rsidRPr="00D97EFB">
        <w:rPr>
          <w:color w:val="000000"/>
        </w:rPr>
        <w:tab/>
        <w:t>The period of 28 days in paragraph (c) is the period in which the Minister may disallow the whole or a specified part of the amendment.</w:t>
      </w:r>
    </w:p>
    <w:p w14:paraId="48B03F87" w14:textId="77777777" w:rsidR="00E93F58" w:rsidRPr="00D97EFB" w:rsidRDefault="00E93F58" w:rsidP="00BB7E31">
      <w:pPr>
        <w:pStyle w:val="subsection"/>
      </w:pPr>
      <w:r w:rsidRPr="00D97EFB">
        <w:rPr>
          <w:color w:val="000000"/>
        </w:rPr>
        <w:tab/>
        <w:t>(2)</w:t>
      </w:r>
      <w:r w:rsidRPr="00D97EFB">
        <w:rPr>
          <w:color w:val="000000"/>
        </w:rPr>
        <w:tab/>
        <w:t>On and after the FSR commencement, section 822E of the Act has effect in relation to the amendment as if the amendment were a change to the operating rules of a licensed CS facility mentioned in section 822D of the Act.</w:t>
      </w:r>
    </w:p>
    <w:p w14:paraId="2C81FB8E" w14:textId="77777777" w:rsidR="00E93F58" w:rsidRPr="00D97EFB" w:rsidRDefault="00E93F58" w:rsidP="00BB7E31">
      <w:pPr>
        <w:pStyle w:val="subsection"/>
      </w:pPr>
      <w:r w:rsidRPr="00D97EFB">
        <w:tab/>
        <w:t>(3)</w:t>
      </w:r>
      <w:r w:rsidRPr="00D97EFB">
        <w:tab/>
        <w:t>For subregulation (2):</w:t>
      </w:r>
    </w:p>
    <w:p w14:paraId="119C4471" w14:textId="77777777" w:rsidR="00E93F58" w:rsidRPr="00D97EFB" w:rsidRDefault="00E93F58" w:rsidP="00BB7E31">
      <w:pPr>
        <w:pStyle w:val="paragraph"/>
      </w:pPr>
      <w:r w:rsidRPr="00D97EFB">
        <w:rPr>
          <w:color w:val="000000"/>
        </w:rPr>
        <w:tab/>
        <w:t>(a)</w:t>
      </w:r>
      <w:r w:rsidRPr="00D97EFB">
        <w:rPr>
          <w:color w:val="000000"/>
        </w:rPr>
        <w:tab/>
        <w:t>the securities clearing house is to be treated, under sections 822D and 822E of the Act, as a licensed CS facility that has lodged written notice of the change with ASIC; and</w:t>
      </w:r>
    </w:p>
    <w:p w14:paraId="32FA4BF6" w14:textId="77777777" w:rsidR="00E93F58" w:rsidRPr="00D97EFB" w:rsidRDefault="00E93F58" w:rsidP="00BB7E31">
      <w:pPr>
        <w:pStyle w:val="paragraph"/>
      </w:pPr>
      <w:r w:rsidRPr="00D97EFB">
        <w:tab/>
        <w:t>(b)</w:t>
      </w:r>
      <w:r w:rsidRPr="00D97EFB">
        <w:tab/>
        <w:t>ASIC is taken to have complied with its obligations to the Minister under section 822E of the Act; and</w:t>
      </w:r>
    </w:p>
    <w:p w14:paraId="4740FCF3" w14:textId="77777777" w:rsidR="00E93F58" w:rsidRPr="00D97EFB" w:rsidRDefault="00E93F58" w:rsidP="00BB7E31">
      <w:pPr>
        <w:pStyle w:val="paragraph"/>
      </w:pPr>
      <w:r w:rsidRPr="00D97EFB">
        <w:tab/>
        <w:t>(c)</w:t>
      </w:r>
      <w:r w:rsidRPr="00D97EFB">
        <w:tab/>
        <w:t>the Minister is taken to have been given the notice of the change on the day on which written notice of the amendment was given in accordance with subsection 779C(1) of the old Corporations Act.</w:t>
      </w:r>
    </w:p>
    <w:p w14:paraId="2334D54A" w14:textId="77777777" w:rsidR="00E93F58" w:rsidRPr="00D97EFB" w:rsidRDefault="00E93F58" w:rsidP="00BB7E31">
      <w:pPr>
        <w:pStyle w:val="ActHead5"/>
      </w:pPr>
      <w:bookmarkStart w:id="2324" w:name="_Toc151994441"/>
      <w:bookmarkStart w:id="2325" w:name="_Toc158712951"/>
      <w:r w:rsidRPr="000D40D5">
        <w:rPr>
          <w:rStyle w:val="CharSectno"/>
        </w:rPr>
        <w:t>10.2.05</w:t>
      </w:r>
      <w:r w:rsidRPr="00D97EFB">
        <w:t xml:space="preserve">  Amendment of SEGC business rules before FSR commencement</w:t>
      </w:r>
      <w:bookmarkEnd w:id="2324"/>
      <w:bookmarkEnd w:id="2325"/>
    </w:p>
    <w:p w14:paraId="3CE737A6" w14:textId="77777777" w:rsidR="00E93F58" w:rsidRPr="00D97EFB" w:rsidRDefault="00E93F58" w:rsidP="00BB7E31">
      <w:pPr>
        <w:pStyle w:val="subsection"/>
      </w:pPr>
      <w:r w:rsidRPr="00D97EFB">
        <w:tab/>
        <w:t>(1)</w:t>
      </w:r>
      <w:r w:rsidRPr="00D97EFB">
        <w:tab/>
        <w:t>This regulation applies if:</w:t>
      </w:r>
    </w:p>
    <w:p w14:paraId="0D4EA4E3" w14:textId="77777777" w:rsidR="00E93F58" w:rsidRPr="00D97EFB" w:rsidRDefault="00E93F58" w:rsidP="00BB7E31">
      <w:pPr>
        <w:pStyle w:val="paragraph"/>
      </w:pPr>
      <w:r w:rsidRPr="00D97EFB">
        <w:rPr>
          <w:color w:val="000000"/>
        </w:rPr>
        <w:tab/>
        <w:t>(a)</w:t>
      </w:r>
      <w:r w:rsidRPr="00D97EFB">
        <w:rPr>
          <w:color w:val="000000"/>
        </w:rPr>
        <w:tab/>
        <w:t>a change is made to the SEGC’s operating rules before the FSR commencement; and</w:t>
      </w:r>
    </w:p>
    <w:p w14:paraId="1D185A2E" w14:textId="77777777" w:rsidR="00E93F58" w:rsidRPr="00D97EFB" w:rsidRDefault="00E93F58" w:rsidP="00BB7E31">
      <w:pPr>
        <w:pStyle w:val="paragraph"/>
      </w:pPr>
      <w:r w:rsidRPr="00D97EFB">
        <w:lastRenderedPageBreak/>
        <w:tab/>
        <w:t>(b)</w:t>
      </w:r>
      <w:r w:rsidRPr="00D97EFB">
        <w:tab/>
        <w:t>written notice of the amendment was given in accordance with subsection 928(1) of the old Corporations Act before the FSR commencement; and</w:t>
      </w:r>
    </w:p>
    <w:p w14:paraId="4A4855A7" w14:textId="77777777" w:rsidR="00E93F58" w:rsidRPr="00D97EFB" w:rsidRDefault="00E93F58" w:rsidP="00BB7E31">
      <w:pPr>
        <w:pStyle w:val="paragraph"/>
      </w:pPr>
      <w:r w:rsidRPr="00D97EFB">
        <w:tab/>
        <w:t>(c)</w:t>
      </w:r>
      <w:r w:rsidRPr="00D97EFB">
        <w:tab/>
        <w:t>the period of 28 days in relation to the amendment, mentioned in subsection 928(5) of the old Corporations Act, had not expired before the FSR commencement; and</w:t>
      </w:r>
    </w:p>
    <w:p w14:paraId="540AB152" w14:textId="77777777" w:rsidR="00E93F58" w:rsidRPr="00D97EFB" w:rsidRDefault="00E93F58" w:rsidP="00BB7E31">
      <w:pPr>
        <w:pStyle w:val="paragraph"/>
      </w:pPr>
      <w:r w:rsidRPr="00D97EFB">
        <w:tab/>
        <w:t>(d)</w:t>
      </w:r>
      <w:r w:rsidRPr="00D97EFB">
        <w:tab/>
        <w:t>the Minister had not decided, before the FSR commencement, whether to disallow the whole or a specified part of the amendment under subsection 928(5) of the old Corporations Act.</w:t>
      </w:r>
    </w:p>
    <w:p w14:paraId="394185D5" w14:textId="77777777" w:rsidR="00E93F58" w:rsidRPr="00D97EFB" w:rsidRDefault="00E93F58" w:rsidP="00BB7E31">
      <w:pPr>
        <w:pStyle w:val="notetext"/>
      </w:pPr>
      <w:r w:rsidRPr="00D97EFB">
        <w:rPr>
          <w:color w:val="000000"/>
        </w:rPr>
        <w:t>Note:</w:t>
      </w:r>
      <w:r w:rsidRPr="00D97EFB">
        <w:rPr>
          <w:color w:val="000000"/>
        </w:rPr>
        <w:tab/>
        <w:t>The period of 28 days in paragraph (c) is the period in which the Minister may disallow the whole or a specified part of the amendment.</w:t>
      </w:r>
    </w:p>
    <w:p w14:paraId="21B81D90" w14:textId="77777777" w:rsidR="00E93F58" w:rsidRPr="00D97EFB" w:rsidRDefault="00E93F58" w:rsidP="00BB7E31">
      <w:pPr>
        <w:pStyle w:val="subsection"/>
      </w:pPr>
      <w:r w:rsidRPr="00D97EFB">
        <w:rPr>
          <w:color w:val="000000"/>
        </w:rPr>
        <w:tab/>
        <w:t>(2)</w:t>
      </w:r>
      <w:r w:rsidRPr="00D97EFB">
        <w:rPr>
          <w:color w:val="000000"/>
        </w:rPr>
        <w:tab/>
        <w:t>On and after the FSR commencement, section 890H of the Act has effect in relation to the amendment as if the amendment were a change to the SEGC’s operating rules mentioned in section 890G of the Act.</w:t>
      </w:r>
    </w:p>
    <w:p w14:paraId="2F52E758" w14:textId="77777777" w:rsidR="00E93F58" w:rsidRPr="00D97EFB" w:rsidRDefault="00E93F58" w:rsidP="00BB7E31">
      <w:pPr>
        <w:pStyle w:val="subsection"/>
      </w:pPr>
      <w:r w:rsidRPr="00D97EFB">
        <w:tab/>
        <w:t>(3)</w:t>
      </w:r>
      <w:r w:rsidRPr="00D97EFB">
        <w:tab/>
        <w:t>For subregulation (2):</w:t>
      </w:r>
    </w:p>
    <w:p w14:paraId="1A81E021" w14:textId="77777777" w:rsidR="00E93F58" w:rsidRPr="00D97EFB" w:rsidRDefault="00E93F58" w:rsidP="00BB7E31">
      <w:pPr>
        <w:pStyle w:val="paragraph"/>
      </w:pPr>
      <w:r w:rsidRPr="00D97EFB">
        <w:rPr>
          <w:color w:val="000000"/>
        </w:rPr>
        <w:tab/>
        <w:t>(a)</w:t>
      </w:r>
      <w:r w:rsidRPr="00D97EFB">
        <w:rPr>
          <w:color w:val="000000"/>
        </w:rPr>
        <w:tab/>
        <w:t>the SEGC is to be treated, under sections 890G and 890H of the Act, as having lodged written notice of the change with ASIC; and</w:t>
      </w:r>
    </w:p>
    <w:p w14:paraId="03801E92" w14:textId="77777777" w:rsidR="00E93F58" w:rsidRPr="00D97EFB" w:rsidRDefault="00E93F58" w:rsidP="00BB7E31">
      <w:pPr>
        <w:pStyle w:val="paragraph"/>
      </w:pPr>
      <w:r w:rsidRPr="00D97EFB">
        <w:tab/>
        <w:t>(b)</w:t>
      </w:r>
      <w:r w:rsidRPr="00D97EFB">
        <w:tab/>
        <w:t>ASIC is taken to have complied with its obligations to the Minister under section 890H of the Act; and</w:t>
      </w:r>
    </w:p>
    <w:p w14:paraId="65216C94" w14:textId="77777777" w:rsidR="00E93F58" w:rsidRPr="00D97EFB" w:rsidRDefault="00E93F58" w:rsidP="000A7E3B">
      <w:pPr>
        <w:pStyle w:val="paragraph"/>
        <w:keepNext/>
        <w:keepLines/>
      </w:pPr>
      <w:r w:rsidRPr="00D97EFB">
        <w:tab/>
        <w:t>(c)</w:t>
      </w:r>
      <w:r w:rsidRPr="00D97EFB">
        <w:tab/>
        <w:t>the Minister is taken to have been given the notice of the change on the day on which written notice of the amendment was given in accordance with subsection 928(1) of the old Corporations Act.</w:t>
      </w:r>
    </w:p>
    <w:p w14:paraId="4E4F43AE" w14:textId="77777777" w:rsidR="00E93F58" w:rsidRPr="00D97EFB" w:rsidRDefault="00E93F58" w:rsidP="00BB7E31">
      <w:pPr>
        <w:pStyle w:val="ActHead5"/>
      </w:pPr>
      <w:bookmarkStart w:id="2326" w:name="_Toc151994442"/>
      <w:bookmarkStart w:id="2327" w:name="_Toc158712952"/>
      <w:r w:rsidRPr="000D40D5">
        <w:rPr>
          <w:rStyle w:val="CharSectno"/>
        </w:rPr>
        <w:t>10.2.06</w:t>
      </w:r>
      <w:r w:rsidRPr="00D97EFB">
        <w:t xml:space="preserve">  Amendment of business rules of futures body before FSR commencement</w:t>
      </w:r>
      <w:bookmarkEnd w:id="2326"/>
      <w:bookmarkEnd w:id="2327"/>
    </w:p>
    <w:p w14:paraId="51E442DA" w14:textId="77777777" w:rsidR="00E93F58" w:rsidRPr="00D97EFB" w:rsidRDefault="00E93F58" w:rsidP="00BB7E31">
      <w:pPr>
        <w:pStyle w:val="subsection"/>
      </w:pPr>
      <w:r w:rsidRPr="00D97EFB">
        <w:tab/>
        <w:t>(1)</w:t>
      </w:r>
      <w:r w:rsidRPr="00D97EFB">
        <w:tab/>
        <w:t>This regulation applies if:</w:t>
      </w:r>
    </w:p>
    <w:p w14:paraId="3CE57A77" w14:textId="77777777" w:rsidR="00E93F58" w:rsidRPr="00D97EFB" w:rsidRDefault="00E93F58" w:rsidP="00BB7E31">
      <w:pPr>
        <w:pStyle w:val="paragraph"/>
      </w:pPr>
      <w:r w:rsidRPr="00D97EFB">
        <w:rPr>
          <w:color w:val="000000"/>
        </w:rPr>
        <w:tab/>
        <w:t>(a)</w:t>
      </w:r>
      <w:r w:rsidRPr="00D97EFB">
        <w:rPr>
          <w:color w:val="000000"/>
        </w:rPr>
        <w:tab/>
        <w:t>an amendment was made, by way of rescission, alteration or addition, to the business rules of any of a futures body before the FSR commencement; and</w:t>
      </w:r>
    </w:p>
    <w:p w14:paraId="4A97F5D4" w14:textId="77777777" w:rsidR="00E93F58" w:rsidRPr="00D97EFB" w:rsidRDefault="00E93F58" w:rsidP="00BB7E31">
      <w:pPr>
        <w:pStyle w:val="paragraph"/>
      </w:pPr>
      <w:r w:rsidRPr="00D97EFB">
        <w:tab/>
        <w:t>(b)</w:t>
      </w:r>
      <w:r w:rsidRPr="00D97EFB">
        <w:tab/>
        <w:t>written notice of the amendment was given in accordance with subsection 1136(1) of the old Corporations Act before the FSR commencement; and</w:t>
      </w:r>
    </w:p>
    <w:p w14:paraId="42BEB49C" w14:textId="77777777" w:rsidR="00E93F58" w:rsidRPr="00D97EFB" w:rsidRDefault="00E93F58" w:rsidP="00BB7E31">
      <w:pPr>
        <w:pStyle w:val="paragraph"/>
      </w:pPr>
      <w:r w:rsidRPr="00D97EFB">
        <w:tab/>
        <w:t>(c)</w:t>
      </w:r>
      <w:r w:rsidRPr="00D97EFB">
        <w:tab/>
        <w:t>the period of 28 days in relation to the amendment, mentioned in subsection 1136(5) of the old Corporations Act, had not expired before the FSR commencement; and</w:t>
      </w:r>
    </w:p>
    <w:p w14:paraId="2923A269" w14:textId="77777777" w:rsidR="00E93F58" w:rsidRPr="00D97EFB" w:rsidRDefault="00E93F58" w:rsidP="00BB7E31">
      <w:pPr>
        <w:pStyle w:val="paragraph"/>
      </w:pPr>
      <w:r w:rsidRPr="00D97EFB">
        <w:tab/>
        <w:t>(d)</w:t>
      </w:r>
      <w:r w:rsidRPr="00D97EFB">
        <w:tab/>
        <w:t>the Minister had not decided, before the FSR commencement, whether to disallow the whole or a specified part of the amendment under subsection 1136(5) of the old Corporations Act.</w:t>
      </w:r>
    </w:p>
    <w:p w14:paraId="571A5289" w14:textId="77777777" w:rsidR="00E93F58" w:rsidRPr="00D97EFB" w:rsidRDefault="00E93F58" w:rsidP="00BB7E31">
      <w:pPr>
        <w:pStyle w:val="notetext"/>
      </w:pPr>
      <w:r w:rsidRPr="00D97EFB">
        <w:rPr>
          <w:color w:val="000000"/>
        </w:rPr>
        <w:t>Note:</w:t>
      </w:r>
      <w:r w:rsidRPr="00D97EFB">
        <w:rPr>
          <w:color w:val="000000"/>
        </w:rPr>
        <w:tab/>
        <w:t>The period of 28 days in paragraph (c) is the period in which the Minister may disallow the whole or a specified part of the amendment.</w:t>
      </w:r>
    </w:p>
    <w:p w14:paraId="27DD3B0C" w14:textId="77777777" w:rsidR="00E93F58" w:rsidRPr="00D97EFB" w:rsidRDefault="00E93F58" w:rsidP="00BB7E31">
      <w:pPr>
        <w:pStyle w:val="subsection"/>
      </w:pPr>
      <w:r w:rsidRPr="00D97EFB">
        <w:rPr>
          <w:color w:val="000000"/>
        </w:rPr>
        <w:tab/>
        <w:t>(2)</w:t>
      </w:r>
      <w:r w:rsidRPr="00D97EFB">
        <w:rPr>
          <w:color w:val="000000"/>
        </w:rPr>
        <w:tab/>
        <w:t>On and after the FSR commencement, section 793E of the Act has effect in relation to the amendment as if the amendment were a change to the operating rules of a licensed market mentioned in section 793D of the Act.</w:t>
      </w:r>
    </w:p>
    <w:p w14:paraId="6D2EF6B3" w14:textId="77777777" w:rsidR="00E93F58" w:rsidRPr="00D97EFB" w:rsidRDefault="00E93F58" w:rsidP="00BB7E31">
      <w:pPr>
        <w:pStyle w:val="subsection"/>
      </w:pPr>
      <w:r w:rsidRPr="00D97EFB">
        <w:tab/>
        <w:t>(3)</w:t>
      </w:r>
      <w:r w:rsidRPr="00D97EFB">
        <w:tab/>
        <w:t>For subregulation (2):</w:t>
      </w:r>
    </w:p>
    <w:p w14:paraId="3DBB2BD6" w14:textId="77777777" w:rsidR="00E93F58" w:rsidRPr="00D97EFB" w:rsidRDefault="00E93F58" w:rsidP="00BB7E31">
      <w:pPr>
        <w:pStyle w:val="paragraph"/>
      </w:pPr>
      <w:r w:rsidRPr="00D97EFB">
        <w:rPr>
          <w:color w:val="000000"/>
        </w:rPr>
        <w:tab/>
        <w:t>(a)</w:t>
      </w:r>
      <w:r w:rsidRPr="00D97EFB">
        <w:rPr>
          <w:color w:val="000000"/>
        </w:rPr>
        <w:tab/>
        <w:t>the futures body is to be treated, under sections 793D and 793E of the Act, as a market licensee that has lodged written notice of the change with ASIC; and</w:t>
      </w:r>
    </w:p>
    <w:p w14:paraId="508D7F7E" w14:textId="77777777" w:rsidR="00E93F58" w:rsidRPr="00D97EFB" w:rsidRDefault="00E93F58" w:rsidP="00BB7E31">
      <w:pPr>
        <w:pStyle w:val="paragraph"/>
      </w:pPr>
      <w:r w:rsidRPr="00D97EFB">
        <w:tab/>
        <w:t>(b)</w:t>
      </w:r>
      <w:r w:rsidRPr="00D97EFB">
        <w:tab/>
        <w:t>ASIC is taken to have complied with its obligations to the Minister under section 793E of the Act; and</w:t>
      </w:r>
    </w:p>
    <w:p w14:paraId="5F60DAF0" w14:textId="77777777" w:rsidR="00E93F58" w:rsidRPr="00D97EFB" w:rsidRDefault="00E93F58" w:rsidP="00BB7E31">
      <w:pPr>
        <w:pStyle w:val="paragraph"/>
      </w:pPr>
      <w:r w:rsidRPr="00D97EFB">
        <w:tab/>
        <w:t>(c)</w:t>
      </w:r>
      <w:r w:rsidRPr="00D97EFB">
        <w:tab/>
        <w:t>the Minister is taken to have been given the notice of the change on the day on which written notice of the amendment was given in accordance with subsection 1136(1) of the old Corporations Act.</w:t>
      </w:r>
    </w:p>
    <w:p w14:paraId="21BC250C" w14:textId="77777777" w:rsidR="00E93F58" w:rsidRPr="00D97EFB" w:rsidRDefault="00E93F58" w:rsidP="00BB7E31">
      <w:pPr>
        <w:pStyle w:val="ActHead4"/>
      </w:pPr>
      <w:bookmarkStart w:id="2328" w:name="_Toc151994443"/>
      <w:bookmarkStart w:id="2329" w:name="_Toc158712953"/>
      <w:r w:rsidRPr="000D40D5">
        <w:rPr>
          <w:rStyle w:val="CharSubdNo"/>
        </w:rPr>
        <w:t>Subdivision 2.2</w:t>
      </w:r>
      <w:r w:rsidRPr="00D97EFB">
        <w:t>—</w:t>
      </w:r>
      <w:r w:rsidRPr="000D40D5">
        <w:rPr>
          <w:rStyle w:val="CharSubdText"/>
        </w:rPr>
        <w:t>Listing rules</w:t>
      </w:r>
      <w:bookmarkEnd w:id="2328"/>
      <w:bookmarkEnd w:id="2329"/>
    </w:p>
    <w:p w14:paraId="49E5FA80" w14:textId="77777777" w:rsidR="00E93F58" w:rsidRPr="00D97EFB" w:rsidRDefault="00E93F58" w:rsidP="00BB7E31">
      <w:pPr>
        <w:pStyle w:val="ActHead5"/>
      </w:pPr>
      <w:bookmarkStart w:id="2330" w:name="_Toc151994444"/>
      <w:bookmarkStart w:id="2331" w:name="_Toc158712954"/>
      <w:r w:rsidRPr="000D40D5">
        <w:rPr>
          <w:rStyle w:val="CharSectno"/>
        </w:rPr>
        <w:t>10.2.07</w:t>
      </w:r>
      <w:r w:rsidRPr="00D97EFB">
        <w:t xml:space="preserve">  Amendment of listing rules of securities exchange before FSR commencement</w:t>
      </w:r>
      <w:bookmarkEnd w:id="2330"/>
      <w:bookmarkEnd w:id="2331"/>
    </w:p>
    <w:p w14:paraId="16C7E2BC" w14:textId="77777777" w:rsidR="00E93F58" w:rsidRPr="00D97EFB" w:rsidRDefault="00E93F58" w:rsidP="00BB7E31">
      <w:pPr>
        <w:pStyle w:val="subsection"/>
      </w:pPr>
      <w:r w:rsidRPr="00D97EFB">
        <w:tab/>
        <w:t>(1)</w:t>
      </w:r>
      <w:r w:rsidRPr="00D97EFB">
        <w:tab/>
        <w:t>This regulation applies if:</w:t>
      </w:r>
    </w:p>
    <w:p w14:paraId="0D51FECC" w14:textId="77777777" w:rsidR="00E93F58" w:rsidRPr="00D97EFB" w:rsidRDefault="00E93F58" w:rsidP="00BB7E31">
      <w:pPr>
        <w:pStyle w:val="paragraph"/>
      </w:pPr>
      <w:r w:rsidRPr="00D97EFB">
        <w:rPr>
          <w:color w:val="000000"/>
        </w:rPr>
        <w:tab/>
        <w:t>(a)</w:t>
      </w:r>
      <w:r w:rsidRPr="00D97EFB">
        <w:rPr>
          <w:color w:val="000000"/>
        </w:rPr>
        <w:tab/>
        <w:t>a securities exchange made or adopted an amendment, by way of rescission, alteration or addition, to its listing rules before the FSR commencement; and</w:t>
      </w:r>
    </w:p>
    <w:p w14:paraId="1DA889F0" w14:textId="77777777" w:rsidR="00E93F58" w:rsidRPr="00D97EFB" w:rsidRDefault="00E93F58" w:rsidP="00BB7E31">
      <w:pPr>
        <w:pStyle w:val="paragraph"/>
      </w:pPr>
      <w:r w:rsidRPr="00D97EFB">
        <w:tab/>
        <w:t>(b)</w:t>
      </w:r>
      <w:r w:rsidRPr="00D97EFB">
        <w:tab/>
        <w:t>written notice of the amendment was lodged in accordance with subsection 774(1) of the old Corporations Act before the FSR commencement; and</w:t>
      </w:r>
    </w:p>
    <w:p w14:paraId="65C08E02" w14:textId="77777777" w:rsidR="00E93F58" w:rsidRPr="00D97EFB" w:rsidRDefault="00E93F58" w:rsidP="00BB7E31">
      <w:pPr>
        <w:pStyle w:val="paragraph"/>
      </w:pPr>
      <w:r w:rsidRPr="00D97EFB">
        <w:tab/>
        <w:t>(c)</w:t>
      </w:r>
      <w:r w:rsidRPr="00D97EFB">
        <w:tab/>
        <w:t>the period of 28 days in relation to the amendment, mentioned in subsection 774(5) of the old Corporations Act, had not expired before the FSR commencement; and</w:t>
      </w:r>
    </w:p>
    <w:p w14:paraId="2714CA0E" w14:textId="77777777" w:rsidR="00E93F58" w:rsidRPr="00D97EFB" w:rsidRDefault="00E93F58" w:rsidP="00BB7E31">
      <w:pPr>
        <w:pStyle w:val="paragraph"/>
      </w:pPr>
      <w:r w:rsidRPr="00D97EFB">
        <w:tab/>
        <w:t>(d)</w:t>
      </w:r>
      <w:r w:rsidRPr="00D97EFB">
        <w:tab/>
        <w:t>the Minister had not decided, before the FSR commencement, whether to disallow the whole or a specified part of the amendment under subsection 774(5) of the old Corporations Act.</w:t>
      </w:r>
    </w:p>
    <w:p w14:paraId="63984111" w14:textId="77777777" w:rsidR="00E93F58" w:rsidRPr="00D97EFB" w:rsidRDefault="00E93F58" w:rsidP="00BB7E31">
      <w:pPr>
        <w:pStyle w:val="notetext"/>
      </w:pPr>
      <w:r w:rsidRPr="00D97EFB">
        <w:rPr>
          <w:color w:val="000000"/>
        </w:rPr>
        <w:t>Note:</w:t>
      </w:r>
      <w:r w:rsidRPr="00D97EFB">
        <w:rPr>
          <w:color w:val="000000"/>
        </w:rPr>
        <w:tab/>
        <w:t>The period of 28 days in paragraph (c) is the period in which the Minister may disallow the whole or a specified part of the amendment.</w:t>
      </w:r>
    </w:p>
    <w:p w14:paraId="63051C0A" w14:textId="77777777" w:rsidR="00E93F58" w:rsidRPr="00D97EFB" w:rsidRDefault="00E93F58" w:rsidP="00BB7E31">
      <w:pPr>
        <w:pStyle w:val="subsection"/>
      </w:pPr>
      <w:r w:rsidRPr="00D97EFB">
        <w:rPr>
          <w:color w:val="000000"/>
        </w:rPr>
        <w:lastRenderedPageBreak/>
        <w:tab/>
        <w:t>(2)</w:t>
      </w:r>
      <w:r w:rsidRPr="00D97EFB">
        <w:rPr>
          <w:color w:val="000000"/>
        </w:rPr>
        <w:tab/>
        <w:t>On and after the FSR commencement, section 793E of the Act has effect in relation to the amendment as if the amendment were a change to the operating rules of a licensed market mentioned in section 793D of the Act.</w:t>
      </w:r>
    </w:p>
    <w:p w14:paraId="561196EE" w14:textId="77777777" w:rsidR="00E93F58" w:rsidRPr="00D97EFB" w:rsidRDefault="00E93F58" w:rsidP="00BB7E31">
      <w:pPr>
        <w:pStyle w:val="subsection"/>
      </w:pPr>
      <w:r w:rsidRPr="00D97EFB">
        <w:tab/>
        <w:t>(3)</w:t>
      </w:r>
      <w:r w:rsidRPr="00D97EFB">
        <w:tab/>
        <w:t>For subregulation (2):</w:t>
      </w:r>
    </w:p>
    <w:p w14:paraId="7BD8067E" w14:textId="77777777" w:rsidR="00E93F58" w:rsidRPr="00D97EFB" w:rsidRDefault="00E93F58" w:rsidP="00BB7E31">
      <w:pPr>
        <w:pStyle w:val="paragraph"/>
      </w:pPr>
      <w:r w:rsidRPr="00D97EFB">
        <w:rPr>
          <w:color w:val="000000"/>
        </w:rPr>
        <w:tab/>
        <w:t>(a)</w:t>
      </w:r>
      <w:r w:rsidRPr="00D97EFB">
        <w:rPr>
          <w:color w:val="000000"/>
        </w:rPr>
        <w:tab/>
        <w:t>the securities exchange is to be treated, under sections 793D and 793E of the Act, as a market licensee that has lodged written notice of the change with ASIC; and</w:t>
      </w:r>
    </w:p>
    <w:p w14:paraId="297E0E67" w14:textId="77777777" w:rsidR="00E93F58" w:rsidRPr="00D97EFB" w:rsidRDefault="00E93F58" w:rsidP="00BB7E31">
      <w:pPr>
        <w:pStyle w:val="paragraph"/>
      </w:pPr>
      <w:r w:rsidRPr="00D97EFB">
        <w:tab/>
        <w:t>(b)</w:t>
      </w:r>
      <w:r w:rsidRPr="00D97EFB">
        <w:tab/>
        <w:t>ASIC is taken to have complied with its obligations to the Minister under section 793E of the Act; and</w:t>
      </w:r>
    </w:p>
    <w:p w14:paraId="63FB5E5B" w14:textId="77777777" w:rsidR="00E93F58" w:rsidRPr="00D97EFB" w:rsidRDefault="00E93F58" w:rsidP="00BB7E31">
      <w:pPr>
        <w:pStyle w:val="paragraph"/>
      </w:pPr>
      <w:r w:rsidRPr="00D97EFB">
        <w:tab/>
        <w:t>(c)</w:t>
      </w:r>
      <w:r w:rsidRPr="00D97EFB">
        <w:tab/>
        <w:t>the Minister is taken to have been given the notice of the change on the day on which written notice of the amendment was lodged in accordance with subsection 774(1) of the old Corporations Act.</w:t>
      </w:r>
    </w:p>
    <w:p w14:paraId="3D5FBA33" w14:textId="77777777" w:rsidR="00E93F58" w:rsidRPr="00D97EFB" w:rsidRDefault="00E93F58" w:rsidP="00BB7E31">
      <w:pPr>
        <w:pStyle w:val="ActHead3"/>
        <w:pageBreakBefore/>
        <w:rPr>
          <w:color w:val="000000"/>
        </w:rPr>
      </w:pPr>
      <w:bookmarkStart w:id="2332" w:name="_Toc151994445"/>
      <w:bookmarkStart w:id="2333" w:name="_Toc158712955"/>
      <w:r w:rsidRPr="000D40D5">
        <w:rPr>
          <w:rStyle w:val="CharDivNo"/>
        </w:rPr>
        <w:lastRenderedPageBreak/>
        <w:t>Division 3</w:t>
      </w:r>
      <w:r w:rsidRPr="00D97EFB">
        <w:rPr>
          <w:color w:val="000000"/>
        </w:rPr>
        <w:t>—</w:t>
      </w:r>
      <w:r w:rsidRPr="000D40D5">
        <w:rPr>
          <w:rStyle w:val="CharDivText"/>
        </w:rPr>
        <w:t>Status of directions and notices</w:t>
      </w:r>
      <w:bookmarkEnd w:id="2332"/>
      <w:bookmarkEnd w:id="2333"/>
    </w:p>
    <w:p w14:paraId="1C771B02" w14:textId="77777777" w:rsidR="00E93F58" w:rsidRPr="00D97EFB" w:rsidRDefault="00E93F58" w:rsidP="00BB7E31">
      <w:pPr>
        <w:pStyle w:val="ActHead5"/>
      </w:pPr>
      <w:bookmarkStart w:id="2334" w:name="_Toc151994446"/>
      <w:bookmarkStart w:id="2335" w:name="_Toc158712956"/>
      <w:r w:rsidRPr="000D40D5">
        <w:rPr>
          <w:rStyle w:val="CharSectno"/>
        </w:rPr>
        <w:t>10.2.08</w:t>
      </w:r>
      <w:r w:rsidRPr="00D97EFB">
        <w:t xml:space="preserve">  Direction to securities exchange to comply with ongoing requirements</w:t>
      </w:r>
      <w:bookmarkEnd w:id="2334"/>
      <w:bookmarkEnd w:id="2335"/>
    </w:p>
    <w:p w14:paraId="2053E575" w14:textId="77777777" w:rsidR="00E93F58" w:rsidRPr="00D97EFB" w:rsidRDefault="00E93F58" w:rsidP="00BB7E31">
      <w:pPr>
        <w:pStyle w:val="subsection"/>
      </w:pPr>
      <w:r w:rsidRPr="00D97EFB">
        <w:rPr>
          <w:color w:val="000000"/>
        </w:rPr>
        <w:tab/>
        <w:t>(1)</w:t>
      </w:r>
      <w:r w:rsidRPr="00D97EFB">
        <w:rPr>
          <w:color w:val="000000"/>
        </w:rPr>
        <w:tab/>
        <w:t>This regulation applies if the Minister published a notice under subsection 769B(1) of the old Corporations Act before the FSR commencement, directing a securities exchange to do specified things.</w:t>
      </w:r>
    </w:p>
    <w:p w14:paraId="4D968927" w14:textId="77777777" w:rsidR="00E93F58" w:rsidRPr="00D97EFB" w:rsidRDefault="00E93F58" w:rsidP="00BB7E31">
      <w:pPr>
        <w:pStyle w:val="subsection"/>
      </w:pPr>
      <w:r w:rsidRPr="00D97EFB">
        <w:rPr>
          <w:color w:val="000000"/>
        </w:rPr>
        <w:tab/>
        <w:t>(2)</w:t>
      </w:r>
      <w:r w:rsidRPr="00D97EFB">
        <w:rPr>
          <w:color w:val="000000"/>
        </w:rPr>
        <w:tab/>
        <w:t>On and after the FSR commencement, the notice is taken to be a direction to a market licensee under subsection 794A(1) of the Act.</w:t>
      </w:r>
    </w:p>
    <w:p w14:paraId="23187A3B" w14:textId="77777777" w:rsidR="00E93F58" w:rsidRPr="00D97EFB" w:rsidRDefault="00E93F58" w:rsidP="00BB7E31">
      <w:pPr>
        <w:pStyle w:val="ActHead5"/>
      </w:pPr>
      <w:bookmarkStart w:id="2336" w:name="_Toc151994447"/>
      <w:bookmarkStart w:id="2337" w:name="_Toc158712957"/>
      <w:r w:rsidRPr="000D40D5">
        <w:rPr>
          <w:rStyle w:val="CharSectno"/>
        </w:rPr>
        <w:t>10.2.09</w:t>
      </w:r>
      <w:r w:rsidRPr="00D97EFB">
        <w:t xml:space="preserve">  Notice to securities exchange of need to prohibit trading</w:t>
      </w:r>
      <w:bookmarkEnd w:id="2336"/>
      <w:bookmarkEnd w:id="2337"/>
    </w:p>
    <w:p w14:paraId="7D15F3D6" w14:textId="77777777" w:rsidR="00E93F58" w:rsidRPr="00D97EFB" w:rsidRDefault="00E93F58" w:rsidP="00BB7E31">
      <w:pPr>
        <w:pStyle w:val="subsection"/>
      </w:pPr>
      <w:r w:rsidRPr="00D97EFB">
        <w:rPr>
          <w:color w:val="000000"/>
        </w:rPr>
        <w:tab/>
        <w:t>(1)</w:t>
      </w:r>
      <w:r w:rsidRPr="00D97EFB">
        <w:rPr>
          <w:color w:val="000000"/>
        </w:rPr>
        <w:tab/>
        <w:t>This regulation applies if ASIC gave a notice to a securities exchange under subsection 775(1) of the old Corporations Act before the FSR commencement, stating the Commission’s opinion that it is necessary to prohibit trading in particular securities.</w:t>
      </w:r>
    </w:p>
    <w:p w14:paraId="4E3840BE" w14:textId="77777777" w:rsidR="00E93F58" w:rsidRPr="00D97EFB" w:rsidRDefault="00E93F58" w:rsidP="00BB7E31">
      <w:pPr>
        <w:pStyle w:val="subsection"/>
      </w:pPr>
      <w:r w:rsidRPr="00D97EFB">
        <w:rPr>
          <w:color w:val="000000"/>
        </w:rPr>
        <w:tab/>
        <w:t>(2)</w:t>
      </w:r>
      <w:r w:rsidRPr="00D97EFB">
        <w:rPr>
          <w:color w:val="000000"/>
        </w:rPr>
        <w:tab/>
        <w:t>On and after the FSR commencement, the notice is taken to be written advice given to a market licensee under subsection 794D(1) of the Act.</w:t>
      </w:r>
    </w:p>
    <w:p w14:paraId="5F18975B" w14:textId="77777777" w:rsidR="00E93F58" w:rsidRPr="00D97EFB" w:rsidRDefault="00E93F58" w:rsidP="00BB7E31">
      <w:pPr>
        <w:pStyle w:val="subsection"/>
      </w:pPr>
      <w:r w:rsidRPr="00D97EFB">
        <w:tab/>
        <w:t>(3)</w:t>
      </w:r>
      <w:r w:rsidRPr="00D97EFB">
        <w:tab/>
        <w:t>ASIC is taken to have complied with its obligation under subsection 794D(1) of the Act to give a statement setting out reasons for making the direction.</w:t>
      </w:r>
    </w:p>
    <w:p w14:paraId="4D737232" w14:textId="77777777" w:rsidR="00E93F58" w:rsidRPr="00D97EFB" w:rsidRDefault="00E93F58" w:rsidP="00BB7E31">
      <w:pPr>
        <w:pStyle w:val="ActHead5"/>
      </w:pPr>
      <w:bookmarkStart w:id="2338" w:name="_Toc151994448"/>
      <w:bookmarkStart w:id="2339" w:name="_Toc158712958"/>
      <w:r w:rsidRPr="000D40D5">
        <w:rPr>
          <w:rStyle w:val="CharSectno"/>
        </w:rPr>
        <w:t>10.2.10</w:t>
      </w:r>
      <w:r w:rsidRPr="00D97EFB">
        <w:t xml:space="preserve">  Notice to securities exchange prohibiting trading</w:t>
      </w:r>
      <w:bookmarkEnd w:id="2338"/>
      <w:bookmarkEnd w:id="2339"/>
    </w:p>
    <w:p w14:paraId="60F0D6D5" w14:textId="77777777" w:rsidR="00E93F58" w:rsidRPr="00D97EFB" w:rsidRDefault="00E93F58" w:rsidP="00BB7E31">
      <w:pPr>
        <w:pStyle w:val="subsection"/>
      </w:pPr>
      <w:r w:rsidRPr="00D97EFB">
        <w:rPr>
          <w:color w:val="000000"/>
        </w:rPr>
        <w:tab/>
        <w:t>(1)</w:t>
      </w:r>
      <w:r w:rsidRPr="00D97EFB">
        <w:rPr>
          <w:color w:val="000000"/>
        </w:rPr>
        <w:tab/>
        <w:t>This regulation applies if ASIC gave a notice to a securities exchange under subsection 775(2) of the old Corporations Act before the FSR commencement, prohibiting trading in particular securities.</w:t>
      </w:r>
    </w:p>
    <w:p w14:paraId="126E8E16" w14:textId="77777777" w:rsidR="00E93F58" w:rsidRPr="00D97EFB" w:rsidRDefault="00E93F58" w:rsidP="00BB7E31">
      <w:pPr>
        <w:pStyle w:val="subsection"/>
      </w:pPr>
      <w:r w:rsidRPr="00D97EFB">
        <w:rPr>
          <w:color w:val="000000"/>
        </w:rPr>
        <w:tab/>
        <w:t>(2)</w:t>
      </w:r>
      <w:r w:rsidRPr="00D97EFB">
        <w:rPr>
          <w:color w:val="000000"/>
        </w:rPr>
        <w:tab/>
        <w:t>On and after the FSR commencement, the notice is taken to be a direction to a market licensee under subsection 794D(2) of the Act.</w:t>
      </w:r>
    </w:p>
    <w:p w14:paraId="364D9A44" w14:textId="77777777" w:rsidR="00E93F58" w:rsidRPr="00D97EFB" w:rsidRDefault="00E93F58" w:rsidP="00BB7E31">
      <w:pPr>
        <w:pStyle w:val="subsection"/>
      </w:pPr>
      <w:r w:rsidRPr="00D97EFB">
        <w:tab/>
        <w:t>(3)</w:t>
      </w:r>
      <w:r w:rsidRPr="00D97EFB">
        <w:tab/>
        <w:t>ASIC is taken to have complied with its obligation under subsection 794D(2) of the Act to give a statement setting out reasons for making the direction.</w:t>
      </w:r>
    </w:p>
    <w:p w14:paraId="5A23E5FD" w14:textId="77777777" w:rsidR="00E93F58" w:rsidRPr="00D97EFB" w:rsidRDefault="00E93F58" w:rsidP="00BB7E31">
      <w:pPr>
        <w:pStyle w:val="ActHead5"/>
      </w:pPr>
      <w:bookmarkStart w:id="2340" w:name="_Toc151994449"/>
      <w:bookmarkStart w:id="2341" w:name="_Toc158712959"/>
      <w:r w:rsidRPr="000D40D5">
        <w:rPr>
          <w:rStyle w:val="CharSectno"/>
        </w:rPr>
        <w:t>10.2.11</w:t>
      </w:r>
      <w:r w:rsidRPr="00D97EFB">
        <w:t xml:space="preserve">  Direction to futures exchange—orderly market</w:t>
      </w:r>
      <w:bookmarkEnd w:id="2340"/>
      <w:bookmarkEnd w:id="2341"/>
    </w:p>
    <w:p w14:paraId="2E3AF919" w14:textId="77777777" w:rsidR="00E93F58" w:rsidRPr="00D97EFB" w:rsidRDefault="00E93F58" w:rsidP="00BB7E31">
      <w:pPr>
        <w:pStyle w:val="subsection"/>
      </w:pPr>
      <w:r w:rsidRPr="00D97EFB">
        <w:rPr>
          <w:color w:val="000000"/>
        </w:rPr>
        <w:tab/>
        <w:t>(1)</w:t>
      </w:r>
      <w:r w:rsidRPr="00D97EFB">
        <w:rPr>
          <w:color w:val="000000"/>
        </w:rPr>
        <w:tab/>
        <w:t>This regulation applies if ASIC gave a notice to a futures exchange under subsection 1138(1) of the old Corporations Act before the FSR commencement.</w:t>
      </w:r>
    </w:p>
    <w:p w14:paraId="2772F3EC" w14:textId="77777777" w:rsidR="00E93F58" w:rsidRPr="00D97EFB" w:rsidRDefault="00E93F58" w:rsidP="00BB7E31">
      <w:pPr>
        <w:pStyle w:val="subsection"/>
      </w:pPr>
      <w:r w:rsidRPr="00D97EFB">
        <w:rPr>
          <w:color w:val="000000"/>
        </w:rPr>
        <w:tab/>
        <w:t>(2)</w:t>
      </w:r>
      <w:r w:rsidRPr="00D97EFB">
        <w:rPr>
          <w:color w:val="000000"/>
        </w:rPr>
        <w:tab/>
        <w:t>On and after the FSR commencement, the notice is taken to be written advice given to a market licensee under subsection 794D(1) of the Act.</w:t>
      </w:r>
    </w:p>
    <w:p w14:paraId="00047549" w14:textId="77777777" w:rsidR="00E93F58" w:rsidRPr="00D97EFB" w:rsidRDefault="00E93F58" w:rsidP="00BB7E31">
      <w:pPr>
        <w:pStyle w:val="subsection"/>
      </w:pPr>
      <w:r w:rsidRPr="00D97EFB">
        <w:tab/>
        <w:t>(3)</w:t>
      </w:r>
      <w:r w:rsidRPr="00D97EFB">
        <w:tab/>
        <w:t>ASIC is taken to have complied with its obligations under section 794D of the Act in relation to the period before giving the written advice.</w:t>
      </w:r>
    </w:p>
    <w:p w14:paraId="46142F1C" w14:textId="77777777" w:rsidR="00E93F58" w:rsidRPr="00D97EFB" w:rsidRDefault="00E93F58" w:rsidP="00BB7E31">
      <w:pPr>
        <w:pStyle w:val="subsection"/>
      </w:pPr>
      <w:r w:rsidRPr="00D97EFB">
        <w:tab/>
        <w:t>(4)</w:t>
      </w:r>
      <w:r w:rsidRPr="00D97EFB">
        <w:tab/>
        <w:t>ASIC is taken to have complied with its obligations under subsection 794D(5) of the Act if it complies with those obligations as soon as practicable after the FSR commencement.</w:t>
      </w:r>
    </w:p>
    <w:p w14:paraId="0F602ADB" w14:textId="77777777" w:rsidR="00E93F58" w:rsidRPr="00D97EFB" w:rsidRDefault="00E93F58" w:rsidP="00BB7E31">
      <w:pPr>
        <w:pStyle w:val="ActHead3"/>
        <w:pageBreakBefore/>
        <w:rPr>
          <w:color w:val="000000"/>
        </w:rPr>
      </w:pPr>
      <w:bookmarkStart w:id="2342" w:name="_Toc151994450"/>
      <w:bookmarkStart w:id="2343" w:name="_Toc158712960"/>
      <w:r w:rsidRPr="000D40D5">
        <w:rPr>
          <w:rStyle w:val="CharDivNo"/>
        </w:rPr>
        <w:lastRenderedPageBreak/>
        <w:t>Division 4</w:t>
      </w:r>
      <w:r w:rsidRPr="00D97EFB">
        <w:rPr>
          <w:color w:val="000000"/>
        </w:rPr>
        <w:t>—</w:t>
      </w:r>
      <w:r w:rsidRPr="000D40D5">
        <w:rPr>
          <w:rStyle w:val="CharDivText"/>
        </w:rPr>
        <w:t>Assistance to ASIC</w:t>
      </w:r>
      <w:bookmarkEnd w:id="2342"/>
      <w:bookmarkEnd w:id="2343"/>
    </w:p>
    <w:p w14:paraId="7758C130" w14:textId="77777777" w:rsidR="00E93F58" w:rsidRPr="00D97EFB" w:rsidRDefault="00E93F58" w:rsidP="00BB7E31">
      <w:pPr>
        <w:pStyle w:val="ActHead5"/>
      </w:pPr>
      <w:bookmarkStart w:id="2344" w:name="_Toc151994451"/>
      <w:bookmarkStart w:id="2345" w:name="_Toc158712961"/>
      <w:r w:rsidRPr="000D40D5">
        <w:rPr>
          <w:rStyle w:val="CharSectno"/>
        </w:rPr>
        <w:t>10.2.12</w:t>
      </w:r>
      <w:r w:rsidRPr="00D97EFB">
        <w:t xml:space="preserve">  Obligations of securities exchange: disciplinary action</w:t>
      </w:r>
      <w:bookmarkEnd w:id="2344"/>
      <w:bookmarkEnd w:id="2345"/>
    </w:p>
    <w:p w14:paraId="22F84008" w14:textId="77777777" w:rsidR="00E93F58" w:rsidRPr="00D97EFB" w:rsidRDefault="00E93F58" w:rsidP="00BB7E31">
      <w:pPr>
        <w:pStyle w:val="subsection"/>
      </w:pPr>
      <w:r w:rsidRPr="00D97EFB">
        <w:tab/>
        <w:t>(1)</w:t>
      </w:r>
      <w:r w:rsidRPr="00D97EFB">
        <w:tab/>
        <w:t>This regulation applies if:</w:t>
      </w:r>
    </w:p>
    <w:p w14:paraId="28BD3478" w14:textId="77777777" w:rsidR="00E93F58" w:rsidRPr="00D97EFB" w:rsidRDefault="00E93F58" w:rsidP="00BB7E31">
      <w:pPr>
        <w:pStyle w:val="paragraph"/>
      </w:pPr>
      <w:r w:rsidRPr="00D97EFB">
        <w:rPr>
          <w:color w:val="000000"/>
        </w:rPr>
        <w:tab/>
        <w:t>(a)</w:t>
      </w:r>
      <w:r w:rsidRPr="00D97EFB">
        <w:rPr>
          <w:color w:val="000000"/>
        </w:rPr>
        <w:tab/>
        <w:t>a securities exchange was required, before the FSR commencement, to lodge written particulars under subsection 776(2) of the old Corporations Act of disciplinary action it had taken; and</w:t>
      </w:r>
    </w:p>
    <w:p w14:paraId="7D92B6F5" w14:textId="77777777" w:rsidR="00E93F58" w:rsidRPr="00D97EFB" w:rsidRDefault="00E93F58" w:rsidP="00BB7E31">
      <w:pPr>
        <w:pStyle w:val="paragraph"/>
      </w:pPr>
      <w:r w:rsidRPr="00D97EFB">
        <w:tab/>
        <w:t>(b)</w:t>
      </w:r>
      <w:r w:rsidRPr="00D97EFB">
        <w:tab/>
        <w:t>the securities exchange had not complied with the requirement before the FSR commencement; and</w:t>
      </w:r>
    </w:p>
    <w:p w14:paraId="0081CD45" w14:textId="77777777" w:rsidR="00E93F58" w:rsidRPr="00D97EFB" w:rsidRDefault="00E93F58" w:rsidP="00BB7E31">
      <w:pPr>
        <w:pStyle w:val="paragraph"/>
      </w:pPr>
      <w:r w:rsidRPr="00D97EFB">
        <w:tab/>
        <w:t>(c)</w:t>
      </w:r>
      <w:r w:rsidRPr="00D97EFB">
        <w:tab/>
        <w:t>the period for compliance had not expired before the FSR commencement.</w:t>
      </w:r>
    </w:p>
    <w:p w14:paraId="0EAC71B6" w14:textId="77777777" w:rsidR="00E93F58" w:rsidRPr="00D97EFB" w:rsidRDefault="00E93F58" w:rsidP="00BB7E31">
      <w:pPr>
        <w:pStyle w:val="subsection"/>
      </w:pPr>
      <w:r w:rsidRPr="00D97EFB">
        <w:rPr>
          <w:color w:val="000000"/>
        </w:rPr>
        <w:tab/>
        <w:t>(2)</w:t>
      </w:r>
      <w:r w:rsidRPr="00D97EFB">
        <w:rPr>
          <w:color w:val="000000"/>
        </w:rPr>
        <w:tab/>
        <w:t>On and after the FSR commencement, the requirement is taken to be a requirement under paragraph 792B(2)(b) of the Act.</w:t>
      </w:r>
    </w:p>
    <w:p w14:paraId="08931BF4" w14:textId="77777777" w:rsidR="00E93F58" w:rsidRPr="00D97EFB" w:rsidRDefault="00E93F58" w:rsidP="00BB7E31">
      <w:pPr>
        <w:pStyle w:val="subsection"/>
      </w:pPr>
      <w:r w:rsidRPr="00D97EFB">
        <w:tab/>
        <w:t>(3)</w:t>
      </w:r>
      <w:r w:rsidRPr="00D97EFB">
        <w:tab/>
        <w:t>The market licensee to which subregulation (2) relates is taken to have complied with its obligations under paragraph 792B(2)(b) of the Act if it complies with those obligations as soon as practicable after the FSR commencement.</w:t>
      </w:r>
    </w:p>
    <w:p w14:paraId="0EA40D8A" w14:textId="77777777" w:rsidR="00E93F58" w:rsidRPr="00D97EFB" w:rsidRDefault="00E93F58" w:rsidP="00BB7E31">
      <w:pPr>
        <w:pStyle w:val="ActHead5"/>
      </w:pPr>
      <w:bookmarkStart w:id="2346" w:name="_Toc151994452"/>
      <w:bookmarkStart w:id="2347" w:name="_Toc158712962"/>
      <w:r w:rsidRPr="000D40D5">
        <w:rPr>
          <w:rStyle w:val="CharSectno"/>
        </w:rPr>
        <w:t>10.2.13</w:t>
      </w:r>
      <w:r w:rsidRPr="00D97EFB">
        <w:t xml:space="preserve">  Obligations of securities exchange: particulars of contravention</w:t>
      </w:r>
      <w:bookmarkEnd w:id="2346"/>
      <w:bookmarkEnd w:id="2347"/>
    </w:p>
    <w:p w14:paraId="46A81134" w14:textId="77777777" w:rsidR="00E93F58" w:rsidRPr="00D97EFB" w:rsidRDefault="00E93F58" w:rsidP="00BB7E31">
      <w:pPr>
        <w:pStyle w:val="subsection"/>
      </w:pPr>
      <w:r w:rsidRPr="00D97EFB">
        <w:tab/>
        <w:t>(1)</w:t>
      </w:r>
      <w:r w:rsidRPr="00D97EFB">
        <w:tab/>
        <w:t>This regulation applies if:</w:t>
      </w:r>
    </w:p>
    <w:p w14:paraId="38A8E493" w14:textId="77777777" w:rsidR="00E93F58" w:rsidRPr="00D97EFB" w:rsidRDefault="00E93F58" w:rsidP="00BB7E31">
      <w:pPr>
        <w:pStyle w:val="paragraph"/>
      </w:pPr>
      <w:r w:rsidRPr="00D97EFB">
        <w:rPr>
          <w:color w:val="000000"/>
        </w:rPr>
        <w:tab/>
        <w:t>(a)</w:t>
      </w:r>
      <w:r w:rsidRPr="00D97EFB">
        <w:rPr>
          <w:color w:val="000000"/>
        </w:rPr>
        <w:tab/>
        <w:t>a securities exchange was required, before the FSR commencement, to lodge a statement under subsection 776(2A) of the old Corporations Act in relation to a contravention of the securities exchange’s business rules or listing rules; and</w:t>
      </w:r>
    </w:p>
    <w:p w14:paraId="4255B41E" w14:textId="77777777" w:rsidR="00E93F58" w:rsidRPr="00D97EFB" w:rsidRDefault="00E93F58" w:rsidP="00BB7E31">
      <w:pPr>
        <w:pStyle w:val="paragraph"/>
      </w:pPr>
      <w:r w:rsidRPr="00D97EFB">
        <w:tab/>
        <w:t>(b)</w:t>
      </w:r>
      <w:r w:rsidRPr="00D97EFB">
        <w:tab/>
        <w:t>the securities exchange had not complied with the requirement before the FSR commencement; and</w:t>
      </w:r>
    </w:p>
    <w:p w14:paraId="6CEBBF22" w14:textId="77777777" w:rsidR="00E93F58" w:rsidRPr="00D97EFB" w:rsidRDefault="00E93F58" w:rsidP="00BB7E31">
      <w:pPr>
        <w:pStyle w:val="paragraph"/>
      </w:pPr>
      <w:r w:rsidRPr="00D97EFB">
        <w:tab/>
        <w:t>(c)</w:t>
      </w:r>
      <w:r w:rsidRPr="00D97EFB">
        <w:tab/>
        <w:t>the period for compliance had not expired before the FSR commencement.</w:t>
      </w:r>
    </w:p>
    <w:p w14:paraId="2B106C32" w14:textId="77777777" w:rsidR="00E93F58" w:rsidRPr="00D97EFB" w:rsidRDefault="00E93F58" w:rsidP="00BB7E31">
      <w:pPr>
        <w:pStyle w:val="subsection"/>
      </w:pPr>
      <w:r w:rsidRPr="00D97EFB">
        <w:rPr>
          <w:color w:val="000000"/>
        </w:rPr>
        <w:tab/>
        <w:t>(2)</w:t>
      </w:r>
      <w:r w:rsidRPr="00D97EFB">
        <w:rPr>
          <w:color w:val="000000"/>
        </w:rPr>
        <w:tab/>
        <w:t>On and after the FSR commencement, the requirement is taken to be a requirement under paragraph 792B(2)(c) of the Act.</w:t>
      </w:r>
    </w:p>
    <w:p w14:paraId="301382EC" w14:textId="77777777" w:rsidR="00E93F58" w:rsidRPr="00D97EFB" w:rsidRDefault="00E93F58" w:rsidP="00BB7E31">
      <w:pPr>
        <w:pStyle w:val="subsection"/>
      </w:pPr>
      <w:r w:rsidRPr="00D97EFB">
        <w:tab/>
        <w:t>(3)</w:t>
      </w:r>
      <w:r w:rsidRPr="00D97EFB">
        <w:tab/>
        <w:t>The market licensee to which subregulation (2) relates is taken to have complied with its obligations under paragraph 792B(2)(c) of the Act if it complies with those obligations as soon as practicable after the FSR commencement.</w:t>
      </w:r>
    </w:p>
    <w:p w14:paraId="77925985" w14:textId="77777777" w:rsidR="00E93F58" w:rsidRPr="00D97EFB" w:rsidRDefault="00E93F58" w:rsidP="00BB7E31">
      <w:pPr>
        <w:pStyle w:val="ActHead5"/>
      </w:pPr>
      <w:bookmarkStart w:id="2348" w:name="_Toc151994453"/>
      <w:bookmarkStart w:id="2349" w:name="_Toc158712963"/>
      <w:r w:rsidRPr="000D40D5">
        <w:rPr>
          <w:rStyle w:val="CharSectno"/>
        </w:rPr>
        <w:t>10.2.14</w:t>
      </w:r>
      <w:r w:rsidRPr="00D97EFB">
        <w:t xml:space="preserve">  Obligations of securities exchange: information about listed disclosing entity</w:t>
      </w:r>
      <w:bookmarkEnd w:id="2348"/>
      <w:bookmarkEnd w:id="2349"/>
    </w:p>
    <w:p w14:paraId="44812F96" w14:textId="77777777" w:rsidR="00E93F58" w:rsidRPr="00D97EFB" w:rsidRDefault="00E93F58" w:rsidP="00BB7E31">
      <w:pPr>
        <w:pStyle w:val="subsection"/>
      </w:pPr>
      <w:r w:rsidRPr="00D97EFB">
        <w:tab/>
        <w:t>(1)</w:t>
      </w:r>
      <w:r w:rsidRPr="00D97EFB">
        <w:tab/>
        <w:t>This regulation applies if:</w:t>
      </w:r>
    </w:p>
    <w:p w14:paraId="2B0B7977" w14:textId="77777777" w:rsidR="00E93F58" w:rsidRPr="00D97EFB" w:rsidRDefault="00E93F58" w:rsidP="00BB7E31">
      <w:pPr>
        <w:pStyle w:val="paragraph"/>
      </w:pPr>
      <w:r w:rsidRPr="00D97EFB">
        <w:rPr>
          <w:color w:val="000000"/>
        </w:rPr>
        <w:tab/>
        <w:t>(a)</w:t>
      </w:r>
      <w:r w:rsidRPr="00D97EFB">
        <w:rPr>
          <w:color w:val="000000"/>
        </w:rPr>
        <w:tab/>
        <w:t>a securities exchange was required, before the FSR commencement, to give ASIC a document under subsection 776(2B) of the old Corporations Act containing information about a listed disclosing entity; and</w:t>
      </w:r>
    </w:p>
    <w:p w14:paraId="723F9A40" w14:textId="77777777" w:rsidR="00E93F58" w:rsidRPr="00D97EFB" w:rsidRDefault="00E93F58" w:rsidP="00BB7E31">
      <w:pPr>
        <w:pStyle w:val="paragraph"/>
      </w:pPr>
      <w:r w:rsidRPr="00D97EFB">
        <w:tab/>
        <w:t>(b)</w:t>
      </w:r>
      <w:r w:rsidRPr="00D97EFB">
        <w:tab/>
        <w:t>the securities exchange had not complied with the requirement before the FSR commencement; and</w:t>
      </w:r>
    </w:p>
    <w:p w14:paraId="0D0D8928" w14:textId="77777777" w:rsidR="00E93F58" w:rsidRPr="00D97EFB" w:rsidRDefault="00E93F58" w:rsidP="00BB7E31">
      <w:pPr>
        <w:pStyle w:val="paragraph"/>
      </w:pPr>
      <w:r w:rsidRPr="00D97EFB">
        <w:tab/>
        <w:t>(c)</w:t>
      </w:r>
      <w:r w:rsidRPr="00D97EFB">
        <w:tab/>
        <w:t>the period for compliance had not expired before the FSR commencement.</w:t>
      </w:r>
    </w:p>
    <w:p w14:paraId="5B537967" w14:textId="77777777" w:rsidR="00E93F58" w:rsidRPr="00D97EFB" w:rsidRDefault="00E93F58" w:rsidP="00BB7E31">
      <w:pPr>
        <w:pStyle w:val="subsection"/>
      </w:pPr>
      <w:r w:rsidRPr="00D97EFB">
        <w:rPr>
          <w:color w:val="000000"/>
        </w:rPr>
        <w:tab/>
        <w:t>(2)</w:t>
      </w:r>
      <w:r w:rsidRPr="00D97EFB">
        <w:rPr>
          <w:color w:val="000000"/>
        </w:rPr>
        <w:tab/>
        <w:t>On and after the FSR commencement, the requirement is taken to be a requirement under subsection 792C(1) of the Act.</w:t>
      </w:r>
    </w:p>
    <w:p w14:paraId="2C655543" w14:textId="77777777" w:rsidR="00E93F58" w:rsidRPr="00D97EFB" w:rsidRDefault="00E93F58" w:rsidP="00BB7E31">
      <w:pPr>
        <w:pStyle w:val="subsection"/>
      </w:pPr>
      <w:r w:rsidRPr="00D97EFB">
        <w:tab/>
        <w:t>(3)</w:t>
      </w:r>
      <w:r w:rsidRPr="00D97EFB">
        <w:tab/>
        <w:t>The market licensee to which subregulation (2) relates is taken to have complied with its obligations under subsection 792C(1) of the Act if it complies with those obligations as soon as practicable after the FSR commencement.</w:t>
      </w:r>
    </w:p>
    <w:p w14:paraId="4684B3F2" w14:textId="77777777" w:rsidR="00E93F58" w:rsidRPr="00D97EFB" w:rsidRDefault="00E93F58" w:rsidP="00BB7E31">
      <w:pPr>
        <w:pStyle w:val="ActHead5"/>
      </w:pPr>
      <w:bookmarkStart w:id="2350" w:name="_Toc151994454"/>
      <w:bookmarkStart w:id="2351" w:name="_Toc158712964"/>
      <w:r w:rsidRPr="000D40D5">
        <w:rPr>
          <w:rStyle w:val="CharSectno"/>
        </w:rPr>
        <w:t>10.2.15</w:t>
      </w:r>
      <w:r w:rsidRPr="00D97EFB">
        <w:t xml:space="preserve">  Obligations of securities clearing house: disciplinary action</w:t>
      </w:r>
      <w:bookmarkEnd w:id="2350"/>
      <w:bookmarkEnd w:id="2351"/>
    </w:p>
    <w:p w14:paraId="6BF82520" w14:textId="77777777" w:rsidR="00E93F58" w:rsidRPr="00D97EFB" w:rsidRDefault="00E93F58" w:rsidP="00BB7E31">
      <w:pPr>
        <w:pStyle w:val="subsection"/>
      </w:pPr>
      <w:r w:rsidRPr="00D97EFB">
        <w:tab/>
        <w:t>(1)</w:t>
      </w:r>
      <w:r w:rsidRPr="00D97EFB">
        <w:tab/>
        <w:t>This regulation applies if:</w:t>
      </w:r>
    </w:p>
    <w:p w14:paraId="29B53124" w14:textId="77777777" w:rsidR="00E93F58" w:rsidRPr="00D97EFB" w:rsidRDefault="00E93F58" w:rsidP="00BB7E31">
      <w:pPr>
        <w:pStyle w:val="paragraph"/>
      </w:pPr>
      <w:r w:rsidRPr="00D97EFB">
        <w:rPr>
          <w:color w:val="000000"/>
        </w:rPr>
        <w:tab/>
        <w:t>(a)</w:t>
      </w:r>
      <w:r w:rsidRPr="00D97EFB">
        <w:rPr>
          <w:color w:val="000000"/>
        </w:rPr>
        <w:tab/>
        <w:t>the securities clearing house was required under section 779E of the old Corporations Act, before the FSR commencement, to lodge written particulars relating to disciplinary action; and</w:t>
      </w:r>
    </w:p>
    <w:p w14:paraId="272AF6F0" w14:textId="77777777" w:rsidR="00E93F58" w:rsidRPr="00D97EFB" w:rsidRDefault="00E93F58" w:rsidP="00BB7E31">
      <w:pPr>
        <w:pStyle w:val="paragraph"/>
      </w:pPr>
      <w:r w:rsidRPr="00D97EFB">
        <w:tab/>
        <w:t>(b)</w:t>
      </w:r>
      <w:r w:rsidRPr="00D97EFB">
        <w:tab/>
        <w:t>the securities clearing house had not complied with the requirement before the FSR commencement; and</w:t>
      </w:r>
    </w:p>
    <w:p w14:paraId="36502C41" w14:textId="77777777" w:rsidR="00E93F58" w:rsidRPr="00D97EFB" w:rsidRDefault="00E93F58" w:rsidP="00BB7E31">
      <w:pPr>
        <w:pStyle w:val="paragraph"/>
      </w:pPr>
      <w:r w:rsidRPr="00D97EFB">
        <w:tab/>
        <w:t>(c)</w:t>
      </w:r>
      <w:r w:rsidRPr="00D97EFB">
        <w:tab/>
        <w:t>the period for compliance had not expired before the FSR commencement.</w:t>
      </w:r>
    </w:p>
    <w:p w14:paraId="3CBE9600" w14:textId="77777777" w:rsidR="00E93F58" w:rsidRPr="00D97EFB" w:rsidRDefault="00E93F58" w:rsidP="00BB7E31">
      <w:pPr>
        <w:pStyle w:val="subsection"/>
      </w:pPr>
      <w:r w:rsidRPr="00D97EFB">
        <w:rPr>
          <w:color w:val="000000"/>
        </w:rPr>
        <w:tab/>
        <w:t>(2)</w:t>
      </w:r>
      <w:r w:rsidRPr="00D97EFB">
        <w:rPr>
          <w:color w:val="000000"/>
        </w:rPr>
        <w:tab/>
        <w:t>On and after the FSR commencement, the requirement is taken to be a requirement under paragraph 821B(2)(b) of the Act.</w:t>
      </w:r>
    </w:p>
    <w:p w14:paraId="768D566A" w14:textId="77777777" w:rsidR="00E93F58" w:rsidRPr="00D97EFB" w:rsidRDefault="00E93F58" w:rsidP="00BB7E31">
      <w:pPr>
        <w:pStyle w:val="ActHead5"/>
      </w:pPr>
      <w:bookmarkStart w:id="2352" w:name="_Toc151994455"/>
      <w:bookmarkStart w:id="2353" w:name="_Toc158712965"/>
      <w:r w:rsidRPr="000D40D5">
        <w:rPr>
          <w:rStyle w:val="CharSectno"/>
        </w:rPr>
        <w:lastRenderedPageBreak/>
        <w:t>10.2.16</w:t>
      </w:r>
      <w:r w:rsidRPr="00D97EFB">
        <w:t xml:space="preserve">  Obligations of futures body: disciplinary action</w:t>
      </w:r>
      <w:bookmarkEnd w:id="2352"/>
      <w:bookmarkEnd w:id="2353"/>
    </w:p>
    <w:p w14:paraId="2739073D" w14:textId="77777777" w:rsidR="00E93F58" w:rsidRPr="00D97EFB" w:rsidRDefault="00E93F58" w:rsidP="00BB7E31">
      <w:pPr>
        <w:pStyle w:val="subsection"/>
      </w:pPr>
      <w:r w:rsidRPr="00D97EFB">
        <w:tab/>
        <w:t>(1)</w:t>
      </w:r>
      <w:r w:rsidRPr="00D97EFB">
        <w:tab/>
        <w:t>This regulation applies if:</w:t>
      </w:r>
    </w:p>
    <w:p w14:paraId="51D763D6" w14:textId="77777777" w:rsidR="00E93F58" w:rsidRPr="00D97EFB" w:rsidRDefault="00E93F58" w:rsidP="00BB7E31">
      <w:pPr>
        <w:pStyle w:val="paragraph"/>
      </w:pPr>
      <w:r w:rsidRPr="00D97EFB">
        <w:rPr>
          <w:color w:val="000000"/>
        </w:rPr>
        <w:tab/>
        <w:t>(a)</w:t>
      </w:r>
      <w:r w:rsidRPr="00D97EFB">
        <w:rPr>
          <w:color w:val="000000"/>
        </w:rPr>
        <w:tab/>
        <w:t>a futures body was required, before the FSR commencement, to lodge written particulars under subsection 1139(2) of the old Corporations Act of disciplinary action it had taken; and</w:t>
      </w:r>
    </w:p>
    <w:p w14:paraId="4F1DD6D1" w14:textId="77777777" w:rsidR="00E93F58" w:rsidRPr="00D97EFB" w:rsidRDefault="00E93F58" w:rsidP="00BB7E31">
      <w:pPr>
        <w:pStyle w:val="paragraph"/>
      </w:pPr>
      <w:r w:rsidRPr="00D97EFB">
        <w:tab/>
        <w:t>(b)</w:t>
      </w:r>
      <w:r w:rsidRPr="00D97EFB">
        <w:tab/>
        <w:t>the futures body had not complied with the requirement before the FSR commencement; and</w:t>
      </w:r>
    </w:p>
    <w:p w14:paraId="46C6F41B" w14:textId="77777777" w:rsidR="00E93F58" w:rsidRPr="00D97EFB" w:rsidRDefault="00E93F58" w:rsidP="00BB7E31">
      <w:pPr>
        <w:pStyle w:val="paragraph"/>
      </w:pPr>
      <w:r w:rsidRPr="00D97EFB">
        <w:tab/>
        <w:t>(c)</w:t>
      </w:r>
      <w:r w:rsidRPr="00D97EFB">
        <w:tab/>
        <w:t>the period for compliance had not expired before the FSR commencement.</w:t>
      </w:r>
    </w:p>
    <w:p w14:paraId="598F8407" w14:textId="77777777" w:rsidR="00E93F58" w:rsidRPr="00D97EFB" w:rsidRDefault="00E93F58" w:rsidP="00BB7E31">
      <w:pPr>
        <w:pStyle w:val="subsection"/>
      </w:pPr>
      <w:r w:rsidRPr="00D97EFB">
        <w:tab/>
        <w:t>(2)</w:t>
      </w:r>
      <w:r w:rsidRPr="00D97EFB">
        <w:tab/>
        <w:t>On and after the FSR commencement, the requirement is taken to be a requirement under:</w:t>
      </w:r>
    </w:p>
    <w:p w14:paraId="71C8E0AC" w14:textId="77777777" w:rsidR="00E93F58" w:rsidRPr="00D97EFB" w:rsidRDefault="00E93F58" w:rsidP="00BB7E31">
      <w:pPr>
        <w:pStyle w:val="paragraph"/>
      </w:pPr>
      <w:r w:rsidRPr="00D97EFB">
        <w:rPr>
          <w:color w:val="000000"/>
        </w:rPr>
        <w:tab/>
        <w:t>(a)</w:t>
      </w:r>
      <w:r w:rsidRPr="00D97EFB">
        <w:rPr>
          <w:color w:val="000000"/>
        </w:rPr>
        <w:tab/>
        <w:t>if the futures body has become a market licensee after the FSR commencement—paragraph 792B(2)(b) of the Act; or</w:t>
      </w:r>
    </w:p>
    <w:p w14:paraId="42602869" w14:textId="77777777" w:rsidR="00E93F58" w:rsidRPr="00D97EFB" w:rsidRDefault="00E93F58" w:rsidP="00BB7E31">
      <w:pPr>
        <w:pStyle w:val="paragraph"/>
      </w:pPr>
      <w:r w:rsidRPr="00D97EFB">
        <w:tab/>
        <w:t>(b)</w:t>
      </w:r>
      <w:r w:rsidRPr="00D97EFB">
        <w:tab/>
        <w:t>if the futures body has become a CS facility licensee after the FSR commencement—paragraph 821B(2)(b) of the Act.</w:t>
      </w:r>
    </w:p>
    <w:p w14:paraId="7DFB1CC8" w14:textId="77777777" w:rsidR="00E93F58" w:rsidRPr="00D97EFB" w:rsidRDefault="00E93F58" w:rsidP="00BB7E31">
      <w:pPr>
        <w:pStyle w:val="subsection"/>
      </w:pPr>
      <w:r w:rsidRPr="00D97EFB">
        <w:rPr>
          <w:color w:val="000000"/>
        </w:rPr>
        <w:tab/>
        <w:t>(3)</w:t>
      </w:r>
      <w:r w:rsidRPr="00D97EFB">
        <w:rPr>
          <w:color w:val="000000"/>
        </w:rPr>
        <w:tab/>
        <w:t>The market licensee or CS facility licensee to which subregulation (2) relates is taken to have complied with its obligations under subsection 792C(1) of the Act if it complies with those obligations as soon as practicable after the FSR commencement.</w:t>
      </w:r>
    </w:p>
    <w:p w14:paraId="258C204A" w14:textId="77777777" w:rsidR="00E93F58" w:rsidRPr="00D97EFB" w:rsidRDefault="00E93F58" w:rsidP="00BB7E31">
      <w:pPr>
        <w:pStyle w:val="ActHead5"/>
      </w:pPr>
      <w:bookmarkStart w:id="2354" w:name="_Toc151994456"/>
      <w:bookmarkStart w:id="2355" w:name="_Toc158712966"/>
      <w:r w:rsidRPr="000D40D5">
        <w:rPr>
          <w:rStyle w:val="CharSectno"/>
        </w:rPr>
        <w:t>10.2.17</w:t>
      </w:r>
      <w:r w:rsidRPr="00D97EFB">
        <w:t xml:space="preserve">  Obligations of futures body: particulars of contravention</w:t>
      </w:r>
      <w:bookmarkEnd w:id="2354"/>
      <w:bookmarkEnd w:id="2355"/>
    </w:p>
    <w:p w14:paraId="0BBF85A3" w14:textId="77777777" w:rsidR="00E93F58" w:rsidRPr="00D97EFB" w:rsidRDefault="00E93F58" w:rsidP="00BB7E31">
      <w:pPr>
        <w:pStyle w:val="subsection"/>
      </w:pPr>
      <w:r w:rsidRPr="00D97EFB">
        <w:tab/>
        <w:t>(1)</w:t>
      </w:r>
      <w:r w:rsidRPr="00D97EFB">
        <w:tab/>
        <w:t>This regulation applies if:</w:t>
      </w:r>
    </w:p>
    <w:p w14:paraId="4D766E05" w14:textId="77777777" w:rsidR="00E93F58" w:rsidRPr="00D97EFB" w:rsidRDefault="00E93F58" w:rsidP="00BB7E31">
      <w:pPr>
        <w:pStyle w:val="paragraph"/>
      </w:pPr>
      <w:r w:rsidRPr="00D97EFB">
        <w:rPr>
          <w:color w:val="000000"/>
        </w:rPr>
        <w:tab/>
        <w:t>(a)</w:t>
      </w:r>
      <w:r w:rsidRPr="00D97EFB">
        <w:rPr>
          <w:color w:val="000000"/>
        </w:rPr>
        <w:tab/>
        <w:t>a futures body was required, before the FSR commencement, to lodge a statement under subsection 1139(2A) of the old Corporations Act in relation to a contravention of the futures exchange’s business rules or listing rules; and</w:t>
      </w:r>
    </w:p>
    <w:p w14:paraId="53678B4F" w14:textId="77777777" w:rsidR="00E93F58" w:rsidRPr="00D97EFB" w:rsidRDefault="00E93F58" w:rsidP="00BB7E31">
      <w:pPr>
        <w:pStyle w:val="paragraph"/>
      </w:pPr>
      <w:r w:rsidRPr="00D97EFB">
        <w:tab/>
        <w:t>(b)</w:t>
      </w:r>
      <w:r w:rsidRPr="00D97EFB">
        <w:tab/>
        <w:t>the futures body had not complied with the requirement before the FSR commencement; and</w:t>
      </w:r>
    </w:p>
    <w:p w14:paraId="46583934" w14:textId="77777777" w:rsidR="00E93F58" w:rsidRPr="00D97EFB" w:rsidRDefault="00E93F58" w:rsidP="00BB7E31">
      <w:pPr>
        <w:pStyle w:val="paragraph"/>
      </w:pPr>
      <w:r w:rsidRPr="00D97EFB">
        <w:tab/>
        <w:t>(c)</w:t>
      </w:r>
      <w:r w:rsidRPr="00D97EFB">
        <w:tab/>
        <w:t>the period for compliance had not expired before the FSR commencement.</w:t>
      </w:r>
    </w:p>
    <w:p w14:paraId="4197621F" w14:textId="77777777" w:rsidR="00E93F58" w:rsidRPr="00D97EFB" w:rsidRDefault="00E93F58" w:rsidP="00BB7E31">
      <w:pPr>
        <w:pStyle w:val="subsection"/>
      </w:pPr>
      <w:r w:rsidRPr="00D97EFB">
        <w:rPr>
          <w:color w:val="000000"/>
        </w:rPr>
        <w:tab/>
        <w:t>(2)</w:t>
      </w:r>
      <w:r w:rsidRPr="00D97EFB">
        <w:rPr>
          <w:color w:val="000000"/>
        </w:rPr>
        <w:tab/>
        <w:t>On and after the FSR commencement, the requirement is taken to be a requirement under paragraph 792B(2)(c) of the Act.</w:t>
      </w:r>
    </w:p>
    <w:p w14:paraId="679C1E1E" w14:textId="77777777" w:rsidR="00E93F58" w:rsidRPr="00D97EFB" w:rsidRDefault="00E93F58" w:rsidP="00BB7E31">
      <w:pPr>
        <w:pStyle w:val="subsection"/>
      </w:pPr>
      <w:r w:rsidRPr="00D97EFB">
        <w:tab/>
        <w:t>(3)</w:t>
      </w:r>
      <w:r w:rsidRPr="00D97EFB">
        <w:tab/>
        <w:t>The market licensee to which subregulation (2) relates is taken to have complied with its obligations under paragraph 792B(2)(c) of the Act if it complies with those obligations as soon as practicable after the FSR commencement.</w:t>
      </w:r>
    </w:p>
    <w:p w14:paraId="6B3C6373" w14:textId="77777777" w:rsidR="00E93F58" w:rsidRPr="00D97EFB" w:rsidRDefault="00E93F58" w:rsidP="00BB7E31">
      <w:pPr>
        <w:pStyle w:val="ActHead5"/>
      </w:pPr>
      <w:bookmarkStart w:id="2356" w:name="_Toc151994457"/>
      <w:bookmarkStart w:id="2357" w:name="_Toc158712967"/>
      <w:r w:rsidRPr="000D40D5">
        <w:rPr>
          <w:rStyle w:val="CharSectno"/>
        </w:rPr>
        <w:t>10.2.18</w:t>
      </w:r>
      <w:r w:rsidRPr="00D97EFB">
        <w:t xml:space="preserve">  Obligations of clearing house for futures exchange: information about listed disclosing entity</w:t>
      </w:r>
      <w:bookmarkEnd w:id="2356"/>
      <w:bookmarkEnd w:id="2357"/>
    </w:p>
    <w:p w14:paraId="06C02AF7" w14:textId="77777777" w:rsidR="00E93F58" w:rsidRPr="00D97EFB" w:rsidRDefault="00E93F58" w:rsidP="00BB7E31">
      <w:pPr>
        <w:pStyle w:val="subsection"/>
      </w:pPr>
      <w:r w:rsidRPr="00D97EFB">
        <w:tab/>
        <w:t>(1)</w:t>
      </w:r>
      <w:r w:rsidRPr="00D97EFB">
        <w:tab/>
        <w:t>This regulation applies if:</w:t>
      </w:r>
    </w:p>
    <w:p w14:paraId="153D06B2" w14:textId="77777777" w:rsidR="00E93F58" w:rsidRPr="00D97EFB" w:rsidRDefault="00E93F58" w:rsidP="00BB7E31">
      <w:pPr>
        <w:pStyle w:val="paragraph"/>
      </w:pPr>
      <w:r w:rsidRPr="00D97EFB">
        <w:rPr>
          <w:color w:val="000000"/>
        </w:rPr>
        <w:tab/>
        <w:t>(a)</w:t>
      </w:r>
      <w:r w:rsidRPr="00D97EFB">
        <w:rPr>
          <w:color w:val="000000"/>
        </w:rPr>
        <w:tab/>
        <w:t>a clearing house for a futures exchange was required, before the FSR commencement, to give ASIC particulars of action under subsection 1139(3) of the old Corporations Act; and</w:t>
      </w:r>
    </w:p>
    <w:p w14:paraId="6136A0A5" w14:textId="77777777" w:rsidR="00E93F58" w:rsidRPr="00D97EFB" w:rsidRDefault="00E93F58" w:rsidP="00BB7E31">
      <w:pPr>
        <w:pStyle w:val="paragraph"/>
      </w:pPr>
      <w:r w:rsidRPr="00D97EFB">
        <w:tab/>
        <w:t>(b)</w:t>
      </w:r>
      <w:r w:rsidRPr="00D97EFB">
        <w:tab/>
        <w:t>the clearing house had not complied with the requirement before the FSR commencement; and</w:t>
      </w:r>
    </w:p>
    <w:p w14:paraId="07BDCCCF" w14:textId="77777777" w:rsidR="00E93F58" w:rsidRPr="00D97EFB" w:rsidRDefault="00E93F58" w:rsidP="00BB7E31">
      <w:pPr>
        <w:pStyle w:val="paragraph"/>
      </w:pPr>
      <w:r w:rsidRPr="00D97EFB">
        <w:tab/>
        <w:t>(c)</w:t>
      </w:r>
      <w:r w:rsidRPr="00D97EFB">
        <w:tab/>
        <w:t>the period for compliance had not expired before the FSR commencement.</w:t>
      </w:r>
    </w:p>
    <w:p w14:paraId="1766E623" w14:textId="77777777" w:rsidR="00E93F58" w:rsidRPr="00D97EFB" w:rsidRDefault="00E93F58" w:rsidP="00BB7E31">
      <w:pPr>
        <w:pStyle w:val="subsection"/>
      </w:pPr>
      <w:r w:rsidRPr="00D97EFB">
        <w:rPr>
          <w:color w:val="000000"/>
        </w:rPr>
        <w:tab/>
        <w:t>(2)</w:t>
      </w:r>
      <w:r w:rsidRPr="00D97EFB">
        <w:rPr>
          <w:color w:val="000000"/>
        </w:rPr>
        <w:tab/>
        <w:t>On and after the FSR commencement, subsection 1139(4) of the old Corporations Act, as in force immediately before the FSR commencement, continues to have effect in relation to the clearing house in its capacity as a market licensee.</w:t>
      </w:r>
    </w:p>
    <w:p w14:paraId="61978463" w14:textId="77777777" w:rsidR="00E93F58" w:rsidRPr="00D97EFB" w:rsidRDefault="00E93F58" w:rsidP="00BB7E31">
      <w:pPr>
        <w:pStyle w:val="ActHead3"/>
        <w:pageBreakBefore/>
        <w:rPr>
          <w:color w:val="000000"/>
        </w:rPr>
      </w:pPr>
      <w:bookmarkStart w:id="2358" w:name="_Toc151994458"/>
      <w:bookmarkStart w:id="2359" w:name="_Toc158712968"/>
      <w:r w:rsidRPr="000D40D5">
        <w:rPr>
          <w:rStyle w:val="CharDivNo"/>
        </w:rPr>
        <w:lastRenderedPageBreak/>
        <w:t>Division 5</w:t>
      </w:r>
      <w:r w:rsidRPr="00D97EFB">
        <w:rPr>
          <w:color w:val="000000"/>
        </w:rPr>
        <w:t>—</w:t>
      </w:r>
      <w:r w:rsidRPr="000D40D5">
        <w:rPr>
          <w:rStyle w:val="CharDivText"/>
        </w:rPr>
        <w:t>Special reports</w:t>
      </w:r>
      <w:bookmarkEnd w:id="2358"/>
      <w:bookmarkEnd w:id="2359"/>
    </w:p>
    <w:p w14:paraId="0CBEA23C" w14:textId="77777777" w:rsidR="00E93F58" w:rsidRPr="00D97EFB" w:rsidRDefault="00E93F58" w:rsidP="00BB7E31">
      <w:pPr>
        <w:pStyle w:val="ActHead5"/>
      </w:pPr>
      <w:bookmarkStart w:id="2360" w:name="_Toc151994459"/>
      <w:bookmarkStart w:id="2361" w:name="_Toc158712969"/>
      <w:r w:rsidRPr="000D40D5">
        <w:rPr>
          <w:rStyle w:val="CharSectno"/>
        </w:rPr>
        <w:t>10.2.19</w:t>
      </w:r>
      <w:r w:rsidRPr="00D97EFB">
        <w:t xml:space="preserve">  Special report by securities exchange about compliance with ongoing requirements</w:t>
      </w:r>
      <w:bookmarkEnd w:id="2360"/>
      <w:bookmarkEnd w:id="2361"/>
    </w:p>
    <w:p w14:paraId="08628A3A" w14:textId="77777777" w:rsidR="00E93F58" w:rsidRPr="00D97EFB" w:rsidRDefault="00E93F58" w:rsidP="00BB7E31">
      <w:pPr>
        <w:pStyle w:val="subsection"/>
      </w:pPr>
      <w:r w:rsidRPr="00D97EFB">
        <w:tab/>
        <w:t>(1)</w:t>
      </w:r>
      <w:r w:rsidRPr="00D97EFB">
        <w:tab/>
        <w:t>This regulation applies if:</w:t>
      </w:r>
    </w:p>
    <w:p w14:paraId="475D8FE9" w14:textId="77777777" w:rsidR="00E93F58" w:rsidRPr="00D97EFB" w:rsidRDefault="00E93F58" w:rsidP="00BB7E31">
      <w:pPr>
        <w:pStyle w:val="paragraph"/>
      </w:pPr>
      <w:r w:rsidRPr="00D97EFB">
        <w:rPr>
          <w:color w:val="000000"/>
        </w:rPr>
        <w:tab/>
        <w:t>(a)</w:t>
      </w:r>
      <w:r w:rsidRPr="00D97EFB">
        <w:rPr>
          <w:color w:val="000000"/>
        </w:rPr>
        <w:tab/>
        <w:t>a securities exchange was required, before the FSR commencement, to give ASIC a special report under subsection 769D(1) of the old Corporations Act; and</w:t>
      </w:r>
    </w:p>
    <w:p w14:paraId="6B66CA5D" w14:textId="77777777" w:rsidR="00E93F58" w:rsidRPr="00D97EFB" w:rsidRDefault="00E93F58" w:rsidP="00BB7E31">
      <w:pPr>
        <w:pStyle w:val="paragraph"/>
      </w:pPr>
      <w:r w:rsidRPr="00D97EFB">
        <w:tab/>
        <w:t>(b)</w:t>
      </w:r>
      <w:r w:rsidRPr="00D97EFB">
        <w:tab/>
        <w:t>the securities exchange had not complied with the requirement before the FSR commencement; and</w:t>
      </w:r>
    </w:p>
    <w:p w14:paraId="616E4120" w14:textId="77777777" w:rsidR="00E93F58" w:rsidRPr="00D97EFB" w:rsidRDefault="00E93F58" w:rsidP="00BB7E31">
      <w:pPr>
        <w:pStyle w:val="paragraph"/>
      </w:pPr>
      <w:r w:rsidRPr="00D97EFB">
        <w:tab/>
        <w:t>(c)</w:t>
      </w:r>
      <w:r w:rsidRPr="00D97EFB">
        <w:tab/>
        <w:t>the period for compliance had not expired before the FSR commencement.</w:t>
      </w:r>
    </w:p>
    <w:p w14:paraId="5DC565D4" w14:textId="77777777" w:rsidR="00E93F58" w:rsidRPr="00D97EFB" w:rsidRDefault="00E93F58" w:rsidP="00BB7E31">
      <w:pPr>
        <w:pStyle w:val="subsection"/>
      </w:pPr>
      <w:r w:rsidRPr="00D97EFB">
        <w:rPr>
          <w:color w:val="000000"/>
        </w:rPr>
        <w:tab/>
        <w:t>(2)</w:t>
      </w:r>
      <w:r w:rsidRPr="00D97EFB">
        <w:rPr>
          <w:color w:val="000000"/>
        </w:rPr>
        <w:tab/>
        <w:t>On and after the FSR commencement, the requirement is taken to be a requirement under subsection 794B(1) of the Act.</w:t>
      </w:r>
    </w:p>
    <w:p w14:paraId="78E063DB" w14:textId="77777777" w:rsidR="00E93F58" w:rsidRPr="00D97EFB" w:rsidRDefault="00E93F58" w:rsidP="00BB7E31">
      <w:pPr>
        <w:pStyle w:val="ActHead5"/>
      </w:pPr>
      <w:bookmarkStart w:id="2362" w:name="_Toc151994460"/>
      <w:bookmarkStart w:id="2363" w:name="_Toc158712970"/>
      <w:r w:rsidRPr="000D40D5">
        <w:rPr>
          <w:rStyle w:val="CharSectno"/>
        </w:rPr>
        <w:t>10.2.20</w:t>
      </w:r>
      <w:r w:rsidRPr="00D97EFB">
        <w:t xml:space="preserve">  Special report by securities exchange about compliance with ongoing requirements: ASIC requirements</w:t>
      </w:r>
      <w:bookmarkEnd w:id="2362"/>
      <w:bookmarkEnd w:id="2363"/>
    </w:p>
    <w:p w14:paraId="5363D3B3" w14:textId="77777777" w:rsidR="00E93F58" w:rsidRPr="00D97EFB" w:rsidRDefault="00E93F58" w:rsidP="00BB7E31">
      <w:pPr>
        <w:pStyle w:val="subsection"/>
      </w:pPr>
      <w:r w:rsidRPr="00D97EFB">
        <w:tab/>
        <w:t>(1)</w:t>
      </w:r>
      <w:r w:rsidRPr="00D97EFB">
        <w:tab/>
        <w:t>This regulation applies if:</w:t>
      </w:r>
    </w:p>
    <w:p w14:paraId="37BD5FB5" w14:textId="77777777" w:rsidR="00E93F58" w:rsidRPr="00D97EFB" w:rsidRDefault="00E93F58" w:rsidP="00BB7E31">
      <w:pPr>
        <w:pStyle w:val="paragraph"/>
      </w:pPr>
      <w:r w:rsidRPr="00D97EFB">
        <w:rPr>
          <w:color w:val="000000"/>
        </w:rPr>
        <w:tab/>
        <w:t>(a)</w:t>
      </w:r>
      <w:r w:rsidRPr="00D97EFB">
        <w:rPr>
          <w:color w:val="000000"/>
        </w:rPr>
        <w:tab/>
        <w:t>a securities exchange was required, before the FSR commencement, to give ASIC a special report under subsection 769D(1) of the old Corporations Act; and</w:t>
      </w:r>
    </w:p>
    <w:p w14:paraId="770D68E2" w14:textId="77777777" w:rsidR="00E93F58" w:rsidRPr="00D97EFB" w:rsidRDefault="00E93F58" w:rsidP="00BB7E31">
      <w:pPr>
        <w:pStyle w:val="paragraph"/>
      </w:pPr>
      <w:r w:rsidRPr="00D97EFB">
        <w:tab/>
        <w:t>(b)</w:t>
      </w:r>
      <w:r w:rsidRPr="00D97EFB">
        <w:tab/>
        <w:t>ASIC had not complied with its obligations to the Minister under section 769D of the old Corporations Act before the FSR commencement; and</w:t>
      </w:r>
    </w:p>
    <w:p w14:paraId="587DA6E7" w14:textId="77777777" w:rsidR="00E93F58" w:rsidRPr="00D97EFB" w:rsidRDefault="00E93F58" w:rsidP="00BB7E31">
      <w:pPr>
        <w:pStyle w:val="paragraph"/>
      </w:pPr>
      <w:r w:rsidRPr="00D97EFB">
        <w:tab/>
        <w:t>(c)</w:t>
      </w:r>
      <w:r w:rsidRPr="00D97EFB">
        <w:tab/>
        <w:t>the period for compliance had not expired before the FSR commencement.</w:t>
      </w:r>
    </w:p>
    <w:p w14:paraId="6778CF0C" w14:textId="77777777" w:rsidR="00E93F58" w:rsidRPr="00D97EFB" w:rsidRDefault="00E93F58" w:rsidP="00BB7E31">
      <w:pPr>
        <w:pStyle w:val="subsection"/>
      </w:pPr>
      <w:r w:rsidRPr="00D97EFB">
        <w:rPr>
          <w:color w:val="000000"/>
        </w:rPr>
        <w:tab/>
        <w:t>(2)</w:t>
      </w:r>
      <w:r w:rsidRPr="00D97EFB">
        <w:rPr>
          <w:color w:val="000000"/>
        </w:rPr>
        <w:tab/>
        <w:t>On and after the FSR commencement, ASIC’s obligations to the Minister are taken to be obligations under subsection 794B(1) of the Act.</w:t>
      </w:r>
    </w:p>
    <w:p w14:paraId="20ABE51D" w14:textId="77777777" w:rsidR="00E93F58" w:rsidRPr="00D97EFB" w:rsidRDefault="00E93F58" w:rsidP="00734648">
      <w:pPr>
        <w:pStyle w:val="ActHead3"/>
        <w:pageBreakBefore/>
      </w:pPr>
      <w:bookmarkStart w:id="2364" w:name="_Toc151994461"/>
      <w:bookmarkStart w:id="2365" w:name="_Toc158712971"/>
      <w:r w:rsidRPr="000D40D5">
        <w:rPr>
          <w:rStyle w:val="CharDivNo"/>
        </w:rPr>
        <w:lastRenderedPageBreak/>
        <w:t>Division 5A</w:t>
      </w:r>
      <w:r w:rsidRPr="00D97EFB">
        <w:t>—</w:t>
      </w:r>
      <w:r w:rsidRPr="000D40D5">
        <w:rPr>
          <w:rStyle w:val="CharDivText"/>
        </w:rPr>
        <w:t>Transactions by holder of financial services licence or a representative of the holder of such a licence</w:t>
      </w:r>
      <w:bookmarkEnd w:id="2364"/>
      <w:bookmarkEnd w:id="2365"/>
    </w:p>
    <w:p w14:paraId="7D8156A2" w14:textId="77777777" w:rsidR="00E93F58" w:rsidRPr="00D97EFB" w:rsidRDefault="00E93F58" w:rsidP="00BB7E31">
      <w:pPr>
        <w:pStyle w:val="ActHead5"/>
      </w:pPr>
      <w:bookmarkStart w:id="2366" w:name="_Toc151994462"/>
      <w:bookmarkStart w:id="2367" w:name="_Toc158712972"/>
      <w:r w:rsidRPr="000D40D5">
        <w:rPr>
          <w:rStyle w:val="CharSectno"/>
        </w:rPr>
        <w:t>10.2.20A</w:t>
      </w:r>
      <w:r w:rsidRPr="00D97EFB">
        <w:t xml:space="preserve">  References to financial service licensee</w:t>
      </w:r>
      <w:bookmarkEnd w:id="2366"/>
      <w:bookmarkEnd w:id="2367"/>
    </w:p>
    <w:p w14:paraId="65E58188" w14:textId="77777777" w:rsidR="00E93F58" w:rsidRPr="00D97EFB" w:rsidRDefault="00E93F58" w:rsidP="00BB7E31">
      <w:pPr>
        <w:pStyle w:val="subsection"/>
      </w:pPr>
      <w:r w:rsidRPr="00D97EFB">
        <w:tab/>
        <w:t>(1)</w:t>
      </w:r>
      <w:r w:rsidRPr="00D97EFB">
        <w:tab/>
        <w:t>For section 1444 of the Act, a reference in section 1043K of the Act to a financial services licensee includes a reference to a regulated principal mentioned in item 1, 3 or 8 of the table in section 1430 of the Act.</w:t>
      </w:r>
    </w:p>
    <w:p w14:paraId="30A721D6" w14:textId="77777777" w:rsidR="00E93F58" w:rsidRPr="00D97EFB" w:rsidRDefault="00E93F58" w:rsidP="00BB7E31">
      <w:pPr>
        <w:pStyle w:val="subsection"/>
      </w:pPr>
      <w:r w:rsidRPr="00D97EFB">
        <w:tab/>
        <w:t>(2)</w:t>
      </w:r>
      <w:r w:rsidRPr="00D97EFB">
        <w:tab/>
        <w:t>Subregulation (1) ceases to apply in relation to a regulated principal at the end of the transition period in relation to the regulated principal.</w:t>
      </w:r>
    </w:p>
    <w:p w14:paraId="16C9EA02" w14:textId="77777777" w:rsidR="00E93F58" w:rsidRPr="00D97EFB" w:rsidRDefault="00E93F58" w:rsidP="00BB7E31">
      <w:pPr>
        <w:pStyle w:val="ActHead3"/>
        <w:pageBreakBefore/>
      </w:pPr>
      <w:bookmarkStart w:id="2368" w:name="_Toc151994463"/>
      <w:bookmarkStart w:id="2369" w:name="_Toc158712973"/>
      <w:r w:rsidRPr="000D40D5">
        <w:rPr>
          <w:rStyle w:val="CharDivNo"/>
        </w:rPr>
        <w:lastRenderedPageBreak/>
        <w:t>Division 5B</w:t>
      </w:r>
      <w:r w:rsidRPr="00D97EFB">
        <w:t>—</w:t>
      </w:r>
      <w:r w:rsidRPr="000D40D5">
        <w:rPr>
          <w:rStyle w:val="CharDivText"/>
        </w:rPr>
        <w:t>Obligation to pay money into account</w:t>
      </w:r>
      <w:bookmarkEnd w:id="2368"/>
      <w:bookmarkEnd w:id="2369"/>
    </w:p>
    <w:p w14:paraId="5B230B58" w14:textId="77777777" w:rsidR="00E93F58" w:rsidRPr="00D97EFB" w:rsidRDefault="00E93F58" w:rsidP="00BB7E31">
      <w:pPr>
        <w:pStyle w:val="ActHead5"/>
      </w:pPr>
      <w:bookmarkStart w:id="2370" w:name="_Toc151994464"/>
      <w:bookmarkStart w:id="2371" w:name="_Toc158712974"/>
      <w:r w:rsidRPr="000D40D5">
        <w:rPr>
          <w:rStyle w:val="CharSectno"/>
        </w:rPr>
        <w:t>10.2.20B</w:t>
      </w:r>
      <w:r w:rsidRPr="00D97EFB">
        <w:t xml:space="preserve">  Financial products quoted on Australian Stock Exchange Limited</w:t>
      </w:r>
      <w:bookmarkEnd w:id="2370"/>
      <w:bookmarkEnd w:id="2371"/>
    </w:p>
    <w:p w14:paraId="6A7706C8" w14:textId="77777777" w:rsidR="00E93F58" w:rsidRPr="00D97EFB" w:rsidRDefault="00E93F58" w:rsidP="00BB7E31">
      <w:pPr>
        <w:pStyle w:val="subsection"/>
      </w:pPr>
      <w:r w:rsidRPr="00D97EFB">
        <w:tab/>
        <w:t>(1)</w:t>
      </w:r>
      <w:r w:rsidRPr="00D97EFB">
        <w:tab/>
        <w:t>For section 1444 of the Act, this regulation applies in relation to a person that is:</w:t>
      </w:r>
    </w:p>
    <w:p w14:paraId="734C225C" w14:textId="77777777" w:rsidR="00E93F58" w:rsidRPr="00D97EFB" w:rsidRDefault="00E93F58" w:rsidP="00BB7E31">
      <w:pPr>
        <w:pStyle w:val="paragraph"/>
      </w:pPr>
      <w:r w:rsidRPr="00D97EFB">
        <w:tab/>
        <w:t>(a)</w:t>
      </w:r>
      <w:r w:rsidRPr="00D97EFB">
        <w:tab/>
        <w:t>a regulated principal mentioned in item 1 of the table in section 1430 of the Act (including a person to whom Part 7.6 of the old Corporations Act applies); and</w:t>
      </w:r>
    </w:p>
    <w:p w14:paraId="4ACF1F5A" w14:textId="77777777" w:rsidR="00E93F58" w:rsidRPr="00D97EFB" w:rsidRDefault="00E93F58" w:rsidP="00BB7E31">
      <w:pPr>
        <w:pStyle w:val="paragraph"/>
      </w:pPr>
      <w:r w:rsidRPr="00D97EFB">
        <w:tab/>
        <w:t>(b)</w:t>
      </w:r>
      <w:r w:rsidRPr="00D97EFB">
        <w:tab/>
        <w:t>a participant of Australian Stock Exchange Limited.</w:t>
      </w:r>
    </w:p>
    <w:p w14:paraId="06F2AA52" w14:textId="77777777" w:rsidR="00E93F58" w:rsidRPr="00D97EFB" w:rsidRDefault="00E93F58" w:rsidP="00BB7E31">
      <w:pPr>
        <w:pStyle w:val="subsection"/>
      </w:pPr>
      <w:r w:rsidRPr="00D97EFB">
        <w:tab/>
        <w:t>(2)</w:t>
      </w:r>
      <w:r w:rsidRPr="00D97EFB">
        <w:tab/>
        <w:t>In addition to section 866 of the old Corporations Act, the regulated principal must:</w:t>
      </w:r>
    </w:p>
    <w:p w14:paraId="267CD179" w14:textId="77777777" w:rsidR="00E93F58" w:rsidRPr="00D97EFB" w:rsidRDefault="00E93F58" w:rsidP="00BB7E31">
      <w:pPr>
        <w:pStyle w:val="paragraph"/>
      </w:pPr>
      <w:r w:rsidRPr="00D97EFB">
        <w:tab/>
        <w:t>(a)</w:t>
      </w:r>
      <w:r w:rsidRPr="00D97EFB">
        <w:tab/>
        <w:t>operate a special purpose interest</w:t>
      </w:r>
      <w:r>
        <w:noBreakHyphen/>
      </w:r>
      <w:r w:rsidRPr="00D97EFB">
        <w:t>bearing trust account; and</w:t>
      </w:r>
    </w:p>
    <w:p w14:paraId="1D7CE5F4" w14:textId="77777777" w:rsidR="00E93F58" w:rsidRPr="00D97EFB" w:rsidRDefault="00E93F58" w:rsidP="00BB7E31">
      <w:pPr>
        <w:pStyle w:val="paragraph"/>
      </w:pPr>
      <w:r w:rsidRPr="00D97EFB">
        <w:tab/>
        <w:t>(b)</w:t>
      </w:r>
      <w:r w:rsidRPr="00D97EFB">
        <w:tab/>
        <w:t>designate the account to be a Special Purpose Trust Account; and</w:t>
      </w:r>
    </w:p>
    <w:p w14:paraId="5B8E70B2" w14:textId="77777777" w:rsidR="00E93F58" w:rsidRPr="00D97EFB" w:rsidRDefault="00E93F58" w:rsidP="00BB7E31">
      <w:pPr>
        <w:pStyle w:val="paragraph"/>
      </w:pPr>
      <w:r w:rsidRPr="00D97EFB">
        <w:tab/>
        <w:t>(c)</w:t>
      </w:r>
      <w:r w:rsidRPr="00D97EFB">
        <w:tab/>
        <w:t>ensure that the Special Purpose Trust Account is:</w:t>
      </w:r>
    </w:p>
    <w:p w14:paraId="02863934" w14:textId="77777777" w:rsidR="00E93F58" w:rsidRPr="00D97EFB" w:rsidRDefault="00E93F58" w:rsidP="00BB7E31">
      <w:pPr>
        <w:pStyle w:val="paragraphsub"/>
      </w:pPr>
      <w:r w:rsidRPr="00D97EFB">
        <w:tab/>
        <w:t>(i)</w:t>
      </w:r>
      <w:r w:rsidRPr="00D97EFB">
        <w:tab/>
        <w:t>with an Australian ADI; or</w:t>
      </w:r>
    </w:p>
    <w:p w14:paraId="724D3FE0" w14:textId="77777777" w:rsidR="00E93F58" w:rsidRPr="00D97EFB" w:rsidRDefault="00E93F58" w:rsidP="00BB7E31">
      <w:pPr>
        <w:pStyle w:val="paragraphsub"/>
      </w:pPr>
      <w:r w:rsidRPr="00D97EFB">
        <w:tab/>
        <w:t>(ii)</w:t>
      </w:r>
      <w:r w:rsidRPr="00D97EFB">
        <w:tab/>
        <w:t>of a kind mentioned in subregulation 7.8.01(2).</w:t>
      </w:r>
    </w:p>
    <w:p w14:paraId="1898793A" w14:textId="77777777" w:rsidR="00E93F58" w:rsidRPr="00D97EFB" w:rsidRDefault="00E93F58" w:rsidP="00BB7E31">
      <w:pPr>
        <w:pStyle w:val="subsection"/>
      </w:pPr>
      <w:r w:rsidRPr="00D97EFB">
        <w:tab/>
        <w:t>(3)</w:t>
      </w:r>
      <w:r w:rsidRPr="00D97EFB">
        <w:tab/>
        <w:t>The regulated principal must withdraw from an account maintained for section 866 of the old Corporations Act an amount equal to two</w:t>
      </w:r>
      <w:r>
        <w:noBreakHyphen/>
      </w:r>
      <w:r w:rsidRPr="00D97EFB">
        <w:t>thirds of:</w:t>
      </w:r>
    </w:p>
    <w:p w14:paraId="2C6F726C" w14:textId="77777777" w:rsidR="00E93F58" w:rsidRPr="00D97EFB" w:rsidRDefault="00E93F58" w:rsidP="00BB7E31">
      <w:pPr>
        <w:pStyle w:val="paragraph"/>
      </w:pPr>
      <w:r w:rsidRPr="00D97EFB">
        <w:tab/>
        <w:t>(a)</w:t>
      </w:r>
      <w:r w:rsidRPr="00D97EFB">
        <w:tab/>
        <w:t>if the regulated principal maintains 2 or more accounts for that section—the lowest aggregate of the balances in the accounts during the 3 months ending on the quarter day last past; or</w:t>
      </w:r>
    </w:p>
    <w:p w14:paraId="4A857698" w14:textId="77777777" w:rsidR="00E93F58" w:rsidRPr="00D97EFB" w:rsidRDefault="00E93F58" w:rsidP="00BB7E31">
      <w:pPr>
        <w:pStyle w:val="paragraph"/>
      </w:pPr>
      <w:r w:rsidRPr="00D97EFB">
        <w:tab/>
        <w:t>(b)</w:t>
      </w:r>
      <w:r w:rsidRPr="00D97EFB">
        <w:tab/>
        <w:t>if the regulated principal maintains 1 account for that section—the lowest balance in the account during the 3 months ending on the quarter day last past.</w:t>
      </w:r>
    </w:p>
    <w:p w14:paraId="7D238B7E" w14:textId="77777777" w:rsidR="00E93F58" w:rsidRPr="00D97EFB" w:rsidRDefault="00E93F58" w:rsidP="00BB7E31">
      <w:pPr>
        <w:pStyle w:val="subsection"/>
      </w:pPr>
      <w:r w:rsidRPr="00D97EFB">
        <w:tab/>
        <w:t>(4)</w:t>
      </w:r>
      <w:r w:rsidRPr="00D97EFB">
        <w:tab/>
        <w:t>Subject to subregulations (5) and (6), the regulated principal must:</w:t>
      </w:r>
    </w:p>
    <w:p w14:paraId="57AB5EA7" w14:textId="77777777" w:rsidR="00E93F58" w:rsidRPr="00D97EFB" w:rsidRDefault="00E93F58" w:rsidP="00BB7E31">
      <w:pPr>
        <w:pStyle w:val="paragraph"/>
      </w:pPr>
      <w:r w:rsidRPr="00D97EFB">
        <w:tab/>
        <w:t>(a)</w:t>
      </w:r>
      <w:r w:rsidRPr="00D97EFB">
        <w:tab/>
        <w:t>deposit the amount mentioned in subregulation (3) into the regulated principal’s Special Purpose Trust Account; and</w:t>
      </w:r>
    </w:p>
    <w:p w14:paraId="645B0C80" w14:textId="77777777" w:rsidR="00E93F58" w:rsidRPr="00D97EFB" w:rsidRDefault="00E93F58" w:rsidP="00BB7E31">
      <w:pPr>
        <w:pStyle w:val="paragraph"/>
      </w:pPr>
      <w:r w:rsidRPr="00D97EFB">
        <w:tab/>
        <w:t>(b)</w:t>
      </w:r>
      <w:r w:rsidRPr="00D97EFB">
        <w:tab/>
        <w:t>keep the amount on deposit.</w:t>
      </w:r>
    </w:p>
    <w:p w14:paraId="13FB708E" w14:textId="77777777" w:rsidR="00E93F58" w:rsidRPr="00D97EFB" w:rsidRDefault="00E93F58" w:rsidP="00BB7E31">
      <w:pPr>
        <w:pStyle w:val="subsection"/>
      </w:pPr>
      <w:r w:rsidRPr="00D97EFB">
        <w:tab/>
        <w:t>(5)</w:t>
      </w:r>
      <w:r w:rsidRPr="00D97EFB">
        <w:tab/>
        <w:t>A deposit need not be lodged or kept for subregulation (4) if, apart from this subregulation, the amount of the deposit would be less than $3 000.</w:t>
      </w:r>
    </w:p>
    <w:p w14:paraId="3019BA33" w14:textId="77777777" w:rsidR="00E93F58" w:rsidRPr="00D97EFB" w:rsidRDefault="00E93F58" w:rsidP="00BB7E31">
      <w:pPr>
        <w:pStyle w:val="subsection"/>
      </w:pPr>
      <w:r w:rsidRPr="00D97EFB">
        <w:tab/>
        <w:t>(6)</w:t>
      </w:r>
      <w:r w:rsidRPr="00D97EFB">
        <w:tab/>
        <w:t>If, because of subregulation (3), the amount of a deposit to be lodged and kept in the regulated principal’s Special Purpose Trust Account increases, the regulated principal must lodge the amount of the increase within 5 business days after the relevant quarter day that is the last day of the period by reference to which the amount required to be lodged is calculated.</w:t>
      </w:r>
    </w:p>
    <w:p w14:paraId="6608FC5C" w14:textId="77777777" w:rsidR="00E93F58" w:rsidRPr="00D97EFB" w:rsidRDefault="00E93F58" w:rsidP="00BB7E31">
      <w:pPr>
        <w:pStyle w:val="subsection"/>
      </w:pPr>
      <w:r w:rsidRPr="00D97EFB">
        <w:tab/>
        <w:t>(7)</w:t>
      </w:r>
      <w:r w:rsidRPr="00D97EFB">
        <w:tab/>
      </w:r>
      <w:r w:rsidRPr="00D97EFB">
        <w:rPr>
          <w:snapToGrid w:val="0"/>
        </w:rPr>
        <w:t>An amount deposited in the Special Purpose Trust Account under subregulation (4) is also taken to be monies held in an account maintained by the regulated principal for section 866 of the old Corporations Act.</w:t>
      </w:r>
    </w:p>
    <w:p w14:paraId="01C63A5B" w14:textId="77777777" w:rsidR="00E93F58" w:rsidRPr="00D97EFB" w:rsidRDefault="00E93F58" w:rsidP="00BB7E31">
      <w:pPr>
        <w:pStyle w:val="subsection"/>
      </w:pPr>
      <w:r w:rsidRPr="00D97EFB">
        <w:tab/>
        <w:t>(8)</w:t>
      </w:r>
      <w:r w:rsidRPr="00D97EFB">
        <w:tab/>
        <w:t>If money is held in an account under subregulation (4):</w:t>
      </w:r>
    </w:p>
    <w:p w14:paraId="2CB95BDF" w14:textId="77777777" w:rsidR="00E93F58" w:rsidRPr="00D97EFB" w:rsidRDefault="00E93F58" w:rsidP="00BB7E31">
      <w:pPr>
        <w:pStyle w:val="paragraph"/>
      </w:pPr>
      <w:r w:rsidRPr="00D97EFB">
        <w:tab/>
        <w:t>(a)</w:t>
      </w:r>
      <w:r w:rsidRPr="00D97EFB">
        <w:tab/>
        <w:t>the interest on the account is the income of SEGC; and</w:t>
      </w:r>
    </w:p>
    <w:p w14:paraId="5E06574C" w14:textId="77777777" w:rsidR="00E93F58" w:rsidRPr="00D97EFB" w:rsidRDefault="00E93F58" w:rsidP="00BB7E31">
      <w:pPr>
        <w:pStyle w:val="paragraph"/>
      </w:pPr>
      <w:r w:rsidRPr="00D97EFB">
        <w:tab/>
        <w:t>(b)</w:t>
      </w:r>
      <w:r w:rsidRPr="00D97EFB">
        <w:tab/>
        <w:t xml:space="preserve">the regulated principal must pay the interest to SEGC, less any amount paid in relation to </w:t>
      </w:r>
      <w:r w:rsidRPr="00D97EFB">
        <w:rPr>
          <w:snapToGrid w:val="0"/>
        </w:rPr>
        <w:t>account establishment fees, account keeping fees, government taxes or other duties</w:t>
      </w:r>
      <w:r w:rsidRPr="00D97EFB">
        <w:t>.</w:t>
      </w:r>
    </w:p>
    <w:p w14:paraId="344FF4EC" w14:textId="77777777" w:rsidR="00E93F58" w:rsidRPr="00D97EFB" w:rsidRDefault="00E93F58" w:rsidP="00BB7E31">
      <w:pPr>
        <w:pStyle w:val="ActHead3"/>
        <w:pageBreakBefore/>
        <w:rPr>
          <w:color w:val="000000"/>
        </w:rPr>
      </w:pPr>
      <w:bookmarkStart w:id="2372" w:name="_Toc151994465"/>
      <w:bookmarkStart w:id="2373" w:name="_Toc158712975"/>
      <w:r w:rsidRPr="000D40D5">
        <w:rPr>
          <w:rStyle w:val="CharDivNo"/>
        </w:rPr>
        <w:lastRenderedPageBreak/>
        <w:t>Division 6</w:t>
      </w:r>
      <w:r w:rsidRPr="00D97EFB">
        <w:rPr>
          <w:color w:val="000000"/>
        </w:rPr>
        <w:t>—</w:t>
      </w:r>
      <w:r w:rsidRPr="000D40D5">
        <w:rPr>
          <w:rStyle w:val="CharDivText"/>
        </w:rPr>
        <w:t>Self</w:t>
      </w:r>
      <w:r w:rsidRPr="000D40D5">
        <w:rPr>
          <w:rStyle w:val="CharDivText"/>
        </w:rPr>
        <w:noBreakHyphen/>
        <w:t>listing</w:t>
      </w:r>
      <w:bookmarkEnd w:id="2372"/>
      <w:bookmarkEnd w:id="2373"/>
    </w:p>
    <w:p w14:paraId="7A73D44D" w14:textId="77777777" w:rsidR="00E93F58" w:rsidRPr="00D97EFB" w:rsidRDefault="00E93F58" w:rsidP="00BB7E31">
      <w:pPr>
        <w:pStyle w:val="ActHead5"/>
      </w:pPr>
      <w:bookmarkStart w:id="2374" w:name="_Toc151994466"/>
      <w:bookmarkStart w:id="2375" w:name="_Toc158712976"/>
      <w:r w:rsidRPr="000D40D5">
        <w:rPr>
          <w:rStyle w:val="CharSectno"/>
        </w:rPr>
        <w:t>10.2.21</w:t>
      </w:r>
      <w:r w:rsidRPr="00D97EFB">
        <w:t xml:space="preserve">  Status of arrangements for self</w:t>
      </w:r>
      <w:r>
        <w:noBreakHyphen/>
      </w:r>
      <w:r w:rsidRPr="00D97EFB">
        <w:t>listing</w:t>
      </w:r>
      <w:bookmarkEnd w:id="2374"/>
      <w:bookmarkEnd w:id="2375"/>
    </w:p>
    <w:p w14:paraId="48A4949E" w14:textId="77777777" w:rsidR="00E93F58" w:rsidRPr="00D97EFB" w:rsidRDefault="00E93F58" w:rsidP="00BB7E31">
      <w:pPr>
        <w:pStyle w:val="subsection"/>
      </w:pPr>
      <w:r w:rsidRPr="00D97EFB">
        <w:rPr>
          <w:color w:val="000000"/>
        </w:rPr>
        <w:tab/>
      </w:r>
      <w:r w:rsidRPr="00D97EFB">
        <w:rPr>
          <w:color w:val="000000"/>
        </w:rPr>
        <w:tab/>
        <w:t>On and after the FSR commencement, arrangements entered into by a securities exchange under subsection 772B(2) of the old Corporations Act are taken to be arrangements entered into under subsection 798C(2) of the Act.</w:t>
      </w:r>
    </w:p>
    <w:p w14:paraId="6CE65AF8" w14:textId="77777777" w:rsidR="00E93F58" w:rsidRPr="00D97EFB" w:rsidRDefault="00E93F58" w:rsidP="00BB7E31">
      <w:pPr>
        <w:pStyle w:val="ActHead5"/>
      </w:pPr>
      <w:bookmarkStart w:id="2376" w:name="_Toc151994467"/>
      <w:bookmarkStart w:id="2377" w:name="_Toc158712977"/>
      <w:r w:rsidRPr="000D40D5">
        <w:rPr>
          <w:rStyle w:val="CharSectno"/>
        </w:rPr>
        <w:t>10.2.22</w:t>
      </w:r>
      <w:r w:rsidRPr="00D97EFB">
        <w:t xml:space="preserve">  Status of exemption relating to self</w:t>
      </w:r>
      <w:r>
        <w:noBreakHyphen/>
      </w:r>
      <w:r w:rsidRPr="00D97EFB">
        <w:t>listing</w:t>
      </w:r>
      <w:bookmarkEnd w:id="2376"/>
      <w:bookmarkEnd w:id="2377"/>
    </w:p>
    <w:p w14:paraId="5C3CD9AC" w14:textId="77777777" w:rsidR="00E93F58" w:rsidRPr="00D97EFB" w:rsidRDefault="00E93F58" w:rsidP="00BB7E31">
      <w:pPr>
        <w:pStyle w:val="subsection"/>
      </w:pPr>
      <w:r w:rsidRPr="00D97EFB">
        <w:rPr>
          <w:color w:val="000000"/>
        </w:rPr>
        <w:tab/>
        <w:t>(1)</w:t>
      </w:r>
      <w:r w:rsidRPr="00D97EFB">
        <w:rPr>
          <w:color w:val="000000"/>
        </w:rPr>
        <w:tab/>
        <w:t>On and after the FSR commencement, an exemption given by ASIC under paragraph 772B(6)(a) of the old Corporations Act continues in force as if it were an exemption given under paragraph 798D(1)(a) of the Act.</w:t>
      </w:r>
    </w:p>
    <w:p w14:paraId="257785CF" w14:textId="77777777" w:rsidR="00E93F58" w:rsidRPr="00D97EFB" w:rsidRDefault="00E93F58" w:rsidP="00BB7E31">
      <w:pPr>
        <w:pStyle w:val="subsection"/>
      </w:pPr>
      <w:r w:rsidRPr="00D97EFB">
        <w:rPr>
          <w:color w:val="000000"/>
        </w:rPr>
        <w:tab/>
        <w:t>(2)</w:t>
      </w:r>
      <w:r w:rsidRPr="00D97EFB">
        <w:rPr>
          <w:color w:val="000000"/>
        </w:rPr>
        <w:tab/>
        <w:t>On and after the FSR commencement, a declaration made by ASIC under paragraph 772B(6)(b) of the old Corporations Act continues in force as if it were a declaration made under paragraph 798D(1)(b) of the Act.</w:t>
      </w:r>
    </w:p>
    <w:p w14:paraId="7555265F" w14:textId="77777777" w:rsidR="00E93F58" w:rsidRPr="00D97EFB" w:rsidRDefault="00E93F58" w:rsidP="00BB7E31">
      <w:pPr>
        <w:pStyle w:val="ActHead3"/>
        <w:pageBreakBefore/>
        <w:rPr>
          <w:color w:val="000000"/>
        </w:rPr>
      </w:pPr>
      <w:bookmarkStart w:id="2378" w:name="_Toc151994468"/>
      <w:bookmarkStart w:id="2379" w:name="_Toc158712978"/>
      <w:r w:rsidRPr="000D40D5">
        <w:rPr>
          <w:rStyle w:val="CharDivNo"/>
        </w:rPr>
        <w:lastRenderedPageBreak/>
        <w:t>Division 7</w:t>
      </w:r>
      <w:r w:rsidRPr="00D97EFB">
        <w:rPr>
          <w:color w:val="000000"/>
        </w:rPr>
        <w:t>—</w:t>
      </w:r>
      <w:r w:rsidRPr="000D40D5">
        <w:rPr>
          <w:rStyle w:val="CharDivText"/>
        </w:rPr>
        <w:t>Decisions about membership of futures exchange</w:t>
      </w:r>
      <w:bookmarkEnd w:id="2378"/>
      <w:bookmarkEnd w:id="2379"/>
    </w:p>
    <w:p w14:paraId="5EADF1FC" w14:textId="77777777" w:rsidR="00E93F58" w:rsidRPr="00D97EFB" w:rsidRDefault="00E93F58" w:rsidP="00BB7E31">
      <w:pPr>
        <w:pStyle w:val="ActHead5"/>
      </w:pPr>
      <w:bookmarkStart w:id="2380" w:name="_Toc151994469"/>
      <w:bookmarkStart w:id="2381" w:name="_Toc158712979"/>
      <w:r w:rsidRPr="000D40D5">
        <w:rPr>
          <w:rStyle w:val="CharSectno"/>
        </w:rPr>
        <w:t>10.2.23</w:t>
      </w:r>
      <w:r w:rsidRPr="00D97EFB">
        <w:t xml:space="preserve">  Status of notice to applicant</w:t>
      </w:r>
      <w:bookmarkEnd w:id="2380"/>
      <w:bookmarkEnd w:id="2381"/>
    </w:p>
    <w:p w14:paraId="52294AE7" w14:textId="77777777" w:rsidR="00E93F58" w:rsidRPr="00D97EFB" w:rsidRDefault="00E93F58" w:rsidP="00BB7E31">
      <w:pPr>
        <w:pStyle w:val="subsection"/>
      </w:pPr>
      <w:r w:rsidRPr="00D97EFB">
        <w:tab/>
        <w:t>(1)</w:t>
      </w:r>
      <w:r w:rsidRPr="00D97EFB">
        <w:tab/>
        <w:t>This regulation applies if:</w:t>
      </w:r>
    </w:p>
    <w:p w14:paraId="152B7183" w14:textId="77777777" w:rsidR="00E93F58" w:rsidRPr="00D97EFB" w:rsidRDefault="00E93F58" w:rsidP="00BB7E31">
      <w:pPr>
        <w:pStyle w:val="paragraph"/>
      </w:pPr>
      <w:r w:rsidRPr="00D97EFB">
        <w:rPr>
          <w:color w:val="000000"/>
        </w:rPr>
        <w:tab/>
        <w:t>(a)</w:t>
      </w:r>
      <w:r w:rsidRPr="00D97EFB">
        <w:rPr>
          <w:color w:val="000000"/>
        </w:rPr>
        <w:tab/>
        <w:t>a futures exchange was required, before the FSR commencement, to give an applicant for membership of the futures exchange a notice under subsection 1135(1) of the old Corporations Act; and</w:t>
      </w:r>
    </w:p>
    <w:p w14:paraId="3EAE7027" w14:textId="77777777" w:rsidR="00E93F58" w:rsidRPr="00D97EFB" w:rsidRDefault="00E93F58" w:rsidP="00BB7E31">
      <w:pPr>
        <w:pStyle w:val="paragraph"/>
      </w:pPr>
      <w:r w:rsidRPr="00D97EFB">
        <w:tab/>
        <w:t>(b)</w:t>
      </w:r>
      <w:r w:rsidRPr="00D97EFB">
        <w:tab/>
        <w:t>the futures exchange had not complied with the requirement before the FSR commencement; and</w:t>
      </w:r>
    </w:p>
    <w:p w14:paraId="45115F89" w14:textId="77777777" w:rsidR="00E93F58" w:rsidRPr="00D97EFB" w:rsidRDefault="00E93F58" w:rsidP="00BB7E31">
      <w:pPr>
        <w:pStyle w:val="paragraph"/>
      </w:pPr>
      <w:r w:rsidRPr="00D97EFB">
        <w:tab/>
        <w:t>(c)</w:t>
      </w:r>
      <w:r w:rsidRPr="00D97EFB">
        <w:tab/>
        <w:t>the period for compliance had not expired before the FSR commencement.</w:t>
      </w:r>
    </w:p>
    <w:p w14:paraId="468ADCAB" w14:textId="77777777" w:rsidR="00E93F58" w:rsidRPr="00D97EFB" w:rsidRDefault="00E93F58" w:rsidP="00BB7E31">
      <w:pPr>
        <w:pStyle w:val="subsection"/>
      </w:pPr>
      <w:r w:rsidRPr="00D97EFB">
        <w:rPr>
          <w:color w:val="000000"/>
        </w:rPr>
        <w:tab/>
        <w:t>(2)</w:t>
      </w:r>
      <w:r w:rsidRPr="00D97EFB">
        <w:rPr>
          <w:color w:val="000000"/>
        </w:rPr>
        <w:tab/>
        <w:t>On and after the FSR commencement, subsection 1135(1) of the old Corporations Act, as in force immediately before the FSR commencement, continues to have effect in relation to the futures exchange in its capacity as a market licensee.</w:t>
      </w:r>
    </w:p>
    <w:p w14:paraId="5840540D" w14:textId="77777777" w:rsidR="00E93F58" w:rsidRPr="00D97EFB" w:rsidRDefault="00E93F58" w:rsidP="00BB7E31">
      <w:pPr>
        <w:pStyle w:val="ActHead5"/>
      </w:pPr>
      <w:bookmarkStart w:id="2382" w:name="_Toc151994470"/>
      <w:bookmarkStart w:id="2383" w:name="_Toc158712980"/>
      <w:r w:rsidRPr="000D40D5">
        <w:rPr>
          <w:rStyle w:val="CharSectno"/>
        </w:rPr>
        <w:t>10.2.24</w:t>
      </w:r>
      <w:r w:rsidRPr="00D97EFB">
        <w:t xml:space="preserve">  Status of notice to ASIC</w:t>
      </w:r>
      <w:bookmarkEnd w:id="2382"/>
      <w:bookmarkEnd w:id="2383"/>
    </w:p>
    <w:p w14:paraId="36E55EF3" w14:textId="77777777" w:rsidR="00E93F58" w:rsidRPr="00D97EFB" w:rsidRDefault="00E93F58" w:rsidP="00BB7E31">
      <w:pPr>
        <w:pStyle w:val="subsection"/>
      </w:pPr>
      <w:r w:rsidRPr="00D97EFB">
        <w:tab/>
        <w:t>(1)</w:t>
      </w:r>
      <w:r w:rsidRPr="00D97EFB">
        <w:tab/>
        <w:t>This regulation applies if:</w:t>
      </w:r>
    </w:p>
    <w:p w14:paraId="18785D28" w14:textId="77777777" w:rsidR="00E93F58" w:rsidRPr="00D97EFB" w:rsidRDefault="00E93F58" w:rsidP="00BB7E31">
      <w:pPr>
        <w:pStyle w:val="paragraph"/>
      </w:pPr>
      <w:r w:rsidRPr="00D97EFB">
        <w:rPr>
          <w:color w:val="000000"/>
        </w:rPr>
        <w:tab/>
        <w:t>(a)</w:t>
      </w:r>
      <w:r w:rsidRPr="00D97EFB">
        <w:rPr>
          <w:color w:val="000000"/>
        </w:rPr>
        <w:tab/>
        <w:t>a futures exchange was required, before the FSR commencement, to give ASIC a notice under subsection 1135(1) of the old Corporations Act; and</w:t>
      </w:r>
    </w:p>
    <w:p w14:paraId="5C9A88F1" w14:textId="77777777" w:rsidR="00E93F58" w:rsidRPr="00D97EFB" w:rsidRDefault="00E93F58" w:rsidP="00BB7E31">
      <w:pPr>
        <w:pStyle w:val="paragraph"/>
      </w:pPr>
      <w:r w:rsidRPr="00D97EFB">
        <w:tab/>
        <w:t>(b)</w:t>
      </w:r>
      <w:r w:rsidRPr="00D97EFB">
        <w:tab/>
        <w:t>the futures exchange had not complied with the requirement before the FSR commencement; and</w:t>
      </w:r>
    </w:p>
    <w:p w14:paraId="2F847558" w14:textId="77777777" w:rsidR="00E93F58" w:rsidRPr="00D97EFB" w:rsidRDefault="00E93F58" w:rsidP="00BB7E31">
      <w:pPr>
        <w:pStyle w:val="paragraph"/>
      </w:pPr>
      <w:r w:rsidRPr="00D97EFB">
        <w:tab/>
        <w:t>(c)</w:t>
      </w:r>
      <w:r w:rsidRPr="00D97EFB">
        <w:tab/>
        <w:t>the period for compliance had not expired before the FSR commencement.</w:t>
      </w:r>
    </w:p>
    <w:p w14:paraId="07968B1C" w14:textId="77777777" w:rsidR="00E93F58" w:rsidRPr="00D97EFB" w:rsidRDefault="00E93F58" w:rsidP="00BB7E31">
      <w:pPr>
        <w:pStyle w:val="subsection"/>
      </w:pPr>
      <w:r w:rsidRPr="00D97EFB">
        <w:rPr>
          <w:color w:val="000000"/>
        </w:rPr>
        <w:tab/>
        <w:t>(2)</w:t>
      </w:r>
      <w:r w:rsidRPr="00D97EFB">
        <w:rPr>
          <w:color w:val="000000"/>
        </w:rPr>
        <w:tab/>
        <w:t>On and after the FSR commencement, subsection 1135(1) of the old Corporations Act, as in force immediately before the FSR commencement, continues to have effect in relation to the futures exchange in its capacity as a market licensee.</w:t>
      </w:r>
    </w:p>
    <w:p w14:paraId="3563785B" w14:textId="77777777" w:rsidR="00E93F58" w:rsidRPr="00D97EFB" w:rsidRDefault="00E93F58" w:rsidP="00C0664B">
      <w:pPr>
        <w:pStyle w:val="ActHead3"/>
        <w:pageBreakBefore/>
      </w:pPr>
      <w:bookmarkStart w:id="2384" w:name="_Toc151994471"/>
      <w:bookmarkStart w:id="2385" w:name="_Toc158712981"/>
      <w:r w:rsidRPr="000D40D5">
        <w:rPr>
          <w:rStyle w:val="CharDivNo"/>
        </w:rPr>
        <w:lastRenderedPageBreak/>
        <w:t>Division 8</w:t>
      </w:r>
      <w:r w:rsidRPr="00D97EFB">
        <w:t>—</w:t>
      </w:r>
      <w:r w:rsidRPr="000D40D5">
        <w:rPr>
          <w:rStyle w:val="CharDivText"/>
        </w:rPr>
        <w:t>National Guarantee Fund</w:t>
      </w:r>
      <w:bookmarkEnd w:id="2384"/>
      <w:bookmarkEnd w:id="2385"/>
    </w:p>
    <w:p w14:paraId="440D03F7" w14:textId="77777777" w:rsidR="00E93F58" w:rsidRPr="00D97EFB" w:rsidRDefault="00E93F58" w:rsidP="00BB7E31">
      <w:pPr>
        <w:pStyle w:val="ActHead5"/>
      </w:pPr>
      <w:bookmarkStart w:id="2386" w:name="_Toc151994472"/>
      <w:bookmarkStart w:id="2387" w:name="_Toc158712982"/>
      <w:r w:rsidRPr="000D40D5">
        <w:rPr>
          <w:rStyle w:val="CharSectno"/>
        </w:rPr>
        <w:t>10.2.25</w:t>
      </w:r>
      <w:r w:rsidRPr="00D97EFB">
        <w:t xml:space="preserve">  Status of claim against the National Guarantee Fund</w:t>
      </w:r>
      <w:bookmarkEnd w:id="2386"/>
      <w:bookmarkEnd w:id="2387"/>
    </w:p>
    <w:p w14:paraId="425DEA74" w14:textId="77777777" w:rsidR="00E93F58" w:rsidRPr="00D97EFB" w:rsidRDefault="00E93F58" w:rsidP="00BB7E31">
      <w:pPr>
        <w:pStyle w:val="subsection"/>
      </w:pPr>
      <w:r w:rsidRPr="00D97EFB">
        <w:tab/>
        <w:t>(1)</w:t>
      </w:r>
      <w:r w:rsidRPr="00D97EFB">
        <w:tab/>
        <w:t>This regulation applies if:</w:t>
      </w:r>
    </w:p>
    <w:p w14:paraId="27F8482C" w14:textId="77777777" w:rsidR="00E93F58" w:rsidRPr="00D97EFB" w:rsidRDefault="00E93F58" w:rsidP="00BB7E31">
      <w:pPr>
        <w:pStyle w:val="paragraph"/>
      </w:pPr>
      <w:r w:rsidRPr="00D97EFB">
        <w:tab/>
        <w:t>(a)</w:t>
      </w:r>
      <w:r w:rsidRPr="00D97EFB">
        <w:tab/>
        <w:t>a person made a claim in relation to a matter, before the FSR commencement, under a provision of any of the following Divisions of the old Corporations Act:</w:t>
      </w:r>
    </w:p>
    <w:p w14:paraId="7AF58644" w14:textId="77777777" w:rsidR="00E93F58" w:rsidRPr="00D97EFB" w:rsidRDefault="00E93F58" w:rsidP="00BB7E31">
      <w:pPr>
        <w:pStyle w:val="paragraphsub"/>
        <w:rPr>
          <w:color w:val="000000"/>
        </w:rPr>
      </w:pPr>
      <w:r w:rsidRPr="00D97EFB">
        <w:rPr>
          <w:color w:val="000000"/>
        </w:rPr>
        <w:tab/>
        <w:t>(i)</w:t>
      </w:r>
      <w:r w:rsidRPr="00D97EFB">
        <w:rPr>
          <w:color w:val="000000"/>
        </w:rPr>
        <w:tab/>
        <w:t>Division 6 of Part 7.10 (dealing with contract guarantees);</w:t>
      </w:r>
    </w:p>
    <w:p w14:paraId="382CC714" w14:textId="77777777" w:rsidR="00E93F58" w:rsidRPr="00D97EFB" w:rsidRDefault="00E93F58" w:rsidP="00BB7E31">
      <w:pPr>
        <w:pStyle w:val="paragraphsub"/>
      </w:pPr>
      <w:r w:rsidRPr="00D97EFB">
        <w:tab/>
        <w:t>(ii)</w:t>
      </w:r>
      <w:r w:rsidRPr="00D97EFB">
        <w:tab/>
        <w:t>Division 6A of Part 7.10 (dealing with securities loans guarantees);</w:t>
      </w:r>
    </w:p>
    <w:p w14:paraId="28DE2528" w14:textId="77777777" w:rsidR="00E93F58" w:rsidRPr="00D97EFB" w:rsidRDefault="00E93F58" w:rsidP="00BB7E31">
      <w:pPr>
        <w:pStyle w:val="paragraphsub"/>
      </w:pPr>
      <w:r w:rsidRPr="00D97EFB">
        <w:tab/>
        <w:t>(iii)</w:t>
      </w:r>
      <w:r w:rsidRPr="00D97EFB">
        <w:tab/>
        <w:t>Division 6B of Part 7.10 (dealing with net obligations);</w:t>
      </w:r>
    </w:p>
    <w:p w14:paraId="6D442FAB" w14:textId="77777777" w:rsidR="00E93F58" w:rsidRPr="00D97EFB" w:rsidRDefault="00E93F58" w:rsidP="00BB7E31">
      <w:pPr>
        <w:pStyle w:val="paragraphsub"/>
      </w:pPr>
      <w:r w:rsidRPr="00D97EFB">
        <w:tab/>
        <w:t>(iv)</w:t>
      </w:r>
      <w:r w:rsidRPr="00D97EFB">
        <w:tab/>
        <w:t>Division 6C of Part 7.10 (dealing with transfer service delivery guarantees);</w:t>
      </w:r>
    </w:p>
    <w:p w14:paraId="6BE59F8A" w14:textId="77777777" w:rsidR="00E93F58" w:rsidRPr="00D97EFB" w:rsidRDefault="00E93F58" w:rsidP="00BB7E31">
      <w:pPr>
        <w:pStyle w:val="paragraphsub"/>
      </w:pPr>
      <w:r w:rsidRPr="00D97EFB">
        <w:tab/>
        <w:t>(v)</w:t>
      </w:r>
      <w:r w:rsidRPr="00D97EFB">
        <w:tab/>
        <w:t>Division 7 of Part 7.10 (dealing with unauthorised transfer);</w:t>
      </w:r>
    </w:p>
    <w:p w14:paraId="63266B0A" w14:textId="77777777" w:rsidR="00E93F58" w:rsidRPr="00D97EFB" w:rsidRDefault="00E93F58" w:rsidP="00BB7E31">
      <w:pPr>
        <w:pStyle w:val="paragraphsub"/>
      </w:pPr>
      <w:r w:rsidRPr="00D97EFB">
        <w:tab/>
        <w:t>(vi)</w:t>
      </w:r>
      <w:r w:rsidRPr="00D97EFB">
        <w:tab/>
        <w:t>Division 7A of Part 7.10 (dealing with contraventions of SCH certificate cancellation provisions);</w:t>
      </w:r>
    </w:p>
    <w:p w14:paraId="53E54CDA" w14:textId="77777777" w:rsidR="00E93F58" w:rsidRPr="00D97EFB" w:rsidRDefault="00E93F58" w:rsidP="00BB7E31">
      <w:pPr>
        <w:pStyle w:val="paragraphsub"/>
      </w:pPr>
      <w:r w:rsidRPr="00D97EFB">
        <w:tab/>
        <w:t>(vii)</w:t>
      </w:r>
      <w:r w:rsidRPr="00D97EFB">
        <w:tab/>
        <w:t>Division 8 of Part 7.10 (dealing with insolvent members); and</w:t>
      </w:r>
    </w:p>
    <w:p w14:paraId="1EC22874" w14:textId="77777777" w:rsidR="00E93F58" w:rsidRPr="00D97EFB" w:rsidRDefault="00E93F58" w:rsidP="00BB7E31">
      <w:pPr>
        <w:pStyle w:val="paragraph"/>
      </w:pPr>
      <w:r w:rsidRPr="00D97EFB">
        <w:rPr>
          <w:color w:val="000000"/>
        </w:rPr>
        <w:tab/>
        <w:t>(b)</w:t>
      </w:r>
      <w:r w:rsidRPr="00D97EFB">
        <w:rPr>
          <w:color w:val="000000"/>
        </w:rPr>
        <w:tab/>
        <w:t>the claim had not been withdrawn, or finally determined in accordance with the old Corporations Act, before the FSR commencement.</w:t>
      </w:r>
    </w:p>
    <w:p w14:paraId="1996BB24" w14:textId="77777777" w:rsidR="00E93F58" w:rsidRPr="00D97EFB" w:rsidRDefault="00E93F58" w:rsidP="00BB7E31">
      <w:pPr>
        <w:pStyle w:val="subsection"/>
      </w:pPr>
      <w:r w:rsidRPr="00D97EFB">
        <w:tab/>
        <w:t>(2)</w:t>
      </w:r>
      <w:r w:rsidRPr="00D97EFB">
        <w:tab/>
        <w:t>On and after the FSR commencement:</w:t>
      </w:r>
    </w:p>
    <w:p w14:paraId="4696151E" w14:textId="77777777" w:rsidR="00E93F58" w:rsidRPr="00D97EFB" w:rsidRDefault="00E93F58" w:rsidP="00BB7E31">
      <w:pPr>
        <w:pStyle w:val="paragraph"/>
      </w:pPr>
      <w:r w:rsidRPr="00D97EFB">
        <w:rPr>
          <w:color w:val="000000"/>
        </w:rPr>
        <w:tab/>
        <w:t>(a)</w:t>
      </w:r>
      <w:r w:rsidRPr="00D97EFB">
        <w:rPr>
          <w:color w:val="000000"/>
        </w:rPr>
        <w:tab/>
      </w:r>
      <w:r w:rsidRPr="00D97EFB">
        <w:t>Division 1, and Divisions 6 to 9,</w:t>
      </w:r>
      <w:r w:rsidRPr="00D97EFB">
        <w:rPr>
          <w:color w:val="000000"/>
        </w:rPr>
        <w:t xml:space="preserve"> of Part 7.10 of the old Corporations Act continue to have effect in relation to the claim; and</w:t>
      </w:r>
    </w:p>
    <w:p w14:paraId="06B4ECDB" w14:textId="77777777" w:rsidR="00E93F58" w:rsidRPr="00D97EFB" w:rsidRDefault="00E93F58" w:rsidP="00BB7E31">
      <w:pPr>
        <w:pStyle w:val="paragraph"/>
      </w:pPr>
      <w:r w:rsidRPr="00D97EFB">
        <w:tab/>
        <w:t>(b)</w:t>
      </w:r>
      <w:r w:rsidRPr="00D97EFB">
        <w:tab/>
        <w:t>regulations made for Part 7.10 of the old Corporations Act, as in force immediately before the FSR commencement, continue to have effect in relation to the claim; and</w:t>
      </w:r>
    </w:p>
    <w:p w14:paraId="65EF2F93" w14:textId="77777777" w:rsidR="00E93F58" w:rsidRPr="00D97EFB" w:rsidRDefault="00E93F58" w:rsidP="00BB7E31">
      <w:pPr>
        <w:pStyle w:val="paragraph"/>
      </w:pPr>
      <w:r w:rsidRPr="00D97EFB">
        <w:tab/>
        <w:t>(c)</w:t>
      </w:r>
      <w:r w:rsidRPr="00D97EFB">
        <w:tab/>
        <w:t>Part 7.5 of the Act has effect in relation to a matter to which paragraphs (a) and (b) do not apply.</w:t>
      </w:r>
    </w:p>
    <w:p w14:paraId="24010614" w14:textId="77777777" w:rsidR="00E93F58" w:rsidRPr="00D97EFB" w:rsidRDefault="00E93F58" w:rsidP="000A7E3B">
      <w:pPr>
        <w:pStyle w:val="ActHead5"/>
      </w:pPr>
      <w:bookmarkStart w:id="2388" w:name="_Toc151994473"/>
      <w:bookmarkStart w:id="2389" w:name="_Toc158712983"/>
      <w:r w:rsidRPr="000D40D5">
        <w:rPr>
          <w:rStyle w:val="CharSectno"/>
        </w:rPr>
        <w:t>10.2.26</w:t>
      </w:r>
      <w:r w:rsidRPr="00D97EFB">
        <w:t xml:space="preserve">  Entitlement to make claim against the National Guarantee Fund</w:t>
      </w:r>
      <w:bookmarkEnd w:id="2388"/>
      <w:bookmarkEnd w:id="2389"/>
    </w:p>
    <w:p w14:paraId="5652E16A" w14:textId="77777777" w:rsidR="00E93F58" w:rsidRPr="00D97EFB" w:rsidRDefault="00E93F58" w:rsidP="000A7E3B">
      <w:pPr>
        <w:pStyle w:val="subsection"/>
        <w:keepNext/>
        <w:keepLines/>
      </w:pPr>
      <w:r w:rsidRPr="00D97EFB">
        <w:tab/>
        <w:t>(1)</w:t>
      </w:r>
      <w:r w:rsidRPr="00D97EFB">
        <w:tab/>
        <w:t>This regulation applies if:</w:t>
      </w:r>
    </w:p>
    <w:p w14:paraId="449E8988" w14:textId="77777777" w:rsidR="00E93F58" w:rsidRPr="00D97EFB" w:rsidRDefault="00E93F58" w:rsidP="000A7E3B">
      <w:pPr>
        <w:pStyle w:val="paragraph"/>
        <w:keepNext/>
        <w:keepLines/>
      </w:pPr>
      <w:r w:rsidRPr="00D97EFB">
        <w:tab/>
        <w:t>(a)</w:t>
      </w:r>
      <w:r w:rsidRPr="00D97EFB">
        <w:tab/>
        <w:t>a person could have made a claim in relation to a matter, before the FSR commencement, under a provision of any of the following Divisions of the old Corporations Act:</w:t>
      </w:r>
    </w:p>
    <w:p w14:paraId="110F0113" w14:textId="77777777" w:rsidR="00E93F58" w:rsidRPr="00D97EFB" w:rsidRDefault="00E93F58" w:rsidP="00BB7E31">
      <w:pPr>
        <w:pStyle w:val="paragraphsub"/>
        <w:rPr>
          <w:color w:val="000000"/>
        </w:rPr>
      </w:pPr>
      <w:r w:rsidRPr="00D97EFB">
        <w:rPr>
          <w:color w:val="000000"/>
        </w:rPr>
        <w:tab/>
        <w:t>(i)</w:t>
      </w:r>
      <w:r w:rsidRPr="00D97EFB">
        <w:rPr>
          <w:color w:val="000000"/>
        </w:rPr>
        <w:tab/>
        <w:t>Division 6 of Part 7.10 (dealing with contract guarantees);</w:t>
      </w:r>
    </w:p>
    <w:p w14:paraId="07A8E124" w14:textId="77777777" w:rsidR="00E93F58" w:rsidRPr="00D97EFB" w:rsidRDefault="00E93F58" w:rsidP="00BB7E31">
      <w:pPr>
        <w:pStyle w:val="paragraphsub"/>
      </w:pPr>
      <w:r w:rsidRPr="00D97EFB">
        <w:tab/>
        <w:t>(ii)</w:t>
      </w:r>
      <w:r w:rsidRPr="00D97EFB">
        <w:tab/>
        <w:t>Division 6A of Part 7.10 (dealing with securities loans guarantees);</w:t>
      </w:r>
    </w:p>
    <w:p w14:paraId="74D1CE22" w14:textId="77777777" w:rsidR="00E93F58" w:rsidRPr="00D97EFB" w:rsidRDefault="00E93F58" w:rsidP="00BB7E31">
      <w:pPr>
        <w:pStyle w:val="paragraphsub"/>
      </w:pPr>
      <w:r w:rsidRPr="00D97EFB">
        <w:tab/>
        <w:t>(iii)</w:t>
      </w:r>
      <w:r w:rsidRPr="00D97EFB">
        <w:tab/>
        <w:t>Division 6B of Part 7.10 (dealing with net obligations);</w:t>
      </w:r>
    </w:p>
    <w:p w14:paraId="2FDDE710" w14:textId="77777777" w:rsidR="00E93F58" w:rsidRPr="00D97EFB" w:rsidRDefault="00E93F58" w:rsidP="00BB7E31">
      <w:pPr>
        <w:pStyle w:val="paragraphsub"/>
      </w:pPr>
      <w:r w:rsidRPr="00D97EFB">
        <w:tab/>
        <w:t>(iv)</w:t>
      </w:r>
      <w:r w:rsidRPr="00D97EFB">
        <w:tab/>
        <w:t>Division 6C of Part 7.10 (dealing with transfer service delivery guarantees);</w:t>
      </w:r>
    </w:p>
    <w:p w14:paraId="6EF61C43" w14:textId="77777777" w:rsidR="00E93F58" w:rsidRPr="00D97EFB" w:rsidRDefault="00E93F58" w:rsidP="00BB7E31">
      <w:pPr>
        <w:pStyle w:val="paragraphsub"/>
      </w:pPr>
      <w:r w:rsidRPr="00D97EFB">
        <w:tab/>
        <w:t>(v)</w:t>
      </w:r>
      <w:r w:rsidRPr="00D97EFB">
        <w:tab/>
        <w:t>Division 7 of Part 7.10 (dealing with unauthorised transfer);</w:t>
      </w:r>
    </w:p>
    <w:p w14:paraId="72A7332B" w14:textId="77777777" w:rsidR="00E93F58" w:rsidRPr="00D97EFB" w:rsidRDefault="00E93F58" w:rsidP="00BB7E31">
      <w:pPr>
        <w:pStyle w:val="paragraphsub"/>
      </w:pPr>
      <w:r w:rsidRPr="00D97EFB">
        <w:tab/>
        <w:t>(vi)</w:t>
      </w:r>
      <w:r w:rsidRPr="00D97EFB">
        <w:tab/>
        <w:t>Division 7A of Part 7.10 (dealing with contraventions of SCH certificate cancellation provisions);</w:t>
      </w:r>
    </w:p>
    <w:p w14:paraId="1362EA24" w14:textId="77777777" w:rsidR="00E93F58" w:rsidRPr="00D97EFB" w:rsidRDefault="00E93F58" w:rsidP="00BB7E31">
      <w:pPr>
        <w:pStyle w:val="paragraphsub"/>
      </w:pPr>
      <w:r w:rsidRPr="00D97EFB">
        <w:tab/>
        <w:t>(vii)</w:t>
      </w:r>
      <w:r w:rsidRPr="00D97EFB">
        <w:tab/>
        <w:t>Division 8 of Part 7.10 (dealing with insolvent members); and</w:t>
      </w:r>
    </w:p>
    <w:p w14:paraId="54BD21BF" w14:textId="77777777" w:rsidR="00E93F58" w:rsidRPr="00D97EFB" w:rsidRDefault="00E93F58" w:rsidP="00BB7E31">
      <w:pPr>
        <w:pStyle w:val="paragraph"/>
      </w:pPr>
      <w:r w:rsidRPr="00D97EFB">
        <w:rPr>
          <w:color w:val="000000"/>
        </w:rPr>
        <w:tab/>
        <w:t>(b)</w:t>
      </w:r>
      <w:r w:rsidRPr="00D97EFB">
        <w:rPr>
          <w:color w:val="000000"/>
        </w:rPr>
        <w:tab/>
        <w:t>the person did not make the claim before the FSR commencement.</w:t>
      </w:r>
    </w:p>
    <w:p w14:paraId="76C47ED7" w14:textId="77777777" w:rsidR="00E93F58" w:rsidRPr="00D97EFB" w:rsidRDefault="00E93F58" w:rsidP="00BB7E31">
      <w:pPr>
        <w:pStyle w:val="subsection"/>
      </w:pPr>
      <w:r w:rsidRPr="00D97EFB">
        <w:tab/>
        <w:t>(2)</w:t>
      </w:r>
      <w:r w:rsidRPr="00D97EFB">
        <w:tab/>
        <w:t>On and after the FSR commencement:</w:t>
      </w:r>
    </w:p>
    <w:p w14:paraId="6B42F1DE" w14:textId="77777777" w:rsidR="00E93F58" w:rsidRPr="00D97EFB" w:rsidRDefault="00E93F58" w:rsidP="00BB7E31">
      <w:pPr>
        <w:pStyle w:val="paragraph"/>
      </w:pPr>
      <w:r w:rsidRPr="00D97EFB">
        <w:rPr>
          <w:color w:val="000000"/>
        </w:rPr>
        <w:tab/>
        <w:t>(a)</w:t>
      </w:r>
      <w:r w:rsidRPr="00D97EFB">
        <w:rPr>
          <w:color w:val="000000"/>
        </w:rPr>
        <w:tab/>
      </w:r>
      <w:r w:rsidRPr="00D97EFB">
        <w:t>Division 1, and Divisions 6 to 9,</w:t>
      </w:r>
      <w:r w:rsidRPr="00D97EFB">
        <w:rPr>
          <w:color w:val="000000"/>
        </w:rPr>
        <w:t xml:space="preserve"> of Part 7.10 of the old Corporations Act continue to have effect in relation to the person; and</w:t>
      </w:r>
    </w:p>
    <w:p w14:paraId="0245C3EB" w14:textId="77777777" w:rsidR="00E93F58" w:rsidRPr="00D97EFB" w:rsidRDefault="00E93F58" w:rsidP="00BB7E31">
      <w:pPr>
        <w:pStyle w:val="paragraph"/>
      </w:pPr>
      <w:r w:rsidRPr="00D97EFB">
        <w:tab/>
        <w:t>(b)</w:t>
      </w:r>
      <w:r w:rsidRPr="00D97EFB">
        <w:tab/>
        <w:t>regulations made for Part 7.10 of the old Corporations Act continue to have effect in relation to the person; and</w:t>
      </w:r>
    </w:p>
    <w:p w14:paraId="4979C1FF" w14:textId="77777777" w:rsidR="00E93F58" w:rsidRPr="00D97EFB" w:rsidRDefault="00E93F58" w:rsidP="00BB7E31">
      <w:pPr>
        <w:pStyle w:val="paragraph"/>
      </w:pPr>
      <w:r w:rsidRPr="00D97EFB">
        <w:tab/>
        <w:t>(c)</w:t>
      </w:r>
      <w:r w:rsidRPr="00D97EFB">
        <w:tab/>
        <w:t>Part 7.5 of the Act has effect in relation to a matter to which paragraphs (a) and (b) do not apply.</w:t>
      </w:r>
    </w:p>
    <w:p w14:paraId="5F14333F" w14:textId="77777777" w:rsidR="00E93F58" w:rsidRPr="00D97EFB" w:rsidRDefault="00E93F58" w:rsidP="00BB7E31">
      <w:pPr>
        <w:pStyle w:val="subsection"/>
      </w:pPr>
      <w:r w:rsidRPr="00D97EFB">
        <w:tab/>
        <w:t>(3)</w:t>
      </w:r>
      <w:r w:rsidRPr="00D97EFB">
        <w:tab/>
        <w:t>However, the person cannot make a claim under section 949 or 950, or Division 6A, 6B or 6C of Part 7.10, of the old Corporations Act after 30 September 2005.</w:t>
      </w:r>
    </w:p>
    <w:p w14:paraId="24FEE00A" w14:textId="77777777" w:rsidR="00E93F58" w:rsidRPr="00D97EFB" w:rsidRDefault="00E93F58" w:rsidP="000A7E3B">
      <w:pPr>
        <w:pStyle w:val="ActHead5"/>
      </w:pPr>
      <w:bookmarkStart w:id="2390" w:name="_Toc151994474"/>
      <w:bookmarkStart w:id="2391" w:name="_Toc158712984"/>
      <w:r w:rsidRPr="000D40D5">
        <w:rPr>
          <w:rStyle w:val="CharSectno"/>
        </w:rPr>
        <w:t>10.2.27</w:t>
      </w:r>
      <w:r w:rsidRPr="00D97EFB">
        <w:t xml:space="preserve">  Status of future claim against the National Guarantee Fund</w:t>
      </w:r>
      <w:bookmarkEnd w:id="2390"/>
      <w:bookmarkEnd w:id="2391"/>
    </w:p>
    <w:p w14:paraId="60E5A58A" w14:textId="77777777" w:rsidR="00E93F58" w:rsidRPr="00D97EFB" w:rsidRDefault="00E93F58" w:rsidP="000A7E3B">
      <w:pPr>
        <w:pStyle w:val="subsection"/>
        <w:keepNext/>
        <w:keepLines/>
      </w:pPr>
      <w:r w:rsidRPr="00D97EFB">
        <w:tab/>
        <w:t>(1)</w:t>
      </w:r>
      <w:r w:rsidRPr="00D97EFB">
        <w:tab/>
        <w:t>This regulation applies if:</w:t>
      </w:r>
    </w:p>
    <w:p w14:paraId="650C8B07" w14:textId="77777777" w:rsidR="00E93F58" w:rsidRPr="00D97EFB" w:rsidRDefault="00E93F58" w:rsidP="000A7E3B">
      <w:pPr>
        <w:pStyle w:val="paragraph"/>
        <w:keepNext/>
        <w:keepLines/>
      </w:pPr>
      <w:r w:rsidRPr="00D97EFB">
        <w:rPr>
          <w:color w:val="000000"/>
        </w:rPr>
        <w:tab/>
        <w:t>(a)</w:t>
      </w:r>
      <w:r w:rsidRPr="00D97EFB">
        <w:rPr>
          <w:color w:val="000000"/>
        </w:rPr>
        <w:tab/>
        <w:t>a matter related to conduct that occurred before the FSR commencement; and</w:t>
      </w:r>
    </w:p>
    <w:p w14:paraId="2D3E7AF6" w14:textId="77777777" w:rsidR="00E93F58" w:rsidRPr="00D97EFB" w:rsidRDefault="00E93F58" w:rsidP="000A7E3B">
      <w:pPr>
        <w:pStyle w:val="paragraph"/>
        <w:keepNext/>
        <w:keepLines/>
      </w:pPr>
      <w:r w:rsidRPr="00D97EFB">
        <w:tab/>
        <w:t>(b)</w:t>
      </w:r>
      <w:r w:rsidRPr="00D97EFB">
        <w:tab/>
        <w:t>a person could, if Part 7.10 of the old Corporations Act had not been repealed, have made a claim in relation to the matter under any of the following Divisions of the old Corporations Act on or after the FSR commencement:</w:t>
      </w:r>
    </w:p>
    <w:p w14:paraId="51000D07" w14:textId="77777777" w:rsidR="00E93F58" w:rsidRPr="00D97EFB" w:rsidRDefault="00E93F58" w:rsidP="00BB7E31">
      <w:pPr>
        <w:pStyle w:val="paragraphsub"/>
        <w:rPr>
          <w:color w:val="000000"/>
        </w:rPr>
      </w:pPr>
      <w:r w:rsidRPr="00D97EFB">
        <w:rPr>
          <w:color w:val="000000"/>
        </w:rPr>
        <w:tab/>
        <w:t>(i)</w:t>
      </w:r>
      <w:r w:rsidRPr="00D97EFB">
        <w:rPr>
          <w:color w:val="000000"/>
        </w:rPr>
        <w:tab/>
        <w:t>Division 6 of Part 7.10 (dealing with contract guarantees);</w:t>
      </w:r>
    </w:p>
    <w:p w14:paraId="0A00A155" w14:textId="77777777" w:rsidR="00E93F58" w:rsidRPr="00D97EFB" w:rsidRDefault="00E93F58" w:rsidP="00BB7E31">
      <w:pPr>
        <w:pStyle w:val="paragraphsub"/>
      </w:pPr>
      <w:r w:rsidRPr="00D97EFB">
        <w:tab/>
        <w:t>(ii)</w:t>
      </w:r>
      <w:r w:rsidRPr="00D97EFB">
        <w:tab/>
        <w:t>Division 6A of Part 7.10 (dealing with securities loans guarantees);</w:t>
      </w:r>
    </w:p>
    <w:p w14:paraId="553A00E9" w14:textId="77777777" w:rsidR="00E93F58" w:rsidRPr="00D97EFB" w:rsidRDefault="00E93F58" w:rsidP="00BB7E31">
      <w:pPr>
        <w:pStyle w:val="paragraphsub"/>
      </w:pPr>
      <w:r w:rsidRPr="00D97EFB">
        <w:lastRenderedPageBreak/>
        <w:tab/>
        <w:t>(iii)</w:t>
      </w:r>
      <w:r w:rsidRPr="00D97EFB">
        <w:tab/>
        <w:t>Division 6B of Part 7.10 (dealing with net obligations);</w:t>
      </w:r>
    </w:p>
    <w:p w14:paraId="2D41CBFA" w14:textId="77777777" w:rsidR="00E93F58" w:rsidRPr="00D97EFB" w:rsidRDefault="00E93F58" w:rsidP="00BB7E31">
      <w:pPr>
        <w:pStyle w:val="paragraphsub"/>
      </w:pPr>
      <w:r w:rsidRPr="00D97EFB">
        <w:tab/>
        <w:t>(iv)</w:t>
      </w:r>
      <w:r w:rsidRPr="00D97EFB">
        <w:tab/>
        <w:t>Division 6C of Part 7.10 (dealing with transfer service delivery guarantees);</w:t>
      </w:r>
    </w:p>
    <w:p w14:paraId="503B0DC9" w14:textId="77777777" w:rsidR="00E93F58" w:rsidRPr="00D97EFB" w:rsidRDefault="00E93F58" w:rsidP="00BB7E31">
      <w:pPr>
        <w:pStyle w:val="paragraphsub"/>
      </w:pPr>
      <w:r w:rsidRPr="00D97EFB">
        <w:tab/>
        <w:t>(v)</w:t>
      </w:r>
      <w:r w:rsidRPr="00D97EFB">
        <w:tab/>
        <w:t>Division 7 of Part 7.10 (dealing with unauthorised transfer);</w:t>
      </w:r>
    </w:p>
    <w:p w14:paraId="048CBB4E" w14:textId="77777777" w:rsidR="00E93F58" w:rsidRPr="00D97EFB" w:rsidRDefault="00E93F58" w:rsidP="00BB7E31">
      <w:pPr>
        <w:pStyle w:val="paragraphsub"/>
      </w:pPr>
      <w:r w:rsidRPr="00D97EFB">
        <w:tab/>
        <w:t>(vi)</w:t>
      </w:r>
      <w:r w:rsidRPr="00D97EFB">
        <w:tab/>
        <w:t>Division 7A of Part 7.10 (dealing with contraventions of SCH certificate cancellation provisions);</w:t>
      </w:r>
    </w:p>
    <w:p w14:paraId="25FA464D" w14:textId="77777777" w:rsidR="00E93F58" w:rsidRPr="00D97EFB" w:rsidRDefault="00E93F58" w:rsidP="00BB7E31">
      <w:pPr>
        <w:pStyle w:val="paragraphsub"/>
      </w:pPr>
      <w:r w:rsidRPr="00D97EFB">
        <w:tab/>
        <w:t>(vii)</w:t>
      </w:r>
      <w:r w:rsidRPr="00D97EFB">
        <w:tab/>
        <w:t>Division 8 of Part 7.10 (dealing with insolvent members).</w:t>
      </w:r>
    </w:p>
    <w:p w14:paraId="0D67BCD6" w14:textId="77777777" w:rsidR="00E93F58" w:rsidRPr="00D97EFB" w:rsidRDefault="00E93F58" w:rsidP="00BB7E31">
      <w:pPr>
        <w:pStyle w:val="subsection"/>
      </w:pPr>
      <w:r w:rsidRPr="00D97EFB">
        <w:tab/>
        <w:t>(2)</w:t>
      </w:r>
      <w:r w:rsidRPr="00D97EFB">
        <w:tab/>
        <w:t>On and after the FSR commencement:</w:t>
      </w:r>
    </w:p>
    <w:p w14:paraId="5FC40E72" w14:textId="77777777" w:rsidR="00E93F58" w:rsidRPr="00D97EFB" w:rsidRDefault="00E93F58" w:rsidP="00BB7E31">
      <w:pPr>
        <w:pStyle w:val="paragraph"/>
      </w:pPr>
      <w:r w:rsidRPr="00D97EFB">
        <w:rPr>
          <w:color w:val="000000"/>
        </w:rPr>
        <w:tab/>
        <w:t>(a)</w:t>
      </w:r>
      <w:r w:rsidRPr="00D97EFB">
        <w:rPr>
          <w:color w:val="000000"/>
        </w:rPr>
        <w:tab/>
      </w:r>
      <w:r w:rsidRPr="00D97EFB">
        <w:t>Division 1, and Divisions 6 to 9,</w:t>
      </w:r>
      <w:r w:rsidRPr="00D97EFB">
        <w:rPr>
          <w:color w:val="000000"/>
        </w:rPr>
        <w:t xml:space="preserve"> of Part 7.10 of the old Corporations Act continue to have effect in relation to the matter and the person; and</w:t>
      </w:r>
    </w:p>
    <w:p w14:paraId="7F6B07CC" w14:textId="77777777" w:rsidR="00E93F58" w:rsidRPr="00D97EFB" w:rsidRDefault="00E93F58" w:rsidP="00BB7E31">
      <w:pPr>
        <w:pStyle w:val="paragraph"/>
      </w:pPr>
      <w:r w:rsidRPr="00D97EFB">
        <w:tab/>
        <w:t>(b)</w:t>
      </w:r>
      <w:r w:rsidRPr="00D97EFB">
        <w:tab/>
        <w:t>regulations made for Part 7.10 of the old Corporations Act continue to have effect in relation to the matter and the person; and</w:t>
      </w:r>
    </w:p>
    <w:p w14:paraId="48171BE3" w14:textId="77777777" w:rsidR="00E93F58" w:rsidRPr="00D97EFB" w:rsidRDefault="00E93F58" w:rsidP="00BB7E31">
      <w:pPr>
        <w:pStyle w:val="paragraph"/>
      </w:pPr>
      <w:r w:rsidRPr="00D97EFB">
        <w:tab/>
        <w:t>(c)</w:t>
      </w:r>
      <w:r w:rsidRPr="00D97EFB">
        <w:tab/>
        <w:t>Part 7.5 of the Act has effect in relation to a matter to which paragraphs (a) and (b) do not apply.</w:t>
      </w:r>
    </w:p>
    <w:p w14:paraId="3995BA31" w14:textId="77777777" w:rsidR="00E93F58" w:rsidRPr="00D97EFB" w:rsidRDefault="00E93F58" w:rsidP="00BB7E31">
      <w:pPr>
        <w:pStyle w:val="subsection"/>
      </w:pPr>
      <w:r w:rsidRPr="00D97EFB">
        <w:tab/>
        <w:t>(3)</w:t>
      </w:r>
      <w:r w:rsidRPr="00D97EFB">
        <w:tab/>
        <w:t>However, the person cannot make a claim under section 949 or 950, or Division 6A, 6B or 6C of Part 7.10, of the old Corporations Act after 30 September 2005.</w:t>
      </w:r>
    </w:p>
    <w:p w14:paraId="4014C4C4" w14:textId="77777777" w:rsidR="00E93F58" w:rsidRPr="00D97EFB" w:rsidRDefault="00E93F58" w:rsidP="000A7E3B">
      <w:pPr>
        <w:pStyle w:val="ActHead5"/>
      </w:pPr>
      <w:bookmarkStart w:id="2392" w:name="_Toc151994475"/>
      <w:bookmarkStart w:id="2393" w:name="_Toc158712985"/>
      <w:r w:rsidRPr="000D40D5">
        <w:rPr>
          <w:rStyle w:val="CharSectno"/>
        </w:rPr>
        <w:t>10.2.27A</w:t>
      </w:r>
      <w:r w:rsidRPr="00D97EFB">
        <w:t xml:space="preserve">  Expenditure of excess funds from National Guarantee Fund</w:t>
      </w:r>
      <w:bookmarkEnd w:id="2392"/>
      <w:bookmarkEnd w:id="2393"/>
    </w:p>
    <w:p w14:paraId="77CD5A4F" w14:textId="77777777" w:rsidR="00E93F58" w:rsidRPr="00D97EFB" w:rsidRDefault="00E93F58" w:rsidP="00415342">
      <w:pPr>
        <w:pStyle w:val="subsection"/>
      </w:pPr>
      <w:r w:rsidRPr="00D97EFB">
        <w:tab/>
        <w:t>(1)</w:t>
      </w:r>
      <w:r w:rsidRPr="00D97EFB">
        <w:tab/>
        <w:t>For section 1444 of the Act, this regulation applies to a purpose in relation to a payment to be made out of a development account if:</w:t>
      </w:r>
    </w:p>
    <w:p w14:paraId="1C0E7100" w14:textId="77777777" w:rsidR="00E93F58" w:rsidRPr="00D97EFB" w:rsidRDefault="00E93F58" w:rsidP="00BB7E31">
      <w:pPr>
        <w:pStyle w:val="paragraph"/>
      </w:pPr>
      <w:r w:rsidRPr="00D97EFB">
        <w:tab/>
        <w:t>(a)</w:t>
      </w:r>
      <w:r w:rsidRPr="00D97EFB">
        <w:tab/>
        <w:t>the purpose was approved under subsection 945(3) of the old Corporations Act; and</w:t>
      </w:r>
    </w:p>
    <w:p w14:paraId="7111E0D8" w14:textId="77777777" w:rsidR="00E93F58" w:rsidRPr="00D97EFB" w:rsidRDefault="00E93F58" w:rsidP="00BB7E31">
      <w:pPr>
        <w:pStyle w:val="paragraph"/>
      </w:pPr>
      <w:r w:rsidRPr="00D97EFB">
        <w:tab/>
        <w:t>(b)</w:t>
      </w:r>
      <w:r w:rsidRPr="00D97EFB">
        <w:tab/>
        <w:t>the approval was in force immediately before the FSR commencement.</w:t>
      </w:r>
    </w:p>
    <w:p w14:paraId="55EBA21F" w14:textId="77777777" w:rsidR="00E93F58" w:rsidRPr="00D97EFB" w:rsidRDefault="00E93F58" w:rsidP="00BB7E31">
      <w:pPr>
        <w:pStyle w:val="subsection"/>
      </w:pPr>
      <w:r w:rsidRPr="00D97EFB">
        <w:tab/>
        <w:t>(2)</w:t>
      </w:r>
      <w:r w:rsidRPr="00D97EFB">
        <w:tab/>
        <w:t>The purpose is taken to be an approved purpose for subregulation 7.5.88(1).</w:t>
      </w:r>
    </w:p>
    <w:p w14:paraId="4BB76F94" w14:textId="77777777" w:rsidR="00E93F58" w:rsidRPr="00D97EFB" w:rsidRDefault="00E93F58" w:rsidP="00BB7E31">
      <w:pPr>
        <w:pStyle w:val="subsection"/>
      </w:pPr>
      <w:r w:rsidRPr="00D97EFB">
        <w:tab/>
        <w:t>(3)</w:t>
      </w:r>
      <w:r w:rsidRPr="00D97EFB">
        <w:tab/>
        <w:t>If the purpose approved under subsection 945(3) of the old Corporations Act included conditions relating to the payment to which the approval related, the conditions are taken to be conditions determined under subregulation 7.5.88(3).</w:t>
      </w:r>
    </w:p>
    <w:p w14:paraId="57406551" w14:textId="77777777" w:rsidR="00E93F58" w:rsidRPr="00D97EFB" w:rsidRDefault="00E93F58" w:rsidP="00BB7E31">
      <w:pPr>
        <w:pStyle w:val="ActHead3"/>
        <w:pageBreakBefore/>
        <w:rPr>
          <w:color w:val="000000"/>
        </w:rPr>
      </w:pPr>
      <w:bookmarkStart w:id="2394" w:name="_Toc151994476"/>
      <w:bookmarkStart w:id="2395" w:name="_Toc158712986"/>
      <w:r w:rsidRPr="000D40D5">
        <w:rPr>
          <w:rStyle w:val="CharDivNo"/>
        </w:rPr>
        <w:lastRenderedPageBreak/>
        <w:t>Division 9</w:t>
      </w:r>
      <w:r w:rsidRPr="00D97EFB">
        <w:rPr>
          <w:color w:val="000000"/>
        </w:rPr>
        <w:t>—</w:t>
      </w:r>
      <w:r w:rsidRPr="000D40D5">
        <w:rPr>
          <w:rStyle w:val="CharDivText"/>
        </w:rPr>
        <w:t>Claims against fidelity funds</w:t>
      </w:r>
      <w:bookmarkEnd w:id="2394"/>
      <w:bookmarkEnd w:id="2395"/>
    </w:p>
    <w:p w14:paraId="5C7BCB7C" w14:textId="77777777" w:rsidR="00E93F58" w:rsidRPr="00D97EFB" w:rsidRDefault="00E93F58" w:rsidP="00BB7E31">
      <w:pPr>
        <w:pStyle w:val="ActHead5"/>
      </w:pPr>
      <w:bookmarkStart w:id="2396" w:name="_Toc151994477"/>
      <w:bookmarkStart w:id="2397" w:name="_Toc158712987"/>
      <w:r w:rsidRPr="000D40D5">
        <w:rPr>
          <w:rStyle w:val="CharSectno"/>
        </w:rPr>
        <w:t>10.2.28</w:t>
      </w:r>
      <w:r w:rsidRPr="00D97EFB">
        <w:t xml:space="preserve">  Status of claim against fidelity fund</w:t>
      </w:r>
      <w:bookmarkEnd w:id="2396"/>
      <w:bookmarkEnd w:id="2397"/>
    </w:p>
    <w:p w14:paraId="143A45F1" w14:textId="77777777" w:rsidR="00E93F58" w:rsidRPr="00D97EFB" w:rsidRDefault="00E93F58" w:rsidP="00BB7E31">
      <w:pPr>
        <w:pStyle w:val="subsection"/>
      </w:pPr>
      <w:r w:rsidRPr="00D97EFB">
        <w:tab/>
        <w:t>(1)</w:t>
      </w:r>
      <w:r w:rsidRPr="00D97EFB">
        <w:tab/>
        <w:t>This regulation applies if:</w:t>
      </w:r>
    </w:p>
    <w:p w14:paraId="1A99E5A0" w14:textId="77777777" w:rsidR="00E93F58" w:rsidRPr="00D97EFB" w:rsidRDefault="00E93F58" w:rsidP="00BB7E31">
      <w:pPr>
        <w:pStyle w:val="paragraph"/>
      </w:pPr>
      <w:r w:rsidRPr="00D97EFB">
        <w:rPr>
          <w:color w:val="000000"/>
        </w:rPr>
        <w:tab/>
        <w:t>(a)</w:t>
      </w:r>
      <w:r w:rsidRPr="00D97EFB">
        <w:rPr>
          <w:color w:val="000000"/>
        </w:rPr>
        <w:tab/>
        <w:t>a person made a claim in relation to a matter, before the FSR commencement, under Part 7.9 or Part 8.6 of the old Corporations Act; and</w:t>
      </w:r>
    </w:p>
    <w:p w14:paraId="1D0AF202" w14:textId="77777777" w:rsidR="00E93F58" w:rsidRPr="00D97EFB" w:rsidRDefault="00E93F58" w:rsidP="00BB7E31">
      <w:pPr>
        <w:pStyle w:val="paragraph"/>
      </w:pPr>
      <w:r w:rsidRPr="00D97EFB">
        <w:tab/>
        <w:t>(b)</w:t>
      </w:r>
      <w:r w:rsidRPr="00D97EFB">
        <w:tab/>
        <w:t>the claim had not been withdrawn, or finally determined in accordance with the old Corporations Act, before the end of the transition period within the meaning of subsection 1414(2) of the Act.</w:t>
      </w:r>
    </w:p>
    <w:p w14:paraId="47F30A1F" w14:textId="77777777" w:rsidR="00E93F58" w:rsidRPr="00D97EFB" w:rsidRDefault="00E93F58" w:rsidP="00BB7E31">
      <w:pPr>
        <w:pStyle w:val="subsection"/>
      </w:pPr>
      <w:r w:rsidRPr="00D97EFB">
        <w:tab/>
        <w:t>(2)</w:t>
      </w:r>
      <w:r w:rsidRPr="00D97EFB">
        <w:tab/>
        <w:t>After the end of the transition period:</w:t>
      </w:r>
    </w:p>
    <w:p w14:paraId="51D82778" w14:textId="77777777" w:rsidR="00E93F58" w:rsidRPr="00D97EFB" w:rsidRDefault="00E93F58" w:rsidP="00BB7E31">
      <w:pPr>
        <w:pStyle w:val="paragraph"/>
      </w:pPr>
      <w:r w:rsidRPr="00D97EFB">
        <w:rPr>
          <w:color w:val="000000"/>
        </w:rPr>
        <w:tab/>
        <w:t>(a)</w:t>
      </w:r>
      <w:r w:rsidRPr="00D97EFB">
        <w:rPr>
          <w:color w:val="000000"/>
        </w:rPr>
        <w:tab/>
        <w:t>Part 7.9 or Part 8.6 of the old Corporations Act (as appropriate), as in force immediately before the FSR commencement, continues to have effect in relation to the claim; and</w:t>
      </w:r>
    </w:p>
    <w:p w14:paraId="6C6F091F" w14:textId="77777777" w:rsidR="00E93F58" w:rsidRPr="00D97EFB" w:rsidRDefault="00E93F58" w:rsidP="00BB7E31">
      <w:pPr>
        <w:pStyle w:val="paragraph"/>
      </w:pPr>
      <w:r w:rsidRPr="00D97EFB">
        <w:tab/>
        <w:t>(b)</w:t>
      </w:r>
      <w:r w:rsidRPr="00D97EFB">
        <w:tab/>
        <w:t>regulations made for Part 7.9 or Part 8.6 of the old Corporations Act (as appropriate), as in force immediately before the FSR commencement, continue to have effect in relation to the claim.</w:t>
      </w:r>
    </w:p>
    <w:p w14:paraId="7ABDE4FE" w14:textId="77777777" w:rsidR="00E93F58" w:rsidRPr="00D97EFB" w:rsidRDefault="00E93F58" w:rsidP="00BB7E31">
      <w:pPr>
        <w:pStyle w:val="ActHead5"/>
      </w:pPr>
      <w:bookmarkStart w:id="2398" w:name="_Toc151994478"/>
      <w:bookmarkStart w:id="2399" w:name="_Toc158712988"/>
      <w:r w:rsidRPr="000D40D5">
        <w:rPr>
          <w:rStyle w:val="CharSectno"/>
        </w:rPr>
        <w:t>10.2.29</w:t>
      </w:r>
      <w:r w:rsidRPr="00D97EFB">
        <w:t xml:space="preserve">  Entitlement to make claim against fidelity fund</w:t>
      </w:r>
      <w:bookmarkEnd w:id="2398"/>
      <w:bookmarkEnd w:id="2399"/>
    </w:p>
    <w:p w14:paraId="6206D27E" w14:textId="77777777" w:rsidR="00E93F58" w:rsidRPr="00D97EFB" w:rsidRDefault="00E93F58" w:rsidP="00BB7E31">
      <w:pPr>
        <w:pStyle w:val="subsection"/>
      </w:pPr>
      <w:r w:rsidRPr="00D97EFB">
        <w:tab/>
        <w:t>(1)</w:t>
      </w:r>
      <w:r w:rsidRPr="00D97EFB">
        <w:tab/>
        <w:t>This regulation applies if:</w:t>
      </w:r>
    </w:p>
    <w:p w14:paraId="3AC60D1B" w14:textId="77777777" w:rsidR="00E93F58" w:rsidRPr="00D97EFB" w:rsidRDefault="00E93F58" w:rsidP="00BB7E31">
      <w:pPr>
        <w:pStyle w:val="paragraph"/>
      </w:pPr>
      <w:r w:rsidRPr="00D97EFB">
        <w:rPr>
          <w:color w:val="000000"/>
        </w:rPr>
        <w:tab/>
        <w:t>(a)</w:t>
      </w:r>
      <w:r w:rsidRPr="00D97EFB">
        <w:rPr>
          <w:color w:val="000000"/>
        </w:rPr>
        <w:tab/>
        <w:t>a person could have made a claim in relation to a matter, before the FSR commencement, under Part 7.9 or Part 8.6 of the old Corporations Act; and</w:t>
      </w:r>
    </w:p>
    <w:p w14:paraId="5AF19CC6" w14:textId="77777777" w:rsidR="00E93F58" w:rsidRPr="00D97EFB" w:rsidRDefault="00E93F58" w:rsidP="00BB7E31">
      <w:pPr>
        <w:pStyle w:val="paragraph"/>
      </w:pPr>
      <w:r w:rsidRPr="00D97EFB">
        <w:tab/>
        <w:t>(b)</w:t>
      </w:r>
      <w:r w:rsidRPr="00D97EFB">
        <w:tab/>
        <w:t>the person did not make the claim before the end of the transition period within the meaning of subsection 1414(2) of the Act.</w:t>
      </w:r>
    </w:p>
    <w:p w14:paraId="02183B37" w14:textId="77777777" w:rsidR="00E93F58" w:rsidRPr="00D97EFB" w:rsidRDefault="00E93F58" w:rsidP="00BB7E31">
      <w:pPr>
        <w:pStyle w:val="subsection"/>
      </w:pPr>
      <w:r w:rsidRPr="00D97EFB">
        <w:tab/>
        <w:t>(2)</w:t>
      </w:r>
      <w:r w:rsidRPr="00D97EFB">
        <w:tab/>
        <w:t>After the end of the transition period:</w:t>
      </w:r>
    </w:p>
    <w:p w14:paraId="76A453F1" w14:textId="77777777" w:rsidR="00E93F58" w:rsidRPr="00D97EFB" w:rsidRDefault="00E93F58" w:rsidP="00BB7E31">
      <w:pPr>
        <w:pStyle w:val="paragraph"/>
      </w:pPr>
      <w:r w:rsidRPr="00D97EFB">
        <w:rPr>
          <w:color w:val="000000"/>
        </w:rPr>
        <w:tab/>
        <w:t>(a)</w:t>
      </w:r>
      <w:r w:rsidRPr="00D97EFB">
        <w:rPr>
          <w:color w:val="000000"/>
        </w:rPr>
        <w:tab/>
        <w:t>Part 7.9 or Part 8.6 of the old Corporations Act (as appropriate), as in force immediately before the FSR commencement, continues to have effect in relation to the claim; and</w:t>
      </w:r>
    </w:p>
    <w:p w14:paraId="19352FC7" w14:textId="77777777" w:rsidR="00E93F58" w:rsidRPr="00D97EFB" w:rsidRDefault="00E93F58" w:rsidP="00BB7E31">
      <w:pPr>
        <w:pStyle w:val="paragraph"/>
      </w:pPr>
      <w:r w:rsidRPr="00D97EFB">
        <w:tab/>
        <w:t>(b)</w:t>
      </w:r>
      <w:r w:rsidRPr="00D97EFB">
        <w:tab/>
        <w:t>regulations made for Part 7.9 or Part 8.6 of the old Corporations Act (as appropriate), as in force immediately before the FSR commencement, continue to have effect in relation to the claim.</w:t>
      </w:r>
    </w:p>
    <w:p w14:paraId="2876AD00" w14:textId="77777777" w:rsidR="00E93F58" w:rsidRPr="00D97EFB" w:rsidRDefault="00E93F58" w:rsidP="00BB7E31">
      <w:pPr>
        <w:pStyle w:val="ActHead5"/>
      </w:pPr>
      <w:bookmarkStart w:id="2400" w:name="_Toc151994479"/>
      <w:bookmarkStart w:id="2401" w:name="_Toc158712989"/>
      <w:r w:rsidRPr="000D40D5">
        <w:rPr>
          <w:rStyle w:val="CharSectno"/>
        </w:rPr>
        <w:t>10.2.29A</w:t>
      </w:r>
      <w:r w:rsidRPr="00D97EFB">
        <w:t xml:space="preserve">  Status of incomplete claim against fidelity fund</w:t>
      </w:r>
      <w:bookmarkEnd w:id="2400"/>
      <w:bookmarkEnd w:id="2401"/>
    </w:p>
    <w:p w14:paraId="6BD7AC51" w14:textId="77777777" w:rsidR="00E93F58" w:rsidRPr="00D97EFB" w:rsidRDefault="00E93F58" w:rsidP="00BB7E31">
      <w:pPr>
        <w:pStyle w:val="subsection"/>
      </w:pPr>
      <w:r w:rsidRPr="00D97EFB">
        <w:tab/>
        <w:t>(1)</w:t>
      </w:r>
      <w:r w:rsidRPr="00D97EFB">
        <w:tab/>
        <w:t>This regulation applies if:</w:t>
      </w:r>
    </w:p>
    <w:p w14:paraId="4BFA9F07" w14:textId="77777777" w:rsidR="00E93F58" w:rsidRPr="00D97EFB" w:rsidRDefault="00E93F58" w:rsidP="00BB7E31">
      <w:pPr>
        <w:pStyle w:val="paragraph"/>
      </w:pPr>
      <w:r w:rsidRPr="00D97EFB">
        <w:rPr>
          <w:color w:val="000000"/>
        </w:rPr>
        <w:tab/>
        <w:t>(a)</w:t>
      </w:r>
      <w:r w:rsidRPr="00D97EFB">
        <w:rPr>
          <w:color w:val="000000"/>
        </w:rPr>
        <w:tab/>
        <w:t>a person made a claim in relation to a matter, after the FSR commencement, under Part 7.9 or Part 8.6 of the old Corporations Act; and</w:t>
      </w:r>
    </w:p>
    <w:p w14:paraId="68B3B644" w14:textId="77777777" w:rsidR="00E93F58" w:rsidRPr="00D97EFB" w:rsidRDefault="00E93F58" w:rsidP="00BB7E31">
      <w:pPr>
        <w:pStyle w:val="paragraph"/>
      </w:pPr>
      <w:r w:rsidRPr="00D97EFB">
        <w:tab/>
        <w:t>(b)</w:t>
      </w:r>
      <w:r w:rsidRPr="00D97EFB">
        <w:tab/>
        <w:t>the claim had not been withdrawn, or finally determined in accordance with the old Corporations Act, before the end of the transition period within the meaning of subsection 1414(2) of the Act.</w:t>
      </w:r>
    </w:p>
    <w:p w14:paraId="51645007" w14:textId="77777777" w:rsidR="00E93F58" w:rsidRPr="00D97EFB" w:rsidRDefault="00E93F58" w:rsidP="00BB7E31">
      <w:pPr>
        <w:pStyle w:val="subsection"/>
      </w:pPr>
      <w:r w:rsidRPr="00D97EFB">
        <w:tab/>
        <w:t>(2)</w:t>
      </w:r>
      <w:r w:rsidRPr="00D97EFB">
        <w:tab/>
        <w:t>After the end of the transition period:</w:t>
      </w:r>
    </w:p>
    <w:p w14:paraId="105F0A04" w14:textId="77777777" w:rsidR="00E93F58" w:rsidRPr="00D97EFB" w:rsidRDefault="00E93F58" w:rsidP="00BB7E31">
      <w:pPr>
        <w:pStyle w:val="paragraph"/>
      </w:pPr>
      <w:r w:rsidRPr="00D97EFB">
        <w:rPr>
          <w:color w:val="000000"/>
        </w:rPr>
        <w:tab/>
        <w:t>(a)</w:t>
      </w:r>
      <w:r w:rsidRPr="00D97EFB">
        <w:rPr>
          <w:color w:val="000000"/>
        </w:rPr>
        <w:tab/>
        <w:t>Part 7.9 or Part 8.6 of the old Corporations Act (as appropriate), as in force immediately before the FSR commencement, continues to have effect in relation to the claim; and</w:t>
      </w:r>
    </w:p>
    <w:p w14:paraId="290FFD64" w14:textId="77777777" w:rsidR="00E93F58" w:rsidRPr="00D97EFB" w:rsidRDefault="00E93F58" w:rsidP="00BB7E31">
      <w:pPr>
        <w:pStyle w:val="paragraph"/>
      </w:pPr>
      <w:r w:rsidRPr="00D97EFB">
        <w:tab/>
        <w:t>(b)</w:t>
      </w:r>
      <w:r w:rsidRPr="00D97EFB">
        <w:tab/>
        <w:t>regulations made for Part 7.9 or Part 8.6 of the old Corporations Act (as appropriate), as in force immediately before the FSR commencement, continue to have effect in relation to the claim.</w:t>
      </w:r>
    </w:p>
    <w:p w14:paraId="6578B92C" w14:textId="77777777" w:rsidR="00E93F58" w:rsidRPr="00D97EFB" w:rsidRDefault="00E93F58" w:rsidP="00BB7E31">
      <w:pPr>
        <w:pStyle w:val="ActHead5"/>
      </w:pPr>
      <w:bookmarkStart w:id="2402" w:name="_Toc151994480"/>
      <w:bookmarkStart w:id="2403" w:name="_Toc158712990"/>
      <w:r w:rsidRPr="000D40D5">
        <w:rPr>
          <w:rStyle w:val="CharSectno"/>
        </w:rPr>
        <w:t>10.2.30</w:t>
      </w:r>
      <w:r w:rsidRPr="00D97EFB">
        <w:t xml:space="preserve">  Status of future claim against fidelity fund</w:t>
      </w:r>
      <w:bookmarkEnd w:id="2402"/>
      <w:bookmarkEnd w:id="2403"/>
    </w:p>
    <w:p w14:paraId="6364B0A3" w14:textId="77777777" w:rsidR="00E93F58" w:rsidRPr="00D97EFB" w:rsidRDefault="00E93F58" w:rsidP="00BB7E31">
      <w:pPr>
        <w:pStyle w:val="subsection"/>
      </w:pPr>
      <w:r w:rsidRPr="00D97EFB">
        <w:tab/>
        <w:t>(1)</w:t>
      </w:r>
      <w:r w:rsidRPr="00D97EFB">
        <w:tab/>
        <w:t>This regulation applies if:</w:t>
      </w:r>
    </w:p>
    <w:p w14:paraId="28D94D62" w14:textId="77777777" w:rsidR="00E93F58" w:rsidRPr="00D97EFB" w:rsidRDefault="00E93F58" w:rsidP="00BB7E31">
      <w:pPr>
        <w:pStyle w:val="paragraph"/>
      </w:pPr>
      <w:r w:rsidRPr="00D97EFB">
        <w:rPr>
          <w:color w:val="000000"/>
        </w:rPr>
        <w:tab/>
        <w:t>(a)</w:t>
      </w:r>
      <w:r w:rsidRPr="00D97EFB">
        <w:rPr>
          <w:color w:val="000000"/>
        </w:rPr>
        <w:tab/>
        <w:t>a matter related to conduct that occurred before the FSR commencement; and</w:t>
      </w:r>
    </w:p>
    <w:p w14:paraId="337A7F38" w14:textId="77777777" w:rsidR="00E93F58" w:rsidRPr="00D97EFB" w:rsidRDefault="00E93F58" w:rsidP="00BB7E31">
      <w:pPr>
        <w:pStyle w:val="paragraph"/>
      </w:pPr>
      <w:r w:rsidRPr="00D97EFB">
        <w:tab/>
        <w:t>(b)</w:t>
      </w:r>
      <w:r w:rsidRPr="00D97EFB">
        <w:tab/>
        <w:t>a person could, if Part 7.9 or 8.6 of the old Corporations Act had not been repealed, have made a claim in relation to the matter under Part 7.9 or Part 8.6 of the old Corporations Act after the end of the transition period within the meaning of subsection 1414(2) of the Act.</w:t>
      </w:r>
    </w:p>
    <w:p w14:paraId="7D6F6048" w14:textId="77777777" w:rsidR="00E93F58" w:rsidRPr="00D97EFB" w:rsidRDefault="00E93F58" w:rsidP="00BB7E31">
      <w:pPr>
        <w:pStyle w:val="subsection"/>
      </w:pPr>
      <w:r w:rsidRPr="00D97EFB">
        <w:tab/>
        <w:t>(2)</w:t>
      </w:r>
      <w:r w:rsidRPr="00D97EFB">
        <w:tab/>
        <w:t>After the end of the transition period:</w:t>
      </w:r>
    </w:p>
    <w:p w14:paraId="34CD9B4D" w14:textId="77777777" w:rsidR="00E93F58" w:rsidRPr="00D97EFB" w:rsidRDefault="00E93F58" w:rsidP="00BB7E31">
      <w:pPr>
        <w:pStyle w:val="paragraph"/>
      </w:pPr>
      <w:r w:rsidRPr="00D97EFB">
        <w:rPr>
          <w:color w:val="000000"/>
        </w:rPr>
        <w:tab/>
        <w:t>(a)</w:t>
      </w:r>
      <w:r w:rsidRPr="00D97EFB">
        <w:rPr>
          <w:color w:val="000000"/>
        </w:rPr>
        <w:tab/>
        <w:t>Part 7.9 or Part 8.6 of the old Corporations Act (as appropriate), as in force immediately before the FSR commencement, continues to have effect in relation to the claim; and</w:t>
      </w:r>
    </w:p>
    <w:p w14:paraId="4ECB973D" w14:textId="77777777" w:rsidR="00E93F58" w:rsidRPr="00D97EFB" w:rsidRDefault="00E93F58" w:rsidP="00BB7E31">
      <w:pPr>
        <w:pStyle w:val="paragraph"/>
      </w:pPr>
      <w:r w:rsidRPr="00D97EFB">
        <w:tab/>
        <w:t>(b)</w:t>
      </w:r>
      <w:r w:rsidRPr="00D97EFB">
        <w:tab/>
        <w:t>regulations made for Part 7.9 or Part 8.6 of the old Corporations Act (as appropriate), as in force immediately before the FSR commencement, continue to have effect in relation to the claim.</w:t>
      </w:r>
    </w:p>
    <w:p w14:paraId="7375D6D3" w14:textId="77777777" w:rsidR="00E93F58" w:rsidRPr="00D97EFB" w:rsidRDefault="00E93F58" w:rsidP="00C0664B">
      <w:pPr>
        <w:pStyle w:val="ActHead3"/>
        <w:pageBreakBefore/>
        <w:rPr>
          <w:color w:val="000000"/>
        </w:rPr>
      </w:pPr>
      <w:bookmarkStart w:id="2404" w:name="_Toc151994481"/>
      <w:bookmarkStart w:id="2405" w:name="_Toc158712991"/>
      <w:r w:rsidRPr="000D40D5">
        <w:rPr>
          <w:rStyle w:val="CharDivNo"/>
        </w:rPr>
        <w:lastRenderedPageBreak/>
        <w:t>Division 10</w:t>
      </w:r>
      <w:r w:rsidRPr="00D97EFB">
        <w:rPr>
          <w:color w:val="000000"/>
        </w:rPr>
        <w:t>—</w:t>
      </w:r>
      <w:r w:rsidRPr="000D40D5">
        <w:rPr>
          <w:rStyle w:val="CharDivText"/>
        </w:rPr>
        <w:t>Status of netting markets</w:t>
      </w:r>
      <w:bookmarkEnd w:id="2404"/>
      <w:bookmarkEnd w:id="2405"/>
    </w:p>
    <w:p w14:paraId="0ABF4A6D" w14:textId="77777777" w:rsidR="00E93F58" w:rsidRPr="00D97EFB" w:rsidRDefault="00E93F58" w:rsidP="00BB7E31">
      <w:pPr>
        <w:pStyle w:val="ActHead5"/>
      </w:pPr>
      <w:bookmarkStart w:id="2406" w:name="_Toc151994482"/>
      <w:bookmarkStart w:id="2407" w:name="_Toc158712992"/>
      <w:r w:rsidRPr="000D40D5">
        <w:rPr>
          <w:rStyle w:val="CharSectno"/>
        </w:rPr>
        <w:t>10.2.31</w:t>
      </w:r>
      <w:r w:rsidRPr="00D97EFB">
        <w:t xml:space="preserve">  Netting markets</w:t>
      </w:r>
      <w:bookmarkEnd w:id="2406"/>
      <w:bookmarkEnd w:id="2407"/>
    </w:p>
    <w:p w14:paraId="6796EF1E" w14:textId="77777777" w:rsidR="00E93F58" w:rsidRPr="00D97EFB" w:rsidRDefault="00E93F58" w:rsidP="00BB7E31">
      <w:pPr>
        <w:pStyle w:val="subsection"/>
      </w:pPr>
      <w:r w:rsidRPr="00D97EFB">
        <w:tab/>
        <w:t>(1)</w:t>
      </w:r>
      <w:r w:rsidRPr="00D97EFB">
        <w:tab/>
        <w:t>This regulation applies to:</w:t>
      </w:r>
    </w:p>
    <w:p w14:paraId="24604298" w14:textId="77777777" w:rsidR="00E93F58" w:rsidRPr="00D97EFB" w:rsidRDefault="00E93F58" w:rsidP="00BB7E31">
      <w:pPr>
        <w:pStyle w:val="paragraph"/>
      </w:pPr>
      <w:r w:rsidRPr="00D97EFB">
        <w:rPr>
          <w:color w:val="000000"/>
        </w:rPr>
        <w:tab/>
        <w:t>(a)</w:t>
      </w:r>
      <w:r w:rsidRPr="00D97EFB">
        <w:rPr>
          <w:color w:val="000000"/>
        </w:rPr>
        <w:tab/>
        <w:t xml:space="preserve">an approved special stock market that was, immediately before the FSR commencement, a netting market within the meaning of the </w:t>
      </w:r>
      <w:r w:rsidRPr="00D97EFB">
        <w:rPr>
          <w:i/>
          <w:color w:val="000000"/>
        </w:rPr>
        <w:t>Payment Systems and Netting Act 1998</w:t>
      </w:r>
      <w:r w:rsidRPr="00D97EFB">
        <w:rPr>
          <w:color w:val="000000"/>
        </w:rPr>
        <w:t>; and</w:t>
      </w:r>
    </w:p>
    <w:p w14:paraId="1BE77BE4" w14:textId="77777777" w:rsidR="00E93F58" w:rsidRPr="00D97EFB" w:rsidRDefault="00E93F58" w:rsidP="00BB7E31">
      <w:pPr>
        <w:pStyle w:val="paragraph"/>
      </w:pPr>
      <w:r w:rsidRPr="00D97EFB">
        <w:tab/>
        <w:t>(b)</w:t>
      </w:r>
      <w:r w:rsidRPr="00D97EFB">
        <w:tab/>
        <w:t xml:space="preserve">an exempt stock market that was, immediately before the FSR commencement, a netting market within the meaning of the </w:t>
      </w:r>
      <w:r w:rsidRPr="00D97EFB">
        <w:rPr>
          <w:i/>
        </w:rPr>
        <w:t>Payment Systems and Netting Act 1998</w:t>
      </w:r>
      <w:r w:rsidRPr="00D97EFB">
        <w:t>; and</w:t>
      </w:r>
    </w:p>
    <w:p w14:paraId="1A8895EC" w14:textId="77777777" w:rsidR="00E93F58" w:rsidRPr="00D97EFB" w:rsidRDefault="00E93F58" w:rsidP="00BB7E31">
      <w:pPr>
        <w:pStyle w:val="paragraph"/>
      </w:pPr>
      <w:r w:rsidRPr="00D97EFB">
        <w:tab/>
        <w:t>(c)</w:t>
      </w:r>
      <w:r w:rsidRPr="00D97EFB">
        <w:tab/>
        <w:t xml:space="preserve">an exempt futures market that was, immediately before the FSR commencement, a netting market within the meaning of the </w:t>
      </w:r>
      <w:r w:rsidRPr="00D97EFB">
        <w:rPr>
          <w:i/>
        </w:rPr>
        <w:t>Payment Systems and Netting Act 1998</w:t>
      </w:r>
      <w:r w:rsidRPr="00D97EFB">
        <w:t>.</w:t>
      </w:r>
    </w:p>
    <w:p w14:paraId="04EC4C24" w14:textId="77777777" w:rsidR="00E93F58" w:rsidRPr="00D97EFB" w:rsidRDefault="00E93F58" w:rsidP="00BB7E31">
      <w:pPr>
        <w:pStyle w:val="subsection"/>
      </w:pPr>
      <w:r w:rsidRPr="00D97EFB">
        <w:rPr>
          <w:color w:val="000000"/>
        </w:rPr>
        <w:tab/>
        <w:t>(2)</w:t>
      </w:r>
      <w:r w:rsidRPr="00D97EFB">
        <w:rPr>
          <w:color w:val="000000"/>
        </w:rPr>
        <w:tab/>
        <w:t>On and after the FSR commencement, the market is taken to be a netting market for the purposes of that Act.</w:t>
      </w:r>
    </w:p>
    <w:p w14:paraId="7831A68A" w14:textId="77777777" w:rsidR="00E93F58" w:rsidRPr="00D97EFB" w:rsidRDefault="00E93F58" w:rsidP="00BB7E31">
      <w:pPr>
        <w:pStyle w:val="subsection"/>
      </w:pPr>
      <w:r w:rsidRPr="00D97EFB">
        <w:tab/>
        <w:t>(3)</w:t>
      </w:r>
      <w:r w:rsidRPr="00D97EFB">
        <w:tab/>
        <w:t>Subregulation (2) ceases to apply to the market if the market has not become:</w:t>
      </w:r>
    </w:p>
    <w:p w14:paraId="23CEF572" w14:textId="77777777" w:rsidR="00E93F58" w:rsidRPr="00D97EFB" w:rsidRDefault="00E93F58" w:rsidP="00BB7E31">
      <w:pPr>
        <w:pStyle w:val="paragraph"/>
      </w:pPr>
      <w:r w:rsidRPr="00D97EFB">
        <w:rPr>
          <w:color w:val="000000"/>
        </w:rPr>
        <w:tab/>
        <w:t>(a)</w:t>
      </w:r>
      <w:r w:rsidRPr="00D97EFB">
        <w:rPr>
          <w:color w:val="000000"/>
        </w:rPr>
        <w:tab/>
        <w:t>the person conducting an Australian financial services licensee; or</w:t>
      </w:r>
    </w:p>
    <w:p w14:paraId="55AACCE3" w14:textId="77777777" w:rsidR="00E93F58" w:rsidRPr="00D97EFB" w:rsidRDefault="00E93F58" w:rsidP="00BB7E31">
      <w:pPr>
        <w:pStyle w:val="paragraph"/>
      </w:pPr>
      <w:r w:rsidRPr="00D97EFB">
        <w:tab/>
        <w:t>(b)</w:t>
      </w:r>
      <w:r w:rsidRPr="00D97EFB">
        <w:tab/>
        <w:t>an Australian market licensee;</w:t>
      </w:r>
    </w:p>
    <w:p w14:paraId="1482FC54" w14:textId="77777777" w:rsidR="00E93F58" w:rsidRPr="00D97EFB" w:rsidRDefault="00E93F58" w:rsidP="00BB7E31">
      <w:pPr>
        <w:pStyle w:val="subsection2"/>
      </w:pPr>
      <w:r w:rsidRPr="00D97EFB">
        <w:rPr>
          <w:color w:val="000000"/>
        </w:rPr>
        <w:t>by the end of the transition period.</w:t>
      </w:r>
    </w:p>
    <w:p w14:paraId="0016F085" w14:textId="77777777" w:rsidR="00E93F58" w:rsidRPr="00D97EFB" w:rsidRDefault="00E93F58" w:rsidP="00BB7E31">
      <w:pPr>
        <w:pStyle w:val="subsection"/>
        <w:rPr>
          <w:color w:val="000000"/>
        </w:rPr>
      </w:pPr>
      <w:r w:rsidRPr="00D97EFB">
        <w:rPr>
          <w:color w:val="000000"/>
        </w:rPr>
        <w:tab/>
        <w:t>(4)</w:t>
      </w:r>
      <w:r w:rsidRPr="00D97EFB">
        <w:rPr>
          <w:color w:val="000000"/>
        </w:rPr>
        <w:tab/>
        <w:t>Subregulations (2) and (3) do not prevent a market mentioned in subregulation (1) from applying for netting market approval during the transition period in relation to the market.</w:t>
      </w:r>
    </w:p>
    <w:p w14:paraId="0B15D52B" w14:textId="77777777" w:rsidR="00E93F58" w:rsidRPr="00D97EFB" w:rsidRDefault="00E93F58" w:rsidP="00BB7E31">
      <w:pPr>
        <w:pStyle w:val="notetext"/>
      </w:pPr>
      <w:r w:rsidRPr="00D97EFB">
        <w:rPr>
          <w:color w:val="000000"/>
        </w:rPr>
        <w:t>Note:</w:t>
      </w:r>
      <w:r w:rsidRPr="00D97EFB">
        <w:rPr>
          <w:color w:val="000000"/>
        </w:rPr>
        <w:tab/>
        <w:t>The transition period is explained in sections 1418 and 1421 of the Act.</w:t>
      </w:r>
    </w:p>
    <w:p w14:paraId="5F9F8499" w14:textId="77777777" w:rsidR="00E93F58" w:rsidRPr="00D97EFB" w:rsidRDefault="00E93F58" w:rsidP="00BB7E31">
      <w:pPr>
        <w:pStyle w:val="ActHead5"/>
      </w:pPr>
      <w:bookmarkStart w:id="2408" w:name="_Toc151994483"/>
      <w:bookmarkStart w:id="2409" w:name="_Toc158712993"/>
      <w:r w:rsidRPr="000D40D5">
        <w:rPr>
          <w:rStyle w:val="CharSectno"/>
        </w:rPr>
        <w:t>10.2.32</w:t>
      </w:r>
      <w:r w:rsidRPr="00D97EFB">
        <w:t xml:space="preserve">  Netting market approval granted before the FSR commencement</w:t>
      </w:r>
      <w:bookmarkEnd w:id="2408"/>
      <w:bookmarkEnd w:id="2409"/>
    </w:p>
    <w:p w14:paraId="05AECF00" w14:textId="77777777" w:rsidR="00E93F58" w:rsidRPr="00D97EFB" w:rsidRDefault="00E93F58" w:rsidP="00BB7E31">
      <w:pPr>
        <w:pStyle w:val="subsection"/>
      </w:pPr>
      <w:r w:rsidRPr="00D97EFB">
        <w:tab/>
      </w:r>
      <w:r w:rsidRPr="00D97EFB">
        <w:tab/>
        <w:t>On and after the FSR commencement, a netting market approval granted:</w:t>
      </w:r>
    </w:p>
    <w:p w14:paraId="1E47E61A" w14:textId="77777777" w:rsidR="00E93F58" w:rsidRPr="00D97EFB" w:rsidRDefault="00E93F58" w:rsidP="00BB7E31">
      <w:pPr>
        <w:pStyle w:val="paragraph"/>
      </w:pPr>
      <w:r w:rsidRPr="00D97EFB">
        <w:rPr>
          <w:color w:val="000000"/>
        </w:rPr>
        <w:tab/>
        <w:t>(a)</w:t>
      </w:r>
      <w:r w:rsidRPr="00D97EFB">
        <w:rPr>
          <w:color w:val="000000"/>
        </w:rPr>
        <w:tab/>
        <w:t xml:space="preserve">under the </w:t>
      </w:r>
      <w:r w:rsidRPr="00D97EFB">
        <w:rPr>
          <w:i/>
          <w:color w:val="000000"/>
        </w:rPr>
        <w:t>Payment Systems and Netting Act 1998</w:t>
      </w:r>
      <w:r w:rsidRPr="00D97EFB">
        <w:rPr>
          <w:color w:val="000000"/>
        </w:rPr>
        <w:t>; and</w:t>
      </w:r>
    </w:p>
    <w:p w14:paraId="475348A3" w14:textId="77777777" w:rsidR="00E93F58" w:rsidRPr="00D97EFB" w:rsidRDefault="00E93F58" w:rsidP="00BB7E31">
      <w:pPr>
        <w:pStyle w:val="paragraph"/>
      </w:pPr>
      <w:r w:rsidRPr="00D97EFB">
        <w:tab/>
        <w:t>(b)</w:t>
      </w:r>
      <w:r w:rsidRPr="00D97EFB">
        <w:tab/>
        <w:t>in relation to a market other than a market mentioned in subregulation 10.2.31(1) before the FSR commencement;</w:t>
      </w:r>
    </w:p>
    <w:p w14:paraId="61168335" w14:textId="77777777" w:rsidR="00E93F58" w:rsidRPr="00D97EFB" w:rsidRDefault="00E93F58" w:rsidP="00BB7E31">
      <w:pPr>
        <w:pStyle w:val="subsection2"/>
      </w:pPr>
      <w:r w:rsidRPr="00D97EFB">
        <w:rPr>
          <w:color w:val="000000"/>
        </w:rPr>
        <w:t>is taken to continue in force.</w:t>
      </w:r>
    </w:p>
    <w:p w14:paraId="37B47AF8" w14:textId="77777777" w:rsidR="00E93F58" w:rsidRPr="00D97EFB" w:rsidRDefault="00E93F58" w:rsidP="00BB7E31">
      <w:pPr>
        <w:pStyle w:val="ActHead3"/>
        <w:pageBreakBefore/>
        <w:rPr>
          <w:color w:val="000000"/>
        </w:rPr>
      </w:pPr>
      <w:bookmarkStart w:id="2410" w:name="_Toc151994484"/>
      <w:bookmarkStart w:id="2411" w:name="_Toc158712994"/>
      <w:r w:rsidRPr="000D40D5">
        <w:rPr>
          <w:rStyle w:val="CharDivNo"/>
        </w:rPr>
        <w:lastRenderedPageBreak/>
        <w:t>Division 11</w:t>
      </w:r>
      <w:r w:rsidRPr="00D97EFB">
        <w:rPr>
          <w:color w:val="000000"/>
        </w:rPr>
        <w:t>—</w:t>
      </w:r>
      <w:r w:rsidRPr="000D40D5">
        <w:rPr>
          <w:rStyle w:val="CharDivText"/>
        </w:rPr>
        <w:t>Status of listed securities</w:t>
      </w:r>
      <w:bookmarkEnd w:id="2410"/>
      <w:bookmarkEnd w:id="2411"/>
    </w:p>
    <w:p w14:paraId="21DE5975" w14:textId="77777777" w:rsidR="00E93F58" w:rsidRPr="00D97EFB" w:rsidRDefault="00E93F58" w:rsidP="00BB7E31">
      <w:pPr>
        <w:pStyle w:val="ActHead5"/>
      </w:pPr>
      <w:bookmarkStart w:id="2412" w:name="_Toc151994485"/>
      <w:bookmarkStart w:id="2413" w:name="_Toc158712995"/>
      <w:r w:rsidRPr="000D40D5">
        <w:rPr>
          <w:rStyle w:val="CharSectno"/>
        </w:rPr>
        <w:t>10.2.33</w:t>
      </w:r>
      <w:r w:rsidRPr="00D97EFB">
        <w:rPr>
          <w:sz w:val="16"/>
        </w:rPr>
        <w:t xml:space="preserve">  </w:t>
      </w:r>
      <w:r w:rsidRPr="00D97EFB">
        <w:t>Securities of exempt stock markets</w:t>
      </w:r>
      <w:bookmarkEnd w:id="2412"/>
      <w:bookmarkEnd w:id="2413"/>
    </w:p>
    <w:p w14:paraId="6A1A9D6A" w14:textId="77777777" w:rsidR="00E93F58" w:rsidRPr="00D97EFB" w:rsidRDefault="00E93F58" w:rsidP="00BB7E31">
      <w:pPr>
        <w:pStyle w:val="subsection"/>
      </w:pPr>
      <w:r w:rsidRPr="00D97EFB">
        <w:rPr>
          <w:color w:val="000000"/>
        </w:rPr>
        <w:tab/>
        <w:t>(1)</w:t>
      </w:r>
      <w:r w:rsidRPr="00D97EFB">
        <w:rPr>
          <w:color w:val="000000"/>
        </w:rPr>
        <w:tab/>
        <w:t>This regulation applies to a listed security, within the meaning of the SIS Act, that was, immediately before the FSR commencement, a share, unit, bond or debenture, right or other security, listed for quotation in the official list of an exempt stock market.</w:t>
      </w:r>
    </w:p>
    <w:p w14:paraId="1A15E964" w14:textId="77777777" w:rsidR="00E93F58" w:rsidRPr="00D97EFB" w:rsidRDefault="00E93F58" w:rsidP="00BB7E31">
      <w:pPr>
        <w:pStyle w:val="subsection"/>
      </w:pPr>
      <w:r w:rsidRPr="00D97EFB">
        <w:rPr>
          <w:color w:val="000000"/>
        </w:rPr>
        <w:tab/>
        <w:t>(2)</w:t>
      </w:r>
      <w:r w:rsidRPr="00D97EFB">
        <w:rPr>
          <w:color w:val="000000"/>
        </w:rPr>
        <w:tab/>
        <w:t>On and after the FSR commencement, the share, unit, bond or debenture, right or other security is taken to be a listed security for the purposes of the SIS Act.</w:t>
      </w:r>
    </w:p>
    <w:p w14:paraId="55A75ACC" w14:textId="77777777" w:rsidR="00E93F58" w:rsidRPr="00D97EFB" w:rsidRDefault="00E93F58" w:rsidP="00BB7E31">
      <w:pPr>
        <w:pStyle w:val="subsection"/>
      </w:pPr>
      <w:r w:rsidRPr="00D97EFB">
        <w:tab/>
        <w:t>(3)</w:t>
      </w:r>
      <w:r w:rsidRPr="00D97EFB">
        <w:tab/>
        <w:t>Subregulation (2) ceases to apply if:</w:t>
      </w:r>
    </w:p>
    <w:p w14:paraId="10532A2A" w14:textId="77777777" w:rsidR="00E93F58" w:rsidRPr="00D97EFB" w:rsidRDefault="00E93F58" w:rsidP="00BB7E31">
      <w:pPr>
        <w:pStyle w:val="paragraph"/>
      </w:pPr>
      <w:r w:rsidRPr="00D97EFB">
        <w:tab/>
        <w:t>(a)</w:t>
      </w:r>
      <w:r w:rsidRPr="00D97EFB">
        <w:tab/>
        <w:t>the person conducting the exempt stock market to which the share, unit, bond or debenture, right or other security relates becomes:</w:t>
      </w:r>
    </w:p>
    <w:p w14:paraId="61854FDE" w14:textId="77777777" w:rsidR="00E93F58" w:rsidRPr="00D97EFB" w:rsidRDefault="00E93F58" w:rsidP="00BB7E31">
      <w:pPr>
        <w:pStyle w:val="paragraphsub"/>
      </w:pPr>
      <w:r w:rsidRPr="00D97EFB">
        <w:rPr>
          <w:color w:val="000000"/>
        </w:rPr>
        <w:tab/>
        <w:t>(i)</w:t>
      </w:r>
      <w:r w:rsidRPr="00D97EFB">
        <w:rPr>
          <w:color w:val="000000"/>
        </w:rPr>
        <w:tab/>
        <w:t>an Australian financial services licensee; or</w:t>
      </w:r>
    </w:p>
    <w:p w14:paraId="5255E3D8" w14:textId="77777777" w:rsidR="00E93F58" w:rsidRPr="00D97EFB" w:rsidRDefault="00E93F58" w:rsidP="00BB7E31">
      <w:pPr>
        <w:pStyle w:val="paragraphsub"/>
      </w:pPr>
      <w:r w:rsidRPr="00D97EFB">
        <w:tab/>
        <w:t>(ii)</w:t>
      </w:r>
      <w:r w:rsidRPr="00D97EFB">
        <w:tab/>
        <w:t>an Australian market licensee; or</w:t>
      </w:r>
    </w:p>
    <w:p w14:paraId="4412BA66" w14:textId="77777777" w:rsidR="00E93F58" w:rsidRPr="00D97EFB" w:rsidRDefault="00E93F58" w:rsidP="00BB7E31">
      <w:pPr>
        <w:pStyle w:val="paragraph"/>
      </w:pPr>
      <w:r w:rsidRPr="00D97EFB">
        <w:rPr>
          <w:color w:val="000000"/>
        </w:rPr>
        <w:tab/>
        <w:t>(b)</w:t>
      </w:r>
      <w:r w:rsidRPr="00D97EFB">
        <w:rPr>
          <w:color w:val="000000"/>
        </w:rPr>
        <w:tab/>
        <w:t>the exempt stock market to which the share, unit, bond or debenture, right or other security relates ceases to operate.</w:t>
      </w:r>
    </w:p>
    <w:p w14:paraId="1D85A83C" w14:textId="77777777" w:rsidR="00E93F58" w:rsidRPr="00D97EFB" w:rsidRDefault="00E93F58" w:rsidP="00BB7E31">
      <w:pPr>
        <w:pStyle w:val="ActHead3"/>
        <w:pageBreakBefore/>
        <w:rPr>
          <w:color w:val="000000"/>
        </w:rPr>
      </w:pPr>
      <w:bookmarkStart w:id="2414" w:name="_Toc151994486"/>
      <w:bookmarkStart w:id="2415" w:name="_Toc158712996"/>
      <w:r w:rsidRPr="000D40D5">
        <w:rPr>
          <w:rStyle w:val="CharDivNo"/>
        </w:rPr>
        <w:lastRenderedPageBreak/>
        <w:t>Division 12</w:t>
      </w:r>
      <w:r w:rsidRPr="00D97EFB">
        <w:rPr>
          <w:color w:val="000000"/>
        </w:rPr>
        <w:t>—</w:t>
      </w:r>
      <w:r w:rsidRPr="000D40D5">
        <w:rPr>
          <w:rStyle w:val="CharDivText"/>
        </w:rPr>
        <w:t>Miscellaneous</w:t>
      </w:r>
      <w:bookmarkEnd w:id="2414"/>
      <w:bookmarkEnd w:id="2415"/>
    </w:p>
    <w:p w14:paraId="2B93BCB9" w14:textId="77777777" w:rsidR="00E93F58" w:rsidRPr="00D97EFB" w:rsidRDefault="00E93F58" w:rsidP="00BB7E31">
      <w:pPr>
        <w:pStyle w:val="ActHead5"/>
      </w:pPr>
      <w:bookmarkStart w:id="2416" w:name="_Toc151994487"/>
      <w:bookmarkStart w:id="2417" w:name="_Toc158712997"/>
      <w:r w:rsidRPr="000D40D5">
        <w:rPr>
          <w:rStyle w:val="CharSectno"/>
        </w:rPr>
        <w:t>10.2.34</w:t>
      </w:r>
      <w:r w:rsidRPr="00D97EFB">
        <w:t xml:space="preserve">  Preservation of nomination of body corporate as SEGC</w:t>
      </w:r>
      <w:bookmarkEnd w:id="2416"/>
      <w:bookmarkEnd w:id="2417"/>
    </w:p>
    <w:p w14:paraId="5DBBBE27" w14:textId="77777777" w:rsidR="00E93F58" w:rsidRPr="00D97EFB" w:rsidRDefault="00E93F58" w:rsidP="00BB7E31">
      <w:pPr>
        <w:pStyle w:val="subsection"/>
      </w:pPr>
      <w:r w:rsidRPr="00D97EFB">
        <w:rPr>
          <w:color w:val="000000"/>
        </w:rPr>
        <w:tab/>
      </w:r>
      <w:r w:rsidRPr="00D97EFB">
        <w:rPr>
          <w:color w:val="000000"/>
        </w:rPr>
        <w:tab/>
        <w:t>On and after the FSR commencement, the nomination of the SEGC that continued to have effect in accordance with section 1390 of the old Corporations Act continues to have effect.</w:t>
      </w:r>
    </w:p>
    <w:p w14:paraId="067AB9CF" w14:textId="77777777" w:rsidR="00E93F58" w:rsidRPr="00D97EFB" w:rsidRDefault="00E93F58" w:rsidP="00C0664B">
      <w:pPr>
        <w:pStyle w:val="ActHead3"/>
        <w:pageBreakBefore/>
        <w:rPr>
          <w:color w:val="000000"/>
        </w:rPr>
      </w:pPr>
      <w:bookmarkStart w:id="2418" w:name="_Toc151994488"/>
      <w:bookmarkStart w:id="2419" w:name="_Toc158712998"/>
      <w:r w:rsidRPr="000D40D5">
        <w:rPr>
          <w:rStyle w:val="CharDivNo"/>
        </w:rPr>
        <w:lastRenderedPageBreak/>
        <w:t>Division 13</w:t>
      </w:r>
      <w:r w:rsidRPr="00D97EFB">
        <w:rPr>
          <w:color w:val="000000"/>
        </w:rPr>
        <w:t>—</w:t>
      </w:r>
      <w:r w:rsidRPr="000D40D5">
        <w:rPr>
          <w:rStyle w:val="CharDivText"/>
        </w:rPr>
        <w:t>Regulated principals</w:t>
      </w:r>
      <w:bookmarkEnd w:id="2418"/>
      <w:bookmarkEnd w:id="2419"/>
    </w:p>
    <w:p w14:paraId="2D36F34C" w14:textId="77777777" w:rsidR="00E93F58" w:rsidRPr="00D97EFB" w:rsidRDefault="00E93F58" w:rsidP="00BB7E31">
      <w:pPr>
        <w:pStyle w:val="ActHead5"/>
      </w:pPr>
      <w:bookmarkStart w:id="2420" w:name="_Toc151994489"/>
      <w:bookmarkStart w:id="2421" w:name="_Toc158712999"/>
      <w:r w:rsidRPr="000D40D5">
        <w:rPr>
          <w:rStyle w:val="CharSectno"/>
        </w:rPr>
        <w:t>10.2.35</w:t>
      </w:r>
      <w:r w:rsidRPr="00D97EFB">
        <w:t xml:space="preserve">  Definitions</w:t>
      </w:r>
      <w:bookmarkEnd w:id="2420"/>
      <w:bookmarkEnd w:id="2421"/>
    </w:p>
    <w:p w14:paraId="30206DD2" w14:textId="77777777" w:rsidR="00E93F58" w:rsidRPr="00D97EFB" w:rsidRDefault="00E93F58" w:rsidP="00BB7E31">
      <w:pPr>
        <w:pStyle w:val="subsection"/>
      </w:pPr>
      <w:r w:rsidRPr="00D97EFB">
        <w:tab/>
      </w:r>
      <w:r w:rsidRPr="00D97EFB">
        <w:tab/>
        <w:t>In this Division:</w:t>
      </w:r>
    </w:p>
    <w:p w14:paraId="6721E881" w14:textId="77777777" w:rsidR="00E93F58" w:rsidRPr="00D97EFB" w:rsidRDefault="00E93F58" w:rsidP="00BB7E31">
      <w:pPr>
        <w:pStyle w:val="Definition"/>
      </w:pPr>
      <w:r w:rsidRPr="00D97EFB">
        <w:rPr>
          <w:b/>
          <w:i/>
          <w:color w:val="000000"/>
        </w:rPr>
        <w:t xml:space="preserve">amended Corporations Act </w:t>
      </w:r>
      <w:r w:rsidRPr="00D97EFB">
        <w:rPr>
          <w:color w:val="000000"/>
        </w:rPr>
        <w:t>means the Act as in force after the FSR commencement.</w:t>
      </w:r>
    </w:p>
    <w:p w14:paraId="1AE18730" w14:textId="77777777" w:rsidR="00E93F58" w:rsidRPr="00D97EFB" w:rsidRDefault="00E93F58" w:rsidP="00BB7E31">
      <w:pPr>
        <w:pStyle w:val="Definition"/>
      </w:pPr>
      <w:r w:rsidRPr="00D97EFB">
        <w:rPr>
          <w:b/>
          <w:i/>
          <w:color w:val="000000"/>
        </w:rPr>
        <w:t>associate</w:t>
      </w:r>
      <w:r w:rsidRPr="00D97EFB">
        <w:t>, in relation to a principal, means:</w:t>
      </w:r>
    </w:p>
    <w:p w14:paraId="590C0C9C" w14:textId="77777777" w:rsidR="00E93F58" w:rsidRPr="00D97EFB" w:rsidRDefault="00E93F58" w:rsidP="00BB7E31">
      <w:pPr>
        <w:pStyle w:val="paragraph"/>
      </w:pPr>
      <w:r w:rsidRPr="00D97EFB">
        <w:tab/>
        <w:t>(a)</w:t>
      </w:r>
      <w:r w:rsidRPr="00D97EFB">
        <w:tab/>
        <w:t>if the principal is a body corporate:</w:t>
      </w:r>
    </w:p>
    <w:p w14:paraId="3E4CA426" w14:textId="77777777" w:rsidR="00E93F58" w:rsidRPr="00D97EFB" w:rsidRDefault="00E93F58" w:rsidP="00BB7E31">
      <w:pPr>
        <w:pStyle w:val="paragraphsub"/>
      </w:pPr>
      <w:r w:rsidRPr="00D97EFB">
        <w:rPr>
          <w:color w:val="000000"/>
        </w:rPr>
        <w:tab/>
        <w:t>(i)</w:t>
      </w:r>
      <w:r w:rsidRPr="00D97EFB">
        <w:rPr>
          <w:color w:val="000000"/>
        </w:rPr>
        <w:tab/>
        <w:t>a director or secretary of the principal; and</w:t>
      </w:r>
    </w:p>
    <w:p w14:paraId="1D4219BA" w14:textId="77777777" w:rsidR="00E93F58" w:rsidRPr="00D97EFB" w:rsidRDefault="00E93F58" w:rsidP="00BB7E31">
      <w:pPr>
        <w:pStyle w:val="paragraphsub"/>
      </w:pPr>
      <w:r w:rsidRPr="00D97EFB">
        <w:tab/>
        <w:t>(ii)</w:t>
      </w:r>
      <w:r w:rsidRPr="00D97EFB">
        <w:tab/>
        <w:t>a related body corporate; and</w:t>
      </w:r>
    </w:p>
    <w:p w14:paraId="0BE1B8D5" w14:textId="77777777" w:rsidR="00E93F58" w:rsidRPr="00D97EFB" w:rsidRDefault="00E93F58" w:rsidP="00BB7E31">
      <w:pPr>
        <w:pStyle w:val="paragraphsub"/>
      </w:pPr>
      <w:r w:rsidRPr="00D97EFB">
        <w:tab/>
        <w:t>(iii)</w:t>
      </w:r>
      <w:r w:rsidRPr="00D97EFB">
        <w:tab/>
        <w:t>a responsible officer of the principal; and</w:t>
      </w:r>
    </w:p>
    <w:p w14:paraId="6D7C890F" w14:textId="77777777" w:rsidR="00E93F58" w:rsidRPr="00D97EFB" w:rsidRDefault="00E93F58" w:rsidP="00BB7E31">
      <w:pPr>
        <w:pStyle w:val="paragraph"/>
      </w:pPr>
      <w:r w:rsidRPr="00D97EFB">
        <w:tab/>
        <w:t>(b)</w:t>
      </w:r>
      <w:r w:rsidRPr="00D97EFB">
        <w:tab/>
        <w:t>if the principal is a natural person:</w:t>
      </w:r>
    </w:p>
    <w:p w14:paraId="5DA301CE" w14:textId="77777777" w:rsidR="00E93F58" w:rsidRPr="00D97EFB" w:rsidRDefault="00E93F58" w:rsidP="00BB7E31">
      <w:pPr>
        <w:pStyle w:val="paragraphsub"/>
      </w:pPr>
      <w:r w:rsidRPr="00D97EFB">
        <w:rPr>
          <w:color w:val="000000"/>
        </w:rPr>
        <w:tab/>
        <w:t>(i)</w:t>
      </w:r>
      <w:r w:rsidRPr="00D97EFB">
        <w:rPr>
          <w:color w:val="000000"/>
        </w:rPr>
        <w:tab/>
        <w:t>a person with whom the principal carries on a financial services business in partnership; and</w:t>
      </w:r>
    </w:p>
    <w:p w14:paraId="51891154" w14:textId="77777777" w:rsidR="00E93F58" w:rsidRPr="00D97EFB" w:rsidRDefault="00E93F58" w:rsidP="00BB7E31">
      <w:pPr>
        <w:pStyle w:val="paragraphsub"/>
      </w:pPr>
      <w:r w:rsidRPr="00D97EFB">
        <w:tab/>
        <w:t>(ii)</w:t>
      </w:r>
      <w:r w:rsidRPr="00D97EFB">
        <w:tab/>
        <w:t>a director or proposed director of a body corporate:</w:t>
      </w:r>
    </w:p>
    <w:p w14:paraId="126AA706" w14:textId="77777777" w:rsidR="00E93F58" w:rsidRPr="00D97EFB" w:rsidRDefault="00E93F58" w:rsidP="00BB7E31">
      <w:pPr>
        <w:pStyle w:val="paragraphsub-sub"/>
        <w:rPr>
          <w:color w:val="000000"/>
        </w:rPr>
      </w:pPr>
      <w:r w:rsidRPr="00D97EFB">
        <w:rPr>
          <w:color w:val="000000"/>
        </w:rPr>
        <w:tab/>
        <w:t>(A)</w:t>
      </w:r>
      <w:r w:rsidRPr="00D97EFB">
        <w:rPr>
          <w:color w:val="000000"/>
        </w:rPr>
        <w:tab/>
        <w:t>of which the principal is also a director or proposed director; and</w:t>
      </w:r>
    </w:p>
    <w:p w14:paraId="20964D0D" w14:textId="77777777" w:rsidR="00E93F58" w:rsidRPr="00D97EFB" w:rsidRDefault="00E93F58" w:rsidP="00BB7E31">
      <w:pPr>
        <w:pStyle w:val="paragraphsub-sub"/>
      </w:pPr>
      <w:r w:rsidRPr="00D97EFB">
        <w:tab/>
        <w:t>(B)</w:t>
      </w:r>
      <w:r w:rsidRPr="00D97EFB">
        <w:tab/>
        <w:t>that carries on a financial services business; and</w:t>
      </w:r>
    </w:p>
    <w:p w14:paraId="4116A438" w14:textId="77777777" w:rsidR="00E93F58" w:rsidRPr="00D97EFB" w:rsidRDefault="00E93F58" w:rsidP="00BB7E31">
      <w:pPr>
        <w:pStyle w:val="paragraph"/>
      </w:pPr>
      <w:r w:rsidRPr="00D97EFB">
        <w:rPr>
          <w:color w:val="000000"/>
        </w:rPr>
        <w:tab/>
        <w:t>(c)</w:t>
      </w:r>
      <w:r w:rsidRPr="00D97EFB">
        <w:rPr>
          <w:color w:val="000000"/>
        </w:rPr>
        <w:tab/>
        <w:t>if the principal is a trustee of a trust to which subsection 761FA(1) of the amended Corporations Act applies—another trustee of that trust with whom the principal carries on a financial services business.</w:t>
      </w:r>
    </w:p>
    <w:p w14:paraId="1CA6D089" w14:textId="77777777" w:rsidR="00E93F58" w:rsidRPr="00D97EFB" w:rsidRDefault="00E93F58" w:rsidP="00BB7E31">
      <w:pPr>
        <w:pStyle w:val="Definition"/>
      </w:pPr>
      <w:r w:rsidRPr="00D97EFB">
        <w:rPr>
          <w:b/>
          <w:i/>
          <w:color w:val="000000"/>
        </w:rPr>
        <w:t>financial services activities</w:t>
      </w:r>
      <w:r w:rsidRPr="00D97EFB">
        <w:t xml:space="preserve"> means:</w:t>
      </w:r>
    </w:p>
    <w:p w14:paraId="469AE997" w14:textId="77777777" w:rsidR="00E93F58" w:rsidRPr="00D97EFB" w:rsidRDefault="00E93F58" w:rsidP="00BB7E31">
      <w:pPr>
        <w:pStyle w:val="paragraph"/>
      </w:pPr>
      <w:r w:rsidRPr="00D97EFB">
        <w:tab/>
        <w:t>(a)</w:t>
      </w:r>
      <w:r w:rsidRPr="00D97EFB">
        <w:tab/>
        <w:t>any conduct or activities that constitute:</w:t>
      </w:r>
    </w:p>
    <w:p w14:paraId="40002D2F" w14:textId="77777777" w:rsidR="00E93F58" w:rsidRPr="00D97EFB" w:rsidRDefault="00E93F58" w:rsidP="00BB7E31">
      <w:pPr>
        <w:pStyle w:val="paragraphsub"/>
      </w:pPr>
      <w:r w:rsidRPr="00D97EFB">
        <w:rPr>
          <w:color w:val="000000"/>
        </w:rPr>
        <w:tab/>
        <w:t>(i)</w:t>
      </w:r>
      <w:r w:rsidRPr="00D97EFB">
        <w:rPr>
          <w:color w:val="000000"/>
        </w:rPr>
        <w:tab/>
        <w:t>carrying on a financial services business; or</w:t>
      </w:r>
    </w:p>
    <w:p w14:paraId="61D22A0E" w14:textId="77777777" w:rsidR="00E93F58" w:rsidRPr="00D97EFB" w:rsidRDefault="00E93F58" w:rsidP="00BB7E31">
      <w:pPr>
        <w:pStyle w:val="paragraphsub"/>
      </w:pPr>
      <w:r w:rsidRPr="00D97EFB">
        <w:tab/>
        <w:t>(ii)</w:t>
      </w:r>
      <w:r w:rsidRPr="00D97EFB">
        <w:tab/>
        <w:t>operating a financial market; or</w:t>
      </w:r>
    </w:p>
    <w:p w14:paraId="56A44DF3" w14:textId="77777777" w:rsidR="00E93F58" w:rsidRPr="00D97EFB" w:rsidRDefault="00E93F58" w:rsidP="00BB7E31">
      <w:pPr>
        <w:pStyle w:val="paragraphsub"/>
      </w:pPr>
      <w:r w:rsidRPr="00D97EFB">
        <w:tab/>
        <w:t>(iii)</w:t>
      </w:r>
      <w:r w:rsidRPr="00D97EFB">
        <w:tab/>
        <w:t>operating a clearing and settlement facility; and</w:t>
      </w:r>
    </w:p>
    <w:p w14:paraId="784F4E92" w14:textId="77777777" w:rsidR="00E93F58" w:rsidRPr="00D97EFB" w:rsidRDefault="00E93F58" w:rsidP="00BB7E31">
      <w:pPr>
        <w:pStyle w:val="paragraph"/>
      </w:pPr>
      <w:r w:rsidRPr="00D97EFB">
        <w:tab/>
        <w:t>(b)</w:t>
      </w:r>
      <w:r w:rsidRPr="00D97EFB">
        <w:tab/>
        <w:t>any conduct or activities:</w:t>
      </w:r>
    </w:p>
    <w:p w14:paraId="15863B71" w14:textId="77777777" w:rsidR="00E93F58" w:rsidRPr="00D97EFB" w:rsidRDefault="00E93F58" w:rsidP="00BB7E31">
      <w:pPr>
        <w:pStyle w:val="paragraphsub"/>
      </w:pPr>
      <w:r w:rsidRPr="00D97EFB">
        <w:rPr>
          <w:color w:val="000000"/>
        </w:rPr>
        <w:tab/>
        <w:t>(i)</w:t>
      </w:r>
      <w:r w:rsidRPr="00D97EFB">
        <w:rPr>
          <w:color w:val="000000"/>
        </w:rPr>
        <w:tab/>
        <w:t>that were engaged in before the FSR commencement; and</w:t>
      </w:r>
    </w:p>
    <w:p w14:paraId="59A31007" w14:textId="77777777" w:rsidR="00E93F58" w:rsidRPr="00D97EFB" w:rsidRDefault="00E93F58" w:rsidP="00BB7E31">
      <w:pPr>
        <w:pStyle w:val="paragraphsub"/>
      </w:pPr>
      <w:r w:rsidRPr="00D97EFB">
        <w:tab/>
        <w:t>(ii)</w:t>
      </w:r>
      <w:r w:rsidRPr="00D97EFB">
        <w:tab/>
        <w:t>to which paragraph (a) would apply if they were engaged in after the FSR commencement; and</w:t>
      </w:r>
    </w:p>
    <w:p w14:paraId="5FAABC4D" w14:textId="77777777" w:rsidR="00E93F58" w:rsidRPr="00D97EFB" w:rsidRDefault="00E93F58" w:rsidP="00BB7E31">
      <w:pPr>
        <w:pStyle w:val="paragraph"/>
      </w:pPr>
      <w:r w:rsidRPr="00D97EFB">
        <w:tab/>
        <w:t>(c)</w:t>
      </w:r>
      <w:r w:rsidRPr="00D97EFB">
        <w:tab/>
        <w:t>any conduct or activities:</w:t>
      </w:r>
    </w:p>
    <w:p w14:paraId="3406B50F" w14:textId="77777777" w:rsidR="00E93F58" w:rsidRPr="00D97EFB" w:rsidRDefault="00E93F58" w:rsidP="00BB7E31">
      <w:pPr>
        <w:pStyle w:val="paragraphsub"/>
      </w:pPr>
      <w:r w:rsidRPr="00D97EFB">
        <w:tab/>
        <w:t>(i)</w:t>
      </w:r>
      <w:r w:rsidRPr="00D97EFB">
        <w:tab/>
        <w:t>that were engaged in:</w:t>
      </w:r>
    </w:p>
    <w:p w14:paraId="005CC730" w14:textId="77777777" w:rsidR="00E93F58" w:rsidRPr="00D97EFB" w:rsidRDefault="00E93F58" w:rsidP="00BB7E31">
      <w:pPr>
        <w:pStyle w:val="paragraphsub-sub"/>
      </w:pPr>
      <w:r w:rsidRPr="00D97EFB">
        <w:rPr>
          <w:color w:val="000000"/>
        </w:rPr>
        <w:tab/>
        <w:t>(A)</w:t>
      </w:r>
      <w:r w:rsidRPr="00D97EFB">
        <w:rPr>
          <w:color w:val="000000"/>
        </w:rPr>
        <w:tab/>
        <w:t>after the FSR commencement; and</w:t>
      </w:r>
    </w:p>
    <w:p w14:paraId="02521B89" w14:textId="77777777" w:rsidR="00E93F58" w:rsidRPr="00D97EFB" w:rsidRDefault="00E93F58" w:rsidP="00BB7E31">
      <w:pPr>
        <w:pStyle w:val="paragraphsub-sub"/>
      </w:pPr>
      <w:r w:rsidRPr="00D97EFB">
        <w:tab/>
        <w:t>(B)</w:t>
      </w:r>
      <w:r w:rsidRPr="00D97EFB">
        <w:tab/>
        <w:t>before the relevant provisions of the amended Corporations Act applied to the conduct or any of the activities; and</w:t>
      </w:r>
    </w:p>
    <w:p w14:paraId="22F718DC" w14:textId="77777777" w:rsidR="00E93F58" w:rsidRPr="00D97EFB" w:rsidRDefault="00E93F58" w:rsidP="00BB7E31">
      <w:pPr>
        <w:pStyle w:val="paragraphsub"/>
      </w:pPr>
      <w:r w:rsidRPr="00D97EFB">
        <w:rPr>
          <w:color w:val="000000"/>
        </w:rPr>
        <w:tab/>
        <w:t>(ii)</w:t>
      </w:r>
      <w:r w:rsidRPr="00D97EFB">
        <w:rPr>
          <w:color w:val="000000"/>
        </w:rPr>
        <w:tab/>
        <w:t>to which paragraph (a) would apply if they were engaged in after the relevant provisions of the amended Corporations Act applied to the conduct or activities.</w:t>
      </w:r>
    </w:p>
    <w:p w14:paraId="7C8179B6" w14:textId="77777777" w:rsidR="00E93F58" w:rsidRPr="00D97EFB" w:rsidRDefault="00E93F58" w:rsidP="00BB7E31">
      <w:pPr>
        <w:pStyle w:val="Definition"/>
      </w:pPr>
      <w:r w:rsidRPr="00D97EFB">
        <w:rPr>
          <w:b/>
          <w:i/>
          <w:color w:val="000000"/>
        </w:rPr>
        <w:t>regulator</w:t>
      </w:r>
      <w:r w:rsidRPr="00D97EFB">
        <w:t xml:space="preserve"> means any of the following bodies:</w:t>
      </w:r>
    </w:p>
    <w:p w14:paraId="0E273837" w14:textId="77777777" w:rsidR="00E93F58" w:rsidRPr="00D97EFB" w:rsidRDefault="00E93F58" w:rsidP="00BB7E31">
      <w:pPr>
        <w:pStyle w:val="paragraph"/>
      </w:pPr>
      <w:r w:rsidRPr="00D97EFB">
        <w:rPr>
          <w:color w:val="000000"/>
        </w:rPr>
        <w:tab/>
        <w:t>(a)</w:t>
      </w:r>
      <w:r w:rsidRPr="00D97EFB">
        <w:rPr>
          <w:color w:val="000000"/>
        </w:rPr>
        <w:tab/>
        <w:t>ASIC;</w:t>
      </w:r>
    </w:p>
    <w:p w14:paraId="11A43FDE" w14:textId="77777777" w:rsidR="00E93F58" w:rsidRPr="00D97EFB" w:rsidRDefault="00E93F58" w:rsidP="00BB7E31">
      <w:pPr>
        <w:pStyle w:val="paragraph"/>
      </w:pPr>
      <w:r w:rsidRPr="00D97EFB">
        <w:tab/>
        <w:t>(b)</w:t>
      </w:r>
      <w:r w:rsidRPr="00D97EFB">
        <w:tab/>
        <w:t>a body that had any of the functions of ASIC before ASIC was created;</w:t>
      </w:r>
    </w:p>
    <w:p w14:paraId="6532EFBA" w14:textId="77777777" w:rsidR="00E93F58" w:rsidRPr="00D97EFB" w:rsidRDefault="00E93F58" w:rsidP="00BB7E31">
      <w:pPr>
        <w:pStyle w:val="paragraph"/>
      </w:pPr>
      <w:r w:rsidRPr="00D97EFB">
        <w:tab/>
        <w:t>(c)</w:t>
      </w:r>
      <w:r w:rsidRPr="00D97EFB">
        <w:tab/>
        <w:t>APRA;</w:t>
      </w:r>
    </w:p>
    <w:p w14:paraId="6E23A8BB" w14:textId="77777777" w:rsidR="00E93F58" w:rsidRPr="00D97EFB" w:rsidRDefault="00E93F58" w:rsidP="00BB7E31">
      <w:pPr>
        <w:pStyle w:val="paragraph"/>
      </w:pPr>
      <w:r w:rsidRPr="00D97EFB">
        <w:tab/>
        <w:t>(d)</w:t>
      </w:r>
      <w:r w:rsidRPr="00D97EFB">
        <w:tab/>
        <w:t>a body that had any of the functions of APRA before APRA was created;</w:t>
      </w:r>
    </w:p>
    <w:p w14:paraId="690CF8EE" w14:textId="77777777" w:rsidR="00E93F58" w:rsidRPr="00D97EFB" w:rsidRDefault="00E93F58" w:rsidP="00BB7E31">
      <w:pPr>
        <w:pStyle w:val="paragraph"/>
      </w:pPr>
      <w:r w:rsidRPr="00D97EFB">
        <w:tab/>
        <w:t>(e)</w:t>
      </w:r>
      <w:r w:rsidRPr="00D97EFB">
        <w:tab/>
        <w:t>the Australian Competition and Consumer Commission;</w:t>
      </w:r>
    </w:p>
    <w:p w14:paraId="31B6AAFD" w14:textId="77777777" w:rsidR="00E93F58" w:rsidRPr="00D97EFB" w:rsidRDefault="00E93F58" w:rsidP="00BB7E31">
      <w:pPr>
        <w:pStyle w:val="paragraph"/>
      </w:pPr>
      <w:r w:rsidRPr="00D97EFB">
        <w:tab/>
        <w:t>(f)</w:t>
      </w:r>
      <w:r w:rsidRPr="00D97EFB">
        <w:tab/>
        <w:t>a body that had any of the functions of the Australian Competition and Consumer Commission before the Australian Competition and Consumer Commission was created.</w:t>
      </w:r>
    </w:p>
    <w:p w14:paraId="47CA6E4C" w14:textId="77777777" w:rsidR="00E93F58" w:rsidRPr="00D97EFB" w:rsidRDefault="00E93F58" w:rsidP="00BB7E31">
      <w:pPr>
        <w:pStyle w:val="ActHead5"/>
      </w:pPr>
      <w:bookmarkStart w:id="2422" w:name="_Toc151994490"/>
      <w:bookmarkStart w:id="2423" w:name="_Toc158713000"/>
      <w:r w:rsidRPr="000D40D5">
        <w:rPr>
          <w:rStyle w:val="CharSectno"/>
        </w:rPr>
        <w:t>10.2.35A</w:t>
      </w:r>
      <w:r w:rsidRPr="00D97EFB">
        <w:t xml:space="preserve">  Streamlined licensing procedure for certain regulated principals</w:t>
      </w:r>
      <w:bookmarkEnd w:id="2422"/>
      <w:bookmarkEnd w:id="2423"/>
    </w:p>
    <w:p w14:paraId="3BF630E7" w14:textId="77777777" w:rsidR="00E93F58" w:rsidRPr="00D97EFB" w:rsidRDefault="00E93F58" w:rsidP="00BB7E31">
      <w:pPr>
        <w:pStyle w:val="subsection"/>
      </w:pPr>
      <w:r w:rsidRPr="00D97EFB">
        <w:tab/>
      </w:r>
      <w:r w:rsidRPr="00D97EFB">
        <w:tab/>
        <w:t>For subparagraph 1433(1)(b)(i) of the Act, each of the following is a regulated principal to whom section 1433 of the Act applies:</w:t>
      </w:r>
    </w:p>
    <w:p w14:paraId="6EBED8D8" w14:textId="77777777" w:rsidR="00E93F58" w:rsidRPr="00D97EFB" w:rsidRDefault="00E93F58" w:rsidP="00BB7E31">
      <w:pPr>
        <w:pStyle w:val="paragraph"/>
      </w:pPr>
      <w:r w:rsidRPr="00D97EFB">
        <w:tab/>
        <w:t>(a)</w:t>
      </w:r>
      <w:r w:rsidRPr="00D97EFB">
        <w:tab/>
        <w:t>a regulated principal mentioned in item 14 of the table in subregulation 10.2.38(2);</w:t>
      </w:r>
    </w:p>
    <w:p w14:paraId="2A91C8E3" w14:textId="77777777" w:rsidR="00E93F58" w:rsidRPr="00D97EFB" w:rsidRDefault="00E93F58" w:rsidP="00BB7E31">
      <w:pPr>
        <w:pStyle w:val="paragraph"/>
      </w:pPr>
      <w:r w:rsidRPr="00D97EFB">
        <w:tab/>
        <w:t>(b)</w:t>
      </w:r>
      <w:r w:rsidRPr="00D97EFB">
        <w:tab/>
        <w:t>a regulated principal mentioned in item 15 of the table in subregulation 10.2.38(2).</w:t>
      </w:r>
    </w:p>
    <w:p w14:paraId="35D46E07" w14:textId="77777777" w:rsidR="00E93F58" w:rsidRPr="00D97EFB" w:rsidRDefault="00E93F58" w:rsidP="000A7E3B">
      <w:pPr>
        <w:pStyle w:val="ActHead5"/>
      </w:pPr>
      <w:bookmarkStart w:id="2424" w:name="_Toc151994491"/>
      <w:bookmarkStart w:id="2425" w:name="_Toc158713001"/>
      <w:r w:rsidRPr="000D40D5">
        <w:rPr>
          <w:rStyle w:val="CharSectno"/>
        </w:rPr>
        <w:lastRenderedPageBreak/>
        <w:t>10.2.36</w:t>
      </w:r>
      <w:r w:rsidRPr="00D97EFB">
        <w:t xml:space="preserve">  Persons who are not covered by section 1433 of the Act</w:t>
      </w:r>
      <w:bookmarkEnd w:id="2424"/>
      <w:bookmarkEnd w:id="2425"/>
    </w:p>
    <w:p w14:paraId="318DD9E9" w14:textId="77777777" w:rsidR="00E93F58" w:rsidRPr="00D97EFB" w:rsidRDefault="00E93F58" w:rsidP="000A7E3B">
      <w:pPr>
        <w:pStyle w:val="subsection"/>
        <w:keepNext/>
        <w:keepLines/>
      </w:pPr>
      <w:r w:rsidRPr="00D97EFB">
        <w:tab/>
      </w:r>
      <w:r w:rsidRPr="00D97EFB">
        <w:tab/>
        <w:t>For subsection 1433(3) of the Act, a person who is a member of a class of persons identified in an item in Schedule 11 is not covered by section 1433 of the Act:</w:t>
      </w:r>
    </w:p>
    <w:p w14:paraId="29ED918B" w14:textId="77777777" w:rsidR="00E93F58" w:rsidRPr="00D97EFB" w:rsidRDefault="00E93F58" w:rsidP="00BB7E31">
      <w:pPr>
        <w:pStyle w:val="paragraph"/>
      </w:pPr>
      <w:r w:rsidRPr="00D97EFB">
        <w:tab/>
        <w:t>(a)</w:t>
      </w:r>
      <w:r w:rsidRPr="00D97EFB">
        <w:tab/>
        <w:t>if a period is mentioned in the item—during that period; or</w:t>
      </w:r>
    </w:p>
    <w:p w14:paraId="19F5496E" w14:textId="77777777" w:rsidR="00E93F58" w:rsidRPr="00D97EFB" w:rsidRDefault="00E93F58" w:rsidP="00BB7E31">
      <w:pPr>
        <w:pStyle w:val="paragraph"/>
      </w:pPr>
      <w:r w:rsidRPr="00D97EFB">
        <w:tab/>
        <w:t>(b)</w:t>
      </w:r>
      <w:r w:rsidRPr="00D97EFB">
        <w:tab/>
        <w:t>if there is no period mentioned in the item—while the person remains a member of that class of persons.</w:t>
      </w:r>
    </w:p>
    <w:p w14:paraId="720EC2D2" w14:textId="77777777" w:rsidR="00E93F58" w:rsidRPr="00D97EFB" w:rsidRDefault="00E93F58" w:rsidP="00BB7E31">
      <w:pPr>
        <w:pStyle w:val="ActHead5"/>
      </w:pPr>
      <w:bookmarkStart w:id="2426" w:name="_Toc151994492"/>
      <w:bookmarkStart w:id="2427" w:name="_Toc158713002"/>
      <w:r w:rsidRPr="000D40D5">
        <w:rPr>
          <w:rStyle w:val="CharSectno"/>
        </w:rPr>
        <w:t>10.2.37</w:t>
      </w:r>
      <w:r w:rsidRPr="00D97EFB">
        <w:t xml:space="preserve">  Variation of conditions on financial services licence</w:t>
      </w:r>
      <w:bookmarkEnd w:id="2426"/>
      <w:bookmarkEnd w:id="2427"/>
    </w:p>
    <w:p w14:paraId="3B54E588" w14:textId="77777777" w:rsidR="00E93F58" w:rsidRPr="00D97EFB" w:rsidRDefault="00E93F58" w:rsidP="00BB7E31">
      <w:pPr>
        <w:pStyle w:val="subsection"/>
      </w:pPr>
      <w:r w:rsidRPr="00D97EFB">
        <w:tab/>
        <w:t>(1)</w:t>
      </w:r>
      <w:r w:rsidRPr="00D97EFB">
        <w:tab/>
        <w:t>If:</w:t>
      </w:r>
    </w:p>
    <w:p w14:paraId="42F653F8" w14:textId="77777777" w:rsidR="00E93F58" w:rsidRPr="00D97EFB" w:rsidRDefault="00E93F58" w:rsidP="00BB7E31">
      <w:pPr>
        <w:pStyle w:val="paragraph"/>
        <w:rPr>
          <w:color w:val="000000"/>
        </w:rPr>
      </w:pPr>
      <w:r w:rsidRPr="00D97EFB">
        <w:rPr>
          <w:color w:val="000000"/>
        </w:rPr>
        <w:tab/>
        <w:t>(a)</w:t>
      </w:r>
      <w:r w:rsidRPr="00D97EFB">
        <w:rPr>
          <w:color w:val="000000"/>
        </w:rPr>
        <w:tab/>
        <w:t>a person lodges an application for a financial services licence; and</w:t>
      </w:r>
    </w:p>
    <w:p w14:paraId="7F002875" w14:textId="77777777" w:rsidR="00E93F58" w:rsidRPr="00D97EFB" w:rsidRDefault="00E93F58" w:rsidP="00BB7E31">
      <w:pPr>
        <w:pStyle w:val="paragraph"/>
      </w:pPr>
      <w:r w:rsidRPr="00D97EFB">
        <w:tab/>
        <w:t>(b)</w:t>
      </w:r>
      <w:r w:rsidRPr="00D97EFB">
        <w:tab/>
        <w:t>subsection 1433(2) of the Act applies in relation to the application;</w:t>
      </w:r>
    </w:p>
    <w:p w14:paraId="441D08C4" w14:textId="77777777" w:rsidR="00E93F58" w:rsidRPr="00D97EFB" w:rsidRDefault="00E93F58" w:rsidP="00BB7E31">
      <w:pPr>
        <w:pStyle w:val="subsection2"/>
      </w:pPr>
      <w:r w:rsidRPr="00D97EFB">
        <w:rPr>
          <w:color w:val="000000"/>
        </w:rPr>
        <w:t>the person may,</w:t>
      </w:r>
      <w:r w:rsidRPr="00D97EFB">
        <w:t xml:space="preserve"> at any time before ASIC grants or refuses to grant the financial services licence,</w:t>
      </w:r>
      <w:r w:rsidRPr="00D97EFB">
        <w:rPr>
          <w:color w:val="000000"/>
        </w:rPr>
        <w:t xml:space="preserve"> lodge with ASIC in the prescribed form an application under paragraph 914A(2)(b) of the Act to vary the conditions on the financial services licence so that the financial services, or class of financial services, that the financial services licence will authorise the person to provide is increased (despite the fact that the financial services licence has not yet been granted).</w:t>
      </w:r>
    </w:p>
    <w:p w14:paraId="28E60F36" w14:textId="77777777" w:rsidR="00E93F58" w:rsidRPr="00D97EFB" w:rsidRDefault="00E93F58" w:rsidP="00BB7E31">
      <w:pPr>
        <w:pStyle w:val="subsection"/>
      </w:pPr>
      <w:r w:rsidRPr="00D97EFB">
        <w:tab/>
        <w:t>(2)</w:t>
      </w:r>
      <w:r w:rsidRPr="00D97EFB">
        <w:tab/>
        <w:t>If:</w:t>
      </w:r>
    </w:p>
    <w:p w14:paraId="1CE25373" w14:textId="77777777" w:rsidR="00E93F58" w:rsidRPr="00D97EFB" w:rsidRDefault="00E93F58" w:rsidP="00BB7E31">
      <w:pPr>
        <w:pStyle w:val="paragraph"/>
        <w:rPr>
          <w:color w:val="000000"/>
        </w:rPr>
      </w:pPr>
      <w:r w:rsidRPr="00D97EFB">
        <w:rPr>
          <w:color w:val="000000"/>
        </w:rPr>
        <w:tab/>
        <w:t>(a)</w:t>
      </w:r>
      <w:r w:rsidRPr="00D97EFB">
        <w:rPr>
          <w:color w:val="000000"/>
        </w:rPr>
        <w:tab/>
        <w:t>a person lodges an application for a financial services licence; and</w:t>
      </w:r>
    </w:p>
    <w:p w14:paraId="31A82B89" w14:textId="77777777" w:rsidR="00E93F58" w:rsidRPr="00D97EFB" w:rsidRDefault="00E93F58" w:rsidP="00BB7E31">
      <w:pPr>
        <w:pStyle w:val="paragraph"/>
      </w:pPr>
      <w:r w:rsidRPr="00D97EFB">
        <w:tab/>
        <w:t>(b)</w:t>
      </w:r>
      <w:r w:rsidRPr="00D97EFB">
        <w:tab/>
        <w:t>subsection 1433(2) of the Act applies in relation to the application; and</w:t>
      </w:r>
    </w:p>
    <w:p w14:paraId="1B9AE88F" w14:textId="77777777" w:rsidR="00E93F58" w:rsidRPr="00D97EFB" w:rsidRDefault="00E93F58" w:rsidP="00BB7E31">
      <w:pPr>
        <w:pStyle w:val="paragraph"/>
      </w:pPr>
      <w:r w:rsidRPr="00D97EFB">
        <w:tab/>
        <w:t>(c)</w:t>
      </w:r>
      <w:r w:rsidRPr="00D97EFB">
        <w:tab/>
        <w:t>the person has also lodged with ASIC the application under paragraph 914A(2)(b) of the Act mentioned in subregulation (1); and</w:t>
      </w:r>
    </w:p>
    <w:p w14:paraId="20D87BDC" w14:textId="77777777" w:rsidR="00E93F58" w:rsidRPr="00D97EFB" w:rsidRDefault="00E93F58" w:rsidP="00BB7E31">
      <w:pPr>
        <w:pStyle w:val="paragraph"/>
      </w:pPr>
      <w:r w:rsidRPr="00D97EFB">
        <w:tab/>
        <w:t>(d)</w:t>
      </w:r>
      <w:r w:rsidRPr="00D97EFB">
        <w:tab/>
        <w:t>ASIC proposes to grant the financial services licence and vary the conditions in accordance with the applications;</w:t>
      </w:r>
    </w:p>
    <w:p w14:paraId="2C146C75" w14:textId="77777777" w:rsidR="00E93F58" w:rsidRPr="00D97EFB" w:rsidRDefault="00E93F58" w:rsidP="00BB7E31">
      <w:pPr>
        <w:pStyle w:val="subsection2"/>
        <w:rPr>
          <w:color w:val="000000"/>
        </w:rPr>
      </w:pPr>
      <w:r w:rsidRPr="00D97EFB">
        <w:rPr>
          <w:color w:val="000000"/>
        </w:rPr>
        <w:t>ASIC may, instead of issuing the licence and subsequently varying the conditions on the licence, grant the financial services licence subject to conditions that include the conditions that would otherwise be mentioned in the variation.</w:t>
      </w:r>
    </w:p>
    <w:p w14:paraId="26918D90" w14:textId="77777777" w:rsidR="00E93F58" w:rsidRPr="00D97EFB" w:rsidRDefault="00E93F58" w:rsidP="00BB7E31">
      <w:pPr>
        <w:pStyle w:val="subsection"/>
      </w:pPr>
      <w:r w:rsidRPr="00D97EFB">
        <w:rPr>
          <w:color w:val="000000"/>
        </w:rPr>
        <w:tab/>
        <w:t>(3)</w:t>
      </w:r>
      <w:r w:rsidRPr="00D97EFB">
        <w:rPr>
          <w:color w:val="000000"/>
        </w:rPr>
        <w:tab/>
        <w:t xml:space="preserve">If ASIC acts </w:t>
      </w:r>
      <w:r w:rsidRPr="00D97EFB">
        <w:t>under subregulation (2),</w:t>
      </w:r>
      <w:r w:rsidRPr="00D97EFB">
        <w:rPr>
          <w:color w:val="000000"/>
        </w:rPr>
        <w:t xml:space="preserve"> ASIC is not required to notify the licensee separately of the variation to the conditions in accordance with subsection 914A(1) of the Act.</w:t>
      </w:r>
    </w:p>
    <w:p w14:paraId="38F0849C" w14:textId="77777777" w:rsidR="00E93F58" w:rsidRPr="00D97EFB" w:rsidRDefault="00E93F58" w:rsidP="00BB7E31">
      <w:pPr>
        <w:pStyle w:val="ActHead5"/>
      </w:pPr>
      <w:bookmarkStart w:id="2428" w:name="_Toc151994493"/>
      <w:bookmarkStart w:id="2429" w:name="_Toc158713003"/>
      <w:r w:rsidRPr="000D40D5">
        <w:rPr>
          <w:rStyle w:val="CharSectno"/>
        </w:rPr>
        <w:t>10.2.38</w:t>
      </w:r>
      <w:r w:rsidRPr="00D97EFB">
        <w:t xml:space="preserve">  Persons taken to be regulated principals: giving of incidental advice and previously exempt persons</w:t>
      </w:r>
      <w:bookmarkEnd w:id="2428"/>
      <w:bookmarkEnd w:id="2429"/>
    </w:p>
    <w:p w14:paraId="7E1C3075" w14:textId="77777777" w:rsidR="00E93F58" w:rsidRPr="00D97EFB" w:rsidRDefault="00E93F58" w:rsidP="00BB7E31">
      <w:pPr>
        <w:pStyle w:val="subsection"/>
        <w:rPr>
          <w:color w:val="000000"/>
        </w:rPr>
      </w:pPr>
      <w:r w:rsidRPr="00D97EFB">
        <w:rPr>
          <w:color w:val="000000"/>
        </w:rPr>
        <w:tab/>
        <w:t>(1)</w:t>
      </w:r>
      <w:r w:rsidRPr="00D97EFB">
        <w:rPr>
          <w:color w:val="000000"/>
        </w:rPr>
        <w:tab/>
        <w:t xml:space="preserve">For </w:t>
      </w:r>
      <w:r w:rsidRPr="00D97EFB">
        <w:t>item 9 of the table in</w:t>
      </w:r>
      <w:r w:rsidRPr="00D97EFB">
        <w:rPr>
          <w:color w:val="000000"/>
        </w:rPr>
        <w:t xml:space="preserve"> section 1430 of the Act, a person is a regulated principal if, immediately before the FSR commencement, the person is a person described in column 2 of one of the items in the following table.</w:t>
      </w:r>
    </w:p>
    <w:p w14:paraId="1A7BE5E7" w14:textId="77777777" w:rsidR="00E93F58" w:rsidRPr="00D97EFB" w:rsidRDefault="00E93F58" w:rsidP="00BB7E31">
      <w:pPr>
        <w:pStyle w:val="subsection"/>
      </w:pPr>
      <w:r w:rsidRPr="00D97EFB">
        <w:rPr>
          <w:color w:val="000000"/>
        </w:rPr>
        <w:tab/>
        <w:t>(2)</w:t>
      </w:r>
      <w:r w:rsidRPr="00D97EFB">
        <w:rPr>
          <w:color w:val="000000"/>
        </w:rPr>
        <w:tab/>
        <w:t xml:space="preserve">The regulated activities of that person are as specified in column 3 of that item, and the </w:t>
      </w:r>
      <w:r w:rsidRPr="00D97EFB">
        <w:t>relevant old legislation is</w:t>
      </w:r>
      <w:r w:rsidRPr="00D97EFB">
        <w:rPr>
          <w:color w:val="000000"/>
        </w:rPr>
        <w:t xml:space="preserve"> as specified in column 4 of that item.</w:t>
      </w:r>
    </w:p>
    <w:p w14:paraId="1E2F89E4" w14:textId="77777777" w:rsidR="00E93F58" w:rsidRPr="00D97EFB" w:rsidRDefault="00E93F58" w:rsidP="00BB7E31">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226"/>
        <w:gridCol w:w="3878"/>
        <w:gridCol w:w="3264"/>
        <w:gridCol w:w="2405"/>
      </w:tblGrid>
      <w:tr w:rsidR="00E93F58" w:rsidRPr="00D97EFB" w14:paraId="7242DC3D" w14:textId="77777777" w:rsidTr="005828AC">
        <w:trPr>
          <w:cantSplit/>
          <w:tblHeader/>
        </w:trPr>
        <w:tc>
          <w:tcPr>
            <w:tcW w:w="5000" w:type="pct"/>
            <w:gridSpan w:val="4"/>
            <w:tcBorders>
              <w:top w:val="single" w:sz="12" w:space="0" w:color="auto"/>
              <w:left w:val="nil"/>
              <w:bottom w:val="single" w:sz="4" w:space="0" w:color="auto"/>
              <w:right w:val="nil"/>
            </w:tcBorders>
          </w:tcPr>
          <w:p w14:paraId="20C9A16F" w14:textId="77777777" w:rsidR="00E93F58" w:rsidRPr="00D97EFB" w:rsidRDefault="00E93F58" w:rsidP="00FF5593">
            <w:pPr>
              <w:pStyle w:val="TableHeading"/>
            </w:pPr>
            <w:r w:rsidRPr="00D97EFB">
              <w:t>Regulated principals and regulated activities</w:t>
            </w:r>
          </w:p>
        </w:tc>
      </w:tr>
      <w:tr w:rsidR="00E93F58" w:rsidRPr="00D97EFB" w14:paraId="2EB856BE" w14:textId="77777777" w:rsidTr="005828AC">
        <w:trPr>
          <w:cantSplit/>
          <w:tblHeader/>
        </w:trPr>
        <w:tc>
          <w:tcPr>
            <w:tcW w:w="569" w:type="pct"/>
            <w:tcBorders>
              <w:top w:val="single" w:sz="4" w:space="0" w:color="auto"/>
              <w:left w:val="nil"/>
              <w:bottom w:val="single" w:sz="12" w:space="0" w:color="auto"/>
              <w:right w:val="nil"/>
            </w:tcBorders>
          </w:tcPr>
          <w:p w14:paraId="0A0803DA" w14:textId="77777777" w:rsidR="00E93F58" w:rsidRPr="00D97EFB" w:rsidRDefault="00E93F58" w:rsidP="00FF5593">
            <w:pPr>
              <w:pStyle w:val="TableHeading"/>
            </w:pPr>
            <w:r w:rsidRPr="00D97EFB">
              <w:t>Item</w:t>
            </w:r>
          </w:p>
        </w:tc>
        <w:tc>
          <w:tcPr>
            <w:tcW w:w="1800" w:type="pct"/>
            <w:tcBorders>
              <w:top w:val="single" w:sz="4" w:space="0" w:color="auto"/>
              <w:left w:val="nil"/>
              <w:bottom w:val="single" w:sz="12" w:space="0" w:color="auto"/>
              <w:right w:val="nil"/>
            </w:tcBorders>
          </w:tcPr>
          <w:p w14:paraId="7088870D" w14:textId="77777777" w:rsidR="00E93F58" w:rsidRPr="00D97EFB" w:rsidRDefault="00E93F58" w:rsidP="00FF5593">
            <w:pPr>
              <w:pStyle w:val="TableHeading"/>
            </w:pPr>
            <w:r w:rsidRPr="00D97EFB">
              <w:t>These persons are</w:t>
            </w:r>
            <w:r w:rsidRPr="00D97EFB">
              <w:rPr>
                <w:i/>
              </w:rPr>
              <w:t xml:space="preserve"> regulated principals</w:t>
            </w:r>
          </w:p>
        </w:tc>
        <w:tc>
          <w:tcPr>
            <w:tcW w:w="1515" w:type="pct"/>
            <w:tcBorders>
              <w:top w:val="single" w:sz="4" w:space="0" w:color="auto"/>
              <w:left w:val="nil"/>
              <w:bottom w:val="single" w:sz="12" w:space="0" w:color="auto"/>
              <w:right w:val="nil"/>
            </w:tcBorders>
          </w:tcPr>
          <w:p w14:paraId="40B1FB27" w14:textId="77777777" w:rsidR="00E93F58" w:rsidRPr="00D97EFB" w:rsidRDefault="00E93F58" w:rsidP="00FF5593">
            <w:pPr>
              <w:pStyle w:val="TableHeading"/>
            </w:pPr>
            <w:r w:rsidRPr="00D97EFB">
              <w:t xml:space="preserve">These are the regulated principal’s </w:t>
            </w:r>
            <w:r w:rsidRPr="00D97EFB">
              <w:rPr>
                <w:i/>
              </w:rPr>
              <w:t>regulated activities</w:t>
            </w:r>
          </w:p>
        </w:tc>
        <w:tc>
          <w:tcPr>
            <w:tcW w:w="1116" w:type="pct"/>
            <w:tcBorders>
              <w:top w:val="single" w:sz="4" w:space="0" w:color="auto"/>
              <w:left w:val="nil"/>
              <w:bottom w:val="single" w:sz="12" w:space="0" w:color="auto"/>
              <w:right w:val="nil"/>
            </w:tcBorders>
          </w:tcPr>
          <w:p w14:paraId="06FCE3B5" w14:textId="77777777" w:rsidR="00E93F58" w:rsidRPr="00D97EFB" w:rsidRDefault="00E93F58" w:rsidP="00FF5593">
            <w:pPr>
              <w:pStyle w:val="TableHeading"/>
            </w:pPr>
            <w:r w:rsidRPr="00D97EFB">
              <w:t xml:space="preserve">This is the </w:t>
            </w:r>
            <w:r w:rsidRPr="00D97EFB">
              <w:rPr>
                <w:i/>
              </w:rPr>
              <w:t>relevant old legislation</w:t>
            </w:r>
            <w:r w:rsidRPr="00D97EFB">
              <w:t xml:space="preserve"> (if any)</w:t>
            </w:r>
          </w:p>
        </w:tc>
      </w:tr>
      <w:tr w:rsidR="00E93F58" w:rsidRPr="00D97EFB" w14:paraId="1E4BA701" w14:textId="77777777" w:rsidTr="005828AC">
        <w:trPr>
          <w:cantSplit/>
        </w:trPr>
        <w:tc>
          <w:tcPr>
            <w:tcW w:w="569" w:type="pct"/>
            <w:tcBorders>
              <w:top w:val="single" w:sz="12" w:space="0" w:color="auto"/>
              <w:left w:val="nil"/>
              <w:bottom w:val="single" w:sz="4" w:space="0" w:color="auto"/>
              <w:right w:val="nil"/>
            </w:tcBorders>
          </w:tcPr>
          <w:p w14:paraId="70E49581" w14:textId="77777777" w:rsidR="00E93F58" w:rsidRPr="00D97EFB" w:rsidRDefault="00E93F58" w:rsidP="00BB7E31">
            <w:pPr>
              <w:pStyle w:val="Tabletext"/>
            </w:pPr>
            <w:r w:rsidRPr="00D97EFB">
              <w:rPr>
                <w:color w:val="000000"/>
              </w:rPr>
              <w:t>1</w:t>
            </w:r>
          </w:p>
        </w:tc>
        <w:tc>
          <w:tcPr>
            <w:tcW w:w="1800" w:type="pct"/>
            <w:tcBorders>
              <w:top w:val="single" w:sz="12" w:space="0" w:color="auto"/>
              <w:left w:val="nil"/>
              <w:bottom w:val="single" w:sz="4" w:space="0" w:color="auto"/>
              <w:right w:val="nil"/>
            </w:tcBorders>
          </w:tcPr>
          <w:p w14:paraId="0C4877F1" w14:textId="77777777" w:rsidR="00E93F58" w:rsidRPr="00D97EFB" w:rsidRDefault="00E93F58" w:rsidP="0052439F">
            <w:pPr>
              <w:pStyle w:val="Tabletext"/>
            </w:pPr>
            <w:r w:rsidRPr="00D97EFB">
              <w:rPr>
                <w:color w:val="000000"/>
              </w:rPr>
              <w:t>A person who first conducts an activity, to which subsection 77(5) of the old Corporations Act would have applied if that subsection had not been repealed, after the FSR commencement.</w:t>
            </w:r>
          </w:p>
        </w:tc>
        <w:tc>
          <w:tcPr>
            <w:tcW w:w="1515" w:type="pct"/>
            <w:tcBorders>
              <w:top w:val="single" w:sz="12" w:space="0" w:color="auto"/>
              <w:left w:val="nil"/>
              <w:bottom w:val="single" w:sz="4" w:space="0" w:color="auto"/>
              <w:right w:val="nil"/>
            </w:tcBorders>
          </w:tcPr>
          <w:p w14:paraId="532E189D" w14:textId="77777777" w:rsidR="00E93F58" w:rsidRPr="00D97EFB" w:rsidRDefault="00E93F58" w:rsidP="0052439F">
            <w:pPr>
              <w:pStyle w:val="Tabletext"/>
            </w:pPr>
            <w:r w:rsidRPr="00D97EFB">
              <w:rPr>
                <w:color w:val="000000"/>
              </w:rPr>
              <w:t>The activities to which subsection 77(5) of the old Corporations Act would have applied if that subsection had not been repealed.</w:t>
            </w:r>
          </w:p>
        </w:tc>
        <w:tc>
          <w:tcPr>
            <w:tcW w:w="1116" w:type="pct"/>
            <w:tcBorders>
              <w:top w:val="single" w:sz="12" w:space="0" w:color="auto"/>
              <w:left w:val="nil"/>
              <w:bottom w:val="single" w:sz="4" w:space="0" w:color="auto"/>
              <w:right w:val="nil"/>
            </w:tcBorders>
          </w:tcPr>
          <w:p w14:paraId="2A73247D" w14:textId="77777777" w:rsidR="00E93F58" w:rsidRPr="00D97EFB" w:rsidRDefault="00E93F58" w:rsidP="0052439F">
            <w:pPr>
              <w:pStyle w:val="Tabletext"/>
            </w:pPr>
            <w:r w:rsidRPr="00D97EFB">
              <w:rPr>
                <w:color w:val="000000"/>
              </w:rPr>
              <w:t>Subsection 77(5) of the old Corporations Act, and any associated provisions.</w:t>
            </w:r>
          </w:p>
        </w:tc>
      </w:tr>
      <w:tr w:rsidR="00E93F58" w:rsidRPr="00D97EFB" w14:paraId="4736CE10" w14:textId="77777777" w:rsidTr="005828AC">
        <w:trPr>
          <w:cantSplit/>
        </w:trPr>
        <w:tc>
          <w:tcPr>
            <w:tcW w:w="569" w:type="pct"/>
            <w:tcBorders>
              <w:top w:val="single" w:sz="4" w:space="0" w:color="auto"/>
              <w:left w:val="nil"/>
              <w:bottom w:val="single" w:sz="4" w:space="0" w:color="auto"/>
              <w:right w:val="nil"/>
            </w:tcBorders>
            <w:shd w:val="clear" w:color="auto" w:fill="auto"/>
          </w:tcPr>
          <w:p w14:paraId="575291CD" w14:textId="77777777" w:rsidR="00E93F58" w:rsidRPr="00D97EFB" w:rsidRDefault="00E93F58" w:rsidP="00BB7E31">
            <w:pPr>
              <w:pStyle w:val="Tabletext"/>
            </w:pPr>
            <w:r w:rsidRPr="00D97EFB">
              <w:rPr>
                <w:color w:val="000000"/>
              </w:rPr>
              <w:t>2</w:t>
            </w:r>
          </w:p>
        </w:tc>
        <w:tc>
          <w:tcPr>
            <w:tcW w:w="1800" w:type="pct"/>
            <w:tcBorders>
              <w:top w:val="single" w:sz="4" w:space="0" w:color="auto"/>
              <w:left w:val="nil"/>
              <w:bottom w:val="single" w:sz="4" w:space="0" w:color="auto"/>
              <w:right w:val="nil"/>
            </w:tcBorders>
            <w:shd w:val="clear" w:color="auto" w:fill="auto"/>
          </w:tcPr>
          <w:p w14:paraId="15B04768" w14:textId="77777777" w:rsidR="00E93F58" w:rsidRPr="00D97EFB" w:rsidRDefault="00E93F58" w:rsidP="00BB7E31">
            <w:pPr>
              <w:pStyle w:val="Tabletext"/>
            </w:pPr>
            <w:r w:rsidRPr="00D97EFB">
              <w:rPr>
                <w:color w:val="000000"/>
              </w:rPr>
              <w:t>A person who conducts an exempt stock market within the meaning of the old Corporations Act that, if carried on after the FSR commencement, would be required by the amended Corporations Act (apart from Subdivision D of Division 1 of Part 10.2) to be covered by an Australian financial services licence.</w:t>
            </w:r>
          </w:p>
        </w:tc>
        <w:tc>
          <w:tcPr>
            <w:tcW w:w="1515" w:type="pct"/>
            <w:tcBorders>
              <w:top w:val="single" w:sz="4" w:space="0" w:color="auto"/>
              <w:left w:val="nil"/>
              <w:bottom w:val="single" w:sz="4" w:space="0" w:color="auto"/>
              <w:right w:val="nil"/>
            </w:tcBorders>
            <w:shd w:val="clear" w:color="auto" w:fill="auto"/>
          </w:tcPr>
          <w:p w14:paraId="26B023C5" w14:textId="77777777" w:rsidR="00E93F58" w:rsidRPr="00D97EFB" w:rsidRDefault="00E93F58" w:rsidP="00BB7E31">
            <w:pPr>
              <w:pStyle w:val="Tabletext"/>
            </w:pPr>
            <w:r w:rsidRPr="00D97EFB">
              <w:rPr>
                <w:color w:val="000000"/>
              </w:rPr>
              <w:t>The activities that the declaration (as in force immediately before the FSR commencement) under section 771 of the old Corporations Act authorised the person to carry on.</w:t>
            </w:r>
          </w:p>
        </w:tc>
        <w:tc>
          <w:tcPr>
            <w:tcW w:w="1116" w:type="pct"/>
            <w:tcBorders>
              <w:top w:val="single" w:sz="4" w:space="0" w:color="auto"/>
              <w:left w:val="nil"/>
              <w:bottom w:val="single" w:sz="4" w:space="0" w:color="auto"/>
              <w:right w:val="nil"/>
            </w:tcBorders>
            <w:shd w:val="clear" w:color="auto" w:fill="auto"/>
          </w:tcPr>
          <w:p w14:paraId="4E58FEE1" w14:textId="77777777" w:rsidR="00E93F58" w:rsidRPr="00D97EFB" w:rsidRDefault="00E93F58" w:rsidP="00BB7E31">
            <w:pPr>
              <w:pStyle w:val="Tabletext"/>
            </w:pPr>
            <w:r w:rsidRPr="00D97EFB">
              <w:rPr>
                <w:color w:val="000000"/>
              </w:rPr>
              <w:t>Sections 767 and 771 of the old Corporations Act, and any associated provisions.</w:t>
            </w:r>
          </w:p>
        </w:tc>
      </w:tr>
      <w:tr w:rsidR="00E93F58" w:rsidRPr="00D97EFB" w14:paraId="414F07E7" w14:textId="77777777" w:rsidTr="005828AC">
        <w:trPr>
          <w:cantSplit/>
        </w:trPr>
        <w:tc>
          <w:tcPr>
            <w:tcW w:w="569" w:type="pct"/>
            <w:tcBorders>
              <w:top w:val="single" w:sz="4" w:space="0" w:color="auto"/>
              <w:left w:val="nil"/>
              <w:bottom w:val="single" w:sz="4" w:space="0" w:color="auto"/>
              <w:right w:val="nil"/>
            </w:tcBorders>
          </w:tcPr>
          <w:p w14:paraId="1C8C0ADD" w14:textId="77777777" w:rsidR="00E93F58" w:rsidRPr="00D97EFB" w:rsidRDefault="00E93F58" w:rsidP="00BB7E31">
            <w:pPr>
              <w:pStyle w:val="Tabletext"/>
            </w:pPr>
            <w:r w:rsidRPr="00D97EFB">
              <w:rPr>
                <w:color w:val="000000"/>
              </w:rPr>
              <w:lastRenderedPageBreak/>
              <w:t>3</w:t>
            </w:r>
          </w:p>
        </w:tc>
        <w:tc>
          <w:tcPr>
            <w:tcW w:w="1800" w:type="pct"/>
            <w:tcBorders>
              <w:top w:val="single" w:sz="4" w:space="0" w:color="auto"/>
              <w:left w:val="nil"/>
              <w:bottom w:val="single" w:sz="4" w:space="0" w:color="auto"/>
              <w:right w:val="nil"/>
            </w:tcBorders>
          </w:tcPr>
          <w:p w14:paraId="43898BF6" w14:textId="77777777" w:rsidR="00E93F58" w:rsidRPr="00D97EFB" w:rsidRDefault="00E93F58" w:rsidP="00BB7E31">
            <w:pPr>
              <w:pStyle w:val="Tabletext"/>
            </w:pPr>
            <w:r w:rsidRPr="00D97EFB">
              <w:rPr>
                <w:color w:val="000000"/>
              </w:rPr>
              <w:t>A person who conducts an exempt futures market within the meaning of the old Corporations Act that, if carried on after the FSR commencement, would be required by the amended Corporations Act (apart from Subdivision D of Division 1 of Part 10.2) to be covered by an Australian financial services licence.</w:t>
            </w:r>
          </w:p>
        </w:tc>
        <w:tc>
          <w:tcPr>
            <w:tcW w:w="1515" w:type="pct"/>
            <w:tcBorders>
              <w:top w:val="single" w:sz="4" w:space="0" w:color="auto"/>
              <w:left w:val="nil"/>
              <w:bottom w:val="single" w:sz="4" w:space="0" w:color="auto"/>
              <w:right w:val="nil"/>
            </w:tcBorders>
          </w:tcPr>
          <w:p w14:paraId="0ECB47BE" w14:textId="77777777" w:rsidR="00E93F58" w:rsidRPr="00D97EFB" w:rsidRDefault="00E93F58" w:rsidP="00BB7E31">
            <w:pPr>
              <w:pStyle w:val="Tabletext"/>
            </w:pPr>
            <w:r w:rsidRPr="00D97EFB">
              <w:rPr>
                <w:color w:val="000000"/>
              </w:rPr>
              <w:t>The activities that the declaration (as in force immediately before the FSR commencement) under section 1127 of the old Corporations Act authorised the person to carry on.</w:t>
            </w:r>
          </w:p>
        </w:tc>
        <w:tc>
          <w:tcPr>
            <w:tcW w:w="1116" w:type="pct"/>
            <w:tcBorders>
              <w:top w:val="single" w:sz="4" w:space="0" w:color="auto"/>
              <w:left w:val="nil"/>
              <w:bottom w:val="single" w:sz="4" w:space="0" w:color="auto"/>
              <w:right w:val="nil"/>
            </w:tcBorders>
          </w:tcPr>
          <w:p w14:paraId="278C02AA" w14:textId="77777777" w:rsidR="00E93F58" w:rsidRPr="00D97EFB" w:rsidRDefault="00E93F58" w:rsidP="00BB7E31">
            <w:pPr>
              <w:pStyle w:val="Tabletext"/>
            </w:pPr>
            <w:r w:rsidRPr="00D97EFB">
              <w:rPr>
                <w:color w:val="000000"/>
              </w:rPr>
              <w:t>Sections 1123 and 1127 of the old Corporations Act, and any associated provisions.</w:t>
            </w:r>
          </w:p>
        </w:tc>
      </w:tr>
      <w:tr w:rsidR="00E93F58" w:rsidRPr="00D97EFB" w14:paraId="7A2A0AC2" w14:textId="77777777" w:rsidTr="005828AC">
        <w:trPr>
          <w:cantSplit/>
        </w:trPr>
        <w:tc>
          <w:tcPr>
            <w:tcW w:w="569" w:type="pct"/>
            <w:tcBorders>
              <w:top w:val="single" w:sz="4" w:space="0" w:color="auto"/>
              <w:left w:val="nil"/>
              <w:bottom w:val="single" w:sz="4" w:space="0" w:color="auto"/>
              <w:right w:val="nil"/>
            </w:tcBorders>
            <w:shd w:val="clear" w:color="auto" w:fill="auto"/>
          </w:tcPr>
          <w:p w14:paraId="0FEF0216" w14:textId="77777777" w:rsidR="00E93F58" w:rsidRPr="00D97EFB" w:rsidRDefault="00E93F58" w:rsidP="00BB7E31">
            <w:pPr>
              <w:pStyle w:val="Tabletext"/>
            </w:pPr>
            <w:r w:rsidRPr="00D97EFB">
              <w:rPr>
                <w:color w:val="000000"/>
              </w:rPr>
              <w:t>4</w:t>
            </w:r>
          </w:p>
        </w:tc>
        <w:tc>
          <w:tcPr>
            <w:tcW w:w="1800" w:type="pct"/>
            <w:tcBorders>
              <w:top w:val="single" w:sz="4" w:space="0" w:color="auto"/>
              <w:left w:val="nil"/>
              <w:bottom w:val="single" w:sz="4" w:space="0" w:color="auto"/>
              <w:right w:val="nil"/>
            </w:tcBorders>
            <w:shd w:val="clear" w:color="auto" w:fill="auto"/>
          </w:tcPr>
          <w:p w14:paraId="5F2FBF50" w14:textId="77777777" w:rsidR="00E93F58" w:rsidRPr="00D97EFB" w:rsidRDefault="00E93F58" w:rsidP="00BB7E31">
            <w:pPr>
              <w:pStyle w:val="Tabletext"/>
            </w:pPr>
            <w:r w:rsidRPr="00D97EFB">
              <w:rPr>
                <w:color w:val="000000"/>
              </w:rPr>
              <w:t>A person who carries on an activity, not mentioned in item 2 or 3, that was the subject of an exemption under the old Corporations Act, or any other relevant old legislation prior to the FSR commencement, that, if carried on after the FSR commencement, would be required by the amended Corporations Act (apart from Subdivision D of Division 1 of Part 10.2) to be covered by an Australian financial services licence.</w:t>
            </w:r>
          </w:p>
        </w:tc>
        <w:tc>
          <w:tcPr>
            <w:tcW w:w="1515" w:type="pct"/>
            <w:tcBorders>
              <w:top w:val="single" w:sz="4" w:space="0" w:color="auto"/>
              <w:left w:val="nil"/>
              <w:bottom w:val="single" w:sz="4" w:space="0" w:color="auto"/>
              <w:right w:val="nil"/>
            </w:tcBorders>
            <w:shd w:val="clear" w:color="auto" w:fill="auto"/>
          </w:tcPr>
          <w:p w14:paraId="45CB382E" w14:textId="77777777" w:rsidR="00E93F58" w:rsidRPr="00D97EFB" w:rsidRDefault="00E93F58" w:rsidP="00BB7E31">
            <w:pPr>
              <w:pStyle w:val="Tabletext"/>
            </w:pPr>
            <w:r w:rsidRPr="00D97EFB">
              <w:rPr>
                <w:color w:val="000000"/>
              </w:rPr>
              <w:t>The activities that were covered by the exemption.</w:t>
            </w:r>
          </w:p>
        </w:tc>
        <w:tc>
          <w:tcPr>
            <w:tcW w:w="1116" w:type="pct"/>
            <w:tcBorders>
              <w:top w:val="single" w:sz="4" w:space="0" w:color="auto"/>
              <w:left w:val="nil"/>
              <w:bottom w:val="single" w:sz="4" w:space="0" w:color="auto"/>
              <w:right w:val="nil"/>
            </w:tcBorders>
            <w:shd w:val="clear" w:color="auto" w:fill="auto"/>
          </w:tcPr>
          <w:p w14:paraId="20370791" w14:textId="77777777" w:rsidR="00E93F58" w:rsidRPr="00D97EFB" w:rsidRDefault="00E93F58" w:rsidP="00BB7E31">
            <w:pPr>
              <w:pStyle w:val="Tabletext"/>
            </w:pPr>
            <w:r w:rsidRPr="00D97EFB">
              <w:rPr>
                <w:color w:val="000000"/>
              </w:rPr>
              <w:t>The provision that created the exemption, and any associated provisions.</w:t>
            </w:r>
          </w:p>
        </w:tc>
      </w:tr>
      <w:tr w:rsidR="00E93F58" w:rsidRPr="00D97EFB" w14:paraId="01DDFD55" w14:textId="77777777" w:rsidTr="005828AC">
        <w:trPr>
          <w:cantSplit/>
        </w:trPr>
        <w:tc>
          <w:tcPr>
            <w:tcW w:w="569" w:type="pct"/>
            <w:tcBorders>
              <w:top w:val="single" w:sz="4" w:space="0" w:color="auto"/>
              <w:left w:val="nil"/>
              <w:bottom w:val="single" w:sz="4" w:space="0" w:color="auto"/>
              <w:right w:val="nil"/>
            </w:tcBorders>
          </w:tcPr>
          <w:p w14:paraId="39EBA073" w14:textId="77777777" w:rsidR="00E93F58" w:rsidRPr="00D97EFB" w:rsidRDefault="00E93F58" w:rsidP="00BB7E31">
            <w:pPr>
              <w:pStyle w:val="Tabletext"/>
            </w:pPr>
            <w:r w:rsidRPr="00D97EFB">
              <w:t>5</w:t>
            </w:r>
          </w:p>
        </w:tc>
        <w:tc>
          <w:tcPr>
            <w:tcW w:w="1800" w:type="pct"/>
            <w:tcBorders>
              <w:top w:val="single" w:sz="4" w:space="0" w:color="auto"/>
              <w:left w:val="nil"/>
              <w:bottom w:val="single" w:sz="4" w:space="0" w:color="auto"/>
              <w:right w:val="nil"/>
            </w:tcBorders>
          </w:tcPr>
          <w:p w14:paraId="1F772BE1" w14:textId="77777777" w:rsidR="00E93F58" w:rsidRPr="00D97EFB" w:rsidRDefault="00E93F58" w:rsidP="00BB7E31">
            <w:pPr>
              <w:pStyle w:val="Tabletext"/>
            </w:pPr>
            <w:r w:rsidRPr="00D97EFB">
              <w:t>A holder of a futures brokers licence within the meaning of the old Corporations Act.</w:t>
            </w:r>
          </w:p>
        </w:tc>
        <w:tc>
          <w:tcPr>
            <w:tcW w:w="1515" w:type="pct"/>
            <w:tcBorders>
              <w:top w:val="single" w:sz="4" w:space="0" w:color="auto"/>
              <w:left w:val="nil"/>
              <w:bottom w:val="single" w:sz="4" w:space="0" w:color="auto"/>
              <w:right w:val="nil"/>
            </w:tcBorders>
          </w:tcPr>
          <w:p w14:paraId="39DB10E2" w14:textId="77777777" w:rsidR="00E93F58" w:rsidRPr="00D97EFB" w:rsidRDefault="00E93F58" w:rsidP="00BB7E31">
            <w:pPr>
              <w:pStyle w:val="Tabletext"/>
            </w:pPr>
            <w:r w:rsidRPr="00D97EFB">
              <w:t>The activities that the licence (as in force immediately before the FSR commencement) authorised the person to carry on.</w:t>
            </w:r>
          </w:p>
        </w:tc>
        <w:tc>
          <w:tcPr>
            <w:tcW w:w="1116" w:type="pct"/>
            <w:tcBorders>
              <w:top w:val="single" w:sz="4" w:space="0" w:color="auto"/>
              <w:left w:val="nil"/>
              <w:bottom w:val="single" w:sz="4" w:space="0" w:color="auto"/>
              <w:right w:val="nil"/>
            </w:tcBorders>
          </w:tcPr>
          <w:p w14:paraId="24238625" w14:textId="77777777" w:rsidR="00E93F58" w:rsidRPr="00D97EFB" w:rsidRDefault="00E93F58" w:rsidP="00BB7E31">
            <w:pPr>
              <w:pStyle w:val="Tabletext"/>
            </w:pPr>
            <w:r w:rsidRPr="00D97EFB">
              <w:t>Parts 8.3, 8.4 (other than section 1210) and 8.5 of the old Corporations Act, sections 1266 and 1267 of the old Corporations Act, and any associated provisions.</w:t>
            </w:r>
          </w:p>
        </w:tc>
      </w:tr>
      <w:tr w:rsidR="00E93F58" w:rsidRPr="00D97EFB" w14:paraId="72731781" w14:textId="77777777" w:rsidTr="005828AC">
        <w:trPr>
          <w:cantSplit/>
        </w:trPr>
        <w:tc>
          <w:tcPr>
            <w:tcW w:w="569" w:type="pct"/>
            <w:tcBorders>
              <w:top w:val="single" w:sz="4" w:space="0" w:color="auto"/>
              <w:left w:val="nil"/>
              <w:bottom w:val="single" w:sz="4" w:space="0" w:color="auto"/>
              <w:right w:val="nil"/>
            </w:tcBorders>
            <w:shd w:val="clear" w:color="auto" w:fill="auto"/>
          </w:tcPr>
          <w:p w14:paraId="3C4C48B9" w14:textId="77777777" w:rsidR="00E93F58" w:rsidRPr="00D97EFB" w:rsidRDefault="00E93F58" w:rsidP="00BB7E31">
            <w:pPr>
              <w:pStyle w:val="Tabletext"/>
            </w:pPr>
            <w:r w:rsidRPr="00D97EFB">
              <w:t>6</w:t>
            </w:r>
          </w:p>
        </w:tc>
        <w:tc>
          <w:tcPr>
            <w:tcW w:w="1800" w:type="pct"/>
            <w:tcBorders>
              <w:top w:val="single" w:sz="4" w:space="0" w:color="auto"/>
              <w:left w:val="nil"/>
              <w:bottom w:val="single" w:sz="4" w:space="0" w:color="auto"/>
              <w:right w:val="nil"/>
            </w:tcBorders>
            <w:shd w:val="clear" w:color="auto" w:fill="auto"/>
          </w:tcPr>
          <w:p w14:paraId="558EA671" w14:textId="77777777" w:rsidR="00E93F58" w:rsidRPr="00D97EFB" w:rsidRDefault="00E93F58" w:rsidP="00BB7E31">
            <w:pPr>
              <w:pStyle w:val="Tabletext"/>
            </w:pPr>
            <w:r w:rsidRPr="00D97EFB">
              <w:t>A holder of a futures advisers licence within the meaning of the old Corporations Act.</w:t>
            </w:r>
          </w:p>
        </w:tc>
        <w:tc>
          <w:tcPr>
            <w:tcW w:w="1515" w:type="pct"/>
            <w:tcBorders>
              <w:top w:val="single" w:sz="4" w:space="0" w:color="auto"/>
              <w:left w:val="nil"/>
              <w:bottom w:val="single" w:sz="4" w:space="0" w:color="auto"/>
              <w:right w:val="nil"/>
            </w:tcBorders>
            <w:shd w:val="clear" w:color="auto" w:fill="auto"/>
          </w:tcPr>
          <w:p w14:paraId="5C942799" w14:textId="77777777" w:rsidR="00E93F58" w:rsidRPr="00D97EFB" w:rsidRDefault="00E93F58" w:rsidP="00BB7E31">
            <w:pPr>
              <w:pStyle w:val="Tabletext"/>
            </w:pPr>
            <w:r w:rsidRPr="00D97EFB">
              <w:t>The activities that the licence (as in force immediately before the FSR commencement) authorised the person to carry on.</w:t>
            </w:r>
          </w:p>
        </w:tc>
        <w:tc>
          <w:tcPr>
            <w:tcW w:w="1116" w:type="pct"/>
            <w:tcBorders>
              <w:top w:val="single" w:sz="4" w:space="0" w:color="auto"/>
              <w:left w:val="nil"/>
              <w:bottom w:val="single" w:sz="4" w:space="0" w:color="auto"/>
              <w:right w:val="nil"/>
            </w:tcBorders>
            <w:shd w:val="clear" w:color="auto" w:fill="auto"/>
          </w:tcPr>
          <w:p w14:paraId="3ABFFDA9" w14:textId="77777777" w:rsidR="00E93F58" w:rsidRPr="00D97EFB" w:rsidRDefault="00E93F58" w:rsidP="00BB7E31">
            <w:pPr>
              <w:pStyle w:val="Tabletext"/>
            </w:pPr>
            <w:r w:rsidRPr="00D97EFB">
              <w:t>Parts 8.3 and 8.4 (other than section 1210) of the old Corporations Act, section 1267 of the old Corporations Act, and any associated provisions.</w:t>
            </w:r>
          </w:p>
        </w:tc>
      </w:tr>
      <w:tr w:rsidR="00E93F58" w:rsidRPr="00D97EFB" w14:paraId="6B4E8E19" w14:textId="77777777" w:rsidTr="005828AC">
        <w:trPr>
          <w:cantSplit/>
        </w:trPr>
        <w:tc>
          <w:tcPr>
            <w:tcW w:w="569" w:type="pct"/>
            <w:tcBorders>
              <w:top w:val="single" w:sz="4" w:space="0" w:color="auto"/>
              <w:left w:val="nil"/>
              <w:bottom w:val="single" w:sz="4" w:space="0" w:color="auto"/>
              <w:right w:val="nil"/>
            </w:tcBorders>
          </w:tcPr>
          <w:p w14:paraId="4459AB45" w14:textId="77777777" w:rsidR="00E93F58" w:rsidRPr="00D97EFB" w:rsidRDefault="00E93F58" w:rsidP="00BB7E31">
            <w:pPr>
              <w:pStyle w:val="Tabletext"/>
            </w:pPr>
            <w:r w:rsidRPr="00D97EFB">
              <w:t>7</w:t>
            </w:r>
          </w:p>
        </w:tc>
        <w:tc>
          <w:tcPr>
            <w:tcW w:w="1800" w:type="pct"/>
            <w:tcBorders>
              <w:top w:val="single" w:sz="4" w:space="0" w:color="auto"/>
              <w:left w:val="nil"/>
              <w:bottom w:val="single" w:sz="4" w:space="0" w:color="auto"/>
              <w:right w:val="nil"/>
            </w:tcBorders>
          </w:tcPr>
          <w:p w14:paraId="3F0C5633" w14:textId="77777777" w:rsidR="00E93F58" w:rsidRPr="00D97EFB" w:rsidRDefault="00E93F58" w:rsidP="00477021">
            <w:pPr>
              <w:pStyle w:val="Tabletext"/>
            </w:pPr>
            <w:r w:rsidRPr="00D97EFB">
              <w:t>A person whose licence is suspended under subsection 827(1) of the old Corporations Act (whether the suspension occurred before, on or after the FSR commencement)</w:t>
            </w:r>
          </w:p>
        </w:tc>
        <w:tc>
          <w:tcPr>
            <w:tcW w:w="1515" w:type="pct"/>
            <w:tcBorders>
              <w:top w:val="single" w:sz="4" w:space="0" w:color="auto"/>
              <w:left w:val="nil"/>
              <w:bottom w:val="single" w:sz="4" w:space="0" w:color="auto"/>
              <w:right w:val="nil"/>
            </w:tcBorders>
          </w:tcPr>
          <w:p w14:paraId="5753BE17" w14:textId="77777777" w:rsidR="00E93F58" w:rsidRPr="00D97EFB" w:rsidRDefault="00E93F58" w:rsidP="00D90695">
            <w:pPr>
              <w:pStyle w:val="Tablea"/>
            </w:pPr>
            <w:r w:rsidRPr="00D97EFB">
              <w:t>(a) While the suspension is in force—no activities</w:t>
            </w:r>
          </w:p>
          <w:p w14:paraId="42B050D9" w14:textId="77777777" w:rsidR="00E93F58" w:rsidRPr="00D97EFB" w:rsidRDefault="00E93F58" w:rsidP="00D90695">
            <w:pPr>
              <w:pStyle w:val="Tablea"/>
            </w:pPr>
            <w:r w:rsidRPr="00D97EFB">
              <w:t>(b) If the suspension ceases to be in force on or before 10 March 2004, and from the time the suspension ceases to be in force—the activities that the licence (as in force immediately before it was suspended) authorised the person to carry on</w:t>
            </w:r>
          </w:p>
        </w:tc>
        <w:tc>
          <w:tcPr>
            <w:tcW w:w="1116" w:type="pct"/>
            <w:tcBorders>
              <w:top w:val="single" w:sz="4" w:space="0" w:color="auto"/>
              <w:left w:val="nil"/>
              <w:bottom w:val="single" w:sz="4" w:space="0" w:color="auto"/>
              <w:right w:val="nil"/>
            </w:tcBorders>
          </w:tcPr>
          <w:p w14:paraId="011A5C2B" w14:textId="77777777" w:rsidR="00E93F58" w:rsidRPr="00D97EFB" w:rsidRDefault="00E93F58" w:rsidP="00BB7E31">
            <w:pPr>
              <w:pStyle w:val="Tabletext"/>
            </w:pPr>
            <w:r w:rsidRPr="00D97EFB">
              <w:t>All relevant old legislation in relation to the kind of licence</w:t>
            </w:r>
          </w:p>
        </w:tc>
      </w:tr>
      <w:tr w:rsidR="00E93F58" w:rsidRPr="00D97EFB" w14:paraId="0BE40C56" w14:textId="77777777" w:rsidTr="005828AC">
        <w:trPr>
          <w:cantSplit/>
        </w:trPr>
        <w:tc>
          <w:tcPr>
            <w:tcW w:w="569" w:type="pct"/>
            <w:tcBorders>
              <w:top w:val="single" w:sz="4" w:space="0" w:color="auto"/>
              <w:left w:val="nil"/>
              <w:bottom w:val="single" w:sz="4" w:space="0" w:color="auto"/>
              <w:right w:val="nil"/>
            </w:tcBorders>
            <w:shd w:val="clear" w:color="auto" w:fill="auto"/>
          </w:tcPr>
          <w:p w14:paraId="3FAE42EE" w14:textId="77777777" w:rsidR="00E93F58" w:rsidRPr="00D97EFB" w:rsidRDefault="00E93F58" w:rsidP="00BB7E31">
            <w:pPr>
              <w:pStyle w:val="Tabletext"/>
            </w:pPr>
            <w:r w:rsidRPr="00D97EFB">
              <w:t>8</w:t>
            </w:r>
          </w:p>
        </w:tc>
        <w:tc>
          <w:tcPr>
            <w:tcW w:w="1800" w:type="pct"/>
            <w:tcBorders>
              <w:top w:val="single" w:sz="4" w:space="0" w:color="auto"/>
              <w:left w:val="nil"/>
              <w:bottom w:val="single" w:sz="4" w:space="0" w:color="auto"/>
              <w:right w:val="nil"/>
            </w:tcBorders>
            <w:shd w:val="clear" w:color="auto" w:fill="auto"/>
          </w:tcPr>
          <w:p w14:paraId="1B4A6E6B" w14:textId="77777777" w:rsidR="00E93F58" w:rsidRPr="00D97EFB" w:rsidRDefault="00E93F58" w:rsidP="0052439F">
            <w:pPr>
              <w:pStyle w:val="Tabletext"/>
            </w:pPr>
            <w:r w:rsidRPr="00D97EFB">
              <w:t>A person whose licence is suspended under subsection 1192(1) of the old Corporations Act (whether the suspension occurred before, on or after 11 March 2002)</w:t>
            </w:r>
          </w:p>
        </w:tc>
        <w:tc>
          <w:tcPr>
            <w:tcW w:w="1515" w:type="pct"/>
            <w:tcBorders>
              <w:top w:val="single" w:sz="4" w:space="0" w:color="auto"/>
              <w:left w:val="nil"/>
              <w:bottom w:val="single" w:sz="4" w:space="0" w:color="auto"/>
              <w:right w:val="nil"/>
            </w:tcBorders>
            <w:shd w:val="clear" w:color="auto" w:fill="auto"/>
          </w:tcPr>
          <w:p w14:paraId="117ABD11" w14:textId="77777777" w:rsidR="00E93F58" w:rsidRPr="00D97EFB" w:rsidRDefault="00E93F58" w:rsidP="00D90695">
            <w:pPr>
              <w:pStyle w:val="Tablea"/>
            </w:pPr>
            <w:r w:rsidRPr="00D97EFB">
              <w:t>(a) While the suspension is in force—no activities</w:t>
            </w:r>
          </w:p>
          <w:p w14:paraId="2CB3DF83" w14:textId="77777777" w:rsidR="00E93F58" w:rsidRPr="00D97EFB" w:rsidRDefault="00E93F58" w:rsidP="00D90695">
            <w:pPr>
              <w:pStyle w:val="Tablea"/>
            </w:pPr>
            <w:r w:rsidRPr="00D97EFB">
              <w:t>(b) If the suspension ceases to be in force on or before 10 March 2004, and from the time the suspension ceases to be in force—the activities that the licence (as in force immediately before it was suspended) authorised the person to carry on</w:t>
            </w:r>
          </w:p>
        </w:tc>
        <w:tc>
          <w:tcPr>
            <w:tcW w:w="1116" w:type="pct"/>
            <w:tcBorders>
              <w:top w:val="single" w:sz="4" w:space="0" w:color="auto"/>
              <w:left w:val="nil"/>
              <w:bottom w:val="single" w:sz="4" w:space="0" w:color="auto"/>
              <w:right w:val="nil"/>
            </w:tcBorders>
            <w:shd w:val="clear" w:color="auto" w:fill="auto"/>
          </w:tcPr>
          <w:p w14:paraId="0B92701F" w14:textId="77777777" w:rsidR="00E93F58" w:rsidRPr="00D97EFB" w:rsidRDefault="00E93F58" w:rsidP="00BB7E31">
            <w:pPr>
              <w:pStyle w:val="Tabletext"/>
            </w:pPr>
            <w:r w:rsidRPr="00D97EFB">
              <w:t>All relevant old legislation in relation to the kind of licence</w:t>
            </w:r>
          </w:p>
        </w:tc>
      </w:tr>
      <w:tr w:rsidR="00E93F58" w:rsidRPr="00D97EFB" w14:paraId="56467A1E" w14:textId="77777777" w:rsidTr="005828AC">
        <w:trPr>
          <w:cantSplit/>
        </w:trPr>
        <w:tc>
          <w:tcPr>
            <w:tcW w:w="569" w:type="pct"/>
            <w:tcBorders>
              <w:top w:val="single" w:sz="4" w:space="0" w:color="auto"/>
              <w:left w:val="nil"/>
              <w:bottom w:val="single" w:sz="4" w:space="0" w:color="auto"/>
              <w:right w:val="nil"/>
            </w:tcBorders>
          </w:tcPr>
          <w:p w14:paraId="46BA0620" w14:textId="77777777" w:rsidR="00E93F58" w:rsidRPr="00D97EFB" w:rsidRDefault="00E93F58" w:rsidP="00BB7E31">
            <w:pPr>
              <w:pStyle w:val="Tabletext"/>
            </w:pPr>
            <w:r w:rsidRPr="00D97EFB">
              <w:lastRenderedPageBreak/>
              <w:t>9</w:t>
            </w:r>
          </w:p>
        </w:tc>
        <w:tc>
          <w:tcPr>
            <w:tcW w:w="1800" w:type="pct"/>
            <w:tcBorders>
              <w:top w:val="single" w:sz="4" w:space="0" w:color="auto"/>
              <w:left w:val="nil"/>
              <w:bottom w:val="single" w:sz="4" w:space="0" w:color="auto"/>
              <w:right w:val="nil"/>
            </w:tcBorders>
          </w:tcPr>
          <w:p w14:paraId="6989CD05" w14:textId="77777777" w:rsidR="00E93F58" w:rsidRPr="00D97EFB" w:rsidRDefault="00E93F58" w:rsidP="00BB7E31">
            <w:pPr>
              <w:pStyle w:val="Tabletext"/>
            </w:pPr>
            <w:r w:rsidRPr="00D97EFB">
              <w:t xml:space="preserve">A person whose registration is suspended under section 25 of the </w:t>
            </w:r>
            <w:r w:rsidRPr="00D97EFB">
              <w:rPr>
                <w:i/>
              </w:rPr>
              <w:t>Insurance (Agents and Brokers) Act 1984</w:t>
            </w:r>
            <w:r w:rsidRPr="00D97EFB">
              <w:t xml:space="preserve"> </w:t>
            </w:r>
          </w:p>
        </w:tc>
        <w:tc>
          <w:tcPr>
            <w:tcW w:w="1515" w:type="pct"/>
            <w:tcBorders>
              <w:top w:val="single" w:sz="4" w:space="0" w:color="auto"/>
              <w:left w:val="nil"/>
              <w:bottom w:val="single" w:sz="4" w:space="0" w:color="auto"/>
              <w:right w:val="nil"/>
            </w:tcBorders>
          </w:tcPr>
          <w:p w14:paraId="668B1906" w14:textId="77777777" w:rsidR="00E93F58" w:rsidRPr="00D97EFB" w:rsidRDefault="00E93F58" w:rsidP="00D90695">
            <w:pPr>
              <w:pStyle w:val="Tablea"/>
            </w:pPr>
            <w:r w:rsidRPr="00D97EFB">
              <w:t>(a) While the suspension is in force—no activities</w:t>
            </w:r>
          </w:p>
          <w:p w14:paraId="014BDDB7" w14:textId="77777777" w:rsidR="00E93F58" w:rsidRPr="00D97EFB" w:rsidRDefault="00E93F58" w:rsidP="00D90695">
            <w:pPr>
              <w:pStyle w:val="Tablea"/>
            </w:pPr>
            <w:r w:rsidRPr="00D97EFB">
              <w:t>(b) If the suspension ceases to be in force on or before 10 March 2004, and from the time the suspension ceases to be in force—the activities that the licence (as in force immediately before it was suspended) authorised the person to carry on</w:t>
            </w:r>
          </w:p>
        </w:tc>
        <w:tc>
          <w:tcPr>
            <w:tcW w:w="1116" w:type="pct"/>
            <w:tcBorders>
              <w:top w:val="single" w:sz="4" w:space="0" w:color="auto"/>
              <w:left w:val="nil"/>
              <w:bottom w:val="single" w:sz="4" w:space="0" w:color="auto"/>
              <w:right w:val="nil"/>
            </w:tcBorders>
          </w:tcPr>
          <w:p w14:paraId="5685637C" w14:textId="77777777" w:rsidR="00E93F58" w:rsidRPr="00D97EFB" w:rsidRDefault="00E93F58" w:rsidP="00BB7E31">
            <w:pPr>
              <w:pStyle w:val="Tabletext"/>
            </w:pPr>
            <w:r w:rsidRPr="00D97EFB">
              <w:t xml:space="preserve">All of the provisions of the </w:t>
            </w:r>
            <w:r w:rsidRPr="00D97EFB">
              <w:rPr>
                <w:i/>
              </w:rPr>
              <w:t>Insurance (Agents and Brokers) Act 1984</w:t>
            </w:r>
            <w:r w:rsidRPr="00D97EFB">
              <w:t xml:space="preserve"> as in force immediately before the FSR commencement, and any associated provisions</w:t>
            </w:r>
          </w:p>
        </w:tc>
      </w:tr>
      <w:tr w:rsidR="00E93F58" w:rsidRPr="00D97EFB" w14:paraId="336B11CE" w14:textId="77777777" w:rsidTr="005828AC">
        <w:trPr>
          <w:cantSplit/>
        </w:trPr>
        <w:tc>
          <w:tcPr>
            <w:tcW w:w="569" w:type="pct"/>
            <w:tcBorders>
              <w:top w:val="single" w:sz="4" w:space="0" w:color="auto"/>
              <w:left w:val="nil"/>
              <w:bottom w:val="single" w:sz="4" w:space="0" w:color="auto"/>
              <w:right w:val="nil"/>
            </w:tcBorders>
            <w:shd w:val="clear" w:color="auto" w:fill="auto"/>
          </w:tcPr>
          <w:p w14:paraId="68C7AFAE" w14:textId="77777777" w:rsidR="00E93F58" w:rsidRPr="00D97EFB" w:rsidRDefault="00E93F58" w:rsidP="00BB7E31">
            <w:pPr>
              <w:pStyle w:val="Tabletext"/>
            </w:pPr>
            <w:r w:rsidRPr="00D97EFB">
              <w:t>10</w:t>
            </w:r>
          </w:p>
        </w:tc>
        <w:tc>
          <w:tcPr>
            <w:tcW w:w="1800" w:type="pct"/>
            <w:tcBorders>
              <w:top w:val="single" w:sz="4" w:space="0" w:color="auto"/>
              <w:left w:val="nil"/>
              <w:bottom w:val="single" w:sz="4" w:space="0" w:color="auto"/>
              <w:right w:val="nil"/>
            </w:tcBorders>
            <w:shd w:val="clear" w:color="auto" w:fill="auto"/>
          </w:tcPr>
          <w:p w14:paraId="4FAB9DCC" w14:textId="77777777" w:rsidR="00E93F58" w:rsidRPr="00D97EFB" w:rsidRDefault="00E93F58" w:rsidP="0052439F">
            <w:pPr>
              <w:pStyle w:val="Tabletext"/>
            </w:pPr>
            <w:r w:rsidRPr="00D97EFB">
              <w:t xml:space="preserve">A person whose registration is suspended under section 25 of the </w:t>
            </w:r>
            <w:r w:rsidRPr="00D97EFB">
              <w:rPr>
                <w:i/>
              </w:rPr>
              <w:t>Insurance (Agents and Brokers) Act 1984</w:t>
            </w:r>
            <w:r w:rsidRPr="00D97EFB">
              <w:t xml:space="preserve"> who is covered by a specification in writing by ASIC under subsection 25(3) of that Act</w:t>
            </w:r>
          </w:p>
        </w:tc>
        <w:tc>
          <w:tcPr>
            <w:tcW w:w="1515" w:type="pct"/>
            <w:tcBorders>
              <w:top w:val="single" w:sz="4" w:space="0" w:color="auto"/>
              <w:left w:val="nil"/>
              <w:bottom w:val="single" w:sz="4" w:space="0" w:color="auto"/>
              <w:right w:val="nil"/>
            </w:tcBorders>
            <w:shd w:val="clear" w:color="auto" w:fill="auto"/>
          </w:tcPr>
          <w:p w14:paraId="05D1710E" w14:textId="77777777" w:rsidR="00E93F58" w:rsidRPr="00D97EFB" w:rsidRDefault="00E93F58" w:rsidP="00D90695">
            <w:pPr>
              <w:pStyle w:val="Tablea"/>
            </w:pPr>
            <w:r w:rsidRPr="00D97EFB">
              <w:t xml:space="preserve">(a) While the specification is in force—such of the person’s activities as ASIC specifies in writing under subsection 25(3) of the </w:t>
            </w:r>
            <w:r w:rsidRPr="00D97EFB">
              <w:rPr>
                <w:i/>
              </w:rPr>
              <w:t>Insurance (Agents and Brokers) Act 1984</w:t>
            </w:r>
          </w:p>
          <w:p w14:paraId="4EEAE6AC" w14:textId="77777777" w:rsidR="00E93F58" w:rsidRPr="00D97EFB" w:rsidRDefault="00E93F58" w:rsidP="00D90695">
            <w:pPr>
              <w:pStyle w:val="Tablea"/>
            </w:pPr>
            <w:r w:rsidRPr="00D97EFB">
              <w:t>(b) If the suspension ceases to be in force on or before 10 March 2004, and from the time the suspension ceases to be in force—the activities that the registration (immediately before it was suspended) authorised the person to carry on</w:t>
            </w:r>
          </w:p>
        </w:tc>
        <w:tc>
          <w:tcPr>
            <w:tcW w:w="1116" w:type="pct"/>
            <w:tcBorders>
              <w:top w:val="single" w:sz="4" w:space="0" w:color="auto"/>
              <w:left w:val="nil"/>
              <w:bottom w:val="single" w:sz="4" w:space="0" w:color="auto"/>
              <w:right w:val="nil"/>
            </w:tcBorders>
            <w:shd w:val="clear" w:color="auto" w:fill="auto"/>
          </w:tcPr>
          <w:p w14:paraId="24A0445B" w14:textId="77777777" w:rsidR="00E93F58" w:rsidRPr="00D97EFB" w:rsidRDefault="00E93F58" w:rsidP="00BB7E31">
            <w:pPr>
              <w:pStyle w:val="Tabletext"/>
            </w:pPr>
            <w:r w:rsidRPr="00D97EFB">
              <w:t xml:space="preserve">All of the provisions of the </w:t>
            </w:r>
            <w:r w:rsidRPr="00D97EFB">
              <w:rPr>
                <w:i/>
              </w:rPr>
              <w:t>Insurance (Agents and Brokers) Act 1984</w:t>
            </w:r>
            <w:r w:rsidRPr="00D97EFB">
              <w:t xml:space="preserve"> as in force immediately before the FSR commencement, and any associated provisions</w:t>
            </w:r>
          </w:p>
        </w:tc>
      </w:tr>
      <w:tr w:rsidR="00E93F58" w:rsidRPr="00D97EFB" w14:paraId="71E02E9B" w14:textId="77777777" w:rsidTr="005828AC">
        <w:trPr>
          <w:cantSplit/>
        </w:trPr>
        <w:tc>
          <w:tcPr>
            <w:tcW w:w="569" w:type="pct"/>
            <w:tcBorders>
              <w:top w:val="single" w:sz="4" w:space="0" w:color="auto"/>
              <w:left w:val="nil"/>
              <w:bottom w:val="single" w:sz="4" w:space="0" w:color="auto"/>
              <w:right w:val="nil"/>
            </w:tcBorders>
          </w:tcPr>
          <w:p w14:paraId="2D96CEE6" w14:textId="77777777" w:rsidR="00E93F58" w:rsidRPr="00D97EFB" w:rsidRDefault="00E93F58" w:rsidP="00BB7E31">
            <w:pPr>
              <w:pStyle w:val="Tabletext"/>
            </w:pPr>
            <w:r w:rsidRPr="00D97EFB">
              <w:t>11</w:t>
            </w:r>
          </w:p>
        </w:tc>
        <w:tc>
          <w:tcPr>
            <w:tcW w:w="1800" w:type="pct"/>
            <w:tcBorders>
              <w:top w:val="single" w:sz="4" w:space="0" w:color="auto"/>
              <w:left w:val="nil"/>
              <w:bottom w:val="single" w:sz="4" w:space="0" w:color="auto"/>
              <w:right w:val="nil"/>
            </w:tcBorders>
          </w:tcPr>
          <w:p w14:paraId="0D8C16D7" w14:textId="77777777" w:rsidR="00E93F58" w:rsidRPr="00D97EFB" w:rsidRDefault="00E93F58" w:rsidP="00BB7E31">
            <w:pPr>
              <w:pStyle w:val="Tabletext"/>
            </w:pPr>
            <w:r w:rsidRPr="00D97EFB">
              <w:t xml:space="preserve">A person whose registration is suspended under section 31H of the </w:t>
            </w:r>
            <w:r w:rsidRPr="00D97EFB">
              <w:rPr>
                <w:i/>
              </w:rPr>
              <w:t>Insurance (Agents and Brokers) Act 1984</w:t>
            </w:r>
            <w:r w:rsidRPr="00D97EFB">
              <w:t xml:space="preserve"> </w:t>
            </w:r>
          </w:p>
        </w:tc>
        <w:tc>
          <w:tcPr>
            <w:tcW w:w="1515" w:type="pct"/>
            <w:tcBorders>
              <w:top w:val="single" w:sz="4" w:space="0" w:color="auto"/>
              <w:left w:val="nil"/>
              <w:bottom w:val="single" w:sz="4" w:space="0" w:color="auto"/>
              <w:right w:val="nil"/>
            </w:tcBorders>
          </w:tcPr>
          <w:p w14:paraId="5254DBF2" w14:textId="77777777" w:rsidR="00E93F58" w:rsidRPr="00D97EFB" w:rsidRDefault="00E93F58" w:rsidP="00D90695">
            <w:pPr>
              <w:pStyle w:val="Tablea"/>
            </w:pPr>
            <w:r w:rsidRPr="00D97EFB">
              <w:t>(a) While the suspension is in force—no activities</w:t>
            </w:r>
          </w:p>
          <w:p w14:paraId="1C86A257" w14:textId="77777777" w:rsidR="00E93F58" w:rsidRPr="00D97EFB" w:rsidRDefault="00E93F58" w:rsidP="00D90695">
            <w:pPr>
              <w:pStyle w:val="Tablea"/>
            </w:pPr>
            <w:r w:rsidRPr="00D97EFB">
              <w:t>(b) If the suspension ceases to be in force on or before 10 March 2004, and from the time the suspension ceases to be in force—the activities that the registration (immediately before it was suspended) authorised the person to carry on</w:t>
            </w:r>
          </w:p>
        </w:tc>
        <w:tc>
          <w:tcPr>
            <w:tcW w:w="1116" w:type="pct"/>
            <w:tcBorders>
              <w:top w:val="single" w:sz="4" w:space="0" w:color="auto"/>
              <w:left w:val="nil"/>
              <w:bottom w:val="single" w:sz="4" w:space="0" w:color="auto"/>
              <w:right w:val="nil"/>
            </w:tcBorders>
          </w:tcPr>
          <w:p w14:paraId="740EABC2" w14:textId="77777777" w:rsidR="00E93F58" w:rsidRPr="00D97EFB" w:rsidRDefault="00E93F58" w:rsidP="00BB7E31">
            <w:pPr>
              <w:pStyle w:val="Tabletext"/>
            </w:pPr>
            <w:r w:rsidRPr="00D97EFB">
              <w:t xml:space="preserve">All of the provisions of the </w:t>
            </w:r>
            <w:r w:rsidRPr="00D97EFB">
              <w:rPr>
                <w:i/>
              </w:rPr>
              <w:t>Insurance (Agents and Brokers) Act 1984</w:t>
            </w:r>
            <w:r w:rsidRPr="00D97EFB">
              <w:t xml:space="preserve"> as in force immediately before the FSR commencement, and any associated provisions</w:t>
            </w:r>
          </w:p>
        </w:tc>
      </w:tr>
      <w:tr w:rsidR="00E93F58" w:rsidRPr="00D97EFB" w14:paraId="4B95D916" w14:textId="77777777" w:rsidTr="005828AC">
        <w:trPr>
          <w:cantSplit/>
        </w:trPr>
        <w:tc>
          <w:tcPr>
            <w:tcW w:w="569" w:type="pct"/>
            <w:tcBorders>
              <w:top w:val="single" w:sz="4" w:space="0" w:color="auto"/>
              <w:left w:val="nil"/>
              <w:bottom w:val="single" w:sz="4" w:space="0" w:color="auto"/>
              <w:right w:val="nil"/>
            </w:tcBorders>
            <w:shd w:val="clear" w:color="auto" w:fill="auto"/>
          </w:tcPr>
          <w:p w14:paraId="4068D756" w14:textId="77777777" w:rsidR="00E93F58" w:rsidRPr="00D97EFB" w:rsidRDefault="00E93F58" w:rsidP="00BB7E31">
            <w:pPr>
              <w:pStyle w:val="Tabletext"/>
            </w:pPr>
            <w:r w:rsidRPr="00D97EFB">
              <w:t>12</w:t>
            </w:r>
          </w:p>
        </w:tc>
        <w:tc>
          <w:tcPr>
            <w:tcW w:w="1800" w:type="pct"/>
            <w:tcBorders>
              <w:top w:val="single" w:sz="4" w:space="0" w:color="auto"/>
              <w:left w:val="nil"/>
              <w:bottom w:val="single" w:sz="4" w:space="0" w:color="auto"/>
              <w:right w:val="nil"/>
            </w:tcBorders>
            <w:shd w:val="clear" w:color="auto" w:fill="auto"/>
          </w:tcPr>
          <w:p w14:paraId="1119CECB" w14:textId="77777777" w:rsidR="00E93F58" w:rsidRPr="00D97EFB" w:rsidRDefault="00E93F58" w:rsidP="0052439F">
            <w:pPr>
              <w:pStyle w:val="Tabletext"/>
            </w:pPr>
            <w:r w:rsidRPr="00D97EFB">
              <w:t xml:space="preserve">A person whose registration is suspended under section 31H of the </w:t>
            </w:r>
            <w:r w:rsidRPr="00D97EFB">
              <w:rPr>
                <w:i/>
              </w:rPr>
              <w:t>Insurance (Agents and Brokers) Act 1984</w:t>
            </w:r>
            <w:r w:rsidRPr="00D97EFB">
              <w:t xml:space="preserve"> who is covered by a specification in writing by ASIC under subsection 31H(3) of that Act</w:t>
            </w:r>
          </w:p>
        </w:tc>
        <w:tc>
          <w:tcPr>
            <w:tcW w:w="1515" w:type="pct"/>
            <w:tcBorders>
              <w:top w:val="single" w:sz="4" w:space="0" w:color="auto"/>
              <w:left w:val="nil"/>
              <w:bottom w:val="single" w:sz="4" w:space="0" w:color="auto"/>
              <w:right w:val="nil"/>
            </w:tcBorders>
            <w:shd w:val="clear" w:color="auto" w:fill="auto"/>
          </w:tcPr>
          <w:p w14:paraId="261EFF57" w14:textId="77777777" w:rsidR="00E93F58" w:rsidRPr="00D97EFB" w:rsidRDefault="00E93F58" w:rsidP="00D90695">
            <w:pPr>
              <w:pStyle w:val="Tablea"/>
            </w:pPr>
            <w:r w:rsidRPr="00D97EFB">
              <w:t xml:space="preserve">(a) While the specification is in force—such of the person’s activities as ASIC specifies in writing under subsection 31H(3) of the </w:t>
            </w:r>
            <w:r w:rsidRPr="00D97EFB">
              <w:rPr>
                <w:i/>
              </w:rPr>
              <w:t>Insurance (Agents and Brokers) Act 1984</w:t>
            </w:r>
          </w:p>
          <w:p w14:paraId="0E366BEC" w14:textId="77777777" w:rsidR="00E93F58" w:rsidRPr="00D97EFB" w:rsidRDefault="00E93F58" w:rsidP="00D90695">
            <w:pPr>
              <w:pStyle w:val="Tablea"/>
            </w:pPr>
            <w:r w:rsidRPr="00D97EFB">
              <w:t>(b) If the suspension ceases to be in force on or before 10 March 2004, from the time the suspension ceases to be in force—the activities that the registration (immediately before it was suspended) authorised the person to carry on</w:t>
            </w:r>
          </w:p>
        </w:tc>
        <w:tc>
          <w:tcPr>
            <w:tcW w:w="1116" w:type="pct"/>
            <w:tcBorders>
              <w:top w:val="single" w:sz="4" w:space="0" w:color="auto"/>
              <w:left w:val="nil"/>
              <w:bottom w:val="single" w:sz="4" w:space="0" w:color="auto"/>
              <w:right w:val="nil"/>
            </w:tcBorders>
            <w:shd w:val="clear" w:color="auto" w:fill="auto"/>
          </w:tcPr>
          <w:p w14:paraId="58D702DE" w14:textId="77777777" w:rsidR="00E93F58" w:rsidRPr="00D97EFB" w:rsidRDefault="00E93F58" w:rsidP="00BB7E31">
            <w:pPr>
              <w:pStyle w:val="Tabletext"/>
            </w:pPr>
            <w:r w:rsidRPr="00D97EFB">
              <w:t xml:space="preserve">All of the provisions of the </w:t>
            </w:r>
            <w:r w:rsidRPr="00D97EFB">
              <w:rPr>
                <w:i/>
              </w:rPr>
              <w:t>Insurance (Agents and Brokers) Act 1984</w:t>
            </w:r>
            <w:r w:rsidRPr="00D97EFB">
              <w:t xml:space="preserve"> as in force immediately before the FSR commencement, and any associated provisions</w:t>
            </w:r>
          </w:p>
        </w:tc>
      </w:tr>
      <w:tr w:rsidR="00E93F58" w:rsidRPr="00D97EFB" w14:paraId="2DD0A584" w14:textId="77777777" w:rsidTr="00677EC3">
        <w:tc>
          <w:tcPr>
            <w:tcW w:w="569" w:type="pct"/>
            <w:tcBorders>
              <w:top w:val="single" w:sz="4" w:space="0" w:color="auto"/>
              <w:left w:val="nil"/>
              <w:bottom w:val="single" w:sz="4" w:space="0" w:color="auto"/>
              <w:right w:val="nil"/>
            </w:tcBorders>
            <w:shd w:val="clear" w:color="auto" w:fill="auto"/>
          </w:tcPr>
          <w:p w14:paraId="4EB6040C" w14:textId="77777777" w:rsidR="00E93F58" w:rsidRPr="00D97EFB" w:rsidRDefault="00E93F58" w:rsidP="00BB7E31">
            <w:pPr>
              <w:pStyle w:val="Tabletext"/>
            </w:pPr>
            <w:r w:rsidRPr="00D97EFB">
              <w:t>13</w:t>
            </w:r>
          </w:p>
        </w:tc>
        <w:tc>
          <w:tcPr>
            <w:tcW w:w="1800" w:type="pct"/>
            <w:tcBorders>
              <w:top w:val="single" w:sz="4" w:space="0" w:color="auto"/>
              <w:left w:val="nil"/>
              <w:bottom w:val="single" w:sz="4" w:space="0" w:color="auto"/>
              <w:right w:val="nil"/>
            </w:tcBorders>
            <w:shd w:val="clear" w:color="auto" w:fill="auto"/>
          </w:tcPr>
          <w:p w14:paraId="37C61F25" w14:textId="77777777" w:rsidR="00E93F58" w:rsidRPr="00D97EFB" w:rsidRDefault="00E93F58" w:rsidP="00BB7E31">
            <w:pPr>
              <w:pStyle w:val="Tabletext"/>
            </w:pPr>
            <w:r w:rsidRPr="00D97EFB">
              <w:t xml:space="preserve">A person who was a registered insurance broker within the meaning of the </w:t>
            </w:r>
            <w:r w:rsidRPr="00D97EFB">
              <w:rPr>
                <w:i/>
              </w:rPr>
              <w:t>Insurance (Agents and Brokers) Act 1984</w:t>
            </w:r>
            <w:r w:rsidRPr="00D97EFB">
              <w:t xml:space="preserve"> as in force immediately before the FSR commencement, if:</w:t>
            </w:r>
          </w:p>
          <w:p w14:paraId="46A59FAA" w14:textId="77777777" w:rsidR="00E93F58" w:rsidRPr="00D97EFB" w:rsidRDefault="00E93F58" w:rsidP="00D90695">
            <w:pPr>
              <w:pStyle w:val="Tablea"/>
            </w:pPr>
            <w:r w:rsidRPr="00D97EFB">
              <w:t>(a) the person’s registration under that Act expired because of the operation of subsection 21(3) of that Act; and</w:t>
            </w:r>
          </w:p>
          <w:p w14:paraId="5AEB12B3" w14:textId="77777777" w:rsidR="00E93F58" w:rsidRPr="00D97EFB" w:rsidRDefault="00E93F58" w:rsidP="00D90695">
            <w:pPr>
              <w:pStyle w:val="Tablea"/>
            </w:pPr>
            <w:r w:rsidRPr="00D97EFB">
              <w:t>(b) either:</w:t>
            </w:r>
          </w:p>
          <w:p w14:paraId="073943FC" w14:textId="77777777" w:rsidR="00E93F58" w:rsidRPr="00D97EFB" w:rsidRDefault="00E93F58" w:rsidP="00D90695">
            <w:pPr>
              <w:pStyle w:val="Tablei"/>
            </w:pPr>
            <w:r w:rsidRPr="00D97EFB">
              <w:t>(i) it is less than 8 weeks after the registration expired; or</w:t>
            </w:r>
          </w:p>
          <w:p w14:paraId="3AF1BDB0" w14:textId="77777777" w:rsidR="00E93F58" w:rsidRPr="00D97EFB" w:rsidRDefault="00E93F58" w:rsidP="00D90695">
            <w:pPr>
              <w:pStyle w:val="Tablei"/>
            </w:pPr>
            <w:r w:rsidRPr="00D97EFB">
              <w:t xml:space="preserve">(ii) the person applied for renewal of </w:t>
            </w:r>
            <w:r w:rsidRPr="00D97EFB">
              <w:lastRenderedPageBreak/>
              <w:t>registration within 8 weeks after the registration expired</w:t>
            </w:r>
          </w:p>
        </w:tc>
        <w:tc>
          <w:tcPr>
            <w:tcW w:w="1515" w:type="pct"/>
            <w:tcBorders>
              <w:top w:val="single" w:sz="4" w:space="0" w:color="auto"/>
              <w:left w:val="nil"/>
              <w:bottom w:val="single" w:sz="4" w:space="0" w:color="auto"/>
              <w:right w:val="nil"/>
            </w:tcBorders>
            <w:shd w:val="clear" w:color="auto" w:fill="auto"/>
          </w:tcPr>
          <w:p w14:paraId="6706EA0B" w14:textId="77777777" w:rsidR="00E93F58" w:rsidRPr="00D97EFB" w:rsidRDefault="00E93F58" w:rsidP="00BB7E31">
            <w:pPr>
              <w:pStyle w:val="Tabletext"/>
            </w:pPr>
            <w:r w:rsidRPr="00D97EFB">
              <w:lastRenderedPageBreak/>
              <w:t xml:space="preserve">The person’s business as an insurance broker, within the meaning of the </w:t>
            </w:r>
            <w:r w:rsidRPr="00D97EFB">
              <w:rPr>
                <w:i/>
              </w:rPr>
              <w:t>Insurance (Agents and Brokers) Act 1984</w:t>
            </w:r>
            <w:r w:rsidRPr="00D97EFB">
              <w:t xml:space="preserve"> as in force immediately before the FSR commencement, carried on from the date that the registration ceased to have effect</w:t>
            </w:r>
          </w:p>
        </w:tc>
        <w:tc>
          <w:tcPr>
            <w:tcW w:w="1116" w:type="pct"/>
            <w:tcBorders>
              <w:top w:val="single" w:sz="4" w:space="0" w:color="auto"/>
              <w:left w:val="nil"/>
              <w:bottom w:val="single" w:sz="4" w:space="0" w:color="auto"/>
              <w:right w:val="nil"/>
            </w:tcBorders>
            <w:shd w:val="clear" w:color="auto" w:fill="auto"/>
          </w:tcPr>
          <w:p w14:paraId="0F4D916C" w14:textId="77777777" w:rsidR="00E93F58" w:rsidRPr="00D97EFB" w:rsidRDefault="00E93F58" w:rsidP="00BB7E31">
            <w:pPr>
              <w:pStyle w:val="Tabletext"/>
            </w:pPr>
            <w:r w:rsidRPr="00D97EFB">
              <w:t xml:space="preserve">All the provisions of the </w:t>
            </w:r>
            <w:r w:rsidRPr="00D97EFB">
              <w:rPr>
                <w:i/>
              </w:rPr>
              <w:t>Insurance (Agents and Brokers) Act 1984</w:t>
            </w:r>
            <w:r w:rsidRPr="00D97EFB">
              <w:t xml:space="preserve"> as in force immediately before the FSR commencement, and any associated provisions</w:t>
            </w:r>
          </w:p>
        </w:tc>
      </w:tr>
      <w:tr w:rsidR="00E93F58" w:rsidRPr="00D97EFB" w14:paraId="6955ED0D" w14:textId="77777777" w:rsidTr="005828AC">
        <w:trPr>
          <w:cantSplit/>
        </w:trPr>
        <w:tc>
          <w:tcPr>
            <w:tcW w:w="569" w:type="pct"/>
            <w:tcBorders>
              <w:top w:val="single" w:sz="4" w:space="0" w:color="auto"/>
              <w:left w:val="nil"/>
              <w:bottom w:val="single" w:sz="4" w:space="0" w:color="auto"/>
              <w:right w:val="nil"/>
            </w:tcBorders>
            <w:shd w:val="clear" w:color="auto" w:fill="auto"/>
          </w:tcPr>
          <w:p w14:paraId="386A8528" w14:textId="77777777" w:rsidR="00E93F58" w:rsidRPr="00D97EFB" w:rsidRDefault="00E93F58" w:rsidP="003D2AE9">
            <w:pPr>
              <w:pStyle w:val="Tabletext"/>
            </w:pPr>
            <w:r w:rsidRPr="00D97EFB">
              <w:t>14</w:t>
            </w:r>
          </w:p>
        </w:tc>
        <w:tc>
          <w:tcPr>
            <w:tcW w:w="1800" w:type="pct"/>
            <w:tcBorders>
              <w:top w:val="single" w:sz="4" w:space="0" w:color="auto"/>
              <w:left w:val="nil"/>
              <w:bottom w:val="single" w:sz="4" w:space="0" w:color="auto"/>
              <w:right w:val="nil"/>
            </w:tcBorders>
            <w:shd w:val="clear" w:color="auto" w:fill="auto"/>
          </w:tcPr>
          <w:p w14:paraId="69831EF4" w14:textId="77777777" w:rsidR="00E93F58" w:rsidRPr="00D97EFB" w:rsidRDefault="00E93F58" w:rsidP="00BB7E31">
            <w:pPr>
              <w:pStyle w:val="Tabletext"/>
            </w:pPr>
            <w:r w:rsidRPr="00D97EFB">
              <w:t>A person who:</w:t>
            </w:r>
          </w:p>
          <w:p w14:paraId="66476528" w14:textId="77777777" w:rsidR="00E93F58" w:rsidRPr="00D97EFB" w:rsidRDefault="00E93F58" w:rsidP="00D90695">
            <w:pPr>
              <w:pStyle w:val="Tablea"/>
            </w:pPr>
            <w:r w:rsidRPr="00D97EFB">
              <w:t>(a) conducts activities that, if carried on after the FSR commencement, would be required by the amended Corporations Act (apart from Subdivision D of Division 1 of Part 10.2) to be covered by an Australian financial services licence; and</w:t>
            </w:r>
          </w:p>
          <w:p w14:paraId="5C00ACA9" w14:textId="77777777" w:rsidR="00E93F58" w:rsidRPr="00D97EFB" w:rsidRDefault="00E93F58" w:rsidP="00D90695">
            <w:pPr>
              <w:pStyle w:val="Tablea"/>
            </w:pPr>
            <w:r w:rsidRPr="00D97EFB">
              <w:t xml:space="preserve">(b) is an Australian ADI, a life company under the </w:t>
            </w:r>
            <w:r w:rsidRPr="00D97EFB">
              <w:rPr>
                <w:i/>
              </w:rPr>
              <w:t>Life Insurance Act 1995</w:t>
            </w:r>
            <w:r w:rsidRPr="00D97EFB">
              <w:t xml:space="preserve">, a general insurer under the </w:t>
            </w:r>
            <w:r w:rsidRPr="00D97EFB">
              <w:rPr>
                <w:i/>
              </w:rPr>
              <w:t>Insurance Act 1973</w:t>
            </w:r>
            <w:r w:rsidRPr="00D97EFB">
              <w:t xml:space="preserve"> or an approved trustee under the </w:t>
            </w:r>
            <w:r w:rsidRPr="00D97EFB">
              <w:rPr>
                <w:i/>
              </w:rPr>
              <w:t>Superannuation Industry (Supervision) Act 1993</w:t>
            </w:r>
          </w:p>
        </w:tc>
        <w:tc>
          <w:tcPr>
            <w:tcW w:w="1515" w:type="pct"/>
            <w:tcBorders>
              <w:top w:val="single" w:sz="4" w:space="0" w:color="auto"/>
              <w:left w:val="nil"/>
              <w:bottom w:val="single" w:sz="4" w:space="0" w:color="auto"/>
              <w:right w:val="nil"/>
            </w:tcBorders>
            <w:shd w:val="clear" w:color="auto" w:fill="auto"/>
          </w:tcPr>
          <w:p w14:paraId="20ECB646" w14:textId="77777777" w:rsidR="00E93F58" w:rsidRPr="00D97EFB" w:rsidRDefault="00E93F58" w:rsidP="00BB7E31">
            <w:pPr>
              <w:pStyle w:val="Tabletext"/>
            </w:pPr>
            <w:r w:rsidRPr="00D97EFB">
              <w:t>The class of activities lawfully carried on by the person immediately before the FSR commencement that, if carried on after the FSR commencement, would be required by the amended Corporations Act (apart from Subdivision D of Division 1 of Part 10.2) to be covered by an Australian financial services licence</w:t>
            </w:r>
          </w:p>
        </w:tc>
        <w:tc>
          <w:tcPr>
            <w:tcW w:w="1116" w:type="pct"/>
            <w:tcBorders>
              <w:top w:val="single" w:sz="4" w:space="0" w:color="auto"/>
              <w:left w:val="nil"/>
              <w:bottom w:val="single" w:sz="4" w:space="0" w:color="auto"/>
              <w:right w:val="nil"/>
            </w:tcBorders>
            <w:shd w:val="clear" w:color="auto" w:fill="auto"/>
          </w:tcPr>
          <w:p w14:paraId="34195DF8" w14:textId="77777777" w:rsidR="00E93F58" w:rsidRPr="00D97EFB" w:rsidRDefault="00E93F58" w:rsidP="00BB7E31">
            <w:pPr>
              <w:pStyle w:val="Tabletext"/>
            </w:pPr>
            <w:r w:rsidRPr="00D97EFB">
              <w:t xml:space="preserve">For a body that was an insurer within the meaning of the </w:t>
            </w:r>
            <w:r w:rsidRPr="00D97EFB">
              <w:rPr>
                <w:i/>
              </w:rPr>
              <w:t>Insurance (Agents and Brokers) Act 1984</w:t>
            </w:r>
            <w:r w:rsidRPr="00D97EFB">
              <w:t xml:space="preserve"> as in force immediately before the FSR commencement—all the provisions of that Act as then in force, and any associated provisions</w:t>
            </w:r>
          </w:p>
          <w:p w14:paraId="4C36B1F5" w14:textId="77777777" w:rsidR="00E93F58" w:rsidRPr="00D97EFB" w:rsidRDefault="00E93F58" w:rsidP="00BB7E31">
            <w:pPr>
              <w:pStyle w:val="Tabletext"/>
            </w:pPr>
            <w:r w:rsidRPr="00D97EFB">
              <w:t>In any other case—subject to any regulations made for the purposes of this item, there is no relevant old legislation</w:t>
            </w:r>
          </w:p>
        </w:tc>
      </w:tr>
      <w:tr w:rsidR="00E93F58" w:rsidRPr="00D97EFB" w14:paraId="06DF2785" w14:textId="77777777" w:rsidTr="005828AC">
        <w:trPr>
          <w:cantSplit/>
        </w:trPr>
        <w:tc>
          <w:tcPr>
            <w:tcW w:w="569" w:type="pct"/>
            <w:tcBorders>
              <w:top w:val="single" w:sz="4" w:space="0" w:color="auto"/>
              <w:left w:val="nil"/>
              <w:bottom w:val="single" w:sz="12" w:space="0" w:color="auto"/>
              <w:right w:val="nil"/>
            </w:tcBorders>
          </w:tcPr>
          <w:p w14:paraId="2073FEE4" w14:textId="77777777" w:rsidR="00E93F58" w:rsidRPr="00D97EFB" w:rsidRDefault="00E93F58" w:rsidP="00BB7E31">
            <w:pPr>
              <w:pStyle w:val="Tabletext"/>
            </w:pPr>
            <w:r w:rsidRPr="00D97EFB">
              <w:t>15</w:t>
            </w:r>
          </w:p>
        </w:tc>
        <w:tc>
          <w:tcPr>
            <w:tcW w:w="1800" w:type="pct"/>
            <w:tcBorders>
              <w:top w:val="single" w:sz="4" w:space="0" w:color="auto"/>
              <w:left w:val="nil"/>
              <w:bottom w:val="single" w:sz="12" w:space="0" w:color="auto"/>
              <w:right w:val="nil"/>
            </w:tcBorders>
          </w:tcPr>
          <w:p w14:paraId="1D062B46" w14:textId="77777777" w:rsidR="00E93F58" w:rsidRPr="00D97EFB" w:rsidRDefault="00E93F58" w:rsidP="00BB7E31">
            <w:pPr>
              <w:pStyle w:val="Tabletext"/>
            </w:pPr>
            <w:r w:rsidRPr="00D97EFB">
              <w:t>A person described in column 2 of items 1 to 5 of the table in subsection 1430(1) of the Act, who carries on other activities:</w:t>
            </w:r>
          </w:p>
          <w:p w14:paraId="10B6E9FC" w14:textId="77777777" w:rsidR="00E93F58" w:rsidRPr="00D97EFB" w:rsidRDefault="00E93F58" w:rsidP="00D90695">
            <w:pPr>
              <w:pStyle w:val="Tablea"/>
            </w:pPr>
            <w:r w:rsidRPr="00D97EFB">
              <w:t>(a) that are not regulated activities for the purpose of items 1 to 5 of the table; and</w:t>
            </w:r>
          </w:p>
          <w:p w14:paraId="543B1BF2" w14:textId="77777777" w:rsidR="00E93F58" w:rsidRPr="00D97EFB" w:rsidRDefault="00E93F58" w:rsidP="00D90695">
            <w:pPr>
              <w:pStyle w:val="Tablea"/>
            </w:pPr>
            <w:r w:rsidRPr="00D97EFB">
              <w:t>(b) that, if carried on after the FSR commencement, would (apart from Subdivision D of Division 1 of Part 10.2 of the Act) be required by the amended Corporations Act to be covered by an Australian financial services licence</w:t>
            </w:r>
          </w:p>
        </w:tc>
        <w:tc>
          <w:tcPr>
            <w:tcW w:w="1515" w:type="pct"/>
            <w:tcBorders>
              <w:top w:val="single" w:sz="4" w:space="0" w:color="auto"/>
              <w:left w:val="nil"/>
              <w:bottom w:val="single" w:sz="12" w:space="0" w:color="auto"/>
              <w:right w:val="nil"/>
            </w:tcBorders>
          </w:tcPr>
          <w:p w14:paraId="7AAC03FA" w14:textId="77777777" w:rsidR="00E93F58" w:rsidRPr="00D97EFB" w:rsidRDefault="00E93F58" w:rsidP="00BB7E31">
            <w:pPr>
              <w:pStyle w:val="Tabletext"/>
            </w:pPr>
            <w:r w:rsidRPr="00D97EFB">
              <w:t>The class of activities lawfully carried on by the person immediately before the FSR commencement that were not authorised by the pre</w:t>
            </w:r>
            <w:r>
              <w:noBreakHyphen/>
            </w:r>
            <w:r w:rsidRPr="00D97EFB">
              <w:t>FSR licence or registration but would (apart from Subdivision D of Division 1 of Part 10.2 of the Act) be required by the amended Corporations Act to be covered by an Australian financial services licence</w:t>
            </w:r>
          </w:p>
        </w:tc>
        <w:tc>
          <w:tcPr>
            <w:tcW w:w="1116" w:type="pct"/>
            <w:tcBorders>
              <w:top w:val="single" w:sz="4" w:space="0" w:color="auto"/>
              <w:left w:val="nil"/>
              <w:bottom w:val="single" w:sz="12" w:space="0" w:color="auto"/>
              <w:right w:val="nil"/>
            </w:tcBorders>
          </w:tcPr>
          <w:p w14:paraId="342191B2" w14:textId="77777777" w:rsidR="00E93F58" w:rsidRPr="00D97EFB" w:rsidRDefault="00E93F58" w:rsidP="00BB7E31">
            <w:pPr>
              <w:pStyle w:val="Tabletext"/>
            </w:pPr>
            <w:r w:rsidRPr="00D97EFB">
              <w:t>There is no relevant old legislation</w:t>
            </w:r>
          </w:p>
        </w:tc>
      </w:tr>
    </w:tbl>
    <w:p w14:paraId="39FBC23A" w14:textId="77777777" w:rsidR="00E93F58" w:rsidRPr="00D97EFB" w:rsidRDefault="00E93F58" w:rsidP="00BB7E31">
      <w:pPr>
        <w:pStyle w:val="ActHead5"/>
      </w:pPr>
      <w:bookmarkStart w:id="2430" w:name="_Toc151994494"/>
      <w:bookmarkStart w:id="2431" w:name="_Toc158713004"/>
      <w:r w:rsidRPr="000D40D5">
        <w:rPr>
          <w:rStyle w:val="CharSectno"/>
        </w:rPr>
        <w:t>10.2.39</w:t>
      </w:r>
      <w:r w:rsidRPr="00D97EFB">
        <w:rPr>
          <w:sz w:val="16"/>
        </w:rPr>
        <w:t xml:space="preserve">  </w:t>
      </w:r>
      <w:r w:rsidRPr="00D97EFB">
        <w:t>Reference to offer covered by Australian financial services licence: section 911A of the Act</w:t>
      </w:r>
      <w:bookmarkEnd w:id="2430"/>
      <w:bookmarkEnd w:id="2431"/>
    </w:p>
    <w:p w14:paraId="0A570BA8" w14:textId="77777777" w:rsidR="00E93F58" w:rsidRPr="00D97EFB" w:rsidRDefault="00E93F58" w:rsidP="00BB7E31">
      <w:pPr>
        <w:pStyle w:val="subsection"/>
      </w:pPr>
      <w:r w:rsidRPr="00D97EFB">
        <w:tab/>
        <w:t>(1)</w:t>
      </w:r>
      <w:r w:rsidRPr="00D97EFB">
        <w:tab/>
        <w:t>For section 1444 of the Act, this regulation applies in relation to:</w:t>
      </w:r>
    </w:p>
    <w:p w14:paraId="4866E4AD" w14:textId="77777777" w:rsidR="00E93F58" w:rsidRPr="00D97EFB" w:rsidRDefault="00E93F58" w:rsidP="00BB7E31">
      <w:pPr>
        <w:pStyle w:val="paragraph"/>
      </w:pPr>
      <w:r w:rsidRPr="00D97EFB">
        <w:rPr>
          <w:color w:val="000000"/>
        </w:rPr>
        <w:tab/>
        <w:t>(a)</w:t>
      </w:r>
      <w:r w:rsidRPr="00D97EFB">
        <w:rPr>
          <w:color w:val="000000"/>
        </w:rPr>
        <w:tab/>
        <w:t>a regulated principal; and</w:t>
      </w:r>
    </w:p>
    <w:p w14:paraId="2E5FA6FA" w14:textId="77777777" w:rsidR="00E93F58" w:rsidRPr="00D97EFB" w:rsidRDefault="00E93F58" w:rsidP="00BB7E31">
      <w:pPr>
        <w:pStyle w:val="paragraph"/>
      </w:pPr>
      <w:r w:rsidRPr="00D97EFB">
        <w:tab/>
        <w:t>(b)</w:t>
      </w:r>
      <w:r w:rsidRPr="00D97EFB">
        <w:tab/>
        <w:t>a representative of a regulated principal within the meaning of subsection 1436(1) of the Act.</w:t>
      </w:r>
    </w:p>
    <w:p w14:paraId="26958E67" w14:textId="77777777" w:rsidR="00E93F58" w:rsidRPr="00D97EFB" w:rsidRDefault="00E93F58" w:rsidP="00BB7E31">
      <w:pPr>
        <w:pStyle w:val="subsection"/>
      </w:pPr>
      <w:r w:rsidRPr="00D97EFB">
        <w:rPr>
          <w:color w:val="000000"/>
        </w:rPr>
        <w:tab/>
        <w:t>(2)</w:t>
      </w:r>
      <w:r w:rsidRPr="00D97EFB">
        <w:rPr>
          <w:color w:val="000000"/>
        </w:rPr>
        <w:tab/>
        <w:t>A reference in paragraph 911A(2)(b) of the Act to a financial services licensee includes a regulated principal.</w:t>
      </w:r>
    </w:p>
    <w:p w14:paraId="5284C721" w14:textId="77777777" w:rsidR="00E93F58" w:rsidRPr="00D97EFB" w:rsidRDefault="00E93F58" w:rsidP="00BB7E31">
      <w:pPr>
        <w:pStyle w:val="subsection"/>
      </w:pPr>
      <w:r w:rsidRPr="00D97EFB">
        <w:tab/>
        <w:t>(3)</w:t>
      </w:r>
      <w:r w:rsidRPr="00D97EFB">
        <w:tab/>
        <w:t>A reference in paragraph 911A(2)(b) of the Act to an authorised representative includes a representative of a regulated principal.</w:t>
      </w:r>
    </w:p>
    <w:p w14:paraId="4AD8224A" w14:textId="77777777" w:rsidR="00E93F58" w:rsidRPr="00D97EFB" w:rsidRDefault="00E93F58" w:rsidP="00BB7E31">
      <w:pPr>
        <w:pStyle w:val="subsection"/>
      </w:pPr>
      <w:r w:rsidRPr="00D97EFB">
        <w:tab/>
        <w:t>(4)</w:t>
      </w:r>
      <w:r w:rsidRPr="00D97EFB">
        <w:tab/>
        <w:t>A reference in paragraph 911A(2)(b) of the Act to an offer covered by a financial services licensee’s Australian financial services licence includes an offer within the regulated activities of the regulated principal.</w:t>
      </w:r>
    </w:p>
    <w:p w14:paraId="60A860E6" w14:textId="77777777" w:rsidR="00E93F58" w:rsidRPr="00D97EFB" w:rsidRDefault="00E93F58" w:rsidP="00BB7E31">
      <w:pPr>
        <w:pStyle w:val="subsection"/>
      </w:pPr>
      <w:r w:rsidRPr="00D97EFB">
        <w:tab/>
        <w:t>(5)</w:t>
      </w:r>
      <w:r w:rsidRPr="00D97EFB">
        <w:tab/>
        <w:t>Subregulations (2), (3) and (4) cease to apply in relation to the regulated principal and the representative at the end of the transition period in relation to the regulated principal.</w:t>
      </w:r>
    </w:p>
    <w:p w14:paraId="369A4699" w14:textId="77777777" w:rsidR="00E93F58" w:rsidRPr="00D97EFB" w:rsidRDefault="00E93F58" w:rsidP="00BB7E31">
      <w:pPr>
        <w:pStyle w:val="ActHead5"/>
      </w:pPr>
      <w:bookmarkStart w:id="2432" w:name="_Toc151994495"/>
      <w:bookmarkStart w:id="2433" w:name="_Toc158713005"/>
      <w:r w:rsidRPr="000D40D5">
        <w:rPr>
          <w:rStyle w:val="CharSectno"/>
        </w:rPr>
        <w:t>10.2.40</w:t>
      </w:r>
      <w:r w:rsidRPr="00D97EFB">
        <w:t xml:space="preserve">  Reference to financial services licensee: section 911A of the Act</w:t>
      </w:r>
      <w:bookmarkEnd w:id="2432"/>
      <w:bookmarkEnd w:id="2433"/>
    </w:p>
    <w:p w14:paraId="57933CC3" w14:textId="77777777" w:rsidR="00E93F58" w:rsidRPr="00D97EFB" w:rsidRDefault="00E93F58" w:rsidP="00BB7E31">
      <w:pPr>
        <w:pStyle w:val="subsection"/>
      </w:pPr>
      <w:r w:rsidRPr="00D97EFB">
        <w:tab/>
        <w:t>(1)</w:t>
      </w:r>
      <w:r w:rsidRPr="00D97EFB">
        <w:tab/>
        <w:t>This regulation applies in relation to the following provisions of the Act:</w:t>
      </w:r>
    </w:p>
    <w:p w14:paraId="468EF53B" w14:textId="77777777" w:rsidR="00E93F58" w:rsidRPr="00D97EFB" w:rsidRDefault="00E93F58" w:rsidP="00BB7E31">
      <w:pPr>
        <w:pStyle w:val="paragraph"/>
      </w:pPr>
      <w:r w:rsidRPr="00D97EFB">
        <w:rPr>
          <w:color w:val="000000"/>
        </w:rPr>
        <w:tab/>
        <w:t>(a)</w:t>
      </w:r>
      <w:r w:rsidRPr="00D97EFB">
        <w:rPr>
          <w:color w:val="000000"/>
        </w:rPr>
        <w:tab/>
        <w:t>subparagraph 911A(2)(f)(viii);</w:t>
      </w:r>
    </w:p>
    <w:p w14:paraId="7562C3F4" w14:textId="77777777" w:rsidR="00E93F58" w:rsidRPr="00D97EFB" w:rsidRDefault="00E93F58" w:rsidP="00BB7E31">
      <w:pPr>
        <w:pStyle w:val="paragraph"/>
      </w:pPr>
      <w:r w:rsidRPr="00D97EFB">
        <w:tab/>
        <w:t>(b)</w:t>
      </w:r>
      <w:r w:rsidRPr="00D97EFB">
        <w:tab/>
        <w:t>subparagraph 911A(2)(f)(ix);</w:t>
      </w:r>
    </w:p>
    <w:p w14:paraId="69045A94" w14:textId="77777777" w:rsidR="00E93F58" w:rsidRPr="00D97EFB" w:rsidRDefault="00E93F58" w:rsidP="00BB7E31">
      <w:pPr>
        <w:pStyle w:val="paragraph"/>
      </w:pPr>
      <w:r w:rsidRPr="00D97EFB">
        <w:tab/>
        <w:t>(c)</w:t>
      </w:r>
      <w:r w:rsidRPr="00D97EFB">
        <w:tab/>
        <w:t>paragraph 911A(3)(a);</w:t>
      </w:r>
    </w:p>
    <w:p w14:paraId="6713D22E" w14:textId="77777777" w:rsidR="00E93F58" w:rsidRPr="00D97EFB" w:rsidRDefault="00E93F58" w:rsidP="00BB7E31">
      <w:pPr>
        <w:pStyle w:val="paragraph"/>
      </w:pPr>
      <w:r w:rsidRPr="00D97EFB">
        <w:tab/>
        <w:t>(d)</w:t>
      </w:r>
      <w:r w:rsidRPr="00D97EFB">
        <w:tab/>
        <w:t>paragraph 911A(3)(c).</w:t>
      </w:r>
    </w:p>
    <w:p w14:paraId="7E73168F" w14:textId="77777777" w:rsidR="00E93F58" w:rsidRPr="00D97EFB" w:rsidRDefault="00E93F58" w:rsidP="00BB7E31">
      <w:pPr>
        <w:pStyle w:val="subsection"/>
      </w:pPr>
      <w:r w:rsidRPr="00D97EFB">
        <w:rPr>
          <w:color w:val="000000"/>
        </w:rPr>
        <w:tab/>
        <w:t>(2)</w:t>
      </w:r>
      <w:r w:rsidRPr="00D97EFB">
        <w:rPr>
          <w:color w:val="000000"/>
        </w:rPr>
        <w:tab/>
        <w:t>A reference in those provisions to a financial services licensee includes a regulated principal.</w:t>
      </w:r>
    </w:p>
    <w:p w14:paraId="203562B6" w14:textId="77777777" w:rsidR="00E93F58" w:rsidRPr="00D97EFB" w:rsidRDefault="00E93F58" w:rsidP="00BB7E31">
      <w:pPr>
        <w:pStyle w:val="subsection"/>
      </w:pPr>
      <w:r w:rsidRPr="00D97EFB">
        <w:tab/>
        <w:t>(3)</w:t>
      </w:r>
      <w:r w:rsidRPr="00D97EFB">
        <w:tab/>
        <w:t>Subregulation (2) ceases to apply in relation to a regulated principal at the end of the transition period in relation to the regulated principal.</w:t>
      </w:r>
    </w:p>
    <w:p w14:paraId="3B18B636" w14:textId="77777777" w:rsidR="00E93F58" w:rsidRPr="00D97EFB" w:rsidRDefault="00E93F58" w:rsidP="00BB7E31">
      <w:pPr>
        <w:pStyle w:val="ActHead5"/>
      </w:pPr>
      <w:bookmarkStart w:id="2434" w:name="_Toc151994496"/>
      <w:bookmarkStart w:id="2435" w:name="_Toc158713006"/>
      <w:r w:rsidRPr="000D40D5">
        <w:rPr>
          <w:rStyle w:val="CharSectno"/>
        </w:rPr>
        <w:lastRenderedPageBreak/>
        <w:t>10.2.40A</w:t>
      </w:r>
      <w:r w:rsidRPr="00D97EFB">
        <w:t xml:space="preserve">  Need for an Australian financial services licence</w:t>
      </w:r>
      <w:bookmarkEnd w:id="2434"/>
      <w:bookmarkEnd w:id="2435"/>
    </w:p>
    <w:p w14:paraId="3E130424" w14:textId="77777777" w:rsidR="00E93F58" w:rsidRPr="00D97EFB" w:rsidRDefault="00E93F58" w:rsidP="00BB7E31">
      <w:pPr>
        <w:pStyle w:val="subsection"/>
      </w:pPr>
      <w:r w:rsidRPr="00D97EFB">
        <w:tab/>
        <w:t>(1)</w:t>
      </w:r>
      <w:r w:rsidRPr="00D97EFB">
        <w:tab/>
        <w:t>For section 1444 of the Act, paragraphs 911A(2)(ea), (eb) and (ec) of the Act do not apply in relation to a regulated principal and its regulated activities.</w:t>
      </w:r>
    </w:p>
    <w:p w14:paraId="7A92C0B3" w14:textId="77777777" w:rsidR="00E93F58" w:rsidRPr="00D97EFB" w:rsidRDefault="00E93F58" w:rsidP="00BB7E31">
      <w:pPr>
        <w:pStyle w:val="subsection"/>
      </w:pPr>
      <w:r w:rsidRPr="00D97EFB">
        <w:tab/>
        <w:t>(2)</w:t>
      </w:r>
      <w:r w:rsidRPr="00D97EFB">
        <w:tab/>
        <w:t>For section 1444 of the Act, subparagraphs 7.6.01(1)(e)(iii) and (iv) and subparagraph 7.6.01(1)(o)(iv) do not apply in relation to a regulated principal and its regulated activities.</w:t>
      </w:r>
    </w:p>
    <w:p w14:paraId="6AF79B3F" w14:textId="77777777" w:rsidR="00E93F58" w:rsidRPr="00D97EFB" w:rsidRDefault="00E93F58" w:rsidP="00BB7E31">
      <w:pPr>
        <w:pStyle w:val="subsection"/>
      </w:pPr>
      <w:r w:rsidRPr="00D97EFB">
        <w:tab/>
        <w:t>(4)</w:t>
      </w:r>
      <w:r w:rsidRPr="00D97EFB">
        <w:tab/>
        <w:t>This regulation ceases to apply in relation to a regulated principal and its regulated activities at the end of the period of 2 years starting on the FSR commencement.</w:t>
      </w:r>
    </w:p>
    <w:p w14:paraId="380BA26B" w14:textId="77777777" w:rsidR="00E93F58" w:rsidRPr="00D97EFB" w:rsidRDefault="00E93F58" w:rsidP="000A7E3B">
      <w:pPr>
        <w:pStyle w:val="ActHead5"/>
      </w:pPr>
      <w:bookmarkStart w:id="2436" w:name="_Toc151994497"/>
      <w:bookmarkStart w:id="2437" w:name="_Toc158713007"/>
      <w:r w:rsidRPr="000D40D5">
        <w:rPr>
          <w:rStyle w:val="CharSectno"/>
        </w:rPr>
        <w:t>10.2.41</w:t>
      </w:r>
      <w:r w:rsidRPr="00D97EFB">
        <w:rPr>
          <w:sz w:val="16"/>
        </w:rPr>
        <w:t xml:space="preserve">  </w:t>
      </w:r>
      <w:r w:rsidRPr="00D97EFB">
        <w:t>Reference to second principal: section 911B of the Act</w:t>
      </w:r>
      <w:bookmarkEnd w:id="2436"/>
      <w:bookmarkEnd w:id="2437"/>
    </w:p>
    <w:p w14:paraId="3162B751" w14:textId="77777777" w:rsidR="00E93F58" w:rsidRPr="00D97EFB" w:rsidRDefault="00E93F58" w:rsidP="000A7E3B">
      <w:pPr>
        <w:pStyle w:val="subsection"/>
        <w:keepNext/>
        <w:keepLines/>
      </w:pPr>
      <w:r w:rsidRPr="00D97EFB">
        <w:rPr>
          <w:color w:val="000000"/>
        </w:rPr>
        <w:tab/>
        <w:t>(1)</w:t>
      </w:r>
      <w:r w:rsidRPr="00D97EFB">
        <w:rPr>
          <w:color w:val="000000"/>
        </w:rPr>
        <w:tab/>
        <w:t xml:space="preserve">For section 1444 of the Act, subparagraph 911B(1)(b)(iv) of the Act does not apply </w:t>
      </w:r>
      <w:r w:rsidRPr="00D97EFB">
        <w:t>if the second principal is a regulated principal.</w:t>
      </w:r>
    </w:p>
    <w:p w14:paraId="331F6D1A" w14:textId="77777777" w:rsidR="00E93F58" w:rsidRPr="00D97EFB" w:rsidRDefault="00E93F58" w:rsidP="00BB7E31">
      <w:pPr>
        <w:pStyle w:val="subsection"/>
      </w:pPr>
      <w:r w:rsidRPr="00D97EFB">
        <w:rPr>
          <w:color w:val="000000"/>
        </w:rPr>
        <w:tab/>
        <w:t>(2)</w:t>
      </w:r>
      <w:r w:rsidRPr="00D97EFB">
        <w:rPr>
          <w:color w:val="000000"/>
        </w:rPr>
        <w:tab/>
        <w:t>Subregulation (1) ceases to apply in relation to a regulated principal at the end of the transition period in relation to the regulated principal.</w:t>
      </w:r>
    </w:p>
    <w:p w14:paraId="57A94DA5" w14:textId="77777777" w:rsidR="00E93F58" w:rsidRPr="00D97EFB" w:rsidRDefault="00E93F58" w:rsidP="00BB7E31">
      <w:pPr>
        <w:pStyle w:val="ActHead5"/>
      </w:pPr>
      <w:bookmarkStart w:id="2438" w:name="_Toc151994498"/>
      <w:bookmarkStart w:id="2439" w:name="_Toc158713008"/>
      <w:r w:rsidRPr="000D40D5">
        <w:rPr>
          <w:rStyle w:val="CharSectno"/>
        </w:rPr>
        <w:t>10.2.42</w:t>
      </w:r>
      <w:r w:rsidRPr="00D97EFB">
        <w:t xml:space="preserve">  Reference to financial services licensee: section 916D of the Act</w:t>
      </w:r>
      <w:bookmarkEnd w:id="2438"/>
      <w:bookmarkEnd w:id="2439"/>
    </w:p>
    <w:p w14:paraId="15148C8F" w14:textId="77777777" w:rsidR="00E93F58" w:rsidRPr="00D97EFB" w:rsidRDefault="00E93F58" w:rsidP="00BB7E31">
      <w:pPr>
        <w:pStyle w:val="subsection"/>
      </w:pPr>
      <w:r w:rsidRPr="00D97EFB">
        <w:rPr>
          <w:color w:val="000000"/>
        </w:rPr>
        <w:tab/>
        <w:t>(1)</w:t>
      </w:r>
      <w:r w:rsidRPr="00D97EFB">
        <w:rPr>
          <w:color w:val="000000"/>
        </w:rPr>
        <w:tab/>
        <w:t>For section 1444 of the Act, section 916D of the Act is taken to prohibit a regulated principal from being the authorised representative of a financial services licensee if the authorisation would authorise the regulated principal to provide financial services that are within the regulated principal’s regulated activities.</w:t>
      </w:r>
    </w:p>
    <w:p w14:paraId="506106B7" w14:textId="77777777" w:rsidR="00E93F58" w:rsidRPr="00D97EFB" w:rsidRDefault="00E93F58" w:rsidP="00BB7E31">
      <w:pPr>
        <w:pStyle w:val="subsection"/>
      </w:pPr>
      <w:r w:rsidRPr="00D97EFB">
        <w:rPr>
          <w:color w:val="000000"/>
        </w:rPr>
        <w:tab/>
        <w:t>(2)</w:t>
      </w:r>
      <w:r w:rsidRPr="00D97EFB">
        <w:rPr>
          <w:color w:val="000000"/>
        </w:rPr>
        <w:tab/>
        <w:t>Subregulation (1) ceases to apply in relation to the regulated principal at the end of the transition period in relation to the regulated principal.</w:t>
      </w:r>
    </w:p>
    <w:p w14:paraId="354B803C" w14:textId="77777777" w:rsidR="00E93F58" w:rsidRPr="00D97EFB" w:rsidRDefault="00E93F58" w:rsidP="00BB7E31">
      <w:pPr>
        <w:pStyle w:val="ActHead5"/>
      </w:pPr>
      <w:bookmarkStart w:id="2440" w:name="_Toc151994499"/>
      <w:bookmarkStart w:id="2441" w:name="_Toc158713009"/>
      <w:r w:rsidRPr="000D40D5">
        <w:rPr>
          <w:rStyle w:val="CharSectno"/>
        </w:rPr>
        <w:t>10.2.43</w:t>
      </w:r>
      <w:r w:rsidRPr="00D97EFB">
        <w:t xml:space="preserve">  Status of insurance agent: section 1436A of the Act</w:t>
      </w:r>
      <w:bookmarkEnd w:id="2440"/>
      <w:bookmarkEnd w:id="2441"/>
    </w:p>
    <w:p w14:paraId="2C834AE6" w14:textId="77777777" w:rsidR="00E93F58" w:rsidRPr="00D97EFB" w:rsidRDefault="00E93F58" w:rsidP="00BB7E31">
      <w:pPr>
        <w:pStyle w:val="subsection"/>
      </w:pPr>
      <w:r w:rsidRPr="00D97EFB">
        <w:tab/>
      </w:r>
      <w:r w:rsidRPr="00D97EFB">
        <w:tab/>
        <w:t>For section 1436A of the Act, and to avoid doubt, if an insurer is:</w:t>
      </w:r>
    </w:p>
    <w:p w14:paraId="43DD2FDF" w14:textId="77777777" w:rsidR="00E93F58" w:rsidRPr="00D97EFB" w:rsidRDefault="00E93F58" w:rsidP="00BB7E31">
      <w:pPr>
        <w:pStyle w:val="paragraph"/>
      </w:pPr>
      <w:r w:rsidRPr="00D97EFB">
        <w:rPr>
          <w:color w:val="000000"/>
        </w:rPr>
        <w:tab/>
        <w:t>(a)</w:t>
      </w:r>
      <w:r w:rsidRPr="00D97EFB">
        <w:rPr>
          <w:color w:val="000000"/>
        </w:rPr>
        <w:tab/>
        <w:t>a financial services licensee; and</w:t>
      </w:r>
    </w:p>
    <w:p w14:paraId="17826172" w14:textId="77777777" w:rsidR="00E93F58" w:rsidRPr="00D97EFB" w:rsidRDefault="00E93F58" w:rsidP="00BB7E31">
      <w:pPr>
        <w:pStyle w:val="paragraph"/>
      </w:pPr>
      <w:r w:rsidRPr="00D97EFB">
        <w:tab/>
        <w:t>(b)</w:t>
      </w:r>
      <w:r w:rsidRPr="00D97EFB">
        <w:tab/>
        <w:t>a principal mentioned in paragraph 1436A(2)(d) in relation to an insurance agent mentioned in paragraph 1436A(2)(a);</w:t>
      </w:r>
    </w:p>
    <w:p w14:paraId="7FE1074F" w14:textId="77777777" w:rsidR="00E93F58" w:rsidRPr="00D97EFB" w:rsidRDefault="00E93F58" w:rsidP="00BB7E31">
      <w:pPr>
        <w:pStyle w:val="subsection2"/>
      </w:pPr>
      <w:r w:rsidRPr="00D97EFB">
        <w:rPr>
          <w:color w:val="000000"/>
        </w:rPr>
        <w:t>the insurance agent is taken not to be a representative of the insurer under section 910A of the Act.</w:t>
      </w:r>
    </w:p>
    <w:p w14:paraId="76E26B0A" w14:textId="77777777" w:rsidR="00E93F58" w:rsidRPr="00D97EFB" w:rsidRDefault="00E93F58" w:rsidP="00BB7E31">
      <w:pPr>
        <w:pStyle w:val="ActHead5"/>
      </w:pPr>
      <w:bookmarkStart w:id="2442" w:name="_Toc151994500"/>
      <w:bookmarkStart w:id="2443" w:name="_Toc158713010"/>
      <w:r w:rsidRPr="000D40D5">
        <w:rPr>
          <w:rStyle w:val="CharSectno"/>
        </w:rPr>
        <w:t>10.2.44A</w:t>
      </w:r>
      <w:r w:rsidRPr="00D97EFB">
        <w:t xml:space="preserve">  Obligation to cite licence number in documents</w:t>
      </w:r>
      <w:bookmarkEnd w:id="2442"/>
      <w:bookmarkEnd w:id="2443"/>
    </w:p>
    <w:p w14:paraId="67315CE3" w14:textId="77777777" w:rsidR="00E93F58" w:rsidRPr="00D97EFB" w:rsidRDefault="00E93F58" w:rsidP="00BB7E31">
      <w:pPr>
        <w:pStyle w:val="subsection"/>
      </w:pPr>
      <w:r w:rsidRPr="00D97EFB">
        <w:tab/>
        <w:t>(1)</w:t>
      </w:r>
      <w:r w:rsidRPr="00D97EFB">
        <w:tab/>
        <w:t>This regulation applies if:</w:t>
      </w:r>
    </w:p>
    <w:p w14:paraId="6BC54CD9" w14:textId="77777777" w:rsidR="00E93F58" w:rsidRPr="00D97EFB" w:rsidRDefault="00E93F58" w:rsidP="00BB7E31">
      <w:pPr>
        <w:pStyle w:val="paragraph"/>
      </w:pPr>
      <w:r w:rsidRPr="00D97EFB">
        <w:tab/>
        <w:t>(a)</w:t>
      </w:r>
      <w:r w:rsidRPr="00D97EFB">
        <w:tab/>
        <w:t>a person who has not been granted a financial services licence prepares any document in connection with the provision of financial services or the business of providing financial services; and</w:t>
      </w:r>
    </w:p>
    <w:p w14:paraId="0B221F9D" w14:textId="77777777" w:rsidR="00E93F58" w:rsidRPr="00D97EFB" w:rsidRDefault="00E93F58" w:rsidP="00BB7E31">
      <w:pPr>
        <w:pStyle w:val="paragraph"/>
      </w:pPr>
      <w:r w:rsidRPr="00D97EFB">
        <w:tab/>
        <w:t>(b)</w:t>
      </w:r>
      <w:r w:rsidRPr="00D97EFB">
        <w:tab/>
        <w:t>the document does not include a licence number for the person; and</w:t>
      </w:r>
    </w:p>
    <w:p w14:paraId="37238A66" w14:textId="77777777" w:rsidR="00E93F58" w:rsidRPr="00D97EFB" w:rsidRDefault="00E93F58" w:rsidP="00BB7E31">
      <w:pPr>
        <w:pStyle w:val="paragraph"/>
      </w:pPr>
      <w:r w:rsidRPr="00D97EFB">
        <w:tab/>
        <w:t>(c)</w:t>
      </w:r>
      <w:r w:rsidRPr="00D97EFB">
        <w:tab/>
        <w:t>the person is granted a licence after preparing the document.</w:t>
      </w:r>
    </w:p>
    <w:p w14:paraId="69814604" w14:textId="77777777" w:rsidR="00E93F58" w:rsidRPr="00D97EFB" w:rsidRDefault="00E93F58" w:rsidP="00BB7E31">
      <w:pPr>
        <w:pStyle w:val="subsection"/>
      </w:pPr>
      <w:r w:rsidRPr="00D97EFB">
        <w:tab/>
        <w:t>(2)</w:t>
      </w:r>
      <w:r w:rsidRPr="00D97EFB">
        <w:tab/>
        <w:t>For section 1444 of the Act, section 912F of the Act does not apply to the document.</w:t>
      </w:r>
    </w:p>
    <w:p w14:paraId="1F67F4ED" w14:textId="77777777" w:rsidR="00E93F58" w:rsidRPr="00D97EFB" w:rsidRDefault="00E93F58" w:rsidP="00BB7E31">
      <w:pPr>
        <w:pStyle w:val="subsection"/>
      </w:pPr>
      <w:r w:rsidRPr="00D97EFB">
        <w:tab/>
        <w:t>(3)</w:t>
      </w:r>
      <w:r w:rsidRPr="00D97EFB">
        <w:tab/>
        <w:t>If the document is a periodic statement under section 1017D of the Act, subregulation (2) ceases to apply at the end of 3 years after the FSR commencement.</w:t>
      </w:r>
    </w:p>
    <w:p w14:paraId="722BEA08" w14:textId="77777777" w:rsidR="00E93F58" w:rsidRPr="00D97EFB" w:rsidRDefault="00E93F58" w:rsidP="00BB7E31">
      <w:pPr>
        <w:pStyle w:val="subsection"/>
      </w:pPr>
      <w:r w:rsidRPr="00D97EFB">
        <w:tab/>
        <w:t>(4)</w:t>
      </w:r>
      <w:r w:rsidRPr="00D97EFB">
        <w:tab/>
        <w:t>If the document is not a periodic statement under section 1017D of the Act, subregulation (2) ceases to apply at the end of 2 years after the FSR commencement.</w:t>
      </w:r>
    </w:p>
    <w:p w14:paraId="19BE2F1E" w14:textId="77777777" w:rsidR="00E93F58" w:rsidRPr="00D97EFB" w:rsidRDefault="00E93F58" w:rsidP="00BB7E31">
      <w:pPr>
        <w:pStyle w:val="ActHead5"/>
      </w:pPr>
      <w:bookmarkStart w:id="2444" w:name="_Toc151994501"/>
      <w:bookmarkStart w:id="2445" w:name="_Toc158713011"/>
      <w:r w:rsidRPr="000D40D5">
        <w:rPr>
          <w:rStyle w:val="CharSectno"/>
        </w:rPr>
        <w:t>10.2.46</w:t>
      </w:r>
      <w:r w:rsidRPr="00D97EFB">
        <w:t xml:space="preserve">  When Australian financial services licence may be granted</w:t>
      </w:r>
      <w:bookmarkEnd w:id="2444"/>
      <w:bookmarkEnd w:id="2445"/>
    </w:p>
    <w:p w14:paraId="30224F44" w14:textId="77777777" w:rsidR="00E93F58" w:rsidRPr="00D97EFB" w:rsidRDefault="00E93F58" w:rsidP="00BB7E31">
      <w:pPr>
        <w:pStyle w:val="subsection"/>
      </w:pPr>
      <w:r w:rsidRPr="00D97EFB">
        <w:tab/>
        <w:t>(1)</w:t>
      </w:r>
      <w:r w:rsidRPr="00D97EFB">
        <w:tab/>
        <w:t>For section 1444 of the Act, on and after the FSR commencement:</w:t>
      </w:r>
    </w:p>
    <w:p w14:paraId="2F47B47A" w14:textId="77777777" w:rsidR="00E93F58" w:rsidRPr="00D97EFB" w:rsidRDefault="00E93F58" w:rsidP="00BB7E31">
      <w:pPr>
        <w:pStyle w:val="paragraph"/>
      </w:pPr>
      <w:r w:rsidRPr="00D97EFB">
        <w:rPr>
          <w:color w:val="000000"/>
        </w:rPr>
        <w:tab/>
        <w:t>(a)</w:t>
      </w:r>
      <w:r w:rsidRPr="00D97EFB">
        <w:rPr>
          <w:color w:val="000000"/>
        </w:rPr>
        <w:tab/>
        <w:t>section 913B of the Act is taken to authorise ASIC to specify, in an Australian financial services licence, a date (later than the date on which the licence is granted) from which the licence takes effect; and</w:t>
      </w:r>
    </w:p>
    <w:p w14:paraId="6CE37ED0" w14:textId="77777777" w:rsidR="00E93F58" w:rsidRPr="00D97EFB" w:rsidRDefault="00E93F58" w:rsidP="00BB7E31">
      <w:pPr>
        <w:pStyle w:val="paragraph"/>
      </w:pPr>
      <w:r w:rsidRPr="00D97EFB">
        <w:tab/>
        <w:t>(b)</w:t>
      </w:r>
      <w:r w:rsidRPr="00D97EFB">
        <w:tab/>
        <w:t>the financial services licence is taken for all purposes not to have been granted until the specified date.</w:t>
      </w:r>
    </w:p>
    <w:p w14:paraId="6E84F13D" w14:textId="77777777" w:rsidR="00E93F58" w:rsidRPr="00D97EFB" w:rsidRDefault="00E93F58" w:rsidP="00BB7E31">
      <w:pPr>
        <w:pStyle w:val="subsection"/>
      </w:pPr>
      <w:r w:rsidRPr="00D97EFB">
        <w:rPr>
          <w:color w:val="000000"/>
        </w:rPr>
        <w:tab/>
        <w:t>(2)</w:t>
      </w:r>
      <w:r w:rsidRPr="00D97EFB">
        <w:rPr>
          <w:color w:val="000000"/>
        </w:rPr>
        <w:tab/>
      </w:r>
      <w:r w:rsidRPr="00D97EFB">
        <w:t>Paragraph (1)(a)</w:t>
      </w:r>
      <w:r w:rsidRPr="00D97EFB">
        <w:rPr>
          <w:color w:val="000000"/>
        </w:rPr>
        <w:t xml:space="preserve"> ceases to apply 2 years after the FSR commencement.</w:t>
      </w:r>
    </w:p>
    <w:p w14:paraId="7D279EC7" w14:textId="77777777" w:rsidR="00E93F58" w:rsidRPr="00D97EFB" w:rsidRDefault="00E93F58" w:rsidP="00BB7E31">
      <w:pPr>
        <w:pStyle w:val="notetext"/>
        <w:rPr>
          <w:color w:val="000000"/>
        </w:rPr>
      </w:pPr>
      <w:r w:rsidRPr="00D97EFB">
        <w:rPr>
          <w:color w:val="000000"/>
        </w:rPr>
        <w:lastRenderedPageBreak/>
        <w:t>Note:</w:t>
      </w:r>
      <w:r w:rsidRPr="00D97EFB">
        <w:rPr>
          <w:color w:val="000000"/>
        </w:rPr>
        <w:tab/>
        <w:t xml:space="preserve">Generally, providers of financial services (other than new entrants to the industry) will have 2 years from the FSR commencement to </w:t>
      </w:r>
      <w:r w:rsidRPr="00D97EFB">
        <w:t>obtain a licence under the new regime.</w:t>
      </w:r>
      <w:r w:rsidRPr="00D97EFB">
        <w:rPr>
          <w:color w:val="000000"/>
        </w:rPr>
        <w:t xml:space="preserve"> During this transition period, the existing legislative regime (if any) will be preserved for, and will continue to apply to, those providers.</w:t>
      </w:r>
    </w:p>
    <w:p w14:paraId="74032E9A" w14:textId="77777777" w:rsidR="00E93F58" w:rsidRPr="00D97EFB" w:rsidRDefault="00E93F58" w:rsidP="00BB7E31">
      <w:pPr>
        <w:pStyle w:val="notetext"/>
      </w:pPr>
      <w:r w:rsidRPr="00D97EFB">
        <w:tab/>
        <w:t>The arrangements for the transition period are set out in Subdivision D of Division 1 of Part 10.2 of the Corporations Act.</w:t>
      </w:r>
    </w:p>
    <w:p w14:paraId="391FC2F5" w14:textId="77777777" w:rsidR="00E93F58" w:rsidRPr="00D97EFB" w:rsidRDefault="00E93F58" w:rsidP="00BB7E31">
      <w:pPr>
        <w:pStyle w:val="notetext"/>
      </w:pPr>
      <w:r w:rsidRPr="00D97EFB">
        <w:tab/>
        <w:t>Therefore, there will be an individual date at which the new legislative regime will begin to apply to those providers. The date will be some time between the FSR commencement and the end of the transition period (2 years after the FSR commencement), and may be the date on which the provider is granted an Australian financial services licence. It may be appropriate, in some cases, for the date of effect of the Australian financial services licence to be later than the date on which the licence is physically granted.</w:t>
      </w:r>
    </w:p>
    <w:p w14:paraId="1286F1F8" w14:textId="77777777" w:rsidR="00E93F58" w:rsidRPr="00D97EFB" w:rsidRDefault="00E93F58" w:rsidP="00BB7E31">
      <w:pPr>
        <w:pStyle w:val="notetext"/>
      </w:pPr>
      <w:r w:rsidRPr="00D97EFB">
        <w:tab/>
        <w:t>This arrangement ceases to apply 2 years after the end of the FSR commencement. However, the date of effect of a licence will not be affected by the end of the arrangement.</w:t>
      </w:r>
    </w:p>
    <w:p w14:paraId="5DFD7D13" w14:textId="77777777" w:rsidR="00E93F58" w:rsidRPr="00D97EFB" w:rsidRDefault="00E93F58" w:rsidP="002C3362">
      <w:pPr>
        <w:pStyle w:val="ActHead5"/>
      </w:pPr>
      <w:bookmarkStart w:id="2446" w:name="_Toc151994502"/>
      <w:bookmarkStart w:id="2447" w:name="_Toc158713012"/>
      <w:r w:rsidRPr="000D40D5">
        <w:rPr>
          <w:rStyle w:val="CharSectno"/>
        </w:rPr>
        <w:t>10.2.46A</w:t>
      </w:r>
      <w:r w:rsidRPr="00D97EFB">
        <w:t xml:space="preserve">  When Australian financial services licence may be varied</w:t>
      </w:r>
      <w:bookmarkEnd w:id="2446"/>
      <w:bookmarkEnd w:id="2447"/>
    </w:p>
    <w:p w14:paraId="60B434C4" w14:textId="77777777" w:rsidR="00E93F58" w:rsidRPr="00D97EFB" w:rsidRDefault="00E93F58" w:rsidP="002C3362">
      <w:pPr>
        <w:pStyle w:val="subsection"/>
        <w:keepNext/>
        <w:keepLines/>
      </w:pPr>
      <w:r w:rsidRPr="00D97EFB">
        <w:tab/>
        <w:t>(1)</w:t>
      </w:r>
      <w:r w:rsidRPr="00D97EFB">
        <w:tab/>
        <w:t>For section 1444 of the Act, on and after the FSR commencement:</w:t>
      </w:r>
    </w:p>
    <w:p w14:paraId="7C592E7F" w14:textId="77777777" w:rsidR="00E93F58" w:rsidRPr="00D97EFB" w:rsidRDefault="00E93F58" w:rsidP="00BB7E31">
      <w:pPr>
        <w:pStyle w:val="paragraph"/>
      </w:pPr>
      <w:r w:rsidRPr="00D97EFB">
        <w:tab/>
        <w:t>(a)</w:t>
      </w:r>
      <w:r w:rsidRPr="00D97EFB">
        <w:tab/>
        <w:t>subsection 914A(1) of the Act is taken to authorise ASIC to specify a date (later than the date on which conditions are imposed on an Australian financial services licence) from which the imposition of the conditions takes effect; and</w:t>
      </w:r>
    </w:p>
    <w:p w14:paraId="0459C28A" w14:textId="77777777" w:rsidR="00E93F58" w:rsidRPr="00D97EFB" w:rsidRDefault="00E93F58" w:rsidP="00BB7E31">
      <w:pPr>
        <w:pStyle w:val="paragraph"/>
        <w:rPr>
          <w:color w:val="000000"/>
        </w:rPr>
      </w:pPr>
      <w:r w:rsidRPr="00D97EFB">
        <w:rPr>
          <w:color w:val="000000"/>
        </w:rPr>
        <w:tab/>
        <w:t>(b)</w:t>
      </w:r>
      <w:r w:rsidRPr="00D97EFB">
        <w:rPr>
          <w:color w:val="000000"/>
        </w:rPr>
        <w:tab/>
        <w:t>the conditions are taken for all purposes not to have been imposed until the specified date.</w:t>
      </w:r>
    </w:p>
    <w:p w14:paraId="0288DA1D" w14:textId="77777777" w:rsidR="00E93F58" w:rsidRPr="00D97EFB" w:rsidRDefault="00E93F58" w:rsidP="00BB7E31">
      <w:pPr>
        <w:pStyle w:val="subsection"/>
      </w:pPr>
      <w:r w:rsidRPr="00D97EFB">
        <w:tab/>
        <w:t>(2)</w:t>
      </w:r>
      <w:r w:rsidRPr="00D97EFB">
        <w:tab/>
        <w:t>For section 1444 of the Act, on and after the FSR commencement:</w:t>
      </w:r>
    </w:p>
    <w:p w14:paraId="572443EE" w14:textId="77777777" w:rsidR="00E93F58" w:rsidRPr="00D97EFB" w:rsidRDefault="00E93F58" w:rsidP="00BB7E31">
      <w:pPr>
        <w:pStyle w:val="paragraph"/>
      </w:pPr>
      <w:r w:rsidRPr="00D97EFB">
        <w:tab/>
        <w:t>(a)</w:t>
      </w:r>
      <w:r w:rsidRPr="00D97EFB">
        <w:tab/>
        <w:t>subsection 914A(1) of the Act is taken to authorise ASIC to specify a date (later than the date on which additional conditions are imposed on an Australian financial services licence) from which the imposition of the additional conditions takes effect; and</w:t>
      </w:r>
    </w:p>
    <w:p w14:paraId="254EE08D" w14:textId="77777777" w:rsidR="00E93F58" w:rsidRPr="00D97EFB" w:rsidRDefault="00E93F58" w:rsidP="00BB7E31">
      <w:pPr>
        <w:pStyle w:val="paragraph"/>
        <w:rPr>
          <w:color w:val="000000"/>
        </w:rPr>
      </w:pPr>
      <w:r w:rsidRPr="00D97EFB">
        <w:rPr>
          <w:color w:val="000000"/>
        </w:rPr>
        <w:tab/>
        <w:t>(b)</w:t>
      </w:r>
      <w:r w:rsidRPr="00D97EFB">
        <w:rPr>
          <w:color w:val="000000"/>
        </w:rPr>
        <w:tab/>
        <w:t>the additional conditions are taken for all purposes not to have been issued until the specified date.</w:t>
      </w:r>
    </w:p>
    <w:p w14:paraId="5E093898" w14:textId="77777777" w:rsidR="00E93F58" w:rsidRPr="00D97EFB" w:rsidRDefault="00E93F58" w:rsidP="00BB7E31">
      <w:pPr>
        <w:pStyle w:val="subsection"/>
      </w:pPr>
      <w:r w:rsidRPr="00D97EFB">
        <w:tab/>
        <w:t>(3)</w:t>
      </w:r>
      <w:r w:rsidRPr="00D97EFB">
        <w:tab/>
        <w:t>For section 1444 of the Act, on and after the FSR commencement:</w:t>
      </w:r>
    </w:p>
    <w:p w14:paraId="22CD01FA" w14:textId="77777777" w:rsidR="00E93F58" w:rsidRPr="00D97EFB" w:rsidRDefault="00E93F58" w:rsidP="00BB7E31">
      <w:pPr>
        <w:pStyle w:val="paragraph"/>
      </w:pPr>
      <w:r w:rsidRPr="00D97EFB">
        <w:tab/>
        <w:t>(a)</w:t>
      </w:r>
      <w:r w:rsidRPr="00D97EFB">
        <w:tab/>
        <w:t xml:space="preserve">subsection 914A(1) of the Act is taken to authorise ASIC to specify a date (later than the date on which conditions imposed on an Australian financial services licence are varied or revoked) </w:t>
      </w:r>
      <w:r w:rsidRPr="00D97EFB">
        <w:rPr>
          <w:color w:val="000000"/>
        </w:rPr>
        <w:t>from which the variation or revocation takes effect; and</w:t>
      </w:r>
    </w:p>
    <w:p w14:paraId="2DD196BC" w14:textId="77777777" w:rsidR="00E93F58" w:rsidRPr="00D97EFB" w:rsidRDefault="00E93F58" w:rsidP="00BB7E31">
      <w:pPr>
        <w:pStyle w:val="paragraph"/>
      </w:pPr>
      <w:r w:rsidRPr="00D97EFB">
        <w:tab/>
        <w:t>(b)</w:t>
      </w:r>
      <w:r w:rsidRPr="00D97EFB">
        <w:tab/>
        <w:t>the conditions are taken for all purposes not to have been varied or revoked until the specified date.</w:t>
      </w:r>
    </w:p>
    <w:p w14:paraId="5C9065A3" w14:textId="77777777" w:rsidR="00E93F58" w:rsidRPr="00D97EFB" w:rsidRDefault="00E93F58" w:rsidP="00BB7E31">
      <w:pPr>
        <w:pStyle w:val="subsection"/>
      </w:pPr>
      <w:r w:rsidRPr="00D97EFB">
        <w:tab/>
        <w:t>(4)</w:t>
      </w:r>
      <w:r w:rsidRPr="00D97EFB">
        <w:tab/>
        <w:t>For section 1444 of the Act, on and after the FSR commencement:</w:t>
      </w:r>
    </w:p>
    <w:p w14:paraId="2A981906" w14:textId="77777777" w:rsidR="00E93F58" w:rsidRPr="00D97EFB" w:rsidRDefault="00E93F58" w:rsidP="00BB7E31">
      <w:pPr>
        <w:pStyle w:val="paragraph"/>
      </w:pPr>
      <w:r w:rsidRPr="00D97EFB">
        <w:tab/>
        <w:t>(a)</w:t>
      </w:r>
      <w:r w:rsidRPr="00D97EFB">
        <w:tab/>
        <w:t xml:space="preserve">subsection 915A(1) of the Act is taken to authorise ASIC to specify a date (later than the date on which an Australian financial services licence is varied) </w:t>
      </w:r>
      <w:r w:rsidRPr="00D97EFB">
        <w:rPr>
          <w:color w:val="000000"/>
        </w:rPr>
        <w:t>from which the variation takes effect; and</w:t>
      </w:r>
    </w:p>
    <w:p w14:paraId="2804C9DB" w14:textId="77777777" w:rsidR="00E93F58" w:rsidRPr="00D97EFB" w:rsidRDefault="00E93F58" w:rsidP="00BB7E31">
      <w:pPr>
        <w:pStyle w:val="paragraph"/>
      </w:pPr>
      <w:r w:rsidRPr="00D97EFB">
        <w:tab/>
        <w:t>(b)</w:t>
      </w:r>
      <w:r w:rsidRPr="00D97EFB">
        <w:tab/>
        <w:t>the financial services licence is taken for all purposes not to have been varied until the specified date.</w:t>
      </w:r>
    </w:p>
    <w:p w14:paraId="5AC0A5C2" w14:textId="77777777" w:rsidR="00E93F58" w:rsidRPr="00D97EFB" w:rsidRDefault="00E93F58" w:rsidP="00BB7E31">
      <w:pPr>
        <w:pStyle w:val="subsection"/>
      </w:pPr>
      <w:r w:rsidRPr="00D97EFB">
        <w:rPr>
          <w:color w:val="000000"/>
        </w:rPr>
        <w:tab/>
        <w:t>(5)</w:t>
      </w:r>
      <w:r w:rsidRPr="00D97EFB">
        <w:rPr>
          <w:color w:val="000000"/>
        </w:rPr>
        <w:tab/>
        <w:t>Paragraphs (1)(a), (2)(a), (3)(a) and (4)(a) cease to apply 2 years after the FSR commencement.</w:t>
      </w:r>
    </w:p>
    <w:p w14:paraId="2BA3DD18" w14:textId="77777777" w:rsidR="00E93F58" w:rsidRPr="00D97EFB" w:rsidRDefault="00E93F58" w:rsidP="00BB7E31">
      <w:pPr>
        <w:pStyle w:val="ActHead5"/>
      </w:pPr>
      <w:bookmarkStart w:id="2448" w:name="_Toc151994503"/>
      <w:bookmarkStart w:id="2449" w:name="_Toc158713013"/>
      <w:r w:rsidRPr="000D40D5">
        <w:rPr>
          <w:rStyle w:val="CharSectno"/>
        </w:rPr>
        <w:t>10.2.47A</w:t>
      </w:r>
      <w:r w:rsidRPr="00D97EFB">
        <w:t xml:space="preserve">  Modification of pre</w:t>
      </w:r>
      <w:r>
        <w:noBreakHyphen/>
      </w:r>
      <w:r w:rsidRPr="00D97EFB">
        <w:t>FSR authority</w:t>
      </w:r>
      <w:bookmarkEnd w:id="2448"/>
      <w:bookmarkEnd w:id="2449"/>
    </w:p>
    <w:p w14:paraId="48659E7C" w14:textId="77777777" w:rsidR="00E93F58" w:rsidRPr="00D97EFB" w:rsidRDefault="00E93F58" w:rsidP="00BB7E31">
      <w:pPr>
        <w:pStyle w:val="subsection"/>
      </w:pPr>
      <w:r w:rsidRPr="00D97EFB">
        <w:tab/>
        <w:t>(1)</w:t>
      </w:r>
      <w:r w:rsidRPr="00D97EFB">
        <w:tab/>
        <w:t xml:space="preserve">For section 1444 of the Act, this regulation applies if </w:t>
      </w:r>
      <w:r w:rsidRPr="00D97EFB">
        <w:rPr>
          <w:color w:val="000000"/>
        </w:rPr>
        <w:t>a person</w:t>
      </w:r>
      <w:r w:rsidRPr="00D97EFB">
        <w:t>:</w:t>
      </w:r>
    </w:p>
    <w:p w14:paraId="7D7DE0CC" w14:textId="77777777" w:rsidR="00E93F58" w:rsidRPr="00D97EFB" w:rsidRDefault="00E93F58" w:rsidP="00BB7E31">
      <w:pPr>
        <w:pStyle w:val="paragraph"/>
      </w:pPr>
      <w:r w:rsidRPr="00D97EFB">
        <w:rPr>
          <w:color w:val="000000"/>
        </w:rPr>
        <w:tab/>
        <w:t>(a)</w:t>
      </w:r>
      <w:r w:rsidRPr="00D97EFB">
        <w:rPr>
          <w:color w:val="000000"/>
        </w:rPr>
        <w:tab/>
        <w:t>is a regulated principal in relation to 2 or more regulated activities; and</w:t>
      </w:r>
    </w:p>
    <w:p w14:paraId="6125E592" w14:textId="77777777" w:rsidR="00E93F58" w:rsidRPr="00D97EFB" w:rsidRDefault="00E93F58" w:rsidP="00BB7E31">
      <w:pPr>
        <w:pStyle w:val="paragraph"/>
      </w:pPr>
      <w:r w:rsidRPr="00D97EFB">
        <w:tab/>
        <w:t>(b)</w:t>
      </w:r>
      <w:r w:rsidRPr="00D97EFB">
        <w:tab/>
        <w:t>holds an authority under the relevant old legislation in relation to those regulated activities; and</w:t>
      </w:r>
    </w:p>
    <w:p w14:paraId="05E50ECC" w14:textId="77777777" w:rsidR="00E93F58" w:rsidRPr="00D97EFB" w:rsidRDefault="00E93F58" w:rsidP="00BB7E31">
      <w:pPr>
        <w:pStyle w:val="paragraph"/>
      </w:pPr>
      <w:r w:rsidRPr="00D97EFB">
        <w:tab/>
        <w:t>(c)</w:t>
      </w:r>
      <w:r w:rsidRPr="00D97EFB">
        <w:tab/>
        <w:t>either:</w:t>
      </w:r>
    </w:p>
    <w:p w14:paraId="3F756C25" w14:textId="77777777" w:rsidR="00E93F58" w:rsidRPr="00D97EFB" w:rsidRDefault="00E93F58" w:rsidP="00BB7E31">
      <w:pPr>
        <w:pStyle w:val="paragraphsub"/>
      </w:pPr>
      <w:r w:rsidRPr="00D97EFB">
        <w:tab/>
        <w:t>(i)</w:t>
      </w:r>
      <w:r w:rsidRPr="00D97EFB">
        <w:tab/>
        <w:t>becomes a financial services licensee in relation to 1 or more of those regulated activities; or</w:t>
      </w:r>
    </w:p>
    <w:p w14:paraId="16C29E96" w14:textId="77777777" w:rsidR="00E93F58" w:rsidRPr="00D97EFB" w:rsidRDefault="00E93F58" w:rsidP="00BB7E31">
      <w:pPr>
        <w:pStyle w:val="paragraphsub"/>
      </w:pPr>
      <w:r w:rsidRPr="00D97EFB">
        <w:tab/>
        <w:t>(ii)</w:t>
      </w:r>
      <w:r w:rsidRPr="00D97EFB">
        <w:tab/>
        <w:t>is exempt from the requirement to hold a financial services licence in relation to 1 or more of those regulated activities.</w:t>
      </w:r>
    </w:p>
    <w:p w14:paraId="434A9D7C" w14:textId="77777777" w:rsidR="00E93F58" w:rsidRPr="00D97EFB" w:rsidRDefault="00E93F58" w:rsidP="00BB7E31">
      <w:pPr>
        <w:pStyle w:val="subsection"/>
      </w:pPr>
      <w:r w:rsidRPr="00D97EFB">
        <w:tab/>
        <w:t>(2)</w:t>
      </w:r>
      <w:r w:rsidRPr="00D97EFB">
        <w:tab/>
        <w:t>ASIC may vary the authority to take account of the fact that the person has become a financial services licensee, or is exempt from the requirement to hold a financial services licence.</w:t>
      </w:r>
    </w:p>
    <w:p w14:paraId="20887258" w14:textId="77777777" w:rsidR="00E93F58" w:rsidRPr="00D97EFB" w:rsidRDefault="00E93F58" w:rsidP="00BB7E31">
      <w:pPr>
        <w:pStyle w:val="subsection"/>
      </w:pPr>
      <w:r w:rsidRPr="00D97EFB">
        <w:tab/>
        <w:t>(3)</w:t>
      </w:r>
      <w:r w:rsidRPr="00D97EFB">
        <w:tab/>
        <w:t>ASIC must not vary the authority unless ASIC has given the person an opportunity:</w:t>
      </w:r>
    </w:p>
    <w:p w14:paraId="2D975AB5" w14:textId="77777777" w:rsidR="00E93F58" w:rsidRPr="00D97EFB" w:rsidRDefault="00E93F58" w:rsidP="00BB7E31">
      <w:pPr>
        <w:pStyle w:val="paragraph"/>
      </w:pPr>
      <w:r w:rsidRPr="00D97EFB">
        <w:tab/>
        <w:t>(a)</w:t>
      </w:r>
      <w:r w:rsidRPr="00D97EFB">
        <w:tab/>
        <w:t>to appear at a hearing before ASIC that takes place in private; and</w:t>
      </w:r>
    </w:p>
    <w:p w14:paraId="227FA933" w14:textId="77777777" w:rsidR="00E93F58" w:rsidRPr="00D97EFB" w:rsidRDefault="00E93F58" w:rsidP="00BB7E31">
      <w:pPr>
        <w:pStyle w:val="paragraph"/>
      </w:pPr>
      <w:r w:rsidRPr="00D97EFB">
        <w:tab/>
        <w:t>(b)</w:t>
      </w:r>
      <w:r w:rsidRPr="00D97EFB">
        <w:tab/>
        <w:t>to make submissions and give evidence to ASIC in relation to the matter.</w:t>
      </w:r>
    </w:p>
    <w:p w14:paraId="168ABC08" w14:textId="77777777" w:rsidR="00E93F58" w:rsidRPr="00D97EFB" w:rsidRDefault="00E93F58" w:rsidP="00BB7E31">
      <w:pPr>
        <w:pStyle w:val="subsection"/>
      </w:pPr>
      <w:r w:rsidRPr="00D97EFB">
        <w:tab/>
        <w:t>(4)</w:t>
      </w:r>
      <w:r w:rsidRPr="00D97EFB">
        <w:tab/>
        <w:t>ASIC must give written notice of the variation to the person.</w:t>
      </w:r>
    </w:p>
    <w:p w14:paraId="635C42B7" w14:textId="77777777" w:rsidR="00E93F58" w:rsidRPr="00D97EFB" w:rsidRDefault="00E93F58" w:rsidP="00BB7E31">
      <w:pPr>
        <w:pStyle w:val="subsection"/>
      </w:pPr>
      <w:r w:rsidRPr="00D97EFB">
        <w:tab/>
        <w:t>(5)</w:t>
      </w:r>
      <w:r w:rsidRPr="00D97EFB">
        <w:tab/>
        <w:t>The variation takes effect when the written notice of the variation is given to the person.</w:t>
      </w:r>
    </w:p>
    <w:p w14:paraId="65784F14" w14:textId="77777777" w:rsidR="00E93F58" w:rsidRPr="00D97EFB" w:rsidRDefault="00E93F58" w:rsidP="00BB7E31">
      <w:pPr>
        <w:pStyle w:val="ActHead3"/>
        <w:pageBreakBefore/>
      </w:pPr>
      <w:bookmarkStart w:id="2450" w:name="_Toc151994504"/>
      <w:bookmarkStart w:id="2451" w:name="_Toc158713014"/>
      <w:r w:rsidRPr="000D40D5">
        <w:rPr>
          <w:rStyle w:val="CharDivNo"/>
        </w:rPr>
        <w:lastRenderedPageBreak/>
        <w:t>Division 14</w:t>
      </w:r>
      <w:r w:rsidRPr="00D97EFB">
        <w:t>—</w:t>
      </w:r>
      <w:r w:rsidRPr="000D40D5">
        <w:rPr>
          <w:rStyle w:val="CharDivText"/>
        </w:rPr>
        <w:t>Financial services disclosure</w:t>
      </w:r>
      <w:bookmarkEnd w:id="2450"/>
      <w:bookmarkEnd w:id="2451"/>
    </w:p>
    <w:p w14:paraId="537EA1FC" w14:textId="77777777" w:rsidR="00E93F58" w:rsidRPr="00D97EFB" w:rsidRDefault="00E93F58" w:rsidP="00BB7E31">
      <w:pPr>
        <w:pStyle w:val="ActHead5"/>
      </w:pPr>
      <w:bookmarkStart w:id="2452" w:name="_Toc151994505"/>
      <w:bookmarkStart w:id="2453" w:name="_Toc158713015"/>
      <w:r w:rsidRPr="000D40D5">
        <w:rPr>
          <w:rStyle w:val="CharSectno"/>
        </w:rPr>
        <w:t>10.2.48</w:t>
      </w:r>
      <w:r w:rsidRPr="00D97EFB">
        <w:t xml:space="preserve">  Obligation to give Financial Services Guide for service arranged before application of Part 7.7 of the Act</w:t>
      </w:r>
      <w:bookmarkEnd w:id="2452"/>
      <w:bookmarkEnd w:id="2453"/>
    </w:p>
    <w:p w14:paraId="3C1913B8" w14:textId="77777777" w:rsidR="00E93F58" w:rsidRPr="00D97EFB" w:rsidRDefault="00E93F58" w:rsidP="00BB7E31">
      <w:pPr>
        <w:pStyle w:val="subsection"/>
      </w:pPr>
      <w:r w:rsidRPr="00D97EFB">
        <w:tab/>
      </w:r>
      <w:r w:rsidRPr="00D97EFB">
        <w:tab/>
        <w:t xml:space="preserve">For section 1444 of the Act, sections 941A and 941B of the Act are taken not to require a person to give a client a Financial Services Guide in accordance with Division 2 of Part 7.7 of the Act in relation to a financial service (the </w:t>
      </w:r>
      <w:r w:rsidRPr="00D97EFB">
        <w:rPr>
          <w:b/>
          <w:i/>
        </w:rPr>
        <w:t>new financial service</w:t>
      </w:r>
      <w:r w:rsidRPr="00D97EFB">
        <w:t>) if, before the person became subject to Part 7.7 of the Act in relation to the provision of the new financial service:</w:t>
      </w:r>
    </w:p>
    <w:p w14:paraId="29164526" w14:textId="77777777" w:rsidR="00E93F58" w:rsidRPr="00D97EFB" w:rsidRDefault="00E93F58" w:rsidP="00BB7E31">
      <w:pPr>
        <w:pStyle w:val="paragraph"/>
      </w:pPr>
      <w:r w:rsidRPr="00D97EFB">
        <w:rPr>
          <w:color w:val="000000"/>
        </w:rPr>
        <w:tab/>
        <w:t>(a)</w:t>
      </w:r>
      <w:r w:rsidRPr="00D97EFB">
        <w:rPr>
          <w:color w:val="000000"/>
        </w:rPr>
        <w:tab/>
        <w:t>the person was a regulated principal, or a representative of a regulated principal within the meaning of subsection 1436(1) of the Act, whose regulated activities included the provision of financial services of the same kind as the new financial service; and</w:t>
      </w:r>
    </w:p>
    <w:p w14:paraId="56678B56" w14:textId="77777777" w:rsidR="00E93F58" w:rsidRPr="00D97EFB" w:rsidRDefault="00E93F58" w:rsidP="00BB7E31">
      <w:pPr>
        <w:pStyle w:val="paragraph"/>
      </w:pPr>
      <w:r w:rsidRPr="00D97EFB">
        <w:tab/>
        <w:t>(b)</w:t>
      </w:r>
      <w:r w:rsidRPr="00D97EFB">
        <w:tab/>
        <w:t>the person entered into an agreement with the client, to provide the new financial service; and</w:t>
      </w:r>
    </w:p>
    <w:p w14:paraId="5D59357C" w14:textId="77777777" w:rsidR="00E93F58" w:rsidRPr="00D97EFB" w:rsidRDefault="00E93F58" w:rsidP="00BB7E31">
      <w:pPr>
        <w:pStyle w:val="paragraph"/>
      </w:pPr>
      <w:r w:rsidRPr="00D97EFB">
        <w:tab/>
        <w:t>(c)</w:t>
      </w:r>
      <w:r w:rsidRPr="00D97EFB">
        <w:tab/>
        <w:t>the client took all of the steps necessary for the person to be able to provide the new financial service.</w:t>
      </w:r>
    </w:p>
    <w:p w14:paraId="4265CEAE" w14:textId="77777777" w:rsidR="00E93F58" w:rsidRPr="00D97EFB" w:rsidRDefault="00E93F58" w:rsidP="00BB7E31">
      <w:pPr>
        <w:pStyle w:val="notetext"/>
      </w:pPr>
      <w:r w:rsidRPr="00D97EFB">
        <w:rPr>
          <w:color w:val="000000"/>
        </w:rPr>
        <w:t>Note:</w:t>
      </w:r>
      <w:r w:rsidRPr="00D97EFB">
        <w:rPr>
          <w:color w:val="000000"/>
        </w:rPr>
        <w:tab/>
        <w:t>When Part 7.7 of the Act begins to apply to a person, the person will be under an obligation to provide a Financial Services Guide to a retail client to which it provides financial services. The Financial Services Guide should be given before the financial service is provided (see sections 941A, 941B and 941D of the Act).</w:t>
      </w:r>
    </w:p>
    <w:p w14:paraId="56B6D3FC" w14:textId="77777777" w:rsidR="00E93F58" w:rsidRPr="00D97EFB" w:rsidRDefault="00E93F58" w:rsidP="00BB7E31">
      <w:pPr>
        <w:pStyle w:val="notetext"/>
      </w:pPr>
      <w:r w:rsidRPr="00D97EFB">
        <w:tab/>
        <w:t>However, this could create difficulties if the person, or an authorised representative, has an existing client, and has entered into an arrangement with the client before Part 7.7 started to apply. The obligation to give a Financial Services Guide would arise when Part 7.7 begins to apply, but, under the arrangement, the financial service might have to be provided very shortly afterwards.  This might make the giving of the Financial Services Guide in accordance with section 941D difficult.</w:t>
      </w:r>
    </w:p>
    <w:p w14:paraId="3EEF3E2B" w14:textId="77777777" w:rsidR="00E93F58" w:rsidRPr="00D97EFB" w:rsidRDefault="00E93F58" w:rsidP="000A7E3B">
      <w:pPr>
        <w:pStyle w:val="ActHead5"/>
      </w:pPr>
      <w:bookmarkStart w:id="2454" w:name="_Toc151994506"/>
      <w:bookmarkStart w:id="2455" w:name="_Toc158713016"/>
      <w:r w:rsidRPr="000D40D5">
        <w:rPr>
          <w:rStyle w:val="CharSectno"/>
        </w:rPr>
        <w:t>10.2.48A</w:t>
      </w:r>
      <w:r w:rsidRPr="00D97EFB">
        <w:t xml:space="preserve">  Obligation to give a Financial Services Guide for a custodial and depository service</w:t>
      </w:r>
      <w:bookmarkEnd w:id="2454"/>
      <w:bookmarkEnd w:id="2455"/>
    </w:p>
    <w:p w14:paraId="7B30C65E" w14:textId="77777777" w:rsidR="00E93F58" w:rsidRPr="00D97EFB" w:rsidRDefault="00E93F58" w:rsidP="000A7E3B">
      <w:pPr>
        <w:pStyle w:val="subsection"/>
        <w:keepNext/>
        <w:keepLines/>
      </w:pPr>
      <w:r w:rsidRPr="00D97EFB">
        <w:tab/>
        <w:t>(1)</w:t>
      </w:r>
      <w:r w:rsidRPr="00D97EFB">
        <w:tab/>
        <w:t xml:space="preserve">For section 1444 of the Act, sections 941A and 941B of the Act are taken not to require a person to give a Financial Services Guide to a client, in accordance with Division 2 of Part 7.7 of the Act, in relation to a financial service (the </w:t>
      </w:r>
      <w:r w:rsidRPr="00D97EFB">
        <w:rPr>
          <w:b/>
          <w:i/>
        </w:rPr>
        <w:t>new financial service</w:t>
      </w:r>
      <w:r w:rsidRPr="00D97EFB">
        <w:t>), if:</w:t>
      </w:r>
    </w:p>
    <w:p w14:paraId="193700AF" w14:textId="77777777" w:rsidR="00E93F58" w:rsidRPr="00D97EFB" w:rsidRDefault="00E93F58" w:rsidP="00BB7E31">
      <w:pPr>
        <w:pStyle w:val="paragraph"/>
      </w:pPr>
      <w:r w:rsidRPr="00D97EFB">
        <w:tab/>
        <w:t>(a)</w:t>
      </w:r>
      <w:r w:rsidRPr="00D97EFB">
        <w:tab/>
        <w:t>the new financial service constitutes:</w:t>
      </w:r>
    </w:p>
    <w:p w14:paraId="6E21E8DA" w14:textId="77777777" w:rsidR="00E93F58" w:rsidRPr="00D97EFB" w:rsidRDefault="00E93F58" w:rsidP="00BB7E31">
      <w:pPr>
        <w:pStyle w:val="paragraphsub"/>
      </w:pPr>
      <w:r w:rsidRPr="00D97EFB">
        <w:tab/>
        <w:t>(i)</w:t>
      </w:r>
      <w:r w:rsidRPr="00D97EFB">
        <w:tab/>
        <w:t>the provision of a custodial or depository service under section 766E of the Act; or</w:t>
      </w:r>
    </w:p>
    <w:p w14:paraId="25EEE4A4" w14:textId="77777777" w:rsidR="00E93F58" w:rsidRPr="00D97EFB" w:rsidRDefault="00E93F58" w:rsidP="00BB7E31">
      <w:pPr>
        <w:pStyle w:val="paragraphsub"/>
      </w:pPr>
      <w:r w:rsidRPr="00D97EFB">
        <w:tab/>
        <w:t>(ii)</w:t>
      </w:r>
      <w:r w:rsidRPr="00D97EFB">
        <w:tab/>
        <w:t>dealing in a financial product that is held on trust for or on behalf of the client as a necessary part of the custodial or depository service; or</w:t>
      </w:r>
    </w:p>
    <w:p w14:paraId="58C61B5A" w14:textId="77777777" w:rsidR="00E93F58" w:rsidRPr="00D97EFB" w:rsidRDefault="00E93F58" w:rsidP="00BB7E31">
      <w:pPr>
        <w:pStyle w:val="paragraphsub"/>
      </w:pPr>
      <w:r w:rsidRPr="00D97EFB">
        <w:tab/>
        <w:t>(iii)</w:t>
      </w:r>
      <w:r w:rsidRPr="00D97EFB">
        <w:tab/>
        <w:t>issuing, to the client, a financial product that is a beneficial interest in a financial product held on trust for or on behalf of the client as a necessary part of the custodial or depository service; and</w:t>
      </w:r>
    </w:p>
    <w:p w14:paraId="4314393E" w14:textId="77777777" w:rsidR="00E93F58" w:rsidRPr="00D97EFB" w:rsidRDefault="00E93F58" w:rsidP="00BB7E31">
      <w:pPr>
        <w:pStyle w:val="paragraph"/>
      </w:pPr>
      <w:r w:rsidRPr="00D97EFB">
        <w:tab/>
        <w:t>(b)</w:t>
      </w:r>
      <w:r w:rsidRPr="00D97EFB">
        <w:tab/>
        <w:t>the person entered into the arrangement under which the custodial or depository service is provided, before the FSR commencement; and</w:t>
      </w:r>
    </w:p>
    <w:p w14:paraId="79E4C86D" w14:textId="77777777" w:rsidR="00E93F58" w:rsidRPr="00D97EFB" w:rsidRDefault="00E93F58" w:rsidP="00BB7E31">
      <w:pPr>
        <w:pStyle w:val="paragraph"/>
      </w:pPr>
      <w:r w:rsidRPr="00D97EFB">
        <w:tab/>
        <w:t>(c)</w:t>
      </w:r>
      <w:r w:rsidRPr="00D97EFB">
        <w:tab/>
        <w:t>the arrangement continued unaltered after the person became subject to Part 7.7 of the Act.</w:t>
      </w:r>
    </w:p>
    <w:p w14:paraId="58E9F3AF" w14:textId="77777777" w:rsidR="00E93F58" w:rsidRPr="00D97EFB" w:rsidRDefault="00E93F58" w:rsidP="00BB7E31">
      <w:pPr>
        <w:pStyle w:val="subsection"/>
      </w:pPr>
      <w:r w:rsidRPr="00D97EFB">
        <w:tab/>
        <w:t>(2)</w:t>
      </w:r>
      <w:r w:rsidRPr="00D97EFB">
        <w:tab/>
        <w:t>For paragraph (1)(c), an arrangement is taken to continue unaltered if:</w:t>
      </w:r>
    </w:p>
    <w:p w14:paraId="2236649B" w14:textId="77777777" w:rsidR="00E93F58" w:rsidRPr="00D97EFB" w:rsidRDefault="00E93F58" w:rsidP="00BB7E31">
      <w:pPr>
        <w:pStyle w:val="paragraph"/>
      </w:pPr>
      <w:r w:rsidRPr="00D97EFB">
        <w:tab/>
        <w:t>(a)</w:t>
      </w:r>
      <w:r w:rsidRPr="00D97EFB">
        <w:tab/>
        <w:t>the person holds, under the arrangement, financial products that are different financial products from those held under the arrangement before the person became subject to Part 7.7 of the Act; and</w:t>
      </w:r>
    </w:p>
    <w:p w14:paraId="1BBE5498" w14:textId="77777777" w:rsidR="00E93F58" w:rsidRPr="00D97EFB" w:rsidRDefault="00E93F58" w:rsidP="00BB7E31">
      <w:pPr>
        <w:pStyle w:val="paragraph"/>
      </w:pPr>
      <w:r w:rsidRPr="00D97EFB">
        <w:tab/>
        <w:t>(b)</w:t>
      </w:r>
      <w:r w:rsidRPr="00D97EFB">
        <w:tab/>
        <w:t>none of the different financial products is held on instruction from the client.</w:t>
      </w:r>
    </w:p>
    <w:p w14:paraId="6FC00D3A" w14:textId="77777777" w:rsidR="00E93F58" w:rsidRPr="00D97EFB" w:rsidRDefault="00E93F58" w:rsidP="00BB7E31">
      <w:pPr>
        <w:pStyle w:val="subsection"/>
      </w:pPr>
      <w:r w:rsidRPr="00D97EFB">
        <w:tab/>
        <w:t>(3)</w:t>
      </w:r>
      <w:r w:rsidRPr="00D97EFB">
        <w:tab/>
        <w:t>Subparagraph (1)(a)(ii) does not apply to dealing in a financial product if the dealing consists of the issue of a financial product to a person other than the client to whom the custodial or depository service is provided.</w:t>
      </w:r>
    </w:p>
    <w:p w14:paraId="35C86B3F" w14:textId="77777777" w:rsidR="00E93F58" w:rsidRPr="00D97EFB" w:rsidRDefault="00E93F58" w:rsidP="000A7E3B">
      <w:pPr>
        <w:pStyle w:val="ActHead5"/>
      </w:pPr>
      <w:bookmarkStart w:id="2456" w:name="_Toc151994507"/>
      <w:bookmarkStart w:id="2457" w:name="_Toc158713017"/>
      <w:r w:rsidRPr="000D40D5">
        <w:rPr>
          <w:rStyle w:val="CharSectno"/>
        </w:rPr>
        <w:t>10.2.49</w:t>
      </w:r>
      <w:r w:rsidRPr="00D97EFB">
        <w:t xml:space="preserve">  Obligation to give Financial Services Guide in relation to existing clients</w:t>
      </w:r>
      <w:bookmarkEnd w:id="2456"/>
      <w:bookmarkEnd w:id="2457"/>
    </w:p>
    <w:p w14:paraId="64C72F6B" w14:textId="77777777" w:rsidR="00E93F58" w:rsidRPr="00D97EFB" w:rsidRDefault="00E93F58" w:rsidP="000A7E3B">
      <w:pPr>
        <w:pStyle w:val="subsection"/>
        <w:keepNext/>
        <w:keepLines/>
      </w:pPr>
      <w:r w:rsidRPr="00D97EFB">
        <w:rPr>
          <w:color w:val="000000"/>
        </w:rPr>
        <w:tab/>
        <w:t>(1)</w:t>
      </w:r>
      <w:r w:rsidRPr="00D97EFB">
        <w:rPr>
          <w:color w:val="000000"/>
        </w:rPr>
        <w:tab/>
        <w:t xml:space="preserve">For section 1444 of the Act, section 941D of the Act is taken not to require a person to give a client a Financial Services Guide in relation to a financial service (the </w:t>
      </w:r>
      <w:r w:rsidRPr="00D97EFB">
        <w:rPr>
          <w:b/>
          <w:i/>
          <w:color w:val="000000"/>
        </w:rPr>
        <w:t>new financial service</w:t>
      </w:r>
      <w:r w:rsidRPr="00D97EFB">
        <w:rPr>
          <w:color w:val="000000"/>
        </w:rPr>
        <w:t>) within the period specified in that section if, in the period of 6 months ending on the day immediately before Part 7.7 of the Act first applies to the person in relation to the provision of financial services of the same kind as the new financial service, the person had provided a financial service to the client of the same kind as the new financial service.</w:t>
      </w:r>
    </w:p>
    <w:p w14:paraId="48730C6A" w14:textId="77777777" w:rsidR="00E93F58" w:rsidRPr="00D97EFB" w:rsidRDefault="00E93F58" w:rsidP="00BB7E31">
      <w:pPr>
        <w:pStyle w:val="subsection"/>
      </w:pPr>
      <w:r w:rsidRPr="00D97EFB">
        <w:tab/>
        <w:t>(2)</w:t>
      </w:r>
      <w:r w:rsidRPr="00D97EFB">
        <w:tab/>
        <w:t>For subregulation (1), section 941D of the Act is also taken to require the person to give the client the Financial Services Guide:</w:t>
      </w:r>
    </w:p>
    <w:p w14:paraId="00B0119C" w14:textId="77777777" w:rsidR="00E93F58" w:rsidRPr="00D97EFB" w:rsidRDefault="00E93F58" w:rsidP="00BB7E31">
      <w:pPr>
        <w:pStyle w:val="paragraph"/>
        <w:rPr>
          <w:color w:val="000000"/>
        </w:rPr>
      </w:pPr>
      <w:r w:rsidRPr="00D97EFB">
        <w:rPr>
          <w:color w:val="000000"/>
        </w:rPr>
        <w:tab/>
        <w:t>(a)</w:t>
      </w:r>
      <w:r w:rsidRPr="00D97EFB">
        <w:rPr>
          <w:color w:val="000000"/>
        </w:rPr>
        <w:tab/>
        <w:t>as soon as is reasonably practicable; and</w:t>
      </w:r>
    </w:p>
    <w:p w14:paraId="7DA02BA4" w14:textId="77777777" w:rsidR="00E93F58" w:rsidRPr="00D97EFB" w:rsidRDefault="00E93F58" w:rsidP="00BB7E31">
      <w:pPr>
        <w:pStyle w:val="paragraph"/>
      </w:pPr>
      <w:r w:rsidRPr="00D97EFB">
        <w:lastRenderedPageBreak/>
        <w:tab/>
        <w:t>(b)</w:t>
      </w:r>
      <w:r w:rsidRPr="00D97EFB">
        <w:tab/>
        <w:t>in any event, within the period of 14 days starting on the day on which the person would have been required by section 941D of the Act to provide a Financial Services Guide if subregulation (1) did not apply.</w:t>
      </w:r>
    </w:p>
    <w:p w14:paraId="04B72599" w14:textId="77777777" w:rsidR="00E93F58" w:rsidRPr="00D97EFB" w:rsidRDefault="00E93F58" w:rsidP="00BB7E31">
      <w:pPr>
        <w:pStyle w:val="subsection"/>
      </w:pPr>
      <w:r w:rsidRPr="00D97EFB">
        <w:rPr>
          <w:color w:val="000000"/>
        </w:rPr>
        <w:tab/>
        <w:t>(3)</w:t>
      </w:r>
      <w:r w:rsidRPr="00D97EFB">
        <w:rPr>
          <w:color w:val="000000"/>
        </w:rPr>
        <w:tab/>
        <w:t>This regulation ceases to apply in relation to the person at the end of 14 days after the day on which Part 7.7 of the Act first applies to the person in relation to the provision of financial services of the same kind as the new financial service.</w:t>
      </w:r>
    </w:p>
    <w:p w14:paraId="012A16B5" w14:textId="77777777" w:rsidR="00E93F58" w:rsidRPr="00D97EFB" w:rsidRDefault="00E93F58" w:rsidP="00BB7E31">
      <w:pPr>
        <w:pStyle w:val="ActHead5"/>
      </w:pPr>
      <w:bookmarkStart w:id="2458" w:name="_Toc151994508"/>
      <w:bookmarkStart w:id="2459" w:name="_Toc158713018"/>
      <w:r w:rsidRPr="000D40D5">
        <w:rPr>
          <w:rStyle w:val="CharSectno"/>
        </w:rPr>
        <w:t>10.2.50</w:t>
      </w:r>
      <w:r w:rsidRPr="00D97EFB">
        <w:t xml:space="preserve">  Content of Financial Services Guide for an authorised representative that is a regulated principal or a representative of a regulated principal</w:t>
      </w:r>
      <w:bookmarkEnd w:id="2458"/>
      <w:bookmarkEnd w:id="2459"/>
    </w:p>
    <w:p w14:paraId="46B5D31A" w14:textId="77777777" w:rsidR="00E93F58" w:rsidRPr="00D97EFB" w:rsidRDefault="00E93F58" w:rsidP="00BB7E31">
      <w:pPr>
        <w:pStyle w:val="subsection"/>
      </w:pPr>
      <w:r w:rsidRPr="00D97EFB">
        <w:tab/>
        <w:t>(1)</w:t>
      </w:r>
      <w:r w:rsidRPr="00D97EFB">
        <w:tab/>
        <w:t>This regulation applies if a person:</w:t>
      </w:r>
    </w:p>
    <w:p w14:paraId="487072E0" w14:textId="77777777" w:rsidR="00E93F58" w:rsidRPr="00D97EFB" w:rsidRDefault="00E93F58" w:rsidP="00BB7E31">
      <w:pPr>
        <w:pStyle w:val="paragraph"/>
      </w:pPr>
      <w:r w:rsidRPr="00D97EFB">
        <w:rPr>
          <w:color w:val="000000"/>
        </w:rPr>
        <w:tab/>
        <w:t>(a)</w:t>
      </w:r>
      <w:r w:rsidRPr="00D97EFB">
        <w:rPr>
          <w:color w:val="000000"/>
        </w:rPr>
        <w:tab/>
        <w:t>is a regulated principal, or a representative of a regulated principal within the meaning of subsection 1436(1) of the Act; and</w:t>
      </w:r>
    </w:p>
    <w:p w14:paraId="1CF3C5EE" w14:textId="77777777" w:rsidR="00E93F58" w:rsidRPr="00D97EFB" w:rsidRDefault="00E93F58" w:rsidP="00BB7E31">
      <w:pPr>
        <w:pStyle w:val="paragraph"/>
      </w:pPr>
      <w:r w:rsidRPr="00D97EFB">
        <w:tab/>
        <w:t>(b)</w:t>
      </w:r>
      <w:r w:rsidRPr="00D97EFB">
        <w:tab/>
        <w:t>is also in the transition period in the capacity of:</w:t>
      </w:r>
    </w:p>
    <w:p w14:paraId="4EFD0B09" w14:textId="77777777" w:rsidR="00E93F58" w:rsidRPr="00D97EFB" w:rsidRDefault="00E93F58" w:rsidP="00BB7E31">
      <w:pPr>
        <w:pStyle w:val="paragraphsub"/>
        <w:rPr>
          <w:color w:val="000000"/>
        </w:rPr>
      </w:pPr>
      <w:r w:rsidRPr="00D97EFB">
        <w:rPr>
          <w:color w:val="000000"/>
        </w:rPr>
        <w:tab/>
        <w:t>(i)</w:t>
      </w:r>
      <w:r w:rsidRPr="00D97EFB">
        <w:rPr>
          <w:color w:val="000000"/>
        </w:rPr>
        <w:tab/>
        <w:t>a regulated principal; or</w:t>
      </w:r>
    </w:p>
    <w:p w14:paraId="5C9D2E5C" w14:textId="77777777" w:rsidR="00E93F58" w:rsidRPr="00D97EFB" w:rsidRDefault="00E93F58" w:rsidP="00BB7E31">
      <w:pPr>
        <w:pStyle w:val="paragraphsub"/>
      </w:pPr>
      <w:r w:rsidRPr="00D97EFB">
        <w:tab/>
        <w:t>(ii)</w:t>
      </w:r>
      <w:r w:rsidRPr="00D97EFB">
        <w:tab/>
        <w:t>a representative of a regulated principal; and</w:t>
      </w:r>
    </w:p>
    <w:p w14:paraId="15087450" w14:textId="77777777" w:rsidR="00E93F58" w:rsidRPr="00D97EFB" w:rsidRDefault="00E93F58" w:rsidP="00BB7E31">
      <w:pPr>
        <w:pStyle w:val="paragraph"/>
      </w:pPr>
      <w:r w:rsidRPr="00D97EFB">
        <w:rPr>
          <w:color w:val="000000"/>
        </w:rPr>
        <w:tab/>
        <w:t>(c)</w:t>
      </w:r>
      <w:r w:rsidRPr="00D97EFB">
        <w:rPr>
          <w:color w:val="000000"/>
        </w:rPr>
        <w:tab/>
        <w:t>is also a financial services licensee or an authorised representative of a financial services licensee.</w:t>
      </w:r>
    </w:p>
    <w:p w14:paraId="0062E254" w14:textId="77777777" w:rsidR="00E93F58" w:rsidRPr="00D97EFB" w:rsidRDefault="00E93F58" w:rsidP="00BB7E31">
      <w:pPr>
        <w:pStyle w:val="subsection"/>
      </w:pPr>
      <w:r w:rsidRPr="00D97EFB">
        <w:tab/>
        <w:t>(2)</w:t>
      </w:r>
      <w:r w:rsidRPr="00D97EFB">
        <w:tab/>
        <w:t>Paragraphs 942B(2)(c) and 942C(2)(d) of the Act are taken to require the person:</w:t>
      </w:r>
    </w:p>
    <w:p w14:paraId="6C916C02" w14:textId="77777777" w:rsidR="00E93F58" w:rsidRPr="00D97EFB" w:rsidRDefault="00E93F58" w:rsidP="00BB7E31">
      <w:pPr>
        <w:pStyle w:val="paragraph"/>
      </w:pPr>
      <w:r w:rsidRPr="00D97EFB">
        <w:tab/>
        <w:t>(a)</w:t>
      </w:r>
      <w:r w:rsidRPr="00D97EFB">
        <w:tab/>
        <w:t>to provide a statement, in addition to a Financial Services Guide, to the effect that the person is able to provide financial services as:</w:t>
      </w:r>
    </w:p>
    <w:p w14:paraId="21E96B1C" w14:textId="77777777" w:rsidR="00E93F58" w:rsidRPr="00D97EFB" w:rsidRDefault="00E93F58" w:rsidP="00BB7E31">
      <w:pPr>
        <w:pStyle w:val="paragraphsub"/>
        <w:rPr>
          <w:color w:val="000000"/>
        </w:rPr>
      </w:pPr>
      <w:r w:rsidRPr="00D97EFB">
        <w:rPr>
          <w:color w:val="000000"/>
        </w:rPr>
        <w:tab/>
        <w:t>(i)</w:t>
      </w:r>
      <w:r w:rsidRPr="00D97EFB">
        <w:rPr>
          <w:color w:val="000000"/>
        </w:rPr>
        <w:tab/>
        <w:t>a regulated principal; or</w:t>
      </w:r>
    </w:p>
    <w:p w14:paraId="12BEE612" w14:textId="77777777" w:rsidR="00E93F58" w:rsidRPr="00D97EFB" w:rsidRDefault="00E93F58" w:rsidP="00BB7E31">
      <w:pPr>
        <w:pStyle w:val="paragraphsub"/>
      </w:pPr>
      <w:r w:rsidRPr="00D97EFB">
        <w:tab/>
        <w:t>(ii)</w:t>
      </w:r>
      <w:r w:rsidRPr="00D97EFB">
        <w:tab/>
        <w:t>a representative of a regulated principal; and</w:t>
      </w:r>
    </w:p>
    <w:p w14:paraId="408CEC4C" w14:textId="77777777" w:rsidR="00E93F58" w:rsidRPr="00D97EFB" w:rsidRDefault="00E93F58" w:rsidP="00BB7E31">
      <w:pPr>
        <w:pStyle w:val="paragraph"/>
      </w:pPr>
      <w:r w:rsidRPr="00D97EFB">
        <w:tab/>
        <w:t>(b)</w:t>
      </w:r>
      <w:r w:rsidRPr="00D97EFB">
        <w:tab/>
        <w:t>to include in the statement:</w:t>
      </w:r>
    </w:p>
    <w:p w14:paraId="7951FC71" w14:textId="77777777" w:rsidR="00E93F58" w:rsidRPr="00D97EFB" w:rsidRDefault="00E93F58" w:rsidP="00BB7E31">
      <w:pPr>
        <w:pStyle w:val="paragraphsub"/>
        <w:rPr>
          <w:color w:val="000000"/>
        </w:rPr>
      </w:pPr>
      <w:r w:rsidRPr="00D97EFB">
        <w:rPr>
          <w:color w:val="000000"/>
        </w:rPr>
        <w:tab/>
        <w:t>(i)</w:t>
      </w:r>
      <w:r w:rsidRPr="00D97EFB">
        <w:rPr>
          <w:color w:val="000000"/>
        </w:rPr>
        <w:tab/>
        <w:t>a brief description of the kinds of financial services provided in that capacity; and</w:t>
      </w:r>
    </w:p>
    <w:p w14:paraId="594E7D46" w14:textId="77777777" w:rsidR="00E93F58" w:rsidRPr="00D97EFB" w:rsidRDefault="00E93F58" w:rsidP="00BB7E31">
      <w:pPr>
        <w:pStyle w:val="paragraphsub"/>
      </w:pPr>
      <w:r w:rsidRPr="00D97EFB">
        <w:tab/>
        <w:t>(ii)</w:t>
      </w:r>
      <w:r w:rsidRPr="00D97EFB">
        <w:tab/>
        <w:t>the name of each regulated principal (if any) on whose behalf the financial services are provided.</w:t>
      </w:r>
    </w:p>
    <w:p w14:paraId="3328DAF2" w14:textId="77777777" w:rsidR="00E93F58" w:rsidRPr="00D97EFB" w:rsidRDefault="00E93F58" w:rsidP="00BB7E31">
      <w:pPr>
        <w:pStyle w:val="subsection"/>
      </w:pPr>
      <w:r w:rsidRPr="00D97EFB">
        <w:tab/>
        <w:t>(3)</w:t>
      </w:r>
      <w:r w:rsidRPr="00D97EFB">
        <w:tab/>
        <w:t>For subregulation (2):</w:t>
      </w:r>
    </w:p>
    <w:p w14:paraId="41643AB3" w14:textId="77777777" w:rsidR="00E93F58" w:rsidRPr="00D97EFB" w:rsidRDefault="00E93F58" w:rsidP="00BB7E31">
      <w:pPr>
        <w:pStyle w:val="paragraph"/>
      </w:pPr>
      <w:r w:rsidRPr="00D97EFB">
        <w:rPr>
          <w:color w:val="000000"/>
        </w:rPr>
        <w:tab/>
        <w:t>(a)</w:t>
      </w:r>
      <w:r w:rsidRPr="00D97EFB">
        <w:rPr>
          <w:color w:val="000000"/>
        </w:rPr>
        <w:tab/>
        <w:t>section 940C of the Act is taken to apply in relation to the statement; and</w:t>
      </w:r>
    </w:p>
    <w:p w14:paraId="3D2CB520" w14:textId="77777777" w:rsidR="00E93F58" w:rsidRPr="00D97EFB" w:rsidRDefault="00E93F58" w:rsidP="00BB7E31">
      <w:pPr>
        <w:pStyle w:val="paragraph"/>
      </w:pPr>
      <w:r w:rsidRPr="00D97EFB">
        <w:tab/>
        <w:t>(b)</w:t>
      </w:r>
      <w:r w:rsidRPr="00D97EFB">
        <w:tab/>
        <w:t>the following matters are also taken to apply in relation to the person:</w:t>
      </w:r>
    </w:p>
    <w:p w14:paraId="772D6D21" w14:textId="77777777" w:rsidR="00E93F58" w:rsidRPr="00D97EFB" w:rsidRDefault="00E93F58" w:rsidP="00BB7E31">
      <w:pPr>
        <w:pStyle w:val="paragraphsub"/>
        <w:rPr>
          <w:color w:val="000000"/>
        </w:rPr>
      </w:pPr>
      <w:r w:rsidRPr="00D97EFB">
        <w:rPr>
          <w:color w:val="000000"/>
        </w:rPr>
        <w:tab/>
        <w:t>(i)</w:t>
      </w:r>
      <w:r w:rsidRPr="00D97EFB">
        <w:rPr>
          <w:color w:val="000000"/>
        </w:rPr>
        <w:tab/>
        <w:t>any regulations or other instruments in force for section 940C;</w:t>
      </w:r>
    </w:p>
    <w:p w14:paraId="24C08965" w14:textId="77777777" w:rsidR="00E93F58" w:rsidRPr="00D97EFB" w:rsidRDefault="00E93F58" w:rsidP="00BB7E31">
      <w:pPr>
        <w:pStyle w:val="paragraphsub"/>
      </w:pPr>
      <w:r w:rsidRPr="00D97EFB">
        <w:tab/>
        <w:t>(ii)</w:t>
      </w:r>
      <w:r w:rsidRPr="00D97EFB">
        <w:tab/>
        <w:t>any interpretation provisions that apply for section 940C;</w:t>
      </w:r>
    </w:p>
    <w:p w14:paraId="0963ABA8" w14:textId="77777777" w:rsidR="00E93F58" w:rsidRPr="00D97EFB" w:rsidRDefault="00E93F58" w:rsidP="00BB7E31">
      <w:pPr>
        <w:pStyle w:val="paragraphsub"/>
      </w:pPr>
      <w:r w:rsidRPr="00D97EFB">
        <w:tab/>
        <w:t>(iii)</w:t>
      </w:r>
      <w:r w:rsidRPr="00D97EFB">
        <w:tab/>
        <w:t>any provisions relating to liability (civil or criminal) that apply for section 940C (whether or not they also apply or applied for other purposes);</w:t>
      </w:r>
    </w:p>
    <w:p w14:paraId="4FBCF5D7" w14:textId="77777777" w:rsidR="00E93F58" w:rsidRPr="00D97EFB" w:rsidRDefault="00E93F58" w:rsidP="00BB7E31">
      <w:pPr>
        <w:pStyle w:val="paragraphsub"/>
      </w:pPr>
      <w:r w:rsidRPr="00D97EFB">
        <w:tab/>
        <w:t>(iv)</w:t>
      </w:r>
      <w:r w:rsidRPr="00D97EFB">
        <w:tab/>
        <w:t>any provisions that limit, or that otherwise affect, the operation of section 940C (whether or not they also limit or limited, or affect or affected, the operation of other provisions); and</w:t>
      </w:r>
    </w:p>
    <w:p w14:paraId="1F302095" w14:textId="77777777" w:rsidR="00E93F58" w:rsidRPr="00D97EFB" w:rsidRDefault="00E93F58" w:rsidP="00BB7E31">
      <w:pPr>
        <w:pStyle w:val="paragraph"/>
      </w:pPr>
      <w:r w:rsidRPr="00D97EFB">
        <w:tab/>
        <w:t>(c)</w:t>
      </w:r>
      <w:r w:rsidRPr="00D97EFB">
        <w:tab/>
        <w:t>for Part 7.7 of the Act, the statement:</w:t>
      </w:r>
    </w:p>
    <w:p w14:paraId="145EC80D" w14:textId="77777777" w:rsidR="00E93F58" w:rsidRPr="00D97EFB" w:rsidRDefault="00E93F58" w:rsidP="00BB7E31">
      <w:pPr>
        <w:pStyle w:val="paragraphsub"/>
        <w:rPr>
          <w:color w:val="000000"/>
        </w:rPr>
      </w:pPr>
      <w:r w:rsidRPr="00D97EFB">
        <w:rPr>
          <w:color w:val="000000"/>
        </w:rPr>
        <w:tab/>
        <w:t>(i)</w:t>
      </w:r>
      <w:r w:rsidRPr="00D97EFB">
        <w:rPr>
          <w:color w:val="000000"/>
        </w:rPr>
        <w:tab/>
        <w:t>is taken not to be a part of the Financial Services Guide; and</w:t>
      </w:r>
    </w:p>
    <w:p w14:paraId="132D5EFC" w14:textId="77777777" w:rsidR="00E93F58" w:rsidRPr="00D97EFB" w:rsidRDefault="00E93F58" w:rsidP="00BB7E31">
      <w:pPr>
        <w:pStyle w:val="paragraphsub"/>
      </w:pPr>
      <w:r w:rsidRPr="00D97EFB">
        <w:tab/>
        <w:t>(ii)</w:t>
      </w:r>
      <w:r w:rsidRPr="00D97EFB">
        <w:tab/>
        <w:t>is taken not to be a statement that the person is required to include in a Financial Services Guide.</w:t>
      </w:r>
    </w:p>
    <w:p w14:paraId="4EA1AF3B" w14:textId="77777777" w:rsidR="00E93F58" w:rsidRPr="00D97EFB" w:rsidRDefault="00E93F58" w:rsidP="00BB7E31">
      <w:pPr>
        <w:pStyle w:val="subsection"/>
      </w:pPr>
      <w:r w:rsidRPr="00D97EFB">
        <w:rPr>
          <w:color w:val="000000"/>
        </w:rPr>
        <w:tab/>
        <w:t>(4)</w:t>
      </w:r>
      <w:r w:rsidRPr="00D97EFB">
        <w:rPr>
          <w:color w:val="000000"/>
        </w:rPr>
        <w:tab/>
        <w:t>The person must not fail to give the statement in accordance with this regulation.</w:t>
      </w:r>
    </w:p>
    <w:p w14:paraId="2BCC416D" w14:textId="77777777" w:rsidR="00E93F58" w:rsidRPr="00D97EFB" w:rsidRDefault="00E93F58" w:rsidP="00FF62B0">
      <w:pPr>
        <w:pStyle w:val="Penalty"/>
      </w:pPr>
      <w:r w:rsidRPr="00D97EFB">
        <w:t>Penalty:</w:t>
      </w:r>
    </w:p>
    <w:p w14:paraId="55F6C804" w14:textId="77777777" w:rsidR="00E93F58" w:rsidRPr="00D97EFB" w:rsidRDefault="00E93F58" w:rsidP="00FF62B0">
      <w:pPr>
        <w:pStyle w:val="paragraph"/>
      </w:pPr>
      <w:r w:rsidRPr="00D97EFB">
        <w:tab/>
        <w:t>(a)</w:t>
      </w:r>
      <w:r w:rsidRPr="00D97EFB">
        <w:tab/>
        <w:t>for an individual—50 penalty units; and</w:t>
      </w:r>
    </w:p>
    <w:p w14:paraId="77641DFD" w14:textId="77777777" w:rsidR="00E93F58" w:rsidRPr="00D97EFB" w:rsidRDefault="00E93F58" w:rsidP="00FF62B0">
      <w:pPr>
        <w:pStyle w:val="paragraph"/>
      </w:pPr>
      <w:r w:rsidRPr="00D97EFB">
        <w:tab/>
        <w:t>(b)</w:t>
      </w:r>
      <w:r w:rsidRPr="00D97EFB">
        <w:tab/>
        <w:t>for a body corporate—500 penalty units.</w:t>
      </w:r>
    </w:p>
    <w:p w14:paraId="56DF5943" w14:textId="77777777" w:rsidR="00E93F58" w:rsidRPr="00D97EFB" w:rsidRDefault="00E93F58" w:rsidP="00BB7E31">
      <w:pPr>
        <w:pStyle w:val="ActHead5"/>
      </w:pPr>
      <w:bookmarkStart w:id="2460" w:name="_Toc151994509"/>
      <w:bookmarkStart w:id="2461" w:name="_Toc158713019"/>
      <w:r w:rsidRPr="000D40D5">
        <w:rPr>
          <w:rStyle w:val="CharSectno"/>
        </w:rPr>
        <w:t>10.2.50A</w:t>
      </w:r>
      <w:r w:rsidRPr="00D97EFB">
        <w:t xml:space="preserve">  Treatment of arrangements under which a person can instruct another person to acquire a financial product</w:t>
      </w:r>
      <w:bookmarkEnd w:id="2460"/>
      <w:bookmarkEnd w:id="2461"/>
    </w:p>
    <w:p w14:paraId="51703DF9" w14:textId="77777777" w:rsidR="00E93F58" w:rsidRPr="00D97EFB" w:rsidRDefault="00E93F58" w:rsidP="00BB7E31">
      <w:pPr>
        <w:pStyle w:val="subsection"/>
      </w:pPr>
      <w:r w:rsidRPr="00D97EFB">
        <w:tab/>
        <w:t>(1)</w:t>
      </w:r>
      <w:r w:rsidRPr="00D97EFB">
        <w:tab/>
        <w:t>For section 1444 of the Act, this regulation applies in relation to a custodial arrangement (within the meaning of section 1012IA of the Act) in which the client is the holder of a superannuation product issued to the client by the provider.</w:t>
      </w:r>
    </w:p>
    <w:p w14:paraId="5A06631B" w14:textId="77777777" w:rsidR="00E93F58" w:rsidRPr="00D97EFB" w:rsidRDefault="00E93F58" w:rsidP="00BB7E31">
      <w:pPr>
        <w:pStyle w:val="subsection"/>
      </w:pPr>
      <w:r w:rsidRPr="00D97EFB">
        <w:tab/>
        <w:t>(2)</w:t>
      </w:r>
      <w:r w:rsidRPr="00D97EFB">
        <w:tab/>
        <w:t>Section 1012IA of the Act does not apply to a regulated acquisition (within the meaning of that section) that occurs under the custodial arrangement.</w:t>
      </w:r>
    </w:p>
    <w:p w14:paraId="4214E0FE" w14:textId="77777777" w:rsidR="00E93F58" w:rsidRPr="00D97EFB" w:rsidRDefault="00E93F58" w:rsidP="00BB7E31">
      <w:pPr>
        <w:pStyle w:val="subsection"/>
      </w:pPr>
      <w:r w:rsidRPr="00D97EFB">
        <w:tab/>
        <w:t>(3)</w:t>
      </w:r>
      <w:r w:rsidRPr="00D97EFB">
        <w:tab/>
        <w:t>Subregulation (2) ceases to apply at the end of 2 years after the FSR commencement.</w:t>
      </w:r>
    </w:p>
    <w:p w14:paraId="3608567A" w14:textId="77777777" w:rsidR="00E93F58" w:rsidRPr="00D97EFB" w:rsidRDefault="00E93F58" w:rsidP="00BB7E31">
      <w:pPr>
        <w:pStyle w:val="ActHead3"/>
        <w:pageBreakBefore/>
        <w:rPr>
          <w:color w:val="000000"/>
        </w:rPr>
      </w:pPr>
      <w:bookmarkStart w:id="2462" w:name="_Toc151994510"/>
      <w:bookmarkStart w:id="2463" w:name="_Toc158713020"/>
      <w:r w:rsidRPr="000D40D5">
        <w:rPr>
          <w:rStyle w:val="CharDivNo"/>
        </w:rPr>
        <w:lastRenderedPageBreak/>
        <w:t>Division 15</w:t>
      </w:r>
      <w:r w:rsidRPr="00D97EFB">
        <w:rPr>
          <w:color w:val="000000"/>
        </w:rPr>
        <w:t>—</w:t>
      </w:r>
      <w:r w:rsidRPr="000D40D5">
        <w:rPr>
          <w:rStyle w:val="CharDivText"/>
        </w:rPr>
        <w:t>Other provisions relating to conduct etc</w:t>
      </w:r>
      <w:bookmarkEnd w:id="2462"/>
      <w:bookmarkEnd w:id="2463"/>
    </w:p>
    <w:p w14:paraId="78EA56DD" w14:textId="77777777" w:rsidR="00E93F58" w:rsidRPr="00D97EFB" w:rsidRDefault="00E93F58" w:rsidP="006C736A">
      <w:pPr>
        <w:pStyle w:val="ActHead5"/>
      </w:pPr>
      <w:bookmarkStart w:id="2464" w:name="_Toc151994511"/>
      <w:bookmarkStart w:id="2465" w:name="_Toc158713021"/>
      <w:r w:rsidRPr="000D40D5">
        <w:rPr>
          <w:rStyle w:val="CharSectno"/>
        </w:rPr>
        <w:t>10.2.51</w:t>
      </w:r>
      <w:r w:rsidRPr="00D97EFB">
        <w:t xml:space="preserve">  Sale offers that need disclosure</w:t>
      </w:r>
      <w:bookmarkEnd w:id="2464"/>
      <w:bookmarkEnd w:id="2465"/>
    </w:p>
    <w:p w14:paraId="5113669A" w14:textId="77777777" w:rsidR="00E93F58" w:rsidRPr="00D97EFB" w:rsidRDefault="00E93F58" w:rsidP="007804D8">
      <w:pPr>
        <w:pStyle w:val="subsection"/>
      </w:pPr>
      <w:r w:rsidRPr="00D97EFB">
        <w:tab/>
      </w:r>
      <w:r w:rsidRPr="00D97EFB">
        <w:tab/>
        <w:t>For section 1444 of the Act:</w:t>
      </w:r>
    </w:p>
    <w:p w14:paraId="705407C5" w14:textId="77777777" w:rsidR="00E93F58" w:rsidRPr="00D97EFB" w:rsidRDefault="00E93F58" w:rsidP="007804D8">
      <w:pPr>
        <w:pStyle w:val="paragraph"/>
      </w:pPr>
      <w:r w:rsidRPr="00D97EFB">
        <w:tab/>
        <w:t>(a)</w:t>
      </w:r>
      <w:r w:rsidRPr="00D97EFB">
        <w:tab/>
        <w:t>section 707 of the old Corporations Act applies in relation to managed investment products:</w:t>
      </w:r>
    </w:p>
    <w:p w14:paraId="62BB0AFF" w14:textId="77777777" w:rsidR="00E93F58" w:rsidRPr="00D97EFB" w:rsidRDefault="00E93F58" w:rsidP="007804D8">
      <w:pPr>
        <w:pStyle w:val="paragraphsub"/>
      </w:pPr>
      <w:r w:rsidRPr="00D97EFB">
        <w:rPr>
          <w:color w:val="000000"/>
        </w:rPr>
        <w:tab/>
        <w:t>(i)</w:t>
      </w:r>
      <w:r w:rsidRPr="00D97EFB">
        <w:rPr>
          <w:color w:val="000000"/>
        </w:rPr>
        <w:tab/>
        <w:t>issued before the FSR commencement; and</w:t>
      </w:r>
    </w:p>
    <w:p w14:paraId="3CA1D159" w14:textId="77777777" w:rsidR="00E93F58" w:rsidRPr="00D97EFB" w:rsidRDefault="00E93F58" w:rsidP="007804D8">
      <w:pPr>
        <w:pStyle w:val="paragraphsub"/>
      </w:pPr>
      <w:r w:rsidRPr="00D97EFB">
        <w:tab/>
        <w:t>(ii)</w:t>
      </w:r>
      <w:r w:rsidRPr="00D97EFB">
        <w:tab/>
        <w:t>sold during the transitional period in relation to the products; and</w:t>
      </w:r>
    </w:p>
    <w:p w14:paraId="26E90EB6" w14:textId="77777777" w:rsidR="00E93F58" w:rsidRPr="00D97EFB" w:rsidRDefault="00E93F58" w:rsidP="007804D8">
      <w:pPr>
        <w:pStyle w:val="paragraph"/>
      </w:pPr>
      <w:r w:rsidRPr="00D97EFB">
        <w:tab/>
        <w:t>(b)</w:t>
      </w:r>
      <w:r w:rsidRPr="00D97EFB">
        <w:tab/>
        <w:t>section 707 of the Act applies in relation to managed investment products:</w:t>
      </w:r>
    </w:p>
    <w:p w14:paraId="55E62B9D" w14:textId="77777777" w:rsidR="00E93F58" w:rsidRPr="00D97EFB" w:rsidRDefault="00E93F58" w:rsidP="007804D8">
      <w:pPr>
        <w:pStyle w:val="paragraphsub"/>
      </w:pPr>
      <w:r w:rsidRPr="00D97EFB">
        <w:rPr>
          <w:color w:val="000000"/>
        </w:rPr>
        <w:tab/>
        <w:t>(i)</w:t>
      </w:r>
      <w:r w:rsidRPr="00D97EFB">
        <w:rPr>
          <w:color w:val="000000"/>
        </w:rPr>
        <w:tab/>
        <w:t>issued on or after the FSR commencement; and</w:t>
      </w:r>
    </w:p>
    <w:p w14:paraId="7A241B85" w14:textId="77777777" w:rsidR="00E93F58" w:rsidRPr="00D97EFB" w:rsidRDefault="00E93F58" w:rsidP="007804D8">
      <w:pPr>
        <w:pStyle w:val="paragraphsub"/>
      </w:pPr>
      <w:r w:rsidRPr="00D97EFB">
        <w:tab/>
        <w:t>(ii)</w:t>
      </w:r>
      <w:r w:rsidRPr="00D97EFB">
        <w:tab/>
        <w:t>sold during the transitional period in relation to the products; and</w:t>
      </w:r>
    </w:p>
    <w:p w14:paraId="5640B653" w14:textId="77777777" w:rsidR="00E93F58" w:rsidRPr="00D97EFB" w:rsidRDefault="00E93F58" w:rsidP="007804D8">
      <w:pPr>
        <w:pStyle w:val="paragraph"/>
      </w:pPr>
      <w:r w:rsidRPr="00D97EFB">
        <w:tab/>
        <w:t>(c)</w:t>
      </w:r>
      <w:r w:rsidRPr="00D97EFB">
        <w:tab/>
        <w:t>section 1012C of the Act does not apply in relation to a financial product that is issued before the end of the transition period in relation to the financial product, other than:</w:t>
      </w:r>
    </w:p>
    <w:p w14:paraId="0B9F757B" w14:textId="77777777" w:rsidR="00E93F58" w:rsidRPr="00D97EFB" w:rsidRDefault="00E93F58" w:rsidP="007804D8">
      <w:pPr>
        <w:pStyle w:val="paragraphsub"/>
      </w:pPr>
      <w:r w:rsidRPr="00D97EFB">
        <w:tab/>
        <w:t>(i)</w:t>
      </w:r>
      <w:r w:rsidRPr="00D97EFB">
        <w:tab/>
        <w:t>a security that is not also a warrant; and</w:t>
      </w:r>
    </w:p>
    <w:p w14:paraId="7F6AB5AA" w14:textId="77777777" w:rsidR="00E93F58" w:rsidRPr="00D97EFB" w:rsidRDefault="00E93F58" w:rsidP="007804D8">
      <w:pPr>
        <w:pStyle w:val="paragraphsub"/>
      </w:pPr>
      <w:r w:rsidRPr="00D97EFB">
        <w:tab/>
        <w:t>(ii)</w:t>
      </w:r>
      <w:r w:rsidRPr="00D97EFB">
        <w:tab/>
        <w:t>a managed investment product that is not also a warrant.</w:t>
      </w:r>
    </w:p>
    <w:p w14:paraId="3BC82DA0" w14:textId="77777777" w:rsidR="00E93F58" w:rsidRPr="00D97EFB" w:rsidRDefault="00E93F58" w:rsidP="006C736A">
      <w:pPr>
        <w:pStyle w:val="ActHead5"/>
      </w:pPr>
      <w:bookmarkStart w:id="2466" w:name="_Toc151994512"/>
      <w:bookmarkStart w:id="2467" w:name="_Toc158713022"/>
      <w:r w:rsidRPr="000D40D5">
        <w:rPr>
          <w:rStyle w:val="CharSectno"/>
        </w:rPr>
        <w:t>10.2.52</w:t>
      </w:r>
      <w:r w:rsidRPr="00D97EFB">
        <w:t xml:space="preserve">  Offers that do not need disclosure: small scale offerings</w:t>
      </w:r>
      <w:bookmarkEnd w:id="2466"/>
      <w:bookmarkEnd w:id="2467"/>
    </w:p>
    <w:p w14:paraId="098B1823" w14:textId="77777777" w:rsidR="00E93F58" w:rsidRPr="00D97EFB" w:rsidRDefault="00E93F58" w:rsidP="007804D8">
      <w:pPr>
        <w:pStyle w:val="subsection"/>
      </w:pPr>
      <w:r w:rsidRPr="00D97EFB">
        <w:tab/>
        <w:t>(1)</w:t>
      </w:r>
      <w:r w:rsidRPr="00D97EFB">
        <w:tab/>
        <w:t>For section 1444 of the Act, this regulation applies in relation to managed investment products:</w:t>
      </w:r>
    </w:p>
    <w:p w14:paraId="3829B55B" w14:textId="77777777" w:rsidR="00E93F58" w:rsidRPr="00D97EFB" w:rsidRDefault="00E93F58" w:rsidP="007804D8">
      <w:pPr>
        <w:pStyle w:val="paragraph"/>
      </w:pPr>
      <w:r w:rsidRPr="00D97EFB">
        <w:rPr>
          <w:color w:val="000000"/>
        </w:rPr>
        <w:tab/>
        <w:t>(a)</w:t>
      </w:r>
      <w:r w:rsidRPr="00D97EFB">
        <w:rPr>
          <w:color w:val="000000"/>
        </w:rPr>
        <w:tab/>
        <w:t>issued or sold before the end of the transition period in relation to the managed investment products; and</w:t>
      </w:r>
    </w:p>
    <w:p w14:paraId="331F3834" w14:textId="77777777" w:rsidR="00E93F58" w:rsidRPr="00D97EFB" w:rsidRDefault="00E93F58" w:rsidP="007804D8">
      <w:pPr>
        <w:pStyle w:val="paragraph"/>
      </w:pPr>
      <w:r w:rsidRPr="00D97EFB">
        <w:tab/>
        <w:t>(b)</w:t>
      </w:r>
      <w:r w:rsidRPr="00D97EFB">
        <w:tab/>
        <w:t>for which:</w:t>
      </w:r>
    </w:p>
    <w:p w14:paraId="4FBBFC0E" w14:textId="77777777" w:rsidR="00E93F58" w:rsidRPr="00D97EFB" w:rsidRDefault="00E93F58" w:rsidP="007804D8">
      <w:pPr>
        <w:pStyle w:val="paragraphsub"/>
        <w:rPr>
          <w:color w:val="000000"/>
        </w:rPr>
      </w:pPr>
      <w:r w:rsidRPr="00D97EFB">
        <w:rPr>
          <w:color w:val="000000"/>
        </w:rPr>
        <w:tab/>
        <w:t>(i)</w:t>
      </w:r>
      <w:r w:rsidRPr="00D97EFB">
        <w:rPr>
          <w:color w:val="000000"/>
        </w:rPr>
        <w:tab/>
        <w:t>a disclosure document under Chapter 6D of the old Corporations Act was not required because of the operation of section 708 of the old Corporations Act (other than subsection 708(1)); or</w:t>
      </w:r>
    </w:p>
    <w:p w14:paraId="79C184C4" w14:textId="77777777" w:rsidR="00E93F58" w:rsidRPr="00D97EFB" w:rsidRDefault="00E93F58" w:rsidP="007804D8">
      <w:pPr>
        <w:pStyle w:val="paragraphsub"/>
      </w:pPr>
      <w:r w:rsidRPr="00D97EFB">
        <w:tab/>
        <w:t>(ii)</w:t>
      </w:r>
      <w:r w:rsidRPr="00D97EFB">
        <w:tab/>
        <w:t>a disclosure document was lodged with ASIC under Chapter 6D of the old Corporations Act.</w:t>
      </w:r>
    </w:p>
    <w:p w14:paraId="100F51AF" w14:textId="77777777" w:rsidR="00E93F58" w:rsidRPr="00D97EFB" w:rsidRDefault="00E93F58" w:rsidP="007804D8">
      <w:pPr>
        <w:pStyle w:val="subsection"/>
      </w:pPr>
      <w:r w:rsidRPr="00D97EFB">
        <w:tab/>
        <w:t>(2)</w:t>
      </w:r>
      <w:r w:rsidRPr="00D97EFB">
        <w:tab/>
        <w:t>A reference in subsection 1012E(8) of the Act to issues and sales that should be disregarded includes issues or sales of the managed investment products.</w:t>
      </w:r>
    </w:p>
    <w:p w14:paraId="36BD716E" w14:textId="77777777" w:rsidR="00E93F58" w:rsidRPr="00D97EFB" w:rsidRDefault="00E93F58" w:rsidP="006C736A">
      <w:pPr>
        <w:pStyle w:val="ActHead5"/>
      </w:pPr>
      <w:bookmarkStart w:id="2468" w:name="_Toc151994513"/>
      <w:bookmarkStart w:id="2469" w:name="_Toc158713023"/>
      <w:r w:rsidRPr="000D40D5">
        <w:rPr>
          <w:rStyle w:val="CharSectno"/>
        </w:rPr>
        <w:t>10.2.52A</w:t>
      </w:r>
      <w:r w:rsidRPr="00D97EFB">
        <w:t xml:space="preserve">  Offers that do not need disclosure</w:t>
      </w:r>
      <w:bookmarkEnd w:id="2468"/>
      <w:bookmarkEnd w:id="2469"/>
    </w:p>
    <w:p w14:paraId="1CB54E0C" w14:textId="77777777" w:rsidR="00E93F58" w:rsidRPr="00D97EFB" w:rsidRDefault="00E93F58" w:rsidP="007804D8">
      <w:pPr>
        <w:pStyle w:val="subsection"/>
      </w:pPr>
      <w:r w:rsidRPr="00D97EFB">
        <w:tab/>
        <w:t>(1)</w:t>
      </w:r>
      <w:r w:rsidRPr="00D97EFB">
        <w:tab/>
        <w:t>For section 1444 of the Act, this regulation applies in relation to an offer of a financial product if:</w:t>
      </w:r>
    </w:p>
    <w:p w14:paraId="727FE7F7" w14:textId="77777777" w:rsidR="00E93F58" w:rsidRPr="00D97EFB" w:rsidRDefault="00E93F58" w:rsidP="007804D8">
      <w:pPr>
        <w:pStyle w:val="paragraph"/>
      </w:pPr>
      <w:r w:rsidRPr="00D97EFB">
        <w:tab/>
        <w:t>(a)</w:t>
      </w:r>
      <w:r w:rsidRPr="00D97EFB">
        <w:tab/>
        <w:t>the financial product is described in subsection 1012E(1) of the Act; and</w:t>
      </w:r>
    </w:p>
    <w:p w14:paraId="2FF2E51E" w14:textId="77777777" w:rsidR="00E93F58" w:rsidRPr="00D97EFB" w:rsidRDefault="00E93F58" w:rsidP="007804D8">
      <w:pPr>
        <w:pStyle w:val="paragraph"/>
      </w:pPr>
      <w:r w:rsidRPr="00D97EFB">
        <w:tab/>
        <w:t>(b)</w:t>
      </w:r>
      <w:r w:rsidRPr="00D97EFB">
        <w:tab/>
        <w:t>the financial product was offered before Division 2 of Part 7.9 of the Act applied to the product; and</w:t>
      </w:r>
    </w:p>
    <w:p w14:paraId="144C8971" w14:textId="77777777" w:rsidR="00E93F58" w:rsidRPr="00D97EFB" w:rsidRDefault="00E93F58" w:rsidP="007804D8">
      <w:pPr>
        <w:pStyle w:val="paragraph"/>
      </w:pPr>
      <w:r w:rsidRPr="00D97EFB">
        <w:tab/>
        <w:t>(c)</w:t>
      </w:r>
      <w:r w:rsidRPr="00D97EFB">
        <w:tab/>
        <w:t>a disclosure document was not required under Chapter 6D of the old Corporations Act, in the course of the offer of the financial product; and</w:t>
      </w:r>
    </w:p>
    <w:p w14:paraId="574169D9" w14:textId="77777777" w:rsidR="00E93F58" w:rsidRPr="00D97EFB" w:rsidRDefault="00E93F58" w:rsidP="007804D8">
      <w:pPr>
        <w:pStyle w:val="paragraph"/>
      </w:pPr>
      <w:r w:rsidRPr="00D97EFB">
        <w:tab/>
        <w:t>(d)</w:t>
      </w:r>
      <w:r w:rsidRPr="00D97EFB">
        <w:tab/>
        <w:t>the disclosure document was not required in accordance with a provision of section 708 of the old Corporations Act (other than subsection 708(1)).</w:t>
      </w:r>
    </w:p>
    <w:p w14:paraId="038693B6" w14:textId="77777777" w:rsidR="00E93F58" w:rsidRPr="00D97EFB" w:rsidRDefault="00E93F58" w:rsidP="007804D8">
      <w:pPr>
        <w:pStyle w:val="subsection"/>
      </w:pPr>
      <w:r w:rsidRPr="00D97EFB">
        <w:tab/>
        <w:t>(2)</w:t>
      </w:r>
      <w:r w:rsidRPr="00D97EFB">
        <w:tab/>
        <w:t>The offer is taken to comply with the condition set out in paragraph 1012E(9)(c) of the Act.</w:t>
      </w:r>
    </w:p>
    <w:p w14:paraId="5CDD537B" w14:textId="77777777" w:rsidR="00E93F58" w:rsidRPr="00D97EFB" w:rsidRDefault="00E93F58" w:rsidP="006C736A">
      <w:pPr>
        <w:pStyle w:val="ActHead5"/>
      </w:pPr>
      <w:bookmarkStart w:id="2470" w:name="_Toc151994514"/>
      <w:bookmarkStart w:id="2471" w:name="_Toc158713024"/>
      <w:r w:rsidRPr="000D40D5">
        <w:rPr>
          <w:rStyle w:val="CharSectno"/>
        </w:rPr>
        <w:t>10.2.53</w:t>
      </w:r>
      <w:r w:rsidRPr="00D97EFB">
        <w:t xml:space="preserve">  Money other than loans: financial services licensee who formerly held dealer’s licence</w:t>
      </w:r>
      <w:bookmarkEnd w:id="2470"/>
      <w:bookmarkEnd w:id="2471"/>
    </w:p>
    <w:p w14:paraId="31D86F86" w14:textId="77777777" w:rsidR="00E93F58" w:rsidRPr="00D97EFB" w:rsidRDefault="00E93F58" w:rsidP="007804D8">
      <w:pPr>
        <w:pStyle w:val="subsection"/>
      </w:pPr>
      <w:r w:rsidRPr="00D97EFB">
        <w:tab/>
        <w:t>(1)</w:t>
      </w:r>
      <w:r w:rsidRPr="00D97EFB">
        <w:tab/>
        <w:t>For section 1444 of the Act, this regulation applies in relation to a financial services licensee who is a regulated principal mentioned in item 1 of the table in section 1430 of the Act, and whose financial services licence covers regulated activities for a regulated principal of that kind in relation to money:</w:t>
      </w:r>
    </w:p>
    <w:p w14:paraId="573B395A" w14:textId="77777777" w:rsidR="00E93F58" w:rsidRPr="00D97EFB" w:rsidRDefault="00E93F58" w:rsidP="007804D8">
      <w:pPr>
        <w:pStyle w:val="paragraph"/>
        <w:rPr>
          <w:color w:val="000000"/>
        </w:rPr>
      </w:pPr>
      <w:r w:rsidRPr="00D97EFB">
        <w:rPr>
          <w:color w:val="000000"/>
        </w:rPr>
        <w:tab/>
        <w:t>(a)</w:t>
      </w:r>
      <w:r w:rsidRPr="00D97EFB">
        <w:rPr>
          <w:color w:val="000000"/>
        </w:rPr>
        <w:tab/>
        <w:t>received by the person before the end of the transition period in relation to the person in the capacity of a regulated principal of that kind; and</w:t>
      </w:r>
    </w:p>
    <w:p w14:paraId="16140B16" w14:textId="77777777" w:rsidR="00E93F58" w:rsidRPr="00D97EFB" w:rsidRDefault="00E93F58" w:rsidP="007804D8">
      <w:pPr>
        <w:pStyle w:val="paragraph"/>
      </w:pPr>
      <w:r w:rsidRPr="00D97EFB">
        <w:tab/>
        <w:t>(b)</w:t>
      </w:r>
      <w:r w:rsidRPr="00D97EFB">
        <w:tab/>
        <w:t>to which subsection 867(1) of the old Corporations Act applied.</w:t>
      </w:r>
    </w:p>
    <w:p w14:paraId="19FA1938" w14:textId="77777777" w:rsidR="00E93F58" w:rsidRPr="00D97EFB" w:rsidRDefault="00E93F58" w:rsidP="007804D8">
      <w:pPr>
        <w:pStyle w:val="subsection"/>
      </w:pPr>
      <w:r w:rsidRPr="00D97EFB">
        <w:tab/>
        <w:t>(2)</w:t>
      </w:r>
      <w:r w:rsidRPr="00D97EFB">
        <w:tab/>
        <w:t>Sections 866 to 871 of the old Corporations Act, and any associated provisions, continue to apply to the regulated principal, after the end of the transition period in relation to:</w:t>
      </w:r>
    </w:p>
    <w:p w14:paraId="2AA64519" w14:textId="77777777" w:rsidR="00E93F58" w:rsidRPr="00D97EFB" w:rsidRDefault="00E93F58" w:rsidP="007804D8">
      <w:pPr>
        <w:pStyle w:val="paragraph"/>
      </w:pPr>
      <w:r w:rsidRPr="00D97EFB">
        <w:rPr>
          <w:color w:val="000000"/>
        </w:rPr>
        <w:tab/>
        <w:t>(a)</w:t>
      </w:r>
      <w:r w:rsidRPr="00D97EFB">
        <w:rPr>
          <w:color w:val="000000"/>
        </w:rPr>
        <w:tab/>
        <w:t>the person in the capacity of a regulated principal of that kind; and</w:t>
      </w:r>
    </w:p>
    <w:p w14:paraId="47B59C0F" w14:textId="77777777" w:rsidR="00E93F58" w:rsidRPr="00D97EFB" w:rsidRDefault="00E93F58" w:rsidP="007804D8">
      <w:pPr>
        <w:pStyle w:val="paragraph"/>
      </w:pPr>
      <w:r w:rsidRPr="00D97EFB">
        <w:tab/>
        <w:t>(b)</w:t>
      </w:r>
      <w:r w:rsidRPr="00D97EFB">
        <w:tab/>
        <w:t>the money;</w:t>
      </w:r>
    </w:p>
    <w:p w14:paraId="1D30CC55" w14:textId="77777777" w:rsidR="00E93F58" w:rsidRPr="00D97EFB" w:rsidRDefault="00E93F58" w:rsidP="007804D8">
      <w:pPr>
        <w:pStyle w:val="subsection2"/>
        <w:rPr>
          <w:color w:val="000000"/>
        </w:rPr>
      </w:pPr>
      <w:r w:rsidRPr="00D97EFB">
        <w:rPr>
          <w:color w:val="000000"/>
        </w:rPr>
        <w:t>as if the regulated principal were a licensee within the meaning of Part 7.6 of the old Corporations Act.</w:t>
      </w:r>
    </w:p>
    <w:p w14:paraId="741BAD65" w14:textId="77777777" w:rsidR="00E93F58" w:rsidRPr="00D97EFB" w:rsidRDefault="00E93F58" w:rsidP="007804D8">
      <w:pPr>
        <w:pStyle w:val="subsection"/>
      </w:pPr>
      <w:r w:rsidRPr="00D97EFB">
        <w:tab/>
        <w:t>(3)</w:t>
      </w:r>
      <w:r w:rsidRPr="00D97EFB">
        <w:tab/>
        <w:t>Subdivision A of Division 2 of Part 7.8 of the Act, and any associated provisions, apply in relation to the regulated principal as if the money were money to which that Subdivision applied.</w:t>
      </w:r>
    </w:p>
    <w:p w14:paraId="64D7F7B2" w14:textId="77777777" w:rsidR="00E93F58" w:rsidRPr="00D97EFB" w:rsidRDefault="00E93F58" w:rsidP="007804D8">
      <w:pPr>
        <w:pStyle w:val="subsection"/>
      </w:pPr>
      <w:r w:rsidRPr="00D97EFB">
        <w:lastRenderedPageBreak/>
        <w:tab/>
        <w:t>(4)</w:t>
      </w:r>
      <w:r w:rsidRPr="00D97EFB">
        <w:tab/>
        <w:t>A regulated principal must choose whether to deal with the money in accordance with the arrangements mentioned in subregulation (2) or the arrangements mentioned in subregulation (3).</w:t>
      </w:r>
    </w:p>
    <w:p w14:paraId="4C46592E" w14:textId="77777777" w:rsidR="00E93F58" w:rsidRPr="00D97EFB" w:rsidRDefault="00E93F58" w:rsidP="007804D8">
      <w:pPr>
        <w:pStyle w:val="subsection"/>
      </w:pPr>
      <w:r w:rsidRPr="00D97EFB">
        <w:tab/>
        <w:t>(5)</w:t>
      </w:r>
      <w:r w:rsidRPr="00D97EFB">
        <w:tab/>
        <w:t>For this regulation, compliance with the arrangements chosen by a regulated principal is also taken to be compliance with the arrangements that the regulated principal did not choose.</w:t>
      </w:r>
    </w:p>
    <w:p w14:paraId="41D81AAB" w14:textId="77777777" w:rsidR="00E93F58" w:rsidRPr="00D97EFB" w:rsidRDefault="00E93F58" w:rsidP="006C736A">
      <w:pPr>
        <w:pStyle w:val="ActHead5"/>
      </w:pPr>
      <w:bookmarkStart w:id="2472" w:name="_Toc151994515"/>
      <w:bookmarkStart w:id="2473" w:name="_Toc158713025"/>
      <w:r w:rsidRPr="000D40D5">
        <w:rPr>
          <w:rStyle w:val="CharSectno"/>
        </w:rPr>
        <w:t>10.2.54</w:t>
      </w:r>
      <w:r w:rsidRPr="00D97EFB">
        <w:t xml:space="preserve">  Money other than loans: financial services licensee who formerly held futures broker’s licence</w:t>
      </w:r>
      <w:bookmarkEnd w:id="2472"/>
      <w:bookmarkEnd w:id="2473"/>
    </w:p>
    <w:p w14:paraId="1A83ED9C" w14:textId="77777777" w:rsidR="00E93F58" w:rsidRPr="00D97EFB" w:rsidRDefault="00E93F58" w:rsidP="007804D8">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3 of the table in section 1430 of the Act, and whose financial services licence covers regulated activities for a regulated principal of that kind, in relation to:</w:t>
      </w:r>
    </w:p>
    <w:p w14:paraId="523F4B31" w14:textId="77777777" w:rsidR="00E93F58" w:rsidRPr="00D97EFB" w:rsidRDefault="00E93F58" w:rsidP="007804D8">
      <w:pPr>
        <w:pStyle w:val="paragraph"/>
      </w:pPr>
      <w:r w:rsidRPr="00D97EFB">
        <w:rPr>
          <w:color w:val="000000"/>
        </w:rPr>
        <w:tab/>
        <w:t>(a)</w:t>
      </w:r>
      <w:r w:rsidRPr="00D97EFB">
        <w:rPr>
          <w:color w:val="000000"/>
        </w:rPr>
        <w:tab/>
        <w:t>money received by the person before the end of the transition period in relation to the person in the capacity of a regulated principal of that kind and to which section 1209 of the old Corporations Act applied; and</w:t>
      </w:r>
    </w:p>
    <w:p w14:paraId="6134889D" w14:textId="77777777" w:rsidR="00E93F58" w:rsidRPr="00D97EFB" w:rsidRDefault="00E93F58" w:rsidP="007804D8">
      <w:pPr>
        <w:pStyle w:val="paragraph"/>
      </w:pPr>
      <w:r w:rsidRPr="00D97EFB">
        <w:tab/>
        <w:t>(b)</w:t>
      </w:r>
      <w:r w:rsidRPr="00D97EFB">
        <w:tab/>
        <w:t>money received by the person after the end of the transition period in relation to the person in the capacity of a regulated principal of that kind as a result of:</w:t>
      </w:r>
    </w:p>
    <w:p w14:paraId="3769EBDE" w14:textId="77777777" w:rsidR="00E93F58" w:rsidRPr="00D97EFB" w:rsidRDefault="00E93F58" w:rsidP="007804D8">
      <w:pPr>
        <w:pStyle w:val="paragraphsub"/>
        <w:rPr>
          <w:color w:val="000000"/>
        </w:rPr>
      </w:pPr>
      <w:r w:rsidRPr="00D97EFB">
        <w:rPr>
          <w:color w:val="000000"/>
        </w:rPr>
        <w:tab/>
        <w:t>(i)</w:t>
      </w:r>
      <w:r w:rsidRPr="00D97EFB">
        <w:rPr>
          <w:color w:val="000000"/>
        </w:rPr>
        <w:tab/>
        <w:t>the payment of interest, dividends or other income from the investment of money mentioned in paragraph (1)(a); or</w:t>
      </w:r>
    </w:p>
    <w:p w14:paraId="758A6EA6" w14:textId="77777777" w:rsidR="00E93F58" w:rsidRPr="00D97EFB" w:rsidRDefault="00E93F58" w:rsidP="007804D8">
      <w:pPr>
        <w:pStyle w:val="paragraphsub"/>
      </w:pPr>
      <w:r w:rsidRPr="00D97EFB">
        <w:tab/>
        <w:t>(ii)</w:t>
      </w:r>
      <w:r w:rsidRPr="00D97EFB">
        <w:tab/>
        <w:t>the realisation of an investment of money mentioned in paragraph (1)(a); and</w:t>
      </w:r>
    </w:p>
    <w:p w14:paraId="5AC3CFB0" w14:textId="77777777" w:rsidR="00E93F58" w:rsidRPr="00D97EFB" w:rsidRDefault="00E93F58" w:rsidP="007804D8">
      <w:pPr>
        <w:pStyle w:val="paragraph"/>
        <w:rPr>
          <w:color w:val="000000"/>
        </w:rPr>
      </w:pPr>
      <w:r w:rsidRPr="00D97EFB">
        <w:rPr>
          <w:color w:val="000000"/>
        </w:rPr>
        <w:tab/>
        <w:t>(c)</w:t>
      </w:r>
      <w:r w:rsidRPr="00D97EFB">
        <w:rPr>
          <w:color w:val="000000"/>
        </w:rPr>
        <w:tab/>
        <w:t>money received by the person under subsection 1209(5A) of the old Corporations Act after the end of the transition period in relation to the person in the capacity of a regulated principal of that kind.</w:t>
      </w:r>
    </w:p>
    <w:p w14:paraId="250376AB" w14:textId="77777777" w:rsidR="00E93F58" w:rsidRPr="00D97EFB" w:rsidRDefault="00E93F58" w:rsidP="007804D8">
      <w:pPr>
        <w:pStyle w:val="subsection"/>
      </w:pPr>
      <w:r w:rsidRPr="00D97EFB">
        <w:tab/>
        <w:t>(2)</w:t>
      </w:r>
      <w:r w:rsidRPr="00D97EFB">
        <w:tab/>
        <w:t>Section 1209 of the old Corporations Act, and any associated provisions, continue to apply in relation to the regulated principal after the end of the transition period in relation to:</w:t>
      </w:r>
    </w:p>
    <w:p w14:paraId="10EC4EE6" w14:textId="77777777" w:rsidR="00E93F58" w:rsidRPr="00D97EFB" w:rsidRDefault="00E93F58" w:rsidP="007804D8">
      <w:pPr>
        <w:pStyle w:val="paragraph"/>
      </w:pPr>
      <w:r w:rsidRPr="00D97EFB">
        <w:rPr>
          <w:color w:val="000000"/>
        </w:rPr>
        <w:tab/>
        <w:t>(a)</w:t>
      </w:r>
      <w:r w:rsidRPr="00D97EFB">
        <w:rPr>
          <w:color w:val="000000"/>
        </w:rPr>
        <w:tab/>
        <w:t>the person in the capacity of a regulated principal of that kind; and</w:t>
      </w:r>
    </w:p>
    <w:p w14:paraId="549B79B0" w14:textId="77777777" w:rsidR="00E93F58" w:rsidRPr="00D97EFB" w:rsidRDefault="00E93F58" w:rsidP="007804D8">
      <w:pPr>
        <w:pStyle w:val="paragraph"/>
      </w:pPr>
      <w:r w:rsidRPr="00D97EFB">
        <w:tab/>
        <w:t>(b)</w:t>
      </w:r>
      <w:r w:rsidRPr="00D97EFB">
        <w:tab/>
        <w:t>the money;</w:t>
      </w:r>
    </w:p>
    <w:p w14:paraId="6B982E40" w14:textId="77777777" w:rsidR="00E93F58" w:rsidRPr="00D97EFB" w:rsidRDefault="00E93F58" w:rsidP="007804D8">
      <w:pPr>
        <w:pStyle w:val="subsection2"/>
        <w:rPr>
          <w:color w:val="000000"/>
        </w:rPr>
      </w:pPr>
      <w:r w:rsidRPr="00D97EFB">
        <w:rPr>
          <w:color w:val="000000"/>
        </w:rPr>
        <w:t>as if the regulated principal were a futures broker within the meaning of the old Corporations Act.</w:t>
      </w:r>
    </w:p>
    <w:p w14:paraId="48333ADF" w14:textId="77777777" w:rsidR="00E93F58" w:rsidRPr="00D97EFB" w:rsidRDefault="00E93F58" w:rsidP="007804D8">
      <w:pPr>
        <w:pStyle w:val="subsection"/>
      </w:pPr>
      <w:r w:rsidRPr="00D97EFB">
        <w:tab/>
        <w:t>(3)</w:t>
      </w:r>
      <w:r w:rsidRPr="00D97EFB">
        <w:tab/>
        <w:t>Subdivision A of Division 2 of Part 7.8 of the Act, and any associated provisions, apply in relation to the regulated principal as if the money were money to which that Subdivision applied.</w:t>
      </w:r>
    </w:p>
    <w:p w14:paraId="70664CF5" w14:textId="77777777" w:rsidR="00E93F58" w:rsidRPr="00D97EFB" w:rsidRDefault="00E93F58" w:rsidP="007804D8">
      <w:pPr>
        <w:pStyle w:val="subsection"/>
      </w:pPr>
      <w:r w:rsidRPr="00D97EFB">
        <w:tab/>
        <w:t>(4)</w:t>
      </w:r>
      <w:r w:rsidRPr="00D97EFB">
        <w:tab/>
        <w:t>A regulated principal must choose whether to deal with the money in accordance with the arrangements mentioned in subregulation (2) or the arrangements mentioned in subregulation (3).</w:t>
      </w:r>
    </w:p>
    <w:p w14:paraId="1FA34BF1" w14:textId="77777777" w:rsidR="00E93F58" w:rsidRPr="00D97EFB" w:rsidRDefault="00E93F58" w:rsidP="007804D8">
      <w:pPr>
        <w:pStyle w:val="subsection"/>
      </w:pPr>
      <w:r w:rsidRPr="00D97EFB">
        <w:tab/>
        <w:t>(5)</w:t>
      </w:r>
      <w:r w:rsidRPr="00D97EFB">
        <w:tab/>
        <w:t>For this regulation, compliance with the arrangements chosen by a regulated principal is also taken to be compliance with the arrangements that the regulated principal did not choose.</w:t>
      </w:r>
    </w:p>
    <w:p w14:paraId="56A5169F" w14:textId="77777777" w:rsidR="00E93F58" w:rsidRPr="00D97EFB" w:rsidRDefault="00E93F58" w:rsidP="006C736A">
      <w:pPr>
        <w:pStyle w:val="ActHead5"/>
      </w:pPr>
      <w:bookmarkStart w:id="2474" w:name="_Toc151994516"/>
      <w:bookmarkStart w:id="2475" w:name="_Toc158713026"/>
      <w:r w:rsidRPr="000D40D5">
        <w:rPr>
          <w:rStyle w:val="CharSectno"/>
        </w:rPr>
        <w:t>10.2.55</w:t>
      </w:r>
      <w:r w:rsidRPr="00D97EFB">
        <w:t xml:space="preserve">  Money other than loans: financial services licensee who was formerly a registered insurance broker</w:t>
      </w:r>
      <w:bookmarkEnd w:id="2474"/>
      <w:bookmarkEnd w:id="2475"/>
    </w:p>
    <w:p w14:paraId="1661A2D6" w14:textId="77777777" w:rsidR="00E93F58" w:rsidRPr="00D97EFB" w:rsidRDefault="00E93F58" w:rsidP="007804D8">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5 of the table in section 1430 of the Act, and whose financial services licence covers regulated activities for a regulated principal of that kind, in relation to:</w:t>
      </w:r>
    </w:p>
    <w:p w14:paraId="3AB0B3C0" w14:textId="77777777" w:rsidR="00E93F58" w:rsidRPr="00D97EFB" w:rsidRDefault="00E93F58" w:rsidP="007804D8">
      <w:pPr>
        <w:pStyle w:val="paragraph"/>
      </w:pPr>
      <w:r w:rsidRPr="00D97EFB">
        <w:tab/>
        <w:t>(a)</w:t>
      </w:r>
      <w:r w:rsidRPr="00D97EFB">
        <w:tab/>
        <w:t>money:</w:t>
      </w:r>
    </w:p>
    <w:p w14:paraId="27EC9595" w14:textId="77777777" w:rsidR="00E93F58" w:rsidRPr="00D97EFB" w:rsidRDefault="00E93F58" w:rsidP="007804D8">
      <w:pPr>
        <w:pStyle w:val="paragraphsub"/>
      </w:pPr>
      <w:r w:rsidRPr="00D97EFB">
        <w:rPr>
          <w:color w:val="000000"/>
        </w:rPr>
        <w:tab/>
        <w:t>(i)</w:t>
      </w:r>
      <w:r w:rsidRPr="00D97EFB">
        <w:rPr>
          <w:color w:val="000000"/>
        </w:rPr>
        <w:tab/>
        <w:t>received by the person before the end of the transition period in relation to the person in their capacity as a regulated principal of that kind; and</w:t>
      </w:r>
    </w:p>
    <w:p w14:paraId="3A333DE3" w14:textId="77777777" w:rsidR="00E93F58" w:rsidRPr="00D97EFB" w:rsidRDefault="00E93F58" w:rsidP="007804D8">
      <w:pPr>
        <w:pStyle w:val="paragraphsub"/>
      </w:pPr>
      <w:r w:rsidRPr="00D97EFB">
        <w:tab/>
        <w:t>(ii)</w:t>
      </w:r>
      <w:r w:rsidRPr="00D97EFB">
        <w:tab/>
        <w:t xml:space="preserve">to which section 26 of the </w:t>
      </w:r>
      <w:r w:rsidRPr="00D97EFB">
        <w:rPr>
          <w:i/>
        </w:rPr>
        <w:t>Insurance (Agents and Brokers) Act 1984</w:t>
      </w:r>
      <w:r w:rsidRPr="00D97EFB">
        <w:t xml:space="preserve"> applied; and</w:t>
      </w:r>
    </w:p>
    <w:p w14:paraId="5AD9EF40" w14:textId="77777777" w:rsidR="00E93F58" w:rsidRPr="00D97EFB" w:rsidRDefault="00E93F58" w:rsidP="007804D8">
      <w:pPr>
        <w:pStyle w:val="paragraph"/>
        <w:rPr>
          <w:color w:val="000000"/>
        </w:rPr>
      </w:pPr>
      <w:r w:rsidRPr="00D97EFB">
        <w:rPr>
          <w:color w:val="000000"/>
        </w:rPr>
        <w:tab/>
        <w:t>(b)</w:t>
      </w:r>
      <w:r w:rsidRPr="00D97EFB">
        <w:rPr>
          <w:color w:val="000000"/>
        </w:rPr>
        <w:tab/>
        <w:t>money received by the person after the end of the transition period in relation to the person in the capacity of a regulated principal of that kind as a result of:</w:t>
      </w:r>
    </w:p>
    <w:p w14:paraId="75BC5685" w14:textId="77777777" w:rsidR="00E93F58" w:rsidRPr="00D97EFB" w:rsidRDefault="00E93F58" w:rsidP="007804D8">
      <w:pPr>
        <w:pStyle w:val="paragraphsub"/>
        <w:rPr>
          <w:color w:val="000000"/>
        </w:rPr>
      </w:pPr>
      <w:r w:rsidRPr="00D97EFB">
        <w:rPr>
          <w:color w:val="000000"/>
        </w:rPr>
        <w:tab/>
        <w:t>(i)</w:t>
      </w:r>
      <w:r w:rsidRPr="00D97EFB">
        <w:rPr>
          <w:color w:val="000000"/>
        </w:rPr>
        <w:tab/>
        <w:t>the payment of interest, dividends or other income from the investment of money mentioned in paragraph (1)(a); or</w:t>
      </w:r>
    </w:p>
    <w:p w14:paraId="55501836" w14:textId="77777777" w:rsidR="00E93F58" w:rsidRPr="00D97EFB" w:rsidRDefault="00E93F58" w:rsidP="007804D8">
      <w:pPr>
        <w:pStyle w:val="paragraphsub"/>
      </w:pPr>
      <w:r w:rsidRPr="00D97EFB">
        <w:tab/>
        <w:t>(ii)</w:t>
      </w:r>
      <w:r w:rsidRPr="00D97EFB">
        <w:tab/>
        <w:t>the realisation of an investment of money mentioned in paragraph (1)(a).</w:t>
      </w:r>
    </w:p>
    <w:p w14:paraId="7CBDBF08" w14:textId="77777777" w:rsidR="00E93F58" w:rsidRPr="00D97EFB" w:rsidRDefault="00E93F58" w:rsidP="00BB7E31">
      <w:pPr>
        <w:pStyle w:val="subsection"/>
      </w:pPr>
      <w:r w:rsidRPr="00D97EFB">
        <w:tab/>
        <w:t>(2)</w:t>
      </w:r>
      <w:r w:rsidRPr="00D97EFB">
        <w:tab/>
        <w:t xml:space="preserve">Section 26 of the </w:t>
      </w:r>
      <w:r w:rsidRPr="00D97EFB">
        <w:rPr>
          <w:i/>
        </w:rPr>
        <w:t>Insurance (Agents and Brokers) Act 1984</w:t>
      </w:r>
      <w:r w:rsidRPr="00D97EFB">
        <w:t>, and any associated provisions, continues to apply in relation to the regulated principal after the end of the transition period in relation to:</w:t>
      </w:r>
    </w:p>
    <w:p w14:paraId="165699EF"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135C1B67" w14:textId="77777777" w:rsidR="00E93F58" w:rsidRPr="00D97EFB" w:rsidRDefault="00E93F58" w:rsidP="00BB7E31">
      <w:pPr>
        <w:pStyle w:val="paragraph"/>
      </w:pPr>
      <w:r w:rsidRPr="00D97EFB">
        <w:tab/>
        <w:t>(b)</w:t>
      </w:r>
      <w:r w:rsidRPr="00D97EFB">
        <w:tab/>
        <w:t>the money;</w:t>
      </w:r>
    </w:p>
    <w:p w14:paraId="4F93ED06" w14:textId="77777777" w:rsidR="00E93F58" w:rsidRPr="00D97EFB" w:rsidRDefault="00E93F58" w:rsidP="00BB7E31">
      <w:pPr>
        <w:pStyle w:val="subsection2"/>
        <w:rPr>
          <w:color w:val="000000"/>
        </w:rPr>
      </w:pPr>
      <w:r w:rsidRPr="00D97EFB">
        <w:rPr>
          <w:color w:val="000000"/>
        </w:rPr>
        <w:t xml:space="preserve">as if the regulated principal were a registered insurance broker within the meaning of the </w:t>
      </w:r>
      <w:r w:rsidRPr="00D97EFB">
        <w:rPr>
          <w:i/>
          <w:color w:val="000000"/>
        </w:rPr>
        <w:t>Insurance (Agents and Brokers) Act 1984</w:t>
      </w:r>
      <w:r w:rsidRPr="00D97EFB">
        <w:rPr>
          <w:color w:val="000000"/>
        </w:rPr>
        <w:t>.</w:t>
      </w:r>
    </w:p>
    <w:p w14:paraId="78F8D844" w14:textId="77777777" w:rsidR="00E93F58" w:rsidRPr="00D97EFB" w:rsidRDefault="00E93F58" w:rsidP="00BB7E31">
      <w:pPr>
        <w:pStyle w:val="subsection"/>
      </w:pPr>
      <w:r w:rsidRPr="00D97EFB">
        <w:lastRenderedPageBreak/>
        <w:tab/>
        <w:t>(3)</w:t>
      </w:r>
      <w:r w:rsidRPr="00D97EFB">
        <w:tab/>
        <w:t>Subdivision A of Division 2 of Part 7.8 of the Act, and any associated provisions, apply in relation to the regulated principal as if the money were money to which that Subdivision applied.</w:t>
      </w:r>
    </w:p>
    <w:p w14:paraId="7D8DA7C7" w14:textId="77777777" w:rsidR="00E93F58" w:rsidRPr="00D97EFB" w:rsidRDefault="00E93F58" w:rsidP="00BB7E31">
      <w:pPr>
        <w:pStyle w:val="subsection"/>
      </w:pPr>
      <w:r w:rsidRPr="00D97EFB">
        <w:tab/>
        <w:t>(4)</w:t>
      </w:r>
      <w:r w:rsidRPr="00D97EFB">
        <w:tab/>
        <w:t>A regulated principal must choose whether to deal with the money in accordance with the arrangements mentioned in subregulation (2) or the arrangements mentioned in subregulation (3).</w:t>
      </w:r>
    </w:p>
    <w:p w14:paraId="3E6A7FE5" w14:textId="77777777" w:rsidR="00E93F58" w:rsidRPr="00D97EFB" w:rsidRDefault="00E93F58" w:rsidP="00BB7E31">
      <w:pPr>
        <w:pStyle w:val="subsection"/>
      </w:pPr>
      <w:r w:rsidRPr="00D97EFB">
        <w:tab/>
        <w:t>(5)</w:t>
      </w:r>
      <w:r w:rsidRPr="00D97EFB">
        <w:tab/>
        <w:t>For this regulation, compliance with the arrangements chosen by a regulated principal is also taken to be compliance with the arrangements that the regulated principal did not choose.</w:t>
      </w:r>
    </w:p>
    <w:p w14:paraId="16B93EBF" w14:textId="77777777" w:rsidR="00E93F58" w:rsidRPr="00D97EFB" w:rsidRDefault="00E93F58" w:rsidP="00032256">
      <w:pPr>
        <w:pStyle w:val="ActHead5"/>
      </w:pPr>
      <w:bookmarkStart w:id="2476" w:name="_Toc151994517"/>
      <w:bookmarkStart w:id="2477" w:name="_Toc158713027"/>
      <w:r w:rsidRPr="000D40D5">
        <w:rPr>
          <w:rStyle w:val="CharSectno"/>
        </w:rPr>
        <w:t>10.2.56</w:t>
      </w:r>
      <w:r w:rsidRPr="00D97EFB">
        <w:t xml:space="preserve">  Money other than loans: financial services licensee who ceases to be licensed</w:t>
      </w:r>
      <w:bookmarkEnd w:id="2476"/>
      <w:bookmarkEnd w:id="2477"/>
    </w:p>
    <w:p w14:paraId="5BA8F4F6" w14:textId="77777777" w:rsidR="00E93F58" w:rsidRPr="00D97EFB" w:rsidRDefault="00E93F58" w:rsidP="00032256">
      <w:pPr>
        <w:pStyle w:val="subsection"/>
        <w:keepNext/>
        <w:keepLines/>
        <w:rPr>
          <w:color w:val="000000"/>
        </w:rPr>
      </w:pPr>
      <w:r w:rsidRPr="00D97EFB">
        <w:rPr>
          <w:color w:val="000000"/>
        </w:rPr>
        <w:tab/>
        <w:t>(1)</w:t>
      </w:r>
      <w:r w:rsidRPr="00D97EFB">
        <w:rPr>
          <w:color w:val="000000"/>
        </w:rPr>
        <w:tab/>
        <w:t>For section 1444 of the Act, this regulation applies in relation to money held by a financial services licensee in an account maintained under any of the following provisions:</w:t>
      </w:r>
    </w:p>
    <w:p w14:paraId="7BCA5775" w14:textId="77777777" w:rsidR="00E93F58" w:rsidRPr="00D97EFB" w:rsidRDefault="00E93F58" w:rsidP="00BB7E31">
      <w:pPr>
        <w:pStyle w:val="paragraph"/>
        <w:rPr>
          <w:color w:val="000000"/>
        </w:rPr>
      </w:pPr>
      <w:r w:rsidRPr="00D97EFB">
        <w:rPr>
          <w:color w:val="000000"/>
        </w:rPr>
        <w:tab/>
        <w:t>(a)</w:t>
      </w:r>
      <w:r w:rsidRPr="00D97EFB">
        <w:rPr>
          <w:color w:val="000000"/>
        </w:rPr>
        <w:tab/>
        <w:t>section 866 of the old Corporations Act;</w:t>
      </w:r>
    </w:p>
    <w:p w14:paraId="1C8A1865" w14:textId="77777777" w:rsidR="00E93F58" w:rsidRPr="00D97EFB" w:rsidRDefault="00E93F58" w:rsidP="00BB7E31">
      <w:pPr>
        <w:pStyle w:val="paragraph"/>
      </w:pPr>
      <w:r w:rsidRPr="00D97EFB">
        <w:tab/>
        <w:t>(b)</w:t>
      </w:r>
      <w:r w:rsidRPr="00D97EFB">
        <w:tab/>
        <w:t>section 1209 of the old Corporations Act;</w:t>
      </w:r>
    </w:p>
    <w:p w14:paraId="78D69BF3" w14:textId="77777777" w:rsidR="00E93F58" w:rsidRPr="00D97EFB" w:rsidRDefault="00E93F58" w:rsidP="00BB7E31">
      <w:pPr>
        <w:pStyle w:val="paragraph"/>
      </w:pPr>
      <w:r w:rsidRPr="00D97EFB">
        <w:tab/>
        <w:t>(c)</w:t>
      </w:r>
      <w:r w:rsidRPr="00D97EFB">
        <w:tab/>
        <w:t xml:space="preserve">section 26 of the </w:t>
      </w:r>
      <w:r w:rsidRPr="00D97EFB">
        <w:rPr>
          <w:i/>
        </w:rPr>
        <w:t>Insurance (Agents and Brokers) Act 1984</w:t>
      </w:r>
      <w:r w:rsidRPr="00D97EFB">
        <w:t>.</w:t>
      </w:r>
    </w:p>
    <w:p w14:paraId="5C29C17F" w14:textId="77777777" w:rsidR="00E93F58" w:rsidRPr="00D97EFB" w:rsidRDefault="00E93F58" w:rsidP="00BB7E31">
      <w:pPr>
        <w:pStyle w:val="subsection"/>
        <w:rPr>
          <w:color w:val="000000"/>
        </w:rPr>
      </w:pPr>
      <w:r w:rsidRPr="00D97EFB">
        <w:rPr>
          <w:color w:val="000000"/>
        </w:rPr>
        <w:tab/>
        <w:t>(2)</w:t>
      </w:r>
      <w:r w:rsidRPr="00D97EFB">
        <w:rPr>
          <w:color w:val="000000"/>
        </w:rPr>
        <w:tab/>
        <w:t>If any of paragraphs 981F(a) to (d) of the Act applies to the financial services licensee, any money held by the financial services licensee in an account mentioned in subregulation (1) is to be dealt with as if it were held by the licensee in an account maintained for section 981B of the Act.</w:t>
      </w:r>
    </w:p>
    <w:p w14:paraId="48F107AB" w14:textId="77777777" w:rsidR="00E93F58" w:rsidRPr="00D97EFB" w:rsidRDefault="00E93F58" w:rsidP="00BB7E31">
      <w:pPr>
        <w:pStyle w:val="ActHead5"/>
      </w:pPr>
      <w:bookmarkStart w:id="2478" w:name="_Toc151994518"/>
      <w:bookmarkStart w:id="2479" w:name="_Toc158713028"/>
      <w:r w:rsidRPr="000D40D5">
        <w:rPr>
          <w:rStyle w:val="CharSectno"/>
        </w:rPr>
        <w:t>10.2.57</w:t>
      </w:r>
      <w:r w:rsidRPr="00D97EFB">
        <w:t xml:space="preserve">  Loan money: financial services licensee who formerly held dealer’s licence</w:t>
      </w:r>
      <w:bookmarkEnd w:id="2478"/>
      <w:bookmarkEnd w:id="2479"/>
    </w:p>
    <w:p w14:paraId="61BFFF7D"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1 of the table in section 1430 of the Act, and whose financial services licence covers regulated activities for a regulated principal of that kind, in relation to money:</w:t>
      </w:r>
    </w:p>
    <w:p w14:paraId="1DB94C7B" w14:textId="77777777" w:rsidR="00E93F58" w:rsidRPr="00D97EFB" w:rsidRDefault="00E93F58" w:rsidP="00BB7E31">
      <w:pPr>
        <w:pStyle w:val="paragraph"/>
        <w:rPr>
          <w:color w:val="000000"/>
        </w:rPr>
      </w:pPr>
      <w:r w:rsidRPr="00D97EFB">
        <w:rPr>
          <w:color w:val="000000"/>
        </w:rPr>
        <w:tab/>
        <w:t>(a)</w:t>
      </w:r>
      <w:r w:rsidRPr="00D97EFB">
        <w:rPr>
          <w:color w:val="000000"/>
        </w:rPr>
        <w:tab/>
        <w:t>received by the person before the end of the transition period in relation to the person in the capacity of a regulated principal of this kind; and</w:t>
      </w:r>
    </w:p>
    <w:p w14:paraId="68B7DE00" w14:textId="77777777" w:rsidR="00E93F58" w:rsidRPr="00D97EFB" w:rsidRDefault="00E93F58" w:rsidP="00BB7E31">
      <w:pPr>
        <w:pStyle w:val="paragraph"/>
      </w:pPr>
      <w:r w:rsidRPr="00D97EFB">
        <w:tab/>
        <w:t>(b)</w:t>
      </w:r>
      <w:r w:rsidRPr="00D97EFB">
        <w:tab/>
        <w:t>to which section 872 of the old Corporations Act applied.</w:t>
      </w:r>
    </w:p>
    <w:p w14:paraId="70CCA59A" w14:textId="77777777" w:rsidR="00E93F58" w:rsidRPr="00D97EFB" w:rsidRDefault="00E93F58" w:rsidP="00BB7E31">
      <w:pPr>
        <w:pStyle w:val="subsection"/>
        <w:rPr>
          <w:color w:val="000000"/>
        </w:rPr>
      </w:pPr>
      <w:r w:rsidRPr="00D97EFB">
        <w:rPr>
          <w:color w:val="000000"/>
        </w:rPr>
        <w:tab/>
        <w:t>(2)</w:t>
      </w:r>
      <w:r w:rsidRPr="00D97EFB">
        <w:rPr>
          <w:color w:val="000000"/>
        </w:rPr>
        <w:tab/>
        <w:t>Section 872 of the old Corporations Act, and any associated provisions, continue to apply in relation to the regulated principal after the end of the transition period in relation to:</w:t>
      </w:r>
    </w:p>
    <w:p w14:paraId="75F9EB98"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0FD020BB" w14:textId="77777777" w:rsidR="00E93F58" w:rsidRPr="00D97EFB" w:rsidRDefault="00E93F58" w:rsidP="00BB7E31">
      <w:pPr>
        <w:pStyle w:val="paragraph"/>
      </w:pPr>
      <w:r w:rsidRPr="00D97EFB">
        <w:tab/>
        <w:t>(b)</w:t>
      </w:r>
      <w:r w:rsidRPr="00D97EFB">
        <w:tab/>
        <w:t>the money;</w:t>
      </w:r>
    </w:p>
    <w:p w14:paraId="3E8458CF" w14:textId="77777777" w:rsidR="00E93F58" w:rsidRPr="00D97EFB" w:rsidRDefault="00E93F58" w:rsidP="00BB7E31">
      <w:pPr>
        <w:pStyle w:val="subsection2"/>
      </w:pPr>
      <w:r w:rsidRPr="00D97EFB">
        <w:rPr>
          <w:color w:val="000000"/>
        </w:rPr>
        <w:t>as if the person were a dealer within the meaning of the old Corporations Act.</w:t>
      </w:r>
    </w:p>
    <w:p w14:paraId="764FE3D9" w14:textId="77777777" w:rsidR="00E93F58" w:rsidRPr="00D97EFB" w:rsidRDefault="00E93F58" w:rsidP="00BB7E31">
      <w:pPr>
        <w:pStyle w:val="ActHead5"/>
      </w:pPr>
      <w:bookmarkStart w:id="2480" w:name="_Toc151994519"/>
      <w:bookmarkStart w:id="2481" w:name="_Toc158713029"/>
      <w:r w:rsidRPr="000D40D5">
        <w:rPr>
          <w:rStyle w:val="CharSectno"/>
        </w:rPr>
        <w:t>10.2.58</w:t>
      </w:r>
      <w:r w:rsidRPr="00D97EFB">
        <w:t xml:space="preserve">  Other property of clients: financial services licensee who formerly held dealer’s licence</w:t>
      </w:r>
      <w:bookmarkEnd w:id="2480"/>
      <w:bookmarkEnd w:id="2481"/>
    </w:p>
    <w:p w14:paraId="71E4F630"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1 of the table in section 1430 of the Act, and whose financial services licence covers regulated activities for a regulated principal of this kind, in relation to scrip:</w:t>
      </w:r>
    </w:p>
    <w:p w14:paraId="77C5811A" w14:textId="77777777" w:rsidR="00E93F58" w:rsidRPr="00D97EFB" w:rsidRDefault="00E93F58" w:rsidP="00BB7E31">
      <w:pPr>
        <w:pStyle w:val="paragraph"/>
      </w:pPr>
      <w:r w:rsidRPr="00D97EFB">
        <w:rPr>
          <w:color w:val="000000"/>
        </w:rPr>
        <w:tab/>
        <w:t>(a)</w:t>
      </w:r>
      <w:r w:rsidRPr="00D97EFB">
        <w:rPr>
          <w:color w:val="000000"/>
        </w:rPr>
        <w:tab/>
        <w:t>received by the person before the end of the transition period in relation to the person in the capacity of a regulated principal of that kind; and</w:t>
      </w:r>
    </w:p>
    <w:p w14:paraId="6EF6B169" w14:textId="77777777" w:rsidR="00E93F58" w:rsidRPr="00D97EFB" w:rsidRDefault="00E93F58" w:rsidP="00BB7E31">
      <w:pPr>
        <w:pStyle w:val="paragraph"/>
      </w:pPr>
      <w:r w:rsidRPr="00D97EFB">
        <w:tab/>
        <w:t>(b)</w:t>
      </w:r>
      <w:r w:rsidRPr="00D97EFB">
        <w:tab/>
        <w:t>to which section 873 of the old Corporations Act applied.</w:t>
      </w:r>
    </w:p>
    <w:p w14:paraId="090109CD" w14:textId="77777777" w:rsidR="00E93F58" w:rsidRPr="00D97EFB" w:rsidRDefault="00E93F58" w:rsidP="00BB7E31">
      <w:pPr>
        <w:pStyle w:val="subsection"/>
        <w:rPr>
          <w:color w:val="000000"/>
        </w:rPr>
      </w:pPr>
      <w:r w:rsidRPr="00D97EFB">
        <w:rPr>
          <w:color w:val="000000"/>
        </w:rPr>
        <w:tab/>
        <w:t>(2)</w:t>
      </w:r>
      <w:r w:rsidRPr="00D97EFB">
        <w:rPr>
          <w:color w:val="000000"/>
        </w:rPr>
        <w:tab/>
        <w:t>Section 873 of the old Corporations Act, and any associated provisions, continue to apply in relation to the regulated principal after the end of the transition period in relation to:</w:t>
      </w:r>
    </w:p>
    <w:p w14:paraId="07E1AC4E"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779BF3F7" w14:textId="77777777" w:rsidR="00E93F58" w:rsidRPr="00D97EFB" w:rsidRDefault="00E93F58" w:rsidP="00BB7E31">
      <w:pPr>
        <w:pStyle w:val="paragraph"/>
      </w:pPr>
      <w:r w:rsidRPr="00D97EFB">
        <w:tab/>
        <w:t>(b)</w:t>
      </w:r>
      <w:r w:rsidRPr="00D97EFB">
        <w:tab/>
        <w:t>the scrip;</w:t>
      </w:r>
    </w:p>
    <w:p w14:paraId="34EB3D72" w14:textId="77777777" w:rsidR="00E93F58" w:rsidRPr="00D97EFB" w:rsidRDefault="00E93F58" w:rsidP="00BB7E31">
      <w:pPr>
        <w:pStyle w:val="subsection2"/>
        <w:rPr>
          <w:color w:val="000000"/>
        </w:rPr>
      </w:pPr>
      <w:r w:rsidRPr="00D97EFB">
        <w:rPr>
          <w:color w:val="000000"/>
        </w:rPr>
        <w:t>as if the person was still the holder of a dealers licence within the meaning of the old Corporations Act.</w:t>
      </w:r>
    </w:p>
    <w:p w14:paraId="3FA11BDA" w14:textId="77777777" w:rsidR="00E93F58" w:rsidRPr="00D97EFB" w:rsidRDefault="00E93F58" w:rsidP="00BB7E31">
      <w:pPr>
        <w:pStyle w:val="ActHead5"/>
      </w:pPr>
      <w:bookmarkStart w:id="2482" w:name="_Toc151994520"/>
      <w:bookmarkStart w:id="2483" w:name="_Toc158713030"/>
      <w:r w:rsidRPr="000D40D5">
        <w:rPr>
          <w:rStyle w:val="CharSectno"/>
        </w:rPr>
        <w:t>10.2.59</w:t>
      </w:r>
      <w:r w:rsidRPr="00D97EFB">
        <w:t xml:space="preserve">  Other property of clients: financial services licensee who formerly held futures broker’s licence</w:t>
      </w:r>
      <w:bookmarkEnd w:id="2482"/>
      <w:bookmarkEnd w:id="2483"/>
    </w:p>
    <w:p w14:paraId="22B64114"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3 of the table in section 1430 of the Act, and whose licence covers regulated activities for a regulated principal of that kind, in relation to property:</w:t>
      </w:r>
    </w:p>
    <w:p w14:paraId="44EB6FA9" w14:textId="77777777" w:rsidR="00E93F58" w:rsidRPr="00D97EFB" w:rsidRDefault="00E93F58" w:rsidP="00BB7E31">
      <w:pPr>
        <w:pStyle w:val="paragraph"/>
        <w:rPr>
          <w:color w:val="000000"/>
        </w:rPr>
      </w:pPr>
      <w:r w:rsidRPr="00D97EFB">
        <w:rPr>
          <w:color w:val="000000"/>
        </w:rPr>
        <w:tab/>
        <w:t>(a)</w:t>
      </w:r>
      <w:r w:rsidRPr="00D97EFB">
        <w:rPr>
          <w:color w:val="000000"/>
        </w:rPr>
        <w:tab/>
        <w:t>received by the person before the end of the transition period in relation to the person in the capacity of a regulated principal of that kind; and</w:t>
      </w:r>
    </w:p>
    <w:p w14:paraId="1727869B" w14:textId="77777777" w:rsidR="00E93F58" w:rsidRPr="00D97EFB" w:rsidRDefault="00E93F58" w:rsidP="00BB7E31">
      <w:pPr>
        <w:pStyle w:val="paragraph"/>
      </w:pPr>
      <w:r w:rsidRPr="00D97EFB">
        <w:tab/>
        <w:t>(b)</w:t>
      </w:r>
      <w:r w:rsidRPr="00D97EFB">
        <w:tab/>
        <w:t>to which section 1209 or 1214 of the old Corporations Act applied.</w:t>
      </w:r>
    </w:p>
    <w:p w14:paraId="6263A479" w14:textId="77777777" w:rsidR="00E93F58" w:rsidRPr="00D97EFB" w:rsidRDefault="00E93F58" w:rsidP="00BB7E31">
      <w:pPr>
        <w:pStyle w:val="subsection"/>
        <w:rPr>
          <w:color w:val="000000"/>
        </w:rPr>
      </w:pPr>
      <w:r w:rsidRPr="00D97EFB">
        <w:rPr>
          <w:color w:val="000000"/>
        </w:rPr>
        <w:lastRenderedPageBreak/>
        <w:tab/>
        <w:t>(2)</w:t>
      </w:r>
      <w:r w:rsidRPr="00D97EFB">
        <w:rPr>
          <w:color w:val="000000"/>
        </w:rPr>
        <w:tab/>
        <w:t>Sections 1209 and 1214 of the old Corporations Act, and any associated provisions, continue to apply in relation to the regulated principal after the end of the transition period in relation to:</w:t>
      </w:r>
    </w:p>
    <w:p w14:paraId="23A9B0B1"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3FEC3E02" w14:textId="77777777" w:rsidR="00E93F58" w:rsidRPr="00D97EFB" w:rsidRDefault="00E93F58" w:rsidP="00BB7E31">
      <w:pPr>
        <w:pStyle w:val="paragraph"/>
      </w:pPr>
      <w:r w:rsidRPr="00D97EFB">
        <w:tab/>
        <w:t>(b)</w:t>
      </w:r>
      <w:r w:rsidRPr="00D97EFB">
        <w:tab/>
        <w:t>the property;</w:t>
      </w:r>
    </w:p>
    <w:p w14:paraId="6513A60B" w14:textId="77777777" w:rsidR="00E93F58" w:rsidRPr="00D97EFB" w:rsidRDefault="00E93F58" w:rsidP="00BB7E31">
      <w:pPr>
        <w:pStyle w:val="subsection2"/>
        <w:rPr>
          <w:color w:val="000000"/>
        </w:rPr>
      </w:pPr>
      <w:r w:rsidRPr="00D97EFB">
        <w:rPr>
          <w:color w:val="000000"/>
        </w:rPr>
        <w:t>as if the licensee were a futures broker within the meaning of the old Corporations Act.</w:t>
      </w:r>
    </w:p>
    <w:p w14:paraId="3DD5F399" w14:textId="77777777" w:rsidR="00E93F58" w:rsidRPr="00D97EFB" w:rsidRDefault="00E93F58" w:rsidP="00BB7E31">
      <w:pPr>
        <w:pStyle w:val="ActHead5"/>
      </w:pPr>
      <w:bookmarkStart w:id="2484" w:name="_Toc151994521"/>
      <w:bookmarkStart w:id="2485" w:name="_Toc158713031"/>
      <w:r w:rsidRPr="000D40D5">
        <w:rPr>
          <w:rStyle w:val="CharSectno"/>
        </w:rPr>
        <w:t>10.2.60</w:t>
      </w:r>
      <w:r w:rsidRPr="00D97EFB">
        <w:t xml:space="preserve">  Special provisions relating to insurance: financial services licensee who was formerly a registered insurance broker</w:t>
      </w:r>
      <w:bookmarkEnd w:id="2484"/>
      <w:bookmarkEnd w:id="2485"/>
    </w:p>
    <w:p w14:paraId="53EF1B3C"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5 of the table in section 1430 of the Act, and whose financial services licence covers regulated activities for a regulated principal of that kind, in relation to:</w:t>
      </w:r>
    </w:p>
    <w:p w14:paraId="16F4A0CB" w14:textId="77777777" w:rsidR="00E93F58" w:rsidRPr="00D97EFB" w:rsidRDefault="00E93F58" w:rsidP="00BB7E31">
      <w:pPr>
        <w:pStyle w:val="paragraph"/>
      </w:pPr>
      <w:r w:rsidRPr="00D97EFB">
        <w:tab/>
        <w:t>(a)</w:t>
      </w:r>
      <w:r w:rsidRPr="00D97EFB">
        <w:tab/>
        <w:t>money:</w:t>
      </w:r>
    </w:p>
    <w:p w14:paraId="41C956F9" w14:textId="77777777" w:rsidR="00E93F58" w:rsidRPr="00D97EFB" w:rsidRDefault="00E93F58" w:rsidP="00BB7E31">
      <w:pPr>
        <w:pStyle w:val="paragraphsub"/>
        <w:rPr>
          <w:color w:val="000000"/>
        </w:rPr>
      </w:pPr>
      <w:r w:rsidRPr="00D97EFB">
        <w:rPr>
          <w:color w:val="000000"/>
        </w:rPr>
        <w:tab/>
        <w:t>(i)</w:t>
      </w:r>
      <w:r w:rsidRPr="00D97EFB">
        <w:rPr>
          <w:color w:val="000000"/>
        </w:rPr>
        <w:tab/>
        <w:t>received by the person before the end of the transition period in relation to the person in the capacity of a regulated principal of that kind; and</w:t>
      </w:r>
    </w:p>
    <w:p w14:paraId="641A7661" w14:textId="77777777" w:rsidR="00E93F58" w:rsidRPr="00D97EFB" w:rsidRDefault="00E93F58" w:rsidP="00BB7E31">
      <w:pPr>
        <w:pStyle w:val="paragraphsub"/>
      </w:pPr>
      <w:r w:rsidRPr="00D97EFB">
        <w:tab/>
        <w:t>(ii)</w:t>
      </w:r>
      <w:r w:rsidRPr="00D97EFB">
        <w:tab/>
        <w:t xml:space="preserve">to which section 27 of the </w:t>
      </w:r>
      <w:r w:rsidRPr="00D97EFB">
        <w:rPr>
          <w:i/>
        </w:rPr>
        <w:t>Insurance (Agents and Brokers) Act 1984</w:t>
      </w:r>
      <w:r w:rsidRPr="00D97EFB">
        <w:t xml:space="preserve"> applied; and</w:t>
      </w:r>
    </w:p>
    <w:p w14:paraId="663C64F7" w14:textId="77777777" w:rsidR="00E93F58" w:rsidRPr="00D97EFB" w:rsidRDefault="00E93F58" w:rsidP="00BB7E31">
      <w:pPr>
        <w:pStyle w:val="paragraph"/>
      </w:pPr>
      <w:r w:rsidRPr="00D97EFB">
        <w:rPr>
          <w:color w:val="000000"/>
        </w:rPr>
        <w:tab/>
        <w:t>(b)</w:t>
      </w:r>
      <w:r w:rsidRPr="00D97EFB">
        <w:rPr>
          <w:color w:val="000000"/>
        </w:rPr>
        <w:tab/>
        <w:t>contracts of insurance arranged or effected by the person (either directly or through another person) before the end of the transition period in relation to the person in the capacity of a regulated principal of that kind; and</w:t>
      </w:r>
    </w:p>
    <w:p w14:paraId="35FA4FFE" w14:textId="77777777" w:rsidR="00E93F58" w:rsidRPr="00D97EFB" w:rsidRDefault="00E93F58" w:rsidP="00BB7E31">
      <w:pPr>
        <w:pStyle w:val="paragraph"/>
      </w:pPr>
      <w:r w:rsidRPr="00D97EFB">
        <w:tab/>
        <w:t>(c)</w:t>
      </w:r>
      <w:r w:rsidRPr="00D97EFB">
        <w:tab/>
        <w:t>proposed contracts of insurance of the kind mentioned in paragraph (b).</w:t>
      </w:r>
    </w:p>
    <w:p w14:paraId="5EDB8B34" w14:textId="77777777" w:rsidR="00E93F58" w:rsidRPr="00D97EFB" w:rsidRDefault="00E93F58" w:rsidP="00BB7E31">
      <w:pPr>
        <w:pStyle w:val="subsection"/>
      </w:pPr>
      <w:r w:rsidRPr="00D97EFB">
        <w:tab/>
        <w:t>(2)</w:t>
      </w:r>
      <w:r w:rsidRPr="00D97EFB">
        <w:tab/>
        <w:t xml:space="preserve">Section 27 (other than subsections 27(3) and (5)) of the </w:t>
      </w:r>
      <w:r w:rsidRPr="00D97EFB">
        <w:rPr>
          <w:i/>
        </w:rPr>
        <w:t>Insurance (Agents and Brokers) Act 1984</w:t>
      </w:r>
      <w:r w:rsidRPr="00D97EFB">
        <w:t>, and any associated provisions, continue to apply to the regulated principal after the end of the transition period in relation to:</w:t>
      </w:r>
    </w:p>
    <w:p w14:paraId="2778321E"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492775C6" w14:textId="77777777" w:rsidR="00E93F58" w:rsidRPr="00D97EFB" w:rsidRDefault="00E93F58" w:rsidP="00BB7E31">
      <w:pPr>
        <w:pStyle w:val="paragraph"/>
      </w:pPr>
      <w:r w:rsidRPr="00D97EFB">
        <w:tab/>
        <w:t>(b)</w:t>
      </w:r>
      <w:r w:rsidRPr="00D97EFB">
        <w:tab/>
        <w:t>the money;</w:t>
      </w:r>
    </w:p>
    <w:p w14:paraId="09DE14B6" w14:textId="77777777" w:rsidR="00E93F58" w:rsidRPr="00D97EFB" w:rsidRDefault="00E93F58" w:rsidP="00BB7E31">
      <w:pPr>
        <w:pStyle w:val="subsection2"/>
        <w:rPr>
          <w:color w:val="000000"/>
        </w:rPr>
      </w:pPr>
      <w:r w:rsidRPr="00D97EFB">
        <w:rPr>
          <w:color w:val="000000"/>
        </w:rPr>
        <w:t xml:space="preserve">as if the licensee were a registered insurance broker within the meaning of the </w:t>
      </w:r>
      <w:r w:rsidRPr="00D97EFB">
        <w:rPr>
          <w:i/>
          <w:color w:val="000000"/>
        </w:rPr>
        <w:t>Insurance (Agents and Brokers) Act 1984</w:t>
      </w:r>
      <w:r w:rsidRPr="00D97EFB">
        <w:rPr>
          <w:color w:val="000000"/>
        </w:rPr>
        <w:t>.</w:t>
      </w:r>
    </w:p>
    <w:p w14:paraId="27CD2D2F" w14:textId="77777777" w:rsidR="00E93F58" w:rsidRPr="00D97EFB" w:rsidRDefault="00E93F58" w:rsidP="00BB7E31">
      <w:pPr>
        <w:pStyle w:val="subsection"/>
      </w:pPr>
      <w:r w:rsidRPr="00D97EFB">
        <w:rPr>
          <w:color w:val="000000"/>
        </w:rPr>
        <w:tab/>
        <w:t>(3)</w:t>
      </w:r>
      <w:r w:rsidRPr="00D97EFB">
        <w:rPr>
          <w:color w:val="000000"/>
        </w:rPr>
        <w:tab/>
        <w:t xml:space="preserve">Subsection 27(3) of the </w:t>
      </w:r>
      <w:r w:rsidRPr="00D97EFB">
        <w:rPr>
          <w:i/>
          <w:color w:val="000000"/>
        </w:rPr>
        <w:t>Insurance (Agents and Brokers) Act 1984</w:t>
      </w:r>
      <w:r w:rsidRPr="00D97EFB">
        <w:rPr>
          <w:color w:val="000000"/>
        </w:rPr>
        <w:t>, and any associated provisions, continue to apply to the regulated principal after the end of the transition period in relation to the person in the capacity of a regulated principal of that kind, in relation to contracts of insurance mentioned in paragraph (1)(b).</w:t>
      </w:r>
    </w:p>
    <w:p w14:paraId="054B3E38" w14:textId="77777777" w:rsidR="00E93F58" w:rsidRPr="00D97EFB" w:rsidRDefault="00E93F58" w:rsidP="00BB7E31">
      <w:pPr>
        <w:pStyle w:val="subsection"/>
      </w:pPr>
      <w:r w:rsidRPr="00D97EFB">
        <w:tab/>
        <w:t>(4)</w:t>
      </w:r>
      <w:r w:rsidRPr="00D97EFB">
        <w:tab/>
        <w:t xml:space="preserve">Subsection 27(5) of the </w:t>
      </w:r>
      <w:r w:rsidRPr="00D97EFB">
        <w:rPr>
          <w:i/>
        </w:rPr>
        <w:t>Insurance (Agents and Brokers) Act 1984</w:t>
      </w:r>
      <w:r w:rsidRPr="00D97EFB">
        <w:t>, and any associated provisions, continue to apply to the regulated principal after the end of the transition period in relation to the person in the capacity of a regulated principal of that kind, in relation to contracts of insurance, or proposed contracts of insurance, mentioned in paragraphs (1)(b) and (c) for which:</w:t>
      </w:r>
    </w:p>
    <w:p w14:paraId="329E8B2A" w14:textId="77777777" w:rsidR="00E93F58" w:rsidRPr="00D97EFB" w:rsidRDefault="00E93F58" w:rsidP="00BB7E31">
      <w:pPr>
        <w:pStyle w:val="paragraph"/>
        <w:rPr>
          <w:color w:val="000000"/>
        </w:rPr>
      </w:pPr>
      <w:r w:rsidRPr="00D97EFB">
        <w:rPr>
          <w:color w:val="000000"/>
        </w:rPr>
        <w:tab/>
        <w:t>(a)</w:t>
      </w:r>
      <w:r w:rsidRPr="00D97EFB">
        <w:rPr>
          <w:color w:val="000000"/>
        </w:rPr>
        <w:tab/>
        <w:t>the risk or part of the risk to which the contract or proposed contract relates is accepted by or on behalf of an insurer; and</w:t>
      </w:r>
    </w:p>
    <w:p w14:paraId="074D932B" w14:textId="77777777" w:rsidR="00E93F58" w:rsidRPr="00D97EFB" w:rsidRDefault="00E93F58" w:rsidP="00BB7E31">
      <w:pPr>
        <w:pStyle w:val="paragraph"/>
      </w:pPr>
      <w:r w:rsidRPr="00D97EFB">
        <w:tab/>
        <w:t>(b)</w:t>
      </w:r>
      <w:r w:rsidRPr="00D97EFB">
        <w:tab/>
        <w:t>the person has not been informed of, and has not otherwise ascertained, the amount of a premium or an instalment of a premium to be paid in connection with the contract or proposed contract;</w:t>
      </w:r>
    </w:p>
    <w:p w14:paraId="461381FB" w14:textId="77777777" w:rsidR="00E93F58" w:rsidRPr="00D97EFB" w:rsidRDefault="00E93F58" w:rsidP="00BB7E31">
      <w:pPr>
        <w:pStyle w:val="subsection2"/>
        <w:rPr>
          <w:color w:val="000000"/>
        </w:rPr>
      </w:pPr>
      <w:r w:rsidRPr="00D97EFB">
        <w:rPr>
          <w:color w:val="000000"/>
        </w:rPr>
        <w:t xml:space="preserve">as if the person was still a registered insurance broker within the meaning of the </w:t>
      </w:r>
      <w:r w:rsidRPr="00D97EFB">
        <w:rPr>
          <w:i/>
          <w:color w:val="000000"/>
        </w:rPr>
        <w:t>Insurance (Agents and Brokers) Act 1984</w:t>
      </w:r>
      <w:r w:rsidRPr="00D97EFB">
        <w:rPr>
          <w:color w:val="000000"/>
        </w:rPr>
        <w:t>.</w:t>
      </w:r>
    </w:p>
    <w:p w14:paraId="756E5E36" w14:textId="77777777" w:rsidR="00E93F58" w:rsidRPr="00D97EFB" w:rsidRDefault="00E93F58" w:rsidP="00BB7E31">
      <w:pPr>
        <w:pStyle w:val="ActHead5"/>
      </w:pPr>
      <w:bookmarkStart w:id="2486" w:name="_Toc151994522"/>
      <w:bookmarkStart w:id="2487" w:name="_Toc158713032"/>
      <w:r w:rsidRPr="000D40D5">
        <w:rPr>
          <w:rStyle w:val="CharSectno"/>
        </w:rPr>
        <w:t>10.2.61</w:t>
      </w:r>
      <w:r w:rsidRPr="00D97EFB">
        <w:t xml:space="preserve">  Obligation to report: financial services licensee who formerly held a futures broker’s licence</w:t>
      </w:r>
      <w:bookmarkEnd w:id="2486"/>
      <w:bookmarkEnd w:id="2487"/>
    </w:p>
    <w:p w14:paraId="26212A44"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whose financial services licence covers regulated activities for a regulated principal of the kind mentioned in item 3 of the table in section 1430 of the Act, in relation to:</w:t>
      </w:r>
    </w:p>
    <w:p w14:paraId="615F34DD" w14:textId="77777777" w:rsidR="00E93F58" w:rsidRPr="00D97EFB" w:rsidRDefault="00E93F58" w:rsidP="00BB7E31">
      <w:pPr>
        <w:pStyle w:val="paragraph"/>
      </w:pPr>
      <w:r w:rsidRPr="00D97EFB">
        <w:rPr>
          <w:color w:val="000000"/>
        </w:rPr>
        <w:tab/>
        <w:t>(a)</w:t>
      </w:r>
      <w:r w:rsidRPr="00D97EFB">
        <w:rPr>
          <w:color w:val="000000"/>
        </w:rPr>
        <w:tab/>
        <w:t>money that is held by the licensee in an account maintained under section 1209 of the old Corporations Act; and</w:t>
      </w:r>
    </w:p>
    <w:p w14:paraId="1C7BEB0A" w14:textId="77777777" w:rsidR="00E93F58" w:rsidRPr="00D97EFB" w:rsidRDefault="00E93F58" w:rsidP="00DD0355">
      <w:pPr>
        <w:pStyle w:val="paragraph"/>
        <w:keepNext/>
        <w:keepLines/>
      </w:pPr>
      <w:r w:rsidRPr="00D97EFB">
        <w:tab/>
        <w:t>(b)</w:t>
      </w:r>
      <w:r w:rsidRPr="00D97EFB">
        <w:tab/>
        <w:t>property that is held by the licensee under section 1209 or 1214 of the old Corporations Act.</w:t>
      </w:r>
    </w:p>
    <w:p w14:paraId="58F48F8F" w14:textId="77777777" w:rsidR="00E93F58" w:rsidRPr="00D97EFB" w:rsidRDefault="00E93F58" w:rsidP="00BB7E31">
      <w:pPr>
        <w:pStyle w:val="subsection"/>
      </w:pPr>
      <w:r w:rsidRPr="00D97EFB">
        <w:tab/>
        <w:t>(2)</w:t>
      </w:r>
      <w:r w:rsidRPr="00D97EFB">
        <w:tab/>
        <w:t>Section 1207 of the old Corporations Act, and any associated provisions, continue to apply in relation to the regulated principal after the end of the transition period in relation to:</w:t>
      </w:r>
    </w:p>
    <w:p w14:paraId="3934523E"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2743E094" w14:textId="77777777" w:rsidR="00E93F58" w:rsidRPr="00D97EFB" w:rsidRDefault="00E93F58" w:rsidP="00BB7E31">
      <w:pPr>
        <w:pStyle w:val="paragraph"/>
      </w:pPr>
      <w:r w:rsidRPr="00D97EFB">
        <w:tab/>
        <w:t>(b)</w:t>
      </w:r>
      <w:r w:rsidRPr="00D97EFB">
        <w:tab/>
        <w:t>the money;</w:t>
      </w:r>
    </w:p>
    <w:p w14:paraId="720B4F40" w14:textId="77777777" w:rsidR="00E93F58" w:rsidRPr="00D97EFB" w:rsidRDefault="00E93F58" w:rsidP="00BB7E31">
      <w:pPr>
        <w:pStyle w:val="subsection2"/>
        <w:rPr>
          <w:color w:val="000000"/>
        </w:rPr>
      </w:pPr>
      <w:r w:rsidRPr="00D97EFB">
        <w:rPr>
          <w:color w:val="000000"/>
        </w:rPr>
        <w:t>as if the person were a futures broker.</w:t>
      </w:r>
    </w:p>
    <w:p w14:paraId="36EC4103" w14:textId="77777777" w:rsidR="00E93F58" w:rsidRPr="00D97EFB" w:rsidRDefault="00E93F58" w:rsidP="00BB7E31">
      <w:pPr>
        <w:pStyle w:val="ActHead5"/>
      </w:pPr>
      <w:bookmarkStart w:id="2488" w:name="_Toc151994523"/>
      <w:bookmarkStart w:id="2489" w:name="_Toc158713033"/>
      <w:r w:rsidRPr="000D40D5">
        <w:rPr>
          <w:rStyle w:val="CharSectno"/>
        </w:rPr>
        <w:lastRenderedPageBreak/>
        <w:t>10.2.62</w:t>
      </w:r>
      <w:r w:rsidRPr="00D97EFB">
        <w:t xml:space="preserve">  Reporting in relation to dealings in derivatives: financial services licensee who formerly held a dealer’s licence</w:t>
      </w:r>
      <w:bookmarkEnd w:id="2488"/>
      <w:bookmarkEnd w:id="2489"/>
    </w:p>
    <w:p w14:paraId="2086E62F"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item 3 of the table in section 1430 of the Act, and whose financial services licence covers regulated activities for a regulated principal of that kind, in relation to:</w:t>
      </w:r>
    </w:p>
    <w:p w14:paraId="72396799" w14:textId="77777777" w:rsidR="00E93F58" w:rsidRPr="00D97EFB" w:rsidRDefault="00E93F58" w:rsidP="00BB7E31">
      <w:pPr>
        <w:pStyle w:val="paragraph"/>
      </w:pPr>
      <w:r w:rsidRPr="00D97EFB">
        <w:rPr>
          <w:color w:val="000000"/>
        </w:rPr>
        <w:tab/>
        <w:t>(a)</w:t>
      </w:r>
      <w:r w:rsidRPr="00D97EFB">
        <w:rPr>
          <w:color w:val="000000"/>
        </w:rPr>
        <w:tab/>
        <w:t>a futures contract within the meaning of section 72 of the old Corporations Act that was acquired by the licensee on behalf of a client before the end of the transition period in relation to the person in the capacity of a regulated principal of that kind; and</w:t>
      </w:r>
    </w:p>
    <w:p w14:paraId="1F484036" w14:textId="77777777" w:rsidR="00E93F58" w:rsidRPr="00D97EFB" w:rsidRDefault="00E93F58" w:rsidP="00BB7E31">
      <w:pPr>
        <w:pStyle w:val="paragraph"/>
      </w:pPr>
      <w:r w:rsidRPr="00D97EFB">
        <w:tab/>
        <w:t>(b)</w:t>
      </w:r>
      <w:r w:rsidRPr="00D97EFB">
        <w:tab/>
        <w:t>authority to operate a discretionary account within the meaning of section 61 of the old Corporations Act that was given to the licensee before the end of the transition period in relation to the person in the capacity of a regulated principal of that kind.</w:t>
      </w:r>
    </w:p>
    <w:p w14:paraId="31D41330" w14:textId="77777777" w:rsidR="00E93F58" w:rsidRPr="00D97EFB" w:rsidRDefault="00E93F58" w:rsidP="00BB7E31">
      <w:pPr>
        <w:pStyle w:val="subsection"/>
      </w:pPr>
      <w:r w:rsidRPr="00D97EFB">
        <w:tab/>
        <w:t>(2)</w:t>
      </w:r>
      <w:r w:rsidRPr="00D97EFB">
        <w:tab/>
        <w:t>Section 1207 of the old Corporations Act, and any associated provisions, continue to apply in relation to the regulated principal after the end of the transition period in relation to:</w:t>
      </w:r>
    </w:p>
    <w:p w14:paraId="2FF0DB6D" w14:textId="77777777" w:rsidR="00E93F58" w:rsidRPr="00D97EFB" w:rsidRDefault="00E93F58" w:rsidP="00BB7E31">
      <w:pPr>
        <w:pStyle w:val="paragraph"/>
      </w:pPr>
      <w:r w:rsidRPr="00D97EFB">
        <w:rPr>
          <w:color w:val="000000"/>
        </w:rPr>
        <w:tab/>
        <w:t>(a)</w:t>
      </w:r>
      <w:r w:rsidRPr="00D97EFB">
        <w:rPr>
          <w:color w:val="000000"/>
        </w:rPr>
        <w:tab/>
        <w:t>the person in the capacity of a regulated principal of that kind; and</w:t>
      </w:r>
    </w:p>
    <w:p w14:paraId="461EA6E9" w14:textId="77777777" w:rsidR="00E93F58" w:rsidRPr="00D97EFB" w:rsidRDefault="00E93F58" w:rsidP="00DD0355">
      <w:pPr>
        <w:pStyle w:val="paragraph"/>
        <w:keepNext/>
        <w:keepLines/>
      </w:pPr>
      <w:r w:rsidRPr="00D97EFB">
        <w:tab/>
        <w:t>(b)</w:t>
      </w:r>
      <w:r w:rsidRPr="00D97EFB">
        <w:tab/>
        <w:t>futures contracts mentioned in paragraph (1)(a) that have not been disposed of by the end of a particular month; and</w:t>
      </w:r>
    </w:p>
    <w:p w14:paraId="20F608F8" w14:textId="77777777" w:rsidR="00E93F58" w:rsidRPr="00D97EFB" w:rsidRDefault="00E93F58" w:rsidP="00BB7E31">
      <w:pPr>
        <w:pStyle w:val="paragraph"/>
      </w:pPr>
      <w:r w:rsidRPr="00D97EFB">
        <w:tab/>
        <w:t>(c)</w:t>
      </w:r>
      <w:r w:rsidRPr="00D97EFB">
        <w:tab/>
        <w:t>discretionary accounts mentioned in paragraph (1)(b) for which the authority remained in force during part of a particular month;</w:t>
      </w:r>
    </w:p>
    <w:p w14:paraId="19C2E125" w14:textId="77777777" w:rsidR="00E93F58" w:rsidRPr="00D97EFB" w:rsidRDefault="00E93F58" w:rsidP="00BB7E31">
      <w:pPr>
        <w:pStyle w:val="subsection2"/>
        <w:rPr>
          <w:color w:val="000000"/>
        </w:rPr>
      </w:pPr>
      <w:r w:rsidRPr="00D97EFB">
        <w:rPr>
          <w:color w:val="000000"/>
        </w:rPr>
        <w:t>as if the person were a futures broker.</w:t>
      </w:r>
    </w:p>
    <w:p w14:paraId="6444141E" w14:textId="77777777" w:rsidR="00E93F58" w:rsidRPr="00D97EFB" w:rsidRDefault="00E93F58" w:rsidP="00BB7E31">
      <w:pPr>
        <w:pStyle w:val="ActHead5"/>
      </w:pPr>
      <w:bookmarkStart w:id="2490" w:name="_Toc151994524"/>
      <w:bookmarkStart w:id="2491" w:name="_Toc158713034"/>
      <w:r w:rsidRPr="000D40D5">
        <w:rPr>
          <w:rStyle w:val="CharSectno"/>
        </w:rPr>
        <w:t>10.2.63</w:t>
      </w:r>
      <w:r w:rsidRPr="00D97EFB">
        <w:t xml:space="preserve">  Financial statements of financial services licensee: general</w:t>
      </w:r>
      <w:bookmarkEnd w:id="2490"/>
      <w:bookmarkEnd w:id="2491"/>
    </w:p>
    <w:p w14:paraId="22C4AE46"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not a regulated principal mentioned in any the following items of the table in section 1430 of the Act:</w:t>
      </w:r>
    </w:p>
    <w:p w14:paraId="6E5E7211" w14:textId="77777777" w:rsidR="00E93F58" w:rsidRPr="00D97EFB" w:rsidRDefault="00E93F58" w:rsidP="00BB7E31">
      <w:pPr>
        <w:pStyle w:val="paragraph"/>
        <w:rPr>
          <w:color w:val="000000"/>
        </w:rPr>
      </w:pPr>
      <w:r w:rsidRPr="00D97EFB">
        <w:rPr>
          <w:color w:val="000000"/>
        </w:rPr>
        <w:tab/>
        <w:t>(a)</w:t>
      </w:r>
      <w:r w:rsidRPr="00D97EFB">
        <w:rPr>
          <w:color w:val="000000"/>
        </w:rPr>
        <w:tab/>
        <w:t>item 1;</w:t>
      </w:r>
    </w:p>
    <w:p w14:paraId="384AF0AF" w14:textId="77777777" w:rsidR="00E93F58" w:rsidRPr="00D97EFB" w:rsidRDefault="00E93F58" w:rsidP="00BB7E31">
      <w:pPr>
        <w:pStyle w:val="paragraph"/>
      </w:pPr>
      <w:r w:rsidRPr="00D97EFB">
        <w:tab/>
        <w:t>(b)</w:t>
      </w:r>
      <w:r w:rsidRPr="00D97EFB">
        <w:tab/>
        <w:t>item 3;</w:t>
      </w:r>
    </w:p>
    <w:p w14:paraId="2E0042D1" w14:textId="77777777" w:rsidR="00E93F58" w:rsidRPr="00D97EFB" w:rsidRDefault="00E93F58" w:rsidP="00BB7E31">
      <w:pPr>
        <w:pStyle w:val="paragraph"/>
      </w:pPr>
      <w:r w:rsidRPr="00D97EFB">
        <w:tab/>
        <w:t>(c)</w:t>
      </w:r>
      <w:r w:rsidRPr="00D97EFB">
        <w:tab/>
        <w:t>item 5;</w:t>
      </w:r>
    </w:p>
    <w:p w14:paraId="5B100C37" w14:textId="77777777" w:rsidR="00E93F58" w:rsidRPr="00D97EFB" w:rsidRDefault="00E93F58" w:rsidP="00BB7E31">
      <w:pPr>
        <w:pStyle w:val="paragraph"/>
      </w:pPr>
      <w:r w:rsidRPr="00D97EFB">
        <w:tab/>
        <w:t>(d)</w:t>
      </w:r>
      <w:r w:rsidRPr="00D97EFB">
        <w:tab/>
        <w:t>item 7.</w:t>
      </w:r>
    </w:p>
    <w:p w14:paraId="11B16DFA" w14:textId="77777777" w:rsidR="00E93F58" w:rsidRPr="00D97EFB" w:rsidRDefault="00E93F58" w:rsidP="00BB7E31">
      <w:pPr>
        <w:pStyle w:val="subsection"/>
      </w:pPr>
      <w:r w:rsidRPr="00D97EFB">
        <w:tab/>
        <w:t>(2)</w:t>
      </w:r>
      <w:r w:rsidRPr="00D97EFB">
        <w:tab/>
        <w:t>Subdivision C of Division 6 of Part 7.8 of the Act applies in relation to the financial services licensee as if the first day of the first financial year in relation to the licensee, in its capacity as licensee, commenced on:</w:t>
      </w:r>
    </w:p>
    <w:p w14:paraId="5ED4DB0C" w14:textId="77777777" w:rsidR="00E93F58" w:rsidRPr="00D97EFB" w:rsidRDefault="00E93F58" w:rsidP="00BB7E31">
      <w:pPr>
        <w:pStyle w:val="paragraph"/>
      </w:pPr>
      <w:r w:rsidRPr="00D97EFB">
        <w:rPr>
          <w:color w:val="000000"/>
        </w:rPr>
        <w:tab/>
        <w:t>(a)</w:t>
      </w:r>
      <w:r w:rsidRPr="00D97EFB">
        <w:rPr>
          <w:color w:val="000000"/>
        </w:rPr>
        <w:tab/>
        <w:t>if the person prepares financial statements for the entire financial year in which the person became a financial services licensee—the first day of that financial year; or</w:t>
      </w:r>
    </w:p>
    <w:p w14:paraId="26E44349" w14:textId="77777777" w:rsidR="00E93F58" w:rsidRPr="00D97EFB" w:rsidRDefault="00E93F58" w:rsidP="00BB7E31">
      <w:pPr>
        <w:pStyle w:val="paragraph"/>
      </w:pPr>
      <w:r w:rsidRPr="00D97EFB">
        <w:tab/>
        <w:t>(b)</w:t>
      </w:r>
      <w:r w:rsidRPr="00D97EFB">
        <w:tab/>
        <w:t>if paragraph (a) does not apply—the day on which the person became a financial services licensee.</w:t>
      </w:r>
    </w:p>
    <w:p w14:paraId="1DF61EE3" w14:textId="77777777" w:rsidR="00E93F58" w:rsidRPr="00D97EFB" w:rsidRDefault="00E93F58" w:rsidP="00BB7E31">
      <w:pPr>
        <w:pStyle w:val="ActHead5"/>
      </w:pPr>
      <w:bookmarkStart w:id="2492" w:name="_Toc151994525"/>
      <w:bookmarkStart w:id="2493" w:name="_Toc158713035"/>
      <w:r w:rsidRPr="000D40D5">
        <w:rPr>
          <w:rStyle w:val="CharSectno"/>
        </w:rPr>
        <w:t>10.2.64</w:t>
      </w:r>
      <w:r w:rsidRPr="00D97EFB">
        <w:t xml:space="preserve">  Financial statements of financial services licensees who were certain regulated principals</w:t>
      </w:r>
      <w:bookmarkEnd w:id="2492"/>
      <w:bookmarkEnd w:id="2493"/>
    </w:p>
    <w:p w14:paraId="060BBC5E"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 is a regulated principal mentioned in any of the following items of the table in section 1430 of the Act:</w:t>
      </w:r>
    </w:p>
    <w:p w14:paraId="0B4603B8" w14:textId="77777777" w:rsidR="00E93F58" w:rsidRPr="00D97EFB" w:rsidRDefault="00E93F58" w:rsidP="00BB7E31">
      <w:pPr>
        <w:pStyle w:val="paragraph"/>
        <w:rPr>
          <w:color w:val="000000"/>
        </w:rPr>
      </w:pPr>
      <w:r w:rsidRPr="00D97EFB">
        <w:rPr>
          <w:color w:val="000000"/>
        </w:rPr>
        <w:tab/>
        <w:t>(a)</w:t>
      </w:r>
      <w:r w:rsidRPr="00D97EFB">
        <w:rPr>
          <w:color w:val="000000"/>
        </w:rPr>
        <w:tab/>
        <w:t>item 1;</w:t>
      </w:r>
    </w:p>
    <w:p w14:paraId="18096BB5" w14:textId="77777777" w:rsidR="00E93F58" w:rsidRPr="00D97EFB" w:rsidRDefault="00E93F58" w:rsidP="00BB7E31">
      <w:pPr>
        <w:pStyle w:val="paragraph"/>
      </w:pPr>
      <w:r w:rsidRPr="00D97EFB">
        <w:tab/>
        <w:t>(b)</w:t>
      </w:r>
      <w:r w:rsidRPr="00D97EFB">
        <w:tab/>
        <w:t>item 3;</w:t>
      </w:r>
    </w:p>
    <w:p w14:paraId="3C75CBA2" w14:textId="77777777" w:rsidR="00E93F58" w:rsidRPr="00D97EFB" w:rsidRDefault="00E93F58" w:rsidP="00BB7E31">
      <w:pPr>
        <w:pStyle w:val="paragraph"/>
      </w:pPr>
      <w:r w:rsidRPr="00D97EFB">
        <w:tab/>
        <w:t>(c)</w:t>
      </w:r>
      <w:r w:rsidRPr="00D97EFB">
        <w:tab/>
        <w:t>item 5;</w:t>
      </w:r>
    </w:p>
    <w:p w14:paraId="0E11C744" w14:textId="77777777" w:rsidR="00E93F58" w:rsidRPr="00D97EFB" w:rsidRDefault="00E93F58" w:rsidP="00BB7E31">
      <w:pPr>
        <w:pStyle w:val="paragraph"/>
        <w:rPr>
          <w:color w:val="000000"/>
        </w:rPr>
      </w:pPr>
      <w:r w:rsidRPr="00D97EFB">
        <w:rPr>
          <w:color w:val="000000"/>
        </w:rPr>
        <w:tab/>
        <w:t>(d)</w:t>
      </w:r>
      <w:r w:rsidRPr="00D97EFB">
        <w:rPr>
          <w:color w:val="000000"/>
        </w:rPr>
        <w:tab/>
        <w:t>item 7.</w:t>
      </w:r>
    </w:p>
    <w:p w14:paraId="5B164522" w14:textId="77777777" w:rsidR="00E93F58" w:rsidRPr="00D97EFB" w:rsidRDefault="00E93F58" w:rsidP="00BB7E31">
      <w:pPr>
        <w:pStyle w:val="subsection"/>
        <w:rPr>
          <w:color w:val="000000"/>
        </w:rPr>
      </w:pPr>
      <w:r w:rsidRPr="00D97EFB">
        <w:rPr>
          <w:color w:val="000000"/>
        </w:rPr>
        <w:tab/>
        <w:t>(2)</w:t>
      </w:r>
      <w:r w:rsidRPr="00D97EFB">
        <w:rPr>
          <w:color w:val="000000"/>
        </w:rPr>
        <w:tab/>
        <w:t>Subdivision C of Division 6 of Part 7.8 of the Act applies in relation to the financial services licensee as if the financial services licensee had been a financial services licensee on and from the first day of the financial year in which the person became a financial services licensee.</w:t>
      </w:r>
    </w:p>
    <w:p w14:paraId="0067037F" w14:textId="77777777" w:rsidR="00E93F58" w:rsidRPr="00D97EFB" w:rsidRDefault="00E93F58" w:rsidP="00BB7E31">
      <w:pPr>
        <w:pStyle w:val="subsection"/>
      </w:pPr>
      <w:r w:rsidRPr="00D97EFB">
        <w:tab/>
        <w:t>(3)</w:t>
      </w:r>
      <w:r w:rsidRPr="00D97EFB">
        <w:tab/>
        <w:t>If the financial services licensee was, immediately before becoming a financial services licensee, a regulated principal mentioned in item 1 of the table in section 1430 of the Act:</w:t>
      </w:r>
    </w:p>
    <w:p w14:paraId="0AFDBFF5" w14:textId="77777777" w:rsidR="00E93F58" w:rsidRPr="00D97EFB" w:rsidRDefault="00E93F58" w:rsidP="00BB7E31">
      <w:pPr>
        <w:pStyle w:val="paragraph"/>
        <w:rPr>
          <w:color w:val="000000"/>
        </w:rPr>
      </w:pPr>
      <w:r w:rsidRPr="00D97EFB">
        <w:rPr>
          <w:color w:val="000000"/>
        </w:rPr>
        <w:tab/>
        <w:t>(a)</w:t>
      </w:r>
      <w:r w:rsidRPr="00D97EFB">
        <w:rPr>
          <w:color w:val="000000"/>
        </w:rPr>
        <w:tab/>
        <w:t>section 860 of the old Corporations Act, and any associated provisions, continue to apply in relation to the most recent financial year that ended before the financial year in which the licensee became a financial services licensee, as if the licensee were a person who held a securities dealers licence within the meaning of the old Corporations Act; and</w:t>
      </w:r>
    </w:p>
    <w:p w14:paraId="43B9E2E9" w14:textId="77777777" w:rsidR="00E93F58" w:rsidRPr="00D97EFB" w:rsidRDefault="00E93F58" w:rsidP="00BB7E31">
      <w:pPr>
        <w:pStyle w:val="paragraph"/>
      </w:pPr>
      <w:r w:rsidRPr="00D97EFB">
        <w:tab/>
        <w:t>(b)</w:t>
      </w:r>
      <w:r w:rsidRPr="00D97EFB">
        <w:tab/>
        <w:t>section 860 of the old Corporations Act does not apply in relation to the licensee in relation to the financial year in which the licensee became a financial services licensee.</w:t>
      </w:r>
    </w:p>
    <w:p w14:paraId="4D42E2BF" w14:textId="77777777" w:rsidR="00E93F58" w:rsidRPr="00D97EFB" w:rsidRDefault="00E93F58" w:rsidP="00BB7E31">
      <w:pPr>
        <w:pStyle w:val="subsection"/>
        <w:rPr>
          <w:color w:val="000000"/>
        </w:rPr>
      </w:pPr>
      <w:r w:rsidRPr="00D97EFB">
        <w:rPr>
          <w:color w:val="000000"/>
        </w:rPr>
        <w:lastRenderedPageBreak/>
        <w:tab/>
        <w:t>(4)</w:t>
      </w:r>
      <w:r w:rsidRPr="00D97EFB">
        <w:rPr>
          <w:color w:val="000000"/>
        </w:rPr>
        <w:tab/>
        <w:t>If the financial services licensee was, immediately before becoming a financial services licensee, a regulated principal mentioned in item 3 of the table in section 1430 of the Act:</w:t>
      </w:r>
    </w:p>
    <w:p w14:paraId="1A018956" w14:textId="77777777" w:rsidR="00E93F58" w:rsidRPr="00D97EFB" w:rsidRDefault="00E93F58" w:rsidP="00BB7E31">
      <w:pPr>
        <w:pStyle w:val="paragraph"/>
        <w:rPr>
          <w:color w:val="000000"/>
        </w:rPr>
      </w:pPr>
      <w:r w:rsidRPr="00D97EFB">
        <w:rPr>
          <w:color w:val="000000"/>
        </w:rPr>
        <w:tab/>
        <w:t>(a)</w:t>
      </w:r>
      <w:r w:rsidRPr="00D97EFB">
        <w:rPr>
          <w:color w:val="000000"/>
        </w:rPr>
        <w:tab/>
        <w:t>section 1218 of the old Corporations Act, and any associated provisions, continue to apply in relation to the licensee in relation to the most recent financial year that ended before the financial year in which the licensee became a financial services licensee as if the licensee were a futures broker within the meaning of the old Corporations Act; and</w:t>
      </w:r>
    </w:p>
    <w:p w14:paraId="47FE7AD0" w14:textId="77777777" w:rsidR="00E93F58" w:rsidRPr="00D97EFB" w:rsidRDefault="00E93F58" w:rsidP="00BB7E31">
      <w:pPr>
        <w:pStyle w:val="paragraph"/>
      </w:pPr>
      <w:r w:rsidRPr="00D97EFB">
        <w:tab/>
        <w:t>(b)</w:t>
      </w:r>
      <w:r w:rsidRPr="00D97EFB">
        <w:tab/>
        <w:t>section 1218 of the old Corporations Act does not apply in relation to the licensee in relation to the financial year in which the licensee became a financial services licensee.</w:t>
      </w:r>
    </w:p>
    <w:p w14:paraId="08BA5DD9" w14:textId="77777777" w:rsidR="00E93F58" w:rsidRPr="00D97EFB" w:rsidRDefault="00E93F58" w:rsidP="00BB7E31">
      <w:pPr>
        <w:pStyle w:val="subsection"/>
        <w:rPr>
          <w:color w:val="000000"/>
        </w:rPr>
      </w:pPr>
      <w:r w:rsidRPr="00D97EFB">
        <w:rPr>
          <w:color w:val="000000"/>
        </w:rPr>
        <w:tab/>
        <w:t>(5)</w:t>
      </w:r>
      <w:r w:rsidRPr="00D97EFB">
        <w:rPr>
          <w:color w:val="000000"/>
        </w:rPr>
        <w:tab/>
        <w:t>If the financial services licensee was, immediately before becoming a financial services licensee, a regulated principal mentioned in item 5 of the table in section 1430 of the Act:</w:t>
      </w:r>
    </w:p>
    <w:p w14:paraId="70AF10F7" w14:textId="77777777" w:rsidR="00E93F58" w:rsidRPr="00D97EFB" w:rsidRDefault="00E93F58" w:rsidP="00BB7E31">
      <w:pPr>
        <w:pStyle w:val="paragraph"/>
        <w:rPr>
          <w:color w:val="000000"/>
        </w:rPr>
      </w:pPr>
      <w:r w:rsidRPr="00D97EFB">
        <w:rPr>
          <w:color w:val="000000"/>
        </w:rPr>
        <w:tab/>
        <w:t>(a)</w:t>
      </w:r>
      <w:r w:rsidRPr="00D97EFB">
        <w:rPr>
          <w:color w:val="000000"/>
        </w:rPr>
        <w:tab/>
        <w:t xml:space="preserve">section 25A of the </w:t>
      </w:r>
      <w:r w:rsidRPr="00D97EFB">
        <w:rPr>
          <w:i/>
          <w:color w:val="000000"/>
        </w:rPr>
        <w:t>Insurance (Agents and Brokers) Act 1984</w:t>
      </w:r>
      <w:r w:rsidRPr="00D97EFB">
        <w:rPr>
          <w:color w:val="000000"/>
        </w:rPr>
        <w:t>, and any associated provisions, continue to apply in relation to the licensee in relation to the most recent accounting period (within the meaning of that Act) that ended before the accounting period in which the licensee became a financial services licensee, as if the licensee were a registered insurance broker; and</w:t>
      </w:r>
    </w:p>
    <w:p w14:paraId="072ACA59" w14:textId="77777777" w:rsidR="00E93F58" w:rsidRPr="00D97EFB" w:rsidRDefault="00E93F58" w:rsidP="00BB7E31">
      <w:pPr>
        <w:pStyle w:val="paragraph"/>
      </w:pPr>
      <w:r w:rsidRPr="00D97EFB">
        <w:tab/>
        <w:t>(b)</w:t>
      </w:r>
      <w:r w:rsidRPr="00D97EFB">
        <w:tab/>
        <w:t xml:space="preserve">section 25A of the </w:t>
      </w:r>
      <w:r w:rsidRPr="00D97EFB">
        <w:rPr>
          <w:i/>
        </w:rPr>
        <w:t>Insurance (Agents and Brokers) Act 1984</w:t>
      </w:r>
      <w:r w:rsidRPr="00D97EFB">
        <w:t xml:space="preserve"> does not apply in relation to the licensee in relation to the accounting period in which the licensee became a financial services licensee.</w:t>
      </w:r>
    </w:p>
    <w:p w14:paraId="0FA15A21" w14:textId="77777777" w:rsidR="00E93F58" w:rsidRPr="00D97EFB" w:rsidRDefault="00E93F58" w:rsidP="00BB7E31">
      <w:pPr>
        <w:pStyle w:val="subsection"/>
        <w:rPr>
          <w:color w:val="000000"/>
        </w:rPr>
      </w:pPr>
      <w:r w:rsidRPr="00D97EFB">
        <w:rPr>
          <w:color w:val="000000"/>
        </w:rPr>
        <w:tab/>
        <w:t>(6)</w:t>
      </w:r>
      <w:r w:rsidRPr="00D97EFB">
        <w:rPr>
          <w:color w:val="000000"/>
        </w:rPr>
        <w:tab/>
        <w:t>If the financial services licensee was, immediately before becoming a financial services licensee, a regulated principal mentioned in item 7 of the table in section 1430 of the Act:</w:t>
      </w:r>
    </w:p>
    <w:p w14:paraId="3C0B5464" w14:textId="77777777" w:rsidR="00E93F58" w:rsidRPr="00D97EFB" w:rsidRDefault="00E93F58" w:rsidP="00BB7E31">
      <w:pPr>
        <w:pStyle w:val="paragraph"/>
        <w:rPr>
          <w:color w:val="000000"/>
        </w:rPr>
      </w:pPr>
      <w:r w:rsidRPr="00D97EFB">
        <w:rPr>
          <w:color w:val="000000"/>
        </w:rPr>
        <w:tab/>
        <w:t>(a)</w:t>
      </w:r>
      <w:r w:rsidRPr="00D97EFB">
        <w:rPr>
          <w:color w:val="000000"/>
        </w:rPr>
        <w:tab/>
        <w:t xml:space="preserve">section 31J of the </w:t>
      </w:r>
      <w:r w:rsidRPr="00D97EFB">
        <w:rPr>
          <w:i/>
          <w:color w:val="000000"/>
        </w:rPr>
        <w:t>Insurance (Agents and Brokers) Act 1984</w:t>
      </w:r>
      <w:r w:rsidRPr="00D97EFB">
        <w:rPr>
          <w:color w:val="000000"/>
        </w:rPr>
        <w:t>, and any associated provisions, continue to apply in relation to the licensee in relation to the most recent accounting period (within the meaning of that Act) that ended before the accounting period in which the licensee became a financial services licensee as if the licensee were a registered foreign insurance agent; and</w:t>
      </w:r>
    </w:p>
    <w:p w14:paraId="19B16735" w14:textId="77777777" w:rsidR="00E93F58" w:rsidRPr="00D97EFB" w:rsidRDefault="00E93F58" w:rsidP="00BB7E31">
      <w:pPr>
        <w:pStyle w:val="paragraph"/>
      </w:pPr>
      <w:r w:rsidRPr="00D97EFB">
        <w:tab/>
        <w:t>(b)</w:t>
      </w:r>
      <w:r w:rsidRPr="00D97EFB">
        <w:tab/>
        <w:t xml:space="preserve">section 31J of the </w:t>
      </w:r>
      <w:r w:rsidRPr="00D97EFB">
        <w:rPr>
          <w:i/>
        </w:rPr>
        <w:t>Insurance (Agents and Brokers) Act 1984</w:t>
      </w:r>
      <w:r w:rsidRPr="00D97EFB">
        <w:t xml:space="preserve"> does not apply in relation to the licensee in relation to the accounting period in which the licensee became a financial services licensee.</w:t>
      </w:r>
    </w:p>
    <w:p w14:paraId="45D11ECA" w14:textId="77777777" w:rsidR="00E93F58" w:rsidRPr="00D97EFB" w:rsidRDefault="00E93F58" w:rsidP="00BB7E31">
      <w:pPr>
        <w:pStyle w:val="ActHead5"/>
      </w:pPr>
      <w:bookmarkStart w:id="2494" w:name="_Toc151994526"/>
      <w:bookmarkStart w:id="2495" w:name="_Toc158713036"/>
      <w:r w:rsidRPr="000D40D5">
        <w:rPr>
          <w:rStyle w:val="CharSectno"/>
        </w:rPr>
        <w:t>10.2.65</w:t>
      </w:r>
      <w:r w:rsidRPr="00D97EFB">
        <w:t xml:space="preserve">  Auditors: certain financial services licensee who formerly held dealer’s licence</w:t>
      </w:r>
      <w:bookmarkEnd w:id="2494"/>
      <w:bookmarkEnd w:id="2495"/>
    </w:p>
    <w:p w14:paraId="0297109D"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w:t>
      </w:r>
    </w:p>
    <w:p w14:paraId="786519B8" w14:textId="77777777" w:rsidR="00E93F58" w:rsidRPr="00D97EFB" w:rsidRDefault="00E93F58" w:rsidP="00BB7E31">
      <w:pPr>
        <w:pStyle w:val="paragraph"/>
      </w:pPr>
      <w:r w:rsidRPr="00D97EFB">
        <w:rPr>
          <w:color w:val="000000"/>
        </w:rPr>
        <w:tab/>
        <w:t>(a)</w:t>
      </w:r>
      <w:r w:rsidRPr="00D97EFB">
        <w:rPr>
          <w:color w:val="000000"/>
        </w:rPr>
        <w:tab/>
        <w:t>is a regulated principal mentioned in item 1 of the table in section 1430 of the Act, and whose financial services licence covers regulated activities for a regulated principal of that kind; and</w:t>
      </w:r>
    </w:p>
    <w:p w14:paraId="59989B02" w14:textId="77777777" w:rsidR="00E93F58" w:rsidRPr="00D97EFB" w:rsidRDefault="00E93F58" w:rsidP="00BB7E31">
      <w:pPr>
        <w:pStyle w:val="paragraph"/>
      </w:pPr>
      <w:r w:rsidRPr="00D97EFB">
        <w:tab/>
        <w:t>(b)</w:t>
      </w:r>
      <w:r w:rsidRPr="00D97EFB">
        <w:tab/>
        <w:t>is not a body corporate (other than a proprietary company) to which section 327 of the old Corporations Act applies.</w:t>
      </w:r>
    </w:p>
    <w:p w14:paraId="4E7F9389" w14:textId="77777777" w:rsidR="00E93F58" w:rsidRPr="00D97EFB" w:rsidRDefault="00E93F58" w:rsidP="00BB7E31">
      <w:pPr>
        <w:pStyle w:val="subsection"/>
        <w:rPr>
          <w:color w:val="000000"/>
        </w:rPr>
      </w:pPr>
      <w:r w:rsidRPr="00D97EFB">
        <w:rPr>
          <w:color w:val="000000"/>
        </w:rPr>
        <w:tab/>
        <w:t>(2)</w:t>
      </w:r>
      <w:r w:rsidRPr="00D97EFB">
        <w:rPr>
          <w:color w:val="000000"/>
        </w:rPr>
        <w:tab/>
        <w:t>If:</w:t>
      </w:r>
    </w:p>
    <w:p w14:paraId="0F4BD99F" w14:textId="77777777" w:rsidR="00E93F58" w:rsidRPr="00D97EFB" w:rsidRDefault="00E93F58" w:rsidP="00BB7E31">
      <w:pPr>
        <w:pStyle w:val="paragraph"/>
        <w:rPr>
          <w:color w:val="000000"/>
        </w:rPr>
      </w:pPr>
      <w:r w:rsidRPr="00D97EFB">
        <w:rPr>
          <w:color w:val="000000"/>
        </w:rPr>
        <w:tab/>
        <w:t>(a)</w:t>
      </w:r>
      <w:r w:rsidRPr="00D97EFB">
        <w:rPr>
          <w:color w:val="000000"/>
        </w:rPr>
        <w:tab/>
        <w:t>there was no vacancy in the office of auditor of the regulated principal at the end of the transition period in relation to the person in the capacity of a regulated principal of that kind; and</w:t>
      </w:r>
    </w:p>
    <w:p w14:paraId="6BE85CFC" w14:textId="77777777" w:rsidR="00E93F58" w:rsidRPr="00D97EFB" w:rsidRDefault="00E93F58" w:rsidP="00BB7E31">
      <w:pPr>
        <w:pStyle w:val="paragraph"/>
      </w:pPr>
      <w:r w:rsidRPr="00D97EFB">
        <w:tab/>
        <w:t>(b)</w:t>
      </w:r>
      <w:r w:rsidRPr="00D97EFB">
        <w:tab/>
        <w:t>an auditor of the regulated principal would be eligible to continue to act as auditor of the financial services licensee;</w:t>
      </w:r>
    </w:p>
    <w:p w14:paraId="4C44208A" w14:textId="77777777" w:rsidR="00E93F58" w:rsidRPr="00D97EFB" w:rsidRDefault="00E93F58" w:rsidP="00BB7E31">
      <w:pPr>
        <w:pStyle w:val="subsection2"/>
        <w:rPr>
          <w:color w:val="000000"/>
        </w:rPr>
      </w:pPr>
      <w:r w:rsidRPr="00D97EFB">
        <w:rPr>
          <w:color w:val="000000"/>
        </w:rPr>
        <w:t>the auditor of the regulated principal is taken to have been appointed under section 990B of the Act as auditor of the licensee when the regulated principal became a financial services licensee in relation to the regulated activities of a regulated principal of that kind.</w:t>
      </w:r>
    </w:p>
    <w:p w14:paraId="6CA124AC" w14:textId="77777777" w:rsidR="00E93F58" w:rsidRPr="00D97EFB" w:rsidRDefault="00E93F58" w:rsidP="00BB7E31">
      <w:pPr>
        <w:pStyle w:val="subsection"/>
        <w:rPr>
          <w:color w:val="000000"/>
        </w:rPr>
      </w:pPr>
      <w:r w:rsidRPr="00D97EFB">
        <w:rPr>
          <w:color w:val="000000"/>
        </w:rPr>
        <w:tab/>
        <w:t>(3)</w:t>
      </w:r>
      <w:r w:rsidRPr="00D97EFB">
        <w:rPr>
          <w:color w:val="000000"/>
        </w:rPr>
        <w:tab/>
        <w:t>If:</w:t>
      </w:r>
    </w:p>
    <w:p w14:paraId="7D08D2D1" w14:textId="77777777" w:rsidR="00E93F58" w:rsidRPr="00D97EFB" w:rsidRDefault="00E93F58" w:rsidP="00BB7E31">
      <w:pPr>
        <w:pStyle w:val="paragraph"/>
        <w:rPr>
          <w:color w:val="000000"/>
        </w:rPr>
      </w:pPr>
      <w:r w:rsidRPr="00D97EFB">
        <w:rPr>
          <w:color w:val="000000"/>
        </w:rPr>
        <w:tab/>
        <w:t>(a)</w:t>
      </w:r>
      <w:r w:rsidRPr="00D97EFB">
        <w:rPr>
          <w:color w:val="000000"/>
        </w:rPr>
        <w:tab/>
        <w:t>there was no vacancy in the office of auditor of the regulated principal at the end of the transition period in relation to the person in the capacity of a regulated principal of that kind; and</w:t>
      </w:r>
    </w:p>
    <w:p w14:paraId="568C9156" w14:textId="77777777" w:rsidR="00E93F58" w:rsidRPr="00D97EFB" w:rsidRDefault="00E93F58" w:rsidP="00BB7E31">
      <w:pPr>
        <w:pStyle w:val="paragraph"/>
      </w:pPr>
      <w:r w:rsidRPr="00D97EFB">
        <w:tab/>
        <w:t>(b)</w:t>
      </w:r>
      <w:r w:rsidRPr="00D97EFB">
        <w:tab/>
        <w:t>the auditor of the regulated principal would not be eligible to continue to act as auditor of the financial services licensee;</w:t>
      </w:r>
    </w:p>
    <w:p w14:paraId="69B0825B" w14:textId="77777777" w:rsidR="00E93F58" w:rsidRPr="00D97EFB" w:rsidRDefault="00E93F58" w:rsidP="00BB7E31">
      <w:pPr>
        <w:pStyle w:val="subsection2"/>
        <w:rPr>
          <w:color w:val="000000"/>
        </w:rPr>
      </w:pPr>
      <w:r w:rsidRPr="00D97EFB">
        <w:rPr>
          <w:color w:val="000000"/>
        </w:rPr>
        <w:t>the auditor of the regulated principal is taken to have ceased to hold office at the time when the regulated principal became a financial services licensee in relation to the regulated activities of a regulated principal of that kind.</w:t>
      </w:r>
    </w:p>
    <w:p w14:paraId="3385CF66" w14:textId="77777777" w:rsidR="00E93F58" w:rsidRPr="00D97EFB" w:rsidRDefault="00E93F58" w:rsidP="00BB7E31">
      <w:pPr>
        <w:pStyle w:val="subsection"/>
        <w:rPr>
          <w:color w:val="000000"/>
        </w:rPr>
      </w:pPr>
      <w:r w:rsidRPr="00D97EFB">
        <w:rPr>
          <w:color w:val="000000"/>
        </w:rPr>
        <w:tab/>
        <w:t>(4)</w:t>
      </w:r>
      <w:r w:rsidRPr="00D97EFB">
        <w:rPr>
          <w:color w:val="000000"/>
        </w:rPr>
        <w:tab/>
        <w:t>If:</w:t>
      </w:r>
    </w:p>
    <w:p w14:paraId="2F725CF0" w14:textId="77777777" w:rsidR="00E93F58" w:rsidRPr="00D97EFB" w:rsidRDefault="00E93F58" w:rsidP="00BB7E31">
      <w:pPr>
        <w:pStyle w:val="paragraph"/>
        <w:rPr>
          <w:color w:val="000000"/>
        </w:rPr>
      </w:pPr>
      <w:r w:rsidRPr="00D97EFB">
        <w:rPr>
          <w:color w:val="000000"/>
        </w:rPr>
        <w:tab/>
        <w:t>(a)</w:t>
      </w:r>
      <w:r w:rsidRPr="00D97EFB">
        <w:rPr>
          <w:color w:val="000000"/>
        </w:rPr>
        <w:tab/>
        <w:t>there was no vacancy in the office of auditor of the regulated principal at the end of the transition period in relation to the person in the capacity of a regulated principal of that kind; and</w:t>
      </w:r>
    </w:p>
    <w:p w14:paraId="516437B5" w14:textId="77777777" w:rsidR="00E93F58" w:rsidRPr="00D97EFB" w:rsidRDefault="00E93F58" w:rsidP="00BB7E31">
      <w:pPr>
        <w:pStyle w:val="paragraph"/>
      </w:pPr>
      <w:r w:rsidRPr="00D97EFB">
        <w:tab/>
        <w:t>(b)</w:t>
      </w:r>
      <w:r w:rsidRPr="00D97EFB">
        <w:tab/>
        <w:t>the auditor of the regulated principal would be eligible to continue to act as auditor of the financial services licensee; and</w:t>
      </w:r>
    </w:p>
    <w:p w14:paraId="0CB9F067" w14:textId="77777777" w:rsidR="00E93F58" w:rsidRPr="00D97EFB" w:rsidRDefault="00E93F58" w:rsidP="00BB7E31">
      <w:pPr>
        <w:pStyle w:val="paragraph"/>
      </w:pPr>
      <w:r w:rsidRPr="00D97EFB">
        <w:lastRenderedPageBreak/>
        <w:tab/>
        <w:t>(c)</w:t>
      </w:r>
      <w:r w:rsidRPr="00D97EFB">
        <w:tab/>
        <w:t>ASIC had previously consented to the removal or resignation of the auditor under section 858 of the old Corporations Act on a specified date after the regulated principal became a financial services licensee in relation to the regulated activities of a regulated principal of that kind;</w:t>
      </w:r>
    </w:p>
    <w:p w14:paraId="54484422" w14:textId="77777777" w:rsidR="00E93F58" w:rsidRPr="00D97EFB" w:rsidRDefault="00E93F58" w:rsidP="00BB7E31">
      <w:pPr>
        <w:pStyle w:val="subsection2"/>
        <w:rPr>
          <w:color w:val="000000"/>
        </w:rPr>
      </w:pPr>
      <w:r w:rsidRPr="00D97EFB">
        <w:rPr>
          <w:color w:val="000000"/>
        </w:rPr>
        <w:t>the auditor of the regulated principal is taken to have been appointed under section 990B of the Act when the regulated principal became a financial services licensee in relation to the regulated activities of a regulated principal of that kind, and ASIC is taken to have specified the date mentioned in paragraph (c) under section 990H of the Act.</w:t>
      </w:r>
    </w:p>
    <w:p w14:paraId="736AA656" w14:textId="77777777" w:rsidR="00E93F58" w:rsidRPr="00D97EFB" w:rsidRDefault="00E93F58" w:rsidP="00BB7E31">
      <w:pPr>
        <w:pStyle w:val="subsection"/>
        <w:rPr>
          <w:color w:val="000000"/>
        </w:rPr>
      </w:pPr>
      <w:r w:rsidRPr="00D97EFB">
        <w:rPr>
          <w:color w:val="000000"/>
        </w:rPr>
        <w:tab/>
        <w:t>(5)</w:t>
      </w:r>
      <w:r w:rsidRPr="00D97EFB">
        <w:rPr>
          <w:color w:val="000000"/>
        </w:rPr>
        <w:tab/>
        <w:t>If there was a vacancy in the office of the auditor of the regulated principal mentioned in item 1 of the table in section 1430 of the Act when the regulated principal became a financial services licensee in relation to the regulated activities of a regulated principal of that kind, the licensee must appoint an auditor within 14 days after the day on which the vacancy occurred in accordance with subsections 990B(4) and (5) of the Act.</w:t>
      </w:r>
    </w:p>
    <w:p w14:paraId="5D7C3736" w14:textId="77777777" w:rsidR="00E93F58" w:rsidRPr="00D97EFB" w:rsidRDefault="00E93F58" w:rsidP="00BB7E31">
      <w:pPr>
        <w:pStyle w:val="subsection"/>
      </w:pPr>
      <w:r w:rsidRPr="00D97EFB">
        <w:tab/>
        <w:t>(6)</w:t>
      </w:r>
      <w:r w:rsidRPr="00D97EFB">
        <w:tab/>
        <w:t>Subregulation (5) does not apply to a financial services licensee in relation to which an auditor has already been appointed under section 990B of the Act.</w:t>
      </w:r>
    </w:p>
    <w:p w14:paraId="015F0A22" w14:textId="77777777" w:rsidR="00E93F58" w:rsidRPr="00D97EFB" w:rsidRDefault="00E93F58" w:rsidP="00BB7E31">
      <w:pPr>
        <w:pStyle w:val="ActHead5"/>
      </w:pPr>
      <w:bookmarkStart w:id="2496" w:name="_Toc151994527"/>
      <w:bookmarkStart w:id="2497" w:name="_Toc158713037"/>
      <w:r w:rsidRPr="000D40D5">
        <w:rPr>
          <w:rStyle w:val="CharSectno"/>
        </w:rPr>
        <w:t>10.2.66</w:t>
      </w:r>
      <w:r w:rsidRPr="00D97EFB">
        <w:t xml:space="preserve">  Auditors: certain financial services licensees who held a futures broker’s licence</w:t>
      </w:r>
      <w:bookmarkEnd w:id="2496"/>
      <w:bookmarkEnd w:id="2497"/>
    </w:p>
    <w:p w14:paraId="361462F7" w14:textId="77777777" w:rsidR="00E93F58" w:rsidRPr="00D97EFB" w:rsidRDefault="00E93F58" w:rsidP="00BB7E31">
      <w:pPr>
        <w:pStyle w:val="subsection"/>
        <w:rPr>
          <w:color w:val="000000"/>
        </w:rPr>
      </w:pPr>
      <w:r w:rsidRPr="00D97EFB">
        <w:rPr>
          <w:color w:val="000000"/>
        </w:rPr>
        <w:tab/>
        <w:t>(1)</w:t>
      </w:r>
      <w:r w:rsidRPr="00D97EFB">
        <w:rPr>
          <w:color w:val="000000"/>
        </w:rPr>
        <w:tab/>
        <w:t>For section 1444 of the Act, this regulation applies in relation to a financial services licensee who:</w:t>
      </w:r>
    </w:p>
    <w:p w14:paraId="47256271" w14:textId="77777777" w:rsidR="00E93F58" w:rsidRPr="00D97EFB" w:rsidRDefault="00E93F58" w:rsidP="00BB7E31">
      <w:pPr>
        <w:pStyle w:val="paragraph"/>
        <w:rPr>
          <w:color w:val="000000"/>
        </w:rPr>
      </w:pPr>
      <w:r w:rsidRPr="00D97EFB">
        <w:rPr>
          <w:color w:val="000000"/>
        </w:rPr>
        <w:tab/>
        <w:t>(a)</w:t>
      </w:r>
      <w:r w:rsidRPr="00D97EFB">
        <w:rPr>
          <w:color w:val="000000"/>
        </w:rPr>
        <w:tab/>
        <w:t>is a regulated principal mentioned in item 3 of the table in section 1430 of the Act; and</w:t>
      </w:r>
    </w:p>
    <w:p w14:paraId="003E5DA6"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 and</w:t>
      </w:r>
    </w:p>
    <w:p w14:paraId="739B5F8D" w14:textId="77777777" w:rsidR="00E93F58" w:rsidRPr="00D97EFB" w:rsidRDefault="00E93F58" w:rsidP="00BB7E31">
      <w:pPr>
        <w:pStyle w:val="paragraph"/>
      </w:pPr>
      <w:r w:rsidRPr="00D97EFB">
        <w:tab/>
        <w:t>(c)</w:t>
      </w:r>
      <w:r w:rsidRPr="00D97EFB">
        <w:tab/>
        <w:t>is not a body corporate (other than a proprietary company) in relation to which section 327 of the old Corporations Act applies.</w:t>
      </w:r>
    </w:p>
    <w:p w14:paraId="2AAD918C" w14:textId="77777777" w:rsidR="00E93F58" w:rsidRPr="00D97EFB" w:rsidRDefault="00E93F58" w:rsidP="00BB7E31">
      <w:pPr>
        <w:pStyle w:val="subsection"/>
        <w:rPr>
          <w:color w:val="000000"/>
        </w:rPr>
      </w:pPr>
      <w:r w:rsidRPr="00D97EFB">
        <w:rPr>
          <w:color w:val="000000"/>
        </w:rPr>
        <w:tab/>
        <w:t>(2)</w:t>
      </w:r>
      <w:r w:rsidRPr="00D97EFB">
        <w:rPr>
          <w:color w:val="000000"/>
        </w:rPr>
        <w:tab/>
        <w:t>If:</w:t>
      </w:r>
    </w:p>
    <w:p w14:paraId="5FB56A52" w14:textId="77777777" w:rsidR="00E93F58" w:rsidRPr="00D97EFB" w:rsidRDefault="00E93F58" w:rsidP="00BB7E31">
      <w:pPr>
        <w:pStyle w:val="paragraph"/>
        <w:rPr>
          <w:color w:val="000000"/>
        </w:rPr>
      </w:pPr>
      <w:r w:rsidRPr="00D97EFB">
        <w:rPr>
          <w:color w:val="000000"/>
        </w:rPr>
        <w:tab/>
        <w:t>(a)</w:t>
      </w:r>
      <w:r w:rsidRPr="00D97EFB">
        <w:rPr>
          <w:color w:val="000000"/>
        </w:rPr>
        <w:tab/>
        <w:t>there was no vacancy in the office of auditor of the regulated principal at the end of the transition period in relation to the person in the capacity of a regulated principal of that kind; and</w:t>
      </w:r>
    </w:p>
    <w:p w14:paraId="4DBCAA0C" w14:textId="77777777" w:rsidR="00E93F58" w:rsidRPr="00D97EFB" w:rsidRDefault="00E93F58" w:rsidP="00BB7E31">
      <w:pPr>
        <w:pStyle w:val="paragraph"/>
      </w:pPr>
      <w:r w:rsidRPr="00D97EFB">
        <w:tab/>
        <w:t>(b)</w:t>
      </w:r>
      <w:r w:rsidRPr="00D97EFB">
        <w:tab/>
        <w:t>an auditor of the regulated principal would be eligible to continue to act as auditor of the financial services licensee;</w:t>
      </w:r>
    </w:p>
    <w:p w14:paraId="59D47B87" w14:textId="77777777" w:rsidR="00E93F58" w:rsidRPr="00D97EFB" w:rsidRDefault="00E93F58" w:rsidP="00BB7E31">
      <w:pPr>
        <w:pStyle w:val="subsection2"/>
        <w:rPr>
          <w:color w:val="000000"/>
        </w:rPr>
      </w:pPr>
      <w:r w:rsidRPr="00D97EFB">
        <w:rPr>
          <w:color w:val="000000"/>
        </w:rPr>
        <w:t>the auditor of the regulated principal is taken to have been appointed under section 990B of the Act as auditor of the licensee when the regulated principal became a financial services licensee in relation to the regulated activities of a regulated principal of that kind.</w:t>
      </w:r>
    </w:p>
    <w:p w14:paraId="4793DCD5" w14:textId="77777777" w:rsidR="00E93F58" w:rsidRPr="00D97EFB" w:rsidRDefault="00E93F58" w:rsidP="00BB7E31">
      <w:pPr>
        <w:pStyle w:val="subsection"/>
      </w:pPr>
      <w:r w:rsidRPr="00D97EFB">
        <w:tab/>
        <w:t>(3)</w:t>
      </w:r>
      <w:r w:rsidRPr="00D97EFB">
        <w:tab/>
        <w:t>If:</w:t>
      </w:r>
    </w:p>
    <w:p w14:paraId="0E8BBBB6" w14:textId="77777777" w:rsidR="00E93F58" w:rsidRPr="00D97EFB" w:rsidRDefault="00E93F58" w:rsidP="00BB7E31">
      <w:pPr>
        <w:pStyle w:val="paragraph"/>
        <w:rPr>
          <w:color w:val="000000"/>
        </w:rPr>
      </w:pPr>
      <w:r w:rsidRPr="00D97EFB">
        <w:rPr>
          <w:color w:val="000000"/>
        </w:rPr>
        <w:tab/>
        <w:t>(a)</w:t>
      </w:r>
      <w:r w:rsidRPr="00D97EFB">
        <w:rPr>
          <w:color w:val="000000"/>
        </w:rPr>
        <w:tab/>
        <w:t>there was no vacancy in the office of auditor of the regulated principal at the end of the transition period in relation to the person in the capacity of a regulated principal of that kind; and</w:t>
      </w:r>
    </w:p>
    <w:p w14:paraId="21ACF0EA" w14:textId="77777777" w:rsidR="00E93F58" w:rsidRPr="00D97EFB" w:rsidRDefault="00E93F58" w:rsidP="00BB7E31">
      <w:pPr>
        <w:pStyle w:val="paragraph"/>
      </w:pPr>
      <w:r w:rsidRPr="00D97EFB">
        <w:tab/>
        <w:t>(b)</w:t>
      </w:r>
      <w:r w:rsidRPr="00D97EFB">
        <w:tab/>
        <w:t>the auditor of the regulated principal would not be eligible to continue to act as auditor of the financial services licensee;</w:t>
      </w:r>
    </w:p>
    <w:p w14:paraId="02A2F28A" w14:textId="77777777" w:rsidR="00E93F58" w:rsidRPr="00D97EFB" w:rsidRDefault="00E93F58" w:rsidP="00BB7E31">
      <w:pPr>
        <w:pStyle w:val="subsection2"/>
        <w:rPr>
          <w:color w:val="000000"/>
        </w:rPr>
      </w:pPr>
      <w:r w:rsidRPr="00D97EFB">
        <w:rPr>
          <w:color w:val="000000"/>
        </w:rPr>
        <w:t>the auditor of the regulated principal is taken to have ceased to hold office at the time when the regulated principal became a financial services licensee in relation to the regulated activities of a regulated principal of that kind.</w:t>
      </w:r>
    </w:p>
    <w:p w14:paraId="403F4E15" w14:textId="77777777" w:rsidR="00E93F58" w:rsidRPr="00D97EFB" w:rsidRDefault="00E93F58" w:rsidP="00BB7E31">
      <w:pPr>
        <w:pStyle w:val="subsection"/>
        <w:rPr>
          <w:color w:val="000000"/>
        </w:rPr>
      </w:pPr>
      <w:r w:rsidRPr="00D97EFB">
        <w:rPr>
          <w:color w:val="000000"/>
        </w:rPr>
        <w:tab/>
        <w:t>(4)</w:t>
      </w:r>
      <w:r w:rsidRPr="00D97EFB">
        <w:rPr>
          <w:color w:val="000000"/>
        </w:rPr>
        <w:tab/>
        <w:t>If:</w:t>
      </w:r>
    </w:p>
    <w:p w14:paraId="57A34D14" w14:textId="77777777" w:rsidR="00E93F58" w:rsidRPr="00D97EFB" w:rsidRDefault="00E93F58" w:rsidP="00BB7E31">
      <w:pPr>
        <w:pStyle w:val="paragraph"/>
        <w:rPr>
          <w:color w:val="000000"/>
        </w:rPr>
      </w:pPr>
      <w:r w:rsidRPr="00D97EFB">
        <w:rPr>
          <w:color w:val="000000"/>
        </w:rPr>
        <w:tab/>
        <w:t>(a)</w:t>
      </w:r>
      <w:r w:rsidRPr="00D97EFB">
        <w:rPr>
          <w:color w:val="000000"/>
        </w:rPr>
        <w:tab/>
        <w:t>there was no vacancy in the office of auditor of the regulated principal at the end of the transition period in relation to the person in the capacity of a regulated principal of that kind; and</w:t>
      </w:r>
    </w:p>
    <w:p w14:paraId="2ED0D3C1" w14:textId="77777777" w:rsidR="00E93F58" w:rsidRPr="00D97EFB" w:rsidRDefault="00E93F58" w:rsidP="00BB7E31">
      <w:pPr>
        <w:pStyle w:val="paragraph"/>
      </w:pPr>
      <w:r w:rsidRPr="00D97EFB">
        <w:tab/>
        <w:t>(b)</w:t>
      </w:r>
      <w:r w:rsidRPr="00D97EFB">
        <w:tab/>
        <w:t>the auditor of the regulated principal would be eligible to continue to act as auditor of the financial services licensee; and</w:t>
      </w:r>
    </w:p>
    <w:p w14:paraId="1C5864A3" w14:textId="77777777" w:rsidR="00E93F58" w:rsidRPr="00D97EFB" w:rsidRDefault="00E93F58" w:rsidP="00BB7E31">
      <w:pPr>
        <w:pStyle w:val="paragraph"/>
      </w:pPr>
      <w:r w:rsidRPr="00D97EFB">
        <w:tab/>
        <w:t>(c)</w:t>
      </w:r>
      <w:r w:rsidRPr="00D97EFB">
        <w:tab/>
        <w:t>ASIC had previously consented to the removal or resignation of the auditor under section 1216 of the old Corporations Act on a specified date after the regulated principal became a financial services licensee in relation to the regulated activities of a regulated principal of that kind;</w:t>
      </w:r>
    </w:p>
    <w:p w14:paraId="06198CAC" w14:textId="77777777" w:rsidR="00E93F58" w:rsidRPr="00D97EFB" w:rsidRDefault="00E93F58" w:rsidP="00BB7E31">
      <w:pPr>
        <w:pStyle w:val="subsection2"/>
        <w:rPr>
          <w:color w:val="000000"/>
        </w:rPr>
      </w:pPr>
      <w:r w:rsidRPr="00D97EFB">
        <w:rPr>
          <w:color w:val="000000"/>
        </w:rPr>
        <w:t>the auditor of the regulated principal is taken to have been appointed under section 990B of the Act when the regulated principal became a financial services licensee in relation to the regulated activities of a regulated principal of that kind, and ASIC is taken to have specified the date mentioned in paragraph (c) under section 990H of the Act.</w:t>
      </w:r>
    </w:p>
    <w:p w14:paraId="1D365297" w14:textId="77777777" w:rsidR="00E93F58" w:rsidRPr="00D97EFB" w:rsidRDefault="00E93F58" w:rsidP="00BB7E31">
      <w:pPr>
        <w:pStyle w:val="subsection"/>
        <w:rPr>
          <w:color w:val="000000"/>
        </w:rPr>
      </w:pPr>
      <w:r w:rsidRPr="00D97EFB">
        <w:rPr>
          <w:color w:val="000000"/>
        </w:rPr>
        <w:tab/>
        <w:t>(5)</w:t>
      </w:r>
      <w:r w:rsidRPr="00D97EFB">
        <w:rPr>
          <w:color w:val="000000"/>
        </w:rPr>
        <w:tab/>
        <w:t>If there was a vacancy in the office of the auditor of a regulated principal mentioned in item 3 of the table in section 1430 of the Act when the regulated principal became a financial services licensee in relation to the regulated activities of a regulated principal of that kind, the licensee must appoint an auditor within 14 days after the day on which the vacancy occurred in accordance with subsections 990B(4) and (5) of the Act.</w:t>
      </w:r>
    </w:p>
    <w:p w14:paraId="480B35DC" w14:textId="77777777" w:rsidR="00E93F58" w:rsidRPr="00D97EFB" w:rsidRDefault="00E93F58" w:rsidP="00BB7E31">
      <w:pPr>
        <w:pStyle w:val="subsection"/>
      </w:pPr>
      <w:r w:rsidRPr="00D97EFB">
        <w:lastRenderedPageBreak/>
        <w:tab/>
        <w:t>(6)</w:t>
      </w:r>
      <w:r w:rsidRPr="00D97EFB">
        <w:tab/>
        <w:t>Subregulation (5) does not apply to a financial services licensee in relation to which an auditor has already been appointed under section 990B of the Act.</w:t>
      </w:r>
    </w:p>
    <w:p w14:paraId="711E0BF1" w14:textId="77777777" w:rsidR="00E93F58" w:rsidRPr="00D97EFB" w:rsidRDefault="00E93F58" w:rsidP="00BB7E31">
      <w:pPr>
        <w:pStyle w:val="ActHead5"/>
      </w:pPr>
      <w:bookmarkStart w:id="2498" w:name="_Toc151994528"/>
      <w:bookmarkStart w:id="2499" w:name="_Toc158713038"/>
      <w:r w:rsidRPr="000D40D5">
        <w:rPr>
          <w:rStyle w:val="CharSectno"/>
        </w:rPr>
        <w:t>10.2.67</w:t>
      </w:r>
      <w:r w:rsidRPr="00D97EFB">
        <w:t xml:space="preserve">  Auditor’s report in certain matters: financial services licensee who formerly held a dealer’s licence</w:t>
      </w:r>
      <w:bookmarkEnd w:id="2498"/>
      <w:bookmarkEnd w:id="2499"/>
    </w:p>
    <w:p w14:paraId="28BD0048" w14:textId="77777777" w:rsidR="00E93F58" w:rsidRPr="00D97EFB" w:rsidRDefault="00E93F58" w:rsidP="00BB7E31">
      <w:pPr>
        <w:pStyle w:val="subsection"/>
      </w:pPr>
      <w:r w:rsidRPr="00D97EFB">
        <w:tab/>
        <w:t>(1)</w:t>
      </w:r>
      <w:r w:rsidRPr="00D97EFB">
        <w:tab/>
        <w:t>For section 1444 of the Act, this regulation applies in relation to a financial services licensee:</w:t>
      </w:r>
    </w:p>
    <w:p w14:paraId="75C09B00"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1 of the table in section 1430 of the Act; and</w:t>
      </w:r>
    </w:p>
    <w:p w14:paraId="79074ED3"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w:t>
      </w:r>
    </w:p>
    <w:p w14:paraId="2867F05C" w14:textId="77777777" w:rsidR="00E93F58" w:rsidRPr="00D97EFB" w:rsidRDefault="00E93F58" w:rsidP="00BB7E31">
      <w:pPr>
        <w:pStyle w:val="subsection"/>
        <w:rPr>
          <w:color w:val="000000"/>
        </w:rPr>
      </w:pPr>
      <w:r w:rsidRPr="00D97EFB">
        <w:rPr>
          <w:color w:val="000000"/>
        </w:rPr>
        <w:tab/>
        <w:t>(2)</w:t>
      </w:r>
      <w:r w:rsidRPr="00D97EFB">
        <w:rPr>
          <w:color w:val="000000"/>
        </w:rPr>
        <w:tab/>
        <w:t>Section 990K of the Act applies in relation to an auditor of a financial services licensee mentioned in subregulation (1) as if subsection 990K(2) required the auditor to give a report on any matter that, in the opinion of the auditor:</w:t>
      </w:r>
    </w:p>
    <w:p w14:paraId="367CCF11" w14:textId="77777777" w:rsidR="00E93F58" w:rsidRPr="00D97EFB" w:rsidRDefault="00E93F58" w:rsidP="00BB7E31">
      <w:pPr>
        <w:pStyle w:val="paragraph"/>
      </w:pPr>
      <w:r w:rsidRPr="00D97EFB">
        <w:rPr>
          <w:color w:val="000000"/>
        </w:rPr>
        <w:tab/>
        <w:t>(a)</w:t>
      </w:r>
      <w:r w:rsidRPr="00D97EFB">
        <w:rPr>
          <w:color w:val="000000"/>
        </w:rPr>
        <w:tab/>
        <w:t>adversely affected the ability of the licensee to meet its obligations as a securities dealer before the time that it became a financial services licensee in relation to the regulated activities mentioned in item 1 of the table in section 1430 of the Act; or</w:t>
      </w:r>
    </w:p>
    <w:p w14:paraId="6D208A40" w14:textId="77777777" w:rsidR="00E93F58" w:rsidRPr="00D97EFB" w:rsidRDefault="00E93F58" w:rsidP="00BB7E31">
      <w:pPr>
        <w:pStyle w:val="paragraph"/>
      </w:pPr>
      <w:r w:rsidRPr="00D97EFB">
        <w:tab/>
        <w:t>(b)</w:t>
      </w:r>
      <w:r w:rsidRPr="00D97EFB">
        <w:tab/>
        <w:t>constitutes, or may constitute, a contravention of the condition of the dealers licence held by the licensee before the time that it became a financial services licensee in relation to the regulated activities mentioned in item 1 of the table in section 1430 of the Act; or</w:t>
      </w:r>
    </w:p>
    <w:p w14:paraId="1464B99B" w14:textId="77777777" w:rsidR="00E93F58" w:rsidRPr="00D97EFB" w:rsidRDefault="00E93F58" w:rsidP="00BB7E31">
      <w:pPr>
        <w:pStyle w:val="paragraph"/>
      </w:pPr>
      <w:r w:rsidRPr="00D97EFB">
        <w:tab/>
        <w:t>(c)</w:t>
      </w:r>
      <w:r w:rsidRPr="00D97EFB">
        <w:tab/>
        <w:t>constitutes, or may constitute, a contravention of section 856, 866, 867, 868, 869, 870, 871, 872 or 873, or Part 7.7 of the old Corporations Act.</w:t>
      </w:r>
    </w:p>
    <w:p w14:paraId="773128A0" w14:textId="77777777" w:rsidR="00E93F58" w:rsidRPr="00D97EFB" w:rsidRDefault="00E93F58" w:rsidP="00BB7E31">
      <w:pPr>
        <w:pStyle w:val="ActHead5"/>
      </w:pPr>
      <w:bookmarkStart w:id="2500" w:name="_Toc151994529"/>
      <w:bookmarkStart w:id="2501" w:name="_Toc158713039"/>
      <w:r w:rsidRPr="000D40D5">
        <w:rPr>
          <w:rStyle w:val="CharSectno"/>
        </w:rPr>
        <w:t>10.2.68</w:t>
      </w:r>
      <w:r w:rsidRPr="00D97EFB">
        <w:t xml:space="preserve">  Auditor’s report on certain matters: financial services licensee who formerly held a futures broker’s licence</w:t>
      </w:r>
      <w:bookmarkEnd w:id="2500"/>
      <w:bookmarkEnd w:id="2501"/>
    </w:p>
    <w:p w14:paraId="33F0809B" w14:textId="77777777" w:rsidR="00E93F58" w:rsidRPr="00D97EFB" w:rsidRDefault="00E93F58" w:rsidP="00BB7E31">
      <w:pPr>
        <w:pStyle w:val="subsection"/>
      </w:pPr>
      <w:r w:rsidRPr="00D97EFB">
        <w:tab/>
        <w:t>(1)</w:t>
      </w:r>
      <w:r w:rsidRPr="00D97EFB">
        <w:tab/>
        <w:t>For section 1444 of the Act, this regulation applies in relation to a financial services licensee:</w:t>
      </w:r>
    </w:p>
    <w:p w14:paraId="2C82852A"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3 of the table in section 1430 of the Act; and</w:t>
      </w:r>
    </w:p>
    <w:p w14:paraId="263B6158"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w:t>
      </w:r>
    </w:p>
    <w:p w14:paraId="4F123294" w14:textId="77777777" w:rsidR="00E93F58" w:rsidRPr="00D97EFB" w:rsidRDefault="00E93F58" w:rsidP="00BB7E31">
      <w:pPr>
        <w:pStyle w:val="subsection"/>
        <w:rPr>
          <w:color w:val="000000"/>
        </w:rPr>
      </w:pPr>
      <w:r w:rsidRPr="00D97EFB">
        <w:rPr>
          <w:color w:val="000000"/>
        </w:rPr>
        <w:tab/>
        <w:t>(2)</w:t>
      </w:r>
      <w:r w:rsidRPr="00D97EFB">
        <w:rPr>
          <w:color w:val="000000"/>
        </w:rPr>
        <w:tab/>
        <w:t>Section 990K of the Act applies in relation to an auditor of a financial services licensee mentioned in subregulation (1) as if subsection 990K(2) required the auditor to give a report on any matter that, in the opinion of the auditor:</w:t>
      </w:r>
    </w:p>
    <w:p w14:paraId="082B27CB" w14:textId="77777777" w:rsidR="00E93F58" w:rsidRPr="00D97EFB" w:rsidRDefault="00E93F58" w:rsidP="00BB7E31">
      <w:pPr>
        <w:pStyle w:val="paragraph"/>
      </w:pPr>
      <w:r w:rsidRPr="00D97EFB">
        <w:rPr>
          <w:color w:val="000000"/>
        </w:rPr>
        <w:tab/>
        <w:t>(a)</w:t>
      </w:r>
      <w:r w:rsidRPr="00D97EFB">
        <w:rPr>
          <w:color w:val="000000"/>
        </w:rPr>
        <w:tab/>
        <w:t>adversely affected the ability of the licensee to meet its obligations as a futures broker before the time that it became a financial services licensee in relation to the regulated activities mentioned in item 3 of the table in section 1430 of the Act; or</w:t>
      </w:r>
    </w:p>
    <w:p w14:paraId="7AA249EB" w14:textId="77777777" w:rsidR="00E93F58" w:rsidRPr="00D97EFB" w:rsidRDefault="00E93F58" w:rsidP="00BB7E31">
      <w:pPr>
        <w:pStyle w:val="paragraph"/>
      </w:pPr>
      <w:r w:rsidRPr="00D97EFB">
        <w:tab/>
        <w:t>(b)</w:t>
      </w:r>
      <w:r w:rsidRPr="00D97EFB">
        <w:tab/>
        <w:t>constitutes, or may constitute, a contravention of the condition of the futures brokers licence held by the licensee before the time that it became a financial services licensee in relation to the regulated activities mentioned in item 3 of the table in section 1430 of the Act; or</w:t>
      </w:r>
    </w:p>
    <w:p w14:paraId="3EFABEE6" w14:textId="77777777" w:rsidR="00E93F58" w:rsidRPr="00D97EFB" w:rsidRDefault="00E93F58" w:rsidP="00BB7E31">
      <w:pPr>
        <w:pStyle w:val="paragraph"/>
      </w:pPr>
      <w:r w:rsidRPr="00D97EFB">
        <w:tab/>
        <w:t>(c)</w:t>
      </w:r>
      <w:r w:rsidRPr="00D97EFB">
        <w:tab/>
        <w:t>constitutes, or may constitute, a contravention of section 1209, 1213 or 1214 of the old Corporations Act.</w:t>
      </w:r>
    </w:p>
    <w:p w14:paraId="347A4137" w14:textId="77777777" w:rsidR="00E93F58" w:rsidRPr="00D97EFB" w:rsidRDefault="00E93F58" w:rsidP="000A7E3B">
      <w:pPr>
        <w:pStyle w:val="ActHead5"/>
      </w:pPr>
      <w:bookmarkStart w:id="2502" w:name="_Toc151994530"/>
      <w:bookmarkStart w:id="2503" w:name="_Toc158713040"/>
      <w:r w:rsidRPr="000D40D5">
        <w:rPr>
          <w:rStyle w:val="CharSectno"/>
        </w:rPr>
        <w:t>10.2.69</w:t>
      </w:r>
      <w:r w:rsidRPr="00D97EFB">
        <w:t xml:space="preserve">  Auditor’s report on certain matters: financial services licensee who was formerly a registered insurance broker</w:t>
      </w:r>
      <w:bookmarkEnd w:id="2502"/>
      <w:bookmarkEnd w:id="2503"/>
    </w:p>
    <w:p w14:paraId="5124B5A5" w14:textId="77777777" w:rsidR="00E93F58" w:rsidRPr="00D97EFB" w:rsidRDefault="00E93F58" w:rsidP="000A7E3B">
      <w:pPr>
        <w:pStyle w:val="subsection"/>
        <w:keepNext/>
        <w:keepLines/>
      </w:pPr>
      <w:r w:rsidRPr="00D97EFB">
        <w:tab/>
        <w:t>(1)</w:t>
      </w:r>
      <w:r w:rsidRPr="00D97EFB">
        <w:tab/>
        <w:t>For section 1444 of the Act, this regulation applies in relation to a financial services licensee:</w:t>
      </w:r>
    </w:p>
    <w:p w14:paraId="08594C8B"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5 of the table in section 1430 of the Act; and</w:t>
      </w:r>
    </w:p>
    <w:p w14:paraId="64DA1C8D"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w:t>
      </w:r>
    </w:p>
    <w:p w14:paraId="1E8645EF" w14:textId="77777777" w:rsidR="00E93F58" w:rsidRPr="00D97EFB" w:rsidRDefault="00E93F58" w:rsidP="00BB7E31">
      <w:pPr>
        <w:pStyle w:val="subsection"/>
        <w:rPr>
          <w:color w:val="000000"/>
        </w:rPr>
      </w:pPr>
      <w:r w:rsidRPr="00D97EFB">
        <w:rPr>
          <w:color w:val="000000"/>
        </w:rPr>
        <w:tab/>
        <w:t>(2)</w:t>
      </w:r>
      <w:r w:rsidRPr="00D97EFB">
        <w:rPr>
          <w:color w:val="000000"/>
        </w:rPr>
        <w:tab/>
        <w:t xml:space="preserve">Section 990K of the Act applies in relation to an auditor of the financial services licensee as if subsection 990K(2) required the auditor to give a report on any matter that, in the opinion of the auditor, constitutes, or may constitute, a contravention of section 25C, 26 or 27 of the </w:t>
      </w:r>
      <w:r w:rsidRPr="00D97EFB">
        <w:rPr>
          <w:i/>
          <w:color w:val="000000"/>
        </w:rPr>
        <w:t>Insurance (Agents and Brokers) Act 1984</w:t>
      </w:r>
      <w:r w:rsidRPr="00D97EFB">
        <w:rPr>
          <w:color w:val="000000"/>
        </w:rPr>
        <w:t>.</w:t>
      </w:r>
    </w:p>
    <w:p w14:paraId="2035AD34" w14:textId="77777777" w:rsidR="00E93F58" w:rsidRPr="00D97EFB" w:rsidRDefault="00E93F58" w:rsidP="00BB7E31">
      <w:pPr>
        <w:pStyle w:val="ActHead5"/>
      </w:pPr>
      <w:bookmarkStart w:id="2504" w:name="_Toc151994531"/>
      <w:bookmarkStart w:id="2505" w:name="_Toc158713041"/>
      <w:r w:rsidRPr="000D40D5">
        <w:rPr>
          <w:rStyle w:val="CharSectno"/>
        </w:rPr>
        <w:t>10.2.70</w:t>
      </w:r>
      <w:r w:rsidRPr="00D97EFB">
        <w:t xml:space="preserve">  Priority to clients’ orders: financial services licensee who held a dealers licence</w:t>
      </w:r>
      <w:bookmarkEnd w:id="2504"/>
      <w:bookmarkEnd w:id="2505"/>
    </w:p>
    <w:p w14:paraId="46427364" w14:textId="77777777" w:rsidR="00E93F58" w:rsidRPr="00D97EFB" w:rsidRDefault="00E93F58" w:rsidP="00BB7E31">
      <w:pPr>
        <w:pStyle w:val="subsection"/>
      </w:pPr>
      <w:r w:rsidRPr="00D97EFB">
        <w:tab/>
        <w:t>(1)</w:t>
      </w:r>
      <w:r w:rsidRPr="00D97EFB">
        <w:tab/>
        <w:t>For section 1444 of the Act, this regulation applies in relation to a financial services licensee:</w:t>
      </w:r>
    </w:p>
    <w:p w14:paraId="7E519273"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1 of the table in section 1430 of the Act; and</w:t>
      </w:r>
    </w:p>
    <w:p w14:paraId="1A6C3ECA"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w:t>
      </w:r>
    </w:p>
    <w:p w14:paraId="45B18C58" w14:textId="77777777" w:rsidR="00E93F58" w:rsidRPr="00D97EFB" w:rsidRDefault="00E93F58" w:rsidP="00BB7E31">
      <w:pPr>
        <w:pStyle w:val="subsection2"/>
        <w:rPr>
          <w:color w:val="000000"/>
        </w:rPr>
      </w:pPr>
      <w:r w:rsidRPr="00D97EFB">
        <w:rPr>
          <w:color w:val="000000"/>
        </w:rPr>
        <w:t xml:space="preserve">in relation to instructions to buy or sell securities (as defined for the purposes of Part 7.4 of Chapter 7 of the old Corporations Act) that were received by the licensee from a client who was not an associate of the </w:t>
      </w:r>
      <w:r w:rsidRPr="00D97EFB">
        <w:rPr>
          <w:color w:val="000000"/>
        </w:rPr>
        <w:lastRenderedPageBreak/>
        <w:t>licensee before the end of the transition period in relation to the person in the capacity of a regulated principal of that kind.</w:t>
      </w:r>
    </w:p>
    <w:p w14:paraId="4761F851" w14:textId="77777777" w:rsidR="00E93F58" w:rsidRPr="00D97EFB" w:rsidRDefault="00E93F58" w:rsidP="00BB7E31">
      <w:pPr>
        <w:pStyle w:val="subsection"/>
      </w:pPr>
      <w:r w:rsidRPr="00D97EFB">
        <w:tab/>
        <w:t>(2)</w:t>
      </w:r>
      <w:r w:rsidRPr="00D97EFB">
        <w:tab/>
        <w:t>Section 844 of the old Corporations Act, and any associated provisions, continue to apply in relation to the regulated principal after the end of the transition period in relation to the person entering into a transaction in securities of the same class as those to which the instructions relates as if the person were a dealer within the meaning of the old Corporations Act.</w:t>
      </w:r>
    </w:p>
    <w:p w14:paraId="148007EE" w14:textId="77777777" w:rsidR="00E93F58" w:rsidRPr="00D97EFB" w:rsidRDefault="00E93F58" w:rsidP="00BB7E31">
      <w:pPr>
        <w:pStyle w:val="subsection"/>
      </w:pPr>
      <w:r w:rsidRPr="00D97EFB">
        <w:tab/>
        <w:t>(3)</w:t>
      </w:r>
      <w:r w:rsidRPr="00D97EFB">
        <w:tab/>
        <w:t>This regulation applies until the regulated principal has complied with the instructions.</w:t>
      </w:r>
    </w:p>
    <w:p w14:paraId="0EBCFA66" w14:textId="77777777" w:rsidR="00E93F58" w:rsidRPr="00D97EFB" w:rsidRDefault="00E93F58" w:rsidP="00BB7E31">
      <w:pPr>
        <w:pStyle w:val="ActHead5"/>
      </w:pPr>
      <w:bookmarkStart w:id="2506" w:name="_Toc151994532"/>
      <w:bookmarkStart w:id="2507" w:name="_Toc158713042"/>
      <w:r w:rsidRPr="000D40D5">
        <w:rPr>
          <w:rStyle w:val="CharSectno"/>
        </w:rPr>
        <w:t>10.2.71</w:t>
      </w:r>
      <w:r w:rsidRPr="00D97EFB">
        <w:t xml:space="preserve">  Sequencing of instructions to deal through licensed markets: financial services licensee who formerly held a futures brokers licence</w:t>
      </w:r>
      <w:bookmarkEnd w:id="2506"/>
      <w:bookmarkEnd w:id="2507"/>
    </w:p>
    <w:p w14:paraId="02DED2BB" w14:textId="77777777" w:rsidR="00E93F58" w:rsidRPr="00D97EFB" w:rsidRDefault="00E93F58" w:rsidP="00BB7E31">
      <w:pPr>
        <w:pStyle w:val="subsection"/>
      </w:pPr>
      <w:r w:rsidRPr="00D97EFB">
        <w:tab/>
        <w:t>(1)</w:t>
      </w:r>
      <w:r w:rsidRPr="00D97EFB">
        <w:tab/>
        <w:t>For section 1444 of the Act, this regulation applies in relation to a financial services licensee:</w:t>
      </w:r>
    </w:p>
    <w:p w14:paraId="394701D6"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3 of the table in section 1430 of the Act; and</w:t>
      </w:r>
    </w:p>
    <w:p w14:paraId="741E4788"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w:t>
      </w:r>
    </w:p>
    <w:p w14:paraId="48AB269D" w14:textId="77777777" w:rsidR="00E93F58" w:rsidRPr="00D97EFB" w:rsidRDefault="00E93F58" w:rsidP="00BB7E31">
      <w:pPr>
        <w:pStyle w:val="subsection2"/>
        <w:rPr>
          <w:color w:val="000000"/>
        </w:rPr>
      </w:pPr>
      <w:r w:rsidRPr="00D97EFB">
        <w:rPr>
          <w:color w:val="000000"/>
        </w:rPr>
        <w:t>in relation to instructions to deal in a class of futures contracts (within the meaning of section 72 of the old Corporations Act) that were received by the licensee before the licensee became a financial services licensee.</w:t>
      </w:r>
    </w:p>
    <w:p w14:paraId="68F538C3" w14:textId="77777777" w:rsidR="00E93F58" w:rsidRPr="00D97EFB" w:rsidRDefault="00E93F58" w:rsidP="00BB7E31">
      <w:pPr>
        <w:pStyle w:val="subsection"/>
      </w:pPr>
      <w:r w:rsidRPr="00D97EFB">
        <w:tab/>
        <w:t>(2)</w:t>
      </w:r>
      <w:r w:rsidRPr="00D97EFB">
        <w:tab/>
        <w:t>Section 1266 of the old Corporations Act (other than subsections 1266(7) and (8)), and any associated provisions, continue to apply in relation to the regulated principal after the end of the transition period in relation to the person entering into a transaction in derivatives of the same class as those to which the instructions relates as if the person were a futures broker within the meaning of the old Corporations Act.</w:t>
      </w:r>
    </w:p>
    <w:p w14:paraId="228F87FA" w14:textId="77777777" w:rsidR="00E93F58" w:rsidRPr="00D97EFB" w:rsidRDefault="00E93F58" w:rsidP="00BB7E31">
      <w:pPr>
        <w:pStyle w:val="subsection"/>
      </w:pPr>
      <w:r w:rsidRPr="00D97EFB">
        <w:tab/>
        <w:t>(3)</w:t>
      </w:r>
      <w:r w:rsidRPr="00D97EFB">
        <w:tab/>
        <w:t>This regulation applies until the regulated principal has complied with the instructions.</w:t>
      </w:r>
    </w:p>
    <w:p w14:paraId="77605450" w14:textId="77777777" w:rsidR="00E93F58" w:rsidRPr="00D97EFB" w:rsidRDefault="00E93F58" w:rsidP="00BB7E31">
      <w:pPr>
        <w:pStyle w:val="ActHead5"/>
      </w:pPr>
      <w:bookmarkStart w:id="2508" w:name="_Toc151994533"/>
      <w:bookmarkStart w:id="2509" w:name="_Toc158713043"/>
      <w:r w:rsidRPr="000D40D5">
        <w:rPr>
          <w:rStyle w:val="CharSectno"/>
        </w:rPr>
        <w:t>10.2.72</w:t>
      </w:r>
      <w:r w:rsidRPr="00D97EFB">
        <w:t xml:space="preserve">  Records relating to instructions to deal through licensed markets: financial services licensee who held a futures brokers licence</w:t>
      </w:r>
      <w:bookmarkEnd w:id="2508"/>
      <w:bookmarkEnd w:id="2509"/>
    </w:p>
    <w:p w14:paraId="458F80BE" w14:textId="77777777" w:rsidR="00E93F58" w:rsidRPr="00D97EFB" w:rsidRDefault="00E93F58" w:rsidP="00BB7E31">
      <w:pPr>
        <w:pStyle w:val="subsection"/>
      </w:pPr>
      <w:r w:rsidRPr="00D97EFB">
        <w:tab/>
        <w:t>(1)</w:t>
      </w:r>
      <w:r w:rsidRPr="00D97EFB">
        <w:tab/>
        <w:t>For section 1444 of the Act, this regulation applies in relation to a financial services licensee:</w:t>
      </w:r>
    </w:p>
    <w:p w14:paraId="2D4AC048"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3 of the table in section 1430 of the Act; and</w:t>
      </w:r>
    </w:p>
    <w:p w14:paraId="27BF5A08"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w:t>
      </w:r>
    </w:p>
    <w:p w14:paraId="72EDB082" w14:textId="77777777" w:rsidR="00E93F58" w:rsidRPr="00D97EFB" w:rsidRDefault="00E93F58" w:rsidP="00BB7E31">
      <w:pPr>
        <w:pStyle w:val="subsection2"/>
        <w:rPr>
          <w:color w:val="000000"/>
        </w:rPr>
      </w:pPr>
      <w:r w:rsidRPr="00D97EFB">
        <w:rPr>
          <w:color w:val="000000"/>
        </w:rPr>
        <w:t>in relation to instructions to deal in futures contracts (within the meaning of section 72 of the old Corporations Act) that were received by the licensee before the end of the transition period in relation to the person in the capacity of a regulated principal of that kind.</w:t>
      </w:r>
    </w:p>
    <w:p w14:paraId="23994FA2" w14:textId="77777777" w:rsidR="00E93F58" w:rsidRPr="00D97EFB" w:rsidRDefault="00E93F58" w:rsidP="00BB7E31">
      <w:pPr>
        <w:pStyle w:val="subsection"/>
        <w:rPr>
          <w:color w:val="000000"/>
        </w:rPr>
      </w:pPr>
      <w:r w:rsidRPr="00D97EFB">
        <w:rPr>
          <w:color w:val="000000"/>
        </w:rPr>
        <w:tab/>
        <w:t>(2)</w:t>
      </w:r>
      <w:r w:rsidRPr="00D97EFB">
        <w:rPr>
          <w:color w:val="000000"/>
        </w:rPr>
        <w:tab/>
        <w:t>Subsections 1266(7) and (8) of the old Corporations Act, and any associated provisions, continue to apply in relation to the regulated principal after the end of the transition period in relation to the person in the capacity of a regulated principal of that kind as if the person were a futures broker within the meaning of the old Corporations Act.</w:t>
      </w:r>
    </w:p>
    <w:p w14:paraId="4B90BC9D" w14:textId="77777777" w:rsidR="00E93F58" w:rsidRPr="00D97EFB" w:rsidRDefault="00E93F58" w:rsidP="00BB7E31">
      <w:pPr>
        <w:pStyle w:val="ActHead5"/>
      </w:pPr>
      <w:bookmarkStart w:id="2510" w:name="_Toc151994534"/>
      <w:bookmarkStart w:id="2511" w:name="_Toc158713044"/>
      <w:r w:rsidRPr="000D40D5">
        <w:rPr>
          <w:rStyle w:val="CharSectno"/>
        </w:rPr>
        <w:t>10.2.73</w:t>
      </w:r>
      <w:r w:rsidRPr="00D97EFB">
        <w:t xml:space="preserve">  Dealing with non</w:t>
      </w:r>
      <w:r>
        <w:noBreakHyphen/>
      </w:r>
      <w:r w:rsidRPr="00D97EFB">
        <w:t>licensees: financial services licensee who held a dealers licence</w:t>
      </w:r>
      <w:bookmarkEnd w:id="2510"/>
      <w:bookmarkEnd w:id="2511"/>
    </w:p>
    <w:p w14:paraId="0AA0A6CF" w14:textId="77777777" w:rsidR="00E93F58" w:rsidRPr="00D97EFB" w:rsidRDefault="00E93F58" w:rsidP="00BB7E31">
      <w:pPr>
        <w:pStyle w:val="subsection"/>
      </w:pPr>
      <w:r w:rsidRPr="00D97EFB">
        <w:tab/>
        <w:t>(1)</w:t>
      </w:r>
      <w:r w:rsidRPr="00D97EFB">
        <w:tab/>
        <w:t>For section 1444 of the Act, this regulation applies in relation to a financial services licensee:</w:t>
      </w:r>
    </w:p>
    <w:p w14:paraId="502C0986" w14:textId="77777777" w:rsidR="00E93F58" w:rsidRPr="00D97EFB" w:rsidRDefault="00E93F58" w:rsidP="00BB7E31">
      <w:pPr>
        <w:pStyle w:val="paragraph"/>
        <w:rPr>
          <w:color w:val="000000"/>
        </w:rPr>
      </w:pPr>
      <w:r w:rsidRPr="00D97EFB">
        <w:rPr>
          <w:color w:val="000000"/>
        </w:rPr>
        <w:tab/>
        <w:t>(a)</w:t>
      </w:r>
      <w:r w:rsidRPr="00D97EFB">
        <w:rPr>
          <w:color w:val="000000"/>
        </w:rPr>
        <w:tab/>
        <w:t>who is a regulated principal mentioned in item 1 of the table in section 1430 of the Act; and</w:t>
      </w:r>
    </w:p>
    <w:p w14:paraId="4476279B" w14:textId="77777777" w:rsidR="00E93F58" w:rsidRPr="00D97EFB" w:rsidRDefault="00E93F58" w:rsidP="00BB7E31">
      <w:pPr>
        <w:pStyle w:val="paragraph"/>
      </w:pPr>
      <w:r w:rsidRPr="00D97EFB">
        <w:tab/>
        <w:t>(b)</w:t>
      </w:r>
      <w:r w:rsidRPr="00D97EFB">
        <w:tab/>
        <w:t>whose financial services licence covers regulated activities for a regulated principal of that kind, in relation to a transaction of sale or purchase of securities (as defined for the purposes of Part 7.4 of the old Corporations Act) with a non</w:t>
      </w:r>
      <w:r>
        <w:noBreakHyphen/>
      </w:r>
      <w:r w:rsidRPr="00D97EFB">
        <w:t>dealer (within the meaning of the old Corporations Act) that was entered into by the licensee, on the licensee’s own account, before the end of the transition period (within the meaning of subsection 1431(1) of the Act) that applied to the person in the capacity of a regulated principal of that kind.</w:t>
      </w:r>
    </w:p>
    <w:p w14:paraId="03DA3B8E" w14:textId="77777777" w:rsidR="00E93F58" w:rsidRPr="00D97EFB" w:rsidRDefault="00E93F58" w:rsidP="00BB7E31">
      <w:pPr>
        <w:pStyle w:val="subsection"/>
        <w:rPr>
          <w:color w:val="000000"/>
        </w:rPr>
      </w:pPr>
      <w:r w:rsidRPr="00D97EFB">
        <w:rPr>
          <w:color w:val="000000"/>
        </w:rPr>
        <w:tab/>
        <w:t>(2)</w:t>
      </w:r>
      <w:r w:rsidRPr="00D97EFB">
        <w:rPr>
          <w:color w:val="000000"/>
        </w:rPr>
        <w:tab/>
        <w:t>Section 843 of the old Corporations Act, and any associated provisions, continue to apply in relation to the regulated principal after the end of the transition period in relation to the person in the capacity of a regulated principal of that kind as if the person were a dealer within the meaning of the old Corporations Act.</w:t>
      </w:r>
    </w:p>
    <w:p w14:paraId="662B6CAF" w14:textId="77777777" w:rsidR="00E93F58" w:rsidRPr="00D97EFB" w:rsidRDefault="00E93F58" w:rsidP="00BB7E31">
      <w:pPr>
        <w:pStyle w:val="ActHead5"/>
      </w:pPr>
      <w:bookmarkStart w:id="2512" w:name="_Toc151994535"/>
      <w:bookmarkStart w:id="2513" w:name="_Toc158713045"/>
      <w:r w:rsidRPr="000D40D5">
        <w:rPr>
          <w:rStyle w:val="CharSectno"/>
        </w:rPr>
        <w:t>10.2.73A</w:t>
      </w:r>
      <w:r w:rsidRPr="00D97EFB">
        <w:t xml:space="preserve">  Advertising for financial products</w:t>
      </w:r>
      <w:bookmarkEnd w:id="2512"/>
      <w:bookmarkEnd w:id="2513"/>
    </w:p>
    <w:p w14:paraId="2AF554F6" w14:textId="77777777" w:rsidR="00E93F58" w:rsidRPr="00D97EFB" w:rsidRDefault="00E93F58" w:rsidP="00BB7E31">
      <w:pPr>
        <w:pStyle w:val="subsection"/>
      </w:pPr>
      <w:r w:rsidRPr="00D97EFB">
        <w:tab/>
        <w:t>(1)</w:t>
      </w:r>
      <w:r w:rsidRPr="00D97EFB">
        <w:tab/>
        <w:t>For section 1444 of the Act, this regulation applies in relation to:</w:t>
      </w:r>
    </w:p>
    <w:p w14:paraId="20C91D9D" w14:textId="77777777" w:rsidR="00E93F58" w:rsidRPr="00D97EFB" w:rsidRDefault="00E93F58" w:rsidP="00BB7E31">
      <w:pPr>
        <w:pStyle w:val="paragraph"/>
      </w:pPr>
      <w:r w:rsidRPr="00D97EFB">
        <w:tab/>
        <w:t>(a)</w:t>
      </w:r>
      <w:r w:rsidRPr="00D97EFB">
        <w:tab/>
        <w:t>a financial product; or</w:t>
      </w:r>
    </w:p>
    <w:p w14:paraId="5E81C502" w14:textId="77777777" w:rsidR="00E93F58" w:rsidRPr="00D97EFB" w:rsidRDefault="00E93F58" w:rsidP="00BB7E31">
      <w:pPr>
        <w:pStyle w:val="paragraph"/>
      </w:pPr>
      <w:r w:rsidRPr="00D97EFB">
        <w:tab/>
        <w:t>(b)</w:t>
      </w:r>
      <w:r w:rsidRPr="00D97EFB">
        <w:tab/>
        <w:t>a class of financial products that includes the financial product;</w:t>
      </w:r>
    </w:p>
    <w:p w14:paraId="336FC7AD" w14:textId="77777777" w:rsidR="00E93F58" w:rsidRPr="00D97EFB" w:rsidRDefault="00E93F58" w:rsidP="00BB7E31">
      <w:pPr>
        <w:pStyle w:val="subsection2"/>
      </w:pPr>
      <w:r w:rsidRPr="00D97EFB">
        <w:t>for which a notice has been lodged with ASIC in accordance with paragraph 1438(3)(b) of the Act.</w:t>
      </w:r>
    </w:p>
    <w:p w14:paraId="624C0B8A" w14:textId="77777777" w:rsidR="00E93F58" w:rsidRPr="00D97EFB" w:rsidRDefault="00E93F58" w:rsidP="00BB7E31">
      <w:pPr>
        <w:pStyle w:val="subsection"/>
      </w:pPr>
      <w:r w:rsidRPr="00D97EFB">
        <w:lastRenderedPageBreak/>
        <w:tab/>
        <w:t>(2)</w:t>
      </w:r>
      <w:r w:rsidRPr="00D97EFB">
        <w:tab/>
        <w:t>At any time in the period of 3 months ending immediately before the date specified in the notice in accordance with paragraph 1438(3)(b) of the Act, the issuer of the financial product may decide to comply with Division 4 of Part 7.9 of the Act in relation to the financial product.</w:t>
      </w:r>
    </w:p>
    <w:p w14:paraId="1A63A937" w14:textId="77777777" w:rsidR="00E93F58" w:rsidRPr="00D97EFB" w:rsidRDefault="00E93F58" w:rsidP="00BB7E31">
      <w:pPr>
        <w:pStyle w:val="subsection"/>
      </w:pPr>
      <w:r w:rsidRPr="00D97EFB">
        <w:tab/>
        <w:t>(3)</w:t>
      </w:r>
      <w:r w:rsidRPr="00D97EFB">
        <w:tab/>
        <w:t>If the product issuer makes the decision mentioned in subregulation (2):</w:t>
      </w:r>
    </w:p>
    <w:p w14:paraId="7C5F7506" w14:textId="77777777" w:rsidR="00E93F58" w:rsidRPr="00D97EFB" w:rsidRDefault="00E93F58" w:rsidP="00BB7E31">
      <w:pPr>
        <w:pStyle w:val="paragraph"/>
      </w:pPr>
      <w:r w:rsidRPr="00D97EFB">
        <w:tab/>
        <w:t>(a)</w:t>
      </w:r>
      <w:r w:rsidRPr="00D97EFB">
        <w:tab/>
        <w:t>Division 4 of Part 7.9 of the Act applies in relation to the financial product until the date specified in the notice; and</w:t>
      </w:r>
    </w:p>
    <w:p w14:paraId="75196368" w14:textId="77777777" w:rsidR="00E93F58" w:rsidRPr="00D97EFB" w:rsidRDefault="00E93F58" w:rsidP="00BB7E31">
      <w:pPr>
        <w:pStyle w:val="paragraph"/>
      </w:pPr>
      <w:r w:rsidRPr="00D97EFB">
        <w:tab/>
        <w:t>(b)</w:t>
      </w:r>
      <w:r w:rsidRPr="00D97EFB">
        <w:tab/>
        <w:t>section 734 of the old Corporations Act does not apply in relation to the financial product.</w:t>
      </w:r>
    </w:p>
    <w:p w14:paraId="6A079346" w14:textId="77777777" w:rsidR="00E93F58" w:rsidRPr="00D97EFB" w:rsidRDefault="00E93F58" w:rsidP="00BB7E31">
      <w:pPr>
        <w:pStyle w:val="notetext"/>
      </w:pPr>
      <w:r w:rsidRPr="00D97EFB">
        <w:t>Note:</w:t>
      </w:r>
      <w:r w:rsidRPr="00D97EFB">
        <w:tab/>
        <w:t>Under subsection 1438(5) of the Act, it is possible for the date specified in accordance with paragraph 1438(3)(b) of the Act to be changed.</w:t>
      </w:r>
    </w:p>
    <w:p w14:paraId="3FA9E66E" w14:textId="77777777" w:rsidR="00E93F58" w:rsidRPr="00D97EFB" w:rsidRDefault="00E93F58" w:rsidP="00BB7E31">
      <w:pPr>
        <w:pStyle w:val="subsection"/>
      </w:pPr>
      <w:r w:rsidRPr="00D97EFB">
        <w:tab/>
        <w:t>(4)</w:t>
      </w:r>
      <w:r w:rsidRPr="00D97EFB">
        <w:tab/>
        <w:t>If the notice is lodged with ASIC less than 3 months before the date specified in the notice in accordance with paragraph 1438(3)(b) of the Act, subregulation (2) applies only during the period:</w:t>
      </w:r>
    </w:p>
    <w:p w14:paraId="73F9E96B" w14:textId="77777777" w:rsidR="00E93F58" w:rsidRPr="00D97EFB" w:rsidRDefault="00E93F58" w:rsidP="00BB7E31">
      <w:pPr>
        <w:pStyle w:val="paragraph"/>
      </w:pPr>
      <w:r w:rsidRPr="00D97EFB">
        <w:tab/>
        <w:t>(a)</w:t>
      </w:r>
      <w:r w:rsidRPr="00D97EFB">
        <w:tab/>
        <w:t>starting when the notice is lodged; and</w:t>
      </w:r>
    </w:p>
    <w:p w14:paraId="557C9772" w14:textId="77777777" w:rsidR="00E93F58" w:rsidRPr="00D97EFB" w:rsidRDefault="00E93F58" w:rsidP="00BB7E31">
      <w:pPr>
        <w:pStyle w:val="paragraph"/>
      </w:pPr>
      <w:r w:rsidRPr="00D97EFB">
        <w:tab/>
        <w:t>(b)</w:t>
      </w:r>
      <w:r w:rsidRPr="00D97EFB">
        <w:tab/>
        <w:t>ending immediately before the date specified in the notice.</w:t>
      </w:r>
    </w:p>
    <w:p w14:paraId="27CAC7B5" w14:textId="77777777" w:rsidR="00E93F58" w:rsidRPr="00D97EFB" w:rsidRDefault="00E93F58" w:rsidP="00DD0355">
      <w:pPr>
        <w:pStyle w:val="ActHead5"/>
      </w:pPr>
      <w:bookmarkStart w:id="2514" w:name="_Toc151994536"/>
      <w:bookmarkStart w:id="2515" w:name="_Toc158713046"/>
      <w:r w:rsidRPr="000D40D5">
        <w:rPr>
          <w:rStyle w:val="CharSectno"/>
        </w:rPr>
        <w:t>10.2.73B</w:t>
      </w:r>
      <w:r w:rsidRPr="00D97EFB">
        <w:t xml:space="preserve">  Freezing accounts</w:t>
      </w:r>
      <w:bookmarkEnd w:id="2514"/>
      <w:bookmarkEnd w:id="2515"/>
    </w:p>
    <w:p w14:paraId="295C35AF" w14:textId="77777777" w:rsidR="00E93F58" w:rsidRPr="00D97EFB" w:rsidRDefault="00E93F58" w:rsidP="00DD0355">
      <w:pPr>
        <w:pStyle w:val="subsection"/>
        <w:keepNext/>
        <w:keepLines/>
      </w:pPr>
      <w:r w:rsidRPr="00D97EFB">
        <w:tab/>
        <w:t>(1)</w:t>
      </w:r>
      <w:r w:rsidRPr="00D97EFB">
        <w:tab/>
        <w:t xml:space="preserve">For section 1444 of the Act, this regulation applies if </w:t>
      </w:r>
      <w:r w:rsidRPr="00D97EFB">
        <w:rPr>
          <w:color w:val="000000"/>
        </w:rPr>
        <w:t>a person</w:t>
      </w:r>
      <w:r w:rsidRPr="00D97EFB">
        <w:t>:</w:t>
      </w:r>
    </w:p>
    <w:p w14:paraId="518446A0" w14:textId="77777777" w:rsidR="00E93F58" w:rsidRPr="00D97EFB" w:rsidRDefault="00E93F58" w:rsidP="00BB7E31">
      <w:pPr>
        <w:pStyle w:val="paragraph"/>
      </w:pPr>
      <w:r w:rsidRPr="00D97EFB">
        <w:rPr>
          <w:color w:val="000000"/>
        </w:rPr>
        <w:tab/>
        <w:t>(a)</w:t>
      </w:r>
      <w:r w:rsidRPr="00D97EFB">
        <w:rPr>
          <w:color w:val="000000"/>
        </w:rPr>
        <w:tab/>
        <w:t>holds or held</w:t>
      </w:r>
      <w:r w:rsidRPr="00D97EFB">
        <w:t xml:space="preserve"> a licence under Chapter 7 or 8 of the old Corporations Act in relation to an activity; and</w:t>
      </w:r>
    </w:p>
    <w:p w14:paraId="5A964FF9" w14:textId="77777777" w:rsidR="00E93F58" w:rsidRPr="00D97EFB" w:rsidRDefault="00E93F58" w:rsidP="00BB7E31">
      <w:pPr>
        <w:pStyle w:val="paragraph"/>
      </w:pPr>
      <w:r w:rsidRPr="00D97EFB">
        <w:tab/>
        <w:t>(b)</w:t>
      </w:r>
      <w:r w:rsidRPr="00D97EFB">
        <w:tab/>
        <w:t>the licence is revoked or suspended at any time before or after the FSR commencement.</w:t>
      </w:r>
    </w:p>
    <w:p w14:paraId="5386FA38" w14:textId="77777777" w:rsidR="00E93F58" w:rsidRPr="00D97EFB" w:rsidRDefault="00E93F58" w:rsidP="00BB7E31">
      <w:pPr>
        <w:pStyle w:val="subsection"/>
      </w:pPr>
      <w:r w:rsidRPr="00D97EFB">
        <w:tab/>
        <w:t>(2)</w:t>
      </w:r>
      <w:r w:rsidRPr="00D97EFB">
        <w:tab/>
        <w:t>Subsection 983A(3) of the Act applies to the person as if the person were a person who holds, or has at any time held, an Australian financial services licence that has been revoked or suspended.</w:t>
      </w:r>
    </w:p>
    <w:p w14:paraId="7C3A0C5C" w14:textId="77777777" w:rsidR="00E93F58" w:rsidRPr="00D97EFB" w:rsidRDefault="00E93F58" w:rsidP="00F10BA8">
      <w:pPr>
        <w:pStyle w:val="ActHead3"/>
        <w:pageBreakBefore/>
        <w:rPr>
          <w:color w:val="000000"/>
        </w:rPr>
      </w:pPr>
      <w:bookmarkStart w:id="2516" w:name="_Toc151994537"/>
      <w:bookmarkStart w:id="2517" w:name="_Toc158713047"/>
      <w:r w:rsidRPr="000D40D5">
        <w:rPr>
          <w:rStyle w:val="CharDivNo"/>
        </w:rPr>
        <w:lastRenderedPageBreak/>
        <w:t>Division 16</w:t>
      </w:r>
      <w:r w:rsidRPr="00D97EFB">
        <w:rPr>
          <w:color w:val="000000"/>
        </w:rPr>
        <w:t>—</w:t>
      </w:r>
      <w:r w:rsidRPr="000D40D5">
        <w:rPr>
          <w:rStyle w:val="CharDivText"/>
        </w:rPr>
        <w:t>Product disclosure provisions for existing products during transition period</w:t>
      </w:r>
      <w:bookmarkEnd w:id="2516"/>
      <w:bookmarkEnd w:id="2517"/>
    </w:p>
    <w:p w14:paraId="59F91357" w14:textId="77777777" w:rsidR="00E93F58" w:rsidRPr="00D97EFB" w:rsidRDefault="00E93F58" w:rsidP="006C736A">
      <w:pPr>
        <w:pStyle w:val="ActHead5"/>
      </w:pPr>
      <w:bookmarkStart w:id="2518" w:name="_Toc151994538"/>
      <w:bookmarkStart w:id="2519" w:name="_Toc158713048"/>
      <w:r w:rsidRPr="000D40D5">
        <w:rPr>
          <w:rStyle w:val="CharSectno"/>
        </w:rPr>
        <w:t>10.2.74</w:t>
      </w:r>
      <w:r w:rsidRPr="00D97EFB">
        <w:t xml:space="preserve">  Financial products in the same class</w:t>
      </w:r>
      <w:bookmarkEnd w:id="2518"/>
      <w:bookmarkEnd w:id="2519"/>
    </w:p>
    <w:p w14:paraId="4367DC6D" w14:textId="77777777" w:rsidR="00E93F58" w:rsidRPr="00D97EFB" w:rsidRDefault="00E93F58" w:rsidP="007804D8">
      <w:pPr>
        <w:pStyle w:val="subsection"/>
      </w:pPr>
      <w:r w:rsidRPr="00D97EFB">
        <w:tab/>
        <w:t>(1)</w:t>
      </w:r>
      <w:r w:rsidRPr="00D97EFB">
        <w:tab/>
        <w:t>For subsection 1410(2) of the Act, this regulation identifies what constitutes a class of financial products for subsection 1438(1) of the Act.</w:t>
      </w:r>
    </w:p>
    <w:p w14:paraId="02802A0D" w14:textId="77777777" w:rsidR="00E93F58" w:rsidRPr="00D97EFB" w:rsidRDefault="00E93F58" w:rsidP="007804D8">
      <w:pPr>
        <w:pStyle w:val="subsection"/>
      </w:pPr>
      <w:r w:rsidRPr="00D97EFB">
        <w:tab/>
        <w:t>(2)</w:t>
      </w:r>
      <w:r w:rsidRPr="00D97EFB">
        <w:tab/>
        <w:t>Subject to subregulation (2A), a managed investment product is in the same class as another financial product only if:</w:t>
      </w:r>
    </w:p>
    <w:p w14:paraId="09D9F025" w14:textId="77777777" w:rsidR="00E93F58" w:rsidRPr="00D97EFB" w:rsidRDefault="00E93F58" w:rsidP="007804D8">
      <w:pPr>
        <w:pStyle w:val="paragraph"/>
      </w:pPr>
      <w:r w:rsidRPr="00D97EFB">
        <w:rPr>
          <w:color w:val="000000"/>
        </w:rPr>
        <w:tab/>
        <w:t>(a)</w:t>
      </w:r>
      <w:r w:rsidRPr="00D97EFB">
        <w:rPr>
          <w:color w:val="000000"/>
        </w:rPr>
        <w:tab/>
        <w:t>the other financial product is a managed investment product; and</w:t>
      </w:r>
    </w:p>
    <w:p w14:paraId="08DE707F" w14:textId="77777777" w:rsidR="00E93F58" w:rsidRPr="00D97EFB" w:rsidRDefault="00E93F58" w:rsidP="007804D8">
      <w:pPr>
        <w:pStyle w:val="paragraph"/>
      </w:pPr>
      <w:r w:rsidRPr="00D97EFB">
        <w:tab/>
        <w:t>(b)</w:t>
      </w:r>
      <w:r w:rsidRPr="00D97EFB">
        <w:tab/>
        <w:t>both products are interests in registered schemes that have the same responsible entity; and</w:t>
      </w:r>
    </w:p>
    <w:p w14:paraId="588E7352" w14:textId="77777777" w:rsidR="00E93F58" w:rsidRPr="00D97EFB" w:rsidRDefault="00E93F58" w:rsidP="007804D8">
      <w:pPr>
        <w:pStyle w:val="paragraph"/>
      </w:pPr>
      <w:r w:rsidRPr="00D97EFB">
        <w:tab/>
        <w:t>(c)</w:t>
      </w:r>
      <w:r w:rsidRPr="00D97EFB">
        <w:tab/>
        <w:t>at the FSR commencement, the responsible entity’s licence to operate registered schemes would have authorised the operation of both registered schemes.</w:t>
      </w:r>
    </w:p>
    <w:p w14:paraId="6BEAEE66" w14:textId="77777777" w:rsidR="00E93F58" w:rsidRPr="00D97EFB" w:rsidRDefault="00E93F58" w:rsidP="007804D8">
      <w:pPr>
        <w:pStyle w:val="subsection"/>
      </w:pPr>
      <w:r w:rsidRPr="00D97EFB">
        <w:tab/>
        <w:t>(2A)</w:t>
      </w:r>
      <w:r w:rsidRPr="00D97EFB">
        <w:tab/>
        <w:t>A financial product that is an interest in a registered scheme is in the same class as another financial product if the other financial product is an interest in the same registered scheme.</w:t>
      </w:r>
    </w:p>
    <w:p w14:paraId="2EC8C1A8" w14:textId="77777777" w:rsidR="00E93F58" w:rsidRPr="00D97EFB" w:rsidRDefault="00E93F58" w:rsidP="007804D8">
      <w:pPr>
        <w:pStyle w:val="subsection"/>
      </w:pPr>
      <w:r w:rsidRPr="00D97EFB">
        <w:tab/>
        <w:t>(3)</w:t>
      </w:r>
      <w:r w:rsidRPr="00D97EFB">
        <w:tab/>
        <w:t>A derivative is in the same class as another financial product only if:</w:t>
      </w:r>
    </w:p>
    <w:p w14:paraId="66BA1495" w14:textId="77777777" w:rsidR="00E93F58" w:rsidRPr="00D97EFB" w:rsidRDefault="00E93F58" w:rsidP="007804D8">
      <w:pPr>
        <w:pStyle w:val="paragraph"/>
      </w:pPr>
      <w:r w:rsidRPr="00D97EFB">
        <w:rPr>
          <w:color w:val="000000"/>
        </w:rPr>
        <w:tab/>
        <w:t>(a)</w:t>
      </w:r>
      <w:r w:rsidRPr="00D97EFB">
        <w:rPr>
          <w:color w:val="000000"/>
        </w:rPr>
        <w:tab/>
        <w:t>the other financial product is a derivative; and</w:t>
      </w:r>
    </w:p>
    <w:p w14:paraId="0BB48E12" w14:textId="77777777" w:rsidR="00E93F58" w:rsidRPr="00D97EFB" w:rsidRDefault="00E93F58" w:rsidP="007804D8">
      <w:pPr>
        <w:pStyle w:val="paragraph"/>
      </w:pPr>
      <w:r w:rsidRPr="00D97EFB">
        <w:tab/>
        <w:t>(b)</w:t>
      </w:r>
      <w:r w:rsidRPr="00D97EFB">
        <w:tab/>
        <w:t>either:</w:t>
      </w:r>
    </w:p>
    <w:p w14:paraId="28BAF845" w14:textId="77777777" w:rsidR="00E93F58" w:rsidRPr="00D97EFB" w:rsidRDefault="00E93F58" w:rsidP="007804D8">
      <w:pPr>
        <w:pStyle w:val="paragraphsub"/>
      </w:pPr>
      <w:r w:rsidRPr="00D97EFB">
        <w:rPr>
          <w:color w:val="000000"/>
        </w:rPr>
        <w:tab/>
        <w:t>(i)</w:t>
      </w:r>
      <w:r w:rsidRPr="00D97EFB">
        <w:rPr>
          <w:color w:val="000000"/>
        </w:rPr>
        <w:tab/>
        <w:t>each of the derivatives was entered into or acquired on a financial market; or</w:t>
      </w:r>
    </w:p>
    <w:p w14:paraId="27D33D98" w14:textId="77777777" w:rsidR="00E93F58" w:rsidRPr="00D97EFB" w:rsidRDefault="00E93F58" w:rsidP="007804D8">
      <w:pPr>
        <w:pStyle w:val="paragraphsub"/>
      </w:pPr>
      <w:r w:rsidRPr="00D97EFB">
        <w:tab/>
        <w:t>(ii)</w:t>
      </w:r>
      <w:r w:rsidRPr="00D97EFB">
        <w:tab/>
        <w:t>none of the derivatives was entered into or acquired on a financial market.</w:t>
      </w:r>
    </w:p>
    <w:p w14:paraId="6DEEB17B" w14:textId="77777777" w:rsidR="00E93F58" w:rsidRPr="00D97EFB" w:rsidRDefault="00E93F58" w:rsidP="007804D8">
      <w:pPr>
        <w:pStyle w:val="subsection"/>
      </w:pPr>
      <w:r w:rsidRPr="00D97EFB">
        <w:rPr>
          <w:color w:val="000000"/>
        </w:rPr>
        <w:tab/>
        <w:t>(4)</w:t>
      </w:r>
      <w:r w:rsidRPr="00D97EFB">
        <w:rPr>
          <w:color w:val="000000"/>
        </w:rPr>
        <w:tab/>
        <w:t>A life risk insurance product is in the same class as another financial product only if the other financial product is a life risk insurance product.</w:t>
      </w:r>
    </w:p>
    <w:p w14:paraId="791B9D89" w14:textId="77777777" w:rsidR="00E93F58" w:rsidRPr="00D97EFB" w:rsidRDefault="00E93F58" w:rsidP="007804D8">
      <w:pPr>
        <w:pStyle w:val="subsection"/>
      </w:pPr>
      <w:r w:rsidRPr="00D97EFB">
        <w:tab/>
        <w:t>(5)</w:t>
      </w:r>
      <w:r w:rsidRPr="00D97EFB">
        <w:tab/>
        <w:t>An investment life insurance product is in the same class as another financial product only if the other financial product is an investment life insurance product.</w:t>
      </w:r>
    </w:p>
    <w:p w14:paraId="337799AA" w14:textId="77777777" w:rsidR="00E93F58" w:rsidRPr="00D97EFB" w:rsidRDefault="00E93F58" w:rsidP="007804D8">
      <w:pPr>
        <w:pStyle w:val="subsection"/>
      </w:pPr>
      <w:r w:rsidRPr="00D97EFB">
        <w:tab/>
        <w:t>(6)</w:t>
      </w:r>
      <w:r w:rsidRPr="00D97EFB">
        <w:tab/>
        <w:t>An insurance product (other than a life risk insurance product or an investment life product) is in the same class as another financial product only if:</w:t>
      </w:r>
    </w:p>
    <w:p w14:paraId="0E4EE335" w14:textId="77777777" w:rsidR="00E93F58" w:rsidRPr="00D97EFB" w:rsidRDefault="00E93F58" w:rsidP="007804D8">
      <w:pPr>
        <w:pStyle w:val="paragraph"/>
      </w:pPr>
      <w:r w:rsidRPr="00D97EFB">
        <w:rPr>
          <w:color w:val="000000"/>
        </w:rPr>
        <w:tab/>
        <w:t>(a)</w:t>
      </w:r>
      <w:r w:rsidRPr="00D97EFB">
        <w:rPr>
          <w:color w:val="000000"/>
        </w:rPr>
        <w:tab/>
        <w:t>the other financial product is an insurance product other than a life risk insurance product or an investment life product; and</w:t>
      </w:r>
    </w:p>
    <w:p w14:paraId="036F1092" w14:textId="77777777" w:rsidR="00E93F58" w:rsidRPr="00D97EFB" w:rsidRDefault="00E93F58" w:rsidP="007804D8">
      <w:pPr>
        <w:pStyle w:val="paragraph"/>
      </w:pPr>
      <w:r w:rsidRPr="00D97EFB">
        <w:tab/>
        <w:t>(b)</w:t>
      </w:r>
      <w:r w:rsidRPr="00D97EFB">
        <w:tab/>
        <w:t>both products:</w:t>
      </w:r>
    </w:p>
    <w:p w14:paraId="56DB59E0" w14:textId="77777777" w:rsidR="00E93F58" w:rsidRPr="00D97EFB" w:rsidRDefault="00E93F58" w:rsidP="007804D8">
      <w:pPr>
        <w:pStyle w:val="paragraphsub"/>
      </w:pPr>
      <w:r w:rsidRPr="00D97EFB">
        <w:rPr>
          <w:color w:val="000000"/>
        </w:rPr>
        <w:tab/>
        <w:t>(i)</w:t>
      </w:r>
      <w:r w:rsidRPr="00D97EFB">
        <w:rPr>
          <w:color w:val="000000"/>
        </w:rPr>
        <w:tab/>
        <w:t>provide the same kind of cover; or</w:t>
      </w:r>
    </w:p>
    <w:p w14:paraId="3813BFFD" w14:textId="77777777" w:rsidR="00E93F58" w:rsidRPr="00D97EFB" w:rsidRDefault="00E93F58" w:rsidP="007804D8">
      <w:pPr>
        <w:pStyle w:val="paragraphsub"/>
      </w:pPr>
      <w:r w:rsidRPr="00D97EFB">
        <w:tab/>
        <w:t>(ii)</w:t>
      </w:r>
      <w:r w:rsidRPr="00D97EFB">
        <w:tab/>
        <w:t>provide cover in relation to the same kind of asset (for example, a motor vehicle).</w:t>
      </w:r>
    </w:p>
    <w:p w14:paraId="68B9300A" w14:textId="77777777" w:rsidR="00E93F58" w:rsidRPr="00D97EFB" w:rsidRDefault="00E93F58" w:rsidP="007804D8">
      <w:pPr>
        <w:pStyle w:val="subsection"/>
      </w:pPr>
      <w:r w:rsidRPr="00D97EFB">
        <w:rPr>
          <w:color w:val="000000"/>
        </w:rPr>
        <w:tab/>
        <w:t>(7)</w:t>
      </w:r>
      <w:r w:rsidRPr="00D97EFB">
        <w:rPr>
          <w:color w:val="000000"/>
        </w:rPr>
        <w:tab/>
        <w:t>A superannuation interest is in the same class as another financial product only if the other financial product is a superannuation interest.</w:t>
      </w:r>
    </w:p>
    <w:p w14:paraId="2374D563" w14:textId="77777777" w:rsidR="00E93F58" w:rsidRPr="00D97EFB" w:rsidRDefault="00E93F58" w:rsidP="007804D8">
      <w:pPr>
        <w:pStyle w:val="notetext"/>
      </w:pPr>
      <w:r w:rsidRPr="00D97EFB">
        <w:rPr>
          <w:color w:val="000000"/>
        </w:rPr>
        <w:t>Note:</w:t>
      </w:r>
      <w:r w:rsidRPr="00D97EFB">
        <w:rPr>
          <w:color w:val="000000"/>
        </w:rPr>
        <w:tab/>
      </w:r>
      <w:r w:rsidRPr="00D97EFB">
        <w:rPr>
          <w:b/>
          <w:i/>
          <w:color w:val="000000"/>
        </w:rPr>
        <w:t>Superannuation interest</w:t>
      </w:r>
      <w:r w:rsidRPr="00D97EFB">
        <w:rPr>
          <w:color w:val="000000"/>
        </w:rPr>
        <w:t xml:space="preserve"> is defined in subsection 10(1) of the SIS Act.</w:t>
      </w:r>
    </w:p>
    <w:p w14:paraId="542B0411" w14:textId="77777777" w:rsidR="00E93F58" w:rsidRPr="00D97EFB" w:rsidRDefault="00E93F58" w:rsidP="007804D8">
      <w:pPr>
        <w:pStyle w:val="subsection"/>
      </w:pPr>
      <w:r w:rsidRPr="00D97EFB">
        <w:rPr>
          <w:color w:val="000000"/>
        </w:rPr>
        <w:tab/>
        <w:t>(8)</w:t>
      </w:r>
      <w:r w:rsidRPr="00D97EFB">
        <w:rPr>
          <w:color w:val="000000"/>
        </w:rPr>
        <w:tab/>
        <w:t>An RSA product is in the same class as another financial product only if the other financial product is an RSA product.</w:t>
      </w:r>
    </w:p>
    <w:p w14:paraId="1147D67F" w14:textId="77777777" w:rsidR="00E93F58" w:rsidRPr="00D97EFB" w:rsidRDefault="00E93F58" w:rsidP="007804D8">
      <w:pPr>
        <w:pStyle w:val="subsection"/>
      </w:pPr>
      <w:r w:rsidRPr="00D97EFB">
        <w:tab/>
        <w:t>(9)</w:t>
      </w:r>
      <w:r w:rsidRPr="00D97EFB">
        <w:tab/>
        <w:t>A deposit product is in the same class as another financial product only if the other financial product is a deposit product.</w:t>
      </w:r>
    </w:p>
    <w:p w14:paraId="0BFC8335" w14:textId="77777777" w:rsidR="00E93F58" w:rsidRPr="00D97EFB" w:rsidRDefault="00E93F58" w:rsidP="007804D8">
      <w:pPr>
        <w:pStyle w:val="subsection"/>
      </w:pPr>
      <w:r w:rsidRPr="00D97EFB">
        <w:tab/>
        <w:t>(9A)</w:t>
      </w:r>
      <w:r w:rsidRPr="00D97EFB">
        <w:tab/>
        <w:t>A facility for making non</w:t>
      </w:r>
      <w:r>
        <w:noBreakHyphen/>
      </w:r>
      <w:r w:rsidRPr="00D97EFB">
        <w:t>cash payments that is related to a deposit product is in the same class as another financial product only if the other financial product is a facility for making non</w:t>
      </w:r>
      <w:r>
        <w:noBreakHyphen/>
      </w:r>
      <w:r w:rsidRPr="00D97EFB">
        <w:t>cash payments that is related to a deposit product.</w:t>
      </w:r>
    </w:p>
    <w:p w14:paraId="71423D27" w14:textId="77777777" w:rsidR="00E93F58" w:rsidRPr="00D97EFB" w:rsidRDefault="00E93F58" w:rsidP="007804D8">
      <w:pPr>
        <w:pStyle w:val="notetext"/>
      </w:pPr>
      <w:r w:rsidRPr="00D97EFB">
        <w:t>Note:</w:t>
      </w:r>
      <w:r w:rsidRPr="00D97EFB">
        <w:tab/>
        <w:t>Non</w:t>
      </w:r>
      <w:r>
        <w:noBreakHyphen/>
      </w:r>
      <w:r w:rsidRPr="00D97EFB">
        <w:t>cash payments are explained in section 763D of the Act.</w:t>
      </w:r>
    </w:p>
    <w:p w14:paraId="1530E427" w14:textId="77777777" w:rsidR="00E93F58" w:rsidRPr="00D97EFB" w:rsidRDefault="00E93F58" w:rsidP="007804D8">
      <w:pPr>
        <w:pStyle w:val="subsection"/>
      </w:pPr>
      <w:r w:rsidRPr="00D97EFB">
        <w:tab/>
        <w:t>(9B)</w:t>
      </w:r>
      <w:r w:rsidRPr="00D97EFB">
        <w:tab/>
        <w:t>In this regulation:</w:t>
      </w:r>
    </w:p>
    <w:p w14:paraId="0FAD5DB3" w14:textId="77777777" w:rsidR="00E93F58" w:rsidRPr="00D97EFB" w:rsidRDefault="00E93F58" w:rsidP="007804D8">
      <w:pPr>
        <w:pStyle w:val="Definition"/>
      </w:pPr>
      <w:r w:rsidRPr="00D97EFB">
        <w:rPr>
          <w:b/>
          <w:i/>
        </w:rPr>
        <w:t>deposit product</w:t>
      </w:r>
      <w:r w:rsidRPr="00D97EFB">
        <w:t xml:space="preserve"> means a deposit</w:t>
      </w:r>
      <w:r>
        <w:noBreakHyphen/>
      </w:r>
      <w:r w:rsidRPr="00D97EFB">
        <w:t xml:space="preserve">taking facility made available by an ADI (within the meaning of the </w:t>
      </w:r>
      <w:r w:rsidRPr="00D97EFB">
        <w:rPr>
          <w:i/>
        </w:rPr>
        <w:t>Banking Act 1959</w:t>
      </w:r>
      <w:r w:rsidRPr="00D97EFB">
        <w:t>) in the course of its banking business (within the meaning of that Act), other than an RSA.</w:t>
      </w:r>
    </w:p>
    <w:p w14:paraId="08F051FB" w14:textId="77777777" w:rsidR="00E93F58" w:rsidRPr="00D97EFB" w:rsidRDefault="00E93F58" w:rsidP="007804D8">
      <w:pPr>
        <w:pStyle w:val="subsection"/>
      </w:pPr>
      <w:r w:rsidRPr="00D97EFB">
        <w:tab/>
        <w:t>(10)</w:t>
      </w:r>
      <w:r w:rsidRPr="00D97EFB">
        <w:tab/>
        <w:t>A financial product mentioned in paragraph 764A(1)(k) of the Act is in the same class as another financial product only if the other financial product is a financial product mentioned in paragraph 764A(1)(k) of the Act.</w:t>
      </w:r>
    </w:p>
    <w:p w14:paraId="0685B545" w14:textId="77777777" w:rsidR="00E93F58" w:rsidRPr="00D97EFB" w:rsidRDefault="00E93F58" w:rsidP="007804D8">
      <w:pPr>
        <w:pStyle w:val="subsection"/>
      </w:pPr>
      <w:r w:rsidRPr="00D97EFB">
        <w:tab/>
        <w:t>(11)</w:t>
      </w:r>
      <w:r w:rsidRPr="00D97EFB">
        <w:tab/>
        <w:t>A warrant is in the same class as another financial product only if the other financial product is a warrant.</w:t>
      </w:r>
    </w:p>
    <w:p w14:paraId="5287DC8D" w14:textId="77777777" w:rsidR="00E93F58" w:rsidRPr="00D97EFB" w:rsidRDefault="00E93F58" w:rsidP="006C736A">
      <w:pPr>
        <w:pStyle w:val="ActHead5"/>
      </w:pPr>
      <w:bookmarkStart w:id="2520" w:name="_Toc151994539"/>
      <w:bookmarkStart w:id="2521" w:name="_Toc158713049"/>
      <w:r w:rsidRPr="000D40D5">
        <w:rPr>
          <w:rStyle w:val="CharSectno"/>
        </w:rPr>
        <w:lastRenderedPageBreak/>
        <w:t>10.2.75</w:t>
      </w:r>
      <w:r w:rsidRPr="00D97EFB">
        <w:t xml:space="preserve">  References to financial services licensee</w:t>
      </w:r>
      <w:bookmarkEnd w:id="2520"/>
      <w:bookmarkEnd w:id="2521"/>
    </w:p>
    <w:p w14:paraId="4124E7D0" w14:textId="77777777" w:rsidR="00E93F58" w:rsidRPr="00D97EFB" w:rsidRDefault="00E93F58" w:rsidP="007804D8">
      <w:pPr>
        <w:pStyle w:val="subsection"/>
      </w:pPr>
      <w:r w:rsidRPr="00D97EFB">
        <w:rPr>
          <w:color w:val="000000"/>
        </w:rPr>
        <w:tab/>
        <w:t>(1)</w:t>
      </w:r>
      <w:r w:rsidRPr="00D97EFB">
        <w:rPr>
          <w:color w:val="000000"/>
        </w:rPr>
        <w:tab/>
        <w:t>For section 1444 of the Act, a reference in Part 7.9 of the Act to a financial services licensee includes a regulated principal.</w:t>
      </w:r>
    </w:p>
    <w:p w14:paraId="3FDDE131" w14:textId="77777777" w:rsidR="00E93F58" w:rsidRPr="00D97EFB" w:rsidRDefault="00E93F58" w:rsidP="007804D8">
      <w:pPr>
        <w:pStyle w:val="subsection"/>
      </w:pPr>
      <w:r w:rsidRPr="00D97EFB">
        <w:rPr>
          <w:color w:val="000000"/>
        </w:rPr>
        <w:tab/>
        <w:t>(2)</w:t>
      </w:r>
      <w:r w:rsidRPr="00D97EFB">
        <w:rPr>
          <w:color w:val="000000"/>
        </w:rPr>
        <w:tab/>
        <w:t>Subregulation (1) also applies to section 761E of the Act.</w:t>
      </w:r>
    </w:p>
    <w:p w14:paraId="3E14EB58" w14:textId="77777777" w:rsidR="00E93F58" w:rsidRPr="00D97EFB" w:rsidRDefault="00E93F58" w:rsidP="007804D8">
      <w:pPr>
        <w:pStyle w:val="subsection"/>
      </w:pPr>
      <w:r w:rsidRPr="00D97EFB">
        <w:tab/>
        <w:t>(3)</w:t>
      </w:r>
      <w:r w:rsidRPr="00D97EFB">
        <w:tab/>
        <w:t>A reference in paragraph 761E(6)(d) of the Act to an authorised representative includes a representative of a regulated principal.</w:t>
      </w:r>
    </w:p>
    <w:p w14:paraId="439560F1" w14:textId="77777777" w:rsidR="00E93F58" w:rsidRPr="00D97EFB" w:rsidRDefault="00E93F58" w:rsidP="007804D8">
      <w:pPr>
        <w:pStyle w:val="subsection"/>
      </w:pPr>
      <w:r w:rsidRPr="00D97EFB">
        <w:tab/>
        <w:t>(4)</w:t>
      </w:r>
      <w:r w:rsidRPr="00D97EFB">
        <w:tab/>
        <w:t xml:space="preserve">A reference in paragraph (d) of the definition of </w:t>
      </w:r>
      <w:r w:rsidRPr="00D97EFB">
        <w:rPr>
          <w:b/>
          <w:i/>
        </w:rPr>
        <w:t>regulated person</w:t>
      </w:r>
      <w:r w:rsidRPr="00D97EFB">
        <w:t xml:space="preserve"> in section 1011B of the Act to an authorised representative includes a representative of a regulated principal.</w:t>
      </w:r>
    </w:p>
    <w:p w14:paraId="54B4CC73" w14:textId="77777777" w:rsidR="00E93F58" w:rsidRPr="00D97EFB" w:rsidRDefault="00E93F58" w:rsidP="007804D8">
      <w:pPr>
        <w:pStyle w:val="subsection"/>
      </w:pPr>
      <w:r w:rsidRPr="00D97EFB">
        <w:tab/>
        <w:t>(5)</w:t>
      </w:r>
      <w:r w:rsidRPr="00D97EFB">
        <w:tab/>
        <w:t>A reference in paragraph 1015C(3)(b) of the Act to an authorised representative includes a representative of a regulated principal.</w:t>
      </w:r>
    </w:p>
    <w:p w14:paraId="37143BE2" w14:textId="77777777" w:rsidR="00E93F58" w:rsidRPr="00D97EFB" w:rsidRDefault="00E93F58" w:rsidP="007804D8">
      <w:pPr>
        <w:pStyle w:val="subsection"/>
      </w:pPr>
      <w:r w:rsidRPr="00D97EFB">
        <w:tab/>
        <w:t>(6)</w:t>
      </w:r>
      <w:r w:rsidRPr="00D97EFB">
        <w:tab/>
        <w:t>A reference in paragraph 1017A(1)(c) of the Act to an authorised representative includes a representative of a regulated principal.</w:t>
      </w:r>
    </w:p>
    <w:p w14:paraId="1E4A1A5B" w14:textId="77777777" w:rsidR="00E93F58" w:rsidRPr="00D97EFB" w:rsidRDefault="00E93F58" w:rsidP="007804D8">
      <w:pPr>
        <w:pStyle w:val="subsection"/>
      </w:pPr>
      <w:r w:rsidRPr="00D97EFB">
        <w:tab/>
        <w:t>(7)</w:t>
      </w:r>
      <w:r w:rsidRPr="00D97EFB">
        <w:tab/>
        <w:t>Subregulations (1) to (6) cease to apply in relation to the regulated principal and the authorised representative at the end of the transition period in relation to the regulated principal.</w:t>
      </w:r>
    </w:p>
    <w:p w14:paraId="1BE1D2F4" w14:textId="77777777" w:rsidR="00E93F58" w:rsidRPr="00D97EFB" w:rsidRDefault="00E93F58" w:rsidP="006C736A">
      <w:pPr>
        <w:pStyle w:val="ActHead5"/>
      </w:pPr>
      <w:bookmarkStart w:id="2522" w:name="_Toc151994540"/>
      <w:bookmarkStart w:id="2523" w:name="_Toc158713050"/>
      <w:r w:rsidRPr="000D40D5">
        <w:rPr>
          <w:rStyle w:val="CharSectno"/>
        </w:rPr>
        <w:t>10.2.76</w:t>
      </w:r>
      <w:r w:rsidRPr="00D97EFB">
        <w:t xml:space="preserve">  References to retail client</w:t>
      </w:r>
      <w:bookmarkEnd w:id="2522"/>
      <w:bookmarkEnd w:id="2523"/>
    </w:p>
    <w:p w14:paraId="41668F77" w14:textId="77777777" w:rsidR="00E93F58" w:rsidRPr="00D97EFB" w:rsidRDefault="00E93F58" w:rsidP="007804D8">
      <w:pPr>
        <w:pStyle w:val="subsection"/>
      </w:pPr>
      <w:r w:rsidRPr="00D97EFB">
        <w:rPr>
          <w:color w:val="000000"/>
        </w:rPr>
        <w:tab/>
        <w:t>(1)</w:t>
      </w:r>
      <w:r w:rsidRPr="00D97EFB">
        <w:rPr>
          <w:color w:val="000000"/>
        </w:rPr>
        <w:tab/>
        <w:t>For section 1444 of the Act, this regulation applies if a person acquired a financial product before the FSR commencement.</w:t>
      </w:r>
    </w:p>
    <w:p w14:paraId="169AA43F" w14:textId="77777777" w:rsidR="00E93F58" w:rsidRPr="00D97EFB" w:rsidRDefault="00E93F58" w:rsidP="007804D8">
      <w:pPr>
        <w:pStyle w:val="subsection"/>
      </w:pPr>
      <w:r w:rsidRPr="00D97EFB">
        <w:rPr>
          <w:color w:val="000000"/>
        </w:rPr>
        <w:tab/>
        <w:t>(2)</w:t>
      </w:r>
      <w:r w:rsidRPr="00D97EFB">
        <w:rPr>
          <w:color w:val="000000"/>
        </w:rPr>
        <w:tab/>
        <w:t>Subject to subregulation (3), the person is taken to have acquired the financial product as a retail client.</w:t>
      </w:r>
    </w:p>
    <w:p w14:paraId="459BBA76" w14:textId="77777777" w:rsidR="00E93F58" w:rsidRPr="00D97EFB" w:rsidRDefault="00E93F58" w:rsidP="007804D8">
      <w:pPr>
        <w:pStyle w:val="subsection"/>
      </w:pPr>
      <w:r w:rsidRPr="00D97EFB">
        <w:tab/>
        <w:t>(3)</w:t>
      </w:r>
      <w:r w:rsidRPr="00D97EFB">
        <w:tab/>
        <w:t>The person is taken to have acquired the product as a wholesale client if:</w:t>
      </w:r>
    </w:p>
    <w:p w14:paraId="024D15D7" w14:textId="77777777" w:rsidR="00E93F58" w:rsidRPr="00D97EFB" w:rsidRDefault="00E93F58" w:rsidP="007804D8">
      <w:pPr>
        <w:pStyle w:val="paragraph"/>
      </w:pPr>
      <w:r w:rsidRPr="00D97EFB">
        <w:rPr>
          <w:color w:val="000000"/>
        </w:rPr>
        <w:tab/>
        <w:t>(a)</w:t>
      </w:r>
      <w:r w:rsidRPr="00D97EFB">
        <w:rPr>
          <w:color w:val="000000"/>
        </w:rPr>
        <w:tab/>
        <w:t>the person would not have acquired the product as a retail client if the product had been acquired at the FSR commencement; or</w:t>
      </w:r>
    </w:p>
    <w:p w14:paraId="624B8BD5" w14:textId="77777777" w:rsidR="00E93F58" w:rsidRPr="00D97EFB" w:rsidRDefault="00E93F58" w:rsidP="007804D8">
      <w:pPr>
        <w:pStyle w:val="paragraph"/>
      </w:pPr>
      <w:r w:rsidRPr="00D97EFB">
        <w:tab/>
        <w:t>(b)</w:t>
      </w:r>
      <w:r w:rsidRPr="00D97EFB">
        <w:tab/>
        <w:t>the person would not have acquired the product as a retail client if the Act had applied at the time when the product was acquired.</w:t>
      </w:r>
    </w:p>
    <w:p w14:paraId="0740431A" w14:textId="77777777" w:rsidR="00E93F58" w:rsidRPr="00D97EFB" w:rsidRDefault="00E93F58" w:rsidP="006C736A">
      <w:pPr>
        <w:pStyle w:val="ActHead5"/>
      </w:pPr>
      <w:bookmarkStart w:id="2524" w:name="_Toc151994541"/>
      <w:bookmarkStart w:id="2525" w:name="_Toc158713051"/>
      <w:r w:rsidRPr="000D40D5">
        <w:rPr>
          <w:rStyle w:val="CharSectno"/>
        </w:rPr>
        <w:t>10.2.77</w:t>
      </w:r>
      <w:r w:rsidRPr="00D97EFB">
        <w:t xml:space="preserve">  References to issue of product</w:t>
      </w:r>
      <w:bookmarkEnd w:id="2524"/>
      <w:bookmarkEnd w:id="2525"/>
    </w:p>
    <w:p w14:paraId="475AE2F5" w14:textId="77777777" w:rsidR="00E93F58" w:rsidRPr="00D97EFB" w:rsidRDefault="00E93F58" w:rsidP="007804D8">
      <w:pPr>
        <w:pStyle w:val="subsection"/>
      </w:pPr>
      <w:r w:rsidRPr="00D97EFB">
        <w:rPr>
          <w:color w:val="000000"/>
        </w:rPr>
        <w:tab/>
      </w:r>
      <w:r w:rsidRPr="00D97EFB">
        <w:rPr>
          <w:color w:val="000000"/>
        </w:rPr>
        <w:tab/>
        <w:t xml:space="preserve">For section 1444 of the Act, a reference in subsection 1438(1) of the Act to </w:t>
      </w:r>
      <w:r w:rsidRPr="00D97EFB">
        <w:t>financial products in a class of products that are first issued by a person after the FSR commencement does not include financial products in a class of products if the person who is, or will be, the product issuer first made an offer to issue a financial product in that class of products before the FSR commencement.</w:t>
      </w:r>
    </w:p>
    <w:p w14:paraId="04C1B8C9" w14:textId="77777777" w:rsidR="00E93F58" w:rsidRPr="00D97EFB" w:rsidRDefault="00E93F58" w:rsidP="006C736A">
      <w:pPr>
        <w:pStyle w:val="ActHead5"/>
      </w:pPr>
      <w:bookmarkStart w:id="2526" w:name="_Toc151994542"/>
      <w:bookmarkStart w:id="2527" w:name="_Toc158713052"/>
      <w:r w:rsidRPr="000D40D5">
        <w:rPr>
          <w:rStyle w:val="CharSectno"/>
        </w:rPr>
        <w:t>10.2.78</w:t>
      </w:r>
      <w:r w:rsidRPr="00D97EFB">
        <w:t xml:space="preserve">  References to Product Disclosure Statement: offer previously accepted</w:t>
      </w:r>
      <w:bookmarkEnd w:id="2526"/>
      <w:bookmarkEnd w:id="2527"/>
    </w:p>
    <w:p w14:paraId="16DA9A17" w14:textId="77777777" w:rsidR="00E93F58" w:rsidRPr="00D97EFB" w:rsidRDefault="00E93F58" w:rsidP="007804D8">
      <w:pPr>
        <w:pStyle w:val="subsection"/>
      </w:pPr>
      <w:r w:rsidRPr="00D97EFB">
        <w:tab/>
        <w:t>(1)</w:t>
      </w:r>
      <w:r w:rsidRPr="00D97EFB">
        <w:tab/>
        <w:t>For section 1444 of the Act, this regulation applies:</w:t>
      </w:r>
    </w:p>
    <w:p w14:paraId="5B561821" w14:textId="77777777" w:rsidR="00E93F58" w:rsidRPr="00D97EFB" w:rsidRDefault="00E93F58" w:rsidP="007804D8">
      <w:pPr>
        <w:pStyle w:val="paragraph"/>
      </w:pPr>
      <w:r w:rsidRPr="00D97EFB">
        <w:tab/>
        <w:t>(a)</w:t>
      </w:r>
      <w:r w:rsidRPr="00D97EFB">
        <w:tab/>
        <w:t>if a person:</w:t>
      </w:r>
    </w:p>
    <w:p w14:paraId="10E89789" w14:textId="77777777" w:rsidR="00E93F58" w:rsidRPr="00D97EFB" w:rsidRDefault="00E93F58" w:rsidP="007804D8">
      <w:pPr>
        <w:pStyle w:val="paragraphsub"/>
      </w:pPr>
      <w:r w:rsidRPr="00D97EFB">
        <w:rPr>
          <w:color w:val="000000"/>
        </w:rPr>
        <w:tab/>
        <w:t>(i)</w:t>
      </w:r>
      <w:r w:rsidRPr="00D97EFB">
        <w:rPr>
          <w:color w:val="000000"/>
        </w:rPr>
        <w:tab/>
        <w:t>made an offer to the issuer or seller of a financial product</w:t>
      </w:r>
      <w:r w:rsidRPr="00D97EFB">
        <w:t>, before Division 2 of Part 7.9 of the Act began to apply to the financial product, that involves the person, or another person, acquiring the financial product; or</w:t>
      </w:r>
    </w:p>
    <w:p w14:paraId="460A2BAD" w14:textId="77777777" w:rsidR="00E93F58" w:rsidRPr="00D97EFB" w:rsidRDefault="00E93F58" w:rsidP="007804D8">
      <w:pPr>
        <w:pStyle w:val="paragraphsub"/>
      </w:pPr>
      <w:r w:rsidRPr="00D97EFB">
        <w:tab/>
        <w:t>(ii)</w:t>
      </w:r>
      <w:r w:rsidRPr="00D97EFB">
        <w:tab/>
        <w:t>accepted an offer by the issuer or seller of a financial product, before Division 2 of Part 7.9 of the Act began to apply to the financial product, to issue the financial product to the person or the other person; and</w:t>
      </w:r>
    </w:p>
    <w:p w14:paraId="0F3A5B93" w14:textId="77777777" w:rsidR="00E93F58" w:rsidRPr="00D97EFB" w:rsidRDefault="00E93F58" w:rsidP="007804D8">
      <w:pPr>
        <w:pStyle w:val="paragraph"/>
      </w:pPr>
      <w:r w:rsidRPr="00D97EFB">
        <w:rPr>
          <w:color w:val="000000"/>
        </w:rPr>
        <w:tab/>
        <w:t>(b)</w:t>
      </w:r>
      <w:r w:rsidRPr="00D97EFB">
        <w:rPr>
          <w:color w:val="000000"/>
        </w:rPr>
        <w:tab/>
        <w:t>if the acquisition is not completed before Division 2 of Part 7.9 of the Act began to apply to the financial product.</w:t>
      </w:r>
    </w:p>
    <w:p w14:paraId="4CD7D411" w14:textId="77777777" w:rsidR="00E93F58" w:rsidRPr="00D97EFB" w:rsidRDefault="00E93F58" w:rsidP="007804D8">
      <w:pPr>
        <w:pStyle w:val="subsection"/>
      </w:pPr>
      <w:r w:rsidRPr="00D97EFB">
        <w:rPr>
          <w:color w:val="000000"/>
        </w:rPr>
        <w:tab/>
        <w:t>(2)</w:t>
      </w:r>
      <w:r w:rsidRPr="00D97EFB">
        <w:rPr>
          <w:color w:val="000000"/>
        </w:rPr>
        <w:tab/>
        <w:t>The legislation mentioned in section 1440 of the Act in relation to the kind of financial product continues to apply in relation to the financial product to the extent necessary to allow the financial product to be acquired.</w:t>
      </w:r>
    </w:p>
    <w:p w14:paraId="0EEF7CD3" w14:textId="77777777" w:rsidR="00E93F58" w:rsidRPr="00D97EFB" w:rsidRDefault="00E93F58" w:rsidP="007804D8">
      <w:pPr>
        <w:pStyle w:val="subsection"/>
      </w:pPr>
      <w:r w:rsidRPr="00D97EFB">
        <w:tab/>
        <w:t>(3)</w:t>
      </w:r>
      <w:r w:rsidRPr="00D97EFB">
        <w:tab/>
        <w:t>Division 2 of Part 7.9 of the Act does not apply in relation to the financial product to the extent necessary to allow the financial product to be acquired.</w:t>
      </w:r>
    </w:p>
    <w:p w14:paraId="14946CAB" w14:textId="77777777" w:rsidR="00E93F58" w:rsidRPr="00D97EFB" w:rsidRDefault="00E93F58" w:rsidP="006C736A">
      <w:pPr>
        <w:pStyle w:val="ActHead5"/>
      </w:pPr>
      <w:bookmarkStart w:id="2528" w:name="_Toc151994543"/>
      <w:bookmarkStart w:id="2529" w:name="_Toc158713053"/>
      <w:r w:rsidRPr="000D40D5">
        <w:rPr>
          <w:rStyle w:val="CharSectno"/>
        </w:rPr>
        <w:lastRenderedPageBreak/>
        <w:t>10.2.79</w:t>
      </w:r>
      <w:r w:rsidRPr="00D97EFB">
        <w:t xml:space="preserve">  References to Product Disclosure Statement: managed investment products</w:t>
      </w:r>
      <w:bookmarkEnd w:id="2528"/>
      <w:bookmarkEnd w:id="2529"/>
    </w:p>
    <w:p w14:paraId="1D199093" w14:textId="77777777" w:rsidR="00E93F58" w:rsidRPr="00D97EFB" w:rsidRDefault="00E93F58" w:rsidP="007804D8">
      <w:pPr>
        <w:pStyle w:val="subsection"/>
      </w:pPr>
      <w:r w:rsidRPr="00D97EFB">
        <w:tab/>
      </w:r>
      <w:r w:rsidRPr="00D97EFB">
        <w:tab/>
        <w:t>For section 1444 of the Act, a reference in the following provisions of the Act to a Product Disclosure Statement includes a disclosure document under Chapter 6D of the old Corporations Act:</w:t>
      </w:r>
    </w:p>
    <w:p w14:paraId="78CC1092" w14:textId="77777777" w:rsidR="00E93F58" w:rsidRPr="00D97EFB" w:rsidRDefault="00E93F58" w:rsidP="007804D8">
      <w:pPr>
        <w:pStyle w:val="paragraph"/>
      </w:pPr>
      <w:r w:rsidRPr="00D97EFB">
        <w:rPr>
          <w:color w:val="000000"/>
        </w:rPr>
        <w:tab/>
        <w:t>(a)</w:t>
      </w:r>
      <w:r w:rsidRPr="00D97EFB">
        <w:rPr>
          <w:color w:val="000000"/>
        </w:rPr>
        <w:tab/>
        <w:t>paragraph 1012C(6)(b);</w:t>
      </w:r>
    </w:p>
    <w:p w14:paraId="47A4A195" w14:textId="77777777" w:rsidR="00E93F58" w:rsidRPr="00D97EFB" w:rsidRDefault="00E93F58" w:rsidP="007804D8">
      <w:pPr>
        <w:pStyle w:val="paragraph"/>
      </w:pPr>
      <w:r w:rsidRPr="00D97EFB">
        <w:tab/>
        <w:t>(b)</w:t>
      </w:r>
      <w:r w:rsidRPr="00D97EFB">
        <w:tab/>
        <w:t>paragraph 1012C(8)(c);</w:t>
      </w:r>
    </w:p>
    <w:p w14:paraId="11D7A461" w14:textId="77777777" w:rsidR="00E93F58" w:rsidRPr="00D97EFB" w:rsidRDefault="00E93F58" w:rsidP="006C736A">
      <w:pPr>
        <w:pStyle w:val="paragraph"/>
        <w:keepNext/>
        <w:keepLines/>
      </w:pPr>
      <w:r w:rsidRPr="00D97EFB">
        <w:tab/>
        <w:t>(c)</w:t>
      </w:r>
      <w:r w:rsidRPr="00D97EFB">
        <w:tab/>
        <w:t>subparagraph 1012D(2)(b)(i).</w:t>
      </w:r>
    </w:p>
    <w:p w14:paraId="18C9C926" w14:textId="77777777" w:rsidR="00E93F58" w:rsidRPr="00D97EFB" w:rsidRDefault="00E93F58" w:rsidP="006C736A">
      <w:pPr>
        <w:pStyle w:val="ActHead5"/>
      </w:pPr>
      <w:bookmarkStart w:id="2530" w:name="_Toc151994544"/>
      <w:bookmarkStart w:id="2531" w:name="_Toc158713054"/>
      <w:r w:rsidRPr="000D40D5">
        <w:rPr>
          <w:rStyle w:val="CharSectno"/>
        </w:rPr>
        <w:t>10.2.80</w:t>
      </w:r>
      <w:r w:rsidRPr="00D97EFB">
        <w:t xml:space="preserve">  Lodgment of Product Disclosure Statement after lodgment of notice</w:t>
      </w:r>
      <w:bookmarkEnd w:id="2530"/>
      <w:bookmarkEnd w:id="2531"/>
    </w:p>
    <w:p w14:paraId="10367B38" w14:textId="77777777" w:rsidR="00E93F58" w:rsidRPr="00D97EFB" w:rsidRDefault="00E93F58" w:rsidP="007804D8">
      <w:pPr>
        <w:pStyle w:val="subsection"/>
      </w:pPr>
      <w:r w:rsidRPr="00D97EFB">
        <w:tab/>
      </w:r>
      <w:r w:rsidRPr="00D97EFB">
        <w:tab/>
        <w:t>For section 1444 of the Act, if a person lodges with ASIC a notice under paragraph 1438(3)(b) of the Act:</w:t>
      </w:r>
    </w:p>
    <w:p w14:paraId="1521C09A" w14:textId="77777777" w:rsidR="00E93F58" w:rsidRPr="00D97EFB" w:rsidRDefault="00E93F58" w:rsidP="007804D8">
      <w:pPr>
        <w:pStyle w:val="paragraph"/>
      </w:pPr>
      <w:r w:rsidRPr="00D97EFB">
        <w:rPr>
          <w:color w:val="000000"/>
        </w:rPr>
        <w:tab/>
        <w:t>(a)</w:t>
      </w:r>
      <w:r w:rsidRPr="00D97EFB">
        <w:rPr>
          <w:color w:val="000000"/>
        </w:rPr>
        <w:tab/>
        <w:t>section 1015B of the Act is taken to authorise the person to lodge a Product Disclosure Statement before the date of effect specified in the notice; and</w:t>
      </w:r>
    </w:p>
    <w:p w14:paraId="4AE6A2B2" w14:textId="77777777" w:rsidR="00E93F58" w:rsidRPr="00D97EFB" w:rsidRDefault="00E93F58" w:rsidP="007804D8">
      <w:pPr>
        <w:pStyle w:val="paragraph"/>
      </w:pPr>
      <w:r w:rsidRPr="00D97EFB">
        <w:tab/>
        <w:t>(b)</w:t>
      </w:r>
      <w:r w:rsidRPr="00D97EFB">
        <w:tab/>
        <w:t>the period mentioned in section 1016B of the Act is taken to start in relation to the person when the person lodges the Product Disclosure Statement.</w:t>
      </w:r>
    </w:p>
    <w:p w14:paraId="0CFC5CD6" w14:textId="77777777" w:rsidR="00E93F58" w:rsidRPr="00D97EFB" w:rsidRDefault="00E93F58" w:rsidP="006C736A">
      <w:pPr>
        <w:pStyle w:val="ActHead5"/>
      </w:pPr>
      <w:bookmarkStart w:id="2532" w:name="_Toc151994545"/>
      <w:bookmarkStart w:id="2533" w:name="_Toc158713055"/>
      <w:r w:rsidRPr="000D40D5">
        <w:rPr>
          <w:rStyle w:val="CharSectno"/>
        </w:rPr>
        <w:t>10.2.81</w:t>
      </w:r>
      <w:r w:rsidRPr="00D97EFB">
        <w:t xml:space="preserve">  Ongoing disclosure</w:t>
      </w:r>
      <w:bookmarkEnd w:id="2532"/>
      <w:bookmarkEnd w:id="2533"/>
    </w:p>
    <w:p w14:paraId="48822CDF" w14:textId="77777777" w:rsidR="00E93F58" w:rsidRPr="00D97EFB" w:rsidRDefault="00E93F58" w:rsidP="007804D8">
      <w:pPr>
        <w:pStyle w:val="subsection"/>
      </w:pPr>
      <w:r w:rsidRPr="00D97EFB">
        <w:tab/>
      </w:r>
      <w:r w:rsidRPr="00D97EFB">
        <w:tab/>
        <w:t>For section 1444 of the Act, if:</w:t>
      </w:r>
    </w:p>
    <w:p w14:paraId="45004A84" w14:textId="77777777" w:rsidR="00E93F58" w:rsidRPr="00D97EFB" w:rsidRDefault="00E93F58" w:rsidP="007804D8">
      <w:pPr>
        <w:pStyle w:val="paragraph"/>
      </w:pPr>
      <w:r w:rsidRPr="00D97EFB">
        <w:tab/>
        <w:t>(a)</w:t>
      </w:r>
      <w:r w:rsidRPr="00D97EFB">
        <w:tab/>
        <w:t>the issuer of a financial product would have had an obligation to notify the holder of a financial product of a change or event mentioned in subsection 1017B(1A) of the Act if Part 7.9 of the Act had applied at all times to the product; and</w:t>
      </w:r>
    </w:p>
    <w:p w14:paraId="37378C2F" w14:textId="77777777" w:rsidR="00E93F58" w:rsidRPr="00D97EFB" w:rsidRDefault="00E93F58" w:rsidP="007804D8">
      <w:pPr>
        <w:pStyle w:val="paragraph"/>
      </w:pPr>
      <w:r w:rsidRPr="00D97EFB">
        <w:tab/>
        <w:t>(b)</w:t>
      </w:r>
      <w:r w:rsidRPr="00D97EFB">
        <w:tab/>
        <w:t>the issuer would have been exempt from the obligation because regulation 7.9.16G would have applied to the issuer in relation to the product if Part 7.9 of the Act had applied at all times to the product;</w:t>
      </w:r>
    </w:p>
    <w:p w14:paraId="6909C5EE" w14:textId="77777777" w:rsidR="00E93F58" w:rsidRPr="00D97EFB" w:rsidRDefault="00E93F58" w:rsidP="007804D8">
      <w:pPr>
        <w:pStyle w:val="subsection2"/>
      </w:pPr>
      <w:r w:rsidRPr="00D97EFB">
        <w:t>regulation 7.9.16G applies to the issuer in relation to the product during the transition period for the product.</w:t>
      </w:r>
    </w:p>
    <w:p w14:paraId="36FB3A04" w14:textId="77777777" w:rsidR="00E93F58" w:rsidRPr="00D97EFB" w:rsidRDefault="00E93F58" w:rsidP="006C736A">
      <w:pPr>
        <w:pStyle w:val="ActHead5"/>
      </w:pPr>
      <w:bookmarkStart w:id="2534" w:name="_Toc151994546"/>
      <w:bookmarkStart w:id="2535" w:name="_Toc158713056"/>
      <w:r w:rsidRPr="000D40D5">
        <w:rPr>
          <w:rStyle w:val="CharSectno"/>
        </w:rPr>
        <w:t>10.2.82</w:t>
      </w:r>
      <w:r w:rsidRPr="00D97EFB">
        <w:t xml:space="preserve">  Money received for financial product before the product is issued: general</w:t>
      </w:r>
      <w:bookmarkEnd w:id="2534"/>
      <w:bookmarkEnd w:id="2535"/>
    </w:p>
    <w:p w14:paraId="5EED7D46" w14:textId="77777777" w:rsidR="00E93F58" w:rsidRPr="00D97EFB" w:rsidRDefault="00E93F58" w:rsidP="007804D8">
      <w:pPr>
        <w:pStyle w:val="subsection"/>
      </w:pPr>
      <w:r w:rsidRPr="00D97EFB">
        <w:tab/>
        <w:t>(1)</w:t>
      </w:r>
      <w:r w:rsidRPr="00D97EFB">
        <w:tab/>
        <w:t>For section 1444 of the Act, this regulation applies if:</w:t>
      </w:r>
    </w:p>
    <w:p w14:paraId="57EBCDC1" w14:textId="77777777" w:rsidR="00E93F58" w:rsidRPr="00D97EFB" w:rsidRDefault="00E93F58" w:rsidP="007804D8">
      <w:pPr>
        <w:pStyle w:val="paragraph"/>
      </w:pPr>
      <w:r w:rsidRPr="00D97EFB">
        <w:rPr>
          <w:color w:val="000000"/>
        </w:rPr>
        <w:tab/>
        <w:t>(a)</w:t>
      </w:r>
      <w:r w:rsidRPr="00D97EFB">
        <w:rPr>
          <w:color w:val="000000"/>
        </w:rPr>
        <w:tab/>
        <w:t xml:space="preserve">money is paid to a person before the FSR commencement to acquire a financial product </w:t>
      </w:r>
      <w:r w:rsidRPr="00D97EFB">
        <w:t>(whether the money is paid by the person who is to acquire the financial product or by another person)</w:t>
      </w:r>
      <w:r w:rsidRPr="00D97EFB">
        <w:rPr>
          <w:color w:val="000000"/>
        </w:rPr>
        <w:t>; and</w:t>
      </w:r>
    </w:p>
    <w:p w14:paraId="0C415177" w14:textId="77777777" w:rsidR="00E93F58" w:rsidRPr="00D97EFB" w:rsidRDefault="00E93F58" w:rsidP="007804D8">
      <w:pPr>
        <w:pStyle w:val="paragraph"/>
      </w:pPr>
      <w:r w:rsidRPr="00D97EFB">
        <w:tab/>
        <w:t>(b)</w:t>
      </w:r>
      <w:r w:rsidRPr="00D97EFB">
        <w:tab/>
        <w:t>the person holds the money immediately after the FSR commencement.</w:t>
      </w:r>
    </w:p>
    <w:p w14:paraId="40DEE85F" w14:textId="77777777" w:rsidR="00E93F58" w:rsidRPr="00D97EFB" w:rsidRDefault="00E93F58" w:rsidP="007804D8">
      <w:pPr>
        <w:pStyle w:val="subsection"/>
      </w:pPr>
      <w:r w:rsidRPr="00D97EFB">
        <w:tab/>
        <w:t>(2)</w:t>
      </w:r>
      <w:r w:rsidRPr="00D97EFB">
        <w:tab/>
        <w:t>The following provisions of the relevant old legislation continue to apply in relation to the person and the money:</w:t>
      </w:r>
    </w:p>
    <w:p w14:paraId="42854972" w14:textId="77777777" w:rsidR="00E93F58" w:rsidRPr="00D97EFB" w:rsidRDefault="00E93F58" w:rsidP="007804D8">
      <w:pPr>
        <w:pStyle w:val="paragraph"/>
      </w:pPr>
      <w:r w:rsidRPr="00D97EFB">
        <w:rPr>
          <w:color w:val="000000"/>
        </w:rPr>
        <w:tab/>
        <w:t>(a)</w:t>
      </w:r>
      <w:r w:rsidRPr="00D97EFB">
        <w:rPr>
          <w:color w:val="000000"/>
        </w:rPr>
        <w:tab/>
        <w:t>section 722 of the old Corporations Act, and any associated provisions;</w:t>
      </w:r>
    </w:p>
    <w:p w14:paraId="0E5F7874" w14:textId="77777777" w:rsidR="00E93F58" w:rsidRPr="00D97EFB" w:rsidRDefault="00E93F58" w:rsidP="007804D8">
      <w:pPr>
        <w:pStyle w:val="paragraph"/>
      </w:pPr>
      <w:r w:rsidRPr="00D97EFB">
        <w:tab/>
        <w:t>(b)</w:t>
      </w:r>
      <w:r w:rsidRPr="00D97EFB">
        <w:tab/>
        <w:t>Division 5 of Part 19 of the SIS Act, and any associated provisions;</w:t>
      </w:r>
    </w:p>
    <w:p w14:paraId="7F9CAC0A" w14:textId="77777777" w:rsidR="00E93F58" w:rsidRPr="00D97EFB" w:rsidRDefault="00E93F58" w:rsidP="007804D8">
      <w:pPr>
        <w:pStyle w:val="paragraph"/>
      </w:pPr>
      <w:r w:rsidRPr="00D97EFB">
        <w:tab/>
        <w:t>(c)</w:t>
      </w:r>
      <w:r w:rsidRPr="00D97EFB">
        <w:tab/>
        <w:t>Division 6 of Part 5 of the RSA Act, and any associated provisions;</w:t>
      </w:r>
    </w:p>
    <w:p w14:paraId="3880FAC9" w14:textId="77777777" w:rsidR="00E93F58" w:rsidRPr="00D97EFB" w:rsidRDefault="00E93F58" w:rsidP="007804D8">
      <w:pPr>
        <w:pStyle w:val="paragraph"/>
      </w:pPr>
      <w:r w:rsidRPr="00D97EFB">
        <w:tab/>
        <w:t>(d)</w:t>
      </w:r>
      <w:r w:rsidRPr="00D97EFB">
        <w:tab/>
        <w:t xml:space="preserve">section 37 of the </w:t>
      </w:r>
      <w:r w:rsidRPr="00D97EFB">
        <w:rPr>
          <w:i/>
        </w:rPr>
        <w:t>Insurance (Agents and Brokers) Act 1984</w:t>
      </w:r>
      <w:r w:rsidRPr="00D97EFB">
        <w:t xml:space="preserve"> (other than subsection 37(2)), and any associated provisions.</w:t>
      </w:r>
    </w:p>
    <w:p w14:paraId="4721D44D" w14:textId="77777777" w:rsidR="00E93F58" w:rsidRPr="00D97EFB" w:rsidRDefault="00E93F58" w:rsidP="007804D8">
      <w:pPr>
        <w:pStyle w:val="subsection"/>
      </w:pPr>
      <w:r w:rsidRPr="00D97EFB">
        <w:rPr>
          <w:color w:val="000000"/>
        </w:rPr>
        <w:tab/>
        <w:t>(3)</w:t>
      </w:r>
      <w:r w:rsidRPr="00D97EFB">
        <w:rPr>
          <w:color w:val="000000"/>
        </w:rPr>
        <w:tab/>
        <w:t>Section 1017E of the Act does not apply in relation to the person and the money.</w:t>
      </w:r>
    </w:p>
    <w:p w14:paraId="77DA5B4C" w14:textId="77777777" w:rsidR="00E93F58" w:rsidRPr="00D97EFB" w:rsidRDefault="00E93F58" w:rsidP="006C736A">
      <w:pPr>
        <w:pStyle w:val="ActHead5"/>
      </w:pPr>
      <w:bookmarkStart w:id="2536" w:name="_Toc151994547"/>
      <w:bookmarkStart w:id="2537" w:name="_Toc158713057"/>
      <w:r w:rsidRPr="000D40D5">
        <w:rPr>
          <w:rStyle w:val="CharSectno"/>
        </w:rPr>
        <w:t>10.2.83</w:t>
      </w:r>
      <w:r w:rsidRPr="00D97EFB">
        <w:t xml:space="preserve">  Money received for financial product before the product is issued: requirement before application of subsection 37(2) of </w:t>
      </w:r>
      <w:r w:rsidRPr="00D97EFB">
        <w:rPr>
          <w:i/>
        </w:rPr>
        <w:t>Insurance (Agents and Brokers) Act 1984</w:t>
      </w:r>
      <w:bookmarkEnd w:id="2536"/>
      <w:bookmarkEnd w:id="2537"/>
    </w:p>
    <w:p w14:paraId="0EED5DD6" w14:textId="77777777" w:rsidR="00E93F58" w:rsidRPr="00D97EFB" w:rsidRDefault="00E93F58" w:rsidP="007804D8">
      <w:pPr>
        <w:pStyle w:val="subsection"/>
      </w:pPr>
      <w:r w:rsidRPr="00D97EFB">
        <w:rPr>
          <w:color w:val="000000"/>
        </w:rPr>
        <w:tab/>
      </w:r>
      <w:r w:rsidRPr="00D97EFB">
        <w:rPr>
          <w:color w:val="000000"/>
        </w:rPr>
        <w:tab/>
        <w:t xml:space="preserve">Section 37 of the </w:t>
      </w:r>
      <w:r w:rsidRPr="00D97EFB">
        <w:rPr>
          <w:i/>
          <w:color w:val="000000"/>
        </w:rPr>
        <w:t>Insurance (Agents and Brokers) Act 1984</w:t>
      </w:r>
      <w:r w:rsidRPr="00D97EFB">
        <w:rPr>
          <w:color w:val="000000"/>
        </w:rPr>
        <w:t xml:space="preserve"> (other than subsection 37(2)) does not apply in relation to money to which section 1017E of the Act applies unless one of the events mentioned in subsection 1017E(3) of the Act occurs.</w:t>
      </w:r>
    </w:p>
    <w:p w14:paraId="43358B85" w14:textId="77777777" w:rsidR="00E93F58" w:rsidRPr="00D97EFB" w:rsidRDefault="00E93F58" w:rsidP="006C736A">
      <w:pPr>
        <w:pStyle w:val="ActHead5"/>
      </w:pPr>
      <w:bookmarkStart w:id="2538" w:name="_Toc151994548"/>
      <w:bookmarkStart w:id="2539" w:name="_Toc158713058"/>
      <w:r w:rsidRPr="000D40D5">
        <w:rPr>
          <w:rStyle w:val="CharSectno"/>
        </w:rPr>
        <w:t>10.2.84</w:t>
      </w:r>
      <w:r w:rsidRPr="00D97EFB">
        <w:t xml:space="preserve">  Confirmation of transactions</w:t>
      </w:r>
      <w:bookmarkEnd w:id="2538"/>
      <w:bookmarkEnd w:id="2539"/>
    </w:p>
    <w:p w14:paraId="783650AB" w14:textId="77777777" w:rsidR="00E93F58" w:rsidRPr="00D97EFB" w:rsidRDefault="00E93F58" w:rsidP="007804D8">
      <w:pPr>
        <w:pStyle w:val="subsection"/>
      </w:pPr>
      <w:r w:rsidRPr="00D97EFB">
        <w:tab/>
        <w:t>(1)</w:t>
      </w:r>
      <w:r w:rsidRPr="00D97EFB">
        <w:tab/>
        <w:t>For section 1444 of the Act, this regulation applies in relation to a financial product to which:</w:t>
      </w:r>
    </w:p>
    <w:p w14:paraId="56C1AAC7" w14:textId="77777777" w:rsidR="00E93F58" w:rsidRPr="00D97EFB" w:rsidRDefault="00E93F58" w:rsidP="007804D8">
      <w:pPr>
        <w:pStyle w:val="paragraph"/>
      </w:pPr>
      <w:r w:rsidRPr="00D97EFB">
        <w:rPr>
          <w:color w:val="000000"/>
        </w:rPr>
        <w:tab/>
        <w:t>(a)</w:t>
      </w:r>
      <w:r w:rsidRPr="00D97EFB">
        <w:rPr>
          <w:color w:val="000000"/>
        </w:rPr>
        <w:tab/>
        <w:t>section 1017F of the Act applies; and</w:t>
      </w:r>
    </w:p>
    <w:p w14:paraId="5EC17B78" w14:textId="77777777" w:rsidR="00E93F58" w:rsidRPr="00D97EFB" w:rsidRDefault="00E93F58" w:rsidP="007804D8">
      <w:pPr>
        <w:pStyle w:val="paragraph"/>
      </w:pPr>
      <w:r w:rsidRPr="00D97EFB">
        <w:tab/>
        <w:t>(b)</w:t>
      </w:r>
      <w:r w:rsidRPr="00D97EFB">
        <w:tab/>
        <w:t xml:space="preserve">subsection 37(2) of the </w:t>
      </w:r>
      <w:r w:rsidRPr="00D97EFB">
        <w:rPr>
          <w:i/>
        </w:rPr>
        <w:t>Insurance (Agents and Brokers) Act 1984</w:t>
      </w:r>
      <w:r w:rsidRPr="00D97EFB">
        <w:t xml:space="preserve"> would, but for subregulation (2), apply after the FSR commencement.</w:t>
      </w:r>
    </w:p>
    <w:p w14:paraId="3FAA8901" w14:textId="77777777" w:rsidR="00E93F58" w:rsidRPr="00D97EFB" w:rsidRDefault="00E93F58" w:rsidP="007804D8">
      <w:pPr>
        <w:pStyle w:val="subsection"/>
      </w:pPr>
      <w:r w:rsidRPr="00D97EFB">
        <w:rPr>
          <w:color w:val="000000"/>
        </w:rPr>
        <w:tab/>
        <w:t>(2)</w:t>
      </w:r>
      <w:r w:rsidRPr="00D97EFB">
        <w:rPr>
          <w:color w:val="000000"/>
        </w:rPr>
        <w:tab/>
        <w:t xml:space="preserve">Subsection 37(2) of the </w:t>
      </w:r>
      <w:r w:rsidRPr="00D97EFB">
        <w:rPr>
          <w:i/>
          <w:color w:val="000000"/>
        </w:rPr>
        <w:t>Insurance (Agents and Brokers) Act 1984</w:t>
      </w:r>
      <w:r w:rsidRPr="00D97EFB">
        <w:rPr>
          <w:color w:val="000000"/>
        </w:rPr>
        <w:t xml:space="preserve"> does not apply in relation to the financial product.</w:t>
      </w:r>
    </w:p>
    <w:p w14:paraId="0C56C01C" w14:textId="77777777" w:rsidR="00E93F58" w:rsidRPr="00D97EFB" w:rsidRDefault="00E93F58" w:rsidP="006C736A">
      <w:pPr>
        <w:pStyle w:val="ActHead5"/>
      </w:pPr>
      <w:bookmarkStart w:id="2540" w:name="_Toc151994549"/>
      <w:bookmarkStart w:id="2541" w:name="_Toc158713059"/>
      <w:r w:rsidRPr="000D40D5">
        <w:rPr>
          <w:rStyle w:val="CharSectno"/>
        </w:rPr>
        <w:lastRenderedPageBreak/>
        <w:t>10.2.85</w:t>
      </w:r>
      <w:r w:rsidRPr="00D97EFB">
        <w:t xml:space="preserve">  Dispute resolution requirements: financial products</w:t>
      </w:r>
      <w:bookmarkEnd w:id="2540"/>
      <w:bookmarkEnd w:id="2541"/>
    </w:p>
    <w:p w14:paraId="7714B65B" w14:textId="77777777" w:rsidR="00E93F58" w:rsidRPr="00D97EFB" w:rsidRDefault="00E93F58" w:rsidP="007804D8">
      <w:pPr>
        <w:pStyle w:val="subsection"/>
      </w:pPr>
      <w:r w:rsidRPr="00D97EFB">
        <w:rPr>
          <w:color w:val="000000"/>
        </w:rPr>
        <w:tab/>
        <w:t>(1)</w:t>
      </w:r>
      <w:r w:rsidRPr="00D97EFB">
        <w:rPr>
          <w:color w:val="000000"/>
        </w:rPr>
        <w:tab/>
        <w:t xml:space="preserve">For section 1444 of the Act, this regulation applies in relation to financial products (the </w:t>
      </w:r>
      <w:r w:rsidRPr="00D97EFB">
        <w:rPr>
          <w:b/>
          <w:i/>
          <w:color w:val="000000"/>
        </w:rPr>
        <w:t>relevant financial products</w:t>
      </w:r>
      <w:r w:rsidRPr="00D97EFB">
        <w:rPr>
          <w:color w:val="000000"/>
        </w:rPr>
        <w:t>) other than financial products that are, or have been, available for acquisition at a time at which Division 2 of Part 7.9 of the Act applies to the financial products.</w:t>
      </w:r>
    </w:p>
    <w:p w14:paraId="70A4A622" w14:textId="77777777" w:rsidR="00E93F58" w:rsidRPr="00D97EFB" w:rsidRDefault="00E93F58" w:rsidP="007804D8">
      <w:pPr>
        <w:pStyle w:val="subsection"/>
        <w:rPr>
          <w:color w:val="000000"/>
        </w:rPr>
      </w:pPr>
      <w:r w:rsidRPr="00D97EFB">
        <w:rPr>
          <w:color w:val="000000"/>
        </w:rPr>
        <w:tab/>
        <w:t>(2)</w:t>
      </w:r>
      <w:r w:rsidRPr="00D97EFB">
        <w:rPr>
          <w:color w:val="000000"/>
        </w:rPr>
        <w:tab/>
        <w:t>A reference in section 1017G of the Act to financial products that are, or have been, available for acquisition does not include the relevant financial products.</w:t>
      </w:r>
    </w:p>
    <w:p w14:paraId="778667E6" w14:textId="77777777" w:rsidR="00E93F58" w:rsidRPr="00D97EFB" w:rsidRDefault="00E93F58" w:rsidP="006C736A">
      <w:pPr>
        <w:pStyle w:val="ActHead5"/>
      </w:pPr>
      <w:bookmarkStart w:id="2542" w:name="_Toc151994550"/>
      <w:bookmarkStart w:id="2543" w:name="_Toc158713060"/>
      <w:r w:rsidRPr="000D40D5">
        <w:rPr>
          <w:rStyle w:val="CharSectno"/>
        </w:rPr>
        <w:t>10.2.86</w:t>
      </w:r>
      <w:r w:rsidRPr="00D97EFB">
        <w:t xml:space="preserve">  Dispute resolution requirements: regulated principals</w:t>
      </w:r>
      <w:bookmarkEnd w:id="2542"/>
      <w:bookmarkEnd w:id="2543"/>
    </w:p>
    <w:p w14:paraId="7A4CE500" w14:textId="77777777" w:rsidR="00E93F58" w:rsidRPr="00D97EFB" w:rsidRDefault="00E93F58" w:rsidP="007804D8">
      <w:pPr>
        <w:pStyle w:val="subsection"/>
      </w:pPr>
      <w:r w:rsidRPr="00D97EFB">
        <w:tab/>
        <w:t>(1)</w:t>
      </w:r>
      <w:r w:rsidRPr="00D97EFB">
        <w:tab/>
        <w:t>For section 1444 of the Act, if:</w:t>
      </w:r>
    </w:p>
    <w:p w14:paraId="72FA3A57" w14:textId="77777777" w:rsidR="00E93F58" w:rsidRPr="00D97EFB" w:rsidRDefault="00E93F58" w:rsidP="007804D8">
      <w:pPr>
        <w:pStyle w:val="paragraph"/>
      </w:pPr>
      <w:r w:rsidRPr="00D97EFB">
        <w:rPr>
          <w:color w:val="000000"/>
        </w:rPr>
        <w:tab/>
        <w:t>(a)</w:t>
      </w:r>
      <w:r w:rsidRPr="00D97EFB">
        <w:rPr>
          <w:color w:val="000000"/>
        </w:rPr>
        <w:tab/>
        <w:t>a regulated principal in relation to a financial product would, but for this regulation, be required by subsection 1017G(1) of the Act to have a dispute resolution system for the financial product; and</w:t>
      </w:r>
    </w:p>
    <w:p w14:paraId="049D19DD" w14:textId="77777777" w:rsidR="00E93F58" w:rsidRPr="00D97EFB" w:rsidRDefault="00E93F58" w:rsidP="007804D8">
      <w:pPr>
        <w:pStyle w:val="paragraph"/>
      </w:pPr>
      <w:r w:rsidRPr="00D97EFB">
        <w:tab/>
        <w:t>(b)</w:t>
      </w:r>
      <w:r w:rsidRPr="00D97EFB">
        <w:tab/>
        <w:t>the issue or sale of the financial product as mentioned in paragraph 1017G(1)(b) of the Act is within the regulated activities of the regulated principal;</w:t>
      </w:r>
    </w:p>
    <w:p w14:paraId="19F5E950" w14:textId="77777777" w:rsidR="00E93F58" w:rsidRPr="00D97EFB" w:rsidRDefault="00E93F58" w:rsidP="007804D8">
      <w:pPr>
        <w:pStyle w:val="subsection2"/>
        <w:rPr>
          <w:color w:val="000000"/>
        </w:rPr>
      </w:pPr>
      <w:r w:rsidRPr="00D97EFB">
        <w:rPr>
          <w:color w:val="000000"/>
        </w:rPr>
        <w:t>section 1017G of the Act does not apply to the regulated principal in relation to the financial product.</w:t>
      </w:r>
    </w:p>
    <w:p w14:paraId="0A04541E" w14:textId="77777777" w:rsidR="00E93F58" w:rsidRPr="00D97EFB" w:rsidRDefault="00E93F58" w:rsidP="007804D8">
      <w:pPr>
        <w:pStyle w:val="subsection"/>
      </w:pPr>
      <w:r w:rsidRPr="00D97EFB">
        <w:rPr>
          <w:color w:val="000000"/>
        </w:rPr>
        <w:tab/>
        <w:t>(2)</w:t>
      </w:r>
      <w:r w:rsidRPr="00D97EFB">
        <w:rPr>
          <w:color w:val="000000"/>
        </w:rPr>
        <w:tab/>
        <w:t>Subregulation (1) ceases to apply in relation to the regulated principal at the end of the transition period in relation to the regulated principal.</w:t>
      </w:r>
    </w:p>
    <w:p w14:paraId="631BC343" w14:textId="77777777" w:rsidR="00E93F58" w:rsidRPr="00D97EFB" w:rsidRDefault="00E93F58" w:rsidP="006C736A">
      <w:pPr>
        <w:pStyle w:val="ActHead5"/>
      </w:pPr>
      <w:bookmarkStart w:id="2544" w:name="_Toc151994551"/>
      <w:bookmarkStart w:id="2545" w:name="_Toc158713061"/>
      <w:r w:rsidRPr="000D40D5">
        <w:rPr>
          <w:rStyle w:val="CharSectno"/>
        </w:rPr>
        <w:t>10.2.87A</w:t>
      </w:r>
      <w:r w:rsidRPr="00D97EFB">
        <w:t xml:space="preserve">  Meaning of </w:t>
      </w:r>
      <w:r w:rsidRPr="00D97EFB">
        <w:rPr>
          <w:i/>
        </w:rPr>
        <w:t>financial product advice</w:t>
      </w:r>
      <w:r w:rsidRPr="00D97EFB">
        <w:t>: exempt document or statement</w:t>
      </w:r>
      <w:bookmarkEnd w:id="2544"/>
      <w:bookmarkEnd w:id="2545"/>
    </w:p>
    <w:p w14:paraId="3B1EBC4E" w14:textId="77777777" w:rsidR="00E93F58" w:rsidRPr="00D97EFB" w:rsidRDefault="00E93F58" w:rsidP="006C736A">
      <w:pPr>
        <w:pStyle w:val="subsection"/>
        <w:keepNext/>
        <w:keepLines/>
      </w:pPr>
      <w:r w:rsidRPr="00D97EFB">
        <w:tab/>
        <w:t>(1)</w:t>
      </w:r>
      <w:r w:rsidRPr="00D97EFB">
        <w:tab/>
        <w:t>For subsection 1409(1) of the Act, this regulation applies to a document or statement about a financial product during the transition period that ceases on the earlier of:</w:t>
      </w:r>
    </w:p>
    <w:p w14:paraId="252AC372" w14:textId="77777777" w:rsidR="00E93F58" w:rsidRPr="00D97EFB" w:rsidRDefault="00E93F58" w:rsidP="00BB7E31">
      <w:pPr>
        <w:pStyle w:val="paragraph"/>
      </w:pPr>
      <w:r w:rsidRPr="00D97EFB">
        <w:tab/>
        <w:t>(a)</w:t>
      </w:r>
      <w:r w:rsidRPr="00D97EFB">
        <w:tab/>
        <w:t>the date that Part 7.9 of the Act applies to the regulated person; and</w:t>
      </w:r>
    </w:p>
    <w:p w14:paraId="7498AE59" w14:textId="77777777" w:rsidR="00E93F58" w:rsidRPr="00D97EFB" w:rsidRDefault="00E93F58" w:rsidP="00BB7E31">
      <w:pPr>
        <w:pStyle w:val="paragraph"/>
      </w:pPr>
      <w:r w:rsidRPr="00D97EFB">
        <w:tab/>
        <w:t>(b)</w:t>
      </w:r>
      <w:r w:rsidRPr="00D97EFB">
        <w:tab/>
        <w:t>2 years after the FSR commencement.</w:t>
      </w:r>
    </w:p>
    <w:p w14:paraId="2065868B" w14:textId="77777777" w:rsidR="00E93F58" w:rsidRPr="00D97EFB" w:rsidRDefault="00E93F58" w:rsidP="00BB7E31">
      <w:pPr>
        <w:pStyle w:val="subsection"/>
      </w:pPr>
      <w:r w:rsidRPr="00D97EFB">
        <w:tab/>
        <w:t>(2)</w:t>
      </w:r>
      <w:r w:rsidRPr="00D97EFB">
        <w:tab/>
        <w:t xml:space="preserve">The following documents and statements are prescribed under paragraph (b) of the definition of </w:t>
      </w:r>
      <w:r w:rsidRPr="00D97EFB">
        <w:rPr>
          <w:b/>
          <w:i/>
        </w:rPr>
        <w:t>exempt document or statement</w:t>
      </w:r>
      <w:r w:rsidRPr="00D97EFB">
        <w:t xml:space="preserve"> in subsection 766B(9) of the Act:</w:t>
      </w:r>
    </w:p>
    <w:p w14:paraId="71E73FDC" w14:textId="77777777" w:rsidR="00E93F58" w:rsidRPr="00D97EFB" w:rsidRDefault="00E93F58" w:rsidP="00BB7E31">
      <w:pPr>
        <w:pStyle w:val="paragraph"/>
      </w:pPr>
      <w:r w:rsidRPr="00D97EFB">
        <w:tab/>
        <w:t>(a)</w:t>
      </w:r>
      <w:r w:rsidRPr="00D97EFB">
        <w:tab/>
        <w:t>in relation to an interest in a managed investment scheme to which Division 2 of Part 7.9 of the Act does not apply—a disclosure document lodged under Chapter 6D of the Act;</w:t>
      </w:r>
    </w:p>
    <w:p w14:paraId="4F89D20F" w14:textId="77777777" w:rsidR="00E93F58" w:rsidRPr="00D97EFB" w:rsidRDefault="00E93F58" w:rsidP="00BB7E31">
      <w:pPr>
        <w:pStyle w:val="paragraph"/>
      </w:pPr>
      <w:r w:rsidRPr="00D97EFB">
        <w:tab/>
        <w:t>(b)</w:t>
      </w:r>
      <w:r w:rsidRPr="00D97EFB">
        <w:tab/>
        <w:t>in relation to a derivative to which Division 2 of Part 7.9 of the Act does not apply—information mentioned in section 1210 of the old Corporations Act;</w:t>
      </w:r>
    </w:p>
    <w:p w14:paraId="754C5C18" w14:textId="77777777" w:rsidR="00E93F58" w:rsidRPr="00D97EFB" w:rsidRDefault="00E93F58" w:rsidP="00BB7E31">
      <w:pPr>
        <w:pStyle w:val="paragraph"/>
      </w:pPr>
      <w:r w:rsidRPr="00D97EFB">
        <w:tab/>
        <w:t>(c)</w:t>
      </w:r>
      <w:r w:rsidRPr="00D97EFB">
        <w:tab/>
        <w:t>in relation to a superannuation product to which Division 2 of Part 7.9 of the Act does not apply—information mentioned in section 153 or 159 of the SIS Act or Part 2 of the SIS Regulations as in force immediately before the FSR commencement;</w:t>
      </w:r>
    </w:p>
    <w:p w14:paraId="0D75EBF9" w14:textId="77777777" w:rsidR="00E93F58" w:rsidRPr="00D97EFB" w:rsidRDefault="00E93F58" w:rsidP="00BB7E31">
      <w:pPr>
        <w:pStyle w:val="paragraph"/>
      </w:pPr>
      <w:r w:rsidRPr="00D97EFB">
        <w:tab/>
        <w:t>(d)</w:t>
      </w:r>
      <w:r w:rsidRPr="00D97EFB">
        <w:tab/>
        <w:t>in relation to an RSA product to which Division 2 of Part 7.9 of the Act does not apply—information mentioned in section 56 of the RSA Act, as in force immediately before the FSR commencement;</w:t>
      </w:r>
    </w:p>
    <w:p w14:paraId="7FEA6E9E" w14:textId="77777777" w:rsidR="00E93F58" w:rsidRPr="00D97EFB" w:rsidRDefault="00E93F58" w:rsidP="00BB7E31">
      <w:pPr>
        <w:pStyle w:val="paragraph"/>
      </w:pPr>
      <w:r w:rsidRPr="00D97EFB">
        <w:tab/>
        <w:t>(e)</w:t>
      </w:r>
      <w:r w:rsidRPr="00D97EFB">
        <w:tab/>
        <w:t>in relation to an investment life insurance product or a life risk insurance product—a document or statement that contains information given in accordance with Circular G.I.1, issued by the Insurance and Superannuation Commission in February 1996.</w:t>
      </w:r>
    </w:p>
    <w:p w14:paraId="5FA2A852" w14:textId="77777777" w:rsidR="00E93F58" w:rsidRPr="00D97EFB" w:rsidRDefault="00E93F58" w:rsidP="00380AFB">
      <w:pPr>
        <w:pStyle w:val="ActHead3"/>
        <w:pageBreakBefore/>
        <w:rPr>
          <w:color w:val="000000"/>
        </w:rPr>
      </w:pPr>
      <w:bookmarkStart w:id="2546" w:name="_Toc151994552"/>
      <w:bookmarkStart w:id="2547" w:name="_Toc158713062"/>
      <w:r w:rsidRPr="000D40D5">
        <w:rPr>
          <w:rStyle w:val="CharDivNo"/>
        </w:rPr>
        <w:lastRenderedPageBreak/>
        <w:t>Division 17</w:t>
      </w:r>
      <w:r w:rsidRPr="00D97EFB">
        <w:rPr>
          <w:color w:val="000000"/>
        </w:rPr>
        <w:t>—</w:t>
      </w:r>
      <w:r w:rsidRPr="000D40D5">
        <w:rPr>
          <w:rStyle w:val="CharDivText"/>
        </w:rPr>
        <w:t>Arrangements relating to enforcement of matters by ASIC</w:t>
      </w:r>
      <w:bookmarkEnd w:id="2546"/>
      <w:bookmarkEnd w:id="2547"/>
    </w:p>
    <w:p w14:paraId="7E20349E" w14:textId="77777777" w:rsidR="00E93F58" w:rsidRPr="00D97EFB" w:rsidRDefault="00E93F58" w:rsidP="00BB7E31">
      <w:pPr>
        <w:pStyle w:val="ActHead5"/>
      </w:pPr>
      <w:bookmarkStart w:id="2548" w:name="_Toc151994553"/>
      <w:bookmarkStart w:id="2549" w:name="_Toc158713063"/>
      <w:r w:rsidRPr="000D40D5">
        <w:rPr>
          <w:rStyle w:val="CharSectno"/>
        </w:rPr>
        <w:t>10.2.88</w:t>
      </w:r>
      <w:r w:rsidRPr="00D97EFB">
        <w:t xml:space="preserve">  Definition</w:t>
      </w:r>
      <w:bookmarkEnd w:id="2548"/>
      <w:bookmarkEnd w:id="2549"/>
    </w:p>
    <w:p w14:paraId="348F81A4" w14:textId="77777777" w:rsidR="00E93F58" w:rsidRPr="00D97EFB" w:rsidRDefault="00E93F58" w:rsidP="00BB7E31">
      <w:pPr>
        <w:pStyle w:val="subsection"/>
      </w:pPr>
      <w:r w:rsidRPr="00D97EFB">
        <w:tab/>
      </w:r>
      <w:r w:rsidRPr="00D97EFB">
        <w:tab/>
        <w:t>In this Division:</w:t>
      </w:r>
    </w:p>
    <w:p w14:paraId="006D4E51" w14:textId="77777777" w:rsidR="00E93F58" w:rsidRPr="00D97EFB" w:rsidRDefault="00E93F58" w:rsidP="00BB7E31">
      <w:pPr>
        <w:pStyle w:val="Definition"/>
      </w:pPr>
      <w:r w:rsidRPr="00D97EFB">
        <w:rPr>
          <w:b/>
          <w:i/>
          <w:color w:val="000000"/>
        </w:rPr>
        <w:t xml:space="preserve">amended Corporations Act </w:t>
      </w:r>
      <w:r w:rsidRPr="00D97EFB">
        <w:rPr>
          <w:color w:val="000000"/>
        </w:rPr>
        <w:t>means the Act as in force after the FSR commencement.</w:t>
      </w:r>
    </w:p>
    <w:p w14:paraId="7C6235D1" w14:textId="77777777" w:rsidR="00E93F58" w:rsidRPr="00D97EFB" w:rsidRDefault="00E93F58" w:rsidP="00BB7E31">
      <w:pPr>
        <w:pStyle w:val="ActHead5"/>
      </w:pPr>
      <w:bookmarkStart w:id="2550" w:name="_Toc151994554"/>
      <w:bookmarkStart w:id="2551" w:name="_Toc158713064"/>
      <w:r w:rsidRPr="000D40D5">
        <w:rPr>
          <w:rStyle w:val="CharSectno"/>
        </w:rPr>
        <w:t>10.2.89</w:t>
      </w:r>
      <w:r w:rsidRPr="00D97EFB">
        <w:rPr>
          <w:sz w:val="16"/>
        </w:rPr>
        <w:t xml:space="preserve">  </w:t>
      </w:r>
      <w:r w:rsidRPr="00D97EFB">
        <w:t>Financial services law</w:t>
      </w:r>
      <w:bookmarkEnd w:id="2550"/>
      <w:bookmarkEnd w:id="2551"/>
    </w:p>
    <w:p w14:paraId="5EB77C33" w14:textId="77777777" w:rsidR="00E93F58" w:rsidRPr="00D97EFB" w:rsidRDefault="00E93F58" w:rsidP="00BB7E31">
      <w:pPr>
        <w:pStyle w:val="subsection"/>
      </w:pPr>
      <w:r w:rsidRPr="00D97EFB">
        <w:rPr>
          <w:color w:val="000000"/>
        </w:rPr>
        <w:tab/>
      </w:r>
      <w:r w:rsidRPr="00D97EFB">
        <w:rPr>
          <w:color w:val="000000"/>
        </w:rPr>
        <w:tab/>
        <w:t>For section 761A of the Act, a provision of the relevant old legislation is not a financial services law unless the operation of the provision is expressly preserved or applied (with or without modification) in relation to the matter by a provision of these Regulations (other than this regulation).</w:t>
      </w:r>
    </w:p>
    <w:p w14:paraId="40249DD9" w14:textId="77777777" w:rsidR="00E93F58" w:rsidRPr="00D97EFB" w:rsidRDefault="00E93F58" w:rsidP="00BB7E31">
      <w:pPr>
        <w:pStyle w:val="ActHead5"/>
      </w:pPr>
      <w:bookmarkStart w:id="2552" w:name="_Toc151994555"/>
      <w:bookmarkStart w:id="2553" w:name="_Toc158713065"/>
      <w:r w:rsidRPr="000D40D5">
        <w:rPr>
          <w:rStyle w:val="CharSectno"/>
        </w:rPr>
        <w:t>10.2.90</w:t>
      </w:r>
      <w:r w:rsidRPr="00D97EFB">
        <w:t xml:space="preserve">  ASIC may have regard to prior conduct and events</w:t>
      </w:r>
      <w:bookmarkEnd w:id="2552"/>
      <w:bookmarkEnd w:id="2553"/>
    </w:p>
    <w:p w14:paraId="57C86832" w14:textId="77777777" w:rsidR="00E93F58" w:rsidRPr="00D97EFB" w:rsidRDefault="00E93F58" w:rsidP="00BB7E31">
      <w:pPr>
        <w:pStyle w:val="subsection"/>
      </w:pPr>
      <w:r w:rsidRPr="00D97EFB">
        <w:tab/>
        <w:t>(1)</w:t>
      </w:r>
      <w:r w:rsidRPr="00D97EFB">
        <w:tab/>
        <w:t>For a provision of Part 7.6 of the Act mentioned in subregulation (2), ASIC is not precluded from having regard to any of the following matters in exercising its powers and performing its functions under the provision:</w:t>
      </w:r>
    </w:p>
    <w:p w14:paraId="3E522240" w14:textId="77777777" w:rsidR="00E93F58" w:rsidRPr="00D97EFB" w:rsidRDefault="00E93F58" w:rsidP="00BB7E31">
      <w:pPr>
        <w:pStyle w:val="paragraph"/>
      </w:pPr>
      <w:r w:rsidRPr="00D97EFB">
        <w:rPr>
          <w:color w:val="000000"/>
        </w:rPr>
        <w:tab/>
        <w:t>(a)</w:t>
      </w:r>
      <w:r w:rsidRPr="00D97EFB">
        <w:rPr>
          <w:color w:val="000000"/>
        </w:rPr>
        <w:tab/>
        <w:t>a matter that arose at any time before the FSR commencement;</w:t>
      </w:r>
    </w:p>
    <w:p w14:paraId="6FF8D427" w14:textId="77777777" w:rsidR="00E93F58" w:rsidRPr="00D97EFB" w:rsidRDefault="00E93F58" w:rsidP="00BB7E31">
      <w:pPr>
        <w:pStyle w:val="paragraph"/>
      </w:pPr>
      <w:r w:rsidRPr="00D97EFB">
        <w:tab/>
        <w:t>(b)</w:t>
      </w:r>
      <w:r w:rsidRPr="00D97EFB">
        <w:tab/>
        <w:t>a matter that arose during the transition period;</w:t>
      </w:r>
    </w:p>
    <w:p w14:paraId="37EFD361" w14:textId="77777777" w:rsidR="00E93F58" w:rsidRPr="00D97EFB" w:rsidRDefault="00E93F58" w:rsidP="00BB7E31">
      <w:pPr>
        <w:pStyle w:val="paragraph"/>
      </w:pPr>
      <w:r w:rsidRPr="00D97EFB">
        <w:tab/>
        <w:t>(c)</w:t>
      </w:r>
      <w:r w:rsidRPr="00D97EFB">
        <w:tab/>
        <w:t>a matter that arose before a person becomes subject to the amended Corporations Act in relation to:</w:t>
      </w:r>
    </w:p>
    <w:p w14:paraId="068D09C8" w14:textId="77777777" w:rsidR="00E93F58" w:rsidRPr="00D97EFB" w:rsidRDefault="00E93F58" w:rsidP="00BB7E31">
      <w:pPr>
        <w:pStyle w:val="paragraphsub"/>
      </w:pPr>
      <w:r w:rsidRPr="00D97EFB">
        <w:rPr>
          <w:color w:val="000000"/>
        </w:rPr>
        <w:tab/>
        <w:t>(i)</w:t>
      </w:r>
      <w:r w:rsidRPr="00D97EFB">
        <w:rPr>
          <w:color w:val="000000"/>
        </w:rPr>
        <w:tab/>
        <w:t>all of the person’s business; or</w:t>
      </w:r>
    </w:p>
    <w:p w14:paraId="6BBCF374" w14:textId="77777777" w:rsidR="00E93F58" w:rsidRPr="00D97EFB" w:rsidRDefault="00E93F58" w:rsidP="00BB7E31">
      <w:pPr>
        <w:pStyle w:val="paragraphsub"/>
      </w:pPr>
      <w:r w:rsidRPr="00D97EFB">
        <w:tab/>
        <w:t>(ii)</w:t>
      </w:r>
      <w:r w:rsidRPr="00D97EFB">
        <w:tab/>
        <w:t>a particular part of the person’s business.</w:t>
      </w:r>
    </w:p>
    <w:p w14:paraId="4AD49304" w14:textId="77777777" w:rsidR="00E93F58" w:rsidRPr="00D97EFB" w:rsidRDefault="00E93F58" w:rsidP="00BB7E31">
      <w:pPr>
        <w:pStyle w:val="subsection"/>
      </w:pPr>
      <w:r w:rsidRPr="00D97EFB">
        <w:tab/>
        <w:t>(2)</w:t>
      </w:r>
      <w:r w:rsidRPr="00D97EFB">
        <w:tab/>
        <w:t>The provisions are:</w:t>
      </w:r>
    </w:p>
    <w:p w14:paraId="5818CD41" w14:textId="77777777" w:rsidR="00E93F58" w:rsidRPr="00D97EFB" w:rsidRDefault="00E93F58" w:rsidP="00BB7E31">
      <w:pPr>
        <w:pStyle w:val="paragraph"/>
      </w:pPr>
      <w:r w:rsidRPr="00D97EFB">
        <w:rPr>
          <w:color w:val="000000"/>
        </w:rPr>
        <w:tab/>
        <w:t>(a)</w:t>
      </w:r>
      <w:r w:rsidRPr="00D97EFB">
        <w:rPr>
          <w:color w:val="000000"/>
        </w:rPr>
        <w:tab/>
        <w:t>paragraph 913B(1)(b); and</w:t>
      </w:r>
    </w:p>
    <w:p w14:paraId="4A87176C" w14:textId="77777777" w:rsidR="00E93F58" w:rsidRPr="00D97EFB" w:rsidRDefault="00E93F58" w:rsidP="00BB7E31">
      <w:pPr>
        <w:pStyle w:val="paragraph"/>
      </w:pPr>
      <w:r w:rsidRPr="00D97EFB">
        <w:tab/>
        <w:t>(b)</w:t>
      </w:r>
      <w:r w:rsidRPr="00D97EFB">
        <w:tab/>
        <w:t>paragraph 913B(1)(c); and</w:t>
      </w:r>
    </w:p>
    <w:p w14:paraId="3B9A57C9" w14:textId="77777777" w:rsidR="00E93F58" w:rsidRPr="00D97EFB" w:rsidRDefault="00E93F58" w:rsidP="00BB7E31">
      <w:pPr>
        <w:pStyle w:val="paragraph"/>
      </w:pPr>
      <w:r w:rsidRPr="00D97EFB">
        <w:tab/>
        <w:t>(c)</w:t>
      </w:r>
      <w:r w:rsidRPr="00D97EFB">
        <w:tab/>
        <w:t>subsection 913B(2); and</w:t>
      </w:r>
    </w:p>
    <w:p w14:paraId="2B2693C9" w14:textId="77777777" w:rsidR="00E93F58" w:rsidRPr="00D97EFB" w:rsidRDefault="00E93F58" w:rsidP="00BB7E31">
      <w:pPr>
        <w:pStyle w:val="paragraph"/>
      </w:pPr>
      <w:r w:rsidRPr="00D97EFB">
        <w:tab/>
        <w:t>(d)</w:t>
      </w:r>
      <w:r w:rsidRPr="00D97EFB">
        <w:tab/>
        <w:t>subsection 913B(3); and</w:t>
      </w:r>
    </w:p>
    <w:p w14:paraId="020050BA" w14:textId="77777777" w:rsidR="00E93F58" w:rsidRPr="00D97EFB" w:rsidRDefault="00E93F58" w:rsidP="00BB7E31">
      <w:pPr>
        <w:pStyle w:val="paragraph"/>
      </w:pPr>
      <w:r w:rsidRPr="00D97EFB">
        <w:tab/>
        <w:t>(e)</w:t>
      </w:r>
      <w:r w:rsidRPr="00D97EFB">
        <w:tab/>
        <w:t>paragraph 915C(1)(a); and</w:t>
      </w:r>
    </w:p>
    <w:p w14:paraId="6125A6B7" w14:textId="77777777" w:rsidR="00E93F58" w:rsidRPr="00D97EFB" w:rsidRDefault="00E93F58" w:rsidP="00BB7E31">
      <w:pPr>
        <w:pStyle w:val="paragraph"/>
      </w:pPr>
      <w:r w:rsidRPr="00D97EFB">
        <w:tab/>
        <w:t>(f)</w:t>
      </w:r>
      <w:r w:rsidRPr="00D97EFB">
        <w:tab/>
        <w:t>paragraph 915C(1)(aa); and</w:t>
      </w:r>
    </w:p>
    <w:p w14:paraId="7C79AEB1" w14:textId="77777777" w:rsidR="00E93F58" w:rsidRPr="00D97EFB" w:rsidRDefault="00E93F58" w:rsidP="00BB7E31">
      <w:pPr>
        <w:pStyle w:val="paragraph"/>
      </w:pPr>
      <w:r w:rsidRPr="00D97EFB">
        <w:tab/>
        <w:t>(g)</w:t>
      </w:r>
      <w:r w:rsidRPr="00D97EFB">
        <w:tab/>
        <w:t>paragraph 915C(1)(b); and</w:t>
      </w:r>
    </w:p>
    <w:p w14:paraId="632FC8F0" w14:textId="77777777" w:rsidR="00E93F58" w:rsidRPr="00D97EFB" w:rsidRDefault="00E93F58" w:rsidP="00BB7E31">
      <w:pPr>
        <w:pStyle w:val="paragraph"/>
      </w:pPr>
      <w:r w:rsidRPr="00D97EFB">
        <w:tab/>
        <w:t>(h)</w:t>
      </w:r>
      <w:r w:rsidRPr="00D97EFB">
        <w:tab/>
        <w:t>paragraph 920A(1)(b); and</w:t>
      </w:r>
    </w:p>
    <w:p w14:paraId="3B3C9D24" w14:textId="77777777" w:rsidR="00E93F58" w:rsidRPr="00D97EFB" w:rsidRDefault="00E93F58" w:rsidP="00BB7E31">
      <w:pPr>
        <w:pStyle w:val="paragraph"/>
      </w:pPr>
      <w:r w:rsidRPr="00D97EFB">
        <w:tab/>
        <w:t>(i)</w:t>
      </w:r>
      <w:r w:rsidRPr="00D97EFB">
        <w:tab/>
        <w:t>paragraph 920A(1)(ba); and</w:t>
      </w:r>
    </w:p>
    <w:p w14:paraId="1F6554E2" w14:textId="77777777" w:rsidR="00E93F58" w:rsidRPr="00D97EFB" w:rsidRDefault="00E93F58" w:rsidP="00BB7E31">
      <w:pPr>
        <w:pStyle w:val="paragraph"/>
      </w:pPr>
      <w:r w:rsidRPr="00D97EFB">
        <w:tab/>
        <w:t>(j)</w:t>
      </w:r>
      <w:r w:rsidRPr="00D97EFB">
        <w:tab/>
        <w:t>paragraph 920A(1)(e); and</w:t>
      </w:r>
    </w:p>
    <w:p w14:paraId="0D761DAC" w14:textId="77777777" w:rsidR="00E93F58" w:rsidRPr="00D97EFB" w:rsidRDefault="00E93F58" w:rsidP="00BB7E31">
      <w:pPr>
        <w:pStyle w:val="paragraph"/>
      </w:pPr>
      <w:r w:rsidRPr="00D97EFB">
        <w:tab/>
        <w:t>(k)</w:t>
      </w:r>
      <w:r w:rsidRPr="00D97EFB">
        <w:tab/>
        <w:t>paragraph 920A(1)(f); and</w:t>
      </w:r>
    </w:p>
    <w:p w14:paraId="075D1279" w14:textId="77777777" w:rsidR="00E93F58" w:rsidRPr="00D97EFB" w:rsidRDefault="00E93F58" w:rsidP="00BB7E31">
      <w:pPr>
        <w:pStyle w:val="paragraph"/>
      </w:pPr>
      <w:r w:rsidRPr="00D97EFB">
        <w:tab/>
        <w:t>(l)</w:t>
      </w:r>
      <w:r w:rsidRPr="00D97EFB">
        <w:tab/>
        <w:t>regulations made for paragraph 913B(1)(d); and</w:t>
      </w:r>
    </w:p>
    <w:p w14:paraId="189A6E45" w14:textId="77777777" w:rsidR="00E93F58" w:rsidRPr="00D97EFB" w:rsidRDefault="00E93F58" w:rsidP="00BB7E31">
      <w:pPr>
        <w:pStyle w:val="paragraph"/>
      </w:pPr>
      <w:r w:rsidRPr="00D97EFB">
        <w:tab/>
        <w:t>(m)</w:t>
      </w:r>
      <w:r w:rsidRPr="00D97EFB">
        <w:tab/>
        <w:t>subsection 912C(1); and</w:t>
      </w:r>
    </w:p>
    <w:p w14:paraId="77851D63" w14:textId="77777777" w:rsidR="00E93F58" w:rsidRPr="00D97EFB" w:rsidRDefault="00E93F58" w:rsidP="00BB7E31">
      <w:pPr>
        <w:pStyle w:val="paragraph"/>
      </w:pPr>
      <w:r w:rsidRPr="00D97EFB">
        <w:tab/>
        <w:t>(n)</w:t>
      </w:r>
      <w:r w:rsidRPr="00D97EFB">
        <w:tab/>
        <w:t>subsection 914A(1); and</w:t>
      </w:r>
    </w:p>
    <w:p w14:paraId="48C55461" w14:textId="77777777" w:rsidR="00E93F58" w:rsidRPr="00D97EFB" w:rsidRDefault="00E93F58" w:rsidP="00BB7E31">
      <w:pPr>
        <w:pStyle w:val="paragraph"/>
      </w:pPr>
      <w:r w:rsidRPr="00D97EFB">
        <w:tab/>
        <w:t>(o)</w:t>
      </w:r>
      <w:r w:rsidRPr="00D97EFB">
        <w:tab/>
        <w:t>paragraphs 915B(1)(a), (b), (c) and (d); and</w:t>
      </w:r>
    </w:p>
    <w:p w14:paraId="5542D8FD" w14:textId="77777777" w:rsidR="00E93F58" w:rsidRPr="00D97EFB" w:rsidRDefault="00E93F58" w:rsidP="00BB7E31">
      <w:pPr>
        <w:pStyle w:val="paragraph"/>
      </w:pPr>
      <w:r w:rsidRPr="00D97EFB">
        <w:tab/>
        <w:t>(p)</w:t>
      </w:r>
      <w:r w:rsidRPr="00D97EFB">
        <w:tab/>
        <w:t>paragraphs 915B(2)(a), (b) and (c); and</w:t>
      </w:r>
    </w:p>
    <w:p w14:paraId="008B5441" w14:textId="77777777" w:rsidR="00E93F58" w:rsidRPr="00D97EFB" w:rsidRDefault="00E93F58" w:rsidP="00BB7E31">
      <w:pPr>
        <w:pStyle w:val="paragraph"/>
      </w:pPr>
      <w:r w:rsidRPr="00D97EFB">
        <w:tab/>
        <w:t>(q)</w:t>
      </w:r>
      <w:r w:rsidRPr="00D97EFB">
        <w:tab/>
        <w:t>paragraphs 915B(3)(a), (b), (c) and (d); and</w:t>
      </w:r>
    </w:p>
    <w:p w14:paraId="7C2BFC21" w14:textId="77777777" w:rsidR="00E93F58" w:rsidRPr="00D97EFB" w:rsidRDefault="00E93F58" w:rsidP="00BB7E31">
      <w:pPr>
        <w:pStyle w:val="paragraph"/>
      </w:pPr>
      <w:r w:rsidRPr="00D97EFB">
        <w:tab/>
        <w:t>(r)</w:t>
      </w:r>
      <w:r w:rsidRPr="00D97EFB">
        <w:tab/>
        <w:t>paragraphs 915B(4)(a), (b) and (c); and</w:t>
      </w:r>
    </w:p>
    <w:p w14:paraId="3E7478DF" w14:textId="77777777" w:rsidR="00E93F58" w:rsidRPr="00D97EFB" w:rsidRDefault="00E93F58" w:rsidP="00BB7E31">
      <w:pPr>
        <w:pStyle w:val="paragraph"/>
      </w:pPr>
      <w:r w:rsidRPr="00D97EFB">
        <w:tab/>
        <w:t>(s)</w:t>
      </w:r>
      <w:r w:rsidRPr="00D97EFB">
        <w:tab/>
        <w:t>paragraph 915C(1)(d); and</w:t>
      </w:r>
    </w:p>
    <w:p w14:paraId="154DE432" w14:textId="77777777" w:rsidR="00E93F58" w:rsidRPr="00D97EFB" w:rsidRDefault="00E93F58" w:rsidP="00BB7E31">
      <w:pPr>
        <w:pStyle w:val="paragraph"/>
      </w:pPr>
      <w:r w:rsidRPr="00D97EFB">
        <w:tab/>
        <w:t>(t)</w:t>
      </w:r>
      <w:r w:rsidRPr="00D97EFB">
        <w:tab/>
        <w:t>paragraphs 915C(2)(a) and (b); and</w:t>
      </w:r>
    </w:p>
    <w:p w14:paraId="68381C31" w14:textId="77777777" w:rsidR="00E93F58" w:rsidRPr="00D97EFB" w:rsidRDefault="00E93F58" w:rsidP="00BB7E31">
      <w:pPr>
        <w:pStyle w:val="paragraph"/>
      </w:pPr>
      <w:r w:rsidRPr="00D97EFB">
        <w:tab/>
        <w:t>(u)</w:t>
      </w:r>
      <w:r w:rsidRPr="00D97EFB">
        <w:tab/>
        <w:t>subsection 916G(1); and</w:t>
      </w:r>
    </w:p>
    <w:p w14:paraId="4B9E6F53" w14:textId="77777777" w:rsidR="00E93F58" w:rsidRPr="00D97EFB" w:rsidRDefault="00E93F58" w:rsidP="00BB7E31">
      <w:pPr>
        <w:pStyle w:val="paragraph"/>
      </w:pPr>
      <w:r w:rsidRPr="00D97EFB">
        <w:tab/>
        <w:t>(v)</w:t>
      </w:r>
      <w:r w:rsidRPr="00D97EFB">
        <w:tab/>
        <w:t>paragraph 920A(1)(bb); and</w:t>
      </w:r>
    </w:p>
    <w:p w14:paraId="18218FBB" w14:textId="77777777" w:rsidR="00E93F58" w:rsidRPr="00D97EFB" w:rsidRDefault="00E93F58" w:rsidP="00BB7E31">
      <w:pPr>
        <w:pStyle w:val="paragraph"/>
      </w:pPr>
      <w:r w:rsidRPr="00D97EFB">
        <w:tab/>
        <w:t>(w)</w:t>
      </w:r>
      <w:r w:rsidRPr="00D97EFB">
        <w:tab/>
        <w:t>paragraph 920A(1)(c); and</w:t>
      </w:r>
    </w:p>
    <w:p w14:paraId="5A93C4D6" w14:textId="77777777" w:rsidR="00E93F58" w:rsidRPr="00D97EFB" w:rsidRDefault="00E93F58" w:rsidP="00BB7E31">
      <w:pPr>
        <w:pStyle w:val="paragraph"/>
      </w:pPr>
      <w:r w:rsidRPr="00D97EFB">
        <w:tab/>
        <w:t>(x)</w:t>
      </w:r>
      <w:r w:rsidRPr="00D97EFB">
        <w:tab/>
        <w:t>subsection 920D(1).</w:t>
      </w:r>
    </w:p>
    <w:p w14:paraId="71F31FA7" w14:textId="77777777" w:rsidR="00E93F58" w:rsidRPr="00D97EFB" w:rsidRDefault="00E93F58" w:rsidP="00BB7E31">
      <w:pPr>
        <w:pStyle w:val="ActHead5"/>
      </w:pPr>
      <w:bookmarkStart w:id="2554" w:name="_Toc151994556"/>
      <w:bookmarkStart w:id="2555" w:name="_Toc158713066"/>
      <w:r w:rsidRPr="000D40D5">
        <w:rPr>
          <w:rStyle w:val="CharSectno"/>
        </w:rPr>
        <w:t>10.2.91</w:t>
      </w:r>
      <w:r w:rsidRPr="00D97EFB">
        <w:t xml:space="preserve">  Power to act in relation to relevant old legislation</w:t>
      </w:r>
      <w:bookmarkEnd w:id="2554"/>
      <w:bookmarkEnd w:id="2555"/>
    </w:p>
    <w:p w14:paraId="171248AD" w14:textId="77777777" w:rsidR="00E93F58" w:rsidRPr="00D97EFB" w:rsidRDefault="00E93F58" w:rsidP="00BB7E31">
      <w:pPr>
        <w:pStyle w:val="subsection"/>
      </w:pPr>
      <w:r w:rsidRPr="00D97EFB">
        <w:rPr>
          <w:color w:val="000000"/>
        </w:rPr>
        <w:tab/>
        <w:t>(1)</w:t>
      </w:r>
      <w:r w:rsidRPr="00D97EFB">
        <w:rPr>
          <w:color w:val="000000"/>
        </w:rPr>
        <w:tab/>
        <w:t>This regulation applies if an instrument or another matter continues in force, after the FSR commencement, in accordance with the relevant old legislation that relates to the instrument or matter.</w:t>
      </w:r>
    </w:p>
    <w:p w14:paraId="337AC3D4" w14:textId="77777777" w:rsidR="00E93F58" w:rsidRPr="00D97EFB" w:rsidRDefault="00E93F58" w:rsidP="00807584">
      <w:pPr>
        <w:pStyle w:val="notetext"/>
      </w:pPr>
      <w:r w:rsidRPr="00D97EFB">
        <w:t>Examples:</w:t>
      </w:r>
    </w:p>
    <w:p w14:paraId="07B77196" w14:textId="77777777" w:rsidR="00E93F58" w:rsidRPr="00D97EFB" w:rsidRDefault="00E93F58" w:rsidP="00807584">
      <w:pPr>
        <w:pStyle w:val="notetext"/>
      </w:pPr>
      <w:r w:rsidRPr="00D97EFB">
        <w:lastRenderedPageBreak/>
        <w:t>1</w:t>
      </w:r>
      <w:r w:rsidRPr="00D97EFB">
        <w:tab/>
        <w:t>A licence.</w:t>
      </w:r>
    </w:p>
    <w:p w14:paraId="238D4B9B" w14:textId="77777777" w:rsidR="00E93F58" w:rsidRPr="00D97EFB" w:rsidRDefault="00E93F58" w:rsidP="00807584">
      <w:pPr>
        <w:pStyle w:val="notetext"/>
      </w:pPr>
      <w:r w:rsidRPr="00D97EFB">
        <w:t>2</w:t>
      </w:r>
      <w:r w:rsidRPr="00D97EFB">
        <w:tab/>
        <w:t>A licence condition.</w:t>
      </w:r>
    </w:p>
    <w:p w14:paraId="7E9A310D" w14:textId="77777777" w:rsidR="00E93F58" w:rsidRPr="00D97EFB" w:rsidRDefault="00E93F58" w:rsidP="00807584">
      <w:pPr>
        <w:pStyle w:val="notetext"/>
      </w:pPr>
      <w:r w:rsidRPr="00D97EFB">
        <w:t>3</w:t>
      </w:r>
      <w:r w:rsidRPr="00D97EFB">
        <w:tab/>
        <w:t>A suspension of a registration.</w:t>
      </w:r>
    </w:p>
    <w:p w14:paraId="7C58C551" w14:textId="77777777" w:rsidR="00E93F58" w:rsidRPr="00D97EFB" w:rsidRDefault="00E93F58" w:rsidP="00BB7E31">
      <w:pPr>
        <w:pStyle w:val="notetext"/>
      </w:pPr>
      <w:r w:rsidRPr="00D97EFB">
        <w:rPr>
          <w:color w:val="000000"/>
        </w:rPr>
        <w:t>Note:</w:t>
      </w:r>
      <w:r w:rsidRPr="00D97EFB">
        <w:rPr>
          <w:color w:val="000000"/>
        </w:rPr>
        <w:tab/>
        <w:t xml:space="preserve">The </w:t>
      </w:r>
      <w:r w:rsidRPr="00D97EFB">
        <w:rPr>
          <w:b/>
          <w:i/>
          <w:color w:val="000000"/>
        </w:rPr>
        <w:t>relevant old legislation</w:t>
      </w:r>
      <w:r w:rsidRPr="00D97EFB">
        <w:rPr>
          <w:color w:val="000000"/>
        </w:rPr>
        <w:t xml:space="preserve"> includes the old Corporations Act, associated provisions and, in some cases, other legislation such as the </w:t>
      </w:r>
      <w:r w:rsidRPr="00D97EFB">
        <w:rPr>
          <w:i/>
          <w:color w:val="000000"/>
        </w:rPr>
        <w:t>Insurance (Agents and Brokers) Act 1984</w:t>
      </w:r>
      <w:r w:rsidRPr="00D97EFB">
        <w:rPr>
          <w:color w:val="000000"/>
        </w:rPr>
        <w:t>.</w:t>
      </w:r>
    </w:p>
    <w:p w14:paraId="7496AF88" w14:textId="77777777" w:rsidR="00E93F58" w:rsidRPr="00D97EFB" w:rsidRDefault="00E93F58" w:rsidP="00DD0355">
      <w:pPr>
        <w:pStyle w:val="subsection"/>
        <w:keepNext/>
        <w:keepLines/>
      </w:pPr>
      <w:r w:rsidRPr="00D97EFB">
        <w:tab/>
        <w:t>(2)</w:t>
      </w:r>
      <w:r w:rsidRPr="00D97EFB">
        <w:tab/>
        <w:t>To avoid doubt:</w:t>
      </w:r>
    </w:p>
    <w:p w14:paraId="53D8DF07" w14:textId="77777777" w:rsidR="00E93F58" w:rsidRPr="00D97EFB" w:rsidRDefault="00E93F58" w:rsidP="00BB7E31">
      <w:pPr>
        <w:pStyle w:val="paragraph"/>
      </w:pPr>
      <w:r w:rsidRPr="00D97EFB">
        <w:tab/>
        <w:t>(a)</w:t>
      </w:r>
      <w:r w:rsidRPr="00D97EFB">
        <w:tab/>
        <w:t>ASIC may exercise any of the powers, and perform any of the functions, that ASIC had immediately before the FSR commencement in relation to:</w:t>
      </w:r>
    </w:p>
    <w:p w14:paraId="41F0FBAA" w14:textId="77777777" w:rsidR="00E93F58" w:rsidRPr="00D97EFB" w:rsidRDefault="00E93F58" w:rsidP="00BB7E31">
      <w:pPr>
        <w:pStyle w:val="paragraphsub"/>
      </w:pPr>
      <w:r w:rsidRPr="00D97EFB">
        <w:rPr>
          <w:color w:val="000000"/>
        </w:rPr>
        <w:tab/>
        <w:t>(i)</w:t>
      </w:r>
      <w:r w:rsidRPr="00D97EFB">
        <w:rPr>
          <w:color w:val="000000"/>
        </w:rPr>
        <w:tab/>
        <w:t>a person to whom the instrument or matter applies; and</w:t>
      </w:r>
    </w:p>
    <w:p w14:paraId="54F386B8" w14:textId="77777777" w:rsidR="00E93F58" w:rsidRPr="00D97EFB" w:rsidRDefault="00E93F58" w:rsidP="00BB7E31">
      <w:pPr>
        <w:pStyle w:val="paragraphsub"/>
      </w:pPr>
      <w:r w:rsidRPr="00D97EFB">
        <w:tab/>
        <w:t>(ii)</w:t>
      </w:r>
      <w:r w:rsidRPr="00D97EFB">
        <w:tab/>
        <w:t>a representative of a person mentioned in subparagraph (i); and</w:t>
      </w:r>
    </w:p>
    <w:p w14:paraId="1D841225" w14:textId="77777777" w:rsidR="00E93F58" w:rsidRPr="00D97EFB" w:rsidRDefault="00E93F58" w:rsidP="00BB7E31">
      <w:pPr>
        <w:pStyle w:val="paragraphsub"/>
      </w:pPr>
      <w:r w:rsidRPr="00D97EFB">
        <w:tab/>
        <w:t>(iii)</w:t>
      </w:r>
      <w:r w:rsidRPr="00D97EFB">
        <w:tab/>
        <w:t>any other person (including a person described in a capacity that came into existence, or in relation to an event that occurred, after the FSR commencement); and</w:t>
      </w:r>
    </w:p>
    <w:p w14:paraId="6EB8CBFD" w14:textId="77777777" w:rsidR="00E93F58" w:rsidRPr="00D97EFB" w:rsidRDefault="00E93F58" w:rsidP="00BB7E31">
      <w:pPr>
        <w:pStyle w:val="paragraph"/>
      </w:pPr>
      <w:r w:rsidRPr="00D97EFB">
        <w:tab/>
        <w:t>(b)</w:t>
      </w:r>
      <w:r w:rsidRPr="00D97EFB">
        <w:tab/>
        <w:t>paragraph (a) includes the power:</w:t>
      </w:r>
    </w:p>
    <w:p w14:paraId="42768BBE" w14:textId="77777777" w:rsidR="00E93F58" w:rsidRPr="00D97EFB" w:rsidRDefault="00E93F58" w:rsidP="00BB7E31">
      <w:pPr>
        <w:pStyle w:val="paragraphsub"/>
      </w:pPr>
      <w:r w:rsidRPr="00D97EFB">
        <w:rPr>
          <w:color w:val="000000"/>
        </w:rPr>
        <w:tab/>
        <w:t>(i)</w:t>
      </w:r>
      <w:r w:rsidRPr="00D97EFB">
        <w:rPr>
          <w:color w:val="000000"/>
        </w:rPr>
        <w:tab/>
        <w:t>to issue an instrument; and</w:t>
      </w:r>
    </w:p>
    <w:p w14:paraId="58DBC1FA" w14:textId="77777777" w:rsidR="00E93F58" w:rsidRPr="00D97EFB" w:rsidRDefault="00E93F58" w:rsidP="00BB7E31">
      <w:pPr>
        <w:pStyle w:val="paragraphsub"/>
      </w:pPr>
      <w:r w:rsidRPr="00D97EFB">
        <w:tab/>
        <w:t>(ii)</w:t>
      </w:r>
      <w:r w:rsidRPr="00D97EFB">
        <w:tab/>
        <w:t>to execute an instrument.</w:t>
      </w:r>
    </w:p>
    <w:p w14:paraId="01AD7861" w14:textId="77777777" w:rsidR="00E93F58" w:rsidRPr="00D97EFB" w:rsidRDefault="00E93F58" w:rsidP="00BB7E31">
      <w:pPr>
        <w:pStyle w:val="ActHead3"/>
        <w:pageBreakBefore/>
        <w:rPr>
          <w:color w:val="000000"/>
        </w:rPr>
      </w:pPr>
      <w:bookmarkStart w:id="2556" w:name="_Toc151994557"/>
      <w:bookmarkStart w:id="2557" w:name="_Toc158713067"/>
      <w:r w:rsidRPr="000D40D5">
        <w:rPr>
          <w:rStyle w:val="CharDivNo"/>
        </w:rPr>
        <w:lastRenderedPageBreak/>
        <w:t>Division 18</w:t>
      </w:r>
      <w:r w:rsidRPr="00D97EFB">
        <w:rPr>
          <w:color w:val="000000"/>
        </w:rPr>
        <w:t>—</w:t>
      </w:r>
      <w:r w:rsidRPr="000D40D5">
        <w:rPr>
          <w:rStyle w:val="CharDivText"/>
        </w:rPr>
        <w:t>Specific kinds of documents in existence before FSR commencement</w:t>
      </w:r>
      <w:bookmarkEnd w:id="2556"/>
      <w:bookmarkEnd w:id="2557"/>
    </w:p>
    <w:p w14:paraId="76EFCB92" w14:textId="77777777" w:rsidR="00E93F58" w:rsidRPr="00D97EFB" w:rsidRDefault="00E93F58" w:rsidP="00180A9B">
      <w:pPr>
        <w:pStyle w:val="ActHead5"/>
      </w:pPr>
      <w:bookmarkStart w:id="2558" w:name="_Toc151994558"/>
      <w:bookmarkStart w:id="2559" w:name="_Toc158713068"/>
      <w:r w:rsidRPr="000D40D5">
        <w:rPr>
          <w:rStyle w:val="CharSectno"/>
        </w:rPr>
        <w:t>10.2.92</w:t>
      </w:r>
      <w:r w:rsidRPr="00D97EFB">
        <w:t xml:space="preserve">  Banning orders made before FSR commencement</w:t>
      </w:r>
      <w:bookmarkEnd w:id="2558"/>
      <w:bookmarkEnd w:id="2559"/>
    </w:p>
    <w:p w14:paraId="686191EE" w14:textId="77777777" w:rsidR="00E93F58" w:rsidRPr="00D97EFB" w:rsidRDefault="00E93F58" w:rsidP="007804D8">
      <w:pPr>
        <w:pStyle w:val="subsection"/>
      </w:pPr>
      <w:r w:rsidRPr="00D97EFB">
        <w:tab/>
        <w:t>(1)</w:t>
      </w:r>
      <w:r w:rsidRPr="00D97EFB">
        <w:tab/>
        <w:t xml:space="preserve">On and after the FSR commencement, a banning order made before the FSR commencement under Division 5 of Part 7.3, or Division 5 of Part 8.3, of the old Corporations Act (the </w:t>
      </w:r>
      <w:r w:rsidRPr="00D97EFB">
        <w:rPr>
          <w:b/>
          <w:i/>
        </w:rPr>
        <w:t>relevant Division</w:t>
      </w:r>
      <w:r w:rsidRPr="00D97EFB">
        <w:t>):</w:t>
      </w:r>
    </w:p>
    <w:p w14:paraId="02284BFB" w14:textId="77777777" w:rsidR="00E93F58" w:rsidRPr="00D97EFB" w:rsidRDefault="00E93F58" w:rsidP="007804D8">
      <w:pPr>
        <w:pStyle w:val="paragraph"/>
      </w:pPr>
      <w:r w:rsidRPr="00D97EFB">
        <w:tab/>
        <w:t>(a)</w:t>
      </w:r>
      <w:r w:rsidRPr="00D97EFB">
        <w:tab/>
        <w:t>continues in force to the extent practicable to allow it to apply to conduct or another matter:</w:t>
      </w:r>
    </w:p>
    <w:p w14:paraId="5EF77A9A" w14:textId="77777777" w:rsidR="00E93F58" w:rsidRPr="00D97EFB" w:rsidRDefault="00E93F58" w:rsidP="007804D8">
      <w:pPr>
        <w:pStyle w:val="paragraphsub"/>
      </w:pPr>
      <w:r w:rsidRPr="00D97EFB">
        <w:rPr>
          <w:color w:val="000000"/>
        </w:rPr>
        <w:tab/>
        <w:t>(i)</w:t>
      </w:r>
      <w:r w:rsidRPr="00D97EFB">
        <w:rPr>
          <w:color w:val="000000"/>
        </w:rPr>
        <w:tab/>
        <w:t>as it is described on and after the FSR commencement; or</w:t>
      </w:r>
    </w:p>
    <w:p w14:paraId="57275C68" w14:textId="77777777" w:rsidR="00E93F58" w:rsidRPr="00D97EFB" w:rsidRDefault="00E93F58" w:rsidP="007804D8">
      <w:pPr>
        <w:pStyle w:val="paragraphsub"/>
      </w:pPr>
      <w:r w:rsidRPr="00D97EFB">
        <w:tab/>
        <w:t>(ii)</w:t>
      </w:r>
      <w:r w:rsidRPr="00D97EFB">
        <w:tab/>
        <w:t>as it is regulated on and after the FSR commencement; and</w:t>
      </w:r>
    </w:p>
    <w:p w14:paraId="1C10F94B" w14:textId="77777777" w:rsidR="00E93F58" w:rsidRPr="00D97EFB" w:rsidRDefault="00E93F58" w:rsidP="007804D8">
      <w:pPr>
        <w:pStyle w:val="paragraph"/>
      </w:pPr>
      <w:r w:rsidRPr="00D97EFB">
        <w:tab/>
        <w:t>(b)</w:t>
      </w:r>
      <w:r w:rsidRPr="00D97EFB">
        <w:tab/>
        <w:t>is taken to be a banning order made under:</w:t>
      </w:r>
    </w:p>
    <w:p w14:paraId="52388138" w14:textId="77777777" w:rsidR="00E93F58" w:rsidRPr="00D97EFB" w:rsidRDefault="00E93F58" w:rsidP="007804D8">
      <w:pPr>
        <w:pStyle w:val="paragraphsub"/>
      </w:pPr>
      <w:r w:rsidRPr="00D97EFB">
        <w:tab/>
        <w:t>(i)</w:t>
      </w:r>
      <w:r w:rsidRPr="00D97EFB">
        <w:tab/>
        <w:t>the relevant Division of the old Corporations Act; and</w:t>
      </w:r>
    </w:p>
    <w:p w14:paraId="5CC22C6A" w14:textId="77777777" w:rsidR="00E93F58" w:rsidRPr="00D97EFB" w:rsidRDefault="00E93F58" w:rsidP="007804D8">
      <w:pPr>
        <w:pStyle w:val="paragraphsub"/>
        <w:rPr>
          <w:color w:val="000000"/>
        </w:rPr>
      </w:pPr>
      <w:r w:rsidRPr="00D97EFB">
        <w:rPr>
          <w:color w:val="000000"/>
        </w:rPr>
        <w:tab/>
        <w:t>(ii)</w:t>
      </w:r>
      <w:r w:rsidRPr="00D97EFB">
        <w:rPr>
          <w:color w:val="000000"/>
        </w:rPr>
        <w:tab/>
        <w:t>section 920A of the Act.</w:t>
      </w:r>
    </w:p>
    <w:p w14:paraId="202ECE01" w14:textId="77777777" w:rsidR="00E93F58" w:rsidRPr="00D97EFB" w:rsidRDefault="00E93F58" w:rsidP="007804D8">
      <w:pPr>
        <w:pStyle w:val="subsection"/>
      </w:pPr>
      <w:r w:rsidRPr="00D97EFB">
        <w:rPr>
          <w:color w:val="000000"/>
        </w:rPr>
        <w:tab/>
        <w:t>(2)</w:t>
      </w:r>
      <w:r w:rsidRPr="00D97EFB">
        <w:rPr>
          <w:color w:val="000000"/>
        </w:rPr>
        <w:tab/>
        <w:t xml:space="preserve">On and after the FSR commencement, </w:t>
      </w:r>
      <w:r w:rsidRPr="00D97EFB">
        <w:t xml:space="preserve">the relevant Division </w:t>
      </w:r>
      <w:r w:rsidRPr="00D97EFB">
        <w:rPr>
          <w:color w:val="000000"/>
        </w:rPr>
        <w:t>of the old Corporations Act, and associated provisions, continue to apply to the extent necessary to allow the banning order to continue in force.</w:t>
      </w:r>
    </w:p>
    <w:p w14:paraId="3EA1BAA1" w14:textId="77777777" w:rsidR="00E93F58" w:rsidRPr="00D97EFB" w:rsidRDefault="00E93F58" w:rsidP="007804D8">
      <w:pPr>
        <w:pStyle w:val="subsection"/>
      </w:pPr>
      <w:r w:rsidRPr="00D97EFB">
        <w:tab/>
        <w:t>(3)</w:t>
      </w:r>
      <w:r w:rsidRPr="00D97EFB">
        <w:tab/>
        <w:t xml:space="preserve">For subregulation (2), nothing in the relevant old legislation (including the </w:t>
      </w:r>
      <w:r w:rsidRPr="00D97EFB">
        <w:rPr>
          <w:i/>
        </w:rPr>
        <w:t>Australian Securities and Investments Commission Act 2001</w:t>
      </w:r>
      <w:r w:rsidRPr="00D97EFB">
        <w:t>) prevents ASIC from:</w:t>
      </w:r>
    </w:p>
    <w:p w14:paraId="5D818A27" w14:textId="77777777" w:rsidR="00E93F58" w:rsidRPr="00D97EFB" w:rsidRDefault="00E93F58" w:rsidP="007804D8">
      <w:pPr>
        <w:pStyle w:val="paragraph"/>
      </w:pPr>
      <w:r w:rsidRPr="00D97EFB">
        <w:rPr>
          <w:color w:val="000000"/>
        </w:rPr>
        <w:tab/>
        <w:t>(a)</w:t>
      </w:r>
      <w:r w:rsidRPr="00D97EFB">
        <w:rPr>
          <w:color w:val="000000"/>
        </w:rPr>
        <w:tab/>
        <w:t>drafting or amending the terms of a banning order; or</w:t>
      </w:r>
    </w:p>
    <w:p w14:paraId="4D9DE7F0" w14:textId="77777777" w:rsidR="00E93F58" w:rsidRPr="00D97EFB" w:rsidRDefault="00E93F58" w:rsidP="007804D8">
      <w:pPr>
        <w:pStyle w:val="paragraph"/>
      </w:pPr>
      <w:r w:rsidRPr="00D97EFB">
        <w:tab/>
        <w:t>(b)</w:t>
      </w:r>
      <w:r w:rsidRPr="00D97EFB">
        <w:tab/>
        <w:t>taking any other action permitted by Division 8 of Part 7.6 of the Act;</w:t>
      </w:r>
    </w:p>
    <w:p w14:paraId="3DD7C000" w14:textId="77777777" w:rsidR="00E93F58" w:rsidRPr="00D97EFB" w:rsidRDefault="00E93F58" w:rsidP="007804D8">
      <w:pPr>
        <w:pStyle w:val="subsection2"/>
      </w:pPr>
      <w:r w:rsidRPr="00D97EFB">
        <w:rPr>
          <w:color w:val="000000"/>
        </w:rPr>
        <w:t>for the purpose of ensuring that the banning order has the same effect under the amended Corporations Act as it had under the old Corporations Act, or an effect equivalent to the effect it had under the old Corporations Act.</w:t>
      </w:r>
    </w:p>
    <w:p w14:paraId="18ED835D" w14:textId="77777777" w:rsidR="00E93F58" w:rsidRPr="00D97EFB" w:rsidRDefault="00E93F58" w:rsidP="00180A9B">
      <w:pPr>
        <w:pStyle w:val="ActHead5"/>
      </w:pPr>
      <w:bookmarkStart w:id="2560" w:name="_Toc151994559"/>
      <w:bookmarkStart w:id="2561" w:name="_Toc158713069"/>
      <w:r w:rsidRPr="000D40D5">
        <w:rPr>
          <w:rStyle w:val="CharSectno"/>
        </w:rPr>
        <w:t>10.2.93</w:t>
      </w:r>
      <w:r w:rsidRPr="00D97EFB">
        <w:t xml:space="preserve">  Banning orders made under relevant old legislation after FSR commencement</w:t>
      </w:r>
      <w:bookmarkEnd w:id="2560"/>
      <w:bookmarkEnd w:id="2561"/>
    </w:p>
    <w:p w14:paraId="6AD54593" w14:textId="77777777" w:rsidR="00E93F58" w:rsidRPr="00D97EFB" w:rsidRDefault="00E93F58" w:rsidP="007804D8">
      <w:pPr>
        <w:pStyle w:val="subsection"/>
      </w:pPr>
      <w:r w:rsidRPr="00D97EFB">
        <w:tab/>
        <w:t>(1)</w:t>
      </w:r>
      <w:r w:rsidRPr="00D97EFB">
        <w:tab/>
        <w:t xml:space="preserve">On and after the FSR commencement, Division 5 of Part 7.3, or Division 5 of Part 8.3, of the old Corporations Act (the </w:t>
      </w:r>
      <w:r w:rsidRPr="00D97EFB">
        <w:rPr>
          <w:b/>
          <w:i/>
        </w:rPr>
        <w:t>relevant Division</w:t>
      </w:r>
      <w:r w:rsidRPr="00D97EFB">
        <w:t>), and associated provisions, continue to apply to the extent necessary to allow a banning order to be made or enforced against a person in relation to:</w:t>
      </w:r>
    </w:p>
    <w:p w14:paraId="12DAFA7D" w14:textId="77777777" w:rsidR="00E93F58" w:rsidRPr="00D97EFB" w:rsidRDefault="00E93F58" w:rsidP="007804D8">
      <w:pPr>
        <w:pStyle w:val="paragraph"/>
      </w:pPr>
      <w:r w:rsidRPr="00D97EFB">
        <w:rPr>
          <w:color w:val="000000"/>
        </w:rPr>
        <w:tab/>
        <w:t>(a)</w:t>
      </w:r>
      <w:r w:rsidRPr="00D97EFB">
        <w:rPr>
          <w:color w:val="000000"/>
        </w:rPr>
        <w:tab/>
        <w:t>conduct or another matter that occurred before the FSR commencement; or</w:t>
      </w:r>
    </w:p>
    <w:p w14:paraId="75C8380B" w14:textId="77777777" w:rsidR="00E93F58" w:rsidRPr="00D97EFB" w:rsidRDefault="00E93F58" w:rsidP="007804D8">
      <w:pPr>
        <w:pStyle w:val="paragraph"/>
      </w:pPr>
      <w:r w:rsidRPr="00D97EFB">
        <w:tab/>
        <w:t>(b)</w:t>
      </w:r>
      <w:r w:rsidRPr="00D97EFB">
        <w:tab/>
        <w:t>conduct or another matter that:</w:t>
      </w:r>
    </w:p>
    <w:p w14:paraId="1D1AE566" w14:textId="77777777" w:rsidR="00E93F58" w:rsidRPr="00D97EFB" w:rsidRDefault="00E93F58" w:rsidP="007804D8">
      <w:pPr>
        <w:pStyle w:val="paragraphsub"/>
      </w:pPr>
      <w:r w:rsidRPr="00D97EFB">
        <w:rPr>
          <w:color w:val="000000"/>
        </w:rPr>
        <w:tab/>
        <w:t>(i)</w:t>
      </w:r>
      <w:r w:rsidRPr="00D97EFB">
        <w:rPr>
          <w:color w:val="000000"/>
        </w:rPr>
        <w:tab/>
        <w:t>occurred after the FSR commencement; and</w:t>
      </w:r>
    </w:p>
    <w:p w14:paraId="2BDF4702" w14:textId="77777777" w:rsidR="00E93F58" w:rsidRPr="00D97EFB" w:rsidRDefault="00E93F58" w:rsidP="007804D8">
      <w:pPr>
        <w:pStyle w:val="paragraphsub"/>
      </w:pPr>
      <w:r w:rsidRPr="00D97EFB">
        <w:tab/>
        <w:t>(ii)</w:t>
      </w:r>
      <w:r w:rsidRPr="00D97EFB">
        <w:tab/>
        <w:t>is regulated in accordance with section 1432 or 1436A of the Act.</w:t>
      </w:r>
    </w:p>
    <w:p w14:paraId="2FB3E01C" w14:textId="77777777" w:rsidR="00E93F58" w:rsidRPr="00D97EFB" w:rsidRDefault="00E93F58" w:rsidP="007804D8">
      <w:pPr>
        <w:pStyle w:val="subsection"/>
      </w:pPr>
      <w:r w:rsidRPr="00D97EFB">
        <w:tab/>
        <w:t>(2)</w:t>
      </w:r>
      <w:r w:rsidRPr="00D97EFB">
        <w:tab/>
        <w:t>A banning order made in relation to conduct or another matter mentioned in subregulation (1) is taken to be a banning order made under:</w:t>
      </w:r>
    </w:p>
    <w:p w14:paraId="22A9577C" w14:textId="77777777" w:rsidR="00E93F58" w:rsidRPr="00D97EFB" w:rsidRDefault="00E93F58" w:rsidP="007804D8">
      <w:pPr>
        <w:pStyle w:val="paragraph"/>
      </w:pPr>
      <w:r w:rsidRPr="00D97EFB">
        <w:tab/>
        <w:t>(a)</w:t>
      </w:r>
      <w:r w:rsidRPr="00D97EFB">
        <w:tab/>
        <w:t>the relevant Division of the old Corporations Act; and</w:t>
      </w:r>
    </w:p>
    <w:p w14:paraId="558DE432" w14:textId="77777777" w:rsidR="00E93F58" w:rsidRPr="00D97EFB" w:rsidRDefault="00E93F58" w:rsidP="007804D8">
      <w:pPr>
        <w:pStyle w:val="paragraph"/>
        <w:rPr>
          <w:color w:val="000000"/>
        </w:rPr>
      </w:pPr>
      <w:r w:rsidRPr="00D97EFB">
        <w:rPr>
          <w:color w:val="000000"/>
        </w:rPr>
        <w:tab/>
        <w:t>(b)</w:t>
      </w:r>
      <w:r w:rsidRPr="00D97EFB">
        <w:rPr>
          <w:color w:val="000000"/>
        </w:rPr>
        <w:tab/>
        <w:t>section 920A of the Act.</w:t>
      </w:r>
    </w:p>
    <w:p w14:paraId="3F783C30" w14:textId="77777777" w:rsidR="00E93F58" w:rsidRPr="00D97EFB" w:rsidRDefault="00E93F58" w:rsidP="007804D8">
      <w:pPr>
        <w:pStyle w:val="subsection"/>
      </w:pPr>
      <w:r w:rsidRPr="00D97EFB">
        <w:rPr>
          <w:color w:val="000000"/>
        </w:rPr>
        <w:tab/>
        <w:t>(3)</w:t>
      </w:r>
      <w:r w:rsidRPr="00D97EFB">
        <w:rPr>
          <w:color w:val="000000"/>
        </w:rPr>
        <w:tab/>
        <w:t xml:space="preserve">Subregulation (1) does not prevent ASIC from making a banning order under section 920A of the Act in relation to the same conduct or matter in relation to which a banning order is made under </w:t>
      </w:r>
      <w:r w:rsidRPr="00D97EFB">
        <w:t xml:space="preserve">the relevant Division </w:t>
      </w:r>
      <w:r w:rsidRPr="00D97EFB">
        <w:rPr>
          <w:color w:val="000000"/>
        </w:rPr>
        <w:t>of the old Corporations Act.</w:t>
      </w:r>
    </w:p>
    <w:p w14:paraId="02A9D81B" w14:textId="77777777" w:rsidR="00E93F58" w:rsidRPr="00D97EFB" w:rsidRDefault="00E93F58" w:rsidP="007804D8">
      <w:pPr>
        <w:pStyle w:val="subsection"/>
      </w:pPr>
      <w:r w:rsidRPr="00D97EFB">
        <w:tab/>
        <w:t>(4)</w:t>
      </w:r>
      <w:r w:rsidRPr="00D97EFB">
        <w:tab/>
        <w:t xml:space="preserve">For subregulation (3), nothing in the Act, or the relevant old legislation (including the </w:t>
      </w:r>
      <w:r w:rsidRPr="00D97EFB">
        <w:rPr>
          <w:i/>
        </w:rPr>
        <w:t>Australian Securities and Investments Commission Act 2001</w:t>
      </w:r>
      <w:r w:rsidRPr="00D97EFB">
        <w:t>), prevents ASIC from:</w:t>
      </w:r>
    </w:p>
    <w:p w14:paraId="48D42F0B" w14:textId="77777777" w:rsidR="00E93F58" w:rsidRPr="00D97EFB" w:rsidRDefault="00E93F58" w:rsidP="007804D8">
      <w:pPr>
        <w:pStyle w:val="paragraph"/>
      </w:pPr>
      <w:r w:rsidRPr="00D97EFB">
        <w:rPr>
          <w:color w:val="000000"/>
        </w:rPr>
        <w:tab/>
        <w:t>(a)</w:t>
      </w:r>
      <w:r w:rsidRPr="00D97EFB">
        <w:rPr>
          <w:color w:val="000000"/>
        </w:rPr>
        <w:tab/>
        <w:t>drafting or amending the terms of a banning order; or</w:t>
      </w:r>
    </w:p>
    <w:p w14:paraId="0F1D8B6C" w14:textId="77777777" w:rsidR="00E93F58" w:rsidRPr="00D97EFB" w:rsidRDefault="00E93F58" w:rsidP="007804D8">
      <w:pPr>
        <w:pStyle w:val="paragraph"/>
      </w:pPr>
      <w:r w:rsidRPr="00D97EFB">
        <w:tab/>
        <w:t>(b)</w:t>
      </w:r>
      <w:r w:rsidRPr="00D97EFB">
        <w:tab/>
        <w:t>taking any other action that was permitted by the relevant Division of the old Corporations Act before the FSR commencement;</w:t>
      </w:r>
    </w:p>
    <w:p w14:paraId="7B7A7138" w14:textId="77777777" w:rsidR="00E93F58" w:rsidRPr="00D97EFB" w:rsidRDefault="00E93F58" w:rsidP="007804D8">
      <w:pPr>
        <w:pStyle w:val="subsection2"/>
      </w:pPr>
      <w:r w:rsidRPr="00D97EFB">
        <w:rPr>
          <w:color w:val="000000"/>
        </w:rPr>
        <w:t>for the purpose of ensuring that the banning order has the same effect under the amended Corporations Act as it had under the old Corporations Act, or an effect equivalent to the effect it had under the old Corporations Act.</w:t>
      </w:r>
    </w:p>
    <w:p w14:paraId="23565A05" w14:textId="77777777" w:rsidR="00E93F58" w:rsidRPr="00D97EFB" w:rsidRDefault="00E93F58" w:rsidP="00180A9B">
      <w:pPr>
        <w:pStyle w:val="ActHead5"/>
      </w:pPr>
      <w:bookmarkStart w:id="2562" w:name="_Toc151994560"/>
      <w:bookmarkStart w:id="2563" w:name="_Toc158713070"/>
      <w:r w:rsidRPr="000D40D5">
        <w:rPr>
          <w:rStyle w:val="CharSectno"/>
        </w:rPr>
        <w:t>10.2.94</w:t>
      </w:r>
      <w:r w:rsidRPr="00D97EFB">
        <w:t xml:space="preserve">  Banning orders made under the Act after FSR commencement</w:t>
      </w:r>
      <w:bookmarkEnd w:id="2562"/>
      <w:bookmarkEnd w:id="2563"/>
    </w:p>
    <w:p w14:paraId="42C84237" w14:textId="77777777" w:rsidR="00E93F58" w:rsidRPr="00D97EFB" w:rsidRDefault="00E93F58" w:rsidP="007804D8">
      <w:pPr>
        <w:pStyle w:val="subsection"/>
      </w:pPr>
      <w:r w:rsidRPr="00D97EFB">
        <w:rPr>
          <w:color w:val="000000"/>
        </w:rPr>
        <w:tab/>
        <w:t>(1)</w:t>
      </w:r>
      <w:r w:rsidRPr="00D97EFB">
        <w:rPr>
          <w:color w:val="000000"/>
        </w:rPr>
        <w:tab/>
        <w:t>On and after the FSR commencement, Division 8 of Part 7.6 of the Act is taken to authorise the making of a banning order in relation to conduct or another matter that is or may be regulated under the relevant old legislation.</w:t>
      </w:r>
    </w:p>
    <w:p w14:paraId="17A10E00" w14:textId="77777777" w:rsidR="00E93F58" w:rsidRPr="00D97EFB" w:rsidRDefault="00E93F58" w:rsidP="007804D8">
      <w:pPr>
        <w:pStyle w:val="subsection"/>
      </w:pPr>
      <w:r w:rsidRPr="00D97EFB">
        <w:rPr>
          <w:color w:val="000000"/>
        </w:rPr>
        <w:tab/>
        <w:t>(2)</w:t>
      </w:r>
      <w:r w:rsidRPr="00D97EFB">
        <w:rPr>
          <w:color w:val="000000"/>
        </w:rPr>
        <w:tab/>
        <w:t>Subregulation (1) applies only to the extent that the relevant old legislation would have permitted the making of an order in similar terms in relation to the conduct or other matter.</w:t>
      </w:r>
    </w:p>
    <w:p w14:paraId="18A2DD8F" w14:textId="77777777" w:rsidR="00E93F58" w:rsidRPr="00D97EFB" w:rsidRDefault="00E93F58" w:rsidP="007804D8">
      <w:pPr>
        <w:pStyle w:val="subsection"/>
      </w:pPr>
      <w:r w:rsidRPr="00D97EFB">
        <w:lastRenderedPageBreak/>
        <w:tab/>
        <w:t>(3)</w:t>
      </w:r>
      <w:r w:rsidRPr="00D97EFB">
        <w:tab/>
        <w:t>A banning order made in relation to conduct or another matter mentioned in subregulation (1) is taken to be a banning order made under:</w:t>
      </w:r>
    </w:p>
    <w:p w14:paraId="3B1A7C55" w14:textId="77777777" w:rsidR="00E93F58" w:rsidRPr="00D97EFB" w:rsidRDefault="00E93F58" w:rsidP="007804D8">
      <w:pPr>
        <w:pStyle w:val="paragraph"/>
      </w:pPr>
      <w:r w:rsidRPr="00D97EFB">
        <w:tab/>
        <w:t>(a)</w:t>
      </w:r>
      <w:r w:rsidRPr="00D97EFB">
        <w:tab/>
        <w:t xml:space="preserve">Division 5 of Part 7.3, or Division 5 of Part 8.3, of the old Corporations Act (the </w:t>
      </w:r>
      <w:r w:rsidRPr="00D97EFB">
        <w:rPr>
          <w:b/>
          <w:i/>
        </w:rPr>
        <w:t>relevant Division</w:t>
      </w:r>
      <w:r w:rsidRPr="00D97EFB">
        <w:t>); and</w:t>
      </w:r>
    </w:p>
    <w:p w14:paraId="0220AA5D" w14:textId="77777777" w:rsidR="00E93F58" w:rsidRPr="00D97EFB" w:rsidRDefault="00E93F58" w:rsidP="007804D8">
      <w:pPr>
        <w:pStyle w:val="paragraph"/>
        <w:rPr>
          <w:color w:val="000000"/>
        </w:rPr>
      </w:pPr>
      <w:r w:rsidRPr="00D97EFB">
        <w:rPr>
          <w:color w:val="000000"/>
        </w:rPr>
        <w:tab/>
        <w:t>(b)</w:t>
      </w:r>
      <w:r w:rsidRPr="00D97EFB">
        <w:rPr>
          <w:color w:val="000000"/>
        </w:rPr>
        <w:tab/>
        <w:t>section 920A of the Act.</w:t>
      </w:r>
    </w:p>
    <w:p w14:paraId="3A347153" w14:textId="77777777" w:rsidR="00E93F58" w:rsidRPr="00D97EFB" w:rsidRDefault="00E93F58" w:rsidP="007804D8">
      <w:pPr>
        <w:pStyle w:val="subsection"/>
      </w:pPr>
      <w:r w:rsidRPr="00D97EFB">
        <w:rPr>
          <w:color w:val="000000"/>
        </w:rPr>
        <w:tab/>
        <w:t>(4)</w:t>
      </w:r>
      <w:r w:rsidRPr="00D97EFB">
        <w:rPr>
          <w:color w:val="000000"/>
        </w:rPr>
        <w:tab/>
        <w:t xml:space="preserve">Subregulation (1) does not prevent ASIC from making a banning order under </w:t>
      </w:r>
      <w:r w:rsidRPr="00D97EFB">
        <w:t xml:space="preserve">the relevant Division </w:t>
      </w:r>
      <w:r w:rsidRPr="00D97EFB">
        <w:rPr>
          <w:color w:val="000000"/>
        </w:rPr>
        <w:t>of the old Corporations Act in relation to the same conduct or matter in relation to which a banning order is made under Division 8 of Part 7.6 of the Act.</w:t>
      </w:r>
    </w:p>
    <w:p w14:paraId="08EC5832" w14:textId="77777777" w:rsidR="00E93F58" w:rsidRPr="00D97EFB" w:rsidRDefault="00E93F58" w:rsidP="007804D8">
      <w:pPr>
        <w:pStyle w:val="subsection"/>
      </w:pPr>
      <w:r w:rsidRPr="00D97EFB">
        <w:tab/>
        <w:t>(5)</w:t>
      </w:r>
      <w:r w:rsidRPr="00D97EFB">
        <w:tab/>
        <w:t xml:space="preserve">For subregulation (4), nothing in the Act, or the relevant old legislation (including the </w:t>
      </w:r>
      <w:r w:rsidRPr="00D97EFB">
        <w:rPr>
          <w:i/>
        </w:rPr>
        <w:t>Australian Securities and Investments Commission Act 2001</w:t>
      </w:r>
      <w:r w:rsidRPr="00D97EFB">
        <w:t>), prevents ASIC from:</w:t>
      </w:r>
    </w:p>
    <w:p w14:paraId="6E0034E0" w14:textId="77777777" w:rsidR="00E93F58" w:rsidRPr="00D97EFB" w:rsidRDefault="00E93F58" w:rsidP="007804D8">
      <w:pPr>
        <w:pStyle w:val="paragraph"/>
      </w:pPr>
      <w:r w:rsidRPr="00D97EFB">
        <w:rPr>
          <w:color w:val="000000"/>
        </w:rPr>
        <w:tab/>
        <w:t>(a)</w:t>
      </w:r>
      <w:r w:rsidRPr="00D97EFB">
        <w:rPr>
          <w:color w:val="000000"/>
        </w:rPr>
        <w:tab/>
        <w:t>drafting or amending the terms of a banning order; or</w:t>
      </w:r>
    </w:p>
    <w:p w14:paraId="18F976DB" w14:textId="77777777" w:rsidR="00E93F58" w:rsidRPr="00D97EFB" w:rsidRDefault="00E93F58" w:rsidP="007804D8">
      <w:pPr>
        <w:pStyle w:val="paragraph"/>
      </w:pPr>
      <w:r w:rsidRPr="00D97EFB">
        <w:tab/>
        <w:t>(b)</w:t>
      </w:r>
      <w:r w:rsidRPr="00D97EFB">
        <w:tab/>
        <w:t>taking any other action permitted by Division 8 of Part 7.6 of the Act;</w:t>
      </w:r>
    </w:p>
    <w:p w14:paraId="35515E3D" w14:textId="77777777" w:rsidR="00E93F58" w:rsidRPr="00D97EFB" w:rsidRDefault="00E93F58" w:rsidP="007804D8">
      <w:pPr>
        <w:pStyle w:val="subsection2"/>
      </w:pPr>
      <w:r w:rsidRPr="00D97EFB">
        <w:rPr>
          <w:color w:val="000000"/>
        </w:rPr>
        <w:t>for the purpose of ensuring that the banning order has the same effect under the amended Corporations Act as it had under the old Corporations Act, or an effect equivalent to the effect it had under the old Corporations Act.</w:t>
      </w:r>
    </w:p>
    <w:p w14:paraId="0D992A39" w14:textId="77777777" w:rsidR="00E93F58" w:rsidRPr="00D97EFB" w:rsidRDefault="00E93F58" w:rsidP="00180A9B">
      <w:pPr>
        <w:pStyle w:val="ActHead5"/>
      </w:pPr>
      <w:bookmarkStart w:id="2564" w:name="_Toc151994561"/>
      <w:bookmarkStart w:id="2565" w:name="_Toc158713071"/>
      <w:r w:rsidRPr="000D40D5">
        <w:rPr>
          <w:rStyle w:val="CharSectno"/>
        </w:rPr>
        <w:t>10.2.94A</w:t>
      </w:r>
      <w:r w:rsidRPr="00D97EFB">
        <w:t xml:space="preserve">  Prohibitions under paragraphs 827(1)(d) and 1192(1)(d) of the old Corporations Act made before FSR commencement</w:t>
      </w:r>
      <w:bookmarkEnd w:id="2564"/>
      <w:bookmarkEnd w:id="2565"/>
    </w:p>
    <w:p w14:paraId="47F57AF0" w14:textId="77777777" w:rsidR="00E93F58" w:rsidRPr="00D97EFB" w:rsidRDefault="00E93F58" w:rsidP="007804D8">
      <w:pPr>
        <w:pStyle w:val="subsection"/>
      </w:pPr>
      <w:r w:rsidRPr="00D97EFB">
        <w:tab/>
        <w:t>(1)</w:t>
      </w:r>
      <w:r w:rsidRPr="00D97EFB">
        <w:tab/>
        <w:t>For section 1444 of the Act, on and after the FSR commencement, a prohibition under paragraph 827(1)(d) or 1192(1)(d) of the old Corporations Act made before the FSR commencement:</w:t>
      </w:r>
    </w:p>
    <w:p w14:paraId="2F7A25CD" w14:textId="77777777" w:rsidR="00E93F58" w:rsidRPr="00D97EFB" w:rsidRDefault="00E93F58" w:rsidP="007804D8">
      <w:pPr>
        <w:pStyle w:val="paragraph"/>
      </w:pPr>
      <w:r w:rsidRPr="00D97EFB">
        <w:tab/>
        <w:t>(a)</w:t>
      </w:r>
      <w:r w:rsidRPr="00D97EFB">
        <w:tab/>
        <w:t>continues in force to the extent practicable to allow it to apply to conduct or another matter:</w:t>
      </w:r>
    </w:p>
    <w:p w14:paraId="7C08F06D" w14:textId="77777777" w:rsidR="00E93F58" w:rsidRPr="00D97EFB" w:rsidRDefault="00E93F58" w:rsidP="007804D8">
      <w:pPr>
        <w:pStyle w:val="paragraphsub"/>
      </w:pPr>
      <w:r w:rsidRPr="00D97EFB">
        <w:tab/>
        <w:t>(i)</w:t>
      </w:r>
      <w:r w:rsidRPr="00D97EFB">
        <w:tab/>
        <w:t>as it is described on and after the FSR commencement; or</w:t>
      </w:r>
    </w:p>
    <w:p w14:paraId="7DFC8652" w14:textId="77777777" w:rsidR="00E93F58" w:rsidRPr="00D97EFB" w:rsidRDefault="00E93F58" w:rsidP="007804D8">
      <w:pPr>
        <w:pStyle w:val="paragraphsub"/>
      </w:pPr>
      <w:r w:rsidRPr="00D97EFB">
        <w:tab/>
        <w:t>(ii)</w:t>
      </w:r>
      <w:r w:rsidRPr="00D97EFB">
        <w:tab/>
        <w:t>as it is regulated on and after the FSR commencement; and</w:t>
      </w:r>
    </w:p>
    <w:p w14:paraId="5BB9FA63" w14:textId="77777777" w:rsidR="00E93F58" w:rsidRPr="00D97EFB" w:rsidRDefault="00E93F58" w:rsidP="007804D8">
      <w:pPr>
        <w:pStyle w:val="paragraph"/>
      </w:pPr>
      <w:r w:rsidRPr="00D97EFB">
        <w:tab/>
        <w:t>(b)</w:t>
      </w:r>
      <w:r w:rsidRPr="00D97EFB">
        <w:tab/>
        <w:t>is taken to be a prohibition made under paragraph 827(1)(d) or 1192(1)(d) of the old Corporations Act.</w:t>
      </w:r>
    </w:p>
    <w:p w14:paraId="08C798E3" w14:textId="77777777" w:rsidR="00E93F58" w:rsidRPr="00D97EFB" w:rsidRDefault="00E93F58" w:rsidP="007804D8">
      <w:pPr>
        <w:pStyle w:val="subsection"/>
      </w:pPr>
      <w:r w:rsidRPr="00D97EFB">
        <w:tab/>
        <w:t>(2)</w:t>
      </w:r>
      <w:r w:rsidRPr="00D97EFB">
        <w:tab/>
        <w:t>On and after the FSR commencement, paragraph 827(1)(d) or 1192(1)(d) of the old Corporations Act, and associated provisions, continue to apply to the extent necessary to allow the prohibition to continue in force.</w:t>
      </w:r>
    </w:p>
    <w:p w14:paraId="6C40E5AC" w14:textId="77777777" w:rsidR="00E93F58" w:rsidRPr="00D97EFB" w:rsidRDefault="00E93F58" w:rsidP="007804D8">
      <w:pPr>
        <w:pStyle w:val="subsection"/>
      </w:pPr>
      <w:r w:rsidRPr="00D97EFB">
        <w:tab/>
        <w:t>(3)</w:t>
      </w:r>
      <w:r w:rsidRPr="00D97EFB">
        <w:tab/>
        <w:t xml:space="preserve">For subregulation (2), nothing in the relevant old legislation (including the </w:t>
      </w:r>
      <w:r w:rsidRPr="00D97EFB">
        <w:rPr>
          <w:i/>
        </w:rPr>
        <w:t>Australian Securities and Investments Commission Act 2001</w:t>
      </w:r>
      <w:r w:rsidRPr="00D97EFB">
        <w:t>) prevents ASIC from drafting or amending the terms of a prohibition for the purpose of ensuring that the prohibition has the same effect under the amended Corporations Act as it had under the old Corporations Act, or an effect equivalent to the effect it had under the old Corporations Act.</w:t>
      </w:r>
    </w:p>
    <w:p w14:paraId="10B7F3F2" w14:textId="77777777" w:rsidR="00E93F58" w:rsidRPr="00D97EFB" w:rsidRDefault="00E93F58" w:rsidP="00180A9B">
      <w:pPr>
        <w:pStyle w:val="ActHead5"/>
      </w:pPr>
      <w:bookmarkStart w:id="2566" w:name="_Toc151994562"/>
      <w:bookmarkStart w:id="2567" w:name="_Toc158713072"/>
      <w:r w:rsidRPr="000D40D5">
        <w:rPr>
          <w:rStyle w:val="CharSectno"/>
        </w:rPr>
        <w:t>10.2.94B</w:t>
      </w:r>
      <w:r w:rsidRPr="00D97EFB">
        <w:t xml:space="preserve">  Prohibitions under paragraphs 827(1)(d) and 1192(1)(d) of the old Corporations Act made after FSR commencement</w:t>
      </w:r>
      <w:bookmarkEnd w:id="2566"/>
      <w:bookmarkEnd w:id="2567"/>
    </w:p>
    <w:p w14:paraId="7C163326" w14:textId="77777777" w:rsidR="00E93F58" w:rsidRPr="00D97EFB" w:rsidRDefault="00E93F58" w:rsidP="007804D8">
      <w:pPr>
        <w:pStyle w:val="subsection"/>
      </w:pPr>
      <w:r w:rsidRPr="00D97EFB">
        <w:tab/>
        <w:t>(1)</w:t>
      </w:r>
      <w:r w:rsidRPr="00D97EFB">
        <w:tab/>
        <w:t>For section 1444 of the Act, on and after the FSR commencement, paragraphs 827(1)(d) and 1192(1)(d) of the old Corporations Act, and associated provisions, continue to apply to the extent necessary to allow a prohibition to be made or enforced against a person in relation to:</w:t>
      </w:r>
    </w:p>
    <w:p w14:paraId="7AB52765" w14:textId="77777777" w:rsidR="00E93F58" w:rsidRPr="00D97EFB" w:rsidRDefault="00E93F58" w:rsidP="007804D8">
      <w:pPr>
        <w:pStyle w:val="paragraph"/>
      </w:pPr>
      <w:r w:rsidRPr="00D97EFB">
        <w:tab/>
        <w:t>(a)</w:t>
      </w:r>
      <w:r w:rsidRPr="00D97EFB">
        <w:tab/>
        <w:t>conduct or another matter that occurred before the FSR commencement; or</w:t>
      </w:r>
    </w:p>
    <w:p w14:paraId="12B551CB" w14:textId="77777777" w:rsidR="00E93F58" w:rsidRPr="00D97EFB" w:rsidRDefault="00E93F58" w:rsidP="007804D8">
      <w:pPr>
        <w:pStyle w:val="paragraph"/>
      </w:pPr>
      <w:r w:rsidRPr="00D97EFB">
        <w:tab/>
        <w:t>(b)</w:t>
      </w:r>
      <w:r w:rsidRPr="00D97EFB">
        <w:tab/>
        <w:t>conduct or another matter that:</w:t>
      </w:r>
    </w:p>
    <w:p w14:paraId="510F9536" w14:textId="77777777" w:rsidR="00E93F58" w:rsidRPr="00D97EFB" w:rsidRDefault="00E93F58" w:rsidP="007804D8">
      <w:pPr>
        <w:pStyle w:val="paragraphsub"/>
      </w:pPr>
      <w:r w:rsidRPr="00D97EFB">
        <w:tab/>
        <w:t>(i)</w:t>
      </w:r>
      <w:r w:rsidRPr="00D97EFB">
        <w:tab/>
        <w:t>occurred after the FSR commencement; and</w:t>
      </w:r>
    </w:p>
    <w:p w14:paraId="5DDC28DC" w14:textId="77777777" w:rsidR="00E93F58" w:rsidRPr="00D97EFB" w:rsidRDefault="00E93F58" w:rsidP="007804D8">
      <w:pPr>
        <w:pStyle w:val="paragraphsub"/>
      </w:pPr>
      <w:r w:rsidRPr="00D97EFB">
        <w:tab/>
        <w:t>(ii)</w:t>
      </w:r>
      <w:r w:rsidRPr="00D97EFB">
        <w:tab/>
        <w:t>is regulated in accordance with section 1432 or 1436A of the Act.</w:t>
      </w:r>
    </w:p>
    <w:p w14:paraId="62185D81" w14:textId="77777777" w:rsidR="00E93F58" w:rsidRPr="00D97EFB" w:rsidRDefault="00E93F58" w:rsidP="007804D8">
      <w:pPr>
        <w:pStyle w:val="subsection"/>
      </w:pPr>
      <w:r w:rsidRPr="00D97EFB">
        <w:tab/>
        <w:t>(2)</w:t>
      </w:r>
      <w:r w:rsidRPr="00D97EFB">
        <w:tab/>
        <w:t>A prohibition made in relation to conduct or another matter mentioned in subregulation (1) is taken to be a prohibition made under paragraph 827(1)(d) or 1192(1)(d) of the old Corporations Act.</w:t>
      </w:r>
    </w:p>
    <w:p w14:paraId="5BC8190B" w14:textId="77777777" w:rsidR="00E93F58" w:rsidRPr="00D97EFB" w:rsidRDefault="00E93F58" w:rsidP="007804D8">
      <w:pPr>
        <w:pStyle w:val="subsection"/>
      </w:pPr>
      <w:r w:rsidRPr="00D97EFB">
        <w:tab/>
        <w:t>(3)</w:t>
      </w:r>
      <w:r w:rsidRPr="00D97EFB">
        <w:tab/>
        <w:t xml:space="preserve">For subregulation (2), nothing in the relevant old legislation (including the </w:t>
      </w:r>
      <w:r w:rsidRPr="00D97EFB">
        <w:rPr>
          <w:i/>
        </w:rPr>
        <w:t>Australian Securities and Investments Commission Act 2001</w:t>
      </w:r>
      <w:r w:rsidRPr="00D97EFB">
        <w:t>) prevents ASIC from drafting or amending the terms of a prohibition for the purpose of ensuring that the prohibition has the same effect under the amended Corporations Act as it had under the old Corporations Act, or an effect equivalent to the effect it had under the old Corporations Act.</w:t>
      </w:r>
    </w:p>
    <w:p w14:paraId="2675AC84" w14:textId="77777777" w:rsidR="00E93F58" w:rsidRPr="00D97EFB" w:rsidRDefault="00E93F58" w:rsidP="00180A9B">
      <w:pPr>
        <w:pStyle w:val="ActHead5"/>
      </w:pPr>
      <w:bookmarkStart w:id="2568" w:name="_Toc151994563"/>
      <w:bookmarkStart w:id="2569" w:name="_Toc158713073"/>
      <w:r w:rsidRPr="000D40D5">
        <w:rPr>
          <w:rStyle w:val="CharSectno"/>
        </w:rPr>
        <w:t>10.2.95</w:t>
      </w:r>
      <w:r w:rsidRPr="00D97EFB">
        <w:t xml:space="preserve">  Undertakings</w:t>
      </w:r>
      <w:bookmarkEnd w:id="2568"/>
      <w:bookmarkEnd w:id="2569"/>
    </w:p>
    <w:p w14:paraId="0B67FE8D" w14:textId="77777777" w:rsidR="00E93F58" w:rsidRPr="00D97EFB" w:rsidRDefault="00E93F58" w:rsidP="007804D8">
      <w:pPr>
        <w:pStyle w:val="subsection"/>
      </w:pPr>
      <w:r w:rsidRPr="00D97EFB">
        <w:tab/>
        <w:t>(1)</w:t>
      </w:r>
      <w:r w:rsidRPr="00D97EFB">
        <w:tab/>
        <w:t>This regulation applies if:</w:t>
      </w:r>
    </w:p>
    <w:p w14:paraId="2F9D1C59" w14:textId="77777777" w:rsidR="00E93F58" w:rsidRPr="00D97EFB" w:rsidRDefault="00E93F58" w:rsidP="007804D8">
      <w:pPr>
        <w:pStyle w:val="paragraph"/>
      </w:pPr>
      <w:r w:rsidRPr="00D97EFB">
        <w:rPr>
          <w:color w:val="000000"/>
        </w:rPr>
        <w:lastRenderedPageBreak/>
        <w:tab/>
        <w:t>(a)</w:t>
      </w:r>
      <w:r w:rsidRPr="00D97EFB">
        <w:rPr>
          <w:color w:val="000000"/>
        </w:rPr>
        <w:tab/>
        <w:t xml:space="preserve">an undertaking was in force under section 93AA or 93A of the </w:t>
      </w:r>
      <w:r w:rsidRPr="00D97EFB">
        <w:rPr>
          <w:i/>
          <w:color w:val="000000"/>
        </w:rPr>
        <w:t>Australian Securities and Investments Commission Act 2001</w:t>
      </w:r>
      <w:r w:rsidRPr="00D97EFB">
        <w:rPr>
          <w:color w:val="000000"/>
        </w:rPr>
        <w:t xml:space="preserve"> immediately before the FSR commencement; and</w:t>
      </w:r>
    </w:p>
    <w:p w14:paraId="395553DB" w14:textId="77777777" w:rsidR="00E93F58" w:rsidRPr="00D97EFB" w:rsidRDefault="00E93F58" w:rsidP="007804D8">
      <w:pPr>
        <w:pStyle w:val="paragraph"/>
      </w:pPr>
      <w:r w:rsidRPr="00D97EFB">
        <w:tab/>
        <w:t>(b)</w:t>
      </w:r>
      <w:r w:rsidRPr="00D97EFB">
        <w:tab/>
        <w:t>the conduct or matter to which the undertaking relates:</w:t>
      </w:r>
    </w:p>
    <w:p w14:paraId="197EC404" w14:textId="77777777" w:rsidR="00E93F58" w:rsidRPr="00D97EFB" w:rsidRDefault="00E93F58" w:rsidP="007804D8">
      <w:pPr>
        <w:pStyle w:val="paragraphsub"/>
      </w:pPr>
      <w:r w:rsidRPr="00D97EFB">
        <w:rPr>
          <w:color w:val="000000"/>
        </w:rPr>
        <w:tab/>
        <w:t>(i)</w:t>
      </w:r>
      <w:r w:rsidRPr="00D97EFB">
        <w:rPr>
          <w:color w:val="000000"/>
        </w:rPr>
        <w:tab/>
        <w:t>is not described in the same terms in the amended Corporations Act; or</w:t>
      </w:r>
    </w:p>
    <w:p w14:paraId="2F327D8F" w14:textId="77777777" w:rsidR="00E93F58" w:rsidRPr="00D97EFB" w:rsidRDefault="00E93F58" w:rsidP="007804D8">
      <w:pPr>
        <w:pStyle w:val="paragraphsub"/>
      </w:pPr>
      <w:r w:rsidRPr="00D97EFB">
        <w:tab/>
        <w:t>(ii)</w:t>
      </w:r>
      <w:r w:rsidRPr="00D97EFB">
        <w:tab/>
        <w:t>is regulated in a different way under the amended Corporations Act.</w:t>
      </w:r>
    </w:p>
    <w:p w14:paraId="3F07A1F4" w14:textId="77777777" w:rsidR="00E93F58" w:rsidRPr="00D97EFB" w:rsidRDefault="00E93F58" w:rsidP="007804D8">
      <w:pPr>
        <w:pStyle w:val="subsection"/>
      </w:pPr>
      <w:r w:rsidRPr="00D97EFB">
        <w:tab/>
        <w:t>(2)</w:t>
      </w:r>
      <w:r w:rsidRPr="00D97EFB">
        <w:tab/>
        <w:t>On and after the FSR commencement, the undertaking continues in force, to the extent practicable to allow it to apply in relation to the conduct or matter:</w:t>
      </w:r>
    </w:p>
    <w:p w14:paraId="22DCE0AA" w14:textId="77777777" w:rsidR="00E93F58" w:rsidRPr="00D97EFB" w:rsidRDefault="00E93F58" w:rsidP="007804D8">
      <w:pPr>
        <w:pStyle w:val="paragraph"/>
      </w:pPr>
      <w:r w:rsidRPr="00D97EFB">
        <w:rPr>
          <w:color w:val="000000"/>
        </w:rPr>
        <w:tab/>
        <w:t>(a)</w:t>
      </w:r>
      <w:r w:rsidRPr="00D97EFB">
        <w:rPr>
          <w:color w:val="000000"/>
        </w:rPr>
        <w:tab/>
        <w:t xml:space="preserve">as it is described on and after the </w:t>
      </w:r>
      <w:r w:rsidRPr="00D97EFB">
        <w:t>FSR commencement; and</w:t>
      </w:r>
    </w:p>
    <w:p w14:paraId="0EA39721" w14:textId="77777777" w:rsidR="00E93F58" w:rsidRPr="00D97EFB" w:rsidRDefault="00E93F58" w:rsidP="007804D8">
      <w:pPr>
        <w:pStyle w:val="paragraph"/>
      </w:pPr>
      <w:r w:rsidRPr="00D97EFB">
        <w:tab/>
        <w:t>(b)</w:t>
      </w:r>
      <w:r w:rsidRPr="00D97EFB">
        <w:tab/>
        <w:t>as it is regulated on and after the FSR commencement.</w:t>
      </w:r>
    </w:p>
    <w:p w14:paraId="34E97766" w14:textId="77777777" w:rsidR="00E93F58" w:rsidRPr="00D97EFB" w:rsidRDefault="00E93F58" w:rsidP="007804D8">
      <w:pPr>
        <w:pStyle w:val="subsection"/>
      </w:pPr>
      <w:r w:rsidRPr="00D97EFB">
        <w:tab/>
        <w:t>(3)</w:t>
      </w:r>
      <w:r w:rsidRPr="00D97EFB">
        <w:tab/>
        <w:t xml:space="preserve">For subregulation (2), nothing in the relevant old legislation (including the </w:t>
      </w:r>
      <w:r w:rsidRPr="00D97EFB">
        <w:rPr>
          <w:i/>
        </w:rPr>
        <w:t>Australian Securities and Investments Commission Act 2001</w:t>
      </w:r>
      <w:r w:rsidRPr="00D97EFB">
        <w:t>) prevents ASIC from:</w:t>
      </w:r>
    </w:p>
    <w:p w14:paraId="7B96568C" w14:textId="77777777" w:rsidR="00E93F58" w:rsidRPr="00D97EFB" w:rsidRDefault="00E93F58" w:rsidP="007804D8">
      <w:pPr>
        <w:pStyle w:val="paragraph"/>
      </w:pPr>
      <w:r w:rsidRPr="00D97EFB">
        <w:rPr>
          <w:color w:val="000000"/>
        </w:rPr>
        <w:tab/>
        <w:t>(a)</w:t>
      </w:r>
      <w:r w:rsidRPr="00D97EFB">
        <w:rPr>
          <w:color w:val="000000"/>
        </w:rPr>
        <w:tab/>
        <w:t>drafting or amending the terms of an undertaking; or</w:t>
      </w:r>
    </w:p>
    <w:p w14:paraId="51833889" w14:textId="77777777" w:rsidR="00E93F58" w:rsidRPr="00D97EFB" w:rsidRDefault="00E93F58" w:rsidP="007804D8">
      <w:pPr>
        <w:pStyle w:val="paragraph"/>
      </w:pPr>
      <w:r w:rsidRPr="00D97EFB">
        <w:tab/>
        <w:t>(b)</w:t>
      </w:r>
      <w:r w:rsidRPr="00D97EFB">
        <w:tab/>
        <w:t>issuing a notice to a person; or</w:t>
      </w:r>
    </w:p>
    <w:p w14:paraId="321CCD64" w14:textId="77777777" w:rsidR="00E93F58" w:rsidRPr="00D97EFB" w:rsidRDefault="00E93F58" w:rsidP="007804D8">
      <w:pPr>
        <w:pStyle w:val="paragraph"/>
      </w:pPr>
      <w:r w:rsidRPr="00D97EFB">
        <w:tab/>
        <w:t>(c)</w:t>
      </w:r>
      <w:r w:rsidRPr="00D97EFB">
        <w:tab/>
        <w:t>taking any other action permitted by section 93AA or 93A of that Act;</w:t>
      </w:r>
    </w:p>
    <w:p w14:paraId="16004534" w14:textId="77777777" w:rsidR="00E93F58" w:rsidRPr="00D97EFB" w:rsidRDefault="00E93F58" w:rsidP="007804D8">
      <w:pPr>
        <w:pStyle w:val="subsection2"/>
      </w:pPr>
      <w:r w:rsidRPr="00D97EFB">
        <w:rPr>
          <w:color w:val="000000"/>
        </w:rPr>
        <w:t>for the purpose of ensuring that the undertaking has the same effect under the amended Corporations Act as it had under the old Corporations Act, or an effect equivalent to the effect it had under the old Corporations Act.</w:t>
      </w:r>
    </w:p>
    <w:p w14:paraId="236BA77F" w14:textId="77777777" w:rsidR="00E93F58" w:rsidRPr="00D97EFB" w:rsidRDefault="00E93F58" w:rsidP="00180A9B">
      <w:pPr>
        <w:pStyle w:val="ActHead5"/>
      </w:pPr>
      <w:bookmarkStart w:id="2570" w:name="_Toc151994564"/>
      <w:bookmarkStart w:id="2571" w:name="_Toc158713074"/>
      <w:r w:rsidRPr="000D40D5">
        <w:rPr>
          <w:rStyle w:val="CharSectno"/>
        </w:rPr>
        <w:t>10.2.96</w:t>
      </w:r>
      <w:r w:rsidRPr="00D97EFB">
        <w:t xml:space="preserve">  Registers in existence before FSR commencement</w:t>
      </w:r>
      <w:bookmarkEnd w:id="2570"/>
      <w:bookmarkEnd w:id="2571"/>
    </w:p>
    <w:p w14:paraId="7405712D" w14:textId="77777777" w:rsidR="00E93F58" w:rsidRPr="00D97EFB" w:rsidRDefault="00E93F58" w:rsidP="007804D8">
      <w:pPr>
        <w:pStyle w:val="subsection"/>
      </w:pPr>
      <w:r w:rsidRPr="00D97EFB">
        <w:tab/>
        <w:t>(1)</w:t>
      </w:r>
      <w:r w:rsidRPr="00D97EFB">
        <w:tab/>
        <w:t>Subject to subregulation (3), this regulation applies if:</w:t>
      </w:r>
    </w:p>
    <w:p w14:paraId="0FD3B47A" w14:textId="77777777" w:rsidR="00E93F58" w:rsidRPr="00D97EFB" w:rsidRDefault="00E93F58" w:rsidP="007804D8">
      <w:pPr>
        <w:pStyle w:val="paragraph"/>
      </w:pPr>
      <w:r w:rsidRPr="00D97EFB">
        <w:tab/>
        <w:t>(a)</w:t>
      </w:r>
      <w:r w:rsidRPr="00D97EFB">
        <w:tab/>
        <w:t>a register was in existence, or was required to be in existence, under the relevant old legislation:</w:t>
      </w:r>
    </w:p>
    <w:p w14:paraId="47BF59CD" w14:textId="77777777" w:rsidR="00E93F58" w:rsidRPr="00D97EFB" w:rsidRDefault="00E93F58" w:rsidP="007804D8">
      <w:pPr>
        <w:pStyle w:val="paragraphsub"/>
      </w:pPr>
      <w:r w:rsidRPr="00D97EFB">
        <w:tab/>
        <w:t>(i)</w:t>
      </w:r>
      <w:r w:rsidRPr="00D97EFB">
        <w:tab/>
        <w:t>before the FSR commencement; or</w:t>
      </w:r>
    </w:p>
    <w:p w14:paraId="12E4F121" w14:textId="77777777" w:rsidR="00E93F58" w:rsidRPr="00D97EFB" w:rsidRDefault="00E93F58" w:rsidP="007804D8">
      <w:pPr>
        <w:pStyle w:val="paragraphsub"/>
      </w:pPr>
      <w:r w:rsidRPr="00D97EFB">
        <w:tab/>
        <w:t>(ii)</w:t>
      </w:r>
      <w:r w:rsidRPr="00D97EFB">
        <w:tab/>
        <w:t>after the FSR commencement, but before the amended Corporations Act began to apply to a person’s activities; and</w:t>
      </w:r>
    </w:p>
    <w:p w14:paraId="740348CA" w14:textId="77777777" w:rsidR="00E93F58" w:rsidRPr="00D97EFB" w:rsidRDefault="00E93F58" w:rsidP="007804D8">
      <w:pPr>
        <w:pStyle w:val="paragraph"/>
      </w:pPr>
      <w:r w:rsidRPr="00D97EFB">
        <w:tab/>
        <w:t>(b)</w:t>
      </w:r>
      <w:r w:rsidRPr="00D97EFB">
        <w:tab/>
        <w:t>the register:</w:t>
      </w:r>
    </w:p>
    <w:p w14:paraId="3D0C6A5D" w14:textId="77777777" w:rsidR="00E93F58" w:rsidRPr="00D97EFB" w:rsidRDefault="00E93F58" w:rsidP="007804D8">
      <w:pPr>
        <w:pStyle w:val="paragraphsub"/>
        <w:rPr>
          <w:color w:val="000000"/>
        </w:rPr>
      </w:pPr>
      <w:r w:rsidRPr="00D97EFB">
        <w:rPr>
          <w:color w:val="000000"/>
        </w:rPr>
        <w:tab/>
        <w:t>(i)</w:t>
      </w:r>
      <w:r w:rsidRPr="00D97EFB">
        <w:rPr>
          <w:color w:val="000000"/>
        </w:rPr>
        <w:tab/>
        <w:t>is required to be maintained, after the FSR commencement, by a law other than this regulation; or</w:t>
      </w:r>
    </w:p>
    <w:p w14:paraId="20594ABA" w14:textId="77777777" w:rsidR="00E93F58" w:rsidRPr="00D97EFB" w:rsidRDefault="00E93F58" w:rsidP="007804D8">
      <w:pPr>
        <w:pStyle w:val="paragraphsub"/>
      </w:pPr>
      <w:r w:rsidRPr="00D97EFB">
        <w:tab/>
        <w:t>(ii)</w:t>
      </w:r>
      <w:r w:rsidRPr="00D97EFB">
        <w:tab/>
        <w:t>would have been required to be maintained, after the FSR commencement, by a provision of the relevant old legislation if the provision had continued in operation after the FSR commencement.</w:t>
      </w:r>
    </w:p>
    <w:p w14:paraId="1C948C5A" w14:textId="77777777" w:rsidR="00E93F58" w:rsidRPr="00D97EFB" w:rsidRDefault="00E93F58" w:rsidP="007804D8">
      <w:pPr>
        <w:pStyle w:val="subsection"/>
      </w:pPr>
      <w:r w:rsidRPr="00D97EFB">
        <w:tab/>
        <w:t>(2)</w:t>
      </w:r>
      <w:r w:rsidRPr="00D97EFB">
        <w:tab/>
        <w:t>To avoid doubt:</w:t>
      </w:r>
    </w:p>
    <w:p w14:paraId="09D916D1" w14:textId="77777777" w:rsidR="00E93F58" w:rsidRPr="00D97EFB" w:rsidRDefault="00E93F58" w:rsidP="007804D8">
      <w:pPr>
        <w:pStyle w:val="paragraph"/>
      </w:pPr>
      <w:r w:rsidRPr="00D97EFB">
        <w:tab/>
        <w:t>(a)</w:t>
      </w:r>
      <w:r w:rsidRPr="00D97EFB">
        <w:tab/>
        <w:t>the person responsible for maintaining the register may exercise any of the powers, and perform any of the functions, that the person had immediately before the FSR commencement in relation to:</w:t>
      </w:r>
    </w:p>
    <w:p w14:paraId="684CF34A" w14:textId="77777777" w:rsidR="00E93F58" w:rsidRPr="00D97EFB" w:rsidRDefault="00E93F58" w:rsidP="007804D8">
      <w:pPr>
        <w:pStyle w:val="paragraphsub"/>
      </w:pPr>
      <w:r w:rsidRPr="00D97EFB">
        <w:rPr>
          <w:color w:val="000000"/>
        </w:rPr>
        <w:tab/>
        <w:t>(i)</w:t>
      </w:r>
      <w:r w:rsidRPr="00D97EFB">
        <w:rPr>
          <w:color w:val="000000"/>
        </w:rPr>
        <w:tab/>
        <w:t>a person whose details appear in the register; and</w:t>
      </w:r>
    </w:p>
    <w:p w14:paraId="6B1E53E4" w14:textId="77777777" w:rsidR="00E93F58" w:rsidRPr="00D97EFB" w:rsidRDefault="00E93F58" w:rsidP="007804D8">
      <w:pPr>
        <w:pStyle w:val="paragraphsub"/>
      </w:pPr>
      <w:r w:rsidRPr="00D97EFB">
        <w:tab/>
        <w:t>(ii)</w:t>
      </w:r>
      <w:r w:rsidRPr="00D97EFB">
        <w:tab/>
        <w:t>any other person to whom the register relates (including a person described in a capacity that came into existence after the FSR commencement); and</w:t>
      </w:r>
    </w:p>
    <w:p w14:paraId="05855542" w14:textId="77777777" w:rsidR="00E93F58" w:rsidRPr="00D97EFB" w:rsidRDefault="00E93F58" w:rsidP="007804D8">
      <w:pPr>
        <w:pStyle w:val="paragraph"/>
      </w:pPr>
      <w:r w:rsidRPr="00D97EFB">
        <w:tab/>
        <w:t>(b)</w:t>
      </w:r>
      <w:r w:rsidRPr="00D97EFB">
        <w:tab/>
        <w:t>paragraph (a) includes the power:</w:t>
      </w:r>
    </w:p>
    <w:p w14:paraId="6724692A" w14:textId="77777777" w:rsidR="00E93F58" w:rsidRPr="00D97EFB" w:rsidRDefault="00E93F58" w:rsidP="007804D8">
      <w:pPr>
        <w:pStyle w:val="paragraphsub"/>
      </w:pPr>
      <w:r w:rsidRPr="00D97EFB">
        <w:rPr>
          <w:color w:val="000000"/>
        </w:rPr>
        <w:tab/>
        <w:t>(i)</w:t>
      </w:r>
      <w:r w:rsidRPr="00D97EFB">
        <w:rPr>
          <w:color w:val="000000"/>
        </w:rPr>
        <w:tab/>
        <w:t>to amend the register; and</w:t>
      </w:r>
    </w:p>
    <w:p w14:paraId="7AE36631" w14:textId="77777777" w:rsidR="00E93F58" w:rsidRPr="00D97EFB" w:rsidRDefault="00E93F58" w:rsidP="007804D8">
      <w:pPr>
        <w:pStyle w:val="paragraphsub"/>
      </w:pPr>
      <w:r w:rsidRPr="00D97EFB">
        <w:tab/>
        <w:t>(ii)</w:t>
      </w:r>
      <w:r w:rsidRPr="00D97EFB">
        <w:tab/>
        <w:t>to include new information in the register; and</w:t>
      </w:r>
    </w:p>
    <w:p w14:paraId="00D46243" w14:textId="77777777" w:rsidR="00E93F58" w:rsidRPr="00D97EFB" w:rsidRDefault="00E93F58" w:rsidP="007804D8">
      <w:pPr>
        <w:pStyle w:val="paragraph"/>
      </w:pPr>
      <w:r w:rsidRPr="00D97EFB">
        <w:rPr>
          <w:color w:val="000000"/>
        </w:rPr>
        <w:tab/>
        <w:t>(c)</w:t>
      </w:r>
      <w:r w:rsidRPr="00D97EFB">
        <w:rPr>
          <w:color w:val="000000"/>
        </w:rPr>
        <w:tab/>
        <w:t>this regulation does not impose any obligation on the person to exercise any of the powers or perform any of the functions.</w:t>
      </w:r>
    </w:p>
    <w:p w14:paraId="6ECA4C93" w14:textId="77777777" w:rsidR="00E93F58" w:rsidRPr="00D97EFB" w:rsidRDefault="00E93F58" w:rsidP="007804D8">
      <w:pPr>
        <w:pStyle w:val="subsection"/>
      </w:pPr>
      <w:r w:rsidRPr="00D97EFB">
        <w:rPr>
          <w:color w:val="000000"/>
        </w:rPr>
        <w:tab/>
        <w:t>(3)</w:t>
      </w:r>
      <w:r w:rsidRPr="00D97EFB">
        <w:rPr>
          <w:color w:val="000000"/>
        </w:rPr>
        <w:tab/>
        <w:t>The person must maintain the register for the same period of time, and in the same manner, that would have been required if the relevant old legislation had continued in force.</w:t>
      </w:r>
    </w:p>
    <w:p w14:paraId="61E891FF" w14:textId="77777777" w:rsidR="00E93F58" w:rsidRPr="00D97EFB" w:rsidRDefault="00E93F58" w:rsidP="00BB7E31">
      <w:pPr>
        <w:pStyle w:val="ActHead5"/>
      </w:pPr>
      <w:bookmarkStart w:id="2572" w:name="_Toc151994565"/>
      <w:bookmarkStart w:id="2573" w:name="_Toc158713075"/>
      <w:r w:rsidRPr="000D40D5">
        <w:rPr>
          <w:rStyle w:val="CharSectno"/>
        </w:rPr>
        <w:t>10.2.97</w:t>
      </w:r>
      <w:r w:rsidRPr="00D97EFB">
        <w:t xml:space="preserve">  Registers created after FSR commencement</w:t>
      </w:r>
      <w:bookmarkEnd w:id="2572"/>
      <w:bookmarkEnd w:id="2573"/>
    </w:p>
    <w:p w14:paraId="3235CCEA" w14:textId="77777777" w:rsidR="00E93F58" w:rsidRPr="00D97EFB" w:rsidRDefault="00E93F58" w:rsidP="00BB7E31">
      <w:pPr>
        <w:pStyle w:val="subsection"/>
      </w:pPr>
      <w:r w:rsidRPr="00D97EFB">
        <w:tab/>
        <w:t>(1)</w:t>
      </w:r>
      <w:r w:rsidRPr="00D97EFB">
        <w:tab/>
        <w:t>This regulation applies to a register that:</w:t>
      </w:r>
    </w:p>
    <w:p w14:paraId="5502E85A" w14:textId="77777777" w:rsidR="00E93F58" w:rsidRPr="00D97EFB" w:rsidRDefault="00E93F58" w:rsidP="00BB7E31">
      <w:pPr>
        <w:pStyle w:val="paragraph"/>
      </w:pPr>
      <w:r w:rsidRPr="00D97EFB">
        <w:rPr>
          <w:color w:val="000000"/>
        </w:rPr>
        <w:tab/>
        <w:t>(a)</w:t>
      </w:r>
      <w:r w:rsidRPr="00D97EFB">
        <w:rPr>
          <w:color w:val="000000"/>
        </w:rPr>
        <w:tab/>
        <w:t>ASIC is required to create after the FSR commencement under paragraph 922A(2)(b) or (c) of the Act; and</w:t>
      </w:r>
    </w:p>
    <w:p w14:paraId="6B989923" w14:textId="77777777" w:rsidR="00E93F58" w:rsidRPr="00D97EFB" w:rsidRDefault="00E93F58" w:rsidP="00BB7E31">
      <w:pPr>
        <w:pStyle w:val="paragraph"/>
      </w:pPr>
      <w:r w:rsidRPr="00D97EFB">
        <w:tab/>
        <w:t>(b)</w:t>
      </w:r>
      <w:r w:rsidRPr="00D97EFB">
        <w:tab/>
        <w:t>relates to a matter for which:</w:t>
      </w:r>
    </w:p>
    <w:p w14:paraId="5837C8C0" w14:textId="77777777" w:rsidR="00E93F58" w:rsidRPr="00D97EFB" w:rsidRDefault="00E93F58" w:rsidP="00BB7E31">
      <w:pPr>
        <w:pStyle w:val="paragraphsub"/>
      </w:pPr>
      <w:r w:rsidRPr="00D97EFB">
        <w:rPr>
          <w:color w:val="000000"/>
        </w:rPr>
        <w:tab/>
        <w:t>(i)</w:t>
      </w:r>
      <w:r w:rsidRPr="00D97EFB">
        <w:rPr>
          <w:color w:val="000000"/>
        </w:rPr>
        <w:tab/>
        <w:t>ASIC had responsibility before the FSR commencement (including a matter that was described in a different way before the FSR commencement); and</w:t>
      </w:r>
    </w:p>
    <w:p w14:paraId="6F1D6376" w14:textId="77777777" w:rsidR="00E93F58" w:rsidRPr="00D97EFB" w:rsidRDefault="00E93F58" w:rsidP="00BB7E31">
      <w:pPr>
        <w:pStyle w:val="paragraphsub"/>
      </w:pPr>
      <w:r w:rsidRPr="00D97EFB">
        <w:tab/>
        <w:t>(ii)</w:t>
      </w:r>
      <w:r w:rsidRPr="00D97EFB">
        <w:tab/>
        <w:t xml:space="preserve">a register (an </w:t>
      </w:r>
      <w:r w:rsidRPr="00D97EFB">
        <w:rPr>
          <w:b/>
          <w:i/>
        </w:rPr>
        <w:t>old register</w:t>
      </w:r>
      <w:r w:rsidRPr="00D97EFB">
        <w:t>) was in existence under the relevant old law before the FSR commencement.</w:t>
      </w:r>
    </w:p>
    <w:p w14:paraId="557D8D6B" w14:textId="77777777" w:rsidR="00E93F58" w:rsidRPr="00D97EFB" w:rsidRDefault="00E93F58" w:rsidP="00BB7E31">
      <w:pPr>
        <w:pStyle w:val="subsection"/>
      </w:pPr>
      <w:r w:rsidRPr="00D97EFB">
        <w:rPr>
          <w:color w:val="000000"/>
        </w:rPr>
        <w:lastRenderedPageBreak/>
        <w:tab/>
        <w:t>(2)</w:t>
      </w:r>
      <w:r w:rsidRPr="00D97EFB">
        <w:rPr>
          <w:color w:val="000000"/>
        </w:rPr>
        <w:tab/>
        <w:t>ASIC must include in the new register as much of the information in the old register as ASIC considers appropriate.</w:t>
      </w:r>
    </w:p>
    <w:p w14:paraId="4CA71CE9" w14:textId="77777777" w:rsidR="00E93F58" w:rsidRPr="00D97EFB" w:rsidRDefault="00E93F58" w:rsidP="00BB7E31">
      <w:pPr>
        <w:pStyle w:val="ActHead5"/>
      </w:pPr>
      <w:bookmarkStart w:id="2574" w:name="_Toc151994566"/>
      <w:bookmarkStart w:id="2575" w:name="_Toc158713076"/>
      <w:r w:rsidRPr="000D40D5">
        <w:rPr>
          <w:rStyle w:val="CharSectno"/>
        </w:rPr>
        <w:t>10.2.98</w:t>
      </w:r>
      <w:r w:rsidRPr="00D97EFB">
        <w:t xml:space="preserve">  Registers, documents and things kept before FSR commencement</w:t>
      </w:r>
      <w:bookmarkEnd w:id="2574"/>
      <w:bookmarkEnd w:id="2575"/>
    </w:p>
    <w:p w14:paraId="420CE4B8" w14:textId="77777777" w:rsidR="00E93F58" w:rsidRPr="00D97EFB" w:rsidRDefault="00E93F58" w:rsidP="00BB7E31">
      <w:pPr>
        <w:pStyle w:val="subsection"/>
      </w:pPr>
      <w:r w:rsidRPr="00D97EFB">
        <w:tab/>
        <w:t>(1)</w:t>
      </w:r>
      <w:r w:rsidRPr="00D97EFB">
        <w:tab/>
        <w:t>For section 1444 of the Act, this regulation applies if:</w:t>
      </w:r>
    </w:p>
    <w:p w14:paraId="03AF4B07" w14:textId="77777777" w:rsidR="00E93F58" w:rsidRPr="00D97EFB" w:rsidRDefault="00E93F58" w:rsidP="00BB7E31">
      <w:pPr>
        <w:pStyle w:val="paragraph"/>
      </w:pPr>
      <w:r w:rsidRPr="00D97EFB">
        <w:rPr>
          <w:color w:val="000000"/>
        </w:rPr>
        <w:tab/>
        <w:t>(a)</w:t>
      </w:r>
      <w:r w:rsidRPr="00D97EFB">
        <w:rPr>
          <w:color w:val="000000"/>
        </w:rPr>
        <w:tab/>
        <w:t>a person was required, under a provision of the relevant old legislation, to keep a register, document or other thing for a specified period; and</w:t>
      </w:r>
    </w:p>
    <w:p w14:paraId="76DDF965" w14:textId="77777777" w:rsidR="00E93F58" w:rsidRPr="00D97EFB" w:rsidRDefault="00E93F58" w:rsidP="00BB7E31">
      <w:pPr>
        <w:pStyle w:val="paragraph"/>
      </w:pPr>
      <w:r w:rsidRPr="00D97EFB">
        <w:tab/>
        <w:t>(b)</w:t>
      </w:r>
      <w:r w:rsidRPr="00D97EFB">
        <w:tab/>
        <w:t>the period had not ended before the FSR commencement.</w:t>
      </w:r>
    </w:p>
    <w:p w14:paraId="3CB59E30" w14:textId="77777777" w:rsidR="00E93F58" w:rsidRPr="00D97EFB" w:rsidRDefault="00E93F58" w:rsidP="00BB7E31">
      <w:pPr>
        <w:pStyle w:val="subsection"/>
      </w:pPr>
      <w:r w:rsidRPr="00D97EFB">
        <w:rPr>
          <w:color w:val="000000"/>
        </w:rPr>
        <w:tab/>
        <w:t>(2)</w:t>
      </w:r>
      <w:r w:rsidRPr="00D97EFB">
        <w:rPr>
          <w:color w:val="000000"/>
        </w:rPr>
        <w:tab/>
        <w:t>On and after the FSR commencement, the provision and the period are taken to continue in force to the extent necessary to require the person to keep the register, document or thing for the specified period.</w:t>
      </w:r>
    </w:p>
    <w:p w14:paraId="1E827314" w14:textId="77777777" w:rsidR="00E93F58" w:rsidRPr="00D97EFB" w:rsidRDefault="00E93F58" w:rsidP="00BB7E31">
      <w:pPr>
        <w:pStyle w:val="ActHead5"/>
      </w:pPr>
      <w:bookmarkStart w:id="2576" w:name="_Toc151994567"/>
      <w:bookmarkStart w:id="2577" w:name="_Toc158713077"/>
      <w:r w:rsidRPr="000D40D5">
        <w:rPr>
          <w:rStyle w:val="CharSectno"/>
        </w:rPr>
        <w:t>10.2.98A</w:t>
      </w:r>
      <w:r w:rsidRPr="00D97EFB">
        <w:t xml:space="preserve">  Licenses, registration, etc in force before FSR commencement</w:t>
      </w:r>
      <w:bookmarkEnd w:id="2576"/>
      <w:bookmarkEnd w:id="2577"/>
    </w:p>
    <w:p w14:paraId="0D857F5D" w14:textId="77777777" w:rsidR="00E93F58" w:rsidRPr="00D97EFB" w:rsidRDefault="00E93F58" w:rsidP="00BB7E31">
      <w:pPr>
        <w:pStyle w:val="subsection"/>
      </w:pPr>
      <w:r w:rsidRPr="00D97EFB">
        <w:tab/>
        <w:t>(1)</w:t>
      </w:r>
      <w:r w:rsidRPr="00D97EFB">
        <w:tab/>
        <w:t>For section 1444 of the Act, this regulation applies if:</w:t>
      </w:r>
    </w:p>
    <w:p w14:paraId="5573D5FF" w14:textId="77777777" w:rsidR="00E93F58" w:rsidRPr="00D97EFB" w:rsidRDefault="00E93F58" w:rsidP="00BB7E31">
      <w:pPr>
        <w:pStyle w:val="paragraph"/>
      </w:pPr>
      <w:r w:rsidRPr="00D97EFB">
        <w:tab/>
        <w:t>(a)</w:t>
      </w:r>
      <w:r w:rsidRPr="00D97EFB">
        <w:tab/>
        <w:t xml:space="preserve">a person held a licence (the </w:t>
      </w:r>
      <w:r w:rsidRPr="00D97EFB">
        <w:rPr>
          <w:b/>
          <w:i/>
        </w:rPr>
        <w:t>old licence</w:t>
      </w:r>
      <w:r w:rsidRPr="00D97EFB">
        <w:t>) under the old Corporations Act immediately before the FSR commencement in relation to an activity; and</w:t>
      </w:r>
    </w:p>
    <w:p w14:paraId="57E56EDA" w14:textId="77777777" w:rsidR="00E93F58" w:rsidRPr="00D97EFB" w:rsidRDefault="00E93F58" w:rsidP="00BB7E31">
      <w:pPr>
        <w:pStyle w:val="paragraph"/>
      </w:pPr>
      <w:r w:rsidRPr="00D97EFB">
        <w:tab/>
        <w:t>(b)</w:t>
      </w:r>
      <w:r w:rsidRPr="00D97EFB">
        <w:tab/>
        <w:t>the person holds a financial services licence that applies to the same activity; and</w:t>
      </w:r>
    </w:p>
    <w:p w14:paraId="17DA8B85" w14:textId="77777777" w:rsidR="00E93F58" w:rsidRPr="00D97EFB" w:rsidRDefault="00E93F58" w:rsidP="00BB7E31">
      <w:pPr>
        <w:pStyle w:val="paragraph"/>
      </w:pPr>
      <w:r w:rsidRPr="00D97EFB">
        <w:tab/>
        <w:t>(c)</w:t>
      </w:r>
      <w:r w:rsidRPr="00D97EFB">
        <w:tab/>
        <w:t>ASIC identifies a matter that occurred, before the person held a financial services licence in relation to the activity, in relation to which ASIC would have had the power under the old Corporations Act:</w:t>
      </w:r>
    </w:p>
    <w:p w14:paraId="36273D7E" w14:textId="77777777" w:rsidR="00E93F58" w:rsidRPr="00D97EFB" w:rsidRDefault="00E93F58" w:rsidP="00BB7E31">
      <w:pPr>
        <w:pStyle w:val="paragraphsub"/>
      </w:pPr>
      <w:r w:rsidRPr="00D97EFB">
        <w:tab/>
        <w:t>(i)</w:t>
      </w:r>
      <w:r w:rsidRPr="00D97EFB">
        <w:tab/>
        <w:t>to suspend or cancel the old licence; or</w:t>
      </w:r>
    </w:p>
    <w:p w14:paraId="1A6ECBE4" w14:textId="77777777" w:rsidR="00E93F58" w:rsidRPr="00D97EFB" w:rsidRDefault="00E93F58" w:rsidP="00BB7E31">
      <w:pPr>
        <w:pStyle w:val="paragraphsub"/>
      </w:pPr>
      <w:r w:rsidRPr="00D97EFB">
        <w:tab/>
        <w:t>(ii)</w:t>
      </w:r>
      <w:r w:rsidRPr="00D97EFB">
        <w:tab/>
        <w:t>to impose conditions on the old licence; or</w:t>
      </w:r>
    </w:p>
    <w:p w14:paraId="27909763" w14:textId="77777777" w:rsidR="00E93F58" w:rsidRPr="00D97EFB" w:rsidRDefault="00E93F58" w:rsidP="00BB7E31">
      <w:pPr>
        <w:pStyle w:val="paragraphsub"/>
      </w:pPr>
      <w:r w:rsidRPr="00D97EFB">
        <w:tab/>
        <w:t>(iii)</w:t>
      </w:r>
      <w:r w:rsidRPr="00D97EFB">
        <w:tab/>
        <w:t>to vary or revoke a condition to which the old licence was subject.</w:t>
      </w:r>
    </w:p>
    <w:p w14:paraId="710C7539" w14:textId="77777777" w:rsidR="00E93F58" w:rsidRPr="00D97EFB" w:rsidRDefault="00E93F58" w:rsidP="00BB7E31">
      <w:pPr>
        <w:pStyle w:val="subsection"/>
      </w:pPr>
      <w:r w:rsidRPr="00D97EFB">
        <w:tab/>
        <w:t>(2)</w:t>
      </w:r>
      <w:r w:rsidRPr="00D97EFB">
        <w:tab/>
        <w:t>On and after the FSR commencement, ASIC’s power under the Act to suspend or cancel the financial services licence mentioned in paragraph (1)(b) is taken to include the power to suspend or cancel the financial services licence:</w:t>
      </w:r>
    </w:p>
    <w:p w14:paraId="05F9F7C2" w14:textId="77777777" w:rsidR="00E93F58" w:rsidRPr="00D97EFB" w:rsidRDefault="00E93F58" w:rsidP="00BB7E31">
      <w:pPr>
        <w:pStyle w:val="paragraph"/>
      </w:pPr>
      <w:r w:rsidRPr="00D97EFB">
        <w:tab/>
        <w:t>(a)</w:t>
      </w:r>
      <w:r w:rsidRPr="00D97EFB">
        <w:tab/>
        <w:t>in order to achieve an outcome that ASIC could have achieved by the exercise of the power mentioned in paragraph (1)(c); and</w:t>
      </w:r>
    </w:p>
    <w:p w14:paraId="61A27E41" w14:textId="77777777" w:rsidR="00E93F58" w:rsidRPr="00D97EFB" w:rsidRDefault="00E93F58" w:rsidP="00BB7E31">
      <w:pPr>
        <w:pStyle w:val="paragraph"/>
      </w:pPr>
      <w:r w:rsidRPr="00D97EFB">
        <w:tab/>
        <w:t>(b)</w:t>
      </w:r>
      <w:r w:rsidRPr="00D97EFB">
        <w:tab/>
        <w:t>in any way that was authorised under the old Act.</w:t>
      </w:r>
    </w:p>
    <w:p w14:paraId="31D266F8" w14:textId="77777777" w:rsidR="00E93F58" w:rsidRPr="00D97EFB" w:rsidRDefault="00E93F58" w:rsidP="00BB7E31">
      <w:pPr>
        <w:pStyle w:val="subsection"/>
      </w:pPr>
      <w:r w:rsidRPr="00D97EFB">
        <w:tab/>
        <w:t>(3)</w:t>
      </w:r>
      <w:r w:rsidRPr="00D97EFB">
        <w:tab/>
        <w:t>On and after the FSR commencement, ASIC’s power under the Act to impose conditions on the financial services licence mentioned in paragraph (1)(b) is taken to include the power to impose conditions:</w:t>
      </w:r>
    </w:p>
    <w:p w14:paraId="6FC50C63" w14:textId="77777777" w:rsidR="00E93F58" w:rsidRPr="00D97EFB" w:rsidRDefault="00E93F58" w:rsidP="00BB7E31">
      <w:pPr>
        <w:pStyle w:val="paragraph"/>
      </w:pPr>
      <w:r w:rsidRPr="00D97EFB">
        <w:tab/>
        <w:t>(a)</w:t>
      </w:r>
      <w:r w:rsidRPr="00D97EFB">
        <w:tab/>
        <w:t>in order to achieve an outcome that ASIC could have achieved by the exercise of the power mentioned in paragraph (1)(c); and</w:t>
      </w:r>
    </w:p>
    <w:p w14:paraId="75791910" w14:textId="77777777" w:rsidR="00E93F58" w:rsidRPr="00D97EFB" w:rsidRDefault="00E93F58" w:rsidP="00BB7E31">
      <w:pPr>
        <w:pStyle w:val="paragraph"/>
      </w:pPr>
      <w:r w:rsidRPr="00D97EFB">
        <w:tab/>
        <w:t>(b)</w:t>
      </w:r>
      <w:r w:rsidRPr="00D97EFB">
        <w:tab/>
        <w:t>in any way that was authorised under the old Act.</w:t>
      </w:r>
    </w:p>
    <w:p w14:paraId="41C3789E" w14:textId="77777777" w:rsidR="00E93F58" w:rsidRPr="00D97EFB" w:rsidRDefault="00E93F58" w:rsidP="00BB7E31">
      <w:pPr>
        <w:pStyle w:val="subsection"/>
      </w:pPr>
      <w:r w:rsidRPr="00D97EFB">
        <w:tab/>
        <w:t>(4)</w:t>
      </w:r>
      <w:r w:rsidRPr="00D97EFB">
        <w:tab/>
        <w:t>On and after the FSR commencement, ASIC’s power under the Act to vary or revoke a condition to which the financial services licence mentioned in paragraph (1)(b) is taken to include the power to vary or revoke a condition:</w:t>
      </w:r>
    </w:p>
    <w:p w14:paraId="02F71E58" w14:textId="77777777" w:rsidR="00E93F58" w:rsidRPr="00D97EFB" w:rsidRDefault="00E93F58" w:rsidP="00BB7E31">
      <w:pPr>
        <w:pStyle w:val="paragraph"/>
      </w:pPr>
      <w:r w:rsidRPr="00D97EFB">
        <w:tab/>
        <w:t>(a)</w:t>
      </w:r>
      <w:r w:rsidRPr="00D97EFB">
        <w:tab/>
        <w:t>in order to achieve an outcome that ASIC could have achieved by the exercise of the power mentioned in paragraph (1)(c); and</w:t>
      </w:r>
    </w:p>
    <w:p w14:paraId="5D53BA62" w14:textId="77777777" w:rsidR="00E93F58" w:rsidRPr="00D97EFB" w:rsidRDefault="00E93F58" w:rsidP="00BB7E31">
      <w:pPr>
        <w:pStyle w:val="paragraph"/>
      </w:pPr>
      <w:r w:rsidRPr="00D97EFB">
        <w:tab/>
        <w:t>(b)</w:t>
      </w:r>
      <w:r w:rsidRPr="00D97EFB">
        <w:tab/>
        <w:t>in any way that was authorised under the old Act.</w:t>
      </w:r>
    </w:p>
    <w:p w14:paraId="70222615" w14:textId="77777777" w:rsidR="00E93F58" w:rsidRPr="00D97EFB" w:rsidRDefault="00E93F58" w:rsidP="009C346E">
      <w:pPr>
        <w:pStyle w:val="ActHead3"/>
        <w:pageBreakBefore/>
        <w:rPr>
          <w:color w:val="000000"/>
        </w:rPr>
      </w:pPr>
      <w:bookmarkStart w:id="2578" w:name="_Toc151994568"/>
      <w:bookmarkStart w:id="2579" w:name="_Toc158713078"/>
      <w:r w:rsidRPr="000D40D5">
        <w:rPr>
          <w:rStyle w:val="CharDivNo"/>
        </w:rPr>
        <w:lastRenderedPageBreak/>
        <w:t>Division 19</w:t>
      </w:r>
      <w:r w:rsidRPr="00D97EFB">
        <w:rPr>
          <w:color w:val="000000"/>
        </w:rPr>
        <w:t>—</w:t>
      </w:r>
      <w:r w:rsidRPr="000D40D5">
        <w:rPr>
          <w:rStyle w:val="CharDivText"/>
        </w:rPr>
        <w:t>Extension of limitation periods</w:t>
      </w:r>
      <w:bookmarkEnd w:id="2578"/>
      <w:bookmarkEnd w:id="2579"/>
    </w:p>
    <w:p w14:paraId="691BD45C" w14:textId="77777777" w:rsidR="00E93F58" w:rsidRPr="00D97EFB" w:rsidRDefault="00E93F58" w:rsidP="00BB7E31">
      <w:pPr>
        <w:pStyle w:val="ActHead5"/>
      </w:pPr>
      <w:bookmarkStart w:id="2580" w:name="_Toc151994569"/>
      <w:bookmarkStart w:id="2581" w:name="_Toc158713079"/>
      <w:r w:rsidRPr="000D40D5">
        <w:rPr>
          <w:rStyle w:val="CharSectno"/>
        </w:rPr>
        <w:t>10.2.99</w:t>
      </w:r>
      <w:r w:rsidRPr="00D97EFB">
        <w:t xml:space="preserve">  Application of items 111 and 121 of the </w:t>
      </w:r>
      <w:r w:rsidRPr="00D97EFB">
        <w:rPr>
          <w:i/>
        </w:rPr>
        <w:t xml:space="preserve">Financial Services Reform (Consequential Provisions) Act 2001 </w:t>
      </w:r>
      <w:r w:rsidRPr="00D97EFB">
        <w:t xml:space="preserve">to amendments of the </w:t>
      </w:r>
      <w:r w:rsidRPr="00D97EFB">
        <w:rPr>
          <w:i/>
        </w:rPr>
        <w:t>Australian Securities and Investments Commission Act 2001</w:t>
      </w:r>
      <w:bookmarkEnd w:id="2580"/>
      <w:bookmarkEnd w:id="2581"/>
    </w:p>
    <w:p w14:paraId="6BAEBA71" w14:textId="77777777" w:rsidR="00E93F58" w:rsidRPr="00D97EFB" w:rsidRDefault="00E93F58" w:rsidP="00BB7E31">
      <w:pPr>
        <w:pStyle w:val="subsection"/>
      </w:pPr>
      <w:r w:rsidRPr="00D97EFB">
        <w:tab/>
        <w:t>(1)</w:t>
      </w:r>
      <w:r w:rsidRPr="00D97EFB">
        <w:tab/>
        <w:t>This regulation applies in relation to:</w:t>
      </w:r>
    </w:p>
    <w:p w14:paraId="293365E8" w14:textId="77777777" w:rsidR="00E93F58" w:rsidRPr="00D97EFB" w:rsidRDefault="00E93F58" w:rsidP="00BB7E31">
      <w:pPr>
        <w:pStyle w:val="paragraph"/>
      </w:pPr>
      <w:r w:rsidRPr="00D97EFB">
        <w:rPr>
          <w:color w:val="000000"/>
        </w:rPr>
        <w:tab/>
        <w:t>(a)</w:t>
      </w:r>
      <w:r w:rsidRPr="00D97EFB">
        <w:rPr>
          <w:color w:val="000000"/>
        </w:rPr>
        <w:tab/>
        <w:t xml:space="preserve">the amendment of subsection 12GF(2) of the </w:t>
      </w:r>
      <w:r w:rsidRPr="00D97EFB">
        <w:rPr>
          <w:i/>
          <w:color w:val="000000"/>
        </w:rPr>
        <w:t>Australian Securities and Investments Commission Act 2001</w:t>
      </w:r>
      <w:r w:rsidRPr="00D97EFB">
        <w:rPr>
          <w:color w:val="000000"/>
        </w:rPr>
        <w:t xml:space="preserve"> made by item 111 of Schedule 1 to the </w:t>
      </w:r>
      <w:r w:rsidRPr="00D97EFB">
        <w:rPr>
          <w:i/>
          <w:color w:val="000000"/>
        </w:rPr>
        <w:t>Financial Services Reform (Consequential Provisions) Act 2001</w:t>
      </w:r>
      <w:r w:rsidRPr="00D97EFB">
        <w:rPr>
          <w:color w:val="000000"/>
        </w:rPr>
        <w:t>; and</w:t>
      </w:r>
    </w:p>
    <w:p w14:paraId="33D93BA4" w14:textId="77777777" w:rsidR="00E93F58" w:rsidRPr="00D97EFB" w:rsidRDefault="00E93F58" w:rsidP="00BB7E31">
      <w:pPr>
        <w:pStyle w:val="paragraph"/>
      </w:pPr>
      <w:r w:rsidRPr="00D97EFB">
        <w:tab/>
        <w:t>(b)</w:t>
      </w:r>
      <w:r w:rsidRPr="00D97EFB">
        <w:tab/>
        <w:t xml:space="preserve">the amendment of subsection 12GM(5) of the </w:t>
      </w:r>
      <w:r w:rsidRPr="00D97EFB">
        <w:rPr>
          <w:i/>
        </w:rPr>
        <w:t>Australian Securities and Investments Commission Act 2001</w:t>
      </w:r>
      <w:r w:rsidRPr="00D97EFB">
        <w:t xml:space="preserve"> made by item 121 of Schedule 1 to the </w:t>
      </w:r>
      <w:r w:rsidRPr="00D97EFB">
        <w:rPr>
          <w:i/>
        </w:rPr>
        <w:t>Financial Services Reform (Consequential Provisions) Act 2001</w:t>
      </w:r>
      <w:r w:rsidRPr="00D97EFB">
        <w:t>.</w:t>
      </w:r>
    </w:p>
    <w:p w14:paraId="2FD1CB8F" w14:textId="77777777" w:rsidR="00E93F58" w:rsidRPr="00D97EFB" w:rsidRDefault="00E93F58" w:rsidP="00BB7E31">
      <w:pPr>
        <w:pStyle w:val="subsection"/>
        <w:rPr>
          <w:snapToGrid w:val="0"/>
        </w:rPr>
      </w:pPr>
      <w:r w:rsidRPr="00D97EFB">
        <w:rPr>
          <w:snapToGrid w:val="0"/>
          <w:color w:val="000000"/>
        </w:rPr>
        <w:tab/>
        <w:t>(2)</w:t>
      </w:r>
      <w:r w:rsidRPr="00D97EFB">
        <w:rPr>
          <w:snapToGrid w:val="0"/>
          <w:color w:val="000000"/>
        </w:rPr>
        <w:tab/>
        <w:t>The amendment applies in relation to conduct engaged in on or after the commencement of that item.</w:t>
      </w:r>
    </w:p>
    <w:p w14:paraId="1E7B03A5" w14:textId="77777777" w:rsidR="00E93F58" w:rsidRPr="00D97EFB" w:rsidRDefault="00E93F58" w:rsidP="00BB7E31">
      <w:pPr>
        <w:pStyle w:val="subsection"/>
      </w:pPr>
      <w:r w:rsidRPr="00D97EFB">
        <w:rPr>
          <w:snapToGrid w:val="0"/>
        </w:rPr>
        <w:tab/>
        <w:t>(3)</w:t>
      </w:r>
      <w:r w:rsidRPr="00D97EFB">
        <w:rPr>
          <w:snapToGrid w:val="0"/>
        </w:rPr>
        <w:tab/>
        <w:t xml:space="preserve">The amendment also applies in relation to </w:t>
      </w:r>
      <w:r w:rsidRPr="00D97EFB">
        <w:t>conduct engaged in before the commencement of that item, but only if the period that:</w:t>
      </w:r>
    </w:p>
    <w:p w14:paraId="70478A7C" w14:textId="77777777" w:rsidR="00E93F58" w:rsidRPr="00D97EFB" w:rsidRDefault="00E93F58" w:rsidP="00BB7E31">
      <w:pPr>
        <w:pStyle w:val="paragraph"/>
        <w:rPr>
          <w:color w:val="000000"/>
        </w:rPr>
      </w:pPr>
      <w:r w:rsidRPr="00D97EFB">
        <w:rPr>
          <w:color w:val="000000"/>
        </w:rPr>
        <w:tab/>
        <w:t>(a)</w:t>
      </w:r>
      <w:r w:rsidRPr="00D97EFB">
        <w:rPr>
          <w:color w:val="000000"/>
        </w:rPr>
        <w:tab/>
        <w:t>relates to the conduct; or</w:t>
      </w:r>
    </w:p>
    <w:p w14:paraId="0398A412" w14:textId="77777777" w:rsidR="00E93F58" w:rsidRPr="00D97EFB" w:rsidRDefault="00E93F58" w:rsidP="00BB7E31">
      <w:pPr>
        <w:pStyle w:val="paragraph"/>
      </w:pPr>
      <w:r w:rsidRPr="00D97EFB">
        <w:tab/>
        <w:t>(b)</w:t>
      </w:r>
      <w:r w:rsidRPr="00D97EFB">
        <w:tab/>
        <w:t>applied under subsection 12GF(2) or 12GM(5) before the commencement of that item;</w:t>
      </w:r>
    </w:p>
    <w:p w14:paraId="11DB051B" w14:textId="77777777" w:rsidR="00E93F58" w:rsidRPr="00D97EFB" w:rsidRDefault="00E93F58" w:rsidP="00BB7E31">
      <w:pPr>
        <w:pStyle w:val="subsection2"/>
      </w:pPr>
      <w:r w:rsidRPr="00D97EFB">
        <w:rPr>
          <w:color w:val="000000"/>
        </w:rPr>
        <w:t>had not ended when that item commenced.</w:t>
      </w:r>
    </w:p>
    <w:p w14:paraId="1A5FA9FD" w14:textId="77777777" w:rsidR="00E93F58" w:rsidRPr="00D97EFB" w:rsidRDefault="00E93F58" w:rsidP="00612CF8">
      <w:pPr>
        <w:pStyle w:val="ActHead3"/>
        <w:pageBreakBefore/>
      </w:pPr>
      <w:bookmarkStart w:id="2582" w:name="_Toc151994570"/>
      <w:bookmarkStart w:id="2583" w:name="_Toc158713080"/>
      <w:r w:rsidRPr="000D40D5">
        <w:rPr>
          <w:rStyle w:val="CharDivNo"/>
        </w:rPr>
        <w:lastRenderedPageBreak/>
        <w:t>Division 20</w:t>
      </w:r>
      <w:r w:rsidRPr="00D97EFB">
        <w:rPr>
          <w:color w:val="000000"/>
        </w:rPr>
        <w:t>—</w:t>
      </w:r>
      <w:r w:rsidRPr="000D40D5">
        <w:rPr>
          <w:rStyle w:val="CharDivText"/>
        </w:rPr>
        <w:t>Rules for dealing with liability during transition period</w:t>
      </w:r>
      <w:bookmarkEnd w:id="2582"/>
      <w:bookmarkEnd w:id="2583"/>
    </w:p>
    <w:p w14:paraId="630905D5" w14:textId="77777777" w:rsidR="00E93F58" w:rsidRPr="00D97EFB" w:rsidRDefault="00E93F58" w:rsidP="00BB7E31">
      <w:pPr>
        <w:pStyle w:val="ActHead5"/>
      </w:pPr>
      <w:bookmarkStart w:id="2584" w:name="_Toc151994571"/>
      <w:bookmarkStart w:id="2585" w:name="_Toc158713081"/>
      <w:r w:rsidRPr="000D40D5">
        <w:rPr>
          <w:rStyle w:val="CharSectno"/>
        </w:rPr>
        <w:t>10.2.100</w:t>
      </w:r>
      <w:r w:rsidRPr="00D97EFB">
        <w:t xml:space="preserve">  Application of Division 20</w:t>
      </w:r>
      <w:bookmarkEnd w:id="2584"/>
      <w:bookmarkEnd w:id="2585"/>
    </w:p>
    <w:p w14:paraId="6C319BAF" w14:textId="77777777" w:rsidR="00E93F58" w:rsidRPr="00D97EFB" w:rsidRDefault="00E93F58" w:rsidP="00BB7E31">
      <w:pPr>
        <w:pStyle w:val="subsection"/>
      </w:pPr>
      <w:r w:rsidRPr="00D97EFB">
        <w:tab/>
        <w:t>(1)</w:t>
      </w:r>
      <w:r w:rsidRPr="00D97EFB">
        <w:tab/>
        <w:t>This Division sets out rules for determining the liability of a responsible person under:</w:t>
      </w:r>
    </w:p>
    <w:p w14:paraId="462E8A93" w14:textId="77777777" w:rsidR="00E93F58" w:rsidRPr="00D97EFB" w:rsidRDefault="00E93F58" w:rsidP="00BB7E31">
      <w:pPr>
        <w:pStyle w:val="paragraph"/>
      </w:pPr>
      <w:r w:rsidRPr="00D97EFB">
        <w:rPr>
          <w:color w:val="000000"/>
        </w:rPr>
        <w:tab/>
        <w:t>(a)</w:t>
      </w:r>
      <w:r w:rsidRPr="00D97EFB">
        <w:rPr>
          <w:color w:val="000000"/>
        </w:rPr>
        <w:tab/>
        <w:t>the relevant old legislation; or</w:t>
      </w:r>
    </w:p>
    <w:p w14:paraId="028708F1" w14:textId="77777777" w:rsidR="00E93F58" w:rsidRPr="00D97EFB" w:rsidRDefault="00E93F58" w:rsidP="00BB7E31">
      <w:pPr>
        <w:pStyle w:val="paragraph"/>
      </w:pPr>
      <w:r w:rsidRPr="00D97EFB">
        <w:tab/>
        <w:t>(b)</w:t>
      </w:r>
      <w:r w:rsidRPr="00D97EFB">
        <w:tab/>
        <w:t>the amended Corporations Act;</w:t>
      </w:r>
    </w:p>
    <w:p w14:paraId="116EA95F" w14:textId="77777777" w:rsidR="00E93F58" w:rsidRPr="00D97EFB" w:rsidRDefault="00E93F58" w:rsidP="00BB7E31">
      <w:pPr>
        <w:pStyle w:val="subsection2"/>
      </w:pPr>
      <w:r w:rsidRPr="00D97EFB">
        <w:rPr>
          <w:color w:val="000000"/>
        </w:rPr>
        <w:t>in relation to conduct engaged in, during the transition period, by a representative in respect of more than 1 principal.</w:t>
      </w:r>
    </w:p>
    <w:p w14:paraId="5D644E3F" w14:textId="77777777" w:rsidR="00E93F58" w:rsidRPr="00D97EFB" w:rsidRDefault="00E93F58" w:rsidP="00BB7E31">
      <w:pPr>
        <w:pStyle w:val="notetext"/>
      </w:pPr>
      <w:r w:rsidRPr="00D97EFB">
        <w:rPr>
          <w:color w:val="000000"/>
        </w:rPr>
        <w:t>Note:</w:t>
      </w:r>
      <w:r w:rsidRPr="00D97EFB">
        <w:rPr>
          <w:color w:val="000000"/>
        </w:rPr>
        <w:tab/>
        <w:t xml:space="preserve">The </w:t>
      </w:r>
      <w:r w:rsidRPr="00D97EFB">
        <w:rPr>
          <w:i/>
          <w:color w:val="000000"/>
        </w:rPr>
        <w:t>Corporations Act 2001</w:t>
      </w:r>
      <w:r w:rsidRPr="00D97EFB">
        <w:rPr>
          <w:color w:val="000000"/>
        </w:rPr>
        <w:t xml:space="preserve"> has been amended by the </w:t>
      </w:r>
      <w:r w:rsidRPr="00D97EFB">
        <w:rPr>
          <w:i/>
          <w:color w:val="000000"/>
        </w:rPr>
        <w:t>Financial Services Reform (Consequential Provisions) Act 2001</w:t>
      </w:r>
      <w:r w:rsidRPr="00D97EFB">
        <w:rPr>
          <w:color w:val="000000"/>
        </w:rPr>
        <w:t>. The Consequential Provisions Act includes a two</w:t>
      </w:r>
      <w:r>
        <w:rPr>
          <w:color w:val="000000"/>
        </w:rPr>
        <w:noBreakHyphen/>
      </w:r>
      <w:r w:rsidRPr="00D97EFB">
        <w:rPr>
          <w:color w:val="000000"/>
        </w:rPr>
        <w:t>year transition period during which certain conduct, described in Part 10.2 of the Corporations Act, will be regulated under either the legal regime in force before the amendments or under the new version of the Corporations Act.</w:t>
      </w:r>
    </w:p>
    <w:p w14:paraId="6C1AA239" w14:textId="77777777" w:rsidR="00E93F58" w:rsidRPr="00D97EFB" w:rsidRDefault="00E93F58" w:rsidP="00BB7E31">
      <w:pPr>
        <w:pStyle w:val="notetext"/>
      </w:pPr>
      <w:r w:rsidRPr="00D97EFB">
        <w:tab/>
        <w:t>If a person continues a business during the transition period, and is to be regulated under the legal regime in force before the amendments, the person will be subject to the relevant law that regulated (or would have regulated) their conduct before the amendments.  This is referred to in section 1430 of the Corporations Act as the ‘relevant old legislation’.</w:t>
      </w:r>
    </w:p>
    <w:p w14:paraId="54CE4EA8" w14:textId="77777777" w:rsidR="00E93F58" w:rsidRPr="00D97EFB" w:rsidRDefault="00E93F58" w:rsidP="00BB7E31">
      <w:pPr>
        <w:pStyle w:val="notetext"/>
      </w:pPr>
      <w:r w:rsidRPr="00D97EFB">
        <w:tab/>
        <w:t xml:space="preserve">Therefore, after the commencement of the amendments, a person may be a </w:t>
      </w:r>
      <w:r w:rsidRPr="00D97EFB">
        <w:rPr>
          <w:b/>
          <w:i/>
        </w:rPr>
        <w:t>principal</w:t>
      </w:r>
      <w:r w:rsidRPr="00D97EFB">
        <w:t xml:space="preserve"> under either or both legal regime. This Division deals with the liability of either kind of principal in relation to a client and the conduct of a representative of that principal.</w:t>
      </w:r>
    </w:p>
    <w:p w14:paraId="09AC56E1" w14:textId="77777777" w:rsidR="00E93F58" w:rsidRPr="00D97EFB" w:rsidRDefault="00E93F58" w:rsidP="00BB7E31">
      <w:pPr>
        <w:pStyle w:val="subsection"/>
      </w:pPr>
      <w:r w:rsidRPr="00D97EFB">
        <w:rPr>
          <w:color w:val="000000"/>
        </w:rPr>
        <w:tab/>
        <w:t>(2)</w:t>
      </w:r>
      <w:r w:rsidRPr="00D97EFB">
        <w:rPr>
          <w:color w:val="000000"/>
        </w:rPr>
        <w:tab/>
        <w:t>Nothing in this Division is intended to apply a provision of the relevant old legislation to a person that is not a regulated principal.</w:t>
      </w:r>
    </w:p>
    <w:p w14:paraId="338DB308" w14:textId="77777777" w:rsidR="00E93F58" w:rsidRPr="00D97EFB" w:rsidRDefault="00E93F58" w:rsidP="00BB7E31">
      <w:pPr>
        <w:pStyle w:val="ActHead5"/>
      </w:pPr>
      <w:bookmarkStart w:id="2586" w:name="_Toc151994572"/>
      <w:bookmarkStart w:id="2587" w:name="_Toc158713082"/>
      <w:r w:rsidRPr="000D40D5">
        <w:rPr>
          <w:rStyle w:val="CharSectno"/>
        </w:rPr>
        <w:t>10.2.101</w:t>
      </w:r>
      <w:r w:rsidRPr="00D97EFB">
        <w:t xml:space="preserve">  Definitions for Division 20</w:t>
      </w:r>
      <w:bookmarkEnd w:id="2586"/>
      <w:bookmarkEnd w:id="2587"/>
    </w:p>
    <w:p w14:paraId="5E1A03B6" w14:textId="77777777" w:rsidR="00E93F58" w:rsidRPr="00D97EFB" w:rsidRDefault="00E93F58" w:rsidP="00BB7E31">
      <w:pPr>
        <w:pStyle w:val="subsection"/>
      </w:pPr>
      <w:r w:rsidRPr="00D97EFB">
        <w:tab/>
      </w:r>
      <w:r w:rsidRPr="00D97EFB">
        <w:tab/>
        <w:t>In this Division:</w:t>
      </w:r>
    </w:p>
    <w:p w14:paraId="270D33BC" w14:textId="77777777" w:rsidR="00E93F58" w:rsidRPr="00D97EFB" w:rsidRDefault="00E93F58" w:rsidP="00BB7E31">
      <w:pPr>
        <w:pStyle w:val="Definition"/>
      </w:pPr>
      <w:r w:rsidRPr="00D97EFB">
        <w:rPr>
          <w:b/>
          <w:i/>
          <w:color w:val="000000"/>
        </w:rPr>
        <w:t>FSR principal</w:t>
      </w:r>
      <w:r w:rsidRPr="00D97EFB">
        <w:rPr>
          <w:color w:val="000000"/>
        </w:rPr>
        <w:t xml:space="preserve"> means a person </w:t>
      </w:r>
      <w:r w:rsidRPr="00D97EFB">
        <w:t>to whom an Australian financial services licence has been granted.</w:t>
      </w:r>
    </w:p>
    <w:p w14:paraId="40868C3D" w14:textId="77777777" w:rsidR="00E93F58" w:rsidRPr="00D97EFB" w:rsidRDefault="00E93F58" w:rsidP="00BB7E31">
      <w:pPr>
        <w:pStyle w:val="Definition"/>
      </w:pPr>
      <w:r w:rsidRPr="00D97EFB">
        <w:rPr>
          <w:b/>
          <w:i/>
          <w:color w:val="000000"/>
        </w:rPr>
        <w:t>non</w:t>
      </w:r>
      <w:r>
        <w:rPr>
          <w:b/>
          <w:i/>
          <w:color w:val="000000"/>
        </w:rPr>
        <w:noBreakHyphen/>
      </w:r>
      <w:r w:rsidRPr="00D97EFB">
        <w:rPr>
          <w:b/>
          <w:i/>
          <w:color w:val="000000"/>
        </w:rPr>
        <w:t xml:space="preserve">FSR principal </w:t>
      </w:r>
      <w:r w:rsidRPr="00D97EFB">
        <w:t>means any person who provides financial services as a principal, and who is not an FSR principal during the transitional period, including the following persons:</w:t>
      </w:r>
    </w:p>
    <w:p w14:paraId="04BECAF1" w14:textId="77777777" w:rsidR="00E93F58" w:rsidRPr="00D97EFB" w:rsidRDefault="00E93F58" w:rsidP="00BB7E31">
      <w:pPr>
        <w:pStyle w:val="paragraph"/>
        <w:rPr>
          <w:color w:val="000000"/>
        </w:rPr>
      </w:pPr>
      <w:r w:rsidRPr="00D97EFB">
        <w:rPr>
          <w:color w:val="000000"/>
        </w:rPr>
        <w:tab/>
        <w:t>(a)</w:t>
      </w:r>
      <w:r w:rsidRPr="00D97EFB">
        <w:rPr>
          <w:color w:val="000000"/>
        </w:rPr>
        <w:tab/>
        <w:t>an insurer to which paragraph 1436A(2)(d) of the Act applies (in relation to activities and insurance agents to which section 1436A of the Act applies);</w:t>
      </w:r>
    </w:p>
    <w:p w14:paraId="267C3DAB" w14:textId="77777777" w:rsidR="00E93F58" w:rsidRPr="00D97EFB" w:rsidRDefault="00E93F58" w:rsidP="00BB7E31">
      <w:pPr>
        <w:pStyle w:val="paragraph"/>
      </w:pPr>
      <w:r w:rsidRPr="00D97EFB">
        <w:tab/>
        <w:t>(b)</w:t>
      </w:r>
      <w:r w:rsidRPr="00D97EFB">
        <w:tab/>
        <w:t>a regulated principal (in relation to regulated activities to which section 1431 of the Act applies).</w:t>
      </w:r>
    </w:p>
    <w:p w14:paraId="075692DB" w14:textId="77777777" w:rsidR="00E93F58" w:rsidRPr="00D97EFB" w:rsidRDefault="00E93F58" w:rsidP="00BB7E31">
      <w:pPr>
        <w:pStyle w:val="Definition"/>
      </w:pPr>
      <w:r w:rsidRPr="00D97EFB">
        <w:rPr>
          <w:b/>
          <w:i/>
          <w:color w:val="000000"/>
        </w:rPr>
        <w:t>principal</w:t>
      </w:r>
      <w:r w:rsidRPr="00D97EFB">
        <w:rPr>
          <w:color w:val="000000"/>
        </w:rPr>
        <w:t xml:space="preserve"> means an FSR principal or a non</w:t>
      </w:r>
      <w:r>
        <w:rPr>
          <w:color w:val="000000"/>
        </w:rPr>
        <w:noBreakHyphen/>
      </w:r>
      <w:r w:rsidRPr="00D97EFB">
        <w:rPr>
          <w:color w:val="000000"/>
        </w:rPr>
        <w:t>FSR principal.</w:t>
      </w:r>
    </w:p>
    <w:p w14:paraId="1F4C84D9" w14:textId="77777777" w:rsidR="00E93F58" w:rsidRPr="00D97EFB" w:rsidRDefault="00E93F58" w:rsidP="00BB7E31">
      <w:pPr>
        <w:pStyle w:val="Definition"/>
      </w:pPr>
      <w:r w:rsidRPr="00D97EFB">
        <w:rPr>
          <w:b/>
          <w:i/>
          <w:color w:val="000000"/>
        </w:rPr>
        <w:t>representative</w:t>
      </w:r>
      <w:r w:rsidRPr="00D97EFB">
        <w:t xml:space="preserve"> means a person who:</w:t>
      </w:r>
    </w:p>
    <w:p w14:paraId="55912F87" w14:textId="77777777" w:rsidR="00E93F58" w:rsidRPr="00D97EFB" w:rsidRDefault="00E93F58" w:rsidP="00BB7E31">
      <w:pPr>
        <w:pStyle w:val="paragraph"/>
        <w:rPr>
          <w:color w:val="000000"/>
        </w:rPr>
      </w:pPr>
      <w:r w:rsidRPr="00D97EFB">
        <w:rPr>
          <w:color w:val="000000"/>
        </w:rPr>
        <w:tab/>
        <w:t>(a)</w:t>
      </w:r>
      <w:r w:rsidRPr="00D97EFB">
        <w:rPr>
          <w:color w:val="000000"/>
        </w:rPr>
        <w:tab/>
        <w:t>provides financial services on behalf of a principal; or</w:t>
      </w:r>
    </w:p>
    <w:p w14:paraId="3DD93ECF" w14:textId="77777777" w:rsidR="00E93F58" w:rsidRPr="00D97EFB" w:rsidRDefault="00E93F58" w:rsidP="00BB7E31">
      <w:pPr>
        <w:pStyle w:val="paragraph"/>
      </w:pPr>
      <w:r w:rsidRPr="00D97EFB">
        <w:tab/>
        <w:t>(b)</w:t>
      </w:r>
      <w:r w:rsidRPr="00D97EFB">
        <w:tab/>
        <w:t>otherwise acts on behalf of a principal;</w:t>
      </w:r>
    </w:p>
    <w:p w14:paraId="524B7333" w14:textId="77777777" w:rsidR="00E93F58" w:rsidRPr="00D97EFB" w:rsidRDefault="00E93F58" w:rsidP="00BB7E31">
      <w:pPr>
        <w:pStyle w:val="subsection2"/>
        <w:rPr>
          <w:color w:val="000000"/>
        </w:rPr>
      </w:pPr>
      <w:r w:rsidRPr="00D97EFB">
        <w:rPr>
          <w:color w:val="000000"/>
        </w:rPr>
        <w:t>under the relevant old legislation, the amended Corporations Act or under any other authority.</w:t>
      </w:r>
    </w:p>
    <w:p w14:paraId="338F49DD" w14:textId="77777777" w:rsidR="00E93F58" w:rsidRPr="00D97EFB" w:rsidRDefault="00E93F58" w:rsidP="00BB7E31">
      <w:pPr>
        <w:pStyle w:val="Definition"/>
      </w:pPr>
      <w:r w:rsidRPr="00D97EFB">
        <w:rPr>
          <w:b/>
          <w:i/>
          <w:color w:val="000000"/>
        </w:rPr>
        <w:t>responsible person</w:t>
      </w:r>
      <w:r w:rsidRPr="00D97EFB">
        <w:rPr>
          <w:color w:val="000000"/>
        </w:rPr>
        <w:t xml:space="preserve"> means any person who is liable, as a principal or a representative, for conduct in relation to the provision of a financial service under any law.</w:t>
      </w:r>
    </w:p>
    <w:p w14:paraId="1B117110" w14:textId="77777777" w:rsidR="00E93F58" w:rsidRPr="00D97EFB" w:rsidRDefault="00E93F58" w:rsidP="00BB7E31">
      <w:pPr>
        <w:pStyle w:val="Definition"/>
      </w:pPr>
      <w:r w:rsidRPr="00D97EFB">
        <w:rPr>
          <w:b/>
          <w:i/>
          <w:color w:val="000000"/>
        </w:rPr>
        <w:t>transition period</w:t>
      </w:r>
      <w:r w:rsidRPr="00D97EFB">
        <w:t xml:space="preserve"> means:</w:t>
      </w:r>
    </w:p>
    <w:p w14:paraId="072B3B1F" w14:textId="77777777" w:rsidR="00E93F58" w:rsidRPr="00D97EFB" w:rsidRDefault="00E93F58" w:rsidP="00BB7E31">
      <w:pPr>
        <w:pStyle w:val="paragraph"/>
      </w:pPr>
      <w:r w:rsidRPr="00D97EFB">
        <w:rPr>
          <w:color w:val="000000"/>
        </w:rPr>
        <w:tab/>
        <w:t>(a)</w:t>
      </w:r>
      <w:r w:rsidRPr="00D97EFB">
        <w:rPr>
          <w:color w:val="000000"/>
        </w:rPr>
        <w:tab/>
        <w:t>the period of 2 years after the FSR commencement; or</w:t>
      </w:r>
    </w:p>
    <w:p w14:paraId="2087D29B" w14:textId="77777777" w:rsidR="00E93F58" w:rsidRPr="00D97EFB" w:rsidRDefault="00E93F58" w:rsidP="00BB7E31">
      <w:pPr>
        <w:pStyle w:val="paragraph"/>
      </w:pPr>
      <w:r w:rsidRPr="00D97EFB">
        <w:tab/>
        <w:t>(b)</w:t>
      </w:r>
      <w:r w:rsidRPr="00D97EFB">
        <w:tab/>
        <w:t>if the person is subject to an exemption under section 1437 of the Act in respect of an activity, the period starting at the FSR commencement and ending on the earlier of:</w:t>
      </w:r>
    </w:p>
    <w:p w14:paraId="15A73C95" w14:textId="77777777" w:rsidR="00E93F58" w:rsidRPr="00D97EFB" w:rsidRDefault="00E93F58" w:rsidP="00BB7E31">
      <w:pPr>
        <w:pStyle w:val="paragraphsub"/>
      </w:pPr>
      <w:r w:rsidRPr="00D97EFB">
        <w:rPr>
          <w:color w:val="000000"/>
        </w:rPr>
        <w:tab/>
        <w:t>(i)</w:t>
      </w:r>
      <w:r w:rsidRPr="00D97EFB">
        <w:rPr>
          <w:color w:val="000000"/>
        </w:rPr>
        <w:tab/>
        <w:t>the person becoming regulated under the amended Corporations Act in respect of the activity; and</w:t>
      </w:r>
    </w:p>
    <w:p w14:paraId="4BCBE36A" w14:textId="77777777" w:rsidR="00E93F58" w:rsidRPr="00D97EFB" w:rsidRDefault="00E93F58" w:rsidP="00BB7E31">
      <w:pPr>
        <w:pStyle w:val="paragraphsub"/>
      </w:pPr>
      <w:r w:rsidRPr="00D97EFB">
        <w:tab/>
        <w:t>(ii)</w:t>
      </w:r>
      <w:r w:rsidRPr="00D97EFB">
        <w:tab/>
        <w:t>the end of the period of the exemption in respect of the activity.</w:t>
      </w:r>
    </w:p>
    <w:p w14:paraId="67E037B1" w14:textId="77777777" w:rsidR="00E93F58" w:rsidRPr="00D97EFB" w:rsidRDefault="00E93F58" w:rsidP="00BB7E31">
      <w:pPr>
        <w:pStyle w:val="ActHead5"/>
      </w:pPr>
      <w:bookmarkStart w:id="2588" w:name="_Toc151994573"/>
      <w:bookmarkStart w:id="2589" w:name="_Toc158713083"/>
      <w:r w:rsidRPr="000D40D5">
        <w:rPr>
          <w:rStyle w:val="CharSectno"/>
        </w:rPr>
        <w:t>10.2.102</w:t>
      </w:r>
      <w:r w:rsidRPr="00D97EFB">
        <w:t xml:space="preserve">  Liability of responsible person: general rules</w:t>
      </w:r>
      <w:bookmarkEnd w:id="2588"/>
      <w:bookmarkEnd w:id="2589"/>
    </w:p>
    <w:p w14:paraId="1FC56781" w14:textId="77777777" w:rsidR="00E93F58" w:rsidRPr="00D97EFB" w:rsidRDefault="00E93F58" w:rsidP="00BB7E31">
      <w:pPr>
        <w:pStyle w:val="subsection"/>
      </w:pPr>
      <w:r w:rsidRPr="00D97EFB">
        <w:tab/>
        <w:t>(1)</w:t>
      </w:r>
      <w:r w:rsidRPr="00D97EFB">
        <w:tab/>
        <w:t>If, at the time the conduct is engaged in, the person who has engaged in the conduct is not the representative of an FSR principal, the liability (if any) for the conduct is to be determined in accordance with:</w:t>
      </w:r>
    </w:p>
    <w:p w14:paraId="73209069" w14:textId="77777777" w:rsidR="00E93F58" w:rsidRPr="00D97EFB" w:rsidRDefault="00E93F58" w:rsidP="00BB7E31">
      <w:pPr>
        <w:pStyle w:val="paragraph"/>
      </w:pPr>
      <w:r w:rsidRPr="00D97EFB">
        <w:rPr>
          <w:color w:val="000000"/>
        </w:rPr>
        <w:tab/>
        <w:t>(a)</w:t>
      </w:r>
      <w:r w:rsidRPr="00D97EFB">
        <w:rPr>
          <w:color w:val="000000"/>
        </w:rPr>
        <w:tab/>
        <w:t>the relevant old legislation; or</w:t>
      </w:r>
    </w:p>
    <w:p w14:paraId="4350F019" w14:textId="77777777" w:rsidR="00E93F58" w:rsidRPr="00D97EFB" w:rsidRDefault="00E93F58" w:rsidP="00BB7E31">
      <w:pPr>
        <w:pStyle w:val="paragraph"/>
      </w:pPr>
      <w:r w:rsidRPr="00D97EFB">
        <w:tab/>
        <w:t>(b)</w:t>
      </w:r>
      <w:r w:rsidRPr="00D97EFB">
        <w:tab/>
        <w:t>any requirement or law, other than the relevant old legislation, that applies to the conduct; or</w:t>
      </w:r>
    </w:p>
    <w:p w14:paraId="1317D4EA" w14:textId="77777777" w:rsidR="00E93F58" w:rsidRPr="00D97EFB" w:rsidRDefault="00E93F58" w:rsidP="00BB7E31">
      <w:pPr>
        <w:pStyle w:val="paragraph"/>
      </w:pPr>
      <w:r w:rsidRPr="00D97EFB">
        <w:tab/>
        <w:t>(c)</w:t>
      </w:r>
      <w:r w:rsidRPr="00D97EFB">
        <w:tab/>
        <w:t>any provisions of the amended Corporations Act that apply to the conduct.</w:t>
      </w:r>
    </w:p>
    <w:p w14:paraId="144FC2B8" w14:textId="77777777" w:rsidR="00E93F58" w:rsidRPr="00D97EFB" w:rsidRDefault="00E93F58" w:rsidP="00BB7E31">
      <w:pPr>
        <w:pStyle w:val="notetext"/>
      </w:pPr>
      <w:r w:rsidRPr="00D97EFB">
        <w:t>Note:</w:t>
      </w:r>
      <w:r w:rsidRPr="00D97EFB">
        <w:tab/>
        <w:t>A number of representatives in the financial services industry currently act:</w:t>
      </w:r>
    </w:p>
    <w:p w14:paraId="52EDB8AD" w14:textId="77777777" w:rsidR="00E93F58" w:rsidRPr="00D97EFB" w:rsidRDefault="00E93F58" w:rsidP="00BB7E31">
      <w:pPr>
        <w:pStyle w:val="notepara"/>
      </w:pPr>
      <w:r w:rsidRPr="00D97EFB">
        <w:rPr>
          <w:color w:val="000000"/>
        </w:rPr>
        <w:lastRenderedPageBreak/>
        <w:t>(a)</w:t>
      </w:r>
      <w:r w:rsidRPr="00D97EFB">
        <w:rPr>
          <w:color w:val="000000"/>
        </w:rPr>
        <w:tab/>
        <w:t>on behalf of more than one principal; or</w:t>
      </w:r>
    </w:p>
    <w:p w14:paraId="04D2A8A8" w14:textId="77777777" w:rsidR="00E93F58" w:rsidRPr="00D97EFB" w:rsidRDefault="00E93F58" w:rsidP="00BB7E31">
      <w:pPr>
        <w:pStyle w:val="notepara"/>
      </w:pPr>
      <w:r w:rsidRPr="00D97EFB">
        <w:t>(b)</w:t>
      </w:r>
      <w:r w:rsidRPr="00D97EFB">
        <w:tab/>
        <w:t>as a principal in some circumstances but as a representative in others; or</w:t>
      </w:r>
    </w:p>
    <w:p w14:paraId="209CE669" w14:textId="77777777" w:rsidR="00E93F58" w:rsidRPr="00D97EFB" w:rsidRDefault="00E93F58" w:rsidP="00BB7E31">
      <w:pPr>
        <w:pStyle w:val="notepara"/>
      </w:pPr>
      <w:r w:rsidRPr="00D97EFB">
        <w:t>(c)</w:t>
      </w:r>
      <w:r w:rsidRPr="00D97EFB">
        <w:tab/>
        <w:t>in both capacities.</w:t>
      </w:r>
    </w:p>
    <w:p w14:paraId="3E401885" w14:textId="77777777" w:rsidR="00E93F58" w:rsidRPr="00D97EFB" w:rsidRDefault="00E93F58" w:rsidP="00BB7E31">
      <w:pPr>
        <w:pStyle w:val="notetext"/>
      </w:pPr>
      <w:r w:rsidRPr="00D97EFB">
        <w:tab/>
        <w:t>On this basis, it is possible that different liability regimes simultaneously apply to the representative, depending on the kind of conduct. These regimes include:</w:t>
      </w:r>
    </w:p>
    <w:p w14:paraId="3BF98002" w14:textId="77777777" w:rsidR="00E93F58" w:rsidRPr="00D97EFB" w:rsidRDefault="00E93F58" w:rsidP="00BB7E31">
      <w:pPr>
        <w:pStyle w:val="notepara"/>
      </w:pPr>
      <w:r w:rsidRPr="00D97EFB">
        <w:rPr>
          <w:color w:val="000000"/>
        </w:rPr>
        <w:t>(a)</w:t>
      </w:r>
      <w:r w:rsidRPr="00D97EFB">
        <w:rPr>
          <w:color w:val="000000"/>
        </w:rPr>
        <w:tab/>
        <w:t>the Corporations Act as in force before the FSR commencement; and</w:t>
      </w:r>
    </w:p>
    <w:p w14:paraId="6DB09076" w14:textId="77777777" w:rsidR="00E93F58" w:rsidRPr="00D97EFB" w:rsidRDefault="00E93F58" w:rsidP="00BB7E31">
      <w:pPr>
        <w:pStyle w:val="notepara"/>
      </w:pPr>
      <w:r w:rsidRPr="00D97EFB">
        <w:t>(b)</w:t>
      </w:r>
      <w:r w:rsidRPr="00D97EFB">
        <w:tab/>
        <w:t>the Corporations Act as in force after the FSR commencement; and</w:t>
      </w:r>
    </w:p>
    <w:p w14:paraId="29A2E080" w14:textId="77777777" w:rsidR="00E93F58" w:rsidRPr="00D97EFB" w:rsidRDefault="00E93F58" w:rsidP="00BB7E31">
      <w:pPr>
        <w:pStyle w:val="notepara"/>
      </w:pPr>
      <w:r w:rsidRPr="00D97EFB">
        <w:t>(c)</w:t>
      </w:r>
      <w:r w:rsidRPr="00D97EFB">
        <w:tab/>
        <w:t xml:space="preserve">the </w:t>
      </w:r>
      <w:r w:rsidRPr="00D97EFB">
        <w:rPr>
          <w:i/>
        </w:rPr>
        <w:t>Australian Securities and Investments Commission Act 2001</w:t>
      </w:r>
      <w:r w:rsidRPr="00D97EFB">
        <w:t>; and</w:t>
      </w:r>
    </w:p>
    <w:p w14:paraId="688B5C0C" w14:textId="77777777" w:rsidR="00E93F58" w:rsidRPr="00D97EFB" w:rsidRDefault="00E93F58" w:rsidP="00BB7E31">
      <w:pPr>
        <w:pStyle w:val="notepara"/>
      </w:pPr>
      <w:r w:rsidRPr="00D97EFB">
        <w:t>(d)</w:t>
      </w:r>
      <w:r w:rsidRPr="00D97EFB">
        <w:tab/>
        <w:t xml:space="preserve">the </w:t>
      </w:r>
      <w:r w:rsidRPr="00D97EFB">
        <w:rPr>
          <w:i/>
        </w:rPr>
        <w:t>Insurance (Agents and Brokers) Act 1984</w:t>
      </w:r>
      <w:r w:rsidRPr="00D97EFB">
        <w:t>; and</w:t>
      </w:r>
    </w:p>
    <w:p w14:paraId="4557387D" w14:textId="77777777" w:rsidR="00E93F58" w:rsidRPr="00D97EFB" w:rsidRDefault="00E93F58" w:rsidP="00BB7E31">
      <w:pPr>
        <w:pStyle w:val="notepara"/>
      </w:pPr>
      <w:r w:rsidRPr="00D97EFB">
        <w:t>(e)</w:t>
      </w:r>
      <w:r w:rsidRPr="00D97EFB">
        <w:tab/>
        <w:t>the common law.</w:t>
      </w:r>
    </w:p>
    <w:p w14:paraId="3E1EDE1D" w14:textId="77777777" w:rsidR="00E93F58" w:rsidRPr="00D97EFB" w:rsidRDefault="00E93F58" w:rsidP="00BB7E31">
      <w:pPr>
        <w:pStyle w:val="subsection"/>
      </w:pPr>
      <w:r w:rsidRPr="00D97EFB">
        <w:rPr>
          <w:color w:val="000000"/>
        </w:rPr>
        <w:tab/>
        <w:t>(2)</w:t>
      </w:r>
      <w:r w:rsidRPr="00D97EFB">
        <w:rPr>
          <w:color w:val="000000"/>
        </w:rPr>
        <w:tab/>
        <w:t>If, at the time the conduct is engaged in, each principal in respect of which the representative acts is an FSR principal, the liability of each person is to be determined in accordance with the amended Corporations Act as in force from time to time after the FSR commencement.</w:t>
      </w:r>
    </w:p>
    <w:p w14:paraId="413BDC0C" w14:textId="77777777" w:rsidR="00E93F58" w:rsidRPr="00D97EFB" w:rsidRDefault="00E93F58" w:rsidP="00BB7E31">
      <w:pPr>
        <w:pStyle w:val="notetext"/>
      </w:pPr>
      <w:r w:rsidRPr="00D97EFB">
        <w:rPr>
          <w:color w:val="000000"/>
        </w:rPr>
        <w:t>Note:</w:t>
      </w:r>
      <w:r w:rsidRPr="00D97EFB">
        <w:rPr>
          <w:color w:val="000000"/>
        </w:rPr>
        <w:tab/>
        <w:t>The main liability provisions of the Act are in Division 6 of Part 7.6.</w:t>
      </w:r>
    </w:p>
    <w:p w14:paraId="30758636" w14:textId="77777777" w:rsidR="00E93F58" w:rsidRPr="00D97EFB" w:rsidRDefault="00E93F58" w:rsidP="00BB7E31">
      <w:pPr>
        <w:pStyle w:val="subsection"/>
      </w:pPr>
      <w:r w:rsidRPr="00D97EFB">
        <w:tab/>
        <w:t>(3)</w:t>
      </w:r>
      <w:r w:rsidRPr="00D97EFB">
        <w:tab/>
        <w:t>Subregulations (4) and (5) apply if, at the time the conduct is engaged in by a person:</w:t>
      </w:r>
    </w:p>
    <w:p w14:paraId="27AA94E5" w14:textId="77777777" w:rsidR="00E93F58" w:rsidRPr="00D97EFB" w:rsidRDefault="00E93F58" w:rsidP="00BB7E31">
      <w:pPr>
        <w:pStyle w:val="paragraph"/>
        <w:rPr>
          <w:color w:val="000000"/>
        </w:rPr>
      </w:pPr>
      <w:r w:rsidRPr="00D97EFB">
        <w:rPr>
          <w:color w:val="000000"/>
        </w:rPr>
        <w:tab/>
        <w:t>(a)</w:t>
      </w:r>
      <w:r w:rsidRPr="00D97EFB">
        <w:rPr>
          <w:color w:val="000000"/>
        </w:rPr>
        <w:tab/>
        <w:t>the person is a representative in respect of more than 1 principal, and</w:t>
      </w:r>
    </w:p>
    <w:p w14:paraId="561ECF69" w14:textId="77777777" w:rsidR="00E93F58" w:rsidRPr="00D97EFB" w:rsidRDefault="00E93F58" w:rsidP="00BB7E31">
      <w:pPr>
        <w:pStyle w:val="paragraph"/>
      </w:pPr>
      <w:r w:rsidRPr="00D97EFB">
        <w:rPr>
          <w:color w:val="000000"/>
        </w:rPr>
        <w:tab/>
        <w:t>(b)</w:t>
      </w:r>
      <w:r w:rsidRPr="00D97EFB">
        <w:rPr>
          <w:color w:val="000000"/>
        </w:rPr>
        <w:tab/>
        <w:t>at least 1 of those principals is an FSR principal; and</w:t>
      </w:r>
    </w:p>
    <w:p w14:paraId="7707CE27" w14:textId="77777777" w:rsidR="00E93F58" w:rsidRPr="00D97EFB" w:rsidRDefault="00E93F58" w:rsidP="00BB7E31">
      <w:pPr>
        <w:pStyle w:val="paragraph"/>
      </w:pPr>
      <w:r w:rsidRPr="00D97EFB">
        <w:tab/>
        <w:t>(c)</w:t>
      </w:r>
      <w:r w:rsidRPr="00D97EFB">
        <w:tab/>
        <w:t>at least 1 of those principals is a non</w:t>
      </w:r>
      <w:r>
        <w:noBreakHyphen/>
      </w:r>
      <w:r w:rsidRPr="00D97EFB">
        <w:t>FSR principal.</w:t>
      </w:r>
    </w:p>
    <w:p w14:paraId="017C944D" w14:textId="77777777" w:rsidR="00E93F58" w:rsidRPr="00D97EFB" w:rsidRDefault="00E93F58" w:rsidP="00BB7E31">
      <w:pPr>
        <w:pStyle w:val="subsection"/>
      </w:pPr>
      <w:r w:rsidRPr="00D97EFB">
        <w:tab/>
        <w:t>(4)</w:t>
      </w:r>
      <w:r w:rsidRPr="00D97EFB">
        <w:tab/>
        <w:t>If, as a result of the conduct of the representative, 1 or more of the principals issues, transfers, varies, or disposes of a financial product:</w:t>
      </w:r>
    </w:p>
    <w:p w14:paraId="2351F144" w14:textId="77777777" w:rsidR="00E93F58" w:rsidRPr="00D97EFB" w:rsidRDefault="00E93F58" w:rsidP="00BB7E31">
      <w:pPr>
        <w:pStyle w:val="paragraph"/>
      </w:pPr>
      <w:r w:rsidRPr="00D97EFB">
        <w:tab/>
        <w:t>(a)</w:t>
      </w:r>
      <w:r w:rsidRPr="00D97EFB">
        <w:tab/>
        <w:t>each of those principals is jointly and severally liable for the conduct of the representative; and</w:t>
      </w:r>
    </w:p>
    <w:p w14:paraId="19A18663" w14:textId="77777777" w:rsidR="00E93F58" w:rsidRPr="00D97EFB" w:rsidRDefault="00E93F58" w:rsidP="00BB7E31">
      <w:pPr>
        <w:pStyle w:val="paragraph"/>
      </w:pPr>
      <w:r w:rsidRPr="00D97EFB">
        <w:tab/>
        <w:t>(b)</w:t>
      </w:r>
      <w:r w:rsidRPr="00D97EFB">
        <w:tab/>
        <w:t>the nature of the liability is to be determined in accordance with the relevant law that applies to the conduct under the relevant legal regime under which the particular principal is operating.</w:t>
      </w:r>
    </w:p>
    <w:p w14:paraId="64AD4A48" w14:textId="77777777" w:rsidR="00E93F58" w:rsidRPr="00D97EFB" w:rsidRDefault="00E93F58" w:rsidP="00BB7E31">
      <w:pPr>
        <w:pStyle w:val="subsection"/>
      </w:pPr>
      <w:r w:rsidRPr="00D97EFB">
        <w:tab/>
        <w:t>(5)</w:t>
      </w:r>
      <w:r w:rsidRPr="00D97EFB">
        <w:tab/>
        <w:t>If subregulation (4) does not apply:</w:t>
      </w:r>
    </w:p>
    <w:p w14:paraId="6707AB32" w14:textId="77777777" w:rsidR="00E93F58" w:rsidRPr="00D97EFB" w:rsidRDefault="00E93F58" w:rsidP="00BB7E31">
      <w:pPr>
        <w:pStyle w:val="paragraph"/>
      </w:pPr>
      <w:r w:rsidRPr="00D97EFB">
        <w:tab/>
        <w:t>(a)</w:t>
      </w:r>
      <w:r w:rsidRPr="00D97EFB">
        <w:tab/>
        <w:t>the liability for the conduct is to be determined in accordance with the relevant law that applies to the conduct; and</w:t>
      </w:r>
    </w:p>
    <w:p w14:paraId="2C3F8910" w14:textId="77777777" w:rsidR="00E93F58" w:rsidRPr="00D97EFB" w:rsidRDefault="00E93F58" w:rsidP="00BB7E31">
      <w:pPr>
        <w:pStyle w:val="paragraph"/>
      </w:pPr>
      <w:r w:rsidRPr="00D97EFB">
        <w:tab/>
        <w:t>(b)</w:t>
      </w:r>
      <w:r w:rsidRPr="00D97EFB">
        <w:tab/>
        <w:t>section 917B and subsection 917C(4) of the Act apply in relation to the liability of an FSR principal only if the conduct is in a class of financial services that the FSR principal has authorised the representative to provide.</w:t>
      </w:r>
    </w:p>
    <w:p w14:paraId="1C79F3DF" w14:textId="77777777" w:rsidR="00E93F58" w:rsidRPr="00D97EFB" w:rsidRDefault="00E93F58" w:rsidP="00BB7E31">
      <w:pPr>
        <w:pStyle w:val="ActHead5"/>
      </w:pPr>
      <w:bookmarkStart w:id="2590" w:name="_Toc151994574"/>
      <w:bookmarkStart w:id="2591" w:name="_Toc158713084"/>
      <w:r w:rsidRPr="000D40D5">
        <w:rPr>
          <w:rStyle w:val="CharSectno"/>
        </w:rPr>
        <w:t>10.2.103</w:t>
      </w:r>
      <w:r w:rsidRPr="00D97EFB">
        <w:t xml:space="preserve">  Conduct by a person who operates as representative and principal</w:t>
      </w:r>
      <w:bookmarkEnd w:id="2590"/>
      <w:bookmarkEnd w:id="2591"/>
    </w:p>
    <w:p w14:paraId="0D8D6950" w14:textId="77777777" w:rsidR="00E93F58" w:rsidRPr="00D97EFB" w:rsidRDefault="00E93F58" w:rsidP="00BB7E31">
      <w:pPr>
        <w:pStyle w:val="subsection"/>
      </w:pPr>
      <w:r w:rsidRPr="00D97EFB">
        <w:tab/>
        <w:t>(1)</w:t>
      </w:r>
      <w:r w:rsidRPr="00D97EFB">
        <w:tab/>
        <w:t>Despite anything else in this Division, or in regulation 10.2.42, if:</w:t>
      </w:r>
    </w:p>
    <w:p w14:paraId="050DD77E" w14:textId="77777777" w:rsidR="00E93F58" w:rsidRPr="00D97EFB" w:rsidRDefault="00E93F58" w:rsidP="00BB7E31">
      <w:pPr>
        <w:pStyle w:val="paragraph"/>
      </w:pPr>
      <w:r w:rsidRPr="00D97EFB">
        <w:rPr>
          <w:color w:val="000000"/>
        </w:rPr>
        <w:tab/>
        <w:t>(a)</w:t>
      </w:r>
      <w:r w:rsidRPr="00D97EFB">
        <w:rPr>
          <w:color w:val="000000"/>
        </w:rPr>
        <w:tab/>
        <w:t>the conduct of a representative causes a liability, loss, damage or a similar consequence to arise; and</w:t>
      </w:r>
    </w:p>
    <w:p w14:paraId="7F109D70" w14:textId="77777777" w:rsidR="00E93F58" w:rsidRPr="00D97EFB" w:rsidRDefault="00E93F58" w:rsidP="00BB7E31">
      <w:pPr>
        <w:pStyle w:val="paragraph"/>
      </w:pPr>
      <w:r w:rsidRPr="00D97EFB">
        <w:tab/>
        <w:t>(b)</w:t>
      </w:r>
      <w:r w:rsidRPr="00D97EFB">
        <w:tab/>
        <w:t>at the time the conduct is engaged in, the representative is also a principal that is authorised or permitted under any law to provide financial services in the class of financial services to which the conduct relates;</w:t>
      </w:r>
    </w:p>
    <w:p w14:paraId="3B74D962" w14:textId="77777777" w:rsidR="00E93F58" w:rsidRPr="00D97EFB" w:rsidRDefault="00E93F58" w:rsidP="00BB7E31">
      <w:pPr>
        <w:pStyle w:val="subsection2"/>
      </w:pPr>
      <w:r w:rsidRPr="00D97EFB">
        <w:rPr>
          <w:color w:val="000000"/>
        </w:rPr>
        <w:t>the representative is liable (whether as a principal or as a representative) to the extent that the law under which the representative provides the relevant financial services makes the representative liable.</w:t>
      </w:r>
    </w:p>
    <w:p w14:paraId="0CC45CA5" w14:textId="77777777" w:rsidR="00E93F58" w:rsidRPr="00D97EFB" w:rsidRDefault="00E93F58" w:rsidP="00BB7E31">
      <w:pPr>
        <w:pStyle w:val="subsection"/>
      </w:pPr>
      <w:r w:rsidRPr="00D97EFB">
        <w:tab/>
        <w:t>(2)</w:t>
      </w:r>
      <w:r w:rsidRPr="00D97EFB">
        <w:tab/>
        <w:t>Despite regulation 10.2.42, if:</w:t>
      </w:r>
    </w:p>
    <w:p w14:paraId="6422E9D3" w14:textId="77777777" w:rsidR="00E93F58" w:rsidRPr="00D97EFB" w:rsidRDefault="00E93F58" w:rsidP="00BB7E31">
      <w:pPr>
        <w:pStyle w:val="paragraph"/>
      </w:pPr>
      <w:r w:rsidRPr="00D97EFB">
        <w:rPr>
          <w:color w:val="000000"/>
        </w:rPr>
        <w:tab/>
        <w:t>(a)</w:t>
      </w:r>
      <w:r w:rsidRPr="00D97EFB">
        <w:rPr>
          <w:color w:val="000000"/>
        </w:rPr>
        <w:tab/>
        <w:t>the conduct of a representative causes a liability, loss, damage or a similar consequence to arise; and</w:t>
      </w:r>
    </w:p>
    <w:p w14:paraId="2A713339" w14:textId="77777777" w:rsidR="00E93F58" w:rsidRPr="00D97EFB" w:rsidRDefault="00E93F58" w:rsidP="00BB7E31">
      <w:pPr>
        <w:pStyle w:val="paragraph"/>
      </w:pPr>
      <w:r w:rsidRPr="00D97EFB">
        <w:tab/>
        <w:t>(b)</w:t>
      </w:r>
      <w:r w:rsidRPr="00D97EFB">
        <w:tab/>
        <w:t>the representative is also a principal that is authorised or permitted to provide financial services in the same class of financial services as the financial service to which the conduct relates; and</w:t>
      </w:r>
    </w:p>
    <w:p w14:paraId="53C6D6F1" w14:textId="77777777" w:rsidR="00E93F58" w:rsidRPr="00D97EFB" w:rsidRDefault="00E93F58" w:rsidP="00BB7E31">
      <w:pPr>
        <w:pStyle w:val="paragraph"/>
      </w:pPr>
      <w:r w:rsidRPr="00D97EFB">
        <w:tab/>
        <w:t>(c)</w:t>
      </w:r>
      <w:r w:rsidRPr="00D97EFB">
        <w:tab/>
        <w:t>at the time the conduct occurred, the representative’s principal or principals:</w:t>
      </w:r>
    </w:p>
    <w:p w14:paraId="0E30AF19" w14:textId="77777777" w:rsidR="00E93F58" w:rsidRPr="00D97EFB" w:rsidRDefault="00E93F58" w:rsidP="00BB7E31">
      <w:pPr>
        <w:pStyle w:val="paragraphsub"/>
      </w:pPr>
      <w:r w:rsidRPr="00D97EFB">
        <w:rPr>
          <w:color w:val="000000"/>
        </w:rPr>
        <w:tab/>
        <w:t>(i)</w:t>
      </w:r>
      <w:r w:rsidRPr="00D97EFB">
        <w:rPr>
          <w:color w:val="000000"/>
        </w:rPr>
        <w:tab/>
        <w:t>had authorised the representative to provide the same class of financial services; and</w:t>
      </w:r>
    </w:p>
    <w:p w14:paraId="7CBA19DC" w14:textId="77777777" w:rsidR="00E93F58" w:rsidRPr="00D97EFB" w:rsidRDefault="00E93F58" w:rsidP="00BB7E31">
      <w:pPr>
        <w:pStyle w:val="paragraphsub"/>
      </w:pPr>
      <w:r w:rsidRPr="00D97EFB">
        <w:tab/>
        <w:t>(ii)</w:t>
      </w:r>
      <w:r w:rsidRPr="00D97EFB">
        <w:tab/>
        <w:t>are liable in respect of the conduct;</w:t>
      </w:r>
    </w:p>
    <w:p w14:paraId="0A7F0D94" w14:textId="77777777" w:rsidR="00E93F58" w:rsidRPr="00D97EFB" w:rsidRDefault="00E93F58" w:rsidP="00BB7E31">
      <w:pPr>
        <w:pStyle w:val="subsection2"/>
      </w:pPr>
      <w:r w:rsidRPr="00D97EFB">
        <w:rPr>
          <w:color w:val="000000"/>
        </w:rPr>
        <w:t>the representative, and the principal or principals, are jointly and severally liable in accordance with the law under which they are liable, to the extent that the same or similar liability exists.</w:t>
      </w:r>
    </w:p>
    <w:p w14:paraId="47389598" w14:textId="77777777" w:rsidR="00E93F58" w:rsidRPr="00D97EFB" w:rsidRDefault="00E93F58" w:rsidP="00BB7E31">
      <w:pPr>
        <w:pStyle w:val="notetext"/>
      </w:pPr>
      <w:r w:rsidRPr="00D97EFB">
        <w:rPr>
          <w:color w:val="000000"/>
        </w:rPr>
        <w:t>Note:</w:t>
      </w:r>
      <w:r w:rsidRPr="00D97EFB">
        <w:rPr>
          <w:color w:val="000000"/>
        </w:rPr>
        <w:tab/>
        <w:t>Under regulation 10.2.42, there are some restrictions on a person who acts both as an authorised representative and as a regulated principal in respect of the same activities.</w:t>
      </w:r>
    </w:p>
    <w:p w14:paraId="60CFD636" w14:textId="77777777" w:rsidR="00E93F58" w:rsidRPr="00D97EFB" w:rsidRDefault="00E93F58" w:rsidP="00BB7E31">
      <w:pPr>
        <w:pStyle w:val="notetext"/>
      </w:pPr>
      <w:r w:rsidRPr="00D97EFB">
        <w:tab/>
        <w:t>For example, if a principal is liable to a person in respect of an amount of money ($X), and the representative is also liable in respect of an amount of money ($X + $Y) in respect of the same conduct, both of them will be jointly and severally liable for $X, but the representative will be liable to pay $Y.</w:t>
      </w:r>
    </w:p>
    <w:p w14:paraId="2059C856" w14:textId="77777777" w:rsidR="00E93F58" w:rsidRPr="00D97EFB" w:rsidRDefault="00E93F58" w:rsidP="00BB7E31">
      <w:pPr>
        <w:pStyle w:val="ActHead5"/>
      </w:pPr>
      <w:bookmarkStart w:id="2592" w:name="_Toc151994575"/>
      <w:bookmarkStart w:id="2593" w:name="_Toc158713085"/>
      <w:r w:rsidRPr="000D40D5">
        <w:rPr>
          <w:rStyle w:val="CharSectno"/>
        </w:rPr>
        <w:lastRenderedPageBreak/>
        <w:t>10.2.104</w:t>
      </w:r>
      <w:r w:rsidRPr="00D97EFB">
        <w:t xml:space="preserve">  Operation of regulations 10.2.102 and 10.2.103</w:t>
      </w:r>
      <w:bookmarkEnd w:id="2592"/>
      <w:bookmarkEnd w:id="2593"/>
    </w:p>
    <w:p w14:paraId="2F67423E" w14:textId="77777777" w:rsidR="00E93F58" w:rsidRPr="00D97EFB" w:rsidRDefault="00E93F58" w:rsidP="00BB7E31">
      <w:pPr>
        <w:pStyle w:val="subsection"/>
      </w:pPr>
      <w:r w:rsidRPr="00D97EFB">
        <w:tab/>
        <w:t>(1)</w:t>
      </w:r>
      <w:r w:rsidRPr="00D97EFB">
        <w:tab/>
        <w:t xml:space="preserve">Subject to subregulations (2) and (3), and without limiting any right or liability of a person (the </w:t>
      </w:r>
      <w:r w:rsidRPr="00D97EFB">
        <w:rPr>
          <w:b/>
          <w:i/>
        </w:rPr>
        <w:t>client</w:t>
      </w:r>
      <w:r w:rsidRPr="00D97EFB">
        <w:t>), if the effect of regulations 10.2.102 and 10.2.103 is that different rights or remedies are available to different clients in relation to conduct during the transition period:</w:t>
      </w:r>
    </w:p>
    <w:p w14:paraId="27650470" w14:textId="77777777" w:rsidR="00E93F58" w:rsidRPr="00D97EFB" w:rsidRDefault="00E93F58" w:rsidP="00BB7E31">
      <w:pPr>
        <w:pStyle w:val="paragraph"/>
      </w:pPr>
      <w:r w:rsidRPr="00D97EFB">
        <w:rPr>
          <w:color w:val="000000"/>
        </w:rPr>
        <w:tab/>
        <w:t>(a)</w:t>
      </w:r>
      <w:r w:rsidRPr="00D97EFB">
        <w:rPr>
          <w:color w:val="000000"/>
        </w:rPr>
        <w:tab/>
        <w:t>to the extent that the rights or remedies available to a client against a responsible person are identical, or substantially identical, to some or all of the rights or remedies available against another responsible person for the same or related conduct, each responsible person is taken to be jointly and severally liable as between the responsible person and the client in respect of the client’s exercise of the right, or in respect of the provision of the remedy, to the extent that the law makes them liable; and</w:t>
      </w:r>
    </w:p>
    <w:p w14:paraId="69681434" w14:textId="77777777" w:rsidR="00E93F58" w:rsidRPr="00D97EFB" w:rsidRDefault="00E93F58" w:rsidP="00BB7E31">
      <w:pPr>
        <w:pStyle w:val="paragraph"/>
      </w:pPr>
      <w:r w:rsidRPr="00D97EFB">
        <w:tab/>
        <w:t>(b)</w:t>
      </w:r>
      <w:r w:rsidRPr="00D97EFB">
        <w:tab/>
        <w:t>to the extent that the rights or remedies available to a client against different responsible persons in respect of conduct are not identical or substantially identical, a client who may exercise a right or obtain a remedy against a responsible person is entitled to exercise the right or obtain the remedy:</w:t>
      </w:r>
    </w:p>
    <w:p w14:paraId="58DBEEB9" w14:textId="77777777" w:rsidR="00E93F58" w:rsidRPr="00D97EFB" w:rsidRDefault="00E93F58" w:rsidP="00BB7E31">
      <w:pPr>
        <w:pStyle w:val="paragraphsub"/>
      </w:pPr>
      <w:r w:rsidRPr="00D97EFB">
        <w:rPr>
          <w:color w:val="000000"/>
        </w:rPr>
        <w:tab/>
        <w:t>(i)</w:t>
      </w:r>
      <w:r w:rsidRPr="00D97EFB">
        <w:rPr>
          <w:color w:val="000000"/>
        </w:rPr>
        <w:tab/>
        <w:t>under each law applicable at the time the conduct is engaged in; and</w:t>
      </w:r>
    </w:p>
    <w:p w14:paraId="08621543" w14:textId="77777777" w:rsidR="00E93F58" w:rsidRPr="00D97EFB" w:rsidRDefault="00E93F58" w:rsidP="00BB7E31">
      <w:pPr>
        <w:pStyle w:val="paragraphsub"/>
      </w:pPr>
      <w:r w:rsidRPr="00D97EFB">
        <w:tab/>
        <w:t>(ii)</w:t>
      </w:r>
      <w:r w:rsidRPr="00D97EFB">
        <w:tab/>
        <w:t>against each responsible person against whom the right may be exercised or the remedy obtained.</w:t>
      </w:r>
    </w:p>
    <w:p w14:paraId="35D66DF4" w14:textId="77777777" w:rsidR="00E93F58" w:rsidRPr="00D97EFB" w:rsidRDefault="00E93F58" w:rsidP="008B2633">
      <w:pPr>
        <w:pStyle w:val="notetext"/>
      </w:pPr>
      <w:r w:rsidRPr="00D97EFB">
        <w:t>Example:</w:t>
      </w:r>
      <w:r w:rsidRPr="00D97EFB">
        <w:tab/>
        <w:t>If, as a result of the same conduct, Person A is liable to a client in respect of an amount of money ($X), and Person B is also liable in respect of an amount of money ($X + $Y), both of them will be jointly and severally liable for $X, but only Person B will be liable to pay $Y.</w:t>
      </w:r>
    </w:p>
    <w:p w14:paraId="7E44EF78" w14:textId="77777777" w:rsidR="00E93F58" w:rsidRPr="00D97EFB" w:rsidRDefault="00E93F58" w:rsidP="00BB7E31">
      <w:pPr>
        <w:pStyle w:val="subsection"/>
      </w:pPr>
      <w:r w:rsidRPr="00D97EFB">
        <w:tab/>
        <w:t>(2)</w:t>
      </w:r>
      <w:r w:rsidRPr="00D97EFB">
        <w:tab/>
        <w:t>Subregulation (1) does not have the effect that:</w:t>
      </w:r>
    </w:p>
    <w:p w14:paraId="35A3D9E3" w14:textId="77777777" w:rsidR="00E93F58" w:rsidRPr="00D97EFB" w:rsidRDefault="00E93F58" w:rsidP="00BB7E31">
      <w:pPr>
        <w:pStyle w:val="paragraph"/>
      </w:pPr>
      <w:r w:rsidRPr="00D97EFB">
        <w:rPr>
          <w:color w:val="000000"/>
        </w:rPr>
        <w:tab/>
        <w:t>(a)</w:t>
      </w:r>
      <w:r w:rsidRPr="00D97EFB">
        <w:rPr>
          <w:color w:val="000000"/>
        </w:rPr>
        <w:tab/>
        <w:t>a particular person is liable more than once in relation to the conduct in respect of the same or a similar remedy; or</w:t>
      </w:r>
    </w:p>
    <w:p w14:paraId="69EAA6B7" w14:textId="77777777" w:rsidR="00E93F58" w:rsidRPr="00D97EFB" w:rsidRDefault="00E93F58" w:rsidP="00BB7E31">
      <w:pPr>
        <w:pStyle w:val="paragraph"/>
      </w:pPr>
      <w:r w:rsidRPr="00D97EFB">
        <w:tab/>
        <w:t>(b)</w:t>
      </w:r>
      <w:r w:rsidRPr="00D97EFB">
        <w:tab/>
        <w:t>a person is entitled to recover more than the amount of any loss or damage that the person has suffered in relation to the conduct.</w:t>
      </w:r>
    </w:p>
    <w:p w14:paraId="6A0A9EBB" w14:textId="77777777" w:rsidR="00E93F58" w:rsidRPr="00D97EFB" w:rsidRDefault="00E93F58" w:rsidP="00BB7E31">
      <w:pPr>
        <w:pStyle w:val="subsection"/>
      </w:pPr>
      <w:r w:rsidRPr="00D97EFB">
        <w:tab/>
        <w:t>(3)</w:t>
      </w:r>
      <w:r w:rsidRPr="00D97EFB">
        <w:tab/>
        <w:t>Nothing in this Division is intended to reduce or otherwise affect the liability of any person in relation to the person’s own conduct, whether or not:</w:t>
      </w:r>
    </w:p>
    <w:p w14:paraId="34786D7C" w14:textId="77777777" w:rsidR="00E93F58" w:rsidRPr="00D97EFB" w:rsidRDefault="00E93F58" w:rsidP="00BB7E31">
      <w:pPr>
        <w:pStyle w:val="paragraph"/>
      </w:pPr>
      <w:r w:rsidRPr="00D97EFB">
        <w:rPr>
          <w:color w:val="000000"/>
        </w:rPr>
        <w:tab/>
        <w:t>(a)</w:t>
      </w:r>
      <w:r w:rsidRPr="00D97EFB">
        <w:rPr>
          <w:color w:val="000000"/>
        </w:rPr>
        <w:tab/>
        <w:t>the person is a principal or a representative; and</w:t>
      </w:r>
    </w:p>
    <w:p w14:paraId="0B0D0A10" w14:textId="77777777" w:rsidR="00E93F58" w:rsidRPr="00D97EFB" w:rsidRDefault="00E93F58" w:rsidP="00BB7E31">
      <w:pPr>
        <w:pStyle w:val="paragraph"/>
      </w:pPr>
      <w:r w:rsidRPr="00D97EFB">
        <w:tab/>
        <w:t>(b)</w:t>
      </w:r>
      <w:r w:rsidRPr="00D97EFB">
        <w:tab/>
        <w:t>the person is authorised to do a particular thing under any licence, registration, authorisation or other authority.</w:t>
      </w:r>
    </w:p>
    <w:p w14:paraId="0E47BD64" w14:textId="77777777" w:rsidR="00E93F58" w:rsidRPr="00D97EFB" w:rsidRDefault="00E93F58" w:rsidP="00BB7E31">
      <w:pPr>
        <w:pStyle w:val="subsection"/>
      </w:pPr>
      <w:r w:rsidRPr="00D97EFB">
        <w:rPr>
          <w:color w:val="000000"/>
        </w:rPr>
        <w:tab/>
        <w:t>(4)</w:t>
      </w:r>
      <w:r w:rsidRPr="00D97EFB">
        <w:rPr>
          <w:color w:val="000000"/>
        </w:rPr>
        <w:tab/>
        <w:t>Nothing in this Division is intended to reduce or otherwise affect the liability of a principal that acts under a provision of the relevant old legislation.</w:t>
      </w:r>
    </w:p>
    <w:p w14:paraId="713953EE" w14:textId="77777777" w:rsidR="00E93F58" w:rsidRPr="00D97EFB" w:rsidRDefault="00E93F58" w:rsidP="00BB7E31">
      <w:pPr>
        <w:pStyle w:val="subsection"/>
      </w:pPr>
      <w:r w:rsidRPr="00D97EFB">
        <w:tab/>
        <w:t>(5)</w:t>
      </w:r>
      <w:r w:rsidRPr="00D97EFB">
        <w:tab/>
        <w:t>Nothing in this Division is intended to reduce or otherwise affect the liability of a person for:</w:t>
      </w:r>
    </w:p>
    <w:p w14:paraId="3F55D0EA" w14:textId="77777777" w:rsidR="00E93F58" w:rsidRPr="00D97EFB" w:rsidRDefault="00E93F58" w:rsidP="00BB7E31">
      <w:pPr>
        <w:pStyle w:val="paragraph"/>
        <w:rPr>
          <w:color w:val="000000"/>
        </w:rPr>
      </w:pPr>
      <w:r w:rsidRPr="00D97EFB">
        <w:rPr>
          <w:color w:val="000000"/>
        </w:rPr>
        <w:tab/>
        <w:t>(a)</w:t>
      </w:r>
      <w:r w:rsidRPr="00D97EFB">
        <w:rPr>
          <w:color w:val="000000"/>
        </w:rPr>
        <w:tab/>
        <w:t>any offence imposed by any law; or</w:t>
      </w:r>
    </w:p>
    <w:p w14:paraId="5A3C79CC" w14:textId="77777777" w:rsidR="00E93F58" w:rsidRPr="00D97EFB" w:rsidRDefault="00E93F58" w:rsidP="00BB7E31">
      <w:pPr>
        <w:pStyle w:val="paragraph"/>
      </w:pPr>
      <w:r w:rsidRPr="00D97EFB">
        <w:tab/>
        <w:t>(b)</w:t>
      </w:r>
      <w:r w:rsidRPr="00D97EFB">
        <w:tab/>
        <w:t>any other criminal or civil penalty imposed under any law.</w:t>
      </w:r>
    </w:p>
    <w:p w14:paraId="5D196A50" w14:textId="77777777" w:rsidR="00E93F58" w:rsidRPr="00D97EFB" w:rsidRDefault="00E93F58" w:rsidP="00BB7E31">
      <w:pPr>
        <w:pStyle w:val="ActHead3"/>
        <w:pageBreakBefore/>
        <w:rPr>
          <w:color w:val="000000"/>
        </w:rPr>
      </w:pPr>
      <w:bookmarkStart w:id="2594" w:name="_Toc151994576"/>
      <w:bookmarkStart w:id="2595" w:name="_Toc158713086"/>
      <w:r w:rsidRPr="000D40D5">
        <w:rPr>
          <w:rStyle w:val="CharDivNo"/>
        </w:rPr>
        <w:lastRenderedPageBreak/>
        <w:t>Division 21</w:t>
      </w:r>
      <w:r w:rsidRPr="00D97EFB">
        <w:rPr>
          <w:color w:val="000000"/>
        </w:rPr>
        <w:t>—</w:t>
      </w:r>
      <w:r w:rsidRPr="000D40D5">
        <w:rPr>
          <w:rStyle w:val="CharDivText"/>
        </w:rPr>
        <w:t>Title and transfer</w:t>
      </w:r>
      <w:bookmarkEnd w:id="2594"/>
      <w:bookmarkEnd w:id="2595"/>
    </w:p>
    <w:p w14:paraId="33106BC9" w14:textId="77777777" w:rsidR="00E93F58" w:rsidRPr="00D97EFB" w:rsidRDefault="00E93F58" w:rsidP="00BB7E31">
      <w:pPr>
        <w:pStyle w:val="ActHead5"/>
      </w:pPr>
      <w:bookmarkStart w:id="2596" w:name="_Toc151994577"/>
      <w:bookmarkStart w:id="2597" w:name="_Toc158713087"/>
      <w:r w:rsidRPr="000D40D5">
        <w:rPr>
          <w:rStyle w:val="CharSectno"/>
        </w:rPr>
        <w:t>10.2.105</w:t>
      </w:r>
      <w:r w:rsidRPr="00D97EFB">
        <w:t xml:space="preserve">  Loss or destruction of certificates</w:t>
      </w:r>
      <w:bookmarkEnd w:id="2596"/>
      <w:bookmarkEnd w:id="2597"/>
    </w:p>
    <w:p w14:paraId="1803C701" w14:textId="77777777" w:rsidR="00E93F58" w:rsidRPr="00D97EFB" w:rsidRDefault="00E93F58" w:rsidP="00BB7E31">
      <w:pPr>
        <w:pStyle w:val="subsection"/>
      </w:pPr>
      <w:r w:rsidRPr="00D97EFB">
        <w:tab/>
        <w:t>(1)</w:t>
      </w:r>
      <w:r w:rsidRPr="00D97EFB">
        <w:tab/>
        <w:t>This regulation applies if:</w:t>
      </w:r>
    </w:p>
    <w:p w14:paraId="63F621B1" w14:textId="77777777" w:rsidR="00E93F58" w:rsidRPr="00D97EFB" w:rsidRDefault="00E93F58" w:rsidP="00BB7E31">
      <w:pPr>
        <w:pStyle w:val="paragraph"/>
      </w:pPr>
      <w:r w:rsidRPr="00D97EFB">
        <w:rPr>
          <w:color w:val="000000"/>
        </w:rPr>
        <w:tab/>
        <w:t>(a)</w:t>
      </w:r>
      <w:r w:rsidRPr="00D97EFB">
        <w:rPr>
          <w:color w:val="000000"/>
        </w:rPr>
        <w:tab/>
        <w:t>an application was made to a company, under section 1089 of the old Corporations Act, for the issue of a duplicate certificate or document of title regarding shares, debentures or interests in a managed investment scheme; and</w:t>
      </w:r>
    </w:p>
    <w:p w14:paraId="74776335" w14:textId="77777777" w:rsidR="00E93F58" w:rsidRPr="00D97EFB" w:rsidRDefault="00E93F58" w:rsidP="00BB7E31">
      <w:pPr>
        <w:pStyle w:val="paragraph"/>
      </w:pPr>
      <w:r w:rsidRPr="00D97EFB">
        <w:tab/>
        <w:t>(b)</w:t>
      </w:r>
      <w:r w:rsidRPr="00D97EFB">
        <w:tab/>
        <w:t>the company did not issue a duplicate certificate or other document of title to the shares, debentures or interests before the FSR commencement.</w:t>
      </w:r>
    </w:p>
    <w:p w14:paraId="2325D547" w14:textId="77777777" w:rsidR="00E93F58" w:rsidRPr="00D97EFB" w:rsidRDefault="00E93F58" w:rsidP="00BB7E31">
      <w:pPr>
        <w:pStyle w:val="subsection"/>
      </w:pPr>
      <w:r w:rsidRPr="00D97EFB">
        <w:rPr>
          <w:color w:val="000000"/>
        </w:rPr>
        <w:tab/>
        <w:t>(2)</w:t>
      </w:r>
      <w:r w:rsidRPr="00D97EFB">
        <w:rPr>
          <w:color w:val="000000"/>
        </w:rPr>
        <w:tab/>
        <w:t>Section 1089 of the old Corporations Act, and any associated provisions, continue to apply to the extent necessary to allow the company to deal with the application.</w:t>
      </w:r>
    </w:p>
    <w:p w14:paraId="7D73C35B" w14:textId="77777777" w:rsidR="00E93F58" w:rsidRPr="00D97EFB" w:rsidRDefault="00E93F58" w:rsidP="00BB7E31">
      <w:pPr>
        <w:pStyle w:val="notetext"/>
      </w:pPr>
      <w:r w:rsidRPr="00D97EFB">
        <w:rPr>
          <w:color w:val="000000"/>
        </w:rPr>
        <w:t>Note:</w:t>
      </w:r>
      <w:r w:rsidRPr="00D97EFB">
        <w:rPr>
          <w:color w:val="000000"/>
        </w:rPr>
        <w:tab/>
        <w:t>Subsections 1089(1) and (3) of the old Corporations Act included important requirements relating to the application, including time limits for compliance with the application.</w:t>
      </w:r>
    </w:p>
    <w:p w14:paraId="5D1A6D99" w14:textId="77777777" w:rsidR="00E93F58" w:rsidRPr="00D97EFB" w:rsidRDefault="00E93F58" w:rsidP="00BB7E31">
      <w:pPr>
        <w:pStyle w:val="ActHead5"/>
      </w:pPr>
      <w:bookmarkStart w:id="2598" w:name="_Toc151994578"/>
      <w:bookmarkStart w:id="2599" w:name="_Toc158713088"/>
      <w:r w:rsidRPr="000D40D5">
        <w:rPr>
          <w:rStyle w:val="CharSectno"/>
        </w:rPr>
        <w:t>10.2.106</w:t>
      </w:r>
      <w:r w:rsidRPr="00D97EFB">
        <w:t xml:space="preserve">  Instrument of transfer</w:t>
      </w:r>
      <w:bookmarkEnd w:id="2598"/>
      <w:bookmarkEnd w:id="2599"/>
    </w:p>
    <w:p w14:paraId="59EB6404" w14:textId="77777777" w:rsidR="00E93F58" w:rsidRPr="00D97EFB" w:rsidRDefault="00E93F58" w:rsidP="00BB7E31">
      <w:pPr>
        <w:pStyle w:val="subsection"/>
      </w:pPr>
      <w:r w:rsidRPr="00D97EFB">
        <w:tab/>
        <w:t>(1)</w:t>
      </w:r>
      <w:r w:rsidRPr="00D97EFB">
        <w:tab/>
        <w:t>This regulation applies if:</w:t>
      </w:r>
    </w:p>
    <w:p w14:paraId="3668DAB3" w14:textId="77777777" w:rsidR="00E93F58" w:rsidRPr="00D97EFB" w:rsidRDefault="00E93F58" w:rsidP="00BB7E31">
      <w:pPr>
        <w:pStyle w:val="paragraph"/>
      </w:pPr>
      <w:r w:rsidRPr="00D97EFB">
        <w:tab/>
        <w:t>(a)</w:t>
      </w:r>
      <w:r w:rsidRPr="00D97EFB">
        <w:tab/>
        <w:t>the personal representative of a dead holder for section 1091 of the old Corporations Act completed all the steps necessary to require a company:</w:t>
      </w:r>
    </w:p>
    <w:p w14:paraId="6F9AD86C" w14:textId="77777777" w:rsidR="00E93F58" w:rsidRPr="00D97EFB" w:rsidRDefault="00E93F58" w:rsidP="00BB7E31">
      <w:pPr>
        <w:pStyle w:val="paragraphsub"/>
        <w:rPr>
          <w:color w:val="000000"/>
        </w:rPr>
      </w:pPr>
      <w:r w:rsidRPr="00D97EFB">
        <w:rPr>
          <w:color w:val="000000"/>
        </w:rPr>
        <w:tab/>
        <w:t>(i)</w:t>
      </w:r>
      <w:r w:rsidRPr="00D97EFB">
        <w:rPr>
          <w:color w:val="000000"/>
        </w:rPr>
        <w:tab/>
        <w:t>to register a transfer; and</w:t>
      </w:r>
    </w:p>
    <w:p w14:paraId="226D8772" w14:textId="77777777" w:rsidR="00E93F58" w:rsidRPr="00D97EFB" w:rsidRDefault="00E93F58" w:rsidP="00BB7E31">
      <w:pPr>
        <w:pStyle w:val="paragraphsub"/>
      </w:pPr>
      <w:r w:rsidRPr="00D97EFB">
        <w:tab/>
        <w:t>(ii)</w:t>
      </w:r>
      <w:r w:rsidRPr="00D97EFB">
        <w:tab/>
        <w:t>to pay to the personal representative any dividends or money accrued in respect of the share, debenture or interest being transferred up to the time of execution of the transfer; and</w:t>
      </w:r>
    </w:p>
    <w:p w14:paraId="5EF1DC94" w14:textId="77777777" w:rsidR="00E93F58" w:rsidRPr="00D97EFB" w:rsidRDefault="00E93F58" w:rsidP="00BB7E31">
      <w:pPr>
        <w:pStyle w:val="paragraph"/>
      </w:pPr>
      <w:r w:rsidRPr="00D97EFB">
        <w:tab/>
        <w:t>(b)</w:t>
      </w:r>
      <w:r w:rsidRPr="00D97EFB">
        <w:tab/>
        <w:t>the company:</w:t>
      </w:r>
    </w:p>
    <w:p w14:paraId="7FA8147F" w14:textId="77777777" w:rsidR="00E93F58" w:rsidRPr="00D97EFB" w:rsidRDefault="00E93F58" w:rsidP="00BB7E31">
      <w:pPr>
        <w:pStyle w:val="paragraphsub"/>
      </w:pPr>
      <w:r w:rsidRPr="00D97EFB">
        <w:rPr>
          <w:color w:val="000000"/>
        </w:rPr>
        <w:tab/>
        <w:t>(i)</w:t>
      </w:r>
      <w:r w:rsidRPr="00D97EFB">
        <w:rPr>
          <w:color w:val="000000"/>
        </w:rPr>
        <w:tab/>
        <w:t>did not register the transfer before the FSR commencement; or</w:t>
      </w:r>
    </w:p>
    <w:p w14:paraId="6E273A34" w14:textId="77777777" w:rsidR="00E93F58" w:rsidRPr="00D97EFB" w:rsidRDefault="00E93F58" w:rsidP="00BB7E31">
      <w:pPr>
        <w:pStyle w:val="paragraphsub"/>
      </w:pPr>
      <w:r w:rsidRPr="00D97EFB">
        <w:tab/>
        <w:t>(ii)</w:t>
      </w:r>
      <w:r w:rsidRPr="00D97EFB">
        <w:tab/>
        <w:t>did not make some or all of the payment before the FSR commencement.</w:t>
      </w:r>
    </w:p>
    <w:p w14:paraId="71F0D6A5" w14:textId="77777777" w:rsidR="00E93F58" w:rsidRPr="00D97EFB" w:rsidRDefault="00E93F58" w:rsidP="00BB7E31">
      <w:pPr>
        <w:pStyle w:val="subsection"/>
      </w:pPr>
      <w:r w:rsidRPr="00D97EFB">
        <w:rPr>
          <w:color w:val="000000"/>
        </w:rPr>
        <w:tab/>
        <w:t>(2)</w:t>
      </w:r>
      <w:r w:rsidRPr="00D97EFB">
        <w:rPr>
          <w:color w:val="000000"/>
        </w:rPr>
        <w:tab/>
        <w:t>Section 1091 of the old Corporations Act, and any associated provisions, continue to apply to the extent necessary to allow the company to register the transfer and make the payment.</w:t>
      </w:r>
    </w:p>
    <w:p w14:paraId="3F677E97" w14:textId="77777777" w:rsidR="00E93F58" w:rsidRPr="00D97EFB" w:rsidRDefault="00E93F58" w:rsidP="00BB7E31">
      <w:pPr>
        <w:pStyle w:val="ActHead5"/>
      </w:pPr>
      <w:bookmarkStart w:id="2600" w:name="_Toc151994579"/>
      <w:bookmarkStart w:id="2601" w:name="_Toc158713089"/>
      <w:r w:rsidRPr="000D40D5">
        <w:rPr>
          <w:rStyle w:val="CharSectno"/>
        </w:rPr>
        <w:t>10.2.107</w:t>
      </w:r>
      <w:r w:rsidRPr="00D97EFB">
        <w:t xml:space="preserve">  Trustee etc may be registered as owner of shares</w:t>
      </w:r>
      <w:bookmarkEnd w:id="2600"/>
      <w:bookmarkEnd w:id="2601"/>
    </w:p>
    <w:p w14:paraId="00702A12" w14:textId="77777777" w:rsidR="00E93F58" w:rsidRPr="00D97EFB" w:rsidRDefault="00E93F58" w:rsidP="00BB7E31">
      <w:pPr>
        <w:pStyle w:val="subsection"/>
      </w:pPr>
      <w:r w:rsidRPr="00D97EFB">
        <w:tab/>
        <w:t>(1)</w:t>
      </w:r>
      <w:r w:rsidRPr="00D97EFB">
        <w:tab/>
        <w:t>This regulation applies if:</w:t>
      </w:r>
    </w:p>
    <w:p w14:paraId="6A0AA564" w14:textId="77777777" w:rsidR="00E93F58" w:rsidRPr="00D97EFB" w:rsidRDefault="00E93F58" w:rsidP="00BB7E31">
      <w:pPr>
        <w:pStyle w:val="paragraph"/>
      </w:pPr>
      <w:r w:rsidRPr="00D97EFB">
        <w:rPr>
          <w:color w:val="000000"/>
        </w:rPr>
        <w:tab/>
        <w:t>(a)</w:t>
      </w:r>
      <w:r w:rsidRPr="00D97EFB">
        <w:rPr>
          <w:color w:val="000000"/>
        </w:rPr>
        <w:tab/>
        <w:t>a person began to hold shares in a proprietary company as trustee for, or otherwise on behalf of or on account of, a body corporate before the FSR commencement; and</w:t>
      </w:r>
    </w:p>
    <w:p w14:paraId="3577D7A7" w14:textId="77777777" w:rsidR="00E93F58" w:rsidRPr="00D97EFB" w:rsidRDefault="00E93F58" w:rsidP="00BB7E31">
      <w:pPr>
        <w:pStyle w:val="paragraph"/>
      </w:pPr>
      <w:r w:rsidRPr="00D97EFB">
        <w:tab/>
        <w:t>(b)</w:t>
      </w:r>
      <w:r w:rsidRPr="00D97EFB">
        <w:tab/>
        <w:t>the person did not serve on the proprietary company the notice required under subsection 1091C(11) of the old Corporations Act before the FSR commencement; and</w:t>
      </w:r>
    </w:p>
    <w:p w14:paraId="5198FD4E" w14:textId="77777777" w:rsidR="00E93F58" w:rsidRPr="00D97EFB" w:rsidRDefault="00E93F58" w:rsidP="00BB7E31">
      <w:pPr>
        <w:pStyle w:val="paragraph"/>
      </w:pPr>
      <w:r w:rsidRPr="00D97EFB">
        <w:tab/>
        <w:t>(c)</w:t>
      </w:r>
      <w:r w:rsidRPr="00D97EFB">
        <w:tab/>
        <w:t>the 1 month period mentioned in that subsection had not expired before the FSR commencement.</w:t>
      </w:r>
    </w:p>
    <w:p w14:paraId="753A78CB" w14:textId="77777777" w:rsidR="00E93F58" w:rsidRPr="00D97EFB" w:rsidRDefault="00E93F58" w:rsidP="00BB7E31">
      <w:pPr>
        <w:pStyle w:val="subsection"/>
      </w:pPr>
      <w:r w:rsidRPr="00D97EFB">
        <w:tab/>
        <w:t>(2)</w:t>
      </w:r>
      <w:r w:rsidRPr="00D97EFB">
        <w:tab/>
        <w:t>Section 1091C of the old Corporations Act, and any associated provisions, continue to apply to the extent necessary to allow for:</w:t>
      </w:r>
    </w:p>
    <w:p w14:paraId="5F38ED52" w14:textId="77777777" w:rsidR="00E93F58" w:rsidRPr="00D97EFB" w:rsidRDefault="00E93F58" w:rsidP="00BB7E31">
      <w:pPr>
        <w:pStyle w:val="paragraph"/>
      </w:pPr>
      <w:r w:rsidRPr="00D97EFB">
        <w:rPr>
          <w:color w:val="000000"/>
        </w:rPr>
        <w:tab/>
        <w:t>(a)</w:t>
      </w:r>
      <w:r w:rsidRPr="00D97EFB">
        <w:rPr>
          <w:color w:val="000000"/>
        </w:rPr>
        <w:tab/>
        <w:t>the person to serve the notice within the 1 month period; and</w:t>
      </w:r>
    </w:p>
    <w:p w14:paraId="25F53A15" w14:textId="77777777" w:rsidR="00E93F58" w:rsidRPr="00D97EFB" w:rsidRDefault="00E93F58" w:rsidP="00BB7E31">
      <w:pPr>
        <w:pStyle w:val="paragraph"/>
      </w:pPr>
      <w:r w:rsidRPr="00D97EFB">
        <w:tab/>
        <w:t>(b)</w:t>
      </w:r>
      <w:r w:rsidRPr="00D97EFB">
        <w:tab/>
        <w:t>the consequences of not serving the notice within the period.</w:t>
      </w:r>
    </w:p>
    <w:p w14:paraId="4BC2028F" w14:textId="77777777" w:rsidR="00E93F58" w:rsidRPr="00D97EFB" w:rsidRDefault="00E93F58" w:rsidP="00BB7E31">
      <w:pPr>
        <w:pStyle w:val="ActHead5"/>
      </w:pPr>
      <w:bookmarkStart w:id="2602" w:name="_Toc151994580"/>
      <w:bookmarkStart w:id="2603" w:name="_Toc158713090"/>
      <w:r w:rsidRPr="000D40D5">
        <w:rPr>
          <w:rStyle w:val="CharSectno"/>
        </w:rPr>
        <w:t>10.2.108</w:t>
      </w:r>
      <w:r w:rsidRPr="00D97EFB">
        <w:t xml:space="preserve">  Registration of transfer at request of transferor</w:t>
      </w:r>
      <w:bookmarkEnd w:id="2602"/>
      <w:bookmarkEnd w:id="2603"/>
    </w:p>
    <w:p w14:paraId="6CE8F400" w14:textId="77777777" w:rsidR="00E93F58" w:rsidRPr="00D97EFB" w:rsidRDefault="00E93F58" w:rsidP="00BB7E31">
      <w:pPr>
        <w:pStyle w:val="subsection"/>
      </w:pPr>
      <w:r w:rsidRPr="00D97EFB">
        <w:tab/>
        <w:t>(1)</w:t>
      </w:r>
      <w:r w:rsidRPr="00D97EFB">
        <w:tab/>
        <w:t>This regulation applies if:</w:t>
      </w:r>
    </w:p>
    <w:p w14:paraId="3FE58BDA" w14:textId="77777777" w:rsidR="00E93F58" w:rsidRPr="00D97EFB" w:rsidRDefault="00E93F58" w:rsidP="00BB7E31">
      <w:pPr>
        <w:pStyle w:val="paragraph"/>
      </w:pPr>
      <w:r w:rsidRPr="00D97EFB">
        <w:rPr>
          <w:color w:val="000000"/>
        </w:rPr>
        <w:tab/>
        <w:t>(a)</w:t>
      </w:r>
      <w:r w:rsidRPr="00D97EFB">
        <w:rPr>
          <w:color w:val="000000"/>
        </w:rPr>
        <w:tab/>
        <w:t>the transferor of a share in, debenture of, or interest made available by, a company requested the company, under subsection 1092(2) of the old Corporations Act, to carry out the obligations under that subsection; and</w:t>
      </w:r>
    </w:p>
    <w:p w14:paraId="6432FABE" w14:textId="77777777" w:rsidR="00E93F58" w:rsidRPr="00D97EFB" w:rsidRDefault="00E93F58" w:rsidP="00BB7E31">
      <w:pPr>
        <w:pStyle w:val="paragraph"/>
      </w:pPr>
      <w:r w:rsidRPr="00D97EFB">
        <w:tab/>
        <w:t>(b)</w:t>
      </w:r>
      <w:r w:rsidRPr="00D97EFB">
        <w:tab/>
        <w:t>the company did not complete all of its obligations under that subsection within the stated period.</w:t>
      </w:r>
    </w:p>
    <w:p w14:paraId="12CA2EFB" w14:textId="77777777" w:rsidR="00E93F58" w:rsidRPr="00D97EFB" w:rsidRDefault="00E93F58" w:rsidP="00BB7E31">
      <w:pPr>
        <w:pStyle w:val="subsection"/>
      </w:pPr>
      <w:r w:rsidRPr="00D97EFB">
        <w:tab/>
        <w:t>(2)</w:t>
      </w:r>
      <w:r w:rsidRPr="00D97EFB">
        <w:tab/>
        <w:t>Section 1092 of the old Corporations Act, and any associated provisions, continue to apply to the extent necessary to allow for:</w:t>
      </w:r>
    </w:p>
    <w:p w14:paraId="7179127F" w14:textId="77777777" w:rsidR="00E93F58" w:rsidRPr="00D97EFB" w:rsidRDefault="00E93F58" w:rsidP="00BB7E31">
      <w:pPr>
        <w:pStyle w:val="paragraph"/>
      </w:pPr>
      <w:r w:rsidRPr="00D97EFB">
        <w:rPr>
          <w:color w:val="000000"/>
        </w:rPr>
        <w:tab/>
        <w:t>(a)</w:t>
      </w:r>
      <w:r w:rsidRPr="00D97EFB">
        <w:rPr>
          <w:color w:val="000000"/>
        </w:rPr>
        <w:tab/>
        <w:t>the completion of the company’s obligations within the stated period; and</w:t>
      </w:r>
    </w:p>
    <w:p w14:paraId="4CC77EA2" w14:textId="77777777" w:rsidR="00E93F58" w:rsidRPr="00D97EFB" w:rsidRDefault="00E93F58" w:rsidP="00BB7E31">
      <w:pPr>
        <w:pStyle w:val="paragraph"/>
      </w:pPr>
      <w:r w:rsidRPr="00D97EFB">
        <w:tab/>
        <w:t>(b)</w:t>
      </w:r>
      <w:r w:rsidRPr="00D97EFB">
        <w:tab/>
        <w:t>the consequences of not completing the obligations within the stated period.</w:t>
      </w:r>
    </w:p>
    <w:p w14:paraId="1C51E74B" w14:textId="77777777" w:rsidR="00E93F58" w:rsidRPr="00D97EFB" w:rsidRDefault="00E93F58" w:rsidP="00BB7E31">
      <w:pPr>
        <w:pStyle w:val="ActHead5"/>
      </w:pPr>
      <w:bookmarkStart w:id="2604" w:name="_Toc151994581"/>
      <w:bookmarkStart w:id="2605" w:name="_Toc158713091"/>
      <w:r w:rsidRPr="000D40D5">
        <w:rPr>
          <w:rStyle w:val="CharSectno"/>
        </w:rPr>
        <w:lastRenderedPageBreak/>
        <w:t>10.2.109</w:t>
      </w:r>
      <w:r w:rsidRPr="00D97EFB">
        <w:t xml:space="preserve">  Notice of refusal to register transfer</w:t>
      </w:r>
      <w:bookmarkEnd w:id="2604"/>
      <w:bookmarkEnd w:id="2605"/>
    </w:p>
    <w:p w14:paraId="0D22E4F1" w14:textId="77777777" w:rsidR="00E93F58" w:rsidRPr="00D97EFB" w:rsidRDefault="00E93F58" w:rsidP="00BB7E31">
      <w:pPr>
        <w:pStyle w:val="subsection"/>
      </w:pPr>
      <w:r w:rsidRPr="00D97EFB">
        <w:tab/>
        <w:t>(1)</w:t>
      </w:r>
      <w:r w:rsidRPr="00D97EFB">
        <w:tab/>
        <w:t>This regulation applies if:</w:t>
      </w:r>
    </w:p>
    <w:p w14:paraId="0EB5A9FA" w14:textId="77777777" w:rsidR="00E93F58" w:rsidRPr="00D97EFB" w:rsidRDefault="00E93F58" w:rsidP="00BB7E31">
      <w:pPr>
        <w:pStyle w:val="paragraph"/>
      </w:pPr>
      <w:r w:rsidRPr="00D97EFB">
        <w:tab/>
        <w:t>(a)</w:t>
      </w:r>
      <w:r w:rsidRPr="00D97EFB">
        <w:tab/>
        <w:t>a company refused, under section 1093 of the old Corporations Act, to register:</w:t>
      </w:r>
    </w:p>
    <w:p w14:paraId="6A4686AD" w14:textId="77777777" w:rsidR="00E93F58" w:rsidRPr="00D97EFB" w:rsidRDefault="00E93F58" w:rsidP="00BB7E31">
      <w:pPr>
        <w:pStyle w:val="paragraphsub"/>
      </w:pPr>
      <w:r w:rsidRPr="00D97EFB">
        <w:rPr>
          <w:color w:val="000000"/>
        </w:rPr>
        <w:tab/>
        <w:t>(i)</w:t>
      </w:r>
      <w:r w:rsidRPr="00D97EFB">
        <w:rPr>
          <w:color w:val="000000"/>
        </w:rPr>
        <w:tab/>
        <w:t>a transfer of shares in the company; or</w:t>
      </w:r>
    </w:p>
    <w:p w14:paraId="2EA99728" w14:textId="77777777" w:rsidR="00E93F58" w:rsidRPr="00D97EFB" w:rsidRDefault="00E93F58" w:rsidP="00BB7E31">
      <w:pPr>
        <w:pStyle w:val="paragraphsub"/>
      </w:pPr>
      <w:r w:rsidRPr="00D97EFB">
        <w:tab/>
        <w:t>(ii)</w:t>
      </w:r>
      <w:r w:rsidRPr="00D97EFB">
        <w:tab/>
        <w:t>a transfer of debentures of the company; or</w:t>
      </w:r>
    </w:p>
    <w:p w14:paraId="3B189A1F" w14:textId="77777777" w:rsidR="00E93F58" w:rsidRPr="00D97EFB" w:rsidRDefault="00E93F58" w:rsidP="00BB7E31">
      <w:pPr>
        <w:pStyle w:val="paragraphsub"/>
      </w:pPr>
      <w:r w:rsidRPr="00D97EFB">
        <w:tab/>
        <w:t>(iii)</w:t>
      </w:r>
      <w:r w:rsidRPr="00D97EFB">
        <w:tab/>
        <w:t>a transfer of interests made available by the company; and</w:t>
      </w:r>
    </w:p>
    <w:p w14:paraId="39DD60C4" w14:textId="77777777" w:rsidR="00E93F58" w:rsidRPr="00D97EFB" w:rsidRDefault="00E93F58" w:rsidP="00BB7E31">
      <w:pPr>
        <w:pStyle w:val="paragraph"/>
      </w:pPr>
      <w:r w:rsidRPr="00D97EFB">
        <w:rPr>
          <w:color w:val="000000"/>
        </w:rPr>
        <w:tab/>
        <w:t>(b)</w:t>
      </w:r>
      <w:r w:rsidRPr="00D97EFB">
        <w:rPr>
          <w:color w:val="000000"/>
        </w:rPr>
        <w:tab/>
        <w:t>the company did not send the transferee the notice required under that section before the FSR commencement; and</w:t>
      </w:r>
    </w:p>
    <w:p w14:paraId="7CD6204F" w14:textId="77777777" w:rsidR="00E93F58" w:rsidRPr="00D97EFB" w:rsidRDefault="00E93F58" w:rsidP="00BB7E31">
      <w:pPr>
        <w:pStyle w:val="paragraph"/>
      </w:pPr>
      <w:r w:rsidRPr="00D97EFB">
        <w:tab/>
        <w:t>(c)</w:t>
      </w:r>
      <w:r w:rsidRPr="00D97EFB">
        <w:tab/>
        <w:t>the 2 month period mentioned in that section had not expired before the FSR commencement.</w:t>
      </w:r>
    </w:p>
    <w:p w14:paraId="3DA26020" w14:textId="77777777" w:rsidR="00E93F58" w:rsidRPr="00D97EFB" w:rsidRDefault="00E93F58" w:rsidP="00BB7E31">
      <w:pPr>
        <w:pStyle w:val="subsection"/>
      </w:pPr>
      <w:r w:rsidRPr="00D97EFB">
        <w:tab/>
        <w:t>(2)</w:t>
      </w:r>
      <w:r w:rsidRPr="00D97EFB">
        <w:tab/>
        <w:t>Section 1093 of the old Corporations Act, and any associated provisions, continue to apply to the extent necessary to allow for:</w:t>
      </w:r>
    </w:p>
    <w:p w14:paraId="194E74FC" w14:textId="77777777" w:rsidR="00E93F58" w:rsidRPr="00D97EFB" w:rsidRDefault="00E93F58" w:rsidP="00BB7E31">
      <w:pPr>
        <w:pStyle w:val="paragraph"/>
      </w:pPr>
      <w:r w:rsidRPr="00D97EFB">
        <w:rPr>
          <w:color w:val="000000"/>
        </w:rPr>
        <w:tab/>
        <w:t>(a)</w:t>
      </w:r>
      <w:r w:rsidRPr="00D97EFB">
        <w:rPr>
          <w:color w:val="000000"/>
        </w:rPr>
        <w:tab/>
        <w:t>the completion of the company’s obligations within the 2 month period; and</w:t>
      </w:r>
    </w:p>
    <w:p w14:paraId="71EA945A" w14:textId="77777777" w:rsidR="00E93F58" w:rsidRPr="00D97EFB" w:rsidRDefault="00E93F58" w:rsidP="00BB7E31">
      <w:pPr>
        <w:pStyle w:val="paragraph"/>
      </w:pPr>
      <w:r w:rsidRPr="00D97EFB">
        <w:tab/>
        <w:t>(b)</w:t>
      </w:r>
      <w:r w:rsidRPr="00D97EFB">
        <w:tab/>
        <w:t>the consequences of not completing the obligations within the 2 month period.</w:t>
      </w:r>
    </w:p>
    <w:p w14:paraId="4F4A325C" w14:textId="77777777" w:rsidR="00E93F58" w:rsidRPr="00D97EFB" w:rsidRDefault="00E93F58" w:rsidP="00BB7E31">
      <w:pPr>
        <w:pStyle w:val="ActHead5"/>
      </w:pPr>
      <w:bookmarkStart w:id="2606" w:name="_Toc151994582"/>
      <w:bookmarkStart w:id="2607" w:name="_Toc158713092"/>
      <w:r w:rsidRPr="000D40D5">
        <w:rPr>
          <w:rStyle w:val="CharSectno"/>
        </w:rPr>
        <w:t>10.2.110</w:t>
      </w:r>
      <w:r w:rsidRPr="00D97EFB">
        <w:t xml:space="preserve">  Duties of company with respect to issue of certificates: allotment of shares or debentures or making interests available</w:t>
      </w:r>
      <w:bookmarkEnd w:id="2606"/>
      <w:bookmarkEnd w:id="2607"/>
    </w:p>
    <w:p w14:paraId="6C7AE263" w14:textId="77777777" w:rsidR="00E93F58" w:rsidRPr="00D97EFB" w:rsidRDefault="00E93F58" w:rsidP="00BB7E31">
      <w:pPr>
        <w:pStyle w:val="subsection"/>
      </w:pPr>
      <w:r w:rsidRPr="00D97EFB">
        <w:tab/>
        <w:t>(1)</w:t>
      </w:r>
      <w:r w:rsidRPr="00D97EFB">
        <w:tab/>
        <w:t>This regulation applies if:</w:t>
      </w:r>
    </w:p>
    <w:p w14:paraId="414BF08B" w14:textId="77777777" w:rsidR="00E93F58" w:rsidRPr="00D97EFB" w:rsidRDefault="00E93F58" w:rsidP="00BB7E31">
      <w:pPr>
        <w:pStyle w:val="paragraph"/>
      </w:pPr>
      <w:r w:rsidRPr="00D97EFB">
        <w:tab/>
        <w:t>(a)</w:t>
      </w:r>
      <w:r w:rsidRPr="00D97EFB">
        <w:tab/>
        <w:t>a company:</w:t>
      </w:r>
    </w:p>
    <w:p w14:paraId="1957D2A6" w14:textId="77777777" w:rsidR="00E93F58" w:rsidRPr="00D97EFB" w:rsidRDefault="00E93F58" w:rsidP="00BB7E31">
      <w:pPr>
        <w:pStyle w:val="paragraphsub"/>
      </w:pPr>
      <w:r w:rsidRPr="00D97EFB">
        <w:rPr>
          <w:color w:val="000000"/>
        </w:rPr>
        <w:tab/>
        <w:t>(i)</w:t>
      </w:r>
      <w:r w:rsidRPr="00D97EFB">
        <w:rPr>
          <w:color w:val="000000"/>
        </w:rPr>
        <w:tab/>
        <w:t>allotted shares in, issued debentures of, or made available interests in the company before the FSR commencement; and</w:t>
      </w:r>
    </w:p>
    <w:p w14:paraId="5938EF16" w14:textId="77777777" w:rsidR="00E93F58" w:rsidRPr="00D97EFB" w:rsidRDefault="00E93F58" w:rsidP="00BB7E31">
      <w:pPr>
        <w:pStyle w:val="paragraphsub"/>
      </w:pPr>
      <w:r w:rsidRPr="00D97EFB">
        <w:tab/>
        <w:t>(ii)</w:t>
      </w:r>
      <w:r w:rsidRPr="00D97EFB">
        <w:tab/>
        <w:t>did not complete all of its obligations under paragraph 1096(1)(a) or (b) of the old Corporations Act (whether or not those obligations were affected by paragraph 1096(1A)(b) of the old Corporations Act) within the 2 month period required by subsection 1096(1) of that Act; and</w:t>
      </w:r>
    </w:p>
    <w:p w14:paraId="78391573" w14:textId="77777777" w:rsidR="00E93F58" w:rsidRPr="00D97EFB" w:rsidRDefault="00E93F58" w:rsidP="00BB7E31">
      <w:pPr>
        <w:pStyle w:val="paragraph"/>
      </w:pPr>
      <w:r w:rsidRPr="00D97EFB">
        <w:rPr>
          <w:color w:val="000000"/>
        </w:rPr>
        <w:tab/>
        <w:t>(b)</w:t>
      </w:r>
      <w:r w:rsidRPr="00D97EFB">
        <w:rPr>
          <w:color w:val="000000"/>
        </w:rPr>
        <w:tab/>
        <w:t>paragraph 1096(1A)(a) of the old Corporations Act did not apply in relation to the company during the 2 month period.</w:t>
      </w:r>
    </w:p>
    <w:p w14:paraId="40F8E3A6" w14:textId="77777777" w:rsidR="00E93F58" w:rsidRPr="00D97EFB" w:rsidRDefault="00E93F58" w:rsidP="00BB7E31">
      <w:pPr>
        <w:pStyle w:val="notetext"/>
      </w:pPr>
      <w:r w:rsidRPr="00D97EFB">
        <w:t>Note:</w:t>
      </w:r>
      <w:r w:rsidRPr="00D97EFB">
        <w:tab/>
        <w:t>Subsection 1096(1A) of the old Corporations Act referred to the possibility that the SCH business rules may include a provision to the effect that:</w:t>
      </w:r>
    </w:p>
    <w:p w14:paraId="27422F59" w14:textId="77777777" w:rsidR="00E93F58" w:rsidRPr="00D97EFB" w:rsidRDefault="00E93F58" w:rsidP="00BB7E31">
      <w:pPr>
        <w:pStyle w:val="notepara"/>
        <w:rPr>
          <w:color w:val="000000"/>
        </w:rPr>
      </w:pPr>
      <w:r w:rsidRPr="00D97EFB">
        <w:rPr>
          <w:color w:val="000000"/>
        </w:rPr>
        <w:t>(a)</w:t>
      </w:r>
      <w:r w:rsidRPr="00D97EFB">
        <w:rPr>
          <w:color w:val="000000"/>
        </w:rPr>
        <w:tab/>
        <w:t>no document is required to be completed and delivered in relation to the allotment, issue or making available of a share, debenture or interest in specified circumstances; or</w:t>
      </w:r>
    </w:p>
    <w:p w14:paraId="311F2D38" w14:textId="77777777" w:rsidR="00E93F58" w:rsidRPr="00D97EFB" w:rsidRDefault="00E93F58" w:rsidP="00BB7E31">
      <w:pPr>
        <w:pStyle w:val="notepara"/>
      </w:pPr>
      <w:r w:rsidRPr="00D97EFB">
        <w:t>(b)</w:t>
      </w:r>
      <w:r w:rsidRPr="00D97EFB">
        <w:tab/>
        <w:t>the only document to be completed and delivered is such document as the rules require.</w:t>
      </w:r>
    </w:p>
    <w:p w14:paraId="1416868D" w14:textId="77777777" w:rsidR="00E93F58" w:rsidRPr="00D97EFB" w:rsidRDefault="00E93F58" w:rsidP="00BB7E31">
      <w:pPr>
        <w:pStyle w:val="subsection"/>
      </w:pPr>
      <w:r w:rsidRPr="00D97EFB">
        <w:tab/>
        <w:t>(2)</w:t>
      </w:r>
      <w:r w:rsidRPr="00D97EFB">
        <w:tab/>
        <w:t>Section 1096 of the old Corporations Act, and any associated provisions, continue to apply to the extent necessary to allow for:</w:t>
      </w:r>
    </w:p>
    <w:p w14:paraId="3F349475" w14:textId="77777777" w:rsidR="00E93F58" w:rsidRPr="00D97EFB" w:rsidRDefault="00E93F58" w:rsidP="00BB7E31">
      <w:pPr>
        <w:pStyle w:val="paragraph"/>
      </w:pPr>
      <w:r w:rsidRPr="00D97EFB">
        <w:rPr>
          <w:color w:val="000000"/>
        </w:rPr>
        <w:tab/>
        <w:t>(a)</w:t>
      </w:r>
      <w:r w:rsidRPr="00D97EFB">
        <w:rPr>
          <w:color w:val="000000"/>
        </w:rPr>
        <w:tab/>
        <w:t>the completion of the company’s obligations within the 2 month period; and</w:t>
      </w:r>
    </w:p>
    <w:p w14:paraId="5F30200C" w14:textId="77777777" w:rsidR="00E93F58" w:rsidRPr="00D97EFB" w:rsidRDefault="00E93F58" w:rsidP="00BB7E31">
      <w:pPr>
        <w:pStyle w:val="paragraph"/>
      </w:pPr>
      <w:r w:rsidRPr="00D97EFB">
        <w:tab/>
        <w:t>(b)</w:t>
      </w:r>
      <w:r w:rsidRPr="00D97EFB">
        <w:tab/>
        <w:t>a relevant person mentioned in paragraph 1096(1)(b) of the old Corporations Act to give instructions mentioned in that paragraph after the FSR commencement; and</w:t>
      </w:r>
    </w:p>
    <w:p w14:paraId="544A5A81" w14:textId="77777777" w:rsidR="00E93F58" w:rsidRPr="00D97EFB" w:rsidRDefault="00E93F58" w:rsidP="00BB7E31">
      <w:pPr>
        <w:pStyle w:val="paragraph"/>
      </w:pPr>
      <w:r w:rsidRPr="00D97EFB">
        <w:tab/>
        <w:t>(c)</w:t>
      </w:r>
      <w:r w:rsidRPr="00D97EFB">
        <w:tab/>
        <w:t>the operation of the arrangements mentioned in subsections 1096(3) and (4) of the old Corporations Act after the FSR commencement; and</w:t>
      </w:r>
    </w:p>
    <w:p w14:paraId="437EE127" w14:textId="77777777" w:rsidR="00E93F58" w:rsidRPr="00D97EFB" w:rsidRDefault="00E93F58" w:rsidP="00BB7E31">
      <w:pPr>
        <w:pStyle w:val="paragraph"/>
      </w:pPr>
      <w:r w:rsidRPr="00D97EFB">
        <w:tab/>
        <w:t>(d)</w:t>
      </w:r>
      <w:r w:rsidRPr="00D97EFB">
        <w:tab/>
        <w:t>the consequences of not completing the obligations within the 2 month period.</w:t>
      </w:r>
    </w:p>
    <w:p w14:paraId="75906A49" w14:textId="77777777" w:rsidR="00E93F58" w:rsidRPr="00D97EFB" w:rsidRDefault="00E93F58" w:rsidP="00BB7E31">
      <w:pPr>
        <w:pStyle w:val="ActHead5"/>
      </w:pPr>
      <w:bookmarkStart w:id="2608" w:name="_Toc151994583"/>
      <w:bookmarkStart w:id="2609" w:name="_Toc158713093"/>
      <w:r w:rsidRPr="000D40D5">
        <w:rPr>
          <w:rStyle w:val="CharSectno"/>
        </w:rPr>
        <w:t>10.2.111</w:t>
      </w:r>
      <w:r w:rsidRPr="00D97EFB">
        <w:t xml:space="preserve">  Duties of company with respect to issue of certificates: transfer of shares, debentures or interests</w:t>
      </w:r>
      <w:bookmarkEnd w:id="2608"/>
      <w:bookmarkEnd w:id="2609"/>
    </w:p>
    <w:p w14:paraId="404A598C" w14:textId="77777777" w:rsidR="00E93F58" w:rsidRPr="00D97EFB" w:rsidRDefault="00E93F58" w:rsidP="00BB7E31">
      <w:pPr>
        <w:pStyle w:val="subsection"/>
      </w:pPr>
      <w:r w:rsidRPr="00D97EFB">
        <w:tab/>
        <w:t>(1)</w:t>
      </w:r>
      <w:r w:rsidRPr="00D97EFB">
        <w:tab/>
        <w:t>This regulation applies if:</w:t>
      </w:r>
    </w:p>
    <w:p w14:paraId="7F5A2067" w14:textId="77777777" w:rsidR="00E93F58" w:rsidRPr="00D97EFB" w:rsidRDefault="00E93F58" w:rsidP="00BB7E31">
      <w:pPr>
        <w:pStyle w:val="paragraph"/>
      </w:pPr>
      <w:r w:rsidRPr="00D97EFB">
        <w:tab/>
        <w:t>(a)</w:t>
      </w:r>
      <w:r w:rsidRPr="00D97EFB">
        <w:tab/>
        <w:t>any of the following was lodged with a company:</w:t>
      </w:r>
    </w:p>
    <w:p w14:paraId="3F9A19BC" w14:textId="77777777" w:rsidR="00E93F58" w:rsidRPr="00D97EFB" w:rsidRDefault="00E93F58" w:rsidP="00BB7E31">
      <w:pPr>
        <w:pStyle w:val="paragraphsub"/>
        <w:rPr>
          <w:color w:val="000000"/>
        </w:rPr>
      </w:pPr>
      <w:r w:rsidRPr="00D97EFB">
        <w:rPr>
          <w:color w:val="000000"/>
        </w:rPr>
        <w:tab/>
        <w:t>(i)</w:t>
      </w:r>
      <w:r w:rsidRPr="00D97EFB">
        <w:rPr>
          <w:color w:val="000000"/>
        </w:rPr>
        <w:tab/>
        <w:t>a transfer of shares in the company (other than a transfer that the company was entitled to refuse to register and did not register);</w:t>
      </w:r>
    </w:p>
    <w:p w14:paraId="15DA2721" w14:textId="77777777" w:rsidR="00E93F58" w:rsidRPr="00D97EFB" w:rsidRDefault="00E93F58" w:rsidP="00BB7E31">
      <w:pPr>
        <w:pStyle w:val="paragraphsub"/>
      </w:pPr>
      <w:r w:rsidRPr="00D97EFB">
        <w:tab/>
        <w:t>(ii)</w:t>
      </w:r>
      <w:r w:rsidRPr="00D97EFB">
        <w:tab/>
        <w:t>a transfer of debentures of the company (other than a transfer that the company was entitled to refuse to register and did not register);</w:t>
      </w:r>
    </w:p>
    <w:p w14:paraId="6D1BCAB1" w14:textId="77777777" w:rsidR="00E93F58" w:rsidRPr="00D97EFB" w:rsidRDefault="00E93F58" w:rsidP="00BB7E31">
      <w:pPr>
        <w:pStyle w:val="paragraphsub"/>
      </w:pPr>
      <w:r w:rsidRPr="00D97EFB">
        <w:tab/>
        <w:t>(iii)</w:t>
      </w:r>
      <w:r w:rsidRPr="00D97EFB">
        <w:tab/>
        <w:t>a transfer of interests made available by the company (other than a transfer that the company was entitled to refuse to register and did not register); and</w:t>
      </w:r>
    </w:p>
    <w:p w14:paraId="5E3BE0DC" w14:textId="77777777" w:rsidR="00E93F58" w:rsidRPr="00D97EFB" w:rsidRDefault="00E93F58" w:rsidP="00BB7E31">
      <w:pPr>
        <w:pStyle w:val="paragraph"/>
      </w:pPr>
      <w:r w:rsidRPr="00D97EFB">
        <w:rPr>
          <w:color w:val="000000"/>
        </w:rPr>
        <w:tab/>
        <w:t>(b)</w:t>
      </w:r>
      <w:r w:rsidRPr="00D97EFB">
        <w:rPr>
          <w:color w:val="000000"/>
        </w:rPr>
        <w:tab/>
        <w:t>the company was required to complete, and have ready for delivery, all appropriate certificates, debentures or other documents in accordance with subsection 1096(2) of the old Corporations Act; and</w:t>
      </w:r>
    </w:p>
    <w:p w14:paraId="3A2E3BCD" w14:textId="77777777" w:rsidR="00E93F58" w:rsidRPr="00D97EFB" w:rsidRDefault="00E93F58" w:rsidP="00BB7E31">
      <w:pPr>
        <w:pStyle w:val="paragraph"/>
      </w:pPr>
      <w:r w:rsidRPr="00D97EFB">
        <w:tab/>
        <w:t>(c)</w:t>
      </w:r>
      <w:r w:rsidRPr="00D97EFB">
        <w:tab/>
        <w:t>the company did not complete all of its obligations under paragraph 1096(2)(a) or (b) of the old Corporations Act (whether or not those obligations were affected by subsection 1096(2A) of the old Corporations Act) within the 1 month period required by subsection 1096(2) of that Act.</w:t>
      </w:r>
    </w:p>
    <w:p w14:paraId="1AB9062F" w14:textId="77777777" w:rsidR="00E93F58" w:rsidRPr="00D97EFB" w:rsidRDefault="00E93F58" w:rsidP="00BB7E31">
      <w:pPr>
        <w:pStyle w:val="notetext"/>
      </w:pPr>
      <w:r w:rsidRPr="00D97EFB">
        <w:rPr>
          <w:color w:val="000000"/>
        </w:rPr>
        <w:lastRenderedPageBreak/>
        <w:t>Note:</w:t>
      </w:r>
      <w:r w:rsidRPr="00D97EFB">
        <w:rPr>
          <w:color w:val="000000"/>
        </w:rPr>
        <w:tab/>
        <w:t>Subsection 1096(2A) of the old Corporations Act provided that the only document required by subsection 1096(2) of the old Corporations Act to be completed and delivered by a company in relation to an SCH</w:t>
      </w:r>
      <w:r>
        <w:rPr>
          <w:color w:val="000000"/>
        </w:rPr>
        <w:noBreakHyphen/>
      </w:r>
      <w:r w:rsidRPr="00D97EFB">
        <w:rPr>
          <w:color w:val="000000"/>
        </w:rPr>
        <w:t>regulated transfer is such document (if any) as the SCH business rules require to be so completed and delivered.</w:t>
      </w:r>
    </w:p>
    <w:p w14:paraId="472F0354" w14:textId="77777777" w:rsidR="00E93F58" w:rsidRPr="00D97EFB" w:rsidRDefault="00E93F58" w:rsidP="00BB7E31">
      <w:pPr>
        <w:pStyle w:val="subsection"/>
      </w:pPr>
      <w:r w:rsidRPr="00D97EFB">
        <w:tab/>
        <w:t>(2)</w:t>
      </w:r>
      <w:r w:rsidRPr="00D97EFB">
        <w:tab/>
        <w:t>Section 1096 of the old Corporations Act, and any associated provisions, continue to apply to the extent necessary to allow for:</w:t>
      </w:r>
    </w:p>
    <w:p w14:paraId="719F8794" w14:textId="77777777" w:rsidR="00E93F58" w:rsidRPr="00D97EFB" w:rsidRDefault="00E93F58" w:rsidP="00BB7E31">
      <w:pPr>
        <w:pStyle w:val="paragraph"/>
      </w:pPr>
      <w:r w:rsidRPr="00D97EFB">
        <w:rPr>
          <w:color w:val="000000"/>
        </w:rPr>
        <w:tab/>
        <w:t>(a)</w:t>
      </w:r>
      <w:r w:rsidRPr="00D97EFB">
        <w:rPr>
          <w:color w:val="000000"/>
        </w:rPr>
        <w:tab/>
        <w:t>the completion of the company’s obligations within the 1 month period; and</w:t>
      </w:r>
    </w:p>
    <w:p w14:paraId="10211F59" w14:textId="77777777" w:rsidR="00E93F58" w:rsidRPr="00D97EFB" w:rsidRDefault="00E93F58" w:rsidP="00BB7E31">
      <w:pPr>
        <w:pStyle w:val="paragraph"/>
      </w:pPr>
      <w:r w:rsidRPr="00D97EFB">
        <w:tab/>
        <w:t>(b)</w:t>
      </w:r>
      <w:r w:rsidRPr="00D97EFB">
        <w:tab/>
        <w:t>a transferee mentioned in paragraph 1096(2)(b) of the old Corporations Act to give instructions mentioned in that paragraph after the FSR commencement; and</w:t>
      </w:r>
    </w:p>
    <w:p w14:paraId="61BC4011" w14:textId="77777777" w:rsidR="00E93F58" w:rsidRPr="00D97EFB" w:rsidRDefault="00E93F58" w:rsidP="00BB7E31">
      <w:pPr>
        <w:pStyle w:val="paragraph"/>
      </w:pPr>
      <w:r w:rsidRPr="00D97EFB">
        <w:tab/>
        <w:t>(c)</w:t>
      </w:r>
      <w:r w:rsidRPr="00D97EFB">
        <w:tab/>
        <w:t>the operation of the arrangements mentioned in subsections 1096(3) and (4) of the old Corporations Act after the FSR commencement; and</w:t>
      </w:r>
    </w:p>
    <w:p w14:paraId="0DF2C8DC" w14:textId="77777777" w:rsidR="00E93F58" w:rsidRPr="00D97EFB" w:rsidRDefault="00E93F58" w:rsidP="00BB7E31">
      <w:pPr>
        <w:pStyle w:val="paragraph"/>
      </w:pPr>
      <w:r w:rsidRPr="00D97EFB">
        <w:tab/>
        <w:t>(d)</w:t>
      </w:r>
      <w:r w:rsidRPr="00D97EFB">
        <w:tab/>
        <w:t>the consequences of not completing the obligations within the 1 month period.</w:t>
      </w:r>
    </w:p>
    <w:p w14:paraId="36105CFD" w14:textId="77777777" w:rsidR="00E93F58" w:rsidRPr="00D97EFB" w:rsidRDefault="00E93F58" w:rsidP="00BB7E31">
      <w:pPr>
        <w:pStyle w:val="ActHead5"/>
      </w:pPr>
      <w:bookmarkStart w:id="2610" w:name="_Toc151994584"/>
      <w:bookmarkStart w:id="2611" w:name="_Toc158713094"/>
      <w:r w:rsidRPr="000D40D5">
        <w:rPr>
          <w:rStyle w:val="CharSectno"/>
        </w:rPr>
        <w:t>10.2.112</w:t>
      </w:r>
      <w:r w:rsidRPr="00D97EFB">
        <w:t xml:space="preserve">  Notices relating to non</w:t>
      </w:r>
      <w:r>
        <w:noBreakHyphen/>
      </w:r>
      <w:r w:rsidRPr="00D97EFB">
        <w:t>beneficial and beneficial ownership of shares</w:t>
      </w:r>
      <w:bookmarkEnd w:id="2610"/>
      <w:bookmarkEnd w:id="2611"/>
    </w:p>
    <w:p w14:paraId="2CCC312D" w14:textId="77777777" w:rsidR="00E93F58" w:rsidRPr="00D97EFB" w:rsidRDefault="00E93F58" w:rsidP="00BB7E31">
      <w:pPr>
        <w:pStyle w:val="subsection"/>
      </w:pPr>
      <w:r w:rsidRPr="00D97EFB">
        <w:tab/>
        <w:t>(1)</w:t>
      </w:r>
      <w:r w:rsidRPr="00D97EFB">
        <w:tab/>
        <w:t>This regulation applies if:</w:t>
      </w:r>
    </w:p>
    <w:p w14:paraId="308747F7" w14:textId="77777777" w:rsidR="00E93F58" w:rsidRPr="00D97EFB" w:rsidRDefault="00E93F58" w:rsidP="00BB7E31">
      <w:pPr>
        <w:pStyle w:val="paragraph"/>
      </w:pPr>
      <w:r w:rsidRPr="00D97EFB">
        <w:rPr>
          <w:color w:val="000000"/>
        </w:rPr>
        <w:tab/>
        <w:t>(a)</w:t>
      </w:r>
      <w:r w:rsidRPr="00D97EFB">
        <w:rPr>
          <w:color w:val="000000"/>
        </w:rPr>
        <w:tab/>
        <w:t>a notice regarding non</w:t>
      </w:r>
      <w:r>
        <w:rPr>
          <w:color w:val="000000"/>
        </w:rPr>
        <w:noBreakHyphen/>
      </w:r>
      <w:r w:rsidRPr="00D97EFB">
        <w:rPr>
          <w:color w:val="000000"/>
        </w:rPr>
        <w:t>beneficial or beneficial ownership of shares was required to be given under subsection 1096A(1), (3), (4), (5) or (6) of the old Corporations Act; and</w:t>
      </w:r>
    </w:p>
    <w:p w14:paraId="50E0A68C" w14:textId="77777777" w:rsidR="00E93F58" w:rsidRPr="00D97EFB" w:rsidRDefault="00E93F58" w:rsidP="00BB7E31">
      <w:pPr>
        <w:pStyle w:val="paragraph"/>
      </w:pPr>
      <w:r w:rsidRPr="00D97EFB">
        <w:tab/>
        <w:t>(b)</w:t>
      </w:r>
      <w:r w:rsidRPr="00D97EFB">
        <w:tab/>
        <w:t>the notice was not given before the FSR commencement.</w:t>
      </w:r>
    </w:p>
    <w:p w14:paraId="55621E34" w14:textId="77777777" w:rsidR="00E93F58" w:rsidRPr="00D97EFB" w:rsidRDefault="00E93F58" w:rsidP="00BB7E31">
      <w:pPr>
        <w:pStyle w:val="subsection"/>
      </w:pPr>
      <w:r w:rsidRPr="00D97EFB">
        <w:tab/>
        <w:t>(2)</w:t>
      </w:r>
      <w:r w:rsidRPr="00D97EFB">
        <w:tab/>
        <w:t>Section 1096A of the old Corporations Act, and any associated provisions, continue to apply to the extent necessary to allow for:</w:t>
      </w:r>
    </w:p>
    <w:p w14:paraId="302D8676" w14:textId="77777777" w:rsidR="00E93F58" w:rsidRPr="00D97EFB" w:rsidRDefault="00E93F58" w:rsidP="00BB7E31">
      <w:pPr>
        <w:pStyle w:val="paragraph"/>
      </w:pPr>
      <w:r w:rsidRPr="00D97EFB">
        <w:rPr>
          <w:color w:val="000000"/>
        </w:rPr>
        <w:tab/>
        <w:t>(a)</w:t>
      </w:r>
      <w:r w:rsidRPr="00D97EFB">
        <w:rPr>
          <w:color w:val="000000"/>
        </w:rPr>
        <w:tab/>
        <w:t>the consequences of not giving the notice; and</w:t>
      </w:r>
    </w:p>
    <w:p w14:paraId="5D8C20FA" w14:textId="77777777" w:rsidR="00E93F58" w:rsidRPr="00D97EFB" w:rsidRDefault="00E93F58" w:rsidP="00BB7E31">
      <w:pPr>
        <w:pStyle w:val="paragraph"/>
      </w:pPr>
      <w:r w:rsidRPr="00D97EFB">
        <w:tab/>
        <w:t>(b)</w:t>
      </w:r>
      <w:r w:rsidRPr="00D97EFB">
        <w:tab/>
        <w:t>the completion of the obligation to give the notice within the period (if any) stated in the relevant subsection; and</w:t>
      </w:r>
    </w:p>
    <w:p w14:paraId="63D9F4EE" w14:textId="77777777" w:rsidR="00E93F58" w:rsidRPr="00D97EFB" w:rsidRDefault="00E93F58" w:rsidP="00BB7E31">
      <w:pPr>
        <w:pStyle w:val="paragraph"/>
      </w:pPr>
      <w:r w:rsidRPr="00D97EFB">
        <w:tab/>
        <w:t>(c)</w:t>
      </w:r>
      <w:r w:rsidRPr="00D97EFB">
        <w:tab/>
        <w:t>the operation of the arrangements mentioned in subsection 1096A(7) of the old Corporations Act after the FSR commencement; and</w:t>
      </w:r>
    </w:p>
    <w:p w14:paraId="3B962DB2" w14:textId="77777777" w:rsidR="00E93F58" w:rsidRPr="00D97EFB" w:rsidRDefault="00E93F58" w:rsidP="00BB7E31">
      <w:pPr>
        <w:pStyle w:val="paragraph"/>
      </w:pPr>
      <w:r w:rsidRPr="00D97EFB">
        <w:tab/>
        <w:t>(d)</w:t>
      </w:r>
      <w:r w:rsidRPr="00D97EFB">
        <w:tab/>
        <w:t>the operation of the arrangements mentioned in subsection 1096A(9) of the old Corporations Act after the FSR commencement, to the extent that the arrangements relate to section 1096A of the old Corporations Act.</w:t>
      </w:r>
    </w:p>
    <w:p w14:paraId="0B63DA56" w14:textId="77777777" w:rsidR="00E93F58" w:rsidRPr="00D97EFB" w:rsidRDefault="00E93F58" w:rsidP="00BB7E31">
      <w:pPr>
        <w:pStyle w:val="notetext"/>
      </w:pPr>
      <w:r w:rsidRPr="00D97EFB">
        <w:rPr>
          <w:color w:val="000000"/>
        </w:rPr>
        <w:t>Note:</w:t>
      </w:r>
      <w:r w:rsidRPr="00D97EFB">
        <w:rPr>
          <w:color w:val="000000"/>
        </w:rPr>
        <w:tab/>
        <w:t>The arrangements in subsection 1096A(9) of the old Corporations Act also related to section 216B of the old Corporations Act, which no longer exists.</w:t>
      </w:r>
    </w:p>
    <w:p w14:paraId="10BBD276" w14:textId="77777777" w:rsidR="00E93F58" w:rsidRPr="00D97EFB" w:rsidRDefault="00E93F58" w:rsidP="00BB7E31">
      <w:pPr>
        <w:pStyle w:val="ActHead5"/>
      </w:pPr>
      <w:bookmarkStart w:id="2612" w:name="_Toc151994585"/>
      <w:bookmarkStart w:id="2613" w:name="_Toc158713095"/>
      <w:r w:rsidRPr="000D40D5">
        <w:rPr>
          <w:rStyle w:val="CharSectno"/>
        </w:rPr>
        <w:t>10.2.113</w:t>
      </w:r>
      <w:r w:rsidRPr="00D97EFB">
        <w:t xml:space="preserve">  What is a sufficient transfer of marketable securities or marketable rights: general</w:t>
      </w:r>
      <w:bookmarkEnd w:id="2612"/>
      <w:bookmarkEnd w:id="2613"/>
    </w:p>
    <w:p w14:paraId="1085BBB5" w14:textId="77777777" w:rsidR="00E93F58" w:rsidRPr="00D97EFB" w:rsidRDefault="00E93F58" w:rsidP="00BB7E31">
      <w:pPr>
        <w:pStyle w:val="subsection"/>
      </w:pPr>
      <w:r w:rsidRPr="00D97EFB">
        <w:tab/>
        <w:t>(1)</w:t>
      </w:r>
      <w:r w:rsidRPr="00D97EFB">
        <w:tab/>
        <w:t>This regulation applies if the arrangements for the due completion of a document, to make the document:</w:t>
      </w:r>
    </w:p>
    <w:p w14:paraId="757EC320" w14:textId="77777777" w:rsidR="00E93F58" w:rsidRPr="00D97EFB" w:rsidRDefault="00E93F58" w:rsidP="00BB7E31">
      <w:pPr>
        <w:pStyle w:val="paragraph"/>
        <w:rPr>
          <w:color w:val="000000"/>
        </w:rPr>
      </w:pPr>
      <w:r w:rsidRPr="00D97EFB">
        <w:rPr>
          <w:color w:val="000000"/>
        </w:rPr>
        <w:tab/>
        <w:t>(a)</w:t>
      </w:r>
      <w:r w:rsidRPr="00D97EFB">
        <w:rPr>
          <w:color w:val="000000"/>
        </w:rPr>
        <w:tab/>
        <w:t>a sufficient transfer of marketable securities under subsection 1101(1) of the old Corporations Act; or</w:t>
      </w:r>
    </w:p>
    <w:p w14:paraId="1B10A18E" w14:textId="77777777" w:rsidR="00E93F58" w:rsidRPr="00D97EFB" w:rsidRDefault="00E93F58" w:rsidP="00BB7E31">
      <w:pPr>
        <w:pStyle w:val="paragraph"/>
      </w:pPr>
      <w:r w:rsidRPr="00D97EFB">
        <w:tab/>
        <w:t>(b)</w:t>
      </w:r>
      <w:r w:rsidRPr="00D97EFB">
        <w:tab/>
        <w:t>a sufficient transfer of marketable rights under subsection 1101(2) of the old Corporations Act;</w:t>
      </w:r>
    </w:p>
    <w:p w14:paraId="68129309" w14:textId="77777777" w:rsidR="00E93F58" w:rsidRPr="00D97EFB" w:rsidRDefault="00E93F58" w:rsidP="00BB7E31">
      <w:pPr>
        <w:pStyle w:val="subsection2"/>
      </w:pPr>
      <w:r w:rsidRPr="00D97EFB">
        <w:rPr>
          <w:color w:val="000000"/>
        </w:rPr>
        <w:t>were not completed before the FSR commencement.</w:t>
      </w:r>
    </w:p>
    <w:p w14:paraId="2B9FA0EE" w14:textId="77777777" w:rsidR="00E93F58" w:rsidRPr="00D97EFB" w:rsidRDefault="00E93F58" w:rsidP="00BB7E31">
      <w:pPr>
        <w:pStyle w:val="subsection"/>
      </w:pPr>
      <w:r w:rsidRPr="00D97EFB">
        <w:rPr>
          <w:color w:val="000000"/>
        </w:rPr>
        <w:tab/>
        <w:t>(2)</w:t>
      </w:r>
      <w:r w:rsidRPr="00D97EFB">
        <w:rPr>
          <w:color w:val="000000"/>
        </w:rPr>
        <w:tab/>
        <w:t>Section 1101 of the old Corporations Act, and any associated provisions, continue to apply to the extent necessary to allow for the document to be duly completed, and treated as a sufficient transfer, in accordance with the relevant arrangements.</w:t>
      </w:r>
    </w:p>
    <w:p w14:paraId="25ED8A14" w14:textId="77777777" w:rsidR="00E93F58" w:rsidRPr="00D97EFB" w:rsidRDefault="00E93F58" w:rsidP="00BB7E31">
      <w:pPr>
        <w:pStyle w:val="subsection"/>
      </w:pPr>
      <w:r w:rsidRPr="00D97EFB">
        <w:tab/>
        <w:t>(3)</w:t>
      </w:r>
      <w:r w:rsidRPr="00D97EFB">
        <w:tab/>
        <w:t>If the document is duly completed in accordance with the relevant arrangements, the document is also taken to be a sufficient transfer for the purposes of the Act as in force after the FSR commencement.</w:t>
      </w:r>
    </w:p>
    <w:p w14:paraId="24D6DCE9" w14:textId="77777777" w:rsidR="00E93F58" w:rsidRPr="00D97EFB" w:rsidRDefault="00E93F58" w:rsidP="000A7E3B">
      <w:pPr>
        <w:pStyle w:val="ActHead5"/>
      </w:pPr>
      <w:bookmarkStart w:id="2614" w:name="_Toc151994586"/>
      <w:bookmarkStart w:id="2615" w:name="_Toc158713096"/>
      <w:r w:rsidRPr="000D40D5">
        <w:rPr>
          <w:rStyle w:val="CharSectno"/>
        </w:rPr>
        <w:t>10.2.114</w:t>
      </w:r>
      <w:r w:rsidRPr="00D97EFB">
        <w:t xml:space="preserve">  Sufficient transfer by authorised trustee corporation</w:t>
      </w:r>
      <w:bookmarkEnd w:id="2614"/>
      <w:bookmarkEnd w:id="2615"/>
    </w:p>
    <w:p w14:paraId="61E5A099" w14:textId="77777777" w:rsidR="00E93F58" w:rsidRPr="00D97EFB" w:rsidRDefault="00E93F58" w:rsidP="000A7E3B">
      <w:pPr>
        <w:pStyle w:val="subsection"/>
        <w:keepNext/>
        <w:keepLines/>
      </w:pPr>
      <w:r w:rsidRPr="00D97EFB">
        <w:tab/>
        <w:t>(1)</w:t>
      </w:r>
      <w:r w:rsidRPr="00D97EFB">
        <w:tab/>
        <w:t>This regulation applies if the arrangements for the completion of a document, to make the document:</w:t>
      </w:r>
    </w:p>
    <w:p w14:paraId="414EF223" w14:textId="77777777" w:rsidR="00E93F58" w:rsidRPr="00D97EFB" w:rsidRDefault="00E93F58" w:rsidP="00BB7E31">
      <w:pPr>
        <w:pStyle w:val="paragraph"/>
        <w:rPr>
          <w:color w:val="000000"/>
        </w:rPr>
      </w:pPr>
      <w:r w:rsidRPr="00D97EFB">
        <w:rPr>
          <w:color w:val="000000"/>
        </w:rPr>
        <w:tab/>
        <w:t>(a)</w:t>
      </w:r>
      <w:r w:rsidRPr="00D97EFB">
        <w:rPr>
          <w:color w:val="000000"/>
        </w:rPr>
        <w:tab/>
        <w:t>a sufficient transfer of marketable securities by an authorised trustee corporation under subsection 1102(1) of the old Corporations Act; or</w:t>
      </w:r>
    </w:p>
    <w:p w14:paraId="0CABF96B" w14:textId="77777777" w:rsidR="00E93F58" w:rsidRPr="00D97EFB" w:rsidRDefault="00E93F58" w:rsidP="00BB7E31">
      <w:pPr>
        <w:pStyle w:val="paragraph"/>
      </w:pPr>
      <w:r w:rsidRPr="00D97EFB">
        <w:tab/>
        <w:t>(b)</w:t>
      </w:r>
      <w:r w:rsidRPr="00D97EFB">
        <w:tab/>
        <w:t>a sufficient transfer of marketable rights by an authorised trustee corporation under subsection 1102(2) of the old Corporations Act;</w:t>
      </w:r>
    </w:p>
    <w:p w14:paraId="3C8C2309" w14:textId="77777777" w:rsidR="00E93F58" w:rsidRPr="00D97EFB" w:rsidRDefault="00E93F58" w:rsidP="00BB7E31">
      <w:pPr>
        <w:pStyle w:val="subsection2"/>
      </w:pPr>
      <w:r w:rsidRPr="00D97EFB">
        <w:rPr>
          <w:color w:val="000000"/>
        </w:rPr>
        <w:t>were not completed before the FSR commencement.</w:t>
      </w:r>
    </w:p>
    <w:p w14:paraId="6728EDB4" w14:textId="77777777" w:rsidR="00E93F58" w:rsidRPr="00D97EFB" w:rsidRDefault="00E93F58" w:rsidP="00BB7E31">
      <w:pPr>
        <w:pStyle w:val="subsection"/>
      </w:pPr>
      <w:r w:rsidRPr="00D97EFB">
        <w:rPr>
          <w:color w:val="000000"/>
        </w:rPr>
        <w:tab/>
        <w:t>(2)</w:t>
      </w:r>
      <w:r w:rsidRPr="00D97EFB">
        <w:rPr>
          <w:color w:val="000000"/>
        </w:rPr>
        <w:tab/>
        <w:t>Section 1102 of the old Corporations Act, and any associated provisions, continue to apply to the extent necessary to allow for the document to be duly completed, and treated as a sufficient transfer by an authorised trustee corporation, in accordance with the relevant arrangements.</w:t>
      </w:r>
    </w:p>
    <w:p w14:paraId="2833FFA3" w14:textId="77777777" w:rsidR="00E93F58" w:rsidRPr="00D97EFB" w:rsidRDefault="00E93F58" w:rsidP="00BB7E31">
      <w:pPr>
        <w:pStyle w:val="subsection"/>
      </w:pPr>
      <w:r w:rsidRPr="00D97EFB">
        <w:lastRenderedPageBreak/>
        <w:tab/>
        <w:t>(3)</w:t>
      </w:r>
      <w:r w:rsidRPr="00D97EFB">
        <w:tab/>
        <w:t>If the document is duly completed in accordance with the relevant arrangements, the document is also taken to be a sufficient transfer by an authorised trustee corporation for the purposes of the Act as in force after the FSR commencement.</w:t>
      </w:r>
    </w:p>
    <w:p w14:paraId="6DE2E39C" w14:textId="77777777" w:rsidR="00E93F58" w:rsidRPr="00D97EFB" w:rsidRDefault="00E93F58" w:rsidP="00BB7E31">
      <w:pPr>
        <w:pStyle w:val="ActHead5"/>
      </w:pPr>
      <w:bookmarkStart w:id="2616" w:name="_Toc151994587"/>
      <w:bookmarkStart w:id="2617" w:name="_Toc158713097"/>
      <w:r w:rsidRPr="000D40D5">
        <w:rPr>
          <w:rStyle w:val="CharSectno"/>
        </w:rPr>
        <w:t>10.2.115</w:t>
      </w:r>
      <w:r w:rsidRPr="00D97EFB">
        <w:t xml:space="preserve">  Determination of who holds quoted securities for the purposes of a meeting: determination made before FSR commencement</w:t>
      </w:r>
      <w:bookmarkEnd w:id="2616"/>
      <w:bookmarkEnd w:id="2617"/>
    </w:p>
    <w:p w14:paraId="3442B7E1" w14:textId="77777777" w:rsidR="00E93F58" w:rsidRPr="00D97EFB" w:rsidRDefault="00E93F58" w:rsidP="00BB7E31">
      <w:pPr>
        <w:pStyle w:val="subsection"/>
      </w:pPr>
      <w:r w:rsidRPr="00D97EFB">
        <w:tab/>
        <w:t>(1)</w:t>
      </w:r>
      <w:r w:rsidRPr="00D97EFB">
        <w:tab/>
        <w:t>This regulation applies if:</w:t>
      </w:r>
    </w:p>
    <w:p w14:paraId="7E951544" w14:textId="77777777" w:rsidR="00E93F58" w:rsidRPr="00D97EFB" w:rsidRDefault="00E93F58" w:rsidP="00BB7E31">
      <w:pPr>
        <w:pStyle w:val="paragraph"/>
      </w:pPr>
      <w:r w:rsidRPr="00D97EFB">
        <w:rPr>
          <w:color w:val="000000"/>
        </w:rPr>
        <w:tab/>
        <w:t>(a)</w:t>
      </w:r>
      <w:r w:rsidRPr="00D97EFB">
        <w:rPr>
          <w:color w:val="000000"/>
        </w:rPr>
        <w:tab/>
        <w:t>the convenor of a meeting made a determination under subsection 1109N(2) of the old Corporations Act; and</w:t>
      </w:r>
    </w:p>
    <w:p w14:paraId="385DCC70" w14:textId="77777777" w:rsidR="00E93F58" w:rsidRPr="00D97EFB" w:rsidRDefault="00E93F58" w:rsidP="00BB7E31">
      <w:pPr>
        <w:pStyle w:val="paragraph"/>
      </w:pPr>
      <w:r w:rsidRPr="00D97EFB">
        <w:tab/>
        <w:t>(b)</w:t>
      </w:r>
      <w:r w:rsidRPr="00D97EFB">
        <w:tab/>
        <w:t>either:</w:t>
      </w:r>
    </w:p>
    <w:p w14:paraId="0178AC8C" w14:textId="77777777" w:rsidR="00E93F58" w:rsidRPr="00D97EFB" w:rsidRDefault="00E93F58" w:rsidP="00BB7E31">
      <w:pPr>
        <w:pStyle w:val="paragraphsub"/>
        <w:rPr>
          <w:color w:val="000000"/>
        </w:rPr>
      </w:pPr>
      <w:r w:rsidRPr="00D97EFB">
        <w:rPr>
          <w:color w:val="000000"/>
        </w:rPr>
        <w:tab/>
        <w:t>(i)</w:t>
      </w:r>
      <w:r w:rsidRPr="00D97EFB">
        <w:rPr>
          <w:color w:val="000000"/>
        </w:rPr>
        <w:tab/>
        <w:t>notice of the meeting was not sent before the FSR commencement; or</w:t>
      </w:r>
    </w:p>
    <w:p w14:paraId="0D8031C2" w14:textId="77777777" w:rsidR="00E93F58" w:rsidRPr="00D97EFB" w:rsidRDefault="00E93F58" w:rsidP="00BB7E31">
      <w:pPr>
        <w:pStyle w:val="paragraphsub"/>
      </w:pPr>
      <w:r w:rsidRPr="00D97EFB">
        <w:tab/>
        <w:t>(ii)</w:t>
      </w:r>
      <w:r w:rsidRPr="00D97EFB">
        <w:tab/>
        <w:t>the meeting was not held before the FSR commencement.</w:t>
      </w:r>
    </w:p>
    <w:p w14:paraId="0A018A1E" w14:textId="77777777" w:rsidR="00E93F58" w:rsidRPr="00D97EFB" w:rsidRDefault="00E93F58" w:rsidP="00DD0355">
      <w:pPr>
        <w:pStyle w:val="subsection"/>
        <w:keepNext/>
        <w:keepLines/>
      </w:pPr>
      <w:r w:rsidRPr="00D97EFB">
        <w:tab/>
        <w:t>(2)</w:t>
      </w:r>
      <w:r w:rsidRPr="00D97EFB">
        <w:tab/>
        <w:t>Section 1109N of the old Corporations Act, and any associated provisions, continue to apply to the extent necessary to allow for:</w:t>
      </w:r>
    </w:p>
    <w:p w14:paraId="781C4712" w14:textId="77777777" w:rsidR="00E93F58" w:rsidRPr="00D97EFB" w:rsidRDefault="00E93F58" w:rsidP="00BB7E31">
      <w:pPr>
        <w:pStyle w:val="paragraph"/>
        <w:rPr>
          <w:color w:val="000000"/>
        </w:rPr>
      </w:pPr>
      <w:r w:rsidRPr="00D97EFB">
        <w:rPr>
          <w:color w:val="000000"/>
        </w:rPr>
        <w:tab/>
        <w:t>(a)</w:t>
      </w:r>
      <w:r w:rsidRPr="00D97EFB">
        <w:rPr>
          <w:color w:val="000000"/>
        </w:rPr>
        <w:tab/>
        <w:t>the giving of notice of the meeting; or</w:t>
      </w:r>
    </w:p>
    <w:p w14:paraId="6FDF7F80" w14:textId="77777777" w:rsidR="00E93F58" w:rsidRPr="00D97EFB" w:rsidRDefault="00E93F58" w:rsidP="00BB7E31">
      <w:pPr>
        <w:pStyle w:val="paragraph"/>
      </w:pPr>
      <w:r w:rsidRPr="00D97EFB">
        <w:tab/>
        <w:t>(b)</w:t>
      </w:r>
      <w:r w:rsidRPr="00D97EFB">
        <w:tab/>
        <w:t>the holding of the meeting.</w:t>
      </w:r>
    </w:p>
    <w:p w14:paraId="6C2B40C4" w14:textId="77777777" w:rsidR="00E93F58" w:rsidRPr="00D97EFB" w:rsidRDefault="00E93F58" w:rsidP="00587F09">
      <w:pPr>
        <w:pStyle w:val="ActHead3"/>
        <w:pageBreakBefore/>
        <w:rPr>
          <w:color w:val="000000"/>
        </w:rPr>
      </w:pPr>
      <w:bookmarkStart w:id="2618" w:name="_Toc151994588"/>
      <w:bookmarkStart w:id="2619" w:name="_Toc158713098"/>
      <w:r w:rsidRPr="000D40D5">
        <w:rPr>
          <w:rStyle w:val="CharDivNo"/>
        </w:rPr>
        <w:lastRenderedPageBreak/>
        <w:t>Division 22</w:t>
      </w:r>
      <w:r w:rsidRPr="00D97EFB">
        <w:rPr>
          <w:color w:val="000000"/>
        </w:rPr>
        <w:t>—</w:t>
      </w:r>
      <w:r w:rsidRPr="000D40D5">
        <w:rPr>
          <w:rStyle w:val="CharDivText"/>
        </w:rPr>
        <w:t>Transitional matters under relevant old legislation: Financial Transaction Reports Act 1988</w:t>
      </w:r>
      <w:bookmarkEnd w:id="2618"/>
      <w:bookmarkEnd w:id="2619"/>
    </w:p>
    <w:p w14:paraId="5260955D" w14:textId="77777777" w:rsidR="00E93F58" w:rsidRPr="00D97EFB" w:rsidRDefault="00E93F58" w:rsidP="00BB7E31">
      <w:pPr>
        <w:pStyle w:val="ActHead5"/>
      </w:pPr>
      <w:bookmarkStart w:id="2620" w:name="_Toc151994589"/>
      <w:bookmarkStart w:id="2621" w:name="_Toc158713099"/>
      <w:r w:rsidRPr="000D40D5">
        <w:rPr>
          <w:rStyle w:val="CharSectno"/>
        </w:rPr>
        <w:t>10.2.116</w:t>
      </w:r>
      <w:r w:rsidRPr="00D97EFB">
        <w:t xml:space="preserve">  Cash dealer</w:t>
      </w:r>
      <w:bookmarkEnd w:id="2620"/>
      <w:bookmarkEnd w:id="2621"/>
    </w:p>
    <w:p w14:paraId="5E4EFBDB" w14:textId="77777777" w:rsidR="00E93F58" w:rsidRPr="00D97EFB" w:rsidRDefault="00E93F58" w:rsidP="00BB7E31">
      <w:pPr>
        <w:pStyle w:val="subsection"/>
      </w:pPr>
      <w:r w:rsidRPr="00D97EFB">
        <w:rPr>
          <w:color w:val="000000"/>
        </w:rPr>
        <w:tab/>
        <w:t>(1)</w:t>
      </w:r>
      <w:r w:rsidRPr="00D97EFB">
        <w:rPr>
          <w:color w:val="000000"/>
        </w:rPr>
        <w:tab/>
        <w:t xml:space="preserve">For section 1444 of the Act, the definition of </w:t>
      </w:r>
      <w:r w:rsidRPr="00D97EFB">
        <w:rPr>
          <w:b/>
          <w:i/>
          <w:color w:val="000000"/>
        </w:rPr>
        <w:t>cash dealer</w:t>
      </w:r>
      <w:r w:rsidRPr="00D97EFB">
        <w:rPr>
          <w:color w:val="000000"/>
        </w:rPr>
        <w:t xml:space="preserve"> in subsection 3(1) of the </w:t>
      </w:r>
      <w:r w:rsidRPr="00D97EFB">
        <w:rPr>
          <w:i/>
          <w:color w:val="000000"/>
        </w:rPr>
        <w:t>Financial Transaction Reports Act 1988</w:t>
      </w:r>
      <w:r w:rsidRPr="00D97EFB">
        <w:rPr>
          <w:color w:val="000000"/>
        </w:rPr>
        <w:t xml:space="preserve"> is taken to include a reference to a regulated principal mentioned in item 1 or 3 of the table in section 1430 of the Act.</w:t>
      </w:r>
    </w:p>
    <w:p w14:paraId="1720F00E" w14:textId="77777777" w:rsidR="00E93F58" w:rsidRPr="00D97EFB" w:rsidRDefault="00E93F58" w:rsidP="00BB7E31">
      <w:pPr>
        <w:pStyle w:val="subsection"/>
      </w:pPr>
      <w:r w:rsidRPr="00D97EFB">
        <w:rPr>
          <w:color w:val="000000"/>
        </w:rPr>
        <w:tab/>
        <w:t>(2)</w:t>
      </w:r>
      <w:r w:rsidRPr="00D97EFB">
        <w:rPr>
          <w:color w:val="000000"/>
        </w:rPr>
        <w:tab/>
        <w:t>Subregulation (1) ceases to apply in relation to the regulated principal at the end of the transition period in relation to the regulated principal.</w:t>
      </w:r>
    </w:p>
    <w:p w14:paraId="65A60759" w14:textId="77777777" w:rsidR="00E93F58" w:rsidRPr="00D97EFB" w:rsidRDefault="00E93F58" w:rsidP="00BB7E31">
      <w:pPr>
        <w:pStyle w:val="ActHead5"/>
      </w:pPr>
      <w:bookmarkStart w:id="2622" w:name="_Toc151994590"/>
      <w:bookmarkStart w:id="2623" w:name="_Toc158713100"/>
      <w:r w:rsidRPr="000D40D5">
        <w:rPr>
          <w:rStyle w:val="CharSectno"/>
        </w:rPr>
        <w:t>10.2.117</w:t>
      </w:r>
      <w:r w:rsidRPr="00D97EFB">
        <w:t xml:space="preserve">  Exempt cash transaction</w:t>
      </w:r>
      <w:bookmarkEnd w:id="2622"/>
      <w:bookmarkEnd w:id="2623"/>
    </w:p>
    <w:p w14:paraId="2D74DF5D" w14:textId="77777777" w:rsidR="00E93F58" w:rsidRPr="00D97EFB" w:rsidRDefault="00E93F58" w:rsidP="00BB7E31">
      <w:pPr>
        <w:pStyle w:val="subsection"/>
      </w:pPr>
      <w:r w:rsidRPr="00D97EFB">
        <w:rPr>
          <w:color w:val="000000"/>
        </w:rPr>
        <w:tab/>
        <w:t>(1)</w:t>
      </w:r>
      <w:r w:rsidRPr="00D97EFB">
        <w:rPr>
          <w:color w:val="000000"/>
        </w:rPr>
        <w:tab/>
        <w:t xml:space="preserve">For section 1444 of the Act, a reference in paragraph 9(4)(a) of the </w:t>
      </w:r>
      <w:r w:rsidRPr="00D97EFB">
        <w:rPr>
          <w:i/>
          <w:color w:val="000000"/>
        </w:rPr>
        <w:t>Financial Transaction Reports Act 1988</w:t>
      </w:r>
      <w:r w:rsidRPr="00D97EFB">
        <w:rPr>
          <w:color w:val="000000"/>
        </w:rPr>
        <w:t xml:space="preserve"> to a financial services licensee includes a regulated principal mentioned in item 3 of the table in section 1430 of the Act.</w:t>
      </w:r>
    </w:p>
    <w:p w14:paraId="77A9BA30" w14:textId="77777777" w:rsidR="00E93F58" w:rsidRPr="00D97EFB" w:rsidRDefault="00E93F58" w:rsidP="00BB7E31">
      <w:pPr>
        <w:pStyle w:val="subsection"/>
      </w:pPr>
      <w:r w:rsidRPr="00D97EFB">
        <w:rPr>
          <w:color w:val="000000"/>
        </w:rPr>
        <w:tab/>
        <w:t>(2)</w:t>
      </w:r>
      <w:r w:rsidRPr="00D97EFB">
        <w:rPr>
          <w:color w:val="000000"/>
        </w:rPr>
        <w:tab/>
        <w:t>Subregulation (1) ceases to apply in relation to the regulated principal at the end of the transition period in relation to the regulated principal.</w:t>
      </w:r>
    </w:p>
    <w:p w14:paraId="4558C79C" w14:textId="77777777" w:rsidR="00E93F58" w:rsidRPr="00D97EFB" w:rsidRDefault="00E93F58" w:rsidP="00BB7E31">
      <w:pPr>
        <w:pStyle w:val="ActHead3"/>
        <w:pageBreakBefore/>
        <w:rPr>
          <w:color w:val="000000"/>
        </w:rPr>
      </w:pPr>
      <w:bookmarkStart w:id="2624" w:name="_Toc151994591"/>
      <w:bookmarkStart w:id="2625" w:name="_Toc158713101"/>
      <w:r w:rsidRPr="000D40D5">
        <w:rPr>
          <w:rStyle w:val="CharDivNo"/>
        </w:rPr>
        <w:lastRenderedPageBreak/>
        <w:t>Division 23</w:t>
      </w:r>
      <w:r w:rsidRPr="00D97EFB">
        <w:rPr>
          <w:color w:val="000000"/>
        </w:rPr>
        <w:t>—</w:t>
      </w:r>
      <w:r w:rsidRPr="000D40D5">
        <w:rPr>
          <w:rStyle w:val="CharDivText"/>
        </w:rPr>
        <w:t>Transitional matters under relevant old legislation: Income Tax Assessment Act 1936</w:t>
      </w:r>
      <w:bookmarkEnd w:id="2624"/>
      <w:bookmarkEnd w:id="2625"/>
    </w:p>
    <w:p w14:paraId="79EE9564" w14:textId="77777777" w:rsidR="00E93F58" w:rsidRPr="00D97EFB" w:rsidRDefault="00E93F58" w:rsidP="00BB7E31">
      <w:pPr>
        <w:pStyle w:val="ActHead5"/>
      </w:pPr>
      <w:bookmarkStart w:id="2626" w:name="_Toc151994592"/>
      <w:bookmarkStart w:id="2627" w:name="_Toc158713102"/>
      <w:r w:rsidRPr="000D40D5">
        <w:rPr>
          <w:rStyle w:val="CharSectno"/>
        </w:rPr>
        <w:t>10.2.118</w:t>
      </w:r>
      <w:r w:rsidRPr="00D97EFB">
        <w:t xml:space="preserve">  Offshore banking units</w:t>
      </w:r>
      <w:bookmarkEnd w:id="2626"/>
      <w:bookmarkEnd w:id="2627"/>
    </w:p>
    <w:p w14:paraId="50E628D8" w14:textId="77777777" w:rsidR="00E93F58" w:rsidRPr="00D97EFB" w:rsidRDefault="00E93F58" w:rsidP="00BB7E31">
      <w:pPr>
        <w:pStyle w:val="subsection"/>
      </w:pPr>
      <w:r w:rsidRPr="00D97EFB">
        <w:rPr>
          <w:color w:val="000000"/>
        </w:rPr>
        <w:tab/>
        <w:t>(1)</w:t>
      </w:r>
      <w:r w:rsidRPr="00D97EFB">
        <w:rPr>
          <w:color w:val="000000"/>
        </w:rPr>
        <w:tab/>
        <w:t xml:space="preserve">For section 1444 of the Act, a reference in subparagraph 128AE(2)(e)(iii) of the </w:t>
      </w:r>
      <w:r w:rsidRPr="00D97EFB">
        <w:rPr>
          <w:i/>
          <w:color w:val="000000"/>
        </w:rPr>
        <w:t>Income Tax Assessment Act 1936</w:t>
      </w:r>
      <w:r w:rsidRPr="00D97EFB">
        <w:rPr>
          <w:color w:val="000000"/>
        </w:rPr>
        <w:t xml:space="preserve"> to a financial services licensee includes a regulated principal mentioned in item 1 or 3 of the table in section 1430 of the Act.</w:t>
      </w:r>
    </w:p>
    <w:p w14:paraId="28B9C8B4" w14:textId="77777777" w:rsidR="00E93F58" w:rsidRPr="00D97EFB" w:rsidRDefault="00E93F58" w:rsidP="00BB7E31">
      <w:pPr>
        <w:pStyle w:val="subsection"/>
      </w:pPr>
      <w:r w:rsidRPr="00D97EFB">
        <w:rPr>
          <w:color w:val="000000"/>
        </w:rPr>
        <w:tab/>
        <w:t>(2)</w:t>
      </w:r>
      <w:r w:rsidRPr="00D97EFB">
        <w:rPr>
          <w:color w:val="000000"/>
        </w:rPr>
        <w:tab/>
        <w:t>Subregulation (1) ceases to apply in relation to the regulated principal at the end of the transition period in relation to the regulated principal.</w:t>
      </w:r>
    </w:p>
    <w:p w14:paraId="7A5559E2" w14:textId="77777777" w:rsidR="00E93F58" w:rsidRPr="00D97EFB" w:rsidRDefault="00E93F58" w:rsidP="00BB7E31">
      <w:pPr>
        <w:pStyle w:val="ActHead3"/>
        <w:pageBreakBefore/>
        <w:rPr>
          <w:color w:val="000000"/>
        </w:rPr>
      </w:pPr>
      <w:bookmarkStart w:id="2628" w:name="_Toc151994593"/>
      <w:bookmarkStart w:id="2629" w:name="_Toc158713103"/>
      <w:r w:rsidRPr="000D40D5">
        <w:rPr>
          <w:rStyle w:val="CharDivNo"/>
        </w:rPr>
        <w:lastRenderedPageBreak/>
        <w:t>Division 24</w:t>
      </w:r>
      <w:r w:rsidRPr="00D97EFB">
        <w:rPr>
          <w:color w:val="000000"/>
        </w:rPr>
        <w:t>—</w:t>
      </w:r>
      <w:r w:rsidRPr="000D40D5">
        <w:rPr>
          <w:rStyle w:val="CharDivText"/>
        </w:rPr>
        <w:t>Transitional matters under relevant old legislation: Insurance Act 1973</w:t>
      </w:r>
      <w:bookmarkEnd w:id="2628"/>
      <w:bookmarkEnd w:id="2629"/>
    </w:p>
    <w:p w14:paraId="376631A8" w14:textId="77777777" w:rsidR="00E93F58" w:rsidRPr="00D97EFB" w:rsidRDefault="00E93F58" w:rsidP="00BB7E31">
      <w:pPr>
        <w:pStyle w:val="ActHead5"/>
      </w:pPr>
      <w:bookmarkStart w:id="2630" w:name="_Toc151994594"/>
      <w:bookmarkStart w:id="2631" w:name="_Toc158713104"/>
      <w:r w:rsidRPr="000D40D5">
        <w:rPr>
          <w:rStyle w:val="CharSectno"/>
        </w:rPr>
        <w:t>10.2.119</w:t>
      </w:r>
      <w:r w:rsidRPr="00D97EFB">
        <w:t xml:space="preserve">  Insurers carrying on class of insurance business</w:t>
      </w:r>
      <w:bookmarkEnd w:id="2630"/>
      <w:bookmarkEnd w:id="2631"/>
    </w:p>
    <w:p w14:paraId="668BCBED" w14:textId="77777777" w:rsidR="00E93F58" w:rsidRPr="00D97EFB" w:rsidRDefault="00E93F58" w:rsidP="00BB7E31">
      <w:pPr>
        <w:pStyle w:val="subsection"/>
      </w:pPr>
      <w:r w:rsidRPr="00D97EFB">
        <w:tab/>
        <w:t>(1)</w:t>
      </w:r>
      <w:r w:rsidRPr="00D97EFB">
        <w:tab/>
        <w:t xml:space="preserve">For section 1444 of the Act, section 113 of the </w:t>
      </w:r>
      <w:r w:rsidRPr="00D97EFB">
        <w:rPr>
          <w:i/>
        </w:rPr>
        <w:t>Insurance Act 1973</w:t>
      </w:r>
      <w:r w:rsidRPr="00D97EFB">
        <w:t>, as in force immediately before the FSR commencement, and any associated provisions, continue to have effect in relation to a regulated principal:</w:t>
      </w:r>
    </w:p>
    <w:p w14:paraId="1C1B3165" w14:textId="77777777" w:rsidR="00E93F58" w:rsidRPr="00D97EFB" w:rsidRDefault="00E93F58" w:rsidP="00BB7E31">
      <w:pPr>
        <w:pStyle w:val="paragraph"/>
      </w:pPr>
      <w:r w:rsidRPr="00D97EFB">
        <w:rPr>
          <w:color w:val="000000"/>
        </w:rPr>
        <w:tab/>
        <w:t>(a)</w:t>
      </w:r>
      <w:r w:rsidRPr="00D97EFB">
        <w:rPr>
          <w:color w:val="000000"/>
        </w:rPr>
        <w:tab/>
        <w:t>mentioned in item 6 of the table in section 1430 of the Act; and</w:t>
      </w:r>
    </w:p>
    <w:p w14:paraId="5A42B18D" w14:textId="77777777" w:rsidR="00E93F58" w:rsidRPr="00D97EFB" w:rsidRDefault="00E93F58" w:rsidP="00BB7E31">
      <w:pPr>
        <w:pStyle w:val="paragraph"/>
      </w:pPr>
      <w:r w:rsidRPr="00D97EFB">
        <w:tab/>
        <w:t>(b)</w:t>
      </w:r>
      <w:r w:rsidRPr="00D97EFB">
        <w:tab/>
        <w:t xml:space="preserve">who carries on a class of insurance business that was prescribed for section 113 of the </w:t>
      </w:r>
      <w:r w:rsidRPr="00D97EFB">
        <w:rPr>
          <w:i/>
        </w:rPr>
        <w:t>Insurance Act 1973</w:t>
      </w:r>
      <w:r w:rsidRPr="00D97EFB">
        <w:t xml:space="preserve"> immediately before the FSR commencement;</w:t>
      </w:r>
    </w:p>
    <w:p w14:paraId="4BA26176" w14:textId="77777777" w:rsidR="00E93F58" w:rsidRPr="00D97EFB" w:rsidRDefault="00E93F58" w:rsidP="00BB7E31">
      <w:pPr>
        <w:pStyle w:val="subsection2"/>
      </w:pPr>
      <w:r w:rsidRPr="00D97EFB">
        <w:rPr>
          <w:color w:val="000000"/>
        </w:rPr>
        <w:t>to the extent necessary to require the person to comply with that section in relation to the class of insurance business.</w:t>
      </w:r>
    </w:p>
    <w:p w14:paraId="2F81D3A5" w14:textId="77777777" w:rsidR="00E93F58" w:rsidRPr="00D97EFB" w:rsidRDefault="00E93F58" w:rsidP="00BB7E31">
      <w:pPr>
        <w:pStyle w:val="subsection"/>
      </w:pPr>
      <w:r w:rsidRPr="00D97EFB">
        <w:rPr>
          <w:color w:val="000000"/>
        </w:rPr>
        <w:tab/>
        <w:t>(2)</w:t>
      </w:r>
      <w:r w:rsidRPr="00D97EFB">
        <w:rPr>
          <w:color w:val="000000"/>
        </w:rPr>
        <w:tab/>
        <w:t>Subregulation (1) ceases to apply in relation to the regulated principal at the end of the transition period in relation to the regulated principal.</w:t>
      </w:r>
    </w:p>
    <w:p w14:paraId="22A12A60" w14:textId="77777777" w:rsidR="00E93F58" w:rsidRPr="00D97EFB" w:rsidRDefault="00E93F58" w:rsidP="00BB7E31">
      <w:pPr>
        <w:pStyle w:val="ActHead3"/>
        <w:pageBreakBefore/>
      </w:pPr>
      <w:bookmarkStart w:id="2632" w:name="_Toc151994595"/>
      <w:bookmarkStart w:id="2633" w:name="_Toc158713105"/>
      <w:r w:rsidRPr="000D40D5">
        <w:rPr>
          <w:rStyle w:val="CharDivNo"/>
        </w:rPr>
        <w:lastRenderedPageBreak/>
        <w:t>Division 24A</w:t>
      </w:r>
      <w:r w:rsidRPr="00D97EFB">
        <w:t>—</w:t>
      </w:r>
      <w:r w:rsidRPr="000D40D5">
        <w:rPr>
          <w:rStyle w:val="CharDivText"/>
        </w:rPr>
        <w:t>Transitional matters under relevant old legislation: Insurance (Agents and Brokers) Act 1984</w:t>
      </w:r>
      <w:bookmarkEnd w:id="2632"/>
      <w:bookmarkEnd w:id="2633"/>
    </w:p>
    <w:p w14:paraId="1BE358A7" w14:textId="77777777" w:rsidR="00E93F58" w:rsidRPr="00D97EFB" w:rsidRDefault="00E93F58" w:rsidP="00BB7E31">
      <w:pPr>
        <w:pStyle w:val="ActHead5"/>
      </w:pPr>
      <w:bookmarkStart w:id="2634" w:name="_Toc151994596"/>
      <w:bookmarkStart w:id="2635" w:name="_Toc158713106"/>
      <w:r w:rsidRPr="000D40D5">
        <w:rPr>
          <w:rStyle w:val="CharSectno"/>
        </w:rPr>
        <w:t>10.2.119A</w:t>
      </w:r>
      <w:r w:rsidRPr="00D97EFB">
        <w:t xml:space="preserve">  Debts of broker in relation to premiums etc</w:t>
      </w:r>
      <w:bookmarkEnd w:id="2634"/>
      <w:bookmarkEnd w:id="2635"/>
    </w:p>
    <w:p w14:paraId="7BCCC5D9" w14:textId="77777777" w:rsidR="00E93F58" w:rsidRPr="00D97EFB" w:rsidRDefault="00E93F58" w:rsidP="00BB7E31">
      <w:pPr>
        <w:pStyle w:val="subsection"/>
      </w:pPr>
      <w:r w:rsidRPr="00D97EFB">
        <w:tab/>
        <w:t>(1)</w:t>
      </w:r>
      <w:r w:rsidRPr="00D97EFB">
        <w:tab/>
        <w:t xml:space="preserve">For section 1444 of the Act, a reference in paragraph 27(1)(a) of the </w:t>
      </w:r>
      <w:r w:rsidRPr="00D97EFB">
        <w:rPr>
          <w:i/>
        </w:rPr>
        <w:t>Insurance (Agents and Brokers) Act 1984</w:t>
      </w:r>
      <w:r w:rsidRPr="00D97EFB">
        <w:t xml:space="preserve"> to another registered insurance broker includes a financial services licensee.</w:t>
      </w:r>
    </w:p>
    <w:p w14:paraId="79CF0519" w14:textId="77777777" w:rsidR="00E93F58" w:rsidRPr="00D97EFB" w:rsidRDefault="00E93F58" w:rsidP="00BB7E31">
      <w:pPr>
        <w:pStyle w:val="subsection"/>
      </w:pPr>
      <w:r w:rsidRPr="00D97EFB">
        <w:tab/>
        <w:t>(2)</w:t>
      </w:r>
      <w:r w:rsidRPr="00D97EFB">
        <w:tab/>
        <w:t xml:space="preserve">For section 1444 of the Act, a reference in paragraph 27(4)(a) of the </w:t>
      </w:r>
      <w:r w:rsidRPr="00D97EFB">
        <w:rPr>
          <w:i/>
        </w:rPr>
        <w:t>Insurance (Agents and Brokers) Act 1984</w:t>
      </w:r>
      <w:r w:rsidRPr="00D97EFB">
        <w:t xml:space="preserve"> to another registered insurance broker includes a financial services licensee.</w:t>
      </w:r>
    </w:p>
    <w:p w14:paraId="1603863F" w14:textId="77777777" w:rsidR="00E93F58" w:rsidRPr="00D97EFB" w:rsidRDefault="00E93F58" w:rsidP="00BB7E31">
      <w:pPr>
        <w:pStyle w:val="subsection"/>
      </w:pPr>
      <w:r w:rsidRPr="00D97EFB">
        <w:tab/>
        <w:t>(3)</w:t>
      </w:r>
      <w:r w:rsidRPr="00D97EFB">
        <w:tab/>
        <w:t xml:space="preserve">For section 1444 of the Act, a reference in paragraph 27(5)(b) of the </w:t>
      </w:r>
      <w:r w:rsidRPr="00D97EFB">
        <w:rPr>
          <w:i/>
        </w:rPr>
        <w:t>Insurance (Agents and Brokers) Act 1984</w:t>
      </w:r>
      <w:r w:rsidRPr="00D97EFB">
        <w:t xml:space="preserve"> to another registered insurance broker includes a financial services licensee.</w:t>
      </w:r>
    </w:p>
    <w:p w14:paraId="2041E399" w14:textId="77777777" w:rsidR="00E93F58" w:rsidRPr="00D97EFB" w:rsidRDefault="00E93F58" w:rsidP="00BB7E31">
      <w:pPr>
        <w:pStyle w:val="ActHead5"/>
      </w:pPr>
      <w:bookmarkStart w:id="2636" w:name="_Toc151994597"/>
      <w:bookmarkStart w:id="2637" w:name="_Toc158713107"/>
      <w:r w:rsidRPr="000D40D5">
        <w:rPr>
          <w:rStyle w:val="CharSectno"/>
        </w:rPr>
        <w:t>10.2.119B</w:t>
      </w:r>
      <w:r w:rsidRPr="00D97EFB">
        <w:t xml:space="preserve">  Disqualifications made before FSR commencement</w:t>
      </w:r>
      <w:bookmarkEnd w:id="2636"/>
      <w:bookmarkEnd w:id="2637"/>
    </w:p>
    <w:p w14:paraId="1AC52DB7" w14:textId="77777777" w:rsidR="00E93F58" w:rsidRPr="00D97EFB" w:rsidRDefault="00E93F58" w:rsidP="00BB7E31">
      <w:pPr>
        <w:pStyle w:val="subsection"/>
      </w:pPr>
      <w:r w:rsidRPr="00D97EFB">
        <w:tab/>
        <w:t>(1)</w:t>
      </w:r>
      <w:r w:rsidRPr="00D97EFB">
        <w:tab/>
        <w:t xml:space="preserve">For section 1444 of the Act, on and after the FSR commencement, a disqualification under subsection 25(5) or 31H(5) of the </w:t>
      </w:r>
      <w:r w:rsidRPr="00D97EFB">
        <w:rPr>
          <w:i/>
        </w:rPr>
        <w:t>Insurance (Agents and Brokers) Act 1984</w:t>
      </w:r>
      <w:r w:rsidRPr="00D97EFB">
        <w:t xml:space="preserve"> made before the FSR commencement:</w:t>
      </w:r>
    </w:p>
    <w:p w14:paraId="197783C0" w14:textId="77777777" w:rsidR="00E93F58" w:rsidRPr="00D97EFB" w:rsidRDefault="00E93F58" w:rsidP="00BB7E31">
      <w:pPr>
        <w:pStyle w:val="paragraph"/>
      </w:pPr>
      <w:r w:rsidRPr="00D97EFB">
        <w:tab/>
        <w:t>(a)</w:t>
      </w:r>
      <w:r w:rsidRPr="00D97EFB">
        <w:tab/>
        <w:t>continues in force to the extent practicable to allow it to apply to conduct or another matter:</w:t>
      </w:r>
    </w:p>
    <w:p w14:paraId="19060E0E" w14:textId="77777777" w:rsidR="00E93F58" w:rsidRPr="00D97EFB" w:rsidRDefault="00E93F58" w:rsidP="00BB7E31">
      <w:pPr>
        <w:pStyle w:val="paragraphsub"/>
      </w:pPr>
      <w:r w:rsidRPr="00D97EFB">
        <w:tab/>
        <w:t>(i)</w:t>
      </w:r>
      <w:r w:rsidRPr="00D97EFB">
        <w:tab/>
        <w:t>as it is described on and after the FSR commencement; or</w:t>
      </w:r>
    </w:p>
    <w:p w14:paraId="1855F67F" w14:textId="77777777" w:rsidR="00E93F58" w:rsidRPr="00D97EFB" w:rsidRDefault="00E93F58" w:rsidP="00BB7E31">
      <w:pPr>
        <w:pStyle w:val="paragraphsub"/>
      </w:pPr>
      <w:r w:rsidRPr="00D97EFB">
        <w:tab/>
        <w:t>(ii)</w:t>
      </w:r>
      <w:r w:rsidRPr="00D97EFB">
        <w:tab/>
        <w:t>as it is regulated on and after the FSR commencement; and</w:t>
      </w:r>
    </w:p>
    <w:p w14:paraId="34DE1D96" w14:textId="77777777" w:rsidR="00E93F58" w:rsidRPr="00D97EFB" w:rsidRDefault="00E93F58" w:rsidP="00BB7E31">
      <w:pPr>
        <w:pStyle w:val="paragraph"/>
      </w:pPr>
      <w:r w:rsidRPr="00D97EFB">
        <w:tab/>
        <w:t>(b)</w:t>
      </w:r>
      <w:r w:rsidRPr="00D97EFB">
        <w:tab/>
        <w:t xml:space="preserve">is taken to be a disqualification made under subsection 25(5) or 31H(5) of the </w:t>
      </w:r>
      <w:r w:rsidRPr="00D97EFB">
        <w:rPr>
          <w:i/>
        </w:rPr>
        <w:t>Insurance (Agents and Brokers) Act 1984</w:t>
      </w:r>
      <w:r w:rsidRPr="00D97EFB">
        <w:t>.</w:t>
      </w:r>
    </w:p>
    <w:p w14:paraId="4821C6DA" w14:textId="77777777" w:rsidR="00E93F58" w:rsidRPr="00D97EFB" w:rsidRDefault="00E93F58" w:rsidP="00BB7E31">
      <w:pPr>
        <w:pStyle w:val="subsection"/>
      </w:pPr>
      <w:r w:rsidRPr="00D97EFB">
        <w:tab/>
        <w:t>(2)</w:t>
      </w:r>
      <w:r w:rsidRPr="00D97EFB">
        <w:tab/>
        <w:t xml:space="preserve">For section 1444 of the Act, on and after the FSR commencement, subsections 25(5) and 31H(5) of the </w:t>
      </w:r>
      <w:r w:rsidRPr="00D97EFB">
        <w:rPr>
          <w:i/>
        </w:rPr>
        <w:t>Insurance (Agents and Brokers) Act 1984</w:t>
      </w:r>
      <w:r w:rsidRPr="00D97EFB">
        <w:t>, and associated provisions, continue to apply to the extent necessary to allow the disqualification to continue in force.</w:t>
      </w:r>
    </w:p>
    <w:p w14:paraId="52D67E59" w14:textId="77777777" w:rsidR="00E93F58" w:rsidRPr="00D97EFB" w:rsidRDefault="00E93F58" w:rsidP="00BB7E31">
      <w:pPr>
        <w:pStyle w:val="subsection"/>
      </w:pPr>
      <w:r w:rsidRPr="00D97EFB">
        <w:tab/>
        <w:t>(3)</w:t>
      </w:r>
      <w:r w:rsidRPr="00D97EFB">
        <w:tab/>
        <w:t xml:space="preserve">For subregulation (2), nothing in the relevant old legislation (including the </w:t>
      </w:r>
      <w:r w:rsidRPr="00D97EFB">
        <w:rPr>
          <w:i/>
        </w:rPr>
        <w:t>Australian Securities and Investments Commission Act 2001</w:t>
      </w:r>
      <w:r w:rsidRPr="00D97EFB">
        <w:t>) prevents ASIC from drafting or amending the terms of a prohibition for the purpose of ensuring that the prohibition has the same effect under the Act as it had under the relevant old legislation, or an effect equivalent to the effect it had under the relevant old legislation.</w:t>
      </w:r>
    </w:p>
    <w:p w14:paraId="09B9FE6B" w14:textId="77777777" w:rsidR="00E93F58" w:rsidRPr="00D97EFB" w:rsidRDefault="00E93F58" w:rsidP="00BB7E31">
      <w:pPr>
        <w:pStyle w:val="ActHead5"/>
      </w:pPr>
      <w:bookmarkStart w:id="2638" w:name="_Toc151994598"/>
      <w:bookmarkStart w:id="2639" w:name="_Toc158713108"/>
      <w:r w:rsidRPr="000D40D5">
        <w:rPr>
          <w:rStyle w:val="CharSectno"/>
        </w:rPr>
        <w:t>10.2.119C</w:t>
      </w:r>
      <w:r w:rsidRPr="00D97EFB">
        <w:t xml:space="preserve">  Disqualifications made after FSR commencement</w:t>
      </w:r>
      <w:bookmarkEnd w:id="2638"/>
      <w:bookmarkEnd w:id="2639"/>
    </w:p>
    <w:p w14:paraId="3F61F96E" w14:textId="77777777" w:rsidR="00E93F58" w:rsidRPr="00D97EFB" w:rsidRDefault="00E93F58" w:rsidP="00BB7E31">
      <w:pPr>
        <w:pStyle w:val="subsection"/>
      </w:pPr>
      <w:r w:rsidRPr="00D97EFB">
        <w:tab/>
        <w:t>(1)</w:t>
      </w:r>
      <w:r w:rsidRPr="00D97EFB">
        <w:tab/>
        <w:t xml:space="preserve">For section 1444 of the Act, on and after the FSR commencement, subsections 25(5) and 31H(5) of the </w:t>
      </w:r>
      <w:r w:rsidRPr="00D97EFB">
        <w:rPr>
          <w:i/>
        </w:rPr>
        <w:t>Insurance (Agents and Brokers) Act 1984</w:t>
      </w:r>
      <w:r w:rsidRPr="00D97EFB">
        <w:t>, and associated provisions, continue to apply to the extent necessary to allow a disqualification to be made or enforced against a person in relation to:</w:t>
      </w:r>
    </w:p>
    <w:p w14:paraId="2CAAD165" w14:textId="77777777" w:rsidR="00E93F58" w:rsidRPr="00D97EFB" w:rsidRDefault="00E93F58" w:rsidP="00BB7E31">
      <w:pPr>
        <w:pStyle w:val="paragraph"/>
      </w:pPr>
      <w:r w:rsidRPr="00D97EFB">
        <w:tab/>
        <w:t>(a)</w:t>
      </w:r>
      <w:r w:rsidRPr="00D97EFB">
        <w:tab/>
        <w:t>conduct or another matter that occurred before the FSR commencement; or</w:t>
      </w:r>
    </w:p>
    <w:p w14:paraId="302FE0C4" w14:textId="77777777" w:rsidR="00E93F58" w:rsidRPr="00D97EFB" w:rsidRDefault="00E93F58" w:rsidP="00BB7E31">
      <w:pPr>
        <w:pStyle w:val="paragraph"/>
      </w:pPr>
      <w:r w:rsidRPr="00D97EFB">
        <w:tab/>
        <w:t>(b)</w:t>
      </w:r>
      <w:r w:rsidRPr="00D97EFB">
        <w:tab/>
        <w:t>conduct or another matter that:</w:t>
      </w:r>
    </w:p>
    <w:p w14:paraId="37CE8736" w14:textId="77777777" w:rsidR="00E93F58" w:rsidRPr="00D97EFB" w:rsidRDefault="00E93F58" w:rsidP="00BB7E31">
      <w:pPr>
        <w:pStyle w:val="paragraphsub"/>
      </w:pPr>
      <w:r w:rsidRPr="00D97EFB">
        <w:tab/>
        <w:t>(i)</w:t>
      </w:r>
      <w:r w:rsidRPr="00D97EFB">
        <w:tab/>
        <w:t>occurred after the FSR commencement; and</w:t>
      </w:r>
    </w:p>
    <w:p w14:paraId="0925EB73" w14:textId="77777777" w:rsidR="00E93F58" w:rsidRPr="00D97EFB" w:rsidRDefault="00E93F58" w:rsidP="00BB7E31">
      <w:pPr>
        <w:pStyle w:val="paragraphsub"/>
      </w:pPr>
      <w:r w:rsidRPr="00D97EFB">
        <w:tab/>
        <w:t>(ii)</w:t>
      </w:r>
      <w:r w:rsidRPr="00D97EFB">
        <w:tab/>
        <w:t>is regulated in accordance with section 1432 or 1436A of the Act.</w:t>
      </w:r>
    </w:p>
    <w:p w14:paraId="0EC66389" w14:textId="77777777" w:rsidR="00E93F58" w:rsidRPr="00D97EFB" w:rsidRDefault="00E93F58" w:rsidP="00BB7E31">
      <w:pPr>
        <w:pStyle w:val="subsection"/>
      </w:pPr>
      <w:r w:rsidRPr="00D97EFB">
        <w:tab/>
        <w:t>(2)</w:t>
      </w:r>
      <w:r w:rsidRPr="00D97EFB">
        <w:tab/>
        <w:t xml:space="preserve">A disqualification made in relation to conduct or another matter mentioned in subregulation (1) is taken to be a disqualification made under subsection 25(5) or 31H(5) of the </w:t>
      </w:r>
      <w:r w:rsidRPr="00D97EFB">
        <w:rPr>
          <w:i/>
        </w:rPr>
        <w:t>Insurance (Agents and Brokers) Act 1984</w:t>
      </w:r>
      <w:r w:rsidRPr="00D97EFB">
        <w:t>.</w:t>
      </w:r>
    </w:p>
    <w:p w14:paraId="6BE5408E" w14:textId="77777777" w:rsidR="00E93F58" w:rsidRPr="00D97EFB" w:rsidRDefault="00E93F58" w:rsidP="00BB7E31">
      <w:pPr>
        <w:pStyle w:val="subsection"/>
      </w:pPr>
      <w:r w:rsidRPr="00D97EFB">
        <w:tab/>
        <w:t>(3)</w:t>
      </w:r>
      <w:r w:rsidRPr="00D97EFB">
        <w:tab/>
        <w:t xml:space="preserve">For subregulation (2), nothing in the relevant old legislation (including the </w:t>
      </w:r>
      <w:r w:rsidRPr="00D97EFB">
        <w:rPr>
          <w:i/>
        </w:rPr>
        <w:t>Australian Securities and Investments Commission Act 2001</w:t>
      </w:r>
      <w:r w:rsidRPr="00D97EFB">
        <w:t>) prevents ASIC from drafting or amending the terms of a prohibition for the purpose of ensuring that the prohibition has the same effect under the amended Corporations Act as it had under the old legislation, or an effect equivalent to the effect it had under the old legislation.</w:t>
      </w:r>
    </w:p>
    <w:p w14:paraId="54EA73DB" w14:textId="77777777" w:rsidR="00E93F58" w:rsidRPr="00D97EFB" w:rsidRDefault="00E93F58" w:rsidP="00587F09">
      <w:pPr>
        <w:pStyle w:val="ActHead3"/>
        <w:pageBreakBefore/>
        <w:rPr>
          <w:color w:val="000000"/>
        </w:rPr>
      </w:pPr>
      <w:bookmarkStart w:id="2640" w:name="_Toc151994599"/>
      <w:bookmarkStart w:id="2641" w:name="_Toc158713109"/>
      <w:r w:rsidRPr="000D40D5">
        <w:rPr>
          <w:rStyle w:val="CharDivNo"/>
        </w:rPr>
        <w:lastRenderedPageBreak/>
        <w:t>Division 25</w:t>
      </w:r>
      <w:r w:rsidRPr="00D97EFB">
        <w:rPr>
          <w:color w:val="000000"/>
        </w:rPr>
        <w:t>—</w:t>
      </w:r>
      <w:r w:rsidRPr="000D40D5">
        <w:rPr>
          <w:rStyle w:val="CharDivText"/>
        </w:rPr>
        <w:t>Transitional matters under relevant old legislation: Marine Insurance Act 1909</w:t>
      </w:r>
      <w:bookmarkEnd w:id="2640"/>
      <w:bookmarkEnd w:id="2641"/>
    </w:p>
    <w:p w14:paraId="416B8488" w14:textId="77777777" w:rsidR="00E93F58" w:rsidRPr="00D97EFB" w:rsidRDefault="00E93F58" w:rsidP="00BB7E31">
      <w:pPr>
        <w:pStyle w:val="ActHead5"/>
      </w:pPr>
      <w:bookmarkStart w:id="2642" w:name="_Toc151994600"/>
      <w:bookmarkStart w:id="2643" w:name="_Toc158713110"/>
      <w:r w:rsidRPr="000D40D5">
        <w:rPr>
          <w:rStyle w:val="CharSectno"/>
        </w:rPr>
        <w:t>10.2.120</w:t>
      </w:r>
      <w:r w:rsidRPr="00D97EFB">
        <w:t xml:space="preserve">  Marine policy effected through broker</w:t>
      </w:r>
      <w:bookmarkEnd w:id="2642"/>
      <w:bookmarkEnd w:id="2643"/>
    </w:p>
    <w:p w14:paraId="54C8256E" w14:textId="77777777" w:rsidR="00E93F58" w:rsidRPr="00D97EFB" w:rsidRDefault="00E93F58" w:rsidP="00BB7E31">
      <w:pPr>
        <w:pStyle w:val="subsection"/>
      </w:pPr>
      <w:r w:rsidRPr="00D97EFB">
        <w:rPr>
          <w:color w:val="000000"/>
        </w:rPr>
        <w:tab/>
      </w:r>
      <w:r w:rsidRPr="00D97EFB">
        <w:rPr>
          <w:color w:val="000000"/>
        </w:rPr>
        <w:tab/>
        <w:t xml:space="preserve">For section 1444 of the Act, sections 59 and 60 of the </w:t>
      </w:r>
      <w:r w:rsidRPr="00D97EFB">
        <w:rPr>
          <w:i/>
          <w:color w:val="000000"/>
        </w:rPr>
        <w:t>Marine Insurance Act 1909</w:t>
      </w:r>
      <w:r w:rsidRPr="00D97EFB">
        <w:rPr>
          <w:color w:val="000000"/>
        </w:rPr>
        <w:t>, and any associated provisions, continue to have effect in relation to a marine policy effected on behalf of the assured by a broker before the FSR commencement.</w:t>
      </w:r>
    </w:p>
    <w:p w14:paraId="1D50C681" w14:textId="77777777" w:rsidR="00E93F58" w:rsidRPr="00D97EFB" w:rsidRDefault="00E93F58" w:rsidP="00587F09">
      <w:pPr>
        <w:pStyle w:val="ActHead3"/>
        <w:pageBreakBefore/>
      </w:pPr>
      <w:bookmarkStart w:id="2644" w:name="_Toc151994601"/>
      <w:bookmarkStart w:id="2645" w:name="_Toc158713111"/>
      <w:r w:rsidRPr="000D40D5">
        <w:rPr>
          <w:rStyle w:val="CharDivNo"/>
        </w:rPr>
        <w:lastRenderedPageBreak/>
        <w:t>Division 25A</w:t>
      </w:r>
      <w:r w:rsidRPr="00D97EFB">
        <w:t>—</w:t>
      </w:r>
      <w:r w:rsidRPr="000D40D5">
        <w:rPr>
          <w:rStyle w:val="CharDivText"/>
        </w:rPr>
        <w:t>Transitional matters under relevant old legislation: Retirement Savings Accounts Regulations 1997</w:t>
      </w:r>
      <w:bookmarkEnd w:id="2644"/>
      <w:bookmarkEnd w:id="2645"/>
    </w:p>
    <w:p w14:paraId="3EDBF8AA" w14:textId="77777777" w:rsidR="00E93F58" w:rsidRPr="00D97EFB" w:rsidRDefault="00E93F58" w:rsidP="00BB7E31">
      <w:pPr>
        <w:pStyle w:val="ActHead5"/>
      </w:pPr>
      <w:bookmarkStart w:id="2646" w:name="_Toc151994602"/>
      <w:bookmarkStart w:id="2647" w:name="_Toc158713112"/>
      <w:r w:rsidRPr="000D40D5">
        <w:rPr>
          <w:rStyle w:val="CharSectno"/>
        </w:rPr>
        <w:t>10.2.120A</w:t>
      </w:r>
      <w:r w:rsidRPr="00D97EFB">
        <w:t xml:space="preserve">  Continuation of RSA Regulations during transition period</w:t>
      </w:r>
      <w:bookmarkEnd w:id="2646"/>
      <w:bookmarkEnd w:id="2647"/>
    </w:p>
    <w:p w14:paraId="17DF5545" w14:textId="77777777" w:rsidR="00E93F58" w:rsidRPr="00D97EFB" w:rsidRDefault="00E93F58" w:rsidP="00BB7E31">
      <w:pPr>
        <w:pStyle w:val="subsection"/>
      </w:pPr>
      <w:r w:rsidRPr="00D97EFB">
        <w:tab/>
        <w:t>(1)</w:t>
      </w:r>
      <w:r w:rsidRPr="00D97EFB">
        <w:tab/>
        <w:t>For section 1444 of the Act, this regulation applies in relation to a financial product:</w:t>
      </w:r>
    </w:p>
    <w:p w14:paraId="6DD704CA" w14:textId="77777777" w:rsidR="00E93F58" w:rsidRPr="00D97EFB" w:rsidRDefault="00E93F58" w:rsidP="00BB7E31">
      <w:pPr>
        <w:pStyle w:val="paragraph"/>
      </w:pPr>
      <w:r w:rsidRPr="00D97EFB">
        <w:tab/>
        <w:t>(a)</w:t>
      </w:r>
      <w:r w:rsidRPr="00D97EFB">
        <w:tab/>
        <w:t>to which the RSA Act applied immediately before the FSR commencement; and</w:t>
      </w:r>
    </w:p>
    <w:p w14:paraId="6CDFB995" w14:textId="77777777" w:rsidR="00E93F58" w:rsidRPr="00D97EFB" w:rsidRDefault="00E93F58" w:rsidP="00BB7E31">
      <w:pPr>
        <w:pStyle w:val="paragraph"/>
      </w:pPr>
      <w:r w:rsidRPr="00D97EFB">
        <w:tab/>
        <w:t>(b)</w:t>
      </w:r>
      <w:r w:rsidRPr="00D97EFB">
        <w:tab/>
        <w:t>for which a transition period exists.</w:t>
      </w:r>
    </w:p>
    <w:p w14:paraId="5DDF813D" w14:textId="77777777" w:rsidR="00E93F58" w:rsidRPr="00D97EFB" w:rsidRDefault="00E93F58" w:rsidP="00BB7E31">
      <w:pPr>
        <w:pStyle w:val="subsection"/>
      </w:pPr>
      <w:r w:rsidRPr="00D97EFB">
        <w:tab/>
        <w:t>(2)</w:t>
      </w:r>
      <w:r w:rsidRPr="00D97EFB">
        <w:tab/>
        <w:t>The following provisions of the RSA Regulations, as in force immediately before the FSR commencement, continue to apply in relation to the financial product:</w:t>
      </w:r>
    </w:p>
    <w:p w14:paraId="626DE197" w14:textId="77777777" w:rsidR="00E93F58" w:rsidRPr="00D97EFB" w:rsidRDefault="00E93F58" w:rsidP="00BB7E31">
      <w:pPr>
        <w:pStyle w:val="paragraph"/>
      </w:pPr>
      <w:r w:rsidRPr="00D97EFB">
        <w:tab/>
        <w:t>(a)</w:t>
      </w:r>
      <w:r w:rsidRPr="00D97EFB">
        <w:tab/>
        <w:t>Division 2.1;</w:t>
      </w:r>
    </w:p>
    <w:p w14:paraId="2C74554B" w14:textId="77777777" w:rsidR="00E93F58" w:rsidRPr="00D97EFB" w:rsidRDefault="00E93F58" w:rsidP="00BB7E31">
      <w:pPr>
        <w:pStyle w:val="paragraph"/>
      </w:pPr>
      <w:r w:rsidRPr="00D97EFB">
        <w:tab/>
        <w:t>(b)</w:t>
      </w:r>
      <w:r w:rsidRPr="00D97EFB">
        <w:tab/>
        <w:t>regulation 2.09;</w:t>
      </w:r>
    </w:p>
    <w:p w14:paraId="05F8E642" w14:textId="77777777" w:rsidR="00E93F58" w:rsidRPr="00D97EFB" w:rsidRDefault="00E93F58" w:rsidP="00BB7E31">
      <w:pPr>
        <w:pStyle w:val="paragraph"/>
      </w:pPr>
      <w:r w:rsidRPr="00D97EFB">
        <w:tab/>
        <w:t>(c)</w:t>
      </w:r>
      <w:r w:rsidRPr="00D97EFB">
        <w:tab/>
        <w:t>Divisions 2.3, 2.4, 2.5, 2.7 and 2.8;</w:t>
      </w:r>
    </w:p>
    <w:p w14:paraId="38A61472" w14:textId="77777777" w:rsidR="00E93F58" w:rsidRPr="00D97EFB" w:rsidRDefault="00E93F58" w:rsidP="00BB7E31">
      <w:pPr>
        <w:pStyle w:val="paragraph"/>
      </w:pPr>
      <w:r w:rsidRPr="00D97EFB">
        <w:tab/>
        <w:t>(d)</w:t>
      </w:r>
      <w:r w:rsidRPr="00D97EFB">
        <w:tab/>
        <w:t>regulation 3.07;</w:t>
      </w:r>
    </w:p>
    <w:p w14:paraId="566B222B" w14:textId="77777777" w:rsidR="00E93F58" w:rsidRPr="00D97EFB" w:rsidRDefault="00E93F58" w:rsidP="00BB7E31">
      <w:pPr>
        <w:pStyle w:val="paragraph"/>
      </w:pPr>
      <w:r w:rsidRPr="00D97EFB">
        <w:tab/>
        <w:t>(e)</w:t>
      </w:r>
      <w:r w:rsidRPr="00D97EFB">
        <w:tab/>
        <w:t>regulation 3.09 (other than paragraphs 3.09(a) and (c));</w:t>
      </w:r>
    </w:p>
    <w:p w14:paraId="670AB3C5" w14:textId="77777777" w:rsidR="00E93F58" w:rsidRPr="00D97EFB" w:rsidRDefault="00E93F58" w:rsidP="00BB7E31">
      <w:pPr>
        <w:pStyle w:val="paragraph"/>
      </w:pPr>
      <w:r w:rsidRPr="00D97EFB">
        <w:tab/>
        <w:t>(f)</w:t>
      </w:r>
      <w:r w:rsidRPr="00D97EFB">
        <w:tab/>
        <w:t>regulation 4.32;</w:t>
      </w:r>
    </w:p>
    <w:p w14:paraId="209F78D7" w14:textId="77777777" w:rsidR="00E93F58" w:rsidRPr="00D97EFB" w:rsidRDefault="00E93F58" w:rsidP="00BB7E31">
      <w:pPr>
        <w:pStyle w:val="paragraph"/>
      </w:pPr>
      <w:r w:rsidRPr="00D97EFB">
        <w:tab/>
        <w:t>(g)</w:t>
      </w:r>
      <w:r w:rsidRPr="00D97EFB">
        <w:tab/>
        <w:t>regulation 4.33;</w:t>
      </w:r>
    </w:p>
    <w:p w14:paraId="20EB95A4" w14:textId="77777777" w:rsidR="00E93F58" w:rsidRPr="00D97EFB" w:rsidRDefault="00E93F58" w:rsidP="00BB7E31">
      <w:pPr>
        <w:pStyle w:val="paragraph"/>
      </w:pPr>
      <w:r w:rsidRPr="00D97EFB">
        <w:tab/>
        <w:t>(h)</w:t>
      </w:r>
      <w:r w:rsidRPr="00D97EFB">
        <w:tab/>
        <w:t>regulation 6.12.</w:t>
      </w:r>
    </w:p>
    <w:p w14:paraId="08D87DA3" w14:textId="77777777" w:rsidR="00E93F58" w:rsidRPr="00D97EFB" w:rsidRDefault="00E93F58" w:rsidP="00BB7E31">
      <w:pPr>
        <w:pStyle w:val="subsection"/>
      </w:pPr>
      <w:r w:rsidRPr="00D97EFB">
        <w:tab/>
        <w:t>(3)</w:t>
      </w:r>
      <w:r w:rsidRPr="00D97EFB">
        <w:tab/>
        <w:t>Subregulation (2) ceases to apply in relation to the financial product at the end of the transition period for the financial product.</w:t>
      </w:r>
    </w:p>
    <w:p w14:paraId="74588D82" w14:textId="77777777" w:rsidR="00E93F58" w:rsidRPr="00D97EFB" w:rsidRDefault="00E93F58" w:rsidP="00587F09">
      <w:pPr>
        <w:pStyle w:val="ActHead3"/>
        <w:pageBreakBefore/>
      </w:pPr>
      <w:bookmarkStart w:id="2648" w:name="_Toc151994603"/>
      <w:bookmarkStart w:id="2649" w:name="_Toc158713113"/>
      <w:r w:rsidRPr="000D40D5">
        <w:rPr>
          <w:rStyle w:val="CharDivNo"/>
        </w:rPr>
        <w:lastRenderedPageBreak/>
        <w:t>Division 25B</w:t>
      </w:r>
      <w:r w:rsidRPr="00D97EFB">
        <w:t>—</w:t>
      </w:r>
      <w:r w:rsidRPr="000D40D5">
        <w:rPr>
          <w:rStyle w:val="CharDivText"/>
        </w:rPr>
        <w:t>Transitional matters under relevant old legislation: Superannuation Industry (Supervision) Regulations 1994</w:t>
      </w:r>
      <w:bookmarkEnd w:id="2648"/>
      <w:bookmarkEnd w:id="2649"/>
    </w:p>
    <w:p w14:paraId="0439B662" w14:textId="77777777" w:rsidR="00E93F58" w:rsidRPr="00D97EFB" w:rsidRDefault="00E93F58" w:rsidP="00BB7E31">
      <w:pPr>
        <w:pStyle w:val="ActHead5"/>
      </w:pPr>
      <w:bookmarkStart w:id="2650" w:name="_Toc151994604"/>
      <w:bookmarkStart w:id="2651" w:name="_Toc158713114"/>
      <w:r w:rsidRPr="000D40D5">
        <w:rPr>
          <w:rStyle w:val="CharSectno"/>
        </w:rPr>
        <w:t>10.2.120B</w:t>
      </w:r>
      <w:r w:rsidRPr="00D97EFB">
        <w:t xml:space="preserve">  Continuation of SIS Regulations during transition period</w:t>
      </w:r>
      <w:bookmarkEnd w:id="2650"/>
      <w:bookmarkEnd w:id="2651"/>
    </w:p>
    <w:p w14:paraId="35166E59" w14:textId="77777777" w:rsidR="00E93F58" w:rsidRPr="00D97EFB" w:rsidRDefault="00E93F58" w:rsidP="00BB7E31">
      <w:pPr>
        <w:pStyle w:val="subsection"/>
      </w:pPr>
      <w:r w:rsidRPr="00D97EFB">
        <w:tab/>
        <w:t>(1)</w:t>
      </w:r>
      <w:r w:rsidRPr="00D97EFB">
        <w:tab/>
        <w:t>For section 1444 of the Act, this regulation applies in relation to a financial product:</w:t>
      </w:r>
    </w:p>
    <w:p w14:paraId="38940E45" w14:textId="77777777" w:rsidR="00E93F58" w:rsidRPr="00D97EFB" w:rsidRDefault="00E93F58" w:rsidP="00BB7E31">
      <w:pPr>
        <w:pStyle w:val="paragraph"/>
      </w:pPr>
      <w:r w:rsidRPr="00D97EFB">
        <w:tab/>
        <w:t>(a)</w:t>
      </w:r>
      <w:r w:rsidRPr="00D97EFB">
        <w:tab/>
        <w:t>to which the SIS Act applied immediately before the FSR commencement; and</w:t>
      </w:r>
    </w:p>
    <w:p w14:paraId="22F440EA" w14:textId="77777777" w:rsidR="00E93F58" w:rsidRPr="00D97EFB" w:rsidRDefault="00E93F58" w:rsidP="00BB7E31">
      <w:pPr>
        <w:pStyle w:val="paragraph"/>
      </w:pPr>
      <w:r w:rsidRPr="00D97EFB">
        <w:tab/>
        <w:t>(b)</w:t>
      </w:r>
      <w:r w:rsidRPr="00D97EFB">
        <w:tab/>
        <w:t>for which a transition period exists.</w:t>
      </w:r>
    </w:p>
    <w:p w14:paraId="0F6B0E4D" w14:textId="77777777" w:rsidR="00E93F58" w:rsidRPr="00D97EFB" w:rsidRDefault="00E93F58" w:rsidP="00BB7E31">
      <w:pPr>
        <w:pStyle w:val="subsection"/>
      </w:pPr>
      <w:r w:rsidRPr="00D97EFB">
        <w:tab/>
        <w:t>(2)</w:t>
      </w:r>
      <w:r w:rsidRPr="00D97EFB">
        <w:tab/>
        <w:t>The following provisions of the SIS Regulations, as in force immediately before the FSR commencement, continue to apply in relation to the financial product:</w:t>
      </w:r>
    </w:p>
    <w:p w14:paraId="191069C8" w14:textId="77777777" w:rsidR="00E93F58" w:rsidRPr="00D97EFB" w:rsidRDefault="00E93F58" w:rsidP="00BB7E31">
      <w:pPr>
        <w:pStyle w:val="paragraph"/>
      </w:pPr>
      <w:r w:rsidRPr="00D97EFB">
        <w:tab/>
        <w:t>(a)</w:t>
      </w:r>
      <w:r w:rsidRPr="00D97EFB">
        <w:tab/>
        <w:t>Divisions 2.1 and 2.3;</w:t>
      </w:r>
    </w:p>
    <w:p w14:paraId="25B6CDE9" w14:textId="77777777" w:rsidR="00E93F58" w:rsidRPr="00D97EFB" w:rsidRDefault="00E93F58" w:rsidP="00BB7E31">
      <w:pPr>
        <w:pStyle w:val="paragraph"/>
      </w:pPr>
      <w:r w:rsidRPr="00D97EFB">
        <w:tab/>
        <w:t>(b)</w:t>
      </w:r>
      <w:r w:rsidRPr="00D97EFB">
        <w:tab/>
        <w:t>Subdivisions 2.4.1 and 2.4.2;</w:t>
      </w:r>
    </w:p>
    <w:p w14:paraId="71063C95" w14:textId="77777777" w:rsidR="00E93F58" w:rsidRPr="00D97EFB" w:rsidRDefault="00E93F58" w:rsidP="00BB7E31">
      <w:pPr>
        <w:pStyle w:val="paragraph"/>
      </w:pPr>
      <w:r w:rsidRPr="00D97EFB">
        <w:tab/>
        <w:t>(c)</w:t>
      </w:r>
      <w:r w:rsidRPr="00D97EFB">
        <w:tab/>
        <w:t>Divisions 2.5, 2.7 and 2.7A;</w:t>
      </w:r>
    </w:p>
    <w:p w14:paraId="174F1146" w14:textId="77777777" w:rsidR="00E93F58" w:rsidRPr="00D97EFB" w:rsidRDefault="00E93F58" w:rsidP="00BB7E31">
      <w:pPr>
        <w:pStyle w:val="paragraph"/>
      </w:pPr>
      <w:r w:rsidRPr="00D97EFB">
        <w:tab/>
        <w:t>(d)</w:t>
      </w:r>
      <w:r w:rsidRPr="00D97EFB">
        <w:tab/>
        <w:t>Subdivisions 2.8.1, 2.8.3, 2.8.4 and 2.8.5;</w:t>
      </w:r>
    </w:p>
    <w:p w14:paraId="4F5668B2" w14:textId="77777777" w:rsidR="00E93F58" w:rsidRPr="00D97EFB" w:rsidRDefault="00E93F58" w:rsidP="00BB7E31">
      <w:pPr>
        <w:pStyle w:val="paragraph"/>
      </w:pPr>
      <w:r w:rsidRPr="00D97EFB">
        <w:tab/>
        <w:t>(da)</w:t>
      </w:r>
      <w:r w:rsidRPr="00D97EFB">
        <w:tab/>
        <w:t>regulation 3.10;</w:t>
      </w:r>
    </w:p>
    <w:p w14:paraId="40FB4C55" w14:textId="77777777" w:rsidR="00E93F58" w:rsidRPr="00D97EFB" w:rsidRDefault="00E93F58" w:rsidP="00BB7E31">
      <w:pPr>
        <w:pStyle w:val="paragraph"/>
      </w:pPr>
      <w:r w:rsidRPr="00D97EFB">
        <w:tab/>
        <w:t>(e)</w:t>
      </w:r>
      <w:r w:rsidRPr="00D97EFB">
        <w:tab/>
        <w:t>regulation 4.01;</w:t>
      </w:r>
    </w:p>
    <w:p w14:paraId="03AC204A" w14:textId="77777777" w:rsidR="00E93F58" w:rsidRPr="00D97EFB" w:rsidRDefault="00E93F58" w:rsidP="00BB7E31">
      <w:pPr>
        <w:pStyle w:val="paragraph"/>
      </w:pPr>
      <w:r w:rsidRPr="00D97EFB">
        <w:tab/>
        <w:t>(f)</w:t>
      </w:r>
      <w:r w:rsidRPr="00D97EFB">
        <w:tab/>
        <w:t>regulation 5.12;</w:t>
      </w:r>
    </w:p>
    <w:p w14:paraId="7D5F6E54" w14:textId="77777777" w:rsidR="00E93F58" w:rsidRPr="00D97EFB" w:rsidRDefault="00E93F58" w:rsidP="00BB7E31">
      <w:pPr>
        <w:pStyle w:val="paragraph"/>
      </w:pPr>
      <w:r w:rsidRPr="00D97EFB">
        <w:tab/>
        <w:t>(g)</w:t>
      </w:r>
      <w:r w:rsidRPr="00D97EFB">
        <w:tab/>
        <w:t>regulation 5.15 (other than paragraphs 5.15(a) and (c));</w:t>
      </w:r>
    </w:p>
    <w:p w14:paraId="5118763D" w14:textId="77777777" w:rsidR="00E93F58" w:rsidRPr="00D97EFB" w:rsidRDefault="00E93F58" w:rsidP="00BB7E31">
      <w:pPr>
        <w:pStyle w:val="paragraph"/>
      </w:pPr>
      <w:r w:rsidRPr="00D97EFB">
        <w:tab/>
        <w:t>(h)</w:t>
      </w:r>
      <w:r w:rsidRPr="00D97EFB">
        <w:tab/>
        <w:t>regulations 5.17 and 5.22;</w:t>
      </w:r>
    </w:p>
    <w:p w14:paraId="327CE764" w14:textId="77777777" w:rsidR="00E93F58" w:rsidRPr="00D97EFB" w:rsidRDefault="00E93F58" w:rsidP="00BB7E31">
      <w:pPr>
        <w:pStyle w:val="paragraph"/>
      </w:pPr>
      <w:r w:rsidRPr="00D97EFB">
        <w:tab/>
        <w:t>(i)</w:t>
      </w:r>
      <w:r w:rsidRPr="00D97EFB">
        <w:tab/>
        <w:t>regulation 6.17;</w:t>
      </w:r>
    </w:p>
    <w:p w14:paraId="7CC5AA03" w14:textId="77777777" w:rsidR="00E93F58" w:rsidRPr="00D97EFB" w:rsidRDefault="00E93F58" w:rsidP="00BB7E31">
      <w:pPr>
        <w:pStyle w:val="paragraph"/>
      </w:pPr>
      <w:r w:rsidRPr="00D97EFB">
        <w:tab/>
        <w:t>(j)</w:t>
      </w:r>
      <w:r w:rsidRPr="00D97EFB">
        <w:tab/>
        <w:t>regulation 6.28;</w:t>
      </w:r>
    </w:p>
    <w:p w14:paraId="46182841" w14:textId="77777777" w:rsidR="00E93F58" w:rsidRPr="00D97EFB" w:rsidRDefault="00E93F58" w:rsidP="00BB7E31">
      <w:pPr>
        <w:pStyle w:val="paragraph"/>
      </w:pPr>
      <w:r w:rsidRPr="00D97EFB">
        <w:tab/>
        <w:t>(k)</w:t>
      </w:r>
      <w:r w:rsidRPr="00D97EFB">
        <w:tab/>
        <w:t>regulation 6.29;</w:t>
      </w:r>
    </w:p>
    <w:p w14:paraId="27CD267F" w14:textId="77777777" w:rsidR="00E93F58" w:rsidRPr="00D97EFB" w:rsidRDefault="00E93F58" w:rsidP="00BB7E31">
      <w:pPr>
        <w:pStyle w:val="paragraph"/>
      </w:pPr>
      <w:r w:rsidRPr="00D97EFB">
        <w:tab/>
        <w:t>(l)</w:t>
      </w:r>
      <w:r w:rsidRPr="00D97EFB">
        <w:tab/>
        <w:t>subregulation 13.07(2).</w:t>
      </w:r>
    </w:p>
    <w:p w14:paraId="044AAAA9" w14:textId="77777777" w:rsidR="00E93F58" w:rsidRPr="00D97EFB" w:rsidRDefault="00E93F58" w:rsidP="00BB7E31">
      <w:pPr>
        <w:pStyle w:val="subsection"/>
      </w:pPr>
      <w:r w:rsidRPr="00D97EFB">
        <w:tab/>
        <w:t>(3)</w:t>
      </w:r>
      <w:r w:rsidRPr="00D97EFB">
        <w:tab/>
        <w:t>Subregulation (2) ceases to apply in relation to the financial product at the end of the transition period for the financial product.</w:t>
      </w:r>
    </w:p>
    <w:p w14:paraId="3F81C4AD" w14:textId="77777777" w:rsidR="00E93F58" w:rsidRPr="00D97EFB" w:rsidRDefault="00E93F58" w:rsidP="00BB7E31">
      <w:pPr>
        <w:pStyle w:val="ActHead3"/>
        <w:pageBreakBefore/>
        <w:rPr>
          <w:color w:val="000000"/>
        </w:rPr>
      </w:pPr>
      <w:bookmarkStart w:id="2652" w:name="_Toc151994605"/>
      <w:bookmarkStart w:id="2653" w:name="_Toc158713115"/>
      <w:r w:rsidRPr="000D40D5">
        <w:rPr>
          <w:rStyle w:val="CharDivNo"/>
        </w:rPr>
        <w:lastRenderedPageBreak/>
        <w:t>Division 27</w:t>
      </w:r>
      <w:r w:rsidRPr="00D97EFB">
        <w:rPr>
          <w:color w:val="000000"/>
        </w:rPr>
        <w:t>—</w:t>
      </w:r>
      <w:r w:rsidRPr="000D40D5">
        <w:rPr>
          <w:rStyle w:val="CharDivText"/>
        </w:rPr>
        <w:t>Transitional matters under the Act (other than Chapter 7)</w:t>
      </w:r>
      <w:bookmarkEnd w:id="2652"/>
      <w:bookmarkEnd w:id="2653"/>
    </w:p>
    <w:p w14:paraId="7062EBEC" w14:textId="77777777" w:rsidR="00E93F58" w:rsidRPr="00D97EFB" w:rsidRDefault="00E93F58" w:rsidP="00BB7E31">
      <w:pPr>
        <w:pStyle w:val="ActHead5"/>
      </w:pPr>
      <w:bookmarkStart w:id="2654" w:name="_Toc151994606"/>
      <w:bookmarkStart w:id="2655" w:name="_Toc158713116"/>
      <w:r w:rsidRPr="000D40D5">
        <w:rPr>
          <w:rStyle w:val="CharSectno"/>
        </w:rPr>
        <w:t>10.2.122</w:t>
      </w:r>
      <w:r w:rsidRPr="00D97EFB">
        <w:t xml:space="preserve">  Solvency and insolvency</w:t>
      </w:r>
      <w:bookmarkEnd w:id="2654"/>
      <w:bookmarkEnd w:id="2655"/>
    </w:p>
    <w:p w14:paraId="1E01BD17" w14:textId="77777777" w:rsidR="00E93F58" w:rsidRPr="00D97EFB" w:rsidRDefault="00E93F58" w:rsidP="00BB7E31">
      <w:pPr>
        <w:pStyle w:val="subsection"/>
      </w:pPr>
      <w:r w:rsidRPr="00D97EFB">
        <w:tab/>
      </w:r>
      <w:r w:rsidRPr="00D97EFB">
        <w:tab/>
        <w:t>For section 1444 of the Act, a reference in the Act to solvency or insolvency is to be read as if subsections 95A(1) and (2) of the old Corporations Act had not been repealed on the FSR commencement.</w:t>
      </w:r>
    </w:p>
    <w:p w14:paraId="43BFD4AD" w14:textId="77777777" w:rsidR="00E93F58" w:rsidRPr="00D97EFB" w:rsidRDefault="00E93F58" w:rsidP="00BB7E31">
      <w:pPr>
        <w:pStyle w:val="ActHead5"/>
      </w:pPr>
      <w:bookmarkStart w:id="2656" w:name="_Toc151994607"/>
      <w:bookmarkStart w:id="2657" w:name="_Toc158713117"/>
      <w:r w:rsidRPr="000D40D5">
        <w:rPr>
          <w:rStyle w:val="CharSectno"/>
        </w:rPr>
        <w:t>10.2.123</w:t>
      </w:r>
      <w:r w:rsidRPr="00D97EFB">
        <w:t xml:space="preserve">  Managed investment products held by 100 or more persons</w:t>
      </w:r>
      <w:bookmarkEnd w:id="2656"/>
      <w:bookmarkEnd w:id="2657"/>
    </w:p>
    <w:p w14:paraId="314EC8F7" w14:textId="77777777" w:rsidR="00E93F58" w:rsidRPr="00D97EFB" w:rsidRDefault="00E93F58" w:rsidP="00BB7E31">
      <w:pPr>
        <w:pStyle w:val="subsection"/>
      </w:pPr>
      <w:r w:rsidRPr="00D97EFB">
        <w:rPr>
          <w:color w:val="000000"/>
        </w:rPr>
        <w:tab/>
      </w:r>
      <w:r w:rsidRPr="00D97EFB">
        <w:rPr>
          <w:color w:val="000000"/>
        </w:rPr>
        <w:tab/>
        <w:t>For section 1444 of the Act, a reference in section 111AFA of the Act to people holding managed investment products in a class of managed investment products includes a person who holds the managed investment product as a result of an offer, relating to securities, that gave rise to an obligation to lodge a disclosure document with ASIC in relation to the securities under Chapter 6D of the old Corporations Act.</w:t>
      </w:r>
    </w:p>
    <w:p w14:paraId="36807696" w14:textId="77777777" w:rsidR="00E93F58" w:rsidRPr="00D97EFB" w:rsidRDefault="00E93F58" w:rsidP="00BB7E31">
      <w:pPr>
        <w:pStyle w:val="ActHead5"/>
      </w:pPr>
      <w:bookmarkStart w:id="2658" w:name="_Toc151994608"/>
      <w:bookmarkStart w:id="2659" w:name="_Toc158713118"/>
      <w:r w:rsidRPr="000D40D5">
        <w:rPr>
          <w:rStyle w:val="CharSectno"/>
        </w:rPr>
        <w:t>10.2.124</w:t>
      </w:r>
      <w:r w:rsidRPr="00D97EFB">
        <w:t xml:space="preserve">  When a managed investment scheme must be registered</w:t>
      </w:r>
      <w:bookmarkEnd w:id="2658"/>
      <w:bookmarkEnd w:id="2659"/>
    </w:p>
    <w:p w14:paraId="79521D93" w14:textId="77777777" w:rsidR="00E93F58" w:rsidRPr="00D97EFB" w:rsidRDefault="00E93F58" w:rsidP="00BB7E31">
      <w:pPr>
        <w:pStyle w:val="subsection"/>
      </w:pPr>
      <w:r w:rsidRPr="00D97EFB">
        <w:tab/>
      </w:r>
      <w:r w:rsidRPr="00D97EFB">
        <w:tab/>
        <w:t>For section 1444 of the Act, subsection 601ED(2) of the Act applies in relation to a managed investment scheme as if issues of interests that:</w:t>
      </w:r>
    </w:p>
    <w:p w14:paraId="5E457C5F" w14:textId="77777777" w:rsidR="00E93F58" w:rsidRPr="00D97EFB" w:rsidRDefault="00E93F58" w:rsidP="00BB7E31">
      <w:pPr>
        <w:pStyle w:val="paragraph"/>
      </w:pPr>
      <w:r w:rsidRPr="00D97EFB">
        <w:tab/>
        <w:t>(a)</w:t>
      </w:r>
      <w:r w:rsidRPr="00D97EFB">
        <w:tab/>
        <w:t>were made before the issue of the interest was covered by Division 2 of Part 7.9 of the Act; and</w:t>
      </w:r>
    </w:p>
    <w:p w14:paraId="2AC13EFA" w14:textId="77777777" w:rsidR="00E93F58" w:rsidRPr="00D97EFB" w:rsidRDefault="00E93F58" w:rsidP="00BB7E31">
      <w:pPr>
        <w:pStyle w:val="paragraph"/>
      </w:pPr>
      <w:r w:rsidRPr="00D97EFB">
        <w:tab/>
        <w:t>(b)</w:t>
      </w:r>
      <w:r w:rsidRPr="00D97EFB">
        <w:tab/>
        <w:t>were:</w:t>
      </w:r>
    </w:p>
    <w:p w14:paraId="5299B6F7" w14:textId="77777777" w:rsidR="00E93F58" w:rsidRPr="00D97EFB" w:rsidRDefault="00E93F58" w:rsidP="00BB7E31">
      <w:pPr>
        <w:pStyle w:val="paragraphsub"/>
      </w:pPr>
      <w:r w:rsidRPr="00D97EFB">
        <w:tab/>
        <w:t>(i)</w:t>
      </w:r>
      <w:r w:rsidRPr="00D97EFB">
        <w:tab/>
        <w:t>issues made after 12 March 2000 that would not have needed disclosure to investors under Part 6D.2 of the old Corporations Act if the scheme were registered; or</w:t>
      </w:r>
    </w:p>
    <w:p w14:paraId="6E0CF9C5" w14:textId="77777777" w:rsidR="00E93F58" w:rsidRPr="00D97EFB" w:rsidRDefault="00E93F58" w:rsidP="00BB7E31">
      <w:pPr>
        <w:pStyle w:val="paragraphsub"/>
      </w:pPr>
      <w:r w:rsidRPr="00D97EFB">
        <w:tab/>
        <w:t>(ii)</w:t>
      </w:r>
      <w:r w:rsidRPr="00D97EFB">
        <w:tab/>
        <w:t>issues mentioned in section 1477 of the Corporations Law as in force on 14 July 2001 and as continued by section 1408 of the Act;</w:t>
      </w:r>
    </w:p>
    <w:p w14:paraId="02D6E4D2" w14:textId="77777777" w:rsidR="00E93F58" w:rsidRPr="00D97EFB" w:rsidRDefault="00E93F58" w:rsidP="00BB7E31">
      <w:pPr>
        <w:pStyle w:val="subsection2"/>
      </w:pPr>
      <w:r w:rsidRPr="00D97EFB">
        <w:t>were issues in relation to which a Product Disclosure Statement is not required to be given under Division 2 of Part 7.9.</w:t>
      </w:r>
    </w:p>
    <w:p w14:paraId="0914EF49" w14:textId="77777777" w:rsidR="00E93F58" w:rsidRPr="00D97EFB" w:rsidRDefault="00E93F58" w:rsidP="000A7E3B">
      <w:pPr>
        <w:pStyle w:val="ActHead5"/>
      </w:pPr>
      <w:bookmarkStart w:id="2660" w:name="_Toc151994609"/>
      <w:bookmarkStart w:id="2661" w:name="_Toc158713119"/>
      <w:r w:rsidRPr="000D40D5">
        <w:rPr>
          <w:rStyle w:val="CharSectno"/>
        </w:rPr>
        <w:t>10.2.125</w:t>
      </w:r>
      <w:r w:rsidRPr="00D97EFB">
        <w:t xml:space="preserve">  Responsible entity to be a public company and hold an Australian financial services licence</w:t>
      </w:r>
      <w:bookmarkEnd w:id="2660"/>
      <w:bookmarkEnd w:id="2661"/>
    </w:p>
    <w:p w14:paraId="032C7055" w14:textId="77777777" w:rsidR="00E93F58" w:rsidRPr="00D97EFB" w:rsidRDefault="00E93F58" w:rsidP="000A7E3B">
      <w:pPr>
        <w:pStyle w:val="subsection"/>
        <w:keepNext/>
        <w:keepLines/>
      </w:pPr>
      <w:r w:rsidRPr="00D97EFB">
        <w:rPr>
          <w:color w:val="000000"/>
        </w:rPr>
        <w:tab/>
        <w:t>(1)</w:t>
      </w:r>
      <w:r w:rsidRPr="00D97EFB">
        <w:rPr>
          <w:color w:val="000000"/>
        </w:rPr>
        <w:tab/>
        <w:t>For section 1444 of the Act, this regulation applies in relation to a public company that is a regulated principal mentioned in item 1 of the table in section 1430 of the Act.</w:t>
      </w:r>
    </w:p>
    <w:p w14:paraId="5ADE28D0" w14:textId="77777777" w:rsidR="00E93F58" w:rsidRPr="00D97EFB" w:rsidRDefault="00E93F58" w:rsidP="00BB7E31">
      <w:pPr>
        <w:pStyle w:val="subsection"/>
      </w:pPr>
      <w:r w:rsidRPr="00D97EFB">
        <w:rPr>
          <w:color w:val="000000"/>
        </w:rPr>
        <w:tab/>
        <w:t>(2)</w:t>
      </w:r>
      <w:r w:rsidRPr="00D97EFB">
        <w:rPr>
          <w:color w:val="000000"/>
        </w:rPr>
        <w:tab/>
        <w:t>A reference in section 601FA of the Act to a public company that holds an Australian financial services licence includes the regulated principal.</w:t>
      </w:r>
    </w:p>
    <w:p w14:paraId="17D08A23" w14:textId="77777777" w:rsidR="00E93F58" w:rsidRPr="00D97EFB" w:rsidRDefault="00E93F58" w:rsidP="00BB7E31">
      <w:pPr>
        <w:pStyle w:val="subsection"/>
      </w:pPr>
      <w:r w:rsidRPr="00D97EFB">
        <w:tab/>
        <w:t>(3)</w:t>
      </w:r>
      <w:r w:rsidRPr="00D97EFB">
        <w:tab/>
        <w:t>Subregulation (2) ceases to apply in relation to the regulated principal at the end of the transition period in relation to the regulated principal.</w:t>
      </w:r>
    </w:p>
    <w:p w14:paraId="36502ABF" w14:textId="77777777" w:rsidR="00E93F58" w:rsidRPr="00D97EFB" w:rsidRDefault="00E93F58" w:rsidP="00BB7E31">
      <w:pPr>
        <w:pStyle w:val="ActHead5"/>
      </w:pPr>
      <w:bookmarkStart w:id="2662" w:name="_Toc151994610"/>
      <w:bookmarkStart w:id="2663" w:name="_Toc158713120"/>
      <w:r w:rsidRPr="000D40D5">
        <w:rPr>
          <w:rStyle w:val="CharSectno"/>
        </w:rPr>
        <w:t>10.2.126</w:t>
      </w:r>
      <w:r w:rsidRPr="00D97EFB">
        <w:t xml:space="preserve">  Duties of officers of responsible entity</w:t>
      </w:r>
      <w:bookmarkEnd w:id="2662"/>
      <w:bookmarkEnd w:id="2663"/>
    </w:p>
    <w:p w14:paraId="3C84A68C" w14:textId="77777777" w:rsidR="00E93F58" w:rsidRPr="00D97EFB" w:rsidRDefault="00E93F58" w:rsidP="00BB7E31">
      <w:pPr>
        <w:pStyle w:val="subsection"/>
      </w:pPr>
      <w:r w:rsidRPr="00D97EFB">
        <w:rPr>
          <w:color w:val="000000"/>
        </w:rPr>
        <w:tab/>
        <w:t>(1)</w:t>
      </w:r>
      <w:r w:rsidRPr="00D97EFB">
        <w:rPr>
          <w:color w:val="000000"/>
        </w:rPr>
        <w:tab/>
        <w:t>For section 1444 of the Act, this regulation applies in relation to a responsible entity that is a regulated principal mentioned in item 1 of the table in section 1430 of the Act.</w:t>
      </w:r>
    </w:p>
    <w:p w14:paraId="47F61570" w14:textId="77777777" w:rsidR="00E93F58" w:rsidRPr="00D97EFB" w:rsidRDefault="00E93F58" w:rsidP="00BB7E31">
      <w:pPr>
        <w:pStyle w:val="subsection"/>
      </w:pPr>
      <w:r w:rsidRPr="00D97EFB">
        <w:tab/>
        <w:t>(2)</w:t>
      </w:r>
      <w:r w:rsidRPr="00D97EFB">
        <w:tab/>
        <w:t>A reference in subparagraph 601FD(1)(f)(ii) of the Act to a responsible entity’s Australian financial services licence includes the dealers licence of the regulated principal.</w:t>
      </w:r>
    </w:p>
    <w:p w14:paraId="46A13597" w14:textId="77777777" w:rsidR="00E93F58" w:rsidRPr="00D97EFB" w:rsidRDefault="00E93F58" w:rsidP="00BB7E31">
      <w:pPr>
        <w:pStyle w:val="subsection"/>
      </w:pPr>
      <w:r w:rsidRPr="00D97EFB">
        <w:tab/>
        <w:t>(3)</w:t>
      </w:r>
      <w:r w:rsidRPr="00D97EFB">
        <w:tab/>
        <w:t>Subregulation (2) ceases to apply in relation to the regulated principal at the end of the transition period in relation to the regulated principal.</w:t>
      </w:r>
    </w:p>
    <w:p w14:paraId="3191BBC5" w14:textId="77777777" w:rsidR="00E93F58" w:rsidRPr="00D97EFB" w:rsidRDefault="00E93F58" w:rsidP="00BB7E31">
      <w:pPr>
        <w:pStyle w:val="ActHead5"/>
      </w:pPr>
      <w:bookmarkStart w:id="2664" w:name="_Toc151994611"/>
      <w:bookmarkStart w:id="2665" w:name="_Toc158713121"/>
      <w:r w:rsidRPr="000D40D5">
        <w:rPr>
          <w:rStyle w:val="CharSectno"/>
        </w:rPr>
        <w:t>10.2.127</w:t>
      </w:r>
      <w:r w:rsidRPr="00D97EFB">
        <w:t xml:space="preserve">  Voidable contracts</w:t>
      </w:r>
      <w:bookmarkEnd w:id="2664"/>
      <w:bookmarkEnd w:id="2665"/>
    </w:p>
    <w:p w14:paraId="3EDD4D35" w14:textId="77777777" w:rsidR="00E93F58" w:rsidRPr="00D97EFB" w:rsidRDefault="00E93F58" w:rsidP="00BB7E31">
      <w:pPr>
        <w:pStyle w:val="subsection"/>
      </w:pPr>
      <w:r w:rsidRPr="00D97EFB">
        <w:tab/>
        <w:t>(1)</w:t>
      </w:r>
      <w:r w:rsidRPr="00D97EFB">
        <w:tab/>
        <w:t>For section 1444 of the Act, this regulation applies in relation to a contract if:</w:t>
      </w:r>
    </w:p>
    <w:p w14:paraId="4AE7BF86" w14:textId="77777777" w:rsidR="00E93F58" w:rsidRPr="00D97EFB" w:rsidRDefault="00E93F58" w:rsidP="00BB7E31">
      <w:pPr>
        <w:pStyle w:val="paragraph"/>
      </w:pPr>
      <w:r w:rsidRPr="00D97EFB">
        <w:rPr>
          <w:color w:val="000000"/>
        </w:rPr>
        <w:tab/>
        <w:t>(a)</w:t>
      </w:r>
      <w:r w:rsidRPr="00D97EFB">
        <w:rPr>
          <w:color w:val="000000"/>
        </w:rPr>
        <w:tab/>
        <w:t>Chapter 6D of the old Corporations Act applies in relation to an interest in a registered scheme after the FSR commencement; and</w:t>
      </w:r>
    </w:p>
    <w:p w14:paraId="37AB4648" w14:textId="77777777" w:rsidR="00E93F58" w:rsidRPr="00D97EFB" w:rsidRDefault="00E93F58" w:rsidP="00BB7E31">
      <w:pPr>
        <w:pStyle w:val="paragraph"/>
      </w:pPr>
      <w:r w:rsidRPr="00D97EFB">
        <w:tab/>
        <w:t>(b)</w:t>
      </w:r>
      <w:r w:rsidRPr="00D97EFB">
        <w:tab/>
        <w:t xml:space="preserve">a person (the </w:t>
      </w:r>
      <w:r w:rsidRPr="00D97EFB">
        <w:rPr>
          <w:b/>
          <w:i/>
        </w:rPr>
        <w:t>offeror</w:t>
      </w:r>
      <w:r w:rsidRPr="00D97EFB">
        <w:t>), in contravention of Chapter 6D of the old Corporations Act, offers the interest in the registered scheme for subscription, or issues an invitation to subscribe for the interest in the registered scheme during the transition period in relation to the registered scheme; and</w:t>
      </w:r>
    </w:p>
    <w:p w14:paraId="40B40063" w14:textId="77777777" w:rsidR="00E93F58" w:rsidRPr="00D97EFB" w:rsidRDefault="00E93F58" w:rsidP="00BB7E31">
      <w:pPr>
        <w:pStyle w:val="paragraph"/>
      </w:pPr>
      <w:r w:rsidRPr="00D97EFB">
        <w:tab/>
        <w:t>(c)</w:t>
      </w:r>
      <w:r w:rsidRPr="00D97EFB">
        <w:tab/>
        <w:t>the contract is entered into by a person (other than the offeror) to subscribe for the interest as a result of the person accepting the offer, or of the acceptance of an offer made by the person in response to the invitation.</w:t>
      </w:r>
    </w:p>
    <w:p w14:paraId="547FB3B3" w14:textId="77777777" w:rsidR="00E93F58" w:rsidRPr="00D97EFB" w:rsidRDefault="00E93F58" w:rsidP="00BB7E31">
      <w:pPr>
        <w:pStyle w:val="subsection"/>
      </w:pPr>
      <w:r w:rsidRPr="00D97EFB">
        <w:rPr>
          <w:color w:val="000000"/>
        </w:rPr>
        <w:lastRenderedPageBreak/>
        <w:tab/>
        <w:t>(2)</w:t>
      </w:r>
      <w:r w:rsidRPr="00D97EFB">
        <w:rPr>
          <w:color w:val="000000"/>
        </w:rPr>
        <w:tab/>
        <w:t>A reference in section 601MB of the Act to a contract includes the contract mentioned in subregulation (1).</w:t>
      </w:r>
    </w:p>
    <w:p w14:paraId="421DBCC8" w14:textId="77777777" w:rsidR="00E93F58" w:rsidRPr="00D97EFB" w:rsidRDefault="00E93F58" w:rsidP="00BB7E31">
      <w:pPr>
        <w:pStyle w:val="subsection"/>
      </w:pPr>
      <w:r w:rsidRPr="00D97EFB">
        <w:tab/>
        <w:t>(3)</w:t>
      </w:r>
      <w:r w:rsidRPr="00D97EFB">
        <w:tab/>
        <w:t>Subregulation (2) ceases to apply in relation to the contract at the end of the transition period in relation to the managed investment product to which the contract mentioned in subregulation (1) relates.</w:t>
      </w:r>
    </w:p>
    <w:p w14:paraId="09E02DEF" w14:textId="77777777" w:rsidR="00E93F58" w:rsidRPr="00D97EFB" w:rsidRDefault="00E93F58" w:rsidP="00BB7E31">
      <w:pPr>
        <w:pStyle w:val="ActHead5"/>
      </w:pPr>
      <w:bookmarkStart w:id="2666" w:name="_Toc151994612"/>
      <w:bookmarkStart w:id="2667" w:name="_Toc158713122"/>
      <w:r w:rsidRPr="000D40D5">
        <w:rPr>
          <w:rStyle w:val="CharSectno"/>
        </w:rPr>
        <w:t>10.2.128</w:t>
      </w:r>
      <w:r w:rsidRPr="00D97EFB">
        <w:t xml:space="preserve">  Situations not giving rise to relevant interests</w:t>
      </w:r>
      <w:bookmarkEnd w:id="2666"/>
      <w:bookmarkEnd w:id="2667"/>
    </w:p>
    <w:p w14:paraId="784EE52A" w14:textId="77777777" w:rsidR="00E93F58" w:rsidRPr="00D97EFB" w:rsidRDefault="00E93F58" w:rsidP="00BB7E31">
      <w:pPr>
        <w:pStyle w:val="subsection"/>
      </w:pPr>
      <w:r w:rsidRPr="00D97EFB">
        <w:rPr>
          <w:color w:val="000000"/>
        </w:rPr>
        <w:tab/>
        <w:t>(1)</w:t>
      </w:r>
      <w:r w:rsidRPr="00D97EFB">
        <w:rPr>
          <w:color w:val="000000"/>
        </w:rPr>
        <w:tab/>
        <w:t>For section 1444 of the Act, this regulation applies in relation to a regulated principal mentioned in item 1 of the table in section 1430 of the Act.</w:t>
      </w:r>
    </w:p>
    <w:p w14:paraId="05BA7712" w14:textId="77777777" w:rsidR="00E93F58" w:rsidRPr="00D97EFB" w:rsidRDefault="00E93F58" w:rsidP="00BB7E31">
      <w:pPr>
        <w:pStyle w:val="subsection"/>
      </w:pPr>
      <w:r w:rsidRPr="00D97EFB">
        <w:rPr>
          <w:color w:val="000000"/>
        </w:rPr>
        <w:tab/>
        <w:t>(2)</w:t>
      </w:r>
      <w:r w:rsidRPr="00D97EFB">
        <w:rPr>
          <w:color w:val="000000"/>
        </w:rPr>
        <w:tab/>
        <w:t>A reference in subsection 609(3) of the Act to a financial services licensee includes the regulated principal.</w:t>
      </w:r>
    </w:p>
    <w:p w14:paraId="5D7695ED" w14:textId="77777777" w:rsidR="00E93F58" w:rsidRPr="00D97EFB" w:rsidRDefault="00E93F58" w:rsidP="00BB7E31">
      <w:pPr>
        <w:pStyle w:val="subsection"/>
      </w:pPr>
      <w:r w:rsidRPr="00D97EFB">
        <w:tab/>
        <w:t>(3)</w:t>
      </w:r>
      <w:r w:rsidRPr="00D97EFB">
        <w:tab/>
        <w:t>A reference in subsection 609(3) of the Act to a financial services business includes the securities business of the regulated principal as defined in section 93 of the old Corporations Act.</w:t>
      </w:r>
    </w:p>
    <w:p w14:paraId="29627B44" w14:textId="77777777" w:rsidR="00E93F58" w:rsidRPr="00D97EFB" w:rsidRDefault="00E93F58" w:rsidP="00BB7E31">
      <w:pPr>
        <w:pStyle w:val="subsection"/>
      </w:pPr>
      <w:r w:rsidRPr="00D97EFB">
        <w:tab/>
        <w:t>(4)</w:t>
      </w:r>
      <w:r w:rsidRPr="00D97EFB">
        <w:tab/>
        <w:t>Subregulations (2) and (3) cease to apply in relation to the regulated person at the end of the transition period in relation to the regulated principal.</w:t>
      </w:r>
    </w:p>
    <w:p w14:paraId="421FB532" w14:textId="77777777" w:rsidR="00E93F58" w:rsidRPr="00D97EFB" w:rsidRDefault="00E93F58" w:rsidP="00BB7E31">
      <w:pPr>
        <w:pStyle w:val="ActHead5"/>
      </w:pPr>
      <w:bookmarkStart w:id="2668" w:name="_Toc151994613"/>
      <w:bookmarkStart w:id="2669" w:name="_Toc158713123"/>
      <w:r w:rsidRPr="000D40D5">
        <w:rPr>
          <w:rStyle w:val="CharSectno"/>
        </w:rPr>
        <w:t>10.2.129</w:t>
      </w:r>
      <w:r w:rsidRPr="00D97EFB">
        <w:t xml:space="preserve">  Bidder’s statement content</w:t>
      </w:r>
      <w:bookmarkEnd w:id="2668"/>
      <w:bookmarkEnd w:id="2669"/>
    </w:p>
    <w:p w14:paraId="557722AB" w14:textId="77777777" w:rsidR="00E93F58" w:rsidRPr="00D97EFB" w:rsidRDefault="00E93F58" w:rsidP="00BB7E31">
      <w:pPr>
        <w:pStyle w:val="subsection"/>
      </w:pPr>
      <w:r w:rsidRPr="00D97EFB">
        <w:tab/>
        <w:t>(1)</w:t>
      </w:r>
      <w:r w:rsidRPr="00D97EFB">
        <w:tab/>
        <w:t>For section 1444 of the Act, this regulation applies if:</w:t>
      </w:r>
    </w:p>
    <w:p w14:paraId="5679DC5A" w14:textId="77777777" w:rsidR="00E93F58" w:rsidRPr="00D97EFB" w:rsidRDefault="00E93F58" w:rsidP="00BB7E31">
      <w:pPr>
        <w:pStyle w:val="paragraph"/>
      </w:pPr>
      <w:r w:rsidRPr="00D97EFB">
        <w:rPr>
          <w:color w:val="000000"/>
        </w:rPr>
        <w:tab/>
        <w:t>(a)</w:t>
      </w:r>
      <w:r w:rsidRPr="00D97EFB">
        <w:rPr>
          <w:color w:val="000000"/>
        </w:rPr>
        <w:tab/>
        <w:t>after the FSR commencement, a bidder offers managed investment products as consideration under a takeover bid; and</w:t>
      </w:r>
    </w:p>
    <w:p w14:paraId="1C07478F" w14:textId="77777777" w:rsidR="00E93F58" w:rsidRPr="00D97EFB" w:rsidRDefault="00E93F58" w:rsidP="00BB7E31">
      <w:pPr>
        <w:pStyle w:val="paragraph"/>
      </w:pPr>
      <w:r w:rsidRPr="00D97EFB">
        <w:tab/>
        <w:t>(b)</w:t>
      </w:r>
      <w:r w:rsidRPr="00D97EFB">
        <w:tab/>
        <w:t>Division 2 of Part 7.9 of the Act does not apply to the managed investment products when the bidder lodges with ASIC the bidder’s statement under section 636 of the Act.</w:t>
      </w:r>
    </w:p>
    <w:p w14:paraId="5E50EAC6" w14:textId="77777777" w:rsidR="00E93F58" w:rsidRPr="00D97EFB" w:rsidRDefault="00E93F58" w:rsidP="00BB7E31">
      <w:pPr>
        <w:pStyle w:val="subsection"/>
      </w:pPr>
      <w:r w:rsidRPr="00D97EFB">
        <w:rPr>
          <w:color w:val="000000"/>
        </w:rPr>
        <w:tab/>
        <w:t>(2)</w:t>
      </w:r>
      <w:r w:rsidRPr="00D97EFB">
        <w:rPr>
          <w:color w:val="000000"/>
        </w:rPr>
        <w:tab/>
        <w:t>Paragraph 636(1)(g) of the Act applies to the bidder’s statement as if the managed investment products were securities other than managed investment products.</w:t>
      </w:r>
    </w:p>
    <w:p w14:paraId="614BA61D" w14:textId="77777777" w:rsidR="00E93F58" w:rsidRPr="00D97EFB" w:rsidRDefault="00E93F58" w:rsidP="00BB7E31">
      <w:pPr>
        <w:pStyle w:val="subsection"/>
      </w:pPr>
      <w:r w:rsidRPr="00D97EFB">
        <w:tab/>
        <w:t>(3)</w:t>
      </w:r>
      <w:r w:rsidRPr="00D97EFB">
        <w:tab/>
        <w:t>Paragraph 636(1)(ga) of the Act does not apply to the bidder’s statement.</w:t>
      </w:r>
    </w:p>
    <w:p w14:paraId="2E308DDD" w14:textId="77777777" w:rsidR="00E93F58" w:rsidRPr="00D97EFB" w:rsidRDefault="00E93F58" w:rsidP="00BB7E31">
      <w:pPr>
        <w:pStyle w:val="ActHead5"/>
      </w:pPr>
      <w:bookmarkStart w:id="2670" w:name="_Toc151994614"/>
      <w:bookmarkStart w:id="2671" w:name="_Toc158713124"/>
      <w:r w:rsidRPr="000D40D5">
        <w:rPr>
          <w:rStyle w:val="CharSectno"/>
        </w:rPr>
        <w:t>10.2.130</w:t>
      </w:r>
      <w:r w:rsidRPr="00D97EFB">
        <w:t xml:space="preserve">  Continuous disclosure: other disclosing entities</w:t>
      </w:r>
      <w:bookmarkEnd w:id="2670"/>
      <w:bookmarkEnd w:id="2671"/>
    </w:p>
    <w:p w14:paraId="17BF1D45" w14:textId="77777777" w:rsidR="00E93F58" w:rsidRPr="00D97EFB" w:rsidRDefault="00E93F58" w:rsidP="00BB7E31">
      <w:pPr>
        <w:pStyle w:val="subsection"/>
      </w:pPr>
      <w:r w:rsidRPr="00D97EFB">
        <w:tab/>
      </w:r>
      <w:r w:rsidRPr="00D97EFB">
        <w:tab/>
        <w:t>For section 1444 of the Act, a reference in subparagraph 675(2)(c)(ii) of the Act to a Product Disclosure Statement, or a Supplementary Product Disclosure Statement, a copy of which has been lodged with ASIC includes:</w:t>
      </w:r>
    </w:p>
    <w:p w14:paraId="19D2AC92" w14:textId="77777777" w:rsidR="00E93F58" w:rsidRPr="00D97EFB" w:rsidRDefault="00E93F58" w:rsidP="00BB7E31">
      <w:pPr>
        <w:pStyle w:val="paragraph"/>
      </w:pPr>
      <w:r w:rsidRPr="00D97EFB">
        <w:rPr>
          <w:color w:val="000000"/>
        </w:rPr>
        <w:tab/>
        <w:t>(a)</w:t>
      </w:r>
      <w:r w:rsidRPr="00D97EFB">
        <w:rPr>
          <w:color w:val="000000"/>
        </w:rPr>
        <w:tab/>
        <w:t>a disclosure document lodged with ASIC under Chapter 6D of the old Corporations Act; and</w:t>
      </w:r>
    </w:p>
    <w:p w14:paraId="423321F9" w14:textId="77777777" w:rsidR="00E93F58" w:rsidRPr="00D97EFB" w:rsidRDefault="00E93F58" w:rsidP="00BB7E31">
      <w:pPr>
        <w:pStyle w:val="paragraph"/>
      </w:pPr>
      <w:r w:rsidRPr="00D97EFB">
        <w:tab/>
        <w:t>(b)</w:t>
      </w:r>
      <w:r w:rsidRPr="00D97EFB">
        <w:tab/>
        <w:t>a supplementary disclosure document, or a replacement disclosure document, lodged with ASIC under that Chapter.</w:t>
      </w:r>
    </w:p>
    <w:p w14:paraId="3EAB2B7E" w14:textId="77777777" w:rsidR="00E93F58" w:rsidRPr="00D97EFB" w:rsidRDefault="00E93F58" w:rsidP="00BB7E31">
      <w:pPr>
        <w:pStyle w:val="ActHead5"/>
      </w:pPr>
      <w:bookmarkStart w:id="2672" w:name="_Toc151994615"/>
      <w:bookmarkStart w:id="2673" w:name="_Toc158713125"/>
      <w:r w:rsidRPr="000D40D5">
        <w:rPr>
          <w:rStyle w:val="CharSectno"/>
        </w:rPr>
        <w:t>10.2.131</w:t>
      </w:r>
      <w:r w:rsidRPr="00D97EFB">
        <w:t xml:space="preserve">  Sale offers that need disclosure: securities issued before FSR commencement</w:t>
      </w:r>
      <w:bookmarkEnd w:id="2672"/>
      <w:bookmarkEnd w:id="2673"/>
    </w:p>
    <w:p w14:paraId="47B0590A" w14:textId="77777777" w:rsidR="00E93F58" w:rsidRPr="00D97EFB" w:rsidRDefault="00E93F58" w:rsidP="00BB7E31">
      <w:pPr>
        <w:pStyle w:val="subsection"/>
      </w:pPr>
      <w:r w:rsidRPr="00D97EFB">
        <w:tab/>
        <w:t>(1)</w:t>
      </w:r>
      <w:r w:rsidRPr="00D97EFB">
        <w:tab/>
        <w:t>For section 1444 of the Act, this regulation applies if:</w:t>
      </w:r>
    </w:p>
    <w:p w14:paraId="5354AD6C" w14:textId="77777777" w:rsidR="00E93F58" w:rsidRPr="00D97EFB" w:rsidRDefault="00E93F58" w:rsidP="00BB7E31">
      <w:pPr>
        <w:pStyle w:val="paragraph"/>
      </w:pPr>
      <w:r w:rsidRPr="00D97EFB">
        <w:rPr>
          <w:color w:val="000000"/>
        </w:rPr>
        <w:tab/>
        <w:t>(a)</w:t>
      </w:r>
      <w:r w:rsidRPr="00D97EFB">
        <w:rPr>
          <w:color w:val="000000"/>
        </w:rPr>
        <w:tab/>
        <w:t>securities (other than managed investment products) are sold on or after the FSR commencement; and</w:t>
      </w:r>
    </w:p>
    <w:p w14:paraId="728DEB70" w14:textId="77777777" w:rsidR="00E93F58" w:rsidRPr="00D97EFB" w:rsidRDefault="00E93F58" w:rsidP="00BB7E31">
      <w:pPr>
        <w:pStyle w:val="paragraph"/>
      </w:pPr>
      <w:r w:rsidRPr="00D97EFB">
        <w:tab/>
        <w:t>(b)</w:t>
      </w:r>
      <w:r w:rsidRPr="00D97EFB">
        <w:tab/>
        <w:t>the securities were issued before the FSR commencement.</w:t>
      </w:r>
    </w:p>
    <w:p w14:paraId="498E1468" w14:textId="77777777" w:rsidR="00E93F58" w:rsidRPr="00D97EFB" w:rsidRDefault="00E93F58" w:rsidP="00BB7E31">
      <w:pPr>
        <w:pStyle w:val="subsection"/>
      </w:pPr>
      <w:r w:rsidRPr="00D97EFB">
        <w:rPr>
          <w:color w:val="000000"/>
        </w:rPr>
        <w:tab/>
        <w:t>(2)</w:t>
      </w:r>
      <w:r w:rsidRPr="00D97EFB">
        <w:rPr>
          <w:color w:val="000000"/>
        </w:rPr>
        <w:tab/>
        <w:t>Section 707 of the old Corporations Act, and any associated provisions, continue to apply in relation to the securities.</w:t>
      </w:r>
    </w:p>
    <w:p w14:paraId="6AB1C933" w14:textId="77777777" w:rsidR="00E93F58" w:rsidRPr="00D97EFB" w:rsidRDefault="00E93F58" w:rsidP="00BB7E31">
      <w:pPr>
        <w:pStyle w:val="subsection"/>
      </w:pPr>
      <w:r w:rsidRPr="00D97EFB">
        <w:tab/>
        <w:t>(3)</w:t>
      </w:r>
      <w:r w:rsidRPr="00D97EFB">
        <w:tab/>
        <w:t>Section 707 of the Act does not apply in relation to the securities.</w:t>
      </w:r>
    </w:p>
    <w:p w14:paraId="41808730" w14:textId="77777777" w:rsidR="00E93F58" w:rsidRPr="00D97EFB" w:rsidRDefault="00E93F58" w:rsidP="000A7E3B">
      <w:pPr>
        <w:pStyle w:val="ActHead5"/>
      </w:pPr>
      <w:bookmarkStart w:id="2674" w:name="_Toc151994616"/>
      <w:bookmarkStart w:id="2675" w:name="_Toc158713126"/>
      <w:r w:rsidRPr="000D40D5">
        <w:rPr>
          <w:rStyle w:val="CharSectno"/>
        </w:rPr>
        <w:t>10.2.132</w:t>
      </w:r>
      <w:r w:rsidRPr="00D97EFB">
        <w:t xml:space="preserve">  Offers that do not need disclosure: offer to sophisticated investor through licensed dealer</w:t>
      </w:r>
      <w:bookmarkEnd w:id="2674"/>
      <w:bookmarkEnd w:id="2675"/>
    </w:p>
    <w:p w14:paraId="7ACF1839" w14:textId="77777777" w:rsidR="00E93F58" w:rsidRPr="00D97EFB" w:rsidRDefault="00E93F58" w:rsidP="000A7E3B">
      <w:pPr>
        <w:pStyle w:val="subsection"/>
        <w:keepNext/>
        <w:keepLines/>
      </w:pPr>
      <w:r w:rsidRPr="00D97EFB">
        <w:rPr>
          <w:color w:val="000000"/>
        </w:rPr>
        <w:tab/>
        <w:t>(1)</w:t>
      </w:r>
      <w:r w:rsidRPr="00D97EFB">
        <w:rPr>
          <w:color w:val="000000"/>
        </w:rPr>
        <w:tab/>
        <w:t>This regulation applies in relation to a regulated principal mentioned in item 1 of the table in section 1430 of the Act.</w:t>
      </w:r>
    </w:p>
    <w:p w14:paraId="75E13019" w14:textId="77777777" w:rsidR="00E93F58" w:rsidRPr="00D97EFB" w:rsidRDefault="00E93F58" w:rsidP="00BB7E31">
      <w:pPr>
        <w:pStyle w:val="subsection"/>
      </w:pPr>
      <w:r w:rsidRPr="00D97EFB">
        <w:rPr>
          <w:color w:val="000000"/>
        </w:rPr>
        <w:tab/>
        <w:t>(2)</w:t>
      </w:r>
      <w:r w:rsidRPr="00D97EFB">
        <w:rPr>
          <w:color w:val="000000"/>
        </w:rPr>
        <w:tab/>
        <w:t>A reference in subsection 708(10) of the Act to a financial services licensee includes the regulated principal.</w:t>
      </w:r>
    </w:p>
    <w:p w14:paraId="5AFF36C7" w14:textId="77777777" w:rsidR="00E93F58" w:rsidRPr="00D97EFB" w:rsidRDefault="00E93F58" w:rsidP="00BB7E31">
      <w:pPr>
        <w:pStyle w:val="subsection"/>
      </w:pPr>
      <w:r w:rsidRPr="00D97EFB">
        <w:tab/>
        <w:t>(3)</w:t>
      </w:r>
      <w:r w:rsidRPr="00D97EFB">
        <w:tab/>
        <w:t>Subregulation (2) ceases to apply in relation to the regulated principal at the end of the transition period in relation to the regulated principal.</w:t>
      </w:r>
    </w:p>
    <w:p w14:paraId="0BE54856" w14:textId="77777777" w:rsidR="00E93F58" w:rsidRPr="00D97EFB" w:rsidRDefault="00E93F58" w:rsidP="00BB7E31">
      <w:pPr>
        <w:pStyle w:val="ActHead5"/>
      </w:pPr>
      <w:bookmarkStart w:id="2676" w:name="_Toc151994617"/>
      <w:bookmarkStart w:id="2677" w:name="_Toc158713127"/>
      <w:r w:rsidRPr="000D40D5">
        <w:rPr>
          <w:rStyle w:val="CharSectno"/>
        </w:rPr>
        <w:lastRenderedPageBreak/>
        <w:t>10.2.133</w:t>
      </w:r>
      <w:r w:rsidRPr="00D97EFB">
        <w:t xml:space="preserve">  Prospectus content: general disclosure test</w:t>
      </w:r>
      <w:bookmarkEnd w:id="2676"/>
      <w:bookmarkEnd w:id="2677"/>
    </w:p>
    <w:p w14:paraId="7614CF20" w14:textId="77777777" w:rsidR="00E93F58" w:rsidRPr="00D97EFB" w:rsidRDefault="00E93F58" w:rsidP="00BB7E31">
      <w:pPr>
        <w:pStyle w:val="subsection"/>
      </w:pPr>
      <w:r w:rsidRPr="00D97EFB">
        <w:rPr>
          <w:color w:val="000000"/>
        </w:rPr>
        <w:tab/>
        <w:t>(1)</w:t>
      </w:r>
      <w:r w:rsidRPr="00D97EFB">
        <w:rPr>
          <w:color w:val="000000"/>
        </w:rPr>
        <w:tab/>
        <w:t>This regulation applies in relation to a regulated principal mentioned in item 1 of the table in section 1430 of the Act if the regulated principal is named in a prospectus as being involved in any way in the issue or sale of the securities to which the prospectus applies.</w:t>
      </w:r>
    </w:p>
    <w:p w14:paraId="175AEE32" w14:textId="77777777" w:rsidR="00E93F58" w:rsidRPr="00D97EFB" w:rsidRDefault="00E93F58" w:rsidP="00BB7E31">
      <w:pPr>
        <w:pStyle w:val="subsection"/>
      </w:pPr>
      <w:r w:rsidRPr="00D97EFB">
        <w:rPr>
          <w:color w:val="000000"/>
        </w:rPr>
        <w:tab/>
        <w:t>(2)</w:t>
      </w:r>
      <w:r w:rsidRPr="00D97EFB">
        <w:rPr>
          <w:color w:val="000000"/>
        </w:rPr>
        <w:tab/>
        <w:t>A reference in paragraph 710(3)(e) of the Act to a person named in a prospectus as a financial services licensee includes the regulated principal.</w:t>
      </w:r>
    </w:p>
    <w:p w14:paraId="1670B97A" w14:textId="77777777" w:rsidR="00E93F58" w:rsidRPr="00D97EFB" w:rsidRDefault="00E93F58" w:rsidP="00BB7E31">
      <w:pPr>
        <w:pStyle w:val="subsection"/>
      </w:pPr>
      <w:r w:rsidRPr="00D97EFB">
        <w:tab/>
        <w:t>(3)</w:t>
      </w:r>
      <w:r w:rsidRPr="00D97EFB">
        <w:tab/>
        <w:t>Subregulation (2) ceases to apply in relation to the regulated principal at the end of the transition period in relation to the regulated principal.</w:t>
      </w:r>
    </w:p>
    <w:p w14:paraId="7D883178" w14:textId="77777777" w:rsidR="00E93F58" w:rsidRPr="00D97EFB" w:rsidRDefault="00E93F58" w:rsidP="00BB7E31">
      <w:pPr>
        <w:pStyle w:val="ActHead5"/>
      </w:pPr>
      <w:bookmarkStart w:id="2678" w:name="_Toc151994618"/>
      <w:bookmarkStart w:id="2679" w:name="_Toc158713128"/>
      <w:r w:rsidRPr="000D40D5">
        <w:rPr>
          <w:rStyle w:val="CharSectno"/>
        </w:rPr>
        <w:t>10.2.134</w:t>
      </w:r>
      <w:r w:rsidRPr="00D97EFB">
        <w:t xml:space="preserve">  Prospectus content—specific disclosures</w:t>
      </w:r>
      <w:bookmarkEnd w:id="2678"/>
      <w:bookmarkEnd w:id="2679"/>
    </w:p>
    <w:p w14:paraId="6CDEB29D" w14:textId="77777777" w:rsidR="00E93F58" w:rsidRPr="00D97EFB" w:rsidRDefault="00E93F58" w:rsidP="00BB7E31">
      <w:pPr>
        <w:pStyle w:val="subsection"/>
      </w:pPr>
      <w:r w:rsidRPr="00D97EFB">
        <w:rPr>
          <w:color w:val="000000"/>
        </w:rPr>
        <w:tab/>
        <w:t>(1)</w:t>
      </w:r>
      <w:r w:rsidRPr="00D97EFB">
        <w:rPr>
          <w:color w:val="000000"/>
        </w:rPr>
        <w:tab/>
        <w:t>This regulation applies in relation to a regulated principal mentioned in item 1 of the table in section 1430 of the Act if the regulated principal is named in a prospectus as being involved in any way in the issue or sale of the securities to which the prospectus applies.</w:t>
      </w:r>
    </w:p>
    <w:p w14:paraId="36773223" w14:textId="77777777" w:rsidR="00E93F58" w:rsidRPr="00D97EFB" w:rsidRDefault="00E93F58" w:rsidP="00BB7E31">
      <w:pPr>
        <w:pStyle w:val="subsection"/>
      </w:pPr>
      <w:r w:rsidRPr="00D97EFB">
        <w:rPr>
          <w:color w:val="000000"/>
        </w:rPr>
        <w:tab/>
        <w:t>(2)</w:t>
      </w:r>
      <w:r w:rsidRPr="00D97EFB">
        <w:rPr>
          <w:color w:val="000000"/>
        </w:rPr>
        <w:tab/>
        <w:t>A reference in paragraph 711(4)(e) of the Act to a person named in a prospectus as a financial services licensee includes the regulated principal.</w:t>
      </w:r>
    </w:p>
    <w:p w14:paraId="15CB415C" w14:textId="77777777" w:rsidR="00E93F58" w:rsidRPr="00D97EFB" w:rsidRDefault="00E93F58" w:rsidP="00BB7E31">
      <w:pPr>
        <w:pStyle w:val="subsection"/>
      </w:pPr>
      <w:r w:rsidRPr="00D97EFB">
        <w:tab/>
        <w:t>(3)</w:t>
      </w:r>
      <w:r w:rsidRPr="00D97EFB">
        <w:tab/>
        <w:t>Subregulation (2) ceases to apply in relation to the regulated principal at the end of the transition period in relation to the regulated principal.</w:t>
      </w:r>
    </w:p>
    <w:p w14:paraId="31971554" w14:textId="77777777" w:rsidR="00E93F58" w:rsidRPr="00D97EFB" w:rsidRDefault="00E93F58" w:rsidP="00BB7E31">
      <w:pPr>
        <w:pStyle w:val="ActHead5"/>
      </w:pPr>
      <w:bookmarkStart w:id="2680" w:name="_Toc151994619"/>
      <w:bookmarkStart w:id="2681" w:name="_Toc158713129"/>
      <w:r w:rsidRPr="000D40D5">
        <w:rPr>
          <w:rStyle w:val="CharSectno"/>
        </w:rPr>
        <w:t>10.2.135</w:t>
      </w:r>
      <w:r w:rsidRPr="00D97EFB">
        <w:t xml:space="preserve">  Registers</w:t>
      </w:r>
      <w:bookmarkEnd w:id="2680"/>
      <w:bookmarkEnd w:id="2681"/>
    </w:p>
    <w:p w14:paraId="0C1A061E" w14:textId="77777777" w:rsidR="00E93F58" w:rsidRPr="00D97EFB" w:rsidRDefault="00E93F58" w:rsidP="00BB7E31">
      <w:pPr>
        <w:pStyle w:val="subsection"/>
      </w:pPr>
      <w:r w:rsidRPr="00D97EFB">
        <w:rPr>
          <w:color w:val="000000"/>
        </w:rPr>
        <w:tab/>
      </w:r>
      <w:r w:rsidRPr="00D97EFB">
        <w:rPr>
          <w:color w:val="000000"/>
        </w:rPr>
        <w:tab/>
        <w:t>For section 1444 of the Act, a reference in subparagraph 1274(2)(a)(ia) of the Act to a document lodged under a provision of Chapter 7 of the Act (other than section 675 or subsection 792C(1)) includes a document lodged with ASIC under a provision of Chapter 7 (other than subsection 776(2B), section 1001B or Part 7.13) or Chapter 8 of the old Corporations Act (whether the document was lodged before or after the FSR commencement).</w:t>
      </w:r>
    </w:p>
    <w:p w14:paraId="5D697521" w14:textId="77777777" w:rsidR="00E93F58" w:rsidRPr="00D97EFB" w:rsidRDefault="00E93F58" w:rsidP="00587F09">
      <w:pPr>
        <w:pStyle w:val="ActHead3"/>
        <w:pageBreakBefore/>
      </w:pPr>
      <w:bookmarkStart w:id="2682" w:name="_Toc151994620"/>
      <w:bookmarkStart w:id="2683" w:name="_Toc158713130"/>
      <w:r w:rsidRPr="000D40D5">
        <w:rPr>
          <w:rStyle w:val="CharDivNo"/>
        </w:rPr>
        <w:lastRenderedPageBreak/>
        <w:t>Division 27A</w:t>
      </w:r>
      <w:r w:rsidRPr="00D97EFB">
        <w:t>—</w:t>
      </w:r>
      <w:r w:rsidRPr="000D40D5">
        <w:rPr>
          <w:rStyle w:val="CharDivText"/>
        </w:rPr>
        <w:t>Transitional matters under other legislation</w:t>
      </w:r>
      <w:bookmarkEnd w:id="2682"/>
      <w:bookmarkEnd w:id="2683"/>
    </w:p>
    <w:p w14:paraId="31BF50BA" w14:textId="77777777" w:rsidR="00E93F58" w:rsidRPr="00D97EFB" w:rsidRDefault="00E93F58" w:rsidP="00BB7E31">
      <w:pPr>
        <w:pStyle w:val="ActHead5"/>
      </w:pPr>
      <w:bookmarkStart w:id="2684" w:name="_Toc151994621"/>
      <w:bookmarkStart w:id="2685" w:name="_Toc158713131"/>
      <w:r w:rsidRPr="000D40D5">
        <w:rPr>
          <w:rStyle w:val="CharSectno"/>
        </w:rPr>
        <w:t>10.2.135A</w:t>
      </w:r>
      <w:r w:rsidRPr="00D97EFB">
        <w:t xml:space="preserve">  References to authorised foreign exchange dealers</w:t>
      </w:r>
      <w:bookmarkEnd w:id="2684"/>
      <w:bookmarkEnd w:id="2685"/>
    </w:p>
    <w:p w14:paraId="1388ABF7" w14:textId="77777777" w:rsidR="00E93F58" w:rsidRPr="00D97EFB" w:rsidRDefault="00E93F58" w:rsidP="00BB7E31">
      <w:pPr>
        <w:pStyle w:val="subsection"/>
      </w:pPr>
      <w:r w:rsidRPr="00D97EFB">
        <w:tab/>
        <w:t>(1)</w:t>
      </w:r>
      <w:r w:rsidRPr="00D97EFB">
        <w:tab/>
        <w:t>For section 1444 of the Act, this regulation applies to a reference, in a law of the Commonwealth (within the meaning of Division 2 of Part 10.2 of the Act), to:</w:t>
      </w:r>
    </w:p>
    <w:p w14:paraId="7D39E5A3" w14:textId="77777777" w:rsidR="00E93F58" w:rsidRPr="00D97EFB" w:rsidRDefault="00E93F58" w:rsidP="00BB7E31">
      <w:pPr>
        <w:pStyle w:val="paragraph"/>
      </w:pPr>
      <w:r w:rsidRPr="00D97EFB">
        <w:tab/>
        <w:t>(a)</w:t>
      </w:r>
      <w:r w:rsidRPr="00D97EFB">
        <w:tab/>
        <w:t>an authorised foreign exchange dealer; or</w:t>
      </w:r>
    </w:p>
    <w:p w14:paraId="312BA649" w14:textId="77777777" w:rsidR="00E93F58" w:rsidRPr="00D97EFB" w:rsidRDefault="00E93F58" w:rsidP="00BB7E31">
      <w:pPr>
        <w:pStyle w:val="paragraph"/>
      </w:pPr>
      <w:r w:rsidRPr="00D97EFB">
        <w:tab/>
        <w:t>(b)</w:t>
      </w:r>
      <w:r w:rsidRPr="00D97EFB">
        <w:tab/>
        <w:t>a person authorised to carry on business as a dealer in foreign exchange.</w:t>
      </w:r>
    </w:p>
    <w:p w14:paraId="729712F6" w14:textId="77777777" w:rsidR="00E93F58" w:rsidRPr="00D97EFB" w:rsidRDefault="00E93F58" w:rsidP="00BB7E31">
      <w:pPr>
        <w:pStyle w:val="subsection"/>
      </w:pPr>
      <w:r w:rsidRPr="00D97EFB">
        <w:tab/>
        <w:t>(2)</w:t>
      </w:r>
      <w:r w:rsidRPr="00D97EFB">
        <w:tab/>
        <w:t>On and after the FSR commencement, the reference is taken to include a holder of an Australian financial services licence that authorises the holder to buy and sell foreign currency.</w:t>
      </w:r>
    </w:p>
    <w:p w14:paraId="28BF5C68" w14:textId="77777777" w:rsidR="00E93F58" w:rsidRPr="00D97EFB" w:rsidRDefault="00E93F58" w:rsidP="00BB7E31">
      <w:pPr>
        <w:pStyle w:val="ActHead3"/>
        <w:pageBreakBefore/>
        <w:rPr>
          <w:color w:val="000000"/>
        </w:rPr>
      </w:pPr>
      <w:bookmarkStart w:id="2686" w:name="_Toc151994622"/>
      <w:bookmarkStart w:id="2687" w:name="_Toc158713132"/>
      <w:r w:rsidRPr="000D40D5">
        <w:rPr>
          <w:rStyle w:val="CharDivNo"/>
        </w:rPr>
        <w:lastRenderedPageBreak/>
        <w:t>Division 28</w:t>
      </w:r>
      <w:r w:rsidRPr="00D97EFB">
        <w:rPr>
          <w:color w:val="000000"/>
        </w:rPr>
        <w:t>—</w:t>
      </w:r>
      <w:r w:rsidRPr="000D40D5">
        <w:rPr>
          <w:rStyle w:val="CharDivText"/>
        </w:rPr>
        <w:t>Retail clients and wholesale clients</w:t>
      </w:r>
      <w:bookmarkEnd w:id="2686"/>
      <w:bookmarkEnd w:id="2687"/>
    </w:p>
    <w:p w14:paraId="5048D121" w14:textId="77777777" w:rsidR="00E93F58" w:rsidRPr="00D97EFB" w:rsidRDefault="00E93F58" w:rsidP="00BB7E31">
      <w:pPr>
        <w:pStyle w:val="ActHead5"/>
      </w:pPr>
      <w:bookmarkStart w:id="2688" w:name="_Toc151994623"/>
      <w:bookmarkStart w:id="2689" w:name="_Toc158713133"/>
      <w:r w:rsidRPr="000D40D5">
        <w:rPr>
          <w:rStyle w:val="CharSectno"/>
        </w:rPr>
        <w:t>10.2.136</w:t>
      </w:r>
      <w:r w:rsidRPr="00D97EFB">
        <w:t xml:space="preserve">  Securities before the FSR commencement</w:t>
      </w:r>
      <w:bookmarkEnd w:id="2688"/>
      <w:bookmarkEnd w:id="2689"/>
    </w:p>
    <w:p w14:paraId="148BC68B" w14:textId="77777777" w:rsidR="00E93F58" w:rsidRPr="00D97EFB" w:rsidRDefault="00E93F58" w:rsidP="00BB7E31">
      <w:pPr>
        <w:pStyle w:val="subsection"/>
      </w:pPr>
      <w:r w:rsidRPr="00D97EFB">
        <w:tab/>
        <w:t>(1)</w:t>
      </w:r>
      <w:r w:rsidRPr="00D97EFB">
        <w:tab/>
        <w:t>For section 1444 of the Act, this regulation applies in relation to a person:</w:t>
      </w:r>
    </w:p>
    <w:p w14:paraId="514C7705" w14:textId="77777777" w:rsidR="00E93F58" w:rsidRPr="00D97EFB" w:rsidRDefault="00E93F58" w:rsidP="00BB7E31">
      <w:pPr>
        <w:pStyle w:val="paragraph"/>
      </w:pPr>
      <w:r w:rsidRPr="00D97EFB">
        <w:tab/>
        <w:t>(a)</w:t>
      </w:r>
      <w:r w:rsidRPr="00D97EFB">
        <w:tab/>
        <w:t>who:</w:t>
      </w:r>
    </w:p>
    <w:p w14:paraId="7D7EE151" w14:textId="77777777" w:rsidR="00E93F58" w:rsidRPr="00D97EFB" w:rsidRDefault="00E93F58" w:rsidP="00BB7E31">
      <w:pPr>
        <w:pStyle w:val="paragraphsub"/>
      </w:pPr>
      <w:r w:rsidRPr="00D97EFB">
        <w:rPr>
          <w:color w:val="000000"/>
        </w:rPr>
        <w:tab/>
        <w:t>(i)</w:t>
      </w:r>
      <w:r w:rsidRPr="00D97EFB">
        <w:rPr>
          <w:color w:val="000000"/>
        </w:rPr>
        <w:tab/>
        <w:t>held pre</w:t>
      </w:r>
      <w:r>
        <w:rPr>
          <w:color w:val="000000"/>
        </w:rPr>
        <w:noBreakHyphen/>
      </w:r>
      <w:r w:rsidRPr="00D97EFB">
        <w:rPr>
          <w:color w:val="000000"/>
        </w:rPr>
        <w:t>FSR securities at the FSR commencement; or</w:t>
      </w:r>
    </w:p>
    <w:p w14:paraId="0796CCDA" w14:textId="77777777" w:rsidR="00E93F58" w:rsidRPr="00D97EFB" w:rsidRDefault="00E93F58" w:rsidP="00BB7E31">
      <w:pPr>
        <w:pStyle w:val="paragraphsub"/>
      </w:pPr>
      <w:r w:rsidRPr="00D97EFB">
        <w:tab/>
        <w:t>(ii)</w:t>
      </w:r>
      <w:r w:rsidRPr="00D97EFB">
        <w:tab/>
        <w:t>acquired the pre</w:t>
      </w:r>
      <w:r>
        <w:noBreakHyphen/>
      </w:r>
      <w:r w:rsidRPr="00D97EFB">
        <w:t>FSR securities at any time after the FSR commencement under the relevant old legislation; and</w:t>
      </w:r>
    </w:p>
    <w:p w14:paraId="3F3D7461" w14:textId="77777777" w:rsidR="00E93F58" w:rsidRPr="00D97EFB" w:rsidRDefault="00E93F58" w:rsidP="00BB7E31">
      <w:pPr>
        <w:pStyle w:val="paragraph"/>
      </w:pPr>
      <w:r w:rsidRPr="00D97EFB">
        <w:rPr>
          <w:color w:val="000000"/>
        </w:rPr>
        <w:tab/>
        <w:t>(b)</w:t>
      </w:r>
      <w:r w:rsidRPr="00D97EFB">
        <w:rPr>
          <w:color w:val="000000"/>
        </w:rPr>
        <w:tab/>
        <w:t>in relation to whom disclosure was not required under section 708 of the old Corporations Act in respect of the particular offer of the pre</w:t>
      </w:r>
      <w:r>
        <w:rPr>
          <w:color w:val="000000"/>
        </w:rPr>
        <w:noBreakHyphen/>
      </w:r>
      <w:r w:rsidRPr="00D97EFB">
        <w:rPr>
          <w:color w:val="000000"/>
        </w:rPr>
        <w:t>FSR securities.</w:t>
      </w:r>
    </w:p>
    <w:p w14:paraId="33A67505" w14:textId="77777777" w:rsidR="00E93F58" w:rsidRPr="00D97EFB" w:rsidRDefault="00E93F58" w:rsidP="00BB7E31">
      <w:pPr>
        <w:pStyle w:val="subsection"/>
      </w:pPr>
      <w:r w:rsidRPr="00D97EFB">
        <w:tab/>
        <w:t>(2)</w:t>
      </w:r>
      <w:r w:rsidRPr="00D97EFB">
        <w:tab/>
        <w:t>The person is taken to be a wholesale client in relation to the pre</w:t>
      </w:r>
      <w:r>
        <w:noBreakHyphen/>
      </w:r>
      <w:r w:rsidRPr="00D97EFB">
        <w:t>FSR securities as between the person and the issuer for the period:</w:t>
      </w:r>
    </w:p>
    <w:p w14:paraId="13E41B1C" w14:textId="77777777" w:rsidR="00E93F58" w:rsidRPr="00D97EFB" w:rsidRDefault="00E93F58" w:rsidP="00BB7E31">
      <w:pPr>
        <w:pStyle w:val="paragraph"/>
      </w:pPr>
      <w:r w:rsidRPr="00D97EFB">
        <w:tab/>
        <w:t>(a)</w:t>
      </w:r>
      <w:r w:rsidRPr="00D97EFB">
        <w:tab/>
        <w:t>starting on the earlier of:</w:t>
      </w:r>
    </w:p>
    <w:p w14:paraId="30F0AFEE" w14:textId="77777777" w:rsidR="00E93F58" w:rsidRPr="00D97EFB" w:rsidRDefault="00E93F58" w:rsidP="00BB7E31">
      <w:pPr>
        <w:pStyle w:val="paragraphsub"/>
      </w:pPr>
      <w:r w:rsidRPr="00D97EFB">
        <w:rPr>
          <w:color w:val="000000"/>
        </w:rPr>
        <w:tab/>
        <w:t>(i)</w:t>
      </w:r>
      <w:r w:rsidRPr="00D97EFB">
        <w:rPr>
          <w:color w:val="000000"/>
        </w:rPr>
        <w:tab/>
        <w:t>the FSR commencement; and</w:t>
      </w:r>
    </w:p>
    <w:p w14:paraId="1C99FE20" w14:textId="77777777" w:rsidR="00E93F58" w:rsidRPr="00D97EFB" w:rsidRDefault="00E93F58" w:rsidP="00BB7E31">
      <w:pPr>
        <w:pStyle w:val="paragraphsub"/>
      </w:pPr>
      <w:r w:rsidRPr="00D97EFB">
        <w:tab/>
        <w:t>(ii)</w:t>
      </w:r>
      <w:r w:rsidRPr="00D97EFB">
        <w:tab/>
        <w:t>the day on which the pre</w:t>
      </w:r>
      <w:r>
        <w:noBreakHyphen/>
      </w:r>
      <w:r w:rsidRPr="00D97EFB">
        <w:t>FSR securities were acquired; and</w:t>
      </w:r>
    </w:p>
    <w:p w14:paraId="5AB6E219" w14:textId="77777777" w:rsidR="00E93F58" w:rsidRPr="00D97EFB" w:rsidRDefault="00E93F58" w:rsidP="00BB7E31">
      <w:pPr>
        <w:pStyle w:val="paragraph"/>
      </w:pPr>
      <w:r w:rsidRPr="00D97EFB">
        <w:rPr>
          <w:color w:val="000000"/>
        </w:rPr>
        <w:tab/>
        <w:t>(b)</w:t>
      </w:r>
      <w:r w:rsidRPr="00D97EFB">
        <w:rPr>
          <w:color w:val="000000"/>
        </w:rPr>
        <w:tab/>
        <w:t>during which the holder holds the pre</w:t>
      </w:r>
      <w:r>
        <w:rPr>
          <w:color w:val="000000"/>
        </w:rPr>
        <w:noBreakHyphen/>
      </w:r>
      <w:r w:rsidRPr="00D97EFB">
        <w:rPr>
          <w:color w:val="000000"/>
        </w:rPr>
        <w:t>FSR securities.</w:t>
      </w:r>
    </w:p>
    <w:p w14:paraId="350CB612" w14:textId="77777777" w:rsidR="00E93F58" w:rsidRPr="00D97EFB" w:rsidRDefault="00E93F58" w:rsidP="00BB7E31">
      <w:pPr>
        <w:pStyle w:val="subsection"/>
      </w:pPr>
      <w:r w:rsidRPr="00D97EFB">
        <w:rPr>
          <w:color w:val="000000"/>
        </w:rPr>
        <w:tab/>
        <w:t>(3)</w:t>
      </w:r>
      <w:r w:rsidRPr="00D97EFB">
        <w:rPr>
          <w:color w:val="000000"/>
        </w:rPr>
        <w:tab/>
        <w:t>Subregulation (2) applies whether or not the holder would, but for that subregulation, have become a retail client in relation to the pre</w:t>
      </w:r>
      <w:r>
        <w:rPr>
          <w:color w:val="000000"/>
        </w:rPr>
        <w:noBreakHyphen/>
      </w:r>
      <w:r w:rsidRPr="00D97EFB">
        <w:rPr>
          <w:color w:val="000000"/>
        </w:rPr>
        <w:t>FSR securities at some time after the FSR commencement.</w:t>
      </w:r>
    </w:p>
    <w:p w14:paraId="43B193FA" w14:textId="77777777" w:rsidR="00E93F58" w:rsidRPr="00D97EFB" w:rsidRDefault="00E93F58" w:rsidP="00BB7E31">
      <w:pPr>
        <w:pStyle w:val="notetext"/>
      </w:pPr>
      <w:r w:rsidRPr="00D97EFB">
        <w:rPr>
          <w:color w:val="000000"/>
        </w:rPr>
        <w:t>Note:</w:t>
      </w:r>
      <w:r w:rsidRPr="00D97EFB">
        <w:rPr>
          <w:color w:val="000000"/>
        </w:rPr>
        <w:tab/>
        <w:t>This regulation is meant to ensure that a person for whom disclosure was not required under Chapter 6D of the old Corporations Act (whether the Chapter applies before or after the FSR commencement, or after FSR commencement in accordance with a relevant old law) is taken to be a wholesale client in relation to those securities as between the person and the product issuer.</w:t>
      </w:r>
    </w:p>
    <w:p w14:paraId="0E86A395" w14:textId="77777777" w:rsidR="00E93F58" w:rsidRPr="00D97EFB" w:rsidRDefault="00E93F58" w:rsidP="000A7E3B">
      <w:pPr>
        <w:pStyle w:val="ActHead5"/>
      </w:pPr>
      <w:bookmarkStart w:id="2690" w:name="_Toc151994624"/>
      <w:bookmarkStart w:id="2691" w:name="_Toc158713134"/>
      <w:r w:rsidRPr="000D40D5">
        <w:rPr>
          <w:rStyle w:val="CharSectno"/>
        </w:rPr>
        <w:t>10.2.137</w:t>
      </w:r>
      <w:r w:rsidRPr="00D97EFB">
        <w:t xml:space="preserve">  Incomplete financial services</w:t>
      </w:r>
      <w:bookmarkEnd w:id="2690"/>
      <w:bookmarkEnd w:id="2691"/>
    </w:p>
    <w:p w14:paraId="5E3E42B9" w14:textId="77777777" w:rsidR="00E93F58" w:rsidRPr="00D97EFB" w:rsidRDefault="00E93F58" w:rsidP="000A7E3B">
      <w:pPr>
        <w:pStyle w:val="subsection"/>
        <w:keepNext/>
        <w:keepLines/>
      </w:pPr>
      <w:r w:rsidRPr="00D97EFB">
        <w:tab/>
        <w:t>(1)</w:t>
      </w:r>
      <w:r w:rsidRPr="00D97EFB">
        <w:tab/>
        <w:t>For section 1444 of the Act, this regulation applies in relation to a person who:</w:t>
      </w:r>
    </w:p>
    <w:p w14:paraId="1592AADF" w14:textId="77777777" w:rsidR="00E93F58" w:rsidRPr="00D97EFB" w:rsidRDefault="00E93F58" w:rsidP="00BB7E31">
      <w:pPr>
        <w:pStyle w:val="paragraph"/>
      </w:pPr>
      <w:r w:rsidRPr="00D97EFB">
        <w:rPr>
          <w:color w:val="000000"/>
        </w:rPr>
        <w:tab/>
        <w:t>(a)</w:t>
      </w:r>
      <w:r w:rsidRPr="00D97EFB">
        <w:rPr>
          <w:color w:val="000000"/>
        </w:rPr>
        <w:tab/>
        <w:t>was provided with an incomplete financial service in relation to pre</w:t>
      </w:r>
      <w:r>
        <w:rPr>
          <w:color w:val="000000"/>
        </w:rPr>
        <w:noBreakHyphen/>
      </w:r>
      <w:r w:rsidRPr="00D97EFB">
        <w:rPr>
          <w:color w:val="000000"/>
        </w:rPr>
        <w:t>FSR securities before the FSR commencement; and</w:t>
      </w:r>
    </w:p>
    <w:p w14:paraId="36B1E38F" w14:textId="77777777" w:rsidR="00E93F58" w:rsidRPr="00D97EFB" w:rsidRDefault="00E93F58" w:rsidP="00BB7E31">
      <w:pPr>
        <w:pStyle w:val="paragraph"/>
      </w:pPr>
      <w:r w:rsidRPr="00D97EFB">
        <w:tab/>
        <w:t>(b)</w:t>
      </w:r>
      <w:r w:rsidRPr="00D97EFB">
        <w:tab/>
        <w:t>was not a retail investor in relation to the incomplete financial service.</w:t>
      </w:r>
    </w:p>
    <w:p w14:paraId="6173C7C7" w14:textId="77777777" w:rsidR="00E93F58" w:rsidRPr="00D97EFB" w:rsidRDefault="00E93F58" w:rsidP="00BB7E31">
      <w:pPr>
        <w:pStyle w:val="subsection"/>
      </w:pPr>
      <w:r w:rsidRPr="00D97EFB">
        <w:rPr>
          <w:color w:val="000000"/>
        </w:rPr>
        <w:tab/>
        <w:t>(2)</w:t>
      </w:r>
      <w:r w:rsidRPr="00D97EFB">
        <w:rPr>
          <w:color w:val="000000"/>
        </w:rPr>
        <w:tab/>
        <w:t>The old Corporations Act, and any associated provisions, continue to apply in relation to the incomplete financial service to the extent necessary to allow the financial service to be completed under the old Corporations Act.</w:t>
      </w:r>
    </w:p>
    <w:p w14:paraId="31C40D89" w14:textId="77777777" w:rsidR="00E93F58" w:rsidRPr="00D97EFB" w:rsidRDefault="00E93F58" w:rsidP="00BB7E31">
      <w:pPr>
        <w:pStyle w:val="subsection"/>
      </w:pPr>
      <w:r w:rsidRPr="00D97EFB">
        <w:tab/>
        <w:t>(3)</w:t>
      </w:r>
      <w:r w:rsidRPr="00D97EFB">
        <w:tab/>
        <w:t>The amended Corporations Act does not apply in relation to the incomplete financial service to the extent necessary to allow the financial service to be completed under the old Corporations Act.</w:t>
      </w:r>
    </w:p>
    <w:p w14:paraId="49481E5B" w14:textId="77777777" w:rsidR="00E93F58" w:rsidRPr="00D97EFB" w:rsidRDefault="00E93F58" w:rsidP="00BB7E31">
      <w:pPr>
        <w:pStyle w:val="subsection"/>
      </w:pPr>
      <w:r w:rsidRPr="00D97EFB">
        <w:tab/>
        <w:t>(4)</w:t>
      </w:r>
      <w:r w:rsidRPr="00D97EFB">
        <w:tab/>
        <w:t>In this regulation:</w:t>
      </w:r>
    </w:p>
    <w:p w14:paraId="6EC15DE0" w14:textId="77777777" w:rsidR="00E93F58" w:rsidRPr="00D97EFB" w:rsidRDefault="00E93F58" w:rsidP="00BB7E31">
      <w:pPr>
        <w:pStyle w:val="Definition"/>
      </w:pPr>
      <w:r w:rsidRPr="00D97EFB">
        <w:rPr>
          <w:b/>
          <w:i/>
          <w:color w:val="000000"/>
        </w:rPr>
        <w:t>incomplete financial service</w:t>
      </w:r>
      <w:r w:rsidRPr="00D97EFB">
        <w:t xml:space="preserve"> means a service:</w:t>
      </w:r>
    </w:p>
    <w:p w14:paraId="0B3B4BE5" w14:textId="77777777" w:rsidR="00E93F58" w:rsidRPr="00D97EFB" w:rsidRDefault="00E93F58" w:rsidP="00BB7E31">
      <w:pPr>
        <w:pStyle w:val="paragraph"/>
      </w:pPr>
      <w:r w:rsidRPr="00D97EFB">
        <w:rPr>
          <w:color w:val="000000"/>
        </w:rPr>
        <w:tab/>
        <w:t>(a)</w:t>
      </w:r>
      <w:r w:rsidRPr="00D97EFB">
        <w:rPr>
          <w:color w:val="000000"/>
        </w:rPr>
        <w:tab/>
        <w:t>that is, or would be, a financial service under the Act, whether it was provided before or after the FSR commencement; and</w:t>
      </w:r>
    </w:p>
    <w:p w14:paraId="7CDB4ADB" w14:textId="77777777" w:rsidR="00E93F58" w:rsidRPr="00D97EFB" w:rsidRDefault="00E93F58" w:rsidP="00BB7E31">
      <w:pPr>
        <w:pStyle w:val="paragraph"/>
      </w:pPr>
      <w:r w:rsidRPr="00D97EFB">
        <w:tab/>
        <w:t>(b)</w:t>
      </w:r>
      <w:r w:rsidRPr="00D97EFB">
        <w:tab/>
        <w:t>either:</w:t>
      </w:r>
    </w:p>
    <w:p w14:paraId="03D3BC62" w14:textId="77777777" w:rsidR="00E93F58" w:rsidRPr="00D97EFB" w:rsidRDefault="00E93F58" w:rsidP="00BB7E31">
      <w:pPr>
        <w:pStyle w:val="paragraphsub"/>
      </w:pPr>
      <w:r w:rsidRPr="00D97EFB">
        <w:rPr>
          <w:color w:val="000000"/>
        </w:rPr>
        <w:tab/>
        <w:t>(i)</w:t>
      </w:r>
      <w:r w:rsidRPr="00D97EFB">
        <w:rPr>
          <w:color w:val="000000"/>
        </w:rPr>
        <w:tab/>
        <w:t>that commenced before the amended Corporations Act applied to the provider in relation to the service; or</w:t>
      </w:r>
    </w:p>
    <w:p w14:paraId="6CEEA2C9" w14:textId="77777777" w:rsidR="00E93F58" w:rsidRPr="00D97EFB" w:rsidRDefault="00E93F58" w:rsidP="00BB7E31">
      <w:pPr>
        <w:pStyle w:val="paragraphsub"/>
      </w:pPr>
      <w:r w:rsidRPr="00D97EFB">
        <w:tab/>
        <w:t>(ii)</w:t>
      </w:r>
      <w:r w:rsidRPr="00D97EFB">
        <w:tab/>
        <w:t>in relation to which instructions had been received by the provider of the service from the client, or a person acting on the client’s behalf, before the amended Corporations Act applied to the provider in relation to the service; and</w:t>
      </w:r>
    </w:p>
    <w:p w14:paraId="19E7F926" w14:textId="77777777" w:rsidR="00E93F58" w:rsidRPr="00D97EFB" w:rsidRDefault="00E93F58" w:rsidP="00BB7E31">
      <w:pPr>
        <w:pStyle w:val="paragraph"/>
      </w:pPr>
      <w:r w:rsidRPr="00D97EFB">
        <w:tab/>
        <w:t>(c)</w:t>
      </w:r>
      <w:r w:rsidRPr="00D97EFB">
        <w:tab/>
        <w:t>in relation to which:</w:t>
      </w:r>
    </w:p>
    <w:p w14:paraId="734DF1A8" w14:textId="77777777" w:rsidR="00E93F58" w:rsidRPr="00D97EFB" w:rsidRDefault="00E93F58" w:rsidP="00BB7E31">
      <w:pPr>
        <w:pStyle w:val="paragraphsub"/>
      </w:pPr>
      <w:r w:rsidRPr="00D97EFB">
        <w:rPr>
          <w:color w:val="000000"/>
        </w:rPr>
        <w:tab/>
        <w:t>(i)</w:t>
      </w:r>
      <w:r w:rsidRPr="00D97EFB">
        <w:rPr>
          <w:color w:val="000000"/>
        </w:rPr>
        <w:tab/>
        <w:t>the provider of the service did not need to obtain from the client any further instructions or information in order to be authorised or able to complete the provision of the service; or</w:t>
      </w:r>
    </w:p>
    <w:p w14:paraId="103CA57B" w14:textId="77777777" w:rsidR="00E93F58" w:rsidRPr="00D97EFB" w:rsidRDefault="00E93F58" w:rsidP="00BB7E31">
      <w:pPr>
        <w:pStyle w:val="paragraphsub"/>
      </w:pPr>
      <w:r w:rsidRPr="00D97EFB">
        <w:tab/>
        <w:t>(ii)</w:t>
      </w:r>
      <w:r w:rsidRPr="00D97EFB">
        <w:tab/>
        <w:t>the majority of activities that needed to be carried out:</w:t>
      </w:r>
    </w:p>
    <w:p w14:paraId="01A52572" w14:textId="77777777" w:rsidR="00E93F58" w:rsidRPr="00D97EFB" w:rsidRDefault="00E93F58" w:rsidP="00BB7E31">
      <w:pPr>
        <w:pStyle w:val="paragraphsub-sub"/>
        <w:rPr>
          <w:color w:val="000000"/>
        </w:rPr>
      </w:pPr>
      <w:r w:rsidRPr="00D97EFB">
        <w:rPr>
          <w:color w:val="000000"/>
        </w:rPr>
        <w:tab/>
        <w:t>(A)</w:t>
      </w:r>
      <w:r w:rsidRPr="00D97EFB">
        <w:rPr>
          <w:color w:val="000000"/>
        </w:rPr>
        <w:tab/>
        <w:t>by the provider; or</w:t>
      </w:r>
    </w:p>
    <w:p w14:paraId="379A3E03" w14:textId="77777777" w:rsidR="00E93F58" w:rsidRPr="00D97EFB" w:rsidRDefault="00E93F58" w:rsidP="00BB7E31">
      <w:pPr>
        <w:pStyle w:val="paragraphsub-sub"/>
      </w:pPr>
      <w:r w:rsidRPr="00D97EFB">
        <w:tab/>
        <w:t>(B)</w:t>
      </w:r>
      <w:r w:rsidRPr="00D97EFB">
        <w:tab/>
        <w:t>by a person acting on the instructions of the provider; or</w:t>
      </w:r>
    </w:p>
    <w:p w14:paraId="3349CA64" w14:textId="77777777" w:rsidR="00E93F58" w:rsidRPr="00D97EFB" w:rsidRDefault="00E93F58" w:rsidP="00BB7E31">
      <w:pPr>
        <w:pStyle w:val="paragraphsub-sub"/>
      </w:pPr>
      <w:r w:rsidRPr="00D97EFB">
        <w:tab/>
        <w:t>(C)</w:t>
      </w:r>
      <w:r w:rsidRPr="00D97EFB">
        <w:tab/>
        <w:t>on behalf of the provider;</w:t>
      </w:r>
    </w:p>
    <w:p w14:paraId="30E62057" w14:textId="77777777" w:rsidR="00E93F58" w:rsidRPr="00D97EFB" w:rsidRDefault="00E93F58" w:rsidP="00BB7E31">
      <w:pPr>
        <w:pStyle w:val="paragraphsub"/>
      </w:pPr>
      <w:r w:rsidRPr="00D97EFB">
        <w:rPr>
          <w:color w:val="000000"/>
        </w:rPr>
        <w:lastRenderedPageBreak/>
        <w:tab/>
      </w:r>
      <w:r w:rsidRPr="00D97EFB">
        <w:rPr>
          <w:color w:val="000000"/>
        </w:rPr>
        <w:tab/>
        <w:t>occurred before the amended Corporations Act applied to the provider in relation to the financial service; and</w:t>
      </w:r>
    </w:p>
    <w:p w14:paraId="0773846C" w14:textId="77777777" w:rsidR="00E93F58" w:rsidRPr="00D97EFB" w:rsidRDefault="00E93F58" w:rsidP="00BB7E31">
      <w:pPr>
        <w:pStyle w:val="paragraph"/>
      </w:pPr>
      <w:r w:rsidRPr="00D97EFB">
        <w:rPr>
          <w:color w:val="000000"/>
        </w:rPr>
        <w:tab/>
        <w:t>(d)</w:t>
      </w:r>
      <w:r w:rsidRPr="00D97EFB">
        <w:rPr>
          <w:color w:val="000000"/>
        </w:rPr>
        <w:tab/>
        <w:t>completed within 4 weeks after the amended Corporations Act applies to that provider in relation to the service.</w:t>
      </w:r>
    </w:p>
    <w:p w14:paraId="75ABDC67" w14:textId="77777777" w:rsidR="00E93F58" w:rsidRPr="00D97EFB" w:rsidRDefault="00E93F58" w:rsidP="00BB7E31">
      <w:pPr>
        <w:pStyle w:val="Definition"/>
      </w:pPr>
      <w:r w:rsidRPr="00D97EFB">
        <w:rPr>
          <w:b/>
          <w:i/>
          <w:color w:val="000000"/>
        </w:rPr>
        <w:t>retail investor</w:t>
      </w:r>
      <w:r w:rsidRPr="00D97EFB">
        <w:rPr>
          <w:color w:val="000000"/>
        </w:rPr>
        <w:t xml:space="preserve"> means a retail investor under subregulation 7.3.02B(10) of these Regulations, as in force immediately before the FSR commencement.</w:t>
      </w:r>
    </w:p>
    <w:p w14:paraId="5D334BF5" w14:textId="77777777" w:rsidR="00E93F58" w:rsidRPr="00D97EFB" w:rsidRDefault="00E93F58" w:rsidP="00BB7E31">
      <w:pPr>
        <w:pStyle w:val="ActHead5"/>
      </w:pPr>
      <w:bookmarkStart w:id="2692" w:name="_Toc151994625"/>
      <w:bookmarkStart w:id="2693" w:name="_Toc158713135"/>
      <w:r w:rsidRPr="000D40D5">
        <w:rPr>
          <w:rStyle w:val="CharSectno"/>
        </w:rPr>
        <w:t>10.2.138</w:t>
      </w:r>
      <w:r w:rsidRPr="00D97EFB">
        <w:t xml:space="preserve">  Professional investors</w:t>
      </w:r>
      <w:bookmarkEnd w:id="2692"/>
      <w:bookmarkEnd w:id="2693"/>
    </w:p>
    <w:p w14:paraId="13F5EF9E" w14:textId="77777777" w:rsidR="00E93F58" w:rsidRPr="00D97EFB" w:rsidRDefault="00E93F58" w:rsidP="00BB7E31">
      <w:pPr>
        <w:pStyle w:val="subsection"/>
      </w:pPr>
      <w:r w:rsidRPr="00D97EFB">
        <w:tab/>
        <w:t>(1)</w:t>
      </w:r>
      <w:r w:rsidRPr="00D97EFB">
        <w:tab/>
        <w:t>For section 1444 of the Act, this regulation applies in relation to:</w:t>
      </w:r>
    </w:p>
    <w:p w14:paraId="5CF62C4E" w14:textId="77777777" w:rsidR="00E93F58" w:rsidRPr="00D97EFB" w:rsidRDefault="00E93F58" w:rsidP="00BB7E31">
      <w:pPr>
        <w:pStyle w:val="paragraph"/>
      </w:pPr>
      <w:r w:rsidRPr="00D97EFB">
        <w:rPr>
          <w:color w:val="000000"/>
        </w:rPr>
        <w:tab/>
        <w:t>(a)</w:t>
      </w:r>
      <w:r w:rsidRPr="00D97EFB">
        <w:rPr>
          <w:color w:val="000000"/>
        </w:rPr>
        <w:tab/>
        <w:t>a regulated principal mentioned in item 1, 2, 3 or 4 of the table in section 1430 of the Act; or</w:t>
      </w:r>
    </w:p>
    <w:p w14:paraId="6B0E971B" w14:textId="77777777" w:rsidR="00E93F58" w:rsidRPr="00D97EFB" w:rsidRDefault="00E93F58" w:rsidP="00BB7E31">
      <w:pPr>
        <w:pStyle w:val="paragraph"/>
      </w:pPr>
      <w:r w:rsidRPr="00D97EFB">
        <w:tab/>
        <w:t>(b)</w:t>
      </w:r>
      <w:r w:rsidRPr="00D97EFB">
        <w:tab/>
        <w:t>a person who:</w:t>
      </w:r>
    </w:p>
    <w:p w14:paraId="29C7E0CB" w14:textId="77777777" w:rsidR="00E93F58" w:rsidRPr="00D97EFB" w:rsidRDefault="00E93F58" w:rsidP="00BB7E31">
      <w:pPr>
        <w:pStyle w:val="paragraphsub"/>
      </w:pPr>
      <w:r w:rsidRPr="00D97EFB">
        <w:rPr>
          <w:color w:val="000000"/>
        </w:rPr>
        <w:tab/>
        <w:t>(i)</w:t>
      </w:r>
      <w:r w:rsidRPr="00D97EFB">
        <w:rPr>
          <w:color w:val="000000"/>
        </w:rPr>
        <w:tab/>
        <w:t>at the FSR commencement, is an exempt dealer who acts as a principal; and</w:t>
      </w:r>
    </w:p>
    <w:p w14:paraId="74079A7E" w14:textId="77777777" w:rsidR="00E93F58" w:rsidRPr="00D97EFB" w:rsidRDefault="00E93F58" w:rsidP="00BB7E31">
      <w:pPr>
        <w:pStyle w:val="paragraphsub"/>
      </w:pPr>
      <w:r w:rsidRPr="00D97EFB">
        <w:tab/>
        <w:t>(ii)</w:t>
      </w:r>
      <w:r w:rsidRPr="00D97EFB">
        <w:tab/>
        <w:t>is a regulated principal mentioned in item 4 of the table in regulation 10.2.38; or</w:t>
      </w:r>
    </w:p>
    <w:p w14:paraId="62BED04D" w14:textId="77777777" w:rsidR="00E93F58" w:rsidRPr="00D97EFB" w:rsidRDefault="00E93F58" w:rsidP="00BB7E31">
      <w:pPr>
        <w:pStyle w:val="paragraph"/>
      </w:pPr>
      <w:r w:rsidRPr="00D97EFB">
        <w:tab/>
        <w:t>(c)</w:t>
      </w:r>
      <w:r w:rsidRPr="00D97EFB">
        <w:tab/>
        <w:t>a person who:</w:t>
      </w:r>
    </w:p>
    <w:p w14:paraId="4D4A15FA" w14:textId="77777777" w:rsidR="00E93F58" w:rsidRPr="00D97EFB" w:rsidRDefault="00E93F58" w:rsidP="00BB7E31">
      <w:pPr>
        <w:pStyle w:val="paragraphsub"/>
      </w:pPr>
      <w:r w:rsidRPr="00D97EFB">
        <w:rPr>
          <w:color w:val="000000"/>
        </w:rPr>
        <w:tab/>
        <w:t>(i)</w:t>
      </w:r>
      <w:r w:rsidRPr="00D97EFB">
        <w:rPr>
          <w:color w:val="000000"/>
        </w:rPr>
        <w:tab/>
        <w:t>at the FSR commencement, is an exempt investment adviser who acts as a principal; and</w:t>
      </w:r>
    </w:p>
    <w:p w14:paraId="2E3A0943" w14:textId="77777777" w:rsidR="00E93F58" w:rsidRPr="00D97EFB" w:rsidRDefault="00E93F58" w:rsidP="00BB7E31">
      <w:pPr>
        <w:pStyle w:val="paragraphsub"/>
      </w:pPr>
      <w:r w:rsidRPr="00D97EFB">
        <w:tab/>
        <w:t>(ii)</w:t>
      </w:r>
      <w:r w:rsidRPr="00D97EFB">
        <w:tab/>
        <w:t>is a regulated principal mentioned in item 4 of the table in regulation 10.2.38.</w:t>
      </w:r>
    </w:p>
    <w:p w14:paraId="03822955" w14:textId="77777777" w:rsidR="00E93F58" w:rsidRPr="00D97EFB" w:rsidRDefault="00E93F58" w:rsidP="00BB7E31">
      <w:pPr>
        <w:pStyle w:val="subsection"/>
      </w:pPr>
      <w:r w:rsidRPr="00D97EFB">
        <w:rPr>
          <w:color w:val="000000"/>
        </w:rPr>
        <w:tab/>
        <w:t>(2)</w:t>
      </w:r>
      <w:r w:rsidRPr="00D97EFB">
        <w:rPr>
          <w:color w:val="000000"/>
        </w:rPr>
        <w:tab/>
        <w:t>The person is taken to be a professional investor for section 9 and paragraph 761G(7)(d) of the Act.</w:t>
      </w:r>
    </w:p>
    <w:p w14:paraId="33785B20" w14:textId="77777777" w:rsidR="00E93F58" w:rsidRPr="00D97EFB" w:rsidRDefault="00E93F58" w:rsidP="00BB7E31">
      <w:pPr>
        <w:pStyle w:val="subsection"/>
      </w:pPr>
      <w:r w:rsidRPr="00D97EFB">
        <w:tab/>
        <w:t>(3)</w:t>
      </w:r>
      <w:r w:rsidRPr="00D97EFB">
        <w:tab/>
        <w:t>Subject to subregulation (4), this regulation ceases to apply in relation to the person on the earlier of:</w:t>
      </w:r>
    </w:p>
    <w:p w14:paraId="2B4CABC6" w14:textId="77777777" w:rsidR="00E93F58" w:rsidRPr="00D97EFB" w:rsidRDefault="00E93F58" w:rsidP="00BB7E31">
      <w:pPr>
        <w:pStyle w:val="paragraph"/>
      </w:pPr>
      <w:r w:rsidRPr="00D97EFB">
        <w:rPr>
          <w:color w:val="000000"/>
        </w:rPr>
        <w:tab/>
        <w:t>(a)</w:t>
      </w:r>
      <w:r w:rsidRPr="00D97EFB">
        <w:rPr>
          <w:color w:val="000000"/>
        </w:rPr>
        <w:tab/>
      </w:r>
      <w:r w:rsidRPr="00D97EFB">
        <w:t>the end of the transition period</w:t>
      </w:r>
      <w:r w:rsidRPr="00D97EFB">
        <w:rPr>
          <w:color w:val="000000"/>
        </w:rPr>
        <w:t xml:space="preserve"> in relation to the person under subsection 1431(1) of the Act; and</w:t>
      </w:r>
    </w:p>
    <w:p w14:paraId="376699E8" w14:textId="77777777" w:rsidR="00E93F58" w:rsidRPr="00D97EFB" w:rsidRDefault="00E93F58" w:rsidP="00BB7E31">
      <w:pPr>
        <w:pStyle w:val="paragraph"/>
      </w:pPr>
      <w:r w:rsidRPr="00D97EFB">
        <w:tab/>
        <w:t>(b)</w:t>
      </w:r>
      <w:r w:rsidRPr="00D97EFB">
        <w:tab/>
        <w:t>the day on which the person ceases to have the status that made the person a regulated person.</w:t>
      </w:r>
    </w:p>
    <w:p w14:paraId="762B1DFD" w14:textId="77777777" w:rsidR="00E93F58" w:rsidRPr="00D97EFB" w:rsidRDefault="00E93F58" w:rsidP="00BB7E31">
      <w:pPr>
        <w:pStyle w:val="subsection"/>
      </w:pPr>
      <w:r w:rsidRPr="00D97EFB">
        <w:tab/>
        <w:t>(4)</w:t>
      </w:r>
      <w:r w:rsidRPr="00D97EFB">
        <w:tab/>
        <w:t>If:</w:t>
      </w:r>
    </w:p>
    <w:p w14:paraId="6F2A6267" w14:textId="77777777" w:rsidR="00E93F58" w:rsidRPr="00D97EFB" w:rsidRDefault="00E93F58" w:rsidP="00BB7E31">
      <w:pPr>
        <w:pStyle w:val="paragraph"/>
      </w:pPr>
      <w:r w:rsidRPr="00D97EFB">
        <w:rPr>
          <w:color w:val="000000"/>
        </w:rPr>
        <w:tab/>
        <w:t>(a)</w:t>
      </w:r>
      <w:r w:rsidRPr="00D97EFB">
        <w:rPr>
          <w:color w:val="000000"/>
        </w:rPr>
        <w:tab/>
        <w:t>the person is subject to an exemption or modification under section 1437 of the Act; and</w:t>
      </w:r>
    </w:p>
    <w:p w14:paraId="480DEE0C" w14:textId="77777777" w:rsidR="00E93F58" w:rsidRPr="00D97EFB" w:rsidRDefault="00E93F58" w:rsidP="00BB7E31">
      <w:pPr>
        <w:pStyle w:val="paragraph"/>
      </w:pPr>
      <w:r w:rsidRPr="00D97EFB">
        <w:tab/>
        <w:t>(b)</w:t>
      </w:r>
      <w:r w:rsidRPr="00D97EFB">
        <w:tab/>
        <w:t>the exemption or modification has the effect of extending the transition period in relation to the person (generally or in respect of certain activities);</w:t>
      </w:r>
    </w:p>
    <w:p w14:paraId="59721A19" w14:textId="77777777" w:rsidR="00E93F58" w:rsidRPr="00D97EFB" w:rsidRDefault="00E93F58" w:rsidP="00BB7E31">
      <w:pPr>
        <w:pStyle w:val="subsection2"/>
      </w:pPr>
      <w:r w:rsidRPr="00D97EFB">
        <w:rPr>
          <w:color w:val="000000"/>
        </w:rPr>
        <w:t>the person ceases to be a person mentioned in subregulation (1) at the end of the period of the extension.</w:t>
      </w:r>
    </w:p>
    <w:p w14:paraId="096025D3" w14:textId="77777777" w:rsidR="00E93F58" w:rsidRPr="00D97EFB" w:rsidRDefault="00E93F58" w:rsidP="00406C3D">
      <w:pPr>
        <w:pStyle w:val="ActHead3"/>
        <w:keepNext w:val="0"/>
        <w:keepLines w:val="0"/>
        <w:pageBreakBefore/>
      </w:pPr>
      <w:bookmarkStart w:id="2694" w:name="_Toc151994626"/>
      <w:bookmarkStart w:id="2695" w:name="_Toc158713136"/>
      <w:r w:rsidRPr="000D40D5">
        <w:rPr>
          <w:rStyle w:val="CharDivNo"/>
        </w:rPr>
        <w:lastRenderedPageBreak/>
        <w:t>Division 29</w:t>
      </w:r>
      <w:r w:rsidRPr="00D97EFB">
        <w:t>—</w:t>
      </w:r>
      <w:r w:rsidRPr="000D40D5">
        <w:rPr>
          <w:rStyle w:val="CharDivText"/>
        </w:rPr>
        <w:t>Effect on definitions in old Corporations Act of transition to licensed markets and licensed CS facilities</w:t>
      </w:r>
      <w:bookmarkEnd w:id="2694"/>
      <w:bookmarkEnd w:id="2695"/>
    </w:p>
    <w:p w14:paraId="4897C2FA" w14:textId="77777777" w:rsidR="00E93F58" w:rsidRPr="00D97EFB" w:rsidRDefault="00E93F58" w:rsidP="00BB7E31">
      <w:pPr>
        <w:pStyle w:val="ActHead5"/>
      </w:pPr>
      <w:bookmarkStart w:id="2696" w:name="_Toc151994627"/>
      <w:bookmarkStart w:id="2697" w:name="_Toc158713137"/>
      <w:r w:rsidRPr="000D40D5">
        <w:rPr>
          <w:rStyle w:val="CharSectno"/>
        </w:rPr>
        <w:t>10.2.139</w:t>
      </w:r>
      <w:r w:rsidRPr="00D97EFB">
        <w:t xml:space="preserve">  Approved foreign bank</w:t>
      </w:r>
      <w:bookmarkEnd w:id="2696"/>
      <w:bookmarkEnd w:id="2697"/>
    </w:p>
    <w:p w14:paraId="011FDAEC"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3E1E4B01" w14:textId="77777777" w:rsidR="00E93F58" w:rsidRPr="00D97EFB" w:rsidRDefault="00E93F58" w:rsidP="00BB7E31">
      <w:pPr>
        <w:pStyle w:val="subsection"/>
      </w:pPr>
      <w:r w:rsidRPr="00D97EFB">
        <w:tab/>
        <w:t>(2)</w:t>
      </w:r>
      <w:r w:rsidRPr="00D97EFB">
        <w:tab/>
        <w:t xml:space="preserve">A reference in the definition of </w:t>
      </w:r>
      <w:r w:rsidRPr="00D97EFB">
        <w:rPr>
          <w:b/>
          <w:i/>
        </w:rPr>
        <w:t>approved foreign bank</w:t>
      </w:r>
      <w:r w:rsidRPr="00D97EFB">
        <w:t xml:space="preserve"> in section 9 of the old Corporations Act to a member of a futures organisation includes a participant of a licensed market for derivatives.</w:t>
      </w:r>
    </w:p>
    <w:p w14:paraId="2B3032D8" w14:textId="77777777" w:rsidR="00E93F58" w:rsidRPr="00D97EFB" w:rsidRDefault="00E93F58" w:rsidP="00BB7E31">
      <w:pPr>
        <w:pStyle w:val="subsection"/>
      </w:pPr>
      <w:r w:rsidRPr="00D97EFB">
        <w:tab/>
        <w:t>(3)</w:t>
      </w:r>
      <w:r w:rsidRPr="00D97EFB">
        <w:tab/>
        <w:t xml:space="preserve">A reference in the definition of </w:t>
      </w:r>
      <w:r w:rsidRPr="00D97EFB">
        <w:rPr>
          <w:b/>
          <w:i/>
        </w:rPr>
        <w:t>approved foreign bank</w:t>
      </w:r>
      <w:r w:rsidRPr="00D97EFB">
        <w:t xml:space="preserve"> in section 9 of the old Corporations Act to an approval given by a futures organisation in accordance with its business rules (within the meaning of Chapter 8 of the old Corporations Act) includes an approval given by the operator of a licensed market for derivatives (within the meaning of section 761A of the amended Corporations Act).</w:t>
      </w:r>
    </w:p>
    <w:p w14:paraId="731B405D" w14:textId="77777777" w:rsidR="00E93F58" w:rsidRPr="00D97EFB" w:rsidRDefault="00E93F58" w:rsidP="00BB7E31">
      <w:pPr>
        <w:pStyle w:val="ActHead5"/>
      </w:pPr>
      <w:bookmarkStart w:id="2698" w:name="_Toc151994628"/>
      <w:bookmarkStart w:id="2699" w:name="_Toc158713138"/>
      <w:r w:rsidRPr="000D40D5">
        <w:rPr>
          <w:rStyle w:val="CharSectno"/>
        </w:rPr>
        <w:t>10.2.140</w:t>
      </w:r>
      <w:r w:rsidRPr="00D97EFB">
        <w:t xml:space="preserve">  Eligible exchange</w:t>
      </w:r>
      <w:r>
        <w:noBreakHyphen/>
      </w:r>
      <w:r w:rsidRPr="00D97EFB">
        <w:t>traded options</w:t>
      </w:r>
      <w:bookmarkEnd w:id="2698"/>
      <w:bookmarkEnd w:id="2699"/>
    </w:p>
    <w:p w14:paraId="77811CF4"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2F40AF82" w14:textId="77777777" w:rsidR="00E93F58" w:rsidRPr="00D97EFB" w:rsidRDefault="00E93F58" w:rsidP="00BB7E31">
      <w:pPr>
        <w:pStyle w:val="subsection"/>
      </w:pPr>
      <w:r w:rsidRPr="00D97EFB">
        <w:tab/>
        <w:t>(2)</w:t>
      </w:r>
      <w:r w:rsidRPr="00D97EFB">
        <w:tab/>
        <w:t xml:space="preserve">A reference in the definition of </w:t>
      </w:r>
      <w:r w:rsidRPr="00D97EFB">
        <w:rPr>
          <w:b/>
          <w:i/>
        </w:rPr>
        <w:t>eligible exchange</w:t>
      </w:r>
      <w:r>
        <w:rPr>
          <w:b/>
          <w:i/>
        </w:rPr>
        <w:noBreakHyphen/>
      </w:r>
      <w:r w:rsidRPr="00D97EFB">
        <w:rPr>
          <w:b/>
          <w:i/>
        </w:rPr>
        <w:t>traded option</w:t>
      </w:r>
      <w:r w:rsidRPr="00D97EFB">
        <w:t xml:space="preserve"> in section 9 of the old Corporations Act to a futures market of a futures exchange includes a licensed market for derivatives.</w:t>
      </w:r>
    </w:p>
    <w:p w14:paraId="5F99D33C" w14:textId="77777777" w:rsidR="00E93F58" w:rsidRPr="00D97EFB" w:rsidRDefault="00E93F58" w:rsidP="00BB7E31">
      <w:pPr>
        <w:pStyle w:val="ActHead5"/>
      </w:pPr>
      <w:bookmarkStart w:id="2700" w:name="_Toc151994629"/>
      <w:bookmarkStart w:id="2701" w:name="_Toc158713139"/>
      <w:r w:rsidRPr="000D40D5">
        <w:rPr>
          <w:rStyle w:val="CharSectno"/>
        </w:rPr>
        <w:t>10.2.141</w:t>
      </w:r>
      <w:r w:rsidRPr="00D97EFB">
        <w:t xml:space="preserve">  Futures law</w:t>
      </w:r>
      <w:bookmarkEnd w:id="2700"/>
      <w:bookmarkEnd w:id="2701"/>
    </w:p>
    <w:p w14:paraId="2B4989CD"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3F38519E" w14:textId="77777777" w:rsidR="00E93F58" w:rsidRPr="00D97EFB" w:rsidRDefault="00E93F58" w:rsidP="00BB7E31">
      <w:pPr>
        <w:pStyle w:val="subsection"/>
      </w:pPr>
      <w:r w:rsidRPr="00D97EFB">
        <w:tab/>
        <w:t>(2)</w:t>
      </w:r>
      <w:r w:rsidRPr="00D97EFB">
        <w:tab/>
        <w:t xml:space="preserve">A reference in the definition of </w:t>
      </w:r>
      <w:r w:rsidRPr="00D97EFB">
        <w:rPr>
          <w:b/>
          <w:i/>
        </w:rPr>
        <w:t>futures law</w:t>
      </w:r>
      <w:r w:rsidRPr="00D97EFB">
        <w:t xml:space="preserve"> in section 9 of the old Corporations Act to Chapter 8 of the old Corporations Act includes Chapter 7 of the amended Corporations Act.</w:t>
      </w:r>
    </w:p>
    <w:p w14:paraId="6E9FF390" w14:textId="77777777" w:rsidR="00E93F58" w:rsidRPr="00D97EFB" w:rsidRDefault="00E93F58" w:rsidP="00BB7E31">
      <w:pPr>
        <w:pStyle w:val="ActHead5"/>
      </w:pPr>
      <w:bookmarkStart w:id="2702" w:name="_Toc151994630"/>
      <w:bookmarkStart w:id="2703" w:name="_Toc158713140"/>
      <w:r w:rsidRPr="000D40D5">
        <w:rPr>
          <w:rStyle w:val="CharSectno"/>
        </w:rPr>
        <w:t>10.2.142</w:t>
      </w:r>
      <w:r w:rsidRPr="00D97EFB">
        <w:t xml:space="preserve">  Member organisation</w:t>
      </w:r>
      <w:bookmarkEnd w:id="2702"/>
      <w:bookmarkEnd w:id="2703"/>
    </w:p>
    <w:p w14:paraId="094FBB00"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52C5A0D4" w14:textId="77777777" w:rsidR="00E93F58" w:rsidRPr="00D97EFB" w:rsidRDefault="00E93F58" w:rsidP="00BB7E31">
      <w:pPr>
        <w:pStyle w:val="subsection"/>
      </w:pPr>
      <w:r w:rsidRPr="00D97EFB">
        <w:tab/>
        <w:t>(2)</w:t>
      </w:r>
      <w:r w:rsidRPr="00D97EFB">
        <w:tab/>
        <w:t xml:space="preserve">A reference in paragraph (a) of the definition of </w:t>
      </w:r>
      <w:r w:rsidRPr="00D97EFB">
        <w:rPr>
          <w:b/>
          <w:i/>
        </w:rPr>
        <w:t>member organisation</w:t>
      </w:r>
      <w:r w:rsidRPr="00D97EFB">
        <w:t xml:space="preserve"> in section 9 of the old Corporations Act to a securities exchange or a stock exchange includes a licensed market for securities.</w:t>
      </w:r>
    </w:p>
    <w:p w14:paraId="02B7B6D7" w14:textId="77777777" w:rsidR="00E93F58" w:rsidRPr="00D97EFB" w:rsidRDefault="00E93F58" w:rsidP="00BB7E31">
      <w:pPr>
        <w:pStyle w:val="subsection"/>
      </w:pPr>
      <w:r w:rsidRPr="00D97EFB">
        <w:tab/>
        <w:t>(3)</w:t>
      </w:r>
      <w:r w:rsidRPr="00D97EFB">
        <w:tab/>
        <w:t xml:space="preserve">A reference in paragraph (a) of the definition of </w:t>
      </w:r>
      <w:r w:rsidRPr="00D97EFB">
        <w:rPr>
          <w:b/>
          <w:i/>
        </w:rPr>
        <w:t>member organisation</w:t>
      </w:r>
      <w:r w:rsidRPr="00D97EFB">
        <w:t xml:space="preserve"> in section 9 of the old Corporations Act to the business rules of a securities exchange or a stock exchange includes the operating rules of a licensed market for securities.</w:t>
      </w:r>
    </w:p>
    <w:p w14:paraId="5CEE1711" w14:textId="77777777" w:rsidR="00E93F58" w:rsidRPr="00D97EFB" w:rsidRDefault="00E93F58" w:rsidP="00BB7E31">
      <w:pPr>
        <w:pStyle w:val="subsection"/>
      </w:pPr>
      <w:r w:rsidRPr="00D97EFB">
        <w:tab/>
        <w:t>(4)</w:t>
      </w:r>
      <w:r w:rsidRPr="00D97EFB">
        <w:tab/>
        <w:t xml:space="preserve">A reference in paragraph (b) of the definition of </w:t>
      </w:r>
      <w:r w:rsidRPr="00D97EFB">
        <w:rPr>
          <w:b/>
          <w:i/>
        </w:rPr>
        <w:t>member organisation</w:t>
      </w:r>
      <w:r w:rsidRPr="00D97EFB">
        <w:t xml:space="preserve"> in section 9 of the old Corporations Act to a futures organisation includes a licensed market for derivatives.</w:t>
      </w:r>
    </w:p>
    <w:p w14:paraId="34F7D387" w14:textId="77777777" w:rsidR="00E93F58" w:rsidRPr="00D97EFB" w:rsidRDefault="00E93F58" w:rsidP="00BB7E31">
      <w:pPr>
        <w:pStyle w:val="subsection"/>
      </w:pPr>
      <w:r w:rsidRPr="00D97EFB">
        <w:tab/>
        <w:t>(5)</w:t>
      </w:r>
      <w:r w:rsidRPr="00D97EFB">
        <w:tab/>
        <w:t xml:space="preserve">A reference in paragraph (b) of the definition of </w:t>
      </w:r>
      <w:r w:rsidRPr="00D97EFB">
        <w:rPr>
          <w:b/>
          <w:i/>
        </w:rPr>
        <w:t>member organisation</w:t>
      </w:r>
      <w:r w:rsidRPr="00D97EFB">
        <w:t xml:space="preserve"> in section 9 of the old Corporations Act to a member of a futures organisation includes a participant of a licensed market for derivatives.</w:t>
      </w:r>
    </w:p>
    <w:p w14:paraId="227A9F30" w14:textId="77777777" w:rsidR="00E93F58" w:rsidRPr="00D97EFB" w:rsidRDefault="00E93F58" w:rsidP="00BB7E31">
      <w:pPr>
        <w:pStyle w:val="subsection"/>
      </w:pPr>
      <w:r w:rsidRPr="00D97EFB">
        <w:tab/>
        <w:t>(6)</w:t>
      </w:r>
      <w:r w:rsidRPr="00D97EFB">
        <w:tab/>
        <w:t xml:space="preserve">A reference in subparagraph (b)(ii) of the definition of </w:t>
      </w:r>
      <w:r w:rsidRPr="00D97EFB">
        <w:rPr>
          <w:b/>
          <w:i/>
        </w:rPr>
        <w:t>member organisation</w:t>
      </w:r>
      <w:r w:rsidRPr="00D97EFB">
        <w:t xml:space="preserve"> in section 9 of the old Corporations Act to a partnership that a futures organisation recognises as a member organisation includes a partnership that a market licensee recognises as a member organisation.</w:t>
      </w:r>
    </w:p>
    <w:p w14:paraId="5539B04E" w14:textId="77777777" w:rsidR="00E93F58" w:rsidRPr="00D97EFB" w:rsidRDefault="00E93F58" w:rsidP="00BB7E31">
      <w:pPr>
        <w:pStyle w:val="ActHead5"/>
      </w:pPr>
      <w:bookmarkStart w:id="2704" w:name="_Toc151994631"/>
      <w:bookmarkStart w:id="2705" w:name="_Toc158713141"/>
      <w:r w:rsidRPr="000D40D5">
        <w:rPr>
          <w:rStyle w:val="CharSectno"/>
        </w:rPr>
        <w:t>10.2.143</w:t>
      </w:r>
      <w:r w:rsidRPr="00D97EFB">
        <w:t xml:space="preserve">  Non</w:t>
      </w:r>
      <w:r>
        <w:noBreakHyphen/>
      </w:r>
      <w:r w:rsidRPr="00D97EFB">
        <w:t>broker</w:t>
      </w:r>
      <w:bookmarkEnd w:id="2704"/>
      <w:bookmarkEnd w:id="2705"/>
    </w:p>
    <w:p w14:paraId="212D7F33"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6975795A" w14:textId="77777777" w:rsidR="00E93F58" w:rsidRPr="00D97EFB" w:rsidRDefault="00E93F58" w:rsidP="00BB7E31">
      <w:pPr>
        <w:pStyle w:val="subsection"/>
      </w:pPr>
      <w:r w:rsidRPr="00D97EFB">
        <w:tab/>
        <w:t>(2)</w:t>
      </w:r>
      <w:r w:rsidRPr="00D97EFB">
        <w:tab/>
        <w:t xml:space="preserve">A reference in the definition of </w:t>
      </w:r>
      <w:r w:rsidRPr="00D97EFB">
        <w:rPr>
          <w:b/>
          <w:i/>
        </w:rPr>
        <w:t>non</w:t>
      </w:r>
      <w:r>
        <w:rPr>
          <w:b/>
          <w:i/>
        </w:rPr>
        <w:noBreakHyphen/>
      </w:r>
      <w:r w:rsidRPr="00D97EFB">
        <w:rPr>
          <w:b/>
          <w:i/>
        </w:rPr>
        <w:t>broker</w:t>
      </w:r>
      <w:r w:rsidRPr="00D97EFB">
        <w:t xml:space="preserve"> in section 9 of the old Corporations Act to a futures broker or one of 2 or more persons who together constitute a futures broker includes:</w:t>
      </w:r>
    </w:p>
    <w:p w14:paraId="5ABD69E1" w14:textId="77777777" w:rsidR="00E93F58" w:rsidRPr="00D97EFB" w:rsidRDefault="00E93F58" w:rsidP="00BB7E31">
      <w:pPr>
        <w:pStyle w:val="paragraph"/>
      </w:pPr>
      <w:r w:rsidRPr="00D97EFB">
        <w:tab/>
        <w:t>(a)</w:t>
      </w:r>
      <w:r w:rsidRPr="00D97EFB">
        <w:tab/>
        <w:t>a financial services licensee; and</w:t>
      </w:r>
    </w:p>
    <w:p w14:paraId="2F93C411" w14:textId="77777777" w:rsidR="00E93F58" w:rsidRPr="00D97EFB" w:rsidRDefault="00E93F58" w:rsidP="00BB7E31">
      <w:pPr>
        <w:pStyle w:val="paragraph"/>
      </w:pPr>
      <w:r w:rsidRPr="00D97EFB">
        <w:tab/>
        <w:t>(b)</w:t>
      </w:r>
      <w:r w:rsidRPr="00D97EFB">
        <w:tab/>
        <w:t>one of 2 or more persons who together constitute a financial services licensee.</w:t>
      </w:r>
    </w:p>
    <w:p w14:paraId="52D58628" w14:textId="77777777" w:rsidR="00E93F58" w:rsidRPr="00D97EFB" w:rsidRDefault="00E93F58" w:rsidP="00BB7E31">
      <w:pPr>
        <w:pStyle w:val="ActHead5"/>
      </w:pPr>
      <w:bookmarkStart w:id="2706" w:name="_Toc151994632"/>
      <w:bookmarkStart w:id="2707" w:name="_Toc158713142"/>
      <w:r w:rsidRPr="000D40D5">
        <w:rPr>
          <w:rStyle w:val="CharSectno"/>
        </w:rPr>
        <w:t>10.2.144</w:t>
      </w:r>
      <w:r w:rsidRPr="00D97EFB">
        <w:t xml:space="preserve">  Non</w:t>
      </w:r>
      <w:r>
        <w:noBreakHyphen/>
      </w:r>
      <w:r w:rsidRPr="00D97EFB">
        <w:t>dealer</w:t>
      </w:r>
      <w:bookmarkEnd w:id="2706"/>
      <w:bookmarkEnd w:id="2707"/>
    </w:p>
    <w:p w14:paraId="64889F65"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6857D0FD" w14:textId="77777777" w:rsidR="00E93F58" w:rsidRPr="00D97EFB" w:rsidRDefault="00E93F58" w:rsidP="00BB7E31">
      <w:pPr>
        <w:pStyle w:val="subsection"/>
      </w:pPr>
      <w:r w:rsidRPr="00D97EFB">
        <w:lastRenderedPageBreak/>
        <w:tab/>
        <w:t>(2)</w:t>
      </w:r>
      <w:r w:rsidRPr="00D97EFB">
        <w:tab/>
        <w:t xml:space="preserve">A reference in the definition of </w:t>
      </w:r>
      <w:r w:rsidRPr="00D97EFB">
        <w:rPr>
          <w:b/>
          <w:i/>
        </w:rPr>
        <w:t>non</w:t>
      </w:r>
      <w:r>
        <w:rPr>
          <w:b/>
          <w:i/>
        </w:rPr>
        <w:noBreakHyphen/>
      </w:r>
      <w:r w:rsidRPr="00D97EFB">
        <w:rPr>
          <w:b/>
          <w:i/>
        </w:rPr>
        <w:t>dealer</w:t>
      </w:r>
      <w:r w:rsidRPr="00D97EFB">
        <w:t xml:space="preserve"> in section 9 of the old Corporations Act to a dealer or one of 2 or more persons who together constitute a dealer includes:</w:t>
      </w:r>
    </w:p>
    <w:p w14:paraId="0BF957F3" w14:textId="77777777" w:rsidR="00E93F58" w:rsidRPr="00D97EFB" w:rsidRDefault="00E93F58" w:rsidP="00BB7E31">
      <w:pPr>
        <w:pStyle w:val="paragraph"/>
      </w:pPr>
      <w:r w:rsidRPr="00D97EFB">
        <w:tab/>
        <w:t>(a)</w:t>
      </w:r>
      <w:r w:rsidRPr="00D97EFB">
        <w:tab/>
        <w:t>a financial services licensee; and</w:t>
      </w:r>
    </w:p>
    <w:p w14:paraId="77AFB72D" w14:textId="77777777" w:rsidR="00E93F58" w:rsidRPr="00D97EFB" w:rsidRDefault="00E93F58" w:rsidP="00BB7E31">
      <w:pPr>
        <w:pStyle w:val="paragraph"/>
      </w:pPr>
      <w:r w:rsidRPr="00D97EFB">
        <w:tab/>
        <w:t>(b)</w:t>
      </w:r>
      <w:r w:rsidRPr="00D97EFB">
        <w:tab/>
        <w:t>one of 2 or more persons who together constitute a financial services licensee.</w:t>
      </w:r>
    </w:p>
    <w:p w14:paraId="2B133881" w14:textId="77777777" w:rsidR="00E93F58" w:rsidRPr="00D97EFB" w:rsidRDefault="00E93F58" w:rsidP="00BB7E31">
      <w:pPr>
        <w:pStyle w:val="ActHead5"/>
      </w:pPr>
      <w:bookmarkStart w:id="2708" w:name="_Toc151994633"/>
      <w:bookmarkStart w:id="2709" w:name="_Toc158713143"/>
      <w:r w:rsidRPr="000D40D5">
        <w:rPr>
          <w:rStyle w:val="CharSectno"/>
        </w:rPr>
        <w:t>10.2.145</w:t>
      </w:r>
      <w:r w:rsidRPr="00D97EFB">
        <w:t xml:space="preserve">  Securities law</w:t>
      </w:r>
      <w:bookmarkEnd w:id="2708"/>
      <w:bookmarkEnd w:id="2709"/>
    </w:p>
    <w:p w14:paraId="1B6B69C8"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02C5EAFC" w14:textId="77777777" w:rsidR="00E93F58" w:rsidRPr="00D97EFB" w:rsidRDefault="00E93F58" w:rsidP="00BB7E31">
      <w:pPr>
        <w:pStyle w:val="subsection"/>
      </w:pPr>
      <w:r w:rsidRPr="00D97EFB">
        <w:tab/>
        <w:t>(2)</w:t>
      </w:r>
      <w:r w:rsidRPr="00D97EFB">
        <w:tab/>
        <w:t xml:space="preserve">A reference in the definition of </w:t>
      </w:r>
      <w:r w:rsidRPr="00D97EFB">
        <w:rPr>
          <w:b/>
          <w:i/>
        </w:rPr>
        <w:t>securities law</w:t>
      </w:r>
      <w:r w:rsidRPr="00D97EFB">
        <w:t xml:space="preserve"> in section 9 of the old Corporations Act to Chapter 7 of the old Corporations Act includes Chapter 7 of the amended Corporations Act.</w:t>
      </w:r>
    </w:p>
    <w:p w14:paraId="7DD48A67" w14:textId="77777777" w:rsidR="00E93F58" w:rsidRPr="00D97EFB" w:rsidRDefault="00E93F58" w:rsidP="00BB7E31">
      <w:pPr>
        <w:pStyle w:val="ActHead5"/>
      </w:pPr>
      <w:bookmarkStart w:id="2710" w:name="_Toc151994634"/>
      <w:bookmarkStart w:id="2711" w:name="_Toc158713144"/>
      <w:r w:rsidRPr="000D40D5">
        <w:rPr>
          <w:rStyle w:val="CharSectno"/>
        </w:rPr>
        <w:t>10.2.146</w:t>
      </w:r>
      <w:r w:rsidRPr="00D97EFB">
        <w:t xml:space="preserve">  Marketable parcel</w:t>
      </w:r>
      <w:bookmarkEnd w:id="2710"/>
      <w:bookmarkEnd w:id="2711"/>
    </w:p>
    <w:p w14:paraId="5DCE8ED9"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584B0E4C" w14:textId="77777777" w:rsidR="00E93F58" w:rsidRPr="00D97EFB" w:rsidRDefault="00E93F58" w:rsidP="00BB7E31">
      <w:pPr>
        <w:pStyle w:val="subsection"/>
      </w:pPr>
      <w:r w:rsidRPr="00D97EFB">
        <w:tab/>
        <w:t>(2)</w:t>
      </w:r>
      <w:r w:rsidRPr="00D97EFB">
        <w:tab/>
        <w:t xml:space="preserve">A reference in the definition of </w:t>
      </w:r>
      <w:r w:rsidRPr="00D97EFB">
        <w:rPr>
          <w:b/>
          <w:i/>
        </w:rPr>
        <w:t>marketable parcel</w:t>
      </w:r>
      <w:r w:rsidRPr="00D97EFB">
        <w:t xml:space="preserve"> in section 761 of the old Corporations Act to a stock market of a securities exchange includes a licensed market for securities.</w:t>
      </w:r>
    </w:p>
    <w:p w14:paraId="52704FED" w14:textId="77777777" w:rsidR="00E93F58" w:rsidRPr="00D97EFB" w:rsidRDefault="00E93F58" w:rsidP="00BB7E31">
      <w:pPr>
        <w:pStyle w:val="subsection"/>
      </w:pPr>
      <w:r w:rsidRPr="00D97EFB">
        <w:tab/>
        <w:t>(3)</w:t>
      </w:r>
      <w:r w:rsidRPr="00D97EFB">
        <w:tab/>
        <w:t xml:space="preserve">A reference in the definition of </w:t>
      </w:r>
      <w:r w:rsidRPr="00D97EFB">
        <w:rPr>
          <w:b/>
          <w:i/>
        </w:rPr>
        <w:t>marketable parcel</w:t>
      </w:r>
      <w:r w:rsidRPr="00D97EFB">
        <w:t xml:space="preserve"> in section 761 of the old Corporations Act to the relevant business rules of a stock market of a securities exchange includes the relevant operating rules of a licensed market for securities.</w:t>
      </w:r>
    </w:p>
    <w:p w14:paraId="39B71A87" w14:textId="77777777" w:rsidR="00E93F58" w:rsidRPr="00D97EFB" w:rsidRDefault="00E93F58" w:rsidP="00587F09">
      <w:pPr>
        <w:pStyle w:val="ActHead3"/>
        <w:pageBreakBefore/>
      </w:pPr>
      <w:bookmarkStart w:id="2712" w:name="_Toc151994635"/>
      <w:bookmarkStart w:id="2713" w:name="_Toc158713145"/>
      <w:r w:rsidRPr="000D40D5">
        <w:rPr>
          <w:rStyle w:val="CharDivNo"/>
        </w:rPr>
        <w:lastRenderedPageBreak/>
        <w:t>Division 30</w:t>
      </w:r>
      <w:r w:rsidRPr="00D97EFB">
        <w:t>—</w:t>
      </w:r>
      <w:r w:rsidRPr="000D40D5">
        <w:rPr>
          <w:rStyle w:val="CharDivText"/>
        </w:rPr>
        <w:t>Effect on certain conduct of transition to licensed markets and licensed CS facilities</w:t>
      </w:r>
      <w:bookmarkEnd w:id="2712"/>
      <w:bookmarkEnd w:id="2713"/>
    </w:p>
    <w:p w14:paraId="4081884E" w14:textId="77777777" w:rsidR="00E93F58" w:rsidRPr="00D97EFB" w:rsidRDefault="00E93F58" w:rsidP="00BB7E31">
      <w:pPr>
        <w:pStyle w:val="ActHead5"/>
      </w:pPr>
      <w:bookmarkStart w:id="2714" w:name="_Toc151994636"/>
      <w:bookmarkStart w:id="2715" w:name="_Toc158713146"/>
      <w:r w:rsidRPr="000D40D5">
        <w:rPr>
          <w:rStyle w:val="CharSectno"/>
        </w:rPr>
        <w:t>10.2.147</w:t>
      </w:r>
      <w:r w:rsidRPr="00D97EFB">
        <w:t xml:space="preserve">  Own account dealings and transactions: futures contracts</w:t>
      </w:r>
      <w:bookmarkEnd w:id="2714"/>
      <w:bookmarkEnd w:id="2715"/>
    </w:p>
    <w:p w14:paraId="4456FB51"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57F42A3E" w14:textId="77777777" w:rsidR="00E93F58" w:rsidRPr="00D97EFB" w:rsidRDefault="00E93F58" w:rsidP="00BB7E31">
      <w:pPr>
        <w:pStyle w:val="subsection"/>
      </w:pPr>
      <w:r w:rsidRPr="00D97EFB">
        <w:tab/>
        <w:t>(2)</w:t>
      </w:r>
      <w:r w:rsidRPr="00D97EFB">
        <w:tab/>
        <w:t>A reference in subsection 29(2) of the old Corporations Act to a member of a futures exchange includes a participant of a licensed market for derivatives.</w:t>
      </w:r>
    </w:p>
    <w:p w14:paraId="4D0561DE" w14:textId="77777777" w:rsidR="00E93F58" w:rsidRPr="00D97EFB" w:rsidRDefault="00E93F58" w:rsidP="00BB7E31">
      <w:pPr>
        <w:pStyle w:val="ActHead5"/>
      </w:pPr>
      <w:bookmarkStart w:id="2716" w:name="_Toc151994637"/>
      <w:bookmarkStart w:id="2717" w:name="_Toc158713147"/>
      <w:r w:rsidRPr="000D40D5">
        <w:rPr>
          <w:rStyle w:val="CharSectno"/>
        </w:rPr>
        <w:t>10.2.148</w:t>
      </w:r>
      <w:r w:rsidRPr="00D97EFB">
        <w:t xml:space="preserve">  Conditions of dealers licence</w:t>
      </w:r>
      <w:bookmarkEnd w:id="2716"/>
      <w:bookmarkEnd w:id="2717"/>
    </w:p>
    <w:p w14:paraId="62885737"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or 2 of the table in section 1430 of the Act.</w:t>
      </w:r>
    </w:p>
    <w:p w14:paraId="2386C375" w14:textId="77777777" w:rsidR="00E93F58" w:rsidRPr="00D97EFB" w:rsidRDefault="00E93F58" w:rsidP="00BB7E31">
      <w:pPr>
        <w:pStyle w:val="subsection"/>
      </w:pPr>
      <w:r w:rsidRPr="00D97EFB">
        <w:tab/>
        <w:t>(2)</w:t>
      </w:r>
      <w:r w:rsidRPr="00D97EFB">
        <w:tab/>
        <w:t>A reference in subsection 786(8) of the old Corporations Act to a member of a securities exchange includes a participant of a licensed market for securities.</w:t>
      </w:r>
    </w:p>
    <w:p w14:paraId="04051741" w14:textId="77777777" w:rsidR="00E93F58" w:rsidRPr="00D97EFB" w:rsidRDefault="00E93F58" w:rsidP="00BB7E31">
      <w:pPr>
        <w:pStyle w:val="subsection"/>
      </w:pPr>
      <w:r w:rsidRPr="00D97EFB">
        <w:tab/>
        <w:t>(3)</w:t>
      </w:r>
      <w:r w:rsidRPr="00D97EFB">
        <w:tab/>
        <w:t>A reference in subsection 786(8) of the old Corporations Act to a securities exchange includes a market licensee.</w:t>
      </w:r>
    </w:p>
    <w:p w14:paraId="5259D17C" w14:textId="77777777" w:rsidR="00E93F58" w:rsidRPr="00D97EFB" w:rsidRDefault="00E93F58" w:rsidP="00BB7E31">
      <w:pPr>
        <w:pStyle w:val="subsection"/>
      </w:pPr>
      <w:r w:rsidRPr="00D97EFB">
        <w:tab/>
        <w:t>(4)</w:t>
      </w:r>
      <w:r w:rsidRPr="00D97EFB">
        <w:tab/>
        <w:t>A reference in subsection 786(8) of the old Corporations Act to a member firm includes a participating firm.</w:t>
      </w:r>
    </w:p>
    <w:p w14:paraId="5AC656B7" w14:textId="77777777" w:rsidR="00E93F58" w:rsidRPr="00D97EFB" w:rsidRDefault="00E93F58" w:rsidP="00BB7E31">
      <w:pPr>
        <w:pStyle w:val="ActHead5"/>
      </w:pPr>
      <w:bookmarkStart w:id="2718" w:name="_Toc151994638"/>
      <w:bookmarkStart w:id="2719" w:name="_Toc158713148"/>
      <w:r w:rsidRPr="000D40D5">
        <w:rPr>
          <w:rStyle w:val="CharSectno"/>
        </w:rPr>
        <w:t>10.2.149</w:t>
      </w:r>
      <w:r w:rsidRPr="00D97EFB">
        <w:t xml:space="preserve">  Persons who are not clients</w:t>
      </w:r>
      <w:bookmarkEnd w:id="2718"/>
      <w:bookmarkEnd w:id="2719"/>
    </w:p>
    <w:p w14:paraId="05F98E10"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or 2 of the table in section 1430 of the Act.</w:t>
      </w:r>
    </w:p>
    <w:p w14:paraId="51CBBEA6" w14:textId="77777777" w:rsidR="00E93F58" w:rsidRPr="00D97EFB" w:rsidRDefault="00E93F58" w:rsidP="00BB7E31">
      <w:pPr>
        <w:pStyle w:val="subsection"/>
      </w:pPr>
      <w:r w:rsidRPr="00D97EFB">
        <w:tab/>
        <w:t>(2)</w:t>
      </w:r>
      <w:r w:rsidRPr="00D97EFB">
        <w:tab/>
        <w:t>A reference in section 794 of the old Corporations Act to a dealer or an investment adviser includes:</w:t>
      </w:r>
    </w:p>
    <w:p w14:paraId="105DC10C" w14:textId="77777777" w:rsidR="00E93F58" w:rsidRPr="00D97EFB" w:rsidRDefault="00E93F58" w:rsidP="00BB7E31">
      <w:pPr>
        <w:pStyle w:val="paragraph"/>
      </w:pPr>
      <w:r w:rsidRPr="00D97EFB">
        <w:tab/>
        <w:t>(a)</w:t>
      </w:r>
      <w:r w:rsidRPr="00D97EFB">
        <w:tab/>
        <w:t>a financial services licensee; and</w:t>
      </w:r>
    </w:p>
    <w:p w14:paraId="77C39B8F" w14:textId="77777777" w:rsidR="00E93F58" w:rsidRPr="00D97EFB" w:rsidRDefault="00E93F58" w:rsidP="00BB7E31">
      <w:pPr>
        <w:pStyle w:val="paragraph"/>
      </w:pPr>
      <w:r w:rsidRPr="00D97EFB">
        <w:tab/>
        <w:t>(b)</w:t>
      </w:r>
      <w:r w:rsidRPr="00D97EFB">
        <w:tab/>
        <w:t>one of 2 or more persons who together constitute a financial services licensee.</w:t>
      </w:r>
    </w:p>
    <w:p w14:paraId="2633B19D" w14:textId="77777777" w:rsidR="00E93F58" w:rsidRPr="00D97EFB" w:rsidRDefault="00E93F58" w:rsidP="00BB7E31">
      <w:pPr>
        <w:pStyle w:val="ActHead5"/>
      </w:pPr>
      <w:bookmarkStart w:id="2720" w:name="_Toc151994639"/>
      <w:bookmarkStart w:id="2721" w:name="_Toc158713149"/>
      <w:r w:rsidRPr="000D40D5">
        <w:rPr>
          <w:rStyle w:val="CharSectno"/>
        </w:rPr>
        <w:t>10.2.150</w:t>
      </w:r>
      <w:r w:rsidRPr="00D97EFB">
        <w:t xml:space="preserve">  Dealings and transactions on a dealer’s own account</w:t>
      </w:r>
      <w:bookmarkEnd w:id="2720"/>
      <w:bookmarkEnd w:id="2721"/>
    </w:p>
    <w:p w14:paraId="2831A6D5"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13DA0835" w14:textId="77777777" w:rsidR="00E93F58" w:rsidRPr="00D97EFB" w:rsidRDefault="00E93F58" w:rsidP="00BB7E31">
      <w:pPr>
        <w:pStyle w:val="subsection"/>
      </w:pPr>
      <w:r w:rsidRPr="00D97EFB">
        <w:tab/>
        <w:t>(2)</w:t>
      </w:r>
      <w:r w:rsidRPr="00D97EFB">
        <w:tab/>
        <w:t>A reference in subsection 843(5) of the old Corporations Act to a dealer who is a member of a securities exchange includes a participant of a licensed market for securities.</w:t>
      </w:r>
    </w:p>
    <w:p w14:paraId="2E799007" w14:textId="77777777" w:rsidR="00E93F58" w:rsidRPr="00D97EFB" w:rsidRDefault="00E93F58" w:rsidP="00BB7E31">
      <w:pPr>
        <w:pStyle w:val="ActHead5"/>
      </w:pPr>
      <w:bookmarkStart w:id="2722" w:name="_Toc151994640"/>
      <w:bookmarkStart w:id="2723" w:name="_Toc158713150"/>
      <w:r w:rsidRPr="000D40D5">
        <w:rPr>
          <w:rStyle w:val="CharSectno"/>
        </w:rPr>
        <w:t>10.2.151</w:t>
      </w:r>
      <w:r w:rsidRPr="00D97EFB">
        <w:t xml:space="preserve">  Dealer to give priority to clients’ orders</w:t>
      </w:r>
      <w:bookmarkEnd w:id="2722"/>
      <w:bookmarkEnd w:id="2723"/>
    </w:p>
    <w:p w14:paraId="08972DEB"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2AC94DE4" w14:textId="77777777" w:rsidR="00E93F58" w:rsidRPr="00D97EFB" w:rsidRDefault="00E93F58" w:rsidP="00BB7E31">
      <w:pPr>
        <w:pStyle w:val="subsection"/>
      </w:pPr>
      <w:r w:rsidRPr="00D97EFB">
        <w:tab/>
        <w:t>(2)</w:t>
      </w:r>
      <w:r w:rsidRPr="00D97EFB">
        <w:tab/>
        <w:t>A reference in subsection 844(2) of the old Corporations Act to a stock market of a securities exchange includes a licensed market for securities.</w:t>
      </w:r>
    </w:p>
    <w:p w14:paraId="07BDDC2E" w14:textId="77777777" w:rsidR="00E93F58" w:rsidRPr="00D97EFB" w:rsidRDefault="00E93F58" w:rsidP="00BB7E31">
      <w:pPr>
        <w:pStyle w:val="ActHead5"/>
      </w:pPr>
      <w:bookmarkStart w:id="2724" w:name="_Toc151994641"/>
      <w:bookmarkStart w:id="2725" w:name="_Toc158713151"/>
      <w:r w:rsidRPr="000D40D5">
        <w:rPr>
          <w:rStyle w:val="CharSectno"/>
        </w:rPr>
        <w:t>10.2.152</w:t>
      </w:r>
      <w:r w:rsidRPr="00D97EFB">
        <w:t xml:space="preserve">  Dealers’ financial records</w:t>
      </w:r>
      <w:bookmarkEnd w:id="2724"/>
      <w:bookmarkEnd w:id="2725"/>
    </w:p>
    <w:p w14:paraId="19B4749B"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3AEA1202" w14:textId="77777777" w:rsidR="00E93F58" w:rsidRPr="00D97EFB" w:rsidRDefault="00E93F58" w:rsidP="00BB7E31">
      <w:pPr>
        <w:pStyle w:val="subsection"/>
      </w:pPr>
      <w:r w:rsidRPr="00D97EFB">
        <w:tab/>
        <w:t>(2)</w:t>
      </w:r>
      <w:r w:rsidRPr="00D97EFB">
        <w:tab/>
        <w:t>A reference in paragraph 856(10)(c) of the old Corporations Act to a dealer includes a financial services licensee.</w:t>
      </w:r>
    </w:p>
    <w:p w14:paraId="40C1BD4E" w14:textId="77777777" w:rsidR="00E93F58" w:rsidRPr="00D97EFB" w:rsidRDefault="00E93F58" w:rsidP="00BB7E31">
      <w:pPr>
        <w:pStyle w:val="ActHead5"/>
      </w:pPr>
      <w:bookmarkStart w:id="2726" w:name="_Toc151994642"/>
      <w:bookmarkStart w:id="2727" w:name="_Toc158713152"/>
      <w:r w:rsidRPr="000D40D5">
        <w:rPr>
          <w:rStyle w:val="CharSectno"/>
        </w:rPr>
        <w:t>10.2.153</w:t>
      </w:r>
      <w:r w:rsidRPr="00D97EFB">
        <w:t xml:space="preserve">  Auditor to report to ASIC on certain matters</w:t>
      </w:r>
      <w:bookmarkEnd w:id="2726"/>
      <w:bookmarkEnd w:id="2727"/>
    </w:p>
    <w:p w14:paraId="6388265C"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79348D22" w14:textId="77777777" w:rsidR="00E93F58" w:rsidRPr="00D97EFB" w:rsidRDefault="00E93F58" w:rsidP="00BB7E31">
      <w:pPr>
        <w:pStyle w:val="subsection"/>
      </w:pPr>
      <w:r w:rsidRPr="00D97EFB">
        <w:tab/>
        <w:t>(2)</w:t>
      </w:r>
      <w:r w:rsidRPr="00D97EFB">
        <w:tab/>
        <w:t>A reference in subsection 861(1) of the old Corporations Act to a securities exchange of which a holder is a member includes a licensed market for securities of which the regulated principal is a participant.</w:t>
      </w:r>
    </w:p>
    <w:p w14:paraId="701738E6" w14:textId="77777777" w:rsidR="00E93F58" w:rsidRPr="00D97EFB" w:rsidRDefault="00E93F58" w:rsidP="00BB7E31">
      <w:pPr>
        <w:pStyle w:val="ActHead5"/>
      </w:pPr>
      <w:bookmarkStart w:id="2728" w:name="_Toc151994643"/>
      <w:bookmarkStart w:id="2729" w:name="_Toc158713153"/>
      <w:r w:rsidRPr="000D40D5">
        <w:rPr>
          <w:rStyle w:val="CharSectno"/>
        </w:rPr>
        <w:lastRenderedPageBreak/>
        <w:t>10.2.154</w:t>
      </w:r>
      <w:r w:rsidRPr="00D97EFB">
        <w:t xml:space="preserve">  Qualified privilege for auditor</w:t>
      </w:r>
      <w:bookmarkEnd w:id="2728"/>
      <w:bookmarkEnd w:id="2729"/>
    </w:p>
    <w:p w14:paraId="45EED0F5"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75D31527" w14:textId="77777777" w:rsidR="00E93F58" w:rsidRPr="00D97EFB" w:rsidRDefault="00E93F58" w:rsidP="00BB7E31">
      <w:pPr>
        <w:pStyle w:val="subsection"/>
      </w:pPr>
      <w:r w:rsidRPr="00D97EFB">
        <w:tab/>
        <w:t>(2)</w:t>
      </w:r>
      <w:r w:rsidRPr="00D97EFB">
        <w:tab/>
        <w:t>A reference in paragraph 863(1)(b) of the old Corporations Act to a securities exchange includes the operator of a licensed market for securities.</w:t>
      </w:r>
    </w:p>
    <w:p w14:paraId="3DDF6451" w14:textId="77777777" w:rsidR="00E93F58" w:rsidRPr="00D97EFB" w:rsidRDefault="00E93F58" w:rsidP="00BB7E31">
      <w:pPr>
        <w:pStyle w:val="ActHead5"/>
      </w:pPr>
      <w:bookmarkStart w:id="2730" w:name="_Toc151994644"/>
      <w:bookmarkStart w:id="2731" w:name="_Toc158713154"/>
      <w:r w:rsidRPr="000D40D5">
        <w:rPr>
          <w:rStyle w:val="CharSectno"/>
        </w:rPr>
        <w:t>10.2.155</w:t>
      </w:r>
      <w:r w:rsidRPr="00D97EFB">
        <w:t xml:space="preserve">  Court may freeze certain bank accounts of dealers and former dealers</w:t>
      </w:r>
      <w:bookmarkEnd w:id="2730"/>
      <w:bookmarkEnd w:id="2731"/>
    </w:p>
    <w:p w14:paraId="3E1847AD"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44827FEE" w14:textId="77777777" w:rsidR="00E93F58" w:rsidRPr="00D97EFB" w:rsidRDefault="00E93F58" w:rsidP="00BB7E31">
      <w:pPr>
        <w:pStyle w:val="subsection"/>
      </w:pPr>
      <w:r w:rsidRPr="00D97EFB">
        <w:tab/>
        <w:t>(2)</w:t>
      </w:r>
      <w:r w:rsidRPr="00D97EFB">
        <w:tab/>
        <w:t>A reference in paragraph 874(1)(b) of the old Corporations Act to the business rules of a securities exchange of which a person is or has been a member includes the operating rules of a licensed market for securities of which the regulated principal is or has been a participant.</w:t>
      </w:r>
    </w:p>
    <w:p w14:paraId="5D729D42" w14:textId="77777777" w:rsidR="00E93F58" w:rsidRPr="00D97EFB" w:rsidRDefault="00E93F58" w:rsidP="00BB7E31">
      <w:pPr>
        <w:pStyle w:val="ActHead5"/>
      </w:pPr>
      <w:bookmarkStart w:id="2732" w:name="_Toc151994645"/>
      <w:bookmarkStart w:id="2733" w:name="_Toc158713155"/>
      <w:r w:rsidRPr="000D40D5">
        <w:rPr>
          <w:rStyle w:val="CharSectno"/>
        </w:rPr>
        <w:t>10.2.156</w:t>
      </w:r>
      <w:r w:rsidRPr="00D97EFB">
        <w:t xml:space="preserve">  Interpretation—registers</w:t>
      </w:r>
      <w:bookmarkEnd w:id="2732"/>
      <w:bookmarkEnd w:id="2733"/>
    </w:p>
    <w:p w14:paraId="1107D7FA"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1 of the table in section 1430 of the Act.</w:t>
      </w:r>
    </w:p>
    <w:p w14:paraId="74F553FB" w14:textId="77777777" w:rsidR="00E93F58" w:rsidRPr="00D97EFB" w:rsidRDefault="00E93F58" w:rsidP="00BB7E31">
      <w:pPr>
        <w:pStyle w:val="subsection"/>
      </w:pPr>
      <w:r w:rsidRPr="00D97EFB">
        <w:tab/>
        <w:t>(2)</w:t>
      </w:r>
      <w:r w:rsidRPr="00D97EFB">
        <w:tab/>
        <w:t xml:space="preserve">A reference in the definition of </w:t>
      </w:r>
      <w:r w:rsidRPr="00D97EFB">
        <w:rPr>
          <w:b/>
          <w:i/>
        </w:rPr>
        <w:t>financial journalist</w:t>
      </w:r>
      <w:r w:rsidRPr="00D97EFB">
        <w:t xml:space="preserve"> in subsection 879(1) of the old Corporations Act to a licensee includes a financial services licensee.</w:t>
      </w:r>
    </w:p>
    <w:p w14:paraId="02A3ACF0" w14:textId="77777777" w:rsidR="00E93F58" w:rsidRPr="00D97EFB" w:rsidRDefault="00E93F58" w:rsidP="00BB7E31">
      <w:pPr>
        <w:pStyle w:val="subsection"/>
      </w:pPr>
      <w:r w:rsidRPr="00D97EFB">
        <w:tab/>
        <w:t>(3)</w:t>
      </w:r>
      <w:r w:rsidRPr="00D97EFB">
        <w:tab/>
        <w:t xml:space="preserve">A reference in paragraph (b) of the definition of </w:t>
      </w:r>
      <w:r w:rsidRPr="00D97EFB">
        <w:rPr>
          <w:b/>
          <w:i/>
        </w:rPr>
        <w:t>securities</w:t>
      </w:r>
      <w:r w:rsidRPr="00D97EFB">
        <w:t xml:space="preserve"> in subsection 879(1) of the old Corporations Act to a securities exchange includes a licensed market for securities.</w:t>
      </w:r>
    </w:p>
    <w:p w14:paraId="5C2E2444" w14:textId="77777777" w:rsidR="00E93F58" w:rsidRPr="00D97EFB" w:rsidRDefault="00E93F58" w:rsidP="00BB7E31">
      <w:pPr>
        <w:pStyle w:val="subsection"/>
      </w:pPr>
      <w:r w:rsidRPr="00D97EFB">
        <w:tab/>
        <w:t>(4)</w:t>
      </w:r>
      <w:r w:rsidRPr="00D97EFB">
        <w:tab/>
        <w:t>A reference in paragraph 879(2)(a) of the old Corporations Act to a securities exchange includes an operator of a licensed market for securities.</w:t>
      </w:r>
    </w:p>
    <w:p w14:paraId="71321D91" w14:textId="77777777" w:rsidR="00E93F58" w:rsidRPr="00D97EFB" w:rsidRDefault="00E93F58" w:rsidP="00BB7E31">
      <w:pPr>
        <w:pStyle w:val="subsection"/>
      </w:pPr>
      <w:r w:rsidRPr="00D97EFB">
        <w:tab/>
        <w:t>(5)</w:t>
      </w:r>
      <w:r w:rsidRPr="00D97EFB">
        <w:tab/>
        <w:t>A reference in paragraph 879(2)(a) of the old Corporations Act to a member of a securities exchange that is recognised by that securities as specialising in transactions relating to odd lots of securities exchange includes a participant of a licensed market that is recognised by the market licensee in relation to that licensed market as specialising in transactions relating to odd lots of securities.</w:t>
      </w:r>
    </w:p>
    <w:p w14:paraId="2AA544DB" w14:textId="77777777" w:rsidR="00E93F58" w:rsidRPr="00D97EFB" w:rsidRDefault="00E93F58" w:rsidP="00BB7E31">
      <w:pPr>
        <w:pStyle w:val="subsection"/>
      </w:pPr>
      <w:r w:rsidRPr="00D97EFB">
        <w:tab/>
        <w:t>(6)</w:t>
      </w:r>
      <w:r w:rsidRPr="00D97EFB">
        <w:tab/>
        <w:t>A reference in subsection 879(2) of the old Corporations Act to a member’s relevant interests in any securities includes the interests in securities of a participant mentioned in subregulation (5).</w:t>
      </w:r>
    </w:p>
    <w:p w14:paraId="214F3EBB" w14:textId="77777777" w:rsidR="00E93F58" w:rsidRPr="00D97EFB" w:rsidRDefault="00E93F58" w:rsidP="00BB7E31">
      <w:pPr>
        <w:pStyle w:val="ActHead5"/>
      </w:pPr>
      <w:bookmarkStart w:id="2734" w:name="_Toc151994646"/>
      <w:bookmarkStart w:id="2735" w:name="_Toc158713156"/>
      <w:r w:rsidRPr="000D40D5">
        <w:rPr>
          <w:rStyle w:val="CharSectno"/>
        </w:rPr>
        <w:t>10.2.157</w:t>
      </w:r>
      <w:r w:rsidRPr="00D97EFB">
        <w:t xml:space="preserve">  Conditions of futures broker’s licence: membership of futures organisation</w:t>
      </w:r>
      <w:bookmarkEnd w:id="2734"/>
      <w:bookmarkEnd w:id="2735"/>
    </w:p>
    <w:p w14:paraId="7826561C"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71C269A1" w14:textId="77777777" w:rsidR="00E93F58" w:rsidRPr="00D97EFB" w:rsidRDefault="00E93F58" w:rsidP="00BB7E31">
      <w:pPr>
        <w:pStyle w:val="subsection"/>
      </w:pPr>
      <w:r w:rsidRPr="00D97EFB">
        <w:tab/>
        <w:t>(2)</w:t>
      </w:r>
      <w:r w:rsidRPr="00D97EFB">
        <w:tab/>
        <w:t>A reference in paragraph 1148(1)(a) of the old Corporations Act to being a member of a futures organisation includes being a participant of a licensed market for derivatives.</w:t>
      </w:r>
    </w:p>
    <w:p w14:paraId="4A5B3043" w14:textId="77777777" w:rsidR="00E93F58" w:rsidRPr="00D97EFB" w:rsidRDefault="00E93F58" w:rsidP="00BB7E31">
      <w:pPr>
        <w:pStyle w:val="subsection"/>
      </w:pPr>
      <w:r w:rsidRPr="00D97EFB">
        <w:tab/>
        <w:t>(3)</w:t>
      </w:r>
      <w:r w:rsidRPr="00D97EFB">
        <w:tab/>
        <w:t>A reference in subparagraph 1148(1)(b)(i) of the old Corporations Act to being a member of no futures organisation includes being a participant of no licensed market for derivatives.</w:t>
      </w:r>
    </w:p>
    <w:p w14:paraId="27574E09" w14:textId="77777777" w:rsidR="00E93F58" w:rsidRPr="00D97EFB" w:rsidRDefault="00E93F58" w:rsidP="00BB7E31">
      <w:pPr>
        <w:pStyle w:val="subsection"/>
      </w:pPr>
      <w:r w:rsidRPr="00D97EFB">
        <w:tab/>
        <w:t>(4)</w:t>
      </w:r>
      <w:r w:rsidRPr="00D97EFB">
        <w:tab/>
        <w:t>A reference in subparagraph 1148(1)(b)(ii) of the old Corporations Act to a licensee’s being a member of a futures organisation, but for the suspension of the licensee’s membership of the futures organisation, includes the regulated principal’s being a participant of a licensed market for derivatives, but for the suspension of the regulated principal’s participation in the licensed market.</w:t>
      </w:r>
    </w:p>
    <w:p w14:paraId="5B5984FC" w14:textId="77777777" w:rsidR="00E93F58" w:rsidRPr="00D97EFB" w:rsidRDefault="00E93F58" w:rsidP="00BB7E31">
      <w:pPr>
        <w:pStyle w:val="subsection"/>
      </w:pPr>
      <w:r w:rsidRPr="00D97EFB">
        <w:tab/>
        <w:t>(5)</w:t>
      </w:r>
      <w:r w:rsidRPr="00D97EFB">
        <w:tab/>
        <w:t>A reference in subsection 1148(2) of the old Corporations Act to a licensee’s membership of a futures organisation includes the regulated principal’s participation in a licensed market for derivatives.</w:t>
      </w:r>
    </w:p>
    <w:p w14:paraId="144FAFF6" w14:textId="77777777" w:rsidR="00E93F58" w:rsidRPr="00D97EFB" w:rsidRDefault="00E93F58" w:rsidP="00BB7E31">
      <w:pPr>
        <w:pStyle w:val="ActHead5"/>
      </w:pPr>
      <w:bookmarkStart w:id="2736" w:name="_Toc151994647"/>
      <w:bookmarkStart w:id="2737" w:name="_Toc158713157"/>
      <w:r w:rsidRPr="000D40D5">
        <w:rPr>
          <w:rStyle w:val="CharSectno"/>
        </w:rPr>
        <w:t>10.2.158</w:t>
      </w:r>
      <w:r w:rsidRPr="00D97EFB">
        <w:t xml:space="preserve">  Futures organisation to be informed about conditions of futures brokers licence</w:t>
      </w:r>
      <w:bookmarkEnd w:id="2736"/>
      <w:bookmarkEnd w:id="2737"/>
    </w:p>
    <w:p w14:paraId="501E1FDF"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2EB98DFF" w14:textId="77777777" w:rsidR="00E93F58" w:rsidRPr="00D97EFB" w:rsidRDefault="00E93F58" w:rsidP="00BB7E31">
      <w:pPr>
        <w:pStyle w:val="subsection"/>
      </w:pPr>
      <w:r w:rsidRPr="00D97EFB">
        <w:tab/>
        <w:t>(2)</w:t>
      </w:r>
      <w:r w:rsidRPr="00D97EFB">
        <w:tab/>
        <w:t>A reference in paragraph 1152(1)(a) of the old Corporations Act to a futures organisation of which a licensee is a member includes the operator of a licensed market for derivatives of which the regulated principal is a participant.</w:t>
      </w:r>
    </w:p>
    <w:p w14:paraId="1F893D44" w14:textId="77777777" w:rsidR="00E93F58" w:rsidRPr="00D97EFB" w:rsidRDefault="00E93F58" w:rsidP="00BB7E31">
      <w:pPr>
        <w:pStyle w:val="subsection"/>
      </w:pPr>
      <w:r w:rsidRPr="00D97EFB">
        <w:lastRenderedPageBreak/>
        <w:tab/>
        <w:t>(3)</w:t>
      </w:r>
      <w:r w:rsidRPr="00D97EFB">
        <w:tab/>
        <w:t>A reference in paragraph 1152(1)(b) of the old Corporations Act to a corporation that is a clearing house for a futures exchange of which a licensee is a member includes the operator of a licensed CS facility that provides its services for the clearing and settlement of transactions effected through a licensed market for derivatives of which the regulated principal is a participant.</w:t>
      </w:r>
    </w:p>
    <w:p w14:paraId="6F001412" w14:textId="77777777" w:rsidR="00E93F58" w:rsidRPr="00D97EFB" w:rsidRDefault="00E93F58" w:rsidP="00BB7E31">
      <w:pPr>
        <w:pStyle w:val="ActHead5"/>
      </w:pPr>
      <w:bookmarkStart w:id="2738" w:name="_Toc151994648"/>
      <w:bookmarkStart w:id="2739" w:name="_Toc158713158"/>
      <w:r w:rsidRPr="000D40D5">
        <w:rPr>
          <w:rStyle w:val="CharSectno"/>
        </w:rPr>
        <w:t>10.2.159</w:t>
      </w:r>
      <w:r w:rsidRPr="00D97EFB">
        <w:t xml:space="preserve">  Licensee to notify breach of licence condition</w:t>
      </w:r>
      <w:bookmarkEnd w:id="2738"/>
      <w:bookmarkEnd w:id="2739"/>
    </w:p>
    <w:p w14:paraId="710EE37B"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or 4 of the table in section 1430 of the Act.</w:t>
      </w:r>
    </w:p>
    <w:p w14:paraId="6339EA14" w14:textId="77777777" w:rsidR="00E93F58" w:rsidRPr="00D97EFB" w:rsidRDefault="00E93F58" w:rsidP="00BB7E31">
      <w:pPr>
        <w:pStyle w:val="subsection"/>
      </w:pPr>
      <w:r w:rsidRPr="00D97EFB">
        <w:tab/>
        <w:t>(2)</w:t>
      </w:r>
      <w:r w:rsidRPr="00D97EFB">
        <w:tab/>
        <w:t>A reference in paragraph 1153(1)(b) of the old Corporations Act to a futures organisation of which a licensee is a member includes the operator of a licensed market for derivatives of which the regulated principal is a participant.</w:t>
      </w:r>
    </w:p>
    <w:p w14:paraId="3FD5FFF8" w14:textId="77777777" w:rsidR="00E93F58" w:rsidRPr="00D97EFB" w:rsidRDefault="00E93F58" w:rsidP="000A7E3B">
      <w:pPr>
        <w:pStyle w:val="ActHead5"/>
      </w:pPr>
      <w:bookmarkStart w:id="2740" w:name="_Toc151994649"/>
      <w:bookmarkStart w:id="2741" w:name="_Toc158713159"/>
      <w:r w:rsidRPr="000D40D5">
        <w:rPr>
          <w:rStyle w:val="CharSectno"/>
        </w:rPr>
        <w:t>10.2.160</w:t>
      </w:r>
      <w:r w:rsidRPr="00D97EFB">
        <w:t xml:space="preserve">  Register of Futures Licensees</w:t>
      </w:r>
      <w:bookmarkEnd w:id="2740"/>
      <w:bookmarkEnd w:id="2741"/>
    </w:p>
    <w:p w14:paraId="0FC9ACDB" w14:textId="77777777" w:rsidR="00E93F58" w:rsidRPr="00D97EFB" w:rsidRDefault="00E93F58" w:rsidP="000A7E3B">
      <w:pPr>
        <w:pStyle w:val="subsection"/>
        <w:keepNext/>
        <w:keepLines/>
      </w:pPr>
      <w:r w:rsidRPr="00D97EFB">
        <w:tab/>
        <w:t>(1)</w:t>
      </w:r>
      <w:r w:rsidRPr="00D97EFB">
        <w:tab/>
        <w:t>For section 1444 of the Act, this regulation applies in relation to a regulated principal mentioned in item 3 or 4 of the table in section 1430 of the Act.</w:t>
      </w:r>
    </w:p>
    <w:p w14:paraId="46F90647" w14:textId="77777777" w:rsidR="00E93F58" w:rsidRPr="00D97EFB" w:rsidRDefault="00E93F58" w:rsidP="00BB7E31">
      <w:pPr>
        <w:pStyle w:val="subsection"/>
      </w:pPr>
      <w:r w:rsidRPr="00D97EFB">
        <w:tab/>
        <w:t>(2)</w:t>
      </w:r>
      <w:r w:rsidRPr="00D97EFB">
        <w:tab/>
        <w:t>A reference in paragraph 1155(3)(e) of the old Corporations Act to a futures organisation of which a licensee is a member includes the operator of a licensed market for derivatives of which the regulated principal is a participant.</w:t>
      </w:r>
    </w:p>
    <w:p w14:paraId="5A72BEE3" w14:textId="77777777" w:rsidR="00E93F58" w:rsidRPr="00D97EFB" w:rsidRDefault="00E93F58" w:rsidP="00BB7E31">
      <w:pPr>
        <w:pStyle w:val="ActHead5"/>
      </w:pPr>
      <w:bookmarkStart w:id="2742" w:name="_Toc151994650"/>
      <w:bookmarkStart w:id="2743" w:name="_Toc158713160"/>
      <w:r w:rsidRPr="000D40D5">
        <w:rPr>
          <w:rStyle w:val="CharSectno"/>
        </w:rPr>
        <w:t>10.2.161</w:t>
      </w:r>
      <w:r w:rsidRPr="00D97EFB">
        <w:t xml:space="preserve">  Excluded clients</w:t>
      </w:r>
      <w:bookmarkEnd w:id="2742"/>
      <w:bookmarkEnd w:id="2743"/>
    </w:p>
    <w:p w14:paraId="7F11F648"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or 4 of the table in section 1430 of the Act.</w:t>
      </w:r>
    </w:p>
    <w:p w14:paraId="6F2236F8" w14:textId="77777777" w:rsidR="00E93F58" w:rsidRPr="00D97EFB" w:rsidRDefault="00E93F58" w:rsidP="00BB7E31">
      <w:pPr>
        <w:pStyle w:val="subsection"/>
      </w:pPr>
      <w:r w:rsidRPr="00D97EFB">
        <w:tab/>
        <w:t>(2)</w:t>
      </w:r>
      <w:r w:rsidRPr="00D97EFB">
        <w:tab/>
        <w:t>A reference in section 1159 of the old Corporations Act to a futures broker or a futures adviser includes:</w:t>
      </w:r>
    </w:p>
    <w:p w14:paraId="0EA3AA07" w14:textId="77777777" w:rsidR="00E93F58" w:rsidRPr="00D97EFB" w:rsidRDefault="00E93F58" w:rsidP="00BB7E31">
      <w:pPr>
        <w:pStyle w:val="paragraph"/>
      </w:pPr>
      <w:r w:rsidRPr="00D97EFB">
        <w:tab/>
        <w:t>(a)</w:t>
      </w:r>
      <w:r w:rsidRPr="00D97EFB">
        <w:tab/>
        <w:t>a financial services licensee; and</w:t>
      </w:r>
    </w:p>
    <w:p w14:paraId="37BE919B" w14:textId="77777777" w:rsidR="00E93F58" w:rsidRPr="00D97EFB" w:rsidRDefault="00E93F58" w:rsidP="00BB7E31">
      <w:pPr>
        <w:pStyle w:val="paragraph"/>
      </w:pPr>
      <w:r w:rsidRPr="00D97EFB">
        <w:tab/>
        <w:t>(b)</w:t>
      </w:r>
      <w:r w:rsidRPr="00D97EFB">
        <w:tab/>
        <w:t>one of 2 or more persons who together constitute a financial services licensee.</w:t>
      </w:r>
    </w:p>
    <w:p w14:paraId="24E4B097" w14:textId="77777777" w:rsidR="00E93F58" w:rsidRPr="00D97EFB" w:rsidRDefault="00E93F58" w:rsidP="00BB7E31">
      <w:pPr>
        <w:pStyle w:val="ActHead5"/>
      </w:pPr>
      <w:bookmarkStart w:id="2744" w:name="_Toc151994651"/>
      <w:bookmarkStart w:id="2745" w:name="_Toc158713161"/>
      <w:r w:rsidRPr="000D40D5">
        <w:rPr>
          <w:rStyle w:val="CharSectno"/>
        </w:rPr>
        <w:t>10.2.162</w:t>
      </w:r>
      <w:r w:rsidRPr="00D97EFB">
        <w:t xml:space="preserve">  Segregation of client money and property</w:t>
      </w:r>
      <w:bookmarkEnd w:id="2744"/>
      <w:bookmarkEnd w:id="2745"/>
    </w:p>
    <w:p w14:paraId="74575D0E"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5699D7DF" w14:textId="77777777" w:rsidR="00E93F58" w:rsidRPr="00D97EFB" w:rsidRDefault="00E93F58" w:rsidP="00BB7E31">
      <w:pPr>
        <w:pStyle w:val="subsection"/>
      </w:pPr>
      <w:r w:rsidRPr="00D97EFB">
        <w:tab/>
        <w:t>(2)</w:t>
      </w:r>
      <w:r w:rsidRPr="00D97EFB">
        <w:tab/>
        <w:t>A reference in subparagraph 1209(5)(d)(iv) of the old Corporations Act to a clearing house for a futures exchange includes a CS facility that provides its services for the clearing and settlement of transactions effected through a licensed market for derivatives.</w:t>
      </w:r>
    </w:p>
    <w:p w14:paraId="66FB7487" w14:textId="77777777" w:rsidR="00E93F58" w:rsidRPr="00D97EFB" w:rsidRDefault="00E93F58" w:rsidP="00BB7E31">
      <w:pPr>
        <w:pStyle w:val="subsection"/>
      </w:pPr>
      <w:r w:rsidRPr="00D97EFB">
        <w:tab/>
        <w:t>(3)</w:t>
      </w:r>
      <w:r w:rsidRPr="00D97EFB">
        <w:tab/>
        <w:t>A reference in subsection 1209(5A) of the old Corporations Act to:</w:t>
      </w:r>
    </w:p>
    <w:p w14:paraId="57B25C2C" w14:textId="77777777" w:rsidR="00E93F58" w:rsidRPr="00D97EFB" w:rsidRDefault="00E93F58" w:rsidP="00BB7E31">
      <w:pPr>
        <w:pStyle w:val="paragraph"/>
      </w:pPr>
      <w:r w:rsidRPr="00D97EFB">
        <w:tab/>
        <w:t>(a)</w:t>
      </w:r>
      <w:r w:rsidRPr="00D97EFB">
        <w:tab/>
        <w:t>another broker; or</w:t>
      </w:r>
    </w:p>
    <w:p w14:paraId="7086EADC" w14:textId="77777777" w:rsidR="00E93F58" w:rsidRPr="00D97EFB" w:rsidRDefault="00E93F58" w:rsidP="00BB7E31">
      <w:pPr>
        <w:pStyle w:val="paragraph"/>
      </w:pPr>
      <w:r w:rsidRPr="00D97EFB">
        <w:tab/>
        <w:t>(b)</w:t>
      </w:r>
      <w:r w:rsidRPr="00D97EFB">
        <w:tab/>
        <w:t>a receiving broker;</w:t>
      </w:r>
    </w:p>
    <w:p w14:paraId="02ECE2D3" w14:textId="77777777" w:rsidR="00E93F58" w:rsidRPr="00D97EFB" w:rsidRDefault="00E93F58" w:rsidP="00BB7E31">
      <w:pPr>
        <w:pStyle w:val="subsection2"/>
      </w:pPr>
      <w:r w:rsidRPr="00D97EFB">
        <w:t>includes a financial services licensee.</w:t>
      </w:r>
    </w:p>
    <w:p w14:paraId="54C67784" w14:textId="77777777" w:rsidR="00E93F58" w:rsidRPr="00D97EFB" w:rsidRDefault="00E93F58" w:rsidP="00BB7E31">
      <w:pPr>
        <w:pStyle w:val="subsection"/>
      </w:pPr>
      <w:r w:rsidRPr="00D97EFB">
        <w:tab/>
        <w:t>(4)</w:t>
      </w:r>
      <w:r w:rsidRPr="00D97EFB">
        <w:tab/>
        <w:t>A reference in subsection 1209(5B) of the old Corporations Act to the brokers concerned includes a financial services licensee.</w:t>
      </w:r>
    </w:p>
    <w:p w14:paraId="5CE3EC01" w14:textId="77777777" w:rsidR="00E93F58" w:rsidRPr="00D97EFB" w:rsidRDefault="00E93F58" w:rsidP="00BB7E31">
      <w:pPr>
        <w:pStyle w:val="ActHead5"/>
      </w:pPr>
      <w:bookmarkStart w:id="2746" w:name="_Toc151994652"/>
      <w:bookmarkStart w:id="2747" w:name="_Toc158713162"/>
      <w:r w:rsidRPr="000D40D5">
        <w:rPr>
          <w:rStyle w:val="CharSectno"/>
        </w:rPr>
        <w:t>10.2.163</w:t>
      </w:r>
      <w:r w:rsidRPr="00D97EFB">
        <w:t xml:space="preserve">  Accounts to be kept by futures brokers</w:t>
      </w:r>
      <w:bookmarkEnd w:id="2746"/>
      <w:bookmarkEnd w:id="2747"/>
    </w:p>
    <w:p w14:paraId="2EE1C62B"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267C375D" w14:textId="77777777" w:rsidR="00E93F58" w:rsidRPr="00D97EFB" w:rsidRDefault="00E93F58" w:rsidP="00BB7E31">
      <w:pPr>
        <w:pStyle w:val="subsection"/>
      </w:pPr>
      <w:r w:rsidRPr="00D97EFB">
        <w:tab/>
        <w:t>(2)</w:t>
      </w:r>
      <w:r w:rsidRPr="00D97EFB">
        <w:tab/>
        <w:t>A reference in subparagraph 1213(2)(b)(vii) of the old Corporations Act to the business rules of a futures exchange includes the operating rules of a licensed market for derivatives.</w:t>
      </w:r>
    </w:p>
    <w:p w14:paraId="0664B92A" w14:textId="77777777" w:rsidR="00E93F58" w:rsidRPr="00D97EFB" w:rsidRDefault="00E93F58" w:rsidP="00BB7E31">
      <w:pPr>
        <w:pStyle w:val="subsection"/>
      </w:pPr>
      <w:r w:rsidRPr="00D97EFB">
        <w:tab/>
        <w:t>(3)</w:t>
      </w:r>
      <w:r w:rsidRPr="00D97EFB">
        <w:tab/>
        <w:t>A reference in subparagraph 1213(2)(b)(vii) of the old Corporations Act to the futures market of a futures exchange includes a licensed market for derivatives.</w:t>
      </w:r>
    </w:p>
    <w:p w14:paraId="61203395" w14:textId="77777777" w:rsidR="00E93F58" w:rsidRPr="00D97EFB" w:rsidRDefault="00E93F58" w:rsidP="00BB7E31">
      <w:pPr>
        <w:pStyle w:val="subsection"/>
      </w:pPr>
      <w:r w:rsidRPr="00D97EFB">
        <w:tab/>
        <w:t>(4)</w:t>
      </w:r>
      <w:r w:rsidRPr="00D97EFB">
        <w:tab/>
        <w:t>A reference in paragraph 1213(4)(d) of the old Corporations Act to another futures broker includes a financial services licensee.</w:t>
      </w:r>
    </w:p>
    <w:p w14:paraId="2B67C53B" w14:textId="77777777" w:rsidR="00E93F58" w:rsidRPr="00D97EFB" w:rsidRDefault="00E93F58" w:rsidP="00BB7E31">
      <w:pPr>
        <w:pStyle w:val="subsection"/>
      </w:pPr>
      <w:r w:rsidRPr="00D97EFB">
        <w:lastRenderedPageBreak/>
        <w:tab/>
        <w:t>(5)</w:t>
      </w:r>
      <w:r w:rsidRPr="00D97EFB">
        <w:tab/>
        <w:t>A reference in subsection 1213(5) of the old Corporations Act to a futures exchange includes an operator of a licensed market for derivatives.</w:t>
      </w:r>
    </w:p>
    <w:p w14:paraId="470623B4" w14:textId="77777777" w:rsidR="00E93F58" w:rsidRPr="00D97EFB" w:rsidRDefault="00E93F58" w:rsidP="00BB7E31">
      <w:pPr>
        <w:pStyle w:val="subsection"/>
      </w:pPr>
      <w:r w:rsidRPr="00D97EFB">
        <w:tab/>
        <w:t>(6)</w:t>
      </w:r>
      <w:r w:rsidRPr="00D97EFB">
        <w:tab/>
        <w:t>A reference in subsection 1213(5) of the old Corporations Act to a member includes a participant of a licensed market for derivatives.</w:t>
      </w:r>
    </w:p>
    <w:p w14:paraId="51947DDE" w14:textId="77777777" w:rsidR="00E93F58" w:rsidRPr="00D97EFB" w:rsidRDefault="00E93F58" w:rsidP="00BB7E31">
      <w:pPr>
        <w:pStyle w:val="subsection"/>
      </w:pPr>
      <w:r w:rsidRPr="00D97EFB">
        <w:tab/>
        <w:t>(7)</w:t>
      </w:r>
      <w:r w:rsidRPr="00D97EFB">
        <w:tab/>
        <w:t>A reference in subsection 1213(5) of the old Corporations Act to recording a matter pursuant to subsection 1270(3) of the old Corporations Act includes recording a matter for section 1101C of the amended Corporations Act.</w:t>
      </w:r>
    </w:p>
    <w:p w14:paraId="48AD8072" w14:textId="77777777" w:rsidR="00E93F58" w:rsidRPr="00D97EFB" w:rsidRDefault="00E93F58" w:rsidP="00BB7E31">
      <w:pPr>
        <w:pStyle w:val="ActHead5"/>
      </w:pPr>
      <w:bookmarkStart w:id="2748" w:name="_Toc151994653"/>
      <w:bookmarkStart w:id="2749" w:name="_Toc158713163"/>
      <w:r w:rsidRPr="000D40D5">
        <w:rPr>
          <w:rStyle w:val="CharSectno"/>
        </w:rPr>
        <w:t>10.2.164</w:t>
      </w:r>
      <w:r w:rsidRPr="00D97EFB">
        <w:t xml:space="preserve">  Property in custody of futures broker</w:t>
      </w:r>
      <w:bookmarkEnd w:id="2748"/>
      <w:bookmarkEnd w:id="2749"/>
    </w:p>
    <w:p w14:paraId="4325643D"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0C83554D" w14:textId="77777777" w:rsidR="00E93F58" w:rsidRPr="00D97EFB" w:rsidRDefault="00E93F58" w:rsidP="000A7E3B">
      <w:pPr>
        <w:pStyle w:val="subsection"/>
        <w:keepNext/>
        <w:keepLines/>
      </w:pPr>
      <w:r w:rsidRPr="00D97EFB">
        <w:tab/>
        <w:t>(2)</w:t>
      </w:r>
      <w:r w:rsidRPr="00D97EFB">
        <w:tab/>
        <w:t>A reference in paragraph 1214(1)(e) of the old Corporations Act to the business rules of a futures exchange that maintained or provided a futures market includes the operating rules of a licensed market for derivatives.</w:t>
      </w:r>
    </w:p>
    <w:p w14:paraId="256C15FC" w14:textId="77777777" w:rsidR="00E93F58" w:rsidRPr="00D97EFB" w:rsidRDefault="00E93F58" w:rsidP="00BB7E31">
      <w:pPr>
        <w:pStyle w:val="ActHead5"/>
      </w:pPr>
      <w:bookmarkStart w:id="2750" w:name="_Toc151994654"/>
      <w:bookmarkStart w:id="2751" w:name="_Toc158713164"/>
      <w:r w:rsidRPr="000D40D5">
        <w:rPr>
          <w:rStyle w:val="CharSectno"/>
        </w:rPr>
        <w:t>10.2.165</w:t>
      </w:r>
      <w:r w:rsidRPr="00D97EFB">
        <w:t xml:space="preserve">  Auditor to report to ASIC in certain cases</w:t>
      </w:r>
      <w:bookmarkEnd w:id="2750"/>
      <w:bookmarkEnd w:id="2751"/>
    </w:p>
    <w:p w14:paraId="3E942210"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53EB9E85" w14:textId="77777777" w:rsidR="00E93F58" w:rsidRPr="00D97EFB" w:rsidRDefault="00E93F58" w:rsidP="00BB7E31">
      <w:pPr>
        <w:pStyle w:val="subsection"/>
      </w:pPr>
      <w:r w:rsidRPr="00D97EFB">
        <w:tab/>
        <w:t>(2)</w:t>
      </w:r>
      <w:r w:rsidRPr="00D97EFB">
        <w:tab/>
        <w:t>A reference in subsection 1220(1) of the old Corporations Act to a futures exchange of which a broker is a member includes:</w:t>
      </w:r>
    </w:p>
    <w:p w14:paraId="112D44F0" w14:textId="77777777" w:rsidR="00E93F58" w:rsidRPr="00D97EFB" w:rsidRDefault="00E93F58" w:rsidP="00BB7E31">
      <w:pPr>
        <w:pStyle w:val="paragraph"/>
      </w:pPr>
      <w:r w:rsidRPr="00D97EFB">
        <w:tab/>
        <w:t>(a)</w:t>
      </w:r>
      <w:r w:rsidRPr="00D97EFB">
        <w:tab/>
        <w:t>the operator of a licensed market for derivatives; and</w:t>
      </w:r>
    </w:p>
    <w:p w14:paraId="10BA5EE4" w14:textId="77777777" w:rsidR="00E93F58" w:rsidRPr="00D97EFB" w:rsidRDefault="00E93F58" w:rsidP="00BB7E31">
      <w:pPr>
        <w:pStyle w:val="paragraph"/>
      </w:pPr>
      <w:r w:rsidRPr="00D97EFB">
        <w:tab/>
        <w:t>(b)</w:t>
      </w:r>
      <w:r w:rsidRPr="00D97EFB">
        <w:tab/>
        <w:t>the operator of a licensed CS facility that provides its services for the clearing and settlement of transactions effected through that licensed market.</w:t>
      </w:r>
    </w:p>
    <w:p w14:paraId="58D7110A" w14:textId="77777777" w:rsidR="00E93F58" w:rsidRPr="00D97EFB" w:rsidRDefault="00E93F58" w:rsidP="00BB7E31">
      <w:pPr>
        <w:pStyle w:val="subsection"/>
      </w:pPr>
      <w:r w:rsidRPr="00D97EFB">
        <w:tab/>
        <w:t>(3)</w:t>
      </w:r>
      <w:r w:rsidRPr="00D97EFB">
        <w:tab/>
        <w:t>A reference in paragraph 1220(1)(b) of the old Corporations Act to a futures exchange of which a broker is a member includes:</w:t>
      </w:r>
    </w:p>
    <w:p w14:paraId="4DB5A006" w14:textId="77777777" w:rsidR="00E93F58" w:rsidRPr="00D97EFB" w:rsidRDefault="00E93F58" w:rsidP="00BB7E31">
      <w:pPr>
        <w:pStyle w:val="paragraph"/>
      </w:pPr>
      <w:r w:rsidRPr="00D97EFB">
        <w:tab/>
        <w:t>(a)</w:t>
      </w:r>
      <w:r w:rsidRPr="00D97EFB">
        <w:tab/>
        <w:t>the operator of a licensed market for derivatives; and</w:t>
      </w:r>
    </w:p>
    <w:p w14:paraId="4BC8D587" w14:textId="77777777" w:rsidR="00E93F58" w:rsidRPr="00D97EFB" w:rsidRDefault="00E93F58" w:rsidP="00BB7E31">
      <w:pPr>
        <w:pStyle w:val="paragraph"/>
      </w:pPr>
      <w:r w:rsidRPr="00D97EFB">
        <w:tab/>
        <w:t>(b)</w:t>
      </w:r>
      <w:r w:rsidRPr="00D97EFB">
        <w:tab/>
        <w:t>the operator of a licensed CS facility that provides its services for the clearing and settlement of transactions effected through that licensed market.</w:t>
      </w:r>
    </w:p>
    <w:p w14:paraId="72B48397" w14:textId="77777777" w:rsidR="00E93F58" w:rsidRPr="00D97EFB" w:rsidRDefault="00E93F58" w:rsidP="00BB7E31">
      <w:pPr>
        <w:pStyle w:val="ActHead5"/>
      </w:pPr>
      <w:bookmarkStart w:id="2752" w:name="_Toc151994655"/>
      <w:bookmarkStart w:id="2753" w:name="_Toc158713165"/>
      <w:r w:rsidRPr="000D40D5">
        <w:rPr>
          <w:rStyle w:val="CharSectno"/>
        </w:rPr>
        <w:t>10.2.166</w:t>
      </w:r>
      <w:r w:rsidRPr="00D97EFB">
        <w:t xml:space="preserve">  Defamation</w:t>
      </w:r>
      <w:bookmarkEnd w:id="2752"/>
      <w:bookmarkEnd w:id="2753"/>
    </w:p>
    <w:p w14:paraId="1229391C"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5280A762" w14:textId="77777777" w:rsidR="00E93F58" w:rsidRPr="00D97EFB" w:rsidRDefault="00E93F58" w:rsidP="00BB7E31">
      <w:pPr>
        <w:pStyle w:val="subsection"/>
      </w:pPr>
      <w:r w:rsidRPr="00D97EFB">
        <w:tab/>
        <w:t>(2)</w:t>
      </w:r>
      <w:r w:rsidRPr="00D97EFB">
        <w:tab/>
        <w:t>A reference in paragraph 1222(1)(b) of the old Corporations Act to a futures exchange, a clearing house for a futures exchange, or a futures association includes:</w:t>
      </w:r>
    </w:p>
    <w:p w14:paraId="2CA24DFE" w14:textId="77777777" w:rsidR="00E93F58" w:rsidRPr="00D97EFB" w:rsidRDefault="00E93F58" w:rsidP="00BB7E31">
      <w:pPr>
        <w:pStyle w:val="paragraph"/>
      </w:pPr>
      <w:r w:rsidRPr="00D97EFB">
        <w:tab/>
        <w:t>(a)</w:t>
      </w:r>
      <w:r w:rsidRPr="00D97EFB">
        <w:tab/>
        <w:t>the operator of a licensed market for derivatives; and</w:t>
      </w:r>
    </w:p>
    <w:p w14:paraId="6996D89F" w14:textId="77777777" w:rsidR="00E93F58" w:rsidRPr="00D97EFB" w:rsidRDefault="00E93F58" w:rsidP="00BB7E31">
      <w:pPr>
        <w:pStyle w:val="paragraph"/>
      </w:pPr>
      <w:r w:rsidRPr="00D97EFB">
        <w:tab/>
        <w:t>(b)</w:t>
      </w:r>
      <w:r w:rsidRPr="00D97EFB">
        <w:tab/>
        <w:t>the operator of a licensed CS facility that provides its services for the clearing and settlement of transactions effected through a licensed market for derivatives.</w:t>
      </w:r>
    </w:p>
    <w:p w14:paraId="5B013350" w14:textId="77777777" w:rsidR="00E93F58" w:rsidRPr="00D97EFB" w:rsidRDefault="00E93F58" w:rsidP="000A7E3B">
      <w:pPr>
        <w:pStyle w:val="ActHead5"/>
      </w:pPr>
      <w:bookmarkStart w:id="2754" w:name="_Toc151994656"/>
      <w:bookmarkStart w:id="2755" w:name="_Toc158713166"/>
      <w:r w:rsidRPr="000D40D5">
        <w:rPr>
          <w:rStyle w:val="CharSectno"/>
        </w:rPr>
        <w:t>10.2.167</w:t>
      </w:r>
      <w:r w:rsidRPr="00D97EFB">
        <w:t xml:space="preserve">  Power of Court to restrain dealings with futures broker’s bank accounts</w:t>
      </w:r>
      <w:bookmarkEnd w:id="2754"/>
      <w:bookmarkEnd w:id="2755"/>
    </w:p>
    <w:p w14:paraId="581A5EF3" w14:textId="77777777" w:rsidR="00E93F58" w:rsidRPr="00D97EFB" w:rsidRDefault="00E93F58" w:rsidP="000A7E3B">
      <w:pPr>
        <w:pStyle w:val="subsection"/>
        <w:keepNext/>
        <w:keepLines/>
      </w:pPr>
      <w:r w:rsidRPr="00D97EFB">
        <w:tab/>
        <w:t>(1)</w:t>
      </w:r>
      <w:r w:rsidRPr="00D97EFB">
        <w:tab/>
        <w:t>For section 1444 of the Act, this regulation applies in relation to a regulated principal mentioned in item 3 of the table in section 1430 of the Act.</w:t>
      </w:r>
    </w:p>
    <w:p w14:paraId="06B976C8" w14:textId="77777777" w:rsidR="00E93F58" w:rsidRPr="00D97EFB" w:rsidRDefault="00E93F58" w:rsidP="00BB7E31">
      <w:pPr>
        <w:pStyle w:val="subsection"/>
      </w:pPr>
      <w:r w:rsidRPr="00D97EFB">
        <w:tab/>
        <w:t>(2)</w:t>
      </w:r>
      <w:r w:rsidRPr="00D97EFB">
        <w:tab/>
        <w:t>A reference in section 1224 of the old Corporations Act to a member of a futures organisation includes a participant of a licensed market for derivatives.</w:t>
      </w:r>
    </w:p>
    <w:p w14:paraId="140E9CB8" w14:textId="77777777" w:rsidR="00E93F58" w:rsidRPr="00D97EFB" w:rsidRDefault="00E93F58" w:rsidP="00BB7E31">
      <w:pPr>
        <w:pStyle w:val="subsection"/>
      </w:pPr>
      <w:r w:rsidRPr="00D97EFB">
        <w:tab/>
        <w:t>(3)</w:t>
      </w:r>
      <w:r w:rsidRPr="00D97EFB">
        <w:tab/>
        <w:t>A reference in subsection 1224(2) of the old Corporations Act to a futures organisation includes a market licensee.</w:t>
      </w:r>
    </w:p>
    <w:p w14:paraId="0F9EEBF4" w14:textId="77777777" w:rsidR="00E93F58" w:rsidRPr="00D97EFB" w:rsidRDefault="00E93F58" w:rsidP="002C3362">
      <w:pPr>
        <w:pStyle w:val="ActHead5"/>
      </w:pPr>
      <w:bookmarkStart w:id="2756" w:name="_Toc151994657"/>
      <w:bookmarkStart w:id="2757" w:name="_Toc158713167"/>
      <w:r w:rsidRPr="000D40D5">
        <w:rPr>
          <w:rStyle w:val="CharSectno"/>
        </w:rPr>
        <w:t>10.2.168</w:t>
      </w:r>
      <w:r w:rsidRPr="00D97EFB">
        <w:t xml:space="preserve">  Power of Court to restrain dealings with futures broker’s bank accounts</w:t>
      </w:r>
      <w:bookmarkEnd w:id="2756"/>
      <w:bookmarkEnd w:id="2757"/>
    </w:p>
    <w:p w14:paraId="5ECEB074" w14:textId="77777777" w:rsidR="00E93F58" w:rsidRPr="00D97EFB" w:rsidRDefault="00E93F58" w:rsidP="002C3362">
      <w:pPr>
        <w:pStyle w:val="subsection"/>
        <w:keepNext/>
        <w:keepLines/>
      </w:pPr>
      <w:r w:rsidRPr="00D97EFB">
        <w:tab/>
        <w:t>(1)</w:t>
      </w:r>
      <w:r w:rsidRPr="00D97EFB">
        <w:tab/>
        <w:t>For section 1444 of the Act, this regulation applies in relation to a regulated principal mentioned in item 3 of the table in section 1430 of the Act.</w:t>
      </w:r>
    </w:p>
    <w:p w14:paraId="3A54308D" w14:textId="77777777" w:rsidR="00E93F58" w:rsidRPr="00D97EFB" w:rsidRDefault="00E93F58" w:rsidP="00BB7E31">
      <w:pPr>
        <w:pStyle w:val="subsection"/>
      </w:pPr>
      <w:r w:rsidRPr="00D97EFB">
        <w:tab/>
        <w:t>(2)</w:t>
      </w:r>
      <w:r w:rsidRPr="00D97EFB">
        <w:tab/>
        <w:t>A reference in section 1226 of the old Corporations Act to a futures organisation includes the operator of a licensed market for derivatives.</w:t>
      </w:r>
    </w:p>
    <w:p w14:paraId="4AD765F7" w14:textId="77777777" w:rsidR="00E93F58" w:rsidRPr="00D97EFB" w:rsidRDefault="00E93F58" w:rsidP="00BB7E31">
      <w:pPr>
        <w:pStyle w:val="ActHead5"/>
      </w:pPr>
      <w:bookmarkStart w:id="2758" w:name="_Toc151994658"/>
      <w:bookmarkStart w:id="2759" w:name="_Toc158713168"/>
      <w:r w:rsidRPr="000D40D5">
        <w:rPr>
          <w:rStyle w:val="CharSectno"/>
        </w:rPr>
        <w:lastRenderedPageBreak/>
        <w:t>10.2.169</w:t>
      </w:r>
      <w:r w:rsidRPr="00D97EFB">
        <w:t xml:space="preserve">  Sequence of transmission and execution of orders</w:t>
      </w:r>
      <w:bookmarkEnd w:id="2758"/>
      <w:bookmarkEnd w:id="2759"/>
    </w:p>
    <w:p w14:paraId="446F9F47"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of the table in section 1430 of the Act.</w:t>
      </w:r>
    </w:p>
    <w:p w14:paraId="093E4BE0" w14:textId="77777777" w:rsidR="00E93F58" w:rsidRPr="00D97EFB" w:rsidRDefault="00E93F58" w:rsidP="00BB7E31">
      <w:pPr>
        <w:pStyle w:val="subsection"/>
      </w:pPr>
      <w:r w:rsidRPr="00D97EFB">
        <w:tab/>
        <w:t>(2)</w:t>
      </w:r>
      <w:r w:rsidRPr="00D97EFB">
        <w:tab/>
        <w:t>A reference in subsection 1266(1) of the old Corporations Act to a futures market includes a licensed market for derivatives.</w:t>
      </w:r>
    </w:p>
    <w:p w14:paraId="35F18520" w14:textId="77777777" w:rsidR="00E93F58" w:rsidRPr="00D97EFB" w:rsidRDefault="00E93F58" w:rsidP="00BB7E31">
      <w:pPr>
        <w:pStyle w:val="subsection"/>
      </w:pPr>
      <w:r w:rsidRPr="00D97EFB">
        <w:tab/>
        <w:t>(3)</w:t>
      </w:r>
      <w:r w:rsidRPr="00D97EFB">
        <w:tab/>
        <w:t>A reference in paragraph 1266(4)(c) of the old Corporations Act to the business rules of a futures organisation of which a futures broker is a member includes the operating rules of a licensed market for derivatives of which the broker is a participant.</w:t>
      </w:r>
    </w:p>
    <w:p w14:paraId="0D8CF1AC" w14:textId="77777777" w:rsidR="00E93F58" w:rsidRPr="00D97EFB" w:rsidRDefault="00E93F58" w:rsidP="00BB7E31">
      <w:pPr>
        <w:pStyle w:val="subsection"/>
      </w:pPr>
      <w:r w:rsidRPr="00D97EFB">
        <w:tab/>
        <w:t>(4)</w:t>
      </w:r>
      <w:r w:rsidRPr="00D97EFB">
        <w:tab/>
        <w:t>A reference in subsection 1266(5) of the old Corporations Act to a member of a futures exchange includes a participant of a licensed market for derivatives.</w:t>
      </w:r>
    </w:p>
    <w:p w14:paraId="73200D2D" w14:textId="77777777" w:rsidR="00E93F58" w:rsidRPr="00D97EFB" w:rsidRDefault="00E93F58" w:rsidP="00BB7E31">
      <w:pPr>
        <w:pStyle w:val="subsection"/>
      </w:pPr>
      <w:r w:rsidRPr="00D97EFB">
        <w:tab/>
        <w:t>(5)</w:t>
      </w:r>
      <w:r w:rsidRPr="00D97EFB">
        <w:tab/>
        <w:t>A reference in subsection 1266(5) of the old Corporations Act to a trading floor of a futures exchange includes a trading floor of a licensed market for derivatives.</w:t>
      </w:r>
    </w:p>
    <w:p w14:paraId="2FA6724E" w14:textId="77777777" w:rsidR="00E93F58" w:rsidRPr="00D97EFB" w:rsidRDefault="00E93F58" w:rsidP="00BB7E31">
      <w:pPr>
        <w:pStyle w:val="subsection"/>
      </w:pPr>
      <w:r w:rsidRPr="00D97EFB">
        <w:tab/>
        <w:t>(6)</w:t>
      </w:r>
      <w:r w:rsidRPr="00D97EFB">
        <w:tab/>
        <w:t>A reference in subsection 1266(6) of the old Corporations Act to the business rules of a futures organisation of which a broker is a member includes the operating rules of a licensed market of which the broker is a participant.</w:t>
      </w:r>
    </w:p>
    <w:p w14:paraId="1F7BF706" w14:textId="77777777" w:rsidR="00E93F58" w:rsidRPr="00D97EFB" w:rsidRDefault="00E93F58" w:rsidP="00BB7E31">
      <w:pPr>
        <w:pStyle w:val="ActHead5"/>
      </w:pPr>
      <w:bookmarkStart w:id="2760" w:name="_Toc151994659"/>
      <w:bookmarkStart w:id="2761" w:name="_Toc158713169"/>
      <w:r w:rsidRPr="000D40D5">
        <w:rPr>
          <w:rStyle w:val="CharSectno"/>
        </w:rPr>
        <w:t>10.2.170</w:t>
      </w:r>
      <w:r w:rsidRPr="00D97EFB">
        <w:t xml:space="preserve">  Dealings by employees of futures brokers and futures advisers</w:t>
      </w:r>
      <w:bookmarkEnd w:id="2760"/>
      <w:bookmarkEnd w:id="2761"/>
    </w:p>
    <w:p w14:paraId="71C06F1A"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3 or 4 of the table in section 1430 of the Act.</w:t>
      </w:r>
    </w:p>
    <w:p w14:paraId="7E73350C" w14:textId="77777777" w:rsidR="00E93F58" w:rsidRPr="00D97EFB" w:rsidRDefault="00E93F58" w:rsidP="00BB7E31">
      <w:pPr>
        <w:pStyle w:val="subsection"/>
      </w:pPr>
      <w:r w:rsidRPr="00D97EFB">
        <w:tab/>
        <w:t>(2)</w:t>
      </w:r>
      <w:r w:rsidRPr="00D97EFB">
        <w:tab/>
        <w:t>A reference in subsection 1267(7), (9) or (10) of the old Corporations Act to a futures exchange includes a licensed market for derivatives.</w:t>
      </w:r>
    </w:p>
    <w:p w14:paraId="24C71043" w14:textId="77777777" w:rsidR="00E93F58" w:rsidRPr="00D97EFB" w:rsidRDefault="00E93F58" w:rsidP="00BB7E31">
      <w:pPr>
        <w:pStyle w:val="ActHead3"/>
        <w:pageBreakBefore/>
        <w:rPr>
          <w:color w:val="000000"/>
        </w:rPr>
      </w:pPr>
      <w:bookmarkStart w:id="2762" w:name="_Toc151994660"/>
      <w:bookmarkStart w:id="2763" w:name="_Toc158713170"/>
      <w:r w:rsidRPr="000D40D5">
        <w:rPr>
          <w:rStyle w:val="CharDivNo"/>
        </w:rPr>
        <w:lastRenderedPageBreak/>
        <w:t>Division 31</w:t>
      </w:r>
      <w:r w:rsidRPr="00D97EFB">
        <w:rPr>
          <w:color w:val="000000"/>
        </w:rPr>
        <w:t>—</w:t>
      </w:r>
      <w:r w:rsidRPr="000D40D5">
        <w:rPr>
          <w:rStyle w:val="CharDivText"/>
        </w:rPr>
        <w:t>Effect on fundraising of transition to licensed markets and licensed CS facilities</w:t>
      </w:r>
      <w:bookmarkEnd w:id="2762"/>
      <w:bookmarkEnd w:id="2763"/>
    </w:p>
    <w:p w14:paraId="03C79A68" w14:textId="77777777" w:rsidR="00E93F58" w:rsidRPr="00D97EFB" w:rsidRDefault="00E93F58" w:rsidP="00BB7E31">
      <w:pPr>
        <w:pStyle w:val="ActHead5"/>
      </w:pPr>
      <w:bookmarkStart w:id="2764" w:name="_Toc151994661"/>
      <w:bookmarkStart w:id="2765" w:name="_Toc158713171"/>
      <w:r w:rsidRPr="000D40D5">
        <w:rPr>
          <w:rStyle w:val="CharSectno"/>
        </w:rPr>
        <w:t>10.2.171</w:t>
      </w:r>
      <w:r w:rsidRPr="00D97EFB">
        <w:t xml:space="preserve">  Sale offers that need disclosure</w:t>
      </w:r>
      <w:bookmarkEnd w:id="2764"/>
      <w:bookmarkEnd w:id="2765"/>
    </w:p>
    <w:p w14:paraId="1B7B46E0" w14:textId="77777777" w:rsidR="00E93F58" w:rsidRPr="00D97EFB" w:rsidRDefault="00E93F58" w:rsidP="00BB7E31">
      <w:pPr>
        <w:pStyle w:val="subsection"/>
      </w:pPr>
      <w:r w:rsidRPr="00D97EFB">
        <w:rPr>
          <w:color w:val="000000"/>
        </w:rPr>
        <w:tab/>
        <w:t>(1)</w:t>
      </w:r>
      <w:r w:rsidRPr="00D97EFB">
        <w:rPr>
          <w:color w:val="000000"/>
        </w:rPr>
        <w:tab/>
        <w:t>For section 1444 of the Act, this regulation applies in relation to a managed investment product.</w:t>
      </w:r>
    </w:p>
    <w:p w14:paraId="635AB09A" w14:textId="77777777" w:rsidR="00E93F58" w:rsidRPr="00D97EFB" w:rsidRDefault="00E93F58" w:rsidP="00BB7E31">
      <w:pPr>
        <w:pStyle w:val="subsection"/>
      </w:pPr>
      <w:r w:rsidRPr="00D97EFB">
        <w:rPr>
          <w:color w:val="000000"/>
        </w:rPr>
        <w:tab/>
        <w:t>(2)</w:t>
      </w:r>
      <w:r w:rsidRPr="00D97EFB">
        <w:rPr>
          <w:color w:val="000000"/>
        </w:rPr>
        <w:tab/>
        <w:t>A reference in subparagraph 707(2)(b)(ii) of the old Corporations Act to a stock market of a securities exchange includes a relevant financial market.</w:t>
      </w:r>
    </w:p>
    <w:p w14:paraId="2935EAC0" w14:textId="77777777" w:rsidR="00E93F58" w:rsidRPr="00D97EFB" w:rsidRDefault="00E93F58" w:rsidP="00BB7E31">
      <w:pPr>
        <w:pStyle w:val="subsection"/>
      </w:pPr>
      <w:r w:rsidRPr="00D97EFB">
        <w:tab/>
        <w:t>(3)</w:t>
      </w:r>
      <w:r w:rsidRPr="00D97EFB">
        <w:tab/>
        <w:t>A reference in subparagraph 707(5)(a)(ii) of the old Corporations Act to a stock market of a securities exchange includes a relevant financial market on which the securities mentioned in that subparagraph were quoted.</w:t>
      </w:r>
    </w:p>
    <w:p w14:paraId="147B8352" w14:textId="77777777" w:rsidR="00E93F58" w:rsidRPr="00D97EFB" w:rsidRDefault="00E93F58" w:rsidP="00BB7E31">
      <w:pPr>
        <w:pStyle w:val="ActHead5"/>
      </w:pPr>
      <w:bookmarkStart w:id="2766" w:name="_Toc151994662"/>
      <w:bookmarkStart w:id="2767" w:name="_Toc158713172"/>
      <w:r w:rsidRPr="000D40D5">
        <w:rPr>
          <w:rStyle w:val="CharSectno"/>
        </w:rPr>
        <w:t>10.2.172</w:t>
      </w:r>
      <w:r w:rsidRPr="00D97EFB">
        <w:t xml:space="preserve">  Prospectus content—specific disclosures</w:t>
      </w:r>
      <w:bookmarkEnd w:id="2766"/>
      <w:bookmarkEnd w:id="2767"/>
    </w:p>
    <w:p w14:paraId="6169A3C6" w14:textId="77777777" w:rsidR="00E93F58" w:rsidRPr="00D97EFB" w:rsidRDefault="00E93F58" w:rsidP="00BB7E31">
      <w:pPr>
        <w:pStyle w:val="subsection"/>
      </w:pPr>
      <w:r w:rsidRPr="00D97EFB">
        <w:rPr>
          <w:color w:val="000000"/>
        </w:rPr>
        <w:tab/>
        <w:t>(1)</w:t>
      </w:r>
      <w:r w:rsidRPr="00D97EFB">
        <w:rPr>
          <w:color w:val="000000"/>
        </w:rPr>
        <w:tab/>
        <w:t>For section 1444 of the Act, this regulation applies in relation to a managed investment product.</w:t>
      </w:r>
    </w:p>
    <w:p w14:paraId="2CBCCB9B" w14:textId="77777777" w:rsidR="00E93F58" w:rsidRPr="00D97EFB" w:rsidRDefault="00E93F58" w:rsidP="00BB7E31">
      <w:pPr>
        <w:pStyle w:val="subsection"/>
      </w:pPr>
      <w:r w:rsidRPr="00D97EFB">
        <w:rPr>
          <w:color w:val="000000"/>
        </w:rPr>
        <w:tab/>
        <w:t>(2)</w:t>
      </w:r>
      <w:r w:rsidRPr="00D97EFB">
        <w:rPr>
          <w:color w:val="000000"/>
        </w:rPr>
        <w:tab/>
        <w:t>A reference in subsection 711(5) of the old Corporations Act to a stock market of a securities exchange includes a financial market (whether in Australia or elsewhere).</w:t>
      </w:r>
    </w:p>
    <w:p w14:paraId="61DBC9A1" w14:textId="77777777" w:rsidR="00E93F58" w:rsidRPr="00D97EFB" w:rsidRDefault="00E93F58" w:rsidP="00BB7E31">
      <w:pPr>
        <w:pStyle w:val="subsection"/>
      </w:pPr>
      <w:r w:rsidRPr="00D97EFB">
        <w:tab/>
        <w:t>(3)</w:t>
      </w:r>
      <w:r w:rsidRPr="00D97EFB">
        <w:tab/>
        <w:t>A reference in subsection 711(5) of the old Corporations Act to a stock market includes a financial market (whether in Australia or elsewhere).</w:t>
      </w:r>
    </w:p>
    <w:p w14:paraId="47D31AE7" w14:textId="77777777" w:rsidR="00E93F58" w:rsidRPr="00D97EFB" w:rsidRDefault="00E93F58" w:rsidP="00BB7E31">
      <w:pPr>
        <w:pStyle w:val="subsection"/>
      </w:pPr>
      <w:r w:rsidRPr="00D97EFB">
        <w:tab/>
        <w:t>(4)</w:t>
      </w:r>
      <w:r w:rsidRPr="00D97EFB">
        <w:tab/>
        <w:t>A reference in subsection 711(5) of the old Corporations Act to a securities exchange includes the operator of a financial market (whether in Australia or elsewhere).</w:t>
      </w:r>
    </w:p>
    <w:p w14:paraId="08BBDB99" w14:textId="77777777" w:rsidR="00E93F58" w:rsidRPr="00D97EFB" w:rsidRDefault="00E93F58" w:rsidP="000A7E3B">
      <w:pPr>
        <w:pStyle w:val="ActHead5"/>
      </w:pPr>
      <w:bookmarkStart w:id="2768" w:name="_Toc151994663"/>
      <w:bookmarkStart w:id="2769" w:name="_Toc158713173"/>
      <w:r w:rsidRPr="000D40D5">
        <w:rPr>
          <w:rStyle w:val="CharSectno"/>
        </w:rPr>
        <w:t>10.2.173</w:t>
      </w:r>
      <w:r w:rsidRPr="00D97EFB">
        <w:t xml:space="preserve">  Issuing or transferring the securities under a disclosure document</w:t>
      </w:r>
      <w:bookmarkEnd w:id="2768"/>
      <w:bookmarkEnd w:id="2769"/>
    </w:p>
    <w:p w14:paraId="29E44198" w14:textId="77777777" w:rsidR="00E93F58" w:rsidRPr="00D97EFB" w:rsidRDefault="00E93F58" w:rsidP="000A7E3B">
      <w:pPr>
        <w:pStyle w:val="subsection"/>
        <w:keepNext/>
        <w:keepLines/>
      </w:pPr>
      <w:r w:rsidRPr="00D97EFB">
        <w:rPr>
          <w:color w:val="000000"/>
        </w:rPr>
        <w:tab/>
        <w:t>(1)</w:t>
      </w:r>
      <w:r w:rsidRPr="00D97EFB">
        <w:rPr>
          <w:color w:val="000000"/>
        </w:rPr>
        <w:tab/>
        <w:t>For section 1444 of the Act, this regulation applies in relation to a managed investment product.</w:t>
      </w:r>
    </w:p>
    <w:p w14:paraId="34B522DC" w14:textId="77777777" w:rsidR="00E93F58" w:rsidRPr="00D97EFB" w:rsidRDefault="00E93F58" w:rsidP="00BB7E31">
      <w:pPr>
        <w:pStyle w:val="subsection"/>
      </w:pPr>
      <w:r w:rsidRPr="00D97EFB">
        <w:rPr>
          <w:color w:val="000000"/>
        </w:rPr>
        <w:tab/>
        <w:t>(2)</w:t>
      </w:r>
      <w:r w:rsidRPr="00D97EFB">
        <w:rPr>
          <w:color w:val="000000"/>
        </w:rPr>
        <w:tab/>
        <w:t>A reference in subsection 723(3) of the old Corporations Act to a stock market of a securities exchange (whether in Australia or elsewhere) includes a financial market (whether in Australia or elsewhere).</w:t>
      </w:r>
    </w:p>
    <w:p w14:paraId="24072612" w14:textId="77777777" w:rsidR="00E93F58" w:rsidRPr="00D97EFB" w:rsidRDefault="00E93F58" w:rsidP="00BB7E31">
      <w:pPr>
        <w:pStyle w:val="ActHead5"/>
      </w:pPr>
      <w:bookmarkStart w:id="2770" w:name="_Toc151994664"/>
      <w:bookmarkStart w:id="2771" w:name="_Toc158713174"/>
      <w:r w:rsidRPr="000D40D5">
        <w:rPr>
          <w:rStyle w:val="CharSectno"/>
        </w:rPr>
        <w:t>10.2.174</w:t>
      </w:r>
      <w:r w:rsidRPr="00D97EFB">
        <w:t xml:space="preserve">  Choices open to person making an offer if disclosure document condition not met or disclosure document defective</w:t>
      </w:r>
      <w:bookmarkEnd w:id="2770"/>
      <w:bookmarkEnd w:id="2771"/>
    </w:p>
    <w:p w14:paraId="414C3357" w14:textId="77777777" w:rsidR="00E93F58" w:rsidRPr="00D97EFB" w:rsidRDefault="00E93F58" w:rsidP="00BB7E31">
      <w:pPr>
        <w:pStyle w:val="subsection"/>
      </w:pPr>
      <w:r w:rsidRPr="00D97EFB">
        <w:rPr>
          <w:color w:val="000000"/>
        </w:rPr>
        <w:tab/>
        <w:t>(1)</w:t>
      </w:r>
      <w:r w:rsidRPr="00D97EFB">
        <w:rPr>
          <w:color w:val="000000"/>
        </w:rPr>
        <w:tab/>
        <w:t>For section 1444 of the Act, this regulation applies in relation to a managed investment product.</w:t>
      </w:r>
    </w:p>
    <w:p w14:paraId="235A704A" w14:textId="77777777" w:rsidR="00E93F58" w:rsidRPr="00D97EFB" w:rsidRDefault="00E93F58" w:rsidP="00BB7E31">
      <w:pPr>
        <w:pStyle w:val="subsection"/>
      </w:pPr>
      <w:r w:rsidRPr="00D97EFB">
        <w:rPr>
          <w:color w:val="000000"/>
        </w:rPr>
        <w:tab/>
        <w:t>(2)</w:t>
      </w:r>
      <w:r w:rsidRPr="00D97EFB">
        <w:rPr>
          <w:color w:val="000000"/>
        </w:rPr>
        <w:tab/>
        <w:t>A reference in paragraph 724(1)(b) of the old Corporations Act to a stock market of a securities exchange (whether in Australia or elsewhere) includes a financial market (whether in Australia or elsewhere).</w:t>
      </w:r>
    </w:p>
    <w:p w14:paraId="5F929EFF" w14:textId="77777777" w:rsidR="00E93F58" w:rsidRPr="00D97EFB" w:rsidRDefault="00E93F58" w:rsidP="00BB7E31">
      <w:pPr>
        <w:pStyle w:val="ActHead5"/>
      </w:pPr>
      <w:bookmarkStart w:id="2772" w:name="_Toc151994665"/>
      <w:bookmarkStart w:id="2773" w:name="_Toc158713175"/>
      <w:r w:rsidRPr="000D40D5">
        <w:rPr>
          <w:rStyle w:val="CharSectno"/>
        </w:rPr>
        <w:t>10.2.175</w:t>
      </w:r>
      <w:r w:rsidRPr="00D97EFB">
        <w:t xml:space="preserve">  Restrictions on advertising and publicity</w:t>
      </w:r>
      <w:bookmarkEnd w:id="2772"/>
      <w:bookmarkEnd w:id="2773"/>
    </w:p>
    <w:p w14:paraId="16EA8DDB" w14:textId="77777777" w:rsidR="00E93F58" w:rsidRPr="00D97EFB" w:rsidRDefault="00E93F58" w:rsidP="00BB7E31">
      <w:pPr>
        <w:pStyle w:val="subsection"/>
      </w:pPr>
      <w:r w:rsidRPr="00D97EFB">
        <w:rPr>
          <w:color w:val="000000"/>
        </w:rPr>
        <w:tab/>
        <w:t>(1)</w:t>
      </w:r>
      <w:r w:rsidRPr="00D97EFB">
        <w:rPr>
          <w:color w:val="000000"/>
        </w:rPr>
        <w:tab/>
        <w:t>For section 1444 of the Act, this regulation applies in relation to a managed investment product.</w:t>
      </w:r>
    </w:p>
    <w:p w14:paraId="3F50CFA5" w14:textId="77777777" w:rsidR="00E93F58" w:rsidRPr="00D97EFB" w:rsidRDefault="00E93F58" w:rsidP="00BB7E31">
      <w:pPr>
        <w:pStyle w:val="subsection"/>
      </w:pPr>
      <w:r w:rsidRPr="00D97EFB">
        <w:rPr>
          <w:color w:val="000000"/>
        </w:rPr>
        <w:tab/>
        <w:t>(2)</w:t>
      </w:r>
      <w:r w:rsidRPr="00D97EFB">
        <w:rPr>
          <w:color w:val="000000"/>
        </w:rPr>
        <w:tab/>
        <w:t>A reference in paragraph 734(7)(a) of the old Corporations Act to a securities exchange includes a market operator.</w:t>
      </w:r>
    </w:p>
    <w:p w14:paraId="1A3AB28D" w14:textId="77777777" w:rsidR="00E93F58" w:rsidRPr="00D97EFB" w:rsidRDefault="00E93F58" w:rsidP="00BB7E31">
      <w:pPr>
        <w:pStyle w:val="ActHead3"/>
        <w:pageBreakBefore/>
      </w:pPr>
      <w:bookmarkStart w:id="2774" w:name="_Toc151994666"/>
      <w:bookmarkStart w:id="2775" w:name="_Toc158713176"/>
      <w:r w:rsidRPr="000D40D5">
        <w:rPr>
          <w:rStyle w:val="CharDivNo"/>
        </w:rPr>
        <w:lastRenderedPageBreak/>
        <w:t>Division 32</w:t>
      </w:r>
      <w:r w:rsidRPr="00D97EFB">
        <w:t>—</w:t>
      </w:r>
      <w:r w:rsidRPr="000D40D5">
        <w:rPr>
          <w:rStyle w:val="CharDivText"/>
        </w:rPr>
        <w:t>Effect on product disclosure of transition to licensed markets and licensed CS facilities</w:t>
      </w:r>
      <w:bookmarkEnd w:id="2774"/>
      <w:bookmarkEnd w:id="2775"/>
    </w:p>
    <w:p w14:paraId="58E09B3F" w14:textId="77777777" w:rsidR="00E93F58" w:rsidRPr="00D97EFB" w:rsidRDefault="00E93F58" w:rsidP="00BB7E31">
      <w:pPr>
        <w:pStyle w:val="ActHead5"/>
      </w:pPr>
      <w:bookmarkStart w:id="2776" w:name="_Toc151994667"/>
      <w:bookmarkStart w:id="2777" w:name="_Toc158713177"/>
      <w:r w:rsidRPr="000D40D5">
        <w:rPr>
          <w:rStyle w:val="CharSectno"/>
        </w:rPr>
        <w:t>10.2.176</w:t>
      </w:r>
      <w:r w:rsidRPr="00D97EFB">
        <w:t xml:space="preserve">  Offers that do not need disclosure</w:t>
      </w:r>
      <w:bookmarkEnd w:id="2776"/>
      <w:bookmarkEnd w:id="2777"/>
    </w:p>
    <w:p w14:paraId="3BB0996D" w14:textId="77777777" w:rsidR="00E93F58" w:rsidRPr="00D97EFB" w:rsidRDefault="00E93F58" w:rsidP="00BB7E31">
      <w:pPr>
        <w:pStyle w:val="subsection"/>
      </w:pPr>
      <w:r w:rsidRPr="00D97EFB">
        <w:tab/>
        <w:t>(1)</w:t>
      </w:r>
      <w:r w:rsidRPr="00D97EFB">
        <w:tab/>
        <w:t>For section 1444 of the Act, this regulation applies in relation to a managed investment product.</w:t>
      </w:r>
    </w:p>
    <w:p w14:paraId="00FAC6C3" w14:textId="77777777" w:rsidR="00E93F58" w:rsidRPr="00D97EFB" w:rsidRDefault="00E93F58" w:rsidP="00BB7E31">
      <w:pPr>
        <w:pStyle w:val="subsection"/>
      </w:pPr>
      <w:r w:rsidRPr="00D97EFB">
        <w:tab/>
        <w:t>(2)</w:t>
      </w:r>
      <w:r w:rsidRPr="00D97EFB">
        <w:tab/>
        <w:t>A reference in subsection 708(10) of the old Corporations Act to a licensed dealer includes a financial services licensee.</w:t>
      </w:r>
    </w:p>
    <w:p w14:paraId="2FA7EA5A" w14:textId="77777777" w:rsidR="00E93F58" w:rsidRPr="00D97EFB" w:rsidRDefault="00E93F58" w:rsidP="00BB7E31">
      <w:pPr>
        <w:pStyle w:val="subsection"/>
      </w:pPr>
      <w:r w:rsidRPr="00D97EFB">
        <w:tab/>
        <w:t>(3)</w:t>
      </w:r>
      <w:r w:rsidRPr="00D97EFB">
        <w:tab/>
        <w:t>A reference in subsection 708(11) of the old Corporations Act to:</w:t>
      </w:r>
    </w:p>
    <w:p w14:paraId="57D64B6C" w14:textId="77777777" w:rsidR="00E93F58" w:rsidRPr="00D97EFB" w:rsidRDefault="00E93F58" w:rsidP="00BB7E31">
      <w:pPr>
        <w:pStyle w:val="paragraph"/>
      </w:pPr>
      <w:r w:rsidRPr="00D97EFB">
        <w:tab/>
        <w:t>(a)</w:t>
      </w:r>
      <w:r w:rsidRPr="00D97EFB">
        <w:tab/>
        <w:t>a person who is a licensed or exempt dealer; or</w:t>
      </w:r>
    </w:p>
    <w:p w14:paraId="53185393" w14:textId="77777777" w:rsidR="00E93F58" w:rsidRPr="00D97EFB" w:rsidRDefault="00E93F58" w:rsidP="00BB7E31">
      <w:pPr>
        <w:pStyle w:val="paragraph"/>
      </w:pPr>
      <w:r w:rsidRPr="00D97EFB">
        <w:tab/>
        <w:t>(b)</w:t>
      </w:r>
      <w:r w:rsidRPr="00D97EFB">
        <w:tab/>
        <w:t>a person who is a licensed or exempt investment adviser;</w:t>
      </w:r>
    </w:p>
    <w:p w14:paraId="674B0EC2" w14:textId="77777777" w:rsidR="00E93F58" w:rsidRPr="00D97EFB" w:rsidRDefault="00E93F58" w:rsidP="00BB7E31">
      <w:pPr>
        <w:pStyle w:val="subsection2"/>
      </w:pPr>
      <w:r w:rsidRPr="00D97EFB">
        <w:t>includes a financial services licensee.</w:t>
      </w:r>
    </w:p>
    <w:p w14:paraId="458218F2" w14:textId="77777777" w:rsidR="00E93F58" w:rsidRPr="00D97EFB" w:rsidRDefault="00E93F58" w:rsidP="00BB7E31">
      <w:pPr>
        <w:pStyle w:val="ActHead5"/>
      </w:pPr>
      <w:bookmarkStart w:id="2778" w:name="_Toc151994668"/>
      <w:bookmarkStart w:id="2779" w:name="_Toc158713178"/>
      <w:r w:rsidRPr="000D40D5">
        <w:rPr>
          <w:rStyle w:val="CharSectno"/>
        </w:rPr>
        <w:t>10.2.177</w:t>
      </w:r>
      <w:r w:rsidRPr="00D97EFB">
        <w:t xml:space="preserve">  Prospectus content—general disclosure test</w:t>
      </w:r>
      <w:bookmarkEnd w:id="2778"/>
      <w:bookmarkEnd w:id="2779"/>
    </w:p>
    <w:p w14:paraId="2B03C80B" w14:textId="77777777" w:rsidR="00E93F58" w:rsidRPr="00D97EFB" w:rsidRDefault="00E93F58" w:rsidP="00BB7E31">
      <w:pPr>
        <w:pStyle w:val="subsection"/>
      </w:pPr>
      <w:r w:rsidRPr="00D97EFB">
        <w:tab/>
        <w:t>(1)</w:t>
      </w:r>
      <w:r w:rsidRPr="00D97EFB">
        <w:tab/>
        <w:t>For section 1444 of the Act, this regulation applies in relation to a managed investment product.</w:t>
      </w:r>
    </w:p>
    <w:p w14:paraId="4B1E1674" w14:textId="77777777" w:rsidR="00E93F58" w:rsidRPr="00D97EFB" w:rsidRDefault="00E93F58" w:rsidP="00BB7E31">
      <w:pPr>
        <w:pStyle w:val="subsection"/>
      </w:pPr>
      <w:r w:rsidRPr="00D97EFB">
        <w:tab/>
        <w:t>(2)</w:t>
      </w:r>
      <w:r w:rsidRPr="00D97EFB">
        <w:tab/>
        <w:t>A reference in paragraph 710(3)(e) of the old Corporations Act to a stockbroker to an issue or sale includes, in relation to a stockbroker that participates in any way in the preparation of the prospectus for the issue or sale, a person named in the prospectus as a financial services licensee that is involved in the issue or sale.</w:t>
      </w:r>
    </w:p>
    <w:p w14:paraId="5C502C6B" w14:textId="77777777" w:rsidR="00E93F58" w:rsidRPr="00D97EFB" w:rsidRDefault="00E93F58" w:rsidP="00BB7E31">
      <w:pPr>
        <w:pStyle w:val="ActHead5"/>
      </w:pPr>
      <w:bookmarkStart w:id="2780" w:name="_Toc151994669"/>
      <w:bookmarkStart w:id="2781" w:name="_Toc158713179"/>
      <w:r w:rsidRPr="000D40D5">
        <w:rPr>
          <w:rStyle w:val="CharSectno"/>
        </w:rPr>
        <w:t>10.2.178</w:t>
      </w:r>
      <w:r w:rsidRPr="00D97EFB">
        <w:t xml:space="preserve">  Prospectus content—specific disclosures</w:t>
      </w:r>
      <w:bookmarkEnd w:id="2780"/>
      <w:bookmarkEnd w:id="2781"/>
    </w:p>
    <w:p w14:paraId="0AC4DB44" w14:textId="77777777" w:rsidR="00E93F58" w:rsidRPr="00D97EFB" w:rsidRDefault="00E93F58" w:rsidP="00BB7E31">
      <w:pPr>
        <w:pStyle w:val="subsection"/>
      </w:pPr>
      <w:r w:rsidRPr="00D97EFB">
        <w:tab/>
        <w:t>(1)</w:t>
      </w:r>
      <w:r w:rsidRPr="00D97EFB">
        <w:tab/>
        <w:t>For section 1444 of the Act, this regulation applies in relation to a managed investment product.</w:t>
      </w:r>
    </w:p>
    <w:p w14:paraId="3D1C83BD" w14:textId="77777777" w:rsidR="00E93F58" w:rsidRPr="00D97EFB" w:rsidRDefault="00E93F58" w:rsidP="00BB7E31">
      <w:pPr>
        <w:pStyle w:val="subsection"/>
      </w:pPr>
      <w:r w:rsidRPr="00D97EFB">
        <w:tab/>
        <w:t>(2)</w:t>
      </w:r>
      <w:r w:rsidRPr="00D97EFB">
        <w:tab/>
        <w:t>A reference in paragraph 711(4)(e) of the old Corporations Act to a stockbroker includes a financial services licensee named in the prospectus for the issue or sale as a financial services licensee that is involved in the issue or sale.</w:t>
      </w:r>
    </w:p>
    <w:p w14:paraId="09F6C0CE" w14:textId="77777777" w:rsidR="00E93F58" w:rsidRPr="00D97EFB" w:rsidRDefault="00E93F58" w:rsidP="004E0C1C">
      <w:pPr>
        <w:pStyle w:val="ActHead5"/>
      </w:pPr>
      <w:bookmarkStart w:id="2782" w:name="_Toc151994670"/>
      <w:bookmarkStart w:id="2783" w:name="_Toc158713180"/>
      <w:r w:rsidRPr="000D40D5">
        <w:rPr>
          <w:rStyle w:val="CharSectno"/>
        </w:rPr>
        <w:t>10.2.179</w:t>
      </w:r>
      <w:r w:rsidRPr="00D97EFB">
        <w:t xml:space="preserve">  Futures broker to give certain information to prospective client</w:t>
      </w:r>
      <w:bookmarkEnd w:id="2782"/>
      <w:bookmarkEnd w:id="2783"/>
    </w:p>
    <w:p w14:paraId="5A4F5BD4" w14:textId="77777777" w:rsidR="00E93F58" w:rsidRPr="00D97EFB" w:rsidRDefault="00E93F58" w:rsidP="004E0C1C">
      <w:pPr>
        <w:pStyle w:val="subsection"/>
        <w:keepNext/>
        <w:keepLines/>
      </w:pPr>
      <w:r w:rsidRPr="00D97EFB">
        <w:tab/>
        <w:t>(1)</w:t>
      </w:r>
      <w:r w:rsidRPr="00D97EFB">
        <w:tab/>
        <w:t>For section 1444 of the Act, this regulation applies in relation to a derivative.</w:t>
      </w:r>
    </w:p>
    <w:p w14:paraId="3182A850" w14:textId="77777777" w:rsidR="00E93F58" w:rsidRPr="00D97EFB" w:rsidRDefault="00E93F58" w:rsidP="00BB7E31">
      <w:pPr>
        <w:pStyle w:val="subsection"/>
      </w:pPr>
      <w:r w:rsidRPr="00D97EFB">
        <w:tab/>
        <w:t>(2)</w:t>
      </w:r>
      <w:r w:rsidRPr="00D97EFB">
        <w:tab/>
        <w:t>A reference in subsection 1210(3) of the old Corporations Act to a futures broker includes a financial services licensee.</w:t>
      </w:r>
    </w:p>
    <w:p w14:paraId="7C7FC5CC" w14:textId="77777777" w:rsidR="00E93F58" w:rsidRPr="00D97EFB" w:rsidRDefault="00E93F58" w:rsidP="00587F09">
      <w:pPr>
        <w:pStyle w:val="ActHead3"/>
        <w:pageBreakBefore/>
      </w:pPr>
      <w:bookmarkStart w:id="2784" w:name="_Toc151994671"/>
      <w:bookmarkStart w:id="2785" w:name="_Toc158713181"/>
      <w:r w:rsidRPr="000D40D5">
        <w:rPr>
          <w:rStyle w:val="CharDivNo"/>
        </w:rPr>
        <w:lastRenderedPageBreak/>
        <w:t>Division 33</w:t>
      </w:r>
      <w:r w:rsidRPr="00D97EFB">
        <w:t>—</w:t>
      </w:r>
      <w:r w:rsidRPr="000D40D5">
        <w:rPr>
          <w:rStyle w:val="CharDivText"/>
        </w:rPr>
        <w:t>Effect on Corporations Regulations 2001 of transition of financial service providers and transition to licensed markets and licensed CS facilities</w:t>
      </w:r>
      <w:bookmarkEnd w:id="2784"/>
      <w:bookmarkEnd w:id="2785"/>
    </w:p>
    <w:p w14:paraId="4CD420EA" w14:textId="77777777" w:rsidR="00E93F58" w:rsidRPr="00D97EFB" w:rsidRDefault="00E93F58" w:rsidP="00BB7E31">
      <w:pPr>
        <w:pStyle w:val="ActHead5"/>
      </w:pPr>
      <w:bookmarkStart w:id="2786" w:name="_Toc151994672"/>
      <w:bookmarkStart w:id="2787" w:name="_Toc158713182"/>
      <w:r w:rsidRPr="000D40D5">
        <w:rPr>
          <w:rStyle w:val="CharSectno"/>
        </w:rPr>
        <w:t>10.2.180</w:t>
      </w:r>
      <w:r w:rsidRPr="00D97EFB">
        <w:t xml:space="preserve">  Licence conditions—investment advice to retail investors</w:t>
      </w:r>
      <w:bookmarkEnd w:id="2786"/>
      <w:bookmarkEnd w:id="2787"/>
    </w:p>
    <w:p w14:paraId="00FF89F4"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665BFA0E" w14:textId="77777777" w:rsidR="00E93F58" w:rsidRPr="00D97EFB" w:rsidRDefault="00E93F58" w:rsidP="00BB7E31">
      <w:pPr>
        <w:pStyle w:val="subsection"/>
      </w:pPr>
      <w:r w:rsidRPr="00D97EFB">
        <w:tab/>
        <w:t>(2)</w:t>
      </w:r>
      <w:r w:rsidRPr="00D97EFB">
        <w:tab/>
        <w:t>A reference in subregulation 7.3.02B(8) of the old Corporations Regulations to:</w:t>
      </w:r>
    </w:p>
    <w:p w14:paraId="7194CF90" w14:textId="77777777" w:rsidR="00E93F58" w:rsidRPr="00D97EFB" w:rsidRDefault="00E93F58" w:rsidP="00BB7E31">
      <w:pPr>
        <w:pStyle w:val="paragraph"/>
      </w:pPr>
      <w:r w:rsidRPr="00D97EFB">
        <w:tab/>
        <w:t>(a)</w:t>
      </w:r>
      <w:r w:rsidRPr="00D97EFB">
        <w:tab/>
        <w:t>the holder of a dealers licence; or</w:t>
      </w:r>
    </w:p>
    <w:p w14:paraId="74EBC2DE" w14:textId="77777777" w:rsidR="00E93F58" w:rsidRPr="00D97EFB" w:rsidRDefault="00E93F58" w:rsidP="00BB7E31">
      <w:pPr>
        <w:pStyle w:val="paragraph"/>
      </w:pPr>
      <w:r w:rsidRPr="00D97EFB">
        <w:tab/>
        <w:t>(b)</w:t>
      </w:r>
      <w:r w:rsidRPr="00D97EFB">
        <w:tab/>
        <w:t>the holder of an investment advisers licence;</w:t>
      </w:r>
    </w:p>
    <w:p w14:paraId="139FACB9" w14:textId="77777777" w:rsidR="00E93F58" w:rsidRPr="00D97EFB" w:rsidRDefault="00E93F58" w:rsidP="00BB7E31">
      <w:pPr>
        <w:pStyle w:val="subsection2"/>
      </w:pPr>
      <w:r w:rsidRPr="00D97EFB">
        <w:t>includes a financial services licensee.</w:t>
      </w:r>
    </w:p>
    <w:p w14:paraId="6FB1E23D" w14:textId="77777777" w:rsidR="00E93F58" w:rsidRPr="00D97EFB" w:rsidRDefault="00E93F58" w:rsidP="00BB7E31">
      <w:pPr>
        <w:pStyle w:val="ActHead5"/>
      </w:pPr>
      <w:bookmarkStart w:id="2788" w:name="_Toc151994673"/>
      <w:bookmarkStart w:id="2789" w:name="_Toc158713183"/>
      <w:r w:rsidRPr="000D40D5">
        <w:rPr>
          <w:rStyle w:val="CharSectno"/>
        </w:rPr>
        <w:t>10.2.181</w:t>
      </w:r>
      <w:r w:rsidRPr="00D97EFB">
        <w:t xml:space="preserve">  Exemption from licensing—certain dealings</w:t>
      </w:r>
      <w:bookmarkEnd w:id="2788"/>
      <w:bookmarkEnd w:id="2789"/>
    </w:p>
    <w:p w14:paraId="16411E5F" w14:textId="77777777" w:rsidR="00E93F58" w:rsidRPr="00D97EFB" w:rsidRDefault="00E93F58" w:rsidP="00BB7E31">
      <w:pPr>
        <w:pStyle w:val="subsection"/>
      </w:pPr>
      <w:r w:rsidRPr="00D97EFB">
        <w:tab/>
        <w:t>(1)</w:t>
      </w:r>
      <w:r w:rsidRPr="00D97EFB">
        <w:tab/>
        <w:t>For section 1444 of the Act, this regulation applies in relation to a regulated principal mentioned in item 5 of the table in section 1430 of the Act.</w:t>
      </w:r>
    </w:p>
    <w:p w14:paraId="5B36DEAE" w14:textId="77777777" w:rsidR="00E93F58" w:rsidRPr="00D97EFB" w:rsidRDefault="00E93F58" w:rsidP="00BB7E31">
      <w:pPr>
        <w:pStyle w:val="subsection"/>
      </w:pPr>
      <w:r w:rsidRPr="00D97EFB">
        <w:tab/>
        <w:t>(2)</w:t>
      </w:r>
      <w:r w:rsidRPr="00D97EFB">
        <w:tab/>
        <w:t xml:space="preserve">A reference in paragraph 7.3.10A(b) of the old Corporations Regulations to a life insurance broker within the meaning of the </w:t>
      </w:r>
      <w:r w:rsidRPr="00D97EFB">
        <w:rPr>
          <w:i/>
        </w:rPr>
        <w:t>Insurance (Agents and Brokers) Act 1984</w:t>
      </w:r>
      <w:r w:rsidRPr="00D97EFB">
        <w:t xml:space="preserve"> includes the regulated principal.</w:t>
      </w:r>
    </w:p>
    <w:p w14:paraId="63098D94" w14:textId="77777777" w:rsidR="00E93F58" w:rsidRPr="00D97EFB" w:rsidRDefault="00E93F58" w:rsidP="00BB7E31">
      <w:pPr>
        <w:pStyle w:val="ActHead5"/>
      </w:pPr>
      <w:bookmarkStart w:id="2790" w:name="_Toc151994674"/>
      <w:bookmarkStart w:id="2791" w:name="_Toc158713184"/>
      <w:r w:rsidRPr="000D40D5">
        <w:rPr>
          <w:rStyle w:val="CharSectno"/>
        </w:rPr>
        <w:t>10.2.182</w:t>
      </w:r>
      <w:r w:rsidRPr="00D97EFB">
        <w:t xml:space="preserve">  Exemption from licensing—managed investment schemes</w:t>
      </w:r>
      <w:bookmarkEnd w:id="2790"/>
      <w:bookmarkEnd w:id="2791"/>
    </w:p>
    <w:p w14:paraId="008954D7" w14:textId="77777777" w:rsidR="00E93F58" w:rsidRPr="00D97EFB" w:rsidRDefault="00E93F58" w:rsidP="00BB7E31">
      <w:pPr>
        <w:pStyle w:val="subsection"/>
      </w:pPr>
      <w:r w:rsidRPr="00D97EFB">
        <w:tab/>
        <w:t>(1)</w:t>
      </w:r>
      <w:r w:rsidRPr="00D97EFB">
        <w:tab/>
        <w:t>For section 1444 of the Act, this regulation applies in relation to a regulated principal that is a body corporate.</w:t>
      </w:r>
    </w:p>
    <w:p w14:paraId="2F886910" w14:textId="77777777" w:rsidR="00E93F58" w:rsidRPr="00D97EFB" w:rsidRDefault="00E93F58" w:rsidP="00BB7E31">
      <w:pPr>
        <w:pStyle w:val="subsection"/>
      </w:pPr>
      <w:r w:rsidRPr="00D97EFB">
        <w:tab/>
        <w:t>(2)</w:t>
      </w:r>
      <w:r w:rsidRPr="00D97EFB">
        <w:tab/>
        <w:t>A reference in subregulation 7.3.11(3) of the old Corporations Regulations to Chapter 6D of the Act includes Chapter 7 of the amended Corporations Act.</w:t>
      </w:r>
    </w:p>
    <w:p w14:paraId="1F33640E" w14:textId="77777777" w:rsidR="00E93F58" w:rsidRPr="00D97EFB" w:rsidRDefault="00E93F58" w:rsidP="000A7E3B">
      <w:pPr>
        <w:pStyle w:val="ActHead5"/>
      </w:pPr>
      <w:bookmarkStart w:id="2792" w:name="_Toc151994675"/>
      <w:bookmarkStart w:id="2793" w:name="_Toc158713185"/>
      <w:r w:rsidRPr="000D40D5">
        <w:rPr>
          <w:rStyle w:val="CharSectno"/>
        </w:rPr>
        <w:t>10.2.183</w:t>
      </w:r>
      <w:r w:rsidRPr="00D97EFB">
        <w:t xml:space="preserve">  Exempt dealer</w:t>
      </w:r>
      <w:bookmarkEnd w:id="2792"/>
      <w:bookmarkEnd w:id="2793"/>
    </w:p>
    <w:p w14:paraId="119238E1" w14:textId="77777777" w:rsidR="00E93F58" w:rsidRPr="00D97EFB" w:rsidRDefault="00E93F58" w:rsidP="000A7E3B">
      <w:pPr>
        <w:pStyle w:val="subsection"/>
        <w:keepNext/>
        <w:keepLines/>
      </w:pPr>
      <w:r w:rsidRPr="00D97EFB">
        <w:tab/>
        <w:t>(1)</w:t>
      </w:r>
      <w:r w:rsidRPr="00D97EFB">
        <w:tab/>
        <w:t>For section 1444 of the Act, this regulation applies in relation to a regulated principal.</w:t>
      </w:r>
    </w:p>
    <w:p w14:paraId="319CCC05" w14:textId="77777777" w:rsidR="00E93F58" w:rsidRPr="00D97EFB" w:rsidRDefault="00E93F58" w:rsidP="00BB7E31">
      <w:pPr>
        <w:pStyle w:val="subsection"/>
      </w:pPr>
      <w:r w:rsidRPr="00D97EFB">
        <w:tab/>
        <w:t>(2)</w:t>
      </w:r>
      <w:r w:rsidRPr="00D97EFB">
        <w:tab/>
        <w:t>A reference in regulation 7.4.01 of the old Corporations Regulations to a member of a securities exchange includes a participant of a licensed market.</w:t>
      </w:r>
    </w:p>
    <w:p w14:paraId="674BA774" w14:textId="77777777" w:rsidR="00E93F58" w:rsidRPr="00D97EFB" w:rsidRDefault="00E93F58" w:rsidP="00BB7E31">
      <w:pPr>
        <w:pStyle w:val="ActHead5"/>
      </w:pPr>
      <w:bookmarkStart w:id="2794" w:name="_Toc151994676"/>
      <w:bookmarkStart w:id="2795" w:name="_Toc158713186"/>
      <w:r w:rsidRPr="000D40D5">
        <w:rPr>
          <w:rStyle w:val="CharSectno"/>
        </w:rPr>
        <w:t>10.2.184</w:t>
      </w:r>
      <w:r w:rsidRPr="00D97EFB">
        <w:t xml:space="preserve">  Exempt securities and interests</w:t>
      </w:r>
      <w:bookmarkEnd w:id="2794"/>
      <w:bookmarkEnd w:id="2795"/>
    </w:p>
    <w:p w14:paraId="5C640835"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049BD38A" w14:textId="77777777" w:rsidR="00E93F58" w:rsidRPr="00D97EFB" w:rsidRDefault="00E93F58" w:rsidP="00BB7E31">
      <w:pPr>
        <w:pStyle w:val="subsection"/>
      </w:pPr>
      <w:r w:rsidRPr="00D97EFB">
        <w:tab/>
        <w:t>(2)</w:t>
      </w:r>
      <w:r w:rsidRPr="00D97EFB">
        <w:tab/>
        <w:t>A reference in regulation 7.4.02 of the old Corporations Regulations to Chapter 6D of the Act includes Chapter 7 of the amended Corporations Act.</w:t>
      </w:r>
    </w:p>
    <w:p w14:paraId="690F1964" w14:textId="77777777" w:rsidR="00E93F58" w:rsidRPr="00D97EFB" w:rsidRDefault="00E93F58" w:rsidP="00BB7E31">
      <w:pPr>
        <w:pStyle w:val="ActHead5"/>
      </w:pPr>
      <w:bookmarkStart w:id="2796" w:name="_Toc151994677"/>
      <w:bookmarkStart w:id="2797" w:name="_Toc158713187"/>
      <w:r w:rsidRPr="000D40D5">
        <w:rPr>
          <w:rStyle w:val="CharSectno"/>
        </w:rPr>
        <w:t>10.2.185</w:t>
      </w:r>
      <w:r w:rsidRPr="00D97EFB">
        <w:t xml:space="preserve">  Transactions in prescribed circumstances</w:t>
      </w:r>
      <w:bookmarkEnd w:id="2796"/>
      <w:bookmarkEnd w:id="2797"/>
    </w:p>
    <w:p w14:paraId="034DFD61"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61FE22DD" w14:textId="77777777" w:rsidR="00E93F58" w:rsidRPr="00D97EFB" w:rsidRDefault="00E93F58" w:rsidP="00BB7E31">
      <w:pPr>
        <w:pStyle w:val="subsection"/>
      </w:pPr>
      <w:r w:rsidRPr="00D97EFB">
        <w:tab/>
        <w:t>(2)</w:t>
      </w:r>
      <w:r w:rsidRPr="00D97EFB">
        <w:tab/>
        <w:t>A reference in regulation 7.4.03 of the old Corporations Regulations to a securities exchange in Australia includes a licensed market.</w:t>
      </w:r>
    </w:p>
    <w:p w14:paraId="6D8C7411" w14:textId="77777777" w:rsidR="00E93F58" w:rsidRPr="00D97EFB" w:rsidRDefault="00E93F58" w:rsidP="00BB7E31">
      <w:pPr>
        <w:pStyle w:val="subsection"/>
      </w:pPr>
      <w:r w:rsidRPr="00D97EFB">
        <w:tab/>
        <w:t>(3)</w:t>
      </w:r>
      <w:r w:rsidRPr="00D97EFB">
        <w:tab/>
        <w:t>A reference in regulation 7.4.03 of the old Corporations Regulations to persons who are members of a securities exchange in Australia includes persons who are participants of a licensed market.</w:t>
      </w:r>
    </w:p>
    <w:p w14:paraId="404DA3B7" w14:textId="77777777" w:rsidR="00E93F58" w:rsidRPr="00D97EFB" w:rsidRDefault="00E93F58" w:rsidP="00BB7E31">
      <w:pPr>
        <w:pStyle w:val="ActHead5"/>
      </w:pPr>
      <w:bookmarkStart w:id="2798" w:name="_Toc151994678"/>
      <w:bookmarkStart w:id="2799" w:name="_Toc158713188"/>
      <w:r w:rsidRPr="000D40D5">
        <w:rPr>
          <w:rStyle w:val="CharSectno"/>
        </w:rPr>
        <w:t>10.2.186</w:t>
      </w:r>
      <w:r w:rsidRPr="00D97EFB">
        <w:t xml:space="preserve">  Exempted transaction</w:t>
      </w:r>
      <w:bookmarkEnd w:id="2798"/>
      <w:bookmarkEnd w:id="2799"/>
    </w:p>
    <w:p w14:paraId="7D8E80EA"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5EF47E40" w14:textId="77777777" w:rsidR="00E93F58" w:rsidRPr="00D97EFB" w:rsidRDefault="00E93F58" w:rsidP="00BB7E31">
      <w:pPr>
        <w:pStyle w:val="subsection"/>
      </w:pPr>
      <w:r w:rsidRPr="00D97EFB">
        <w:tab/>
        <w:t>(2)</w:t>
      </w:r>
      <w:r w:rsidRPr="00D97EFB">
        <w:tab/>
        <w:t>A reference in regulation 7.4.04 of the old Corporations Regulations to Business Rules includes operating rules within the meaning of section 761A of the amended Corporations Act.</w:t>
      </w:r>
    </w:p>
    <w:p w14:paraId="649C5728" w14:textId="77777777" w:rsidR="00E93F58" w:rsidRPr="00D97EFB" w:rsidRDefault="00E93F58" w:rsidP="004E0C1C">
      <w:pPr>
        <w:pStyle w:val="ActHead5"/>
      </w:pPr>
      <w:bookmarkStart w:id="2800" w:name="_Toc151994679"/>
      <w:bookmarkStart w:id="2801" w:name="_Toc158713189"/>
      <w:r w:rsidRPr="000D40D5">
        <w:rPr>
          <w:rStyle w:val="CharSectno"/>
        </w:rPr>
        <w:lastRenderedPageBreak/>
        <w:t>10.2.187</w:t>
      </w:r>
      <w:r w:rsidRPr="00D97EFB">
        <w:t xml:space="preserve">  Charging brokerage on principal transactions</w:t>
      </w:r>
      <w:bookmarkEnd w:id="2800"/>
      <w:bookmarkEnd w:id="2801"/>
    </w:p>
    <w:p w14:paraId="5CC887AD" w14:textId="77777777" w:rsidR="00E93F58" w:rsidRPr="00D97EFB" w:rsidRDefault="00E93F58" w:rsidP="004E0C1C">
      <w:pPr>
        <w:pStyle w:val="subsection"/>
        <w:keepNext/>
        <w:keepLines/>
      </w:pPr>
      <w:r w:rsidRPr="00D97EFB">
        <w:tab/>
        <w:t>(1)</w:t>
      </w:r>
      <w:r w:rsidRPr="00D97EFB">
        <w:tab/>
        <w:t>For section 1444 of the Act, this regulation applies in relation to a regulated principal.</w:t>
      </w:r>
    </w:p>
    <w:p w14:paraId="1409D224" w14:textId="77777777" w:rsidR="00E93F58" w:rsidRPr="00D97EFB" w:rsidRDefault="00E93F58" w:rsidP="00BB7E31">
      <w:pPr>
        <w:pStyle w:val="subsection"/>
      </w:pPr>
      <w:r w:rsidRPr="00D97EFB">
        <w:tab/>
        <w:t>(2)</w:t>
      </w:r>
      <w:r w:rsidRPr="00D97EFB">
        <w:tab/>
        <w:t>A reference in subregulation 7.4.04A(1) of the old Corporations Regulations to a member of a securities exchange includes a participant of a licensed market.</w:t>
      </w:r>
    </w:p>
    <w:p w14:paraId="57CF5DD5" w14:textId="77777777" w:rsidR="00E93F58" w:rsidRPr="00D97EFB" w:rsidRDefault="00E93F58" w:rsidP="00BB7E31">
      <w:pPr>
        <w:pStyle w:val="ActHead5"/>
      </w:pPr>
      <w:bookmarkStart w:id="2802" w:name="_Toc151994680"/>
      <w:bookmarkStart w:id="2803" w:name="_Toc158713190"/>
      <w:r w:rsidRPr="000D40D5">
        <w:rPr>
          <w:rStyle w:val="CharSectno"/>
        </w:rPr>
        <w:t>10.2.188</w:t>
      </w:r>
      <w:r w:rsidRPr="00D97EFB">
        <w:t xml:space="preserve">  Exemption from subsection 844(2) of old Corporations Act</w:t>
      </w:r>
      <w:bookmarkEnd w:id="2802"/>
      <w:bookmarkEnd w:id="2803"/>
    </w:p>
    <w:p w14:paraId="494F9B68"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0E09B542" w14:textId="77777777" w:rsidR="00E93F58" w:rsidRPr="00D97EFB" w:rsidRDefault="00E93F58" w:rsidP="00BB7E31">
      <w:pPr>
        <w:pStyle w:val="subsection"/>
      </w:pPr>
      <w:r w:rsidRPr="00D97EFB">
        <w:tab/>
        <w:t>(2)</w:t>
      </w:r>
      <w:r w:rsidRPr="00D97EFB">
        <w:tab/>
        <w:t>A reference in regulation 7.4.05 of the old Corporations Regulations to a member of a stock exchange includes a participant of a licensed market.</w:t>
      </w:r>
    </w:p>
    <w:p w14:paraId="257B5B9A" w14:textId="77777777" w:rsidR="00E93F58" w:rsidRPr="00D97EFB" w:rsidRDefault="00E93F58" w:rsidP="00BB7E31">
      <w:pPr>
        <w:pStyle w:val="subsection"/>
      </w:pPr>
      <w:r w:rsidRPr="00D97EFB">
        <w:tab/>
        <w:t>(3)</w:t>
      </w:r>
      <w:r w:rsidRPr="00D97EFB">
        <w:tab/>
        <w:t>A reference in regulation 7.4.05 of the old Corporations Regulations to the business rules of a stock exchange includes the operating rules of a licensed market.</w:t>
      </w:r>
    </w:p>
    <w:p w14:paraId="0875E662" w14:textId="77777777" w:rsidR="00E93F58" w:rsidRPr="00D97EFB" w:rsidRDefault="00E93F58" w:rsidP="00BB7E31">
      <w:pPr>
        <w:pStyle w:val="ActHead5"/>
      </w:pPr>
      <w:bookmarkStart w:id="2804" w:name="_Toc151994681"/>
      <w:bookmarkStart w:id="2805" w:name="_Toc158713191"/>
      <w:r w:rsidRPr="000D40D5">
        <w:rPr>
          <w:rStyle w:val="CharSectno"/>
        </w:rPr>
        <w:t>10.2.189</w:t>
      </w:r>
      <w:r w:rsidRPr="00D97EFB">
        <w:t xml:space="preserve">  Exemption: Part 8.3 of old Corporations Act—certain futures contracts</w:t>
      </w:r>
      <w:bookmarkEnd w:id="2804"/>
      <w:bookmarkEnd w:id="2805"/>
    </w:p>
    <w:p w14:paraId="2E14035C"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50D1BE62" w14:textId="77777777" w:rsidR="00E93F58" w:rsidRPr="00D97EFB" w:rsidRDefault="00E93F58" w:rsidP="00BB7E31">
      <w:pPr>
        <w:pStyle w:val="subsection"/>
      </w:pPr>
      <w:r w:rsidRPr="00D97EFB">
        <w:tab/>
        <w:t>(2)</w:t>
      </w:r>
      <w:r w:rsidRPr="00D97EFB">
        <w:tab/>
        <w:t xml:space="preserve">A reference in paragraph (a) of the definition of </w:t>
      </w:r>
      <w:r w:rsidRPr="00D97EFB">
        <w:rPr>
          <w:b/>
          <w:i/>
        </w:rPr>
        <w:t>investment manager</w:t>
      </w:r>
      <w:r w:rsidRPr="00D97EFB">
        <w:t xml:space="preserve"> in subregulation 8.3.02(1) of the old Corporations Regulations to the holder of a dealers licence includes a financial services licensee.</w:t>
      </w:r>
    </w:p>
    <w:p w14:paraId="198186E7" w14:textId="77777777" w:rsidR="00E93F58" w:rsidRPr="00D97EFB" w:rsidRDefault="00E93F58" w:rsidP="00BB7E31">
      <w:pPr>
        <w:pStyle w:val="subsection"/>
      </w:pPr>
      <w:r w:rsidRPr="00D97EFB">
        <w:tab/>
        <w:t>(3)</w:t>
      </w:r>
      <w:r w:rsidRPr="00D97EFB">
        <w:tab/>
        <w:t>A reference in subparagraph 8.3.02(2)(c)(i) of the old Corporations Regulations to a member of a futures exchange includes a participant of a licensed market for derivatives.</w:t>
      </w:r>
    </w:p>
    <w:p w14:paraId="19210278" w14:textId="77777777" w:rsidR="00E93F58" w:rsidRPr="00D97EFB" w:rsidRDefault="00E93F58" w:rsidP="00BB7E31">
      <w:pPr>
        <w:pStyle w:val="subsection"/>
      </w:pPr>
      <w:r w:rsidRPr="00D97EFB">
        <w:tab/>
        <w:t>(4)</w:t>
      </w:r>
      <w:r w:rsidRPr="00D97EFB">
        <w:tab/>
        <w:t>A reference in subparagraph 8.3.02(2)(c)(i) of the old Corporations Regulations to the business rules of a futures exchange includes the operating rules of a licensed market for derivatives.</w:t>
      </w:r>
    </w:p>
    <w:p w14:paraId="22687210" w14:textId="77777777" w:rsidR="00E93F58" w:rsidRPr="00D97EFB" w:rsidRDefault="00E93F58" w:rsidP="00BB7E31">
      <w:pPr>
        <w:pStyle w:val="subsection"/>
      </w:pPr>
      <w:r w:rsidRPr="00D97EFB">
        <w:tab/>
        <w:t>(5)</w:t>
      </w:r>
      <w:r w:rsidRPr="00D97EFB">
        <w:tab/>
        <w:t>A reference in subparagraph 8.3.02(2)(c)(ii) of the old Corporations Regulations to a member of a futures exchange includes a participant of a licensed market for derivatives.</w:t>
      </w:r>
    </w:p>
    <w:p w14:paraId="1BEC99B2" w14:textId="77777777" w:rsidR="00E93F58" w:rsidRPr="00D97EFB" w:rsidRDefault="00E93F58" w:rsidP="00BB7E31">
      <w:pPr>
        <w:pStyle w:val="subsection"/>
      </w:pPr>
      <w:r w:rsidRPr="00D97EFB">
        <w:tab/>
        <w:t>(6)</w:t>
      </w:r>
      <w:r w:rsidRPr="00D97EFB">
        <w:tab/>
        <w:t>A reference in subparagraph 8.3.02(2)(d)(i) of the old Corporations Regulations to a dealers licence includes a financial services licence that authorises the operation of a registered scheme.</w:t>
      </w:r>
    </w:p>
    <w:p w14:paraId="5ED0F8E2" w14:textId="77777777" w:rsidR="00E93F58" w:rsidRPr="00D97EFB" w:rsidRDefault="00E93F58" w:rsidP="00BB7E31">
      <w:pPr>
        <w:pStyle w:val="ActHead5"/>
      </w:pPr>
      <w:bookmarkStart w:id="2806" w:name="_Toc151994682"/>
      <w:bookmarkStart w:id="2807" w:name="_Toc158713192"/>
      <w:r w:rsidRPr="000D40D5">
        <w:rPr>
          <w:rStyle w:val="CharSectno"/>
        </w:rPr>
        <w:t>10.2.190</w:t>
      </w:r>
      <w:r w:rsidRPr="00D97EFB">
        <w:t xml:space="preserve">  Exemption of certain transactions from subsection 1206(1) of old Corporations Act</w:t>
      </w:r>
      <w:bookmarkEnd w:id="2806"/>
      <w:bookmarkEnd w:id="2807"/>
    </w:p>
    <w:p w14:paraId="11E8F149"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307D48AD" w14:textId="77777777" w:rsidR="00E93F58" w:rsidRPr="00D97EFB" w:rsidRDefault="00E93F58" w:rsidP="00BB7E31">
      <w:pPr>
        <w:pStyle w:val="subsection"/>
      </w:pPr>
      <w:r w:rsidRPr="00D97EFB">
        <w:tab/>
        <w:t>(2)</w:t>
      </w:r>
      <w:r w:rsidRPr="00D97EFB">
        <w:tab/>
        <w:t>A reference in paragraph 8.4.01(b) of the old Corporations Regulations to a member of a clearing house of a futures exchange includes a participant of a licensed CS facility that provides its services for the clearing and settlement of transactions effected through a licensed market for derivatives.</w:t>
      </w:r>
    </w:p>
    <w:p w14:paraId="5159CF71" w14:textId="77777777" w:rsidR="00E93F58" w:rsidRPr="00D97EFB" w:rsidRDefault="00E93F58" w:rsidP="00BB7E31">
      <w:pPr>
        <w:pStyle w:val="subsection"/>
      </w:pPr>
      <w:r w:rsidRPr="00D97EFB">
        <w:tab/>
        <w:t>(3)</w:t>
      </w:r>
      <w:r w:rsidRPr="00D97EFB">
        <w:tab/>
        <w:t>A reference in regulation 8.4.01 of the old Corporations Regulations to the business rules of a futures exchange includes the operating rules of a licensed market for derivatives.</w:t>
      </w:r>
    </w:p>
    <w:p w14:paraId="7D77FD89" w14:textId="77777777" w:rsidR="00E93F58" w:rsidRPr="00D97EFB" w:rsidRDefault="00E93F58" w:rsidP="00BB7E31">
      <w:pPr>
        <w:pStyle w:val="ActHead5"/>
      </w:pPr>
      <w:bookmarkStart w:id="2808" w:name="_Toc151994683"/>
      <w:bookmarkStart w:id="2809" w:name="_Toc158713193"/>
      <w:r w:rsidRPr="000D40D5">
        <w:rPr>
          <w:rStyle w:val="CharSectno"/>
        </w:rPr>
        <w:t>10.2.191</w:t>
      </w:r>
      <w:r w:rsidRPr="00D97EFB">
        <w:t xml:space="preserve">  Exemption of certain transactions from subsection 1207(1) of the old Corporations Act</w:t>
      </w:r>
      <w:bookmarkEnd w:id="2808"/>
      <w:bookmarkEnd w:id="2809"/>
    </w:p>
    <w:p w14:paraId="7F4668A7"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4B29C07C" w14:textId="77777777" w:rsidR="00E93F58" w:rsidRPr="00D97EFB" w:rsidRDefault="00E93F58" w:rsidP="00BB7E31">
      <w:pPr>
        <w:pStyle w:val="subsection"/>
      </w:pPr>
      <w:r w:rsidRPr="00D97EFB">
        <w:tab/>
        <w:t>(2)</w:t>
      </w:r>
      <w:r w:rsidRPr="00D97EFB">
        <w:tab/>
        <w:t>A reference in regulation 8.4.03 of the old Corporations Regulations to a member of a clearing house of a futures exchange includes a participant of a licensed CS facility that provides its services for the clearing and settlement of transactions effected through a licensed market for derivatives.</w:t>
      </w:r>
    </w:p>
    <w:p w14:paraId="1BCA2B97" w14:textId="77777777" w:rsidR="00E93F58" w:rsidRPr="00D97EFB" w:rsidRDefault="00E93F58" w:rsidP="00BB7E31">
      <w:pPr>
        <w:pStyle w:val="subsection"/>
      </w:pPr>
      <w:r w:rsidRPr="00D97EFB">
        <w:tab/>
        <w:t>(3)</w:t>
      </w:r>
      <w:r w:rsidRPr="00D97EFB">
        <w:tab/>
        <w:t>A reference in paragraph 8.4.03(d) of the old Corporations Regulations to the business rules of a futures exchange includes the operating rules of a licensed market for derivatives.</w:t>
      </w:r>
    </w:p>
    <w:p w14:paraId="35F711D4" w14:textId="77777777" w:rsidR="00E93F58" w:rsidRPr="00D97EFB" w:rsidRDefault="00E93F58" w:rsidP="00BB7E31">
      <w:pPr>
        <w:pStyle w:val="ActHead5"/>
      </w:pPr>
      <w:bookmarkStart w:id="2810" w:name="_Toc151994684"/>
      <w:bookmarkStart w:id="2811" w:name="_Toc158713194"/>
      <w:r w:rsidRPr="000D40D5">
        <w:rPr>
          <w:rStyle w:val="CharSectno"/>
        </w:rPr>
        <w:t>10.2.192</w:t>
      </w:r>
      <w:r w:rsidRPr="00D97EFB">
        <w:t xml:space="preserve">  Which futures broker to comply with subsection 1207(1) of old Corporations Act in relation to certain transactions</w:t>
      </w:r>
      <w:bookmarkEnd w:id="2810"/>
      <w:bookmarkEnd w:id="2811"/>
    </w:p>
    <w:p w14:paraId="6273C0EA"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0DBCB51E" w14:textId="77777777" w:rsidR="00E93F58" w:rsidRPr="00D97EFB" w:rsidRDefault="00E93F58" w:rsidP="00BB7E31">
      <w:pPr>
        <w:pStyle w:val="subsection"/>
      </w:pPr>
      <w:r w:rsidRPr="00D97EFB">
        <w:tab/>
        <w:t>(2)</w:t>
      </w:r>
      <w:r w:rsidRPr="00D97EFB">
        <w:tab/>
        <w:t>A reference in regulation 8.4.03A of the old Corporations Regulations to a futures broker includes a financial services licensee.</w:t>
      </w:r>
    </w:p>
    <w:p w14:paraId="1B7CE6CA" w14:textId="77777777" w:rsidR="00E93F58" w:rsidRPr="00D97EFB" w:rsidRDefault="00E93F58" w:rsidP="00BB7E31">
      <w:pPr>
        <w:pStyle w:val="ActHead5"/>
      </w:pPr>
      <w:bookmarkStart w:id="2812" w:name="_Toc151994685"/>
      <w:bookmarkStart w:id="2813" w:name="_Toc158713195"/>
      <w:r w:rsidRPr="000D40D5">
        <w:rPr>
          <w:rStyle w:val="CharSectno"/>
        </w:rPr>
        <w:lastRenderedPageBreak/>
        <w:t>10.2.193</w:t>
      </w:r>
      <w:r w:rsidRPr="00D97EFB">
        <w:t xml:space="preserve">  Exemption of certain transactions from paragraphs 1207(1)(g) and (h) of old Corporations Act</w:t>
      </w:r>
      <w:bookmarkEnd w:id="2812"/>
      <w:bookmarkEnd w:id="2813"/>
    </w:p>
    <w:p w14:paraId="21AE9147"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4108059E" w14:textId="77777777" w:rsidR="00E93F58" w:rsidRPr="00D97EFB" w:rsidRDefault="00E93F58" w:rsidP="00BB7E31">
      <w:pPr>
        <w:pStyle w:val="subsection"/>
      </w:pPr>
      <w:r w:rsidRPr="00D97EFB">
        <w:tab/>
        <w:t>(2)</w:t>
      </w:r>
      <w:r w:rsidRPr="00D97EFB">
        <w:tab/>
        <w:t>A reference in paragraph 8.4.04(b) of the old Corporations Regulations to a member of a clearing house of a futures exchange includes a participant of a licensed CS facility that provides its services for the clearing and settlement of transactions effected through a licensed market for derivatives.</w:t>
      </w:r>
    </w:p>
    <w:p w14:paraId="6BCC5A68" w14:textId="77777777" w:rsidR="00E93F58" w:rsidRPr="00D97EFB" w:rsidRDefault="00E93F58" w:rsidP="00BB7E31">
      <w:pPr>
        <w:pStyle w:val="subsection"/>
      </w:pPr>
      <w:r w:rsidRPr="00D97EFB">
        <w:tab/>
        <w:t>(3)</w:t>
      </w:r>
      <w:r w:rsidRPr="00D97EFB">
        <w:tab/>
        <w:t>A reference in paragraph 8.4.04(d) of the old Corporations Regulations to the business rules of a futures exchange includes the operating rules of a licensed market for derivatives.</w:t>
      </w:r>
    </w:p>
    <w:p w14:paraId="19B54A16" w14:textId="77777777" w:rsidR="00E93F58" w:rsidRPr="00D97EFB" w:rsidRDefault="00E93F58" w:rsidP="00587F09">
      <w:pPr>
        <w:pStyle w:val="ActHead3"/>
        <w:pageBreakBefore/>
      </w:pPr>
      <w:bookmarkStart w:id="2814" w:name="_Toc151994686"/>
      <w:bookmarkStart w:id="2815" w:name="_Toc158713196"/>
      <w:r w:rsidRPr="000D40D5">
        <w:rPr>
          <w:rStyle w:val="CharDivNo"/>
        </w:rPr>
        <w:lastRenderedPageBreak/>
        <w:t>Division 34</w:t>
      </w:r>
      <w:r w:rsidRPr="00D97EFB">
        <w:t>—</w:t>
      </w:r>
      <w:r w:rsidRPr="000D40D5">
        <w:rPr>
          <w:rStyle w:val="CharDivText"/>
        </w:rPr>
        <w:t>Effect on certain instruments of transition of financial service providers and transition to licensed markets and licensed CS facilities</w:t>
      </w:r>
      <w:bookmarkEnd w:id="2814"/>
      <w:bookmarkEnd w:id="2815"/>
    </w:p>
    <w:p w14:paraId="5AE7DCAC" w14:textId="77777777" w:rsidR="00E93F58" w:rsidRPr="00D97EFB" w:rsidRDefault="00E93F58" w:rsidP="00BB7E31">
      <w:pPr>
        <w:pStyle w:val="ActHead5"/>
      </w:pPr>
      <w:bookmarkStart w:id="2816" w:name="_Toc151994687"/>
      <w:bookmarkStart w:id="2817" w:name="_Toc158713197"/>
      <w:r w:rsidRPr="000D40D5">
        <w:rPr>
          <w:rStyle w:val="CharSectno"/>
        </w:rPr>
        <w:t>10.2.194</w:t>
      </w:r>
      <w:r w:rsidRPr="00D97EFB">
        <w:t xml:space="preserve">  References to certain matters</w:t>
      </w:r>
      <w:bookmarkEnd w:id="2816"/>
      <w:bookmarkEnd w:id="2817"/>
    </w:p>
    <w:p w14:paraId="0C09928C" w14:textId="77777777" w:rsidR="00E93F58" w:rsidRPr="00D97EFB" w:rsidRDefault="00E93F58" w:rsidP="00BB7E31">
      <w:pPr>
        <w:pStyle w:val="subsection"/>
      </w:pPr>
      <w:r w:rsidRPr="00D97EFB">
        <w:tab/>
        <w:t>(1)</w:t>
      </w:r>
      <w:r w:rsidRPr="00D97EFB">
        <w:tab/>
        <w:t>For section 1444 of the Act, this regulation applies in relation to:</w:t>
      </w:r>
    </w:p>
    <w:p w14:paraId="6647B317" w14:textId="77777777" w:rsidR="00E93F58" w:rsidRPr="00D97EFB" w:rsidRDefault="00E93F58" w:rsidP="00BB7E31">
      <w:pPr>
        <w:pStyle w:val="paragraph"/>
      </w:pPr>
      <w:r w:rsidRPr="00D97EFB">
        <w:tab/>
        <w:t>(a)</w:t>
      </w:r>
      <w:r w:rsidRPr="00D97EFB">
        <w:tab/>
        <w:t>a regulated principal; and</w:t>
      </w:r>
    </w:p>
    <w:p w14:paraId="67AE55F7" w14:textId="77777777" w:rsidR="00E93F58" w:rsidRPr="00D97EFB" w:rsidRDefault="00E93F58" w:rsidP="00BB7E31">
      <w:pPr>
        <w:pStyle w:val="paragraph"/>
      </w:pPr>
      <w:r w:rsidRPr="00D97EFB">
        <w:tab/>
        <w:t>(b)</w:t>
      </w:r>
      <w:r w:rsidRPr="00D97EFB">
        <w:tab/>
        <w:t>the following instruments:</w:t>
      </w:r>
    </w:p>
    <w:p w14:paraId="2624D20E" w14:textId="77777777" w:rsidR="00E93F58" w:rsidRPr="00D97EFB" w:rsidRDefault="00E93F58" w:rsidP="00BB7E31">
      <w:pPr>
        <w:pStyle w:val="paragraphsub"/>
      </w:pPr>
      <w:r w:rsidRPr="00D97EFB">
        <w:tab/>
        <w:t>(i)</w:t>
      </w:r>
      <w:r w:rsidRPr="00D97EFB">
        <w:tab/>
        <w:t>an approval of a stock market under subsection 770A(2) of the old Corporations Act;</w:t>
      </w:r>
    </w:p>
    <w:p w14:paraId="6D9B1715" w14:textId="77777777" w:rsidR="00E93F58" w:rsidRPr="00D97EFB" w:rsidRDefault="00E93F58" w:rsidP="00BB7E31">
      <w:pPr>
        <w:pStyle w:val="paragraphsub"/>
      </w:pPr>
      <w:r w:rsidRPr="00D97EFB">
        <w:tab/>
        <w:t>(ii)</w:t>
      </w:r>
      <w:r w:rsidRPr="00D97EFB">
        <w:tab/>
        <w:t>a declaration of an exempt stock market under subsection 771(1) of the old Corporations Act;</w:t>
      </w:r>
    </w:p>
    <w:p w14:paraId="71D18314" w14:textId="77777777" w:rsidR="00E93F58" w:rsidRPr="00D97EFB" w:rsidRDefault="00E93F58" w:rsidP="00BB7E31">
      <w:pPr>
        <w:pStyle w:val="paragraphsub"/>
      </w:pPr>
      <w:r w:rsidRPr="00D97EFB">
        <w:tab/>
        <w:t>(iii)</w:t>
      </w:r>
      <w:r w:rsidRPr="00D97EFB">
        <w:tab/>
        <w:t>a declaration of an exempt futures market under subsection 1127(1) of the old Corporations Act.</w:t>
      </w:r>
    </w:p>
    <w:p w14:paraId="0D9E7940" w14:textId="77777777" w:rsidR="00E93F58" w:rsidRPr="00D97EFB" w:rsidRDefault="00E93F58" w:rsidP="00BB7E31">
      <w:pPr>
        <w:pStyle w:val="subsection"/>
      </w:pPr>
      <w:r w:rsidRPr="00D97EFB">
        <w:tab/>
        <w:t>(2)</w:t>
      </w:r>
      <w:r w:rsidRPr="00D97EFB">
        <w:tab/>
        <w:t>A reference in an instrument to a securities dealer’s licence includes a Australian financial service licence that authorises the holder to deal in securities.</w:t>
      </w:r>
    </w:p>
    <w:p w14:paraId="139E3DC8" w14:textId="77777777" w:rsidR="00E93F58" w:rsidRPr="00D97EFB" w:rsidRDefault="00E93F58" w:rsidP="00BB7E31">
      <w:pPr>
        <w:pStyle w:val="subsection"/>
      </w:pPr>
      <w:r w:rsidRPr="00D97EFB">
        <w:tab/>
        <w:t>(3)</w:t>
      </w:r>
      <w:r w:rsidRPr="00D97EFB">
        <w:tab/>
        <w:t>A reference in an instrument to the business rules of a securities exchange or a stock exchange includes the operating rules of a licensed market for securities.</w:t>
      </w:r>
    </w:p>
    <w:p w14:paraId="38B4D79B" w14:textId="77777777" w:rsidR="00E93F58" w:rsidRPr="00D97EFB" w:rsidRDefault="00E93F58" w:rsidP="00BB7E31">
      <w:pPr>
        <w:pStyle w:val="subsection"/>
      </w:pPr>
      <w:r w:rsidRPr="00D97EFB">
        <w:tab/>
        <w:t>(4)</w:t>
      </w:r>
      <w:r w:rsidRPr="00D97EFB">
        <w:tab/>
        <w:t>A reference in an instrument to a person who is not a retail investor within the meaning of subregulation 7.3.02B(8) of the old Corporations Regulations includes a professional investor within the meaning of section 9 of the Act.</w:t>
      </w:r>
    </w:p>
    <w:p w14:paraId="0CC026C2" w14:textId="77777777" w:rsidR="00E93F58" w:rsidRPr="00D97EFB" w:rsidRDefault="00E93F58" w:rsidP="00BB7E31">
      <w:pPr>
        <w:pStyle w:val="subsection"/>
      </w:pPr>
      <w:r w:rsidRPr="00D97EFB">
        <w:tab/>
        <w:t>(5)</w:t>
      </w:r>
      <w:r w:rsidRPr="00D97EFB">
        <w:tab/>
        <w:t>A reference in an instrument to:</w:t>
      </w:r>
    </w:p>
    <w:p w14:paraId="429BA4F6" w14:textId="77777777" w:rsidR="00E93F58" w:rsidRPr="00D97EFB" w:rsidRDefault="00E93F58" w:rsidP="00BB7E31">
      <w:pPr>
        <w:pStyle w:val="paragraph"/>
      </w:pPr>
      <w:r w:rsidRPr="00D97EFB">
        <w:tab/>
        <w:t>(a)</w:t>
      </w:r>
      <w:r w:rsidRPr="00D97EFB">
        <w:tab/>
        <w:t>a prospectus; or</w:t>
      </w:r>
    </w:p>
    <w:p w14:paraId="68144BF4" w14:textId="77777777" w:rsidR="00E93F58" w:rsidRPr="00D97EFB" w:rsidRDefault="00E93F58" w:rsidP="00BB7E31">
      <w:pPr>
        <w:pStyle w:val="paragraph"/>
      </w:pPr>
      <w:r w:rsidRPr="00D97EFB">
        <w:tab/>
        <w:t>(b)</w:t>
      </w:r>
      <w:r w:rsidRPr="00D97EFB">
        <w:tab/>
        <w:t>a replacement prospectus;</w:t>
      </w:r>
    </w:p>
    <w:p w14:paraId="6DB2C0A1" w14:textId="77777777" w:rsidR="00E93F58" w:rsidRPr="00D97EFB" w:rsidRDefault="00E93F58" w:rsidP="00BB7E31">
      <w:pPr>
        <w:pStyle w:val="subsection2"/>
      </w:pPr>
      <w:r w:rsidRPr="00D97EFB">
        <w:t>includes a Product Disclosure Statement.</w:t>
      </w:r>
    </w:p>
    <w:p w14:paraId="7D94DD64" w14:textId="77777777" w:rsidR="00E93F58" w:rsidRPr="00D97EFB" w:rsidRDefault="00E93F58" w:rsidP="00BB7E31">
      <w:pPr>
        <w:pStyle w:val="subsection"/>
      </w:pPr>
      <w:r w:rsidRPr="00D97EFB">
        <w:tab/>
        <w:t>(6)</w:t>
      </w:r>
      <w:r w:rsidRPr="00D97EFB">
        <w:tab/>
        <w:t>A reference in an instrument to a supplementary prospectus includes a supplementary Product Disclosure Statement.</w:t>
      </w:r>
    </w:p>
    <w:p w14:paraId="52FE3DBD" w14:textId="77777777" w:rsidR="00E93F58" w:rsidRPr="00D97EFB" w:rsidRDefault="00E93F58" w:rsidP="00BB7E31">
      <w:pPr>
        <w:pStyle w:val="subsection"/>
      </w:pPr>
      <w:r w:rsidRPr="00D97EFB">
        <w:tab/>
        <w:t>(7)</w:t>
      </w:r>
      <w:r w:rsidRPr="00D97EFB">
        <w:tab/>
        <w:t>A reference in an instrument to the Commission includes ASIC.</w:t>
      </w:r>
    </w:p>
    <w:p w14:paraId="7E935199" w14:textId="77777777" w:rsidR="00E93F58" w:rsidRPr="00D97EFB" w:rsidRDefault="00E93F58" w:rsidP="00BB7E31">
      <w:pPr>
        <w:pStyle w:val="subsection"/>
      </w:pPr>
      <w:r w:rsidRPr="00D97EFB">
        <w:tab/>
        <w:t>(8)</w:t>
      </w:r>
      <w:r w:rsidRPr="00D97EFB">
        <w:tab/>
        <w:t>A reference in an instrument to the ASC includes ASIC.</w:t>
      </w:r>
    </w:p>
    <w:p w14:paraId="74AE67E5" w14:textId="77777777" w:rsidR="00E93F58" w:rsidRPr="00D97EFB" w:rsidRDefault="00E93F58" w:rsidP="00BB7E31">
      <w:pPr>
        <w:pStyle w:val="subsection"/>
      </w:pPr>
      <w:r w:rsidRPr="00D97EFB">
        <w:tab/>
        <w:t>(9)</w:t>
      </w:r>
      <w:r w:rsidRPr="00D97EFB">
        <w:tab/>
        <w:t>A reference in an instrument to a futures brokers licence includes an Australian financial services licence that authorises the holder to deal in derivatives.</w:t>
      </w:r>
    </w:p>
    <w:p w14:paraId="61D4AC35" w14:textId="77777777" w:rsidR="00E93F58" w:rsidRPr="00D97EFB" w:rsidRDefault="00E93F58" w:rsidP="00BB7E31">
      <w:pPr>
        <w:pStyle w:val="subsection"/>
      </w:pPr>
      <w:r w:rsidRPr="00D97EFB">
        <w:tab/>
        <w:t>(10)</w:t>
      </w:r>
      <w:r w:rsidRPr="00D97EFB">
        <w:tab/>
        <w:t>A reference in an instrument to a futures licensee includes a person who holds an Australian financial services licence that authorises the holder to deal in derivatives.</w:t>
      </w:r>
    </w:p>
    <w:p w14:paraId="36DF5C60" w14:textId="77777777" w:rsidR="00E93F58" w:rsidRPr="00D97EFB" w:rsidRDefault="00E93F58" w:rsidP="00BB7E31">
      <w:pPr>
        <w:pStyle w:val="subsection"/>
      </w:pPr>
      <w:r w:rsidRPr="00D97EFB">
        <w:tab/>
        <w:t>(11)</w:t>
      </w:r>
      <w:r w:rsidRPr="00D97EFB">
        <w:tab/>
        <w:t>A reference in an instrument to Division 2 of Part 4.1 of the old Corporations Act includes Division 2 of Part 5B.2 of the Act.</w:t>
      </w:r>
    </w:p>
    <w:p w14:paraId="31E790AA" w14:textId="77777777" w:rsidR="00E93F58" w:rsidRPr="00D97EFB" w:rsidRDefault="00E93F58" w:rsidP="00BB7E31">
      <w:pPr>
        <w:pStyle w:val="subsection"/>
      </w:pPr>
      <w:r w:rsidRPr="00D97EFB">
        <w:tab/>
        <w:t>(12)</w:t>
      </w:r>
      <w:r w:rsidRPr="00D97EFB">
        <w:tab/>
        <w:t>A reference in an instrument to section 345 of the old Corporations Act includes section 601CF of the Act.</w:t>
      </w:r>
    </w:p>
    <w:p w14:paraId="1BA58FAB" w14:textId="77777777" w:rsidR="00E93F58" w:rsidRPr="00D97EFB" w:rsidRDefault="00E93F58" w:rsidP="00BB7E31">
      <w:pPr>
        <w:pStyle w:val="subsection"/>
      </w:pPr>
      <w:r w:rsidRPr="00D97EFB">
        <w:tab/>
        <w:t>(13)</w:t>
      </w:r>
      <w:r w:rsidRPr="00D97EFB">
        <w:tab/>
        <w:t>A reference in an instrument to a clearing house includes a licensed clearing and settlement facility.</w:t>
      </w:r>
    </w:p>
    <w:p w14:paraId="398558A8" w14:textId="77777777" w:rsidR="00E93F58" w:rsidRPr="00D97EFB" w:rsidRDefault="00E93F58" w:rsidP="00BB7E31">
      <w:pPr>
        <w:pStyle w:val="subsection"/>
      </w:pPr>
      <w:r w:rsidRPr="00D97EFB">
        <w:tab/>
        <w:t>(14)</w:t>
      </w:r>
      <w:r w:rsidRPr="00D97EFB">
        <w:tab/>
        <w:t>A reference in an instrument to an approved futures exchange includes a licensed market operated by:</w:t>
      </w:r>
    </w:p>
    <w:p w14:paraId="4BA6EE16" w14:textId="77777777" w:rsidR="00E93F58" w:rsidRPr="00D97EFB" w:rsidRDefault="00E93F58" w:rsidP="00BB7E31">
      <w:pPr>
        <w:pStyle w:val="paragraph"/>
      </w:pPr>
      <w:r w:rsidRPr="00D97EFB">
        <w:tab/>
        <w:t>(a)</w:t>
      </w:r>
      <w:r w:rsidRPr="00D97EFB">
        <w:tab/>
        <w:t>Sydney Futures Exchange Limited; or</w:t>
      </w:r>
    </w:p>
    <w:p w14:paraId="5E089FA7" w14:textId="77777777" w:rsidR="00E93F58" w:rsidRPr="00D97EFB" w:rsidRDefault="00E93F58" w:rsidP="00BB7E31">
      <w:pPr>
        <w:pStyle w:val="paragraph"/>
      </w:pPr>
      <w:r w:rsidRPr="00D97EFB">
        <w:tab/>
        <w:t>(b)</w:t>
      </w:r>
      <w:r w:rsidRPr="00D97EFB">
        <w:tab/>
        <w:t>SFE Corporation Limited; or</w:t>
      </w:r>
    </w:p>
    <w:p w14:paraId="0BE1A575" w14:textId="77777777" w:rsidR="00E93F58" w:rsidRPr="00D97EFB" w:rsidRDefault="00E93F58" w:rsidP="00BB7E31">
      <w:pPr>
        <w:pStyle w:val="paragraph"/>
      </w:pPr>
      <w:r w:rsidRPr="00D97EFB">
        <w:tab/>
        <w:t>(c)</w:t>
      </w:r>
      <w:r w:rsidRPr="00D97EFB">
        <w:tab/>
        <w:t>ASX Futures Exchange Pty Limited.</w:t>
      </w:r>
    </w:p>
    <w:p w14:paraId="6A954089" w14:textId="77777777" w:rsidR="00E93F58" w:rsidRPr="00D97EFB" w:rsidRDefault="00E93F58" w:rsidP="00BB7E31">
      <w:pPr>
        <w:pStyle w:val="subsection"/>
      </w:pPr>
      <w:r w:rsidRPr="00D97EFB">
        <w:tab/>
        <w:t>(15)</w:t>
      </w:r>
      <w:r w:rsidRPr="00D97EFB">
        <w:tab/>
        <w:t>A reference in an instrument to a recognised futures exchange includes a recognised futures exchange mentioned in Schedule 11 to the old Corporations Regulations.</w:t>
      </w:r>
    </w:p>
    <w:p w14:paraId="7AD9A919" w14:textId="77777777" w:rsidR="00E93F58" w:rsidRPr="00D97EFB" w:rsidRDefault="00E93F58" w:rsidP="00BB7E31">
      <w:pPr>
        <w:pStyle w:val="subsection"/>
      </w:pPr>
      <w:r w:rsidRPr="00D97EFB">
        <w:tab/>
        <w:t>(16)</w:t>
      </w:r>
      <w:r w:rsidRPr="00D97EFB">
        <w:tab/>
        <w:t>A reference in an instrument to a futures market of any exchange includes a financial market in relation to derivatives operated by a market licensee.</w:t>
      </w:r>
    </w:p>
    <w:p w14:paraId="0B39226A" w14:textId="77777777" w:rsidR="00E93F58" w:rsidRPr="00D97EFB" w:rsidRDefault="00E93F58" w:rsidP="00BB7E31">
      <w:pPr>
        <w:pStyle w:val="ActHead3"/>
        <w:pageBreakBefore/>
      </w:pPr>
      <w:bookmarkStart w:id="2818" w:name="_Toc151994688"/>
      <w:bookmarkStart w:id="2819" w:name="_Toc158713198"/>
      <w:r w:rsidRPr="000D40D5">
        <w:rPr>
          <w:rStyle w:val="CharDivNo"/>
        </w:rPr>
        <w:lastRenderedPageBreak/>
        <w:t>Division 35</w:t>
      </w:r>
      <w:r w:rsidRPr="00D97EFB">
        <w:t>—</w:t>
      </w:r>
      <w:r w:rsidRPr="000D40D5">
        <w:rPr>
          <w:rStyle w:val="CharDivText"/>
        </w:rPr>
        <w:t>Streamlined licensing</w:t>
      </w:r>
      <w:bookmarkEnd w:id="2818"/>
      <w:bookmarkEnd w:id="2819"/>
    </w:p>
    <w:p w14:paraId="29E9F993" w14:textId="77777777" w:rsidR="00E93F58" w:rsidRPr="00D97EFB" w:rsidRDefault="00E93F58" w:rsidP="00BB7E31">
      <w:pPr>
        <w:pStyle w:val="ActHead5"/>
      </w:pPr>
      <w:bookmarkStart w:id="2820" w:name="_Toc151994689"/>
      <w:bookmarkStart w:id="2821" w:name="_Toc158713199"/>
      <w:r w:rsidRPr="000D40D5">
        <w:rPr>
          <w:rStyle w:val="CharSectno"/>
        </w:rPr>
        <w:t>10.2.195</w:t>
      </w:r>
      <w:r w:rsidRPr="00D97EFB">
        <w:t xml:space="preserve">  Suspension or cancellation of streamlined licence</w:t>
      </w:r>
      <w:bookmarkEnd w:id="2820"/>
      <w:bookmarkEnd w:id="2821"/>
    </w:p>
    <w:p w14:paraId="101857AB" w14:textId="77777777" w:rsidR="00E93F58" w:rsidRPr="00D97EFB" w:rsidRDefault="00E93F58" w:rsidP="00BB7E31">
      <w:pPr>
        <w:pStyle w:val="subsection"/>
      </w:pPr>
      <w:r w:rsidRPr="00D97EFB">
        <w:tab/>
        <w:t>(1)</w:t>
      </w:r>
      <w:r w:rsidRPr="00D97EFB">
        <w:tab/>
        <w:t>For section 1444 of the Act, this regulation applies in relation to a financial services licensee to which the streamlined licensing procedure in section 1433 of the Act applied when the licensee’s Australian financial services licensee was granted.</w:t>
      </w:r>
    </w:p>
    <w:p w14:paraId="10E7F7BE" w14:textId="77777777" w:rsidR="00E93F58" w:rsidRPr="00D97EFB" w:rsidRDefault="00E93F58" w:rsidP="00BB7E31">
      <w:pPr>
        <w:pStyle w:val="subsection"/>
      </w:pPr>
      <w:r w:rsidRPr="00D97EFB">
        <w:tab/>
        <w:t>(2)</w:t>
      </w:r>
      <w:r w:rsidRPr="00D97EFB">
        <w:tab/>
        <w:t>If the financial services licensee is an individual, paragraph 915C(1)(b) of the Act applies to the financial services licensee:</w:t>
      </w:r>
    </w:p>
    <w:p w14:paraId="2E17E57A" w14:textId="77777777" w:rsidR="00E93F58" w:rsidRPr="00D97EFB" w:rsidRDefault="00E93F58" w:rsidP="00BB7E31">
      <w:pPr>
        <w:pStyle w:val="paragraph"/>
      </w:pPr>
      <w:r w:rsidRPr="00D97EFB">
        <w:tab/>
        <w:t>(a)</w:t>
      </w:r>
      <w:r w:rsidRPr="00D97EFB">
        <w:tab/>
        <w:t>as if ASIC had been satisfied in the terms of subsection 913B(2) of the Act (dealing with whether the financial services licensee is of good fame and character) when the Australian financial services licence was granted; and</w:t>
      </w:r>
    </w:p>
    <w:p w14:paraId="65CB4EA9" w14:textId="77777777" w:rsidR="00E93F58" w:rsidRPr="00D97EFB" w:rsidRDefault="00E93F58" w:rsidP="00BB7E31">
      <w:pPr>
        <w:pStyle w:val="paragraph"/>
      </w:pPr>
      <w:r w:rsidRPr="00D97EFB">
        <w:tab/>
        <w:t>(b)</w:t>
      </w:r>
      <w:r w:rsidRPr="00D97EFB">
        <w:tab/>
        <w:t>to the extent necessary to allow ASIC to consider whether there is no reason to believe that the financial services licensee is not of good fame or character.</w:t>
      </w:r>
    </w:p>
    <w:p w14:paraId="4395A553" w14:textId="77777777" w:rsidR="00E93F58" w:rsidRPr="00D97EFB" w:rsidRDefault="00E93F58" w:rsidP="00BB7E31">
      <w:pPr>
        <w:pStyle w:val="subsection"/>
      </w:pPr>
      <w:r w:rsidRPr="00D97EFB">
        <w:tab/>
        <w:t>(3)</w:t>
      </w:r>
      <w:r w:rsidRPr="00D97EFB">
        <w:tab/>
        <w:t>If the financial services licensee is not an individual, paragraph 915C(1)(b) of the Act applies to the financial services licensee:</w:t>
      </w:r>
    </w:p>
    <w:p w14:paraId="5EF44BA0" w14:textId="77777777" w:rsidR="00E93F58" w:rsidRPr="00D97EFB" w:rsidRDefault="00E93F58" w:rsidP="00BB7E31">
      <w:pPr>
        <w:pStyle w:val="paragraph"/>
      </w:pPr>
      <w:r w:rsidRPr="00D97EFB">
        <w:tab/>
        <w:t>(a)</w:t>
      </w:r>
      <w:r w:rsidRPr="00D97EFB">
        <w:tab/>
        <w:t>as if ASIC had been satisfied in the terms of subsection 913B(3) of the Act (dealing with whether the financial services licensee or its representatives are of good fame and character) when the Australian financial services licence was granted; and</w:t>
      </w:r>
    </w:p>
    <w:p w14:paraId="5D06173C" w14:textId="77777777" w:rsidR="00E93F58" w:rsidRPr="00D97EFB" w:rsidRDefault="00E93F58" w:rsidP="00BB7E31">
      <w:pPr>
        <w:pStyle w:val="paragraph"/>
      </w:pPr>
      <w:r w:rsidRPr="00D97EFB">
        <w:tab/>
        <w:t>(b)</w:t>
      </w:r>
      <w:r w:rsidRPr="00D97EFB">
        <w:tab/>
        <w:t>to the extent necessary to allow ASIC to consider whether there is no reason to believe that the financial services licensee or its representatives are not of good fame or character.</w:t>
      </w:r>
    </w:p>
    <w:p w14:paraId="4DB63808" w14:textId="77777777" w:rsidR="00E93F58" w:rsidRPr="00D97EFB" w:rsidRDefault="00E93F58" w:rsidP="00BB7E31">
      <w:pPr>
        <w:pStyle w:val="ActHead3"/>
        <w:pageBreakBefore/>
      </w:pPr>
      <w:bookmarkStart w:id="2822" w:name="_Toc151994690"/>
      <w:bookmarkStart w:id="2823" w:name="_Toc158713200"/>
      <w:r w:rsidRPr="000D40D5">
        <w:rPr>
          <w:rStyle w:val="CharDivNo"/>
        </w:rPr>
        <w:lastRenderedPageBreak/>
        <w:t>Division 36</w:t>
      </w:r>
      <w:r w:rsidRPr="00D97EFB">
        <w:t>—</w:t>
      </w:r>
      <w:r w:rsidRPr="000D40D5">
        <w:rPr>
          <w:rStyle w:val="CharDivText"/>
        </w:rPr>
        <w:t>Insurance multi</w:t>
      </w:r>
      <w:r w:rsidRPr="000D40D5">
        <w:rPr>
          <w:rStyle w:val="CharDivText"/>
        </w:rPr>
        <w:noBreakHyphen/>
        <w:t>agents</w:t>
      </w:r>
      <w:bookmarkEnd w:id="2822"/>
      <w:bookmarkEnd w:id="2823"/>
    </w:p>
    <w:p w14:paraId="62905F93" w14:textId="77777777" w:rsidR="00E93F58" w:rsidRPr="00D97EFB" w:rsidRDefault="00E93F58" w:rsidP="00BB7E31">
      <w:pPr>
        <w:pStyle w:val="ActHead5"/>
      </w:pPr>
      <w:bookmarkStart w:id="2824" w:name="_Toc151994691"/>
      <w:bookmarkStart w:id="2825" w:name="_Toc158713201"/>
      <w:r w:rsidRPr="000D40D5">
        <w:rPr>
          <w:rStyle w:val="CharSectno"/>
        </w:rPr>
        <w:t>10.2.196</w:t>
      </w:r>
      <w:r w:rsidRPr="00D97EFB">
        <w:t xml:space="preserve">  Application by holder of qualified licence</w:t>
      </w:r>
      <w:bookmarkEnd w:id="2824"/>
      <w:bookmarkEnd w:id="2825"/>
    </w:p>
    <w:p w14:paraId="57AF6DFB" w14:textId="77777777" w:rsidR="00E93F58" w:rsidRPr="00D97EFB" w:rsidRDefault="00E93F58" w:rsidP="00BB7E31">
      <w:pPr>
        <w:pStyle w:val="subsection"/>
      </w:pPr>
      <w:r w:rsidRPr="00D97EFB">
        <w:tab/>
        <w:t>(1)</w:t>
      </w:r>
      <w:r w:rsidRPr="00D97EFB">
        <w:tab/>
        <w:t>For section 1444 of the Act, this regulation applies in relation to a person if:</w:t>
      </w:r>
    </w:p>
    <w:p w14:paraId="001B1F63" w14:textId="77777777" w:rsidR="00E93F58" w:rsidRPr="00D97EFB" w:rsidRDefault="00E93F58" w:rsidP="00BB7E31">
      <w:pPr>
        <w:pStyle w:val="paragraph"/>
      </w:pPr>
      <w:r w:rsidRPr="00D97EFB">
        <w:tab/>
        <w:t>(a)</w:t>
      </w:r>
      <w:r w:rsidRPr="00D97EFB">
        <w:tab/>
        <w:t>the person is an insurance multi</w:t>
      </w:r>
      <w:r>
        <w:noBreakHyphen/>
      </w:r>
      <w:r w:rsidRPr="00D97EFB">
        <w:t>agent within the meaning of section 1434 of the Act; and</w:t>
      </w:r>
    </w:p>
    <w:p w14:paraId="2B8FCD57" w14:textId="77777777" w:rsidR="00E93F58" w:rsidRPr="00D97EFB" w:rsidRDefault="00E93F58" w:rsidP="00BB7E31">
      <w:pPr>
        <w:pStyle w:val="paragraph"/>
      </w:pPr>
      <w:r w:rsidRPr="00D97EFB">
        <w:tab/>
        <w:t>(b)</w:t>
      </w:r>
      <w:r w:rsidRPr="00D97EFB">
        <w:tab/>
        <w:t>the person holds an Australian financial services licence granted in accordance with the procedures mentioned in that section; and</w:t>
      </w:r>
    </w:p>
    <w:p w14:paraId="46C55B2C" w14:textId="77777777" w:rsidR="00E93F58" w:rsidRPr="00D97EFB" w:rsidRDefault="00E93F58" w:rsidP="00BB7E31">
      <w:pPr>
        <w:pStyle w:val="paragraph"/>
      </w:pPr>
      <w:r w:rsidRPr="00D97EFB">
        <w:tab/>
        <w:t>(c)</w:t>
      </w:r>
      <w:r w:rsidRPr="00D97EFB">
        <w:tab/>
        <w:t>the person applies, at the end of the transition period in relation to the person, under section 913A of the Act, for an Australian financial services licence; and</w:t>
      </w:r>
    </w:p>
    <w:p w14:paraId="1C4783AC" w14:textId="77777777" w:rsidR="00E93F58" w:rsidRPr="00D97EFB" w:rsidRDefault="00E93F58" w:rsidP="00BB7E31">
      <w:pPr>
        <w:pStyle w:val="paragraph"/>
      </w:pPr>
      <w:r w:rsidRPr="00D97EFB">
        <w:tab/>
        <w:t>(d)</w:t>
      </w:r>
      <w:r w:rsidRPr="00D97EFB">
        <w:tab/>
        <w:t>section 1434 of the Act does not apply in relation to the application for an Australian financial services licence; and</w:t>
      </w:r>
    </w:p>
    <w:p w14:paraId="7E932B68" w14:textId="77777777" w:rsidR="00E93F58" w:rsidRPr="00D97EFB" w:rsidRDefault="00E93F58" w:rsidP="00BB7E31">
      <w:pPr>
        <w:pStyle w:val="paragraph"/>
      </w:pPr>
      <w:r w:rsidRPr="00D97EFB">
        <w:tab/>
        <w:t>(e)</w:t>
      </w:r>
      <w:r w:rsidRPr="00D97EFB">
        <w:tab/>
        <w:t>ASIC proposes to consider only the matters mentioned in paragraphs 912A(1)(e) and (f) of the Act rather than all of the matters mentioned in subsection 912A(1) of the Act.</w:t>
      </w:r>
    </w:p>
    <w:p w14:paraId="6EF53162" w14:textId="77777777" w:rsidR="00E93F58" w:rsidRPr="00D97EFB" w:rsidRDefault="00E93F58" w:rsidP="00BB7E31">
      <w:pPr>
        <w:pStyle w:val="subsection"/>
      </w:pPr>
      <w:r w:rsidRPr="00D97EFB">
        <w:tab/>
        <w:t>(2)</w:t>
      </w:r>
      <w:r w:rsidRPr="00D97EFB">
        <w:tab/>
        <w:t>Paragraph 913B(1)(b) of the Act applies to the consideration of the application as if the reference to obligations that will apply under section 912A of the Act were a reference to the obligations that will apply under paragraphs 912A(1)(e) and (f) of the Act.</w:t>
      </w:r>
    </w:p>
    <w:p w14:paraId="4F747F80" w14:textId="77777777" w:rsidR="00E93F58" w:rsidRPr="00D97EFB" w:rsidRDefault="00E93F58" w:rsidP="00BB7E31">
      <w:pPr>
        <w:pStyle w:val="ActHead3"/>
        <w:pageBreakBefore/>
      </w:pPr>
      <w:bookmarkStart w:id="2826" w:name="_Toc151994692"/>
      <w:bookmarkStart w:id="2827" w:name="_Toc158713202"/>
      <w:r w:rsidRPr="000D40D5">
        <w:rPr>
          <w:rStyle w:val="CharDivNo"/>
        </w:rPr>
        <w:lastRenderedPageBreak/>
        <w:t>Division 37</w:t>
      </w:r>
      <w:r w:rsidRPr="00D97EFB">
        <w:t>—</w:t>
      </w:r>
      <w:r w:rsidRPr="000D40D5">
        <w:rPr>
          <w:rStyle w:val="CharDivText"/>
        </w:rPr>
        <w:t>Hawking of managed investment products</w:t>
      </w:r>
      <w:bookmarkEnd w:id="2826"/>
      <w:bookmarkEnd w:id="2827"/>
    </w:p>
    <w:p w14:paraId="434C37ED" w14:textId="77777777" w:rsidR="00E93F58" w:rsidRPr="00D97EFB" w:rsidRDefault="00E93F58" w:rsidP="00BB7E31">
      <w:pPr>
        <w:pStyle w:val="ActHead5"/>
      </w:pPr>
      <w:bookmarkStart w:id="2828" w:name="_Toc151994693"/>
      <w:bookmarkStart w:id="2829" w:name="_Toc158713203"/>
      <w:r w:rsidRPr="000D40D5">
        <w:rPr>
          <w:rStyle w:val="CharSectno"/>
        </w:rPr>
        <w:t>10.2.197</w:t>
      </w:r>
      <w:r w:rsidRPr="00D97EFB">
        <w:t xml:space="preserve">  Hawking interest in managed investment scheme</w:t>
      </w:r>
      <w:bookmarkEnd w:id="2828"/>
      <w:bookmarkEnd w:id="2829"/>
    </w:p>
    <w:p w14:paraId="5E0A648D" w14:textId="77777777" w:rsidR="00E93F58" w:rsidRPr="00D97EFB" w:rsidRDefault="00E93F58" w:rsidP="00BB7E31">
      <w:pPr>
        <w:pStyle w:val="subsection"/>
      </w:pPr>
      <w:r w:rsidRPr="00D97EFB">
        <w:tab/>
        <w:t>(1)</w:t>
      </w:r>
      <w:r w:rsidRPr="00D97EFB">
        <w:tab/>
        <w:t>For section 1444 of the Act, this regulation applies in relation to interests in managed investment schemes.</w:t>
      </w:r>
    </w:p>
    <w:p w14:paraId="4FC04CD0" w14:textId="77777777" w:rsidR="00E93F58" w:rsidRPr="00D97EFB" w:rsidRDefault="00E93F58" w:rsidP="00BB7E31">
      <w:pPr>
        <w:pStyle w:val="subsection"/>
      </w:pPr>
      <w:r w:rsidRPr="00D97EFB">
        <w:tab/>
        <w:t>(2)</w:t>
      </w:r>
      <w:r w:rsidRPr="00D97EFB">
        <w:tab/>
        <w:t>If Division 2 of Part 7.9 of the Act applies to an interest in a managed investment scheme:</w:t>
      </w:r>
    </w:p>
    <w:p w14:paraId="1F4FAE5E" w14:textId="77777777" w:rsidR="00E93F58" w:rsidRPr="00D97EFB" w:rsidRDefault="00E93F58" w:rsidP="00BB7E31">
      <w:pPr>
        <w:pStyle w:val="paragraph"/>
      </w:pPr>
      <w:r w:rsidRPr="00D97EFB">
        <w:tab/>
        <w:t>(a)</w:t>
      </w:r>
      <w:r w:rsidRPr="00D97EFB">
        <w:tab/>
        <w:t>section 992AA of the Act applies to the interest; and</w:t>
      </w:r>
    </w:p>
    <w:p w14:paraId="4EE107B7" w14:textId="77777777" w:rsidR="00E93F58" w:rsidRPr="00D97EFB" w:rsidRDefault="00E93F58" w:rsidP="00BB7E31">
      <w:pPr>
        <w:pStyle w:val="paragraph"/>
      </w:pPr>
      <w:r w:rsidRPr="00D97EFB">
        <w:tab/>
        <w:t>(b)</w:t>
      </w:r>
      <w:r w:rsidRPr="00D97EFB">
        <w:tab/>
        <w:t>section 736 of the old Corporations Act does not apply to the interest.</w:t>
      </w:r>
    </w:p>
    <w:p w14:paraId="29F1E0D5" w14:textId="77777777" w:rsidR="00E93F58" w:rsidRPr="00D97EFB" w:rsidRDefault="00E93F58" w:rsidP="00BB7E31">
      <w:pPr>
        <w:pStyle w:val="subsection"/>
      </w:pPr>
      <w:r w:rsidRPr="00D97EFB">
        <w:tab/>
        <w:t>(3)</w:t>
      </w:r>
      <w:r w:rsidRPr="00D97EFB">
        <w:tab/>
        <w:t>If Division 2 of Part 7.9 of the Act does not apply to an interest in a managed investment scheme, sections 992A and 992AA of the Act do not apply to the interest.</w:t>
      </w:r>
    </w:p>
    <w:p w14:paraId="3F4B0DB1" w14:textId="77777777" w:rsidR="00E93F58" w:rsidRPr="00D97EFB" w:rsidRDefault="00E93F58" w:rsidP="00BB7E31">
      <w:pPr>
        <w:pStyle w:val="ActHead5"/>
      </w:pPr>
      <w:bookmarkStart w:id="2830" w:name="_Toc151994694"/>
      <w:bookmarkStart w:id="2831" w:name="_Toc158713204"/>
      <w:r w:rsidRPr="000D40D5">
        <w:rPr>
          <w:rStyle w:val="CharSectno"/>
        </w:rPr>
        <w:t>10.2.198</w:t>
      </w:r>
      <w:r w:rsidRPr="00D97EFB">
        <w:t xml:space="preserve">  Hawking financial product—other arrangements</w:t>
      </w:r>
      <w:bookmarkEnd w:id="2830"/>
      <w:bookmarkEnd w:id="2831"/>
    </w:p>
    <w:p w14:paraId="3D590FA0" w14:textId="77777777" w:rsidR="00E93F58" w:rsidRPr="00D97EFB" w:rsidRDefault="00E93F58" w:rsidP="00BB7E31">
      <w:pPr>
        <w:pStyle w:val="subsection"/>
      </w:pPr>
      <w:r w:rsidRPr="00D97EFB">
        <w:tab/>
        <w:t>(1)</w:t>
      </w:r>
      <w:r w:rsidRPr="00D97EFB">
        <w:tab/>
        <w:t>For section 1444 of the Act, this regulation applies in relation to a financial product.</w:t>
      </w:r>
    </w:p>
    <w:p w14:paraId="1CB93C2D" w14:textId="77777777" w:rsidR="00E93F58" w:rsidRPr="00D97EFB" w:rsidRDefault="00E93F58" w:rsidP="00BB7E31">
      <w:pPr>
        <w:pStyle w:val="subsection"/>
      </w:pPr>
      <w:r w:rsidRPr="00D97EFB">
        <w:tab/>
        <w:t>(2)</w:t>
      </w:r>
      <w:r w:rsidRPr="00D97EFB">
        <w:tab/>
        <w:t>If Division 2 of Part 7.9 of the Act does not apply to the financial product, a reference in section 992A of the Act to a Product Disclosure Statement in relation to the financial product includes:</w:t>
      </w:r>
    </w:p>
    <w:p w14:paraId="09465607" w14:textId="77777777" w:rsidR="00E93F58" w:rsidRPr="00D97EFB" w:rsidRDefault="00E93F58" w:rsidP="00BB7E31">
      <w:pPr>
        <w:pStyle w:val="paragraph"/>
      </w:pPr>
      <w:r w:rsidRPr="00D97EFB">
        <w:tab/>
        <w:t>(a)</w:t>
      </w:r>
      <w:r w:rsidRPr="00D97EFB">
        <w:tab/>
        <w:t>in relation to a derivative—information mentioned in section 1210 of the old Corporations Act; and</w:t>
      </w:r>
    </w:p>
    <w:p w14:paraId="6A5F0F8D" w14:textId="77777777" w:rsidR="00E93F58" w:rsidRPr="00D97EFB" w:rsidRDefault="00E93F58" w:rsidP="00BB7E31">
      <w:pPr>
        <w:pStyle w:val="paragraph"/>
      </w:pPr>
      <w:r w:rsidRPr="00D97EFB">
        <w:tab/>
        <w:t>(b)</w:t>
      </w:r>
      <w:r w:rsidRPr="00D97EFB">
        <w:tab/>
        <w:t>in relation to a superannuation product—information mentioned in section 153 or 159 of the SIS Act, as in force immediately before the FSR commencement; and</w:t>
      </w:r>
    </w:p>
    <w:p w14:paraId="5BE4793A" w14:textId="77777777" w:rsidR="00E93F58" w:rsidRPr="00D97EFB" w:rsidRDefault="00E93F58" w:rsidP="00BB7E31">
      <w:pPr>
        <w:pStyle w:val="paragraph"/>
      </w:pPr>
      <w:r w:rsidRPr="00D97EFB">
        <w:tab/>
        <w:t>(c)</w:t>
      </w:r>
      <w:r w:rsidRPr="00D97EFB">
        <w:tab/>
        <w:t>in relation to an RSA product—information mentioned in section 56 of the RSA Act, as in force immediately before the FSR commencement; and</w:t>
      </w:r>
    </w:p>
    <w:p w14:paraId="670B7A36" w14:textId="77777777" w:rsidR="00E93F58" w:rsidRPr="00D97EFB" w:rsidRDefault="00E93F58" w:rsidP="00BB7E31">
      <w:pPr>
        <w:pStyle w:val="paragraph"/>
      </w:pPr>
      <w:r w:rsidRPr="00D97EFB">
        <w:tab/>
        <w:t>(d)</w:t>
      </w:r>
      <w:r w:rsidRPr="00D97EFB">
        <w:tab/>
        <w:t>in relation to a managed investment product—a disclosure document for the product.</w:t>
      </w:r>
    </w:p>
    <w:p w14:paraId="3E5C6925" w14:textId="77777777" w:rsidR="00E93F58" w:rsidRPr="00D97EFB" w:rsidRDefault="00E93F58" w:rsidP="00BB7E31">
      <w:pPr>
        <w:pStyle w:val="subsection"/>
      </w:pPr>
      <w:r w:rsidRPr="00D97EFB">
        <w:tab/>
        <w:t>(3)</w:t>
      </w:r>
      <w:r w:rsidRPr="00D97EFB">
        <w:tab/>
        <w:t>If Division 2 of Part 7.9 of the Act does not apply to the financial product, subsection 992A(3) of the Act applies in relation to a financial product that is not mentioned in subregulation (2) as if paragraphs 992A(3)(c), (d) and (e) were omitted.</w:t>
      </w:r>
    </w:p>
    <w:p w14:paraId="7A3A901F" w14:textId="77777777" w:rsidR="00E93F58" w:rsidRPr="00D97EFB" w:rsidRDefault="00E93F58" w:rsidP="00587F09">
      <w:pPr>
        <w:pStyle w:val="ActHead3"/>
        <w:pageBreakBefore/>
      </w:pPr>
      <w:bookmarkStart w:id="2832" w:name="_Toc151994695"/>
      <w:bookmarkStart w:id="2833" w:name="_Toc158713205"/>
      <w:r w:rsidRPr="000D40D5">
        <w:rPr>
          <w:rStyle w:val="CharDivNo"/>
        </w:rPr>
        <w:lastRenderedPageBreak/>
        <w:t>Division 38</w:t>
      </w:r>
      <w:r w:rsidRPr="00D97EFB">
        <w:t>—</w:t>
      </w:r>
      <w:r w:rsidRPr="000D40D5">
        <w:rPr>
          <w:rStyle w:val="CharDivText"/>
        </w:rPr>
        <w:t>Security bonds issued before FSR commencement</w:t>
      </w:r>
      <w:bookmarkEnd w:id="2832"/>
      <w:bookmarkEnd w:id="2833"/>
    </w:p>
    <w:p w14:paraId="33B7F3BE" w14:textId="77777777" w:rsidR="00E93F58" w:rsidRPr="00D97EFB" w:rsidRDefault="00E93F58" w:rsidP="00BB7E31">
      <w:pPr>
        <w:pStyle w:val="ActHead5"/>
      </w:pPr>
      <w:bookmarkStart w:id="2834" w:name="_Toc151994696"/>
      <w:bookmarkStart w:id="2835" w:name="_Toc158713206"/>
      <w:r w:rsidRPr="000D40D5">
        <w:rPr>
          <w:rStyle w:val="CharSectno"/>
        </w:rPr>
        <w:t>10.2.199</w:t>
      </w:r>
      <w:r w:rsidRPr="00D97EFB">
        <w:t xml:space="preserve">  Security bonds</w:t>
      </w:r>
      <w:bookmarkEnd w:id="2834"/>
      <w:bookmarkEnd w:id="2835"/>
    </w:p>
    <w:p w14:paraId="330E8AE1" w14:textId="77777777" w:rsidR="00E93F58" w:rsidRPr="00D97EFB" w:rsidRDefault="00E93F58" w:rsidP="00BB7E31">
      <w:pPr>
        <w:pStyle w:val="subsection"/>
      </w:pPr>
      <w:r w:rsidRPr="00D97EFB">
        <w:tab/>
        <w:t>(1)</w:t>
      </w:r>
      <w:r w:rsidRPr="00D97EFB">
        <w:tab/>
        <w:t>For section 1444 of the Act, this regulation applies in relation to a financial services licensee who became a regulated principal mentioned in item 1 or 2 of the table in section 1430 of the Act at the FSR commencement.</w:t>
      </w:r>
    </w:p>
    <w:p w14:paraId="4FF29ED2" w14:textId="77777777" w:rsidR="00E93F58" w:rsidRPr="00D97EFB" w:rsidRDefault="00E93F58" w:rsidP="00BB7E31">
      <w:pPr>
        <w:pStyle w:val="subsection"/>
      </w:pPr>
      <w:r w:rsidRPr="00D97EFB">
        <w:tab/>
        <w:t>(2)</w:t>
      </w:r>
      <w:r w:rsidRPr="00D97EFB">
        <w:tab/>
        <w:t>Regulations 7.3.04, 7.3.06 and 7.3.07 of the old Corporations Regulations, and any associated provisions, continue to apply in relation to the regulated principal’s regulated activities.</w:t>
      </w:r>
    </w:p>
    <w:p w14:paraId="29C3CA43" w14:textId="77777777" w:rsidR="00E93F58" w:rsidRPr="00D97EFB" w:rsidRDefault="00E93F58" w:rsidP="00BB7E31">
      <w:pPr>
        <w:pStyle w:val="subsection"/>
      </w:pPr>
      <w:r w:rsidRPr="00D97EFB">
        <w:tab/>
        <w:t>(3)</w:t>
      </w:r>
      <w:r w:rsidRPr="00D97EFB">
        <w:tab/>
        <w:t>The regulations mentioned in subregulation (2) continue to apply after the end of the transition period for the regulated principal.</w:t>
      </w:r>
    </w:p>
    <w:p w14:paraId="57333C5D" w14:textId="77777777" w:rsidR="00E93F58" w:rsidRPr="00D97EFB" w:rsidRDefault="00E93F58" w:rsidP="00BB7E31">
      <w:pPr>
        <w:pStyle w:val="ActHead3"/>
        <w:pageBreakBefore/>
      </w:pPr>
      <w:bookmarkStart w:id="2836" w:name="_Toc151994697"/>
      <w:bookmarkStart w:id="2837" w:name="_Toc158713207"/>
      <w:r w:rsidRPr="000D40D5">
        <w:rPr>
          <w:rStyle w:val="CharDivNo"/>
        </w:rPr>
        <w:lastRenderedPageBreak/>
        <w:t>Division 39</w:t>
      </w:r>
      <w:r w:rsidRPr="00D97EFB">
        <w:t>—</w:t>
      </w:r>
      <w:r w:rsidRPr="000D40D5">
        <w:rPr>
          <w:rStyle w:val="CharDivText"/>
        </w:rPr>
        <w:t>Disclosure documents</w:t>
      </w:r>
      <w:bookmarkEnd w:id="2836"/>
      <w:bookmarkEnd w:id="2837"/>
    </w:p>
    <w:p w14:paraId="639F9553" w14:textId="77777777" w:rsidR="00E93F58" w:rsidRPr="00D97EFB" w:rsidRDefault="00E93F58" w:rsidP="00BB7E31">
      <w:pPr>
        <w:pStyle w:val="ActHead5"/>
      </w:pPr>
      <w:bookmarkStart w:id="2838" w:name="_Toc151994698"/>
      <w:bookmarkStart w:id="2839" w:name="_Toc158713208"/>
      <w:r w:rsidRPr="000D40D5">
        <w:rPr>
          <w:rStyle w:val="CharSectno"/>
        </w:rPr>
        <w:t>10.2.200</w:t>
      </w:r>
      <w:r w:rsidRPr="00D97EFB">
        <w:t xml:space="preserve">  Disclosure documents—cooling</w:t>
      </w:r>
      <w:r>
        <w:noBreakHyphen/>
      </w:r>
      <w:r w:rsidRPr="00D97EFB">
        <w:t>off period</w:t>
      </w:r>
      <w:bookmarkEnd w:id="2838"/>
      <w:bookmarkEnd w:id="2839"/>
    </w:p>
    <w:p w14:paraId="7C306D50" w14:textId="77777777" w:rsidR="00E93F58" w:rsidRPr="00D97EFB" w:rsidRDefault="00E93F58" w:rsidP="00BB7E31">
      <w:pPr>
        <w:pStyle w:val="subsection"/>
      </w:pPr>
      <w:r w:rsidRPr="00D97EFB">
        <w:tab/>
        <w:t>(1)</w:t>
      </w:r>
      <w:r w:rsidRPr="00D97EFB">
        <w:tab/>
        <w:t>For section 1444 of the Act, this regulation applies in relation to a document if:</w:t>
      </w:r>
    </w:p>
    <w:p w14:paraId="68DE7FEF" w14:textId="77777777" w:rsidR="00E93F58" w:rsidRPr="00D97EFB" w:rsidRDefault="00E93F58" w:rsidP="00BB7E31">
      <w:pPr>
        <w:pStyle w:val="paragraph"/>
      </w:pPr>
      <w:r w:rsidRPr="00D97EFB">
        <w:tab/>
        <w:t>(a)</w:t>
      </w:r>
      <w:r w:rsidRPr="00D97EFB">
        <w:tab/>
        <w:t>the document is a prospectus or other disclosure document for a financial product; and</w:t>
      </w:r>
    </w:p>
    <w:p w14:paraId="3ADEE6FD" w14:textId="77777777" w:rsidR="00E93F58" w:rsidRPr="00D97EFB" w:rsidRDefault="00E93F58" w:rsidP="00BB7E31">
      <w:pPr>
        <w:pStyle w:val="paragraph"/>
      </w:pPr>
      <w:r w:rsidRPr="00D97EFB">
        <w:tab/>
        <w:t>(b)</w:t>
      </w:r>
      <w:r w:rsidRPr="00D97EFB">
        <w:tab/>
        <w:t>the issuer of the financial product is a regulated principal to which Division 2 of Part 7.9 of the Act does not apply in relation to the financial product; and</w:t>
      </w:r>
    </w:p>
    <w:p w14:paraId="145058B8" w14:textId="77777777" w:rsidR="00E93F58" w:rsidRPr="00D97EFB" w:rsidRDefault="00E93F58" w:rsidP="00BB7E31">
      <w:pPr>
        <w:pStyle w:val="paragraph"/>
      </w:pPr>
      <w:r w:rsidRPr="00D97EFB">
        <w:tab/>
        <w:t>(c)</w:t>
      </w:r>
      <w:r w:rsidRPr="00D97EFB">
        <w:tab/>
        <w:t>the particular document:</w:t>
      </w:r>
    </w:p>
    <w:p w14:paraId="69685864" w14:textId="77777777" w:rsidR="00E93F58" w:rsidRPr="00D97EFB" w:rsidRDefault="00E93F58" w:rsidP="00BB7E31">
      <w:pPr>
        <w:pStyle w:val="paragraphsub"/>
      </w:pPr>
      <w:r w:rsidRPr="00D97EFB">
        <w:tab/>
        <w:t>(i)</w:t>
      </w:r>
      <w:r w:rsidRPr="00D97EFB">
        <w:tab/>
        <w:t>was publicly available; or</w:t>
      </w:r>
    </w:p>
    <w:p w14:paraId="6313F474" w14:textId="77777777" w:rsidR="00E93F58" w:rsidRPr="00D97EFB" w:rsidRDefault="00E93F58" w:rsidP="00BB7E31">
      <w:pPr>
        <w:pStyle w:val="paragraphsub"/>
      </w:pPr>
      <w:r w:rsidRPr="00D97EFB">
        <w:tab/>
        <w:t>(ii)</w:t>
      </w:r>
      <w:r w:rsidRPr="00D97EFB">
        <w:tab/>
        <w:t>had been distributed to users; or</w:t>
      </w:r>
    </w:p>
    <w:p w14:paraId="0F95F736" w14:textId="77777777" w:rsidR="00E93F58" w:rsidRPr="00D97EFB" w:rsidRDefault="00E93F58" w:rsidP="00BB7E31">
      <w:pPr>
        <w:pStyle w:val="paragraphsub"/>
      </w:pPr>
      <w:r w:rsidRPr="00D97EFB">
        <w:tab/>
        <w:t>(iii)</w:t>
      </w:r>
      <w:r w:rsidRPr="00D97EFB">
        <w:tab/>
        <w:t>had been lodged with ASIC; or</w:t>
      </w:r>
    </w:p>
    <w:p w14:paraId="073989C5" w14:textId="77777777" w:rsidR="00E93F58" w:rsidRPr="00D97EFB" w:rsidRDefault="00E93F58" w:rsidP="00BB7E31">
      <w:pPr>
        <w:pStyle w:val="paragraphsub"/>
      </w:pPr>
      <w:r w:rsidRPr="00D97EFB">
        <w:tab/>
        <w:t>(iv)</w:t>
      </w:r>
      <w:r w:rsidRPr="00D97EFB">
        <w:tab/>
        <w:t>was otherwise in existence and in use, or available for use;</w:t>
      </w:r>
    </w:p>
    <w:p w14:paraId="4566F20E" w14:textId="77777777" w:rsidR="00E93F58" w:rsidRPr="00D97EFB" w:rsidRDefault="00E93F58" w:rsidP="00BB7E31">
      <w:pPr>
        <w:pStyle w:val="paragraph"/>
      </w:pPr>
      <w:r w:rsidRPr="00D97EFB">
        <w:tab/>
      </w:r>
      <w:r w:rsidRPr="00D97EFB">
        <w:tab/>
        <w:t>before the FSR commencement.</w:t>
      </w:r>
    </w:p>
    <w:p w14:paraId="1960D25D" w14:textId="77777777" w:rsidR="00E93F58" w:rsidRPr="00D97EFB" w:rsidRDefault="00E93F58" w:rsidP="00BB7E31">
      <w:pPr>
        <w:pStyle w:val="subsection"/>
      </w:pPr>
      <w:r w:rsidRPr="00D97EFB">
        <w:tab/>
        <w:t>(2)</w:t>
      </w:r>
      <w:r w:rsidRPr="00D97EFB">
        <w:tab/>
      </w:r>
      <w:r w:rsidRPr="00D97EFB">
        <w:rPr>
          <w:snapToGrid w:val="0"/>
        </w:rPr>
        <w:t>The issuer of the financial product is not civilly or criminally liable in relation to information about the cooling off regime applying after the FSR commencement if</w:t>
      </w:r>
      <w:r w:rsidRPr="00D97EFB">
        <w:t>:</w:t>
      </w:r>
    </w:p>
    <w:p w14:paraId="3272F401" w14:textId="77777777" w:rsidR="00E93F58" w:rsidRPr="00D97EFB" w:rsidRDefault="00E93F58" w:rsidP="00BB7E31">
      <w:pPr>
        <w:pStyle w:val="paragraph"/>
      </w:pPr>
      <w:r w:rsidRPr="00D97EFB">
        <w:tab/>
        <w:t>(a)</w:t>
      </w:r>
      <w:r w:rsidRPr="00D97EFB">
        <w:tab/>
        <w:t>the confirmation of the transaction:</w:t>
      </w:r>
    </w:p>
    <w:p w14:paraId="7F07A95E" w14:textId="77777777" w:rsidR="00E93F58" w:rsidRPr="00D97EFB" w:rsidRDefault="00E93F58" w:rsidP="00BB7E31">
      <w:pPr>
        <w:pStyle w:val="paragraphsub"/>
      </w:pPr>
      <w:r w:rsidRPr="00D97EFB">
        <w:tab/>
        <w:t>(i)</w:t>
      </w:r>
      <w:r w:rsidRPr="00D97EFB">
        <w:tab/>
        <w:t>provides a statement of the cooling</w:t>
      </w:r>
      <w:r>
        <w:noBreakHyphen/>
      </w:r>
      <w:r w:rsidRPr="00D97EFB">
        <w:t>off regime that applies in respect of the acquisition of that product; and</w:t>
      </w:r>
    </w:p>
    <w:p w14:paraId="63F987A3" w14:textId="77777777" w:rsidR="00E93F58" w:rsidRPr="00D97EFB" w:rsidRDefault="00E93F58" w:rsidP="00BB7E31">
      <w:pPr>
        <w:pStyle w:val="paragraphsub"/>
      </w:pPr>
      <w:r w:rsidRPr="00D97EFB">
        <w:tab/>
        <w:t>(ii)</w:t>
      </w:r>
      <w:r w:rsidRPr="00D97EFB">
        <w:tab/>
        <w:t>states that the information in the confirmation of the transaction supersedes the information in that document; or</w:t>
      </w:r>
    </w:p>
    <w:p w14:paraId="76D5683B" w14:textId="77777777" w:rsidR="00E93F58" w:rsidRPr="00D97EFB" w:rsidRDefault="00E93F58" w:rsidP="00BB7E31">
      <w:pPr>
        <w:pStyle w:val="paragraph"/>
      </w:pPr>
      <w:r w:rsidRPr="00D97EFB">
        <w:tab/>
        <w:t>(b)</w:t>
      </w:r>
      <w:r w:rsidRPr="00D97EFB">
        <w:tab/>
        <w:t>the responsible person amends the disclosure document to include information on any cooling</w:t>
      </w:r>
      <w:r>
        <w:noBreakHyphen/>
      </w:r>
      <w:r w:rsidRPr="00D97EFB">
        <w:t>off regime.</w:t>
      </w:r>
    </w:p>
    <w:p w14:paraId="740C8E79" w14:textId="77777777" w:rsidR="00E93F58" w:rsidRPr="00D97EFB" w:rsidRDefault="00E93F58" w:rsidP="00BB7E31">
      <w:pPr>
        <w:pStyle w:val="ActHead3"/>
        <w:pageBreakBefore/>
      </w:pPr>
      <w:bookmarkStart w:id="2840" w:name="_Toc151994699"/>
      <w:bookmarkStart w:id="2841" w:name="_Toc158713209"/>
      <w:r w:rsidRPr="000D40D5">
        <w:rPr>
          <w:rStyle w:val="CharDivNo"/>
        </w:rPr>
        <w:lastRenderedPageBreak/>
        <w:t>Division 41</w:t>
      </w:r>
      <w:r w:rsidRPr="00D97EFB">
        <w:t>—</w:t>
      </w:r>
      <w:r w:rsidRPr="000D40D5">
        <w:rPr>
          <w:rStyle w:val="CharDivText"/>
        </w:rPr>
        <w:t>Requirements if Product Disclosure Statement is not in existence</w:t>
      </w:r>
      <w:bookmarkEnd w:id="2840"/>
      <w:bookmarkEnd w:id="2841"/>
    </w:p>
    <w:p w14:paraId="20C2BFA8" w14:textId="77777777" w:rsidR="00E93F58" w:rsidRPr="00D97EFB" w:rsidRDefault="00E93F58" w:rsidP="00BB7E31">
      <w:pPr>
        <w:pStyle w:val="ActHead5"/>
      </w:pPr>
      <w:bookmarkStart w:id="2842" w:name="_Toc151994700"/>
      <w:bookmarkStart w:id="2843" w:name="_Toc158713210"/>
      <w:r w:rsidRPr="000D40D5">
        <w:rPr>
          <w:rStyle w:val="CharSectno"/>
        </w:rPr>
        <w:t>10.2.202</w:t>
      </w:r>
      <w:r w:rsidRPr="00D97EFB">
        <w:t xml:space="preserve">  Documents equivalent to Product Disclosure Statement</w:t>
      </w:r>
      <w:bookmarkEnd w:id="2842"/>
      <w:bookmarkEnd w:id="2843"/>
    </w:p>
    <w:p w14:paraId="6A3F41B5" w14:textId="77777777" w:rsidR="00E93F58" w:rsidRPr="00D97EFB" w:rsidRDefault="00E93F58" w:rsidP="00BB7E31">
      <w:pPr>
        <w:pStyle w:val="subsection"/>
      </w:pPr>
      <w:r w:rsidRPr="00D97EFB">
        <w:tab/>
        <w:t>(1)</w:t>
      </w:r>
      <w:r w:rsidRPr="00D97EFB">
        <w:tab/>
        <w:t>For section 1444 of the Act, a reference in paragraph 949A(2)(c) of the Act to a Product Disclosure Statement includes:</w:t>
      </w:r>
    </w:p>
    <w:p w14:paraId="17C8A701" w14:textId="77777777" w:rsidR="00E93F58" w:rsidRPr="00D97EFB" w:rsidRDefault="00E93F58" w:rsidP="00BB7E31">
      <w:pPr>
        <w:pStyle w:val="paragraph"/>
      </w:pPr>
      <w:r w:rsidRPr="00D97EFB">
        <w:tab/>
        <w:t>(a)</w:t>
      </w:r>
      <w:r w:rsidRPr="00D97EFB">
        <w:tab/>
        <w:t>in relation to a managed investment product to which Division 2 of Part 7.9 of the Act does not yet apply—a disclosure document for the product; and</w:t>
      </w:r>
    </w:p>
    <w:p w14:paraId="07BB9A92" w14:textId="77777777" w:rsidR="00E93F58" w:rsidRPr="00D97EFB" w:rsidRDefault="00E93F58" w:rsidP="00BB7E31">
      <w:pPr>
        <w:pStyle w:val="paragraph"/>
      </w:pPr>
      <w:r w:rsidRPr="00D97EFB">
        <w:tab/>
        <w:t>(b)</w:t>
      </w:r>
      <w:r w:rsidRPr="00D97EFB">
        <w:tab/>
        <w:t>in relation to a derivative to which Division 2 of Part 7.9 of the Act does not yet apply—information mentioned in section 1210 of the old Corporations Act; and</w:t>
      </w:r>
    </w:p>
    <w:p w14:paraId="43259846" w14:textId="77777777" w:rsidR="00E93F58" w:rsidRPr="00D97EFB" w:rsidRDefault="00E93F58" w:rsidP="00BB7E31">
      <w:pPr>
        <w:pStyle w:val="paragraph"/>
      </w:pPr>
      <w:r w:rsidRPr="00D97EFB">
        <w:tab/>
        <w:t>(c)</w:t>
      </w:r>
      <w:r w:rsidRPr="00D97EFB">
        <w:tab/>
        <w:t>in relation to a superannuation product to which Division 2 of Part 7.9 of the Act does not yet apply—information mentioned in section 153 or 159 of the SIS Act, as in force immediately before the FSR commencement; and</w:t>
      </w:r>
    </w:p>
    <w:p w14:paraId="144F88FA" w14:textId="77777777" w:rsidR="00E93F58" w:rsidRPr="00D97EFB" w:rsidRDefault="00E93F58" w:rsidP="00BB7E31">
      <w:pPr>
        <w:pStyle w:val="paragraph"/>
      </w:pPr>
      <w:r w:rsidRPr="00D97EFB">
        <w:tab/>
        <w:t>(d)</w:t>
      </w:r>
      <w:r w:rsidRPr="00D97EFB">
        <w:tab/>
        <w:t>in relation to an RSA product to which Division 2 of Part 7.9 of the Act does not yet apply—information mentioned in section 56 of the RSA Act, as in force immediately before the FSR commencement.</w:t>
      </w:r>
    </w:p>
    <w:p w14:paraId="4A46A69A" w14:textId="77777777" w:rsidR="00E93F58" w:rsidRPr="00D97EFB" w:rsidRDefault="00E93F58" w:rsidP="00BB7E31">
      <w:pPr>
        <w:pStyle w:val="subsection"/>
      </w:pPr>
      <w:r w:rsidRPr="00D97EFB">
        <w:tab/>
        <w:t>(2)</w:t>
      </w:r>
      <w:r w:rsidRPr="00D97EFB">
        <w:tab/>
        <w:t>For section 1444 of the Act, subsection 949A(2) of the Act applies in relation to a financial product:</w:t>
      </w:r>
    </w:p>
    <w:p w14:paraId="13723C3D" w14:textId="77777777" w:rsidR="00E93F58" w:rsidRPr="00D97EFB" w:rsidRDefault="00E93F58" w:rsidP="00BB7E31">
      <w:pPr>
        <w:pStyle w:val="paragraph"/>
      </w:pPr>
      <w:r w:rsidRPr="00D97EFB">
        <w:tab/>
        <w:t>(a)</w:t>
      </w:r>
      <w:r w:rsidRPr="00D97EFB">
        <w:tab/>
        <w:t>to which Division 2 of Part 7.9 of the Act does not apply; and</w:t>
      </w:r>
    </w:p>
    <w:p w14:paraId="207D9EEB" w14:textId="77777777" w:rsidR="00E93F58" w:rsidRPr="00D97EFB" w:rsidRDefault="00E93F58" w:rsidP="00BB7E31">
      <w:pPr>
        <w:pStyle w:val="paragraph"/>
      </w:pPr>
      <w:r w:rsidRPr="00D97EFB">
        <w:tab/>
        <w:t>(b)</w:t>
      </w:r>
      <w:r w:rsidRPr="00D97EFB">
        <w:tab/>
        <w:t>that is not mentioned in subregulation (1);</w:t>
      </w:r>
    </w:p>
    <w:p w14:paraId="0E465E0A" w14:textId="77777777" w:rsidR="00E93F58" w:rsidRPr="00D97EFB" w:rsidRDefault="00E93F58" w:rsidP="00BB7E31">
      <w:pPr>
        <w:pStyle w:val="subsection2"/>
      </w:pPr>
      <w:r w:rsidRPr="00D97EFB">
        <w:t>as if paragraph 949A(2)(c) were omitted.</w:t>
      </w:r>
    </w:p>
    <w:p w14:paraId="3C924FBE" w14:textId="77777777" w:rsidR="00E93F58" w:rsidRPr="00D97EFB" w:rsidRDefault="00E93F58" w:rsidP="00BB7E31">
      <w:pPr>
        <w:pStyle w:val="ActHead3"/>
        <w:pageBreakBefore/>
      </w:pPr>
      <w:bookmarkStart w:id="2844" w:name="_Toc151994701"/>
      <w:bookmarkStart w:id="2845" w:name="_Toc158713211"/>
      <w:r w:rsidRPr="000D40D5">
        <w:rPr>
          <w:rStyle w:val="CharDivNo"/>
        </w:rPr>
        <w:lastRenderedPageBreak/>
        <w:t>Division 42</w:t>
      </w:r>
      <w:r w:rsidRPr="00D97EFB">
        <w:t>—</w:t>
      </w:r>
      <w:r w:rsidRPr="000D40D5">
        <w:rPr>
          <w:rStyle w:val="CharDivText"/>
        </w:rPr>
        <w:t>Dealing with money received for financial product before the product is issued</w:t>
      </w:r>
      <w:bookmarkEnd w:id="2844"/>
      <w:bookmarkEnd w:id="2845"/>
    </w:p>
    <w:p w14:paraId="540A0902" w14:textId="77777777" w:rsidR="00E93F58" w:rsidRPr="00D97EFB" w:rsidRDefault="00E93F58" w:rsidP="00BB7E31">
      <w:pPr>
        <w:pStyle w:val="ActHead5"/>
      </w:pPr>
      <w:bookmarkStart w:id="2846" w:name="_Toc151994702"/>
      <w:bookmarkStart w:id="2847" w:name="_Toc158713212"/>
      <w:r w:rsidRPr="000D40D5">
        <w:rPr>
          <w:rStyle w:val="CharSectno"/>
        </w:rPr>
        <w:t>10.2.203</w:t>
      </w:r>
      <w:r w:rsidRPr="00D97EFB">
        <w:t xml:space="preserve">  Payment of money into account</w:t>
      </w:r>
      <w:bookmarkEnd w:id="2846"/>
      <w:bookmarkEnd w:id="2847"/>
    </w:p>
    <w:p w14:paraId="20087B87" w14:textId="77777777" w:rsidR="00E93F58" w:rsidRPr="00D97EFB" w:rsidRDefault="00E93F58" w:rsidP="00BB7E31">
      <w:pPr>
        <w:pStyle w:val="subsection"/>
      </w:pPr>
      <w:r w:rsidRPr="00D97EFB">
        <w:tab/>
      </w:r>
      <w:r w:rsidRPr="00D97EFB">
        <w:tab/>
        <w:t>For section 1444 of the Act, a reference in paragraph 1017E(1)(b) of the Act to a Product Disclosure Statement for a financial product includes a disclosure document for the product.</w:t>
      </w:r>
    </w:p>
    <w:p w14:paraId="0077AFCE" w14:textId="77777777" w:rsidR="00E93F58" w:rsidRPr="00D97EFB" w:rsidRDefault="00E93F58" w:rsidP="00763B6A">
      <w:pPr>
        <w:pStyle w:val="ActHead3"/>
        <w:pageBreakBefore/>
      </w:pPr>
      <w:bookmarkStart w:id="2848" w:name="_Toc151994703"/>
      <w:bookmarkStart w:id="2849" w:name="_Toc158713213"/>
      <w:r w:rsidRPr="000D40D5">
        <w:rPr>
          <w:rStyle w:val="CharDivNo"/>
        </w:rPr>
        <w:lastRenderedPageBreak/>
        <w:t>Division 43</w:t>
      </w:r>
      <w:r w:rsidRPr="00D97EFB">
        <w:t>—</w:t>
      </w:r>
      <w:r w:rsidRPr="000D40D5">
        <w:rPr>
          <w:rStyle w:val="CharDivText"/>
        </w:rPr>
        <w:t>Arrangements related to deposits with stock exchanges</w:t>
      </w:r>
      <w:bookmarkEnd w:id="2848"/>
      <w:bookmarkEnd w:id="2849"/>
    </w:p>
    <w:p w14:paraId="0AA02970" w14:textId="77777777" w:rsidR="00E93F58" w:rsidRPr="00D97EFB" w:rsidRDefault="00E93F58" w:rsidP="00BB7E31">
      <w:pPr>
        <w:pStyle w:val="ActHead5"/>
      </w:pPr>
      <w:bookmarkStart w:id="2850" w:name="_Toc151994704"/>
      <w:bookmarkStart w:id="2851" w:name="_Toc158713214"/>
      <w:r w:rsidRPr="000D40D5">
        <w:rPr>
          <w:rStyle w:val="CharSectno"/>
        </w:rPr>
        <w:t>10.2.204</w:t>
      </w:r>
      <w:r w:rsidRPr="00D97EFB">
        <w:t xml:space="preserve">  Withdrawals from trust account</w:t>
      </w:r>
      <w:bookmarkEnd w:id="2850"/>
      <w:bookmarkEnd w:id="2851"/>
    </w:p>
    <w:p w14:paraId="3D6258A0" w14:textId="77777777" w:rsidR="00E93F58" w:rsidRPr="00D97EFB" w:rsidRDefault="00E93F58" w:rsidP="00BB7E31">
      <w:pPr>
        <w:pStyle w:val="subsection"/>
      </w:pPr>
      <w:r w:rsidRPr="00D97EFB">
        <w:tab/>
        <w:t>(1)</w:t>
      </w:r>
      <w:r w:rsidRPr="00D97EFB">
        <w:tab/>
        <w:t>For section 1444 of the Act, this regulation applies to the extent that section 869 of the old Corporations Act continues to apply on and after the FSR commencement.</w:t>
      </w:r>
    </w:p>
    <w:p w14:paraId="00EEB42E" w14:textId="77777777" w:rsidR="00E93F58" w:rsidRPr="00D97EFB" w:rsidRDefault="00E93F58" w:rsidP="00BB7E31">
      <w:pPr>
        <w:pStyle w:val="subsection"/>
      </w:pPr>
      <w:r w:rsidRPr="00D97EFB">
        <w:tab/>
        <w:t>(2)</w:t>
      </w:r>
      <w:r w:rsidRPr="00D97EFB">
        <w:tab/>
        <w:t>Section 869 of the old Corporations Act continues to apply as if paragraph 869(1)(b) were omitted.</w:t>
      </w:r>
    </w:p>
    <w:p w14:paraId="6082ED6D" w14:textId="77777777" w:rsidR="00E93F58" w:rsidRPr="00D97EFB" w:rsidRDefault="00E93F58" w:rsidP="00BB7E31">
      <w:pPr>
        <w:pStyle w:val="ActHead3"/>
        <w:pageBreakBefore/>
      </w:pPr>
      <w:bookmarkStart w:id="2852" w:name="_Toc151994705"/>
      <w:bookmarkStart w:id="2853" w:name="_Toc158713215"/>
      <w:r w:rsidRPr="000D40D5">
        <w:rPr>
          <w:rStyle w:val="CharDivNo"/>
        </w:rPr>
        <w:lastRenderedPageBreak/>
        <w:t>Division 44</w:t>
      </w:r>
      <w:r w:rsidRPr="00D97EFB">
        <w:t>—</w:t>
      </w:r>
      <w:r w:rsidRPr="000D40D5">
        <w:rPr>
          <w:rStyle w:val="CharDivText"/>
        </w:rPr>
        <w:t>Superannuation to which arrangements apply under the Family Law Act 1975</w:t>
      </w:r>
      <w:bookmarkEnd w:id="2852"/>
      <w:bookmarkEnd w:id="2853"/>
    </w:p>
    <w:p w14:paraId="19DB4897" w14:textId="77777777" w:rsidR="00E93F58" w:rsidRPr="00D97EFB" w:rsidRDefault="00E93F58" w:rsidP="00BB7E31">
      <w:pPr>
        <w:pStyle w:val="ActHead5"/>
      </w:pPr>
      <w:bookmarkStart w:id="2854" w:name="_Toc151994706"/>
      <w:bookmarkStart w:id="2855" w:name="_Toc158713216"/>
      <w:r w:rsidRPr="000D40D5">
        <w:rPr>
          <w:rStyle w:val="CharSectno"/>
        </w:rPr>
        <w:t>10.2.205</w:t>
      </w:r>
      <w:r w:rsidRPr="00D97EFB">
        <w:t xml:space="preserve">  Application of amendments</w:t>
      </w:r>
      <w:bookmarkEnd w:id="2854"/>
      <w:bookmarkEnd w:id="2855"/>
    </w:p>
    <w:p w14:paraId="0C7C8D91" w14:textId="77777777" w:rsidR="00E93F58" w:rsidRPr="00D97EFB" w:rsidRDefault="00E93F58" w:rsidP="00BB7E31">
      <w:pPr>
        <w:pStyle w:val="subsection"/>
      </w:pPr>
      <w:r w:rsidRPr="00D97EFB">
        <w:tab/>
        <w:t>(1)</w:t>
      </w:r>
      <w:r w:rsidRPr="00D97EFB">
        <w:tab/>
        <w:t>For section 1444 of the Act, this regulation applies in relation to a regulated principal.</w:t>
      </w:r>
    </w:p>
    <w:p w14:paraId="214FBCCF" w14:textId="77777777" w:rsidR="00E93F58" w:rsidRPr="00D97EFB" w:rsidRDefault="00E93F58" w:rsidP="00BB7E31">
      <w:pPr>
        <w:pStyle w:val="subsection"/>
      </w:pPr>
      <w:r w:rsidRPr="00D97EFB">
        <w:tab/>
        <w:t>(2)</w:t>
      </w:r>
      <w:r w:rsidRPr="00D97EFB">
        <w:tab/>
        <w:t xml:space="preserve">Subject to subregulation (3), on and after the FSR commencement, the regulated principal must deal with a matter to which the </w:t>
      </w:r>
      <w:r w:rsidRPr="00D97EFB">
        <w:rPr>
          <w:i/>
        </w:rPr>
        <w:t>Family Law Legislation Amendment (Superannuation) Act 2001</w:t>
      </w:r>
      <w:r w:rsidRPr="00D97EFB">
        <w:t xml:space="preserve"> applies as if:</w:t>
      </w:r>
    </w:p>
    <w:p w14:paraId="0B0B0F78" w14:textId="77777777" w:rsidR="00E93F58" w:rsidRPr="00D97EFB" w:rsidRDefault="00E93F58" w:rsidP="00BB7E31">
      <w:pPr>
        <w:pStyle w:val="paragraph"/>
      </w:pPr>
      <w:r w:rsidRPr="00D97EFB">
        <w:tab/>
        <w:t>(a)</w:t>
      </w:r>
      <w:r w:rsidRPr="00D97EFB">
        <w:tab/>
        <w:t>all amendments of the SIS Act enacted before the FSR commencement were in force on the FSR commencement; and</w:t>
      </w:r>
    </w:p>
    <w:p w14:paraId="425D1FE6" w14:textId="77777777" w:rsidR="00E93F58" w:rsidRPr="00D97EFB" w:rsidRDefault="00E93F58" w:rsidP="00BB7E31">
      <w:pPr>
        <w:pStyle w:val="paragraph"/>
      </w:pPr>
      <w:r w:rsidRPr="00D97EFB">
        <w:tab/>
        <w:t>(b)</w:t>
      </w:r>
      <w:r w:rsidRPr="00D97EFB">
        <w:tab/>
        <w:t>all amendments of the SIS Regulations enacted before the FSR commencement were in force on the FSR commencement; and</w:t>
      </w:r>
    </w:p>
    <w:p w14:paraId="099D81F7" w14:textId="77777777" w:rsidR="00E93F58" w:rsidRPr="00D97EFB" w:rsidRDefault="00E93F58" w:rsidP="00BB7E31">
      <w:pPr>
        <w:pStyle w:val="paragraph"/>
      </w:pPr>
      <w:r w:rsidRPr="00D97EFB">
        <w:tab/>
        <w:t>(c)</w:t>
      </w:r>
      <w:r w:rsidRPr="00D97EFB">
        <w:tab/>
        <w:t>all amendments of the RSA Act enacted before the FSR commencement were in force on the FSR commencement; and</w:t>
      </w:r>
    </w:p>
    <w:p w14:paraId="7A8F982D" w14:textId="77777777" w:rsidR="00E93F58" w:rsidRPr="00D97EFB" w:rsidRDefault="00E93F58" w:rsidP="00BB7E31">
      <w:pPr>
        <w:pStyle w:val="paragraph"/>
      </w:pPr>
      <w:r w:rsidRPr="00D97EFB">
        <w:tab/>
        <w:t>(d)</w:t>
      </w:r>
      <w:r w:rsidRPr="00D97EFB">
        <w:tab/>
        <w:t>all amendments of the RSA Regulations enacted before the FSR commencement were in force on the FSR commencement; and</w:t>
      </w:r>
    </w:p>
    <w:p w14:paraId="71CDE012" w14:textId="77777777" w:rsidR="00E93F58" w:rsidRPr="00D97EFB" w:rsidRDefault="00E93F58" w:rsidP="00BB7E31">
      <w:pPr>
        <w:pStyle w:val="paragraph"/>
      </w:pPr>
      <w:r w:rsidRPr="00D97EFB">
        <w:tab/>
        <w:t>(e)</w:t>
      </w:r>
      <w:r w:rsidRPr="00D97EFB">
        <w:tab/>
        <w:t xml:space="preserve">all amendments of the </w:t>
      </w:r>
      <w:r w:rsidRPr="00D97EFB">
        <w:rPr>
          <w:i/>
        </w:rPr>
        <w:t xml:space="preserve">Family Law (Superannuation) </w:t>
      </w:r>
      <w:r>
        <w:rPr>
          <w:i/>
        </w:rPr>
        <w:t>Regulations 2</w:t>
      </w:r>
      <w:r w:rsidRPr="00D97EFB">
        <w:rPr>
          <w:i/>
        </w:rPr>
        <w:t>001</w:t>
      </w:r>
      <w:r w:rsidRPr="00D97EFB">
        <w:t xml:space="preserve"> enacted before the FSR commencement were in force on the FSR commencement.</w:t>
      </w:r>
    </w:p>
    <w:p w14:paraId="0219F7C5" w14:textId="77777777" w:rsidR="00E93F58" w:rsidRPr="00D97EFB" w:rsidRDefault="00E93F58" w:rsidP="00BB7E31">
      <w:pPr>
        <w:pStyle w:val="subsection"/>
      </w:pPr>
      <w:r w:rsidRPr="00D97EFB">
        <w:tab/>
        <w:t>(3)</w:t>
      </w:r>
      <w:r w:rsidRPr="00D97EFB">
        <w:tab/>
        <w:t>Subregulation (2) applies only to the extent that dealing with a matter in accordance with that subregulation is not inconsistent with compliance with:</w:t>
      </w:r>
    </w:p>
    <w:p w14:paraId="39430354" w14:textId="77777777" w:rsidR="00E93F58" w:rsidRPr="00D97EFB" w:rsidRDefault="00E93F58" w:rsidP="00BB7E31">
      <w:pPr>
        <w:pStyle w:val="paragraph"/>
      </w:pPr>
      <w:r w:rsidRPr="00D97EFB">
        <w:tab/>
        <w:t>(a)</w:t>
      </w:r>
      <w:r w:rsidRPr="00D97EFB">
        <w:tab/>
        <w:t>the following provisions, and any associated provisions:</w:t>
      </w:r>
    </w:p>
    <w:p w14:paraId="5AE38149" w14:textId="77777777" w:rsidR="00E93F58" w:rsidRPr="00D97EFB" w:rsidRDefault="00E93F58" w:rsidP="00BB7E31">
      <w:pPr>
        <w:pStyle w:val="paragraphsub"/>
      </w:pPr>
      <w:r w:rsidRPr="00D97EFB">
        <w:tab/>
        <w:t>(i)</w:t>
      </w:r>
      <w:r w:rsidRPr="00D97EFB">
        <w:tab/>
        <w:t xml:space="preserve">section 153, and all the provisions of Divisions 3 and 4 of Part 19, of the </w:t>
      </w:r>
      <w:r w:rsidRPr="00D97EFB">
        <w:rPr>
          <w:i/>
        </w:rPr>
        <w:t>Superannuation Industry (Supervision) Act 1993</w:t>
      </w:r>
      <w:r w:rsidRPr="00D97EFB">
        <w:t xml:space="preserve"> as in force immediately before the FSR commencement;</w:t>
      </w:r>
    </w:p>
    <w:p w14:paraId="64E3C135" w14:textId="77777777" w:rsidR="00E93F58" w:rsidRPr="00D97EFB" w:rsidRDefault="00E93F58" w:rsidP="00BB7E31">
      <w:pPr>
        <w:pStyle w:val="paragraphsub"/>
      </w:pPr>
      <w:r w:rsidRPr="00D97EFB">
        <w:tab/>
        <w:t>(ii)</w:t>
      </w:r>
      <w:r w:rsidRPr="00D97EFB">
        <w:tab/>
        <w:t>the version of section 153A of that Act that was provided for in Modification Declaration no. 15 as in force immediately before the FSR commencement, being a declaration of modification made under section 332 of that Act; and</w:t>
      </w:r>
    </w:p>
    <w:p w14:paraId="1077F97B" w14:textId="77777777" w:rsidR="00E93F58" w:rsidRPr="00D97EFB" w:rsidRDefault="00E93F58" w:rsidP="00BB7E31">
      <w:pPr>
        <w:pStyle w:val="paragraph"/>
      </w:pPr>
      <w:r w:rsidRPr="00D97EFB">
        <w:tab/>
        <w:t>(b)</w:t>
      </w:r>
      <w:r w:rsidRPr="00D97EFB">
        <w:tab/>
        <w:t xml:space="preserve">section 51, and all the provisions of Divisions 4 and 5 of Part 5, of the </w:t>
      </w:r>
      <w:r w:rsidRPr="00D97EFB">
        <w:rPr>
          <w:i/>
        </w:rPr>
        <w:t>Retirement Savings Accounts Act 1997</w:t>
      </w:r>
      <w:r w:rsidRPr="00D97EFB">
        <w:t xml:space="preserve"> as in force immediately before the FSR commencement, and any associated provisions.</w:t>
      </w:r>
    </w:p>
    <w:p w14:paraId="65AA9463" w14:textId="77777777" w:rsidR="00E93F58" w:rsidRPr="00D97EFB" w:rsidRDefault="00E93F58" w:rsidP="00763B6A">
      <w:pPr>
        <w:pStyle w:val="ActHead3"/>
        <w:pageBreakBefore/>
      </w:pPr>
      <w:bookmarkStart w:id="2856" w:name="_Toc151994707"/>
      <w:bookmarkStart w:id="2857" w:name="_Toc158713217"/>
      <w:r w:rsidRPr="000D40D5">
        <w:rPr>
          <w:rStyle w:val="CharDivNo"/>
        </w:rPr>
        <w:lastRenderedPageBreak/>
        <w:t>Division 45</w:t>
      </w:r>
      <w:r w:rsidRPr="00D97EFB">
        <w:t>—</w:t>
      </w:r>
      <w:r w:rsidRPr="000D40D5">
        <w:rPr>
          <w:rStyle w:val="CharDivText"/>
        </w:rPr>
        <w:t>Arrangements relating to certain reporting periods</w:t>
      </w:r>
      <w:bookmarkEnd w:id="2856"/>
      <w:bookmarkEnd w:id="2857"/>
    </w:p>
    <w:p w14:paraId="5C0B765A" w14:textId="77777777" w:rsidR="00E93F58" w:rsidRPr="00D97EFB" w:rsidRDefault="00E93F58" w:rsidP="00BB7E31">
      <w:pPr>
        <w:pStyle w:val="ActHead5"/>
      </w:pPr>
      <w:bookmarkStart w:id="2858" w:name="_Toc151994708"/>
      <w:bookmarkStart w:id="2859" w:name="_Toc158713218"/>
      <w:r w:rsidRPr="000D40D5">
        <w:rPr>
          <w:rStyle w:val="CharSectno"/>
        </w:rPr>
        <w:t>10.2.206</w:t>
      </w:r>
      <w:r w:rsidRPr="00D97EFB">
        <w:t xml:space="preserve">  Fund information for retail clients for financial products that have an investment component: superannuation</w:t>
      </w:r>
      <w:bookmarkEnd w:id="2858"/>
      <w:bookmarkEnd w:id="2859"/>
    </w:p>
    <w:p w14:paraId="3EC8331C" w14:textId="77777777" w:rsidR="00E93F58" w:rsidRPr="00D97EFB" w:rsidRDefault="00E93F58" w:rsidP="00BB7E31">
      <w:pPr>
        <w:pStyle w:val="subsection"/>
      </w:pPr>
      <w:r w:rsidRPr="00D97EFB">
        <w:tab/>
        <w:t>(1)</w:t>
      </w:r>
      <w:r w:rsidRPr="00D97EFB">
        <w:tab/>
        <w:t>For section 1444 of the Act, this regulation applies in relation to a fund reporting period under Subdivision 2.4.1 of the SIS Regulations that had not ended before the FSR commencement.</w:t>
      </w:r>
    </w:p>
    <w:p w14:paraId="215D9FE7" w14:textId="77777777" w:rsidR="00E93F58" w:rsidRPr="00D97EFB" w:rsidRDefault="00E93F58" w:rsidP="00BB7E31">
      <w:pPr>
        <w:pStyle w:val="subsection"/>
      </w:pPr>
      <w:r w:rsidRPr="00D97EFB">
        <w:tab/>
        <w:t>(2)</w:t>
      </w:r>
      <w:r w:rsidRPr="00D97EFB">
        <w:tab/>
        <w:t>The fund reporting period for the financial product, worked out in accordance with Subdivision 2.4.1, is taken to be a fund reporting period for Subdivision 5.5 of Part 7.9 of these Regulations.</w:t>
      </w:r>
    </w:p>
    <w:p w14:paraId="1FCC1585" w14:textId="77777777" w:rsidR="00E93F58" w:rsidRPr="00D97EFB" w:rsidRDefault="00E93F58" w:rsidP="00BB7E31">
      <w:pPr>
        <w:pStyle w:val="ActHead5"/>
      </w:pPr>
      <w:bookmarkStart w:id="2860" w:name="_Toc151994709"/>
      <w:bookmarkStart w:id="2861" w:name="_Toc158713219"/>
      <w:r w:rsidRPr="000D40D5">
        <w:rPr>
          <w:rStyle w:val="CharSectno"/>
        </w:rPr>
        <w:t>10.2.207</w:t>
      </w:r>
      <w:r w:rsidRPr="00D97EFB">
        <w:t xml:space="preserve">  Periodic statements for retail clients for financial products that have an investment component</w:t>
      </w:r>
      <w:bookmarkEnd w:id="2860"/>
      <w:bookmarkEnd w:id="2861"/>
    </w:p>
    <w:p w14:paraId="7362566C" w14:textId="77777777" w:rsidR="00E93F58" w:rsidRPr="00D97EFB" w:rsidRDefault="00E93F58" w:rsidP="00BB7E31">
      <w:pPr>
        <w:pStyle w:val="subsection"/>
      </w:pPr>
      <w:r w:rsidRPr="00D97EFB">
        <w:tab/>
        <w:t>(1)</w:t>
      </w:r>
      <w:r w:rsidRPr="00D97EFB">
        <w:tab/>
        <w:t>For section 1444 of the Act, this regulation applies if:</w:t>
      </w:r>
    </w:p>
    <w:p w14:paraId="1E9A5589" w14:textId="77777777" w:rsidR="00E93F58" w:rsidRPr="00D97EFB" w:rsidRDefault="00E93F58" w:rsidP="00BB7E31">
      <w:pPr>
        <w:pStyle w:val="paragraph"/>
      </w:pPr>
      <w:r w:rsidRPr="00D97EFB">
        <w:tab/>
        <w:t>(a)</w:t>
      </w:r>
      <w:r w:rsidRPr="00D97EFB">
        <w:tab/>
        <w:t>a person acquired a financial product, as described in subsection 1017D(1) of the Act; and</w:t>
      </w:r>
    </w:p>
    <w:p w14:paraId="21D03C9E" w14:textId="77777777" w:rsidR="00E93F58" w:rsidRPr="00D97EFB" w:rsidRDefault="00E93F58" w:rsidP="00BB7E31">
      <w:pPr>
        <w:pStyle w:val="paragraph"/>
      </w:pPr>
      <w:r w:rsidRPr="00D97EFB">
        <w:tab/>
        <w:t>(b)</w:t>
      </w:r>
      <w:r w:rsidRPr="00D97EFB">
        <w:tab/>
        <w:t>the issuer of the financial product was a regulated principal in relation to the financial product.</w:t>
      </w:r>
    </w:p>
    <w:p w14:paraId="4CB236B0" w14:textId="77777777" w:rsidR="00E93F58" w:rsidRPr="00D97EFB" w:rsidRDefault="00E93F58" w:rsidP="00BB7E31">
      <w:pPr>
        <w:pStyle w:val="subsection"/>
      </w:pPr>
      <w:r w:rsidRPr="00D97EFB">
        <w:tab/>
        <w:t>(2)</w:t>
      </w:r>
      <w:r w:rsidRPr="00D97EFB">
        <w:tab/>
        <w:t>The reporting period for the financial product, worked out in accordance with the old Corporations Act, is taken to be a reporting period for the Act.</w:t>
      </w:r>
    </w:p>
    <w:p w14:paraId="6BE8EE1A" w14:textId="77777777" w:rsidR="00E93F58" w:rsidRPr="00D97EFB" w:rsidRDefault="00E93F58" w:rsidP="00825A5B">
      <w:pPr>
        <w:pStyle w:val="ActHead3"/>
        <w:pageBreakBefore/>
      </w:pPr>
      <w:bookmarkStart w:id="2862" w:name="_Toc151994710"/>
      <w:bookmarkStart w:id="2863" w:name="_Toc158713220"/>
      <w:r w:rsidRPr="000D40D5">
        <w:rPr>
          <w:rStyle w:val="CharDivNo"/>
        </w:rPr>
        <w:lastRenderedPageBreak/>
        <w:t>Division 46</w:t>
      </w:r>
      <w:r w:rsidRPr="00D97EFB">
        <w:t>—</w:t>
      </w:r>
      <w:r w:rsidRPr="000D40D5">
        <w:rPr>
          <w:rStyle w:val="CharDivText"/>
        </w:rPr>
        <w:t>Arrangements relating to passbook accounts</w:t>
      </w:r>
      <w:bookmarkEnd w:id="2862"/>
      <w:bookmarkEnd w:id="2863"/>
    </w:p>
    <w:p w14:paraId="6203586D" w14:textId="77777777" w:rsidR="00E93F58" w:rsidRPr="00D97EFB" w:rsidRDefault="00E93F58" w:rsidP="00BB7E31">
      <w:pPr>
        <w:pStyle w:val="ActHead5"/>
      </w:pPr>
      <w:bookmarkStart w:id="2864" w:name="_Toc151994711"/>
      <w:bookmarkStart w:id="2865" w:name="_Toc158713221"/>
      <w:r w:rsidRPr="000D40D5">
        <w:rPr>
          <w:rStyle w:val="CharSectno"/>
        </w:rPr>
        <w:t>10.2.208</w:t>
      </w:r>
      <w:r w:rsidRPr="00D97EFB">
        <w:t xml:space="preserve">  Periodic statements</w:t>
      </w:r>
      <w:bookmarkEnd w:id="2864"/>
      <w:bookmarkEnd w:id="2865"/>
    </w:p>
    <w:p w14:paraId="3564268A" w14:textId="77777777" w:rsidR="00E93F58" w:rsidRPr="00D97EFB" w:rsidRDefault="00E93F58" w:rsidP="00BB7E31">
      <w:pPr>
        <w:pStyle w:val="subsection"/>
      </w:pPr>
      <w:r w:rsidRPr="00D97EFB">
        <w:tab/>
        <w:t>(1)</w:t>
      </w:r>
      <w:r w:rsidRPr="00D97EFB">
        <w:tab/>
        <w:t>For section 1444 of the Act, this regulation applies in relation to a basic deposit product:</w:t>
      </w:r>
    </w:p>
    <w:p w14:paraId="5E2746E9" w14:textId="77777777" w:rsidR="00E93F58" w:rsidRPr="00D97EFB" w:rsidRDefault="00E93F58" w:rsidP="00BB7E31">
      <w:pPr>
        <w:pStyle w:val="paragraph"/>
      </w:pPr>
      <w:r w:rsidRPr="00D97EFB">
        <w:tab/>
        <w:t>(a)</w:t>
      </w:r>
      <w:r w:rsidRPr="00D97EFB">
        <w:tab/>
        <w:t>for which the holder of the product is provided with, and keeps, a document commonly referred to as a ‘passbook’ into which entries of deposits to and withdrawals from the product are recorded by the product issuer; and</w:t>
      </w:r>
    </w:p>
    <w:p w14:paraId="23D83D20" w14:textId="77777777" w:rsidR="00E93F58" w:rsidRPr="00D97EFB" w:rsidRDefault="00E93F58" w:rsidP="00BB7E31">
      <w:pPr>
        <w:pStyle w:val="paragraph"/>
      </w:pPr>
      <w:r w:rsidRPr="00D97EFB">
        <w:tab/>
        <w:t>(b)</w:t>
      </w:r>
      <w:r w:rsidRPr="00D97EFB">
        <w:tab/>
        <w:t>that was issued before the FSR commencement.</w:t>
      </w:r>
    </w:p>
    <w:p w14:paraId="39ADBE5B" w14:textId="77777777" w:rsidR="00E93F58" w:rsidRPr="00D97EFB" w:rsidRDefault="00E93F58" w:rsidP="00BB7E31">
      <w:pPr>
        <w:pStyle w:val="subsection"/>
      </w:pPr>
      <w:r w:rsidRPr="00D97EFB">
        <w:tab/>
        <w:t>(2)</w:t>
      </w:r>
      <w:r w:rsidRPr="00D97EFB">
        <w:tab/>
        <w:t>Section 1017D of the Act does not apply in relation to the basic deposit product.</w:t>
      </w:r>
    </w:p>
    <w:p w14:paraId="596C78B5" w14:textId="77777777" w:rsidR="00E93F58" w:rsidRPr="00D97EFB" w:rsidRDefault="00E93F58" w:rsidP="00BB7E31">
      <w:pPr>
        <w:pStyle w:val="ActHead5"/>
      </w:pPr>
      <w:bookmarkStart w:id="2866" w:name="_Toc151994712"/>
      <w:bookmarkStart w:id="2867" w:name="_Toc158713222"/>
      <w:r w:rsidRPr="000D40D5">
        <w:rPr>
          <w:rStyle w:val="CharSectno"/>
        </w:rPr>
        <w:t>10.2.209</w:t>
      </w:r>
      <w:r w:rsidRPr="00D97EFB">
        <w:t xml:space="preserve">  Confirmation of transactions</w:t>
      </w:r>
      <w:bookmarkEnd w:id="2866"/>
      <w:bookmarkEnd w:id="2867"/>
    </w:p>
    <w:p w14:paraId="315F94D1" w14:textId="77777777" w:rsidR="00E93F58" w:rsidRPr="00D97EFB" w:rsidRDefault="00E93F58" w:rsidP="00BB7E31">
      <w:pPr>
        <w:pStyle w:val="subsection"/>
      </w:pPr>
      <w:r w:rsidRPr="00D97EFB">
        <w:tab/>
        <w:t>(1)</w:t>
      </w:r>
      <w:r w:rsidRPr="00D97EFB">
        <w:tab/>
        <w:t>For section 1444 of the Act, this regulation applies in relation to a basic deposit product:</w:t>
      </w:r>
    </w:p>
    <w:p w14:paraId="3ADCE055" w14:textId="77777777" w:rsidR="00E93F58" w:rsidRPr="00D97EFB" w:rsidRDefault="00E93F58" w:rsidP="00BB7E31">
      <w:pPr>
        <w:pStyle w:val="paragraph"/>
      </w:pPr>
      <w:r w:rsidRPr="00D97EFB">
        <w:tab/>
        <w:t>(a)</w:t>
      </w:r>
      <w:r w:rsidRPr="00D97EFB">
        <w:tab/>
        <w:t>for which the holder of the product is provided with, and keeps, a document commonly referred to as a ‘passbook’ into which entries of deposits to and withdrawals from the product are recorded by the product issuer; and</w:t>
      </w:r>
    </w:p>
    <w:p w14:paraId="4696DE84" w14:textId="77777777" w:rsidR="00E93F58" w:rsidRPr="00D97EFB" w:rsidRDefault="00E93F58" w:rsidP="00BB7E31">
      <w:pPr>
        <w:pStyle w:val="paragraph"/>
      </w:pPr>
      <w:r w:rsidRPr="00D97EFB">
        <w:tab/>
        <w:t>(b)</w:t>
      </w:r>
      <w:r w:rsidRPr="00D97EFB">
        <w:tab/>
        <w:t>that was issued before the FSR commencement.</w:t>
      </w:r>
    </w:p>
    <w:p w14:paraId="24E34C4A" w14:textId="77777777" w:rsidR="00E93F58" w:rsidRPr="00D97EFB" w:rsidRDefault="00E93F58" w:rsidP="00BB7E31">
      <w:pPr>
        <w:pStyle w:val="subsection"/>
      </w:pPr>
      <w:r w:rsidRPr="00D97EFB">
        <w:tab/>
        <w:t>(2)</w:t>
      </w:r>
      <w:r w:rsidRPr="00D97EFB">
        <w:tab/>
        <w:t>Section 1017F of the Act does not apply in relation to the basic deposit product.</w:t>
      </w:r>
    </w:p>
    <w:p w14:paraId="3EF280A9" w14:textId="77777777" w:rsidR="00E93F58" w:rsidRPr="00D97EFB" w:rsidRDefault="00E93F58" w:rsidP="00BB7E31">
      <w:pPr>
        <w:pStyle w:val="ActHead3"/>
        <w:pageBreakBefore/>
      </w:pPr>
      <w:bookmarkStart w:id="2868" w:name="_Toc151994713"/>
      <w:bookmarkStart w:id="2869" w:name="_Toc158713223"/>
      <w:r w:rsidRPr="000D40D5">
        <w:rPr>
          <w:rStyle w:val="CharDivNo"/>
        </w:rPr>
        <w:lastRenderedPageBreak/>
        <w:t>Division 47</w:t>
      </w:r>
      <w:r w:rsidRPr="00D97EFB">
        <w:t>—</w:t>
      </w:r>
      <w:r w:rsidRPr="000D40D5">
        <w:rPr>
          <w:rStyle w:val="CharDivText"/>
        </w:rPr>
        <w:t>Agreements with unlicensed persons relating to the provision of financial services</w:t>
      </w:r>
      <w:bookmarkEnd w:id="2868"/>
      <w:bookmarkEnd w:id="2869"/>
    </w:p>
    <w:p w14:paraId="783E9BB2" w14:textId="77777777" w:rsidR="00E93F58" w:rsidRPr="00D97EFB" w:rsidRDefault="00E93F58" w:rsidP="00BB7E31">
      <w:pPr>
        <w:pStyle w:val="ActHead5"/>
      </w:pPr>
      <w:bookmarkStart w:id="2870" w:name="_Toc151994714"/>
      <w:bookmarkStart w:id="2871" w:name="_Toc158713224"/>
      <w:r w:rsidRPr="000D40D5">
        <w:rPr>
          <w:rStyle w:val="CharSectno"/>
        </w:rPr>
        <w:t>10.2.210</w:t>
      </w:r>
      <w:r w:rsidRPr="00D97EFB">
        <w:t xml:space="preserve">  Agreements</w:t>
      </w:r>
      <w:bookmarkEnd w:id="2870"/>
      <w:bookmarkEnd w:id="2871"/>
    </w:p>
    <w:p w14:paraId="14E806BC" w14:textId="77777777" w:rsidR="00E93F58" w:rsidRPr="00D97EFB" w:rsidRDefault="00E93F58" w:rsidP="00BB7E31">
      <w:pPr>
        <w:pStyle w:val="subsection"/>
      </w:pPr>
      <w:r w:rsidRPr="00D97EFB">
        <w:tab/>
        <w:t>(1)</w:t>
      </w:r>
      <w:r w:rsidRPr="00D97EFB">
        <w:tab/>
        <w:t>For section 1444 of the Act, this regulation applies if:</w:t>
      </w:r>
    </w:p>
    <w:p w14:paraId="24571292" w14:textId="77777777" w:rsidR="00E93F58" w:rsidRPr="00D97EFB" w:rsidRDefault="00E93F58" w:rsidP="00BB7E31">
      <w:pPr>
        <w:pStyle w:val="paragraph"/>
      </w:pPr>
      <w:r w:rsidRPr="00D97EFB">
        <w:tab/>
        <w:t>(a)</w:t>
      </w:r>
      <w:r w:rsidRPr="00D97EFB">
        <w:tab/>
        <w:t>a person (</w:t>
      </w:r>
      <w:r w:rsidRPr="00D97EFB">
        <w:rPr>
          <w:b/>
          <w:i/>
        </w:rPr>
        <w:t>person 1</w:t>
      </w:r>
      <w:r w:rsidRPr="00D97EFB">
        <w:t>) enters into an agreement with another person (</w:t>
      </w:r>
      <w:r w:rsidRPr="00D97EFB">
        <w:rPr>
          <w:b/>
          <w:i/>
        </w:rPr>
        <w:t>person 2</w:t>
      </w:r>
      <w:r w:rsidRPr="00D97EFB">
        <w:t>) in the course of an activity conducted by person 2; and</w:t>
      </w:r>
    </w:p>
    <w:p w14:paraId="3B702E53" w14:textId="77777777" w:rsidR="00E93F58" w:rsidRPr="00D97EFB" w:rsidRDefault="00E93F58" w:rsidP="00BB7E31">
      <w:pPr>
        <w:pStyle w:val="paragraph"/>
      </w:pPr>
      <w:r w:rsidRPr="00D97EFB">
        <w:tab/>
        <w:t>(b)</w:t>
      </w:r>
      <w:r w:rsidRPr="00D97EFB">
        <w:tab/>
        <w:t>at that time, Part 7.6 of the Act does not apply to person 2 in relation to the activity; and</w:t>
      </w:r>
    </w:p>
    <w:p w14:paraId="59AE0456" w14:textId="77777777" w:rsidR="00E93F58" w:rsidRPr="00D97EFB" w:rsidRDefault="00E93F58" w:rsidP="00BB7E31">
      <w:pPr>
        <w:pStyle w:val="paragraph"/>
      </w:pPr>
      <w:r w:rsidRPr="00D97EFB">
        <w:tab/>
        <w:t>(c)</w:t>
      </w:r>
      <w:r w:rsidRPr="00D97EFB">
        <w:tab/>
        <w:t>the activity would constitute carrying on a financial services business if Part 7.6 of the Act applied to person 2 in relation to the activity; and</w:t>
      </w:r>
    </w:p>
    <w:p w14:paraId="03E93D73" w14:textId="77777777" w:rsidR="00E93F58" w:rsidRPr="00D97EFB" w:rsidRDefault="00E93F58" w:rsidP="00BB7E31">
      <w:pPr>
        <w:pStyle w:val="paragraph"/>
      </w:pPr>
      <w:r w:rsidRPr="00D97EFB">
        <w:tab/>
        <w:t>(d)</w:t>
      </w:r>
      <w:r w:rsidRPr="00D97EFB">
        <w:tab/>
        <w:t>the agreement is not completed when Part 7.6 of the Act first applies to person 2 in relation to the activity; and</w:t>
      </w:r>
    </w:p>
    <w:p w14:paraId="25E70EF7" w14:textId="77777777" w:rsidR="00E93F58" w:rsidRPr="00D97EFB" w:rsidRDefault="00E93F58" w:rsidP="00BB7E31">
      <w:pPr>
        <w:pStyle w:val="paragraph"/>
      </w:pPr>
      <w:r w:rsidRPr="00D97EFB">
        <w:tab/>
        <w:t>(e)</w:t>
      </w:r>
      <w:r w:rsidRPr="00D97EFB">
        <w:tab/>
        <w:t>when Part 7.6 of the Act first applies to person 2 in relation to the activity, person 2:</w:t>
      </w:r>
    </w:p>
    <w:p w14:paraId="2C35D753" w14:textId="77777777" w:rsidR="00E93F58" w:rsidRPr="00D97EFB" w:rsidRDefault="00E93F58" w:rsidP="00BB7E31">
      <w:pPr>
        <w:pStyle w:val="paragraphsub"/>
      </w:pPr>
      <w:r w:rsidRPr="00D97EFB">
        <w:tab/>
        <w:t>(i)</w:t>
      </w:r>
      <w:r w:rsidRPr="00D97EFB">
        <w:tab/>
        <w:t>does not hold an Australian financial services licence covering the activity; and</w:t>
      </w:r>
    </w:p>
    <w:p w14:paraId="28924A78" w14:textId="77777777" w:rsidR="00E93F58" w:rsidRPr="00D97EFB" w:rsidRDefault="00E93F58" w:rsidP="00BB7E31">
      <w:pPr>
        <w:pStyle w:val="paragraphsub"/>
      </w:pPr>
      <w:r w:rsidRPr="00D97EFB">
        <w:tab/>
        <w:t>(ii)</w:t>
      </w:r>
      <w:r w:rsidRPr="00D97EFB">
        <w:tab/>
        <w:t>is not exempt from the requirement to hold that licence.</w:t>
      </w:r>
    </w:p>
    <w:p w14:paraId="0F3FA3BB" w14:textId="77777777" w:rsidR="00E93F58" w:rsidRPr="00D97EFB" w:rsidRDefault="00E93F58" w:rsidP="00BB7E31">
      <w:pPr>
        <w:pStyle w:val="subsection"/>
      </w:pPr>
      <w:r w:rsidRPr="00D97EFB">
        <w:tab/>
        <w:t>(2)</w:t>
      </w:r>
      <w:r w:rsidRPr="00D97EFB">
        <w:tab/>
        <w:t>Division 11 of Part 7.6 of the Act applies in relation to the agreement to the extent that that Division is not inconsistent with Division 2 of Part 7.3 of the old Corporations Act.</w:t>
      </w:r>
    </w:p>
    <w:p w14:paraId="1778F103" w14:textId="77777777" w:rsidR="00E93F58" w:rsidRPr="00D97EFB" w:rsidRDefault="00E93F58" w:rsidP="00BB7E31">
      <w:pPr>
        <w:pStyle w:val="ActHead3"/>
        <w:pageBreakBefore/>
      </w:pPr>
      <w:bookmarkStart w:id="2872" w:name="_Toc151994715"/>
      <w:bookmarkStart w:id="2873" w:name="_Toc158713225"/>
      <w:r w:rsidRPr="000D40D5">
        <w:rPr>
          <w:rStyle w:val="CharDivNo"/>
        </w:rPr>
        <w:lastRenderedPageBreak/>
        <w:t>Division 48</w:t>
      </w:r>
      <w:r w:rsidRPr="00D97EFB">
        <w:t>—</w:t>
      </w:r>
      <w:r w:rsidRPr="000D40D5">
        <w:rPr>
          <w:rStyle w:val="CharDivText"/>
        </w:rPr>
        <w:t>Arrangements for Lloyd’s</w:t>
      </w:r>
      <w:bookmarkEnd w:id="2872"/>
      <w:bookmarkEnd w:id="2873"/>
    </w:p>
    <w:p w14:paraId="15C2BCC9" w14:textId="77777777" w:rsidR="00E93F58" w:rsidRPr="00D97EFB" w:rsidRDefault="00E93F58" w:rsidP="00BB7E31">
      <w:pPr>
        <w:pStyle w:val="ActHead5"/>
      </w:pPr>
      <w:bookmarkStart w:id="2874" w:name="_Toc151994716"/>
      <w:bookmarkStart w:id="2875" w:name="_Toc158713226"/>
      <w:r w:rsidRPr="000D40D5">
        <w:rPr>
          <w:rStyle w:val="CharSectno"/>
        </w:rPr>
        <w:t>10.2.211</w:t>
      </w:r>
      <w:r w:rsidRPr="00D97EFB">
        <w:t xml:space="preserve">  Lloyd’s</w:t>
      </w:r>
      <w:bookmarkEnd w:id="2874"/>
      <w:bookmarkEnd w:id="2875"/>
    </w:p>
    <w:p w14:paraId="6AD12370" w14:textId="77777777" w:rsidR="00E93F58" w:rsidRPr="00D97EFB" w:rsidRDefault="00E93F58" w:rsidP="00BB7E31">
      <w:pPr>
        <w:pStyle w:val="subsection"/>
      </w:pPr>
      <w:r w:rsidRPr="00D97EFB">
        <w:tab/>
        <w:t>(1)</w:t>
      </w:r>
      <w:r w:rsidRPr="00D97EFB">
        <w:tab/>
        <w:t>For section 1444 of the Act, subsection 911A(1) of the Act does not apply in relation to a financial service:</w:t>
      </w:r>
    </w:p>
    <w:p w14:paraId="74497745" w14:textId="77777777" w:rsidR="00E93F58" w:rsidRPr="00D97EFB" w:rsidRDefault="00E93F58" w:rsidP="00BB7E31">
      <w:pPr>
        <w:pStyle w:val="paragraph"/>
      </w:pPr>
      <w:r w:rsidRPr="00D97EFB">
        <w:tab/>
        <w:t>(a)</w:t>
      </w:r>
      <w:r w:rsidRPr="00D97EFB">
        <w:tab/>
        <w:t>that is provided by:</w:t>
      </w:r>
    </w:p>
    <w:p w14:paraId="41718E5F" w14:textId="77777777" w:rsidR="00E93F58" w:rsidRPr="00D97EFB" w:rsidRDefault="00E93F58" w:rsidP="00BB7E31">
      <w:pPr>
        <w:pStyle w:val="paragraphsub"/>
      </w:pPr>
      <w:r w:rsidRPr="00D97EFB">
        <w:tab/>
        <w:t>(i)</w:t>
      </w:r>
      <w:r w:rsidRPr="00D97EFB">
        <w:tab/>
        <w:t>a Lloyd’s underwriting member; or</w:t>
      </w:r>
    </w:p>
    <w:p w14:paraId="3C6FB98A" w14:textId="77777777" w:rsidR="00E93F58" w:rsidRPr="00D97EFB" w:rsidRDefault="00E93F58" w:rsidP="00BB7E31">
      <w:pPr>
        <w:pStyle w:val="paragraphsub"/>
      </w:pPr>
      <w:r w:rsidRPr="00D97EFB">
        <w:tab/>
        <w:t>(ii)</w:t>
      </w:r>
      <w:r w:rsidRPr="00D97EFB">
        <w:tab/>
        <w:t>a listed Lloyd’s syndicate of underwriting members; and</w:t>
      </w:r>
    </w:p>
    <w:p w14:paraId="252DB39C" w14:textId="77777777" w:rsidR="00E93F58" w:rsidRPr="00D97EFB" w:rsidRDefault="00E93F58" w:rsidP="00BB7E31">
      <w:pPr>
        <w:pStyle w:val="paragraph"/>
      </w:pPr>
      <w:r w:rsidRPr="00D97EFB">
        <w:tab/>
        <w:t>(b)</w:t>
      </w:r>
      <w:r w:rsidRPr="00D97EFB">
        <w:tab/>
        <w:t>to which subregulation (2) applies.</w:t>
      </w:r>
    </w:p>
    <w:p w14:paraId="65501E4B" w14:textId="77777777" w:rsidR="00E93F58" w:rsidRPr="00D97EFB" w:rsidRDefault="00E93F58" w:rsidP="00BB7E31">
      <w:pPr>
        <w:pStyle w:val="subsection"/>
      </w:pPr>
      <w:r w:rsidRPr="00D97EFB">
        <w:tab/>
        <w:t>(2)</w:t>
      </w:r>
      <w:r w:rsidRPr="00D97EFB">
        <w:tab/>
        <w:t>The financial service must be a service in relation to which the Lloyd’s underwriting member, or the syndicate, is regulated by APRA at any time within 2 years after the FSR commencement.</w:t>
      </w:r>
    </w:p>
    <w:p w14:paraId="4DA70D0B" w14:textId="77777777" w:rsidR="00E93F58" w:rsidRPr="00D97EFB" w:rsidRDefault="00E93F58" w:rsidP="00BB7E31">
      <w:pPr>
        <w:pStyle w:val="subsection"/>
      </w:pPr>
      <w:r w:rsidRPr="00D97EFB">
        <w:tab/>
        <w:t>(3)</w:t>
      </w:r>
      <w:r w:rsidRPr="00D97EFB">
        <w:tab/>
        <w:t>In this regulation:</w:t>
      </w:r>
    </w:p>
    <w:p w14:paraId="1CAC4B1F" w14:textId="77777777" w:rsidR="00E93F58" w:rsidRPr="00D97EFB" w:rsidRDefault="00E93F58" w:rsidP="00BB7E31">
      <w:pPr>
        <w:pStyle w:val="Definition"/>
      </w:pPr>
      <w:r w:rsidRPr="00D97EFB">
        <w:rPr>
          <w:b/>
          <w:i/>
        </w:rPr>
        <w:t>Lloyd’s</w:t>
      </w:r>
      <w:r w:rsidRPr="00D97EFB">
        <w:t xml:space="preserve"> means the society incorporated by the Act of the United Kingdom known as the Lloyd’s Act 1871.</w:t>
      </w:r>
    </w:p>
    <w:p w14:paraId="18CA9BDC" w14:textId="77777777" w:rsidR="00E93F58" w:rsidRPr="00D97EFB" w:rsidRDefault="00E93F58" w:rsidP="00BB7E31">
      <w:pPr>
        <w:pStyle w:val="ActHead3"/>
        <w:pageBreakBefore/>
      </w:pPr>
      <w:bookmarkStart w:id="2876" w:name="_Toc151994717"/>
      <w:bookmarkStart w:id="2877" w:name="_Toc158713227"/>
      <w:r w:rsidRPr="000D40D5">
        <w:rPr>
          <w:rStyle w:val="CharDivNo"/>
        </w:rPr>
        <w:lastRenderedPageBreak/>
        <w:t>Division 49</w:t>
      </w:r>
      <w:r w:rsidRPr="00D97EFB">
        <w:t>—</w:t>
      </w:r>
      <w:r w:rsidRPr="000D40D5">
        <w:rPr>
          <w:rStyle w:val="CharDivText"/>
        </w:rPr>
        <w:t>Hawking of certain financial products</w:t>
      </w:r>
      <w:bookmarkEnd w:id="2876"/>
      <w:bookmarkEnd w:id="2877"/>
    </w:p>
    <w:p w14:paraId="2FCA1838" w14:textId="77777777" w:rsidR="00E93F58" w:rsidRPr="00D97EFB" w:rsidRDefault="00E93F58" w:rsidP="00BB7E31">
      <w:pPr>
        <w:pStyle w:val="ActHead5"/>
      </w:pPr>
      <w:bookmarkStart w:id="2878" w:name="_Toc151994718"/>
      <w:bookmarkStart w:id="2879" w:name="_Toc158713228"/>
      <w:r w:rsidRPr="000D40D5">
        <w:rPr>
          <w:rStyle w:val="CharSectno"/>
        </w:rPr>
        <w:t>10.2.212</w:t>
      </w:r>
      <w:r w:rsidRPr="00D97EFB">
        <w:t xml:space="preserve">  Hawking of managed investment products</w:t>
      </w:r>
      <w:bookmarkEnd w:id="2878"/>
      <w:bookmarkEnd w:id="2879"/>
    </w:p>
    <w:p w14:paraId="770FF940" w14:textId="77777777" w:rsidR="00E93F58" w:rsidRPr="00D97EFB" w:rsidRDefault="00E93F58" w:rsidP="00BB7E31">
      <w:pPr>
        <w:pStyle w:val="subsection"/>
        <w:rPr>
          <w:snapToGrid w:val="0"/>
        </w:rPr>
      </w:pPr>
      <w:r w:rsidRPr="00D97EFB">
        <w:rPr>
          <w:snapToGrid w:val="0"/>
        </w:rPr>
        <w:tab/>
        <w:t>(1)</w:t>
      </w:r>
      <w:r w:rsidRPr="00D97EFB">
        <w:rPr>
          <w:snapToGrid w:val="0"/>
        </w:rPr>
        <w:tab/>
        <w:t>For section 1444 of the Act, a reference in subsection 992AA(2) of the Act to a financial services licensee includes a regulated principal.</w:t>
      </w:r>
    </w:p>
    <w:p w14:paraId="3ADA1572" w14:textId="77777777" w:rsidR="00E93F58" w:rsidRPr="00D97EFB" w:rsidRDefault="00E93F58" w:rsidP="00BB7E31">
      <w:pPr>
        <w:pStyle w:val="subsection"/>
        <w:rPr>
          <w:snapToGrid w:val="0"/>
        </w:rPr>
      </w:pPr>
      <w:r w:rsidRPr="00D97EFB">
        <w:rPr>
          <w:snapToGrid w:val="0"/>
        </w:rPr>
        <w:tab/>
        <w:t>(2)</w:t>
      </w:r>
      <w:r w:rsidRPr="00D97EFB">
        <w:rPr>
          <w:snapToGrid w:val="0"/>
        </w:rPr>
        <w:tab/>
        <w:t>Subregulation (1) ceases to apply in relation to a regulated principal at the end of the transition period in relation to the regulated principal.</w:t>
      </w:r>
    </w:p>
    <w:p w14:paraId="5B75805E" w14:textId="77777777" w:rsidR="00E93F58" w:rsidRPr="00D97EFB" w:rsidRDefault="00E93F58" w:rsidP="00BB7E31">
      <w:pPr>
        <w:pStyle w:val="ActHead3"/>
        <w:pageBreakBefore/>
      </w:pPr>
      <w:bookmarkStart w:id="2880" w:name="_Toc151994719"/>
      <w:bookmarkStart w:id="2881" w:name="_Toc158713229"/>
      <w:r w:rsidRPr="000D40D5">
        <w:rPr>
          <w:rStyle w:val="CharDivNo"/>
        </w:rPr>
        <w:lastRenderedPageBreak/>
        <w:t>Division 50</w:t>
      </w:r>
      <w:r w:rsidRPr="00D97EFB">
        <w:t>—</w:t>
      </w:r>
      <w:r w:rsidRPr="000D40D5">
        <w:rPr>
          <w:rStyle w:val="CharDivText"/>
        </w:rPr>
        <w:t>Warrants or options to acquire issued securities</w:t>
      </w:r>
      <w:bookmarkEnd w:id="2880"/>
      <w:bookmarkEnd w:id="2881"/>
    </w:p>
    <w:p w14:paraId="45CA7AB4" w14:textId="77777777" w:rsidR="00E93F58" w:rsidRPr="00D97EFB" w:rsidRDefault="00E93F58" w:rsidP="00BB7E31">
      <w:pPr>
        <w:pStyle w:val="ActHead5"/>
      </w:pPr>
      <w:bookmarkStart w:id="2882" w:name="_Toc151994720"/>
      <w:bookmarkStart w:id="2883" w:name="_Toc158713230"/>
      <w:r w:rsidRPr="000D40D5">
        <w:rPr>
          <w:rStyle w:val="CharSectno"/>
        </w:rPr>
        <w:t>10.2.213</w:t>
      </w:r>
      <w:r w:rsidRPr="00D97EFB">
        <w:t xml:space="preserve">  Warrants or options to acquire issued securities</w:t>
      </w:r>
      <w:bookmarkEnd w:id="2882"/>
      <w:bookmarkEnd w:id="2883"/>
    </w:p>
    <w:p w14:paraId="03D21C18" w14:textId="77777777" w:rsidR="00E93F58" w:rsidRPr="00D97EFB" w:rsidRDefault="00E93F58" w:rsidP="00BB7E31">
      <w:pPr>
        <w:pStyle w:val="subsection"/>
      </w:pPr>
      <w:r w:rsidRPr="00D97EFB">
        <w:tab/>
      </w:r>
      <w:r w:rsidRPr="00D97EFB">
        <w:tab/>
        <w:t>For section 1444 of the Act, if a warrant or option to acquire issued securities by way of transfer is a financial product:</w:t>
      </w:r>
    </w:p>
    <w:p w14:paraId="2E8C69E2" w14:textId="77777777" w:rsidR="00E93F58" w:rsidRPr="00D97EFB" w:rsidRDefault="00E93F58" w:rsidP="00BB7E31">
      <w:pPr>
        <w:pStyle w:val="paragraph"/>
      </w:pPr>
      <w:r w:rsidRPr="00D97EFB">
        <w:tab/>
        <w:t>(a)</w:t>
      </w:r>
      <w:r w:rsidRPr="00D97EFB">
        <w:tab/>
        <w:t xml:space="preserve">to which the definition of </w:t>
      </w:r>
      <w:r w:rsidRPr="00D97EFB">
        <w:rPr>
          <w:b/>
          <w:i/>
        </w:rPr>
        <w:t>securities</w:t>
      </w:r>
      <w:r w:rsidRPr="00D97EFB">
        <w:t xml:space="preserve"> in subsection 92(3) of the old Corporations Act applied; and</w:t>
      </w:r>
    </w:p>
    <w:p w14:paraId="5BC6E089" w14:textId="77777777" w:rsidR="00E93F58" w:rsidRPr="00D97EFB" w:rsidRDefault="00E93F58" w:rsidP="00BB7E31">
      <w:pPr>
        <w:pStyle w:val="paragraph"/>
      </w:pPr>
      <w:r w:rsidRPr="00D97EFB">
        <w:tab/>
        <w:t>(b)</w:t>
      </w:r>
      <w:r w:rsidRPr="00D97EFB">
        <w:tab/>
        <w:t>to which Chapter 6D of that Act applied;</w:t>
      </w:r>
    </w:p>
    <w:p w14:paraId="77A0D503" w14:textId="77777777" w:rsidR="00E93F58" w:rsidRPr="00D97EFB" w:rsidRDefault="00E93F58" w:rsidP="00BB7E31">
      <w:pPr>
        <w:pStyle w:val="subsection2"/>
      </w:pPr>
      <w:r w:rsidRPr="00D97EFB">
        <w:t>Chapter 6D is taken to apply during the transition period for those products.</w:t>
      </w:r>
    </w:p>
    <w:p w14:paraId="7018CDD9" w14:textId="77777777" w:rsidR="00E93F58" w:rsidRPr="00D97EFB" w:rsidRDefault="00E93F58" w:rsidP="00BB7E31">
      <w:pPr>
        <w:pStyle w:val="ActHead3"/>
        <w:pageBreakBefore/>
      </w:pPr>
      <w:bookmarkStart w:id="2884" w:name="_Toc151994721"/>
      <w:bookmarkStart w:id="2885" w:name="_Toc158713231"/>
      <w:r w:rsidRPr="000D40D5">
        <w:rPr>
          <w:rStyle w:val="CharDivNo"/>
        </w:rPr>
        <w:lastRenderedPageBreak/>
        <w:t>Division 52</w:t>
      </w:r>
      <w:r w:rsidRPr="00D97EFB">
        <w:t>—</w:t>
      </w:r>
      <w:r w:rsidRPr="000D40D5">
        <w:rPr>
          <w:rStyle w:val="CharDivText"/>
        </w:rPr>
        <w:t>Winding up of fidelity funds if market ceases to operate</w:t>
      </w:r>
      <w:bookmarkEnd w:id="2884"/>
      <w:bookmarkEnd w:id="2885"/>
    </w:p>
    <w:p w14:paraId="029DDE1E" w14:textId="77777777" w:rsidR="00E93F58" w:rsidRPr="00D97EFB" w:rsidRDefault="00E93F58" w:rsidP="00BB7E31">
      <w:pPr>
        <w:pStyle w:val="ActHead5"/>
      </w:pPr>
      <w:bookmarkStart w:id="2886" w:name="_Toc151994722"/>
      <w:bookmarkStart w:id="2887" w:name="_Toc158713232"/>
      <w:r w:rsidRPr="000D40D5">
        <w:rPr>
          <w:rStyle w:val="CharSectno"/>
        </w:rPr>
        <w:t>10.2.215</w:t>
      </w:r>
      <w:r w:rsidRPr="00D97EFB">
        <w:t xml:space="preserve">  Winding up of fidelity funds if market ceases to operate</w:t>
      </w:r>
      <w:bookmarkEnd w:id="2886"/>
      <w:bookmarkEnd w:id="2887"/>
    </w:p>
    <w:p w14:paraId="7D5EE81B" w14:textId="77777777" w:rsidR="00E93F58" w:rsidRPr="00D97EFB" w:rsidRDefault="00E93F58" w:rsidP="00BB7E31">
      <w:pPr>
        <w:pStyle w:val="subsection"/>
      </w:pPr>
      <w:r w:rsidRPr="00D97EFB">
        <w:tab/>
        <w:t>(1)</w:t>
      </w:r>
      <w:r w:rsidRPr="00D97EFB">
        <w:tab/>
        <w:t>For subsection 1416(1) of the Act, section 886B of the Act applies in relation to a fidelity fund kept by the operator of a financial market that, at a time in the transition period for the market, ceases to operate (otherwise than because of a merger).</w:t>
      </w:r>
    </w:p>
    <w:p w14:paraId="3CFB5164" w14:textId="77777777" w:rsidR="00E93F58" w:rsidRPr="00D97EFB" w:rsidRDefault="00E93F58" w:rsidP="00BB7E31">
      <w:pPr>
        <w:pStyle w:val="subsection"/>
      </w:pPr>
      <w:r w:rsidRPr="00D97EFB">
        <w:tab/>
        <w:t>(2)</w:t>
      </w:r>
      <w:r w:rsidRPr="00D97EFB">
        <w:tab/>
        <w:t xml:space="preserve">For paragraph 886B(c) of the Act, subsection (3) applies if, at a time during the transition period for a financial market on which derivatives are traded, a person (the </w:t>
      </w:r>
      <w:r w:rsidRPr="00D97EFB">
        <w:rPr>
          <w:b/>
          <w:i/>
        </w:rPr>
        <w:t>first person</w:t>
      </w:r>
      <w:r w:rsidRPr="00D97EFB">
        <w:t xml:space="preserve">) ceases to operate the market (other than because of a merger), and another person (the </w:t>
      </w:r>
      <w:r w:rsidRPr="00D97EFB">
        <w:rPr>
          <w:b/>
          <w:i/>
        </w:rPr>
        <w:t>second person</w:t>
      </w:r>
      <w:r w:rsidRPr="00D97EFB">
        <w:t>) that is a related body corporate operates a financial market:</w:t>
      </w:r>
    </w:p>
    <w:p w14:paraId="106E445F" w14:textId="77777777" w:rsidR="00E93F58" w:rsidRPr="00D97EFB" w:rsidRDefault="00E93F58" w:rsidP="00BB7E31">
      <w:pPr>
        <w:pStyle w:val="paragraph"/>
      </w:pPr>
      <w:r w:rsidRPr="00D97EFB">
        <w:tab/>
        <w:t>(a)</w:t>
      </w:r>
      <w:r w:rsidRPr="00D97EFB">
        <w:tab/>
        <w:t>in relation to which, or a segment of which, there are required, after the end of the transition period, to be compensation arrangements approved in accordance with Division 3 of Part 7.5 of the Act; and</w:t>
      </w:r>
    </w:p>
    <w:p w14:paraId="71419839" w14:textId="77777777" w:rsidR="00E93F58" w:rsidRPr="00D97EFB" w:rsidRDefault="00E93F58" w:rsidP="00BB7E31">
      <w:pPr>
        <w:pStyle w:val="paragraph"/>
      </w:pPr>
      <w:r w:rsidRPr="00D97EFB">
        <w:tab/>
        <w:t>(b)</w:t>
      </w:r>
      <w:r w:rsidRPr="00D97EFB">
        <w:tab/>
        <w:t>on which derivatives are also traded.</w:t>
      </w:r>
    </w:p>
    <w:p w14:paraId="7C79A6E2" w14:textId="77777777" w:rsidR="00E93F58" w:rsidRPr="00D97EFB" w:rsidRDefault="00E93F58" w:rsidP="00BB7E31">
      <w:pPr>
        <w:pStyle w:val="subsection"/>
      </w:pPr>
      <w:r w:rsidRPr="00D97EFB">
        <w:tab/>
        <w:t>(3)</w:t>
      </w:r>
      <w:r w:rsidRPr="00D97EFB">
        <w:tab/>
        <w:t>The assets of the fidelity fund held by the first person for the market it had operated may be:</w:t>
      </w:r>
    </w:p>
    <w:p w14:paraId="620426C2" w14:textId="77777777" w:rsidR="00E93F58" w:rsidRPr="00D97EFB" w:rsidRDefault="00E93F58" w:rsidP="00BB7E31">
      <w:pPr>
        <w:pStyle w:val="paragraph"/>
      </w:pPr>
      <w:r w:rsidRPr="00D97EFB">
        <w:tab/>
        <w:t>(a)</w:t>
      </w:r>
      <w:r w:rsidRPr="00D97EFB">
        <w:tab/>
        <w:t>transferred to the fidelity fund held by the second person for the market, or segment of the market, that it operates; or</w:t>
      </w:r>
    </w:p>
    <w:p w14:paraId="544FC7A7" w14:textId="77777777" w:rsidR="00E93F58" w:rsidRPr="00D97EFB" w:rsidRDefault="00E93F58" w:rsidP="00BB7E31">
      <w:pPr>
        <w:pStyle w:val="paragraph"/>
      </w:pPr>
      <w:r w:rsidRPr="00D97EFB">
        <w:tab/>
        <w:t>(b)</w:t>
      </w:r>
      <w:r w:rsidRPr="00D97EFB">
        <w:tab/>
        <w:t>held as, or as part of, the fidelity fund held for the market, or segment of the market, operated by the second person.</w:t>
      </w:r>
    </w:p>
    <w:p w14:paraId="13AB3015" w14:textId="77777777" w:rsidR="00E93F58" w:rsidRPr="00D97EFB" w:rsidRDefault="00E93F58" w:rsidP="00BB7E31">
      <w:pPr>
        <w:pStyle w:val="ActHead2"/>
        <w:pageBreakBefore/>
      </w:pPr>
      <w:bookmarkStart w:id="2888" w:name="_Toc151994723"/>
      <w:bookmarkStart w:id="2889" w:name="_Toc158713233"/>
      <w:r w:rsidRPr="000D40D5">
        <w:rPr>
          <w:rStyle w:val="CharPartNo"/>
        </w:rPr>
        <w:lastRenderedPageBreak/>
        <w:t>Part 10.5</w:t>
      </w:r>
      <w:r w:rsidRPr="00D97EFB">
        <w:t>—</w:t>
      </w:r>
      <w:r w:rsidRPr="000D40D5">
        <w:rPr>
          <w:rStyle w:val="CharPartText"/>
        </w:rPr>
        <w:t>Transitional provisions relating to the Corporate Law Economic Reform Program (Audit Reform and Corporate Disclosure) Act 2004</w:t>
      </w:r>
      <w:bookmarkEnd w:id="2888"/>
      <w:bookmarkEnd w:id="2889"/>
    </w:p>
    <w:p w14:paraId="29604403"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6D1DEB46" w14:textId="77777777" w:rsidR="00E93F58" w:rsidRPr="00D97EFB" w:rsidRDefault="00E93F58" w:rsidP="00BB7E31">
      <w:pPr>
        <w:pStyle w:val="ActHead5"/>
      </w:pPr>
      <w:bookmarkStart w:id="2890" w:name="_Toc151994724"/>
      <w:bookmarkStart w:id="2891" w:name="_Toc158713234"/>
      <w:r w:rsidRPr="000D40D5">
        <w:rPr>
          <w:rStyle w:val="CharSectno"/>
        </w:rPr>
        <w:t>10.5.01</w:t>
      </w:r>
      <w:r w:rsidRPr="00D97EFB">
        <w:t xml:space="preserve">  Adoption of auditing standards made by accounting profession before commencement (Act ss 1455(1) and (3))</w:t>
      </w:r>
      <w:bookmarkEnd w:id="2890"/>
      <w:bookmarkEnd w:id="2891"/>
    </w:p>
    <w:p w14:paraId="2FD7C182" w14:textId="77777777" w:rsidR="00E93F58" w:rsidRPr="00D97EFB" w:rsidRDefault="00E93F58" w:rsidP="00BB7E31">
      <w:pPr>
        <w:pStyle w:val="subsection"/>
      </w:pPr>
      <w:r w:rsidRPr="00D97EFB">
        <w:tab/>
        <w:t>(1)</w:t>
      </w:r>
      <w:r w:rsidRPr="00D97EFB">
        <w:tab/>
        <w:t>For subsections 1455(1) and (3) of the Act:</w:t>
      </w:r>
    </w:p>
    <w:p w14:paraId="0327736B" w14:textId="77777777" w:rsidR="00E93F58" w:rsidRPr="00D97EFB" w:rsidRDefault="00E93F58" w:rsidP="00BB7E31">
      <w:pPr>
        <w:pStyle w:val="paragraph"/>
      </w:pPr>
      <w:r w:rsidRPr="00D97EFB">
        <w:tab/>
        <w:t>(a)</w:t>
      </w:r>
      <w:r w:rsidRPr="00D97EFB">
        <w:tab/>
        <w:t>a standard (as in force from time to time) mentioned in the table has effect, for the purposes of the Act, as if it had been made by the AUASB under section 336 of the Act on 1 July 2004; and</w:t>
      </w:r>
    </w:p>
    <w:p w14:paraId="1B838586" w14:textId="77777777" w:rsidR="00E93F58" w:rsidRPr="00D97EFB" w:rsidRDefault="00E93F58" w:rsidP="00BB7E31">
      <w:pPr>
        <w:pStyle w:val="paragraph"/>
      </w:pPr>
      <w:r w:rsidRPr="00D97EFB">
        <w:tab/>
        <w:t>(b)</w:t>
      </w:r>
      <w:r w:rsidRPr="00D97EFB">
        <w:tab/>
        <w:t>a standard mentioned in Part 1 of the table has effect as if it specified that it applies to a financial reporting period ending on or after 1 July 2004; and</w:t>
      </w:r>
    </w:p>
    <w:p w14:paraId="1FA61B42" w14:textId="77777777" w:rsidR="00E93F58" w:rsidRPr="00D97EFB" w:rsidRDefault="00E93F58" w:rsidP="00BB7E31">
      <w:pPr>
        <w:pStyle w:val="paragraph"/>
      </w:pPr>
      <w:r w:rsidRPr="00D97EFB">
        <w:tab/>
        <w:t>(c)</w:t>
      </w:r>
      <w:r w:rsidRPr="00D97EFB">
        <w:tab/>
        <w:t>a standard mentioned in Part 2 of the table has effect as if it specified that it applies to a financial reporting period beginning on or after 15 December 2004; and</w:t>
      </w:r>
    </w:p>
    <w:p w14:paraId="42707896" w14:textId="77777777" w:rsidR="00E93F58" w:rsidRPr="00D97EFB" w:rsidRDefault="00E93F58" w:rsidP="00BB7E31">
      <w:pPr>
        <w:pStyle w:val="paragraph"/>
      </w:pPr>
      <w:r w:rsidRPr="00D97EFB">
        <w:tab/>
        <w:t>(d)</w:t>
      </w:r>
      <w:r w:rsidRPr="00D97EFB">
        <w:tab/>
        <w:t>a standard mentioned in Part 3 of the table has effect as if it specified that it applies to a financial reporting period beginning on or after 15 June 2005.</w:t>
      </w:r>
    </w:p>
    <w:p w14:paraId="6FCEE283" w14:textId="77777777" w:rsidR="00E93F58" w:rsidRPr="00D97EFB" w:rsidRDefault="00E93F58" w:rsidP="00BB7E31">
      <w:pPr>
        <w:pStyle w:val="Tabletext"/>
      </w:pPr>
    </w:p>
    <w:tbl>
      <w:tblPr>
        <w:tblW w:w="5000" w:type="pct"/>
        <w:tblLook w:val="01E0" w:firstRow="1" w:lastRow="1" w:firstColumn="1" w:lastColumn="1" w:noHBand="0" w:noVBand="0"/>
      </w:tblPr>
      <w:tblGrid>
        <w:gridCol w:w="1043"/>
        <w:gridCol w:w="1043"/>
        <w:gridCol w:w="8687"/>
      </w:tblGrid>
      <w:tr w:rsidR="00E93F58" w:rsidRPr="00D97EFB" w14:paraId="60748797" w14:textId="77777777" w:rsidTr="005828AC">
        <w:trPr>
          <w:tblHeader/>
        </w:trPr>
        <w:tc>
          <w:tcPr>
            <w:tcW w:w="484" w:type="pct"/>
            <w:tcBorders>
              <w:top w:val="single" w:sz="12" w:space="0" w:color="auto"/>
              <w:bottom w:val="single" w:sz="12" w:space="0" w:color="auto"/>
            </w:tcBorders>
          </w:tcPr>
          <w:p w14:paraId="6ED4BB7D" w14:textId="77777777" w:rsidR="00E93F58" w:rsidRPr="00D97EFB" w:rsidRDefault="00E93F58" w:rsidP="004810D6">
            <w:pPr>
              <w:pStyle w:val="TableHeading"/>
            </w:pPr>
            <w:r w:rsidRPr="00D97EFB">
              <w:t>Item</w:t>
            </w:r>
          </w:p>
        </w:tc>
        <w:tc>
          <w:tcPr>
            <w:tcW w:w="484" w:type="pct"/>
            <w:tcBorders>
              <w:top w:val="single" w:sz="12" w:space="0" w:color="auto"/>
              <w:bottom w:val="single" w:sz="12" w:space="0" w:color="auto"/>
            </w:tcBorders>
            <w:shd w:val="clear" w:color="auto" w:fill="auto"/>
          </w:tcPr>
          <w:p w14:paraId="7229AD02" w14:textId="77777777" w:rsidR="00E93F58" w:rsidRPr="00D97EFB" w:rsidRDefault="00E93F58" w:rsidP="004810D6">
            <w:pPr>
              <w:pStyle w:val="TableHeading"/>
            </w:pPr>
            <w:r w:rsidRPr="00D97EFB">
              <w:t>AUS No.</w:t>
            </w:r>
          </w:p>
        </w:tc>
        <w:tc>
          <w:tcPr>
            <w:tcW w:w="4032" w:type="pct"/>
            <w:tcBorders>
              <w:top w:val="single" w:sz="12" w:space="0" w:color="auto"/>
              <w:bottom w:val="single" w:sz="12" w:space="0" w:color="auto"/>
            </w:tcBorders>
            <w:shd w:val="clear" w:color="auto" w:fill="auto"/>
          </w:tcPr>
          <w:p w14:paraId="43DF16A5" w14:textId="77777777" w:rsidR="00E93F58" w:rsidRPr="00D97EFB" w:rsidRDefault="00E93F58" w:rsidP="004810D6">
            <w:pPr>
              <w:pStyle w:val="TableHeading"/>
            </w:pPr>
            <w:r w:rsidRPr="00D97EFB">
              <w:t>Title</w:t>
            </w:r>
          </w:p>
        </w:tc>
      </w:tr>
      <w:tr w:rsidR="00E93F58" w:rsidRPr="00D97EFB" w14:paraId="37CB69C7" w14:textId="77777777" w:rsidTr="005828AC">
        <w:tc>
          <w:tcPr>
            <w:tcW w:w="5000" w:type="pct"/>
            <w:gridSpan w:val="3"/>
            <w:tcBorders>
              <w:top w:val="single" w:sz="12" w:space="0" w:color="auto"/>
              <w:bottom w:val="single" w:sz="4" w:space="0" w:color="auto"/>
            </w:tcBorders>
          </w:tcPr>
          <w:p w14:paraId="718288EA" w14:textId="77777777" w:rsidR="00E93F58" w:rsidRPr="00D97EFB" w:rsidRDefault="00E93F58" w:rsidP="00214218">
            <w:pPr>
              <w:pStyle w:val="TableHeading"/>
              <w:spacing w:before="120"/>
            </w:pPr>
            <w:r w:rsidRPr="00D97EFB">
              <w:t>Part 1</w:t>
            </w:r>
          </w:p>
        </w:tc>
      </w:tr>
      <w:tr w:rsidR="00E93F58" w:rsidRPr="00D97EFB" w14:paraId="0AD5FFFA" w14:textId="77777777" w:rsidTr="005828AC">
        <w:tc>
          <w:tcPr>
            <w:tcW w:w="484" w:type="pct"/>
            <w:tcBorders>
              <w:top w:val="single" w:sz="4" w:space="0" w:color="auto"/>
              <w:bottom w:val="single" w:sz="4" w:space="0" w:color="auto"/>
            </w:tcBorders>
          </w:tcPr>
          <w:p w14:paraId="11A5B902" w14:textId="77777777" w:rsidR="00E93F58" w:rsidRPr="00D97EFB" w:rsidRDefault="00E93F58" w:rsidP="00BB7E31">
            <w:pPr>
              <w:pStyle w:val="Tabletext"/>
            </w:pPr>
            <w:r w:rsidRPr="00D97EFB">
              <w:t>101</w:t>
            </w:r>
          </w:p>
        </w:tc>
        <w:tc>
          <w:tcPr>
            <w:tcW w:w="484" w:type="pct"/>
            <w:tcBorders>
              <w:top w:val="single" w:sz="4" w:space="0" w:color="auto"/>
              <w:bottom w:val="single" w:sz="4" w:space="0" w:color="auto"/>
            </w:tcBorders>
            <w:shd w:val="clear" w:color="auto" w:fill="auto"/>
          </w:tcPr>
          <w:p w14:paraId="1DB740AB" w14:textId="77777777" w:rsidR="00E93F58" w:rsidRPr="00D97EFB" w:rsidRDefault="00E93F58" w:rsidP="00BB7E31">
            <w:pPr>
              <w:pStyle w:val="Tabletext"/>
            </w:pPr>
            <w:r w:rsidRPr="00D97EFB">
              <w:t>104</w:t>
            </w:r>
          </w:p>
        </w:tc>
        <w:tc>
          <w:tcPr>
            <w:tcW w:w="4032" w:type="pct"/>
            <w:tcBorders>
              <w:top w:val="single" w:sz="4" w:space="0" w:color="auto"/>
              <w:bottom w:val="single" w:sz="4" w:space="0" w:color="auto"/>
            </w:tcBorders>
            <w:shd w:val="clear" w:color="auto" w:fill="auto"/>
          </w:tcPr>
          <w:p w14:paraId="1A38A9C7" w14:textId="77777777" w:rsidR="00E93F58" w:rsidRPr="00D97EFB" w:rsidRDefault="00E93F58" w:rsidP="00BB7E31">
            <w:pPr>
              <w:pStyle w:val="Tabletext"/>
            </w:pPr>
            <w:r w:rsidRPr="00D97EFB">
              <w:t>Glossary of Terms</w:t>
            </w:r>
          </w:p>
        </w:tc>
      </w:tr>
      <w:tr w:rsidR="00E93F58" w:rsidRPr="00D97EFB" w14:paraId="1DC0EFE9" w14:textId="77777777" w:rsidTr="005828AC">
        <w:tc>
          <w:tcPr>
            <w:tcW w:w="484" w:type="pct"/>
            <w:tcBorders>
              <w:top w:val="single" w:sz="4" w:space="0" w:color="auto"/>
              <w:bottom w:val="single" w:sz="4" w:space="0" w:color="auto"/>
            </w:tcBorders>
          </w:tcPr>
          <w:p w14:paraId="4EC9D4A3" w14:textId="77777777" w:rsidR="00E93F58" w:rsidRPr="00D97EFB" w:rsidRDefault="00E93F58" w:rsidP="00BB7E31">
            <w:pPr>
              <w:pStyle w:val="Tabletext"/>
            </w:pPr>
            <w:r w:rsidRPr="00D97EFB">
              <w:t>102</w:t>
            </w:r>
          </w:p>
        </w:tc>
        <w:tc>
          <w:tcPr>
            <w:tcW w:w="484" w:type="pct"/>
            <w:tcBorders>
              <w:top w:val="single" w:sz="4" w:space="0" w:color="auto"/>
              <w:bottom w:val="single" w:sz="4" w:space="0" w:color="auto"/>
            </w:tcBorders>
            <w:shd w:val="clear" w:color="auto" w:fill="auto"/>
          </w:tcPr>
          <w:p w14:paraId="2FEF619C" w14:textId="77777777" w:rsidR="00E93F58" w:rsidRPr="00D97EFB" w:rsidRDefault="00E93F58" w:rsidP="00BB7E31">
            <w:pPr>
              <w:pStyle w:val="Tabletext"/>
            </w:pPr>
            <w:r w:rsidRPr="00D97EFB">
              <w:t>202</w:t>
            </w:r>
          </w:p>
        </w:tc>
        <w:tc>
          <w:tcPr>
            <w:tcW w:w="4032" w:type="pct"/>
            <w:tcBorders>
              <w:top w:val="single" w:sz="4" w:space="0" w:color="auto"/>
              <w:bottom w:val="single" w:sz="4" w:space="0" w:color="auto"/>
            </w:tcBorders>
            <w:shd w:val="clear" w:color="auto" w:fill="auto"/>
          </w:tcPr>
          <w:p w14:paraId="0D8062D6" w14:textId="77777777" w:rsidR="00E93F58" w:rsidRPr="00D97EFB" w:rsidRDefault="00E93F58" w:rsidP="00BB7E31">
            <w:pPr>
              <w:pStyle w:val="Tabletext"/>
            </w:pPr>
            <w:r w:rsidRPr="00D97EFB">
              <w:t>Objective and General Principles Governing an Audit of a Financial Report</w:t>
            </w:r>
          </w:p>
          <w:p w14:paraId="115C51F5" w14:textId="77777777" w:rsidR="00E93F58" w:rsidRPr="00D97EFB" w:rsidRDefault="00E93F58" w:rsidP="00BB7E31">
            <w:pPr>
              <w:pStyle w:val="Tabletext"/>
            </w:pPr>
            <w:r w:rsidRPr="00D97EFB">
              <w:t>Note:</w:t>
            </w:r>
            <w:r w:rsidRPr="00D97EFB">
              <w:tab/>
              <w:t>This standard was issued in July 2002.</w:t>
            </w:r>
          </w:p>
        </w:tc>
      </w:tr>
      <w:tr w:rsidR="00E93F58" w:rsidRPr="00D97EFB" w14:paraId="2728F969" w14:textId="77777777" w:rsidTr="005828AC">
        <w:tc>
          <w:tcPr>
            <w:tcW w:w="484" w:type="pct"/>
            <w:tcBorders>
              <w:top w:val="single" w:sz="4" w:space="0" w:color="auto"/>
              <w:bottom w:val="single" w:sz="4" w:space="0" w:color="auto"/>
            </w:tcBorders>
          </w:tcPr>
          <w:p w14:paraId="0DC07133" w14:textId="77777777" w:rsidR="00E93F58" w:rsidRPr="00D97EFB" w:rsidRDefault="00E93F58" w:rsidP="00BB7E31">
            <w:pPr>
              <w:pStyle w:val="Tabletext"/>
            </w:pPr>
            <w:r w:rsidRPr="00D97EFB">
              <w:t>103</w:t>
            </w:r>
          </w:p>
        </w:tc>
        <w:tc>
          <w:tcPr>
            <w:tcW w:w="484" w:type="pct"/>
            <w:tcBorders>
              <w:top w:val="single" w:sz="4" w:space="0" w:color="auto"/>
              <w:bottom w:val="single" w:sz="4" w:space="0" w:color="auto"/>
            </w:tcBorders>
            <w:shd w:val="clear" w:color="auto" w:fill="auto"/>
          </w:tcPr>
          <w:p w14:paraId="2AC363CE" w14:textId="77777777" w:rsidR="00E93F58" w:rsidRPr="00D97EFB" w:rsidRDefault="00E93F58" w:rsidP="00BB7E31">
            <w:pPr>
              <w:pStyle w:val="Tabletext"/>
            </w:pPr>
            <w:r w:rsidRPr="00D97EFB">
              <w:t>204</w:t>
            </w:r>
          </w:p>
        </w:tc>
        <w:tc>
          <w:tcPr>
            <w:tcW w:w="4032" w:type="pct"/>
            <w:tcBorders>
              <w:top w:val="single" w:sz="4" w:space="0" w:color="auto"/>
              <w:bottom w:val="single" w:sz="4" w:space="0" w:color="auto"/>
            </w:tcBorders>
            <w:shd w:val="clear" w:color="auto" w:fill="auto"/>
          </w:tcPr>
          <w:p w14:paraId="24D8AB1B" w14:textId="77777777" w:rsidR="00E93F58" w:rsidRPr="00D97EFB" w:rsidRDefault="00E93F58" w:rsidP="00BB7E31">
            <w:pPr>
              <w:pStyle w:val="Tabletext"/>
            </w:pPr>
            <w:r w:rsidRPr="00D97EFB">
              <w:t>Terms of Audit Engagements</w:t>
            </w:r>
          </w:p>
        </w:tc>
      </w:tr>
      <w:tr w:rsidR="00E93F58" w:rsidRPr="00D97EFB" w14:paraId="20ADB676" w14:textId="77777777" w:rsidTr="005828AC">
        <w:tc>
          <w:tcPr>
            <w:tcW w:w="484" w:type="pct"/>
            <w:tcBorders>
              <w:top w:val="single" w:sz="4" w:space="0" w:color="auto"/>
              <w:bottom w:val="single" w:sz="4" w:space="0" w:color="auto"/>
            </w:tcBorders>
            <w:shd w:val="clear" w:color="auto" w:fill="auto"/>
          </w:tcPr>
          <w:p w14:paraId="69F4F960" w14:textId="77777777" w:rsidR="00E93F58" w:rsidRPr="00D97EFB" w:rsidRDefault="00E93F58" w:rsidP="00BB7E31">
            <w:pPr>
              <w:pStyle w:val="Tabletext"/>
            </w:pPr>
            <w:r w:rsidRPr="00D97EFB">
              <w:t>104</w:t>
            </w:r>
          </w:p>
        </w:tc>
        <w:tc>
          <w:tcPr>
            <w:tcW w:w="484" w:type="pct"/>
            <w:tcBorders>
              <w:top w:val="single" w:sz="4" w:space="0" w:color="auto"/>
              <w:bottom w:val="single" w:sz="4" w:space="0" w:color="auto"/>
            </w:tcBorders>
            <w:shd w:val="clear" w:color="auto" w:fill="auto"/>
          </w:tcPr>
          <w:p w14:paraId="760FB59B" w14:textId="77777777" w:rsidR="00E93F58" w:rsidRPr="00D97EFB" w:rsidRDefault="00E93F58" w:rsidP="00BB7E31">
            <w:pPr>
              <w:pStyle w:val="Tabletext"/>
            </w:pPr>
            <w:r w:rsidRPr="00D97EFB">
              <w:t>206</w:t>
            </w:r>
          </w:p>
        </w:tc>
        <w:tc>
          <w:tcPr>
            <w:tcW w:w="4032" w:type="pct"/>
            <w:tcBorders>
              <w:top w:val="single" w:sz="4" w:space="0" w:color="auto"/>
              <w:bottom w:val="single" w:sz="4" w:space="0" w:color="auto"/>
            </w:tcBorders>
            <w:shd w:val="clear" w:color="auto" w:fill="auto"/>
          </w:tcPr>
          <w:p w14:paraId="53B7046D" w14:textId="77777777" w:rsidR="00E93F58" w:rsidRPr="00D97EFB" w:rsidRDefault="00E93F58" w:rsidP="00BB7E31">
            <w:pPr>
              <w:pStyle w:val="Tabletext"/>
            </w:pPr>
            <w:r w:rsidRPr="00D97EFB">
              <w:t>Quality Control for Audit Work</w:t>
            </w:r>
          </w:p>
          <w:p w14:paraId="2F31B306" w14:textId="77777777" w:rsidR="00E93F58" w:rsidRPr="00D97EFB" w:rsidRDefault="00E93F58" w:rsidP="00BB7E31">
            <w:pPr>
              <w:pStyle w:val="Tabletext"/>
            </w:pPr>
            <w:r w:rsidRPr="00D97EFB">
              <w:t>Note:</w:t>
            </w:r>
            <w:r w:rsidRPr="00D97EFB">
              <w:tab/>
              <w:t>This standard was issued in July 2002.</w:t>
            </w:r>
          </w:p>
        </w:tc>
      </w:tr>
      <w:tr w:rsidR="00E93F58" w:rsidRPr="00D97EFB" w14:paraId="5B8CE03B" w14:textId="77777777" w:rsidTr="005828AC">
        <w:tc>
          <w:tcPr>
            <w:tcW w:w="484" w:type="pct"/>
            <w:tcBorders>
              <w:top w:val="single" w:sz="4" w:space="0" w:color="auto"/>
              <w:bottom w:val="single" w:sz="4" w:space="0" w:color="auto"/>
            </w:tcBorders>
          </w:tcPr>
          <w:p w14:paraId="433D9912" w14:textId="77777777" w:rsidR="00E93F58" w:rsidRPr="00D97EFB" w:rsidRDefault="00E93F58" w:rsidP="00BB7E31">
            <w:pPr>
              <w:pStyle w:val="Tabletext"/>
            </w:pPr>
            <w:r w:rsidRPr="00D97EFB">
              <w:t>105</w:t>
            </w:r>
          </w:p>
        </w:tc>
        <w:tc>
          <w:tcPr>
            <w:tcW w:w="484" w:type="pct"/>
            <w:tcBorders>
              <w:top w:val="single" w:sz="4" w:space="0" w:color="auto"/>
              <w:bottom w:val="single" w:sz="4" w:space="0" w:color="auto"/>
            </w:tcBorders>
            <w:shd w:val="clear" w:color="auto" w:fill="auto"/>
          </w:tcPr>
          <w:p w14:paraId="2D2616F7" w14:textId="77777777" w:rsidR="00E93F58" w:rsidRPr="00D97EFB" w:rsidRDefault="00E93F58" w:rsidP="00BB7E31">
            <w:pPr>
              <w:pStyle w:val="Tabletext"/>
            </w:pPr>
            <w:r w:rsidRPr="00D97EFB">
              <w:t>208</w:t>
            </w:r>
          </w:p>
        </w:tc>
        <w:tc>
          <w:tcPr>
            <w:tcW w:w="4032" w:type="pct"/>
            <w:tcBorders>
              <w:top w:val="single" w:sz="4" w:space="0" w:color="auto"/>
              <w:bottom w:val="single" w:sz="4" w:space="0" w:color="auto"/>
            </w:tcBorders>
            <w:shd w:val="clear" w:color="auto" w:fill="auto"/>
          </w:tcPr>
          <w:p w14:paraId="294BC9E3" w14:textId="77777777" w:rsidR="00E93F58" w:rsidRPr="00D97EFB" w:rsidRDefault="00E93F58" w:rsidP="00BB7E31">
            <w:pPr>
              <w:pStyle w:val="Tabletext"/>
            </w:pPr>
            <w:r w:rsidRPr="00D97EFB">
              <w:t>Documentation</w:t>
            </w:r>
          </w:p>
        </w:tc>
      </w:tr>
      <w:tr w:rsidR="00E93F58" w:rsidRPr="00D97EFB" w14:paraId="4A5AF50D" w14:textId="77777777" w:rsidTr="005828AC">
        <w:tc>
          <w:tcPr>
            <w:tcW w:w="484" w:type="pct"/>
            <w:tcBorders>
              <w:top w:val="single" w:sz="4" w:space="0" w:color="auto"/>
              <w:bottom w:val="single" w:sz="4" w:space="0" w:color="auto"/>
            </w:tcBorders>
          </w:tcPr>
          <w:p w14:paraId="46831E4F" w14:textId="77777777" w:rsidR="00E93F58" w:rsidRPr="00D97EFB" w:rsidRDefault="00E93F58" w:rsidP="00960E6C">
            <w:pPr>
              <w:pStyle w:val="Tabletext"/>
            </w:pPr>
            <w:r w:rsidRPr="00D97EFB">
              <w:t>106</w:t>
            </w:r>
          </w:p>
        </w:tc>
        <w:tc>
          <w:tcPr>
            <w:tcW w:w="484" w:type="pct"/>
            <w:tcBorders>
              <w:top w:val="single" w:sz="4" w:space="0" w:color="auto"/>
              <w:bottom w:val="single" w:sz="4" w:space="0" w:color="auto"/>
            </w:tcBorders>
            <w:shd w:val="clear" w:color="auto" w:fill="auto"/>
          </w:tcPr>
          <w:p w14:paraId="2F2EA59A" w14:textId="77777777" w:rsidR="00E93F58" w:rsidRPr="00D97EFB" w:rsidRDefault="00E93F58" w:rsidP="00960E6C">
            <w:pPr>
              <w:pStyle w:val="Tabletext"/>
            </w:pPr>
            <w:r w:rsidRPr="00D97EFB">
              <w:t>210</w:t>
            </w:r>
          </w:p>
        </w:tc>
        <w:tc>
          <w:tcPr>
            <w:tcW w:w="4032" w:type="pct"/>
            <w:tcBorders>
              <w:top w:val="single" w:sz="4" w:space="0" w:color="auto"/>
              <w:bottom w:val="single" w:sz="4" w:space="0" w:color="auto"/>
            </w:tcBorders>
            <w:shd w:val="clear" w:color="auto" w:fill="auto"/>
          </w:tcPr>
          <w:p w14:paraId="2B93C3D0" w14:textId="77777777" w:rsidR="00E93F58" w:rsidRPr="00D97EFB" w:rsidRDefault="00E93F58" w:rsidP="00960E6C">
            <w:pPr>
              <w:pStyle w:val="Tabletext"/>
            </w:pPr>
            <w:r w:rsidRPr="00D97EFB">
              <w:t>The Auditor’s Responsibility to Consider Fraud and Error in an Audit of a Financial Report</w:t>
            </w:r>
          </w:p>
          <w:p w14:paraId="5ECBC53F" w14:textId="77777777" w:rsidR="00E93F58" w:rsidRPr="00D97EFB" w:rsidRDefault="00E93F58" w:rsidP="00960E6C">
            <w:pPr>
              <w:pStyle w:val="Tabletext"/>
            </w:pPr>
            <w:r w:rsidRPr="00D97EFB">
              <w:t>Note:</w:t>
            </w:r>
            <w:r w:rsidRPr="00D97EFB">
              <w:tab/>
              <w:t>This standard was issued in January 2002.</w:t>
            </w:r>
          </w:p>
        </w:tc>
      </w:tr>
      <w:tr w:rsidR="00E93F58" w:rsidRPr="00D97EFB" w14:paraId="6785E26B" w14:textId="77777777" w:rsidTr="005828AC">
        <w:tc>
          <w:tcPr>
            <w:tcW w:w="484" w:type="pct"/>
            <w:tcBorders>
              <w:top w:val="single" w:sz="4" w:space="0" w:color="auto"/>
              <w:bottom w:val="single" w:sz="4" w:space="0" w:color="auto"/>
            </w:tcBorders>
          </w:tcPr>
          <w:p w14:paraId="1E77D488" w14:textId="77777777" w:rsidR="00E93F58" w:rsidRPr="00D97EFB" w:rsidRDefault="00E93F58" w:rsidP="00BB7E31">
            <w:pPr>
              <w:pStyle w:val="Tabletext"/>
            </w:pPr>
            <w:r w:rsidRPr="00D97EFB">
              <w:t>107</w:t>
            </w:r>
          </w:p>
        </w:tc>
        <w:tc>
          <w:tcPr>
            <w:tcW w:w="484" w:type="pct"/>
            <w:tcBorders>
              <w:top w:val="single" w:sz="4" w:space="0" w:color="auto"/>
              <w:bottom w:val="single" w:sz="4" w:space="0" w:color="auto"/>
            </w:tcBorders>
            <w:shd w:val="clear" w:color="auto" w:fill="auto"/>
          </w:tcPr>
          <w:p w14:paraId="762132F4" w14:textId="77777777" w:rsidR="00E93F58" w:rsidRPr="00D97EFB" w:rsidRDefault="00E93F58" w:rsidP="00BB7E31">
            <w:pPr>
              <w:pStyle w:val="Tabletext"/>
            </w:pPr>
            <w:r w:rsidRPr="00D97EFB">
              <w:t>212</w:t>
            </w:r>
          </w:p>
        </w:tc>
        <w:tc>
          <w:tcPr>
            <w:tcW w:w="4032" w:type="pct"/>
            <w:tcBorders>
              <w:top w:val="single" w:sz="4" w:space="0" w:color="auto"/>
              <w:bottom w:val="single" w:sz="4" w:space="0" w:color="auto"/>
            </w:tcBorders>
            <w:shd w:val="clear" w:color="auto" w:fill="auto"/>
          </w:tcPr>
          <w:p w14:paraId="72ACBAC4" w14:textId="77777777" w:rsidR="00E93F58" w:rsidRPr="00D97EFB" w:rsidRDefault="00E93F58" w:rsidP="00BB7E31">
            <w:pPr>
              <w:pStyle w:val="Tabletext"/>
            </w:pPr>
            <w:r w:rsidRPr="00D97EFB">
              <w:t>Other Information in Documents Containing Audited Financial Reports</w:t>
            </w:r>
          </w:p>
        </w:tc>
      </w:tr>
      <w:tr w:rsidR="00E93F58" w:rsidRPr="00D97EFB" w14:paraId="7F734B14" w14:textId="77777777" w:rsidTr="005828AC">
        <w:tc>
          <w:tcPr>
            <w:tcW w:w="484" w:type="pct"/>
            <w:tcBorders>
              <w:top w:val="single" w:sz="4" w:space="0" w:color="auto"/>
              <w:bottom w:val="single" w:sz="4" w:space="0" w:color="auto"/>
            </w:tcBorders>
          </w:tcPr>
          <w:p w14:paraId="164C0E65" w14:textId="77777777" w:rsidR="00E93F58" w:rsidRPr="00D97EFB" w:rsidRDefault="00E93F58" w:rsidP="00BB7E31">
            <w:pPr>
              <w:pStyle w:val="Tabletext"/>
            </w:pPr>
            <w:r w:rsidRPr="00D97EFB">
              <w:t>108</w:t>
            </w:r>
          </w:p>
        </w:tc>
        <w:tc>
          <w:tcPr>
            <w:tcW w:w="484" w:type="pct"/>
            <w:tcBorders>
              <w:top w:val="single" w:sz="4" w:space="0" w:color="auto"/>
              <w:bottom w:val="single" w:sz="4" w:space="0" w:color="auto"/>
            </w:tcBorders>
            <w:shd w:val="clear" w:color="auto" w:fill="auto"/>
          </w:tcPr>
          <w:p w14:paraId="7ED10544" w14:textId="77777777" w:rsidR="00E93F58" w:rsidRPr="00D97EFB" w:rsidRDefault="00E93F58" w:rsidP="00BB7E31">
            <w:pPr>
              <w:pStyle w:val="Tabletext"/>
            </w:pPr>
            <w:r w:rsidRPr="00D97EFB">
              <w:t>214</w:t>
            </w:r>
          </w:p>
        </w:tc>
        <w:tc>
          <w:tcPr>
            <w:tcW w:w="4032" w:type="pct"/>
            <w:tcBorders>
              <w:top w:val="single" w:sz="4" w:space="0" w:color="auto"/>
              <w:bottom w:val="single" w:sz="4" w:space="0" w:color="auto"/>
            </w:tcBorders>
            <w:shd w:val="clear" w:color="auto" w:fill="auto"/>
          </w:tcPr>
          <w:p w14:paraId="33C3F3F8" w14:textId="77777777" w:rsidR="00E93F58" w:rsidRPr="00D97EFB" w:rsidRDefault="00E93F58" w:rsidP="00BB7E31">
            <w:pPr>
              <w:pStyle w:val="Tabletext"/>
            </w:pPr>
            <w:r w:rsidRPr="00D97EFB">
              <w:t>Auditing in a CIS Environment</w:t>
            </w:r>
          </w:p>
        </w:tc>
      </w:tr>
      <w:tr w:rsidR="00E93F58" w:rsidRPr="00D97EFB" w14:paraId="5B3C53B5" w14:textId="77777777" w:rsidTr="005828AC">
        <w:tc>
          <w:tcPr>
            <w:tcW w:w="484" w:type="pct"/>
            <w:tcBorders>
              <w:top w:val="single" w:sz="4" w:space="0" w:color="auto"/>
              <w:bottom w:val="single" w:sz="4" w:space="0" w:color="auto"/>
            </w:tcBorders>
          </w:tcPr>
          <w:p w14:paraId="0514443E" w14:textId="77777777" w:rsidR="00E93F58" w:rsidRPr="00D97EFB" w:rsidRDefault="00E93F58" w:rsidP="00BB7E31">
            <w:pPr>
              <w:pStyle w:val="Tabletext"/>
            </w:pPr>
            <w:r w:rsidRPr="00D97EFB">
              <w:t>109</w:t>
            </w:r>
          </w:p>
        </w:tc>
        <w:tc>
          <w:tcPr>
            <w:tcW w:w="484" w:type="pct"/>
            <w:tcBorders>
              <w:top w:val="single" w:sz="4" w:space="0" w:color="auto"/>
              <w:bottom w:val="single" w:sz="4" w:space="0" w:color="auto"/>
            </w:tcBorders>
            <w:shd w:val="clear" w:color="auto" w:fill="auto"/>
          </w:tcPr>
          <w:p w14:paraId="758AA94E" w14:textId="77777777" w:rsidR="00E93F58" w:rsidRPr="00D97EFB" w:rsidRDefault="00E93F58" w:rsidP="00BB7E31">
            <w:pPr>
              <w:pStyle w:val="Tabletext"/>
            </w:pPr>
            <w:r w:rsidRPr="00D97EFB">
              <w:t>218</w:t>
            </w:r>
          </w:p>
        </w:tc>
        <w:tc>
          <w:tcPr>
            <w:tcW w:w="4032" w:type="pct"/>
            <w:tcBorders>
              <w:top w:val="single" w:sz="4" w:space="0" w:color="auto"/>
              <w:bottom w:val="single" w:sz="4" w:space="0" w:color="auto"/>
            </w:tcBorders>
            <w:shd w:val="clear" w:color="auto" w:fill="auto"/>
          </w:tcPr>
          <w:p w14:paraId="638E0AAC" w14:textId="77777777" w:rsidR="00E93F58" w:rsidRPr="00D97EFB" w:rsidRDefault="00E93F58" w:rsidP="00BB7E31">
            <w:pPr>
              <w:pStyle w:val="Tabletext"/>
            </w:pPr>
            <w:r w:rsidRPr="00D97EFB">
              <w:t>Consideration of Laws and Regulations in an Audit of a Financial Report</w:t>
            </w:r>
          </w:p>
        </w:tc>
      </w:tr>
      <w:tr w:rsidR="00E93F58" w:rsidRPr="00D97EFB" w14:paraId="18D90712" w14:textId="77777777" w:rsidTr="005828AC">
        <w:tc>
          <w:tcPr>
            <w:tcW w:w="484" w:type="pct"/>
            <w:tcBorders>
              <w:top w:val="single" w:sz="4" w:space="0" w:color="auto"/>
              <w:bottom w:val="single" w:sz="4" w:space="0" w:color="auto"/>
            </w:tcBorders>
          </w:tcPr>
          <w:p w14:paraId="34641DD2" w14:textId="77777777" w:rsidR="00E93F58" w:rsidRPr="00D97EFB" w:rsidRDefault="00E93F58" w:rsidP="00BB7E31">
            <w:pPr>
              <w:pStyle w:val="Tabletext"/>
            </w:pPr>
            <w:r w:rsidRPr="00D97EFB">
              <w:t>110</w:t>
            </w:r>
          </w:p>
        </w:tc>
        <w:tc>
          <w:tcPr>
            <w:tcW w:w="484" w:type="pct"/>
            <w:tcBorders>
              <w:top w:val="single" w:sz="4" w:space="0" w:color="auto"/>
              <w:bottom w:val="single" w:sz="4" w:space="0" w:color="auto"/>
            </w:tcBorders>
            <w:shd w:val="clear" w:color="auto" w:fill="auto"/>
          </w:tcPr>
          <w:p w14:paraId="7FD8DDAC" w14:textId="77777777" w:rsidR="00E93F58" w:rsidRPr="00D97EFB" w:rsidRDefault="00E93F58" w:rsidP="00BB7E31">
            <w:pPr>
              <w:pStyle w:val="Tabletext"/>
            </w:pPr>
            <w:r w:rsidRPr="00D97EFB">
              <w:t>302</w:t>
            </w:r>
          </w:p>
        </w:tc>
        <w:tc>
          <w:tcPr>
            <w:tcW w:w="4032" w:type="pct"/>
            <w:tcBorders>
              <w:top w:val="single" w:sz="4" w:space="0" w:color="auto"/>
              <w:bottom w:val="single" w:sz="4" w:space="0" w:color="auto"/>
            </w:tcBorders>
            <w:shd w:val="clear" w:color="auto" w:fill="auto"/>
          </w:tcPr>
          <w:p w14:paraId="3DBD0E43" w14:textId="77777777" w:rsidR="00E93F58" w:rsidRPr="00D97EFB" w:rsidRDefault="00E93F58" w:rsidP="00BB7E31">
            <w:pPr>
              <w:pStyle w:val="Tabletext"/>
            </w:pPr>
            <w:r w:rsidRPr="00D97EFB">
              <w:t>Planning</w:t>
            </w:r>
          </w:p>
        </w:tc>
      </w:tr>
      <w:tr w:rsidR="00E93F58" w:rsidRPr="00D97EFB" w14:paraId="56F1C3B8" w14:textId="77777777" w:rsidTr="005828AC">
        <w:tc>
          <w:tcPr>
            <w:tcW w:w="484" w:type="pct"/>
            <w:tcBorders>
              <w:top w:val="single" w:sz="4" w:space="0" w:color="auto"/>
              <w:bottom w:val="single" w:sz="4" w:space="0" w:color="auto"/>
            </w:tcBorders>
          </w:tcPr>
          <w:p w14:paraId="58F0F223" w14:textId="77777777" w:rsidR="00E93F58" w:rsidRPr="00D97EFB" w:rsidRDefault="00E93F58" w:rsidP="00BB7E31">
            <w:pPr>
              <w:pStyle w:val="Tabletext"/>
            </w:pPr>
            <w:r w:rsidRPr="00D97EFB">
              <w:t>111</w:t>
            </w:r>
          </w:p>
        </w:tc>
        <w:tc>
          <w:tcPr>
            <w:tcW w:w="484" w:type="pct"/>
            <w:tcBorders>
              <w:top w:val="single" w:sz="4" w:space="0" w:color="auto"/>
              <w:bottom w:val="single" w:sz="4" w:space="0" w:color="auto"/>
            </w:tcBorders>
            <w:shd w:val="clear" w:color="auto" w:fill="auto"/>
          </w:tcPr>
          <w:p w14:paraId="2E861630" w14:textId="77777777" w:rsidR="00E93F58" w:rsidRPr="00D97EFB" w:rsidRDefault="00E93F58" w:rsidP="00BB7E31">
            <w:pPr>
              <w:pStyle w:val="Tabletext"/>
            </w:pPr>
            <w:r w:rsidRPr="00D97EFB">
              <w:t>304</w:t>
            </w:r>
          </w:p>
        </w:tc>
        <w:tc>
          <w:tcPr>
            <w:tcW w:w="4032" w:type="pct"/>
            <w:tcBorders>
              <w:top w:val="single" w:sz="4" w:space="0" w:color="auto"/>
              <w:bottom w:val="single" w:sz="4" w:space="0" w:color="auto"/>
            </w:tcBorders>
            <w:shd w:val="clear" w:color="auto" w:fill="auto"/>
          </w:tcPr>
          <w:p w14:paraId="690DF15F" w14:textId="77777777" w:rsidR="00E93F58" w:rsidRPr="00D97EFB" w:rsidRDefault="00E93F58" w:rsidP="00BB7E31">
            <w:pPr>
              <w:pStyle w:val="Tabletext"/>
            </w:pPr>
            <w:r w:rsidRPr="00D97EFB">
              <w:t>Knowledge of the Business</w:t>
            </w:r>
          </w:p>
        </w:tc>
      </w:tr>
      <w:tr w:rsidR="00E93F58" w:rsidRPr="00D97EFB" w14:paraId="0BFF5096" w14:textId="77777777" w:rsidTr="005828AC">
        <w:tc>
          <w:tcPr>
            <w:tcW w:w="484" w:type="pct"/>
            <w:tcBorders>
              <w:top w:val="single" w:sz="4" w:space="0" w:color="auto"/>
              <w:bottom w:val="single" w:sz="4" w:space="0" w:color="auto"/>
            </w:tcBorders>
          </w:tcPr>
          <w:p w14:paraId="13EE4D80" w14:textId="77777777" w:rsidR="00E93F58" w:rsidRPr="00D97EFB" w:rsidRDefault="00E93F58" w:rsidP="00BB7E31">
            <w:pPr>
              <w:pStyle w:val="Tabletext"/>
            </w:pPr>
            <w:r w:rsidRPr="00D97EFB">
              <w:t>112</w:t>
            </w:r>
          </w:p>
        </w:tc>
        <w:tc>
          <w:tcPr>
            <w:tcW w:w="484" w:type="pct"/>
            <w:tcBorders>
              <w:top w:val="single" w:sz="4" w:space="0" w:color="auto"/>
              <w:bottom w:val="single" w:sz="4" w:space="0" w:color="auto"/>
            </w:tcBorders>
            <w:shd w:val="clear" w:color="auto" w:fill="auto"/>
          </w:tcPr>
          <w:p w14:paraId="381FF14E" w14:textId="77777777" w:rsidR="00E93F58" w:rsidRPr="00D97EFB" w:rsidRDefault="00E93F58" w:rsidP="00BB7E31">
            <w:pPr>
              <w:pStyle w:val="Tabletext"/>
            </w:pPr>
            <w:r w:rsidRPr="00D97EFB">
              <w:t>306</w:t>
            </w:r>
          </w:p>
        </w:tc>
        <w:tc>
          <w:tcPr>
            <w:tcW w:w="4032" w:type="pct"/>
            <w:tcBorders>
              <w:top w:val="single" w:sz="4" w:space="0" w:color="auto"/>
              <w:bottom w:val="single" w:sz="4" w:space="0" w:color="auto"/>
            </w:tcBorders>
            <w:shd w:val="clear" w:color="auto" w:fill="auto"/>
          </w:tcPr>
          <w:p w14:paraId="3C7913F4" w14:textId="77777777" w:rsidR="00E93F58" w:rsidRPr="00D97EFB" w:rsidRDefault="00E93F58" w:rsidP="00BB7E31">
            <w:pPr>
              <w:pStyle w:val="Tabletext"/>
            </w:pPr>
            <w:r w:rsidRPr="00D97EFB">
              <w:t>Materiality and Audit Adjustments</w:t>
            </w:r>
          </w:p>
        </w:tc>
      </w:tr>
      <w:tr w:rsidR="00E93F58" w:rsidRPr="00D97EFB" w14:paraId="305F9500" w14:textId="77777777" w:rsidTr="005828AC">
        <w:tc>
          <w:tcPr>
            <w:tcW w:w="484" w:type="pct"/>
            <w:tcBorders>
              <w:top w:val="single" w:sz="4" w:space="0" w:color="auto"/>
              <w:bottom w:val="single" w:sz="4" w:space="0" w:color="auto"/>
            </w:tcBorders>
          </w:tcPr>
          <w:p w14:paraId="5CC32EE8" w14:textId="77777777" w:rsidR="00E93F58" w:rsidRPr="00D97EFB" w:rsidRDefault="00E93F58" w:rsidP="00BB7E31">
            <w:pPr>
              <w:pStyle w:val="Tabletext"/>
            </w:pPr>
            <w:r w:rsidRPr="00D97EFB">
              <w:t>113</w:t>
            </w:r>
          </w:p>
        </w:tc>
        <w:tc>
          <w:tcPr>
            <w:tcW w:w="484" w:type="pct"/>
            <w:tcBorders>
              <w:top w:val="single" w:sz="4" w:space="0" w:color="auto"/>
              <w:bottom w:val="single" w:sz="4" w:space="0" w:color="auto"/>
            </w:tcBorders>
            <w:shd w:val="clear" w:color="auto" w:fill="auto"/>
          </w:tcPr>
          <w:p w14:paraId="46EB5EC3" w14:textId="77777777" w:rsidR="00E93F58" w:rsidRPr="00D97EFB" w:rsidRDefault="00E93F58" w:rsidP="00BB7E31">
            <w:pPr>
              <w:pStyle w:val="Tabletext"/>
            </w:pPr>
            <w:r w:rsidRPr="00D97EFB">
              <w:t>402</w:t>
            </w:r>
          </w:p>
        </w:tc>
        <w:tc>
          <w:tcPr>
            <w:tcW w:w="4032" w:type="pct"/>
            <w:tcBorders>
              <w:top w:val="single" w:sz="4" w:space="0" w:color="auto"/>
              <w:bottom w:val="single" w:sz="4" w:space="0" w:color="auto"/>
            </w:tcBorders>
            <w:shd w:val="clear" w:color="auto" w:fill="auto"/>
          </w:tcPr>
          <w:p w14:paraId="4E9F2892" w14:textId="77777777" w:rsidR="00E93F58" w:rsidRPr="00D97EFB" w:rsidRDefault="00E93F58" w:rsidP="00BB7E31">
            <w:pPr>
              <w:pStyle w:val="Tabletext"/>
            </w:pPr>
            <w:r w:rsidRPr="00D97EFB">
              <w:t>Risk Assessments and Internal Controls</w:t>
            </w:r>
          </w:p>
          <w:p w14:paraId="4AE438B0" w14:textId="77777777" w:rsidR="00E93F58" w:rsidRPr="00D97EFB" w:rsidRDefault="00E93F58" w:rsidP="00BB7E31">
            <w:pPr>
              <w:pStyle w:val="Tabletext"/>
            </w:pPr>
            <w:r w:rsidRPr="00D97EFB">
              <w:t>Note:</w:t>
            </w:r>
            <w:r w:rsidRPr="00D97EFB">
              <w:tab/>
              <w:t>This standard was issued in July 2002.</w:t>
            </w:r>
          </w:p>
        </w:tc>
      </w:tr>
      <w:tr w:rsidR="00E93F58" w:rsidRPr="00D97EFB" w14:paraId="73659007" w14:textId="77777777" w:rsidTr="005828AC">
        <w:tc>
          <w:tcPr>
            <w:tcW w:w="484" w:type="pct"/>
            <w:tcBorders>
              <w:top w:val="single" w:sz="4" w:space="0" w:color="auto"/>
              <w:bottom w:val="single" w:sz="4" w:space="0" w:color="auto"/>
            </w:tcBorders>
          </w:tcPr>
          <w:p w14:paraId="5DE3EB67" w14:textId="77777777" w:rsidR="00E93F58" w:rsidRPr="00D97EFB" w:rsidRDefault="00E93F58" w:rsidP="00BB7E31">
            <w:pPr>
              <w:pStyle w:val="Tabletext"/>
            </w:pPr>
            <w:r w:rsidRPr="00D97EFB">
              <w:t>114</w:t>
            </w:r>
          </w:p>
        </w:tc>
        <w:tc>
          <w:tcPr>
            <w:tcW w:w="484" w:type="pct"/>
            <w:tcBorders>
              <w:top w:val="single" w:sz="4" w:space="0" w:color="auto"/>
              <w:bottom w:val="single" w:sz="4" w:space="0" w:color="auto"/>
            </w:tcBorders>
            <w:shd w:val="clear" w:color="auto" w:fill="auto"/>
          </w:tcPr>
          <w:p w14:paraId="0BCAB66C" w14:textId="77777777" w:rsidR="00E93F58" w:rsidRPr="00D97EFB" w:rsidRDefault="00E93F58" w:rsidP="00BB7E31">
            <w:pPr>
              <w:pStyle w:val="Tabletext"/>
            </w:pPr>
            <w:r w:rsidRPr="00D97EFB">
              <w:t>404</w:t>
            </w:r>
          </w:p>
        </w:tc>
        <w:tc>
          <w:tcPr>
            <w:tcW w:w="4032" w:type="pct"/>
            <w:tcBorders>
              <w:top w:val="single" w:sz="4" w:space="0" w:color="auto"/>
              <w:bottom w:val="single" w:sz="4" w:space="0" w:color="auto"/>
            </w:tcBorders>
            <w:shd w:val="clear" w:color="auto" w:fill="auto"/>
          </w:tcPr>
          <w:p w14:paraId="7AC50534" w14:textId="77777777" w:rsidR="00E93F58" w:rsidRPr="00D97EFB" w:rsidRDefault="00E93F58" w:rsidP="00BB7E31">
            <w:pPr>
              <w:pStyle w:val="Tabletext"/>
            </w:pPr>
            <w:r w:rsidRPr="00D97EFB">
              <w:t>Audit Implications Relating to Entities Using a Service Entity</w:t>
            </w:r>
          </w:p>
        </w:tc>
      </w:tr>
      <w:tr w:rsidR="00E93F58" w:rsidRPr="00D97EFB" w14:paraId="099D023B" w14:textId="77777777" w:rsidTr="005828AC">
        <w:tc>
          <w:tcPr>
            <w:tcW w:w="484" w:type="pct"/>
            <w:tcBorders>
              <w:top w:val="single" w:sz="4" w:space="0" w:color="auto"/>
              <w:bottom w:val="single" w:sz="4" w:space="0" w:color="auto"/>
            </w:tcBorders>
          </w:tcPr>
          <w:p w14:paraId="1A534B5D" w14:textId="77777777" w:rsidR="00E93F58" w:rsidRPr="00D97EFB" w:rsidRDefault="00E93F58" w:rsidP="00BB7E31">
            <w:pPr>
              <w:pStyle w:val="Tabletext"/>
            </w:pPr>
            <w:r w:rsidRPr="00D97EFB">
              <w:t>115</w:t>
            </w:r>
          </w:p>
        </w:tc>
        <w:tc>
          <w:tcPr>
            <w:tcW w:w="484" w:type="pct"/>
            <w:tcBorders>
              <w:top w:val="single" w:sz="4" w:space="0" w:color="auto"/>
              <w:bottom w:val="single" w:sz="4" w:space="0" w:color="auto"/>
            </w:tcBorders>
            <w:shd w:val="clear" w:color="auto" w:fill="auto"/>
          </w:tcPr>
          <w:p w14:paraId="087EFB24" w14:textId="77777777" w:rsidR="00E93F58" w:rsidRPr="00D97EFB" w:rsidRDefault="00E93F58" w:rsidP="00BB7E31">
            <w:pPr>
              <w:pStyle w:val="Tabletext"/>
            </w:pPr>
            <w:r w:rsidRPr="00D97EFB">
              <w:t>502</w:t>
            </w:r>
          </w:p>
        </w:tc>
        <w:tc>
          <w:tcPr>
            <w:tcW w:w="4032" w:type="pct"/>
            <w:tcBorders>
              <w:top w:val="single" w:sz="4" w:space="0" w:color="auto"/>
              <w:bottom w:val="single" w:sz="4" w:space="0" w:color="auto"/>
            </w:tcBorders>
            <w:shd w:val="clear" w:color="auto" w:fill="auto"/>
          </w:tcPr>
          <w:p w14:paraId="0A754B14" w14:textId="77777777" w:rsidR="00E93F58" w:rsidRPr="00D97EFB" w:rsidRDefault="00E93F58" w:rsidP="00BB7E31">
            <w:pPr>
              <w:pStyle w:val="Tabletext"/>
            </w:pPr>
            <w:r w:rsidRPr="00D97EFB">
              <w:t>Audit Evidence</w:t>
            </w:r>
          </w:p>
          <w:p w14:paraId="50CDFE2E" w14:textId="77777777" w:rsidR="00E93F58" w:rsidRPr="00D97EFB" w:rsidRDefault="00E93F58" w:rsidP="00BB7E31">
            <w:pPr>
              <w:pStyle w:val="Tabletext"/>
            </w:pPr>
            <w:r w:rsidRPr="00D97EFB">
              <w:t>Note:</w:t>
            </w:r>
            <w:r w:rsidRPr="00D97EFB">
              <w:tab/>
              <w:t>This standard was issued in October 1995.</w:t>
            </w:r>
          </w:p>
        </w:tc>
      </w:tr>
      <w:tr w:rsidR="00E93F58" w:rsidRPr="00D97EFB" w14:paraId="68FFAC5F" w14:textId="77777777" w:rsidTr="005828AC">
        <w:tc>
          <w:tcPr>
            <w:tcW w:w="484" w:type="pct"/>
            <w:tcBorders>
              <w:top w:val="single" w:sz="4" w:space="0" w:color="auto"/>
              <w:bottom w:val="single" w:sz="4" w:space="0" w:color="auto"/>
            </w:tcBorders>
          </w:tcPr>
          <w:p w14:paraId="676B4AE7" w14:textId="77777777" w:rsidR="00E93F58" w:rsidRPr="00D97EFB" w:rsidRDefault="00E93F58" w:rsidP="00BB7E31">
            <w:pPr>
              <w:pStyle w:val="Tabletext"/>
            </w:pPr>
            <w:r w:rsidRPr="00D97EFB">
              <w:t>116</w:t>
            </w:r>
          </w:p>
        </w:tc>
        <w:tc>
          <w:tcPr>
            <w:tcW w:w="484" w:type="pct"/>
            <w:tcBorders>
              <w:top w:val="single" w:sz="4" w:space="0" w:color="auto"/>
              <w:bottom w:val="single" w:sz="4" w:space="0" w:color="auto"/>
            </w:tcBorders>
            <w:shd w:val="clear" w:color="auto" w:fill="auto"/>
          </w:tcPr>
          <w:p w14:paraId="1A2565F9" w14:textId="77777777" w:rsidR="00E93F58" w:rsidRPr="00D97EFB" w:rsidRDefault="00E93F58" w:rsidP="00BB7E31">
            <w:pPr>
              <w:pStyle w:val="Tabletext"/>
            </w:pPr>
            <w:r w:rsidRPr="00D97EFB">
              <w:t>504</w:t>
            </w:r>
          </w:p>
        </w:tc>
        <w:tc>
          <w:tcPr>
            <w:tcW w:w="4032" w:type="pct"/>
            <w:tcBorders>
              <w:top w:val="single" w:sz="4" w:space="0" w:color="auto"/>
              <w:bottom w:val="single" w:sz="4" w:space="0" w:color="auto"/>
            </w:tcBorders>
            <w:shd w:val="clear" w:color="auto" w:fill="auto"/>
          </w:tcPr>
          <w:p w14:paraId="27C5C412" w14:textId="77777777" w:rsidR="00E93F58" w:rsidRPr="00D97EFB" w:rsidRDefault="00E93F58" w:rsidP="00BB7E31">
            <w:pPr>
              <w:pStyle w:val="Tabletext"/>
            </w:pPr>
            <w:r w:rsidRPr="00D97EFB">
              <w:t>External Confirmations</w:t>
            </w:r>
          </w:p>
        </w:tc>
      </w:tr>
      <w:tr w:rsidR="00E93F58" w:rsidRPr="00D97EFB" w14:paraId="2A66C55F" w14:textId="77777777" w:rsidTr="005828AC">
        <w:tc>
          <w:tcPr>
            <w:tcW w:w="484" w:type="pct"/>
            <w:tcBorders>
              <w:top w:val="single" w:sz="4" w:space="0" w:color="auto"/>
              <w:bottom w:val="single" w:sz="4" w:space="0" w:color="auto"/>
            </w:tcBorders>
          </w:tcPr>
          <w:p w14:paraId="33849D71" w14:textId="77777777" w:rsidR="00E93F58" w:rsidRPr="00D97EFB" w:rsidRDefault="00E93F58" w:rsidP="00BB7E31">
            <w:pPr>
              <w:pStyle w:val="Tabletext"/>
            </w:pPr>
            <w:r w:rsidRPr="00D97EFB">
              <w:t>117</w:t>
            </w:r>
          </w:p>
        </w:tc>
        <w:tc>
          <w:tcPr>
            <w:tcW w:w="484" w:type="pct"/>
            <w:tcBorders>
              <w:top w:val="single" w:sz="4" w:space="0" w:color="auto"/>
              <w:bottom w:val="single" w:sz="4" w:space="0" w:color="auto"/>
            </w:tcBorders>
            <w:shd w:val="clear" w:color="auto" w:fill="auto"/>
          </w:tcPr>
          <w:p w14:paraId="0198C53B" w14:textId="77777777" w:rsidR="00E93F58" w:rsidRPr="00D97EFB" w:rsidRDefault="00E93F58" w:rsidP="00BB7E31">
            <w:pPr>
              <w:pStyle w:val="Tabletext"/>
            </w:pPr>
            <w:r w:rsidRPr="00D97EFB">
              <w:t>506</w:t>
            </w:r>
          </w:p>
        </w:tc>
        <w:tc>
          <w:tcPr>
            <w:tcW w:w="4032" w:type="pct"/>
            <w:tcBorders>
              <w:top w:val="single" w:sz="4" w:space="0" w:color="auto"/>
              <w:bottom w:val="single" w:sz="4" w:space="0" w:color="auto"/>
            </w:tcBorders>
            <w:shd w:val="clear" w:color="auto" w:fill="auto"/>
          </w:tcPr>
          <w:p w14:paraId="5CD31F5B" w14:textId="77777777" w:rsidR="00E93F58" w:rsidRPr="00D97EFB" w:rsidRDefault="00E93F58" w:rsidP="00BB7E31">
            <w:pPr>
              <w:pStyle w:val="Tabletext"/>
            </w:pPr>
            <w:r w:rsidRPr="00D97EFB">
              <w:t>Existence and Valuation of Inventory</w:t>
            </w:r>
          </w:p>
        </w:tc>
      </w:tr>
      <w:tr w:rsidR="00E93F58" w:rsidRPr="00D97EFB" w14:paraId="71A5DC6E" w14:textId="77777777" w:rsidTr="005828AC">
        <w:tc>
          <w:tcPr>
            <w:tcW w:w="484" w:type="pct"/>
            <w:tcBorders>
              <w:top w:val="single" w:sz="4" w:space="0" w:color="auto"/>
              <w:bottom w:val="single" w:sz="4" w:space="0" w:color="auto"/>
            </w:tcBorders>
          </w:tcPr>
          <w:p w14:paraId="43AE8E40" w14:textId="77777777" w:rsidR="00E93F58" w:rsidRPr="00D97EFB" w:rsidRDefault="00E93F58" w:rsidP="00BB7E31">
            <w:pPr>
              <w:pStyle w:val="Tabletext"/>
            </w:pPr>
            <w:r w:rsidRPr="00D97EFB">
              <w:t>118</w:t>
            </w:r>
          </w:p>
        </w:tc>
        <w:tc>
          <w:tcPr>
            <w:tcW w:w="484" w:type="pct"/>
            <w:tcBorders>
              <w:top w:val="single" w:sz="4" w:space="0" w:color="auto"/>
              <w:bottom w:val="single" w:sz="4" w:space="0" w:color="auto"/>
            </w:tcBorders>
            <w:shd w:val="clear" w:color="auto" w:fill="auto"/>
          </w:tcPr>
          <w:p w14:paraId="1A9404B2" w14:textId="77777777" w:rsidR="00E93F58" w:rsidRPr="00D97EFB" w:rsidRDefault="00E93F58" w:rsidP="00BB7E31">
            <w:pPr>
              <w:pStyle w:val="Tabletext"/>
            </w:pPr>
            <w:r w:rsidRPr="00D97EFB">
              <w:t>508</w:t>
            </w:r>
          </w:p>
        </w:tc>
        <w:tc>
          <w:tcPr>
            <w:tcW w:w="4032" w:type="pct"/>
            <w:tcBorders>
              <w:top w:val="single" w:sz="4" w:space="0" w:color="auto"/>
              <w:bottom w:val="single" w:sz="4" w:space="0" w:color="auto"/>
            </w:tcBorders>
            <w:shd w:val="clear" w:color="auto" w:fill="auto"/>
          </w:tcPr>
          <w:p w14:paraId="3B84D32B" w14:textId="77777777" w:rsidR="00E93F58" w:rsidRPr="00D97EFB" w:rsidRDefault="00E93F58" w:rsidP="00BB7E31">
            <w:pPr>
              <w:pStyle w:val="Tabletext"/>
            </w:pPr>
            <w:r w:rsidRPr="00D97EFB">
              <w:t>Inquiry Regarding Litigation and Claims</w:t>
            </w:r>
          </w:p>
        </w:tc>
      </w:tr>
      <w:tr w:rsidR="00E93F58" w:rsidRPr="00D97EFB" w14:paraId="2A657B8E" w14:textId="77777777" w:rsidTr="005828AC">
        <w:tc>
          <w:tcPr>
            <w:tcW w:w="484" w:type="pct"/>
            <w:tcBorders>
              <w:top w:val="single" w:sz="4" w:space="0" w:color="auto"/>
              <w:bottom w:val="single" w:sz="4" w:space="0" w:color="auto"/>
            </w:tcBorders>
          </w:tcPr>
          <w:p w14:paraId="03065091" w14:textId="77777777" w:rsidR="00E93F58" w:rsidRPr="00D97EFB" w:rsidRDefault="00E93F58" w:rsidP="00BB7E31">
            <w:pPr>
              <w:pStyle w:val="Tabletext"/>
            </w:pPr>
            <w:r w:rsidRPr="00D97EFB">
              <w:t>119</w:t>
            </w:r>
          </w:p>
        </w:tc>
        <w:tc>
          <w:tcPr>
            <w:tcW w:w="484" w:type="pct"/>
            <w:tcBorders>
              <w:top w:val="single" w:sz="4" w:space="0" w:color="auto"/>
              <w:bottom w:val="single" w:sz="4" w:space="0" w:color="auto"/>
            </w:tcBorders>
            <w:shd w:val="clear" w:color="auto" w:fill="auto"/>
          </w:tcPr>
          <w:p w14:paraId="244D6DAB" w14:textId="77777777" w:rsidR="00E93F58" w:rsidRPr="00D97EFB" w:rsidRDefault="00E93F58" w:rsidP="00BB7E31">
            <w:pPr>
              <w:pStyle w:val="Tabletext"/>
            </w:pPr>
            <w:r w:rsidRPr="00D97EFB">
              <w:t>510</w:t>
            </w:r>
          </w:p>
        </w:tc>
        <w:tc>
          <w:tcPr>
            <w:tcW w:w="4032" w:type="pct"/>
            <w:tcBorders>
              <w:top w:val="single" w:sz="4" w:space="0" w:color="auto"/>
              <w:bottom w:val="single" w:sz="4" w:space="0" w:color="auto"/>
            </w:tcBorders>
            <w:shd w:val="clear" w:color="auto" w:fill="auto"/>
          </w:tcPr>
          <w:p w14:paraId="49750C4B" w14:textId="77777777" w:rsidR="00E93F58" w:rsidRPr="00D97EFB" w:rsidRDefault="00E93F58" w:rsidP="00BB7E31">
            <w:pPr>
              <w:pStyle w:val="Tabletext"/>
            </w:pPr>
            <w:r w:rsidRPr="00D97EFB">
              <w:t xml:space="preserve">Initial Engagements </w:t>
            </w:r>
            <w:r>
              <w:noBreakHyphen/>
            </w:r>
            <w:r w:rsidRPr="00D97EFB">
              <w:t xml:space="preserve"> Opening Balances</w:t>
            </w:r>
          </w:p>
        </w:tc>
      </w:tr>
      <w:tr w:rsidR="00E93F58" w:rsidRPr="00D97EFB" w14:paraId="79342E6D" w14:textId="77777777" w:rsidTr="005828AC">
        <w:tc>
          <w:tcPr>
            <w:tcW w:w="484" w:type="pct"/>
            <w:tcBorders>
              <w:top w:val="single" w:sz="4" w:space="0" w:color="auto"/>
              <w:bottom w:val="single" w:sz="4" w:space="0" w:color="auto"/>
            </w:tcBorders>
          </w:tcPr>
          <w:p w14:paraId="1241B60E" w14:textId="77777777" w:rsidR="00E93F58" w:rsidRPr="00D97EFB" w:rsidRDefault="00E93F58" w:rsidP="00BB7E31">
            <w:pPr>
              <w:pStyle w:val="Tabletext"/>
            </w:pPr>
            <w:r w:rsidRPr="00D97EFB">
              <w:t>120</w:t>
            </w:r>
          </w:p>
        </w:tc>
        <w:tc>
          <w:tcPr>
            <w:tcW w:w="484" w:type="pct"/>
            <w:tcBorders>
              <w:top w:val="single" w:sz="4" w:space="0" w:color="auto"/>
              <w:bottom w:val="single" w:sz="4" w:space="0" w:color="auto"/>
            </w:tcBorders>
            <w:shd w:val="clear" w:color="auto" w:fill="auto"/>
          </w:tcPr>
          <w:p w14:paraId="7DF1E4CA" w14:textId="77777777" w:rsidR="00E93F58" w:rsidRPr="00D97EFB" w:rsidRDefault="00E93F58" w:rsidP="00BB7E31">
            <w:pPr>
              <w:pStyle w:val="Tabletext"/>
            </w:pPr>
            <w:r w:rsidRPr="00D97EFB">
              <w:t>512</w:t>
            </w:r>
          </w:p>
        </w:tc>
        <w:tc>
          <w:tcPr>
            <w:tcW w:w="4032" w:type="pct"/>
            <w:tcBorders>
              <w:top w:val="single" w:sz="4" w:space="0" w:color="auto"/>
              <w:bottom w:val="single" w:sz="4" w:space="0" w:color="auto"/>
            </w:tcBorders>
            <w:shd w:val="clear" w:color="auto" w:fill="auto"/>
          </w:tcPr>
          <w:p w14:paraId="43E311F1" w14:textId="77777777" w:rsidR="00E93F58" w:rsidRPr="00D97EFB" w:rsidRDefault="00E93F58" w:rsidP="00BB7E31">
            <w:pPr>
              <w:pStyle w:val="Tabletext"/>
            </w:pPr>
            <w:r w:rsidRPr="00D97EFB">
              <w:t>Analytical Procedures</w:t>
            </w:r>
          </w:p>
        </w:tc>
      </w:tr>
      <w:tr w:rsidR="00E93F58" w:rsidRPr="00D97EFB" w14:paraId="253AFBC9" w14:textId="77777777" w:rsidTr="005828AC">
        <w:tc>
          <w:tcPr>
            <w:tcW w:w="484" w:type="pct"/>
            <w:tcBorders>
              <w:top w:val="single" w:sz="4" w:space="0" w:color="auto"/>
              <w:bottom w:val="single" w:sz="4" w:space="0" w:color="auto"/>
            </w:tcBorders>
          </w:tcPr>
          <w:p w14:paraId="61E610AB" w14:textId="77777777" w:rsidR="00E93F58" w:rsidRPr="00D97EFB" w:rsidRDefault="00E93F58" w:rsidP="00BB7E31">
            <w:pPr>
              <w:pStyle w:val="Tabletext"/>
            </w:pPr>
            <w:r w:rsidRPr="00D97EFB">
              <w:t>121</w:t>
            </w:r>
          </w:p>
        </w:tc>
        <w:tc>
          <w:tcPr>
            <w:tcW w:w="484" w:type="pct"/>
            <w:tcBorders>
              <w:top w:val="single" w:sz="4" w:space="0" w:color="auto"/>
              <w:bottom w:val="single" w:sz="4" w:space="0" w:color="auto"/>
            </w:tcBorders>
            <w:shd w:val="clear" w:color="auto" w:fill="auto"/>
          </w:tcPr>
          <w:p w14:paraId="521A60BD" w14:textId="77777777" w:rsidR="00E93F58" w:rsidRPr="00D97EFB" w:rsidRDefault="00E93F58" w:rsidP="00BB7E31">
            <w:pPr>
              <w:pStyle w:val="Tabletext"/>
            </w:pPr>
            <w:r w:rsidRPr="00D97EFB">
              <w:t>514</w:t>
            </w:r>
          </w:p>
        </w:tc>
        <w:tc>
          <w:tcPr>
            <w:tcW w:w="4032" w:type="pct"/>
            <w:tcBorders>
              <w:top w:val="single" w:sz="4" w:space="0" w:color="auto"/>
              <w:bottom w:val="single" w:sz="4" w:space="0" w:color="auto"/>
            </w:tcBorders>
            <w:shd w:val="clear" w:color="auto" w:fill="auto"/>
          </w:tcPr>
          <w:p w14:paraId="58FE0CB9" w14:textId="77777777" w:rsidR="00E93F58" w:rsidRPr="00D97EFB" w:rsidRDefault="00E93F58" w:rsidP="00BB7E31">
            <w:pPr>
              <w:pStyle w:val="Tabletext"/>
            </w:pPr>
            <w:r w:rsidRPr="00D97EFB">
              <w:t>Audit Sampling &amp; Selective Testing Procedures</w:t>
            </w:r>
          </w:p>
        </w:tc>
      </w:tr>
      <w:tr w:rsidR="00E93F58" w:rsidRPr="00D97EFB" w14:paraId="29EE503A" w14:textId="77777777" w:rsidTr="005828AC">
        <w:tc>
          <w:tcPr>
            <w:tcW w:w="484" w:type="pct"/>
            <w:tcBorders>
              <w:top w:val="single" w:sz="4" w:space="0" w:color="auto"/>
              <w:bottom w:val="single" w:sz="4" w:space="0" w:color="auto"/>
            </w:tcBorders>
          </w:tcPr>
          <w:p w14:paraId="62DA1B0B" w14:textId="77777777" w:rsidR="00E93F58" w:rsidRPr="00D97EFB" w:rsidRDefault="00E93F58" w:rsidP="00BB7E31">
            <w:pPr>
              <w:pStyle w:val="Tabletext"/>
            </w:pPr>
            <w:r w:rsidRPr="00D97EFB">
              <w:t>122</w:t>
            </w:r>
          </w:p>
        </w:tc>
        <w:tc>
          <w:tcPr>
            <w:tcW w:w="484" w:type="pct"/>
            <w:tcBorders>
              <w:top w:val="single" w:sz="4" w:space="0" w:color="auto"/>
              <w:bottom w:val="single" w:sz="4" w:space="0" w:color="auto"/>
            </w:tcBorders>
            <w:shd w:val="clear" w:color="auto" w:fill="auto"/>
          </w:tcPr>
          <w:p w14:paraId="644C6AB5" w14:textId="77777777" w:rsidR="00E93F58" w:rsidRPr="00D97EFB" w:rsidRDefault="00E93F58" w:rsidP="00BB7E31">
            <w:pPr>
              <w:pStyle w:val="Tabletext"/>
            </w:pPr>
            <w:r w:rsidRPr="00D97EFB">
              <w:t>516</w:t>
            </w:r>
          </w:p>
        </w:tc>
        <w:tc>
          <w:tcPr>
            <w:tcW w:w="4032" w:type="pct"/>
            <w:tcBorders>
              <w:top w:val="single" w:sz="4" w:space="0" w:color="auto"/>
              <w:bottom w:val="single" w:sz="4" w:space="0" w:color="auto"/>
            </w:tcBorders>
            <w:shd w:val="clear" w:color="auto" w:fill="auto"/>
          </w:tcPr>
          <w:p w14:paraId="62A6894E" w14:textId="77777777" w:rsidR="00E93F58" w:rsidRPr="00D97EFB" w:rsidRDefault="00E93F58" w:rsidP="00BB7E31">
            <w:pPr>
              <w:pStyle w:val="Tabletext"/>
            </w:pPr>
            <w:r w:rsidRPr="00D97EFB">
              <w:t>Audit of Accounting Estimates</w:t>
            </w:r>
          </w:p>
        </w:tc>
      </w:tr>
      <w:tr w:rsidR="00E93F58" w:rsidRPr="00D97EFB" w14:paraId="4EA9D49A" w14:textId="77777777" w:rsidTr="005828AC">
        <w:tc>
          <w:tcPr>
            <w:tcW w:w="484" w:type="pct"/>
            <w:tcBorders>
              <w:top w:val="single" w:sz="4" w:space="0" w:color="auto"/>
              <w:bottom w:val="single" w:sz="4" w:space="0" w:color="auto"/>
            </w:tcBorders>
          </w:tcPr>
          <w:p w14:paraId="36888136" w14:textId="77777777" w:rsidR="00E93F58" w:rsidRPr="00D97EFB" w:rsidRDefault="00E93F58" w:rsidP="00BB7E31">
            <w:pPr>
              <w:pStyle w:val="Tabletext"/>
            </w:pPr>
            <w:r w:rsidRPr="00D97EFB">
              <w:t>123</w:t>
            </w:r>
          </w:p>
        </w:tc>
        <w:tc>
          <w:tcPr>
            <w:tcW w:w="484" w:type="pct"/>
            <w:tcBorders>
              <w:top w:val="single" w:sz="4" w:space="0" w:color="auto"/>
              <w:bottom w:val="single" w:sz="4" w:space="0" w:color="auto"/>
            </w:tcBorders>
            <w:shd w:val="clear" w:color="auto" w:fill="auto"/>
          </w:tcPr>
          <w:p w14:paraId="2DD1BAAD" w14:textId="77777777" w:rsidR="00E93F58" w:rsidRPr="00D97EFB" w:rsidRDefault="00E93F58" w:rsidP="00BB7E31">
            <w:pPr>
              <w:pStyle w:val="Tabletext"/>
            </w:pPr>
            <w:r w:rsidRPr="00D97EFB">
              <w:t>518</w:t>
            </w:r>
          </w:p>
        </w:tc>
        <w:tc>
          <w:tcPr>
            <w:tcW w:w="4032" w:type="pct"/>
            <w:tcBorders>
              <w:top w:val="single" w:sz="4" w:space="0" w:color="auto"/>
              <w:bottom w:val="single" w:sz="4" w:space="0" w:color="auto"/>
            </w:tcBorders>
            <w:shd w:val="clear" w:color="auto" w:fill="auto"/>
          </w:tcPr>
          <w:p w14:paraId="61F35251" w14:textId="77777777" w:rsidR="00E93F58" w:rsidRPr="00D97EFB" w:rsidRDefault="00E93F58" w:rsidP="00BB7E31">
            <w:pPr>
              <w:pStyle w:val="Tabletext"/>
            </w:pPr>
            <w:r w:rsidRPr="00D97EFB">
              <w:t>Related Parties</w:t>
            </w:r>
          </w:p>
        </w:tc>
      </w:tr>
      <w:tr w:rsidR="00E93F58" w:rsidRPr="00D97EFB" w14:paraId="2E7218E5" w14:textId="77777777" w:rsidTr="005828AC">
        <w:tc>
          <w:tcPr>
            <w:tcW w:w="484" w:type="pct"/>
            <w:tcBorders>
              <w:top w:val="single" w:sz="4" w:space="0" w:color="auto"/>
              <w:bottom w:val="single" w:sz="4" w:space="0" w:color="auto"/>
            </w:tcBorders>
          </w:tcPr>
          <w:p w14:paraId="644DF65A" w14:textId="77777777" w:rsidR="00E93F58" w:rsidRPr="00D97EFB" w:rsidRDefault="00E93F58" w:rsidP="00BB7E31">
            <w:pPr>
              <w:pStyle w:val="Tabletext"/>
            </w:pPr>
            <w:r w:rsidRPr="00D97EFB">
              <w:t>124</w:t>
            </w:r>
          </w:p>
        </w:tc>
        <w:tc>
          <w:tcPr>
            <w:tcW w:w="484" w:type="pct"/>
            <w:tcBorders>
              <w:top w:val="single" w:sz="4" w:space="0" w:color="auto"/>
              <w:bottom w:val="single" w:sz="4" w:space="0" w:color="auto"/>
            </w:tcBorders>
            <w:shd w:val="clear" w:color="auto" w:fill="auto"/>
          </w:tcPr>
          <w:p w14:paraId="1DF0D5CE" w14:textId="77777777" w:rsidR="00E93F58" w:rsidRPr="00D97EFB" w:rsidRDefault="00E93F58" w:rsidP="00BB7E31">
            <w:pPr>
              <w:pStyle w:val="Tabletext"/>
            </w:pPr>
            <w:r w:rsidRPr="00D97EFB">
              <w:t>520</w:t>
            </w:r>
          </w:p>
        </w:tc>
        <w:tc>
          <w:tcPr>
            <w:tcW w:w="4032" w:type="pct"/>
            <w:tcBorders>
              <w:top w:val="single" w:sz="4" w:space="0" w:color="auto"/>
              <w:bottom w:val="single" w:sz="4" w:space="0" w:color="auto"/>
            </w:tcBorders>
            <w:shd w:val="clear" w:color="auto" w:fill="auto"/>
          </w:tcPr>
          <w:p w14:paraId="3B470405" w14:textId="77777777" w:rsidR="00E93F58" w:rsidRPr="00D97EFB" w:rsidRDefault="00E93F58" w:rsidP="00BB7E31">
            <w:pPr>
              <w:pStyle w:val="Tabletext"/>
            </w:pPr>
            <w:r w:rsidRPr="00D97EFB">
              <w:t>Management Representations</w:t>
            </w:r>
          </w:p>
        </w:tc>
      </w:tr>
      <w:tr w:rsidR="00E93F58" w:rsidRPr="00D97EFB" w14:paraId="1A2E3E35" w14:textId="77777777" w:rsidTr="005828AC">
        <w:tc>
          <w:tcPr>
            <w:tcW w:w="484" w:type="pct"/>
            <w:tcBorders>
              <w:top w:val="single" w:sz="4" w:space="0" w:color="auto"/>
              <w:bottom w:val="single" w:sz="4" w:space="0" w:color="auto"/>
            </w:tcBorders>
          </w:tcPr>
          <w:p w14:paraId="6A31E44D" w14:textId="77777777" w:rsidR="00E93F58" w:rsidRPr="00D97EFB" w:rsidRDefault="00E93F58" w:rsidP="00BB7E31">
            <w:pPr>
              <w:pStyle w:val="Tabletext"/>
            </w:pPr>
            <w:r w:rsidRPr="00D97EFB">
              <w:t>125</w:t>
            </w:r>
          </w:p>
        </w:tc>
        <w:tc>
          <w:tcPr>
            <w:tcW w:w="484" w:type="pct"/>
            <w:tcBorders>
              <w:top w:val="single" w:sz="4" w:space="0" w:color="auto"/>
              <w:bottom w:val="single" w:sz="4" w:space="0" w:color="auto"/>
            </w:tcBorders>
            <w:shd w:val="clear" w:color="auto" w:fill="auto"/>
          </w:tcPr>
          <w:p w14:paraId="17105962" w14:textId="77777777" w:rsidR="00E93F58" w:rsidRPr="00D97EFB" w:rsidRDefault="00E93F58" w:rsidP="00BB7E31">
            <w:pPr>
              <w:pStyle w:val="Tabletext"/>
            </w:pPr>
            <w:r w:rsidRPr="00D97EFB">
              <w:t>522</w:t>
            </w:r>
          </w:p>
        </w:tc>
        <w:tc>
          <w:tcPr>
            <w:tcW w:w="4032" w:type="pct"/>
            <w:tcBorders>
              <w:top w:val="single" w:sz="4" w:space="0" w:color="auto"/>
              <w:bottom w:val="single" w:sz="4" w:space="0" w:color="auto"/>
            </w:tcBorders>
            <w:shd w:val="clear" w:color="auto" w:fill="auto"/>
          </w:tcPr>
          <w:p w14:paraId="6941BE4B" w14:textId="77777777" w:rsidR="00E93F58" w:rsidRPr="00D97EFB" w:rsidRDefault="00E93F58" w:rsidP="00BB7E31">
            <w:pPr>
              <w:pStyle w:val="Tabletext"/>
            </w:pPr>
            <w:r w:rsidRPr="00D97EFB">
              <w:t>Audit Evidence Implications of Externally Managed Assets of Superannuation, Provident or Similar Funds</w:t>
            </w:r>
          </w:p>
        </w:tc>
      </w:tr>
      <w:tr w:rsidR="00E93F58" w:rsidRPr="00D97EFB" w14:paraId="3D24A0B3" w14:textId="77777777" w:rsidTr="005828AC">
        <w:tc>
          <w:tcPr>
            <w:tcW w:w="484" w:type="pct"/>
            <w:tcBorders>
              <w:top w:val="single" w:sz="4" w:space="0" w:color="auto"/>
              <w:bottom w:val="single" w:sz="4" w:space="0" w:color="auto"/>
            </w:tcBorders>
          </w:tcPr>
          <w:p w14:paraId="7B152D80" w14:textId="77777777" w:rsidR="00E93F58" w:rsidRPr="00D97EFB" w:rsidRDefault="00E93F58" w:rsidP="00BB7E31">
            <w:pPr>
              <w:pStyle w:val="Tabletext"/>
            </w:pPr>
            <w:r w:rsidRPr="00D97EFB">
              <w:t>126</w:t>
            </w:r>
          </w:p>
        </w:tc>
        <w:tc>
          <w:tcPr>
            <w:tcW w:w="484" w:type="pct"/>
            <w:tcBorders>
              <w:top w:val="single" w:sz="4" w:space="0" w:color="auto"/>
              <w:bottom w:val="single" w:sz="4" w:space="0" w:color="auto"/>
            </w:tcBorders>
            <w:shd w:val="clear" w:color="auto" w:fill="auto"/>
          </w:tcPr>
          <w:p w14:paraId="767F74D1" w14:textId="77777777" w:rsidR="00E93F58" w:rsidRPr="00D97EFB" w:rsidRDefault="00E93F58" w:rsidP="00BB7E31">
            <w:pPr>
              <w:pStyle w:val="Tabletext"/>
            </w:pPr>
            <w:r w:rsidRPr="00D97EFB">
              <w:t>524</w:t>
            </w:r>
          </w:p>
        </w:tc>
        <w:tc>
          <w:tcPr>
            <w:tcW w:w="4032" w:type="pct"/>
            <w:tcBorders>
              <w:top w:val="single" w:sz="4" w:space="0" w:color="auto"/>
              <w:bottom w:val="single" w:sz="4" w:space="0" w:color="auto"/>
            </w:tcBorders>
            <w:shd w:val="clear" w:color="auto" w:fill="auto"/>
          </w:tcPr>
          <w:p w14:paraId="12B176BB" w14:textId="77777777" w:rsidR="00E93F58" w:rsidRPr="00D97EFB" w:rsidRDefault="00E93F58" w:rsidP="00BB7E31">
            <w:pPr>
              <w:pStyle w:val="Tabletext"/>
            </w:pPr>
            <w:r w:rsidRPr="00D97EFB">
              <w:t>The Auditor’s Use of the Work of the Actuary and the Actuary’s Use of the Work of the Auditor in Connection with the Preparation and Audit of a Financial Report</w:t>
            </w:r>
          </w:p>
        </w:tc>
      </w:tr>
      <w:tr w:rsidR="00E93F58" w:rsidRPr="00D97EFB" w14:paraId="73A77C2C" w14:textId="77777777" w:rsidTr="005828AC">
        <w:tc>
          <w:tcPr>
            <w:tcW w:w="484" w:type="pct"/>
            <w:tcBorders>
              <w:top w:val="single" w:sz="4" w:space="0" w:color="auto"/>
              <w:bottom w:val="single" w:sz="4" w:space="0" w:color="auto"/>
            </w:tcBorders>
            <w:shd w:val="clear" w:color="auto" w:fill="auto"/>
          </w:tcPr>
          <w:p w14:paraId="4135D8C8" w14:textId="77777777" w:rsidR="00E93F58" w:rsidRPr="00D97EFB" w:rsidRDefault="00E93F58" w:rsidP="00BB7E31">
            <w:pPr>
              <w:pStyle w:val="Tabletext"/>
            </w:pPr>
            <w:r w:rsidRPr="00D97EFB">
              <w:lastRenderedPageBreak/>
              <w:t>127</w:t>
            </w:r>
          </w:p>
        </w:tc>
        <w:tc>
          <w:tcPr>
            <w:tcW w:w="484" w:type="pct"/>
            <w:tcBorders>
              <w:top w:val="single" w:sz="4" w:space="0" w:color="auto"/>
              <w:bottom w:val="single" w:sz="4" w:space="0" w:color="auto"/>
            </w:tcBorders>
            <w:shd w:val="clear" w:color="auto" w:fill="auto"/>
          </w:tcPr>
          <w:p w14:paraId="49CA3DC2" w14:textId="77777777" w:rsidR="00E93F58" w:rsidRPr="00D97EFB" w:rsidRDefault="00E93F58" w:rsidP="00BB7E31">
            <w:pPr>
              <w:pStyle w:val="Tabletext"/>
            </w:pPr>
            <w:r w:rsidRPr="00D97EFB">
              <w:t>526</w:t>
            </w:r>
          </w:p>
        </w:tc>
        <w:tc>
          <w:tcPr>
            <w:tcW w:w="4032" w:type="pct"/>
            <w:tcBorders>
              <w:top w:val="single" w:sz="4" w:space="0" w:color="auto"/>
              <w:bottom w:val="single" w:sz="4" w:space="0" w:color="auto"/>
            </w:tcBorders>
            <w:shd w:val="clear" w:color="auto" w:fill="auto"/>
          </w:tcPr>
          <w:p w14:paraId="6EB011CB" w14:textId="77777777" w:rsidR="00E93F58" w:rsidRPr="00D97EFB" w:rsidRDefault="00E93F58" w:rsidP="00BB7E31">
            <w:pPr>
              <w:pStyle w:val="Tabletext"/>
            </w:pPr>
            <w:r w:rsidRPr="00D97EFB">
              <w:t>Auditing Fair Value Measurements &amp; Disclosures</w:t>
            </w:r>
          </w:p>
        </w:tc>
      </w:tr>
      <w:tr w:rsidR="00E93F58" w:rsidRPr="00D97EFB" w14:paraId="5AE47E5A" w14:textId="77777777" w:rsidTr="005828AC">
        <w:tc>
          <w:tcPr>
            <w:tcW w:w="484" w:type="pct"/>
            <w:tcBorders>
              <w:top w:val="single" w:sz="4" w:space="0" w:color="auto"/>
              <w:bottom w:val="single" w:sz="4" w:space="0" w:color="auto"/>
            </w:tcBorders>
          </w:tcPr>
          <w:p w14:paraId="7B53A5AF" w14:textId="77777777" w:rsidR="00E93F58" w:rsidRPr="00D97EFB" w:rsidRDefault="00E93F58" w:rsidP="00BB7E31">
            <w:pPr>
              <w:pStyle w:val="Tabletext"/>
            </w:pPr>
            <w:r w:rsidRPr="00D97EFB">
              <w:t>128</w:t>
            </w:r>
          </w:p>
        </w:tc>
        <w:tc>
          <w:tcPr>
            <w:tcW w:w="484" w:type="pct"/>
            <w:tcBorders>
              <w:top w:val="single" w:sz="4" w:space="0" w:color="auto"/>
              <w:bottom w:val="single" w:sz="4" w:space="0" w:color="auto"/>
            </w:tcBorders>
            <w:shd w:val="clear" w:color="auto" w:fill="auto"/>
          </w:tcPr>
          <w:p w14:paraId="53081499" w14:textId="77777777" w:rsidR="00E93F58" w:rsidRPr="00D97EFB" w:rsidRDefault="00E93F58" w:rsidP="00BB7E31">
            <w:pPr>
              <w:pStyle w:val="Tabletext"/>
            </w:pPr>
            <w:r w:rsidRPr="00D97EFB">
              <w:t>602</w:t>
            </w:r>
          </w:p>
        </w:tc>
        <w:tc>
          <w:tcPr>
            <w:tcW w:w="4032" w:type="pct"/>
            <w:tcBorders>
              <w:top w:val="single" w:sz="4" w:space="0" w:color="auto"/>
              <w:bottom w:val="single" w:sz="4" w:space="0" w:color="auto"/>
            </w:tcBorders>
            <w:shd w:val="clear" w:color="auto" w:fill="auto"/>
          </w:tcPr>
          <w:p w14:paraId="780B0C51" w14:textId="77777777" w:rsidR="00E93F58" w:rsidRPr="00D97EFB" w:rsidRDefault="00E93F58" w:rsidP="00BB7E31">
            <w:pPr>
              <w:pStyle w:val="Tabletext"/>
            </w:pPr>
            <w:r w:rsidRPr="00D97EFB">
              <w:t>Using the Work of Another Auditor</w:t>
            </w:r>
          </w:p>
        </w:tc>
      </w:tr>
      <w:tr w:rsidR="00E93F58" w:rsidRPr="00D97EFB" w14:paraId="36C49B59" w14:textId="77777777" w:rsidTr="005828AC">
        <w:tc>
          <w:tcPr>
            <w:tcW w:w="484" w:type="pct"/>
            <w:tcBorders>
              <w:top w:val="single" w:sz="4" w:space="0" w:color="auto"/>
              <w:bottom w:val="single" w:sz="4" w:space="0" w:color="auto"/>
            </w:tcBorders>
          </w:tcPr>
          <w:p w14:paraId="0AD03783" w14:textId="77777777" w:rsidR="00E93F58" w:rsidRPr="00D97EFB" w:rsidRDefault="00E93F58" w:rsidP="00BB7E31">
            <w:pPr>
              <w:pStyle w:val="Tabletext"/>
            </w:pPr>
            <w:r w:rsidRPr="00D97EFB">
              <w:t>129</w:t>
            </w:r>
          </w:p>
        </w:tc>
        <w:tc>
          <w:tcPr>
            <w:tcW w:w="484" w:type="pct"/>
            <w:tcBorders>
              <w:top w:val="single" w:sz="4" w:space="0" w:color="auto"/>
              <w:bottom w:val="single" w:sz="4" w:space="0" w:color="auto"/>
            </w:tcBorders>
            <w:shd w:val="clear" w:color="auto" w:fill="auto"/>
          </w:tcPr>
          <w:p w14:paraId="70EE56E2" w14:textId="77777777" w:rsidR="00E93F58" w:rsidRPr="00D97EFB" w:rsidRDefault="00E93F58" w:rsidP="00BB7E31">
            <w:pPr>
              <w:pStyle w:val="Tabletext"/>
            </w:pPr>
            <w:r w:rsidRPr="00D97EFB">
              <w:t>604</w:t>
            </w:r>
          </w:p>
        </w:tc>
        <w:tc>
          <w:tcPr>
            <w:tcW w:w="4032" w:type="pct"/>
            <w:tcBorders>
              <w:top w:val="single" w:sz="4" w:space="0" w:color="auto"/>
              <w:bottom w:val="single" w:sz="4" w:space="0" w:color="auto"/>
            </w:tcBorders>
            <w:shd w:val="clear" w:color="auto" w:fill="auto"/>
          </w:tcPr>
          <w:p w14:paraId="02880215" w14:textId="77777777" w:rsidR="00E93F58" w:rsidRPr="00D97EFB" w:rsidRDefault="00E93F58" w:rsidP="00BB7E31">
            <w:pPr>
              <w:pStyle w:val="Tabletext"/>
            </w:pPr>
            <w:r w:rsidRPr="00D97EFB">
              <w:t>Considering the Work of Internal Auditing</w:t>
            </w:r>
          </w:p>
        </w:tc>
      </w:tr>
      <w:tr w:rsidR="00E93F58" w:rsidRPr="00D97EFB" w14:paraId="7E6DCBC3" w14:textId="77777777" w:rsidTr="005828AC">
        <w:tc>
          <w:tcPr>
            <w:tcW w:w="484" w:type="pct"/>
            <w:tcBorders>
              <w:top w:val="single" w:sz="4" w:space="0" w:color="auto"/>
              <w:bottom w:val="single" w:sz="4" w:space="0" w:color="auto"/>
            </w:tcBorders>
          </w:tcPr>
          <w:p w14:paraId="2F887642" w14:textId="77777777" w:rsidR="00E93F58" w:rsidRPr="00D97EFB" w:rsidRDefault="00E93F58" w:rsidP="00BB7E31">
            <w:pPr>
              <w:pStyle w:val="Tabletext"/>
            </w:pPr>
            <w:r w:rsidRPr="00D97EFB">
              <w:t>130</w:t>
            </w:r>
          </w:p>
        </w:tc>
        <w:tc>
          <w:tcPr>
            <w:tcW w:w="484" w:type="pct"/>
            <w:tcBorders>
              <w:top w:val="single" w:sz="4" w:space="0" w:color="auto"/>
              <w:bottom w:val="single" w:sz="4" w:space="0" w:color="auto"/>
            </w:tcBorders>
            <w:shd w:val="clear" w:color="auto" w:fill="auto"/>
          </w:tcPr>
          <w:p w14:paraId="212D930D" w14:textId="77777777" w:rsidR="00E93F58" w:rsidRPr="00D97EFB" w:rsidRDefault="00E93F58" w:rsidP="00BB7E31">
            <w:pPr>
              <w:pStyle w:val="Tabletext"/>
            </w:pPr>
            <w:r w:rsidRPr="00D97EFB">
              <w:t>606</w:t>
            </w:r>
          </w:p>
        </w:tc>
        <w:tc>
          <w:tcPr>
            <w:tcW w:w="4032" w:type="pct"/>
            <w:tcBorders>
              <w:top w:val="single" w:sz="4" w:space="0" w:color="auto"/>
              <w:bottom w:val="single" w:sz="4" w:space="0" w:color="auto"/>
            </w:tcBorders>
            <w:shd w:val="clear" w:color="auto" w:fill="auto"/>
          </w:tcPr>
          <w:p w14:paraId="6C6F21BA" w14:textId="77777777" w:rsidR="00E93F58" w:rsidRPr="00D97EFB" w:rsidRDefault="00E93F58" w:rsidP="00BB7E31">
            <w:pPr>
              <w:pStyle w:val="Tabletext"/>
            </w:pPr>
            <w:r w:rsidRPr="00D97EFB">
              <w:t>Using the Work of an Expert</w:t>
            </w:r>
          </w:p>
        </w:tc>
      </w:tr>
      <w:tr w:rsidR="00E93F58" w:rsidRPr="00D97EFB" w14:paraId="2540A77A" w14:textId="77777777" w:rsidTr="005828AC">
        <w:tc>
          <w:tcPr>
            <w:tcW w:w="484" w:type="pct"/>
            <w:tcBorders>
              <w:top w:val="single" w:sz="4" w:space="0" w:color="auto"/>
              <w:bottom w:val="single" w:sz="4" w:space="0" w:color="auto"/>
            </w:tcBorders>
          </w:tcPr>
          <w:p w14:paraId="552EE6F5" w14:textId="77777777" w:rsidR="00E93F58" w:rsidRPr="00D97EFB" w:rsidRDefault="00E93F58" w:rsidP="00BB7E31">
            <w:pPr>
              <w:pStyle w:val="Tabletext"/>
            </w:pPr>
            <w:r w:rsidRPr="00D97EFB">
              <w:t>131</w:t>
            </w:r>
          </w:p>
        </w:tc>
        <w:tc>
          <w:tcPr>
            <w:tcW w:w="484" w:type="pct"/>
            <w:tcBorders>
              <w:top w:val="single" w:sz="4" w:space="0" w:color="auto"/>
              <w:bottom w:val="single" w:sz="4" w:space="0" w:color="auto"/>
            </w:tcBorders>
            <w:shd w:val="clear" w:color="auto" w:fill="auto"/>
          </w:tcPr>
          <w:p w14:paraId="035F2D3C" w14:textId="77777777" w:rsidR="00E93F58" w:rsidRPr="00D97EFB" w:rsidRDefault="00E93F58" w:rsidP="00BB7E31">
            <w:pPr>
              <w:pStyle w:val="Tabletext"/>
            </w:pPr>
            <w:r w:rsidRPr="00D97EFB">
              <w:t>702</w:t>
            </w:r>
          </w:p>
        </w:tc>
        <w:tc>
          <w:tcPr>
            <w:tcW w:w="4032" w:type="pct"/>
            <w:tcBorders>
              <w:top w:val="single" w:sz="4" w:space="0" w:color="auto"/>
              <w:bottom w:val="single" w:sz="4" w:space="0" w:color="auto"/>
            </w:tcBorders>
            <w:shd w:val="clear" w:color="auto" w:fill="auto"/>
          </w:tcPr>
          <w:p w14:paraId="7556FD4F" w14:textId="77777777" w:rsidR="00E93F58" w:rsidRPr="00D97EFB" w:rsidRDefault="00E93F58" w:rsidP="00BB7E31">
            <w:pPr>
              <w:pStyle w:val="Tabletext"/>
            </w:pPr>
            <w:r w:rsidRPr="00D97EFB">
              <w:t>The Audit Report on a General Purpose Financial Report</w:t>
            </w:r>
          </w:p>
        </w:tc>
      </w:tr>
      <w:tr w:rsidR="00E93F58" w:rsidRPr="00D97EFB" w14:paraId="4240F933" w14:textId="77777777" w:rsidTr="005828AC">
        <w:tc>
          <w:tcPr>
            <w:tcW w:w="484" w:type="pct"/>
            <w:tcBorders>
              <w:top w:val="single" w:sz="4" w:space="0" w:color="auto"/>
              <w:bottom w:val="single" w:sz="4" w:space="0" w:color="auto"/>
            </w:tcBorders>
          </w:tcPr>
          <w:p w14:paraId="3C65BCD3" w14:textId="77777777" w:rsidR="00E93F58" w:rsidRPr="00D97EFB" w:rsidRDefault="00E93F58" w:rsidP="00BB7E31">
            <w:pPr>
              <w:pStyle w:val="Tabletext"/>
            </w:pPr>
            <w:r w:rsidRPr="00D97EFB">
              <w:t>132</w:t>
            </w:r>
          </w:p>
        </w:tc>
        <w:tc>
          <w:tcPr>
            <w:tcW w:w="484" w:type="pct"/>
            <w:tcBorders>
              <w:top w:val="single" w:sz="4" w:space="0" w:color="auto"/>
              <w:bottom w:val="single" w:sz="4" w:space="0" w:color="auto"/>
            </w:tcBorders>
            <w:shd w:val="clear" w:color="auto" w:fill="auto"/>
          </w:tcPr>
          <w:p w14:paraId="2609CBC3" w14:textId="77777777" w:rsidR="00E93F58" w:rsidRPr="00D97EFB" w:rsidRDefault="00E93F58" w:rsidP="00BB7E31">
            <w:pPr>
              <w:pStyle w:val="Tabletext"/>
            </w:pPr>
            <w:r w:rsidRPr="00D97EFB">
              <w:t>704</w:t>
            </w:r>
          </w:p>
        </w:tc>
        <w:tc>
          <w:tcPr>
            <w:tcW w:w="4032" w:type="pct"/>
            <w:tcBorders>
              <w:top w:val="single" w:sz="4" w:space="0" w:color="auto"/>
              <w:bottom w:val="single" w:sz="4" w:space="0" w:color="auto"/>
            </w:tcBorders>
            <w:shd w:val="clear" w:color="auto" w:fill="auto"/>
          </w:tcPr>
          <w:p w14:paraId="60DABAE6" w14:textId="77777777" w:rsidR="00E93F58" w:rsidRPr="00D97EFB" w:rsidRDefault="00E93F58" w:rsidP="00BB7E31">
            <w:pPr>
              <w:pStyle w:val="Tabletext"/>
            </w:pPr>
            <w:r w:rsidRPr="00D97EFB">
              <w:t>Comparatives</w:t>
            </w:r>
          </w:p>
        </w:tc>
      </w:tr>
      <w:tr w:rsidR="00E93F58" w:rsidRPr="00D97EFB" w14:paraId="72C06788" w14:textId="77777777" w:rsidTr="005828AC">
        <w:tc>
          <w:tcPr>
            <w:tcW w:w="484" w:type="pct"/>
            <w:tcBorders>
              <w:top w:val="single" w:sz="4" w:space="0" w:color="auto"/>
              <w:bottom w:val="single" w:sz="4" w:space="0" w:color="auto"/>
            </w:tcBorders>
          </w:tcPr>
          <w:p w14:paraId="51A4E5BB" w14:textId="77777777" w:rsidR="00E93F58" w:rsidRPr="00D97EFB" w:rsidRDefault="00E93F58" w:rsidP="00BB7E31">
            <w:pPr>
              <w:pStyle w:val="Tabletext"/>
            </w:pPr>
            <w:r w:rsidRPr="00D97EFB">
              <w:t>133</w:t>
            </w:r>
          </w:p>
        </w:tc>
        <w:tc>
          <w:tcPr>
            <w:tcW w:w="484" w:type="pct"/>
            <w:tcBorders>
              <w:top w:val="single" w:sz="4" w:space="0" w:color="auto"/>
              <w:bottom w:val="single" w:sz="4" w:space="0" w:color="auto"/>
            </w:tcBorders>
            <w:shd w:val="clear" w:color="auto" w:fill="auto"/>
          </w:tcPr>
          <w:p w14:paraId="3E0E065C" w14:textId="77777777" w:rsidR="00E93F58" w:rsidRPr="00D97EFB" w:rsidRDefault="00E93F58" w:rsidP="00BB7E31">
            <w:pPr>
              <w:pStyle w:val="Tabletext"/>
            </w:pPr>
            <w:r w:rsidRPr="00D97EFB">
              <w:t>706</w:t>
            </w:r>
          </w:p>
        </w:tc>
        <w:tc>
          <w:tcPr>
            <w:tcW w:w="4032" w:type="pct"/>
            <w:tcBorders>
              <w:top w:val="single" w:sz="4" w:space="0" w:color="auto"/>
              <w:bottom w:val="single" w:sz="4" w:space="0" w:color="auto"/>
            </w:tcBorders>
            <w:shd w:val="clear" w:color="auto" w:fill="auto"/>
          </w:tcPr>
          <w:p w14:paraId="3B16BF94" w14:textId="77777777" w:rsidR="00E93F58" w:rsidRPr="00D97EFB" w:rsidRDefault="00E93F58" w:rsidP="00BB7E31">
            <w:pPr>
              <w:pStyle w:val="Tabletext"/>
            </w:pPr>
            <w:r w:rsidRPr="00D97EFB">
              <w:t>Subsequent Events</w:t>
            </w:r>
          </w:p>
        </w:tc>
      </w:tr>
      <w:tr w:rsidR="00E93F58" w:rsidRPr="00D97EFB" w14:paraId="41B3A001" w14:textId="77777777" w:rsidTr="005828AC">
        <w:tc>
          <w:tcPr>
            <w:tcW w:w="484" w:type="pct"/>
            <w:tcBorders>
              <w:top w:val="single" w:sz="4" w:space="0" w:color="auto"/>
              <w:bottom w:val="single" w:sz="4" w:space="0" w:color="auto"/>
            </w:tcBorders>
          </w:tcPr>
          <w:p w14:paraId="5A50B348" w14:textId="77777777" w:rsidR="00E93F58" w:rsidRPr="00D97EFB" w:rsidRDefault="00E93F58" w:rsidP="00BB7E31">
            <w:pPr>
              <w:pStyle w:val="Tabletext"/>
            </w:pPr>
            <w:r w:rsidRPr="00D97EFB">
              <w:t>134</w:t>
            </w:r>
          </w:p>
        </w:tc>
        <w:tc>
          <w:tcPr>
            <w:tcW w:w="484" w:type="pct"/>
            <w:tcBorders>
              <w:top w:val="single" w:sz="4" w:space="0" w:color="auto"/>
              <w:bottom w:val="single" w:sz="4" w:space="0" w:color="auto"/>
            </w:tcBorders>
            <w:shd w:val="clear" w:color="auto" w:fill="auto"/>
          </w:tcPr>
          <w:p w14:paraId="64FABA21" w14:textId="77777777" w:rsidR="00E93F58" w:rsidRPr="00D97EFB" w:rsidRDefault="00E93F58" w:rsidP="00BB7E31">
            <w:pPr>
              <w:pStyle w:val="Tabletext"/>
            </w:pPr>
            <w:r w:rsidRPr="00D97EFB">
              <w:t>708</w:t>
            </w:r>
          </w:p>
        </w:tc>
        <w:tc>
          <w:tcPr>
            <w:tcW w:w="4032" w:type="pct"/>
            <w:tcBorders>
              <w:top w:val="single" w:sz="4" w:space="0" w:color="auto"/>
              <w:bottom w:val="single" w:sz="4" w:space="0" w:color="auto"/>
            </w:tcBorders>
            <w:shd w:val="clear" w:color="auto" w:fill="auto"/>
          </w:tcPr>
          <w:p w14:paraId="01C37030" w14:textId="77777777" w:rsidR="00E93F58" w:rsidRPr="00D97EFB" w:rsidRDefault="00E93F58" w:rsidP="00BB7E31">
            <w:pPr>
              <w:pStyle w:val="Tabletext"/>
            </w:pPr>
            <w:r w:rsidRPr="00D97EFB">
              <w:t>Going Concern</w:t>
            </w:r>
          </w:p>
        </w:tc>
      </w:tr>
      <w:tr w:rsidR="00E93F58" w:rsidRPr="00D97EFB" w14:paraId="1A8886DC" w14:textId="77777777" w:rsidTr="005828AC">
        <w:tc>
          <w:tcPr>
            <w:tcW w:w="484" w:type="pct"/>
            <w:tcBorders>
              <w:top w:val="single" w:sz="4" w:space="0" w:color="auto"/>
              <w:bottom w:val="single" w:sz="4" w:space="0" w:color="auto"/>
            </w:tcBorders>
          </w:tcPr>
          <w:p w14:paraId="230E138B" w14:textId="77777777" w:rsidR="00E93F58" w:rsidRPr="00D97EFB" w:rsidRDefault="00E93F58" w:rsidP="00BB7E31">
            <w:pPr>
              <w:pStyle w:val="Tabletext"/>
            </w:pPr>
            <w:r w:rsidRPr="00D97EFB">
              <w:t>135</w:t>
            </w:r>
          </w:p>
        </w:tc>
        <w:tc>
          <w:tcPr>
            <w:tcW w:w="484" w:type="pct"/>
            <w:tcBorders>
              <w:top w:val="single" w:sz="4" w:space="0" w:color="auto"/>
              <w:bottom w:val="single" w:sz="4" w:space="0" w:color="auto"/>
            </w:tcBorders>
            <w:shd w:val="clear" w:color="auto" w:fill="auto"/>
          </w:tcPr>
          <w:p w14:paraId="6E10896B" w14:textId="77777777" w:rsidR="00E93F58" w:rsidRPr="00D97EFB" w:rsidRDefault="00E93F58" w:rsidP="00BB7E31">
            <w:pPr>
              <w:pStyle w:val="Tabletext"/>
            </w:pPr>
            <w:r w:rsidRPr="00D97EFB">
              <w:t>710</w:t>
            </w:r>
          </w:p>
        </w:tc>
        <w:tc>
          <w:tcPr>
            <w:tcW w:w="4032" w:type="pct"/>
            <w:tcBorders>
              <w:top w:val="single" w:sz="4" w:space="0" w:color="auto"/>
              <w:bottom w:val="single" w:sz="4" w:space="0" w:color="auto"/>
            </w:tcBorders>
            <w:shd w:val="clear" w:color="auto" w:fill="auto"/>
          </w:tcPr>
          <w:p w14:paraId="0B74CA7B" w14:textId="77777777" w:rsidR="00E93F58" w:rsidRPr="00D97EFB" w:rsidRDefault="00E93F58" w:rsidP="00BB7E31">
            <w:pPr>
              <w:pStyle w:val="Tabletext"/>
            </w:pPr>
            <w:r w:rsidRPr="00D97EFB">
              <w:t>Communication with Management on Matters Arising from an Audit</w:t>
            </w:r>
          </w:p>
        </w:tc>
      </w:tr>
      <w:tr w:rsidR="00E93F58" w:rsidRPr="00D97EFB" w14:paraId="17331376" w14:textId="77777777" w:rsidTr="005828AC">
        <w:tc>
          <w:tcPr>
            <w:tcW w:w="484" w:type="pct"/>
            <w:tcBorders>
              <w:top w:val="single" w:sz="4" w:space="0" w:color="auto"/>
              <w:bottom w:val="single" w:sz="4" w:space="0" w:color="auto"/>
            </w:tcBorders>
          </w:tcPr>
          <w:p w14:paraId="02AA65EA" w14:textId="77777777" w:rsidR="00E93F58" w:rsidRPr="00D97EFB" w:rsidRDefault="00E93F58" w:rsidP="00BB7E31">
            <w:pPr>
              <w:pStyle w:val="Tabletext"/>
            </w:pPr>
            <w:r w:rsidRPr="00D97EFB">
              <w:t>136</w:t>
            </w:r>
          </w:p>
        </w:tc>
        <w:tc>
          <w:tcPr>
            <w:tcW w:w="484" w:type="pct"/>
            <w:tcBorders>
              <w:top w:val="single" w:sz="4" w:space="0" w:color="auto"/>
              <w:bottom w:val="single" w:sz="4" w:space="0" w:color="auto"/>
            </w:tcBorders>
            <w:shd w:val="clear" w:color="auto" w:fill="auto"/>
          </w:tcPr>
          <w:p w14:paraId="5E147A21" w14:textId="77777777" w:rsidR="00E93F58" w:rsidRPr="00D97EFB" w:rsidRDefault="00E93F58" w:rsidP="00BB7E31">
            <w:pPr>
              <w:pStyle w:val="Tabletext"/>
            </w:pPr>
            <w:r w:rsidRPr="00D97EFB">
              <w:t>802</w:t>
            </w:r>
          </w:p>
        </w:tc>
        <w:tc>
          <w:tcPr>
            <w:tcW w:w="4032" w:type="pct"/>
            <w:tcBorders>
              <w:top w:val="single" w:sz="4" w:space="0" w:color="auto"/>
              <w:bottom w:val="single" w:sz="4" w:space="0" w:color="auto"/>
            </w:tcBorders>
            <w:shd w:val="clear" w:color="auto" w:fill="auto"/>
          </w:tcPr>
          <w:p w14:paraId="529E1FB4" w14:textId="77777777" w:rsidR="00E93F58" w:rsidRPr="00D97EFB" w:rsidRDefault="00E93F58" w:rsidP="00BB7E31">
            <w:pPr>
              <w:pStyle w:val="Tabletext"/>
            </w:pPr>
            <w:r w:rsidRPr="00D97EFB">
              <w:t>The Audit Report on Financial Information Other than a General Purpose Financial Report</w:t>
            </w:r>
          </w:p>
        </w:tc>
      </w:tr>
      <w:tr w:rsidR="00E93F58" w:rsidRPr="00D97EFB" w14:paraId="169C1137" w14:textId="77777777" w:rsidTr="005828AC">
        <w:tc>
          <w:tcPr>
            <w:tcW w:w="484" w:type="pct"/>
            <w:tcBorders>
              <w:top w:val="single" w:sz="4" w:space="0" w:color="auto"/>
              <w:left w:val="nil"/>
              <w:bottom w:val="single" w:sz="4" w:space="0" w:color="auto"/>
              <w:right w:val="nil"/>
              <w:tl2br w:val="nil"/>
              <w:tr2bl w:val="nil"/>
            </w:tcBorders>
          </w:tcPr>
          <w:p w14:paraId="1D7E4BE5" w14:textId="77777777" w:rsidR="00E93F58" w:rsidRPr="00D97EFB" w:rsidRDefault="00E93F58" w:rsidP="00BB7E31">
            <w:pPr>
              <w:pStyle w:val="Tabletext"/>
            </w:pPr>
            <w:r w:rsidRPr="00D97EFB">
              <w:t>137</w:t>
            </w:r>
          </w:p>
        </w:tc>
        <w:tc>
          <w:tcPr>
            <w:tcW w:w="484" w:type="pct"/>
            <w:tcBorders>
              <w:top w:val="single" w:sz="4" w:space="0" w:color="auto"/>
              <w:left w:val="nil"/>
              <w:bottom w:val="single" w:sz="4" w:space="0" w:color="auto"/>
              <w:right w:val="nil"/>
              <w:tl2br w:val="nil"/>
              <w:tr2bl w:val="nil"/>
            </w:tcBorders>
            <w:shd w:val="clear" w:color="auto" w:fill="auto"/>
          </w:tcPr>
          <w:p w14:paraId="1132423F" w14:textId="77777777" w:rsidR="00E93F58" w:rsidRPr="00D97EFB" w:rsidRDefault="00E93F58" w:rsidP="00BB7E31">
            <w:pPr>
              <w:pStyle w:val="Tabletext"/>
            </w:pPr>
            <w:r w:rsidRPr="00D97EFB">
              <w:t>902</w:t>
            </w:r>
          </w:p>
        </w:tc>
        <w:tc>
          <w:tcPr>
            <w:tcW w:w="4032" w:type="pct"/>
            <w:tcBorders>
              <w:top w:val="single" w:sz="4" w:space="0" w:color="auto"/>
              <w:left w:val="nil"/>
              <w:bottom w:val="single" w:sz="4" w:space="0" w:color="auto"/>
              <w:right w:val="nil"/>
              <w:tl2br w:val="nil"/>
              <w:tr2bl w:val="nil"/>
            </w:tcBorders>
            <w:shd w:val="clear" w:color="auto" w:fill="auto"/>
          </w:tcPr>
          <w:p w14:paraId="50242B40" w14:textId="77777777" w:rsidR="00E93F58" w:rsidRPr="00D97EFB" w:rsidRDefault="00E93F58" w:rsidP="00BB7E31">
            <w:pPr>
              <w:pStyle w:val="Tabletext"/>
            </w:pPr>
            <w:r w:rsidRPr="00D97EFB">
              <w:t>Review of Financial Reports</w:t>
            </w:r>
          </w:p>
        </w:tc>
      </w:tr>
      <w:tr w:rsidR="00E93F58" w:rsidRPr="00D97EFB" w14:paraId="38875E4B" w14:textId="77777777" w:rsidTr="005828AC">
        <w:tc>
          <w:tcPr>
            <w:tcW w:w="5000" w:type="pct"/>
            <w:gridSpan w:val="3"/>
            <w:tcBorders>
              <w:top w:val="single" w:sz="4" w:space="0" w:color="auto"/>
              <w:bottom w:val="single" w:sz="4" w:space="0" w:color="auto"/>
            </w:tcBorders>
          </w:tcPr>
          <w:p w14:paraId="7C4D3216" w14:textId="77777777" w:rsidR="00E93F58" w:rsidRPr="00D97EFB" w:rsidRDefault="00E93F58" w:rsidP="00214218">
            <w:pPr>
              <w:pStyle w:val="TableHeading"/>
              <w:spacing w:before="120"/>
            </w:pPr>
            <w:r w:rsidRPr="00D97EFB">
              <w:t>Part 2</w:t>
            </w:r>
          </w:p>
        </w:tc>
      </w:tr>
      <w:tr w:rsidR="00E93F58" w:rsidRPr="00D97EFB" w14:paraId="7E229A15" w14:textId="77777777" w:rsidTr="005828AC">
        <w:tc>
          <w:tcPr>
            <w:tcW w:w="484" w:type="pct"/>
            <w:tcBorders>
              <w:top w:val="single" w:sz="4" w:space="0" w:color="auto"/>
              <w:bottom w:val="single" w:sz="4" w:space="0" w:color="auto"/>
            </w:tcBorders>
          </w:tcPr>
          <w:p w14:paraId="3C393717" w14:textId="77777777" w:rsidR="00E93F58" w:rsidRPr="00D97EFB" w:rsidRDefault="00E93F58" w:rsidP="00BB7E31">
            <w:pPr>
              <w:pStyle w:val="Tabletext"/>
            </w:pPr>
            <w:r w:rsidRPr="00D97EFB">
              <w:t>201</w:t>
            </w:r>
          </w:p>
        </w:tc>
        <w:tc>
          <w:tcPr>
            <w:tcW w:w="484" w:type="pct"/>
            <w:tcBorders>
              <w:top w:val="single" w:sz="4" w:space="0" w:color="auto"/>
              <w:bottom w:val="single" w:sz="4" w:space="0" w:color="auto"/>
            </w:tcBorders>
            <w:shd w:val="clear" w:color="auto" w:fill="auto"/>
          </w:tcPr>
          <w:p w14:paraId="7A035102" w14:textId="77777777" w:rsidR="00E93F58" w:rsidRPr="00D97EFB" w:rsidRDefault="00E93F58" w:rsidP="00BB7E31">
            <w:pPr>
              <w:pStyle w:val="Tabletext"/>
            </w:pPr>
            <w:r w:rsidRPr="00D97EFB">
              <w:t>202</w:t>
            </w:r>
          </w:p>
        </w:tc>
        <w:tc>
          <w:tcPr>
            <w:tcW w:w="4032" w:type="pct"/>
            <w:tcBorders>
              <w:top w:val="single" w:sz="4" w:space="0" w:color="auto"/>
              <w:bottom w:val="single" w:sz="4" w:space="0" w:color="auto"/>
            </w:tcBorders>
            <w:shd w:val="clear" w:color="auto" w:fill="auto"/>
          </w:tcPr>
          <w:p w14:paraId="6C47A9E4" w14:textId="77777777" w:rsidR="00E93F58" w:rsidRPr="00D97EFB" w:rsidRDefault="00E93F58" w:rsidP="00BB7E31">
            <w:pPr>
              <w:pStyle w:val="Tabletext"/>
            </w:pPr>
            <w:r w:rsidRPr="00D97EFB">
              <w:t>Objective and General Principles Governing an Audit of a Financial Report</w:t>
            </w:r>
          </w:p>
          <w:p w14:paraId="144D8CE3" w14:textId="77777777" w:rsidR="00E93F58" w:rsidRPr="00D97EFB" w:rsidRDefault="00E93F58" w:rsidP="00BB7E31">
            <w:pPr>
              <w:pStyle w:val="Tabletext"/>
            </w:pPr>
            <w:r w:rsidRPr="00D97EFB">
              <w:t>Note:</w:t>
            </w:r>
            <w:r w:rsidRPr="00D97EFB">
              <w:tab/>
              <w:t>This standard was issued in February 2004.</w:t>
            </w:r>
          </w:p>
        </w:tc>
      </w:tr>
      <w:tr w:rsidR="00E93F58" w:rsidRPr="00D97EFB" w14:paraId="77935571" w14:textId="77777777" w:rsidTr="005828AC">
        <w:tc>
          <w:tcPr>
            <w:tcW w:w="484" w:type="pct"/>
            <w:tcBorders>
              <w:top w:val="single" w:sz="4" w:space="0" w:color="auto"/>
              <w:bottom w:val="single" w:sz="4" w:space="0" w:color="auto"/>
            </w:tcBorders>
          </w:tcPr>
          <w:p w14:paraId="107E0B9F" w14:textId="77777777" w:rsidR="00E93F58" w:rsidRPr="00D97EFB" w:rsidRDefault="00E93F58" w:rsidP="00BB7E31">
            <w:pPr>
              <w:pStyle w:val="Tabletext"/>
            </w:pPr>
            <w:r w:rsidRPr="00D97EFB">
              <w:t>201A</w:t>
            </w:r>
          </w:p>
        </w:tc>
        <w:tc>
          <w:tcPr>
            <w:tcW w:w="484" w:type="pct"/>
            <w:tcBorders>
              <w:top w:val="single" w:sz="4" w:space="0" w:color="auto"/>
              <w:bottom w:val="single" w:sz="4" w:space="0" w:color="auto"/>
            </w:tcBorders>
            <w:shd w:val="clear" w:color="auto" w:fill="auto"/>
          </w:tcPr>
          <w:p w14:paraId="4E908D21" w14:textId="77777777" w:rsidR="00E93F58" w:rsidRPr="00D97EFB" w:rsidRDefault="00E93F58" w:rsidP="00BB7E31">
            <w:pPr>
              <w:pStyle w:val="Tabletext"/>
            </w:pPr>
            <w:r w:rsidRPr="00D97EFB">
              <w:t>210</w:t>
            </w:r>
          </w:p>
        </w:tc>
        <w:tc>
          <w:tcPr>
            <w:tcW w:w="4032" w:type="pct"/>
            <w:tcBorders>
              <w:top w:val="single" w:sz="4" w:space="0" w:color="auto"/>
              <w:bottom w:val="single" w:sz="4" w:space="0" w:color="auto"/>
            </w:tcBorders>
            <w:shd w:val="clear" w:color="auto" w:fill="auto"/>
          </w:tcPr>
          <w:p w14:paraId="1A8317F0" w14:textId="77777777" w:rsidR="00E93F58" w:rsidRPr="00D97EFB" w:rsidRDefault="00E93F58" w:rsidP="007F5C19">
            <w:pPr>
              <w:rPr>
                <w:sz w:val="20"/>
              </w:rPr>
            </w:pPr>
            <w:r w:rsidRPr="00D97EFB">
              <w:rPr>
                <w:sz w:val="20"/>
              </w:rPr>
              <w:t>The Auditor’s Responsibility to Consider Fraud and Error in an Audit of a Financial Report</w:t>
            </w:r>
          </w:p>
          <w:p w14:paraId="323A09B6" w14:textId="77777777" w:rsidR="00E93F58" w:rsidRPr="00D97EFB" w:rsidRDefault="00E93F58" w:rsidP="00BB7E31">
            <w:pPr>
              <w:pStyle w:val="Tabletext"/>
            </w:pPr>
            <w:r w:rsidRPr="00D97EFB">
              <w:t>Note:</w:t>
            </w:r>
            <w:r w:rsidRPr="00D97EFB">
              <w:tab/>
              <w:t>This standard was issued in June 2004.</w:t>
            </w:r>
          </w:p>
        </w:tc>
      </w:tr>
      <w:tr w:rsidR="00E93F58" w:rsidRPr="00D97EFB" w14:paraId="1B1C4E22" w14:textId="77777777" w:rsidTr="005828AC">
        <w:tc>
          <w:tcPr>
            <w:tcW w:w="484" w:type="pct"/>
            <w:tcBorders>
              <w:top w:val="single" w:sz="4" w:space="0" w:color="auto"/>
              <w:bottom w:val="single" w:sz="4" w:space="0" w:color="auto"/>
            </w:tcBorders>
          </w:tcPr>
          <w:p w14:paraId="6A41D772" w14:textId="77777777" w:rsidR="00E93F58" w:rsidRPr="00D97EFB" w:rsidRDefault="00E93F58" w:rsidP="00BB7E31">
            <w:pPr>
              <w:pStyle w:val="Tabletext"/>
            </w:pPr>
            <w:r w:rsidRPr="00D97EFB">
              <w:t>202</w:t>
            </w:r>
          </w:p>
        </w:tc>
        <w:tc>
          <w:tcPr>
            <w:tcW w:w="484" w:type="pct"/>
            <w:tcBorders>
              <w:top w:val="single" w:sz="4" w:space="0" w:color="auto"/>
              <w:bottom w:val="single" w:sz="4" w:space="0" w:color="auto"/>
            </w:tcBorders>
            <w:shd w:val="clear" w:color="auto" w:fill="auto"/>
          </w:tcPr>
          <w:p w14:paraId="7AF312F1" w14:textId="77777777" w:rsidR="00E93F58" w:rsidRPr="00D97EFB" w:rsidRDefault="00E93F58" w:rsidP="00BB7E31">
            <w:pPr>
              <w:pStyle w:val="Tabletext"/>
            </w:pPr>
            <w:r w:rsidRPr="00D97EFB">
              <w:t>402</w:t>
            </w:r>
          </w:p>
        </w:tc>
        <w:tc>
          <w:tcPr>
            <w:tcW w:w="4032" w:type="pct"/>
            <w:tcBorders>
              <w:top w:val="single" w:sz="4" w:space="0" w:color="auto"/>
              <w:bottom w:val="single" w:sz="4" w:space="0" w:color="auto"/>
            </w:tcBorders>
            <w:shd w:val="clear" w:color="auto" w:fill="auto"/>
          </w:tcPr>
          <w:p w14:paraId="5A2AA248" w14:textId="77777777" w:rsidR="00E93F58" w:rsidRPr="00D97EFB" w:rsidRDefault="00E93F58" w:rsidP="00BB7E31">
            <w:pPr>
              <w:pStyle w:val="Tabletext"/>
            </w:pPr>
            <w:r w:rsidRPr="00D97EFB">
              <w:t>Understanding the Entity and Its Environment and Assessing the Risks of Material Misstatements</w:t>
            </w:r>
          </w:p>
          <w:p w14:paraId="30A09261" w14:textId="77777777" w:rsidR="00E93F58" w:rsidRPr="00D97EFB" w:rsidRDefault="00E93F58" w:rsidP="00BB7E31">
            <w:pPr>
              <w:pStyle w:val="Tabletext"/>
            </w:pPr>
            <w:r w:rsidRPr="00D97EFB">
              <w:t>Note:</w:t>
            </w:r>
            <w:r w:rsidRPr="00D97EFB">
              <w:tab/>
              <w:t>This standard was issued in February 2004.</w:t>
            </w:r>
          </w:p>
        </w:tc>
      </w:tr>
      <w:tr w:rsidR="00E93F58" w:rsidRPr="00D97EFB" w14:paraId="0D70F4B6" w14:textId="77777777" w:rsidTr="005828AC">
        <w:tc>
          <w:tcPr>
            <w:tcW w:w="484" w:type="pct"/>
            <w:tcBorders>
              <w:top w:val="single" w:sz="4" w:space="0" w:color="auto"/>
              <w:bottom w:val="single" w:sz="4" w:space="0" w:color="auto"/>
            </w:tcBorders>
          </w:tcPr>
          <w:p w14:paraId="27EE3F5A" w14:textId="77777777" w:rsidR="00E93F58" w:rsidRPr="00D97EFB" w:rsidRDefault="00E93F58" w:rsidP="00BB7E31">
            <w:pPr>
              <w:pStyle w:val="Tabletext"/>
            </w:pPr>
            <w:r w:rsidRPr="00D97EFB">
              <w:t>203</w:t>
            </w:r>
          </w:p>
        </w:tc>
        <w:tc>
          <w:tcPr>
            <w:tcW w:w="484" w:type="pct"/>
            <w:tcBorders>
              <w:top w:val="single" w:sz="4" w:space="0" w:color="auto"/>
              <w:bottom w:val="single" w:sz="4" w:space="0" w:color="auto"/>
            </w:tcBorders>
            <w:shd w:val="clear" w:color="auto" w:fill="auto"/>
          </w:tcPr>
          <w:p w14:paraId="7A0120BB" w14:textId="77777777" w:rsidR="00E93F58" w:rsidRPr="00D97EFB" w:rsidRDefault="00E93F58" w:rsidP="00BB7E31">
            <w:pPr>
              <w:pStyle w:val="Tabletext"/>
            </w:pPr>
            <w:r w:rsidRPr="00D97EFB">
              <w:t>406</w:t>
            </w:r>
          </w:p>
        </w:tc>
        <w:tc>
          <w:tcPr>
            <w:tcW w:w="4032" w:type="pct"/>
            <w:tcBorders>
              <w:top w:val="single" w:sz="4" w:space="0" w:color="auto"/>
              <w:bottom w:val="single" w:sz="4" w:space="0" w:color="auto"/>
            </w:tcBorders>
            <w:shd w:val="clear" w:color="auto" w:fill="auto"/>
          </w:tcPr>
          <w:p w14:paraId="18519940" w14:textId="77777777" w:rsidR="00E93F58" w:rsidRPr="00D97EFB" w:rsidRDefault="00E93F58" w:rsidP="00BB7E31">
            <w:pPr>
              <w:pStyle w:val="Tabletext"/>
            </w:pPr>
            <w:r w:rsidRPr="00D97EFB">
              <w:t>The Auditor’s Procedures In Response to Assessed Risks</w:t>
            </w:r>
          </w:p>
        </w:tc>
      </w:tr>
      <w:tr w:rsidR="00E93F58" w:rsidRPr="00D97EFB" w14:paraId="2D6CDA02" w14:textId="77777777" w:rsidTr="009E17E6">
        <w:trPr>
          <w:cantSplit/>
        </w:trPr>
        <w:tc>
          <w:tcPr>
            <w:tcW w:w="484" w:type="pct"/>
            <w:tcBorders>
              <w:top w:val="single" w:sz="4" w:space="0" w:color="auto"/>
              <w:bottom w:val="single" w:sz="4" w:space="0" w:color="auto"/>
            </w:tcBorders>
          </w:tcPr>
          <w:p w14:paraId="41689008" w14:textId="77777777" w:rsidR="00E93F58" w:rsidRPr="00D97EFB" w:rsidRDefault="00E93F58" w:rsidP="00BB7E31">
            <w:pPr>
              <w:pStyle w:val="Tabletext"/>
            </w:pPr>
            <w:r w:rsidRPr="00D97EFB">
              <w:t>204</w:t>
            </w:r>
          </w:p>
        </w:tc>
        <w:tc>
          <w:tcPr>
            <w:tcW w:w="484" w:type="pct"/>
            <w:tcBorders>
              <w:top w:val="single" w:sz="4" w:space="0" w:color="auto"/>
              <w:bottom w:val="single" w:sz="4" w:space="0" w:color="auto"/>
            </w:tcBorders>
            <w:shd w:val="clear" w:color="auto" w:fill="auto"/>
          </w:tcPr>
          <w:p w14:paraId="636A594C" w14:textId="77777777" w:rsidR="00E93F58" w:rsidRPr="00D97EFB" w:rsidRDefault="00E93F58" w:rsidP="00BB7E31">
            <w:pPr>
              <w:pStyle w:val="Tabletext"/>
            </w:pPr>
            <w:r w:rsidRPr="00D97EFB">
              <w:t>502</w:t>
            </w:r>
          </w:p>
        </w:tc>
        <w:tc>
          <w:tcPr>
            <w:tcW w:w="4032" w:type="pct"/>
            <w:tcBorders>
              <w:top w:val="single" w:sz="4" w:space="0" w:color="auto"/>
              <w:bottom w:val="single" w:sz="4" w:space="0" w:color="auto"/>
            </w:tcBorders>
            <w:shd w:val="clear" w:color="auto" w:fill="auto"/>
          </w:tcPr>
          <w:p w14:paraId="01F0A303" w14:textId="77777777" w:rsidR="00E93F58" w:rsidRPr="00D97EFB" w:rsidRDefault="00E93F58" w:rsidP="00BB7E31">
            <w:pPr>
              <w:pStyle w:val="Tabletext"/>
            </w:pPr>
            <w:r w:rsidRPr="00D97EFB">
              <w:t>Audit Evidence</w:t>
            </w:r>
          </w:p>
          <w:p w14:paraId="07AA5ADF" w14:textId="77777777" w:rsidR="00E93F58" w:rsidRPr="00D97EFB" w:rsidRDefault="00E93F58" w:rsidP="00BB7E31">
            <w:pPr>
              <w:pStyle w:val="Tabletext"/>
            </w:pPr>
            <w:r w:rsidRPr="00D97EFB">
              <w:t>Note:</w:t>
            </w:r>
            <w:r w:rsidRPr="00D97EFB">
              <w:tab/>
              <w:t>This standard was issued in February 2004.</w:t>
            </w:r>
          </w:p>
        </w:tc>
      </w:tr>
      <w:tr w:rsidR="00E93F58" w:rsidRPr="00D97EFB" w14:paraId="0CD42C75" w14:textId="77777777" w:rsidTr="005828AC">
        <w:tc>
          <w:tcPr>
            <w:tcW w:w="5000" w:type="pct"/>
            <w:gridSpan w:val="3"/>
            <w:tcBorders>
              <w:top w:val="single" w:sz="4" w:space="0" w:color="auto"/>
              <w:bottom w:val="single" w:sz="4" w:space="0" w:color="auto"/>
            </w:tcBorders>
          </w:tcPr>
          <w:p w14:paraId="43F443A7" w14:textId="77777777" w:rsidR="00E93F58" w:rsidRPr="00D97EFB" w:rsidRDefault="00E93F58" w:rsidP="00DD0355">
            <w:pPr>
              <w:pStyle w:val="TableHeading"/>
              <w:keepLines/>
              <w:spacing w:before="120"/>
            </w:pPr>
            <w:r w:rsidRPr="00D97EFB">
              <w:t>Part 3</w:t>
            </w:r>
          </w:p>
        </w:tc>
      </w:tr>
      <w:tr w:rsidR="00E93F58" w:rsidRPr="00D97EFB" w14:paraId="18BC97B7" w14:textId="77777777" w:rsidTr="005828AC">
        <w:tc>
          <w:tcPr>
            <w:tcW w:w="484" w:type="pct"/>
            <w:tcBorders>
              <w:top w:val="single" w:sz="4" w:space="0" w:color="auto"/>
              <w:left w:val="nil"/>
              <w:bottom w:val="single" w:sz="12" w:space="0" w:color="auto"/>
              <w:right w:val="nil"/>
              <w:tl2br w:val="nil"/>
              <w:tr2bl w:val="nil"/>
            </w:tcBorders>
          </w:tcPr>
          <w:p w14:paraId="42BA4AF0" w14:textId="77777777" w:rsidR="00E93F58" w:rsidRPr="00D97EFB" w:rsidRDefault="00E93F58" w:rsidP="00DD0355">
            <w:pPr>
              <w:pStyle w:val="Tabletext"/>
              <w:keepNext/>
              <w:keepLines/>
            </w:pPr>
            <w:r w:rsidRPr="00D97EFB">
              <w:t>301</w:t>
            </w:r>
          </w:p>
        </w:tc>
        <w:tc>
          <w:tcPr>
            <w:tcW w:w="484" w:type="pct"/>
            <w:tcBorders>
              <w:top w:val="single" w:sz="4" w:space="0" w:color="auto"/>
              <w:left w:val="nil"/>
              <w:bottom w:val="single" w:sz="12" w:space="0" w:color="auto"/>
              <w:right w:val="nil"/>
              <w:tl2br w:val="nil"/>
              <w:tr2bl w:val="nil"/>
            </w:tcBorders>
            <w:shd w:val="clear" w:color="auto" w:fill="auto"/>
          </w:tcPr>
          <w:p w14:paraId="7FD9A922" w14:textId="77777777" w:rsidR="00E93F58" w:rsidRPr="00D97EFB" w:rsidRDefault="00E93F58" w:rsidP="00DD0355">
            <w:pPr>
              <w:pStyle w:val="Tabletext"/>
              <w:keepNext/>
              <w:keepLines/>
            </w:pPr>
            <w:r w:rsidRPr="00D97EFB">
              <w:t>206</w:t>
            </w:r>
          </w:p>
        </w:tc>
        <w:tc>
          <w:tcPr>
            <w:tcW w:w="4032" w:type="pct"/>
            <w:tcBorders>
              <w:top w:val="single" w:sz="4" w:space="0" w:color="auto"/>
              <w:left w:val="nil"/>
              <w:bottom w:val="single" w:sz="12" w:space="0" w:color="auto"/>
              <w:right w:val="nil"/>
              <w:tl2br w:val="nil"/>
              <w:tr2bl w:val="nil"/>
            </w:tcBorders>
            <w:shd w:val="clear" w:color="auto" w:fill="auto"/>
          </w:tcPr>
          <w:p w14:paraId="5C3A7649" w14:textId="77777777" w:rsidR="00E93F58" w:rsidRPr="00D97EFB" w:rsidRDefault="00E93F58" w:rsidP="00DD0355">
            <w:pPr>
              <w:pStyle w:val="Tabletext"/>
              <w:keepNext/>
              <w:keepLines/>
            </w:pPr>
            <w:r w:rsidRPr="00D97EFB">
              <w:t>Quality</w:t>
            </w:r>
            <w:r w:rsidRPr="00D97EFB">
              <w:rPr>
                <w:szCs w:val="22"/>
              </w:rPr>
              <w:t xml:space="preserve"> Control for Audits of Historical Financial Information</w:t>
            </w:r>
          </w:p>
          <w:p w14:paraId="49D8AEF4" w14:textId="77777777" w:rsidR="00E93F58" w:rsidRPr="00D97EFB" w:rsidRDefault="00E93F58" w:rsidP="00DD0355">
            <w:pPr>
              <w:pStyle w:val="Tabletext"/>
              <w:keepNext/>
              <w:keepLines/>
            </w:pPr>
            <w:r w:rsidRPr="00D97EFB">
              <w:t>Note:</w:t>
            </w:r>
            <w:r w:rsidRPr="00D97EFB">
              <w:tab/>
              <w:t>This standard was issued in June 2004.</w:t>
            </w:r>
          </w:p>
        </w:tc>
      </w:tr>
    </w:tbl>
    <w:p w14:paraId="16150F7D" w14:textId="77777777" w:rsidR="00E93F58" w:rsidRPr="00D97EFB" w:rsidRDefault="00E93F58" w:rsidP="00BB7E31">
      <w:pPr>
        <w:pStyle w:val="subsection"/>
      </w:pPr>
      <w:r w:rsidRPr="00D97EFB">
        <w:tab/>
        <w:t>(2)</w:t>
      </w:r>
      <w:r w:rsidRPr="00D97EFB">
        <w:tab/>
        <w:t>In this regulation:</w:t>
      </w:r>
    </w:p>
    <w:p w14:paraId="40FFF73E" w14:textId="77777777" w:rsidR="00E93F58" w:rsidRPr="00D97EFB" w:rsidRDefault="00E93F58" w:rsidP="00BB7E31">
      <w:pPr>
        <w:pStyle w:val="Definition"/>
      </w:pPr>
      <w:r w:rsidRPr="00D97EFB">
        <w:rPr>
          <w:b/>
          <w:i/>
        </w:rPr>
        <w:t>financial reporting period</w:t>
      </w:r>
      <w:r w:rsidRPr="00D97EFB">
        <w:t>, for a company, registered scheme or disclosing entity, means a financial year or a half</w:t>
      </w:r>
      <w:r>
        <w:noBreakHyphen/>
      </w:r>
      <w:r w:rsidRPr="00D97EFB">
        <w:t>year for which the company, registered scheme or disclosing entity must prepare a financial report.</w:t>
      </w:r>
    </w:p>
    <w:p w14:paraId="36BCCE48" w14:textId="77777777" w:rsidR="00E93F58" w:rsidRPr="00D97EFB" w:rsidRDefault="00E93F58" w:rsidP="00BB7E31">
      <w:pPr>
        <w:pStyle w:val="notetext"/>
      </w:pPr>
      <w:r w:rsidRPr="00D97EFB">
        <w:t>Note:</w:t>
      </w:r>
      <w:r w:rsidRPr="00D97EFB">
        <w:tab/>
        <w:t>Under section 292 of the Act, a disclosing entity, public company, large proprietary company or registered scheme must prepare a financial report for each financial year. Under section 302 of the Act, a disclosing entity must prepare a financial report for each half</w:t>
      </w:r>
      <w:r>
        <w:noBreakHyphen/>
      </w:r>
      <w:r w:rsidRPr="00D97EFB">
        <w:t>year. Section 323D of the Act deals with financial years and half</w:t>
      </w:r>
      <w:r>
        <w:noBreakHyphen/>
      </w:r>
      <w:r w:rsidRPr="00D97EFB">
        <w:t>years.</w:t>
      </w:r>
    </w:p>
    <w:p w14:paraId="044261F2" w14:textId="77777777" w:rsidR="00E93F58" w:rsidRPr="00D97EFB" w:rsidRDefault="00E93F58" w:rsidP="00BB7E31">
      <w:pPr>
        <w:pStyle w:val="subsection"/>
      </w:pPr>
      <w:r w:rsidRPr="00D97EFB">
        <w:tab/>
        <w:t>(3)</w:t>
      </w:r>
      <w:r w:rsidRPr="00D97EFB">
        <w:tab/>
        <w:t>Each standard mentioned in subregulation (1) ceases to have effect in relation to a financial reporting period that ends after 29 June 2007.</w:t>
      </w:r>
    </w:p>
    <w:p w14:paraId="01B446D4" w14:textId="77777777" w:rsidR="00E93F58" w:rsidRPr="00D97EFB" w:rsidRDefault="00E93F58" w:rsidP="00763B6A">
      <w:pPr>
        <w:pStyle w:val="ActHead2"/>
        <w:pageBreakBefore/>
      </w:pPr>
      <w:bookmarkStart w:id="2892" w:name="_Toc151994725"/>
      <w:bookmarkStart w:id="2893" w:name="_Toc158713235"/>
      <w:r w:rsidRPr="000D40D5">
        <w:rPr>
          <w:rStyle w:val="CharPartNo"/>
        </w:rPr>
        <w:lastRenderedPageBreak/>
        <w:t>Part 10.15</w:t>
      </w:r>
      <w:r w:rsidRPr="00D97EFB">
        <w:t>—</w:t>
      </w:r>
      <w:r w:rsidRPr="000D40D5">
        <w:rPr>
          <w:rStyle w:val="CharPartText"/>
        </w:rPr>
        <w:t>Transitional provisions relating to the Corporations Amendment (Financial Market Supervision) Act 2010</w:t>
      </w:r>
      <w:bookmarkEnd w:id="2892"/>
      <w:bookmarkEnd w:id="2893"/>
    </w:p>
    <w:p w14:paraId="7C0DD22F" w14:textId="77777777" w:rsidR="00E93F58" w:rsidRPr="00D97EFB" w:rsidRDefault="00E93F58" w:rsidP="00057064">
      <w:pPr>
        <w:pStyle w:val="Header"/>
      </w:pPr>
      <w:r w:rsidRPr="000D40D5">
        <w:rPr>
          <w:rStyle w:val="CharDivNo"/>
        </w:rPr>
        <w:t xml:space="preserve"> </w:t>
      </w:r>
      <w:r w:rsidRPr="000D40D5">
        <w:rPr>
          <w:rStyle w:val="CharDivText"/>
        </w:rPr>
        <w:t xml:space="preserve"> </w:t>
      </w:r>
    </w:p>
    <w:p w14:paraId="3945447F" w14:textId="77777777" w:rsidR="00E93F58" w:rsidRPr="00D97EFB" w:rsidRDefault="00E93F58" w:rsidP="00BB7E31">
      <w:pPr>
        <w:pStyle w:val="ActHead5"/>
      </w:pPr>
      <w:bookmarkStart w:id="2894" w:name="_Toc151994726"/>
      <w:bookmarkStart w:id="2895" w:name="_Toc158713236"/>
      <w:r w:rsidRPr="000D40D5">
        <w:rPr>
          <w:rStyle w:val="CharSectno"/>
        </w:rPr>
        <w:t>10.15.01</w:t>
      </w:r>
      <w:r w:rsidRPr="00D97EFB">
        <w:t xml:space="preserve">  Application of Part 10.15</w:t>
      </w:r>
      <w:bookmarkEnd w:id="2894"/>
      <w:bookmarkEnd w:id="2895"/>
    </w:p>
    <w:p w14:paraId="31618A70" w14:textId="77777777" w:rsidR="00E93F58" w:rsidRPr="00D97EFB" w:rsidRDefault="00E93F58" w:rsidP="00BB7E31">
      <w:pPr>
        <w:pStyle w:val="subsection"/>
      </w:pPr>
      <w:r w:rsidRPr="00D97EFB">
        <w:rPr>
          <w:color w:val="000000"/>
        </w:rPr>
        <w:tab/>
      </w:r>
      <w:r w:rsidRPr="00D97EFB">
        <w:rPr>
          <w:color w:val="000000"/>
        </w:rPr>
        <w:tab/>
        <w:t xml:space="preserve">For subsection 1513(1) of the Act, this Part deals with matters of a transitional, application or saving nature relating to the amendments and repeals made by Schedule 1 to the </w:t>
      </w:r>
      <w:r w:rsidRPr="00D97EFB">
        <w:rPr>
          <w:i/>
          <w:color w:val="000000"/>
        </w:rPr>
        <w:t>Corporations Amendment (Financial Market Supervision) Act 2010</w:t>
      </w:r>
      <w:r w:rsidRPr="00D97EFB">
        <w:rPr>
          <w:color w:val="000000"/>
        </w:rPr>
        <w:t xml:space="preserve"> (the </w:t>
      </w:r>
      <w:r w:rsidRPr="00D97EFB">
        <w:rPr>
          <w:b/>
          <w:i/>
          <w:color w:val="000000"/>
        </w:rPr>
        <w:t>amending Schedule</w:t>
      </w:r>
      <w:r w:rsidRPr="00D97EFB">
        <w:rPr>
          <w:color w:val="000000"/>
        </w:rPr>
        <w:t>).</w:t>
      </w:r>
    </w:p>
    <w:p w14:paraId="0608BD6A" w14:textId="77777777" w:rsidR="00E93F58" w:rsidRPr="00D97EFB" w:rsidRDefault="00E93F58" w:rsidP="00BB7E31">
      <w:pPr>
        <w:pStyle w:val="ActHead5"/>
      </w:pPr>
      <w:bookmarkStart w:id="2896" w:name="_Toc151994727"/>
      <w:bookmarkStart w:id="2897" w:name="_Toc158713237"/>
      <w:r w:rsidRPr="000D40D5">
        <w:rPr>
          <w:rStyle w:val="CharSectno"/>
        </w:rPr>
        <w:t>10.15.02</w:t>
      </w:r>
      <w:r w:rsidRPr="00D97EFB">
        <w:t xml:space="preserve">  Amendments not to apply to certain </w:t>
      </w:r>
      <w:r w:rsidRPr="00D97EFB">
        <w:rPr>
          <w:shd w:val="clear" w:color="auto" w:fill="FFFFFF"/>
        </w:rPr>
        <w:t>operators of licensed markets</w:t>
      </w:r>
      <w:bookmarkEnd w:id="2896"/>
      <w:bookmarkEnd w:id="2897"/>
    </w:p>
    <w:p w14:paraId="18572D01" w14:textId="77777777" w:rsidR="00E93F58" w:rsidRPr="00D97EFB" w:rsidRDefault="00E93F58" w:rsidP="00BB7E31">
      <w:pPr>
        <w:pStyle w:val="subsection"/>
      </w:pPr>
      <w:r w:rsidRPr="00D97EFB">
        <w:tab/>
      </w:r>
      <w:r w:rsidRPr="00D97EFB">
        <w:tab/>
        <w:t xml:space="preserve">The amendments made by the amending Schedule do not apply to the following </w:t>
      </w:r>
      <w:r w:rsidRPr="00D97EFB">
        <w:rPr>
          <w:shd w:val="clear" w:color="auto" w:fill="FFFFFF"/>
        </w:rPr>
        <w:t>operators of licensed markets</w:t>
      </w:r>
      <w:r w:rsidRPr="00D97EFB">
        <w:t>:</w:t>
      </w:r>
    </w:p>
    <w:p w14:paraId="63663A41" w14:textId="77777777" w:rsidR="00E93F58" w:rsidRPr="00D97EFB" w:rsidRDefault="00E93F58" w:rsidP="00BB7E31">
      <w:pPr>
        <w:pStyle w:val="paragraph"/>
      </w:pPr>
      <w:r w:rsidRPr="00D97EFB">
        <w:rPr>
          <w:color w:val="000000"/>
        </w:rPr>
        <w:tab/>
        <w:t>(a)</w:t>
      </w:r>
      <w:r w:rsidRPr="00D97EFB">
        <w:rPr>
          <w:color w:val="000000"/>
        </w:rPr>
        <w:tab/>
        <w:t>BGC Partners (Australia) Pty Limited;</w:t>
      </w:r>
    </w:p>
    <w:p w14:paraId="63D5C6F9" w14:textId="77777777" w:rsidR="00E93F58" w:rsidRPr="00D97EFB" w:rsidRDefault="00E93F58" w:rsidP="00BB7E31">
      <w:pPr>
        <w:pStyle w:val="paragraph"/>
      </w:pPr>
      <w:r w:rsidRPr="00D97EFB">
        <w:tab/>
        <w:t>(b)</w:t>
      </w:r>
      <w:r w:rsidRPr="00D97EFB">
        <w:tab/>
        <w:t>Bloomberg Tradebook Australia Pty Ltd;</w:t>
      </w:r>
    </w:p>
    <w:p w14:paraId="1B3F25DC" w14:textId="77777777" w:rsidR="00E93F58" w:rsidRPr="00D97EFB" w:rsidRDefault="00E93F58" w:rsidP="00BB7E31">
      <w:pPr>
        <w:pStyle w:val="paragraph"/>
      </w:pPr>
      <w:r w:rsidRPr="00D97EFB">
        <w:tab/>
        <w:t>(c)</w:t>
      </w:r>
      <w:r w:rsidRPr="00D97EFB">
        <w:tab/>
        <w:t>Mercari Pty Ltd;</w:t>
      </w:r>
    </w:p>
    <w:p w14:paraId="609C35DF" w14:textId="77777777" w:rsidR="00E93F58" w:rsidRPr="00D97EFB" w:rsidRDefault="00E93F58" w:rsidP="00BB7E31">
      <w:pPr>
        <w:pStyle w:val="paragraph"/>
      </w:pPr>
      <w:r w:rsidRPr="00D97EFB">
        <w:rPr>
          <w:color w:val="000000"/>
        </w:rPr>
        <w:tab/>
        <w:t>(d)</w:t>
      </w:r>
      <w:r w:rsidRPr="00D97EFB">
        <w:rPr>
          <w:color w:val="000000"/>
        </w:rPr>
        <w:tab/>
        <w:t>Yieldbroker Pty Limited.</w:t>
      </w:r>
    </w:p>
    <w:p w14:paraId="63CB9AC1" w14:textId="77777777" w:rsidR="00E93F58" w:rsidRPr="00D97EFB" w:rsidRDefault="00E93F58" w:rsidP="00BB7E31">
      <w:pPr>
        <w:pStyle w:val="notetext"/>
      </w:pPr>
      <w:r w:rsidRPr="00D97EFB">
        <w:rPr>
          <w:color w:val="000000"/>
        </w:rPr>
        <w:t>Note:</w:t>
      </w:r>
      <w:r w:rsidRPr="00D97EFB">
        <w:rPr>
          <w:color w:val="000000"/>
        </w:rPr>
        <w:tab/>
        <w:t>The requirement in subsection 798H(1) of the Act for an operator of a licensed market to comply with the market integrity rules was introduced by one of the amendments made by the amending Schedule.</w:t>
      </w:r>
    </w:p>
    <w:p w14:paraId="14FCC9CA" w14:textId="77777777" w:rsidR="00E93F58" w:rsidRPr="00D97EFB" w:rsidRDefault="00E93F58" w:rsidP="00BB7E31">
      <w:pPr>
        <w:pStyle w:val="ActHead5"/>
      </w:pPr>
      <w:bookmarkStart w:id="2898" w:name="_Toc151994728"/>
      <w:bookmarkStart w:id="2899" w:name="_Toc158713238"/>
      <w:r w:rsidRPr="000D40D5">
        <w:rPr>
          <w:rStyle w:val="CharSectno"/>
        </w:rPr>
        <w:t>10.15.03</w:t>
      </w:r>
      <w:r w:rsidRPr="00D97EFB">
        <w:t xml:space="preserve">  Transfer of documents</w:t>
      </w:r>
      <w:bookmarkEnd w:id="2898"/>
      <w:bookmarkEnd w:id="2899"/>
    </w:p>
    <w:p w14:paraId="40D5FE88" w14:textId="77777777" w:rsidR="00E93F58" w:rsidRPr="00D97EFB" w:rsidRDefault="00E93F58" w:rsidP="00BB7E31">
      <w:pPr>
        <w:pStyle w:val="subsection"/>
      </w:pPr>
      <w:r w:rsidRPr="00D97EFB">
        <w:tab/>
        <w:t>(1)</w:t>
      </w:r>
      <w:r w:rsidRPr="00D97EFB">
        <w:tab/>
        <w:t>This regulation applies if:</w:t>
      </w:r>
    </w:p>
    <w:p w14:paraId="6C92916D" w14:textId="77777777" w:rsidR="00E93F58" w:rsidRPr="00D97EFB" w:rsidRDefault="00E93F58" w:rsidP="00BB7E31">
      <w:pPr>
        <w:pStyle w:val="paragraph"/>
      </w:pPr>
      <w:r w:rsidRPr="00D97EFB">
        <w:rPr>
          <w:color w:val="000000"/>
          <w:shd w:val="clear" w:color="auto" w:fill="FFFFFF"/>
        </w:rPr>
        <w:tab/>
        <w:t>(a)</w:t>
      </w:r>
      <w:r w:rsidRPr="00D97EFB">
        <w:rPr>
          <w:color w:val="000000"/>
          <w:shd w:val="clear" w:color="auto" w:fill="FFFFFF"/>
        </w:rPr>
        <w:tab/>
      </w:r>
      <w:r w:rsidRPr="00D97EFB">
        <w:rPr>
          <w:color w:val="000000"/>
        </w:rPr>
        <w:t>an operator of a licensed market, a related body corporate of the operator, or an employee of the operator, gives information in confidence to ASIC; and</w:t>
      </w:r>
    </w:p>
    <w:p w14:paraId="4DE203A0" w14:textId="77777777" w:rsidR="00E93F58" w:rsidRPr="00D97EFB" w:rsidRDefault="00E93F58" w:rsidP="00BB7E31">
      <w:pPr>
        <w:pStyle w:val="paragraph"/>
      </w:pPr>
      <w:r w:rsidRPr="00D97EFB">
        <w:tab/>
        <w:t>(b)</w:t>
      </w:r>
      <w:r w:rsidRPr="00D97EFB">
        <w:tab/>
        <w:t>the information relates to the operation of Part 7.2 of the Act; and</w:t>
      </w:r>
    </w:p>
    <w:p w14:paraId="72B1E2DE" w14:textId="77777777" w:rsidR="00E93F58" w:rsidRPr="00D97EFB" w:rsidRDefault="00E93F58" w:rsidP="00BB7E31">
      <w:pPr>
        <w:pStyle w:val="paragraph"/>
      </w:pPr>
      <w:r w:rsidRPr="00D97EFB">
        <w:tab/>
        <w:t>(c)</w:t>
      </w:r>
      <w:r w:rsidRPr="00D97EFB">
        <w:tab/>
        <w:t>the information was requested by, or given to, ASIC to help ASIC exercise its powers or perform its functions under Part 7.2A of the Act.</w:t>
      </w:r>
    </w:p>
    <w:p w14:paraId="2D59655F" w14:textId="77777777" w:rsidR="00E93F58" w:rsidRPr="00D97EFB" w:rsidRDefault="00E93F58" w:rsidP="00BB7E31">
      <w:pPr>
        <w:pStyle w:val="subsection"/>
      </w:pPr>
      <w:r w:rsidRPr="00D97EFB">
        <w:rPr>
          <w:color w:val="000000"/>
        </w:rPr>
        <w:tab/>
        <w:t>(2)</w:t>
      </w:r>
      <w:r w:rsidRPr="00D97EFB">
        <w:rPr>
          <w:color w:val="000000"/>
        </w:rPr>
        <w:tab/>
        <w:t>The information does not cease to be the subject of legal professional privilege solely because the information has been given to ASIC.</w:t>
      </w:r>
    </w:p>
    <w:p w14:paraId="5992B7C4" w14:textId="77777777" w:rsidR="00E93F58" w:rsidRPr="00D97EFB" w:rsidRDefault="00E93F58" w:rsidP="00BB7E31">
      <w:pPr>
        <w:pStyle w:val="subsection"/>
      </w:pPr>
      <w:r w:rsidRPr="00D97EFB">
        <w:tab/>
        <w:t>(3)</w:t>
      </w:r>
      <w:r w:rsidRPr="00D97EFB">
        <w:tab/>
        <w:t>The operator or employee:</w:t>
      </w:r>
    </w:p>
    <w:p w14:paraId="6CA0B444" w14:textId="77777777" w:rsidR="00E93F58" w:rsidRPr="00D97EFB" w:rsidRDefault="00E93F58" w:rsidP="00BB7E31">
      <w:pPr>
        <w:pStyle w:val="paragraph"/>
      </w:pPr>
      <w:r w:rsidRPr="00D97EFB">
        <w:rPr>
          <w:color w:val="000000"/>
        </w:rPr>
        <w:tab/>
        <w:t>(a)</w:t>
      </w:r>
      <w:r w:rsidRPr="00D97EFB">
        <w:rPr>
          <w:color w:val="000000"/>
        </w:rPr>
        <w:tab/>
        <w:t>has qualified privilege in respect of the giving of the information to ASIC; and</w:t>
      </w:r>
    </w:p>
    <w:p w14:paraId="6C307B47" w14:textId="77777777" w:rsidR="00E93F58" w:rsidRPr="00D97EFB" w:rsidRDefault="00E93F58" w:rsidP="00BB7E31">
      <w:pPr>
        <w:pStyle w:val="paragraph"/>
      </w:pPr>
      <w:r w:rsidRPr="00D97EFB">
        <w:tab/>
        <w:t>(b)</w:t>
      </w:r>
      <w:r w:rsidRPr="00D97EFB">
        <w:tab/>
        <w:t>is not liable to any person in relation to the giving of the information to ASIC.</w:t>
      </w:r>
    </w:p>
    <w:p w14:paraId="1AF64643" w14:textId="77777777" w:rsidR="00E93F58" w:rsidRPr="00D97EFB" w:rsidRDefault="00E93F58" w:rsidP="00BB7E31">
      <w:pPr>
        <w:pStyle w:val="subsection"/>
      </w:pPr>
      <w:r w:rsidRPr="00D97EFB">
        <w:tab/>
        <w:t>(4)</w:t>
      </w:r>
      <w:r w:rsidRPr="00D97EFB">
        <w:tab/>
        <w:t>The giving of the information to ASIC is not to be taken to be:</w:t>
      </w:r>
    </w:p>
    <w:p w14:paraId="74F2285E" w14:textId="77777777" w:rsidR="00E93F58" w:rsidRPr="00D97EFB" w:rsidRDefault="00E93F58" w:rsidP="00BB7E31">
      <w:pPr>
        <w:pStyle w:val="paragraph"/>
      </w:pPr>
      <w:r w:rsidRPr="00D97EFB">
        <w:rPr>
          <w:color w:val="000000"/>
        </w:rPr>
        <w:tab/>
        <w:t>(a)</w:t>
      </w:r>
      <w:r w:rsidRPr="00D97EFB">
        <w:rPr>
          <w:color w:val="000000"/>
        </w:rPr>
        <w:tab/>
        <w:t>a contravention of a law, including a law relating to privacy or confidentiality; or</w:t>
      </w:r>
    </w:p>
    <w:p w14:paraId="0903888D" w14:textId="77777777" w:rsidR="00E93F58" w:rsidRPr="00D97EFB" w:rsidRDefault="00E93F58" w:rsidP="00BB7E31">
      <w:pPr>
        <w:pStyle w:val="paragraph"/>
      </w:pPr>
      <w:r w:rsidRPr="00D97EFB">
        <w:tab/>
        <w:t>(b)</w:t>
      </w:r>
      <w:r w:rsidRPr="00D97EFB">
        <w:tab/>
        <w:t>a breach of contract or duty to a person.</w:t>
      </w:r>
    </w:p>
    <w:p w14:paraId="679A3A00" w14:textId="77777777" w:rsidR="00E93F58" w:rsidRPr="00D97EFB" w:rsidRDefault="00E93F58" w:rsidP="00BB7E31">
      <w:pPr>
        <w:pStyle w:val="ActHead5"/>
      </w:pPr>
      <w:bookmarkStart w:id="2900" w:name="_Toc151994729"/>
      <w:bookmarkStart w:id="2901" w:name="_Toc158713239"/>
      <w:r w:rsidRPr="000D40D5">
        <w:rPr>
          <w:rStyle w:val="CharSectno"/>
        </w:rPr>
        <w:t>10.15.04</w:t>
      </w:r>
      <w:r w:rsidRPr="00D97EFB">
        <w:t xml:space="preserve">  Notifications, consents, waivers, etc</w:t>
      </w:r>
      <w:bookmarkEnd w:id="2900"/>
      <w:bookmarkEnd w:id="2901"/>
    </w:p>
    <w:p w14:paraId="22AFF55B" w14:textId="77777777" w:rsidR="00E93F58" w:rsidRPr="00D97EFB" w:rsidRDefault="00E93F58" w:rsidP="00BB7E31">
      <w:pPr>
        <w:pStyle w:val="subsection"/>
      </w:pPr>
      <w:r w:rsidRPr="00D97EFB">
        <w:tab/>
        <w:t>(1)</w:t>
      </w:r>
      <w:r w:rsidRPr="00D97EFB">
        <w:tab/>
        <w:t>This regulation applies if:</w:t>
      </w:r>
    </w:p>
    <w:p w14:paraId="5364785A" w14:textId="77777777" w:rsidR="00E93F58" w:rsidRPr="00D97EFB" w:rsidRDefault="00E93F58" w:rsidP="00BB7E31">
      <w:pPr>
        <w:pStyle w:val="paragraph"/>
      </w:pPr>
      <w:r w:rsidRPr="00D97EFB">
        <w:rPr>
          <w:color w:val="000000"/>
        </w:rPr>
        <w:tab/>
        <w:t>(a)</w:t>
      </w:r>
      <w:r w:rsidRPr="00D97EFB">
        <w:rPr>
          <w:color w:val="000000"/>
        </w:rPr>
        <w:tab/>
        <w:t>an operator of a licensed market gave a written waiver, consent, recognition, accreditation, approval, determination, exemption or notification to a participant in the licensed market under the operating rules of the licensed market; and</w:t>
      </w:r>
    </w:p>
    <w:p w14:paraId="5069FBCC" w14:textId="77777777" w:rsidR="00E93F58" w:rsidRPr="00D97EFB" w:rsidRDefault="00E93F58" w:rsidP="00BB7E31">
      <w:pPr>
        <w:pStyle w:val="paragraph"/>
      </w:pPr>
      <w:r w:rsidRPr="00D97EFB">
        <w:tab/>
        <w:t>(b)</w:t>
      </w:r>
      <w:r w:rsidRPr="00D97EFB">
        <w:tab/>
        <w:t>the power or obligation in the operating rules to give the waiver, consent, recognition, accreditation, approval, determination, exemption or notification is incorporated into the market integrity rules.</w:t>
      </w:r>
    </w:p>
    <w:p w14:paraId="0CED988E" w14:textId="77777777" w:rsidR="00E93F58" w:rsidRPr="00D97EFB" w:rsidRDefault="00E93F58" w:rsidP="00BB7E31">
      <w:pPr>
        <w:pStyle w:val="subsection"/>
      </w:pPr>
      <w:r w:rsidRPr="00D97EFB">
        <w:tab/>
        <w:t>(2)</w:t>
      </w:r>
      <w:r w:rsidRPr="00D97EFB">
        <w:tab/>
        <w:t>The waiver, consent, recognition, accreditation, approval, determination, exemption or notification:</w:t>
      </w:r>
    </w:p>
    <w:p w14:paraId="12023217" w14:textId="77777777" w:rsidR="00E93F58" w:rsidRPr="00D97EFB" w:rsidRDefault="00E93F58" w:rsidP="00BB7E31">
      <w:pPr>
        <w:pStyle w:val="paragraph"/>
      </w:pPr>
      <w:r w:rsidRPr="00D97EFB">
        <w:rPr>
          <w:color w:val="000000"/>
        </w:rPr>
        <w:tab/>
        <w:t>(a)</w:t>
      </w:r>
      <w:r w:rsidRPr="00D97EFB">
        <w:rPr>
          <w:color w:val="000000"/>
        </w:rPr>
        <w:tab/>
        <w:t>is taken to have been given by ASIC under the market integrity rules; and</w:t>
      </w:r>
    </w:p>
    <w:p w14:paraId="7948602A" w14:textId="77777777" w:rsidR="00E93F58" w:rsidRPr="00D97EFB" w:rsidRDefault="00E93F58" w:rsidP="00BB7E31">
      <w:pPr>
        <w:pStyle w:val="paragraph"/>
      </w:pPr>
      <w:r w:rsidRPr="00D97EFB">
        <w:tab/>
        <w:t>(b)</w:t>
      </w:r>
      <w:r w:rsidRPr="00D97EFB">
        <w:tab/>
        <w:t>will continue in its existing form, and continue to have the same effect, (as given under the operating rules) unless ASIC determines that it should be amended or revoked.</w:t>
      </w:r>
    </w:p>
    <w:p w14:paraId="689E13DB" w14:textId="77777777" w:rsidR="00E93F58" w:rsidRPr="00D97EFB" w:rsidRDefault="00E93F58" w:rsidP="00BB7E31">
      <w:pPr>
        <w:pStyle w:val="subsection"/>
      </w:pPr>
      <w:r w:rsidRPr="00D97EFB">
        <w:tab/>
        <w:t>(3)</w:t>
      </w:r>
      <w:r w:rsidRPr="00D97EFB">
        <w:tab/>
        <w:t>ASIC may:</w:t>
      </w:r>
    </w:p>
    <w:p w14:paraId="136CA848" w14:textId="77777777" w:rsidR="00E93F58" w:rsidRPr="00D97EFB" w:rsidRDefault="00E93F58" w:rsidP="00BB7E31">
      <w:pPr>
        <w:pStyle w:val="paragraph"/>
      </w:pPr>
      <w:r w:rsidRPr="00D97EFB">
        <w:rPr>
          <w:color w:val="000000"/>
        </w:rPr>
        <w:tab/>
        <w:t>(a)</w:t>
      </w:r>
      <w:r w:rsidRPr="00D97EFB">
        <w:rPr>
          <w:color w:val="000000"/>
        </w:rPr>
        <w:tab/>
        <w:t>determine that a waiver, consent, recognition, accreditation, approval, determination, exemption or notification is no longer appropriate; and</w:t>
      </w:r>
    </w:p>
    <w:p w14:paraId="4A807EF7" w14:textId="77777777" w:rsidR="00E93F58" w:rsidRPr="00D97EFB" w:rsidRDefault="00E93F58" w:rsidP="00BB7E31">
      <w:pPr>
        <w:pStyle w:val="paragraph"/>
      </w:pPr>
      <w:r w:rsidRPr="00D97EFB">
        <w:lastRenderedPageBreak/>
        <w:tab/>
        <w:t>(b)</w:t>
      </w:r>
      <w:r w:rsidRPr="00D97EFB">
        <w:tab/>
        <w:t>determine, in writing, that the waiver, consent, recognition, accreditation, approval, determination, exemption or notification is amended or revoked as provided in the determination.</w:t>
      </w:r>
    </w:p>
    <w:p w14:paraId="3E939509" w14:textId="77777777" w:rsidR="00E93F58" w:rsidRPr="00D97EFB" w:rsidRDefault="00E93F58" w:rsidP="00BB7E31">
      <w:pPr>
        <w:pStyle w:val="subsection"/>
      </w:pPr>
      <w:r w:rsidRPr="00D97EFB">
        <w:rPr>
          <w:color w:val="000000"/>
        </w:rPr>
        <w:tab/>
        <w:t>(4)</w:t>
      </w:r>
      <w:r w:rsidRPr="00D97EFB">
        <w:rPr>
          <w:color w:val="000000"/>
        </w:rPr>
        <w:tab/>
        <w:t>If ASIC proposes to make a determination under subregulation (3), ASIC must give reasonable notice to the participant before making the determination.</w:t>
      </w:r>
    </w:p>
    <w:p w14:paraId="3EC942CD" w14:textId="77777777" w:rsidR="00E93F58" w:rsidRPr="00D97EFB" w:rsidRDefault="00E93F58" w:rsidP="00BB7E31">
      <w:pPr>
        <w:pStyle w:val="ActHead5"/>
      </w:pPr>
      <w:bookmarkStart w:id="2902" w:name="_Toc151994730"/>
      <w:bookmarkStart w:id="2903" w:name="_Toc158713240"/>
      <w:r w:rsidRPr="000D40D5">
        <w:rPr>
          <w:rStyle w:val="CharSectno"/>
        </w:rPr>
        <w:t>10.15.05</w:t>
      </w:r>
      <w:r w:rsidRPr="00D97EFB">
        <w:t xml:space="preserve">  Notification given by participant to operator of licensed market</w:t>
      </w:r>
      <w:bookmarkEnd w:id="2902"/>
      <w:bookmarkEnd w:id="2903"/>
    </w:p>
    <w:p w14:paraId="4A1485B8" w14:textId="77777777" w:rsidR="00E93F58" w:rsidRPr="00D97EFB" w:rsidRDefault="00E93F58" w:rsidP="00BB7E31">
      <w:pPr>
        <w:pStyle w:val="subsection"/>
      </w:pPr>
      <w:r w:rsidRPr="00D97EFB">
        <w:tab/>
        <w:t>(1)</w:t>
      </w:r>
      <w:r w:rsidRPr="00D97EFB">
        <w:tab/>
        <w:t>This regulation applies if:</w:t>
      </w:r>
    </w:p>
    <w:p w14:paraId="105AB61E" w14:textId="77777777" w:rsidR="00E93F58" w:rsidRPr="00D97EFB" w:rsidRDefault="00E93F58" w:rsidP="00BB7E31">
      <w:pPr>
        <w:pStyle w:val="paragraph"/>
      </w:pPr>
      <w:r w:rsidRPr="00D97EFB">
        <w:rPr>
          <w:color w:val="000000"/>
        </w:rPr>
        <w:tab/>
        <w:t>(a)</w:t>
      </w:r>
      <w:r w:rsidRPr="00D97EFB">
        <w:rPr>
          <w:color w:val="000000"/>
        </w:rPr>
        <w:tab/>
        <w:t>a participant in a licensed market gave the operator of the licensed market a written notification or certification under the operating rules of the licensed market; and</w:t>
      </w:r>
    </w:p>
    <w:p w14:paraId="03096150" w14:textId="77777777" w:rsidR="00E93F58" w:rsidRPr="00D97EFB" w:rsidRDefault="00E93F58" w:rsidP="00BB7E31">
      <w:pPr>
        <w:pStyle w:val="paragraph"/>
      </w:pPr>
      <w:r w:rsidRPr="00D97EFB">
        <w:tab/>
        <w:t>(b)</w:t>
      </w:r>
      <w:r w:rsidRPr="00D97EFB">
        <w:tab/>
        <w:t>the power or obligation in the operating rules to give the notification or certification is incorporated into the market integrity rules.</w:t>
      </w:r>
    </w:p>
    <w:p w14:paraId="19E6E752" w14:textId="77777777" w:rsidR="00E93F58" w:rsidRPr="00D97EFB" w:rsidRDefault="00E93F58" w:rsidP="00BB7E31">
      <w:pPr>
        <w:pStyle w:val="subsection"/>
      </w:pPr>
      <w:r w:rsidRPr="00D97EFB">
        <w:tab/>
        <w:t>(2)</w:t>
      </w:r>
      <w:r w:rsidRPr="00D97EFB">
        <w:tab/>
        <w:t>The notification or certification:</w:t>
      </w:r>
    </w:p>
    <w:p w14:paraId="4A45038A" w14:textId="77777777" w:rsidR="00E93F58" w:rsidRPr="00D97EFB" w:rsidRDefault="00E93F58" w:rsidP="00BB7E31">
      <w:pPr>
        <w:pStyle w:val="paragraph"/>
      </w:pPr>
      <w:r w:rsidRPr="00D97EFB">
        <w:rPr>
          <w:color w:val="000000"/>
        </w:rPr>
        <w:tab/>
        <w:t>(a)</w:t>
      </w:r>
      <w:r w:rsidRPr="00D97EFB">
        <w:rPr>
          <w:color w:val="000000"/>
        </w:rPr>
        <w:tab/>
        <w:t>is taken to have been given to ASIC by the participant under the market integrity rules; and</w:t>
      </w:r>
    </w:p>
    <w:p w14:paraId="54A5B24D" w14:textId="77777777" w:rsidR="00E93F58" w:rsidRPr="00D97EFB" w:rsidRDefault="00E93F58" w:rsidP="00BB7E31">
      <w:pPr>
        <w:pStyle w:val="paragraph"/>
      </w:pPr>
      <w:r w:rsidRPr="00D97EFB">
        <w:tab/>
        <w:t>(b)</w:t>
      </w:r>
      <w:r w:rsidRPr="00D97EFB">
        <w:tab/>
        <w:t>will continue in its existing form, and continue to have the same effect, (as given under the operating rules) unless ASIC otherwise determines.</w:t>
      </w:r>
    </w:p>
    <w:p w14:paraId="73B626C3" w14:textId="77777777" w:rsidR="00E93F58" w:rsidRPr="00D97EFB" w:rsidRDefault="00E93F58" w:rsidP="00BB7E31">
      <w:pPr>
        <w:pStyle w:val="subsection"/>
      </w:pPr>
      <w:r w:rsidRPr="00D97EFB">
        <w:tab/>
        <w:t>(3)</w:t>
      </w:r>
      <w:r w:rsidRPr="00D97EFB">
        <w:tab/>
        <w:t>ASIC may:</w:t>
      </w:r>
    </w:p>
    <w:p w14:paraId="2DF9EB2C" w14:textId="77777777" w:rsidR="00E93F58" w:rsidRPr="00D97EFB" w:rsidRDefault="00E93F58" w:rsidP="00BB7E31">
      <w:pPr>
        <w:pStyle w:val="paragraph"/>
      </w:pPr>
      <w:r w:rsidRPr="00D97EFB">
        <w:rPr>
          <w:color w:val="000000"/>
        </w:rPr>
        <w:tab/>
        <w:t>(a)</w:t>
      </w:r>
      <w:r w:rsidRPr="00D97EFB">
        <w:rPr>
          <w:color w:val="000000"/>
        </w:rPr>
        <w:tab/>
        <w:t>determine that a notification or certification is no longer appropriate; and</w:t>
      </w:r>
    </w:p>
    <w:p w14:paraId="67BFB2DA" w14:textId="77777777" w:rsidR="00E93F58" w:rsidRPr="00D97EFB" w:rsidRDefault="00E93F58" w:rsidP="00BB7E31">
      <w:pPr>
        <w:pStyle w:val="paragraph"/>
      </w:pPr>
      <w:r w:rsidRPr="00D97EFB">
        <w:tab/>
        <w:t>(b)</w:t>
      </w:r>
      <w:r w:rsidRPr="00D97EFB">
        <w:tab/>
        <w:t>determine, in writing, that the notification or certification is amended or revoked as provided in the determination.</w:t>
      </w:r>
    </w:p>
    <w:p w14:paraId="403D340E" w14:textId="77777777" w:rsidR="00E93F58" w:rsidRPr="00D97EFB" w:rsidRDefault="00E93F58" w:rsidP="00BB7E31">
      <w:pPr>
        <w:pStyle w:val="subsection"/>
      </w:pPr>
      <w:r w:rsidRPr="00D97EFB">
        <w:rPr>
          <w:color w:val="000000"/>
        </w:rPr>
        <w:tab/>
        <w:t>(4)</w:t>
      </w:r>
      <w:r w:rsidRPr="00D97EFB">
        <w:rPr>
          <w:color w:val="000000"/>
        </w:rPr>
        <w:tab/>
        <w:t>If ASIC proposes to make a determination under subregulation (3), ASIC must give reasonable notice to the participant before making the determination.</w:t>
      </w:r>
    </w:p>
    <w:p w14:paraId="0702D548" w14:textId="77777777" w:rsidR="00E93F58" w:rsidRPr="00D97EFB" w:rsidRDefault="00E93F58" w:rsidP="00BB7E31">
      <w:pPr>
        <w:pStyle w:val="ActHead5"/>
      </w:pPr>
      <w:bookmarkStart w:id="2904" w:name="_Toc151994731"/>
      <w:bookmarkStart w:id="2905" w:name="_Toc158713241"/>
      <w:r w:rsidRPr="000D40D5">
        <w:rPr>
          <w:rStyle w:val="CharSectno"/>
        </w:rPr>
        <w:t>10.15.06</w:t>
      </w:r>
      <w:r w:rsidRPr="00D97EFB">
        <w:t xml:space="preserve">  Registers</w:t>
      </w:r>
      <w:bookmarkEnd w:id="2904"/>
      <w:bookmarkEnd w:id="2905"/>
    </w:p>
    <w:p w14:paraId="12BCD69E" w14:textId="77777777" w:rsidR="00E93F58" w:rsidRPr="00D97EFB" w:rsidRDefault="00E93F58" w:rsidP="00BB7E31">
      <w:pPr>
        <w:pStyle w:val="subsection"/>
      </w:pPr>
      <w:r w:rsidRPr="00D97EFB">
        <w:tab/>
      </w:r>
      <w:r w:rsidRPr="00D97EFB">
        <w:tab/>
        <w:t>If:</w:t>
      </w:r>
    </w:p>
    <w:p w14:paraId="71822C5C" w14:textId="77777777" w:rsidR="00E93F58" w:rsidRPr="00D97EFB" w:rsidRDefault="00E93F58" w:rsidP="00BB7E31">
      <w:pPr>
        <w:pStyle w:val="paragraph"/>
      </w:pPr>
      <w:r w:rsidRPr="00D97EFB">
        <w:rPr>
          <w:color w:val="000000"/>
        </w:rPr>
        <w:tab/>
        <w:t>(a)</w:t>
      </w:r>
      <w:r w:rsidRPr="00D97EFB">
        <w:rPr>
          <w:color w:val="000000"/>
        </w:rPr>
        <w:tab/>
        <w:t>an operator of a licensed market kept a register under, or in relation to, the operating rules of the licensed market; and</w:t>
      </w:r>
    </w:p>
    <w:p w14:paraId="29ECB1C5" w14:textId="77777777" w:rsidR="00E93F58" w:rsidRPr="00D97EFB" w:rsidRDefault="00E93F58" w:rsidP="00BB7E31">
      <w:pPr>
        <w:pStyle w:val="paragraph"/>
      </w:pPr>
      <w:r w:rsidRPr="00D97EFB">
        <w:tab/>
        <w:t>(b)</w:t>
      </w:r>
      <w:r w:rsidRPr="00D97EFB">
        <w:tab/>
        <w:t>the relevant operating rules are incorporated into the market integrity rules;</w:t>
      </w:r>
    </w:p>
    <w:p w14:paraId="786C9F37" w14:textId="77777777" w:rsidR="00E93F58" w:rsidRPr="00D97EFB" w:rsidRDefault="00E93F58" w:rsidP="00BB7E31">
      <w:pPr>
        <w:pStyle w:val="subsection2"/>
      </w:pPr>
      <w:r w:rsidRPr="00D97EFB">
        <w:rPr>
          <w:color w:val="000000"/>
        </w:rPr>
        <w:t>the register is taken to be kept by ASIC under, or in relation to, the market integrity rules.</w:t>
      </w:r>
    </w:p>
    <w:p w14:paraId="779FE5EC" w14:textId="77777777" w:rsidR="00E93F58" w:rsidRPr="00D97EFB" w:rsidRDefault="00E93F58" w:rsidP="00825A5B">
      <w:pPr>
        <w:pStyle w:val="ActHead2"/>
        <w:pageBreakBefore/>
      </w:pPr>
      <w:bookmarkStart w:id="2906" w:name="_Toc151994732"/>
      <w:bookmarkStart w:id="2907" w:name="_Toc158713242"/>
      <w:r w:rsidRPr="000D40D5">
        <w:rPr>
          <w:rStyle w:val="CharPartNo"/>
        </w:rPr>
        <w:lastRenderedPageBreak/>
        <w:t>Part 10.18</w:t>
      </w:r>
      <w:r w:rsidRPr="00D97EFB">
        <w:t>—</w:t>
      </w:r>
      <w:r w:rsidRPr="000D40D5">
        <w:rPr>
          <w:rStyle w:val="CharPartText"/>
        </w:rPr>
        <w:t>Transitional provisions relating to Corporations Amendment (Further Future of Financial Advice Measures) Act 2012</w:t>
      </w:r>
      <w:bookmarkEnd w:id="2906"/>
      <w:bookmarkEnd w:id="2907"/>
    </w:p>
    <w:p w14:paraId="4C4475C3" w14:textId="77777777" w:rsidR="00E93F58" w:rsidRPr="00D97EFB" w:rsidRDefault="00E93F58" w:rsidP="006C4A19">
      <w:pPr>
        <w:pStyle w:val="Header"/>
      </w:pPr>
      <w:r w:rsidRPr="000D40D5">
        <w:rPr>
          <w:rStyle w:val="CharDivNo"/>
        </w:rPr>
        <w:t xml:space="preserve"> </w:t>
      </w:r>
      <w:r w:rsidRPr="000D40D5">
        <w:rPr>
          <w:rStyle w:val="CharDivText"/>
        </w:rPr>
        <w:t xml:space="preserve"> </w:t>
      </w:r>
    </w:p>
    <w:p w14:paraId="6DD7DBEB" w14:textId="77777777" w:rsidR="00E93F58" w:rsidRPr="00D97EFB" w:rsidRDefault="00E93F58" w:rsidP="00825A5B">
      <w:pPr>
        <w:pStyle w:val="ActHead2"/>
        <w:pageBreakBefore/>
      </w:pPr>
      <w:bookmarkStart w:id="2908" w:name="_Toc151994733"/>
      <w:bookmarkStart w:id="2909" w:name="_Toc158713243"/>
      <w:r w:rsidRPr="000D40D5">
        <w:rPr>
          <w:rStyle w:val="CharPartNo"/>
        </w:rPr>
        <w:lastRenderedPageBreak/>
        <w:t>Part 10.19</w:t>
      </w:r>
      <w:r w:rsidRPr="00D97EFB">
        <w:t>—</w:t>
      </w:r>
      <w:r w:rsidRPr="000D40D5">
        <w:rPr>
          <w:rStyle w:val="CharPartText"/>
        </w:rPr>
        <w:t>Transitional matters relating to MySuper measures</w:t>
      </w:r>
      <w:bookmarkEnd w:id="2908"/>
      <w:bookmarkEnd w:id="2909"/>
    </w:p>
    <w:p w14:paraId="0D1CAC34" w14:textId="77777777" w:rsidR="00E93F58" w:rsidRPr="00D97EFB" w:rsidRDefault="00E93F58" w:rsidP="0048089C">
      <w:pPr>
        <w:pStyle w:val="Header"/>
      </w:pPr>
      <w:r w:rsidRPr="000D40D5">
        <w:rPr>
          <w:rStyle w:val="CharDivNo"/>
        </w:rPr>
        <w:t xml:space="preserve"> </w:t>
      </w:r>
      <w:r w:rsidRPr="000D40D5">
        <w:rPr>
          <w:rStyle w:val="CharDivText"/>
        </w:rPr>
        <w:t xml:space="preserve"> </w:t>
      </w:r>
    </w:p>
    <w:p w14:paraId="2006F4AD" w14:textId="77777777" w:rsidR="00E93F58" w:rsidRPr="00D97EFB" w:rsidRDefault="00E93F58" w:rsidP="0048089C">
      <w:pPr>
        <w:pStyle w:val="ActHead5"/>
      </w:pPr>
      <w:bookmarkStart w:id="2910" w:name="_Toc151994734"/>
      <w:bookmarkStart w:id="2911" w:name="_Toc158713244"/>
      <w:r w:rsidRPr="000D40D5">
        <w:rPr>
          <w:rStyle w:val="CharSectno"/>
        </w:rPr>
        <w:t>10.19.01</w:t>
      </w:r>
      <w:r w:rsidRPr="00D97EFB">
        <w:t xml:space="preserve">  Changes to product disclosure statements and periodic statements</w:t>
      </w:r>
      <w:bookmarkEnd w:id="2910"/>
      <w:bookmarkEnd w:id="2911"/>
    </w:p>
    <w:p w14:paraId="45E543A6" w14:textId="77777777" w:rsidR="00E93F58" w:rsidRPr="00D97EFB" w:rsidRDefault="00E93F58" w:rsidP="0048089C">
      <w:pPr>
        <w:pStyle w:val="subsection"/>
      </w:pPr>
      <w:r w:rsidRPr="00D97EFB">
        <w:tab/>
        <w:t>(1)</w:t>
      </w:r>
      <w:r w:rsidRPr="00D97EFB">
        <w:tab/>
        <w:t xml:space="preserve">The amendments made by items 7 to 68 and 70 to 86 of Schedule 1 to the Superannuation </w:t>
      </w:r>
      <w:r w:rsidRPr="00D97EFB">
        <w:rPr>
          <w:i/>
        </w:rPr>
        <w:t xml:space="preserve">Legislation Amendment (MySuper Measures) Regulation 2013 </w:t>
      </w:r>
      <w:r w:rsidRPr="00D97EFB">
        <w:t xml:space="preserve">(the </w:t>
      </w:r>
      <w:r w:rsidRPr="00D97EFB">
        <w:rPr>
          <w:b/>
          <w:i/>
        </w:rPr>
        <w:t>amending items</w:t>
      </w:r>
      <w:r w:rsidRPr="00D97EFB">
        <w:t>) apply to:</w:t>
      </w:r>
    </w:p>
    <w:p w14:paraId="076116FE" w14:textId="77777777" w:rsidR="00E93F58" w:rsidRPr="00D97EFB" w:rsidRDefault="00E93F58" w:rsidP="0048089C">
      <w:pPr>
        <w:pStyle w:val="paragraph"/>
      </w:pPr>
      <w:r w:rsidRPr="00D97EFB">
        <w:tab/>
        <w:t>(a)</w:t>
      </w:r>
      <w:r w:rsidRPr="00D97EFB">
        <w:tab/>
        <w:t>Product Disclosure Statements given:</w:t>
      </w:r>
    </w:p>
    <w:p w14:paraId="32BBC007" w14:textId="77777777" w:rsidR="00E93F58" w:rsidRPr="00D97EFB" w:rsidRDefault="00E93F58" w:rsidP="0048089C">
      <w:pPr>
        <w:pStyle w:val="paragraphsub"/>
      </w:pPr>
      <w:r w:rsidRPr="00D97EFB">
        <w:tab/>
        <w:t>(i)</w:t>
      </w:r>
      <w:r w:rsidRPr="00D97EFB">
        <w:tab/>
        <w:t>for a superannuation product—on or after 31 December 2013; or</w:t>
      </w:r>
    </w:p>
    <w:p w14:paraId="67C29765" w14:textId="77777777" w:rsidR="00E93F58" w:rsidRPr="00D97EFB" w:rsidRDefault="00E93F58" w:rsidP="0048089C">
      <w:pPr>
        <w:pStyle w:val="paragraphsub"/>
      </w:pPr>
      <w:r w:rsidRPr="00D97EFB">
        <w:tab/>
        <w:t>(ii)</w:t>
      </w:r>
      <w:r w:rsidRPr="00D97EFB">
        <w:tab/>
        <w:t>for a managed investment product—on or after 1 July 2014; and</w:t>
      </w:r>
    </w:p>
    <w:p w14:paraId="2F36E924" w14:textId="77777777" w:rsidR="00E93F58" w:rsidRPr="00D97EFB" w:rsidRDefault="00E93F58" w:rsidP="0048089C">
      <w:pPr>
        <w:pStyle w:val="paragraph"/>
      </w:pPr>
      <w:r w:rsidRPr="00D97EFB">
        <w:tab/>
        <w:t>(b)</w:t>
      </w:r>
      <w:r w:rsidRPr="00D97EFB">
        <w:tab/>
        <w:t>periodic statements given under section 1017D of the Act in relation to reporting periods ending:</w:t>
      </w:r>
    </w:p>
    <w:p w14:paraId="689ACFAF" w14:textId="77777777" w:rsidR="00E93F58" w:rsidRPr="00D97EFB" w:rsidRDefault="00E93F58" w:rsidP="0048089C">
      <w:pPr>
        <w:pStyle w:val="paragraphsub"/>
      </w:pPr>
      <w:r w:rsidRPr="00D97EFB">
        <w:tab/>
        <w:t>(i)</w:t>
      </w:r>
      <w:r w:rsidRPr="00D97EFB">
        <w:tab/>
        <w:t>for a superannuation product—on or after 31 December 2013; or</w:t>
      </w:r>
    </w:p>
    <w:p w14:paraId="161E62F7" w14:textId="77777777" w:rsidR="00E93F58" w:rsidRPr="00D97EFB" w:rsidRDefault="00E93F58" w:rsidP="0048089C">
      <w:pPr>
        <w:pStyle w:val="paragraphsub"/>
      </w:pPr>
      <w:r w:rsidRPr="00D97EFB">
        <w:tab/>
        <w:t>(ii)</w:t>
      </w:r>
      <w:r w:rsidRPr="00D97EFB">
        <w:tab/>
        <w:t>for a managed investment product—on or after 1 July 2014.</w:t>
      </w:r>
    </w:p>
    <w:p w14:paraId="26C750E9" w14:textId="77777777" w:rsidR="00E93F58" w:rsidRPr="00D97EFB" w:rsidRDefault="00E93F58" w:rsidP="0048089C">
      <w:pPr>
        <w:pStyle w:val="subsection"/>
      </w:pPr>
      <w:r w:rsidRPr="00D97EFB">
        <w:tab/>
        <w:t>(2)</w:t>
      </w:r>
      <w:r w:rsidRPr="00D97EFB">
        <w:tab/>
        <w:t>If:</w:t>
      </w:r>
    </w:p>
    <w:p w14:paraId="4777B071" w14:textId="77777777" w:rsidR="00E93F58" w:rsidRPr="00D97EFB" w:rsidRDefault="00E93F58" w:rsidP="0048089C">
      <w:pPr>
        <w:pStyle w:val="paragraph"/>
      </w:pPr>
      <w:r w:rsidRPr="00D97EFB">
        <w:tab/>
        <w:t>(a)</w:t>
      </w:r>
      <w:r w:rsidRPr="00D97EFB">
        <w:tab/>
        <w:t>a Product Disclosure Statement is given during the transition period; and</w:t>
      </w:r>
    </w:p>
    <w:p w14:paraId="55B8C8EC" w14:textId="77777777" w:rsidR="00E93F58" w:rsidRPr="00D97EFB" w:rsidRDefault="00E93F58" w:rsidP="0048089C">
      <w:pPr>
        <w:pStyle w:val="paragraph"/>
      </w:pPr>
      <w:r w:rsidRPr="00D97EFB">
        <w:tab/>
        <w:t>(b)</w:t>
      </w:r>
      <w:r w:rsidRPr="00D97EFB">
        <w:tab/>
        <w:t>were the amendments made by the amending items to apply during the transition period, the Product Disclosure Statement would comply with Schedule 10 or Schedule 10D (as the case requires);</w:t>
      </w:r>
    </w:p>
    <w:p w14:paraId="2D00F8D3" w14:textId="77777777" w:rsidR="00E93F58" w:rsidRPr="00D97EFB" w:rsidRDefault="00E93F58" w:rsidP="0048089C">
      <w:pPr>
        <w:pStyle w:val="subsection2"/>
      </w:pPr>
      <w:r w:rsidRPr="00D97EFB">
        <w:t>the Product Disclosure Statement is taken to comply with Schedule 10 or Schedule 10D (as the case requires).</w:t>
      </w:r>
    </w:p>
    <w:p w14:paraId="1956907E" w14:textId="77777777" w:rsidR="00E93F58" w:rsidRPr="00D97EFB" w:rsidRDefault="00E93F58" w:rsidP="0048089C">
      <w:pPr>
        <w:pStyle w:val="subsection"/>
      </w:pPr>
      <w:r w:rsidRPr="00D97EFB">
        <w:tab/>
        <w:t>(3)</w:t>
      </w:r>
      <w:r w:rsidRPr="00D97EFB">
        <w:tab/>
        <w:t>If:</w:t>
      </w:r>
    </w:p>
    <w:p w14:paraId="28F20372" w14:textId="77777777" w:rsidR="00E93F58" w:rsidRPr="00D97EFB" w:rsidRDefault="00E93F58" w:rsidP="0048089C">
      <w:pPr>
        <w:pStyle w:val="paragraph"/>
      </w:pPr>
      <w:r w:rsidRPr="00D97EFB">
        <w:tab/>
        <w:t>(a)</w:t>
      </w:r>
      <w:r w:rsidRPr="00D97EFB">
        <w:tab/>
        <w:t>a periodic statement under section 1017D of the Act is given during the transition period; and</w:t>
      </w:r>
    </w:p>
    <w:p w14:paraId="677B05CD" w14:textId="77777777" w:rsidR="00E93F58" w:rsidRPr="00D97EFB" w:rsidRDefault="00E93F58" w:rsidP="0048089C">
      <w:pPr>
        <w:pStyle w:val="paragraph"/>
      </w:pPr>
      <w:r w:rsidRPr="00D97EFB">
        <w:tab/>
        <w:t>(b)</w:t>
      </w:r>
      <w:r w:rsidRPr="00D97EFB">
        <w:tab/>
        <w:t>were the amendments made by the amending items to apply during the transition period, the periodic statement would comply with Schedule 10;</w:t>
      </w:r>
    </w:p>
    <w:p w14:paraId="759A7E0F" w14:textId="77777777" w:rsidR="00E93F58" w:rsidRPr="00D97EFB" w:rsidRDefault="00E93F58" w:rsidP="0048089C">
      <w:pPr>
        <w:pStyle w:val="subsection2"/>
      </w:pPr>
      <w:r w:rsidRPr="00D97EFB">
        <w:t>the periodic statement is taken to comply with the Schedule.</w:t>
      </w:r>
    </w:p>
    <w:p w14:paraId="42E2F791" w14:textId="77777777" w:rsidR="00E93F58" w:rsidRPr="00D97EFB" w:rsidRDefault="00E93F58" w:rsidP="0048089C">
      <w:pPr>
        <w:pStyle w:val="subsection"/>
      </w:pPr>
      <w:r w:rsidRPr="00D97EFB">
        <w:tab/>
        <w:t>(4)</w:t>
      </w:r>
      <w:r w:rsidRPr="00D97EFB">
        <w:tab/>
        <w:t xml:space="preserve">For the purposes of this regulation, the </w:t>
      </w:r>
      <w:r w:rsidRPr="00D97EFB">
        <w:rPr>
          <w:b/>
          <w:i/>
        </w:rPr>
        <w:t xml:space="preserve">transition period </w:t>
      </w:r>
      <w:r w:rsidRPr="00D97EFB">
        <w:t>is a period:</w:t>
      </w:r>
    </w:p>
    <w:p w14:paraId="184041BB" w14:textId="77777777" w:rsidR="00E93F58" w:rsidRPr="00D97EFB" w:rsidRDefault="00E93F58" w:rsidP="0048089C">
      <w:pPr>
        <w:pStyle w:val="paragraph"/>
      </w:pPr>
      <w:r w:rsidRPr="00D97EFB">
        <w:tab/>
        <w:t>(a)</w:t>
      </w:r>
      <w:r w:rsidRPr="00D97EFB">
        <w:tab/>
        <w:t>for a superannuation product—beginning on 1 July 2013 and ending on 30 December 2013; or</w:t>
      </w:r>
    </w:p>
    <w:p w14:paraId="7426646B" w14:textId="77777777" w:rsidR="00E93F58" w:rsidRPr="00D97EFB" w:rsidRDefault="00E93F58" w:rsidP="0048089C">
      <w:pPr>
        <w:pStyle w:val="paragraph"/>
      </w:pPr>
      <w:r w:rsidRPr="00D97EFB">
        <w:tab/>
        <w:t>(b)</w:t>
      </w:r>
      <w:r w:rsidRPr="00D97EFB">
        <w:tab/>
        <w:t>for a managed investment product—beginning on 1 July 2013 and ending on 30 June 2014.</w:t>
      </w:r>
    </w:p>
    <w:p w14:paraId="7FE753A1" w14:textId="77777777" w:rsidR="00E93F58" w:rsidRPr="00D97EFB" w:rsidRDefault="00E93F58" w:rsidP="00A252FF">
      <w:pPr>
        <w:pStyle w:val="ActHead2"/>
        <w:pageBreakBefore/>
      </w:pPr>
      <w:bookmarkStart w:id="2912" w:name="_Toc151994735"/>
      <w:bookmarkStart w:id="2913" w:name="_Toc158713245"/>
      <w:r w:rsidRPr="000D40D5">
        <w:rPr>
          <w:rStyle w:val="CharPartNo"/>
        </w:rPr>
        <w:lastRenderedPageBreak/>
        <w:t>Part 10.21</w:t>
      </w:r>
      <w:r w:rsidRPr="00D97EFB">
        <w:t>—</w:t>
      </w:r>
      <w:r w:rsidRPr="000D40D5">
        <w:rPr>
          <w:rStyle w:val="CharPartText"/>
        </w:rPr>
        <w:t>Application provisions relating to the Corporations Amendment (Central Clearing and Single</w:t>
      </w:r>
      <w:r w:rsidRPr="000D40D5">
        <w:rPr>
          <w:rStyle w:val="CharPartText"/>
        </w:rPr>
        <w:noBreakHyphen/>
        <w:t>Sided Reporting) Regulation 2015</w:t>
      </w:r>
      <w:bookmarkEnd w:id="2912"/>
      <w:bookmarkEnd w:id="2913"/>
    </w:p>
    <w:p w14:paraId="688043F1" w14:textId="77777777" w:rsidR="00E93F58" w:rsidRPr="00D97EFB" w:rsidRDefault="00E93F58" w:rsidP="00460ED7">
      <w:pPr>
        <w:pStyle w:val="Header"/>
      </w:pPr>
      <w:r w:rsidRPr="000D40D5">
        <w:rPr>
          <w:rStyle w:val="CharDivNo"/>
        </w:rPr>
        <w:t xml:space="preserve"> </w:t>
      </w:r>
      <w:r w:rsidRPr="000D40D5">
        <w:rPr>
          <w:rStyle w:val="CharDivText"/>
        </w:rPr>
        <w:t xml:space="preserve"> </w:t>
      </w:r>
    </w:p>
    <w:p w14:paraId="1BBB6984" w14:textId="77777777" w:rsidR="00E93F58" w:rsidRPr="00D97EFB" w:rsidRDefault="00E93F58" w:rsidP="00721D20">
      <w:pPr>
        <w:pStyle w:val="ActHead5"/>
      </w:pPr>
      <w:bookmarkStart w:id="2914" w:name="_Toc151994736"/>
      <w:bookmarkStart w:id="2915" w:name="_Toc158713246"/>
      <w:r w:rsidRPr="000D40D5">
        <w:rPr>
          <w:rStyle w:val="CharSectno"/>
        </w:rPr>
        <w:t>10.21.01</w:t>
      </w:r>
      <w:r w:rsidRPr="00D97EFB">
        <w:t xml:space="preserve">  First application of 7.5A.73—existing phase 3 reporting entities</w:t>
      </w:r>
      <w:bookmarkEnd w:id="2914"/>
      <w:bookmarkEnd w:id="2915"/>
    </w:p>
    <w:p w14:paraId="7FCBB52E" w14:textId="77777777" w:rsidR="00E93F58" w:rsidRPr="00D97EFB" w:rsidRDefault="00E93F58" w:rsidP="00721D20">
      <w:pPr>
        <w:pStyle w:val="SubsectionHead"/>
      </w:pPr>
      <w:r w:rsidRPr="00D97EFB">
        <w:t>Main rule</w:t>
      </w:r>
    </w:p>
    <w:p w14:paraId="44F2A9CF" w14:textId="77777777" w:rsidR="00E93F58" w:rsidRPr="00D97EFB" w:rsidRDefault="00E93F58" w:rsidP="00721D20">
      <w:pPr>
        <w:pStyle w:val="subsection"/>
      </w:pPr>
      <w:r w:rsidRPr="00D97EFB">
        <w:tab/>
        <w:t>(1)</w:t>
      </w:r>
      <w:r w:rsidRPr="00D97EFB">
        <w:tab/>
        <w:t>Subject to subregulations (2) and (3), for the purposes of regulations 7.5A.71 and 7.5A.72, regulation 7.5A.73 first applies to an entity that was a phase 3 reporting entity on 30 September 2015, in relation to an OTC derivative transaction or an OTC derivative position, at all times during a period:</w:t>
      </w:r>
    </w:p>
    <w:p w14:paraId="2C694D08" w14:textId="77777777" w:rsidR="00E93F58" w:rsidRPr="00D97EFB" w:rsidRDefault="00E93F58" w:rsidP="00721D20">
      <w:pPr>
        <w:pStyle w:val="paragraph"/>
      </w:pPr>
      <w:r w:rsidRPr="00D97EFB">
        <w:tab/>
        <w:t>(a)</w:t>
      </w:r>
      <w:r w:rsidRPr="00D97EFB">
        <w:tab/>
        <w:t>starting on 1 October 2015; and</w:t>
      </w:r>
    </w:p>
    <w:p w14:paraId="5EBCF5C9" w14:textId="77777777" w:rsidR="00E93F58" w:rsidRPr="00D97EFB" w:rsidRDefault="00E93F58" w:rsidP="00721D20">
      <w:pPr>
        <w:pStyle w:val="paragraph"/>
      </w:pPr>
      <w:r w:rsidRPr="00D97EFB">
        <w:tab/>
        <w:t>(b)</w:t>
      </w:r>
      <w:r w:rsidRPr="00D97EFB">
        <w:tab/>
        <w:t>ending at the end of the quarter day that next follows 2 successive disqualifying quarter days for the entity, counting disqualifying quarter days on or after 30 June 2015.</w:t>
      </w:r>
    </w:p>
    <w:p w14:paraId="122DFD9C" w14:textId="77777777" w:rsidR="00E93F58" w:rsidRPr="00D97EFB" w:rsidRDefault="00E93F58" w:rsidP="00721D20">
      <w:pPr>
        <w:pStyle w:val="SubsectionHead"/>
      </w:pPr>
      <w:r w:rsidRPr="00D97EFB">
        <w:t>Entities with disqualifying quarter days on 31 March 2015 and 30 June 2015</w:t>
      </w:r>
    </w:p>
    <w:p w14:paraId="0966F822" w14:textId="77777777" w:rsidR="00E93F58" w:rsidRPr="00D97EFB" w:rsidRDefault="00E93F58" w:rsidP="00721D20">
      <w:pPr>
        <w:pStyle w:val="subsection"/>
      </w:pPr>
      <w:r w:rsidRPr="00D97EFB">
        <w:tab/>
        <w:t>(2)</w:t>
      </w:r>
      <w:r w:rsidRPr="00D97EFB">
        <w:tab/>
        <w:t>Subregulation (3) applies in relation to an entity that was a phase 3 reporting entity on 30 September 2015, if:</w:t>
      </w:r>
    </w:p>
    <w:p w14:paraId="4E49D524" w14:textId="77777777" w:rsidR="00E93F58" w:rsidRPr="00D97EFB" w:rsidRDefault="00E93F58" w:rsidP="00721D20">
      <w:pPr>
        <w:pStyle w:val="paragraph"/>
      </w:pPr>
      <w:r w:rsidRPr="00D97EFB">
        <w:tab/>
        <w:t>(a)</w:t>
      </w:r>
      <w:r w:rsidRPr="00D97EFB">
        <w:tab/>
        <w:t>the entity became a phase 3 reporting entity on or before 31 March 2015; and</w:t>
      </w:r>
    </w:p>
    <w:p w14:paraId="0182A70A" w14:textId="77777777" w:rsidR="00E93F58" w:rsidRPr="00D97EFB" w:rsidRDefault="00E93F58" w:rsidP="00721D20">
      <w:pPr>
        <w:pStyle w:val="paragraph"/>
      </w:pPr>
      <w:r w:rsidRPr="00D97EFB">
        <w:tab/>
        <w:t>(b)</w:t>
      </w:r>
      <w:r w:rsidRPr="00D97EFB">
        <w:tab/>
        <w:t>31 March 2015 and 30 June 2015 were disqualifying quarter days for the entity.</w:t>
      </w:r>
    </w:p>
    <w:p w14:paraId="0C4EDFC3" w14:textId="77777777" w:rsidR="00E93F58" w:rsidRPr="00D97EFB" w:rsidRDefault="00E93F58" w:rsidP="00721D20">
      <w:pPr>
        <w:pStyle w:val="subsection"/>
      </w:pPr>
      <w:r w:rsidRPr="00D97EFB">
        <w:tab/>
        <w:t>(3)</w:t>
      </w:r>
      <w:r w:rsidRPr="00D97EFB">
        <w:tab/>
        <w:t>For the purposes of regulations 7.5A.71 and 7.5A.72, regulation 7.5A.73 first applies to the entity, in relation to an OTC derivative transaction or an OTC derivative position, at all times during a period:</w:t>
      </w:r>
    </w:p>
    <w:p w14:paraId="48EAE700" w14:textId="77777777" w:rsidR="00E93F58" w:rsidRPr="00D97EFB" w:rsidRDefault="00E93F58" w:rsidP="00721D20">
      <w:pPr>
        <w:pStyle w:val="paragraph"/>
      </w:pPr>
      <w:r w:rsidRPr="00D97EFB">
        <w:tab/>
        <w:t>(a)</w:t>
      </w:r>
      <w:r w:rsidRPr="00D97EFB">
        <w:tab/>
        <w:t>starting on the day after the quarter day that next follows 2 successive qualifying quarter days for the entity, counting qualifying quarter days on or after 30 September 2015; and</w:t>
      </w:r>
    </w:p>
    <w:p w14:paraId="76ACC1F4" w14:textId="77777777" w:rsidR="00E93F58" w:rsidRPr="00D97EFB" w:rsidRDefault="00E93F58" w:rsidP="00721D20">
      <w:pPr>
        <w:pStyle w:val="paragraph"/>
      </w:pPr>
      <w:r w:rsidRPr="00D97EFB">
        <w:tab/>
        <w:t>(b)</w:t>
      </w:r>
      <w:r w:rsidRPr="00D97EFB">
        <w:tab/>
        <w:t>ending at the end of the quarter day that next follows 2 successive disqualifying quarter days for the entity.</w:t>
      </w:r>
    </w:p>
    <w:p w14:paraId="5C9992CB" w14:textId="77777777" w:rsidR="00E93F58" w:rsidRPr="00D97EFB" w:rsidRDefault="00E93F58" w:rsidP="00721D20">
      <w:pPr>
        <w:pStyle w:val="SubsectionHead"/>
      </w:pPr>
      <w:r w:rsidRPr="00D97EFB">
        <w:t>Interpretation</w:t>
      </w:r>
    </w:p>
    <w:p w14:paraId="0AA157FB" w14:textId="77777777" w:rsidR="00E93F58" w:rsidRPr="00D97EFB" w:rsidRDefault="00E93F58" w:rsidP="00721D20">
      <w:pPr>
        <w:pStyle w:val="subsection"/>
      </w:pPr>
      <w:r w:rsidRPr="00D97EFB">
        <w:tab/>
        <w:t>(4)</w:t>
      </w:r>
      <w:r w:rsidRPr="00D97EFB">
        <w:tab/>
        <w:t>A term used in this regulation has the same meaning as in regulation 7.5A.73.</w:t>
      </w:r>
    </w:p>
    <w:p w14:paraId="6AB8F0AD" w14:textId="77777777" w:rsidR="00E93F58" w:rsidRPr="00D97EFB" w:rsidRDefault="00E93F58" w:rsidP="003E7672">
      <w:pPr>
        <w:pStyle w:val="ActHead2"/>
        <w:pageBreakBefore/>
      </w:pPr>
      <w:bookmarkStart w:id="2916" w:name="_Toc151994737"/>
      <w:bookmarkStart w:id="2917" w:name="_Toc158713247"/>
      <w:r w:rsidRPr="000D40D5">
        <w:rPr>
          <w:rStyle w:val="CharPartNo"/>
        </w:rPr>
        <w:lastRenderedPageBreak/>
        <w:t>Part 10.22</w:t>
      </w:r>
      <w:r w:rsidRPr="00D97EFB">
        <w:t>—</w:t>
      </w:r>
      <w:r w:rsidRPr="000D40D5">
        <w:rPr>
          <w:rStyle w:val="CharPartText"/>
        </w:rPr>
        <w:t>Application provisions related to the Corporations Amendment (Financial Services Information Lodgement Periods) Regulation 2015</w:t>
      </w:r>
      <w:bookmarkEnd w:id="2916"/>
      <w:bookmarkEnd w:id="2917"/>
    </w:p>
    <w:p w14:paraId="53F61B67" w14:textId="77777777" w:rsidR="00E93F58" w:rsidRPr="00D97EFB" w:rsidRDefault="00E93F58" w:rsidP="0080525A">
      <w:pPr>
        <w:pStyle w:val="Header"/>
      </w:pPr>
      <w:r w:rsidRPr="000D40D5">
        <w:rPr>
          <w:rStyle w:val="CharDivNo"/>
        </w:rPr>
        <w:t xml:space="preserve"> </w:t>
      </w:r>
      <w:r w:rsidRPr="000D40D5">
        <w:rPr>
          <w:rStyle w:val="CharDivText"/>
        </w:rPr>
        <w:t xml:space="preserve"> </w:t>
      </w:r>
    </w:p>
    <w:p w14:paraId="2386103E" w14:textId="77777777" w:rsidR="00E93F58" w:rsidRPr="00D97EFB" w:rsidRDefault="00E93F58" w:rsidP="0080525A">
      <w:pPr>
        <w:pStyle w:val="ActHead5"/>
      </w:pPr>
      <w:bookmarkStart w:id="2918" w:name="_Toc151994738"/>
      <w:bookmarkStart w:id="2919" w:name="_Toc158713248"/>
      <w:r w:rsidRPr="000D40D5">
        <w:rPr>
          <w:rStyle w:val="CharSectno"/>
        </w:rPr>
        <w:t>10.22.01</w:t>
      </w:r>
      <w:r w:rsidRPr="00D97EFB">
        <w:t xml:space="preserve">  Application of amendment of paragraph 7.6.04(1)(c)</w:t>
      </w:r>
      <w:bookmarkEnd w:id="2918"/>
      <w:bookmarkEnd w:id="2919"/>
    </w:p>
    <w:p w14:paraId="6929DB7C" w14:textId="77777777" w:rsidR="00E93F58" w:rsidRPr="00D97EFB" w:rsidRDefault="00E93F58" w:rsidP="00C50A53">
      <w:pPr>
        <w:pStyle w:val="subsection"/>
        <w:rPr>
          <w:noProof/>
        </w:rPr>
      </w:pPr>
      <w:r w:rsidRPr="00D97EFB">
        <w:tab/>
      </w:r>
      <w:r w:rsidRPr="00D97EFB">
        <w:tab/>
        <w:t xml:space="preserve">Paragraph 7.6.04(1)(c), as amended by the </w:t>
      </w:r>
      <w:r w:rsidRPr="00D97EFB">
        <w:rPr>
          <w:i/>
        </w:rPr>
        <w:t xml:space="preserve">Corporations </w:t>
      </w:r>
      <w:r w:rsidRPr="00D97EFB">
        <w:rPr>
          <w:i/>
          <w:noProof/>
        </w:rPr>
        <w:t>Amendment (Financial Services Information Lodgement Periods) Regulation 2015</w:t>
      </w:r>
      <w:r w:rsidRPr="00D97EFB">
        <w:rPr>
          <w:noProof/>
        </w:rPr>
        <w:t>, applies in relation to:</w:t>
      </w:r>
    </w:p>
    <w:p w14:paraId="05D61066" w14:textId="77777777" w:rsidR="00E93F58" w:rsidRPr="00D97EFB" w:rsidRDefault="00E93F58" w:rsidP="0080525A">
      <w:pPr>
        <w:pStyle w:val="paragraph"/>
        <w:rPr>
          <w:noProof/>
        </w:rPr>
      </w:pPr>
      <w:r w:rsidRPr="00D97EFB">
        <w:rPr>
          <w:noProof/>
        </w:rPr>
        <w:tab/>
        <w:t>(a)</w:t>
      </w:r>
      <w:r w:rsidRPr="00D97EFB">
        <w:rPr>
          <w:noProof/>
        </w:rPr>
        <w:tab/>
        <w:t>an Australian financial services licence granted before, on or after the commencement of that regulation; and</w:t>
      </w:r>
    </w:p>
    <w:p w14:paraId="003FBF33" w14:textId="77777777" w:rsidR="00E93F58" w:rsidRPr="00D97EFB" w:rsidRDefault="00E93F58" w:rsidP="0080525A">
      <w:pPr>
        <w:pStyle w:val="paragraph"/>
        <w:rPr>
          <w:noProof/>
        </w:rPr>
      </w:pPr>
      <w:r w:rsidRPr="00D97EFB">
        <w:rPr>
          <w:noProof/>
        </w:rPr>
        <w:tab/>
        <w:t>(b)</w:t>
      </w:r>
      <w:r w:rsidRPr="00D97EFB">
        <w:rPr>
          <w:noProof/>
        </w:rPr>
        <w:tab/>
        <w:t>a change mentioned in paragraph 7.6.04(1)(c) that occurs on or after 19 August 2015.</w:t>
      </w:r>
    </w:p>
    <w:p w14:paraId="2896A61A" w14:textId="77777777" w:rsidR="00E93F58" w:rsidRPr="00D97EFB" w:rsidRDefault="00E93F58" w:rsidP="0080525A">
      <w:pPr>
        <w:pStyle w:val="ActHead5"/>
      </w:pPr>
      <w:bookmarkStart w:id="2920" w:name="_Toc151994739"/>
      <w:bookmarkStart w:id="2921" w:name="_Toc158713249"/>
      <w:r w:rsidRPr="000D40D5">
        <w:rPr>
          <w:rStyle w:val="CharSectno"/>
        </w:rPr>
        <w:t>10.22.02</w:t>
      </w:r>
      <w:r w:rsidRPr="00D97EFB">
        <w:t xml:space="preserve">  Application of modification of subsections 916F(1) and (3)</w:t>
      </w:r>
      <w:bookmarkEnd w:id="2920"/>
      <w:bookmarkEnd w:id="2921"/>
    </w:p>
    <w:p w14:paraId="366EEB1F" w14:textId="77777777" w:rsidR="00E93F58" w:rsidRPr="00D97EFB" w:rsidRDefault="00E93F58" w:rsidP="00C50A53">
      <w:pPr>
        <w:pStyle w:val="subsection"/>
        <w:rPr>
          <w:noProof/>
        </w:rPr>
      </w:pPr>
      <w:r w:rsidRPr="00D97EFB">
        <w:tab/>
        <w:t>(1)</w:t>
      </w:r>
      <w:r w:rsidRPr="00D97EFB">
        <w:tab/>
        <w:t xml:space="preserve">Subsection 916F(1) of the Act, as modified by the </w:t>
      </w:r>
      <w:r w:rsidRPr="00D97EFB">
        <w:rPr>
          <w:i/>
        </w:rPr>
        <w:t xml:space="preserve">Corporations </w:t>
      </w:r>
      <w:r w:rsidRPr="00D97EFB">
        <w:rPr>
          <w:i/>
          <w:noProof/>
        </w:rPr>
        <w:t>Amendment (Financial Services Information Lodgement Periods) Regulation 2015</w:t>
      </w:r>
      <w:r w:rsidRPr="00D97EFB">
        <w:rPr>
          <w:noProof/>
        </w:rPr>
        <w:t>, applies in relation to an authorisation of a representative to provide a financial service as mentioned in section 916A or 916B of the Act if the authorisation occurs on or after 19 August 2015.</w:t>
      </w:r>
    </w:p>
    <w:p w14:paraId="583EC48D" w14:textId="77777777" w:rsidR="00E93F58" w:rsidRPr="00D97EFB" w:rsidRDefault="00E93F58" w:rsidP="00C50A53">
      <w:pPr>
        <w:pStyle w:val="subsection"/>
        <w:rPr>
          <w:noProof/>
        </w:rPr>
      </w:pPr>
      <w:r w:rsidRPr="00D97EFB">
        <w:rPr>
          <w:noProof/>
        </w:rPr>
        <w:tab/>
        <w:t>(2)</w:t>
      </w:r>
      <w:r w:rsidRPr="00D97EFB">
        <w:rPr>
          <w:noProof/>
        </w:rPr>
        <w:tab/>
        <w:t xml:space="preserve">Subsection 916F(3) of the Act, </w:t>
      </w:r>
      <w:r w:rsidRPr="00D97EFB">
        <w:t xml:space="preserve">as modified by the </w:t>
      </w:r>
      <w:r w:rsidRPr="00D97EFB">
        <w:rPr>
          <w:i/>
        </w:rPr>
        <w:t xml:space="preserve">Corporations </w:t>
      </w:r>
      <w:r w:rsidRPr="00D97EFB">
        <w:rPr>
          <w:i/>
          <w:noProof/>
        </w:rPr>
        <w:t>Amendment (Financial Services Information Lodgement Periods) Regulation 2015</w:t>
      </w:r>
      <w:r w:rsidRPr="00D97EFB">
        <w:rPr>
          <w:noProof/>
        </w:rPr>
        <w:t>, applies in relation to each of the following events, if the event occurs on or after 19 August 2015:</w:t>
      </w:r>
    </w:p>
    <w:p w14:paraId="7B072937" w14:textId="77777777" w:rsidR="00E93F58" w:rsidRPr="00D97EFB" w:rsidRDefault="00E93F58" w:rsidP="0080525A">
      <w:pPr>
        <w:pStyle w:val="paragraph"/>
      </w:pPr>
      <w:r w:rsidRPr="00D97EFB">
        <w:tab/>
        <w:t>(a)</w:t>
      </w:r>
      <w:r w:rsidRPr="00D97EFB">
        <w:tab/>
        <w:t>a change in any details relating to the representative that are required to be included in a notice under subsection 916F(2) of the Act;</w:t>
      </w:r>
    </w:p>
    <w:p w14:paraId="5CC51492" w14:textId="77777777" w:rsidR="00E93F58" w:rsidRPr="00D97EFB" w:rsidRDefault="00E93F58" w:rsidP="0080525A">
      <w:pPr>
        <w:pStyle w:val="paragraph"/>
      </w:pPr>
      <w:r w:rsidRPr="00D97EFB">
        <w:tab/>
        <w:t>(b)</w:t>
      </w:r>
      <w:r w:rsidRPr="00D97EFB">
        <w:tab/>
        <w:t>the revocation of an authorisation to which subsection 916F(1) of the Act applied.</w:t>
      </w:r>
    </w:p>
    <w:p w14:paraId="0FB30CF8" w14:textId="77777777" w:rsidR="00E93F58" w:rsidRPr="00D97EFB" w:rsidRDefault="00E93F58" w:rsidP="009716F5">
      <w:pPr>
        <w:pStyle w:val="ActHead2"/>
        <w:pageBreakBefore/>
      </w:pPr>
      <w:bookmarkStart w:id="2922" w:name="_Toc151994740"/>
      <w:bookmarkStart w:id="2923" w:name="_Toc158713250"/>
      <w:r w:rsidRPr="000D40D5">
        <w:rPr>
          <w:rStyle w:val="CharPartNo"/>
        </w:rPr>
        <w:lastRenderedPageBreak/>
        <w:t>Part 10.23</w:t>
      </w:r>
      <w:r w:rsidRPr="00D97EFB">
        <w:t>—</w:t>
      </w:r>
      <w:r w:rsidRPr="000D40D5">
        <w:rPr>
          <w:rStyle w:val="CharPartText"/>
        </w:rPr>
        <w:t>Application provisions relating to the Corporations Amendment (Remuneration Disclosures) Regulation 2016</w:t>
      </w:r>
      <w:bookmarkEnd w:id="2922"/>
      <w:bookmarkEnd w:id="2923"/>
    </w:p>
    <w:p w14:paraId="63053718" w14:textId="77777777" w:rsidR="00E93F58" w:rsidRPr="00D97EFB" w:rsidRDefault="00E93F58" w:rsidP="00563212">
      <w:pPr>
        <w:pStyle w:val="Header"/>
      </w:pPr>
      <w:r w:rsidRPr="000D40D5">
        <w:rPr>
          <w:rStyle w:val="CharDivNo"/>
        </w:rPr>
        <w:t xml:space="preserve"> </w:t>
      </w:r>
      <w:r w:rsidRPr="000D40D5">
        <w:rPr>
          <w:rStyle w:val="CharDivText"/>
        </w:rPr>
        <w:t xml:space="preserve"> </w:t>
      </w:r>
    </w:p>
    <w:p w14:paraId="5A1F8BFA" w14:textId="77777777" w:rsidR="00E93F58" w:rsidRPr="00D97EFB" w:rsidRDefault="00E93F58" w:rsidP="00563212">
      <w:pPr>
        <w:pStyle w:val="ActHead5"/>
      </w:pPr>
      <w:bookmarkStart w:id="2924" w:name="_Toc151994741"/>
      <w:bookmarkStart w:id="2925" w:name="_Toc158713251"/>
      <w:r w:rsidRPr="000D40D5">
        <w:rPr>
          <w:rStyle w:val="CharSectno"/>
        </w:rPr>
        <w:t>10.23.01</w:t>
      </w:r>
      <w:r w:rsidRPr="00D97EFB">
        <w:t xml:space="preserve">  Application—remuneration disclosures</w:t>
      </w:r>
      <w:bookmarkEnd w:id="2924"/>
      <w:bookmarkEnd w:id="2925"/>
    </w:p>
    <w:p w14:paraId="0749E41E" w14:textId="77777777" w:rsidR="00E93F58" w:rsidRPr="00D97EFB" w:rsidRDefault="00E93F58" w:rsidP="00563212">
      <w:pPr>
        <w:pStyle w:val="subsection"/>
      </w:pPr>
      <w:r w:rsidRPr="00D97EFB">
        <w:tab/>
      </w:r>
      <w:r w:rsidRPr="00D97EFB">
        <w:tab/>
        <w:t xml:space="preserve">The amendments made by items 1 to 6 of Schedule 1 to the </w:t>
      </w:r>
      <w:r w:rsidRPr="00D97EFB">
        <w:rPr>
          <w:i/>
        </w:rPr>
        <w:t>Corporations Amendment (Remuneration Disclosures) Regulation 2016</w:t>
      </w:r>
      <w:r w:rsidRPr="00D97EFB">
        <w:t xml:space="preserve"> apply in relation to financial years ending on or after the day that instrument commences.</w:t>
      </w:r>
    </w:p>
    <w:p w14:paraId="38C114C3" w14:textId="77777777" w:rsidR="00E93F58" w:rsidRPr="00D97EFB" w:rsidRDefault="00E93F58" w:rsidP="00801CA5">
      <w:pPr>
        <w:pStyle w:val="ActHead2"/>
        <w:pageBreakBefore/>
      </w:pPr>
      <w:bookmarkStart w:id="2926" w:name="_Toc151994742"/>
      <w:bookmarkStart w:id="2927" w:name="_Toc158713252"/>
      <w:r w:rsidRPr="000D40D5">
        <w:rPr>
          <w:rStyle w:val="CharPartNo"/>
        </w:rPr>
        <w:lastRenderedPageBreak/>
        <w:t>Part 10.24</w:t>
      </w:r>
      <w:r w:rsidRPr="00D97EFB">
        <w:t>—</w:t>
      </w:r>
      <w:r w:rsidRPr="000D40D5">
        <w:rPr>
          <w:rStyle w:val="CharPartText"/>
        </w:rPr>
        <w:t>Application provisions relating to the Financial Services Legislation Amendment (Wholesale Margining) Regulation 2016</w:t>
      </w:r>
      <w:bookmarkEnd w:id="2926"/>
      <w:bookmarkEnd w:id="2927"/>
    </w:p>
    <w:p w14:paraId="624649B7" w14:textId="77777777" w:rsidR="00E93F58" w:rsidRPr="00D97EFB" w:rsidRDefault="00E93F58" w:rsidP="00C84427">
      <w:pPr>
        <w:pStyle w:val="Header"/>
      </w:pPr>
      <w:r w:rsidRPr="000D40D5">
        <w:rPr>
          <w:rStyle w:val="CharDivNo"/>
        </w:rPr>
        <w:t xml:space="preserve"> </w:t>
      </w:r>
      <w:r w:rsidRPr="000D40D5">
        <w:rPr>
          <w:rStyle w:val="CharDivText"/>
        </w:rPr>
        <w:t xml:space="preserve"> </w:t>
      </w:r>
    </w:p>
    <w:p w14:paraId="3D86D942" w14:textId="77777777" w:rsidR="00E93F58" w:rsidRPr="00D97EFB" w:rsidRDefault="00E93F58" w:rsidP="00C84427">
      <w:pPr>
        <w:pStyle w:val="ActHead5"/>
      </w:pPr>
      <w:bookmarkStart w:id="2928" w:name="_Toc151994743"/>
      <w:bookmarkStart w:id="2929" w:name="_Toc158713253"/>
      <w:r w:rsidRPr="000D40D5">
        <w:rPr>
          <w:rStyle w:val="CharSectno"/>
        </w:rPr>
        <w:t>10.24.01</w:t>
      </w:r>
      <w:r w:rsidRPr="00D97EFB">
        <w:t xml:space="preserve">  Application of regulations 7.8.01A and 7.8.06B</w:t>
      </w:r>
      <w:bookmarkEnd w:id="2928"/>
      <w:bookmarkEnd w:id="2929"/>
    </w:p>
    <w:p w14:paraId="79498267" w14:textId="77777777" w:rsidR="00E93F58" w:rsidRPr="00D97EFB" w:rsidRDefault="00E93F58" w:rsidP="004648C4">
      <w:pPr>
        <w:pStyle w:val="subsection"/>
      </w:pPr>
      <w:r w:rsidRPr="00D97EFB">
        <w:tab/>
        <w:t>(1)</w:t>
      </w:r>
      <w:r w:rsidRPr="00D97EFB">
        <w:tab/>
        <w:t xml:space="preserve">Regulation 7.8.01A, as inserted by the </w:t>
      </w:r>
      <w:r w:rsidRPr="00D97EFB">
        <w:rPr>
          <w:i/>
        </w:rPr>
        <w:t>Financial Services Legislation Amendment (Wholesale Margining) Regulation 2016</w:t>
      </w:r>
      <w:r w:rsidRPr="00D97EFB">
        <w:t>, applies in relation to a client’s written agreement obtained on or after the commencement of this regulation, whether the money was paid to the licensee as mentioned in subsection 981A(1) of the Act before, on or after that commencement.</w:t>
      </w:r>
    </w:p>
    <w:p w14:paraId="141CA9EC" w14:textId="77777777" w:rsidR="00E93F58" w:rsidRPr="00D97EFB" w:rsidRDefault="00E93F58" w:rsidP="004648C4">
      <w:pPr>
        <w:pStyle w:val="subsection"/>
      </w:pPr>
      <w:r w:rsidRPr="00D97EFB">
        <w:tab/>
        <w:t>(2)</w:t>
      </w:r>
      <w:r w:rsidRPr="00D97EFB">
        <w:tab/>
        <w:t xml:space="preserve">Regulation 7.8.06B, as inserted by the </w:t>
      </w:r>
      <w:r w:rsidRPr="00D97EFB">
        <w:rPr>
          <w:i/>
        </w:rPr>
        <w:t>Financial Services Legislation Amendment (Wholesale Margining) Regulation 2016</w:t>
      </w:r>
      <w:r w:rsidRPr="00D97EFB">
        <w:t>, applies in relation to a client’s written agreement obtained on or after the commencement of this regulation, whether the property was given to the licensee as mentioned in subsection 984A(1) of the Act before, on or after that commencement.</w:t>
      </w:r>
    </w:p>
    <w:p w14:paraId="2AAF89FE" w14:textId="77777777" w:rsidR="00E93F58" w:rsidRPr="00D97EFB" w:rsidRDefault="00E93F58" w:rsidP="004648C4">
      <w:pPr>
        <w:pStyle w:val="ActHead2"/>
        <w:pageBreakBefore/>
      </w:pPr>
      <w:bookmarkStart w:id="2930" w:name="_Toc151994744"/>
      <w:bookmarkStart w:id="2931" w:name="_Toc158713254"/>
      <w:r w:rsidRPr="000D40D5">
        <w:rPr>
          <w:rStyle w:val="CharPartNo"/>
        </w:rPr>
        <w:lastRenderedPageBreak/>
        <w:t>Part 10.25</w:t>
      </w:r>
      <w:r w:rsidRPr="00D97EFB">
        <w:t>—</w:t>
      </w:r>
      <w:r w:rsidRPr="000D40D5">
        <w:rPr>
          <w:rStyle w:val="CharPartText"/>
        </w:rPr>
        <w:t>Transition to Part 3 of the Insolvency Practice Schedule (Corporations)</w:t>
      </w:r>
      <w:bookmarkEnd w:id="2930"/>
      <w:bookmarkEnd w:id="2931"/>
    </w:p>
    <w:p w14:paraId="2B4DA526" w14:textId="77777777" w:rsidR="00E93F58" w:rsidRPr="00D97EFB" w:rsidRDefault="00E93F58" w:rsidP="00F67599">
      <w:pPr>
        <w:pStyle w:val="Header"/>
      </w:pPr>
      <w:r w:rsidRPr="000D40D5">
        <w:rPr>
          <w:rStyle w:val="CharDivNo"/>
        </w:rPr>
        <w:t xml:space="preserve"> </w:t>
      </w:r>
      <w:r w:rsidRPr="000D40D5">
        <w:rPr>
          <w:rStyle w:val="CharDivText"/>
        </w:rPr>
        <w:t xml:space="preserve"> </w:t>
      </w:r>
    </w:p>
    <w:p w14:paraId="5CC56E68" w14:textId="77777777" w:rsidR="00E93F58" w:rsidRPr="00D97EFB" w:rsidRDefault="00E93F58" w:rsidP="00F67599">
      <w:pPr>
        <w:pStyle w:val="ActHead5"/>
      </w:pPr>
      <w:bookmarkStart w:id="2932" w:name="_Toc151994745"/>
      <w:bookmarkStart w:id="2933" w:name="_Toc158713255"/>
      <w:r w:rsidRPr="000D40D5">
        <w:rPr>
          <w:rStyle w:val="CharSectno"/>
        </w:rPr>
        <w:t>10.25.01</w:t>
      </w:r>
      <w:r w:rsidRPr="00D97EFB">
        <w:t xml:space="preserve">  Transition to Part 3 of the Insolvency Practice Schedule (Corporations)</w:t>
      </w:r>
      <w:bookmarkEnd w:id="2932"/>
      <w:bookmarkEnd w:id="2933"/>
    </w:p>
    <w:p w14:paraId="1D297030" w14:textId="77777777" w:rsidR="00E93F58" w:rsidRPr="00D97EFB" w:rsidRDefault="00E93F58" w:rsidP="00F67599">
      <w:pPr>
        <w:pStyle w:val="subsection"/>
      </w:pPr>
      <w:r w:rsidRPr="00D97EFB">
        <w:tab/>
        <w:t>(1)</w:t>
      </w:r>
      <w:r w:rsidRPr="00D97EFB">
        <w:tab/>
        <w:t>For the purposes of subsection 1634(1) of the Act, Part 10.25 of Chapter 10 of the Act applies as if the references in Divisions 3 and 5 of that Part to the commencement day were a reference to 1 September 2017.</w:t>
      </w:r>
    </w:p>
    <w:p w14:paraId="59C1A433" w14:textId="77777777" w:rsidR="00E93F58" w:rsidRPr="00D97EFB" w:rsidRDefault="00E93F58" w:rsidP="00F67599">
      <w:pPr>
        <w:pStyle w:val="subsection"/>
      </w:pPr>
      <w:r w:rsidRPr="00D97EFB">
        <w:tab/>
        <w:t>(2)</w:t>
      </w:r>
      <w:r w:rsidRPr="00D97EFB">
        <w:tab/>
        <w:t xml:space="preserve">For the purposes of subsection 1634(1) of the Act, Part 10.25 of Chapter 10 of the Act applies as if the definition of </w:t>
      </w:r>
      <w:r w:rsidRPr="00D97EFB">
        <w:rPr>
          <w:b/>
          <w:i/>
        </w:rPr>
        <w:t>ongoing external administration</w:t>
      </w:r>
      <w:r w:rsidRPr="00D97EFB">
        <w:t xml:space="preserve"> in section 1551 of the Act were omitted and the following definition were substituted for the purposes of Divisions 3 and 5 of that Part:</w:t>
      </w:r>
    </w:p>
    <w:p w14:paraId="74C50C4B" w14:textId="77777777" w:rsidR="00E93F58" w:rsidRPr="00D97EFB" w:rsidRDefault="00E93F58" w:rsidP="00F67599">
      <w:pPr>
        <w:pStyle w:val="Definition"/>
      </w:pPr>
      <w:r w:rsidRPr="00D97EFB">
        <w:rPr>
          <w:b/>
          <w:i/>
        </w:rPr>
        <w:t>ongoing external administration</w:t>
      </w:r>
      <w:r w:rsidRPr="00D97EFB">
        <w:t xml:space="preserve"> of a company means an external administration of a company that started before 1 September 2017 and ends after that day.</w:t>
      </w:r>
    </w:p>
    <w:p w14:paraId="46759C4C" w14:textId="77777777" w:rsidR="00E93F58" w:rsidRPr="00D97EFB" w:rsidRDefault="00E93F58" w:rsidP="00F67599">
      <w:pPr>
        <w:pStyle w:val="subsection"/>
      </w:pPr>
      <w:r w:rsidRPr="00D97EFB">
        <w:tab/>
        <w:t>(3)</w:t>
      </w:r>
      <w:r w:rsidRPr="00D97EFB">
        <w:tab/>
        <w:t>For the purposes of subsection 1634(2) of the Act, Part 10.25 of Chapter 10 of the Act applies as if Divisions 1, 2 and 3 of that Part were modified as set out in Schedule 13.</w:t>
      </w:r>
    </w:p>
    <w:p w14:paraId="28F9DD9D" w14:textId="77777777" w:rsidR="00E93F58" w:rsidRPr="00D97EFB" w:rsidRDefault="00E93F58" w:rsidP="00F67599">
      <w:pPr>
        <w:pStyle w:val="ActHead5"/>
      </w:pPr>
      <w:bookmarkStart w:id="2934" w:name="_Toc151994746"/>
      <w:bookmarkStart w:id="2935" w:name="_Toc158713256"/>
      <w:r w:rsidRPr="000D40D5">
        <w:rPr>
          <w:rStyle w:val="CharSectno"/>
        </w:rPr>
        <w:t>10.25.02</w:t>
      </w:r>
      <w:r w:rsidRPr="00D97EFB">
        <w:t xml:space="preserve">  Application of certain amendments relating to the enactment of the Insolvency Practice Schedule (Corporations)</w:t>
      </w:r>
      <w:bookmarkEnd w:id="2934"/>
      <w:bookmarkEnd w:id="2935"/>
    </w:p>
    <w:p w14:paraId="14B786E3" w14:textId="77777777" w:rsidR="00E93F58" w:rsidRPr="00D97EFB" w:rsidRDefault="00E93F58" w:rsidP="00F67599">
      <w:pPr>
        <w:pStyle w:val="subsection"/>
      </w:pPr>
      <w:r w:rsidRPr="00D97EFB">
        <w:tab/>
        <w:t>(1)</w:t>
      </w:r>
      <w:r w:rsidRPr="00D97EFB">
        <w:tab/>
        <w:t>This section is made for the purposes of subsection 1634(1) of the Act.</w:t>
      </w:r>
    </w:p>
    <w:p w14:paraId="5FBE6471" w14:textId="77777777" w:rsidR="00E93F58" w:rsidRPr="00D97EFB" w:rsidRDefault="00E93F58" w:rsidP="00F67599">
      <w:pPr>
        <w:pStyle w:val="subsection"/>
      </w:pPr>
      <w:r w:rsidRPr="00D97EFB">
        <w:tab/>
        <w:t>(2)</w:t>
      </w:r>
      <w:r w:rsidRPr="00D97EFB">
        <w:tab/>
        <w:t>The amendments of sections 546</w:t>
      </w:r>
      <w:r>
        <w:noBreakHyphen/>
      </w:r>
      <w:r w:rsidRPr="00D97EFB">
        <w:t>10 and 546</w:t>
      </w:r>
      <w:r>
        <w:noBreakHyphen/>
      </w:r>
      <w:r w:rsidRPr="00D97EFB">
        <w:t xml:space="preserve">20 of the </w:t>
      </w:r>
      <w:r w:rsidRPr="00D97EFB">
        <w:rPr>
          <w:i/>
        </w:rPr>
        <w:t>Corporations (Aboriginal and Torres Strait Islander) Act 2006</w:t>
      </w:r>
      <w:r w:rsidRPr="00D97EFB">
        <w:t xml:space="preserve"> made by Part 2 of Schedule 2 to the </w:t>
      </w:r>
      <w:r w:rsidRPr="00D97EFB">
        <w:rPr>
          <w:i/>
        </w:rPr>
        <w:t>Insolvency Law Reform Act 2016</w:t>
      </w:r>
      <w:r w:rsidRPr="00D97EFB">
        <w:t xml:space="preserve"> apply in relation to deregistrations that occur on or after 1 September 2017.</w:t>
      </w:r>
    </w:p>
    <w:p w14:paraId="262022D0" w14:textId="77777777" w:rsidR="00E93F58" w:rsidRPr="00D97EFB" w:rsidRDefault="00E93F58" w:rsidP="00F67599">
      <w:pPr>
        <w:pStyle w:val="subsection"/>
      </w:pPr>
      <w:r w:rsidRPr="00D97EFB">
        <w:tab/>
        <w:t>(3)</w:t>
      </w:r>
      <w:r w:rsidRPr="00D97EFB">
        <w:tab/>
        <w:t xml:space="preserve">The amendments made by the following items of Part 2 of Schedule 2 to the </w:t>
      </w:r>
      <w:r w:rsidRPr="00D97EFB">
        <w:rPr>
          <w:i/>
        </w:rPr>
        <w:t>Insolvency Law Reform Act 2016</w:t>
      </w:r>
      <w:r w:rsidRPr="00D97EFB">
        <w:t xml:space="preserve"> apply in relation to external administrations on and after 1 September 2017:</w:t>
      </w:r>
    </w:p>
    <w:p w14:paraId="39E43E49" w14:textId="77777777" w:rsidR="00E93F58" w:rsidRPr="00D97EFB" w:rsidRDefault="00E93F58" w:rsidP="00F67599">
      <w:pPr>
        <w:pStyle w:val="paragraph"/>
      </w:pPr>
      <w:r w:rsidRPr="00D97EFB">
        <w:tab/>
        <w:t>(a)</w:t>
      </w:r>
      <w:r w:rsidRPr="00D97EFB">
        <w:tab/>
        <w:t>item 65;</w:t>
      </w:r>
    </w:p>
    <w:p w14:paraId="04363D41" w14:textId="77777777" w:rsidR="00E93F58" w:rsidRPr="00D97EFB" w:rsidRDefault="00E93F58" w:rsidP="00F67599">
      <w:pPr>
        <w:pStyle w:val="paragraph"/>
      </w:pPr>
      <w:r w:rsidRPr="00D97EFB">
        <w:tab/>
        <w:t>(b)</w:t>
      </w:r>
      <w:r w:rsidRPr="00D97EFB">
        <w:tab/>
        <w:t>item 66;</w:t>
      </w:r>
    </w:p>
    <w:p w14:paraId="2FD8AC13" w14:textId="77777777" w:rsidR="00E93F58" w:rsidRPr="00D97EFB" w:rsidRDefault="00E93F58" w:rsidP="00F67599">
      <w:pPr>
        <w:pStyle w:val="paragraph"/>
      </w:pPr>
      <w:r w:rsidRPr="00D97EFB">
        <w:tab/>
        <w:t>(c)</w:t>
      </w:r>
      <w:r w:rsidRPr="00D97EFB">
        <w:tab/>
        <w:t>item 79;</w:t>
      </w:r>
    </w:p>
    <w:p w14:paraId="264E16FE" w14:textId="77777777" w:rsidR="00E93F58" w:rsidRPr="00D97EFB" w:rsidRDefault="00E93F58" w:rsidP="00F67599">
      <w:pPr>
        <w:pStyle w:val="paragraph"/>
      </w:pPr>
      <w:r w:rsidRPr="00D97EFB">
        <w:tab/>
        <w:t>(d)</w:t>
      </w:r>
      <w:r w:rsidRPr="00D97EFB">
        <w:tab/>
        <w:t>item 80;</w:t>
      </w:r>
    </w:p>
    <w:p w14:paraId="1CD4C9B2" w14:textId="77777777" w:rsidR="00E93F58" w:rsidRPr="00D97EFB" w:rsidRDefault="00E93F58" w:rsidP="00F67599">
      <w:pPr>
        <w:pStyle w:val="paragraph"/>
      </w:pPr>
      <w:r w:rsidRPr="00D97EFB">
        <w:tab/>
        <w:t>(e)</w:t>
      </w:r>
      <w:r w:rsidRPr="00D97EFB">
        <w:tab/>
        <w:t>item 82;</w:t>
      </w:r>
    </w:p>
    <w:p w14:paraId="2A4A66B7" w14:textId="77777777" w:rsidR="00E93F58" w:rsidRPr="00D97EFB" w:rsidRDefault="00E93F58" w:rsidP="00F67599">
      <w:pPr>
        <w:pStyle w:val="paragraph"/>
      </w:pPr>
      <w:r w:rsidRPr="00D97EFB">
        <w:tab/>
        <w:t>(f)</w:t>
      </w:r>
      <w:r w:rsidRPr="00D97EFB">
        <w:tab/>
        <w:t>item 84;</w:t>
      </w:r>
    </w:p>
    <w:p w14:paraId="0353450A" w14:textId="77777777" w:rsidR="00E93F58" w:rsidRPr="00D97EFB" w:rsidRDefault="00E93F58" w:rsidP="00F67599">
      <w:pPr>
        <w:pStyle w:val="paragraph"/>
      </w:pPr>
      <w:r w:rsidRPr="00D97EFB">
        <w:tab/>
        <w:t>(g)</w:t>
      </w:r>
      <w:r w:rsidRPr="00D97EFB">
        <w:tab/>
        <w:t>items 91 to 140;</w:t>
      </w:r>
    </w:p>
    <w:p w14:paraId="2C8C39D8" w14:textId="77777777" w:rsidR="00E93F58" w:rsidRPr="00D97EFB" w:rsidRDefault="00E93F58" w:rsidP="00F67599">
      <w:pPr>
        <w:pStyle w:val="paragraph"/>
      </w:pPr>
      <w:r w:rsidRPr="00D97EFB">
        <w:tab/>
        <w:t>(h)</w:t>
      </w:r>
      <w:r w:rsidRPr="00D97EFB">
        <w:tab/>
        <w:t>items 143 to 172;</w:t>
      </w:r>
    </w:p>
    <w:p w14:paraId="1A93E991" w14:textId="77777777" w:rsidR="00E93F58" w:rsidRPr="00D97EFB" w:rsidRDefault="00E93F58" w:rsidP="00F67599">
      <w:pPr>
        <w:pStyle w:val="paragraph"/>
      </w:pPr>
      <w:r w:rsidRPr="00D97EFB">
        <w:tab/>
        <w:t>(i)</w:t>
      </w:r>
      <w:r w:rsidRPr="00D97EFB">
        <w:tab/>
        <w:t>items 177 to 208;</w:t>
      </w:r>
    </w:p>
    <w:p w14:paraId="37741ED7" w14:textId="77777777" w:rsidR="00E93F58" w:rsidRPr="00D97EFB" w:rsidRDefault="00E93F58" w:rsidP="00F67599">
      <w:pPr>
        <w:pStyle w:val="paragraph"/>
      </w:pPr>
      <w:r w:rsidRPr="00D97EFB">
        <w:tab/>
        <w:t>(j)</w:t>
      </w:r>
      <w:r w:rsidRPr="00D97EFB">
        <w:tab/>
        <w:t>item 213;</w:t>
      </w:r>
    </w:p>
    <w:p w14:paraId="7CCFFCA9" w14:textId="77777777" w:rsidR="00E93F58" w:rsidRPr="00D97EFB" w:rsidRDefault="00E93F58" w:rsidP="00F67599">
      <w:pPr>
        <w:pStyle w:val="paragraph"/>
      </w:pPr>
      <w:r w:rsidRPr="00D97EFB">
        <w:tab/>
        <w:t>(k)</w:t>
      </w:r>
      <w:r w:rsidRPr="00D97EFB">
        <w:tab/>
        <w:t>item 245;</w:t>
      </w:r>
    </w:p>
    <w:p w14:paraId="521CE870" w14:textId="77777777" w:rsidR="00E93F58" w:rsidRPr="00D97EFB" w:rsidRDefault="00E93F58" w:rsidP="00F67599">
      <w:pPr>
        <w:pStyle w:val="paragraph"/>
      </w:pPr>
      <w:r w:rsidRPr="00D97EFB">
        <w:tab/>
        <w:t>(l)</w:t>
      </w:r>
      <w:r w:rsidRPr="00D97EFB">
        <w:tab/>
        <w:t>item 246;</w:t>
      </w:r>
    </w:p>
    <w:p w14:paraId="3A0DF312" w14:textId="77777777" w:rsidR="00E93F58" w:rsidRPr="00D97EFB" w:rsidRDefault="00E93F58" w:rsidP="00F67599">
      <w:pPr>
        <w:pStyle w:val="paragraph"/>
      </w:pPr>
      <w:r w:rsidRPr="00D97EFB">
        <w:tab/>
        <w:t>(m)</w:t>
      </w:r>
      <w:r w:rsidRPr="00D97EFB">
        <w:tab/>
        <w:t>item 251 (to the extent that it inserts paragraphs 1317C(n) and (o) of the Act);</w:t>
      </w:r>
    </w:p>
    <w:p w14:paraId="4432BFF9" w14:textId="77777777" w:rsidR="00E93F58" w:rsidRPr="00D97EFB" w:rsidRDefault="00E93F58" w:rsidP="00F67599">
      <w:pPr>
        <w:pStyle w:val="paragraph"/>
      </w:pPr>
      <w:r w:rsidRPr="00D97EFB">
        <w:tab/>
        <w:t>(n)</w:t>
      </w:r>
      <w:r w:rsidRPr="00D97EFB">
        <w:tab/>
        <w:t>item 253;</w:t>
      </w:r>
    </w:p>
    <w:p w14:paraId="69FB8367" w14:textId="77777777" w:rsidR="00E93F58" w:rsidRPr="00D97EFB" w:rsidRDefault="00E93F58" w:rsidP="00F67599">
      <w:pPr>
        <w:pStyle w:val="paragraph"/>
      </w:pPr>
      <w:r w:rsidRPr="00D97EFB">
        <w:tab/>
        <w:t>(o)</w:t>
      </w:r>
      <w:r w:rsidRPr="00D97EFB">
        <w:tab/>
        <w:t>items 258 to 260;</w:t>
      </w:r>
    </w:p>
    <w:p w14:paraId="70ECFF59" w14:textId="77777777" w:rsidR="00E93F58" w:rsidRPr="00D97EFB" w:rsidRDefault="00E93F58" w:rsidP="00F67599">
      <w:pPr>
        <w:pStyle w:val="paragraph"/>
      </w:pPr>
      <w:r w:rsidRPr="00D97EFB">
        <w:tab/>
        <w:t>(p)</w:t>
      </w:r>
      <w:r w:rsidRPr="00D97EFB">
        <w:tab/>
        <w:t>items 262 to 264.</w:t>
      </w:r>
    </w:p>
    <w:p w14:paraId="4F0CFFFA" w14:textId="77777777" w:rsidR="00E93F58" w:rsidRPr="00D97EFB" w:rsidRDefault="00E93F58" w:rsidP="004648C4">
      <w:pPr>
        <w:pStyle w:val="subsection"/>
      </w:pPr>
      <w:r w:rsidRPr="00D97EFB">
        <w:tab/>
        <w:t>(4)</w:t>
      </w:r>
      <w:r w:rsidRPr="00D97EFB">
        <w:tab/>
        <w:t xml:space="preserve">The amendments made by items 89 and 90 of Part 2 of Schedule 2 to the </w:t>
      </w:r>
      <w:r w:rsidRPr="00D97EFB">
        <w:rPr>
          <w:i/>
        </w:rPr>
        <w:t>Insolvency Law Reform Act 2016</w:t>
      </w:r>
      <w:r w:rsidRPr="00D97EFB">
        <w:t xml:space="preserve"> apply in relation to Part 5.1 bodies on and after 1 September 2017.</w:t>
      </w:r>
    </w:p>
    <w:p w14:paraId="40C50365" w14:textId="77777777" w:rsidR="00E93F58" w:rsidRPr="00D97EFB" w:rsidRDefault="00E93F58" w:rsidP="00D61C8C">
      <w:pPr>
        <w:pStyle w:val="ActHead2"/>
        <w:pageBreakBefore/>
      </w:pPr>
      <w:bookmarkStart w:id="2936" w:name="_Toc151994747"/>
      <w:bookmarkStart w:id="2937" w:name="_Toc158713257"/>
      <w:r w:rsidRPr="000D40D5">
        <w:rPr>
          <w:rStyle w:val="CharPartNo"/>
        </w:rPr>
        <w:lastRenderedPageBreak/>
        <w:t>Part 10.25</w:t>
      </w:r>
      <w:r w:rsidRPr="00D97EFB">
        <w:t>—</w:t>
      </w:r>
      <w:r w:rsidRPr="000D40D5">
        <w:rPr>
          <w:rStyle w:val="CharPartText"/>
        </w:rPr>
        <w:t>Application provisions relating to the Treasury Laws Amendment (Fair and Sustainable Superannuation) Regulations 2017</w:t>
      </w:r>
      <w:bookmarkEnd w:id="2936"/>
      <w:bookmarkEnd w:id="2937"/>
    </w:p>
    <w:p w14:paraId="612010E8" w14:textId="77777777" w:rsidR="00E93F58" w:rsidRPr="00D97EFB" w:rsidRDefault="00E93F58" w:rsidP="00E577F6">
      <w:pPr>
        <w:pStyle w:val="Header"/>
      </w:pPr>
      <w:r w:rsidRPr="000D40D5">
        <w:rPr>
          <w:rStyle w:val="CharDivNo"/>
        </w:rPr>
        <w:t xml:space="preserve"> </w:t>
      </w:r>
      <w:r w:rsidRPr="000D40D5">
        <w:rPr>
          <w:rStyle w:val="CharDivText"/>
        </w:rPr>
        <w:t xml:space="preserve"> </w:t>
      </w:r>
    </w:p>
    <w:p w14:paraId="26357E9B" w14:textId="77777777" w:rsidR="00E93F58" w:rsidRPr="00D97EFB" w:rsidRDefault="00E93F58" w:rsidP="00E577F6">
      <w:pPr>
        <w:pStyle w:val="ActHead5"/>
      </w:pPr>
      <w:bookmarkStart w:id="2938" w:name="_Toc151994748"/>
      <w:bookmarkStart w:id="2939" w:name="_Toc158713258"/>
      <w:r w:rsidRPr="000D40D5">
        <w:rPr>
          <w:rStyle w:val="CharSectno"/>
        </w:rPr>
        <w:t>10.25.01</w:t>
      </w:r>
      <w:r w:rsidRPr="00D97EFB">
        <w:t xml:space="preserve">  Application of amendment of subregulation 7.9.04(1)</w:t>
      </w:r>
      <w:bookmarkEnd w:id="2938"/>
      <w:bookmarkEnd w:id="2939"/>
    </w:p>
    <w:p w14:paraId="6D46D07B" w14:textId="77777777" w:rsidR="00E93F58" w:rsidRPr="00D97EFB" w:rsidRDefault="00E93F58" w:rsidP="002C5311">
      <w:pPr>
        <w:pStyle w:val="Item"/>
      </w:pPr>
      <w:r w:rsidRPr="00D97EFB">
        <w:t xml:space="preserve">The amendment made by item 1 of Schedule 1 to the </w:t>
      </w:r>
      <w:r w:rsidRPr="00D97EFB">
        <w:rPr>
          <w:i/>
        </w:rPr>
        <w:t xml:space="preserve">Treasury Laws Amendment (Fair and Sustainable Superannuation) </w:t>
      </w:r>
      <w:r>
        <w:rPr>
          <w:i/>
        </w:rPr>
        <w:t>Regulations 2</w:t>
      </w:r>
      <w:r w:rsidRPr="00D97EFB">
        <w:rPr>
          <w:i/>
        </w:rPr>
        <w:t xml:space="preserve">017 </w:t>
      </w:r>
      <w:r w:rsidRPr="00D97EFB">
        <w:t>applies in relation to superannuation interests issued on or after 1 July 2017.</w:t>
      </w:r>
    </w:p>
    <w:p w14:paraId="50B8E629" w14:textId="77777777" w:rsidR="00E93F58" w:rsidRPr="00D97EFB" w:rsidRDefault="00E93F58" w:rsidP="004662FA">
      <w:pPr>
        <w:pStyle w:val="ActHead2"/>
        <w:pageBreakBefore/>
      </w:pPr>
      <w:bookmarkStart w:id="2940" w:name="_Toc151994749"/>
      <w:bookmarkStart w:id="2941" w:name="_Toc158713259"/>
      <w:r w:rsidRPr="000D40D5">
        <w:rPr>
          <w:rStyle w:val="CharPartNo"/>
        </w:rPr>
        <w:lastRenderedPageBreak/>
        <w:t>Part 10.26</w:t>
      </w:r>
      <w:r w:rsidRPr="00D97EFB">
        <w:t>—</w:t>
      </w:r>
      <w:r w:rsidRPr="000D40D5">
        <w:rPr>
          <w:rStyle w:val="CharPartText"/>
        </w:rPr>
        <w:t>Application provisions related to the Corporations Amendment (Client Money) Regulations 2017</w:t>
      </w:r>
      <w:bookmarkEnd w:id="2940"/>
      <w:bookmarkEnd w:id="2941"/>
    </w:p>
    <w:p w14:paraId="606286E3" w14:textId="77777777" w:rsidR="00E93F58" w:rsidRPr="00D97EFB" w:rsidRDefault="00E93F58" w:rsidP="0091353C">
      <w:pPr>
        <w:pStyle w:val="Header"/>
      </w:pPr>
      <w:r w:rsidRPr="000D40D5">
        <w:rPr>
          <w:rStyle w:val="CharDivNo"/>
        </w:rPr>
        <w:t xml:space="preserve"> </w:t>
      </w:r>
      <w:r w:rsidRPr="000D40D5">
        <w:rPr>
          <w:rStyle w:val="CharDivText"/>
        </w:rPr>
        <w:t xml:space="preserve"> </w:t>
      </w:r>
    </w:p>
    <w:p w14:paraId="3EDDA40E" w14:textId="77777777" w:rsidR="00E93F58" w:rsidRPr="00D97EFB" w:rsidRDefault="00E93F58" w:rsidP="0091353C">
      <w:pPr>
        <w:pStyle w:val="ActHead5"/>
      </w:pPr>
      <w:bookmarkStart w:id="2942" w:name="_Toc151994750"/>
      <w:bookmarkStart w:id="2943" w:name="_Toc158713260"/>
      <w:r w:rsidRPr="000D40D5">
        <w:rPr>
          <w:rStyle w:val="CharSectno"/>
        </w:rPr>
        <w:t>10.26.01</w:t>
      </w:r>
      <w:r w:rsidRPr="00D97EFB">
        <w:t xml:space="preserve">  Application of regulation 7.8.02A</w:t>
      </w:r>
      <w:bookmarkEnd w:id="2942"/>
      <w:bookmarkEnd w:id="2943"/>
    </w:p>
    <w:p w14:paraId="57EB9503" w14:textId="77777777" w:rsidR="00E93F58" w:rsidRPr="00D97EFB" w:rsidRDefault="00E93F58" w:rsidP="0091353C">
      <w:pPr>
        <w:pStyle w:val="subsection"/>
      </w:pPr>
      <w:r w:rsidRPr="00D97EFB">
        <w:tab/>
        <w:t>(1)</w:t>
      </w:r>
      <w:r w:rsidRPr="00D97EFB">
        <w:tab/>
        <w:t xml:space="preserve">Subregulation 7.8.02A(1), as inserted by the </w:t>
      </w:r>
      <w:r w:rsidRPr="00D97EFB">
        <w:rPr>
          <w:i/>
        </w:rPr>
        <w:t xml:space="preserve">Corporations Amendment (Client Money) </w:t>
      </w:r>
      <w:r>
        <w:rPr>
          <w:i/>
        </w:rPr>
        <w:t>Regulations 2</w:t>
      </w:r>
      <w:r w:rsidRPr="00D97EFB">
        <w:rPr>
          <w:i/>
        </w:rPr>
        <w:t>017</w:t>
      </w:r>
      <w:r w:rsidRPr="00D97EFB">
        <w:t>, applies in relation to payments made, on or after the commencement of this regulation, out of an account maintained for the purposes of section 981B of the Act, whether the relevant written direction was given before, on or after that commencement.</w:t>
      </w:r>
    </w:p>
    <w:p w14:paraId="03C06B76" w14:textId="77777777" w:rsidR="00E93F58" w:rsidRPr="00D97EFB" w:rsidRDefault="00E93F58" w:rsidP="0091353C">
      <w:pPr>
        <w:pStyle w:val="subsection"/>
      </w:pPr>
      <w:r w:rsidRPr="00D97EFB">
        <w:tab/>
        <w:t>(2)</w:t>
      </w:r>
      <w:r w:rsidRPr="00D97EFB">
        <w:tab/>
        <w:t xml:space="preserve">Subregulation 7.8.02A(2), as inserted by the </w:t>
      </w:r>
      <w:r w:rsidRPr="00D97EFB">
        <w:rPr>
          <w:i/>
        </w:rPr>
        <w:t xml:space="preserve">Corporations Amendment (Client Money) </w:t>
      </w:r>
      <w:r>
        <w:rPr>
          <w:i/>
        </w:rPr>
        <w:t>Regulations 2</w:t>
      </w:r>
      <w:r w:rsidRPr="00D97EFB">
        <w:rPr>
          <w:i/>
        </w:rPr>
        <w:t>017</w:t>
      </w:r>
      <w:r w:rsidRPr="00D97EFB">
        <w:t>, applies in relation to payments made, on or after the commencement of this regulation, out of an account maintained for the purposes of section 981B of the Act, whether the relevant entitlement was created before, on or after that commencement.</w:t>
      </w:r>
    </w:p>
    <w:p w14:paraId="07E73967" w14:textId="77777777" w:rsidR="00E93F58" w:rsidRPr="00D97EFB" w:rsidRDefault="00E93F58" w:rsidP="005E3821">
      <w:pPr>
        <w:pStyle w:val="ActHead2"/>
        <w:pageBreakBefore/>
      </w:pPr>
      <w:bookmarkStart w:id="2944" w:name="_Toc151994751"/>
      <w:bookmarkStart w:id="2945" w:name="_Toc158713261"/>
      <w:r w:rsidRPr="000D40D5">
        <w:rPr>
          <w:rStyle w:val="CharPartNo"/>
        </w:rPr>
        <w:lastRenderedPageBreak/>
        <w:t>Part 10.27</w:t>
      </w:r>
      <w:r w:rsidRPr="00D97EFB">
        <w:t>—</w:t>
      </w:r>
      <w:r w:rsidRPr="000D40D5">
        <w:rPr>
          <w:rStyle w:val="CharPartText"/>
        </w:rPr>
        <w:t>Transitional provisions relating to the Treasury Laws Amendment (Putting Consumers First—Establishment of the Australian Financial Complaints Authority) Regulations 2018</w:t>
      </w:r>
      <w:bookmarkEnd w:id="2944"/>
      <w:bookmarkEnd w:id="2945"/>
    </w:p>
    <w:p w14:paraId="4C91EC59" w14:textId="77777777" w:rsidR="00E93F58" w:rsidRPr="00D97EFB" w:rsidRDefault="00E93F58" w:rsidP="00BC436F">
      <w:pPr>
        <w:pStyle w:val="Header"/>
      </w:pPr>
      <w:r w:rsidRPr="000D40D5">
        <w:rPr>
          <w:rStyle w:val="CharDivNo"/>
        </w:rPr>
        <w:t xml:space="preserve"> </w:t>
      </w:r>
      <w:r w:rsidRPr="000D40D5">
        <w:rPr>
          <w:rStyle w:val="CharDivText"/>
        </w:rPr>
        <w:t xml:space="preserve"> </w:t>
      </w:r>
    </w:p>
    <w:p w14:paraId="1524FA8F" w14:textId="77777777" w:rsidR="00E93F58" w:rsidRPr="00D97EFB" w:rsidRDefault="00E93F58" w:rsidP="00BC436F">
      <w:pPr>
        <w:pStyle w:val="ActHead5"/>
      </w:pPr>
      <w:bookmarkStart w:id="2946" w:name="_Toc151994752"/>
      <w:bookmarkStart w:id="2947" w:name="_Toc158713262"/>
      <w:r w:rsidRPr="000D40D5">
        <w:rPr>
          <w:rStyle w:val="CharSectno"/>
        </w:rPr>
        <w:t>10.27.01</w:t>
      </w:r>
      <w:r w:rsidRPr="00D97EFB">
        <w:t xml:space="preserve">  Membership of the AFCA scheme</w:t>
      </w:r>
      <w:bookmarkEnd w:id="2946"/>
      <w:bookmarkEnd w:id="2947"/>
    </w:p>
    <w:p w14:paraId="46AD0CD3" w14:textId="77777777" w:rsidR="00E93F58" w:rsidRPr="00D97EFB" w:rsidRDefault="00E93F58" w:rsidP="00BC436F">
      <w:pPr>
        <w:pStyle w:val="subsection"/>
      </w:pPr>
      <w:r w:rsidRPr="00D97EFB">
        <w:tab/>
      </w:r>
      <w:r w:rsidRPr="00D97EFB">
        <w:tab/>
        <w:t xml:space="preserve">The amendments made by items 1 and 2 of Schedule 1 to the </w:t>
      </w:r>
      <w:r w:rsidRPr="00D97EFB">
        <w:rPr>
          <w:i/>
        </w:rPr>
        <w:t xml:space="preserve">Treasury Laws Amendment (Putting Consumers First—Establishment of the Australian Financial Complaints Authority) </w:t>
      </w:r>
      <w:r>
        <w:rPr>
          <w:i/>
        </w:rPr>
        <w:t>Regulations 2</w:t>
      </w:r>
      <w:r w:rsidRPr="00D97EFB">
        <w:rPr>
          <w:i/>
        </w:rPr>
        <w:t>018</w:t>
      </w:r>
      <w:r w:rsidRPr="00D97EFB">
        <w:t xml:space="preserve"> apply on and after the day, under item 44 of Schedule 1 to the </w:t>
      </w:r>
      <w:r w:rsidRPr="00D97EFB">
        <w:rPr>
          <w:i/>
        </w:rPr>
        <w:t>Treasury Laws Amendment (Putting Consumers First—Establishment of the Australian Financial Complaints Authority) Act 2018</w:t>
      </w:r>
      <w:r w:rsidRPr="00D97EFB">
        <w:t>, on and after which the amendments made by Part 3 of Schedule 1 to that Act apply.</w:t>
      </w:r>
    </w:p>
    <w:p w14:paraId="77D1E26D" w14:textId="77777777" w:rsidR="00E93F58" w:rsidRPr="00D97EFB" w:rsidRDefault="00E93F58" w:rsidP="00D40684">
      <w:pPr>
        <w:pStyle w:val="ActHead5"/>
      </w:pPr>
      <w:bookmarkStart w:id="2948" w:name="_Toc151994753"/>
      <w:bookmarkStart w:id="2949" w:name="_Toc158713263"/>
      <w:r w:rsidRPr="000D40D5">
        <w:rPr>
          <w:rStyle w:val="CharSectno"/>
        </w:rPr>
        <w:t>10.27.02</w:t>
      </w:r>
      <w:r w:rsidRPr="00D97EFB">
        <w:t xml:space="preserve">  Membership of existing external dispute resolution schemes</w:t>
      </w:r>
      <w:bookmarkEnd w:id="2948"/>
      <w:bookmarkEnd w:id="2949"/>
    </w:p>
    <w:p w14:paraId="49E85F64" w14:textId="77777777" w:rsidR="00E93F58" w:rsidRPr="00D97EFB" w:rsidRDefault="00E93F58" w:rsidP="00BC436F">
      <w:pPr>
        <w:pStyle w:val="subsection"/>
      </w:pPr>
      <w:r w:rsidRPr="00D97EFB">
        <w:tab/>
      </w:r>
      <w:r w:rsidRPr="00D97EFB">
        <w:tab/>
        <w:t xml:space="preserve">The amendments made by items 36 to 39 of Schedule 1 to the </w:t>
      </w:r>
      <w:r w:rsidRPr="00D97EFB">
        <w:rPr>
          <w:i/>
        </w:rPr>
        <w:t xml:space="preserve">Treasury Laws Amendment (Putting Consumers First—Establishment of the Australian Financial Complaints Authority) </w:t>
      </w:r>
      <w:r>
        <w:rPr>
          <w:i/>
        </w:rPr>
        <w:t>Regulations 2</w:t>
      </w:r>
      <w:r w:rsidRPr="00D97EFB">
        <w:rPr>
          <w:i/>
        </w:rPr>
        <w:t>018</w:t>
      </w:r>
      <w:r w:rsidRPr="00D97EFB">
        <w:t xml:space="preserve"> apply on and after the day, under item 72 of Schedule 1 to the </w:t>
      </w:r>
      <w:r w:rsidRPr="00D97EFB">
        <w:rPr>
          <w:i/>
        </w:rPr>
        <w:t>Treasury Laws Amendment (Putting Consumers First—Establishment of the Australian Financial Complaints Authority) Act 2018</w:t>
      </w:r>
      <w:r w:rsidRPr="00D97EFB">
        <w:t>, on and after which the amendments made by Part 5 of Schedule 1 to that Act apply.</w:t>
      </w:r>
    </w:p>
    <w:p w14:paraId="72A05977" w14:textId="77777777" w:rsidR="00E93F58" w:rsidRPr="00D97EFB" w:rsidRDefault="00E93F58" w:rsidP="00392804">
      <w:pPr>
        <w:pStyle w:val="ActHead5"/>
      </w:pPr>
      <w:bookmarkStart w:id="2950" w:name="_Toc151994754"/>
      <w:bookmarkStart w:id="2951" w:name="_Toc158713264"/>
      <w:r w:rsidRPr="000D40D5">
        <w:rPr>
          <w:rStyle w:val="CharSectno"/>
        </w:rPr>
        <w:t>10.27.03</w:t>
      </w:r>
      <w:r w:rsidRPr="00D97EFB">
        <w:t xml:space="preserve">  Written reasons for internal review decisions</w:t>
      </w:r>
      <w:bookmarkEnd w:id="2950"/>
      <w:bookmarkEnd w:id="2951"/>
    </w:p>
    <w:p w14:paraId="0C9517C7" w14:textId="77777777" w:rsidR="00E93F58" w:rsidRPr="00D97EFB" w:rsidRDefault="00E93F58" w:rsidP="00392804">
      <w:pPr>
        <w:pStyle w:val="subsection"/>
      </w:pPr>
      <w:r w:rsidRPr="00D97EFB">
        <w:tab/>
      </w:r>
      <w:r w:rsidRPr="00D97EFB">
        <w:tab/>
        <w:t xml:space="preserve">Regulations 7.9.48, 7.9.48A, 7.9.48C and 7.9.48D of these Regulations continue to have effect, despite their repeal by item 1 of Schedule 2 to the </w:t>
      </w:r>
      <w:r w:rsidRPr="00D97EFB">
        <w:rPr>
          <w:i/>
        </w:rPr>
        <w:t xml:space="preserve">Treasury Laws Amendment (Putting Consumers First—Establishment of the Australian Financial Complaints Authority) </w:t>
      </w:r>
      <w:r>
        <w:rPr>
          <w:i/>
        </w:rPr>
        <w:t>Regulations 2</w:t>
      </w:r>
      <w:r w:rsidRPr="00D97EFB">
        <w:rPr>
          <w:i/>
        </w:rPr>
        <w:t>018</w:t>
      </w:r>
      <w:r w:rsidRPr="00D97EFB">
        <w:t xml:space="preserve"> until the later of:</w:t>
      </w:r>
    </w:p>
    <w:p w14:paraId="4EBDF659" w14:textId="77777777" w:rsidR="00E93F58" w:rsidRPr="00D97EFB" w:rsidRDefault="00E93F58" w:rsidP="00392804">
      <w:pPr>
        <w:pStyle w:val="paragraph"/>
      </w:pPr>
      <w:r w:rsidRPr="00D97EFB">
        <w:tab/>
        <w:t>(a)</w:t>
      </w:r>
      <w:r w:rsidRPr="00D97EFB">
        <w:tab/>
        <w:t xml:space="preserve">the commencement of the first legislative instrument made under subsection 47(2A) of the </w:t>
      </w:r>
      <w:r w:rsidRPr="00D97EFB">
        <w:rPr>
          <w:i/>
        </w:rPr>
        <w:t>Retirement Savings Accounts Act 1997</w:t>
      </w:r>
      <w:r w:rsidRPr="00D97EFB">
        <w:t xml:space="preserve"> as amended by item 7 of Schedule 2 to the </w:t>
      </w:r>
      <w:r w:rsidRPr="00D97EFB">
        <w:rPr>
          <w:i/>
        </w:rPr>
        <w:t>Treasury Laws Amendment (Putting Consumers First—Establishment of the Australian Financial Complaints Authority) Act 2018</w:t>
      </w:r>
      <w:r w:rsidRPr="00D97EFB">
        <w:t>; and</w:t>
      </w:r>
    </w:p>
    <w:p w14:paraId="68A091FE" w14:textId="77777777" w:rsidR="00E93F58" w:rsidRPr="00D97EFB" w:rsidRDefault="00E93F58" w:rsidP="00392804">
      <w:pPr>
        <w:pStyle w:val="paragraph"/>
      </w:pPr>
      <w:r w:rsidRPr="00D97EFB">
        <w:tab/>
        <w:t>(b)</w:t>
      </w:r>
      <w:r w:rsidRPr="00D97EFB">
        <w:tab/>
        <w:t xml:space="preserve">the commencement of the first legislative instrument made under subsection 101(1B) of the </w:t>
      </w:r>
      <w:r w:rsidRPr="00D97EFB">
        <w:rPr>
          <w:i/>
        </w:rPr>
        <w:t>Superannuation Industry (Supervision) Act 1993</w:t>
      </w:r>
      <w:r w:rsidRPr="00D97EFB">
        <w:t xml:space="preserve"> as amended by item 9 of Schedule 2 to the </w:t>
      </w:r>
      <w:r w:rsidRPr="00D97EFB">
        <w:rPr>
          <w:i/>
        </w:rPr>
        <w:t>Treasury Laws Amendment (Putting Consumers First—Establishment of the Australian Financial Complaints Authority) Act 2018</w:t>
      </w:r>
      <w:r w:rsidRPr="00D97EFB">
        <w:t>.</w:t>
      </w:r>
    </w:p>
    <w:p w14:paraId="730D990F" w14:textId="77777777" w:rsidR="00E93F58" w:rsidRPr="00D97EFB" w:rsidRDefault="00E93F58" w:rsidP="00392804">
      <w:pPr>
        <w:pStyle w:val="ActHead5"/>
      </w:pPr>
      <w:bookmarkStart w:id="2952" w:name="_Toc151994755"/>
      <w:bookmarkStart w:id="2953" w:name="_Toc158713265"/>
      <w:r w:rsidRPr="000D40D5">
        <w:rPr>
          <w:rStyle w:val="CharSectno"/>
        </w:rPr>
        <w:t>10.27.04</w:t>
      </w:r>
      <w:r w:rsidRPr="00D97EFB">
        <w:t xml:space="preserve">  Disclosing information about the AFCA scheme</w:t>
      </w:r>
      <w:bookmarkEnd w:id="2952"/>
      <w:bookmarkEnd w:id="2953"/>
    </w:p>
    <w:p w14:paraId="6BB5C1D8" w14:textId="77777777" w:rsidR="00E93F58" w:rsidRPr="00D97EFB" w:rsidRDefault="00E93F58" w:rsidP="00BC436F">
      <w:pPr>
        <w:pStyle w:val="subsection"/>
      </w:pPr>
      <w:r w:rsidRPr="00D97EFB">
        <w:tab/>
      </w:r>
      <w:r w:rsidRPr="00D97EFB">
        <w:tab/>
        <w:t xml:space="preserve">Regulations 7.9.48, 7.9.48A and 7.9.48B of these Regulations continue to have effect, despite their repeal by item 1 of Schedule 2 to the </w:t>
      </w:r>
      <w:r w:rsidRPr="00D97EFB">
        <w:rPr>
          <w:i/>
        </w:rPr>
        <w:t xml:space="preserve">Treasury Laws Amendment (Putting Consumers First—Establishment of the Australian Financial Complaints Authority) </w:t>
      </w:r>
      <w:r>
        <w:rPr>
          <w:i/>
        </w:rPr>
        <w:t>Regulations 2</w:t>
      </w:r>
      <w:r w:rsidRPr="00D97EFB">
        <w:rPr>
          <w:i/>
        </w:rPr>
        <w:t>018</w:t>
      </w:r>
      <w:r w:rsidRPr="00D97EFB">
        <w:t xml:space="preserve"> until the day that standards and requirements are first made or approved by ASIC under subparagraph 912A(2)(a)(i) of the </w:t>
      </w:r>
      <w:r w:rsidRPr="00D97EFB">
        <w:rPr>
          <w:i/>
        </w:rPr>
        <w:t>Corporations Act 2001</w:t>
      </w:r>
      <w:r w:rsidRPr="00D97EFB">
        <w:t xml:space="preserve"> after those regulations are registered.</w:t>
      </w:r>
    </w:p>
    <w:p w14:paraId="36DA5CCD" w14:textId="77777777" w:rsidR="00E93F58" w:rsidRPr="00D97EFB" w:rsidRDefault="00E93F58" w:rsidP="0052260B">
      <w:pPr>
        <w:pStyle w:val="ActHead2"/>
        <w:pageBreakBefore/>
      </w:pPr>
      <w:bookmarkStart w:id="2954" w:name="_Toc151994756"/>
      <w:bookmarkStart w:id="2955" w:name="_Toc158713266"/>
      <w:r w:rsidRPr="000D40D5">
        <w:rPr>
          <w:rStyle w:val="CharPartNo"/>
        </w:rPr>
        <w:lastRenderedPageBreak/>
        <w:t>Part 10.28</w:t>
      </w:r>
      <w:r w:rsidRPr="00D97EFB">
        <w:t>—</w:t>
      </w:r>
      <w:r w:rsidRPr="000D40D5">
        <w:rPr>
          <w:rStyle w:val="CharPartText"/>
        </w:rPr>
        <w:t>Application provisions related to the Corporations Amendment (Client Money Reporting Rules Enforcement Powers) Regulations 2018</w:t>
      </w:r>
      <w:bookmarkEnd w:id="2954"/>
      <w:bookmarkEnd w:id="2955"/>
    </w:p>
    <w:p w14:paraId="7226FC83" w14:textId="77777777" w:rsidR="00E93F58" w:rsidRPr="00D97EFB" w:rsidRDefault="00E93F58" w:rsidP="008C3E9B">
      <w:pPr>
        <w:pStyle w:val="Header"/>
      </w:pPr>
      <w:r w:rsidRPr="000D40D5">
        <w:rPr>
          <w:rStyle w:val="CharDivNo"/>
        </w:rPr>
        <w:t xml:space="preserve"> </w:t>
      </w:r>
      <w:r w:rsidRPr="000D40D5">
        <w:rPr>
          <w:rStyle w:val="CharDivText"/>
        </w:rPr>
        <w:t xml:space="preserve"> </w:t>
      </w:r>
    </w:p>
    <w:p w14:paraId="5CB217D6" w14:textId="77777777" w:rsidR="00E93F58" w:rsidRPr="00D97EFB" w:rsidRDefault="00E93F58" w:rsidP="008C3E9B">
      <w:pPr>
        <w:pStyle w:val="ActHead5"/>
      </w:pPr>
      <w:bookmarkStart w:id="2956" w:name="_Toc151994757"/>
      <w:bookmarkStart w:id="2957" w:name="_Toc158713267"/>
      <w:r w:rsidRPr="000D40D5">
        <w:rPr>
          <w:rStyle w:val="CharSectno"/>
        </w:rPr>
        <w:t>10.28.01</w:t>
      </w:r>
      <w:r w:rsidRPr="00D97EFB">
        <w:t xml:space="preserve">  Application—client money reporting rules enforcement powers</w:t>
      </w:r>
      <w:bookmarkEnd w:id="2956"/>
      <w:bookmarkEnd w:id="2957"/>
    </w:p>
    <w:p w14:paraId="37495C76" w14:textId="77777777" w:rsidR="00E93F58" w:rsidRPr="00D97EFB" w:rsidRDefault="00E93F58" w:rsidP="008C3E9B">
      <w:pPr>
        <w:pStyle w:val="subsection"/>
      </w:pPr>
      <w:r w:rsidRPr="00D97EFB">
        <w:tab/>
      </w:r>
      <w:r w:rsidRPr="00D97EFB">
        <w:tab/>
        <w:t xml:space="preserve">Subdivision AA of Division 2 of Part 7.8, as inserted by Schedule 1 to the </w:t>
      </w:r>
      <w:r w:rsidRPr="00D97EFB">
        <w:rPr>
          <w:i/>
        </w:rPr>
        <w:t xml:space="preserve">Corporations Amendment (Client Money Reporting Rules Enforcement Powers) </w:t>
      </w:r>
      <w:r>
        <w:rPr>
          <w:i/>
        </w:rPr>
        <w:t>Regulations 2</w:t>
      </w:r>
      <w:r w:rsidRPr="00D97EFB">
        <w:rPr>
          <w:i/>
        </w:rPr>
        <w:t>018</w:t>
      </w:r>
      <w:r w:rsidRPr="00D97EFB">
        <w:t>, applies in relation to alleged contraventions of subsection 981M(1) of the Act occurring on or after the commencement of that Schedule.</w:t>
      </w:r>
    </w:p>
    <w:p w14:paraId="146CEE0A" w14:textId="77777777" w:rsidR="00E93F58" w:rsidRPr="00D97EFB" w:rsidRDefault="00E93F58" w:rsidP="00CB528E">
      <w:pPr>
        <w:pStyle w:val="ActHead2"/>
        <w:pageBreakBefore/>
      </w:pPr>
      <w:bookmarkStart w:id="2958" w:name="_Toc151994758"/>
      <w:bookmarkStart w:id="2959" w:name="_Toc158713268"/>
      <w:r w:rsidRPr="000D40D5">
        <w:rPr>
          <w:rStyle w:val="CharPartNo"/>
        </w:rPr>
        <w:lastRenderedPageBreak/>
        <w:t>Part 10.29</w:t>
      </w:r>
      <w:r w:rsidRPr="00D97EFB">
        <w:t>—</w:t>
      </w:r>
      <w:r w:rsidRPr="000D40D5">
        <w:rPr>
          <w:rStyle w:val="CharPartText"/>
        </w:rPr>
        <w:t>Application and transitional provisions relating to the Treasury Laws Amendment (Protecting Your Superannuation Package) Regulations 2019</w:t>
      </w:r>
      <w:bookmarkEnd w:id="2958"/>
      <w:bookmarkEnd w:id="2959"/>
    </w:p>
    <w:p w14:paraId="31F4C0F0" w14:textId="77777777" w:rsidR="00E93F58" w:rsidRPr="00D97EFB" w:rsidRDefault="00E93F58" w:rsidP="00B146E8">
      <w:pPr>
        <w:pStyle w:val="Header"/>
      </w:pPr>
      <w:r w:rsidRPr="000D40D5">
        <w:rPr>
          <w:rStyle w:val="CharDivNo"/>
        </w:rPr>
        <w:t xml:space="preserve"> </w:t>
      </w:r>
      <w:r w:rsidRPr="000D40D5">
        <w:rPr>
          <w:rStyle w:val="CharDivText"/>
        </w:rPr>
        <w:t xml:space="preserve"> </w:t>
      </w:r>
    </w:p>
    <w:p w14:paraId="159A7FB9" w14:textId="77777777" w:rsidR="00E93F58" w:rsidRPr="00D97EFB" w:rsidRDefault="00E93F58" w:rsidP="00B146E8">
      <w:pPr>
        <w:pStyle w:val="ActHead5"/>
      </w:pPr>
      <w:bookmarkStart w:id="2960" w:name="_Toc151994759"/>
      <w:bookmarkStart w:id="2961" w:name="_Toc158713269"/>
      <w:r w:rsidRPr="000D40D5">
        <w:rPr>
          <w:rStyle w:val="CharSectno"/>
        </w:rPr>
        <w:t>10.29.01</w:t>
      </w:r>
      <w:r w:rsidRPr="00D97EFB">
        <w:t xml:space="preserve">  Definitions</w:t>
      </w:r>
      <w:bookmarkEnd w:id="2960"/>
      <w:bookmarkEnd w:id="2961"/>
    </w:p>
    <w:p w14:paraId="63228916" w14:textId="77777777" w:rsidR="00E93F58" w:rsidRPr="00D97EFB" w:rsidRDefault="00E93F58" w:rsidP="00B146E8">
      <w:pPr>
        <w:pStyle w:val="subsection"/>
      </w:pPr>
      <w:r w:rsidRPr="00D97EFB">
        <w:tab/>
      </w:r>
      <w:r w:rsidRPr="00D97EFB">
        <w:tab/>
        <w:t>In this Part:</w:t>
      </w:r>
    </w:p>
    <w:p w14:paraId="3EF209A1" w14:textId="77777777" w:rsidR="00E93F58" w:rsidRPr="00D97EFB" w:rsidRDefault="00E93F58" w:rsidP="00B146E8">
      <w:pPr>
        <w:pStyle w:val="Definition"/>
      </w:pPr>
      <w:r w:rsidRPr="00D97EFB">
        <w:rPr>
          <w:b/>
          <w:i/>
        </w:rPr>
        <w:t>amending regulations</w:t>
      </w:r>
      <w:r w:rsidRPr="00D97EFB">
        <w:t xml:space="preserve"> means the </w:t>
      </w:r>
      <w:r w:rsidRPr="00D97EFB">
        <w:rPr>
          <w:i/>
        </w:rPr>
        <w:t xml:space="preserve">Treasury Laws Amendment (Protecting Your Superannuation Package) </w:t>
      </w:r>
      <w:r>
        <w:rPr>
          <w:i/>
        </w:rPr>
        <w:t>Regulations 2</w:t>
      </w:r>
      <w:r w:rsidRPr="00D97EFB">
        <w:rPr>
          <w:i/>
        </w:rPr>
        <w:t>019</w:t>
      </w:r>
      <w:r w:rsidRPr="00D97EFB">
        <w:t>.</w:t>
      </w:r>
    </w:p>
    <w:p w14:paraId="666829E5" w14:textId="77777777" w:rsidR="00E93F58" w:rsidRPr="00D97EFB" w:rsidRDefault="00E93F58" w:rsidP="00B146E8">
      <w:pPr>
        <w:pStyle w:val="ActHead5"/>
      </w:pPr>
      <w:bookmarkStart w:id="2962" w:name="_Toc151994760"/>
      <w:bookmarkStart w:id="2963" w:name="_Toc158713270"/>
      <w:r w:rsidRPr="000D40D5">
        <w:rPr>
          <w:rStyle w:val="CharSectno"/>
        </w:rPr>
        <w:t>10.29.02</w:t>
      </w:r>
      <w:r w:rsidRPr="00D97EFB">
        <w:t xml:space="preserve">  Transitional provisions relating to regulation 7.9.44B</w:t>
      </w:r>
      <w:bookmarkEnd w:id="2962"/>
      <w:bookmarkEnd w:id="2963"/>
    </w:p>
    <w:p w14:paraId="451C302D" w14:textId="77777777" w:rsidR="00E93F58" w:rsidRPr="00D97EFB" w:rsidRDefault="00E93F58" w:rsidP="00B146E8">
      <w:pPr>
        <w:pStyle w:val="subsection"/>
      </w:pPr>
      <w:r w:rsidRPr="00D97EFB">
        <w:tab/>
      </w:r>
      <w:r w:rsidRPr="00D97EFB">
        <w:tab/>
        <w:t>For the purposes of regulation 7.9.44B, as inserted by item 1 of Schedule 1 to the amending regulations, a period during which a member’s account is inactive in relation to a choice product or a MySuper product offered by a regulated superannuation fund is to be taken into account even if the period begins before the commencement of that Schedule.</w:t>
      </w:r>
    </w:p>
    <w:p w14:paraId="6570FD18" w14:textId="77777777" w:rsidR="00E93F58" w:rsidRPr="00D97EFB" w:rsidRDefault="00E93F58" w:rsidP="00B146E8">
      <w:pPr>
        <w:pStyle w:val="ActHead5"/>
      </w:pPr>
      <w:bookmarkStart w:id="2964" w:name="_Toc151994761"/>
      <w:bookmarkStart w:id="2965" w:name="_Toc158713271"/>
      <w:r w:rsidRPr="000D40D5">
        <w:rPr>
          <w:rStyle w:val="CharSectno"/>
        </w:rPr>
        <w:t>10.29.03</w:t>
      </w:r>
      <w:r w:rsidRPr="00D97EFB">
        <w:t xml:space="preserve">  Application of amendments relating to product disclosure statements</w:t>
      </w:r>
      <w:bookmarkEnd w:id="2964"/>
      <w:bookmarkEnd w:id="2965"/>
    </w:p>
    <w:p w14:paraId="3AAA7E40" w14:textId="77777777" w:rsidR="00E93F58" w:rsidRPr="00D97EFB" w:rsidRDefault="00E93F58" w:rsidP="00B146E8">
      <w:pPr>
        <w:pStyle w:val="subsection"/>
      </w:pPr>
      <w:r w:rsidRPr="00D97EFB">
        <w:tab/>
      </w:r>
      <w:r w:rsidRPr="00D97EFB">
        <w:tab/>
        <w:t>The amendments made by items 3 to 28 of Schedule 1 to the amending regulations apply in relation to product disclosure statements given on and after 1 July 2019</w:t>
      </w:r>
      <w:r w:rsidRPr="00D97EFB">
        <w:rPr>
          <w:i/>
        </w:rPr>
        <w:t>.</w:t>
      </w:r>
    </w:p>
    <w:p w14:paraId="39BA32BE" w14:textId="77777777" w:rsidR="00E93F58" w:rsidRPr="00D97EFB" w:rsidRDefault="00E93F58" w:rsidP="00B146E8">
      <w:pPr>
        <w:pStyle w:val="ActHead5"/>
      </w:pPr>
      <w:bookmarkStart w:id="2966" w:name="_Toc151994762"/>
      <w:bookmarkStart w:id="2967" w:name="_Toc158713272"/>
      <w:r w:rsidRPr="000D40D5">
        <w:rPr>
          <w:rStyle w:val="CharSectno"/>
        </w:rPr>
        <w:t>10.29.04</w:t>
      </w:r>
      <w:r w:rsidRPr="00D97EFB">
        <w:t xml:space="preserve">  Application of amendments relating to periodic statements</w:t>
      </w:r>
      <w:bookmarkEnd w:id="2966"/>
      <w:bookmarkEnd w:id="2967"/>
    </w:p>
    <w:p w14:paraId="37398687" w14:textId="77777777" w:rsidR="00E93F58" w:rsidRPr="00D97EFB" w:rsidRDefault="00E93F58" w:rsidP="00B146E8">
      <w:pPr>
        <w:pStyle w:val="subsection"/>
      </w:pPr>
      <w:r w:rsidRPr="00D97EFB">
        <w:tab/>
      </w:r>
      <w:r w:rsidRPr="00D97EFB">
        <w:tab/>
        <w:t>The amendments made by items 3 to 28 of Schedule 1 to the amending regulations apply in relation to periodic statements for reporting periods beginning on and after 1 July 2019.</w:t>
      </w:r>
    </w:p>
    <w:p w14:paraId="34EACB46" w14:textId="77777777" w:rsidR="00E93F58" w:rsidRPr="00D97EFB" w:rsidRDefault="00E93F58" w:rsidP="000656A1">
      <w:pPr>
        <w:pStyle w:val="ActHead2"/>
        <w:pageBreakBefore/>
      </w:pPr>
      <w:bookmarkStart w:id="2968" w:name="_Toc151994763"/>
      <w:bookmarkStart w:id="2969" w:name="_Toc158713273"/>
      <w:r w:rsidRPr="000D40D5">
        <w:rPr>
          <w:rStyle w:val="CharPartNo"/>
        </w:rPr>
        <w:lastRenderedPageBreak/>
        <w:t>Part 10.30</w:t>
      </w:r>
      <w:r w:rsidRPr="00D97EFB">
        <w:t>—</w:t>
      </w:r>
      <w:r w:rsidRPr="000D40D5">
        <w:rPr>
          <w:rStyle w:val="CharPartText"/>
        </w:rPr>
        <w:t>Application provisions relating to the Corporations Amendment (Proprietary Company Thresholds) Regulations 2019</w:t>
      </w:r>
      <w:bookmarkEnd w:id="2968"/>
      <w:bookmarkEnd w:id="2969"/>
    </w:p>
    <w:p w14:paraId="2E851B4A" w14:textId="77777777" w:rsidR="00E93F58" w:rsidRPr="00D97EFB" w:rsidRDefault="00E93F58" w:rsidP="00C91511">
      <w:pPr>
        <w:pStyle w:val="Header"/>
      </w:pPr>
      <w:r w:rsidRPr="000D40D5">
        <w:rPr>
          <w:rStyle w:val="CharDivNo"/>
        </w:rPr>
        <w:t xml:space="preserve"> </w:t>
      </w:r>
      <w:r w:rsidRPr="000D40D5">
        <w:rPr>
          <w:rStyle w:val="CharDivText"/>
        </w:rPr>
        <w:t xml:space="preserve"> </w:t>
      </w:r>
    </w:p>
    <w:p w14:paraId="4374BE13" w14:textId="77777777" w:rsidR="00E93F58" w:rsidRPr="00D97EFB" w:rsidRDefault="00E93F58" w:rsidP="00C91511">
      <w:pPr>
        <w:pStyle w:val="ActHead5"/>
      </w:pPr>
      <w:bookmarkStart w:id="2970" w:name="_Toc151994764"/>
      <w:bookmarkStart w:id="2971" w:name="_Toc158713274"/>
      <w:r w:rsidRPr="000D40D5">
        <w:rPr>
          <w:rStyle w:val="CharSectno"/>
        </w:rPr>
        <w:t>10.30.01</w:t>
      </w:r>
      <w:r w:rsidRPr="00D97EFB">
        <w:t xml:space="preserve">  Application of amendments—changes to proprietary company thresholds</w:t>
      </w:r>
      <w:bookmarkEnd w:id="2970"/>
      <w:bookmarkEnd w:id="2971"/>
    </w:p>
    <w:p w14:paraId="70ACB0B9" w14:textId="77777777" w:rsidR="00E93F58" w:rsidRPr="00D97EFB" w:rsidRDefault="00E93F58" w:rsidP="00C91511">
      <w:pPr>
        <w:pStyle w:val="subsection"/>
      </w:pPr>
      <w:r w:rsidRPr="00D97EFB">
        <w:tab/>
      </w:r>
      <w:r w:rsidRPr="00D97EFB">
        <w:tab/>
        <w:t xml:space="preserve">Regulation 1.0.02B, as inserted by Schedule 1 to the </w:t>
      </w:r>
      <w:r w:rsidRPr="00D97EFB">
        <w:rPr>
          <w:i/>
        </w:rPr>
        <w:t xml:space="preserve">Corporations Amendment (Proprietary Company Thresholds) </w:t>
      </w:r>
      <w:r>
        <w:rPr>
          <w:i/>
        </w:rPr>
        <w:t>Regulations 2</w:t>
      </w:r>
      <w:r w:rsidRPr="00D97EFB">
        <w:rPr>
          <w:i/>
        </w:rPr>
        <w:t>019</w:t>
      </w:r>
      <w:r w:rsidRPr="00D97EFB">
        <w:t>, applies in relation to the 2019</w:t>
      </w:r>
      <w:r>
        <w:noBreakHyphen/>
      </w:r>
      <w:r w:rsidRPr="00D97EFB">
        <w:t>20 financial year and later financial years.</w:t>
      </w:r>
    </w:p>
    <w:p w14:paraId="2C049089" w14:textId="77777777" w:rsidR="00E93F58" w:rsidRPr="00D97EFB" w:rsidRDefault="00E93F58" w:rsidP="0032166A">
      <w:pPr>
        <w:pStyle w:val="ActHead2"/>
        <w:pageBreakBefore/>
      </w:pPr>
      <w:bookmarkStart w:id="2972" w:name="_Toc151994765"/>
      <w:bookmarkStart w:id="2973" w:name="_Toc158713275"/>
      <w:r w:rsidRPr="000D40D5">
        <w:rPr>
          <w:rStyle w:val="CharPartNo"/>
        </w:rPr>
        <w:lastRenderedPageBreak/>
        <w:t>Part 10.31</w:t>
      </w:r>
      <w:r w:rsidRPr="00D97EFB">
        <w:t>—</w:t>
      </w:r>
      <w:r w:rsidRPr="000D40D5">
        <w:rPr>
          <w:rStyle w:val="CharPartText"/>
        </w:rPr>
        <w:t>Application provisions relating to the Treasury Laws Amendment (Strengthening Corporate and Financial Sector Penalties) Regulations 2019</w:t>
      </w:r>
      <w:bookmarkEnd w:id="2972"/>
      <w:bookmarkEnd w:id="2973"/>
    </w:p>
    <w:p w14:paraId="46299DD4" w14:textId="77777777" w:rsidR="00E93F58" w:rsidRPr="00D97EFB" w:rsidRDefault="00E93F58" w:rsidP="00FF62B0">
      <w:pPr>
        <w:pStyle w:val="Header"/>
      </w:pPr>
      <w:r w:rsidRPr="000D40D5">
        <w:rPr>
          <w:rStyle w:val="CharDivNo"/>
        </w:rPr>
        <w:t xml:space="preserve"> </w:t>
      </w:r>
      <w:r w:rsidRPr="000D40D5">
        <w:rPr>
          <w:rStyle w:val="CharDivText"/>
        </w:rPr>
        <w:t xml:space="preserve"> </w:t>
      </w:r>
    </w:p>
    <w:p w14:paraId="4598A17C" w14:textId="77777777" w:rsidR="00E93F58" w:rsidRPr="00D97EFB" w:rsidRDefault="00E93F58" w:rsidP="00FF62B0">
      <w:pPr>
        <w:pStyle w:val="ActHead5"/>
      </w:pPr>
      <w:bookmarkStart w:id="2974" w:name="_Toc151994766"/>
      <w:bookmarkStart w:id="2975" w:name="_Toc158713276"/>
      <w:r w:rsidRPr="000D40D5">
        <w:rPr>
          <w:rStyle w:val="CharSectno"/>
        </w:rPr>
        <w:t>10.31.01</w:t>
      </w:r>
      <w:r w:rsidRPr="00D97EFB">
        <w:t xml:space="preserve">  Application—offences</w:t>
      </w:r>
      <w:bookmarkEnd w:id="2974"/>
      <w:bookmarkEnd w:id="2975"/>
    </w:p>
    <w:p w14:paraId="0B77F93A" w14:textId="77777777" w:rsidR="00E93F58" w:rsidRPr="00D97EFB" w:rsidRDefault="00E93F58" w:rsidP="00FF62B0">
      <w:pPr>
        <w:pStyle w:val="subsection"/>
      </w:pPr>
      <w:r w:rsidRPr="00D97EFB">
        <w:tab/>
      </w:r>
      <w:r w:rsidRPr="00D97EFB">
        <w:tab/>
        <w:t xml:space="preserve">The amendments made by items 1 to 10, items 16 to 18 and items 30, 32, 33 and 37 of Schedule 1 to the </w:t>
      </w:r>
      <w:r w:rsidRPr="00D97EFB">
        <w:rPr>
          <w:i/>
        </w:rPr>
        <w:t xml:space="preserve">Treasury Laws Amendment (Strengthening Corporate and Financial Sector Penalties) </w:t>
      </w:r>
      <w:r>
        <w:rPr>
          <w:i/>
        </w:rPr>
        <w:t>Regulations 2</w:t>
      </w:r>
      <w:r w:rsidRPr="00D97EFB">
        <w:rPr>
          <w:i/>
        </w:rPr>
        <w:t>019</w:t>
      </w:r>
      <w:r w:rsidRPr="00D97EFB">
        <w:t xml:space="preserve"> apply in relation to the commission of an offence if the conduct constituting the commission of the offence occurs wholly on or after the commencement of that Schedule.</w:t>
      </w:r>
    </w:p>
    <w:p w14:paraId="14A0DE1F" w14:textId="77777777" w:rsidR="00E93F58" w:rsidRPr="00D97EFB" w:rsidRDefault="00E93F58" w:rsidP="00CB528E">
      <w:pPr>
        <w:pStyle w:val="ActHead2"/>
        <w:pageBreakBefore/>
      </w:pPr>
      <w:bookmarkStart w:id="2976" w:name="_Toc151994767"/>
      <w:bookmarkStart w:id="2977" w:name="_Toc158713277"/>
      <w:r w:rsidRPr="000D40D5">
        <w:rPr>
          <w:rStyle w:val="CharPartNo"/>
        </w:rPr>
        <w:lastRenderedPageBreak/>
        <w:t>Part 10.32</w:t>
      </w:r>
      <w:r w:rsidRPr="00D97EFB">
        <w:t>—</w:t>
      </w:r>
      <w:r w:rsidRPr="000D40D5">
        <w:rPr>
          <w:rStyle w:val="CharPartText"/>
        </w:rPr>
        <w:t>Application provisions relating to the Treasury Laws Amendment (AFCA Cooperation) Regulations 2019</w:t>
      </w:r>
      <w:bookmarkEnd w:id="2976"/>
      <w:bookmarkEnd w:id="2977"/>
    </w:p>
    <w:p w14:paraId="7A75F9A4" w14:textId="77777777" w:rsidR="00E93F58" w:rsidRPr="00D97EFB" w:rsidRDefault="00E93F58" w:rsidP="00B146E8">
      <w:pPr>
        <w:pStyle w:val="Header"/>
      </w:pPr>
      <w:r w:rsidRPr="000D40D5">
        <w:rPr>
          <w:rStyle w:val="CharDivNo"/>
        </w:rPr>
        <w:t xml:space="preserve"> </w:t>
      </w:r>
      <w:r w:rsidRPr="000D40D5">
        <w:rPr>
          <w:rStyle w:val="CharDivText"/>
        </w:rPr>
        <w:t xml:space="preserve"> </w:t>
      </w:r>
    </w:p>
    <w:p w14:paraId="1AF6F321" w14:textId="77777777" w:rsidR="00E93F58" w:rsidRPr="00D97EFB" w:rsidRDefault="00E93F58" w:rsidP="00B146E8">
      <w:pPr>
        <w:pStyle w:val="ActHead5"/>
      </w:pPr>
      <w:bookmarkStart w:id="2978" w:name="_Toc151994768"/>
      <w:bookmarkStart w:id="2979" w:name="_Toc158713278"/>
      <w:r w:rsidRPr="000D40D5">
        <w:rPr>
          <w:rStyle w:val="CharSectno"/>
        </w:rPr>
        <w:t>10.32.01</w:t>
      </w:r>
      <w:r w:rsidRPr="00D97EFB">
        <w:t xml:space="preserve">  Application—obligation to cooperate with AFCA</w:t>
      </w:r>
      <w:bookmarkEnd w:id="2978"/>
      <w:bookmarkEnd w:id="2979"/>
    </w:p>
    <w:p w14:paraId="0ED9F7DB" w14:textId="77777777" w:rsidR="00E93F58" w:rsidRPr="00D97EFB" w:rsidRDefault="00E93F58" w:rsidP="00B146E8">
      <w:pPr>
        <w:pStyle w:val="subsection"/>
      </w:pPr>
      <w:r w:rsidRPr="00D97EFB">
        <w:tab/>
      </w:r>
      <w:r w:rsidRPr="00D97EFB">
        <w:tab/>
        <w:t xml:space="preserve">The amendments made by items 1 and 2 of Schedule 1 to the </w:t>
      </w:r>
      <w:r w:rsidRPr="00D97EFB">
        <w:rPr>
          <w:i/>
        </w:rPr>
        <w:t xml:space="preserve">Treasury Laws Amendment (AFCA Cooperation) </w:t>
      </w:r>
      <w:r>
        <w:rPr>
          <w:i/>
        </w:rPr>
        <w:t>Regulations 2</w:t>
      </w:r>
      <w:r w:rsidRPr="00D97EFB">
        <w:rPr>
          <w:i/>
        </w:rPr>
        <w:t>019</w:t>
      </w:r>
      <w:r w:rsidRPr="00D97EFB">
        <w:t xml:space="preserve"> apply on and after the commencement of that item in relation to complaints made under the AFCA scheme before, on or after that commencement.</w:t>
      </w:r>
    </w:p>
    <w:p w14:paraId="5B064F3E" w14:textId="77777777" w:rsidR="00E93F58" w:rsidRPr="00D97EFB" w:rsidRDefault="00E93F58" w:rsidP="002C74A3">
      <w:pPr>
        <w:pStyle w:val="ActHead2"/>
        <w:pageBreakBefore/>
      </w:pPr>
      <w:bookmarkStart w:id="2980" w:name="_Toc151994769"/>
      <w:bookmarkStart w:id="2981" w:name="_Toc158713279"/>
      <w:r w:rsidRPr="000D40D5">
        <w:rPr>
          <w:rStyle w:val="CharPartNo"/>
        </w:rPr>
        <w:lastRenderedPageBreak/>
        <w:t>Part 10.33</w:t>
      </w:r>
      <w:r w:rsidRPr="00D97EFB">
        <w:t>—</w:t>
      </w:r>
      <w:r w:rsidRPr="000D40D5">
        <w:rPr>
          <w:rStyle w:val="CharPartText"/>
        </w:rPr>
        <w:t>Application provisions relating to the Treasury Laws Amendment (Ending Grandfathered Conflicted Remuneration) Regulations 2019</w:t>
      </w:r>
      <w:bookmarkEnd w:id="2980"/>
      <w:bookmarkEnd w:id="2981"/>
    </w:p>
    <w:p w14:paraId="1C1AF0B1" w14:textId="77777777" w:rsidR="00E93F58" w:rsidRPr="00D97EFB" w:rsidRDefault="00E93F58" w:rsidP="0062516C">
      <w:pPr>
        <w:pStyle w:val="Header"/>
      </w:pPr>
      <w:r w:rsidRPr="000D40D5">
        <w:rPr>
          <w:rStyle w:val="CharDivNo"/>
        </w:rPr>
        <w:t xml:space="preserve"> </w:t>
      </w:r>
      <w:r w:rsidRPr="000D40D5">
        <w:rPr>
          <w:rStyle w:val="CharDivText"/>
        </w:rPr>
        <w:t xml:space="preserve"> </w:t>
      </w:r>
    </w:p>
    <w:p w14:paraId="509070BF" w14:textId="77777777" w:rsidR="00E93F58" w:rsidRPr="00D97EFB" w:rsidRDefault="00E93F58" w:rsidP="0062516C">
      <w:pPr>
        <w:pStyle w:val="ActHead5"/>
      </w:pPr>
      <w:bookmarkStart w:id="2982" w:name="_Toc151994770"/>
      <w:bookmarkStart w:id="2983" w:name="_Toc158713280"/>
      <w:r w:rsidRPr="000D40D5">
        <w:rPr>
          <w:rStyle w:val="CharSectno"/>
        </w:rPr>
        <w:t>10.33.01</w:t>
      </w:r>
      <w:r w:rsidRPr="00D97EFB">
        <w:t xml:space="preserve">  Application of end of grandfathering arrangements</w:t>
      </w:r>
      <w:bookmarkEnd w:id="2982"/>
      <w:bookmarkEnd w:id="2983"/>
    </w:p>
    <w:p w14:paraId="50421CF0" w14:textId="77777777" w:rsidR="00E93F58" w:rsidRPr="00D97EFB" w:rsidRDefault="00E93F58" w:rsidP="0062516C">
      <w:pPr>
        <w:pStyle w:val="subsection"/>
      </w:pPr>
      <w:r w:rsidRPr="00D97EFB">
        <w:tab/>
      </w:r>
      <w:r w:rsidRPr="00D97EFB">
        <w:tab/>
        <w:t xml:space="preserve">The amendment made by item 2 of Schedule 1 to the </w:t>
      </w:r>
      <w:r w:rsidRPr="00D97EFB">
        <w:rPr>
          <w:i/>
          <w:noProof/>
        </w:rPr>
        <w:t xml:space="preserve">Treasury Laws Amendment (Ending Grandfathered Conflicted Remuneration) </w:t>
      </w:r>
      <w:r>
        <w:rPr>
          <w:i/>
          <w:noProof/>
        </w:rPr>
        <w:t>Regulations 2</w:t>
      </w:r>
      <w:r w:rsidRPr="00D97EFB">
        <w:rPr>
          <w:i/>
          <w:noProof/>
        </w:rPr>
        <w:t>019</w:t>
      </w:r>
      <w:r w:rsidRPr="00D97EFB">
        <w:t xml:space="preserve"> applies to a benefit given on or after </w:t>
      </w:r>
      <w:r>
        <w:t>1 January</w:t>
      </w:r>
      <w:r w:rsidRPr="00D97EFB">
        <w:t xml:space="preserve"> 2021, if the benefit is given under an arrangement entered into before, on or after the application day (within the meaning of subsection 1528(4) of the Act).</w:t>
      </w:r>
    </w:p>
    <w:p w14:paraId="135CFCF4" w14:textId="77777777" w:rsidR="00E93F58" w:rsidRPr="00D97EFB" w:rsidRDefault="00E93F58" w:rsidP="0062516C">
      <w:pPr>
        <w:pStyle w:val="ActHead5"/>
      </w:pPr>
      <w:bookmarkStart w:id="2984" w:name="_Toc151994771"/>
      <w:bookmarkStart w:id="2985" w:name="_Toc158713281"/>
      <w:r w:rsidRPr="000D40D5">
        <w:rPr>
          <w:rStyle w:val="CharSectno"/>
        </w:rPr>
        <w:t>10.33.02</w:t>
      </w:r>
      <w:r w:rsidRPr="00D97EFB">
        <w:t xml:space="preserve">  Application of record keeping requirements for rebate scheme</w:t>
      </w:r>
      <w:bookmarkEnd w:id="2984"/>
      <w:bookmarkEnd w:id="2985"/>
    </w:p>
    <w:p w14:paraId="7160E757" w14:textId="77777777" w:rsidR="00E93F58" w:rsidRPr="00D97EFB" w:rsidRDefault="00E93F58" w:rsidP="0062516C">
      <w:pPr>
        <w:pStyle w:val="subsection"/>
      </w:pPr>
      <w:r w:rsidRPr="00D97EFB">
        <w:tab/>
      </w:r>
      <w:r w:rsidRPr="00D97EFB">
        <w:tab/>
        <w:t xml:space="preserve">The amendment made by item 3 of Schedule 1 to the </w:t>
      </w:r>
      <w:r w:rsidRPr="00D97EFB">
        <w:rPr>
          <w:i/>
          <w:noProof/>
        </w:rPr>
        <w:t xml:space="preserve">Treasury Laws Amendment (Ending Grandfathered Conflicted Remuneration) </w:t>
      </w:r>
      <w:r>
        <w:rPr>
          <w:i/>
          <w:noProof/>
        </w:rPr>
        <w:t>Regulations 2</w:t>
      </w:r>
      <w:r w:rsidRPr="00D97EFB">
        <w:rPr>
          <w:i/>
          <w:noProof/>
        </w:rPr>
        <w:t>019</w:t>
      </w:r>
      <w:r w:rsidRPr="00D97EFB">
        <w:t xml:space="preserve"> applies to financial records relating to periods ending after </w:t>
      </w:r>
      <w:r>
        <w:t>1 January</w:t>
      </w:r>
      <w:r w:rsidRPr="00D97EFB">
        <w:t xml:space="preserve"> 2021.</w:t>
      </w:r>
    </w:p>
    <w:p w14:paraId="2D97F87B" w14:textId="77777777" w:rsidR="00E93F58" w:rsidRPr="00D97EFB" w:rsidRDefault="00E93F58" w:rsidP="0065119C">
      <w:pPr>
        <w:pStyle w:val="ActHead2"/>
        <w:pageBreakBefore/>
      </w:pPr>
      <w:bookmarkStart w:id="2986" w:name="_Toc151994772"/>
      <w:bookmarkStart w:id="2987" w:name="_Toc158713282"/>
      <w:r w:rsidRPr="000D40D5">
        <w:rPr>
          <w:rStyle w:val="CharPartNo"/>
        </w:rPr>
        <w:lastRenderedPageBreak/>
        <w:t>Part 10.34</w:t>
      </w:r>
      <w:r w:rsidRPr="00D97EFB">
        <w:t>—</w:t>
      </w:r>
      <w:r w:rsidRPr="000D40D5">
        <w:rPr>
          <w:rStyle w:val="CharPartText"/>
        </w:rPr>
        <w:t>Application provisions related to the Corporations Amendment (National Guarantee Fund Payments) Regulations 2019</w:t>
      </w:r>
      <w:bookmarkEnd w:id="2986"/>
      <w:bookmarkEnd w:id="2987"/>
    </w:p>
    <w:p w14:paraId="3A245489" w14:textId="77777777" w:rsidR="00E93F58" w:rsidRPr="00D97EFB" w:rsidRDefault="00E93F58" w:rsidP="00653141">
      <w:pPr>
        <w:pStyle w:val="Header"/>
      </w:pPr>
      <w:r w:rsidRPr="000D40D5">
        <w:rPr>
          <w:rStyle w:val="CharDivNo"/>
        </w:rPr>
        <w:t xml:space="preserve"> </w:t>
      </w:r>
      <w:r w:rsidRPr="000D40D5">
        <w:rPr>
          <w:rStyle w:val="CharDivText"/>
        </w:rPr>
        <w:t xml:space="preserve"> </w:t>
      </w:r>
    </w:p>
    <w:p w14:paraId="1ECBDB0C" w14:textId="77777777" w:rsidR="00E93F58" w:rsidRPr="00D97EFB" w:rsidRDefault="00E93F58" w:rsidP="00653141">
      <w:pPr>
        <w:pStyle w:val="ActHead5"/>
      </w:pPr>
      <w:bookmarkStart w:id="2988" w:name="_Toc151994773"/>
      <w:bookmarkStart w:id="2989" w:name="_Toc158713283"/>
      <w:r w:rsidRPr="000D40D5">
        <w:rPr>
          <w:rStyle w:val="CharSectno"/>
        </w:rPr>
        <w:t>10.34.01</w:t>
      </w:r>
      <w:r w:rsidRPr="00D97EFB">
        <w:t xml:space="preserve">  Application—claims for compensation payable out of the NGF</w:t>
      </w:r>
      <w:bookmarkEnd w:id="2988"/>
      <w:bookmarkEnd w:id="2989"/>
    </w:p>
    <w:p w14:paraId="0D9F1595" w14:textId="77777777" w:rsidR="00E93F58" w:rsidRPr="00D97EFB" w:rsidRDefault="00E93F58" w:rsidP="00653141">
      <w:pPr>
        <w:pStyle w:val="subsection"/>
      </w:pPr>
      <w:r w:rsidRPr="00D97EFB">
        <w:tab/>
      </w:r>
      <w:r w:rsidRPr="00D97EFB">
        <w:tab/>
        <w:t xml:space="preserve">The amendments made by Schedule 1 to the </w:t>
      </w:r>
      <w:r w:rsidRPr="00D97EFB">
        <w:rPr>
          <w:i/>
        </w:rPr>
        <w:t xml:space="preserve">Corporations Amendment (National Guarantee Fund Payments) </w:t>
      </w:r>
      <w:r>
        <w:rPr>
          <w:i/>
        </w:rPr>
        <w:t>Regulations 2</w:t>
      </w:r>
      <w:r w:rsidRPr="00D97EFB">
        <w:rPr>
          <w:i/>
        </w:rPr>
        <w:t>019</w:t>
      </w:r>
      <w:r w:rsidRPr="00D97EFB">
        <w:t xml:space="preserve"> apply in relation to a claim made by a claimant if the claimant’s entitlement to make the claim under Subdivision 4.3, 4.7, 4.8 or 4.9 arises on or after the commencement of that Schedule.</w:t>
      </w:r>
    </w:p>
    <w:p w14:paraId="2B0BADC7" w14:textId="77777777" w:rsidR="00E93F58" w:rsidRPr="00D97EFB" w:rsidRDefault="00E93F58" w:rsidP="007B6880">
      <w:pPr>
        <w:pStyle w:val="ActHead2"/>
        <w:pageBreakBefore/>
      </w:pPr>
      <w:bookmarkStart w:id="2990" w:name="_Toc151994774"/>
      <w:bookmarkStart w:id="2991" w:name="_Toc158713284"/>
      <w:r w:rsidRPr="000D40D5">
        <w:rPr>
          <w:rStyle w:val="CharPartNo"/>
        </w:rPr>
        <w:lastRenderedPageBreak/>
        <w:t>Part 10.35</w:t>
      </w:r>
      <w:r w:rsidRPr="00D97EFB">
        <w:t>—</w:t>
      </w:r>
      <w:r w:rsidRPr="000D40D5">
        <w:rPr>
          <w:rStyle w:val="CharPartText"/>
        </w:rPr>
        <w:t>Application provisions relating to the Corporations Amendment (Portfolio Holdings Disclosure) Regulations 2021</w:t>
      </w:r>
      <w:bookmarkEnd w:id="2990"/>
      <w:bookmarkEnd w:id="2991"/>
    </w:p>
    <w:p w14:paraId="7A166B0E" w14:textId="77777777" w:rsidR="00E93F58" w:rsidRPr="00D97EFB" w:rsidRDefault="00E93F58" w:rsidP="00623396">
      <w:pPr>
        <w:pStyle w:val="Header"/>
      </w:pPr>
      <w:r w:rsidRPr="000D40D5">
        <w:rPr>
          <w:rStyle w:val="CharDivNo"/>
        </w:rPr>
        <w:t xml:space="preserve"> </w:t>
      </w:r>
      <w:r w:rsidRPr="000D40D5">
        <w:rPr>
          <w:rStyle w:val="CharDivText"/>
        </w:rPr>
        <w:t xml:space="preserve"> </w:t>
      </w:r>
    </w:p>
    <w:p w14:paraId="4915E807" w14:textId="77777777" w:rsidR="00E93F58" w:rsidRPr="00D97EFB" w:rsidRDefault="00E93F58" w:rsidP="00623396">
      <w:pPr>
        <w:pStyle w:val="ActHead5"/>
      </w:pPr>
      <w:bookmarkStart w:id="2992" w:name="_Toc151994775"/>
      <w:bookmarkStart w:id="2993" w:name="_Toc158713285"/>
      <w:r w:rsidRPr="000D40D5">
        <w:rPr>
          <w:rStyle w:val="CharSectno"/>
        </w:rPr>
        <w:t>10.35.01</w:t>
      </w:r>
      <w:r w:rsidRPr="00D97EFB">
        <w:t xml:space="preserve">  Application of amendments relating to portfolio holdings disclosure</w:t>
      </w:r>
      <w:bookmarkEnd w:id="2992"/>
      <w:bookmarkEnd w:id="2993"/>
    </w:p>
    <w:p w14:paraId="68733CC4" w14:textId="77777777" w:rsidR="00E93F58" w:rsidRPr="00D97EFB" w:rsidRDefault="00E93F58" w:rsidP="00623396">
      <w:pPr>
        <w:pStyle w:val="Subitem"/>
      </w:pPr>
      <w:r w:rsidRPr="00D97EFB">
        <w:tab/>
        <w:t xml:space="preserve">The amendments made by Schedule 1 to the </w:t>
      </w:r>
      <w:r w:rsidRPr="00D97EFB">
        <w:rPr>
          <w:i/>
          <w:lang w:eastAsia="en-US"/>
        </w:rPr>
        <w:t xml:space="preserve">Corporations Amendment (Portfolio Holdings Disclosure) </w:t>
      </w:r>
      <w:r>
        <w:rPr>
          <w:i/>
          <w:lang w:eastAsia="en-US"/>
        </w:rPr>
        <w:t>Regulations 2</w:t>
      </w:r>
      <w:r w:rsidRPr="00D97EFB">
        <w:rPr>
          <w:i/>
          <w:lang w:eastAsia="en-US"/>
        </w:rPr>
        <w:t>021</w:t>
      </w:r>
      <w:r w:rsidRPr="00D97EFB">
        <w:t xml:space="preserve"> apply in relation to reporting days that occur on or after the later of:</w:t>
      </w:r>
    </w:p>
    <w:p w14:paraId="27EF1E72" w14:textId="77777777" w:rsidR="00E93F58" w:rsidRPr="00D97EFB" w:rsidRDefault="00E93F58" w:rsidP="00623396">
      <w:pPr>
        <w:pStyle w:val="paragraph"/>
      </w:pPr>
      <w:r w:rsidRPr="00D97EFB">
        <w:tab/>
        <w:t>(a)</w:t>
      </w:r>
      <w:r w:rsidRPr="00D97EFB">
        <w:tab/>
        <w:t>31 December 2021; and</w:t>
      </w:r>
    </w:p>
    <w:p w14:paraId="1B6FBCD4" w14:textId="77777777" w:rsidR="00E93F58" w:rsidRPr="00D97EFB" w:rsidRDefault="00E93F58" w:rsidP="00623396">
      <w:pPr>
        <w:pStyle w:val="paragraph"/>
      </w:pPr>
      <w:r w:rsidRPr="00D97EFB">
        <w:tab/>
        <w:t>(b)</w:t>
      </w:r>
      <w:r w:rsidRPr="00D97EFB">
        <w:tab/>
        <w:t>the commencement of that Schedule.</w:t>
      </w:r>
    </w:p>
    <w:p w14:paraId="28ABDA72" w14:textId="77777777" w:rsidR="00E93F58" w:rsidRPr="00D97EFB" w:rsidRDefault="00E93F58" w:rsidP="00D519B1">
      <w:pPr>
        <w:pStyle w:val="ActHead2"/>
        <w:pageBreakBefore/>
      </w:pPr>
      <w:bookmarkStart w:id="2994" w:name="_Toc151994776"/>
      <w:bookmarkStart w:id="2995" w:name="_Toc158713286"/>
      <w:r w:rsidRPr="000D40D5">
        <w:rPr>
          <w:rStyle w:val="CharPartNo"/>
        </w:rPr>
        <w:lastRenderedPageBreak/>
        <w:t>Part 10.37</w:t>
      </w:r>
      <w:r w:rsidRPr="00D97EFB">
        <w:t>—</w:t>
      </w:r>
      <w:r w:rsidRPr="000D40D5">
        <w:rPr>
          <w:rStyle w:val="CharPartText"/>
        </w:rPr>
        <w:t>Application provisions relating to the Treasury Laws Amendment (Financial Services Improved Consumer Protection) (Funeral Expenses Facilities) Regulations 2019</w:t>
      </w:r>
      <w:bookmarkEnd w:id="2994"/>
      <w:bookmarkEnd w:id="2995"/>
    </w:p>
    <w:p w14:paraId="63E8218D" w14:textId="77777777" w:rsidR="00E93F58" w:rsidRPr="00D97EFB" w:rsidRDefault="00E93F58" w:rsidP="00FB3681">
      <w:pPr>
        <w:pStyle w:val="Header"/>
      </w:pPr>
      <w:r w:rsidRPr="000D40D5">
        <w:rPr>
          <w:rStyle w:val="CharDivNo"/>
        </w:rPr>
        <w:t xml:space="preserve"> </w:t>
      </w:r>
      <w:r w:rsidRPr="000D40D5">
        <w:rPr>
          <w:rStyle w:val="CharDivText"/>
        </w:rPr>
        <w:t xml:space="preserve"> </w:t>
      </w:r>
    </w:p>
    <w:p w14:paraId="5B5C0BC4" w14:textId="77777777" w:rsidR="00E93F58" w:rsidRPr="00D97EFB" w:rsidRDefault="00E93F58" w:rsidP="00FB3681">
      <w:pPr>
        <w:pStyle w:val="ActHead5"/>
      </w:pPr>
      <w:bookmarkStart w:id="2996" w:name="_Toc151994777"/>
      <w:bookmarkStart w:id="2997" w:name="_Toc158713287"/>
      <w:r w:rsidRPr="000D40D5">
        <w:rPr>
          <w:rStyle w:val="CharSectno"/>
        </w:rPr>
        <w:t>10.37.01</w:t>
      </w:r>
      <w:r w:rsidRPr="00D97EFB">
        <w:t xml:space="preserve">  Application of amendment relating to funeral expenses policies</w:t>
      </w:r>
      <w:bookmarkEnd w:id="2996"/>
      <w:bookmarkEnd w:id="2997"/>
    </w:p>
    <w:p w14:paraId="753C4D78" w14:textId="77777777" w:rsidR="00E93F58" w:rsidRPr="00D97EFB" w:rsidRDefault="00E93F58" w:rsidP="00FB3681">
      <w:pPr>
        <w:pStyle w:val="subsection"/>
      </w:pPr>
      <w:r w:rsidRPr="00D97EFB">
        <w:tab/>
      </w:r>
      <w:r w:rsidRPr="00D97EFB">
        <w:tab/>
        <w:t xml:space="preserve">Despite the repeal of regulation 7.1.07D by item 2 of Schedule 1 to the </w:t>
      </w:r>
      <w:r w:rsidRPr="00D97EFB">
        <w:rPr>
          <w:i/>
        </w:rPr>
        <w:t xml:space="preserve">Treasury Laws Amendment (Financial Services Improved Consumer Protection) (Funeral Expenses Facilities) </w:t>
      </w:r>
      <w:r>
        <w:rPr>
          <w:i/>
        </w:rPr>
        <w:t>Regulations 2</w:t>
      </w:r>
      <w:r w:rsidRPr="00D97EFB">
        <w:rPr>
          <w:i/>
        </w:rPr>
        <w:t>019</w:t>
      </w:r>
      <w:r w:rsidRPr="00D97EFB">
        <w:t>, that regulation, as in force immediately before 1 April 2020, continues to apply on and after that day in relation to a funeral expenses policy (as defined in subregulation 7.1.07D(2)) if:</w:t>
      </w:r>
    </w:p>
    <w:p w14:paraId="2574EAAF" w14:textId="77777777" w:rsidR="00E93F58" w:rsidRPr="00D97EFB" w:rsidRDefault="00E93F58" w:rsidP="00FB3681">
      <w:pPr>
        <w:pStyle w:val="paragraph"/>
      </w:pPr>
      <w:r w:rsidRPr="00D97EFB">
        <w:tab/>
        <w:t>(a)</w:t>
      </w:r>
      <w:r w:rsidRPr="00D97EFB">
        <w:tab/>
        <w:t xml:space="preserve">for a funeral expenses policy entered into with a person who is a financial services licensee immediately before 1 April 2020—the funeral expenses policy is entered into before </w:t>
      </w:r>
      <w:r>
        <w:t>1 January</w:t>
      </w:r>
      <w:r w:rsidRPr="00D97EFB">
        <w:t xml:space="preserve"> 2021; or</w:t>
      </w:r>
    </w:p>
    <w:p w14:paraId="115BF93E" w14:textId="77777777" w:rsidR="00E93F58" w:rsidRPr="00D97EFB" w:rsidRDefault="00E93F58" w:rsidP="00FB3681">
      <w:pPr>
        <w:pStyle w:val="paragraph"/>
      </w:pPr>
      <w:r w:rsidRPr="00D97EFB">
        <w:tab/>
        <w:t>(b)</w:t>
      </w:r>
      <w:r w:rsidRPr="00D97EFB">
        <w:tab/>
        <w:t>for any other case—the funeral expenses policy is entered into before 1 April 2020.</w:t>
      </w:r>
    </w:p>
    <w:p w14:paraId="107585CF" w14:textId="77777777" w:rsidR="00E93F58" w:rsidRPr="00D97EFB" w:rsidRDefault="00E93F58" w:rsidP="00FB3681">
      <w:pPr>
        <w:pStyle w:val="notetext"/>
      </w:pPr>
      <w:r w:rsidRPr="00D97EFB">
        <w:t>Note:</w:t>
      </w:r>
      <w:r w:rsidRPr="00D97EFB">
        <w:tab/>
        <w:t>Regulation 7.1.07D (as in force before its repeal) provided that a funeral expenses policy is not a financial product.</w:t>
      </w:r>
    </w:p>
    <w:p w14:paraId="079B1837" w14:textId="77777777" w:rsidR="00E93F58" w:rsidRPr="00D97EFB" w:rsidRDefault="00E93F58" w:rsidP="00436FD8">
      <w:pPr>
        <w:pStyle w:val="ActHead2"/>
        <w:pageBreakBefore/>
      </w:pPr>
      <w:bookmarkStart w:id="2998" w:name="_Toc151994778"/>
      <w:bookmarkStart w:id="2999" w:name="_Toc158713288"/>
      <w:r w:rsidRPr="000D40D5">
        <w:rPr>
          <w:rStyle w:val="CharPartNo"/>
        </w:rPr>
        <w:lastRenderedPageBreak/>
        <w:t>Part 10.38</w:t>
      </w:r>
      <w:r w:rsidRPr="00D97EFB">
        <w:t>—</w:t>
      </w:r>
      <w:r w:rsidRPr="000D40D5">
        <w:rPr>
          <w:rStyle w:val="CharPartText"/>
        </w:rPr>
        <w:t>Application provisions relating to the Corporations Amendment (Litigation Funding) Regulations 2020</w:t>
      </w:r>
      <w:bookmarkEnd w:id="2998"/>
      <w:bookmarkEnd w:id="2999"/>
    </w:p>
    <w:p w14:paraId="63FCAA6E" w14:textId="77777777" w:rsidR="00E93F58" w:rsidRPr="00D97EFB" w:rsidRDefault="00E93F58" w:rsidP="005E0BD1">
      <w:pPr>
        <w:pStyle w:val="Header"/>
      </w:pPr>
      <w:r w:rsidRPr="000D40D5">
        <w:rPr>
          <w:rStyle w:val="CharDivNo"/>
        </w:rPr>
        <w:t xml:space="preserve"> </w:t>
      </w:r>
      <w:r w:rsidRPr="000D40D5">
        <w:rPr>
          <w:rStyle w:val="CharDivText"/>
        </w:rPr>
        <w:t xml:space="preserve"> </w:t>
      </w:r>
    </w:p>
    <w:p w14:paraId="6F231D7E" w14:textId="77777777" w:rsidR="00E93F58" w:rsidRPr="00D97EFB" w:rsidRDefault="00E93F58" w:rsidP="005E0BD1">
      <w:pPr>
        <w:pStyle w:val="ActHead5"/>
      </w:pPr>
      <w:bookmarkStart w:id="3000" w:name="_Toc151994779"/>
      <w:bookmarkStart w:id="3001" w:name="_Toc158713289"/>
      <w:r w:rsidRPr="000D40D5">
        <w:rPr>
          <w:rStyle w:val="CharSectno"/>
        </w:rPr>
        <w:t>10.38.01</w:t>
      </w:r>
      <w:r w:rsidRPr="00D97EFB">
        <w:t xml:space="preserve">  Application of amendments relating to litigation funding</w:t>
      </w:r>
      <w:bookmarkEnd w:id="3000"/>
      <w:bookmarkEnd w:id="3001"/>
    </w:p>
    <w:p w14:paraId="312F5B51" w14:textId="77777777" w:rsidR="00E93F58" w:rsidRPr="00D97EFB" w:rsidRDefault="00E93F58" w:rsidP="005E0BD1">
      <w:pPr>
        <w:pStyle w:val="subsection"/>
      </w:pPr>
      <w:r w:rsidRPr="00D97EFB">
        <w:tab/>
        <w:t>(1)</w:t>
      </w:r>
      <w:r w:rsidRPr="00D97EFB">
        <w:tab/>
        <w:t xml:space="preserve">The amendments made by the </w:t>
      </w:r>
      <w:r w:rsidRPr="00D97EFB">
        <w:rPr>
          <w:i/>
        </w:rPr>
        <w:t xml:space="preserve">Corporations Amendment (Litigation Funding) </w:t>
      </w:r>
      <w:r>
        <w:rPr>
          <w:i/>
        </w:rPr>
        <w:t>Regulations 2</w:t>
      </w:r>
      <w:r w:rsidRPr="00D97EFB">
        <w:rPr>
          <w:i/>
        </w:rPr>
        <w:t>020</w:t>
      </w:r>
      <w:r w:rsidRPr="00D97EFB">
        <w:t xml:space="preserve"> apply in relation to litigation funding schemes, insolvency litigation funding schemes and litigation funding arrangements</w:t>
      </w:r>
      <w:r w:rsidRPr="00D97EFB">
        <w:rPr>
          <w:i/>
        </w:rPr>
        <w:t xml:space="preserve"> </w:t>
      </w:r>
      <w:r w:rsidRPr="00D97EFB">
        <w:t>entered into on or after 22 August 2020.</w:t>
      </w:r>
    </w:p>
    <w:p w14:paraId="00CF05AD" w14:textId="77777777" w:rsidR="00E93F58" w:rsidRPr="00D97EFB" w:rsidRDefault="00E93F58" w:rsidP="005E0BD1">
      <w:pPr>
        <w:pStyle w:val="subsection"/>
      </w:pPr>
      <w:r w:rsidRPr="00D97EFB">
        <w:tab/>
        <w:t>(2)</w:t>
      </w:r>
      <w:r w:rsidRPr="00D97EFB">
        <w:tab/>
        <w:t>In this regulation:</w:t>
      </w:r>
    </w:p>
    <w:p w14:paraId="211969C2" w14:textId="77777777" w:rsidR="00E93F58" w:rsidRPr="00D97EFB" w:rsidRDefault="00E93F58" w:rsidP="005E0BD1">
      <w:pPr>
        <w:pStyle w:val="Definition"/>
      </w:pPr>
      <w:r w:rsidRPr="00D97EFB">
        <w:rPr>
          <w:b/>
          <w:i/>
        </w:rPr>
        <w:t xml:space="preserve">insolvency litigation funding scheme </w:t>
      </w:r>
      <w:r w:rsidRPr="00D97EFB">
        <w:t>means an insolvency litigation funding scheme mentioned in regulation 5C.11.01 (as in force on 22 August 2020).</w:t>
      </w:r>
    </w:p>
    <w:p w14:paraId="66FAFBE3" w14:textId="77777777" w:rsidR="00E93F58" w:rsidRPr="00D97EFB" w:rsidRDefault="00E93F58" w:rsidP="005E0BD1">
      <w:pPr>
        <w:pStyle w:val="Definition"/>
      </w:pPr>
      <w:r w:rsidRPr="00D97EFB">
        <w:rPr>
          <w:b/>
          <w:i/>
        </w:rPr>
        <w:t xml:space="preserve">litigation funding arrangement </w:t>
      </w:r>
      <w:r w:rsidRPr="00D97EFB">
        <w:t>means a litigation funding arrangement mentioned in regulation 5C.11.01 (as in force on 22 August 2020).</w:t>
      </w:r>
    </w:p>
    <w:p w14:paraId="459E1296" w14:textId="77777777" w:rsidR="00E93F58" w:rsidRPr="00D97EFB" w:rsidRDefault="00E93F58" w:rsidP="005E0BD1">
      <w:pPr>
        <w:pStyle w:val="Definition"/>
      </w:pPr>
      <w:r w:rsidRPr="00D97EFB">
        <w:rPr>
          <w:b/>
          <w:i/>
        </w:rPr>
        <w:t>litigation funding scheme</w:t>
      </w:r>
      <w:r w:rsidRPr="00D97EFB">
        <w:t xml:space="preserve"> means a litigation funding scheme mentioned in subregulation 7.1.04N(3) (as in force on 22 August 2020).</w:t>
      </w:r>
    </w:p>
    <w:p w14:paraId="5C3BE1DA" w14:textId="77777777" w:rsidR="00E93F58" w:rsidRPr="00D97EFB" w:rsidRDefault="00E93F58" w:rsidP="00B9602D">
      <w:pPr>
        <w:pStyle w:val="ActHead2"/>
        <w:pageBreakBefore/>
      </w:pPr>
      <w:bookmarkStart w:id="3002" w:name="_Toc151994780"/>
      <w:bookmarkStart w:id="3003" w:name="_Toc158713290"/>
      <w:r w:rsidRPr="000D40D5">
        <w:rPr>
          <w:rStyle w:val="CharPartNo"/>
        </w:rPr>
        <w:lastRenderedPageBreak/>
        <w:t>Part 10.39</w:t>
      </w:r>
      <w:r w:rsidRPr="00D97EFB">
        <w:t>—</w:t>
      </w:r>
      <w:r w:rsidRPr="000D40D5">
        <w:rPr>
          <w:rStyle w:val="CharPartText"/>
        </w:rPr>
        <w:t>Application provisions for the Financial Sector Reform (Hayne Royal Commission Response) (Hawking of Financial Products) Regulations 2021</w:t>
      </w:r>
      <w:bookmarkEnd w:id="3002"/>
      <w:bookmarkEnd w:id="3003"/>
    </w:p>
    <w:p w14:paraId="00544E7A" w14:textId="77777777" w:rsidR="00E93F58" w:rsidRPr="00D97EFB" w:rsidRDefault="00E93F58" w:rsidP="0005606B">
      <w:pPr>
        <w:pStyle w:val="Header"/>
      </w:pPr>
      <w:r w:rsidRPr="000D40D5">
        <w:rPr>
          <w:rStyle w:val="CharDivNo"/>
        </w:rPr>
        <w:t xml:space="preserve"> </w:t>
      </w:r>
      <w:r w:rsidRPr="000D40D5">
        <w:rPr>
          <w:rStyle w:val="CharDivText"/>
        </w:rPr>
        <w:t xml:space="preserve"> </w:t>
      </w:r>
    </w:p>
    <w:p w14:paraId="3D534F79" w14:textId="77777777" w:rsidR="00E93F58" w:rsidRPr="00D97EFB" w:rsidRDefault="00E93F58" w:rsidP="0005606B">
      <w:pPr>
        <w:pStyle w:val="ActHead5"/>
      </w:pPr>
      <w:bookmarkStart w:id="3004" w:name="_Toc151994781"/>
      <w:bookmarkStart w:id="3005" w:name="_Toc158713291"/>
      <w:r w:rsidRPr="000D40D5">
        <w:rPr>
          <w:rStyle w:val="CharSectno"/>
        </w:rPr>
        <w:t>10.39.01</w:t>
      </w:r>
      <w:r w:rsidRPr="00D97EFB">
        <w:t xml:space="preserve">  Right of return and refund for hawked financial products</w:t>
      </w:r>
      <w:bookmarkEnd w:id="3004"/>
      <w:bookmarkEnd w:id="3005"/>
    </w:p>
    <w:p w14:paraId="401CB4CB" w14:textId="77777777" w:rsidR="00E93F58" w:rsidRPr="00D97EFB" w:rsidRDefault="00E93F58" w:rsidP="0005606B">
      <w:pPr>
        <w:pStyle w:val="subsection"/>
      </w:pPr>
      <w:r w:rsidRPr="00D97EFB">
        <w:tab/>
        <w:t>(1)</w:t>
      </w:r>
      <w:r w:rsidRPr="00D97EFB">
        <w:tab/>
        <w:t xml:space="preserve">Regulations 7.8.23 and 7.8.25, as in force immediately before the commencement of Schedule 1 to the </w:t>
      </w:r>
      <w:r w:rsidRPr="00D97EFB">
        <w:rPr>
          <w:i/>
        </w:rPr>
        <w:t xml:space="preserve">Financial Sector Reform (Hayne Royal Commission Response) (Hawking of Financial Products) </w:t>
      </w:r>
      <w:r>
        <w:rPr>
          <w:i/>
        </w:rPr>
        <w:t>Regulations 2</w:t>
      </w:r>
      <w:r w:rsidRPr="00D97EFB">
        <w:rPr>
          <w:i/>
        </w:rPr>
        <w:t>021</w:t>
      </w:r>
      <w:r w:rsidRPr="00D97EFB">
        <w:t>, continue in force after that commencement as if they had been made for the purposes of paragraph 992AA(2)(c) of the Act.</w:t>
      </w:r>
    </w:p>
    <w:p w14:paraId="28509DD3" w14:textId="77777777" w:rsidR="00E93F58" w:rsidRPr="00D97EFB" w:rsidRDefault="00E93F58" w:rsidP="0005606B">
      <w:pPr>
        <w:pStyle w:val="subsection"/>
      </w:pPr>
      <w:r w:rsidRPr="00D97EFB">
        <w:tab/>
        <w:t>(2)</w:t>
      </w:r>
      <w:r w:rsidRPr="00D97EFB">
        <w:tab/>
        <w:t xml:space="preserve">Regulation 7.8.24, as in force immediately before the commencement of Schedule 1 to the </w:t>
      </w:r>
      <w:r w:rsidRPr="00D97EFB">
        <w:rPr>
          <w:i/>
        </w:rPr>
        <w:t xml:space="preserve">Financial Sector Reform (Hayne Royal Commission Response) (Hawking of Financial Products) </w:t>
      </w:r>
      <w:r>
        <w:rPr>
          <w:i/>
        </w:rPr>
        <w:t>Regulations 2</w:t>
      </w:r>
      <w:r w:rsidRPr="00D97EFB">
        <w:rPr>
          <w:i/>
        </w:rPr>
        <w:t>021</w:t>
      </w:r>
      <w:r w:rsidRPr="00D97EFB">
        <w:t>, continues in force after that commencement as if it had been made for the purposes of paragraph 992AA(3)(a) of the Act.</w:t>
      </w:r>
    </w:p>
    <w:p w14:paraId="37C36578" w14:textId="77777777" w:rsidR="00E93F58" w:rsidRPr="00D97EFB" w:rsidRDefault="00E93F58" w:rsidP="00F80AE9">
      <w:pPr>
        <w:pStyle w:val="ActHead2"/>
        <w:pageBreakBefore/>
      </w:pPr>
      <w:bookmarkStart w:id="3006" w:name="_Toc151994782"/>
      <w:bookmarkStart w:id="3007" w:name="_Toc158713292"/>
      <w:r w:rsidRPr="000D40D5">
        <w:rPr>
          <w:rStyle w:val="CharPartNo"/>
        </w:rPr>
        <w:lastRenderedPageBreak/>
        <w:t>Part 10.40</w:t>
      </w:r>
      <w:r w:rsidRPr="00D97EFB">
        <w:t>—</w:t>
      </w:r>
      <w:r w:rsidRPr="000D40D5">
        <w:rPr>
          <w:rStyle w:val="CharPartText"/>
        </w:rPr>
        <w:t>Application provisions relating to the Financial Sector Reform (Hayne Royal Commission Response) (Regulation of Superannuation) Regulations 2020</w:t>
      </w:r>
      <w:bookmarkEnd w:id="3006"/>
      <w:bookmarkEnd w:id="3007"/>
    </w:p>
    <w:p w14:paraId="5E1880D0" w14:textId="77777777" w:rsidR="00E93F58" w:rsidRPr="00D97EFB" w:rsidRDefault="00E93F58" w:rsidP="00B92A18">
      <w:pPr>
        <w:pStyle w:val="Header"/>
      </w:pPr>
      <w:r w:rsidRPr="000D40D5">
        <w:rPr>
          <w:rStyle w:val="CharDivNo"/>
        </w:rPr>
        <w:t xml:space="preserve"> </w:t>
      </w:r>
      <w:r w:rsidRPr="000D40D5">
        <w:rPr>
          <w:rStyle w:val="CharDivText"/>
        </w:rPr>
        <w:t xml:space="preserve"> </w:t>
      </w:r>
    </w:p>
    <w:p w14:paraId="6D128BB1" w14:textId="77777777" w:rsidR="00E93F58" w:rsidRPr="00D97EFB" w:rsidRDefault="00E93F58" w:rsidP="00B92A18">
      <w:pPr>
        <w:pStyle w:val="ActHead5"/>
      </w:pPr>
      <w:bookmarkStart w:id="3008" w:name="_Toc151994783"/>
      <w:bookmarkStart w:id="3009" w:name="_Toc158713293"/>
      <w:r w:rsidRPr="000D40D5">
        <w:rPr>
          <w:rStyle w:val="CharSectno"/>
        </w:rPr>
        <w:t>10.40.01</w:t>
      </w:r>
      <w:r w:rsidRPr="00D97EFB">
        <w:t xml:space="preserve">  Definitions</w:t>
      </w:r>
      <w:bookmarkEnd w:id="3008"/>
      <w:bookmarkEnd w:id="3009"/>
    </w:p>
    <w:p w14:paraId="7B860739" w14:textId="77777777" w:rsidR="00E93F58" w:rsidRPr="00D97EFB" w:rsidRDefault="00E93F58" w:rsidP="00B92A18">
      <w:pPr>
        <w:pStyle w:val="subsection"/>
      </w:pPr>
      <w:r w:rsidRPr="00D97EFB">
        <w:tab/>
      </w:r>
      <w:r w:rsidRPr="00D97EFB">
        <w:tab/>
        <w:t>In this Part:</w:t>
      </w:r>
    </w:p>
    <w:p w14:paraId="5FD014B5" w14:textId="77777777" w:rsidR="00E93F58" w:rsidRPr="00D97EFB" w:rsidRDefault="00E93F58" w:rsidP="00B92A18">
      <w:pPr>
        <w:pStyle w:val="Definition"/>
      </w:pPr>
      <w:r w:rsidRPr="00D97EFB">
        <w:rPr>
          <w:b/>
          <w:i/>
        </w:rPr>
        <w:t>amending regulations</w:t>
      </w:r>
      <w:r w:rsidRPr="00D97EFB">
        <w:t xml:space="preserve"> means the </w:t>
      </w:r>
      <w:r w:rsidRPr="00D97EFB">
        <w:rPr>
          <w:i/>
        </w:rPr>
        <w:t xml:space="preserve">Financial Sector Reform (Hayne Royal Commission Response) (Regulation of Superannuation) </w:t>
      </w:r>
      <w:r>
        <w:rPr>
          <w:i/>
        </w:rPr>
        <w:t>Regulations 2</w:t>
      </w:r>
      <w:r w:rsidRPr="00D97EFB">
        <w:rPr>
          <w:i/>
        </w:rPr>
        <w:t>020</w:t>
      </w:r>
      <w:r w:rsidRPr="00D97EFB">
        <w:t>.</w:t>
      </w:r>
    </w:p>
    <w:p w14:paraId="4CB75F76" w14:textId="77777777" w:rsidR="00E93F58" w:rsidRPr="00D97EFB" w:rsidRDefault="00E93F58" w:rsidP="00B92A18">
      <w:pPr>
        <w:pStyle w:val="Definition"/>
      </w:pPr>
      <w:r w:rsidRPr="00D97EFB">
        <w:rPr>
          <w:b/>
          <w:i/>
        </w:rPr>
        <w:t>commencement day</w:t>
      </w:r>
      <w:r w:rsidRPr="00D97EFB">
        <w:t xml:space="preserve"> means the day on which Part 2 of Schedule 1 of the amending regulations commences.</w:t>
      </w:r>
    </w:p>
    <w:p w14:paraId="31D60770" w14:textId="77777777" w:rsidR="00E93F58" w:rsidRPr="00D97EFB" w:rsidRDefault="00E93F58" w:rsidP="00B92A18">
      <w:pPr>
        <w:pStyle w:val="ActHead5"/>
      </w:pPr>
      <w:bookmarkStart w:id="3010" w:name="_Toc151994784"/>
      <w:bookmarkStart w:id="3011" w:name="_Toc158713294"/>
      <w:r w:rsidRPr="000D40D5">
        <w:rPr>
          <w:rStyle w:val="CharSectno"/>
        </w:rPr>
        <w:t>10.40.02</w:t>
      </w:r>
      <w:r w:rsidRPr="00D97EFB">
        <w:t xml:space="preserve">  Transitional provision relating to non</w:t>
      </w:r>
      <w:r>
        <w:noBreakHyphen/>
      </w:r>
      <w:r w:rsidRPr="00D97EFB">
        <w:t>public offer funds</w:t>
      </w:r>
      <w:bookmarkEnd w:id="3010"/>
      <w:bookmarkEnd w:id="3011"/>
    </w:p>
    <w:p w14:paraId="7AE817CB" w14:textId="77777777" w:rsidR="00E93F58" w:rsidRPr="00D97EFB" w:rsidRDefault="00E93F58" w:rsidP="00B92A18">
      <w:pPr>
        <w:pStyle w:val="subsection"/>
      </w:pPr>
      <w:r w:rsidRPr="00D97EFB">
        <w:tab/>
        <w:t>(1)</w:t>
      </w:r>
      <w:r w:rsidRPr="00D97EFB">
        <w:tab/>
        <w:t>This regulation applies if:</w:t>
      </w:r>
    </w:p>
    <w:p w14:paraId="34E5CB38" w14:textId="77777777" w:rsidR="00E93F58" w:rsidRPr="00D97EFB" w:rsidRDefault="00E93F58" w:rsidP="00B92A18">
      <w:pPr>
        <w:pStyle w:val="paragraph"/>
      </w:pPr>
      <w:r w:rsidRPr="00D97EFB">
        <w:tab/>
        <w:t>(a)</w:t>
      </w:r>
      <w:r w:rsidRPr="00D97EFB">
        <w:tab/>
        <w:t>on or before 30 April 2021, a person lodges an application for an Australian financial services licence authorising the person to do either or both of the following:</w:t>
      </w:r>
    </w:p>
    <w:p w14:paraId="6EB20293" w14:textId="77777777" w:rsidR="00E93F58" w:rsidRPr="00D97EFB" w:rsidRDefault="00E93F58" w:rsidP="00B92A18">
      <w:pPr>
        <w:pStyle w:val="paragraphsub"/>
      </w:pPr>
      <w:r w:rsidRPr="00D97EFB">
        <w:tab/>
        <w:t>(i)</w:t>
      </w:r>
      <w:r w:rsidRPr="00D97EFB">
        <w:tab/>
        <w:t>deal in a financial product in the capacity of the trustee of a superannuation entity that is not a public offer entity;</w:t>
      </w:r>
    </w:p>
    <w:p w14:paraId="3E19BC6F" w14:textId="77777777" w:rsidR="00E93F58" w:rsidRPr="00D97EFB" w:rsidRDefault="00E93F58" w:rsidP="00B92A18">
      <w:pPr>
        <w:pStyle w:val="paragraphsub"/>
      </w:pPr>
      <w:r w:rsidRPr="00D97EFB">
        <w:tab/>
        <w:t>(ii)</w:t>
      </w:r>
      <w:r w:rsidRPr="00D97EFB">
        <w:tab/>
        <w:t>provide a superannuation trustee service in the capacity of the trustee of a superannuation entity that is not a public offer entity; and</w:t>
      </w:r>
    </w:p>
    <w:p w14:paraId="7C5ED20D" w14:textId="77777777" w:rsidR="00E93F58" w:rsidRPr="00D97EFB" w:rsidRDefault="00E93F58" w:rsidP="00B92A18">
      <w:pPr>
        <w:pStyle w:val="paragraph"/>
      </w:pPr>
      <w:r w:rsidRPr="00D97EFB">
        <w:tab/>
        <w:t>(b)</w:t>
      </w:r>
      <w:r w:rsidRPr="00D97EFB">
        <w:tab/>
        <w:t>the application complies with section 913A of the Act; and</w:t>
      </w:r>
    </w:p>
    <w:p w14:paraId="5CAD33DB" w14:textId="77777777" w:rsidR="00E93F58" w:rsidRPr="00D97EFB" w:rsidRDefault="00E93F58" w:rsidP="00B92A18">
      <w:pPr>
        <w:pStyle w:val="paragraph"/>
      </w:pPr>
      <w:r w:rsidRPr="00D97EFB">
        <w:tab/>
        <w:t>(c)</w:t>
      </w:r>
      <w:r w:rsidRPr="00D97EFB">
        <w:tab/>
        <w:t>on the commencement day, the application has not been withdrawn by the applicant, or dealt with by ASIC.</w:t>
      </w:r>
    </w:p>
    <w:p w14:paraId="7BAB5191" w14:textId="77777777" w:rsidR="00E93F58" w:rsidRPr="00D97EFB" w:rsidRDefault="00E93F58" w:rsidP="00B92A18">
      <w:pPr>
        <w:pStyle w:val="notetext"/>
      </w:pPr>
      <w:r w:rsidRPr="00D97EFB">
        <w:t>Note:</w:t>
      </w:r>
      <w:r w:rsidRPr="00D97EFB">
        <w:tab/>
        <w:t>ASIC may deal with the application by granting, or refusing to grant, the licence (see section 913B of the Act), or by refusing to receive the application (see subsection 1274(8) of the Act).</w:t>
      </w:r>
    </w:p>
    <w:p w14:paraId="76650EED" w14:textId="77777777" w:rsidR="00E93F58" w:rsidRPr="00D97EFB" w:rsidRDefault="00E93F58" w:rsidP="00B92A18">
      <w:pPr>
        <w:pStyle w:val="subsection"/>
      </w:pPr>
      <w:r w:rsidRPr="00D97EFB">
        <w:tab/>
        <w:t>(2)</w:t>
      </w:r>
      <w:r w:rsidRPr="00D97EFB">
        <w:tab/>
        <w:t>Paragraphs 7.6.01(1)(a) and (aa) continue to apply, despite their repeal by the amending regulations, in relation to the person during the period:</w:t>
      </w:r>
    </w:p>
    <w:p w14:paraId="1DFA7FA1" w14:textId="77777777" w:rsidR="00E93F58" w:rsidRPr="00D97EFB" w:rsidRDefault="00E93F58" w:rsidP="00B92A18">
      <w:pPr>
        <w:pStyle w:val="paragraph"/>
      </w:pPr>
      <w:r w:rsidRPr="00D97EFB">
        <w:tab/>
        <w:t>(a)</w:t>
      </w:r>
      <w:r w:rsidRPr="00D97EFB">
        <w:tab/>
        <w:t>starting on the commencement day; and</w:t>
      </w:r>
    </w:p>
    <w:p w14:paraId="2DFEFBC3" w14:textId="77777777" w:rsidR="00E93F58" w:rsidRPr="00D97EFB" w:rsidRDefault="00E93F58" w:rsidP="00B92A18">
      <w:pPr>
        <w:pStyle w:val="paragraph"/>
      </w:pPr>
      <w:r w:rsidRPr="00D97EFB">
        <w:tab/>
        <w:t>(b)</w:t>
      </w:r>
      <w:r w:rsidRPr="00D97EFB">
        <w:tab/>
        <w:t>ending when the application is withdrawn by the applicant, or dealt with by ASIC, whichever happens first.</w:t>
      </w:r>
    </w:p>
    <w:p w14:paraId="2A0D2B21" w14:textId="77777777" w:rsidR="00E93F58" w:rsidRPr="00D97EFB" w:rsidRDefault="00E93F58" w:rsidP="00DF1A75">
      <w:pPr>
        <w:pStyle w:val="ActHead2"/>
        <w:pageBreakBefore/>
      </w:pPr>
      <w:bookmarkStart w:id="3012" w:name="_Toc151994785"/>
      <w:bookmarkStart w:id="3013" w:name="_Toc158713295"/>
      <w:r w:rsidRPr="000D40D5">
        <w:rPr>
          <w:rStyle w:val="CharPartNo"/>
        </w:rPr>
        <w:lastRenderedPageBreak/>
        <w:t>Part 10.41</w:t>
      </w:r>
      <w:r w:rsidRPr="00D97EFB">
        <w:t>—</w:t>
      </w:r>
      <w:r w:rsidRPr="000D40D5">
        <w:rPr>
          <w:rStyle w:val="CharPartText"/>
        </w:rPr>
        <w:t xml:space="preserve">Application provisions relating to the </w:t>
      </w:r>
      <w:bookmarkStart w:id="3014" w:name="_Hlk76544326"/>
      <w:r w:rsidRPr="000D40D5">
        <w:rPr>
          <w:rStyle w:val="CharPartText"/>
        </w:rPr>
        <w:t>Financial Sector Reform (Hayne Royal Commission Response—Breach Reporting and Remediation) Regulations 2021</w:t>
      </w:r>
      <w:bookmarkEnd w:id="3012"/>
      <w:bookmarkEnd w:id="3013"/>
      <w:bookmarkEnd w:id="3014"/>
    </w:p>
    <w:p w14:paraId="563C48CF" w14:textId="77777777" w:rsidR="00E93F58" w:rsidRPr="00D97EFB" w:rsidRDefault="00E93F58" w:rsidP="00962BBD">
      <w:pPr>
        <w:pStyle w:val="Header"/>
      </w:pPr>
      <w:r w:rsidRPr="000D40D5">
        <w:rPr>
          <w:rStyle w:val="CharDivNo"/>
        </w:rPr>
        <w:t xml:space="preserve"> </w:t>
      </w:r>
      <w:r w:rsidRPr="000D40D5">
        <w:rPr>
          <w:rStyle w:val="CharDivText"/>
        </w:rPr>
        <w:t xml:space="preserve"> </w:t>
      </w:r>
    </w:p>
    <w:p w14:paraId="61C21366" w14:textId="77777777" w:rsidR="00E93F58" w:rsidRPr="00D97EFB" w:rsidRDefault="00E93F58" w:rsidP="00962BBD">
      <w:pPr>
        <w:pStyle w:val="ActHead5"/>
      </w:pPr>
      <w:bookmarkStart w:id="3015" w:name="_Toc151994786"/>
      <w:bookmarkStart w:id="3016" w:name="_Toc158713296"/>
      <w:r w:rsidRPr="000D40D5">
        <w:rPr>
          <w:rStyle w:val="CharSectno"/>
        </w:rPr>
        <w:t>10.41.01</w:t>
      </w:r>
      <w:r w:rsidRPr="00D97EFB">
        <w:t xml:space="preserve">  Provisions relating to continued application of section 912D of the Act</w:t>
      </w:r>
      <w:bookmarkEnd w:id="3015"/>
      <w:bookmarkEnd w:id="3016"/>
    </w:p>
    <w:p w14:paraId="6D6F26F7" w14:textId="77777777" w:rsidR="00E93F58" w:rsidRPr="00D97EFB" w:rsidRDefault="00E93F58" w:rsidP="00962BBD">
      <w:pPr>
        <w:pStyle w:val="SubsectionHead"/>
      </w:pPr>
      <w:r w:rsidRPr="00D97EFB">
        <w:t>Lodgment with ASIC</w:t>
      </w:r>
    </w:p>
    <w:p w14:paraId="5C36B5AF" w14:textId="77777777" w:rsidR="00E93F58" w:rsidRPr="00D97EFB" w:rsidRDefault="00E93F58" w:rsidP="00962BBD">
      <w:pPr>
        <w:pStyle w:val="subsection"/>
      </w:pPr>
      <w:r w:rsidRPr="00D97EFB">
        <w:tab/>
        <w:t>(1)</w:t>
      </w:r>
      <w:r w:rsidRPr="00D97EFB">
        <w:tab/>
        <w:t>Despite the repeal of paragraphs 1.0.05A(2)(b) and (c) by item 3 of the amending Schedule, those paragraphs, as in force immediately before the commencement of the amending Schedule, continue to apply in relation to reports or written notices to be given to ASIC under subsections 912D(1) and (2) of the Act (as those subsections continue to apply because of subsection 1671A(2) of the Act) as if that repeal had not happened.</w:t>
      </w:r>
    </w:p>
    <w:p w14:paraId="39E4E067" w14:textId="77777777" w:rsidR="00E93F58" w:rsidRPr="00D97EFB" w:rsidRDefault="00E93F58" w:rsidP="00962BBD">
      <w:pPr>
        <w:pStyle w:val="SubsectionHead"/>
      </w:pPr>
      <w:r w:rsidRPr="00D97EFB">
        <w:t>Obligation to notify ASIC of certain matters</w:t>
      </w:r>
    </w:p>
    <w:p w14:paraId="1C81A37D" w14:textId="77777777" w:rsidR="00E93F58" w:rsidRPr="00D97EFB" w:rsidRDefault="00E93F58" w:rsidP="00962BBD">
      <w:pPr>
        <w:pStyle w:val="subsection"/>
      </w:pPr>
      <w:r w:rsidRPr="00D97EFB">
        <w:tab/>
        <w:t>(2)</w:t>
      </w:r>
      <w:r w:rsidRPr="00D97EFB">
        <w:tab/>
        <w:t>Despite the amendment of regulation 7.6.02A by item 5 of the amending Schedule, that regulation continues to apply, for the purposes of subparagraph 912D(1)(a)(iii) of the Act (as that subparagraph continues to apply because of subsection 1671A(2) of the Act), as if that amendment had not happened.</w:t>
      </w:r>
    </w:p>
    <w:p w14:paraId="3469C49C" w14:textId="77777777" w:rsidR="00E93F58" w:rsidRPr="00D97EFB" w:rsidRDefault="00E93F58" w:rsidP="00962BBD">
      <w:pPr>
        <w:pStyle w:val="SubsectionHead"/>
      </w:pPr>
      <w:r w:rsidRPr="00D97EFB">
        <w:t>Infringement notices</w:t>
      </w:r>
    </w:p>
    <w:p w14:paraId="58A8521D" w14:textId="77777777" w:rsidR="00E93F58" w:rsidRPr="00D97EFB" w:rsidRDefault="00E93F58" w:rsidP="00962BBD">
      <w:pPr>
        <w:pStyle w:val="subsection"/>
      </w:pPr>
      <w:r w:rsidRPr="00D97EFB">
        <w:tab/>
        <w:t>(3)</w:t>
      </w:r>
      <w:r w:rsidRPr="00D97EFB">
        <w:tab/>
        <w:t>Despite the amendment of paragraph 9.4AB.01(2)(c) by item 9 of the amending Schedule, that paragraph continues to apply, in relation to alleged offences against subsection 912D(1B) or (2) of the Act (as those subsections continue to apply because of subsection 1671A(2) of the Act), as if that amendment had not happened.</w:t>
      </w:r>
    </w:p>
    <w:p w14:paraId="4C62FA47" w14:textId="77777777" w:rsidR="00E93F58" w:rsidRPr="00D97EFB" w:rsidRDefault="00E93F58" w:rsidP="00962BBD">
      <w:pPr>
        <w:pStyle w:val="SubsectionHead"/>
      </w:pPr>
      <w:r w:rsidRPr="00D97EFB">
        <w:t>Definitions</w:t>
      </w:r>
    </w:p>
    <w:p w14:paraId="0C28442C" w14:textId="77777777" w:rsidR="00E93F58" w:rsidRPr="00D97EFB" w:rsidRDefault="00E93F58" w:rsidP="00962BBD">
      <w:pPr>
        <w:pStyle w:val="subsection"/>
      </w:pPr>
      <w:r w:rsidRPr="00D97EFB">
        <w:tab/>
        <w:t>(4)</w:t>
      </w:r>
      <w:r w:rsidRPr="00D97EFB">
        <w:tab/>
        <w:t>In this regulation:</w:t>
      </w:r>
    </w:p>
    <w:p w14:paraId="7FCBFF4F" w14:textId="77777777" w:rsidR="00E93F58" w:rsidRPr="00D97EFB" w:rsidRDefault="00E93F58" w:rsidP="00962BBD">
      <w:pPr>
        <w:pStyle w:val="Definition"/>
      </w:pPr>
      <w:r w:rsidRPr="00D97EFB">
        <w:rPr>
          <w:b/>
          <w:i/>
        </w:rPr>
        <w:t xml:space="preserve">amending Schedule </w:t>
      </w:r>
      <w:r w:rsidRPr="00D97EFB">
        <w:t xml:space="preserve">means Schedule 1 to the </w:t>
      </w:r>
      <w:r w:rsidRPr="00D97EFB">
        <w:rPr>
          <w:i/>
        </w:rPr>
        <w:t xml:space="preserve">Financial Sector Reform (Hayne Royal Commission Response—Breach Reporting and Remediation) </w:t>
      </w:r>
      <w:r>
        <w:rPr>
          <w:i/>
        </w:rPr>
        <w:t>Regulations 2</w:t>
      </w:r>
      <w:r w:rsidRPr="00D97EFB">
        <w:rPr>
          <w:i/>
        </w:rPr>
        <w:t>021</w:t>
      </w:r>
      <w:r w:rsidRPr="00D97EFB">
        <w:t>.</w:t>
      </w:r>
    </w:p>
    <w:p w14:paraId="500E63CC" w14:textId="77777777" w:rsidR="00E93F58" w:rsidRPr="00D97EFB" w:rsidRDefault="00E93F58" w:rsidP="003E3D4A">
      <w:pPr>
        <w:pStyle w:val="ActHead2"/>
        <w:pageBreakBefore/>
      </w:pPr>
      <w:bookmarkStart w:id="3017" w:name="_Toc151994787"/>
      <w:bookmarkStart w:id="3018" w:name="_Toc158713297"/>
      <w:r w:rsidRPr="000D40D5">
        <w:rPr>
          <w:rStyle w:val="CharPartNo"/>
        </w:rPr>
        <w:lastRenderedPageBreak/>
        <w:t>Part 10.42</w:t>
      </w:r>
      <w:r w:rsidRPr="00D97EFB">
        <w:t>—</w:t>
      </w:r>
      <w:r w:rsidRPr="000D40D5">
        <w:rPr>
          <w:rStyle w:val="CharPartText"/>
        </w:rPr>
        <w:t>Application provisions relating to the Financial Sector Reform (Hayne Royal Commission Response) (2021 Measures No. 1) Regulations 2021</w:t>
      </w:r>
      <w:bookmarkEnd w:id="3017"/>
      <w:bookmarkEnd w:id="3018"/>
    </w:p>
    <w:p w14:paraId="53176ABD" w14:textId="77777777" w:rsidR="00E93F58" w:rsidRPr="00D97EFB" w:rsidRDefault="00E93F58" w:rsidP="00671631">
      <w:pPr>
        <w:pStyle w:val="Header"/>
      </w:pPr>
      <w:r w:rsidRPr="000D40D5">
        <w:rPr>
          <w:rStyle w:val="CharDivNo"/>
        </w:rPr>
        <w:t xml:space="preserve"> </w:t>
      </w:r>
      <w:r w:rsidRPr="000D40D5">
        <w:rPr>
          <w:rStyle w:val="CharDivText"/>
        </w:rPr>
        <w:t xml:space="preserve"> </w:t>
      </w:r>
    </w:p>
    <w:p w14:paraId="4466C880" w14:textId="77777777" w:rsidR="00E93F58" w:rsidRPr="00D97EFB" w:rsidRDefault="00E93F58" w:rsidP="00671631">
      <w:pPr>
        <w:pStyle w:val="ActHead5"/>
      </w:pPr>
      <w:bookmarkStart w:id="3019" w:name="_Toc151994788"/>
      <w:bookmarkStart w:id="3020" w:name="_Toc158713298"/>
      <w:r w:rsidRPr="000D40D5">
        <w:rPr>
          <w:rStyle w:val="CharSectno"/>
        </w:rPr>
        <w:t>10.42.01</w:t>
      </w:r>
      <w:r w:rsidRPr="00D97EFB">
        <w:t xml:space="preserve">  Application of claims handling and settling services reforms</w:t>
      </w:r>
      <w:bookmarkEnd w:id="3019"/>
      <w:bookmarkEnd w:id="3020"/>
    </w:p>
    <w:p w14:paraId="3626A94C" w14:textId="77777777" w:rsidR="00E93F58" w:rsidRPr="00D97EFB" w:rsidRDefault="00E93F58" w:rsidP="00671631">
      <w:pPr>
        <w:pStyle w:val="subsection"/>
      </w:pPr>
      <w:r w:rsidRPr="00D97EFB">
        <w:tab/>
      </w:r>
      <w:r w:rsidRPr="00D97EFB">
        <w:tab/>
        <w:t xml:space="preserve">The amendments made by Schedule 2 to the </w:t>
      </w:r>
      <w:r w:rsidRPr="00D97EFB">
        <w:rPr>
          <w:i/>
        </w:rPr>
        <w:t xml:space="preserve">Financial Sector Reform (Hayne Royal Commission Response) (2021 Measures No. 1) </w:t>
      </w:r>
      <w:r>
        <w:rPr>
          <w:i/>
        </w:rPr>
        <w:t>Regulations 2</w:t>
      </w:r>
      <w:r w:rsidRPr="00D97EFB">
        <w:rPr>
          <w:i/>
        </w:rPr>
        <w:t>021</w:t>
      </w:r>
      <w:r w:rsidRPr="00D97EFB">
        <w:t xml:space="preserve"> apply in relation to claims or potential claims in relation to an insurance product made on or after the day on which that Schedule commences.</w:t>
      </w:r>
    </w:p>
    <w:p w14:paraId="04399770" w14:textId="77777777" w:rsidR="00E93F58" w:rsidRPr="00D97EFB" w:rsidRDefault="00E93F58" w:rsidP="002C74A3">
      <w:pPr>
        <w:pStyle w:val="ActHead2"/>
        <w:pageBreakBefore/>
      </w:pPr>
      <w:bookmarkStart w:id="3021" w:name="_Toc151994789"/>
      <w:bookmarkStart w:id="3022" w:name="_Toc158713299"/>
      <w:r w:rsidRPr="000D40D5">
        <w:rPr>
          <w:rStyle w:val="CharPartNo"/>
        </w:rPr>
        <w:lastRenderedPageBreak/>
        <w:t>Part 10.43</w:t>
      </w:r>
      <w:r w:rsidRPr="00D97EFB">
        <w:t>—</w:t>
      </w:r>
      <w:r w:rsidRPr="000D40D5">
        <w:rPr>
          <w:rStyle w:val="CharPartText"/>
        </w:rPr>
        <w:t>Application provisions relating to simplified liquidation process under the Corporations Amendment (Corporate Insolvency Reforms) Regulations 2020</w:t>
      </w:r>
      <w:bookmarkEnd w:id="3021"/>
      <w:bookmarkEnd w:id="3022"/>
    </w:p>
    <w:p w14:paraId="30735A76" w14:textId="77777777" w:rsidR="00E93F58" w:rsidRPr="00D97EFB" w:rsidRDefault="00E93F58" w:rsidP="007F6B0C">
      <w:pPr>
        <w:pStyle w:val="Header"/>
      </w:pPr>
      <w:r w:rsidRPr="000D40D5">
        <w:rPr>
          <w:rStyle w:val="CharDivNo"/>
        </w:rPr>
        <w:t xml:space="preserve"> </w:t>
      </w:r>
      <w:r w:rsidRPr="000D40D5">
        <w:rPr>
          <w:rStyle w:val="CharDivText"/>
        </w:rPr>
        <w:t xml:space="preserve"> </w:t>
      </w:r>
    </w:p>
    <w:p w14:paraId="5462323D" w14:textId="77777777" w:rsidR="00E93F58" w:rsidRPr="00D97EFB" w:rsidRDefault="00E93F58" w:rsidP="007F6B0C">
      <w:pPr>
        <w:pStyle w:val="ActHead5"/>
      </w:pPr>
      <w:bookmarkStart w:id="3023" w:name="_Toc151994790"/>
      <w:bookmarkStart w:id="3024" w:name="_Toc158713300"/>
      <w:r w:rsidRPr="000D40D5">
        <w:rPr>
          <w:rStyle w:val="CharSectno"/>
        </w:rPr>
        <w:t>10.43.01</w:t>
      </w:r>
      <w:r w:rsidRPr="00D97EFB">
        <w:t xml:space="preserve">  Application of amendments relating to the simplified liquidation process</w:t>
      </w:r>
      <w:bookmarkEnd w:id="3023"/>
      <w:bookmarkEnd w:id="3024"/>
    </w:p>
    <w:p w14:paraId="562E320A" w14:textId="77777777" w:rsidR="00E93F58" w:rsidRPr="00D97EFB" w:rsidRDefault="00E93F58" w:rsidP="007F6B0C">
      <w:pPr>
        <w:pStyle w:val="subsection"/>
      </w:pPr>
      <w:r w:rsidRPr="00D97EFB">
        <w:tab/>
        <w:t>(1)</w:t>
      </w:r>
      <w:r w:rsidRPr="00D97EFB">
        <w:tab/>
        <w:t xml:space="preserve">The amendments made by Schedule 3 to the </w:t>
      </w:r>
      <w:r w:rsidRPr="00D97EFB">
        <w:rPr>
          <w:i/>
        </w:rPr>
        <w:t xml:space="preserve">Corporations Amendment (Corporate Insolvency Reforms) </w:t>
      </w:r>
      <w:r>
        <w:rPr>
          <w:i/>
        </w:rPr>
        <w:t>Regulations 2</w:t>
      </w:r>
      <w:r w:rsidRPr="00D97EFB">
        <w:rPr>
          <w:i/>
        </w:rPr>
        <w:t>020</w:t>
      </w:r>
      <w:r w:rsidRPr="00D97EFB">
        <w:t xml:space="preserve"> apply in relation to the winding up of a company because of a triggering event that occurs on or after the commencement of that Schedule.</w:t>
      </w:r>
    </w:p>
    <w:p w14:paraId="45428858" w14:textId="77777777" w:rsidR="00E93F58" w:rsidRPr="00D97EFB" w:rsidRDefault="00E93F58" w:rsidP="007F6B0C">
      <w:pPr>
        <w:pStyle w:val="subsection"/>
      </w:pPr>
      <w:r w:rsidRPr="00D97EFB">
        <w:tab/>
        <w:t>(2)</w:t>
      </w:r>
      <w:r w:rsidRPr="00D97EFB">
        <w:tab/>
        <w:t>In this regulation:</w:t>
      </w:r>
    </w:p>
    <w:p w14:paraId="2475623A" w14:textId="77777777" w:rsidR="00E93F58" w:rsidRPr="00D97EFB" w:rsidRDefault="00E93F58" w:rsidP="007F6B0C">
      <w:pPr>
        <w:pStyle w:val="Definition"/>
      </w:pPr>
      <w:r w:rsidRPr="00D97EFB">
        <w:rPr>
          <w:b/>
          <w:i/>
        </w:rPr>
        <w:t>triggering event</w:t>
      </w:r>
      <w:r w:rsidRPr="00D97EFB">
        <w:t xml:space="preserve"> has the same meaning as in section 489F of the Act (as in force on the commencement of Schedule 3 to the </w:t>
      </w:r>
      <w:r w:rsidRPr="00D97EFB">
        <w:rPr>
          <w:i/>
        </w:rPr>
        <w:t xml:space="preserve">Corporations Amendment (Corporate Insolvency Reforms) </w:t>
      </w:r>
      <w:r>
        <w:rPr>
          <w:i/>
        </w:rPr>
        <w:t>Regulations 2</w:t>
      </w:r>
      <w:r w:rsidRPr="00D97EFB">
        <w:rPr>
          <w:i/>
        </w:rPr>
        <w:t>020</w:t>
      </w:r>
      <w:r w:rsidRPr="00D97EFB">
        <w:t>).</w:t>
      </w:r>
    </w:p>
    <w:p w14:paraId="4645FEC5" w14:textId="77777777" w:rsidR="00E93F58" w:rsidRPr="00D97EFB" w:rsidRDefault="00E93F58" w:rsidP="00F80AE9">
      <w:pPr>
        <w:pStyle w:val="ActHead2"/>
        <w:pageBreakBefore/>
      </w:pPr>
      <w:bookmarkStart w:id="3025" w:name="_Toc151994791"/>
      <w:bookmarkStart w:id="3026" w:name="_Toc158713301"/>
      <w:r w:rsidRPr="000D40D5">
        <w:rPr>
          <w:rStyle w:val="CharPartNo"/>
        </w:rPr>
        <w:lastRenderedPageBreak/>
        <w:t>Part 10.45</w:t>
      </w:r>
      <w:r w:rsidRPr="00D97EFB">
        <w:t>—</w:t>
      </w:r>
      <w:r w:rsidRPr="000D40D5">
        <w:rPr>
          <w:rStyle w:val="CharPartText"/>
        </w:rPr>
        <w:t>Application provisions relating to the Corporations Amendment (Statutory Minimum) Regulations 2021</w:t>
      </w:r>
      <w:bookmarkEnd w:id="3025"/>
      <w:bookmarkEnd w:id="3026"/>
    </w:p>
    <w:p w14:paraId="064BB226" w14:textId="77777777" w:rsidR="00E93F58" w:rsidRPr="00D97EFB" w:rsidRDefault="00E93F58" w:rsidP="004E1CE4">
      <w:pPr>
        <w:pStyle w:val="Header"/>
      </w:pPr>
      <w:r w:rsidRPr="000D40D5">
        <w:rPr>
          <w:rStyle w:val="CharDivNo"/>
        </w:rPr>
        <w:t xml:space="preserve"> </w:t>
      </w:r>
      <w:r w:rsidRPr="000D40D5">
        <w:rPr>
          <w:rStyle w:val="CharDivText"/>
        </w:rPr>
        <w:t xml:space="preserve"> </w:t>
      </w:r>
    </w:p>
    <w:p w14:paraId="20FE0278" w14:textId="77777777" w:rsidR="00E93F58" w:rsidRPr="00D97EFB" w:rsidRDefault="00E93F58" w:rsidP="004E1CE4">
      <w:pPr>
        <w:pStyle w:val="ActHead5"/>
      </w:pPr>
      <w:bookmarkStart w:id="3027" w:name="_Toc151994792"/>
      <w:bookmarkStart w:id="3028" w:name="_Toc158713302"/>
      <w:r w:rsidRPr="000D40D5">
        <w:rPr>
          <w:rStyle w:val="CharSectno"/>
        </w:rPr>
        <w:t>10.45.01</w:t>
      </w:r>
      <w:r w:rsidRPr="00D97EFB">
        <w:t xml:space="preserve">  Application of amendment of paragraph 5.4.01AAA(1)(b)</w:t>
      </w:r>
      <w:bookmarkEnd w:id="3027"/>
      <w:bookmarkEnd w:id="3028"/>
    </w:p>
    <w:p w14:paraId="4BB184F1" w14:textId="77777777" w:rsidR="00E93F58" w:rsidRPr="00D97EFB" w:rsidRDefault="00E93F58" w:rsidP="004E1CE4">
      <w:pPr>
        <w:pStyle w:val="subsection"/>
        <w:rPr>
          <w:rFonts w:eastAsia="Calibri"/>
        </w:rPr>
      </w:pPr>
      <w:r w:rsidRPr="00D97EFB">
        <w:tab/>
      </w:r>
      <w:r w:rsidRPr="00D97EFB">
        <w:tab/>
        <w:t xml:space="preserve">The amendment made by item 2 of Schedule 1 to the </w:t>
      </w:r>
      <w:r w:rsidRPr="00D97EFB">
        <w:rPr>
          <w:i/>
        </w:rPr>
        <w:t xml:space="preserve">Corporations Amendment (Statutory Minimum) </w:t>
      </w:r>
      <w:r>
        <w:rPr>
          <w:i/>
        </w:rPr>
        <w:t>Regulations 2</w:t>
      </w:r>
      <w:r w:rsidRPr="00D97EFB">
        <w:rPr>
          <w:i/>
        </w:rPr>
        <w:t>021</w:t>
      </w:r>
      <w:r w:rsidRPr="00D97EFB">
        <w:t xml:space="preserve"> applies in relation to </w:t>
      </w:r>
      <w:r w:rsidRPr="00D97EFB">
        <w:rPr>
          <w:rFonts w:eastAsia="Calibri"/>
        </w:rPr>
        <w:t>statutory demands served on or after 1 July 2021.</w:t>
      </w:r>
    </w:p>
    <w:p w14:paraId="7445F919" w14:textId="77777777" w:rsidR="00E93F58" w:rsidRPr="00D97EFB" w:rsidRDefault="00E93F58" w:rsidP="00856A44">
      <w:pPr>
        <w:pStyle w:val="ActHead2"/>
        <w:pageBreakBefore/>
      </w:pPr>
      <w:bookmarkStart w:id="3029" w:name="_Toc151994793"/>
      <w:bookmarkStart w:id="3030" w:name="_Toc158713303"/>
      <w:r w:rsidRPr="000D40D5">
        <w:rPr>
          <w:rStyle w:val="CharPartNo"/>
        </w:rPr>
        <w:lastRenderedPageBreak/>
        <w:t>Part 10.47</w:t>
      </w:r>
      <w:r w:rsidRPr="00D97EFB">
        <w:t>—</w:t>
      </w:r>
      <w:r w:rsidRPr="000D40D5">
        <w:rPr>
          <w:rStyle w:val="CharPartText"/>
        </w:rPr>
        <w:t>Application provisions relating to the Corporations Amendment (Litigation Funding) Regulations 2021</w:t>
      </w:r>
      <w:bookmarkEnd w:id="3029"/>
      <w:bookmarkEnd w:id="3030"/>
    </w:p>
    <w:p w14:paraId="3B723555" w14:textId="77777777" w:rsidR="00E93F58" w:rsidRPr="00D97EFB" w:rsidRDefault="00E93F58" w:rsidP="00F225F7">
      <w:pPr>
        <w:pStyle w:val="Header"/>
      </w:pPr>
      <w:r w:rsidRPr="000D40D5">
        <w:rPr>
          <w:rStyle w:val="CharDivNo"/>
        </w:rPr>
        <w:t xml:space="preserve"> </w:t>
      </w:r>
      <w:r w:rsidRPr="000D40D5">
        <w:rPr>
          <w:rStyle w:val="CharDivText"/>
        </w:rPr>
        <w:t xml:space="preserve"> </w:t>
      </w:r>
    </w:p>
    <w:p w14:paraId="2774E475" w14:textId="77777777" w:rsidR="00E93F58" w:rsidRPr="00D97EFB" w:rsidRDefault="00E93F58" w:rsidP="00F225F7">
      <w:pPr>
        <w:pStyle w:val="ActHead5"/>
      </w:pPr>
      <w:bookmarkStart w:id="3031" w:name="_Toc151994794"/>
      <w:bookmarkStart w:id="3032" w:name="_Toc158713304"/>
      <w:r w:rsidRPr="000D40D5">
        <w:rPr>
          <w:rStyle w:val="CharSectno"/>
        </w:rPr>
        <w:t>10.47.01</w:t>
      </w:r>
      <w:r w:rsidRPr="00D97EFB">
        <w:t xml:space="preserve">  Application of amendments relating to licence conditions in relation to a litigation funding scheme mentioned in subregulation 7.1.04N(3)</w:t>
      </w:r>
      <w:bookmarkEnd w:id="3031"/>
      <w:bookmarkEnd w:id="3032"/>
    </w:p>
    <w:p w14:paraId="4A6D2988" w14:textId="77777777" w:rsidR="00E93F58" w:rsidRPr="00D97EFB" w:rsidRDefault="00E93F58" w:rsidP="00F225F7">
      <w:pPr>
        <w:pStyle w:val="subsection"/>
      </w:pPr>
      <w:r w:rsidRPr="00D97EFB">
        <w:tab/>
      </w:r>
      <w:r w:rsidRPr="00D97EFB">
        <w:tab/>
        <w:t xml:space="preserve">The amendments made by items 2 and 3 of Part 1 of Schedule 1 to the </w:t>
      </w:r>
      <w:r w:rsidRPr="00D97EFB">
        <w:rPr>
          <w:i/>
          <w:iCs/>
        </w:rPr>
        <w:t xml:space="preserve">Corporations Amendment (Litigation Funding) </w:t>
      </w:r>
      <w:r>
        <w:rPr>
          <w:i/>
          <w:iCs/>
        </w:rPr>
        <w:t>Regulations 2</w:t>
      </w:r>
      <w:r w:rsidRPr="00D97EFB">
        <w:rPr>
          <w:i/>
          <w:iCs/>
        </w:rPr>
        <w:t xml:space="preserve">021 </w:t>
      </w:r>
      <w:r w:rsidRPr="00D97EFB">
        <w:t>apply in relation to:</w:t>
      </w:r>
    </w:p>
    <w:p w14:paraId="58DF15C1" w14:textId="77777777" w:rsidR="00E93F58" w:rsidRPr="00D97EFB" w:rsidRDefault="00E93F58" w:rsidP="00F225F7">
      <w:pPr>
        <w:pStyle w:val="paragraph"/>
      </w:pPr>
      <w:r w:rsidRPr="00D97EFB">
        <w:tab/>
        <w:t>(a)</w:t>
      </w:r>
      <w:r w:rsidRPr="00D97EFB">
        <w:tab/>
        <w:t>an Australian financial services licence granted before, on or after the commencement of that Part; and</w:t>
      </w:r>
    </w:p>
    <w:p w14:paraId="015274AB" w14:textId="77777777" w:rsidR="00E93F58" w:rsidRPr="00D97EFB" w:rsidRDefault="00E93F58" w:rsidP="00F225F7">
      <w:pPr>
        <w:pStyle w:val="paragraph"/>
      </w:pPr>
      <w:r w:rsidRPr="00D97EFB">
        <w:tab/>
        <w:t>(b)</w:t>
      </w:r>
      <w:r w:rsidRPr="00D97EFB">
        <w:tab/>
        <w:t>a litigation funding scheme mentioned in subregulation 7.1.04N(3) entered on or after that commencement; and</w:t>
      </w:r>
    </w:p>
    <w:p w14:paraId="535278A5" w14:textId="77777777" w:rsidR="00E93F58" w:rsidRPr="00D97EFB" w:rsidRDefault="00E93F58" w:rsidP="00F225F7">
      <w:pPr>
        <w:pStyle w:val="paragraph"/>
      </w:pPr>
      <w:r w:rsidRPr="00D97EFB">
        <w:tab/>
        <w:t>(c)</w:t>
      </w:r>
      <w:r w:rsidRPr="00D97EFB">
        <w:tab/>
        <w:t>a litigation funding scheme mentioned in subregulation 7.1.04N(3) entered before that commencement, but only in relation to so much of the duration of the scheme that occurs on or after that commencement.</w:t>
      </w:r>
    </w:p>
    <w:p w14:paraId="1DEB3872" w14:textId="77777777" w:rsidR="00E93F58" w:rsidRPr="00D97EFB" w:rsidRDefault="00E93F58" w:rsidP="006178BC">
      <w:pPr>
        <w:pStyle w:val="ActHead2"/>
        <w:pageBreakBefore/>
      </w:pPr>
      <w:bookmarkStart w:id="3033" w:name="_Toc151994795"/>
      <w:bookmarkStart w:id="3034" w:name="_Toc158713305"/>
      <w:r w:rsidRPr="000D40D5">
        <w:rPr>
          <w:rStyle w:val="CharPartNo"/>
        </w:rPr>
        <w:lastRenderedPageBreak/>
        <w:t>Part 10.48</w:t>
      </w:r>
      <w:r w:rsidRPr="00D97EFB">
        <w:t>—</w:t>
      </w:r>
      <w:r w:rsidRPr="000D40D5">
        <w:rPr>
          <w:rStyle w:val="CharPartText"/>
        </w:rPr>
        <w:t>Application provisions relating to the Corporations Amendment (Litigation Funding) Regulations 2022</w:t>
      </w:r>
      <w:bookmarkEnd w:id="3033"/>
      <w:bookmarkEnd w:id="3034"/>
    </w:p>
    <w:p w14:paraId="63E13EEF" w14:textId="77777777" w:rsidR="00E93F58" w:rsidRPr="00D97EFB" w:rsidRDefault="00E93F58" w:rsidP="00647E2B">
      <w:pPr>
        <w:pStyle w:val="Header"/>
      </w:pPr>
      <w:r w:rsidRPr="000D40D5">
        <w:rPr>
          <w:rStyle w:val="CharDivNo"/>
        </w:rPr>
        <w:t xml:space="preserve"> </w:t>
      </w:r>
      <w:r w:rsidRPr="000D40D5">
        <w:rPr>
          <w:rStyle w:val="CharDivText"/>
        </w:rPr>
        <w:t xml:space="preserve"> </w:t>
      </w:r>
    </w:p>
    <w:p w14:paraId="533848A4" w14:textId="77777777" w:rsidR="00E93F58" w:rsidRPr="00D97EFB" w:rsidRDefault="00E93F58" w:rsidP="00647E2B">
      <w:pPr>
        <w:pStyle w:val="ActHead5"/>
      </w:pPr>
      <w:bookmarkStart w:id="3035" w:name="_Toc151994796"/>
      <w:bookmarkStart w:id="3036" w:name="_Toc158713306"/>
      <w:r w:rsidRPr="000D40D5">
        <w:rPr>
          <w:rStyle w:val="CharSectno"/>
        </w:rPr>
        <w:t>10.48.01</w:t>
      </w:r>
      <w:r w:rsidRPr="00D97EFB">
        <w:t xml:space="preserve">  Application of amendments relating to litigation funding</w:t>
      </w:r>
      <w:bookmarkEnd w:id="3035"/>
      <w:bookmarkEnd w:id="3036"/>
    </w:p>
    <w:p w14:paraId="3147920C" w14:textId="77777777" w:rsidR="00E93F58" w:rsidRPr="00D97EFB" w:rsidRDefault="00E93F58" w:rsidP="00647E2B">
      <w:pPr>
        <w:pStyle w:val="subsection"/>
      </w:pPr>
      <w:r w:rsidRPr="00D97EFB">
        <w:tab/>
      </w:r>
      <w:r w:rsidRPr="00D97EFB">
        <w:tab/>
        <w:t xml:space="preserve">The amendments made by the </w:t>
      </w:r>
      <w:r w:rsidRPr="00D97EFB">
        <w:rPr>
          <w:i/>
        </w:rPr>
        <w:t xml:space="preserve">Corporations Amendment (Litigation Funding) </w:t>
      </w:r>
      <w:r>
        <w:rPr>
          <w:i/>
        </w:rPr>
        <w:t>Regulations 2</w:t>
      </w:r>
      <w:r w:rsidRPr="00D97EFB">
        <w:rPr>
          <w:i/>
        </w:rPr>
        <w:t>022</w:t>
      </w:r>
      <w:r w:rsidRPr="00D97EFB">
        <w:t xml:space="preserve"> apply in relation to:</w:t>
      </w:r>
    </w:p>
    <w:p w14:paraId="21BAA15D" w14:textId="77777777" w:rsidR="00E93F58" w:rsidRPr="00D97EFB" w:rsidRDefault="00E93F58" w:rsidP="00647E2B">
      <w:pPr>
        <w:pStyle w:val="paragraph"/>
      </w:pPr>
      <w:r w:rsidRPr="00D97EFB">
        <w:tab/>
        <w:t>(a)</w:t>
      </w:r>
      <w:r w:rsidRPr="00D97EFB">
        <w:tab/>
        <w:t>a litigation funding scheme mentioned in regulation 5C.11.01(2A) entered on or after the commencement of those regulations; and</w:t>
      </w:r>
    </w:p>
    <w:p w14:paraId="0FCD3FCF" w14:textId="77777777" w:rsidR="00E93F58" w:rsidRPr="00D97EFB" w:rsidRDefault="00E93F58" w:rsidP="00647E2B">
      <w:pPr>
        <w:pStyle w:val="paragraph"/>
      </w:pPr>
      <w:r w:rsidRPr="00D97EFB">
        <w:tab/>
        <w:t>(b)</w:t>
      </w:r>
      <w:r w:rsidRPr="00D97EFB">
        <w:tab/>
        <w:t>a litigation funding scheme mentioned in regulation 5C.11.01(2A) entered before that commencement, but only in relation to so much of the duration of the scheme that occurs on or after that commencement.</w:t>
      </w:r>
    </w:p>
    <w:p w14:paraId="5015A591" w14:textId="77777777" w:rsidR="00E93F58" w:rsidRPr="00D97EFB" w:rsidRDefault="00E93F58" w:rsidP="00264023">
      <w:pPr>
        <w:pStyle w:val="ActHead2"/>
        <w:pageBreakBefore/>
      </w:pPr>
      <w:bookmarkStart w:id="3037" w:name="_Toc151994797"/>
      <w:bookmarkStart w:id="3038" w:name="_Toc158713307"/>
      <w:r w:rsidRPr="000D40D5">
        <w:rPr>
          <w:rStyle w:val="CharPartNo"/>
        </w:rPr>
        <w:lastRenderedPageBreak/>
        <w:t>Part 10.49</w:t>
      </w:r>
      <w:r w:rsidRPr="00D97EFB">
        <w:t>—</w:t>
      </w:r>
      <w:r w:rsidRPr="000D40D5">
        <w:rPr>
          <w:rStyle w:val="CharPartText"/>
        </w:rPr>
        <w:t>Application provisions relating to Schedule 1 to the Treasury Laws Amendment (Modernising Business Communications and Other Measures) Regulations 2022</w:t>
      </w:r>
      <w:bookmarkEnd w:id="3037"/>
      <w:bookmarkEnd w:id="3038"/>
    </w:p>
    <w:p w14:paraId="697D7C72" w14:textId="77777777" w:rsidR="00E93F58" w:rsidRPr="00D97EFB" w:rsidRDefault="00E93F58" w:rsidP="00DA2C13">
      <w:pPr>
        <w:pStyle w:val="Header"/>
      </w:pPr>
      <w:r w:rsidRPr="000D40D5">
        <w:rPr>
          <w:rStyle w:val="CharDivNo"/>
        </w:rPr>
        <w:t xml:space="preserve"> </w:t>
      </w:r>
      <w:r w:rsidRPr="000D40D5">
        <w:rPr>
          <w:rStyle w:val="CharDivText"/>
        </w:rPr>
        <w:t xml:space="preserve"> </w:t>
      </w:r>
    </w:p>
    <w:p w14:paraId="0E1C1A47" w14:textId="77777777" w:rsidR="00E93F58" w:rsidRPr="00D97EFB" w:rsidRDefault="00E93F58" w:rsidP="00DA2C13">
      <w:pPr>
        <w:pStyle w:val="ActHead5"/>
      </w:pPr>
      <w:bookmarkStart w:id="3039" w:name="_Toc151994798"/>
      <w:bookmarkStart w:id="3040" w:name="_Toc158713308"/>
      <w:r w:rsidRPr="000D40D5">
        <w:rPr>
          <w:rStyle w:val="CharSectno"/>
        </w:rPr>
        <w:t>10.49.01</w:t>
      </w:r>
      <w:r w:rsidRPr="00D97EFB">
        <w:t xml:space="preserve">  Application of amendment to Form 509H (creditor’s statutory demand for payment of debt)</w:t>
      </w:r>
      <w:bookmarkEnd w:id="3039"/>
      <w:bookmarkEnd w:id="3040"/>
    </w:p>
    <w:p w14:paraId="6728C8BE" w14:textId="77777777" w:rsidR="00E93F58" w:rsidRPr="00D97EFB" w:rsidRDefault="00E93F58" w:rsidP="00DA2C13">
      <w:pPr>
        <w:pStyle w:val="subsection"/>
      </w:pPr>
      <w:r w:rsidRPr="00D97EFB">
        <w:tab/>
      </w:r>
      <w:r w:rsidRPr="00D97EFB">
        <w:tab/>
        <w:t xml:space="preserve">The amendment to Form 509H of Schedule 2 to this instrument made by Schedule 1 to the </w:t>
      </w:r>
      <w:r w:rsidRPr="00D97EFB">
        <w:rPr>
          <w:i/>
        </w:rPr>
        <w:t xml:space="preserve">Treasury Laws Amendment (Modernising Business Communications and Other Measures) </w:t>
      </w:r>
      <w:r>
        <w:rPr>
          <w:i/>
        </w:rPr>
        <w:t>Regulations 2</w:t>
      </w:r>
      <w:r w:rsidRPr="00D97EFB">
        <w:rPr>
          <w:i/>
        </w:rPr>
        <w:t>022</w:t>
      </w:r>
      <w:r w:rsidRPr="00D97EFB">
        <w:t xml:space="preserve"> applies in relation to a statutory demand served on or after the commencement of Schedule 1 to that Act.</w:t>
      </w:r>
    </w:p>
    <w:p w14:paraId="22AA0EA5" w14:textId="77777777" w:rsidR="00E93F58" w:rsidRPr="00814C90" w:rsidRDefault="00E93F58" w:rsidP="00C8434B">
      <w:pPr>
        <w:pStyle w:val="ActHead2"/>
        <w:pageBreakBefore/>
      </w:pPr>
      <w:bookmarkStart w:id="3041" w:name="_Toc151994799"/>
      <w:bookmarkStart w:id="3042" w:name="_Toc158713309"/>
      <w:r w:rsidRPr="000D40D5">
        <w:rPr>
          <w:rStyle w:val="CharPartNo"/>
        </w:rPr>
        <w:lastRenderedPageBreak/>
        <w:t>Part 10.50</w:t>
      </w:r>
      <w:r w:rsidRPr="00D97EFB">
        <w:t>—</w:t>
      </w:r>
      <w:r w:rsidRPr="000D40D5">
        <w:rPr>
          <w:rStyle w:val="CharPartText"/>
        </w:rPr>
        <w:t>Application provisions relating to the Treasury Laws Amendment (Financial Reporting and Auditing of Registrable Superannuation Entities) Regulations 2023</w:t>
      </w:r>
      <w:bookmarkEnd w:id="3041"/>
      <w:bookmarkEnd w:id="3042"/>
    </w:p>
    <w:p w14:paraId="71009FD0" w14:textId="77777777" w:rsidR="00E93F58" w:rsidRPr="00D97EFB" w:rsidRDefault="00E93F58" w:rsidP="00FB0457">
      <w:pPr>
        <w:pStyle w:val="Header"/>
      </w:pPr>
      <w:r w:rsidRPr="000D40D5">
        <w:rPr>
          <w:rStyle w:val="CharDivNo"/>
        </w:rPr>
        <w:t xml:space="preserve"> </w:t>
      </w:r>
      <w:r w:rsidRPr="000D40D5">
        <w:rPr>
          <w:rStyle w:val="CharDivText"/>
        </w:rPr>
        <w:t xml:space="preserve"> </w:t>
      </w:r>
    </w:p>
    <w:p w14:paraId="3FFFE087" w14:textId="77777777" w:rsidR="00E93F58" w:rsidRPr="00D97EFB" w:rsidRDefault="00E93F58" w:rsidP="00FB0457">
      <w:pPr>
        <w:pStyle w:val="ActHead5"/>
      </w:pPr>
      <w:bookmarkStart w:id="3043" w:name="_Toc151994800"/>
      <w:bookmarkStart w:id="3044" w:name="_Toc158713310"/>
      <w:r w:rsidRPr="000D40D5">
        <w:rPr>
          <w:rStyle w:val="CharSectno"/>
        </w:rPr>
        <w:t>10.50.01</w:t>
      </w:r>
      <w:r w:rsidRPr="00D97EFB">
        <w:t xml:space="preserve">  Application of amendments relating to financial reporting and auditing of registrable superannuation entities</w:t>
      </w:r>
      <w:bookmarkEnd w:id="3043"/>
      <w:bookmarkEnd w:id="3044"/>
    </w:p>
    <w:p w14:paraId="56557F85" w14:textId="77777777" w:rsidR="00E93F58" w:rsidRPr="00D97EFB" w:rsidRDefault="00E93F58" w:rsidP="00FB0457">
      <w:pPr>
        <w:pStyle w:val="subsection"/>
      </w:pPr>
      <w:r w:rsidRPr="00D97EFB">
        <w:tab/>
        <w:t>(1)</w:t>
      </w:r>
      <w:r w:rsidRPr="00D97EFB">
        <w:tab/>
        <w:t xml:space="preserve">The amendments made by Schedule 1 to the </w:t>
      </w:r>
      <w:r w:rsidRPr="00D97EFB">
        <w:rPr>
          <w:i/>
        </w:rPr>
        <w:t xml:space="preserve">Treasury Laws Amendment (Financial Reporting and Auditing of Registrable Superannuation Entities) </w:t>
      </w:r>
      <w:r>
        <w:rPr>
          <w:i/>
        </w:rPr>
        <w:t>Regulations 2</w:t>
      </w:r>
      <w:r w:rsidRPr="00D97EFB">
        <w:rPr>
          <w:i/>
        </w:rPr>
        <w:t>023</w:t>
      </w:r>
      <w:r w:rsidRPr="00D97EFB">
        <w:t xml:space="preserve"> to Divisions 1, 5 and 8 of Part 7.9 apply in relation to a fund reporting period beginning on or after 1 July 2023.</w:t>
      </w:r>
    </w:p>
    <w:p w14:paraId="290A0169" w14:textId="77777777" w:rsidR="00E93F58" w:rsidRPr="00D97EFB" w:rsidRDefault="00E93F58" w:rsidP="00FB0457">
      <w:pPr>
        <w:pStyle w:val="subsection"/>
      </w:pPr>
      <w:r w:rsidRPr="00D97EFB">
        <w:tab/>
        <w:t>(2)</w:t>
      </w:r>
      <w:r w:rsidRPr="00D97EFB">
        <w:tab/>
        <w:t xml:space="preserve">Despite the repeal of regulation 7.9.75BA by Schedule 1 to the </w:t>
      </w:r>
      <w:r w:rsidRPr="00D97EFB">
        <w:rPr>
          <w:i/>
        </w:rPr>
        <w:t xml:space="preserve">Treasury Laws Amendment (Financial Reporting and Auditing of Registrable Superannuation Entities) </w:t>
      </w:r>
      <w:r>
        <w:rPr>
          <w:i/>
        </w:rPr>
        <w:t>Regulations 2</w:t>
      </w:r>
      <w:r w:rsidRPr="00D97EFB">
        <w:rPr>
          <w:i/>
        </w:rPr>
        <w:t>023</w:t>
      </w:r>
      <w:r w:rsidRPr="00D97EFB">
        <w:t>, an election by a holder given under that regulation before the commencement of that Schedule, has effect on and after the commencement of that Schedule as if it had been given for the purposes of regulation 7.9.32 (as amended by that Schedule).</w:t>
      </w:r>
    </w:p>
    <w:p w14:paraId="7FE4E8CA" w14:textId="77777777" w:rsidR="00E93F58" w:rsidRPr="00D97EFB" w:rsidRDefault="00E93F58" w:rsidP="00BB7E31">
      <w:pPr>
        <w:pStyle w:val="ActHead1"/>
        <w:pageBreakBefore/>
      </w:pPr>
      <w:bookmarkStart w:id="3045" w:name="_Toc151994801"/>
      <w:bookmarkStart w:id="3046" w:name="_Toc158713311"/>
      <w:r w:rsidRPr="000D40D5">
        <w:rPr>
          <w:rStyle w:val="CharChapNo"/>
        </w:rPr>
        <w:lastRenderedPageBreak/>
        <w:t>Chapter 12</w:t>
      </w:r>
      <w:r w:rsidRPr="00D97EFB">
        <w:t>—</w:t>
      </w:r>
      <w:r w:rsidRPr="000D40D5">
        <w:rPr>
          <w:rStyle w:val="CharChapText"/>
        </w:rPr>
        <w:t>Financial sector reform</w:t>
      </w:r>
      <w:bookmarkEnd w:id="3045"/>
      <w:bookmarkEnd w:id="3046"/>
    </w:p>
    <w:p w14:paraId="0BC390D0" w14:textId="77777777" w:rsidR="00E93F58" w:rsidRPr="00D97EFB" w:rsidRDefault="00E93F58" w:rsidP="00BB7E31">
      <w:pPr>
        <w:pStyle w:val="ActHead2"/>
      </w:pPr>
      <w:bookmarkStart w:id="3047" w:name="_Toc151994802"/>
      <w:bookmarkStart w:id="3048" w:name="_Toc158713312"/>
      <w:r w:rsidRPr="000D40D5">
        <w:rPr>
          <w:rStyle w:val="CharPartNo"/>
        </w:rPr>
        <w:t>Part 12.1</w:t>
      </w:r>
      <w:r w:rsidRPr="00D97EFB">
        <w:t>—</w:t>
      </w:r>
      <w:r w:rsidRPr="000D40D5">
        <w:rPr>
          <w:rStyle w:val="CharPartText"/>
        </w:rPr>
        <w:t>Preliminary</w:t>
      </w:r>
      <w:bookmarkEnd w:id="3047"/>
      <w:bookmarkEnd w:id="3048"/>
    </w:p>
    <w:p w14:paraId="68971FC0"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08A9FEB1" w14:textId="77777777" w:rsidR="00E93F58" w:rsidRPr="00D97EFB" w:rsidRDefault="00E93F58" w:rsidP="00BB7E31">
      <w:pPr>
        <w:pStyle w:val="ActHead5"/>
      </w:pPr>
      <w:bookmarkStart w:id="3049" w:name="_Toc151994803"/>
      <w:bookmarkStart w:id="3050" w:name="_Toc158713313"/>
      <w:r w:rsidRPr="000D40D5">
        <w:rPr>
          <w:rStyle w:val="CharSectno"/>
        </w:rPr>
        <w:t>12.1.01</w:t>
      </w:r>
      <w:r w:rsidRPr="00D97EFB">
        <w:t xml:space="preserve">  Definitions for Chapter 12</w:t>
      </w:r>
      <w:bookmarkEnd w:id="3049"/>
      <w:bookmarkEnd w:id="3050"/>
    </w:p>
    <w:p w14:paraId="7C9C7C07" w14:textId="77777777" w:rsidR="00E93F58" w:rsidRPr="00D97EFB" w:rsidRDefault="00E93F58" w:rsidP="00BB7E31">
      <w:pPr>
        <w:pStyle w:val="subsection"/>
      </w:pPr>
      <w:r w:rsidRPr="00D97EFB">
        <w:tab/>
      </w:r>
      <w:r w:rsidRPr="00D97EFB">
        <w:tab/>
        <w:t>In this Chapter:</w:t>
      </w:r>
    </w:p>
    <w:p w14:paraId="1A4F0D6F" w14:textId="77777777" w:rsidR="00E93F58" w:rsidRPr="00D97EFB" w:rsidRDefault="00E93F58" w:rsidP="00BB7E31">
      <w:pPr>
        <w:pStyle w:val="Definition"/>
      </w:pPr>
      <w:r w:rsidRPr="00D97EFB">
        <w:rPr>
          <w:b/>
          <w:i/>
        </w:rPr>
        <w:t>AFIC</w:t>
      </w:r>
      <w:r w:rsidRPr="00D97EFB">
        <w:t xml:space="preserve"> means the Australian Financial Institutions Commission.</w:t>
      </w:r>
    </w:p>
    <w:p w14:paraId="65C31C96" w14:textId="77777777" w:rsidR="00E93F58" w:rsidRPr="00D97EFB" w:rsidRDefault="00E93F58" w:rsidP="00BB7E31">
      <w:pPr>
        <w:pStyle w:val="Definition"/>
      </w:pPr>
      <w:r w:rsidRPr="00D97EFB">
        <w:rPr>
          <w:b/>
          <w:i/>
        </w:rPr>
        <w:t>APRA transitional prudential standard</w:t>
      </w:r>
      <w:r w:rsidRPr="00D97EFB">
        <w:t xml:space="preserve"> has the meaning given by regulation 11 of the </w:t>
      </w:r>
      <w:r w:rsidRPr="00D97EFB">
        <w:rPr>
          <w:i/>
        </w:rPr>
        <w:t>Financial Sector Reform (Amendments and Transitional Provisions) Regulations 1999</w:t>
      </w:r>
      <w:r w:rsidRPr="00D97EFB">
        <w:t>.</w:t>
      </w:r>
    </w:p>
    <w:p w14:paraId="092C885A" w14:textId="77777777" w:rsidR="00E93F58" w:rsidRPr="00D97EFB" w:rsidRDefault="00E93F58" w:rsidP="00BB7E31">
      <w:pPr>
        <w:pStyle w:val="Definition"/>
      </w:pPr>
      <w:r w:rsidRPr="00D97EFB">
        <w:rPr>
          <w:b/>
          <w:i/>
        </w:rPr>
        <w:t xml:space="preserve">Financial Institutions Code of a State or Territory </w:t>
      </w:r>
      <w:r w:rsidRPr="00D97EFB">
        <w:t>has the meaning given by clause 1 of Schedule 4 to the Act.</w:t>
      </w:r>
    </w:p>
    <w:p w14:paraId="0C77A0B7" w14:textId="77777777" w:rsidR="00E93F58" w:rsidRPr="00D97EFB" w:rsidRDefault="00E93F58" w:rsidP="00BB7E31">
      <w:pPr>
        <w:pStyle w:val="Definition"/>
      </w:pPr>
      <w:r w:rsidRPr="00D97EFB">
        <w:rPr>
          <w:b/>
          <w:i/>
        </w:rPr>
        <w:t>Financial Sector Reform Act</w:t>
      </w:r>
      <w:r w:rsidRPr="00D97EFB">
        <w:t xml:space="preserve"> means the </w:t>
      </w:r>
      <w:r w:rsidRPr="00D97EFB">
        <w:rPr>
          <w:i/>
        </w:rPr>
        <w:t>Financial Sector Reform (Amendments and Transitional Provisions) Act (No. 1) 1999</w:t>
      </w:r>
      <w:r w:rsidRPr="00D97EFB">
        <w:t>.</w:t>
      </w:r>
    </w:p>
    <w:p w14:paraId="645D52E9" w14:textId="77777777" w:rsidR="00E93F58" w:rsidRPr="00D97EFB" w:rsidRDefault="00E93F58" w:rsidP="00BB7E31">
      <w:pPr>
        <w:pStyle w:val="Definition"/>
      </w:pPr>
      <w:r w:rsidRPr="00D97EFB">
        <w:rPr>
          <w:b/>
          <w:i/>
        </w:rPr>
        <w:t xml:space="preserve">Friendly Societies Code of a State or Territory </w:t>
      </w:r>
      <w:r w:rsidRPr="00D97EFB">
        <w:t>has the meaning given by clause 1 of Schedule 4 to the Act.</w:t>
      </w:r>
    </w:p>
    <w:p w14:paraId="6B42AAF4" w14:textId="77777777" w:rsidR="00E93F58" w:rsidRPr="00D97EFB" w:rsidRDefault="00E93F58" w:rsidP="00BB7E31">
      <w:pPr>
        <w:pStyle w:val="Definition"/>
      </w:pPr>
      <w:r w:rsidRPr="00D97EFB">
        <w:rPr>
          <w:b/>
          <w:i/>
        </w:rPr>
        <w:t>member share</w:t>
      </w:r>
      <w:r w:rsidRPr="00D97EFB">
        <w:t xml:space="preserve"> has the meaning given by regulation 12.8.03.</w:t>
      </w:r>
    </w:p>
    <w:p w14:paraId="77A54B92" w14:textId="77777777" w:rsidR="00E93F58" w:rsidRPr="00D97EFB" w:rsidRDefault="00E93F58" w:rsidP="00BB7E31">
      <w:pPr>
        <w:pStyle w:val="Definition"/>
      </w:pPr>
      <w:r w:rsidRPr="00D97EFB">
        <w:rPr>
          <w:b/>
          <w:i/>
        </w:rPr>
        <w:t>previous governing Code</w:t>
      </w:r>
      <w:r w:rsidRPr="00D97EFB">
        <w:t xml:space="preserve"> has the meaning given by clause 1 of Schedule 4 to the Act.</w:t>
      </w:r>
    </w:p>
    <w:p w14:paraId="1B5126D6" w14:textId="77777777" w:rsidR="00E93F58" w:rsidRPr="00D97EFB" w:rsidRDefault="00E93F58" w:rsidP="00BB7E31">
      <w:pPr>
        <w:pStyle w:val="Definition"/>
      </w:pPr>
      <w:r w:rsidRPr="00D97EFB">
        <w:rPr>
          <w:b/>
          <w:i/>
        </w:rPr>
        <w:t>replaced legislation</w:t>
      </w:r>
      <w:r w:rsidRPr="00D97EFB">
        <w:t xml:space="preserve"> has the meaning given by subitem 22(7) of Schedule 8 to the Financial Sector Reform Act.</w:t>
      </w:r>
    </w:p>
    <w:p w14:paraId="134BB0E5" w14:textId="77777777" w:rsidR="00E93F58" w:rsidRPr="00D97EFB" w:rsidRDefault="00E93F58" w:rsidP="00BB7E31">
      <w:pPr>
        <w:pStyle w:val="Definition"/>
      </w:pPr>
      <w:r w:rsidRPr="00D97EFB">
        <w:rPr>
          <w:b/>
          <w:i/>
        </w:rPr>
        <w:t>SSA</w:t>
      </w:r>
      <w:r w:rsidRPr="00D97EFB">
        <w:t xml:space="preserve"> (State Supervisory Authority) has the meaning given by clause 1 of Schedule 4 to the Act.</w:t>
      </w:r>
    </w:p>
    <w:p w14:paraId="59CDE9CD" w14:textId="77777777" w:rsidR="00E93F58" w:rsidRPr="00D97EFB" w:rsidRDefault="00E93F58" w:rsidP="00BB7E31">
      <w:pPr>
        <w:pStyle w:val="Definition"/>
      </w:pPr>
      <w:r w:rsidRPr="00D97EFB">
        <w:rPr>
          <w:b/>
          <w:i/>
        </w:rPr>
        <w:t>transfer date</w:t>
      </w:r>
      <w:r w:rsidRPr="00D97EFB">
        <w:t xml:space="preserve"> means the date that is the transfer date for the purposes of the Financial Sector Reform Act.</w:t>
      </w:r>
    </w:p>
    <w:p w14:paraId="4B8F488B" w14:textId="77777777" w:rsidR="00E93F58" w:rsidRPr="00D97EFB" w:rsidRDefault="00E93F58" w:rsidP="00BB7E31">
      <w:pPr>
        <w:pStyle w:val="Definition"/>
      </w:pPr>
      <w:r w:rsidRPr="00D97EFB">
        <w:rPr>
          <w:b/>
          <w:i/>
        </w:rPr>
        <w:t>transferring financial institution of a State or Territory</w:t>
      </w:r>
      <w:r w:rsidRPr="00D97EFB">
        <w:t xml:space="preserve"> has the meaning given by clause 1 of Schedule 4 to the Act.</w:t>
      </w:r>
    </w:p>
    <w:p w14:paraId="52DEEBFD" w14:textId="77777777" w:rsidR="00E93F58" w:rsidRPr="00D97EFB" w:rsidRDefault="00E93F58" w:rsidP="00BB7E31">
      <w:pPr>
        <w:pStyle w:val="Definition"/>
      </w:pPr>
      <w:r w:rsidRPr="00D97EFB">
        <w:rPr>
          <w:b/>
          <w:i/>
        </w:rPr>
        <w:t>transition period</w:t>
      </w:r>
      <w:r w:rsidRPr="00D97EFB">
        <w:t xml:space="preserve"> means the period of 18 months starting on the transfer date.</w:t>
      </w:r>
    </w:p>
    <w:p w14:paraId="4D102D8A" w14:textId="77777777" w:rsidR="00E93F58" w:rsidRPr="00D97EFB" w:rsidRDefault="00E93F58" w:rsidP="00BB7E31">
      <w:pPr>
        <w:pStyle w:val="notetext"/>
      </w:pPr>
      <w:r w:rsidRPr="00D97EFB">
        <w:t>Note:</w:t>
      </w:r>
      <w:r w:rsidRPr="00D97EFB">
        <w:tab/>
        <w:t xml:space="preserve">See the definition of </w:t>
      </w:r>
      <w:r w:rsidRPr="00D97EFB">
        <w:rPr>
          <w:b/>
          <w:i/>
        </w:rPr>
        <w:t>Corporations Regulations</w:t>
      </w:r>
      <w:r w:rsidRPr="00D97EFB">
        <w:t xml:space="preserve"> in section 40A of the </w:t>
      </w:r>
      <w:r w:rsidRPr="00D97EFB">
        <w:rPr>
          <w:i/>
        </w:rPr>
        <w:t>Acts Interpretation Act 1901</w:t>
      </w:r>
      <w:r w:rsidRPr="00D97EFB">
        <w:t>.</w:t>
      </w:r>
    </w:p>
    <w:p w14:paraId="00AFDECE" w14:textId="77777777" w:rsidR="00E93F58" w:rsidRPr="00D97EFB" w:rsidRDefault="00E93F58" w:rsidP="00BB7E31">
      <w:pPr>
        <w:pStyle w:val="ActHead5"/>
      </w:pPr>
      <w:bookmarkStart w:id="3051" w:name="_Toc151994804"/>
      <w:bookmarkStart w:id="3052" w:name="_Toc158713314"/>
      <w:r w:rsidRPr="000D40D5">
        <w:rPr>
          <w:rStyle w:val="CharSectno"/>
        </w:rPr>
        <w:t>12.1.02</w:t>
      </w:r>
      <w:r w:rsidRPr="00D97EFB">
        <w:t xml:space="preserve">  Application of this Chapter to previous governing Codes etc</w:t>
      </w:r>
      <w:bookmarkEnd w:id="3051"/>
      <w:bookmarkEnd w:id="3052"/>
    </w:p>
    <w:p w14:paraId="760325E0" w14:textId="77777777" w:rsidR="00E93F58" w:rsidRPr="00D97EFB" w:rsidRDefault="00E93F58" w:rsidP="00BB7E31">
      <w:pPr>
        <w:pStyle w:val="subsection"/>
      </w:pPr>
      <w:r w:rsidRPr="00D97EFB">
        <w:tab/>
      </w:r>
      <w:r w:rsidRPr="00D97EFB">
        <w:tab/>
        <w:t>A reference in this Chapter to:</w:t>
      </w:r>
    </w:p>
    <w:p w14:paraId="71D1068C" w14:textId="77777777" w:rsidR="00E93F58" w:rsidRPr="00D97EFB" w:rsidRDefault="00E93F58" w:rsidP="00BB7E31">
      <w:pPr>
        <w:pStyle w:val="paragraph"/>
      </w:pPr>
      <w:r w:rsidRPr="00D97EFB">
        <w:tab/>
        <w:t>(a)</w:t>
      </w:r>
      <w:r w:rsidRPr="00D97EFB">
        <w:tab/>
        <w:t>a previous governing Code; or</w:t>
      </w:r>
    </w:p>
    <w:p w14:paraId="7AF51E1E" w14:textId="77777777" w:rsidR="00E93F58" w:rsidRPr="00D97EFB" w:rsidRDefault="00E93F58" w:rsidP="00BB7E31">
      <w:pPr>
        <w:pStyle w:val="paragraph"/>
      </w:pPr>
      <w:r w:rsidRPr="00D97EFB">
        <w:tab/>
        <w:t>(b)</w:t>
      </w:r>
      <w:r w:rsidRPr="00D97EFB">
        <w:tab/>
        <w:t>a provision of a previous governing Code; or</w:t>
      </w:r>
    </w:p>
    <w:p w14:paraId="28916F71" w14:textId="77777777" w:rsidR="00E93F58" w:rsidRPr="00D97EFB" w:rsidRDefault="00E93F58" w:rsidP="00BB7E31">
      <w:pPr>
        <w:pStyle w:val="paragraph"/>
      </w:pPr>
      <w:r w:rsidRPr="00D97EFB">
        <w:tab/>
        <w:t>(c)</w:t>
      </w:r>
      <w:r w:rsidRPr="00D97EFB">
        <w:tab/>
        <w:t>an instrument under a previous governing Code; or</w:t>
      </w:r>
    </w:p>
    <w:p w14:paraId="6E6D1658" w14:textId="77777777" w:rsidR="00E93F58" w:rsidRPr="00D97EFB" w:rsidRDefault="00E93F58" w:rsidP="00BB7E31">
      <w:pPr>
        <w:pStyle w:val="paragraph"/>
      </w:pPr>
      <w:r w:rsidRPr="00D97EFB">
        <w:tab/>
        <w:t>(d)</w:t>
      </w:r>
      <w:r w:rsidRPr="00D97EFB">
        <w:tab/>
        <w:t>a provision of an instrument under a previous governing Code;</w:t>
      </w:r>
    </w:p>
    <w:p w14:paraId="69FF1511" w14:textId="77777777" w:rsidR="00E93F58" w:rsidRPr="00D97EFB" w:rsidRDefault="00E93F58" w:rsidP="00BB7E31">
      <w:pPr>
        <w:pStyle w:val="subsection2"/>
      </w:pPr>
      <w:r w:rsidRPr="00D97EFB">
        <w:t>that is applied by or under this Chapter includes a reference to the Code, provision or instrument as varied or modified by or under this Chapter.</w:t>
      </w:r>
    </w:p>
    <w:p w14:paraId="79D82AFA" w14:textId="77777777" w:rsidR="00E93F58" w:rsidRPr="00D97EFB" w:rsidRDefault="00E93F58" w:rsidP="00BB7E31">
      <w:pPr>
        <w:pStyle w:val="ActHead5"/>
      </w:pPr>
      <w:bookmarkStart w:id="3053" w:name="_Toc151994805"/>
      <w:bookmarkStart w:id="3054" w:name="_Toc158713315"/>
      <w:r w:rsidRPr="000D40D5">
        <w:rPr>
          <w:rStyle w:val="CharSectno"/>
        </w:rPr>
        <w:t>12.1.03</w:t>
      </w:r>
      <w:r w:rsidRPr="00D97EFB">
        <w:t xml:space="preserve">  Interpretation of applied provisions</w:t>
      </w:r>
      <w:bookmarkEnd w:id="3053"/>
      <w:bookmarkEnd w:id="3054"/>
    </w:p>
    <w:p w14:paraId="74F5B80C" w14:textId="77777777" w:rsidR="00E93F58" w:rsidRPr="00D97EFB" w:rsidRDefault="00E93F58" w:rsidP="00BB7E31">
      <w:pPr>
        <w:pStyle w:val="subsection"/>
      </w:pPr>
      <w:r w:rsidRPr="00D97EFB">
        <w:tab/>
        <w:t>(1)</w:t>
      </w:r>
      <w:r w:rsidRPr="00D97EFB">
        <w:tab/>
        <w:t>Subregulation (2) applies to a provision of the following instruments:</w:t>
      </w:r>
    </w:p>
    <w:p w14:paraId="11A28EB0" w14:textId="77777777" w:rsidR="00E93F58" w:rsidRPr="00D97EFB" w:rsidRDefault="00E93F58" w:rsidP="00BB7E31">
      <w:pPr>
        <w:pStyle w:val="paragraph"/>
      </w:pPr>
      <w:r w:rsidRPr="00D97EFB">
        <w:tab/>
        <w:t>(a)</w:t>
      </w:r>
      <w:r w:rsidRPr="00D97EFB">
        <w:tab/>
        <w:t>a previous governing Code that is applied by or under a provision of this Chapter;</w:t>
      </w:r>
    </w:p>
    <w:p w14:paraId="24489FD3" w14:textId="77777777" w:rsidR="00E93F58" w:rsidRPr="00D97EFB" w:rsidRDefault="00E93F58" w:rsidP="00BB7E31">
      <w:pPr>
        <w:pStyle w:val="paragraph"/>
      </w:pPr>
      <w:r w:rsidRPr="00D97EFB">
        <w:tab/>
        <w:t>(b)</w:t>
      </w:r>
      <w:r w:rsidRPr="00D97EFB">
        <w:tab/>
        <w:t>an instrument made under a Code mentioned in paragraph (a) that is applied by or under this Chapter;</w:t>
      </w:r>
    </w:p>
    <w:p w14:paraId="112829BD" w14:textId="77777777" w:rsidR="00E93F58" w:rsidRPr="00D97EFB" w:rsidRDefault="00E93F58" w:rsidP="00BB7E31">
      <w:pPr>
        <w:pStyle w:val="paragraph"/>
      </w:pPr>
      <w:r w:rsidRPr="00D97EFB">
        <w:tab/>
        <w:t>(c)</w:t>
      </w:r>
      <w:r w:rsidRPr="00D97EFB">
        <w:tab/>
        <w:t>an ASIC transitional standard within the meaning of Part 12.7 or an instrument made under a provision of the standard.</w:t>
      </w:r>
    </w:p>
    <w:p w14:paraId="4CD5E118" w14:textId="77777777" w:rsidR="00E93F58" w:rsidRPr="00D97EFB" w:rsidRDefault="00E93F58" w:rsidP="00BB7E31">
      <w:pPr>
        <w:pStyle w:val="subsection"/>
      </w:pPr>
      <w:r w:rsidRPr="00D97EFB">
        <w:tab/>
        <w:t>(2)</w:t>
      </w:r>
      <w:r w:rsidRPr="00D97EFB">
        <w:tab/>
        <w:t>This subregulation applies if there is a reference in the provision to any of the following:</w:t>
      </w:r>
    </w:p>
    <w:p w14:paraId="442940B7" w14:textId="77777777" w:rsidR="00E93F58" w:rsidRPr="00D97EFB" w:rsidRDefault="00E93F58" w:rsidP="00BB7E31">
      <w:pPr>
        <w:pStyle w:val="paragraph"/>
      </w:pPr>
      <w:r w:rsidRPr="00D97EFB">
        <w:tab/>
        <w:t>(a)</w:t>
      </w:r>
      <w:r w:rsidRPr="00D97EFB">
        <w:tab/>
        <w:t>a word or expression that is defined in the Act or these Regulations;</w:t>
      </w:r>
    </w:p>
    <w:p w14:paraId="7DA49501" w14:textId="77777777" w:rsidR="00E93F58" w:rsidRPr="00D97EFB" w:rsidRDefault="00E93F58" w:rsidP="00BB7E31">
      <w:pPr>
        <w:pStyle w:val="paragraph"/>
      </w:pPr>
      <w:r w:rsidRPr="00D97EFB">
        <w:tab/>
        <w:t>(b)</w:t>
      </w:r>
      <w:r w:rsidRPr="00D97EFB">
        <w:tab/>
        <w:t>a power exercised by AFIC or an SSA;</w:t>
      </w:r>
    </w:p>
    <w:p w14:paraId="2DF5301D" w14:textId="77777777" w:rsidR="00E93F58" w:rsidRPr="00D97EFB" w:rsidRDefault="00E93F58" w:rsidP="00BB7E31">
      <w:pPr>
        <w:pStyle w:val="paragraph"/>
      </w:pPr>
      <w:r w:rsidRPr="00D97EFB">
        <w:tab/>
        <w:t>(c)</w:t>
      </w:r>
      <w:r w:rsidRPr="00D97EFB">
        <w:tab/>
        <w:t>a class of body;</w:t>
      </w:r>
    </w:p>
    <w:p w14:paraId="32439FFA" w14:textId="77777777" w:rsidR="00E93F58" w:rsidRPr="00D97EFB" w:rsidRDefault="00E93F58" w:rsidP="00BB7E31">
      <w:pPr>
        <w:pStyle w:val="paragraph"/>
      </w:pPr>
      <w:r w:rsidRPr="00D97EFB">
        <w:tab/>
        <w:t>(d)</w:t>
      </w:r>
      <w:r w:rsidRPr="00D97EFB">
        <w:tab/>
        <w:t>the rules of a body;</w:t>
      </w:r>
    </w:p>
    <w:p w14:paraId="675D12AF" w14:textId="77777777" w:rsidR="00E93F58" w:rsidRPr="00D97EFB" w:rsidRDefault="00E93F58" w:rsidP="00BB7E31">
      <w:pPr>
        <w:pStyle w:val="paragraph"/>
      </w:pPr>
      <w:r w:rsidRPr="00D97EFB">
        <w:lastRenderedPageBreak/>
        <w:tab/>
        <w:t>(e)</w:t>
      </w:r>
      <w:r w:rsidRPr="00D97EFB">
        <w:tab/>
        <w:t>the accounts, or group accounts, of a body;</w:t>
      </w:r>
    </w:p>
    <w:p w14:paraId="78A2ADBF" w14:textId="77777777" w:rsidR="00E93F58" w:rsidRPr="00D97EFB" w:rsidRDefault="00E93F58" w:rsidP="00BB7E31">
      <w:pPr>
        <w:pStyle w:val="paragraph"/>
      </w:pPr>
      <w:r w:rsidRPr="00D97EFB">
        <w:tab/>
        <w:t>(f)</w:t>
      </w:r>
      <w:r w:rsidRPr="00D97EFB">
        <w:tab/>
        <w:t>a previous governing Code or a provision of the Code;</w:t>
      </w:r>
    </w:p>
    <w:p w14:paraId="13F060FD" w14:textId="77777777" w:rsidR="00E93F58" w:rsidRPr="00D97EFB" w:rsidRDefault="00E93F58" w:rsidP="00BB7E31">
      <w:pPr>
        <w:pStyle w:val="paragraph"/>
      </w:pPr>
      <w:r w:rsidRPr="00D97EFB">
        <w:tab/>
        <w:t>(g)</w:t>
      </w:r>
      <w:r w:rsidRPr="00D97EFB">
        <w:tab/>
        <w:t>an ASIC transitional standard within the meaning of Part 12.7 or a provision of the standard;</w:t>
      </w:r>
    </w:p>
    <w:p w14:paraId="07C59345" w14:textId="77777777" w:rsidR="00E93F58" w:rsidRPr="00D97EFB" w:rsidRDefault="00E93F58" w:rsidP="00BB7E31">
      <w:pPr>
        <w:pStyle w:val="paragraph"/>
      </w:pPr>
      <w:r w:rsidRPr="00D97EFB">
        <w:tab/>
        <w:t>(h)</w:t>
      </w:r>
      <w:r w:rsidRPr="00D97EFB">
        <w:tab/>
        <w:t>an APRA transitional prudential standard or a provision of the standard;</w:t>
      </w:r>
    </w:p>
    <w:p w14:paraId="41AF6AE0" w14:textId="77777777" w:rsidR="00E93F58" w:rsidRPr="00D97EFB" w:rsidRDefault="00E93F58" w:rsidP="00BB7E31">
      <w:pPr>
        <w:pStyle w:val="paragraph"/>
      </w:pPr>
      <w:r w:rsidRPr="00D97EFB">
        <w:tab/>
        <w:t>(i)</w:t>
      </w:r>
      <w:r w:rsidRPr="00D97EFB">
        <w:tab/>
        <w:t>an instrument made under a Code, an ASIC transitional standard, an APRA transitional prudential standard or a provision of the instrument.</w:t>
      </w:r>
    </w:p>
    <w:p w14:paraId="01A3DEAF" w14:textId="77777777" w:rsidR="00E93F58" w:rsidRPr="00D97EFB" w:rsidRDefault="00E93F58" w:rsidP="00BB7E31">
      <w:pPr>
        <w:pStyle w:val="subsection"/>
      </w:pPr>
      <w:r w:rsidRPr="00D97EFB">
        <w:tab/>
        <w:t>(3)</w:t>
      </w:r>
      <w:r w:rsidRPr="00D97EFB">
        <w:tab/>
        <w:t>A word or expression that is defined in the Act or these regulations applies to each use of the word or expression unless the contrary intention appears.</w:t>
      </w:r>
    </w:p>
    <w:p w14:paraId="06A281BF" w14:textId="77777777" w:rsidR="00E93F58" w:rsidRPr="00D97EFB" w:rsidRDefault="00E93F58" w:rsidP="00BB7E31">
      <w:pPr>
        <w:pStyle w:val="subsection"/>
      </w:pPr>
      <w:r w:rsidRPr="00D97EFB">
        <w:tab/>
        <w:t>(4)</w:t>
      </w:r>
      <w:r w:rsidRPr="00D97EFB">
        <w:tab/>
        <w:t>A reference to a power exercised by AFIC or an SSA is to be read as if it were a reference to an equivalent power exercised by ASIC under the Act, these regulations, another Commonwealth law or an ASIC transitional standard.</w:t>
      </w:r>
    </w:p>
    <w:p w14:paraId="23582946" w14:textId="77777777" w:rsidR="00E93F58" w:rsidRPr="00D97EFB" w:rsidRDefault="00E93F58" w:rsidP="00BB7E31">
      <w:pPr>
        <w:pStyle w:val="subsection"/>
      </w:pPr>
      <w:r w:rsidRPr="00D97EFB">
        <w:tab/>
        <w:t>(5)</w:t>
      </w:r>
      <w:r w:rsidRPr="00D97EFB">
        <w:tab/>
        <w:t>A reference to a class of body is to be read as if it were the comparable class of company after the transition date.</w:t>
      </w:r>
    </w:p>
    <w:p w14:paraId="083419D7" w14:textId="77777777" w:rsidR="00E93F58" w:rsidRPr="00D97EFB" w:rsidRDefault="00E93F58" w:rsidP="00BB7E31">
      <w:pPr>
        <w:pStyle w:val="subsection"/>
      </w:pPr>
      <w:r w:rsidRPr="00D97EFB">
        <w:tab/>
        <w:t>(6)</w:t>
      </w:r>
      <w:r w:rsidRPr="00D97EFB">
        <w:tab/>
        <w:t>A reference to the rules of a body is to be read as if it were a reference to the constitution of the body.</w:t>
      </w:r>
    </w:p>
    <w:p w14:paraId="51CFF228" w14:textId="77777777" w:rsidR="00E93F58" w:rsidRPr="00D97EFB" w:rsidRDefault="00E93F58" w:rsidP="00BB7E31">
      <w:pPr>
        <w:pStyle w:val="subsection"/>
      </w:pPr>
      <w:r w:rsidRPr="00D97EFB">
        <w:tab/>
        <w:t>(7)</w:t>
      </w:r>
      <w:r w:rsidRPr="00D97EFB">
        <w:tab/>
        <w:t>A reference to accounts, or group accounts, of a body is to be read as if it were a reference to a financial report, or consolidated financial statements, of the body.</w:t>
      </w:r>
    </w:p>
    <w:p w14:paraId="3189CEB2" w14:textId="77777777" w:rsidR="00E93F58" w:rsidRPr="00D97EFB" w:rsidRDefault="00E93F58" w:rsidP="00BB7E31">
      <w:pPr>
        <w:pStyle w:val="subsection"/>
      </w:pPr>
      <w:r w:rsidRPr="00D97EFB">
        <w:tab/>
        <w:t>(8)</w:t>
      </w:r>
      <w:r w:rsidRPr="00D97EFB">
        <w:tab/>
        <w:t>A reference to any matter mentioned in subregulation (2) is to be read in a way that:</w:t>
      </w:r>
    </w:p>
    <w:p w14:paraId="0ECB62E0" w14:textId="77777777" w:rsidR="00E93F58" w:rsidRPr="00D97EFB" w:rsidRDefault="00E93F58" w:rsidP="00BB7E31">
      <w:pPr>
        <w:pStyle w:val="paragraph"/>
      </w:pPr>
      <w:r w:rsidRPr="00D97EFB">
        <w:tab/>
        <w:t>(a)</w:t>
      </w:r>
      <w:r w:rsidRPr="00D97EFB">
        <w:tab/>
        <w:t>is consistent with, and promotes, the transition from the application of a previous governing Code to a transferring financial institution of a State or Territory to the application to the institution of the Act and these regulations; and</w:t>
      </w:r>
    </w:p>
    <w:p w14:paraId="2B9CE78B" w14:textId="77777777" w:rsidR="00E93F58" w:rsidRPr="00D97EFB" w:rsidRDefault="00E93F58" w:rsidP="00BB7E31">
      <w:pPr>
        <w:pStyle w:val="paragraph"/>
      </w:pPr>
      <w:r w:rsidRPr="00D97EFB">
        <w:tab/>
        <w:t>(b)</w:t>
      </w:r>
      <w:r w:rsidRPr="00D97EFB">
        <w:tab/>
        <w:t>is consistent with the duties, functions and powers of ASIC or an SSA; and</w:t>
      </w:r>
    </w:p>
    <w:p w14:paraId="3D6B93DE" w14:textId="77777777" w:rsidR="00E93F58" w:rsidRPr="00D97EFB" w:rsidRDefault="00E93F58" w:rsidP="00BB7E31">
      <w:pPr>
        <w:pStyle w:val="paragraph"/>
      </w:pPr>
      <w:r w:rsidRPr="00D97EFB">
        <w:tab/>
        <w:t>(c)</w:t>
      </w:r>
      <w:r w:rsidRPr="00D97EFB">
        <w:tab/>
        <w:t>does not alter the interpretation or operation of the instrument in which the reference appears.</w:t>
      </w:r>
    </w:p>
    <w:p w14:paraId="6314735A" w14:textId="77777777" w:rsidR="00E93F58" w:rsidRPr="00D97EFB" w:rsidRDefault="00E93F58" w:rsidP="00E23F70">
      <w:pPr>
        <w:pStyle w:val="ActHead2"/>
        <w:pageBreakBefore/>
      </w:pPr>
      <w:bookmarkStart w:id="3055" w:name="_Toc151994806"/>
      <w:bookmarkStart w:id="3056" w:name="_Toc158713316"/>
      <w:r w:rsidRPr="000D40D5">
        <w:rPr>
          <w:rStyle w:val="CharPartNo"/>
        </w:rPr>
        <w:lastRenderedPageBreak/>
        <w:t>Part 12.2</w:t>
      </w:r>
      <w:r w:rsidRPr="00D97EFB">
        <w:t>—</w:t>
      </w:r>
      <w:r w:rsidRPr="000D40D5">
        <w:rPr>
          <w:rStyle w:val="CharPartText"/>
        </w:rPr>
        <w:t>Transitional matters—general</w:t>
      </w:r>
      <w:bookmarkEnd w:id="3055"/>
      <w:bookmarkEnd w:id="3056"/>
    </w:p>
    <w:p w14:paraId="229A3D62" w14:textId="77777777" w:rsidR="00E93F58" w:rsidRPr="00D97EFB" w:rsidRDefault="00E93F58" w:rsidP="00BB7E31">
      <w:pPr>
        <w:pStyle w:val="ActHead3"/>
      </w:pPr>
      <w:bookmarkStart w:id="3057" w:name="_Toc151994807"/>
      <w:bookmarkStart w:id="3058" w:name="_Toc158713317"/>
      <w:r w:rsidRPr="000D40D5">
        <w:rPr>
          <w:rStyle w:val="CharDivNo"/>
        </w:rPr>
        <w:t>Division 2</w:t>
      </w:r>
      <w:r w:rsidRPr="00D97EFB">
        <w:t>—</w:t>
      </w:r>
      <w:r w:rsidRPr="000D40D5">
        <w:rPr>
          <w:rStyle w:val="CharDivText"/>
        </w:rPr>
        <w:t>Other matters</w:t>
      </w:r>
      <w:bookmarkEnd w:id="3057"/>
      <w:bookmarkEnd w:id="3058"/>
    </w:p>
    <w:p w14:paraId="12318B7B" w14:textId="77777777" w:rsidR="00E93F58" w:rsidRPr="00D97EFB" w:rsidRDefault="00E93F58" w:rsidP="00BB7E31">
      <w:pPr>
        <w:pStyle w:val="ActHead5"/>
      </w:pPr>
      <w:bookmarkStart w:id="3059" w:name="_Toc151994808"/>
      <w:bookmarkStart w:id="3060" w:name="_Toc158713318"/>
      <w:r w:rsidRPr="000D40D5">
        <w:rPr>
          <w:rStyle w:val="CharSectno"/>
        </w:rPr>
        <w:t>12.2.08</w:t>
      </w:r>
      <w:r w:rsidRPr="00D97EFB">
        <w:t xml:space="preserve">  Lodgment of certain documents with ASIC</w:t>
      </w:r>
      <w:bookmarkEnd w:id="3059"/>
      <w:bookmarkEnd w:id="3060"/>
    </w:p>
    <w:p w14:paraId="11C0ADFA" w14:textId="77777777" w:rsidR="00E93F58" w:rsidRPr="00D97EFB" w:rsidRDefault="00E93F58" w:rsidP="00BB7E31">
      <w:pPr>
        <w:pStyle w:val="subsection"/>
      </w:pPr>
      <w:r w:rsidRPr="00D97EFB">
        <w:tab/>
      </w:r>
      <w:r w:rsidRPr="00D97EFB">
        <w:tab/>
        <w:t>For clause 39 of Schedule 4 to the Act, if the Friendly Societies Code of a State or Territory applied to a transferring financial institution of a State or Territory immediately before the transfer date, the transferring financial institution may lodge with ASIC a document that had been lodged with AFIC at any time before the transfer date under that Code.</w:t>
      </w:r>
    </w:p>
    <w:p w14:paraId="27DEFD74" w14:textId="77777777" w:rsidR="00E93F58" w:rsidRPr="00D97EFB" w:rsidRDefault="00E93F58" w:rsidP="00BB7E31">
      <w:pPr>
        <w:pStyle w:val="ActHead5"/>
      </w:pPr>
      <w:bookmarkStart w:id="3061" w:name="_Toc151994809"/>
      <w:bookmarkStart w:id="3062" w:name="_Toc158713319"/>
      <w:r w:rsidRPr="000D40D5">
        <w:rPr>
          <w:rStyle w:val="CharSectno"/>
        </w:rPr>
        <w:t>12.2.10</w:t>
      </w:r>
      <w:r w:rsidRPr="00D97EFB">
        <w:t xml:space="preserve">  Certain appointments of auditors continue</w:t>
      </w:r>
      <w:bookmarkEnd w:id="3061"/>
      <w:bookmarkEnd w:id="3062"/>
    </w:p>
    <w:p w14:paraId="30AE165F" w14:textId="77777777" w:rsidR="00E93F58" w:rsidRPr="00D97EFB" w:rsidRDefault="00E93F58" w:rsidP="00BB7E31">
      <w:pPr>
        <w:pStyle w:val="subsection"/>
      </w:pPr>
      <w:r w:rsidRPr="00D97EFB">
        <w:tab/>
        <w:t>(1)</w:t>
      </w:r>
      <w:r w:rsidRPr="00D97EFB">
        <w:tab/>
        <w:t xml:space="preserve">For clause 39 of Schedule 4 to the Act, this regulation applies if a person or body held an appointment, immediately before the transfer date, under a previous governing Code or the </w:t>
      </w:r>
      <w:r w:rsidRPr="00D97EFB">
        <w:rPr>
          <w:i/>
        </w:rPr>
        <w:t>Friendly Societies Act 1894</w:t>
      </w:r>
      <w:r w:rsidRPr="00D97EFB">
        <w:t xml:space="preserve"> of Western Australia as the auditor of a transferring financial institution.</w:t>
      </w:r>
    </w:p>
    <w:p w14:paraId="219CFC13" w14:textId="77777777" w:rsidR="00E93F58" w:rsidRPr="00D97EFB" w:rsidRDefault="00E93F58" w:rsidP="00BB7E31">
      <w:pPr>
        <w:pStyle w:val="subsection"/>
      </w:pPr>
      <w:r w:rsidRPr="00D97EFB">
        <w:tab/>
        <w:t>(2)</w:t>
      </w:r>
      <w:r w:rsidRPr="00D97EFB">
        <w:tab/>
        <w:t>Section 324 of the Act applies to the person or body as if the person or body had been appointed under section 327 of the Act as the auditor of the transferring financial institution.</w:t>
      </w:r>
    </w:p>
    <w:p w14:paraId="1E7F3C45" w14:textId="77777777" w:rsidR="00E93F58" w:rsidRPr="00D97EFB" w:rsidRDefault="00E93F58" w:rsidP="00BB7E31">
      <w:pPr>
        <w:pStyle w:val="ActHead5"/>
      </w:pPr>
      <w:bookmarkStart w:id="3063" w:name="_Toc151994810"/>
      <w:bookmarkStart w:id="3064" w:name="_Toc158713320"/>
      <w:r w:rsidRPr="000D40D5">
        <w:rPr>
          <w:rStyle w:val="CharSectno"/>
        </w:rPr>
        <w:t>12.2.12</w:t>
      </w:r>
      <w:r w:rsidRPr="00D97EFB">
        <w:t xml:space="preserve">  Converted shares</w:t>
      </w:r>
      <w:bookmarkEnd w:id="3063"/>
      <w:bookmarkEnd w:id="3064"/>
    </w:p>
    <w:p w14:paraId="1237F4F7" w14:textId="77777777" w:rsidR="00E93F58" w:rsidRPr="00D97EFB" w:rsidRDefault="00E93F58" w:rsidP="00BB7E31">
      <w:pPr>
        <w:pStyle w:val="subsection"/>
      </w:pPr>
      <w:r w:rsidRPr="00D97EFB">
        <w:tab/>
        <w:t>(1)</w:t>
      </w:r>
      <w:r w:rsidRPr="00D97EFB">
        <w:tab/>
        <w:t>For clause 39 of Schedule 4 to the Act, this regulation modifies the application of section 254K of the Act in relation to a share in a company that is converted in accordance with regulation 12.2.04 to a share of another kind.</w:t>
      </w:r>
    </w:p>
    <w:p w14:paraId="07BD6FAA" w14:textId="77777777" w:rsidR="00E93F58" w:rsidRPr="00D97EFB" w:rsidRDefault="00E93F58" w:rsidP="00BB7E31">
      <w:pPr>
        <w:pStyle w:val="subsection"/>
      </w:pPr>
      <w:r w:rsidRPr="00D97EFB">
        <w:tab/>
        <w:t>(2)</w:t>
      </w:r>
      <w:r w:rsidRPr="00D97EFB">
        <w:tab/>
        <w:t>If the share is partly</w:t>
      </w:r>
      <w:r>
        <w:noBreakHyphen/>
      </w:r>
      <w:r w:rsidRPr="00D97EFB">
        <w:t>paid, the company may redeem the share on the same terms on which the share was redeemable before its conversion.</w:t>
      </w:r>
    </w:p>
    <w:p w14:paraId="09718EA0" w14:textId="77777777" w:rsidR="00E93F58" w:rsidRPr="00D97EFB" w:rsidRDefault="00E93F58" w:rsidP="00E23F70">
      <w:pPr>
        <w:pStyle w:val="ActHead2"/>
        <w:pageBreakBefore/>
      </w:pPr>
      <w:bookmarkStart w:id="3065" w:name="_Toc151994811"/>
      <w:bookmarkStart w:id="3066" w:name="_Toc158713321"/>
      <w:r w:rsidRPr="000D40D5">
        <w:rPr>
          <w:rStyle w:val="CharPartNo"/>
        </w:rPr>
        <w:lastRenderedPageBreak/>
        <w:t>Part 12.4</w:t>
      </w:r>
      <w:r w:rsidRPr="00D97EFB">
        <w:t>—</w:t>
      </w:r>
      <w:r w:rsidRPr="000D40D5">
        <w:rPr>
          <w:rStyle w:val="CharPartText"/>
        </w:rPr>
        <w:t>Notice of meetings of certain bodies corporate</w:t>
      </w:r>
      <w:bookmarkEnd w:id="3065"/>
      <w:bookmarkEnd w:id="3066"/>
    </w:p>
    <w:p w14:paraId="647936A3"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1931F2FE" w14:textId="77777777" w:rsidR="00E93F58" w:rsidRPr="00D97EFB" w:rsidRDefault="00E93F58" w:rsidP="002D2E49">
      <w:pPr>
        <w:pStyle w:val="ActHead5"/>
      </w:pPr>
      <w:bookmarkStart w:id="3067" w:name="_Toc151994812"/>
      <w:bookmarkStart w:id="3068" w:name="_Toc158713322"/>
      <w:r w:rsidRPr="000D40D5">
        <w:rPr>
          <w:rStyle w:val="CharSectno"/>
        </w:rPr>
        <w:t>12.4.01</w:t>
      </w:r>
      <w:r w:rsidRPr="00D97EFB">
        <w:t xml:space="preserve">  Application of Part</w:t>
      </w:r>
      <w:bookmarkEnd w:id="3067"/>
      <w:bookmarkEnd w:id="3068"/>
    </w:p>
    <w:p w14:paraId="2C43C3B4" w14:textId="77777777" w:rsidR="00E93F58" w:rsidRPr="00D97EFB" w:rsidRDefault="00E93F58" w:rsidP="007804D8">
      <w:pPr>
        <w:pStyle w:val="subsection"/>
      </w:pPr>
      <w:r w:rsidRPr="00D97EFB">
        <w:tab/>
        <w:t>(1)</w:t>
      </w:r>
      <w:r w:rsidRPr="00D97EFB">
        <w:tab/>
        <w:t>This Part applies to a body corporate that is:</w:t>
      </w:r>
    </w:p>
    <w:p w14:paraId="3EB7AA88" w14:textId="77777777" w:rsidR="00E93F58" w:rsidRPr="00D97EFB" w:rsidRDefault="00E93F58" w:rsidP="007804D8">
      <w:pPr>
        <w:pStyle w:val="paragraph"/>
      </w:pPr>
      <w:r w:rsidRPr="00D97EFB">
        <w:tab/>
        <w:t>(a)</w:t>
      </w:r>
      <w:r w:rsidRPr="00D97EFB">
        <w:tab/>
        <w:t>a transferring financial institution of a State or Territory; or</w:t>
      </w:r>
    </w:p>
    <w:p w14:paraId="2715EA97" w14:textId="77777777" w:rsidR="00E93F58" w:rsidRPr="00D97EFB" w:rsidRDefault="00E93F58" w:rsidP="007804D8">
      <w:pPr>
        <w:pStyle w:val="paragraph"/>
      </w:pPr>
      <w:r w:rsidRPr="00D97EFB">
        <w:tab/>
        <w:t>(b)</w:t>
      </w:r>
      <w:r w:rsidRPr="00D97EFB">
        <w:tab/>
        <w:t xml:space="preserve">a company that is permitted to use the expression </w:t>
      </w:r>
      <w:r w:rsidRPr="00D97EFB">
        <w:rPr>
          <w:b/>
          <w:i/>
        </w:rPr>
        <w:t>building society</w:t>
      </w:r>
      <w:r w:rsidRPr="00D97EFB">
        <w:t xml:space="preserve">, </w:t>
      </w:r>
      <w:r w:rsidRPr="00D97EFB">
        <w:rPr>
          <w:b/>
          <w:i/>
        </w:rPr>
        <w:t>credit society</w:t>
      </w:r>
      <w:r w:rsidRPr="00D97EFB">
        <w:t xml:space="preserve"> or </w:t>
      </w:r>
      <w:r w:rsidRPr="00D97EFB">
        <w:rPr>
          <w:b/>
          <w:i/>
        </w:rPr>
        <w:t>credit union</w:t>
      </w:r>
      <w:r w:rsidRPr="00D97EFB">
        <w:t xml:space="preserve"> under section 66 of the </w:t>
      </w:r>
      <w:r w:rsidRPr="00D97EFB">
        <w:rPr>
          <w:i/>
        </w:rPr>
        <w:t>Banking Act 1959</w:t>
      </w:r>
      <w:r w:rsidRPr="00D97EFB">
        <w:t>.</w:t>
      </w:r>
    </w:p>
    <w:p w14:paraId="0ED56BC4" w14:textId="77777777" w:rsidR="00E93F58" w:rsidRPr="00D97EFB" w:rsidRDefault="00E93F58" w:rsidP="007804D8">
      <w:pPr>
        <w:pStyle w:val="subsection"/>
      </w:pPr>
      <w:r w:rsidRPr="00D97EFB">
        <w:tab/>
        <w:t>(2)</w:t>
      </w:r>
      <w:r w:rsidRPr="00D97EFB">
        <w:tab/>
        <w:t>This Part applies in relation to the following members of the body corporate who are entitled to vote at a meeting of members of the body:</w:t>
      </w:r>
    </w:p>
    <w:p w14:paraId="2C93E791" w14:textId="77777777" w:rsidR="00E93F58" w:rsidRPr="00D97EFB" w:rsidRDefault="00E93F58" w:rsidP="007804D8">
      <w:pPr>
        <w:pStyle w:val="paragraph"/>
      </w:pPr>
      <w:r w:rsidRPr="00D97EFB">
        <w:tab/>
        <w:t>(a)</w:t>
      </w:r>
      <w:r w:rsidRPr="00D97EFB">
        <w:tab/>
        <w:t>members who hold only member shares;</w:t>
      </w:r>
    </w:p>
    <w:p w14:paraId="41276358" w14:textId="77777777" w:rsidR="00E93F58" w:rsidRPr="00D97EFB" w:rsidRDefault="00E93F58" w:rsidP="007804D8">
      <w:pPr>
        <w:pStyle w:val="paragraph"/>
      </w:pPr>
      <w:r w:rsidRPr="00D97EFB">
        <w:tab/>
        <w:t>(b)</w:t>
      </w:r>
      <w:r w:rsidRPr="00D97EFB">
        <w:tab/>
        <w:t>if the body is a company limited by guarantee—the members of the company;</w:t>
      </w:r>
    </w:p>
    <w:p w14:paraId="1F1AED41" w14:textId="77777777" w:rsidR="00E93F58" w:rsidRPr="00D97EFB" w:rsidRDefault="00E93F58" w:rsidP="007804D8">
      <w:pPr>
        <w:pStyle w:val="paragraph"/>
      </w:pPr>
      <w:r w:rsidRPr="00D97EFB">
        <w:tab/>
        <w:t>(c)</w:t>
      </w:r>
      <w:r w:rsidRPr="00D97EFB">
        <w:tab/>
        <w:t>if the body is a company limited by shares and guarantee—the members of the company who do not hold shares in the company.</w:t>
      </w:r>
    </w:p>
    <w:p w14:paraId="670C98A0" w14:textId="77777777" w:rsidR="00E93F58" w:rsidRPr="00D97EFB" w:rsidRDefault="00E93F58" w:rsidP="007804D8">
      <w:pPr>
        <w:pStyle w:val="subsection"/>
      </w:pPr>
      <w:r w:rsidRPr="00D97EFB">
        <w:tab/>
        <w:t>(3)</w:t>
      </w:r>
      <w:r w:rsidRPr="00D97EFB">
        <w:tab/>
        <w:t>This Part does not apply in relation to a meeting:</w:t>
      </w:r>
    </w:p>
    <w:p w14:paraId="69480CF0" w14:textId="77777777" w:rsidR="00E93F58" w:rsidRPr="00D97EFB" w:rsidRDefault="00E93F58" w:rsidP="007804D8">
      <w:pPr>
        <w:pStyle w:val="paragraph"/>
      </w:pPr>
      <w:r w:rsidRPr="00D97EFB">
        <w:tab/>
        <w:t>(a)</w:t>
      </w:r>
      <w:r w:rsidRPr="00D97EFB">
        <w:tab/>
        <w:t>that is held for the purposes of Chapter 5 or 6 of the Act; or</w:t>
      </w:r>
    </w:p>
    <w:p w14:paraId="0C2532B9" w14:textId="77777777" w:rsidR="00E93F58" w:rsidRPr="00D97EFB" w:rsidRDefault="00E93F58" w:rsidP="002D2E49">
      <w:pPr>
        <w:pStyle w:val="paragraph"/>
        <w:keepNext/>
        <w:keepLines/>
      </w:pPr>
      <w:r w:rsidRPr="00D97EFB">
        <w:tab/>
        <w:t>(b)</w:t>
      </w:r>
      <w:r w:rsidRPr="00D97EFB">
        <w:tab/>
        <w:t>to which Part 5 of Schedule 4 to that Act applies.</w:t>
      </w:r>
    </w:p>
    <w:p w14:paraId="0A17AD64" w14:textId="77777777" w:rsidR="00E93F58" w:rsidRPr="00D97EFB" w:rsidRDefault="00E93F58" w:rsidP="002D2E49">
      <w:pPr>
        <w:pStyle w:val="ActHead5"/>
      </w:pPr>
      <w:bookmarkStart w:id="3069" w:name="_Toc151994813"/>
      <w:bookmarkStart w:id="3070" w:name="_Toc158713323"/>
      <w:r w:rsidRPr="000D40D5">
        <w:rPr>
          <w:rStyle w:val="CharSectno"/>
        </w:rPr>
        <w:t>12.4.02</w:t>
      </w:r>
      <w:r w:rsidRPr="00D97EFB">
        <w:t xml:space="preserve">  Modification of certain provisions of Act</w:t>
      </w:r>
      <w:bookmarkEnd w:id="3069"/>
      <w:bookmarkEnd w:id="3070"/>
    </w:p>
    <w:p w14:paraId="4963820F" w14:textId="77777777" w:rsidR="00E93F58" w:rsidRPr="00D97EFB" w:rsidRDefault="00E93F58" w:rsidP="007804D8">
      <w:pPr>
        <w:pStyle w:val="subsection"/>
      </w:pPr>
      <w:r w:rsidRPr="00D97EFB">
        <w:tab/>
      </w:r>
      <w:r w:rsidRPr="00D97EFB">
        <w:tab/>
        <w:t>For clause 38 of Schedule 4 to the Act, this Part modifies the application of subsection 249H(1), section 249J, subsection 249P(6) and paragraph 249Z(b) of the Act in relation to the members of the body corporate.</w:t>
      </w:r>
    </w:p>
    <w:p w14:paraId="09816427" w14:textId="77777777" w:rsidR="00E93F58" w:rsidRPr="00D97EFB" w:rsidRDefault="00E93F58" w:rsidP="002D2E49">
      <w:pPr>
        <w:pStyle w:val="ActHead5"/>
      </w:pPr>
      <w:bookmarkStart w:id="3071" w:name="_Toc151994814"/>
      <w:bookmarkStart w:id="3072" w:name="_Toc158713324"/>
      <w:r w:rsidRPr="000D40D5">
        <w:rPr>
          <w:rStyle w:val="CharSectno"/>
        </w:rPr>
        <w:t>12.4.03</w:t>
      </w:r>
      <w:r w:rsidRPr="00D97EFB">
        <w:t xml:space="preserve">  Members etc may elect to be notified of meetings</w:t>
      </w:r>
      <w:bookmarkEnd w:id="3071"/>
      <w:bookmarkEnd w:id="3072"/>
    </w:p>
    <w:p w14:paraId="43EBD275" w14:textId="77777777" w:rsidR="00E93F58" w:rsidRPr="00D97EFB" w:rsidRDefault="00E93F58" w:rsidP="007804D8">
      <w:pPr>
        <w:pStyle w:val="subsection"/>
      </w:pPr>
      <w:r w:rsidRPr="00D97EFB">
        <w:tab/>
        <w:t>(1)</w:t>
      </w:r>
      <w:r w:rsidRPr="00D97EFB">
        <w:tab/>
        <w:t>The body corporate may give notice to a member, or to an applicant for membership, of the body corporate that he or she may elect to receive notice under subsection 249J(1) of the Act of meetings of members of the body corporate.</w:t>
      </w:r>
    </w:p>
    <w:p w14:paraId="48F5A560" w14:textId="77777777" w:rsidR="00E93F58" w:rsidRPr="00D97EFB" w:rsidRDefault="00E93F58" w:rsidP="007804D8">
      <w:pPr>
        <w:pStyle w:val="subsection"/>
      </w:pPr>
      <w:r w:rsidRPr="00D97EFB">
        <w:tab/>
        <w:t>(2)</w:t>
      </w:r>
      <w:r w:rsidRPr="00D97EFB">
        <w:tab/>
        <w:t>The notice must include a statement to the effect that:</w:t>
      </w:r>
    </w:p>
    <w:p w14:paraId="12D629AC" w14:textId="77777777" w:rsidR="00E93F58" w:rsidRPr="00D97EFB" w:rsidRDefault="00E93F58" w:rsidP="007804D8">
      <w:pPr>
        <w:pStyle w:val="paragraph"/>
      </w:pPr>
      <w:r w:rsidRPr="00D97EFB">
        <w:tab/>
        <w:t>(a)</w:t>
      </w:r>
      <w:r w:rsidRPr="00D97EFB">
        <w:tab/>
        <w:t>attendance at the AGM, and other meetings of members, of the body corporate enables the members:</w:t>
      </w:r>
    </w:p>
    <w:p w14:paraId="3D095E23" w14:textId="77777777" w:rsidR="00E93F58" w:rsidRPr="00D97EFB" w:rsidRDefault="00E93F58" w:rsidP="007804D8">
      <w:pPr>
        <w:pStyle w:val="paragraphsub"/>
      </w:pPr>
      <w:r w:rsidRPr="00D97EFB">
        <w:tab/>
        <w:t>(i)</w:t>
      </w:r>
      <w:r w:rsidRPr="00D97EFB">
        <w:tab/>
        <w:t>to participate in the governance of the body corporate; and</w:t>
      </w:r>
    </w:p>
    <w:p w14:paraId="2B6D3677" w14:textId="77777777" w:rsidR="00E93F58" w:rsidRPr="00D97EFB" w:rsidRDefault="00E93F58" w:rsidP="007804D8">
      <w:pPr>
        <w:pStyle w:val="paragraphsub"/>
      </w:pPr>
      <w:r w:rsidRPr="00D97EFB">
        <w:tab/>
        <w:t>(ii)</w:t>
      </w:r>
      <w:r w:rsidRPr="00D97EFB">
        <w:tab/>
        <w:t>to ask questions about, and comment on, the management of the body corporate, its financial standing and performance; and</w:t>
      </w:r>
    </w:p>
    <w:p w14:paraId="17CF2D3A" w14:textId="77777777" w:rsidR="00E93F58" w:rsidRPr="00D97EFB" w:rsidRDefault="00E93F58" w:rsidP="007804D8">
      <w:pPr>
        <w:pStyle w:val="paragraphsub"/>
      </w:pPr>
      <w:r w:rsidRPr="00D97EFB">
        <w:tab/>
        <w:t>(iii)</w:t>
      </w:r>
      <w:r w:rsidRPr="00D97EFB">
        <w:tab/>
        <w:t>to ask the auditor of the body corporate questions about the conduct of the audit of the body corporate and the preparation and content of the auditor’s report; and</w:t>
      </w:r>
    </w:p>
    <w:p w14:paraId="0206D42E" w14:textId="77777777" w:rsidR="00E93F58" w:rsidRPr="00D97EFB" w:rsidRDefault="00E93F58" w:rsidP="007804D8">
      <w:pPr>
        <w:pStyle w:val="paragraphsub"/>
      </w:pPr>
      <w:r w:rsidRPr="00D97EFB">
        <w:tab/>
        <w:t>(iv)</w:t>
      </w:r>
      <w:r w:rsidRPr="00D97EFB">
        <w:tab/>
        <w:t>to vote on any proposal to amend the constitution of the body corporate or on any other matter in relation to the management of the body corporate; and</w:t>
      </w:r>
    </w:p>
    <w:p w14:paraId="5B068E79" w14:textId="77777777" w:rsidR="00E93F58" w:rsidRPr="00D97EFB" w:rsidRDefault="00E93F58" w:rsidP="007804D8">
      <w:pPr>
        <w:pStyle w:val="paragraph"/>
      </w:pPr>
      <w:r w:rsidRPr="00D97EFB">
        <w:tab/>
        <w:t>(b)</w:t>
      </w:r>
      <w:r w:rsidRPr="00D97EFB">
        <w:tab/>
        <w:t>notice of meetings informs members about matters in relation to which they may wish to attend a meeting; and</w:t>
      </w:r>
    </w:p>
    <w:p w14:paraId="2594A6C8" w14:textId="77777777" w:rsidR="00E93F58" w:rsidRPr="00D97EFB" w:rsidRDefault="00E93F58" w:rsidP="007804D8">
      <w:pPr>
        <w:pStyle w:val="paragraph"/>
      </w:pPr>
      <w:r w:rsidRPr="00D97EFB">
        <w:tab/>
        <w:t>(c)</w:t>
      </w:r>
      <w:r w:rsidRPr="00D97EFB">
        <w:tab/>
        <w:t>a member of the body corporate who is entitled to attend, and cast a vote at, a meeting may appoint a proxy to attend and vote for the member at the meeting; and</w:t>
      </w:r>
    </w:p>
    <w:p w14:paraId="52CF0392" w14:textId="77777777" w:rsidR="00E93F58" w:rsidRPr="00D97EFB" w:rsidRDefault="00E93F58" w:rsidP="007804D8">
      <w:pPr>
        <w:pStyle w:val="paragraph"/>
      </w:pPr>
      <w:r w:rsidRPr="00D97EFB">
        <w:tab/>
        <w:t>(d)</w:t>
      </w:r>
      <w:r w:rsidRPr="00D97EFB">
        <w:tab/>
        <w:t>if the member does not elect to receive notice, the body corporate is not required to give notice of its meetings to the member; and</w:t>
      </w:r>
    </w:p>
    <w:p w14:paraId="6AC8EBBA" w14:textId="77777777" w:rsidR="00E93F58" w:rsidRPr="00D97EFB" w:rsidRDefault="00E93F58" w:rsidP="007804D8">
      <w:pPr>
        <w:pStyle w:val="paragraph"/>
      </w:pPr>
      <w:r w:rsidRPr="00D97EFB">
        <w:tab/>
        <w:t>(e)</w:t>
      </w:r>
      <w:r w:rsidRPr="00D97EFB">
        <w:tab/>
        <w:t>despite a member of the body corporate electing not to receive notice of its meetings, or not making an election, the member may at any time request the body corporate to give the member personal notice of the meetings.</w:t>
      </w:r>
    </w:p>
    <w:p w14:paraId="390829CB" w14:textId="77777777" w:rsidR="00E93F58" w:rsidRPr="00D97EFB" w:rsidRDefault="00E93F58" w:rsidP="007804D8">
      <w:pPr>
        <w:pStyle w:val="subsection"/>
      </w:pPr>
      <w:r w:rsidRPr="00D97EFB">
        <w:tab/>
        <w:t>(3)</w:t>
      </w:r>
      <w:r w:rsidRPr="00D97EFB">
        <w:tab/>
        <w:t>The member or applicant is taken not to have made an election if the body corporate has not received the election within 21 days of the notice being given in accordance with subregulation (1).</w:t>
      </w:r>
    </w:p>
    <w:p w14:paraId="093827E4" w14:textId="77777777" w:rsidR="00E93F58" w:rsidRPr="00D97EFB" w:rsidRDefault="00E93F58" w:rsidP="007804D8">
      <w:pPr>
        <w:pStyle w:val="subsection"/>
      </w:pPr>
      <w:r w:rsidRPr="00D97EFB">
        <w:tab/>
        <w:t>(4)</w:t>
      </w:r>
      <w:r w:rsidRPr="00D97EFB">
        <w:tab/>
        <w:t>If the member elects not to receive notice of meetings, or does not make an election, subsection 249H(1), section 249J, subsection 249P(6) and paragraph 249Z(b) of the Act do not apply to the body corporate in relation to the member.</w:t>
      </w:r>
    </w:p>
    <w:p w14:paraId="4A5F12D2" w14:textId="77777777" w:rsidR="00E93F58" w:rsidRPr="00D97EFB" w:rsidRDefault="00E93F58" w:rsidP="007804D8">
      <w:pPr>
        <w:pStyle w:val="subsection"/>
      </w:pPr>
      <w:r w:rsidRPr="00D97EFB">
        <w:lastRenderedPageBreak/>
        <w:tab/>
        <w:t>(5)</w:t>
      </w:r>
      <w:r w:rsidRPr="00D97EFB">
        <w:tab/>
        <w:t>If the applicant elects not to receive notice of meetings, or does not make an election, subsection 249H(1), section 249J, subsection 249P(6) and paragraph 249Z(b) of the Act do not apply to the body corporate in relation to the applicant if he or she becomes a member of the body corporate to whom this Part applies.</w:t>
      </w:r>
    </w:p>
    <w:p w14:paraId="3C61D695" w14:textId="77777777" w:rsidR="00E93F58" w:rsidRPr="00D97EFB" w:rsidRDefault="00E93F58" w:rsidP="002D2E49">
      <w:pPr>
        <w:pStyle w:val="ActHead5"/>
      </w:pPr>
      <w:bookmarkStart w:id="3073" w:name="_Toc151994815"/>
      <w:bookmarkStart w:id="3074" w:name="_Toc158713325"/>
      <w:r w:rsidRPr="000D40D5">
        <w:rPr>
          <w:rStyle w:val="CharSectno"/>
        </w:rPr>
        <w:t>12.4.04</w:t>
      </w:r>
      <w:r w:rsidRPr="00D97EFB">
        <w:t xml:space="preserve">  Notice of meetings to be published in press</w:t>
      </w:r>
      <w:bookmarkEnd w:id="3073"/>
      <w:bookmarkEnd w:id="3074"/>
    </w:p>
    <w:p w14:paraId="1071F93C" w14:textId="77777777" w:rsidR="00E93F58" w:rsidRPr="00D97EFB" w:rsidRDefault="00E93F58" w:rsidP="007804D8">
      <w:pPr>
        <w:pStyle w:val="subsection"/>
      </w:pPr>
      <w:r w:rsidRPr="00D97EFB">
        <w:tab/>
        <w:t>(1)</w:t>
      </w:r>
      <w:r w:rsidRPr="00D97EFB">
        <w:tab/>
        <w:t>If the body corporate gives notice under subregulation 12.4.03(1), notice of a meeting of the body corporate must be given in accordance with this regulation.</w:t>
      </w:r>
    </w:p>
    <w:p w14:paraId="7F7323DF" w14:textId="77777777" w:rsidR="00E93F58" w:rsidRPr="00D97EFB" w:rsidRDefault="00E93F58" w:rsidP="007804D8">
      <w:pPr>
        <w:pStyle w:val="subsection"/>
      </w:pPr>
      <w:r w:rsidRPr="00D97EFB">
        <w:tab/>
        <w:t>(2)</w:t>
      </w:r>
      <w:r w:rsidRPr="00D97EFB">
        <w:tab/>
        <w:t>The notice must be published, at least 21 days before the day on which the meeting is to be held, in at least 1 edition of a daily newspaper circulating generally in each State or Territory in which the body corporate conducts its business.</w:t>
      </w:r>
    </w:p>
    <w:p w14:paraId="7F34213D" w14:textId="77777777" w:rsidR="00E93F58" w:rsidRPr="00D97EFB" w:rsidRDefault="00E93F58" w:rsidP="007804D8">
      <w:pPr>
        <w:pStyle w:val="subsection"/>
      </w:pPr>
      <w:r w:rsidRPr="00D97EFB">
        <w:tab/>
        <w:t>(3)</w:t>
      </w:r>
      <w:r w:rsidRPr="00D97EFB">
        <w:tab/>
        <w:t>The notice must:</w:t>
      </w:r>
    </w:p>
    <w:p w14:paraId="0DEC0B7D" w14:textId="77777777" w:rsidR="00E93F58" w:rsidRPr="00D97EFB" w:rsidRDefault="00E93F58" w:rsidP="007804D8">
      <w:pPr>
        <w:pStyle w:val="paragraph"/>
      </w:pPr>
      <w:r w:rsidRPr="00D97EFB">
        <w:tab/>
        <w:t>(a)</w:t>
      </w:r>
      <w:r w:rsidRPr="00D97EFB">
        <w:tab/>
        <w:t>set out the date and time when, and the place where, the meeting is to be held; and</w:t>
      </w:r>
    </w:p>
    <w:p w14:paraId="3381644C" w14:textId="77777777" w:rsidR="00E93F58" w:rsidRPr="00D97EFB" w:rsidRDefault="00E93F58" w:rsidP="007804D8">
      <w:pPr>
        <w:pStyle w:val="paragraph"/>
      </w:pPr>
      <w:r w:rsidRPr="00D97EFB">
        <w:tab/>
        <w:t>(b)</w:t>
      </w:r>
      <w:r w:rsidRPr="00D97EFB">
        <w:tab/>
        <w:t>state the general nature of the business proposed for the meeting; and</w:t>
      </w:r>
    </w:p>
    <w:p w14:paraId="05F17FB2" w14:textId="77777777" w:rsidR="00E93F58" w:rsidRPr="00D97EFB" w:rsidRDefault="00E93F58" w:rsidP="007804D8">
      <w:pPr>
        <w:pStyle w:val="paragraph"/>
      </w:pPr>
      <w:r w:rsidRPr="00D97EFB">
        <w:tab/>
        <w:t>(c)</w:t>
      </w:r>
      <w:r w:rsidRPr="00D97EFB">
        <w:tab/>
        <w:t>include a statement to the effect that a member of the body corporate who is entitled to vote at the meeting may request the body corporate to give the member personal notice of the meeting; and</w:t>
      </w:r>
    </w:p>
    <w:p w14:paraId="1CBC791A" w14:textId="77777777" w:rsidR="00E93F58" w:rsidRPr="00D97EFB" w:rsidRDefault="00E93F58" w:rsidP="007804D8">
      <w:pPr>
        <w:pStyle w:val="paragraph"/>
      </w:pPr>
      <w:r w:rsidRPr="00D97EFB">
        <w:tab/>
        <w:t>(d)</w:t>
      </w:r>
      <w:r w:rsidRPr="00D97EFB">
        <w:tab/>
        <w:t>set out information about how a member may request the body corporate to give the member personal notice of the meeting.</w:t>
      </w:r>
    </w:p>
    <w:p w14:paraId="057E9F15" w14:textId="77777777" w:rsidR="00E93F58" w:rsidRPr="00D97EFB" w:rsidRDefault="00E93F58" w:rsidP="002D2E49">
      <w:pPr>
        <w:pStyle w:val="ActHead5"/>
      </w:pPr>
      <w:bookmarkStart w:id="3075" w:name="_Toc151994816"/>
      <w:bookmarkStart w:id="3076" w:name="_Toc158713326"/>
      <w:r w:rsidRPr="000D40D5">
        <w:rPr>
          <w:rStyle w:val="CharSectno"/>
        </w:rPr>
        <w:t>12.4.05</w:t>
      </w:r>
      <w:r w:rsidRPr="00D97EFB">
        <w:t xml:space="preserve">  Copies of notices to be displayed</w:t>
      </w:r>
      <w:bookmarkEnd w:id="3075"/>
      <w:bookmarkEnd w:id="3076"/>
    </w:p>
    <w:p w14:paraId="65A9AACA" w14:textId="77777777" w:rsidR="00E93F58" w:rsidRPr="00D97EFB" w:rsidRDefault="00E93F58" w:rsidP="007804D8">
      <w:pPr>
        <w:pStyle w:val="subsection"/>
      </w:pPr>
      <w:r w:rsidRPr="00D97EFB">
        <w:tab/>
      </w:r>
      <w:r w:rsidRPr="00D97EFB">
        <w:tab/>
        <w:t>If the body corporate gives notice under subregulation 12.4.03(1), notice of a meeting of the body corporate must be displayed conspicuously, for at least 21 days before the day on which the meeting is to be held, at:</w:t>
      </w:r>
    </w:p>
    <w:p w14:paraId="3909F022" w14:textId="77777777" w:rsidR="00E93F58" w:rsidRPr="00D97EFB" w:rsidRDefault="00E93F58" w:rsidP="007804D8">
      <w:pPr>
        <w:pStyle w:val="paragraph"/>
      </w:pPr>
      <w:r w:rsidRPr="00D97EFB">
        <w:tab/>
        <w:t>(a)</w:t>
      </w:r>
      <w:r w:rsidRPr="00D97EFB">
        <w:tab/>
        <w:t>the registered office of the body corporate; and</w:t>
      </w:r>
    </w:p>
    <w:p w14:paraId="4D4E1FA4" w14:textId="77777777" w:rsidR="00E93F58" w:rsidRPr="00D97EFB" w:rsidRDefault="00E93F58" w:rsidP="007804D8">
      <w:pPr>
        <w:pStyle w:val="paragraph"/>
      </w:pPr>
      <w:r w:rsidRPr="00D97EFB">
        <w:tab/>
        <w:t>(b)</w:t>
      </w:r>
      <w:r w:rsidRPr="00D97EFB">
        <w:tab/>
        <w:t>each other place where the body corporate conducts business that is open to the public.</w:t>
      </w:r>
    </w:p>
    <w:p w14:paraId="4920C7DF" w14:textId="77777777" w:rsidR="00E93F58" w:rsidRPr="00D97EFB" w:rsidRDefault="00E93F58" w:rsidP="002D2E49">
      <w:pPr>
        <w:pStyle w:val="ActHead5"/>
      </w:pPr>
      <w:bookmarkStart w:id="3077" w:name="_Toc151994817"/>
      <w:bookmarkStart w:id="3078" w:name="_Toc158713327"/>
      <w:r w:rsidRPr="000D40D5">
        <w:rPr>
          <w:rStyle w:val="CharSectno"/>
        </w:rPr>
        <w:t>12.4.06</w:t>
      </w:r>
      <w:r w:rsidRPr="00D97EFB">
        <w:t xml:space="preserve">  Members may request notice of meetings at any time</w:t>
      </w:r>
      <w:bookmarkEnd w:id="3077"/>
      <w:bookmarkEnd w:id="3078"/>
    </w:p>
    <w:p w14:paraId="09A08211" w14:textId="77777777" w:rsidR="00E93F58" w:rsidRPr="00D97EFB" w:rsidRDefault="00E93F58" w:rsidP="007804D8">
      <w:pPr>
        <w:pStyle w:val="subsection"/>
      </w:pPr>
      <w:r w:rsidRPr="00D97EFB">
        <w:tab/>
        <w:t>(1)</w:t>
      </w:r>
      <w:r w:rsidRPr="00D97EFB">
        <w:tab/>
        <w:t>The member may request the body corporate to give notice of a meeting to the member under subsection 249J(1) of the Act.</w:t>
      </w:r>
    </w:p>
    <w:p w14:paraId="6DAA87A9" w14:textId="77777777" w:rsidR="00E93F58" w:rsidRPr="00D97EFB" w:rsidRDefault="00E93F58" w:rsidP="007804D8">
      <w:pPr>
        <w:pStyle w:val="subsection"/>
      </w:pPr>
      <w:r w:rsidRPr="00D97EFB">
        <w:tab/>
        <w:t>(2)</w:t>
      </w:r>
      <w:r w:rsidRPr="00D97EFB">
        <w:tab/>
        <w:t>The request may be a standing request or only apply to a particular meeting.</w:t>
      </w:r>
    </w:p>
    <w:p w14:paraId="42235528" w14:textId="77777777" w:rsidR="00E93F58" w:rsidRPr="00D97EFB" w:rsidRDefault="00E93F58" w:rsidP="007804D8">
      <w:pPr>
        <w:pStyle w:val="subsection"/>
      </w:pPr>
      <w:r w:rsidRPr="00D97EFB">
        <w:tab/>
        <w:t>(3)</w:t>
      </w:r>
      <w:r w:rsidRPr="00D97EFB">
        <w:tab/>
        <w:t>If the member makes a request under subregulation (1), subsection 249H(1), section 249J, subsection 249P(6) and paragraph 249Z(b) of the Act apply to the body corporate in relation to:</w:t>
      </w:r>
    </w:p>
    <w:p w14:paraId="6086B59F" w14:textId="77777777" w:rsidR="00E93F58" w:rsidRPr="00D97EFB" w:rsidRDefault="00E93F58" w:rsidP="007804D8">
      <w:pPr>
        <w:pStyle w:val="paragraph"/>
      </w:pPr>
      <w:r w:rsidRPr="00D97EFB">
        <w:tab/>
        <w:t>(a)</w:t>
      </w:r>
      <w:r w:rsidRPr="00D97EFB">
        <w:tab/>
        <w:t>the member; and</w:t>
      </w:r>
    </w:p>
    <w:p w14:paraId="2AF289A7" w14:textId="77777777" w:rsidR="00E93F58" w:rsidRPr="00D97EFB" w:rsidRDefault="00E93F58" w:rsidP="007804D8">
      <w:pPr>
        <w:pStyle w:val="paragraph"/>
      </w:pPr>
      <w:r w:rsidRPr="00D97EFB">
        <w:tab/>
        <w:t>(b)</w:t>
      </w:r>
      <w:r w:rsidRPr="00D97EFB">
        <w:tab/>
        <w:t>a meeting to which the request relates.</w:t>
      </w:r>
    </w:p>
    <w:p w14:paraId="35978CEE" w14:textId="77777777" w:rsidR="00E93F58" w:rsidRPr="00D97EFB" w:rsidRDefault="00E93F58" w:rsidP="007804D8">
      <w:pPr>
        <w:pStyle w:val="subsection"/>
      </w:pPr>
      <w:r w:rsidRPr="00D97EFB">
        <w:tab/>
        <w:t>(4)</w:t>
      </w:r>
      <w:r w:rsidRPr="00D97EFB">
        <w:tab/>
        <w:t>However, if the member requests the body corporate to give notice of a meeting within 21 days of the day on which the meeting is to be held, the body corporate must give notice of the meeting to the member as soon as practicable.</w:t>
      </w:r>
    </w:p>
    <w:p w14:paraId="12066852" w14:textId="77777777" w:rsidR="00E93F58" w:rsidRPr="00D97EFB" w:rsidRDefault="00E93F58" w:rsidP="002D2E49">
      <w:pPr>
        <w:pStyle w:val="ActHead5"/>
      </w:pPr>
      <w:bookmarkStart w:id="3079" w:name="_Toc151994818"/>
      <w:bookmarkStart w:id="3080" w:name="_Toc158713328"/>
      <w:r w:rsidRPr="000D40D5">
        <w:rPr>
          <w:rStyle w:val="CharSectno"/>
        </w:rPr>
        <w:t>12.4.07</w:t>
      </w:r>
      <w:r w:rsidRPr="00D97EFB">
        <w:t xml:space="preserve">  Records to be kept about notices</w:t>
      </w:r>
      <w:bookmarkEnd w:id="3079"/>
      <w:bookmarkEnd w:id="3080"/>
    </w:p>
    <w:p w14:paraId="1ADCCDCF" w14:textId="77777777" w:rsidR="00E93F58" w:rsidRPr="00D97EFB" w:rsidRDefault="00E93F58" w:rsidP="007804D8">
      <w:pPr>
        <w:pStyle w:val="subsection"/>
      </w:pPr>
      <w:r w:rsidRPr="00D97EFB">
        <w:tab/>
      </w:r>
      <w:r w:rsidRPr="00D97EFB">
        <w:tab/>
        <w:t>A body corporate must, not later than 28 days after a notice is given under subregulation 12.4.03(1) to a member of the body corporate, record in writing:</w:t>
      </w:r>
    </w:p>
    <w:p w14:paraId="23D044A2" w14:textId="77777777" w:rsidR="00E93F58" w:rsidRPr="00D97EFB" w:rsidRDefault="00E93F58" w:rsidP="007804D8">
      <w:pPr>
        <w:pStyle w:val="paragraph"/>
      </w:pPr>
      <w:r w:rsidRPr="00D97EFB">
        <w:rPr>
          <w:color w:val="000000"/>
        </w:rPr>
        <w:tab/>
        <w:t>(a)</w:t>
      </w:r>
      <w:r w:rsidRPr="00D97EFB">
        <w:rPr>
          <w:color w:val="000000"/>
        </w:rPr>
        <w:tab/>
        <w:t>the date on which the notice was given to the member; and</w:t>
      </w:r>
    </w:p>
    <w:p w14:paraId="07E5CACE" w14:textId="77777777" w:rsidR="00E93F58" w:rsidRPr="00D97EFB" w:rsidRDefault="00E93F58" w:rsidP="007804D8">
      <w:pPr>
        <w:pStyle w:val="paragraph"/>
      </w:pPr>
      <w:r w:rsidRPr="00D97EFB">
        <w:tab/>
        <w:t>(b)</w:t>
      </w:r>
      <w:r w:rsidRPr="00D97EFB">
        <w:tab/>
        <w:t>whether the member elected to receive notice of meetings of members of the body corporate.</w:t>
      </w:r>
    </w:p>
    <w:p w14:paraId="15A1ED0C" w14:textId="77777777" w:rsidR="00E93F58" w:rsidRPr="00D97EFB" w:rsidRDefault="00E93F58" w:rsidP="007804D8">
      <w:pPr>
        <w:pStyle w:val="notetext"/>
      </w:pPr>
      <w:r w:rsidRPr="00D97EFB">
        <w:t>Example of recording:</w:t>
      </w:r>
      <w:r w:rsidRPr="00D97EFB">
        <w:tab/>
        <w:t>An entry made in a register kept under Chapter 2C of the Act.</w:t>
      </w:r>
    </w:p>
    <w:p w14:paraId="000F9F48" w14:textId="77777777" w:rsidR="00E93F58" w:rsidRPr="00D97EFB" w:rsidRDefault="00E93F58" w:rsidP="00E23F70">
      <w:pPr>
        <w:pStyle w:val="ActHead2"/>
        <w:pageBreakBefore/>
      </w:pPr>
      <w:bookmarkStart w:id="3081" w:name="_Toc151994819"/>
      <w:bookmarkStart w:id="3082" w:name="_Toc158713329"/>
      <w:r w:rsidRPr="000D40D5">
        <w:rPr>
          <w:rStyle w:val="CharPartNo"/>
        </w:rPr>
        <w:lastRenderedPageBreak/>
        <w:t>Part 12.5</w:t>
      </w:r>
      <w:r w:rsidRPr="00D97EFB">
        <w:t>—</w:t>
      </w:r>
      <w:r w:rsidRPr="000D40D5">
        <w:rPr>
          <w:rStyle w:val="CharPartText"/>
        </w:rPr>
        <w:t>Determinations and declarations in relation to certain instruments</w:t>
      </w:r>
      <w:bookmarkEnd w:id="3081"/>
      <w:bookmarkEnd w:id="3082"/>
    </w:p>
    <w:p w14:paraId="725E504A"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273B1D7F" w14:textId="77777777" w:rsidR="00E93F58" w:rsidRPr="00D97EFB" w:rsidRDefault="00E93F58" w:rsidP="00BB7E31">
      <w:pPr>
        <w:pStyle w:val="ActHead5"/>
      </w:pPr>
      <w:bookmarkStart w:id="3083" w:name="_Toc151994820"/>
      <w:bookmarkStart w:id="3084" w:name="_Toc158713330"/>
      <w:r w:rsidRPr="000D40D5">
        <w:rPr>
          <w:rStyle w:val="CharSectno"/>
        </w:rPr>
        <w:t>12.5.01</w:t>
      </w:r>
      <w:r w:rsidRPr="00D97EFB">
        <w:t xml:space="preserve">  Definition for Part 12.5</w:t>
      </w:r>
      <w:bookmarkEnd w:id="3083"/>
      <w:bookmarkEnd w:id="3084"/>
    </w:p>
    <w:p w14:paraId="21E766EF" w14:textId="77777777" w:rsidR="00E93F58" w:rsidRPr="00D97EFB" w:rsidRDefault="00E93F58" w:rsidP="00BB7E31">
      <w:pPr>
        <w:pStyle w:val="subsection"/>
      </w:pPr>
      <w:r w:rsidRPr="00D97EFB">
        <w:tab/>
      </w:r>
      <w:r w:rsidRPr="00D97EFB">
        <w:tab/>
        <w:t>In this Part:</w:t>
      </w:r>
    </w:p>
    <w:p w14:paraId="4564917A" w14:textId="77777777" w:rsidR="00E93F58" w:rsidRPr="00D97EFB" w:rsidRDefault="00E93F58" w:rsidP="00BB7E31">
      <w:pPr>
        <w:pStyle w:val="Definition"/>
      </w:pPr>
      <w:r w:rsidRPr="00D97EFB">
        <w:rPr>
          <w:b/>
          <w:i/>
        </w:rPr>
        <w:t>relevant transitional instrument or requirement</w:t>
      </w:r>
      <w:r w:rsidRPr="00D97EFB">
        <w:t xml:space="preserve"> means:</w:t>
      </w:r>
    </w:p>
    <w:p w14:paraId="3E2DC711" w14:textId="77777777" w:rsidR="00E93F58" w:rsidRPr="00D97EFB" w:rsidRDefault="00E93F58" w:rsidP="00BB7E31">
      <w:pPr>
        <w:pStyle w:val="paragraph"/>
      </w:pPr>
      <w:r w:rsidRPr="00D97EFB">
        <w:tab/>
        <w:t>(a)</w:t>
      </w:r>
      <w:r w:rsidRPr="00D97EFB">
        <w:tab/>
        <w:t>an instrument (as in force immediately before the transfer date) that was made by AFIC, or an SSA, under a provision of the replaced legislation in relation to a matter for which ASIC is responsible for which no transitional, saving or application provision applies on that date in:</w:t>
      </w:r>
    </w:p>
    <w:p w14:paraId="7D3AB788" w14:textId="77777777" w:rsidR="00E93F58" w:rsidRPr="00D97EFB" w:rsidRDefault="00E93F58" w:rsidP="00BB7E31">
      <w:pPr>
        <w:pStyle w:val="paragraphsub"/>
      </w:pPr>
      <w:r w:rsidRPr="00D97EFB">
        <w:tab/>
        <w:t>(i)</w:t>
      </w:r>
      <w:r w:rsidRPr="00D97EFB">
        <w:tab/>
        <w:t>the Act, the Financial Sector Reform Act or another Commonwealth Act; or</w:t>
      </w:r>
    </w:p>
    <w:p w14:paraId="509FCCDF" w14:textId="77777777" w:rsidR="00E93F58" w:rsidRPr="00D97EFB" w:rsidRDefault="00E93F58" w:rsidP="00BB7E31">
      <w:pPr>
        <w:pStyle w:val="paragraphsub"/>
      </w:pPr>
      <w:r w:rsidRPr="00D97EFB">
        <w:tab/>
        <w:t>(ii)</w:t>
      </w:r>
      <w:r w:rsidRPr="00D97EFB">
        <w:tab/>
        <w:t>these regulations or any other regulations, or another instrument, made under a Commonwealth Act; or</w:t>
      </w:r>
    </w:p>
    <w:p w14:paraId="1D837994" w14:textId="77777777" w:rsidR="00E93F58" w:rsidRPr="00D97EFB" w:rsidRDefault="00E93F58" w:rsidP="00BB7E31">
      <w:pPr>
        <w:pStyle w:val="paragraph"/>
      </w:pPr>
      <w:r w:rsidRPr="00D97EFB">
        <w:tab/>
        <w:t>(b)</w:t>
      </w:r>
      <w:r w:rsidRPr="00D97EFB">
        <w:tab/>
        <w:t>a requirement under the provisions mentioned in paragraph 272(1)(a) of the Financial Institutions Code of a State or Territory; or</w:t>
      </w:r>
    </w:p>
    <w:p w14:paraId="57DBF230" w14:textId="77777777" w:rsidR="00E93F58" w:rsidRPr="00D97EFB" w:rsidRDefault="00E93F58" w:rsidP="00BB7E31">
      <w:pPr>
        <w:pStyle w:val="paragraph"/>
      </w:pPr>
      <w:r w:rsidRPr="00D97EFB">
        <w:tab/>
        <w:t>(c)</w:t>
      </w:r>
      <w:r w:rsidRPr="00D97EFB">
        <w:tab/>
        <w:t>a requirement under the provisions mentioned in paragraph 334(1)(a) of the Friendly Societies Code of a State or Territory; or</w:t>
      </w:r>
    </w:p>
    <w:p w14:paraId="2BE709F5" w14:textId="77777777" w:rsidR="00E93F58" w:rsidRPr="00D97EFB" w:rsidRDefault="00E93F58" w:rsidP="00BB7E31">
      <w:pPr>
        <w:pStyle w:val="paragraph"/>
      </w:pPr>
      <w:r w:rsidRPr="00D97EFB">
        <w:tab/>
        <w:t>(d)</w:t>
      </w:r>
      <w:r w:rsidRPr="00D97EFB">
        <w:tab/>
        <w:t>the ASIC transitional standards within the meaning of Part 12.7; or</w:t>
      </w:r>
    </w:p>
    <w:p w14:paraId="5975D2C5" w14:textId="77777777" w:rsidR="00E93F58" w:rsidRPr="00D97EFB" w:rsidRDefault="00E93F58" w:rsidP="00BB7E31">
      <w:pPr>
        <w:pStyle w:val="paragraph"/>
      </w:pPr>
      <w:r w:rsidRPr="00D97EFB">
        <w:tab/>
        <w:t>(e)</w:t>
      </w:r>
      <w:r w:rsidRPr="00D97EFB">
        <w:tab/>
        <w:t>an instrument made under an instrument or provision mentioned in paragraph (a), (b), (c) or (d).</w:t>
      </w:r>
    </w:p>
    <w:p w14:paraId="1823B672" w14:textId="77777777" w:rsidR="00E93F58" w:rsidRPr="00D97EFB" w:rsidRDefault="00E93F58" w:rsidP="00BB7E31">
      <w:pPr>
        <w:pStyle w:val="ActHead5"/>
      </w:pPr>
      <w:bookmarkStart w:id="3085" w:name="_Toc151994821"/>
      <w:bookmarkStart w:id="3086" w:name="_Toc158713331"/>
      <w:r w:rsidRPr="000D40D5">
        <w:rPr>
          <w:rStyle w:val="CharSectno"/>
        </w:rPr>
        <w:t>12.5.02</w:t>
      </w:r>
      <w:r w:rsidRPr="00D97EFB">
        <w:t xml:space="preserve">  Application, variation, revocation and modification</w:t>
      </w:r>
      <w:bookmarkEnd w:id="3085"/>
      <w:bookmarkEnd w:id="3086"/>
    </w:p>
    <w:p w14:paraId="2D1AF5F4" w14:textId="77777777" w:rsidR="00E93F58" w:rsidRPr="00D97EFB" w:rsidRDefault="00E93F58" w:rsidP="00BB7E31">
      <w:pPr>
        <w:pStyle w:val="subsection"/>
      </w:pPr>
      <w:r w:rsidRPr="00D97EFB">
        <w:tab/>
        <w:t>(2)</w:t>
      </w:r>
      <w:r w:rsidRPr="00D97EFB">
        <w:tab/>
        <w:t>For clause 39 of Schedule 4 to the Act, ASIC may, by declaration:</w:t>
      </w:r>
    </w:p>
    <w:p w14:paraId="7E5A5081" w14:textId="77777777" w:rsidR="00E93F58" w:rsidRPr="00D97EFB" w:rsidRDefault="00E93F58" w:rsidP="00BB7E31">
      <w:pPr>
        <w:pStyle w:val="paragraph"/>
      </w:pPr>
      <w:r w:rsidRPr="00D97EFB">
        <w:tab/>
        <w:t>(a)</w:t>
      </w:r>
      <w:r w:rsidRPr="00D97EFB">
        <w:tab/>
        <w:t>vary or revoke a relevant transitional instrument or requirement, or a determination under subregulation (1), that applies on the day on which the determination is made; or</w:t>
      </w:r>
    </w:p>
    <w:p w14:paraId="69CF4DE9" w14:textId="77777777" w:rsidR="00E93F58" w:rsidRPr="00D97EFB" w:rsidRDefault="00E93F58" w:rsidP="00BB7E31">
      <w:pPr>
        <w:pStyle w:val="paragraph"/>
      </w:pPr>
      <w:r w:rsidRPr="00D97EFB">
        <w:tab/>
        <w:t>(b)</w:t>
      </w:r>
      <w:r w:rsidRPr="00D97EFB">
        <w:tab/>
        <w:t>modify the application of a relevant transitional instrument or requirement that applies on the day on which the determination is made.</w:t>
      </w:r>
    </w:p>
    <w:p w14:paraId="50ECD6F5" w14:textId="77777777" w:rsidR="00E93F58" w:rsidRPr="00D97EFB" w:rsidRDefault="00E93F58" w:rsidP="00BB7E31">
      <w:pPr>
        <w:pStyle w:val="subsection"/>
      </w:pPr>
      <w:r w:rsidRPr="00D97EFB">
        <w:tab/>
        <w:t>(3)</w:t>
      </w:r>
      <w:r w:rsidRPr="00D97EFB">
        <w:tab/>
        <w:t>However, ASIC must not vary or modify a relevant transitional instrument or requirement, or a determination, in relation to an obligation, contravention of which results in the commission of an offence, so as to make it more difficult to comply with the obligation.</w:t>
      </w:r>
    </w:p>
    <w:p w14:paraId="28FF63C0" w14:textId="77777777" w:rsidR="00E93F58" w:rsidRPr="00D97EFB" w:rsidRDefault="00E93F58" w:rsidP="00BB7E31">
      <w:pPr>
        <w:pStyle w:val="subsection"/>
      </w:pPr>
      <w:r w:rsidRPr="00D97EFB">
        <w:tab/>
        <w:t>(4)</w:t>
      </w:r>
      <w:r w:rsidRPr="00D97EFB">
        <w:tab/>
        <w:t>Also, ASIC must consult with APRA before:</w:t>
      </w:r>
    </w:p>
    <w:p w14:paraId="68A2820E" w14:textId="77777777" w:rsidR="00E93F58" w:rsidRPr="00D97EFB" w:rsidRDefault="00E93F58" w:rsidP="00BB7E31">
      <w:pPr>
        <w:pStyle w:val="paragraph"/>
      </w:pPr>
      <w:r w:rsidRPr="00D97EFB">
        <w:tab/>
        <w:t>(a)</w:t>
      </w:r>
      <w:r w:rsidRPr="00D97EFB">
        <w:tab/>
        <w:t>varying or revoking an ASIC transitional standard that is also an APRA transitional prudential standard; or</w:t>
      </w:r>
    </w:p>
    <w:p w14:paraId="3D6453F7" w14:textId="77777777" w:rsidR="00E93F58" w:rsidRPr="00D97EFB" w:rsidRDefault="00E93F58" w:rsidP="00BB7E31">
      <w:pPr>
        <w:pStyle w:val="paragraph"/>
      </w:pPr>
      <w:r w:rsidRPr="00D97EFB">
        <w:tab/>
        <w:t>(b)</w:t>
      </w:r>
      <w:r w:rsidRPr="00D97EFB">
        <w:tab/>
        <w:t>modifying the application of an ASIC transitional standard that is also an APRA transitional prudential standard.</w:t>
      </w:r>
    </w:p>
    <w:p w14:paraId="4CF5EE64" w14:textId="77777777" w:rsidR="00E93F58" w:rsidRPr="00D97EFB" w:rsidRDefault="00E93F58" w:rsidP="00BB7E31">
      <w:pPr>
        <w:pStyle w:val="subsection"/>
      </w:pPr>
      <w:r w:rsidRPr="00D97EFB">
        <w:tab/>
        <w:t>(5)</w:t>
      </w:r>
      <w:r w:rsidRPr="00D97EFB">
        <w:tab/>
        <w:t>A failure to comply with subregulation (4) does not affect the action taken by ASIC.</w:t>
      </w:r>
    </w:p>
    <w:p w14:paraId="11C74CFF" w14:textId="77777777" w:rsidR="00E93F58" w:rsidRPr="00D97EFB" w:rsidRDefault="00E93F58" w:rsidP="00BB7E31">
      <w:pPr>
        <w:pStyle w:val="ActHead5"/>
      </w:pPr>
      <w:bookmarkStart w:id="3087" w:name="_Toc151994822"/>
      <w:bookmarkStart w:id="3088" w:name="_Toc158713332"/>
      <w:r w:rsidRPr="000D40D5">
        <w:rPr>
          <w:rStyle w:val="CharSectno"/>
        </w:rPr>
        <w:t>12.5.03</w:t>
      </w:r>
      <w:r w:rsidRPr="00D97EFB">
        <w:t xml:space="preserve">  Effect of determinations and declarations</w:t>
      </w:r>
      <w:bookmarkEnd w:id="3087"/>
      <w:bookmarkEnd w:id="3088"/>
    </w:p>
    <w:p w14:paraId="25E17DDF" w14:textId="77777777" w:rsidR="00E93F58" w:rsidRPr="00D97EFB" w:rsidRDefault="00E93F58" w:rsidP="00BB7E31">
      <w:pPr>
        <w:pStyle w:val="subsection"/>
      </w:pPr>
      <w:r w:rsidRPr="00D97EFB">
        <w:tab/>
      </w:r>
      <w:r w:rsidRPr="00D97EFB">
        <w:tab/>
        <w:t>A relevant transitional instrument or requirement has effect subject to a determination or declaration that applies to the instrument or requirement.</w:t>
      </w:r>
    </w:p>
    <w:p w14:paraId="56A6A66F" w14:textId="77777777" w:rsidR="00E93F58" w:rsidRPr="00D97EFB" w:rsidRDefault="00E93F58" w:rsidP="00BB7E31">
      <w:pPr>
        <w:pStyle w:val="ActHead5"/>
      </w:pPr>
      <w:bookmarkStart w:id="3089" w:name="_Toc151994823"/>
      <w:bookmarkStart w:id="3090" w:name="_Toc158713333"/>
      <w:r w:rsidRPr="000D40D5">
        <w:rPr>
          <w:rStyle w:val="CharSectno"/>
        </w:rPr>
        <w:t>12.5.04</w:t>
      </w:r>
      <w:r w:rsidRPr="00D97EFB">
        <w:t xml:space="preserve">  Publication of determinations and declarations</w:t>
      </w:r>
      <w:bookmarkEnd w:id="3089"/>
      <w:bookmarkEnd w:id="3090"/>
    </w:p>
    <w:p w14:paraId="524BC2AB" w14:textId="77777777" w:rsidR="00E93F58" w:rsidRPr="00D97EFB" w:rsidRDefault="00E93F58" w:rsidP="00BB7E31">
      <w:pPr>
        <w:pStyle w:val="subsection"/>
      </w:pPr>
      <w:r w:rsidRPr="00D97EFB">
        <w:tab/>
        <w:t>(1)</w:t>
      </w:r>
      <w:r w:rsidRPr="00D97EFB">
        <w:tab/>
        <w:t xml:space="preserve">If a relevant transitional instrument or requirement to which a determination or declaration relates was, before the transfer date, subject under a previous governing Code to a publication requirement corresponding to publication in the </w:t>
      </w:r>
      <w:r w:rsidRPr="00D97EFB">
        <w:rPr>
          <w:i/>
        </w:rPr>
        <w:t>Gazette</w:t>
      </w:r>
      <w:r w:rsidRPr="00D97EFB">
        <w:t xml:space="preserve">, the determination or declaration must be published in the </w:t>
      </w:r>
      <w:r w:rsidRPr="00D97EFB">
        <w:rPr>
          <w:i/>
        </w:rPr>
        <w:t>Gazette</w:t>
      </w:r>
      <w:r w:rsidRPr="00D97EFB">
        <w:t>.</w:t>
      </w:r>
    </w:p>
    <w:p w14:paraId="3F780BDD" w14:textId="77777777" w:rsidR="00E93F58" w:rsidRPr="00D97EFB" w:rsidRDefault="00E93F58" w:rsidP="00BB7E31">
      <w:pPr>
        <w:pStyle w:val="subsection"/>
      </w:pPr>
      <w:r w:rsidRPr="00D97EFB">
        <w:tab/>
        <w:t>(2)</w:t>
      </w:r>
      <w:r w:rsidRPr="00D97EFB">
        <w:tab/>
        <w:t xml:space="preserve">If a relevant transitional instrument or requirement to which a determination or declaration applies was not, before the transfer date, subject under a previous governing Code to a publication requirement corresponding to publication in the </w:t>
      </w:r>
      <w:r w:rsidRPr="00D97EFB">
        <w:rPr>
          <w:i/>
        </w:rPr>
        <w:t>Gazette</w:t>
      </w:r>
      <w:r w:rsidRPr="00D97EFB">
        <w:t>, a copy of the determination or declaration must be:</w:t>
      </w:r>
    </w:p>
    <w:p w14:paraId="7B6BECC8" w14:textId="77777777" w:rsidR="00E93F58" w:rsidRPr="00D97EFB" w:rsidRDefault="00E93F58" w:rsidP="00BB7E31">
      <w:pPr>
        <w:pStyle w:val="paragraph"/>
      </w:pPr>
      <w:r w:rsidRPr="00D97EFB">
        <w:tab/>
        <w:t>(a)</w:t>
      </w:r>
      <w:r w:rsidRPr="00D97EFB">
        <w:tab/>
        <w:t>given to each transferring financial institution of a State or Territory to which the relevant transitional instrument or requirement applies; or</w:t>
      </w:r>
    </w:p>
    <w:p w14:paraId="7667AA24" w14:textId="77777777" w:rsidR="00E93F58" w:rsidRPr="00D97EFB" w:rsidRDefault="00E93F58" w:rsidP="00BB7E31">
      <w:pPr>
        <w:pStyle w:val="paragraph"/>
      </w:pPr>
      <w:r w:rsidRPr="00D97EFB">
        <w:tab/>
        <w:t>(b)</w:t>
      </w:r>
      <w:r w:rsidRPr="00D97EFB">
        <w:tab/>
        <w:t>otherwise made available to the institution.</w:t>
      </w:r>
    </w:p>
    <w:p w14:paraId="01F72017" w14:textId="77777777" w:rsidR="00E93F58" w:rsidRPr="00D97EFB" w:rsidRDefault="00E93F58" w:rsidP="00BB7E31">
      <w:pPr>
        <w:pStyle w:val="ActHead5"/>
      </w:pPr>
      <w:bookmarkStart w:id="3091" w:name="_Toc151994824"/>
      <w:bookmarkStart w:id="3092" w:name="_Toc158713334"/>
      <w:r w:rsidRPr="000D40D5">
        <w:rPr>
          <w:rStyle w:val="CharSectno"/>
        </w:rPr>
        <w:lastRenderedPageBreak/>
        <w:t>12.5.05</w:t>
      </w:r>
      <w:r w:rsidRPr="00D97EFB">
        <w:t xml:space="preserve">  When determinations and declarations take effect</w:t>
      </w:r>
      <w:bookmarkEnd w:id="3091"/>
      <w:bookmarkEnd w:id="3092"/>
    </w:p>
    <w:p w14:paraId="0096D353" w14:textId="77777777" w:rsidR="00E93F58" w:rsidRPr="00D97EFB" w:rsidRDefault="00E93F58" w:rsidP="00BB7E31">
      <w:pPr>
        <w:pStyle w:val="subsection"/>
      </w:pPr>
      <w:r w:rsidRPr="00D97EFB">
        <w:tab/>
      </w:r>
      <w:r w:rsidRPr="00D97EFB">
        <w:tab/>
        <w:t>A determination or declaration takes effect on the day stated in the determination or declaration.</w:t>
      </w:r>
    </w:p>
    <w:p w14:paraId="3535B6C7" w14:textId="77777777" w:rsidR="00E93F58" w:rsidRPr="00D97EFB" w:rsidRDefault="00E93F58" w:rsidP="00BB7E31">
      <w:pPr>
        <w:pStyle w:val="ActHead5"/>
      </w:pPr>
      <w:bookmarkStart w:id="3093" w:name="_Toc151994825"/>
      <w:bookmarkStart w:id="3094" w:name="_Toc158713335"/>
      <w:r w:rsidRPr="000D40D5">
        <w:rPr>
          <w:rStyle w:val="CharSectno"/>
        </w:rPr>
        <w:t>12.5.06</w:t>
      </w:r>
      <w:r w:rsidRPr="00D97EFB">
        <w:t xml:space="preserve">  Inspection and purchase of copies of instruments</w:t>
      </w:r>
      <w:bookmarkEnd w:id="3093"/>
      <w:bookmarkEnd w:id="3094"/>
    </w:p>
    <w:p w14:paraId="68B1AD6D" w14:textId="77777777" w:rsidR="00E93F58" w:rsidRPr="00D97EFB" w:rsidRDefault="00E93F58" w:rsidP="00BB7E31">
      <w:pPr>
        <w:pStyle w:val="subsection"/>
      </w:pPr>
      <w:r w:rsidRPr="00D97EFB">
        <w:rPr>
          <w:color w:val="000000"/>
        </w:rPr>
        <w:tab/>
        <w:t>(1)</w:t>
      </w:r>
      <w:r w:rsidRPr="00D97EFB">
        <w:rPr>
          <w:color w:val="000000"/>
        </w:rPr>
        <w:tab/>
        <w:t>ASIC must take reasonable steps to ensure that copies of the current text of the following r</w:t>
      </w:r>
      <w:r w:rsidRPr="00D97EFB">
        <w:t xml:space="preserve">elevant transitional instruments or requirements </w:t>
      </w:r>
      <w:r w:rsidRPr="00D97EFB">
        <w:rPr>
          <w:color w:val="000000"/>
        </w:rPr>
        <w:t>are available for inspection and purchase:</w:t>
      </w:r>
    </w:p>
    <w:p w14:paraId="0357240D" w14:textId="77777777" w:rsidR="00E93F58" w:rsidRPr="00D97EFB" w:rsidRDefault="00E93F58" w:rsidP="00BB7E31">
      <w:pPr>
        <w:pStyle w:val="paragraph"/>
      </w:pPr>
      <w:r w:rsidRPr="00D97EFB">
        <w:rPr>
          <w:color w:val="000000"/>
        </w:rPr>
        <w:tab/>
        <w:t>(a)</w:t>
      </w:r>
      <w:r w:rsidRPr="00D97EFB">
        <w:rPr>
          <w:color w:val="000000"/>
        </w:rPr>
        <w:tab/>
        <w:t xml:space="preserve">each provision of an instrument </w:t>
      </w:r>
      <w:r w:rsidRPr="00D97EFB">
        <w:t xml:space="preserve">mentioned in paragraph (b) or (c) of the definition of </w:t>
      </w:r>
      <w:r w:rsidRPr="00D97EFB">
        <w:rPr>
          <w:b/>
          <w:i/>
        </w:rPr>
        <w:t>relevant transitional instrument or requirement</w:t>
      </w:r>
      <w:r w:rsidRPr="00D97EFB">
        <w:t xml:space="preserve"> in regulation 12.5.01 that is the subject of a determination or declaration under subregulation 12.5.02(1) or (2);</w:t>
      </w:r>
    </w:p>
    <w:p w14:paraId="410EC2AA" w14:textId="77777777" w:rsidR="00E93F58" w:rsidRPr="00D97EFB" w:rsidRDefault="00E93F58" w:rsidP="00BB7E31">
      <w:pPr>
        <w:pStyle w:val="paragraph"/>
        <w:rPr>
          <w:color w:val="000000"/>
        </w:rPr>
      </w:pPr>
      <w:r w:rsidRPr="00D97EFB">
        <w:tab/>
        <w:t>(b)</w:t>
      </w:r>
      <w:r w:rsidRPr="00D97EFB">
        <w:tab/>
        <w:t>each ASIC transitional standard.</w:t>
      </w:r>
    </w:p>
    <w:p w14:paraId="6E4ED995" w14:textId="77777777" w:rsidR="00E93F58" w:rsidRPr="00D97EFB" w:rsidRDefault="00E93F58" w:rsidP="00BB7E31">
      <w:pPr>
        <w:pStyle w:val="subsection"/>
      </w:pPr>
      <w:r w:rsidRPr="00D97EFB">
        <w:rPr>
          <w:color w:val="000000"/>
        </w:rPr>
        <w:tab/>
        <w:t>(2)</w:t>
      </w:r>
      <w:r w:rsidRPr="00D97EFB">
        <w:rPr>
          <w:color w:val="000000"/>
        </w:rPr>
        <w:tab/>
        <w:t>A failure to comply with subregulation (1) does not affect the operation of a r</w:t>
      </w:r>
      <w:r w:rsidRPr="00D97EFB">
        <w:t>elevant transitional instrument or requirement</w:t>
      </w:r>
      <w:r w:rsidRPr="00D97EFB">
        <w:rPr>
          <w:color w:val="000000"/>
        </w:rPr>
        <w:t>.</w:t>
      </w:r>
    </w:p>
    <w:p w14:paraId="61FE238F" w14:textId="77777777" w:rsidR="00E93F58" w:rsidRPr="00D97EFB" w:rsidRDefault="00E93F58" w:rsidP="00E23F70">
      <w:pPr>
        <w:pStyle w:val="ActHead2"/>
        <w:pageBreakBefore/>
      </w:pPr>
      <w:bookmarkStart w:id="3095" w:name="_Toc151994826"/>
      <w:bookmarkStart w:id="3096" w:name="_Toc158713336"/>
      <w:r w:rsidRPr="000D40D5">
        <w:rPr>
          <w:rStyle w:val="CharPartNo"/>
        </w:rPr>
        <w:lastRenderedPageBreak/>
        <w:t>Part 12.6</w:t>
      </w:r>
      <w:r w:rsidRPr="00D97EFB">
        <w:t>—</w:t>
      </w:r>
      <w:r w:rsidRPr="000D40D5">
        <w:rPr>
          <w:rStyle w:val="CharPartText"/>
        </w:rPr>
        <w:t>Financial reporting by certain bodies corporate</w:t>
      </w:r>
      <w:bookmarkEnd w:id="3095"/>
      <w:bookmarkEnd w:id="3096"/>
    </w:p>
    <w:p w14:paraId="6DA71DA8"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3F29A7C6" w14:textId="77777777" w:rsidR="00E93F58" w:rsidRPr="00D97EFB" w:rsidRDefault="00E93F58" w:rsidP="00BB7E31">
      <w:pPr>
        <w:pStyle w:val="ActHead5"/>
      </w:pPr>
      <w:bookmarkStart w:id="3097" w:name="_Toc151994827"/>
      <w:bookmarkStart w:id="3098" w:name="_Toc158713337"/>
      <w:r w:rsidRPr="000D40D5">
        <w:rPr>
          <w:rStyle w:val="CharSectno"/>
        </w:rPr>
        <w:t>12.6.01</w:t>
      </w:r>
      <w:r w:rsidRPr="00D97EFB">
        <w:t xml:space="preserve">  Application of Part</w:t>
      </w:r>
      <w:bookmarkEnd w:id="3097"/>
      <w:bookmarkEnd w:id="3098"/>
    </w:p>
    <w:p w14:paraId="3C162694" w14:textId="77777777" w:rsidR="00E93F58" w:rsidRPr="00D97EFB" w:rsidRDefault="00E93F58" w:rsidP="00BB7E31">
      <w:pPr>
        <w:pStyle w:val="subsection"/>
      </w:pPr>
      <w:r w:rsidRPr="00D97EFB">
        <w:tab/>
        <w:t>(1)</w:t>
      </w:r>
      <w:r w:rsidRPr="00D97EFB">
        <w:tab/>
        <w:t>This Part applies to a body corporate that is:</w:t>
      </w:r>
    </w:p>
    <w:p w14:paraId="38D2D8D4" w14:textId="77777777" w:rsidR="00E93F58" w:rsidRPr="00D97EFB" w:rsidRDefault="00E93F58" w:rsidP="00BB7E31">
      <w:pPr>
        <w:pStyle w:val="paragraph"/>
      </w:pPr>
      <w:r w:rsidRPr="00D97EFB">
        <w:tab/>
        <w:t>(a)</w:t>
      </w:r>
      <w:r w:rsidRPr="00D97EFB">
        <w:tab/>
        <w:t>a transferring financial institution of a State or Territory; or</w:t>
      </w:r>
    </w:p>
    <w:p w14:paraId="0BD5076C" w14:textId="77777777" w:rsidR="00E93F58" w:rsidRPr="00D97EFB" w:rsidRDefault="00E93F58" w:rsidP="00BB7E31">
      <w:pPr>
        <w:pStyle w:val="paragraph"/>
      </w:pPr>
      <w:r w:rsidRPr="00D97EFB">
        <w:tab/>
        <w:t>(b)</w:t>
      </w:r>
      <w:r w:rsidRPr="00D97EFB">
        <w:tab/>
        <w:t xml:space="preserve">a company that is permitted to use the expression </w:t>
      </w:r>
      <w:r w:rsidRPr="00D97EFB">
        <w:rPr>
          <w:b/>
          <w:i/>
        </w:rPr>
        <w:t>building society</w:t>
      </w:r>
      <w:r w:rsidRPr="00D97EFB">
        <w:t xml:space="preserve">, </w:t>
      </w:r>
      <w:r w:rsidRPr="00D97EFB">
        <w:rPr>
          <w:b/>
          <w:i/>
        </w:rPr>
        <w:t>credit society</w:t>
      </w:r>
      <w:r w:rsidRPr="00D97EFB">
        <w:t xml:space="preserve"> or </w:t>
      </w:r>
      <w:r w:rsidRPr="00D97EFB">
        <w:rPr>
          <w:b/>
          <w:i/>
        </w:rPr>
        <w:t>credit union</w:t>
      </w:r>
      <w:r w:rsidRPr="00D97EFB">
        <w:t xml:space="preserve"> under section 66 of the </w:t>
      </w:r>
      <w:r w:rsidRPr="00D97EFB">
        <w:rPr>
          <w:i/>
        </w:rPr>
        <w:t>Banking Act 1959</w:t>
      </w:r>
      <w:r w:rsidRPr="00D97EFB">
        <w:t>.</w:t>
      </w:r>
    </w:p>
    <w:p w14:paraId="068A7BE0" w14:textId="77777777" w:rsidR="00E93F58" w:rsidRPr="00D97EFB" w:rsidRDefault="00E93F58" w:rsidP="00BB7E31">
      <w:pPr>
        <w:pStyle w:val="subsection"/>
      </w:pPr>
      <w:r w:rsidRPr="00D97EFB">
        <w:tab/>
        <w:t>(2)</w:t>
      </w:r>
      <w:r w:rsidRPr="00D97EFB">
        <w:tab/>
        <w:t>This Part applies in relation to the following members of the body corporate:</w:t>
      </w:r>
    </w:p>
    <w:p w14:paraId="09BEF85A" w14:textId="77777777" w:rsidR="00E93F58" w:rsidRPr="00D97EFB" w:rsidRDefault="00E93F58" w:rsidP="00BB7E31">
      <w:pPr>
        <w:pStyle w:val="paragraph"/>
      </w:pPr>
      <w:r w:rsidRPr="00D97EFB">
        <w:tab/>
        <w:t>(a)</w:t>
      </w:r>
      <w:r w:rsidRPr="00D97EFB">
        <w:tab/>
        <w:t>members who hold only member shares;</w:t>
      </w:r>
    </w:p>
    <w:p w14:paraId="7E4A3C1B" w14:textId="77777777" w:rsidR="00E93F58" w:rsidRPr="00D97EFB" w:rsidRDefault="00E93F58" w:rsidP="00BB7E31">
      <w:pPr>
        <w:pStyle w:val="paragraph"/>
      </w:pPr>
      <w:r w:rsidRPr="00D97EFB">
        <w:tab/>
        <w:t>(b)</w:t>
      </w:r>
      <w:r w:rsidRPr="00D97EFB">
        <w:tab/>
        <w:t>if the body is a company limited by guarantee—the members of the company;</w:t>
      </w:r>
    </w:p>
    <w:p w14:paraId="00F0C67B" w14:textId="77777777" w:rsidR="00E93F58" w:rsidRPr="00D97EFB" w:rsidRDefault="00E93F58" w:rsidP="00BB7E31">
      <w:pPr>
        <w:pStyle w:val="paragraph"/>
      </w:pPr>
      <w:r w:rsidRPr="00D97EFB">
        <w:tab/>
        <w:t>(c)</w:t>
      </w:r>
      <w:r w:rsidRPr="00D97EFB">
        <w:tab/>
        <w:t>if the body is a company limited by shares and guarantee—the members of the company who do not hold shares in the company.</w:t>
      </w:r>
    </w:p>
    <w:p w14:paraId="2FFB1B1A" w14:textId="77777777" w:rsidR="00E93F58" w:rsidRPr="00D97EFB" w:rsidRDefault="00E93F58" w:rsidP="00BB7E31">
      <w:pPr>
        <w:pStyle w:val="ActHead5"/>
      </w:pPr>
      <w:bookmarkStart w:id="3099" w:name="_Toc151994828"/>
      <w:bookmarkStart w:id="3100" w:name="_Toc158713338"/>
      <w:r w:rsidRPr="000D40D5">
        <w:rPr>
          <w:rStyle w:val="CharSectno"/>
        </w:rPr>
        <w:t>12.06.01A</w:t>
      </w:r>
      <w:r w:rsidRPr="00D97EFB">
        <w:t xml:space="preserve">  Annual financial reporting</w:t>
      </w:r>
      <w:bookmarkEnd w:id="3099"/>
      <w:bookmarkEnd w:id="3100"/>
    </w:p>
    <w:p w14:paraId="4F4B73AF" w14:textId="77777777" w:rsidR="00E93F58" w:rsidRPr="00D97EFB" w:rsidRDefault="00E93F58" w:rsidP="00BB7E31">
      <w:pPr>
        <w:pStyle w:val="subsection"/>
      </w:pPr>
      <w:r w:rsidRPr="00D97EFB">
        <w:tab/>
      </w:r>
      <w:r w:rsidRPr="00D97EFB">
        <w:tab/>
        <w:t>For section 343 of the Act, the operation of Chapter 2M of the Act, in relation to a company limited by guarantee that is mentioned in paragraphs 12.06.01(2)(b) and (c), is modified by omitting subsections 314(1AAA) and 316(5) and section 316A of the Act.</w:t>
      </w:r>
    </w:p>
    <w:p w14:paraId="1CA1F19B" w14:textId="77777777" w:rsidR="00E93F58" w:rsidRPr="00D97EFB" w:rsidRDefault="00E93F58" w:rsidP="00BB7E31">
      <w:pPr>
        <w:pStyle w:val="ActHead5"/>
      </w:pPr>
      <w:bookmarkStart w:id="3101" w:name="_Toc151994829"/>
      <w:bookmarkStart w:id="3102" w:name="_Toc158713339"/>
      <w:r w:rsidRPr="000D40D5">
        <w:rPr>
          <w:rStyle w:val="CharSectno"/>
        </w:rPr>
        <w:t>12.6.02</w:t>
      </w:r>
      <w:r w:rsidRPr="00D97EFB">
        <w:t xml:space="preserve">  Modification of certain provisions of Act</w:t>
      </w:r>
      <w:bookmarkEnd w:id="3101"/>
      <w:bookmarkEnd w:id="3102"/>
    </w:p>
    <w:p w14:paraId="0BBE8E32" w14:textId="77777777" w:rsidR="00E93F58" w:rsidRPr="00D97EFB" w:rsidRDefault="00E93F58" w:rsidP="00BB7E31">
      <w:pPr>
        <w:pStyle w:val="subsection"/>
      </w:pPr>
      <w:r w:rsidRPr="00D97EFB">
        <w:tab/>
      </w:r>
      <w:r w:rsidRPr="00D97EFB">
        <w:tab/>
        <w:t>For clause 38 of Schedule 4 to the Act, this Part modifies the application of section 314 of the Act in relation to the members of the body corporate.</w:t>
      </w:r>
    </w:p>
    <w:p w14:paraId="2861C133" w14:textId="77777777" w:rsidR="00E93F58" w:rsidRPr="00D97EFB" w:rsidRDefault="00E93F58" w:rsidP="004E0C1C">
      <w:pPr>
        <w:pStyle w:val="ActHead5"/>
      </w:pPr>
      <w:bookmarkStart w:id="3103" w:name="_Toc151994830"/>
      <w:bookmarkStart w:id="3104" w:name="_Toc158713340"/>
      <w:r w:rsidRPr="000D40D5">
        <w:rPr>
          <w:rStyle w:val="CharSectno"/>
        </w:rPr>
        <w:t>12.6.03</w:t>
      </w:r>
      <w:r w:rsidRPr="00D97EFB">
        <w:t xml:space="preserve">  Members etc may elect to receive reports</w:t>
      </w:r>
      <w:bookmarkEnd w:id="3103"/>
      <w:bookmarkEnd w:id="3104"/>
    </w:p>
    <w:p w14:paraId="493D7B5F" w14:textId="77777777" w:rsidR="00E93F58" w:rsidRPr="00D97EFB" w:rsidRDefault="00E93F58" w:rsidP="004E0C1C">
      <w:pPr>
        <w:pStyle w:val="subsection"/>
        <w:keepNext/>
        <w:keepLines/>
      </w:pPr>
      <w:r w:rsidRPr="00D97EFB">
        <w:tab/>
        <w:t>(1)</w:t>
      </w:r>
      <w:r w:rsidRPr="00D97EFB">
        <w:tab/>
        <w:t>The body corporate may give notice to a member, or to an applicant for membership, of the body corporate that he or she may elect to receive:</w:t>
      </w:r>
    </w:p>
    <w:p w14:paraId="56B2CE0B" w14:textId="77777777" w:rsidR="00E93F58" w:rsidRPr="00D97EFB" w:rsidRDefault="00E93F58" w:rsidP="00BB7E31">
      <w:pPr>
        <w:pStyle w:val="paragraph"/>
      </w:pPr>
      <w:r w:rsidRPr="00D97EFB">
        <w:tab/>
        <w:t>(a)</w:t>
      </w:r>
      <w:r w:rsidRPr="00D97EFB">
        <w:tab/>
        <w:t>the reports mentioned in paragraph 314(1)(a) of the Act; or</w:t>
      </w:r>
    </w:p>
    <w:p w14:paraId="2497505E" w14:textId="77777777" w:rsidR="00E93F58" w:rsidRPr="00D97EFB" w:rsidRDefault="00E93F58" w:rsidP="00BB7E31">
      <w:pPr>
        <w:pStyle w:val="paragraph"/>
      </w:pPr>
      <w:r w:rsidRPr="00D97EFB">
        <w:tab/>
        <w:t>(b)</w:t>
      </w:r>
      <w:r w:rsidRPr="00D97EFB">
        <w:tab/>
        <w:t>if the body corporate prepares concise reports mentioned in paragraph 314(1)(b) of the Act, those reports.</w:t>
      </w:r>
    </w:p>
    <w:p w14:paraId="5BF2EDDA" w14:textId="77777777" w:rsidR="00E93F58" w:rsidRPr="00D97EFB" w:rsidRDefault="00E93F58" w:rsidP="00BB7E31">
      <w:pPr>
        <w:pStyle w:val="subsection"/>
      </w:pPr>
      <w:r w:rsidRPr="00D97EFB">
        <w:tab/>
        <w:t>(2)</w:t>
      </w:r>
      <w:r w:rsidRPr="00D97EFB">
        <w:tab/>
        <w:t>The notice must include a statement to the effect that:</w:t>
      </w:r>
    </w:p>
    <w:p w14:paraId="119BBDE2" w14:textId="77777777" w:rsidR="00E93F58" w:rsidRPr="00D97EFB" w:rsidRDefault="00E93F58" w:rsidP="00BB7E31">
      <w:pPr>
        <w:pStyle w:val="paragraph"/>
      </w:pPr>
      <w:r w:rsidRPr="00D97EFB">
        <w:tab/>
        <w:t>(a)</w:t>
      </w:r>
      <w:r w:rsidRPr="00D97EFB">
        <w:tab/>
        <w:t>a report mentioned in subregulation (1) sets out information about:</w:t>
      </w:r>
    </w:p>
    <w:p w14:paraId="1ED039FB" w14:textId="77777777" w:rsidR="00E93F58" w:rsidRPr="00D97EFB" w:rsidRDefault="00E93F58" w:rsidP="00BB7E31">
      <w:pPr>
        <w:pStyle w:val="paragraphsub"/>
      </w:pPr>
      <w:r w:rsidRPr="00D97EFB">
        <w:tab/>
        <w:t>(i)</w:t>
      </w:r>
      <w:r w:rsidRPr="00D97EFB">
        <w:tab/>
        <w:t>the financial position and performance of the body corporate; and</w:t>
      </w:r>
    </w:p>
    <w:p w14:paraId="354D1279" w14:textId="77777777" w:rsidR="00E93F58" w:rsidRPr="00D97EFB" w:rsidRDefault="00E93F58" w:rsidP="00BB7E31">
      <w:pPr>
        <w:pStyle w:val="paragraphsub"/>
      </w:pPr>
      <w:r w:rsidRPr="00D97EFB">
        <w:tab/>
        <w:t>(ii)</w:t>
      </w:r>
      <w:r w:rsidRPr="00D97EFB">
        <w:tab/>
        <w:t>the efficiency with which the body corporate is being managed; and</w:t>
      </w:r>
    </w:p>
    <w:p w14:paraId="68CA7FF3" w14:textId="77777777" w:rsidR="00E93F58" w:rsidRPr="00D97EFB" w:rsidRDefault="00E93F58" w:rsidP="00BB7E31">
      <w:pPr>
        <w:pStyle w:val="paragraphsub"/>
      </w:pPr>
      <w:r w:rsidRPr="00D97EFB">
        <w:tab/>
        <w:t>(iii)</w:t>
      </w:r>
      <w:r w:rsidRPr="00D97EFB">
        <w:tab/>
        <w:t>the financial risks to which the body corporate is exposed; and</w:t>
      </w:r>
    </w:p>
    <w:p w14:paraId="3B9B7EDF" w14:textId="77777777" w:rsidR="00E93F58" w:rsidRPr="00D97EFB" w:rsidRDefault="00E93F58" w:rsidP="00BB7E31">
      <w:pPr>
        <w:pStyle w:val="paragraph"/>
      </w:pPr>
      <w:r w:rsidRPr="00D97EFB">
        <w:tab/>
        <w:t>(b)</w:t>
      </w:r>
      <w:r w:rsidRPr="00D97EFB">
        <w:tab/>
        <w:t>if the member does not elect to receive a report, the body corporate is not required to send copies of the reports or concise reports mentioned in subregulation (1) to the member; and</w:t>
      </w:r>
    </w:p>
    <w:p w14:paraId="575EF293" w14:textId="77777777" w:rsidR="00E93F58" w:rsidRPr="00D97EFB" w:rsidRDefault="00E93F58" w:rsidP="00BB7E31">
      <w:pPr>
        <w:pStyle w:val="paragraph"/>
      </w:pPr>
      <w:r w:rsidRPr="00D97EFB">
        <w:tab/>
        <w:t>(c)</w:t>
      </w:r>
      <w:r w:rsidRPr="00D97EFB">
        <w:tab/>
        <w:t>despite a member of the body corporate electing not to receive those reports or concise reports, or not making an election, the member may at any time elect to receive the relevant reports.</w:t>
      </w:r>
    </w:p>
    <w:p w14:paraId="708CC8C4" w14:textId="77777777" w:rsidR="00E93F58" w:rsidRPr="00D97EFB" w:rsidRDefault="00E93F58" w:rsidP="00BB7E31">
      <w:pPr>
        <w:pStyle w:val="subsection"/>
      </w:pPr>
      <w:r w:rsidRPr="00D97EFB">
        <w:tab/>
        <w:t>(3)</w:t>
      </w:r>
      <w:r w:rsidRPr="00D97EFB">
        <w:tab/>
        <w:t xml:space="preserve">The member or applicant is taken not to have </w:t>
      </w:r>
      <w:r w:rsidRPr="00D97EFB">
        <w:rPr>
          <w:color w:val="000000"/>
        </w:rPr>
        <w:t xml:space="preserve">elected to receive a report </w:t>
      </w:r>
      <w:r w:rsidRPr="00D97EFB">
        <w:t>if the body corporate has not received the election within 21 days of notice being given in accordance with subregulation (1).</w:t>
      </w:r>
    </w:p>
    <w:p w14:paraId="63FEFF76" w14:textId="77777777" w:rsidR="00E93F58" w:rsidRPr="00D97EFB" w:rsidRDefault="00E93F58" w:rsidP="00BB7E31">
      <w:pPr>
        <w:pStyle w:val="subsection"/>
      </w:pPr>
      <w:r w:rsidRPr="00D97EFB">
        <w:tab/>
        <w:t>(4)</w:t>
      </w:r>
      <w:r w:rsidRPr="00D97EFB">
        <w:tab/>
        <w:t>If the member elects not to receive the reports or concise reports mentioned in subregulation (1), or does not make an election, section 314 of the Act does not apply to the body corporate in relation to the member.</w:t>
      </w:r>
    </w:p>
    <w:p w14:paraId="489B403D" w14:textId="77777777" w:rsidR="00E93F58" w:rsidRPr="00D97EFB" w:rsidRDefault="00E93F58" w:rsidP="00253151">
      <w:pPr>
        <w:pStyle w:val="subsection"/>
        <w:keepNext/>
        <w:keepLines/>
      </w:pPr>
      <w:r w:rsidRPr="00D97EFB">
        <w:tab/>
        <w:t>(5)</w:t>
      </w:r>
      <w:r w:rsidRPr="00D97EFB">
        <w:tab/>
        <w:t>If the applicant elects not to receive the reports or concise reports mentioned in subregulation (1), or does not make an election, section 314 of the Act does not apply to the body corporate in relation to the applicant if he or she becomes a member of the body corporate to whom this Part applies.</w:t>
      </w:r>
    </w:p>
    <w:p w14:paraId="06FC2CFF" w14:textId="77777777" w:rsidR="00E93F58" w:rsidRPr="00D97EFB" w:rsidRDefault="00E93F58" w:rsidP="00BB7E31">
      <w:pPr>
        <w:pStyle w:val="ActHead5"/>
      </w:pPr>
      <w:bookmarkStart w:id="3105" w:name="_Toc151994831"/>
      <w:bookmarkStart w:id="3106" w:name="_Toc158713341"/>
      <w:r w:rsidRPr="000D40D5">
        <w:rPr>
          <w:rStyle w:val="CharSectno"/>
        </w:rPr>
        <w:t>12.6.04</w:t>
      </w:r>
      <w:r w:rsidRPr="00D97EFB">
        <w:t xml:space="preserve">  Copies of reports to be available to members</w:t>
      </w:r>
      <w:bookmarkEnd w:id="3105"/>
      <w:bookmarkEnd w:id="3106"/>
    </w:p>
    <w:p w14:paraId="1356D508" w14:textId="77777777" w:rsidR="00E93F58" w:rsidRPr="00D97EFB" w:rsidRDefault="00E93F58" w:rsidP="00BB7E31">
      <w:pPr>
        <w:pStyle w:val="subsection"/>
      </w:pPr>
      <w:r w:rsidRPr="00D97EFB">
        <w:tab/>
        <w:t>(1)</w:t>
      </w:r>
      <w:r w:rsidRPr="00D97EFB">
        <w:tab/>
        <w:t>If the body corporate gives notice under subregulation 12.6.03(1), it must make copies of the relevant reports mentioned in that subregulation available for collection by its members at:</w:t>
      </w:r>
    </w:p>
    <w:p w14:paraId="053755B2" w14:textId="77777777" w:rsidR="00E93F58" w:rsidRPr="00D97EFB" w:rsidRDefault="00E93F58" w:rsidP="00BB7E31">
      <w:pPr>
        <w:pStyle w:val="paragraph"/>
      </w:pPr>
      <w:r w:rsidRPr="00D97EFB">
        <w:tab/>
        <w:t>(a)</w:t>
      </w:r>
      <w:r w:rsidRPr="00D97EFB">
        <w:tab/>
        <w:t>the registered office of the body corporate; and</w:t>
      </w:r>
    </w:p>
    <w:p w14:paraId="36DF5393" w14:textId="77777777" w:rsidR="00E93F58" w:rsidRPr="00D97EFB" w:rsidRDefault="00E93F58" w:rsidP="00BB7E31">
      <w:pPr>
        <w:pStyle w:val="paragraph"/>
      </w:pPr>
      <w:r w:rsidRPr="00D97EFB">
        <w:lastRenderedPageBreak/>
        <w:tab/>
        <w:t>(b)</w:t>
      </w:r>
      <w:r w:rsidRPr="00D97EFB">
        <w:tab/>
        <w:t>every other place where the body corporate conducts business that is open to the public.</w:t>
      </w:r>
    </w:p>
    <w:p w14:paraId="3095F3F0" w14:textId="77777777" w:rsidR="00E93F58" w:rsidRPr="00D97EFB" w:rsidRDefault="00E93F58" w:rsidP="00BB7E31">
      <w:pPr>
        <w:pStyle w:val="subsection"/>
      </w:pPr>
      <w:r w:rsidRPr="00D97EFB">
        <w:tab/>
        <w:t>(2)</w:t>
      </w:r>
      <w:r w:rsidRPr="00D97EFB">
        <w:tab/>
        <w:t>Copies of the reports must be made available by the body corporate from the deadline mentioned in subsection 315(1) of the Act for reporting to members until 1 month after the day on which its next AGM after the end of the financial year is held.</w:t>
      </w:r>
    </w:p>
    <w:p w14:paraId="03BC073F" w14:textId="77777777" w:rsidR="00E93F58" w:rsidRPr="00D97EFB" w:rsidRDefault="00E93F58" w:rsidP="00BB7E31">
      <w:pPr>
        <w:pStyle w:val="ActHead5"/>
      </w:pPr>
      <w:bookmarkStart w:id="3107" w:name="_Toc151994832"/>
      <w:bookmarkStart w:id="3108" w:name="_Toc158713342"/>
      <w:r w:rsidRPr="000D40D5">
        <w:rPr>
          <w:rStyle w:val="CharSectno"/>
        </w:rPr>
        <w:t>12.6.05</w:t>
      </w:r>
      <w:r w:rsidRPr="00D97EFB">
        <w:t xml:space="preserve">  Records to be kept about notices</w:t>
      </w:r>
      <w:bookmarkEnd w:id="3107"/>
      <w:bookmarkEnd w:id="3108"/>
    </w:p>
    <w:p w14:paraId="5F6EB32F" w14:textId="77777777" w:rsidR="00E93F58" w:rsidRPr="00D97EFB" w:rsidRDefault="00E93F58" w:rsidP="00BB7E31">
      <w:pPr>
        <w:pStyle w:val="subsection"/>
      </w:pPr>
      <w:r w:rsidRPr="00D97EFB">
        <w:tab/>
      </w:r>
      <w:r w:rsidRPr="00D97EFB">
        <w:tab/>
        <w:t>A body corporate must, not later than 28 days after a notice is given under subregulation 12.6.03(1) to a member of the body corporate, record in writing:</w:t>
      </w:r>
    </w:p>
    <w:p w14:paraId="34DCEDDD" w14:textId="77777777" w:rsidR="00E93F58" w:rsidRPr="00D97EFB" w:rsidRDefault="00E93F58" w:rsidP="00BB7E31">
      <w:pPr>
        <w:pStyle w:val="paragraph"/>
      </w:pPr>
      <w:r w:rsidRPr="00D97EFB">
        <w:rPr>
          <w:color w:val="000000"/>
        </w:rPr>
        <w:tab/>
        <w:t>(a)</w:t>
      </w:r>
      <w:r w:rsidRPr="00D97EFB">
        <w:rPr>
          <w:color w:val="000000"/>
        </w:rPr>
        <w:tab/>
        <w:t>the date on which the notice was given to the member; and</w:t>
      </w:r>
    </w:p>
    <w:p w14:paraId="1A9DFE52" w14:textId="77777777" w:rsidR="00E93F58" w:rsidRPr="00D97EFB" w:rsidRDefault="00E93F58" w:rsidP="00BB7E31">
      <w:pPr>
        <w:pStyle w:val="paragraph"/>
      </w:pPr>
      <w:r w:rsidRPr="00D97EFB">
        <w:tab/>
        <w:t>(b)</w:t>
      </w:r>
      <w:r w:rsidRPr="00D97EFB">
        <w:tab/>
        <w:t>whether the member elected to receive the reports or concise report mentioned in that subregulation.</w:t>
      </w:r>
    </w:p>
    <w:p w14:paraId="3A324AC2" w14:textId="77777777" w:rsidR="00E93F58" w:rsidRPr="00D97EFB" w:rsidRDefault="00E93F58" w:rsidP="00807584">
      <w:pPr>
        <w:pStyle w:val="notetext"/>
      </w:pPr>
      <w:r w:rsidRPr="00D97EFB">
        <w:t>Example of recording:</w:t>
      </w:r>
      <w:r w:rsidRPr="00D97EFB">
        <w:tab/>
        <w:t>An entry made in a register kept under Chapter 2C of the Act.</w:t>
      </w:r>
    </w:p>
    <w:p w14:paraId="366ACC71" w14:textId="77777777" w:rsidR="00E93F58" w:rsidRPr="00D97EFB" w:rsidRDefault="00E93F58" w:rsidP="00E23F70">
      <w:pPr>
        <w:pStyle w:val="ActHead2"/>
        <w:pageBreakBefore/>
      </w:pPr>
      <w:bookmarkStart w:id="3109" w:name="_Toc151994833"/>
      <w:bookmarkStart w:id="3110" w:name="_Toc158713343"/>
      <w:r w:rsidRPr="000D40D5">
        <w:rPr>
          <w:rStyle w:val="CharPartNo"/>
        </w:rPr>
        <w:lastRenderedPageBreak/>
        <w:t>Part 12.7</w:t>
      </w:r>
      <w:r w:rsidRPr="00D97EFB">
        <w:t>—</w:t>
      </w:r>
      <w:r w:rsidRPr="000D40D5">
        <w:rPr>
          <w:rStyle w:val="CharPartText"/>
        </w:rPr>
        <w:t>Other disclosure</w:t>
      </w:r>
      <w:bookmarkEnd w:id="3109"/>
      <w:bookmarkEnd w:id="3110"/>
    </w:p>
    <w:p w14:paraId="3A31EE55" w14:textId="77777777" w:rsidR="00E93F58" w:rsidRPr="00D97EFB" w:rsidRDefault="00E93F58" w:rsidP="00BB7E31">
      <w:pPr>
        <w:pStyle w:val="ActHead3"/>
      </w:pPr>
      <w:bookmarkStart w:id="3111" w:name="_Toc151994834"/>
      <w:bookmarkStart w:id="3112" w:name="_Toc158713344"/>
      <w:r w:rsidRPr="000D40D5">
        <w:rPr>
          <w:rStyle w:val="CharDivNo"/>
        </w:rPr>
        <w:t>Division 1</w:t>
      </w:r>
      <w:r w:rsidRPr="00D97EFB">
        <w:t>—</w:t>
      </w:r>
      <w:r w:rsidRPr="000D40D5">
        <w:rPr>
          <w:rStyle w:val="CharDivText"/>
        </w:rPr>
        <w:t>Preliminary</w:t>
      </w:r>
      <w:bookmarkEnd w:id="3111"/>
      <w:bookmarkEnd w:id="3112"/>
    </w:p>
    <w:p w14:paraId="28910035" w14:textId="77777777" w:rsidR="00E93F58" w:rsidRPr="00D97EFB" w:rsidRDefault="00E93F58" w:rsidP="00BB7E31">
      <w:pPr>
        <w:pStyle w:val="ActHead5"/>
      </w:pPr>
      <w:bookmarkStart w:id="3113" w:name="_Toc151994835"/>
      <w:bookmarkStart w:id="3114" w:name="_Toc158713345"/>
      <w:r w:rsidRPr="000D40D5">
        <w:rPr>
          <w:rStyle w:val="CharSectno"/>
        </w:rPr>
        <w:t>12.7.01</w:t>
      </w:r>
      <w:r w:rsidRPr="00D97EFB">
        <w:t xml:space="preserve">  Definitions for Part 12.7</w:t>
      </w:r>
      <w:bookmarkEnd w:id="3113"/>
      <w:bookmarkEnd w:id="3114"/>
    </w:p>
    <w:p w14:paraId="5DC1B61D" w14:textId="77777777" w:rsidR="00E93F58" w:rsidRPr="00D97EFB" w:rsidRDefault="00E93F58" w:rsidP="00BB7E31">
      <w:pPr>
        <w:pStyle w:val="subsection"/>
      </w:pPr>
      <w:r w:rsidRPr="00D97EFB">
        <w:tab/>
      </w:r>
      <w:r w:rsidRPr="00D97EFB">
        <w:tab/>
        <w:t>In this Part:</w:t>
      </w:r>
    </w:p>
    <w:p w14:paraId="6B744D99" w14:textId="77777777" w:rsidR="00E93F58" w:rsidRPr="00D97EFB" w:rsidRDefault="00E93F58" w:rsidP="00BB7E31">
      <w:pPr>
        <w:pStyle w:val="Definition"/>
      </w:pPr>
      <w:r w:rsidRPr="00D97EFB">
        <w:rPr>
          <w:b/>
          <w:i/>
        </w:rPr>
        <w:t>ASIC transitional standard</w:t>
      </w:r>
      <w:r w:rsidRPr="00D97EFB">
        <w:t xml:space="preserve"> means:</w:t>
      </w:r>
    </w:p>
    <w:p w14:paraId="67D1E954" w14:textId="77777777" w:rsidR="00E93F58" w:rsidRPr="00D97EFB" w:rsidRDefault="00E93F58" w:rsidP="00BB7E31">
      <w:pPr>
        <w:pStyle w:val="paragraph"/>
      </w:pPr>
      <w:r w:rsidRPr="00D97EFB">
        <w:tab/>
        <w:t>(a)</w:t>
      </w:r>
      <w:r w:rsidRPr="00D97EFB">
        <w:tab/>
        <w:t>a provision of a previous governing Code that is specified in Schedule 12; or</w:t>
      </w:r>
    </w:p>
    <w:p w14:paraId="7AF13A5E" w14:textId="77777777" w:rsidR="00E93F58" w:rsidRPr="00D97EFB" w:rsidRDefault="00E93F58" w:rsidP="00BB7E31">
      <w:pPr>
        <w:pStyle w:val="paragraph"/>
      </w:pPr>
      <w:r w:rsidRPr="00D97EFB">
        <w:tab/>
        <w:t>(b)</w:t>
      </w:r>
      <w:r w:rsidRPr="00D97EFB">
        <w:tab/>
        <w:t>an instrument made under a provision mentioned in paragraph (a).</w:t>
      </w:r>
    </w:p>
    <w:p w14:paraId="135915D9" w14:textId="77777777" w:rsidR="00E93F58" w:rsidRPr="00D97EFB" w:rsidRDefault="00E93F58" w:rsidP="00BB7E31">
      <w:pPr>
        <w:pStyle w:val="Definition"/>
      </w:pPr>
      <w:r w:rsidRPr="00D97EFB">
        <w:rPr>
          <w:b/>
          <w:i/>
        </w:rPr>
        <w:t>relevant financial institution</w:t>
      </w:r>
      <w:r w:rsidRPr="00D97EFB">
        <w:t xml:space="preserve"> means the following bodies:</w:t>
      </w:r>
    </w:p>
    <w:p w14:paraId="5BA7D64F" w14:textId="77777777" w:rsidR="00E93F58" w:rsidRPr="00D97EFB" w:rsidRDefault="00E93F58" w:rsidP="00BB7E31">
      <w:pPr>
        <w:pStyle w:val="paragraph"/>
      </w:pPr>
      <w:r w:rsidRPr="00D97EFB">
        <w:tab/>
        <w:t>(a)</w:t>
      </w:r>
      <w:r w:rsidRPr="00D97EFB">
        <w:tab/>
        <w:t>a transferring financial institution of a State or Territory;</w:t>
      </w:r>
    </w:p>
    <w:p w14:paraId="50D5828B" w14:textId="77777777" w:rsidR="00E93F58" w:rsidRPr="00D97EFB" w:rsidRDefault="00E93F58" w:rsidP="00BB7E31">
      <w:pPr>
        <w:pStyle w:val="paragraph"/>
      </w:pPr>
      <w:r w:rsidRPr="00D97EFB">
        <w:tab/>
        <w:t>(b)</w:t>
      </w:r>
      <w:r w:rsidRPr="00D97EFB">
        <w:tab/>
        <w:t xml:space="preserve">a company that is permitted to use the expression, </w:t>
      </w:r>
      <w:r w:rsidRPr="00D97EFB">
        <w:rPr>
          <w:b/>
          <w:i/>
        </w:rPr>
        <w:t>building society</w:t>
      </w:r>
      <w:r w:rsidRPr="00D97EFB">
        <w:t xml:space="preserve">, </w:t>
      </w:r>
      <w:r w:rsidRPr="00D97EFB">
        <w:rPr>
          <w:b/>
          <w:i/>
        </w:rPr>
        <w:t>credit society</w:t>
      </w:r>
      <w:r w:rsidRPr="00D97EFB">
        <w:t xml:space="preserve"> or </w:t>
      </w:r>
      <w:r w:rsidRPr="00D97EFB">
        <w:rPr>
          <w:b/>
          <w:i/>
        </w:rPr>
        <w:t>credit union</w:t>
      </w:r>
      <w:r w:rsidRPr="00D97EFB">
        <w:t xml:space="preserve"> under section 66 of the </w:t>
      </w:r>
      <w:r w:rsidRPr="00D97EFB">
        <w:rPr>
          <w:i/>
        </w:rPr>
        <w:t>Banking Act 1959</w:t>
      </w:r>
      <w:r w:rsidRPr="00D97EFB">
        <w:t>;</w:t>
      </w:r>
    </w:p>
    <w:p w14:paraId="29FDF347" w14:textId="77777777" w:rsidR="00E93F58" w:rsidRPr="00D97EFB" w:rsidRDefault="00E93F58" w:rsidP="00BB7E31">
      <w:pPr>
        <w:pStyle w:val="paragraph"/>
      </w:pPr>
      <w:r w:rsidRPr="00D97EFB">
        <w:tab/>
        <w:t>(c)</w:t>
      </w:r>
      <w:r w:rsidRPr="00D97EFB">
        <w:tab/>
        <w:t>a friendly society;</w:t>
      </w:r>
    </w:p>
    <w:p w14:paraId="0E6AAA09" w14:textId="77777777" w:rsidR="00E93F58" w:rsidRPr="00D97EFB" w:rsidRDefault="00E93F58" w:rsidP="00BB7E31">
      <w:pPr>
        <w:pStyle w:val="paragraph"/>
      </w:pPr>
      <w:r w:rsidRPr="00D97EFB">
        <w:tab/>
        <w:t>(d)</w:t>
      </w:r>
      <w:r w:rsidRPr="00D97EFB">
        <w:tab/>
        <w:t>an Australian ADI to which a declaration under regulation 12.7.02 applies.</w:t>
      </w:r>
    </w:p>
    <w:p w14:paraId="2D09DA70" w14:textId="77777777" w:rsidR="00E93F58" w:rsidRPr="00D97EFB" w:rsidRDefault="00E93F58" w:rsidP="00BB7E31">
      <w:pPr>
        <w:pStyle w:val="ActHead5"/>
      </w:pPr>
      <w:bookmarkStart w:id="3115" w:name="_Toc151994836"/>
      <w:bookmarkStart w:id="3116" w:name="_Toc158713346"/>
      <w:r w:rsidRPr="000D40D5">
        <w:rPr>
          <w:rStyle w:val="CharSectno"/>
        </w:rPr>
        <w:t>12.7.02</w:t>
      </w:r>
      <w:r w:rsidRPr="00D97EFB">
        <w:t xml:space="preserve">  Declarations by ASIC</w:t>
      </w:r>
      <w:bookmarkEnd w:id="3115"/>
      <w:bookmarkEnd w:id="3116"/>
    </w:p>
    <w:p w14:paraId="6E0DB2E2" w14:textId="77777777" w:rsidR="00E93F58" w:rsidRPr="00D97EFB" w:rsidRDefault="00E93F58" w:rsidP="00BB7E31">
      <w:pPr>
        <w:pStyle w:val="subsection"/>
      </w:pPr>
      <w:r w:rsidRPr="00D97EFB">
        <w:tab/>
        <w:t>(1)</w:t>
      </w:r>
      <w:r w:rsidRPr="00D97EFB">
        <w:tab/>
        <w:t>This regulation applies, in relation to an Australian ADI, on:</w:t>
      </w:r>
    </w:p>
    <w:p w14:paraId="1E946AC9" w14:textId="77777777" w:rsidR="00E93F58" w:rsidRPr="00D97EFB" w:rsidRDefault="00E93F58" w:rsidP="00BB7E31">
      <w:pPr>
        <w:pStyle w:val="paragraph"/>
      </w:pPr>
      <w:r w:rsidRPr="00D97EFB">
        <w:tab/>
        <w:t>(a)</w:t>
      </w:r>
      <w:r w:rsidRPr="00D97EFB">
        <w:tab/>
        <w:t>the initiative of ASIC; or</w:t>
      </w:r>
    </w:p>
    <w:p w14:paraId="3ED15D0A" w14:textId="77777777" w:rsidR="00E93F58" w:rsidRPr="00D97EFB" w:rsidRDefault="00E93F58" w:rsidP="00BB7E31">
      <w:pPr>
        <w:pStyle w:val="paragraph"/>
      </w:pPr>
      <w:r w:rsidRPr="00D97EFB">
        <w:tab/>
        <w:t>(b)</w:t>
      </w:r>
      <w:r w:rsidRPr="00D97EFB">
        <w:tab/>
        <w:t>application made to ASIC in writing by the ADI or another person.</w:t>
      </w:r>
    </w:p>
    <w:p w14:paraId="00EB0F12" w14:textId="77777777" w:rsidR="00E93F58" w:rsidRPr="00D97EFB" w:rsidRDefault="00E93F58" w:rsidP="00BB7E31">
      <w:pPr>
        <w:pStyle w:val="subsection"/>
      </w:pPr>
      <w:r w:rsidRPr="00D97EFB">
        <w:tab/>
        <w:t>(2)</w:t>
      </w:r>
      <w:r w:rsidRPr="00D97EFB">
        <w:tab/>
        <w:t>ASIC may declare that the Australian ADI conducts financial business of the same kind as the financial business of a transferring financial institution of a State or Territory that was, immediately before the transfer date, registered as a Special Services Provider under the AFIC Code of a State or Territory.</w:t>
      </w:r>
    </w:p>
    <w:p w14:paraId="54ADCF20" w14:textId="77777777" w:rsidR="00E93F58" w:rsidRPr="00D97EFB" w:rsidRDefault="00E93F58" w:rsidP="00BB7E31">
      <w:pPr>
        <w:pStyle w:val="subsection"/>
      </w:pPr>
      <w:r w:rsidRPr="00D97EFB">
        <w:tab/>
        <w:t>(3)</w:t>
      </w:r>
      <w:r w:rsidRPr="00D97EFB">
        <w:tab/>
        <w:t>A declaration:</w:t>
      </w:r>
    </w:p>
    <w:p w14:paraId="2AEFD133" w14:textId="77777777" w:rsidR="00E93F58" w:rsidRPr="00D97EFB" w:rsidRDefault="00E93F58" w:rsidP="00BB7E31">
      <w:pPr>
        <w:pStyle w:val="paragraph"/>
      </w:pPr>
      <w:r w:rsidRPr="00D97EFB">
        <w:tab/>
        <w:t>(a)</w:t>
      </w:r>
      <w:r w:rsidRPr="00D97EFB">
        <w:tab/>
        <w:t>must be in writing given to the Australian ADI; and</w:t>
      </w:r>
    </w:p>
    <w:p w14:paraId="4D3956E9" w14:textId="77777777" w:rsidR="00E93F58" w:rsidRPr="00D97EFB" w:rsidRDefault="00E93F58" w:rsidP="00BB7E31">
      <w:pPr>
        <w:pStyle w:val="paragraph"/>
      </w:pPr>
      <w:r w:rsidRPr="00D97EFB">
        <w:tab/>
        <w:t>(b)</w:t>
      </w:r>
      <w:r w:rsidRPr="00D97EFB">
        <w:tab/>
        <w:t>takes effect when the declaration, or a copy of the declaration, is given to that ADI.</w:t>
      </w:r>
    </w:p>
    <w:p w14:paraId="2BC80A21" w14:textId="77777777" w:rsidR="00E93F58" w:rsidRPr="00D97EFB" w:rsidRDefault="00E93F58" w:rsidP="00763B6A">
      <w:pPr>
        <w:pStyle w:val="ActHead3"/>
        <w:pageBreakBefore/>
      </w:pPr>
      <w:bookmarkStart w:id="3117" w:name="_Toc151994837"/>
      <w:bookmarkStart w:id="3118" w:name="_Toc158713347"/>
      <w:r w:rsidRPr="000D40D5">
        <w:rPr>
          <w:rStyle w:val="CharDivNo"/>
        </w:rPr>
        <w:lastRenderedPageBreak/>
        <w:t>Division 2</w:t>
      </w:r>
      <w:r w:rsidRPr="00D97EFB">
        <w:t>—</w:t>
      </w:r>
      <w:r w:rsidRPr="000D40D5">
        <w:rPr>
          <w:rStyle w:val="CharDivText"/>
        </w:rPr>
        <w:t>Continued application of certain provisions</w:t>
      </w:r>
      <w:bookmarkEnd w:id="3117"/>
      <w:bookmarkEnd w:id="3118"/>
    </w:p>
    <w:p w14:paraId="34395387" w14:textId="77777777" w:rsidR="00E93F58" w:rsidRPr="00D97EFB" w:rsidRDefault="00E93F58" w:rsidP="00BB7E31">
      <w:pPr>
        <w:pStyle w:val="ActHead5"/>
      </w:pPr>
      <w:bookmarkStart w:id="3119" w:name="_Toc151994838"/>
      <w:bookmarkStart w:id="3120" w:name="_Toc158713348"/>
      <w:r w:rsidRPr="000D40D5">
        <w:rPr>
          <w:rStyle w:val="CharSectno"/>
        </w:rPr>
        <w:t>12.7.03</w:t>
      </w:r>
      <w:r w:rsidRPr="00D97EFB">
        <w:t xml:space="preserve">  Continuation of certain provisions of previous governing Codes</w:t>
      </w:r>
      <w:bookmarkEnd w:id="3119"/>
      <w:bookmarkEnd w:id="3120"/>
    </w:p>
    <w:p w14:paraId="16463D15" w14:textId="77777777" w:rsidR="00E93F58" w:rsidRPr="00D97EFB" w:rsidRDefault="00E93F58" w:rsidP="00BB7E31">
      <w:pPr>
        <w:pStyle w:val="subsection"/>
      </w:pPr>
      <w:r w:rsidRPr="00D97EFB">
        <w:tab/>
        <w:t>(1)</w:t>
      </w:r>
      <w:r w:rsidRPr="00D97EFB">
        <w:tab/>
        <w:t>For clause 39 of Schedule 4 to the Act, this regulation applies provisions (as modified in this regulation) of a previous governing Code to a relevant financial institution if, immediately before the transfer date, the provisions applied to the institution.</w:t>
      </w:r>
    </w:p>
    <w:p w14:paraId="1FA21CB5" w14:textId="77777777" w:rsidR="00E93F58" w:rsidRPr="00D97EFB" w:rsidRDefault="00E93F58" w:rsidP="00BB7E31">
      <w:pPr>
        <w:pStyle w:val="subsection"/>
      </w:pPr>
      <w:r w:rsidRPr="00D97EFB">
        <w:tab/>
        <w:t>(2)</w:t>
      </w:r>
      <w:r w:rsidRPr="00D97EFB">
        <w:tab/>
        <w:t>Subsection 402(1) of the Financial Institutions Code, and section 79 of the Friendly Societies Code, of a State or Territory apply, as a law of the Commonwealth, to the relevant financial institution as if:</w:t>
      </w:r>
    </w:p>
    <w:p w14:paraId="29340992" w14:textId="77777777" w:rsidR="00E93F58" w:rsidRPr="00D97EFB" w:rsidRDefault="00E93F58" w:rsidP="00BB7E31">
      <w:pPr>
        <w:pStyle w:val="paragraph"/>
      </w:pPr>
      <w:r w:rsidRPr="00D97EFB">
        <w:tab/>
        <w:t>(a)</w:t>
      </w:r>
      <w:r w:rsidRPr="00D97EFB">
        <w:tab/>
        <w:t>a reference to a financial body or a society were a reference to the relevant financial institution; and</w:t>
      </w:r>
    </w:p>
    <w:p w14:paraId="4C5FFA42" w14:textId="77777777" w:rsidR="00E93F58" w:rsidRPr="00D97EFB" w:rsidRDefault="00E93F58" w:rsidP="00BB7E31">
      <w:pPr>
        <w:pStyle w:val="paragraph"/>
      </w:pPr>
      <w:r w:rsidRPr="00D97EFB">
        <w:tab/>
        <w:t>(b)</w:t>
      </w:r>
      <w:r w:rsidRPr="00D97EFB">
        <w:tab/>
        <w:t>a reference to applicable standards were a reference to the ASIC transitional standards.</w:t>
      </w:r>
    </w:p>
    <w:p w14:paraId="1910961D" w14:textId="77777777" w:rsidR="00E93F58" w:rsidRPr="00D97EFB" w:rsidRDefault="00E93F58" w:rsidP="00BB7E31">
      <w:pPr>
        <w:pStyle w:val="subsection"/>
      </w:pPr>
      <w:r w:rsidRPr="00D97EFB">
        <w:tab/>
        <w:t>(3)</w:t>
      </w:r>
      <w:r w:rsidRPr="00D97EFB">
        <w:tab/>
        <w:t>However, subsections 255(6), (7) and (8) of the Financial Institutions Code of a State or Territory apply in relation to a special resolution of the relevant financial institution that amends a provision of the constitution of the institution that would, directly or indirectly, affect:</w:t>
      </w:r>
    </w:p>
    <w:p w14:paraId="2C5B8BBC" w14:textId="77777777" w:rsidR="00E93F58" w:rsidRPr="00D97EFB" w:rsidRDefault="00E93F58" w:rsidP="00BB7E31">
      <w:pPr>
        <w:pStyle w:val="paragraph"/>
      </w:pPr>
      <w:r w:rsidRPr="00D97EFB">
        <w:tab/>
        <w:t>(a)</w:t>
      </w:r>
      <w:r w:rsidRPr="00D97EFB">
        <w:tab/>
        <w:t>the operation of an exempt stock market; or</w:t>
      </w:r>
    </w:p>
    <w:p w14:paraId="4F0C83C9" w14:textId="77777777" w:rsidR="00E93F58" w:rsidRPr="00D97EFB" w:rsidRDefault="00E93F58" w:rsidP="00BB7E31">
      <w:pPr>
        <w:pStyle w:val="paragraph"/>
      </w:pPr>
      <w:r w:rsidRPr="00D97EFB">
        <w:tab/>
        <w:t>(b)</w:t>
      </w:r>
      <w:r w:rsidRPr="00D97EFB">
        <w:tab/>
        <w:t>the timely disclosure of information to holders or potential holders of securities traded on an exempt stock market.</w:t>
      </w:r>
    </w:p>
    <w:p w14:paraId="2E28A3B7" w14:textId="77777777" w:rsidR="00E93F58" w:rsidRPr="00D97EFB" w:rsidRDefault="00E93F58" w:rsidP="00BB7E31">
      <w:pPr>
        <w:pStyle w:val="subsection"/>
      </w:pPr>
      <w:r w:rsidRPr="00D97EFB">
        <w:tab/>
        <w:t>(4)</w:t>
      </w:r>
      <w:r w:rsidRPr="00D97EFB">
        <w:tab/>
        <w:t>Subsections 255(6), (7) and (8) of the Financial Institutions Code of a State or Territory apply for subregulation (3) as if:</w:t>
      </w:r>
    </w:p>
    <w:p w14:paraId="681D7A52" w14:textId="77777777" w:rsidR="00E93F58" w:rsidRPr="00D97EFB" w:rsidRDefault="00E93F58" w:rsidP="00BB7E31">
      <w:pPr>
        <w:pStyle w:val="paragraph"/>
      </w:pPr>
      <w:r w:rsidRPr="00D97EFB">
        <w:tab/>
        <w:t>(a)</w:t>
      </w:r>
      <w:r w:rsidRPr="00D97EFB">
        <w:tab/>
        <w:t>a reference to society were a reference to the relevant financial institution; and</w:t>
      </w:r>
    </w:p>
    <w:p w14:paraId="4DEA89A2" w14:textId="77777777" w:rsidR="00E93F58" w:rsidRPr="00D97EFB" w:rsidRDefault="00E93F58" w:rsidP="00BB7E31">
      <w:pPr>
        <w:pStyle w:val="paragraph"/>
      </w:pPr>
      <w:r w:rsidRPr="00D97EFB">
        <w:tab/>
        <w:t>(b)</w:t>
      </w:r>
      <w:r w:rsidRPr="00D97EFB">
        <w:tab/>
        <w:t>a reference to financial institutions legislation were a reference to the Act and the Corporations Regulations; and</w:t>
      </w:r>
    </w:p>
    <w:p w14:paraId="39AEF0A1" w14:textId="77777777" w:rsidR="00E93F58" w:rsidRPr="00D97EFB" w:rsidRDefault="00E93F58" w:rsidP="00BB7E31">
      <w:pPr>
        <w:pStyle w:val="paragraph"/>
      </w:pPr>
      <w:r w:rsidRPr="00D97EFB">
        <w:tab/>
        <w:t>(c)</w:t>
      </w:r>
      <w:r w:rsidRPr="00D97EFB">
        <w:tab/>
        <w:t>a reference to standards were a reference to the ASIC transitional standards.</w:t>
      </w:r>
    </w:p>
    <w:p w14:paraId="07523618" w14:textId="77777777" w:rsidR="00E93F58" w:rsidRPr="00D97EFB" w:rsidRDefault="00E93F58" w:rsidP="00253151">
      <w:pPr>
        <w:pStyle w:val="ActHead5"/>
      </w:pPr>
      <w:bookmarkStart w:id="3121" w:name="_Toc151994839"/>
      <w:bookmarkStart w:id="3122" w:name="_Toc158713349"/>
      <w:r w:rsidRPr="000D40D5">
        <w:rPr>
          <w:rStyle w:val="CharSectno"/>
        </w:rPr>
        <w:t>12.7.04</w:t>
      </w:r>
      <w:r w:rsidRPr="00D97EFB">
        <w:t xml:space="preserve">  Continuation of ASIC transitional standards</w:t>
      </w:r>
      <w:bookmarkEnd w:id="3121"/>
      <w:bookmarkEnd w:id="3122"/>
    </w:p>
    <w:p w14:paraId="77F1F5E1" w14:textId="77777777" w:rsidR="00E93F58" w:rsidRPr="00D97EFB" w:rsidRDefault="00E93F58" w:rsidP="00253151">
      <w:pPr>
        <w:pStyle w:val="subsection"/>
        <w:keepNext/>
        <w:keepLines/>
      </w:pPr>
      <w:r w:rsidRPr="00D97EFB">
        <w:tab/>
        <w:t>(1)</w:t>
      </w:r>
      <w:r w:rsidRPr="00D97EFB">
        <w:tab/>
        <w:t>For clause 39 of Schedule 4 to the Act and subject to this Division, the ASIC transitional standards:</w:t>
      </w:r>
    </w:p>
    <w:p w14:paraId="1872BDAA" w14:textId="77777777" w:rsidR="00E93F58" w:rsidRPr="00D97EFB" w:rsidRDefault="00E93F58" w:rsidP="00BB7E31">
      <w:pPr>
        <w:pStyle w:val="paragraph"/>
      </w:pPr>
      <w:r w:rsidRPr="00D97EFB">
        <w:tab/>
        <w:t>(a)</w:t>
      </w:r>
      <w:r w:rsidRPr="00D97EFB">
        <w:tab/>
        <w:t>continue to apply in relation to a transferring financial institution of a State or Territory to the extent that the standards applied to the institution immediately before the transfer date; and</w:t>
      </w:r>
    </w:p>
    <w:p w14:paraId="04E2DF3B" w14:textId="77777777" w:rsidR="00E93F58" w:rsidRPr="00D97EFB" w:rsidRDefault="00E93F58" w:rsidP="00BB7E31">
      <w:pPr>
        <w:pStyle w:val="paragraph"/>
      </w:pPr>
      <w:r w:rsidRPr="00D97EFB">
        <w:tab/>
        <w:t>(b)</w:t>
      </w:r>
      <w:r w:rsidRPr="00D97EFB">
        <w:tab/>
        <w:t>apply in relation to a relevant financial institution of a kind mentioned in paragraph (b) or (c) of the definition of that expression in regulation 12.7.01 to the extent that the standards applied to an institution of that kind immediately before the transfer date; and</w:t>
      </w:r>
    </w:p>
    <w:p w14:paraId="0E9A7DF4" w14:textId="77777777" w:rsidR="00E93F58" w:rsidRPr="00D97EFB" w:rsidRDefault="00E93F58" w:rsidP="00BB7E31">
      <w:pPr>
        <w:pStyle w:val="paragraph"/>
      </w:pPr>
      <w:r w:rsidRPr="00D97EFB">
        <w:tab/>
        <w:t>(c)</w:t>
      </w:r>
      <w:r w:rsidRPr="00D97EFB">
        <w:tab/>
        <w:t>apply in relation to an Australian ADI to which a declaration under regulation 12.7.02 applies to the extent that the standards applied to Australian ADIs immediately before the transfer date.</w:t>
      </w:r>
    </w:p>
    <w:p w14:paraId="57DEB0DD" w14:textId="77777777" w:rsidR="00E93F58" w:rsidRPr="00D97EFB" w:rsidRDefault="00E93F58" w:rsidP="00BB7E31">
      <w:pPr>
        <w:pStyle w:val="subsection"/>
      </w:pPr>
      <w:r w:rsidRPr="00D97EFB">
        <w:tab/>
        <w:t>(2)</w:t>
      </w:r>
      <w:r w:rsidRPr="00D97EFB">
        <w:tab/>
        <w:t>However, Prudential Standard 6.8.3, as applied by subregulation (1), does not authorise ASIC to grant an exemption.</w:t>
      </w:r>
    </w:p>
    <w:p w14:paraId="1533E31B" w14:textId="77777777" w:rsidR="00E93F58" w:rsidRPr="00D97EFB" w:rsidRDefault="00E93F58" w:rsidP="00BB7E31">
      <w:pPr>
        <w:pStyle w:val="notetext"/>
      </w:pPr>
      <w:r w:rsidRPr="00D97EFB">
        <w:t>Note:</w:t>
      </w:r>
      <w:r w:rsidRPr="00D97EFB">
        <w:tab/>
        <w:t>Regulation 12.7.05 authorises ASIC to make a declaration having the effect of an exemption to which Prudential Standard 6.8.3 relates.</w:t>
      </w:r>
    </w:p>
    <w:p w14:paraId="029C4DF7" w14:textId="77777777" w:rsidR="00E93F58" w:rsidRPr="00D97EFB" w:rsidRDefault="00E93F58" w:rsidP="00BB7E31">
      <w:pPr>
        <w:pStyle w:val="ActHead5"/>
      </w:pPr>
      <w:bookmarkStart w:id="3123" w:name="_Toc151994840"/>
      <w:bookmarkStart w:id="3124" w:name="_Toc158713350"/>
      <w:r w:rsidRPr="000D40D5">
        <w:rPr>
          <w:rStyle w:val="CharSectno"/>
        </w:rPr>
        <w:t>12.7.05</w:t>
      </w:r>
      <w:r w:rsidRPr="00D97EFB">
        <w:t xml:space="preserve">  Exemption from, and modification of, certain provisions</w:t>
      </w:r>
      <w:bookmarkEnd w:id="3123"/>
      <w:bookmarkEnd w:id="3124"/>
    </w:p>
    <w:p w14:paraId="4167B753" w14:textId="77777777" w:rsidR="00E93F58" w:rsidRPr="00D97EFB" w:rsidRDefault="00E93F58" w:rsidP="00BB7E31">
      <w:pPr>
        <w:pStyle w:val="subsection"/>
      </w:pPr>
      <w:r w:rsidRPr="00D97EFB">
        <w:tab/>
        <w:t>(1)</w:t>
      </w:r>
      <w:r w:rsidRPr="00D97EFB">
        <w:tab/>
        <w:t>This regulation applies, in the circumstances to which Prudential Standard 6.8.3 referred immediately before the transfer date, on:</w:t>
      </w:r>
    </w:p>
    <w:p w14:paraId="42F0C6A4" w14:textId="77777777" w:rsidR="00E93F58" w:rsidRPr="00D97EFB" w:rsidRDefault="00E93F58" w:rsidP="00BB7E31">
      <w:pPr>
        <w:pStyle w:val="paragraph"/>
      </w:pPr>
      <w:r w:rsidRPr="00D97EFB">
        <w:tab/>
        <w:t>(a)</w:t>
      </w:r>
      <w:r w:rsidRPr="00D97EFB">
        <w:tab/>
        <w:t>the initiative of ASIC; or</w:t>
      </w:r>
    </w:p>
    <w:p w14:paraId="2A016A1B" w14:textId="77777777" w:rsidR="00E93F58" w:rsidRPr="00D97EFB" w:rsidRDefault="00E93F58" w:rsidP="00BB7E31">
      <w:pPr>
        <w:pStyle w:val="paragraph"/>
      </w:pPr>
      <w:r w:rsidRPr="00D97EFB">
        <w:tab/>
        <w:t>(b)</w:t>
      </w:r>
      <w:r w:rsidRPr="00D97EFB">
        <w:tab/>
        <w:t>application made to ASIC in writing by a person to whom Division 3 of Part 7.3 of the Act, or regulation 7.3.13A or 7.3.13B, applies or another person.</w:t>
      </w:r>
    </w:p>
    <w:p w14:paraId="13505033" w14:textId="77777777" w:rsidR="00E93F58" w:rsidRPr="00D97EFB" w:rsidRDefault="00E93F58" w:rsidP="00BB7E31">
      <w:pPr>
        <w:pStyle w:val="subsection"/>
      </w:pPr>
      <w:r w:rsidRPr="00D97EFB">
        <w:tab/>
        <w:t>(2)</w:t>
      </w:r>
      <w:r w:rsidRPr="00D97EFB">
        <w:tab/>
        <w:t xml:space="preserve">ASIC may, by </w:t>
      </w:r>
      <w:r w:rsidRPr="00D97EFB">
        <w:rPr>
          <w:i/>
        </w:rPr>
        <w:t>Gazette</w:t>
      </w:r>
      <w:r w:rsidRPr="00D97EFB">
        <w:t xml:space="preserve"> notice, declare:</w:t>
      </w:r>
    </w:p>
    <w:p w14:paraId="0B216576" w14:textId="77777777" w:rsidR="00E93F58" w:rsidRPr="00D97EFB" w:rsidRDefault="00E93F58" w:rsidP="00BB7E31">
      <w:pPr>
        <w:pStyle w:val="paragraph"/>
      </w:pPr>
      <w:r w:rsidRPr="00D97EFB">
        <w:tab/>
        <w:t>(a)</w:t>
      </w:r>
      <w:r w:rsidRPr="00D97EFB">
        <w:tab/>
        <w:t>that Division 3 of Part 7.3 of the Act, or regulation 7.3.13A or 7.3.13B, does not apply to a person to whom the declaration applies; and</w:t>
      </w:r>
    </w:p>
    <w:p w14:paraId="1B3E046F" w14:textId="77777777" w:rsidR="00E93F58" w:rsidRPr="00D97EFB" w:rsidRDefault="00E93F58" w:rsidP="00BB7E31">
      <w:pPr>
        <w:pStyle w:val="paragraph"/>
      </w:pPr>
      <w:r w:rsidRPr="00D97EFB">
        <w:tab/>
        <w:t>(b)</w:t>
      </w:r>
      <w:r w:rsidRPr="00D97EFB">
        <w:tab/>
        <w:t>that a provision mentioned in paragraph (a) applies to a person to whom the declaration applies as if the provision were modified in accordance with the declaration.</w:t>
      </w:r>
    </w:p>
    <w:p w14:paraId="353CE261" w14:textId="77777777" w:rsidR="00E93F58" w:rsidRPr="00D97EFB" w:rsidRDefault="00E93F58" w:rsidP="00BB7E31">
      <w:pPr>
        <w:pStyle w:val="subsection"/>
      </w:pPr>
      <w:r w:rsidRPr="00D97EFB">
        <w:tab/>
        <w:t>(3)</w:t>
      </w:r>
      <w:r w:rsidRPr="00D97EFB">
        <w:tab/>
        <w:t>Division 3 of Part 7.3 of the Act, and regulations 7.3.13A and 7.3.13B, apply subject to a declaration applying in relation to that Division or regulation.</w:t>
      </w:r>
    </w:p>
    <w:p w14:paraId="7BC564B9" w14:textId="77777777" w:rsidR="00E93F58" w:rsidRPr="00D97EFB" w:rsidRDefault="00E93F58" w:rsidP="00BB7E31">
      <w:pPr>
        <w:pStyle w:val="subsection"/>
      </w:pPr>
      <w:r w:rsidRPr="00D97EFB">
        <w:lastRenderedPageBreak/>
        <w:tab/>
        <w:t>(4)</w:t>
      </w:r>
      <w:r w:rsidRPr="00D97EFB">
        <w:tab/>
        <w:t>A declaration:</w:t>
      </w:r>
    </w:p>
    <w:p w14:paraId="5EB603F8" w14:textId="77777777" w:rsidR="00E93F58" w:rsidRPr="00D97EFB" w:rsidRDefault="00E93F58" w:rsidP="00BB7E31">
      <w:pPr>
        <w:pStyle w:val="paragraph"/>
      </w:pPr>
      <w:r w:rsidRPr="00D97EFB">
        <w:tab/>
        <w:t>(a)</w:t>
      </w:r>
      <w:r w:rsidRPr="00D97EFB">
        <w:tab/>
        <w:t>may be made subject to a condition stated in the exemption; and</w:t>
      </w:r>
    </w:p>
    <w:p w14:paraId="07C31731" w14:textId="77777777" w:rsidR="00E93F58" w:rsidRPr="00D97EFB" w:rsidRDefault="00E93F58" w:rsidP="00BB7E31">
      <w:pPr>
        <w:pStyle w:val="paragraph"/>
      </w:pPr>
      <w:r w:rsidRPr="00D97EFB">
        <w:tab/>
        <w:t>(b)</w:t>
      </w:r>
      <w:r w:rsidRPr="00D97EFB">
        <w:tab/>
        <w:t>takes effect on the day on which it is published.</w:t>
      </w:r>
    </w:p>
    <w:p w14:paraId="625D5AF6" w14:textId="77777777" w:rsidR="00E93F58" w:rsidRPr="00D97EFB" w:rsidRDefault="00E93F58" w:rsidP="00BB7E31">
      <w:pPr>
        <w:pStyle w:val="ActHead5"/>
      </w:pPr>
      <w:bookmarkStart w:id="3125" w:name="_Toc151994841"/>
      <w:bookmarkStart w:id="3126" w:name="_Toc158713351"/>
      <w:r w:rsidRPr="000D40D5">
        <w:rPr>
          <w:rStyle w:val="CharSectno"/>
        </w:rPr>
        <w:t>12.7.06</w:t>
      </w:r>
      <w:r w:rsidRPr="00D97EFB">
        <w:t xml:space="preserve">  Certain provisions of the Friendly Societies Code cease to apply to FSR licensee</w:t>
      </w:r>
      <w:bookmarkEnd w:id="3125"/>
      <w:bookmarkEnd w:id="3126"/>
    </w:p>
    <w:p w14:paraId="327776FF" w14:textId="77777777" w:rsidR="00E93F58" w:rsidRPr="00D97EFB" w:rsidRDefault="00E93F58" w:rsidP="00BB7E31">
      <w:pPr>
        <w:pStyle w:val="subsection"/>
      </w:pPr>
      <w:r w:rsidRPr="00D97EFB">
        <w:tab/>
        <w:t>(1)</w:t>
      </w:r>
      <w:r w:rsidRPr="00D97EFB">
        <w:tab/>
        <w:t>For clause 39 of Schedule 4 to the Act the provisions of subclause 36(1) of Schedule 4 cease to apply to a body to which the Schedule applies on the earlier of:</w:t>
      </w:r>
    </w:p>
    <w:p w14:paraId="2C1CD022" w14:textId="77777777" w:rsidR="00E93F58" w:rsidRPr="00D97EFB" w:rsidRDefault="00E93F58" w:rsidP="00BB7E31">
      <w:pPr>
        <w:pStyle w:val="paragraph"/>
      </w:pPr>
      <w:r w:rsidRPr="00D97EFB">
        <w:tab/>
        <w:t>(a)</w:t>
      </w:r>
      <w:r w:rsidRPr="00D97EFB">
        <w:tab/>
        <w:t>2 years after the FSR commencement; and</w:t>
      </w:r>
    </w:p>
    <w:p w14:paraId="6869645E" w14:textId="77777777" w:rsidR="00E93F58" w:rsidRPr="00D97EFB" w:rsidRDefault="00E93F58" w:rsidP="00BB7E31">
      <w:pPr>
        <w:pStyle w:val="paragraph"/>
      </w:pPr>
      <w:r w:rsidRPr="00D97EFB">
        <w:tab/>
        <w:t>(b)</w:t>
      </w:r>
      <w:r w:rsidRPr="00D97EFB">
        <w:tab/>
        <w:t>if the body gives notice under paragraph 1438(3)(b) of the Act that the body wants the new product disclosure provisions to apply in relation to specified products from a certain date—that date.</w:t>
      </w:r>
    </w:p>
    <w:p w14:paraId="2E3C56F2" w14:textId="77777777" w:rsidR="00E93F58" w:rsidRPr="00D97EFB" w:rsidRDefault="00E93F58" w:rsidP="00BB7E31">
      <w:pPr>
        <w:pStyle w:val="subsection"/>
      </w:pPr>
      <w:r w:rsidRPr="00D97EFB">
        <w:tab/>
        <w:t>(2)</w:t>
      </w:r>
      <w:r w:rsidRPr="00D97EFB">
        <w:tab/>
        <w:t>Subregulation (1) takes effect from the date specified in the notice as the date from which the new product disclosure provisions will apply.</w:t>
      </w:r>
    </w:p>
    <w:p w14:paraId="5BE051DC" w14:textId="77777777" w:rsidR="00E93F58" w:rsidRPr="00D97EFB" w:rsidRDefault="00E93F58" w:rsidP="00E23F70">
      <w:pPr>
        <w:pStyle w:val="ActHead2"/>
        <w:pageBreakBefore/>
      </w:pPr>
      <w:bookmarkStart w:id="3127" w:name="_Toc151994842"/>
      <w:bookmarkStart w:id="3128" w:name="_Toc158713352"/>
      <w:r w:rsidRPr="000D40D5">
        <w:rPr>
          <w:rStyle w:val="CharPartNo"/>
        </w:rPr>
        <w:lastRenderedPageBreak/>
        <w:t>Part 12.8</w:t>
      </w:r>
      <w:r w:rsidRPr="00D97EFB">
        <w:t>—</w:t>
      </w:r>
      <w:r w:rsidRPr="000D40D5">
        <w:rPr>
          <w:rStyle w:val="CharPartText"/>
        </w:rPr>
        <w:t>Shares in certain bodies corporate</w:t>
      </w:r>
      <w:bookmarkEnd w:id="3127"/>
      <w:bookmarkEnd w:id="3128"/>
    </w:p>
    <w:p w14:paraId="47B15DDB" w14:textId="77777777" w:rsidR="00E93F58" w:rsidRPr="00D97EFB" w:rsidRDefault="00E93F58" w:rsidP="00BB7E31">
      <w:pPr>
        <w:pStyle w:val="ActHead3"/>
      </w:pPr>
      <w:bookmarkStart w:id="3129" w:name="_Toc151994843"/>
      <w:bookmarkStart w:id="3130" w:name="_Toc158713353"/>
      <w:r w:rsidRPr="000D40D5">
        <w:rPr>
          <w:rStyle w:val="CharDivNo"/>
        </w:rPr>
        <w:t>Division 1</w:t>
      </w:r>
      <w:r w:rsidRPr="00D97EFB">
        <w:t>—</w:t>
      </w:r>
      <w:r w:rsidRPr="000D40D5">
        <w:rPr>
          <w:rStyle w:val="CharDivText"/>
        </w:rPr>
        <w:t>Preliminary</w:t>
      </w:r>
      <w:bookmarkEnd w:id="3129"/>
      <w:bookmarkEnd w:id="3130"/>
    </w:p>
    <w:p w14:paraId="7A6A7AD7" w14:textId="77777777" w:rsidR="00E93F58" w:rsidRPr="00D97EFB" w:rsidRDefault="00E93F58" w:rsidP="00BB7E31">
      <w:pPr>
        <w:pStyle w:val="ActHead5"/>
      </w:pPr>
      <w:bookmarkStart w:id="3131" w:name="_Toc151994844"/>
      <w:bookmarkStart w:id="3132" w:name="_Toc158713354"/>
      <w:r w:rsidRPr="000D40D5">
        <w:rPr>
          <w:rStyle w:val="CharSectno"/>
        </w:rPr>
        <w:t>12.8.02</w:t>
      </w:r>
      <w:r w:rsidRPr="00D97EFB">
        <w:t xml:space="preserve">  Application of Part 12.8</w:t>
      </w:r>
      <w:bookmarkEnd w:id="3131"/>
      <w:bookmarkEnd w:id="3132"/>
    </w:p>
    <w:p w14:paraId="61F7739A" w14:textId="77777777" w:rsidR="00E93F58" w:rsidRPr="00D97EFB" w:rsidRDefault="00E93F58" w:rsidP="00BB7E31">
      <w:pPr>
        <w:pStyle w:val="subsection"/>
      </w:pPr>
      <w:r w:rsidRPr="00D97EFB">
        <w:tab/>
      </w:r>
      <w:r w:rsidRPr="00D97EFB">
        <w:tab/>
        <w:t>This Part applies to a body corporate that is:</w:t>
      </w:r>
    </w:p>
    <w:p w14:paraId="6D1AD18E" w14:textId="77777777" w:rsidR="00E93F58" w:rsidRPr="00D97EFB" w:rsidRDefault="00E93F58" w:rsidP="00BB7E31">
      <w:pPr>
        <w:pStyle w:val="paragraph"/>
      </w:pPr>
      <w:r w:rsidRPr="00D97EFB">
        <w:tab/>
        <w:t>(a)</w:t>
      </w:r>
      <w:r w:rsidRPr="00D97EFB">
        <w:tab/>
        <w:t>a transferring financial institution of a State or Territory; or</w:t>
      </w:r>
    </w:p>
    <w:p w14:paraId="38E62308" w14:textId="77777777" w:rsidR="00E93F58" w:rsidRPr="00D97EFB" w:rsidRDefault="00E93F58" w:rsidP="00BB7E31">
      <w:pPr>
        <w:pStyle w:val="paragraph"/>
      </w:pPr>
      <w:r w:rsidRPr="00D97EFB">
        <w:tab/>
        <w:t>(b)</w:t>
      </w:r>
      <w:r w:rsidRPr="00D97EFB">
        <w:tab/>
        <w:t xml:space="preserve">a company that is permitted to use the expression </w:t>
      </w:r>
      <w:r w:rsidRPr="00D97EFB">
        <w:rPr>
          <w:b/>
          <w:i/>
        </w:rPr>
        <w:t>building society</w:t>
      </w:r>
      <w:r w:rsidRPr="00D97EFB">
        <w:t xml:space="preserve">, </w:t>
      </w:r>
      <w:r w:rsidRPr="00D97EFB">
        <w:rPr>
          <w:b/>
          <w:i/>
        </w:rPr>
        <w:t>credit society</w:t>
      </w:r>
      <w:r w:rsidRPr="00D97EFB">
        <w:t xml:space="preserve"> or </w:t>
      </w:r>
      <w:r w:rsidRPr="00D97EFB">
        <w:rPr>
          <w:b/>
          <w:i/>
        </w:rPr>
        <w:t>credit union</w:t>
      </w:r>
      <w:r w:rsidRPr="00D97EFB">
        <w:t xml:space="preserve"> under section 66 of the </w:t>
      </w:r>
      <w:r w:rsidRPr="00D97EFB">
        <w:rPr>
          <w:i/>
        </w:rPr>
        <w:t>Banking Act 1959</w:t>
      </w:r>
      <w:r w:rsidRPr="00D97EFB">
        <w:t>; or</w:t>
      </w:r>
    </w:p>
    <w:p w14:paraId="6FDAB9DA" w14:textId="77777777" w:rsidR="00E93F58" w:rsidRPr="00D97EFB" w:rsidRDefault="00E93F58" w:rsidP="00BB7E31">
      <w:pPr>
        <w:pStyle w:val="paragraph"/>
      </w:pPr>
      <w:r w:rsidRPr="00D97EFB">
        <w:tab/>
        <w:t>(c)</w:t>
      </w:r>
      <w:r w:rsidRPr="00D97EFB">
        <w:tab/>
        <w:t>a friendly society; or</w:t>
      </w:r>
    </w:p>
    <w:p w14:paraId="3518D921" w14:textId="77777777" w:rsidR="00E93F58" w:rsidRPr="00D97EFB" w:rsidRDefault="00E93F58" w:rsidP="00BB7E31">
      <w:pPr>
        <w:pStyle w:val="paragraph"/>
      </w:pPr>
      <w:r w:rsidRPr="00D97EFB">
        <w:tab/>
        <w:t>(d)</w:t>
      </w:r>
      <w:r w:rsidRPr="00D97EFB">
        <w:tab/>
        <w:t xml:space="preserve">a restricted access insurer within the meaning of the </w:t>
      </w:r>
      <w:r w:rsidRPr="00D97EFB">
        <w:rPr>
          <w:i/>
        </w:rPr>
        <w:t>Private Health Insurance Act 2007</w:t>
      </w:r>
      <w:r w:rsidRPr="00D97EFB">
        <w:t>.</w:t>
      </w:r>
    </w:p>
    <w:p w14:paraId="154EA76D" w14:textId="77777777" w:rsidR="00E93F58" w:rsidRPr="00D97EFB" w:rsidRDefault="00E93F58" w:rsidP="00BB7E31">
      <w:pPr>
        <w:pStyle w:val="ActHead5"/>
      </w:pPr>
      <w:bookmarkStart w:id="3133" w:name="_Toc151994845"/>
      <w:bookmarkStart w:id="3134" w:name="_Toc158713355"/>
      <w:r w:rsidRPr="000D40D5">
        <w:rPr>
          <w:rStyle w:val="CharSectno"/>
        </w:rPr>
        <w:t>12.8.03</w:t>
      </w:r>
      <w:r w:rsidRPr="00D97EFB">
        <w:t xml:space="preserve">  Meaning of </w:t>
      </w:r>
      <w:r w:rsidRPr="00D97EFB">
        <w:rPr>
          <w:i/>
        </w:rPr>
        <w:t>member share</w:t>
      </w:r>
      <w:bookmarkEnd w:id="3133"/>
      <w:bookmarkEnd w:id="3134"/>
    </w:p>
    <w:p w14:paraId="0579AB50" w14:textId="77777777" w:rsidR="00E93F58" w:rsidRPr="00D97EFB" w:rsidRDefault="00E93F58" w:rsidP="00BB7E31">
      <w:pPr>
        <w:pStyle w:val="subsection"/>
      </w:pPr>
      <w:r w:rsidRPr="00D97EFB">
        <w:tab/>
        <w:t>(1)</w:t>
      </w:r>
      <w:r w:rsidRPr="00D97EFB">
        <w:tab/>
        <w:t xml:space="preserve">A share in the body corporate to which subregulation (2) or (3) applies is a </w:t>
      </w:r>
      <w:r w:rsidRPr="00D97EFB">
        <w:rPr>
          <w:b/>
          <w:i/>
        </w:rPr>
        <w:t>member share</w:t>
      </w:r>
      <w:r w:rsidRPr="00D97EFB">
        <w:t>.</w:t>
      </w:r>
    </w:p>
    <w:p w14:paraId="27ADBDB5" w14:textId="77777777" w:rsidR="00E93F58" w:rsidRPr="00D97EFB" w:rsidRDefault="00E93F58" w:rsidP="00BB7E31">
      <w:pPr>
        <w:pStyle w:val="subsection"/>
      </w:pPr>
      <w:r w:rsidRPr="00D97EFB">
        <w:tab/>
        <w:t>(2)</w:t>
      </w:r>
      <w:r w:rsidRPr="00D97EFB">
        <w:tab/>
        <w:t>This subregulation applies if the share:</w:t>
      </w:r>
    </w:p>
    <w:p w14:paraId="4F539195" w14:textId="77777777" w:rsidR="00E93F58" w:rsidRPr="00D97EFB" w:rsidRDefault="00E93F58" w:rsidP="00BB7E31">
      <w:pPr>
        <w:pStyle w:val="paragraph"/>
      </w:pPr>
      <w:r w:rsidRPr="00D97EFB">
        <w:tab/>
        <w:t>(a)</w:t>
      </w:r>
      <w:r w:rsidRPr="00D97EFB">
        <w:tab/>
        <w:t>is not an ED security; and</w:t>
      </w:r>
    </w:p>
    <w:p w14:paraId="5404F03F" w14:textId="77777777" w:rsidR="00E93F58" w:rsidRPr="00D97EFB" w:rsidRDefault="00E93F58" w:rsidP="00BB7E31">
      <w:pPr>
        <w:pStyle w:val="paragraph"/>
      </w:pPr>
      <w:r w:rsidRPr="00D97EFB">
        <w:tab/>
        <w:t>(b)</w:t>
      </w:r>
      <w:r w:rsidRPr="00D97EFB">
        <w:tab/>
        <w:t>has a fixed value; and</w:t>
      </w:r>
    </w:p>
    <w:p w14:paraId="5C818909" w14:textId="77777777" w:rsidR="00E93F58" w:rsidRPr="00D97EFB" w:rsidRDefault="00E93F58" w:rsidP="00BB7E31">
      <w:pPr>
        <w:pStyle w:val="paragraph"/>
      </w:pPr>
      <w:r w:rsidRPr="00D97EFB">
        <w:tab/>
        <w:t>(c)</w:t>
      </w:r>
      <w:r w:rsidRPr="00D97EFB">
        <w:tab/>
        <w:t>is held by a single person, or 2 or more persons jointly; and</w:t>
      </w:r>
    </w:p>
    <w:p w14:paraId="70730A8A" w14:textId="77777777" w:rsidR="00E93F58" w:rsidRPr="00D97EFB" w:rsidRDefault="00E93F58" w:rsidP="00BB7E31">
      <w:pPr>
        <w:pStyle w:val="paragraph"/>
      </w:pPr>
      <w:r w:rsidRPr="00D97EFB">
        <w:tab/>
        <w:t>(d)</w:t>
      </w:r>
      <w:r w:rsidRPr="00D97EFB">
        <w:tab/>
        <w:t>entitles the holder, or joint holders, to use services provided by the body corporate; and</w:t>
      </w:r>
    </w:p>
    <w:p w14:paraId="08683C09" w14:textId="77777777" w:rsidR="00E93F58" w:rsidRPr="00D97EFB" w:rsidRDefault="00E93F58" w:rsidP="00BB7E31">
      <w:pPr>
        <w:pStyle w:val="paragraph"/>
      </w:pPr>
      <w:r w:rsidRPr="00D97EFB">
        <w:tab/>
        <w:t>(e)</w:t>
      </w:r>
      <w:r w:rsidRPr="00D97EFB">
        <w:tab/>
        <w:t>is not transferable or transmissible, or is only transferable or transmissible to a person or body specified in the rules or constitution of the body corporate in circumstances stated in the rules or constitution.</w:t>
      </w:r>
    </w:p>
    <w:p w14:paraId="21D3C7F7" w14:textId="77777777" w:rsidR="00E93F58" w:rsidRPr="00D97EFB" w:rsidRDefault="00E93F58" w:rsidP="00BB7E31">
      <w:pPr>
        <w:pStyle w:val="subsection"/>
      </w:pPr>
      <w:r w:rsidRPr="00D97EFB">
        <w:tab/>
        <w:t>(3)</w:t>
      </w:r>
      <w:r w:rsidRPr="00D97EFB">
        <w:tab/>
        <w:t>This subregulation applies if:</w:t>
      </w:r>
    </w:p>
    <w:p w14:paraId="54AB0607" w14:textId="77777777" w:rsidR="00E93F58" w:rsidRPr="00D97EFB" w:rsidRDefault="00E93F58" w:rsidP="00BB7E31">
      <w:pPr>
        <w:pStyle w:val="paragraph"/>
      </w:pPr>
      <w:r w:rsidRPr="00D97EFB">
        <w:tab/>
        <w:t>(a)</w:t>
      </w:r>
      <w:r w:rsidRPr="00D97EFB">
        <w:tab/>
        <w:t>the share is taken to have been issued under paragraph 12(1)(b), (c) or (d) of the transfer provisions; or</w:t>
      </w:r>
    </w:p>
    <w:p w14:paraId="40131655" w14:textId="77777777" w:rsidR="00E93F58" w:rsidRPr="00D97EFB" w:rsidRDefault="00E93F58" w:rsidP="00BB7E31">
      <w:pPr>
        <w:pStyle w:val="paragraph"/>
      </w:pPr>
      <w:r w:rsidRPr="00D97EFB">
        <w:tab/>
        <w:t>(b)</w:t>
      </w:r>
      <w:r w:rsidRPr="00D97EFB">
        <w:tab/>
        <w:t>that Act applies to the share under clause 15 of Schedule 4 to that Act; or</w:t>
      </w:r>
    </w:p>
    <w:p w14:paraId="374C81E9" w14:textId="77777777" w:rsidR="00E93F58" w:rsidRPr="00D97EFB" w:rsidRDefault="00E93F58" w:rsidP="00BB7E31">
      <w:pPr>
        <w:pStyle w:val="paragraph"/>
      </w:pPr>
      <w:r w:rsidRPr="00D97EFB">
        <w:tab/>
        <w:t>(c)</w:t>
      </w:r>
      <w:r w:rsidRPr="00D97EFB">
        <w:tab/>
        <w:t>the share is declared under regulation 12.8.04 to be a member share; or</w:t>
      </w:r>
    </w:p>
    <w:p w14:paraId="0D20A8FB" w14:textId="77777777" w:rsidR="00E93F58" w:rsidRPr="00D97EFB" w:rsidRDefault="00E93F58" w:rsidP="00BB7E31">
      <w:pPr>
        <w:pStyle w:val="paragraph"/>
      </w:pPr>
      <w:r w:rsidRPr="00D97EFB">
        <w:tab/>
        <w:t>(d)</w:t>
      </w:r>
      <w:r w:rsidRPr="00D97EFB">
        <w:tab/>
        <w:t>the share is issued under regulation 12.8.11 or 12.8.12.</w:t>
      </w:r>
    </w:p>
    <w:p w14:paraId="38FF56C9" w14:textId="77777777" w:rsidR="00E93F58" w:rsidRPr="00D97EFB" w:rsidRDefault="00E93F58" w:rsidP="00BB7E31">
      <w:pPr>
        <w:pStyle w:val="ActHead5"/>
      </w:pPr>
      <w:bookmarkStart w:id="3135" w:name="_Toc151994846"/>
      <w:bookmarkStart w:id="3136" w:name="_Toc158713356"/>
      <w:r w:rsidRPr="000D40D5">
        <w:rPr>
          <w:rStyle w:val="CharSectno"/>
        </w:rPr>
        <w:t>12.8.04</w:t>
      </w:r>
      <w:r w:rsidRPr="00D97EFB">
        <w:t xml:space="preserve">  Declarations by ASIC</w:t>
      </w:r>
      <w:bookmarkEnd w:id="3135"/>
      <w:bookmarkEnd w:id="3136"/>
    </w:p>
    <w:p w14:paraId="36B1404D" w14:textId="77777777" w:rsidR="00E93F58" w:rsidRPr="00D97EFB" w:rsidRDefault="00E93F58" w:rsidP="00BB7E31">
      <w:pPr>
        <w:pStyle w:val="subsection"/>
      </w:pPr>
      <w:r w:rsidRPr="00D97EFB">
        <w:tab/>
        <w:t>(1)</w:t>
      </w:r>
      <w:r w:rsidRPr="00D97EFB">
        <w:tab/>
        <w:t>This regulation applies, in relation to a share in the body corporate, on:</w:t>
      </w:r>
    </w:p>
    <w:p w14:paraId="48FC974C" w14:textId="77777777" w:rsidR="00E93F58" w:rsidRPr="00D97EFB" w:rsidRDefault="00E93F58" w:rsidP="00BB7E31">
      <w:pPr>
        <w:pStyle w:val="paragraph"/>
      </w:pPr>
      <w:r w:rsidRPr="00D97EFB">
        <w:tab/>
        <w:t>(a)</w:t>
      </w:r>
      <w:r w:rsidRPr="00D97EFB">
        <w:tab/>
        <w:t>the initiative of ASIC; or</w:t>
      </w:r>
    </w:p>
    <w:p w14:paraId="1D4529D6" w14:textId="77777777" w:rsidR="00E93F58" w:rsidRPr="00D97EFB" w:rsidRDefault="00E93F58" w:rsidP="00BB7E31">
      <w:pPr>
        <w:pStyle w:val="paragraph"/>
      </w:pPr>
      <w:r w:rsidRPr="00D97EFB">
        <w:tab/>
        <w:t>(b)</w:t>
      </w:r>
      <w:r w:rsidRPr="00D97EFB">
        <w:tab/>
        <w:t>application made to ASIC in writing by the body corporate or another person.</w:t>
      </w:r>
    </w:p>
    <w:p w14:paraId="0162A773" w14:textId="77777777" w:rsidR="00E93F58" w:rsidRPr="00D97EFB" w:rsidRDefault="00E93F58" w:rsidP="00BB7E31">
      <w:pPr>
        <w:pStyle w:val="subsection"/>
      </w:pPr>
      <w:r w:rsidRPr="00D97EFB">
        <w:tab/>
        <w:t>(2)</w:t>
      </w:r>
      <w:r w:rsidRPr="00D97EFB">
        <w:tab/>
        <w:t>ASIC may declare in writing that shares are, or are not, member shares of the body corporate.</w:t>
      </w:r>
    </w:p>
    <w:p w14:paraId="40BE9CCD" w14:textId="77777777" w:rsidR="00E93F58" w:rsidRPr="00D97EFB" w:rsidRDefault="00E93F58" w:rsidP="00BB7E31">
      <w:pPr>
        <w:pStyle w:val="subsection"/>
      </w:pPr>
      <w:r w:rsidRPr="00D97EFB">
        <w:tab/>
        <w:t>(3)</w:t>
      </w:r>
      <w:r w:rsidRPr="00D97EFB">
        <w:tab/>
        <w:t>The declaration takes effect when the declaration, or a copy of the declaration, is given to the body corporate.</w:t>
      </w:r>
    </w:p>
    <w:p w14:paraId="6B923CE3" w14:textId="77777777" w:rsidR="00E93F58" w:rsidRPr="00D97EFB" w:rsidRDefault="00E93F58" w:rsidP="00BB7E31">
      <w:pPr>
        <w:pStyle w:val="ActHead3"/>
        <w:pageBreakBefore/>
      </w:pPr>
      <w:bookmarkStart w:id="3137" w:name="_Toc151994847"/>
      <w:bookmarkStart w:id="3138" w:name="_Toc158713357"/>
      <w:r w:rsidRPr="000D40D5">
        <w:rPr>
          <w:rStyle w:val="CharDivNo"/>
        </w:rPr>
        <w:lastRenderedPageBreak/>
        <w:t>Division 2</w:t>
      </w:r>
      <w:r w:rsidRPr="00D97EFB">
        <w:t>—</w:t>
      </w:r>
      <w:r w:rsidRPr="000D40D5">
        <w:rPr>
          <w:rStyle w:val="CharDivText"/>
        </w:rPr>
        <w:t>Member shares</w:t>
      </w:r>
      <w:bookmarkEnd w:id="3137"/>
      <w:bookmarkEnd w:id="3138"/>
    </w:p>
    <w:p w14:paraId="6436C2A7" w14:textId="77777777" w:rsidR="00E93F58" w:rsidRPr="00D97EFB" w:rsidRDefault="00E93F58" w:rsidP="00BB7E31">
      <w:pPr>
        <w:pStyle w:val="ActHead5"/>
      </w:pPr>
      <w:bookmarkStart w:id="3139" w:name="_Toc151994848"/>
      <w:bookmarkStart w:id="3140" w:name="_Toc158713358"/>
      <w:r w:rsidRPr="000D40D5">
        <w:rPr>
          <w:rStyle w:val="CharSectno"/>
        </w:rPr>
        <w:t>12.8.05</w:t>
      </w:r>
      <w:r w:rsidRPr="00D97EFB">
        <w:t xml:space="preserve">  Notice requirements</w:t>
      </w:r>
      <w:bookmarkEnd w:id="3139"/>
      <w:bookmarkEnd w:id="3140"/>
    </w:p>
    <w:p w14:paraId="23D679FB" w14:textId="77777777" w:rsidR="00E93F58" w:rsidRPr="00D97EFB" w:rsidRDefault="00E93F58" w:rsidP="00BB7E31">
      <w:pPr>
        <w:pStyle w:val="subsection"/>
      </w:pPr>
      <w:r w:rsidRPr="00D97EFB">
        <w:tab/>
      </w:r>
      <w:r w:rsidRPr="00D97EFB">
        <w:tab/>
        <w:t>For clause 38 of Schedule 4 to the Act, Part 2H.6 of the Act does not apply in relation to a member share of the body corporate.</w:t>
      </w:r>
    </w:p>
    <w:p w14:paraId="76124894" w14:textId="77777777" w:rsidR="00E93F58" w:rsidRPr="00D97EFB" w:rsidRDefault="00E93F58" w:rsidP="00BB7E31">
      <w:pPr>
        <w:pStyle w:val="ActHead5"/>
      </w:pPr>
      <w:bookmarkStart w:id="3141" w:name="_Toc151994849"/>
      <w:bookmarkStart w:id="3142" w:name="_Toc158713359"/>
      <w:r w:rsidRPr="000D40D5">
        <w:rPr>
          <w:rStyle w:val="CharSectno"/>
        </w:rPr>
        <w:t>12.8.06</w:t>
      </w:r>
      <w:r w:rsidRPr="00D97EFB">
        <w:t xml:space="preserve">  Registers of members</w:t>
      </w:r>
      <w:bookmarkEnd w:id="3141"/>
      <w:bookmarkEnd w:id="3142"/>
    </w:p>
    <w:p w14:paraId="36775106" w14:textId="77777777" w:rsidR="00E93F58" w:rsidRPr="00D97EFB" w:rsidRDefault="00E93F58" w:rsidP="00BB7E31">
      <w:pPr>
        <w:pStyle w:val="subsection"/>
      </w:pPr>
      <w:r w:rsidRPr="00D97EFB">
        <w:tab/>
        <w:t>(1)</w:t>
      </w:r>
      <w:r w:rsidRPr="00D97EFB">
        <w:tab/>
        <w:t>For clause 38 of Schedule 4 to the Act, the Act is modified in accordance with this regulation.</w:t>
      </w:r>
    </w:p>
    <w:p w14:paraId="1A6C2561" w14:textId="77777777" w:rsidR="00E93F58" w:rsidRPr="00D97EFB" w:rsidRDefault="00E93F58" w:rsidP="00BB7E31">
      <w:pPr>
        <w:pStyle w:val="subsection"/>
      </w:pPr>
      <w:r w:rsidRPr="00D97EFB">
        <w:tab/>
        <w:t>(2)</w:t>
      </w:r>
      <w:r w:rsidRPr="00D97EFB">
        <w:tab/>
        <w:t>The register of members that is mentioned in subsection 169(1) of the Act may have a separate part for members of the body corporate who hold member shares.</w:t>
      </w:r>
    </w:p>
    <w:p w14:paraId="41E2B7AE" w14:textId="77777777" w:rsidR="00E93F58" w:rsidRPr="00D97EFB" w:rsidRDefault="00E93F58" w:rsidP="00BB7E31">
      <w:pPr>
        <w:pStyle w:val="subsection"/>
        <w:rPr>
          <w:color w:val="000000"/>
        </w:rPr>
      </w:pPr>
      <w:r w:rsidRPr="00D97EFB">
        <w:rPr>
          <w:color w:val="000000"/>
        </w:rPr>
        <w:tab/>
        <w:t>(3)</w:t>
      </w:r>
      <w:r w:rsidRPr="00D97EFB">
        <w:rPr>
          <w:color w:val="000000"/>
        </w:rPr>
        <w:tab/>
        <w:t>Section 173 of the Act is modified in relation to the body corporate by inserting after subsection 173(1):</w:t>
      </w:r>
    </w:p>
    <w:p w14:paraId="31AD65F4" w14:textId="77777777" w:rsidR="00E93F58" w:rsidRPr="00D97EFB" w:rsidRDefault="00E93F58" w:rsidP="00BB7E31">
      <w:pPr>
        <w:pStyle w:val="paragraph"/>
      </w:pPr>
      <w:r w:rsidRPr="00D97EFB">
        <w:rPr>
          <w:color w:val="000000"/>
        </w:rPr>
        <w:tab/>
        <w:t>(1AA)</w:t>
      </w:r>
      <w:r w:rsidRPr="00D97EFB">
        <w:rPr>
          <w:color w:val="000000"/>
        </w:rPr>
        <w:tab/>
        <w:t>However, a body corporate mentioned in regulation 12.8.02 of the</w:t>
      </w:r>
      <w:r w:rsidRPr="00D97EFB">
        <w:rPr>
          <w:iCs/>
          <w:color w:val="000000"/>
        </w:rPr>
        <w:t xml:space="preserve"> </w:t>
      </w:r>
      <w:r w:rsidRPr="00D97EFB">
        <w:rPr>
          <w:color w:val="000000"/>
        </w:rPr>
        <w:t>Corporations Regulations may, before allowing a person to inspect the part of the register for members of the body corporate who hold member shares, require the person to agree in writing with the body that the person will only:</w:t>
      </w:r>
    </w:p>
    <w:p w14:paraId="642D1004" w14:textId="77777777" w:rsidR="00E93F58" w:rsidRPr="00D97EFB" w:rsidRDefault="00E93F58" w:rsidP="00BB7E31">
      <w:pPr>
        <w:pStyle w:val="paragraphsub"/>
      </w:pPr>
      <w:r w:rsidRPr="00D97EFB">
        <w:rPr>
          <w:color w:val="000000"/>
        </w:rPr>
        <w:tab/>
        <w:t>(a)</w:t>
      </w:r>
      <w:r w:rsidRPr="00D97EFB">
        <w:rPr>
          <w:color w:val="000000"/>
        </w:rPr>
        <w:tab/>
        <w:t>divulge information obtained by the person from inspecting the register to a person who is, or to persons who are, specified in the agreement; or</w:t>
      </w:r>
    </w:p>
    <w:p w14:paraId="2FCC4325" w14:textId="77777777" w:rsidR="00E93F58" w:rsidRPr="00D97EFB" w:rsidRDefault="00E93F58" w:rsidP="00BB7E31">
      <w:pPr>
        <w:pStyle w:val="paragraphsub"/>
      </w:pPr>
      <w:r w:rsidRPr="00D97EFB">
        <w:tab/>
        <w:t>(b)</w:t>
      </w:r>
      <w:r w:rsidRPr="00D97EFB">
        <w:tab/>
        <w:t>use information obtained by the person from inspecting the register for a purpose that is, or purposes that are, specified in the agreement.</w:t>
      </w:r>
    </w:p>
    <w:p w14:paraId="4A38A62D" w14:textId="77777777" w:rsidR="00E93F58" w:rsidRPr="00D97EFB" w:rsidRDefault="00E93F58" w:rsidP="00BB7E31">
      <w:pPr>
        <w:pStyle w:val="paragraph"/>
      </w:pPr>
      <w:r w:rsidRPr="00D97EFB">
        <w:rPr>
          <w:color w:val="000000"/>
        </w:rPr>
        <w:tab/>
        <w:t>(1AB)</w:t>
      </w:r>
      <w:r w:rsidRPr="00D97EFB">
        <w:rPr>
          <w:color w:val="000000"/>
        </w:rPr>
        <w:tab/>
        <w:t>Also, the body corporate mentioned in regulation 12.8.02 of the Corporations Regulations may refuse to allow a person to inspect the part of the register for members of the body who hold member shares if:</w:t>
      </w:r>
    </w:p>
    <w:p w14:paraId="7A4BEDFA" w14:textId="77777777" w:rsidR="00E93F58" w:rsidRPr="00D97EFB" w:rsidRDefault="00E93F58" w:rsidP="00BB7E31">
      <w:pPr>
        <w:pStyle w:val="paragraphsub"/>
      </w:pPr>
      <w:r w:rsidRPr="00D97EFB">
        <w:rPr>
          <w:color w:val="000000"/>
        </w:rPr>
        <w:tab/>
        <w:t>(a)</w:t>
      </w:r>
      <w:r w:rsidRPr="00D97EFB">
        <w:rPr>
          <w:color w:val="000000"/>
        </w:rPr>
        <w:tab/>
        <w:t>the body is not satisfied that the person is a member of the body who intends to call a meeting of members, or of particular members, of the body; or</w:t>
      </w:r>
    </w:p>
    <w:p w14:paraId="4DF583A9" w14:textId="77777777" w:rsidR="00E93F58" w:rsidRPr="00D97EFB" w:rsidRDefault="00E93F58" w:rsidP="00BB7E31">
      <w:pPr>
        <w:pStyle w:val="paragraphsub"/>
      </w:pPr>
      <w:r w:rsidRPr="00D97EFB">
        <w:tab/>
        <w:t>(b)</w:t>
      </w:r>
      <w:r w:rsidRPr="00D97EFB">
        <w:tab/>
        <w:t>the body is not satisfied that the person proposes to inspect the register for a purpose that is approved in writing by ASIC:</w:t>
      </w:r>
    </w:p>
    <w:p w14:paraId="5EC8BD57" w14:textId="77777777" w:rsidR="00E93F58" w:rsidRPr="00D97EFB" w:rsidRDefault="00E93F58" w:rsidP="00BB7E31">
      <w:pPr>
        <w:pStyle w:val="paragraphsub-sub"/>
      </w:pPr>
      <w:r w:rsidRPr="00D97EFB">
        <w:rPr>
          <w:color w:val="000000"/>
        </w:rPr>
        <w:tab/>
        <w:t>(i)</w:t>
      </w:r>
      <w:r w:rsidRPr="00D97EFB">
        <w:rPr>
          <w:color w:val="000000"/>
        </w:rPr>
        <w:tab/>
        <w:t>on its own initiative; or</w:t>
      </w:r>
    </w:p>
    <w:p w14:paraId="56148F5E" w14:textId="77777777" w:rsidR="00E93F58" w:rsidRPr="00D97EFB" w:rsidRDefault="00E93F58" w:rsidP="00BB7E31">
      <w:pPr>
        <w:pStyle w:val="paragraphsub-sub"/>
      </w:pPr>
      <w:r w:rsidRPr="00D97EFB">
        <w:tab/>
        <w:t>(ii)</w:t>
      </w:r>
      <w:r w:rsidRPr="00D97EFB">
        <w:tab/>
        <w:t>on the written application of the person or of another person; or</w:t>
      </w:r>
    </w:p>
    <w:p w14:paraId="6DCCDE0A" w14:textId="77777777" w:rsidR="00E93F58" w:rsidRPr="00D97EFB" w:rsidRDefault="00E93F58" w:rsidP="00BB7E31">
      <w:pPr>
        <w:pStyle w:val="paragraphsub"/>
      </w:pPr>
      <w:r w:rsidRPr="00D97EFB">
        <w:rPr>
          <w:color w:val="000000"/>
        </w:rPr>
        <w:tab/>
        <w:t>(c)</w:t>
      </w:r>
      <w:r w:rsidRPr="00D97EFB">
        <w:rPr>
          <w:color w:val="000000"/>
        </w:rPr>
        <w:tab/>
        <w:t>the body is not satisfied that allowing the person to inspect that part of the register is in the interests of the members as a whole.</w:t>
      </w:r>
    </w:p>
    <w:p w14:paraId="676F1E1E" w14:textId="77777777" w:rsidR="00E93F58" w:rsidRPr="00D97EFB" w:rsidRDefault="00E93F58" w:rsidP="00BB7E31">
      <w:pPr>
        <w:pStyle w:val="subsection"/>
      </w:pPr>
      <w:r w:rsidRPr="00D97EFB">
        <w:rPr>
          <w:color w:val="000000"/>
        </w:rPr>
        <w:tab/>
        <w:t>(4)</w:t>
      </w:r>
      <w:r w:rsidRPr="00D97EFB">
        <w:rPr>
          <w:color w:val="000000"/>
        </w:rPr>
        <w:tab/>
        <w:t>Section 173 of the Act is modified in relation to the body corporate by inserting after subsection 173(3):</w:t>
      </w:r>
    </w:p>
    <w:p w14:paraId="2CE341BC" w14:textId="77777777" w:rsidR="00E93F58" w:rsidRPr="00D97EFB" w:rsidRDefault="00E93F58" w:rsidP="00BB7E31">
      <w:pPr>
        <w:pStyle w:val="paragraph"/>
      </w:pPr>
      <w:r w:rsidRPr="00D97EFB">
        <w:rPr>
          <w:color w:val="000000"/>
        </w:rPr>
        <w:tab/>
        <w:t>(3A)</w:t>
      </w:r>
      <w:r w:rsidRPr="00D97EFB">
        <w:rPr>
          <w:color w:val="000000"/>
        </w:rPr>
        <w:tab/>
        <w:t>However, a body corporate mentioned in regulation 12.8.02 of the</w:t>
      </w:r>
      <w:r w:rsidRPr="00D97EFB">
        <w:rPr>
          <w:iCs/>
          <w:color w:val="000000"/>
        </w:rPr>
        <w:t xml:space="preserve"> </w:t>
      </w:r>
      <w:r w:rsidRPr="00D97EFB">
        <w:rPr>
          <w:color w:val="000000"/>
        </w:rPr>
        <w:t>Corporations Regulations may, before giving a person a copy of the part of the register for members of the body corporate who hold member shares, require the person to agree in writing with the body that the person will only:</w:t>
      </w:r>
    </w:p>
    <w:p w14:paraId="255DA529" w14:textId="77777777" w:rsidR="00E93F58" w:rsidRPr="00D97EFB" w:rsidRDefault="00E93F58" w:rsidP="00BB7E31">
      <w:pPr>
        <w:pStyle w:val="paragraphsub"/>
      </w:pPr>
      <w:r w:rsidRPr="00D97EFB">
        <w:rPr>
          <w:color w:val="000000"/>
        </w:rPr>
        <w:tab/>
        <w:t>(a)</w:t>
      </w:r>
      <w:r w:rsidRPr="00D97EFB">
        <w:rPr>
          <w:color w:val="000000"/>
        </w:rPr>
        <w:tab/>
        <w:t>give the original copy, or a copy of that original, to a person who is, or to persons who are, specified in the agreement; or</w:t>
      </w:r>
    </w:p>
    <w:p w14:paraId="1495E3E6" w14:textId="77777777" w:rsidR="00E93F58" w:rsidRPr="00D97EFB" w:rsidRDefault="00E93F58" w:rsidP="00BB7E31">
      <w:pPr>
        <w:pStyle w:val="paragraphsub"/>
      </w:pPr>
      <w:r w:rsidRPr="00D97EFB">
        <w:tab/>
        <w:t>(b)</w:t>
      </w:r>
      <w:r w:rsidRPr="00D97EFB">
        <w:tab/>
        <w:t>use information obtained from that part of the register for a purpose that is, or purposes that are, specified in the agreement.</w:t>
      </w:r>
    </w:p>
    <w:p w14:paraId="5554A567" w14:textId="77777777" w:rsidR="00E93F58" w:rsidRPr="00D97EFB" w:rsidRDefault="00E93F58" w:rsidP="00BB7E31">
      <w:pPr>
        <w:pStyle w:val="paragraph"/>
      </w:pPr>
      <w:r w:rsidRPr="00D97EFB">
        <w:rPr>
          <w:color w:val="000000"/>
        </w:rPr>
        <w:tab/>
        <w:t>(3B)</w:t>
      </w:r>
      <w:r w:rsidRPr="00D97EFB">
        <w:rPr>
          <w:color w:val="000000"/>
        </w:rPr>
        <w:tab/>
        <w:t>Also, the body corporate mentioned in regulation 12.8.02 of the Corporations Regulations may refuse to give a person a copy of the part of the register for members of the body who hold member shares if the body is not satisfied that:</w:t>
      </w:r>
    </w:p>
    <w:p w14:paraId="2B5A38C3" w14:textId="77777777" w:rsidR="00E93F58" w:rsidRPr="00D97EFB" w:rsidRDefault="00E93F58" w:rsidP="00BB7E31">
      <w:pPr>
        <w:pStyle w:val="paragraphsub"/>
      </w:pPr>
      <w:r w:rsidRPr="00D97EFB">
        <w:rPr>
          <w:color w:val="000000"/>
        </w:rPr>
        <w:tab/>
        <w:t>(a)</w:t>
      </w:r>
      <w:r w:rsidRPr="00D97EFB">
        <w:rPr>
          <w:color w:val="000000"/>
        </w:rPr>
        <w:tab/>
        <w:t>the person is a member of the body who intends to call a meeting of members, or of particular members, of the body; or</w:t>
      </w:r>
    </w:p>
    <w:p w14:paraId="3F404A3C" w14:textId="77777777" w:rsidR="00E93F58" w:rsidRPr="00D97EFB" w:rsidRDefault="00E93F58" w:rsidP="00BB7E31">
      <w:pPr>
        <w:pStyle w:val="paragraphsub"/>
      </w:pPr>
      <w:r w:rsidRPr="00D97EFB">
        <w:tab/>
        <w:t>(b)</w:t>
      </w:r>
      <w:r w:rsidRPr="00D97EFB">
        <w:tab/>
        <w:t>the person proposes to use information obtained from that part of the register for a purpose that is approved in writing by ASIC:</w:t>
      </w:r>
    </w:p>
    <w:p w14:paraId="206CBEE2" w14:textId="77777777" w:rsidR="00E93F58" w:rsidRPr="00D97EFB" w:rsidRDefault="00E93F58" w:rsidP="00BB7E31">
      <w:pPr>
        <w:pStyle w:val="paragraphsub-sub"/>
      </w:pPr>
      <w:r w:rsidRPr="00D97EFB">
        <w:rPr>
          <w:color w:val="000000"/>
        </w:rPr>
        <w:tab/>
        <w:t>(i)</w:t>
      </w:r>
      <w:r w:rsidRPr="00D97EFB">
        <w:rPr>
          <w:color w:val="000000"/>
        </w:rPr>
        <w:tab/>
        <w:t>on its own initiative; or</w:t>
      </w:r>
    </w:p>
    <w:p w14:paraId="06E3AAD6" w14:textId="77777777" w:rsidR="00E93F58" w:rsidRPr="00D97EFB" w:rsidRDefault="00E93F58" w:rsidP="00BB7E31">
      <w:pPr>
        <w:pStyle w:val="paragraphsub-sub"/>
      </w:pPr>
      <w:r w:rsidRPr="00D97EFB">
        <w:tab/>
        <w:t>(ii)</w:t>
      </w:r>
      <w:r w:rsidRPr="00D97EFB">
        <w:tab/>
        <w:t>on the written application of the person or of another person; or</w:t>
      </w:r>
    </w:p>
    <w:p w14:paraId="671D9933" w14:textId="77777777" w:rsidR="00E93F58" w:rsidRPr="00D97EFB" w:rsidRDefault="00E93F58" w:rsidP="00BB7E31">
      <w:pPr>
        <w:pStyle w:val="paragraphsub"/>
      </w:pPr>
      <w:r w:rsidRPr="00D97EFB">
        <w:rPr>
          <w:color w:val="000000"/>
        </w:rPr>
        <w:tab/>
        <w:t>(c)</w:t>
      </w:r>
      <w:r w:rsidRPr="00D97EFB">
        <w:rPr>
          <w:color w:val="000000"/>
        </w:rPr>
        <w:tab/>
        <w:t>giving the person the copy is in the interests of the members as a whole.</w:t>
      </w:r>
    </w:p>
    <w:p w14:paraId="758B21F9" w14:textId="77777777" w:rsidR="00E93F58" w:rsidRPr="00D97EFB" w:rsidRDefault="00E93F58" w:rsidP="00BB7E31">
      <w:pPr>
        <w:pStyle w:val="notetext"/>
      </w:pPr>
      <w:r w:rsidRPr="00D97EFB">
        <w:rPr>
          <w:color w:val="000000"/>
        </w:rPr>
        <w:t>Note:</w:t>
      </w:r>
      <w:r w:rsidRPr="00D97EFB">
        <w:rPr>
          <w:color w:val="000000"/>
        </w:rPr>
        <w:tab/>
        <w:t>If a body corporate has failed to give a person a copy of the part of the register for members of the body who hold member shares, the body corporate must, in certain circumstances, arrange for the members to be contacted, or for material to be sent to the members, on the person’s behalf—see regulation 2C.3.01 of the Corporation Regulations.</w:t>
      </w:r>
    </w:p>
    <w:p w14:paraId="75A35599" w14:textId="77777777" w:rsidR="00E93F58" w:rsidRPr="00D97EFB" w:rsidRDefault="00E93F58" w:rsidP="00BB7E31">
      <w:pPr>
        <w:pStyle w:val="subsection"/>
      </w:pPr>
      <w:r w:rsidRPr="00D97EFB">
        <w:tab/>
        <w:t>(5)</w:t>
      </w:r>
      <w:r w:rsidRPr="00D97EFB">
        <w:tab/>
        <w:t>In subregulations (3) and (4), a reference to the part of the register for members of a body corporate who hold member shares includes a reference to:</w:t>
      </w:r>
    </w:p>
    <w:p w14:paraId="1617D070" w14:textId="77777777" w:rsidR="00E93F58" w:rsidRPr="00D97EFB" w:rsidRDefault="00E93F58" w:rsidP="00BB7E31">
      <w:pPr>
        <w:pStyle w:val="paragraph"/>
      </w:pPr>
      <w:r w:rsidRPr="00D97EFB">
        <w:tab/>
        <w:t>(a)</w:t>
      </w:r>
      <w:r w:rsidRPr="00D97EFB">
        <w:tab/>
        <w:t>the register of members of the body corporate that is a company limited by guarantee; and</w:t>
      </w:r>
    </w:p>
    <w:p w14:paraId="2AA403EC" w14:textId="77777777" w:rsidR="00E93F58" w:rsidRPr="00D97EFB" w:rsidRDefault="00E93F58" w:rsidP="00BB7E31">
      <w:pPr>
        <w:pStyle w:val="paragraph"/>
      </w:pPr>
      <w:r w:rsidRPr="00D97EFB">
        <w:lastRenderedPageBreak/>
        <w:tab/>
        <w:t>(b)</w:t>
      </w:r>
      <w:r w:rsidRPr="00D97EFB">
        <w:tab/>
        <w:t>the register of members of the body corporate limited by shares and guarantee who do not hold shares in the body.</w:t>
      </w:r>
    </w:p>
    <w:p w14:paraId="71374727" w14:textId="77777777" w:rsidR="00E93F58" w:rsidRPr="00D97EFB" w:rsidRDefault="00E93F58" w:rsidP="00BB7E31">
      <w:pPr>
        <w:pStyle w:val="ActHead5"/>
      </w:pPr>
      <w:bookmarkStart w:id="3143" w:name="_Toc151994850"/>
      <w:bookmarkStart w:id="3144" w:name="_Toc158713360"/>
      <w:r w:rsidRPr="000D40D5">
        <w:rPr>
          <w:rStyle w:val="CharSectno"/>
        </w:rPr>
        <w:t>12.8.06A</w:t>
      </w:r>
      <w:r w:rsidRPr="00D97EFB">
        <w:t xml:space="preserve">  Member shares—liability to pay calls</w:t>
      </w:r>
      <w:bookmarkEnd w:id="3143"/>
      <w:bookmarkEnd w:id="3144"/>
    </w:p>
    <w:p w14:paraId="70B19BE0" w14:textId="77777777" w:rsidR="00E93F58" w:rsidRPr="00D97EFB" w:rsidRDefault="00E93F58" w:rsidP="00BB7E31">
      <w:pPr>
        <w:pStyle w:val="subsection"/>
      </w:pPr>
      <w:r w:rsidRPr="00D97EFB">
        <w:tab/>
        <w:t>(1)</w:t>
      </w:r>
      <w:r w:rsidRPr="00D97EFB">
        <w:tab/>
        <w:t>For clause 38 of Schedule 4 to the Act, the operation of subsection 254M(1) of the Act is modified in accordance with this regulation.</w:t>
      </w:r>
    </w:p>
    <w:p w14:paraId="68B5D230" w14:textId="77777777" w:rsidR="00E93F58" w:rsidRPr="00D97EFB" w:rsidRDefault="00E93F58" w:rsidP="00BB7E31">
      <w:pPr>
        <w:pStyle w:val="subsection"/>
      </w:pPr>
      <w:r w:rsidRPr="00D97EFB">
        <w:tab/>
        <w:t>(2)</w:t>
      </w:r>
      <w:r w:rsidRPr="00D97EFB">
        <w:tab/>
        <w:t>If a member share in the body corporate is partly</w:t>
      </w:r>
      <w:r>
        <w:noBreakHyphen/>
      </w:r>
      <w:r w:rsidRPr="00D97EFB">
        <w:t>paid, the shareholder is not liable to pay a call on the share, or on a winding up of the body corporate, without the consent of the shareholder, to the extent that the unpaid amount is increased as a result of the conversion of the share in accordance with regulation 12.2.04.</w:t>
      </w:r>
    </w:p>
    <w:p w14:paraId="224D7858" w14:textId="77777777" w:rsidR="00E93F58" w:rsidRPr="00D97EFB" w:rsidRDefault="00E93F58" w:rsidP="00BB7E31">
      <w:pPr>
        <w:pStyle w:val="ActHead5"/>
      </w:pPr>
      <w:bookmarkStart w:id="3145" w:name="_Toc151994851"/>
      <w:bookmarkStart w:id="3146" w:name="_Toc158713361"/>
      <w:r w:rsidRPr="000D40D5">
        <w:rPr>
          <w:rStyle w:val="CharSectno"/>
        </w:rPr>
        <w:t>12.8.07</w:t>
      </w:r>
      <w:r w:rsidRPr="00D97EFB">
        <w:t xml:space="preserve">  Disclosure in annual returns</w:t>
      </w:r>
      <w:bookmarkEnd w:id="3145"/>
      <w:bookmarkEnd w:id="3146"/>
    </w:p>
    <w:p w14:paraId="110E99F2" w14:textId="77777777" w:rsidR="00E93F58" w:rsidRPr="00D97EFB" w:rsidRDefault="00E93F58" w:rsidP="00BB7E31">
      <w:pPr>
        <w:pStyle w:val="subsection"/>
      </w:pPr>
      <w:r w:rsidRPr="00D97EFB">
        <w:tab/>
      </w:r>
      <w:r w:rsidRPr="00D97EFB">
        <w:tab/>
        <w:t>For clause 38 of Schedule 4 to the Act, item 8 in the table set out in section 348 of the Act does not apply in relation to a member of the body corporate holding only a member share, or member shares, in the body.</w:t>
      </w:r>
    </w:p>
    <w:p w14:paraId="78348172" w14:textId="77777777" w:rsidR="00E93F58" w:rsidRPr="00D97EFB" w:rsidRDefault="00E93F58" w:rsidP="004E0C1C">
      <w:pPr>
        <w:pStyle w:val="ActHead5"/>
      </w:pPr>
      <w:bookmarkStart w:id="3147" w:name="_Toc151994852"/>
      <w:bookmarkStart w:id="3148" w:name="_Toc158713362"/>
      <w:r w:rsidRPr="000D40D5">
        <w:rPr>
          <w:rStyle w:val="CharSectno"/>
        </w:rPr>
        <w:t>12.8.08</w:t>
      </w:r>
      <w:r w:rsidRPr="00D97EFB">
        <w:t xml:space="preserve">  Member shares—numbering and certificates</w:t>
      </w:r>
      <w:bookmarkEnd w:id="3147"/>
      <w:bookmarkEnd w:id="3148"/>
    </w:p>
    <w:p w14:paraId="1156FCE2" w14:textId="77777777" w:rsidR="00E93F58" w:rsidRPr="00D97EFB" w:rsidRDefault="00E93F58" w:rsidP="004E0C1C">
      <w:pPr>
        <w:pStyle w:val="subsection"/>
        <w:keepNext/>
        <w:keepLines/>
      </w:pPr>
      <w:r w:rsidRPr="00D97EFB">
        <w:tab/>
      </w:r>
      <w:r w:rsidRPr="00D97EFB">
        <w:tab/>
        <w:t xml:space="preserve">For clause 38 of Schedule 4 to the Act, </w:t>
      </w:r>
      <w:r w:rsidRPr="00D97EFB">
        <w:rPr>
          <w:color w:val="000000"/>
        </w:rPr>
        <w:t>sections 1070B and 1071H</w:t>
      </w:r>
      <w:r w:rsidRPr="00D97EFB">
        <w:t xml:space="preserve"> of the Act do not apply in relation to a member share of the body corporate.</w:t>
      </w:r>
    </w:p>
    <w:p w14:paraId="5130375A" w14:textId="77777777" w:rsidR="00E93F58" w:rsidRPr="00D97EFB" w:rsidRDefault="00E93F58" w:rsidP="00BB7E31">
      <w:pPr>
        <w:pStyle w:val="ActHead5"/>
      </w:pPr>
      <w:bookmarkStart w:id="3149" w:name="_Toc151994853"/>
      <w:bookmarkStart w:id="3150" w:name="_Toc158713363"/>
      <w:r w:rsidRPr="000D40D5">
        <w:rPr>
          <w:rStyle w:val="CharSectno"/>
        </w:rPr>
        <w:t>12.8.09</w:t>
      </w:r>
      <w:r w:rsidRPr="00D97EFB">
        <w:t xml:space="preserve">  Member shares—unclaimed property</w:t>
      </w:r>
      <w:bookmarkEnd w:id="3149"/>
      <w:bookmarkEnd w:id="3150"/>
    </w:p>
    <w:p w14:paraId="41C85BF3" w14:textId="77777777" w:rsidR="00E93F58" w:rsidRPr="00D97EFB" w:rsidRDefault="00E93F58" w:rsidP="00BB7E31">
      <w:pPr>
        <w:pStyle w:val="subsection"/>
      </w:pPr>
      <w:r w:rsidRPr="00D97EFB">
        <w:tab/>
        <w:t>(1)</w:t>
      </w:r>
      <w:r w:rsidRPr="00D97EFB">
        <w:tab/>
        <w:t>For clause 38 of Schedule 4 to the Act, section 1343 of the Act does not apply in relation to a member share of the body corporate.</w:t>
      </w:r>
    </w:p>
    <w:p w14:paraId="3E7C5477" w14:textId="77777777" w:rsidR="00E93F58" w:rsidRPr="00D97EFB" w:rsidRDefault="00E93F58" w:rsidP="00BB7E31">
      <w:pPr>
        <w:pStyle w:val="subsection"/>
      </w:pPr>
      <w:r w:rsidRPr="00D97EFB">
        <w:tab/>
        <w:t>(2)</w:t>
      </w:r>
      <w:r w:rsidRPr="00D97EFB">
        <w:tab/>
        <w:t>For clause 38 of Schedule 4 to the Act, the constitution of the body corporate may provide that if a member share is cancelled, and the value of the share is transferred, the value of the share is to be treated as unclaimed moneys held by the body corporate.</w:t>
      </w:r>
    </w:p>
    <w:p w14:paraId="42C1353E" w14:textId="77777777" w:rsidR="00E93F58" w:rsidRPr="00D97EFB" w:rsidRDefault="00E93F58" w:rsidP="00763B6A">
      <w:pPr>
        <w:pStyle w:val="ActHead3"/>
        <w:pageBreakBefore/>
      </w:pPr>
      <w:bookmarkStart w:id="3151" w:name="_Toc151994854"/>
      <w:bookmarkStart w:id="3152" w:name="_Toc158713364"/>
      <w:r w:rsidRPr="000D40D5">
        <w:rPr>
          <w:rStyle w:val="CharDivNo"/>
        </w:rPr>
        <w:lastRenderedPageBreak/>
        <w:t>Division 3</w:t>
      </w:r>
      <w:r w:rsidRPr="00D97EFB">
        <w:t>—</w:t>
      </w:r>
      <w:r w:rsidRPr="000D40D5">
        <w:rPr>
          <w:rStyle w:val="CharDivText"/>
        </w:rPr>
        <w:t>Certain shares in transferring building societies and credit unions</w:t>
      </w:r>
      <w:bookmarkEnd w:id="3151"/>
      <w:bookmarkEnd w:id="3152"/>
    </w:p>
    <w:p w14:paraId="09246777" w14:textId="77777777" w:rsidR="00E93F58" w:rsidRPr="00D97EFB" w:rsidRDefault="00E93F58" w:rsidP="00BB7E31">
      <w:pPr>
        <w:pStyle w:val="ActHead5"/>
      </w:pPr>
      <w:bookmarkStart w:id="3153" w:name="_Toc151994855"/>
      <w:bookmarkStart w:id="3154" w:name="_Toc158713365"/>
      <w:r w:rsidRPr="000D40D5">
        <w:rPr>
          <w:rStyle w:val="CharSectno"/>
        </w:rPr>
        <w:t>12.8.10</w:t>
      </w:r>
      <w:r w:rsidRPr="00D97EFB">
        <w:t xml:space="preserve">  Definitions for Division 3</w:t>
      </w:r>
      <w:bookmarkEnd w:id="3153"/>
      <w:bookmarkEnd w:id="3154"/>
    </w:p>
    <w:p w14:paraId="54A1EED6" w14:textId="77777777" w:rsidR="00E93F58" w:rsidRPr="00D97EFB" w:rsidRDefault="00E93F58" w:rsidP="00BB7E31">
      <w:pPr>
        <w:pStyle w:val="subsection"/>
      </w:pPr>
      <w:r w:rsidRPr="00D97EFB">
        <w:tab/>
      </w:r>
      <w:r w:rsidRPr="00D97EFB">
        <w:tab/>
        <w:t>In this Division:</w:t>
      </w:r>
    </w:p>
    <w:p w14:paraId="635460D5" w14:textId="77777777" w:rsidR="00E93F58" w:rsidRPr="00D97EFB" w:rsidRDefault="00E93F58" w:rsidP="00BB7E31">
      <w:pPr>
        <w:pStyle w:val="Definition"/>
      </w:pPr>
      <w:r w:rsidRPr="00D97EFB">
        <w:rPr>
          <w:b/>
          <w:i/>
        </w:rPr>
        <w:t>transferring building society</w:t>
      </w:r>
      <w:r w:rsidRPr="00D97EFB">
        <w:t xml:space="preserve"> means a transferring financial institution of a State or Territory mentioned in paragraph (a) of the definition of </w:t>
      </w:r>
      <w:r w:rsidRPr="00D97EFB">
        <w:rPr>
          <w:b/>
          <w:i/>
        </w:rPr>
        <w:t>transferring financial institution of a State or Territory</w:t>
      </w:r>
      <w:r w:rsidRPr="00D97EFB">
        <w:t xml:space="preserve"> in clause 1 of Schedule 4 to the Act.</w:t>
      </w:r>
    </w:p>
    <w:p w14:paraId="3713A418" w14:textId="77777777" w:rsidR="00E93F58" w:rsidRPr="00D97EFB" w:rsidRDefault="00E93F58" w:rsidP="00BB7E31">
      <w:pPr>
        <w:pStyle w:val="Definition"/>
      </w:pPr>
      <w:r w:rsidRPr="00D97EFB">
        <w:rPr>
          <w:b/>
          <w:i/>
        </w:rPr>
        <w:t>transferring credit union</w:t>
      </w:r>
      <w:r w:rsidRPr="00D97EFB">
        <w:t xml:space="preserve"> means a transferring financial institution of a State or Territory mentioned in paragraph (b) of the definition of </w:t>
      </w:r>
      <w:r w:rsidRPr="00D97EFB">
        <w:rPr>
          <w:b/>
          <w:i/>
        </w:rPr>
        <w:t>transferring financial institution of a State or Territory</w:t>
      </w:r>
      <w:r w:rsidRPr="00D97EFB">
        <w:t xml:space="preserve"> in clause 1 of Schedule 4 to the Act.</w:t>
      </w:r>
    </w:p>
    <w:p w14:paraId="078B08F6" w14:textId="77777777" w:rsidR="00E93F58" w:rsidRPr="00D97EFB" w:rsidRDefault="00E93F58" w:rsidP="00BB7E31">
      <w:pPr>
        <w:pStyle w:val="ActHead5"/>
      </w:pPr>
      <w:bookmarkStart w:id="3155" w:name="_Toc151994856"/>
      <w:bookmarkStart w:id="3156" w:name="_Toc158713366"/>
      <w:r w:rsidRPr="000D40D5">
        <w:rPr>
          <w:rStyle w:val="CharSectno"/>
        </w:rPr>
        <w:t>12.8.11</w:t>
      </w:r>
      <w:r w:rsidRPr="00D97EFB">
        <w:t xml:space="preserve">  Transferring building societies may issue shares equivalent to membership shares</w:t>
      </w:r>
      <w:bookmarkEnd w:id="3155"/>
      <w:bookmarkEnd w:id="3156"/>
    </w:p>
    <w:p w14:paraId="7BE3697B" w14:textId="77777777" w:rsidR="00E93F58" w:rsidRPr="00D97EFB" w:rsidRDefault="00E93F58" w:rsidP="00BB7E31">
      <w:pPr>
        <w:pStyle w:val="subsection"/>
      </w:pPr>
      <w:r w:rsidRPr="00D97EFB">
        <w:tab/>
        <w:t>(1)</w:t>
      </w:r>
      <w:r w:rsidRPr="00D97EFB">
        <w:tab/>
        <w:t>A transferring building society that is a company limited by shares may issue a share in the company giving the holder of the share the same rights and obligations in relation to the share as the holder of a membership share in the building society that is taken to have been issued on the transfer date under clause 12 of the transfer provisions has in relation to that share.</w:t>
      </w:r>
    </w:p>
    <w:p w14:paraId="5E5282A7" w14:textId="77777777" w:rsidR="00E93F58" w:rsidRPr="00D97EFB" w:rsidRDefault="00E93F58" w:rsidP="00BB7E31">
      <w:pPr>
        <w:pStyle w:val="subsection"/>
      </w:pPr>
      <w:r w:rsidRPr="00D97EFB">
        <w:tab/>
        <w:t>(2)</w:t>
      </w:r>
      <w:r w:rsidRPr="00D97EFB">
        <w:tab/>
        <w:t>However, the transferring building society must not issue the share if its constitution has been modified under paragraph 24(1)(c) of the transfer provisions.</w:t>
      </w:r>
    </w:p>
    <w:p w14:paraId="1E6B1AF5" w14:textId="77777777" w:rsidR="00E93F58" w:rsidRPr="00D97EFB" w:rsidRDefault="00E93F58" w:rsidP="00BB7E31">
      <w:pPr>
        <w:pStyle w:val="subsection"/>
      </w:pPr>
      <w:r w:rsidRPr="00D97EFB">
        <w:tab/>
        <w:t>(3)</w:t>
      </w:r>
      <w:r w:rsidRPr="00D97EFB">
        <w:tab/>
        <w:t>The provisions of the Act that apply in relation to the issue of a share in a company limited by shares that is not issued under this regulation also apply to a share that is issued under this regulation for all matters that are not dealt with in subregulations (1) and (2).</w:t>
      </w:r>
    </w:p>
    <w:p w14:paraId="0DF5FE20" w14:textId="77777777" w:rsidR="00E93F58" w:rsidRPr="00D97EFB" w:rsidRDefault="00E93F58" w:rsidP="004E0C1C">
      <w:pPr>
        <w:pStyle w:val="subsection"/>
        <w:keepNext/>
        <w:keepLines/>
      </w:pPr>
      <w:r w:rsidRPr="00D97EFB">
        <w:tab/>
        <w:t>(4)</w:t>
      </w:r>
      <w:r w:rsidRPr="00D97EFB">
        <w:tab/>
        <w:t>This regulation does not affect:</w:t>
      </w:r>
    </w:p>
    <w:p w14:paraId="3122D24A" w14:textId="77777777" w:rsidR="00E93F58" w:rsidRPr="00D97EFB" w:rsidRDefault="00E93F58" w:rsidP="00BB7E31">
      <w:pPr>
        <w:pStyle w:val="paragraph"/>
      </w:pPr>
      <w:r w:rsidRPr="00D97EFB">
        <w:tab/>
        <w:t>(a)</w:t>
      </w:r>
      <w:r w:rsidRPr="00D97EFB">
        <w:tab/>
        <w:t>the capacity of a transferring building society to issue shares in the company otherwise than under this regulation; or</w:t>
      </w:r>
    </w:p>
    <w:p w14:paraId="1FEA315C" w14:textId="77777777" w:rsidR="00E93F58" w:rsidRPr="00D97EFB" w:rsidRDefault="00E93F58" w:rsidP="00BB7E31">
      <w:pPr>
        <w:pStyle w:val="paragraph"/>
      </w:pPr>
      <w:r w:rsidRPr="00D97EFB">
        <w:tab/>
        <w:t>(b)</w:t>
      </w:r>
      <w:r w:rsidRPr="00D97EFB">
        <w:tab/>
        <w:t>a share issued otherwise than under this regulation.</w:t>
      </w:r>
    </w:p>
    <w:p w14:paraId="76744D0B" w14:textId="77777777" w:rsidR="00E93F58" w:rsidRPr="00D97EFB" w:rsidRDefault="00E93F58" w:rsidP="00BB7E31">
      <w:pPr>
        <w:pStyle w:val="ActHead5"/>
      </w:pPr>
      <w:bookmarkStart w:id="3157" w:name="_Toc151994857"/>
      <w:bookmarkStart w:id="3158" w:name="_Toc158713367"/>
      <w:r w:rsidRPr="000D40D5">
        <w:rPr>
          <w:rStyle w:val="CharSectno"/>
        </w:rPr>
        <w:t>12.8.12</w:t>
      </w:r>
      <w:r w:rsidRPr="00D97EFB">
        <w:t xml:space="preserve">  Transferring credit unions may issue shares equivalent to withdrawable shares</w:t>
      </w:r>
      <w:bookmarkEnd w:id="3157"/>
      <w:bookmarkEnd w:id="3158"/>
    </w:p>
    <w:p w14:paraId="66BC88CB" w14:textId="77777777" w:rsidR="00E93F58" w:rsidRPr="00D97EFB" w:rsidRDefault="00E93F58" w:rsidP="00BB7E31">
      <w:pPr>
        <w:pStyle w:val="subsection"/>
      </w:pPr>
      <w:r w:rsidRPr="00D97EFB">
        <w:tab/>
        <w:t>(1)</w:t>
      </w:r>
      <w:r w:rsidRPr="00D97EFB">
        <w:tab/>
        <w:t>A transferring credit union that is a company limited by shares may issue a share in the company that:</w:t>
      </w:r>
    </w:p>
    <w:p w14:paraId="69D8BFDE" w14:textId="77777777" w:rsidR="00E93F58" w:rsidRPr="00D97EFB" w:rsidRDefault="00E93F58" w:rsidP="00BB7E31">
      <w:pPr>
        <w:pStyle w:val="paragraph"/>
      </w:pPr>
      <w:r w:rsidRPr="00D97EFB">
        <w:tab/>
        <w:t>(a)</w:t>
      </w:r>
      <w:r w:rsidRPr="00D97EFB">
        <w:tab/>
        <w:t>is redeemable on the same terms as a withdrawable share in the credit union was withdrawable immediately before the transfer date; and</w:t>
      </w:r>
    </w:p>
    <w:p w14:paraId="3B45859C" w14:textId="77777777" w:rsidR="00E93F58" w:rsidRPr="00D97EFB" w:rsidRDefault="00E93F58" w:rsidP="00BB7E31">
      <w:pPr>
        <w:pStyle w:val="paragraph"/>
      </w:pPr>
      <w:r w:rsidRPr="00D97EFB">
        <w:tab/>
        <w:t>(b)</w:t>
      </w:r>
      <w:r w:rsidRPr="00D97EFB">
        <w:tab/>
        <w:t>otherwise gives the same rights to, and imposes the same obligations on, the holder of the share as the holder of a withdrawable share in the credit union had in relation to that share immediately before the transfer date.</w:t>
      </w:r>
    </w:p>
    <w:p w14:paraId="752382F7" w14:textId="77777777" w:rsidR="00E93F58" w:rsidRPr="00D97EFB" w:rsidRDefault="00E93F58" w:rsidP="00BB7E31">
      <w:pPr>
        <w:pStyle w:val="subsection"/>
      </w:pPr>
      <w:r w:rsidRPr="00D97EFB">
        <w:tab/>
        <w:t>(2)</w:t>
      </w:r>
      <w:r w:rsidRPr="00D97EFB">
        <w:tab/>
        <w:t>However, the transferring credit union must not issue the share if its constitution has been modified under paragraph 24(1)(c) of the transfer provisions.</w:t>
      </w:r>
    </w:p>
    <w:p w14:paraId="6E644101" w14:textId="77777777" w:rsidR="00E93F58" w:rsidRPr="00D97EFB" w:rsidRDefault="00E93F58" w:rsidP="00BB7E31">
      <w:pPr>
        <w:pStyle w:val="subsection"/>
      </w:pPr>
      <w:r w:rsidRPr="00D97EFB">
        <w:tab/>
        <w:t>(3)</w:t>
      </w:r>
      <w:r w:rsidRPr="00D97EFB">
        <w:tab/>
        <w:t>The provisions of the Act that apply in relation to the issue of a share in a company limited by shares that is not issued under this regulation also apply to a share that is issued under this regulation for all matters that are not dealt with in subregulations (1) and (2).</w:t>
      </w:r>
    </w:p>
    <w:p w14:paraId="171EA632" w14:textId="77777777" w:rsidR="00E93F58" w:rsidRPr="00D97EFB" w:rsidRDefault="00E93F58" w:rsidP="00BB7E31">
      <w:pPr>
        <w:pStyle w:val="subsection"/>
      </w:pPr>
      <w:r w:rsidRPr="00D97EFB">
        <w:tab/>
        <w:t>(4)</w:t>
      </w:r>
      <w:r w:rsidRPr="00D97EFB">
        <w:tab/>
        <w:t>This regulation does not affect:</w:t>
      </w:r>
    </w:p>
    <w:p w14:paraId="0DDA961F" w14:textId="77777777" w:rsidR="00E93F58" w:rsidRPr="00D97EFB" w:rsidRDefault="00E93F58" w:rsidP="00BB7E31">
      <w:pPr>
        <w:pStyle w:val="paragraph"/>
      </w:pPr>
      <w:r w:rsidRPr="00D97EFB">
        <w:tab/>
        <w:t>(a)</w:t>
      </w:r>
      <w:r w:rsidRPr="00D97EFB">
        <w:tab/>
        <w:t>the capacity of a transferring credit union to issue shares in the company otherwise than under this regulation; or</w:t>
      </w:r>
    </w:p>
    <w:p w14:paraId="15BDE175" w14:textId="77777777" w:rsidR="00E93F58" w:rsidRPr="00D97EFB" w:rsidRDefault="00E93F58" w:rsidP="00BB7E31">
      <w:pPr>
        <w:pStyle w:val="paragraph"/>
      </w:pPr>
      <w:r w:rsidRPr="00D97EFB">
        <w:tab/>
        <w:t>(b)</w:t>
      </w:r>
      <w:r w:rsidRPr="00D97EFB">
        <w:tab/>
        <w:t>a share issued otherwise than under this regulation.</w:t>
      </w:r>
    </w:p>
    <w:p w14:paraId="307EEFD7" w14:textId="77777777" w:rsidR="00E93F58" w:rsidRPr="00D97EFB" w:rsidRDefault="00E93F58" w:rsidP="00BB7E31">
      <w:pPr>
        <w:pStyle w:val="ActHead2"/>
        <w:pageBreakBefore/>
      </w:pPr>
      <w:bookmarkStart w:id="3159" w:name="_Toc151994858"/>
      <w:bookmarkStart w:id="3160" w:name="_Toc158713368"/>
      <w:r w:rsidRPr="000D40D5">
        <w:rPr>
          <w:rStyle w:val="CharPartNo"/>
        </w:rPr>
        <w:lastRenderedPageBreak/>
        <w:t>Part 12.9</w:t>
      </w:r>
      <w:r w:rsidRPr="00D97EFB">
        <w:t>—</w:t>
      </w:r>
      <w:r w:rsidRPr="000D40D5">
        <w:rPr>
          <w:rStyle w:val="CharPartText"/>
        </w:rPr>
        <w:t>Winding up and deregistration of certain transferring financial institutions</w:t>
      </w:r>
      <w:bookmarkEnd w:id="3159"/>
      <w:bookmarkEnd w:id="3160"/>
    </w:p>
    <w:p w14:paraId="10C3D6A3" w14:textId="77777777" w:rsidR="00E93F58" w:rsidRPr="00D97EFB" w:rsidRDefault="00E93F58" w:rsidP="007F5C19">
      <w:pPr>
        <w:pStyle w:val="Header"/>
      </w:pPr>
      <w:r w:rsidRPr="000D40D5">
        <w:rPr>
          <w:rStyle w:val="CharDivNo"/>
        </w:rPr>
        <w:t xml:space="preserve"> </w:t>
      </w:r>
      <w:r w:rsidRPr="000D40D5">
        <w:rPr>
          <w:rStyle w:val="CharDivText"/>
        </w:rPr>
        <w:t xml:space="preserve"> </w:t>
      </w:r>
    </w:p>
    <w:p w14:paraId="440DE24A" w14:textId="77777777" w:rsidR="00E93F58" w:rsidRPr="00D97EFB" w:rsidRDefault="00E93F58" w:rsidP="00BB7E31">
      <w:pPr>
        <w:pStyle w:val="ActHead5"/>
      </w:pPr>
      <w:bookmarkStart w:id="3161" w:name="_Toc151994859"/>
      <w:bookmarkStart w:id="3162" w:name="_Toc158713369"/>
      <w:r w:rsidRPr="000D40D5">
        <w:rPr>
          <w:rStyle w:val="CharSectno"/>
        </w:rPr>
        <w:t>12.9.01</w:t>
      </w:r>
      <w:r w:rsidRPr="00D97EFB">
        <w:t xml:space="preserve">  Application of Part 12.9</w:t>
      </w:r>
      <w:bookmarkEnd w:id="3161"/>
      <w:bookmarkEnd w:id="3162"/>
    </w:p>
    <w:p w14:paraId="63AEF7C3" w14:textId="77777777" w:rsidR="00E93F58" w:rsidRPr="00D97EFB" w:rsidRDefault="00E93F58" w:rsidP="00BB7E31">
      <w:pPr>
        <w:pStyle w:val="subsection"/>
      </w:pPr>
      <w:r w:rsidRPr="00D97EFB">
        <w:tab/>
      </w:r>
      <w:r w:rsidRPr="00D97EFB">
        <w:tab/>
        <w:t>For clause 39 of Schedule 4 to the Act, this Part applies if, immediately before the transfer date, a transferring financial institution of a State or Territory was being wound up under a law other than the previous governing Code.</w:t>
      </w:r>
    </w:p>
    <w:p w14:paraId="4A63ED99" w14:textId="77777777" w:rsidR="00E93F58" w:rsidRPr="00D97EFB" w:rsidRDefault="00E93F58" w:rsidP="00BB7E31">
      <w:pPr>
        <w:pStyle w:val="ActHead5"/>
      </w:pPr>
      <w:bookmarkStart w:id="3163" w:name="_Toc151994860"/>
      <w:bookmarkStart w:id="3164" w:name="_Toc158713370"/>
      <w:r w:rsidRPr="000D40D5">
        <w:rPr>
          <w:rStyle w:val="CharSectno"/>
        </w:rPr>
        <w:t>12.9.02</w:t>
      </w:r>
      <w:r w:rsidRPr="00D97EFB">
        <w:t xml:space="preserve">  Winding up</w:t>
      </w:r>
      <w:bookmarkEnd w:id="3163"/>
      <w:bookmarkEnd w:id="3164"/>
    </w:p>
    <w:p w14:paraId="769EE6C9" w14:textId="77777777" w:rsidR="00E93F58" w:rsidRPr="00D97EFB" w:rsidRDefault="00E93F58" w:rsidP="00BB7E31">
      <w:pPr>
        <w:pStyle w:val="subsection"/>
      </w:pPr>
      <w:r w:rsidRPr="00D97EFB">
        <w:tab/>
        <w:t>(1)</w:t>
      </w:r>
      <w:r w:rsidRPr="00D97EFB">
        <w:tab/>
        <w:t>The Act in force in a State or Territory, before the commencement of the previous governing Code, that applied to the winding up of the transferring financial institution (</w:t>
      </w:r>
      <w:r w:rsidRPr="00D97EFB">
        <w:rPr>
          <w:b/>
          <w:i/>
        </w:rPr>
        <w:t>the relevant law</w:t>
      </w:r>
      <w:r w:rsidRPr="00D97EFB">
        <w:t>) continues to so apply, as a law of the Commonwealth, on and after the transfer date as if that Code, and the Act, had not been enacted.</w:t>
      </w:r>
    </w:p>
    <w:p w14:paraId="4908B5EA" w14:textId="77777777" w:rsidR="00E93F58" w:rsidRPr="00D97EFB" w:rsidRDefault="00E93F58" w:rsidP="00BB7E31">
      <w:pPr>
        <w:pStyle w:val="subsection"/>
      </w:pPr>
      <w:r w:rsidRPr="00D97EFB">
        <w:tab/>
        <w:t>(2)</w:t>
      </w:r>
      <w:r w:rsidRPr="00D97EFB">
        <w:tab/>
        <w:t>However, for this regulation, a reference in the relevant law to the Registrar is read as if it were a reference to ASIC.</w:t>
      </w:r>
    </w:p>
    <w:p w14:paraId="6E37A673" w14:textId="77777777" w:rsidR="00E93F58" w:rsidRPr="00D97EFB" w:rsidRDefault="00E93F58" w:rsidP="00BB7E31">
      <w:pPr>
        <w:pStyle w:val="subsection"/>
      </w:pPr>
      <w:r w:rsidRPr="00D97EFB">
        <w:tab/>
        <w:t>(3)</w:t>
      </w:r>
      <w:r w:rsidRPr="00D97EFB">
        <w:tab/>
        <w:t>Information about the transferring financial institution given to ASIC in a notice mentioned in regulation 12.2.09, or under the relevant law, is taken to be information given to ASIC in relation to the performance of its functions or the exercise of its powers.</w:t>
      </w:r>
    </w:p>
    <w:p w14:paraId="67F97ED0" w14:textId="77777777" w:rsidR="00E93F58" w:rsidRPr="00D97EFB" w:rsidRDefault="00E93F58" w:rsidP="00BB7E31">
      <w:pPr>
        <w:pStyle w:val="ActHead5"/>
      </w:pPr>
      <w:bookmarkStart w:id="3165" w:name="_Toc151994861"/>
      <w:bookmarkStart w:id="3166" w:name="_Toc158713371"/>
      <w:r w:rsidRPr="000D40D5">
        <w:rPr>
          <w:rStyle w:val="CharSectno"/>
        </w:rPr>
        <w:t>12.9.03</w:t>
      </w:r>
      <w:r w:rsidRPr="00D97EFB">
        <w:t xml:space="preserve">  Deregistration</w:t>
      </w:r>
      <w:bookmarkEnd w:id="3165"/>
      <w:bookmarkEnd w:id="3166"/>
    </w:p>
    <w:p w14:paraId="6982E746" w14:textId="77777777" w:rsidR="00E93F58" w:rsidRPr="00D97EFB" w:rsidRDefault="00E93F58" w:rsidP="00BB7E31">
      <w:pPr>
        <w:pStyle w:val="subsection"/>
      </w:pPr>
      <w:r w:rsidRPr="00D97EFB">
        <w:tab/>
        <w:t>(1)</w:t>
      </w:r>
      <w:r w:rsidRPr="00D97EFB">
        <w:tab/>
        <w:t>Despite regulation 12.7.02, this regulation applies if the transferring financial institution had not been deregistered before the transfer date as a result of being wound up.</w:t>
      </w:r>
    </w:p>
    <w:p w14:paraId="5DEF4FFB" w14:textId="77777777" w:rsidR="00E93F58" w:rsidRPr="00D97EFB" w:rsidRDefault="00E93F58" w:rsidP="00825D99">
      <w:pPr>
        <w:pStyle w:val="subsection"/>
      </w:pPr>
      <w:r w:rsidRPr="00D97EFB">
        <w:tab/>
        <w:t>(2)</w:t>
      </w:r>
      <w:r w:rsidRPr="00D97EFB">
        <w:tab/>
        <w:t>Sections 601AB, 601AC, 601AD, 601AE, 601AF, 601AG and 601AH of the Act apply to the deregistration of the transferring financial institution.</w:t>
      </w:r>
    </w:p>
    <w:p w14:paraId="596D380A" w14:textId="77777777" w:rsidR="00E93F58" w:rsidRPr="00D97EFB" w:rsidRDefault="00E93F58" w:rsidP="00C82575"/>
    <w:p w14:paraId="34F8C99C" w14:textId="77777777" w:rsidR="00E93F58" w:rsidRPr="00FB5439" w:rsidRDefault="00E93F58" w:rsidP="00F00824">
      <w:pPr>
        <w:pStyle w:val="ActHead1"/>
        <w:keepNext w:val="0"/>
        <w:pageBreakBefore/>
        <w:spacing w:before="120"/>
      </w:pPr>
      <w:bookmarkStart w:id="3167" w:name="_Toc151992769"/>
      <w:bookmarkStart w:id="3168" w:name="_Toc158713372"/>
      <w:r w:rsidRPr="00FB5439">
        <w:rPr>
          <w:rStyle w:val="CharChapNo"/>
        </w:rPr>
        <w:lastRenderedPageBreak/>
        <w:t>Schedule 1</w:t>
      </w:r>
      <w:r w:rsidRPr="00FB5439">
        <w:t>—</w:t>
      </w:r>
      <w:r w:rsidRPr="00FB5439">
        <w:rPr>
          <w:rStyle w:val="CharChapText"/>
        </w:rPr>
        <w:t>List of forms in Schedule 2</w:t>
      </w:r>
      <w:bookmarkEnd w:id="3167"/>
      <w:bookmarkEnd w:id="3168"/>
    </w:p>
    <w:p w14:paraId="475B3578" w14:textId="77777777" w:rsidR="00E93F58" w:rsidRPr="00FB5439" w:rsidRDefault="00E93F58" w:rsidP="00070F64">
      <w:pPr>
        <w:pStyle w:val="notemargin"/>
      </w:pPr>
      <w:r w:rsidRPr="00FB5439">
        <w:t>(regulation 1.0.03)</w:t>
      </w:r>
    </w:p>
    <w:p w14:paraId="111F2798" w14:textId="77777777" w:rsidR="00E93F58" w:rsidRPr="00FB5439" w:rsidRDefault="00E93F58" w:rsidP="00070F64">
      <w:pPr>
        <w:pStyle w:val="Header"/>
        <w:keepNext w:val="0"/>
      </w:pPr>
      <w:r w:rsidRPr="00FB5439">
        <w:rPr>
          <w:rStyle w:val="CharPartNo"/>
        </w:rPr>
        <w:t xml:space="preserve"> </w:t>
      </w:r>
      <w:r w:rsidRPr="00FB5439">
        <w:rPr>
          <w:rStyle w:val="CharPartText"/>
        </w:rPr>
        <w:t xml:space="preserve"> </w:t>
      </w:r>
    </w:p>
    <w:p w14:paraId="733EB461" w14:textId="77777777" w:rsidR="00E93F58" w:rsidRPr="00FB5439" w:rsidRDefault="00E93F58" w:rsidP="00070F6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22"/>
        <w:gridCol w:w="4161"/>
        <w:gridCol w:w="3329"/>
        <w:gridCol w:w="1661"/>
      </w:tblGrid>
      <w:tr w:rsidR="00E93F58" w:rsidRPr="00FB5439" w14:paraId="55E9ECEF" w14:textId="77777777" w:rsidTr="00B23434">
        <w:trPr>
          <w:tblHeader/>
        </w:trPr>
        <w:tc>
          <w:tcPr>
            <w:tcW w:w="753" w:type="pct"/>
            <w:tcBorders>
              <w:top w:val="single" w:sz="12" w:space="0" w:color="auto"/>
              <w:bottom w:val="single" w:sz="6" w:space="0" w:color="auto"/>
            </w:tcBorders>
            <w:shd w:val="clear" w:color="auto" w:fill="auto"/>
          </w:tcPr>
          <w:p w14:paraId="479AD5FD" w14:textId="77777777" w:rsidR="00E93F58" w:rsidRPr="00FB5439" w:rsidRDefault="00E93F58" w:rsidP="00070F64">
            <w:pPr>
              <w:pStyle w:val="TableHeading"/>
              <w:keepNext w:val="0"/>
            </w:pPr>
            <w:r w:rsidRPr="00FB5439">
              <w:t>Column 1</w:t>
            </w:r>
          </w:p>
        </w:tc>
        <w:tc>
          <w:tcPr>
            <w:tcW w:w="1931" w:type="pct"/>
            <w:tcBorders>
              <w:top w:val="single" w:sz="12" w:space="0" w:color="auto"/>
              <w:bottom w:val="single" w:sz="6" w:space="0" w:color="auto"/>
            </w:tcBorders>
            <w:shd w:val="clear" w:color="auto" w:fill="auto"/>
          </w:tcPr>
          <w:p w14:paraId="1A10225B" w14:textId="77777777" w:rsidR="00E93F58" w:rsidRPr="00FB5439" w:rsidRDefault="00E93F58" w:rsidP="00070F64">
            <w:pPr>
              <w:pStyle w:val="TableHeading"/>
              <w:keepNext w:val="0"/>
            </w:pPr>
            <w:r w:rsidRPr="00FB5439">
              <w:t xml:space="preserve">Column 2 </w:t>
            </w:r>
          </w:p>
        </w:tc>
        <w:tc>
          <w:tcPr>
            <w:tcW w:w="1545" w:type="pct"/>
            <w:tcBorders>
              <w:top w:val="single" w:sz="12" w:space="0" w:color="auto"/>
              <w:bottom w:val="single" w:sz="6" w:space="0" w:color="auto"/>
            </w:tcBorders>
            <w:shd w:val="clear" w:color="auto" w:fill="auto"/>
          </w:tcPr>
          <w:p w14:paraId="7802AF8F" w14:textId="77777777" w:rsidR="00E93F58" w:rsidRPr="00FB5439" w:rsidRDefault="00E93F58" w:rsidP="00070F64">
            <w:pPr>
              <w:pStyle w:val="TableHeading"/>
              <w:keepNext w:val="0"/>
            </w:pPr>
            <w:r w:rsidRPr="00FB5439">
              <w:t>Column 3</w:t>
            </w:r>
          </w:p>
        </w:tc>
        <w:tc>
          <w:tcPr>
            <w:tcW w:w="771" w:type="pct"/>
            <w:tcBorders>
              <w:top w:val="single" w:sz="12" w:space="0" w:color="auto"/>
              <w:bottom w:val="single" w:sz="6" w:space="0" w:color="auto"/>
            </w:tcBorders>
            <w:shd w:val="clear" w:color="auto" w:fill="auto"/>
          </w:tcPr>
          <w:p w14:paraId="1A15EB20" w14:textId="77777777" w:rsidR="00E93F58" w:rsidRPr="00FB5439" w:rsidRDefault="00E93F58" w:rsidP="00070F64">
            <w:pPr>
              <w:pStyle w:val="TableHeading"/>
              <w:keepNext w:val="0"/>
            </w:pPr>
            <w:r w:rsidRPr="00FB5439">
              <w:t xml:space="preserve">Column 4 </w:t>
            </w:r>
          </w:p>
        </w:tc>
      </w:tr>
      <w:tr w:rsidR="00E93F58" w:rsidRPr="00FB5439" w14:paraId="34C32A4B" w14:textId="77777777" w:rsidTr="00B23434">
        <w:trPr>
          <w:tblHeader/>
        </w:trPr>
        <w:tc>
          <w:tcPr>
            <w:tcW w:w="753" w:type="pct"/>
            <w:tcBorders>
              <w:top w:val="single" w:sz="6" w:space="0" w:color="auto"/>
              <w:bottom w:val="single" w:sz="12" w:space="0" w:color="auto"/>
            </w:tcBorders>
            <w:shd w:val="clear" w:color="auto" w:fill="auto"/>
          </w:tcPr>
          <w:p w14:paraId="0A338384" w14:textId="77777777" w:rsidR="00E93F58" w:rsidRPr="00FB5439" w:rsidRDefault="00E93F58" w:rsidP="00070F64">
            <w:pPr>
              <w:pStyle w:val="TableHeading"/>
              <w:keepNext w:val="0"/>
            </w:pPr>
            <w:r w:rsidRPr="00FB5439">
              <w:br/>
              <w:t xml:space="preserve">Item </w:t>
            </w:r>
          </w:p>
        </w:tc>
        <w:tc>
          <w:tcPr>
            <w:tcW w:w="1931" w:type="pct"/>
            <w:tcBorders>
              <w:top w:val="single" w:sz="6" w:space="0" w:color="auto"/>
              <w:bottom w:val="single" w:sz="12" w:space="0" w:color="auto"/>
            </w:tcBorders>
            <w:shd w:val="clear" w:color="auto" w:fill="auto"/>
          </w:tcPr>
          <w:p w14:paraId="754907A3" w14:textId="77777777" w:rsidR="00E93F58" w:rsidRPr="00FB5439" w:rsidRDefault="00E93F58" w:rsidP="00070F64">
            <w:pPr>
              <w:pStyle w:val="TableHeading"/>
              <w:keepNext w:val="0"/>
            </w:pPr>
            <w:r w:rsidRPr="00FB5439">
              <w:t>Provision of the Act or the Regulations</w:t>
            </w:r>
          </w:p>
        </w:tc>
        <w:tc>
          <w:tcPr>
            <w:tcW w:w="1545" w:type="pct"/>
            <w:tcBorders>
              <w:top w:val="single" w:sz="6" w:space="0" w:color="auto"/>
              <w:bottom w:val="single" w:sz="12" w:space="0" w:color="auto"/>
            </w:tcBorders>
            <w:shd w:val="clear" w:color="auto" w:fill="auto"/>
          </w:tcPr>
          <w:p w14:paraId="0DB6EA42" w14:textId="77777777" w:rsidR="00E93F58" w:rsidRPr="00FB5439" w:rsidRDefault="00E93F58" w:rsidP="00070F64">
            <w:pPr>
              <w:pStyle w:val="TableHeading"/>
              <w:keepNext w:val="0"/>
            </w:pPr>
            <w:r w:rsidRPr="00FB5439">
              <w:br/>
              <w:t>Description of form</w:t>
            </w:r>
          </w:p>
        </w:tc>
        <w:tc>
          <w:tcPr>
            <w:tcW w:w="771" w:type="pct"/>
            <w:tcBorders>
              <w:top w:val="single" w:sz="6" w:space="0" w:color="auto"/>
              <w:bottom w:val="single" w:sz="12" w:space="0" w:color="auto"/>
            </w:tcBorders>
            <w:shd w:val="clear" w:color="auto" w:fill="auto"/>
          </w:tcPr>
          <w:p w14:paraId="3D45AB23" w14:textId="77777777" w:rsidR="00E93F58" w:rsidRPr="00FB5439" w:rsidRDefault="00E93F58" w:rsidP="00070F64">
            <w:pPr>
              <w:pStyle w:val="TableHeading"/>
              <w:keepNext w:val="0"/>
            </w:pPr>
            <w:r w:rsidRPr="00FB5439">
              <w:t>No. of form</w:t>
            </w:r>
          </w:p>
        </w:tc>
      </w:tr>
      <w:tr w:rsidR="00E93F58" w:rsidRPr="00FB5439" w14:paraId="5D61CAB8" w14:textId="77777777" w:rsidTr="00B23434">
        <w:tc>
          <w:tcPr>
            <w:tcW w:w="5000" w:type="pct"/>
            <w:gridSpan w:val="4"/>
            <w:tcBorders>
              <w:top w:val="single" w:sz="12" w:space="0" w:color="auto"/>
            </w:tcBorders>
            <w:shd w:val="clear" w:color="auto" w:fill="auto"/>
          </w:tcPr>
          <w:p w14:paraId="3E3A4B26" w14:textId="77777777" w:rsidR="00E93F58" w:rsidRPr="00FB5439" w:rsidRDefault="00E93F58" w:rsidP="00070F64">
            <w:pPr>
              <w:pStyle w:val="TableHeading"/>
              <w:keepNext w:val="0"/>
            </w:pPr>
            <w:r w:rsidRPr="00FB5439">
              <w:t>Chapter 1   Introductory</w:t>
            </w:r>
          </w:p>
        </w:tc>
      </w:tr>
      <w:tr w:rsidR="00E93F58" w:rsidRPr="00FB5439" w14:paraId="0B41FEAB" w14:textId="77777777" w:rsidTr="00B23434">
        <w:tc>
          <w:tcPr>
            <w:tcW w:w="753" w:type="pct"/>
            <w:shd w:val="clear" w:color="auto" w:fill="auto"/>
          </w:tcPr>
          <w:p w14:paraId="0BAACD7D" w14:textId="77777777" w:rsidR="00E93F58" w:rsidRPr="00FB5439" w:rsidRDefault="00E93F58" w:rsidP="00070F64">
            <w:pPr>
              <w:pStyle w:val="Tabletext"/>
            </w:pPr>
            <w:r w:rsidRPr="00FB5439">
              <w:t>1</w:t>
            </w:r>
          </w:p>
        </w:tc>
        <w:tc>
          <w:tcPr>
            <w:tcW w:w="1931" w:type="pct"/>
            <w:shd w:val="clear" w:color="auto" w:fill="auto"/>
          </w:tcPr>
          <w:p w14:paraId="3299E351" w14:textId="77777777" w:rsidR="00E93F58" w:rsidRPr="00FB5439" w:rsidRDefault="00E93F58" w:rsidP="00070F64">
            <w:pPr>
              <w:pStyle w:val="Tabletext"/>
            </w:pPr>
            <w:r w:rsidRPr="00FB5439">
              <w:t xml:space="preserve">Regulation 1.0.16 </w:t>
            </w:r>
          </w:p>
        </w:tc>
        <w:tc>
          <w:tcPr>
            <w:tcW w:w="1545" w:type="pct"/>
            <w:shd w:val="clear" w:color="auto" w:fill="auto"/>
          </w:tcPr>
          <w:p w14:paraId="54B26906" w14:textId="77777777" w:rsidR="00E93F58" w:rsidRPr="00FB5439" w:rsidRDefault="00E93F58" w:rsidP="00070F64">
            <w:pPr>
              <w:pStyle w:val="Tabletext"/>
            </w:pPr>
            <w:r w:rsidRPr="00FB5439">
              <w:t xml:space="preserve">Verification or certification of a document </w:t>
            </w:r>
          </w:p>
        </w:tc>
        <w:tc>
          <w:tcPr>
            <w:tcW w:w="771" w:type="pct"/>
            <w:shd w:val="clear" w:color="auto" w:fill="auto"/>
          </w:tcPr>
          <w:p w14:paraId="5B73F9C6" w14:textId="77777777" w:rsidR="00E93F58" w:rsidRPr="00FB5439" w:rsidRDefault="00E93F58" w:rsidP="00070F64">
            <w:pPr>
              <w:pStyle w:val="Tabletext"/>
            </w:pPr>
            <w:r w:rsidRPr="00FB5439">
              <w:t xml:space="preserve">911 </w:t>
            </w:r>
          </w:p>
        </w:tc>
      </w:tr>
      <w:tr w:rsidR="00E93F58" w:rsidRPr="00FB5439" w14:paraId="578BCA68" w14:textId="77777777" w:rsidTr="00B23434">
        <w:tc>
          <w:tcPr>
            <w:tcW w:w="753" w:type="pct"/>
            <w:shd w:val="clear" w:color="auto" w:fill="auto"/>
          </w:tcPr>
          <w:p w14:paraId="7DD3A283" w14:textId="77777777" w:rsidR="00E93F58" w:rsidRPr="00FB5439" w:rsidRDefault="00E93F58" w:rsidP="00070F64">
            <w:pPr>
              <w:pStyle w:val="Tabletext"/>
            </w:pPr>
            <w:r w:rsidRPr="00FB5439">
              <w:t xml:space="preserve">1A </w:t>
            </w:r>
          </w:p>
        </w:tc>
        <w:tc>
          <w:tcPr>
            <w:tcW w:w="1931" w:type="pct"/>
            <w:shd w:val="clear" w:color="auto" w:fill="auto"/>
          </w:tcPr>
          <w:p w14:paraId="3B0E64DD" w14:textId="77777777" w:rsidR="00E93F58" w:rsidRPr="00FB5439" w:rsidRDefault="00E93F58" w:rsidP="00070F64">
            <w:pPr>
              <w:pStyle w:val="Tabletext"/>
            </w:pPr>
            <w:r w:rsidRPr="00FB5439">
              <w:t xml:space="preserve">Regulation 1.0.21 </w:t>
            </w:r>
          </w:p>
        </w:tc>
        <w:tc>
          <w:tcPr>
            <w:tcW w:w="1545" w:type="pct"/>
            <w:shd w:val="clear" w:color="auto" w:fill="auto"/>
          </w:tcPr>
          <w:p w14:paraId="32405411" w14:textId="77777777" w:rsidR="00E93F58" w:rsidRPr="00FB5439" w:rsidRDefault="00E93F58" w:rsidP="00070F64">
            <w:pPr>
              <w:pStyle w:val="Tabletext"/>
            </w:pPr>
            <w:r w:rsidRPr="00FB5439">
              <w:t xml:space="preserve">Cover page for office copy of a court order </w:t>
            </w:r>
          </w:p>
        </w:tc>
        <w:tc>
          <w:tcPr>
            <w:tcW w:w="771" w:type="pct"/>
            <w:shd w:val="clear" w:color="auto" w:fill="auto"/>
          </w:tcPr>
          <w:p w14:paraId="68E5EB96" w14:textId="77777777" w:rsidR="00E93F58" w:rsidRPr="00FB5439" w:rsidRDefault="00E93F58" w:rsidP="00070F64">
            <w:pPr>
              <w:pStyle w:val="Tabletext"/>
            </w:pPr>
            <w:r w:rsidRPr="00FB5439">
              <w:t xml:space="preserve">105 </w:t>
            </w:r>
          </w:p>
        </w:tc>
      </w:tr>
      <w:tr w:rsidR="00E93F58" w:rsidRPr="00FB5439" w14:paraId="52D40ED1" w14:textId="77777777" w:rsidTr="00B23434">
        <w:tc>
          <w:tcPr>
            <w:tcW w:w="753" w:type="pct"/>
            <w:shd w:val="clear" w:color="auto" w:fill="auto"/>
          </w:tcPr>
          <w:p w14:paraId="28E0EDB8" w14:textId="77777777" w:rsidR="00E93F58" w:rsidRPr="00FB5439" w:rsidRDefault="00E93F58" w:rsidP="00070F64">
            <w:pPr>
              <w:pStyle w:val="Tabletext"/>
            </w:pPr>
            <w:r w:rsidRPr="00FB5439">
              <w:t>2</w:t>
            </w:r>
          </w:p>
        </w:tc>
        <w:tc>
          <w:tcPr>
            <w:tcW w:w="1931" w:type="pct"/>
            <w:shd w:val="clear" w:color="auto" w:fill="auto"/>
          </w:tcPr>
          <w:p w14:paraId="580C81EF" w14:textId="77777777" w:rsidR="00E93F58" w:rsidRPr="00FB5439" w:rsidRDefault="00E93F58" w:rsidP="00070F64">
            <w:pPr>
              <w:pStyle w:val="Tabletext"/>
            </w:pPr>
            <w:r w:rsidRPr="00FB5439">
              <w:rPr>
                <w:szCs w:val="22"/>
              </w:rPr>
              <w:t>Subsection 117(2)</w:t>
            </w:r>
          </w:p>
          <w:p w14:paraId="72E1A2B6" w14:textId="77777777" w:rsidR="00E93F58" w:rsidRPr="00FB5439" w:rsidRDefault="00E93F58" w:rsidP="00070F64">
            <w:pPr>
              <w:pStyle w:val="Tabletext"/>
            </w:pPr>
            <w:r w:rsidRPr="00FB5439">
              <w:t>Subsection 163(3)</w:t>
            </w:r>
          </w:p>
          <w:p w14:paraId="552C07BE" w14:textId="77777777" w:rsidR="00E93F58" w:rsidRPr="00FB5439" w:rsidRDefault="00E93F58" w:rsidP="00070F64">
            <w:pPr>
              <w:pStyle w:val="Tabletext"/>
            </w:pPr>
            <w:r w:rsidRPr="00FB5439">
              <w:t>Subsection 254X(2)</w:t>
            </w:r>
          </w:p>
          <w:p w14:paraId="1531E5F5" w14:textId="77777777" w:rsidR="00E93F58" w:rsidRPr="00FB5439" w:rsidRDefault="00E93F58" w:rsidP="00D62A50">
            <w:pPr>
              <w:pStyle w:val="Tabletext"/>
            </w:pPr>
            <w:r w:rsidRPr="00FB5439">
              <w:t>Subsection 601BC(2)</w:t>
            </w:r>
          </w:p>
        </w:tc>
        <w:tc>
          <w:tcPr>
            <w:tcW w:w="1545" w:type="pct"/>
            <w:shd w:val="clear" w:color="auto" w:fill="auto"/>
          </w:tcPr>
          <w:p w14:paraId="364FAAFE" w14:textId="77777777" w:rsidR="00E93F58" w:rsidRPr="00FB5439" w:rsidRDefault="00E93F58" w:rsidP="00070F64">
            <w:pPr>
              <w:pStyle w:val="Tabletext"/>
            </w:pPr>
            <w:r w:rsidRPr="00FB5439">
              <w:t>Certification of compliance with stamp duty law</w:t>
            </w:r>
          </w:p>
        </w:tc>
        <w:tc>
          <w:tcPr>
            <w:tcW w:w="771" w:type="pct"/>
            <w:shd w:val="clear" w:color="auto" w:fill="auto"/>
          </w:tcPr>
          <w:p w14:paraId="295F9496" w14:textId="77777777" w:rsidR="00E93F58" w:rsidRPr="00FB5439" w:rsidRDefault="00E93F58" w:rsidP="00070F64">
            <w:pPr>
              <w:pStyle w:val="Tabletext"/>
            </w:pPr>
            <w:r w:rsidRPr="00FB5439">
              <w:t>207Z</w:t>
            </w:r>
          </w:p>
        </w:tc>
      </w:tr>
      <w:tr w:rsidR="00E93F58" w:rsidRPr="00FB5439" w14:paraId="019FB695" w14:textId="77777777" w:rsidTr="00B23434">
        <w:tc>
          <w:tcPr>
            <w:tcW w:w="753" w:type="pct"/>
            <w:shd w:val="clear" w:color="auto" w:fill="auto"/>
          </w:tcPr>
          <w:p w14:paraId="2C4936FA" w14:textId="77777777" w:rsidR="00E93F58" w:rsidRPr="00FB5439" w:rsidRDefault="00E93F58" w:rsidP="00070F64">
            <w:pPr>
              <w:pStyle w:val="Tabletext"/>
            </w:pPr>
            <w:r w:rsidRPr="00FB5439">
              <w:t>3</w:t>
            </w:r>
          </w:p>
        </w:tc>
        <w:tc>
          <w:tcPr>
            <w:tcW w:w="1931" w:type="pct"/>
            <w:shd w:val="clear" w:color="auto" w:fill="auto"/>
          </w:tcPr>
          <w:p w14:paraId="0FCEE080" w14:textId="77777777" w:rsidR="00E93F58" w:rsidRPr="00FB5439" w:rsidRDefault="00E93F58" w:rsidP="00D62A50">
            <w:pPr>
              <w:pStyle w:val="Tabletext"/>
            </w:pPr>
            <w:r>
              <w:t>Subparagraph 2</w:t>
            </w:r>
            <w:r w:rsidRPr="00FB5439">
              <w:t>06F(1)(b)(i)</w:t>
            </w:r>
          </w:p>
        </w:tc>
        <w:tc>
          <w:tcPr>
            <w:tcW w:w="1545" w:type="pct"/>
            <w:shd w:val="clear" w:color="auto" w:fill="auto"/>
          </w:tcPr>
          <w:p w14:paraId="0E875383" w14:textId="77777777" w:rsidR="00E93F58" w:rsidRPr="00FB5439" w:rsidRDefault="00E93F58" w:rsidP="00070F64">
            <w:pPr>
              <w:pStyle w:val="Tabletext"/>
            </w:pPr>
            <w:r w:rsidRPr="00FB5439">
              <w:t>Notice to demonstrate why disqualification should not occur</w:t>
            </w:r>
          </w:p>
        </w:tc>
        <w:tc>
          <w:tcPr>
            <w:tcW w:w="771" w:type="pct"/>
            <w:shd w:val="clear" w:color="auto" w:fill="auto"/>
          </w:tcPr>
          <w:p w14:paraId="789B873A" w14:textId="77777777" w:rsidR="00E93F58" w:rsidRPr="00FB5439" w:rsidRDefault="00E93F58" w:rsidP="00070F64">
            <w:pPr>
              <w:pStyle w:val="Tabletext"/>
            </w:pPr>
            <w:r w:rsidRPr="008A0704">
              <w:t>586</w:t>
            </w:r>
          </w:p>
        </w:tc>
      </w:tr>
      <w:tr w:rsidR="00E93F58" w:rsidRPr="00FB5439" w14:paraId="5A6EED8F" w14:textId="77777777" w:rsidTr="00B23434">
        <w:tc>
          <w:tcPr>
            <w:tcW w:w="753" w:type="pct"/>
            <w:shd w:val="clear" w:color="auto" w:fill="auto"/>
          </w:tcPr>
          <w:p w14:paraId="672C2501" w14:textId="77777777" w:rsidR="00E93F58" w:rsidRPr="00FB5439" w:rsidRDefault="00E93F58" w:rsidP="00070F64">
            <w:pPr>
              <w:pStyle w:val="Tabletext"/>
            </w:pPr>
            <w:r w:rsidRPr="00FB5439">
              <w:t>4</w:t>
            </w:r>
          </w:p>
        </w:tc>
        <w:tc>
          <w:tcPr>
            <w:tcW w:w="1931" w:type="pct"/>
            <w:shd w:val="clear" w:color="auto" w:fill="auto"/>
          </w:tcPr>
          <w:p w14:paraId="23947E05" w14:textId="77777777" w:rsidR="00E93F58" w:rsidRPr="00FB5439" w:rsidRDefault="00E93F58" w:rsidP="00D62A50">
            <w:pPr>
              <w:pStyle w:val="Tabletext"/>
            </w:pPr>
            <w:r w:rsidRPr="00FB5439">
              <w:t>Subsection 206F(3)</w:t>
            </w:r>
          </w:p>
        </w:tc>
        <w:tc>
          <w:tcPr>
            <w:tcW w:w="1545" w:type="pct"/>
            <w:shd w:val="clear" w:color="auto" w:fill="auto"/>
          </w:tcPr>
          <w:p w14:paraId="12B33EEA" w14:textId="77777777" w:rsidR="00E93F58" w:rsidRPr="00FB5439" w:rsidRDefault="00E93F58" w:rsidP="00070F64">
            <w:pPr>
              <w:pStyle w:val="Tabletext"/>
            </w:pPr>
            <w:r w:rsidRPr="00FB5439">
              <w:t>Notice of disqualification from managing corporations</w:t>
            </w:r>
          </w:p>
        </w:tc>
        <w:tc>
          <w:tcPr>
            <w:tcW w:w="771" w:type="pct"/>
            <w:shd w:val="clear" w:color="auto" w:fill="auto"/>
          </w:tcPr>
          <w:p w14:paraId="01815A39" w14:textId="77777777" w:rsidR="00E93F58" w:rsidRPr="00FB5439" w:rsidRDefault="00E93F58" w:rsidP="00070F64">
            <w:pPr>
              <w:pStyle w:val="Tabletext"/>
            </w:pPr>
            <w:r w:rsidRPr="00FB5439">
              <w:t>587</w:t>
            </w:r>
          </w:p>
        </w:tc>
      </w:tr>
      <w:tr w:rsidR="00E93F58" w:rsidRPr="00FB5439" w14:paraId="3E4C07DB" w14:textId="77777777" w:rsidTr="00A716F0">
        <w:tblPrEx>
          <w:tblBorders>
            <w:insideH w:val="single" w:sz="2" w:space="0" w:color="auto"/>
          </w:tblBorders>
        </w:tblPrEx>
        <w:tc>
          <w:tcPr>
            <w:tcW w:w="753" w:type="pct"/>
            <w:tcBorders>
              <w:top w:val="nil"/>
              <w:bottom w:val="single" w:sz="2" w:space="0" w:color="auto"/>
            </w:tcBorders>
            <w:shd w:val="clear" w:color="auto" w:fill="auto"/>
          </w:tcPr>
          <w:p w14:paraId="6C9C7145" w14:textId="77777777" w:rsidR="00E93F58" w:rsidRPr="00FB5439" w:rsidRDefault="00E93F58" w:rsidP="00A716F0">
            <w:pPr>
              <w:pStyle w:val="Tabletext"/>
            </w:pPr>
            <w:r w:rsidRPr="00FB5439">
              <w:t>4A</w:t>
            </w:r>
          </w:p>
        </w:tc>
        <w:tc>
          <w:tcPr>
            <w:tcW w:w="1931" w:type="pct"/>
            <w:tcBorders>
              <w:top w:val="nil"/>
              <w:bottom w:val="single" w:sz="2" w:space="0" w:color="auto"/>
            </w:tcBorders>
            <w:shd w:val="clear" w:color="auto" w:fill="auto"/>
          </w:tcPr>
          <w:p w14:paraId="48B26611" w14:textId="77777777" w:rsidR="00E93F58" w:rsidRPr="00FB5439" w:rsidRDefault="00E93F58" w:rsidP="00A716F0">
            <w:pPr>
              <w:pStyle w:val="Tabletext"/>
            </w:pPr>
            <w:r>
              <w:t>Subparagraph 2</w:t>
            </w:r>
            <w:r w:rsidRPr="00FB5439">
              <w:t>06GAA(1)(b)(i)</w:t>
            </w:r>
          </w:p>
        </w:tc>
        <w:tc>
          <w:tcPr>
            <w:tcW w:w="1545" w:type="pct"/>
            <w:tcBorders>
              <w:top w:val="nil"/>
              <w:bottom w:val="single" w:sz="2" w:space="0" w:color="auto"/>
            </w:tcBorders>
            <w:shd w:val="clear" w:color="auto" w:fill="auto"/>
          </w:tcPr>
          <w:p w14:paraId="7F0279B5" w14:textId="77777777" w:rsidR="00E93F58" w:rsidRPr="00FB5439" w:rsidRDefault="00E93F58" w:rsidP="00A716F0">
            <w:pPr>
              <w:pStyle w:val="Tabletext"/>
            </w:pPr>
            <w:r w:rsidRPr="00FB5439">
              <w:t>Notice to demonstrate why disqualification should not occur</w:t>
            </w:r>
          </w:p>
        </w:tc>
        <w:tc>
          <w:tcPr>
            <w:tcW w:w="771" w:type="pct"/>
            <w:tcBorders>
              <w:top w:val="nil"/>
              <w:bottom w:val="single" w:sz="2" w:space="0" w:color="auto"/>
            </w:tcBorders>
            <w:shd w:val="clear" w:color="auto" w:fill="auto"/>
          </w:tcPr>
          <w:p w14:paraId="1D04054C" w14:textId="77777777" w:rsidR="00E93F58" w:rsidRPr="00FB5439" w:rsidRDefault="00E93F58" w:rsidP="00A716F0">
            <w:pPr>
              <w:pStyle w:val="Tabletext"/>
            </w:pPr>
            <w:r w:rsidRPr="00FB5439">
              <w:t>588</w:t>
            </w:r>
          </w:p>
        </w:tc>
      </w:tr>
      <w:tr w:rsidR="00E93F58" w:rsidRPr="00FB5439" w14:paraId="0664C9B5" w14:textId="77777777" w:rsidTr="00A716F0">
        <w:tblPrEx>
          <w:tblBorders>
            <w:insideH w:val="single" w:sz="2" w:space="0" w:color="auto"/>
          </w:tblBorders>
        </w:tblPrEx>
        <w:tc>
          <w:tcPr>
            <w:tcW w:w="753" w:type="pct"/>
            <w:tcBorders>
              <w:top w:val="nil"/>
              <w:bottom w:val="nil"/>
            </w:tcBorders>
            <w:shd w:val="clear" w:color="auto" w:fill="auto"/>
          </w:tcPr>
          <w:p w14:paraId="05D62ED5" w14:textId="77777777" w:rsidR="00E93F58" w:rsidRPr="00FB5439" w:rsidRDefault="00E93F58" w:rsidP="00A716F0">
            <w:pPr>
              <w:pStyle w:val="Tabletext"/>
            </w:pPr>
            <w:r w:rsidRPr="00FB5439">
              <w:t>4B</w:t>
            </w:r>
          </w:p>
        </w:tc>
        <w:tc>
          <w:tcPr>
            <w:tcW w:w="1931" w:type="pct"/>
            <w:tcBorders>
              <w:top w:val="nil"/>
              <w:bottom w:val="nil"/>
            </w:tcBorders>
            <w:shd w:val="clear" w:color="auto" w:fill="auto"/>
          </w:tcPr>
          <w:p w14:paraId="04CF65CB" w14:textId="77777777" w:rsidR="00E93F58" w:rsidRPr="00FB5439" w:rsidRDefault="00E93F58" w:rsidP="00A716F0">
            <w:pPr>
              <w:pStyle w:val="Tabletext"/>
            </w:pPr>
            <w:r w:rsidRPr="00FB5439">
              <w:t xml:space="preserve">Subsection 206GAA(6) </w:t>
            </w:r>
          </w:p>
        </w:tc>
        <w:tc>
          <w:tcPr>
            <w:tcW w:w="1545" w:type="pct"/>
            <w:tcBorders>
              <w:top w:val="nil"/>
              <w:bottom w:val="nil"/>
            </w:tcBorders>
            <w:shd w:val="clear" w:color="auto" w:fill="auto"/>
          </w:tcPr>
          <w:p w14:paraId="2380CA01" w14:textId="77777777" w:rsidR="00E93F58" w:rsidRPr="00FB5439" w:rsidRDefault="00E93F58" w:rsidP="00A716F0">
            <w:pPr>
              <w:pStyle w:val="Tabletext"/>
            </w:pPr>
            <w:r w:rsidRPr="00FB5439">
              <w:t>Notice of disqualification from managing corporations</w:t>
            </w:r>
          </w:p>
        </w:tc>
        <w:tc>
          <w:tcPr>
            <w:tcW w:w="771" w:type="pct"/>
            <w:tcBorders>
              <w:top w:val="nil"/>
              <w:bottom w:val="nil"/>
            </w:tcBorders>
            <w:shd w:val="clear" w:color="auto" w:fill="auto"/>
          </w:tcPr>
          <w:p w14:paraId="1ED2571E" w14:textId="77777777" w:rsidR="00E93F58" w:rsidRPr="00FB5439" w:rsidRDefault="00E93F58" w:rsidP="00A716F0">
            <w:pPr>
              <w:pStyle w:val="Tabletext"/>
            </w:pPr>
            <w:r w:rsidRPr="00FB5439">
              <w:t>589</w:t>
            </w:r>
          </w:p>
        </w:tc>
      </w:tr>
      <w:tr w:rsidR="00E93F58" w:rsidRPr="00FB5439" w14:paraId="45BF689B" w14:textId="77777777" w:rsidTr="00B23434">
        <w:tc>
          <w:tcPr>
            <w:tcW w:w="5000" w:type="pct"/>
            <w:gridSpan w:val="4"/>
            <w:shd w:val="clear" w:color="auto" w:fill="auto"/>
          </w:tcPr>
          <w:p w14:paraId="639AD3E2" w14:textId="77777777" w:rsidR="00E93F58" w:rsidRPr="00FB5439" w:rsidRDefault="00E93F58" w:rsidP="00F00824">
            <w:pPr>
              <w:pStyle w:val="TableHeading"/>
              <w:keepNext w:val="0"/>
            </w:pPr>
            <w:r w:rsidRPr="00FB5439">
              <w:t>Chapter 3   Internal administration</w:t>
            </w:r>
          </w:p>
        </w:tc>
      </w:tr>
      <w:tr w:rsidR="00E93F58" w:rsidRPr="00FB5439" w14:paraId="2D986CFF" w14:textId="77777777" w:rsidTr="00B23434">
        <w:trPr>
          <w:cantSplit/>
        </w:trPr>
        <w:tc>
          <w:tcPr>
            <w:tcW w:w="753" w:type="pct"/>
            <w:shd w:val="clear" w:color="auto" w:fill="auto"/>
          </w:tcPr>
          <w:p w14:paraId="5B1CE48A" w14:textId="77777777" w:rsidR="00E93F58" w:rsidRPr="00FB5439" w:rsidRDefault="00E93F58" w:rsidP="00070F64">
            <w:pPr>
              <w:pStyle w:val="Tabletext"/>
            </w:pPr>
            <w:r w:rsidRPr="00FB5439">
              <w:t>23A</w:t>
            </w:r>
          </w:p>
        </w:tc>
        <w:tc>
          <w:tcPr>
            <w:tcW w:w="1931" w:type="pct"/>
            <w:shd w:val="clear" w:color="auto" w:fill="auto"/>
          </w:tcPr>
          <w:p w14:paraId="7E7860FD" w14:textId="77777777" w:rsidR="00E93F58" w:rsidRPr="00FB5439" w:rsidRDefault="00E93F58" w:rsidP="00070F64">
            <w:pPr>
              <w:pStyle w:val="Tabletext"/>
            </w:pPr>
            <w:r w:rsidRPr="00FB5439">
              <w:t>Section 250P</w:t>
            </w:r>
          </w:p>
        </w:tc>
        <w:tc>
          <w:tcPr>
            <w:tcW w:w="1545" w:type="pct"/>
            <w:shd w:val="clear" w:color="auto" w:fill="auto"/>
          </w:tcPr>
          <w:p w14:paraId="6B2DC876" w14:textId="77777777" w:rsidR="00E93F58" w:rsidRPr="00FB5439" w:rsidRDefault="00E93F58" w:rsidP="00070F64">
            <w:pPr>
              <w:pStyle w:val="Tabletext"/>
            </w:pPr>
            <w:r w:rsidRPr="00FB5439">
              <w:t>Extension of time for holding AGM</w:t>
            </w:r>
          </w:p>
        </w:tc>
        <w:tc>
          <w:tcPr>
            <w:tcW w:w="771" w:type="pct"/>
            <w:shd w:val="clear" w:color="auto" w:fill="auto"/>
          </w:tcPr>
          <w:p w14:paraId="56704F20" w14:textId="77777777" w:rsidR="00E93F58" w:rsidRPr="00FB5439" w:rsidRDefault="00E93F58" w:rsidP="00070F64">
            <w:pPr>
              <w:pStyle w:val="Tabletext"/>
            </w:pPr>
            <w:r w:rsidRPr="00FB5439">
              <w:t>2501</w:t>
            </w:r>
          </w:p>
        </w:tc>
      </w:tr>
      <w:tr w:rsidR="00E93F58" w:rsidRPr="00FB5439" w14:paraId="49B89B47" w14:textId="77777777" w:rsidTr="00B23434">
        <w:tc>
          <w:tcPr>
            <w:tcW w:w="753" w:type="pct"/>
            <w:shd w:val="clear" w:color="auto" w:fill="auto"/>
          </w:tcPr>
          <w:p w14:paraId="4B9A3B77" w14:textId="77777777" w:rsidR="00E93F58" w:rsidRPr="00FB5439" w:rsidRDefault="00E93F58" w:rsidP="00070F64">
            <w:pPr>
              <w:pStyle w:val="Tabletext"/>
            </w:pPr>
            <w:r w:rsidRPr="00FB5439">
              <w:t xml:space="preserve">26 </w:t>
            </w:r>
          </w:p>
        </w:tc>
        <w:tc>
          <w:tcPr>
            <w:tcW w:w="1931" w:type="pct"/>
            <w:shd w:val="clear" w:color="auto" w:fill="auto"/>
          </w:tcPr>
          <w:p w14:paraId="76E83359" w14:textId="77777777" w:rsidR="00E93F58" w:rsidRPr="00FB5439" w:rsidRDefault="00E93F58" w:rsidP="00D62A50">
            <w:pPr>
              <w:pStyle w:val="Tabletext"/>
            </w:pPr>
            <w:r>
              <w:t>Paragraph 2</w:t>
            </w:r>
            <w:r w:rsidRPr="00FB5439">
              <w:t xml:space="preserve">63(2)(b) </w:t>
            </w:r>
          </w:p>
        </w:tc>
        <w:tc>
          <w:tcPr>
            <w:tcW w:w="1545" w:type="pct"/>
            <w:shd w:val="clear" w:color="auto" w:fill="auto"/>
          </w:tcPr>
          <w:p w14:paraId="4506C57B" w14:textId="77777777" w:rsidR="00E93F58" w:rsidRPr="00FB5439" w:rsidRDefault="00E93F58" w:rsidP="00070F64">
            <w:pPr>
              <w:pStyle w:val="Tabletext"/>
            </w:pPr>
            <w:r w:rsidRPr="00FB5439">
              <w:t xml:space="preserve">Notification of further issue of debentures in a series </w:t>
            </w:r>
          </w:p>
        </w:tc>
        <w:tc>
          <w:tcPr>
            <w:tcW w:w="771" w:type="pct"/>
            <w:shd w:val="clear" w:color="auto" w:fill="auto"/>
          </w:tcPr>
          <w:p w14:paraId="2FD2EC1B" w14:textId="77777777" w:rsidR="00E93F58" w:rsidRPr="00FB5439" w:rsidRDefault="00E93F58" w:rsidP="00070F64">
            <w:pPr>
              <w:pStyle w:val="Tabletext"/>
            </w:pPr>
            <w:r w:rsidRPr="00FB5439">
              <w:t xml:space="preserve">310 </w:t>
            </w:r>
          </w:p>
        </w:tc>
      </w:tr>
      <w:tr w:rsidR="00E93F58" w:rsidRPr="00FB5439" w14:paraId="2EDF4CCA" w14:textId="77777777" w:rsidTr="00B23434">
        <w:tc>
          <w:tcPr>
            <w:tcW w:w="753" w:type="pct"/>
            <w:shd w:val="clear" w:color="auto" w:fill="auto"/>
          </w:tcPr>
          <w:p w14:paraId="4A29D9F8" w14:textId="77777777" w:rsidR="00E93F58" w:rsidRPr="00FB5439" w:rsidRDefault="00E93F58" w:rsidP="00070F64">
            <w:pPr>
              <w:pStyle w:val="Tabletext"/>
            </w:pPr>
            <w:r w:rsidRPr="00FB5439">
              <w:t xml:space="preserve">30 </w:t>
            </w:r>
          </w:p>
        </w:tc>
        <w:tc>
          <w:tcPr>
            <w:tcW w:w="1931" w:type="pct"/>
            <w:shd w:val="clear" w:color="auto" w:fill="auto"/>
          </w:tcPr>
          <w:p w14:paraId="429BDD81" w14:textId="77777777" w:rsidR="00E93F58" w:rsidRPr="00FB5439" w:rsidRDefault="00E93F58" w:rsidP="00D62A50">
            <w:pPr>
              <w:pStyle w:val="Tabletext"/>
            </w:pPr>
            <w:r>
              <w:t>Paragraph 3</w:t>
            </w:r>
            <w:r w:rsidRPr="00FB5439">
              <w:t xml:space="preserve">24(2)(e) </w:t>
            </w:r>
          </w:p>
        </w:tc>
        <w:tc>
          <w:tcPr>
            <w:tcW w:w="1545" w:type="pct"/>
            <w:shd w:val="clear" w:color="auto" w:fill="auto"/>
          </w:tcPr>
          <w:p w14:paraId="708D729B" w14:textId="77777777" w:rsidR="00E93F58" w:rsidRPr="00FB5439" w:rsidRDefault="00E93F58" w:rsidP="00070F64">
            <w:pPr>
              <w:pStyle w:val="Tabletext"/>
            </w:pPr>
            <w:r w:rsidRPr="00FB5439">
              <w:t xml:space="preserve">Return of members of firm of auditors </w:t>
            </w:r>
          </w:p>
        </w:tc>
        <w:tc>
          <w:tcPr>
            <w:tcW w:w="771" w:type="pct"/>
            <w:shd w:val="clear" w:color="auto" w:fill="auto"/>
          </w:tcPr>
          <w:p w14:paraId="7D728EDA" w14:textId="77777777" w:rsidR="00E93F58" w:rsidRPr="00FB5439" w:rsidRDefault="00E93F58" w:rsidP="00070F64">
            <w:pPr>
              <w:pStyle w:val="Tabletext"/>
            </w:pPr>
            <w:r w:rsidRPr="00FB5439">
              <w:t xml:space="preserve">314 </w:t>
            </w:r>
          </w:p>
        </w:tc>
      </w:tr>
      <w:tr w:rsidR="00E93F58" w:rsidRPr="00FB5439" w14:paraId="14B6218B" w14:textId="77777777" w:rsidTr="00B23434">
        <w:trPr>
          <w:cantSplit/>
        </w:trPr>
        <w:tc>
          <w:tcPr>
            <w:tcW w:w="753" w:type="pct"/>
            <w:tcBorders>
              <w:bottom w:val="single" w:sz="4" w:space="0" w:color="auto"/>
            </w:tcBorders>
            <w:shd w:val="clear" w:color="auto" w:fill="auto"/>
          </w:tcPr>
          <w:p w14:paraId="4791A425" w14:textId="77777777" w:rsidR="00E93F58" w:rsidRPr="00FB5439" w:rsidRDefault="00E93F58" w:rsidP="00070F64">
            <w:pPr>
              <w:pStyle w:val="Tabletext"/>
            </w:pPr>
            <w:r w:rsidRPr="00FB5439">
              <w:t xml:space="preserve">31 </w:t>
            </w:r>
          </w:p>
        </w:tc>
        <w:tc>
          <w:tcPr>
            <w:tcW w:w="1931" w:type="pct"/>
            <w:tcBorders>
              <w:bottom w:val="single" w:sz="4" w:space="0" w:color="auto"/>
            </w:tcBorders>
            <w:shd w:val="clear" w:color="auto" w:fill="auto"/>
          </w:tcPr>
          <w:p w14:paraId="3952F336" w14:textId="77777777" w:rsidR="00E93F58" w:rsidRPr="00FB5439" w:rsidRDefault="00E93F58" w:rsidP="00070F64">
            <w:pPr>
              <w:pStyle w:val="Tabletext"/>
            </w:pPr>
            <w:r>
              <w:t>Paragraph 3</w:t>
            </w:r>
            <w:r w:rsidRPr="00FB5439">
              <w:t>19(5)(a)</w:t>
            </w:r>
          </w:p>
          <w:p w14:paraId="3E493B4E" w14:textId="77777777" w:rsidR="00E93F58" w:rsidRPr="00FB5439" w:rsidRDefault="00E93F58" w:rsidP="00070F64">
            <w:pPr>
              <w:pStyle w:val="Tabletext"/>
            </w:pPr>
            <w:r w:rsidRPr="00FB5439">
              <w:t>Subsections 324(1) &amp; (2)</w:t>
            </w:r>
          </w:p>
          <w:p w14:paraId="1A74ED44" w14:textId="77777777" w:rsidR="00E93F58" w:rsidRPr="00FB5439" w:rsidRDefault="00E93F58" w:rsidP="00070F64">
            <w:pPr>
              <w:pStyle w:val="Tabletext"/>
            </w:pPr>
            <w:r w:rsidRPr="00FB5439">
              <w:t>Subsections 327(4) &amp; (15)</w:t>
            </w:r>
          </w:p>
          <w:p w14:paraId="12BEF996" w14:textId="77777777" w:rsidR="00E93F58" w:rsidRPr="00FB5439" w:rsidRDefault="00E93F58" w:rsidP="00070F64">
            <w:pPr>
              <w:pStyle w:val="Tabletext"/>
            </w:pPr>
            <w:r>
              <w:t>Paragraph 3</w:t>
            </w:r>
            <w:r w:rsidRPr="00FB5439">
              <w:t>29(11)(c)</w:t>
            </w:r>
          </w:p>
          <w:p w14:paraId="4379A597" w14:textId="77777777" w:rsidR="00E93F58" w:rsidRPr="00FB5439" w:rsidRDefault="00E93F58" w:rsidP="00070F64">
            <w:pPr>
              <w:pStyle w:val="Tabletext"/>
            </w:pPr>
            <w:r w:rsidRPr="00FB5439">
              <w:t>Section 330</w:t>
            </w:r>
          </w:p>
        </w:tc>
        <w:tc>
          <w:tcPr>
            <w:tcW w:w="1545" w:type="pct"/>
            <w:tcBorders>
              <w:bottom w:val="single" w:sz="4" w:space="0" w:color="auto"/>
            </w:tcBorders>
            <w:shd w:val="clear" w:color="auto" w:fill="auto"/>
          </w:tcPr>
          <w:p w14:paraId="2CD2713E" w14:textId="77777777" w:rsidR="00E93F58" w:rsidRPr="00FB5439" w:rsidRDefault="00E93F58" w:rsidP="00070F64">
            <w:pPr>
              <w:pStyle w:val="Tabletext"/>
            </w:pPr>
            <w:r w:rsidRPr="00FB5439">
              <w:t xml:space="preserve">Notice of resignation or removal of auditor </w:t>
            </w:r>
          </w:p>
        </w:tc>
        <w:tc>
          <w:tcPr>
            <w:tcW w:w="771" w:type="pct"/>
            <w:tcBorders>
              <w:bottom w:val="single" w:sz="4" w:space="0" w:color="auto"/>
            </w:tcBorders>
            <w:shd w:val="clear" w:color="auto" w:fill="auto"/>
          </w:tcPr>
          <w:p w14:paraId="204F13C5" w14:textId="77777777" w:rsidR="00E93F58" w:rsidRPr="00FB5439" w:rsidRDefault="00E93F58" w:rsidP="00070F64">
            <w:pPr>
              <w:pStyle w:val="Tabletext"/>
            </w:pPr>
            <w:r w:rsidRPr="00FB5439">
              <w:t xml:space="preserve">315 </w:t>
            </w:r>
          </w:p>
        </w:tc>
      </w:tr>
      <w:tr w:rsidR="00E93F58" w:rsidRPr="00FB5439" w14:paraId="4B311A53" w14:textId="77777777" w:rsidTr="00B23434">
        <w:tc>
          <w:tcPr>
            <w:tcW w:w="5000" w:type="pct"/>
            <w:gridSpan w:val="4"/>
            <w:tcBorders>
              <w:bottom w:val="single" w:sz="4" w:space="0" w:color="auto"/>
            </w:tcBorders>
            <w:shd w:val="clear" w:color="auto" w:fill="auto"/>
          </w:tcPr>
          <w:p w14:paraId="2A319515" w14:textId="77777777" w:rsidR="00E93F58" w:rsidRPr="00FB5439" w:rsidRDefault="00E93F58" w:rsidP="00070F64">
            <w:pPr>
              <w:pStyle w:val="TableHeading"/>
              <w:keepNext w:val="0"/>
            </w:pPr>
            <w:r w:rsidRPr="00FB5439">
              <w:t>Chapter 4   Various corporations</w:t>
            </w:r>
          </w:p>
        </w:tc>
      </w:tr>
      <w:tr w:rsidR="00E93F58" w:rsidRPr="00FB5439" w14:paraId="6359B80E" w14:textId="77777777" w:rsidTr="00B23434">
        <w:tc>
          <w:tcPr>
            <w:tcW w:w="5000" w:type="pct"/>
            <w:gridSpan w:val="4"/>
            <w:tcBorders>
              <w:top w:val="single" w:sz="4" w:space="0" w:color="auto"/>
            </w:tcBorders>
            <w:shd w:val="clear" w:color="auto" w:fill="auto"/>
          </w:tcPr>
          <w:p w14:paraId="35CBB7DF" w14:textId="77777777" w:rsidR="00E93F58" w:rsidRPr="00FB5439" w:rsidRDefault="00E93F58" w:rsidP="00070F64">
            <w:pPr>
              <w:pStyle w:val="TableHeading"/>
              <w:keepNext w:val="0"/>
            </w:pPr>
            <w:r w:rsidRPr="00FB5439">
              <w:t>Chapter 5   External administration</w:t>
            </w:r>
          </w:p>
        </w:tc>
      </w:tr>
      <w:tr w:rsidR="00E93F58" w:rsidRPr="00FB5439" w14:paraId="16F77B8F" w14:textId="77777777" w:rsidTr="00B23434">
        <w:tc>
          <w:tcPr>
            <w:tcW w:w="753" w:type="pct"/>
            <w:shd w:val="clear" w:color="auto" w:fill="auto"/>
          </w:tcPr>
          <w:p w14:paraId="03F6ED52" w14:textId="77777777" w:rsidR="00E93F58" w:rsidRPr="00FB5439" w:rsidRDefault="00E93F58" w:rsidP="00070F64">
            <w:pPr>
              <w:pStyle w:val="Tabletext"/>
            </w:pPr>
            <w:r w:rsidRPr="00FB5439">
              <w:t xml:space="preserve">43 </w:t>
            </w:r>
          </w:p>
        </w:tc>
        <w:tc>
          <w:tcPr>
            <w:tcW w:w="1931" w:type="pct"/>
            <w:shd w:val="clear" w:color="auto" w:fill="auto"/>
          </w:tcPr>
          <w:p w14:paraId="32FB1C69" w14:textId="77777777" w:rsidR="00E93F58" w:rsidRPr="00FB5439" w:rsidRDefault="00E93F58" w:rsidP="00D62A50">
            <w:pPr>
              <w:pStyle w:val="Tabletext"/>
            </w:pPr>
            <w:r w:rsidRPr="00FB5439">
              <w:t xml:space="preserve">Subsection 414(2) </w:t>
            </w:r>
          </w:p>
        </w:tc>
        <w:tc>
          <w:tcPr>
            <w:tcW w:w="1545" w:type="pct"/>
            <w:shd w:val="clear" w:color="auto" w:fill="auto"/>
          </w:tcPr>
          <w:p w14:paraId="667DB5C5" w14:textId="77777777" w:rsidR="00E93F58" w:rsidRPr="00FB5439" w:rsidRDefault="00E93F58" w:rsidP="00070F64">
            <w:pPr>
              <w:pStyle w:val="Tabletext"/>
            </w:pPr>
            <w:r w:rsidRPr="00FB5439">
              <w:t xml:space="preserve">Notice to dissenting shareholder </w:t>
            </w:r>
          </w:p>
        </w:tc>
        <w:tc>
          <w:tcPr>
            <w:tcW w:w="771" w:type="pct"/>
            <w:shd w:val="clear" w:color="auto" w:fill="auto"/>
          </w:tcPr>
          <w:p w14:paraId="7FB3274C" w14:textId="77777777" w:rsidR="00E93F58" w:rsidRPr="00FB5439" w:rsidRDefault="00E93F58" w:rsidP="00070F64">
            <w:pPr>
              <w:pStyle w:val="Tabletext"/>
            </w:pPr>
            <w:r w:rsidRPr="00FB5439">
              <w:t xml:space="preserve">501 </w:t>
            </w:r>
          </w:p>
        </w:tc>
      </w:tr>
      <w:tr w:rsidR="00E93F58" w:rsidRPr="00FB5439" w14:paraId="2D646F5A" w14:textId="77777777" w:rsidTr="00695A63">
        <w:trPr>
          <w:cantSplit/>
        </w:trPr>
        <w:tc>
          <w:tcPr>
            <w:tcW w:w="753" w:type="pct"/>
            <w:shd w:val="clear" w:color="auto" w:fill="auto"/>
          </w:tcPr>
          <w:p w14:paraId="2F4BD49F" w14:textId="77777777" w:rsidR="00E93F58" w:rsidRPr="00FB5439" w:rsidRDefault="00E93F58" w:rsidP="00070F64">
            <w:pPr>
              <w:pStyle w:val="Tabletext"/>
            </w:pPr>
            <w:r w:rsidRPr="00FB5439">
              <w:t xml:space="preserve">44 </w:t>
            </w:r>
          </w:p>
        </w:tc>
        <w:tc>
          <w:tcPr>
            <w:tcW w:w="1931" w:type="pct"/>
            <w:shd w:val="clear" w:color="auto" w:fill="auto"/>
          </w:tcPr>
          <w:p w14:paraId="0B28B008" w14:textId="77777777" w:rsidR="00E93F58" w:rsidRPr="00FB5439" w:rsidRDefault="00E93F58" w:rsidP="00D62A50">
            <w:pPr>
              <w:pStyle w:val="Tabletext"/>
            </w:pPr>
            <w:r>
              <w:t>Paragraph 4</w:t>
            </w:r>
            <w:r w:rsidRPr="00FB5439">
              <w:t xml:space="preserve">14(9)(a) </w:t>
            </w:r>
          </w:p>
        </w:tc>
        <w:tc>
          <w:tcPr>
            <w:tcW w:w="1545" w:type="pct"/>
            <w:shd w:val="clear" w:color="auto" w:fill="auto"/>
          </w:tcPr>
          <w:p w14:paraId="32F5D556" w14:textId="77777777" w:rsidR="00E93F58" w:rsidRPr="00FB5439" w:rsidRDefault="00E93F58" w:rsidP="00070F64">
            <w:pPr>
              <w:pStyle w:val="Tabletext"/>
            </w:pPr>
            <w:r w:rsidRPr="00FB5439">
              <w:t xml:space="preserve">Notice to remaining shareholder </w:t>
            </w:r>
          </w:p>
        </w:tc>
        <w:tc>
          <w:tcPr>
            <w:tcW w:w="771" w:type="pct"/>
            <w:shd w:val="clear" w:color="auto" w:fill="auto"/>
          </w:tcPr>
          <w:p w14:paraId="1C060116" w14:textId="77777777" w:rsidR="00E93F58" w:rsidRPr="00FB5439" w:rsidRDefault="00E93F58" w:rsidP="00070F64">
            <w:pPr>
              <w:pStyle w:val="Tabletext"/>
            </w:pPr>
            <w:r w:rsidRPr="00FB5439">
              <w:t xml:space="preserve">502 </w:t>
            </w:r>
          </w:p>
        </w:tc>
      </w:tr>
      <w:tr w:rsidR="00E93F58" w:rsidRPr="00FB5439" w14:paraId="2F22389B" w14:textId="77777777" w:rsidTr="00B23434">
        <w:tc>
          <w:tcPr>
            <w:tcW w:w="753" w:type="pct"/>
            <w:shd w:val="clear" w:color="auto" w:fill="auto"/>
          </w:tcPr>
          <w:p w14:paraId="011098AE" w14:textId="77777777" w:rsidR="00E93F58" w:rsidRPr="00FB5439" w:rsidRDefault="00E93F58" w:rsidP="00070F64">
            <w:pPr>
              <w:pStyle w:val="Tabletext"/>
            </w:pPr>
            <w:r w:rsidRPr="00FB5439">
              <w:t xml:space="preserve">44A </w:t>
            </w:r>
          </w:p>
        </w:tc>
        <w:tc>
          <w:tcPr>
            <w:tcW w:w="1931" w:type="pct"/>
            <w:shd w:val="clear" w:color="auto" w:fill="auto"/>
          </w:tcPr>
          <w:p w14:paraId="74BDFB89" w14:textId="77777777" w:rsidR="00E93F58" w:rsidRPr="00FB5439" w:rsidRDefault="00E93F58" w:rsidP="00D62A50">
            <w:pPr>
              <w:pStyle w:val="Tabletext"/>
            </w:pPr>
            <w:r w:rsidRPr="00FB5439">
              <w:t xml:space="preserve">Subsection 419A(3) </w:t>
            </w:r>
          </w:p>
        </w:tc>
        <w:tc>
          <w:tcPr>
            <w:tcW w:w="1545" w:type="pct"/>
            <w:shd w:val="clear" w:color="auto" w:fill="auto"/>
          </w:tcPr>
          <w:p w14:paraId="3767BD0B" w14:textId="77777777" w:rsidR="00E93F58" w:rsidRPr="00FB5439" w:rsidRDefault="00E93F58" w:rsidP="00070F64">
            <w:pPr>
              <w:pStyle w:val="Tabletext"/>
            </w:pPr>
            <w:r w:rsidRPr="00FB5439">
              <w:t xml:space="preserve">Notice of controller’s intention not to exercise property rights </w:t>
            </w:r>
          </w:p>
        </w:tc>
        <w:tc>
          <w:tcPr>
            <w:tcW w:w="771" w:type="pct"/>
            <w:shd w:val="clear" w:color="auto" w:fill="auto"/>
          </w:tcPr>
          <w:p w14:paraId="21CC2132" w14:textId="77777777" w:rsidR="00E93F58" w:rsidRPr="00FB5439" w:rsidRDefault="00E93F58" w:rsidP="00070F64">
            <w:pPr>
              <w:pStyle w:val="Tabletext"/>
            </w:pPr>
            <w:r w:rsidRPr="00FB5439">
              <w:t xml:space="preserve">503 </w:t>
            </w:r>
          </w:p>
        </w:tc>
      </w:tr>
      <w:tr w:rsidR="00E93F58" w:rsidRPr="00FB5439" w14:paraId="0EDA5565" w14:textId="77777777" w:rsidTr="00D00422">
        <w:trPr>
          <w:cantSplit/>
        </w:trPr>
        <w:tc>
          <w:tcPr>
            <w:tcW w:w="753" w:type="pct"/>
            <w:shd w:val="clear" w:color="auto" w:fill="auto"/>
          </w:tcPr>
          <w:p w14:paraId="4EE26A0D" w14:textId="77777777" w:rsidR="00E93F58" w:rsidRPr="00FB5439" w:rsidRDefault="00E93F58" w:rsidP="00070F64">
            <w:pPr>
              <w:pStyle w:val="Tabletext"/>
            </w:pPr>
            <w:r w:rsidRPr="00FB5439">
              <w:t xml:space="preserve">51A </w:t>
            </w:r>
          </w:p>
        </w:tc>
        <w:tc>
          <w:tcPr>
            <w:tcW w:w="1931" w:type="pct"/>
            <w:shd w:val="clear" w:color="auto" w:fill="auto"/>
          </w:tcPr>
          <w:p w14:paraId="5F0B4319" w14:textId="77777777" w:rsidR="00E93F58" w:rsidRPr="00FB5439" w:rsidRDefault="00E93F58" w:rsidP="00D62A50">
            <w:pPr>
              <w:pStyle w:val="Tabletext"/>
            </w:pPr>
            <w:r w:rsidRPr="00FB5439">
              <w:t xml:space="preserve">Subsection 438C(3) </w:t>
            </w:r>
          </w:p>
        </w:tc>
        <w:tc>
          <w:tcPr>
            <w:tcW w:w="1545" w:type="pct"/>
            <w:shd w:val="clear" w:color="auto" w:fill="auto"/>
          </w:tcPr>
          <w:p w14:paraId="4E19EFC5" w14:textId="77777777" w:rsidR="00E93F58" w:rsidRPr="00FB5439" w:rsidRDefault="00E93F58" w:rsidP="00070F64">
            <w:pPr>
              <w:pStyle w:val="Tabletext"/>
            </w:pPr>
            <w:r w:rsidRPr="00FB5439">
              <w:t xml:space="preserve">Notice to deliver books of company to the administrator </w:t>
            </w:r>
          </w:p>
        </w:tc>
        <w:tc>
          <w:tcPr>
            <w:tcW w:w="771" w:type="pct"/>
            <w:shd w:val="clear" w:color="auto" w:fill="auto"/>
          </w:tcPr>
          <w:p w14:paraId="541042AA" w14:textId="77777777" w:rsidR="00E93F58" w:rsidRPr="00FB5439" w:rsidRDefault="00E93F58" w:rsidP="00070F64">
            <w:pPr>
              <w:pStyle w:val="Tabletext"/>
            </w:pPr>
            <w:r w:rsidRPr="00FB5439">
              <w:t xml:space="preserve">509A </w:t>
            </w:r>
          </w:p>
        </w:tc>
      </w:tr>
      <w:tr w:rsidR="00E93F58" w:rsidRPr="00FB5439" w14:paraId="6EFB55EB" w14:textId="77777777" w:rsidTr="00B23434">
        <w:tc>
          <w:tcPr>
            <w:tcW w:w="753" w:type="pct"/>
            <w:shd w:val="clear" w:color="auto" w:fill="auto"/>
          </w:tcPr>
          <w:p w14:paraId="690AAACD" w14:textId="77777777" w:rsidR="00E93F58" w:rsidRPr="00FB5439" w:rsidRDefault="00E93F58" w:rsidP="00070F64">
            <w:pPr>
              <w:pStyle w:val="Tabletext"/>
            </w:pPr>
            <w:r w:rsidRPr="00FB5439">
              <w:t xml:space="preserve">51B </w:t>
            </w:r>
          </w:p>
        </w:tc>
        <w:tc>
          <w:tcPr>
            <w:tcW w:w="1931" w:type="pct"/>
            <w:shd w:val="clear" w:color="auto" w:fill="auto"/>
          </w:tcPr>
          <w:p w14:paraId="594773A1" w14:textId="77777777" w:rsidR="00E93F58" w:rsidRPr="00FB5439" w:rsidRDefault="00E93F58" w:rsidP="00D62A50">
            <w:pPr>
              <w:pStyle w:val="Tabletext"/>
            </w:pPr>
            <w:r w:rsidRPr="00FB5439">
              <w:t xml:space="preserve">Subsection 443B(3) </w:t>
            </w:r>
          </w:p>
        </w:tc>
        <w:tc>
          <w:tcPr>
            <w:tcW w:w="1545" w:type="pct"/>
            <w:shd w:val="clear" w:color="auto" w:fill="auto"/>
          </w:tcPr>
          <w:p w14:paraId="252BDCAE" w14:textId="77777777" w:rsidR="00E93F58" w:rsidRPr="00FB5439" w:rsidRDefault="00E93F58" w:rsidP="00070F64">
            <w:pPr>
              <w:pStyle w:val="Tabletext"/>
            </w:pPr>
            <w:r w:rsidRPr="00FB5439">
              <w:t xml:space="preserve">Notice of administrator’s intention not to exercise property rights </w:t>
            </w:r>
          </w:p>
        </w:tc>
        <w:tc>
          <w:tcPr>
            <w:tcW w:w="771" w:type="pct"/>
            <w:shd w:val="clear" w:color="auto" w:fill="auto"/>
          </w:tcPr>
          <w:p w14:paraId="1EBDB5FC" w14:textId="77777777" w:rsidR="00E93F58" w:rsidRPr="00FB5439" w:rsidRDefault="00E93F58" w:rsidP="00070F64">
            <w:pPr>
              <w:pStyle w:val="Tabletext"/>
            </w:pPr>
            <w:r w:rsidRPr="00FB5439">
              <w:t xml:space="preserve">509B </w:t>
            </w:r>
          </w:p>
        </w:tc>
      </w:tr>
      <w:tr w:rsidR="00E93F58" w:rsidRPr="00FB5439" w14:paraId="0DD5D26F" w14:textId="77777777" w:rsidTr="00B23434">
        <w:tc>
          <w:tcPr>
            <w:tcW w:w="753" w:type="pct"/>
            <w:shd w:val="clear" w:color="auto" w:fill="auto"/>
          </w:tcPr>
          <w:p w14:paraId="3B1BFC40" w14:textId="77777777" w:rsidR="00E93F58" w:rsidRPr="00FB5439" w:rsidRDefault="00E93F58" w:rsidP="00070F64">
            <w:pPr>
              <w:pStyle w:val="Tabletext"/>
            </w:pPr>
            <w:r w:rsidRPr="00FB5439">
              <w:t xml:space="preserve">51E </w:t>
            </w:r>
          </w:p>
        </w:tc>
        <w:tc>
          <w:tcPr>
            <w:tcW w:w="1931" w:type="pct"/>
            <w:shd w:val="clear" w:color="auto" w:fill="auto"/>
          </w:tcPr>
          <w:p w14:paraId="3BA90209" w14:textId="77777777" w:rsidR="00E93F58" w:rsidRPr="00FB5439" w:rsidRDefault="00E93F58" w:rsidP="00D62A50">
            <w:pPr>
              <w:pStyle w:val="Tabletext"/>
            </w:pPr>
            <w:r>
              <w:t>Paragraph 4</w:t>
            </w:r>
            <w:r w:rsidRPr="00FB5439">
              <w:t xml:space="preserve">50B(a) </w:t>
            </w:r>
          </w:p>
        </w:tc>
        <w:tc>
          <w:tcPr>
            <w:tcW w:w="1545" w:type="pct"/>
            <w:shd w:val="clear" w:color="auto" w:fill="auto"/>
          </w:tcPr>
          <w:p w14:paraId="5DBFE47E" w14:textId="77777777" w:rsidR="00E93F58" w:rsidRPr="00FB5439" w:rsidRDefault="00E93F58" w:rsidP="00070F64">
            <w:pPr>
              <w:pStyle w:val="Tabletext"/>
            </w:pPr>
            <w:r w:rsidRPr="00FB5439">
              <w:t xml:space="preserve">Notice to creditors of execution of a deed of company arrangement </w:t>
            </w:r>
          </w:p>
        </w:tc>
        <w:tc>
          <w:tcPr>
            <w:tcW w:w="771" w:type="pct"/>
            <w:shd w:val="clear" w:color="auto" w:fill="auto"/>
          </w:tcPr>
          <w:p w14:paraId="25AD8BB8" w14:textId="77777777" w:rsidR="00E93F58" w:rsidRPr="00FB5439" w:rsidRDefault="00E93F58" w:rsidP="00070F64">
            <w:pPr>
              <w:pStyle w:val="Tabletext"/>
            </w:pPr>
            <w:r w:rsidRPr="00FB5439">
              <w:t xml:space="preserve">509E </w:t>
            </w:r>
          </w:p>
        </w:tc>
      </w:tr>
      <w:tr w:rsidR="00E93F58" w:rsidRPr="00FB5439" w14:paraId="16CF968C" w14:textId="77777777" w:rsidTr="00B23434">
        <w:trPr>
          <w:cantSplit/>
        </w:trPr>
        <w:tc>
          <w:tcPr>
            <w:tcW w:w="753" w:type="pct"/>
            <w:shd w:val="clear" w:color="auto" w:fill="auto"/>
          </w:tcPr>
          <w:p w14:paraId="5EF6B5D4" w14:textId="77777777" w:rsidR="00E93F58" w:rsidRPr="00FB5439" w:rsidRDefault="00E93F58" w:rsidP="00070F64">
            <w:pPr>
              <w:pStyle w:val="Tabletext"/>
            </w:pPr>
            <w:r w:rsidRPr="00FB5439">
              <w:t xml:space="preserve">51H </w:t>
            </w:r>
          </w:p>
        </w:tc>
        <w:tc>
          <w:tcPr>
            <w:tcW w:w="1931" w:type="pct"/>
            <w:shd w:val="clear" w:color="auto" w:fill="auto"/>
          </w:tcPr>
          <w:p w14:paraId="39AA6720" w14:textId="77777777" w:rsidR="00E93F58" w:rsidRPr="00FB5439" w:rsidRDefault="00E93F58" w:rsidP="00D62A50">
            <w:pPr>
              <w:pStyle w:val="Tabletext"/>
            </w:pPr>
            <w:r>
              <w:t>Paragraph 4</w:t>
            </w:r>
            <w:r w:rsidRPr="00FB5439">
              <w:t xml:space="preserve">59E(2)(e) </w:t>
            </w:r>
          </w:p>
        </w:tc>
        <w:tc>
          <w:tcPr>
            <w:tcW w:w="1545" w:type="pct"/>
            <w:shd w:val="clear" w:color="auto" w:fill="auto"/>
          </w:tcPr>
          <w:p w14:paraId="5942F9AF" w14:textId="77777777" w:rsidR="00E93F58" w:rsidRPr="00FB5439" w:rsidRDefault="00E93F58" w:rsidP="00070F64">
            <w:pPr>
              <w:pStyle w:val="Tabletext"/>
            </w:pPr>
            <w:r w:rsidRPr="00FB5439">
              <w:t xml:space="preserve">Creditor’s statutory demand for payment of debt </w:t>
            </w:r>
          </w:p>
        </w:tc>
        <w:tc>
          <w:tcPr>
            <w:tcW w:w="771" w:type="pct"/>
            <w:shd w:val="clear" w:color="auto" w:fill="auto"/>
          </w:tcPr>
          <w:p w14:paraId="79719E37" w14:textId="77777777" w:rsidR="00E93F58" w:rsidRPr="00FB5439" w:rsidRDefault="00E93F58" w:rsidP="00070F64">
            <w:pPr>
              <w:pStyle w:val="Tabletext"/>
            </w:pPr>
            <w:r w:rsidRPr="00FB5439">
              <w:t xml:space="preserve">509H </w:t>
            </w:r>
          </w:p>
        </w:tc>
      </w:tr>
      <w:tr w:rsidR="00E93F58" w:rsidRPr="00FB5439" w14:paraId="0D08BEEB" w14:textId="77777777" w:rsidTr="00B23434">
        <w:tc>
          <w:tcPr>
            <w:tcW w:w="753" w:type="pct"/>
            <w:shd w:val="clear" w:color="auto" w:fill="auto"/>
          </w:tcPr>
          <w:p w14:paraId="34CF485C" w14:textId="77777777" w:rsidR="00E93F58" w:rsidRPr="00FB5439" w:rsidRDefault="00E93F58" w:rsidP="00070F64">
            <w:pPr>
              <w:pStyle w:val="Tabletext"/>
            </w:pPr>
            <w:r w:rsidRPr="00FB5439">
              <w:t xml:space="preserve">61 </w:t>
            </w:r>
          </w:p>
        </w:tc>
        <w:tc>
          <w:tcPr>
            <w:tcW w:w="1931" w:type="pct"/>
            <w:shd w:val="clear" w:color="auto" w:fill="auto"/>
          </w:tcPr>
          <w:p w14:paraId="0F17C08D" w14:textId="77777777" w:rsidR="00E93F58" w:rsidRPr="00FB5439" w:rsidRDefault="00E93F58" w:rsidP="00D62A50">
            <w:pPr>
              <w:pStyle w:val="Tabletext"/>
            </w:pPr>
            <w:r w:rsidRPr="00FB5439">
              <w:t xml:space="preserve">Subsections 494(1) &amp; (2) </w:t>
            </w:r>
          </w:p>
        </w:tc>
        <w:tc>
          <w:tcPr>
            <w:tcW w:w="1545" w:type="pct"/>
            <w:shd w:val="clear" w:color="auto" w:fill="auto"/>
          </w:tcPr>
          <w:p w14:paraId="1D428D82" w14:textId="77777777" w:rsidR="00E93F58" w:rsidRPr="00FB5439" w:rsidRDefault="00E93F58" w:rsidP="00070F64">
            <w:pPr>
              <w:pStyle w:val="Tabletext"/>
            </w:pPr>
            <w:r w:rsidRPr="00FB5439">
              <w:t xml:space="preserve">Declaration of solvency </w:t>
            </w:r>
          </w:p>
        </w:tc>
        <w:tc>
          <w:tcPr>
            <w:tcW w:w="771" w:type="pct"/>
            <w:shd w:val="clear" w:color="auto" w:fill="auto"/>
          </w:tcPr>
          <w:p w14:paraId="1D3B751E" w14:textId="77777777" w:rsidR="00E93F58" w:rsidRPr="00FB5439" w:rsidRDefault="00E93F58" w:rsidP="00070F64">
            <w:pPr>
              <w:pStyle w:val="Tabletext"/>
            </w:pPr>
            <w:r w:rsidRPr="00FB5439">
              <w:t xml:space="preserve">520 </w:t>
            </w:r>
          </w:p>
        </w:tc>
      </w:tr>
      <w:tr w:rsidR="00E93F58" w:rsidRPr="00FB5439" w14:paraId="2AE8C479" w14:textId="77777777" w:rsidTr="00B23434">
        <w:tc>
          <w:tcPr>
            <w:tcW w:w="753" w:type="pct"/>
            <w:shd w:val="clear" w:color="auto" w:fill="auto"/>
          </w:tcPr>
          <w:p w14:paraId="2390E7A2" w14:textId="77777777" w:rsidR="00E93F58" w:rsidRPr="00FB5439" w:rsidRDefault="00E93F58" w:rsidP="00070F64">
            <w:pPr>
              <w:pStyle w:val="Tabletext"/>
            </w:pPr>
            <w:r w:rsidRPr="00FB5439">
              <w:t xml:space="preserve">68 </w:t>
            </w:r>
          </w:p>
        </w:tc>
        <w:tc>
          <w:tcPr>
            <w:tcW w:w="1931" w:type="pct"/>
            <w:shd w:val="clear" w:color="auto" w:fill="auto"/>
          </w:tcPr>
          <w:p w14:paraId="0912F66A" w14:textId="77777777" w:rsidR="00E93F58" w:rsidRPr="00FB5439" w:rsidRDefault="00E93F58" w:rsidP="00D62A50">
            <w:pPr>
              <w:pStyle w:val="Tabletext"/>
            </w:pPr>
            <w:r>
              <w:t>Paragraph 5</w:t>
            </w:r>
            <w:r w:rsidRPr="00FB5439">
              <w:t xml:space="preserve">68(8)(a) </w:t>
            </w:r>
          </w:p>
        </w:tc>
        <w:tc>
          <w:tcPr>
            <w:tcW w:w="1545" w:type="pct"/>
            <w:shd w:val="clear" w:color="auto" w:fill="auto"/>
          </w:tcPr>
          <w:p w14:paraId="3783FBB4" w14:textId="77777777" w:rsidR="00E93F58" w:rsidRPr="00FB5439" w:rsidRDefault="00E93F58" w:rsidP="00070F64">
            <w:pPr>
              <w:pStyle w:val="Tabletext"/>
            </w:pPr>
            <w:r w:rsidRPr="00FB5439">
              <w:t xml:space="preserve">Application requiring liquidator to decide whether to disclaim property </w:t>
            </w:r>
          </w:p>
        </w:tc>
        <w:tc>
          <w:tcPr>
            <w:tcW w:w="771" w:type="pct"/>
            <w:shd w:val="clear" w:color="auto" w:fill="auto"/>
          </w:tcPr>
          <w:p w14:paraId="5D5BEEE6" w14:textId="77777777" w:rsidR="00E93F58" w:rsidRPr="00FB5439" w:rsidRDefault="00E93F58" w:rsidP="00070F64">
            <w:pPr>
              <w:pStyle w:val="Tabletext"/>
            </w:pPr>
            <w:r w:rsidRPr="00FB5439">
              <w:t xml:space="preserve">527 </w:t>
            </w:r>
          </w:p>
        </w:tc>
      </w:tr>
      <w:tr w:rsidR="00E93F58" w:rsidRPr="00FB5439" w14:paraId="2D5C8829" w14:textId="77777777" w:rsidTr="00B23434">
        <w:tc>
          <w:tcPr>
            <w:tcW w:w="753" w:type="pct"/>
            <w:tcBorders>
              <w:bottom w:val="single" w:sz="4" w:space="0" w:color="auto"/>
            </w:tcBorders>
            <w:shd w:val="clear" w:color="auto" w:fill="auto"/>
          </w:tcPr>
          <w:p w14:paraId="3EC62468" w14:textId="77777777" w:rsidR="00E93F58" w:rsidRPr="00FB5439" w:rsidRDefault="00E93F58" w:rsidP="00070F64">
            <w:pPr>
              <w:pStyle w:val="Tabletext"/>
            </w:pPr>
            <w:r w:rsidRPr="00FB5439">
              <w:t>69</w:t>
            </w:r>
          </w:p>
        </w:tc>
        <w:tc>
          <w:tcPr>
            <w:tcW w:w="1931" w:type="pct"/>
            <w:tcBorders>
              <w:bottom w:val="single" w:sz="4" w:space="0" w:color="auto"/>
            </w:tcBorders>
            <w:shd w:val="clear" w:color="auto" w:fill="auto"/>
          </w:tcPr>
          <w:p w14:paraId="526F8A70" w14:textId="77777777" w:rsidR="00E93F58" w:rsidRPr="00FB5439" w:rsidRDefault="00E93F58" w:rsidP="00D62A50">
            <w:pPr>
              <w:pStyle w:val="Tabletext"/>
            </w:pPr>
            <w:r w:rsidRPr="00FB5439">
              <w:t>Subsection 601AA(2)</w:t>
            </w:r>
          </w:p>
        </w:tc>
        <w:tc>
          <w:tcPr>
            <w:tcW w:w="1545" w:type="pct"/>
            <w:tcBorders>
              <w:bottom w:val="single" w:sz="4" w:space="0" w:color="auto"/>
            </w:tcBorders>
            <w:shd w:val="clear" w:color="auto" w:fill="auto"/>
          </w:tcPr>
          <w:p w14:paraId="1C1ED0AB" w14:textId="77777777" w:rsidR="00E93F58" w:rsidRPr="00FB5439" w:rsidRDefault="00E93F58" w:rsidP="00070F64">
            <w:pPr>
              <w:pStyle w:val="Tabletext"/>
            </w:pPr>
            <w:r w:rsidRPr="00FB5439">
              <w:t>De</w:t>
            </w:r>
            <w:r>
              <w:noBreakHyphen/>
            </w:r>
            <w:r w:rsidRPr="00FB5439">
              <w:t>registration—voluntary</w:t>
            </w:r>
          </w:p>
        </w:tc>
        <w:tc>
          <w:tcPr>
            <w:tcW w:w="771" w:type="pct"/>
            <w:tcBorders>
              <w:bottom w:val="single" w:sz="4" w:space="0" w:color="auto"/>
            </w:tcBorders>
            <w:shd w:val="clear" w:color="auto" w:fill="auto"/>
          </w:tcPr>
          <w:p w14:paraId="6537EBC3" w14:textId="77777777" w:rsidR="00E93F58" w:rsidRPr="00FB5439" w:rsidRDefault="00E93F58" w:rsidP="00070F64">
            <w:pPr>
              <w:pStyle w:val="Tabletext"/>
            </w:pPr>
            <w:r w:rsidRPr="00FB5439">
              <w:t>6010</w:t>
            </w:r>
          </w:p>
        </w:tc>
      </w:tr>
      <w:tr w:rsidR="00E93F58" w:rsidRPr="00FB5439" w14:paraId="09876307" w14:textId="77777777" w:rsidTr="00B23434">
        <w:trPr>
          <w:cantSplit/>
        </w:trPr>
        <w:tc>
          <w:tcPr>
            <w:tcW w:w="753" w:type="pct"/>
            <w:shd w:val="clear" w:color="auto" w:fill="auto"/>
          </w:tcPr>
          <w:p w14:paraId="51E04B16" w14:textId="77777777" w:rsidR="00E93F58" w:rsidRPr="00FB5439" w:rsidRDefault="00E93F58" w:rsidP="00070F64">
            <w:pPr>
              <w:pStyle w:val="Tabletext"/>
            </w:pPr>
            <w:r w:rsidRPr="00FB5439">
              <w:lastRenderedPageBreak/>
              <w:t xml:space="preserve">75 </w:t>
            </w:r>
          </w:p>
        </w:tc>
        <w:tc>
          <w:tcPr>
            <w:tcW w:w="1931" w:type="pct"/>
            <w:shd w:val="clear" w:color="auto" w:fill="auto"/>
          </w:tcPr>
          <w:p w14:paraId="24AD5BB1" w14:textId="77777777" w:rsidR="00E93F58" w:rsidRPr="00FB5439" w:rsidRDefault="00E93F58" w:rsidP="00D62A50">
            <w:pPr>
              <w:pStyle w:val="Tabletext"/>
            </w:pPr>
            <w:r w:rsidRPr="00FB5439">
              <w:t xml:space="preserve">Subregulation 5.6.39(3) </w:t>
            </w:r>
          </w:p>
        </w:tc>
        <w:tc>
          <w:tcPr>
            <w:tcW w:w="1545" w:type="pct"/>
            <w:shd w:val="clear" w:color="auto" w:fill="auto"/>
          </w:tcPr>
          <w:p w14:paraId="29A360D5" w14:textId="77777777" w:rsidR="00E93F58" w:rsidRPr="00FB5439" w:rsidRDefault="00E93F58" w:rsidP="00070F64">
            <w:pPr>
              <w:pStyle w:val="Tabletext"/>
            </w:pPr>
            <w:r w:rsidRPr="00FB5439">
              <w:t xml:space="preserve">Notice to submit particulars of debt or claim </w:t>
            </w:r>
          </w:p>
        </w:tc>
        <w:tc>
          <w:tcPr>
            <w:tcW w:w="771" w:type="pct"/>
            <w:shd w:val="clear" w:color="auto" w:fill="auto"/>
          </w:tcPr>
          <w:p w14:paraId="7BC68273" w14:textId="77777777" w:rsidR="00E93F58" w:rsidRPr="00FB5439" w:rsidRDefault="00E93F58" w:rsidP="00070F64">
            <w:pPr>
              <w:pStyle w:val="Tabletext"/>
            </w:pPr>
            <w:r w:rsidRPr="00FB5439">
              <w:t xml:space="preserve">533 </w:t>
            </w:r>
          </w:p>
        </w:tc>
      </w:tr>
      <w:tr w:rsidR="00E93F58" w:rsidRPr="00FB5439" w14:paraId="163411C9" w14:textId="77777777" w:rsidTr="00B23434">
        <w:tc>
          <w:tcPr>
            <w:tcW w:w="753" w:type="pct"/>
            <w:shd w:val="clear" w:color="auto" w:fill="auto"/>
          </w:tcPr>
          <w:p w14:paraId="29EEB0BA" w14:textId="77777777" w:rsidR="00E93F58" w:rsidRPr="00FB5439" w:rsidRDefault="00E93F58" w:rsidP="00070F64">
            <w:pPr>
              <w:pStyle w:val="Tabletext"/>
            </w:pPr>
            <w:r w:rsidRPr="00FB5439">
              <w:t xml:space="preserve">76 </w:t>
            </w:r>
          </w:p>
        </w:tc>
        <w:tc>
          <w:tcPr>
            <w:tcW w:w="1931" w:type="pct"/>
            <w:shd w:val="clear" w:color="auto" w:fill="auto"/>
          </w:tcPr>
          <w:p w14:paraId="44FE975A" w14:textId="77777777" w:rsidR="00E93F58" w:rsidRPr="00FB5439" w:rsidRDefault="00E93F58" w:rsidP="00D62A50">
            <w:pPr>
              <w:pStyle w:val="Tabletext"/>
            </w:pPr>
            <w:r w:rsidRPr="00FB5439">
              <w:t xml:space="preserve">Subregulation 5.6.48(3) </w:t>
            </w:r>
          </w:p>
        </w:tc>
        <w:tc>
          <w:tcPr>
            <w:tcW w:w="1545" w:type="pct"/>
            <w:shd w:val="clear" w:color="auto" w:fill="auto"/>
          </w:tcPr>
          <w:p w14:paraId="760131FB" w14:textId="77777777" w:rsidR="00E93F58" w:rsidRPr="00FB5439" w:rsidRDefault="00E93F58" w:rsidP="00070F64">
            <w:pPr>
              <w:pStyle w:val="Tabletext"/>
            </w:pPr>
            <w:r w:rsidRPr="00FB5439">
              <w:t xml:space="preserve">Notice inviting formal proof of debt or claim </w:t>
            </w:r>
          </w:p>
        </w:tc>
        <w:tc>
          <w:tcPr>
            <w:tcW w:w="771" w:type="pct"/>
            <w:shd w:val="clear" w:color="auto" w:fill="auto"/>
          </w:tcPr>
          <w:p w14:paraId="26E765AB" w14:textId="77777777" w:rsidR="00E93F58" w:rsidRPr="00FB5439" w:rsidRDefault="00E93F58" w:rsidP="00070F64">
            <w:pPr>
              <w:pStyle w:val="Tabletext"/>
            </w:pPr>
            <w:r w:rsidRPr="00FB5439">
              <w:t xml:space="preserve">534 </w:t>
            </w:r>
          </w:p>
        </w:tc>
      </w:tr>
      <w:tr w:rsidR="00E93F58" w:rsidRPr="00FB5439" w14:paraId="5E30922E" w14:textId="77777777" w:rsidTr="00B23434">
        <w:tc>
          <w:tcPr>
            <w:tcW w:w="753" w:type="pct"/>
            <w:shd w:val="clear" w:color="auto" w:fill="auto"/>
          </w:tcPr>
          <w:p w14:paraId="669B1C7E" w14:textId="77777777" w:rsidR="00E93F58" w:rsidRPr="00FB5439" w:rsidRDefault="00E93F58" w:rsidP="00070F64">
            <w:pPr>
              <w:pStyle w:val="Tabletext"/>
            </w:pPr>
            <w:r w:rsidRPr="00FB5439">
              <w:t xml:space="preserve">77 </w:t>
            </w:r>
          </w:p>
        </w:tc>
        <w:tc>
          <w:tcPr>
            <w:tcW w:w="1931" w:type="pct"/>
            <w:shd w:val="clear" w:color="auto" w:fill="auto"/>
          </w:tcPr>
          <w:p w14:paraId="67A0EAC2" w14:textId="77777777" w:rsidR="00E93F58" w:rsidRPr="00FB5439" w:rsidRDefault="00E93F58" w:rsidP="00D62A50">
            <w:pPr>
              <w:pStyle w:val="Tabletext"/>
            </w:pPr>
            <w:r w:rsidRPr="00FB5439">
              <w:t xml:space="preserve">Subregulation 5.6.49(2) </w:t>
            </w:r>
          </w:p>
        </w:tc>
        <w:tc>
          <w:tcPr>
            <w:tcW w:w="1545" w:type="pct"/>
            <w:shd w:val="clear" w:color="auto" w:fill="auto"/>
          </w:tcPr>
          <w:p w14:paraId="235AFE47" w14:textId="77777777" w:rsidR="00E93F58" w:rsidRPr="00FB5439" w:rsidRDefault="00E93F58" w:rsidP="00070F64">
            <w:pPr>
              <w:pStyle w:val="Tabletext"/>
            </w:pPr>
            <w:r w:rsidRPr="00FB5439">
              <w:t xml:space="preserve">Formal proof of debt or claim (General form) </w:t>
            </w:r>
          </w:p>
        </w:tc>
        <w:tc>
          <w:tcPr>
            <w:tcW w:w="771" w:type="pct"/>
            <w:shd w:val="clear" w:color="auto" w:fill="auto"/>
          </w:tcPr>
          <w:p w14:paraId="74D9AF8C" w14:textId="77777777" w:rsidR="00E93F58" w:rsidRPr="00FB5439" w:rsidRDefault="00E93F58" w:rsidP="00070F64">
            <w:pPr>
              <w:pStyle w:val="Tabletext"/>
            </w:pPr>
            <w:r w:rsidRPr="00FB5439">
              <w:t xml:space="preserve">535 </w:t>
            </w:r>
          </w:p>
        </w:tc>
      </w:tr>
      <w:tr w:rsidR="00E93F58" w:rsidRPr="00FB5439" w14:paraId="72BD4868" w14:textId="77777777" w:rsidTr="00B23434">
        <w:tc>
          <w:tcPr>
            <w:tcW w:w="753" w:type="pct"/>
            <w:shd w:val="clear" w:color="auto" w:fill="auto"/>
          </w:tcPr>
          <w:p w14:paraId="0864E686" w14:textId="77777777" w:rsidR="00E93F58" w:rsidRPr="00FB5439" w:rsidRDefault="00E93F58" w:rsidP="00070F64">
            <w:pPr>
              <w:pStyle w:val="Tabletext"/>
            </w:pPr>
            <w:r w:rsidRPr="00FB5439">
              <w:t xml:space="preserve">78 </w:t>
            </w:r>
          </w:p>
        </w:tc>
        <w:tc>
          <w:tcPr>
            <w:tcW w:w="1931" w:type="pct"/>
            <w:shd w:val="clear" w:color="auto" w:fill="auto"/>
          </w:tcPr>
          <w:p w14:paraId="21EC672B" w14:textId="77777777" w:rsidR="00E93F58" w:rsidRPr="00FB5439" w:rsidRDefault="00E93F58" w:rsidP="00D62A50">
            <w:pPr>
              <w:pStyle w:val="Tabletext"/>
            </w:pPr>
            <w:r w:rsidRPr="00FB5439">
              <w:t xml:space="preserve">Subregulation 5.6.49(2) </w:t>
            </w:r>
          </w:p>
        </w:tc>
        <w:tc>
          <w:tcPr>
            <w:tcW w:w="1545" w:type="pct"/>
            <w:shd w:val="clear" w:color="auto" w:fill="auto"/>
          </w:tcPr>
          <w:p w14:paraId="053E90DA" w14:textId="77777777" w:rsidR="00E93F58" w:rsidRPr="00FB5439" w:rsidRDefault="00E93F58" w:rsidP="00070F64">
            <w:pPr>
              <w:pStyle w:val="Tabletext"/>
            </w:pPr>
            <w:r w:rsidRPr="00FB5439">
              <w:t xml:space="preserve">Formal proof of debt or claim on behalf of employees </w:t>
            </w:r>
          </w:p>
        </w:tc>
        <w:tc>
          <w:tcPr>
            <w:tcW w:w="771" w:type="pct"/>
            <w:shd w:val="clear" w:color="auto" w:fill="auto"/>
          </w:tcPr>
          <w:p w14:paraId="4C479F76" w14:textId="77777777" w:rsidR="00E93F58" w:rsidRPr="00FB5439" w:rsidRDefault="00E93F58" w:rsidP="00070F64">
            <w:pPr>
              <w:pStyle w:val="Tabletext"/>
            </w:pPr>
            <w:r w:rsidRPr="00FB5439">
              <w:t xml:space="preserve">536 </w:t>
            </w:r>
          </w:p>
        </w:tc>
      </w:tr>
      <w:tr w:rsidR="00E93F58" w:rsidRPr="00FB5439" w14:paraId="193F1819" w14:textId="77777777" w:rsidTr="00B23434">
        <w:tc>
          <w:tcPr>
            <w:tcW w:w="753" w:type="pct"/>
            <w:tcBorders>
              <w:bottom w:val="single" w:sz="4" w:space="0" w:color="auto"/>
            </w:tcBorders>
            <w:shd w:val="clear" w:color="auto" w:fill="auto"/>
          </w:tcPr>
          <w:p w14:paraId="628FB61D" w14:textId="77777777" w:rsidR="00E93F58" w:rsidRPr="00FB5439" w:rsidRDefault="00E93F58" w:rsidP="00070F64">
            <w:pPr>
              <w:pStyle w:val="Tabletext"/>
            </w:pPr>
            <w:r w:rsidRPr="00FB5439">
              <w:t xml:space="preserve">79 </w:t>
            </w:r>
          </w:p>
        </w:tc>
        <w:tc>
          <w:tcPr>
            <w:tcW w:w="1931" w:type="pct"/>
            <w:tcBorders>
              <w:bottom w:val="single" w:sz="4" w:space="0" w:color="auto"/>
            </w:tcBorders>
            <w:shd w:val="clear" w:color="auto" w:fill="auto"/>
          </w:tcPr>
          <w:p w14:paraId="3E4A6BF3" w14:textId="77777777" w:rsidR="00E93F58" w:rsidRPr="00FB5439" w:rsidRDefault="00E93F58" w:rsidP="00D62A50">
            <w:pPr>
              <w:pStyle w:val="Tabletext"/>
            </w:pPr>
            <w:r w:rsidRPr="00FB5439">
              <w:t xml:space="preserve">Subregulation 5.6.54(1) </w:t>
            </w:r>
          </w:p>
        </w:tc>
        <w:tc>
          <w:tcPr>
            <w:tcW w:w="1545" w:type="pct"/>
            <w:tcBorders>
              <w:bottom w:val="single" w:sz="4" w:space="0" w:color="auto"/>
            </w:tcBorders>
            <w:shd w:val="clear" w:color="auto" w:fill="auto"/>
          </w:tcPr>
          <w:p w14:paraId="481C14F4" w14:textId="77777777" w:rsidR="00E93F58" w:rsidRPr="00FB5439" w:rsidRDefault="00E93F58" w:rsidP="00070F64">
            <w:pPr>
              <w:pStyle w:val="Tabletext"/>
            </w:pPr>
            <w:r w:rsidRPr="00FB5439">
              <w:t xml:space="preserve">Notice of rejection of formal proof of debt or claim </w:t>
            </w:r>
          </w:p>
        </w:tc>
        <w:tc>
          <w:tcPr>
            <w:tcW w:w="771" w:type="pct"/>
            <w:tcBorders>
              <w:bottom w:val="single" w:sz="4" w:space="0" w:color="auto"/>
            </w:tcBorders>
            <w:shd w:val="clear" w:color="auto" w:fill="auto"/>
          </w:tcPr>
          <w:p w14:paraId="785CC002" w14:textId="77777777" w:rsidR="00E93F58" w:rsidRPr="00FB5439" w:rsidRDefault="00E93F58" w:rsidP="00070F64">
            <w:pPr>
              <w:pStyle w:val="Tabletext"/>
            </w:pPr>
            <w:r w:rsidRPr="00FB5439">
              <w:t xml:space="preserve">537 </w:t>
            </w:r>
          </w:p>
        </w:tc>
      </w:tr>
      <w:tr w:rsidR="00E93F58" w:rsidRPr="00FB5439" w14:paraId="6582A666" w14:textId="77777777" w:rsidTr="00B23434">
        <w:trPr>
          <w:cantSplit/>
        </w:trPr>
        <w:tc>
          <w:tcPr>
            <w:tcW w:w="753" w:type="pct"/>
            <w:tcBorders>
              <w:bottom w:val="single" w:sz="4" w:space="0" w:color="auto"/>
            </w:tcBorders>
            <w:shd w:val="clear" w:color="auto" w:fill="auto"/>
          </w:tcPr>
          <w:p w14:paraId="248C24DD" w14:textId="77777777" w:rsidR="00E93F58" w:rsidRPr="00FB5439" w:rsidRDefault="00E93F58" w:rsidP="00070F64">
            <w:pPr>
              <w:pStyle w:val="Tabletext"/>
            </w:pPr>
            <w:r w:rsidRPr="00FB5439">
              <w:t xml:space="preserve">80 </w:t>
            </w:r>
          </w:p>
        </w:tc>
        <w:tc>
          <w:tcPr>
            <w:tcW w:w="1931" w:type="pct"/>
            <w:tcBorders>
              <w:bottom w:val="single" w:sz="4" w:space="0" w:color="auto"/>
            </w:tcBorders>
            <w:shd w:val="clear" w:color="auto" w:fill="auto"/>
          </w:tcPr>
          <w:p w14:paraId="2F6F0B73" w14:textId="77777777" w:rsidR="00E93F58" w:rsidRPr="00FB5439" w:rsidRDefault="00E93F58" w:rsidP="00070F64">
            <w:pPr>
              <w:pStyle w:val="Tabletext"/>
            </w:pPr>
            <w:r w:rsidRPr="00FB5439">
              <w:t xml:space="preserve">Regulation 5.6.58 </w:t>
            </w:r>
          </w:p>
        </w:tc>
        <w:tc>
          <w:tcPr>
            <w:tcW w:w="1545" w:type="pct"/>
            <w:tcBorders>
              <w:bottom w:val="single" w:sz="4" w:space="0" w:color="auto"/>
            </w:tcBorders>
            <w:shd w:val="clear" w:color="auto" w:fill="auto"/>
          </w:tcPr>
          <w:p w14:paraId="52171A76" w14:textId="77777777" w:rsidR="00E93F58" w:rsidRPr="00FB5439" w:rsidRDefault="00E93F58" w:rsidP="00070F64">
            <w:pPr>
              <w:pStyle w:val="Tabletext"/>
            </w:pPr>
            <w:r w:rsidRPr="00FB5439">
              <w:t xml:space="preserve">Provisional list of contributories </w:t>
            </w:r>
          </w:p>
        </w:tc>
        <w:tc>
          <w:tcPr>
            <w:tcW w:w="771" w:type="pct"/>
            <w:tcBorders>
              <w:bottom w:val="single" w:sz="4" w:space="0" w:color="auto"/>
            </w:tcBorders>
            <w:shd w:val="clear" w:color="auto" w:fill="auto"/>
          </w:tcPr>
          <w:p w14:paraId="5B5EF8FB" w14:textId="77777777" w:rsidR="00E93F58" w:rsidRPr="00FB5439" w:rsidRDefault="00E93F58" w:rsidP="00070F64">
            <w:pPr>
              <w:pStyle w:val="Tabletext"/>
            </w:pPr>
            <w:r w:rsidRPr="00FB5439">
              <w:t xml:space="preserve">538 </w:t>
            </w:r>
          </w:p>
        </w:tc>
      </w:tr>
      <w:tr w:rsidR="00E93F58" w:rsidRPr="00FB5439" w14:paraId="30F8505F" w14:textId="77777777" w:rsidTr="00B23434">
        <w:trPr>
          <w:cantSplit/>
        </w:trPr>
        <w:tc>
          <w:tcPr>
            <w:tcW w:w="753" w:type="pct"/>
            <w:tcBorders>
              <w:top w:val="single" w:sz="4" w:space="0" w:color="auto"/>
            </w:tcBorders>
            <w:shd w:val="clear" w:color="auto" w:fill="auto"/>
          </w:tcPr>
          <w:p w14:paraId="60368280" w14:textId="77777777" w:rsidR="00E93F58" w:rsidRPr="00FB5439" w:rsidRDefault="00E93F58" w:rsidP="00070F64">
            <w:pPr>
              <w:pStyle w:val="Tabletext"/>
            </w:pPr>
            <w:r w:rsidRPr="00FB5439">
              <w:t xml:space="preserve">81 </w:t>
            </w:r>
          </w:p>
        </w:tc>
        <w:tc>
          <w:tcPr>
            <w:tcW w:w="1931" w:type="pct"/>
            <w:tcBorders>
              <w:top w:val="single" w:sz="4" w:space="0" w:color="auto"/>
            </w:tcBorders>
            <w:shd w:val="clear" w:color="auto" w:fill="auto"/>
          </w:tcPr>
          <w:p w14:paraId="26395479" w14:textId="77777777" w:rsidR="00E93F58" w:rsidRPr="00FB5439" w:rsidRDefault="00E93F58" w:rsidP="00D62A50">
            <w:pPr>
              <w:pStyle w:val="Tabletext"/>
            </w:pPr>
            <w:r w:rsidRPr="00FB5439">
              <w:t xml:space="preserve">Subregulation 5.6.59(1) </w:t>
            </w:r>
          </w:p>
        </w:tc>
        <w:tc>
          <w:tcPr>
            <w:tcW w:w="1545" w:type="pct"/>
            <w:tcBorders>
              <w:top w:val="single" w:sz="4" w:space="0" w:color="auto"/>
            </w:tcBorders>
            <w:shd w:val="clear" w:color="auto" w:fill="auto"/>
          </w:tcPr>
          <w:p w14:paraId="006A75FC" w14:textId="77777777" w:rsidR="00E93F58" w:rsidRPr="00FB5439" w:rsidRDefault="00E93F58" w:rsidP="00070F64">
            <w:pPr>
              <w:pStyle w:val="Tabletext"/>
            </w:pPr>
            <w:r w:rsidRPr="00FB5439">
              <w:t xml:space="preserve">Notice to contributories of appointment to settle list of contributories </w:t>
            </w:r>
          </w:p>
        </w:tc>
        <w:tc>
          <w:tcPr>
            <w:tcW w:w="771" w:type="pct"/>
            <w:tcBorders>
              <w:top w:val="single" w:sz="4" w:space="0" w:color="auto"/>
            </w:tcBorders>
            <w:shd w:val="clear" w:color="auto" w:fill="auto"/>
          </w:tcPr>
          <w:p w14:paraId="0F3CF7BA" w14:textId="77777777" w:rsidR="00E93F58" w:rsidRPr="00FB5439" w:rsidRDefault="00E93F58" w:rsidP="00070F64">
            <w:pPr>
              <w:pStyle w:val="Tabletext"/>
            </w:pPr>
            <w:r w:rsidRPr="00FB5439">
              <w:t xml:space="preserve">539 </w:t>
            </w:r>
          </w:p>
        </w:tc>
      </w:tr>
      <w:tr w:rsidR="00E93F58" w:rsidRPr="00FB5439" w14:paraId="2B650E69" w14:textId="77777777" w:rsidTr="00B23434">
        <w:tc>
          <w:tcPr>
            <w:tcW w:w="753" w:type="pct"/>
            <w:shd w:val="clear" w:color="auto" w:fill="auto"/>
          </w:tcPr>
          <w:p w14:paraId="41301B86" w14:textId="77777777" w:rsidR="00E93F58" w:rsidRPr="00FB5439" w:rsidRDefault="00E93F58" w:rsidP="00070F64">
            <w:pPr>
              <w:pStyle w:val="Tabletext"/>
            </w:pPr>
            <w:r w:rsidRPr="00FB5439">
              <w:t xml:space="preserve">83 </w:t>
            </w:r>
          </w:p>
        </w:tc>
        <w:tc>
          <w:tcPr>
            <w:tcW w:w="1931" w:type="pct"/>
            <w:shd w:val="clear" w:color="auto" w:fill="auto"/>
          </w:tcPr>
          <w:p w14:paraId="6D9CBF0D" w14:textId="77777777" w:rsidR="00E93F58" w:rsidRPr="00FB5439" w:rsidRDefault="00E93F58" w:rsidP="00D62A50">
            <w:pPr>
              <w:pStyle w:val="Tabletext"/>
            </w:pPr>
            <w:r w:rsidRPr="00FB5439">
              <w:t xml:space="preserve">Subregulation 5.6.60(2) </w:t>
            </w:r>
          </w:p>
        </w:tc>
        <w:tc>
          <w:tcPr>
            <w:tcW w:w="1545" w:type="pct"/>
            <w:shd w:val="clear" w:color="auto" w:fill="auto"/>
          </w:tcPr>
          <w:p w14:paraId="315A564D" w14:textId="77777777" w:rsidR="00E93F58" w:rsidRPr="00FB5439" w:rsidRDefault="00E93F58" w:rsidP="00070F64">
            <w:pPr>
              <w:pStyle w:val="Tabletext"/>
            </w:pPr>
            <w:r w:rsidRPr="00FB5439">
              <w:t xml:space="preserve">Certificate of liquidator of final settlement of list of contributories </w:t>
            </w:r>
          </w:p>
        </w:tc>
        <w:tc>
          <w:tcPr>
            <w:tcW w:w="771" w:type="pct"/>
            <w:shd w:val="clear" w:color="auto" w:fill="auto"/>
          </w:tcPr>
          <w:p w14:paraId="71AD961F" w14:textId="77777777" w:rsidR="00E93F58" w:rsidRPr="00FB5439" w:rsidRDefault="00E93F58" w:rsidP="00070F64">
            <w:pPr>
              <w:pStyle w:val="Tabletext"/>
            </w:pPr>
            <w:r w:rsidRPr="00FB5439">
              <w:t xml:space="preserve">541 </w:t>
            </w:r>
          </w:p>
        </w:tc>
      </w:tr>
      <w:tr w:rsidR="00E93F58" w:rsidRPr="00FB5439" w14:paraId="36ED6C34" w14:textId="77777777" w:rsidTr="00B23434">
        <w:tc>
          <w:tcPr>
            <w:tcW w:w="753" w:type="pct"/>
            <w:shd w:val="clear" w:color="auto" w:fill="auto"/>
          </w:tcPr>
          <w:p w14:paraId="5EE6A264" w14:textId="77777777" w:rsidR="00E93F58" w:rsidRPr="00FB5439" w:rsidRDefault="00E93F58" w:rsidP="00070F64">
            <w:pPr>
              <w:pStyle w:val="Tabletext"/>
            </w:pPr>
            <w:r w:rsidRPr="00FB5439">
              <w:t xml:space="preserve">84 </w:t>
            </w:r>
          </w:p>
        </w:tc>
        <w:tc>
          <w:tcPr>
            <w:tcW w:w="1931" w:type="pct"/>
            <w:shd w:val="clear" w:color="auto" w:fill="auto"/>
          </w:tcPr>
          <w:p w14:paraId="50F0C4C6" w14:textId="77777777" w:rsidR="00E93F58" w:rsidRPr="00FB5439" w:rsidRDefault="00E93F58" w:rsidP="00D62A50">
            <w:pPr>
              <w:pStyle w:val="Tabletext"/>
            </w:pPr>
            <w:r w:rsidRPr="00FB5439">
              <w:t xml:space="preserve">Subregulation 5.6.61(1) </w:t>
            </w:r>
          </w:p>
        </w:tc>
        <w:tc>
          <w:tcPr>
            <w:tcW w:w="1545" w:type="pct"/>
            <w:shd w:val="clear" w:color="auto" w:fill="auto"/>
          </w:tcPr>
          <w:p w14:paraId="3FB9AFBB" w14:textId="77777777" w:rsidR="00E93F58" w:rsidRPr="00FB5439" w:rsidRDefault="00E93F58" w:rsidP="00070F64">
            <w:pPr>
              <w:pStyle w:val="Tabletext"/>
            </w:pPr>
            <w:r w:rsidRPr="00FB5439">
              <w:t xml:space="preserve">Provisional supplementary list of contributories </w:t>
            </w:r>
          </w:p>
        </w:tc>
        <w:tc>
          <w:tcPr>
            <w:tcW w:w="771" w:type="pct"/>
            <w:shd w:val="clear" w:color="auto" w:fill="auto"/>
          </w:tcPr>
          <w:p w14:paraId="51975D91" w14:textId="77777777" w:rsidR="00E93F58" w:rsidRPr="00FB5439" w:rsidRDefault="00E93F58" w:rsidP="00070F64">
            <w:pPr>
              <w:pStyle w:val="Tabletext"/>
            </w:pPr>
            <w:r w:rsidRPr="00FB5439">
              <w:t xml:space="preserve">542 </w:t>
            </w:r>
          </w:p>
        </w:tc>
      </w:tr>
      <w:tr w:rsidR="00E93F58" w:rsidRPr="00FB5439" w14:paraId="09CBB1E0" w14:textId="77777777" w:rsidTr="00695A63">
        <w:trPr>
          <w:cantSplit/>
        </w:trPr>
        <w:tc>
          <w:tcPr>
            <w:tcW w:w="753" w:type="pct"/>
            <w:shd w:val="clear" w:color="auto" w:fill="auto"/>
          </w:tcPr>
          <w:p w14:paraId="4D5CC947" w14:textId="77777777" w:rsidR="00E93F58" w:rsidRPr="00FB5439" w:rsidRDefault="00E93F58" w:rsidP="00070F64">
            <w:pPr>
              <w:pStyle w:val="Tabletext"/>
            </w:pPr>
            <w:r w:rsidRPr="00FB5439">
              <w:t xml:space="preserve">85 </w:t>
            </w:r>
          </w:p>
        </w:tc>
        <w:tc>
          <w:tcPr>
            <w:tcW w:w="1931" w:type="pct"/>
            <w:shd w:val="clear" w:color="auto" w:fill="auto"/>
          </w:tcPr>
          <w:p w14:paraId="7BA28015" w14:textId="77777777" w:rsidR="00E93F58" w:rsidRPr="00FB5439" w:rsidRDefault="00E93F58" w:rsidP="00D62A50">
            <w:pPr>
              <w:pStyle w:val="Tabletext"/>
            </w:pPr>
            <w:r w:rsidRPr="00FB5439">
              <w:t xml:space="preserve">Subregulation 5.6.61(1) </w:t>
            </w:r>
          </w:p>
        </w:tc>
        <w:tc>
          <w:tcPr>
            <w:tcW w:w="1545" w:type="pct"/>
            <w:shd w:val="clear" w:color="auto" w:fill="auto"/>
          </w:tcPr>
          <w:p w14:paraId="241896EC" w14:textId="77777777" w:rsidR="00E93F58" w:rsidRPr="00FB5439" w:rsidRDefault="00E93F58" w:rsidP="002046DA">
            <w:pPr>
              <w:pStyle w:val="Tabletext"/>
            </w:pPr>
            <w:r w:rsidRPr="00FB5439">
              <w:t>Certificate of liquidator of settlement of supplementary list of contributories</w:t>
            </w:r>
          </w:p>
        </w:tc>
        <w:tc>
          <w:tcPr>
            <w:tcW w:w="771" w:type="pct"/>
            <w:shd w:val="clear" w:color="auto" w:fill="auto"/>
          </w:tcPr>
          <w:p w14:paraId="5E62A7C9" w14:textId="77777777" w:rsidR="00E93F58" w:rsidRPr="00FB5439" w:rsidRDefault="00E93F58" w:rsidP="00070F64">
            <w:pPr>
              <w:pStyle w:val="Tabletext"/>
            </w:pPr>
            <w:r w:rsidRPr="00FB5439">
              <w:t xml:space="preserve">543 </w:t>
            </w:r>
          </w:p>
        </w:tc>
      </w:tr>
      <w:tr w:rsidR="00E93F58" w:rsidRPr="00FB5439" w14:paraId="1975F70E" w14:textId="77777777" w:rsidTr="00B23434">
        <w:tc>
          <w:tcPr>
            <w:tcW w:w="753" w:type="pct"/>
            <w:shd w:val="clear" w:color="auto" w:fill="auto"/>
          </w:tcPr>
          <w:p w14:paraId="66738868" w14:textId="77777777" w:rsidR="00E93F58" w:rsidRPr="00FB5439" w:rsidRDefault="00E93F58" w:rsidP="00070F64">
            <w:pPr>
              <w:pStyle w:val="Tabletext"/>
            </w:pPr>
            <w:r w:rsidRPr="00FB5439">
              <w:t xml:space="preserve">86 </w:t>
            </w:r>
          </w:p>
        </w:tc>
        <w:tc>
          <w:tcPr>
            <w:tcW w:w="1931" w:type="pct"/>
            <w:shd w:val="clear" w:color="auto" w:fill="auto"/>
          </w:tcPr>
          <w:p w14:paraId="7944FA29" w14:textId="77777777" w:rsidR="00E93F58" w:rsidRPr="00FB5439" w:rsidRDefault="00E93F58" w:rsidP="00D62A50">
            <w:pPr>
              <w:pStyle w:val="Tabletext"/>
            </w:pPr>
            <w:r w:rsidRPr="00FB5439">
              <w:t xml:space="preserve">Subregulation 5.6.62(4) </w:t>
            </w:r>
          </w:p>
        </w:tc>
        <w:tc>
          <w:tcPr>
            <w:tcW w:w="1545" w:type="pct"/>
            <w:shd w:val="clear" w:color="auto" w:fill="auto"/>
          </w:tcPr>
          <w:p w14:paraId="663DE4D0" w14:textId="77777777" w:rsidR="00E93F58" w:rsidRPr="00FB5439" w:rsidRDefault="00E93F58" w:rsidP="00070F64">
            <w:pPr>
              <w:pStyle w:val="Tabletext"/>
            </w:pPr>
            <w:r w:rsidRPr="00FB5439">
              <w:t xml:space="preserve">Notice to contributory of final settlement of list or supplementary list of contributories and of inclusion in list </w:t>
            </w:r>
          </w:p>
        </w:tc>
        <w:tc>
          <w:tcPr>
            <w:tcW w:w="771" w:type="pct"/>
            <w:shd w:val="clear" w:color="auto" w:fill="auto"/>
          </w:tcPr>
          <w:p w14:paraId="6F7FEB62" w14:textId="77777777" w:rsidR="00E93F58" w:rsidRPr="00FB5439" w:rsidRDefault="00E93F58" w:rsidP="00070F64">
            <w:pPr>
              <w:pStyle w:val="Tabletext"/>
            </w:pPr>
            <w:r w:rsidRPr="00FB5439">
              <w:t xml:space="preserve">544 </w:t>
            </w:r>
          </w:p>
        </w:tc>
      </w:tr>
      <w:tr w:rsidR="00E93F58" w:rsidRPr="00FB5439" w14:paraId="672BD29C" w14:textId="77777777" w:rsidTr="00B23434">
        <w:trPr>
          <w:cantSplit/>
        </w:trPr>
        <w:tc>
          <w:tcPr>
            <w:tcW w:w="753" w:type="pct"/>
            <w:shd w:val="clear" w:color="auto" w:fill="auto"/>
          </w:tcPr>
          <w:p w14:paraId="5D938FA7" w14:textId="77777777" w:rsidR="00E93F58" w:rsidRPr="00FB5439" w:rsidRDefault="00E93F58" w:rsidP="00070F64">
            <w:pPr>
              <w:pStyle w:val="Tabletext"/>
            </w:pPr>
            <w:r w:rsidRPr="00FB5439">
              <w:t xml:space="preserve">88 </w:t>
            </w:r>
          </w:p>
        </w:tc>
        <w:tc>
          <w:tcPr>
            <w:tcW w:w="1931" w:type="pct"/>
            <w:shd w:val="clear" w:color="auto" w:fill="auto"/>
          </w:tcPr>
          <w:p w14:paraId="00FAE305" w14:textId="77777777" w:rsidR="00E93F58" w:rsidRPr="00FB5439" w:rsidRDefault="00E93F58" w:rsidP="00D62A50">
            <w:pPr>
              <w:pStyle w:val="Tabletext"/>
            </w:pPr>
            <w:r w:rsidRPr="00FB5439">
              <w:t xml:space="preserve">Subregulation 5.6.65(1) </w:t>
            </w:r>
          </w:p>
        </w:tc>
        <w:tc>
          <w:tcPr>
            <w:tcW w:w="1545" w:type="pct"/>
            <w:shd w:val="clear" w:color="auto" w:fill="auto"/>
          </w:tcPr>
          <w:p w14:paraId="33E3F921" w14:textId="77777777" w:rsidR="00E93F58" w:rsidRPr="00FB5439" w:rsidRDefault="00E93F58" w:rsidP="00070F64">
            <w:pPr>
              <w:pStyle w:val="Tabletext"/>
            </w:pPr>
            <w:r w:rsidRPr="00FB5439">
              <w:t xml:space="preserve">Notice of intention to declare a dividend </w:t>
            </w:r>
          </w:p>
        </w:tc>
        <w:tc>
          <w:tcPr>
            <w:tcW w:w="771" w:type="pct"/>
            <w:shd w:val="clear" w:color="auto" w:fill="auto"/>
          </w:tcPr>
          <w:p w14:paraId="4BD93750" w14:textId="77777777" w:rsidR="00E93F58" w:rsidRPr="00FB5439" w:rsidRDefault="00E93F58" w:rsidP="00070F64">
            <w:pPr>
              <w:pStyle w:val="Tabletext"/>
            </w:pPr>
            <w:r w:rsidRPr="00FB5439">
              <w:t xml:space="preserve">546 </w:t>
            </w:r>
          </w:p>
        </w:tc>
      </w:tr>
      <w:tr w:rsidR="00E93F58" w:rsidRPr="00FB5439" w14:paraId="1430D329" w14:textId="77777777" w:rsidTr="00B23434">
        <w:trPr>
          <w:cantSplit/>
        </w:trPr>
        <w:tc>
          <w:tcPr>
            <w:tcW w:w="753" w:type="pct"/>
            <w:shd w:val="clear" w:color="auto" w:fill="auto"/>
          </w:tcPr>
          <w:p w14:paraId="173BAB67" w14:textId="77777777" w:rsidR="00E93F58" w:rsidRPr="00FB5439" w:rsidRDefault="00E93F58" w:rsidP="00070F64">
            <w:pPr>
              <w:pStyle w:val="Tabletext"/>
            </w:pPr>
            <w:r w:rsidRPr="00FB5439">
              <w:t xml:space="preserve">89 </w:t>
            </w:r>
          </w:p>
        </w:tc>
        <w:tc>
          <w:tcPr>
            <w:tcW w:w="1931" w:type="pct"/>
            <w:shd w:val="clear" w:color="auto" w:fill="auto"/>
          </w:tcPr>
          <w:p w14:paraId="672B4424" w14:textId="77777777" w:rsidR="00E93F58" w:rsidRPr="00FB5439" w:rsidRDefault="00E93F58" w:rsidP="00D62A50">
            <w:pPr>
              <w:pStyle w:val="Tabletext"/>
            </w:pPr>
            <w:r w:rsidRPr="00FB5439">
              <w:t xml:space="preserve">Subregulation 5.6.65(1) </w:t>
            </w:r>
          </w:p>
        </w:tc>
        <w:tc>
          <w:tcPr>
            <w:tcW w:w="1545" w:type="pct"/>
            <w:shd w:val="clear" w:color="auto" w:fill="auto"/>
          </w:tcPr>
          <w:p w14:paraId="01E1FBFD" w14:textId="77777777" w:rsidR="00E93F58" w:rsidRPr="00FB5439" w:rsidRDefault="00E93F58" w:rsidP="00070F64">
            <w:pPr>
              <w:pStyle w:val="Tabletext"/>
            </w:pPr>
            <w:r w:rsidRPr="00FB5439">
              <w:t xml:space="preserve">Notice to creditor or person claiming to be a creditor of intention to declare a dividend </w:t>
            </w:r>
          </w:p>
        </w:tc>
        <w:tc>
          <w:tcPr>
            <w:tcW w:w="771" w:type="pct"/>
            <w:shd w:val="clear" w:color="auto" w:fill="auto"/>
          </w:tcPr>
          <w:p w14:paraId="558CC365" w14:textId="77777777" w:rsidR="00E93F58" w:rsidRPr="00FB5439" w:rsidRDefault="00E93F58" w:rsidP="00070F64">
            <w:pPr>
              <w:pStyle w:val="Tabletext"/>
            </w:pPr>
            <w:r w:rsidRPr="00FB5439">
              <w:t xml:space="preserve">547 </w:t>
            </w:r>
          </w:p>
        </w:tc>
      </w:tr>
      <w:tr w:rsidR="00E93F58" w:rsidRPr="00FB5439" w14:paraId="413AA1A9" w14:textId="77777777" w:rsidTr="00B23434">
        <w:tc>
          <w:tcPr>
            <w:tcW w:w="753" w:type="pct"/>
            <w:shd w:val="clear" w:color="auto" w:fill="auto"/>
          </w:tcPr>
          <w:p w14:paraId="302191BB" w14:textId="77777777" w:rsidR="00E93F58" w:rsidRPr="00FB5439" w:rsidRDefault="00E93F58" w:rsidP="00070F64">
            <w:pPr>
              <w:pStyle w:val="Tabletext"/>
            </w:pPr>
            <w:r w:rsidRPr="00FB5439">
              <w:t xml:space="preserve">90 </w:t>
            </w:r>
          </w:p>
        </w:tc>
        <w:tc>
          <w:tcPr>
            <w:tcW w:w="1931" w:type="pct"/>
            <w:shd w:val="clear" w:color="auto" w:fill="auto"/>
          </w:tcPr>
          <w:p w14:paraId="12E07180" w14:textId="77777777" w:rsidR="00E93F58" w:rsidRPr="00FB5439" w:rsidRDefault="00E93F58" w:rsidP="00D62A50">
            <w:pPr>
              <w:pStyle w:val="Tabletext"/>
            </w:pPr>
            <w:r w:rsidRPr="00FB5439">
              <w:t xml:space="preserve">Subregulation 5.6.65(1) </w:t>
            </w:r>
          </w:p>
        </w:tc>
        <w:tc>
          <w:tcPr>
            <w:tcW w:w="1545" w:type="pct"/>
            <w:shd w:val="clear" w:color="auto" w:fill="auto"/>
          </w:tcPr>
          <w:p w14:paraId="476F08AD" w14:textId="77777777" w:rsidR="00E93F58" w:rsidRPr="00FB5439" w:rsidRDefault="00E93F58" w:rsidP="00070F64">
            <w:pPr>
              <w:pStyle w:val="Tabletext"/>
            </w:pPr>
            <w:r w:rsidRPr="00FB5439">
              <w:t xml:space="preserve">Notice to creditor or person claiming to be a creditor of intention to declare a final dividend </w:t>
            </w:r>
          </w:p>
        </w:tc>
        <w:tc>
          <w:tcPr>
            <w:tcW w:w="771" w:type="pct"/>
            <w:shd w:val="clear" w:color="auto" w:fill="auto"/>
          </w:tcPr>
          <w:p w14:paraId="09ACB223" w14:textId="77777777" w:rsidR="00E93F58" w:rsidRPr="00FB5439" w:rsidRDefault="00E93F58" w:rsidP="00070F64">
            <w:pPr>
              <w:pStyle w:val="Tabletext"/>
            </w:pPr>
            <w:r w:rsidRPr="00FB5439">
              <w:t xml:space="preserve">548 </w:t>
            </w:r>
          </w:p>
        </w:tc>
      </w:tr>
      <w:tr w:rsidR="00E93F58" w:rsidRPr="00FB5439" w14:paraId="0C816AC1" w14:textId="77777777" w:rsidTr="00B23434">
        <w:tc>
          <w:tcPr>
            <w:tcW w:w="753" w:type="pct"/>
            <w:shd w:val="clear" w:color="auto" w:fill="auto"/>
          </w:tcPr>
          <w:p w14:paraId="0158AC09" w14:textId="77777777" w:rsidR="00E93F58" w:rsidRPr="00FB5439" w:rsidRDefault="00E93F58" w:rsidP="00070F64">
            <w:pPr>
              <w:pStyle w:val="Tabletext"/>
            </w:pPr>
            <w:r w:rsidRPr="00FB5439">
              <w:t xml:space="preserve">91 </w:t>
            </w:r>
          </w:p>
        </w:tc>
        <w:tc>
          <w:tcPr>
            <w:tcW w:w="1931" w:type="pct"/>
            <w:shd w:val="clear" w:color="auto" w:fill="auto"/>
          </w:tcPr>
          <w:p w14:paraId="41CC8E5D" w14:textId="77777777" w:rsidR="00E93F58" w:rsidRPr="00FB5439" w:rsidRDefault="00E93F58" w:rsidP="00D62A50">
            <w:pPr>
              <w:pStyle w:val="Tabletext"/>
            </w:pPr>
            <w:r w:rsidRPr="00FB5439">
              <w:t xml:space="preserve">Subregulation 5.6.67(3) </w:t>
            </w:r>
          </w:p>
        </w:tc>
        <w:tc>
          <w:tcPr>
            <w:tcW w:w="1545" w:type="pct"/>
            <w:shd w:val="clear" w:color="auto" w:fill="auto"/>
          </w:tcPr>
          <w:p w14:paraId="5F7E6F5C" w14:textId="77777777" w:rsidR="00E93F58" w:rsidRPr="00FB5439" w:rsidRDefault="00E93F58" w:rsidP="00070F64">
            <w:pPr>
              <w:pStyle w:val="Tabletext"/>
            </w:pPr>
            <w:r w:rsidRPr="00FB5439">
              <w:t xml:space="preserve">Notice of declaration of dividend </w:t>
            </w:r>
          </w:p>
        </w:tc>
        <w:tc>
          <w:tcPr>
            <w:tcW w:w="771" w:type="pct"/>
            <w:shd w:val="clear" w:color="auto" w:fill="auto"/>
          </w:tcPr>
          <w:p w14:paraId="1082FF1B" w14:textId="77777777" w:rsidR="00E93F58" w:rsidRPr="00FB5439" w:rsidRDefault="00E93F58" w:rsidP="00070F64">
            <w:pPr>
              <w:pStyle w:val="Tabletext"/>
            </w:pPr>
            <w:r w:rsidRPr="00FB5439">
              <w:t xml:space="preserve">549 </w:t>
            </w:r>
          </w:p>
        </w:tc>
      </w:tr>
      <w:tr w:rsidR="00E93F58" w:rsidRPr="00FB5439" w14:paraId="41131704" w14:textId="77777777" w:rsidTr="00B23434">
        <w:tc>
          <w:tcPr>
            <w:tcW w:w="753" w:type="pct"/>
            <w:tcBorders>
              <w:bottom w:val="single" w:sz="4" w:space="0" w:color="auto"/>
            </w:tcBorders>
            <w:shd w:val="clear" w:color="auto" w:fill="auto"/>
          </w:tcPr>
          <w:p w14:paraId="5BE92D93" w14:textId="77777777" w:rsidR="00E93F58" w:rsidRPr="00FB5439" w:rsidRDefault="00E93F58" w:rsidP="00070F64">
            <w:pPr>
              <w:pStyle w:val="Tabletext"/>
            </w:pPr>
            <w:r w:rsidRPr="00FB5439">
              <w:t xml:space="preserve">92 </w:t>
            </w:r>
          </w:p>
        </w:tc>
        <w:tc>
          <w:tcPr>
            <w:tcW w:w="1931" w:type="pct"/>
            <w:tcBorders>
              <w:bottom w:val="single" w:sz="4" w:space="0" w:color="auto"/>
            </w:tcBorders>
            <w:shd w:val="clear" w:color="auto" w:fill="auto"/>
          </w:tcPr>
          <w:p w14:paraId="1B865AD6" w14:textId="77777777" w:rsidR="00E93F58" w:rsidRPr="00FB5439" w:rsidRDefault="00E93F58" w:rsidP="00070F64">
            <w:pPr>
              <w:pStyle w:val="Tabletext"/>
            </w:pPr>
            <w:r w:rsidRPr="00FB5439">
              <w:t xml:space="preserve">Regulation 5.6.70 </w:t>
            </w:r>
          </w:p>
        </w:tc>
        <w:tc>
          <w:tcPr>
            <w:tcW w:w="1545" w:type="pct"/>
            <w:tcBorders>
              <w:bottom w:val="single" w:sz="4" w:space="0" w:color="auto"/>
            </w:tcBorders>
            <w:shd w:val="clear" w:color="auto" w:fill="auto"/>
          </w:tcPr>
          <w:p w14:paraId="0C5795F1" w14:textId="77777777" w:rsidR="00E93F58" w:rsidRPr="00FB5439" w:rsidRDefault="00E93F58" w:rsidP="00070F64">
            <w:pPr>
              <w:pStyle w:val="Tabletext"/>
            </w:pPr>
            <w:r w:rsidRPr="00FB5439">
              <w:t xml:space="preserve">Notice to liquidator to pay dividend to a person named </w:t>
            </w:r>
          </w:p>
        </w:tc>
        <w:tc>
          <w:tcPr>
            <w:tcW w:w="771" w:type="pct"/>
            <w:tcBorders>
              <w:bottom w:val="single" w:sz="4" w:space="0" w:color="auto"/>
            </w:tcBorders>
            <w:shd w:val="clear" w:color="auto" w:fill="auto"/>
          </w:tcPr>
          <w:p w14:paraId="171FFBFF" w14:textId="77777777" w:rsidR="00E93F58" w:rsidRPr="00FB5439" w:rsidRDefault="00E93F58" w:rsidP="00070F64">
            <w:pPr>
              <w:pStyle w:val="Tabletext"/>
            </w:pPr>
            <w:r w:rsidRPr="00FB5439">
              <w:t xml:space="preserve">550 </w:t>
            </w:r>
          </w:p>
        </w:tc>
      </w:tr>
      <w:tr w:rsidR="00E93F58" w:rsidRPr="00FB5439" w14:paraId="26022F79" w14:textId="77777777" w:rsidTr="00B23434">
        <w:trPr>
          <w:cantSplit/>
        </w:trPr>
        <w:tc>
          <w:tcPr>
            <w:tcW w:w="753" w:type="pct"/>
            <w:tcBorders>
              <w:bottom w:val="single" w:sz="4" w:space="0" w:color="auto"/>
            </w:tcBorders>
            <w:shd w:val="clear" w:color="auto" w:fill="auto"/>
          </w:tcPr>
          <w:p w14:paraId="1466C2D5" w14:textId="77777777" w:rsidR="00E93F58" w:rsidRPr="00FB5439" w:rsidRDefault="00E93F58" w:rsidP="00070F64">
            <w:pPr>
              <w:pStyle w:val="Tabletext"/>
            </w:pPr>
            <w:r w:rsidRPr="00FB5439">
              <w:t xml:space="preserve">93 </w:t>
            </w:r>
          </w:p>
        </w:tc>
        <w:tc>
          <w:tcPr>
            <w:tcW w:w="1931" w:type="pct"/>
            <w:tcBorders>
              <w:bottom w:val="single" w:sz="4" w:space="0" w:color="auto"/>
            </w:tcBorders>
            <w:shd w:val="clear" w:color="auto" w:fill="auto"/>
          </w:tcPr>
          <w:p w14:paraId="454D18B4" w14:textId="77777777" w:rsidR="00E93F58" w:rsidRPr="00FB5439" w:rsidRDefault="00E93F58" w:rsidP="00D62A50">
            <w:pPr>
              <w:pStyle w:val="Tabletext"/>
            </w:pPr>
            <w:r w:rsidRPr="00FB5439">
              <w:t xml:space="preserve">Subregulation 5.6.71(1) </w:t>
            </w:r>
          </w:p>
        </w:tc>
        <w:tc>
          <w:tcPr>
            <w:tcW w:w="1545" w:type="pct"/>
            <w:tcBorders>
              <w:bottom w:val="single" w:sz="4" w:space="0" w:color="auto"/>
            </w:tcBorders>
            <w:shd w:val="clear" w:color="auto" w:fill="auto"/>
          </w:tcPr>
          <w:p w14:paraId="39B99B7D" w14:textId="77777777" w:rsidR="00E93F58" w:rsidRPr="00FB5439" w:rsidRDefault="00E93F58" w:rsidP="00070F64">
            <w:pPr>
              <w:pStyle w:val="Tabletext"/>
            </w:pPr>
            <w:r w:rsidRPr="00FB5439">
              <w:t xml:space="preserve">Schedule of contributories or other persons to whom a distribution of surplus is to be paid </w:t>
            </w:r>
          </w:p>
        </w:tc>
        <w:tc>
          <w:tcPr>
            <w:tcW w:w="771" w:type="pct"/>
            <w:tcBorders>
              <w:bottom w:val="single" w:sz="4" w:space="0" w:color="auto"/>
            </w:tcBorders>
            <w:shd w:val="clear" w:color="auto" w:fill="auto"/>
          </w:tcPr>
          <w:p w14:paraId="208EEC0B" w14:textId="77777777" w:rsidR="00E93F58" w:rsidRPr="00FB5439" w:rsidRDefault="00E93F58" w:rsidP="00070F64">
            <w:pPr>
              <w:pStyle w:val="Tabletext"/>
            </w:pPr>
            <w:r w:rsidRPr="00FB5439">
              <w:t xml:space="preserve">551 </w:t>
            </w:r>
          </w:p>
        </w:tc>
      </w:tr>
      <w:tr w:rsidR="00E93F58" w:rsidRPr="00FB5439" w14:paraId="08E96290" w14:textId="77777777" w:rsidTr="00B23434">
        <w:tc>
          <w:tcPr>
            <w:tcW w:w="753" w:type="pct"/>
            <w:tcBorders>
              <w:top w:val="single" w:sz="4" w:space="0" w:color="auto"/>
            </w:tcBorders>
            <w:shd w:val="clear" w:color="auto" w:fill="auto"/>
          </w:tcPr>
          <w:p w14:paraId="3CE407C1" w14:textId="77777777" w:rsidR="00E93F58" w:rsidRPr="00FB5439" w:rsidRDefault="00E93F58" w:rsidP="00070F64">
            <w:pPr>
              <w:pStyle w:val="Tabletext"/>
            </w:pPr>
            <w:r w:rsidRPr="00FB5439">
              <w:t xml:space="preserve">94 </w:t>
            </w:r>
          </w:p>
        </w:tc>
        <w:tc>
          <w:tcPr>
            <w:tcW w:w="1931" w:type="pct"/>
            <w:tcBorders>
              <w:top w:val="single" w:sz="4" w:space="0" w:color="auto"/>
            </w:tcBorders>
            <w:shd w:val="clear" w:color="auto" w:fill="auto"/>
          </w:tcPr>
          <w:p w14:paraId="130A45F1" w14:textId="77777777" w:rsidR="00E93F58" w:rsidRPr="00FB5439" w:rsidRDefault="00E93F58" w:rsidP="00D62A50">
            <w:pPr>
              <w:pStyle w:val="Tabletext"/>
            </w:pPr>
            <w:r w:rsidRPr="00FB5439">
              <w:t xml:space="preserve">Subregulation 5.6.71(2) </w:t>
            </w:r>
          </w:p>
        </w:tc>
        <w:tc>
          <w:tcPr>
            <w:tcW w:w="1545" w:type="pct"/>
            <w:tcBorders>
              <w:top w:val="single" w:sz="4" w:space="0" w:color="auto"/>
            </w:tcBorders>
            <w:shd w:val="clear" w:color="auto" w:fill="auto"/>
          </w:tcPr>
          <w:p w14:paraId="0C29E554" w14:textId="77777777" w:rsidR="00E93F58" w:rsidRPr="00FB5439" w:rsidRDefault="00E93F58" w:rsidP="00070F64">
            <w:pPr>
              <w:pStyle w:val="Tabletext"/>
            </w:pPr>
            <w:r w:rsidRPr="00FB5439">
              <w:t xml:space="preserve">Notice of distribution of surplus to contributories or other persons </w:t>
            </w:r>
          </w:p>
        </w:tc>
        <w:tc>
          <w:tcPr>
            <w:tcW w:w="771" w:type="pct"/>
            <w:tcBorders>
              <w:top w:val="single" w:sz="4" w:space="0" w:color="auto"/>
            </w:tcBorders>
            <w:shd w:val="clear" w:color="auto" w:fill="auto"/>
          </w:tcPr>
          <w:p w14:paraId="3E4F7286" w14:textId="77777777" w:rsidR="00E93F58" w:rsidRPr="00FB5439" w:rsidRDefault="00E93F58" w:rsidP="00070F64">
            <w:pPr>
              <w:pStyle w:val="Tabletext"/>
            </w:pPr>
            <w:r w:rsidRPr="00FB5439">
              <w:t xml:space="preserve">552 </w:t>
            </w:r>
          </w:p>
        </w:tc>
      </w:tr>
      <w:tr w:rsidR="00E93F58" w:rsidRPr="00FB5439" w14:paraId="3D9AE35C" w14:textId="77777777" w:rsidTr="00B23434">
        <w:tc>
          <w:tcPr>
            <w:tcW w:w="753" w:type="pct"/>
            <w:shd w:val="clear" w:color="auto" w:fill="auto"/>
          </w:tcPr>
          <w:p w14:paraId="7C76E6A8" w14:textId="77777777" w:rsidR="00E93F58" w:rsidRPr="00FB5439" w:rsidRDefault="00E93F58" w:rsidP="00070F64">
            <w:pPr>
              <w:pStyle w:val="Tabletext"/>
            </w:pPr>
            <w:r w:rsidRPr="00FB5439">
              <w:t xml:space="preserve">95 </w:t>
            </w:r>
          </w:p>
        </w:tc>
        <w:tc>
          <w:tcPr>
            <w:tcW w:w="1931" w:type="pct"/>
            <w:shd w:val="clear" w:color="auto" w:fill="auto"/>
          </w:tcPr>
          <w:p w14:paraId="787BABA5" w14:textId="77777777" w:rsidR="00E93F58" w:rsidRPr="00FB5439" w:rsidRDefault="00E93F58" w:rsidP="00070F64">
            <w:pPr>
              <w:pStyle w:val="Tabletext"/>
            </w:pPr>
            <w:r w:rsidRPr="00FB5439">
              <w:t xml:space="preserve">Regulation 5.6.72 </w:t>
            </w:r>
          </w:p>
        </w:tc>
        <w:tc>
          <w:tcPr>
            <w:tcW w:w="1545" w:type="pct"/>
            <w:shd w:val="clear" w:color="auto" w:fill="auto"/>
          </w:tcPr>
          <w:p w14:paraId="3B74D972" w14:textId="77777777" w:rsidR="00E93F58" w:rsidRPr="00FB5439" w:rsidRDefault="00E93F58" w:rsidP="00070F64">
            <w:pPr>
              <w:pStyle w:val="Tabletext"/>
            </w:pPr>
            <w:r w:rsidRPr="00FB5439">
              <w:t xml:space="preserve">Authority to liquidator to pay distribution of surplus to a person named </w:t>
            </w:r>
          </w:p>
        </w:tc>
        <w:tc>
          <w:tcPr>
            <w:tcW w:w="771" w:type="pct"/>
            <w:shd w:val="clear" w:color="auto" w:fill="auto"/>
          </w:tcPr>
          <w:p w14:paraId="0CC6B1AD" w14:textId="77777777" w:rsidR="00E93F58" w:rsidRPr="00FB5439" w:rsidRDefault="00E93F58" w:rsidP="00070F64">
            <w:pPr>
              <w:pStyle w:val="Tabletext"/>
            </w:pPr>
            <w:r w:rsidRPr="00FB5439">
              <w:t xml:space="preserve">553 </w:t>
            </w:r>
          </w:p>
        </w:tc>
      </w:tr>
      <w:tr w:rsidR="00E93F58" w:rsidRPr="00FB5439" w14:paraId="7B072695" w14:textId="77777777" w:rsidTr="00B23434">
        <w:tc>
          <w:tcPr>
            <w:tcW w:w="5000" w:type="pct"/>
            <w:gridSpan w:val="4"/>
            <w:shd w:val="clear" w:color="auto" w:fill="auto"/>
          </w:tcPr>
          <w:p w14:paraId="7A110C05" w14:textId="77777777" w:rsidR="00E93F58" w:rsidRPr="00FB5439" w:rsidRDefault="00E93F58" w:rsidP="00070F64">
            <w:pPr>
              <w:pStyle w:val="TableHeading"/>
              <w:keepNext w:val="0"/>
            </w:pPr>
            <w:r w:rsidRPr="00FB5439">
              <w:t>Chapter 6   Acquisition of shares</w:t>
            </w:r>
          </w:p>
        </w:tc>
      </w:tr>
      <w:tr w:rsidR="00E93F58" w:rsidRPr="00FB5439" w14:paraId="2F8F7B76" w14:textId="77777777" w:rsidTr="00B23434">
        <w:tc>
          <w:tcPr>
            <w:tcW w:w="753" w:type="pct"/>
            <w:shd w:val="clear" w:color="auto" w:fill="auto"/>
          </w:tcPr>
          <w:p w14:paraId="5C600B40" w14:textId="77777777" w:rsidR="00E93F58" w:rsidRPr="00FB5439" w:rsidRDefault="00E93F58" w:rsidP="00070F64">
            <w:pPr>
              <w:pStyle w:val="Tabletext"/>
            </w:pPr>
            <w:r w:rsidRPr="00FB5439">
              <w:t>96</w:t>
            </w:r>
          </w:p>
        </w:tc>
        <w:tc>
          <w:tcPr>
            <w:tcW w:w="1931" w:type="pct"/>
            <w:shd w:val="clear" w:color="auto" w:fill="auto"/>
          </w:tcPr>
          <w:p w14:paraId="6B9C9075" w14:textId="77777777" w:rsidR="00E93F58" w:rsidRPr="00FB5439" w:rsidRDefault="00E93F58" w:rsidP="00D62A50">
            <w:pPr>
              <w:pStyle w:val="Tabletext"/>
            </w:pPr>
            <w:r w:rsidRPr="00FB5439">
              <w:t>Subsection 671B(4)</w:t>
            </w:r>
          </w:p>
        </w:tc>
        <w:tc>
          <w:tcPr>
            <w:tcW w:w="1545" w:type="pct"/>
            <w:shd w:val="clear" w:color="auto" w:fill="auto"/>
          </w:tcPr>
          <w:p w14:paraId="705EBC28" w14:textId="77777777" w:rsidR="00E93F58" w:rsidRPr="00FB5439" w:rsidRDefault="00E93F58" w:rsidP="00070F64">
            <w:pPr>
              <w:pStyle w:val="Tabletext"/>
            </w:pPr>
            <w:r w:rsidRPr="00FB5439">
              <w:t>Notice of initial substantial holder</w:t>
            </w:r>
          </w:p>
        </w:tc>
        <w:tc>
          <w:tcPr>
            <w:tcW w:w="771" w:type="pct"/>
            <w:shd w:val="clear" w:color="auto" w:fill="auto"/>
          </w:tcPr>
          <w:p w14:paraId="7D653AD8" w14:textId="77777777" w:rsidR="00E93F58" w:rsidRPr="00FB5439" w:rsidRDefault="00E93F58" w:rsidP="00070F64">
            <w:pPr>
              <w:pStyle w:val="Tabletext"/>
            </w:pPr>
            <w:r w:rsidRPr="00FB5439">
              <w:t>603</w:t>
            </w:r>
          </w:p>
        </w:tc>
      </w:tr>
      <w:tr w:rsidR="00E93F58" w:rsidRPr="00FB5439" w14:paraId="3CF40E23" w14:textId="77777777" w:rsidTr="00B23434">
        <w:tc>
          <w:tcPr>
            <w:tcW w:w="753" w:type="pct"/>
            <w:shd w:val="clear" w:color="auto" w:fill="auto"/>
          </w:tcPr>
          <w:p w14:paraId="2E80359C" w14:textId="77777777" w:rsidR="00E93F58" w:rsidRPr="00FB5439" w:rsidRDefault="00E93F58" w:rsidP="00070F64">
            <w:pPr>
              <w:pStyle w:val="Tabletext"/>
            </w:pPr>
            <w:r w:rsidRPr="00FB5439">
              <w:t>97</w:t>
            </w:r>
          </w:p>
        </w:tc>
        <w:tc>
          <w:tcPr>
            <w:tcW w:w="1931" w:type="pct"/>
            <w:shd w:val="clear" w:color="auto" w:fill="auto"/>
          </w:tcPr>
          <w:p w14:paraId="0795700D" w14:textId="77777777" w:rsidR="00E93F58" w:rsidRPr="00FB5439" w:rsidRDefault="00E93F58" w:rsidP="00D62A50">
            <w:pPr>
              <w:pStyle w:val="Tabletext"/>
            </w:pPr>
            <w:r w:rsidRPr="00FB5439">
              <w:t>Subsection 671B(4)</w:t>
            </w:r>
          </w:p>
        </w:tc>
        <w:tc>
          <w:tcPr>
            <w:tcW w:w="1545" w:type="pct"/>
            <w:shd w:val="clear" w:color="auto" w:fill="auto"/>
          </w:tcPr>
          <w:p w14:paraId="0AF8560D" w14:textId="77777777" w:rsidR="00E93F58" w:rsidRPr="00FB5439" w:rsidRDefault="00E93F58" w:rsidP="00070F64">
            <w:pPr>
              <w:pStyle w:val="Tabletext"/>
            </w:pPr>
            <w:r w:rsidRPr="00FB5439">
              <w:t>Notice of change of interests of substantial holder</w:t>
            </w:r>
          </w:p>
        </w:tc>
        <w:tc>
          <w:tcPr>
            <w:tcW w:w="771" w:type="pct"/>
            <w:shd w:val="clear" w:color="auto" w:fill="auto"/>
          </w:tcPr>
          <w:p w14:paraId="7409F474" w14:textId="77777777" w:rsidR="00E93F58" w:rsidRPr="00FB5439" w:rsidRDefault="00E93F58" w:rsidP="00070F64">
            <w:pPr>
              <w:pStyle w:val="Tabletext"/>
            </w:pPr>
            <w:r w:rsidRPr="00FB5439">
              <w:t>604</w:t>
            </w:r>
          </w:p>
        </w:tc>
      </w:tr>
      <w:tr w:rsidR="00E93F58" w:rsidRPr="00FB5439" w14:paraId="74774DE4" w14:textId="77777777" w:rsidTr="00B23434">
        <w:tc>
          <w:tcPr>
            <w:tcW w:w="753" w:type="pct"/>
            <w:shd w:val="clear" w:color="auto" w:fill="auto"/>
          </w:tcPr>
          <w:p w14:paraId="79CF2243" w14:textId="77777777" w:rsidR="00E93F58" w:rsidRPr="00FB5439" w:rsidRDefault="00E93F58" w:rsidP="00070F64">
            <w:pPr>
              <w:pStyle w:val="Tabletext"/>
            </w:pPr>
            <w:r w:rsidRPr="00FB5439">
              <w:t>98</w:t>
            </w:r>
          </w:p>
        </w:tc>
        <w:tc>
          <w:tcPr>
            <w:tcW w:w="1931" w:type="pct"/>
            <w:shd w:val="clear" w:color="auto" w:fill="auto"/>
          </w:tcPr>
          <w:p w14:paraId="1A626478" w14:textId="77777777" w:rsidR="00E93F58" w:rsidRPr="00FB5439" w:rsidRDefault="00E93F58" w:rsidP="00D62A50">
            <w:pPr>
              <w:pStyle w:val="Tabletext"/>
            </w:pPr>
            <w:r w:rsidRPr="00FB5439">
              <w:t>Subsection 671B(4)</w:t>
            </w:r>
          </w:p>
        </w:tc>
        <w:tc>
          <w:tcPr>
            <w:tcW w:w="1545" w:type="pct"/>
            <w:shd w:val="clear" w:color="auto" w:fill="auto"/>
          </w:tcPr>
          <w:p w14:paraId="4BB51A72" w14:textId="77777777" w:rsidR="00E93F58" w:rsidRPr="00FB5439" w:rsidRDefault="00E93F58" w:rsidP="00070F64">
            <w:pPr>
              <w:pStyle w:val="Tabletext"/>
            </w:pPr>
            <w:r w:rsidRPr="00FB5439">
              <w:t>Notice of ceasing to be a substantial holder</w:t>
            </w:r>
          </w:p>
        </w:tc>
        <w:tc>
          <w:tcPr>
            <w:tcW w:w="771" w:type="pct"/>
            <w:shd w:val="clear" w:color="auto" w:fill="auto"/>
          </w:tcPr>
          <w:p w14:paraId="7DC472DC" w14:textId="77777777" w:rsidR="00E93F58" w:rsidRPr="00FB5439" w:rsidRDefault="00E93F58" w:rsidP="00070F64">
            <w:pPr>
              <w:pStyle w:val="Tabletext"/>
            </w:pPr>
            <w:r w:rsidRPr="00FB5439">
              <w:t>605</w:t>
            </w:r>
          </w:p>
        </w:tc>
      </w:tr>
      <w:tr w:rsidR="00E93F58" w:rsidRPr="00FB5439" w14:paraId="72A16976" w14:textId="77777777" w:rsidTr="00B23434">
        <w:tc>
          <w:tcPr>
            <w:tcW w:w="5000" w:type="pct"/>
            <w:gridSpan w:val="4"/>
            <w:shd w:val="clear" w:color="auto" w:fill="auto"/>
          </w:tcPr>
          <w:p w14:paraId="1FF41A4B" w14:textId="77777777" w:rsidR="00E93F58" w:rsidRPr="00FB5439" w:rsidRDefault="00E93F58" w:rsidP="00695A63">
            <w:pPr>
              <w:pStyle w:val="TableHeading"/>
            </w:pPr>
            <w:r w:rsidRPr="00FB5439">
              <w:t>Chapter 7   Financial services and markets</w:t>
            </w:r>
          </w:p>
        </w:tc>
      </w:tr>
      <w:tr w:rsidR="00E93F58" w:rsidRPr="00FB5439" w14:paraId="79348A36" w14:textId="77777777" w:rsidTr="00B23434">
        <w:trPr>
          <w:cantSplit/>
        </w:trPr>
        <w:tc>
          <w:tcPr>
            <w:tcW w:w="753" w:type="pct"/>
            <w:shd w:val="clear" w:color="auto" w:fill="auto"/>
          </w:tcPr>
          <w:p w14:paraId="3557D93E" w14:textId="77777777" w:rsidR="00E93F58" w:rsidRPr="00FB5439" w:rsidRDefault="00E93F58" w:rsidP="00070F64">
            <w:pPr>
              <w:pStyle w:val="Tabletext"/>
            </w:pPr>
            <w:r w:rsidRPr="00FB5439">
              <w:t>99</w:t>
            </w:r>
          </w:p>
        </w:tc>
        <w:tc>
          <w:tcPr>
            <w:tcW w:w="1931" w:type="pct"/>
            <w:shd w:val="clear" w:color="auto" w:fill="auto"/>
          </w:tcPr>
          <w:p w14:paraId="0635DF4B" w14:textId="77777777" w:rsidR="00E93F58" w:rsidRPr="00FB5439" w:rsidRDefault="00E93F58" w:rsidP="00070F64">
            <w:pPr>
              <w:pStyle w:val="Tabletext"/>
            </w:pPr>
            <w:r w:rsidRPr="00FB5439">
              <w:t>Subregulation 7.6.08D(3)</w:t>
            </w:r>
          </w:p>
          <w:p w14:paraId="5BC3E376" w14:textId="77777777" w:rsidR="00E93F58" w:rsidRPr="00FB5439" w:rsidRDefault="00E93F58" w:rsidP="00D62A50">
            <w:pPr>
              <w:pStyle w:val="Tabletext"/>
            </w:pPr>
            <w:r w:rsidRPr="00FB5439">
              <w:rPr>
                <w:szCs w:val="22"/>
              </w:rPr>
              <w:t>Subregulation 7.6.08E(3)</w:t>
            </w:r>
          </w:p>
        </w:tc>
        <w:tc>
          <w:tcPr>
            <w:tcW w:w="1545" w:type="pct"/>
            <w:shd w:val="clear" w:color="auto" w:fill="auto"/>
          </w:tcPr>
          <w:p w14:paraId="04FA0DF2" w14:textId="77777777" w:rsidR="00E93F58" w:rsidRPr="00FB5439" w:rsidRDefault="00E93F58" w:rsidP="00070F64">
            <w:pPr>
              <w:pStyle w:val="Tabletext"/>
            </w:pPr>
            <w:r w:rsidRPr="00FB5439">
              <w:rPr>
                <w:szCs w:val="22"/>
              </w:rPr>
              <w:t>Data on intermediated business with APRA</w:t>
            </w:r>
            <w:r>
              <w:rPr>
                <w:szCs w:val="22"/>
              </w:rPr>
              <w:noBreakHyphen/>
            </w:r>
            <w:r w:rsidRPr="00FB5439">
              <w:rPr>
                <w:szCs w:val="22"/>
              </w:rPr>
              <w:t>authorised general insurers, Lloyd’s underwriters and unauthorised foreign insurers</w:t>
            </w:r>
          </w:p>
        </w:tc>
        <w:tc>
          <w:tcPr>
            <w:tcW w:w="771" w:type="pct"/>
            <w:shd w:val="clear" w:color="auto" w:fill="auto"/>
          </w:tcPr>
          <w:p w14:paraId="07F5BBDC" w14:textId="77777777" w:rsidR="00E93F58" w:rsidRPr="00FB5439" w:rsidRDefault="00E93F58" w:rsidP="00070F64">
            <w:pPr>
              <w:pStyle w:val="Tabletext"/>
            </w:pPr>
            <w:r w:rsidRPr="00FB5439">
              <w:t>701</w:t>
            </w:r>
          </w:p>
        </w:tc>
      </w:tr>
      <w:tr w:rsidR="00E93F58" w:rsidRPr="00FB5439" w14:paraId="7ACFBCB9" w14:textId="77777777" w:rsidTr="00B23434">
        <w:tc>
          <w:tcPr>
            <w:tcW w:w="5000" w:type="pct"/>
            <w:gridSpan w:val="4"/>
            <w:shd w:val="clear" w:color="auto" w:fill="auto"/>
          </w:tcPr>
          <w:p w14:paraId="6FA728A9" w14:textId="77777777" w:rsidR="00E93F58" w:rsidRPr="00FB5439" w:rsidRDefault="00E93F58" w:rsidP="00070F64">
            <w:pPr>
              <w:pStyle w:val="TableHeading"/>
              <w:keepNext w:val="0"/>
            </w:pPr>
            <w:r w:rsidRPr="00FB5439">
              <w:t>Chapter 9   Miscellaneous</w:t>
            </w:r>
          </w:p>
        </w:tc>
      </w:tr>
      <w:tr w:rsidR="00E93F58" w:rsidRPr="00FB5439" w14:paraId="556617C4" w14:textId="77777777" w:rsidTr="00C95576">
        <w:tc>
          <w:tcPr>
            <w:tcW w:w="753" w:type="pct"/>
            <w:tcBorders>
              <w:bottom w:val="single" w:sz="4" w:space="0" w:color="auto"/>
            </w:tcBorders>
            <w:shd w:val="clear" w:color="auto" w:fill="auto"/>
          </w:tcPr>
          <w:p w14:paraId="0E88039D" w14:textId="77777777" w:rsidR="00E93F58" w:rsidRPr="00FB5439" w:rsidRDefault="00E93F58" w:rsidP="00070F64">
            <w:pPr>
              <w:pStyle w:val="Tabletext"/>
            </w:pPr>
            <w:r w:rsidRPr="00FB5439">
              <w:lastRenderedPageBreak/>
              <w:t xml:space="preserve">150 </w:t>
            </w:r>
          </w:p>
        </w:tc>
        <w:tc>
          <w:tcPr>
            <w:tcW w:w="1931" w:type="pct"/>
            <w:tcBorders>
              <w:bottom w:val="single" w:sz="4" w:space="0" w:color="auto"/>
            </w:tcBorders>
            <w:shd w:val="clear" w:color="auto" w:fill="auto"/>
          </w:tcPr>
          <w:p w14:paraId="12FF6200" w14:textId="77777777" w:rsidR="00E93F58" w:rsidRPr="00FB5439" w:rsidRDefault="00E93F58" w:rsidP="00D62A50">
            <w:pPr>
              <w:pStyle w:val="Tabletext"/>
            </w:pPr>
            <w:r w:rsidRPr="00FB5439">
              <w:t xml:space="preserve">Subsection 1287(1) </w:t>
            </w:r>
          </w:p>
        </w:tc>
        <w:tc>
          <w:tcPr>
            <w:tcW w:w="1545" w:type="pct"/>
            <w:tcBorders>
              <w:bottom w:val="single" w:sz="4" w:space="0" w:color="auto"/>
            </w:tcBorders>
            <w:shd w:val="clear" w:color="auto" w:fill="auto"/>
          </w:tcPr>
          <w:p w14:paraId="6A5F43CF" w14:textId="77777777" w:rsidR="00E93F58" w:rsidRPr="00FB5439" w:rsidRDefault="00E93F58" w:rsidP="00D62A50">
            <w:pPr>
              <w:pStyle w:val="Tabletext"/>
            </w:pPr>
            <w:r w:rsidRPr="00FB5439">
              <w:t xml:space="preserve">Particulars of cessation or change relating to person registered as an auditor under subsection 1287(1) </w:t>
            </w:r>
          </w:p>
        </w:tc>
        <w:tc>
          <w:tcPr>
            <w:tcW w:w="771" w:type="pct"/>
            <w:tcBorders>
              <w:bottom w:val="single" w:sz="4" w:space="0" w:color="auto"/>
            </w:tcBorders>
            <w:shd w:val="clear" w:color="auto" w:fill="auto"/>
          </w:tcPr>
          <w:p w14:paraId="63B943AC" w14:textId="77777777" w:rsidR="00E93F58" w:rsidRPr="00FB5439" w:rsidRDefault="00E93F58" w:rsidP="00070F64">
            <w:pPr>
              <w:pStyle w:val="Tabletext"/>
            </w:pPr>
            <w:r w:rsidRPr="00FB5439">
              <w:t xml:space="preserve">905 </w:t>
            </w:r>
          </w:p>
        </w:tc>
      </w:tr>
      <w:tr w:rsidR="00E93F58" w:rsidRPr="00FB5439" w14:paraId="70C40B55" w14:textId="77777777" w:rsidTr="00C95576">
        <w:trPr>
          <w:cantSplit/>
        </w:trPr>
        <w:tc>
          <w:tcPr>
            <w:tcW w:w="753" w:type="pct"/>
            <w:tcBorders>
              <w:bottom w:val="single" w:sz="12" w:space="0" w:color="auto"/>
            </w:tcBorders>
            <w:shd w:val="clear" w:color="auto" w:fill="auto"/>
          </w:tcPr>
          <w:p w14:paraId="48AAA4D3" w14:textId="77777777" w:rsidR="00E93F58" w:rsidRPr="00FB5439" w:rsidRDefault="00E93F58" w:rsidP="00642B2E">
            <w:pPr>
              <w:pStyle w:val="Tabletext"/>
              <w:keepNext/>
              <w:keepLines/>
            </w:pPr>
            <w:r w:rsidRPr="00FB5439">
              <w:t xml:space="preserve">154A </w:t>
            </w:r>
          </w:p>
        </w:tc>
        <w:tc>
          <w:tcPr>
            <w:tcW w:w="1931" w:type="pct"/>
            <w:tcBorders>
              <w:bottom w:val="single" w:sz="12" w:space="0" w:color="auto"/>
            </w:tcBorders>
            <w:shd w:val="clear" w:color="auto" w:fill="auto"/>
          </w:tcPr>
          <w:p w14:paraId="55821EB3" w14:textId="77777777" w:rsidR="00E93F58" w:rsidRPr="00FB5439" w:rsidRDefault="00E93F58" w:rsidP="00642B2E">
            <w:pPr>
              <w:pStyle w:val="Tabletext"/>
              <w:keepNext/>
              <w:keepLines/>
            </w:pPr>
            <w:r w:rsidRPr="00FB5439">
              <w:t xml:space="preserve">Subsection 1302(4) </w:t>
            </w:r>
          </w:p>
        </w:tc>
        <w:tc>
          <w:tcPr>
            <w:tcW w:w="1545" w:type="pct"/>
            <w:tcBorders>
              <w:bottom w:val="single" w:sz="12" w:space="0" w:color="auto"/>
            </w:tcBorders>
            <w:shd w:val="clear" w:color="auto" w:fill="auto"/>
          </w:tcPr>
          <w:p w14:paraId="7BE09004" w14:textId="77777777" w:rsidR="00E93F58" w:rsidRPr="00FB5439" w:rsidRDefault="00E93F58" w:rsidP="00642B2E">
            <w:pPr>
              <w:pStyle w:val="Tabletext"/>
              <w:keepNext/>
              <w:keepLines/>
            </w:pPr>
            <w:r w:rsidRPr="00FB5439">
              <w:t xml:space="preserve">Notice of change of address </w:t>
            </w:r>
          </w:p>
        </w:tc>
        <w:tc>
          <w:tcPr>
            <w:tcW w:w="771" w:type="pct"/>
            <w:tcBorders>
              <w:bottom w:val="single" w:sz="12" w:space="0" w:color="auto"/>
            </w:tcBorders>
            <w:shd w:val="clear" w:color="auto" w:fill="auto"/>
          </w:tcPr>
          <w:p w14:paraId="7101E53B" w14:textId="77777777" w:rsidR="00E93F58" w:rsidRPr="00FB5439" w:rsidRDefault="00E93F58" w:rsidP="00642B2E">
            <w:pPr>
              <w:pStyle w:val="Tabletext"/>
              <w:keepNext/>
              <w:keepLines/>
            </w:pPr>
            <w:r w:rsidRPr="00FB5439">
              <w:t xml:space="preserve">909 </w:t>
            </w:r>
          </w:p>
        </w:tc>
      </w:tr>
    </w:tbl>
    <w:p w14:paraId="2BF3A24F" w14:textId="77777777" w:rsidR="00E93F58" w:rsidRPr="00FB5439" w:rsidRDefault="00E93F58" w:rsidP="00070F64">
      <w:pPr>
        <w:pStyle w:val="ActHead1"/>
        <w:keepNext w:val="0"/>
        <w:pageBreakBefore/>
        <w:rPr>
          <w:szCs w:val="36"/>
        </w:rPr>
      </w:pPr>
      <w:bookmarkStart w:id="3169" w:name="_Toc151992770"/>
      <w:bookmarkStart w:id="3170" w:name="_Toc158713373"/>
      <w:r w:rsidRPr="00FB5439">
        <w:rPr>
          <w:rStyle w:val="CharChapNo"/>
        </w:rPr>
        <w:lastRenderedPageBreak/>
        <w:t>Schedule 2</w:t>
      </w:r>
      <w:r w:rsidRPr="00FB5439">
        <w:t>—</w:t>
      </w:r>
      <w:r w:rsidRPr="00FB5439">
        <w:rPr>
          <w:rStyle w:val="CharChapText"/>
        </w:rPr>
        <w:t>Forms</w:t>
      </w:r>
      <w:bookmarkEnd w:id="3169"/>
      <w:bookmarkEnd w:id="3170"/>
    </w:p>
    <w:p w14:paraId="3CA66FDD" w14:textId="77777777" w:rsidR="00E93F58" w:rsidRPr="00FB5439" w:rsidRDefault="00E93F58" w:rsidP="00070F64">
      <w:pPr>
        <w:pStyle w:val="notemargin"/>
      </w:pPr>
      <w:r w:rsidRPr="00FB5439">
        <w:t>(regulations 1.0.02 and 1.0.03)</w:t>
      </w:r>
    </w:p>
    <w:p w14:paraId="581E4FD8" w14:textId="77777777" w:rsidR="00E93F58" w:rsidRPr="00FB5439" w:rsidRDefault="00E93F58" w:rsidP="00890D26">
      <w:pPr>
        <w:pStyle w:val="Header"/>
        <w:keepNext w:val="0"/>
      </w:pPr>
      <w:r w:rsidRPr="00FB5439">
        <w:rPr>
          <w:rStyle w:val="CharPartNo"/>
        </w:rPr>
        <w:t xml:space="preserve"> </w:t>
      </w:r>
      <w:r w:rsidRPr="00FB5439">
        <w:rPr>
          <w:rStyle w:val="CharPartText"/>
        </w:rPr>
        <w:t xml:space="preserve"> </w:t>
      </w:r>
    </w:p>
    <w:p w14:paraId="1DE9F427" w14:textId="77777777" w:rsidR="00E93F58" w:rsidRPr="00FB5439" w:rsidRDefault="00E93F58" w:rsidP="00070F64">
      <w:r w:rsidRPr="00FB5439">
        <w:rPr>
          <w:noProof/>
          <w:lang w:eastAsia="en-AU"/>
        </w:rPr>
        <w:drawing>
          <wp:inline distT="0" distB="0" distL="0" distR="0" wp14:anchorId="3C363249" wp14:editId="0633FF3A">
            <wp:extent cx="4552950" cy="6115050"/>
            <wp:effectExtent l="0" t="0" r="0" b="0"/>
            <wp:docPr id="1442099415" name="Picture 1442099415" descr="form 1003 Disclosure notice for unlisted disclos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 1003"/>
                    <pic:cNvPicPr>
                      <a:picLocks noChangeAspect="1" noChangeArrowheads="1"/>
                    </pic:cNvPicPr>
                  </pic:nvPicPr>
                  <pic:blipFill>
                    <a:blip r:embed="rId16" cstate="print">
                      <a:extLst>
                        <a:ext uri="{28A0092B-C50C-407E-A947-70E740481C1C}">
                          <a14:useLocalDpi xmlns:a14="http://schemas.microsoft.com/office/drawing/2010/main" val="0"/>
                        </a:ext>
                      </a:extLst>
                    </a:blip>
                    <a:srcRect l="2367" t="4564" r="2367" b="1677"/>
                    <a:stretch>
                      <a:fillRect/>
                    </a:stretch>
                  </pic:blipFill>
                  <pic:spPr bwMode="auto">
                    <a:xfrm>
                      <a:off x="0" y="0"/>
                      <a:ext cx="4552950" cy="6115050"/>
                    </a:xfrm>
                    <a:prstGeom prst="rect">
                      <a:avLst/>
                    </a:prstGeom>
                    <a:noFill/>
                    <a:ln>
                      <a:noFill/>
                    </a:ln>
                  </pic:spPr>
                </pic:pic>
              </a:graphicData>
            </a:graphic>
          </wp:inline>
        </w:drawing>
      </w:r>
    </w:p>
    <w:p w14:paraId="3348381D" w14:textId="77777777" w:rsidR="00E93F58" w:rsidRPr="00FB5439" w:rsidRDefault="00E93F58" w:rsidP="00070F64">
      <w:r w:rsidRPr="00FB5439">
        <w:rPr>
          <w:noProof/>
          <w:lang w:eastAsia="en-AU"/>
        </w:rPr>
        <w:lastRenderedPageBreak/>
        <w:drawing>
          <wp:inline distT="0" distB="0" distL="0" distR="0" wp14:anchorId="13D30C58" wp14:editId="228D4F42">
            <wp:extent cx="4819650" cy="6419850"/>
            <wp:effectExtent l="0" t="0" r="0" b="0"/>
            <wp:docPr id="50595375" name="Picture 50595375" descr="form 105 Cover page for office copy of a cour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_Treasu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6419850"/>
                    </a:xfrm>
                    <a:prstGeom prst="rect">
                      <a:avLst/>
                    </a:prstGeom>
                    <a:noFill/>
                    <a:ln>
                      <a:noFill/>
                    </a:ln>
                  </pic:spPr>
                </pic:pic>
              </a:graphicData>
            </a:graphic>
          </wp:inline>
        </w:drawing>
      </w:r>
    </w:p>
    <w:p w14:paraId="749D6FFF" w14:textId="77777777" w:rsidR="00E93F58" w:rsidRPr="00FB5439" w:rsidRDefault="00E93F58" w:rsidP="00070F64">
      <w:r w:rsidRPr="00FB5439">
        <w:rPr>
          <w:noProof/>
          <w:lang w:eastAsia="en-AU"/>
        </w:rPr>
        <w:lastRenderedPageBreak/>
        <w:drawing>
          <wp:inline distT="0" distB="0" distL="0" distR="0" wp14:anchorId="22264ECD" wp14:editId="32A9CE50">
            <wp:extent cx="4667250" cy="6400800"/>
            <wp:effectExtent l="0" t="0" r="0" b="0"/>
            <wp:docPr id="4" name="Picture 4" descr="form 207Z Certification of compliance with stamp du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 207Z"/>
                    <pic:cNvPicPr>
                      <a:picLocks noChangeAspect="1" noChangeArrowheads="1"/>
                    </pic:cNvPicPr>
                  </pic:nvPicPr>
                  <pic:blipFill>
                    <a:blip r:embed="rId18" cstate="print">
                      <a:extLst>
                        <a:ext uri="{28A0092B-C50C-407E-A947-70E740481C1C}">
                          <a14:useLocalDpi xmlns:a14="http://schemas.microsoft.com/office/drawing/2010/main" val="0"/>
                        </a:ext>
                      </a:extLst>
                    </a:blip>
                    <a:srcRect l="2367" t="4195" r="2367" b="16777"/>
                    <a:stretch>
                      <a:fillRect/>
                    </a:stretch>
                  </pic:blipFill>
                  <pic:spPr bwMode="auto">
                    <a:xfrm>
                      <a:off x="0" y="0"/>
                      <a:ext cx="4667250" cy="6400800"/>
                    </a:xfrm>
                    <a:prstGeom prst="rect">
                      <a:avLst/>
                    </a:prstGeom>
                    <a:noFill/>
                    <a:ln>
                      <a:noFill/>
                    </a:ln>
                  </pic:spPr>
                </pic:pic>
              </a:graphicData>
            </a:graphic>
          </wp:inline>
        </w:drawing>
      </w:r>
    </w:p>
    <w:p w14:paraId="56DE8412" w14:textId="77777777" w:rsidR="00E93F58" w:rsidRPr="00FB5439" w:rsidRDefault="00E93F58" w:rsidP="00070F64">
      <w:r w:rsidRPr="00FB5439">
        <w:rPr>
          <w:noProof/>
          <w:lang w:eastAsia="en-AU"/>
        </w:rPr>
        <w:lastRenderedPageBreak/>
        <w:drawing>
          <wp:inline distT="0" distB="0" distL="0" distR="0" wp14:anchorId="375CA39C" wp14:editId="77FD7BA0">
            <wp:extent cx="4667250" cy="6400800"/>
            <wp:effectExtent l="0" t="0" r="0" b="0"/>
            <wp:docPr id="5" name="Picture 5" descr="form 2501 Application for extension of time to hold Annual Gener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m 2501"/>
                    <pic:cNvPicPr>
                      <a:picLocks noChangeAspect="1" noChangeArrowheads="1"/>
                    </pic:cNvPicPr>
                  </pic:nvPicPr>
                  <pic:blipFill>
                    <a:blip r:embed="rId19" cstate="print">
                      <a:extLst>
                        <a:ext uri="{28A0092B-C50C-407E-A947-70E740481C1C}">
                          <a14:useLocalDpi xmlns:a14="http://schemas.microsoft.com/office/drawing/2010/main" val="0"/>
                        </a:ext>
                      </a:extLst>
                    </a:blip>
                    <a:srcRect l="2367" t="4362" r="2367" b="336"/>
                    <a:stretch>
                      <a:fillRect/>
                    </a:stretch>
                  </pic:blipFill>
                  <pic:spPr bwMode="auto">
                    <a:xfrm>
                      <a:off x="0" y="0"/>
                      <a:ext cx="4667250" cy="6400800"/>
                    </a:xfrm>
                    <a:prstGeom prst="rect">
                      <a:avLst/>
                    </a:prstGeom>
                    <a:noFill/>
                    <a:ln>
                      <a:noFill/>
                    </a:ln>
                  </pic:spPr>
                </pic:pic>
              </a:graphicData>
            </a:graphic>
          </wp:inline>
        </w:drawing>
      </w:r>
    </w:p>
    <w:p w14:paraId="317D78E3" w14:textId="77777777" w:rsidR="00E93F58" w:rsidRPr="00FB5439" w:rsidRDefault="00E93F58" w:rsidP="00070F64">
      <w:r w:rsidRPr="00FB5439">
        <w:rPr>
          <w:noProof/>
          <w:lang w:eastAsia="en-AU"/>
        </w:rPr>
        <w:lastRenderedPageBreak/>
        <w:drawing>
          <wp:inline distT="0" distB="0" distL="0" distR="0" wp14:anchorId="527C8ECD" wp14:editId="0F7F3B0C">
            <wp:extent cx="4667250" cy="6286500"/>
            <wp:effectExtent l="0" t="0" r="0" b="0"/>
            <wp:docPr id="6" name="Picture 6" descr="form 310 Notification of further issue of debentures in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 310"/>
                    <pic:cNvPicPr>
                      <a:picLocks noChangeAspect="1" noChangeArrowheads="1"/>
                    </pic:cNvPicPr>
                  </pic:nvPicPr>
                  <pic:blipFill>
                    <a:blip r:embed="rId20" cstate="print">
                      <a:extLst>
                        <a:ext uri="{28A0092B-C50C-407E-A947-70E740481C1C}">
                          <a14:useLocalDpi xmlns:a14="http://schemas.microsoft.com/office/drawing/2010/main" val="0"/>
                        </a:ext>
                      </a:extLst>
                    </a:blip>
                    <a:srcRect l="2367" t="4497" r="2367" b="18120"/>
                    <a:stretch>
                      <a:fillRect/>
                    </a:stretch>
                  </pic:blipFill>
                  <pic:spPr bwMode="auto">
                    <a:xfrm>
                      <a:off x="0" y="0"/>
                      <a:ext cx="4667250" cy="6286500"/>
                    </a:xfrm>
                    <a:prstGeom prst="rect">
                      <a:avLst/>
                    </a:prstGeom>
                    <a:noFill/>
                    <a:ln>
                      <a:noFill/>
                    </a:ln>
                  </pic:spPr>
                </pic:pic>
              </a:graphicData>
            </a:graphic>
          </wp:inline>
        </w:drawing>
      </w:r>
    </w:p>
    <w:p w14:paraId="359367D8" w14:textId="77777777" w:rsidR="00E93F58" w:rsidRPr="00FB5439" w:rsidRDefault="00E93F58" w:rsidP="00A80D13">
      <w:pPr>
        <w:pStyle w:val="ActHead2"/>
        <w:pageBreakBefore/>
      </w:pPr>
      <w:bookmarkStart w:id="3171" w:name="_Toc151992771"/>
      <w:bookmarkStart w:id="3172" w:name="_Toc158713374"/>
      <w:r w:rsidRPr="00FB5439">
        <w:rPr>
          <w:rStyle w:val="CharPartNo"/>
        </w:rPr>
        <w:lastRenderedPageBreak/>
        <w:t>Form 314</w:t>
      </w:r>
      <w:bookmarkEnd w:id="3171"/>
      <w:bookmarkEnd w:id="3172"/>
      <w:r w:rsidRPr="00FB5439">
        <w:rPr>
          <w:rStyle w:val="CharPartText"/>
        </w:rPr>
        <w:t xml:space="preserve"> </w:t>
      </w:r>
      <w:r w:rsidRPr="00FB5439">
        <w:t xml:space="preserve"> </w:t>
      </w:r>
    </w:p>
    <w:p w14:paraId="730398F7" w14:textId="77777777" w:rsidR="00E93F58" w:rsidRPr="00FB5439" w:rsidRDefault="00E93F58" w:rsidP="00526752">
      <w:pPr>
        <w:pStyle w:val="notemargin"/>
      </w:pPr>
      <w:r w:rsidRPr="00FB5439">
        <w:t>(paragraph 324(2)(e))</w:t>
      </w:r>
    </w:p>
    <w:p w14:paraId="6C103137" w14:textId="77777777" w:rsidR="00E93F58" w:rsidRPr="00FB5439" w:rsidRDefault="00E93F58" w:rsidP="00070F64">
      <w:pPr>
        <w:rPr>
          <w:sz w:val="20"/>
        </w:rPr>
      </w:pPr>
    </w:p>
    <w:p w14:paraId="443D03FD" w14:textId="77777777" w:rsidR="00E93F58" w:rsidRPr="00FB5439" w:rsidRDefault="00E93F58" w:rsidP="00070F64">
      <w:pPr>
        <w:rPr>
          <w:i/>
        </w:rPr>
      </w:pPr>
      <w:r w:rsidRPr="00FB5439">
        <w:rPr>
          <w:i/>
        </w:rPr>
        <w:t>Corporations Act 2001</w:t>
      </w:r>
    </w:p>
    <w:p w14:paraId="73CEE83C" w14:textId="77777777" w:rsidR="00E93F58" w:rsidRPr="00FB5439" w:rsidRDefault="00E93F58" w:rsidP="00070F64"/>
    <w:p w14:paraId="63B03224" w14:textId="77777777" w:rsidR="00E93F58" w:rsidRPr="00FB5439" w:rsidRDefault="00E93F58" w:rsidP="00070F64">
      <w:pPr>
        <w:rPr>
          <w:rFonts w:ascii="Arial" w:hAnsi="Arial" w:cs="Arial"/>
          <w:szCs w:val="22"/>
        </w:rPr>
      </w:pPr>
      <w:r w:rsidRPr="00FB5439">
        <w:rPr>
          <w:rFonts w:ascii="Arial" w:hAnsi="Arial" w:cs="Arial"/>
          <w:szCs w:val="22"/>
        </w:rPr>
        <w:t>RETURN OF MEMBERS OF FIRM OF AUDITORS</w:t>
      </w:r>
    </w:p>
    <w:p w14:paraId="79808217" w14:textId="77777777" w:rsidR="00E93F58" w:rsidRPr="00FB5439" w:rsidRDefault="00E93F58" w:rsidP="00070F64">
      <w:pPr>
        <w:spacing w:before="240"/>
        <w:rPr>
          <w:szCs w:val="22"/>
        </w:rPr>
      </w:pPr>
      <w:r w:rsidRPr="00FB5439">
        <w:rPr>
          <w:szCs w:val="22"/>
        </w:rPr>
        <w:t>Name of firm:</w:t>
      </w:r>
    </w:p>
    <w:p w14:paraId="520BA597" w14:textId="77777777" w:rsidR="00E93F58" w:rsidRPr="00FB5439" w:rsidRDefault="00E93F58" w:rsidP="00070F64">
      <w:pPr>
        <w:rPr>
          <w:szCs w:val="22"/>
        </w:rPr>
      </w:pPr>
    </w:p>
    <w:p w14:paraId="23DC67CD" w14:textId="77777777" w:rsidR="00E93F58" w:rsidRPr="00FB5439" w:rsidRDefault="00E93F58" w:rsidP="00070F64">
      <w:pPr>
        <w:rPr>
          <w:szCs w:val="22"/>
        </w:rPr>
      </w:pPr>
      <w:r w:rsidRPr="00FB5439">
        <w:rPr>
          <w:szCs w:val="22"/>
        </w:rPr>
        <w:t>Address of firm</w:t>
      </w:r>
      <w:r w:rsidRPr="00FB5439">
        <w:rPr>
          <w:szCs w:val="22"/>
          <w:vertAlign w:val="superscript"/>
        </w:rPr>
        <w:t>1</w:t>
      </w:r>
      <w:r w:rsidRPr="00FB5439">
        <w:rPr>
          <w:szCs w:val="22"/>
        </w:rPr>
        <w:t>:</w:t>
      </w:r>
    </w:p>
    <w:p w14:paraId="5986E40F" w14:textId="77777777" w:rsidR="00E93F58" w:rsidRPr="00FB5439" w:rsidRDefault="00E93F58" w:rsidP="00070F64">
      <w:pPr>
        <w:rPr>
          <w:szCs w:val="22"/>
        </w:rPr>
      </w:pPr>
    </w:p>
    <w:p w14:paraId="26E80352" w14:textId="77777777" w:rsidR="00E93F58" w:rsidRPr="00FB5439" w:rsidRDefault="00E93F58" w:rsidP="00070F64">
      <w:pPr>
        <w:rPr>
          <w:szCs w:val="22"/>
        </w:rPr>
      </w:pPr>
      <w:r w:rsidRPr="00FB5439">
        <w:rPr>
          <w:szCs w:val="22"/>
        </w:rPr>
        <w:t>The full names and addresses of all of the members of the firm are:</w:t>
      </w:r>
    </w:p>
    <w:p w14:paraId="2DD41B89" w14:textId="77777777" w:rsidR="00E93F58" w:rsidRPr="00FB5439" w:rsidRDefault="00E93F58" w:rsidP="00070F64">
      <w:pPr>
        <w:rPr>
          <w:szCs w:val="22"/>
        </w:rPr>
      </w:pPr>
    </w:p>
    <w:tbl>
      <w:tblPr>
        <w:tblW w:w="5000" w:type="pct"/>
        <w:tblLook w:val="0000" w:firstRow="0" w:lastRow="0" w:firstColumn="0" w:lastColumn="0" w:noHBand="0" w:noVBand="0"/>
      </w:tblPr>
      <w:tblGrid>
        <w:gridCol w:w="3591"/>
        <w:gridCol w:w="3592"/>
        <w:gridCol w:w="3590"/>
      </w:tblGrid>
      <w:tr w:rsidR="00E93F58" w:rsidRPr="00FB5439" w14:paraId="6C11D101" w14:textId="77777777" w:rsidTr="00B23434">
        <w:tc>
          <w:tcPr>
            <w:tcW w:w="1667" w:type="pct"/>
          </w:tcPr>
          <w:p w14:paraId="3D3119D5" w14:textId="77777777" w:rsidR="00E93F58" w:rsidRPr="00FB5439" w:rsidRDefault="00E93F58" w:rsidP="00070F64">
            <w:pPr>
              <w:rPr>
                <w:szCs w:val="22"/>
              </w:rPr>
            </w:pPr>
            <w:r w:rsidRPr="00FB5439">
              <w:rPr>
                <w:szCs w:val="22"/>
              </w:rPr>
              <w:t>Surname</w:t>
            </w:r>
          </w:p>
        </w:tc>
        <w:tc>
          <w:tcPr>
            <w:tcW w:w="1667" w:type="pct"/>
          </w:tcPr>
          <w:p w14:paraId="1FB8C9A9" w14:textId="77777777" w:rsidR="00E93F58" w:rsidRPr="00FB5439" w:rsidRDefault="00E93F58" w:rsidP="00070F64">
            <w:pPr>
              <w:rPr>
                <w:szCs w:val="22"/>
              </w:rPr>
            </w:pPr>
            <w:r w:rsidRPr="00FB5439">
              <w:rPr>
                <w:szCs w:val="22"/>
              </w:rPr>
              <w:t>First or given names</w:t>
            </w:r>
          </w:p>
        </w:tc>
        <w:tc>
          <w:tcPr>
            <w:tcW w:w="1666" w:type="pct"/>
          </w:tcPr>
          <w:p w14:paraId="0F1D249A" w14:textId="77777777" w:rsidR="00E93F58" w:rsidRPr="00FB5439" w:rsidRDefault="00E93F58" w:rsidP="00070F64">
            <w:pPr>
              <w:rPr>
                <w:szCs w:val="22"/>
              </w:rPr>
            </w:pPr>
            <w:r w:rsidRPr="00FB5439">
              <w:rPr>
                <w:szCs w:val="22"/>
              </w:rPr>
              <w:t>Residential address</w:t>
            </w:r>
          </w:p>
        </w:tc>
      </w:tr>
    </w:tbl>
    <w:p w14:paraId="028C01E3" w14:textId="77777777" w:rsidR="00E93F58" w:rsidRPr="00FB5439" w:rsidRDefault="00E93F58" w:rsidP="00070F64">
      <w:pPr>
        <w:rPr>
          <w:szCs w:val="22"/>
        </w:rPr>
      </w:pPr>
    </w:p>
    <w:p w14:paraId="503111F1" w14:textId="77777777" w:rsidR="00E93F58" w:rsidRPr="00FB5439" w:rsidRDefault="00E93F58" w:rsidP="00070F64">
      <w:pPr>
        <w:rPr>
          <w:szCs w:val="22"/>
        </w:rPr>
      </w:pPr>
      <w:r w:rsidRPr="00FB5439">
        <w:rPr>
          <w:szCs w:val="22"/>
        </w:rPr>
        <w:t>Dated</w:t>
      </w:r>
    </w:p>
    <w:p w14:paraId="058A3867" w14:textId="77777777" w:rsidR="00E93F58" w:rsidRPr="00FB5439" w:rsidRDefault="00E93F58" w:rsidP="00070F64">
      <w:pPr>
        <w:rPr>
          <w:szCs w:val="22"/>
        </w:rPr>
      </w:pPr>
    </w:p>
    <w:p w14:paraId="22A2767A" w14:textId="77777777" w:rsidR="00E93F58" w:rsidRPr="00FB5439" w:rsidRDefault="00E93F58" w:rsidP="00070F64">
      <w:pPr>
        <w:rPr>
          <w:szCs w:val="22"/>
        </w:rPr>
      </w:pPr>
      <w:r w:rsidRPr="00FB5439">
        <w:rPr>
          <w:szCs w:val="22"/>
        </w:rPr>
        <w:t>Signature</w:t>
      </w:r>
      <w:r w:rsidRPr="00FB5439">
        <w:rPr>
          <w:szCs w:val="22"/>
          <w:vertAlign w:val="superscript"/>
        </w:rPr>
        <w:t>2</w:t>
      </w:r>
    </w:p>
    <w:p w14:paraId="4DA7DC7E" w14:textId="77777777" w:rsidR="00E93F58" w:rsidRPr="00FB5439" w:rsidRDefault="00E93F58" w:rsidP="00070F64">
      <w:pPr>
        <w:rPr>
          <w:szCs w:val="22"/>
        </w:rPr>
      </w:pPr>
    </w:p>
    <w:p w14:paraId="3BC2B420" w14:textId="77777777" w:rsidR="00E93F58" w:rsidRPr="00FB5439" w:rsidRDefault="00E93F58" w:rsidP="00070F64">
      <w:pPr>
        <w:ind w:left="360" w:hanging="360"/>
        <w:jc w:val="both"/>
        <w:rPr>
          <w:szCs w:val="22"/>
        </w:rPr>
      </w:pPr>
      <w:r w:rsidRPr="00FB5439">
        <w:rPr>
          <w:szCs w:val="22"/>
        </w:rPr>
        <w:t>1.</w:t>
      </w:r>
      <w:r w:rsidRPr="00FB5439">
        <w:rPr>
          <w:szCs w:val="22"/>
        </w:rPr>
        <w:tab/>
        <w:t>Give the address of each place of business of the firm.  If there is more than one place of business, indicate the principal place of business.</w:t>
      </w:r>
    </w:p>
    <w:p w14:paraId="37850E1C" w14:textId="77777777" w:rsidR="00E93F58" w:rsidRPr="00FB5439" w:rsidRDefault="00E93F58" w:rsidP="00070F64">
      <w:pPr>
        <w:rPr>
          <w:szCs w:val="22"/>
        </w:rPr>
      </w:pPr>
    </w:p>
    <w:p w14:paraId="067B23E3" w14:textId="77777777" w:rsidR="00E93F58" w:rsidRPr="00FB5439" w:rsidRDefault="00E93F58" w:rsidP="00070F64">
      <w:pPr>
        <w:ind w:left="360" w:hanging="360"/>
        <w:rPr>
          <w:szCs w:val="22"/>
        </w:rPr>
      </w:pPr>
      <w:r w:rsidRPr="00FB5439">
        <w:rPr>
          <w:szCs w:val="22"/>
        </w:rPr>
        <w:t>2.</w:t>
      </w:r>
      <w:r w:rsidRPr="00FB5439">
        <w:rPr>
          <w:szCs w:val="22"/>
        </w:rPr>
        <w:tab/>
        <w:t>To be signed by one of the members of the firm.</w:t>
      </w:r>
    </w:p>
    <w:p w14:paraId="3D1C7B87" w14:textId="77777777" w:rsidR="00E93F58" w:rsidRPr="00FB5439" w:rsidRDefault="00E93F58" w:rsidP="00070F64">
      <w:pPr>
        <w:pStyle w:val="Formheading3"/>
        <w:keepNext w:val="0"/>
        <w:jc w:val="left"/>
        <w:rPr>
          <w:sz w:val="22"/>
          <w:szCs w:val="22"/>
        </w:rPr>
      </w:pPr>
      <w:r w:rsidRPr="00FB5439">
        <w:rPr>
          <w:sz w:val="22"/>
          <w:szCs w:val="22"/>
        </w:rPr>
        <w:t>DIRECTION</w:t>
      </w:r>
    </w:p>
    <w:p w14:paraId="08BBCF80" w14:textId="77777777" w:rsidR="00E93F58" w:rsidRPr="00FB5439" w:rsidRDefault="00E93F58" w:rsidP="00070F64">
      <w:pPr>
        <w:jc w:val="center"/>
        <w:rPr>
          <w:szCs w:val="22"/>
        </w:rPr>
      </w:pPr>
    </w:p>
    <w:p w14:paraId="281412BB" w14:textId="77777777" w:rsidR="00E93F58" w:rsidRPr="00FB5439" w:rsidRDefault="00E93F58" w:rsidP="00070F64">
      <w:pPr>
        <w:rPr>
          <w:szCs w:val="22"/>
        </w:rPr>
      </w:pPr>
      <w:r w:rsidRPr="00FB5439">
        <w:rPr>
          <w:szCs w:val="22"/>
        </w:rPr>
        <w:t>Requirements relating to annexures are set out in regulation 1.0.06.</w:t>
      </w:r>
    </w:p>
    <w:p w14:paraId="251F5060" w14:textId="77777777" w:rsidR="00E93F58" w:rsidRPr="00FB5439" w:rsidRDefault="00E93F58" w:rsidP="00070F64">
      <w:pPr>
        <w:pStyle w:val="Formheading3"/>
        <w:keepNext w:val="0"/>
        <w:jc w:val="left"/>
        <w:rPr>
          <w:sz w:val="22"/>
          <w:szCs w:val="22"/>
        </w:rPr>
      </w:pPr>
      <w:r w:rsidRPr="00FB5439">
        <w:rPr>
          <w:sz w:val="22"/>
          <w:szCs w:val="22"/>
        </w:rPr>
        <w:t>NOTE</w:t>
      </w:r>
    </w:p>
    <w:p w14:paraId="3D5B2E72" w14:textId="77777777" w:rsidR="00E93F58" w:rsidRPr="00FB5439" w:rsidRDefault="00E93F58" w:rsidP="00070F64">
      <w:pPr>
        <w:rPr>
          <w:szCs w:val="22"/>
        </w:rPr>
      </w:pPr>
    </w:p>
    <w:p w14:paraId="6E118E66" w14:textId="77777777" w:rsidR="00E93F58" w:rsidRPr="00FB5439" w:rsidRDefault="00E93F58" w:rsidP="00070F64">
      <w:pPr>
        <w:jc w:val="both"/>
        <w:rPr>
          <w:szCs w:val="22"/>
        </w:rPr>
      </w:pPr>
      <w:r w:rsidRPr="00FB5439">
        <w:rPr>
          <w:szCs w:val="22"/>
        </w:rPr>
        <w:t>The completion of this form does not relieve members of the firm from any obligation under the law relating to business names.</w:t>
      </w:r>
    </w:p>
    <w:p w14:paraId="3290C7BB" w14:textId="77777777" w:rsidR="00E93F58" w:rsidRPr="00FB5439" w:rsidRDefault="00E93F58" w:rsidP="00070F64">
      <w:pPr>
        <w:pageBreakBefore/>
        <w:rPr>
          <w:sz w:val="20"/>
        </w:rPr>
      </w:pPr>
      <w:r w:rsidRPr="00FB5439">
        <w:rPr>
          <w:noProof/>
          <w:lang w:eastAsia="en-AU"/>
        </w:rPr>
        <w:lastRenderedPageBreak/>
        <w:drawing>
          <wp:inline distT="0" distB="0" distL="0" distR="0" wp14:anchorId="1F08F668" wp14:editId="35E1AC5A">
            <wp:extent cx="4629150" cy="6572250"/>
            <wp:effectExtent l="0" t="0" r="0" b="0"/>
            <wp:docPr id="7" name="Picture 7" descr="form 315 Notification of resignation, removal or cessation of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 315"/>
                    <pic:cNvPicPr>
                      <a:picLocks noChangeAspect="1" noChangeArrowheads="1"/>
                    </pic:cNvPicPr>
                  </pic:nvPicPr>
                  <pic:blipFill>
                    <a:blip r:embed="rId21" cstate="print">
                      <a:extLst>
                        <a:ext uri="{28A0092B-C50C-407E-A947-70E740481C1C}">
                          <a14:useLocalDpi xmlns:a14="http://schemas.microsoft.com/office/drawing/2010/main" val="0"/>
                        </a:ext>
                      </a:extLst>
                    </a:blip>
                    <a:srcRect l="2367" t="3792" r="2367" b="671"/>
                    <a:stretch>
                      <a:fillRect/>
                    </a:stretch>
                  </pic:blipFill>
                  <pic:spPr bwMode="auto">
                    <a:xfrm>
                      <a:off x="0" y="0"/>
                      <a:ext cx="4629150" cy="6572250"/>
                    </a:xfrm>
                    <a:prstGeom prst="rect">
                      <a:avLst/>
                    </a:prstGeom>
                    <a:noFill/>
                    <a:ln>
                      <a:noFill/>
                    </a:ln>
                  </pic:spPr>
                </pic:pic>
              </a:graphicData>
            </a:graphic>
          </wp:inline>
        </w:drawing>
      </w:r>
    </w:p>
    <w:p w14:paraId="774B2154" w14:textId="77777777" w:rsidR="00E93F58" w:rsidRPr="00FB5439" w:rsidRDefault="00E93F58" w:rsidP="00A80D13">
      <w:pPr>
        <w:pStyle w:val="ActHead2"/>
        <w:pageBreakBefore/>
      </w:pPr>
      <w:bookmarkStart w:id="3173" w:name="_Toc151992772"/>
      <w:bookmarkStart w:id="3174" w:name="_Toc158713375"/>
      <w:r w:rsidRPr="00FB5439">
        <w:rPr>
          <w:rStyle w:val="CharPartNo"/>
        </w:rPr>
        <w:lastRenderedPageBreak/>
        <w:t>Form 501</w:t>
      </w:r>
      <w:bookmarkEnd w:id="3173"/>
      <w:bookmarkEnd w:id="3174"/>
      <w:r w:rsidRPr="00FB5439">
        <w:rPr>
          <w:rStyle w:val="CharPartText"/>
        </w:rPr>
        <w:t xml:space="preserve"> </w:t>
      </w:r>
      <w:r w:rsidRPr="00FB5439">
        <w:t xml:space="preserve"> </w:t>
      </w:r>
    </w:p>
    <w:p w14:paraId="184A8FE6" w14:textId="77777777" w:rsidR="00E93F58" w:rsidRPr="00FB5439" w:rsidRDefault="00E93F58" w:rsidP="00526752">
      <w:pPr>
        <w:pStyle w:val="notemargin"/>
      </w:pPr>
      <w:r w:rsidRPr="00FB5439">
        <w:t>(subsection 414(2))</w:t>
      </w:r>
    </w:p>
    <w:p w14:paraId="7F7F321C"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4DB247EB" w14:textId="77777777" w:rsidR="00E93F58" w:rsidRPr="00FB5439" w:rsidRDefault="00E93F58" w:rsidP="00070F64"/>
    <w:p w14:paraId="4B7DE401" w14:textId="77777777" w:rsidR="00E93F58" w:rsidRPr="00FB5439" w:rsidRDefault="00E93F58" w:rsidP="00070F64">
      <w:r w:rsidRPr="00FB5439">
        <w:t>Australian Company Number:</w:t>
      </w:r>
    </w:p>
    <w:p w14:paraId="37A0C7D7" w14:textId="77777777" w:rsidR="00E93F58" w:rsidRPr="00FB5439" w:rsidRDefault="00E93F58" w:rsidP="00070F64"/>
    <w:p w14:paraId="2E1F55E7" w14:textId="77777777" w:rsidR="00E93F58" w:rsidRPr="00FB5439" w:rsidRDefault="00E93F58" w:rsidP="00070F64">
      <w:pPr>
        <w:rPr>
          <w:i/>
        </w:rPr>
      </w:pPr>
      <w:r w:rsidRPr="00FB5439">
        <w:rPr>
          <w:i/>
        </w:rPr>
        <w:t>Corporations Act 2001</w:t>
      </w:r>
    </w:p>
    <w:p w14:paraId="032F4DBF" w14:textId="77777777" w:rsidR="00E93F58" w:rsidRPr="00FB5439" w:rsidRDefault="00E93F58" w:rsidP="00070F64">
      <w:pPr>
        <w:spacing w:before="240"/>
        <w:rPr>
          <w:rFonts w:ascii="Arial" w:hAnsi="Arial" w:cs="Arial"/>
          <w:szCs w:val="22"/>
        </w:rPr>
      </w:pPr>
      <w:r w:rsidRPr="00FB5439">
        <w:rPr>
          <w:rFonts w:ascii="Arial" w:hAnsi="Arial" w:cs="Arial"/>
          <w:szCs w:val="22"/>
        </w:rPr>
        <w:t>NOTICE TO DISSENTING SHAREHOLDER</w:t>
      </w:r>
    </w:p>
    <w:p w14:paraId="48C64F29" w14:textId="77777777" w:rsidR="00E93F58" w:rsidRPr="00FB5439" w:rsidRDefault="00E93F58" w:rsidP="005B65CC">
      <w:pPr>
        <w:spacing w:line="240" w:lineRule="auto"/>
        <w:jc w:val="center"/>
        <w:rPr>
          <w:sz w:val="18"/>
        </w:rPr>
      </w:pPr>
    </w:p>
    <w:p w14:paraId="7AD7A944" w14:textId="77777777" w:rsidR="00E93F58" w:rsidRPr="00FB5439" w:rsidRDefault="00E93F58" w:rsidP="00070F64">
      <w:pPr>
        <w:jc w:val="both"/>
        <w:rPr>
          <w:i/>
        </w:rPr>
      </w:pPr>
      <w:r w:rsidRPr="00FB5439">
        <w:rPr>
          <w:sz w:val="18"/>
        </w:rPr>
        <w:t>(</w:t>
      </w:r>
      <w:r w:rsidRPr="00FB5439">
        <w:rPr>
          <w:i/>
        </w:rPr>
        <w:t>Note that in this form “dissenting shareholder” means a shareholder who has not assented to the scheme or contract mentioned in paragraph B, or who has failed or refused to transfer his or her shares to the transferee in accordance with that scheme or contract)</w:t>
      </w:r>
    </w:p>
    <w:p w14:paraId="3E859096" w14:textId="77777777" w:rsidR="00E93F58" w:rsidRPr="00FB5439" w:rsidRDefault="00E93F58" w:rsidP="005B65CC">
      <w:pPr>
        <w:spacing w:line="240" w:lineRule="auto"/>
        <w:jc w:val="both"/>
      </w:pPr>
    </w:p>
    <w:p w14:paraId="2508A023" w14:textId="77777777" w:rsidR="00E93F58" w:rsidRPr="00FB5439" w:rsidRDefault="00E93F58" w:rsidP="005B65CC">
      <w:pPr>
        <w:pStyle w:val="form1"/>
        <w:spacing w:line="240" w:lineRule="auto"/>
        <w:ind w:left="357" w:hanging="357"/>
        <w:jc w:val="both"/>
        <w:rPr>
          <w:sz w:val="24"/>
        </w:rPr>
      </w:pPr>
      <w:r w:rsidRPr="00FB5439">
        <w:rPr>
          <w:sz w:val="24"/>
        </w:rPr>
        <w:t>1.</w:t>
      </w:r>
      <w:r w:rsidRPr="00FB5439">
        <w:rPr>
          <w:sz w:val="24"/>
        </w:rPr>
        <w:tab/>
        <w:t>To</w:t>
      </w:r>
    </w:p>
    <w:p w14:paraId="56F429CB" w14:textId="77777777" w:rsidR="00E93F58" w:rsidRPr="00FB5439" w:rsidRDefault="00E93F58" w:rsidP="005B65CC">
      <w:pPr>
        <w:pStyle w:val="form1"/>
        <w:spacing w:line="240" w:lineRule="auto"/>
        <w:ind w:left="357" w:hanging="357"/>
        <w:jc w:val="both"/>
        <w:rPr>
          <w:sz w:val="24"/>
        </w:rPr>
      </w:pPr>
      <w:r w:rsidRPr="00FB5439">
        <w:rPr>
          <w:sz w:val="24"/>
        </w:rPr>
        <w:tab/>
        <w:t>of</w:t>
      </w:r>
    </w:p>
    <w:p w14:paraId="6FF42ABB" w14:textId="77777777" w:rsidR="00E93F58" w:rsidRPr="00FB5439" w:rsidRDefault="00E93F58" w:rsidP="00070F64">
      <w:pPr>
        <w:pStyle w:val="form2"/>
        <w:tabs>
          <w:tab w:val="left" w:pos="4320"/>
          <w:tab w:val="left" w:pos="6480"/>
        </w:tabs>
        <w:jc w:val="both"/>
        <w:rPr>
          <w:sz w:val="24"/>
        </w:rPr>
      </w:pPr>
      <w:r w:rsidRPr="00FB5439">
        <w:rPr>
          <w:sz w:val="24"/>
        </w:rPr>
        <w:t>A.</w:t>
      </w:r>
      <w:r w:rsidRPr="00FB5439">
        <w:rPr>
          <w:sz w:val="24"/>
        </w:rPr>
        <w:tab/>
      </w:r>
      <w:r w:rsidRPr="00FB5439">
        <w:rPr>
          <w:i/>
          <w:sz w:val="24"/>
        </w:rPr>
        <w:t xml:space="preserve">(insert name of person giving notice, in this form called “the transferee”)  </w:t>
      </w:r>
      <w:r w:rsidRPr="00FB5439">
        <w:rPr>
          <w:sz w:val="24"/>
        </w:rPr>
        <w:t>The transferee on</w:t>
      </w:r>
      <w:r w:rsidRPr="00FB5439">
        <w:rPr>
          <w:sz w:val="24"/>
        </w:rPr>
        <w:tab/>
        <w:t>(</w:t>
      </w:r>
      <w:r w:rsidRPr="00FB5439">
        <w:rPr>
          <w:i/>
          <w:sz w:val="24"/>
        </w:rPr>
        <w:t>insert date)</w:t>
      </w:r>
      <w:r w:rsidRPr="00FB5439">
        <w:rPr>
          <w:sz w:val="24"/>
        </w:rPr>
        <w:tab/>
        <w:t>made</w:t>
      </w:r>
    </w:p>
    <w:p w14:paraId="05184DE9" w14:textId="77777777" w:rsidR="00E93F58" w:rsidRPr="00FB5439" w:rsidRDefault="00E93F58" w:rsidP="00070F64">
      <w:pPr>
        <w:pStyle w:val="form2"/>
        <w:tabs>
          <w:tab w:val="left" w:pos="6120"/>
        </w:tabs>
        <w:ind w:firstLine="0"/>
        <w:jc w:val="both"/>
        <w:rPr>
          <w:sz w:val="24"/>
        </w:rPr>
      </w:pPr>
      <w:r w:rsidRPr="00FB5439">
        <w:rPr>
          <w:sz w:val="24"/>
        </w:rPr>
        <w:t xml:space="preserve">an offer to the holders of </w:t>
      </w:r>
      <w:r w:rsidRPr="00A80D13">
        <w:rPr>
          <w:position w:val="6"/>
          <w:sz w:val="16"/>
        </w:rPr>
        <w:t>*</w:t>
      </w:r>
      <w:r w:rsidRPr="00FB5439">
        <w:rPr>
          <w:sz w:val="24"/>
        </w:rPr>
        <w:t>shares in</w:t>
      </w:r>
      <w:r w:rsidRPr="00FB5439">
        <w:rPr>
          <w:sz w:val="24"/>
        </w:rPr>
        <w:tab/>
        <w:t>Limited/</w:t>
      </w:r>
    </w:p>
    <w:p w14:paraId="10718E6F" w14:textId="77777777" w:rsidR="00E93F58" w:rsidRPr="00FB5439" w:rsidRDefault="00E93F58" w:rsidP="00070F64">
      <w:pPr>
        <w:pStyle w:val="form2"/>
        <w:tabs>
          <w:tab w:val="left" w:pos="5580"/>
        </w:tabs>
        <w:ind w:firstLine="0"/>
        <w:jc w:val="both"/>
        <w:rPr>
          <w:sz w:val="24"/>
        </w:rPr>
      </w:pPr>
      <w:r w:rsidRPr="00A80D13">
        <w:rPr>
          <w:position w:val="6"/>
          <w:sz w:val="16"/>
        </w:rPr>
        <w:t>*</w:t>
      </w:r>
      <w:r w:rsidRPr="00FB5439">
        <w:rPr>
          <w:sz w:val="24"/>
        </w:rPr>
        <w:t>shares included in</w:t>
      </w:r>
      <w:r w:rsidRPr="00FB5439">
        <w:rPr>
          <w:sz w:val="24"/>
        </w:rPr>
        <w:tab/>
        <w:t>class of shares</w:t>
      </w:r>
    </w:p>
    <w:p w14:paraId="6F71E0EF" w14:textId="77777777" w:rsidR="00E93F58" w:rsidRPr="00FB5439" w:rsidRDefault="00E93F58" w:rsidP="005B65CC">
      <w:pPr>
        <w:pStyle w:val="form2"/>
        <w:tabs>
          <w:tab w:val="left" w:pos="3120"/>
          <w:tab w:val="left" w:pos="5160"/>
        </w:tabs>
        <w:spacing w:line="240" w:lineRule="auto"/>
        <w:ind w:firstLine="0"/>
        <w:jc w:val="both"/>
        <w:rPr>
          <w:sz w:val="24"/>
        </w:rPr>
      </w:pPr>
      <w:r w:rsidRPr="00FB5439">
        <w:rPr>
          <w:sz w:val="24"/>
        </w:rPr>
        <w:t>in</w:t>
      </w:r>
      <w:r w:rsidRPr="00FB5439">
        <w:rPr>
          <w:sz w:val="24"/>
        </w:rPr>
        <w:tab/>
        <w:t>Limited for the transfer of those shares to the transferee, not being an offer made under a scheme or contract arising out of the making of takeover offers or a takeover announcement under the law relating to the acquisition of shares; and</w:t>
      </w:r>
    </w:p>
    <w:p w14:paraId="7ECF1BE5" w14:textId="77777777" w:rsidR="00E93F58" w:rsidRPr="00FB5439" w:rsidRDefault="00E93F58" w:rsidP="00070F64">
      <w:pPr>
        <w:pStyle w:val="form2"/>
        <w:tabs>
          <w:tab w:val="left" w:pos="6120"/>
        </w:tabs>
        <w:jc w:val="both"/>
        <w:rPr>
          <w:sz w:val="24"/>
        </w:rPr>
      </w:pPr>
      <w:r w:rsidRPr="00FB5439">
        <w:rPr>
          <w:sz w:val="24"/>
        </w:rPr>
        <w:t>B.</w:t>
      </w:r>
      <w:r w:rsidRPr="00FB5439">
        <w:rPr>
          <w:sz w:val="24"/>
        </w:rPr>
        <w:tab/>
        <w:t xml:space="preserve">the scheme or contract involving the transfer of those shares to the transferee was on or before </w:t>
      </w:r>
      <w:r w:rsidRPr="00FB5439">
        <w:rPr>
          <w:i/>
          <w:sz w:val="24"/>
        </w:rPr>
        <w:t>(insert date)</w:t>
      </w:r>
      <w:r w:rsidRPr="00FB5439">
        <w:rPr>
          <w:i/>
          <w:sz w:val="24"/>
        </w:rPr>
        <w:tab/>
      </w:r>
      <w:r w:rsidRPr="00FB5439">
        <w:rPr>
          <w:sz w:val="24"/>
        </w:rPr>
        <w:t>approved by the holders of not less than nine</w:t>
      </w:r>
      <w:r>
        <w:rPr>
          <w:sz w:val="24"/>
        </w:rPr>
        <w:noBreakHyphen/>
      </w:r>
      <w:r w:rsidRPr="00FB5439">
        <w:rPr>
          <w:sz w:val="24"/>
        </w:rPr>
        <w:t xml:space="preserve">tenths in nominal value of the shares </w:t>
      </w:r>
      <w:r w:rsidRPr="00A80D13">
        <w:rPr>
          <w:position w:val="6"/>
          <w:sz w:val="16"/>
        </w:rPr>
        <w:t>*</w:t>
      </w:r>
      <w:r w:rsidRPr="00FB5439">
        <w:rPr>
          <w:sz w:val="24"/>
        </w:rPr>
        <w:t>in that company/</w:t>
      </w:r>
      <w:r w:rsidRPr="00A80D13">
        <w:rPr>
          <w:position w:val="6"/>
          <w:sz w:val="16"/>
        </w:rPr>
        <w:t>*</w:t>
      </w:r>
      <w:r w:rsidRPr="00FB5439">
        <w:rPr>
          <w:sz w:val="24"/>
        </w:rPr>
        <w:t>included in that class of shares, other than shares already held at the date of the offer by, or by a nominee for, the transferee (or, if the transferee is a company, its subsidiary); and</w:t>
      </w:r>
    </w:p>
    <w:p w14:paraId="6A6E0FC2" w14:textId="77777777" w:rsidR="00E93F58" w:rsidRPr="00FB5439" w:rsidRDefault="00E93F58" w:rsidP="005B65CC">
      <w:pPr>
        <w:pStyle w:val="form2"/>
        <w:spacing w:after="60" w:line="240" w:lineRule="auto"/>
        <w:ind w:left="714" w:hanging="357"/>
        <w:jc w:val="both"/>
        <w:rPr>
          <w:sz w:val="24"/>
        </w:rPr>
      </w:pPr>
      <w:r w:rsidRPr="00FB5439">
        <w:rPr>
          <w:sz w:val="24"/>
        </w:rPr>
        <w:t>C.</w:t>
      </w:r>
      <w:r w:rsidRPr="00FB5439">
        <w:rPr>
          <w:sz w:val="24"/>
        </w:rPr>
        <w:tab/>
        <w:t xml:space="preserve">you are a dissenting shareholder of shares </w:t>
      </w:r>
      <w:r w:rsidRPr="00A80D13">
        <w:rPr>
          <w:position w:val="6"/>
          <w:sz w:val="16"/>
        </w:rPr>
        <w:t>*</w:t>
      </w:r>
      <w:r w:rsidRPr="00FB5439">
        <w:rPr>
          <w:sz w:val="24"/>
        </w:rPr>
        <w:t xml:space="preserve">in the company/ </w:t>
      </w:r>
      <w:r w:rsidRPr="00A80D13">
        <w:rPr>
          <w:position w:val="6"/>
          <w:sz w:val="16"/>
        </w:rPr>
        <w:t>*</w:t>
      </w:r>
      <w:r w:rsidRPr="00FB5439">
        <w:rPr>
          <w:sz w:val="24"/>
        </w:rPr>
        <w:t>included in that class of shares.</w:t>
      </w:r>
    </w:p>
    <w:p w14:paraId="1B5F7127" w14:textId="77777777" w:rsidR="00E93F58" w:rsidRPr="00FB5439" w:rsidRDefault="00E93F58" w:rsidP="005B65CC">
      <w:pPr>
        <w:pStyle w:val="form1"/>
        <w:keepLines/>
        <w:spacing w:before="120"/>
        <w:ind w:left="357" w:hanging="357"/>
        <w:jc w:val="both"/>
        <w:rPr>
          <w:sz w:val="24"/>
        </w:rPr>
      </w:pPr>
      <w:r w:rsidRPr="00FB5439">
        <w:rPr>
          <w:sz w:val="24"/>
        </w:rPr>
        <w:t>2.</w:t>
      </w:r>
      <w:r w:rsidRPr="00FB5439">
        <w:rPr>
          <w:sz w:val="24"/>
        </w:rPr>
        <w:tab/>
        <w:t>The transferee gives you notice under subsection 414(2) that the transferee desires to acquire those shares held by you.</w:t>
      </w:r>
    </w:p>
    <w:p w14:paraId="37849952" w14:textId="77777777" w:rsidR="00E93F58" w:rsidRPr="00FB5439" w:rsidRDefault="00E93F58" w:rsidP="005B65CC">
      <w:pPr>
        <w:pStyle w:val="form1"/>
        <w:keepLines/>
        <w:spacing w:before="120"/>
        <w:ind w:left="357" w:hanging="357"/>
        <w:jc w:val="both"/>
        <w:rPr>
          <w:sz w:val="24"/>
        </w:rPr>
      </w:pPr>
      <w:r w:rsidRPr="00FB5439">
        <w:rPr>
          <w:sz w:val="24"/>
        </w:rPr>
        <w:t>3.</w:t>
      </w:r>
      <w:r w:rsidRPr="00FB5439">
        <w:rPr>
          <w:sz w:val="24"/>
        </w:rPr>
        <w:tab/>
        <w:t>You are entitled under subsection 414(7) to require the transferee, by a demand in writing served on the transferee within one month after the date on which this notice is given, to furnish to you a statement in writing of the names and addresses of all other dissenting shareholders shown in the register of members.</w:t>
      </w:r>
    </w:p>
    <w:p w14:paraId="74FAA272" w14:textId="77777777" w:rsidR="00E93F58" w:rsidRPr="00FB5439" w:rsidRDefault="00E93F58" w:rsidP="005B65CC">
      <w:pPr>
        <w:pStyle w:val="form1"/>
        <w:spacing w:before="120"/>
        <w:ind w:left="357" w:hanging="357"/>
        <w:jc w:val="both"/>
        <w:rPr>
          <w:sz w:val="24"/>
        </w:rPr>
      </w:pPr>
      <w:r w:rsidRPr="00A80D13">
        <w:rPr>
          <w:position w:val="6"/>
          <w:sz w:val="16"/>
        </w:rPr>
        <w:t>*</w:t>
      </w:r>
      <w:r w:rsidRPr="00FB5439">
        <w:rPr>
          <w:sz w:val="24"/>
        </w:rPr>
        <w:t>4.</w:t>
      </w:r>
      <w:r w:rsidRPr="00FB5439">
        <w:rPr>
          <w:sz w:val="24"/>
        </w:rPr>
        <w:tab/>
        <w:t>You are entitled not later than the expiration of one month after the date on which this notice is given or 14 days after the date on which a statement is supplied to you under subsection 414(7), whichever is the later, to elect, by notice to the transferee, which of the alternative terms offered to the approving shareholders under the scheme or contract you prefer.  The alternative terms are as follows:</w:t>
      </w:r>
    </w:p>
    <w:p w14:paraId="4E36F071" w14:textId="77777777" w:rsidR="00E93F58" w:rsidRPr="00FB5439" w:rsidRDefault="00E93F58" w:rsidP="005B65CC">
      <w:pPr>
        <w:pStyle w:val="form1"/>
        <w:spacing w:before="120"/>
        <w:ind w:left="357" w:hanging="357"/>
        <w:jc w:val="both"/>
        <w:rPr>
          <w:sz w:val="24"/>
        </w:rPr>
      </w:pPr>
      <w:r w:rsidRPr="00FB5439">
        <w:rPr>
          <w:sz w:val="24"/>
        </w:rPr>
        <w:t>5.</w:t>
      </w:r>
      <w:r w:rsidRPr="00FB5439">
        <w:rPr>
          <w:sz w:val="24"/>
        </w:rPr>
        <w:tab/>
        <w:t>Unless, on application made by you within one month after the date on which this notice is given or within 14 days after a statement is supplied to you under subsection 414(7), the Federal Court of Australia or the Supreme Court of (</w:t>
      </w:r>
      <w:r w:rsidRPr="00FB5439">
        <w:rPr>
          <w:i/>
          <w:sz w:val="24"/>
        </w:rPr>
        <w:t xml:space="preserve">State or Territory) </w:t>
      </w:r>
      <w:r w:rsidRPr="00FB5439">
        <w:rPr>
          <w:sz w:val="24"/>
        </w:rPr>
        <w:t>orders otherwise, the transferee will be entitled and bound subject to subsection 414(7) to acquire your shares:</w:t>
      </w:r>
    </w:p>
    <w:p w14:paraId="2CB2F0CD" w14:textId="77777777" w:rsidR="00E93F58" w:rsidRPr="00FB5439" w:rsidRDefault="00E93F58" w:rsidP="00070F64">
      <w:pPr>
        <w:pStyle w:val="form2"/>
        <w:jc w:val="both"/>
        <w:rPr>
          <w:sz w:val="24"/>
        </w:rPr>
      </w:pPr>
      <w:r w:rsidRPr="00FB5439">
        <w:rPr>
          <w:sz w:val="24"/>
        </w:rPr>
        <w:t>(a)</w:t>
      </w:r>
      <w:r w:rsidRPr="00FB5439">
        <w:rPr>
          <w:sz w:val="24"/>
        </w:rPr>
        <w:tab/>
        <w:t>on the terms on which under the scheme or contract the shares of the approving shareholders are to be transferred to the transferee; or</w:t>
      </w:r>
    </w:p>
    <w:p w14:paraId="67CCA277" w14:textId="77777777" w:rsidR="00E93F58" w:rsidRPr="00FB5439" w:rsidRDefault="00E93F58" w:rsidP="00070F64">
      <w:pPr>
        <w:pStyle w:val="form2"/>
        <w:jc w:val="both"/>
        <w:rPr>
          <w:sz w:val="24"/>
        </w:rPr>
      </w:pPr>
      <w:r w:rsidRPr="00FB5439">
        <w:rPr>
          <w:sz w:val="24"/>
        </w:rPr>
        <w:t>(b)</w:t>
      </w:r>
      <w:r w:rsidRPr="00FB5439">
        <w:rPr>
          <w:sz w:val="24"/>
        </w:rPr>
        <w:tab/>
        <w:t>if alternative terms were offered — on the terms for which you have elected; or</w:t>
      </w:r>
    </w:p>
    <w:p w14:paraId="30819FB3" w14:textId="77777777" w:rsidR="00E93F58" w:rsidRPr="00FB5439" w:rsidRDefault="00E93F58" w:rsidP="00070F64">
      <w:pPr>
        <w:pStyle w:val="form2"/>
        <w:jc w:val="both"/>
        <w:rPr>
          <w:sz w:val="24"/>
        </w:rPr>
      </w:pPr>
      <w:r w:rsidRPr="00FB5439">
        <w:rPr>
          <w:sz w:val="24"/>
        </w:rPr>
        <w:t>(c)</w:t>
      </w:r>
      <w:r w:rsidRPr="00FB5439">
        <w:rPr>
          <w:sz w:val="24"/>
        </w:rPr>
        <w:tab/>
        <w:t>if you have not so elected — on whichever of those terms the transferee determines unless the Court otherwise orders.</w:t>
      </w:r>
    </w:p>
    <w:p w14:paraId="77D86227" w14:textId="77777777" w:rsidR="00E93F58" w:rsidRPr="00FB5439" w:rsidRDefault="00E93F58" w:rsidP="005B65CC">
      <w:pPr>
        <w:spacing w:line="240" w:lineRule="auto"/>
        <w:jc w:val="both"/>
      </w:pPr>
    </w:p>
    <w:p w14:paraId="433A60FD" w14:textId="77777777" w:rsidR="00E93F58" w:rsidRPr="00FB5439" w:rsidRDefault="00E93F58" w:rsidP="005B65CC">
      <w:pPr>
        <w:spacing w:line="240" w:lineRule="auto"/>
        <w:jc w:val="both"/>
      </w:pPr>
    </w:p>
    <w:p w14:paraId="31A79643" w14:textId="77777777" w:rsidR="00E93F58" w:rsidRPr="00FB5439" w:rsidRDefault="00E93F58" w:rsidP="00070F64">
      <w:pPr>
        <w:jc w:val="both"/>
      </w:pPr>
      <w:r w:rsidRPr="00FB5439">
        <w:t>Dated</w:t>
      </w:r>
    </w:p>
    <w:p w14:paraId="053C65B4" w14:textId="77777777" w:rsidR="00E93F58" w:rsidRPr="00FB5439" w:rsidRDefault="00E93F58" w:rsidP="005B65CC">
      <w:pPr>
        <w:spacing w:line="240" w:lineRule="auto"/>
        <w:jc w:val="both"/>
      </w:pPr>
    </w:p>
    <w:p w14:paraId="79166A4D" w14:textId="77777777" w:rsidR="00E93F58" w:rsidRPr="00FB5439" w:rsidRDefault="00E93F58" w:rsidP="005B65CC">
      <w:pPr>
        <w:spacing w:line="240" w:lineRule="auto"/>
        <w:jc w:val="both"/>
      </w:pPr>
    </w:p>
    <w:p w14:paraId="6BF909DA" w14:textId="77777777" w:rsidR="00E93F58" w:rsidRPr="00FB5439" w:rsidRDefault="00E93F58" w:rsidP="00070F64">
      <w:pPr>
        <w:jc w:val="right"/>
        <w:rPr>
          <w:i/>
        </w:rPr>
      </w:pPr>
      <w:r w:rsidRPr="00FB5439">
        <w:rPr>
          <w:i/>
        </w:rPr>
        <w:t>(signature of transferee)</w:t>
      </w:r>
    </w:p>
    <w:p w14:paraId="4BFBD007" w14:textId="77777777" w:rsidR="00E93F58" w:rsidRPr="00FB5439" w:rsidRDefault="00E93F58" w:rsidP="005B65CC">
      <w:pPr>
        <w:spacing w:line="0" w:lineRule="atLeast"/>
        <w:jc w:val="both"/>
      </w:pPr>
      <w:r w:rsidRPr="00A80D13">
        <w:rPr>
          <w:position w:val="6"/>
          <w:sz w:val="16"/>
        </w:rPr>
        <w:t>*</w:t>
      </w:r>
      <w:r w:rsidRPr="00FB5439">
        <w:t>Omit if not applicable</w:t>
      </w:r>
    </w:p>
    <w:p w14:paraId="166882AC" w14:textId="77777777" w:rsidR="00E93F58" w:rsidRPr="00FB5439" w:rsidRDefault="00E93F58" w:rsidP="005B65CC">
      <w:pPr>
        <w:pStyle w:val="Formheading3"/>
        <w:keepLines/>
        <w:spacing w:before="240"/>
        <w:jc w:val="both"/>
        <w:rPr>
          <w:sz w:val="24"/>
        </w:rPr>
      </w:pPr>
      <w:r w:rsidRPr="00FB5439">
        <w:rPr>
          <w:sz w:val="24"/>
        </w:rPr>
        <w:lastRenderedPageBreak/>
        <w:t>DIRECTION</w:t>
      </w:r>
    </w:p>
    <w:p w14:paraId="4269CA10" w14:textId="77777777" w:rsidR="00E93F58" w:rsidRPr="00FB5439" w:rsidRDefault="00E93F58" w:rsidP="00070F64">
      <w:pPr>
        <w:jc w:val="both"/>
      </w:pPr>
    </w:p>
    <w:p w14:paraId="6F79AFE3" w14:textId="77777777" w:rsidR="00E93F58" w:rsidRPr="00FB5439" w:rsidRDefault="00E93F58" w:rsidP="00070F64">
      <w:pPr>
        <w:jc w:val="both"/>
      </w:pPr>
      <w:r w:rsidRPr="00FB5439">
        <w:t>Requirements relating to annexures are set out in regulation 1.0.06.</w:t>
      </w:r>
    </w:p>
    <w:p w14:paraId="2A5D7CC5" w14:textId="77777777" w:rsidR="00E93F58" w:rsidRPr="00FB5439" w:rsidRDefault="00E93F58" w:rsidP="00070F64"/>
    <w:p w14:paraId="5F885B38" w14:textId="77777777" w:rsidR="00E93F58" w:rsidRPr="00FB5439" w:rsidRDefault="00E93F58" w:rsidP="00A80D13">
      <w:pPr>
        <w:pStyle w:val="ActHead2"/>
        <w:pageBreakBefore/>
      </w:pPr>
      <w:bookmarkStart w:id="3175" w:name="_Toc151992773"/>
      <w:bookmarkStart w:id="3176" w:name="_Toc158713376"/>
      <w:r w:rsidRPr="00FB5439">
        <w:rPr>
          <w:rStyle w:val="CharPartNo"/>
        </w:rPr>
        <w:lastRenderedPageBreak/>
        <w:t>Form 502</w:t>
      </w:r>
      <w:bookmarkEnd w:id="3175"/>
      <w:bookmarkEnd w:id="3176"/>
      <w:r w:rsidRPr="00FB5439">
        <w:rPr>
          <w:rStyle w:val="CharPartText"/>
        </w:rPr>
        <w:t xml:space="preserve"> </w:t>
      </w:r>
      <w:r w:rsidRPr="00FB5439">
        <w:t xml:space="preserve"> </w:t>
      </w:r>
    </w:p>
    <w:p w14:paraId="0D206264" w14:textId="77777777" w:rsidR="00E93F58" w:rsidRPr="00FB5439" w:rsidRDefault="00E93F58" w:rsidP="002E0506">
      <w:pPr>
        <w:pStyle w:val="notemargin"/>
      </w:pPr>
      <w:r w:rsidRPr="00FB5439">
        <w:t>(subsection 414(9)(a))</w:t>
      </w:r>
    </w:p>
    <w:p w14:paraId="2E6B5126" w14:textId="77777777" w:rsidR="00E93F58" w:rsidRPr="00FB5439" w:rsidRDefault="00E93F58" w:rsidP="00070F64">
      <w:pPr>
        <w:rPr>
          <w:sz w:val="18"/>
        </w:rPr>
      </w:pPr>
    </w:p>
    <w:p w14:paraId="6614E8D5" w14:textId="77777777" w:rsidR="00E93F58" w:rsidRPr="00FB5439" w:rsidRDefault="00E93F58" w:rsidP="00070F64">
      <w:r w:rsidRPr="00FB5439">
        <w:t>Australian Company Number:</w:t>
      </w:r>
    </w:p>
    <w:p w14:paraId="4B351EE7" w14:textId="77777777" w:rsidR="00E93F58" w:rsidRPr="00FB5439" w:rsidRDefault="00E93F58" w:rsidP="00070F64">
      <w:pPr>
        <w:pStyle w:val="form1"/>
      </w:pPr>
    </w:p>
    <w:p w14:paraId="4FEF507E" w14:textId="77777777" w:rsidR="00E93F58" w:rsidRPr="00FB5439" w:rsidRDefault="00E93F58" w:rsidP="00070F64">
      <w:pPr>
        <w:pStyle w:val="Header"/>
        <w:keepNext w:val="0"/>
      </w:pPr>
      <w:r w:rsidRPr="00FB5439">
        <w:t xml:space="preserve">  </w:t>
      </w:r>
    </w:p>
    <w:p w14:paraId="2AEFE40A" w14:textId="77777777" w:rsidR="00E93F58" w:rsidRPr="00FB5439" w:rsidRDefault="00E93F58" w:rsidP="00070F64">
      <w:pPr>
        <w:rPr>
          <w:i/>
        </w:rPr>
      </w:pPr>
      <w:r w:rsidRPr="00FB5439">
        <w:rPr>
          <w:i/>
        </w:rPr>
        <w:t>Corporations Act 2001</w:t>
      </w:r>
    </w:p>
    <w:p w14:paraId="500C2D8C" w14:textId="77777777" w:rsidR="00E93F58" w:rsidRPr="00FB5439" w:rsidRDefault="00E93F58" w:rsidP="00070F64">
      <w:pPr>
        <w:pStyle w:val="form1"/>
      </w:pPr>
    </w:p>
    <w:p w14:paraId="7E3C2C7F" w14:textId="77777777" w:rsidR="00E93F58" w:rsidRPr="00FB5439" w:rsidRDefault="00E93F58" w:rsidP="00070F64">
      <w:pPr>
        <w:pStyle w:val="form1"/>
        <w:rPr>
          <w:rFonts w:ascii="Arial" w:hAnsi="Arial" w:cs="Arial"/>
          <w:sz w:val="22"/>
          <w:szCs w:val="22"/>
        </w:rPr>
      </w:pPr>
      <w:r w:rsidRPr="00FB5439">
        <w:rPr>
          <w:rFonts w:ascii="Arial" w:hAnsi="Arial" w:cs="Arial"/>
          <w:sz w:val="22"/>
          <w:szCs w:val="22"/>
        </w:rPr>
        <w:t>NOTICE TO REMAINING SHAREHOLDER</w:t>
      </w:r>
    </w:p>
    <w:p w14:paraId="6583FFC4" w14:textId="77777777" w:rsidR="00E93F58" w:rsidRPr="00FB5439" w:rsidRDefault="00E93F58" w:rsidP="00070F64">
      <w:pPr>
        <w:pStyle w:val="form1"/>
        <w:rPr>
          <w:rFonts w:ascii="Arial" w:hAnsi="Arial" w:cs="Arial"/>
          <w:sz w:val="22"/>
          <w:szCs w:val="22"/>
        </w:rPr>
      </w:pPr>
    </w:p>
    <w:p w14:paraId="13F7F752" w14:textId="77777777" w:rsidR="00E93F58" w:rsidRPr="00FB5439" w:rsidRDefault="00E93F58" w:rsidP="00070F64">
      <w:pPr>
        <w:pStyle w:val="form1"/>
        <w:jc w:val="both"/>
        <w:rPr>
          <w:sz w:val="22"/>
          <w:szCs w:val="22"/>
        </w:rPr>
      </w:pPr>
      <w:r w:rsidRPr="00FB5439">
        <w:rPr>
          <w:sz w:val="22"/>
          <w:szCs w:val="22"/>
        </w:rPr>
        <w:t>1.</w:t>
      </w:r>
      <w:r w:rsidRPr="00FB5439">
        <w:rPr>
          <w:sz w:val="22"/>
          <w:szCs w:val="22"/>
        </w:rPr>
        <w:tab/>
        <w:t>To</w:t>
      </w:r>
    </w:p>
    <w:p w14:paraId="2AD7B498" w14:textId="77777777" w:rsidR="00E93F58" w:rsidRPr="00FB5439" w:rsidRDefault="00E93F58" w:rsidP="00070F64">
      <w:pPr>
        <w:pStyle w:val="form1"/>
        <w:jc w:val="both"/>
        <w:rPr>
          <w:sz w:val="22"/>
          <w:szCs w:val="22"/>
        </w:rPr>
      </w:pPr>
      <w:r w:rsidRPr="00FB5439">
        <w:rPr>
          <w:sz w:val="22"/>
          <w:szCs w:val="22"/>
        </w:rPr>
        <w:tab/>
        <w:t>of</w:t>
      </w:r>
    </w:p>
    <w:p w14:paraId="303800B7" w14:textId="77777777" w:rsidR="00E93F58" w:rsidRPr="00FB5439" w:rsidRDefault="00E93F58" w:rsidP="00070F64">
      <w:pPr>
        <w:pStyle w:val="form2"/>
        <w:jc w:val="both"/>
        <w:rPr>
          <w:sz w:val="22"/>
          <w:szCs w:val="22"/>
        </w:rPr>
      </w:pPr>
      <w:r w:rsidRPr="00FB5439">
        <w:rPr>
          <w:sz w:val="22"/>
          <w:szCs w:val="22"/>
        </w:rPr>
        <w:t>A.</w:t>
      </w:r>
      <w:r w:rsidRPr="00FB5439">
        <w:rPr>
          <w:sz w:val="22"/>
          <w:szCs w:val="22"/>
        </w:rPr>
        <w:tab/>
        <w:t>(</w:t>
      </w:r>
      <w:r w:rsidRPr="00FB5439">
        <w:rPr>
          <w:i/>
          <w:sz w:val="22"/>
          <w:szCs w:val="22"/>
        </w:rPr>
        <w:t xml:space="preserve">insert name of person giving notice, in this form called “the transferee”)  </w:t>
      </w:r>
      <w:r w:rsidRPr="00FB5439">
        <w:rPr>
          <w:sz w:val="22"/>
          <w:szCs w:val="22"/>
        </w:rPr>
        <w:t>The transferee in (</w:t>
      </w:r>
      <w:r w:rsidRPr="00FB5439">
        <w:rPr>
          <w:i/>
          <w:sz w:val="22"/>
          <w:szCs w:val="22"/>
        </w:rPr>
        <w:t xml:space="preserve">insert date) </w:t>
      </w:r>
      <w:r w:rsidRPr="00FB5439">
        <w:rPr>
          <w:sz w:val="22"/>
          <w:szCs w:val="22"/>
        </w:rPr>
        <w:t xml:space="preserve">made offers to the holders of shares </w:t>
      </w:r>
      <w:r w:rsidRPr="00A80D13">
        <w:rPr>
          <w:position w:val="6"/>
          <w:sz w:val="16"/>
          <w:szCs w:val="22"/>
        </w:rPr>
        <w:t>*</w:t>
      </w:r>
      <w:r w:rsidRPr="00FB5439">
        <w:rPr>
          <w:sz w:val="22"/>
          <w:szCs w:val="22"/>
        </w:rPr>
        <w:t>in Limited/</w:t>
      </w:r>
      <w:r w:rsidRPr="00A80D13">
        <w:rPr>
          <w:position w:val="6"/>
          <w:sz w:val="16"/>
          <w:szCs w:val="22"/>
        </w:rPr>
        <w:t>*</w:t>
      </w:r>
      <w:r w:rsidRPr="00FB5439">
        <w:rPr>
          <w:sz w:val="22"/>
          <w:szCs w:val="22"/>
        </w:rPr>
        <w:t>included in</w:t>
      </w:r>
      <w:r w:rsidRPr="00FB5439">
        <w:rPr>
          <w:sz w:val="22"/>
          <w:szCs w:val="22"/>
        </w:rPr>
        <w:tab/>
      </w:r>
      <w:r w:rsidRPr="00FB5439">
        <w:rPr>
          <w:sz w:val="22"/>
          <w:szCs w:val="22"/>
        </w:rPr>
        <w:tab/>
      </w:r>
      <w:r w:rsidRPr="00FB5439">
        <w:rPr>
          <w:sz w:val="22"/>
          <w:szCs w:val="22"/>
        </w:rPr>
        <w:tab/>
        <w:t>class of shares in</w:t>
      </w:r>
      <w:r w:rsidRPr="00FB5439">
        <w:rPr>
          <w:sz w:val="22"/>
          <w:szCs w:val="22"/>
        </w:rPr>
        <w:tab/>
      </w:r>
      <w:r w:rsidRPr="00FB5439">
        <w:rPr>
          <w:sz w:val="22"/>
          <w:szCs w:val="22"/>
        </w:rPr>
        <w:tab/>
      </w:r>
      <w:r w:rsidRPr="00FB5439">
        <w:rPr>
          <w:sz w:val="22"/>
          <w:szCs w:val="22"/>
        </w:rPr>
        <w:tab/>
        <w:t>Limited for the transfer of those shares to the transferee, not being offers made under a scheme or contract arising out of the making of takeover offers or a takeover announcement under the law relating to the acquisition of shares; and</w:t>
      </w:r>
    </w:p>
    <w:p w14:paraId="6F80299F" w14:textId="77777777" w:rsidR="00E93F58" w:rsidRPr="00FB5439" w:rsidRDefault="00E93F58" w:rsidP="00070F64">
      <w:pPr>
        <w:pStyle w:val="form2"/>
        <w:tabs>
          <w:tab w:val="left" w:pos="3480"/>
        </w:tabs>
        <w:jc w:val="both"/>
        <w:rPr>
          <w:sz w:val="22"/>
          <w:szCs w:val="22"/>
        </w:rPr>
      </w:pPr>
      <w:r w:rsidRPr="00FB5439">
        <w:rPr>
          <w:sz w:val="22"/>
          <w:szCs w:val="22"/>
        </w:rPr>
        <w:t>B.</w:t>
      </w:r>
      <w:r w:rsidRPr="00FB5439">
        <w:rPr>
          <w:sz w:val="22"/>
          <w:szCs w:val="22"/>
        </w:rPr>
        <w:tab/>
        <w:t>under the scheme or contract the transferee became an (</w:t>
      </w:r>
      <w:r w:rsidRPr="00FB5439">
        <w:rPr>
          <w:i/>
          <w:sz w:val="22"/>
          <w:szCs w:val="22"/>
        </w:rPr>
        <w:t xml:space="preserve">insert date) </w:t>
      </w:r>
      <w:r w:rsidRPr="00FB5439">
        <w:rPr>
          <w:sz w:val="22"/>
          <w:szCs w:val="22"/>
        </w:rPr>
        <w:t>beneficially entitled to shares in that company which together with any other shares in that company to which the transferee, or the transferee and any corporation related to the transferee, is beneficially entitled, comprise or include nine</w:t>
      </w:r>
      <w:r>
        <w:rPr>
          <w:sz w:val="22"/>
          <w:szCs w:val="22"/>
        </w:rPr>
        <w:noBreakHyphen/>
      </w:r>
      <w:r w:rsidRPr="00FB5439">
        <w:rPr>
          <w:sz w:val="22"/>
          <w:szCs w:val="22"/>
        </w:rPr>
        <w:t xml:space="preserve">tenths in nominal value of the shares </w:t>
      </w:r>
      <w:r w:rsidRPr="00FB5439">
        <w:rPr>
          <w:sz w:val="22"/>
          <w:szCs w:val="22"/>
        </w:rPr>
        <w:br/>
      </w:r>
      <w:r w:rsidRPr="00A80D13">
        <w:rPr>
          <w:position w:val="6"/>
          <w:sz w:val="16"/>
          <w:szCs w:val="22"/>
        </w:rPr>
        <w:t>*</w:t>
      </w:r>
      <w:r w:rsidRPr="00FB5439">
        <w:rPr>
          <w:sz w:val="22"/>
          <w:szCs w:val="22"/>
        </w:rPr>
        <w:t>in</w:t>
      </w:r>
      <w:r w:rsidRPr="00FB5439">
        <w:rPr>
          <w:sz w:val="22"/>
          <w:szCs w:val="22"/>
        </w:rPr>
        <w:tab/>
        <w:t>Limited/</w:t>
      </w:r>
      <w:r w:rsidRPr="00A80D13">
        <w:rPr>
          <w:position w:val="6"/>
          <w:sz w:val="16"/>
          <w:szCs w:val="22"/>
        </w:rPr>
        <w:t>*</w:t>
      </w:r>
      <w:r w:rsidRPr="00FB5439">
        <w:rPr>
          <w:sz w:val="22"/>
          <w:szCs w:val="22"/>
        </w:rPr>
        <w:t>included in that class of shares</w:t>
      </w:r>
    </w:p>
    <w:p w14:paraId="22C99AFF" w14:textId="77777777" w:rsidR="00E93F58" w:rsidRPr="00FB5439" w:rsidRDefault="00E93F58" w:rsidP="00070F64">
      <w:pPr>
        <w:pStyle w:val="form2"/>
        <w:tabs>
          <w:tab w:val="left" w:pos="2880"/>
        </w:tabs>
        <w:ind w:firstLine="0"/>
        <w:jc w:val="both"/>
        <w:rPr>
          <w:sz w:val="22"/>
          <w:szCs w:val="22"/>
        </w:rPr>
      </w:pPr>
      <w:r w:rsidRPr="00FB5439">
        <w:rPr>
          <w:sz w:val="22"/>
          <w:szCs w:val="22"/>
        </w:rPr>
        <w:t xml:space="preserve"> in </w:t>
      </w:r>
      <w:r w:rsidRPr="00FB5439">
        <w:rPr>
          <w:sz w:val="22"/>
          <w:szCs w:val="22"/>
        </w:rPr>
        <w:tab/>
        <w:t>Limited; and</w:t>
      </w:r>
    </w:p>
    <w:p w14:paraId="2B4BE136" w14:textId="77777777" w:rsidR="00E93F58" w:rsidRPr="00FB5439" w:rsidRDefault="00E93F58" w:rsidP="00070F64">
      <w:pPr>
        <w:pStyle w:val="form2"/>
        <w:jc w:val="both"/>
        <w:rPr>
          <w:sz w:val="22"/>
          <w:szCs w:val="22"/>
        </w:rPr>
      </w:pPr>
      <w:r w:rsidRPr="00FB5439">
        <w:rPr>
          <w:sz w:val="22"/>
          <w:szCs w:val="22"/>
        </w:rPr>
        <w:t>C.</w:t>
      </w:r>
      <w:r w:rsidRPr="00FB5439">
        <w:rPr>
          <w:sz w:val="22"/>
          <w:szCs w:val="22"/>
        </w:rPr>
        <w:tab/>
        <w:t xml:space="preserve">you are the holder of remaining shares </w:t>
      </w:r>
      <w:r w:rsidRPr="00A80D13">
        <w:rPr>
          <w:position w:val="6"/>
          <w:sz w:val="16"/>
          <w:szCs w:val="22"/>
        </w:rPr>
        <w:t>*</w:t>
      </w:r>
      <w:r w:rsidRPr="00FB5439">
        <w:rPr>
          <w:sz w:val="22"/>
          <w:szCs w:val="22"/>
        </w:rPr>
        <w:t>in that company/</w:t>
      </w:r>
      <w:r w:rsidRPr="00A80D13">
        <w:rPr>
          <w:position w:val="6"/>
          <w:sz w:val="16"/>
          <w:szCs w:val="22"/>
        </w:rPr>
        <w:t>*</w:t>
      </w:r>
      <w:r w:rsidRPr="00FB5439">
        <w:rPr>
          <w:sz w:val="22"/>
          <w:szCs w:val="22"/>
        </w:rPr>
        <w:t>included in that class of shares in that company and have not assented to the scheme or contract or been given notice in respect of those shares by the transferee under subsection 414(2).</w:t>
      </w:r>
    </w:p>
    <w:p w14:paraId="190B8D6A" w14:textId="77777777" w:rsidR="00E93F58" w:rsidRPr="00FB5439" w:rsidRDefault="00E93F58" w:rsidP="00070F64">
      <w:pPr>
        <w:pStyle w:val="form1"/>
        <w:tabs>
          <w:tab w:val="left" w:pos="5760"/>
        </w:tabs>
        <w:ind w:left="357" w:hanging="357"/>
        <w:jc w:val="both"/>
        <w:rPr>
          <w:sz w:val="22"/>
          <w:szCs w:val="22"/>
        </w:rPr>
      </w:pPr>
    </w:p>
    <w:p w14:paraId="6B3CE935" w14:textId="77777777" w:rsidR="00E93F58" w:rsidRPr="00FB5439" w:rsidRDefault="00E93F58" w:rsidP="00070F64">
      <w:pPr>
        <w:pStyle w:val="form1"/>
        <w:tabs>
          <w:tab w:val="left" w:pos="4080"/>
        </w:tabs>
        <w:ind w:left="357" w:hanging="357"/>
        <w:jc w:val="both"/>
        <w:rPr>
          <w:sz w:val="22"/>
          <w:szCs w:val="22"/>
        </w:rPr>
      </w:pPr>
      <w:r w:rsidRPr="00FB5439">
        <w:rPr>
          <w:sz w:val="22"/>
          <w:szCs w:val="22"/>
        </w:rPr>
        <w:t>2.</w:t>
      </w:r>
      <w:r w:rsidRPr="00FB5439">
        <w:rPr>
          <w:sz w:val="22"/>
          <w:szCs w:val="22"/>
        </w:rPr>
        <w:tab/>
        <w:t>The transferee gives you notice under subsection 414(9) that under that scheme or contract the transferee on (</w:t>
      </w:r>
      <w:r w:rsidRPr="00FB5439">
        <w:rPr>
          <w:i/>
          <w:sz w:val="22"/>
          <w:szCs w:val="22"/>
        </w:rPr>
        <w:t xml:space="preserve">insert date) </w:t>
      </w:r>
      <w:r w:rsidRPr="00FB5439">
        <w:rPr>
          <w:sz w:val="22"/>
          <w:szCs w:val="22"/>
        </w:rPr>
        <w:t>become beneficially entitled to shares in</w:t>
      </w:r>
      <w:r w:rsidRPr="00FB5439">
        <w:rPr>
          <w:sz w:val="22"/>
          <w:szCs w:val="22"/>
        </w:rPr>
        <w:tab/>
        <w:t>Limited and those shares together with any other shares in that company to which the transferee, or the transferee and any corporation related to the transferee, is beneficially entitled, comprise or included nine</w:t>
      </w:r>
      <w:r>
        <w:rPr>
          <w:sz w:val="22"/>
          <w:szCs w:val="22"/>
        </w:rPr>
        <w:noBreakHyphen/>
      </w:r>
      <w:r w:rsidRPr="00FB5439">
        <w:rPr>
          <w:sz w:val="22"/>
          <w:szCs w:val="22"/>
        </w:rPr>
        <w:t>tenths in nominal value of the shares (in that company/</w:t>
      </w:r>
      <w:r w:rsidRPr="00A80D13">
        <w:rPr>
          <w:position w:val="6"/>
          <w:sz w:val="16"/>
          <w:szCs w:val="22"/>
        </w:rPr>
        <w:t>*</w:t>
      </w:r>
      <w:r w:rsidRPr="00FB5439">
        <w:rPr>
          <w:sz w:val="22"/>
          <w:szCs w:val="22"/>
        </w:rPr>
        <w:t>included in that class of shares in that company.</w:t>
      </w:r>
    </w:p>
    <w:p w14:paraId="1ACB7DF5" w14:textId="77777777" w:rsidR="00E93F58" w:rsidRPr="00FB5439" w:rsidRDefault="00E93F58" w:rsidP="00070F64">
      <w:pPr>
        <w:pStyle w:val="form1"/>
        <w:jc w:val="both"/>
        <w:rPr>
          <w:sz w:val="22"/>
          <w:szCs w:val="22"/>
        </w:rPr>
      </w:pPr>
    </w:p>
    <w:p w14:paraId="0BABE278" w14:textId="77777777" w:rsidR="00E93F58" w:rsidRPr="00FB5439" w:rsidRDefault="00E93F58" w:rsidP="00070F64">
      <w:pPr>
        <w:pStyle w:val="form1"/>
        <w:jc w:val="both"/>
        <w:rPr>
          <w:sz w:val="22"/>
          <w:szCs w:val="22"/>
        </w:rPr>
      </w:pPr>
      <w:r w:rsidRPr="00FB5439">
        <w:rPr>
          <w:sz w:val="22"/>
          <w:szCs w:val="22"/>
        </w:rPr>
        <w:t>3.</w:t>
      </w:r>
      <w:r w:rsidRPr="00FB5439">
        <w:rPr>
          <w:sz w:val="22"/>
          <w:szCs w:val="22"/>
        </w:rPr>
        <w:tab/>
        <w:t>You are entitled under subsection 414(9) within 3 months after the date on which this notice is given by notice to the transferee to require the transferee to acquire your shares.</w:t>
      </w:r>
    </w:p>
    <w:p w14:paraId="5C1BCD7D" w14:textId="77777777" w:rsidR="00E93F58" w:rsidRPr="00FB5439" w:rsidRDefault="00E93F58" w:rsidP="00070F64">
      <w:pPr>
        <w:pStyle w:val="form1"/>
        <w:jc w:val="both"/>
        <w:rPr>
          <w:sz w:val="22"/>
          <w:szCs w:val="22"/>
        </w:rPr>
      </w:pPr>
      <w:r w:rsidRPr="00A80D13">
        <w:rPr>
          <w:position w:val="6"/>
          <w:sz w:val="16"/>
          <w:szCs w:val="22"/>
        </w:rPr>
        <w:t>*</w:t>
      </w:r>
      <w:r w:rsidRPr="00FB5439">
        <w:rPr>
          <w:sz w:val="22"/>
          <w:szCs w:val="22"/>
        </w:rPr>
        <w:t>3.</w:t>
      </w:r>
      <w:r w:rsidRPr="00FB5439">
        <w:rPr>
          <w:sz w:val="22"/>
          <w:szCs w:val="22"/>
        </w:rPr>
        <w:tab/>
        <w:t>You are entitled under subsection 414(9) within 3 months after the date on which this notice is given to elect by notice to the transferee which of the alternative terms offered to the approving shareholders under the scheme or contract you will accept.  The alternative terms are as follows:</w:t>
      </w:r>
    </w:p>
    <w:p w14:paraId="31A72195" w14:textId="77777777" w:rsidR="00E93F58" w:rsidRPr="00FB5439" w:rsidRDefault="00E93F58" w:rsidP="00070F64">
      <w:pPr>
        <w:pStyle w:val="form1"/>
        <w:jc w:val="both"/>
        <w:rPr>
          <w:sz w:val="22"/>
          <w:szCs w:val="22"/>
        </w:rPr>
      </w:pPr>
    </w:p>
    <w:p w14:paraId="73C01D8E" w14:textId="77777777" w:rsidR="00E93F58" w:rsidRPr="00FB5439" w:rsidRDefault="00E93F58" w:rsidP="00070F64">
      <w:pPr>
        <w:pStyle w:val="form1"/>
        <w:jc w:val="both"/>
        <w:rPr>
          <w:sz w:val="22"/>
          <w:szCs w:val="22"/>
        </w:rPr>
      </w:pPr>
      <w:r w:rsidRPr="00FB5439">
        <w:rPr>
          <w:sz w:val="22"/>
          <w:szCs w:val="22"/>
        </w:rPr>
        <w:t>4.</w:t>
      </w:r>
      <w:r w:rsidRPr="00FB5439">
        <w:rPr>
          <w:sz w:val="22"/>
          <w:szCs w:val="22"/>
        </w:rPr>
        <w:tab/>
        <w:t>If you require the transferee to acquire the shares held by you the transferee will be entitled and bound to acquire those shares:</w:t>
      </w:r>
    </w:p>
    <w:p w14:paraId="2C3AB4EB" w14:textId="77777777" w:rsidR="00E93F58" w:rsidRPr="00FB5439" w:rsidRDefault="00E93F58" w:rsidP="00070F64">
      <w:pPr>
        <w:pStyle w:val="form2"/>
        <w:jc w:val="both"/>
        <w:rPr>
          <w:sz w:val="22"/>
          <w:szCs w:val="22"/>
        </w:rPr>
      </w:pPr>
      <w:r w:rsidRPr="00FB5439">
        <w:rPr>
          <w:sz w:val="22"/>
          <w:szCs w:val="22"/>
        </w:rPr>
        <w:t>(a)</w:t>
      </w:r>
      <w:r w:rsidRPr="00FB5439">
        <w:rPr>
          <w:sz w:val="22"/>
          <w:szCs w:val="22"/>
        </w:rPr>
        <w:tab/>
        <w:t>on the terms that under the scheme or contract were offered to the approving shareholders; or</w:t>
      </w:r>
    </w:p>
    <w:p w14:paraId="633B573D" w14:textId="77777777" w:rsidR="00E93F58" w:rsidRPr="00FB5439" w:rsidRDefault="00E93F58" w:rsidP="00070F64">
      <w:pPr>
        <w:pStyle w:val="form2"/>
        <w:jc w:val="both"/>
        <w:rPr>
          <w:sz w:val="22"/>
          <w:szCs w:val="22"/>
        </w:rPr>
      </w:pPr>
      <w:r w:rsidRPr="00FB5439">
        <w:rPr>
          <w:sz w:val="22"/>
          <w:szCs w:val="22"/>
        </w:rPr>
        <w:t>(b)</w:t>
      </w:r>
      <w:r w:rsidRPr="00FB5439">
        <w:rPr>
          <w:sz w:val="22"/>
          <w:szCs w:val="22"/>
        </w:rPr>
        <w:tab/>
        <w:t>if alternative terms were offered—on the terms for which you have elected;</w:t>
      </w:r>
    </w:p>
    <w:p w14:paraId="768E9E04" w14:textId="77777777" w:rsidR="00E93F58" w:rsidRPr="00FB5439" w:rsidRDefault="00E93F58" w:rsidP="00070F64">
      <w:pPr>
        <w:pStyle w:val="form2"/>
        <w:jc w:val="both"/>
        <w:rPr>
          <w:sz w:val="22"/>
          <w:szCs w:val="22"/>
        </w:rPr>
      </w:pPr>
      <w:r w:rsidRPr="00FB5439">
        <w:rPr>
          <w:sz w:val="22"/>
          <w:szCs w:val="22"/>
        </w:rPr>
        <w:t>(c)</w:t>
      </w:r>
      <w:r w:rsidRPr="00FB5439">
        <w:rPr>
          <w:sz w:val="22"/>
          <w:szCs w:val="22"/>
        </w:rPr>
        <w:tab/>
        <w:t>if you do not so elect</w:t>
      </w:r>
    </w:p>
    <w:p w14:paraId="5850FE01" w14:textId="77777777" w:rsidR="00E93F58" w:rsidRPr="00FB5439" w:rsidRDefault="00E93F58" w:rsidP="00070F64">
      <w:pPr>
        <w:pStyle w:val="form3"/>
        <w:jc w:val="both"/>
        <w:rPr>
          <w:sz w:val="22"/>
          <w:szCs w:val="22"/>
        </w:rPr>
      </w:pPr>
      <w:r w:rsidRPr="00FB5439">
        <w:rPr>
          <w:sz w:val="22"/>
          <w:szCs w:val="22"/>
        </w:rPr>
        <w:t>(i)</w:t>
      </w:r>
      <w:r w:rsidRPr="00FB5439">
        <w:rPr>
          <w:sz w:val="22"/>
          <w:szCs w:val="22"/>
        </w:rPr>
        <w:tab/>
        <w:t>on whichever of the terms the transferee determines or</w:t>
      </w:r>
    </w:p>
    <w:p w14:paraId="362D64A0" w14:textId="77777777" w:rsidR="00E93F58" w:rsidRPr="00FB5439" w:rsidRDefault="00E93F58" w:rsidP="00070F64">
      <w:pPr>
        <w:pStyle w:val="form3"/>
        <w:tabs>
          <w:tab w:val="left" w:pos="6480"/>
        </w:tabs>
        <w:jc w:val="both"/>
        <w:rPr>
          <w:sz w:val="22"/>
          <w:szCs w:val="22"/>
        </w:rPr>
      </w:pPr>
      <w:r w:rsidRPr="00FB5439">
        <w:rPr>
          <w:sz w:val="22"/>
          <w:szCs w:val="22"/>
        </w:rPr>
        <w:t>(ii)</w:t>
      </w:r>
      <w:r w:rsidRPr="00FB5439">
        <w:rPr>
          <w:sz w:val="22"/>
          <w:szCs w:val="22"/>
        </w:rPr>
        <w:tab/>
        <w:t>on such other terms as are agreed or as the Federal Court of Australia or the Supreme Court of`</w:t>
      </w:r>
      <w:r w:rsidRPr="00FB5439">
        <w:rPr>
          <w:sz w:val="22"/>
          <w:szCs w:val="22"/>
        </w:rPr>
        <w:tab/>
        <w:t>on the application of the transferee or of yourself orders.</w:t>
      </w:r>
    </w:p>
    <w:p w14:paraId="067A160F" w14:textId="77777777" w:rsidR="00E93F58" w:rsidRPr="00FB5439" w:rsidRDefault="00E93F58" w:rsidP="00070F64">
      <w:pPr>
        <w:jc w:val="both"/>
        <w:rPr>
          <w:szCs w:val="22"/>
        </w:rPr>
      </w:pPr>
    </w:p>
    <w:p w14:paraId="14ACFF50" w14:textId="77777777" w:rsidR="00E93F58" w:rsidRPr="00FB5439" w:rsidRDefault="00E93F58" w:rsidP="00070F64">
      <w:pPr>
        <w:jc w:val="both"/>
        <w:rPr>
          <w:szCs w:val="22"/>
        </w:rPr>
      </w:pPr>
      <w:r w:rsidRPr="00FB5439">
        <w:rPr>
          <w:szCs w:val="22"/>
        </w:rPr>
        <w:t>Dated</w:t>
      </w:r>
    </w:p>
    <w:p w14:paraId="4BCB6CF0" w14:textId="77777777" w:rsidR="00E93F58" w:rsidRPr="00FB5439" w:rsidRDefault="00E93F58" w:rsidP="00070F64">
      <w:pPr>
        <w:jc w:val="both"/>
        <w:rPr>
          <w:szCs w:val="22"/>
        </w:rPr>
      </w:pPr>
    </w:p>
    <w:p w14:paraId="561F1AF6" w14:textId="77777777" w:rsidR="00E93F58" w:rsidRPr="00FB5439" w:rsidRDefault="00E93F58" w:rsidP="00070F64">
      <w:pPr>
        <w:tabs>
          <w:tab w:val="right" w:pos="7020"/>
        </w:tabs>
        <w:jc w:val="both"/>
        <w:rPr>
          <w:i/>
          <w:szCs w:val="22"/>
        </w:rPr>
      </w:pPr>
      <w:r w:rsidRPr="00FB5439">
        <w:rPr>
          <w:i/>
          <w:szCs w:val="22"/>
        </w:rPr>
        <w:tab/>
        <w:t>(signature of transferee)</w:t>
      </w:r>
    </w:p>
    <w:p w14:paraId="025A3F2A" w14:textId="77777777" w:rsidR="00E93F58" w:rsidRPr="00FB5439" w:rsidRDefault="00E93F58" w:rsidP="00070F64">
      <w:pPr>
        <w:jc w:val="both"/>
        <w:rPr>
          <w:szCs w:val="22"/>
        </w:rPr>
      </w:pPr>
      <w:r w:rsidRPr="00A80D13">
        <w:rPr>
          <w:position w:val="6"/>
          <w:sz w:val="16"/>
          <w:szCs w:val="22"/>
        </w:rPr>
        <w:t>*</w:t>
      </w:r>
      <w:r w:rsidRPr="00FB5439">
        <w:rPr>
          <w:szCs w:val="22"/>
        </w:rPr>
        <w:t>Omit if not applicable</w:t>
      </w:r>
    </w:p>
    <w:p w14:paraId="5B35E208" w14:textId="77777777" w:rsidR="00E93F58" w:rsidRPr="00FB5439" w:rsidRDefault="00E93F58" w:rsidP="00070F64">
      <w:pPr>
        <w:pStyle w:val="Formheading3"/>
        <w:keepNext w:val="0"/>
        <w:jc w:val="left"/>
        <w:rPr>
          <w:sz w:val="22"/>
          <w:szCs w:val="22"/>
        </w:rPr>
      </w:pPr>
      <w:r w:rsidRPr="00FB5439">
        <w:rPr>
          <w:sz w:val="22"/>
          <w:szCs w:val="22"/>
        </w:rPr>
        <w:t>DIRECTION</w:t>
      </w:r>
    </w:p>
    <w:p w14:paraId="3D2D3A74" w14:textId="77777777" w:rsidR="00E93F58" w:rsidRPr="00FB5439" w:rsidRDefault="00E93F58" w:rsidP="00070F64">
      <w:pPr>
        <w:jc w:val="both"/>
        <w:rPr>
          <w:szCs w:val="22"/>
        </w:rPr>
      </w:pPr>
    </w:p>
    <w:p w14:paraId="0B28540D" w14:textId="77777777" w:rsidR="00E93F58" w:rsidRPr="00FB5439" w:rsidRDefault="00E93F58" w:rsidP="00070F64">
      <w:pPr>
        <w:jc w:val="both"/>
      </w:pPr>
      <w:r w:rsidRPr="00FB5439">
        <w:rPr>
          <w:szCs w:val="22"/>
        </w:rPr>
        <w:t>Requirements relating to annexures are set out in regulation 1.0.06.</w:t>
      </w:r>
    </w:p>
    <w:p w14:paraId="252D3D62" w14:textId="77777777" w:rsidR="00E93F58" w:rsidRPr="00FB5439" w:rsidRDefault="00E93F58" w:rsidP="00A80D13">
      <w:pPr>
        <w:pStyle w:val="ActHead2"/>
        <w:pageBreakBefore/>
      </w:pPr>
      <w:bookmarkStart w:id="3177" w:name="_Toc151992774"/>
      <w:bookmarkStart w:id="3178" w:name="_Toc158713377"/>
      <w:r w:rsidRPr="00FB5439">
        <w:rPr>
          <w:rStyle w:val="CharPartNo"/>
        </w:rPr>
        <w:lastRenderedPageBreak/>
        <w:t>Form 503</w:t>
      </w:r>
      <w:bookmarkEnd w:id="3177"/>
      <w:bookmarkEnd w:id="3178"/>
      <w:r w:rsidRPr="00FB5439">
        <w:rPr>
          <w:rStyle w:val="CharPartText"/>
        </w:rPr>
        <w:t xml:space="preserve"> </w:t>
      </w:r>
      <w:r w:rsidRPr="00FB5439">
        <w:t xml:space="preserve"> </w:t>
      </w:r>
    </w:p>
    <w:p w14:paraId="53989717" w14:textId="77777777" w:rsidR="00E93F58" w:rsidRPr="00FB5439" w:rsidRDefault="00E93F58" w:rsidP="002E0506">
      <w:pPr>
        <w:pStyle w:val="notemargin"/>
      </w:pPr>
      <w:r w:rsidRPr="00FB5439">
        <w:t>(subsection 419A(3))</w:t>
      </w:r>
    </w:p>
    <w:p w14:paraId="1FE939EE" w14:textId="77777777" w:rsidR="00E93F58" w:rsidRPr="00FB5439" w:rsidRDefault="00E93F58" w:rsidP="00070F64">
      <w:pPr>
        <w:rPr>
          <w:sz w:val="18"/>
        </w:rPr>
      </w:pPr>
    </w:p>
    <w:p w14:paraId="51601A81" w14:textId="77777777" w:rsidR="00E93F58" w:rsidRPr="00FB5439" w:rsidRDefault="00E93F58" w:rsidP="00070F64">
      <w:pPr>
        <w:rPr>
          <w:i/>
        </w:rPr>
      </w:pPr>
      <w:r w:rsidRPr="00FB5439">
        <w:rPr>
          <w:i/>
        </w:rPr>
        <w:t>Corporations Act 2001</w:t>
      </w:r>
    </w:p>
    <w:p w14:paraId="6EE5A5CB" w14:textId="77777777" w:rsidR="00E93F58" w:rsidRPr="00FB5439" w:rsidRDefault="00E93F58" w:rsidP="00070F64">
      <w:pPr>
        <w:spacing w:before="240" w:after="240"/>
        <w:rPr>
          <w:rFonts w:ascii="Arial" w:hAnsi="Arial" w:cs="Arial"/>
          <w:szCs w:val="22"/>
        </w:rPr>
      </w:pPr>
      <w:r w:rsidRPr="00FB5439">
        <w:rPr>
          <w:rFonts w:ascii="Arial" w:hAnsi="Arial" w:cs="Arial"/>
          <w:szCs w:val="22"/>
        </w:rPr>
        <w:t>NOTICE OF CONTROLLER’S INTENTION NOT TO EXERCISE PROPERTY RIGHTS</w:t>
      </w:r>
    </w:p>
    <w:p w14:paraId="7B166244" w14:textId="77777777" w:rsidR="00E93F58" w:rsidRPr="00FB5439" w:rsidRDefault="00E93F58" w:rsidP="00070F64">
      <w:pPr>
        <w:tabs>
          <w:tab w:val="left" w:pos="960"/>
          <w:tab w:val="left" w:pos="3480"/>
          <w:tab w:val="left" w:pos="4560"/>
          <w:tab w:val="left" w:pos="6600"/>
        </w:tabs>
        <w:jc w:val="both"/>
      </w:pPr>
      <w:r w:rsidRPr="00FB5439">
        <w:t xml:space="preserve">To: </w:t>
      </w:r>
      <w:r w:rsidRPr="00FB5439">
        <w:tab/>
        <w:t>(</w:t>
      </w:r>
      <w:r w:rsidRPr="00FB5439">
        <w:rPr>
          <w:i/>
        </w:rPr>
        <w:t>name</w:t>
      </w:r>
      <w:r w:rsidRPr="00FB5439">
        <w:t>),</w:t>
      </w:r>
      <w:r w:rsidRPr="00FB5439">
        <w:tab/>
        <w:t xml:space="preserve">of </w:t>
      </w:r>
      <w:r w:rsidRPr="00FB5439">
        <w:tab/>
        <w:t>(</w:t>
      </w:r>
      <w:r w:rsidRPr="00FB5439">
        <w:rPr>
          <w:i/>
        </w:rPr>
        <w:t>address</w:t>
      </w:r>
      <w:r w:rsidRPr="00FB5439">
        <w:t>)</w:t>
      </w:r>
      <w:r w:rsidRPr="00FB5439">
        <w:tab/>
        <w:t xml:space="preserve">, the </w:t>
      </w:r>
      <w:r w:rsidRPr="00A80D13">
        <w:rPr>
          <w:position w:val="6"/>
          <w:sz w:val="16"/>
        </w:rPr>
        <w:t>*</w:t>
      </w:r>
      <w:r w:rsidRPr="00FB5439">
        <w:t>owner/</w:t>
      </w:r>
      <w:r w:rsidRPr="00A80D13">
        <w:rPr>
          <w:position w:val="6"/>
          <w:sz w:val="16"/>
        </w:rPr>
        <w:t>*</w:t>
      </w:r>
      <w:r w:rsidRPr="00FB5439">
        <w:t>lessor of property (“the specified property”) being:</w:t>
      </w:r>
    </w:p>
    <w:p w14:paraId="24C4BEEB" w14:textId="77777777" w:rsidR="00E93F58" w:rsidRPr="00FB5439" w:rsidRDefault="00E93F58" w:rsidP="00070F64">
      <w:pPr>
        <w:jc w:val="both"/>
      </w:pPr>
    </w:p>
    <w:p w14:paraId="2ADD0CB9" w14:textId="77777777" w:rsidR="00E93F58" w:rsidRPr="00FB5439" w:rsidRDefault="00E93F58" w:rsidP="00070F64">
      <w:pPr>
        <w:jc w:val="both"/>
        <w:rPr>
          <w:i/>
        </w:rPr>
      </w:pPr>
      <w:r w:rsidRPr="00FB5439">
        <w:rPr>
          <w:i/>
        </w:rPr>
        <w:t>(name and description of property including, if appropriate, relevant reference numbers and account numbers identifying contracts such as leasing arrangements in relation to that property)</w:t>
      </w:r>
    </w:p>
    <w:p w14:paraId="7D3DD664" w14:textId="77777777" w:rsidR="00E93F58" w:rsidRPr="00FB5439" w:rsidRDefault="00E93F58" w:rsidP="00070F64">
      <w:pPr>
        <w:jc w:val="both"/>
      </w:pPr>
    </w:p>
    <w:p w14:paraId="4856BB94" w14:textId="77777777" w:rsidR="00E93F58" w:rsidRPr="00FB5439" w:rsidRDefault="00E93F58" w:rsidP="00070F64">
      <w:pPr>
        <w:tabs>
          <w:tab w:val="left" w:pos="960"/>
          <w:tab w:val="left" w:pos="2520"/>
          <w:tab w:val="left" w:pos="3600"/>
          <w:tab w:val="left" w:pos="5400"/>
        </w:tabs>
        <w:jc w:val="both"/>
      </w:pPr>
      <w:r w:rsidRPr="00FB5439">
        <w:t>I</w:t>
      </w:r>
      <w:r w:rsidRPr="00FB5439">
        <w:tab/>
        <w:t>(</w:t>
      </w:r>
      <w:r w:rsidRPr="00FB5439">
        <w:rPr>
          <w:i/>
        </w:rPr>
        <w:t xml:space="preserve">name), </w:t>
      </w:r>
      <w:r w:rsidRPr="00FB5439">
        <w:tab/>
        <w:t>of</w:t>
      </w:r>
      <w:r w:rsidRPr="00FB5439">
        <w:tab/>
        <w:t>(</w:t>
      </w:r>
      <w:r w:rsidRPr="00FB5439">
        <w:rPr>
          <w:i/>
        </w:rPr>
        <w:t>address)</w:t>
      </w:r>
      <w:r w:rsidRPr="00FB5439">
        <w:t>,</w:t>
      </w:r>
      <w:r w:rsidRPr="00FB5439">
        <w:tab/>
        <w:t>the controller of property of (</w:t>
      </w:r>
      <w:r w:rsidRPr="00FB5439">
        <w:rPr>
          <w:i/>
        </w:rPr>
        <w:t xml:space="preserve">name of corporation) </w:t>
      </w:r>
      <w:r w:rsidRPr="00FB5439">
        <w:t>(“the corporation”) give you notice that I do not propose to exercise rights in relation to the specified property as controller of the specified property, whether on behalf of the corporation or anyone else.</w:t>
      </w:r>
    </w:p>
    <w:p w14:paraId="42670358" w14:textId="77777777" w:rsidR="00E93F58" w:rsidRPr="00FB5439" w:rsidRDefault="00E93F58" w:rsidP="00070F64">
      <w:pPr>
        <w:jc w:val="both"/>
      </w:pPr>
    </w:p>
    <w:p w14:paraId="04F81400" w14:textId="77777777" w:rsidR="00E93F58" w:rsidRPr="00FB5439" w:rsidRDefault="00E93F58" w:rsidP="00070F64">
      <w:pPr>
        <w:jc w:val="both"/>
      </w:pPr>
      <w:r w:rsidRPr="00FB5439">
        <w:t>Dated</w:t>
      </w:r>
    </w:p>
    <w:p w14:paraId="3C23ECFD" w14:textId="77777777" w:rsidR="00E93F58" w:rsidRPr="00FB5439" w:rsidRDefault="00E93F58" w:rsidP="00070F64">
      <w:pPr>
        <w:spacing w:before="120" w:after="120"/>
        <w:jc w:val="center"/>
        <w:rPr>
          <w:i/>
        </w:rPr>
      </w:pPr>
      <w:r w:rsidRPr="00FB5439">
        <w:rPr>
          <w:i/>
        </w:rPr>
        <w:t>(Controller’s signature)</w:t>
      </w:r>
    </w:p>
    <w:p w14:paraId="49476719" w14:textId="77777777" w:rsidR="00E93F58" w:rsidRPr="00FB5439" w:rsidRDefault="00E93F58" w:rsidP="00070F64">
      <w:pPr>
        <w:jc w:val="both"/>
      </w:pPr>
      <w:r w:rsidRPr="00A80D13">
        <w:rPr>
          <w:position w:val="6"/>
          <w:sz w:val="16"/>
        </w:rPr>
        <w:t>*</w:t>
      </w:r>
      <w:r w:rsidRPr="00FB5439">
        <w:t>Delete if not applicable</w:t>
      </w:r>
    </w:p>
    <w:p w14:paraId="534B04F8" w14:textId="77777777" w:rsidR="00E93F58" w:rsidRPr="00FB5439" w:rsidRDefault="00E93F58" w:rsidP="00070F64">
      <w:pPr>
        <w:jc w:val="both"/>
      </w:pPr>
    </w:p>
    <w:p w14:paraId="000A849A" w14:textId="77777777" w:rsidR="00E93F58" w:rsidRPr="00FB5439" w:rsidRDefault="00E93F58" w:rsidP="00070F64">
      <w:pPr>
        <w:jc w:val="both"/>
      </w:pPr>
      <w:r w:rsidRPr="00FB5439">
        <w:t>NOTES:</w:t>
      </w:r>
    </w:p>
    <w:p w14:paraId="2E8DA7A4" w14:textId="77777777" w:rsidR="00E93F58" w:rsidRPr="00FB5439" w:rsidRDefault="00E93F58" w:rsidP="00070F64">
      <w:pPr>
        <w:jc w:val="both"/>
      </w:pPr>
    </w:p>
    <w:p w14:paraId="0B65120E" w14:textId="77777777" w:rsidR="00E93F58" w:rsidRPr="00FB5439" w:rsidRDefault="00E93F58" w:rsidP="00070F64">
      <w:pPr>
        <w:pStyle w:val="form1"/>
        <w:jc w:val="both"/>
        <w:rPr>
          <w:sz w:val="24"/>
        </w:rPr>
      </w:pPr>
      <w:r w:rsidRPr="00FB5439">
        <w:rPr>
          <w:sz w:val="24"/>
        </w:rPr>
        <w:t>1.</w:t>
      </w:r>
      <w:r w:rsidRPr="00FB5439">
        <w:rPr>
          <w:sz w:val="24"/>
        </w:rPr>
        <w:tab/>
        <w:t>Under subsection 419A(4) the controller is not liable for rent or other amounts by the corporation in relation to the specified property while this notice in force, but the notice does not affect a liability of the corporation.</w:t>
      </w:r>
    </w:p>
    <w:p w14:paraId="3F724B2C" w14:textId="77777777" w:rsidR="00E93F58" w:rsidRPr="00FB5439" w:rsidRDefault="00E93F58" w:rsidP="00070F64">
      <w:pPr>
        <w:pStyle w:val="form1"/>
        <w:jc w:val="both"/>
        <w:rPr>
          <w:sz w:val="24"/>
        </w:rPr>
      </w:pPr>
    </w:p>
    <w:p w14:paraId="1EBAB7A5" w14:textId="77777777" w:rsidR="00E93F58" w:rsidRPr="00FB5439" w:rsidRDefault="00E93F58" w:rsidP="00070F64">
      <w:pPr>
        <w:pStyle w:val="form1"/>
        <w:jc w:val="both"/>
        <w:rPr>
          <w:sz w:val="24"/>
        </w:rPr>
      </w:pPr>
      <w:r w:rsidRPr="00FB5439">
        <w:rPr>
          <w:sz w:val="24"/>
        </w:rPr>
        <w:t>2</w:t>
      </w:r>
      <w:r w:rsidRPr="00FB5439">
        <w:rPr>
          <w:sz w:val="24"/>
        </w:rPr>
        <w:tab/>
        <w:t>Under subsection 419A(5), this notice ceases to have effect if the controller:</w:t>
      </w:r>
    </w:p>
    <w:p w14:paraId="7C23F48D" w14:textId="77777777" w:rsidR="00E93F58" w:rsidRPr="00FB5439" w:rsidRDefault="00E93F58" w:rsidP="00070F64">
      <w:pPr>
        <w:pStyle w:val="paragraph"/>
        <w:tabs>
          <w:tab w:val="clear" w:pos="1531"/>
        </w:tabs>
        <w:ind w:left="851" w:hanging="425"/>
      </w:pPr>
      <w:r w:rsidRPr="00FB5439">
        <w:t>(a)</w:t>
      </w:r>
      <w:r w:rsidRPr="00FB5439">
        <w:tab/>
        <w:t>revokes the notice, by writing to the owner/lessor; or</w:t>
      </w:r>
    </w:p>
    <w:p w14:paraId="0A69CD99" w14:textId="77777777" w:rsidR="00E93F58" w:rsidRPr="00FB5439" w:rsidRDefault="00E93F58" w:rsidP="00070F64">
      <w:pPr>
        <w:pStyle w:val="paragraph"/>
        <w:tabs>
          <w:tab w:val="clear" w:pos="1531"/>
        </w:tabs>
        <w:ind w:left="851" w:hanging="425"/>
      </w:pPr>
      <w:r w:rsidRPr="00FB5439">
        <w:t>(b)</w:t>
      </w:r>
      <w:r w:rsidRPr="00FB5439">
        <w:tab/>
        <w:t>exercises or purports to exercise a right in relation to the specified property the controller.</w:t>
      </w:r>
    </w:p>
    <w:p w14:paraId="18010A2D" w14:textId="77777777" w:rsidR="00E93F58" w:rsidRPr="00FB5439" w:rsidRDefault="00E93F58" w:rsidP="00A80D13">
      <w:pPr>
        <w:pStyle w:val="ActHead2"/>
        <w:pageBreakBefore/>
      </w:pPr>
      <w:bookmarkStart w:id="3179" w:name="_Toc151992775"/>
      <w:bookmarkStart w:id="3180" w:name="_Toc158713378"/>
      <w:r w:rsidRPr="00FB5439">
        <w:rPr>
          <w:rStyle w:val="CharPartNo"/>
        </w:rPr>
        <w:lastRenderedPageBreak/>
        <w:t>Form 509A</w:t>
      </w:r>
      <w:bookmarkEnd w:id="3179"/>
      <w:bookmarkEnd w:id="3180"/>
      <w:r w:rsidRPr="00FB5439">
        <w:rPr>
          <w:rStyle w:val="CharPartText"/>
        </w:rPr>
        <w:t xml:space="preserve"> </w:t>
      </w:r>
      <w:r w:rsidRPr="00FB5439">
        <w:t xml:space="preserve"> </w:t>
      </w:r>
    </w:p>
    <w:p w14:paraId="7AF01E89" w14:textId="77777777" w:rsidR="00E93F58" w:rsidRPr="00FB5439" w:rsidRDefault="00E93F58" w:rsidP="002E0506">
      <w:pPr>
        <w:pStyle w:val="notemargin"/>
      </w:pPr>
      <w:r w:rsidRPr="00FB5439">
        <w:t>(subsection 438C(3))</w:t>
      </w:r>
    </w:p>
    <w:p w14:paraId="68D064D4" w14:textId="77777777" w:rsidR="00E93F58" w:rsidRPr="00FB5439" w:rsidRDefault="00E93F58" w:rsidP="00070F64">
      <w:pPr>
        <w:rPr>
          <w:sz w:val="18"/>
        </w:rPr>
      </w:pPr>
    </w:p>
    <w:p w14:paraId="1DB90AFC" w14:textId="77777777" w:rsidR="00E93F58" w:rsidRPr="00FB5439" w:rsidRDefault="00E93F58" w:rsidP="00070F64">
      <w:r w:rsidRPr="00FB5439">
        <w:t>A.C.N. or A.R.B.N.</w:t>
      </w:r>
    </w:p>
    <w:p w14:paraId="5EE72396" w14:textId="77777777" w:rsidR="00E93F58" w:rsidRPr="00FB5439" w:rsidRDefault="00E93F58" w:rsidP="00070F64">
      <w:pPr>
        <w:pStyle w:val="Header"/>
        <w:keepNext w:val="0"/>
      </w:pPr>
      <w:r w:rsidRPr="00FB5439">
        <w:t xml:space="preserve">  </w:t>
      </w:r>
    </w:p>
    <w:p w14:paraId="644D1A9D" w14:textId="77777777" w:rsidR="00E93F58" w:rsidRPr="00FB5439" w:rsidRDefault="00E93F58" w:rsidP="00070F64">
      <w:pPr>
        <w:rPr>
          <w:i/>
        </w:rPr>
      </w:pPr>
    </w:p>
    <w:p w14:paraId="7D02F32A" w14:textId="77777777" w:rsidR="00E93F58" w:rsidRPr="00FB5439" w:rsidRDefault="00E93F58" w:rsidP="00070F64">
      <w:pPr>
        <w:rPr>
          <w:i/>
        </w:rPr>
      </w:pPr>
      <w:r w:rsidRPr="00FB5439">
        <w:rPr>
          <w:i/>
        </w:rPr>
        <w:t>Corporations Act 2001</w:t>
      </w:r>
    </w:p>
    <w:p w14:paraId="7537954E" w14:textId="77777777" w:rsidR="00E93F58" w:rsidRPr="00FB5439" w:rsidRDefault="00E93F58" w:rsidP="00070F64">
      <w:pPr>
        <w:spacing w:before="240"/>
        <w:rPr>
          <w:rFonts w:ascii="Arial" w:hAnsi="Arial" w:cs="Arial"/>
          <w:szCs w:val="22"/>
        </w:rPr>
      </w:pPr>
      <w:r w:rsidRPr="00FB5439">
        <w:rPr>
          <w:rFonts w:ascii="Arial" w:hAnsi="Arial" w:cs="Arial"/>
          <w:szCs w:val="22"/>
        </w:rPr>
        <w:t>NOTICE TO DELIVER BOOKS OF COMPANY TO THE ADMINISTRATOR</w:t>
      </w:r>
    </w:p>
    <w:p w14:paraId="7067C5B2" w14:textId="77777777" w:rsidR="00E93F58" w:rsidRPr="00FB5439" w:rsidRDefault="00E93F58" w:rsidP="00070F64">
      <w:pPr>
        <w:spacing w:before="240"/>
        <w:jc w:val="right"/>
      </w:pPr>
      <w:r w:rsidRPr="00FB5439">
        <w:t>Limited (administrator appointed)</w:t>
      </w:r>
    </w:p>
    <w:p w14:paraId="58184150" w14:textId="77777777" w:rsidR="00E93F58" w:rsidRPr="00FB5439" w:rsidRDefault="00E93F58" w:rsidP="00070F64">
      <w:pPr>
        <w:jc w:val="both"/>
      </w:pPr>
    </w:p>
    <w:p w14:paraId="358E7972" w14:textId="77777777" w:rsidR="00E93F58" w:rsidRPr="00FB5439" w:rsidRDefault="00E93F58" w:rsidP="00070F64">
      <w:pPr>
        <w:jc w:val="both"/>
        <w:rPr>
          <w:i/>
        </w:rPr>
      </w:pPr>
      <w:r w:rsidRPr="00FB5439">
        <w:t>To:</w:t>
      </w:r>
      <w:r w:rsidRPr="00FB5439">
        <w:tab/>
      </w:r>
      <w:r w:rsidRPr="00FB5439">
        <w:rPr>
          <w:i/>
        </w:rPr>
        <w:t xml:space="preserve">(name) </w:t>
      </w:r>
      <w:r w:rsidRPr="00FB5439">
        <w:t xml:space="preserve">of </w:t>
      </w:r>
      <w:r w:rsidRPr="00FB5439">
        <w:tab/>
      </w:r>
      <w:r w:rsidRPr="00FB5439">
        <w:rPr>
          <w:i/>
        </w:rPr>
        <w:t>(address)</w:t>
      </w:r>
    </w:p>
    <w:p w14:paraId="35D5ED05" w14:textId="77777777" w:rsidR="00E93F58" w:rsidRPr="00FB5439" w:rsidRDefault="00E93F58" w:rsidP="00070F64">
      <w:pPr>
        <w:jc w:val="both"/>
      </w:pPr>
    </w:p>
    <w:p w14:paraId="6AF2B427" w14:textId="77777777" w:rsidR="00E93F58" w:rsidRPr="00FB5439" w:rsidRDefault="00E93F58" w:rsidP="00070F64">
      <w:pPr>
        <w:pStyle w:val="form1"/>
        <w:jc w:val="both"/>
        <w:rPr>
          <w:sz w:val="24"/>
        </w:rPr>
      </w:pPr>
      <w:r w:rsidRPr="00FB5439">
        <w:rPr>
          <w:sz w:val="24"/>
        </w:rPr>
        <w:t>1.</w:t>
      </w:r>
      <w:r w:rsidRPr="00FB5439">
        <w:rPr>
          <w:sz w:val="24"/>
        </w:rPr>
        <w:tab/>
        <w:t>I (</w:t>
      </w:r>
      <w:r w:rsidRPr="00FB5439">
        <w:rPr>
          <w:i/>
          <w:sz w:val="24"/>
        </w:rPr>
        <w:t xml:space="preserve">name), </w:t>
      </w:r>
      <w:r w:rsidRPr="00FB5439">
        <w:rPr>
          <w:sz w:val="24"/>
        </w:rPr>
        <w:t>of (</w:t>
      </w:r>
      <w:r w:rsidRPr="00FB5439">
        <w:rPr>
          <w:i/>
          <w:sz w:val="24"/>
        </w:rPr>
        <w:t xml:space="preserve">address), </w:t>
      </w:r>
      <w:r w:rsidRPr="00FB5439">
        <w:rPr>
          <w:sz w:val="24"/>
        </w:rPr>
        <w:t>the administrator of the company, give you notice under subsection 438C(3) that I require you to deliver to me, at the above address, within (</w:t>
      </w:r>
      <w:r w:rsidRPr="00FB5439">
        <w:rPr>
          <w:i/>
          <w:sz w:val="24"/>
        </w:rPr>
        <w:t xml:space="preserve">insert number being not less than 3) </w:t>
      </w:r>
      <w:r w:rsidRPr="00FB5439">
        <w:rPr>
          <w:sz w:val="24"/>
        </w:rPr>
        <w:t>business days of the date of this notice, the books specified in the Schedule, being books of the company, that are in your possession.</w:t>
      </w:r>
    </w:p>
    <w:p w14:paraId="7BF6261D" w14:textId="77777777" w:rsidR="00E93F58" w:rsidRPr="00FB5439" w:rsidRDefault="00E93F58" w:rsidP="00070F64">
      <w:pPr>
        <w:pStyle w:val="form1"/>
        <w:jc w:val="both"/>
        <w:rPr>
          <w:sz w:val="24"/>
        </w:rPr>
      </w:pPr>
    </w:p>
    <w:p w14:paraId="2D2120BF" w14:textId="77777777" w:rsidR="00E93F58" w:rsidRPr="00FB5439" w:rsidRDefault="00E93F58" w:rsidP="00070F64">
      <w:pPr>
        <w:pStyle w:val="form1"/>
        <w:jc w:val="both"/>
        <w:rPr>
          <w:sz w:val="24"/>
        </w:rPr>
      </w:pPr>
      <w:r w:rsidRPr="00FB5439">
        <w:rPr>
          <w:sz w:val="24"/>
        </w:rPr>
        <w:t>2.</w:t>
      </w:r>
      <w:r w:rsidRPr="00FB5439">
        <w:rPr>
          <w:sz w:val="24"/>
        </w:rPr>
        <w:tab/>
        <w:t>Note that under subsection 438C(5), you must comply with this notice except so far as you are entitled as against the company and the administrator, to retain possession of the books.</w:t>
      </w:r>
    </w:p>
    <w:p w14:paraId="6AF1FCC0" w14:textId="77777777" w:rsidR="00E93F58" w:rsidRPr="00FB5439" w:rsidRDefault="00E93F58" w:rsidP="00070F64">
      <w:pPr>
        <w:jc w:val="both"/>
      </w:pPr>
    </w:p>
    <w:p w14:paraId="607A48E2" w14:textId="77777777" w:rsidR="00E93F58" w:rsidRPr="00FB5439" w:rsidRDefault="00E93F58" w:rsidP="00070F64">
      <w:pPr>
        <w:jc w:val="both"/>
      </w:pPr>
    </w:p>
    <w:p w14:paraId="4E4AFF1C" w14:textId="77777777" w:rsidR="00E93F58" w:rsidRPr="00FB5439" w:rsidRDefault="00E93F58" w:rsidP="00070F64">
      <w:pPr>
        <w:jc w:val="center"/>
      </w:pPr>
      <w:r w:rsidRPr="00FB5439">
        <w:t>SCHEDULE</w:t>
      </w:r>
    </w:p>
    <w:p w14:paraId="2E29BC6D" w14:textId="77777777" w:rsidR="00E93F58" w:rsidRPr="00FB5439" w:rsidRDefault="00E93F58" w:rsidP="00070F64">
      <w:pPr>
        <w:jc w:val="center"/>
        <w:rPr>
          <w:i/>
        </w:rPr>
      </w:pPr>
      <w:r w:rsidRPr="00FB5439">
        <w:rPr>
          <w:i/>
        </w:rPr>
        <w:t>(insert specified books)</w:t>
      </w:r>
    </w:p>
    <w:p w14:paraId="122E609E" w14:textId="77777777" w:rsidR="00E93F58" w:rsidRPr="00FB5439" w:rsidRDefault="00E93F58" w:rsidP="00070F64">
      <w:pPr>
        <w:jc w:val="both"/>
        <w:rPr>
          <w:i/>
        </w:rPr>
      </w:pPr>
    </w:p>
    <w:p w14:paraId="183D37A9" w14:textId="77777777" w:rsidR="00E93F58" w:rsidRPr="00FB5439" w:rsidRDefault="00E93F58" w:rsidP="00070F64">
      <w:pPr>
        <w:jc w:val="both"/>
        <w:rPr>
          <w:i/>
        </w:rPr>
      </w:pPr>
    </w:p>
    <w:p w14:paraId="7F8D12F3" w14:textId="77777777" w:rsidR="00E93F58" w:rsidRPr="00FB5439" w:rsidRDefault="00E93F58" w:rsidP="00070F64">
      <w:pPr>
        <w:jc w:val="both"/>
      </w:pPr>
      <w:r w:rsidRPr="00FB5439">
        <w:t>Dated</w:t>
      </w:r>
    </w:p>
    <w:p w14:paraId="621CFC32" w14:textId="77777777" w:rsidR="00E93F58" w:rsidRPr="00FB5439" w:rsidRDefault="00E93F58" w:rsidP="00070F64">
      <w:pPr>
        <w:jc w:val="both"/>
      </w:pPr>
    </w:p>
    <w:p w14:paraId="0D03F730" w14:textId="77777777" w:rsidR="00E93F58" w:rsidRPr="00FB5439" w:rsidRDefault="00E93F58" w:rsidP="00070F64">
      <w:pPr>
        <w:jc w:val="both"/>
      </w:pPr>
    </w:p>
    <w:p w14:paraId="6C2EAAED" w14:textId="77777777" w:rsidR="00E93F58" w:rsidRPr="00FB5439" w:rsidRDefault="00E93F58" w:rsidP="00070F64">
      <w:pPr>
        <w:jc w:val="right"/>
        <w:rPr>
          <w:i/>
        </w:rPr>
      </w:pPr>
      <w:r w:rsidRPr="00FB5439">
        <w:rPr>
          <w:i/>
        </w:rPr>
        <w:t>(administrator’s signature)</w:t>
      </w:r>
    </w:p>
    <w:p w14:paraId="556032AB" w14:textId="77777777" w:rsidR="00E93F58" w:rsidRPr="00FB5439" w:rsidRDefault="00E93F58" w:rsidP="00070F64">
      <w:pPr>
        <w:jc w:val="both"/>
      </w:pPr>
    </w:p>
    <w:p w14:paraId="6684AB9A" w14:textId="77777777" w:rsidR="00E93F58" w:rsidRPr="00FB5439" w:rsidRDefault="00E93F58" w:rsidP="00A80D13">
      <w:pPr>
        <w:pStyle w:val="ActHead2"/>
        <w:pageBreakBefore/>
      </w:pPr>
      <w:bookmarkStart w:id="3181" w:name="_Toc151992776"/>
      <w:bookmarkStart w:id="3182" w:name="_Toc158713379"/>
      <w:r w:rsidRPr="00FB5439">
        <w:rPr>
          <w:rStyle w:val="CharPartNo"/>
        </w:rPr>
        <w:lastRenderedPageBreak/>
        <w:t>Form 509B</w:t>
      </w:r>
      <w:bookmarkEnd w:id="3181"/>
      <w:bookmarkEnd w:id="3182"/>
      <w:r w:rsidRPr="00FB5439">
        <w:rPr>
          <w:rStyle w:val="CharPartText"/>
        </w:rPr>
        <w:t xml:space="preserve"> </w:t>
      </w:r>
      <w:r w:rsidRPr="00FB5439">
        <w:t xml:space="preserve"> </w:t>
      </w:r>
    </w:p>
    <w:p w14:paraId="0AB818DA" w14:textId="77777777" w:rsidR="00E93F58" w:rsidRPr="00FB5439" w:rsidRDefault="00E93F58" w:rsidP="002E0506">
      <w:pPr>
        <w:pStyle w:val="notemargin"/>
      </w:pPr>
      <w:r w:rsidRPr="00FB5439">
        <w:t>(subsection 443B(3))</w:t>
      </w:r>
    </w:p>
    <w:p w14:paraId="539E17DE" w14:textId="77777777" w:rsidR="00E93F58" w:rsidRPr="00FB5439" w:rsidRDefault="00E93F58" w:rsidP="00070F64">
      <w:pPr>
        <w:rPr>
          <w:sz w:val="18"/>
        </w:rPr>
      </w:pPr>
    </w:p>
    <w:p w14:paraId="73069416" w14:textId="77777777" w:rsidR="00E93F58" w:rsidRPr="00FB5439" w:rsidRDefault="00E93F58" w:rsidP="00070F64">
      <w:pPr>
        <w:rPr>
          <w:i/>
        </w:rPr>
      </w:pPr>
      <w:r w:rsidRPr="00FB5439">
        <w:rPr>
          <w:i/>
        </w:rPr>
        <w:t>Corporations Act 2001</w:t>
      </w:r>
    </w:p>
    <w:p w14:paraId="5E6BF42B" w14:textId="77777777" w:rsidR="00E93F58" w:rsidRPr="00FB5439" w:rsidRDefault="00E93F58" w:rsidP="00070F64">
      <w:pPr>
        <w:spacing w:before="240"/>
        <w:rPr>
          <w:rFonts w:ascii="Arial" w:hAnsi="Arial" w:cs="Arial"/>
          <w:szCs w:val="22"/>
        </w:rPr>
      </w:pPr>
      <w:r w:rsidRPr="00FB5439">
        <w:rPr>
          <w:rFonts w:ascii="Arial" w:hAnsi="Arial" w:cs="Arial"/>
          <w:szCs w:val="22"/>
        </w:rPr>
        <w:t>NOTICE OF ADMINISTRATOR’S INTENTION NOT TO EXERCISE PROPERTY RIGHTS</w:t>
      </w:r>
    </w:p>
    <w:p w14:paraId="6E831047" w14:textId="77777777" w:rsidR="00E93F58" w:rsidRPr="00FB5439" w:rsidRDefault="00E93F58" w:rsidP="00070F64">
      <w:pPr>
        <w:spacing w:before="240"/>
        <w:jc w:val="right"/>
      </w:pPr>
      <w:r w:rsidRPr="00FB5439">
        <w:t>Limited (administrator appointed)</w:t>
      </w:r>
    </w:p>
    <w:p w14:paraId="35145AE5" w14:textId="77777777" w:rsidR="00E93F58" w:rsidRPr="00FB5439" w:rsidRDefault="00E93F58" w:rsidP="00070F64">
      <w:pPr>
        <w:jc w:val="both"/>
      </w:pPr>
    </w:p>
    <w:p w14:paraId="68EFDAA1" w14:textId="77777777" w:rsidR="00E93F58" w:rsidRPr="00FB5439" w:rsidRDefault="00E93F58" w:rsidP="00070F64">
      <w:pPr>
        <w:jc w:val="both"/>
      </w:pPr>
      <w:r w:rsidRPr="00FB5439">
        <w:t>To:</w:t>
      </w:r>
      <w:r w:rsidRPr="00FB5439">
        <w:tab/>
        <w:t>(</w:t>
      </w:r>
      <w:r w:rsidRPr="00FB5439">
        <w:rPr>
          <w:i/>
        </w:rPr>
        <w:t xml:space="preserve">name), </w:t>
      </w:r>
      <w:r w:rsidRPr="00FB5439">
        <w:t xml:space="preserve">of </w:t>
      </w:r>
      <w:r w:rsidRPr="00FB5439">
        <w:tab/>
        <w:t>(</w:t>
      </w:r>
      <w:r w:rsidRPr="00FB5439">
        <w:rPr>
          <w:i/>
        </w:rPr>
        <w:t xml:space="preserve">address), </w:t>
      </w:r>
      <w:r w:rsidRPr="00FB5439">
        <w:t xml:space="preserve">the </w:t>
      </w:r>
      <w:r w:rsidRPr="00A80D13">
        <w:rPr>
          <w:position w:val="6"/>
          <w:sz w:val="16"/>
        </w:rPr>
        <w:t>*</w:t>
      </w:r>
      <w:r w:rsidRPr="00FB5439">
        <w:t>owner/</w:t>
      </w:r>
      <w:r w:rsidRPr="00A80D13">
        <w:rPr>
          <w:position w:val="6"/>
          <w:sz w:val="16"/>
        </w:rPr>
        <w:t>*</w:t>
      </w:r>
      <w:r w:rsidRPr="00FB5439">
        <w:t>lessor of property (“the specified property”) being:</w:t>
      </w:r>
    </w:p>
    <w:p w14:paraId="54A351B7" w14:textId="77777777" w:rsidR="00E93F58" w:rsidRPr="00FB5439" w:rsidRDefault="00E93F58" w:rsidP="00070F64">
      <w:pPr>
        <w:jc w:val="both"/>
      </w:pPr>
    </w:p>
    <w:p w14:paraId="1882C3A8" w14:textId="77777777" w:rsidR="00E93F58" w:rsidRPr="00FB5439" w:rsidRDefault="00E93F58" w:rsidP="00070F64">
      <w:pPr>
        <w:jc w:val="both"/>
        <w:rPr>
          <w:i/>
        </w:rPr>
      </w:pPr>
      <w:r w:rsidRPr="00FB5439">
        <w:t>(</w:t>
      </w:r>
      <w:r w:rsidRPr="00FB5439">
        <w:rPr>
          <w:i/>
        </w:rPr>
        <w:t>name and description of property, including, if appropriate, relevant reference numbers and account numbers identifying contracts such as leasing arrangements in relation to that property)</w:t>
      </w:r>
    </w:p>
    <w:p w14:paraId="6B98C644" w14:textId="77777777" w:rsidR="00E93F58" w:rsidRPr="00FB5439" w:rsidRDefault="00E93F58" w:rsidP="00070F64">
      <w:pPr>
        <w:jc w:val="both"/>
      </w:pPr>
    </w:p>
    <w:p w14:paraId="5EFB0E6B" w14:textId="77777777" w:rsidR="00E93F58" w:rsidRPr="00FB5439" w:rsidRDefault="00E93F58" w:rsidP="00070F64">
      <w:pPr>
        <w:tabs>
          <w:tab w:val="left" w:pos="840"/>
          <w:tab w:val="left" w:pos="1080"/>
          <w:tab w:val="left" w:pos="2160"/>
          <w:tab w:val="left" w:pos="3000"/>
          <w:tab w:val="left" w:pos="4320"/>
        </w:tabs>
        <w:jc w:val="both"/>
      </w:pPr>
      <w:r w:rsidRPr="00FB5439">
        <w:t>I</w:t>
      </w:r>
      <w:r w:rsidRPr="00FB5439">
        <w:tab/>
        <w:t>(</w:t>
      </w:r>
      <w:r w:rsidRPr="00FB5439">
        <w:rPr>
          <w:i/>
        </w:rPr>
        <w:t>name),</w:t>
      </w:r>
      <w:r w:rsidRPr="00FB5439">
        <w:rPr>
          <w:i/>
        </w:rPr>
        <w:tab/>
      </w:r>
      <w:r w:rsidRPr="00FB5439">
        <w:t xml:space="preserve">of </w:t>
      </w:r>
      <w:r w:rsidRPr="00FB5439">
        <w:tab/>
        <w:t>(</w:t>
      </w:r>
      <w:r w:rsidRPr="00FB5439">
        <w:rPr>
          <w:i/>
        </w:rPr>
        <w:t>address)</w:t>
      </w:r>
      <w:r w:rsidRPr="00FB5439">
        <w:rPr>
          <w:i/>
        </w:rPr>
        <w:tab/>
        <w:t xml:space="preserve">, </w:t>
      </w:r>
      <w:r w:rsidRPr="00FB5439">
        <w:t xml:space="preserve">the administrator of </w:t>
      </w:r>
      <w:r w:rsidRPr="00FB5439">
        <w:tab/>
        <w:t>(</w:t>
      </w:r>
      <w:r w:rsidRPr="00FB5439">
        <w:rPr>
          <w:i/>
        </w:rPr>
        <w:t xml:space="preserve">name of company) </w:t>
      </w:r>
      <w:r w:rsidRPr="00FB5439">
        <w:t>(“the company”) give you notice that I do not propose to exercise rights in relation to the specified property.</w:t>
      </w:r>
    </w:p>
    <w:p w14:paraId="6065187A" w14:textId="77777777" w:rsidR="00E93F58" w:rsidRPr="00FB5439" w:rsidRDefault="00E93F58" w:rsidP="00070F64">
      <w:pPr>
        <w:jc w:val="both"/>
      </w:pPr>
    </w:p>
    <w:p w14:paraId="2168F8F5" w14:textId="77777777" w:rsidR="00E93F58" w:rsidRPr="00FB5439" w:rsidRDefault="00E93F58" w:rsidP="00070F64">
      <w:pPr>
        <w:jc w:val="both"/>
      </w:pPr>
      <w:r w:rsidRPr="00FB5439">
        <w:t>Dated</w:t>
      </w:r>
    </w:p>
    <w:p w14:paraId="5323936A" w14:textId="77777777" w:rsidR="00E93F58" w:rsidRPr="00FB5439" w:rsidRDefault="00E93F58" w:rsidP="00070F64">
      <w:pPr>
        <w:jc w:val="both"/>
      </w:pPr>
    </w:p>
    <w:p w14:paraId="16DB1D21" w14:textId="77777777" w:rsidR="00E93F58" w:rsidRPr="00FB5439" w:rsidRDefault="00E93F58" w:rsidP="00070F64">
      <w:pPr>
        <w:jc w:val="right"/>
        <w:rPr>
          <w:i/>
        </w:rPr>
      </w:pPr>
      <w:r w:rsidRPr="00FB5439">
        <w:rPr>
          <w:i/>
        </w:rPr>
        <w:t>(administrator’s signature)</w:t>
      </w:r>
    </w:p>
    <w:p w14:paraId="6EF949BC" w14:textId="77777777" w:rsidR="00E93F58" w:rsidRPr="00FB5439" w:rsidRDefault="00E93F58" w:rsidP="00070F64">
      <w:pPr>
        <w:jc w:val="both"/>
      </w:pPr>
    </w:p>
    <w:p w14:paraId="6C8EADD3" w14:textId="77777777" w:rsidR="00E93F58" w:rsidRPr="00FB5439" w:rsidRDefault="00E93F58" w:rsidP="00070F64">
      <w:pPr>
        <w:jc w:val="both"/>
      </w:pPr>
      <w:r w:rsidRPr="00A80D13">
        <w:rPr>
          <w:position w:val="6"/>
          <w:sz w:val="16"/>
        </w:rPr>
        <w:t>*</w:t>
      </w:r>
      <w:r w:rsidRPr="00FB5439">
        <w:t>Delete if not applicable</w:t>
      </w:r>
    </w:p>
    <w:p w14:paraId="38AF73A9" w14:textId="77777777" w:rsidR="00E93F58" w:rsidRPr="00FB5439" w:rsidRDefault="00E93F58" w:rsidP="00070F64">
      <w:pPr>
        <w:jc w:val="both"/>
      </w:pPr>
    </w:p>
    <w:p w14:paraId="3DF4E58C" w14:textId="77777777" w:rsidR="00E93F58" w:rsidRPr="00FB5439" w:rsidRDefault="00E93F58" w:rsidP="00070F64">
      <w:pPr>
        <w:jc w:val="both"/>
      </w:pPr>
      <w:r w:rsidRPr="00FB5439">
        <w:t>NOTES</w:t>
      </w:r>
    </w:p>
    <w:p w14:paraId="77170CD0" w14:textId="77777777" w:rsidR="00E93F58" w:rsidRPr="00FB5439" w:rsidRDefault="00E93F58" w:rsidP="00070F64">
      <w:pPr>
        <w:jc w:val="both"/>
      </w:pPr>
    </w:p>
    <w:p w14:paraId="4A53896A" w14:textId="77777777" w:rsidR="00E93F58" w:rsidRPr="00FB5439" w:rsidRDefault="00E93F58" w:rsidP="00070F64">
      <w:pPr>
        <w:pStyle w:val="form1"/>
        <w:jc w:val="both"/>
        <w:rPr>
          <w:sz w:val="24"/>
        </w:rPr>
      </w:pPr>
      <w:r w:rsidRPr="00FB5439">
        <w:rPr>
          <w:sz w:val="24"/>
        </w:rPr>
        <w:t>1.</w:t>
      </w:r>
      <w:r w:rsidRPr="00FB5439">
        <w:rPr>
          <w:sz w:val="24"/>
        </w:rPr>
        <w:tab/>
        <w:t>Under subsection 443B(4), the administrator is not liable for rent or other amounts payable by the company in relation to the specified property while this notice is in force, but the notice does not affect a liability of the company.</w:t>
      </w:r>
    </w:p>
    <w:p w14:paraId="01CB791C" w14:textId="77777777" w:rsidR="00E93F58" w:rsidRPr="00FB5439" w:rsidRDefault="00E93F58" w:rsidP="00070F64">
      <w:pPr>
        <w:pStyle w:val="form1"/>
        <w:jc w:val="both"/>
        <w:rPr>
          <w:sz w:val="24"/>
        </w:rPr>
      </w:pPr>
      <w:r w:rsidRPr="00FB5439">
        <w:rPr>
          <w:sz w:val="24"/>
        </w:rPr>
        <w:t>2.</w:t>
      </w:r>
      <w:r w:rsidRPr="00FB5439">
        <w:rPr>
          <w:sz w:val="24"/>
        </w:rPr>
        <w:tab/>
        <w:t>Under subsection 443B(5), this notice ceases to have effect if:</w:t>
      </w:r>
    </w:p>
    <w:p w14:paraId="75F1D33A" w14:textId="77777777" w:rsidR="00E93F58" w:rsidRPr="00FB5439" w:rsidRDefault="00E93F58" w:rsidP="00070F64">
      <w:pPr>
        <w:pStyle w:val="form2"/>
        <w:jc w:val="both"/>
        <w:rPr>
          <w:sz w:val="24"/>
        </w:rPr>
      </w:pPr>
      <w:r w:rsidRPr="00FB5439">
        <w:rPr>
          <w:sz w:val="24"/>
        </w:rPr>
        <w:t>(a)</w:t>
      </w:r>
      <w:r w:rsidRPr="00FB5439">
        <w:rPr>
          <w:sz w:val="24"/>
        </w:rPr>
        <w:tab/>
        <w:t>the administrator revokes the notice, by writing to the owner/ lessor; or</w:t>
      </w:r>
    </w:p>
    <w:p w14:paraId="594150C8" w14:textId="77777777" w:rsidR="00E93F58" w:rsidRPr="00FB5439" w:rsidRDefault="00E93F58" w:rsidP="00070F64">
      <w:pPr>
        <w:pStyle w:val="form2"/>
        <w:jc w:val="both"/>
        <w:rPr>
          <w:sz w:val="24"/>
        </w:rPr>
      </w:pPr>
      <w:r w:rsidRPr="00FB5439">
        <w:rPr>
          <w:sz w:val="24"/>
        </w:rPr>
        <w:t>(b)</w:t>
      </w:r>
      <w:r w:rsidRPr="00FB5439">
        <w:rPr>
          <w:sz w:val="24"/>
        </w:rPr>
        <w:tab/>
        <w:t>the company exercises or purports to exercise a right in relation to the specified property.</w:t>
      </w:r>
    </w:p>
    <w:p w14:paraId="39C4EB0A" w14:textId="77777777" w:rsidR="00E93F58" w:rsidRPr="00FB5439" w:rsidRDefault="00E93F58" w:rsidP="00A80D13">
      <w:pPr>
        <w:pStyle w:val="ActHead2"/>
        <w:pageBreakBefore/>
      </w:pPr>
      <w:bookmarkStart w:id="3183" w:name="_Toc151992777"/>
      <w:bookmarkStart w:id="3184" w:name="_Toc158713380"/>
      <w:r w:rsidRPr="00FB5439">
        <w:rPr>
          <w:rStyle w:val="CharPartNo"/>
        </w:rPr>
        <w:lastRenderedPageBreak/>
        <w:t>Form 509E</w:t>
      </w:r>
      <w:bookmarkEnd w:id="3183"/>
      <w:bookmarkEnd w:id="3184"/>
      <w:r w:rsidRPr="00FB5439">
        <w:rPr>
          <w:rStyle w:val="CharPartText"/>
        </w:rPr>
        <w:t xml:space="preserve"> </w:t>
      </w:r>
      <w:r w:rsidRPr="00FB5439">
        <w:t xml:space="preserve"> </w:t>
      </w:r>
    </w:p>
    <w:p w14:paraId="5279A511" w14:textId="77777777" w:rsidR="00E93F58" w:rsidRPr="00FB5439" w:rsidRDefault="00E93F58" w:rsidP="002E0506">
      <w:pPr>
        <w:pStyle w:val="notemargin"/>
      </w:pPr>
      <w:r w:rsidRPr="00FB5439">
        <w:t>(paragraph 450B(a))</w:t>
      </w:r>
    </w:p>
    <w:p w14:paraId="1FBE4D20" w14:textId="77777777" w:rsidR="00E93F58" w:rsidRPr="00FB5439" w:rsidRDefault="00E93F58" w:rsidP="00070F64">
      <w:pPr>
        <w:rPr>
          <w:sz w:val="18"/>
        </w:rPr>
      </w:pPr>
    </w:p>
    <w:p w14:paraId="62A19732" w14:textId="77777777" w:rsidR="00E93F58" w:rsidRPr="00FB5439" w:rsidRDefault="00E93F58" w:rsidP="00070F64">
      <w:pPr>
        <w:rPr>
          <w:i/>
        </w:rPr>
      </w:pPr>
      <w:r w:rsidRPr="00FB5439">
        <w:rPr>
          <w:i/>
        </w:rPr>
        <w:t>Corporations Act 2001</w:t>
      </w:r>
    </w:p>
    <w:p w14:paraId="6C323972" w14:textId="77777777" w:rsidR="00E93F58" w:rsidRPr="00FB5439" w:rsidRDefault="00E93F58" w:rsidP="00070F64">
      <w:pPr>
        <w:spacing w:before="240"/>
        <w:rPr>
          <w:rFonts w:ascii="Arial" w:hAnsi="Arial" w:cs="Arial"/>
          <w:szCs w:val="22"/>
        </w:rPr>
      </w:pPr>
      <w:r w:rsidRPr="00FB5439">
        <w:rPr>
          <w:rFonts w:ascii="Arial" w:hAnsi="Arial" w:cs="Arial"/>
          <w:szCs w:val="22"/>
        </w:rPr>
        <w:t>NOTICE TO CREDITORS OF EXECUTION OF A DEED OF COMPANY ARRANGEMENT</w:t>
      </w:r>
    </w:p>
    <w:p w14:paraId="5DD2B3E9" w14:textId="77777777" w:rsidR="00E93F58" w:rsidRPr="00FB5439" w:rsidRDefault="00E93F58" w:rsidP="00070F64">
      <w:pPr>
        <w:spacing w:before="240"/>
        <w:jc w:val="right"/>
      </w:pPr>
      <w:r w:rsidRPr="00FB5439">
        <w:t>Limited (subject to deed of company arrangement)</w:t>
      </w:r>
    </w:p>
    <w:p w14:paraId="774CE841" w14:textId="77777777" w:rsidR="00E93F58" w:rsidRPr="00FB5439" w:rsidRDefault="00E93F58" w:rsidP="00070F64">
      <w:pPr>
        <w:jc w:val="both"/>
      </w:pPr>
    </w:p>
    <w:p w14:paraId="5C76F40E" w14:textId="77777777" w:rsidR="00E93F58" w:rsidRPr="00FB5439" w:rsidRDefault="00E93F58" w:rsidP="00070F64">
      <w:pPr>
        <w:jc w:val="both"/>
        <w:rPr>
          <w:i/>
        </w:rPr>
      </w:pPr>
      <w:r w:rsidRPr="00A80D13">
        <w:rPr>
          <w:position w:val="6"/>
          <w:sz w:val="16"/>
        </w:rPr>
        <w:t>*</w:t>
      </w:r>
      <w:r w:rsidRPr="00FB5439">
        <w:t>To (</w:t>
      </w:r>
      <w:r w:rsidRPr="00FB5439">
        <w:rPr>
          <w:i/>
        </w:rPr>
        <w:t xml:space="preserve">name) </w:t>
      </w:r>
      <w:r w:rsidRPr="00FB5439">
        <w:t xml:space="preserve">of </w:t>
      </w:r>
      <w:r w:rsidRPr="00FB5439">
        <w:rPr>
          <w:i/>
        </w:rPr>
        <w:t>(address)</w:t>
      </w:r>
    </w:p>
    <w:p w14:paraId="5A7DB365" w14:textId="77777777" w:rsidR="00E93F58" w:rsidRPr="00FB5439" w:rsidRDefault="00E93F58" w:rsidP="00070F64">
      <w:pPr>
        <w:jc w:val="both"/>
      </w:pPr>
    </w:p>
    <w:p w14:paraId="235822A1" w14:textId="77777777" w:rsidR="00E93F58" w:rsidRPr="00FB5439" w:rsidRDefault="00E93F58" w:rsidP="00070F64">
      <w:pPr>
        <w:jc w:val="both"/>
      </w:pPr>
      <w:r w:rsidRPr="00A80D13">
        <w:rPr>
          <w:position w:val="6"/>
          <w:sz w:val="16"/>
        </w:rPr>
        <w:t>*</w:t>
      </w:r>
      <w:r w:rsidRPr="00FB5439">
        <w:t>To creditors of the company</w:t>
      </w:r>
    </w:p>
    <w:p w14:paraId="07353469" w14:textId="77777777" w:rsidR="00E93F58" w:rsidRPr="00FB5439" w:rsidRDefault="00E93F58" w:rsidP="00070F64">
      <w:pPr>
        <w:jc w:val="both"/>
      </w:pPr>
    </w:p>
    <w:p w14:paraId="1F286348" w14:textId="77777777" w:rsidR="00E93F58" w:rsidRPr="00FB5439" w:rsidRDefault="00E93F58" w:rsidP="00070F64">
      <w:pPr>
        <w:pStyle w:val="form1"/>
        <w:jc w:val="both"/>
        <w:rPr>
          <w:sz w:val="24"/>
        </w:rPr>
      </w:pPr>
      <w:r w:rsidRPr="00FB5439">
        <w:rPr>
          <w:sz w:val="24"/>
        </w:rPr>
        <w:t>1.</w:t>
      </w:r>
      <w:r w:rsidRPr="00FB5439">
        <w:rPr>
          <w:sz w:val="24"/>
        </w:rPr>
        <w:tab/>
        <w:t xml:space="preserve">Notice is given under section 450B that the company executed a deed of arrangement on </w:t>
      </w:r>
      <w:r w:rsidRPr="00FB5439">
        <w:rPr>
          <w:i/>
          <w:sz w:val="24"/>
        </w:rPr>
        <w:t>(insert date)</w:t>
      </w:r>
      <w:r w:rsidRPr="00FB5439">
        <w:rPr>
          <w:sz w:val="24"/>
        </w:rPr>
        <w:t>.</w:t>
      </w:r>
    </w:p>
    <w:p w14:paraId="6B759167" w14:textId="77777777" w:rsidR="00E93F58" w:rsidRPr="00FB5439" w:rsidRDefault="00E93F58" w:rsidP="00070F64">
      <w:pPr>
        <w:pStyle w:val="form1"/>
        <w:jc w:val="both"/>
        <w:rPr>
          <w:sz w:val="24"/>
        </w:rPr>
      </w:pPr>
    </w:p>
    <w:p w14:paraId="18580ADD" w14:textId="77777777" w:rsidR="00E93F58" w:rsidRPr="00FB5439" w:rsidRDefault="00E93F58" w:rsidP="00070F64">
      <w:pPr>
        <w:pStyle w:val="form1"/>
        <w:jc w:val="both"/>
        <w:rPr>
          <w:i/>
          <w:sz w:val="24"/>
        </w:rPr>
      </w:pPr>
      <w:r w:rsidRPr="00FB5439">
        <w:rPr>
          <w:sz w:val="24"/>
        </w:rPr>
        <w:t>2.</w:t>
      </w:r>
      <w:r w:rsidRPr="00FB5439">
        <w:rPr>
          <w:sz w:val="24"/>
        </w:rPr>
        <w:tab/>
        <w:t>A copy of the deed may be inspected at (</w:t>
      </w:r>
      <w:r w:rsidRPr="00FB5439">
        <w:rPr>
          <w:i/>
          <w:sz w:val="24"/>
        </w:rPr>
        <w:t>insert address).</w:t>
      </w:r>
    </w:p>
    <w:p w14:paraId="04A5903D" w14:textId="77777777" w:rsidR="00E93F58" w:rsidRPr="00FB5439" w:rsidRDefault="00E93F58" w:rsidP="00070F64">
      <w:pPr>
        <w:jc w:val="both"/>
      </w:pPr>
    </w:p>
    <w:p w14:paraId="5E9B205E" w14:textId="77777777" w:rsidR="00E93F58" w:rsidRPr="00FB5439" w:rsidRDefault="00E93F58" w:rsidP="00070F64">
      <w:pPr>
        <w:jc w:val="both"/>
      </w:pPr>
    </w:p>
    <w:p w14:paraId="0035966F" w14:textId="77777777" w:rsidR="00E93F58" w:rsidRPr="00FB5439" w:rsidRDefault="00E93F58" w:rsidP="00070F64">
      <w:pPr>
        <w:jc w:val="both"/>
      </w:pPr>
      <w:r w:rsidRPr="00FB5439">
        <w:t>Dated</w:t>
      </w:r>
    </w:p>
    <w:p w14:paraId="22D8E376" w14:textId="77777777" w:rsidR="00E93F58" w:rsidRPr="00FB5439" w:rsidRDefault="00E93F58" w:rsidP="00070F64">
      <w:pPr>
        <w:jc w:val="both"/>
      </w:pPr>
    </w:p>
    <w:p w14:paraId="759AF61D" w14:textId="77777777" w:rsidR="00E93F58" w:rsidRPr="00FB5439" w:rsidRDefault="00E93F58" w:rsidP="00070F64">
      <w:pPr>
        <w:jc w:val="right"/>
        <w:rPr>
          <w:i/>
        </w:rPr>
      </w:pPr>
      <w:r w:rsidRPr="00FB5439">
        <w:rPr>
          <w:i/>
        </w:rPr>
        <w:t>(Signature of administrator of the</w:t>
      </w:r>
      <w:r w:rsidRPr="00FB5439">
        <w:rPr>
          <w:i/>
        </w:rPr>
        <w:br/>
        <w:t>deed of company arrangement)</w:t>
      </w:r>
    </w:p>
    <w:p w14:paraId="54E0B35D" w14:textId="77777777" w:rsidR="00E93F58" w:rsidRPr="00FB5439" w:rsidRDefault="00E93F58" w:rsidP="00070F64">
      <w:pPr>
        <w:jc w:val="both"/>
      </w:pPr>
      <w:r w:rsidRPr="00A80D13">
        <w:rPr>
          <w:position w:val="6"/>
          <w:sz w:val="16"/>
        </w:rPr>
        <w:t>*</w:t>
      </w:r>
      <w:r w:rsidRPr="00FB5439">
        <w:t>Delete if not applicable</w:t>
      </w:r>
    </w:p>
    <w:p w14:paraId="4B4DE84D" w14:textId="77777777" w:rsidR="00E93F58" w:rsidRPr="00FB5439" w:rsidRDefault="00E93F58" w:rsidP="00A80D13">
      <w:pPr>
        <w:pStyle w:val="ActHead2"/>
        <w:pageBreakBefore/>
      </w:pPr>
      <w:bookmarkStart w:id="3185" w:name="_Toc151992778"/>
      <w:bookmarkStart w:id="3186" w:name="_Toc158713381"/>
      <w:r w:rsidRPr="00FB5439">
        <w:rPr>
          <w:rStyle w:val="CharPartNo"/>
        </w:rPr>
        <w:lastRenderedPageBreak/>
        <w:t>Form 509H</w:t>
      </w:r>
      <w:bookmarkEnd w:id="3185"/>
      <w:bookmarkEnd w:id="3186"/>
      <w:r w:rsidRPr="00FB5439">
        <w:rPr>
          <w:rStyle w:val="CharPartText"/>
        </w:rPr>
        <w:t xml:space="preserve"> </w:t>
      </w:r>
      <w:r w:rsidRPr="00FB5439">
        <w:t xml:space="preserve"> </w:t>
      </w:r>
    </w:p>
    <w:p w14:paraId="06D5B2EF" w14:textId="77777777" w:rsidR="00E93F58" w:rsidRPr="00FB5439" w:rsidRDefault="00E93F58" w:rsidP="002E0506">
      <w:pPr>
        <w:pStyle w:val="notemargin"/>
      </w:pPr>
      <w:r w:rsidRPr="00FB5439">
        <w:t>(paragraph 459E(2)(e))</w:t>
      </w:r>
    </w:p>
    <w:p w14:paraId="4F3E2FF3" w14:textId="77777777" w:rsidR="00E93F58" w:rsidRPr="00FB5439" w:rsidRDefault="00E93F58" w:rsidP="00070F64">
      <w:pPr>
        <w:rPr>
          <w:i/>
          <w:sz w:val="18"/>
        </w:rPr>
      </w:pPr>
    </w:p>
    <w:p w14:paraId="1FC24ECD" w14:textId="77777777" w:rsidR="00E93F58" w:rsidRPr="00FB5439" w:rsidRDefault="00E93F58" w:rsidP="00A35856">
      <w:pPr>
        <w:rPr>
          <w:i/>
        </w:rPr>
      </w:pPr>
      <w:r w:rsidRPr="00FB5439">
        <w:rPr>
          <w:i/>
        </w:rPr>
        <w:t>Corporations Act 2001</w:t>
      </w:r>
    </w:p>
    <w:p w14:paraId="7C55D9EC" w14:textId="77777777" w:rsidR="00E93F58" w:rsidRPr="00FB5439" w:rsidRDefault="00E93F58" w:rsidP="00070F64">
      <w:pPr>
        <w:spacing w:before="240"/>
        <w:rPr>
          <w:rFonts w:ascii="Arial" w:hAnsi="Arial" w:cs="Arial"/>
          <w:szCs w:val="22"/>
        </w:rPr>
      </w:pPr>
      <w:r w:rsidRPr="00FB5439">
        <w:rPr>
          <w:rFonts w:ascii="Arial" w:hAnsi="Arial" w:cs="Arial"/>
          <w:szCs w:val="22"/>
        </w:rPr>
        <w:t>CREDITOR’S STATUTORY DEMAND FOR PAYMENT OF DEBT</w:t>
      </w:r>
    </w:p>
    <w:p w14:paraId="04962F92" w14:textId="77777777" w:rsidR="00E93F58" w:rsidRPr="00FB5439" w:rsidRDefault="00E93F58" w:rsidP="00070F64">
      <w:pPr>
        <w:spacing w:before="240"/>
        <w:jc w:val="both"/>
        <w:rPr>
          <w:i/>
          <w:szCs w:val="22"/>
        </w:rPr>
      </w:pPr>
      <w:r w:rsidRPr="00FB5439">
        <w:rPr>
          <w:szCs w:val="22"/>
        </w:rPr>
        <w:t>To (</w:t>
      </w:r>
      <w:r w:rsidRPr="00FB5439">
        <w:rPr>
          <w:i/>
          <w:szCs w:val="22"/>
        </w:rPr>
        <w:t xml:space="preserve">name and A.C.N. or A.R.B.N. of debtor company) </w:t>
      </w:r>
      <w:r w:rsidRPr="00FB5439">
        <w:rPr>
          <w:szCs w:val="22"/>
        </w:rPr>
        <w:t xml:space="preserve">of </w:t>
      </w:r>
      <w:r w:rsidRPr="00FB5439">
        <w:rPr>
          <w:i/>
          <w:szCs w:val="22"/>
        </w:rPr>
        <w:t>(address of the company’s registered office)</w:t>
      </w:r>
    </w:p>
    <w:p w14:paraId="10AB98D5" w14:textId="77777777" w:rsidR="00E93F58" w:rsidRPr="00FB5439" w:rsidRDefault="00E93F58" w:rsidP="00070F64">
      <w:pPr>
        <w:jc w:val="both"/>
        <w:rPr>
          <w:szCs w:val="22"/>
        </w:rPr>
      </w:pPr>
    </w:p>
    <w:p w14:paraId="2212DDFA" w14:textId="77777777" w:rsidR="00E93F58" w:rsidRPr="00FB5439" w:rsidRDefault="00E93F58" w:rsidP="00070F64">
      <w:pPr>
        <w:pStyle w:val="form1"/>
        <w:jc w:val="both"/>
        <w:rPr>
          <w:sz w:val="22"/>
          <w:szCs w:val="22"/>
        </w:rPr>
      </w:pPr>
      <w:r w:rsidRPr="00FB5439">
        <w:rPr>
          <w:sz w:val="22"/>
          <w:szCs w:val="22"/>
        </w:rPr>
        <w:t>1.</w:t>
      </w:r>
      <w:r w:rsidRPr="00FB5439">
        <w:rPr>
          <w:sz w:val="22"/>
          <w:szCs w:val="22"/>
        </w:rPr>
        <w:tab/>
        <w:t>The company owes (</w:t>
      </w:r>
      <w:r w:rsidRPr="00FB5439">
        <w:rPr>
          <w:i/>
          <w:sz w:val="22"/>
          <w:szCs w:val="22"/>
        </w:rPr>
        <w:t xml:space="preserve">name) </w:t>
      </w:r>
      <w:r w:rsidRPr="00FB5439">
        <w:rPr>
          <w:sz w:val="22"/>
          <w:szCs w:val="22"/>
        </w:rPr>
        <w:t>of (</w:t>
      </w:r>
      <w:r w:rsidRPr="00FB5439">
        <w:rPr>
          <w:i/>
          <w:sz w:val="22"/>
          <w:szCs w:val="22"/>
        </w:rPr>
        <w:t>address) (</w:t>
      </w:r>
      <w:r w:rsidRPr="00FB5439">
        <w:rPr>
          <w:sz w:val="22"/>
          <w:szCs w:val="22"/>
        </w:rPr>
        <w:t>“the creditor”)</w:t>
      </w:r>
    </w:p>
    <w:p w14:paraId="48DA74F2" w14:textId="77777777" w:rsidR="00E93F58" w:rsidRPr="00FB5439" w:rsidRDefault="00E93F58" w:rsidP="00070F64">
      <w:pPr>
        <w:pStyle w:val="form1"/>
        <w:jc w:val="both"/>
        <w:rPr>
          <w:sz w:val="22"/>
          <w:szCs w:val="22"/>
        </w:rPr>
      </w:pPr>
      <w:r w:rsidRPr="00FB5439">
        <w:rPr>
          <w:sz w:val="22"/>
          <w:szCs w:val="22"/>
        </w:rPr>
        <w:tab/>
      </w:r>
      <w:r w:rsidRPr="00A80D13">
        <w:rPr>
          <w:position w:val="6"/>
          <w:sz w:val="16"/>
          <w:szCs w:val="22"/>
        </w:rPr>
        <w:t>*</w:t>
      </w:r>
      <w:r w:rsidRPr="00FB5439">
        <w:rPr>
          <w:sz w:val="22"/>
          <w:szCs w:val="22"/>
        </w:rPr>
        <w:t>the amount of $(</w:t>
      </w:r>
      <w:r w:rsidRPr="00FB5439">
        <w:rPr>
          <w:i/>
          <w:sz w:val="22"/>
          <w:szCs w:val="22"/>
        </w:rPr>
        <w:t xml:space="preserve">insert amount), </w:t>
      </w:r>
      <w:r w:rsidRPr="00FB5439">
        <w:rPr>
          <w:sz w:val="22"/>
          <w:szCs w:val="22"/>
        </w:rPr>
        <w:t>being the amount of the debt described in the Schedule.</w:t>
      </w:r>
    </w:p>
    <w:p w14:paraId="7FC5396F" w14:textId="77777777" w:rsidR="00E93F58" w:rsidRPr="00FB5439" w:rsidRDefault="00E93F58" w:rsidP="00070F64">
      <w:pPr>
        <w:pStyle w:val="form1"/>
        <w:jc w:val="both"/>
        <w:rPr>
          <w:sz w:val="22"/>
          <w:szCs w:val="22"/>
        </w:rPr>
      </w:pPr>
      <w:r w:rsidRPr="00FB5439">
        <w:rPr>
          <w:sz w:val="22"/>
          <w:szCs w:val="22"/>
        </w:rPr>
        <w:tab/>
      </w:r>
      <w:r w:rsidRPr="00A80D13">
        <w:rPr>
          <w:position w:val="6"/>
          <w:sz w:val="16"/>
          <w:szCs w:val="22"/>
        </w:rPr>
        <w:t>*</w:t>
      </w:r>
      <w:r w:rsidRPr="00FB5439">
        <w:rPr>
          <w:sz w:val="22"/>
          <w:szCs w:val="22"/>
        </w:rPr>
        <w:t>the amount of $(</w:t>
      </w:r>
      <w:r w:rsidRPr="00FB5439">
        <w:rPr>
          <w:i/>
          <w:sz w:val="22"/>
          <w:szCs w:val="22"/>
        </w:rPr>
        <w:t xml:space="preserve">insert total amount), </w:t>
      </w:r>
      <w:r w:rsidRPr="00FB5439">
        <w:rPr>
          <w:sz w:val="22"/>
          <w:szCs w:val="22"/>
        </w:rPr>
        <w:t>being the total of the amounts of the debts described in the Schedule.</w:t>
      </w:r>
    </w:p>
    <w:p w14:paraId="4C394924" w14:textId="77777777" w:rsidR="00E93F58" w:rsidRPr="00FB5439" w:rsidRDefault="00E93F58" w:rsidP="00070F64">
      <w:pPr>
        <w:jc w:val="both"/>
        <w:rPr>
          <w:szCs w:val="22"/>
        </w:rPr>
      </w:pPr>
    </w:p>
    <w:p w14:paraId="4CB7C09F" w14:textId="77777777" w:rsidR="00E93F58" w:rsidRPr="00FB5439" w:rsidRDefault="00E93F58" w:rsidP="00070F64">
      <w:pPr>
        <w:pStyle w:val="form1"/>
        <w:jc w:val="both"/>
        <w:rPr>
          <w:sz w:val="22"/>
          <w:szCs w:val="22"/>
        </w:rPr>
      </w:pPr>
      <w:r w:rsidRPr="00A80D13">
        <w:rPr>
          <w:position w:val="6"/>
          <w:sz w:val="16"/>
          <w:szCs w:val="22"/>
        </w:rPr>
        <w:t>*</w:t>
      </w:r>
      <w:r w:rsidRPr="00FB5439">
        <w:rPr>
          <w:sz w:val="22"/>
          <w:szCs w:val="22"/>
        </w:rPr>
        <w:t>2.</w:t>
      </w:r>
      <w:r w:rsidRPr="00FB5439">
        <w:rPr>
          <w:sz w:val="22"/>
          <w:szCs w:val="22"/>
        </w:rPr>
        <w:tab/>
        <w:t>The amount is due and payable by the company.</w:t>
      </w:r>
    </w:p>
    <w:p w14:paraId="406565BC" w14:textId="77777777" w:rsidR="00E93F58" w:rsidRPr="00FB5439" w:rsidRDefault="00E93F58" w:rsidP="00070F64">
      <w:pPr>
        <w:jc w:val="both"/>
        <w:rPr>
          <w:szCs w:val="22"/>
        </w:rPr>
      </w:pPr>
    </w:p>
    <w:p w14:paraId="0CFCAC33" w14:textId="77777777" w:rsidR="00E93F58" w:rsidRPr="00FB5439" w:rsidRDefault="00E93F58" w:rsidP="00070F64">
      <w:pPr>
        <w:pStyle w:val="form1"/>
        <w:jc w:val="both"/>
        <w:rPr>
          <w:sz w:val="22"/>
          <w:szCs w:val="22"/>
        </w:rPr>
      </w:pPr>
      <w:r w:rsidRPr="00A80D13">
        <w:rPr>
          <w:position w:val="6"/>
          <w:sz w:val="16"/>
          <w:szCs w:val="22"/>
        </w:rPr>
        <w:t>*</w:t>
      </w:r>
      <w:r w:rsidRPr="00FB5439">
        <w:rPr>
          <w:sz w:val="22"/>
          <w:szCs w:val="22"/>
        </w:rPr>
        <w:t>2.</w:t>
      </w:r>
      <w:r w:rsidRPr="00FB5439">
        <w:rPr>
          <w:sz w:val="22"/>
          <w:szCs w:val="22"/>
        </w:rPr>
        <w:tab/>
        <w:t>Attached is the affidavit of (</w:t>
      </w:r>
      <w:r w:rsidRPr="00FB5439">
        <w:rPr>
          <w:i/>
          <w:sz w:val="22"/>
          <w:szCs w:val="22"/>
        </w:rPr>
        <w:t>insert name of deponent of the affidavit)</w:t>
      </w:r>
      <w:r w:rsidRPr="00FB5439">
        <w:rPr>
          <w:sz w:val="22"/>
          <w:szCs w:val="22"/>
        </w:rPr>
        <w:t>, dated (</w:t>
      </w:r>
      <w:r w:rsidRPr="00FB5439">
        <w:rPr>
          <w:i/>
          <w:sz w:val="22"/>
          <w:szCs w:val="22"/>
        </w:rPr>
        <w:t xml:space="preserve">insert date of affidavit), </w:t>
      </w:r>
      <w:r w:rsidRPr="00FB5439">
        <w:rPr>
          <w:sz w:val="22"/>
          <w:szCs w:val="22"/>
        </w:rPr>
        <w:t>verifying that the amount is due and payable by the company</w:t>
      </w:r>
    </w:p>
    <w:p w14:paraId="5466DE44" w14:textId="77777777" w:rsidR="00E93F58" w:rsidRPr="00FB5439" w:rsidRDefault="00E93F58" w:rsidP="00070F64">
      <w:pPr>
        <w:jc w:val="both"/>
        <w:rPr>
          <w:szCs w:val="22"/>
        </w:rPr>
      </w:pPr>
    </w:p>
    <w:p w14:paraId="0969CA52" w14:textId="77777777" w:rsidR="00E93F58" w:rsidRPr="00FB5439" w:rsidRDefault="00E93F58" w:rsidP="00070F64">
      <w:pPr>
        <w:pStyle w:val="form1"/>
        <w:jc w:val="both"/>
        <w:rPr>
          <w:sz w:val="22"/>
          <w:szCs w:val="22"/>
        </w:rPr>
      </w:pPr>
      <w:r w:rsidRPr="00FB5439">
        <w:rPr>
          <w:sz w:val="22"/>
          <w:szCs w:val="22"/>
        </w:rPr>
        <w:t>3.</w:t>
      </w:r>
      <w:r w:rsidRPr="00FB5439">
        <w:rPr>
          <w:sz w:val="22"/>
          <w:szCs w:val="22"/>
        </w:rPr>
        <w:tab/>
        <w:t>The creditor requires the company, within the statutory period after service on the company of this demand:</w:t>
      </w:r>
    </w:p>
    <w:p w14:paraId="3A8369AE" w14:textId="77777777" w:rsidR="00E93F58" w:rsidRPr="00FB5439" w:rsidRDefault="00E93F58" w:rsidP="00070F64">
      <w:pPr>
        <w:pStyle w:val="form2"/>
        <w:jc w:val="both"/>
        <w:rPr>
          <w:sz w:val="22"/>
          <w:szCs w:val="22"/>
        </w:rPr>
      </w:pPr>
      <w:r w:rsidRPr="00FB5439">
        <w:rPr>
          <w:sz w:val="22"/>
          <w:szCs w:val="22"/>
        </w:rPr>
        <w:t>(a)</w:t>
      </w:r>
      <w:r w:rsidRPr="00FB5439">
        <w:rPr>
          <w:sz w:val="22"/>
          <w:szCs w:val="22"/>
        </w:rPr>
        <w:tab/>
        <w:t xml:space="preserve">to pay to the creditor the </w:t>
      </w:r>
      <w:r w:rsidRPr="00A80D13">
        <w:rPr>
          <w:position w:val="6"/>
          <w:sz w:val="16"/>
          <w:szCs w:val="22"/>
        </w:rPr>
        <w:t>*</w:t>
      </w:r>
      <w:r w:rsidRPr="00FB5439">
        <w:rPr>
          <w:sz w:val="22"/>
          <w:szCs w:val="22"/>
        </w:rPr>
        <w:t>amount of the debt/</w:t>
      </w:r>
      <w:r w:rsidRPr="00A80D13">
        <w:rPr>
          <w:position w:val="6"/>
          <w:sz w:val="16"/>
          <w:szCs w:val="22"/>
        </w:rPr>
        <w:t>*</w:t>
      </w:r>
      <w:r w:rsidRPr="00FB5439">
        <w:rPr>
          <w:sz w:val="22"/>
          <w:szCs w:val="22"/>
        </w:rPr>
        <w:t>total of the amounts of the debts; or</w:t>
      </w:r>
    </w:p>
    <w:p w14:paraId="5E7A1366" w14:textId="77777777" w:rsidR="00E93F58" w:rsidRPr="00FB5439" w:rsidRDefault="00E93F58" w:rsidP="00070F64">
      <w:pPr>
        <w:pStyle w:val="form2"/>
        <w:jc w:val="both"/>
        <w:rPr>
          <w:sz w:val="22"/>
          <w:szCs w:val="22"/>
        </w:rPr>
      </w:pPr>
      <w:r w:rsidRPr="00FB5439">
        <w:rPr>
          <w:sz w:val="22"/>
          <w:szCs w:val="22"/>
        </w:rPr>
        <w:t>(b)</w:t>
      </w:r>
      <w:r w:rsidRPr="00FB5439">
        <w:rPr>
          <w:sz w:val="22"/>
          <w:szCs w:val="22"/>
        </w:rPr>
        <w:tab/>
        <w:t xml:space="preserve">to secure or compound for the </w:t>
      </w:r>
      <w:r w:rsidRPr="00A80D13">
        <w:rPr>
          <w:position w:val="6"/>
          <w:sz w:val="16"/>
          <w:szCs w:val="22"/>
        </w:rPr>
        <w:t>*</w:t>
      </w:r>
      <w:r w:rsidRPr="00FB5439">
        <w:rPr>
          <w:sz w:val="22"/>
          <w:szCs w:val="22"/>
        </w:rPr>
        <w:t>amount of the debt/</w:t>
      </w:r>
      <w:r w:rsidRPr="00A80D13">
        <w:rPr>
          <w:position w:val="6"/>
          <w:sz w:val="16"/>
          <w:szCs w:val="22"/>
        </w:rPr>
        <w:t>*</w:t>
      </w:r>
      <w:r w:rsidRPr="00FB5439">
        <w:rPr>
          <w:sz w:val="22"/>
          <w:szCs w:val="22"/>
        </w:rPr>
        <w:t>total of the amounts of the debts, to the creditor’s reasonable satisfaction.</w:t>
      </w:r>
    </w:p>
    <w:p w14:paraId="0C470C12" w14:textId="77777777" w:rsidR="00E93F58" w:rsidRPr="00FB5439" w:rsidRDefault="00E93F58" w:rsidP="00070F64">
      <w:pPr>
        <w:pStyle w:val="form1"/>
        <w:jc w:val="both"/>
        <w:rPr>
          <w:sz w:val="22"/>
          <w:szCs w:val="22"/>
        </w:rPr>
      </w:pPr>
    </w:p>
    <w:p w14:paraId="1CA6C41E" w14:textId="77777777" w:rsidR="00E93F58" w:rsidRPr="00FB5439" w:rsidRDefault="00E93F58" w:rsidP="00070F64">
      <w:pPr>
        <w:pStyle w:val="form1"/>
        <w:jc w:val="both"/>
        <w:rPr>
          <w:sz w:val="22"/>
          <w:szCs w:val="22"/>
        </w:rPr>
      </w:pPr>
      <w:r w:rsidRPr="00FB5439">
        <w:rPr>
          <w:sz w:val="22"/>
          <w:szCs w:val="22"/>
        </w:rPr>
        <w:t>4.</w:t>
      </w:r>
      <w:r w:rsidRPr="00FB5439">
        <w:rPr>
          <w:sz w:val="22"/>
          <w:szCs w:val="22"/>
        </w:rPr>
        <w:tab/>
        <w:t xml:space="preserve">The creditor may rely on a failure to comply with this demand within the period for compliance set out in subsection 459F(2) as grounds for an application to a court having jurisdiction under the </w:t>
      </w:r>
      <w:r w:rsidRPr="00FB5439">
        <w:rPr>
          <w:i/>
          <w:sz w:val="22"/>
          <w:szCs w:val="22"/>
        </w:rPr>
        <w:t>Corporations Act 2001</w:t>
      </w:r>
      <w:r w:rsidRPr="00FB5439">
        <w:rPr>
          <w:sz w:val="22"/>
          <w:szCs w:val="22"/>
        </w:rPr>
        <w:t xml:space="preserve"> for the winding up of the company.</w:t>
      </w:r>
    </w:p>
    <w:p w14:paraId="44BE6181" w14:textId="77777777" w:rsidR="00E93F58" w:rsidRPr="00FB5439" w:rsidRDefault="00E93F58" w:rsidP="00070F64">
      <w:pPr>
        <w:pStyle w:val="form1"/>
        <w:jc w:val="both"/>
        <w:rPr>
          <w:sz w:val="22"/>
          <w:szCs w:val="22"/>
        </w:rPr>
      </w:pPr>
    </w:p>
    <w:p w14:paraId="56AF6AF4" w14:textId="77777777" w:rsidR="00E93F58" w:rsidRPr="00FB5439" w:rsidRDefault="00E93F58" w:rsidP="00070F64">
      <w:pPr>
        <w:pStyle w:val="form1"/>
        <w:keepLines/>
        <w:ind w:left="357" w:hanging="357"/>
        <w:jc w:val="both"/>
        <w:rPr>
          <w:sz w:val="22"/>
          <w:szCs w:val="22"/>
        </w:rPr>
      </w:pPr>
      <w:r w:rsidRPr="00FB5439">
        <w:rPr>
          <w:sz w:val="22"/>
          <w:szCs w:val="22"/>
        </w:rPr>
        <w:t>5.</w:t>
      </w:r>
      <w:r w:rsidRPr="00FB5439">
        <w:rPr>
          <w:sz w:val="22"/>
          <w:szCs w:val="22"/>
        </w:rPr>
        <w:tab/>
        <w:t xml:space="preserve">Section 459G of the </w:t>
      </w:r>
      <w:r w:rsidRPr="00FB5439">
        <w:rPr>
          <w:i/>
          <w:sz w:val="22"/>
          <w:szCs w:val="22"/>
        </w:rPr>
        <w:t>Corporations Act 2001</w:t>
      </w:r>
      <w:r w:rsidRPr="00FB5439">
        <w:rPr>
          <w:sz w:val="22"/>
          <w:szCs w:val="22"/>
        </w:rPr>
        <w:t xml:space="preserve"> provides that a company served with a demand may apply to a court having jurisdiction under the </w:t>
      </w:r>
      <w:r w:rsidRPr="00FB5439">
        <w:rPr>
          <w:i/>
          <w:sz w:val="22"/>
          <w:szCs w:val="22"/>
        </w:rPr>
        <w:t>Corporations Act 2001</w:t>
      </w:r>
      <w:r w:rsidRPr="00FB5439">
        <w:rPr>
          <w:sz w:val="22"/>
          <w:szCs w:val="22"/>
        </w:rPr>
        <w:t xml:space="preserve"> for an order setting the demand aside. An application must be made within the statutory period after the demand is served and, within the same period:</w:t>
      </w:r>
    </w:p>
    <w:p w14:paraId="22A6EB5C" w14:textId="77777777" w:rsidR="00E93F58" w:rsidRPr="00FB5439" w:rsidRDefault="00E93F58" w:rsidP="00070F64">
      <w:pPr>
        <w:pStyle w:val="form2"/>
        <w:keepLines/>
        <w:ind w:left="714" w:hanging="357"/>
        <w:jc w:val="both"/>
        <w:rPr>
          <w:sz w:val="22"/>
          <w:szCs w:val="22"/>
        </w:rPr>
      </w:pPr>
      <w:r w:rsidRPr="00FB5439">
        <w:rPr>
          <w:sz w:val="22"/>
          <w:szCs w:val="22"/>
        </w:rPr>
        <w:t>(a)</w:t>
      </w:r>
      <w:r w:rsidRPr="00FB5439">
        <w:rPr>
          <w:sz w:val="22"/>
          <w:szCs w:val="22"/>
        </w:rPr>
        <w:tab/>
        <w:t>an affidavit supporting the application must be filed with the court; and</w:t>
      </w:r>
    </w:p>
    <w:p w14:paraId="789FDE4B" w14:textId="77777777" w:rsidR="00E93F58" w:rsidRPr="00FB5439" w:rsidRDefault="00E93F58" w:rsidP="00070F64">
      <w:pPr>
        <w:pStyle w:val="form2"/>
        <w:jc w:val="both"/>
        <w:rPr>
          <w:sz w:val="22"/>
          <w:szCs w:val="22"/>
        </w:rPr>
      </w:pPr>
      <w:r w:rsidRPr="00FB5439">
        <w:rPr>
          <w:sz w:val="22"/>
          <w:szCs w:val="22"/>
        </w:rPr>
        <w:t>(b)</w:t>
      </w:r>
      <w:r w:rsidRPr="00FB5439">
        <w:rPr>
          <w:sz w:val="22"/>
          <w:szCs w:val="22"/>
        </w:rPr>
        <w:tab/>
        <w:t>a copy of the application and a copy of the affidavit must be served on the person who served the demand.</w:t>
      </w:r>
    </w:p>
    <w:p w14:paraId="281FD417" w14:textId="77777777" w:rsidR="00E93F58" w:rsidRPr="00FB5439" w:rsidRDefault="00E93F58" w:rsidP="00070F64">
      <w:pPr>
        <w:pStyle w:val="form2"/>
        <w:jc w:val="both"/>
        <w:rPr>
          <w:sz w:val="22"/>
          <w:szCs w:val="2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63"/>
      </w:tblGrid>
      <w:tr w:rsidR="00E93F58" w:rsidRPr="00FB5439" w14:paraId="0539FD53" w14:textId="77777777" w:rsidTr="00B23434">
        <w:tc>
          <w:tcPr>
            <w:tcW w:w="5000" w:type="pct"/>
          </w:tcPr>
          <w:p w14:paraId="68183F1C" w14:textId="77777777" w:rsidR="00E93F58" w:rsidRPr="00FB5439" w:rsidRDefault="00E93F58" w:rsidP="00070F64">
            <w:pPr>
              <w:pStyle w:val="form2"/>
              <w:spacing w:before="120" w:after="120"/>
              <w:ind w:left="170" w:right="170" w:firstLine="0"/>
              <w:jc w:val="both"/>
              <w:rPr>
                <w:sz w:val="22"/>
                <w:szCs w:val="22"/>
              </w:rPr>
            </w:pPr>
            <w:r w:rsidRPr="00FB5439">
              <w:rPr>
                <w:b/>
                <w:sz w:val="22"/>
                <w:szCs w:val="22"/>
              </w:rPr>
              <w:t>A failure to respond to a statutory demand can have very serious consequences for a company. In particular, it may result in the company being placed in liquidation and control of the company passing to the liquidator of the company.</w:t>
            </w:r>
          </w:p>
        </w:tc>
      </w:tr>
    </w:tbl>
    <w:p w14:paraId="1CB81F10" w14:textId="77777777" w:rsidR="00E93F58" w:rsidRPr="00FB5439" w:rsidRDefault="00E93F58" w:rsidP="00070F64">
      <w:pPr>
        <w:jc w:val="both"/>
        <w:rPr>
          <w:szCs w:val="22"/>
        </w:rPr>
      </w:pPr>
    </w:p>
    <w:p w14:paraId="5E8C6E58" w14:textId="77777777" w:rsidR="00E93F58" w:rsidRPr="00FB5439" w:rsidRDefault="00E93F58" w:rsidP="00070F64">
      <w:pPr>
        <w:pStyle w:val="form1"/>
        <w:jc w:val="both"/>
        <w:rPr>
          <w:sz w:val="22"/>
          <w:szCs w:val="22"/>
        </w:rPr>
      </w:pPr>
      <w:r w:rsidRPr="00FB5439">
        <w:rPr>
          <w:sz w:val="22"/>
          <w:szCs w:val="22"/>
        </w:rPr>
        <w:t>6.</w:t>
      </w:r>
      <w:r w:rsidRPr="00FB5439">
        <w:rPr>
          <w:sz w:val="22"/>
          <w:szCs w:val="22"/>
        </w:rPr>
        <w:tab/>
        <w:t>The address of the creditor for service of copies of any application and affidavit is (insert the address for service of the documents in the State or Territory in which the demand is served on the company, being, if solicitors are acting for the creditor, the address of the solicitors).</w:t>
      </w:r>
    </w:p>
    <w:p w14:paraId="4C721563" w14:textId="77777777" w:rsidR="00E93F58" w:rsidRPr="00FB5439" w:rsidRDefault="00E93F58" w:rsidP="00070F64">
      <w:pPr>
        <w:numPr>
          <w:ilvl w:val="12"/>
          <w:numId w:val="0"/>
        </w:numPr>
        <w:jc w:val="both"/>
        <w:rPr>
          <w:szCs w:val="22"/>
        </w:rPr>
      </w:pPr>
    </w:p>
    <w:p w14:paraId="4FAB54A0" w14:textId="77777777" w:rsidR="00E93F58" w:rsidRPr="00FB5439" w:rsidRDefault="00E93F58" w:rsidP="00070F64">
      <w:pPr>
        <w:numPr>
          <w:ilvl w:val="12"/>
          <w:numId w:val="0"/>
        </w:numPr>
        <w:jc w:val="center"/>
        <w:rPr>
          <w:szCs w:val="22"/>
        </w:rPr>
      </w:pPr>
    </w:p>
    <w:p w14:paraId="7ADA59E9" w14:textId="77777777" w:rsidR="00E93F58" w:rsidRPr="00FB5439" w:rsidRDefault="00E93F58" w:rsidP="00A35856">
      <w:pPr>
        <w:numPr>
          <w:ilvl w:val="12"/>
          <w:numId w:val="0"/>
        </w:numPr>
        <w:jc w:val="both"/>
        <w:rPr>
          <w:szCs w:val="22"/>
        </w:rPr>
      </w:pPr>
      <w:r w:rsidRPr="00FB5439">
        <w:rPr>
          <w:szCs w:val="22"/>
        </w:rPr>
        <w:t>SCHEDULE</w:t>
      </w:r>
    </w:p>
    <w:p w14:paraId="25B82D0B" w14:textId="77777777" w:rsidR="00E93F58" w:rsidRPr="00FB5439" w:rsidRDefault="00E93F58" w:rsidP="00070F64">
      <w:pPr>
        <w:jc w:val="both"/>
        <w:rPr>
          <w:szCs w:val="22"/>
        </w:rPr>
      </w:pPr>
    </w:p>
    <w:p w14:paraId="25A4B9F7" w14:textId="77777777" w:rsidR="00E93F58" w:rsidRPr="00FB5439" w:rsidRDefault="00E93F58" w:rsidP="00070F64">
      <w:pPr>
        <w:tabs>
          <w:tab w:val="right" w:pos="7088"/>
        </w:tabs>
        <w:ind w:left="360"/>
        <w:rPr>
          <w:szCs w:val="22"/>
        </w:rPr>
      </w:pPr>
      <w:r w:rsidRPr="00FB5439">
        <w:rPr>
          <w:szCs w:val="22"/>
        </w:rPr>
        <w:t>Description of the debt</w:t>
      </w:r>
      <w:r w:rsidRPr="00FB5439">
        <w:rPr>
          <w:szCs w:val="22"/>
        </w:rPr>
        <w:tab/>
        <w:t>Amount of the debt</w:t>
      </w:r>
    </w:p>
    <w:p w14:paraId="3B7F10B2" w14:textId="77777777" w:rsidR="00E93F58" w:rsidRPr="00FB5439" w:rsidRDefault="00E93F58" w:rsidP="00070F64">
      <w:pPr>
        <w:ind w:left="360"/>
        <w:rPr>
          <w:i/>
          <w:szCs w:val="22"/>
        </w:rPr>
      </w:pPr>
      <w:r w:rsidRPr="00FB5439">
        <w:rPr>
          <w:i/>
          <w:szCs w:val="22"/>
        </w:rPr>
        <w:t>(indicate if it is a judgment debt,</w:t>
      </w:r>
      <w:r w:rsidRPr="00FB5439">
        <w:rPr>
          <w:i/>
          <w:szCs w:val="22"/>
        </w:rPr>
        <w:br/>
        <w:t>giving the name of the court</w:t>
      </w:r>
      <w:r w:rsidRPr="00FB5439">
        <w:rPr>
          <w:i/>
          <w:szCs w:val="22"/>
        </w:rPr>
        <w:br/>
        <w:t>and the date of the order)</w:t>
      </w:r>
    </w:p>
    <w:p w14:paraId="14B05FF2" w14:textId="77777777" w:rsidR="00E93F58" w:rsidRPr="00FB5439" w:rsidRDefault="00E93F58" w:rsidP="00070F64">
      <w:pPr>
        <w:jc w:val="both"/>
        <w:rPr>
          <w:i/>
          <w:szCs w:val="22"/>
        </w:rPr>
      </w:pPr>
    </w:p>
    <w:tbl>
      <w:tblPr>
        <w:tblW w:w="5000" w:type="pct"/>
        <w:tblLook w:val="0000" w:firstRow="0" w:lastRow="0" w:firstColumn="0" w:lastColumn="0" w:noHBand="0" w:noVBand="0"/>
      </w:tblPr>
      <w:tblGrid>
        <w:gridCol w:w="10773"/>
      </w:tblGrid>
      <w:tr w:rsidR="00E93F58" w:rsidRPr="00FB5439" w14:paraId="1A0CD363" w14:textId="77777777" w:rsidTr="00B23434">
        <w:tc>
          <w:tcPr>
            <w:tcW w:w="5000" w:type="pct"/>
          </w:tcPr>
          <w:p w14:paraId="4D5D943D" w14:textId="77777777" w:rsidR="00E93F58" w:rsidRPr="00FB5439" w:rsidRDefault="00E93F58" w:rsidP="00070F64">
            <w:pPr>
              <w:jc w:val="both"/>
              <w:rPr>
                <w:szCs w:val="22"/>
              </w:rPr>
            </w:pPr>
          </w:p>
        </w:tc>
      </w:tr>
      <w:tr w:rsidR="00E93F58" w:rsidRPr="00FB5439" w14:paraId="3325B4B8" w14:textId="77777777" w:rsidTr="00B23434">
        <w:trPr>
          <w:trHeight w:hRule="exact" w:val="520"/>
        </w:trPr>
        <w:tc>
          <w:tcPr>
            <w:tcW w:w="5000" w:type="pct"/>
            <w:tcBorders>
              <w:top w:val="single" w:sz="6" w:space="0" w:color="auto"/>
            </w:tcBorders>
          </w:tcPr>
          <w:p w14:paraId="79162DAA" w14:textId="77777777" w:rsidR="00E93F58" w:rsidRPr="00FB5439" w:rsidRDefault="00E93F58" w:rsidP="00070F64">
            <w:pPr>
              <w:jc w:val="both"/>
              <w:rPr>
                <w:szCs w:val="22"/>
              </w:rPr>
            </w:pPr>
          </w:p>
          <w:p w14:paraId="62E2D582" w14:textId="77777777" w:rsidR="00E93F58" w:rsidRPr="00FB5439" w:rsidRDefault="00E93F58" w:rsidP="00070F64">
            <w:pPr>
              <w:jc w:val="both"/>
              <w:rPr>
                <w:szCs w:val="22"/>
              </w:rPr>
            </w:pPr>
          </w:p>
        </w:tc>
      </w:tr>
      <w:tr w:rsidR="00E93F58" w:rsidRPr="00FB5439" w14:paraId="6CCC6E48" w14:textId="77777777" w:rsidTr="00B23434">
        <w:trPr>
          <w:trHeight w:val="515"/>
        </w:trPr>
        <w:tc>
          <w:tcPr>
            <w:tcW w:w="5000" w:type="pct"/>
            <w:tcBorders>
              <w:top w:val="single" w:sz="6" w:space="0" w:color="auto"/>
              <w:bottom w:val="single" w:sz="6" w:space="0" w:color="auto"/>
            </w:tcBorders>
          </w:tcPr>
          <w:p w14:paraId="4892BE2D" w14:textId="77777777" w:rsidR="00E93F58" w:rsidRPr="00FB5439" w:rsidRDefault="00E93F58" w:rsidP="00070F64">
            <w:pPr>
              <w:jc w:val="both"/>
              <w:rPr>
                <w:szCs w:val="22"/>
              </w:rPr>
            </w:pPr>
          </w:p>
          <w:p w14:paraId="40969B31" w14:textId="77777777" w:rsidR="00E93F58" w:rsidRPr="00FB5439" w:rsidRDefault="00E93F58" w:rsidP="00070F64">
            <w:pPr>
              <w:jc w:val="right"/>
              <w:rPr>
                <w:szCs w:val="22"/>
              </w:rPr>
            </w:pPr>
            <w:r w:rsidRPr="00A80D13">
              <w:rPr>
                <w:position w:val="6"/>
                <w:sz w:val="16"/>
                <w:szCs w:val="22"/>
              </w:rPr>
              <w:t>*</w:t>
            </w:r>
            <w:r w:rsidRPr="00FB5439">
              <w:rPr>
                <w:szCs w:val="22"/>
              </w:rPr>
              <w:t>Total Amount</w:t>
            </w:r>
          </w:p>
        </w:tc>
      </w:tr>
    </w:tbl>
    <w:p w14:paraId="79AFA4EE" w14:textId="77777777" w:rsidR="00E93F58" w:rsidRPr="00FB5439" w:rsidRDefault="00E93F58" w:rsidP="00070F64">
      <w:pPr>
        <w:jc w:val="both"/>
        <w:rPr>
          <w:szCs w:val="22"/>
        </w:rPr>
      </w:pPr>
    </w:p>
    <w:p w14:paraId="62574A80" w14:textId="77777777" w:rsidR="00E93F58" w:rsidRPr="00FB5439" w:rsidRDefault="00E93F58" w:rsidP="00070F64">
      <w:pPr>
        <w:jc w:val="both"/>
        <w:rPr>
          <w:szCs w:val="22"/>
        </w:rPr>
      </w:pPr>
    </w:p>
    <w:p w14:paraId="49D1FD12" w14:textId="77777777" w:rsidR="00E93F58" w:rsidRPr="00FB5439" w:rsidRDefault="00E93F58" w:rsidP="00070F64">
      <w:pPr>
        <w:jc w:val="both"/>
        <w:rPr>
          <w:szCs w:val="22"/>
        </w:rPr>
      </w:pPr>
      <w:r w:rsidRPr="00FB5439">
        <w:rPr>
          <w:szCs w:val="22"/>
        </w:rPr>
        <w:t>Dated:</w:t>
      </w:r>
    </w:p>
    <w:p w14:paraId="17E67CF3" w14:textId="77777777" w:rsidR="00E93F58" w:rsidRPr="00FB5439" w:rsidRDefault="00E93F58" w:rsidP="00070F64">
      <w:pPr>
        <w:jc w:val="both"/>
        <w:rPr>
          <w:szCs w:val="22"/>
        </w:rPr>
      </w:pPr>
    </w:p>
    <w:p w14:paraId="00542EDA" w14:textId="77777777" w:rsidR="00E93F58" w:rsidRPr="00FB5439" w:rsidRDefault="00E93F58" w:rsidP="00070F64">
      <w:pPr>
        <w:jc w:val="both"/>
        <w:rPr>
          <w:szCs w:val="22"/>
        </w:rPr>
      </w:pPr>
      <w:r w:rsidRPr="00FB5439">
        <w:rPr>
          <w:szCs w:val="22"/>
        </w:rPr>
        <w:t>signed:</w:t>
      </w:r>
    </w:p>
    <w:p w14:paraId="389619FE" w14:textId="77777777" w:rsidR="00E93F58" w:rsidRPr="00FB5439" w:rsidRDefault="00E93F58" w:rsidP="00070F64">
      <w:pPr>
        <w:jc w:val="both"/>
        <w:rPr>
          <w:szCs w:val="22"/>
        </w:rPr>
      </w:pPr>
    </w:p>
    <w:p w14:paraId="716FF2F9" w14:textId="77777777" w:rsidR="00E93F58" w:rsidRPr="00FB5439" w:rsidRDefault="00E93F58" w:rsidP="00070F64">
      <w:pPr>
        <w:tabs>
          <w:tab w:val="left" w:pos="3544"/>
        </w:tabs>
        <w:jc w:val="both"/>
        <w:rPr>
          <w:szCs w:val="22"/>
        </w:rPr>
      </w:pPr>
      <w:r w:rsidRPr="00FB5439">
        <w:rPr>
          <w:szCs w:val="22"/>
        </w:rPr>
        <w:t>Print name:</w:t>
      </w:r>
      <w:r w:rsidRPr="00FB5439">
        <w:rPr>
          <w:szCs w:val="22"/>
        </w:rPr>
        <w:tab/>
        <w:t>capacity:</w:t>
      </w:r>
    </w:p>
    <w:p w14:paraId="6EC9308B" w14:textId="77777777" w:rsidR="00E93F58" w:rsidRPr="00FB5439" w:rsidRDefault="00E93F58" w:rsidP="00070F64">
      <w:pPr>
        <w:jc w:val="both"/>
        <w:rPr>
          <w:szCs w:val="22"/>
        </w:rPr>
      </w:pPr>
    </w:p>
    <w:p w14:paraId="37582887" w14:textId="77777777" w:rsidR="00E93F58" w:rsidRPr="00FB5439" w:rsidRDefault="00E93F58" w:rsidP="00070F64">
      <w:pPr>
        <w:jc w:val="both"/>
        <w:rPr>
          <w:szCs w:val="22"/>
        </w:rPr>
      </w:pPr>
      <w:r w:rsidRPr="00FB5439">
        <w:rPr>
          <w:szCs w:val="22"/>
        </w:rPr>
        <w:t>Corporation or partnership name (if applicable):</w:t>
      </w:r>
    </w:p>
    <w:p w14:paraId="4C178966" w14:textId="77777777" w:rsidR="00E93F58" w:rsidRPr="00FB5439" w:rsidRDefault="00E93F58" w:rsidP="00070F64">
      <w:pPr>
        <w:jc w:val="both"/>
        <w:rPr>
          <w:szCs w:val="22"/>
        </w:rPr>
      </w:pPr>
    </w:p>
    <w:p w14:paraId="3DFEFD66" w14:textId="77777777" w:rsidR="00E93F58" w:rsidRPr="00FB5439" w:rsidRDefault="00E93F58" w:rsidP="00926014">
      <w:pPr>
        <w:keepNext/>
        <w:keepLines/>
        <w:jc w:val="both"/>
        <w:rPr>
          <w:szCs w:val="22"/>
        </w:rPr>
      </w:pPr>
      <w:r w:rsidRPr="00FB5439">
        <w:rPr>
          <w:szCs w:val="22"/>
        </w:rPr>
        <w:t>NOTES:</w:t>
      </w:r>
    </w:p>
    <w:p w14:paraId="7A4C08BE" w14:textId="77777777" w:rsidR="00E93F58" w:rsidRPr="00FB5439" w:rsidRDefault="00E93F58" w:rsidP="00070F64">
      <w:pPr>
        <w:pStyle w:val="form1"/>
        <w:spacing w:before="240"/>
        <w:ind w:left="357" w:hanging="357"/>
        <w:jc w:val="both"/>
        <w:rPr>
          <w:sz w:val="22"/>
          <w:szCs w:val="22"/>
        </w:rPr>
      </w:pPr>
      <w:r w:rsidRPr="00FB5439">
        <w:rPr>
          <w:sz w:val="22"/>
          <w:szCs w:val="22"/>
        </w:rPr>
        <w:t>1.</w:t>
      </w:r>
      <w:r w:rsidRPr="00FB5439">
        <w:rPr>
          <w:sz w:val="22"/>
          <w:szCs w:val="22"/>
        </w:rPr>
        <w:tab/>
        <w:t>The form must be signed by the creditor or the creditor’s solicitor. It may be signed on behalf of a partnership by a partner, and on behalf of a corporation by a director or by the secretary or an executive officer of the corporation.</w:t>
      </w:r>
    </w:p>
    <w:p w14:paraId="51F8674B" w14:textId="77777777" w:rsidR="00E93F58" w:rsidRPr="00FB5439" w:rsidRDefault="00E93F58" w:rsidP="00814487">
      <w:pPr>
        <w:spacing w:before="240"/>
        <w:ind w:left="357" w:hanging="357"/>
        <w:rPr>
          <w:rFonts w:eastAsia="Calibri" w:cs="Times New Roman"/>
          <w:szCs w:val="22"/>
        </w:rPr>
      </w:pPr>
      <w:r w:rsidRPr="00FB5439">
        <w:rPr>
          <w:rFonts w:eastAsia="Calibri" w:cs="Times New Roman"/>
          <w:szCs w:val="22"/>
        </w:rPr>
        <w:t>2.</w:t>
      </w:r>
      <w:r w:rsidRPr="00FB5439">
        <w:rPr>
          <w:rFonts w:eastAsia="Calibri" w:cs="Times New Roman"/>
          <w:szCs w:val="22"/>
        </w:rPr>
        <w:tab/>
        <w:t xml:space="preserve">The amount of the debt or, if there is more than one debt, the total of the amounts of the debts, must exceed the statutory minimum. The statutory minimum is $2,000 or a greater amount prescribed by the regulations. </w:t>
      </w:r>
      <w:r w:rsidRPr="00FB5439">
        <w:t>From 1 July 2021, a greater amount of $4,000 is prescribed. However, for</w:t>
      </w:r>
      <w:r w:rsidRPr="00FB5439">
        <w:rPr>
          <w:rFonts w:eastAsia="Calibri" w:cs="Times New Roman"/>
          <w:szCs w:val="22"/>
        </w:rPr>
        <w:t xml:space="preserve"> a 7</w:t>
      </w:r>
      <w:r>
        <w:rPr>
          <w:rFonts w:eastAsia="Calibri" w:cs="Times New Roman"/>
          <w:szCs w:val="22"/>
        </w:rPr>
        <w:noBreakHyphen/>
      </w:r>
      <w:r w:rsidRPr="00FB5439">
        <w:rPr>
          <w:rFonts w:eastAsia="Calibri" w:cs="Times New Roman"/>
          <w:szCs w:val="22"/>
        </w:rPr>
        <w:t xml:space="preserve">month period in 2021, a greater amount of $20,000 is prescribed in relation to a company that is eligible for temporary restructuring relief (see the </w:t>
      </w:r>
      <w:r w:rsidRPr="00FB5439">
        <w:rPr>
          <w:i/>
        </w:rPr>
        <w:t xml:space="preserve">Corporations Amendment (Corporate Insolvency Reforms) </w:t>
      </w:r>
      <w:r>
        <w:rPr>
          <w:i/>
        </w:rPr>
        <w:t>Regulations 2</w:t>
      </w:r>
      <w:r w:rsidRPr="00FB5439">
        <w:rPr>
          <w:i/>
        </w:rPr>
        <w:t>020</w:t>
      </w:r>
      <w:r w:rsidRPr="00FB5439">
        <w:rPr>
          <w:rFonts w:eastAsia="Calibri" w:cs="Times New Roman"/>
          <w:szCs w:val="22"/>
        </w:rPr>
        <w:t>).</w:t>
      </w:r>
    </w:p>
    <w:p w14:paraId="419F9544" w14:textId="77777777" w:rsidR="00E93F58" w:rsidRPr="00FB5439" w:rsidRDefault="00E93F58" w:rsidP="00070F64">
      <w:pPr>
        <w:pStyle w:val="form1"/>
        <w:spacing w:before="240"/>
        <w:ind w:left="357" w:hanging="357"/>
        <w:jc w:val="both"/>
        <w:rPr>
          <w:sz w:val="22"/>
          <w:szCs w:val="22"/>
        </w:rPr>
      </w:pPr>
      <w:r w:rsidRPr="00FB5439">
        <w:rPr>
          <w:sz w:val="22"/>
          <w:szCs w:val="22"/>
        </w:rPr>
        <w:t>3.</w:t>
      </w:r>
      <w:r w:rsidRPr="00FB5439">
        <w:rPr>
          <w:sz w:val="22"/>
          <w:szCs w:val="22"/>
        </w:rPr>
        <w:tab/>
        <w:t>Unless the debt, or each of the debts, is a judgment debt, the demand must be accompanied by an affidavit that:</w:t>
      </w:r>
    </w:p>
    <w:p w14:paraId="222E368F" w14:textId="77777777" w:rsidR="00E93F58" w:rsidRPr="00FB5439" w:rsidRDefault="00E93F58" w:rsidP="00070F64">
      <w:pPr>
        <w:pStyle w:val="form2"/>
        <w:spacing w:before="60"/>
        <w:ind w:hanging="357"/>
        <w:rPr>
          <w:sz w:val="22"/>
          <w:szCs w:val="22"/>
        </w:rPr>
      </w:pPr>
      <w:r w:rsidRPr="00FB5439">
        <w:rPr>
          <w:sz w:val="22"/>
          <w:szCs w:val="22"/>
        </w:rPr>
        <w:t>(a)</w:t>
      </w:r>
      <w:r w:rsidRPr="00FB5439">
        <w:rPr>
          <w:sz w:val="22"/>
          <w:szCs w:val="22"/>
        </w:rPr>
        <w:tab/>
        <w:t>verifies that the debt, or the total of the amounts of the debts, is due and payable by the company; and</w:t>
      </w:r>
    </w:p>
    <w:p w14:paraId="61EFD228" w14:textId="77777777" w:rsidR="00E93F58" w:rsidRPr="00FB5439" w:rsidRDefault="00E93F58" w:rsidP="00070F64">
      <w:pPr>
        <w:pStyle w:val="form2"/>
        <w:spacing w:before="60"/>
        <w:ind w:hanging="357"/>
        <w:rPr>
          <w:sz w:val="22"/>
          <w:szCs w:val="22"/>
        </w:rPr>
      </w:pPr>
      <w:r w:rsidRPr="00FB5439">
        <w:rPr>
          <w:sz w:val="22"/>
          <w:szCs w:val="22"/>
        </w:rPr>
        <w:t>(b)</w:t>
      </w:r>
      <w:r w:rsidRPr="00FB5439">
        <w:rPr>
          <w:sz w:val="22"/>
          <w:szCs w:val="22"/>
        </w:rPr>
        <w:tab/>
        <w:t xml:space="preserve">complies with the </w:t>
      </w:r>
      <w:bookmarkStart w:id="3187" w:name="_Hlk146193282"/>
      <w:r w:rsidRPr="0046564D">
        <w:rPr>
          <w:sz w:val="22"/>
          <w:szCs w:val="22"/>
        </w:rPr>
        <w:t>rules of court</w:t>
      </w:r>
      <w:bookmarkEnd w:id="3187"/>
      <w:r w:rsidRPr="00FB5439">
        <w:rPr>
          <w:sz w:val="22"/>
          <w:szCs w:val="22"/>
        </w:rPr>
        <w:t>.</w:t>
      </w:r>
    </w:p>
    <w:p w14:paraId="485E29F0" w14:textId="77777777" w:rsidR="00E93F58" w:rsidRPr="00FB5439" w:rsidRDefault="00E93F58" w:rsidP="00070F64">
      <w:pPr>
        <w:pStyle w:val="form1"/>
        <w:spacing w:before="240"/>
        <w:ind w:left="357" w:hanging="357"/>
        <w:jc w:val="both"/>
        <w:rPr>
          <w:sz w:val="22"/>
          <w:szCs w:val="22"/>
        </w:rPr>
      </w:pPr>
      <w:r w:rsidRPr="00FB5439">
        <w:rPr>
          <w:sz w:val="22"/>
          <w:szCs w:val="22"/>
        </w:rPr>
        <w:t>4.</w:t>
      </w:r>
      <w:r w:rsidRPr="00FB5439">
        <w:rPr>
          <w:sz w:val="22"/>
          <w:szCs w:val="22"/>
        </w:rPr>
        <w:tab/>
        <w:t>A person may make a demand relating to a debt that is owed to the person as assignee.</w:t>
      </w:r>
    </w:p>
    <w:p w14:paraId="5F7BBB1F" w14:textId="77777777" w:rsidR="00E93F58" w:rsidRPr="00FB5439" w:rsidRDefault="00E93F58" w:rsidP="00814487">
      <w:pPr>
        <w:spacing w:before="240"/>
        <w:ind w:left="357" w:hanging="357"/>
        <w:rPr>
          <w:rFonts w:eastAsia="Calibri" w:cs="Times New Roman"/>
          <w:szCs w:val="22"/>
        </w:rPr>
      </w:pPr>
      <w:r w:rsidRPr="00FB5439">
        <w:rPr>
          <w:rFonts w:eastAsia="Calibri" w:cs="Times New Roman"/>
          <w:szCs w:val="22"/>
        </w:rPr>
        <w:t>5.</w:t>
      </w:r>
      <w:r w:rsidRPr="00FB5439">
        <w:rPr>
          <w:rFonts w:eastAsia="Calibri" w:cs="Times New Roman"/>
          <w:szCs w:val="22"/>
        </w:rPr>
        <w:tab/>
        <w:t>The statutory period is 21 days or a longer period prescribed by the regulations. For a 7</w:t>
      </w:r>
      <w:r>
        <w:rPr>
          <w:rFonts w:eastAsia="Calibri" w:cs="Times New Roman"/>
          <w:szCs w:val="22"/>
        </w:rPr>
        <w:noBreakHyphen/>
      </w:r>
      <w:r w:rsidRPr="00FB5439">
        <w:rPr>
          <w:rFonts w:eastAsia="Calibri" w:cs="Times New Roman"/>
          <w:szCs w:val="22"/>
        </w:rPr>
        <w:t xml:space="preserve">month period in 2021, a longer period of 6 months is prescribed </w:t>
      </w:r>
      <w:r w:rsidRPr="00FB5439">
        <w:t>in relation to a company that is eligible for temporary restructuring relief</w:t>
      </w:r>
      <w:r w:rsidRPr="00FB5439">
        <w:rPr>
          <w:rFonts w:eastAsia="Calibri" w:cs="Times New Roman"/>
          <w:szCs w:val="22"/>
        </w:rPr>
        <w:t xml:space="preserve"> (see the </w:t>
      </w:r>
      <w:r w:rsidRPr="00FB5439">
        <w:rPr>
          <w:i/>
        </w:rPr>
        <w:t xml:space="preserve">Corporations Amendment (Corporate Insolvency Reforms) </w:t>
      </w:r>
      <w:r>
        <w:rPr>
          <w:i/>
        </w:rPr>
        <w:t>Regulations 2</w:t>
      </w:r>
      <w:r w:rsidRPr="00FB5439">
        <w:rPr>
          <w:i/>
        </w:rPr>
        <w:t>020</w:t>
      </w:r>
      <w:r w:rsidRPr="00FB5439">
        <w:rPr>
          <w:rFonts w:eastAsia="Calibri" w:cs="Times New Roman"/>
          <w:szCs w:val="22"/>
        </w:rPr>
        <w:t>).</w:t>
      </w:r>
    </w:p>
    <w:p w14:paraId="28C6736C" w14:textId="77777777" w:rsidR="00E93F58" w:rsidRPr="00FB5439" w:rsidRDefault="00E93F58" w:rsidP="00070F64">
      <w:pPr>
        <w:rPr>
          <w:szCs w:val="22"/>
        </w:rPr>
      </w:pPr>
    </w:p>
    <w:p w14:paraId="6046C3EF" w14:textId="77777777" w:rsidR="00E93F58" w:rsidRPr="00FB5439" w:rsidRDefault="00E93F58" w:rsidP="00070F64">
      <w:pPr>
        <w:rPr>
          <w:szCs w:val="22"/>
        </w:rPr>
      </w:pPr>
    </w:p>
    <w:p w14:paraId="15D78F87" w14:textId="77777777" w:rsidR="00E93F58" w:rsidRPr="00FB5439" w:rsidRDefault="00E93F58" w:rsidP="00070F64">
      <w:pPr>
        <w:rPr>
          <w:szCs w:val="22"/>
        </w:rPr>
      </w:pPr>
      <w:r w:rsidRPr="00A80D13">
        <w:rPr>
          <w:position w:val="6"/>
          <w:sz w:val="16"/>
          <w:szCs w:val="22"/>
        </w:rPr>
        <w:t>*</w:t>
      </w:r>
      <w:r w:rsidRPr="00FB5439">
        <w:rPr>
          <w:szCs w:val="22"/>
        </w:rPr>
        <w:t>Omit if inapplicable</w:t>
      </w:r>
    </w:p>
    <w:p w14:paraId="09A9F082" w14:textId="77777777" w:rsidR="00E93F58" w:rsidRPr="00FB5439" w:rsidRDefault="00E93F58" w:rsidP="00070F64">
      <w:pPr>
        <w:rPr>
          <w:szCs w:val="22"/>
        </w:rPr>
      </w:pPr>
    </w:p>
    <w:p w14:paraId="577C631F" w14:textId="77777777" w:rsidR="00E93F58" w:rsidRPr="00FB5439" w:rsidRDefault="00E93F58" w:rsidP="00070F64">
      <w:pPr>
        <w:rPr>
          <w:szCs w:val="22"/>
        </w:rPr>
      </w:pPr>
    </w:p>
    <w:p w14:paraId="59F3896E" w14:textId="77777777" w:rsidR="00E93F58" w:rsidRPr="00FB5439" w:rsidRDefault="00E93F58" w:rsidP="00070F64">
      <w:pPr>
        <w:rPr>
          <w:szCs w:val="22"/>
        </w:rPr>
      </w:pPr>
    </w:p>
    <w:p w14:paraId="6EEC33C0" w14:textId="77777777" w:rsidR="00E93F58" w:rsidRPr="00FB5439" w:rsidRDefault="00E93F58" w:rsidP="00070F64">
      <w:pPr>
        <w:rPr>
          <w:szCs w:val="22"/>
        </w:rPr>
      </w:pPr>
    </w:p>
    <w:p w14:paraId="768A3113" w14:textId="77777777" w:rsidR="00E93F58" w:rsidRPr="00FB5439" w:rsidRDefault="00E93F58" w:rsidP="00070F64">
      <w:pPr>
        <w:rPr>
          <w:szCs w:val="22"/>
        </w:rPr>
      </w:pPr>
    </w:p>
    <w:p w14:paraId="2E89AE7F" w14:textId="77777777" w:rsidR="00E93F58" w:rsidRPr="00FB5439" w:rsidRDefault="00E93F58" w:rsidP="00070F64">
      <w:pPr>
        <w:rPr>
          <w:szCs w:val="22"/>
        </w:rPr>
      </w:pPr>
    </w:p>
    <w:p w14:paraId="72F81D11" w14:textId="77777777" w:rsidR="00E93F58" w:rsidRPr="00FB5439" w:rsidRDefault="00E93F58" w:rsidP="00070F64">
      <w:pPr>
        <w:rPr>
          <w:szCs w:val="22"/>
        </w:rPr>
      </w:pPr>
    </w:p>
    <w:p w14:paraId="33801AB3" w14:textId="77777777" w:rsidR="00E93F58" w:rsidRPr="00FB5439" w:rsidRDefault="00E93F58" w:rsidP="00070F64">
      <w:pPr>
        <w:rPr>
          <w:szCs w:val="22"/>
        </w:rPr>
      </w:pPr>
    </w:p>
    <w:p w14:paraId="548D12E0" w14:textId="77777777" w:rsidR="00E93F58" w:rsidRPr="00FB5439" w:rsidRDefault="00E93F58" w:rsidP="00070F64">
      <w:r w:rsidRPr="00FB5439">
        <w:rPr>
          <w:noProof/>
          <w:lang w:eastAsia="en-AU"/>
        </w:rPr>
        <w:lastRenderedPageBreak/>
        <w:drawing>
          <wp:inline distT="0" distB="0" distL="0" distR="0" wp14:anchorId="2D9DD7DB" wp14:editId="1B6EBA43">
            <wp:extent cx="4667250" cy="5724525"/>
            <wp:effectExtent l="0" t="0" r="0" b="9525"/>
            <wp:docPr id="8" name="Picture 8" descr="page 1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 520pg1"/>
                    <pic:cNvPicPr>
                      <a:picLocks noChangeAspect="1" noChangeArrowheads="1"/>
                    </pic:cNvPicPr>
                  </pic:nvPicPr>
                  <pic:blipFill>
                    <a:blip r:embed="rId22" cstate="print">
                      <a:extLst>
                        <a:ext uri="{28A0092B-C50C-407E-A947-70E740481C1C}">
                          <a14:useLocalDpi xmlns:a14="http://schemas.microsoft.com/office/drawing/2010/main" val="0"/>
                        </a:ext>
                      </a:extLst>
                    </a:blip>
                    <a:srcRect l="2367" t="4463" r="2367" b="1677"/>
                    <a:stretch>
                      <a:fillRect/>
                    </a:stretch>
                  </pic:blipFill>
                  <pic:spPr bwMode="auto">
                    <a:xfrm>
                      <a:off x="0" y="0"/>
                      <a:ext cx="4667250" cy="5724525"/>
                    </a:xfrm>
                    <a:prstGeom prst="rect">
                      <a:avLst/>
                    </a:prstGeom>
                    <a:noFill/>
                    <a:ln>
                      <a:noFill/>
                    </a:ln>
                  </pic:spPr>
                </pic:pic>
              </a:graphicData>
            </a:graphic>
          </wp:inline>
        </w:drawing>
      </w:r>
    </w:p>
    <w:p w14:paraId="431A1103" w14:textId="77777777" w:rsidR="00E93F58" w:rsidRPr="00FB5439" w:rsidRDefault="00E93F58" w:rsidP="00070F64">
      <w:r w:rsidRPr="00FB5439">
        <w:rPr>
          <w:noProof/>
          <w:lang w:eastAsia="en-AU"/>
        </w:rPr>
        <w:lastRenderedPageBreak/>
        <w:drawing>
          <wp:inline distT="0" distB="0" distL="0" distR="0" wp14:anchorId="01EC5DAE" wp14:editId="63D29EAC">
            <wp:extent cx="4500245" cy="6658526"/>
            <wp:effectExtent l="0" t="0" r="0" b="9525"/>
            <wp:docPr id="9" name="Picture 9" descr="page 2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 520pg2"/>
                    <pic:cNvPicPr>
                      <a:picLocks noChangeAspect="1" noChangeArrowheads="1"/>
                    </pic:cNvPicPr>
                  </pic:nvPicPr>
                  <pic:blipFill>
                    <a:blip r:embed="rId23" cstate="print">
                      <a:extLst>
                        <a:ext uri="{28A0092B-C50C-407E-A947-70E740481C1C}">
                          <a14:useLocalDpi xmlns:a14="http://schemas.microsoft.com/office/drawing/2010/main" val="0"/>
                        </a:ext>
                      </a:extLst>
                    </a:blip>
                    <a:srcRect l="2367" t="3993" r="2367" b="1677"/>
                    <a:stretch>
                      <a:fillRect/>
                    </a:stretch>
                  </pic:blipFill>
                  <pic:spPr bwMode="auto">
                    <a:xfrm>
                      <a:off x="0" y="0"/>
                      <a:ext cx="4500245" cy="6658526"/>
                    </a:xfrm>
                    <a:prstGeom prst="rect">
                      <a:avLst/>
                    </a:prstGeom>
                    <a:noFill/>
                    <a:ln>
                      <a:noFill/>
                    </a:ln>
                  </pic:spPr>
                </pic:pic>
              </a:graphicData>
            </a:graphic>
          </wp:inline>
        </w:drawing>
      </w:r>
    </w:p>
    <w:p w14:paraId="5A0B80AC" w14:textId="77777777" w:rsidR="00E93F58" w:rsidRPr="00FB5439" w:rsidRDefault="00E93F58" w:rsidP="00A80D13">
      <w:pPr>
        <w:pStyle w:val="ActHead2"/>
        <w:pageBreakBefore/>
      </w:pPr>
      <w:bookmarkStart w:id="3188" w:name="_Toc151992779"/>
      <w:bookmarkStart w:id="3189" w:name="_Toc158713382"/>
      <w:r w:rsidRPr="00FB5439">
        <w:rPr>
          <w:rStyle w:val="CharPartNo"/>
        </w:rPr>
        <w:lastRenderedPageBreak/>
        <w:t>Form 527</w:t>
      </w:r>
      <w:bookmarkEnd w:id="3188"/>
      <w:bookmarkEnd w:id="3189"/>
      <w:r w:rsidRPr="00FB5439">
        <w:rPr>
          <w:rStyle w:val="CharPartText"/>
        </w:rPr>
        <w:t xml:space="preserve"> </w:t>
      </w:r>
      <w:r w:rsidRPr="00FB5439">
        <w:t xml:space="preserve"> </w:t>
      </w:r>
    </w:p>
    <w:p w14:paraId="0654257F" w14:textId="77777777" w:rsidR="00E93F58" w:rsidRPr="00FB5439" w:rsidRDefault="00E93F58" w:rsidP="002E0506">
      <w:pPr>
        <w:pStyle w:val="notemargin"/>
      </w:pPr>
      <w:r w:rsidRPr="00FB5439">
        <w:t>(paragraph 568(8)(a))</w:t>
      </w:r>
    </w:p>
    <w:p w14:paraId="652F38E6"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5FA6BF7F" w14:textId="77777777" w:rsidR="00E93F58" w:rsidRPr="00FB5439" w:rsidRDefault="00E93F58" w:rsidP="00070F64">
      <w:pPr>
        <w:rPr>
          <w:sz w:val="18"/>
        </w:rPr>
      </w:pPr>
    </w:p>
    <w:p w14:paraId="1B0D5337" w14:textId="77777777" w:rsidR="00E93F58" w:rsidRPr="00FB5439" w:rsidRDefault="00E93F58" w:rsidP="00070F64">
      <w:r w:rsidRPr="00FB5439">
        <w:t>Australian Company Number:</w:t>
      </w:r>
    </w:p>
    <w:p w14:paraId="693E23EB" w14:textId="77777777" w:rsidR="00E93F58" w:rsidRPr="00FB5439" w:rsidRDefault="00E93F58" w:rsidP="00070F64"/>
    <w:p w14:paraId="0FF4DE64" w14:textId="77777777" w:rsidR="00E93F58" w:rsidRPr="00FB5439" w:rsidRDefault="00E93F58" w:rsidP="00070F64">
      <w:r w:rsidRPr="00FB5439">
        <w:rPr>
          <w:i/>
        </w:rPr>
        <w:t>Corporations Act 2001</w:t>
      </w:r>
    </w:p>
    <w:p w14:paraId="40046B02" w14:textId="77777777" w:rsidR="00E93F58" w:rsidRPr="00FB5439" w:rsidRDefault="00E93F58" w:rsidP="00070F64">
      <w:pPr>
        <w:spacing w:before="240"/>
        <w:rPr>
          <w:rFonts w:ascii="Arial" w:hAnsi="Arial" w:cs="Arial"/>
          <w:szCs w:val="22"/>
        </w:rPr>
      </w:pPr>
      <w:r w:rsidRPr="00FB5439">
        <w:rPr>
          <w:rFonts w:ascii="Arial" w:hAnsi="Arial" w:cs="Arial"/>
          <w:szCs w:val="22"/>
        </w:rPr>
        <w:t>APPLICATION REQUIRING LIQUIDATOR TO DECIDE WHETHER TO DISCLAIM PROPERTY</w:t>
      </w:r>
    </w:p>
    <w:p w14:paraId="048A0CEA" w14:textId="77777777" w:rsidR="00E93F58" w:rsidRPr="00FB5439" w:rsidRDefault="00E93F58" w:rsidP="00070F64">
      <w:pPr>
        <w:spacing w:before="240"/>
        <w:jc w:val="both"/>
      </w:pPr>
      <w:r w:rsidRPr="00FB5439">
        <w:rPr>
          <w:sz w:val="18"/>
        </w:rPr>
        <w:tab/>
      </w:r>
      <w:r w:rsidRPr="00FB5439">
        <w:rPr>
          <w:sz w:val="18"/>
        </w:rPr>
        <w:tab/>
      </w:r>
      <w:r w:rsidRPr="00FB5439">
        <w:t>Limited</w:t>
      </w:r>
    </w:p>
    <w:p w14:paraId="3F1E10AD" w14:textId="77777777" w:rsidR="00E93F58" w:rsidRPr="00FB5439" w:rsidRDefault="00E93F58" w:rsidP="00070F64">
      <w:pPr>
        <w:jc w:val="both"/>
      </w:pPr>
    </w:p>
    <w:p w14:paraId="7F728201" w14:textId="77777777" w:rsidR="00E93F58" w:rsidRPr="00FB5439" w:rsidRDefault="00E93F58" w:rsidP="00070F64">
      <w:pPr>
        <w:jc w:val="both"/>
      </w:pPr>
      <w:r w:rsidRPr="00FB5439">
        <w:t>To (</w:t>
      </w:r>
      <w:r w:rsidRPr="00FB5439">
        <w:rPr>
          <w:i/>
        </w:rPr>
        <w:t>insert name</w:t>
      </w:r>
      <w:r w:rsidRPr="00FB5439">
        <w:t>),</w:t>
      </w:r>
      <w:r w:rsidRPr="00FB5439">
        <w:tab/>
        <w:t>the liquidator of the company.</w:t>
      </w:r>
    </w:p>
    <w:p w14:paraId="66F2534D" w14:textId="77777777" w:rsidR="00E93F58" w:rsidRPr="00FB5439" w:rsidRDefault="00E93F58" w:rsidP="00070F64">
      <w:pPr>
        <w:jc w:val="both"/>
      </w:pPr>
    </w:p>
    <w:p w14:paraId="7972A363" w14:textId="77777777" w:rsidR="00E93F58" w:rsidRPr="00FB5439" w:rsidRDefault="00E93F58" w:rsidP="00070F64">
      <w:pPr>
        <w:jc w:val="both"/>
      </w:pPr>
      <w:r w:rsidRPr="00FB5439">
        <w:t>Under paragraph 568(8)(a), application is made to you by (</w:t>
      </w:r>
      <w:r w:rsidRPr="00FB5439">
        <w:rPr>
          <w:i/>
        </w:rPr>
        <w:t>full name, address and occupation of applicant</w:t>
      </w:r>
      <w:r w:rsidRPr="00FB5439">
        <w:t>) requiring you to decide whether you will disclaim the property described in the Schedule to this notice or not.</w:t>
      </w:r>
    </w:p>
    <w:p w14:paraId="3DF2F4D1" w14:textId="77777777" w:rsidR="00E93F58" w:rsidRPr="00FB5439" w:rsidRDefault="00E93F58" w:rsidP="00070F64">
      <w:pPr>
        <w:jc w:val="both"/>
      </w:pPr>
    </w:p>
    <w:p w14:paraId="2CA6C67A" w14:textId="77777777" w:rsidR="00E93F58" w:rsidRPr="00FB5439" w:rsidRDefault="00E93F58" w:rsidP="00070F64">
      <w:pPr>
        <w:jc w:val="both"/>
      </w:pPr>
      <w:r w:rsidRPr="00FB5439">
        <w:t>The applicant has the following interest in the property:</w:t>
      </w:r>
    </w:p>
    <w:p w14:paraId="1518F3EA" w14:textId="77777777" w:rsidR="00E93F58" w:rsidRPr="00FB5439" w:rsidRDefault="00E93F58" w:rsidP="00070F64">
      <w:pPr>
        <w:jc w:val="both"/>
      </w:pPr>
    </w:p>
    <w:p w14:paraId="79521752" w14:textId="77777777" w:rsidR="00E93F58" w:rsidRPr="00FB5439" w:rsidRDefault="00E93F58" w:rsidP="00070F64">
      <w:pPr>
        <w:jc w:val="center"/>
      </w:pPr>
      <w:r w:rsidRPr="00FB5439">
        <w:t>SCHEDULE</w:t>
      </w:r>
    </w:p>
    <w:p w14:paraId="5D559149" w14:textId="77777777" w:rsidR="00E93F58" w:rsidRPr="00FB5439" w:rsidRDefault="00E93F58" w:rsidP="00070F64">
      <w:pPr>
        <w:jc w:val="both"/>
      </w:pPr>
      <w:r w:rsidRPr="00FB5439">
        <w:t>Dated</w:t>
      </w:r>
    </w:p>
    <w:p w14:paraId="36B377F5" w14:textId="77777777" w:rsidR="00E93F58" w:rsidRPr="00FB5439" w:rsidRDefault="00E93F58" w:rsidP="00070F64">
      <w:pPr>
        <w:spacing w:before="120"/>
        <w:jc w:val="both"/>
        <w:rPr>
          <w:i/>
        </w:rPr>
      </w:pPr>
      <w:r w:rsidRPr="00FB5439">
        <w:t>(</w:t>
      </w:r>
      <w:r w:rsidRPr="00FB5439">
        <w:rPr>
          <w:i/>
        </w:rPr>
        <w:t>signature of applicant)</w:t>
      </w:r>
    </w:p>
    <w:p w14:paraId="1E0DD510" w14:textId="77777777" w:rsidR="00E93F58" w:rsidRPr="00FB5439" w:rsidRDefault="00E93F58" w:rsidP="00070F64">
      <w:r w:rsidRPr="00FB5439">
        <w:rPr>
          <w:noProof/>
          <w:lang w:eastAsia="en-AU"/>
        </w:rPr>
        <w:lastRenderedPageBreak/>
        <w:drawing>
          <wp:inline distT="0" distB="0" distL="0" distR="0" wp14:anchorId="221E0AC0" wp14:editId="758F1F32">
            <wp:extent cx="4486881" cy="6480000"/>
            <wp:effectExtent l="0" t="0" r="9525" b="0"/>
            <wp:docPr id="12" name="Picture 12" descr="page 1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9_Treasu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881" cy="6480000"/>
                    </a:xfrm>
                    <a:prstGeom prst="rect">
                      <a:avLst/>
                    </a:prstGeom>
                    <a:noFill/>
                    <a:ln>
                      <a:noFill/>
                    </a:ln>
                  </pic:spPr>
                </pic:pic>
              </a:graphicData>
            </a:graphic>
          </wp:inline>
        </w:drawing>
      </w:r>
    </w:p>
    <w:p w14:paraId="13B37F3D" w14:textId="77777777" w:rsidR="00E93F58" w:rsidRPr="00FB5439" w:rsidRDefault="00E93F58" w:rsidP="00070F64">
      <w:r w:rsidRPr="00FB5439">
        <w:rPr>
          <w:noProof/>
          <w:lang w:eastAsia="en-AU"/>
        </w:rPr>
        <w:lastRenderedPageBreak/>
        <w:drawing>
          <wp:inline distT="0" distB="0" distL="0" distR="0" wp14:anchorId="0EACAAE4" wp14:editId="1124ABB2">
            <wp:extent cx="4716000" cy="6538518"/>
            <wp:effectExtent l="0" t="0" r="8890" b="0"/>
            <wp:docPr id="13" name="Picture 13" descr="page 2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9_Treasury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6000" cy="6538518"/>
                    </a:xfrm>
                    <a:prstGeom prst="rect">
                      <a:avLst/>
                    </a:prstGeom>
                    <a:noFill/>
                    <a:ln>
                      <a:noFill/>
                    </a:ln>
                  </pic:spPr>
                </pic:pic>
              </a:graphicData>
            </a:graphic>
          </wp:inline>
        </w:drawing>
      </w:r>
    </w:p>
    <w:p w14:paraId="6824F204" w14:textId="77777777" w:rsidR="00E93F58" w:rsidRPr="00FB5439" w:rsidRDefault="00E93F58" w:rsidP="00A80D13">
      <w:pPr>
        <w:pStyle w:val="ActHead2"/>
        <w:pageBreakBefore/>
      </w:pPr>
      <w:bookmarkStart w:id="3190" w:name="_Toc151992780"/>
      <w:bookmarkStart w:id="3191" w:name="_Toc158713383"/>
      <w:r w:rsidRPr="00FB5439">
        <w:rPr>
          <w:rStyle w:val="CharPartNo"/>
        </w:rPr>
        <w:lastRenderedPageBreak/>
        <w:t>Form 535</w:t>
      </w:r>
      <w:bookmarkEnd w:id="3190"/>
      <w:bookmarkEnd w:id="3191"/>
      <w:r w:rsidRPr="00FB5439">
        <w:rPr>
          <w:rStyle w:val="CharPartText"/>
        </w:rPr>
        <w:t xml:space="preserve"> </w:t>
      </w:r>
      <w:r w:rsidRPr="00FB5439">
        <w:t xml:space="preserve"> </w:t>
      </w:r>
    </w:p>
    <w:p w14:paraId="6C657FC2" w14:textId="77777777" w:rsidR="00E93F58" w:rsidRPr="00FB5439" w:rsidRDefault="00E93F58" w:rsidP="004C686D">
      <w:pPr>
        <w:pStyle w:val="notemargin"/>
      </w:pPr>
      <w:r w:rsidRPr="00FB5439">
        <w:t>(subregulation 5.6.49(2)</w:t>
      </w:r>
    </w:p>
    <w:p w14:paraId="0CE31C6E" w14:textId="77777777" w:rsidR="00E93F58" w:rsidRPr="00FB5439" w:rsidRDefault="00E93F58" w:rsidP="00070F64">
      <w:pPr>
        <w:keepLines/>
        <w:rPr>
          <w:sz w:val="18"/>
        </w:rPr>
      </w:pPr>
    </w:p>
    <w:p w14:paraId="7FC6719D" w14:textId="77777777" w:rsidR="00E93F58" w:rsidRPr="00FB5439" w:rsidRDefault="00E93F58" w:rsidP="00070F64">
      <w:pPr>
        <w:keepLines/>
      </w:pPr>
      <w:r w:rsidRPr="00FB5439">
        <w:t>A.C.N or A.R.B.N:</w:t>
      </w:r>
    </w:p>
    <w:p w14:paraId="7B018313" w14:textId="77777777" w:rsidR="00E93F58" w:rsidRPr="00FB5439" w:rsidRDefault="00E93F58" w:rsidP="00070F64">
      <w:pPr>
        <w:keepLines/>
      </w:pPr>
    </w:p>
    <w:p w14:paraId="040E779A" w14:textId="77777777" w:rsidR="00E93F58" w:rsidRPr="00FB5439" w:rsidRDefault="00E93F58" w:rsidP="00070F64">
      <w:pPr>
        <w:keepLines/>
      </w:pPr>
      <w:r w:rsidRPr="00FB5439">
        <w:rPr>
          <w:i/>
        </w:rPr>
        <w:t>Corporations Act 2001</w:t>
      </w:r>
    </w:p>
    <w:p w14:paraId="3A0F00A0" w14:textId="77777777" w:rsidR="00E93F58" w:rsidRPr="00FB5439" w:rsidRDefault="00E93F58" w:rsidP="00070F64">
      <w:pPr>
        <w:keepLines/>
        <w:spacing w:before="240" w:after="240"/>
        <w:rPr>
          <w:rFonts w:ascii="Arial" w:hAnsi="Arial" w:cs="Arial"/>
          <w:szCs w:val="22"/>
        </w:rPr>
      </w:pPr>
      <w:r w:rsidRPr="00FB5439">
        <w:rPr>
          <w:rFonts w:ascii="Arial" w:hAnsi="Arial" w:cs="Arial"/>
          <w:szCs w:val="22"/>
        </w:rPr>
        <w:t>FORMAL PROOF OF DEBT OR CLAIM (GENERAL FORM)</w:t>
      </w:r>
    </w:p>
    <w:p w14:paraId="6C97BE02" w14:textId="77777777" w:rsidR="00E93F58" w:rsidRPr="00FB5439" w:rsidRDefault="00E93F58" w:rsidP="00070F64">
      <w:pPr>
        <w:keepLines/>
        <w:jc w:val="both"/>
      </w:pPr>
      <w:r w:rsidRPr="00FB5439">
        <w:t>To the liquidator of</w:t>
      </w:r>
      <w:r w:rsidRPr="00FB5439">
        <w:tab/>
      </w:r>
      <w:r w:rsidRPr="00FB5439">
        <w:tab/>
        <w:t>Limited</w:t>
      </w:r>
    </w:p>
    <w:p w14:paraId="1461424C" w14:textId="77777777" w:rsidR="00E93F58" w:rsidRPr="00FB5439" w:rsidRDefault="00E93F58" w:rsidP="00070F64">
      <w:pPr>
        <w:keepLines/>
        <w:jc w:val="both"/>
      </w:pPr>
    </w:p>
    <w:p w14:paraId="723922EA" w14:textId="77777777" w:rsidR="00E93F58" w:rsidRPr="00FB5439" w:rsidRDefault="00E93F58" w:rsidP="00070F64">
      <w:pPr>
        <w:pStyle w:val="form1"/>
        <w:keepLines/>
        <w:jc w:val="both"/>
        <w:rPr>
          <w:sz w:val="24"/>
        </w:rPr>
      </w:pPr>
      <w:r w:rsidRPr="00FB5439">
        <w:rPr>
          <w:sz w:val="24"/>
        </w:rPr>
        <w:t>1.</w:t>
      </w:r>
      <w:r w:rsidRPr="00FB5439">
        <w:rPr>
          <w:sz w:val="24"/>
        </w:rPr>
        <w:tab/>
        <w:t>This is to state that the company was on (date of court order in winding up by the Court, or date of resolution to wind up, if a voluntary winding up), and still is, justly and truly indebted to (full name and address of the creditor and, if applicable, the creditor’s partners.  If prepared by an employee or agent of the creditor, also insert a description of the occupation of the creditor) for</w:t>
      </w:r>
    </w:p>
    <w:p w14:paraId="14FD6BE3" w14:textId="77777777" w:rsidR="00E93F58" w:rsidRPr="00FB5439" w:rsidRDefault="00E93F58" w:rsidP="00070F64">
      <w:pPr>
        <w:pStyle w:val="form1"/>
        <w:jc w:val="both"/>
        <w:rPr>
          <w:sz w:val="24"/>
        </w:rPr>
      </w:pPr>
    </w:p>
    <w:p w14:paraId="5920A720" w14:textId="77777777" w:rsidR="00E93F58" w:rsidRPr="00FB5439" w:rsidRDefault="00E93F58" w:rsidP="00070F64">
      <w:pPr>
        <w:pStyle w:val="form1"/>
        <w:jc w:val="both"/>
        <w:rPr>
          <w:sz w:val="24"/>
        </w:rPr>
      </w:pPr>
      <w:r w:rsidRPr="00FB5439">
        <w:rPr>
          <w:sz w:val="24"/>
        </w:rPr>
        <w:tab/>
        <w:t xml:space="preserve">dollars and </w:t>
      </w:r>
      <w:r w:rsidRPr="00FB5439">
        <w:rPr>
          <w:sz w:val="24"/>
        </w:rPr>
        <w:tab/>
      </w:r>
      <w:r w:rsidRPr="00FB5439">
        <w:rPr>
          <w:sz w:val="24"/>
        </w:rPr>
        <w:tab/>
        <w:t>cents</w:t>
      </w:r>
    </w:p>
    <w:p w14:paraId="54B8514A" w14:textId="77777777" w:rsidR="00E93F58" w:rsidRPr="00FB5439" w:rsidRDefault="00E93F58" w:rsidP="00070F64">
      <w:pPr>
        <w:jc w:val="both"/>
      </w:pPr>
    </w:p>
    <w:p w14:paraId="3E13557B" w14:textId="77777777" w:rsidR="00E93F58" w:rsidRPr="00FB5439" w:rsidRDefault="00E93F58" w:rsidP="00070F64">
      <w:pPr>
        <w:jc w:val="both"/>
      </w:pPr>
      <w:r w:rsidRPr="00FB5439">
        <w:t>Particulars of the debt are:</w:t>
      </w:r>
    </w:p>
    <w:p w14:paraId="06C3221C" w14:textId="77777777" w:rsidR="00E93F58" w:rsidRPr="00FB5439" w:rsidRDefault="00E93F58" w:rsidP="00070F64">
      <w:pPr>
        <w:tabs>
          <w:tab w:val="left" w:pos="567"/>
          <w:tab w:val="left" w:pos="2268"/>
          <w:tab w:val="left" w:pos="5387"/>
        </w:tabs>
        <w:rPr>
          <w:sz w:val="18"/>
        </w:rPr>
      </w:pPr>
    </w:p>
    <w:tbl>
      <w:tblPr>
        <w:tblW w:w="5000" w:type="pct"/>
        <w:tblLook w:val="0000" w:firstRow="0" w:lastRow="0" w:firstColumn="0" w:lastColumn="0" w:noHBand="0" w:noVBand="0"/>
      </w:tblPr>
      <w:tblGrid>
        <w:gridCol w:w="1406"/>
        <w:gridCol w:w="3123"/>
        <w:gridCol w:w="3122"/>
        <w:gridCol w:w="3122"/>
      </w:tblGrid>
      <w:tr w:rsidR="00E93F58" w:rsidRPr="00FB5439" w14:paraId="320FEE53" w14:textId="77777777" w:rsidTr="00B23434">
        <w:tc>
          <w:tcPr>
            <w:tcW w:w="652" w:type="pct"/>
            <w:tcBorders>
              <w:top w:val="single" w:sz="4" w:space="0" w:color="auto"/>
            </w:tcBorders>
          </w:tcPr>
          <w:p w14:paraId="07003829" w14:textId="77777777" w:rsidR="00E93F58" w:rsidRPr="00FB5439" w:rsidRDefault="00E93F58" w:rsidP="00070F64">
            <w:pPr>
              <w:tabs>
                <w:tab w:val="left" w:pos="567"/>
                <w:tab w:val="left" w:pos="2268"/>
                <w:tab w:val="left" w:pos="5387"/>
              </w:tabs>
              <w:rPr>
                <w:sz w:val="18"/>
              </w:rPr>
            </w:pPr>
          </w:p>
        </w:tc>
        <w:tc>
          <w:tcPr>
            <w:tcW w:w="1449" w:type="pct"/>
            <w:tcBorders>
              <w:top w:val="single" w:sz="4" w:space="0" w:color="auto"/>
            </w:tcBorders>
          </w:tcPr>
          <w:p w14:paraId="2E7721E9" w14:textId="77777777" w:rsidR="00E93F58" w:rsidRPr="00FB5439" w:rsidRDefault="00E93F58" w:rsidP="00070F64">
            <w:pPr>
              <w:tabs>
                <w:tab w:val="left" w:pos="567"/>
                <w:tab w:val="left" w:pos="2268"/>
                <w:tab w:val="left" w:pos="5387"/>
              </w:tabs>
              <w:rPr>
                <w:sz w:val="18"/>
              </w:rPr>
            </w:pPr>
          </w:p>
        </w:tc>
        <w:tc>
          <w:tcPr>
            <w:tcW w:w="1449" w:type="pct"/>
            <w:tcBorders>
              <w:top w:val="single" w:sz="4" w:space="0" w:color="auto"/>
            </w:tcBorders>
          </w:tcPr>
          <w:p w14:paraId="2B5CB725" w14:textId="77777777" w:rsidR="00E93F58" w:rsidRPr="00FB5439" w:rsidRDefault="00E93F58" w:rsidP="00070F64">
            <w:pPr>
              <w:tabs>
                <w:tab w:val="left" w:pos="567"/>
                <w:tab w:val="left" w:pos="2268"/>
                <w:tab w:val="left" w:pos="5387"/>
              </w:tabs>
              <w:rPr>
                <w:sz w:val="18"/>
              </w:rPr>
            </w:pPr>
          </w:p>
        </w:tc>
        <w:tc>
          <w:tcPr>
            <w:tcW w:w="1449" w:type="pct"/>
            <w:tcBorders>
              <w:top w:val="single" w:sz="4" w:space="0" w:color="auto"/>
            </w:tcBorders>
          </w:tcPr>
          <w:p w14:paraId="1EEAD591" w14:textId="77777777" w:rsidR="00E93F58" w:rsidRPr="00FB5439" w:rsidRDefault="00E93F58" w:rsidP="00070F64">
            <w:pPr>
              <w:tabs>
                <w:tab w:val="left" w:pos="567"/>
                <w:tab w:val="left" w:pos="2268"/>
                <w:tab w:val="left" w:pos="5387"/>
              </w:tabs>
              <w:rPr>
                <w:sz w:val="18"/>
              </w:rPr>
            </w:pPr>
          </w:p>
        </w:tc>
      </w:tr>
      <w:tr w:rsidR="00E93F58" w:rsidRPr="00FB5439" w14:paraId="2BCE1931" w14:textId="77777777" w:rsidTr="00B23434">
        <w:tc>
          <w:tcPr>
            <w:tcW w:w="652" w:type="pct"/>
          </w:tcPr>
          <w:p w14:paraId="2836A70B" w14:textId="77777777" w:rsidR="00E93F58" w:rsidRPr="00FB5439" w:rsidRDefault="00E93F58" w:rsidP="00070F64">
            <w:pPr>
              <w:tabs>
                <w:tab w:val="left" w:pos="567"/>
                <w:tab w:val="left" w:pos="2268"/>
                <w:tab w:val="left" w:pos="5387"/>
              </w:tabs>
              <w:rPr>
                <w:sz w:val="18"/>
              </w:rPr>
            </w:pPr>
            <w:r w:rsidRPr="00FB5439">
              <w:rPr>
                <w:sz w:val="18"/>
              </w:rPr>
              <w:t>Date</w:t>
            </w:r>
          </w:p>
        </w:tc>
        <w:tc>
          <w:tcPr>
            <w:tcW w:w="1449" w:type="pct"/>
          </w:tcPr>
          <w:p w14:paraId="53B31003" w14:textId="77777777" w:rsidR="00E93F58" w:rsidRPr="00FB5439" w:rsidRDefault="00E93F58" w:rsidP="00070F64">
            <w:pPr>
              <w:tabs>
                <w:tab w:val="left" w:pos="567"/>
                <w:tab w:val="left" w:pos="2268"/>
                <w:tab w:val="left" w:pos="5387"/>
              </w:tabs>
              <w:rPr>
                <w:sz w:val="18"/>
              </w:rPr>
            </w:pPr>
            <w:r w:rsidRPr="00FB5439">
              <w:rPr>
                <w:sz w:val="18"/>
              </w:rPr>
              <w:t>Consideration</w:t>
            </w:r>
          </w:p>
        </w:tc>
        <w:tc>
          <w:tcPr>
            <w:tcW w:w="1449" w:type="pct"/>
          </w:tcPr>
          <w:p w14:paraId="177A13B7" w14:textId="77777777" w:rsidR="00E93F58" w:rsidRPr="00FB5439" w:rsidRDefault="00E93F58" w:rsidP="00070F64">
            <w:pPr>
              <w:tabs>
                <w:tab w:val="left" w:pos="567"/>
                <w:tab w:val="left" w:pos="2268"/>
                <w:tab w:val="left" w:pos="5387"/>
              </w:tabs>
              <w:rPr>
                <w:sz w:val="18"/>
              </w:rPr>
            </w:pPr>
            <w:r w:rsidRPr="00FB5439">
              <w:rPr>
                <w:sz w:val="18"/>
              </w:rPr>
              <w:t>Amount</w:t>
            </w:r>
          </w:p>
        </w:tc>
        <w:tc>
          <w:tcPr>
            <w:tcW w:w="1449" w:type="pct"/>
          </w:tcPr>
          <w:p w14:paraId="4153180A" w14:textId="77777777" w:rsidR="00E93F58" w:rsidRPr="00FB5439" w:rsidRDefault="00E93F58" w:rsidP="00070F64">
            <w:pPr>
              <w:tabs>
                <w:tab w:val="left" w:pos="567"/>
                <w:tab w:val="left" w:pos="2268"/>
                <w:tab w:val="left" w:pos="5387"/>
              </w:tabs>
              <w:rPr>
                <w:sz w:val="18"/>
              </w:rPr>
            </w:pPr>
            <w:r w:rsidRPr="00FB5439">
              <w:rPr>
                <w:sz w:val="18"/>
              </w:rPr>
              <w:t>Remarks</w:t>
            </w:r>
          </w:p>
        </w:tc>
      </w:tr>
      <w:tr w:rsidR="00E93F58" w:rsidRPr="00FB5439" w14:paraId="7A59E962" w14:textId="77777777" w:rsidTr="00B23434">
        <w:tc>
          <w:tcPr>
            <w:tcW w:w="652" w:type="pct"/>
          </w:tcPr>
          <w:p w14:paraId="1CA93350" w14:textId="77777777" w:rsidR="00E93F58" w:rsidRPr="00FB5439" w:rsidRDefault="00E93F58" w:rsidP="00070F64">
            <w:pPr>
              <w:tabs>
                <w:tab w:val="left" w:pos="567"/>
                <w:tab w:val="left" w:pos="2268"/>
                <w:tab w:val="left" w:pos="5387"/>
              </w:tabs>
              <w:rPr>
                <w:sz w:val="18"/>
              </w:rPr>
            </w:pPr>
          </w:p>
        </w:tc>
        <w:tc>
          <w:tcPr>
            <w:tcW w:w="1449" w:type="pct"/>
          </w:tcPr>
          <w:p w14:paraId="2222349E" w14:textId="77777777" w:rsidR="00E93F58" w:rsidRPr="00FB5439" w:rsidRDefault="00E93F58" w:rsidP="00070F64">
            <w:pPr>
              <w:tabs>
                <w:tab w:val="left" w:pos="567"/>
                <w:tab w:val="left" w:pos="2268"/>
                <w:tab w:val="left" w:pos="5387"/>
              </w:tabs>
              <w:rPr>
                <w:sz w:val="18"/>
              </w:rPr>
            </w:pPr>
            <w:r w:rsidRPr="00FB5439">
              <w:rPr>
                <w:sz w:val="18"/>
              </w:rPr>
              <w:t>(</w:t>
            </w:r>
            <w:r w:rsidRPr="00FB5439">
              <w:rPr>
                <w:i/>
                <w:sz w:val="18"/>
              </w:rPr>
              <w:t>state how the debt</w:t>
            </w:r>
            <w:r w:rsidRPr="00FB5439">
              <w:rPr>
                <w:i/>
                <w:sz w:val="18"/>
              </w:rPr>
              <w:br/>
              <w:t>arose</w:t>
            </w:r>
            <w:r w:rsidRPr="00FB5439">
              <w:rPr>
                <w:sz w:val="18"/>
              </w:rPr>
              <w:t>)</w:t>
            </w:r>
          </w:p>
        </w:tc>
        <w:tc>
          <w:tcPr>
            <w:tcW w:w="1449" w:type="pct"/>
          </w:tcPr>
          <w:p w14:paraId="15495FDA" w14:textId="77777777" w:rsidR="00E93F58" w:rsidRPr="00FB5439" w:rsidRDefault="00E93F58" w:rsidP="00070F64">
            <w:pPr>
              <w:tabs>
                <w:tab w:val="left" w:pos="567"/>
                <w:tab w:val="left" w:pos="2268"/>
                <w:tab w:val="left" w:pos="5387"/>
              </w:tabs>
              <w:rPr>
                <w:sz w:val="18"/>
              </w:rPr>
            </w:pPr>
          </w:p>
        </w:tc>
        <w:tc>
          <w:tcPr>
            <w:tcW w:w="1449" w:type="pct"/>
          </w:tcPr>
          <w:p w14:paraId="3AEEE87D" w14:textId="77777777" w:rsidR="00E93F58" w:rsidRPr="00FB5439" w:rsidRDefault="00E93F58" w:rsidP="00070F64">
            <w:pPr>
              <w:tabs>
                <w:tab w:val="left" w:pos="567"/>
                <w:tab w:val="left" w:pos="2268"/>
                <w:tab w:val="left" w:pos="5387"/>
              </w:tabs>
              <w:rPr>
                <w:sz w:val="18"/>
              </w:rPr>
            </w:pPr>
            <w:r w:rsidRPr="00FB5439">
              <w:rPr>
                <w:sz w:val="18"/>
              </w:rPr>
              <w:t>(</w:t>
            </w:r>
            <w:r w:rsidRPr="00FB5439">
              <w:rPr>
                <w:i/>
                <w:sz w:val="18"/>
              </w:rPr>
              <w:t>include details of voucher substantiating payment)</w:t>
            </w:r>
          </w:p>
        </w:tc>
      </w:tr>
      <w:tr w:rsidR="00E93F58" w:rsidRPr="00FB5439" w14:paraId="133F201A" w14:textId="77777777" w:rsidTr="00B23434">
        <w:tc>
          <w:tcPr>
            <w:tcW w:w="652" w:type="pct"/>
          </w:tcPr>
          <w:p w14:paraId="665B5CF8" w14:textId="77777777" w:rsidR="00E93F58" w:rsidRPr="00FB5439" w:rsidRDefault="00E93F58" w:rsidP="00070F64">
            <w:pPr>
              <w:tabs>
                <w:tab w:val="left" w:pos="567"/>
                <w:tab w:val="left" w:pos="2268"/>
                <w:tab w:val="left" w:pos="5387"/>
              </w:tabs>
              <w:rPr>
                <w:sz w:val="18"/>
              </w:rPr>
            </w:pPr>
          </w:p>
        </w:tc>
        <w:tc>
          <w:tcPr>
            <w:tcW w:w="1449" w:type="pct"/>
          </w:tcPr>
          <w:p w14:paraId="5A0A8669" w14:textId="77777777" w:rsidR="00E93F58" w:rsidRPr="00FB5439" w:rsidRDefault="00E93F58" w:rsidP="00070F64">
            <w:pPr>
              <w:tabs>
                <w:tab w:val="left" w:pos="567"/>
                <w:tab w:val="left" w:pos="2268"/>
                <w:tab w:val="left" w:pos="5387"/>
              </w:tabs>
              <w:rPr>
                <w:sz w:val="18"/>
              </w:rPr>
            </w:pPr>
          </w:p>
        </w:tc>
        <w:tc>
          <w:tcPr>
            <w:tcW w:w="1449" w:type="pct"/>
          </w:tcPr>
          <w:p w14:paraId="60D34EB2" w14:textId="77777777" w:rsidR="00E93F58" w:rsidRPr="00FB5439" w:rsidRDefault="00E93F58" w:rsidP="00070F64">
            <w:pPr>
              <w:tabs>
                <w:tab w:val="left" w:pos="567"/>
                <w:tab w:val="left" w:pos="2268"/>
                <w:tab w:val="left" w:pos="5387"/>
              </w:tabs>
              <w:rPr>
                <w:sz w:val="18"/>
              </w:rPr>
            </w:pPr>
          </w:p>
        </w:tc>
        <w:tc>
          <w:tcPr>
            <w:tcW w:w="1449" w:type="pct"/>
          </w:tcPr>
          <w:p w14:paraId="257EF9BA" w14:textId="77777777" w:rsidR="00E93F58" w:rsidRPr="00FB5439" w:rsidRDefault="00E93F58" w:rsidP="00070F64">
            <w:pPr>
              <w:tabs>
                <w:tab w:val="left" w:pos="567"/>
                <w:tab w:val="left" w:pos="2268"/>
                <w:tab w:val="left" w:pos="5387"/>
              </w:tabs>
              <w:rPr>
                <w:sz w:val="18"/>
              </w:rPr>
            </w:pPr>
          </w:p>
        </w:tc>
      </w:tr>
      <w:tr w:rsidR="00E93F58" w:rsidRPr="00FB5439" w14:paraId="2190D0BC" w14:textId="77777777" w:rsidTr="00B23434">
        <w:tc>
          <w:tcPr>
            <w:tcW w:w="652" w:type="pct"/>
          </w:tcPr>
          <w:p w14:paraId="77BF3C84" w14:textId="77777777" w:rsidR="00E93F58" w:rsidRPr="00FB5439" w:rsidRDefault="00E93F58" w:rsidP="00070F64">
            <w:pPr>
              <w:tabs>
                <w:tab w:val="left" w:pos="567"/>
                <w:tab w:val="left" w:pos="2268"/>
                <w:tab w:val="left" w:pos="5387"/>
              </w:tabs>
              <w:rPr>
                <w:sz w:val="18"/>
              </w:rPr>
            </w:pPr>
          </w:p>
        </w:tc>
        <w:tc>
          <w:tcPr>
            <w:tcW w:w="1449" w:type="pct"/>
          </w:tcPr>
          <w:p w14:paraId="7E818132" w14:textId="77777777" w:rsidR="00E93F58" w:rsidRPr="00FB5439" w:rsidRDefault="00E93F58" w:rsidP="00070F64">
            <w:pPr>
              <w:tabs>
                <w:tab w:val="left" w:pos="567"/>
                <w:tab w:val="left" w:pos="2268"/>
                <w:tab w:val="left" w:pos="5387"/>
              </w:tabs>
              <w:rPr>
                <w:sz w:val="18"/>
              </w:rPr>
            </w:pPr>
          </w:p>
        </w:tc>
        <w:tc>
          <w:tcPr>
            <w:tcW w:w="1449" w:type="pct"/>
          </w:tcPr>
          <w:p w14:paraId="49465512" w14:textId="77777777" w:rsidR="00E93F58" w:rsidRPr="00FB5439" w:rsidRDefault="00E93F58" w:rsidP="00070F64">
            <w:pPr>
              <w:tabs>
                <w:tab w:val="left" w:pos="567"/>
                <w:tab w:val="left" w:pos="2268"/>
                <w:tab w:val="left" w:pos="5387"/>
              </w:tabs>
              <w:rPr>
                <w:sz w:val="18"/>
              </w:rPr>
            </w:pPr>
            <w:r w:rsidRPr="00FB5439">
              <w:rPr>
                <w:sz w:val="18"/>
              </w:rPr>
              <w:t>$</w:t>
            </w:r>
            <w:r w:rsidRPr="00FB5439">
              <w:rPr>
                <w:sz w:val="18"/>
              </w:rPr>
              <w:tab/>
              <w:t>c</w:t>
            </w:r>
          </w:p>
        </w:tc>
        <w:tc>
          <w:tcPr>
            <w:tcW w:w="1449" w:type="pct"/>
          </w:tcPr>
          <w:p w14:paraId="2A3A81C3" w14:textId="77777777" w:rsidR="00E93F58" w:rsidRPr="00FB5439" w:rsidRDefault="00E93F58" w:rsidP="00070F64">
            <w:pPr>
              <w:tabs>
                <w:tab w:val="left" w:pos="567"/>
                <w:tab w:val="left" w:pos="2268"/>
                <w:tab w:val="left" w:pos="5387"/>
              </w:tabs>
              <w:rPr>
                <w:sz w:val="18"/>
              </w:rPr>
            </w:pPr>
          </w:p>
        </w:tc>
      </w:tr>
      <w:tr w:rsidR="00E93F58" w:rsidRPr="00FB5439" w14:paraId="29D7C7BC" w14:textId="77777777" w:rsidTr="00B23434">
        <w:tc>
          <w:tcPr>
            <w:tcW w:w="652" w:type="pct"/>
            <w:tcBorders>
              <w:bottom w:val="single" w:sz="4" w:space="0" w:color="auto"/>
            </w:tcBorders>
          </w:tcPr>
          <w:p w14:paraId="4BA48D4B" w14:textId="77777777" w:rsidR="00E93F58" w:rsidRPr="00FB5439" w:rsidRDefault="00E93F58" w:rsidP="00070F64">
            <w:pPr>
              <w:tabs>
                <w:tab w:val="left" w:pos="567"/>
                <w:tab w:val="left" w:pos="2268"/>
                <w:tab w:val="left" w:pos="5387"/>
              </w:tabs>
              <w:rPr>
                <w:sz w:val="18"/>
              </w:rPr>
            </w:pPr>
          </w:p>
        </w:tc>
        <w:tc>
          <w:tcPr>
            <w:tcW w:w="1449" w:type="pct"/>
            <w:tcBorders>
              <w:bottom w:val="single" w:sz="4" w:space="0" w:color="auto"/>
            </w:tcBorders>
          </w:tcPr>
          <w:p w14:paraId="02CD5DA7" w14:textId="77777777" w:rsidR="00E93F58" w:rsidRPr="00FB5439" w:rsidRDefault="00E93F58" w:rsidP="00070F64">
            <w:pPr>
              <w:tabs>
                <w:tab w:val="left" w:pos="567"/>
                <w:tab w:val="left" w:pos="2268"/>
                <w:tab w:val="left" w:pos="5387"/>
              </w:tabs>
              <w:rPr>
                <w:sz w:val="18"/>
              </w:rPr>
            </w:pPr>
          </w:p>
        </w:tc>
        <w:tc>
          <w:tcPr>
            <w:tcW w:w="1449" w:type="pct"/>
            <w:tcBorders>
              <w:bottom w:val="single" w:sz="4" w:space="0" w:color="auto"/>
            </w:tcBorders>
          </w:tcPr>
          <w:p w14:paraId="1B8E7642" w14:textId="77777777" w:rsidR="00E93F58" w:rsidRPr="00FB5439" w:rsidRDefault="00E93F58" w:rsidP="00070F64">
            <w:pPr>
              <w:tabs>
                <w:tab w:val="left" w:pos="567"/>
                <w:tab w:val="left" w:pos="2268"/>
                <w:tab w:val="left" w:pos="5387"/>
              </w:tabs>
              <w:rPr>
                <w:sz w:val="18"/>
              </w:rPr>
            </w:pPr>
          </w:p>
        </w:tc>
        <w:tc>
          <w:tcPr>
            <w:tcW w:w="1449" w:type="pct"/>
            <w:tcBorders>
              <w:bottom w:val="single" w:sz="4" w:space="0" w:color="auto"/>
            </w:tcBorders>
          </w:tcPr>
          <w:p w14:paraId="435B8A5C" w14:textId="77777777" w:rsidR="00E93F58" w:rsidRPr="00FB5439" w:rsidRDefault="00E93F58" w:rsidP="00070F64">
            <w:pPr>
              <w:tabs>
                <w:tab w:val="left" w:pos="567"/>
                <w:tab w:val="left" w:pos="2268"/>
                <w:tab w:val="left" w:pos="5387"/>
              </w:tabs>
              <w:rPr>
                <w:sz w:val="18"/>
              </w:rPr>
            </w:pPr>
          </w:p>
        </w:tc>
      </w:tr>
      <w:tr w:rsidR="00E93F58" w:rsidRPr="00FB5439" w14:paraId="7AB367F1" w14:textId="77777777" w:rsidTr="00B23434">
        <w:tc>
          <w:tcPr>
            <w:tcW w:w="652" w:type="pct"/>
          </w:tcPr>
          <w:p w14:paraId="561648BE" w14:textId="77777777" w:rsidR="00E93F58" w:rsidRPr="00FB5439" w:rsidRDefault="00E93F58" w:rsidP="00070F64">
            <w:pPr>
              <w:tabs>
                <w:tab w:val="left" w:pos="567"/>
                <w:tab w:val="left" w:pos="2268"/>
                <w:tab w:val="left" w:pos="5387"/>
              </w:tabs>
              <w:rPr>
                <w:sz w:val="18"/>
              </w:rPr>
            </w:pPr>
          </w:p>
        </w:tc>
        <w:tc>
          <w:tcPr>
            <w:tcW w:w="1449" w:type="pct"/>
          </w:tcPr>
          <w:p w14:paraId="2FF18BDF" w14:textId="77777777" w:rsidR="00E93F58" w:rsidRPr="00FB5439" w:rsidRDefault="00E93F58" w:rsidP="00070F64">
            <w:pPr>
              <w:tabs>
                <w:tab w:val="left" w:pos="567"/>
                <w:tab w:val="left" w:pos="2268"/>
                <w:tab w:val="left" w:pos="5387"/>
              </w:tabs>
              <w:rPr>
                <w:sz w:val="18"/>
              </w:rPr>
            </w:pPr>
          </w:p>
        </w:tc>
        <w:tc>
          <w:tcPr>
            <w:tcW w:w="1449" w:type="pct"/>
          </w:tcPr>
          <w:p w14:paraId="608FC499" w14:textId="77777777" w:rsidR="00E93F58" w:rsidRPr="00FB5439" w:rsidRDefault="00E93F58" w:rsidP="00070F64">
            <w:pPr>
              <w:tabs>
                <w:tab w:val="left" w:pos="567"/>
                <w:tab w:val="left" w:pos="2268"/>
                <w:tab w:val="left" w:pos="5387"/>
              </w:tabs>
              <w:rPr>
                <w:sz w:val="18"/>
              </w:rPr>
            </w:pPr>
          </w:p>
        </w:tc>
        <w:tc>
          <w:tcPr>
            <w:tcW w:w="1449" w:type="pct"/>
          </w:tcPr>
          <w:p w14:paraId="06761294" w14:textId="77777777" w:rsidR="00E93F58" w:rsidRPr="00FB5439" w:rsidRDefault="00E93F58" w:rsidP="00070F64">
            <w:pPr>
              <w:tabs>
                <w:tab w:val="left" w:pos="567"/>
                <w:tab w:val="left" w:pos="2268"/>
                <w:tab w:val="left" w:pos="5387"/>
              </w:tabs>
              <w:rPr>
                <w:sz w:val="18"/>
              </w:rPr>
            </w:pPr>
          </w:p>
        </w:tc>
      </w:tr>
    </w:tbl>
    <w:p w14:paraId="4FA780E3" w14:textId="77777777" w:rsidR="00E93F58" w:rsidRPr="00FB5439" w:rsidRDefault="00E93F58" w:rsidP="00070F64">
      <w:pPr>
        <w:tabs>
          <w:tab w:val="left" w:pos="567"/>
          <w:tab w:val="left" w:pos="2268"/>
          <w:tab w:val="left" w:pos="5387"/>
        </w:tabs>
        <w:rPr>
          <w:sz w:val="18"/>
        </w:rPr>
      </w:pPr>
    </w:p>
    <w:p w14:paraId="68085383" w14:textId="77777777" w:rsidR="00E93F58" w:rsidRPr="00FB5439" w:rsidRDefault="00E93F58" w:rsidP="00070F64">
      <w:pPr>
        <w:pStyle w:val="form1"/>
        <w:jc w:val="both"/>
        <w:rPr>
          <w:sz w:val="24"/>
        </w:rPr>
      </w:pPr>
      <w:r w:rsidRPr="00FB5439">
        <w:rPr>
          <w:sz w:val="24"/>
        </w:rPr>
        <w:t>2.</w:t>
      </w:r>
      <w:r w:rsidRPr="00FB5439">
        <w:rPr>
          <w:sz w:val="24"/>
        </w:rPr>
        <w:tab/>
        <w:t>To my knowledge or belief the creditor has not, nor has any person by the creditor’s order, had or received any satisfaction or security for the sum or any part of it except for the following: (</w:t>
      </w:r>
      <w:r w:rsidRPr="00FB5439">
        <w:rPr>
          <w:i/>
          <w:sz w:val="24"/>
        </w:rPr>
        <w:t>insert particulars of all securities held.  If the securities are on the property of the company, assess the value of those securities.  If any bills or other negotiable securities are held, show them in a schedule in the following form</w:t>
      </w:r>
      <w:r w:rsidRPr="00FB5439">
        <w:rPr>
          <w:sz w:val="24"/>
        </w:rPr>
        <w:t>).</w:t>
      </w:r>
    </w:p>
    <w:p w14:paraId="2278BAA2" w14:textId="77777777" w:rsidR="00E93F58" w:rsidRPr="00FB5439" w:rsidRDefault="00E93F58" w:rsidP="00070F64">
      <w:pPr>
        <w:ind w:left="360" w:hanging="360"/>
        <w:rPr>
          <w:sz w:val="18"/>
        </w:rPr>
      </w:pPr>
    </w:p>
    <w:tbl>
      <w:tblPr>
        <w:tblW w:w="5000" w:type="pct"/>
        <w:tblLook w:val="0000" w:firstRow="0" w:lastRow="0" w:firstColumn="0" w:lastColumn="0" w:noHBand="0" w:noVBand="0"/>
      </w:tblPr>
      <w:tblGrid>
        <w:gridCol w:w="1409"/>
        <w:gridCol w:w="2340"/>
        <w:gridCol w:w="2342"/>
        <w:gridCol w:w="2342"/>
        <w:gridCol w:w="2340"/>
      </w:tblGrid>
      <w:tr w:rsidR="00E93F58" w:rsidRPr="00FB5439" w14:paraId="523200B6" w14:textId="77777777" w:rsidTr="00B23434">
        <w:tc>
          <w:tcPr>
            <w:tcW w:w="654" w:type="pct"/>
            <w:tcBorders>
              <w:top w:val="single" w:sz="4" w:space="0" w:color="auto"/>
            </w:tcBorders>
          </w:tcPr>
          <w:p w14:paraId="0C9C9DDD" w14:textId="77777777" w:rsidR="00E93F58" w:rsidRPr="00FB5439" w:rsidRDefault="00E93F58" w:rsidP="00070F64">
            <w:pPr>
              <w:keepLines/>
              <w:rPr>
                <w:sz w:val="18"/>
              </w:rPr>
            </w:pPr>
          </w:p>
        </w:tc>
        <w:tc>
          <w:tcPr>
            <w:tcW w:w="1086" w:type="pct"/>
            <w:tcBorders>
              <w:top w:val="single" w:sz="4" w:space="0" w:color="auto"/>
            </w:tcBorders>
          </w:tcPr>
          <w:p w14:paraId="6F60E5EC" w14:textId="77777777" w:rsidR="00E93F58" w:rsidRPr="00FB5439" w:rsidRDefault="00E93F58" w:rsidP="00070F64">
            <w:pPr>
              <w:keepLines/>
              <w:rPr>
                <w:sz w:val="18"/>
              </w:rPr>
            </w:pPr>
          </w:p>
        </w:tc>
        <w:tc>
          <w:tcPr>
            <w:tcW w:w="1087" w:type="pct"/>
            <w:tcBorders>
              <w:top w:val="single" w:sz="4" w:space="0" w:color="auto"/>
            </w:tcBorders>
          </w:tcPr>
          <w:p w14:paraId="7361893D" w14:textId="77777777" w:rsidR="00E93F58" w:rsidRPr="00FB5439" w:rsidRDefault="00E93F58" w:rsidP="00070F64">
            <w:pPr>
              <w:keepLines/>
              <w:rPr>
                <w:sz w:val="18"/>
              </w:rPr>
            </w:pPr>
          </w:p>
        </w:tc>
        <w:tc>
          <w:tcPr>
            <w:tcW w:w="1087" w:type="pct"/>
            <w:tcBorders>
              <w:top w:val="single" w:sz="4" w:space="0" w:color="auto"/>
            </w:tcBorders>
          </w:tcPr>
          <w:p w14:paraId="7FDAE8C2" w14:textId="77777777" w:rsidR="00E93F58" w:rsidRPr="00FB5439" w:rsidRDefault="00E93F58" w:rsidP="00070F64">
            <w:pPr>
              <w:keepLines/>
              <w:rPr>
                <w:sz w:val="18"/>
              </w:rPr>
            </w:pPr>
          </w:p>
        </w:tc>
        <w:tc>
          <w:tcPr>
            <w:tcW w:w="1087" w:type="pct"/>
            <w:tcBorders>
              <w:top w:val="single" w:sz="4" w:space="0" w:color="auto"/>
            </w:tcBorders>
          </w:tcPr>
          <w:p w14:paraId="0C206792" w14:textId="77777777" w:rsidR="00E93F58" w:rsidRPr="00FB5439" w:rsidRDefault="00E93F58" w:rsidP="00070F64">
            <w:pPr>
              <w:keepLines/>
              <w:rPr>
                <w:sz w:val="18"/>
              </w:rPr>
            </w:pPr>
          </w:p>
        </w:tc>
      </w:tr>
      <w:tr w:rsidR="00E93F58" w:rsidRPr="00FB5439" w14:paraId="73331E7A" w14:textId="77777777" w:rsidTr="00B23434">
        <w:tc>
          <w:tcPr>
            <w:tcW w:w="654" w:type="pct"/>
          </w:tcPr>
          <w:p w14:paraId="63523A8E" w14:textId="77777777" w:rsidR="00E93F58" w:rsidRPr="00FB5439" w:rsidRDefault="00E93F58" w:rsidP="00070F64">
            <w:pPr>
              <w:keepLines/>
              <w:rPr>
                <w:b/>
                <w:sz w:val="18"/>
              </w:rPr>
            </w:pPr>
            <w:r w:rsidRPr="00FB5439">
              <w:rPr>
                <w:b/>
                <w:sz w:val="18"/>
              </w:rPr>
              <w:t>Date</w:t>
            </w:r>
          </w:p>
        </w:tc>
        <w:tc>
          <w:tcPr>
            <w:tcW w:w="1086" w:type="pct"/>
          </w:tcPr>
          <w:p w14:paraId="649D3DC3" w14:textId="77777777" w:rsidR="00E93F58" w:rsidRPr="00FB5439" w:rsidRDefault="00E93F58" w:rsidP="00070F64">
            <w:pPr>
              <w:keepLines/>
              <w:rPr>
                <w:b/>
                <w:sz w:val="18"/>
              </w:rPr>
            </w:pPr>
            <w:r w:rsidRPr="00FB5439">
              <w:rPr>
                <w:b/>
                <w:sz w:val="18"/>
              </w:rPr>
              <w:t>Drawer</w:t>
            </w:r>
          </w:p>
        </w:tc>
        <w:tc>
          <w:tcPr>
            <w:tcW w:w="1087" w:type="pct"/>
          </w:tcPr>
          <w:p w14:paraId="7F575C6B" w14:textId="77777777" w:rsidR="00E93F58" w:rsidRPr="00FB5439" w:rsidRDefault="00E93F58" w:rsidP="00070F64">
            <w:pPr>
              <w:keepLines/>
              <w:rPr>
                <w:b/>
                <w:sz w:val="18"/>
              </w:rPr>
            </w:pPr>
            <w:r w:rsidRPr="00FB5439">
              <w:rPr>
                <w:b/>
                <w:sz w:val="18"/>
              </w:rPr>
              <w:t>Acceptor</w:t>
            </w:r>
          </w:p>
        </w:tc>
        <w:tc>
          <w:tcPr>
            <w:tcW w:w="1087" w:type="pct"/>
          </w:tcPr>
          <w:p w14:paraId="55817B5E" w14:textId="77777777" w:rsidR="00E93F58" w:rsidRPr="00FB5439" w:rsidRDefault="00E93F58" w:rsidP="00070F64">
            <w:pPr>
              <w:keepLines/>
              <w:rPr>
                <w:b/>
                <w:sz w:val="18"/>
              </w:rPr>
            </w:pPr>
            <w:r w:rsidRPr="00FB5439">
              <w:rPr>
                <w:b/>
                <w:sz w:val="18"/>
              </w:rPr>
              <w:t>Amount</w:t>
            </w:r>
          </w:p>
        </w:tc>
        <w:tc>
          <w:tcPr>
            <w:tcW w:w="1087" w:type="pct"/>
          </w:tcPr>
          <w:p w14:paraId="6366A0C9" w14:textId="77777777" w:rsidR="00E93F58" w:rsidRPr="00FB5439" w:rsidRDefault="00E93F58" w:rsidP="00070F64">
            <w:pPr>
              <w:keepLines/>
              <w:rPr>
                <w:b/>
                <w:sz w:val="18"/>
              </w:rPr>
            </w:pPr>
            <w:r w:rsidRPr="00FB5439">
              <w:rPr>
                <w:b/>
                <w:sz w:val="18"/>
              </w:rPr>
              <w:t>Due Date</w:t>
            </w:r>
          </w:p>
        </w:tc>
      </w:tr>
      <w:tr w:rsidR="00E93F58" w:rsidRPr="00FB5439" w14:paraId="400458AF" w14:textId="77777777" w:rsidTr="00B23434">
        <w:tc>
          <w:tcPr>
            <w:tcW w:w="654" w:type="pct"/>
            <w:tcBorders>
              <w:bottom w:val="single" w:sz="4" w:space="0" w:color="auto"/>
            </w:tcBorders>
          </w:tcPr>
          <w:p w14:paraId="0B2517E6" w14:textId="77777777" w:rsidR="00E93F58" w:rsidRPr="00FB5439" w:rsidRDefault="00E93F58" w:rsidP="00070F64">
            <w:pPr>
              <w:keepLines/>
              <w:rPr>
                <w:sz w:val="18"/>
              </w:rPr>
            </w:pPr>
          </w:p>
        </w:tc>
        <w:tc>
          <w:tcPr>
            <w:tcW w:w="1086" w:type="pct"/>
            <w:tcBorders>
              <w:bottom w:val="single" w:sz="4" w:space="0" w:color="auto"/>
            </w:tcBorders>
          </w:tcPr>
          <w:p w14:paraId="2912837C" w14:textId="77777777" w:rsidR="00E93F58" w:rsidRPr="00FB5439" w:rsidRDefault="00E93F58" w:rsidP="00070F64">
            <w:pPr>
              <w:keepLines/>
              <w:rPr>
                <w:sz w:val="18"/>
              </w:rPr>
            </w:pPr>
          </w:p>
        </w:tc>
        <w:tc>
          <w:tcPr>
            <w:tcW w:w="1087" w:type="pct"/>
            <w:tcBorders>
              <w:bottom w:val="single" w:sz="4" w:space="0" w:color="auto"/>
            </w:tcBorders>
          </w:tcPr>
          <w:p w14:paraId="464AF6FA" w14:textId="77777777" w:rsidR="00E93F58" w:rsidRPr="00FB5439" w:rsidRDefault="00E93F58" w:rsidP="00070F64">
            <w:pPr>
              <w:keepLines/>
              <w:rPr>
                <w:sz w:val="18"/>
              </w:rPr>
            </w:pPr>
          </w:p>
        </w:tc>
        <w:tc>
          <w:tcPr>
            <w:tcW w:w="1087" w:type="pct"/>
            <w:tcBorders>
              <w:bottom w:val="single" w:sz="4" w:space="0" w:color="auto"/>
            </w:tcBorders>
          </w:tcPr>
          <w:p w14:paraId="44F1A0DF" w14:textId="77777777" w:rsidR="00E93F58" w:rsidRPr="00FB5439" w:rsidRDefault="00E93F58" w:rsidP="00070F64">
            <w:pPr>
              <w:keepLines/>
              <w:rPr>
                <w:sz w:val="18"/>
              </w:rPr>
            </w:pPr>
          </w:p>
        </w:tc>
        <w:tc>
          <w:tcPr>
            <w:tcW w:w="1087" w:type="pct"/>
            <w:tcBorders>
              <w:bottom w:val="single" w:sz="4" w:space="0" w:color="auto"/>
            </w:tcBorders>
          </w:tcPr>
          <w:p w14:paraId="04B572DE" w14:textId="77777777" w:rsidR="00E93F58" w:rsidRPr="00FB5439" w:rsidRDefault="00E93F58" w:rsidP="00070F64">
            <w:pPr>
              <w:keepLines/>
              <w:rPr>
                <w:sz w:val="18"/>
              </w:rPr>
            </w:pPr>
          </w:p>
        </w:tc>
      </w:tr>
      <w:tr w:rsidR="00E93F58" w:rsidRPr="00FB5439" w14:paraId="20D50658" w14:textId="77777777" w:rsidTr="00B23434">
        <w:tc>
          <w:tcPr>
            <w:tcW w:w="654" w:type="pct"/>
          </w:tcPr>
          <w:p w14:paraId="01CB0799" w14:textId="77777777" w:rsidR="00E93F58" w:rsidRPr="00FB5439" w:rsidRDefault="00E93F58" w:rsidP="00070F64">
            <w:pPr>
              <w:keepLines/>
              <w:rPr>
                <w:sz w:val="18"/>
              </w:rPr>
            </w:pPr>
          </w:p>
        </w:tc>
        <w:tc>
          <w:tcPr>
            <w:tcW w:w="1086" w:type="pct"/>
          </w:tcPr>
          <w:p w14:paraId="64EF19C6" w14:textId="77777777" w:rsidR="00E93F58" w:rsidRPr="00FB5439" w:rsidRDefault="00E93F58" w:rsidP="00070F64">
            <w:pPr>
              <w:keepLines/>
              <w:rPr>
                <w:sz w:val="18"/>
              </w:rPr>
            </w:pPr>
          </w:p>
        </w:tc>
        <w:tc>
          <w:tcPr>
            <w:tcW w:w="1087" w:type="pct"/>
          </w:tcPr>
          <w:p w14:paraId="43BCACAE" w14:textId="77777777" w:rsidR="00E93F58" w:rsidRPr="00FB5439" w:rsidRDefault="00E93F58" w:rsidP="00070F64">
            <w:pPr>
              <w:keepLines/>
              <w:rPr>
                <w:sz w:val="18"/>
              </w:rPr>
            </w:pPr>
          </w:p>
        </w:tc>
        <w:tc>
          <w:tcPr>
            <w:tcW w:w="1087" w:type="pct"/>
          </w:tcPr>
          <w:p w14:paraId="38396155" w14:textId="77777777" w:rsidR="00E93F58" w:rsidRPr="00FB5439" w:rsidRDefault="00E93F58" w:rsidP="00070F64">
            <w:pPr>
              <w:keepLines/>
              <w:rPr>
                <w:sz w:val="18"/>
              </w:rPr>
            </w:pPr>
          </w:p>
        </w:tc>
        <w:tc>
          <w:tcPr>
            <w:tcW w:w="1087" w:type="pct"/>
          </w:tcPr>
          <w:p w14:paraId="0C57D6B8" w14:textId="77777777" w:rsidR="00E93F58" w:rsidRPr="00FB5439" w:rsidRDefault="00E93F58" w:rsidP="00070F64">
            <w:pPr>
              <w:keepLines/>
              <w:rPr>
                <w:sz w:val="18"/>
              </w:rPr>
            </w:pPr>
          </w:p>
        </w:tc>
      </w:tr>
      <w:tr w:rsidR="00E93F58" w:rsidRPr="00FB5439" w14:paraId="05ED586D" w14:textId="77777777" w:rsidTr="00B23434">
        <w:tc>
          <w:tcPr>
            <w:tcW w:w="654" w:type="pct"/>
          </w:tcPr>
          <w:p w14:paraId="27612BF9" w14:textId="77777777" w:rsidR="00E93F58" w:rsidRPr="00FB5439" w:rsidRDefault="00E93F58" w:rsidP="00070F64">
            <w:pPr>
              <w:keepLines/>
              <w:rPr>
                <w:sz w:val="18"/>
              </w:rPr>
            </w:pPr>
          </w:p>
        </w:tc>
        <w:tc>
          <w:tcPr>
            <w:tcW w:w="1086" w:type="pct"/>
          </w:tcPr>
          <w:p w14:paraId="55E0A64E" w14:textId="77777777" w:rsidR="00E93F58" w:rsidRPr="00FB5439" w:rsidRDefault="00E93F58" w:rsidP="00070F64">
            <w:pPr>
              <w:keepLines/>
              <w:rPr>
                <w:sz w:val="18"/>
              </w:rPr>
            </w:pPr>
          </w:p>
        </w:tc>
        <w:tc>
          <w:tcPr>
            <w:tcW w:w="1087" w:type="pct"/>
          </w:tcPr>
          <w:p w14:paraId="2658D6AE" w14:textId="77777777" w:rsidR="00E93F58" w:rsidRPr="00FB5439" w:rsidRDefault="00E93F58" w:rsidP="00070F64">
            <w:pPr>
              <w:keepLines/>
              <w:rPr>
                <w:sz w:val="18"/>
              </w:rPr>
            </w:pPr>
          </w:p>
        </w:tc>
        <w:tc>
          <w:tcPr>
            <w:tcW w:w="1087" w:type="pct"/>
          </w:tcPr>
          <w:p w14:paraId="39308A9B" w14:textId="77777777" w:rsidR="00E93F58" w:rsidRPr="00FB5439" w:rsidRDefault="00E93F58" w:rsidP="00070F64">
            <w:pPr>
              <w:keepLines/>
              <w:rPr>
                <w:sz w:val="18"/>
              </w:rPr>
            </w:pPr>
            <w:r w:rsidRPr="00FB5439">
              <w:rPr>
                <w:sz w:val="18"/>
              </w:rPr>
              <w:t>$</w:t>
            </w:r>
            <w:r w:rsidRPr="00FB5439">
              <w:rPr>
                <w:sz w:val="18"/>
              </w:rPr>
              <w:tab/>
              <w:t>c</w:t>
            </w:r>
          </w:p>
        </w:tc>
        <w:tc>
          <w:tcPr>
            <w:tcW w:w="1087" w:type="pct"/>
          </w:tcPr>
          <w:p w14:paraId="16423B65" w14:textId="77777777" w:rsidR="00E93F58" w:rsidRPr="00FB5439" w:rsidRDefault="00E93F58" w:rsidP="00070F64">
            <w:pPr>
              <w:keepLines/>
              <w:rPr>
                <w:sz w:val="18"/>
              </w:rPr>
            </w:pPr>
          </w:p>
        </w:tc>
      </w:tr>
      <w:tr w:rsidR="00E93F58" w:rsidRPr="00FB5439" w14:paraId="51F6418C" w14:textId="77777777" w:rsidTr="00B23434">
        <w:tc>
          <w:tcPr>
            <w:tcW w:w="654" w:type="pct"/>
            <w:tcBorders>
              <w:bottom w:val="single" w:sz="4" w:space="0" w:color="auto"/>
            </w:tcBorders>
          </w:tcPr>
          <w:p w14:paraId="7D66130E" w14:textId="77777777" w:rsidR="00E93F58" w:rsidRPr="00FB5439" w:rsidRDefault="00E93F58" w:rsidP="00070F64">
            <w:pPr>
              <w:keepLines/>
              <w:rPr>
                <w:sz w:val="18"/>
              </w:rPr>
            </w:pPr>
          </w:p>
        </w:tc>
        <w:tc>
          <w:tcPr>
            <w:tcW w:w="1086" w:type="pct"/>
            <w:tcBorders>
              <w:bottom w:val="single" w:sz="4" w:space="0" w:color="auto"/>
            </w:tcBorders>
          </w:tcPr>
          <w:p w14:paraId="4FF5E889" w14:textId="77777777" w:rsidR="00E93F58" w:rsidRPr="00FB5439" w:rsidRDefault="00E93F58" w:rsidP="00070F64">
            <w:pPr>
              <w:keepLines/>
              <w:rPr>
                <w:sz w:val="18"/>
              </w:rPr>
            </w:pPr>
          </w:p>
        </w:tc>
        <w:tc>
          <w:tcPr>
            <w:tcW w:w="1087" w:type="pct"/>
            <w:tcBorders>
              <w:bottom w:val="single" w:sz="4" w:space="0" w:color="auto"/>
            </w:tcBorders>
          </w:tcPr>
          <w:p w14:paraId="27E6B1B4" w14:textId="77777777" w:rsidR="00E93F58" w:rsidRPr="00FB5439" w:rsidRDefault="00E93F58" w:rsidP="00070F64">
            <w:pPr>
              <w:keepLines/>
              <w:rPr>
                <w:sz w:val="18"/>
              </w:rPr>
            </w:pPr>
          </w:p>
        </w:tc>
        <w:tc>
          <w:tcPr>
            <w:tcW w:w="1087" w:type="pct"/>
            <w:tcBorders>
              <w:bottom w:val="single" w:sz="4" w:space="0" w:color="auto"/>
            </w:tcBorders>
          </w:tcPr>
          <w:p w14:paraId="583C0960" w14:textId="77777777" w:rsidR="00E93F58" w:rsidRPr="00FB5439" w:rsidRDefault="00E93F58" w:rsidP="00070F64">
            <w:pPr>
              <w:keepLines/>
              <w:rPr>
                <w:sz w:val="18"/>
              </w:rPr>
            </w:pPr>
          </w:p>
        </w:tc>
        <w:tc>
          <w:tcPr>
            <w:tcW w:w="1087" w:type="pct"/>
            <w:tcBorders>
              <w:bottom w:val="single" w:sz="4" w:space="0" w:color="auto"/>
            </w:tcBorders>
          </w:tcPr>
          <w:p w14:paraId="1240908E" w14:textId="77777777" w:rsidR="00E93F58" w:rsidRPr="00FB5439" w:rsidRDefault="00E93F58" w:rsidP="00070F64">
            <w:pPr>
              <w:keepLines/>
              <w:rPr>
                <w:sz w:val="18"/>
              </w:rPr>
            </w:pPr>
          </w:p>
        </w:tc>
      </w:tr>
      <w:tr w:rsidR="00E93F58" w:rsidRPr="00FB5439" w14:paraId="007AA99A" w14:textId="77777777" w:rsidTr="00B23434">
        <w:tc>
          <w:tcPr>
            <w:tcW w:w="654" w:type="pct"/>
          </w:tcPr>
          <w:p w14:paraId="6F3D66E8" w14:textId="77777777" w:rsidR="00E93F58" w:rsidRPr="00FB5439" w:rsidRDefault="00E93F58" w:rsidP="00070F64">
            <w:pPr>
              <w:keepLines/>
              <w:rPr>
                <w:sz w:val="18"/>
              </w:rPr>
            </w:pPr>
          </w:p>
        </w:tc>
        <w:tc>
          <w:tcPr>
            <w:tcW w:w="1086" w:type="pct"/>
          </w:tcPr>
          <w:p w14:paraId="21A1C453" w14:textId="77777777" w:rsidR="00E93F58" w:rsidRPr="00FB5439" w:rsidRDefault="00E93F58" w:rsidP="00070F64">
            <w:pPr>
              <w:keepLines/>
              <w:rPr>
                <w:sz w:val="18"/>
              </w:rPr>
            </w:pPr>
          </w:p>
        </w:tc>
        <w:tc>
          <w:tcPr>
            <w:tcW w:w="1087" w:type="pct"/>
          </w:tcPr>
          <w:p w14:paraId="55F5694F" w14:textId="77777777" w:rsidR="00E93F58" w:rsidRPr="00FB5439" w:rsidRDefault="00E93F58" w:rsidP="00070F64">
            <w:pPr>
              <w:keepLines/>
              <w:rPr>
                <w:sz w:val="18"/>
              </w:rPr>
            </w:pPr>
          </w:p>
        </w:tc>
        <w:tc>
          <w:tcPr>
            <w:tcW w:w="1087" w:type="pct"/>
          </w:tcPr>
          <w:p w14:paraId="42D5EEA4" w14:textId="77777777" w:rsidR="00E93F58" w:rsidRPr="00FB5439" w:rsidRDefault="00E93F58" w:rsidP="00070F64">
            <w:pPr>
              <w:keepLines/>
              <w:rPr>
                <w:sz w:val="18"/>
              </w:rPr>
            </w:pPr>
          </w:p>
        </w:tc>
        <w:tc>
          <w:tcPr>
            <w:tcW w:w="1087" w:type="pct"/>
          </w:tcPr>
          <w:p w14:paraId="2430D57C" w14:textId="77777777" w:rsidR="00E93F58" w:rsidRPr="00FB5439" w:rsidRDefault="00E93F58" w:rsidP="00070F64">
            <w:pPr>
              <w:keepLines/>
              <w:rPr>
                <w:sz w:val="18"/>
              </w:rPr>
            </w:pPr>
          </w:p>
        </w:tc>
      </w:tr>
    </w:tbl>
    <w:p w14:paraId="7CC92B38" w14:textId="77777777" w:rsidR="00E93F58" w:rsidRPr="00FB5439" w:rsidRDefault="00E93F58" w:rsidP="00070F64">
      <w:pPr>
        <w:ind w:left="360" w:hanging="360"/>
        <w:rPr>
          <w:sz w:val="18"/>
        </w:rPr>
      </w:pPr>
    </w:p>
    <w:p w14:paraId="4C8BFEFA" w14:textId="77777777" w:rsidR="00E93F58" w:rsidRPr="00FB5439" w:rsidRDefault="00E93F58" w:rsidP="00070F64">
      <w:pPr>
        <w:pStyle w:val="form1"/>
        <w:jc w:val="both"/>
        <w:rPr>
          <w:sz w:val="24"/>
        </w:rPr>
      </w:pPr>
      <w:r w:rsidRPr="00A80D13">
        <w:rPr>
          <w:position w:val="6"/>
          <w:sz w:val="16"/>
        </w:rPr>
        <w:t>*</w:t>
      </w:r>
      <w:r w:rsidRPr="00FB5439">
        <w:rPr>
          <w:sz w:val="24"/>
        </w:rPr>
        <w:t>3.</w:t>
      </w:r>
      <w:r w:rsidRPr="00FB5439">
        <w:rPr>
          <w:sz w:val="24"/>
        </w:rPr>
        <w:tab/>
        <w:t>I am employed by the creditor and authorised in writing by the creditor to make this statement.  I know that the debt was incurred for the consideration stated and that the debt, to the best of my knowledge and belief, remains unpaid and unsatisfied.</w:t>
      </w:r>
    </w:p>
    <w:p w14:paraId="31C196F6" w14:textId="77777777" w:rsidR="00E93F58" w:rsidRPr="00FB5439" w:rsidRDefault="00E93F58" w:rsidP="00070F64"/>
    <w:p w14:paraId="6AC9228C" w14:textId="77777777" w:rsidR="00E93F58" w:rsidRPr="00FB5439" w:rsidRDefault="00E93F58" w:rsidP="00070F64">
      <w:pPr>
        <w:pBdr>
          <w:top w:val="single" w:sz="4" w:space="1" w:color="auto"/>
        </w:pBdr>
      </w:pPr>
    </w:p>
    <w:p w14:paraId="413F4421" w14:textId="77777777" w:rsidR="00E93F58" w:rsidRPr="00FB5439" w:rsidRDefault="00E93F58" w:rsidP="00070F64">
      <w:pPr>
        <w:pStyle w:val="form1"/>
        <w:jc w:val="both"/>
        <w:rPr>
          <w:sz w:val="24"/>
        </w:rPr>
      </w:pPr>
      <w:r w:rsidRPr="00A80D13">
        <w:rPr>
          <w:position w:val="6"/>
          <w:sz w:val="16"/>
        </w:rPr>
        <w:t>*</w:t>
      </w:r>
      <w:r w:rsidRPr="00FB5439">
        <w:rPr>
          <w:sz w:val="24"/>
        </w:rPr>
        <w:t>3.</w:t>
      </w:r>
      <w:r w:rsidRPr="00FB5439">
        <w:rPr>
          <w:sz w:val="24"/>
        </w:rPr>
        <w:tab/>
        <w:t>I am the creditor’s agent authorised in writing to make this statement in writing.  I know the debt was incurred for the consideration stated and that the debt, to the best of my knowledge and belief, remains unpaid and unsatisfied.</w:t>
      </w:r>
    </w:p>
    <w:p w14:paraId="332575CA" w14:textId="77777777" w:rsidR="00E93F58" w:rsidRPr="00FB5439" w:rsidRDefault="00E93F58" w:rsidP="00070F64"/>
    <w:p w14:paraId="3F248B04" w14:textId="77777777" w:rsidR="00E93F58" w:rsidRPr="00FB5439" w:rsidRDefault="00E93F58" w:rsidP="00070F64">
      <w:r w:rsidRPr="00FB5439">
        <w:tab/>
        <w:t>Dated</w:t>
      </w:r>
    </w:p>
    <w:p w14:paraId="77F600FA" w14:textId="77777777" w:rsidR="00E93F58" w:rsidRPr="00FB5439" w:rsidRDefault="00E93F58" w:rsidP="00070F64"/>
    <w:p w14:paraId="33905F92" w14:textId="77777777" w:rsidR="00E93F58" w:rsidRPr="00FB5439" w:rsidRDefault="00E93F58" w:rsidP="00070F64">
      <w:r w:rsidRPr="00FB5439">
        <w:tab/>
        <w:t>Signature</w:t>
      </w:r>
    </w:p>
    <w:p w14:paraId="44AF3B7B" w14:textId="77777777" w:rsidR="00E93F58" w:rsidRPr="00FB5439" w:rsidRDefault="00E93F58" w:rsidP="00070F64">
      <w:r w:rsidRPr="00FB5439">
        <w:tab/>
        <w:t>Occupation</w:t>
      </w:r>
    </w:p>
    <w:p w14:paraId="1189B68D" w14:textId="77777777" w:rsidR="00E93F58" w:rsidRPr="00FB5439" w:rsidRDefault="00E93F58" w:rsidP="00070F64">
      <w:r w:rsidRPr="00FB5439">
        <w:tab/>
        <w:t>Address</w:t>
      </w:r>
    </w:p>
    <w:p w14:paraId="6B2D0308" w14:textId="77777777" w:rsidR="00E93F58" w:rsidRPr="00FB5439" w:rsidRDefault="00E93F58" w:rsidP="00070F64">
      <w:pPr>
        <w:tabs>
          <w:tab w:val="left" w:pos="709"/>
          <w:tab w:val="left" w:pos="3969"/>
          <w:tab w:val="left" w:pos="4678"/>
          <w:tab w:val="left" w:pos="5670"/>
        </w:tabs>
        <w:ind w:left="709" w:hanging="709"/>
      </w:pPr>
    </w:p>
    <w:p w14:paraId="38DA3282" w14:textId="77777777" w:rsidR="00E93F58" w:rsidRPr="00FB5439" w:rsidRDefault="00E93F58" w:rsidP="00070F64">
      <w:pPr>
        <w:pBdr>
          <w:top w:val="single" w:sz="6" w:space="1" w:color="auto"/>
        </w:pBdr>
        <w:tabs>
          <w:tab w:val="left" w:pos="709"/>
          <w:tab w:val="left" w:pos="3969"/>
          <w:tab w:val="left" w:pos="4678"/>
          <w:tab w:val="left" w:pos="5670"/>
        </w:tabs>
        <w:ind w:left="709" w:hanging="709"/>
      </w:pPr>
      <w:r w:rsidRPr="00A80D13">
        <w:rPr>
          <w:position w:val="6"/>
          <w:sz w:val="16"/>
        </w:rPr>
        <w:lastRenderedPageBreak/>
        <w:t>*</w:t>
      </w:r>
      <w:r w:rsidRPr="00FB5439">
        <w:t>Do not complete if this proof is made by the creditor personally</w:t>
      </w:r>
    </w:p>
    <w:p w14:paraId="25D06E95" w14:textId="77777777" w:rsidR="00E93F58" w:rsidRPr="00FB5439" w:rsidRDefault="00E93F58" w:rsidP="00A80D13">
      <w:pPr>
        <w:pStyle w:val="ActHead2"/>
        <w:pageBreakBefore/>
      </w:pPr>
      <w:bookmarkStart w:id="3192" w:name="_Toc151992781"/>
      <w:bookmarkStart w:id="3193" w:name="_Toc158713384"/>
      <w:r w:rsidRPr="00FB5439">
        <w:rPr>
          <w:rStyle w:val="CharPartNo"/>
        </w:rPr>
        <w:lastRenderedPageBreak/>
        <w:t>Form 536</w:t>
      </w:r>
      <w:bookmarkEnd w:id="3192"/>
      <w:bookmarkEnd w:id="3193"/>
      <w:r w:rsidRPr="00FB5439">
        <w:rPr>
          <w:rStyle w:val="CharPartText"/>
        </w:rPr>
        <w:t xml:space="preserve"> </w:t>
      </w:r>
      <w:r w:rsidRPr="00FB5439">
        <w:t xml:space="preserve"> </w:t>
      </w:r>
    </w:p>
    <w:p w14:paraId="482F1D4D" w14:textId="77777777" w:rsidR="00E93F58" w:rsidRPr="00FB5439" w:rsidRDefault="00E93F58" w:rsidP="004C686D">
      <w:pPr>
        <w:pStyle w:val="notemargin"/>
      </w:pPr>
      <w:r w:rsidRPr="00FB5439">
        <w:t>(subregulation 5.6.49(2))</w:t>
      </w:r>
    </w:p>
    <w:p w14:paraId="5283DE46" w14:textId="77777777" w:rsidR="00E93F58" w:rsidRPr="00FB5439" w:rsidRDefault="00E93F58" w:rsidP="00070F64">
      <w:pPr>
        <w:keepLines/>
        <w:rPr>
          <w:sz w:val="18"/>
        </w:rPr>
      </w:pPr>
    </w:p>
    <w:p w14:paraId="27F31253" w14:textId="77777777" w:rsidR="00E93F58" w:rsidRPr="00FB5439" w:rsidRDefault="00E93F58" w:rsidP="00070F64">
      <w:pPr>
        <w:keepLines/>
      </w:pPr>
      <w:r w:rsidRPr="00FB5439">
        <w:t>A.C.N. or A.R.B.N:</w:t>
      </w:r>
    </w:p>
    <w:p w14:paraId="3312CD66" w14:textId="77777777" w:rsidR="00E93F58" w:rsidRPr="00FB5439" w:rsidRDefault="00E93F58" w:rsidP="00070F64">
      <w:pPr>
        <w:keepLines/>
      </w:pPr>
    </w:p>
    <w:p w14:paraId="735E9453" w14:textId="77777777" w:rsidR="00E93F58" w:rsidRPr="00FB5439" w:rsidRDefault="00E93F58" w:rsidP="00070F64">
      <w:pPr>
        <w:keepLines/>
      </w:pPr>
      <w:r w:rsidRPr="00FB5439">
        <w:rPr>
          <w:i/>
        </w:rPr>
        <w:t>Corporations Act 2001</w:t>
      </w:r>
    </w:p>
    <w:p w14:paraId="0E6D1EEE" w14:textId="77777777" w:rsidR="00E93F58" w:rsidRPr="00FB5439" w:rsidRDefault="00E93F58" w:rsidP="00070F64">
      <w:pPr>
        <w:keepLines/>
        <w:spacing w:before="240" w:after="240"/>
        <w:rPr>
          <w:rFonts w:ascii="Arial" w:hAnsi="Arial" w:cs="Arial"/>
          <w:szCs w:val="22"/>
        </w:rPr>
      </w:pPr>
      <w:r w:rsidRPr="00FB5439">
        <w:rPr>
          <w:rFonts w:ascii="Arial" w:hAnsi="Arial" w:cs="Arial"/>
          <w:szCs w:val="22"/>
        </w:rPr>
        <w:t>FORMAL PROOF OF DEBT OR CLAIM ON BEHALF OF EMPLOYEES</w:t>
      </w:r>
    </w:p>
    <w:p w14:paraId="0B483DCC" w14:textId="77777777" w:rsidR="00E93F58" w:rsidRPr="00FB5439" w:rsidRDefault="00E93F58" w:rsidP="00070F64">
      <w:pPr>
        <w:keepLines/>
        <w:jc w:val="both"/>
      </w:pPr>
      <w:r w:rsidRPr="00FB5439">
        <w:t>To the liquidator of</w:t>
      </w:r>
      <w:r w:rsidRPr="00FB5439">
        <w:tab/>
      </w:r>
      <w:r w:rsidRPr="00FB5439">
        <w:tab/>
        <w:t>Limited</w:t>
      </w:r>
    </w:p>
    <w:p w14:paraId="6D776A76" w14:textId="77777777" w:rsidR="00E93F58" w:rsidRPr="00FB5439" w:rsidRDefault="00E93F58" w:rsidP="00070F64">
      <w:pPr>
        <w:keepLines/>
        <w:jc w:val="both"/>
      </w:pPr>
    </w:p>
    <w:p w14:paraId="193C2948" w14:textId="77777777" w:rsidR="00E93F58" w:rsidRPr="00FB5439" w:rsidRDefault="00E93F58" w:rsidP="00070F64">
      <w:pPr>
        <w:keepLines/>
        <w:jc w:val="both"/>
      </w:pPr>
      <w:r w:rsidRPr="00FB5439">
        <w:t>I</w:t>
      </w:r>
      <w:r w:rsidRPr="00FB5439">
        <w:tab/>
        <w:t>(</w:t>
      </w:r>
      <w:r w:rsidRPr="00FB5439">
        <w:rPr>
          <w:i/>
        </w:rPr>
        <w:t>full name of person making the statement</w:t>
      </w:r>
      <w:r w:rsidRPr="00FB5439">
        <w:t>) of (</w:t>
      </w:r>
      <w:r w:rsidRPr="00FB5439">
        <w:rPr>
          <w:i/>
        </w:rPr>
        <w:t>full address</w:t>
      </w:r>
      <w:r w:rsidRPr="00FB5439">
        <w:t>) being (</w:t>
      </w:r>
      <w:r w:rsidRPr="00FB5439">
        <w:rPr>
          <w:i/>
        </w:rPr>
        <w:t>occupation</w:t>
      </w:r>
      <w:r w:rsidRPr="00FB5439">
        <w:t>) state:</w:t>
      </w:r>
    </w:p>
    <w:p w14:paraId="34085EBD" w14:textId="77777777" w:rsidR="00E93F58" w:rsidRPr="00FB5439" w:rsidRDefault="00E93F58" w:rsidP="00070F64">
      <w:pPr>
        <w:keepLines/>
        <w:jc w:val="both"/>
      </w:pPr>
    </w:p>
    <w:p w14:paraId="40273940" w14:textId="77777777" w:rsidR="00E93F58" w:rsidRPr="00FB5439" w:rsidRDefault="00E93F58" w:rsidP="00070F64">
      <w:pPr>
        <w:pStyle w:val="form1"/>
        <w:keepLines/>
        <w:jc w:val="both"/>
        <w:rPr>
          <w:sz w:val="24"/>
        </w:rPr>
      </w:pPr>
      <w:r w:rsidRPr="00FB5439">
        <w:rPr>
          <w:sz w:val="24"/>
        </w:rPr>
        <w:t>1.</w:t>
      </w:r>
      <w:r w:rsidRPr="00FB5439">
        <w:rPr>
          <w:sz w:val="24"/>
        </w:rPr>
        <w:tab/>
        <w:t>the company was, on (</w:t>
      </w:r>
      <w:r w:rsidRPr="00FB5439">
        <w:rPr>
          <w:i/>
          <w:sz w:val="24"/>
        </w:rPr>
        <w:t>date of court order in winding up, if winding up was by the Court, or date of resolution to wind up if a voluntary winding up</w:t>
      </w:r>
      <w:r w:rsidRPr="00FB5439">
        <w:rPr>
          <w:sz w:val="24"/>
        </w:rPr>
        <w:t>), and still is, indebted to the persons whose names, addresses and descriptions appear in Columns 2, 3 and 4 in the Schedule;</w:t>
      </w:r>
    </w:p>
    <w:p w14:paraId="3BCC15C1" w14:textId="77777777" w:rsidR="00E93F58" w:rsidRPr="00FB5439" w:rsidRDefault="00E93F58" w:rsidP="00070F64">
      <w:pPr>
        <w:pStyle w:val="form1"/>
      </w:pPr>
    </w:p>
    <w:p w14:paraId="1F6B6E39" w14:textId="77777777" w:rsidR="00E93F58" w:rsidRPr="00FB5439" w:rsidRDefault="00E93F58" w:rsidP="00070F64">
      <w:pPr>
        <w:pStyle w:val="form1"/>
        <w:jc w:val="both"/>
        <w:rPr>
          <w:sz w:val="24"/>
        </w:rPr>
      </w:pPr>
      <w:r w:rsidRPr="00FB5439">
        <w:rPr>
          <w:sz w:val="24"/>
        </w:rPr>
        <w:t>2.</w:t>
      </w:r>
      <w:r w:rsidRPr="00FB5439">
        <w:rPr>
          <w:sz w:val="24"/>
        </w:rPr>
        <w:tab/>
        <w:t>the debt is for wages, salaries, annual leave, retrenchment payments or long service leave, due to them for services rendered while employed by the company during the periods set out in Column 5 against the names of the persons;</w:t>
      </w:r>
    </w:p>
    <w:p w14:paraId="777043C4" w14:textId="77777777" w:rsidR="00E93F58" w:rsidRPr="00FB5439" w:rsidRDefault="00E93F58" w:rsidP="00070F64">
      <w:pPr>
        <w:pStyle w:val="form1"/>
        <w:jc w:val="both"/>
        <w:rPr>
          <w:sz w:val="24"/>
        </w:rPr>
      </w:pPr>
    </w:p>
    <w:p w14:paraId="28E4A5D9" w14:textId="77777777" w:rsidR="00E93F58" w:rsidRPr="00FB5439" w:rsidRDefault="00E93F58" w:rsidP="00070F64">
      <w:pPr>
        <w:pStyle w:val="form1"/>
        <w:jc w:val="both"/>
        <w:rPr>
          <w:sz w:val="24"/>
        </w:rPr>
      </w:pPr>
      <w:r w:rsidRPr="00FB5439">
        <w:rPr>
          <w:sz w:val="24"/>
        </w:rPr>
        <w:t>3.</w:t>
      </w:r>
      <w:r w:rsidRPr="00FB5439">
        <w:rPr>
          <w:sz w:val="24"/>
        </w:rPr>
        <w:tab/>
        <w:t>the debt of the company due to each person is for the amount set out in Column 6 against the name of that person;</w:t>
      </w:r>
    </w:p>
    <w:p w14:paraId="66BB422F" w14:textId="77777777" w:rsidR="00E93F58" w:rsidRPr="00FB5439" w:rsidRDefault="00E93F58" w:rsidP="00070F64">
      <w:pPr>
        <w:pStyle w:val="form1"/>
        <w:jc w:val="both"/>
        <w:rPr>
          <w:sz w:val="24"/>
        </w:rPr>
      </w:pPr>
    </w:p>
    <w:p w14:paraId="38E6E270" w14:textId="77777777" w:rsidR="00E93F58" w:rsidRPr="00FB5439" w:rsidRDefault="00E93F58" w:rsidP="00070F64">
      <w:pPr>
        <w:pStyle w:val="form1"/>
        <w:jc w:val="both"/>
        <w:rPr>
          <w:sz w:val="24"/>
        </w:rPr>
      </w:pPr>
      <w:r w:rsidRPr="00FB5439">
        <w:rPr>
          <w:sz w:val="24"/>
        </w:rPr>
        <w:t>4.</w:t>
      </w:r>
      <w:r w:rsidRPr="00FB5439">
        <w:rPr>
          <w:sz w:val="24"/>
        </w:rPr>
        <w:tab/>
        <w:t>none of those persons has had or received any satisfaction or security in respect of that debt;</w:t>
      </w:r>
    </w:p>
    <w:p w14:paraId="0C89A29B" w14:textId="77777777" w:rsidR="00E93F58" w:rsidRPr="00FB5439" w:rsidRDefault="00E93F58" w:rsidP="00070F64">
      <w:pPr>
        <w:pStyle w:val="form1"/>
        <w:jc w:val="both"/>
        <w:rPr>
          <w:sz w:val="24"/>
        </w:rPr>
      </w:pPr>
    </w:p>
    <w:p w14:paraId="172FC577" w14:textId="77777777" w:rsidR="00E93F58" w:rsidRPr="00FB5439" w:rsidRDefault="00E93F58" w:rsidP="00070F64">
      <w:pPr>
        <w:pStyle w:val="form1"/>
        <w:tabs>
          <w:tab w:val="left" w:pos="4680"/>
        </w:tabs>
        <w:jc w:val="both"/>
        <w:rPr>
          <w:sz w:val="24"/>
        </w:rPr>
      </w:pPr>
      <w:r w:rsidRPr="00FB5439">
        <w:rPr>
          <w:sz w:val="24"/>
        </w:rPr>
        <w:t>5.</w:t>
      </w:r>
      <w:r w:rsidRPr="00FB5439">
        <w:rPr>
          <w:sz w:val="24"/>
        </w:rPr>
        <w:tab/>
        <w:t>I am authorised as</w:t>
      </w:r>
      <w:r w:rsidRPr="00FB5439">
        <w:rPr>
          <w:sz w:val="24"/>
        </w:rPr>
        <w:tab/>
        <w:t>and the source of my information is as follows:</w:t>
      </w:r>
    </w:p>
    <w:p w14:paraId="1EB71FB4" w14:textId="77777777" w:rsidR="00E93F58" w:rsidRPr="00FB5439" w:rsidRDefault="00E93F58" w:rsidP="007D7E5D">
      <w:pPr>
        <w:pStyle w:val="Formheading3"/>
        <w:keepLines/>
        <w:rPr>
          <w:sz w:val="24"/>
        </w:rPr>
      </w:pPr>
      <w:r w:rsidRPr="00FB5439">
        <w:rPr>
          <w:sz w:val="24"/>
        </w:rPr>
        <w:t>SCHEDULE</w:t>
      </w:r>
    </w:p>
    <w:p w14:paraId="7247FC14" w14:textId="77777777" w:rsidR="00E93F58" w:rsidRPr="00FB5439" w:rsidRDefault="00E93F58" w:rsidP="007D7E5D">
      <w:pPr>
        <w:keepNext/>
        <w:keepLines/>
        <w:jc w:val="center"/>
        <w:rPr>
          <w:sz w:val="18"/>
        </w:rPr>
      </w:pPr>
    </w:p>
    <w:tbl>
      <w:tblPr>
        <w:tblW w:w="5000" w:type="pct"/>
        <w:tblLook w:val="0000" w:firstRow="0" w:lastRow="0" w:firstColumn="0" w:lastColumn="0" w:noHBand="0" w:noVBand="0"/>
      </w:tblPr>
      <w:tblGrid>
        <w:gridCol w:w="1796"/>
        <w:gridCol w:w="1797"/>
        <w:gridCol w:w="1797"/>
        <w:gridCol w:w="1795"/>
        <w:gridCol w:w="1795"/>
        <w:gridCol w:w="1793"/>
      </w:tblGrid>
      <w:tr w:rsidR="00E93F58" w:rsidRPr="00FB5439" w14:paraId="6B8423E1" w14:textId="77777777" w:rsidTr="00B23434">
        <w:tc>
          <w:tcPr>
            <w:tcW w:w="834" w:type="pct"/>
            <w:tcBorders>
              <w:top w:val="single" w:sz="6" w:space="0" w:color="auto"/>
            </w:tcBorders>
          </w:tcPr>
          <w:p w14:paraId="4E9E743D" w14:textId="77777777" w:rsidR="00E93F58" w:rsidRPr="00FB5439" w:rsidRDefault="00E93F58" w:rsidP="007D7E5D">
            <w:pPr>
              <w:keepNext/>
              <w:keepLines/>
              <w:rPr>
                <w:b/>
                <w:sz w:val="18"/>
              </w:rPr>
            </w:pPr>
            <w:r w:rsidRPr="00FB5439">
              <w:rPr>
                <w:b/>
                <w:sz w:val="18"/>
              </w:rPr>
              <w:t>Column 1</w:t>
            </w:r>
          </w:p>
        </w:tc>
        <w:tc>
          <w:tcPr>
            <w:tcW w:w="834" w:type="pct"/>
            <w:tcBorders>
              <w:top w:val="single" w:sz="6" w:space="0" w:color="auto"/>
            </w:tcBorders>
          </w:tcPr>
          <w:p w14:paraId="2FDE346F" w14:textId="77777777" w:rsidR="00E93F58" w:rsidRPr="00FB5439" w:rsidRDefault="00E93F58" w:rsidP="007D7E5D">
            <w:pPr>
              <w:keepNext/>
              <w:keepLines/>
              <w:rPr>
                <w:b/>
                <w:sz w:val="18"/>
              </w:rPr>
            </w:pPr>
            <w:r w:rsidRPr="00FB5439">
              <w:rPr>
                <w:b/>
                <w:sz w:val="18"/>
              </w:rPr>
              <w:t>Column 2</w:t>
            </w:r>
          </w:p>
        </w:tc>
        <w:tc>
          <w:tcPr>
            <w:tcW w:w="834" w:type="pct"/>
            <w:tcBorders>
              <w:top w:val="single" w:sz="6" w:space="0" w:color="auto"/>
            </w:tcBorders>
          </w:tcPr>
          <w:p w14:paraId="7A8E4BDB" w14:textId="77777777" w:rsidR="00E93F58" w:rsidRPr="00FB5439" w:rsidRDefault="00E93F58" w:rsidP="007D7E5D">
            <w:pPr>
              <w:keepNext/>
              <w:keepLines/>
              <w:rPr>
                <w:b/>
                <w:sz w:val="18"/>
              </w:rPr>
            </w:pPr>
            <w:r w:rsidRPr="00FB5439">
              <w:rPr>
                <w:b/>
                <w:sz w:val="18"/>
              </w:rPr>
              <w:t>Column 3</w:t>
            </w:r>
          </w:p>
        </w:tc>
        <w:tc>
          <w:tcPr>
            <w:tcW w:w="833" w:type="pct"/>
            <w:tcBorders>
              <w:top w:val="single" w:sz="6" w:space="0" w:color="auto"/>
            </w:tcBorders>
          </w:tcPr>
          <w:p w14:paraId="4000FFFA" w14:textId="77777777" w:rsidR="00E93F58" w:rsidRPr="00FB5439" w:rsidRDefault="00E93F58" w:rsidP="007D7E5D">
            <w:pPr>
              <w:keepNext/>
              <w:keepLines/>
              <w:rPr>
                <w:b/>
                <w:sz w:val="18"/>
              </w:rPr>
            </w:pPr>
            <w:r w:rsidRPr="00FB5439">
              <w:rPr>
                <w:b/>
                <w:sz w:val="18"/>
              </w:rPr>
              <w:t>Column 4</w:t>
            </w:r>
          </w:p>
        </w:tc>
        <w:tc>
          <w:tcPr>
            <w:tcW w:w="833" w:type="pct"/>
            <w:tcBorders>
              <w:top w:val="single" w:sz="6" w:space="0" w:color="auto"/>
            </w:tcBorders>
          </w:tcPr>
          <w:p w14:paraId="0168F78F" w14:textId="77777777" w:rsidR="00E93F58" w:rsidRPr="00FB5439" w:rsidRDefault="00E93F58" w:rsidP="007D7E5D">
            <w:pPr>
              <w:keepNext/>
              <w:keepLines/>
              <w:rPr>
                <w:b/>
                <w:sz w:val="18"/>
              </w:rPr>
            </w:pPr>
            <w:r w:rsidRPr="00FB5439">
              <w:rPr>
                <w:b/>
                <w:sz w:val="18"/>
              </w:rPr>
              <w:t>Column 5</w:t>
            </w:r>
          </w:p>
        </w:tc>
        <w:tc>
          <w:tcPr>
            <w:tcW w:w="833" w:type="pct"/>
            <w:tcBorders>
              <w:top w:val="single" w:sz="6" w:space="0" w:color="auto"/>
            </w:tcBorders>
          </w:tcPr>
          <w:p w14:paraId="32EDE558" w14:textId="77777777" w:rsidR="00E93F58" w:rsidRPr="00FB5439" w:rsidRDefault="00E93F58" w:rsidP="007D7E5D">
            <w:pPr>
              <w:keepNext/>
              <w:keepLines/>
              <w:rPr>
                <w:b/>
                <w:sz w:val="18"/>
              </w:rPr>
            </w:pPr>
            <w:r w:rsidRPr="00FB5439">
              <w:rPr>
                <w:b/>
                <w:sz w:val="18"/>
              </w:rPr>
              <w:t>Column 6</w:t>
            </w:r>
          </w:p>
        </w:tc>
      </w:tr>
      <w:tr w:rsidR="00E93F58" w:rsidRPr="00FB5439" w14:paraId="476F287C" w14:textId="77777777" w:rsidTr="00B23434">
        <w:tc>
          <w:tcPr>
            <w:tcW w:w="834" w:type="pct"/>
            <w:tcBorders>
              <w:bottom w:val="single" w:sz="6" w:space="0" w:color="auto"/>
            </w:tcBorders>
          </w:tcPr>
          <w:p w14:paraId="47615BF2" w14:textId="77777777" w:rsidR="00E93F58" w:rsidRPr="00FB5439" w:rsidRDefault="00E93F58" w:rsidP="007D7E5D">
            <w:pPr>
              <w:keepNext/>
              <w:keepLines/>
              <w:rPr>
                <w:b/>
                <w:sz w:val="18"/>
              </w:rPr>
            </w:pPr>
            <w:r w:rsidRPr="00FB5439">
              <w:rPr>
                <w:b/>
                <w:sz w:val="18"/>
              </w:rPr>
              <w:t>No</w:t>
            </w:r>
          </w:p>
        </w:tc>
        <w:tc>
          <w:tcPr>
            <w:tcW w:w="834" w:type="pct"/>
            <w:tcBorders>
              <w:bottom w:val="single" w:sz="6" w:space="0" w:color="auto"/>
            </w:tcBorders>
          </w:tcPr>
          <w:p w14:paraId="7D11360A" w14:textId="77777777" w:rsidR="00E93F58" w:rsidRPr="00FB5439" w:rsidRDefault="00E93F58" w:rsidP="007D7E5D">
            <w:pPr>
              <w:keepNext/>
              <w:keepLines/>
              <w:rPr>
                <w:b/>
                <w:sz w:val="18"/>
              </w:rPr>
            </w:pPr>
            <w:r w:rsidRPr="00FB5439">
              <w:rPr>
                <w:b/>
                <w:sz w:val="18"/>
              </w:rPr>
              <w:t>Full name</w:t>
            </w:r>
          </w:p>
        </w:tc>
        <w:tc>
          <w:tcPr>
            <w:tcW w:w="834" w:type="pct"/>
            <w:tcBorders>
              <w:bottom w:val="single" w:sz="6" w:space="0" w:color="auto"/>
            </w:tcBorders>
          </w:tcPr>
          <w:p w14:paraId="185329C0" w14:textId="77777777" w:rsidR="00E93F58" w:rsidRPr="00FB5439" w:rsidRDefault="00E93F58" w:rsidP="007D7E5D">
            <w:pPr>
              <w:keepNext/>
              <w:keepLines/>
              <w:rPr>
                <w:b/>
                <w:sz w:val="18"/>
              </w:rPr>
            </w:pPr>
            <w:r w:rsidRPr="00FB5439">
              <w:rPr>
                <w:b/>
                <w:sz w:val="18"/>
              </w:rPr>
              <w:t>Address of employee</w:t>
            </w:r>
          </w:p>
        </w:tc>
        <w:tc>
          <w:tcPr>
            <w:tcW w:w="833" w:type="pct"/>
            <w:tcBorders>
              <w:bottom w:val="single" w:sz="6" w:space="0" w:color="auto"/>
            </w:tcBorders>
          </w:tcPr>
          <w:p w14:paraId="49757800" w14:textId="77777777" w:rsidR="00E93F58" w:rsidRPr="00FB5439" w:rsidRDefault="00E93F58" w:rsidP="007D7E5D">
            <w:pPr>
              <w:keepNext/>
              <w:keepLines/>
              <w:rPr>
                <w:b/>
                <w:sz w:val="18"/>
              </w:rPr>
            </w:pPr>
            <w:r w:rsidRPr="00FB5439">
              <w:rPr>
                <w:b/>
                <w:sz w:val="18"/>
              </w:rPr>
              <w:t>Description</w:t>
            </w:r>
          </w:p>
        </w:tc>
        <w:tc>
          <w:tcPr>
            <w:tcW w:w="833" w:type="pct"/>
            <w:tcBorders>
              <w:bottom w:val="single" w:sz="6" w:space="0" w:color="auto"/>
            </w:tcBorders>
          </w:tcPr>
          <w:p w14:paraId="3A897C41" w14:textId="77777777" w:rsidR="00E93F58" w:rsidRPr="00FB5439" w:rsidRDefault="00E93F58" w:rsidP="007D7E5D">
            <w:pPr>
              <w:keepNext/>
              <w:keepLines/>
              <w:rPr>
                <w:b/>
                <w:sz w:val="18"/>
              </w:rPr>
            </w:pPr>
            <w:r w:rsidRPr="00FB5439">
              <w:rPr>
                <w:b/>
                <w:sz w:val="18"/>
              </w:rPr>
              <w:t>Period for which claim is made (</w:t>
            </w:r>
            <w:r w:rsidRPr="00FB5439">
              <w:rPr>
                <w:b/>
                <w:i/>
                <w:sz w:val="18"/>
              </w:rPr>
              <w:t>see note below</w:t>
            </w:r>
            <w:r w:rsidRPr="00FB5439">
              <w:rPr>
                <w:b/>
                <w:sz w:val="18"/>
              </w:rPr>
              <w:t>)</w:t>
            </w:r>
          </w:p>
        </w:tc>
        <w:tc>
          <w:tcPr>
            <w:tcW w:w="833" w:type="pct"/>
            <w:tcBorders>
              <w:bottom w:val="single" w:sz="6" w:space="0" w:color="auto"/>
            </w:tcBorders>
          </w:tcPr>
          <w:p w14:paraId="4770A4CD" w14:textId="77777777" w:rsidR="00E93F58" w:rsidRPr="00FB5439" w:rsidRDefault="00E93F58" w:rsidP="007D7E5D">
            <w:pPr>
              <w:keepNext/>
              <w:keepLines/>
              <w:rPr>
                <w:b/>
                <w:sz w:val="18"/>
              </w:rPr>
            </w:pPr>
            <w:r w:rsidRPr="00FB5439">
              <w:rPr>
                <w:b/>
                <w:sz w:val="18"/>
              </w:rPr>
              <w:t>Amount of claim</w:t>
            </w:r>
          </w:p>
        </w:tc>
      </w:tr>
      <w:tr w:rsidR="00E93F58" w:rsidRPr="00FB5439" w14:paraId="7BA798BC" w14:textId="77777777" w:rsidTr="00B23434">
        <w:tc>
          <w:tcPr>
            <w:tcW w:w="834" w:type="pct"/>
          </w:tcPr>
          <w:p w14:paraId="0E70F8FD" w14:textId="77777777" w:rsidR="00E93F58" w:rsidRPr="00FB5439" w:rsidRDefault="00E93F58" w:rsidP="00070F64">
            <w:pPr>
              <w:jc w:val="center"/>
              <w:rPr>
                <w:sz w:val="18"/>
              </w:rPr>
            </w:pPr>
          </w:p>
        </w:tc>
        <w:tc>
          <w:tcPr>
            <w:tcW w:w="834" w:type="pct"/>
          </w:tcPr>
          <w:p w14:paraId="1F0CB085" w14:textId="77777777" w:rsidR="00E93F58" w:rsidRPr="00FB5439" w:rsidRDefault="00E93F58" w:rsidP="00070F64">
            <w:pPr>
              <w:jc w:val="center"/>
              <w:rPr>
                <w:sz w:val="18"/>
              </w:rPr>
            </w:pPr>
          </w:p>
        </w:tc>
        <w:tc>
          <w:tcPr>
            <w:tcW w:w="834" w:type="pct"/>
          </w:tcPr>
          <w:p w14:paraId="44DC910B" w14:textId="77777777" w:rsidR="00E93F58" w:rsidRPr="00FB5439" w:rsidRDefault="00E93F58" w:rsidP="00070F64">
            <w:pPr>
              <w:jc w:val="center"/>
              <w:rPr>
                <w:sz w:val="18"/>
              </w:rPr>
            </w:pPr>
          </w:p>
        </w:tc>
        <w:tc>
          <w:tcPr>
            <w:tcW w:w="833" w:type="pct"/>
          </w:tcPr>
          <w:p w14:paraId="5CB52BB6" w14:textId="77777777" w:rsidR="00E93F58" w:rsidRPr="00FB5439" w:rsidRDefault="00E93F58" w:rsidP="00070F64">
            <w:pPr>
              <w:jc w:val="center"/>
              <w:rPr>
                <w:sz w:val="18"/>
              </w:rPr>
            </w:pPr>
          </w:p>
        </w:tc>
        <w:tc>
          <w:tcPr>
            <w:tcW w:w="833" w:type="pct"/>
          </w:tcPr>
          <w:p w14:paraId="2D5AC15B" w14:textId="77777777" w:rsidR="00E93F58" w:rsidRPr="00FB5439" w:rsidRDefault="00E93F58" w:rsidP="00070F64">
            <w:pPr>
              <w:jc w:val="center"/>
              <w:rPr>
                <w:sz w:val="18"/>
              </w:rPr>
            </w:pPr>
          </w:p>
        </w:tc>
        <w:tc>
          <w:tcPr>
            <w:tcW w:w="833" w:type="pct"/>
          </w:tcPr>
          <w:p w14:paraId="0DB88A8A" w14:textId="77777777" w:rsidR="00E93F58" w:rsidRPr="00FB5439" w:rsidRDefault="00E93F58" w:rsidP="00070F64">
            <w:pPr>
              <w:jc w:val="center"/>
              <w:rPr>
                <w:sz w:val="18"/>
              </w:rPr>
            </w:pPr>
          </w:p>
        </w:tc>
      </w:tr>
      <w:tr w:rsidR="00E93F58" w:rsidRPr="00FB5439" w14:paraId="298F9985" w14:textId="77777777" w:rsidTr="00B23434">
        <w:tc>
          <w:tcPr>
            <w:tcW w:w="834" w:type="pct"/>
          </w:tcPr>
          <w:p w14:paraId="679B64DF" w14:textId="77777777" w:rsidR="00E93F58" w:rsidRPr="00FB5439" w:rsidRDefault="00E93F58" w:rsidP="00070F64">
            <w:pPr>
              <w:jc w:val="center"/>
              <w:rPr>
                <w:sz w:val="18"/>
              </w:rPr>
            </w:pPr>
          </w:p>
        </w:tc>
        <w:tc>
          <w:tcPr>
            <w:tcW w:w="834" w:type="pct"/>
          </w:tcPr>
          <w:p w14:paraId="4F79B386" w14:textId="77777777" w:rsidR="00E93F58" w:rsidRPr="00FB5439" w:rsidRDefault="00E93F58" w:rsidP="00070F64">
            <w:pPr>
              <w:jc w:val="center"/>
              <w:rPr>
                <w:sz w:val="18"/>
              </w:rPr>
            </w:pPr>
          </w:p>
        </w:tc>
        <w:tc>
          <w:tcPr>
            <w:tcW w:w="834" w:type="pct"/>
          </w:tcPr>
          <w:p w14:paraId="0AE906D5" w14:textId="77777777" w:rsidR="00E93F58" w:rsidRPr="00FB5439" w:rsidRDefault="00E93F58" w:rsidP="00070F64">
            <w:pPr>
              <w:jc w:val="center"/>
              <w:rPr>
                <w:sz w:val="18"/>
              </w:rPr>
            </w:pPr>
          </w:p>
        </w:tc>
        <w:tc>
          <w:tcPr>
            <w:tcW w:w="833" w:type="pct"/>
          </w:tcPr>
          <w:p w14:paraId="28B7C31E" w14:textId="77777777" w:rsidR="00E93F58" w:rsidRPr="00FB5439" w:rsidRDefault="00E93F58" w:rsidP="00070F64">
            <w:pPr>
              <w:jc w:val="center"/>
              <w:rPr>
                <w:sz w:val="18"/>
              </w:rPr>
            </w:pPr>
          </w:p>
        </w:tc>
        <w:tc>
          <w:tcPr>
            <w:tcW w:w="833" w:type="pct"/>
          </w:tcPr>
          <w:p w14:paraId="2CC5100B" w14:textId="77777777" w:rsidR="00E93F58" w:rsidRPr="00FB5439" w:rsidRDefault="00E93F58" w:rsidP="00070F64">
            <w:pPr>
              <w:jc w:val="center"/>
              <w:rPr>
                <w:sz w:val="18"/>
              </w:rPr>
            </w:pPr>
          </w:p>
        </w:tc>
        <w:tc>
          <w:tcPr>
            <w:tcW w:w="833" w:type="pct"/>
          </w:tcPr>
          <w:p w14:paraId="1F054E0A" w14:textId="77777777" w:rsidR="00E93F58" w:rsidRPr="00FB5439" w:rsidRDefault="00E93F58" w:rsidP="00070F64">
            <w:pPr>
              <w:jc w:val="center"/>
              <w:rPr>
                <w:sz w:val="18"/>
              </w:rPr>
            </w:pPr>
          </w:p>
        </w:tc>
      </w:tr>
      <w:tr w:rsidR="00E93F58" w:rsidRPr="00FB5439" w14:paraId="2AFBD2CC" w14:textId="77777777" w:rsidTr="00B23434">
        <w:tc>
          <w:tcPr>
            <w:tcW w:w="834" w:type="pct"/>
          </w:tcPr>
          <w:p w14:paraId="05014C86" w14:textId="77777777" w:rsidR="00E93F58" w:rsidRPr="00FB5439" w:rsidRDefault="00E93F58" w:rsidP="00070F64">
            <w:pPr>
              <w:jc w:val="center"/>
              <w:rPr>
                <w:sz w:val="18"/>
              </w:rPr>
            </w:pPr>
          </w:p>
        </w:tc>
        <w:tc>
          <w:tcPr>
            <w:tcW w:w="834" w:type="pct"/>
          </w:tcPr>
          <w:p w14:paraId="1DE175EA" w14:textId="77777777" w:rsidR="00E93F58" w:rsidRPr="00FB5439" w:rsidRDefault="00E93F58" w:rsidP="00070F64">
            <w:pPr>
              <w:jc w:val="center"/>
              <w:rPr>
                <w:sz w:val="18"/>
              </w:rPr>
            </w:pPr>
          </w:p>
        </w:tc>
        <w:tc>
          <w:tcPr>
            <w:tcW w:w="834" w:type="pct"/>
          </w:tcPr>
          <w:p w14:paraId="6D75658D" w14:textId="77777777" w:rsidR="00E93F58" w:rsidRPr="00FB5439" w:rsidRDefault="00E93F58" w:rsidP="00070F64">
            <w:pPr>
              <w:jc w:val="center"/>
              <w:rPr>
                <w:sz w:val="18"/>
              </w:rPr>
            </w:pPr>
          </w:p>
        </w:tc>
        <w:tc>
          <w:tcPr>
            <w:tcW w:w="833" w:type="pct"/>
          </w:tcPr>
          <w:p w14:paraId="4BC5C05E" w14:textId="77777777" w:rsidR="00E93F58" w:rsidRPr="00FB5439" w:rsidRDefault="00E93F58" w:rsidP="00070F64">
            <w:pPr>
              <w:jc w:val="center"/>
              <w:rPr>
                <w:sz w:val="18"/>
              </w:rPr>
            </w:pPr>
          </w:p>
        </w:tc>
        <w:tc>
          <w:tcPr>
            <w:tcW w:w="833" w:type="pct"/>
          </w:tcPr>
          <w:p w14:paraId="7C71B095" w14:textId="77777777" w:rsidR="00E93F58" w:rsidRPr="00FB5439" w:rsidRDefault="00E93F58" w:rsidP="00070F64">
            <w:pPr>
              <w:jc w:val="center"/>
              <w:rPr>
                <w:sz w:val="18"/>
              </w:rPr>
            </w:pPr>
          </w:p>
        </w:tc>
        <w:tc>
          <w:tcPr>
            <w:tcW w:w="833" w:type="pct"/>
          </w:tcPr>
          <w:p w14:paraId="30904D8C" w14:textId="77777777" w:rsidR="00E93F58" w:rsidRPr="00FB5439" w:rsidRDefault="00E93F58" w:rsidP="00070F64">
            <w:pPr>
              <w:jc w:val="center"/>
              <w:rPr>
                <w:sz w:val="18"/>
              </w:rPr>
            </w:pPr>
          </w:p>
        </w:tc>
      </w:tr>
      <w:tr w:rsidR="00E93F58" w:rsidRPr="00FB5439" w14:paraId="09BC38DD" w14:textId="77777777" w:rsidTr="00B23434">
        <w:tc>
          <w:tcPr>
            <w:tcW w:w="834" w:type="pct"/>
            <w:tcBorders>
              <w:top w:val="single" w:sz="6" w:space="0" w:color="auto"/>
            </w:tcBorders>
          </w:tcPr>
          <w:p w14:paraId="19D294E8" w14:textId="77777777" w:rsidR="00E93F58" w:rsidRPr="00FB5439" w:rsidRDefault="00E93F58" w:rsidP="005C5BA1">
            <w:pPr>
              <w:rPr>
                <w:sz w:val="18"/>
              </w:rPr>
            </w:pPr>
          </w:p>
        </w:tc>
        <w:tc>
          <w:tcPr>
            <w:tcW w:w="834" w:type="pct"/>
            <w:tcBorders>
              <w:top w:val="single" w:sz="6" w:space="0" w:color="auto"/>
            </w:tcBorders>
          </w:tcPr>
          <w:p w14:paraId="3EA755FB" w14:textId="77777777" w:rsidR="00E93F58" w:rsidRPr="00FB5439" w:rsidRDefault="00E93F58" w:rsidP="005C5BA1">
            <w:pPr>
              <w:keepNext/>
              <w:keepLines/>
              <w:jc w:val="center"/>
              <w:rPr>
                <w:sz w:val="18"/>
              </w:rPr>
            </w:pPr>
          </w:p>
        </w:tc>
        <w:tc>
          <w:tcPr>
            <w:tcW w:w="834" w:type="pct"/>
            <w:tcBorders>
              <w:top w:val="single" w:sz="6" w:space="0" w:color="auto"/>
            </w:tcBorders>
          </w:tcPr>
          <w:p w14:paraId="349A65E3" w14:textId="77777777" w:rsidR="00E93F58" w:rsidRPr="00FB5439" w:rsidRDefault="00E93F58" w:rsidP="005C5BA1">
            <w:pPr>
              <w:keepNext/>
              <w:keepLines/>
              <w:jc w:val="center"/>
              <w:rPr>
                <w:sz w:val="18"/>
              </w:rPr>
            </w:pPr>
          </w:p>
        </w:tc>
        <w:tc>
          <w:tcPr>
            <w:tcW w:w="833" w:type="pct"/>
            <w:tcBorders>
              <w:top w:val="single" w:sz="6" w:space="0" w:color="auto"/>
            </w:tcBorders>
          </w:tcPr>
          <w:p w14:paraId="224377EE" w14:textId="77777777" w:rsidR="00E93F58" w:rsidRPr="00FB5439" w:rsidRDefault="00E93F58" w:rsidP="005C5BA1">
            <w:pPr>
              <w:keepNext/>
              <w:keepLines/>
              <w:jc w:val="center"/>
              <w:rPr>
                <w:sz w:val="18"/>
              </w:rPr>
            </w:pPr>
          </w:p>
        </w:tc>
        <w:tc>
          <w:tcPr>
            <w:tcW w:w="833" w:type="pct"/>
            <w:tcBorders>
              <w:top w:val="single" w:sz="6" w:space="0" w:color="auto"/>
            </w:tcBorders>
          </w:tcPr>
          <w:p w14:paraId="115C9D5C" w14:textId="77777777" w:rsidR="00E93F58" w:rsidRPr="00FB5439" w:rsidRDefault="00E93F58" w:rsidP="005C5BA1">
            <w:pPr>
              <w:keepNext/>
              <w:keepLines/>
              <w:jc w:val="center"/>
              <w:rPr>
                <w:sz w:val="18"/>
              </w:rPr>
            </w:pPr>
          </w:p>
        </w:tc>
        <w:tc>
          <w:tcPr>
            <w:tcW w:w="833" w:type="pct"/>
            <w:tcBorders>
              <w:top w:val="single" w:sz="6" w:space="0" w:color="auto"/>
            </w:tcBorders>
          </w:tcPr>
          <w:p w14:paraId="290D993B" w14:textId="77777777" w:rsidR="00E93F58" w:rsidRPr="00FB5439" w:rsidRDefault="00E93F58" w:rsidP="005C5BA1">
            <w:pPr>
              <w:keepNext/>
              <w:keepLines/>
              <w:jc w:val="center"/>
              <w:rPr>
                <w:sz w:val="18"/>
              </w:rPr>
            </w:pPr>
          </w:p>
        </w:tc>
      </w:tr>
      <w:tr w:rsidR="00E93F58" w:rsidRPr="00FB5439" w14:paraId="208E1A36" w14:textId="77777777" w:rsidTr="00B23434">
        <w:tc>
          <w:tcPr>
            <w:tcW w:w="834" w:type="pct"/>
          </w:tcPr>
          <w:p w14:paraId="14DE3441" w14:textId="77777777" w:rsidR="00E93F58" w:rsidRPr="00FB5439" w:rsidRDefault="00E93F58" w:rsidP="005C5BA1">
            <w:pPr>
              <w:keepNext/>
              <w:keepLines/>
            </w:pPr>
            <w:r w:rsidRPr="00FB5439">
              <w:t>Dated</w:t>
            </w:r>
          </w:p>
        </w:tc>
        <w:tc>
          <w:tcPr>
            <w:tcW w:w="834" w:type="pct"/>
          </w:tcPr>
          <w:p w14:paraId="2B875D68" w14:textId="77777777" w:rsidR="00E93F58" w:rsidRPr="00FB5439" w:rsidRDefault="00E93F58" w:rsidP="005C5BA1">
            <w:pPr>
              <w:keepNext/>
              <w:keepLines/>
              <w:jc w:val="center"/>
            </w:pPr>
          </w:p>
        </w:tc>
        <w:tc>
          <w:tcPr>
            <w:tcW w:w="834" w:type="pct"/>
          </w:tcPr>
          <w:p w14:paraId="031736AD" w14:textId="77777777" w:rsidR="00E93F58" w:rsidRPr="00FB5439" w:rsidRDefault="00E93F58" w:rsidP="005C5BA1">
            <w:pPr>
              <w:keepNext/>
              <w:keepLines/>
              <w:jc w:val="center"/>
            </w:pPr>
          </w:p>
        </w:tc>
        <w:tc>
          <w:tcPr>
            <w:tcW w:w="833" w:type="pct"/>
          </w:tcPr>
          <w:p w14:paraId="2C9940CC" w14:textId="77777777" w:rsidR="00E93F58" w:rsidRPr="00FB5439" w:rsidRDefault="00E93F58" w:rsidP="005C5BA1">
            <w:pPr>
              <w:keepNext/>
              <w:keepLines/>
              <w:jc w:val="center"/>
            </w:pPr>
          </w:p>
        </w:tc>
        <w:tc>
          <w:tcPr>
            <w:tcW w:w="833" w:type="pct"/>
          </w:tcPr>
          <w:p w14:paraId="0E57A390" w14:textId="77777777" w:rsidR="00E93F58" w:rsidRPr="00FB5439" w:rsidRDefault="00E93F58" w:rsidP="005C5BA1">
            <w:pPr>
              <w:keepNext/>
              <w:keepLines/>
              <w:jc w:val="center"/>
            </w:pPr>
          </w:p>
        </w:tc>
        <w:tc>
          <w:tcPr>
            <w:tcW w:w="833" w:type="pct"/>
          </w:tcPr>
          <w:p w14:paraId="532A8070" w14:textId="77777777" w:rsidR="00E93F58" w:rsidRPr="00FB5439" w:rsidRDefault="00E93F58" w:rsidP="005C5BA1">
            <w:pPr>
              <w:keepNext/>
              <w:keepLines/>
              <w:jc w:val="center"/>
            </w:pPr>
          </w:p>
        </w:tc>
      </w:tr>
      <w:tr w:rsidR="00E93F58" w:rsidRPr="00FB5439" w14:paraId="38F4B104" w14:textId="77777777" w:rsidTr="00B23434">
        <w:tc>
          <w:tcPr>
            <w:tcW w:w="834" w:type="pct"/>
          </w:tcPr>
          <w:p w14:paraId="06905513" w14:textId="77777777" w:rsidR="00E93F58" w:rsidRPr="00FB5439" w:rsidRDefault="00E93F58" w:rsidP="005C5BA1">
            <w:pPr>
              <w:keepNext/>
              <w:keepLines/>
            </w:pPr>
            <w:r w:rsidRPr="00FB5439">
              <w:t>Signature</w:t>
            </w:r>
          </w:p>
        </w:tc>
        <w:tc>
          <w:tcPr>
            <w:tcW w:w="834" w:type="pct"/>
          </w:tcPr>
          <w:p w14:paraId="6A1C6A01" w14:textId="77777777" w:rsidR="00E93F58" w:rsidRPr="00FB5439" w:rsidRDefault="00E93F58" w:rsidP="005C5BA1">
            <w:pPr>
              <w:keepNext/>
              <w:keepLines/>
              <w:jc w:val="center"/>
            </w:pPr>
          </w:p>
        </w:tc>
        <w:tc>
          <w:tcPr>
            <w:tcW w:w="834" w:type="pct"/>
          </w:tcPr>
          <w:p w14:paraId="5F1B99BA" w14:textId="77777777" w:rsidR="00E93F58" w:rsidRPr="00FB5439" w:rsidRDefault="00E93F58" w:rsidP="005C5BA1">
            <w:pPr>
              <w:keepNext/>
              <w:keepLines/>
              <w:jc w:val="center"/>
            </w:pPr>
          </w:p>
        </w:tc>
        <w:tc>
          <w:tcPr>
            <w:tcW w:w="833" w:type="pct"/>
          </w:tcPr>
          <w:p w14:paraId="40E56DF4" w14:textId="77777777" w:rsidR="00E93F58" w:rsidRPr="00FB5439" w:rsidRDefault="00E93F58" w:rsidP="005C5BA1">
            <w:pPr>
              <w:keepNext/>
              <w:keepLines/>
              <w:jc w:val="center"/>
            </w:pPr>
          </w:p>
        </w:tc>
        <w:tc>
          <w:tcPr>
            <w:tcW w:w="833" w:type="pct"/>
          </w:tcPr>
          <w:p w14:paraId="3CB80D5F" w14:textId="77777777" w:rsidR="00E93F58" w:rsidRPr="00FB5439" w:rsidRDefault="00E93F58" w:rsidP="005C5BA1">
            <w:pPr>
              <w:keepNext/>
              <w:keepLines/>
              <w:jc w:val="center"/>
            </w:pPr>
          </w:p>
        </w:tc>
        <w:tc>
          <w:tcPr>
            <w:tcW w:w="833" w:type="pct"/>
          </w:tcPr>
          <w:p w14:paraId="7BE5C648" w14:textId="77777777" w:rsidR="00E93F58" w:rsidRPr="00FB5439" w:rsidRDefault="00E93F58" w:rsidP="005C5BA1">
            <w:pPr>
              <w:keepNext/>
              <w:keepLines/>
              <w:jc w:val="center"/>
            </w:pPr>
          </w:p>
        </w:tc>
      </w:tr>
      <w:tr w:rsidR="00E93F58" w:rsidRPr="00FB5439" w14:paraId="33FC3EA5" w14:textId="77777777" w:rsidTr="00B23434">
        <w:tc>
          <w:tcPr>
            <w:tcW w:w="834" w:type="pct"/>
          </w:tcPr>
          <w:p w14:paraId="1E37BFD8" w14:textId="77777777" w:rsidR="00E93F58" w:rsidRPr="00FB5439" w:rsidRDefault="00E93F58" w:rsidP="005C5BA1">
            <w:pPr>
              <w:keepNext/>
              <w:keepLines/>
            </w:pPr>
          </w:p>
        </w:tc>
        <w:tc>
          <w:tcPr>
            <w:tcW w:w="834" w:type="pct"/>
          </w:tcPr>
          <w:p w14:paraId="5BC78FB1" w14:textId="77777777" w:rsidR="00E93F58" w:rsidRPr="00FB5439" w:rsidRDefault="00E93F58" w:rsidP="005C5BA1">
            <w:pPr>
              <w:keepNext/>
              <w:keepLines/>
              <w:jc w:val="center"/>
            </w:pPr>
          </w:p>
        </w:tc>
        <w:tc>
          <w:tcPr>
            <w:tcW w:w="834" w:type="pct"/>
          </w:tcPr>
          <w:p w14:paraId="11E06B6B" w14:textId="77777777" w:rsidR="00E93F58" w:rsidRPr="00FB5439" w:rsidRDefault="00E93F58" w:rsidP="005C5BA1">
            <w:pPr>
              <w:keepNext/>
              <w:keepLines/>
              <w:jc w:val="center"/>
            </w:pPr>
          </w:p>
        </w:tc>
        <w:tc>
          <w:tcPr>
            <w:tcW w:w="833" w:type="pct"/>
          </w:tcPr>
          <w:p w14:paraId="6985B3D9" w14:textId="77777777" w:rsidR="00E93F58" w:rsidRPr="00FB5439" w:rsidRDefault="00E93F58" w:rsidP="005C5BA1">
            <w:pPr>
              <w:keepNext/>
              <w:keepLines/>
              <w:jc w:val="center"/>
            </w:pPr>
          </w:p>
        </w:tc>
        <w:tc>
          <w:tcPr>
            <w:tcW w:w="833" w:type="pct"/>
          </w:tcPr>
          <w:p w14:paraId="49516CB7" w14:textId="77777777" w:rsidR="00E93F58" w:rsidRPr="00FB5439" w:rsidRDefault="00E93F58" w:rsidP="005C5BA1">
            <w:pPr>
              <w:keepNext/>
              <w:keepLines/>
              <w:jc w:val="center"/>
            </w:pPr>
          </w:p>
        </w:tc>
        <w:tc>
          <w:tcPr>
            <w:tcW w:w="833" w:type="pct"/>
          </w:tcPr>
          <w:p w14:paraId="53C47D00" w14:textId="77777777" w:rsidR="00E93F58" w:rsidRPr="00FB5439" w:rsidRDefault="00E93F58" w:rsidP="005C5BA1">
            <w:pPr>
              <w:keepNext/>
              <w:keepLines/>
              <w:jc w:val="center"/>
            </w:pPr>
          </w:p>
        </w:tc>
      </w:tr>
      <w:tr w:rsidR="00E93F58" w:rsidRPr="00FB5439" w14:paraId="6BF505B7" w14:textId="77777777" w:rsidTr="00B23434">
        <w:tc>
          <w:tcPr>
            <w:tcW w:w="834" w:type="pct"/>
            <w:tcBorders>
              <w:top w:val="single" w:sz="6" w:space="0" w:color="auto"/>
            </w:tcBorders>
          </w:tcPr>
          <w:p w14:paraId="6EFC0B04" w14:textId="77777777" w:rsidR="00E93F58" w:rsidRPr="00FB5439" w:rsidRDefault="00E93F58" w:rsidP="00070F64"/>
        </w:tc>
        <w:tc>
          <w:tcPr>
            <w:tcW w:w="834" w:type="pct"/>
            <w:tcBorders>
              <w:top w:val="single" w:sz="6" w:space="0" w:color="auto"/>
            </w:tcBorders>
          </w:tcPr>
          <w:p w14:paraId="563F98CE" w14:textId="77777777" w:rsidR="00E93F58" w:rsidRPr="00FB5439" w:rsidRDefault="00E93F58" w:rsidP="00070F64">
            <w:pPr>
              <w:jc w:val="center"/>
            </w:pPr>
          </w:p>
        </w:tc>
        <w:tc>
          <w:tcPr>
            <w:tcW w:w="834" w:type="pct"/>
            <w:tcBorders>
              <w:top w:val="single" w:sz="6" w:space="0" w:color="auto"/>
            </w:tcBorders>
          </w:tcPr>
          <w:p w14:paraId="60D5F685" w14:textId="77777777" w:rsidR="00E93F58" w:rsidRPr="00FB5439" w:rsidRDefault="00E93F58" w:rsidP="00070F64">
            <w:pPr>
              <w:jc w:val="center"/>
            </w:pPr>
          </w:p>
        </w:tc>
        <w:tc>
          <w:tcPr>
            <w:tcW w:w="833" w:type="pct"/>
            <w:tcBorders>
              <w:top w:val="single" w:sz="6" w:space="0" w:color="auto"/>
            </w:tcBorders>
          </w:tcPr>
          <w:p w14:paraId="0B5F2470" w14:textId="77777777" w:rsidR="00E93F58" w:rsidRPr="00FB5439" w:rsidRDefault="00E93F58" w:rsidP="00070F64">
            <w:pPr>
              <w:jc w:val="center"/>
            </w:pPr>
          </w:p>
        </w:tc>
        <w:tc>
          <w:tcPr>
            <w:tcW w:w="833" w:type="pct"/>
            <w:tcBorders>
              <w:top w:val="single" w:sz="6" w:space="0" w:color="auto"/>
            </w:tcBorders>
          </w:tcPr>
          <w:p w14:paraId="5C05812D" w14:textId="77777777" w:rsidR="00E93F58" w:rsidRPr="00FB5439" w:rsidRDefault="00E93F58" w:rsidP="00070F64">
            <w:pPr>
              <w:jc w:val="center"/>
            </w:pPr>
          </w:p>
        </w:tc>
        <w:tc>
          <w:tcPr>
            <w:tcW w:w="833" w:type="pct"/>
            <w:tcBorders>
              <w:top w:val="single" w:sz="6" w:space="0" w:color="auto"/>
            </w:tcBorders>
          </w:tcPr>
          <w:p w14:paraId="5A3986CB" w14:textId="77777777" w:rsidR="00E93F58" w:rsidRPr="00FB5439" w:rsidRDefault="00E93F58" w:rsidP="00070F64">
            <w:pPr>
              <w:jc w:val="center"/>
            </w:pPr>
          </w:p>
        </w:tc>
      </w:tr>
    </w:tbl>
    <w:p w14:paraId="31E933DE" w14:textId="77777777" w:rsidR="00E93F58" w:rsidRPr="00FB5439" w:rsidRDefault="00E93F58" w:rsidP="00070F64"/>
    <w:p w14:paraId="5A77A530" w14:textId="77777777" w:rsidR="00E93F58" w:rsidRPr="00FB5439" w:rsidRDefault="00E93F58" w:rsidP="00070F64">
      <w:pPr>
        <w:jc w:val="both"/>
      </w:pPr>
      <w:r w:rsidRPr="00FB5439">
        <w:rPr>
          <w:i/>
        </w:rPr>
        <w:t xml:space="preserve">Note:  </w:t>
      </w:r>
      <w:r w:rsidRPr="00FB5439">
        <w:t>In case of a claim for annual leave or long service leave, insert a description of the claim.</w:t>
      </w:r>
    </w:p>
    <w:p w14:paraId="3B08FE9A" w14:textId="77777777" w:rsidR="00E93F58" w:rsidRPr="00FB5439" w:rsidRDefault="00E93F58" w:rsidP="00A80D13">
      <w:pPr>
        <w:pStyle w:val="ActHead2"/>
        <w:pageBreakBefore/>
      </w:pPr>
      <w:bookmarkStart w:id="3194" w:name="_Toc151992782"/>
      <w:bookmarkStart w:id="3195" w:name="_Toc158713385"/>
      <w:r w:rsidRPr="00FB5439">
        <w:rPr>
          <w:rStyle w:val="CharPartNo"/>
        </w:rPr>
        <w:lastRenderedPageBreak/>
        <w:t>Form 537</w:t>
      </w:r>
      <w:bookmarkEnd w:id="3194"/>
      <w:bookmarkEnd w:id="3195"/>
      <w:r w:rsidRPr="00FB5439">
        <w:rPr>
          <w:rStyle w:val="CharPartText"/>
        </w:rPr>
        <w:t xml:space="preserve"> </w:t>
      </w:r>
      <w:r w:rsidRPr="00FB5439">
        <w:t xml:space="preserve"> </w:t>
      </w:r>
    </w:p>
    <w:p w14:paraId="631C1D74" w14:textId="77777777" w:rsidR="00E93F58" w:rsidRPr="00FB5439" w:rsidRDefault="00E93F58" w:rsidP="004C686D">
      <w:pPr>
        <w:pStyle w:val="notemargin"/>
      </w:pPr>
      <w:r w:rsidRPr="00FB5439">
        <w:t>(subregulation 5.6.54(1))</w:t>
      </w:r>
    </w:p>
    <w:p w14:paraId="48A2DE3B" w14:textId="77777777" w:rsidR="00E93F58" w:rsidRPr="00FB5439" w:rsidRDefault="00E93F58" w:rsidP="00070F64">
      <w:pPr>
        <w:keepLines/>
        <w:rPr>
          <w:sz w:val="18"/>
        </w:rPr>
      </w:pPr>
    </w:p>
    <w:p w14:paraId="2B345746" w14:textId="77777777" w:rsidR="00E93F58" w:rsidRPr="00FB5439" w:rsidRDefault="00E93F58" w:rsidP="00070F64">
      <w:pPr>
        <w:keepLines/>
      </w:pPr>
      <w:r w:rsidRPr="00FB5439">
        <w:t>A.C.N or A.R.B.N:</w:t>
      </w:r>
    </w:p>
    <w:p w14:paraId="1204EA1B" w14:textId="77777777" w:rsidR="00E93F58" w:rsidRPr="00FB5439" w:rsidRDefault="00E93F58" w:rsidP="00070F64">
      <w:pPr>
        <w:keepLines/>
      </w:pPr>
    </w:p>
    <w:p w14:paraId="6195C0D5" w14:textId="77777777" w:rsidR="00E93F58" w:rsidRPr="00FB5439" w:rsidRDefault="00E93F58" w:rsidP="00070F64">
      <w:pPr>
        <w:keepLines/>
      </w:pPr>
      <w:r w:rsidRPr="00FB5439">
        <w:rPr>
          <w:i/>
        </w:rPr>
        <w:t>Corporations Act 2001</w:t>
      </w:r>
    </w:p>
    <w:p w14:paraId="49139FF8" w14:textId="77777777" w:rsidR="00E93F58" w:rsidRPr="00FB5439" w:rsidRDefault="00E93F58" w:rsidP="00070F64">
      <w:pPr>
        <w:keepLines/>
        <w:spacing w:before="240" w:after="240"/>
        <w:rPr>
          <w:rFonts w:ascii="Arial" w:hAnsi="Arial" w:cs="Arial"/>
          <w:szCs w:val="22"/>
        </w:rPr>
      </w:pPr>
      <w:r w:rsidRPr="00FB5439">
        <w:rPr>
          <w:rFonts w:ascii="Arial" w:hAnsi="Arial" w:cs="Arial"/>
          <w:szCs w:val="22"/>
        </w:rPr>
        <w:t>NOTICE OF REJECTION OF FORMAL PROOF OF DEBT OR CLAIM</w:t>
      </w:r>
    </w:p>
    <w:p w14:paraId="10ECB8D9" w14:textId="77777777" w:rsidR="00E93F58" w:rsidRPr="00FB5439" w:rsidRDefault="00E93F58" w:rsidP="00070F64">
      <w:pPr>
        <w:keepLines/>
        <w:jc w:val="right"/>
      </w:pPr>
      <w:r w:rsidRPr="00FB5439">
        <w:t>Limited</w:t>
      </w:r>
    </w:p>
    <w:p w14:paraId="647C28CF" w14:textId="77777777" w:rsidR="00E93F58" w:rsidRPr="00FB5439" w:rsidRDefault="00E93F58" w:rsidP="00070F64">
      <w:pPr>
        <w:keepLines/>
        <w:jc w:val="both"/>
      </w:pPr>
    </w:p>
    <w:p w14:paraId="0A366E16" w14:textId="77777777" w:rsidR="00E93F58" w:rsidRPr="00FB5439" w:rsidRDefault="00E93F58" w:rsidP="00070F64">
      <w:pPr>
        <w:keepLines/>
        <w:jc w:val="both"/>
      </w:pPr>
      <w:r w:rsidRPr="00FB5439">
        <w:t>To</w:t>
      </w:r>
    </w:p>
    <w:p w14:paraId="6529F025" w14:textId="77777777" w:rsidR="00E93F58" w:rsidRPr="00FB5439" w:rsidRDefault="00E93F58" w:rsidP="00070F64">
      <w:pPr>
        <w:keepLines/>
        <w:jc w:val="both"/>
      </w:pPr>
      <w:r w:rsidRPr="00FB5439">
        <w:t>of</w:t>
      </w:r>
    </w:p>
    <w:p w14:paraId="14EEB773" w14:textId="77777777" w:rsidR="00E93F58" w:rsidRPr="00FB5439" w:rsidRDefault="00E93F58" w:rsidP="00070F64">
      <w:pPr>
        <w:keepLines/>
        <w:jc w:val="both"/>
      </w:pPr>
    </w:p>
    <w:p w14:paraId="250081DC" w14:textId="77777777" w:rsidR="00E93F58" w:rsidRPr="00FB5439" w:rsidRDefault="00E93F58" w:rsidP="00070F64">
      <w:pPr>
        <w:pStyle w:val="form1"/>
        <w:keepLines/>
        <w:jc w:val="both"/>
        <w:rPr>
          <w:sz w:val="24"/>
        </w:rPr>
      </w:pPr>
      <w:r w:rsidRPr="00FB5439">
        <w:rPr>
          <w:sz w:val="24"/>
        </w:rPr>
        <w:t>1.</w:t>
      </w:r>
      <w:r w:rsidRPr="00FB5439">
        <w:rPr>
          <w:sz w:val="24"/>
        </w:rPr>
        <w:tab/>
        <w:t>Your claim against the company set out in the formal proof of debt or claim of (</w:t>
      </w:r>
      <w:r w:rsidRPr="00FB5439">
        <w:rPr>
          <w:i/>
          <w:sz w:val="24"/>
        </w:rPr>
        <w:t xml:space="preserve">name of person submitting original proof of debt or claim) </w:t>
      </w:r>
      <w:r w:rsidRPr="00FB5439">
        <w:rPr>
          <w:sz w:val="24"/>
        </w:rPr>
        <w:t>made on</w:t>
      </w:r>
      <w:r w:rsidRPr="00FB5439">
        <w:rPr>
          <w:i/>
          <w:sz w:val="24"/>
        </w:rPr>
        <w:t xml:space="preserve"> (date</w:t>
      </w:r>
      <w:r w:rsidRPr="00FB5439">
        <w:rPr>
          <w:sz w:val="24"/>
        </w:rPr>
        <w:t xml:space="preserve">) has been </w:t>
      </w:r>
      <w:r w:rsidRPr="00A80D13">
        <w:rPr>
          <w:position w:val="6"/>
          <w:sz w:val="16"/>
        </w:rPr>
        <w:t>*</w:t>
      </w:r>
      <w:r w:rsidRPr="00FB5439">
        <w:rPr>
          <w:sz w:val="24"/>
        </w:rPr>
        <w:t>wholly disallowed/</w:t>
      </w:r>
      <w:r w:rsidRPr="00A80D13">
        <w:rPr>
          <w:position w:val="6"/>
          <w:sz w:val="16"/>
        </w:rPr>
        <w:t>*</w:t>
      </w:r>
      <w:r w:rsidRPr="00FB5439">
        <w:rPr>
          <w:sz w:val="24"/>
        </w:rPr>
        <w:t>disallowed to the extent of (</w:t>
      </w:r>
      <w:r w:rsidRPr="00FB5439">
        <w:rPr>
          <w:i/>
          <w:sz w:val="24"/>
        </w:rPr>
        <w:t>particulars of part of claim disallowed</w:t>
      </w:r>
      <w:r w:rsidRPr="00FB5439">
        <w:rPr>
          <w:sz w:val="24"/>
        </w:rPr>
        <w:t>)/</w:t>
      </w:r>
      <w:r w:rsidRPr="00A80D13">
        <w:rPr>
          <w:position w:val="6"/>
          <w:sz w:val="16"/>
        </w:rPr>
        <w:t>*</w:t>
      </w:r>
      <w:r w:rsidRPr="00FB5439">
        <w:rPr>
          <w:sz w:val="24"/>
        </w:rPr>
        <w:t>allowed in the sum of $</w:t>
      </w:r>
      <w:r w:rsidRPr="00FB5439">
        <w:rPr>
          <w:sz w:val="24"/>
        </w:rPr>
        <w:tab/>
        <w:t>/</w:t>
      </w:r>
      <w:r w:rsidRPr="00A80D13">
        <w:rPr>
          <w:position w:val="6"/>
          <w:sz w:val="16"/>
        </w:rPr>
        <w:t>*</w:t>
      </w:r>
      <w:r w:rsidRPr="00FB5439">
        <w:rPr>
          <w:sz w:val="24"/>
        </w:rPr>
        <w:t>allowed to the extent of your claim for (</w:t>
      </w:r>
      <w:r w:rsidRPr="00FB5439">
        <w:rPr>
          <w:i/>
          <w:sz w:val="24"/>
        </w:rPr>
        <w:t>particulars of part of claim allowed</w:t>
      </w:r>
      <w:r w:rsidRPr="00FB5439">
        <w:rPr>
          <w:sz w:val="24"/>
        </w:rPr>
        <w:t>).</w:t>
      </w:r>
    </w:p>
    <w:p w14:paraId="1F82888D" w14:textId="77777777" w:rsidR="00E93F58" w:rsidRPr="00FB5439" w:rsidRDefault="00E93F58" w:rsidP="00070F64">
      <w:pPr>
        <w:pStyle w:val="form1"/>
        <w:keepLines/>
        <w:jc w:val="both"/>
        <w:rPr>
          <w:sz w:val="24"/>
        </w:rPr>
      </w:pPr>
    </w:p>
    <w:p w14:paraId="6DBD4277" w14:textId="77777777" w:rsidR="00E93F58" w:rsidRPr="00FB5439" w:rsidRDefault="00E93F58" w:rsidP="00070F64">
      <w:pPr>
        <w:pStyle w:val="form1"/>
        <w:jc w:val="both"/>
        <w:rPr>
          <w:sz w:val="24"/>
        </w:rPr>
      </w:pPr>
      <w:r w:rsidRPr="00FB5439">
        <w:rPr>
          <w:sz w:val="24"/>
        </w:rPr>
        <w:t>2.</w:t>
      </w:r>
      <w:r w:rsidRPr="00FB5439">
        <w:rPr>
          <w:sz w:val="24"/>
        </w:rPr>
        <w:tab/>
        <w:t>My grounds for disallowance of (</w:t>
      </w:r>
      <w:r w:rsidRPr="00FB5439">
        <w:rPr>
          <w:i/>
          <w:sz w:val="24"/>
        </w:rPr>
        <w:t>particulars of part of claim referred to</w:t>
      </w:r>
      <w:r w:rsidRPr="00FB5439">
        <w:rPr>
          <w:sz w:val="24"/>
        </w:rPr>
        <w:t>) are as follows:</w:t>
      </w:r>
    </w:p>
    <w:p w14:paraId="10ABC6BF" w14:textId="77777777" w:rsidR="00E93F58" w:rsidRPr="00FB5439" w:rsidRDefault="00E93F58" w:rsidP="00070F64">
      <w:pPr>
        <w:pStyle w:val="form1"/>
        <w:jc w:val="both"/>
        <w:rPr>
          <w:sz w:val="24"/>
        </w:rPr>
      </w:pPr>
    </w:p>
    <w:p w14:paraId="28F43613" w14:textId="77777777" w:rsidR="00E93F58" w:rsidRPr="00FB5439" w:rsidRDefault="00E93F58" w:rsidP="00070F64">
      <w:pPr>
        <w:pStyle w:val="form1"/>
        <w:jc w:val="both"/>
        <w:rPr>
          <w:sz w:val="24"/>
        </w:rPr>
      </w:pPr>
      <w:r w:rsidRPr="00FB5439">
        <w:rPr>
          <w:sz w:val="24"/>
        </w:rPr>
        <w:t>3.</w:t>
      </w:r>
      <w:r w:rsidRPr="00FB5439">
        <w:rPr>
          <w:sz w:val="24"/>
        </w:rPr>
        <w:tab/>
        <w:t>If you are dissatisfied with my determination as set out above, you may appeal against it, no later than (</w:t>
      </w:r>
      <w:r w:rsidRPr="00FB5439">
        <w:rPr>
          <w:i/>
          <w:sz w:val="24"/>
        </w:rPr>
        <w:t>number of days, being not less than 14</w:t>
      </w:r>
      <w:r w:rsidRPr="00FB5439">
        <w:rPr>
          <w:sz w:val="24"/>
        </w:rPr>
        <w:t xml:space="preserve">) days after the service of this notice or, if the Court allows, within any further period, to the </w:t>
      </w:r>
      <w:r w:rsidRPr="00A80D13">
        <w:rPr>
          <w:position w:val="6"/>
          <w:sz w:val="16"/>
        </w:rPr>
        <w:t>*</w:t>
      </w:r>
      <w:r w:rsidRPr="00FB5439">
        <w:rPr>
          <w:sz w:val="24"/>
        </w:rPr>
        <w:t>Federal Court of Australia/</w:t>
      </w:r>
      <w:r w:rsidRPr="00A80D13">
        <w:rPr>
          <w:position w:val="6"/>
          <w:sz w:val="16"/>
        </w:rPr>
        <w:t>*</w:t>
      </w:r>
      <w:r w:rsidRPr="00FB5439">
        <w:rPr>
          <w:sz w:val="24"/>
        </w:rPr>
        <w:t>the Supreme court of (</w:t>
      </w:r>
      <w:r w:rsidRPr="00FB5439">
        <w:rPr>
          <w:i/>
          <w:sz w:val="24"/>
        </w:rPr>
        <w:t>State or Territory</w:t>
      </w:r>
      <w:r w:rsidRPr="00FB5439">
        <w:rPr>
          <w:sz w:val="24"/>
        </w:rPr>
        <w:t>).  If you do not do so, your claim will be assessed in accordance with this determination.</w:t>
      </w:r>
    </w:p>
    <w:p w14:paraId="3BCB4295" w14:textId="77777777" w:rsidR="00E93F58" w:rsidRPr="00FB5439" w:rsidRDefault="00E93F58" w:rsidP="00070F64">
      <w:pPr>
        <w:jc w:val="both"/>
        <w:rPr>
          <w:sz w:val="18"/>
          <w:szCs w:val="18"/>
        </w:rPr>
      </w:pPr>
    </w:p>
    <w:p w14:paraId="7FC61322" w14:textId="77777777" w:rsidR="00E93F58" w:rsidRPr="00FB5439" w:rsidRDefault="00E93F58" w:rsidP="00070F64">
      <w:pPr>
        <w:jc w:val="both"/>
      </w:pPr>
      <w:r w:rsidRPr="00FB5439">
        <w:t>Dated</w:t>
      </w:r>
    </w:p>
    <w:p w14:paraId="6CD90AB7" w14:textId="77777777" w:rsidR="00E93F58" w:rsidRPr="00FB5439" w:rsidRDefault="00E93F58" w:rsidP="00070F64">
      <w:pPr>
        <w:jc w:val="both"/>
        <w:rPr>
          <w:sz w:val="18"/>
          <w:szCs w:val="18"/>
        </w:rPr>
      </w:pPr>
    </w:p>
    <w:p w14:paraId="5D7D08FD" w14:textId="77777777" w:rsidR="00E93F58" w:rsidRPr="00FB5439" w:rsidRDefault="00E93F58" w:rsidP="00070F64">
      <w:pPr>
        <w:jc w:val="both"/>
      </w:pPr>
      <w:r w:rsidRPr="00FB5439">
        <w:t>Signature of liquidator</w:t>
      </w:r>
    </w:p>
    <w:p w14:paraId="20CEAB27" w14:textId="77777777" w:rsidR="00E93F58" w:rsidRPr="00FB5439" w:rsidRDefault="00E93F58" w:rsidP="00070F64">
      <w:pPr>
        <w:jc w:val="both"/>
        <w:rPr>
          <w:sz w:val="18"/>
          <w:szCs w:val="18"/>
        </w:rPr>
      </w:pPr>
    </w:p>
    <w:p w14:paraId="3388B775" w14:textId="77777777" w:rsidR="00E93F58" w:rsidRPr="00FB5439" w:rsidRDefault="00E93F58" w:rsidP="00070F64">
      <w:pPr>
        <w:jc w:val="both"/>
      </w:pPr>
      <w:r w:rsidRPr="00FB5439">
        <w:t>Address</w:t>
      </w:r>
    </w:p>
    <w:p w14:paraId="1EF2D780" w14:textId="77777777" w:rsidR="00E93F58" w:rsidRPr="00FB5439" w:rsidRDefault="00E93F58" w:rsidP="00070F64">
      <w:pPr>
        <w:jc w:val="both"/>
        <w:rPr>
          <w:sz w:val="18"/>
          <w:szCs w:val="18"/>
        </w:rPr>
      </w:pPr>
    </w:p>
    <w:p w14:paraId="654214BA" w14:textId="77777777" w:rsidR="00E93F58" w:rsidRPr="00FB5439" w:rsidRDefault="00E93F58" w:rsidP="00070F64">
      <w:pPr>
        <w:jc w:val="both"/>
        <w:rPr>
          <w:sz w:val="18"/>
        </w:rPr>
      </w:pPr>
      <w:r w:rsidRPr="00A80D13">
        <w:rPr>
          <w:position w:val="6"/>
          <w:sz w:val="16"/>
        </w:rPr>
        <w:t>*</w:t>
      </w:r>
      <w:r w:rsidRPr="00FB5439">
        <w:t xml:space="preserve"> Omit if inapplicable</w:t>
      </w:r>
    </w:p>
    <w:p w14:paraId="33220B7F" w14:textId="77777777" w:rsidR="00E93F58" w:rsidRPr="00FB5439" w:rsidRDefault="00E93F58" w:rsidP="00A80D13">
      <w:pPr>
        <w:pStyle w:val="ActHead2"/>
        <w:pageBreakBefore/>
      </w:pPr>
      <w:bookmarkStart w:id="3196" w:name="_Toc151992783"/>
      <w:bookmarkStart w:id="3197" w:name="_Toc158713386"/>
      <w:r w:rsidRPr="00FB5439">
        <w:rPr>
          <w:rStyle w:val="CharPartNo"/>
        </w:rPr>
        <w:lastRenderedPageBreak/>
        <w:t>Form 538</w:t>
      </w:r>
      <w:bookmarkEnd w:id="3196"/>
      <w:bookmarkEnd w:id="3197"/>
      <w:r w:rsidRPr="00FB5439">
        <w:rPr>
          <w:rStyle w:val="CharPartText"/>
        </w:rPr>
        <w:t xml:space="preserve"> </w:t>
      </w:r>
      <w:r w:rsidRPr="00FB5439">
        <w:t xml:space="preserve"> </w:t>
      </w:r>
    </w:p>
    <w:p w14:paraId="3C1FDE81" w14:textId="77777777" w:rsidR="00E93F58" w:rsidRPr="00FB5439" w:rsidRDefault="00E93F58" w:rsidP="004C686D">
      <w:pPr>
        <w:pStyle w:val="notemargin"/>
      </w:pPr>
      <w:r w:rsidRPr="00FB5439">
        <w:t>(regulation 5.6.58)</w:t>
      </w:r>
    </w:p>
    <w:p w14:paraId="2DA7CCC3" w14:textId="77777777" w:rsidR="00E93F58" w:rsidRPr="00FB5439" w:rsidRDefault="00E93F58" w:rsidP="00070F64">
      <w:pPr>
        <w:rPr>
          <w:sz w:val="18"/>
        </w:rPr>
      </w:pPr>
    </w:p>
    <w:p w14:paraId="19671CC6" w14:textId="77777777" w:rsidR="00E93F58" w:rsidRPr="00FB5439" w:rsidRDefault="00E93F58" w:rsidP="00070F64">
      <w:r w:rsidRPr="00FB5439">
        <w:t>A.C.N or A.R.B.N:</w:t>
      </w:r>
    </w:p>
    <w:p w14:paraId="23C799CB" w14:textId="77777777" w:rsidR="00E93F58" w:rsidRPr="00FB5439" w:rsidRDefault="00E93F58" w:rsidP="00070F64"/>
    <w:p w14:paraId="3B63CDA0" w14:textId="77777777" w:rsidR="00E93F58" w:rsidRPr="00FB5439" w:rsidRDefault="00E93F58" w:rsidP="00070F64">
      <w:pPr>
        <w:rPr>
          <w:i/>
        </w:rPr>
      </w:pPr>
      <w:r w:rsidRPr="00FB5439">
        <w:rPr>
          <w:i/>
        </w:rPr>
        <w:t>Corporations Act 2001</w:t>
      </w:r>
    </w:p>
    <w:p w14:paraId="7ED43489" w14:textId="77777777" w:rsidR="00E93F58" w:rsidRPr="00FB5439" w:rsidRDefault="00E93F58" w:rsidP="00070F64">
      <w:pPr>
        <w:spacing w:before="240" w:after="240"/>
        <w:rPr>
          <w:rFonts w:ascii="Arial" w:hAnsi="Arial" w:cs="Arial"/>
          <w:szCs w:val="22"/>
        </w:rPr>
      </w:pPr>
      <w:r w:rsidRPr="00FB5439">
        <w:rPr>
          <w:rFonts w:ascii="Arial" w:hAnsi="Arial" w:cs="Arial"/>
          <w:szCs w:val="22"/>
        </w:rPr>
        <w:t>PROVISIONAL LIST OF CONTRIBUTORIES</w:t>
      </w:r>
    </w:p>
    <w:p w14:paraId="2DF05B90" w14:textId="77777777" w:rsidR="00E93F58" w:rsidRPr="00FB5439" w:rsidRDefault="00E93F58" w:rsidP="00070F64">
      <w:pPr>
        <w:jc w:val="right"/>
      </w:pPr>
      <w:r w:rsidRPr="00FB5439">
        <w:t>Limited</w:t>
      </w:r>
    </w:p>
    <w:p w14:paraId="78F57D73" w14:textId="77777777" w:rsidR="00E93F58" w:rsidRPr="00FB5439" w:rsidRDefault="00E93F58" w:rsidP="00070F64">
      <w:pPr>
        <w:jc w:val="both"/>
      </w:pPr>
    </w:p>
    <w:p w14:paraId="7CDA9252" w14:textId="77777777" w:rsidR="00E93F58" w:rsidRPr="00FB5439" w:rsidRDefault="00E93F58" w:rsidP="00070F64">
      <w:pPr>
        <w:jc w:val="both"/>
      </w:pPr>
      <w:r w:rsidRPr="00FB5439">
        <w:t>The following is a provisional list of persons to be placed on the list of contributories that I have made from the records of the company, together with the number of their shares or the extent of their interest, their address and other participants:</w:t>
      </w:r>
    </w:p>
    <w:p w14:paraId="682C4335" w14:textId="77777777" w:rsidR="00E93F58" w:rsidRPr="00FB5439" w:rsidRDefault="00E93F58" w:rsidP="00070F64">
      <w:pPr>
        <w:rPr>
          <w:sz w:val="18"/>
        </w:rPr>
      </w:pPr>
    </w:p>
    <w:p w14:paraId="051B25FE" w14:textId="77777777" w:rsidR="00E93F58" w:rsidRPr="00FB5439" w:rsidRDefault="00E93F58" w:rsidP="00070F64">
      <w:pPr>
        <w:pBdr>
          <w:top w:val="single" w:sz="6" w:space="1" w:color="auto"/>
        </w:pBdr>
      </w:pPr>
    </w:p>
    <w:p w14:paraId="7D8D3DAA" w14:textId="77777777" w:rsidR="00E93F58" w:rsidRPr="00FB5439" w:rsidRDefault="00E93F58" w:rsidP="00070F64">
      <w:pPr>
        <w:pBdr>
          <w:top w:val="single" w:sz="6" w:space="1" w:color="auto"/>
        </w:pBdr>
        <w:jc w:val="center"/>
        <w:rPr>
          <w:b/>
        </w:rPr>
      </w:pPr>
      <w:r>
        <w:rPr>
          <w:b/>
        </w:rPr>
        <w:t>PART 1</w:t>
      </w:r>
    </w:p>
    <w:p w14:paraId="2E838C09" w14:textId="77777777" w:rsidR="00E93F58" w:rsidRPr="00FB5439" w:rsidRDefault="00E93F58" w:rsidP="00070F64">
      <w:pPr>
        <w:pBdr>
          <w:top w:val="single" w:sz="6" w:space="1" w:color="auto"/>
        </w:pBdr>
        <w:spacing w:before="120"/>
        <w:jc w:val="center"/>
        <w:rPr>
          <w:b/>
        </w:rPr>
      </w:pPr>
      <w:r w:rsidRPr="00FB5439">
        <w:rPr>
          <w:b/>
        </w:rPr>
        <w:t xml:space="preserve">PERSONS WHO ARE CONTRIBUTORIES </w:t>
      </w:r>
      <w:r w:rsidRPr="00FB5439">
        <w:rPr>
          <w:b/>
        </w:rPr>
        <w:br/>
        <w:t>IN THEIR OWN RIGHT</w:t>
      </w:r>
    </w:p>
    <w:p w14:paraId="079FF0B1" w14:textId="77777777" w:rsidR="00E93F58" w:rsidRPr="00FB5439" w:rsidRDefault="00E93F58" w:rsidP="00070F64">
      <w:pPr>
        <w:pBdr>
          <w:top w:val="single" w:sz="6" w:space="1" w:color="auto"/>
        </w:pBdr>
        <w:jc w:val="center"/>
        <w:rPr>
          <w:sz w:val="18"/>
        </w:rPr>
      </w:pPr>
    </w:p>
    <w:tbl>
      <w:tblPr>
        <w:tblW w:w="5000" w:type="pct"/>
        <w:tblLook w:val="0000" w:firstRow="0" w:lastRow="0" w:firstColumn="0" w:lastColumn="0" w:noHBand="0" w:noVBand="0"/>
      </w:tblPr>
      <w:tblGrid>
        <w:gridCol w:w="1344"/>
        <w:gridCol w:w="1191"/>
        <w:gridCol w:w="1269"/>
        <w:gridCol w:w="1584"/>
        <w:gridCol w:w="1344"/>
        <w:gridCol w:w="1347"/>
        <w:gridCol w:w="1347"/>
        <w:gridCol w:w="1347"/>
      </w:tblGrid>
      <w:tr w:rsidR="00E93F58" w:rsidRPr="00FB5439" w14:paraId="4DECF774" w14:textId="77777777" w:rsidTr="00B23434">
        <w:tc>
          <w:tcPr>
            <w:tcW w:w="624" w:type="pct"/>
            <w:tcBorders>
              <w:top w:val="single" w:sz="6" w:space="0" w:color="auto"/>
              <w:bottom w:val="single" w:sz="6" w:space="0" w:color="auto"/>
            </w:tcBorders>
          </w:tcPr>
          <w:p w14:paraId="1DE16B5A" w14:textId="77777777" w:rsidR="00E93F58" w:rsidRPr="00FB5439" w:rsidRDefault="00E93F58" w:rsidP="00070F64">
            <w:pPr>
              <w:rPr>
                <w:b/>
                <w:sz w:val="18"/>
              </w:rPr>
            </w:pPr>
            <w:r w:rsidRPr="00FB5439">
              <w:rPr>
                <w:b/>
                <w:sz w:val="18"/>
              </w:rPr>
              <w:t>Serial</w:t>
            </w:r>
          </w:p>
          <w:p w14:paraId="6BE0263F" w14:textId="77777777" w:rsidR="00E93F58" w:rsidRPr="00FB5439" w:rsidRDefault="00E93F58" w:rsidP="00070F64">
            <w:pPr>
              <w:rPr>
                <w:b/>
                <w:sz w:val="18"/>
              </w:rPr>
            </w:pPr>
            <w:r w:rsidRPr="00FB5439">
              <w:rPr>
                <w:b/>
                <w:sz w:val="18"/>
              </w:rPr>
              <w:t>No.</w:t>
            </w:r>
          </w:p>
        </w:tc>
        <w:tc>
          <w:tcPr>
            <w:tcW w:w="553" w:type="pct"/>
            <w:tcBorders>
              <w:top w:val="single" w:sz="6" w:space="0" w:color="auto"/>
              <w:bottom w:val="single" w:sz="6" w:space="0" w:color="auto"/>
            </w:tcBorders>
          </w:tcPr>
          <w:p w14:paraId="112834D4" w14:textId="77777777" w:rsidR="00E93F58" w:rsidRPr="00FB5439" w:rsidRDefault="00E93F58" w:rsidP="00070F64">
            <w:pPr>
              <w:rPr>
                <w:b/>
                <w:sz w:val="18"/>
              </w:rPr>
            </w:pPr>
            <w:r w:rsidRPr="00FB5439">
              <w:rPr>
                <w:b/>
                <w:sz w:val="18"/>
              </w:rPr>
              <w:t>Name</w:t>
            </w:r>
          </w:p>
        </w:tc>
        <w:tc>
          <w:tcPr>
            <w:tcW w:w="589" w:type="pct"/>
            <w:tcBorders>
              <w:top w:val="single" w:sz="6" w:space="0" w:color="auto"/>
              <w:bottom w:val="single" w:sz="6" w:space="0" w:color="auto"/>
            </w:tcBorders>
          </w:tcPr>
          <w:p w14:paraId="4E7F58E5" w14:textId="77777777" w:rsidR="00E93F58" w:rsidRPr="00FB5439" w:rsidRDefault="00E93F58" w:rsidP="00070F64">
            <w:pPr>
              <w:rPr>
                <w:b/>
                <w:sz w:val="18"/>
              </w:rPr>
            </w:pPr>
            <w:r w:rsidRPr="00FB5439">
              <w:rPr>
                <w:b/>
                <w:sz w:val="18"/>
              </w:rPr>
              <w:t>Address</w:t>
            </w:r>
          </w:p>
        </w:tc>
        <w:tc>
          <w:tcPr>
            <w:tcW w:w="735" w:type="pct"/>
            <w:tcBorders>
              <w:top w:val="single" w:sz="6" w:space="0" w:color="auto"/>
              <w:bottom w:val="single" w:sz="6" w:space="0" w:color="auto"/>
            </w:tcBorders>
          </w:tcPr>
          <w:p w14:paraId="068225A8" w14:textId="77777777" w:rsidR="00E93F58" w:rsidRPr="00FB5439" w:rsidRDefault="00E93F58" w:rsidP="00070F64">
            <w:pPr>
              <w:ind w:left="-108" w:right="-37"/>
              <w:rPr>
                <w:b/>
                <w:sz w:val="18"/>
              </w:rPr>
            </w:pPr>
            <w:r w:rsidRPr="00FB5439">
              <w:rPr>
                <w:b/>
                <w:sz w:val="18"/>
              </w:rPr>
              <w:t>Description of class of contributory</w:t>
            </w:r>
          </w:p>
        </w:tc>
        <w:tc>
          <w:tcPr>
            <w:tcW w:w="624" w:type="pct"/>
            <w:tcBorders>
              <w:top w:val="single" w:sz="6" w:space="0" w:color="auto"/>
              <w:bottom w:val="single" w:sz="6" w:space="0" w:color="auto"/>
            </w:tcBorders>
          </w:tcPr>
          <w:p w14:paraId="49EB570D" w14:textId="77777777" w:rsidR="00E93F58" w:rsidRPr="00FB5439" w:rsidRDefault="00E93F58" w:rsidP="00070F64">
            <w:pPr>
              <w:rPr>
                <w:b/>
                <w:sz w:val="18"/>
              </w:rPr>
            </w:pPr>
            <w:r w:rsidRPr="00FB5439">
              <w:rPr>
                <w:b/>
                <w:sz w:val="18"/>
              </w:rPr>
              <w:t>Number</w:t>
            </w:r>
          </w:p>
          <w:p w14:paraId="64777054" w14:textId="77777777" w:rsidR="00E93F58" w:rsidRPr="00FB5439" w:rsidRDefault="00E93F58" w:rsidP="00070F64">
            <w:pPr>
              <w:rPr>
                <w:b/>
                <w:sz w:val="18"/>
              </w:rPr>
            </w:pPr>
            <w:r w:rsidRPr="00FB5439">
              <w:rPr>
                <w:b/>
                <w:sz w:val="18"/>
              </w:rPr>
              <w:t>of shares (or extent of interest)</w:t>
            </w:r>
          </w:p>
        </w:tc>
        <w:tc>
          <w:tcPr>
            <w:tcW w:w="625" w:type="pct"/>
            <w:tcBorders>
              <w:top w:val="single" w:sz="6" w:space="0" w:color="auto"/>
              <w:bottom w:val="single" w:sz="6" w:space="0" w:color="auto"/>
            </w:tcBorders>
          </w:tcPr>
          <w:p w14:paraId="551D21DA" w14:textId="77777777" w:rsidR="00E93F58" w:rsidRPr="00FB5439" w:rsidRDefault="00E93F58" w:rsidP="00070F64">
            <w:pPr>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14:paraId="59A89225" w14:textId="77777777" w:rsidR="00E93F58" w:rsidRPr="00FB5439" w:rsidRDefault="00E93F58" w:rsidP="00070F64">
            <w:pPr>
              <w:rPr>
                <w:b/>
                <w:sz w:val="18"/>
              </w:rPr>
            </w:pPr>
            <w:r w:rsidRPr="00FB5439">
              <w:rPr>
                <w:b/>
                <w:sz w:val="18"/>
              </w:rPr>
              <w:t>Amount</w:t>
            </w:r>
          </w:p>
          <w:p w14:paraId="32FB6923" w14:textId="77777777" w:rsidR="00E93F58" w:rsidRPr="00FB5439" w:rsidRDefault="00E93F58" w:rsidP="00070F64">
            <w:pPr>
              <w:rPr>
                <w:b/>
                <w:sz w:val="18"/>
              </w:rPr>
            </w:pPr>
            <w:r w:rsidRPr="00FB5439">
              <w:rPr>
                <w:b/>
                <w:sz w:val="18"/>
              </w:rPr>
              <w:t>paid up at date of start of winding up</w:t>
            </w:r>
          </w:p>
        </w:tc>
        <w:tc>
          <w:tcPr>
            <w:tcW w:w="625" w:type="pct"/>
            <w:tcBorders>
              <w:top w:val="single" w:sz="6" w:space="0" w:color="auto"/>
              <w:bottom w:val="single" w:sz="6" w:space="0" w:color="auto"/>
            </w:tcBorders>
          </w:tcPr>
          <w:p w14:paraId="71FD396E" w14:textId="77777777" w:rsidR="00E93F58" w:rsidRPr="00FB5439" w:rsidRDefault="00E93F58" w:rsidP="00070F64">
            <w:pPr>
              <w:rPr>
                <w:b/>
                <w:sz w:val="18"/>
              </w:rPr>
            </w:pPr>
            <w:r w:rsidRPr="00FB5439">
              <w:rPr>
                <w:b/>
                <w:sz w:val="18"/>
              </w:rPr>
              <w:t>Amount</w:t>
            </w:r>
          </w:p>
          <w:p w14:paraId="1A912960" w14:textId="77777777" w:rsidR="00E93F58" w:rsidRPr="00FB5439" w:rsidRDefault="00E93F58" w:rsidP="00070F64">
            <w:pPr>
              <w:rPr>
                <w:b/>
                <w:sz w:val="18"/>
              </w:rPr>
            </w:pPr>
            <w:r w:rsidRPr="00FB5439">
              <w:rPr>
                <w:b/>
                <w:sz w:val="18"/>
              </w:rPr>
              <w:t>not called up at date of start of winding up</w:t>
            </w:r>
          </w:p>
        </w:tc>
      </w:tr>
      <w:tr w:rsidR="00E93F58" w:rsidRPr="00FB5439" w14:paraId="01CAF6E7" w14:textId="77777777" w:rsidTr="00B23434">
        <w:tc>
          <w:tcPr>
            <w:tcW w:w="624" w:type="pct"/>
          </w:tcPr>
          <w:p w14:paraId="16DE0418" w14:textId="77777777" w:rsidR="00E93F58" w:rsidRPr="00FB5439" w:rsidRDefault="00E93F58" w:rsidP="00070F64">
            <w:pPr>
              <w:rPr>
                <w:sz w:val="16"/>
              </w:rPr>
            </w:pPr>
          </w:p>
        </w:tc>
        <w:tc>
          <w:tcPr>
            <w:tcW w:w="553" w:type="pct"/>
          </w:tcPr>
          <w:p w14:paraId="5E4FD639" w14:textId="77777777" w:rsidR="00E93F58" w:rsidRPr="00FB5439" w:rsidRDefault="00E93F58" w:rsidP="00070F64">
            <w:pPr>
              <w:rPr>
                <w:sz w:val="16"/>
              </w:rPr>
            </w:pPr>
          </w:p>
        </w:tc>
        <w:tc>
          <w:tcPr>
            <w:tcW w:w="589" w:type="pct"/>
          </w:tcPr>
          <w:p w14:paraId="37DA29D1" w14:textId="77777777" w:rsidR="00E93F58" w:rsidRPr="00FB5439" w:rsidRDefault="00E93F58" w:rsidP="00070F64">
            <w:pPr>
              <w:rPr>
                <w:sz w:val="16"/>
              </w:rPr>
            </w:pPr>
          </w:p>
        </w:tc>
        <w:tc>
          <w:tcPr>
            <w:tcW w:w="735" w:type="pct"/>
          </w:tcPr>
          <w:p w14:paraId="4782F9FD" w14:textId="77777777" w:rsidR="00E93F58" w:rsidRPr="00FB5439" w:rsidRDefault="00E93F58" w:rsidP="00070F64">
            <w:pPr>
              <w:rPr>
                <w:sz w:val="16"/>
              </w:rPr>
            </w:pPr>
          </w:p>
        </w:tc>
        <w:tc>
          <w:tcPr>
            <w:tcW w:w="624" w:type="pct"/>
          </w:tcPr>
          <w:p w14:paraId="06BD2832" w14:textId="77777777" w:rsidR="00E93F58" w:rsidRPr="00FB5439" w:rsidRDefault="00E93F58" w:rsidP="00070F64">
            <w:pPr>
              <w:rPr>
                <w:sz w:val="16"/>
              </w:rPr>
            </w:pPr>
          </w:p>
        </w:tc>
        <w:tc>
          <w:tcPr>
            <w:tcW w:w="625" w:type="pct"/>
          </w:tcPr>
          <w:p w14:paraId="21BBAC01" w14:textId="77777777" w:rsidR="00E93F58" w:rsidRPr="00FB5439" w:rsidRDefault="00E93F58" w:rsidP="00070F64">
            <w:pPr>
              <w:rPr>
                <w:sz w:val="16"/>
              </w:rPr>
            </w:pPr>
          </w:p>
        </w:tc>
        <w:tc>
          <w:tcPr>
            <w:tcW w:w="625" w:type="pct"/>
          </w:tcPr>
          <w:p w14:paraId="37C271CA" w14:textId="77777777" w:rsidR="00E93F58" w:rsidRPr="00FB5439" w:rsidRDefault="00E93F58" w:rsidP="00070F64">
            <w:pPr>
              <w:rPr>
                <w:sz w:val="16"/>
              </w:rPr>
            </w:pPr>
          </w:p>
        </w:tc>
        <w:tc>
          <w:tcPr>
            <w:tcW w:w="625" w:type="pct"/>
          </w:tcPr>
          <w:p w14:paraId="39941A8A" w14:textId="77777777" w:rsidR="00E93F58" w:rsidRPr="00FB5439" w:rsidRDefault="00E93F58" w:rsidP="00070F64">
            <w:pPr>
              <w:rPr>
                <w:sz w:val="16"/>
              </w:rPr>
            </w:pPr>
          </w:p>
        </w:tc>
      </w:tr>
      <w:tr w:rsidR="00E93F58" w:rsidRPr="00FB5439" w14:paraId="17C7EB43" w14:textId="77777777" w:rsidTr="00B23434">
        <w:tc>
          <w:tcPr>
            <w:tcW w:w="624" w:type="pct"/>
            <w:tcBorders>
              <w:bottom w:val="single" w:sz="6" w:space="0" w:color="auto"/>
            </w:tcBorders>
          </w:tcPr>
          <w:p w14:paraId="626EBC6E" w14:textId="77777777" w:rsidR="00E93F58" w:rsidRPr="00FB5439" w:rsidRDefault="00E93F58" w:rsidP="00070F64">
            <w:pPr>
              <w:rPr>
                <w:sz w:val="16"/>
              </w:rPr>
            </w:pPr>
          </w:p>
        </w:tc>
        <w:tc>
          <w:tcPr>
            <w:tcW w:w="553" w:type="pct"/>
            <w:tcBorders>
              <w:bottom w:val="single" w:sz="6" w:space="0" w:color="auto"/>
            </w:tcBorders>
          </w:tcPr>
          <w:p w14:paraId="4D3FB0DD" w14:textId="77777777" w:rsidR="00E93F58" w:rsidRPr="00FB5439" w:rsidRDefault="00E93F58" w:rsidP="00070F64">
            <w:pPr>
              <w:rPr>
                <w:sz w:val="16"/>
              </w:rPr>
            </w:pPr>
          </w:p>
        </w:tc>
        <w:tc>
          <w:tcPr>
            <w:tcW w:w="589" w:type="pct"/>
            <w:tcBorders>
              <w:bottom w:val="single" w:sz="6" w:space="0" w:color="auto"/>
            </w:tcBorders>
          </w:tcPr>
          <w:p w14:paraId="1F70E428" w14:textId="77777777" w:rsidR="00E93F58" w:rsidRPr="00FB5439" w:rsidRDefault="00E93F58" w:rsidP="00070F64">
            <w:pPr>
              <w:rPr>
                <w:sz w:val="16"/>
              </w:rPr>
            </w:pPr>
          </w:p>
        </w:tc>
        <w:tc>
          <w:tcPr>
            <w:tcW w:w="735" w:type="pct"/>
            <w:tcBorders>
              <w:bottom w:val="single" w:sz="6" w:space="0" w:color="auto"/>
            </w:tcBorders>
          </w:tcPr>
          <w:p w14:paraId="48ED8C27" w14:textId="77777777" w:rsidR="00E93F58" w:rsidRPr="00FB5439" w:rsidRDefault="00E93F58" w:rsidP="00070F64">
            <w:pPr>
              <w:rPr>
                <w:sz w:val="16"/>
              </w:rPr>
            </w:pPr>
          </w:p>
        </w:tc>
        <w:tc>
          <w:tcPr>
            <w:tcW w:w="624" w:type="pct"/>
            <w:tcBorders>
              <w:bottom w:val="single" w:sz="6" w:space="0" w:color="auto"/>
            </w:tcBorders>
          </w:tcPr>
          <w:p w14:paraId="5C2681CB" w14:textId="77777777" w:rsidR="00E93F58" w:rsidRPr="00FB5439" w:rsidRDefault="00E93F58" w:rsidP="00070F64">
            <w:pPr>
              <w:rPr>
                <w:sz w:val="16"/>
              </w:rPr>
            </w:pPr>
          </w:p>
        </w:tc>
        <w:tc>
          <w:tcPr>
            <w:tcW w:w="625" w:type="pct"/>
            <w:tcBorders>
              <w:bottom w:val="single" w:sz="6" w:space="0" w:color="auto"/>
            </w:tcBorders>
          </w:tcPr>
          <w:p w14:paraId="4C4E297A" w14:textId="77777777" w:rsidR="00E93F58" w:rsidRPr="00FB5439" w:rsidRDefault="00E93F58" w:rsidP="00070F64">
            <w:pPr>
              <w:rPr>
                <w:sz w:val="16"/>
              </w:rPr>
            </w:pPr>
          </w:p>
        </w:tc>
        <w:tc>
          <w:tcPr>
            <w:tcW w:w="625" w:type="pct"/>
            <w:tcBorders>
              <w:bottom w:val="single" w:sz="6" w:space="0" w:color="auto"/>
            </w:tcBorders>
          </w:tcPr>
          <w:p w14:paraId="6D9A1A43" w14:textId="77777777" w:rsidR="00E93F58" w:rsidRPr="00FB5439" w:rsidRDefault="00E93F58" w:rsidP="00070F64">
            <w:pPr>
              <w:rPr>
                <w:sz w:val="16"/>
              </w:rPr>
            </w:pPr>
          </w:p>
        </w:tc>
        <w:tc>
          <w:tcPr>
            <w:tcW w:w="625" w:type="pct"/>
            <w:tcBorders>
              <w:bottom w:val="single" w:sz="6" w:space="0" w:color="auto"/>
            </w:tcBorders>
          </w:tcPr>
          <w:p w14:paraId="4BEE8096" w14:textId="77777777" w:rsidR="00E93F58" w:rsidRPr="00FB5439" w:rsidRDefault="00E93F58" w:rsidP="00070F64">
            <w:pPr>
              <w:rPr>
                <w:sz w:val="16"/>
              </w:rPr>
            </w:pPr>
          </w:p>
        </w:tc>
      </w:tr>
      <w:tr w:rsidR="00E93F58" w:rsidRPr="00FB5439" w14:paraId="5F1A92CD" w14:textId="77777777" w:rsidTr="00B23434">
        <w:tc>
          <w:tcPr>
            <w:tcW w:w="624" w:type="pct"/>
          </w:tcPr>
          <w:p w14:paraId="6B992AFA" w14:textId="77777777" w:rsidR="00E93F58" w:rsidRPr="00FB5439" w:rsidRDefault="00E93F58" w:rsidP="00070F64">
            <w:pPr>
              <w:rPr>
                <w:sz w:val="16"/>
              </w:rPr>
            </w:pPr>
          </w:p>
        </w:tc>
        <w:tc>
          <w:tcPr>
            <w:tcW w:w="553" w:type="pct"/>
          </w:tcPr>
          <w:p w14:paraId="6E129727" w14:textId="77777777" w:rsidR="00E93F58" w:rsidRPr="00FB5439" w:rsidRDefault="00E93F58" w:rsidP="00070F64">
            <w:pPr>
              <w:rPr>
                <w:sz w:val="16"/>
              </w:rPr>
            </w:pPr>
          </w:p>
        </w:tc>
        <w:tc>
          <w:tcPr>
            <w:tcW w:w="589" w:type="pct"/>
          </w:tcPr>
          <w:p w14:paraId="5A3DA761" w14:textId="77777777" w:rsidR="00E93F58" w:rsidRPr="00FB5439" w:rsidRDefault="00E93F58" w:rsidP="00070F64">
            <w:pPr>
              <w:rPr>
                <w:sz w:val="16"/>
              </w:rPr>
            </w:pPr>
          </w:p>
        </w:tc>
        <w:tc>
          <w:tcPr>
            <w:tcW w:w="735" w:type="pct"/>
          </w:tcPr>
          <w:p w14:paraId="0A4B29F4" w14:textId="77777777" w:rsidR="00E93F58" w:rsidRPr="00FB5439" w:rsidRDefault="00E93F58" w:rsidP="00070F64">
            <w:pPr>
              <w:rPr>
                <w:sz w:val="16"/>
              </w:rPr>
            </w:pPr>
          </w:p>
        </w:tc>
        <w:tc>
          <w:tcPr>
            <w:tcW w:w="624" w:type="pct"/>
          </w:tcPr>
          <w:p w14:paraId="009536D5" w14:textId="77777777" w:rsidR="00E93F58" w:rsidRPr="00FB5439" w:rsidRDefault="00E93F58" w:rsidP="00070F64">
            <w:pPr>
              <w:rPr>
                <w:sz w:val="16"/>
              </w:rPr>
            </w:pPr>
          </w:p>
        </w:tc>
        <w:tc>
          <w:tcPr>
            <w:tcW w:w="625" w:type="pct"/>
          </w:tcPr>
          <w:p w14:paraId="77653DE7" w14:textId="77777777" w:rsidR="00E93F58" w:rsidRPr="00FB5439" w:rsidRDefault="00E93F58" w:rsidP="00070F64">
            <w:pPr>
              <w:rPr>
                <w:sz w:val="16"/>
              </w:rPr>
            </w:pPr>
          </w:p>
        </w:tc>
        <w:tc>
          <w:tcPr>
            <w:tcW w:w="625" w:type="pct"/>
          </w:tcPr>
          <w:p w14:paraId="0204AD6D" w14:textId="77777777" w:rsidR="00E93F58" w:rsidRPr="00FB5439" w:rsidRDefault="00E93F58" w:rsidP="00070F64">
            <w:pPr>
              <w:rPr>
                <w:sz w:val="16"/>
              </w:rPr>
            </w:pPr>
          </w:p>
        </w:tc>
        <w:tc>
          <w:tcPr>
            <w:tcW w:w="625" w:type="pct"/>
          </w:tcPr>
          <w:p w14:paraId="087DD9D6" w14:textId="77777777" w:rsidR="00E93F58" w:rsidRPr="00FB5439" w:rsidRDefault="00E93F58" w:rsidP="00070F64">
            <w:pPr>
              <w:rPr>
                <w:sz w:val="16"/>
              </w:rPr>
            </w:pPr>
          </w:p>
        </w:tc>
      </w:tr>
      <w:tr w:rsidR="00E93F58" w:rsidRPr="00FB5439" w14:paraId="764AE550" w14:textId="77777777" w:rsidTr="00B23434">
        <w:tc>
          <w:tcPr>
            <w:tcW w:w="624" w:type="pct"/>
            <w:tcBorders>
              <w:bottom w:val="single" w:sz="6" w:space="0" w:color="auto"/>
            </w:tcBorders>
          </w:tcPr>
          <w:p w14:paraId="197EABD1" w14:textId="77777777" w:rsidR="00E93F58" w:rsidRPr="00FB5439" w:rsidRDefault="00E93F58" w:rsidP="00070F64">
            <w:pPr>
              <w:rPr>
                <w:sz w:val="16"/>
              </w:rPr>
            </w:pPr>
          </w:p>
        </w:tc>
        <w:tc>
          <w:tcPr>
            <w:tcW w:w="553" w:type="pct"/>
            <w:tcBorders>
              <w:bottom w:val="single" w:sz="6" w:space="0" w:color="auto"/>
            </w:tcBorders>
          </w:tcPr>
          <w:p w14:paraId="2B9223F4" w14:textId="77777777" w:rsidR="00E93F58" w:rsidRPr="00FB5439" w:rsidRDefault="00E93F58" w:rsidP="00070F64">
            <w:pPr>
              <w:rPr>
                <w:sz w:val="16"/>
              </w:rPr>
            </w:pPr>
          </w:p>
        </w:tc>
        <w:tc>
          <w:tcPr>
            <w:tcW w:w="589" w:type="pct"/>
            <w:tcBorders>
              <w:bottom w:val="single" w:sz="6" w:space="0" w:color="auto"/>
            </w:tcBorders>
          </w:tcPr>
          <w:p w14:paraId="207A15DE" w14:textId="77777777" w:rsidR="00E93F58" w:rsidRPr="00FB5439" w:rsidRDefault="00E93F58" w:rsidP="00070F64">
            <w:pPr>
              <w:rPr>
                <w:sz w:val="16"/>
              </w:rPr>
            </w:pPr>
          </w:p>
        </w:tc>
        <w:tc>
          <w:tcPr>
            <w:tcW w:w="735" w:type="pct"/>
            <w:tcBorders>
              <w:bottom w:val="single" w:sz="6" w:space="0" w:color="auto"/>
            </w:tcBorders>
          </w:tcPr>
          <w:p w14:paraId="06A5B168" w14:textId="77777777" w:rsidR="00E93F58" w:rsidRPr="00FB5439" w:rsidRDefault="00E93F58" w:rsidP="00070F64">
            <w:pPr>
              <w:rPr>
                <w:sz w:val="16"/>
              </w:rPr>
            </w:pPr>
          </w:p>
        </w:tc>
        <w:tc>
          <w:tcPr>
            <w:tcW w:w="624" w:type="pct"/>
            <w:tcBorders>
              <w:bottom w:val="single" w:sz="6" w:space="0" w:color="auto"/>
            </w:tcBorders>
          </w:tcPr>
          <w:p w14:paraId="1D938866" w14:textId="77777777" w:rsidR="00E93F58" w:rsidRPr="00FB5439" w:rsidRDefault="00E93F58" w:rsidP="00070F64">
            <w:pPr>
              <w:rPr>
                <w:sz w:val="16"/>
              </w:rPr>
            </w:pPr>
          </w:p>
        </w:tc>
        <w:tc>
          <w:tcPr>
            <w:tcW w:w="625" w:type="pct"/>
            <w:tcBorders>
              <w:bottom w:val="single" w:sz="6" w:space="0" w:color="auto"/>
            </w:tcBorders>
          </w:tcPr>
          <w:p w14:paraId="3FE46B93" w14:textId="77777777" w:rsidR="00E93F58" w:rsidRPr="00FB5439" w:rsidRDefault="00E93F58" w:rsidP="00070F64">
            <w:pPr>
              <w:rPr>
                <w:sz w:val="16"/>
              </w:rPr>
            </w:pPr>
          </w:p>
        </w:tc>
        <w:tc>
          <w:tcPr>
            <w:tcW w:w="625" w:type="pct"/>
            <w:tcBorders>
              <w:bottom w:val="single" w:sz="6" w:space="0" w:color="auto"/>
            </w:tcBorders>
          </w:tcPr>
          <w:p w14:paraId="38FFBAEC" w14:textId="77777777" w:rsidR="00E93F58" w:rsidRPr="00FB5439" w:rsidRDefault="00E93F58" w:rsidP="00070F64">
            <w:pPr>
              <w:rPr>
                <w:sz w:val="16"/>
              </w:rPr>
            </w:pPr>
          </w:p>
        </w:tc>
        <w:tc>
          <w:tcPr>
            <w:tcW w:w="625" w:type="pct"/>
            <w:tcBorders>
              <w:bottom w:val="single" w:sz="6" w:space="0" w:color="auto"/>
            </w:tcBorders>
          </w:tcPr>
          <w:p w14:paraId="45B2C561" w14:textId="77777777" w:rsidR="00E93F58" w:rsidRPr="00FB5439" w:rsidRDefault="00E93F58" w:rsidP="00070F64">
            <w:pPr>
              <w:rPr>
                <w:sz w:val="16"/>
              </w:rPr>
            </w:pPr>
          </w:p>
        </w:tc>
      </w:tr>
    </w:tbl>
    <w:p w14:paraId="324C2E6A" w14:textId="77777777" w:rsidR="00E93F58" w:rsidRPr="00FB5439" w:rsidRDefault="00E93F58" w:rsidP="00070F64"/>
    <w:p w14:paraId="2F9D7831" w14:textId="77777777" w:rsidR="00E93F58" w:rsidRPr="00FB5439" w:rsidRDefault="00E93F58" w:rsidP="004D474C">
      <w:pPr>
        <w:keepNext/>
        <w:keepLines/>
        <w:jc w:val="center"/>
        <w:rPr>
          <w:b/>
        </w:rPr>
      </w:pPr>
      <w:r>
        <w:rPr>
          <w:b/>
        </w:rPr>
        <w:t>PART 2</w:t>
      </w:r>
    </w:p>
    <w:p w14:paraId="4718C7EB" w14:textId="77777777" w:rsidR="00E93F58" w:rsidRPr="00FB5439" w:rsidRDefault="00E93F58" w:rsidP="004D474C">
      <w:pPr>
        <w:keepNext/>
        <w:keepLines/>
        <w:spacing w:before="120"/>
        <w:jc w:val="center"/>
        <w:rPr>
          <w:b/>
        </w:rPr>
      </w:pPr>
      <w:r w:rsidRPr="00FB5439">
        <w:rPr>
          <w:b/>
        </w:rPr>
        <w:t>CONTRIBUTORIES WHO ARE REPRESENTATIVES OF, OR LIABLE FOR THE DEBTS OF, OTHERS</w:t>
      </w:r>
    </w:p>
    <w:p w14:paraId="1CBA4D3A" w14:textId="77777777" w:rsidR="00E93F58" w:rsidRPr="00FB5439" w:rsidRDefault="00E93F58" w:rsidP="004D474C">
      <w:pPr>
        <w:keepNext/>
        <w:keepLines/>
        <w:jc w:val="center"/>
        <w:rPr>
          <w:sz w:val="18"/>
        </w:rPr>
      </w:pPr>
    </w:p>
    <w:tbl>
      <w:tblPr>
        <w:tblW w:w="5000" w:type="pct"/>
        <w:tblLook w:val="0000" w:firstRow="0" w:lastRow="0" w:firstColumn="0" w:lastColumn="0" w:noHBand="0" w:noVBand="0"/>
      </w:tblPr>
      <w:tblGrid>
        <w:gridCol w:w="1344"/>
        <w:gridCol w:w="1191"/>
        <w:gridCol w:w="1269"/>
        <w:gridCol w:w="1584"/>
        <w:gridCol w:w="1344"/>
        <w:gridCol w:w="1347"/>
        <w:gridCol w:w="1347"/>
        <w:gridCol w:w="1347"/>
      </w:tblGrid>
      <w:tr w:rsidR="00E93F58" w:rsidRPr="00FB5439" w14:paraId="42E0F7A4" w14:textId="77777777" w:rsidTr="00B23434">
        <w:tc>
          <w:tcPr>
            <w:tcW w:w="624" w:type="pct"/>
            <w:tcBorders>
              <w:top w:val="single" w:sz="6" w:space="0" w:color="auto"/>
              <w:bottom w:val="single" w:sz="6" w:space="0" w:color="auto"/>
            </w:tcBorders>
          </w:tcPr>
          <w:p w14:paraId="32316F28" w14:textId="77777777" w:rsidR="00E93F58" w:rsidRPr="00FB5439" w:rsidRDefault="00E93F58" w:rsidP="004D474C">
            <w:pPr>
              <w:keepNext/>
              <w:keepLines/>
              <w:rPr>
                <w:b/>
                <w:sz w:val="18"/>
              </w:rPr>
            </w:pPr>
            <w:r w:rsidRPr="00FB5439">
              <w:rPr>
                <w:b/>
                <w:sz w:val="18"/>
              </w:rPr>
              <w:t>Serial</w:t>
            </w:r>
          </w:p>
          <w:p w14:paraId="2D821724" w14:textId="77777777" w:rsidR="00E93F58" w:rsidRPr="00FB5439" w:rsidRDefault="00E93F58" w:rsidP="004D474C">
            <w:pPr>
              <w:keepNext/>
              <w:keepLines/>
              <w:rPr>
                <w:b/>
                <w:sz w:val="18"/>
              </w:rPr>
            </w:pPr>
            <w:r w:rsidRPr="00FB5439">
              <w:rPr>
                <w:b/>
                <w:sz w:val="18"/>
              </w:rPr>
              <w:t>No.</w:t>
            </w:r>
          </w:p>
        </w:tc>
        <w:tc>
          <w:tcPr>
            <w:tcW w:w="553" w:type="pct"/>
            <w:tcBorders>
              <w:top w:val="single" w:sz="6" w:space="0" w:color="auto"/>
              <w:bottom w:val="single" w:sz="6" w:space="0" w:color="auto"/>
            </w:tcBorders>
          </w:tcPr>
          <w:p w14:paraId="72BE9019" w14:textId="77777777" w:rsidR="00E93F58" w:rsidRPr="00FB5439" w:rsidRDefault="00E93F58" w:rsidP="004D474C">
            <w:pPr>
              <w:keepNext/>
              <w:keepLines/>
              <w:rPr>
                <w:b/>
                <w:sz w:val="18"/>
              </w:rPr>
            </w:pPr>
            <w:r w:rsidRPr="00FB5439">
              <w:rPr>
                <w:b/>
                <w:sz w:val="18"/>
              </w:rPr>
              <w:t>Name</w:t>
            </w:r>
          </w:p>
        </w:tc>
        <w:tc>
          <w:tcPr>
            <w:tcW w:w="589" w:type="pct"/>
            <w:tcBorders>
              <w:top w:val="single" w:sz="6" w:space="0" w:color="auto"/>
              <w:bottom w:val="single" w:sz="6" w:space="0" w:color="auto"/>
            </w:tcBorders>
          </w:tcPr>
          <w:p w14:paraId="13AB0EFD" w14:textId="77777777" w:rsidR="00E93F58" w:rsidRPr="00FB5439" w:rsidRDefault="00E93F58" w:rsidP="004D474C">
            <w:pPr>
              <w:keepNext/>
              <w:keepLines/>
              <w:rPr>
                <w:b/>
                <w:sz w:val="18"/>
              </w:rPr>
            </w:pPr>
            <w:r w:rsidRPr="00FB5439">
              <w:rPr>
                <w:b/>
                <w:sz w:val="18"/>
              </w:rPr>
              <w:t>Address</w:t>
            </w:r>
          </w:p>
        </w:tc>
        <w:tc>
          <w:tcPr>
            <w:tcW w:w="735" w:type="pct"/>
            <w:tcBorders>
              <w:top w:val="single" w:sz="6" w:space="0" w:color="auto"/>
              <w:bottom w:val="single" w:sz="6" w:space="0" w:color="auto"/>
            </w:tcBorders>
          </w:tcPr>
          <w:p w14:paraId="246AB5C9" w14:textId="77777777" w:rsidR="00E93F58" w:rsidRPr="00FB5439" w:rsidRDefault="00E93F58" w:rsidP="004D474C">
            <w:pPr>
              <w:keepNext/>
              <w:keepLines/>
              <w:ind w:left="-108" w:right="-179"/>
              <w:rPr>
                <w:b/>
                <w:sz w:val="18"/>
              </w:rPr>
            </w:pPr>
            <w:r w:rsidRPr="00FB5439">
              <w:rPr>
                <w:b/>
                <w:sz w:val="18"/>
              </w:rPr>
              <w:t>Description</w:t>
            </w:r>
          </w:p>
          <w:p w14:paraId="2CCCAA80" w14:textId="77777777" w:rsidR="00E93F58" w:rsidRPr="00FB5439" w:rsidRDefault="00E93F58" w:rsidP="004D474C">
            <w:pPr>
              <w:keepNext/>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14:paraId="42B5B91B" w14:textId="77777777" w:rsidR="00E93F58" w:rsidRPr="00FB5439" w:rsidRDefault="00E93F58" w:rsidP="004D474C">
            <w:pPr>
              <w:keepNext/>
              <w:keepLines/>
              <w:rPr>
                <w:b/>
                <w:sz w:val="18"/>
              </w:rPr>
            </w:pPr>
            <w:r w:rsidRPr="00FB5439">
              <w:rPr>
                <w:b/>
                <w:sz w:val="18"/>
              </w:rPr>
              <w:t>Number</w:t>
            </w:r>
          </w:p>
          <w:p w14:paraId="508B1B06" w14:textId="77777777" w:rsidR="00E93F58" w:rsidRPr="00FB5439" w:rsidRDefault="00E93F58" w:rsidP="004D474C">
            <w:pPr>
              <w:keepNext/>
              <w:keepLines/>
              <w:rPr>
                <w:b/>
                <w:sz w:val="18"/>
              </w:rPr>
            </w:pPr>
            <w:r w:rsidRPr="00FB5439">
              <w:rPr>
                <w:b/>
                <w:sz w:val="18"/>
              </w:rPr>
              <w:t>of shares (or extent of interest)</w:t>
            </w:r>
          </w:p>
        </w:tc>
        <w:tc>
          <w:tcPr>
            <w:tcW w:w="625" w:type="pct"/>
            <w:tcBorders>
              <w:top w:val="single" w:sz="6" w:space="0" w:color="auto"/>
              <w:bottom w:val="single" w:sz="6" w:space="0" w:color="auto"/>
            </w:tcBorders>
          </w:tcPr>
          <w:p w14:paraId="03988355" w14:textId="77777777" w:rsidR="00E93F58" w:rsidRPr="00FB5439" w:rsidRDefault="00E93F58" w:rsidP="004D474C">
            <w:pPr>
              <w:keepNext/>
              <w:keepLines/>
              <w:rPr>
                <w:b/>
                <w:sz w:val="18"/>
              </w:rPr>
            </w:pPr>
            <w:r w:rsidRPr="00FB5439">
              <w:rPr>
                <w:b/>
                <w:sz w:val="18"/>
              </w:rPr>
              <w:t>Amount</w:t>
            </w:r>
          </w:p>
          <w:p w14:paraId="0CF318AB" w14:textId="77777777" w:rsidR="00E93F58" w:rsidRPr="00FB5439" w:rsidRDefault="00E93F58" w:rsidP="004D474C">
            <w:pPr>
              <w:keepNext/>
              <w:keepLines/>
              <w:rPr>
                <w:b/>
                <w:sz w:val="18"/>
              </w:rPr>
            </w:pPr>
            <w:r w:rsidRPr="00FB5439">
              <w:rPr>
                <w:b/>
                <w:sz w:val="18"/>
              </w:rPr>
              <w:t>called up at date of start of winding up</w:t>
            </w:r>
          </w:p>
        </w:tc>
        <w:tc>
          <w:tcPr>
            <w:tcW w:w="625" w:type="pct"/>
            <w:tcBorders>
              <w:top w:val="single" w:sz="6" w:space="0" w:color="auto"/>
              <w:bottom w:val="single" w:sz="6" w:space="0" w:color="auto"/>
            </w:tcBorders>
          </w:tcPr>
          <w:p w14:paraId="650601DB" w14:textId="77777777" w:rsidR="00E93F58" w:rsidRPr="00FB5439" w:rsidRDefault="00E93F58" w:rsidP="004D474C">
            <w:pPr>
              <w:keepNext/>
              <w:keepLines/>
              <w:rPr>
                <w:b/>
                <w:sz w:val="18"/>
              </w:rPr>
            </w:pPr>
            <w:r w:rsidRPr="00FB5439">
              <w:rPr>
                <w:b/>
                <w:sz w:val="18"/>
              </w:rPr>
              <w:t>Amount</w:t>
            </w:r>
          </w:p>
          <w:p w14:paraId="32820F11" w14:textId="77777777" w:rsidR="00E93F58" w:rsidRPr="00FB5439" w:rsidRDefault="00E93F58" w:rsidP="004D474C">
            <w:pPr>
              <w:keepNext/>
              <w:keepLines/>
              <w:rPr>
                <w:b/>
                <w:sz w:val="18"/>
              </w:rPr>
            </w:pPr>
            <w:r w:rsidRPr="00FB5439">
              <w:rPr>
                <w:b/>
                <w:sz w:val="18"/>
              </w:rPr>
              <w:t>paid up at date of start of winding up</w:t>
            </w:r>
          </w:p>
        </w:tc>
        <w:tc>
          <w:tcPr>
            <w:tcW w:w="625" w:type="pct"/>
            <w:tcBorders>
              <w:top w:val="single" w:sz="6" w:space="0" w:color="auto"/>
              <w:bottom w:val="single" w:sz="6" w:space="0" w:color="auto"/>
            </w:tcBorders>
          </w:tcPr>
          <w:p w14:paraId="4288D737" w14:textId="77777777" w:rsidR="00E93F58" w:rsidRPr="00FB5439" w:rsidRDefault="00E93F58" w:rsidP="004D474C">
            <w:pPr>
              <w:keepNext/>
              <w:keepLines/>
              <w:rPr>
                <w:b/>
                <w:sz w:val="18"/>
              </w:rPr>
            </w:pPr>
            <w:r w:rsidRPr="00FB5439">
              <w:rPr>
                <w:b/>
                <w:sz w:val="18"/>
              </w:rPr>
              <w:t>Amount</w:t>
            </w:r>
          </w:p>
          <w:p w14:paraId="16B5433B" w14:textId="77777777" w:rsidR="00E93F58" w:rsidRPr="00FB5439" w:rsidRDefault="00E93F58" w:rsidP="004D474C">
            <w:pPr>
              <w:keepNext/>
              <w:keepLines/>
              <w:rPr>
                <w:b/>
                <w:sz w:val="18"/>
              </w:rPr>
            </w:pPr>
            <w:r w:rsidRPr="00FB5439">
              <w:rPr>
                <w:b/>
                <w:sz w:val="18"/>
              </w:rPr>
              <w:t>not called up at date of start of winding up</w:t>
            </w:r>
          </w:p>
        </w:tc>
      </w:tr>
      <w:tr w:rsidR="00E93F58" w:rsidRPr="00FB5439" w14:paraId="7FCF9D50" w14:textId="77777777" w:rsidTr="00B23434">
        <w:tc>
          <w:tcPr>
            <w:tcW w:w="624" w:type="pct"/>
          </w:tcPr>
          <w:p w14:paraId="4B8913D0" w14:textId="77777777" w:rsidR="00E93F58" w:rsidRPr="00FB5439" w:rsidRDefault="00E93F58" w:rsidP="00070F64">
            <w:pPr>
              <w:rPr>
                <w:sz w:val="16"/>
              </w:rPr>
            </w:pPr>
          </w:p>
        </w:tc>
        <w:tc>
          <w:tcPr>
            <w:tcW w:w="553" w:type="pct"/>
          </w:tcPr>
          <w:p w14:paraId="64C9E61B" w14:textId="77777777" w:rsidR="00E93F58" w:rsidRPr="00FB5439" w:rsidRDefault="00E93F58" w:rsidP="00070F64">
            <w:pPr>
              <w:rPr>
                <w:sz w:val="16"/>
              </w:rPr>
            </w:pPr>
          </w:p>
        </w:tc>
        <w:tc>
          <w:tcPr>
            <w:tcW w:w="589" w:type="pct"/>
          </w:tcPr>
          <w:p w14:paraId="308D87F4" w14:textId="77777777" w:rsidR="00E93F58" w:rsidRPr="00FB5439" w:rsidRDefault="00E93F58" w:rsidP="00070F64">
            <w:pPr>
              <w:rPr>
                <w:sz w:val="16"/>
              </w:rPr>
            </w:pPr>
          </w:p>
        </w:tc>
        <w:tc>
          <w:tcPr>
            <w:tcW w:w="735" w:type="pct"/>
          </w:tcPr>
          <w:p w14:paraId="40A575EE" w14:textId="77777777" w:rsidR="00E93F58" w:rsidRPr="00FB5439" w:rsidRDefault="00E93F58" w:rsidP="00070F64">
            <w:pPr>
              <w:rPr>
                <w:sz w:val="16"/>
              </w:rPr>
            </w:pPr>
          </w:p>
        </w:tc>
        <w:tc>
          <w:tcPr>
            <w:tcW w:w="624" w:type="pct"/>
          </w:tcPr>
          <w:p w14:paraId="26AA0095" w14:textId="77777777" w:rsidR="00E93F58" w:rsidRPr="00FB5439" w:rsidRDefault="00E93F58" w:rsidP="00070F64">
            <w:pPr>
              <w:rPr>
                <w:sz w:val="16"/>
              </w:rPr>
            </w:pPr>
          </w:p>
        </w:tc>
        <w:tc>
          <w:tcPr>
            <w:tcW w:w="625" w:type="pct"/>
          </w:tcPr>
          <w:p w14:paraId="62E514CA" w14:textId="77777777" w:rsidR="00E93F58" w:rsidRPr="00FB5439" w:rsidRDefault="00E93F58" w:rsidP="00070F64">
            <w:pPr>
              <w:rPr>
                <w:sz w:val="16"/>
              </w:rPr>
            </w:pPr>
          </w:p>
        </w:tc>
        <w:tc>
          <w:tcPr>
            <w:tcW w:w="625" w:type="pct"/>
          </w:tcPr>
          <w:p w14:paraId="095B8039" w14:textId="77777777" w:rsidR="00E93F58" w:rsidRPr="00FB5439" w:rsidRDefault="00E93F58" w:rsidP="00070F64">
            <w:pPr>
              <w:rPr>
                <w:sz w:val="16"/>
              </w:rPr>
            </w:pPr>
          </w:p>
        </w:tc>
        <w:tc>
          <w:tcPr>
            <w:tcW w:w="625" w:type="pct"/>
          </w:tcPr>
          <w:p w14:paraId="1652C155" w14:textId="77777777" w:rsidR="00E93F58" w:rsidRPr="00FB5439" w:rsidRDefault="00E93F58" w:rsidP="00070F64">
            <w:pPr>
              <w:rPr>
                <w:sz w:val="16"/>
              </w:rPr>
            </w:pPr>
          </w:p>
        </w:tc>
      </w:tr>
      <w:tr w:rsidR="00E93F58" w:rsidRPr="00FB5439" w14:paraId="46BA573A" w14:textId="77777777" w:rsidTr="00B23434">
        <w:tc>
          <w:tcPr>
            <w:tcW w:w="624" w:type="pct"/>
          </w:tcPr>
          <w:p w14:paraId="5AD2F22F" w14:textId="77777777" w:rsidR="00E93F58" w:rsidRPr="00FB5439" w:rsidRDefault="00E93F58" w:rsidP="00070F64">
            <w:pPr>
              <w:rPr>
                <w:sz w:val="16"/>
              </w:rPr>
            </w:pPr>
          </w:p>
        </w:tc>
        <w:tc>
          <w:tcPr>
            <w:tcW w:w="553" w:type="pct"/>
          </w:tcPr>
          <w:p w14:paraId="69A1D31B" w14:textId="77777777" w:rsidR="00E93F58" w:rsidRPr="00FB5439" w:rsidRDefault="00E93F58" w:rsidP="00070F64">
            <w:pPr>
              <w:rPr>
                <w:sz w:val="16"/>
              </w:rPr>
            </w:pPr>
          </w:p>
        </w:tc>
        <w:tc>
          <w:tcPr>
            <w:tcW w:w="589" w:type="pct"/>
          </w:tcPr>
          <w:p w14:paraId="002CB171" w14:textId="77777777" w:rsidR="00E93F58" w:rsidRPr="00FB5439" w:rsidRDefault="00E93F58" w:rsidP="00070F64">
            <w:pPr>
              <w:rPr>
                <w:sz w:val="16"/>
              </w:rPr>
            </w:pPr>
          </w:p>
        </w:tc>
        <w:tc>
          <w:tcPr>
            <w:tcW w:w="735" w:type="pct"/>
          </w:tcPr>
          <w:p w14:paraId="4D9FEE7A" w14:textId="77777777" w:rsidR="00E93F58" w:rsidRPr="00FB5439" w:rsidRDefault="00E93F58" w:rsidP="00070F64">
            <w:pPr>
              <w:rPr>
                <w:sz w:val="16"/>
              </w:rPr>
            </w:pPr>
          </w:p>
        </w:tc>
        <w:tc>
          <w:tcPr>
            <w:tcW w:w="624" w:type="pct"/>
          </w:tcPr>
          <w:p w14:paraId="0B8CA188" w14:textId="77777777" w:rsidR="00E93F58" w:rsidRPr="00FB5439" w:rsidRDefault="00E93F58" w:rsidP="00070F64">
            <w:pPr>
              <w:rPr>
                <w:sz w:val="16"/>
              </w:rPr>
            </w:pPr>
          </w:p>
        </w:tc>
        <w:tc>
          <w:tcPr>
            <w:tcW w:w="625" w:type="pct"/>
          </w:tcPr>
          <w:p w14:paraId="2D1D8CCA" w14:textId="77777777" w:rsidR="00E93F58" w:rsidRPr="00FB5439" w:rsidRDefault="00E93F58" w:rsidP="00070F64">
            <w:pPr>
              <w:rPr>
                <w:sz w:val="16"/>
              </w:rPr>
            </w:pPr>
          </w:p>
        </w:tc>
        <w:tc>
          <w:tcPr>
            <w:tcW w:w="625" w:type="pct"/>
          </w:tcPr>
          <w:p w14:paraId="61AEE591" w14:textId="77777777" w:rsidR="00E93F58" w:rsidRPr="00FB5439" w:rsidRDefault="00E93F58" w:rsidP="00070F64">
            <w:pPr>
              <w:rPr>
                <w:sz w:val="16"/>
              </w:rPr>
            </w:pPr>
          </w:p>
        </w:tc>
        <w:tc>
          <w:tcPr>
            <w:tcW w:w="625" w:type="pct"/>
          </w:tcPr>
          <w:p w14:paraId="0DA9D0C2" w14:textId="77777777" w:rsidR="00E93F58" w:rsidRPr="00FB5439" w:rsidRDefault="00E93F58" w:rsidP="00070F64">
            <w:pPr>
              <w:rPr>
                <w:sz w:val="16"/>
              </w:rPr>
            </w:pPr>
          </w:p>
        </w:tc>
      </w:tr>
      <w:tr w:rsidR="00E93F58" w:rsidRPr="00FB5439" w14:paraId="2E614135" w14:textId="77777777" w:rsidTr="00B23434">
        <w:tc>
          <w:tcPr>
            <w:tcW w:w="624" w:type="pct"/>
            <w:tcBorders>
              <w:top w:val="single" w:sz="6" w:space="0" w:color="auto"/>
            </w:tcBorders>
          </w:tcPr>
          <w:p w14:paraId="75B1211C" w14:textId="77777777" w:rsidR="00E93F58" w:rsidRPr="00FB5439" w:rsidRDefault="00E93F58" w:rsidP="00070F64">
            <w:pPr>
              <w:rPr>
                <w:sz w:val="16"/>
              </w:rPr>
            </w:pPr>
          </w:p>
        </w:tc>
        <w:tc>
          <w:tcPr>
            <w:tcW w:w="553" w:type="pct"/>
            <w:tcBorders>
              <w:top w:val="single" w:sz="6" w:space="0" w:color="auto"/>
            </w:tcBorders>
          </w:tcPr>
          <w:p w14:paraId="27503598" w14:textId="77777777" w:rsidR="00E93F58" w:rsidRPr="00FB5439" w:rsidRDefault="00E93F58" w:rsidP="00070F64">
            <w:pPr>
              <w:rPr>
                <w:sz w:val="16"/>
              </w:rPr>
            </w:pPr>
          </w:p>
        </w:tc>
        <w:tc>
          <w:tcPr>
            <w:tcW w:w="589" w:type="pct"/>
            <w:tcBorders>
              <w:top w:val="single" w:sz="6" w:space="0" w:color="auto"/>
            </w:tcBorders>
          </w:tcPr>
          <w:p w14:paraId="4B24DCF6" w14:textId="77777777" w:rsidR="00E93F58" w:rsidRPr="00FB5439" w:rsidRDefault="00E93F58" w:rsidP="00070F64">
            <w:pPr>
              <w:rPr>
                <w:sz w:val="16"/>
              </w:rPr>
            </w:pPr>
          </w:p>
        </w:tc>
        <w:tc>
          <w:tcPr>
            <w:tcW w:w="735" w:type="pct"/>
            <w:tcBorders>
              <w:top w:val="single" w:sz="6" w:space="0" w:color="auto"/>
            </w:tcBorders>
          </w:tcPr>
          <w:p w14:paraId="603DB3EA" w14:textId="77777777" w:rsidR="00E93F58" w:rsidRPr="00FB5439" w:rsidRDefault="00E93F58" w:rsidP="00070F64">
            <w:pPr>
              <w:rPr>
                <w:sz w:val="16"/>
              </w:rPr>
            </w:pPr>
          </w:p>
        </w:tc>
        <w:tc>
          <w:tcPr>
            <w:tcW w:w="624" w:type="pct"/>
            <w:tcBorders>
              <w:top w:val="single" w:sz="6" w:space="0" w:color="auto"/>
            </w:tcBorders>
          </w:tcPr>
          <w:p w14:paraId="3A2BFD16" w14:textId="77777777" w:rsidR="00E93F58" w:rsidRPr="00FB5439" w:rsidRDefault="00E93F58" w:rsidP="00070F64">
            <w:pPr>
              <w:rPr>
                <w:sz w:val="16"/>
              </w:rPr>
            </w:pPr>
          </w:p>
        </w:tc>
        <w:tc>
          <w:tcPr>
            <w:tcW w:w="625" w:type="pct"/>
            <w:tcBorders>
              <w:top w:val="single" w:sz="6" w:space="0" w:color="auto"/>
            </w:tcBorders>
          </w:tcPr>
          <w:p w14:paraId="4499101B" w14:textId="77777777" w:rsidR="00E93F58" w:rsidRPr="00FB5439" w:rsidRDefault="00E93F58" w:rsidP="00070F64">
            <w:pPr>
              <w:rPr>
                <w:sz w:val="16"/>
              </w:rPr>
            </w:pPr>
          </w:p>
        </w:tc>
        <w:tc>
          <w:tcPr>
            <w:tcW w:w="625" w:type="pct"/>
            <w:tcBorders>
              <w:top w:val="single" w:sz="6" w:space="0" w:color="auto"/>
            </w:tcBorders>
          </w:tcPr>
          <w:p w14:paraId="3F0BB0DA" w14:textId="77777777" w:rsidR="00E93F58" w:rsidRPr="00FB5439" w:rsidRDefault="00E93F58" w:rsidP="00070F64">
            <w:pPr>
              <w:rPr>
                <w:sz w:val="16"/>
              </w:rPr>
            </w:pPr>
          </w:p>
        </w:tc>
        <w:tc>
          <w:tcPr>
            <w:tcW w:w="625" w:type="pct"/>
            <w:tcBorders>
              <w:top w:val="single" w:sz="6" w:space="0" w:color="auto"/>
            </w:tcBorders>
          </w:tcPr>
          <w:p w14:paraId="3E8C7B41" w14:textId="77777777" w:rsidR="00E93F58" w:rsidRPr="00FB5439" w:rsidRDefault="00E93F58" w:rsidP="00070F64">
            <w:pPr>
              <w:rPr>
                <w:sz w:val="16"/>
              </w:rPr>
            </w:pPr>
          </w:p>
        </w:tc>
      </w:tr>
      <w:tr w:rsidR="00E93F58" w:rsidRPr="00FB5439" w14:paraId="7954B21C" w14:textId="77777777" w:rsidTr="00B23434">
        <w:tc>
          <w:tcPr>
            <w:tcW w:w="624" w:type="pct"/>
            <w:tcBorders>
              <w:bottom w:val="single" w:sz="4" w:space="0" w:color="auto"/>
            </w:tcBorders>
          </w:tcPr>
          <w:p w14:paraId="640F6ADD" w14:textId="77777777" w:rsidR="00E93F58" w:rsidRPr="00FB5439" w:rsidRDefault="00E93F58" w:rsidP="00070F64">
            <w:pPr>
              <w:rPr>
                <w:sz w:val="16"/>
              </w:rPr>
            </w:pPr>
          </w:p>
        </w:tc>
        <w:tc>
          <w:tcPr>
            <w:tcW w:w="553" w:type="pct"/>
            <w:tcBorders>
              <w:bottom w:val="single" w:sz="4" w:space="0" w:color="auto"/>
            </w:tcBorders>
          </w:tcPr>
          <w:p w14:paraId="3E838D9B" w14:textId="77777777" w:rsidR="00E93F58" w:rsidRPr="00FB5439" w:rsidRDefault="00E93F58" w:rsidP="00070F64">
            <w:pPr>
              <w:rPr>
                <w:sz w:val="16"/>
              </w:rPr>
            </w:pPr>
          </w:p>
        </w:tc>
        <w:tc>
          <w:tcPr>
            <w:tcW w:w="589" w:type="pct"/>
            <w:tcBorders>
              <w:bottom w:val="single" w:sz="4" w:space="0" w:color="auto"/>
            </w:tcBorders>
          </w:tcPr>
          <w:p w14:paraId="57DC4DAC" w14:textId="77777777" w:rsidR="00E93F58" w:rsidRPr="00FB5439" w:rsidRDefault="00E93F58" w:rsidP="00070F64">
            <w:pPr>
              <w:rPr>
                <w:sz w:val="16"/>
              </w:rPr>
            </w:pPr>
          </w:p>
        </w:tc>
        <w:tc>
          <w:tcPr>
            <w:tcW w:w="735" w:type="pct"/>
            <w:tcBorders>
              <w:bottom w:val="single" w:sz="4" w:space="0" w:color="auto"/>
            </w:tcBorders>
          </w:tcPr>
          <w:p w14:paraId="399C9B92" w14:textId="77777777" w:rsidR="00E93F58" w:rsidRPr="00FB5439" w:rsidRDefault="00E93F58" w:rsidP="00070F64">
            <w:pPr>
              <w:rPr>
                <w:sz w:val="16"/>
              </w:rPr>
            </w:pPr>
          </w:p>
        </w:tc>
        <w:tc>
          <w:tcPr>
            <w:tcW w:w="624" w:type="pct"/>
            <w:tcBorders>
              <w:bottom w:val="single" w:sz="4" w:space="0" w:color="auto"/>
            </w:tcBorders>
          </w:tcPr>
          <w:p w14:paraId="480912F2" w14:textId="77777777" w:rsidR="00E93F58" w:rsidRPr="00FB5439" w:rsidRDefault="00E93F58" w:rsidP="00070F64">
            <w:pPr>
              <w:rPr>
                <w:sz w:val="16"/>
              </w:rPr>
            </w:pPr>
          </w:p>
        </w:tc>
        <w:tc>
          <w:tcPr>
            <w:tcW w:w="625" w:type="pct"/>
            <w:tcBorders>
              <w:bottom w:val="single" w:sz="4" w:space="0" w:color="auto"/>
            </w:tcBorders>
          </w:tcPr>
          <w:p w14:paraId="1F289EC4" w14:textId="77777777" w:rsidR="00E93F58" w:rsidRPr="00FB5439" w:rsidRDefault="00E93F58" w:rsidP="00070F64">
            <w:pPr>
              <w:rPr>
                <w:sz w:val="16"/>
              </w:rPr>
            </w:pPr>
          </w:p>
        </w:tc>
        <w:tc>
          <w:tcPr>
            <w:tcW w:w="625" w:type="pct"/>
            <w:tcBorders>
              <w:bottom w:val="single" w:sz="4" w:space="0" w:color="auto"/>
            </w:tcBorders>
          </w:tcPr>
          <w:p w14:paraId="745F784D" w14:textId="77777777" w:rsidR="00E93F58" w:rsidRPr="00FB5439" w:rsidRDefault="00E93F58" w:rsidP="00070F64">
            <w:pPr>
              <w:rPr>
                <w:sz w:val="16"/>
              </w:rPr>
            </w:pPr>
          </w:p>
        </w:tc>
        <w:tc>
          <w:tcPr>
            <w:tcW w:w="625" w:type="pct"/>
            <w:tcBorders>
              <w:bottom w:val="single" w:sz="4" w:space="0" w:color="auto"/>
            </w:tcBorders>
          </w:tcPr>
          <w:p w14:paraId="0D971D88" w14:textId="77777777" w:rsidR="00E93F58" w:rsidRPr="00FB5439" w:rsidRDefault="00E93F58" w:rsidP="00070F64">
            <w:pPr>
              <w:rPr>
                <w:sz w:val="16"/>
              </w:rPr>
            </w:pPr>
          </w:p>
        </w:tc>
      </w:tr>
    </w:tbl>
    <w:p w14:paraId="4141D5DB" w14:textId="77777777" w:rsidR="00E93F58" w:rsidRPr="00FB5439" w:rsidRDefault="00E93F58" w:rsidP="00070F64">
      <w:pPr>
        <w:spacing w:before="120"/>
      </w:pPr>
      <w:r w:rsidRPr="00FB5439">
        <w:t>Dated</w:t>
      </w:r>
    </w:p>
    <w:p w14:paraId="15B60BCD" w14:textId="77777777" w:rsidR="00E93F58" w:rsidRPr="00FB5439" w:rsidRDefault="00E93F58" w:rsidP="00070F64">
      <w:pPr>
        <w:pBdr>
          <w:bottom w:val="single" w:sz="6" w:space="1" w:color="auto"/>
        </w:pBdr>
        <w:spacing w:before="120"/>
      </w:pPr>
      <w:r w:rsidRPr="00FB5439">
        <w:t>Signature of liquidator</w:t>
      </w:r>
    </w:p>
    <w:p w14:paraId="03EF77C4" w14:textId="77777777" w:rsidR="00E93F58" w:rsidRPr="00FB5439" w:rsidRDefault="00E93F58" w:rsidP="00A80D13">
      <w:pPr>
        <w:pStyle w:val="ActHead2"/>
        <w:pageBreakBefore/>
      </w:pPr>
      <w:bookmarkStart w:id="3198" w:name="_Toc151992784"/>
      <w:bookmarkStart w:id="3199" w:name="_Toc158713387"/>
      <w:r w:rsidRPr="00FB5439">
        <w:rPr>
          <w:rStyle w:val="CharPartNo"/>
        </w:rPr>
        <w:lastRenderedPageBreak/>
        <w:t>Form 539</w:t>
      </w:r>
      <w:bookmarkEnd w:id="3198"/>
      <w:bookmarkEnd w:id="3199"/>
      <w:r w:rsidRPr="00FB5439">
        <w:rPr>
          <w:rStyle w:val="CharPartText"/>
        </w:rPr>
        <w:t xml:space="preserve"> </w:t>
      </w:r>
      <w:r w:rsidRPr="00FB5439">
        <w:t xml:space="preserve"> </w:t>
      </w:r>
    </w:p>
    <w:p w14:paraId="14D247D6" w14:textId="77777777" w:rsidR="00E93F58" w:rsidRPr="00FB5439" w:rsidRDefault="00E93F58" w:rsidP="004C686D">
      <w:pPr>
        <w:pStyle w:val="notemargin"/>
      </w:pPr>
      <w:r w:rsidRPr="00FB5439">
        <w:t>(subregulation 5.6.59(1))</w:t>
      </w:r>
    </w:p>
    <w:p w14:paraId="621AA7F8" w14:textId="77777777" w:rsidR="00E93F58" w:rsidRPr="00FB5439" w:rsidRDefault="00E93F58" w:rsidP="00070F64">
      <w:pPr>
        <w:keepLines/>
        <w:rPr>
          <w:sz w:val="18"/>
        </w:rPr>
      </w:pPr>
    </w:p>
    <w:p w14:paraId="33AABD05" w14:textId="77777777" w:rsidR="00E93F58" w:rsidRPr="00FB5439" w:rsidRDefault="00E93F58" w:rsidP="00070F64">
      <w:pPr>
        <w:keepLines/>
      </w:pPr>
      <w:r w:rsidRPr="00FB5439">
        <w:t>A.C.N or A.R.B.N:</w:t>
      </w:r>
    </w:p>
    <w:p w14:paraId="3822402F" w14:textId="77777777" w:rsidR="00E93F58" w:rsidRPr="00FB5439" w:rsidRDefault="00E93F58" w:rsidP="00070F64">
      <w:pPr>
        <w:keepLines/>
        <w:rPr>
          <w:sz w:val="18"/>
        </w:rPr>
      </w:pPr>
    </w:p>
    <w:p w14:paraId="15051CF9" w14:textId="77777777" w:rsidR="00E93F58" w:rsidRPr="00FB5439" w:rsidRDefault="00E93F58" w:rsidP="00070F64">
      <w:pPr>
        <w:keepLines/>
      </w:pPr>
      <w:r w:rsidRPr="00FB5439">
        <w:rPr>
          <w:i/>
        </w:rPr>
        <w:t>Corporations Act 2001</w:t>
      </w:r>
    </w:p>
    <w:p w14:paraId="00354464" w14:textId="77777777" w:rsidR="00E93F58" w:rsidRPr="00FB5439" w:rsidRDefault="00E93F58" w:rsidP="00070F64">
      <w:pPr>
        <w:keepLines/>
        <w:spacing w:before="240" w:after="240"/>
        <w:rPr>
          <w:rFonts w:ascii="Arial" w:hAnsi="Arial" w:cs="Arial"/>
          <w:szCs w:val="22"/>
        </w:rPr>
      </w:pPr>
      <w:r w:rsidRPr="00FB5439">
        <w:rPr>
          <w:rFonts w:ascii="Arial" w:hAnsi="Arial" w:cs="Arial"/>
          <w:szCs w:val="22"/>
        </w:rPr>
        <w:t>NOTICE TO CONTRIBUTORIES OF APPOINTMENT TO SETTLE LIST OF CONTRIBUTORIES</w:t>
      </w:r>
    </w:p>
    <w:p w14:paraId="168D7231" w14:textId="77777777" w:rsidR="00E93F58" w:rsidRPr="00FB5439" w:rsidRDefault="00E93F58" w:rsidP="00070F64">
      <w:pPr>
        <w:keepLines/>
        <w:jc w:val="right"/>
      </w:pPr>
      <w:r w:rsidRPr="00FB5439">
        <w:t>Limited</w:t>
      </w:r>
    </w:p>
    <w:p w14:paraId="4B628EAE" w14:textId="77777777" w:rsidR="00E93F58" w:rsidRPr="00FB5439" w:rsidRDefault="00E93F58" w:rsidP="00070F64">
      <w:pPr>
        <w:keepLines/>
        <w:spacing w:line="180" w:lineRule="exact"/>
        <w:jc w:val="both"/>
      </w:pPr>
    </w:p>
    <w:p w14:paraId="1F0878FE" w14:textId="77777777" w:rsidR="00E93F58" w:rsidRPr="00FB5439" w:rsidRDefault="00E93F58" w:rsidP="00070F64">
      <w:pPr>
        <w:keepLines/>
        <w:jc w:val="both"/>
      </w:pPr>
      <w:r w:rsidRPr="00FB5439">
        <w:t>Take notice that I (</w:t>
      </w:r>
      <w:r w:rsidRPr="00FB5439">
        <w:rPr>
          <w:i/>
        </w:rPr>
        <w:t>name</w:t>
      </w:r>
      <w:r w:rsidRPr="00FB5439">
        <w:t>) of (</w:t>
      </w:r>
      <w:r w:rsidRPr="00FB5439">
        <w:rPr>
          <w:i/>
        </w:rPr>
        <w:t>address</w:t>
      </w:r>
      <w:r w:rsidRPr="00FB5439">
        <w:t>), the liquidator of the company, have appointed (</w:t>
      </w:r>
      <w:r w:rsidRPr="00FB5439">
        <w:rPr>
          <w:i/>
        </w:rPr>
        <w:t>time</w:t>
      </w:r>
      <w:r w:rsidRPr="00FB5439">
        <w:t xml:space="preserve">) </w:t>
      </w:r>
      <w:r w:rsidRPr="00A80D13">
        <w:rPr>
          <w:position w:val="6"/>
          <w:sz w:val="16"/>
        </w:rPr>
        <w:t>*</w:t>
      </w:r>
      <w:r w:rsidRPr="00FB5439">
        <w:t>a.m./</w:t>
      </w:r>
      <w:r w:rsidRPr="00A80D13">
        <w:rPr>
          <w:position w:val="6"/>
          <w:sz w:val="16"/>
        </w:rPr>
        <w:t>*</w:t>
      </w:r>
      <w:r w:rsidRPr="00FB5439">
        <w:t>p.m. on (</w:t>
      </w:r>
      <w:r w:rsidRPr="00FB5439">
        <w:rPr>
          <w:i/>
        </w:rPr>
        <w:t>date</w:t>
      </w:r>
      <w:r w:rsidRPr="00FB5439">
        <w:t>) at (</w:t>
      </w:r>
      <w:r w:rsidRPr="00FB5439">
        <w:rPr>
          <w:i/>
        </w:rPr>
        <w:t>address of place appointed for settlement</w:t>
      </w:r>
      <w:r w:rsidRPr="00FB5439">
        <w:t>), at which I must settle the list of the contributories of the company that I have made.  You are at present included in that list.</w:t>
      </w:r>
    </w:p>
    <w:p w14:paraId="231674C7" w14:textId="77777777" w:rsidR="00E93F58" w:rsidRPr="00FB5439" w:rsidRDefault="00E93F58" w:rsidP="00070F64">
      <w:pPr>
        <w:keepLines/>
        <w:spacing w:line="180" w:lineRule="exact"/>
        <w:jc w:val="both"/>
      </w:pPr>
    </w:p>
    <w:p w14:paraId="2F8ABB3A" w14:textId="77777777" w:rsidR="00E93F58" w:rsidRPr="00FB5439" w:rsidRDefault="00E93F58" w:rsidP="00070F64">
      <w:pPr>
        <w:keepLines/>
        <w:jc w:val="both"/>
      </w:pPr>
      <w:r w:rsidRPr="00FB5439">
        <w:t>Particulars of your inclusion are set out below.  Unless, before or at the time appointed for the settlement, you give me sufficient reason for your exclusion, your name will be included in the settled list.</w:t>
      </w:r>
    </w:p>
    <w:p w14:paraId="783D7E1A" w14:textId="77777777" w:rsidR="00E93F58" w:rsidRPr="00FB5439" w:rsidRDefault="00E93F58" w:rsidP="00070F64">
      <w:pPr>
        <w:keepLines/>
        <w:rPr>
          <w:sz w:val="18"/>
        </w:rPr>
      </w:pPr>
    </w:p>
    <w:p w14:paraId="6A1BAA12" w14:textId="77777777" w:rsidR="00E93F58" w:rsidRPr="00FB5439" w:rsidRDefault="00E93F58" w:rsidP="00070F64">
      <w:pPr>
        <w:keepLines/>
        <w:jc w:val="both"/>
      </w:pPr>
      <w:r w:rsidRPr="00FB5439">
        <w:t>Dated</w:t>
      </w:r>
    </w:p>
    <w:p w14:paraId="425873D8" w14:textId="77777777" w:rsidR="00E93F58" w:rsidRPr="00FB5439" w:rsidRDefault="00E93F58" w:rsidP="00070F64">
      <w:pPr>
        <w:keepLines/>
        <w:rPr>
          <w:sz w:val="18"/>
        </w:rPr>
      </w:pPr>
    </w:p>
    <w:p w14:paraId="5660F03F" w14:textId="77777777" w:rsidR="00E93F58" w:rsidRPr="00FB5439" w:rsidRDefault="00E93F58" w:rsidP="00070F64">
      <w:pPr>
        <w:keepLines/>
        <w:jc w:val="both"/>
      </w:pPr>
      <w:r w:rsidRPr="00FB5439">
        <w:t>Signature of liquidator</w:t>
      </w:r>
    </w:p>
    <w:p w14:paraId="5FED855D" w14:textId="77777777" w:rsidR="00E93F58" w:rsidRPr="00FB5439" w:rsidRDefault="00E93F58" w:rsidP="00070F64">
      <w:pPr>
        <w:keepLines/>
        <w:tabs>
          <w:tab w:val="left" w:pos="2268"/>
          <w:tab w:val="left" w:pos="5670"/>
        </w:tabs>
        <w:jc w:val="center"/>
      </w:pPr>
    </w:p>
    <w:tbl>
      <w:tblPr>
        <w:tblW w:w="5000" w:type="pct"/>
        <w:tblLook w:val="0000" w:firstRow="0" w:lastRow="0" w:firstColumn="0" w:lastColumn="0" w:noHBand="0" w:noVBand="0"/>
      </w:tblPr>
      <w:tblGrid>
        <w:gridCol w:w="1271"/>
        <w:gridCol w:w="1058"/>
        <w:gridCol w:w="1478"/>
        <w:gridCol w:w="1584"/>
        <w:gridCol w:w="1344"/>
        <w:gridCol w:w="1347"/>
        <w:gridCol w:w="1347"/>
        <w:gridCol w:w="1344"/>
      </w:tblGrid>
      <w:tr w:rsidR="00E93F58" w:rsidRPr="00FB5439" w14:paraId="7BDAD0E7" w14:textId="77777777" w:rsidTr="00B23434">
        <w:tc>
          <w:tcPr>
            <w:tcW w:w="590" w:type="pct"/>
            <w:tcBorders>
              <w:top w:val="single" w:sz="6" w:space="0" w:color="auto"/>
              <w:bottom w:val="single" w:sz="6" w:space="0" w:color="auto"/>
            </w:tcBorders>
          </w:tcPr>
          <w:p w14:paraId="362230E1" w14:textId="77777777" w:rsidR="00E93F58" w:rsidRPr="00FB5439" w:rsidRDefault="00E93F58" w:rsidP="00070F64">
            <w:pPr>
              <w:keepLines/>
              <w:rPr>
                <w:b/>
                <w:sz w:val="18"/>
              </w:rPr>
            </w:pPr>
            <w:r w:rsidRPr="00FB5439">
              <w:rPr>
                <w:b/>
                <w:sz w:val="18"/>
              </w:rPr>
              <w:t>Serial No.</w:t>
            </w:r>
          </w:p>
        </w:tc>
        <w:tc>
          <w:tcPr>
            <w:tcW w:w="491" w:type="pct"/>
            <w:tcBorders>
              <w:top w:val="single" w:sz="6" w:space="0" w:color="auto"/>
              <w:bottom w:val="single" w:sz="6" w:space="0" w:color="auto"/>
            </w:tcBorders>
          </w:tcPr>
          <w:p w14:paraId="58B9F763" w14:textId="77777777" w:rsidR="00E93F58" w:rsidRPr="00FB5439" w:rsidRDefault="00E93F58" w:rsidP="00070F64">
            <w:pPr>
              <w:keepLines/>
              <w:rPr>
                <w:b/>
                <w:sz w:val="18"/>
              </w:rPr>
            </w:pPr>
            <w:r w:rsidRPr="00FB5439">
              <w:rPr>
                <w:b/>
                <w:sz w:val="18"/>
              </w:rPr>
              <w:t>Name</w:t>
            </w:r>
          </w:p>
        </w:tc>
        <w:tc>
          <w:tcPr>
            <w:tcW w:w="686" w:type="pct"/>
            <w:tcBorders>
              <w:top w:val="single" w:sz="6" w:space="0" w:color="auto"/>
              <w:bottom w:val="single" w:sz="6" w:space="0" w:color="auto"/>
            </w:tcBorders>
          </w:tcPr>
          <w:p w14:paraId="71546E06" w14:textId="77777777" w:rsidR="00E93F58" w:rsidRPr="00FB5439" w:rsidRDefault="00E93F58" w:rsidP="00070F64">
            <w:pPr>
              <w:keepLines/>
              <w:rPr>
                <w:b/>
                <w:sz w:val="18"/>
              </w:rPr>
            </w:pPr>
            <w:r w:rsidRPr="00FB5439">
              <w:rPr>
                <w:b/>
                <w:sz w:val="18"/>
              </w:rPr>
              <w:t>Address</w:t>
            </w:r>
          </w:p>
        </w:tc>
        <w:tc>
          <w:tcPr>
            <w:tcW w:w="735" w:type="pct"/>
            <w:tcBorders>
              <w:top w:val="single" w:sz="6" w:space="0" w:color="auto"/>
              <w:bottom w:val="single" w:sz="6" w:space="0" w:color="auto"/>
            </w:tcBorders>
          </w:tcPr>
          <w:p w14:paraId="4F0DCCF2" w14:textId="77777777" w:rsidR="00E93F58" w:rsidRPr="00FB5439" w:rsidRDefault="00E93F58" w:rsidP="00070F64">
            <w:pPr>
              <w:keepLines/>
              <w:ind w:left="-108" w:right="-179"/>
              <w:rPr>
                <w:b/>
                <w:sz w:val="18"/>
              </w:rPr>
            </w:pPr>
            <w:r w:rsidRPr="00FB5439">
              <w:rPr>
                <w:b/>
                <w:sz w:val="18"/>
              </w:rPr>
              <w:t>Description</w:t>
            </w:r>
          </w:p>
          <w:p w14:paraId="5F7C47FD" w14:textId="77777777" w:rsidR="00E93F58" w:rsidRPr="00FB5439" w:rsidRDefault="00E93F58" w:rsidP="00070F64">
            <w:pPr>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14:paraId="3DE29A37" w14:textId="77777777" w:rsidR="00E93F58" w:rsidRPr="00FB5439" w:rsidRDefault="00E93F58" w:rsidP="00070F64">
            <w:pPr>
              <w:keepLines/>
              <w:rPr>
                <w:b/>
                <w:sz w:val="18"/>
              </w:rPr>
            </w:pPr>
            <w:r w:rsidRPr="00FB5439">
              <w:rPr>
                <w:b/>
                <w:sz w:val="18"/>
              </w:rPr>
              <w:t>Number of shares (or extent of interest)</w:t>
            </w:r>
          </w:p>
        </w:tc>
        <w:tc>
          <w:tcPr>
            <w:tcW w:w="625" w:type="pct"/>
            <w:tcBorders>
              <w:top w:val="single" w:sz="6" w:space="0" w:color="auto"/>
              <w:bottom w:val="single" w:sz="6" w:space="0" w:color="auto"/>
            </w:tcBorders>
          </w:tcPr>
          <w:p w14:paraId="3942F9A3" w14:textId="77777777" w:rsidR="00E93F58" w:rsidRPr="00FB5439" w:rsidRDefault="00E93F58" w:rsidP="00070F64">
            <w:pPr>
              <w:keepLines/>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14:paraId="596FAAE5" w14:textId="77777777" w:rsidR="00E93F58" w:rsidRPr="00FB5439" w:rsidRDefault="00E93F58" w:rsidP="00070F64">
            <w:pPr>
              <w:keepLines/>
              <w:rPr>
                <w:b/>
                <w:sz w:val="18"/>
              </w:rPr>
            </w:pPr>
            <w:r w:rsidRPr="00FB5439">
              <w:rPr>
                <w:b/>
                <w:sz w:val="18"/>
              </w:rPr>
              <w:t>Amount paid up at date of start of winding up</w:t>
            </w:r>
          </w:p>
        </w:tc>
        <w:tc>
          <w:tcPr>
            <w:tcW w:w="625" w:type="pct"/>
            <w:tcBorders>
              <w:top w:val="single" w:sz="6" w:space="0" w:color="auto"/>
              <w:bottom w:val="single" w:sz="6" w:space="0" w:color="auto"/>
            </w:tcBorders>
          </w:tcPr>
          <w:p w14:paraId="2BFBF460" w14:textId="77777777" w:rsidR="00E93F58" w:rsidRPr="00FB5439" w:rsidRDefault="00E93F58" w:rsidP="00070F64">
            <w:pPr>
              <w:keepLines/>
              <w:rPr>
                <w:b/>
                <w:sz w:val="18"/>
              </w:rPr>
            </w:pPr>
            <w:r w:rsidRPr="00FB5439">
              <w:rPr>
                <w:b/>
                <w:sz w:val="18"/>
              </w:rPr>
              <w:t>Amount not called up at date of start of winding up</w:t>
            </w:r>
          </w:p>
        </w:tc>
      </w:tr>
      <w:tr w:rsidR="00E93F58" w:rsidRPr="00FB5439" w14:paraId="4A6DDAA4" w14:textId="77777777" w:rsidTr="00B23434">
        <w:tc>
          <w:tcPr>
            <w:tcW w:w="590" w:type="pct"/>
          </w:tcPr>
          <w:p w14:paraId="148D1971" w14:textId="77777777" w:rsidR="00E93F58" w:rsidRPr="00FB5439" w:rsidRDefault="00E93F58" w:rsidP="00070F64"/>
        </w:tc>
        <w:tc>
          <w:tcPr>
            <w:tcW w:w="491" w:type="pct"/>
          </w:tcPr>
          <w:p w14:paraId="0415D0B5" w14:textId="77777777" w:rsidR="00E93F58" w:rsidRPr="00FB5439" w:rsidRDefault="00E93F58" w:rsidP="00070F64"/>
        </w:tc>
        <w:tc>
          <w:tcPr>
            <w:tcW w:w="686" w:type="pct"/>
          </w:tcPr>
          <w:p w14:paraId="53F45C43" w14:textId="77777777" w:rsidR="00E93F58" w:rsidRPr="00FB5439" w:rsidRDefault="00E93F58" w:rsidP="00070F64"/>
        </w:tc>
        <w:tc>
          <w:tcPr>
            <w:tcW w:w="735" w:type="pct"/>
          </w:tcPr>
          <w:p w14:paraId="60844C22" w14:textId="77777777" w:rsidR="00E93F58" w:rsidRPr="00FB5439" w:rsidRDefault="00E93F58" w:rsidP="00070F64"/>
        </w:tc>
        <w:tc>
          <w:tcPr>
            <w:tcW w:w="624" w:type="pct"/>
          </w:tcPr>
          <w:p w14:paraId="4E698D5E" w14:textId="77777777" w:rsidR="00E93F58" w:rsidRPr="00FB5439" w:rsidRDefault="00E93F58" w:rsidP="00070F64"/>
        </w:tc>
        <w:tc>
          <w:tcPr>
            <w:tcW w:w="625" w:type="pct"/>
          </w:tcPr>
          <w:p w14:paraId="426120E5" w14:textId="77777777" w:rsidR="00E93F58" w:rsidRPr="00FB5439" w:rsidRDefault="00E93F58" w:rsidP="00070F64"/>
        </w:tc>
        <w:tc>
          <w:tcPr>
            <w:tcW w:w="625" w:type="pct"/>
          </w:tcPr>
          <w:p w14:paraId="2337D18D" w14:textId="77777777" w:rsidR="00E93F58" w:rsidRPr="00FB5439" w:rsidRDefault="00E93F58" w:rsidP="00070F64"/>
        </w:tc>
        <w:tc>
          <w:tcPr>
            <w:tcW w:w="625" w:type="pct"/>
          </w:tcPr>
          <w:p w14:paraId="2F6ED854" w14:textId="77777777" w:rsidR="00E93F58" w:rsidRPr="00FB5439" w:rsidRDefault="00E93F58" w:rsidP="00070F64"/>
        </w:tc>
      </w:tr>
      <w:tr w:rsidR="00E93F58" w:rsidRPr="00FB5439" w14:paraId="1EF2266C" w14:textId="77777777" w:rsidTr="00B23434">
        <w:tc>
          <w:tcPr>
            <w:tcW w:w="590" w:type="pct"/>
            <w:tcBorders>
              <w:bottom w:val="single" w:sz="6" w:space="0" w:color="auto"/>
            </w:tcBorders>
          </w:tcPr>
          <w:p w14:paraId="7369B465" w14:textId="77777777" w:rsidR="00E93F58" w:rsidRPr="00FB5439" w:rsidRDefault="00E93F58" w:rsidP="00070F64"/>
        </w:tc>
        <w:tc>
          <w:tcPr>
            <w:tcW w:w="491" w:type="pct"/>
            <w:tcBorders>
              <w:bottom w:val="single" w:sz="6" w:space="0" w:color="auto"/>
            </w:tcBorders>
          </w:tcPr>
          <w:p w14:paraId="393A7955" w14:textId="77777777" w:rsidR="00E93F58" w:rsidRPr="00FB5439" w:rsidRDefault="00E93F58" w:rsidP="00070F64"/>
        </w:tc>
        <w:tc>
          <w:tcPr>
            <w:tcW w:w="686" w:type="pct"/>
            <w:tcBorders>
              <w:bottom w:val="single" w:sz="6" w:space="0" w:color="auto"/>
            </w:tcBorders>
          </w:tcPr>
          <w:p w14:paraId="134D886D" w14:textId="77777777" w:rsidR="00E93F58" w:rsidRPr="00FB5439" w:rsidRDefault="00E93F58" w:rsidP="00070F64"/>
        </w:tc>
        <w:tc>
          <w:tcPr>
            <w:tcW w:w="735" w:type="pct"/>
            <w:tcBorders>
              <w:bottom w:val="single" w:sz="6" w:space="0" w:color="auto"/>
            </w:tcBorders>
          </w:tcPr>
          <w:p w14:paraId="20776935" w14:textId="77777777" w:rsidR="00E93F58" w:rsidRPr="00FB5439" w:rsidRDefault="00E93F58" w:rsidP="00070F64"/>
        </w:tc>
        <w:tc>
          <w:tcPr>
            <w:tcW w:w="624" w:type="pct"/>
            <w:tcBorders>
              <w:bottom w:val="single" w:sz="6" w:space="0" w:color="auto"/>
            </w:tcBorders>
          </w:tcPr>
          <w:p w14:paraId="200BE528" w14:textId="77777777" w:rsidR="00E93F58" w:rsidRPr="00FB5439" w:rsidRDefault="00E93F58" w:rsidP="00070F64"/>
        </w:tc>
        <w:tc>
          <w:tcPr>
            <w:tcW w:w="625" w:type="pct"/>
            <w:tcBorders>
              <w:bottom w:val="single" w:sz="6" w:space="0" w:color="auto"/>
            </w:tcBorders>
          </w:tcPr>
          <w:p w14:paraId="0362ED47" w14:textId="77777777" w:rsidR="00E93F58" w:rsidRPr="00FB5439" w:rsidRDefault="00E93F58" w:rsidP="00070F64"/>
        </w:tc>
        <w:tc>
          <w:tcPr>
            <w:tcW w:w="625" w:type="pct"/>
            <w:tcBorders>
              <w:bottom w:val="single" w:sz="6" w:space="0" w:color="auto"/>
            </w:tcBorders>
          </w:tcPr>
          <w:p w14:paraId="053563AF" w14:textId="77777777" w:rsidR="00E93F58" w:rsidRPr="00FB5439" w:rsidRDefault="00E93F58" w:rsidP="00070F64"/>
        </w:tc>
        <w:tc>
          <w:tcPr>
            <w:tcW w:w="625" w:type="pct"/>
            <w:tcBorders>
              <w:bottom w:val="single" w:sz="6" w:space="0" w:color="auto"/>
            </w:tcBorders>
          </w:tcPr>
          <w:p w14:paraId="6C3DEE76" w14:textId="77777777" w:rsidR="00E93F58" w:rsidRPr="00FB5439" w:rsidRDefault="00E93F58" w:rsidP="00070F64"/>
        </w:tc>
      </w:tr>
      <w:tr w:rsidR="00E93F58" w:rsidRPr="00FB5439" w14:paraId="157744B2" w14:textId="77777777" w:rsidTr="00B23434">
        <w:tc>
          <w:tcPr>
            <w:tcW w:w="590" w:type="pct"/>
          </w:tcPr>
          <w:p w14:paraId="4AB8B2F5" w14:textId="77777777" w:rsidR="00E93F58" w:rsidRPr="00FB5439" w:rsidRDefault="00E93F58" w:rsidP="00070F64"/>
        </w:tc>
        <w:tc>
          <w:tcPr>
            <w:tcW w:w="491" w:type="pct"/>
          </w:tcPr>
          <w:p w14:paraId="2AB643E9" w14:textId="77777777" w:rsidR="00E93F58" w:rsidRPr="00FB5439" w:rsidRDefault="00E93F58" w:rsidP="00070F64"/>
        </w:tc>
        <w:tc>
          <w:tcPr>
            <w:tcW w:w="686" w:type="pct"/>
          </w:tcPr>
          <w:p w14:paraId="2D58127E" w14:textId="77777777" w:rsidR="00E93F58" w:rsidRPr="00FB5439" w:rsidRDefault="00E93F58" w:rsidP="00070F64"/>
        </w:tc>
        <w:tc>
          <w:tcPr>
            <w:tcW w:w="735" w:type="pct"/>
          </w:tcPr>
          <w:p w14:paraId="26CA453D" w14:textId="77777777" w:rsidR="00E93F58" w:rsidRPr="00FB5439" w:rsidRDefault="00E93F58" w:rsidP="00070F64"/>
        </w:tc>
        <w:tc>
          <w:tcPr>
            <w:tcW w:w="624" w:type="pct"/>
          </w:tcPr>
          <w:p w14:paraId="38CF0A5B" w14:textId="77777777" w:rsidR="00E93F58" w:rsidRPr="00FB5439" w:rsidRDefault="00E93F58" w:rsidP="00070F64"/>
        </w:tc>
        <w:tc>
          <w:tcPr>
            <w:tcW w:w="625" w:type="pct"/>
          </w:tcPr>
          <w:p w14:paraId="79CD0CB0" w14:textId="77777777" w:rsidR="00E93F58" w:rsidRPr="00FB5439" w:rsidRDefault="00E93F58" w:rsidP="00070F64"/>
        </w:tc>
        <w:tc>
          <w:tcPr>
            <w:tcW w:w="625" w:type="pct"/>
          </w:tcPr>
          <w:p w14:paraId="4A6CAEA7" w14:textId="77777777" w:rsidR="00E93F58" w:rsidRPr="00FB5439" w:rsidRDefault="00E93F58" w:rsidP="00070F64"/>
        </w:tc>
        <w:tc>
          <w:tcPr>
            <w:tcW w:w="625" w:type="pct"/>
          </w:tcPr>
          <w:p w14:paraId="46751A1A" w14:textId="77777777" w:rsidR="00E93F58" w:rsidRPr="00FB5439" w:rsidRDefault="00E93F58" w:rsidP="00070F64"/>
        </w:tc>
      </w:tr>
      <w:tr w:rsidR="00E93F58" w:rsidRPr="00FB5439" w14:paraId="5AD67FC3" w14:textId="77777777" w:rsidTr="00B23434">
        <w:tc>
          <w:tcPr>
            <w:tcW w:w="590" w:type="pct"/>
            <w:tcBorders>
              <w:bottom w:val="single" w:sz="4" w:space="0" w:color="auto"/>
            </w:tcBorders>
          </w:tcPr>
          <w:p w14:paraId="1B930DB3" w14:textId="77777777" w:rsidR="00E93F58" w:rsidRPr="00FB5439" w:rsidRDefault="00E93F58" w:rsidP="00070F64"/>
        </w:tc>
        <w:tc>
          <w:tcPr>
            <w:tcW w:w="491" w:type="pct"/>
            <w:tcBorders>
              <w:bottom w:val="single" w:sz="4" w:space="0" w:color="auto"/>
            </w:tcBorders>
          </w:tcPr>
          <w:p w14:paraId="738145DF" w14:textId="77777777" w:rsidR="00E93F58" w:rsidRPr="00FB5439" w:rsidRDefault="00E93F58" w:rsidP="00070F64"/>
        </w:tc>
        <w:tc>
          <w:tcPr>
            <w:tcW w:w="686" w:type="pct"/>
            <w:tcBorders>
              <w:bottom w:val="single" w:sz="4" w:space="0" w:color="auto"/>
            </w:tcBorders>
          </w:tcPr>
          <w:p w14:paraId="41625E8B" w14:textId="77777777" w:rsidR="00E93F58" w:rsidRPr="00FB5439" w:rsidRDefault="00E93F58" w:rsidP="00070F64"/>
        </w:tc>
        <w:tc>
          <w:tcPr>
            <w:tcW w:w="735" w:type="pct"/>
            <w:tcBorders>
              <w:bottom w:val="single" w:sz="4" w:space="0" w:color="auto"/>
            </w:tcBorders>
          </w:tcPr>
          <w:p w14:paraId="75D1CEF0" w14:textId="77777777" w:rsidR="00E93F58" w:rsidRPr="00FB5439" w:rsidRDefault="00E93F58" w:rsidP="00070F64"/>
        </w:tc>
        <w:tc>
          <w:tcPr>
            <w:tcW w:w="624" w:type="pct"/>
            <w:tcBorders>
              <w:bottom w:val="single" w:sz="4" w:space="0" w:color="auto"/>
            </w:tcBorders>
          </w:tcPr>
          <w:p w14:paraId="0CFCC23B" w14:textId="77777777" w:rsidR="00E93F58" w:rsidRPr="00FB5439" w:rsidRDefault="00E93F58" w:rsidP="00070F64"/>
        </w:tc>
        <w:tc>
          <w:tcPr>
            <w:tcW w:w="625" w:type="pct"/>
            <w:tcBorders>
              <w:bottom w:val="single" w:sz="4" w:space="0" w:color="auto"/>
            </w:tcBorders>
          </w:tcPr>
          <w:p w14:paraId="57B3FA6B" w14:textId="77777777" w:rsidR="00E93F58" w:rsidRPr="00FB5439" w:rsidRDefault="00E93F58" w:rsidP="00070F64"/>
        </w:tc>
        <w:tc>
          <w:tcPr>
            <w:tcW w:w="625" w:type="pct"/>
            <w:tcBorders>
              <w:bottom w:val="single" w:sz="4" w:space="0" w:color="auto"/>
            </w:tcBorders>
          </w:tcPr>
          <w:p w14:paraId="2E9AC26C" w14:textId="77777777" w:rsidR="00E93F58" w:rsidRPr="00FB5439" w:rsidRDefault="00E93F58" w:rsidP="00070F64"/>
        </w:tc>
        <w:tc>
          <w:tcPr>
            <w:tcW w:w="625" w:type="pct"/>
            <w:tcBorders>
              <w:bottom w:val="single" w:sz="4" w:space="0" w:color="auto"/>
            </w:tcBorders>
          </w:tcPr>
          <w:p w14:paraId="02218420" w14:textId="77777777" w:rsidR="00E93F58" w:rsidRPr="00FB5439" w:rsidRDefault="00E93F58" w:rsidP="00070F64"/>
        </w:tc>
      </w:tr>
    </w:tbl>
    <w:p w14:paraId="71F04843" w14:textId="77777777" w:rsidR="00E93F58" w:rsidRPr="00FB5439" w:rsidRDefault="00E93F58" w:rsidP="00070F64">
      <w:pPr>
        <w:spacing w:line="180" w:lineRule="exact"/>
        <w:jc w:val="both"/>
      </w:pPr>
    </w:p>
    <w:p w14:paraId="2A111CD1" w14:textId="77777777" w:rsidR="00E93F58" w:rsidRPr="00FB5439" w:rsidRDefault="00E93F58" w:rsidP="00070F64">
      <w:pPr>
        <w:jc w:val="both"/>
      </w:pPr>
      <w:r w:rsidRPr="00A80D13">
        <w:rPr>
          <w:position w:val="6"/>
          <w:sz w:val="16"/>
        </w:rPr>
        <w:t>*</w:t>
      </w:r>
      <w:r w:rsidRPr="00FB5439">
        <w:t xml:space="preserve"> Strike out whichever is inapplicable.</w:t>
      </w:r>
    </w:p>
    <w:p w14:paraId="6D8B35BF" w14:textId="77777777" w:rsidR="00E93F58" w:rsidRPr="00FB5439" w:rsidRDefault="00E93F58" w:rsidP="00070F64">
      <w:pPr>
        <w:jc w:val="both"/>
      </w:pPr>
    </w:p>
    <w:p w14:paraId="1099C698" w14:textId="77777777" w:rsidR="00E93F58" w:rsidRPr="00FB5439" w:rsidRDefault="00E93F58" w:rsidP="00070F64">
      <w:pPr>
        <w:jc w:val="both"/>
      </w:pPr>
      <w:r w:rsidRPr="00FB5439">
        <w:t>NOTES</w:t>
      </w:r>
    </w:p>
    <w:p w14:paraId="76645F66" w14:textId="77777777" w:rsidR="00E93F58" w:rsidRPr="00FB5439" w:rsidRDefault="00E93F58" w:rsidP="00070F64">
      <w:pPr>
        <w:jc w:val="both"/>
      </w:pPr>
    </w:p>
    <w:p w14:paraId="03ACD660" w14:textId="77777777" w:rsidR="00E93F58" w:rsidRPr="00FB5439" w:rsidRDefault="00E93F58" w:rsidP="00070F64">
      <w:pPr>
        <w:pStyle w:val="form1"/>
        <w:jc w:val="both"/>
        <w:rPr>
          <w:sz w:val="24"/>
        </w:rPr>
      </w:pPr>
      <w:r w:rsidRPr="00FB5439">
        <w:rPr>
          <w:sz w:val="24"/>
        </w:rPr>
        <w:t>1.</w:t>
      </w:r>
      <w:r w:rsidRPr="00FB5439">
        <w:rPr>
          <w:sz w:val="24"/>
        </w:rPr>
        <w:tab/>
        <w:t>Contributories do not have to attend the appointment referred to in this notice if they are satisfied that the particulars contained in the notice are correct.</w:t>
      </w:r>
    </w:p>
    <w:p w14:paraId="18A8E058" w14:textId="77777777" w:rsidR="00E93F58" w:rsidRPr="00FB5439" w:rsidRDefault="00E93F58" w:rsidP="00070F64">
      <w:pPr>
        <w:jc w:val="both"/>
      </w:pPr>
    </w:p>
    <w:p w14:paraId="21B33DAD" w14:textId="77777777" w:rsidR="00E93F58" w:rsidRPr="00FB5439" w:rsidRDefault="00E93F58" w:rsidP="00070F64">
      <w:pPr>
        <w:pStyle w:val="form1"/>
        <w:jc w:val="both"/>
        <w:rPr>
          <w:sz w:val="24"/>
        </w:rPr>
      </w:pPr>
      <w:r w:rsidRPr="00FB5439">
        <w:rPr>
          <w:sz w:val="24"/>
        </w:rPr>
        <w:t>2.</w:t>
      </w:r>
      <w:r w:rsidRPr="00FB5439">
        <w:rPr>
          <w:sz w:val="24"/>
        </w:rPr>
        <w:tab/>
        <w:t>A shareholder’s name cannot be omitted from the list of contributories because he or she is unable to pay calls; this question will be dealt with when application is made for payment of the calls.</w:t>
      </w:r>
    </w:p>
    <w:p w14:paraId="7451E80B" w14:textId="77777777" w:rsidR="00E93F58" w:rsidRPr="00FB5439" w:rsidRDefault="00E93F58" w:rsidP="00070F64">
      <w:pPr>
        <w:pStyle w:val="form1"/>
        <w:jc w:val="both"/>
        <w:rPr>
          <w:sz w:val="24"/>
        </w:rPr>
      </w:pPr>
    </w:p>
    <w:p w14:paraId="053FD1CE" w14:textId="77777777" w:rsidR="00E93F58" w:rsidRPr="00FB5439" w:rsidRDefault="00E93F58" w:rsidP="00070F64">
      <w:pPr>
        <w:pStyle w:val="form1"/>
        <w:jc w:val="both"/>
        <w:rPr>
          <w:sz w:val="24"/>
        </w:rPr>
      </w:pPr>
      <w:r w:rsidRPr="00FB5439">
        <w:rPr>
          <w:sz w:val="24"/>
        </w:rPr>
        <w:t>3.</w:t>
      </w:r>
      <w:r w:rsidRPr="00FB5439">
        <w:rPr>
          <w:sz w:val="24"/>
        </w:rPr>
        <w:tab/>
        <w:t>A change of address may be notified by giving notice to the liquidator by post before the date fixed for the appointment.</w:t>
      </w:r>
    </w:p>
    <w:p w14:paraId="7C607D36" w14:textId="77777777" w:rsidR="00E93F58" w:rsidRPr="00FB5439" w:rsidRDefault="00E93F58" w:rsidP="00A80D13">
      <w:pPr>
        <w:pStyle w:val="ActHead2"/>
        <w:pageBreakBefore/>
      </w:pPr>
      <w:bookmarkStart w:id="3200" w:name="_Toc151992785"/>
      <w:bookmarkStart w:id="3201" w:name="_Toc158713388"/>
      <w:r w:rsidRPr="00FB5439">
        <w:rPr>
          <w:rStyle w:val="CharPartNo"/>
        </w:rPr>
        <w:lastRenderedPageBreak/>
        <w:t>Form 541</w:t>
      </w:r>
      <w:bookmarkEnd w:id="3200"/>
      <w:bookmarkEnd w:id="3201"/>
      <w:r w:rsidRPr="00FB5439">
        <w:rPr>
          <w:rStyle w:val="CharPartText"/>
        </w:rPr>
        <w:t xml:space="preserve"> </w:t>
      </w:r>
      <w:r w:rsidRPr="00FB5439">
        <w:t xml:space="preserve"> </w:t>
      </w:r>
    </w:p>
    <w:p w14:paraId="1CB0755C" w14:textId="77777777" w:rsidR="00E93F58" w:rsidRPr="00FB5439" w:rsidRDefault="00E93F58" w:rsidP="004C686D">
      <w:pPr>
        <w:pStyle w:val="notemargin"/>
      </w:pPr>
      <w:r w:rsidRPr="00FB5439">
        <w:t>(subregulation 5.6.60(2))</w:t>
      </w:r>
    </w:p>
    <w:p w14:paraId="3892FDE6" w14:textId="77777777" w:rsidR="00E93F58" w:rsidRPr="00FB5439" w:rsidRDefault="00E93F58" w:rsidP="00070F64">
      <w:pPr>
        <w:rPr>
          <w:sz w:val="18"/>
        </w:rPr>
      </w:pPr>
    </w:p>
    <w:p w14:paraId="7A233239" w14:textId="77777777" w:rsidR="00E93F58" w:rsidRPr="00FB5439" w:rsidRDefault="00E93F58" w:rsidP="00070F64">
      <w:pPr>
        <w:rPr>
          <w:i/>
        </w:rPr>
      </w:pPr>
      <w:r w:rsidRPr="00FB5439">
        <w:t>A.C.N. or A.R.B.N.:</w:t>
      </w:r>
    </w:p>
    <w:p w14:paraId="334AB476" w14:textId="77777777" w:rsidR="00E93F58" w:rsidRPr="00FB5439" w:rsidRDefault="00E93F58" w:rsidP="00070F64"/>
    <w:p w14:paraId="53F9E12B" w14:textId="77777777" w:rsidR="00E93F58" w:rsidRPr="00FB5439" w:rsidRDefault="00E93F58" w:rsidP="00070F64">
      <w:r w:rsidRPr="00FB5439">
        <w:rPr>
          <w:i/>
        </w:rPr>
        <w:t>Corporations Act 2001</w:t>
      </w:r>
    </w:p>
    <w:p w14:paraId="34400158" w14:textId="77777777" w:rsidR="00E93F58" w:rsidRPr="00FB5439" w:rsidRDefault="00E93F58" w:rsidP="00070F64">
      <w:pPr>
        <w:spacing w:before="240" w:after="240"/>
        <w:rPr>
          <w:rFonts w:ascii="Arial" w:hAnsi="Arial" w:cs="Arial"/>
          <w:szCs w:val="22"/>
        </w:rPr>
      </w:pPr>
      <w:r w:rsidRPr="00FB5439">
        <w:rPr>
          <w:rFonts w:ascii="Arial" w:hAnsi="Arial" w:cs="Arial"/>
          <w:szCs w:val="22"/>
        </w:rPr>
        <w:t>CERTIFICATE OF LIQUIDATOR OF FINAL SETTLEMENT OF LIST OF CONTRIBUTORIES</w:t>
      </w:r>
    </w:p>
    <w:p w14:paraId="168054D4" w14:textId="77777777" w:rsidR="00E93F58" w:rsidRPr="00FB5439" w:rsidRDefault="00E93F58" w:rsidP="00070F64">
      <w:pPr>
        <w:jc w:val="right"/>
      </w:pPr>
      <w:r w:rsidRPr="00FB5439">
        <w:t>Limited</w:t>
      </w:r>
    </w:p>
    <w:p w14:paraId="544303E9" w14:textId="77777777" w:rsidR="00E93F58" w:rsidRPr="00FB5439" w:rsidRDefault="00E93F58" w:rsidP="00070F64">
      <w:pPr>
        <w:jc w:val="both"/>
      </w:pPr>
    </w:p>
    <w:p w14:paraId="29F9D2A5" w14:textId="77777777" w:rsidR="00E93F58" w:rsidRPr="00FB5439" w:rsidRDefault="00E93F58" w:rsidP="00070F64">
      <w:pPr>
        <w:jc w:val="both"/>
      </w:pPr>
      <w:r w:rsidRPr="00FB5439">
        <w:t>I (</w:t>
      </w:r>
      <w:r w:rsidRPr="00FB5439">
        <w:rPr>
          <w:i/>
        </w:rPr>
        <w:t>name</w:t>
      </w:r>
      <w:r w:rsidRPr="00FB5439">
        <w:t>), the liquidator of the company, certify that the result of the settlement of the list of contributories of the company is as follows:</w:t>
      </w:r>
    </w:p>
    <w:p w14:paraId="7012C4FA" w14:textId="77777777" w:rsidR="00E93F58" w:rsidRPr="00FB5439" w:rsidRDefault="00E93F58" w:rsidP="00070F64">
      <w:pPr>
        <w:jc w:val="both"/>
      </w:pPr>
    </w:p>
    <w:p w14:paraId="1B1B9E23" w14:textId="77777777" w:rsidR="00E93F58" w:rsidRPr="00FB5439" w:rsidRDefault="00E93F58" w:rsidP="00070F64">
      <w:pPr>
        <w:pStyle w:val="form1"/>
        <w:jc w:val="both"/>
        <w:rPr>
          <w:sz w:val="24"/>
        </w:rPr>
      </w:pPr>
      <w:r w:rsidRPr="00FB5439">
        <w:rPr>
          <w:sz w:val="24"/>
        </w:rPr>
        <w:t>1.</w:t>
      </w:r>
      <w:r w:rsidRPr="00FB5439">
        <w:rPr>
          <w:sz w:val="24"/>
        </w:rPr>
        <w:tab/>
        <w:t>The persons named in Column 2 of Schedule 1 have been included in the list of contributories as contributories of the company in respect of the number of shares or extent of interest set out opposite their names.  I have listed in Part 1 of Schedule 1, contributories in their own right and, in Part 2 of Schedule 1, contributories who are representatives of, or liable for the debts of, others.</w:t>
      </w:r>
    </w:p>
    <w:p w14:paraId="0D8E6D2D" w14:textId="77777777" w:rsidR="00E93F58" w:rsidRPr="00FB5439" w:rsidRDefault="00E93F58" w:rsidP="00070F64">
      <w:pPr>
        <w:pStyle w:val="form1"/>
        <w:jc w:val="both"/>
        <w:rPr>
          <w:sz w:val="24"/>
        </w:rPr>
      </w:pPr>
    </w:p>
    <w:p w14:paraId="2BFEFD43" w14:textId="77777777" w:rsidR="00E93F58" w:rsidRPr="00FB5439" w:rsidRDefault="00E93F58" w:rsidP="00070F64">
      <w:pPr>
        <w:pStyle w:val="form1"/>
        <w:jc w:val="both"/>
        <w:rPr>
          <w:sz w:val="24"/>
        </w:rPr>
      </w:pPr>
      <w:r w:rsidRPr="00FB5439">
        <w:rPr>
          <w:sz w:val="24"/>
        </w:rPr>
        <w:t>2.</w:t>
      </w:r>
      <w:r w:rsidRPr="00FB5439">
        <w:rPr>
          <w:sz w:val="24"/>
        </w:rPr>
        <w:tab/>
        <w:t>The persons named in Column 2 of Schedule 2 were included in the provisional list of contributories, but have been excluded from the settled list of contributories.</w:t>
      </w:r>
    </w:p>
    <w:p w14:paraId="7046C9BB" w14:textId="77777777" w:rsidR="00E93F58" w:rsidRPr="00FB5439" w:rsidRDefault="00E93F58" w:rsidP="00070F64">
      <w:pPr>
        <w:pStyle w:val="form1"/>
        <w:jc w:val="both"/>
        <w:rPr>
          <w:sz w:val="24"/>
        </w:rPr>
      </w:pPr>
    </w:p>
    <w:p w14:paraId="66B5F554" w14:textId="77777777" w:rsidR="00E93F58" w:rsidRPr="00FB5439" w:rsidRDefault="00E93F58" w:rsidP="00070F64">
      <w:pPr>
        <w:pStyle w:val="form1"/>
        <w:jc w:val="both"/>
        <w:rPr>
          <w:sz w:val="24"/>
        </w:rPr>
      </w:pPr>
      <w:r w:rsidRPr="00FB5439">
        <w:rPr>
          <w:sz w:val="24"/>
        </w:rPr>
        <w:t>3.</w:t>
      </w:r>
      <w:r w:rsidRPr="00FB5439">
        <w:rPr>
          <w:sz w:val="24"/>
        </w:rPr>
        <w:tab/>
        <w:t>In Column 6 of Schedule 1 and in Column 6 of Schedule 2, I have set out opposite the name of each person the date when that person was included in or excluded from the list of contributories.</w:t>
      </w:r>
    </w:p>
    <w:p w14:paraId="6D919505" w14:textId="77777777" w:rsidR="00E93F58" w:rsidRPr="00FB5439" w:rsidRDefault="00E93F58" w:rsidP="00070F64">
      <w:pPr>
        <w:pStyle w:val="form1"/>
        <w:jc w:val="both"/>
        <w:rPr>
          <w:sz w:val="24"/>
        </w:rPr>
      </w:pPr>
    </w:p>
    <w:p w14:paraId="050EC42D" w14:textId="77777777" w:rsidR="00E93F58" w:rsidRPr="00FB5439" w:rsidRDefault="00E93F58" w:rsidP="00070F64">
      <w:pPr>
        <w:pStyle w:val="form1"/>
        <w:jc w:val="both"/>
        <w:rPr>
          <w:sz w:val="24"/>
        </w:rPr>
      </w:pPr>
      <w:r w:rsidRPr="00FB5439">
        <w:rPr>
          <w:sz w:val="24"/>
        </w:rPr>
        <w:t>4.</w:t>
      </w:r>
      <w:r w:rsidRPr="00FB5439">
        <w:rPr>
          <w:sz w:val="24"/>
        </w:rPr>
        <w:tab/>
        <w:t>In Columns 7 and 8 of Schedule 1, I have set out opposite the name of each person the amount called up at the date of the commencement of the winding up and the amount paid up at that date in respect of the shares, or interest, of that person.</w:t>
      </w:r>
    </w:p>
    <w:p w14:paraId="2288A06E" w14:textId="77777777" w:rsidR="00E93F58" w:rsidRPr="00FB5439" w:rsidRDefault="00E93F58" w:rsidP="00070F64">
      <w:pPr>
        <w:pStyle w:val="form1"/>
        <w:jc w:val="both"/>
        <w:rPr>
          <w:sz w:val="24"/>
        </w:rPr>
      </w:pPr>
    </w:p>
    <w:p w14:paraId="292ABE6A" w14:textId="77777777" w:rsidR="00E93F58" w:rsidRPr="00FB5439" w:rsidRDefault="00E93F58" w:rsidP="007D7E5D">
      <w:pPr>
        <w:ind w:left="-1259"/>
        <w:jc w:val="center"/>
        <w:rPr>
          <w:rFonts w:ascii="Times" w:hAnsi="Times"/>
          <w:b/>
        </w:rPr>
      </w:pPr>
      <w:r>
        <w:rPr>
          <w:rFonts w:ascii="Times" w:hAnsi="Times"/>
          <w:b/>
        </w:rPr>
        <w:t>SCHEDULE 1</w:t>
      </w:r>
    </w:p>
    <w:p w14:paraId="67D7C232" w14:textId="77777777" w:rsidR="00E93F58" w:rsidRPr="00FB5439" w:rsidRDefault="00E93F58" w:rsidP="00070F64">
      <w:pPr>
        <w:jc w:val="center"/>
        <w:rPr>
          <w:rFonts w:ascii="Times" w:hAnsi="Times"/>
          <w:b/>
        </w:rPr>
      </w:pPr>
      <w:r w:rsidRPr="00FB5439">
        <w:rPr>
          <w:rFonts w:ascii="Times" w:hAnsi="Times"/>
          <w:b/>
        </w:rPr>
        <w:t>PERSONS INCLUDED IN THE LIST OF CONTRIBUTORIES</w:t>
      </w:r>
    </w:p>
    <w:p w14:paraId="5B41E243" w14:textId="77777777" w:rsidR="00E93F58" w:rsidRPr="00FB5439" w:rsidRDefault="00E93F58" w:rsidP="00070F64">
      <w:pPr>
        <w:pStyle w:val="Header"/>
        <w:keepNext w:val="0"/>
      </w:pPr>
      <w:r w:rsidRPr="00FB5439">
        <w:t xml:space="preserve">  </w:t>
      </w:r>
    </w:p>
    <w:p w14:paraId="099205FA" w14:textId="77777777" w:rsidR="00E93F58" w:rsidRPr="00FB5439" w:rsidRDefault="00E93F58" w:rsidP="00926014">
      <w:pPr>
        <w:spacing w:line="240" w:lineRule="auto"/>
        <w:jc w:val="center"/>
        <w:rPr>
          <w:b/>
          <w:szCs w:val="22"/>
        </w:rPr>
      </w:pPr>
      <w:r>
        <w:rPr>
          <w:b/>
          <w:szCs w:val="22"/>
        </w:rPr>
        <w:t>PART 1</w:t>
      </w:r>
      <w:r w:rsidRPr="00FB5439">
        <w:rPr>
          <w:b/>
          <w:szCs w:val="22"/>
        </w:rPr>
        <w:t>: CONTRIBUTIONS IN THEIR OWN RIGHT</w:t>
      </w:r>
    </w:p>
    <w:p w14:paraId="41FBEEEF" w14:textId="77777777" w:rsidR="00E93F58" w:rsidRPr="00FB5439" w:rsidRDefault="00E93F58" w:rsidP="00926014">
      <w:pPr>
        <w:spacing w:line="240" w:lineRule="auto"/>
        <w:jc w:val="center"/>
        <w:rPr>
          <w:sz w:val="16"/>
          <w:szCs w:val="16"/>
        </w:rPr>
      </w:pPr>
    </w:p>
    <w:tbl>
      <w:tblPr>
        <w:tblW w:w="5000" w:type="pct"/>
        <w:tblBorders>
          <w:top w:val="single" w:sz="6" w:space="0" w:color="auto"/>
        </w:tblBorders>
        <w:tblLook w:val="0000" w:firstRow="0" w:lastRow="0" w:firstColumn="0" w:lastColumn="0" w:noHBand="0" w:noVBand="0"/>
      </w:tblPr>
      <w:tblGrid>
        <w:gridCol w:w="1195"/>
        <w:gridCol w:w="1198"/>
        <w:gridCol w:w="1198"/>
        <w:gridCol w:w="1198"/>
        <w:gridCol w:w="1196"/>
        <w:gridCol w:w="1198"/>
        <w:gridCol w:w="1198"/>
        <w:gridCol w:w="1198"/>
        <w:gridCol w:w="1194"/>
      </w:tblGrid>
      <w:tr w:rsidR="00E93F58" w:rsidRPr="00FB5439" w14:paraId="6193E2BC" w14:textId="77777777" w:rsidTr="00B23434">
        <w:tc>
          <w:tcPr>
            <w:tcW w:w="555" w:type="pct"/>
            <w:tcBorders>
              <w:bottom w:val="nil"/>
            </w:tcBorders>
          </w:tcPr>
          <w:p w14:paraId="790A199E" w14:textId="77777777" w:rsidR="00E93F58" w:rsidRPr="00FB5439" w:rsidRDefault="00E93F58" w:rsidP="00070F64">
            <w:pPr>
              <w:rPr>
                <w:b/>
                <w:sz w:val="18"/>
              </w:rPr>
            </w:pPr>
            <w:r w:rsidRPr="00FB5439">
              <w:rPr>
                <w:b/>
                <w:sz w:val="18"/>
              </w:rPr>
              <w:t>1</w:t>
            </w:r>
          </w:p>
        </w:tc>
        <w:tc>
          <w:tcPr>
            <w:tcW w:w="556" w:type="pct"/>
            <w:tcBorders>
              <w:bottom w:val="nil"/>
            </w:tcBorders>
          </w:tcPr>
          <w:p w14:paraId="1385B797" w14:textId="77777777" w:rsidR="00E93F58" w:rsidRPr="00FB5439" w:rsidRDefault="00E93F58" w:rsidP="00070F64">
            <w:pPr>
              <w:rPr>
                <w:b/>
                <w:sz w:val="18"/>
              </w:rPr>
            </w:pPr>
            <w:r w:rsidRPr="00FB5439">
              <w:rPr>
                <w:b/>
                <w:sz w:val="18"/>
              </w:rPr>
              <w:t>2</w:t>
            </w:r>
          </w:p>
        </w:tc>
        <w:tc>
          <w:tcPr>
            <w:tcW w:w="556" w:type="pct"/>
            <w:tcBorders>
              <w:bottom w:val="nil"/>
            </w:tcBorders>
          </w:tcPr>
          <w:p w14:paraId="0BE0D2A2" w14:textId="77777777" w:rsidR="00E93F58" w:rsidRPr="00FB5439" w:rsidRDefault="00E93F58" w:rsidP="00070F64">
            <w:pPr>
              <w:rPr>
                <w:b/>
                <w:sz w:val="18"/>
              </w:rPr>
            </w:pPr>
            <w:r w:rsidRPr="00FB5439">
              <w:rPr>
                <w:b/>
                <w:sz w:val="18"/>
              </w:rPr>
              <w:t>3</w:t>
            </w:r>
          </w:p>
        </w:tc>
        <w:tc>
          <w:tcPr>
            <w:tcW w:w="556" w:type="pct"/>
            <w:tcBorders>
              <w:bottom w:val="nil"/>
            </w:tcBorders>
          </w:tcPr>
          <w:p w14:paraId="4AFD3BDC" w14:textId="77777777" w:rsidR="00E93F58" w:rsidRPr="00FB5439" w:rsidRDefault="00E93F58" w:rsidP="00070F64">
            <w:pPr>
              <w:rPr>
                <w:b/>
                <w:sz w:val="18"/>
              </w:rPr>
            </w:pPr>
            <w:r w:rsidRPr="00FB5439">
              <w:rPr>
                <w:b/>
                <w:sz w:val="18"/>
              </w:rPr>
              <w:t>4</w:t>
            </w:r>
          </w:p>
        </w:tc>
        <w:tc>
          <w:tcPr>
            <w:tcW w:w="555" w:type="pct"/>
            <w:tcBorders>
              <w:bottom w:val="nil"/>
            </w:tcBorders>
          </w:tcPr>
          <w:p w14:paraId="6FEE4ACC" w14:textId="77777777" w:rsidR="00E93F58" w:rsidRPr="00FB5439" w:rsidRDefault="00E93F58" w:rsidP="00070F64">
            <w:pPr>
              <w:rPr>
                <w:b/>
                <w:sz w:val="18"/>
              </w:rPr>
            </w:pPr>
            <w:r w:rsidRPr="00FB5439">
              <w:rPr>
                <w:b/>
                <w:sz w:val="18"/>
              </w:rPr>
              <w:t>5</w:t>
            </w:r>
          </w:p>
        </w:tc>
        <w:tc>
          <w:tcPr>
            <w:tcW w:w="556" w:type="pct"/>
            <w:tcBorders>
              <w:bottom w:val="nil"/>
            </w:tcBorders>
          </w:tcPr>
          <w:p w14:paraId="23B8792F" w14:textId="77777777" w:rsidR="00E93F58" w:rsidRPr="00FB5439" w:rsidRDefault="00E93F58" w:rsidP="00070F64">
            <w:pPr>
              <w:rPr>
                <w:b/>
                <w:sz w:val="18"/>
              </w:rPr>
            </w:pPr>
            <w:r w:rsidRPr="00FB5439">
              <w:rPr>
                <w:b/>
                <w:sz w:val="18"/>
              </w:rPr>
              <w:t>6</w:t>
            </w:r>
          </w:p>
        </w:tc>
        <w:tc>
          <w:tcPr>
            <w:tcW w:w="556" w:type="pct"/>
            <w:tcBorders>
              <w:bottom w:val="nil"/>
            </w:tcBorders>
          </w:tcPr>
          <w:p w14:paraId="770DCA53" w14:textId="77777777" w:rsidR="00E93F58" w:rsidRPr="00FB5439" w:rsidRDefault="00E93F58" w:rsidP="00070F64">
            <w:pPr>
              <w:rPr>
                <w:b/>
                <w:sz w:val="18"/>
              </w:rPr>
            </w:pPr>
            <w:r w:rsidRPr="00FB5439">
              <w:rPr>
                <w:b/>
                <w:sz w:val="18"/>
              </w:rPr>
              <w:t>7</w:t>
            </w:r>
          </w:p>
        </w:tc>
        <w:tc>
          <w:tcPr>
            <w:tcW w:w="556" w:type="pct"/>
            <w:tcBorders>
              <w:bottom w:val="nil"/>
            </w:tcBorders>
          </w:tcPr>
          <w:p w14:paraId="6717D294" w14:textId="77777777" w:rsidR="00E93F58" w:rsidRPr="00FB5439" w:rsidRDefault="00E93F58" w:rsidP="00070F64">
            <w:pPr>
              <w:rPr>
                <w:b/>
                <w:sz w:val="18"/>
              </w:rPr>
            </w:pPr>
            <w:r w:rsidRPr="00FB5439">
              <w:rPr>
                <w:b/>
                <w:sz w:val="18"/>
              </w:rPr>
              <w:t>8</w:t>
            </w:r>
          </w:p>
        </w:tc>
        <w:tc>
          <w:tcPr>
            <w:tcW w:w="554" w:type="pct"/>
            <w:tcBorders>
              <w:bottom w:val="nil"/>
            </w:tcBorders>
          </w:tcPr>
          <w:p w14:paraId="17F65E7F" w14:textId="77777777" w:rsidR="00E93F58" w:rsidRPr="00FB5439" w:rsidRDefault="00E93F58" w:rsidP="00070F64">
            <w:pPr>
              <w:rPr>
                <w:b/>
                <w:sz w:val="18"/>
              </w:rPr>
            </w:pPr>
            <w:r w:rsidRPr="00FB5439">
              <w:rPr>
                <w:b/>
                <w:sz w:val="18"/>
              </w:rPr>
              <w:t>9</w:t>
            </w:r>
          </w:p>
        </w:tc>
      </w:tr>
      <w:tr w:rsidR="00E93F58" w:rsidRPr="00FB5439" w14:paraId="433D6A44" w14:textId="77777777" w:rsidTr="00B23434">
        <w:tc>
          <w:tcPr>
            <w:tcW w:w="555" w:type="pct"/>
            <w:tcBorders>
              <w:top w:val="single" w:sz="4" w:space="0" w:color="auto"/>
              <w:bottom w:val="single" w:sz="2" w:space="0" w:color="auto"/>
            </w:tcBorders>
          </w:tcPr>
          <w:p w14:paraId="016E33C5" w14:textId="77777777" w:rsidR="00E93F58" w:rsidRPr="00FB5439" w:rsidRDefault="00E93F58" w:rsidP="00070F64">
            <w:pPr>
              <w:rPr>
                <w:b/>
                <w:sz w:val="16"/>
              </w:rPr>
            </w:pPr>
            <w:r w:rsidRPr="00FB5439">
              <w:rPr>
                <w:b/>
                <w:sz w:val="16"/>
              </w:rPr>
              <w:t>Serial No.</w:t>
            </w:r>
          </w:p>
        </w:tc>
        <w:tc>
          <w:tcPr>
            <w:tcW w:w="556" w:type="pct"/>
            <w:tcBorders>
              <w:top w:val="single" w:sz="4" w:space="0" w:color="auto"/>
              <w:bottom w:val="single" w:sz="2" w:space="0" w:color="auto"/>
            </w:tcBorders>
          </w:tcPr>
          <w:p w14:paraId="7BC4CE80" w14:textId="77777777" w:rsidR="00E93F58" w:rsidRPr="00FB5439" w:rsidRDefault="00E93F58" w:rsidP="00070F64">
            <w:pPr>
              <w:rPr>
                <w:b/>
                <w:sz w:val="16"/>
              </w:rPr>
            </w:pPr>
            <w:r w:rsidRPr="00FB5439">
              <w:rPr>
                <w:b/>
                <w:sz w:val="16"/>
              </w:rPr>
              <w:t>Name</w:t>
            </w:r>
          </w:p>
        </w:tc>
        <w:tc>
          <w:tcPr>
            <w:tcW w:w="556" w:type="pct"/>
            <w:tcBorders>
              <w:top w:val="single" w:sz="4" w:space="0" w:color="auto"/>
              <w:bottom w:val="single" w:sz="2" w:space="0" w:color="auto"/>
            </w:tcBorders>
          </w:tcPr>
          <w:p w14:paraId="4832FEB6" w14:textId="77777777" w:rsidR="00E93F58" w:rsidRPr="00FB5439" w:rsidRDefault="00E93F58" w:rsidP="00070F64">
            <w:pPr>
              <w:rPr>
                <w:b/>
                <w:sz w:val="16"/>
              </w:rPr>
            </w:pPr>
            <w:r w:rsidRPr="00FB5439">
              <w:rPr>
                <w:b/>
                <w:sz w:val="16"/>
              </w:rPr>
              <w:t>Address</w:t>
            </w:r>
          </w:p>
        </w:tc>
        <w:tc>
          <w:tcPr>
            <w:tcW w:w="556" w:type="pct"/>
            <w:tcBorders>
              <w:top w:val="single" w:sz="4" w:space="0" w:color="auto"/>
              <w:bottom w:val="single" w:sz="2" w:space="0" w:color="auto"/>
            </w:tcBorders>
          </w:tcPr>
          <w:p w14:paraId="67625505" w14:textId="77777777" w:rsidR="00E93F58" w:rsidRPr="00FB5439" w:rsidRDefault="00E93F58"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14:paraId="426496E7" w14:textId="77777777" w:rsidR="00E93F58" w:rsidRPr="00FB5439" w:rsidRDefault="00E93F58"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14:paraId="27FDFFF3" w14:textId="77777777" w:rsidR="00E93F58" w:rsidRPr="00FB5439" w:rsidRDefault="00E93F58"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14:paraId="5650D38F" w14:textId="77777777" w:rsidR="00E93F58" w:rsidRPr="00FB5439" w:rsidRDefault="00E93F58"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14:paraId="75D0FD52" w14:textId="77777777" w:rsidR="00E93F58" w:rsidRPr="00FB5439" w:rsidRDefault="00E93F58"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14:paraId="6D9333F7" w14:textId="77777777" w:rsidR="00E93F58" w:rsidRPr="00FB5439" w:rsidRDefault="00E93F58" w:rsidP="00070F64">
            <w:pPr>
              <w:rPr>
                <w:b/>
                <w:sz w:val="16"/>
              </w:rPr>
            </w:pPr>
            <w:r w:rsidRPr="00FB5439">
              <w:rPr>
                <w:b/>
                <w:sz w:val="16"/>
              </w:rPr>
              <w:t>Amount not called up at date of start of winding up</w:t>
            </w:r>
          </w:p>
        </w:tc>
      </w:tr>
      <w:tr w:rsidR="00E93F58" w:rsidRPr="00FB5439" w14:paraId="131259AA" w14:textId="77777777" w:rsidTr="00B23434">
        <w:tc>
          <w:tcPr>
            <w:tcW w:w="555" w:type="pct"/>
            <w:tcBorders>
              <w:bottom w:val="single" w:sz="2" w:space="0" w:color="auto"/>
            </w:tcBorders>
          </w:tcPr>
          <w:p w14:paraId="26227CF5" w14:textId="77777777" w:rsidR="00E93F58" w:rsidRPr="00FB5439" w:rsidRDefault="00E93F58" w:rsidP="00070F64">
            <w:pPr>
              <w:rPr>
                <w:sz w:val="16"/>
              </w:rPr>
            </w:pPr>
          </w:p>
        </w:tc>
        <w:tc>
          <w:tcPr>
            <w:tcW w:w="556" w:type="pct"/>
            <w:tcBorders>
              <w:bottom w:val="single" w:sz="2" w:space="0" w:color="auto"/>
            </w:tcBorders>
          </w:tcPr>
          <w:p w14:paraId="14209D12" w14:textId="77777777" w:rsidR="00E93F58" w:rsidRPr="00FB5439" w:rsidRDefault="00E93F58" w:rsidP="00070F64">
            <w:pPr>
              <w:rPr>
                <w:sz w:val="16"/>
              </w:rPr>
            </w:pPr>
          </w:p>
        </w:tc>
        <w:tc>
          <w:tcPr>
            <w:tcW w:w="556" w:type="pct"/>
            <w:tcBorders>
              <w:bottom w:val="single" w:sz="2" w:space="0" w:color="auto"/>
            </w:tcBorders>
          </w:tcPr>
          <w:p w14:paraId="42367BC1" w14:textId="77777777" w:rsidR="00E93F58" w:rsidRPr="00FB5439" w:rsidRDefault="00E93F58" w:rsidP="00070F64">
            <w:pPr>
              <w:rPr>
                <w:sz w:val="16"/>
              </w:rPr>
            </w:pPr>
          </w:p>
        </w:tc>
        <w:tc>
          <w:tcPr>
            <w:tcW w:w="556" w:type="pct"/>
            <w:tcBorders>
              <w:bottom w:val="single" w:sz="2" w:space="0" w:color="auto"/>
            </w:tcBorders>
          </w:tcPr>
          <w:p w14:paraId="3F366824" w14:textId="77777777" w:rsidR="00E93F58" w:rsidRPr="00FB5439" w:rsidRDefault="00E93F58" w:rsidP="00070F64">
            <w:pPr>
              <w:rPr>
                <w:sz w:val="16"/>
              </w:rPr>
            </w:pPr>
          </w:p>
        </w:tc>
        <w:tc>
          <w:tcPr>
            <w:tcW w:w="555" w:type="pct"/>
            <w:tcBorders>
              <w:bottom w:val="single" w:sz="2" w:space="0" w:color="auto"/>
            </w:tcBorders>
          </w:tcPr>
          <w:p w14:paraId="2545FC6E" w14:textId="77777777" w:rsidR="00E93F58" w:rsidRPr="00FB5439" w:rsidRDefault="00E93F58" w:rsidP="00070F64">
            <w:pPr>
              <w:rPr>
                <w:sz w:val="16"/>
              </w:rPr>
            </w:pPr>
          </w:p>
        </w:tc>
        <w:tc>
          <w:tcPr>
            <w:tcW w:w="556" w:type="pct"/>
            <w:tcBorders>
              <w:bottom w:val="single" w:sz="2" w:space="0" w:color="auto"/>
            </w:tcBorders>
          </w:tcPr>
          <w:p w14:paraId="08F1C927" w14:textId="77777777" w:rsidR="00E93F58" w:rsidRPr="00FB5439" w:rsidRDefault="00E93F58" w:rsidP="00070F64">
            <w:pPr>
              <w:rPr>
                <w:sz w:val="16"/>
              </w:rPr>
            </w:pPr>
          </w:p>
        </w:tc>
        <w:tc>
          <w:tcPr>
            <w:tcW w:w="556" w:type="pct"/>
            <w:tcBorders>
              <w:bottom w:val="single" w:sz="2" w:space="0" w:color="auto"/>
            </w:tcBorders>
          </w:tcPr>
          <w:p w14:paraId="3EBE91B1" w14:textId="77777777" w:rsidR="00E93F58" w:rsidRPr="00FB5439" w:rsidRDefault="00E93F58" w:rsidP="00070F64">
            <w:pPr>
              <w:rPr>
                <w:sz w:val="16"/>
              </w:rPr>
            </w:pPr>
          </w:p>
        </w:tc>
        <w:tc>
          <w:tcPr>
            <w:tcW w:w="556" w:type="pct"/>
            <w:tcBorders>
              <w:bottom w:val="single" w:sz="2" w:space="0" w:color="auto"/>
            </w:tcBorders>
          </w:tcPr>
          <w:p w14:paraId="2FE819CE" w14:textId="77777777" w:rsidR="00E93F58" w:rsidRPr="00FB5439" w:rsidRDefault="00E93F58" w:rsidP="00070F64">
            <w:pPr>
              <w:rPr>
                <w:sz w:val="16"/>
              </w:rPr>
            </w:pPr>
          </w:p>
        </w:tc>
        <w:tc>
          <w:tcPr>
            <w:tcW w:w="554" w:type="pct"/>
            <w:tcBorders>
              <w:bottom w:val="single" w:sz="2" w:space="0" w:color="auto"/>
            </w:tcBorders>
          </w:tcPr>
          <w:p w14:paraId="7632B9E4" w14:textId="77777777" w:rsidR="00E93F58" w:rsidRPr="00FB5439" w:rsidRDefault="00E93F58" w:rsidP="00070F64">
            <w:pPr>
              <w:rPr>
                <w:sz w:val="16"/>
              </w:rPr>
            </w:pPr>
          </w:p>
        </w:tc>
      </w:tr>
    </w:tbl>
    <w:p w14:paraId="42068FB9" w14:textId="77777777" w:rsidR="00E93F58" w:rsidRPr="00FB5439" w:rsidRDefault="00E93F58" w:rsidP="007D7E5D">
      <w:pPr>
        <w:spacing w:line="200" w:lineRule="atLeast"/>
        <w:jc w:val="center"/>
        <w:rPr>
          <w:sz w:val="16"/>
          <w:szCs w:val="16"/>
        </w:rPr>
      </w:pPr>
    </w:p>
    <w:p w14:paraId="10C47231" w14:textId="77777777" w:rsidR="00E93F58" w:rsidRPr="00FB5439" w:rsidRDefault="00E93F58" w:rsidP="00926014">
      <w:pPr>
        <w:spacing w:before="60" w:line="240" w:lineRule="auto"/>
        <w:jc w:val="center"/>
        <w:rPr>
          <w:b/>
          <w:szCs w:val="22"/>
        </w:rPr>
      </w:pPr>
      <w:r>
        <w:rPr>
          <w:b/>
          <w:szCs w:val="22"/>
        </w:rPr>
        <w:t>PART 2</w:t>
      </w:r>
      <w:r w:rsidRPr="00FB5439">
        <w:rPr>
          <w:b/>
          <w:szCs w:val="22"/>
        </w:rPr>
        <w:t xml:space="preserve">: CONTRIBUTORIES WHO ARE REPRESENTATIVES OF, OR LIABLE FOR </w:t>
      </w:r>
      <w:r w:rsidRPr="00FB5439">
        <w:rPr>
          <w:b/>
          <w:szCs w:val="22"/>
        </w:rPr>
        <w:br/>
        <w:t>THE DEBTS OF, OTHERS</w:t>
      </w:r>
    </w:p>
    <w:p w14:paraId="5B5D8E4D" w14:textId="77777777" w:rsidR="00E93F58" w:rsidRPr="00FB5439" w:rsidRDefault="00E93F58" w:rsidP="007D7E5D">
      <w:pPr>
        <w:spacing w:line="200" w:lineRule="atLeast"/>
        <w:jc w:val="center"/>
        <w:rPr>
          <w:sz w:val="16"/>
          <w:szCs w:val="16"/>
        </w:rPr>
      </w:pPr>
    </w:p>
    <w:tbl>
      <w:tblPr>
        <w:tblW w:w="5000" w:type="pct"/>
        <w:tblBorders>
          <w:top w:val="single" w:sz="6" w:space="0" w:color="auto"/>
        </w:tblBorders>
        <w:tblLook w:val="0000" w:firstRow="0" w:lastRow="0" w:firstColumn="0" w:lastColumn="0" w:noHBand="0" w:noVBand="0"/>
      </w:tblPr>
      <w:tblGrid>
        <w:gridCol w:w="1195"/>
        <w:gridCol w:w="1198"/>
        <w:gridCol w:w="1198"/>
        <w:gridCol w:w="1198"/>
        <w:gridCol w:w="1196"/>
        <w:gridCol w:w="1198"/>
        <w:gridCol w:w="1198"/>
        <w:gridCol w:w="1198"/>
        <w:gridCol w:w="1194"/>
      </w:tblGrid>
      <w:tr w:rsidR="00E93F58" w:rsidRPr="00FB5439" w14:paraId="63780448" w14:textId="77777777" w:rsidTr="00B23434">
        <w:tc>
          <w:tcPr>
            <w:tcW w:w="555" w:type="pct"/>
            <w:tcBorders>
              <w:bottom w:val="nil"/>
            </w:tcBorders>
          </w:tcPr>
          <w:p w14:paraId="2F290B45" w14:textId="77777777" w:rsidR="00E93F58" w:rsidRPr="00FB5439" w:rsidRDefault="00E93F58" w:rsidP="00070F64">
            <w:pPr>
              <w:rPr>
                <w:b/>
                <w:sz w:val="18"/>
              </w:rPr>
            </w:pPr>
            <w:r w:rsidRPr="00FB5439">
              <w:rPr>
                <w:b/>
                <w:sz w:val="18"/>
              </w:rPr>
              <w:t>1</w:t>
            </w:r>
          </w:p>
        </w:tc>
        <w:tc>
          <w:tcPr>
            <w:tcW w:w="556" w:type="pct"/>
            <w:tcBorders>
              <w:bottom w:val="nil"/>
            </w:tcBorders>
          </w:tcPr>
          <w:p w14:paraId="54A2341A" w14:textId="77777777" w:rsidR="00E93F58" w:rsidRPr="00FB5439" w:rsidRDefault="00E93F58" w:rsidP="00070F64">
            <w:pPr>
              <w:rPr>
                <w:b/>
                <w:sz w:val="18"/>
              </w:rPr>
            </w:pPr>
            <w:r w:rsidRPr="00FB5439">
              <w:rPr>
                <w:b/>
                <w:sz w:val="18"/>
              </w:rPr>
              <w:t>2</w:t>
            </w:r>
          </w:p>
        </w:tc>
        <w:tc>
          <w:tcPr>
            <w:tcW w:w="556" w:type="pct"/>
            <w:tcBorders>
              <w:bottom w:val="nil"/>
            </w:tcBorders>
          </w:tcPr>
          <w:p w14:paraId="6DB5A1B5" w14:textId="77777777" w:rsidR="00E93F58" w:rsidRPr="00FB5439" w:rsidRDefault="00E93F58" w:rsidP="00070F64">
            <w:pPr>
              <w:rPr>
                <w:b/>
                <w:sz w:val="18"/>
              </w:rPr>
            </w:pPr>
            <w:r w:rsidRPr="00FB5439">
              <w:rPr>
                <w:b/>
                <w:sz w:val="18"/>
              </w:rPr>
              <w:t>3</w:t>
            </w:r>
          </w:p>
        </w:tc>
        <w:tc>
          <w:tcPr>
            <w:tcW w:w="556" w:type="pct"/>
            <w:tcBorders>
              <w:bottom w:val="nil"/>
            </w:tcBorders>
          </w:tcPr>
          <w:p w14:paraId="6C099BE8" w14:textId="77777777" w:rsidR="00E93F58" w:rsidRPr="00FB5439" w:rsidRDefault="00E93F58" w:rsidP="00070F64">
            <w:pPr>
              <w:rPr>
                <w:b/>
                <w:sz w:val="18"/>
              </w:rPr>
            </w:pPr>
            <w:r w:rsidRPr="00FB5439">
              <w:rPr>
                <w:b/>
                <w:sz w:val="18"/>
              </w:rPr>
              <w:t>4</w:t>
            </w:r>
          </w:p>
        </w:tc>
        <w:tc>
          <w:tcPr>
            <w:tcW w:w="555" w:type="pct"/>
            <w:tcBorders>
              <w:bottom w:val="nil"/>
            </w:tcBorders>
          </w:tcPr>
          <w:p w14:paraId="47AEF690" w14:textId="77777777" w:rsidR="00E93F58" w:rsidRPr="00FB5439" w:rsidRDefault="00E93F58" w:rsidP="00070F64">
            <w:pPr>
              <w:rPr>
                <w:b/>
                <w:sz w:val="18"/>
              </w:rPr>
            </w:pPr>
            <w:r w:rsidRPr="00FB5439">
              <w:rPr>
                <w:b/>
                <w:sz w:val="18"/>
              </w:rPr>
              <w:t>5</w:t>
            </w:r>
          </w:p>
        </w:tc>
        <w:tc>
          <w:tcPr>
            <w:tcW w:w="556" w:type="pct"/>
            <w:tcBorders>
              <w:bottom w:val="nil"/>
            </w:tcBorders>
          </w:tcPr>
          <w:p w14:paraId="1E35BFB7" w14:textId="77777777" w:rsidR="00E93F58" w:rsidRPr="00FB5439" w:rsidRDefault="00E93F58" w:rsidP="00070F64">
            <w:pPr>
              <w:rPr>
                <w:b/>
                <w:sz w:val="18"/>
              </w:rPr>
            </w:pPr>
            <w:r w:rsidRPr="00FB5439">
              <w:rPr>
                <w:b/>
                <w:sz w:val="18"/>
              </w:rPr>
              <w:t>6</w:t>
            </w:r>
          </w:p>
        </w:tc>
        <w:tc>
          <w:tcPr>
            <w:tcW w:w="556" w:type="pct"/>
            <w:tcBorders>
              <w:bottom w:val="nil"/>
            </w:tcBorders>
          </w:tcPr>
          <w:p w14:paraId="0F089B50" w14:textId="77777777" w:rsidR="00E93F58" w:rsidRPr="00FB5439" w:rsidRDefault="00E93F58" w:rsidP="00070F64">
            <w:pPr>
              <w:rPr>
                <w:b/>
                <w:sz w:val="18"/>
              </w:rPr>
            </w:pPr>
            <w:r w:rsidRPr="00FB5439">
              <w:rPr>
                <w:b/>
                <w:sz w:val="18"/>
              </w:rPr>
              <w:t>7</w:t>
            </w:r>
          </w:p>
        </w:tc>
        <w:tc>
          <w:tcPr>
            <w:tcW w:w="556" w:type="pct"/>
            <w:tcBorders>
              <w:bottom w:val="nil"/>
            </w:tcBorders>
          </w:tcPr>
          <w:p w14:paraId="583AF8A5" w14:textId="77777777" w:rsidR="00E93F58" w:rsidRPr="00FB5439" w:rsidRDefault="00E93F58" w:rsidP="00070F64">
            <w:pPr>
              <w:rPr>
                <w:b/>
                <w:sz w:val="18"/>
              </w:rPr>
            </w:pPr>
            <w:r w:rsidRPr="00FB5439">
              <w:rPr>
                <w:b/>
                <w:sz w:val="18"/>
              </w:rPr>
              <w:t>8</w:t>
            </w:r>
          </w:p>
        </w:tc>
        <w:tc>
          <w:tcPr>
            <w:tcW w:w="554" w:type="pct"/>
            <w:tcBorders>
              <w:bottom w:val="nil"/>
            </w:tcBorders>
          </w:tcPr>
          <w:p w14:paraId="6961AEB3" w14:textId="77777777" w:rsidR="00E93F58" w:rsidRPr="00FB5439" w:rsidRDefault="00E93F58" w:rsidP="00070F64">
            <w:pPr>
              <w:rPr>
                <w:b/>
                <w:sz w:val="18"/>
              </w:rPr>
            </w:pPr>
            <w:r w:rsidRPr="00FB5439">
              <w:rPr>
                <w:b/>
                <w:sz w:val="18"/>
              </w:rPr>
              <w:t>9</w:t>
            </w:r>
          </w:p>
        </w:tc>
      </w:tr>
      <w:tr w:rsidR="00E93F58" w:rsidRPr="00FB5439" w14:paraId="02F9F66A" w14:textId="77777777" w:rsidTr="00B23434">
        <w:tc>
          <w:tcPr>
            <w:tcW w:w="555" w:type="pct"/>
            <w:tcBorders>
              <w:top w:val="single" w:sz="4" w:space="0" w:color="auto"/>
              <w:bottom w:val="single" w:sz="2" w:space="0" w:color="auto"/>
            </w:tcBorders>
          </w:tcPr>
          <w:p w14:paraId="0E4936A5" w14:textId="77777777" w:rsidR="00E93F58" w:rsidRPr="00FB5439" w:rsidRDefault="00E93F58" w:rsidP="00070F64">
            <w:pPr>
              <w:rPr>
                <w:b/>
                <w:sz w:val="16"/>
              </w:rPr>
            </w:pPr>
            <w:r w:rsidRPr="00FB5439">
              <w:rPr>
                <w:b/>
                <w:sz w:val="16"/>
              </w:rPr>
              <w:t>No.</w:t>
            </w:r>
          </w:p>
        </w:tc>
        <w:tc>
          <w:tcPr>
            <w:tcW w:w="556" w:type="pct"/>
            <w:tcBorders>
              <w:top w:val="single" w:sz="4" w:space="0" w:color="auto"/>
              <w:bottom w:val="single" w:sz="2" w:space="0" w:color="auto"/>
            </w:tcBorders>
          </w:tcPr>
          <w:p w14:paraId="29C20E6A" w14:textId="77777777" w:rsidR="00E93F58" w:rsidRPr="00FB5439" w:rsidRDefault="00E93F58" w:rsidP="00070F64">
            <w:pPr>
              <w:rPr>
                <w:b/>
                <w:sz w:val="16"/>
              </w:rPr>
            </w:pPr>
            <w:r w:rsidRPr="00FB5439">
              <w:rPr>
                <w:b/>
                <w:sz w:val="16"/>
              </w:rPr>
              <w:t>Name</w:t>
            </w:r>
          </w:p>
        </w:tc>
        <w:tc>
          <w:tcPr>
            <w:tcW w:w="556" w:type="pct"/>
            <w:tcBorders>
              <w:top w:val="single" w:sz="4" w:space="0" w:color="auto"/>
              <w:bottom w:val="single" w:sz="2" w:space="0" w:color="auto"/>
            </w:tcBorders>
          </w:tcPr>
          <w:p w14:paraId="14AFD45F" w14:textId="77777777" w:rsidR="00E93F58" w:rsidRPr="00FB5439" w:rsidRDefault="00E93F58" w:rsidP="00070F64">
            <w:pPr>
              <w:rPr>
                <w:b/>
                <w:sz w:val="16"/>
              </w:rPr>
            </w:pPr>
            <w:r w:rsidRPr="00FB5439">
              <w:rPr>
                <w:b/>
                <w:sz w:val="16"/>
              </w:rPr>
              <w:t>Address</w:t>
            </w:r>
          </w:p>
        </w:tc>
        <w:tc>
          <w:tcPr>
            <w:tcW w:w="556" w:type="pct"/>
            <w:tcBorders>
              <w:top w:val="single" w:sz="4" w:space="0" w:color="auto"/>
              <w:bottom w:val="single" w:sz="2" w:space="0" w:color="auto"/>
            </w:tcBorders>
          </w:tcPr>
          <w:p w14:paraId="38730E83" w14:textId="77777777" w:rsidR="00E93F58" w:rsidRPr="00FB5439" w:rsidRDefault="00E93F58"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14:paraId="310094CD" w14:textId="77777777" w:rsidR="00E93F58" w:rsidRPr="00FB5439" w:rsidRDefault="00E93F58"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14:paraId="7E5954CF" w14:textId="77777777" w:rsidR="00E93F58" w:rsidRPr="00FB5439" w:rsidRDefault="00E93F58"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14:paraId="44178F52" w14:textId="77777777" w:rsidR="00E93F58" w:rsidRPr="00FB5439" w:rsidRDefault="00E93F58"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14:paraId="56E21C06" w14:textId="77777777" w:rsidR="00E93F58" w:rsidRPr="00FB5439" w:rsidRDefault="00E93F58"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14:paraId="3B59E6D9" w14:textId="77777777" w:rsidR="00E93F58" w:rsidRPr="00FB5439" w:rsidRDefault="00E93F58" w:rsidP="00070F64">
            <w:pPr>
              <w:rPr>
                <w:b/>
                <w:sz w:val="16"/>
              </w:rPr>
            </w:pPr>
            <w:r w:rsidRPr="00FB5439">
              <w:rPr>
                <w:b/>
                <w:sz w:val="16"/>
              </w:rPr>
              <w:t>Amount not called up at date of start of winding up</w:t>
            </w:r>
          </w:p>
        </w:tc>
      </w:tr>
      <w:tr w:rsidR="00E93F58" w:rsidRPr="00FB5439" w14:paraId="38856FD6" w14:textId="77777777" w:rsidTr="00B23434">
        <w:tc>
          <w:tcPr>
            <w:tcW w:w="555" w:type="pct"/>
            <w:tcBorders>
              <w:bottom w:val="single" w:sz="2" w:space="0" w:color="auto"/>
            </w:tcBorders>
          </w:tcPr>
          <w:p w14:paraId="4A6F0358" w14:textId="77777777" w:rsidR="00E93F58" w:rsidRPr="00FB5439" w:rsidRDefault="00E93F58" w:rsidP="00070F64">
            <w:pPr>
              <w:rPr>
                <w:sz w:val="16"/>
              </w:rPr>
            </w:pPr>
          </w:p>
        </w:tc>
        <w:tc>
          <w:tcPr>
            <w:tcW w:w="556" w:type="pct"/>
            <w:tcBorders>
              <w:bottom w:val="single" w:sz="2" w:space="0" w:color="auto"/>
            </w:tcBorders>
          </w:tcPr>
          <w:p w14:paraId="1FE021B6" w14:textId="77777777" w:rsidR="00E93F58" w:rsidRPr="00FB5439" w:rsidRDefault="00E93F58" w:rsidP="00070F64">
            <w:pPr>
              <w:rPr>
                <w:sz w:val="16"/>
              </w:rPr>
            </w:pPr>
          </w:p>
        </w:tc>
        <w:tc>
          <w:tcPr>
            <w:tcW w:w="556" w:type="pct"/>
            <w:tcBorders>
              <w:bottom w:val="single" w:sz="2" w:space="0" w:color="auto"/>
            </w:tcBorders>
          </w:tcPr>
          <w:p w14:paraId="747A0C52" w14:textId="77777777" w:rsidR="00E93F58" w:rsidRPr="00FB5439" w:rsidRDefault="00E93F58" w:rsidP="00070F64">
            <w:pPr>
              <w:rPr>
                <w:sz w:val="16"/>
              </w:rPr>
            </w:pPr>
          </w:p>
        </w:tc>
        <w:tc>
          <w:tcPr>
            <w:tcW w:w="556" w:type="pct"/>
            <w:tcBorders>
              <w:bottom w:val="single" w:sz="2" w:space="0" w:color="auto"/>
            </w:tcBorders>
          </w:tcPr>
          <w:p w14:paraId="09379164" w14:textId="77777777" w:rsidR="00E93F58" w:rsidRPr="00FB5439" w:rsidRDefault="00E93F58" w:rsidP="00070F64">
            <w:pPr>
              <w:rPr>
                <w:sz w:val="16"/>
              </w:rPr>
            </w:pPr>
          </w:p>
        </w:tc>
        <w:tc>
          <w:tcPr>
            <w:tcW w:w="555" w:type="pct"/>
            <w:tcBorders>
              <w:bottom w:val="single" w:sz="2" w:space="0" w:color="auto"/>
            </w:tcBorders>
          </w:tcPr>
          <w:p w14:paraId="33D15683" w14:textId="77777777" w:rsidR="00E93F58" w:rsidRPr="00FB5439" w:rsidRDefault="00E93F58" w:rsidP="00070F64">
            <w:pPr>
              <w:rPr>
                <w:sz w:val="16"/>
              </w:rPr>
            </w:pPr>
          </w:p>
        </w:tc>
        <w:tc>
          <w:tcPr>
            <w:tcW w:w="556" w:type="pct"/>
            <w:tcBorders>
              <w:bottom w:val="single" w:sz="2" w:space="0" w:color="auto"/>
            </w:tcBorders>
          </w:tcPr>
          <w:p w14:paraId="00F0A760" w14:textId="77777777" w:rsidR="00E93F58" w:rsidRPr="00FB5439" w:rsidRDefault="00E93F58" w:rsidP="00070F64">
            <w:pPr>
              <w:rPr>
                <w:sz w:val="16"/>
              </w:rPr>
            </w:pPr>
          </w:p>
        </w:tc>
        <w:tc>
          <w:tcPr>
            <w:tcW w:w="556" w:type="pct"/>
            <w:tcBorders>
              <w:bottom w:val="single" w:sz="2" w:space="0" w:color="auto"/>
            </w:tcBorders>
          </w:tcPr>
          <w:p w14:paraId="2B51C1CD" w14:textId="77777777" w:rsidR="00E93F58" w:rsidRPr="00FB5439" w:rsidRDefault="00E93F58" w:rsidP="00070F64">
            <w:pPr>
              <w:rPr>
                <w:sz w:val="16"/>
              </w:rPr>
            </w:pPr>
          </w:p>
        </w:tc>
        <w:tc>
          <w:tcPr>
            <w:tcW w:w="556" w:type="pct"/>
            <w:tcBorders>
              <w:bottom w:val="single" w:sz="2" w:space="0" w:color="auto"/>
            </w:tcBorders>
          </w:tcPr>
          <w:p w14:paraId="7A84AA97" w14:textId="77777777" w:rsidR="00E93F58" w:rsidRPr="00FB5439" w:rsidRDefault="00E93F58" w:rsidP="00070F64">
            <w:pPr>
              <w:rPr>
                <w:sz w:val="16"/>
              </w:rPr>
            </w:pPr>
          </w:p>
        </w:tc>
        <w:tc>
          <w:tcPr>
            <w:tcW w:w="554" w:type="pct"/>
            <w:tcBorders>
              <w:bottom w:val="single" w:sz="2" w:space="0" w:color="auto"/>
            </w:tcBorders>
          </w:tcPr>
          <w:p w14:paraId="4E915562" w14:textId="77777777" w:rsidR="00E93F58" w:rsidRPr="00FB5439" w:rsidRDefault="00E93F58" w:rsidP="00070F64">
            <w:pPr>
              <w:rPr>
                <w:sz w:val="16"/>
              </w:rPr>
            </w:pPr>
          </w:p>
        </w:tc>
      </w:tr>
    </w:tbl>
    <w:p w14:paraId="72203969" w14:textId="77777777" w:rsidR="00E93F58" w:rsidRPr="00FB5439" w:rsidRDefault="00E93F58" w:rsidP="00070F64">
      <w:pPr>
        <w:pageBreakBefore/>
        <w:spacing w:after="120"/>
        <w:jc w:val="center"/>
        <w:rPr>
          <w:rFonts w:ascii="Times" w:hAnsi="Times"/>
          <w:b/>
        </w:rPr>
      </w:pPr>
      <w:r>
        <w:rPr>
          <w:rFonts w:ascii="Times" w:hAnsi="Times"/>
          <w:b/>
        </w:rPr>
        <w:lastRenderedPageBreak/>
        <w:t>SCHEDULE 2</w:t>
      </w:r>
    </w:p>
    <w:p w14:paraId="594754B9" w14:textId="77777777" w:rsidR="00E93F58" w:rsidRPr="00FB5439" w:rsidRDefault="00E93F58" w:rsidP="00070F64">
      <w:pPr>
        <w:jc w:val="center"/>
        <w:rPr>
          <w:rFonts w:ascii="Times" w:hAnsi="Times"/>
          <w:b/>
        </w:rPr>
      </w:pPr>
      <w:r w:rsidRPr="00FB5439">
        <w:rPr>
          <w:rFonts w:ascii="Times" w:hAnsi="Times"/>
          <w:b/>
        </w:rPr>
        <w:t>PERSONS EXCLUDED FROM THE LIST OF CONTRIBUTORIES</w:t>
      </w:r>
    </w:p>
    <w:p w14:paraId="208A267C" w14:textId="77777777" w:rsidR="00E93F58" w:rsidRPr="00FB5439" w:rsidRDefault="00E93F58" w:rsidP="00070F64">
      <w:pPr>
        <w:jc w:val="center"/>
        <w:rPr>
          <w:sz w:val="18"/>
        </w:rPr>
      </w:pPr>
    </w:p>
    <w:tbl>
      <w:tblPr>
        <w:tblW w:w="5000" w:type="pct"/>
        <w:tblBorders>
          <w:top w:val="single" w:sz="6" w:space="0" w:color="auto"/>
        </w:tblBorders>
        <w:tblLook w:val="0000" w:firstRow="0" w:lastRow="0" w:firstColumn="0" w:lastColumn="0" w:noHBand="0" w:noVBand="0"/>
      </w:tblPr>
      <w:tblGrid>
        <w:gridCol w:w="1757"/>
        <w:gridCol w:w="1757"/>
        <w:gridCol w:w="1757"/>
        <w:gridCol w:w="1757"/>
        <w:gridCol w:w="1756"/>
        <w:gridCol w:w="1989"/>
      </w:tblGrid>
      <w:tr w:rsidR="00E93F58" w:rsidRPr="00FB5439" w14:paraId="04EB1320" w14:textId="77777777" w:rsidTr="00B23434">
        <w:tc>
          <w:tcPr>
            <w:tcW w:w="815" w:type="pct"/>
            <w:tcBorders>
              <w:bottom w:val="nil"/>
            </w:tcBorders>
          </w:tcPr>
          <w:p w14:paraId="6EF31E63" w14:textId="77777777" w:rsidR="00E93F58" w:rsidRPr="00FB5439" w:rsidRDefault="00E93F58" w:rsidP="00070F64">
            <w:pPr>
              <w:rPr>
                <w:b/>
                <w:sz w:val="18"/>
              </w:rPr>
            </w:pPr>
            <w:r w:rsidRPr="00FB5439">
              <w:rPr>
                <w:b/>
                <w:sz w:val="18"/>
              </w:rPr>
              <w:t>1</w:t>
            </w:r>
          </w:p>
        </w:tc>
        <w:tc>
          <w:tcPr>
            <w:tcW w:w="815" w:type="pct"/>
            <w:tcBorders>
              <w:bottom w:val="nil"/>
            </w:tcBorders>
          </w:tcPr>
          <w:p w14:paraId="7FE1B6C5" w14:textId="77777777" w:rsidR="00E93F58" w:rsidRPr="00FB5439" w:rsidRDefault="00E93F58" w:rsidP="00070F64">
            <w:pPr>
              <w:rPr>
                <w:b/>
                <w:sz w:val="18"/>
              </w:rPr>
            </w:pPr>
            <w:r w:rsidRPr="00FB5439">
              <w:rPr>
                <w:b/>
                <w:sz w:val="18"/>
              </w:rPr>
              <w:t>2</w:t>
            </w:r>
          </w:p>
        </w:tc>
        <w:tc>
          <w:tcPr>
            <w:tcW w:w="815" w:type="pct"/>
            <w:tcBorders>
              <w:bottom w:val="nil"/>
            </w:tcBorders>
          </w:tcPr>
          <w:p w14:paraId="112D98AF" w14:textId="77777777" w:rsidR="00E93F58" w:rsidRPr="00FB5439" w:rsidRDefault="00E93F58" w:rsidP="00070F64">
            <w:pPr>
              <w:rPr>
                <w:b/>
                <w:sz w:val="18"/>
              </w:rPr>
            </w:pPr>
            <w:r w:rsidRPr="00FB5439">
              <w:rPr>
                <w:b/>
                <w:sz w:val="18"/>
              </w:rPr>
              <w:t>3</w:t>
            </w:r>
          </w:p>
        </w:tc>
        <w:tc>
          <w:tcPr>
            <w:tcW w:w="815" w:type="pct"/>
            <w:tcBorders>
              <w:bottom w:val="nil"/>
            </w:tcBorders>
          </w:tcPr>
          <w:p w14:paraId="1D472175" w14:textId="77777777" w:rsidR="00E93F58" w:rsidRPr="00FB5439" w:rsidRDefault="00E93F58" w:rsidP="00070F64">
            <w:pPr>
              <w:rPr>
                <w:b/>
                <w:sz w:val="18"/>
              </w:rPr>
            </w:pPr>
            <w:r w:rsidRPr="00FB5439">
              <w:rPr>
                <w:b/>
                <w:sz w:val="18"/>
              </w:rPr>
              <w:t>4</w:t>
            </w:r>
          </w:p>
        </w:tc>
        <w:tc>
          <w:tcPr>
            <w:tcW w:w="815" w:type="pct"/>
            <w:tcBorders>
              <w:bottom w:val="nil"/>
            </w:tcBorders>
          </w:tcPr>
          <w:p w14:paraId="4CDB3B9A" w14:textId="77777777" w:rsidR="00E93F58" w:rsidRPr="00FB5439" w:rsidRDefault="00E93F58" w:rsidP="00070F64">
            <w:pPr>
              <w:rPr>
                <w:b/>
                <w:sz w:val="18"/>
              </w:rPr>
            </w:pPr>
            <w:r w:rsidRPr="00FB5439">
              <w:rPr>
                <w:b/>
                <w:sz w:val="18"/>
              </w:rPr>
              <w:t>5</w:t>
            </w:r>
          </w:p>
        </w:tc>
        <w:tc>
          <w:tcPr>
            <w:tcW w:w="923" w:type="pct"/>
            <w:tcBorders>
              <w:bottom w:val="nil"/>
            </w:tcBorders>
          </w:tcPr>
          <w:p w14:paraId="118A6255" w14:textId="77777777" w:rsidR="00E93F58" w:rsidRPr="00FB5439" w:rsidRDefault="00E93F58" w:rsidP="00070F64">
            <w:pPr>
              <w:rPr>
                <w:b/>
                <w:sz w:val="18"/>
              </w:rPr>
            </w:pPr>
            <w:r w:rsidRPr="00FB5439">
              <w:rPr>
                <w:b/>
                <w:sz w:val="18"/>
              </w:rPr>
              <w:t>6</w:t>
            </w:r>
          </w:p>
        </w:tc>
      </w:tr>
      <w:tr w:rsidR="00E93F58" w:rsidRPr="00FB5439" w14:paraId="581423DF" w14:textId="77777777" w:rsidTr="00B23434">
        <w:tc>
          <w:tcPr>
            <w:tcW w:w="815" w:type="pct"/>
            <w:tcBorders>
              <w:top w:val="single" w:sz="4" w:space="0" w:color="auto"/>
              <w:bottom w:val="single" w:sz="2" w:space="0" w:color="auto"/>
            </w:tcBorders>
          </w:tcPr>
          <w:p w14:paraId="49496799" w14:textId="77777777" w:rsidR="00E93F58" w:rsidRPr="00FB5439" w:rsidRDefault="00E93F58" w:rsidP="00070F64">
            <w:pPr>
              <w:rPr>
                <w:b/>
                <w:sz w:val="16"/>
              </w:rPr>
            </w:pPr>
            <w:r w:rsidRPr="00FB5439">
              <w:rPr>
                <w:b/>
                <w:sz w:val="16"/>
              </w:rPr>
              <w:t>No.</w:t>
            </w:r>
          </w:p>
        </w:tc>
        <w:tc>
          <w:tcPr>
            <w:tcW w:w="815" w:type="pct"/>
            <w:tcBorders>
              <w:top w:val="single" w:sz="4" w:space="0" w:color="auto"/>
              <w:bottom w:val="single" w:sz="2" w:space="0" w:color="auto"/>
            </w:tcBorders>
          </w:tcPr>
          <w:p w14:paraId="20184288" w14:textId="77777777" w:rsidR="00E93F58" w:rsidRPr="00FB5439" w:rsidRDefault="00E93F58" w:rsidP="00070F64">
            <w:pPr>
              <w:rPr>
                <w:b/>
                <w:sz w:val="16"/>
              </w:rPr>
            </w:pPr>
            <w:r w:rsidRPr="00FB5439">
              <w:rPr>
                <w:b/>
                <w:sz w:val="16"/>
              </w:rPr>
              <w:t>Name</w:t>
            </w:r>
          </w:p>
        </w:tc>
        <w:tc>
          <w:tcPr>
            <w:tcW w:w="815" w:type="pct"/>
            <w:tcBorders>
              <w:top w:val="single" w:sz="4" w:space="0" w:color="auto"/>
              <w:bottom w:val="single" w:sz="2" w:space="0" w:color="auto"/>
            </w:tcBorders>
          </w:tcPr>
          <w:p w14:paraId="5DBD2F1A" w14:textId="77777777" w:rsidR="00E93F58" w:rsidRPr="00FB5439" w:rsidRDefault="00E93F58" w:rsidP="00070F64">
            <w:pPr>
              <w:rPr>
                <w:b/>
                <w:sz w:val="16"/>
              </w:rPr>
            </w:pPr>
            <w:r w:rsidRPr="00FB5439">
              <w:rPr>
                <w:b/>
                <w:sz w:val="16"/>
              </w:rPr>
              <w:t>Address</w:t>
            </w:r>
          </w:p>
        </w:tc>
        <w:tc>
          <w:tcPr>
            <w:tcW w:w="815" w:type="pct"/>
            <w:tcBorders>
              <w:top w:val="single" w:sz="4" w:space="0" w:color="auto"/>
              <w:bottom w:val="single" w:sz="2" w:space="0" w:color="auto"/>
            </w:tcBorders>
          </w:tcPr>
          <w:p w14:paraId="3DC4CE2A" w14:textId="77777777" w:rsidR="00E93F58" w:rsidRPr="00FB5439" w:rsidRDefault="00E93F58" w:rsidP="00070F64">
            <w:pPr>
              <w:rPr>
                <w:b/>
                <w:sz w:val="16"/>
              </w:rPr>
            </w:pPr>
            <w:r w:rsidRPr="00FB5439">
              <w:rPr>
                <w:b/>
                <w:sz w:val="16"/>
              </w:rPr>
              <w:t>Description of class of contributory and in what character proposed to be included</w:t>
            </w:r>
          </w:p>
        </w:tc>
        <w:tc>
          <w:tcPr>
            <w:tcW w:w="815" w:type="pct"/>
            <w:tcBorders>
              <w:top w:val="single" w:sz="4" w:space="0" w:color="auto"/>
              <w:bottom w:val="single" w:sz="2" w:space="0" w:color="auto"/>
            </w:tcBorders>
          </w:tcPr>
          <w:p w14:paraId="4225F34E" w14:textId="77777777" w:rsidR="00E93F58" w:rsidRPr="00FB5439" w:rsidRDefault="00E93F58" w:rsidP="00070F64">
            <w:pPr>
              <w:rPr>
                <w:b/>
                <w:sz w:val="16"/>
              </w:rPr>
            </w:pPr>
            <w:r w:rsidRPr="00FB5439">
              <w:rPr>
                <w:b/>
                <w:sz w:val="16"/>
              </w:rPr>
              <w:t>Number of shares (or extent of interest)</w:t>
            </w:r>
          </w:p>
        </w:tc>
        <w:tc>
          <w:tcPr>
            <w:tcW w:w="923" w:type="pct"/>
            <w:tcBorders>
              <w:top w:val="single" w:sz="4" w:space="0" w:color="auto"/>
              <w:bottom w:val="single" w:sz="2" w:space="0" w:color="auto"/>
            </w:tcBorders>
          </w:tcPr>
          <w:p w14:paraId="44F3CD34" w14:textId="77777777" w:rsidR="00E93F58" w:rsidRPr="00FB5439" w:rsidRDefault="00E93F58" w:rsidP="00070F64">
            <w:pPr>
              <w:rPr>
                <w:b/>
                <w:sz w:val="16"/>
              </w:rPr>
            </w:pPr>
            <w:r w:rsidRPr="00FB5439">
              <w:rPr>
                <w:b/>
                <w:sz w:val="16"/>
              </w:rPr>
              <w:t>Date when included in list</w:t>
            </w:r>
          </w:p>
        </w:tc>
      </w:tr>
      <w:tr w:rsidR="00E93F58" w:rsidRPr="00FB5439" w14:paraId="2AE156D9" w14:textId="77777777" w:rsidTr="00B23434">
        <w:tc>
          <w:tcPr>
            <w:tcW w:w="815" w:type="pct"/>
            <w:tcBorders>
              <w:bottom w:val="single" w:sz="2" w:space="0" w:color="auto"/>
            </w:tcBorders>
          </w:tcPr>
          <w:p w14:paraId="17B11601" w14:textId="77777777" w:rsidR="00E93F58" w:rsidRPr="00FB5439" w:rsidRDefault="00E93F58" w:rsidP="00070F64">
            <w:pPr>
              <w:rPr>
                <w:sz w:val="16"/>
              </w:rPr>
            </w:pPr>
          </w:p>
        </w:tc>
        <w:tc>
          <w:tcPr>
            <w:tcW w:w="815" w:type="pct"/>
            <w:tcBorders>
              <w:bottom w:val="single" w:sz="2" w:space="0" w:color="auto"/>
            </w:tcBorders>
          </w:tcPr>
          <w:p w14:paraId="7FA5DEBB" w14:textId="77777777" w:rsidR="00E93F58" w:rsidRPr="00FB5439" w:rsidRDefault="00E93F58" w:rsidP="00070F64">
            <w:pPr>
              <w:rPr>
                <w:sz w:val="16"/>
              </w:rPr>
            </w:pPr>
          </w:p>
        </w:tc>
        <w:tc>
          <w:tcPr>
            <w:tcW w:w="815" w:type="pct"/>
            <w:tcBorders>
              <w:bottom w:val="single" w:sz="2" w:space="0" w:color="auto"/>
            </w:tcBorders>
          </w:tcPr>
          <w:p w14:paraId="195E98E2" w14:textId="77777777" w:rsidR="00E93F58" w:rsidRPr="00FB5439" w:rsidRDefault="00E93F58" w:rsidP="00070F64">
            <w:pPr>
              <w:rPr>
                <w:sz w:val="16"/>
              </w:rPr>
            </w:pPr>
          </w:p>
        </w:tc>
        <w:tc>
          <w:tcPr>
            <w:tcW w:w="815" w:type="pct"/>
            <w:tcBorders>
              <w:bottom w:val="single" w:sz="2" w:space="0" w:color="auto"/>
            </w:tcBorders>
          </w:tcPr>
          <w:p w14:paraId="5D1BCDC6" w14:textId="77777777" w:rsidR="00E93F58" w:rsidRPr="00FB5439" w:rsidRDefault="00E93F58" w:rsidP="00070F64">
            <w:pPr>
              <w:rPr>
                <w:sz w:val="16"/>
              </w:rPr>
            </w:pPr>
          </w:p>
        </w:tc>
        <w:tc>
          <w:tcPr>
            <w:tcW w:w="815" w:type="pct"/>
            <w:tcBorders>
              <w:bottom w:val="single" w:sz="2" w:space="0" w:color="auto"/>
            </w:tcBorders>
          </w:tcPr>
          <w:p w14:paraId="0EB1FD33" w14:textId="77777777" w:rsidR="00E93F58" w:rsidRPr="00FB5439" w:rsidRDefault="00E93F58" w:rsidP="00070F64">
            <w:pPr>
              <w:rPr>
                <w:sz w:val="16"/>
              </w:rPr>
            </w:pPr>
          </w:p>
        </w:tc>
        <w:tc>
          <w:tcPr>
            <w:tcW w:w="923" w:type="pct"/>
            <w:tcBorders>
              <w:bottom w:val="single" w:sz="2" w:space="0" w:color="auto"/>
            </w:tcBorders>
          </w:tcPr>
          <w:p w14:paraId="5D4B3FF4" w14:textId="77777777" w:rsidR="00E93F58" w:rsidRPr="00FB5439" w:rsidRDefault="00E93F58" w:rsidP="00070F64">
            <w:pPr>
              <w:rPr>
                <w:sz w:val="16"/>
              </w:rPr>
            </w:pPr>
          </w:p>
        </w:tc>
      </w:tr>
    </w:tbl>
    <w:p w14:paraId="21CD8931" w14:textId="77777777" w:rsidR="00E93F58" w:rsidRPr="00FB5439" w:rsidRDefault="00E93F58" w:rsidP="00070F64">
      <w:pPr>
        <w:rPr>
          <w:sz w:val="18"/>
        </w:rPr>
      </w:pPr>
    </w:p>
    <w:p w14:paraId="6514E5C7" w14:textId="77777777" w:rsidR="00E93F58" w:rsidRPr="00FB5439" w:rsidRDefault="00E93F58" w:rsidP="00070F64">
      <w:pPr>
        <w:rPr>
          <w:szCs w:val="22"/>
        </w:rPr>
      </w:pPr>
      <w:r w:rsidRPr="00FB5439">
        <w:rPr>
          <w:szCs w:val="22"/>
        </w:rPr>
        <w:t>Dated</w:t>
      </w:r>
    </w:p>
    <w:p w14:paraId="6DC00059" w14:textId="77777777" w:rsidR="00E93F58" w:rsidRPr="00FB5439" w:rsidRDefault="00E93F58" w:rsidP="00070F64">
      <w:pPr>
        <w:rPr>
          <w:szCs w:val="22"/>
        </w:rPr>
      </w:pPr>
    </w:p>
    <w:p w14:paraId="79DA363D" w14:textId="77777777" w:rsidR="00E93F58" w:rsidRPr="00FB5439" w:rsidRDefault="00E93F58" w:rsidP="00070F64">
      <w:r w:rsidRPr="00FB5439">
        <w:rPr>
          <w:szCs w:val="22"/>
        </w:rPr>
        <w:t>Signature of liquidator</w:t>
      </w:r>
    </w:p>
    <w:p w14:paraId="435FAF2E" w14:textId="77777777" w:rsidR="00E93F58" w:rsidRPr="00FB5439" w:rsidRDefault="00E93F58" w:rsidP="00070F64"/>
    <w:p w14:paraId="7C7ECCC0" w14:textId="77777777" w:rsidR="00E93F58" w:rsidRPr="00FB5439" w:rsidRDefault="00E93F58" w:rsidP="00A80D13">
      <w:pPr>
        <w:pStyle w:val="ActHead2"/>
        <w:pageBreakBefore/>
      </w:pPr>
      <w:bookmarkStart w:id="3202" w:name="_Toc151992786"/>
      <w:bookmarkStart w:id="3203" w:name="_Toc158713389"/>
      <w:r w:rsidRPr="00FB5439">
        <w:rPr>
          <w:rStyle w:val="CharPartNo"/>
        </w:rPr>
        <w:lastRenderedPageBreak/>
        <w:t>Form 542</w:t>
      </w:r>
      <w:bookmarkEnd w:id="3202"/>
      <w:bookmarkEnd w:id="3203"/>
      <w:r w:rsidRPr="00FB5439">
        <w:rPr>
          <w:rStyle w:val="CharPartText"/>
        </w:rPr>
        <w:t xml:space="preserve"> </w:t>
      </w:r>
      <w:r w:rsidRPr="00FB5439">
        <w:t xml:space="preserve"> </w:t>
      </w:r>
    </w:p>
    <w:p w14:paraId="2781E567" w14:textId="77777777" w:rsidR="00E93F58" w:rsidRPr="00FB5439" w:rsidRDefault="00E93F58" w:rsidP="004C686D">
      <w:pPr>
        <w:pStyle w:val="notemargin"/>
      </w:pPr>
      <w:r w:rsidRPr="00FB5439">
        <w:t>(subregulation 5.6.61(1))</w:t>
      </w:r>
    </w:p>
    <w:p w14:paraId="3D4A5970"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6856004A" w14:textId="77777777" w:rsidR="00E93F58" w:rsidRPr="00FB5439" w:rsidRDefault="00E93F58" w:rsidP="00070F64">
      <w:pPr>
        <w:rPr>
          <w:sz w:val="18"/>
        </w:rPr>
      </w:pPr>
    </w:p>
    <w:p w14:paraId="46561895" w14:textId="77777777" w:rsidR="00E93F58" w:rsidRPr="00FB5439" w:rsidRDefault="00E93F58" w:rsidP="00070F64">
      <w:r w:rsidRPr="00FB5439">
        <w:t>A.C.N or A.R.B.N.:</w:t>
      </w:r>
    </w:p>
    <w:p w14:paraId="6FF9F613" w14:textId="77777777" w:rsidR="00E93F58" w:rsidRPr="00FB5439" w:rsidRDefault="00E93F58" w:rsidP="00070F64"/>
    <w:p w14:paraId="636230F5" w14:textId="77777777" w:rsidR="00E93F58" w:rsidRPr="00FB5439" w:rsidRDefault="00E93F58" w:rsidP="00070F64">
      <w:r w:rsidRPr="00FB5439">
        <w:rPr>
          <w:i/>
        </w:rPr>
        <w:t>Corporations Act 2001</w:t>
      </w:r>
    </w:p>
    <w:p w14:paraId="48FD2329" w14:textId="77777777" w:rsidR="00E93F58" w:rsidRPr="00FB5439" w:rsidRDefault="00E93F58" w:rsidP="00070F64">
      <w:pPr>
        <w:spacing w:before="240" w:after="240"/>
        <w:rPr>
          <w:rFonts w:ascii="Arial" w:hAnsi="Arial" w:cs="Arial"/>
          <w:szCs w:val="22"/>
        </w:rPr>
      </w:pPr>
      <w:r w:rsidRPr="00FB5439">
        <w:rPr>
          <w:rFonts w:ascii="Arial" w:hAnsi="Arial" w:cs="Arial"/>
          <w:szCs w:val="22"/>
        </w:rPr>
        <w:t>PROVISIONAL SUPPLEMENTARY LIST OF CONTRIBUTORIES</w:t>
      </w:r>
    </w:p>
    <w:p w14:paraId="323AB4E9" w14:textId="77777777" w:rsidR="00E93F58" w:rsidRPr="00FB5439" w:rsidRDefault="00E93F58" w:rsidP="00070F64">
      <w:pPr>
        <w:jc w:val="right"/>
      </w:pPr>
      <w:r w:rsidRPr="00FB5439">
        <w:t>Limited</w:t>
      </w:r>
    </w:p>
    <w:p w14:paraId="113B2065" w14:textId="77777777" w:rsidR="00E93F58" w:rsidRPr="00FB5439" w:rsidRDefault="00E93F58" w:rsidP="00070F64">
      <w:pPr>
        <w:jc w:val="both"/>
      </w:pPr>
    </w:p>
    <w:p w14:paraId="24567CB0" w14:textId="77777777" w:rsidR="00E93F58" w:rsidRPr="00FB5439" w:rsidRDefault="00E93F58" w:rsidP="00070F64">
      <w:pPr>
        <w:tabs>
          <w:tab w:val="left" w:pos="4440"/>
        </w:tabs>
        <w:jc w:val="both"/>
      </w:pPr>
      <w:r w:rsidRPr="00FB5439">
        <w:t>The following is a list of persons that I have found, since making out the annexed list of contributories dated</w:t>
      </w:r>
      <w:r w:rsidRPr="00FB5439">
        <w:tab/>
        <w:t xml:space="preserve">, to be, or to have been, </w:t>
      </w:r>
      <w:r w:rsidRPr="00A80D13">
        <w:rPr>
          <w:position w:val="6"/>
          <w:sz w:val="16"/>
        </w:rPr>
        <w:t>*</w:t>
      </w:r>
      <w:r w:rsidRPr="00FB5439">
        <w:t>holders of shares in/</w:t>
      </w:r>
      <w:r w:rsidRPr="00A80D13">
        <w:rPr>
          <w:position w:val="6"/>
          <w:sz w:val="16"/>
        </w:rPr>
        <w:t>*</w:t>
      </w:r>
      <w:r w:rsidRPr="00FB5439">
        <w:t>members of the company, and who to the best of my knowledge and belief are contributories of the company:</w:t>
      </w:r>
    </w:p>
    <w:p w14:paraId="24FA360B" w14:textId="77777777" w:rsidR="00E93F58" w:rsidRPr="00FB5439" w:rsidRDefault="00E93F58" w:rsidP="00070F64">
      <w:pPr>
        <w:rPr>
          <w:sz w:val="18"/>
        </w:rPr>
      </w:pPr>
    </w:p>
    <w:p w14:paraId="2DF81020" w14:textId="77777777" w:rsidR="00E93F58" w:rsidRPr="00FB5439" w:rsidRDefault="00E93F58" w:rsidP="00070F64">
      <w:pPr>
        <w:pBdr>
          <w:top w:val="single" w:sz="4" w:space="1" w:color="auto"/>
        </w:pBdr>
        <w:rPr>
          <w:sz w:val="18"/>
        </w:rPr>
      </w:pPr>
    </w:p>
    <w:p w14:paraId="208F6415" w14:textId="77777777" w:rsidR="00E93F58" w:rsidRPr="00FB5439" w:rsidRDefault="00E93F58" w:rsidP="00070F64">
      <w:pPr>
        <w:jc w:val="center"/>
        <w:rPr>
          <w:i/>
        </w:rPr>
      </w:pPr>
      <w:r w:rsidRPr="00FB5439">
        <w:rPr>
          <w:i/>
        </w:rPr>
        <w:t>(insert list in the same form as the original list: see Form 538)</w:t>
      </w:r>
    </w:p>
    <w:p w14:paraId="37FF45E8" w14:textId="77777777" w:rsidR="00E93F58" w:rsidRPr="00FB5439" w:rsidRDefault="00E93F58" w:rsidP="00070F64"/>
    <w:p w14:paraId="5729ABAC" w14:textId="77777777" w:rsidR="00E93F58" w:rsidRPr="00FB5439" w:rsidRDefault="00E93F58" w:rsidP="00070F64"/>
    <w:p w14:paraId="74ABCFE1" w14:textId="77777777" w:rsidR="00E93F58" w:rsidRPr="00FB5439" w:rsidRDefault="00E93F58" w:rsidP="00070F64">
      <w:pPr>
        <w:pBdr>
          <w:top w:val="single" w:sz="4" w:space="1" w:color="auto"/>
        </w:pBdr>
      </w:pPr>
    </w:p>
    <w:p w14:paraId="7E52E83D" w14:textId="77777777" w:rsidR="00E93F58" w:rsidRPr="00FB5439" w:rsidRDefault="00E93F58" w:rsidP="00070F64">
      <w:r w:rsidRPr="00FB5439">
        <w:t>Dated</w:t>
      </w:r>
    </w:p>
    <w:p w14:paraId="4DA475F4" w14:textId="77777777" w:rsidR="00E93F58" w:rsidRPr="00FB5439" w:rsidRDefault="00E93F58" w:rsidP="00070F64"/>
    <w:p w14:paraId="394DECFB" w14:textId="77777777" w:rsidR="00E93F58" w:rsidRPr="00FB5439" w:rsidRDefault="00E93F58" w:rsidP="00070F64">
      <w:r w:rsidRPr="00FB5439">
        <w:t>Signature of liquidator</w:t>
      </w:r>
    </w:p>
    <w:p w14:paraId="7D891CC4" w14:textId="77777777" w:rsidR="00E93F58" w:rsidRPr="00FB5439" w:rsidRDefault="00E93F58" w:rsidP="00070F64"/>
    <w:p w14:paraId="10218544" w14:textId="77777777" w:rsidR="00E93F58" w:rsidRPr="00FB5439" w:rsidRDefault="00E93F58" w:rsidP="00070F64">
      <w:pPr>
        <w:pBdr>
          <w:top w:val="single" w:sz="4" w:space="1" w:color="auto"/>
        </w:pBdr>
      </w:pPr>
    </w:p>
    <w:p w14:paraId="71023121" w14:textId="77777777" w:rsidR="00E93F58" w:rsidRPr="00FB5439" w:rsidRDefault="00E93F58" w:rsidP="00070F64">
      <w:r w:rsidRPr="00A80D13">
        <w:rPr>
          <w:position w:val="6"/>
          <w:sz w:val="16"/>
        </w:rPr>
        <w:t>*</w:t>
      </w:r>
      <w:r w:rsidRPr="00FB5439">
        <w:t>Omit if inapplicable</w:t>
      </w:r>
    </w:p>
    <w:p w14:paraId="7C23BE5D" w14:textId="77777777" w:rsidR="00E93F58" w:rsidRPr="00FB5439" w:rsidRDefault="00E93F58" w:rsidP="00A80D13">
      <w:pPr>
        <w:pStyle w:val="ActHead2"/>
        <w:pageBreakBefore/>
      </w:pPr>
      <w:bookmarkStart w:id="3204" w:name="_Toc151992787"/>
      <w:bookmarkStart w:id="3205" w:name="_Toc158713390"/>
      <w:r w:rsidRPr="00FB5439">
        <w:rPr>
          <w:rStyle w:val="CharPartNo"/>
        </w:rPr>
        <w:lastRenderedPageBreak/>
        <w:t>Form 543</w:t>
      </w:r>
      <w:bookmarkEnd w:id="3204"/>
      <w:bookmarkEnd w:id="3205"/>
      <w:r w:rsidRPr="00FB5439">
        <w:rPr>
          <w:rStyle w:val="CharPartText"/>
        </w:rPr>
        <w:t xml:space="preserve"> </w:t>
      </w:r>
      <w:r w:rsidRPr="00FB5439">
        <w:t xml:space="preserve"> </w:t>
      </w:r>
    </w:p>
    <w:p w14:paraId="024AEDE6" w14:textId="77777777" w:rsidR="00E93F58" w:rsidRPr="00FB5439" w:rsidRDefault="00E93F58" w:rsidP="004C686D">
      <w:pPr>
        <w:pStyle w:val="notemargin"/>
      </w:pPr>
      <w:r w:rsidRPr="00FB5439">
        <w:t>(subregulation 5.6.61(1))</w:t>
      </w:r>
    </w:p>
    <w:p w14:paraId="0F954AA1" w14:textId="77777777" w:rsidR="00E93F58" w:rsidRPr="00FB5439" w:rsidRDefault="00E93F58" w:rsidP="00070F64">
      <w:pPr>
        <w:keepLines/>
        <w:rPr>
          <w:sz w:val="18"/>
        </w:rPr>
      </w:pPr>
    </w:p>
    <w:p w14:paraId="6D5CAD33" w14:textId="77777777" w:rsidR="00E93F58" w:rsidRPr="00FB5439" w:rsidRDefault="00E93F58" w:rsidP="00070F64">
      <w:pPr>
        <w:keepLines/>
      </w:pPr>
      <w:r w:rsidRPr="00FB5439">
        <w:t>A.C.N. or A.R.B.N.:</w:t>
      </w:r>
    </w:p>
    <w:p w14:paraId="176D5C8A" w14:textId="77777777" w:rsidR="00E93F58" w:rsidRPr="00FB5439" w:rsidRDefault="00E93F58" w:rsidP="00070F64">
      <w:pPr>
        <w:keepLines/>
      </w:pPr>
    </w:p>
    <w:p w14:paraId="5983D9E5" w14:textId="77777777" w:rsidR="00E93F58" w:rsidRPr="00FB5439" w:rsidRDefault="00E93F58" w:rsidP="00070F64">
      <w:pPr>
        <w:keepLines/>
      </w:pPr>
      <w:r w:rsidRPr="00FB5439">
        <w:rPr>
          <w:i/>
        </w:rPr>
        <w:t>Corporations Act 2001</w:t>
      </w:r>
    </w:p>
    <w:p w14:paraId="324B1623" w14:textId="77777777" w:rsidR="00E93F58" w:rsidRPr="00FB5439" w:rsidRDefault="00E93F58" w:rsidP="00070F64">
      <w:pPr>
        <w:keepLines/>
        <w:spacing w:before="240" w:after="240"/>
        <w:rPr>
          <w:rFonts w:ascii="Arial" w:hAnsi="Arial" w:cs="Arial"/>
          <w:szCs w:val="22"/>
        </w:rPr>
      </w:pPr>
      <w:r w:rsidRPr="00FB5439">
        <w:rPr>
          <w:rFonts w:ascii="Arial" w:hAnsi="Arial" w:cs="Arial"/>
          <w:szCs w:val="22"/>
        </w:rPr>
        <w:t>CERTIFICATE OF LIQUIDATOR OF SETTLEMENT OF SUPPLEMENTARY LIST OF CONTRIBUTORIES</w:t>
      </w:r>
    </w:p>
    <w:p w14:paraId="059CFE6E" w14:textId="77777777" w:rsidR="00E93F58" w:rsidRPr="00FB5439" w:rsidRDefault="00E93F58" w:rsidP="00070F64">
      <w:pPr>
        <w:keepLines/>
        <w:jc w:val="right"/>
      </w:pPr>
      <w:r w:rsidRPr="00FB5439">
        <w:t>Limited</w:t>
      </w:r>
    </w:p>
    <w:p w14:paraId="72D980E6" w14:textId="77777777" w:rsidR="00E93F58" w:rsidRPr="00FB5439" w:rsidRDefault="00E93F58" w:rsidP="00070F64">
      <w:pPr>
        <w:jc w:val="both"/>
      </w:pPr>
    </w:p>
    <w:p w14:paraId="1D32E793" w14:textId="77777777" w:rsidR="00E93F58" w:rsidRPr="00FB5439" w:rsidRDefault="00E93F58" w:rsidP="00070F64">
      <w:pPr>
        <w:jc w:val="both"/>
      </w:pPr>
      <w:r w:rsidRPr="00FB5439">
        <w:t>I (</w:t>
      </w:r>
      <w:r w:rsidRPr="00FB5439">
        <w:rPr>
          <w:i/>
        </w:rPr>
        <w:t>name</w:t>
      </w:r>
      <w:r w:rsidRPr="00FB5439">
        <w:t>), the liquidator of the company, certify that the result of the settlement of the provisional supplementary list of contributories of the company that I made out on (</w:t>
      </w:r>
      <w:r w:rsidRPr="00FB5439">
        <w:rPr>
          <w:i/>
        </w:rPr>
        <w:t>date</w:t>
      </w:r>
      <w:r w:rsidRPr="00FB5439">
        <w:t>) is as follows:</w:t>
      </w:r>
    </w:p>
    <w:p w14:paraId="44EABB28" w14:textId="77777777" w:rsidR="00E93F58" w:rsidRPr="00FB5439" w:rsidRDefault="00E93F58" w:rsidP="00070F64">
      <w:pPr>
        <w:jc w:val="both"/>
      </w:pPr>
    </w:p>
    <w:p w14:paraId="7C1AD5AE" w14:textId="77777777" w:rsidR="00E93F58" w:rsidRPr="00FB5439" w:rsidRDefault="00E93F58" w:rsidP="00070F64">
      <w:pPr>
        <w:jc w:val="both"/>
      </w:pPr>
      <w:r w:rsidRPr="00FB5439">
        <w:t>(</w:t>
      </w:r>
      <w:r w:rsidRPr="00FB5439">
        <w:rPr>
          <w:i/>
        </w:rPr>
        <w:t>set out the Certificate and Schedules as in Form 541</w:t>
      </w:r>
      <w:r w:rsidRPr="00FB5439">
        <w:t>)</w:t>
      </w:r>
    </w:p>
    <w:p w14:paraId="2C84607C" w14:textId="77777777" w:rsidR="00E93F58" w:rsidRPr="00FB5439" w:rsidRDefault="00E93F58" w:rsidP="00070F64">
      <w:pPr>
        <w:jc w:val="both"/>
      </w:pPr>
    </w:p>
    <w:p w14:paraId="6D763AA7" w14:textId="77777777" w:rsidR="00E93F58" w:rsidRPr="00FB5439" w:rsidRDefault="00E93F58" w:rsidP="00070F64">
      <w:pPr>
        <w:jc w:val="both"/>
      </w:pPr>
      <w:r w:rsidRPr="00FB5439">
        <w:t>Dated</w:t>
      </w:r>
    </w:p>
    <w:p w14:paraId="6BB50F0D" w14:textId="77777777" w:rsidR="00E93F58" w:rsidRPr="00FB5439" w:rsidRDefault="00E93F58" w:rsidP="00070F64">
      <w:pPr>
        <w:jc w:val="both"/>
      </w:pPr>
    </w:p>
    <w:p w14:paraId="1C0F65A1" w14:textId="77777777" w:rsidR="00E93F58" w:rsidRPr="00FB5439" w:rsidRDefault="00E93F58" w:rsidP="00070F64">
      <w:pPr>
        <w:jc w:val="both"/>
      </w:pPr>
      <w:r w:rsidRPr="00FB5439">
        <w:t>Signature of liquidator</w:t>
      </w:r>
    </w:p>
    <w:p w14:paraId="15BA875D" w14:textId="77777777" w:rsidR="00E93F58" w:rsidRPr="00FB5439" w:rsidRDefault="00E93F58" w:rsidP="00A80D13">
      <w:pPr>
        <w:pStyle w:val="ActHead2"/>
        <w:pageBreakBefore/>
      </w:pPr>
      <w:bookmarkStart w:id="3206" w:name="_Toc151992788"/>
      <w:bookmarkStart w:id="3207" w:name="_Toc158713391"/>
      <w:r w:rsidRPr="00FB5439">
        <w:rPr>
          <w:rStyle w:val="CharPartNo"/>
        </w:rPr>
        <w:lastRenderedPageBreak/>
        <w:t>Form 544</w:t>
      </w:r>
      <w:bookmarkEnd w:id="3206"/>
      <w:bookmarkEnd w:id="3207"/>
      <w:r w:rsidRPr="00FB5439">
        <w:rPr>
          <w:rStyle w:val="CharPartText"/>
        </w:rPr>
        <w:t xml:space="preserve"> </w:t>
      </w:r>
      <w:r w:rsidRPr="00FB5439">
        <w:t xml:space="preserve"> </w:t>
      </w:r>
    </w:p>
    <w:p w14:paraId="2FE7C544" w14:textId="77777777" w:rsidR="00E93F58" w:rsidRPr="00FB5439" w:rsidRDefault="00E93F58" w:rsidP="004C686D">
      <w:pPr>
        <w:pStyle w:val="notemargin"/>
      </w:pPr>
      <w:r w:rsidRPr="00FB5439">
        <w:t>(subregulation 5.6.62(4))</w:t>
      </w:r>
    </w:p>
    <w:p w14:paraId="69878A4E" w14:textId="77777777" w:rsidR="00E93F58" w:rsidRPr="00FB5439" w:rsidRDefault="00E93F58" w:rsidP="00070F64">
      <w:pPr>
        <w:rPr>
          <w:sz w:val="18"/>
        </w:rPr>
      </w:pPr>
    </w:p>
    <w:p w14:paraId="0FD1D2EB" w14:textId="77777777" w:rsidR="00E93F58" w:rsidRPr="00FB5439" w:rsidRDefault="00E93F58" w:rsidP="00070F64">
      <w:r w:rsidRPr="00FB5439">
        <w:t>A.C.N. or A.R.B.N.:</w:t>
      </w:r>
    </w:p>
    <w:p w14:paraId="7F952928" w14:textId="77777777" w:rsidR="00E93F58" w:rsidRPr="00FB5439" w:rsidRDefault="00E93F58" w:rsidP="00070F64">
      <w:pPr>
        <w:rPr>
          <w:i/>
        </w:rPr>
      </w:pPr>
    </w:p>
    <w:p w14:paraId="1858CEAE" w14:textId="77777777" w:rsidR="00E93F58" w:rsidRPr="00FB5439" w:rsidRDefault="00E93F58" w:rsidP="00070F64">
      <w:pPr>
        <w:rPr>
          <w:i/>
        </w:rPr>
      </w:pPr>
      <w:r w:rsidRPr="00FB5439">
        <w:rPr>
          <w:i/>
        </w:rPr>
        <w:t>Corporations Act 2001</w:t>
      </w:r>
    </w:p>
    <w:p w14:paraId="21FDB976" w14:textId="77777777" w:rsidR="00E93F58" w:rsidRPr="00FB5439" w:rsidRDefault="00E93F58" w:rsidP="00070F64">
      <w:pPr>
        <w:spacing w:before="240" w:after="240"/>
        <w:rPr>
          <w:rFonts w:ascii="Arial" w:hAnsi="Arial" w:cs="Arial"/>
          <w:szCs w:val="22"/>
        </w:rPr>
      </w:pPr>
      <w:r w:rsidRPr="00FB5439">
        <w:rPr>
          <w:rFonts w:ascii="Arial" w:hAnsi="Arial" w:cs="Arial"/>
          <w:szCs w:val="22"/>
        </w:rPr>
        <w:t>NOTICE TO CONTRIBUTORY OF FINAL SETTLEMENT OF LIST OR SUPPLEMENTARY LIST OF CONTRIBUTORIES AND OF INCLUSION IN LIST</w:t>
      </w:r>
    </w:p>
    <w:p w14:paraId="1DC0ABF3" w14:textId="77777777" w:rsidR="00E93F58" w:rsidRPr="00FB5439" w:rsidRDefault="00E93F58" w:rsidP="00070F64">
      <w:pPr>
        <w:jc w:val="right"/>
      </w:pPr>
      <w:r w:rsidRPr="00FB5439">
        <w:t>Limited</w:t>
      </w:r>
    </w:p>
    <w:p w14:paraId="03915914" w14:textId="77777777" w:rsidR="00E93F58" w:rsidRPr="00FB5439" w:rsidRDefault="00E93F58" w:rsidP="00070F64">
      <w:pPr>
        <w:jc w:val="both"/>
      </w:pPr>
    </w:p>
    <w:p w14:paraId="7A1318E6" w14:textId="77777777" w:rsidR="00E93F58" w:rsidRPr="00FB5439" w:rsidRDefault="00E93F58" w:rsidP="00070F64">
      <w:pPr>
        <w:jc w:val="both"/>
      </w:pPr>
      <w:r w:rsidRPr="00FB5439">
        <w:t>To:</w:t>
      </w:r>
    </w:p>
    <w:p w14:paraId="49AF1814" w14:textId="77777777" w:rsidR="00E93F58" w:rsidRPr="00FB5439" w:rsidRDefault="00E93F58" w:rsidP="00070F64">
      <w:pPr>
        <w:jc w:val="both"/>
      </w:pPr>
      <w:r w:rsidRPr="00FB5439">
        <w:t>of:</w:t>
      </w:r>
    </w:p>
    <w:p w14:paraId="5D3BA017" w14:textId="77777777" w:rsidR="00E93F58" w:rsidRPr="00FB5439" w:rsidRDefault="00E93F58" w:rsidP="00070F64">
      <w:pPr>
        <w:jc w:val="both"/>
      </w:pPr>
    </w:p>
    <w:p w14:paraId="5379709D" w14:textId="77777777" w:rsidR="00E93F58" w:rsidRPr="00FB5439" w:rsidRDefault="00E93F58" w:rsidP="00070F64">
      <w:pPr>
        <w:jc w:val="both"/>
      </w:pPr>
      <w:r w:rsidRPr="00FB5439">
        <w:t>Take notice that I (</w:t>
      </w:r>
      <w:r w:rsidRPr="00FB5439">
        <w:rPr>
          <w:i/>
        </w:rPr>
        <w:t>name</w:t>
      </w:r>
      <w:r w:rsidRPr="00FB5439">
        <w:t>), the liquidator of the company, on (</w:t>
      </w:r>
      <w:r w:rsidRPr="00FB5439">
        <w:rPr>
          <w:i/>
        </w:rPr>
        <w:t>date</w:t>
      </w:r>
      <w:r w:rsidRPr="00FB5439">
        <w:t>) settled the list of contributories of the company.  You are included in that list.  The character, if applicable, in which, and the number of share, or extent of interest, for which, you are included, and the amounts called dup, paid up and unpaid in respect of those shares or that interest are stated in the Schedule.</w:t>
      </w:r>
    </w:p>
    <w:p w14:paraId="74E22434" w14:textId="77777777" w:rsidR="00E93F58" w:rsidRPr="00FB5439" w:rsidRDefault="00E93F58" w:rsidP="00070F64">
      <w:pPr>
        <w:jc w:val="both"/>
      </w:pPr>
    </w:p>
    <w:p w14:paraId="2293D1AF" w14:textId="77777777" w:rsidR="00E93F58" w:rsidRPr="00FB5439" w:rsidRDefault="00E93F58" w:rsidP="00070F64">
      <w:pPr>
        <w:jc w:val="both"/>
      </w:pPr>
      <w:r w:rsidRPr="00FB5439">
        <w:t xml:space="preserve">You may apply to vary the list of contributories, or to remove your name from the list, by making an application to </w:t>
      </w:r>
      <w:r w:rsidRPr="00A80D13">
        <w:rPr>
          <w:position w:val="6"/>
          <w:sz w:val="16"/>
        </w:rPr>
        <w:t>*</w:t>
      </w:r>
      <w:r w:rsidRPr="00FB5439">
        <w:t>the Federal Court of Australia/</w:t>
      </w:r>
      <w:r w:rsidRPr="00A80D13">
        <w:rPr>
          <w:position w:val="6"/>
          <w:sz w:val="16"/>
        </w:rPr>
        <w:t>*</w:t>
      </w:r>
      <w:r w:rsidRPr="00FB5439">
        <w:t>the Supreme court of (</w:t>
      </w:r>
      <w:r w:rsidRPr="00FB5439">
        <w:rPr>
          <w:i/>
        </w:rPr>
        <w:t>State or Territory</w:t>
      </w:r>
      <w:r w:rsidRPr="00FB5439">
        <w:t>) within 21 days from the service on you of this notice or, if the Court allows, any further period.</w:t>
      </w:r>
    </w:p>
    <w:p w14:paraId="1BDFE48B" w14:textId="77777777" w:rsidR="00E93F58" w:rsidRPr="00FB5439" w:rsidRDefault="00E93F58" w:rsidP="00070F64">
      <w:pPr>
        <w:jc w:val="both"/>
      </w:pPr>
    </w:p>
    <w:p w14:paraId="774F6449" w14:textId="77777777" w:rsidR="00E93F58" w:rsidRPr="00FB5439" w:rsidRDefault="00E93F58" w:rsidP="00070F64">
      <w:pPr>
        <w:jc w:val="both"/>
      </w:pPr>
      <w:r w:rsidRPr="00FB5439">
        <w:t>You may inspect the list at my office at (</w:t>
      </w:r>
      <w:r w:rsidRPr="00FB5439">
        <w:rPr>
          <w:i/>
        </w:rPr>
        <w:t>address</w:t>
      </w:r>
      <w:r w:rsidRPr="00FB5439">
        <w:t>) from Monday to Friday inclusive between the hours of (</w:t>
      </w:r>
      <w:r w:rsidRPr="00FB5439">
        <w:rPr>
          <w:i/>
        </w:rPr>
        <w:t>insert times making up not less than 3 hours during the normal working day</w:t>
      </w:r>
      <w:r w:rsidRPr="00FB5439">
        <w:t>) and</w:t>
      </w:r>
    </w:p>
    <w:p w14:paraId="3BC742C6" w14:textId="77777777" w:rsidR="00E93F58" w:rsidRPr="00FB5439" w:rsidRDefault="00E93F58" w:rsidP="00070F64"/>
    <w:p w14:paraId="12E935D8" w14:textId="77777777" w:rsidR="00E93F58" w:rsidRPr="00FB5439" w:rsidRDefault="00E93F58" w:rsidP="00070F64">
      <w:pPr>
        <w:rPr>
          <w:sz w:val="18"/>
        </w:rPr>
      </w:pPr>
    </w:p>
    <w:p w14:paraId="17C35FD6" w14:textId="77777777" w:rsidR="00E93F58" w:rsidRPr="00FB5439" w:rsidRDefault="00E93F58" w:rsidP="00070F64">
      <w:pPr>
        <w:jc w:val="center"/>
        <w:rPr>
          <w:b/>
        </w:rPr>
      </w:pPr>
      <w:r w:rsidRPr="00FB5439">
        <w:rPr>
          <w:b/>
        </w:rPr>
        <w:t>SCHEDULE</w:t>
      </w:r>
    </w:p>
    <w:p w14:paraId="3D404958" w14:textId="77777777" w:rsidR="00E93F58" w:rsidRPr="00FB5439" w:rsidRDefault="00E93F58" w:rsidP="00070F64">
      <w:pPr>
        <w:rPr>
          <w:sz w:val="18"/>
        </w:rPr>
      </w:pPr>
    </w:p>
    <w:tbl>
      <w:tblPr>
        <w:tblW w:w="5000" w:type="pct"/>
        <w:tblBorders>
          <w:top w:val="single" w:sz="6" w:space="0" w:color="auto"/>
        </w:tblBorders>
        <w:tblLook w:val="0000" w:firstRow="0" w:lastRow="0" w:firstColumn="0" w:lastColumn="0" w:noHBand="0" w:noVBand="0"/>
      </w:tblPr>
      <w:tblGrid>
        <w:gridCol w:w="1195"/>
        <w:gridCol w:w="1198"/>
        <w:gridCol w:w="1198"/>
        <w:gridCol w:w="1198"/>
        <w:gridCol w:w="1196"/>
        <w:gridCol w:w="1198"/>
        <w:gridCol w:w="1198"/>
        <w:gridCol w:w="1198"/>
        <w:gridCol w:w="1194"/>
      </w:tblGrid>
      <w:tr w:rsidR="00E93F58" w:rsidRPr="00FB5439" w14:paraId="35D048E6" w14:textId="77777777" w:rsidTr="00B23434">
        <w:tc>
          <w:tcPr>
            <w:tcW w:w="555" w:type="pct"/>
            <w:tcBorders>
              <w:bottom w:val="nil"/>
            </w:tcBorders>
          </w:tcPr>
          <w:p w14:paraId="664A7C13" w14:textId="77777777" w:rsidR="00E93F58" w:rsidRPr="00FB5439" w:rsidRDefault="00E93F58" w:rsidP="00070F64">
            <w:pPr>
              <w:tabs>
                <w:tab w:val="left" w:pos="2268"/>
                <w:tab w:val="left" w:pos="5670"/>
              </w:tabs>
              <w:rPr>
                <w:b/>
                <w:sz w:val="18"/>
              </w:rPr>
            </w:pPr>
            <w:r w:rsidRPr="00FB5439">
              <w:rPr>
                <w:b/>
                <w:sz w:val="18"/>
              </w:rPr>
              <w:t>No.</w:t>
            </w:r>
          </w:p>
        </w:tc>
        <w:tc>
          <w:tcPr>
            <w:tcW w:w="556" w:type="pct"/>
            <w:tcBorders>
              <w:bottom w:val="nil"/>
            </w:tcBorders>
          </w:tcPr>
          <w:p w14:paraId="5286CD34" w14:textId="77777777" w:rsidR="00E93F58" w:rsidRPr="00FB5439" w:rsidRDefault="00E93F58" w:rsidP="00070F64">
            <w:pPr>
              <w:tabs>
                <w:tab w:val="left" w:pos="5670"/>
              </w:tabs>
              <w:rPr>
                <w:b/>
                <w:sz w:val="18"/>
              </w:rPr>
            </w:pPr>
            <w:r w:rsidRPr="00FB5439">
              <w:rPr>
                <w:b/>
                <w:sz w:val="18"/>
              </w:rPr>
              <w:t>Name</w:t>
            </w:r>
          </w:p>
        </w:tc>
        <w:tc>
          <w:tcPr>
            <w:tcW w:w="556" w:type="pct"/>
            <w:tcBorders>
              <w:bottom w:val="nil"/>
            </w:tcBorders>
          </w:tcPr>
          <w:p w14:paraId="187B17BD" w14:textId="77777777" w:rsidR="00E93F58" w:rsidRPr="00FB5439" w:rsidRDefault="00E93F58" w:rsidP="00070F64">
            <w:pPr>
              <w:tabs>
                <w:tab w:val="left" w:pos="2268"/>
                <w:tab w:val="left" w:pos="5670"/>
              </w:tabs>
              <w:rPr>
                <w:b/>
                <w:sz w:val="18"/>
              </w:rPr>
            </w:pPr>
            <w:r w:rsidRPr="00FB5439">
              <w:rPr>
                <w:b/>
                <w:sz w:val="18"/>
              </w:rPr>
              <w:t>Address</w:t>
            </w:r>
          </w:p>
        </w:tc>
        <w:tc>
          <w:tcPr>
            <w:tcW w:w="556" w:type="pct"/>
            <w:tcBorders>
              <w:bottom w:val="nil"/>
            </w:tcBorders>
          </w:tcPr>
          <w:p w14:paraId="454A6AF4" w14:textId="77777777" w:rsidR="00E93F58" w:rsidRPr="00FB5439" w:rsidRDefault="00E93F58" w:rsidP="00070F64">
            <w:pPr>
              <w:tabs>
                <w:tab w:val="left" w:pos="2268"/>
                <w:tab w:val="left" w:pos="5670"/>
              </w:tabs>
              <w:rPr>
                <w:b/>
                <w:sz w:val="18"/>
              </w:rPr>
            </w:pPr>
            <w:r w:rsidRPr="00FB5439">
              <w:rPr>
                <w:b/>
                <w:sz w:val="18"/>
              </w:rPr>
              <w:t>Description of class of contributory and in what character included</w:t>
            </w:r>
          </w:p>
        </w:tc>
        <w:tc>
          <w:tcPr>
            <w:tcW w:w="555" w:type="pct"/>
            <w:tcBorders>
              <w:bottom w:val="nil"/>
            </w:tcBorders>
          </w:tcPr>
          <w:p w14:paraId="52F5DC72" w14:textId="77777777" w:rsidR="00E93F58" w:rsidRPr="00FB5439" w:rsidRDefault="00E93F58" w:rsidP="00070F64">
            <w:pPr>
              <w:tabs>
                <w:tab w:val="left" w:pos="2268"/>
                <w:tab w:val="left" w:pos="5670"/>
              </w:tabs>
              <w:rPr>
                <w:b/>
                <w:sz w:val="18"/>
              </w:rPr>
            </w:pPr>
            <w:r w:rsidRPr="00FB5439">
              <w:rPr>
                <w:b/>
                <w:sz w:val="18"/>
              </w:rPr>
              <w:t>Number of shares (or extent of interest)</w:t>
            </w:r>
          </w:p>
        </w:tc>
        <w:tc>
          <w:tcPr>
            <w:tcW w:w="556" w:type="pct"/>
            <w:tcBorders>
              <w:bottom w:val="nil"/>
            </w:tcBorders>
          </w:tcPr>
          <w:p w14:paraId="3D16D808" w14:textId="77777777" w:rsidR="00E93F58" w:rsidRPr="00FB5439" w:rsidRDefault="00E93F58" w:rsidP="00070F64">
            <w:pPr>
              <w:tabs>
                <w:tab w:val="left" w:pos="2268"/>
                <w:tab w:val="left" w:pos="5670"/>
              </w:tabs>
              <w:rPr>
                <w:b/>
                <w:sz w:val="18"/>
              </w:rPr>
            </w:pPr>
            <w:r w:rsidRPr="00FB5439">
              <w:rPr>
                <w:b/>
                <w:sz w:val="18"/>
              </w:rPr>
              <w:t>Amount called up at date of start of winding up</w:t>
            </w:r>
          </w:p>
        </w:tc>
        <w:tc>
          <w:tcPr>
            <w:tcW w:w="556" w:type="pct"/>
            <w:tcBorders>
              <w:bottom w:val="nil"/>
            </w:tcBorders>
          </w:tcPr>
          <w:p w14:paraId="306A83D9" w14:textId="77777777" w:rsidR="00E93F58" w:rsidRPr="00FB5439" w:rsidRDefault="00E93F58" w:rsidP="00070F64">
            <w:pPr>
              <w:tabs>
                <w:tab w:val="left" w:pos="2268"/>
                <w:tab w:val="left" w:pos="5670"/>
              </w:tabs>
              <w:rPr>
                <w:b/>
                <w:sz w:val="18"/>
              </w:rPr>
            </w:pPr>
            <w:r w:rsidRPr="00FB5439">
              <w:rPr>
                <w:b/>
                <w:sz w:val="18"/>
              </w:rPr>
              <w:t>Amount unpaid at date of start of winding up</w:t>
            </w:r>
          </w:p>
        </w:tc>
        <w:tc>
          <w:tcPr>
            <w:tcW w:w="556" w:type="pct"/>
            <w:tcBorders>
              <w:bottom w:val="nil"/>
            </w:tcBorders>
          </w:tcPr>
          <w:p w14:paraId="0150E69D" w14:textId="77777777" w:rsidR="00E93F58" w:rsidRPr="00FB5439" w:rsidRDefault="00E93F58" w:rsidP="00070F64">
            <w:pPr>
              <w:tabs>
                <w:tab w:val="left" w:pos="2268"/>
                <w:tab w:val="left" w:pos="5670"/>
              </w:tabs>
              <w:rPr>
                <w:b/>
                <w:sz w:val="18"/>
              </w:rPr>
            </w:pPr>
            <w:r w:rsidRPr="00FB5439">
              <w:rPr>
                <w:b/>
                <w:sz w:val="18"/>
              </w:rPr>
              <w:t>Amount unpaid at date of start of winding up</w:t>
            </w:r>
          </w:p>
        </w:tc>
        <w:tc>
          <w:tcPr>
            <w:tcW w:w="554" w:type="pct"/>
            <w:tcBorders>
              <w:bottom w:val="nil"/>
            </w:tcBorders>
          </w:tcPr>
          <w:p w14:paraId="17ABD327" w14:textId="77777777" w:rsidR="00E93F58" w:rsidRPr="00FB5439" w:rsidRDefault="00E93F58" w:rsidP="00070F64">
            <w:pPr>
              <w:tabs>
                <w:tab w:val="left" w:pos="2268"/>
                <w:tab w:val="left" w:pos="5670"/>
              </w:tabs>
              <w:rPr>
                <w:b/>
                <w:sz w:val="18"/>
              </w:rPr>
            </w:pPr>
            <w:r w:rsidRPr="00FB5439">
              <w:rPr>
                <w:b/>
                <w:sz w:val="18"/>
              </w:rPr>
              <w:t>Amount not called up at date of start winding up</w:t>
            </w:r>
          </w:p>
        </w:tc>
      </w:tr>
      <w:tr w:rsidR="00E93F58" w:rsidRPr="00FB5439" w14:paraId="5B1E8036" w14:textId="77777777" w:rsidTr="00B23434">
        <w:tc>
          <w:tcPr>
            <w:tcW w:w="555" w:type="pct"/>
            <w:tcBorders>
              <w:top w:val="single" w:sz="4" w:space="0" w:color="auto"/>
              <w:bottom w:val="nil"/>
            </w:tcBorders>
          </w:tcPr>
          <w:p w14:paraId="12897AB5" w14:textId="77777777" w:rsidR="00E93F58" w:rsidRPr="00FB5439" w:rsidRDefault="00E93F58" w:rsidP="00070F64">
            <w:pPr>
              <w:tabs>
                <w:tab w:val="left" w:pos="2268"/>
                <w:tab w:val="left" w:pos="5670"/>
              </w:tabs>
              <w:rPr>
                <w:sz w:val="18"/>
              </w:rPr>
            </w:pPr>
          </w:p>
        </w:tc>
        <w:tc>
          <w:tcPr>
            <w:tcW w:w="556" w:type="pct"/>
            <w:tcBorders>
              <w:top w:val="single" w:sz="4" w:space="0" w:color="auto"/>
              <w:bottom w:val="nil"/>
            </w:tcBorders>
          </w:tcPr>
          <w:p w14:paraId="3F353723" w14:textId="77777777" w:rsidR="00E93F58" w:rsidRPr="00FB5439" w:rsidRDefault="00E93F58" w:rsidP="00070F64">
            <w:pPr>
              <w:tabs>
                <w:tab w:val="left" w:pos="2268"/>
                <w:tab w:val="left" w:pos="5670"/>
              </w:tabs>
              <w:rPr>
                <w:sz w:val="18"/>
              </w:rPr>
            </w:pPr>
          </w:p>
        </w:tc>
        <w:tc>
          <w:tcPr>
            <w:tcW w:w="556" w:type="pct"/>
            <w:tcBorders>
              <w:top w:val="single" w:sz="4" w:space="0" w:color="auto"/>
              <w:bottom w:val="nil"/>
            </w:tcBorders>
          </w:tcPr>
          <w:p w14:paraId="77911B32" w14:textId="77777777" w:rsidR="00E93F58" w:rsidRPr="00FB5439" w:rsidRDefault="00E93F58" w:rsidP="00070F64">
            <w:pPr>
              <w:tabs>
                <w:tab w:val="left" w:pos="2268"/>
                <w:tab w:val="left" w:pos="5670"/>
              </w:tabs>
              <w:rPr>
                <w:sz w:val="18"/>
              </w:rPr>
            </w:pPr>
          </w:p>
        </w:tc>
        <w:tc>
          <w:tcPr>
            <w:tcW w:w="556" w:type="pct"/>
            <w:tcBorders>
              <w:top w:val="single" w:sz="4" w:space="0" w:color="auto"/>
              <w:bottom w:val="nil"/>
            </w:tcBorders>
          </w:tcPr>
          <w:p w14:paraId="14CD3312" w14:textId="77777777" w:rsidR="00E93F58" w:rsidRPr="00FB5439" w:rsidRDefault="00E93F58" w:rsidP="00070F64">
            <w:pPr>
              <w:tabs>
                <w:tab w:val="left" w:pos="2268"/>
                <w:tab w:val="left" w:pos="5670"/>
              </w:tabs>
              <w:rPr>
                <w:sz w:val="18"/>
              </w:rPr>
            </w:pPr>
          </w:p>
        </w:tc>
        <w:tc>
          <w:tcPr>
            <w:tcW w:w="555" w:type="pct"/>
            <w:tcBorders>
              <w:top w:val="single" w:sz="4" w:space="0" w:color="auto"/>
              <w:bottom w:val="nil"/>
            </w:tcBorders>
          </w:tcPr>
          <w:p w14:paraId="1F2CEE37" w14:textId="77777777" w:rsidR="00E93F58" w:rsidRPr="00FB5439" w:rsidRDefault="00E93F58" w:rsidP="00070F64">
            <w:pPr>
              <w:tabs>
                <w:tab w:val="left" w:pos="2268"/>
                <w:tab w:val="left" w:pos="5670"/>
              </w:tabs>
              <w:rPr>
                <w:sz w:val="18"/>
              </w:rPr>
            </w:pPr>
          </w:p>
        </w:tc>
        <w:tc>
          <w:tcPr>
            <w:tcW w:w="556" w:type="pct"/>
            <w:tcBorders>
              <w:top w:val="single" w:sz="4" w:space="0" w:color="auto"/>
              <w:bottom w:val="nil"/>
            </w:tcBorders>
          </w:tcPr>
          <w:p w14:paraId="19BB820F" w14:textId="77777777" w:rsidR="00E93F58" w:rsidRPr="00FB5439" w:rsidRDefault="00E93F58" w:rsidP="00070F64">
            <w:pPr>
              <w:tabs>
                <w:tab w:val="left" w:pos="2268"/>
                <w:tab w:val="left" w:pos="5670"/>
              </w:tabs>
              <w:rPr>
                <w:sz w:val="18"/>
              </w:rPr>
            </w:pPr>
          </w:p>
        </w:tc>
        <w:tc>
          <w:tcPr>
            <w:tcW w:w="556" w:type="pct"/>
            <w:tcBorders>
              <w:top w:val="single" w:sz="4" w:space="0" w:color="auto"/>
              <w:bottom w:val="nil"/>
            </w:tcBorders>
          </w:tcPr>
          <w:p w14:paraId="49793744" w14:textId="77777777" w:rsidR="00E93F58" w:rsidRPr="00FB5439" w:rsidRDefault="00E93F58" w:rsidP="00070F64">
            <w:pPr>
              <w:tabs>
                <w:tab w:val="left" w:pos="2268"/>
                <w:tab w:val="left" w:pos="5670"/>
              </w:tabs>
              <w:rPr>
                <w:sz w:val="18"/>
              </w:rPr>
            </w:pPr>
          </w:p>
        </w:tc>
        <w:tc>
          <w:tcPr>
            <w:tcW w:w="556" w:type="pct"/>
            <w:tcBorders>
              <w:top w:val="single" w:sz="4" w:space="0" w:color="auto"/>
              <w:bottom w:val="nil"/>
            </w:tcBorders>
          </w:tcPr>
          <w:p w14:paraId="4A49FFEC" w14:textId="77777777" w:rsidR="00E93F58" w:rsidRPr="00FB5439" w:rsidRDefault="00E93F58" w:rsidP="00070F64">
            <w:pPr>
              <w:tabs>
                <w:tab w:val="left" w:pos="2268"/>
                <w:tab w:val="left" w:pos="5670"/>
              </w:tabs>
              <w:rPr>
                <w:sz w:val="18"/>
              </w:rPr>
            </w:pPr>
          </w:p>
        </w:tc>
        <w:tc>
          <w:tcPr>
            <w:tcW w:w="554" w:type="pct"/>
            <w:tcBorders>
              <w:top w:val="single" w:sz="4" w:space="0" w:color="auto"/>
              <w:bottom w:val="nil"/>
            </w:tcBorders>
          </w:tcPr>
          <w:p w14:paraId="13EBE0DF" w14:textId="77777777" w:rsidR="00E93F58" w:rsidRPr="00FB5439" w:rsidRDefault="00E93F58" w:rsidP="00070F64">
            <w:pPr>
              <w:tabs>
                <w:tab w:val="left" w:pos="2268"/>
                <w:tab w:val="left" w:pos="5670"/>
              </w:tabs>
              <w:rPr>
                <w:sz w:val="18"/>
              </w:rPr>
            </w:pPr>
          </w:p>
        </w:tc>
      </w:tr>
      <w:tr w:rsidR="00E93F58" w:rsidRPr="00FB5439" w14:paraId="290AD240" w14:textId="77777777" w:rsidTr="00B23434">
        <w:tc>
          <w:tcPr>
            <w:tcW w:w="555" w:type="pct"/>
            <w:tcBorders>
              <w:top w:val="nil"/>
              <w:bottom w:val="single" w:sz="4" w:space="0" w:color="auto"/>
            </w:tcBorders>
          </w:tcPr>
          <w:p w14:paraId="3C29701C"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1CBEA982"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597990B4"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27B1373D" w14:textId="77777777" w:rsidR="00E93F58" w:rsidRPr="00FB5439" w:rsidRDefault="00E93F58" w:rsidP="00070F64">
            <w:pPr>
              <w:tabs>
                <w:tab w:val="left" w:pos="2268"/>
                <w:tab w:val="left" w:pos="5670"/>
              </w:tabs>
              <w:rPr>
                <w:sz w:val="18"/>
              </w:rPr>
            </w:pPr>
          </w:p>
        </w:tc>
        <w:tc>
          <w:tcPr>
            <w:tcW w:w="555" w:type="pct"/>
            <w:tcBorders>
              <w:top w:val="nil"/>
              <w:bottom w:val="single" w:sz="4" w:space="0" w:color="auto"/>
            </w:tcBorders>
          </w:tcPr>
          <w:p w14:paraId="54A0DD93"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3A613601"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3E61A9E4"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43BF6E63" w14:textId="77777777" w:rsidR="00E93F58" w:rsidRPr="00FB5439" w:rsidRDefault="00E93F58" w:rsidP="00070F64">
            <w:pPr>
              <w:tabs>
                <w:tab w:val="left" w:pos="2268"/>
                <w:tab w:val="left" w:pos="5670"/>
              </w:tabs>
              <w:rPr>
                <w:sz w:val="18"/>
              </w:rPr>
            </w:pPr>
          </w:p>
        </w:tc>
        <w:tc>
          <w:tcPr>
            <w:tcW w:w="554" w:type="pct"/>
            <w:tcBorders>
              <w:top w:val="nil"/>
              <w:bottom w:val="single" w:sz="4" w:space="0" w:color="auto"/>
            </w:tcBorders>
          </w:tcPr>
          <w:p w14:paraId="21FAAEA6" w14:textId="77777777" w:rsidR="00E93F58" w:rsidRPr="00FB5439" w:rsidRDefault="00E93F58" w:rsidP="00070F64">
            <w:pPr>
              <w:tabs>
                <w:tab w:val="left" w:pos="2268"/>
                <w:tab w:val="left" w:pos="5670"/>
              </w:tabs>
              <w:rPr>
                <w:sz w:val="18"/>
              </w:rPr>
            </w:pPr>
          </w:p>
        </w:tc>
      </w:tr>
      <w:tr w:rsidR="00E93F58" w:rsidRPr="00FB5439" w14:paraId="72499973" w14:textId="77777777" w:rsidTr="00B23434">
        <w:tc>
          <w:tcPr>
            <w:tcW w:w="555" w:type="pct"/>
            <w:tcBorders>
              <w:top w:val="nil"/>
              <w:bottom w:val="nil"/>
            </w:tcBorders>
          </w:tcPr>
          <w:p w14:paraId="1F30A0B7" w14:textId="77777777" w:rsidR="00E93F58" w:rsidRPr="00FB5439" w:rsidRDefault="00E93F58" w:rsidP="00070F64">
            <w:pPr>
              <w:tabs>
                <w:tab w:val="left" w:pos="2268"/>
                <w:tab w:val="left" w:pos="5670"/>
              </w:tabs>
              <w:rPr>
                <w:sz w:val="18"/>
              </w:rPr>
            </w:pPr>
          </w:p>
        </w:tc>
        <w:tc>
          <w:tcPr>
            <w:tcW w:w="556" w:type="pct"/>
            <w:tcBorders>
              <w:top w:val="nil"/>
              <w:bottom w:val="nil"/>
            </w:tcBorders>
          </w:tcPr>
          <w:p w14:paraId="2792608D" w14:textId="77777777" w:rsidR="00E93F58" w:rsidRPr="00FB5439" w:rsidRDefault="00E93F58" w:rsidP="00070F64">
            <w:pPr>
              <w:tabs>
                <w:tab w:val="left" w:pos="2268"/>
                <w:tab w:val="left" w:pos="5670"/>
              </w:tabs>
              <w:rPr>
                <w:sz w:val="18"/>
              </w:rPr>
            </w:pPr>
          </w:p>
        </w:tc>
        <w:tc>
          <w:tcPr>
            <w:tcW w:w="556" w:type="pct"/>
            <w:tcBorders>
              <w:top w:val="nil"/>
              <w:bottom w:val="nil"/>
            </w:tcBorders>
          </w:tcPr>
          <w:p w14:paraId="358ED36C" w14:textId="77777777" w:rsidR="00E93F58" w:rsidRPr="00FB5439" w:rsidRDefault="00E93F58" w:rsidP="00070F64">
            <w:pPr>
              <w:tabs>
                <w:tab w:val="left" w:pos="2268"/>
                <w:tab w:val="left" w:pos="5670"/>
              </w:tabs>
              <w:rPr>
                <w:sz w:val="18"/>
              </w:rPr>
            </w:pPr>
          </w:p>
        </w:tc>
        <w:tc>
          <w:tcPr>
            <w:tcW w:w="556" w:type="pct"/>
            <w:tcBorders>
              <w:top w:val="nil"/>
              <w:bottom w:val="nil"/>
            </w:tcBorders>
          </w:tcPr>
          <w:p w14:paraId="435193AD" w14:textId="77777777" w:rsidR="00E93F58" w:rsidRPr="00FB5439" w:rsidRDefault="00E93F58" w:rsidP="00070F64">
            <w:pPr>
              <w:tabs>
                <w:tab w:val="left" w:pos="2268"/>
                <w:tab w:val="left" w:pos="5670"/>
              </w:tabs>
              <w:rPr>
                <w:sz w:val="18"/>
              </w:rPr>
            </w:pPr>
          </w:p>
        </w:tc>
        <w:tc>
          <w:tcPr>
            <w:tcW w:w="555" w:type="pct"/>
            <w:tcBorders>
              <w:top w:val="nil"/>
              <w:bottom w:val="nil"/>
            </w:tcBorders>
          </w:tcPr>
          <w:p w14:paraId="2B9B2B97" w14:textId="77777777" w:rsidR="00E93F58" w:rsidRPr="00FB5439" w:rsidRDefault="00E93F58" w:rsidP="00070F64">
            <w:pPr>
              <w:tabs>
                <w:tab w:val="left" w:pos="2268"/>
                <w:tab w:val="left" w:pos="5670"/>
              </w:tabs>
              <w:rPr>
                <w:sz w:val="18"/>
              </w:rPr>
            </w:pPr>
          </w:p>
        </w:tc>
        <w:tc>
          <w:tcPr>
            <w:tcW w:w="556" w:type="pct"/>
            <w:tcBorders>
              <w:top w:val="nil"/>
              <w:bottom w:val="nil"/>
            </w:tcBorders>
          </w:tcPr>
          <w:p w14:paraId="7AE40E3A" w14:textId="77777777" w:rsidR="00E93F58" w:rsidRPr="00FB5439" w:rsidRDefault="00E93F58" w:rsidP="00070F64">
            <w:pPr>
              <w:tabs>
                <w:tab w:val="left" w:pos="2268"/>
                <w:tab w:val="left" w:pos="5670"/>
              </w:tabs>
              <w:rPr>
                <w:sz w:val="18"/>
              </w:rPr>
            </w:pPr>
          </w:p>
        </w:tc>
        <w:tc>
          <w:tcPr>
            <w:tcW w:w="556" w:type="pct"/>
            <w:tcBorders>
              <w:top w:val="nil"/>
              <w:bottom w:val="nil"/>
            </w:tcBorders>
          </w:tcPr>
          <w:p w14:paraId="1A02C720" w14:textId="77777777" w:rsidR="00E93F58" w:rsidRPr="00FB5439" w:rsidRDefault="00E93F58" w:rsidP="00070F64">
            <w:pPr>
              <w:tabs>
                <w:tab w:val="left" w:pos="2268"/>
                <w:tab w:val="left" w:pos="5670"/>
              </w:tabs>
              <w:rPr>
                <w:sz w:val="18"/>
              </w:rPr>
            </w:pPr>
          </w:p>
        </w:tc>
        <w:tc>
          <w:tcPr>
            <w:tcW w:w="556" w:type="pct"/>
            <w:tcBorders>
              <w:top w:val="nil"/>
              <w:bottom w:val="nil"/>
            </w:tcBorders>
          </w:tcPr>
          <w:p w14:paraId="779DDA6F" w14:textId="77777777" w:rsidR="00E93F58" w:rsidRPr="00FB5439" w:rsidRDefault="00E93F58" w:rsidP="00070F64">
            <w:pPr>
              <w:tabs>
                <w:tab w:val="left" w:pos="2268"/>
                <w:tab w:val="left" w:pos="5670"/>
              </w:tabs>
              <w:rPr>
                <w:sz w:val="18"/>
              </w:rPr>
            </w:pPr>
          </w:p>
        </w:tc>
        <w:tc>
          <w:tcPr>
            <w:tcW w:w="554" w:type="pct"/>
            <w:tcBorders>
              <w:top w:val="nil"/>
              <w:bottom w:val="nil"/>
            </w:tcBorders>
          </w:tcPr>
          <w:p w14:paraId="7DD1BCEC" w14:textId="77777777" w:rsidR="00E93F58" w:rsidRPr="00FB5439" w:rsidRDefault="00E93F58" w:rsidP="00070F64">
            <w:pPr>
              <w:tabs>
                <w:tab w:val="left" w:pos="2268"/>
                <w:tab w:val="left" w:pos="5670"/>
              </w:tabs>
              <w:rPr>
                <w:sz w:val="18"/>
              </w:rPr>
            </w:pPr>
          </w:p>
        </w:tc>
      </w:tr>
      <w:tr w:rsidR="00E93F58" w:rsidRPr="00FB5439" w14:paraId="2BC10333" w14:textId="77777777" w:rsidTr="00B23434">
        <w:tc>
          <w:tcPr>
            <w:tcW w:w="555" w:type="pct"/>
            <w:tcBorders>
              <w:top w:val="nil"/>
              <w:bottom w:val="single" w:sz="4" w:space="0" w:color="auto"/>
            </w:tcBorders>
          </w:tcPr>
          <w:p w14:paraId="0C90CA64"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29B10A50"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07E56A72"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0731408E" w14:textId="77777777" w:rsidR="00E93F58" w:rsidRPr="00FB5439" w:rsidRDefault="00E93F58" w:rsidP="00070F64">
            <w:pPr>
              <w:tabs>
                <w:tab w:val="left" w:pos="2268"/>
                <w:tab w:val="left" w:pos="5670"/>
              </w:tabs>
              <w:rPr>
                <w:sz w:val="18"/>
              </w:rPr>
            </w:pPr>
          </w:p>
        </w:tc>
        <w:tc>
          <w:tcPr>
            <w:tcW w:w="555" w:type="pct"/>
            <w:tcBorders>
              <w:top w:val="nil"/>
              <w:bottom w:val="single" w:sz="4" w:space="0" w:color="auto"/>
            </w:tcBorders>
          </w:tcPr>
          <w:p w14:paraId="0786305A"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41F998FA"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1F6E9613" w14:textId="77777777" w:rsidR="00E93F58" w:rsidRPr="00FB5439" w:rsidRDefault="00E93F58" w:rsidP="00070F64">
            <w:pPr>
              <w:tabs>
                <w:tab w:val="left" w:pos="2268"/>
                <w:tab w:val="left" w:pos="5670"/>
              </w:tabs>
              <w:rPr>
                <w:sz w:val="18"/>
              </w:rPr>
            </w:pPr>
          </w:p>
        </w:tc>
        <w:tc>
          <w:tcPr>
            <w:tcW w:w="556" w:type="pct"/>
            <w:tcBorders>
              <w:top w:val="nil"/>
              <w:bottom w:val="single" w:sz="4" w:space="0" w:color="auto"/>
            </w:tcBorders>
          </w:tcPr>
          <w:p w14:paraId="708015EA" w14:textId="77777777" w:rsidR="00E93F58" w:rsidRPr="00FB5439" w:rsidRDefault="00E93F58" w:rsidP="00070F64">
            <w:pPr>
              <w:tabs>
                <w:tab w:val="left" w:pos="2268"/>
                <w:tab w:val="left" w:pos="5670"/>
              </w:tabs>
              <w:rPr>
                <w:sz w:val="18"/>
              </w:rPr>
            </w:pPr>
          </w:p>
        </w:tc>
        <w:tc>
          <w:tcPr>
            <w:tcW w:w="554" w:type="pct"/>
            <w:tcBorders>
              <w:top w:val="nil"/>
              <w:bottom w:val="single" w:sz="4" w:space="0" w:color="auto"/>
            </w:tcBorders>
          </w:tcPr>
          <w:p w14:paraId="7CD5A8FE" w14:textId="77777777" w:rsidR="00E93F58" w:rsidRPr="00FB5439" w:rsidRDefault="00E93F58" w:rsidP="00070F64">
            <w:pPr>
              <w:tabs>
                <w:tab w:val="left" w:pos="2268"/>
                <w:tab w:val="left" w:pos="5670"/>
              </w:tabs>
              <w:rPr>
                <w:sz w:val="18"/>
              </w:rPr>
            </w:pPr>
          </w:p>
        </w:tc>
      </w:tr>
    </w:tbl>
    <w:p w14:paraId="26A476CC" w14:textId="77777777" w:rsidR="00E93F58" w:rsidRPr="00FB5439" w:rsidRDefault="00E93F58" w:rsidP="00070F64">
      <w:pPr>
        <w:tabs>
          <w:tab w:val="left" w:pos="2268"/>
          <w:tab w:val="left" w:pos="5670"/>
        </w:tabs>
        <w:rPr>
          <w:sz w:val="18"/>
        </w:rPr>
      </w:pPr>
    </w:p>
    <w:p w14:paraId="0E6E3D97" w14:textId="77777777" w:rsidR="00E93F58" w:rsidRPr="00FB5439" w:rsidRDefault="00E93F58" w:rsidP="00070F64">
      <w:pPr>
        <w:tabs>
          <w:tab w:val="left" w:pos="2268"/>
          <w:tab w:val="left" w:pos="5670"/>
        </w:tabs>
        <w:rPr>
          <w:szCs w:val="22"/>
        </w:rPr>
      </w:pPr>
      <w:r w:rsidRPr="00FB5439">
        <w:rPr>
          <w:szCs w:val="22"/>
        </w:rPr>
        <w:t>Dated</w:t>
      </w:r>
    </w:p>
    <w:p w14:paraId="363D764A" w14:textId="77777777" w:rsidR="00E93F58" w:rsidRPr="00FB5439" w:rsidRDefault="00E93F58" w:rsidP="00070F64">
      <w:pPr>
        <w:tabs>
          <w:tab w:val="left" w:pos="2268"/>
          <w:tab w:val="left" w:pos="5670"/>
        </w:tabs>
        <w:rPr>
          <w:szCs w:val="22"/>
        </w:rPr>
      </w:pPr>
    </w:p>
    <w:p w14:paraId="6EEFC3B4" w14:textId="77777777" w:rsidR="00E93F58" w:rsidRPr="00FB5439" w:rsidRDefault="00E93F58" w:rsidP="00070F64">
      <w:pPr>
        <w:tabs>
          <w:tab w:val="left" w:pos="2268"/>
          <w:tab w:val="left" w:pos="5670"/>
        </w:tabs>
        <w:rPr>
          <w:szCs w:val="22"/>
        </w:rPr>
      </w:pPr>
      <w:r w:rsidRPr="00FB5439">
        <w:rPr>
          <w:szCs w:val="22"/>
        </w:rPr>
        <w:t>Signature of liquidator</w:t>
      </w:r>
    </w:p>
    <w:p w14:paraId="7F33D3E3" w14:textId="77777777" w:rsidR="00E93F58" w:rsidRPr="00FB5439" w:rsidRDefault="00E93F58" w:rsidP="00070F64">
      <w:pPr>
        <w:tabs>
          <w:tab w:val="left" w:pos="2268"/>
          <w:tab w:val="left" w:pos="5670"/>
        </w:tabs>
        <w:rPr>
          <w:szCs w:val="22"/>
        </w:rPr>
      </w:pPr>
    </w:p>
    <w:p w14:paraId="0254A347" w14:textId="77777777" w:rsidR="00E93F58" w:rsidRPr="00FB5439" w:rsidRDefault="00E93F58" w:rsidP="00070F64">
      <w:pPr>
        <w:tabs>
          <w:tab w:val="left" w:pos="2268"/>
          <w:tab w:val="left" w:pos="5670"/>
        </w:tabs>
      </w:pPr>
      <w:r w:rsidRPr="00A80D13">
        <w:rPr>
          <w:position w:val="6"/>
          <w:sz w:val="16"/>
          <w:szCs w:val="22"/>
        </w:rPr>
        <w:t>*</w:t>
      </w:r>
      <w:r w:rsidRPr="00FB5439">
        <w:rPr>
          <w:szCs w:val="22"/>
        </w:rPr>
        <w:t xml:space="preserve"> Omit if not applicable</w:t>
      </w:r>
    </w:p>
    <w:p w14:paraId="04089F5B" w14:textId="77777777" w:rsidR="00E93F58" w:rsidRPr="00FB5439" w:rsidRDefault="00E93F58" w:rsidP="00070F64"/>
    <w:p w14:paraId="06C6981E" w14:textId="77777777" w:rsidR="00E93F58" w:rsidRPr="00FB5439" w:rsidRDefault="00E93F58" w:rsidP="00A80D13">
      <w:pPr>
        <w:pStyle w:val="ActHead2"/>
        <w:pageBreakBefore/>
      </w:pPr>
      <w:bookmarkStart w:id="3208" w:name="_Toc151992789"/>
      <w:bookmarkStart w:id="3209" w:name="_Toc158713392"/>
      <w:r w:rsidRPr="00FB5439">
        <w:rPr>
          <w:rStyle w:val="CharPartNo"/>
        </w:rPr>
        <w:lastRenderedPageBreak/>
        <w:t>Form 547</w:t>
      </w:r>
      <w:bookmarkEnd w:id="3208"/>
      <w:bookmarkEnd w:id="3209"/>
      <w:r w:rsidRPr="00FB5439">
        <w:rPr>
          <w:rStyle w:val="CharPartText"/>
        </w:rPr>
        <w:t xml:space="preserve"> </w:t>
      </w:r>
      <w:r w:rsidRPr="00FB5439">
        <w:t xml:space="preserve"> </w:t>
      </w:r>
    </w:p>
    <w:p w14:paraId="0BC67578" w14:textId="77777777" w:rsidR="00E93F58" w:rsidRPr="00FB5439" w:rsidRDefault="00E93F58" w:rsidP="004C686D">
      <w:pPr>
        <w:pStyle w:val="notemargin"/>
      </w:pPr>
      <w:r w:rsidRPr="00FB5439">
        <w:t>(subregulation 5.6.65(1))</w:t>
      </w:r>
    </w:p>
    <w:p w14:paraId="57952368" w14:textId="77777777" w:rsidR="00E93F58" w:rsidRPr="00FB5439" w:rsidRDefault="00E93F58" w:rsidP="00070F64">
      <w:pPr>
        <w:rPr>
          <w:i/>
          <w:sz w:val="18"/>
        </w:rPr>
      </w:pPr>
    </w:p>
    <w:p w14:paraId="0F7C2A12" w14:textId="77777777" w:rsidR="00E93F58" w:rsidRPr="00FB5439" w:rsidRDefault="00E93F58" w:rsidP="00070F64">
      <w:pPr>
        <w:rPr>
          <w:i/>
        </w:rPr>
      </w:pPr>
      <w:r w:rsidRPr="00FB5439">
        <w:rPr>
          <w:i/>
        </w:rPr>
        <w:t>Corporations Act 2001</w:t>
      </w:r>
    </w:p>
    <w:p w14:paraId="2966AD7C" w14:textId="77777777" w:rsidR="00E93F58" w:rsidRPr="00FB5439" w:rsidRDefault="00E93F58"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14:paraId="631A49AF" w14:textId="77777777" w:rsidR="00E93F58" w:rsidRPr="00FB5439" w:rsidRDefault="00E93F58" w:rsidP="00070F64">
      <w:pPr>
        <w:jc w:val="right"/>
      </w:pPr>
      <w:r w:rsidRPr="00FB5439">
        <w:t>Limited</w:t>
      </w:r>
    </w:p>
    <w:p w14:paraId="02899E09" w14:textId="77777777" w:rsidR="00E93F58" w:rsidRPr="00FB5439" w:rsidRDefault="00E93F58" w:rsidP="00070F64"/>
    <w:p w14:paraId="7480827A" w14:textId="77777777" w:rsidR="00E93F58" w:rsidRPr="00FB5439" w:rsidRDefault="00E93F58" w:rsidP="00070F64">
      <w:pPr>
        <w:jc w:val="both"/>
      </w:pPr>
      <w:r w:rsidRPr="00FB5439">
        <w:t>A dividend (</w:t>
      </w:r>
      <w:r w:rsidRPr="00FB5439">
        <w:rPr>
          <w:i/>
        </w:rPr>
        <w:t>state the number of the dividend, e.g. “first”, “second”)</w:t>
      </w:r>
      <w:r w:rsidRPr="00FB5439">
        <w:t xml:space="preserve"> is to be declared on </w:t>
      </w:r>
      <w:r w:rsidRPr="00FB5439">
        <w:rPr>
          <w:i/>
        </w:rPr>
        <w:t>(date</w:t>
      </w:r>
      <w:r w:rsidRPr="00FB5439">
        <w:t>) for the company.</w:t>
      </w:r>
    </w:p>
    <w:p w14:paraId="011A7FE8" w14:textId="77777777" w:rsidR="00E93F58" w:rsidRPr="00FB5439" w:rsidRDefault="00E93F58" w:rsidP="00070F64"/>
    <w:p w14:paraId="70A99BF4" w14:textId="77777777" w:rsidR="00E93F58" w:rsidRPr="00FB5439" w:rsidRDefault="00E93F58" w:rsidP="00070F64">
      <w:pPr>
        <w:jc w:val="both"/>
      </w:pPr>
      <w:r w:rsidRPr="00A80D13">
        <w:rPr>
          <w:position w:val="6"/>
          <w:sz w:val="16"/>
        </w:rPr>
        <w:t>*</w:t>
      </w:r>
      <w:r w:rsidRPr="00FB5439">
        <w:t>You are listed as a creditor in the report on the affairs of the company;</w:t>
      </w:r>
    </w:p>
    <w:p w14:paraId="35D0D415" w14:textId="77777777" w:rsidR="00E93F58" w:rsidRPr="00FB5439" w:rsidRDefault="00E93F58" w:rsidP="00070F64">
      <w:pPr>
        <w:jc w:val="both"/>
      </w:pPr>
      <w:r w:rsidRPr="00A80D13">
        <w:rPr>
          <w:position w:val="6"/>
          <w:sz w:val="16"/>
        </w:rPr>
        <w:t>*</w:t>
      </w:r>
      <w:r w:rsidRPr="00FB5439">
        <w:t>You are known to me to claim to be a creditor, but your debt or claim has not yet been admitted.</w:t>
      </w:r>
    </w:p>
    <w:p w14:paraId="2764F2FC" w14:textId="77777777" w:rsidR="00E93F58" w:rsidRPr="00FB5439" w:rsidRDefault="00E93F58" w:rsidP="00070F64"/>
    <w:p w14:paraId="66CA80B7" w14:textId="77777777" w:rsidR="00E93F58" w:rsidRPr="00FB5439" w:rsidRDefault="00E93F58" w:rsidP="00070F64">
      <w:pPr>
        <w:jc w:val="both"/>
      </w:pPr>
      <w:r w:rsidRPr="00FB5439">
        <w:t>You are required formally to prove your debt or claim on or before (</w:t>
      </w:r>
      <w:r w:rsidRPr="00FB5439">
        <w:rPr>
          <w:i/>
        </w:rPr>
        <w:t>date</w:t>
      </w:r>
      <w:r w:rsidRPr="00FB5439">
        <w:t>). If you do not, you will be excluded from the benefit of the dividend.</w:t>
      </w:r>
    </w:p>
    <w:p w14:paraId="01B8DE27" w14:textId="77777777" w:rsidR="00E93F58" w:rsidRPr="00FB5439" w:rsidRDefault="00E93F58" w:rsidP="00070F64"/>
    <w:p w14:paraId="2C2F2056" w14:textId="77777777" w:rsidR="00E93F58" w:rsidRPr="00FB5439" w:rsidRDefault="00E93F58" w:rsidP="00070F64">
      <w:r w:rsidRPr="00FB5439">
        <w:t>Dated</w:t>
      </w:r>
    </w:p>
    <w:p w14:paraId="26F8567E" w14:textId="77777777" w:rsidR="00E93F58" w:rsidRPr="00FB5439" w:rsidRDefault="00E93F58" w:rsidP="00070F64"/>
    <w:p w14:paraId="201AE2B0" w14:textId="77777777" w:rsidR="00E93F58" w:rsidRPr="00FB5439" w:rsidRDefault="00E93F58" w:rsidP="00070F64">
      <w:r w:rsidRPr="00FB5439">
        <w:t>Signature of liquidator</w:t>
      </w:r>
    </w:p>
    <w:p w14:paraId="42773548" w14:textId="77777777" w:rsidR="00E93F58" w:rsidRPr="00FB5439" w:rsidRDefault="00E93F58" w:rsidP="00070F64"/>
    <w:p w14:paraId="7243DF99" w14:textId="77777777" w:rsidR="00E93F58" w:rsidRPr="00FB5439" w:rsidRDefault="00E93F58" w:rsidP="00070F64">
      <w:r w:rsidRPr="00FB5439">
        <w:t>Address</w:t>
      </w:r>
    </w:p>
    <w:p w14:paraId="30E5E59F" w14:textId="77777777" w:rsidR="00E93F58" w:rsidRPr="00FB5439" w:rsidRDefault="00E93F58" w:rsidP="00070F64"/>
    <w:p w14:paraId="7EA6D41B" w14:textId="77777777" w:rsidR="00E93F58" w:rsidRPr="00FB5439" w:rsidRDefault="00E93F58" w:rsidP="00070F64">
      <w:r w:rsidRPr="00A80D13">
        <w:rPr>
          <w:position w:val="6"/>
          <w:sz w:val="16"/>
        </w:rPr>
        <w:t>*</w:t>
      </w:r>
      <w:r w:rsidRPr="00FB5439">
        <w:t>Omit if inapplicable.</w:t>
      </w:r>
    </w:p>
    <w:p w14:paraId="61241DB9" w14:textId="77777777" w:rsidR="00E93F58" w:rsidRPr="00FB5439" w:rsidRDefault="00E93F58" w:rsidP="00A80D13">
      <w:pPr>
        <w:pStyle w:val="ActHead2"/>
        <w:pageBreakBefore/>
      </w:pPr>
      <w:bookmarkStart w:id="3210" w:name="_Toc151992790"/>
      <w:bookmarkStart w:id="3211" w:name="_Toc158713393"/>
      <w:r w:rsidRPr="00FB5439">
        <w:rPr>
          <w:rStyle w:val="CharPartNo"/>
        </w:rPr>
        <w:lastRenderedPageBreak/>
        <w:t>Form 548</w:t>
      </w:r>
      <w:bookmarkEnd w:id="3210"/>
      <w:bookmarkEnd w:id="3211"/>
      <w:r w:rsidRPr="00FB5439">
        <w:rPr>
          <w:rStyle w:val="CharPartText"/>
        </w:rPr>
        <w:t xml:space="preserve"> </w:t>
      </w:r>
      <w:r w:rsidRPr="00FB5439">
        <w:t xml:space="preserve"> </w:t>
      </w:r>
    </w:p>
    <w:p w14:paraId="41951D3F" w14:textId="77777777" w:rsidR="00E93F58" w:rsidRPr="00FB5439" w:rsidRDefault="00E93F58" w:rsidP="004C686D">
      <w:pPr>
        <w:pStyle w:val="notemargin"/>
      </w:pPr>
      <w:r w:rsidRPr="00FB5439">
        <w:t>(subregulation 5.6.65(1))</w:t>
      </w:r>
    </w:p>
    <w:p w14:paraId="108FC7F7" w14:textId="77777777" w:rsidR="00E93F58" w:rsidRPr="00FB5439" w:rsidRDefault="00E93F58" w:rsidP="00070F64">
      <w:pPr>
        <w:rPr>
          <w:i/>
          <w:sz w:val="18"/>
        </w:rPr>
      </w:pPr>
    </w:p>
    <w:p w14:paraId="76F70C8B" w14:textId="77777777" w:rsidR="00E93F58" w:rsidRPr="00FB5439" w:rsidRDefault="00E93F58" w:rsidP="00070F64">
      <w:pPr>
        <w:rPr>
          <w:i/>
        </w:rPr>
      </w:pPr>
      <w:r w:rsidRPr="00FB5439">
        <w:rPr>
          <w:i/>
        </w:rPr>
        <w:t>Corporations Act 2001</w:t>
      </w:r>
    </w:p>
    <w:p w14:paraId="7EA92B13" w14:textId="77777777" w:rsidR="00E93F58" w:rsidRPr="00FB5439" w:rsidRDefault="00E93F58"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14:paraId="3AE67E66" w14:textId="77777777" w:rsidR="00E93F58" w:rsidRPr="00FB5439" w:rsidRDefault="00E93F58" w:rsidP="00070F64">
      <w:pPr>
        <w:jc w:val="right"/>
      </w:pPr>
      <w:r w:rsidRPr="00FB5439">
        <w:t>Limited</w:t>
      </w:r>
    </w:p>
    <w:p w14:paraId="378BEAB1" w14:textId="77777777" w:rsidR="00E93F58" w:rsidRPr="00FB5439" w:rsidRDefault="00E93F58" w:rsidP="00070F64">
      <w:pPr>
        <w:jc w:val="both"/>
      </w:pPr>
    </w:p>
    <w:p w14:paraId="0DB767C3" w14:textId="77777777" w:rsidR="00E93F58" w:rsidRPr="00FB5439" w:rsidRDefault="00E93F58" w:rsidP="00070F64">
      <w:pPr>
        <w:jc w:val="both"/>
      </w:pPr>
      <w:r w:rsidRPr="00FB5439">
        <w:t>A final dividend is to be declared on (</w:t>
      </w:r>
      <w:r w:rsidRPr="00FB5439">
        <w:rPr>
          <w:i/>
        </w:rPr>
        <w:t>date</w:t>
      </w:r>
      <w:r w:rsidRPr="00FB5439">
        <w:t>) for the company.</w:t>
      </w:r>
    </w:p>
    <w:p w14:paraId="5014670D" w14:textId="77777777" w:rsidR="00E93F58" w:rsidRPr="00FB5439" w:rsidRDefault="00E93F58" w:rsidP="00070F64">
      <w:pPr>
        <w:jc w:val="both"/>
      </w:pPr>
    </w:p>
    <w:p w14:paraId="39C234F1" w14:textId="77777777" w:rsidR="00E93F58" w:rsidRPr="00FB5439" w:rsidRDefault="00E93F58" w:rsidP="00070F64">
      <w:pPr>
        <w:jc w:val="both"/>
      </w:pPr>
      <w:r w:rsidRPr="00FB5439">
        <w:t>You are required formally to prove your debt or claim on or before (</w:t>
      </w:r>
      <w:r w:rsidRPr="00FB5439">
        <w:rPr>
          <w:i/>
        </w:rPr>
        <w:t>date</w:t>
      </w:r>
      <w:r w:rsidRPr="00FB5439">
        <w:t>).</w:t>
      </w:r>
    </w:p>
    <w:p w14:paraId="6A75C582" w14:textId="77777777" w:rsidR="00E93F58" w:rsidRPr="00FB5439" w:rsidRDefault="00E93F58" w:rsidP="00070F64">
      <w:pPr>
        <w:jc w:val="both"/>
      </w:pPr>
    </w:p>
    <w:p w14:paraId="432702C3" w14:textId="77777777" w:rsidR="00E93F58" w:rsidRPr="00FB5439" w:rsidRDefault="00E93F58" w:rsidP="00070F64">
      <w:pPr>
        <w:jc w:val="both"/>
      </w:pPr>
      <w:r w:rsidRPr="00FB5439">
        <w:t>If you do not, I will exclude your claim from participation, and I will proceed to make a final dividend without having regard to it.</w:t>
      </w:r>
    </w:p>
    <w:p w14:paraId="4AA1DA51" w14:textId="77777777" w:rsidR="00E93F58" w:rsidRPr="00FB5439" w:rsidRDefault="00E93F58" w:rsidP="00070F64">
      <w:pPr>
        <w:jc w:val="both"/>
      </w:pPr>
    </w:p>
    <w:p w14:paraId="3E412959" w14:textId="77777777" w:rsidR="00E93F58" w:rsidRPr="00FB5439" w:rsidRDefault="00E93F58" w:rsidP="00070F64">
      <w:pPr>
        <w:jc w:val="both"/>
      </w:pPr>
      <w:r w:rsidRPr="00FB5439">
        <w:t>Signature of liquidator</w:t>
      </w:r>
    </w:p>
    <w:p w14:paraId="64DBFF97" w14:textId="77777777" w:rsidR="00E93F58" w:rsidRPr="00FB5439" w:rsidRDefault="00E93F58" w:rsidP="00070F64">
      <w:pPr>
        <w:jc w:val="both"/>
      </w:pPr>
    </w:p>
    <w:p w14:paraId="66E92FE6" w14:textId="77777777" w:rsidR="00E93F58" w:rsidRPr="00FB5439" w:rsidRDefault="00E93F58" w:rsidP="00070F64">
      <w:pPr>
        <w:jc w:val="both"/>
      </w:pPr>
      <w:r w:rsidRPr="00FB5439">
        <w:t>Address</w:t>
      </w:r>
    </w:p>
    <w:p w14:paraId="1ADF87EA" w14:textId="77777777" w:rsidR="00E93F58" w:rsidRPr="00FB5439" w:rsidRDefault="00E93F58" w:rsidP="00A80D13">
      <w:pPr>
        <w:pStyle w:val="ActHead2"/>
        <w:pageBreakBefore/>
      </w:pPr>
      <w:bookmarkStart w:id="3212" w:name="_Toc151992791"/>
      <w:bookmarkStart w:id="3213" w:name="_Toc158713394"/>
      <w:r w:rsidRPr="00FB5439">
        <w:rPr>
          <w:rStyle w:val="CharPartNo"/>
        </w:rPr>
        <w:lastRenderedPageBreak/>
        <w:t>Form 549</w:t>
      </w:r>
      <w:bookmarkEnd w:id="3212"/>
      <w:bookmarkEnd w:id="3213"/>
      <w:r w:rsidRPr="00FB5439">
        <w:rPr>
          <w:rStyle w:val="CharPartText"/>
        </w:rPr>
        <w:t xml:space="preserve"> </w:t>
      </w:r>
      <w:r w:rsidRPr="00FB5439">
        <w:t xml:space="preserve"> </w:t>
      </w:r>
    </w:p>
    <w:p w14:paraId="0C6DCB11" w14:textId="77777777" w:rsidR="00E93F58" w:rsidRPr="00FB5439" w:rsidRDefault="00E93F58" w:rsidP="004C686D">
      <w:pPr>
        <w:pStyle w:val="notemargin"/>
      </w:pPr>
      <w:r w:rsidRPr="00FB5439">
        <w:t>(subregulation 5.6.67(3))</w:t>
      </w:r>
    </w:p>
    <w:p w14:paraId="6B140159" w14:textId="77777777" w:rsidR="00E93F58" w:rsidRPr="00FB5439" w:rsidRDefault="00E93F58" w:rsidP="00070F64">
      <w:pPr>
        <w:keepLines/>
        <w:rPr>
          <w:i/>
          <w:sz w:val="18"/>
        </w:rPr>
      </w:pPr>
    </w:p>
    <w:p w14:paraId="798499AE" w14:textId="77777777" w:rsidR="00E93F58" w:rsidRPr="00FB5439" w:rsidRDefault="00E93F58" w:rsidP="00070F64">
      <w:pPr>
        <w:keepLines/>
        <w:rPr>
          <w:i/>
        </w:rPr>
      </w:pPr>
      <w:r w:rsidRPr="00FB5439">
        <w:rPr>
          <w:i/>
        </w:rPr>
        <w:t>Corporations Act 2001</w:t>
      </w:r>
    </w:p>
    <w:p w14:paraId="6F08AD35" w14:textId="77777777" w:rsidR="00E93F58" w:rsidRPr="00FB5439" w:rsidRDefault="00E93F58" w:rsidP="00070F64">
      <w:pPr>
        <w:spacing w:before="240" w:after="240"/>
        <w:rPr>
          <w:rFonts w:ascii="Arial" w:hAnsi="Arial" w:cs="Arial"/>
          <w:szCs w:val="22"/>
        </w:rPr>
      </w:pPr>
      <w:r w:rsidRPr="00FB5439">
        <w:rPr>
          <w:rFonts w:ascii="Arial" w:hAnsi="Arial" w:cs="Arial"/>
          <w:szCs w:val="22"/>
        </w:rPr>
        <w:t>NOTICE OF DECLARATION OF DIVIDEND</w:t>
      </w:r>
    </w:p>
    <w:p w14:paraId="3AE9B3FA" w14:textId="77777777" w:rsidR="00E93F58" w:rsidRPr="00FB5439" w:rsidRDefault="00E93F58" w:rsidP="00070F64">
      <w:pPr>
        <w:jc w:val="right"/>
      </w:pPr>
      <w:r w:rsidRPr="00FB5439">
        <w:t>Limited</w:t>
      </w:r>
    </w:p>
    <w:p w14:paraId="32AA630D" w14:textId="77777777" w:rsidR="00E93F58" w:rsidRPr="00FB5439" w:rsidRDefault="00E93F58" w:rsidP="00070F64">
      <w:pPr>
        <w:jc w:val="both"/>
      </w:pPr>
    </w:p>
    <w:p w14:paraId="4DA6AC69" w14:textId="77777777" w:rsidR="00E93F58" w:rsidRPr="00FB5439" w:rsidRDefault="00E93F58" w:rsidP="00070F64">
      <w:pPr>
        <w:jc w:val="both"/>
      </w:pPr>
      <w:r w:rsidRPr="00FB5439">
        <w:rPr>
          <w:i/>
        </w:rPr>
        <w:t>(State the number of the dividend, e.g. “First”, “Second”)</w:t>
      </w:r>
      <w:r w:rsidRPr="00FB5439">
        <w:tab/>
      </w:r>
      <w:r w:rsidRPr="00FB5439">
        <w:tab/>
        <w:t>dividend.</w:t>
      </w:r>
    </w:p>
    <w:p w14:paraId="0E3104F3" w14:textId="77777777" w:rsidR="00E93F58" w:rsidRPr="00FB5439" w:rsidRDefault="00E93F58" w:rsidP="00070F64">
      <w:pPr>
        <w:jc w:val="both"/>
      </w:pPr>
    </w:p>
    <w:p w14:paraId="099798BA" w14:textId="77777777" w:rsidR="00E93F58" w:rsidRPr="00FB5439" w:rsidRDefault="00E93F58" w:rsidP="00070F64">
      <w:pPr>
        <w:jc w:val="both"/>
      </w:pPr>
      <w:r w:rsidRPr="00FB5439">
        <w:t xml:space="preserve">A dividend at the rate of </w:t>
      </w:r>
      <w:r w:rsidRPr="00FB5439">
        <w:tab/>
      </w:r>
      <w:r w:rsidRPr="00FB5439">
        <w:tab/>
        <w:t>in the dollar has been declared for the company and a cheque is attached for $       calculated at that rate on your debt as admitted to rank for dividend for $</w:t>
      </w:r>
      <w:r w:rsidRPr="00FB5439">
        <w:tab/>
      </w:r>
      <w:r w:rsidRPr="00FB5439">
        <w:tab/>
        <w:t>.</w:t>
      </w:r>
    </w:p>
    <w:p w14:paraId="17CABEC3" w14:textId="77777777" w:rsidR="00E93F58" w:rsidRPr="00FB5439" w:rsidRDefault="00E93F58" w:rsidP="00070F64">
      <w:pPr>
        <w:jc w:val="both"/>
      </w:pPr>
    </w:p>
    <w:p w14:paraId="5804F23D" w14:textId="77777777" w:rsidR="00E93F58" w:rsidRPr="00FB5439" w:rsidRDefault="00E93F58" w:rsidP="00070F64">
      <w:pPr>
        <w:jc w:val="both"/>
      </w:pPr>
      <w:r w:rsidRPr="00FB5439">
        <w:t>Dated</w:t>
      </w:r>
    </w:p>
    <w:p w14:paraId="50CDFF3A" w14:textId="77777777" w:rsidR="00E93F58" w:rsidRPr="00FB5439" w:rsidRDefault="00E93F58" w:rsidP="00070F64">
      <w:pPr>
        <w:jc w:val="both"/>
      </w:pPr>
    </w:p>
    <w:p w14:paraId="09C53196" w14:textId="77777777" w:rsidR="00E93F58" w:rsidRPr="00FB5439" w:rsidRDefault="00E93F58" w:rsidP="00070F64">
      <w:pPr>
        <w:jc w:val="both"/>
      </w:pPr>
      <w:r w:rsidRPr="00FB5439">
        <w:t>Signature of liquidator</w:t>
      </w:r>
    </w:p>
    <w:p w14:paraId="6D0BEEFA" w14:textId="77777777" w:rsidR="00E93F58" w:rsidRPr="00FB5439" w:rsidRDefault="00E93F58" w:rsidP="00070F64">
      <w:pPr>
        <w:jc w:val="both"/>
      </w:pPr>
    </w:p>
    <w:p w14:paraId="7DDBE274" w14:textId="77777777" w:rsidR="00E93F58" w:rsidRPr="00FB5439" w:rsidRDefault="00E93F58" w:rsidP="00070F64">
      <w:pPr>
        <w:jc w:val="both"/>
      </w:pPr>
      <w:r w:rsidRPr="00FB5439">
        <w:t>Address</w:t>
      </w:r>
    </w:p>
    <w:p w14:paraId="778B833C" w14:textId="77777777" w:rsidR="00E93F58" w:rsidRPr="00FB5439" w:rsidRDefault="00E93F58" w:rsidP="00A80D13">
      <w:pPr>
        <w:pStyle w:val="ActHead2"/>
        <w:pageBreakBefore/>
      </w:pPr>
      <w:bookmarkStart w:id="3214" w:name="_Toc151992792"/>
      <w:bookmarkStart w:id="3215" w:name="_Toc158713395"/>
      <w:r w:rsidRPr="00FB5439">
        <w:rPr>
          <w:rStyle w:val="CharPartNo"/>
        </w:rPr>
        <w:lastRenderedPageBreak/>
        <w:t>Form 550</w:t>
      </w:r>
      <w:bookmarkEnd w:id="3214"/>
      <w:bookmarkEnd w:id="3215"/>
      <w:r w:rsidRPr="00FB5439">
        <w:rPr>
          <w:rStyle w:val="CharPartText"/>
        </w:rPr>
        <w:t xml:space="preserve"> </w:t>
      </w:r>
      <w:r w:rsidRPr="00FB5439">
        <w:t xml:space="preserve"> </w:t>
      </w:r>
    </w:p>
    <w:p w14:paraId="3E3681D1" w14:textId="77777777" w:rsidR="00E93F58" w:rsidRPr="00FB5439" w:rsidRDefault="00E93F58" w:rsidP="004C686D">
      <w:pPr>
        <w:pStyle w:val="notemargin"/>
      </w:pPr>
      <w:r w:rsidRPr="00FB5439">
        <w:t>(regulation 5.6.70)</w:t>
      </w:r>
    </w:p>
    <w:p w14:paraId="4C1F13DB" w14:textId="77777777" w:rsidR="00E93F58" w:rsidRPr="00FB5439" w:rsidRDefault="00E93F58" w:rsidP="00070F64">
      <w:pPr>
        <w:rPr>
          <w:i/>
          <w:sz w:val="18"/>
        </w:rPr>
      </w:pPr>
    </w:p>
    <w:p w14:paraId="5F4985BC" w14:textId="77777777" w:rsidR="00E93F58" w:rsidRPr="00FB5439" w:rsidRDefault="00E93F58" w:rsidP="00070F64">
      <w:pPr>
        <w:rPr>
          <w:i/>
        </w:rPr>
      </w:pPr>
      <w:r w:rsidRPr="00FB5439">
        <w:rPr>
          <w:i/>
        </w:rPr>
        <w:t>Corporations Act 2001</w:t>
      </w:r>
    </w:p>
    <w:p w14:paraId="229C5A96" w14:textId="77777777" w:rsidR="00E93F58" w:rsidRPr="00FB5439" w:rsidRDefault="00E93F58" w:rsidP="00070F64">
      <w:pPr>
        <w:spacing w:before="240" w:after="240"/>
        <w:rPr>
          <w:rFonts w:ascii="Arial" w:hAnsi="Arial" w:cs="Arial"/>
          <w:szCs w:val="22"/>
        </w:rPr>
      </w:pPr>
      <w:r w:rsidRPr="00FB5439">
        <w:rPr>
          <w:rFonts w:ascii="Arial" w:hAnsi="Arial" w:cs="Arial"/>
          <w:szCs w:val="22"/>
        </w:rPr>
        <w:t>AUTHORITY TO LIQUIDATOR TO PAY DIVIDEND TO A PERSON NAMED</w:t>
      </w:r>
    </w:p>
    <w:p w14:paraId="634BE570" w14:textId="77777777" w:rsidR="00E93F58" w:rsidRPr="00FB5439" w:rsidRDefault="00E93F58" w:rsidP="00070F64">
      <w:pPr>
        <w:jc w:val="right"/>
      </w:pPr>
      <w:r w:rsidRPr="00FB5439">
        <w:t>Limited</w:t>
      </w:r>
    </w:p>
    <w:p w14:paraId="71ADD552" w14:textId="77777777" w:rsidR="00E93F58" w:rsidRPr="00FB5439" w:rsidRDefault="00E93F58" w:rsidP="00070F64">
      <w:pPr>
        <w:jc w:val="both"/>
        <w:rPr>
          <w:i/>
        </w:rPr>
      </w:pPr>
      <w:r w:rsidRPr="00FB5439">
        <w:rPr>
          <w:i/>
        </w:rPr>
        <w:t>To the liquidator</w:t>
      </w:r>
    </w:p>
    <w:p w14:paraId="34DDB09D" w14:textId="77777777" w:rsidR="00E93F58" w:rsidRPr="00FB5439" w:rsidRDefault="00E93F58" w:rsidP="00070F64">
      <w:pPr>
        <w:jc w:val="both"/>
      </w:pPr>
    </w:p>
    <w:p w14:paraId="37CD3A66" w14:textId="77777777" w:rsidR="00E93F58" w:rsidRPr="00FB5439" w:rsidRDefault="00E93F58" w:rsidP="00070F64">
      <w:pPr>
        <w:tabs>
          <w:tab w:val="left" w:pos="6000"/>
        </w:tabs>
        <w:jc w:val="both"/>
      </w:pPr>
      <w:r w:rsidRPr="00A80D13">
        <w:rPr>
          <w:position w:val="6"/>
          <w:sz w:val="16"/>
        </w:rPr>
        <w:t>*</w:t>
      </w:r>
      <w:r w:rsidRPr="00FB5439">
        <w:t>I/</w:t>
      </w:r>
      <w:r w:rsidRPr="00A80D13">
        <w:rPr>
          <w:position w:val="6"/>
          <w:sz w:val="16"/>
        </w:rPr>
        <w:t>*</w:t>
      </w:r>
      <w:r w:rsidRPr="00FB5439">
        <w:t>We authorise and request you to pay to (</w:t>
      </w:r>
      <w:r w:rsidRPr="00FB5439">
        <w:rPr>
          <w:i/>
        </w:rPr>
        <w:t>name</w:t>
      </w:r>
      <w:r w:rsidRPr="00FB5439">
        <w:t>) of (</w:t>
      </w:r>
      <w:r w:rsidRPr="00FB5439">
        <w:rPr>
          <w:i/>
        </w:rPr>
        <w:t>address</w:t>
      </w:r>
      <w:r w:rsidRPr="00FB5439">
        <w:t xml:space="preserve">) all dividends as they are declared for the company, and that become due and payable to </w:t>
      </w:r>
      <w:r w:rsidRPr="00A80D13">
        <w:rPr>
          <w:position w:val="6"/>
          <w:sz w:val="16"/>
        </w:rPr>
        <w:t>*</w:t>
      </w:r>
      <w:r w:rsidRPr="00FB5439">
        <w:t>me/</w:t>
      </w:r>
      <w:r w:rsidRPr="00A80D13">
        <w:rPr>
          <w:position w:val="6"/>
          <w:sz w:val="16"/>
        </w:rPr>
        <w:t>*</w:t>
      </w:r>
      <w:r w:rsidRPr="00FB5439">
        <w:t xml:space="preserve">us in respect of </w:t>
      </w:r>
      <w:r w:rsidRPr="00A80D13">
        <w:rPr>
          <w:position w:val="6"/>
          <w:sz w:val="16"/>
        </w:rPr>
        <w:t>*</w:t>
      </w:r>
      <w:r w:rsidRPr="00FB5439">
        <w:t xml:space="preserve">my/ </w:t>
      </w:r>
      <w:r w:rsidRPr="00A80D13">
        <w:rPr>
          <w:position w:val="6"/>
          <w:sz w:val="16"/>
        </w:rPr>
        <w:t>*</w:t>
      </w:r>
      <w:r w:rsidRPr="00FB5439">
        <w:t>our claim for $</w:t>
      </w:r>
      <w:r w:rsidRPr="00FB5439">
        <w:tab/>
        <w:t>against the company.</w:t>
      </w:r>
    </w:p>
    <w:p w14:paraId="574619D8" w14:textId="77777777" w:rsidR="00E93F58" w:rsidRPr="00FB5439" w:rsidRDefault="00E93F58" w:rsidP="00070F64">
      <w:pPr>
        <w:jc w:val="both"/>
      </w:pPr>
    </w:p>
    <w:p w14:paraId="375A558D" w14:textId="77777777" w:rsidR="00E93F58" w:rsidRPr="00FB5439" w:rsidRDefault="00E93F58" w:rsidP="00070F64">
      <w:pPr>
        <w:jc w:val="both"/>
      </w:pPr>
      <w:r w:rsidRPr="00A80D13">
        <w:rPr>
          <w:position w:val="6"/>
          <w:sz w:val="16"/>
        </w:rPr>
        <w:t>*</w:t>
      </w:r>
      <w:r w:rsidRPr="00FB5439">
        <w:t>I/</w:t>
      </w:r>
      <w:r w:rsidRPr="00A80D13">
        <w:rPr>
          <w:position w:val="6"/>
          <w:sz w:val="16"/>
        </w:rPr>
        <w:t>*</w:t>
      </w:r>
      <w:r w:rsidRPr="00FB5439">
        <w:t>We further request that cheques drawn for those dividends are made payable to the order of (</w:t>
      </w:r>
      <w:r w:rsidRPr="00FB5439">
        <w:rPr>
          <w:i/>
        </w:rPr>
        <w:t>name</w:t>
      </w:r>
      <w:r w:rsidRPr="00FB5439">
        <w:t>).</w:t>
      </w:r>
    </w:p>
    <w:p w14:paraId="1F90D326" w14:textId="77777777" w:rsidR="00E93F58" w:rsidRPr="00FB5439" w:rsidRDefault="00E93F58" w:rsidP="00070F64">
      <w:pPr>
        <w:jc w:val="both"/>
      </w:pPr>
    </w:p>
    <w:p w14:paraId="120112E1" w14:textId="77777777" w:rsidR="00E93F58" w:rsidRPr="00FB5439" w:rsidRDefault="00E93F58" w:rsidP="00070F64">
      <w:pPr>
        <w:jc w:val="both"/>
      </w:pPr>
      <w:r w:rsidRPr="00FB5439">
        <w:t xml:space="preserve">This authority remains in force until revoked by </w:t>
      </w:r>
      <w:r w:rsidRPr="00A80D13">
        <w:rPr>
          <w:position w:val="6"/>
          <w:sz w:val="16"/>
        </w:rPr>
        <w:t>*</w:t>
      </w:r>
      <w:r w:rsidRPr="00FB5439">
        <w:t>me/</w:t>
      </w:r>
      <w:r w:rsidRPr="00A80D13">
        <w:rPr>
          <w:position w:val="6"/>
          <w:sz w:val="16"/>
        </w:rPr>
        <w:t>*</w:t>
      </w:r>
      <w:r w:rsidRPr="00FB5439">
        <w:t>us in writing.</w:t>
      </w:r>
    </w:p>
    <w:p w14:paraId="4E3DEC72" w14:textId="77777777" w:rsidR="00E93F58" w:rsidRPr="00FB5439" w:rsidRDefault="00E93F58" w:rsidP="00070F64">
      <w:pPr>
        <w:jc w:val="both"/>
      </w:pPr>
    </w:p>
    <w:p w14:paraId="38A4BFC9" w14:textId="77777777" w:rsidR="00E93F58" w:rsidRPr="00FB5439" w:rsidRDefault="00E93F58" w:rsidP="00070F64">
      <w:pPr>
        <w:jc w:val="both"/>
      </w:pPr>
      <w:r w:rsidRPr="00FB5439">
        <w:t>Date</w:t>
      </w:r>
    </w:p>
    <w:p w14:paraId="235E4ADA" w14:textId="77777777" w:rsidR="00E93F58" w:rsidRPr="00FB5439" w:rsidRDefault="00E93F58" w:rsidP="00070F64">
      <w:pPr>
        <w:jc w:val="both"/>
      </w:pPr>
    </w:p>
    <w:p w14:paraId="736A55F3" w14:textId="77777777" w:rsidR="00E93F58" w:rsidRPr="00FB5439" w:rsidRDefault="00E93F58" w:rsidP="00070F64">
      <w:pPr>
        <w:jc w:val="both"/>
      </w:pPr>
      <w:r w:rsidRPr="00FB5439">
        <w:t>Signature of creditor</w:t>
      </w:r>
    </w:p>
    <w:p w14:paraId="5170336D" w14:textId="77777777" w:rsidR="00E93F58" w:rsidRPr="00FB5439" w:rsidRDefault="00E93F58" w:rsidP="00070F64">
      <w:pPr>
        <w:jc w:val="both"/>
      </w:pPr>
    </w:p>
    <w:p w14:paraId="5871C905" w14:textId="77777777" w:rsidR="00E93F58" w:rsidRPr="00FB5439" w:rsidRDefault="00E93F58" w:rsidP="00070F64">
      <w:pPr>
        <w:jc w:val="both"/>
      </w:pPr>
      <w:r w:rsidRPr="00FB5439">
        <w:t>Name of creditor</w:t>
      </w:r>
    </w:p>
    <w:p w14:paraId="2039984A" w14:textId="77777777" w:rsidR="00E93F58" w:rsidRPr="00FB5439" w:rsidRDefault="00E93F58" w:rsidP="00070F64">
      <w:pPr>
        <w:jc w:val="both"/>
      </w:pPr>
    </w:p>
    <w:p w14:paraId="5C940FB2" w14:textId="77777777" w:rsidR="00E93F58" w:rsidRPr="00FB5439" w:rsidRDefault="00E93F58" w:rsidP="00070F64">
      <w:pPr>
        <w:jc w:val="both"/>
      </w:pPr>
      <w:r w:rsidRPr="00A80D13">
        <w:rPr>
          <w:position w:val="6"/>
          <w:sz w:val="16"/>
        </w:rPr>
        <w:t>*</w:t>
      </w:r>
      <w:r w:rsidRPr="00FB5439">
        <w:t>Omit if inapplicable</w:t>
      </w:r>
    </w:p>
    <w:p w14:paraId="372AFE13" w14:textId="77777777" w:rsidR="00E93F58" w:rsidRPr="00FB5439" w:rsidRDefault="00E93F58" w:rsidP="00A80D13">
      <w:pPr>
        <w:pStyle w:val="ActHead2"/>
        <w:pageBreakBefore/>
      </w:pPr>
      <w:bookmarkStart w:id="3216" w:name="_Toc151992793"/>
      <w:bookmarkStart w:id="3217" w:name="_Toc158713396"/>
      <w:r w:rsidRPr="00FB5439">
        <w:rPr>
          <w:rStyle w:val="CharPartNo"/>
        </w:rPr>
        <w:lastRenderedPageBreak/>
        <w:t>Form 551</w:t>
      </w:r>
      <w:bookmarkEnd w:id="3216"/>
      <w:bookmarkEnd w:id="3217"/>
      <w:r w:rsidRPr="00FB5439">
        <w:rPr>
          <w:rStyle w:val="CharPartText"/>
        </w:rPr>
        <w:t xml:space="preserve"> </w:t>
      </w:r>
      <w:r w:rsidRPr="00FB5439">
        <w:t xml:space="preserve"> </w:t>
      </w:r>
    </w:p>
    <w:p w14:paraId="0761F3A6" w14:textId="77777777" w:rsidR="00E93F58" w:rsidRPr="00FB5439" w:rsidRDefault="00E93F58" w:rsidP="004C686D">
      <w:pPr>
        <w:pStyle w:val="notemargin"/>
      </w:pPr>
      <w:r w:rsidRPr="00FB5439">
        <w:t>(subregulation 5.6.71(1))</w:t>
      </w:r>
    </w:p>
    <w:p w14:paraId="53CCEB7D" w14:textId="77777777" w:rsidR="00E93F58" w:rsidRPr="00FB5439" w:rsidRDefault="00E93F58" w:rsidP="00070F64">
      <w:pPr>
        <w:rPr>
          <w:sz w:val="18"/>
        </w:rPr>
      </w:pPr>
    </w:p>
    <w:p w14:paraId="7772FF7C" w14:textId="77777777" w:rsidR="00E93F58" w:rsidRPr="00FB5439" w:rsidRDefault="00E93F58" w:rsidP="00070F64">
      <w:pPr>
        <w:rPr>
          <w:i/>
        </w:rPr>
      </w:pPr>
      <w:r w:rsidRPr="00FB5439">
        <w:rPr>
          <w:i/>
        </w:rPr>
        <w:t>Corporations Act 2001</w:t>
      </w:r>
    </w:p>
    <w:p w14:paraId="11C03987" w14:textId="77777777" w:rsidR="00E93F58" w:rsidRPr="00FB5439" w:rsidRDefault="00E93F58" w:rsidP="00070F64">
      <w:pPr>
        <w:jc w:val="center"/>
      </w:pPr>
    </w:p>
    <w:p w14:paraId="166B9EBA" w14:textId="77777777" w:rsidR="00E93F58" w:rsidRPr="00FB5439" w:rsidRDefault="00E93F58" w:rsidP="00070F64">
      <w:pPr>
        <w:jc w:val="center"/>
        <w:rPr>
          <w:i/>
        </w:rPr>
      </w:pPr>
      <w:r w:rsidRPr="00FB5439">
        <w:rPr>
          <w:i/>
        </w:rPr>
        <w:t>(Note:  Before completing this schedule please read carefully the “Direction for completing Form 551” at the end of this form)</w:t>
      </w:r>
    </w:p>
    <w:p w14:paraId="39B4FF44" w14:textId="77777777" w:rsidR="00E93F58" w:rsidRPr="00FB5439" w:rsidRDefault="00E93F58" w:rsidP="00070F64">
      <w:pPr>
        <w:rPr>
          <w:sz w:val="18"/>
        </w:rPr>
      </w:pPr>
    </w:p>
    <w:p w14:paraId="6FB1A84B" w14:textId="77777777" w:rsidR="00E93F58" w:rsidRPr="00FB5439" w:rsidRDefault="00E93F58" w:rsidP="00070F64">
      <w:pPr>
        <w:pBdr>
          <w:top w:val="single" w:sz="4" w:space="1" w:color="auto"/>
        </w:pBdr>
        <w:jc w:val="center"/>
        <w:rPr>
          <w:sz w:val="18"/>
        </w:rPr>
      </w:pPr>
    </w:p>
    <w:p w14:paraId="0D924839" w14:textId="77777777" w:rsidR="00E93F58" w:rsidRPr="00FB5439" w:rsidRDefault="00E93F58" w:rsidP="00070F64">
      <w:pPr>
        <w:pBdr>
          <w:top w:val="single" w:sz="4" w:space="1" w:color="auto"/>
        </w:pBdr>
        <w:jc w:val="center"/>
        <w:rPr>
          <w:b/>
        </w:rPr>
      </w:pPr>
      <w:r w:rsidRPr="00FB5439">
        <w:rPr>
          <w:b/>
        </w:rPr>
        <w:t>SCHEDULE OF CONTRIBUTORIES OR OTHER PERSONS TO WHOM A DISTRIBUTION OF SURPLUS IS TO BE PAID</w:t>
      </w:r>
    </w:p>
    <w:p w14:paraId="3FE979AA" w14:textId="77777777" w:rsidR="00E93F58" w:rsidRPr="00FB5439" w:rsidRDefault="00E93F58" w:rsidP="00070F64">
      <w:pPr>
        <w:pBdr>
          <w:top w:val="single" w:sz="6" w:space="1" w:color="auto"/>
        </w:pBdr>
        <w:jc w:val="center"/>
        <w:rPr>
          <w:sz w:val="18"/>
        </w:rPr>
      </w:pPr>
    </w:p>
    <w:p w14:paraId="7AED491E" w14:textId="77777777" w:rsidR="00E93F58" w:rsidRPr="00FB5439" w:rsidRDefault="00E93F58" w:rsidP="00070F64">
      <w:pPr>
        <w:pBdr>
          <w:top w:val="single" w:sz="6" w:space="1" w:color="auto"/>
        </w:pBdr>
        <w:jc w:val="right"/>
      </w:pPr>
      <w:r w:rsidRPr="00FB5439">
        <w:t>Limited</w:t>
      </w:r>
    </w:p>
    <w:p w14:paraId="7C1B0658" w14:textId="77777777" w:rsidR="00E93F58" w:rsidRPr="00FB5439" w:rsidRDefault="00E93F58" w:rsidP="00070F64">
      <w:pPr>
        <w:pBdr>
          <w:top w:val="single" w:sz="6" w:space="1" w:color="auto"/>
        </w:pBdr>
        <w:jc w:val="center"/>
        <w:rPr>
          <w:sz w:val="18"/>
        </w:rPr>
      </w:pPr>
    </w:p>
    <w:tbl>
      <w:tblPr>
        <w:tblW w:w="5000" w:type="pct"/>
        <w:tblLook w:val="0000" w:firstRow="0" w:lastRow="0" w:firstColumn="0" w:lastColumn="0" w:noHBand="0" w:noVBand="0"/>
      </w:tblPr>
      <w:tblGrid>
        <w:gridCol w:w="1796"/>
        <w:gridCol w:w="1797"/>
        <w:gridCol w:w="1797"/>
        <w:gridCol w:w="1795"/>
        <w:gridCol w:w="1795"/>
        <w:gridCol w:w="1793"/>
      </w:tblGrid>
      <w:tr w:rsidR="00E93F58" w:rsidRPr="00FB5439" w14:paraId="24BCD04C" w14:textId="77777777" w:rsidTr="00B23434">
        <w:tc>
          <w:tcPr>
            <w:tcW w:w="834" w:type="pct"/>
            <w:tcBorders>
              <w:top w:val="single" w:sz="6" w:space="0" w:color="auto"/>
              <w:bottom w:val="single" w:sz="6" w:space="0" w:color="auto"/>
            </w:tcBorders>
          </w:tcPr>
          <w:p w14:paraId="33CF6750" w14:textId="77777777" w:rsidR="00E93F58" w:rsidRPr="00FB5439" w:rsidRDefault="00E93F58" w:rsidP="00070F64">
            <w:pPr>
              <w:jc w:val="center"/>
              <w:rPr>
                <w:b/>
                <w:i/>
                <w:sz w:val="18"/>
              </w:rPr>
            </w:pPr>
            <w:r w:rsidRPr="00FB5439">
              <w:rPr>
                <w:b/>
                <w:sz w:val="18"/>
              </w:rPr>
              <w:t>Serial No. in settled list</w:t>
            </w:r>
          </w:p>
        </w:tc>
        <w:tc>
          <w:tcPr>
            <w:tcW w:w="834" w:type="pct"/>
            <w:tcBorders>
              <w:top w:val="single" w:sz="6" w:space="0" w:color="auto"/>
              <w:bottom w:val="single" w:sz="6" w:space="0" w:color="auto"/>
            </w:tcBorders>
          </w:tcPr>
          <w:p w14:paraId="36BB3FF4" w14:textId="77777777" w:rsidR="00E93F58" w:rsidRPr="00FB5439" w:rsidRDefault="00E93F58" w:rsidP="00070F64">
            <w:pPr>
              <w:jc w:val="center"/>
              <w:rPr>
                <w:b/>
                <w:i/>
                <w:sz w:val="18"/>
              </w:rPr>
            </w:pPr>
            <w:r w:rsidRPr="00FB5439">
              <w:rPr>
                <w:b/>
                <w:sz w:val="18"/>
              </w:rPr>
              <w:t>Name of contributory as in settled list</w:t>
            </w:r>
          </w:p>
        </w:tc>
        <w:tc>
          <w:tcPr>
            <w:tcW w:w="834" w:type="pct"/>
            <w:tcBorders>
              <w:top w:val="single" w:sz="6" w:space="0" w:color="auto"/>
              <w:bottom w:val="single" w:sz="6" w:space="0" w:color="auto"/>
            </w:tcBorders>
          </w:tcPr>
          <w:p w14:paraId="48914FF4" w14:textId="77777777" w:rsidR="00E93F58" w:rsidRPr="00FB5439" w:rsidRDefault="00E93F58" w:rsidP="00070F64">
            <w:pPr>
              <w:jc w:val="center"/>
              <w:rPr>
                <w:b/>
                <w:i/>
                <w:sz w:val="18"/>
              </w:rPr>
            </w:pPr>
            <w:r w:rsidRPr="00FB5439">
              <w:rPr>
                <w:b/>
                <w:sz w:val="18"/>
              </w:rPr>
              <w:t>Address</w:t>
            </w:r>
          </w:p>
        </w:tc>
        <w:tc>
          <w:tcPr>
            <w:tcW w:w="833" w:type="pct"/>
            <w:tcBorders>
              <w:top w:val="single" w:sz="6" w:space="0" w:color="auto"/>
              <w:bottom w:val="single" w:sz="6" w:space="0" w:color="auto"/>
            </w:tcBorders>
          </w:tcPr>
          <w:p w14:paraId="09B51517" w14:textId="77777777" w:rsidR="00E93F58" w:rsidRPr="00FB5439" w:rsidRDefault="00E93F58" w:rsidP="00070F64">
            <w:pPr>
              <w:jc w:val="center"/>
              <w:rPr>
                <w:b/>
                <w:i/>
                <w:sz w:val="18"/>
              </w:rPr>
            </w:pPr>
            <w:r w:rsidRPr="00FB5439">
              <w:rPr>
                <w:b/>
                <w:sz w:val="18"/>
              </w:rPr>
              <w:t>Number of shares held as set out in settled list</w:t>
            </w:r>
          </w:p>
        </w:tc>
        <w:tc>
          <w:tcPr>
            <w:tcW w:w="833" w:type="pct"/>
            <w:tcBorders>
              <w:top w:val="single" w:sz="6" w:space="0" w:color="auto"/>
              <w:bottom w:val="single" w:sz="6" w:space="0" w:color="auto"/>
            </w:tcBorders>
          </w:tcPr>
          <w:p w14:paraId="02F6D7D8" w14:textId="77777777" w:rsidR="00E93F58" w:rsidRPr="00FB5439" w:rsidRDefault="00E93F58" w:rsidP="00070F64">
            <w:pPr>
              <w:jc w:val="center"/>
              <w:rPr>
                <w:b/>
                <w:i/>
                <w:sz w:val="18"/>
              </w:rPr>
            </w:pPr>
            <w:r w:rsidRPr="00FB5439">
              <w:rPr>
                <w:b/>
                <w:sz w:val="18"/>
              </w:rPr>
              <w:t>Total amount called up</w:t>
            </w:r>
          </w:p>
        </w:tc>
        <w:tc>
          <w:tcPr>
            <w:tcW w:w="833" w:type="pct"/>
            <w:tcBorders>
              <w:top w:val="single" w:sz="6" w:space="0" w:color="auto"/>
              <w:bottom w:val="single" w:sz="6" w:space="0" w:color="auto"/>
            </w:tcBorders>
          </w:tcPr>
          <w:p w14:paraId="52C32DB1" w14:textId="77777777" w:rsidR="00E93F58" w:rsidRPr="00FB5439" w:rsidRDefault="00E93F58" w:rsidP="00070F64">
            <w:pPr>
              <w:jc w:val="center"/>
              <w:rPr>
                <w:b/>
                <w:sz w:val="18"/>
              </w:rPr>
            </w:pPr>
            <w:r w:rsidRPr="00FB5439">
              <w:rPr>
                <w:b/>
                <w:sz w:val="18"/>
              </w:rPr>
              <w:t>Total amount paid up</w:t>
            </w:r>
          </w:p>
        </w:tc>
      </w:tr>
      <w:tr w:rsidR="00E93F58" w:rsidRPr="00FB5439" w14:paraId="300205C6" w14:textId="77777777" w:rsidTr="00B23434">
        <w:tc>
          <w:tcPr>
            <w:tcW w:w="834" w:type="pct"/>
          </w:tcPr>
          <w:p w14:paraId="7A8FBACA" w14:textId="77777777" w:rsidR="00E93F58" w:rsidRPr="00FB5439" w:rsidRDefault="00E93F58" w:rsidP="00A45941">
            <w:pPr>
              <w:spacing w:line="240" w:lineRule="auto"/>
              <w:rPr>
                <w:sz w:val="18"/>
              </w:rPr>
            </w:pPr>
          </w:p>
        </w:tc>
        <w:tc>
          <w:tcPr>
            <w:tcW w:w="834" w:type="pct"/>
          </w:tcPr>
          <w:p w14:paraId="76FDC6A6" w14:textId="77777777" w:rsidR="00E93F58" w:rsidRPr="00FB5439" w:rsidRDefault="00E93F58" w:rsidP="00A45941">
            <w:pPr>
              <w:spacing w:line="240" w:lineRule="auto"/>
              <w:rPr>
                <w:sz w:val="18"/>
              </w:rPr>
            </w:pPr>
          </w:p>
        </w:tc>
        <w:tc>
          <w:tcPr>
            <w:tcW w:w="834" w:type="pct"/>
          </w:tcPr>
          <w:p w14:paraId="00BAC479" w14:textId="77777777" w:rsidR="00E93F58" w:rsidRPr="00FB5439" w:rsidRDefault="00E93F58" w:rsidP="00A45941">
            <w:pPr>
              <w:spacing w:line="240" w:lineRule="auto"/>
              <w:rPr>
                <w:sz w:val="18"/>
              </w:rPr>
            </w:pPr>
          </w:p>
        </w:tc>
        <w:tc>
          <w:tcPr>
            <w:tcW w:w="833" w:type="pct"/>
          </w:tcPr>
          <w:p w14:paraId="180FF44E" w14:textId="77777777" w:rsidR="00E93F58" w:rsidRPr="00FB5439" w:rsidRDefault="00E93F58" w:rsidP="00A45941">
            <w:pPr>
              <w:spacing w:line="240" w:lineRule="auto"/>
              <w:rPr>
                <w:sz w:val="18"/>
              </w:rPr>
            </w:pPr>
          </w:p>
        </w:tc>
        <w:tc>
          <w:tcPr>
            <w:tcW w:w="833" w:type="pct"/>
          </w:tcPr>
          <w:p w14:paraId="371C1D78" w14:textId="77777777" w:rsidR="00E93F58" w:rsidRPr="00FB5439" w:rsidRDefault="00E93F58" w:rsidP="00A45941">
            <w:pPr>
              <w:spacing w:line="240" w:lineRule="auto"/>
              <w:rPr>
                <w:sz w:val="18"/>
              </w:rPr>
            </w:pPr>
          </w:p>
        </w:tc>
        <w:tc>
          <w:tcPr>
            <w:tcW w:w="833" w:type="pct"/>
          </w:tcPr>
          <w:p w14:paraId="4CA34E5C" w14:textId="77777777" w:rsidR="00E93F58" w:rsidRPr="00FB5439" w:rsidRDefault="00E93F58" w:rsidP="00A45941">
            <w:pPr>
              <w:spacing w:line="240" w:lineRule="auto"/>
              <w:rPr>
                <w:sz w:val="18"/>
              </w:rPr>
            </w:pPr>
          </w:p>
        </w:tc>
      </w:tr>
      <w:tr w:rsidR="00E93F58" w:rsidRPr="00FB5439" w14:paraId="39BF3224" w14:textId="77777777" w:rsidTr="00B23434">
        <w:tc>
          <w:tcPr>
            <w:tcW w:w="834" w:type="pct"/>
          </w:tcPr>
          <w:p w14:paraId="58A45B6A" w14:textId="77777777" w:rsidR="00E93F58" w:rsidRPr="00FB5439" w:rsidRDefault="00E93F58" w:rsidP="00A45941">
            <w:pPr>
              <w:spacing w:line="240" w:lineRule="auto"/>
              <w:rPr>
                <w:sz w:val="18"/>
              </w:rPr>
            </w:pPr>
          </w:p>
        </w:tc>
        <w:tc>
          <w:tcPr>
            <w:tcW w:w="834" w:type="pct"/>
          </w:tcPr>
          <w:p w14:paraId="3453CD39" w14:textId="77777777" w:rsidR="00E93F58" w:rsidRPr="00FB5439" w:rsidRDefault="00E93F58" w:rsidP="00A45941">
            <w:pPr>
              <w:spacing w:line="240" w:lineRule="auto"/>
              <w:rPr>
                <w:sz w:val="18"/>
              </w:rPr>
            </w:pPr>
          </w:p>
        </w:tc>
        <w:tc>
          <w:tcPr>
            <w:tcW w:w="834" w:type="pct"/>
          </w:tcPr>
          <w:p w14:paraId="0DF4C3C6" w14:textId="77777777" w:rsidR="00E93F58" w:rsidRPr="00FB5439" w:rsidRDefault="00E93F58" w:rsidP="00A45941">
            <w:pPr>
              <w:spacing w:line="240" w:lineRule="auto"/>
              <w:rPr>
                <w:sz w:val="18"/>
              </w:rPr>
            </w:pPr>
          </w:p>
        </w:tc>
        <w:tc>
          <w:tcPr>
            <w:tcW w:w="833" w:type="pct"/>
          </w:tcPr>
          <w:p w14:paraId="02074206" w14:textId="77777777" w:rsidR="00E93F58" w:rsidRPr="00FB5439" w:rsidRDefault="00E93F58" w:rsidP="00A45941">
            <w:pPr>
              <w:spacing w:line="240" w:lineRule="auto"/>
              <w:rPr>
                <w:sz w:val="18"/>
              </w:rPr>
            </w:pPr>
          </w:p>
        </w:tc>
        <w:tc>
          <w:tcPr>
            <w:tcW w:w="833" w:type="pct"/>
          </w:tcPr>
          <w:p w14:paraId="6B7C9168" w14:textId="77777777" w:rsidR="00E93F58" w:rsidRPr="00FB5439" w:rsidRDefault="00E93F58" w:rsidP="00A45941">
            <w:pPr>
              <w:spacing w:line="240" w:lineRule="auto"/>
              <w:rPr>
                <w:sz w:val="18"/>
              </w:rPr>
            </w:pPr>
          </w:p>
        </w:tc>
        <w:tc>
          <w:tcPr>
            <w:tcW w:w="833" w:type="pct"/>
          </w:tcPr>
          <w:p w14:paraId="24E32996" w14:textId="77777777" w:rsidR="00E93F58" w:rsidRPr="00FB5439" w:rsidRDefault="00E93F58" w:rsidP="00A45941">
            <w:pPr>
              <w:spacing w:line="240" w:lineRule="auto"/>
              <w:rPr>
                <w:sz w:val="18"/>
              </w:rPr>
            </w:pPr>
          </w:p>
        </w:tc>
      </w:tr>
      <w:tr w:rsidR="00E93F58" w:rsidRPr="00FB5439" w14:paraId="44DD6B55" w14:textId="77777777" w:rsidTr="00B23434">
        <w:tc>
          <w:tcPr>
            <w:tcW w:w="834" w:type="pct"/>
            <w:tcBorders>
              <w:top w:val="single" w:sz="6" w:space="0" w:color="auto"/>
            </w:tcBorders>
          </w:tcPr>
          <w:p w14:paraId="76F34FF7" w14:textId="77777777" w:rsidR="00E93F58" w:rsidRPr="00FB5439" w:rsidRDefault="00E93F58" w:rsidP="00A45941">
            <w:pPr>
              <w:spacing w:line="240" w:lineRule="auto"/>
              <w:rPr>
                <w:sz w:val="18"/>
              </w:rPr>
            </w:pPr>
          </w:p>
        </w:tc>
        <w:tc>
          <w:tcPr>
            <w:tcW w:w="834" w:type="pct"/>
            <w:tcBorders>
              <w:top w:val="single" w:sz="6" w:space="0" w:color="auto"/>
            </w:tcBorders>
          </w:tcPr>
          <w:p w14:paraId="6F4F9C1B" w14:textId="77777777" w:rsidR="00E93F58" w:rsidRPr="00FB5439" w:rsidRDefault="00E93F58" w:rsidP="00A45941">
            <w:pPr>
              <w:spacing w:line="240" w:lineRule="auto"/>
              <w:rPr>
                <w:sz w:val="18"/>
              </w:rPr>
            </w:pPr>
          </w:p>
        </w:tc>
        <w:tc>
          <w:tcPr>
            <w:tcW w:w="834" w:type="pct"/>
            <w:tcBorders>
              <w:top w:val="single" w:sz="6" w:space="0" w:color="auto"/>
            </w:tcBorders>
          </w:tcPr>
          <w:p w14:paraId="5C24AEDE" w14:textId="77777777" w:rsidR="00E93F58" w:rsidRPr="00FB5439" w:rsidRDefault="00E93F58" w:rsidP="00A45941">
            <w:pPr>
              <w:spacing w:line="240" w:lineRule="auto"/>
              <w:rPr>
                <w:sz w:val="18"/>
              </w:rPr>
            </w:pPr>
          </w:p>
        </w:tc>
        <w:tc>
          <w:tcPr>
            <w:tcW w:w="833" w:type="pct"/>
            <w:tcBorders>
              <w:top w:val="single" w:sz="6" w:space="0" w:color="auto"/>
            </w:tcBorders>
          </w:tcPr>
          <w:p w14:paraId="06556C9E" w14:textId="77777777" w:rsidR="00E93F58" w:rsidRPr="00FB5439" w:rsidRDefault="00E93F58" w:rsidP="00A45941">
            <w:pPr>
              <w:spacing w:line="240" w:lineRule="auto"/>
              <w:rPr>
                <w:sz w:val="18"/>
              </w:rPr>
            </w:pPr>
          </w:p>
        </w:tc>
        <w:tc>
          <w:tcPr>
            <w:tcW w:w="833" w:type="pct"/>
            <w:tcBorders>
              <w:top w:val="single" w:sz="6" w:space="0" w:color="auto"/>
            </w:tcBorders>
          </w:tcPr>
          <w:p w14:paraId="1634A771" w14:textId="77777777" w:rsidR="00E93F58" w:rsidRPr="00FB5439" w:rsidRDefault="00E93F58" w:rsidP="00A45941">
            <w:pPr>
              <w:spacing w:line="240" w:lineRule="auto"/>
              <w:rPr>
                <w:sz w:val="18"/>
              </w:rPr>
            </w:pPr>
          </w:p>
        </w:tc>
        <w:tc>
          <w:tcPr>
            <w:tcW w:w="833" w:type="pct"/>
            <w:tcBorders>
              <w:top w:val="single" w:sz="6" w:space="0" w:color="auto"/>
            </w:tcBorders>
          </w:tcPr>
          <w:p w14:paraId="7D085CCF" w14:textId="77777777" w:rsidR="00E93F58" w:rsidRPr="00FB5439" w:rsidRDefault="00E93F58" w:rsidP="00A45941">
            <w:pPr>
              <w:spacing w:line="240" w:lineRule="auto"/>
              <w:rPr>
                <w:sz w:val="18"/>
              </w:rPr>
            </w:pPr>
          </w:p>
        </w:tc>
      </w:tr>
      <w:tr w:rsidR="00E93F58" w:rsidRPr="00FB5439" w14:paraId="4C0EBC21" w14:textId="77777777" w:rsidTr="00B23434">
        <w:tc>
          <w:tcPr>
            <w:tcW w:w="834" w:type="pct"/>
            <w:tcBorders>
              <w:bottom w:val="single" w:sz="6" w:space="0" w:color="auto"/>
            </w:tcBorders>
          </w:tcPr>
          <w:p w14:paraId="7D6B78B6" w14:textId="77777777" w:rsidR="00E93F58" w:rsidRPr="00FB5439" w:rsidRDefault="00E93F58" w:rsidP="00A45941">
            <w:pPr>
              <w:spacing w:line="240" w:lineRule="auto"/>
              <w:rPr>
                <w:sz w:val="18"/>
              </w:rPr>
            </w:pPr>
          </w:p>
        </w:tc>
        <w:tc>
          <w:tcPr>
            <w:tcW w:w="834" w:type="pct"/>
            <w:tcBorders>
              <w:bottom w:val="single" w:sz="6" w:space="0" w:color="auto"/>
            </w:tcBorders>
          </w:tcPr>
          <w:p w14:paraId="1F02E058" w14:textId="77777777" w:rsidR="00E93F58" w:rsidRPr="00FB5439" w:rsidRDefault="00E93F58" w:rsidP="00A45941">
            <w:pPr>
              <w:spacing w:line="240" w:lineRule="auto"/>
              <w:rPr>
                <w:sz w:val="18"/>
              </w:rPr>
            </w:pPr>
          </w:p>
        </w:tc>
        <w:tc>
          <w:tcPr>
            <w:tcW w:w="834" w:type="pct"/>
            <w:tcBorders>
              <w:bottom w:val="single" w:sz="6" w:space="0" w:color="auto"/>
            </w:tcBorders>
          </w:tcPr>
          <w:p w14:paraId="4C655E1E" w14:textId="77777777" w:rsidR="00E93F58" w:rsidRPr="00FB5439" w:rsidRDefault="00E93F58" w:rsidP="00A45941">
            <w:pPr>
              <w:spacing w:line="240" w:lineRule="auto"/>
              <w:rPr>
                <w:sz w:val="18"/>
              </w:rPr>
            </w:pPr>
          </w:p>
        </w:tc>
        <w:tc>
          <w:tcPr>
            <w:tcW w:w="833" w:type="pct"/>
            <w:tcBorders>
              <w:bottom w:val="single" w:sz="6" w:space="0" w:color="auto"/>
            </w:tcBorders>
          </w:tcPr>
          <w:p w14:paraId="67D8900B" w14:textId="77777777" w:rsidR="00E93F58" w:rsidRPr="00FB5439" w:rsidRDefault="00E93F58" w:rsidP="00A45941">
            <w:pPr>
              <w:spacing w:line="240" w:lineRule="auto"/>
              <w:rPr>
                <w:sz w:val="18"/>
              </w:rPr>
            </w:pPr>
          </w:p>
        </w:tc>
        <w:tc>
          <w:tcPr>
            <w:tcW w:w="833" w:type="pct"/>
            <w:tcBorders>
              <w:bottom w:val="single" w:sz="6" w:space="0" w:color="auto"/>
            </w:tcBorders>
          </w:tcPr>
          <w:p w14:paraId="7A1AEC74" w14:textId="77777777" w:rsidR="00E93F58" w:rsidRPr="00FB5439" w:rsidRDefault="00E93F58" w:rsidP="00A45941">
            <w:pPr>
              <w:spacing w:line="240" w:lineRule="auto"/>
              <w:rPr>
                <w:sz w:val="18"/>
              </w:rPr>
            </w:pPr>
          </w:p>
        </w:tc>
        <w:tc>
          <w:tcPr>
            <w:tcW w:w="833" w:type="pct"/>
            <w:tcBorders>
              <w:bottom w:val="single" w:sz="6" w:space="0" w:color="auto"/>
            </w:tcBorders>
          </w:tcPr>
          <w:p w14:paraId="75EE2502" w14:textId="77777777" w:rsidR="00E93F58" w:rsidRPr="00FB5439" w:rsidRDefault="00E93F58" w:rsidP="00A45941">
            <w:pPr>
              <w:spacing w:line="240" w:lineRule="auto"/>
              <w:rPr>
                <w:sz w:val="18"/>
              </w:rPr>
            </w:pPr>
          </w:p>
        </w:tc>
      </w:tr>
    </w:tbl>
    <w:p w14:paraId="6C54284F" w14:textId="77777777" w:rsidR="00E93F58" w:rsidRPr="00FB5439" w:rsidRDefault="00E93F58" w:rsidP="00070F64">
      <w:pPr>
        <w:rPr>
          <w:sz w:val="18"/>
        </w:rPr>
      </w:pPr>
    </w:p>
    <w:p w14:paraId="739B553C" w14:textId="77777777" w:rsidR="00E93F58" w:rsidRPr="00FB5439" w:rsidRDefault="00E93F58" w:rsidP="00070F64">
      <w:pPr>
        <w:rPr>
          <w:sz w:val="18"/>
        </w:rPr>
      </w:pPr>
    </w:p>
    <w:p w14:paraId="2921C66D" w14:textId="77777777" w:rsidR="00E93F58" w:rsidRPr="00FB5439" w:rsidRDefault="00E93F58" w:rsidP="00070F64">
      <w:pPr>
        <w:pBdr>
          <w:top w:val="single" w:sz="6" w:space="1" w:color="auto"/>
        </w:pBdr>
        <w:jc w:val="center"/>
        <w:rPr>
          <w:sz w:val="18"/>
        </w:rPr>
      </w:pPr>
    </w:p>
    <w:p w14:paraId="0FC5FF2B" w14:textId="77777777" w:rsidR="00E93F58" w:rsidRPr="00FB5439" w:rsidRDefault="00E93F58" w:rsidP="00070F64">
      <w:pPr>
        <w:jc w:val="center"/>
        <w:rPr>
          <w:b/>
        </w:rPr>
      </w:pPr>
      <w:r w:rsidRPr="00FB5439">
        <w:rPr>
          <w:b/>
        </w:rPr>
        <w:t>SCHEDULE OF CONTRIBUTORIES OR OTHER PERSONS, TO WHOM A DISTRIBUTION OF SURPLUS IS TO BE PAID</w:t>
      </w:r>
    </w:p>
    <w:p w14:paraId="39DAD79C" w14:textId="77777777" w:rsidR="00E93F58" w:rsidRPr="00FB5439" w:rsidRDefault="00E93F58" w:rsidP="00070F64">
      <w:pPr>
        <w:pBdr>
          <w:top w:val="single" w:sz="6" w:space="1" w:color="auto"/>
        </w:pBdr>
        <w:jc w:val="center"/>
        <w:rPr>
          <w:sz w:val="18"/>
        </w:rPr>
      </w:pPr>
    </w:p>
    <w:tbl>
      <w:tblPr>
        <w:tblW w:w="5000" w:type="pct"/>
        <w:tblLook w:val="0000" w:firstRow="0" w:lastRow="0" w:firstColumn="0" w:lastColumn="0" w:noHBand="0" w:noVBand="0"/>
      </w:tblPr>
      <w:tblGrid>
        <w:gridCol w:w="2154"/>
        <w:gridCol w:w="2154"/>
        <w:gridCol w:w="2155"/>
        <w:gridCol w:w="2155"/>
        <w:gridCol w:w="2155"/>
      </w:tblGrid>
      <w:tr w:rsidR="00E93F58" w:rsidRPr="00FB5439" w14:paraId="7B8942A8" w14:textId="77777777" w:rsidTr="00B23434">
        <w:tc>
          <w:tcPr>
            <w:tcW w:w="1000" w:type="pct"/>
            <w:tcBorders>
              <w:top w:val="single" w:sz="6" w:space="0" w:color="auto"/>
              <w:bottom w:val="single" w:sz="6" w:space="0" w:color="auto"/>
            </w:tcBorders>
          </w:tcPr>
          <w:p w14:paraId="1B8E3DFC" w14:textId="77777777" w:rsidR="00E93F58" w:rsidRPr="00FB5439" w:rsidRDefault="00E93F58" w:rsidP="00070F64">
            <w:pPr>
              <w:keepLines/>
              <w:jc w:val="center"/>
              <w:rPr>
                <w:b/>
                <w:i/>
                <w:sz w:val="18"/>
              </w:rPr>
            </w:pPr>
            <w:r w:rsidRPr="00FB5439">
              <w:rPr>
                <w:b/>
                <w:sz w:val="18"/>
              </w:rPr>
              <w:t>Arrears of calls at date of return</w:t>
            </w:r>
          </w:p>
        </w:tc>
        <w:tc>
          <w:tcPr>
            <w:tcW w:w="1000" w:type="pct"/>
            <w:tcBorders>
              <w:top w:val="single" w:sz="6" w:space="0" w:color="auto"/>
              <w:bottom w:val="single" w:sz="6" w:space="0" w:color="auto"/>
            </w:tcBorders>
          </w:tcPr>
          <w:p w14:paraId="3AECBCDF" w14:textId="77777777" w:rsidR="00E93F58" w:rsidRPr="00FB5439" w:rsidRDefault="00E93F58" w:rsidP="00070F64">
            <w:pPr>
              <w:keepLines/>
              <w:jc w:val="center"/>
              <w:rPr>
                <w:b/>
                <w:i/>
                <w:sz w:val="18"/>
              </w:rPr>
            </w:pPr>
            <w:r w:rsidRPr="00FB5439">
              <w:rPr>
                <w:b/>
                <w:sz w:val="18"/>
              </w:rPr>
              <w:t>Previous distributions of capital appropriated by liquidator for arrears of calls</w:t>
            </w:r>
          </w:p>
        </w:tc>
        <w:tc>
          <w:tcPr>
            <w:tcW w:w="1000" w:type="pct"/>
            <w:tcBorders>
              <w:top w:val="single" w:sz="6" w:space="0" w:color="auto"/>
              <w:bottom w:val="single" w:sz="6" w:space="0" w:color="auto"/>
            </w:tcBorders>
          </w:tcPr>
          <w:p w14:paraId="27168610" w14:textId="77777777" w:rsidR="00E93F58" w:rsidRPr="00FB5439" w:rsidRDefault="00E93F58" w:rsidP="00070F64">
            <w:pPr>
              <w:keepLines/>
              <w:jc w:val="center"/>
              <w:rPr>
                <w:b/>
                <w:i/>
                <w:sz w:val="18"/>
              </w:rPr>
            </w:pPr>
            <w:r w:rsidRPr="00FB5439">
              <w:rPr>
                <w:b/>
                <w:sz w:val="18"/>
              </w:rPr>
              <w:t>Amount of distribution payable per share</w:t>
            </w:r>
          </w:p>
        </w:tc>
        <w:tc>
          <w:tcPr>
            <w:tcW w:w="1000" w:type="pct"/>
            <w:tcBorders>
              <w:top w:val="single" w:sz="6" w:space="0" w:color="auto"/>
              <w:bottom w:val="single" w:sz="6" w:space="0" w:color="auto"/>
            </w:tcBorders>
          </w:tcPr>
          <w:p w14:paraId="2621DF7E" w14:textId="77777777" w:rsidR="00E93F58" w:rsidRPr="00FB5439" w:rsidRDefault="00E93F58" w:rsidP="00070F64">
            <w:pPr>
              <w:keepLines/>
              <w:jc w:val="center"/>
              <w:rPr>
                <w:b/>
                <w:i/>
                <w:sz w:val="18"/>
              </w:rPr>
            </w:pPr>
            <w:r w:rsidRPr="00FB5439">
              <w:rPr>
                <w:b/>
                <w:sz w:val="18"/>
              </w:rPr>
              <w:t>Net distribution payable</w:t>
            </w:r>
          </w:p>
        </w:tc>
        <w:tc>
          <w:tcPr>
            <w:tcW w:w="1000" w:type="pct"/>
            <w:tcBorders>
              <w:top w:val="single" w:sz="6" w:space="0" w:color="auto"/>
              <w:bottom w:val="single" w:sz="6" w:space="0" w:color="auto"/>
            </w:tcBorders>
          </w:tcPr>
          <w:p w14:paraId="7C87A9C7" w14:textId="77777777" w:rsidR="00E93F58" w:rsidRPr="00FB5439" w:rsidRDefault="00E93F58" w:rsidP="00070F64">
            <w:pPr>
              <w:keepLines/>
              <w:jc w:val="center"/>
              <w:rPr>
                <w:b/>
                <w:i/>
                <w:sz w:val="18"/>
              </w:rPr>
            </w:pPr>
            <w:r w:rsidRPr="00FB5439">
              <w:rPr>
                <w:b/>
                <w:sz w:val="18"/>
              </w:rPr>
              <w:t>Date and particulars of transfer of interest or other variation in list</w:t>
            </w:r>
          </w:p>
        </w:tc>
      </w:tr>
      <w:tr w:rsidR="00E93F58" w:rsidRPr="00FB5439" w14:paraId="6C005207" w14:textId="77777777" w:rsidTr="00B23434">
        <w:tc>
          <w:tcPr>
            <w:tcW w:w="1000" w:type="pct"/>
          </w:tcPr>
          <w:p w14:paraId="5BCF218A" w14:textId="77777777" w:rsidR="00E93F58" w:rsidRPr="00FB5439" w:rsidRDefault="00E93F58" w:rsidP="00A45941">
            <w:pPr>
              <w:spacing w:line="240" w:lineRule="auto"/>
              <w:rPr>
                <w:sz w:val="18"/>
              </w:rPr>
            </w:pPr>
          </w:p>
        </w:tc>
        <w:tc>
          <w:tcPr>
            <w:tcW w:w="1000" w:type="pct"/>
          </w:tcPr>
          <w:p w14:paraId="34468460" w14:textId="77777777" w:rsidR="00E93F58" w:rsidRPr="00FB5439" w:rsidRDefault="00E93F58" w:rsidP="00A45941">
            <w:pPr>
              <w:spacing w:line="240" w:lineRule="auto"/>
              <w:rPr>
                <w:sz w:val="18"/>
              </w:rPr>
            </w:pPr>
          </w:p>
        </w:tc>
        <w:tc>
          <w:tcPr>
            <w:tcW w:w="1000" w:type="pct"/>
          </w:tcPr>
          <w:p w14:paraId="1051172B" w14:textId="77777777" w:rsidR="00E93F58" w:rsidRPr="00FB5439" w:rsidRDefault="00E93F58" w:rsidP="00A45941">
            <w:pPr>
              <w:spacing w:line="240" w:lineRule="auto"/>
              <w:rPr>
                <w:sz w:val="18"/>
              </w:rPr>
            </w:pPr>
          </w:p>
        </w:tc>
        <w:tc>
          <w:tcPr>
            <w:tcW w:w="1000" w:type="pct"/>
          </w:tcPr>
          <w:p w14:paraId="11F27A41" w14:textId="77777777" w:rsidR="00E93F58" w:rsidRPr="00FB5439" w:rsidRDefault="00E93F58" w:rsidP="00A45941">
            <w:pPr>
              <w:spacing w:line="240" w:lineRule="auto"/>
              <w:rPr>
                <w:sz w:val="18"/>
              </w:rPr>
            </w:pPr>
          </w:p>
        </w:tc>
        <w:tc>
          <w:tcPr>
            <w:tcW w:w="1000" w:type="pct"/>
          </w:tcPr>
          <w:p w14:paraId="1E48DAD8" w14:textId="77777777" w:rsidR="00E93F58" w:rsidRPr="00FB5439" w:rsidRDefault="00E93F58" w:rsidP="00A45941">
            <w:pPr>
              <w:spacing w:line="240" w:lineRule="auto"/>
              <w:rPr>
                <w:sz w:val="18"/>
              </w:rPr>
            </w:pPr>
          </w:p>
        </w:tc>
      </w:tr>
      <w:tr w:rsidR="00E93F58" w:rsidRPr="00FB5439" w14:paraId="0449F687" w14:textId="77777777" w:rsidTr="00B23434">
        <w:tc>
          <w:tcPr>
            <w:tcW w:w="1000" w:type="pct"/>
          </w:tcPr>
          <w:p w14:paraId="6357D445" w14:textId="77777777" w:rsidR="00E93F58" w:rsidRPr="00FB5439" w:rsidRDefault="00E93F58" w:rsidP="00A45941">
            <w:pPr>
              <w:spacing w:line="240" w:lineRule="auto"/>
              <w:rPr>
                <w:sz w:val="18"/>
              </w:rPr>
            </w:pPr>
          </w:p>
        </w:tc>
        <w:tc>
          <w:tcPr>
            <w:tcW w:w="1000" w:type="pct"/>
          </w:tcPr>
          <w:p w14:paraId="3B77537A" w14:textId="77777777" w:rsidR="00E93F58" w:rsidRPr="00FB5439" w:rsidRDefault="00E93F58" w:rsidP="00A45941">
            <w:pPr>
              <w:spacing w:line="240" w:lineRule="auto"/>
              <w:rPr>
                <w:sz w:val="18"/>
              </w:rPr>
            </w:pPr>
          </w:p>
        </w:tc>
        <w:tc>
          <w:tcPr>
            <w:tcW w:w="1000" w:type="pct"/>
          </w:tcPr>
          <w:p w14:paraId="6BCA4530" w14:textId="77777777" w:rsidR="00E93F58" w:rsidRPr="00FB5439" w:rsidRDefault="00E93F58" w:rsidP="00A45941">
            <w:pPr>
              <w:spacing w:line="240" w:lineRule="auto"/>
              <w:rPr>
                <w:sz w:val="18"/>
              </w:rPr>
            </w:pPr>
          </w:p>
        </w:tc>
        <w:tc>
          <w:tcPr>
            <w:tcW w:w="1000" w:type="pct"/>
          </w:tcPr>
          <w:p w14:paraId="49CD226C" w14:textId="77777777" w:rsidR="00E93F58" w:rsidRPr="00FB5439" w:rsidRDefault="00E93F58" w:rsidP="00A45941">
            <w:pPr>
              <w:spacing w:line="240" w:lineRule="auto"/>
              <w:rPr>
                <w:sz w:val="18"/>
              </w:rPr>
            </w:pPr>
          </w:p>
        </w:tc>
        <w:tc>
          <w:tcPr>
            <w:tcW w:w="1000" w:type="pct"/>
          </w:tcPr>
          <w:p w14:paraId="5DAE56EF" w14:textId="77777777" w:rsidR="00E93F58" w:rsidRPr="00FB5439" w:rsidRDefault="00E93F58" w:rsidP="00A45941">
            <w:pPr>
              <w:spacing w:line="240" w:lineRule="auto"/>
              <w:rPr>
                <w:sz w:val="18"/>
              </w:rPr>
            </w:pPr>
          </w:p>
        </w:tc>
      </w:tr>
      <w:tr w:rsidR="00E93F58" w:rsidRPr="00FB5439" w14:paraId="6E65BD6C" w14:textId="77777777" w:rsidTr="00B23434">
        <w:tc>
          <w:tcPr>
            <w:tcW w:w="1000" w:type="pct"/>
            <w:tcBorders>
              <w:top w:val="single" w:sz="6" w:space="0" w:color="auto"/>
            </w:tcBorders>
          </w:tcPr>
          <w:p w14:paraId="24835B82" w14:textId="77777777" w:rsidR="00E93F58" w:rsidRPr="00FB5439" w:rsidRDefault="00E93F58" w:rsidP="00A45941">
            <w:pPr>
              <w:spacing w:line="240" w:lineRule="auto"/>
              <w:rPr>
                <w:sz w:val="18"/>
              </w:rPr>
            </w:pPr>
          </w:p>
        </w:tc>
        <w:tc>
          <w:tcPr>
            <w:tcW w:w="1000" w:type="pct"/>
            <w:tcBorders>
              <w:top w:val="single" w:sz="6" w:space="0" w:color="auto"/>
            </w:tcBorders>
          </w:tcPr>
          <w:p w14:paraId="5E5A421F" w14:textId="77777777" w:rsidR="00E93F58" w:rsidRPr="00FB5439" w:rsidRDefault="00E93F58" w:rsidP="00A45941">
            <w:pPr>
              <w:spacing w:line="240" w:lineRule="auto"/>
              <w:rPr>
                <w:sz w:val="18"/>
              </w:rPr>
            </w:pPr>
          </w:p>
        </w:tc>
        <w:tc>
          <w:tcPr>
            <w:tcW w:w="1000" w:type="pct"/>
            <w:tcBorders>
              <w:top w:val="single" w:sz="6" w:space="0" w:color="auto"/>
            </w:tcBorders>
          </w:tcPr>
          <w:p w14:paraId="47A78C6F" w14:textId="77777777" w:rsidR="00E93F58" w:rsidRPr="00FB5439" w:rsidRDefault="00E93F58" w:rsidP="00A45941">
            <w:pPr>
              <w:spacing w:line="240" w:lineRule="auto"/>
              <w:rPr>
                <w:sz w:val="18"/>
              </w:rPr>
            </w:pPr>
          </w:p>
        </w:tc>
        <w:tc>
          <w:tcPr>
            <w:tcW w:w="1000" w:type="pct"/>
            <w:tcBorders>
              <w:top w:val="single" w:sz="6" w:space="0" w:color="auto"/>
            </w:tcBorders>
          </w:tcPr>
          <w:p w14:paraId="01C34AC1" w14:textId="77777777" w:rsidR="00E93F58" w:rsidRPr="00FB5439" w:rsidRDefault="00E93F58" w:rsidP="00A45941">
            <w:pPr>
              <w:spacing w:line="240" w:lineRule="auto"/>
              <w:rPr>
                <w:sz w:val="18"/>
              </w:rPr>
            </w:pPr>
          </w:p>
        </w:tc>
        <w:tc>
          <w:tcPr>
            <w:tcW w:w="1000" w:type="pct"/>
            <w:tcBorders>
              <w:top w:val="single" w:sz="6" w:space="0" w:color="auto"/>
            </w:tcBorders>
          </w:tcPr>
          <w:p w14:paraId="3C178C14" w14:textId="77777777" w:rsidR="00E93F58" w:rsidRPr="00FB5439" w:rsidRDefault="00E93F58" w:rsidP="00A45941">
            <w:pPr>
              <w:spacing w:line="240" w:lineRule="auto"/>
              <w:rPr>
                <w:sz w:val="18"/>
              </w:rPr>
            </w:pPr>
          </w:p>
        </w:tc>
      </w:tr>
      <w:tr w:rsidR="00E93F58" w:rsidRPr="00FB5439" w14:paraId="6290354D" w14:textId="77777777" w:rsidTr="00B23434">
        <w:tc>
          <w:tcPr>
            <w:tcW w:w="1000" w:type="pct"/>
            <w:tcBorders>
              <w:bottom w:val="single" w:sz="6" w:space="0" w:color="auto"/>
            </w:tcBorders>
          </w:tcPr>
          <w:p w14:paraId="5020C721" w14:textId="77777777" w:rsidR="00E93F58" w:rsidRPr="00FB5439" w:rsidRDefault="00E93F58" w:rsidP="00A45941">
            <w:pPr>
              <w:spacing w:line="240" w:lineRule="auto"/>
              <w:rPr>
                <w:sz w:val="18"/>
              </w:rPr>
            </w:pPr>
          </w:p>
        </w:tc>
        <w:tc>
          <w:tcPr>
            <w:tcW w:w="1000" w:type="pct"/>
            <w:tcBorders>
              <w:bottom w:val="single" w:sz="6" w:space="0" w:color="auto"/>
            </w:tcBorders>
          </w:tcPr>
          <w:p w14:paraId="1484103D" w14:textId="77777777" w:rsidR="00E93F58" w:rsidRPr="00FB5439" w:rsidRDefault="00E93F58" w:rsidP="00A45941">
            <w:pPr>
              <w:spacing w:line="240" w:lineRule="auto"/>
              <w:rPr>
                <w:sz w:val="18"/>
              </w:rPr>
            </w:pPr>
          </w:p>
        </w:tc>
        <w:tc>
          <w:tcPr>
            <w:tcW w:w="1000" w:type="pct"/>
            <w:tcBorders>
              <w:bottom w:val="single" w:sz="6" w:space="0" w:color="auto"/>
            </w:tcBorders>
          </w:tcPr>
          <w:p w14:paraId="296FA012" w14:textId="77777777" w:rsidR="00E93F58" w:rsidRPr="00FB5439" w:rsidRDefault="00E93F58" w:rsidP="00A45941">
            <w:pPr>
              <w:spacing w:line="240" w:lineRule="auto"/>
              <w:rPr>
                <w:sz w:val="18"/>
              </w:rPr>
            </w:pPr>
          </w:p>
        </w:tc>
        <w:tc>
          <w:tcPr>
            <w:tcW w:w="1000" w:type="pct"/>
            <w:tcBorders>
              <w:bottom w:val="single" w:sz="6" w:space="0" w:color="auto"/>
            </w:tcBorders>
          </w:tcPr>
          <w:p w14:paraId="3A5C96F3" w14:textId="77777777" w:rsidR="00E93F58" w:rsidRPr="00FB5439" w:rsidRDefault="00E93F58" w:rsidP="00A45941">
            <w:pPr>
              <w:spacing w:line="240" w:lineRule="auto"/>
              <w:rPr>
                <w:sz w:val="18"/>
              </w:rPr>
            </w:pPr>
          </w:p>
        </w:tc>
        <w:tc>
          <w:tcPr>
            <w:tcW w:w="1000" w:type="pct"/>
            <w:tcBorders>
              <w:bottom w:val="single" w:sz="6" w:space="0" w:color="auto"/>
            </w:tcBorders>
          </w:tcPr>
          <w:p w14:paraId="0D17BBE7" w14:textId="77777777" w:rsidR="00E93F58" w:rsidRPr="00FB5439" w:rsidRDefault="00E93F58" w:rsidP="00A45941">
            <w:pPr>
              <w:spacing w:line="240" w:lineRule="auto"/>
              <w:rPr>
                <w:sz w:val="18"/>
              </w:rPr>
            </w:pPr>
          </w:p>
        </w:tc>
      </w:tr>
    </w:tbl>
    <w:p w14:paraId="5159C781" w14:textId="77777777" w:rsidR="00E93F58" w:rsidRPr="00FB5439" w:rsidRDefault="00E93F58" w:rsidP="00070F64">
      <w:pPr>
        <w:rPr>
          <w:sz w:val="18"/>
        </w:rPr>
      </w:pPr>
    </w:p>
    <w:p w14:paraId="7C47755A" w14:textId="77777777" w:rsidR="00E93F58" w:rsidRPr="00FB5439" w:rsidRDefault="00E93F58" w:rsidP="00070F64"/>
    <w:p w14:paraId="5C6E0790" w14:textId="77777777" w:rsidR="00E93F58" w:rsidRPr="00FB5439" w:rsidRDefault="00E93F58" w:rsidP="00070F64">
      <w:r w:rsidRPr="00FB5439">
        <w:t>Signature of liquidator</w:t>
      </w:r>
    </w:p>
    <w:p w14:paraId="0425018C" w14:textId="77777777" w:rsidR="00E93F58" w:rsidRPr="00FB5439" w:rsidRDefault="00E93F58" w:rsidP="00070F64"/>
    <w:p w14:paraId="1AB9105C" w14:textId="77777777" w:rsidR="00E93F58" w:rsidRPr="00FB5439" w:rsidRDefault="00E93F58" w:rsidP="00070F64">
      <w:r w:rsidRPr="00FB5439">
        <w:t>Date</w:t>
      </w:r>
    </w:p>
    <w:p w14:paraId="48B54B40" w14:textId="77777777" w:rsidR="00E93F58" w:rsidRPr="00FB5439" w:rsidRDefault="00E93F58" w:rsidP="00070F64"/>
    <w:p w14:paraId="6E14A812" w14:textId="77777777" w:rsidR="00E93F58" w:rsidRPr="00FB5439" w:rsidRDefault="00E93F58" w:rsidP="00D00422">
      <w:pPr>
        <w:keepNext/>
        <w:keepLines/>
        <w:rPr>
          <w:b/>
          <w:szCs w:val="22"/>
        </w:rPr>
      </w:pPr>
      <w:r w:rsidRPr="00FB5439">
        <w:rPr>
          <w:b/>
          <w:szCs w:val="22"/>
        </w:rPr>
        <w:t>DIRECTION FOR COMPLETING FORM 551</w:t>
      </w:r>
    </w:p>
    <w:p w14:paraId="2980A1DE" w14:textId="77777777" w:rsidR="00E93F58" w:rsidRPr="00FB5439" w:rsidRDefault="00E93F58" w:rsidP="00D00422">
      <w:pPr>
        <w:keepNext/>
        <w:keepLines/>
      </w:pPr>
    </w:p>
    <w:p w14:paraId="46CE87B5" w14:textId="77777777" w:rsidR="00E93F58" w:rsidRPr="00FB5439" w:rsidRDefault="00E93F58" w:rsidP="00070F64">
      <w:pPr>
        <w:jc w:val="both"/>
      </w:pPr>
      <w:r w:rsidRPr="00FB5439">
        <w:t>If the Articles:</w:t>
      </w:r>
    </w:p>
    <w:p w14:paraId="7C38FE38" w14:textId="77777777" w:rsidR="00E93F58" w:rsidRPr="00FB5439" w:rsidRDefault="00E93F58" w:rsidP="00070F64">
      <w:pPr>
        <w:pStyle w:val="form1"/>
        <w:jc w:val="both"/>
        <w:rPr>
          <w:sz w:val="24"/>
        </w:rPr>
      </w:pPr>
      <w:r w:rsidRPr="00FB5439">
        <w:rPr>
          <w:sz w:val="24"/>
        </w:rPr>
        <w:t>(a)</w:t>
      </w:r>
      <w:r w:rsidRPr="00FB5439">
        <w:rPr>
          <w:sz w:val="24"/>
        </w:rPr>
        <w:tab/>
        <w:t>provide that the amount divisible among members or any class of members must be dividable in proportion to the amount paid up or that ought to have been paid up at the date of winding up; or</w:t>
      </w:r>
    </w:p>
    <w:p w14:paraId="317DB7E2" w14:textId="77777777" w:rsidR="00E93F58" w:rsidRPr="00FB5439" w:rsidRDefault="00E93F58" w:rsidP="00070F64">
      <w:pPr>
        <w:pStyle w:val="form1"/>
        <w:jc w:val="both"/>
        <w:rPr>
          <w:sz w:val="24"/>
        </w:rPr>
      </w:pPr>
      <w:r w:rsidRPr="00FB5439">
        <w:rPr>
          <w:sz w:val="24"/>
        </w:rPr>
        <w:t>(b)</w:t>
      </w:r>
      <w:r w:rsidRPr="00FB5439">
        <w:rPr>
          <w:sz w:val="24"/>
        </w:rPr>
        <w:tab/>
        <w:t>contain any other provision that requires further information before a distribution can be made;</w:t>
      </w:r>
    </w:p>
    <w:p w14:paraId="3F043796" w14:textId="77777777" w:rsidR="00E93F58" w:rsidRPr="00FB5439" w:rsidRDefault="00E93F58" w:rsidP="00070F64">
      <w:pPr>
        <w:jc w:val="both"/>
      </w:pPr>
      <w:r w:rsidRPr="00FB5439">
        <w:t>columns should be added showing the amount called up and the amount paid up at that date in respect of shares then held by those members or that class of members, or any other facts that may be required.</w:t>
      </w:r>
    </w:p>
    <w:p w14:paraId="1FD55135" w14:textId="77777777" w:rsidR="00E93F58" w:rsidRPr="00FB5439" w:rsidRDefault="00E93F58" w:rsidP="00A80D13">
      <w:pPr>
        <w:pStyle w:val="ActHead2"/>
        <w:pageBreakBefore/>
      </w:pPr>
      <w:bookmarkStart w:id="3218" w:name="_Toc151992794"/>
      <w:bookmarkStart w:id="3219" w:name="_Toc158713397"/>
      <w:r w:rsidRPr="00FB5439">
        <w:rPr>
          <w:rStyle w:val="CharPartNo"/>
        </w:rPr>
        <w:lastRenderedPageBreak/>
        <w:t>Form 552</w:t>
      </w:r>
      <w:bookmarkEnd w:id="3218"/>
      <w:bookmarkEnd w:id="3219"/>
      <w:r w:rsidRPr="00FB5439">
        <w:rPr>
          <w:rStyle w:val="CharPartText"/>
        </w:rPr>
        <w:t xml:space="preserve"> </w:t>
      </w:r>
      <w:r w:rsidRPr="00FB5439">
        <w:t xml:space="preserve"> </w:t>
      </w:r>
    </w:p>
    <w:p w14:paraId="55991E51" w14:textId="77777777" w:rsidR="00E93F58" w:rsidRPr="00FB5439" w:rsidRDefault="00E93F58" w:rsidP="004C686D">
      <w:pPr>
        <w:pStyle w:val="notemargin"/>
      </w:pPr>
      <w:r w:rsidRPr="00FB5439">
        <w:t>(subregulation 5.6.71(2))</w:t>
      </w:r>
    </w:p>
    <w:p w14:paraId="6E2CEEE0" w14:textId="77777777" w:rsidR="00E93F58" w:rsidRPr="00FB5439" w:rsidRDefault="00E93F58" w:rsidP="00070F64">
      <w:pPr>
        <w:rPr>
          <w:sz w:val="18"/>
        </w:rPr>
      </w:pPr>
    </w:p>
    <w:p w14:paraId="4CD50554" w14:textId="77777777" w:rsidR="00E93F58" w:rsidRPr="00FB5439" w:rsidRDefault="00E93F58" w:rsidP="00070F64">
      <w:pPr>
        <w:rPr>
          <w:i/>
        </w:rPr>
      </w:pPr>
      <w:r w:rsidRPr="00FB5439">
        <w:rPr>
          <w:i/>
        </w:rPr>
        <w:t>Corporations Act 2001</w:t>
      </w:r>
    </w:p>
    <w:p w14:paraId="233A4E65" w14:textId="77777777" w:rsidR="00E93F58" w:rsidRPr="00FB5439" w:rsidRDefault="00E93F58" w:rsidP="00070F64">
      <w:pPr>
        <w:spacing w:before="240" w:after="240"/>
        <w:rPr>
          <w:rFonts w:ascii="Arial" w:hAnsi="Arial" w:cs="Arial"/>
          <w:szCs w:val="22"/>
        </w:rPr>
      </w:pPr>
      <w:r w:rsidRPr="00FB5439">
        <w:rPr>
          <w:rFonts w:ascii="Arial" w:hAnsi="Arial" w:cs="Arial"/>
          <w:szCs w:val="22"/>
        </w:rPr>
        <w:t>NOTICE OF DISTRIBUTION OF SURPLUS TO CONTRIBUTORIES OR OTHER PERSONS</w:t>
      </w:r>
    </w:p>
    <w:p w14:paraId="0EDE3B3B" w14:textId="77777777" w:rsidR="00E93F58" w:rsidRPr="00FB5439" w:rsidRDefault="00E93F58" w:rsidP="00070F64">
      <w:pPr>
        <w:jc w:val="right"/>
      </w:pPr>
      <w:r w:rsidRPr="00FB5439">
        <w:t>Limited</w:t>
      </w:r>
    </w:p>
    <w:p w14:paraId="7E93054C" w14:textId="77777777" w:rsidR="00E93F58" w:rsidRPr="00FB5439" w:rsidRDefault="00E93F58" w:rsidP="00070F64">
      <w:pPr>
        <w:jc w:val="both"/>
      </w:pPr>
    </w:p>
    <w:p w14:paraId="693F1DA8" w14:textId="77777777" w:rsidR="00E93F58" w:rsidRPr="00FB5439" w:rsidRDefault="00E93F58" w:rsidP="00070F64">
      <w:pPr>
        <w:jc w:val="both"/>
      </w:pPr>
      <w:r w:rsidRPr="00FB5439">
        <w:t>A distribution of surplus at the rate of</w:t>
      </w:r>
      <w:r w:rsidRPr="00FB5439">
        <w:tab/>
      </w:r>
      <w:r w:rsidRPr="00FB5439">
        <w:tab/>
        <w:t>per share has been declared for the company and a cheque is attached for $</w:t>
      </w:r>
      <w:r w:rsidRPr="00FB5439">
        <w:tab/>
        <w:t>calculated at that rate per share on your (</w:t>
      </w:r>
      <w:r w:rsidRPr="00FB5439">
        <w:rPr>
          <w:i/>
        </w:rPr>
        <w:t>number</w:t>
      </w:r>
      <w:r w:rsidRPr="00FB5439">
        <w:t>) shares.</w:t>
      </w:r>
    </w:p>
    <w:p w14:paraId="3561A959" w14:textId="77777777" w:rsidR="00E93F58" w:rsidRPr="00FB5439" w:rsidRDefault="00E93F58" w:rsidP="00070F64">
      <w:pPr>
        <w:jc w:val="both"/>
      </w:pPr>
    </w:p>
    <w:p w14:paraId="7EAA83B6" w14:textId="77777777" w:rsidR="00E93F58" w:rsidRPr="00FB5439" w:rsidRDefault="00E93F58" w:rsidP="00070F64">
      <w:pPr>
        <w:jc w:val="both"/>
      </w:pPr>
      <w:r w:rsidRPr="00FB5439">
        <w:t>Dated</w:t>
      </w:r>
    </w:p>
    <w:p w14:paraId="6E8BC8C9" w14:textId="77777777" w:rsidR="00E93F58" w:rsidRPr="00FB5439" w:rsidRDefault="00E93F58" w:rsidP="00070F64">
      <w:pPr>
        <w:jc w:val="both"/>
      </w:pPr>
    </w:p>
    <w:p w14:paraId="03A2C7FA" w14:textId="77777777" w:rsidR="00E93F58" w:rsidRPr="00FB5439" w:rsidRDefault="00E93F58" w:rsidP="00070F64">
      <w:pPr>
        <w:jc w:val="both"/>
      </w:pPr>
      <w:r w:rsidRPr="00FB5439">
        <w:t>Signature of liquidator</w:t>
      </w:r>
    </w:p>
    <w:p w14:paraId="16DE662A" w14:textId="77777777" w:rsidR="00E93F58" w:rsidRPr="00FB5439" w:rsidRDefault="00E93F58" w:rsidP="00070F64">
      <w:pPr>
        <w:jc w:val="both"/>
      </w:pPr>
    </w:p>
    <w:p w14:paraId="6D021067" w14:textId="77777777" w:rsidR="00E93F58" w:rsidRPr="00FB5439" w:rsidRDefault="00E93F58" w:rsidP="00070F64">
      <w:pPr>
        <w:jc w:val="both"/>
      </w:pPr>
      <w:r w:rsidRPr="00FB5439">
        <w:t>Address</w:t>
      </w:r>
    </w:p>
    <w:p w14:paraId="033C33A3" w14:textId="77777777" w:rsidR="00E93F58" w:rsidRPr="00FB5439" w:rsidRDefault="00E93F58" w:rsidP="00070F64">
      <w:pPr>
        <w:jc w:val="both"/>
      </w:pPr>
    </w:p>
    <w:p w14:paraId="37959D34" w14:textId="77777777" w:rsidR="00E93F58" w:rsidRPr="00FB5439" w:rsidRDefault="00E93F58" w:rsidP="00A80D13">
      <w:pPr>
        <w:pStyle w:val="ActHead2"/>
        <w:pageBreakBefore/>
      </w:pPr>
      <w:bookmarkStart w:id="3220" w:name="_Toc151992795"/>
      <w:bookmarkStart w:id="3221" w:name="_Toc158713398"/>
      <w:r w:rsidRPr="00FB5439">
        <w:rPr>
          <w:rStyle w:val="CharPartNo"/>
        </w:rPr>
        <w:lastRenderedPageBreak/>
        <w:t>Form 553</w:t>
      </w:r>
      <w:bookmarkEnd w:id="3220"/>
      <w:bookmarkEnd w:id="3221"/>
      <w:r w:rsidRPr="00FB5439">
        <w:rPr>
          <w:rStyle w:val="CharPartText"/>
        </w:rPr>
        <w:t xml:space="preserve"> </w:t>
      </w:r>
      <w:r w:rsidRPr="00FB5439">
        <w:t xml:space="preserve"> </w:t>
      </w:r>
    </w:p>
    <w:p w14:paraId="01BC9516" w14:textId="77777777" w:rsidR="00E93F58" w:rsidRPr="00FB5439" w:rsidRDefault="00E93F58" w:rsidP="004C686D">
      <w:pPr>
        <w:pStyle w:val="notemargin"/>
      </w:pPr>
      <w:r w:rsidRPr="00FB5439">
        <w:t>(regulation 5.6.72)</w:t>
      </w:r>
    </w:p>
    <w:p w14:paraId="3AB01228" w14:textId="77777777" w:rsidR="00E93F58" w:rsidRPr="00FB5439" w:rsidRDefault="00E93F58" w:rsidP="00070F64">
      <w:pPr>
        <w:rPr>
          <w:sz w:val="18"/>
        </w:rPr>
      </w:pPr>
    </w:p>
    <w:p w14:paraId="0FB565F9" w14:textId="77777777" w:rsidR="00E93F58" w:rsidRPr="00FB5439" w:rsidRDefault="00E93F58" w:rsidP="00070F64">
      <w:pPr>
        <w:rPr>
          <w:i/>
        </w:rPr>
      </w:pPr>
      <w:r w:rsidRPr="00FB5439">
        <w:rPr>
          <w:i/>
        </w:rPr>
        <w:t>Corporations Act 2001</w:t>
      </w:r>
    </w:p>
    <w:p w14:paraId="3D15B8FB" w14:textId="77777777" w:rsidR="00E93F58" w:rsidRPr="00FB5439" w:rsidRDefault="00E93F58" w:rsidP="00070F64">
      <w:pPr>
        <w:spacing w:before="240" w:after="240"/>
        <w:rPr>
          <w:rFonts w:ascii="Arial" w:hAnsi="Arial" w:cs="Arial"/>
          <w:szCs w:val="22"/>
        </w:rPr>
      </w:pPr>
      <w:r w:rsidRPr="00FB5439">
        <w:rPr>
          <w:rFonts w:ascii="Arial" w:hAnsi="Arial" w:cs="Arial"/>
          <w:szCs w:val="22"/>
        </w:rPr>
        <w:t>AUTHORITY TO LIQUIDATOR TO PAY DISTRIBUTION OF SURPLUS TO A PERSON NAMED</w:t>
      </w:r>
    </w:p>
    <w:p w14:paraId="05663F84" w14:textId="77777777" w:rsidR="00E93F58" w:rsidRPr="00FB5439" w:rsidRDefault="00E93F58" w:rsidP="00070F64">
      <w:pPr>
        <w:jc w:val="right"/>
      </w:pPr>
      <w:r w:rsidRPr="00FB5439">
        <w:t>Limited</w:t>
      </w:r>
    </w:p>
    <w:p w14:paraId="3E9F659F" w14:textId="77777777" w:rsidR="00E93F58" w:rsidRPr="00FB5439" w:rsidRDefault="00E93F58" w:rsidP="00070F64">
      <w:pPr>
        <w:rPr>
          <w:sz w:val="18"/>
        </w:rPr>
      </w:pPr>
    </w:p>
    <w:p w14:paraId="040A6739" w14:textId="77777777" w:rsidR="00E93F58" w:rsidRPr="00FB5439" w:rsidRDefault="00E93F58" w:rsidP="00070F64">
      <w:pPr>
        <w:jc w:val="both"/>
      </w:pPr>
      <w:r w:rsidRPr="00FB5439">
        <w:t>To the Liquidator</w:t>
      </w:r>
    </w:p>
    <w:p w14:paraId="1E269CBF" w14:textId="77777777" w:rsidR="00E93F58" w:rsidRPr="00FB5439" w:rsidRDefault="00E93F58" w:rsidP="00070F64">
      <w:pPr>
        <w:jc w:val="both"/>
      </w:pPr>
    </w:p>
    <w:p w14:paraId="4A581737" w14:textId="77777777" w:rsidR="00E93F58" w:rsidRPr="00FB5439" w:rsidRDefault="00E93F58" w:rsidP="00070F64">
      <w:pPr>
        <w:jc w:val="both"/>
      </w:pPr>
      <w:r w:rsidRPr="00A80D13">
        <w:rPr>
          <w:position w:val="6"/>
          <w:sz w:val="16"/>
        </w:rPr>
        <w:t>*</w:t>
      </w:r>
      <w:r w:rsidRPr="00FB5439">
        <w:t>I/</w:t>
      </w:r>
      <w:r w:rsidRPr="00A80D13">
        <w:rPr>
          <w:position w:val="6"/>
          <w:sz w:val="16"/>
        </w:rPr>
        <w:t>*</w:t>
      </w:r>
      <w:r w:rsidRPr="00FB5439">
        <w:t>We authorise and request you to pay to (</w:t>
      </w:r>
      <w:r w:rsidRPr="00FB5439">
        <w:rPr>
          <w:i/>
        </w:rPr>
        <w:t>name</w:t>
      </w:r>
      <w:r w:rsidRPr="00FB5439">
        <w:t>) of (</w:t>
      </w:r>
      <w:r w:rsidRPr="00FB5439">
        <w:rPr>
          <w:i/>
        </w:rPr>
        <w:t>address</w:t>
      </w:r>
      <w:r w:rsidRPr="00FB5439">
        <w:t xml:space="preserve">) any distribution of surplus payable to </w:t>
      </w:r>
      <w:r w:rsidRPr="00A80D13">
        <w:rPr>
          <w:position w:val="6"/>
          <w:sz w:val="16"/>
        </w:rPr>
        <w:t>*</w:t>
      </w:r>
      <w:r w:rsidRPr="00FB5439">
        <w:t>me/</w:t>
      </w:r>
      <w:r w:rsidRPr="00A80D13">
        <w:rPr>
          <w:position w:val="6"/>
          <w:sz w:val="16"/>
        </w:rPr>
        <w:t>*</w:t>
      </w:r>
      <w:r w:rsidRPr="00FB5439">
        <w:t>us for the company.</w:t>
      </w:r>
    </w:p>
    <w:p w14:paraId="307F6BED" w14:textId="77777777" w:rsidR="00E93F58" w:rsidRPr="00FB5439" w:rsidRDefault="00E93F58" w:rsidP="00070F64">
      <w:pPr>
        <w:jc w:val="both"/>
      </w:pPr>
    </w:p>
    <w:p w14:paraId="235C3FDC" w14:textId="77777777" w:rsidR="00E93F58" w:rsidRPr="00FB5439" w:rsidRDefault="00E93F58" w:rsidP="00070F64">
      <w:pPr>
        <w:jc w:val="both"/>
      </w:pPr>
      <w:r w:rsidRPr="00A80D13">
        <w:rPr>
          <w:position w:val="6"/>
          <w:sz w:val="16"/>
        </w:rPr>
        <w:t>*</w:t>
      </w:r>
      <w:r w:rsidRPr="00FB5439">
        <w:t>I/</w:t>
      </w:r>
      <w:r w:rsidRPr="00A80D13">
        <w:rPr>
          <w:position w:val="6"/>
          <w:sz w:val="16"/>
        </w:rPr>
        <w:t>*</w:t>
      </w:r>
      <w:r w:rsidRPr="00FB5439">
        <w:t>We further request that the cheque drawn for that distribution be made payable to the order of (</w:t>
      </w:r>
      <w:r w:rsidRPr="00FB5439">
        <w:rPr>
          <w:i/>
        </w:rPr>
        <w:t>name</w:t>
      </w:r>
      <w:r w:rsidRPr="00FB5439">
        <w:t>).</w:t>
      </w:r>
    </w:p>
    <w:p w14:paraId="250AAFD1" w14:textId="77777777" w:rsidR="00E93F58" w:rsidRPr="00FB5439" w:rsidRDefault="00E93F58" w:rsidP="00070F64">
      <w:pPr>
        <w:jc w:val="both"/>
      </w:pPr>
    </w:p>
    <w:p w14:paraId="2607B70D" w14:textId="77777777" w:rsidR="00E93F58" w:rsidRPr="00FB5439" w:rsidRDefault="00E93F58" w:rsidP="00070F64">
      <w:pPr>
        <w:jc w:val="both"/>
      </w:pPr>
      <w:r w:rsidRPr="00FB5439">
        <w:t xml:space="preserve">This authority remains in force until revoked by </w:t>
      </w:r>
      <w:r w:rsidRPr="00A80D13">
        <w:rPr>
          <w:position w:val="6"/>
          <w:sz w:val="16"/>
        </w:rPr>
        <w:t>*</w:t>
      </w:r>
      <w:r w:rsidRPr="00FB5439">
        <w:t>me/</w:t>
      </w:r>
      <w:r w:rsidRPr="00A80D13">
        <w:rPr>
          <w:position w:val="6"/>
          <w:sz w:val="16"/>
        </w:rPr>
        <w:t>*</w:t>
      </w:r>
      <w:r w:rsidRPr="00FB5439">
        <w:t>us in writing.</w:t>
      </w:r>
    </w:p>
    <w:p w14:paraId="11062433" w14:textId="77777777" w:rsidR="00E93F58" w:rsidRPr="00FB5439" w:rsidRDefault="00E93F58" w:rsidP="00070F64"/>
    <w:p w14:paraId="33A76E07" w14:textId="77777777" w:rsidR="00E93F58" w:rsidRPr="00FB5439" w:rsidRDefault="00E93F58" w:rsidP="00070F64">
      <w:r w:rsidRPr="00FB5439">
        <w:t>Dated</w:t>
      </w:r>
    </w:p>
    <w:p w14:paraId="3934D08B" w14:textId="77777777" w:rsidR="00E93F58" w:rsidRPr="00FB5439" w:rsidRDefault="00E93F58" w:rsidP="00070F64"/>
    <w:p w14:paraId="3A3141B5" w14:textId="77777777" w:rsidR="00E93F58" w:rsidRPr="00FB5439" w:rsidRDefault="00E93F58" w:rsidP="00817951">
      <w:pPr>
        <w:ind w:firstLine="1843"/>
      </w:pPr>
      <w:r w:rsidRPr="00FB5439">
        <w:t>Signature</w:t>
      </w:r>
    </w:p>
    <w:p w14:paraId="0EB29519" w14:textId="77777777" w:rsidR="00E93F58" w:rsidRPr="00FB5439" w:rsidRDefault="00E93F58" w:rsidP="00070F64"/>
    <w:p w14:paraId="740E9979" w14:textId="77777777" w:rsidR="00E93F58" w:rsidRPr="00FB5439" w:rsidRDefault="00E93F58" w:rsidP="00070F64">
      <w:r w:rsidRPr="00FB5439">
        <w:t>Name(s) of person(s) completing this authority</w:t>
      </w:r>
    </w:p>
    <w:p w14:paraId="6F22BC67" w14:textId="77777777" w:rsidR="00E93F58" w:rsidRPr="00FB5439" w:rsidRDefault="00E93F58" w:rsidP="00070F64"/>
    <w:p w14:paraId="22A2A897" w14:textId="77777777" w:rsidR="00E93F58" w:rsidRPr="00FB5439" w:rsidRDefault="00E93F58" w:rsidP="00070F64"/>
    <w:p w14:paraId="552A755B" w14:textId="77777777" w:rsidR="00E93F58" w:rsidRPr="00FB5439" w:rsidRDefault="00E93F58" w:rsidP="00070F64">
      <w:r w:rsidRPr="00A80D13">
        <w:rPr>
          <w:position w:val="6"/>
          <w:sz w:val="16"/>
        </w:rPr>
        <w:t>*</w:t>
      </w:r>
      <w:r w:rsidRPr="00FB5439">
        <w:t>Omit if inapplicable.</w:t>
      </w:r>
    </w:p>
    <w:p w14:paraId="58E50F5B" w14:textId="77777777" w:rsidR="00E93F58" w:rsidRPr="00FB5439" w:rsidRDefault="00E93F58" w:rsidP="00070F64"/>
    <w:p w14:paraId="668AF417" w14:textId="77777777" w:rsidR="00E93F58" w:rsidRPr="00FB5439" w:rsidRDefault="00E93F58" w:rsidP="00070F64"/>
    <w:p w14:paraId="0608E057" w14:textId="77777777" w:rsidR="00E93F58" w:rsidRPr="00FB5439" w:rsidRDefault="00E93F58" w:rsidP="00A80D13">
      <w:pPr>
        <w:pStyle w:val="ActHead2"/>
        <w:pageBreakBefore/>
        <w:ind w:left="0" w:firstLine="0"/>
      </w:pPr>
      <w:bookmarkStart w:id="3222" w:name="_Toc151992796"/>
      <w:bookmarkStart w:id="3223" w:name="_Toc158713399"/>
      <w:r w:rsidRPr="00FB5439">
        <w:rPr>
          <w:rStyle w:val="CharPartNo"/>
        </w:rPr>
        <w:lastRenderedPageBreak/>
        <w:t>Form 701</w:t>
      </w:r>
      <w:bookmarkEnd w:id="3222"/>
      <w:bookmarkEnd w:id="3223"/>
      <w:r w:rsidRPr="00FB5439">
        <w:rPr>
          <w:rStyle w:val="CharPartText"/>
        </w:rPr>
        <w:t xml:space="preserve"> </w:t>
      </w:r>
      <w:r w:rsidRPr="00FB5439">
        <w:t xml:space="preserve"> </w:t>
      </w:r>
    </w:p>
    <w:p w14:paraId="1D932686" w14:textId="77777777" w:rsidR="00E93F58" w:rsidRPr="00FB5439" w:rsidRDefault="00E93F58" w:rsidP="00817951">
      <w:pPr>
        <w:spacing w:before="240" w:after="240"/>
        <w:rPr>
          <w:rFonts w:ascii="Arial" w:hAnsi="Arial" w:cs="Arial"/>
          <w:b/>
          <w:bCs/>
        </w:rPr>
      </w:pPr>
      <w:r w:rsidRPr="00FB5439">
        <w:rPr>
          <w:rFonts w:ascii="Arial" w:hAnsi="Arial" w:cs="Arial"/>
          <w:b/>
          <w:bCs/>
        </w:rPr>
        <w:t>Data on intermediated business with APRA</w:t>
      </w:r>
      <w:r>
        <w:rPr>
          <w:rFonts w:ascii="Arial" w:hAnsi="Arial" w:cs="Arial"/>
          <w:b/>
          <w:bCs/>
        </w:rPr>
        <w:noBreakHyphen/>
      </w:r>
      <w:r w:rsidRPr="00FB5439">
        <w:rPr>
          <w:rFonts w:ascii="Arial" w:hAnsi="Arial" w:cs="Arial"/>
          <w:b/>
          <w:bCs/>
        </w:rPr>
        <w:t>authorised general insurers, Lloyd’s underwriters and unauthorised foreign insurers</w:t>
      </w:r>
    </w:p>
    <w:tbl>
      <w:tblPr>
        <w:tblW w:w="5000" w:type="pct"/>
        <w:tblLook w:val="01E0" w:firstRow="1" w:lastRow="1" w:firstColumn="1" w:lastColumn="1" w:noHBand="0" w:noVBand="0"/>
      </w:tblPr>
      <w:tblGrid>
        <w:gridCol w:w="3500"/>
        <w:gridCol w:w="7268"/>
      </w:tblGrid>
      <w:tr w:rsidR="00E93F58" w:rsidRPr="00FB5439" w14:paraId="6CA3AE8E" w14:textId="77777777" w:rsidTr="00B23434">
        <w:tc>
          <w:tcPr>
            <w:tcW w:w="1625" w:type="pct"/>
            <w:tcBorders>
              <w:right w:val="single" w:sz="4" w:space="0" w:color="auto"/>
            </w:tcBorders>
          </w:tcPr>
          <w:p w14:paraId="3139B002" w14:textId="77777777" w:rsidR="00E93F58" w:rsidRPr="00FB5439" w:rsidRDefault="00E93F58" w:rsidP="00070F64">
            <w:pPr>
              <w:spacing w:before="80" w:after="80"/>
              <w:rPr>
                <w:rFonts w:ascii="Arial" w:hAnsi="Arial" w:cs="Arial"/>
                <w:b/>
                <w:bCs/>
                <w:sz w:val="20"/>
              </w:rPr>
            </w:pPr>
            <w:r w:rsidRPr="00FB5439">
              <w:rPr>
                <w:rFonts w:ascii="Arial" w:hAnsi="Arial" w:cs="Arial"/>
                <w:b/>
                <w:bCs/>
                <w:sz w:val="20"/>
              </w:rPr>
              <w:t>Australian business number</w:t>
            </w:r>
          </w:p>
        </w:tc>
        <w:tc>
          <w:tcPr>
            <w:tcW w:w="3375" w:type="pct"/>
            <w:tcBorders>
              <w:top w:val="single" w:sz="4" w:space="0" w:color="auto"/>
              <w:left w:val="single" w:sz="4" w:space="0" w:color="auto"/>
              <w:bottom w:val="single" w:sz="4" w:space="0" w:color="auto"/>
              <w:right w:val="single" w:sz="4" w:space="0" w:color="auto"/>
            </w:tcBorders>
          </w:tcPr>
          <w:p w14:paraId="0D220197" w14:textId="77777777" w:rsidR="00E93F58" w:rsidRPr="00FB5439" w:rsidRDefault="00E93F58" w:rsidP="00070F64">
            <w:pPr>
              <w:spacing w:before="80" w:after="80"/>
              <w:rPr>
                <w:rFonts w:ascii="Arial" w:hAnsi="Arial" w:cs="Arial"/>
                <w:sz w:val="20"/>
              </w:rPr>
            </w:pPr>
          </w:p>
        </w:tc>
      </w:tr>
      <w:tr w:rsidR="00E93F58" w:rsidRPr="00FB5439" w14:paraId="02F462A2" w14:textId="77777777" w:rsidTr="00B23434">
        <w:trPr>
          <w:trHeight w:val="70"/>
        </w:trPr>
        <w:tc>
          <w:tcPr>
            <w:tcW w:w="1625" w:type="pct"/>
          </w:tcPr>
          <w:p w14:paraId="5E6C8056" w14:textId="77777777" w:rsidR="00E93F58" w:rsidRPr="00FB5439" w:rsidRDefault="00E93F58" w:rsidP="00070F64">
            <w:pPr>
              <w:spacing w:before="80"/>
              <w:rPr>
                <w:rFonts w:ascii="Arial" w:hAnsi="Arial" w:cs="Arial"/>
                <w:b/>
                <w:bCs/>
                <w:sz w:val="20"/>
              </w:rPr>
            </w:pPr>
          </w:p>
        </w:tc>
        <w:tc>
          <w:tcPr>
            <w:tcW w:w="3375" w:type="pct"/>
            <w:tcBorders>
              <w:top w:val="single" w:sz="4" w:space="0" w:color="auto"/>
              <w:bottom w:val="single" w:sz="4" w:space="0" w:color="auto"/>
            </w:tcBorders>
          </w:tcPr>
          <w:p w14:paraId="03843BBD" w14:textId="77777777" w:rsidR="00E93F58" w:rsidRPr="00FB5439" w:rsidRDefault="00E93F58" w:rsidP="00070F64">
            <w:pPr>
              <w:spacing w:before="80"/>
              <w:rPr>
                <w:rFonts w:ascii="Arial" w:hAnsi="Arial" w:cs="Arial"/>
                <w:sz w:val="20"/>
              </w:rPr>
            </w:pPr>
          </w:p>
        </w:tc>
      </w:tr>
      <w:tr w:rsidR="00E93F58" w:rsidRPr="00FB5439" w14:paraId="61AE9247" w14:textId="77777777" w:rsidTr="00B23434">
        <w:tc>
          <w:tcPr>
            <w:tcW w:w="1625" w:type="pct"/>
            <w:tcBorders>
              <w:right w:val="single" w:sz="4" w:space="0" w:color="auto"/>
            </w:tcBorders>
          </w:tcPr>
          <w:p w14:paraId="74789154" w14:textId="77777777" w:rsidR="00E93F58" w:rsidRPr="00FB5439" w:rsidRDefault="00E93F58" w:rsidP="00070F64">
            <w:pPr>
              <w:spacing w:before="80" w:after="80"/>
              <w:rPr>
                <w:rFonts w:ascii="Arial" w:hAnsi="Arial" w:cs="Arial"/>
                <w:b/>
                <w:bCs/>
                <w:sz w:val="20"/>
              </w:rPr>
            </w:pPr>
            <w:r w:rsidRPr="00FB5439">
              <w:rPr>
                <w:rFonts w:ascii="Arial" w:hAnsi="Arial" w:cs="Arial"/>
                <w:b/>
                <w:bCs/>
                <w:sz w:val="20"/>
              </w:rPr>
              <w:t>Australian financial services licence number</w:t>
            </w:r>
          </w:p>
        </w:tc>
        <w:tc>
          <w:tcPr>
            <w:tcW w:w="3375" w:type="pct"/>
            <w:tcBorders>
              <w:top w:val="single" w:sz="4" w:space="0" w:color="auto"/>
              <w:left w:val="single" w:sz="4" w:space="0" w:color="auto"/>
              <w:bottom w:val="single" w:sz="4" w:space="0" w:color="auto"/>
              <w:right w:val="single" w:sz="4" w:space="0" w:color="auto"/>
            </w:tcBorders>
          </w:tcPr>
          <w:p w14:paraId="506C315D" w14:textId="77777777" w:rsidR="00E93F58" w:rsidRPr="00FB5439" w:rsidRDefault="00E93F58" w:rsidP="00070F64">
            <w:pPr>
              <w:spacing w:before="80" w:after="80"/>
              <w:rPr>
                <w:rFonts w:ascii="Arial" w:hAnsi="Arial" w:cs="Arial"/>
                <w:sz w:val="20"/>
              </w:rPr>
            </w:pPr>
          </w:p>
        </w:tc>
      </w:tr>
      <w:tr w:rsidR="00E93F58" w:rsidRPr="00FB5439" w14:paraId="0AD900F8" w14:textId="77777777" w:rsidTr="00B23434">
        <w:tc>
          <w:tcPr>
            <w:tcW w:w="1625" w:type="pct"/>
          </w:tcPr>
          <w:p w14:paraId="012E914D" w14:textId="77777777" w:rsidR="00E93F58" w:rsidRPr="00FB5439" w:rsidRDefault="00E93F58" w:rsidP="00070F64">
            <w:pPr>
              <w:spacing w:before="80"/>
              <w:rPr>
                <w:rFonts w:ascii="Arial" w:hAnsi="Arial" w:cs="Arial"/>
                <w:b/>
                <w:bCs/>
                <w:sz w:val="20"/>
              </w:rPr>
            </w:pPr>
          </w:p>
        </w:tc>
        <w:tc>
          <w:tcPr>
            <w:tcW w:w="3375" w:type="pct"/>
            <w:tcBorders>
              <w:top w:val="single" w:sz="4" w:space="0" w:color="auto"/>
              <w:bottom w:val="single" w:sz="4" w:space="0" w:color="auto"/>
            </w:tcBorders>
          </w:tcPr>
          <w:p w14:paraId="7288F2D6" w14:textId="77777777" w:rsidR="00E93F58" w:rsidRPr="00FB5439" w:rsidRDefault="00E93F58" w:rsidP="00070F64">
            <w:pPr>
              <w:spacing w:before="80"/>
              <w:rPr>
                <w:rFonts w:ascii="Arial" w:hAnsi="Arial" w:cs="Arial"/>
                <w:sz w:val="20"/>
              </w:rPr>
            </w:pPr>
          </w:p>
        </w:tc>
      </w:tr>
      <w:tr w:rsidR="00E93F58" w:rsidRPr="00FB5439" w14:paraId="4509E813" w14:textId="77777777" w:rsidTr="00B23434">
        <w:tc>
          <w:tcPr>
            <w:tcW w:w="1625" w:type="pct"/>
            <w:tcBorders>
              <w:right w:val="single" w:sz="4" w:space="0" w:color="auto"/>
            </w:tcBorders>
          </w:tcPr>
          <w:p w14:paraId="4206E776" w14:textId="77777777" w:rsidR="00E93F58" w:rsidRPr="00FB5439" w:rsidRDefault="00E93F58" w:rsidP="00070F64">
            <w:pPr>
              <w:spacing w:before="80" w:after="80"/>
              <w:rPr>
                <w:rFonts w:ascii="Arial" w:hAnsi="Arial" w:cs="Arial"/>
                <w:b/>
                <w:bCs/>
                <w:sz w:val="20"/>
              </w:rPr>
            </w:pPr>
            <w:r w:rsidRPr="00FB5439">
              <w:rPr>
                <w:rFonts w:ascii="Arial" w:hAnsi="Arial" w:cs="Arial"/>
                <w:b/>
                <w:bCs/>
                <w:sz w:val="20"/>
              </w:rPr>
              <w:t>Australian financial services licensee name</w:t>
            </w:r>
          </w:p>
        </w:tc>
        <w:tc>
          <w:tcPr>
            <w:tcW w:w="3375" w:type="pct"/>
            <w:tcBorders>
              <w:top w:val="single" w:sz="4" w:space="0" w:color="auto"/>
              <w:left w:val="single" w:sz="4" w:space="0" w:color="auto"/>
              <w:bottom w:val="single" w:sz="4" w:space="0" w:color="auto"/>
              <w:right w:val="single" w:sz="4" w:space="0" w:color="auto"/>
            </w:tcBorders>
          </w:tcPr>
          <w:p w14:paraId="1DEA6AA4" w14:textId="77777777" w:rsidR="00E93F58" w:rsidRPr="00FB5439" w:rsidRDefault="00E93F58" w:rsidP="00070F64">
            <w:pPr>
              <w:spacing w:before="80" w:after="80"/>
              <w:rPr>
                <w:rFonts w:ascii="Arial" w:hAnsi="Arial" w:cs="Arial"/>
                <w:sz w:val="20"/>
              </w:rPr>
            </w:pPr>
          </w:p>
        </w:tc>
      </w:tr>
      <w:tr w:rsidR="00E93F58" w:rsidRPr="00FB5439" w14:paraId="0864CCD3" w14:textId="77777777" w:rsidTr="00B23434">
        <w:tc>
          <w:tcPr>
            <w:tcW w:w="1625" w:type="pct"/>
          </w:tcPr>
          <w:p w14:paraId="2818FA38" w14:textId="77777777" w:rsidR="00E93F58" w:rsidRPr="00FB5439" w:rsidRDefault="00E93F58" w:rsidP="00070F64">
            <w:pPr>
              <w:spacing w:before="80"/>
              <w:rPr>
                <w:rFonts w:ascii="Arial" w:hAnsi="Arial" w:cs="Arial"/>
                <w:b/>
                <w:bCs/>
                <w:sz w:val="20"/>
              </w:rPr>
            </w:pPr>
          </w:p>
        </w:tc>
        <w:tc>
          <w:tcPr>
            <w:tcW w:w="3375" w:type="pct"/>
            <w:tcBorders>
              <w:top w:val="single" w:sz="4" w:space="0" w:color="auto"/>
              <w:bottom w:val="single" w:sz="4" w:space="0" w:color="auto"/>
            </w:tcBorders>
          </w:tcPr>
          <w:p w14:paraId="6143FD99" w14:textId="77777777" w:rsidR="00E93F58" w:rsidRPr="00FB5439" w:rsidRDefault="00E93F58" w:rsidP="00070F64">
            <w:pPr>
              <w:spacing w:before="80"/>
              <w:rPr>
                <w:rFonts w:ascii="Arial" w:hAnsi="Arial" w:cs="Arial"/>
                <w:sz w:val="20"/>
              </w:rPr>
            </w:pPr>
          </w:p>
        </w:tc>
      </w:tr>
      <w:tr w:rsidR="00E93F58" w:rsidRPr="00FB5439" w14:paraId="04F7CA90" w14:textId="77777777" w:rsidTr="00B23434">
        <w:tc>
          <w:tcPr>
            <w:tcW w:w="1625" w:type="pct"/>
            <w:tcBorders>
              <w:right w:val="single" w:sz="4" w:space="0" w:color="auto"/>
            </w:tcBorders>
          </w:tcPr>
          <w:p w14:paraId="1E125FE5" w14:textId="77777777" w:rsidR="00E93F58" w:rsidRPr="00FB5439" w:rsidRDefault="00E93F58" w:rsidP="00070F64">
            <w:pPr>
              <w:spacing w:before="80" w:after="80"/>
              <w:rPr>
                <w:rFonts w:ascii="Arial" w:hAnsi="Arial" w:cs="Arial"/>
                <w:b/>
                <w:bCs/>
                <w:sz w:val="20"/>
              </w:rPr>
            </w:pPr>
            <w:r w:rsidRPr="00FB5439">
              <w:rPr>
                <w:rFonts w:ascii="Arial" w:hAnsi="Arial" w:cs="Arial"/>
                <w:b/>
                <w:bCs/>
                <w:sz w:val="20"/>
              </w:rPr>
              <w:t>Reporting period</w:t>
            </w:r>
          </w:p>
        </w:tc>
        <w:tc>
          <w:tcPr>
            <w:tcW w:w="3375" w:type="pct"/>
            <w:tcBorders>
              <w:top w:val="single" w:sz="4" w:space="0" w:color="auto"/>
              <w:left w:val="single" w:sz="4" w:space="0" w:color="auto"/>
              <w:bottom w:val="single" w:sz="4" w:space="0" w:color="auto"/>
              <w:right w:val="single" w:sz="4" w:space="0" w:color="auto"/>
            </w:tcBorders>
          </w:tcPr>
          <w:p w14:paraId="41F5923B" w14:textId="77777777" w:rsidR="00E93F58" w:rsidRPr="00FB5439" w:rsidRDefault="00E93F58" w:rsidP="00070F64">
            <w:pPr>
              <w:spacing w:before="80" w:after="80"/>
              <w:rPr>
                <w:rFonts w:ascii="Arial" w:hAnsi="Arial" w:cs="Arial"/>
                <w:sz w:val="20"/>
              </w:rPr>
            </w:pPr>
          </w:p>
        </w:tc>
      </w:tr>
    </w:tbl>
    <w:p w14:paraId="3122A3B8" w14:textId="77777777" w:rsidR="00E93F58" w:rsidRPr="00FB5439" w:rsidRDefault="00E93F58" w:rsidP="00817951">
      <w:pPr>
        <w:pageBreakBefore/>
        <w:spacing w:after="120"/>
        <w:ind w:right="-175"/>
        <w:rPr>
          <w:rFonts w:ascii="Arial" w:hAnsi="Arial" w:cs="Arial"/>
          <w:b/>
          <w:bCs/>
          <w:caps/>
        </w:rPr>
      </w:pPr>
      <w:r w:rsidRPr="00FB5439">
        <w:rPr>
          <w:rFonts w:ascii="Arial" w:hAnsi="Arial" w:cs="Arial"/>
          <w:b/>
          <w:bCs/>
          <w:caps/>
        </w:rPr>
        <w:lastRenderedPageBreak/>
        <w:t>TABLE 1: Aggregate data on intermediated business with APRA</w:t>
      </w:r>
      <w:r>
        <w:rPr>
          <w:rFonts w:ascii="Arial" w:hAnsi="Arial" w:cs="Arial"/>
          <w:b/>
          <w:bCs/>
          <w:caps/>
        </w:rPr>
        <w:noBreakHyphen/>
      </w:r>
      <w:r w:rsidRPr="00FB5439">
        <w:rPr>
          <w:rFonts w:ascii="Arial" w:hAnsi="Arial" w:cs="Arial"/>
          <w:b/>
          <w:bCs/>
          <w:caps/>
        </w:rPr>
        <w:t>authorised general insurers, Lloyd’s underwriters and unauthorised foreign insurers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210"/>
        <w:gridCol w:w="1388"/>
        <w:gridCol w:w="1431"/>
        <w:gridCol w:w="1451"/>
        <w:gridCol w:w="1283"/>
      </w:tblGrid>
      <w:tr w:rsidR="00E93F58" w:rsidRPr="00FB5439" w14:paraId="3ED8FC1F" w14:textId="77777777" w:rsidTr="00B23434">
        <w:trPr>
          <w:cantSplit/>
          <w:tblHeader/>
        </w:trPr>
        <w:tc>
          <w:tcPr>
            <w:tcW w:w="2420" w:type="pct"/>
            <w:vMerge w:val="restart"/>
            <w:tcBorders>
              <w:top w:val="single" w:sz="4" w:space="0" w:color="auto"/>
              <w:left w:val="single" w:sz="4" w:space="0" w:color="auto"/>
              <w:right w:val="single" w:sz="4" w:space="0" w:color="auto"/>
            </w:tcBorders>
            <w:vAlign w:val="center"/>
          </w:tcPr>
          <w:p w14:paraId="18EFA688" w14:textId="77777777" w:rsidR="00E93F58" w:rsidRPr="00FB5439" w:rsidRDefault="00E93F58" w:rsidP="00070F64">
            <w:pPr>
              <w:spacing w:before="40" w:after="40"/>
              <w:jc w:val="center"/>
              <w:rPr>
                <w:rFonts w:ascii="Arial" w:hAnsi="Arial" w:cs="Arial"/>
                <w:b/>
                <w:bCs/>
                <w:sz w:val="18"/>
                <w:szCs w:val="18"/>
              </w:rPr>
            </w:pPr>
            <w:r w:rsidRPr="00FB5439">
              <w:rPr>
                <w:rFonts w:ascii="Arial" w:hAnsi="Arial" w:cs="Arial"/>
                <w:b/>
                <w:bCs/>
                <w:sz w:val="18"/>
                <w:szCs w:val="18"/>
              </w:rPr>
              <w:t>Total business placed with APRA</w:t>
            </w:r>
            <w:r>
              <w:rPr>
                <w:rFonts w:ascii="Arial" w:hAnsi="Arial" w:cs="Arial"/>
                <w:b/>
                <w:bCs/>
                <w:sz w:val="18"/>
                <w:szCs w:val="18"/>
              </w:rPr>
              <w:noBreakHyphen/>
            </w:r>
            <w:r w:rsidRPr="00FB5439">
              <w:rPr>
                <w:rFonts w:ascii="Arial" w:hAnsi="Arial" w:cs="Arial"/>
                <w:b/>
                <w:bCs/>
                <w:sz w:val="18"/>
                <w:szCs w:val="18"/>
              </w:rPr>
              <w:t xml:space="preserve">authorised general insurers, Lloyds underwriters and unauthorised foreign insurers </w:t>
            </w:r>
          </w:p>
        </w:tc>
        <w:tc>
          <w:tcPr>
            <w:tcW w:w="2580" w:type="pct"/>
            <w:gridSpan w:val="4"/>
            <w:tcBorders>
              <w:top w:val="single" w:sz="4" w:space="0" w:color="auto"/>
              <w:left w:val="single" w:sz="4" w:space="0" w:color="auto"/>
              <w:bottom w:val="single" w:sz="4" w:space="0" w:color="auto"/>
              <w:right w:val="single" w:sz="4" w:space="0" w:color="auto"/>
            </w:tcBorders>
            <w:vAlign w:val="center"/>
          </w:tcPr>
          <w:p w14:paraId="3CD47D55" w14:textId="77777777" w:rsidR="00E93F58" w:rsidRPr="00FB5439" w:rsidRDefault="00E93F58" w:rsidP="00070F64">
            <w:pPr>
              <w:spacing w:before="40" w:after="40"/>
              <w:jc w:val="center"/>
              <w:rPr>
                <w:rFonts w:ascii="Arial" w:hAnsi="Arial" w:cs="Arial"/>
                <w:b/>
                <w:bCs/>
                <w:sz w:val="18"/>
                <w:szCs w:val="18"/>
              </w:rPr>
            </w:pPr>
            <w:r w:rsidRPr="00FB5439">
              <w:rPr>
                <w:rFonts w:ascii="Arial" w:hAnsi="Arial" w:cs="Arial"/>
                <w:b/>
                <w:bCs/>
                <w:sz w:val="18"/>
                <w:szCs w:val="18"/>
              </w:rPr>
              <w:t>Premium invoiced this reporting period</w:t>
            </w:r>
          </w:p>
        </w:tc>
      </w:tr>
      <w:tr w:rsidR="00E93F58" w:rsidRPr="00FB5439" w14:paraId="057D79CE" w14:textId="77777777" w:rsidTr="00B23434">
        <w:trPr>
          <w:cantSplit/>
          <w:tblHeader/>
        </w:trPr>
        <w:tc>
          <w:tcPr>
            <w:tcW w:w="2420" w:type="pct"/>
            <w:vMerge/>
            <w:tcBorders>
              <w:left w:val="single" w:sz="4" w:space="0" w:color="auto"/>
              <w:bottom w:val="single" w:sz="4" w:space="0" w:color="auto"/>
              <w:right w:val="single" w:sz="4" w:space="0" w:color="auto"/>
            </w:tcBorders>
            <w:vAlign w:val="center"/>
          </w:tcPr>
          <w:p w14:paraId="254D0DBA" w14:textId="77777777" w:rsidR="00E93F58" w:rsidRPr="00FB5439" w:rsidRDefault="00E93F58" w:rsidP="00070F64">
            <w:pPr>
              <w:spacing w:before="40" w:after="40"/>
              <w:jc w:val="center"/>
              <w:rPr>
                <w:rFonts w:ascii="Arial" w:hAnsi="Arial" w:cs="Arial"/>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14:paraId="18145198" w14:textId="77777777" w:rsidR="00E93F58" w:rsidRPr="00FB5439" w:rsidRDefault="00E93F58" w:rsidP="00070F64">
            <w:pPr>
              <w:spacing w:before="40" w:after="40"/>
              <w:jc w:val="center"/>
              <w:rPr>
                <w:rFonts w:ascii="Arial" w:hAnsi="Arial" w:cs="Arial"/>
                <w:b/>
                <w:bCs/>
                <w:sz w:val="17"/>
                <w:szCs w:val="17"/>
              </w:rPr>
            </w:pPr>
            <w:r w:rsidRPr="00FB5439">
              <w:rPr>
                <w:rFonts w:ascii="Arial" w:hAnsi="Arial" w:cs="Arial"/>
                <w:b/>
                <w:bCs/>
                <w:sz w:val="17"/>
                <w:szCs w:val="17"/>
              </w:rPr>
              <w:t>Effective this reporting period</w:t>
            </w:r>
          </w:p>
        </w:tc>
        <w:tc>
          <w:tcPr>
            <w:tcW w:w="665" w:type="pct"/>
            <w:tcBorders>
              <w:top w:val="single" w:sz="4" w:space="0" w:color="auto"/>
              <w:left w:val="single" w:sz="4" w:space="0" w:color="auto"/>
              <w:bottom w:val="single" w:sz="4" w:space="0" w:color="auto"/>
              <w:right w:val="single" w:sz="4" w:space="0" w:color="auto"/>
            </w:tcBorders>
          </w:tcPr>
          <w:p w14:paraId="5E8AF076" w14:textId="77777777" w:rsidR="00E93F58" w:rsidRPr="00FB5439" w:rsidRDefault="00E93F58" w:rsidP="00070F64">
            <w:pPr>
              <w:spacing w:before="40" w:after="40"/>
              <w:ind w:left="-59"/>
              <w:jc w:val="center"/>
              <w:rPr>
                <w:rFonts w:ascii="Arial" w:hAnsi="Arial" w:cs="Arial"/>
                <w:b/>
                <w:bCs/>
                <w:sz w:val="17"/>
                <w:szCs w:val="17"/>
              </w:rPr>
            </w:pPr>
            <w:r w:rsidRPr="00FB5439">
              <w:rPr>
                <w:rFonts w:ascii="Arial" w:hAnsi="Arial" w:cs="Arial"/>
                <w:b/>
                <w:bCs/>
                <w:sz w:val="17"/>
                <w:szCs w:val="17"/>
              </w:rPr>
              <w:t>Effective after the reporting period end</w:t>
            </w:r>
          </w:p>
        </w:tc>
        <w:tc>
          <w:tcPr>
            <w:tcW w:w="674" w:type="pct"/>
            <w:tcBorders>
              <w:top w:val="single" w:sz="4" w:space="0" w:color="auto"/>
              <w:left w:val="single" w:sz="4" w:space="0" w:color="auto"/>
              <w:bottom w:val="single" w:sz="4" w:space="0" w:color="auto"/>
              <w:right w:val="single" w:sz="4" w:space="0" w:color="auto"/>
            </w:tcBorders>
            <w:vAlign w:val="center"/>
          </w:tcPr>
          <w:p w14:paraId="1337BA35" w14:textId="77777777" w:rsidR="00E93F58" w:rsidRPr="00FB5439" w:rsidRDefault="00E93F58" w:rsidP="00070F64">
            <w:pPr>
              <w:spacing w:before="40" w:after="40"/>
              <w:ind w:left="-87"/>
              <w:jc w:val="center"/>
              <w:rPr>
                <w:rFonts w:ascii="Arial" w:hAnsi="Arial" w:cs="Arial"/>
                <w:b/>
                <w:bCs/>
                <w:sz w:val="17"/>
                <w:szCs w:val="17"/>
              </w:rPr>
            </w:pPr>
            <w:r w:rsidRPr="00FB5439">
              <w:rPr>
                <w:rFonts w:ascii="Arial" w:hAnsi="Arial" w:cs="Arial"/>
                <w:b/>
                <w:bCs/>
                <w:sz w:val="17"/>
                <w:szCs w:val="17"/>
              </w:rPr>
              <w:t>Effective before the reporting period start</w:t>
            </w:r>
          </w:p>
        </w:tc>
        <w:tc>
          <w:tcPr>
            <w:tcW w:w="596" w:type="pct"/>
            <w:tcBorders>
              <w:top w:val="single" w:sz="4" w:space="0" w:color="auto"/>
              <w:left w:val="single" w:sz="4" w:space="0" w:color="auto"/>
              <w:bottom w:val="single" w:sz="4" w:space="0" w:color="auto"/>
              <w:right w:val="single" w:sz="4" w:space="0" w:color="auto"/>
            </w:tcBorders>
            <w:vAlign w:val="center"/>
          </w:tcPr>
          <w:p w14:paraId="5BEF46D6" w14:textId="77777777" w:rsidR="00E93F58" w:rsidRPr="00FB5439" w:rsidRDefault="00E93F58" w:rsidP="00070F64">
            <w:pPr>
              <w:spacing w:before="40" w:after="40"/>
              <w:ind w:left="-114"/>
              <w:jc w:val="center"/>
              <w:rPr>
                <w:rFonts w:ascii="Arial" w:hAnsi="Arial" w:cs="Arial"/>
                <w:b/>
                <w:bCs/>
                <w:sz w:val="17"/>
                <w:szCs w:val="17"/>
              </w:rPr>
            </w:pPr>
            <w:r w:rsidRPr="00FB5439">
              <w:rPr>
                <w:rFonts w:ascii="Arial" w:hAnsi="Arial" w:cs="Arial"/>
                <w:b/>
                <w:bCs/>
                <w:sz w:val="17"/>
                <w:szCs w:val="17"/>
              </w:rPr>
              <w:t>Total invoiced this reporting period</w:t>
            </w:r>
          </w:p>
        </w:tc>
      </w:tr>
      <w:tr w:rsidR="00E93F58" w:rsidRPr="00FB5439" w14:paraId="111D9A37" w14:textId="77777777" w:rsidTr="00B23434">
        <w:trPr>
          <w:cantSplit/>
        </w:trPr>
        <w:tc>
          <w:tcPr>
            <w:tcW w:w="2420" w:type="pct"/>
            <w:tcBorders>
              <w:top w:val="single" w:sz="4" w:space="0" w:color="auto"/>
              <w:left w:val="single" w:sz="4" w:space="0" w:color="auto"/>
              <w:bottom w:val="single" w:sz="4" w:space="0" w:color="auto"/>
              <w:right w:val="single" w:sz="4" w:space="0" w:color="auto"/>
            </w:tcBorders>
          </w:tcPr>
          <w:p w14:paraId="39B68331" w14:textId="77777777" w:rsidR="00E93F58" w:rsidRPr="00FB5439" w:rsidRDefault="00E93F58" w:rsidP="00E93F58">
            <w:pPr>
              <w:numPr>
                <w:ilvl w:val="0"/>
                <w:numId w:val="34"/>
              </w:numPr>
              <w:spacing w:before="40" w:after="40" w:line="260" w:lineRule="exact"/>
              <w:ind w:left="285" w:hanging="282"/>
              <w:rPr>
                <w:rFonts w:ascii="Arial" w:hAnsi="Arial" w:cs="Arial"/>
                <w:bCs/>
                <w:sz w:val="20"/>
              </w:rPr>
            </w:pPr>
            <w:r w:rsidRPr="00FB5439">
              <w:rPr>
                <w:rFonts w:ascii="Arial" w:hAnsi="Arial" w:cs="Arial"/>
                <w:bCs/>
                <w:sz w:val="20"/>
              </w:rPr>
              <w:t>Business placed directly by the general insurance intermediary with APRA</w:t>
            </w:r>
            <w:r>
              <w:rPr>
                <w:rFonts w:ascii="Arial" w:hAnsi="Arial" w:cs="Arial"/>
                <w:bCs/>
                <w:sz w:val="20"/>
              </w:rPr>
              <w:noBreakHyphen/>
            </w:r>
            <w:r w:rsidRPr="00FB5439">
              <w:rPr>
                <w:rFonts w:ascii="Arial" w:hAnsi="Arial" w:cs="Arial"/>
                <w:bCs/>
                <w:sz w:val="20"/>
              </w:rPr>
              <w:t xml:space="preserve">authorised general insurers </w:t>
            </w:r>
          </w:p>
        </w:tc>
        <w:tc>
          <w:tcPr>
            <w:tcW w:w="645" w:type="pct"/>
            <w:tcBorders>
              <w:top w:val="single" w:sz="4" w:space="0" w:color="auto"/>
              <w:left w:val="single" w:sz="4" w:space="0" w:color="auto"/>
              <w:bottom w:val="single" w:sz="4" w:space="0" w:color="auto"/>
              <w:right w:val="single" w:sz="4" w:space="0" w:color="auto"/>
            </w:tcBorders>
          </w:tcPr>
          <w:p w14:paraId="29D3C0D9" w14:textId="77777777" w:rsidR="00E93F58" w:rsidRPr="00FB5439" w:rsidRDefault="00E93F58"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14:paraId="3B9A1AB3" w14:textId="77777777" w:rsidR="00E93F58" w:rsidRPr="00FB5439" w:rsidRDefault="00E93F58"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14:paraId="21FF2503" w14:textId="77777777" w:rsidR="00E93F58" w:rsidRPr="00FB5439" w:rsidRDefault="00E93F58"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14:paraId="543BB1B7" w14:textId="77777777" w:rsidR="00E93F58" w:rsidRPr="00FB5439" w:rsidRDefault="00E93F58" w:rsidP="00070F64">
            <w:pPr>
              <w:spacing w:before="40" w:after="40" w:line="260" w:lineRule="exact"/>
              <w:jc w:val="both"/>
              <w:rPr>
                <w:rFonts w:ascii="Arial" w:hAnsi="Arial" w:cs="Arial"/>
                <w:b/>
                <w:bCs/>
                <w:sz w:val="18"/>
                <w:szCs w:val="18"/>
              </w:rPr>
            </w:pPr>
          </w:p>
        </w:tc>
      </w:tr>
      <w:tr w:rsidR="00E93F58" w:rsidRPr="00FB5439" w14:paraId="7C781976" w14:textId="77777777" w:rsidTr="00B23434">
        <w:trPr>
          <w:cantSplit/>
        </w:trPr>
        <w:tc>
          <w:tcPr>
            <w:tcW w:w="2420" w:type="pct"/>
            <w:tcBorders>
              <w:top w:val="single" w:sz="4" w:space="0" w:color="auto"/>
              <w:left w:val="single" w:sz="4" w:space="0" w:color="auto"/>
              <w:bottom w:val="single" w:sz="4" w:space="0" w:color="auto"/>
              <w:right w:val="single" w:sz="4" w:space="0" w:color="auto"/>
            </w:tcBorders>
          </w:tcPr>
          <w:p w14:paraId="37B1F690" w14:textId="77777777" w:rsidR="00E93F58" w:rsidRPr="00FB5439" w:rsidRDefault="00E93F58" w:rsidP="00E93F58">
            <w:pPr>
              <w:numPr>
                <w:ilvl w:val="0"/>
                <w:numId w:val="34"/>
              </w:numPr>
              <w:spacing w:before="40" w:after="40" w:line="260" w:lineRule="exact"/>
              <w:ind w:left="285" w:hanging="282"/>
              <w:rPr>
                <w:rFonts w:ascii="Arial" w:hAnsi="Arial" w:cs="Arial"/>
                <w:bCs/>
                <w:sz w:val="20"/>
              </w:rPr>
            </w:pPr>
            <w:r w:rsidRPr="00FB5439">
              <w:rPr>
                <w:rFonts w:ascii="Arial" w:hAnsi="Arial" w:cs="Arial"/>
                <w:bCs/>
                <w:sz w:val="20"/>
              </w:rPr>
              <w:t>Business placed directly, or indirectly through a foreign intermediary, by the general insurance intermediary with Lloyd’s underwriters</w:t>
            </w:r>
          </w:p>
        </w:tc>
        <w:tc>
          <w:tcPr>
            <w:tcW w:w="645" w:type="pct"/>
            <w:tcBorders>
              <w:top w:val="single" w:sz="4" w:space="0" w:color="auto"/>
              <w:left w:val="single" w:sz="4" w:space="0" w:color="auto"/>
              <w:bottom w:val="single" w:sz="4" w:space="0" w:color="auto"/>
              <w:right w:val="single" w:sz="4" w:space="0" w:color="auto"/>
            </w:tcBorders>
          </w:tcPr>
          <w:p w14:paraId="414CD033" w14:textId="77777777" w:rsidR="00E93F58" w:rsidRPr="00FB5439" w:rsidRDefault="00E93F58"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14:paraId="3ADBFEDB" w14:textId="77777777" w:rsidR="00E93F58" w:rsidRPr="00FB5439" w:rsidRDefault="00E93F58"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14:paraId="24CCF898" w14:textId="77777777" w:rsidR="00E93F58" w:rsidRPr="00FB5439" w:rsidRDefault="00E93F58"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14:paraId="66699B4F" w14:textId="77777777" w:rsidR="00E93F58" w:rsidRPr="00FB5439" w:rsidRDefault="00E93F58" w:rsidP="00070F64">
            <w:pPr>
              <w:spacing w:before="40" w:after="40" w:line="260" w:lineRule="exact"/>
              <w:jc w:val="both"/>
              <w:rPr>
                <w:rFonts w:ascii="Arial" w:hAnsi="Arial" w:cs="Arial"/>
                <w:b/>
                <w:bCs/>
                <w:sz w:val="18"/>
                <w:szCs w:val="18"/>
              </w:rPr>
            </w:pPr>
          </w:p>
        </w:tc>
      </w:tr>
      <w:tr w:rsidR="00E93F58" w:rsidRPr="00FB5439" w14:paraId="67E8D22A" w14:textId="77777777" w:rsidTr="00B23434">
        <w:trPr>
          <w:cantSplit/>
        </w:trPr>
        <w:tc>
          <w:tcPr>
            <w:tcW w:w="2420" w:type="pct"/>
            <w:tcBorders>
              <w:top w:val="single" w:sz="4" w:space="0" w:color="auto"/>
              <w:left w:val="single" w:sz="4" w:space="0" w:color="auto"/>
              <w:bottom w:val="single" w:sz="4" w:space="0" w:color="auto"/>
              <w:right w:val="single" w:sz="4" w:space="0" w:color="auto"/>
            </w:tcBorders>
          </w:tcPr>
          <w:p w14:paraId="2675B60F" w14:textId="77777777" w:rsidR="00E93F58" w:rsidRPr="00FB5439" w:rsidRDefault="00E93F58" w:rsidP="00E93F58">
            <w:pPr>
              <w:numPr>
                <w:ilvl w:val="0"/>
                <w:numId w:val="34"/>
              </w:numPr>
              <w:spacing w:before="40" w:after="40" w:line="260" w:lineRule="exact"/>
              <w:ind w:left="285" w:hanging="282"/>
              <w:rPr>
                <w:rFonts w:ascii="Arial" w:hAnsi="Arial" w:cs="Arial"/>
                <w:bCs/>
                <w:sz w:val="20"/>
              </w:rPr>
            </w:pPr>
            <w:r w:rsidRPr="00FB5439">
              <w:rPr>
                <w:rFonts w:ascii="Arial" w:hAnsi="Arial" w:cs="Arial"/>
                <w:bCs/>
                <w:sz w:val="20"/>
              </w:rPr>
              <w:t xml:space="preserve">Business placed directly, or indirectly through a foreign intermediary, by the general insurance intermediary with unauthorised foreign insurers </w:t>
            </w:r>
          </w:p>
        </w:tc>
        <w:tc>
          <w:tcPr>
            <w:tcW w:w="645" w:type="pct"/>
            <w:tcBorders>
              <w:top w:val="single" w:sz="4" w:space="0" w:color="auto"/>
              <w:left w:val="single" w:sz="4" w:space="0" w:color="auto"/>
              <w:bottom w:val="single" w:sz="4" w:space="0" w:color="auto"/>
              <w:right w:val="single" w:sz="4" w:space="0" w:color="auto"/>
            </w:tcBorders>
          </w:tcPr>
          <w:p w14:paraId="0CD63066" w14:textId="77777777" w:rsidR="00E93F58" w:rsidRPr="00FB5439" w:rsidRDefault="00E93F58"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14:paraId="100B6F75" w14:textId="77777777" w:rsidR="00E93F58" w:rsidRPr="00FB5439" w:rsidRDefault="00E93F58"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14:paraId="21BF8A09" w14:textId="77777777" w:rsidR="00E93F58" w:rsidRPr="00FB5439" w:rsidRDefault="00E93F58"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14:paraId="4C1F4D64" w14:textId="77777777" w:rsidR="00E93F58" w:rsidRPr="00FB5439" w:rsidRDefault="00E93F58" w:rsidP="00070F64">
            <w:pPr>
              <w:spacing w:before="40" w:after="40" w:line="260" w:lineRule="exact"/>
              <w:jc w:val="both"/>
              <w:rPr>
                <w:rFonts w:ascii="Arial" w:hAnsi="Arial" w:cs="Arial"/>
                <w:b/>
                <w:bCs/>
                <w:sz w:val="18"/>
                <w:szCs w:val="18"/>
              </w:rPr>
            </w:pPr>
          </w:p>
        </w:tc>
      </w:tr>
      <w:tr w:rsidR="00E93F58" w:rsidRPr="00FB5439" w14:paraId="1A3DF7C4" w14:textId="77777777" w:rsidTr="00B23434">
        <w:trPr>
          <w:cantSplit/>
        </w:trPr>
        <w:tc>
          <w:tcPr>
            <w:tcW w:w="2420" w:type="pct"/>
            <w:tcBorders>
              <w:top w:val="single" w:sz="4" w:space="0" w:color="auto"/>
              <w:left w:val="single" w:sz="4" w:space="0" w:color="auto"/>
              <w:bottom w:val="single" w:sz="4" w:space="0" w:color="auto"/>
              <w:right w:val="single" w:sz="4" w:space="0" w:color="auto"/>
            </w:tcBorders>
          </w:tcPr>
          <w:p w14:paraId="69D3711E" w14:textId="77777777" w:rsidR="00E93F58" w:rsidRPr="00FB5439" w:rsidRDefault="00E93F58" w:rsidP="00E93F58">
            <w:pPr>
              <w:numPr>
                <w:ilvl w:val="0"/>
                <w:numId w:val="34"/>
              </w:numPr>
              <w:spacing w:before="40" w:after="40" w:line="260" w:lineRule="exact"/>
              <w:ind w:left="318" w:hanging="315"/>
              <w:rPr>
                <w:rFonts w:ascii="Arial" w:hAnsi="Arial" w:cs="Arial"/>
                <w:bCs/>
                <w:sz w:val="20"/>
              </w:rPr>
            </w:pPr>
            <w:r w:rsidRPr="00FB5439">
              <w:rPr>
                <w:rFonts w:ascii="Arial" w:hAnsi="Arial" w:cs="Arial"/>
                <w:bCs/>
                <w:sz w:val="20"/>
              </w:rPr>
              <w:t>Business placed indirectly through another general insurance intermediary, by the general insurance intermediary with:</w:t>
            </w:r>
          </w:p>
          <w:p w14:paraId="6FA78042" w14:textId="77777777" w:rsidR="00E93F58" w:rsidRPr="00FB5439" w:rsidRDefault="00E93F58" w:rsidP="00E93F58">
            <w:pPr>
              <w:numPr>
                <w:ilvl w:val="0"/>
                <w:numId w:val="35"/>
              </w:numPr>
              <w:spacing w:line="260" w:lineRule="exact"/>
              <w:rPr>
                <w:rFonts w:ascii="Arial" w:hAnsi="Arial" w:cs="Arial"/>
                <w:bCs/>
                <w:sz w:val="20"/>
              </w:rPr>
            </w:pPr>
            <w:r w:rsidRPr="00FB5439">
              <w:rPr>
                <w:rFonts w:ascii="Arial" w:hAnsi="Arial" w:cs="Arial"/>
                <w:bCs/>
                <w:sz w:val="20"/>
              </w:rPr>
              <w:t>APRA</w:t>
            </w:r>
            <w:r>
              <w:rPr>
                <w:rFonts w:ascii="Arial" w:hAnsi="Arial" w:cs="Arial"/>
                <w:bCs/>
                <w:sz w:val="20"/>
              </w:rPr>
              <w:noBreakHyphen/>
            </w:r>
            <w:r w:rsidRPr="00FB5439">
              <w:rPr>
                <w:rFonts w:ascii="Arial" w:hAnsi="Arial" w:cs="Arial"/>
                <w:bCs/>
                <w:sz w:val="20"/>
              </w:rPr>
              <w:t>authorised general insurers; or</w:t>
            </w:r>
          </w:p>
          <w:p w14:paraId="07F0678E" w14:textId="77777777" w:rsidR="00E93F58" w:rsidRPr="00FB5439" w:rsidRDefault="00E93F58" w:rsidP="00E93F58">
            <w:pPr>
              <w:numPr>
                <w:ilvl w:val="0"/>
                <w:numId w:val="36"/>
              </w:numPr>
              <w:spacing w:before="40" w:line="260" w:lineRule="exact"/>
              <w:ind w:left="743" w:hanging="383"/>
              <w:rPr>
                <w:rFonts w:ascii="Arial" w:hAnsi="Arial" w:cs="Arial"/>
                <w:bCs/>
                <w:sz w:val="20"/>
              </w:rPr>
            </w:pPr>
            <w:r w:rsidRPr="00FB5439">
              <w:rPr>
                <w:rFonts w:ascii="Arial" w:hAnsi="Arial" w:cs="Arial"/>
                <w:bCs/>
                <w:sz w:val="20"/>
              </w:rPr>
              <w:t>Lloyds underwriters; or</w:t>
            </w:r>
          </w:p>
          <w:p w14:paraId="2CC16491" w14:textId="77777777" w:rsidR="00E93F58" w:rsidRPr="00FB5439" w:rsidRDefault="00E93F58" w:rsidP="00E93F58">
            <w:pPr>
              <w:numPr>
                <w:ilvl w:val="0"/>
                <w:numId w:val="36"/>
              </w:numPr>
              <w:spacing w:before="40" w:after="40" w:line="260" w:lineRule="exact"/>
              <w:ind w:left="318" w:firstLine="42"/>
              <w:rPr>
                <w:rFonts w:ascii="Arial" w:hAnsi="Arial" w:cs="Arial"/>
                <w:bCs/>
                <w:sz w:val="20"/>
              </w:rPr>
            </w:pPr>
            <w:r w:rsidRPr="00FB5439">
              <w:rPr>
                <w:rFonts w:ascii="Arial" w:hAnsi="Arial" w:cs="Arial"/>
                <w:bCs/>
                <w:sz w:val="20"/>
              </w:rPr>
              <w:t xml:space="preserve">unauthorised foreign insurers </w:t>
            </w:r>
          </w:p>
        </w:tc>
        <w:tc>
          <w:tcPr>
            <w:tcW w:w="645" w:type="pct"/>
            <w:tcBorders>
              <w:top w:val="single" w:sz="4" w:space="0" w:color="auto"/>
              <w:left w:val="single" w:sz="4" w:space="0" w:color="auto"/>
              <w:bottom w:val="single" w:sz="4" w:space="0" w:color="auto"/>
              <w:right w:val="single" w:sz="4" w:space="0" w:color="auto"/>
            </w:tcBorders>
          </w:tcPr>
          <w:p w14:paraId="123BC813" w14:textId="77777777" w:rsidR="00E93F58" w:rsidRPr="00FB5439" w:rsidRDefault="00E93F58"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14:paraId="1A7739A0" w14:textId="77777777" w:rsidR="00E93F58" w:rsidRPr="00FB5439" w:rsidRDefault="00E93F58"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14:paraId="6AEA75DB" w14:textId="77777777" w:rsidR="00E93F58" w:rsidRPr="00FB5439" w:rsidRDefault="00E93F58"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14:paraId="3FB83E61" w14:textId="77777777" w:rsidR="00E93F58" w:rsidRPr="00FB5439" w:rsidRDefault="00E93F58" w:rsidP="00070F64">
            <w:pPr>
              <w:spacing w:before="40" w:after="40" w:line="260" w:lineRule="exact"/>
              <w:jc w:val="both"/>
              <w:rPr>
                <w:rFonts w:ascii="Arial" w:hAnsi="Arial" w:cs="Arial"/>
                <w:b/>
                <w:bCs/>
                <w:sz w:val="18"/>
                <w:szCs w:val="18"/>
              </w:rPr>
            </w:pPr>
          </w:p>
        </w:tc>
      </w:tr>
      <w:tr w:rsidR="00E93F58" w:rsidRPr="00FB5439" w14:paraId="4C862979" w14:textId="77777777" w:rsidTr="00B23434">
        <w:trPr>
          <w:cantSplit/>
        </w:trPr>
        <w:tc>
          <w:tcPr>
            <w:tcW w:w="2420" w:type="pct"/>
            <w:tcBorders>
              <w:top w:val="single" w:sz="4" w:space="0" w:color="auto"/>
              <w:left w:val="single" w:sz="4" w:space="0" w:color="auto"/>
              <w:bottom w:val="single" w:sz="4" w:space="0" w:color="auto"/>
              <w:right w:val="single" w:sz="4" w:space="0" w:color="auto"/>
            </w:tcBorders>
            <w:vAlign w:val="center"/>
          </w:tcPr>
          <w:p w14:paraId="5656DC97" w14:textId="77777777" w:rsidR="00E93F58" w:rsidRPr="00FB5439" w:rsidRDefault="00E93F58" w:rsidP="00070F64">
            <w:pPr>
              <w:spacing w:before="40" w:after="40" w:line="260" w:lineRule="exact"/>
              <w:jc w:val="right"/>
              <w:rPr>
                <w:rFonts w:ascii="Arial" w:hAnsi="Arial" w:cs="Arial"/>
                <w:b/>
                <w:bCs/>
                <w:sz w:val="18"/>
                <w:szCs w:val="18"/>
              </w:rPr>
            </w:pPr>
            <w:r w:rsidRPr="00FB5439">
              <w:rPr>
                <w:rFonts w:ascii="Arial" w:hAnsi="Arial" w:cs="Arial"/>
                <w:b/>
                <w:bCs/>
                <w:sz w:val="18"/>
                <w:szCs w:val="18"/>
              </w:rPr>
              <w:t>Total</w:t>
            </w:r>
          </w:p>
        </w:tc>
        <w:tc>
          <w:tcPr>
            <w:tcW w:w="645" w:type="pct"/>
            <w:tcBorders>
              <w:top w:val="single" w:sz="4" w:space="0" w:color="auto"/>
              <w:left w:val="single" w:sz="4" w:space="0" w:color="auto"/>
              <w:bottom w:val="single" w:sz="4" w:space="0" w:color="auto"/>
              <w:right w:val="single" w:sz="4" w:space="0" w:color="auto"/>
            </w:tcBorders>
          </w:tcPr>
          <w:p w14:paraId="5D596425" w14:textId="77777777" w:rsidR="00E93F58" w:rsidRPr="00FB5439" w:rsidRDefault="00E93F58"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14:paraId="4963D0BC" w14:textId="77777777" w:rsidR="00E93F58" w:rsidRPr="00FB5439" w:rsidRDefault="00E93F58"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14:paraId="154B885A" w14:textId="77777777" w:rsidR="00E93F58" w:rsidRPr="00FB5439" w:rsidRDefault="00E93F58"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14:paraId="0DBAA630" w14:textId="77777777" w:rsidR="00E93F58" w:rsidRPr="00FB5439" w:rsidRDefault="00E93F58" w:rsidP="00070F64">
            <w:pPr>
              <w:spacing w:before="40" w:after="40" w:line="260" w:lineRule="exact"/>
              <w:jc w:val="both"/>
              <w:rPr>
                <w:rFonts w:ascii="Arial" w:hAnsi="Arial" w:cs="Arial"/>
                <w:b/>
                <w:bCs/>
                <w:sz w:val="18"/>
                <w:szCs w:val="18"/>
              </w:rPr>
            </w:pPr>
          </w:p>
        </w:tc>
      </w:tr>
    </w:tbl>
    <w:p w14:paraId="51F1DCF9" w14:textId="77777777" w:rsidR="00E93F58" w:rsidRPr="00FB5439" w:rsidRDefault="00E93F58" w:rsidP="00817951">
      <w:pPr>
        <w:spacing w:before="60" w:after="20"/>
        <w:rPr>
          <w:rFonts w:ascii="Arial" w:hAnsi="Arial" w:cs="Arial"/>
          <w:i/>
          <w:iCs/>
          <w:sz w:val="20"/>
        </w:rPr>
      </w:pPr>
      <w:r w:rsidRPr="00FB5439">
        <w:rPr>
          <w:rFonts w:ascii="Arial" w:hAnsi="Arial" w:cs="Arial"/>
          <w:b/>
          <w:bCs/>
          <w:i/>
          <w:sz w:val="20"/>
        </w:rPr>
        <w:t>General insurer</w:t>
      </w:r>
      <w:r w:rsidRPr="00FB5439">
        <w:rPr>
          <w:rFonts w:ascii="Arial" w:hAnsi="Arial" w:cs="Arial"/>
          <w:b/>
          <w:bCs/>
          <w:sz w:val="20"/>
        </w:rPr>
        <w:t xml:space="preserve"> </w:t>
      </w:r>
      <w:r w:rsidRPr="00FB5439">
        <w:rPr>
          <w:rFonts w:ascii="Arial" w:hAnsi="Arial" w:cs="Arial"/>
          <w:sz w:val="20"/>
        </w:rPr>
        <w:t xml:space="preserve">is defined in subsection 3(1) of the </w:t>
      </w:r>
      <w:r w:rsidRPr="00FB5439">
        <w:rPr>
          <w:rFonts w:ascii="Arial" w:hAnsi="Arial" w:cs="Arial"/>
          <w:i/>
          <w:iCs/>
          <w:sz w:val="20"/>
        </w:rPr>
        <w:t>Insurance Act 1973.</w:t>
      </w:r>
    </w:p>
    <w:p w14:paraId="46B72A60" w14:textId="77777777" w:rsidR="00E93F58" w:rsidRPr="00FB5439" w:rsidRDefault="00E93F58" w:rsidP="00817951">
      <w:pPr>
        <w:spacing w:after="20"/>
        <w:rPr>
          <w:rFonts w:ascii="Arial" w:hAnsi="Arial" w:cs="Arial"/>
          <w:i/>
          <w:iCs/>
          <w:sz w:val="20"/>
        </w:rPr>
      </w:pPr>
      <w:r w:rsidRPr="00FB5439">
        <w:rPr>
          <w:rFonts w:ascii="Arial" w:hAnsi="Arial" w:cs="Arial"/>
          <w:b/>
          <w:bCs/>
          <w:i/>
          <w:sz w:val="20"/>
        </w:rPr>
        <w:t>Lloyd’s underwriter</w:t>
      </w:r>
      <w:r w:rsidRPr="00FB5439">
        <w:rPr>
          <w:rFonts w:ascii="Arial" w:hAnsi="Arial" w:cs="Arial"/>
          <w:bCs/>
          <w:sz w:val="20"/>
        </w:rPr>
        <w:t xml:space="preserve"> </w:t>
      </w:r>
      <w:r w:rsidRPr="00FB5439">
        <w:rPr>
          <w:rFonts w:ascii="Arial" w:hAnsi="Arial" w:cs="Arial"/>
          <w:sz w:val="20"/>
        </w:rPr>
        <w:t xml:space="preserve">is defined in subsection 3(1) of the </w:t>
      </w:r>
      <w:r w:rsidRPr="00FB5439">
        <w:rPr>
          <w:rFonts w:ascii="Arial" w:hAnsi="Arial" w:cs="Arial"/>
          <w:i/>
          <w:iCs/>
          <w:sz w:val="20"/>
        </w:rPr>
        <w:t>Insurance Act 1973.</w:t>
      </w:r>
    </w:p>
    <w:p w14:paraId="7BE1909E" w14:textId="77777777" w:rsidR="00E93F58" w:rsidRPr="00FB5439" w:rsidRDefault="00E93F58" w:rsidP="00817951">
      <w:pPr>
        <w:spacing w:after="20"/>
        <w:rPr>
          <w:sz w:val="20"/>
        </w:rPr>
      </w:pPr>
      <w:r w:rsidRPr="00FB5439">
        <w:rPr>
          <w:rFonts w:ascii="Arial" w:hAnsi="Arial" w:cs="Arial"/>
          <w:b/>
          <w:bCs/>
          <w:i/>
          <w:sz w:val="20"/>
        </w:rPr>
        <w:t>Unauthorised foreign insurer</w:t>
      </w:r>
      <w:r w:rsidRPr="00FB5439">
        <w:rPr>
          <w:rFonts w:ascii="Arial" w:hAnsi="Arial" w:cs="Arial"/>
          <w:bCs/>
          <w:sz w:val="20"/>
        </w:rPr>
        <w:t xml:space="preserve"> </w:t>
      </w:r>
      <w:r w:rsidRPr="00FB5439">
        <w:rPr>
          <w:rFonts w:ascii="Arial" w:hAnsi="Arial" w:cs="Arial"/>
          <w:sz w:val="20"/>
        </w:rPr>
        <w:t xml:space="preserve">is defined in regulation 4 of the </w:t>
      </w:r>
      <w:r w:rsidRPr="00FB5439">
        <w:rPr>
          <w:rFonts w:ascii="Arial" w:hAnsi="Arial" w:cs="Arial"/>
          <w:i/>
          <w:iCs/>
          <w:sz w:val="20"/>
        </w:rPr>
        <w:t xml:space="preserve">Insurance </w:t>
      </w:r>
      <w:r>
        <w:rPr>
          <w:rFonts w:ascii="Arial" w:hAnsi="Arial" w:cs="Arial"/>
          <w:i/>
          <w:iCs/>
          <w:sz w:val="20"/>
        </w:rPr>
        <w:t>Regulations 2</w:t>
      </w:r>
      <w:r w:rsidRPr="00FB5439">
        <w:rPr>
          <w:rFonts w:ascii="Arial" w:hAnsi="Arial" w:cs="Arial"/>
          <w:i/>
          <w:iCs/>
          <w:sz w:val="20"/>
        </w:rPr>
        <w:t>002.</w:t>
      </w:r>
    </w:p>
    <w:p w14:paraId="1776053F" w14:textId="77777777" w:rsidR="00E93F58" w:rsidRPr="00FB5439" w:rsidRDefault="00E93F58" w:rsidP="00817951">
      <w:pPr>
        <w:pageBreakBefore/>
        <w:spacing w:after="120"/>
        <w:ind w:right="-11"/>
        <w:rPr>
          <w:rFonts w:ascii="Arial" w:hAnsi="Arial" w:cs="Arial"/>
          <w:b/>
          <w:bCs/>
          <w:caps/>
        </w:rPr>
      </w:pPr>
      <w:r w:rsidRPr="00FB5439">
        <w:rPr>
          <w:rFonts w:ascii="Arial" w:hAnsi="Arial" w:cs="Arial"/>
          <w:b/>
          <w:bCs/>
          <w:caps/>
        </w:rPr>
        <w:lastRenderedPageBreak/>
        <w:t>table 2: Transaction level data on intermediated business placed directly, or indirectly through a foreign intermediary, with unauthorised foreign insurers</w:t>
      </w:r>
    </w:p>
    <w:tbl>
      <w:tblPr>
        <w:tblW w:w="5000" w:type="pct"/>
        <w:tblLook w:val="01E0" w:firstRow="1" w:lastRow="1" w:firstColumn="1" w:lastColumn="1" w:noHBand="0" w:noVBand="0"/>
      </w:tblPr>
      <w:tblGrid>
        <w:gridCol w:w="915"/>
        <w:gridCol w:w="581"/>
        <w:gridCol w:w="597"/>
        <w:gridCol w:w="669"/>
        <w:gridCol w:w="764"/>
        <w:gridCol w:w="780"/>
        <w:gridCol w:w="788"/>
        <w:gridCol w:w="796"/>
        <w:gridCol w:w="574"/>
        <w:gridCol w:w="685"/>
        <w:gridCol w:w="891"/>
        <w:gridCol w:w="478"/>
        <w:gridCol w:w="558"/>
        <w:gridCol w:w="717"/>
        <w:gridCol w:w="970"/>
      </w:tblGrid>
      <w:tr w:rsidR="00E93F58" w:rsidRPr="00FB5439" w14:paraId="6B6BB2BC" w14:textId="77777777" w:rsidTr="00B23434">
        <w:trPr>
          <w:trHeight w:val="406"/>
        </w:trPr>
        <w:tc>
          <w:tcPr>
            <w:tcW w:w="389" w:type="pct"/>
            <w:tcBorders>
              <w:top w:val="single" w:sz="4" w:space="0" w:color="auto"/>
              <w:left w:val="single" w:sz="4" w:space="0" w:color="auto"/>
              <w:bottom w:val="single" w:sz="4" w:space="0" w:color="auto"/>
              <w:right w:val="single" w:sz="4" w:space="0" w:color="auto"/>
            </w:tcBorders>
          </w:tcPr>
          <w:p w14:paraId="25B40181"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w:t>
            </w:r>
          </w:p>
        </w:tc>
        <w:tc>
          <w:tcPr>
            <w:tcW w:w="317" w:type="pct"/>
            <w:tcBorders>
              <w:top w:val="single" w:sz="4" w:space="0" w:color="auto"/>
              <w:left w:val="single" w:sz="4" w:space="0" w:color="auto"/>
              <w:bottom w:val="single" w:sz="4" w:space="0" w:color="auto"/>
              <w:right w:val="single" w:sz="4" w:space="0" w:color="auto"/>
            </w:tcBorders>
          </w:tcPr>
          <w:p w14:paraId="05AA6D83"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2</w:t>
            </w:r>
          </w:p>
        </w:tc>
        <w:tc>
          <w:tcPr>
            <w:tcW w:w="315" w:type="pct"/>
            <w:tcBorders>
              <w:top w:val="single" w:sz="4" w:space="0" w:color="auto"/>
              <w:left w:val="single" w:sz="4" w:space="0" w:color="auto"/>
              <w:bottom w:val="single" w:sz="4" w:space="0" w:color="auto"/>
              <w:right w:val="single" w:sz="4" w:space="0" w:color="auto"/>
            </w:tcBorders>
          </w:tcPr>
          <w:p w14:paraId="7637DE2E"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3</w:t>
            </w:r>
          </w:p>
        </w:tc>
        <w:tc>
          <w:tcPr>
            <w:tcW w:w="310" w:type="pct"/>
            <w:tcBorders>
              <w:top w:val="single" w:sz="4" w:space="0" w:color="auto"/>
              <w:left w:val="single" w:sz="4" w:space="0" w:color="auto"/>
              <w:bottom w:val="single" w:sz="4" w:space="0" w:color="auto"/>
              <w:right w:val="single" w:sz="4" w:space="0" w:color="auto"/>
            </w:tcBorders>
          </w:tcPr>
          <w:p w14:paraId="58536F43"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4</w:t>
            </w:r>
          </w:p>
        </w:tc>
        <w:tc>
          <w:tcPr>
            <w:tcW w:w="322" w:type="pct"/>
            <w:tcBorders>
              <w:top w:val="single" w:sz="4" w:space="0" w:color="auto"/>
              <w:left w:val="single" w:sz="4" w:space="0" w:color="auto"/>
              <w:bottom w:val="single" w:sz="4" w:space="0" w:color="auto"/>
              <w:right w:val="single" w:sz="4" w:space="0" w:color="auto"/>
            </w:tcBorders>
          </w:tcPr>
          <w:p w14:paraId="13E0548E"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5</w:t>
            </w:r>
          </w:p>
        </w:tc>
        <w:tc>
          <w:tcPr>
            <w:tcW w:w="353" w:type="pct"/>
            <w:tcBorders>
              <w:top w:val="single" w:sz="4" w:space="0" w:color="auto"/>
              <w:left w:val="single" w:sz="4" w:space="0" w:color="auto"/>
              <w:bottom w:val="single" w:sz="4" w:space="0" w:color="auto"/>
              <w:right w:val="single" w:sz="4" w:space="0" w:color="auto"/>
            </w:tcBorders>
          </w:tcPr>
          <w:p w14:paraId="20187EB0"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6</w:t>
            </w:r>
          </w:p>
        </w:tc>
        <w:tc>
          <w:tcPr>
            <w:tcW w:w="333" w:type="pct"/>
            <w:tcBorders>
              <w:top w:val="single" w:sz="4" w:space="0" w:color="auto"/>
              <w:left w:val="single" w:sz="4" w:space="0" w:color="auto"/>
              <w:bottom w:val="single" w:sz="4" w:space="0" w:color="auto"/>
              <w:right w:val="single" w:sz="4" w:space="0" w:color="auto"/>
            </w:tcBorders>
          </w:tcPr>
          <w:p w14:paraId="66C0FB21"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7</w:t>
            </w:r>
          </w:p>
        </w:tc>
        <w:tc>
          <w:tcPr>
            <w:tcW w:w="337" w:type="pct"/>
            <w:tcBorders>
              <w:top w:val="single" w:sz="4" w:space="0" w:color="auto"/>
              <w:left w:val="single" w:sz="4" w:space="0" w:color="auto"/>
              <w:bottom w:val="single" w:sz="4" w:space="0" w:color="auto"/>
              <w:right w:val="single" w:sz="4" w:space="0" w:color="auto"/>
            </w:tcBorders>
          </w:tcPr>
          <w:p w14:paraId="146F0EFC"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8</w:t>
            </w:r>
          </w:p>
        </w:tc>
        <w:tc>
          <w:tcPr>
            <w:tcW w:w="328" w:type="pct"/>
            <w:tcBorders>
              <w:top w:val="single" w:sz="4" w:space="0" w:color="auto"/>
              <w:left w:val="single" w:sz="4" w:space="0" w:color="auto"/>
              <w:bottom w:val="single" w:sz="4" w:space="0" w:color="auto"/>
              <w:right w:val="single" w:sz="4" w:space="0" w:color="auto"/>
            </w:tcBorders>
          </w:tcPr>
          <w:p w14:paraId="039EA5E7"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9</w:t>
            </w:r>
          </w:p>
        </w:tc>
        <w:tc>
          <w:tcPr>
            <w:tcW w:w="344" w:type="pct"/>
            <w:tcBorders>
              <w:top w:val="single" w:sz="4" w:space="0" w:color="auto"/>
              <w:left w:val="single" w:sz="4" w:space="0" w:color="auto"/>
              <w:bottom w:val="single" w:sz="4" w:space="0" w:color="auto"/>
              <w:right w:val="single" w:sz="4" w:space="0" w:color="auto"/>
            </w:tcBorders>
          </w:tcPr>
          <w:p w14:paraId="784F45EA"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10</w:t>
            </w:r>
          </w:p>
        </w:tc>
        <w:tc>
          <w:tcPr>
            <w:tcW w:w="379" w:type="pct"/>
            <w:tcBorders>
              <w:top w:val="single" w:sz="4" w:space="0" w:color="auto"/>
              <w:left w:val="single" w:sz="4" w:space="0" w:color="auto"/>
              <w:bottom w:val="single" w:sz="4" w:space="0" w:color="auto"/>
              <w:right w:val="single" w:sz="4" w:space="0" w:color="auto"/>
            </w:tcBorders>
          </w:tcPr>
          <w:p w14:paraId="143A084A"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11</w:t>
            </w:r>
          </w:p>
        </w:tc>
        <w:tc>
          <w:tcPr>
            <w:tcW w:w="270" w:type="pct"/>
            <w:tcBorders>
              <w:top w:val="single" w:sz="4" w:space="0" w:color="auto"/>
              <w:left w:val="single" w:sz="4" w:space="0" w:color="auto"/>
              <w:bottom w:val="single" w:sz="4" w:space="0" w:color="auto"/>
              <w:right w:val="single" w:sz="4" w:space="0" w:color="auto"/>
            </w:tcBorders>
          </w:tcPr>
          <w:p w14:paraId="115CB01D"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12</w:t>
            </w:r>
          </w:p>
        </w:tc>
        <w:tc>
          <w:tcPr>
            <w:tcW w:w="287" w:type="pct"/>
            <w:tcBorders>
              <w:top w:val="single" w:sz="4" w:space="0" w:color="auto"/>
              <w:left w:val="single" w:sz="4" w:space="0" w:color="auto"/>
              <w:bottom w:val="single" w:sz="4" w:space="0" w:color="auto"/>
              <w:right w:val="single" w:sz="4" w:space="0" w:color="auto"/>
            </w:tcBorders>
          </w:tcPr>
          <w:p w14:paraId="2BDD08FA"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13</w:t>
            </w:r>
          </w:p>
        </w:tc>
        <w:tc>
          <w:tcPr>
            <w:tcW w:w="302" w:type="pct"/>
            <w:tcBorders>
              <w:top w:val="single" w:sz="4" w:space="0" w:color="auto"/>
              <w:left w:val="single" w:sz="4" w:space="0" w:color="auto"/>
              <w:bottom w:val="single" w:sz="4" w:space="0" w:color="auto"/>
              <w:right w:val="single" w:sz="4" w:space="0" w:color="auto"/>
            </w:tcBorders>
          </w:tcPr>
          <w:p w14:paraId="59AE1A63"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14</w:t>
            </w:r>
          </w:p>
        </w:tc>
        <w:tc>
          <w:tcPr>
            <w:tcW w:w="414" w:type="pct"/>
            <w:tcBorders>
              <w:top w:val="single" w:sz="4" w:space="0" w:color="auto"/>
              <w:left w:val="single" w:sz="4" w:space="0" w:color="auto"/>
              <w:bottom w:val="single" w:sz="4" w:space="0" w:color="auto"/>
              <w:right w:val="single" w:sz="4" w:space="0" w:color="auto"/>
            </w:tcBorders>
          </w:tcPr>
          <w:p w14:paraId="07373151" w14:textId="77777777" w:rsidR="00E93F58" w:rsidRPr="00FB5439" w:rsidRDefault="00E93F58" w:rsidP="00070F64">
            <w:pPr>
              <w:spacing w:before="40" w:after="40" w:line="260" w:lineRule="exact"/>
              <w:jc w:val="center"/>
              <w:rPr>
                <w:rFonts w:ascii="Arial" w:hAnsi="Arial" w:cs="Arial"/>
                <w:sz w:val="18"/>
                <w:szCs w:val="18"/>
              </w:rPr>
            </w:pPr>
            <w:r w:rsidRPr="00FB5439">
              <w:rPr>
                <w:rFonts w:ascii="Arial" w:hAnsi="Arial" w:cs="Arial"/>
                <w:sz w:val="18"/>
                <w:szCs w:val="18"/>
              </w:rPr>
              <w:t>15</w:t>
            </w:r>
          </w:p>
        </w:tc>
      </w:tr>
      <w:tr w:rsidR="00E93F58" w:rsidRPr="00FB5439" w14:paraId="30A7F54D" w14:textId="77777777" w:rsidTr="00B23434">
        <w:trPr>
          <w:trHeight w:val="70"/>
        </w:trPr>
        <w:tc>
          <w:tcPr>
            <w:tcW w:w="389" w:type="pct"/>
            <w:tcBorders>
              <w:top w:val="single" w:sz="4" w:space="0" w:color="auto"/>
              <w:left w:val="single" w:sz="4" w:space="0" w:color="auto"/>
              <w:bottom w:val="single" w:sz="4" w:space="0" w:color="auto"/>
              <w:right w:val="single" w:sz="4" w:space="0" w:color="auto"/>
            </w:tcBorders>
          </w:tcPr>
          <w:p w14:paraId="1DB4CCFC" w14:textId="77777777" w:rsidR="00E93F58" w:rsidRPr="00FB5439" w:rsidRDefault="00E93F58" w:rsidP="00070F64">
            <w:pPr>
              <w:spacing w:before="40" w:line="260" w:lineRule="exact"/>
              <w:jc w:val="center"/>
              <w:rPr>
                <w:rFonts w:ascii="Arial" w:hAnsi="Arial" w:cs="Arial"/>
                <w:sz w:val="17"/>
                <w:szCs w:val="17"/>
              </w:rPr>
            </w:pPr>
            <w:r w:rsidRPr="00FB5439">
              <w:rPr>
                <w:rFonts w:ascii="Arial" w:hAnsi="Arial" w:cs="Arial"/>
                <w:sz w:val="17"/>
                <w:szCs w:val="17"/>
              </w:rPr>
              <w:t>Policy transaction type</w:t>
            </w:r>
          </w:p>
        </w:tc>
        <w:tc>
          <w:tcPr>
            <w:tcW w:w="317" w:type="pct"/>
            <w:tcBorders>
              <w:top w:val="single" w:sz="4" w:space="0" w:color="auto"/>
              <w:left w:val="single" w:sz="4" w:space="0" w:color="auto"/>
              <w:bottom w:val="single" w:sz="4" w:space="0" w:color="auto"/>
              <w:right w:val="single" w:sz="4" w:space="0" w:color="auto"/>
            </w:tcBorders>
          </w:tcPr>
          <w:p w14:paraId="3C28AE99"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Client code</w:t>
            </w:r>
          </w:p>
        </w:tc>
        <w:tc>
          <w:tcPr>
            <w:tcW w:w="315" w:type="pct"/>
            <w:tcBorders>
              <w:top w:val="single" w:sz="4" w:space="0" w:color="auto"/>
              <w:left w:val="single" w:sz="4" w:space="0" w:color="auto"/>
              <w:bottom w:val="single" w:sz="4" w:space="0" w:color="auto"/>
              <w:right w:val="single" w:sz="4" w:space="0" w:color="auto"/>
            </w:tcBorders>
          </w:tcPr>
          <w:p w14:paraId="7FBEEF42"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Policy code</w:t>
            </w:r>
          </w:p>
        </w:tc>
        <w:tc>
          <w:tcPr>
            <w:tcW w:w="310" w:type="pct"/>
            <w:tcBorders>
              <w:top w:val="single" w:sz="4" w:space="0" w:color="auto"/>
              <w:left w:val="single" w:sz="4" w:space="0" w:color="auto"/>
              <w:bottom w:val="single" w:sz="4" w:space="0" w:color="auto"/>
              <w:right w:val="single" w:sz="4" w:space="0" w:color="auto"/>
            </w:tcBorders>
          </w:tcPr>
          <w:p w14:paraId="5AEDA259"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Invoice date</w:t>
            </w:r>
          </w:p>
        </w:tc>
        <w:tc>
          <w:tcPr>
            <w:tcW w:w="322" w:type="pct"/>
            <w:tcBorders>
              <w:top w:val="single" w:sz="4" w:space="0" w:color="auto"/>
              <w:left w:val="single" w:sz="4" w:space="0" w:color="auto"/>
              <w:bottom w:val="single" w:sz="4" w:space="0" w:color="auto"/>
              <w:right w:val="single" w:sz="4" w:space="0" w:color="auto"/>
            </w:tcBorders>
          </w:tcPr>
          <w:p w14:paraId="697A1568" w14:textId="77777777" w:rsidR="00E93F58" w:rsidRPr="00FB5439" w:rsidRDefault="00E93F58" w:rsidP="00070F64">
            <w:pPr>
              <w:spacing w:line="260" w:lineRule="exact"/>
              <w:jc w:val="center"/>
              <w:rPr>
                <w:rFonts w:ascii="Arial" w:hAnsi="Arial" w:cs="Arial"/>
                <w:sz w:val="17"/>
                <w:szCs w:val="17"/>
              </w:rPr>
            </w:pPr>
            <w:r w:rsidRPr="00FB5439">
              <w:rPr>
                <w:rFonts w:ascii="Arial" w:hAnsi="Arial" w:cs="Arial"/>
                <w:sz w:val="17"/>
                <w:szCs w:val="17"/>
              </w:rPr>
              <w:t>Effective date</w:t>
            </w:r>
          </w:p>
        </w:tc>
        <w:tc>
          <w:tcPr>
            <w:tcW w:w="353" w:type="pct"/>
            <w:tcBorders>
              <w:top w:val="single" w:sz="4" w:space="0" w:color="auto"/>
              <w:left w:val="single" w:sz="4" w:space="0" w:color="auto"/>
              <w:bottom w:val="single" w:sz="4" w:space="0" w:color="auto"/>
              <w:right w:val="single" w:sz="4" w:space="0" w:color="auto"/>
            </w:tcBorders>
          </w:tcPr>
          <w:p w14:paraId="0B943843"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APRA class of business</w:t>
            </w:r>
          </w:p>
        </w:tc>
        <w:tc>
          <w:tcPr>
            <w:tcW w:w="333" w:type="pct"/>
            <w:tcBorders>
              <w:top w:val="single" w:sz="4" w:space="0" w:color="auto"/>
              <w:left w:val="single" w:sz="4" w:space="0" w:color="auto"/>
              <w:bottom w:val="single" w:sz="4" w:space="0" w:color="auto"/>
              <w:right w:val="single" w:sz="4" w:space="0" w:color="auto"/>
            </w:tcBorders>
          </w:tcPr>
          <w:p w14:paraId="503F1105"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 xml:space="preserve">Premium </w:t>
            </w:r>
          </w:p>
        </w:tc>
        <w:tc>
          <w:tcPr>
            <w:tcW w:w="337" w:type="pct"/>
            <w:tcBorders>
              <w:top w:val="single" w:sz="4" w:space="0" w:color="auto"/>
              <w:left w:val="single" w:sz="4" w:space="0" w:color="auto"/>
              <w:bottom w:val="single" w:sz="4" w:space="0" w:color="auto"/>
              <w:right w:val="single" w:sz="4" w:space="0" w:color="auto"/>
            </w:tcBorders>
          </w:tcPr>
          <w:p w14:paraId="1E7CCCE0"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Currency of premium</w:t>
            </w:r>
          </w:p>
        </w:tc>
        <w:tc>
          <w:tcPr>
            <w:tcW w:w="328" w:type="pct"/>
            <w:tcBorders>
              <w:top w:val="single" w:sz="4" w:space="0" w:color="auto"/>
              <w:left w:val="single" w:sz="4" w:space="0" w:color="auto"/>
              <w:bottom w:val="single" w:sz="4" w:space="0" w:color="auto"/>
              <w:right w:val="single" w:sz="4" w:space="0" w:color="auto"/>
            </w:tcBorders>
          </w:tcPr>
          <w:p w14:paraId="34CC81F8"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UFI name</w:t>
            </w:r>
          </w:p>
        </w:tc>
        <w:tc>
          <w:tcPr>
            <w:tcW w:w="344" w:type="pct"/>
            <w:tcBorders>
              <w:top w:val="single" w:sz="4" w:space="0" w:color="auto"/>
              <w:left w:val="single" w:sz="4" w:space="0" w:color="auto"/>
              <w:bottom w:val="single" w:sz="4" w:space="0" w:color="auto"/>
              <w:right w:val="single" w:sz="4" w:space="0" w:color="auto"/>
            </w:tcBorders>
          </w:tcPr>
          <w:p w14:paraId="24A2E3B5"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UFI country code</w:t>
            </w:r>
          </w:p>
        </w:tc>
        <w:tc>
          <w:tcPr>
            <w:tcW w:w="379" w:type="pct"/>
            <w:tcBorders>
              <w:top w:val="single" w:sz="4" w:space="0" w:color="auto"/>
              <w:left w:val="single" w:sz="4" w:space="0" w:color="auto"/>
              <w:bottom w:val="single" w:sz="4" w:space="0" w:color="auto"/>
              <w:right w:val="single" w:sz="4" w:space="0" w:color="auto"/>
            </w:tcBorders>
          </w:tcPr>
          <w:p w14:paraId="18065DB7"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Exemption type</w:t>
            </w:r>
          </w:p>
        </w:tc>
        <w:tc>
          <w:tcPr>
            <w:tcW w:w="270" w:type="pct"/>
            <w:tcBorders>
              <w:top w:val="single" w:sz="4" w:space="0" w:color="auto"/>
              <w:left w:val="single" w:sz="4" w:space="0" w:color="auto"/>
              <w:bottom w:val="single" w:sz="4" w:space="0" w:color="auto"/>
              <w:right w:val="single" w:sz="4" w:space="0" w:color="auto"/>
            </w:tcBorders>
          </w:tcPr>
          <w:p w14:paraId="4745E97B"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HVI limb</w:t>
            </w:r>
          </w:p>
        </w:tc>
        <w:tc>
          <w:tcPr>
            <w:tcW w:w="287" w:type="pct"/>
            <w:tcBorders>
              <w:top w:val="single" w:sz="4" w:space="0" w:color="auto"/>
              <w:left w:val="single" w:sz="4" w:space="0" w:color="auto"/>
              <w:bottom w:val="single" w:sz="4" w:space="0" w:color="auto"/>
              <w:right w:val="single" w:sz="4" w:space="0" w:color="auto"/>
            </w:tcBorders>
          </w:tcPr>
          <w:p w14:paraId="601AEFC5"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HVI value (#)</w:t>
            </w:r>
          </w:p>
        </w:tc>
        <w:tc>
          <w:tcPr>
            <w:tcW w:w="302" w:type="pct"/>
            <w:tcBorders>
              <w:top w:val="single" w:sz="4" w:space="0" w:color="auto"/>
              <w:left w:val="single" w:sz="4" w:space="0" w:color="auto"/>
              <w:bottom w:val="single" w:sz="4" w:space="0" w:color="auto"/>
              <w:right w:val="single" w:sz="4" w:space="0" w:color="auto"/>
            </w:tcBorders>
          </w:tcPr>
          <w:p w14:paraId="046D3B7A"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Atypical risk class</w:t>
            </w:r>
          </w:p>
        </w:tc>
        <w:tc>
          <w:tcPr>
            <w:tcW w:w="414" w:type="pct"/>
            <w:tcBorders>
              <w:top w:val="single" w:sz="4" w:space="0" w:color="auto"/>
              <w:left w:val="single" w:sz="4" w:space="0" w:color="auto"/>
              <w:bottom w:val="single" w:sz="4" w:space="0" w:color="auto"/>
              <w:right w:val="single" w:sz="4" w:space="0" w:color="auto"/>
            </w:tcBorders>
          </w:tcPr>
          <w:p w14:paraId="6D8F61CD" w14:textId="77777777" w:rsidR="00E93F58" w:rsidRPr="00FB5439" w:rsidRDefault="00E93F58" w:rsidP="00070F64">
            <w:pPr>
              <w:spacing w:before="40" w:after="40" w:line="260" w:lineRule="exact"/>
              <w:jc w:val="center"/>
              <w:rPr>
                <w:rFonts w:ascii="Arial" w:hAnsi="Arial" w:cs="Arial"/>
                <w:sz w:val="17"/>
                <w:szCs w:val="17"/>
              </w:rPr>
            </w:pPr>
            <w:r w:rsidRPr="00FB5439">
              <w:rPr>
                <w:rFonts w:ascii="Arial" w:hAnsi="Arial" w:cs="Arial"/>
                <w:sz w:val="17"/>
                <w:szCs w:val="17"/>
              </w:rPr>
              <w:t>Customised reason</w:t>
            </w:r>
          </w:p>
        </w:tc>
      </w:tr>
      <w:tr w:rsidR="00E93F58" w:rsidRPr="00FB5439" w14:paraId="52943E70" w14:textId="77777777" w:rsidTr="00B23434">
        <w:trPr>
          <w:trHeight w:val="357"/>
        </w:trPr>
        <w:tc>
          <w:tcPr>
            <w:tcW w:w="389" w:type="pct"/>
            <w:tcBorders>
              <w:top w:val="single" w:sz="4" w:space="0" w:color="auto"/>
              <w:left w:val="single" w:sz="4" w:space="0" w:color="auto"/>
              <w:bottom w:val="single" w:sz="4" w:space="0" w:color="auto"/>
              <w:right w:val="single" w:sz="4" w:space="0" w:color="auto"/>
            </w:tcBorders>
          </w:tcPr>
          <w:p w14:paraId="367A6051" w14:textId="77777777" w:rsidR="00E93F58" w:rsidRPr="00FB5439" w:rsidRDefault="00E93F58"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14:paraId="0FCDD8FF" w14:textId="77777777" w:rsidR="00E93F58" w:rsidRPr="00FB5439" w:rsidRDefault="00E93F58"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14:paraId="670A72BF" w14:textId="77777777" w:rsidR="00E93F58" w:rsidRPr="00FB5439" w:rsidRDefault="00E93F58"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14:paraId="16E0E780" w14:textId="77777777" w:rsidR="00E93F58" w:rsidRPr="00FB5439" w:rsidRDefault="00E93F58"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14:paraId="4D1DD25F" w14:textId="77777777" w:rsidR="00E93F58" w:rsidRPr="00FB5439" w:rsidRDefault="00E93F58"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14:paraId="0C1C5B2F" w14:textId="77777777" w:rsidR="00E93F58" w:rsidRPr="00FB5439" w:rsidRDefault="00E93F58"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14:paraId="36E2D74B" w14:textId="77777777" w:rsidR="00E93F58" w:rsidRPr="00FB5439" w:rsidRDefault="00E93F58"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14:paraId="376A1B15" w14:textId="77777777" w:rsidR="00E93F58" w:rsidRPr="00FB5439" w:rsidRDefault="00E93F58"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14:paraId="7C9DCF5D" w14:textId="77777777" w:rsidR="00E93F58" w:rsidRPr="00FB5439" w:rsidRDefault="00E93F58"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14:paraId="4D2921B7" w14:textId="77777777" w:rsidR="00E93F58" w:rsidRPr="00FB5439" w:rsidRDefault="00E93F58"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14:paraId="3DFF37EE" w14:textId="77777777" w:rsidR="00E93F58" w:rsidRPr="00FB5439" w:rsidRDefault="00E93F58"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14:paraId="0311861F" w14:textId="77777777" w:rsidR="00E93F58" w:rsidRPr="00FB5439" w:rsidRDefault="00E93F58"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14:paraId="525312E0" w14:textId="77777777" w:rsidR="00E93F58" w:rsidRPr="00FB5439" w:rsidRDefault="00E93F58"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14:paraId="5807FD62" w14:textId="77777777" w:rsidR="00E93F58" w:rsidRPr="00FB5439" w:rsidRDefault="00E93F58"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14:paraId="4590798F" w14:textId="77777777" w:rsidR="00E93F58" w:rsidRPr="00FB5439" w:rsidRDefault="00E93F58" w:rsidP="00070F64">
            <w:pPr>
              <w:spacing w:before="40" w:after="40" w:line="260" w:lineRule="exact"/>
              <w:jc w:val="center"/>
              <w:rPr>
                <w:rFonts w:ascii="Arial" w:hAnsi="Arial" w:cs="Arial"/>
                <w:sz w:val="16"/>
                <w:szCs w:val="16"/>
              </w:rPr>
            </w:pPr>
          </w:p>
        </w:tc>
      </w:tr>
      <w:tr w:rsidR="00E93F58" w:rsidRPr="00FB5439" w14:paraId="35E0F32A" w14:textId="77777777" w:rsidTr="00B23434">
        <w:trPr>
          <w:trHeight w:val="354"/>
        </w:trPr>
        <w:tc>
          <w:tcPr>
            <w:tcW w:w="389" w:type="pct"/>
            <w:tcBorders>
              <w:top w:val="single" w:sz="4" w:space="0" w:color="auto"/>
              <w:left w:val="single" w:sz="4" w:space="0" w:color="auto"/>
              <w:bottom w:val="single" w:sz="4" w:space="0" w:color="auto"/>
              <w:right w:val="single" w:sz="4" w:space="0" w:color="auto"/>
            </w:tcBorders>
          </w:tcPr>
          <w:p w14:paraId="1C2C2036" w14:textId="77777777" w:rsidR="00E93F58" w:rsidRPr="00FB5439" w:rsidRDefault="00E93F58"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14:paraId="63DC8311" w14:textId="77777777" w:rsidR="00E93F58" w:rsidRPr="00FB5439" w:rsidRDefault="00E93F58"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14:paraId="1D9D2002" w14:textId="77777777" w:rsidR="00E93F58" w:rsidRPr="00FB5439" w:rsidRDefault="00E93F58"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14:paraId="2FE1B7BB" w14:textId="77777777" w:rsidR="00E93F58" w:rsidRPr="00FB5439" w:rsidRDefault="00E93F58"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14:paraId="015253F5" w14:textId="77777777" w:rsidR="00E93F58" w:rsidRPr="00FB5439" w:rsidRDefault="00E93F58"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14:paraId="4E6B9B5F" w14:textId="77777777" w:rsidR="00E93F58" w:rsidRPr="00FB5439" w:rsidRDefault="00E93F58"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14:paraId="11345C4A" w14:textId="77777777" w:rsidR="00E93F58" w:rsidRPr="00FB5439" w:rsidRDefault="00E93F58"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14:paraId="20C53A7B" w14:textId="77777777" w:rsidR="00E93F58" w:rsidRPr="00FB5439" w:rsidRDefault="00E93F58"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14:paraId="496151FB" w14:textId="77777777" w:rsidR="00E93F58" w:rsidRPr="00FB5439" w:rsidRDefault="00E93F58"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14:paraId="3592E718" w14:textId="77777777" w:rsidR="00E93F58" w:rsidRPr="00FB5439" w:rsidRDefault="00E93F58"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14:paraId="5FB8668C" w14:textId="77777777" w:rsidR="00E93F58" w:rsidRPr="00FB5439" w:rsidRDefault="00E93F58"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14:paraId="4042F91A" w14:textId="77777777" w:rsidR="00E93F58" w:rsidRPr="00FB5439" w:rsidRDefault="00E93F58"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14:paraId="645B3807" w14:textId="77777777" w:rsidR="00E93F58" w:rsidRPr="00FB5439" w:rsidRDefault="00E93F58"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14:paraId="1A815FBA" w14:textId="77777777" w:rsidR="00E93F58" w:rsidRPr="00FB5439" w:rsidRDefault="00E93F58"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14:paraId="70422DB9" w14:textId="77777777" w:rsidR="00E93F58" w:rsidRPr="00FB5439" w:rsidRDefault="00E93F58" w:rsidP="00070F64">
            <w:pPr>
              <w:spacing w:before="40" w:after="40" w:line="260" w:lineRule="exact"/>
              <w:jc w:val="center"/>
              <w:rPr>
                <w:rFonts w:ascii="Arial" w:hAnsi="Arial" w:cs="Arial"/>
                <w:sz w:val="16"/>
                <w:szCs w:val="16"/>
              </w:rPr>
            </w:pPr>
          </w:p>
        </w:tc>
      </w:tr>
      <w:tr w:rsidR="00E93F58" w:rsidRPr="00FB5439" w14:paraId="205AEB0F" w14:textId="77777777" w:rsidTr="00B23434">
        <w:trPr>
          <w:trHeight w:val="335"/>
        </w:trPr>
        <w:tc>
          <w:tcPr>
            <w:tcW w:w="389" w:type="pct"/>
            <w:tcBorders>
              <w:top w:val="single" w:sz="4" w:space="0" w:color="auto"/>
              <w:left w:val="single" w:sz="4" w:space="0" w:color="auto"/>
              <w:bottom w:val="single" w:sz="4" w:space="0" w:color="auto"/>
              <w:right w:val="single" w:sz="4" w:space="0" w:color="auto"/>
            </w:tcBorders>
          </w:tcPr>
          <w:p w14:paraId="11DD6DE6" w14:textId="77777777" w:rsidR="00E93F58" w:rsidRPr="00FB5439" w:rsidRDefault="00E93F58"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14:paraId="76CDC9A6" w14:textId="77777777" w:rsidR="00E93F58" w:rsidRPr="00FB5439" w:rsidRDefault="00E93F58"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14:paraId="4FBDCEE1" w14:textId="77777777" w:rsidR="00E93F58" w:rsidRPr="00FB5439" w:rsidRDefault="00E93F58"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14:paraId="3FB66508" w14:textId="77777777" w:rsidR="00E93F58" w:rsidRPr="00FB5439" w:rsidRDefault="00E93F58"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14:paraId="534EAED5" w14:textId="77777777" w:rsidR="00E93F58" w:rsidRPr="00FB5439" w:rsidRDefault="00E93F58"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14:paraId="0C9613CC" w14:textId="77777777" w:rsidR="00E93F58" w:rsidRPr="00FB5439" w:rsidRDefault="00E93F58"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14:paraId="74823A98" w14:textId="77777777" w:rsidR="00E93F58" w:rsidRPr="00FB5439" w:rsidRDefault="00E93F58"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14:paraId="430ECFFB" w14:textId="77777777" w:rsidR="00E93F58" w:rsidRPr="00FB5439" w:rsidRDefault="00E93F58"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14:paraId="2A4DA647" w14:textId="77777777" w:rsidR="00E93F58" w:rsidRPr="00FB5439" w:rsidRDefault="00E93F58"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14:paraId="7FF0C050" w14:textId="77777777" w:rsidR="00E93F58" w:rsidRPr="00FB5439" w:rsidRDefault="00E93F58"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14:paraId="520ECB0D" w14:textId="77777777" w:rsidR="00E93F58" w:rsidRPr="00FB5439" w:rsidRDefault="00E93F58"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14:paraId="1C9093A8" w14:textId="77777777" w:rsidR="00E93F58" w:rsidRPr="00FB5439" w:rsidRDefault="00E93F58"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14:paraId="717D5704" w14:textId="77777777" w:rsidR="00E93F58" w:rsidRPr="00FB5439" w:rsidRDefault="00E93F58"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14:paraId="70801D20" w14:textId="77777777" w:rsidR="00E93F58" w:rsidRPr="00FB5439" w:rsidRDefault="00E93F58"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14:paraId="7DEA4B62" w14:textId="77777777" w:rsidR="00E93F58" w:rsidRPr="00FB5439" w:rsidRDefault="00E93F58" w:rsidP="00070F64">
            <w:pPr>
              <w:spacing w:before="40" w:after="40" w:line="260" w:lineRule="exact"/>
              <w:jc w:val="center"/>
              <w:rPr>
                <w:rFonts w:ascii="Arial" w:hAnsi="Arial" w:cs="Arial"/>
                <w:sz w:val="16"/>
                <w:szCs w:val="16"/>
              </w:rPr>
            </w:pPr>
          </w:p>
        </w:tc>
      </w:tr>
      <w:tr w:rsidR="00E93F58" w:rsidRPr="00FB5439" w14:paraId="3613EF89" w14:textId="77777777" w:rsidTr="00B23434">
        <w:trPr>
          <w:trHeight w:val="345"/>
        </w:trPr>
        <w:tc>
          <w:tcPr>
            <w:tcW w:w="389" w:type="pct"/>
            <w:tcBorders>
              <w:top w:val="single" w:sz="4" w:space="0" w:color="auto"/>
              <w:left w:val="single" w:sz="4" w:space="0" w:color="auto"/>
              <w:bottom w:val="single" w:sz="4" w:space="0" w:color="auto"/>
              <w:right w:val="single" w:sz="4" w:space="0" w:color="auto"/>
            </w:tcBorders>
          </w:tcPr>
          <w:p w14:paraId="5AF86D0C" w14:textId="77777777" w:rsidR="00E93F58" w:rsidRPr="00FB5439" w:rsidRDefault="00E93F58"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14:paraId="077C53F5" w14:textId="77777777" w:rsidR="00E93F58" w:rsidRPr="00FB5439" w:rsidRDefault="00E93F58"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14:paraId="47AD9560" w14:textId="77777777" w:rsidR="00E93F58" w:rsidRPr="00FB5439" w:rsidRDefault="00E93F58"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4866A1" w14:textId="77777777" w:rsidR="00E93F58" w:rsidRPr="00FB5439" w:rsidRDefault="00E93F58"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14:paraId="199617C4" w14:textId="77777777" w:rsidR="00E93F58" w:rsidRPr="00FB5439" w:rsidRDefault="00E93F58"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14:paraId="2E1A758C" w14:textId="77777777" w:rsidR="00E93F58" w:rsidRPr="00FB5439" w:rsidRDefault="00E93F58"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14:paraId="481C504E" w14:textId="77777777" w:rsidR="00E93F58" w:rsidRPr="00FB5439" w:rsidRDefault="00E93F58"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14:paraId="01418F04" w14:textId="77777777" w:rsidR="00E93F58" w:rsidRPr="00FB5439" w:rsidRDefault="00E93F58"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14:paraId="4B18354A" w14:textId="77777777" w:rsidR="00E93F58" w:rsidRPr="00FB5439" w:rsidRDefault="00E93F58"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14:paraId="7AC1317F" w14:textId="77777777" w:rsidR="00E93F58" w:rsidRPr="00FB5439" w:rsidRDefault="00E93F58"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14:paraId="6094C3BB" w14:textId="77777777" w:rsidR="00E93F58" w:rsidRPr="00FB5439" w:rsidRDefault="00E93F58"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14:paraId="4625BAAB" w14:textId="77777777" w:rsidR="00E93F58" w:rsidRPr="00FB5439" w:rsidRDefault="00E93F58"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14:paraId="307714E1" w14:textId="77777777" w:rsidR="00E93F58" w:rsidRPr="00FB5439" w:rsidRDefault="00E93F58"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14:paraId="6368BEA6" w14:textId="77777777" w:rsidR="00E93F58" w:rsidRPr="00FB5439" w:rsidRDefault="00E93F58"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14:paraId="4466C803" w14:textId="77777777" w:rsidR="00E93F58" w:rsidRPr="00FB5439" w:rsidRDefault="00E93F58" w:rsidP="00070F64">
            <w:pPr>
              <w:spacing w:before="40" w:after="40" w:line="260" w:lineRule="exact"/>
              <w:jc w:val="center"/>
              <w:rPr>
                <w:rFonts w:ascii="Arial" w:hAnsi="Arial" w:cs="Arial"/>
                <w:sz w:val="16"/>
                <w:szCs w:val="16"/>
              </w:rPr>
            </w:pPr>
          </w:p>
        </w:tc>
      </w:tr>
    </w:tbl>
    <w:p w14:paraId="35D92972" w14:textId="77777777" w:rsidR="00E93F58" w:rsidRPr="00FB5439" w:rsidRDefault="00E93F58" w:rsidP="00817951">
      <w:pPr>
        <w:pStyle w:val="Note"/>
        <w:ind w:left="0"/>
        <w:rPr>
          <w:rFonts w:ascii="Arial" w:hAnsi="Arial" w:cs="Arial"/>
          <w:sz w:val="18"/>
          <w:szCs w:val="18"/>
        </w:rPr>
      </w:pPr>
      <w:r w:rsidRPr="00FB5439">
        <w:rPr>
          <w:rFonts w:ascii="Arial" w:hAnsi="Arial" w:cs="Arial"/>
          <w:bCs/>
          <w:i/>
          <w:sz w:val="18"/>
          <w:szCs w:val="18"/>
        </w:rPr>
        <w:t>Note</w:t>
      </w:r>
      <w:r w:rsidRPr="00FB5439">
        <w:rPr>
          <w:rFonts w:ascii="Arial" w:hAnsi="Arial" w:cs="Arial"/>
          <w:i/>
          <w:sz w:val="18"/>
          <w:szCs w:val="18"/>
        </w:rPr>
        <w:t>   </w:t>
      </w:r>
      <w:r w:rsidRPr="00FB5439">
        <w:rPr>
          <w:rFonts w:ascii="Arial" w:hAnsi="Arial" w:cs="Arial"/>
          <w:sz w:val="18"/>
          <w:szCs w:val="18"/>
        </w:rPr>
        <w:t xml:space="preserve">It is an offence under section 137.1 of the </w:t>
      </w:r>
      <w:r w:rsidRPr="00FB5439">
        <w:rPr>
          <w:rFonts w:ascii="Arial" w:hAnsi="Arial" w:cs="Arial"/>
          <w:i/>
          <w:sz w:val="18"/>
          <w:szCs w:val="18"/>
        </w:rPr>
        <w:t>Criminal Code Act 1995</w:t>
      </w:r>
      <w:r w:rsidRPr="00FB5439">
        <w:rPr>
          <w:rFonts w:ascii="Arial" w:hAnsi="Arial" w:cs="Arial"/>
          <w:sz w:val="18"/>
          <w:szCs w:val="18"/>
        </w:rPr>
        <w:t xml:space="preserve"> to provide false or misleading information to a Commonwealth entity. The Australian Prudential Regulation Authority is a Commonwealth entity.</w:t>
      </w:r>
    </w:p>
    <w:p w14:paraId="6717C99C" w14:textId="77777777" w:rsidR="00E93F58" w:rsidRPr="00FB5439" w:rsidRDefault="00E93F58"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Lodgement</w:t>
      </w:r>
      <w:r w:rsidRPr="00FB5439">
        <w:rPr>
          <w:rFonts w:ascii="Arial" w:hAnsi="Arial" w:cs="Arial"/>
          <w:b/>
          <w:bCs/>
          <w:sz w:val="22"/>
          <w:szCs w:val="22"/>
        </w:rPr>
        <w:t xml:space="preserve"> requirements</w:t>
      </w:r>
    </w:p>
    <w:p w14:paraId="169E65A7" w14:textId="77777777" w:rsidR="00E93F58" w:rsidRPr="00FB5439" w:rsidRDefault="00E93F58" w:rsidP="00817951">
      <w:pPr>
        <w:pStyle w:val="R2"/>
        <w:spacing w:before="120"/>
        <w:ind w:left="0" w:right="-1417" w:firstLine="0"/>
        <w:rPr>
          <w:rFonts w:ascii="Arial" w:hAnsi="Arial" w:cs="Arial"/>
          <w:sz w:val="22"/>
          <w:szCs w:val="22"/>
        </w:rPr>
      </w:pPr>
      <w:r w:rsidRPr="00FB5439">
        <w:rPr>
          <w:rFonts w:ascii="Arial" w:hAnsi="Arial" w:cs="Arial"/>
          <w:sz w:val="22"/>
          <w:szCs w:val="22"/>
        </w:rPr>
        <w:t>If information is to be lodged in Table 1 only, the licensee may lodge the information electronically or in writing.</w:t>
      </w:r>
    </w:p>
    <w:p w14:paraId="55AE746F" w14:textId="77777777" w:rsidR="00E93F58" w:rsidRPr="00FB5439" w:rsidRDefault="00E93F58" w:rsidP="00817951">
      <w:pPr>
        <w:pStyle w:val="R2"/>
        <w:spacing w:before="120"/>
        <w:ind w:left="0" w:firstLine="0"/>
        <w:rPr>
          <w:rFonts w:ascii="Arial" w:hAnsi="Arial" w:cs="Arial"/>
          <w:sz w:val="22"/>
          <w:szCs w:val="22"/>
        </w:rPr>
      </w:pPr>
      <w:r w:rsidRPr="00FB5439">
        <w:rPr>
          <w:rFonts w:ascii="Arial" w:hAnsi="Arial" w:cs="Arial"/>
          <w:sz w:val="22"/>
          <w:szCs w:val="22"/>
        </w:rPr>
        <w:t>If information is to be lodged in both Table 1 and Table 2, the licensee must lodge the information electronically. If the licensee is unable to lodge the information electronically, the licensee must arrange an alternative method of lodgement with APRA.</w:t>
      </w:r>
    </w:p>
    <w:p w14:paraId="20B5AC14" w14:textId="77777777" w:rsidR="00E93F58" w:rsidRPr="00FB5439" w:rsidRDefault="00E93F58" w:rsidP="00817951">
      <w:pPr>
        <w:pStyle w:val="P1"/>
        <w:keepNext/>
        <w:keepLines/>
        <w:pageBreakBefore/>
        <w:tabs>
          <w:tab w:val="clear" w:pos="1191"/>
        </w:tabs>
        <w:spacing w:before="240"/>
        <w:ind w:left="0" w:firstLine="0"/>
        <w:jc w:val="left"/>
        <w:rPr>
          <w:rFonts w:ascii="Arial" w:hAnsi="Arial" w:cs="Arial"/>
          <w:b/>
          <w:sz w:val="22"/>
          <w:szCs w:val="22"/>
        </w:rPr>
      </w:pPr>
      <w:r w:rsidRPr="00FB5439">
        <w:rPr>
          <w:rFonts w:ascii="Arial" w:hAnsi="Arial" w:cs="Arial"/>
          <w:b/>
          <w:sz w:val="22"/>
          <w:szCs w:val="22"/>
        </w:rPr>
        <w:lastRenderedPageBreak/>
        <w:t>Requirements for forms lodged electronically</w:t>
      </w:r>
    </w:p>
    <w:p w14:paraId="7497485D" w14:textId="77777777" w:rsidR="00E93F58" w:rsidRPr="00FB5439" w:rsidRDefault="00E93F58" w:rsidP="00817951">
      <w:pPr>
        <w:pStyle w:val="R2"/>
        <w:spacing w:before="120"/>
        <w:ind w:left="0" w:firstLine="0"/>
        <w:rPr>
          <w:rFonts w:ascii="Arial" w:hAnsi="Arial" w:cs="Arial"/>
          <w:sz w:val="22"/>
          <w:szCs w:val="22"/>
        </w:rPr>
      </w:pPr>
      <w:r w:rsidRPr="00FB5439">
        <w:rPr>
          <w:rFonts w:ascii="Arial" w:hAnsi="Arial" w:cs="Arial"/>
          <w:sz w:val="22"/>
          <w:szCs w:val="22"/>
        </w:rPr>
        <w:t>A licensee must lodge a form electronically via the licensees portal provided by APRA. A licensee must undertake the steps required by APRA to become authorised to use the portal.</w:t>
      </w:r>
    </w:p>
    <w:p w14:paraId="6AC01477" w14:textId="77777777" w:rsidR="00E93F58" w:rsidRPr="00FB5439" w:rsidRDefault="00E93F58" w:rsidP="00817951">
      <w:pPr>
        <w:pStyle w:val="R2"/>
        <w:spacing w:before="120"/>
        <w:ind w:left="0" w:firstLine="0"/>
        <w:rPr>
          <w:rFonts w:ascii="Arial" w:hAnsi="Arial" w:cs="Arial"/>
          <w:sz w:val="22"/>
          <w:szCs w:val="22"/>
        </w:rPr>
      </w:pPr>
      <w:r w:rsidRPr="00FB5439">
        <w:rPr>
          <w:rFonts w:ascii="Arial" w:hAnsi="Arial" w:cs="Arial"/>
          <w:sz w:val="22"/>
          <w:szCs w:val="22"/>
        </w:rPr>
        <w:t>A document accompanying a form may only be lodged electronically if APRA has approved, in writing, the electronic lodgement of documents of that kind. If APRA has not approved the electronic lodgement of a document, the document may be lodged in writing.</w:t>
      </w:r>
    </w:p>
    <w:p w14:paraId="65DDFCA9" w14:textId="77777777" w:rsidR="00E93F58" w:rsidRPr="00FB5439" w:rsidRDefault="00E93F58" w:rsidP="00817951">
      <w:pPr>
        <w:pStyle w:val="R2"/>
        <w:spacing w:before="120"/>
        <w:ind w:left="0" w:firstLine="0"/>
        <w:rPr>
          <w:rFonts w:ascii="Arial" w:hAnsi="Arial" w:cs="Arial"/>
          <w:sz w:val="22"/>
          <w:szCs w:val="22"/>
        </w:rPr>
      </w:pPr>
      <w:r w:rsidRPr="00FB5439">
        <w:rPr>
          <w:rFonts w:ascii="Arial" w:hAnsi="Arial" w:cs="Arial"/>
          <w:sz w:val="22"/>
          <w:szCs w:val="22"/>
        </w:rPr>
        <w:t>APRA may approve the electronic lodgement of:</w:t>
      </w:r>
    </w:p>
    <w:p w14:paraId="1032BAA9"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a particular kind of document; or</w:t>
      </w:r>
    </w:p>
    <w:p w14:paraId="052FA204"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documents in a particular class of documents.</w:t>
      </w:r>
    </w:p>
    <w:p w14:paraId="0F6724E9" w14:textId="77777777" w:rsidR="00E93F58" w:rsidRPr="00FB5439" w:rsidRDefault="00E93F58" w:rsidP="00817951">
      <w:pPr>
        <w:pStyle w:val="R2"/>
        <w:spacing w:before="120"/>
        <w:ind w:left="0" w:firstLine="0"/>
        <w:rPr>
          <w:rFonts w:ascii="Arial" w:hAnsi="Arial" w:cs="Arial"/>
          <w:sz w:val="22"/>
          <w:szCs w:val="22"/>
        </w:rPr>
      </w:pPr>
      <w:r w:rsidRPr="00FB5439">
        <w:rPr>
          <w:rFonts w:ascii="Arial" w:hAnsi="Arial" w:cs="Arial"/>
          <w:sz w:val="22"/>
          <w:szCs w:val="22"/>
        </w:rPr>
        <w:t>A document is taken to be lodged with APRA electronically if it is lodged in accordance with APRA’s approval, including any requirements of the approval as to authentication.</w:t>
      </w:r>
    </w:p>
    <w:p w14:paraId="02FFADA1" w14:textId="77777777" w:rsidR="00E93F58" w:rsidRPr="00FB5439" w:rsidRDefault="00E93F58"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Requirements</w:t>
      </w:r>
      <w:r w:rsidRPr="00FB5439">
        <w:rPr>
          <w:rFonts w:ascii="Arial" w:hAnsi="Arial" w:cs="Arial"/>
          <w:b/>
          <w:bCs/>
          <w:sz w:val="22"/>
          <w:szCs w:val="22"/>
        </w:rPr>
        <w:t xml:space="preserve"> for forms lodged in writing</w:t>
      </w:r>
    </w:p>
    <w:p w14:paraId="25B4A8B2" w14:textId="77777777" w:rsidR="00E93F58" w:rsidRPr="00FB5439" w:rsidRDefault="00E93F58" w:rsidP="00817951">
      <w:pPr>
        <w:pStyle w:val="SingleParagraph"/>
        <w:spacing w:before="120"/>
        <w:ind w:right="-151"/>
        <w:rPr>
          <w:rFonts w:ascii="Arial" w:hAnsi="Arial" w:cs="Arial"/>
          <w:szCs w:val="22"/>
        </w:rPr>
      </w:pPr>
      <w:r w:rsidRPr="00FB5439">
        <w:rPr>
          <w:rFonts w:ascii="Arial" w:hAnsi="Arial" w:cs="Arial"/>
          <w:szCs w:val="22"/>
        </w:rPr>
        <w:t xml:space="preserve">If a form is lodged in writing, the form must be signed in accordance with the requirements of section 912CA of the </w:t>
      </w:r>
      <w:r w:rsidRPr="00FB5439">
        <w:rPr>
          <w:rFonts w:ascii="Arial" w:hAnsi="Arial" w:cs="Arial"/>
          <w:i/>
          <w:iCs/>
          <w:szCs w:val="22"/>
        </w:rPr>
        <w:t>Corporations Act 2001</w:t>
      </w:r>
      <w:r w:rsidRPr="00FB5439">
        <w:rPr>
          <w:rFonts w:ascii="Arial" w:hAnsi="Arial" w:cs="Arial"/>
          <w:szCs w:val="22"/>
        </w:rPr>
        <w:t xml:space="preserve">, as modified by regulation 7.6.08C of the </w:t>
      </w:r>
      <w:r w:rsidRPr="00FB5439">
        <w:rPr>
          <w:rFonts w:ascii="Arial" w:hAnsi="Arial" w:cs="Arial"/>
          <w:i/>
          <w:iCs/>
          <w:szCs w:val="22"/>
        </w:rPr>
        <w:t xml:space="preserve">Corporations </w:t>
      </w:r>
      <w:r>
        <w:rPr>
          <w:rFonts w:ascii="Arial" w:hAnsi="Arial" w:cs="Arial"/>
          <w:i/>
          <w:iCs/>
          <w:szCs w:val="22"/>
        </w:rPr>
        <w:t>Regulations 2</w:t>
      </w:r>
      <w:r w:rsidRPr="00FB5439">
        <w:rPr>
          <w:rFonts w:ascii="Arial" w:hAnsi="Arial" w:cs="Arial"/>
          <w:i/>
          <w:iCs/>
          <w:szCs w:val="22"/>
        </w:rPr>
        <w:t>001</w:t>
      </w:r>
      <w:r w:rsidRPr="00FB5439">
        <w:rPr>
          <w:rFonts w:ascii="Arial" w:hAnsi="Arial" w:cs="Arial"/>
          <w:szCs w:val="22"/>
        </w:rPr>
        <w:t>.</w:t>
      </w:r>
    </w:p>
    <w:p w14:paraId="1EB878C7" w14:textId="77777777" w:rsidR="00E93F58" w:rsidRPr="00FB5439" w:rsidRDefault="00E93F58" w:rsidP="00817951">
      <w:pPr>
        <w:pStyle w:val="SingleParagraph"/>
        <w:spacing w:before="120"/>
        <w:ind w:right="-1418"/>
        <w:rPr>
          <w:rFonts w:ascii="Arial" w:hAnsi="Arial" w:cs="Arial"/>
          <w:szCs w:val="22"/>
        </w:rPr>
      </w:pPr>
      <w:r w:rsidRPr="00FB5439">
        <w:rPr>
          <w:rFonts w:ascii="Arial" w:hAnsi="Arial" w:cs="Arial"/>
          <w:szCs w:val="22"/>
        </w:rPr>
        <w:t>Licensees lodging by mail or in person must lodge with APRA:</w:t>
      </w:r>
    </w:p>
    <w:p w14:paraId="25FE390B"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original form; and</w:t>
      </w:r>
    </w:p>
    <w:p w14:paraId="24DF312A"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14:paraId="216DEDC1"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the form.</w:t>
      </w:r>
    </w:p>
    <w:p w14:paraId="1146C242" w14:textId="77777777" w:rsidR="00E93F58" w:rsidRPr="00FB5439" w:rsidRDefault="00E93F58" w:rsidP="00817951">
      <w:pPr>
        <w:pStyle w:val="SingleParagraph"/>
        <w:pageBreakBefore/>
        <w:spacing w:before="240"/>
        <w:ind w:right="-153"/>
        <w:rPr>
          <w:rFonts w:ascii="Arial" w:hAnsi="Arial" w:cs="Arial"/>
          <w:szCs w:val="22"/>
        </w:rPr>
      </w:pPr>
      <w:r w:rsidRPr="00FB5439">
        <w:rPr>
          <w:rFonts w:ascii="Arial" w:hAnsi="Arial" w:cs="Arial"/>
          <w:szCs w:val="22"/>
        </w:rPr>
        <w:lastRenderedPageBreak/>
        <w:t>Licensees lodging by email must lodge with APRA:</w:t>
      </w:r>
    </w:p>
    <w:p w14:paraId="629719D8"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form in PDF (portable document format); and</w:t>
      </w:r>
    </w:p>
    <w:p w14:paraId="59C75254"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14:paraId="4EAE38B5" w14:textId="77777777" w:rsidR="00E93F58" w:rsidRPr="00FB5439" w:rsidRDefault="00E93F58"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the form.</w:t>
      </w:r>
    </w:p>
    <w:p w14:paraId="0CC24994" w14:textId="77777777" w:rsidR="00E93F58" w:rsidRPr="00FB5439" w:rsidRDefault="00E93F58" w:rsidP="00817951">
      <w:pPr>
        <w:pStyle w:val="SingleParagraph"/>
        <w:spacing w:before="120"/>
        <w:ind w:right="-151"/>
        <w:rPr>
          <w:rFonts w:ascii="Arial" w:hAnsi="Arial" w:cs="Arial"/>
          <w:szCs w:val="22"/>
        </w:rPr>
      </w:pPr>
      <w:r w:rsidRPr="00FB5439">
        <w:rPr>
          <w:rFonts w:ascii="Arial" w:hAnsi="Arial" w:cs="Arial"/>
          <w:szCs w:val="22"/>
        </w:rPr>
        <w:t>Licensees lodging by email must retain signed original copies of the forms and attachments for a period of 7 years.</w:t>
      </w:r>
    </w:p>
    <w:p w14:paraId="148D73BB" w14:textId="77777777" w:rsidR="00E93F58" w:rsidRPr="00FB5439" w:rsidRDefault="00E93F58" w:rsidP="00817951">
      <w:pPr>
        <w:pStyle w:val="SingleParagraph"/>
        <w:spacing w:before="120" w:after="60"/>
        <w:ind w:right="879"/>
        <w:jc w:val="both"/>
        <w:rPr>
          <w:rFonts w:ascii="Arial" w:hAnsi="Arial" w:cs="Arial"/>
          <w:szCs w:val="22"/>
        </w:rPr>
      </w:pPr>
      <w:r w:rsidRPr="00FB5439">
        <w:rPr>
          <w:rFonts w:ascii="Arial" w:hAnsi="Arial" w:cs="Arial"/>
          <w:szCs w:val="22"/>
        </w:rPr>
        <w:t>A form, or document, lodged with APRA in writing by, or on behalf of, an entity in an item of the following table, must be signed by the person specified in the item.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074"/>
        <w:gridCol w:w="3277"/>
        <w:gridCol w:w="6412"/>
      </w:tblGrid>
      <w:tr w:rsidR="00E93F58" w:rsidRPr="00FB5439" w14:paraId="2BBF27BC" w14:textId="77777777" w:rsidTr="00B23434">
        <w:trPr>
          <w:tblHeader/>
        </w:trPr>
        <w:tc>
          <w:tcPr>
            <w:tcW w:w="414" w:type="pct"/>
          </w:tcPr>
          <w:p w14:paraId="119D92EB" w14:textId="77777777" w:rsidR="00E93F58" w:rsidRPr="00FB5439" w:rsidRDefault="00E93F58" w:rsidP="00070F64">
            <w:pPr>
              <w:pStyle w:val="TableColHead"/>
              <w:keepNext w:val="0"/>
              <w:spacing w:before="60"/>
              <w:ind w:right="35"/>
              <w:jc w:val="center"/>
              <w:rPr>
                <w:rFonts w:cs="Arial"/>
                <w:sz w:val="20"/>
                <w:szCs w:val="20"/>
              </w:rPr>
            </w:pPr>
            <w:r w:rsidRPr="00FB5439">
              <w:rPr>
                <w:rFonts w:cs="Arial"/>
                <w:sz w:val="20"/>
                <w:szCs w:val="20"/>
              </w:rPr>
              <w:t>Item</w:t>
            </w:r>
          </w:p>
        </w:tc>
        <w:tc>
          <w:tcPr>
            <w:tcW w:w="1565" w:type="pct"/>
          </w:tcPr>
          <w:p w14:paraId="651A0DDF" w14:textId="77777777" w:rsidR="00E93F58" w:rsidRPr="00FB5439" w:rsidRDefault="00E93F58" w:rsidP="00070F64">
            <w:pPr>
              <w:pStyle w:val="TableColHead"/>
              <w:keepNext w:val="0"/>
              <w:spacing w:before="60"/>
              <w:ind w:left="176"/>
              <w:rPr>
                <w:rFonts w:cs="Arial"/>
                <w:sz w:val="20"/>
                <w:szCs w:val="20"/>
              </w:rPr>
            </w:pPr>
            <w:r w:rsidRPr="00FB5439">
              <w:rPr>
                <w:rFonts w:cs="Arial"/>
                <w:sz w:val="20"/>
                <w:szCs w:val="20"/>
              </w:rPr>
              <w:t>Entity</w:t>
            </w:r>
          </w:p>
        </w:tc>
        <w:tc>
          <w:tcPr>
            <w:tcW w:w="3021" w:type="pct"/>
          </w:tcPr>
          <w:p w14:paraId="33930F4F" w14:textId="77777777" w:rsidR="00E93F58" w:rsidRPr="00FB5439" w:rsidRDefault="00E93F58" w:rsidP="00070F64">
            <w:pPr>
              <w:pStyle w:val="TableColHead"/>
              <w:keepNext w:val="0"/>
              <w:spacing w:before="60"/>
              <w:ind w:left="176"/>
              <w:rPr>
                <w:rFonts w:cs="Arial"/>
                <w:sz w:val="20"/>
                <w:szCs w:val="20"/>
              </w:rPr>
            </w:pPr>
            <w:r w:rsidRPr="00FB5439">
              <w:rPr>
                <w:rFonts w:cs="Arial"/>
                <w:sz w:val="20"/>
                <w:szCs w:val="20"/>
              </w:rPr>
              <w:t>Person</w:t>
            </w:r>
          </w:p>
        </w:tc>
      </w:tr>
      <w:tr w:rsidR="00E93F58" w:rsidRPr="00FB5439" w14:paraId="581BF506" w14:textId="77777777" w:rsidTr="00B23434">
        <w:trPr>
          <w:cantSplit/>
        </w:trPr>
        <w:tc>
          <w:tcPr>
            <w:tcW w:w="414" w:type="pct"/>
          </w:tcPr>
          <w:p w14:paraId="5F642F90" w14:textId="77777777" w:rsidR="00E93F58" w:rsidRPr="00FB5439" w:rsidRDefault="00E93F58" w:rsidP="00070F64">
            <w:pPr>
              <w:pStyle w:val="TableText0"/>
              <w:tabs>
                <w:tab w:val="decimal" w:pos="467"/>
              </w:tabs>
              <w:ind w:left="-436" w:right="393"/>
              <w:rPr>
                <w:rFonts w:ascii="Arial" w:hAnsi="Arial" w:cs="Arial"/>
                <w:sz w:val="21"/>
                <w:szCs w:val="21"/>
              </w:rPr>
            </w:pPr>
            <w:r w:rsidRPr="00FB5439">
              <w:rPr>
                <w:rFonts w:ascii="Arial" w:hAnsi="Arial" w:cs="Arial"/>
                <w:sz w:val="21"/>
                <w:szCs w:val="21"/>
              </w:rPr>
              <w:t>1</w:t>
            </w:r>
          </w:p>
        </w:tc>
        <w:tc>
          <w:tcPr>
            <w:tcW w:w="1565" w:type="pct"/>
          </w:tcPr>
          <w:p w14:paraId="2181801B"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 body that is not a foreign company</w:t>
            </w:r>
          </w:p>
        </w:tc>
        <w:tc>
          <w:tcPr>
            <w:tcW w:w="3021" w:type="pct"/>
          </w:tcPr>
          <w:p w14:paraId="001C48A8"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 director or secretary</w:t>
            </w:r>
          </w:p>
        </w:tc>
      </w:tr>
      <w:tr w:rsidR="00E93F58" w:rsidRPr="00FB5439" w14:paraId="414B809D" w14:textId="77777777" w:rsidTr="00B23434">
        <w:trPr>
          <w:cantSplit/>
        </w:trPr>
        <w:tc>
          <w:tcPr>
            <w:tcW w:w="414" w:type="pct"/>
          </w:tcPr>
          <w:p w14:paraId="4393D686" w14:textId="77777777" w:rsidR="00E93F58" w:rsidRPr="00FB5439" w:rsidRDefault="00E93F58"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2</w:t>
            </w:r>
          </w:p>
        </w:tc>
        <w:tc>
          <w:tcPr>
            <w:tcW w:w="1565" w:type="pct"/>
          </w:tcPr>
          <w:p w14:paraId="1999B7C3"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 body that is a foreign company</w:t>
            </w:r>
          </w:p>
        </w:tc>
        <w:tc>
          <w:tcPr>
            <w:tcW w:w="3021" w:type="pct"/>
          </w:tcPr>
          <w:p w14:paraId="392B6897" w14:textId="77777777" w:rsidR="00E93F58" w:rsidRPr="00FB5439" w:rsidRDefault="00E93F58"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local agent; or</w:t>
            </w:r>
          </w:p>
          <w:p w14:paraId="51583DE6" w14:textId="77777777" w:rsidR="00E93F58" w:rsidRPr="00FB5439" w:rsidRDefault="00E93F58"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local agent is a company — a director or secretary of the company</w:t>
            </w:r>
          </w:p>
        </w:tc>
      </w:tr>
      <w:tr w:rsidR="00E93F58" w:rsidRPr="00FB5439" w14:paraId="6A77B1C7" w14:textId="77777777" w:rsidTr="00B23434">
        <w:trPr>
          <w:cantSplit/>
        </w:trPr>
        <w:tc>
          <w:tcPr>
            <w:tcW w:w="414" w:type="pct"/>
          </w:tcPr>
          <w:p w14:paraId="0891DBA2" w14:textId="77777777" w:rsidR="00E93F58" w:rsidRPr="00FB5439" w:rsidRDefault="00E93F58"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3</w:t>
            </w:r>
          </w:p>
        </w:tc>
        <w:tc>
          <w:tcPr>
            <w:tcW w:w="1565" w:type="pct"/>
          </w:tcPr>
          <w:p w14:paraId="5EA38C19"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An individual</w:t>
            </w:r>
          </w:p>
        </w:tc>
        <w:tc>
          <w:tcPr>
            <w:tcW w:w="3021" w:type="pct"/>
          </w:tcPr>
          <w:p w14:paraId="43428867"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An individual</w:t>
            </w:r>
          </w:p>
        </w:tc>
      </w:tr>
      <w:tr w:rsidR="00E93F58" w:rsidRPr="00FB5439" w14:paraId="0BFF5B74" w14:textId="77777777" w:rsidTr="00B23434">
        <w:trPr>
          <w:cantSplit/>
        </w:trPr>
        <w:tc>
          <w:tcPr>
            <w:tcW w:w="414" w:type="pct"/>
          </w:tcPr>
          <w:p w14:paraId="0CEC21BF" w14:textId="77777777" w:rsidR="00E93F58" w:rsidRPr="00FB5439" w:rsidRDefault="00E93F58"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4</w:t>
            </w:r>
          </w:p>
        </w:tc>
        <w:tc>
          <w:tcPr>
            <w:tcW w:w="1565" w:type="pct"/>
          </w:tcPr>
          <w:p w14:paraId="59D758ED"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 partnership</w:t>
            </w:r>
          </w:p>
        </w:tc>
        <w:tc>
          <w:tcPr>
            <w:tcW w:w="3021" w:type="pct"/>
          </w:tcPr>
          <w:p w14:paraId="357B734F" w14:textId="77777777" w:rsidR="00E93F58" w:rsidRPr="00FB5439" w:rsidRDefault="00E93F58"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partner; or</w:t>
            </w:r>
          </w:p>
          <w:p w14:paraId="5C03772A" w14:textId="77777777" w:rsidR="00E93F58" w:rsidRPr="00FB5439" w:rsidRDefault="00E93F58"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partner is a company — a director or secretary of the company</w:t>
            </w:r>
          </w:p>
        </w:tc>
      </w:tr>
      <w:tr w:rsidR="00E93F58" w:rsidRPr="00FB5439" w14:paraId="249413F4" w14:textId="77777777" w:rsidTr="00B23434">
        <w:trPr>
          <w:cantSplit/>
        </w:trPr>
        <w:tc>
          <w:tcPr>
            <w:tcW w:w="414" w:type="pct"/>
          </w:tcPr>
          <w:p w14:paraId="5E6438C5" w14:textId="77777777" w:rsidR="00E93F58" w:rsidRPr="00FB5439" w:rsidRDefault="00E93F58"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5</w:t>
            </w:r>
          </w:p>
        </w:tc>
        <w:tc>
          <w:tcPr>
            <w:tcW w:w="1565" w:type="pct"/>
          </w:tcPr>
          <w:p w14:paraId="45E2D048" w14:textId="77777777" w:rsidR="00E93F58" w:rsidRPr="00FB5439" w:rsidRDefault="00E93F58" w:rsidP="00070F64">
            <w:pPr>
              <w:pStyle w:val="TableText0"/>
              <w:ind w:left="176"/>
              <w:rPr>
                <w:rFonts w:ascii="Arial" w:hAnsi="Arial" w:cs="Arial"/>
                <w:sz w:val="21"/>
                <w:szCs w:val="21"/>
              </w:rPr>
            </w:pPr>
            <w:r w:rsidRPr="00FB5439">
              <w:rPr>
                <w:rFonts w:ascii="Arial" w:hAnsi="Arial" w:cs="Arial"/>
                <w:sz w:val="21"/>
                <w:szCs w:val="21"/>
              </w:rPr>
              <w:t>A trust</w:t>
            </w:r>
          </w:p>
        </w:tc>
        <w:tc>
          <w:tcPr>
            <w:tcW w:w="3021" w:type="pct"/>
          </w:tcPr>
          <w:p w14:paraId="295D3785" w14:textId="77777777" w:rsidR="00E93F58" w:rsidRPr="00FB5439" w:rsidRDefault="00E93F58"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trustee; or</w:t>
            </w:r>
          </w:p>
          <w:p w14:paraId="7827A93A" w14:textId="77777777" w:rsidR="00E93F58" w:rsidRPr="00FB5439" w:rsidRDefault="00E93F58"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trustee is a body — a director or secretary of the body</w:t>
            </w:r>
          </w:p>
        </w:tc>
      </w:tr>
    </w:tbl>
    <w:p w14:paraId="5FCE311C" w14:textId="77777777" w:rsidR="00E93F58" w:rsidRPr="00FB5439" w:rsidRDefault="00E93F58" w:rsidP="00817951">
      <w:pPr>
        <w:pStyle w:val="Note"/>
        <w:ind w:left="0"/>
        <w:rPr>
          <w:rFonts w:ascii="Arial" w:hAnsi="Arial" w:cs="Arial"/>
          <w:sz w:val="18"/>
          <w:szCs w:val="18"/>
        </w:rPr>
      </w:pPr>
      <w:r w:rsidRPr="00FB5439">
        <w:rPr>
          <w:rFonts w:ascii="Arial" w:hAnsi="Arial" w:cs="Arial"/>
          <w:i/>
          <w:sz w:val="18"/>
          <w:szCs w:val="18"/>
        </w:rPr>
        <w:t>Note   </w:t>
      </w:r>
      <w:r w:rsidRPr="00FB5439">
        <w:rPr>
          <w:rFonts w:ascii="Arial" w:hAnsi="Arial" w:cs="Arial"/>
          <w:sz w:val="18"/>
          <w:szCs w:val="18"/>
        </w:rPr>
        <w:t xml:space="preserve">A body includes a body corporate or an unincorporated body, for example, a society or association — see the definition of </w:t>
      </w:r>
      <w:r w:rsidRPr="00FB5439">
        <w:rPr>
          <w:rFonts w:ascii="Arial" w:hAnsi="Arial" w:cs="Arial"/>
          <w:b/>
          <w:i/>
          <w:sz w:val="18"/>
          <w:szCs w:val="18"/>
        </w:rPr>
        <w:t>body</w:t>
      </w:r>
      <w:r w:rsidRPr="00FB5439">
        <w:rPr>
          <w:rFonts w:ascii="Arial" w:hAnsi="Arial" w:cs="Arial"/>
          <w:sz w:val="18"/>
          <w:szCs w:val="18"/>
        </w:rPr>
        <w:t xml:space="preserve"> in section 9 of the Act.</w:t>
      </w:r>
    </w:p>
    <w:p w14:paraId="043EE53A" w14:textId="77777777" w:rsidR="00E93F58" w:rsidRPr="00FB5439" w:rsidRDefault="00E93F58" w:rsidP="00817951">
      <w:pPr>
        <w:pStyle w:val="SingleParagraph"/>
        <w:pageBreakBefore/>
        <w:spacing w:after="240"/>
        <w:ind w:right="-1559"/>
        <w:rPr>
          <w:rFonts w:ascii="Arial" w:hAnsi="Arial" w:cs="Arial"/>
          <w:szCs w:val="22"/>
        </w:rPr>
      </w:pPr>
      <w:r w:rsidRPr="00FB5439">
        <w:rPr>
          <w:rFonts w:ascii="Arial" w:hAnsi="Arial" w:cs="Arial"/>
          <w:szCs w:val="22"/>
        </w:rPr>
        <w:lastRenderedPageBreak/>
        <w:t>The following table must be completed. In the table, the person’s name must be printed next to the person’s signature.</w:t>
      </w:r>
    </w:p>
    <w:tbl>
      <w:tblPr>
        <w:tblW w:w="5000" w:type="pct"/>
        <w:tblLook w:val="0000" w:firstRow="0" w:lastRow="0" w:firstColumn="0" w:lastColumn="0" w:noHBand="0" w:noVBand="0"/>
      </w:tblPr>
      <w:tblGrid>
        <w:gridCol w:w="4361"/>
        <w:gridCol w:w="6392"/>
      </w:tblGrid>
      <w:tr w:rsidR="00E93F58" w:rsidRPr="00FB5439" w14:paraId="40769368" w14:textId="77777777" w:rsidTr="00B23434">
        <w:trPr>
          <w:trHeight w:val="300"/>
        </w:trPr>
        <w:tc>
          <w:tcPr>
            <w:tcW w:w="5000" w:type="pct"/>
            <w:gridSpan w:val="2"/>
            <w:tcBorders>
              <w:top w:val="single" w:sz="8" w:space="0" w:color="auto"/>
              <w:left w:val="single" w:sz="8" w:space="0" w:color="auto"/>
              <w:bottom w:val="single" w:sz="4" w:space="0" w:color="auto"/>
              <w:right w:val="single" w:sz="8" w:space="0" w:color="auto"/>
            </w:tcBorders>
            <w:noWrap/>
            <w:vAlign w:val="center"/>
          </w:tcPr>
          <w:p w14:paraId="7BECA4AE" w14:textId="77777777" w:rsidR="00E93F58" w:rsidRPr="00FB5439" w:rsidRDefault="00E93F58" w:rsidP="00070F64">
            <w:pPr>
              <w:pStyle w:val="TableColHead"/>
              <w:keepNext w:val="0"/>
              <w:spacing w:after="120"/>
              <w:rPr>
                <w:sz w:val="20"/>
                <w:szCs w:val="20"/>
              </w:rPr>
            </w:pPr>
            <w:r w:rsidRPr="00FB5439">
              <w:rPr>
                <w:sz w:val="20"/>
                <w:szCs w:val="20"/>
              </w:rPr>
              <w:t>Lodgement details (for the person who physically completes the form)</w:t>
            </w:r>
          </w:p>
        </w:tc>
      </w:tr>
      <w:tr w:rsidR="00E93F58" w:rsidRPr="00FB5439" w14:paraId="4F0FAA88" w14:textId="77777777" w:rsidTr="00B23434">
        <w:tc>
          <w:tcPr>
            <w:tcW w:w="1620" w:type="pct"/>
            <w:tcBorders>
              <w:top w:val="nil"/>
              <w:left w:val="single" w:sz="8" w:space="0" w:color="auto"/>
              <w:bottom w:val="single" w:sz="4" w:space="0" w:color="auto"/>
              <w:right w:val="single" w:sz="4" w:space="0" w:color="auto"/>
            </w:tcBorders>
            <w:noWrap/>
            <w:vAlign w:val="center"/>
          </w:tcPr>
          <w:p w14:paraId="2001E1B6"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Firm/organisation</w:t>
            </w:r>
          </w:p>
        </w:tc>
        <w:tc>
          <w:tcPr>
            <w:tcW w:w="3380" w:type="pct"/>
            <w:tcBorders>
              <w:top w:val="nil"/>
              <w:left w:val="nil"/>
              <w:bottom w:val="single" w:sz="4" w:space="0" w:color="auto"/>
              <w:right w:val="single" w:sz="8" w:space="0" w:color="auto"/>
            </w:tcBorders>
            <w:vAlign w:val="center"/>
          </w:tcPr>
          <w:p w14:paraId="033CD04C" w14:textId="77777777" w:rsidR="00E93F58" w:rsidRPr="00FB5439" w:rsidRDefault="00E93F58" w:rsidP="00070F64">
            <w:pPr>
              <w:spacing w:before="60" w:after="60"/>
              <w:rPr>
                <w:rFonts w:ascii="Arial" w:hAnsi="Arial" w:cs="Arial"/>
                <w:szCs w:val="22"/>
              </w:rPr>
            </w:pPr>
          </w:p>
        </w:tc>
      </w:tr>
      <w:tr w:rsidR="00E93F58" w:rsidRPr="00FB5439" w14:paraId="764F90A7" w14:textId="77777777" w:rsidTr="00B23434">
        <w:tc>
          <w:tcPr>
            <w:tcW w:w="1620" w:type="pct"/>
            <w:tcBorders>
              <w:top w:val="nil"/>
              <w:left w:val="single" w:sz="8" w:space="0" w:color="auto"/>
              <w:bottom w:val="single" w:sz="4" w:space="0" w:color="auto"/>
              <w:right w:val="single" w:sz="4" w:space="0" w:color="auto"/>
            </w:tcBorders>
            <w:noWrap/>
            <w:vAlign w:val="center"/>
          </w:tcPr>
          <w:p w14:paraId="270E02B8"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Contact name/position description</w:t>
            </w:r>
          </w:p>
        </w:tc>
        <w:tc>
          <w:tcPr>
            <w:tcW w:w="3380" w:type="pct"/>
            <w:tcBorders>
              <w:top w:val="nil"/>
              <w:left w:val="nil"/>
              <w:bottom w:val="single" w:sz="4" w:space="0" w:color="auto"/>
              <w:right w:val="single" w:sz="8" w:space="0" w:color="auto"/>
            </w:tcBorders>
            <w:vAlign w:val="center"/>
          </w:tcPr>
          <w:p w14:paraId="5F8B191F" w14:textId="77777777" w:rsidR="00E93F58" w:rsidRPr="00FB5439" w:rsidRDefault="00E93F58" w:rsidP="00070F64">
            <w:pPr>
              <w:spacing w:before="60" w:after="60"/>
              <w:rPr>
                <w:rFonts w:ascii="Arial" w:hAnsi="Arial" w:cs="Arial"/>
                <w:szCs w:val="22"/>
              </w:rPr>
            </w:pPr>
          </w:p>
        </w:tc>
      </w:tr>
      <w:tr w:rsidR="00E93F58" w:rsidRPr="00FB5439" w14:paraId="032706C9" w14:textId="77777777" w:rsidTr="00B23434">
        <w:tc>
          <w:tcPr>
            <w:tcW w:w="1620" w:type="pct"/>
            <w:tcBorders>
              <w:top w:val="nil"/>
              <w:left w:val="single" w:sz="8" w:space="0" w:color="auto"/>
              <w:bottom w:val="single" w:sz="4" w:space="0" w:color="auto"/>
              <w:right w:val="single" w:sz="4" w:space="0" w:color="auto"/>
            </w:tcBorders>
            <w:noWrap/>
            <w:vAlign w:val="center"/>
          </w:tcPr>
          <w:p w14:paraId="656D4110"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ASIC registered agent number (if applicable)</w:t>
            </w:r>
          </w:p>
        </w:tc>
        <w:tc>
          <w:tcPr>
            <w:tcW w:w="3380" w:type="pct"/>
            <w:tcBorders>
              <w:top w:val="nil"/>
              <w:left w:val="nil"/>
              <w:bottom w:val="single" w:sz="4" w:space="0" w:color="auto"/>
              <w:right w:val="single" w:sz="8" w:space="0" w:color="auto"/>
            </w:tcBorders>
            <w:vAlign w:val="center"/>
          </w:tcPr>
          <w:p w14:paraId="2B660052" w14:textId="77777777" w:rsidR="00E93F58" w:rsidRPr="00FB5439" w:rsidRDefault="00E93F58" w:rsidP="00070F64">
            <w:pPr>
              <w:spacing w:before="60" w:after="60"/>
              <w:rPr>
                <w:rFonts w:ascii="Arial" w:hAnsi="Arial" w:cs="Arial"/>
                <w:szCs w:val="22"/>
              </w:rPr>
            </w:pPr>
          </w:p>
        </w:tc>
      </w:tr>
      <w:tr w:rsidR="00E93F58" w:rsidRPr="00FB5439" w14:paraId="6DB52EAC" w14:textId="77777777" w:rsidTr="00B23434">
        <w:trPr>
          <w:trHeight w:val="300"/>
        </w:trPr>
        <w:tc>
          <w:tcPr>
            <w:tcW w:w="1620" w:type="pct"/>
            <w:tcBorders>
              <w:top w:val="single" w:sz="4" w:space="0" w:color="auto"/>
              <w:left w:val="single" w:sz="8" w:space="0" w:color="auto"/>
              <w:bottom w:val="single" w:sz="4" w:space="0" w:color="auto"/>
              <w:right w:val="single" w:sz="4" w:space="0" w:color="auto"/>
            </w:tcBorders>
            <w:noWrap/>
            <w:vAlign w:val="center"/>
          </w:tcPr>
          <w:p w14:paraId="0B3BFAF4"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Telephone number</w:t>
            </w:r>
          </w:p>
        </w:tc>
        <w:tc>
          <w:tcPr>
            <w:tcW w:w="3380" w:type="pct"/>
            <w:tcBorders>
              <w:top w:val="single" w:sz="4" w:space="0" w:color="auto"/>
              <w:left w:val="nil"/>
              <w:bottom w:val="single" w:sz="4" w:space="0" w:color="auto"/>
              <w:right w:val="single" w:sz="8" w:space="0" w:color="auto"/>
            </w:tcBorders>
            <w:vAlign w:val="center"/>
          </w:tcPr>
          <w:p w14:paraId="17172362" w14:textId="77777777" w:rsidR="00E93F58" w:rsidRPr="00FB5439" w:rsidRDefault="00E93F58" w:rsidP="00070F64">
            <w:pPr>
              <w:spacing w:before="60" w:after="60"/>
              <w:rPr>
                <w:rFonts w:ascii="Arial" w:hAnsi="Arial" w:cs="Arial"/>
                <w:szCs w:val="22"/>
              </w:rPr>
            </w:pPr>
          </w:p>
        </w:tc>
      </w:tr>
      <w:tr w:rsidR="00E93F58" w:rsidRPr="00FB5439" w14:paraId="2DED38E6" w14:textId="77777777" w:rsidTr="00B23434">
        <w:trPr>
          <w:trHeight w:val="567"/>
        </w:trPr>
        <w:tc>
          <w:tcPr>
            <w:tcW w:w="1620" w:type="pct"/>
            <w:tcBorders>
              <w:top w:val="nil"/>
              <w:left w:val="single" w:sz="8" w:space="0" w:color="auto"/>
              <w:bottom w:val="single" w:sz="8" w:space="0" w:color="auto"/>
              <w:right w:val="single" w:sz="4" w:space="0" w:color="auto"/>
            </w:tcBorders>
            <w:noWrap/>
            <w:vAlign w:val="center"/>
          </w:tcPr>
          <w:p w14:paraId="5ACC6366"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Postal address or DX address</w:t>
            </w:r>
          </w:p>
        </w:tc>
        <w:tc>
          <w:tcPr>
            <w:tcW w:w="3380" w:type="pct"/>
            <w:tcBorders>
              <w:top w:val="nil"/>
              <w:left w:val="nil"/>
              <w:bottom w:val="single" w:sz="8" w:space="0" w:color="auto"/>
              <w:right w:val="single" w:sz="8" w:space="0" w:color="auto"/>
            </w:tcBorders>
            <w:vAlign w:val="center"/>
          </w:tcPr>
          <w:p w14:paraId="6E0E194B" w14:textId="77777777" w:rsidR="00E93F58" w:rsidRPr="00FB5439" w:rsidRDefault="00E93F58" w:rsidP="00070F64">
            <w:pPr>
              <w:spacing w:before="60" w:after="60"/>
              <w:rPr>
                <w:rFonts w:ascii="Arial" w:hAnsi="Arial" w:cs="Arial"/>
                <w:szCs w:val="22"/>
              </w:rPr>
            </w:pPr>
          </w:p>
        </w:tc>
      </w:tr>
      <w:tr w:rsidR="00E93F58" w:rsidRPr="00FB5439" w14:paraId="7A10E330" w14:textId="77777777" w:rsidTr="00B23434">
        <w:trPr>
          <w:trHeight w:val="382"/>
        </w:trPr>
        <w:tc>
          <w:tcPr>
            <w:tcW w:w="5000" w:type="pct"/>
            <w:gridSpan w:val="2"/>
            <w:tcBorders>
              <w:top w:val="single" w:sz="8" w:space="0" w:color="auto"/>
              <w:left w:val="single" w:sz="8" w:space="0" w:color="auto"/>
              <w:bottom w:val="single" w:sz="4" w:space="0" w:color="auto"/>
              <w:right w:val="single" w:sz="8" w:space="0" w:color="auto"/>
            </w:tcBorders>
            <w:noWrap/>
            <w:vAlign w:val="center"/>
          </w:tcPr>
          <w:p w14:paraId="00ACA3B4" w14:textId="77777777" w:rsidR="00E93F58" w:rsidRPr="00FB5439" w:rsidRDefault="00E93F58" w:rsidP="00070F64">
            <w:pPr>
              <w:pStyle w:val="TableColHead"/>
              <w:keepNext w:val="0"/>
              <w:spacing w:after="120"/>
              <w:rPr>
                <w:sz w:val="20"/>
                <w:szCs w:val="20"/>
              </w:rPr>
            </w:pPr>
            <w:r w:rsidRPr="00FB5439">
              <w:rPr>
                <w:sz w:val="20"/>
                <w:szCs w:val="20"/>
              </w:rPr>
              <w:t>Signature block</w:t>
            </w:r>
          </w:p>
        </w:tc>
      </w:tr>
      <w:tr w:rsidR="00E93F58" w:rsidRPr="00FB5439" w14:paraId="068FD925" w14:textId="77777777" w:rsidTr="00B23434">
        <w:tc>
          <w:tcPr>
            <w:tcW w:w="1620" w:type="pct"/>
            <w:tcBorders>
              <w:top w:val="nil"/>
              <w:left w:val="single" w:sz="8" w:space="0" w:color="auto"/>
              <w:bottom w:val="single" w:sz="4" w:space="0" w:color="auto"/>
              <w:right w:val="single" w:sz="4" w:space="0" w:color="auto"/>
            </w:tcBorders>
            <w:noWrap/>
            <w:vAlign w:val="center"/>
          </w:tcPr>
          <w:p w14:paraId="74E8AE7C"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Name</w:t>
            </w:r>
          </w:p>
        </w:tc>
        <w:tc>
          <w:tcPr>
            <w:tcW w:w="3380" w:type="pct"/>
            <w:tcBorders>
              <w:top w:val="nil"/>
              <w:left w:val="nil"/>
              <w:bottom w:val="single" w:sz="4" w:space="0" w:color="auto"/>
              <w:right w:val="single" w:sz="8" w:space="0" w:color="auto"/>
            </w:tcBorders>
            <w:vAlign w:val="center"/>
          </w:tcPr>
          <w:p w14:paraId="1D7AAEC7" w14:textId="77777777" w:rsidR="00E93F58" w:rsidRPr="00FB5439" w:rsidRDefault="00E93F58" w:rsidP="00070F64">
            <w:pPr>
              <w:spacing w:before="60" w:after="60"/>
              <w:rPr>
                <w:rFonts w:ascii="Arial" w:hAnsi="Arial" w:cs="Arial"/>
                <w:szCs w:val="22"/>
              </w:rPr>
            </w:pPr>
          </w:p>
        </w:tc>
      </w:tr>
      <w:tr w:rsidR="00E93F58" w:rsidRPr="00FB5439" w14:paraId="4DE79DEF" w14:textId="77777777" w:rsidTr="00B23434">
        <w:trPr>
          <w:trHeight w:val="300"/>
        </w:trPr>
        <w:tc>
          <w:tcPr>
            <w:tcW w:w="1620" w:type="pct"/>
            <w:tcBorders>
              <w:top w:val="nil"/>
              <w:left w:val="single" w:sz="8" w:space="0" w:color="auto"/>
              <w:bottom w:val="single" w:sz="4" w:space="0" w:color="auto"/>
              <w:right w:val="single" w:sz="4" w:space="0" w:color="auto"/>
            </w:tcBorders>
            <w:noWrap/>
            <w:vAlign w:val="center"/>
          </w:tcPr>
          <w:p w14:paraId="578A138B"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Signature</w:t>
            </w:r>
          </w:p>
        </w:tc>
        <w:tc>
          <w:tcPr>
            <w:tcW w:w="3380" w:type="pct"/>
            <w:tcBorders>
              <w:top w:val="nil"/>
              <w:left w:val="nil"/>
              <w:bottom w:val="single" w:sz="4" w:space="0" w:color="auto"/>
              <w:right w:val="single" w:sz="8" w:space="0" w:color="auto"/>
            </w:tcBorders>
            <w:vAlign w:val="center"/>
          </w:tcPr>
          <w:p w14:paraId="671C90B0" w14:textId="77777777" w:rsidR="00E93F58" w:rsidRPr="00FB5439" w:rsidRDefault="00E93F58" w:rsidP="00070F64">
            <w:pPr>
              <w:spacing w:before="60" w:after="60"/>
              <w:rPr>
                <w:rFonts w:ascii="Arial" w:hAnsi="Arial" w:cs="Arial"/>
                <w:szCs w:val="22"/>
              </w:rPr>
            </w:pPr>
          </w:p>
        </w:tc>
      </w:tr>
      <w:tr w:rsidR="00E93F58" w:rsidRPr="00FB5439" w14:paraId="198BAB09" w14:textId="77777777" w:rsidTr="00B23434">
        <w:tc>
          <w:tcPr>
            <w:tcW w:w="1620" w:type="pct"/>
            <w:tcBorders>
              <w:top w:val="nil"/>
              <w:left w:val="single" w:sz="8" w:space="0" w:color="auto"/>
              <w:bottom w:val="single" w:sz="4" w:space="0" w:color="auto"/>
              <w:right w:val="single" w:sz="4" w:space="0" w:color="auto"/>
            </w:tcBorders>
            <w:noWrap/>
            <w:vAlign w:val="center"/>
          </w:tcPr>
          <w:p w14:paraId="49A2A62D"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Capacity</w:t>
            </w:r>
          </w:p>
        </w:tc>
        <w:tc>
          <w:tcPr>
            <w:tcW w:w="3380" w:type="pct"/>
            <w:tcBorders>
              <w:top w:val="nil"/>
              <w:left w:val="nil"/>
              <w:bottom w:val="single" w:sz="4" w:space="0" w:color="auto"/>
              <w:right w:val="single" w:sz="8" w:space="0" w:color="auto"/>
            </w:tcBorders>
            <w:vAlign w:val="center"/>
          </w:tcPr>
          <w:p w14:paraId="7FCDE9B4" w14:textId="77777777" w:rsidR="00E93F58" w:rsidRPr="00FB5439" w:rsidRDefault="00E93F58" w:rsidP="00070F64">
            <w:pPr>
              <w:spacing w:before="60" w:after="60"/>
              <w:rPr>
                <w:rFonts w:ascii="Arial" w:hAnsi="Arial" w:cs="Arial"/>
                <w:szCs w:val="22"/>
              </w:rPr>
            </w:pPr>
          </w:p>
        </w:tc>
      </w:tr>
      <w:tr w:rsidR="00E93F58" w:rsidRPr="00FB5439" w14:paraId="52D8801E" w14:textId="77777777" w:rsidTr="00B23434">
        <w:tc>
          <w:tcPr>
            <w:tcW w:w="1620" w:type="pct"/>
            <w:tcBorders>
              <w:top w:val="nil"/>
              <w:left w:val="single" w:sz="8" w:space="0" w:color="auto"/>
              <w:bottom w:val="single" w:sz="4" w:space="0" w:color="auto"/>
              <w:right w:val="single" w:sz="4" w:space="0" w:color="auto"/>
            </w:tcBorders>
            <w:noWrap/>
            <w:vAlign w:val="center"/>
          </w:tcPr>
          <w:p w14:paraId="1E2D2980"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Entity name (if entity acting as local agent)</w:t>
            </w:r>
          </w:p>
        </w:tc>
        <w:tc>
          <w:tcPr>
            <w:tcW w:w="3380" w:type="pct"/>
            <w:tcBorders>
              <w:top w:val="nil"/>
              <w:left w:val="nil"/>
              <w:bottom w:val="single" w:sz="4" w:space="0" w:color="auto"/>
              <w:right w:val="single" w:sz="8" w:space="0" w:color="auto"/>
            </w:tcBorders>
            <w:vAlign w:val="center"/>
          </w:tcPr>
          <w:p w14:paraId="459DD3F0" w14:textId="77777777" w:rsidR="00E93F58" w:rsidRPr="00FB5439" w:rsidRDefault="00E93F58" w:rsidP="00070F64">
            <w:pPr>
              <w:spacing w:before="60" w:after="60"/>
              <w:rPr>
                <w:rFonts w:ascii="Arial" w:hAnsi="Arial" w:cs="Arial"/>
                <w:szCs w:val="22"/>
              </w:rPr>
            </w:pPr>
          </w:p>
        </w:tc>
      </w:tr>
      <w:tr w:rsidR="00E93F58" w:rsidRPr="00FB5439" w14:paraId="3823E1A3" w14:textId="77777777" w:rsidTr="00B23434">
        <w:trPr>
          <w:cantSplit/>
        </w:trPr>
        <w:tc>
          <w:tcPr>
            <w:tcW w:w="1620" w:type="pct"/>
            <w:tcBorders>
              <w:top w:val="nil"/>
              <w:left w:val="single" w:sz="8" w:space="0" w:color="auto"/>
              <w:bottom w:val="single" w:sz="8" w:space="0" w:color="auto"/>
              <w:right w:val="single" w:sz="4" w:space="0" w:color="auto"/>
            </w:tcBorders>
            <w:noWrap/>
            <w:vAlign w:val="center"/>
          </w:tcPr>
          <w:p w14:paraId="56B7E83F" w14:textId="77777777" w:rsidR="00E93F58" w:rsidRPr="00FB5439" w:rsidRDefault="00E93F58" w:rsidP="00070F64">
            <w:pPr>
              <w:spacing w:before="60" w:after="60"/>
              <w:rPr>
                <w:rFonts w:ascii="Arial" w:hAnsi="Arial" w:cs="Arial"/>
                <w:sz w:val="21"/>
                <w:szCs w:val="21"/>
              </w:rPr>
            </w:pPr>
            <w:r w:rsidRPr="00FB5439">
              <w:rPr>
                <w:rFonts w:ascii="Arial" w:hAnsi="Arial" w:cs="Arial"/>
                <w:sz w:val="21"/>
                <w:szCs w:val="21"/>
              </w:rPr>
              <w:t>Date signed</w:t>
            </w:r>
          </w:p>
        </w:tc>
        <w:tc>
          <w:tcPr>
            <w:tcW w:w="3380" w:type="pct"/>
            <w:tcBorders>
              <w:top w:val="nil"/>
              <w:left w:val="nil"/>
              <w:bottom w:val="single" w:sz="8" w:space="0" w:color="auto"/>
              <w:right w:val="single" w:sz="8" w:space="0" w:color="auto"/>
            </w:tcBorders>
            <w:vAlign w:val="center"/>
          </w:tcPr>
          <w:p w14:paraId="6855A18F" w14:textId="77777777" w:rsidR="00E93F58" w:rsidRPr="00FB5439" w:rsidRDefault="00E93F58" w:rsidP="00070F64">
            <w:pPr>
              <w:spacing w:before="60" w:after="60"/>
              <w:rPr>
                <w:rFonts w:ascii="Arial" w:hAnsi="Arial" w:cs="Arial"/>
                <w:szCs w:val="22"/>
              </w:rPr>
            </w:pPr>
          </w:p>
        </w:tc>
      </w:tr>
    </w:tbl>
    <w:p w14:paraId="5393F943" w14:textId="77777777" w:rsidR="00E93F58" w:rsidRPr="00FB5439" w:rsidRDefault="00E93F58" w:rsidP="00070F64"/>
    <w:p w14:paraId="00E0819D" w14:textId="77777777" w:rsidR="00E93F58" w:rsidRPr="006E33DE" w:rsidRDefault="00E93F58" w:rsidP="0046564D">
      <w:pPr>
        <w:pStyle w:val="ActHead2"/>
        <w:pageBreakBefore/>
        <w:rPr>
          <w:rFonts w:eastAsia="Calibri"/>
        </w:rPr>
      </w:pPr>
      <w:bookmarkStart w:id="3224" w:name="_Toc151992797"/>
      <w:bookmarkStart w:id="3225" w:name="_Hlk146195346"/>
      <w:bookmarkStart w:id="3226" w:name="_Toc158713400"/>
      <w:r w:rsidRPr="0046564D">
        <w:rPr>
          <w:rStyle w:val="CharPartNo"/>
          <w:rFonts w:eastAsia="Calibri"/>
        </w:rPr>
        <w:lastRenderedPageBreak/>
        <w:t>Form 586</w:t>
      </w:r>
      <w:bookmarkEnd w:id="3224"/>
      <w:bookmarkEnd w:id="3226"/>
      <w:r w:rsidRPr="001352C1">
        <w:rPr>
          <w:rStyle w:val="CharPartText"/>
          <w:rFonts w:eastAsia="Calibri"/>
        </w:rPr>
        <w:t xml:space="preserve">  </w:t>
      </w:r>
    </w:p>
    <w:p w14:paraId="3FD922C0" w14:textId="77777777" w:rsidR="00E93F58" w:rsidRPr="008A0704" w:rsidRDefault="00E93F58" w:rsidP="007446C5">
      <w:pPr>
        <w:pStyle w:val="notemargin"/>
        <w:rPr>
          <w:rFonts w:eastAsia="Calibri"/>
        </w:rPr>
      </w:pPr>
      <w:r w:rsidRPr="008A0704">
        <w:rPr>
          <w:rFonts w:eastAsia="Calibri"/>
        </w:rPr>
        <w:t>(subparagraph 206F(1)(b)(i))</w:t>
      </w:r>
    </w:p>
    <w:p w14:paraId="0816FADE" w14:textId="77777777" w:rsidR="00E93F58" w:rsidRPr="008A0704" w:rsidRDefault="00E93F58"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586</w:t>
      </w:r>
    </w:p>
    <w:p w14:paraId="74A2D0CA"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p>
    <w:p w14:paraId="2530D3CA"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14:paraId="5D39B057"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r>
        <w:rPr>
          <w:rFonts w:ascii="Calibri" w:eastAsia="Calibri" w:hAnsi="Calibri" w:cs="Times New Roman"/>
          <w:b/>
          <w:bCs/>
          <w:szCs w:val="22"/>
        </w:rPr>
        <w:t>Subparagraph 2</w:t>
      </w:r>
      <w:r w:rsidRPr="008A0704">
        <w:rPr>
          <w:rFonts w:ascii="Calibri" w:eastAsia="Calibri" w:hAnsi="Calibri" w:cs="Times New Roman"/>
          <w:b/>
          <w:bCs/>
          <w:szCs w:val="22"/>
        </w:rPr>
        <w:t>06F(1)(b)(i)</w:t>
      </w:r>
    </w:p>
    <w:p w14:paraId="092EF025"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p>
    <w:p w14:paraId="68BF7C8D"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14:paraId="151A2782"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p>
    <w:p w14:paraId="276A6A7D"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14:paraId="38840318" w14:textId="77777777" w:rsidR="00E93F58" w:rsidRPr="008A0704" w:rsidRDefault="00E93F58" w:rsidP="007446C5">
      <w:pPr>
        <w:autoSpaceDE w:val="0"/>
        <w:autoSpaceDN w:val="0"/>
        <w:adjustRightInd w:val="0"/>
        <w:spacing w:after="160" w:line="256" w:lineRule="auto"/>
        <w:rPr>
          <w:rFonts w:ascii="Calibri" w:eastAsia="Calibri" w:hAnsi="Calibri" w:cs="Times New Roman"/>
          <w:b/>
          <w:bCs/>
          <w:szCs w:val="22"/>
        </w:rPr>
      </w:pPr>
    </w:p>
    <w:p w14:paraId="3B7786B6"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14:paraId="7377C988" w14:textId="77777777" w:rsidR="00E93F58" w:rsidRPr="008A0704" w:rsidRDefault="00E93F58"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206F of the Corporations Act 2001.</w:t>
      </w:r>
    </w:p>
    <w:p w14:paraId="557B694E"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7A83BBC2"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14:paraId="2AC70D4B"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3155CDFD"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43CC3149"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14:paraId="0B8B9736"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 </w:t>
      </w:r>
    </w:p>
    <w:p w14:paraId="0534B65B" w14:textId="77777777" w:rsidR="00E93F58" w:rsidRPr="008A0704" w:rsidRDefault="00E93F58" w:rsidP="007446C5">
      <w:pPr>
        <w:autoSpaceDE w:val="0"/>
        <w:autoSpaceDN w:val="0"/>
        <w:adjustRightInd w:val="0"/>
        <w:spacing w:after="160" w:line="256" w:lineRule="auto"/>
        <w:jc w:val="both"/>
        <w:rPr>
          <w:rFonts w:ascii="Calibri" w:eastAsia="Calibri" w:hAnsi="Calibri" w:cs="Times New Roman"/>
          <w:szCs w:val="22"/>
        </w:rPr>
      </w:pPr>
    </w:p>
    <w:p w14:paraId="52447C53"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where a liquidator has reported under subsection 533(1) of the Corporations Act 2001 (the Act) that each of the corporations may be unable to pay its unsecured creditors more than 50 cents in the dollar.</w:t>
      </w:r>
    </w:p>
    <w:p w14:paraId="28626FFE"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636F3611"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206F(1)(b)(i) of the Act, why you should not be disqualified from managing corporations.</w:t>
      </w:r>
    </w:p>
    <w:p w14:paraId="3C7A1F5D"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34120FEC"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Under subsection 206F(1) of the Act you may be disqualified from managing corporations for a period of up to 5 years.</w:t>
      </w:r>
    </w:p>
    <w:p w14:paraId="33F9A21C"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0ACCC9B1"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making a decision under subsection 206F(1) of the Act ASIC is required to give you an opportunity to be heard in relation to why you should not be disqualified from managing corporations.</w:t>
      </w:r>
    </w:p>
    <w:p w14:paraId="6D6243A5" w14:textId="77777777" w:rsidR="00E93F58" w:rsidRPr="008A0704" w:rsidRDefault="00E93F58" w:rsidP="007446C5">
      <w:pPr>
        <w:autoSpaceDE w:val="0"/>
        <w:autoSpaceDN w:val="0"/>
        <w:adjustRightInd w:val="0"/>
        <w:spacing w:after="160" w:line="256" w:lineRule="auto"/>
        <w:jc w:val="both"/>
        <w:rPr>
          <w:rFonts w:ascii="Calibri" w:eastAsia="Calibri" w:hAnsi="Calibri" w:cs="Times New Roman"/>
          <w:szCs w:val="22"/>
        </w:rPr>
      </w:pPr>
    </w:p>
    <w:p w14:paraId="6DCA018E" w14:textId="77777777" w:rsidR="00E93F58" w:rsidRPr="008A0704" w:rsidRDefault="00E93F58"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AREAS OF CONCERN</w:t>
      </w:r>
    </w:p>
    <w:p w14:paraId="79AAA516" w14:textId="77777777" w:rsidR="00E93F58" w:rsidRPr="008A0704" w:rsidRDefault="00E93F58" w:rsidP="007446C5">
      <w:pPr>
        <w:autoSpaceDE w:val="0"/>
        <w:autoSpaceDN w:val="0"/>
        <w:adjustRightInd w:val="0"/>
        <w:spacing w:after="160" w:line="256" w:lineRule="auto"/>
        <w:rPr>
          <w:rFonts w:ascii="Calibri" w:eastAsia="Calibri" w:hAnsi="Calibri" w:cs="Times New Roman"/>
          <w:b/>
          <w:bCs/>
          <w:szCs w:val="22"/>
        </w:rPr>
      </w:pPr>
    </w:p>
    <w:p w14:paraId="228C2A9D"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14:paraId="764B98FB"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4D38CE1E"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lastRenderedPageBreak/>
        <w:t>The documents on which these concerns are based are listed in Attachment "B".</w:t>
      </w:r>
    </w:p>
    <w:p w14:paraId="17483555" w14:textId="77777777" w:rsidR="00E93F58" w:rsidRPr="008A0704" w:rsidRDefault="00E93F58" w:rsidP="007446C5">
      <w:pPr>
        <w:spacing w:after="160" w:line="256" w:lineRule="auto"/>
        <w:jc w:val="both"/>
        <w:rPr>
          <w:rFonts w:ascii="Calibri" w:eastAsia="Calibri" w:hAnsi="Calibri" w:cs="Times New Roman"/>
          <w:szCs w:val="22"/>
        </w:rPr>
      </w:pPr>
    </w:p>
    <w:p w14:paraId="4832CEF3" w14:textId="77777777" w:rsidR="00E93F58" w:rsidRPr="008A0704" w:rsidRDefault="00E93F58"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14:paraId="603A2EA5" w14:textId="77777777" w:rsidR="00E93F58" w:rsidRPr="008A0704" w:rsidRDefault="00E93F58" w:rsidP="007446C5">
      <w:pPr>
        <w:autoSpaceDE w:val="0"/>
        <w:autoSpaceDN w:val="0"/>
        <w:adjustRightInd w:val="0"/>
        <w:spacing w:after="160" w:line="256" w:lineRule="auto"/>
        <w:rPr>
          <w:rFonts w:ascii="Calibri" w:eastAsia="Calibri" w:hAnsi="Calibri" w:cs="Times New Roman"/>
          <w:b/>
          <w:bCs/>
          <w:szCs w:val="22"/>
        </w:rPr>
      </w:pPr>
    </w:p>
    <w:p w14:paraId="331C5F23"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14:paraId="627A8A78"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121F05BF" w14:textId="77777777" w:rsidR="00E93F58" w:rsidRPr="008A0704" w:rsidRDefault="00E93F58" w:rsidP="007446C5">
      <w:pPr>
        <w:keepNext/>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to be heard by:</w:t>
      </w:r>
    </w:p>
    <w:p w14:paraId="4B2C364B" w14:textId="77777777" w:rsidR="00E93F58" w:rsidRPr="008A0704" w:rsidRDefault="00E93F58" w:rsidP="007446C5">
      <w:pPr>
        <w:keepNext/>
        <w:autoSpaceDE w:val="0"/>
        <w:autoSpaceDN w:val="0"/>
        <w:adjustRightInd w:val="0"/>
        <w:spacing w:after="160" w:line="256" w:lineRule="auto"/>
        <w:rPr>
          <w:rFonts w:ascii="Calibri" w:eastAsia="Calibri" w:hAnsi="Calibri" w:cs="Times New Roman"/>
          <w:szCs w:val="22"/>
        </w:rPr>
      </w:pPr>
    </w:p>
    <w:p w14:paraId="7A2BC724" w14:textId="77777777" w:rsidR="00E93F58" w:rsidRPr="008A0704" w:rsidRDefault="00E93F58" w:rsidP="00E93F58">
      <w:pPr>
        <w:keepNext/>
        <w:numPr>
          <w:ilvl w:val="0"/>
          <w:numId w:val="43"/>
        </w:numPr>
        <w:tabs>
          <w:tab w:val="num" w:pos="928"/>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 xml:space="preserve">making a written submission; </w:t>
      </w:r>
    </w:p>
    <w:p w14:paraId="7C839F7E" w14:textId="77777777" w:rsidR="00E93F58" w:rsidRPr="008A0704" w:rsidRDefault="00E93F58" w:rsidP="007446C5">
      <w:pPr>
        <w:keepNext/>
        <w:autoSpaceDE w:val="0"/>
        <w:autoSpaceDN w:val="0"/>
        <w:adjustRightInd w:val="0"/>
        <w:spacing w:after="160" w:line="256" w:lineRule="auto"/>
        <w:ind w:left="360"/>
        <w:rPr>
          <w:rFonts w:ascii="Calibri" w:eastAsia="Calibri" w:hAnsi="Calibri" w:cs="Times New Roman"/>
          <w:szCs w:val="22"/>
        </w:rPr>
      </w:pPr>
    </w:p>
    <w:p w14:paraId="608AA8DF" w14:textId="77777777" w:rsidR="00E93F58" w:rsidRPr="008A0704" w:rsidRDefault="00E93F58" w:rsidP="00E93F58">
      <w:pPr>
        <w:keepNext/>
        <w:numPr>
          <w:ilvl w:val="0"/>
          <w:numId w:val="43"/>
        </w:numPr>
        <w:tabs>
          <w:tab w:val="num" w:pos="567"/>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14:paraId="427D55D8" w14:textId="77777777" w:rsidR="00E93F58" w:rsidRPr="008A0704" w:rsidRDefault="00E93F58" w:rsidP="007446C5">
      <w:pPr>
        <w:keepNext/>
        <w:autoSpaceDE w:val="0"/>
        <w:autoSpaceDN w:val="0"/>
        <w:adjustRightInd w:val="0"/>
        <w:spacing w:after="160" w:line="240" w:lineRule="auto"/>
        <w:rPr>
          <w:rFonts w:ascii="Calibri" w:eastAsia="Calibri" w:hAnsi="Calibri" w:cs="Times New Roman"/>
          <w:szCs w:val="22"/>
        </w:rPr>
      </w:pPr>
    </w:p>
    <w:p w14:paraId="5D530959"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14:paraId="559A78EB"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221DA431"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14:paraId="6630B6F4"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75E78F98"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14:paraId="4F7CBC12"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7F47D022"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0108A124"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p>
    <w:p w14:paraId="431A8E10"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__________________________20_________</w:t>
      </w:r>
    </w:p>
    <w:p w14:paraId="6CC8C730" w14:textId="77777777" w:rsidR="00E93F58" w:rsidRPr="008A0704" w:rsidRDefault="00E93F58"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_____________________________________________________________</w:t>
      </w:r>
    </w:p>
    <w:p w14:paraId="6D8E7DC3" w14:textId="77777777" w:rsidR="00E93F58" w:rsidRPr="008A0704" w:rsidRDefault="00E93F58" w:rsidP="007446C5">
      <w:pPr>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14:paraId="0E7B8F77" w14:textId="77777777" w:rsidR="00E93F58" w:rsidRPr="008A0704" w:rsidRDefault="00E93F58" w:rsidP="007446C5">
      <w:pPr>
        <w:rPr>
          <w:rFonts w:ascii="Calibri" w:eastAsia="Calibri" w:hAnsi="Calibri" w:cs="Times New Roman"/>
          <w:szCs w:val="22"/>
        </w:rPr>
      </w:pPr>
    </w:p>
    <w:p w14:paraId="353B71D1" w14:textId="77777777" w:rsidR="00E93F58" w:rsidRPr="008A0704" w:rsidRDefault="00E93F58" w:rsidP="007446C5">
      <w:pPr>
        <w:rPr>
          <w:rFonts w:ascii="Calibri" w:eastAsia="Calibri" w:hAnsi="Calibri" w:cs="Times New Roman"/>
          <w:b/>
          <w:bCs/>
          <w:szCs w:val="22"/>
        </w:rPr>
      </w:pPr>
    </w:p>
    <w:p w14:paraId="448A317F" w14:textId="77777777" w:rsidR="00E93F58" w:rsidRPr="008A0704" w:rsidRDefault="00E93F58" w:rsidP="007446C5">
      <w:pPr>
        <w:rPr>
          <w:rFonts w:ascii="Calibri" w:eastAsia="Calibri" w:hAnsi="Calibri" w:cs="Times New Roman"/>
          <w:b/>
          <w:bCs/>
          <w:szCs w:val="22"/>
        </w:rPr>
      </w:pPr>
      <w:r w:rsidRPr="008A0704">
        <w:rPr>
          <w:rFonts w:ascii="Calibri" w:eastAsia="Calibri" w:hAnsi="Calibri" w:cs="Times New Roman"/>
          <w:b/>
          <w:bCs/>
          <w:szCs w:val="22"/>
        </w:rPr>
        <w:t xml:space="preserve">Attachments </w:t>
      </w:r>
    </w:p>
    <w:p w14:paraId="0499B56C" w14:textId="77777777" w:rsidR="00E93F58" w:rsidRPr="008A0704" w:rsidRDefault="00E93F58"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“A”</w:t>
      </w:r>
    </w:p>
    <w:p w14:paraId="17D1B35F" w14:textId="77777777" w:rsidR="00E93F58" w:rsidRPr="008A0704" w:rsidRDefault="00E93F58"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Areas of concern</w:t>
      </w:r>
    </w:p>
    <w:p w14:paraId="62DB13C2" w14:textId="77777777" w:rsidR="00E93F58" w:rsidRPr="008A0704" w:rsidRDefault="00E93F58" w:rsidP="007446C5">
      <w:pPr>
        <w:jc w:val="center"/>
        <w:rPr>
          <w:rFonts w:ascii="Calibri" w:eastAsia="Calibri" w:hAnsi="Calibri" w:cs="Times New Roman"/>
          <w:b/>
          <w:bCs/>
          <w:sz w:val="18"/>
          <w:szCs w:val="18"/>
        </w:rPr>
      </w:pPr>
    </w:p>
    <w:p w14:paraId="0991E7ED" w14:textId="77777777" w:rsidR="00E93F58" w:rsidRPr="008A0704" w:rsidRDefault="00E93F58"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“B”</w:t>
      </w:r>
    </w:p>
    <w:p w14:paraId="3D7B1889" w14:textId="77777777" w:rsidR="00E93F58" w:rsidRPr="008A0704" w:rsidRDefault="00E93F58"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List of documents upon which concerns are based</w:t>
      </w:r>
    </w:p>
    <w:p w14:paraId="36690468" w14:textId="77777777" w:rsidR="00E93F58" w:rsidRPr="008A0704" w:rsidRDefault="00E93F58" w:rsidP="007446C5">
      <w:pPr>
        <w:jc w:val="center"/>
        <w:rPr>
          <w:rFonts w:ascii="Calibri" w:eastAsia="Calibri" w:hAnsi="Calibri" w:cs="Times New Roman"/>
          <w:b/>
          <w:bCs/>
          <w:sz w:val="18"/>
          <w:szCs w:val="18"/>
        </w:rPr>
      </w:pPr>
    </w:p>
    <w:p w14:paraId="75DACBF1" w14:textId="77777777" w:rsidR="00E93F58" w:rsidRPr="008A0704" w:rsidRDefault="00E93F58"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br/>
      </w:r>
    </w:p>
    <w:p w14:paraId="65CEC54C" w14:textId="77777777" w:rsidR="00E93F58" w:rsidRPr="008A0704" w:rsidRDefault="00E93F58" w:rsidP="007446C5">
      <w:pPr>
        <w:jc w:val="center"/>
        <w:rPr>
          <w:rFonts w:ascii="Calibri" w:eastAsia="Calibri" w:hAnsi="Calibri" w:cs="Times New Roman"/>
          <w:b/>
          <w:bCs/>
          <w:szCs w:val="22"/>
        </w:rPr>
      </w:pPr>
      <w:r w:rsidRPr="008A0704">
        <w:rPr>
          <w:rFonts w:ascii="Calibri" w:eastAsia="Calibri" w:hAnsi="Calibri" w:cs="Times New Roman"/>
          <w:b/>
          <w:bCs/>
          <w:szCs w:val="22"/>
        </w:rPr>
        <w:t>DIRECTIONS</w:t>
      </w:r>
    </w:p>
    <w:p w14:paraId="4873F26A" w14:textId="77777777" w:rsidR="00E93F58" w:rsidRPr="008A0704" w:rsidRDefault="00E93F58" w:rsidP="00E93F58">
      <w:pPr>
        <w:numPr>
          <w:ilvl w:val="0"/>
          <w:numId w:val="42"/>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14:paraId="2327A560" w14:textId="77777777" w:rsidR="00E93F58" w:rsidRPr="008A0704" w:rsidRDefault="00E93F58" w:rsidP="00E93F58">
      <w:pPr>
        <w:numPr>
          <w:ilvl w:val="0"/>
          <w:numId w:val="42"/>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14:paraId="430017AF" w14:textId="77777777" w:rsidR="00E93F58" w:rsidRPr="008A0704" w:rsidRDefault="00E93F58" w:rsidP="00E93F58">
      <w:pPr>
        <w:numPr>
          <w:ilvl w:val="0"/>
          <w:numId w:val="42"/>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lastRenderedPageBreak/>
        <w:t>Insert number of corporations of which person was an officer.</w:t>
      </w:r>
    </w:p>
    <w:p w14:paraId="75997D2C" w14:textId="77777777" w:rsidR="00E93F58" w:rsidRPr="008A0704" w:rsidRDefault="00E93F58" w:rsidP="00E93F58">
      <w:pPr>
        <w:numPr>
          <w:ilvl w:val="0"/>
          <w:numId w:val="42"/>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14:paraId="1C63F0B4" w14:textId="77777777" w:rsidR="00E93F58" w:rsidRPr="008A0704" w:rsidRDefault="00E93F58" w:rsidP="00E93F58">
      <w:pPr>
        <w:numPr>
          <w:ilvl w:val="0"/>
          <w:numId w:val="42"/>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 xml:space="preserve">Insert full name of delegate signing the notice. </w:t>
      </w:r>
    </w:p>
    <w:p w14:paraId="4115FCA3" w14:textId="77777777" w:rsidR="00E93F58" w:rsidRPr="00FB5439" w:rsidRDefault="00E93F58" w:rsidP="00A80D13">
      <w:pPr>
        <w:pStyle w:val="ActHead2"/>
        <w:pageBreakBefore/>
        <w:ind w:left="0" w:firstLine="0"/>
      </w:pPr>
      <w:bookmarkStart w:id="3227" w:name="_Toc151992798"/>
      <w:bookmarkStart w:id="3228" w:name="_Toc158713401"/>
      <w:bookmarkEnd w:id="3225"/>
      <w:r w:rsidRPr="00FB5439">
        <w:rPr>
          <w:rStyle w:val="CharPartNo"/>
        </w:rPr>
        <w:lastRenderedPageBreak/>
        <w:t>Form 587</w:t>
      </w:r>
      <w:bookmarkEnd w:id="3227"/>
      <w:bookmarkEnd w:id="3228"/>
      <w:r w:rsidRPr="00FB5439">
        <w:rPr>
          <w:rStyle w:val="CharPartText"/>
        </w:rPr>
        <w:t xml:space="preserve"> </w:t>
      </w:r>
      <w:r w:rsidRPr="00FB5439">
        <w:t xml:space="preserve"> </w:t>
      </w:r>
    </w:p>
    <w:p w14:paraId="0389CB7D" w14:textId="77777777" w:rsidR="00E93F58" w:rsidRPr="00FB5439" w:rsidRDefault="00E93F58" w:rsidP="005D3DCE">
      <w:pPr>
        <w:pStyle w:val="notemargin"/>
      </w:pPr>
      <w:r w:rsidRPr="00FB5439">
        <w:t>(subsection 206F(3))</w:t>
      </w:r>
    </w:p>
    <w:p w14:paraId="58503ED2" w14:textId="77777777" w:rsidR="00E93F58" w:rsidRPr="00FB5439" w:rsidRDefault="00E93F58" w:rsidP="005D3DCE">
      <w:pPr>
        <w:pStyle w:val="notemargin"/>
      </w:pPr>
    </w:p>
    <w:p w14:paraId="1986D1E9" w14:textId="77777777" w:rsidR="00E93F58" w:rsidRPr="00FB5439" w:rsidRDefault="00E93F58" w:rsidP="00070F64">
      <w:r w:rsidRPr="00FB5439">
        <w:rPr>
          <w:noProof/>
          <w:lang w:eastAsia="en-AU"/>
        </w:rPr>
        <w:drawing>
          <wp:inline distT="0" distB="0" distL="0" distR="0" wp14:anchorId="46DB8E5A" wp14:editId="6FF0DF7F">
            <wp:extent cx="4667250" cy="6286500"/>
            <wp:effectExtent l="0" t="0" r="0" b="0"/>
            <wp:docPr id="14" name="Picture 14" descr="form 587 Notice of disqualification from managing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 587"/>
                    <pic:cNvPicPr>
                      <a:picLocks noChangeAspect="1" noChangeArrowheads="1"/>
                    </pic:cNvPicPr>
                  </pic:nvPicPr>
                  <pic:blipFill>
                    <a:blip r:embed="rId26" cstate="print">
                      <a:extLst>
                        <a:ext uri="{28A0092B-C50C-407E-A947-70E740481C1C}">
                          <a14:useLocalDpi xmlns:a14="http://schemas.microsoft.com/office/drawing/2010/main" val="0"/>
                        </a:ext>
                      </a:extLst>
                    </a:blip>
                    <a:srcRect l="2367" t="4362" r="2367" b="1677"/>
                    <a:stretch>
                      <a:fillRect/>
                    </a:stretch>
                  </pic:blipFill>
                  <pic:spPr bwMode="auto">
                    <a:xfrm>
                      <a:off x="0" y="0"/>
                      <a:ext cx="4667250" cy="6286500"/>
                    </a:xfrm>
                    <a:prstGeom prst="rect">
                      <a:avLst/>
                    </a:prstGeom>
                    <a:noFill/>
                    <a:ln>
                      <a:noFill/>
                    </a:ln>
                  </pic:spPr>
                </pic:pic>
              </a:graphicData>
            </a:graphic>
          </wp:inline>
        </w:drawing>
      </w:r>
    </w:p>
    <w:p w14:paraId="642FA664" w14:textId="77777777" w:rsidR="00E93F58" w:rsidRPr="006E33DE" w:rsidRDefault="00E93F58" w:rsidP="0046564D">
      <w:pPr>
        <w:pStyle w:val="ActHead2"/>
        <w:pageBreakBefore/>
        <w:rPr>
          <w:rFonts w:eastAsia="Calibri"/>
        </w:rPr>
      </w:pPr>
      <w:bookmarkStart w:id="3229" w:name="_Toc151992799"/>
      <w:bookmarkStart w:id="3230" w:name="_Toc158713402"/>
      <w:r w:rsidRPr="0046564D">
        <w:rPr>
          <w:rStyle w:val="CharPartNo"/>
          <w:rFonts w:eastAsia="Calibri"/>
        </w:rPr>
        <w:lastRenderedPageBreak/>
        <w:t>Form 588</w:t>
      </w:r>
      <w:bookmarkEnd w:id="3229"/>
      <w:bookmarkEnd w:id="3230"/>
      <w:r w:rsidRPr="001352C1">
        <w:rPr>
          <w:rStyle w:val="CharPartText"/>
          <w:rFonts w:eastAsia="Calibri"/>
        </w:rPr>
        <w:t xml:space="preserve">  </w:t>
      </w:r>
    </w:p>
    <w:p w14:paraId="130F46DD" w14:textId="77777777" w:rsidR="00E93F58" w:rsidRPr="008A0704" w:rsidRDefault="00E93F58" w:rsidP="007446C5">
      <w:pPr>
        <w:pStyle w:val="notemargin"/>
        <w:rPr>
          <w:rFonts w:eastAsia="Calibri"/>
        </w:rPr>
      </w:pPr>
      <w:r w:rsidRPr="008A0704">
        <w:rPr>
          <w:rFonts w:eastAsia="Calibri"/>
        </w:rPr>
        <w:t>(subparagraph 206GAA(1)(b)(i))</w:t>
      </w:r>
    </w:p>
    <w:p w14:paraId="4C1E3B6A" w14:textId="77777777" w:rsidR="00E93F58" w:rsidRPr="008A0704" w:rsidRDefault="00E93F58"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588</w:t>
      </w:r>
    </w:p>
    <w:p w14:paraId="3EDA3503"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p>
    <w:p w14:paraId="54309652"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14:paraId="6703A6A5"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Pr>
          <w:rFonts w:ascii="Calibri" w:eastAsia="Calibri" w:hAnsi="Calibri" w:cs="Times New Roman"/>
          <w:b/>
          <w:bCs/>
          <w:szCs w:val="22"/>
        </w:rPr>
        <w:t>Subparagraph 2</w:t>
      </w:r>
      <w:r w:rsidRPr="008A0704">
        <w:rPr>
          <w:rFonts w:ascii="Calibri" w:eastAsia="Calibri" w:hAnsi="Calibri" w:cs="Times New Roman"/>
          <w:b/>
          <w:bCs/>
          <w:szCs w:val="22"/>
        </w:rPr>
        <w:t>06GAA(1)(b)(i)</w:t>
      </w:r>
    </w:p>
    <w:p w14:paraId="121D0680"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p>
    <w:p w14:paraId="7E8F07F4"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14:paraId="50312954"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p>
    <w:p w14:paraId="090B67F1"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14:paraId="159F35A9"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p>
    <w:p w14:paraId="17DA5536"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14:paraId="2E03B0AA"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206GAA of the Corporations Act 2001.</w:t>
      </w:r>
    </w:p>
    <w:p w14:paraId="5E9D3E80"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51739F0C"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14:paraId="5BA97470"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0EE4C7CE"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79D1D883"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14:paraId="026C2004"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 </w:t>
      </w:r>
    </w:p>
    <w:p w14:paraId="0914E7D6" w14:textId="77777777" w:rsidR="00E93F58" w:rsidRPr="008A0704" w:rsidRDefault="00E93F58" w:rsidP="007446C5">
      <w:pPr>
        <w:autoSpaceDE w:val="0"/>
        <w:autoSpaceDN w:val="0"/>
        <w:adjustRightInd w:val="0"/>
        <w:spacing w:after="160" w:line="259" w:lineRule="auto"/>
        <w:jc w:val="both"/>
        <w:rPr>
          <w:rFonts w:ascii="Calibri" w:eastAsia="Calibri" w:hAnsi="Calibri" w:cs="Times New Roman"/>
          <w:szCs w:val="22"/>
        </w:rPr>
      </w:pPr>
    </w:p>
    <w:p w14:paraId="020EC0EF"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where money was advanced for the purposes of paying the entitlements of employees of the corporations under the Fair Entitlements Guarantee Act 2012 and:</w:t>
      </w:r>
    </w:p>
    <w:p w14:paraId="0B0C402C"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70069AC6" w14:textId="77777777" w:rsidR="00E93F58" w:rsidRPr="008A0704" w:rsidRDefault="00E93F58" w:rsidP="00E93F58">
      <w:pPr>
        <w:numPr>
          <w:ilvl w:val="0"/>
          <w:numId w:val="4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the Commonwealth has received a minimal return, or no return on the advance; and</w:t>
      </w:r>
    </w:p>
    <w:p w14:paraId="486C901A" w14:textId="77777777" w:rsidR="00E93F58" w:rsidRPr="008A0704" w:rsidRDefault="00E93F58" w:rsidP="00E93F58">
      <w:pPr>
        <w:numPr>
          <w:ilvl w:val="0"/>
          <w:numId w:val="4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ASIC has reason to believe that the Commonwealth is unlikely to receive more than a minimal return on the advance; and</w:t>
      </w:r>
    </w:p>
    <w:p w14:paraId="07E11056" w14:textId="77777777" w:rsidR="00E93F58" w:rsidRPr="008A0704" w:rsidRDefault="00E93F58" w:rsidP="00E93F58">
      <w:pPr>
        <w:numPr>
          <w:ilvl w:val="0"/>
          <w:numId w:val="4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ASIC has reason to believe that either the corporations contravened the Corporations Act 2001 or Corporations (Aboriginal and Torres Strait Islander) Act 2006 and that the person failed to take reasonable steps to prevent the contravention or the person contravened the Corporations Act 2001 or Corporations (Aboriginal and Torres Strait Islander) Act 2006.</w:t>
      </w:r>
    </w:p>
    <w:p w14:paraId="603C7361"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0A233CAA"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206GAA(1)(b)(i) of the Act, why you should not be disqualified from managing corporations.</w:t>
      </w:r>
    </w:p>
    <w:p w14:paraId="04DAF2DE"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5EA3EF76"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Under subsection 206GAA(1) of the Act you may be disqualified from managing corporations for a period of up to 5 years.</w:t>
      </w:r>
    </w:p>
    <w:p w14:paraId="52266047"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2548588A"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lastRenderedPageBreak/>
        <w:t>In making a decision under subsection 206GAA(1) of the Act ASIC is required to give you an opportunity to be heard in relation to why you should not be disqualified from managing corporations.</w:t>
      </w:r>
    </w:p>
    <w:p w14:paraId="63796A51" w14:textId="77777777" w:rsidR="00E93F58" w:rsidRPr="008A0704" w:rsidRDefault="00E93F58" w:rsidP="007446C5">
      <w:pPr>
        <w:autoSpaceDE w:val="0"/>
        <w:autoSpaceDN w:val="0"/>
        <w:adjustRightInd w:val="0"/>
        <w:spacing w:after="160" w:line="259" w:lineRule="auto"/>
        <w:jc w:val="both"/>
        <w:rPr>
          <w:rFonts w:ascii="Calibri" w:eastAsia="Calibri" w:hAnsi="Calibri" w:cs="Times New Roman"/>
          <w:szCs w:val="22"/>
        </w:rPr>
      </w:pPr>
    </w:p>
    <w:p w14:paraId="43F08A81"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AREAS OF CONCERN</w:t>
      </w:r>
    </w:p>
    <w:p w14:paraId="7DFE51F9"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p>
    <w:p w14:paraId="209BB8DE"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14:paraId="110FD66C"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27A1A26F"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14:paraId="7EE154D0" w14:textId="77777777" w:rsidR="00E93F58" w:rsidRPr="008A0704" w:rsidRDefault="00E93F58" w:rsidP="007446C5">
      <w:pPr>
        <w:spacing w:after="160" w:line="259" w:lineRule="auto"/>
        <w:jc w:val="both"/>
        <w:rPr>
          <w:rFonts w:ascii="Calibri" w:eastAsia="Calibri" w:hAnsi="Calibri" w:cs="Times New Roman"/>
          <w:szCs w:val="22"/>
        </w:rPr>
      </w:pPr>
    </w:p>
    <w:p w14:paraId="257F9D42"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14:paraId="2BC0C3D2"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p>
    <w:p w14:paraId="1D2516C6"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14:paraId="32E76859"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729ADD92" w14:textId="77777777" w:rsidR="00E93F58" w:rsidRPr="008A0704" w:rsidRDefault="00E93F58" w:rsidP="007446C5">
      <w:pPr>
        <w:keepNext/>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You may exercise your right to be heard by:</w:t>
      </w:r>
    </w:p>
    <w:p w14:paraId="3A330F91" w14:textId="77777777" w:rsidR="00E93F58" w:rsidRPr="008A0704" w:rsidRDefault="00E93F58" w:rsidP="007446C5">
      <w:pPr>
        <w:keepNext/>
        <w:autoSpaceDE w:val="0"/>
        <w:autoSpaceDN w:val="0"/>
        <w:adjustRightInd w:val="0"/>
        <w:spacing w:after="160" w:line="259" w:lineRule="auto"/>
        <w:rPr>
          <w:rFonts w:ascii="Calibri" w:eastAsia="Calibri" w:hAnsi="Calibri" w:cs="Times New Roman"/>
          <w:szCs w:val="22"/>
        </w:rPr>
      </w:pPr>
    </w:p>
    <w:p w14:paraId="53E90C4F" w14:textId="77777777" w:rsidR="00E93F58" w:rsidRPr="008A0704" w:rsidRDefault="00E93F58" w:rsidP="00E93F58">
      <w:pPr>
        <w:keepNext/>
        <w:numPr>
          <w:ilvl w:val="0"/>
          <w:numId w:val="45"/>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making a written submission; or</w:t>
      </w:r>
    </w:p>
    <w:p w14:paraId="2E8A1C59" w14:textId="77777777" w:rsidR="00E93F58" w:rsidRPr="008A0704" w:rsidRDefault="00E93F58" w:rsidP="007446C5">
      <w:pPr>
        <w:keepNext/>
        <w:autoSpaceDE w:val="0"/>
        <w:autoSpaceDN w:val="0"/>
        <w:adjustRightInd w:val="0"/>
        <w:spacing w:after="160" w:line="259" w:lineRule="auto"/>
        <w:ind w:left="360"/>
        <w:rPr>
          <w:rFonts w:ascii="Calibri" w:eastAsia="Calibri" w:hAnsi="Calibri" w:cs="Times New Roman"/>
          <w:szCs w:val="22"/>
        </w:rPr>
      </w:pPr>
    </w:p>
    <w:p w14:paraId="036E6085" w14:textId="77777777" w:rsidR="00E93F58" w:rsidRPr="008A0704" w:rsidRDefault="00E93F58" w:rsidP="00E93F58">
      <w:pPr>
        <w:keepNext/>
        <w:numPr>
          <w:ilvl w:val="0"/>
          <w:numId w:val="45"/>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14:paraId="3C798E28" w14:textId="77777777" w:rsidR="00E93F58" w:rsidRPr="008A0704" w:rsidRDefault="00E93F58" w:rsidP="007446C5">
      <w:pPr>
        <w:keepNext/>
        <w:autoSpaceDE w:val="0"/>
        <w:autoSpaceDN w:val="0"/>
        <w:adjustRightInd w:val="0"/>
        <w:spacing w:after="160" w:line="240" w:lineRule="auto"/>
        <w:ind w:left="567"/>
        <w:rPr>
          <w:rFonts w:ascii="Calibri" w:eastAsia="Calibri" w:hAnsi="Calibri" w:cs="Times New Roman"/>
          <w:szCs w:val="22"/>
        </w:rPr>
      </w:pPr>
    </w:p>
    <w:p w14:paraId="1E4F6515"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14:paraId="66E59438"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10740E06"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14:paraId="4F4AC250"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020D5181"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14:paraId="53FC7E8E"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188FEC60"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646BE0BC"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19997F8A"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w:t>
      </w:r>
    </w:p>
    <w:p w14:paraId="30BE928C"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1A08CE4B"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5EDEC705"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2385F85D"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6595D0B0"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w:t>
      </w:r>
    </w:p>
    <w:p w14:paraId="3F73E606"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p>
    <w:p w14:paraId="5C4C5835"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_____________________________________</w:t>
      </w:r>
    </w:p>
    <w:p w14:paraId="77E0D5E6" w14:textId="77777777" w:rsidR="00E93F58" w:rsidRPr="008A0704" w:rsidRDefault="00E93F58"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14:paraId="077AC0EF"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p>
    <w:p w14:paraId="0B48455A" w14:textId="77777777" w:rsidR="00E93F58" w:rsidRPr="008A0704" w:rsidRDefault="00E93F58"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6E994DD5"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 xml:space="preserve">Attachments </w:t>
      </w:r>
    </w:p>
    <w:p w14:paraId="0A4BD0CE" w14:textId="77777777" w:rsidR="00E93F58" w:rsidRPr="008A0704" w:rsidRDefault="00E93F58" w:rsidP="007446C5">
      <w:pPr>
        <w:autoSpaceDE w:val="0"/>
        <w:autoSpaceDN w:val="0"/>
        <w:adjustRightInd w:val="0"/>
        <w:spacing w:after="160" w:line="259" w:lineRule="auto"/>
        <w:rPr>
          <w:rFonts w:ascii="Calibri" w:eastAsia="Calibri" w:hAnsi="Calibri" w:cs="Times New Roman"/>
          <w:b/>
          <w:bCs/>
          <w:szCs w:val="22"/>
        </w:rPr>
      </w:pPr>
    </w:p>
    <w:p w14:paraId="19961C05"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“A”</w:t>
      </w:r>
    </w:p>
    <w:p w14:paraId="2EBDB399"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Areas of concern</w:t>
      </w:r>
    </w:p>
    <w:p w14:paraId="3E9FCEDF"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szCs w:val="22"/>
        </w:rPr>
      </w:pPr>
    </w:p>
    <w:p w14:paraId="13D01622"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“B”</w:t>
      </w:r>
    </w:p>
    <w:p w14:paraId="30EDD704"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List of documents upon which concerns are based</w:t>
      </w:r>
    </w:p>
    <w:p w14:paraId="2F5E84ED" w14:textId="77777777" w:rsidR="00E93F58" w:rsidRPr="008A0704" w:rsidRDefault="00E93F58"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581E5515"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DIRECTIONS</w:t>
      </w:r>
    </w:p>
    <w:p w14:paraId="1EB2F06E" w14:textId="77777777" w:rsidR="00E93F58" w:rsidRPr="008A0704" w:rsidRDefault="00E93F58" w:rsidP="007446C5">
      <w:pPr>
        <w:autoSpaceDE w:val="0"/>
        <w:autoSpaceDN w:val="0"/>
        <w:adjustRightInd w:val="0"/>
        <w:spacing w:after="160" w:line="259" w:lineRule="auto"/>
        <w:jc w:val="center"/>
        <w:rPr>
          <w:rFonts w:ascii="Calibri" w:eastAsia="Calibri" w:hAnsi="Calibri" w:cs="Times New Roman"/>
          <w:b/>
          <w:bCs/>
          <w:szCs w:val="22"/>
        </w:rPr>
      </w:pPr>
    </w:p>
    <w:p w14:paraId="51BE71B8" w14:textId="77777777" w:rsidR="00E93F58" w:rsidRPr="008A0704" w:rsidRDefault="00E93F58" w:rsidP="00E93F58">
      <w:pPr>
        <w:numPr>
          <w:ilvl w:val="0"/>
          <w:numId w:val="44"/>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14:paraId="121D7DCF" w14:textId="77777777" w:rsidR="00E93F58" w:rsidRPr="008A0704" w:rsidRDefault="00E93F58" w:rsidP="00E93F58">
      <w:pPr>
        <w:numPr>
          <w:ilvl w:val="0"/>
          <w:numId w:val="44"/>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14:paraId="10701923" w14:textId="77777777" w:rsidR="00E93F58" w:rsidRPr="008A0704" w:rsidRDefault="00E93F58" w:rsidP="00E93F58">
      <w:pPr>
        <w:numPr>
          <w:ilvl w:val="0"/>
          <w:numId w:val="44"/>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the person was an officer.</w:t>
      </w:r>
    </w:p>
    <w:p w14:paraId="37810A43" w14:textId="77777777" w:rsidR="00E93F58" w:rsidRPr="008A0704" w:rsidRDefault="00E93F58" w:rsidP="00E93F58">
      <w:pPr>
        <w:numPr>
          <w:ilvl w:val="0"/>
          <w:numId w:val="44"/>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14:paraId="6C738F2B" w14:textId="77777777" w:rsidR="00E93F58" w:rsidRPr="008A0704" w:rsidRDefault="00E93F58" w:rsidP="00E93F58">
      <w:pPr>
        <w:numPr>
          <w:ilvl w:val="0"/>
          <w:numId w:val="44"/>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full name of delegate signing the notice.</w:t>
      </w:r>
    </w:p>
    <w:p w14:paraId="284854DE" w14:textId="77777777" w:rsidR="00E93F58" w:rsidRPr="00FB5439" w:rsidRDefault="00E93F58" w:rsidP="00A80D13">
      <w:pPr>
        <w:pStyle w:val="ActHead2"/>
        <w:pageBreakBefore/>
        <w:ind w:left="0" w:firstLine="0"/>
      </w:pPr>
      <w:bookmarkStart w:id="3231" w:name="_Toc151992800"/>
      <w:bookmarkStart w:id="3232" w:name="_Toc158713403"/>
      <w:r w:rsidRPr="00FB5439">
        <w:rPr>
          <w:rStyle w:val="CharPartNo"/>
        </w:rPr>
        <w:lastRenderedPageBreak/>
        <w:t>Form 589</w:t>
      </w:r>
      <w:bookmarkEnd w:id="3231"/>
      <w:bookmarkEnd w:id="3232"/>
      <w:r w:rsidRPr="00FB5439">
        <w:rPr>
          <w:rStyle w:val="CharPartText"/>
        </w:rPr>
        <w:t xml:space="preserve"> </w:t>
      </w:r>
      <w:r w:rsidRPr="00FB5439">
        <w:t xml:space="preserve"> </w:t>
      </w:r>
    </w:p>
    <w:p w14:paraId="79EC8004" w14:textId="77777777" w:rsidR="00E93F58" w:rsidRPr="00FB5439" w:rsidRDefault="00E93F58" w:rsidP="005D3DCE">
      <w:pPr>
        <w:pStyle w:val="notemargin"/>
      </w:pPr>
      <w:r w:rsidRPr="00FB5439">
        <w:t>(</w:t>
      </w:r>
      <w:r w:rsidRPr="00FB5439">
        <w:rPr>
          <w:rFonts w:eastAsia="Calibri"/>
        </w:rPr>
        <w:t>subsection 206GAA(6))</w:t>
      </w:r>
    </w:p>
    <w:p w14:paraId="00F82293" w14:textId="77777777" w:rsidR="00E93F58" w:rsidRPr="00FB5439" w:rsidRDefault="00E93F58" w:rsidP="005D3DCE">
      <w:pPr>
        <w:autoSpaceDE w:val="0"/>
        <w:autoSpaceDN w:val="0"/>
        <w:adjustRightInd w:val="0"/>
        <w:spacing w:line="240" w:lineRule="auto"/>
        <w:jc w:val="center"/>
        <w:rPr>
          <w:rFonts w:eastAsia="Times New Roman" w:cs="Times New Roman"/>
          <w:b/>
          <w:bCs/>
          <w:sz w:val="24"/>
          <w:szCs w:val="24"/>
        </w:rPr>
      </w:pPr>
      <w:r w:rsidRPr="00FB5439">
        <w:rPr>
          <w:rFonts w:eastAsia="Times New Roman" w:cs="Times New Roman"/>
          <w:b/>
          <w:bCs/>
          <w:sz w:val="24"/>
          <w:szCs w:val="24"/>
        </w:rPr>
        <w:t>Form 589</w:t>
      </w:r>
    </w:p>
    <w:p w14:paraId="4A532476"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p>
    <w:p w14:paraId="72AAB282"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Corporations Act 2001</w:t>
      </w:r>
    </w:p>
    <w:p w14:paraId="198F2342"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Subsection 206GAA(6)</w:t>
      </w:r>
    </w:p>
    <w:p w14:paraId="23486289"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14:paraId="2AF8E728"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p>
    <w:p w14:paraId="29C8A4A7"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 xml:space="preserve">IN THE MATTER </w:t>
      </w:r>
      <w:r w:rsidRPr="00FB5439">
        <w:rPr>
          <w:rFonts w:ascii="Calibri" w:eastAsia="Calibri" w:hAnsi="Calibri" w:cs="Times New Roman"/>
          <w:szCs w:val="22"/>
        </w:rPr>
        <w:t>of (1)__________________________________</w:t>
      </w:r>
    </w:p>
    <w:p w14:paraId="11615A36" w14:textId="77777777" w:rsidR="00E93F58" w:rsidRPr="00FB5439" w:rsidRDefault="00E93F58" w:rsidP="005D3DCE">
      <w:pPr>
        <w:autoSpaceDE w:val="0"/>
        <w:autoSpaceDN w:val="0"/>
        <w:adjustRightInd w:val="0"/>
        <w:spacing w:after="160" w:line="259" w:lineRule="auto"/>
        <w:rPr>
          <w:rFonts w:ascii="Calibri" w:eastAsia="Calibri" w:hAnsi="Calibri" w:cs="Times New Roman"/>
          <w:b/>
          <w:bCs/>
          <w:szCs w:val="22"/>
        </w:rPr>
      </w:pPr>
    </w:p>
    <w:p w14:paraId="5ECE7E4A"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14:paraId="32CFD153"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under subsection 206GAA(6) of the Corporations Act 2001.</w:t>
      </w:r>
    </w:p>
    <w:p w14:paraId="699E1AF7"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717D704F"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To: (2) ________________________________________________________</w:t>
      </w:r>
    </w:p>
    <w:p w14:paraId="744A8D31"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6B1792CD"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0267A203"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ASIC has given you notice in the prescribed form requiring you to demonstrate why you should not be disqualified from managing corporations and has given you an opportunity to be heard on the question.</w:t>
      </w:r>
    </w:p>
    <w:p w14:paraId="5CBEF0FB"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242FA740" w14:textId="77777777" w:rsidR="00E93F58" w:rsidRPr="00FB5439" w:rsidRDefault="00E93F58" w:rsidP="005D3DCE">
      <w:pPr>
        <w:autoSpaceDE w:val="0"/>
        <w:autoSpaceDN w:val="0"/>
        <w:adjustRightInd w:val="0"/>
        <w:spacing w:after="160" w:line="259" w:lineRule="auto"/>
        <w:rPr>
          <w:rFonts w:ascii="Calibri" w:eastAsia="Calibri" w:hAnsi="Calibri" w:cs="Times New Roman"/>
          <w:b/>
          <w:bCs/>
          <w:szCs w:val="22"/>
        </w:rPr>
      </w:pPr>
    </w:p>
    <w:p w14:paraId="53301977"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bCs/>
          <w:szCs w:val="22"/>
        </w:rPr>
        <w:t xml:space="preserve">TAKE NOTICE THAT </w:t>
      </w:r>
      <w:r w:rsidRPr="00FB5439">
        <w:rPr>
          <w:rFonts w:ascii="Calibri" w:eastAsia="Calibri" w:hAnsi="Calibri" w:cs="Times New Roman"/>
          <w:szCs w:val="22"/>
        </w:rPr>
        <w:t>having regard to the Notice to Demonstrate Why Disqualification Should Not Occur dated ___________(3) issued by _________</w:t>
      </w:r>
    </w:p>
    <w:p w14:paraId="774DD48D"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____________(4) and your opportunity to be heard ASIC is satisfied that your disqualification pursuant to section 206GAA of the Corporations Act 2001 is justified.</w:t>
      </w:r>
    </w:p>
    <w:p w14:paraId="7FE01BC1"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 xml:space="preserve"> </w:t>
      </w:r>
    </w:p>
    <w:p w14:paraId="5395C91A" w14:textId="77777777" w:rsidR="00E93F58" w:rsidRPr="00FB5439" w:rsidRDefault="00E93F58" w:rsidP="005D3DCE">
      <w:pPr>
        <w:autoSpaceDE w:val="0"/>
        <w:autoSpaceDN w:val="0"/>
        <w:adjustRightInd w:val="0"/>
        <w:spacing w:after="160" w:line="259" w:lineRule="auto"/>
        <w:jc w:val="both"/>
        <w:rPr>
          <w:rFonts w:ascii="Calibri" w:eastAsia="Calibri" w:hAnsi="Calibri" w:cs="Times New Roman"/>
          <w:b/>
          <w:bCs/>
          <w:szCs w:val="22"/>
        </w:rPr>
      </w:pPr>
    </w:p>
    <w:p w14:paraId="3450CC61" w14:textId="77777777" w:rsidR="00E93F58" w:rsidRPr="00FB5439" w:rsidRDefault="00E93F58"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b/>
          <w:bCs/>
          <w:szCs w:val="22"/>
        </w:rPr>
        <w:t xml:space="preserve">YOU ARE DISQUALIFIED </w:t>
      </w:r>
      <w:r w:rsidRPr="00FB5439">
        <w:rPr>
          <w:rFonts w:ascii="Calibri" w:eastAsia="Calibri" w:hAnsi="Calibri" w:cs="Times New Roman"/>
          <w:szCs w:val="22"/>
        </w:rPr>
        <w:t>from the time of service of this notice for a period of _______(5) years from managing corporations without the leave of ASIC.</w:t>
      </w:r>
    </w:p>
    <w:p w14:paraId="1ABD683A"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6F543B61"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0D76EEEE" w14:textId="77777777" w:rsidR="00E93F58" w:rsidRPr="00FB5439" w:rsidRDefault="00E93F58"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szCs w:val="22"/>
        </w:rPr>
        <w:t>Please note the extent of the legal prohibitions on your management of corporations under section 206A of the Corporations Act 2001.</w:t>
      </w:r>
    </w:p>
    <w:p w14:paraId="26B8C926"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1A09827C"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Dated this ________________ day of ___________________(6)</w:t>
      </w:r>
    </w:p>
    <w:p w14:paraId="79DF940D"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113FC218"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5605C080"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35B6C7AA"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p>
    <w:p w14:paraId="4016A471"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szCs w:val="22"/>
        </w:rPr>
        <w:t>Signed</w:t>
      </w:r>
      <w:r w:rsidRPr="00FB5439">
        <w:rPr>
          <w:rFonts w:ascii="Calibri" w:eastAsia="Calibri" w:hAnsi="Calibri" w:cs="Times New Roman"/>
          <w:szCs w:val="22"/>
        </w:rPr>
        <w:t xml:space="preserve"> …………………………………………………………</w:t>
      </w:r>
    </w:p>
    <w:p w14:paraId="3FAF5B2B"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_____________________________________</w:t>
      </w:r>
    </w:p>
    <w:p w14:paraId="45494B79" w14:textId="77777777" w:rsidR="00E93F58" w:rsidRPr="00FB5439" w:rsidRDefault="00E93F58"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(7) Delegate of the Australian Securities and Investments Commission</w:t>
      </w:r>
    </w:p>
    <w:p w14:paraId="27E14C68" w14:textId="77777777" w:rsidR="00E93F58" w:rsidRPr="00FB5439" w:rsidRDefault="00E93F58" w:rsidP="005D3DCE">
      <w:pPr>
        <w:autoSpaceDE w:val="0"/>
        <w:autoSpaceDN w:val="0"/>
        <w:adjustRightInd w:val="0"/>
        <w:spacing w:after="160" w:line="259" w:lineRule="auto"/>
        <w:rPr>
          <w:rFonts w:ascii="Calibri" w:eastAsia="Calibri" w:hAnsi="Calibri" w:cs="Times New Roman"/>
          <w:b/>
          <w:bCs/>
          <w:szCs w:val="22"/>
        </w:rPr>
      </w:pPr>
    </w:p>
    <w:p w14:paraId="093CF765" w14:textId="77777777" w:rsidR="00E93F58" w:rsidRPr="00FB5439" w:rsidRDefault="00E93F58"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02EB875B" w14:textId="77777777" w:rsidR="00E93F58" w:rsidRPr="00FB5439" w:rsidRDefault="00E93F58"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20B4613D"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DIRECTIONS</w:t>
      </w:r>
    </w:p>
    <w:p w14:paraId="430316F6" w14:textId="77777777" w:rsidR="00E93F58" w:rsidRPr="00FB5439" w:rsidRDefault="00E93F58" w:rsidP="005D3DCE">
      <w:pPr>
        <w:autoSpaceDE w:val="0"/>
        <w:autoSpaceDN w:val="0"/>
        <w:adjustRightInd w:val="0"/>
        <w:spacing w:after="160" w:line="259" w:lineRule="auto"/>
        <w:jc w:val="center"/>
        <w:rPr>
          <w:rFonts w:ascii="Calibri" w:eastAsia="Calibri" w:hAnsi="Calibri" w:cs="Times New Roman"/>
          <w:b/>
          <w:bCs/>
          <w:szCs w:val="22"/>
        </w:rPr>
      </w:pPr>
    </w:p>
    <w:p w14:paraId="6894B5E1" w14:textId="77777777" w:rsidR="00E93F58" w:rsidRPr="00FB5439" w:rsidRDefault="00E93F58"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(1)</w:t>
      </w:r>
      <w:r w:rsidRPr="00FB5439">
        <w:rPr>
          <w:rFonts w:ascii="Calibri" w:eastAsia="Calibri" w:hAnsi="Calibri" w:cs="Times New Roman"/>
          <w:szCs w:val="22"/>
        </w:rPr>
        <w:tab/>
        <w:t>Insert the name of person being disqualified.</w:t>
      </w:r>
    </w:p>
    <w:p w14:paraId="2C1262C3" w14:textId="77777777" w:rsidR="00E93F58" w:rsidRPr="00FB5439" w:rsidRDefault="00E93F58"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(2)</w:t>
      </w:r>
      <w:r w:rsidRPr="00FB5439">
        <w:rPr>
          <w:rFonts w:ascii="Calibri" w:eastAsia="Calibri" w:hAnsi="Calibri" w:cs="Times New Roman"/>
          <w:szCs w:val="22"/>
        </w:rPr>
        <w:tab/>
        <w:t>Insert the name of person being disqualified.</w:t>
      </w:r>
    </w:p>
    <w:p w14:paraId="5863AD80" w14:textId="77777777" w:rsidR="00E93F58" w:rsidRPr="00FB5439" w:rsidRDefault="00E93F58"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(3)</w:t>
      </w:r>
      <w:r w:rsidRPr="00FB5439">
        <w:rPr>
          <w:rFonts w:ascii="Calibri" w:eastAsia="Calibri" w:hAnsi="Calibri" w:cs="Times New Roman"/>
          <w:szCs w:val="22"/>
        </w:rPr>
        <w:tab/>
        <w:t>Insert date of Notice to Demonstrate Why Disqualification Should Not Occur.</w:t>
      </w:r>
    </w:p>
    <w:p w14:paraId="0303FF77" w14:textId="77777777" w:rsidR="00E93F58" w:rsidRPr="00FB5439" w:rsidRDefault="00E93F58"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(4)</w:t>
      </w:r>
      <w:r w:rsidRPr="00FB5439">
        <w:rPr>
          <w:rFonts w:ascii="Calibri" w:eastAsia="Calibri" w:hAnsi="Calibri" w:cs="Times New Roman"/>
          <w:szCs w:val="22"/>
        </w:rPr>
        <w:tab/>
        <w:t xml:space="preserve">Insert name of delegate who issued Notice to Demonstrate Why Disqualification Should Not Occur. </w:t>
      </w:r>
    </w:p>
    <w:p w14:paraId="4B6C244A" w14:textId="77777777" w:rsidR="00E93F58" w:rsidRPr="00FB5439" w:rsidRDefault="00E93F58"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(5)</w:t>
      </w:r>
      <w:r w:rsidRPr="00FB5439">
        <w:rPr>
          <w:rFonts w:ascii="Calibri" w:eastAsia="Calibri" w:hAnsi="Calibri" w:cs="Times New Roman"/>
          <w:szCs w:val="22"/>
        </w:rPr>
        <w:tab/>
        <w:t>Insert number of years disqualified.</w:t>
      </w:r>
    </w:p>
    <w:p w14:paraId="0EB8FD3C" w14:textId="77777777" w:rsidR="00E93F58" w:rsidRPr="00FB5439" w:rsidRDefault="00E93F58"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(6)</w:t>
      </w:r>
      <w:r w:rsidRPr="00FB5439">
        <w:rPr>
          <w:rFonts w:ascii="Calibri" w:eastAsia="Calibri" w:hAnsi="Calibri" w:cs="Times New Roman"/>
          <w:szCs w:val="22"/>
        </w:rPr>
        <w:tab/>
        <w:t>Insert date of notice.</w:t>
      </w:r>
    </w:p>
    <w:p w14:paraId="69D7A2D0" w14:textId="77777777" w:rsidR="00E93F58" w:rsidRPr="00FB5439" w:rsidRDefault="00E93F58" w:rsidP="005D3DCE">
      <w:pPr>
        <w:autoSpaceDE w:val="0"/>
        <w:autoSpaceDN w:val="0"/>
        <w:adjustRightInd w:val="0"/>
        <w:spacing w:after="160" w:line="259" w:lineRule="auto"/>
        <w:ind w:left="1080" w:hanging="360"/>
        <w:contextualSpacing/>
        <w:rPr>
          <w:rFonts w:ascii="Calibri" w:eastAsia="Calibri" w:hAnsi="Calibri" w:cs="Times New Roman"/>
          <w:szCs w:val="22"/>
        </w:rPr>
      </w:pPr>
      <w:r w:rsidRPr="00FB5439">
        <w:rPr>
          <w:rFonts w:ascii="Calibri" w:eastAsia="Calibri" w:hAnsi="Calibri" w:cs="Times New Roman"/>
          <w:szCs w:val="22"/>
        </w:rPr>
        <w:t>(7)</w:t>
      </w:r>
      <w:r w:rsidRPr="00FB5439">
        <w:rPr>
          <w:rFonts w:ascii="Calibri" w:eastAsia="Calibri" w:hAnsi="Calibri" w:cs="Times New Roman"/>
          <w:szCs w:val="22"/>
        </w:rPr>
        <w:tab/>
        <w:t>Insert full name of delegate signing notice.</w:t>
      </w:r>
    </w:p>
    <w:p w14:paraId="108DF25D" w14:textId="77777777" w:rsidR="00E93F58" w:rsidRPr="00FB5439" w:rsidRDefault="00E93F58" w:rsidP="00070F64"/>
    <w:p w14:paraId="3097835F" w14:textId="77777777" w:rsidR="00E93F58" w:rsidRPr="00FB5439" w:rsidRDefault="00E93F58" w:rsidP="00070F64">
      <w:r w:rsidRPr="00FB5439">
        <w:rPr>
          <w:noProof/>
          <w:lang w:eastAsia="en-AU"/>
        </w:rPr>
        <w:lastRenderedPageBreak/>
        <w:drawing>
          <wp:inline distT="0" distB="0" distL="0" distR="0" wp14:anchorId="06BAEBF3" wp14:editId="4BFA7077">
            <wp:extent cx="4515443" cy="6552000"/>
            <wp:effectExtent l="0" t="0" r="0" b="1270"/>
            <wp:docPr id="15" name="Picture 15" descr="form 6010 Application for voluntary deregistration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6010"/>
                    <pic:cNvPicPr>
                      <a:picLocks noChangeAspect="1" noChangeArrowheads="1"/>
                    </pic:cNvPicPr>
                  </pic:nvPicPr>
                  <pic:blipFill>
                    <a:blip r:embed="rId27" cstate="print">
                      <a:extLst>
                        <a:ext uri="{28A0092B-C50C-407E-A947-70E740481C1C}">
                          <a14:useLocalDpi xmlns:a14="http://schemas.microsoft.com/office/drawing/2010/main" val="0"/>
                        </a:ext>
                      </a:extLst>
                    </a:blip>
                    <a:srcRect l="2367" t="4631" r="2367" b="1677"/>
                    <a:stretch>
                      <a:fillRect/>
                    </a:stretch>
                  </pic:blipFill>
                  <pic:spPr bwMode="auto">
                    <a:xfrm>
                      <a:off x="0" y="0"/>
                      <a:ext cx="4515443" cy="6552000"/>
                    </a:xfrm>
                    <a:prstGeom prst="rect">
                      <a:avLst/>
                    </a:prstGeom>
                    <a:noFill/>
                    <a:ln>
                      <a:noFill/>
                    </a:ln>
                  </pic:spPr>
                </pic:pic>
              </a:graphicData>
            </a:graphic>
          </wp:inline>
        </w:drawing>
      </w:r>
    </w:p>
    <w:p w14:paraId="3F97A615" w14:textId="77777777" w:rsidR="00E93F58" w:rsidRPr="00FB5439" w:rsidRDefault="00E93F58" w:rsidP="00070F64">
      <w:r w:rsidRPr="00FB5439">
        <w:rPr>
          <w:noProof/>
          <w:lang w:eastAsia="en-AU"/>
        </w:rPr>
        <w:lastRenderedPageBreak/>
        <w:drawing>
          <wp:inline distT="0" distB="0" distL="0" distR="0" wp14:anchorId="61B95EFE" wp14:editId="1F7E2758">
            <wp:extent cx="5278755" cy="7654290"/>
            <wp:effectExtent l="0" t="0" r="0" b="3810"/>
            <wp:docPr id="1800316326" name="Picture 1800316326" descr="page 1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37CB53EA" w14:textId="77777777" w:rsidR="00E93F58" w:rsidRPr="00FB5439" w:rsidRDefault="00E93F58" w:rsidP="00070F64">
      <w:r w:rsidRPr="00FB5439">
        <w:rPr>
          <w:noProof/>
          <w:lang w:eastAsia="en-AU"/>
        </w:rPr>
        <w:lastRenderedPageBreak/>
        <w:drawing>
          <wp:inline distT="0" distB="0" distL="0" distR="0" wp14:anchorId="45B8121E" wp14:editId="419BD6C0">
            <wp:extent cx="5278755" cy="7654290"/>
            <wp:effectExtent l="0" t="0" r="0" b="3810"/>
            <wp:docPr id="24" name="Picture 24" descr="page 2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0E5EFB26" w14:textId="77777777" w:rsidR="00E93F58" w:rsidRPr="00FB5439" w:rsidRDefault="00E93F58" w:rsidP="00070F64">
      <w:r w:rsidRPr="00FB5439">
        <w:rPr>
          <w:noProof/>
          <w:lang w:eastAsia="en-AU"/>
        </w:rPr>
        <w:lastRenderedPageBreak/>
        <w:drawing>
          <wp:inline distT="0" distB="0" distL="0" distR="0" wp14:anchorId="128A5307" wp14:editId="5F9FEDC3">
            <wp:extent cx="5278755" cy="7654290"/>
            <wp:effectExtent l="0" t="0" r="0" b="3810"/>
            <wp:docPr id="25" name="Picture 25" descr="A guide to assist completing and lodging for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6CD58AB0" w14:textId="77777777" w:rsidR="00E93F58" w:rsidRPr="00FB5439" w:rsidRDefault="00E93F58" w:rsidP="00070F64">
      <w:r w:rsidRPr="00FB5439">
        <w:rPr>
          <w:noProof/>
          <w:lang w:eastAsia="en-AU"/>
        </w:rPr>
        <w:lastRenderedPageBreak/>
        <w:drawing>
          <wp:inline distT="0" distB="0" distL="0" distR="0" wp14:anchorId="157130DA" wp14:editId="326BDAF6">
            <wp:extent cx="5278755" cy="7654290"/>
            <wp:effectExtent l="0" t="0" r="0" b="3810"/>
            <wp:docPr id="26" name="Picture 26" descr="page 1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57367061" w14:textId="77777777" w:rsidR="00E93F58" w:rsidRPr="00FB5439" w:rsidRDefault="00E93F58" w:rsidP="00070F64">
      <w:r w:rsidRPr="00FB5439">
        <w:rPr>
          <w:noProof/>
          <w:lang w:eastAsia="en-AU"/>
        </w:rPr>
        <w:lastRenderedPageBreak/>
        <w:drawing>
          <wp:inline distT="0" distB="0" distL="0" distR="0" wp14:anchorId="6EBBD8F2" wp14:editId="377EA3FE">
            <wp:extent cx="5278755" cy="7654290"/>
            <wp:effectExtent l="0" t="0" r="0" b="3810"/>
            <wp:docPr id="27" name="Picture 27" descr="page 2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5E822F8C" w14:textId="77777777" w:rsidR="00E93F58" w:rsidRPr="00FB5439" w:rsidRDefault="00E93F58" w:rsidP="00070F64">
      <w:r w:rsidRPr="00FB5439">
        <w:rPr>
          <w:noProof/>
          <w:lang w:eastAsia="en-AU"/>
        </w:rPr>
        <w:lastRenderedPageBreak/>
        <w:drawing>
          <wp:inline distT="0" distB="0" distL="0" distR="0" wp14:anchorId="1066064B" wp14:editId="350C1582">
            <wp:extent cx="5278755" cy="7654290"/>
            <wp:effectExtent l="0" t="0" r="0" b="3810"/>
            <wp:docPr id="28" name="Picture 28" descr="A guide to assist completing and lodging for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436706CB" w14:textId="77777777" w:rsidR="00E93F58" w:rsidRPr="00FB5439" w:rsidRDefault="00E93F58" w:rsidP="00070F64">
      <w:r w:rsidRPr="00FB5439">
        <w:rPr>
          <w:noProof/>
          <w:lang w:eastAsia="en-AU"/>
        </w:rPr>
        <w:lastRenderedPageBreak/>
        <w:drawing>
          <wp:inline distT="0" distB="0" distL="0" distR="0" wp14:anchorId="2BA1E0CA" wp14:editId="7C396093">
            <wp:extent cx="5278755" cy="7654290"/>
            <wp:effectExtent l="0" t="0" r="0" b="3810"/>
            <wp:docPr id="29" name="Picture 29" descr="page 1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627C7A07" w14:textId="77777777" w:rsidR="00E93F58" w:rsidRPr="00FB5439" w:rsidRDefault="00E93F58" w:rsidP="00070F64">
      <w:r w:rsidRPr="00FB5439">
        <w:rPr>
          <w:noProof/>
          <w:lang w:eastAsia="en-AU"/>
        </w:rPr>
        <w:lastRenderedPageBreak/>
        <w:drawing>
          <wp:inline distT="0" distB="0" distL="0" distR="0" wp14:anchorId="403AD446" wp14:editId="2BEE586C">
            <wp:extent cx="5278755" cy="7654290"/>
            <wp:effectExtent l="0" t="0" r="0" b="3810"/>
            <wp:docPr id="30" name="Picture 30" descr="page 2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5C62480A" w14:textId="77777777" w:rsidR="00E93F58" w:rsidRPr="00FB5439" w:rsidRDefault="00E93F58" w:rsidP="00070F64">
      <w:r w:rsidRPr="00FB5439">
        <w:rPr>
          <w:noProof/>
          <w:lang w:eastAsia="en-AU"/>
        </w:rPr>
        <w:lastRenderedPageBreak/>
        <w:drawing>
          <wp:inline distT="0" distB="0" distL="0" distR="0" wp14:anchorId="71C2FCA6" wp14:editId="60636F34">
            <wp:extent cx="5278755" cy="7654290"/>
            <wp:effectExtent l="0" t="0" r="0" b="3810"/>
            <wp:docPr id="31" name="Picture 31" descr="A guide to assist completing and lodging for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14:paraId="41729E3F" w14:textId="77777777" w:rsidR="00E93F58" w:rsidRPr="00FB5439" w:rsidRDefault="00E93F58" w:rsidP="00A80D13">
      <w:pPr>
        <w:pStyle w:val="ActHead2"/>
        <w:pageBreakBefore/>
      </w:pPr>
      <w:bookmarkStart w:id="3233" w:name="_Toc151992801"/>
      <w:bookmarkStart w:id="3234" w:name="_Toc158713404"/>
      <w:r w:rsidRPr="00FB5439">
        <w:rPr>
          <w:rStyle w:val="CharPartNo"/>
        </w:rPr>
        <w:lastRenderedPageBreak/>
        <w:t>Form 719</w:t>
      </w:r>
      <w:bookmarkEnd w:id="3233"/>
      <w:bookmarkEnd w:id="3234"/>
      <w:r w:rsidRPr="00FB5439">
        <w:rPr>
          <w:rStyle w:val="CharPartText"/>
        </w:rPr>
        <w:t xml:space="preserve"> </w:t>
      </w:r>
      <w:r w:rsidRPr="00FB5439">
        <w:t xml:space="preserve"> </w:t>
      </w:r>
    </w:p>
    <w:p w14:paraId="652D9EF7" w14:textId="77777777" w:rsidR="00E93F58" w:rsidRPr="00FB5439" w:rsidRDefault="00E93F58" w:rsidP="004C686D">
      <w:pPr>
        <w:pStyle w:val="notemargin"/>
      </w:pPr>
      <w:r w:rsidRPr="00FB5439">
        <w:t>(regulations 7.5.90 and 7.5.92)</w:t>
      </w:r>
    </w:p>
    <w:p w14:paraId="22385FE5"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67C398D3" w14:textId="77777777" w:rsidR="00E93F58" w:rsidRPr="00FB5439" w:rsidRDefault="00E93F58" w:rsidP="00070F64">
      <w:pPr>
        <w:pStyle w:val="R1"/>
        <w:tabs>
          <w:tab w:val="clear" w:pos="794"/>
        </w:tabs>
        <w:spacing w:before="180" w:after="180"/>
        <w:ind w:left="0" w:firstLine="0"/>
        <w:rPr>
          <w:i/>
        </w:rPr>
      </w:pPr>
      <w:r w:rsidRPr="00FB5439">
        <w:rPr>
          <w:i/>
        </w:rPr>
        <w:t xml:space="preserve">Corporations </w:t>
      </w:r>
      <w:r>
        <w:rPr>
          <w:i/>
        </w:rPr>
        <w:t>Regulations 2</w:t>
      </w:r>
      <w:r w:rsidRPr="00FB5439">
        <w:rPr>
          <w:i/>
        </w:rPr>
        <w:t>001</w:t>
      </w:r>
    </w:p>
    <w:p w14:paraId="55CABF2D" w14:textId="77777777" w:rsidR="00E93F58" w:rsidRPr="00FB5439" w:rsidRDefault="00E93F58" w:rsidP="00070F64">
      <w:pPr>
        <w:spacing w:before="120" w:after="120"/>
        <w:rPr>
          <w:rFonts w:ascii="Arial" w:hAnsi="Arial" w:cs="Arial"/>
          <w:szCs w:val="22"/>
        </w:rPr>
      </w:pPr>
      <w:r w:rsidRPr="00FB5439">
        <w:rPr>
          <w:rFonts w:ascii="Arial" w:hAnsi="Arial" w:cs="Arial"/>
          <w:szCs w:val="22"/>
        </w:rPr>
        <w:t>STATEMENT ABOUT PAYMENTS OUT OF FINANCIAL INDUSTRY DEVELOPMENT ACCOUNT</w:t>
      </w:r>
    </w:p>
    <w:p w14:paraId="5E150A19" w14:textId="77777777" w:rsidR="00E93F58" w:rsidRPr="00FB5439" w:rsidRDefault="00E93F58" w:rsidP="00070F64">
      <w:pPr>
        <w:spacing w:before="60"/>
        <w:ind w:left="425" w:hanging="425"/>
        <w:jc w:val="both"/>
      </w:pPr>
      <w:r w:rsidRPr="00FB5439">
        <w:t>1.</w:t>
      </w:r>
      <w:r w:rsidRPr="00FB5439">
        <w:tab/>
        <w:t xml:space="preserve">The name of the market licensee to which this statement relates is </w:t>
      </w:r>
      <w:r w:rsidRPr="00FB5439">
        <w:rPr>
          <w:i/>
        </w:rPr>
        <w:t>(insert name of market licensee)</w:t>
      </w:r>
      <w:r w:rsidRPr="00FB5439">
        <w:t>.</w:t>
      </w:r>
    </w:p>
    <w:p w14:paraId="6831385F" w14:textId="77777777" w:rsidR="00E93F58" w:rsidRPr="00FB5439" w:rsidRDefault="00E93F58" w:rsidP="00070F64">
      <w:pPr>
        <w:spacing w:before="60"/>
        <w:ind w:left="425" w:hanging="425"/>
        <w:jc w:val="both"/>
        <w:rPr>
          <w:color w:val="000000"/>
        </w:rPr>
      </w:pPr>
      <w:r w:rsidRPr="00FB5439">
        <w:rPr>
          <w:color w:val="000000"/>
        </w:rPr>
        <w:t>2.</w:t>
      </w:r>
      <w:r w:rsidRPr="00FB5439">
        <w:rPr>
          <w:color w:val="000000"/>
        </w:rPr>
        <w:tab/>
        <w:t xml:space="preserve">This statement relates to the financial year ending on </w:t>
      </w:r>
      <w:r w:rsidRPr="00FB5439">
        <w:rPr>
          <w:i/>
          <w:color w:val="000000"/>
        </w:rPr>
        <w:t>(insert date)</w:t>
      </w:r>
      <w:r w:rsidRPr="00FB5439">
        <w:rPr>
          <w:color w:val="000000"/>
        </w:rPr>
        <w:t xml:space="preserve"> (the </w:t>
      </w:r>
      <w:r w:rsidRPr="00FB5439">
        <w:rPr>
          <w:b/>
          <w:i/>
          <w:color w:val="000000"/>
        </w:rPr>
        <w:t>relevant financial year</w:t>
      </w:r>
      <w:r w:rsidRPr="00FB5439">
        <w:rPr>
          <w:color w:val="000000"/>
        </w:rPr>
        <w:t>).</w:t>
      </w:r>
    </w:p>
    <w:p w14:paraId="434C85CE" w14:textId="77777777" w:rsidR="00E93F58" w:rsidRPr="00FB5439" w:rsidRDefault="00E93F58" w:rsidP="00070F64">
      <w:pPr>
        <w:spacing w:before="60"/>
        <w:ind w:left="425" w:hanging="425"/>
        <w:jc w:val="both"/>
        <w:rPr>
          <w:color w:val="000000"/>
        </w:rPr>
      </w:pPr>
      <w:r w:rsidRPr="00FB5439">
        <w:rPr>
          <w:color w:val="000000"/>
        </w:rPr>
        <w:t>3.</w:t>
      </w:r>
      <w:r w:rsidRPr="00FB5439">
        <w:rPr>
          <w:color w:val="000000"/>
        </w:rPr>
        <w:tab/>
        <w:t>Specify in respect of each purpose approved by the Minister under subregulation 7.5.88 of the Regulations:</w:t>
      </w:r>
    </w:p>
    <w:p w14:paraId="69B5FBE3" w14:textId="77777777" w:rsidR="00E93F58" w:rsidRPr="00FB5439" w:rsidRDefault="00E93F58" w:rsidP="00070F64">
      <w:pPr>
        <w:pStyle w:val="R1"/>
        <w:keepLines w:val="0"/>
        <w:tabs>
          <w:tab w:val="clear" w:pos="794"/>
        </w:tabs>
        <w:ind w:hanging="538"/>
      </w:pPr>
      <w:r w:rsidRPr="00FB5439">
        <w:t>(a)</w:t>
      </w:r>
      <w:r w:rsidRPr="00FB5439">
        <w:tab/>
        <w:t>the terms of the purpose as so approved are:</w:t>
      </w:r>
    </w:p>
    <w:p w14:paraId="058D1B52" w14:textId="77777777" w:rsidR="00E93F58" w:rsidRPr="00FB5439" w:rsidRDefault="00E93F58" w:rsidP="00070F64">
      <w:pPr>
        <w:pStyle w:val="R2"/>
        <w:keepLines w:val="0"/>
        <w:tabs>
          <w:tab w:val="clear" w:pos="794"/>
        </w:tabs>
        <w:spacing w:before="60"/>
        <w:rPr>
          <w:i/>
          <w:color w:val="000000"/>
        </w:rPr>
      </w:pPr>
      <w:r w:rsidRPr="00FB5439">
        <w:rPr>
          <w:color w:val="000000"/>
        </w:rPr>
        <w:tab/>
      </w:r>
      <w:r w:rsidRPr="00FB5439">
        <w:rPr>
          <w:i/>
          <w:color w:val="000000"/>
        </w:rPr>
        <w:t>(insert terms)</w:t>
      </w:r>
    </w:p>
    <w:p w14:paraId="115DC2D4" w14:textId="77777777" w:rsidR="00E93F58" w:rsidRPr="00FB5439" w:rsidRDefault="00E93F58" w:rsidP="00070F64">
      <w:pPr>
        <w:pStyle w:val="R1"/>
        <w:keepLines w:val="0"/>
        <w:tabs>
          <w:tab w:val="clear" w:pos="794"/>
        </w:tabs>
        <w:ind w:hanging="538"/>
        <w:rPr>
          <w:color w:val="000000"/>
        </w:rPr>
      </w:pPr>
      <w:r w:rsidRPr="00FB5439">
        <w:rPr>
          <w:color w:val="000000"/>
        </w:rPr>
        <w:t>(b)</w:t>
      </w:r>
      <w:r w:rsidRPr="00FB5439">
        <w:rPr>
          <w:color w:val="000000"/>
        </w:rPr>
        <w:tab/>
        <w:t xml:space="preserve">the date of that approval was </w:t>
      </w:r>
      <w:r w:rsidRPr="00FB5439">
        <w:rPr>
          <w:i/>
          <w:color w:val="000000"/>
        </w:rPr>
        <w:t>(date)</w:t>
      </w:r>
      <w:r w:rsidRPr="00FB5439">
        <w:rPr>
          <w:color w:val="000000"/>
        </w:rPr>
        <w:t>;</w:t>
      </w:r>
    </w:p>
    <w:p w14:paraId="5507EEAB" w14:textId="77777777" w:rsidR="00E93F58" w:rsidRPr="00FB5439" w:rsidRDefault="00E93F58" w:rsidP="00070F64">
      <w:pPr>
        <w:pStyle w:val="R1"/>
        <w:keepLines w:val="0"/>
        <w:tabs>
          <w:tab w:val="clear" w:pos="794"/>
        </w:tabs>
        <w:ind w:hanging="538"/>
        <w:rPr>
          <w:color w:val="000000"/>
        </w:rPr>
      </w:pPr>
      <w:r w:rsidRPr="00FB5439">
        <w:rPr>
          <w:color w:val="000000"/>
        </w:rPr>
        <w:t>(c)</w:t>
      </w:r>
      <w:r w:rsidRPr="00FB5439">
        <w:rPr>
          <w:color w:val="000000"/>
        </w:rPr>
        <w:tab/>
        <w:t>the amount of payments made for that purpose during the relevant financial year was $</w:t>
      </w:r>
      <w:r w:rsidRPr="00FB5439">
        <w:rPr>
          <w:i/>
          <w:color w:val="000000"/>
        </w:rPr>
        <w:t>(amount)</w:t>
      </w:r>
      <w:r w:rsidRPr="00FB5439">
        <w:rPr>
          <w:color w:val="000000"/>
        </w:rPr>
        <w:t>;</w:t>
      </w:r>
    </w:p>
    <w:p w14:paraId="2C5C040B" w14:textId="77777777" w:rsidR="00E93F58" w:rsidRPr="00FB5439" w:rsidRDefault="00E93F58" w:rsidP="00070F64">
      <w:pPr>
        <w:pStyle w:val="R1"/>
        <w:keepLines w:val="0"/>
        <w:tabs>
          <w:tab w:val="clear" w:pos="794"/>
        </w:tabs>
        <w:ind w:hanging="538"/>
        <w:rPr>
          <w:color w:val="000000"/>
        </w:rPr>
      </w:pPr>
      <w:r w:rsidRPr="00FB5439">
        <w:rPr>
          <w:color w:val="000000"/>
        </w:rPr>
        <w:t>(d)</w:t>
      </w:r>
      <w:r w:rsidRPr="00FB5439">
        <w:rPr>
          <w:color w:val="000000"/>
        </w:rPr>
        <w:tab/>
        <w:t>the total, as at the end of the relevant financial year, of all payments made for this purpose in the relevant financial year and previous financial years was $</w:t>
      </w:r>
      <w:r w:rsidRPr="00FB5439">
        <w:rPr>
          <w:i/>
          <w:color w:val="000000"/>
        </w:rPr>
        <w:t>(amount)</w:t>
      </w:r>
      <w:r w:rsidRPr="00FB5439">
        <w:rPr>
          <w:color w:val="000000"/>
        </w:rPr>
        <w:t>;</w:t>
      </w:r>
    </w:p>
    <w:p w14:paraId="6113DF61" w14:textId="77777777" w:rsidR="00E93F58" w:rsidRPr="00FB5439" w:rsidRDefault="00E93F58" w:rsidP="00070F64">
      <w:pPr>
        <w:pStyle w:val="R1"/>
        <w:keepLines w:val="0"/>
        <w:tabs>
          <w:tab w:val="clear" w:pos="794"/>
        </w:tabs>
        <w:ind w:hanging="538"/>
        <w:rPr>
          <w:color w:val="000000"/>
        </w:rPr>
      </w:pPr>
      <w:r w:rsidRPr="00FB5439">
        <w:rPr>
          <w:color w:val="000000"/>
        </w:rPr>
        <w:t>(e)</w:t>
      </w:r>
      <w:r w:rsidRPr="00FB5439">
        <w:rPr>
          <w:color w:val="000000"/>
        </w:rPr>
        <w:tab/>
        <w:t xml:space="preserve">further payments for this purpose </w:t>
      </w:r>
      <w:r w:rsidRPr="00A80D13">
        <w:rPr>
          <w:color w:val="000000"/>
          <w:position w:val="6"/>
          <w:sz w:val="16"/>
        </w:rPr>
        <w:t>*</w:t>
      </w:r>
      <w:r w:rsidRPr="00FB5439">
        <w:rPr>
          <w:color w:val="000000"/>
        </w:rPr>
        <w:t xml:space="preserve">are / </w:t>
      </w:r>
      <w:r w:rsidRPr="00A80D13">
        <w:rPr>
          <w:color w:val="000000"/>
          <w:position w:val="6"/>
          <w:sz w:val="16"/>
        </w:rPr>
        <w:t>*</w:t>
      </w:r>
      <w:r w:rsidRPr="00FB5439">
        <w:rPr>
          <w:color w:val="000000"/>
        </w:rPr>
        <w:t>are not envisaged.</w:t>
      </w:r>
    </w:p>
    <w:p w14:paraId="526D6DB8" w14:textId="77777777" w:rsidR="00E93F58" w:rsidRPr="00FB5439" w:rsidRDefault="00E93F58" w:rsidP="00070F64">
      <w:pPr>
        <w:spacing w:before="60"/>
        <w:ind w:left="425" w:hanging="425"/>
        <w:jc w:val="both"/>
        <w:rPr>
          <w:color w:val="000000"/>
        </w:rPr>
      </w:pPr>
      <w:r w:rsidRPr="00FB5439">
        <w:rPr>
          <w:color w:val="000000"/>
        </w:rPr>
        <w:t>4.</w:t>
      </w:r>
      <w:r w:rsidRPr="00FB5439">
        <w:rPr>
          <w:color w:val="000000"/>
        </w:rPr>
        <w:tab/>
        <w:t>The total of payments for all purposes in respect of the relevant financial year was $</w:t>
      </w:r>
      <w:r w:rsidRPr="00FB5439">
        <w:rPr>
          <w:i/>
          <w:color w:val="000000"/>
        </w:rPr>
        <w:t>(amount)</w:t>
      </w:r>
      <w:r w:rsidRPr="00FB5439">
        <w:rPr>
          <w:color w:val="000000"/>
        </w:rPr>
        <w:t>.</w:t>
      </w:r>
    </w:p>
    <w:p w14:paraId="4B1711BF" w14:textId="77777777" w:rsidR="00E93F58" w:rsidRPr="00FB5439" w:rsidRDefault="00E93F58" w:rsidP="00070F64">
      <w:pPr>
        <w:spacing w:before="200"/>
        <w:jc w:val="center"/>
        <w:rPr>
          <w:color w:val="000000"/>
        </w:rPr>
      </w:pPr>
      <w:r w:rsidRPr="00FB5439">
        <w:rPr>
          <w:color w:val="000000"/>
        </w:rPr>
        <w:t>REPORT OF AUDITOR</w:t>
      </w:r>
    </w:p>
    <w:p w14:paraId="4F10A76D" w14:textId="77777777" w:rsidR="00E93F58" w:rsidRPr="00FB5439" w:rsidRDefault="00E93F58" w:rsidP="00070F64">
      <w:pPr>
        <w:spacing w:before="120"/>
        <w:jc w:val="both"/>
        <w:rPr>
          <w:color w:val="000000"/>
        </w:rPr>
      </w:pPr>
      <w:r w:rsidRPr="00A80D13">
        <w:rPr>
          <w:color w:val="000000"/>
          <w:position w:val="6"/>
          <w:sz w:val="16"/>
        </w:rPr>
        <w:t>*</w:t>
      </w:r>
      <w:r w:rsidRPr="00FB5439">
        <w:rPr>
          <w:color w:val="000000"/>
        </w:rPr>
        <w:t xml:space="preserve">I/We </w:t>
      </w:r>
      <w:r w:rsidRPr="00FB5439">
        <w:rPr>
          <w:i/>
          <w:color w:val="000000"/>
        </w:rPr>
        <w:t xml:space="preserve">(insert name of the auditor or auditors signing this report), </w:t>
      </w:r>
      <w:r w:rsidRPr="00FB5439">
        <w:rPr>
          <w:color w:val="000000"/>
        </w:rPr>
        <w:t>report that:</w:t>
      </w:r>
    </w:p>
    <w:p w14:paraId="4CF3CEAC" w14:textId="77777777" w:rsidR="00E93F58" w:rsidRPr="00FB5439" w:rsidRDefault="00E93F58" w:rsidP="00070F64">
      <w:pPr>
        <w:pStyle w:val="R1"/>
        <w:tabs>
          <w:tab w:val="clear" w:pos="794"/>
        </w:tabs>
        <w:ind w:hanging="538"/>
        <w:rPr>
          <w:color w:val="000000"/>
        </w:rPr>
      </w:pPr>
      <w:r w:rsidRPr="00FB5439">
        <w:rPr>
          <w:color w:val="000000"/>
        </w:rPr>
        <w:t>(a)</w:t>
      </w:r>
      <w:r w:rsidRPr="00FB5439">
        <w:rPr>
          <w:color w:val="000000"/>
        </w:rPr>
        <w:tab/>
      </w:r>
      <w:r w:rsidRPr="00A80D13">
        <w:rPr>
          <w:color w:val="000000"/>
          <w:position w:val="6"/>
          <w:sz w:val="16"/>
        </w:rPr>
        <w:t>*</w:t>
      </w:r>
      <w:r w:rsidRPr="00FB5439">
        <w:rPr>
          <w:color w:val="000000"/>
        </w:rPr>
        <w:t xml:space="preserve">I / </w:t>
      </w:r>
      <w:r w:rsidRPr="00A80D13">
        <w:rPr>
          <w:color w:val="000000"/>
          <w:position w:val="6"/>
          <w:sz w:val="16"/>
        </w:rPr>
        <w:t>*</w:t>
      </w:r>
      <w:r w:rsidRPr="00FB5439">
        <w:rPr>
          <w:color w:val="000000"/>
        </w:rPr>
        <w:t>We have audited the above statement; and</w:t>
      </w:r>
    </w:p>
    <w:p w14:paraId="404C80AA" w14:textId="77777777" w:rsidR="00E93F58" w:rsidRPr="00FB5439" w:rsidRDefault="00E93F58" w:rsidP="009979BE">
      <w:pPr>
        <w:pStyle w:val="R1"/>
        <w:keepLines w:val="0"/>
        <w:tabs>
          <w:tab w:val="clear" w:pos="794"/>
        </w:tabs>
        <w:ind w:hanging="539"/>
        <w:rPr>
          <w:color w:val="000000"/>
        </w:rPr>
      </w:pPr>
      <w:r w:rsidRPr="00FB5439">
        <w:rPr>
          <w:color w:val="000000"/>
        </w:rPr>
        <w:t>(b)</w:t>
      </w:r>
      <w:r w:rsidRPr="00FB5439">
        <w:rPr>
          <w:color w:val="000000"/>
        </w:rPr>
        <w:tab/>
        <w:t>it accurately represents the payments that it mentions.</w:t>
      </w:r>
    </w:p>
    <w:p w14:paraId="51F0CDFA" w14:textId="77777777" w:rsidR="00E93F58" w:rsidRPr="00FB5439" w:rsidRDefault="00E93F58" w:rsidP="009979BE">
      <w:pPr>
        <w:keepNext/>
        <w:keepLines/>
        <w:spacing w:before="120"/>
        <w:ind w:left="1134" w:hanging="1134"/>
        <w:jc w:val="both"/>
        <w:rPr>
          <w:color w:val="000000"/>
        </w:rPr>
      </w:pPr>
      <w:r w:rsidRPr="00FB5439">
        <w:rPr>
          <w:color w:val="000000"/>
        </w:rPr>
        <w:t>Dated</w:t>
      </w:r>
    </w:p>
    <w:p w14:paraId="1E1ACFF5" w14:textId="77777777" w:rsidR="00E93F58" w:rsidRPr="00FB5439" w:rsidRDefault="00E93F58" w:rsidP="009979BE">
      <w:pPr>
        <w:keepNext/>
        <w:keepLines/>
        <w:spacing w:before="120"/>
        <w:ind w:left="1134" w:hanging="1134"/>
        <w:jc w:val="both"/>
        <w:rPr>
          <w:i/>
          <w:color w:val="000000"/>
        </w:rPr>
      </w:pPr>
      <w:r w:rsidRPr="00FB5439">
        <w:rPr>
          <w:i/>
          <w:color w:val="000000"/>
        </w:rPr>
        <w:t>(signature of auditor)</w:t>
      </w:r>
    </w:p>
    <w:p w14:paraId="05A89F35" w14:textId="77777777" w:rsidR="00E93F58" w:rsidRPr="00FB5439" w:rsidRDefault="00E93F58" w:rsidP="00070F64">
      <w:pPr>
        <w:keepLines/>
        <w:spacing w:before="40"/>
        <w:jc w:val="both"/>
        <w:rPr>
          <w:color w:val="000000"/>
        </w:rPr>
      </w:pPr>
      <w:r w:rsidRPr="00FB5439">
        <w:rPr>
          <w:i/>
          <w:color w:val="000000"/>
        </w:rPr>
        <w:t>(under the signature add the name under which the auditor practises or the name of the firm in which the auditor is employed)</w:t>
      </w:r>
    </w:p>
    <w:p w14:paraId="30F06662" w14:textId="77777777" w:rsidR="00E93F58" w:rsidRPr="00FB5439" w:rsidRDefault="00E93F58" w:rsidP="00070F64">
      <w:pPr>
        <w:spacing w:before="60"/>
        <w:ind w:left="1134" w:hanging="1134"/>
        <w:jc w:val="both"/>
        <w:rPr>
          <w:color w:val="000000"/>
        </w:rPr>
      </w:pPr>
      <w:r w:rsidRPr="00A80D13">
        <w:rPr>
          <w:color w:val="000000"/>
          <w:position w:val="6"/>
          <w:sz w:val="16"/>
        </w:rPr>
        <w:t>*</w:t>
      </w:r>
      <w:r w:rsidRPr="00FB5439">
        <w:rPr>
          <w:color w:val="000000"/>
        </w:rPr>
        <w:t> Omit if not applicable</w:t>
      </w:r>
    </w:p>
    <w:p w14:paraId="119484F0" w14:textId="77777777" w:rsidR="00E93F58" w:rsidRPr="00FB5439" w:rsidRDefault="00E93F58" w:rsidP="00070F64">
      <w:pPr>
        <w:spacing w:before="240"/>
        <w:jc w:val="center"/>
        <w:rPr>
          <w:color w:val="000000"/>
        </w:rPr>
      </w:pPr>
      <w:r w:rsidRPr="00FB5439">
        <w:rPr>
          <w:color w:val="000000"/>
        </w:rPr>
        <w:t>DECLARATION</w:t>
      </w:r>
    </w:p>
    <w:p w14:paraId="09BC9BAB" w14:textId="77777777" w:rsidR="00E93F58" w:rsidRPr="00FB5439" w:rsidRDefault="00E93F58" w:rsidP="00070F64">
      <w:pPr>
        <w:spacing w:before="120"/>
        <w:jc w:val="both"/>
        <w:rPr>
          <w:color w:val="000000"/>
        </w:rPr>
      </w:pPr>
      <w:r w:rsidRPr="00FB5439">
        <w:rPr>
          <w:color w:val="000000"/>
        </w:rPr>
        <w:t xml:space="preserve">I </w:t>
      </w:r>
      <w:r w:rsidRPr="00FB5439">
        <w:rPr>
          <w:i/>
          <w:color w:val="000000"/>
        </w:rPr>
        <w:t xml:space="preserve">(insert name of officer of the market licensee and the office he or she occupies), </w:t>
      </w:r>
      <w:r w:rsidRPr="00FB5439">
        <w:rPr>
          <w:color w:val="000000"/>
        </w:rPr>
        <w:t>declare:</w:t>
      </w:r>
    </w:p>
    <w:p w14:paraId="23ACB69B" w14:textId="77777777" w:rsidR="00E93F58" w:rsidRPr="00FB5439" w:rsidRDefault="00E93F58" w:rsidP="00070F64">
      <w:pPr>
        <w:pStyle w:val="R1"/>
        <w:tabs>
          <w:tab w:val="clear" w:pos="794"/>
          <w:tab w:val="left" w:pos="567"/>
        </w:tabs>
        <w:ind w:left="567" w:hanging="567"/>
        <w:rPr>
          <w:color w:val="000000"/>
        </w:rPr>
      </w:pPr>
      <w:r w:rsidRPr="00FB5439">
        <w:rPr>
          <w:color w:val="000000"/>
        </w:rPr>
        <w:t>(a)</w:t>
      </w:r>
      <w:r w:rsidRPr="00FB5439">
        <w:rPr>
          <w:color w:val="000000"/>
        </w:rPr>
        <w:tab/>
        <w:t>that, to the best of my knowledge and belief, the information contained in the above statement is correct; and</w:t>
      </w:r>
    </w:p>
    <w:p w14:paraId="33E616BA" w14:textId="77777777" w:rsidR="00E93F58" w:rsidRPr="00FB5439" w:rsidRDefault="00E93F58" w:rsidP="00070F64">
      <w:pPr>
        <w:pStyle w:val="R1"/>
        <w:tabs>
          <w:tab w:val="clear" w:pos="794"/>
          <w:tab w:val="left" w:pos="567"/>
        </w:tabs>
        <w:ind w:left="567" w:hanging="567"/>
        <w:rPr>
          <w:color w:val="000000"/>
        </w:rPr>
      </w:pPr>
      <w:r w:rsidRPr="00FB5439">
        <w:rPr>
          <w:color w:val="000000"/>
        </w:rPr>
        <w:t>(b)</w:t>
      </w:r>
      <w:r w:rsidRPr="00FB5439">
        <w:rPr>
          <w:color w:val="000000"/>
        </w:rPr>
        <w:tab/>
        <w:t xml:space="preserve">that the Board of </w:t>
      </w:r>
      <w:r w:rsidRPr="00FB5439">
        <w:rPr>
          <w:i/>
          <w:color w:val="000000"/>
        </w:rPr>
        <w:t xml:space="preserve">(insert name of the market licensee) </w:t>
      </w:r>
      <w:r w:rsidRPr="00FB5439">
        <w:rPr>
          <w:color w:val="000000"/>
        </w:rPr>
        <w:t>has accepted the information contained in the statement and resolved that the statement be lodged with ASIC.</w:t>
      </w:r>
    </w:p>
    <w:p w14:paraId="1D029CD0" w14:textId="77777777" w:rsidR="00E93F58" w:rsidRPr="00FB5439" w:rsidRDefault="00E93F58" w:rsidP="00070F64">
      <w:pPr>
        <w:spacing w:before="120"/>
        <w:ind w:left="1134" w:hanging="1134"/>
        <w:jc w:val="both"/>
        <w:rPr>
          <w:color w:val="000000"/>
        </w:rPr>
      </w:pPr>
      <w:r w:rsidRPr="00FB5439">
        <w:rPr>
          <w:color w:val="000000"/>
        </w:rPr>
        <w:t>Dated</w:t>
      </w:r>
    </w:p>
    <w:p w14:paraId="084696BB" w14:textId="77777777" w:rsidR="00E93F58" w:rsidRPr="00FB5439" w:rsidRDefault="00E93F58" w:rsidP="00070F64">
      <w:pPr>
        <w:spacing w:before="120"/>
        <w:ind w:left="709" w:hanging="709"/>
        <w:jc w:val="both"/>
        <w:rPr>
          <w:i/>
          <w:color w:val="000000"/>
        </w:rPr>
      </w:pPr>
      <w:r w:rsidRPr="00FB5439">
        <w:rPr>
          <w:i/>
          <w:color w:val="000000"/>
        </w:rPr>
        <w:t>(signature of officer of the market licensee)</w:t>
      </w:r>
    </w:p>
    <w:p w14:paraId="17113C22" w14:textId="77777777" w:rsidR="00E93F58" w:rsidRPr="00FB5439" w:rsidRDefault="00E93F58" w:rsidP="00070F64">
      <w:pPr>
        <w:spacing w:before="120"/>
        <w:ind w:left="709" w:hanging="709"/>
        <w:jc w:val="both"/>
        <w:rPr>
          <w:i/>
          <w:color w:val="000000"/>
        </w:rPr>
      </w:pPr>
      <w:r w:rsidRPr="00FB5439">
        <w:rPr>
          <w:i/>
          <w:color w:val="000000"/>
        </w:rPr>
        <w:t>(under the signature add the name of the person signing)</w:t>
      </w:r>
    </w:p>
    <w:p w14:paraId="0B3CA0AC" w14:textId="77777777" w:rsidR="00E93F58" w:rsidRPr="00FB5439" w:rsidRDefault="00E93F58" w:rsidP="00A80D13">
      <w:pPr>
        <w:pStyle w:val="ActHead2"/>
        <w:pageBreakBefore/>
      </w:pPr>
      <w:bookmarkStart w:id="3235" w:name="_Toc151992802"/>
      <w:bookmarkStart w:id="3236" w:name="_Toc158713405"/>
      <w:r w:rsidRPr="00FB5439">
        <w:rPr>
          <w:rStyle w:val="CharPartNo"/>
        </w:rPr>
        <w:lastRenderedPageBreak/>
        <w:t>Form 719A</w:t>
      </w:r>
      <w:bookmarkEnd w:id="3235"/>
      <w:bookmarkEnd w:id="3236"/>
      <w:r w:rsidRPr="00FB5439">
        <w:rPr>
          <w:rStyle w:val="CharPartText"/>
        </w:rPr>
        <w:t xml:space="preserve"> </w:t>
      </w:r>
      <w:r w:rsidRPr="00FB5439">
        <w:t xml:space="preserve"> </w:t>
      </w:r>
    </w:p>
    <w:p w14:paraId="2FECA26E" w14:textId="77777777" w:rsidR="00E93F58" w:rsidRPr="00FB5439" w:rsidRDefault="00E93F58" w:rsidP="00ED3F47">
      <w:pPr>
        <w:pStyle w:val="notemargin"/>
      </w:pPr>
      <w:r w:rsidRPr="00FB5439">
        <w:t>(subregulation 7.5.56(4))</w:t>
      </w:r>
    </w:p>
    <w:p w14:paraId="2420156D"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7DE2CAAA" w14:textId="77777777" w:rsidR="00E93F58" w:rsidRPr="00FB5439" w:rsidRDefault="00E93F58" w:rsidP="00070F64">
      <w:pPr>
        <w:pStyle w:val="R1"/>
        <w:tabs>
          <w:tab w:val="clear" w:pos="794"/>
          <w:tab w:val="right" w:pos="0"/>
        </w:tabs>
        <w:spacing w:before="180" w:after="180"/>
        <w:ind w:left="0" w:firstLine="0"/>
        <w:rPr>
          <w:i/>
        </w:rPr>
      </w:pPr>
      <w:r w:rsidRPr="00FB5439">
        <w:rPr>
          <w:i/>
        </w:rPr>
        <w:t xml:space="preserve">Corporations </w:t>
      </w:r>
      <w:r>
        <w:rPr>
          <w:i/>
        </w:rPr>
        <w:t>Regulations 2</w:t>
      </w:r>
      <w:r w:rsidRPr="00FB5439">
        <w:rPr>
          <w:i/>
        </w:rPr>
        <w:t>001</w:t>
      </w:r>
    </w:p>
    <w:p w14:paraId="0085D452" w14:textId="77777777" w:rsidR="00E93F58" w:rsidRPr="00FB5439" w:rsidRDefault="00E93F58" w:rsidP="00070F64">
      <w:pPr>
        <w:spacing w:before="120" w:after="120"/>
        <w:rPr>
          <w:rFonts w:ascii="Arial" w:hAnsi="Arial" w:cs="Arial"/>
          <w:szCs w:val="22"/>
        </w:rPr>
      </w:pPr>
      <w:r w:rsidRPr="00FB5439">
        <w:rPr>
          <w:rFonts w:ascii="Arial" w:hAnsi="Arial" w:cs="Arial"/>
          <w:szCs w:val="22"/>
        </w:rPr>
        <w:t>COMPENSATION FOR LOSSES RESULTING FROM THE UNAUTHORISED TRANSFER OF RIGHTS, SHARES, DEBENTURES OR OTHER SECURITIES BY DEALER</w:t>
      </w:r>
    </w:p>
    <w:p w14:paraId="292F0B4F" w14:textId="77777777" w:rsidR="00E93F58" w:rsidRPr="00FB5439" w:rsidRDefault="00E93F58" w:rsidP="00070F64">
      <w:pPr>
        <w:spacing w:before="120"/>
        <w:jc w:val="both"/>
      </w:pPr>
      <w:r w:rsidRPr="00FB5439">
        <w:t xml:space="preserve">This notice relates to the unauthorised transfer of securities by </w:t>
      </w:r>
      <w:r w:rsidRPr="00FB5439">
        <w:rPr>
          <w:i/>
        </w:rPr>
        <w:t>(insert name of the dealer who is claimed to have transferred securities without authority of transferor)</w:t>
      </w:r>
      <w:r w:rsidRPr="00FB5439">
        <w:t xml:space="preserve"> (in this notice called ‘the dealer’) of </w:t>
      </w:r>
      <w:r w:rsidRPr="00FB5439">
        <w:rPr>
          <w:i/>
        </w:rPr>
        <w:t>(insert residential address of the dealer)</w:t>
      </w:r>
      <w:r w:rsidRPr="00FB5439">
        <w:t xml:space="preserve"> </w:t>
      </w:r>
      <w:r w:rsidRPr="00A80D13">
        <w:rPr>
          <w:position w:val="6"/>
          <w:sz w:val="16"/>
        </w:rPr>
        <w:t>*</w:t>
      </w:r>
      <w:r w:rsidRPr="00FB5439">
        <w:t xml:space="preserve">formerly carrying on / </w:t>
      </w:r>
      <w:r w:rsidRPr="00A80D13">
        <w:rPr>
          <w:position w:val="6"/>
          <w:sz w:val="16"/>
        </w:rPr>
        <w:t>*</w:t>
      </w:r>
      <w:r w:rsidRPr="00FB5439">
        <w:t xml:space="preserve">carrying on business at </w:t>
      </w:r>
      <w:r w:rsidRPr="00FB5439">
        <w:rPr>
          <w:i/>
        </w:rPr>
        <w:t>(insert address of the principal place of business of the dealer, including State or Territory)</w:t>
      </w:r>
      <w:r w:rsidRPr="00FB5439">
        <w:t>.</w:t>
      </w:r>
    </w:p>
    <w:p w14:paraId="0CD18E0D" w14:textId="77777777" w:rsidR="00E93F58" w:rsidRPr="00FB5439" w:rsidRDefault="00E93F58" w:rsidP="00070F64">
      <w:pPr>
        <w:spacing w:before="120"/>
        <w:jc w:val="both"/>
      </w:pPr>
      <w:r w:rsidRPr="00FB5439">
        <w:t xml:space="preserve">A person wishing to make a claim under regulation 7.5.54 or 7.5.55 of the </w:t>
      </w:r>
      <w:r w:rsidRPr="00FB5439">
        <w:rPr>
          <w:i/>
        </w:rPr>
        <w:t xml:space="preserve">Corporations </w:t>
      </w:r>
      <w:r>
        <w:rPr>
          <w:i/>
        </w:rPr>
        <w:t>Regulations 2</w:t>
      </w:r>
      <w:r w:rsidRPr="00FB5439">
        <w:rPr>
          <w:i/>
        </w:rPr>
        <w:t>001</w:t>
      </w:r>
      <w:r w:rsidRPr="00FB5439">
        <w:t xml:space="preserve"> in respect of loss suffered as a result of a transfer of securities executed between </w:t>
      </w:r>
      <w:r w:rsidRPr="00FB5439">
        <w:rPr>
          <w:i/>
        </w:rPr>
        <w:t>(insert date of first day of applicable period)</w:t>
      </w:r>
      <w:r w:rsidRPr="00FB5439">
        <w:t xml:space="preserve"> and </w:t>
      </w:r>
      <w:r w:rsidRPr="00FB5439">
        <w:rPr>
          <w:i/>
        </w:rPr>
        <w:t>(insert date of last day of applicable period, being a date before the date on which the notice is first to be published)</w:t>
      </w:r>
      <w:r w:rsidRPr="00FB5439">
        <w:t xml:space="preserve"> (inclusive) by the dealer without authority must lodge his or her claim with:</w:t>
      </w:r>
    </w:p>
    <w:p w14:paraId="5E43381D" w14:textId="77777777" w:rsidR="00E93F58" w:rsidRPr="00FB5439" w:rsidRDefault="00E93F58" w:rsidP="00070F64">
      <w:pPr>
        <w:spacing w:before="120"/>
        <w:jc w:val="both"/>
      </w:pPr>
      <w:r w:rsidRPr="00FB5439">
        <w:t>Securities Exchanges Guarantee Corporation</w:t>
      </w:r>
    </w:p>
    <w:p w14:paraId="53CC993F" w14:textId="77777777" w:rsidR="00E93F58" w:rsidRPr="00FB5439" w:rsidRDefault="00E93F58" w:rsidP="00070F64">
      <w:pPr>
        <w:jc w:val="center"/>
      </w:pPr>
      <w:r w:rsidRPr="00FB5439">
        <w:rPr>
          <w:i/>
        </w:rPr>
        <w:t>(insert address, including State or Territory and postcode)</w:t>
      </w:r>
      <w:r w:rsidRPr="00FB5439">
        <w:t>.</w:t>
      </w:r>
    </w:p>
    <w:p w14:paraId="6B1FECD6" w14:textId="77777777" w:rsidR="00E93F58" w:rsidRPr="00FB5439" w:rsidRDefault="00E93F58" w:rsidP="00070F64">
      <w:pPr>
        <w:spacing w:before="120"/>
        <w:jc w:val="both"/>
      </w:pPr>
      <w:r w:rsidRPr="00FB5439">
        <w:t xml:space="preserve">The claim must be made in writing before the end of </w:t>
      </w:r>
      <w:r w:rsidRPr="00FB5439">
        <w:rPr>
          <w:i/>
        </w:rPr>
        <w:t>(specify last application day, at least 3 months after last day of publication of notice)</w:t>
      </w:r>
      <w:r w:rsidRPr="00FB5439">
        <w:t>.</w:t>
      </w:r>
    </w:p>
    <w:p w14:paraId="42CDBD9C" w14:textId="77777777" w:rsidR="00E93F58" w:rsidRPr="00FB5439" w:rsidRDefault="00E93F58" w:rsidP="00070F64">
      <w:pPr>
        <w:spacing w:before="120"/>
        <w:jc w:val="both"/>
      </w:pPr>
      <w:r w:rsidRPr="00FB5439">
        <w:t xml:space="preserve">Under subregulation 7.5.56(3) of the </w:t>
      </w:r>
      <w:r w:rsidRPr="00FB5439">
        <w:rPr>
          <w:i/>
        </w:rPr>
        <w:t xml:space="preserve">Corporations </w:t>
      </w:r>
      <w:r>
        <w:rPr>
          <w:i/>
        </w:rPr>
        <w:t>Regulations 2</w:t>
      </w:r>
      <w:r w:rsidRPr="00FB5439">
        <w:rPr>
          <w:i/>
        </w:rPr>
        <w:t>001</w:t>
      </w:r>
      <w:r w:rsidRPr="00FB5439">
        <w:t>, a claim that is not made before the end of that day is barred unless the Board of the Securities Exchanges Guarantee Corporation otherwise determines.</w:t>
      </w:r>
    </w:p>
    <w:p w14:paraId="69EFEADA" w14:textId="77777777" w:rsidR="00E93F58" w:rsidRPr="00FB5439" w:rsidRDefault="00E93F58" w:rsidP="00070F64">
      <w:pPr>
        <w:spacing w:before="120"/>
        <w:jc w:val="both"/>
      </w:pPr>
      <w:r w:rsidRPr="00FB5439">
        <w:t xml:space="preserve">The effect of regulation 7.5.54 of the </w:t>
      </w:r>
      <w:r w:rsidRPr="00FB5439">
        <w:rPr>
          <w:i/>
        </w:rPr>
        <w:t xml:space="preserve">Corporations </w:t>
      </w:r>
      <w:r>
        <w:rPr>
          <w:i/>
        </w:rPr>
        <w:t>Regulations 2</w:t>
      </w:r>
      <w:r w:rsidRPr="00FB5439">
        <w:rPr>
          <w:i/>
        </w:rPr>
        <w:t>001</w:t>
      </w:r>
      <w:r w:rsidRPr="00FB5439">
        <w:t xml:space="preserve"> is to allow a person who:</w:t>
      </w:r>
    </w:p>
    <w:p w14:paraId="34119D97" w14:textId="77777777" w:rsidR="00E93F58" w:rsidRPr="00FB5439" w:rsidRDefault="00E93F58" w:rsidP="00070F64">
      <w:pPr>
        <w:pStyle w:val="R1"/>
        <w:tabs>
          <w:tab w:val="clear" w:pos="794"/>
          <w:tab w:val="left" w:pos="567"/>
        </w:tabs>
        <w:ind w:left="567" w:hanging="567"/>
        <w:rPr>
          <w:color w:val="000000"/>
        </w:rPr>
      </w:pPr>
      <w:r w:rsidRPr="00FB5439">
        <w:t>(a)</w:t>
      </w:r>
      <w:r w:rsidRPr="00FB5439">
        <w:tab/>
        <w:t>owned securities that were transferred by a dealer; and</w:t>
      </w:r>
    </w:p>
    <w:p w14:paraId="22D76F04" w14:textId="77777777" w:rsidR="00E93F58" w:rsidRPr="00FB5439" w:rsidRDefault="00E93F58" w:rsidP="00070F64">
      <w:pPr>
        <w:pStyle w:val="R1"/>
        <w:tabs>
          <w:tab w:val="clear" w:pos="794"/>
          <w:tab w:val="left" w:pos="567"/>
        </w:tabs>
        <w:ind w:left="567" w:hanging="567"/>
        <w:rPr>
          <w:color w:val="000000"/>
        </w:rPr>
      </w:pPr>
      <w:r w:rsidRPr="00FB5439">
        <w:rPr>
          <w:color w:val="000000"/>
        </w:rPr>
        <w:t>(b)</w:t>
      </w:r>
      <w:r w:rsidRPr="00FB5439">
        <w:rPr>
          <w:color w:val="000000"/>
        </w:rPr>
        <w:tab/>
        <w:t>did not authorise the dealer to transfer those securities; and</w:t>
      </w:r>
    </w:p>
    <w:p w14:paraId="3DCAB908" w14:textId="77777777" w:rsidR="00E93F58" w:rsidRPr="00FB5439" w:rsidRDefault="00E93F58" w:rsidP="00070F64">
      <w:pPr>
        <w:pStyle w:val="R1"/>
        <w:tabs>
          <w:tab w:val="clear" w:pos="794"/>
          <w:tab w:val="left" w:pos="567"/>
        </w:tabs>
        <w:ind w:left="567" w:hanging="567"/>
        <w:rPr>
          <w:color w:val="000000"/>
        </w:rPr>
      </w:pPr>
      <w:r w:rsidRPr="00FB5439">
        <w:rPr>
          <w:color w:val="000000"/>
        </w:rPr>
        <w:t>(c)</w:t>
      </w:r>
      <w:r w:rsidRPr="00FB5439">
        <w:rPr>
          <w:color w:val="000000"/>
        </w:rPr>
        <w:tab/>
        <w:t>suffered loss as a result of the transfer;</w:t>
      </w:r>
    </w:p>
    <w:p w14:paraId="252933D0" w14:textId="77777777" w:rsidR="00E93F58" w:rsidRPr="00FB5439" w:rsidRDefault="00E93F58" w:rsidP="00070F64">
      <w:pPr>
        <w:spacing w:before="120"/>
        <w:jc w:val="both"/>
      </w:pPr>
      <w:r w:rsidRPr="00FB5439">
        <w:t>to make a claim for compensation for the loss suffered in respect of the securities.</w:t>
      </w:r>
    </w:p>
    <w:p w14:paraId="38B5661D" w14:textId="77777777" w:rsidR="00E93F58" w:rsidRPr="00FB5439" w:rsidRDefault="00E93F58" w:rsidP="00070F64">
      <w:pPr>
        <w:spacing w:before="120"/>
        <w:jc w:val="both"/>
      </w:pPr>
      <w:r w:rsidRPr="00FB5439">
        <w:t xml:space="preserve">The effect of subregulation 7.5.55(1) of the </w:t>
      </w:r>
      <w:r w:rsidRPr="00FB5439">
        <w:rPr>
          <w:i/>
        </w:rPr>
        <w:t xml:space="preserve">Corporations </w:t>
      </w:r>
      <w:r>
        <w:rPr>
          <w:i/>
        </w:rPr>
        <w:t>Regulations 2</w:t>
      </w:r>
      <w:r w:rsidRPr="00FB5439">
        <w:rPr>
          <w:i/>
        </w:rPr>
        <w:t>001</w:t>
      </w:r>
      <w:r w:rsidRPr="00FB5439">
        <w:t xml:space="preserve"> is to allow:</w:t>
      </w:r>
    </w:p>
    <w:p w14:paraId="221B3F2D" w14:textId="77777777" w:rsidR="00E93F58" w:rsidRPr="00FB5439" w:rsidRDefault="00E93F58" w:rsidP="00070F64">
      <w:pPr>
        <w:pStyle w:val="R1"/>
        <w:keepLines w:val="0"/>
        <w:tabs>
          <w:tab w:val="clear" w:pos="794"/>
          <w:tab w:val="left" w:pos="567"/>
        </w:tabs>
        <w:ind w:left="567" w:hanging="567"/>
        <w:rPr>
          <w:color w:val="000000"/>
        </w:rPr>
      </w:pPr>
      <w:r w:rsidRPr="00FB5439">
        <w:t>(a)</w:t>
      </w:r>
      <w:r w:rsidRPr="00FB5439">
        <w:tab/>
        <w:t>a person to whom securities were transferred by the dealer without the authority of the owner of the securities; or</w:t>
      </w:r>
    </w:p>
    <w:p w14:paraId="0A53769F" w14:textId="77777777" w:rsidR="00E93F58" w:rsidRPr="00FB5439" w:rsidRDefault="00E93F58" w:rsidP="00070F64">
      <w:pPr>
        <w:pStyle w:val="R1"/>
        <w:keepLines w:val="0"/>
        <w:tabs>
          <w:tab w:val="clear" w:pos="794"/>
        </w:tabs>
        <w:ind w:left="567" w:hanging="567"/>
        <w:rPr>
          <w:color w:val="000000"/>
        </w:rPr>
      </w:pPr>
      <w:r w:rsidRPr="00FB5439">
        <w:rPr>
          <w:color w:val="000000"/>
        </w:rPr>
        <w:t>(b)</w:t>
      </w:r>
      <w:r w:rsidRPr="00FB5439">
        <w:rPr>
          <w:color w:val="000000"/>
        </w:rPr>
        <w:tab/>
        <w:t>a successor in title of that person;</w:t>
      </w:r>
    </w:p>
    <w:p w14:paraId="3EFA5A00" w14:textId="77777777" w:rsidR="00E93F58" w:rsidRPr="00FB5439" w:rsidRDefault="00E93F58" w:rsidP="00070F64">
      <w:pPr>
        <w:pStyle w:val="R1"/>
        <w:keepLines w:val="0"/>
        <w:tabs>
          <w:tab w:val="clear" w:pos="794"/>
        </w:tabs>
        <w:ind w:left="0" w:firstLine="0"/>
        <w:rPr>
          <w:color w:val="000000"/>
        </w:rPr>
      </w:pPr>
      <w:r w:rsidRPr="00FB5439">
        <w:rPr>
          <w:color w:val="000000"/>
        </w:rPr>
        <w:t>to make a claim for compensation for the loss suffered in respect of the securities.</w:t>
      </w:r>
    </w:p>
    <w:p w14:paraId="255B7A3C" w14:textId="77777777" w:rsidR="00E93F58" w:rsidRPr="00FB5439" w:rsidRDefault="00E93F58" w:rsidP="00070F64">
      <w:pPr>
        <w:spacing w:before="120"/>
        <w:jc w:val="both"/>
      </w:pPr>
      <w:r w:rsidRPr="00FB5439">
        <w:t xml:space="preserve">Under regulation 7.5.55 of the </w:t>
      </w:r>
      <w:r w:rsidRPr="00FB5439">
        <w:rPr>
          <w:i/>
        </w:rPr>
        <w:t xml:space="preserve">Corporations </w:t>
      </w:r>
      <w:r>
        <w:rPr>
          <w:i/>
        </w:rPr>
        <w:t>Regulations 2</w:t>
      </w:r>
      <w:r w:rsidRPr="00FB5439">
        <w:rPr>
          <w:i/>
        </w:rPr>
        <w:t>001</w:t>
      </w:r>
      <w:r w:rsidRPr="00FB5439">
        <w:t>, the following persons are not entitled to make a claim:</w:t>
      </w:r>
    </w:p>
    <w:p w14:paraId="416D072B" w14:textId="77777777" w:rsidR="00E93F58" w:rsidRPr="00FB5439" w:rsidRDefault="00E93F58" w:rsidP="00070F64">
      <w:pPr>
        <w:pStyle w:val="R1"/>
        <w:keepLines w:val="0"/>
        <w:tabs>
          <w:tab w:val="clear" w:pos="794"/>
        </w:tabs>
        <w:ind w:left="567" w:hanging="567"/>
        <w:rPr>
          <w:color w:val="000000"/>
        </w:rPr>
      </w:pPr>
      <w:r w:rsidRPr="00FB5439">
        <w:t>(a)</w:t>
      </w:r>
      <w:r w:rsidRPr="00FB5439">
        <w:tab/>
        <w:t>a person who knew that the owner of the securities had not authorised the dealer to transfer them;</w:t>
      </w:r>
    </w:p>
    <w:p w14:paraId="0EB8DF61" w14:textId="77777777" w:rsidR="00E93F58" w:rsidRPr="00FB5439" w:rsidRDefault="00E93F58" w:rsidP="00070F64">
      <w:pPr>
        <w:pStyle w:val="R1"/>
        <w:keepLines w:val="0"/>
        <w:tabs>
          <w:tab w:val="clear" w:pos="794"/>
        </w:tabs>
        <w:ind w:left="567" w:hanging="567"/>
        <w:rPr>
          <w:color w:val="000000"/>
        </w:rPr>
      </w:pPr>
      <w:r w:rsidRPr="00FB5439">
        <w:t>(b)</w:t>
      </w:r>
      <w:r w:rsidRPr="00FB5439">
        <w:tab/>
        <w:t xml:space="preserve">a person who is connected with the dealer in a way described in regulation 7.5.04 of the </w:t>
      </w:r>
      <w:r w:rsidRPr="00FB5439">
        <w:rPr>
          <w:i/>
        </w:rPr>
        <w:t xml:space="preserve">Corporations </w:t>
      </w:r>
      <w:r>
        <w:rPr>
          <w:i/>
        </w:rPr>
        <w:t>Regulations 2</w:t>
      </w:r>
      <w:r w:rsidRPr="00FB5439">
        <w:rPr>
          <w:i/>
        </w:rPr>
        <w:t>001</w:t>
      </w:r>
      <w:r w:rsidRPr="00FB5439">
        <w:t>.</w:t>
      </w:r>
    </w:p>
    <w:p w14:paraId="655E4F26" w14:textId="77777777" w:rsidR="00E93F58" w:rsidRPr="00FB5439" w:rsidRDefault="00E93F58" w:rsidP="00070F64">
      <w:pPr>
        <w:spacing w:before="120"/>
        <w:jc w:val="both"/>
        <w:rPr>
          <w:i/>
        </w:rPr>
      </w:pPr>
      <w:r w:rsidRPr="00FB5439">
        <w:rPr>
          <w:i/>
        </w:rPr>
        <w:t>(signature of an officer of the SEGC)</w:t>
      </w:r>
    </w:p>
    <w:p w14:paraId="6E0F4682" w14:textId="77777777" w:rsidR="00E93F58" w:rsidRPr="00FB5439" w:rsidRDefault="00E93F58" w:rsidP="00070F64">
      <w:pPr>
        <w:spacing w:before="120"/>
        <w:jc w:val="both"/>
      </w:pPr>
      <w:r w:rsidRPr="00FB5439">
        <w:t>(</w:t>
      </w:r>
      <w:r w:rsidRPr="00FB5439">
        <w:rPr>
          <w:i/>
        </w:rPr>
        <w:t>under the signature add the words</w:t>
      </w:r>
      <w:r w:rsidRPr="00FB5439">
        <w:t xml:space="preserve"> ‘for the Securities Exchanges Guarantee Corporation’)</w:t>
      </w:r>
    </w:p>
    <w:p w14:paraId="5B10E408" w14:textId="77777777" w:rsidR="00E93F58" w:rsidRPr="00FB5439" w:rsidRDefault="00E93F58" w:rsidP="00070F64">
      <w:pPr>
        <w:spacing w:before="120"/>
        <w:jc w:val="both"/>
        <w:rPr>
          <w:i/>
        </w:rPr>
      </w:pPr>
      <w:r w:rsidRPr="00FB5439">
        <w:rPr>
          <w:i/>
        </w:rPr>
        <w:t>(add the date of signature)</w:t>
      </w:r>
    </w:p>
    <w:p w14:paraId="3208FC05" w14:textId="77777777" w:rsidR="00E93F58" w:rsidRPr="00FB5439" w:rsidRDefault="00E93F58" w:rsidP="00070F64">
      <w:pPr>
        <w:spacing w:before="120"/>
        <w:jc w:val="both"/>
      </w:pPr>
      <w:r w:rsidRPr="00A80D13">
        <w:rPr>
          <w:position w:val="6"/>
          <w:sz w:val="16"/>
        </w:rPr>
        <w:t>*</w:t>
      </w:r>
      <w:r w:rsidRPr="00FB5439">
        <w:t> Omit if not applicable</w:t>
      </w:r>
    </w:p>
    <w:p w14:paraId="1DB921FD" w14:textId="77777777" w:rsidR="00E93F58" w:rsidRPr="00FB5439" w:rsidRDefault="00E93F58" w:rsidP="00A80D13">
      <w:pPr>
        <w:pStyle w:val="ActHead2"/>
        <w:pageBreakBefore/>
      </w:pPr>
      <w:bookmarkStart w:id="3237" w:name="_Toc151992803"/>
      <w:bookmarkStart w:id="3238" w:name="_Toc158713406"/>
      <w:r w:rsidRPr="00FB5439">
        <w:rPr>
          <w:rStyle w:val="CharPartNo"/>
        </w:rPr>
        <w:lastRenderedPageBreak/>
        <w:t>Form 719B</w:t>
      </w:r>
      <w:bookmarkEnd w:id="3237"/>
      <w:bookmarkEnd w:id="3238"/>
      <w:r w:rsidRPr="00FB5439">
        <w:rPr>
          <w:rStyle w:val="CharPartText"/>
        </w:rPr>
        <w:t xml:space="preserve"> </w:t>
      </w:r>
      <w:r w:rsidRPr="00FB5439">
        <w:t xml:space="preserve"> </w:t>
      </w:r>
    </w:p>
    <w:p w14:paraId="6259960A" w14:textId="77777777" w:rsidR="00E93F58" w:rsidRPr="00FB5439" w:rsidRDefault="00E93F58" w:rsidP="00ED3F47">
      <w:pPr>
        <w:pStyle w:val="notemargin"/>
      </w:pPr>
      <w:r w:rsidRPr="00FB5439">
        <w:t>(subregulation 7.5.61(4))</w:t>
      </w:r>
    </w:p>
    <w:p w14:paraId="21DDE124"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5812DDF2" w14:textId="77777777" w:rsidR="00E93F58" w:rsidRPr="00FB5439" w:rsidRDefault="00E93F58" w:rsidP="00070F64">
      <w:pPr>
        <w:pStyle w:val="R1"/>
        <w:tabs>
          <w:tab w:val="clear" w:pos="794"/>
        </w:tabs>
        <w:spacing w:before="180" w:after="180"/>
        <w:ind w:left="0" w:firstLine="0"/>
        <w:rPr>
          <w:i/>
        </w:rPr>
      </w:pPr>
      <w:r w:rsidRPr="00FB5439">
        <w:rPr>
          <w:i/>
        </w:rPr>
        <w:t xml:space="preserve">Corporations </w:t>
      </w:r>
      <w:r>
        <w:rPr>
          <w:i/>
        </w:rPr>
        <w:t>Regulations 2</w:t>
      </w:r>
      <w:r w:rsidRPr="00FB5439">
        <w:rPr>
          <w:i/>
        </w:rPr>
        <w:t>001</w:t>
      </w:r>
    </w:p>
    <w:p w14:paraId="66D96BC5" w14:textId="77777777" w:rsidR="00E93F58" w:rsidRPr="00FB5439" w:rsidRDefault="00E93F58" w:rsidP="00070F64">
      <w:pPr>
        <w:spacing w:after="60"/>
        <w:rPr>
          <w:rFonts w:ascii="Arial" w:hAnsi="Arial" w:cs="Arial"/>
          <w:szCs w:val="22"/>
        </w:rPr>
      </w:pPr>
      <w:r w:rsidRPr="00FB5439">
        <w:rPr>
          <w:rFonts w:ascii="Arial" w:hAnsi="Arial" w:cs="Arial"/>
          <w:szCs w:val="22"/>
        </w:rPr>
        <w:t>NOTICE CALLING FOR CLAIMS AGAINST SECURITIES EXCHANGES GUARANTEE CORPORATION</w:t>
      </w:r>
    </w:p>
    <w:p w14:paraId="3E08631F" w14:textId="77777777" w:rsidR="00E93F58" w:rsidRPr="00FB5439" w:rsidRDefault="00E93F58" w:rsidP="00070F64">
      <w:pPr>
        <w:spacing w:before="60"/>
        <w:jc w:val="both"/>
      </w:pPr>
      <w:r w:rsidRPr="00FB5439">
        <w:t xml:space="preserve">This notice relates to claims for pecuniary loss suffered in respect of a contravention of the ASTC certificate cancellation provisions by </w:t>
      </w:r>
      <w:r w:rsidRPr="00FB5439">
        <w:rPr>
          <w:i/>
        </w:rPr>
        <w:t>(insert name of dealer who is claimed to have contravened SCH certificate cancellation provisions)</w:t>
      </w:r>
      <w:r w:rsidRPr="00FB5439">
        <w:t xml:space="preserve"> (in this notice called ‘the dealer’) </w:t>
      </w:r>
      <w:r w:rsidRPr="00A80D13">
        <w:rPr>
          <w:position w:val="6"/>
          <w:sz w:val="16"/>
        </w:rPr>
        <w:t>*</w:t>
      </w:r>
      <w:r w:rsidRPr="00FB5439">
        <w:t xml:space="preserve">formerly carrying on business / </w:t>
      </w:r>
      <w:r w:rsidRPr="00A80D13">
        <w:rPr>
          <w:position w:val="6"/>
          <w:sz w:val="16"/>
        </w:rPr>
        <w:t>*</w:t>
      </w:r>
      <w:r w:rsidRPr="00FB5439">
        <w:t xml:space="preserve">carrying on business at </w:t>
      </w:r>
      <w:r w:rsidRPr="00FB5439">
        <w:rPr>
          <w:i/>
        </w:rPr>
        <w:t>(insert business address of the dealer)</w:t>
      </w:r>
      <w:r w:rsidRPr="00FB5439">
        <w:t>.</w:t>
      </w:r>
    </w:p>
    <w:p w14:paraId="62CF6E15" w14:textId="77777777" w:rsidR="00E93F58" w:rsidRPr="00FB5439" w:rsidRDefault="00E93F58" w:rsidP="00070F64">
      <w:pPr>
        <w:spacing w:before="60"/>
        <w:jc w:val="both"/>
      </w:pPr>
      <w:r w:rsidRPr="00FB5439">
        <w:t xml:space="preserve">A person wishing to make a claim under subregulation 7.5.60(1) of the </w:t>
      </w:r>
      <w:r w:rsidRPr="00FB5439">
        <w:rPr>
          <w:i/>
        </w:rPr>
        <w:t xml:space="preserve">Corporations </w:t>
      </w:r>
      <w:r>
        <w:rPr>
          <w:i/>
        </w:rPr>
        <w:t>Regulations 2</w:t>
      </w:r>
      <w:r w:rsidRPr="00FB5439">
        <w:rPr>
          <w:i/>
        </w:rPr>
        <w:t>001</w:t>
      </w:r>
      <w:r w:rsidRPr="00FB5439">
        <w:t xml:space="preserve"> for pecuniary loss suffered in respect of a contravention by the dealer of the SCH certificate cancellation provisions during the period beginning on and ending on </w:t>
      </w:r>
      <w:r w:rsidRPr="00FB5439">
        <w:rPr>
          <w:i/>
        </w:rPr>
        <w:t>(insert dates)</w:t>
      </w:r>
      <w:r w:rsidRPr="00FB5439">
        <w:t xml:space="preserve"> is required to serve the claim on:</w:t>
      </w:r>
    </w:p>
    <w:p w14:paraId="4ABF02F4" w14:textId="77777777" w:rsidR="00E93F58" w:rsidRPr="00FB5439" w:rsidRDefault="00E93F58" w:rsidP="00070F64">
      <w:pPr>
        <w:spacing w:before="60"/>
        <w:jc w:val="both"/>
      </w:pPr>
      <w:r w:rsidRPr="00FB5439">
        <w:t>Securities Exchanges Guarantee Corporation</w:t>
      </w:r>
    </w:p>
    <w:p w14:paraId="1CE136FD" w14:textId="77777777" w:rsidR="00E93F58" w:rsidRPr="00FB5439" w:rsidRDefault="00E93F58" w:rsidP="00070F64">
      <w:pPr>
        <w:spacing w:before="60"/>
        <w:jc w:val="both"/>
        <w:rPr>
          <w:i/>
        </w:rPr>
      </w:pPr>
      <w:r w:rsidRPr="00FB5439">
        <w:rPr>
          <w:i/>
        </w:rPr>
        <w:t>(insert address including relevant State or Territory and postcode).</w:t>
      </w:r>
    </w:p>
    <w:p w14:paraId="0707546A" w14:textId="77777777" w:rsidR="00E93F58" w:rsidRPr="00FB5439" w:rsidRDefault="00E93F58" w:rsidP="00070F64">
      <w:pPr>
        <w:spacing w:before="60"/>
        <w:jc w:val="both"/>
      </w:pPr>
      <w:r w:rsidRPr="00FB5439">
        <w:t xml:space="preserve">The claim must be made in writing and served on or before the end of </w:t>
      </w:r>
      <w:r w:rsidRPr="00FB5439">
        <w:rPr>
          <w:i/>
        </w:rPr>
        <w:t>(specify last application day — at least 3 months after last day of publication of notice)</w:t>
      </w:r>
      <w:r w:rsidRPr="00FB5439">
        <w:t>.</w:t>
      </w:r>
    </w:p>
    <w:p w14:paraId="3F3E2B71" w14:textId="77777777" w:rsidR="00E93F58" w:rsidRPr="00FB5439" w:rsidRDefault="00E93F58" w:rsidP="00070F64">
      <w:pPr>
        <w:spacing w:before="120"/>
      </w:pPr>
      <w:r w:rsidRPr="00FB5439">
        <w:t>(NOTES:</w:t>
      </w:r>
    </w:p>
    <w:p w14:paraId="4F156C16" w14:textId="77777777" w:rsidR="00E93F58" w:rsidRPr="00FB5439" w:rsidRDefault="00E93F58" w:rsidP="00070F64">
      <w:pPr>
        <w:spacing w:before="60"/>
        <w:ind w:left="425" w:hanging="425"/>
        <w:jc w:val="both"/>
      </w:pPr>
      <w:r w:rsidRPr="00FB5439">
        <w:t>1.</w:t>
      </w:r>
      <w:r w:rsidRPr="00FB5439">
        <w:tab/>
        <w:t xml:space="preserve">Under subregulation 7.5.61(3) of the </w:t>
      </w:r>
      <w:r w:rsidRPr="00FB5439">
        <w:rPr>
          <w:i/>
        </w:rPr>
        <w:t xml:space="preserve">Corporations </w:t>
      </w:r>
      <w:r>
        <w:rPr>
          <w:i/>
        </w:rPr>
        <w:t>Regulations 2</w:t>
      </w:r>
      <w:r w:rsidRPr="00FB5439">
        <w:rPr>
          <w:i/>
        </w:rPr>
        <w:t>001</w:t>
      </w:r>
      <w:r w:rsidRPr="00FB5439">
        <w:t>, a claim that is not served before the end of the day specified will be barred, unless the Board of the Securities Exchanges Guarantee Corporation (‘SEGC’) otherwise determines.</w:t>
      </w:r>
    </w:p>
    <w:p w14:paraId="03E06043" w14:textId="77777777" w:rsidR="00E93F58" w:rsidRPr="00FB5439" w:rsidRDefault="00E93F58" w:rsidP="00070F64">
      <w:pPr>
        <w:spacing w:before="60"/>
        <w:ind w:left="425" w:hanging="425"/>
        <w:jc w:val="both"/>
      </w:pPr>
      <w:r w:rsidRPr="00FB5439">
        <w:t>2.</w:t>
      </w:r>
      <w:r w:rsidRPr="00FB5439">
        <w:tab/>
        <w:t xml:space="preserve">Regulation 7.5.60 of the </w:t>
      </w:r>
      <w:r w:rsidRPr="00FB5439">
        <w:rPr>
          <w:i/>
        </w:rPr>
        <w:t xml:space="preserve">Corporations </w:t>
      </w:r>
      <w:r>
        <w:rPr>
          <w:i/>
        </w:rPr>
        <w:t>Regulations 2</w:t>
      </w:r>
      <w:r w:rsidRPr="00FB5439">
        <w:rPr>
          <w:i/>
        </w:rPr>
        <w:t>001</w:t>
      </w:r>
      <w:r w:rsidRPr="00FB5439">
        <w:t xml:space="preserve"> provides that a person who suffers pecuniary loss in respect of a contravention, by a dealer, of the ASTC certificate cancellation provisions may make a claim in respect of the loss. ASTC certificate cancellation provisions are provisions of the ASTC operating rules that deal with brokers cancelling certificates or other documents of title to Part 4 financial products or with matters incidental to that function.)</w:t>
      </w:r>
    </w:p>
    <w:p w14:paraId="51D99CC4" w14:textId="77777777" w:rsidR="00E93F58" w:rsidRPr="00FB5439" w:rsidRDefault="00E93F58" w:rsidP="009979BE">
      <w:pPr>
        <w:keepNext/>
        <w:keepLines/>
        <w:spacing w:before="120"/>
        <w:jc w:val="both"/>
      </w:pPr>
      <w:r w:rsidRPr="00FB5439">
        <w:t xml:space="preserve">A person may not make a claim under regulation 7.5.60 of the </w:t>
      </w:r>
      <w:r w:rsidRPr="00FB5439">
        <w:rPr>
          <w:i/>
        </w:rPr>
        <w:t xml:space="preserve">Corporations </w:t>
      </w:r>
      <w:r>
        <w:rPr>
          <w:i/>
        </w:rPr>
        <w:t>Regulations 2</w:t>
      </w:r>
      <w:r w:rsidRPr="00FB5439">
        <w:rPr>
          <w:i/>
        </w:rPr>
        <w:t>001</w:t>
      </w:r>
      <w:r w:rsidRPr="00FB5439">
        <w:t xml:space="preserve"> if:</w:t>
      </w:r>
    </w:p>
    <w:p w14:paraId="245FEE69" w14:textId="77777777" w:rsidR="00E93F58" w:rsidRPr="00FB5439" w:rsidRDefault="00E93F58" w:rsidP="00070F64">
      <w:pPr>
        <w:pStyle w:val="R1"/>
        <w:tabs>
          <w:tab w:val="clear" w:pos="794"/>
        </w:tabs>
        <w:ind w:left="567" w:hanging="567"/>
        <w:rPr>
          <w:color w:val="000000"/>
        </w:rPr>
      </w:pPr>
      <w:r w:rsidRPr="00FB5439">
        <w:t>(a)</w:t>
      </w:r>
      <w:r w:rsidRPr="00FB5439">
        <w:tab/>
        <w:t>the loss is in respect of an unauthorised execution (within the meaning of regulation 7.5.53 of those Regulations) in respect of which the person has made, or is entitled to make a claim under Subdivision 4.7 of Part 7.5 of those Regulations; or</w:t>
      </w:r>
    </w:p>
    <w:p w14:paraId="0F49F881" w14:textId="77777777" w:rsidR="00E93F58" w:rsidRPr="00FB5439" w:rsidRDefault="00E93F58" w:rsidP="00070F64">
      <w:pPr>
        <w:pStyle w:val="R1"/>
        <w:tabs>
          <w:tab w:val="clear" w:pos="794"/>
        </w:tabs>
        <w:ind w:left="567" w:hanging="567"/>
        <w:rPr>
          <w:color w:val="000000"/>
        </w:rPr>
      </w:pPr>
      <w:r w:rsidRPr="00FB5439">
        <w:t>(b)</w:t>
      </w:r>
      <w:r w:rsidRPr="00FB5439">
        <w:tab/>
        <w:t>the person was involved in the contravention of the ASTC certificate cancellation provisions.</w:t>
      </w:r>
    </w:p>
    <w:p w14:paraId="23CF35D8" w14:textId="77777777" w:rsidR="00E93F58" w:rsidRPr="00FB5439" w:rsidRDefault="00E93F58" w:rsidP="00070F64">
      <w:pPr>
        <w:spacing w:before="120"/>
        <w:jc w:val="both"/>
        <w:rPr>
          <w:i/>
        </w:rPr>
      </w:pPr>
      <w:r w:rsidRPr="00FB5439">
        <w:rPr>
          <w:i/>
        </w:rPr>
        <w:t>(signature of an officer of the SEGC)</w:t>
      </w:r>
    </w:p>
    <w:p w14:paraId="5F517629" w14:textId="77777777" w:rsidR="00E93F58" w:rsidRPr="00FB5439" w:rsidRDefault="00E93F58" w:rsidP="00070F64">
      <w:pPr>
        <w:spacing w:before="120"/>
        <w:jc w:val="both"/>
      </w:pPr>
      <w:r w:rsidRPr="00FB5439">
        <w:t>for the Securities Exchanges Guarantee Corporation</w:t>
      </w:r>
    </w:p>
    <w:p w14:paraId="532EE2CD" w14:textId="77777777" w:rsidR="00E93F58" w:rsidRPr="00FB5439" w:rsidRDefault="00E93F58" w:rsidP="00070F64">
      <w:pPr>
        <w:spacing w:before="120"/>
        <w:jc w:val="both"/>
        <w:rPr>
          <w:i/>
        </w:rPr>
      </w:pPr>
      <w:r w:rsidRPr="00FB5439">
        <w:rPr>
          <w:i/>
        </w:rPr>
        <w:t>(add the date of signature)</w:t>
      </w:r>
    </w:p>
    <w:p w14:paraId="48BFBF7E" w14:textId="77777777" w:rsidR="00E93F58" w:rsidRPr="00FB5439" w:rsidRDefault="00E93F58" w:rsidP="00070F64">
      <w:pPr>
        <w:spacing w:before="120"/>
        <w:jc w:val="both"/>
      </w:pPr>
      <w:r w:rsidRPr="00A80D13">
        <w:rPr>
          <w:position w:val="6"/>
          <w:sz w:val="16"/>
        </w:rPr>
        <w:t>*</w:t>
      </w:r>
      <w:r w:rsidRPr="00FB5439">
        <w:t xml:space="preserve"> Omit if not applicable</w:t>
      </w:r>
    </w:p>
    <w:p w14:paraId="7F2229A0" w14:textId="77777777" w:rsidR="00E93F58" w:rsidRPr="00FB5439" w:rsidRDefault="00E93F58" w:rsidP="00A80D13">
      <w:pPr>
        <w:pStyle w:val="ActHead2"/>
        <w:pageBreakBefore/>
      </w:pPr>
      <w:bookmarkStart w:id="3239" w:name="_Toc151992804"/>
      <w:bookmarkStart w:id="3240" w:name="_Toc158713407"/>
      <w:r w:rsidRPr="00FB5439">
        <w:rPr>
          <w:rStyle w:val="CharPartNo"/>
        </w:rPr>
        <w:lastRenderedPageBreak/>
        <w:t>Form 720</w:t>
      </w:r>
      <w:bookmarkEnd w:id="3239"/>
      <w:bookmarkEnd w:id="3240"/>
      <w:r w:rsidRPr="00FB5439">
        <w:rPr>
          <w:rStyle w:val="CharPartText"/>
        </w:rPr>
        <w:t xml:space="preserve"> </w:t>
      </w:r>
      <w:r w:rsidRPr="00FB5439">
        <w:t xml:space="preserve"> </w:t>
      </w:r>
    </w:p>
    <w:p w14:paraId="5CA3CBB2" w14:textId="77777777" w:rsidR="00E93F58" w:rsidRPr="00FB5439" w:rsidRDefault="00E93F58" w:rsidP="00ED3F47">
      <w:pPr>
        <w:pStyle w:val="notemargin"/>
      </w:pPr>
      <w:r w:rsidRPr="00FB5439">
        <w:t>(subregulation 7.5.70(1))</w:t>
      </w:r>
    </w:p>
    <w:p w14:paraId="12CA4D26" w14:textId="77777777" w:rsidR="00E93F58" w:rsidRPr="00FB5439" w:rsidRDefault="00E93F58" w:rsidP="00070F64">
      <w:pPr>
        <w:pStyle w:val="Header"/>
        <w:keepNext w:val="0"/>
      </w:pPr>
      <w:r w:rsidRPr="00FB5439">
        <w:rPr>
          <w:rStyle w:val="CharDivNo"/>
        </w:rPr>
        <w:t xml:space="preserve"> </w:t>
      </w:r>
      <w:r w:rsidRPr="00FB5439">
        <w:rPr>
          <w:rStyle w:val="CharDivText"/>
        </w:rPr>
        <w:t xml:space="preserve"> </w:t>
      </w:r>
    </w:p>
    <w:p w14:paraId="75FE6A57" w14:textId="77777777" w:rsidR="00E93F58" w:rsidRPr="00FB5439" w:rsidRDefault="00E93F58" w:rsidP="00070F64">
      <w:pPr>
        <w:pStyle w:val="R1"/>
        <w:tabs>
          <w:tab w:val="clear" w:pos="794"/>
          <w:tab w:val="right" w:pos="0"/>
        </w:tabs>
        <w:spacing w:before="180"/>
        <w:ind w:left="0" w:firstLine="0"/>
        <w:rPr>
          <w:i/>
        </w:rPr>
      </w:pPr>
      <w:r w:rsidRPr="00FB5439">
        <w:rPr>
          <w:i/>
        </w:rPr>
        <w:t xml:space="preserve">Corporations </w:t>
      </w:r>
      <w:r>
        <w:rPr>
          <w:i/>
        </w:rPr>
        <w:t>Regulations 2</w:t>
      </w:r>
      <w:r w:rsidRPr="00FB5439">
        <w:rPr>
          <w:i/>
        </w:rPr>
        <w:t>001</w:t>
      </w:r>
    </w:p>
    <w:p w14:paraId="3C428D02" w14:textId="77777777" w:rsidR="00E93F58" w:rsidRPr="00FB5439" w:rsidRDefault="00E93F58" w:rsidP="00070F64">
      <w:pPr>
        <w:spacing w:before="240" w:after="120"/>
        <w:rPr>
          <w:rFonts w:ascii="Arial" w:hAnsi="Arial" w:cs="Arial"/>
          <w:szCs w:val="22"/>
        </w:rPr>
      </w:pPr>
      <w:r w:rsidRPr="00FB5439">
        <w:rPr>
          <w:rFonts w:ascii="Arial" w:hAnsi="Arial" w:cs="Arial"/>
          <w:szCs w:val="22"/>
        </w:rPr>
        <w:t>NOTICE CALLING FOR CLAIMS AGAINST THE SECURITIES EXCHANGES GUARANTEE CORPORATION</w:t>
      </w:r>
    </w:p>
    <w:p w14:paraId="602853E0" w14:textId="77777777" w:rsidR="00E93F58" w:rsidRPr="00FB5439" w:rsidRDefault="00E93F58" w:rsidP="00070F64">
      <w:pPr>
        <w:spacing w:before="120"/>
        <w:jc w:val="both"/>
      </w:pPr>
      <w:r w:rsidRPr="00FB5439">
        <w:t xml:space="preserve">In relation to </w:t>
      </w:r>
      <w:r w:rsidRPr="00FB5439">
        <w:rPr>
          <w:i/>
        </w:rPr>
        <w:t>(insert name of dealer who has become insolvent)</w:t>
      </w:r>
      <w:r w:rsidRPr="00FB5439">
        <w:t xml:space="preserve"> (in this notice called ‘the dealer’) of </w:t>
      </w:r>
      <w:r w:rsidRPr="00FB5439">
        <w:rPr>
          <w:i/>
        </w:rPr>
        <w:t>(insert residential address of the dealer)</w:t>
      </w:r>
      <w:r w:rsidRPr="00FB5439">
        <w:t xml:space="preserve">, </w:t>
      </w:r>
      <w:r w:rsidRPr="00A80D13">
        <w:rPr>
          <w:position w:val="6"/>
          <w:sz w:val="16"/>
        </w:rPr>
        <w:t>*</w:t>
      </w:r>
      <w:r w:rsidRPr="00FB5439">
        <w:t xml:space="preserve">formerly / carrying on business at </w:t>
      </w:r>
      <w:r w:rsidRPr="00FB5439">
        <w:rPr>
          <w:i/>
        </w:rPr>
        <w:t>(insert address of the principal place of business of the dealer, including State or Territory)</w:t>
      </w:r>
      <w:r w:rsidRPr="00FB5439">
        <w:t>, a dealer who has become insolvent.</w:t>
      </w:r>
    </w:p>
    <w:p w14:paraId="0626A387" w14:textId="77777777" w:rsidR="00E93F58" w:rsidRPr="00FB5439" w:rsidRDefault="00E93F58" w:rsidP="00070F64">
      <w:pPr>
        <w:keepLines/>
        <w:spacing w:before="120"/>
        <w:jc w:val="both"/>
      </w:pPr>
      <w:r w:rsidRPr="00FB5439">
        <w:t xml:space="preserve">Persons wishing to make a claim under subregulation 7.5.64(1) of the </w:t>
      </w:r>
      <w:r w:rsidRPr="00FB5439">
        <w:rPr>
          <w:i/>
        </w:rPr>
        <w:t xml:space="preserve">Corporations </w:t>
      </w:r>
      <w:r>
        <w:rPr>
          <w:i/>
        </w:rPr>
        <w:t>Regulations 2</w:t>
      </w:r>
      <w:r w:rsidRPr="00FB5439">
        <w:rPr>
          <w:i/>
        </w:rPr>
        <w:t>001</w:t>
      </w:r>
      <w:r w:rsidRPr="00FB5439">
        <w:t xml:space="preserve"> in respect of property that was, in the course of, or in connection with, the dealer’s business of dealing in securities, entrusted to or received by the dealer (or another person as provided under that subregulation) are required to lodge their claim with:</w:t>
      </w:r>
    </w:p>
    <w:p w14:paraId="135C1BC8" w14:textId="77777777" w:rsidR="00E93F58" w:rsidRPr="00FB5439" w:rsidRDefault="00E93F58" w:rsidP="00070F64">
      <w:pPr>
        <w:spacing w:before="120"/>
        <w:jc w:val="both"/>
      </w:pPr>
      <w:r w:rsidRPr="00FB5439">
        <w:t>The Securities Exchanges Guarantee Corporation</w:t>
      </w:r>
    </w:p>
    <w:p w14:paraId="4FA281CD" w14:textId="77777777" w:rsidR="00E93F58" w:rsidRPr="00FB5439" w:rsidRDefault="00E93F58" w:rsidP="00070F64">
      <w:pPr>
        <w:spacing w:before="120"/>
        <w:jc w:val="both"/>
        <w:rPr>
          <w:i/>
        </w:rPr>
      </w:pPr>
      <w:r w:rsidRPr="00FB5439">
        <w:rPr>
          <w:i/>
        </w:rPr>
        <w:t>(insert address, including State or Territory and postcode).</w:t>
      </w:r>
    </w:p>
    <w:p w14:paraId="285A6D84" w14:textId="77777777" w:rsidR="00E93F58" w:rsidRPr="00FB5439" w:rsidRDefault="00E93F58" w:rsidP="00070F64">
      <w:pPr>
        <w:spacing w:before="120"/>
        <w:jc w:val="both"/>
      </w:pPr>
      <w:r w:rsidRPr="00FB5439">
        <w:t xml:space="preserve">The claim must be made in writing on or before </w:t>
      </w:r>
      <w:r w:rsidRPr="00FB5439">
        <w:rPr>
          <w:i/>
        </w:rPr>
        <w:t>(insert date)</w:t>
      </w:r>
      <w:r w:rsidRPr="00FB5439">
        <w:t>.</w:t>
      </w:r>
    </w:p>
    <w:p w14:paraId="302824D7" w14:textId="77777777" w:rsidR="00E93F58" w:rsidRPr="00FB5439" w:rsidRDefault="00E93F58" w:rsidP="00070F64">
      <w:pPr>
        <w:spacing w:before="120"/>
        <w:jc w:val="both"/>
      </w:pPr>
      <w:r w:rsidRPr="00FB5439">
        <w:t xml:space="preserve">Subject to regulation 7.5.70 of the </w:t>
      </w:r>
      <w:r w:rsidRPr="00FB5439">
        <w:rPr>
          <w:i/>
        </w:rPr>
        <w:t xml:space="preserve">Corporations </w:t>
      </w:r>
      <w:r>
        <w:rPr>
          <w:i/>
        </w:rPr>
        <w:t>Regulations 2</w:t>
      </w:r>
      <w:r w:rsidRPr="00FB5439">
        <w:rPr>
          <w:i/>
        </w:rPr>
        <w:t>001</w:t>
      </w:r>
      <w:r w:rsidRPr="00FB5439">
        <w:t>, claims not made on or before that date are barred unless the Board of the Securities Exchanges Guarantee Corporation otherwise determines.</w:t>
      </w:r>
    </w:p>
    <w:p w14:paraId="0F1A1550" w14:textId="77777777" w:rsidR="00E93F58" w:rsidRPr="00FB5439" w:rsidRDefault="00E93F58" w:rsidP="00070F64">
      <w:pPr>
        <w:spacing w:before="120"/>
        <w:jc w:val="both"/>
      </w:pPr>
      <w:r w:rsidRPr="00FB5439">
        <w:t xml:space="preserve">Subregulation 7.5.64(1) of the </w:t>
      </w:r>
      <w:r w:rsidRPr="00FB5439">
        <w:rPr>
          <w:i/>
        </w:rPr>
        <w:t xml:space="preserve">Corporations </w:t>
      </w:r>
      <w:r>
        <w:rPr>
          <w:i/>
        </w:rPr>
        <w:t>Regulations 2</w:t>
      </w:r>
      <w:r w:rsidRPr="00FB5439">
        <w:rPr>
          <w:i/>
        </w:rPr>
        <w:t>001</w:t>
      </w:r>
      <w:r w:rsidRPr="00FB5439">
        <w:t xml:space="preserve"> provides to the effect that, where the requirements of that provision are otherwise met, a person may make a claim in respect of property that was, in the course of, or in connection with, the dealer’s business of dealing in securities, entrusted to or received by:</w:t>
      </w:r>
    </w:p>
    <w:p w14:paraId="76B0634B" w14:textId="77777777" w:rsidR="00E93F58" w:rsidRPr="00FB5439" w:rsidRDefault="00E93F58" w:rsidP="00070F64">
      <w:pPr>
        <w:pStyle w:val="R1"/>
        <w:tabs>
          <w:tab w:val="clear" w:pos="794"/>
        </w:tabs>
        <w:ind w:left="567" w:hanging="567"/>
        <w:rPr>
          <w:color w:val="000000"/>
        </w:rPr>
      </w:pPr>
      <w:r w:rsidRPr="00FB5439">
        <w:t>(a)</w:t>
      </w:r>
      <w:r w:rsidRPr="00FB5439">
        <w:tab/>
        <w:t>unless paragraph (b) applies, the dealer or an employee of the dealer; or</w:t>
      </w:r>
    </w:p>
    <w:p w14:paraId="67DE2E27" w14:textId="77777777" w:rsidR="00E93F58" w:rsidRPr="00FB5439" w:rsidRDefault="00E93F58" w:rsidP="00070F64">
      <w:pPr>
        <w:pStyle w:val="R1"/>
        <w:tabs>
          <w:tab w:val="clear" w:pos="794"/>
        </w:tabs>
        <w:ind w:left="567" w:hanging="567"/>
        <w:rPr>
          <w:color w:val="000000"/>
        </w:rPr>
      </w:pPr>
      <w:r w:rsidRPr="00FB5439">
        <w:t>(b)</w:t>
      </w:r>
      <w:r w:rsidRPr="00FB5439">
        <w:tab/>
        <w:t>if the dealer was, at the time the property was so entrusted or received, a partner in a participant, the participant, or a partner in, or an employee of, the participant.</w:t>
      </w:r>
    </w:p>
    <w:p w14:paraId="519D7C63" w14:textId="77777777" w:rsidR="00E93F58" w:rsidRPr="00FB5439" w:rsidRDefault="00E93F58" w:rsidP="00A45941">
      <w:pPr>
        <w:keepNext/>
        <w:keepLines/>
        <w:spacing w:before="120"/>
        <w:jc w:val="both"/>
        <w:rPr>
          <w:i/>
        </w:rPr>
      </w:pPr>
      <w:r w:rsidRPr="00FB5439">
        <w:rPr>
          <w:i/>
        </w:rPr>
        <w:t>(signature of an officer of the SEGC)</w:t>
      </w:r>
    </w:p>
    <w:p w14:paraId="21B9C339" w14:textId="77777777" w:rsidR="00E93F58" w:rsidRPr="00FB5439" w:rsidRDefault="00E93F58" w:rsidP="00070F64">
      <w:pPr>
        <w:spacing w:before="120"/>
        <w:jc w:val="both"/>
      </w:pPr>
      <w:r w:rsidRPr="00FB5439">
        <w:rPr>
          <w:i/>
        </w:rPr>
        <w:t>(under the signature add the words</w:t>
      </w:r>
      <w:r w:rsidRPr="00FB5439">
        <w:t xml:space="preserve"> ‘For the Securities Exchanges Guarantee Corporation’)</w:t>
      </w:r>
    </w:p>
    <w:p w14:paraId="6E8332B4" w14:textId="77777777" w:rsidR="00E93F58" w:rsidRPr="00FB5439" w:rsidRDefault="00E93F58" w:rsidP="00070F64">
      <w:pPr>
        <w:spacing w:before="120"/>
        <w:jc w:val="both"/>
        <w:rPr>
          <w:i/>
        </w:rPr>
      </w:pPr>
      <w:r w:rsidRPr="00FB5439">
        <w:rPr>
          <w:i/>
        </w:rPr>
        <w:t>(add the date of signature)</w:t>
      </w:r>
    </w:p>
    <w:p w14:paraId="3A3D0ACB" w14:textId="77777777" w:rsidR="00E93F58" w:rsidRPr="00FB5439" w:rsidRDefault="00E93F58" w:rsidP="00070F64">
      <w:pPr>
        <w:spacing w:before="120"/>
        <w:jc w:val="both"/>
      </w:pPr>
      <w:r w:rsidRPr="00A80D13">
        <w:rPr>
          <w:position w:val="6"/>
          <w:sz w:val="16"/>
        </w:rPr>
        <w:t>*</w:t>
      </w:r>
      <w:r w:rsidRPr="00FB5439">
        <w:t xml:space="preserve"> Omit if not applicable</w:t>
      </w:r>
    </w:p>
    <w:p w14:paraId="52D3DAB2" w14:textId="77777777" w:rsidR="00E93F58" w:rsidRPr="00FB5439" w:rsidRDefault="00E93F58" w:rsidP="00A80D13">
      <w:pPr>
        <w:pStyle w:val="ActHead2"/>
        <w:pageBreakBefore/>
      </w:pPr>
      <w:bookmarkStart w:id="3241" w:name="_Toc151992805"/>
      <w:bookmarkStart w:id="3242" w:name="_Toc158713408"/>
      <w:r w:rsidRPr="00FB5439">
        <w:rPr>
          <w:rStyle w:val="CharPartNo"/>
        </w:rPr>
        <w:lastRenderedPageBreak/>
        <w:t>Form 721</w:t>
      </w:r>
      <w:bookmarkEnd w:id="3241"/>
      <w:bookmarkEnd w:id="3242"/>
      <w:r w:rsidRPr="00FB5439">
        <w:rPr>
          <w:rStyle w:val="CharPartText"/>
        </w:rPr>
        <w:t xml:space="preserve"> </w:t>
      </w:r>
      <w:r w:rsidRPr="00FB5439">
        <w:t xml:space="preserve"> </w:t>
      </w:r>
    </w:p>
    <w:p w14:paraId="2479CD69" w14:textId="77777777" w:rsidR="00E93F58" w:rsidRPr="00FB5439" w:rsidRDefault="00E93F58" w:rsidP="00ED3F47">
      <w:pPr>
        <w:pStyle w:val="notemargin"/>
      </w:pPr>
      <w:r w:rsidRPr="00FB5439">
        <w:t>(regulation 7.5.80)</w:t>
      </w:r>
    </w:p>
    <w:p w14:paraId="6FC9FA73" w14:textId="77777777" w:rsidR="00E93F58" w:rsidRPr="00FB5439" w:rsidRDefault="00E93F58" w:rsidP="00070F64">
      <w:pPr>
        <w:pStyle w:val="R1"/>
        <w:tabs>
          <w:tab w:val="clear" w:pos="794"/>
          <w:tab w:val="right" w:pos="0"/>
        </w:tabs>
        <w:spacing w:before="160"/>
        <w:ind w:left="0" w:firstLine="0"/>
        <w:rPr>
          <w:i/>
        </w:rPr>
      </w:pPr>
      <w:r w:rsidRPr="00FB5439">
        <w:rPr>
          <w:i/>
        </w:rPr>
        <w:t xml:space="preserve">Corporations </w:t>
      </w:r>
      <w:r>
        <w:rPr>
          <w:i/>
        </w:rPr>
        <w:t>Regulations 2</w:t>
      </w:r>
      <w:r w:rsidRPr="00FB5439">
        <w:rPr>
          <w:i/>
        </w:rPr>
        <w:t>001</w:t>
      </w:r>
    </w:p>
    <w:p w14:paraId="329A0EA8" w14:textId="77777777" w:rsidR="00E93F58" w:rsidRPr="00FB5439" w:rsidRDefault="00E93F58" w:rsidP="00070F64">
      <w:pPr>
        <w:keepLines/>
        <w:tabs>
          <w:tab w:val="right" w:pos="0"/>
        </w:tabs>
        <w:spacing w:before="240"/>
        <w:rPr>
          <w:rFonts w:ascii="Arial" w:hAnsi="Arial" w:cs="Arial"/>
          <w:szCs w:val="22"/>
        </w:rPr>
      </w:pPr>
      <w:r w:rsidRPr="00FB5439">
        <w:rPr>
          <w:rFonts w:ascii="Arial" w:hAnsi="Arial" w:cs="Arial"/>
          <w:szCs w:val="22"/>
        </w:rPr>
        <w:t>NOTICE OF DISALLOWANCE OF CLAIM AGAINST THE SECURITIES EXCHANGES GUARANTEE CORPORATION</w:t>
      </w:r>
    </w:p>
    <w:p w14:paraId="5B3106B1" w14:textId="77777777" w:rsidR="00E93F58" w:rsidRPr="00FB5439" w:rsidRDefault="00E93F58" w:rsidP="00070F64">
      <w:pPr>
        <w:keepLines/>
        <w:tabs>
          <w:tab w:val="right" w:pos="0"/>
        </w:tabs>
        <w:spacing w:before="120"/>
        <w:jc w:val="both"/>
        <w:rPr>
          <w:i/>
        </w:rPr>
      </w:pPr>
      <w:r w:rsidRPr="00FB5439">
        <w:rPr>
          <w:i/>
        </w:rPr>
        <w:t>(Set out the name and address of the claimant or the claimant’s solicitor and an appropriate form of salutation)</w:t>
      </w:r>
    </w:p>
    <w:p w14:paraId="02DA8EF8" w14:textId="77777777" w:rsidR="00E93F58" w:rsidRPr="00FB5439" w:rsidRDefault="00E93F58" w:rsidP="00070F64">
      <w:pPr>
        <w:tabs>
          <w:tab w:val="right" w:pos="0"/>
        </w:tabs>
        <w:spacing w:before="120"/>
        <w:jc w:val="both"/>
      </w:pPr>
      <w:r w:rsidRPr="00FB5439">
        <w:t xml:space="preserve">In relation to </w:t>
      </w:r>
      <w:r w:rsidRPr="00FB5439">
        <w:rPr>
          <w:i/>
        </w:rPr>
        <w:t>(insert name of the dealer to whom the claim relates)</w:t>
      </w:r>
      <w:r w:rsidRPr="00FB5439">
        <w:t xml:space="preserve">, </w:t>
      </w:r>
      <w:r w:rsidRPr="00A80D13">
        <w:rPr>
          <w:position w:val="6"/>
          <w:sz w:val="16"/>
        </w:rPr>
        <w:t>*</w:t>
      </w:r>
      <w:r w:rsidRPr="00FB5439">
        <w:t xml:space="preserve">formerly carrying on / </w:t>
      </w:r>
      <w:r w:rsidRPr="00A80D13">
        <w:rPr>
          <w:position w:val="6"/>
          <w:sz w:val="16"/>
        </w:rPr>
        <w:t>*</w:t>
      </w:r>
      <w:r w:rsidRPr="00FB5439">
        <w:t xml:space="preserve">carrying on business at </w:t>
      </w:r>
      <w:r w:rsidRPr="00FB5439">
        <w:rPr>
          <w:i/>
        </w:rPr>
        <w:t>(insert business address of the dealer)</w:t>
      </w:r>
      <w:r w:rsidRPr="00FB5439">
        <w:t>.</w:t>
      </w:r>
    </w:p>
    <w:p w14:paraId="15AB6B55" w14:textId="77777777" w:rsidR="00E93F58" w:rsidRPr="00FB5439" w:rsidRDefault="00E93F58" w:rsidP="00070F64">
      <w:pPr>
        <w:spacing w:before="120"/>
        <w:jc w:val="both"/>
      </w:pPr>
      <w:r w:rsidRPr="00FB5439">
        <w:t xml:space="preserve">The </w:t>
      </w:r>
      <w:r w:rsidRPr="00A80D13">
        <w:rPr>
          <w:position w:val="6"/>
          <w:sz w:val="16"/>
        </w:rPr>
        <w:t>*</w:t>
      </w:r>
      <w:r w:rsidRPr="00FB5439">
        <w:t xml:space="preserve">Board of the Securities Exchanges Guarantee Corporation / </w:t>
      </w:r>
      <w:r w:rsidRPr="00A80D13">
        <w:rPr>
          <w:position w:val="6"/>
          <w:sz w:val="16"/>
        </w:rPr>
        <w:t>*</w:t>
      </w:r>
      <w:r w:rsidRPr="00FB5439">
        <w:t xml:space="preserve">delegate of the Board of the Securities Exchanges Guarantee Corporation under section 890C of the </w:t>
      </w:r>
      <w:r w:rsidRPr="00FB5439">
        <w:rPr>
          <w:i/>
        </w:rPr>
        <w:t>Corporations Act 2001</w:t>
      </w:r>
      <w:r w:rsidRPr="00FB5439">
        <w:t xml:space="preserve"> has considered your claim against the Corporation in respect of </w:t>
      </w:r>
      <w:r w:rsidRPr="00FB5439">
        <w:rPr>
          <w:i/>
        </w:rPr>
        <w:t>(insert description of the circumstances giving rise to the claim and the loss allegedly suffered by the claimant)</w:t>
      </w:r>
      <w:r w:rsidRPr="00FB5439">
        <w:t>.</w:t>
      </w:r>
    </w:p>
    <w:p w14:paraId="6C4147F0" w14:textId="77777777" w:rsidR="00E93F58" w:rsidRPr="00FB5439" w:rsidRDefault="00E93F58" w:rsidP="00070F64">
      <w:pPr>
        <w:spacing w:before="120"/>
        <w:jc w:val="both"/>
      </w:pPr>
      <w:r w:rsidRPr="00FB5439">
        <w:t xml:space="preserve">After considering all the available evidence, the Corporation has decided that the claim under </w:t>
      </w:r>
      <w:r w:rsidRPr="00A80D13">
        <w:rPr>
          <w:position w:val="6"/>
          <w:sz w:val="16"/>
        </w:rPr>
        <w:t>*</w:t>
      </w:r>
      <w:r w:rsidRPr="00FB5439">
        <w:t xml:space="preserve">regulation </w:t>
      </w:r>
      <w:r w:rsidRPr="00FB5439">
        <w:rPr>
          <w:i/>
        </w:rPr>
        <w:t xml:space="preserve">(insert relevant regulation number) / </w:t>
      </w:r>
      <w:r w:rsidRPr="00A80D13">
        <w:rPr>
          <w:i/>
          <w:position w:val="6"/>
          <w:sz w:val="16"/>
        </w:rPr>
        <w:t>*</w:t>
      </w:r>
      <w:r w:rsidRPr="00FB5439">
        <w:rPr>
          <w:i/>
        </w:rPr>
        <w:t>regulations (insert relevant regulation numbers)</w:t>
      </w:r>
      <w:r w:rsidRPr="00FB5439">
        <w:t xml:space="preserve"> should be </w:t>
      </w:r>
      <w:r w:rsidRPr="00A80D13">
        <w:rPr>
          <w:position w:val="6"/>
          <w:sz w:val="16"/>
        </w:rPr>
        <w:t>*</w:t>
      </w:r>
      <w:r w:rsidRPr="00FB5439">
        <w:t xml:space="preserve">disallowed / </w:t>
      </w:r>
      <w:r w:rsidRPr="00A80D13">
        <w:rPr>
          <w:position w:val="6"/>
          <w:sz w:val="16"/>
        </w:rPr>
        <w:t>*</w:t>
      </w:r>
      <w:r w:rsidRPr="00FB5439">
        <w:t>partly disallowed to the extent set out below.</w:t>
      </w:r>
    </w:p>
    <w:p w14:paraId="1F71AB8A" w14:textId="77777777" w:rsidR="00E93F58" w:rsidRPr="00FB5439" w:rsidRDefault="00E93F58" w:rsidP="00070F64">
      <w:pPr>
        <w:spacing w:before="80"/>
        <w:jc w:val="both"/>
      </w:pPr>
      <w:r w:rsidRPr="00FB5439">
        <w:t>If you are not satisfied with this decision, you may bring proceedings within 3 months after service of this notice (see section 888H of the Act).</w:t>
      </w:r>
    </w:p>
    <w:p w14:paraId="66CE8F98" w14:textId="77777777" w:rsidR="00E93F58" w:rsidRPr="00FB5439" w:rsidRDefault="00E93F58" w:rsidP="00070F64">
      <w:pPr>
        <w:spacing w:before="120"/>
        <w:jc w:val="both"/>
      </w:pPr>
      <w:r w:rsidRPr="00FB5439">
        <w:t>Yours sincerely,</w:t>
      </w:r>
    </w:p>
    <w:p w14:paraId="1D67987B" w14:textId="77777777" w:rsidR="00E93F58" w:rsidRPr="00FB5439" w:rsidRDefault="00E93F58" w:rsidP="00070F64">
      <w:pPr>
        <w:spacing w:before="100"/>
        <w:jc w:val="both"/>
        <w:rPr>
          <w:i/>
        </w:rPr>
      </w:pPr>
      <w:r w:rsidRPr="00FB5439">
        <w:rPr>
          <w:i/>
        </w:rPr>
        <w:t>(signature of an officer of the Corporation)</w:t>
      </w:r>
    </w:p>
    <w:p w14:paraId="2A516D7E" w14:textId="77777777" w:rsidR="00E93F58" w:rsidRPr="00FB5439" w:rsidRDefault="00E93F58" w:rsidP="00070F64">
      <w:pPr>
        <w:spacing w:before="100"/>
        <w:jc w:val="both"/>
      </w:pPr>
      <w:r w:rsidRPr="00FB5439">
        <w:t>(</w:t>
      </w:r>
      <w:r w:rsidRPr="00FB5439">
        <w:rPr>
          <w:i/>
        </w:rPr>
        <w:t>under the signature add the words</w:t>
      </w:r>
      <w:r w:rsidRPr="00FB5439">
        <w:t xml:space="preserve"> ‘for the Securities Exchanges Guarantee Corporation’)</w:t>
      </w:r>
    </w:p>
    <w:p w14:paraId="10E24734" w14:textId="77777777" w:rsidR="00E93F58" w:rsidRPr="00FB5439" w:rsidRDefault="00E93F58" w:rsidP="00070F64">
      <w:pPr>
        <w:spacing w:before="60" w:after="40"/>
        <w:jc w:val="both"/>
        <w:rPr>
          <w:i/>
        </w:rPr>
      </w:pPr>
      <w:r w:rsidRPr="00FB5439">
        <w:rPr>
          <w:i/>
        </w:rPr>
        <w:t>(add the date of signature)</w:t>
      </w:r>
    </w:p>
    <w:p w14:paraId="53D253DB" w14:textId="77777777" w:rsidR="00E93F58" w:rsidRPr="00FB5439" w:rsidRDefault="00E93F58" w:rsidP="00070F64">
      <w:pPr>
        <w:spacing w:before="100"/>
        <w:jc w:val="both"/>
        <w:rPr>
          <w:i/>
        </w:rPr>
      </w:pPr>
      <w:r w:rsidRPr="00FB5439">
        <w:rPr>
          <w:i/>
        </w:rPr>
        <w:t>(If the claim has been partly disallowed, insert a heading</w:t>
      </w:r>
    </w:p>
    <w:p w14:paraId="46E7DAB7" w14:textId="77777777" w:rsidR="00E93F58" w:rsidRPr="00FB5439" w:rsidRDefault="00E93F58" w:rsidP="00070F64">
      <w:pPr>
        <w:spacing w:before="100"/>
        <w:jc w:val="both"/>
      </w:pPr>
      <w:r w:rsidRPr="00FB5439">
        <w:t>‘PARTICULARS OF PARTIAL DISALLOWANCE’</w:t>
      </w:r>
    </w:p>
    <w:p w14:paraId="47BE765F" w14:textId="77777777" w:rsidR="00E93F58" w:rsidRPr="00FB5439" w:rsidRDefault="00E93F58" w:rsidP="00070F64">
      <w:pPr>
        <w:spacing w:before="100"/>
        <w:jc w:val="both"/>
        <w:rPr>
          <w:i/>
        </w:rPr>
      </w:pPr>
      <w:r w:rsidRPr="00FB5439">
        <w:rPr>
          <w:i/>
        </w:rPr>
        <w:t>and specify the necessary particulars under it)</w:t>
      </w:r>
    </w:p>
    <w:p w14:paraId="70CFF6D2" w14:textId="77777777" w:rsidR="00E93F58" w:rsidRPr="00FB5439" w:rsidRDefault="00E93F58" w:rsidP="003F17C4">
      <w:pPr>
        <w:spacing w:before="120"/>
        <w:jc w:val="both"/>
      </w:pPr>
      <w:r w:rsidRPr="00A80D13">
        <w:rPr>
          <w:position w:val="6"/>
          <w:sz w:val="16"/>
        </w:rPr>
        <w:t>*</w:t>
      </w:r>
      <w:r w:rsidRPr="00FB5439">
        <w:t> Omit if not applicable</w:t>
      </w:r>
    </w:p>
    <w:p w14:paraId="753CCE19" w14:textId="77777777" w:rsidR="00E93F58" w:rsidRPr="00FB5439" w:rsidRDefault="00E93F58" w:rsidP="00070F64"/>
    <w:p w14:paraId="38BB8001" w14:textId="77777777" w:rsidR="00E93F58" w:rsidRPr="00FB5439" w:rsidRDefault="00E93F58" w:rsidP="00A80D13">
      <w:pPr>
        <w:pStyle w:val="ActHead2"/>
        <w:pageBreakBefore/>
      </w:pPr>
      <w:bookmarkStart w:id="3243" w:name="_Toc151992806"/>
      <w:bookmarkStart w:id="3244" w:name="_Toc158713409"/>
      <w:r w:rsidRPr="00FB5439">
        <w:rPr>
          <w:rStyle w:val="CharPartNo"/>
        </w:rPr>
        <w:lastRenderedPageBreak/>
        <w:t>Form 905</w:t>
      </w:r>
      <w:bookmarkEnd w:id="3243"/>
      <w:bookmarkEnd w:id="3244"/>
      <w:r w:rsidRPr="00FB5439">
        <w:rPr>
          <w:rStyle w:val="CharPartText"/>
        </w:rPr>
        <w:t xml:space="preserve"> </w:t>
      </w:r>
      <w:r w:rsidRPr="00FB5439">
        <w:t xml:space="preserve"> </w:t>
      </w:r>
    </w:p>
    <w:p w14:paraId="0C2A8800" w14:textId="77777777" w:rsidR="00E93F58" w:rsidRPr="00FB5439" w:rsidRDefault="00E93F58" w:rsidP="00070F64">
      <w:pPr>
        <w:keepLines/>
        <w:rPr>
          <w:sz w:val="18"/>
        </w:rPr>
      </w:pPr>
    </w:p>
    <w:p w14:paraId="56B00F1D" w14:textId="77777777" w:rsidR="00E93F58" w:rsidRPr="00FB5439" w:rsidRDefault="00E93F58" w:rsidP="00070F64">
      <w:pPr>
        <w:keepLines/>
      </w:pPr>
      <w:r w:rsidRPr="00FB5439">
        <w:t>Registration no:</w:t>
      </w:r>
    </w:p>
    <w:p w14:paraId="3B409E55" w14:textId="77777777" w:rsidR="00E93F58" w:rsidRPr="00FB5439" w:rsidRDefault="00E93F58" w:rsidP="00070F64">
      <w:pPr>
        <w:keepLines/>
        <w:rPr>
          <w:i/>
        </w:rPr>
      </w:pPr>
    </w:p>
    <w:p w14:paraId="3906F1B4" w14:textId="77777777" w:rsidR="00E93F58" w:rsidRPr="00FB5439" w:rsidRDefault="00E93F58" w:rsidP="00070F64">
      <w:pPr>
        <w:pStyle w:val="Header"/>
        <w:keepNext w:val="0"/>
      </w:pPr>
      <w:r w:rsidRPr="00FB5439">
        <w:t xml:space="preserve">  </w:t>
      </w:r>
    </w:p>
    <w:p w14:paraId="5A736386" w14:textId="77777777" w:rsidR="00E93F58" w:rsidRPr="00FB5439" w:rsidRDefault="00E93F58" w:rsidP="00070F64">
      <w:pPr>
        <w:keepLines/>
        <w:rPr>
          <w:i/>
        </w:rPr>
      </w:pPr>
      <w:r w:rsidRPr="00FB5439">
        <w:rPr>
          <w:i/>
        </w:rPr>
        <w:t>Corporations Act 2001</w:t>
      </w:r>
    </w:p>
    <w:p w14:paraId="17BE036B" w14:textId="77777777" w:rsidR="00E93F58" w:rsidRPr="00FB5439" w:rsidRDefault="00E93F58" w:rsidP="00070F64">
      <w:pPr>
        <w:keepLines/>
        <w:spacing w:before="240" w:after="240"/>
        <w:jc w:val="center"/>
        <w:rPr>
          <w:rFonts w:ascii="Arial" w:hAnsi="Arial" w:cs="Arial"/>
          <w:b/>
          <w:szCs w:val="22"/>
        </w:rPr>
      </w:pPr>
      <w:r w:rsidRPr="00FB5439">
        <w:rPr>
          <w:rFonts w:ascii="Arial" w:hAnsi="Arial" w:cs="Arial"/>
          <w:b/>
          <w:szCs w:val="22"/>
        </w:rPr>
        <w:t>PARTICULARS OF CESSATION OR CHANGE RELATING TO A PERSON REGISTERED AS AN AUDITOR UNDER SUBSECTION 1287(1)</w:t>
      </w:r>
    </w:p>
    <w:tbl>
      <w:tblPr>
        <w:tblW w:w="5000" w:type="pct"/>
        <w:tblLook w:val="0000" w:firstRow="0" w:lastRow="0" w:firstColumn="0" w:lastColumn="0" w:noHBand="0" w:noVBand="0"/>
      </w:tblPr>
      <w:tblGrid>
        <w:gridCol w:w="3591"/>
        <w:gridCol w:w="3592"/>
        <w:gridCol w:w="3590"/>
      </w:tblGrid>
      <w:tr w:rsidR="00E93F58" w:rsidRPr="00FB5439" w14:paraId="2984DF83" w14:textId="77777777" w:rsidTr="00B23434">
        <w:tc>
          <w:tcPr>
            <w:tcW w:w="1667" w:type="pct"/>
            <w:tcBorders>
              <w:top w:val="single" w:sz="4" w:space="0" w:color="auto"/>
            </w:tcBorders>
          </w:tcPr>
          <w:p w14:paraId="6F95DD62" w14:textId="77777777" w:rsidR="00E93F58" w:rsidRPr="00FB5439" w:rsidRDefault="00E93F58" w:rsidP="00070F64">
            <w:pPr>
              <w:rPr>
                <w:sz w:val="18"/>
              </w:rPr>
            </w:pPr>
          </w:p>
        </w:tc>
        <w:tc>
          <w:tcPr>
            <w:tcW w:w="1667" w:type="pct"/>
            <w:tcBorders>
              <w:top w:val="single" w:sz="4" w:space="0" w:color="auto"/>
            </w:tcBorders>
          </w:tcPr>
          <w:p w14:paraId="635AFDAC" w14:textId="77777777" w:rsidR="00E93F58" w:rsidRPr="00FB5439" w:rsidRDefault="00E93F58" w:rsidP="00070F64">
            <w:pPr>
              <w:rPr>
                <w:sz w:val="18"/>
              </w:rPr>
            </w:pPr>
          </w:p>
        </w:tc>
        <w:tc>
          <w:tcPr>
            <w:tcW w:w="1666" w:type="pct"/>
            <w:tcBorders>
              <w:top w:val="single" w:sz="4" w:space="0" w:color="auto"/>
            </w:tcBorders>
          </w:tcPr>
          <w:p w14:paraId="34C2A01A" w14:textId="77777777" w:rsidR="00E93F58" w:rsidRPr="00FB5439" w:rsidRDefault="00E93F58" w:rsidP="00070F64">
            <w:pPr>
              <w:rPr>
                <w:sz w:val="18"/>
              </w:rPr>
            </w:pPr>
          </w:p>
        </w:tc>
      </w:tr>
      <w:tr w:rsidR="00E93F58" w:rsidRPr="00FB5439" w14:paraId="75277E66" w14:textId="77777777" w:rsidTr="00B23434">
        <w:tc>
          <w:tcPr>
            <w:tcW w:w="1667" w:type="pct"/>
          </w:tcPr>
          <w:p w14:paraId="697F64CD" w14:textId="77777777" w:rsidR="00E93F58" w:rsidRPr="00FB5439" w:rsidRDefault="00E93F58" w:rsidP="00070F64">
            <w:r w:rsidRPr="00FB5439">
              <w:t>Surname</w:t>
            </w:r>
          </w:p>
        </w:tc>
        <w:tc>
          <w:tcPr>
            <w:tcW w:w="1667" w:type="pct"/>
          </w:tcPr>
          <w:p w14:paraId="574AFFDC" w14:textId="77777777" w:rsidR="00E93F58" w:rsidRPr="00FB5439" w:rsidRDefault="00E93F58" w:rsidP="00070F64">
            <w:r w:rsidRPr="00FB5439">
              <w:t>First or given names</w:t>
            </w:r>
          </w:p>
        </w:tc>
        <w:tc>
          <w:tcPr>
            <w:tcW w:w="1666" w:type="pct"/>
          </w:tcPr>
          <w:p w14:paraId="734690A2" w14:textId="77777777" w:rsidR="00E93F58" w:rsidRPr="00FB5439" w:rsidRDefault="00E93F58" w:rsidP="00070F64"/>
        </w:tc>
      </w:tr>
      <w:tr w:rsidR="00E93F58" w:rsidRPr="00FB5439" w14:paraId="5C578506" w14:textId="77777777" w:rsidTr="00B23434">
        <w:tc>
          <w:tcPr>
            <w:tcW w:w="1667" w:type="pct"/>
          </w:tcPr>
          <w:p w14:paraId="07291076" w14:textId="77777777" w:rsidR="00E93F58" w:rsidRPr="00FB5439" w:rsidRDefault="00E93F58" w:rsidP="00070F64"/>
        </w:tc>
        <w:tc>
          <w:tcPr>
            <w:tcW w:w="1667" w:type="pct"/>
          </w:tcPr>
          <w:p w14:paraId="4D6926A7" w14:textId="77777777" w:rsidR="00E93F58" w:rsidRPr="00FB5439" w:rsidRDefault="00E93F58" w:rsidP="00070F64"/>
        </w:tc>
        <w:tc>
          <w:tcPr>
            <w:tcW w:w="1666" w:type="pct"/>
          </w:tcPr>
          <w:p w14:paraId="55FCBFD0" w14:textId="77777777" w:rsidR="00E93F58" w:rsidRPr="00FB5439" w:rsidRDefault="00E93F58" w:rsidP="00070F64"/>
        </w:tc>
      </w:tr>
      <w:tr w:rsidR="00E93F58" w:rsidRPr="00FB5439" w14:paraId="7B135ABE" w14:textId="77777777" w:rsidTr="00B23434">
        <w:tc>
          <w:tcPr>
            <w:tcW w:w="1667" w:type="pct"/>
            <w:tcBorders>
              <w:top w:val="single" w:sz="4" w:space="0" w:color="auto"/>
            </w:tcBorders>
          </w:tcPr>
          <w:p w14:paraId="249717B0" w14:textId="77777777" w:rsidR="00E93F58" w:rsidRPr="00FB5439" w:rsidRDefault="00E93F58" w:rsidP="00070F64"/>
        </w:tc>
        <w:tc>
          <w:tcPr>
            <w:tcW w:w="1667" w:type="pct"/>
            <w:tcBorders>
              <w:top w:val="single" w:sz="4" w:space="0" w:color="auto"/>
            </w:tcBorders>
          </w:tcPr>
          <w:p w14:paraId="537492FA" w14:textId="77777777" w:rsidR="00E93F58" w:rsidRPr="00FB5439" w:rsidRDefault="00E93F58" w:rsidP="00070F64"/>
        </w:tc>
        <w:tc>
          <w:tcPr>
            <w:tcW w:w="1666" w:type="pct"/>
            <w:tcBorders>
              <w:top w:val="single" w:sz="4" w:space="0" w:color="auto"/>
            </w:tcBorders>
          </w:tcPr>
          <w:p w14:paraId="3A376B12" w14:textId="77777777" w:rsidR="00E93F58" w:rsidRPr="00FB5439" w:rsidRDefault="00E93F58" w:rsidP="00070F64"/>
        </w:tc>
      </w:tr>
      <w:tr w:rsidR="00E93F58" w:rsidRPr="00FB5439" w14:paraId="60883BF8" w14:textId="77777777" w:rsidTr="00B23434">
        <w:tc>
          <w:tcPr>
            <w:tcW w:w="1667" w:type="pct"/>
          </w:tcPr>
          <w:p w14:paraId="308D169F" w14:textId="77777777" w:rsidR="00E93F58" w:rsidRPr="00FB5439" w:rsidRDefault="00E93F58" w:rsidP="00070F64">
            <w:r w:rsidRPr="00FB5439">
              <w:t>Residential address</w:t>
            </w:r>
          </w:p>
        </w:tc>
        <w:tc>
          <w:tcPr>
            <w:tcW w:w="1667" w:type="pct"/>
          </w:tcPr>
          <w:p w14:paraId="2FA9A54F" w14:textId="77777777" w:rsidR="00E93F58" w:rsidRPr="00FB5439" w:rsidRDefault="00E93F58" w:rsidP="00070F64"/>
        </w:tc>
        <w:tc>
          <w:tcPr>
            <w:tcW w:w="1666" w:type="pct"/>
          </w:tcPr>
          <w:p w14:paraId="1A378F7C" w14:textId="77777777" w:rsidR="00E93F58" w:rsidRPr="00FB5439" w:rsidRDefault="00E93F58" w:rsidP="00070F64"/>
        </w:tc>
      </w:tr>
      <w:tr w:rsidR="00E93F58" w:rsidRPr="00FB5439" w14:paraId="2B04DD50" w14:textId="77777777" w:rsidTr="00B23434">
        <w:tc>
          <w:tcPr>
            <w:tcW w:w="1667" w:type="pct"/>
            <w:tcBorders>
              <w:bottom w:val="single" w:sz="4" w:space="0" w:color="auto"/>
            </w:tcBorders>
          </w:tcPr>
          <w:p w14:paraId="65719493" w14:textId="77777777" w:rsidR="00E93F58" w:rsidRPr="00FB5439" w:rsidRDefault="00E93F58" w:rsidP="00070F64">
            <w:pPr>
              <w:rPr>
                <w:sz w:val="18"/>
              </w:rPr>
            </w:pPr>
          </w:p>
        </w:tc>
        <w:tc>
          <w:tcPr>
            <w:tcW w:w="1667" w:type="pct"/>
            <w:tcBorders>
              <w:bottom w:val="single" w:sz="4" w:space="0" w:color="auto"/>
            </w:tcBorders>
          </w:tcPr>
          <w:p w14:paraId="515DB26E" w14:textId="77777777" w:rsidR="00E93F58" w:rsidRPr="00FB5439" w:rsidRDefault="00E93F58" w:rsidP="00070F64">
            <w:pPr>
              <w:rPr>
                <w:sz w:val="18"/>
              </w:rPr>
            </w:pPr>
          </w:p>
        </w:tc>
        <w:tc>
          <w:tcPr>
            <w:tcW w:w="1666" w:type="pct"/>
            <w:tcBorders>
              <w:bottom w:val="single" w:sz="4" w:space="0" w:color="auto"/>
            </w:tcBorders>
          </w:tcPr>
          <w:p w14:paraId="1292F670" w14:textId="77777777" w:rsidR="00E93F58" w:rsidRPr="00FB5439" w:rsidRDefault="00E93F58" w:rsidP="00070F64">
            <w:pPr>
              <w:rPr>
                <w:sz w:val="18"/>
              </w:rPr>
            </w:pPr>
          </w:p>
        </w:tc>
      </w:tr>
    </w:tbl>
    <w:p w14:paraId="74AB097F" w14:textId="77777777" w:rsidR="00E93F58" w:rsidRPr="00FB5439" w:rsidRDefault="00E93F58" w:rsidP="00070F64">
      <w:pPr>
        <w:rPr>
          <w:sz w:val="18"/>
        </w:rPr>
      </w:pPr>
    </w:p>
    <w:p w14:paraId="60983942" w14:textId="77777777" w:rsidR="00E93F58" w:rsidRPr="00FB5439" w:rsidRDefault="00E93F58" w:rsidP="00070F64">
      <w:pPr>
        <w:jc w:val="both"/>
        <w:rPr>
          <w:b/>
        </w:rPr>
      </w:pPr>
      <w:r w:rsidRPr="00A80D13">
        <w:rPr>
          <w:b/>
          <w:position w:val="6"/>
          <w:sz w:val="16"/>
        </w:rPr>
        <w:t>*</w:t>
      </w:r>
      <w:r w:rsidRPr="00FB5439">
        <w:rPr>
          <w:b/>
        </w:rPr>
        <w:t>1.</w:t>
      </w:r>
      <w:r w:rsidRPr="00FB5439">
        <w:rPr>
          <w:b/>
        </w:rPr>
        <w:tab/>
        <w:t>CESSATION</w:t>
      </w:r>
    </w:p>
    <w:p w14:paraId="4AD97703" w14:textId="77777777" w:rsidR="00E93F58" w:rsidRPr="00FB5439" w:rsidRDefault="00E93F58" w:rsidP="00070F64">
      <w:pPr>
        <w:tabs>
          <w:tab w:val="left" w:pos="840"/>
        </w:tabs>
        <w:ind w:left="360"/>
        <w:jc w:val="both"/>
      </w:pPr>
      <w:r w:rsidRPr="00FB5439">
        <w:t>On</w:t>
      </w:r>
      <w:r w:rsidRPr="00FB5439">
        <w:tab/>
        <w:t>(</w:t>
      </w:r>
      <w:r w:rsidRPr="00FB5439">
        <w:rPr>
          <w:i/>
        </w:rPr>
        <w:t>insert date</w:t>
      </w:r>
      <w:r w:rsidRPr="00FB5439">
        <w:t>)</w:t>
      </w:r>
      <w:r w:rsidRPr="00FB5439">
        <w:tab/>
        <w:t>, I ceased to practise as an auditor. I request ASIC to exercise its discretion under subsection 1290(1) and cancel my registration as an auditor.</w:t>
      </w:r>
    </w:p>
    <w:p w14:paraId="13B7865C" w14:textId="77777777" w:rsidR="00E93F58" w:rsidRPr="00FB5439" w:rsidRDefault="00E93F58" w:rsidP="00070F64">
      <w:pPr>
        <w:jc w:val="both"/>
      </w:pPr>
    </w:p>
    <w:p w14:paraId="02AA29DA" w14:textId="77777777" w:rsidR="00E93F58" w:rsidRPr="00FB5439" w:rsidRDefault="00E93F58" w:rsidP="00070F64">
      <w:pPr>
        <w:pBdr>
          <w:top w:val="single" w:sz="4" w:space="1" w:color="auto"/>
        </w:pBdr>
        <w:jc w:val="both"/>
      </w:pPr>
    </w:p>
    <w:p w14:paraId="55144D09" w14:textId="77777777" w:rsidR="00E93F58" w:rsidRPr="00FB5439" w:rsidRDefault="00E93F58" w:rsidP="00070F64">
      <w:pPr>
        <w:jc w:val="both"/>
        <w:rPr>
          <w:b/>
        </w:rPr>
      </w:pPr>
      <w:r w:rsidRPr="00A80D13">
        <w:rPr>
          <w:b/>
          <w:position w:val="6"/>
          <w:sz w:val="16"/>
        </w:rPr>
        <w:t>*</w:t>
      </w:r>
      <w:r w:rsidRPr="00FB5439">
        <w:rPr>
          <w:b/>
        </w:rPr>
        <w:t>2.</w:t>
      </w:r>
      <w:r w:rsidRPr="00FB5439">
        <w:rPr>
          <w:b/>
        </w:rPr>
        <w:tab/>
        <w:t>CHANGE OF NAME</w:t>
      </w:r>
    </w:p>
    <w:p w14:paraId="06DC3EFF" w14:textId="77777777" w:rsidR="00E93F58" w:rsidRPr="00FB5439" w:rsidRDefault="00E93F58" w:rsidP="00070F64">
      <w:pPr>
        <w:tabs>
          <w:tab w:val="left" w:pos="840"/>
        </w:tabs>
        <w:ind w:left="360"/>
        <w:jc w:val="both"/>
      </w:pPr>
      <w:r w:rsidRPr="00FB5439">
        <w:t>On</w:t>
      </w:r>
      <w:r w:rsidRPr="00FB5439">
        <w:tab/>
        <w:t>(</w:t>
      </w:r>
      <w:r w:rsidRPr="00FB5439">
        <w:rPr>
          <w:i/>
        </w:rPr>
        <w:t>insert date</w:t>
      </w:r>
      <w:r w:rsidRPr="00FB5439">
        <w:t>)</w:t>
      </w:r>
      <w:r w:rsidRPr="00FB5439">
        <w:tab/>
        <w:t>, I changed my name</w:t>
      </w:r>
    </w:p>
    <w:p w14:paraId="4A697642" w14:textId="77777777" w:rsidR="00E93F58" w:rsidRPr="00FB5439" w:rsidRDefault="00E93F58" w:rsidP="00070F64">
      <w:pPr>
        <w:ind w:left="360"/>
        <w:jc w:val="both"/>
      </w:pPr>
      <w:r w:rsidRPr="00FB5439">
        <w:t>from:</w:t>
      </w:r>
    </w:p>
    <w:p w14:paraId="4AEA8F9A" w14:textId="77777777" w:rsidR="00E93F58" w:rsidRPr="00FB5439" w:rsidRDefault="00E93F58" w:rsidP="00070F64">
      <w:pPr>
        <w:ind w:left="360"/>
        <w:jc w:val="both"/>
      </w:pPr>
      <w:r w:rsidRPr="00FB5439">
        <w:t>to:</w:t>
      </w:r>
    </w:p>
    <w:p w14:paraId="2393E7AE" w14:textId="77777777" w:rsidR="00E93F58" w:rsidRPr="00FB5439" w:rsidRDefault="00E93F58" w:rsidP="00070F64">
      <w:pPr>
        <w:jc w:val="both"/>
      </w:pPr>
    </w:p>
    <w:p w14:paraId="7C2BC4CA" w14:textId="77777777" w:rsidR="00E93F58" w:rsidRPr="00FB5439" w:rsidRDefault="00E93F58" w:rsidP="00070F64">
      <w:pPr>
        <w:pBdr>
          <w:top w:val="single" w:sz="4" w:space="1" w:color="auto"/>
        </w:pBdr>
        <w:jc w:val="both"/>
      </w:pPr>
    </w:p>
    <w:p w14:paraId="36297DA2" w14:textId="77777777" w:rsidR="00E93F58" w:rsidRPr="00FB5439" w:rsidRDefault="00E93F58" w:rsidP="00070F64">
      <w:pPr>
        <w:jc w:val="both"/>
        <w:rPr>
          <w:b/>
        </w:rPr>
      </w:pPr>
      <w:r w:rsidRPr="00A80D13">
        <w:rPr>
          <w:b/>
          <w:position w:val="6"/>
          <w:sz w:val="16"/>
        </w:rPr>
        <w:t>*</w:t>
      </w:r>
      <w:r w:rsidRPr="00FB5439">
        <w:rPr>
          <w:b/>
        </w:rPr>
        <w:t>3.</w:t>
      </w:r>
      <w:r w:rsidRPr="00FB5439">
        <w:rPr>
          <w:b/>
        </w:rPr>
        <w:tab/>
        <w:t>CHANGE IN OTHER PARTICULARS</w:t>
      </w:r>
    </w:p>
    <w:p w14:paraId="70C57A41" w14:textId="77777777" w:rsidR="00E93F58" w:rsidRPr="00FB5439" w:rsidRDefault="00E93F58" w:rsidP="00070F64">
      <w:pPr>
        <w:tabs>
          <w:tab w:val="left" w:pos="1080"/>
          <w:tab w:val="left" w:pos="2520"/>
        </w:tabs>
        <w:ind w:left="360"/>
        <w:jc w:val="both"/>
      </w:pPr>
      <w:r w:rsidRPr="00A80D13">
        <w:rPr>
          <w:position w:val="6"/>
          <w:sz w:val="16"/>
        </w:rPr>
        <w:t>*</w:t>
      </w:r>
      <w:r w:rsidRPr="00FB5439">
        <w:t>On</w:t>
      </w:r>
      <w:r w:rsidRPr="00FB5439">
        <w:tab/>
        <w:t>(</w:t>
      </w:r>
      <w:r w:rsidRPr="00FB5439">
        <w:rPr>
          <w:i/>
        </w:rPr>
        <w:t>insert date</w:t>
      </w:r>
      <w:r w:rsidRPr="00FB5439">
        <w:t>)</w:t>
      </w:r>
      <w:r w:rsidRPr="00FB5439">
        <w:tab/>
        <w:t>, the full address of the principal place at which I practise was changed from:</w:t>
      </w:r>
    </w:p>
    <w:p w14:paraId="62EFF79D" w14:textId="77777777" w:rsidR="00E93F58" w:rsidRPr="00FB5439" w:rsidRDefault="00E93F58" w:rsidP="00070F64">
      <w:pPr>
        <w:ind w:left="360"/>
        <w:jc w:val="both"/>
      </w:pPr>
      <w:r w:rsidRPr="00FB5439">
        <w:t>to:</w:t>
      </w:r>
      <w:r w:rsidRPr="00FB5439">
        <w:tab/>
        <w:t>(</w:t>
      </w:r>
      <w:r w:rsidRPr="00FB5439">
        <w:rPr>
          <w:i/>
        </w:rPr>
        <w:t>insert full address</w:t>
      </w:r>
      <w:r w:rsidRPr="00FB5439">
        <w:t>)</w:t>
      </w:r>
    </w:p>
    <w:p w14:paraId="2AFB205F" w14:textId="77777777" w:rsidR="00E93F58" w:rsidRPr="00FB5439" w:rsidRDefault="00E93F58" w:rsidP="00070F64">
      <w:pPr>
        <w:jc w:val="both"/>
      </w:pPr>
    </w:p>
    <w:p w14:paraId="7F15AA49" w14:textId="77777777" w:rsidR="00E93F58" w:rsidRPr="00FB5439" w:rsidRDefault="00E93F58" w:rsidP="00070F64">
      <w:pPr>
        <w:tabs>
          <w:tab w:val="left" w:pos="1080"/>
          <w:tab w:val="left" w:pos="2520"/>
        </w:tabs>
        <w:ind w:left="426"/>
        <w:jc w:val="both"/>
      </w:pPr>
      <w:r w:rsidRPr="00A80D13">
        <w:rPr>
          <w:position w:val="6"/>
          <w:sz w:val="16"/>
        </w:rPr>
        <w:t>*</w:t>
      </w:r>
      <w:r w:rsidRPr="00FB5439">
        <w:t>On</w:t>
      </w:r>
      <w:r w:rsidRPr="00FB5439">
        <w:tab/>
        <w:t>(</w:t>
      </w:r>
      <w:r w:rsidRPr="00FB5439">
        <w:rPr>
          <w:i/>
        </w:rPr>
        <w:t>insert date</w:t>
      </w:r>
      <w:r w:rsidRPr="00FB5439">
        <w:t>)</w:t>
      </w:r>
      <w:r w:rsidRPr="00FB5439">
        <w:tab/>
        <w:t>, the full address of a place at which I practise was changed from:</w:t>
      </w:r>
    </w:p>
    <w:p w14:paraId="7D32A12F" w14:textId="77777777" w:rsidR="00E93F58" w:rsidRPr="00FB5439" w:rsidRDefault="00E93F58" w:rsidP="00070F64">
      <w:pPr>
        <w:tabs>
          <w:tab w:val="left" w:pos="960"/>
        </w:tabs>
        <w:ind w:left="426"/>
        <w:jc w:val="both"/>
      </w:pPr>
      <w:r w:rsidRPr="00FB5439">
        <w:t>to:</w:t>
      </w:r>
      <w:r w:rsidRPr="00FB5439">
        <w:tab/>
        <w:t>(</w:t>
      </w:r>
      <w:r w:rsidRPr="00FB5439">
        <w:rPr>
          <w:i/>
        </w:rPr>
        <w:t>insert full address</w:t>
      </w:r>
      <w:r w:rsidRPr="00FB5439">
        <w:t>)</w:t>
      </w:r>
    </w:p>
    <w:p w14:paraId="1A5E9338" w14:textId="77777777" w:rsidR="00E93F58" w:rsidRPr="00FB5439" w:rsidRDefault="00E93F58" w:rsidP="00070F64">
      <w:pPr>
        <w:jc w:val="both"/>
      </w:pPr>
    </w:p>
    <w:p w14:paraId="39428AA9" w14:textId="77777777" w:rsidR="00E93F58" w:rsidRPr="00FB5439" w:rsidRDefault="00E93F58" w:rsidP="00070F64">
      <w:pPr>
        <w:tabs>
          <w:tab w:val="left" w:pos="1080"/>
          <w:tab w:val="left" w:pos="2520"/>
          <w:tab w:val="left" w:pos="6000"/>
        </w:tabs>
        <w:ind w:left="426"/>
        <w:jc w:val="both"/>
      </w:pPr>
      <w:r w:rsidRPr="00A80D13">
        <w:rPr>
          <w:position w:val="6"/>
          <w:sz w:val="16"/>
        </w:rPr>
        <w:t>*</w:t>
      </w:r>
      <w:r w:rsidRPr="00FB5439">
        <w:t>On</w:t>
      </w:r>
      <w:r w:rsidRPr="00FB5439">
        <w:tab/>
        <w:t>(</w:t>
      </w:r>
      <w:r w:rsidRPr="00FB5439">
        <w:rPr>
          <w:i/>
        </w:rPr>
        <w:t>insert date</w:t>
      </w:r>
      <w:r w:rsidRPr="00FB5439">
        <w:t>)</w:t>
      </w:r>
      <w:r w:rsidRPr="00FB5439">
        <w:tab/>
        <w:t>, I commenced to practise at:</w:t>
      </w:r>
      <w:r w:rsidRPr="00FB5439">
        <w:tab/>
        <w:t>(</w:t>
      </w:r>
      <w:r w:rsidRPr="00FB5439">
        <w:rPr>
          <w:i/>
        </w:rPr>
        <w:t>insert full address</w:t>
      </w:r>
      <w:r w:rsidRPr="00FB5439">
        <w:t>)</w:t>
      </w:r>
    </w:p>
    <w:p w14:paraId="48CE3B87" w14:textId="77777777" w:rsidR="00E93F58" w:rsidRPr="00FB5439" w:rsidRDefault="00E93F58" w:rsidP="00070F64">
      <w:pPr>
        <w:jc w:val="both"/>
      </w:pPr>
    </w:p>
    <w:p w14:paraId="2ACE847C" w14:textId="77777777" w:rsidR="00E93F58" w:rsidRPr="00FB5439" w:rsidRDefault="00E93F58" w:rsidP="00070F64">
      <w:pPr>
        <w:tabs>
          <w:tab w:val="left" w:pos="1080"/>
          <w:tab w:val="left" w:pos="2520"/>
        </w:tabs>
        <w:ind w:left="360"/>
        <w:jc w:val="both"/>
      </w:pPr>
      <w:r w:rsidRPr="00A80D13">
        <w:rPr>
          <w:position w:val="6"/>
          <w:sz w:val="16"/>
        </w:rPr>
        <w:t>*</w:t>
      </w:r>
      <w:r w:rsidRPr="00FB5439">
        <w:t>On</w:t>
      </w:r>
      <w:r w:rsidRPr="00FB5439">
        <w:tab/>
        <w:t>(</w:t>
      </w:r>
      <w:r w:rsidRPr="00FB5439">
        <w:rPr>
          <w:i/>
        </w:rPr>
        <w:t>insert date</w:t>
      </w:r>
      <w:r w:rsidRPr="00FB5439">
        <w:t>)</w:t>
      </w:r>
      <w:r w:rsidRPr="00FB5439">
        <w:tab/>
        <w:t>, I commenced to practise under a name and style other than my own at:</w:t>
      </w:r>
      <w:r w:rsidRPr="00FB5439">
        <w:tab/>
        <w:t>(</w:t>
      </w:r>
      <w:r w:rsidRPr="00FB5439">
        <w:rPr>
          <w:i/>
        </w:rPr>
        <w:t>insert full address</w:t>
      </w:r>
      <w:r w:rsidRPr="00FB5439">
        <w:t>)</w:t>
      </w:r>
    </w:p>
    <w:p w14:paraId="4FBD45BD" w14:textId="77777777" w:rsidR="00E93F58" w:rsidRPr="00FB5439" w:rsidRDefault="00E93F58" w:rsidP="00070F64">
      <w:pPr>
        <w:jc w:val="both"/>
      </w:pPr>
    </w:p>
    <w:p w14:paraId="2B294272" w14:textId="77777777" w:rsidR="00E93F58" w:rsidRPr="00FB5439" w:rsidRDefault="00E93F58" w:rsidP="00070F64">
      <w:pPr>
        <w:tabs>
          <w:tab w:val="left" w:pos="1080"/>
          <w:tab w:val="left" w:pos="2520"/>
        </w:tabs>
        <w:ind w:left="360"/>
        <w:jc w:val="both"/>
      </w:pPr>
      <w:r w:rsidRPr="00A80D13">
        <w:rPr>
          <w:position w:val="6"/>
          <w:sz w:val="16"/>
        </w:rPr>
        <w:t>*</w:t>
      </w:r>
      <w:r w:rsidRPr="00FB5439">
        <w:t>On</w:t>
      </w:r>
      <w:r w:rsidRPr="00FB5439">
        <w:tab/>
        <w:t>(</w:t>
      </w:r>
      <w:r w:rsidRPr="00FB5439">
        <w:rPr>
          <w:i/>
        </w:rPr>
        <w:t>insert date</w:t>
      </w:r>
      <w:r w:rsidRPr="00FB5439">
        <w:t>)</w:t>
      </w:r>
      <w:r w:rsidRPr="00FB5439">
        <w:tab/>
        <w:t>, I ceased to practise at:</w:t>
      </w:r>
      <w:r w:rsidRPr="00FB5439">
        <w:tab/>
        <w:t>(</w:t>
      </w:r>
      <w:r w:rsidRPr="00FB5439">
        <w:rPr>
          <w:i/>
        </w:rPr>
        <w:t>insert full address</w:t>
      </w:r>
      <w:r w:rsidRPr="00FB5439">
        <w:t>)</w:t>
      </w:r>
    </w:p>
    <w:p w14:paraId="68E6E0A2" w14:textId="77777777" w:rsidR="00E93F58" w:rsidRPr="00FB5439" w:rsidRDefault="00E93F58" w:rsidP="00070F64">
      <w:pPr>
        <w:jc w:val="both"/>
      </w:pPr>
    </w:p>
    <w:p w14:paraId="7C44A327" w14:textId="77777777" w:rsidR="00E93F58" w:rsidRPr="00FB5439" w:rsidRDefault="00E93F58" w:rsidP="00070F64">
      <w:pPr>
        <w:tabs>
          <w:tab w:val="left" w:pos="1080"/>
          <w:tab w:val="left" w:pos="2520"/>
        </w:tabs>
        <w:ind w:left="360"/>
        <w:jc w:val="both"/>
      </w:pPr>
      <w:r w:rsidRPr="00A80D13">
        <w:rPr>
          <w:position w:val="6"/>
          <w:sz w:val="16"/>
        </w:rPr>
        <w:t>*</w:t>
      </w:r>
      <w:r w:rsidRPr="00FB5439">
        <w:t>On</w:t>
      </w:r>
      <w:r w:rsidRPr="00FB5439">
        <w:tab/>
        <w:t>(</w:t>
      </w:r>
      <w:r w:rsidRPr="00FB5439">
        <w:rPr>
          <w:i/>
        </w:rPr>
        <w:t>insert date</w:t>
      </w:r>
      <w:r w:rsidRPr="00FB5439">
        <w:t>)</w:t>
      </w:r>
      <w:r w:rsidRPr="00FB5439">
        <w:tab/>
        <w:t xml:space="preserve">, the </w:t>
      </w:r>
      <w:r w:rsidRPr="00A80D13">
        <w:rPr>
          <w:position w:val="6"/>
          <w:sz w:val="16"/>
        </w:rPr>
        <w:t>*</w:t>
      </w:r>
      <w:r w:rsidRPr="00FB5439">
        <w:t>name/</w:t>
      </w:r>
      <w:r w:rsidRPr="00A80D13">
        <w:rPr>
          <w:position w:val="6"/>
          <w:sz w:val="16"/>
        </w:rPr>
        <w:t>*</w:t>
      </w:r>
      <w:r w:rsidRPr="00FB5439">
        <w:t xml:space="preserve">address of a firm of which I am </w:t>
      </w:r>
      <w:r w:rsidRPr="00A80D13">
        <w:rPr>
          <w:position w:val="6"/>
          <w:sz w:val="16"/>
        </w:rPr>
        <w:t>*</w:t>
      </w:r>
      <w:r w:rsidRPr="00FB5439">
        <w:t>a member/</w:t>
      </w:r>
      <w:r w:rsidRPr="00A80D13">
        <w:rPr>
          <w:position w:val="6"/>
          <w:sz w:val="16"/>
        </w:rPr>
        <w:t>*</w:t>
      </w:r>
      <w:r w:rsidRPr="00FB5439">
        <w:t>an employee was changed from:</w:t>
      </w:r>
    </w:p>
    <w:p w14:paraId="70341C7B" w14:textId="77777777" w:rsidR="00E93F58" w:rsidRPr="00FB5439" w:rsidRDefault="00E93F58" w:rsidP="00070F64">
      <w:pPr>
        <w:ind w:left="360"/>
        <w:jc w:val="both"/>
      </w:pPr>
      <w:r w:rsidRPr="00FB5439">
        <w:t>to:</w:t>
      </w:r>
    </w:p>
    <w:p w14:paraId="1A358AB4" w14:textId="77777777" w:rsidR="00E93F58" w:rsidRPr="00FB5439" w:rsidRDefault="00E93F58" w:rsidP="00070F64">
      <w:pPr>
        <w:jc w:val="both"/>
      </w:pPr>
    </w:p>
    <w:p w14:paraId="1316E426" w14:textId="77777777" w:rsidR="00E93F58" w:rsidRPr="00FB5439" w:rsidRDefault="00E93F58" w:rsidP="00070F64">
      <w:pPr>
        <w:tabs>
          <w:tab w:val="left" w:pos="1080"/>
          <w:tab w:val="left" w:pos="2520"/>
        </w:tabs>
        <w:ind w:left="426"/>
        <w:jc w:val="both"/>
      </w:pPr>
      <w:r w:rsidRPr="00A80D13">
        <w:rPr>
          <w:position w:val="6"/>
          <w:sz w:val="16"/>
        </w:rPr>
        <w:t>*</w:t>
      </w:r>
      <w:r w:rsidRPr="00FB5439">
        <w:t>On</w:t>
      </w:r>
      <w:r w:rsidRPr="00FB5439">
        <w:tab/>
        <w:t>(</w:t>
      </w:r>
      <w:r w:rsidRPr="00FB5439">
        <w:rPr>
          <w:i/>
        </w:rPr>
        <w:t>insert date</w:t>
      </w:r>
      <w:r w:rsidRPr="00FB5439">
        <w:t>)</w:t>
      </w:r>
      <w:r w:rsidRPr="00FB5439">
        <w:tab/>
        <w:t xml:space="preserve">, I became </w:t>
      </w:r>
      <w:r w:rsidRPr="00A80D13">
        <w:rPr>
          <w:position w:val="6"/>
          <w:sz w:val="16"/>
        </w:rPr>
        <w:t>*</w:t>
      </w:r>
      <w:r w:rsidRPr="00FB5439">
        <w:t>a member/</w:t>
      </w:r>
      <w:r w:rsidRPr="00A80D13">
        <w:rPr>
          <w:position w:val="6"/>
          <w:sz w:val="16"/>
        </w:rPr>
        <w:t>*</w:t>
      </w:r>
      <w:r w:rsidRPr="00FB5439">
        <w:t>an employee of:</w:t>
      </w:r>
      <w:r w:rsidRPr="00FB5439">
        <w:tab/>
        <w:t>(</w:t>
      </w:r>
      <w:r w:rsidRPr="00FB5439">
        <w:rPr>
          <w:i/>
        </w:rPr>
        <w:t>insert name and full address</w:t>
      </w:r>
      <w:r w:rsidRPr="00FB5439">
        <w:t>)</w:t>
      </w:r>
    </w:p>
    <w:p w14:paraId="703B4797" w14:textId="77777777" w:rsidR="00E93F58" w:rsidRPr="00FB5439" w:rsidRDefault="00E93F58" w:rsidP="00070F64">
      <w:pPr>
        <w:jc w:val="both"/>
      </w:pPr>
    </w:p>
    <w:p w14:paraId="2D365821" w14:textId="77777777" w:rsidR="00E93F58" w:rsidRPr="00FB5439" w:rsidRDefault="00E93F58" w:rsidP="00070F64">
      <w:pPr>
        <w:tabs>
          <w:tab w:val="left" w:pos="1080"/>
          <w:tab w:val="left" w:pos="2520"/>
        </w:tabs>
        <w:ind w:left="360"/>
        <w:jc w:val="both"/>
      </w:pPr>
      <w:r w:rsidRPr="00A80D13">
        <w:rPr>
          <w:position w:val="6"/>
          <w:sz w:val="16"/>
        </w:rPr>
        <w:t>*</w:t>
      </w:r>
      <w:r w:rsidRPr="00FB5439">
        <w:t>On</w:t>
      </w:r>
      <w:r w:rsidRPr="00FB5439">
        <w:tab/>
        <w:t>(</w:t>
      </w:r>
      <w:r w:rsidRPr="00FB5439">
        <w:rPr>
          <w:i/>
        </w:rPr>
        <w:t>insert date</w:t>
      </w:r>
      <w:r w:rsidRPr="00FB5439">
        <w:t>)</w:t>
      </w:r>
      <w:r w:rsidRPr="00FB5439">
        <w:tab/>
        <w:t xml:space="preserve">, I ceased to be </w:t>
      </w:r>
      <w:r w:rsidRPr="00A80D13">
        <w:rPr>
          <w:position w:val="6"/>
          <w:sz w:val="16"/>
        </w:rPr>
        <w:t>*</w:t>
      </w:r>
      <w:r w:rsidRPr="00FB5439">
        <w:t>a member/</w:t>
      </w:r>
      <w:r w:rsidRPr="00A80D13">
        <w:rPr>
          <w:position w:val="6"/>
          <w:sz w:val="16"/>
        </w:rPr>
        <w:t>*</w:t>
      </w:r>
      <w:r w:rsidRPr="00FB5439">
        <w:t>an employee of:</w:t>
      </w:r>
      <w:r w:rsidRPr="00FB5439">
        <w:tab/>
        <w:t>(</w:t>
      </w:r>
      <w:r w:rsidRPr="00FB5439">
        <w:rPr>
          <w:i/>
        </w:rPr>
        <w:t>insert name and full address</w:t>
      </w:r>
      <w:r w:rsidRPr="00FB5439">
        <w:t>)</w:t>
      </w:r>
    </w:p>
    <w:p w14:paraId="18DFAF99" w14:textId="77777777" w:rsidR="00E93F58" w:rsidRPr="00FB5439" w:rsidRDefault="00E93F58" w:rsidP="00070F64">
      <w:pPr>
        <w:jc w:val="both"/>
      </w:pPr>
    </w:p>
    <w:p w14:paraId="5860509B" w14:textId="77777777" w:rsidR="00E93F58" w:rsidRPr="00FB5439" w:rsidRDefault="00E93F58" w:rsidP="00070F64">
      <w:pPr>
        <w:tabs>
          <w:tab w:val="left" w:pos="1080"/>
          <w:tab w:val="left" w:pos="2520"/>
        </w:tabs>
        <w:ind w:left="360"/>
        <w:jc w:val="both"/>
      </w:pPr>
      <w:r w:rsidRPr="00A80D13">
        <w:rPr>
          <w:position w:val="6"/>
          <w:sz w:val="16"/>
        </w:rPr>
        <w:t>*</w:t>
      </w:r>
      <w:r w:rsidRPr="00FB5439">
        <w:t>On</w:t>
      </w:r>
      <w:r w:rsidRPr="00FB5439">
        <w:tab/>
        <w:t>(</w:t>
      </w:r>
      <w:r w:rsidRPr="00FB5439">
        <w:rPr>
          <w:i/>
        </w:rPr>
        <w:t>insert date</w:t>
      </w:r>
      <w:r w:rsidRPr="00FB5439">
        <w:t>)</w:t>
      </w:r>
      <w:r w:rsidRPr="00FB5439">
        <w:tab/>
        <w:t>, a name or style other than my own under which I practise was changed from:</w:t>
      </w:r>
    </w:p>
    <w:p w14:paraId="020123DA" w14:textId="77777777" w:rsidR="00E93F58" w:rsidRPr="00FB5439" w:rsidRDefault="00E93F58" w:rsidP="00070F64">
      <w:pPr>
        <w:ind w:left="426"/>
        <w:jc w:val="both"/>
      </w:pPr>
      <w:r w:rsidRPr="00FB5439">
        <w:t>to:</w:t>
      </w:r>
    </w:p>
    <w:p w14:paraId="00C917FF" w14:textId="77777777" w:rsidR="00E93F58" w:rsidRPr="00FB5439" w:rsidRDefault="00E93F58" w:rsidP="00070F64">
      <w:pPr>
        <w:jc w:val="both"/>
      </w:pPr>
    </w:p>
    <w:p w14:paraId="3DAA5526" w14:textId="77777777" w:rsidR="00E93F58" w:rsidRPr="00FB5439" w:rsidRDefault="00E93F58" w:rsidP="00070F64">
      <w:pPr>
        <w:jc w:val="both"/>
      </w:pPr>
      <w:r w:rsidRPr="00FB5439">
        <w:t>Dated: (</w:t>
      </w:r>
      <w:r w:rsidRPr="00FB5439">
        <w:rPr>
          <w:i/>
        </w:rPr>
        <w:t>insert date</w:t>
      </w:r>
      <w:r w:rsidRPr="00FB5439">
        <w:t>)</w:t>
      </w:r>
    </w:p>
    <w:p w14:paraId="4A917687" w14:textId="77777777" w:rsidR="00E93F58" w:rsidRPr="00FB5439" w:rsidRDefault="00E93F58" w:rsidP="00070F64">
      <w:pPr>
        <w:jc w:val="both"/>
      </w:pPr>
    </w:p>
    <w:p w14:paraId="497CFD12" w14:textId="77777777" w:rsidR="00E93F58" w:rsidRPr="00FB5439" w:rsidRDefault="00E93F58" w:rsidP="00070F64">
      <w:pPr>
        <w:jc w:val="both"/>
        <w:rPr>
          <w:i/>
        </w:rPr>
      </w:pPr>
      <w:r w:rsidRPr="00FB5439">
        <w:rPr>
          <w:i/>
        </w:rPr>
        <w:t>(signature of the registered company auditor)</w:t>
      </w:r>
    </w:p>
    <w:p w14:paraId="5B05882F" w14:textId="77777777" w:rsidR="00E93F58" w:rsidRPr="00FB5439" w:rsidRDefault="00E93F58" w:rsidP="00070F64">
      <w:pPr>
        <w:jc w:val="both"/>
      </w:pPr>
    </w:p>
    <w:p w14:paraId="7E465B72" w14:textId="77777777" w:rsidR="00E93F58" w:rsidRPr="00FB5439" w:rsidRDefault="00E93F58" w:rsidP="00070F64">
      <w:pPr>
        <w:jc w:val="both"/>
      </w:pPr>
      <w:r w:rsidRPr="00A80D13">
        <w:rPr>
          <w:position w:val="6"/>
          <w:sz w:val="16"/>
        </w:rPr>
        <w:t>*</w:t>
      </w:r>
      <w:r w:rsidRPr="00FB5439">
        <w:t xml:space="preserve"> Omit if not applicable</w:t>
      </w:r>
    </w:p>
    <w:p w14:paraId="6C2F2597" w14:textId="77777777" w:rsidR="00E93F58" w:rsidRPr="00FB5439" w:rsidRDefault="00E93F58" w:rsidP="00B47E62">
      <w:r w:rsidRPr="00FB5439">
        <w:rPr>
          <w:noProof/>
          <w:lang w:eastAsia="en-AU"/>
        </w:rPr>
        <w:lastRenderedPageBreak/>
        <w:drawing>
          <wp:inline distT="0" distB="0" distL="0" distR="0" wp14:anchorId="61AE0451" wp14:editId="6BE87CE0">
            <wp:extent cx="4560952" cy="6444000"/>
            <wp:effectExtent l="0" t="0" r="0" b="0"/>
            <wp:docPr id="22" name="Picture 22" descr="form 909 Notification of office at which register is k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 909"/>
                    <pic:cNvPicPr>
                      <a:picLocks noChangeAspect="1" noChangeArrowheads="1"/>
                    </pic:cNvPicPr>
                  </pic:nvPicPr>
                  <pic:blipFill>
                    <a:blip r:embed="rId37" cstate="print">
                      <a:extLst>
                        <a:ext uri="{28A0092B-C50C-407E-A947-70E740481C1C}">
                          <a14:useLocalDpi xmlns:a14="http://schemas.microsoft.com/office/drawing/2010/main" val="0"/>
                        </a:ext>
                      </a:extLst>
                    </a:blip>
                    <a:srcRect l="2367" t="3423" r="2367" b="1677"/>
                    <a:stretch>
                      <a:fillRect/>
                    </a:stretch>
                  </pic:blipFill>
                  <pic:spPr bwMode="auto">
                    <a:xfrm>
                      <a:off x="0" y="0"/>
                      <a:ext cx="4560952" cy="6444000"/>
                    </a:xfrm>
                    <a:prstGeom prst="rect">
                      <a:avLst/>
                    </a:prstGeom>
                    <a:noFill/>
                    <a:ln>
                      <a:noFill/>
                    </a:ln>
                  </pic:spPr>
                </pic:pic>
              </a:graphicData>
            </a:graphic>
          </wp:inline>
        </w:drawing>
      </w:r>
    </w:p>
    <w:p w14:paraId="67C1F163" w14:textId="77777777" w:rsidR="00E93F58" w:rsidRPr="00FB5439" w:rsidRDefault="00E93F58" w:rsidP="00BA2036">
      <w:r w:rsidRPr="00FB5439">
        <w:rPr>
          <w:noProof/>
          <w:lang w:eastAsia="en-AU"/>
        </w:rPr>
        <w:lastRenderedPageBreak/>
        <w:drawing>
          <wp:inline distT="0" distB="0" distL="0" distR="0" wp14:anchorId="510B9B54" wp14:editId="4552CC64">
            <wp:extent cx="4591050" cy="5524500"/>
            <wp:effectExtent l="0" t="0" r="0" b="0"/>
            <wp:docPr id="23" name="Picture 23" descr="form 911 verification or certification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 911"/>
                    <pic:cNvPicPr>
                      <a:picLocks noChangeAspect="1" noChangeArrowheads="1"/>
                    </pic:cNvPicPr>
                  </pic:nvPicPr>
                  <pic:blipFill>
                    <a:blip r:embed="rId38" cstate="print">
                      <a:extLst>
                        <a:ext uri="{28A0092B-C50C-407E-A947-70E740481C1C}">
                          <a14:useLocalDpi xmlns:a14="http://schemas.microsoft.com/office/drawing/2010/main" val="0"/>
                        </a:ext>
                      </a:extLst>
                    </a:blip>
                    <a:srcRect l="2367" t="4128" r="2367" b="35231"/>
                    <a:stretch>
                      <a:fillRect/>
                    </a:stretch>
                  </pic:blipFill>
                  <pic:spPr bwMode="auto">
                    <a:xfrm>
                      <a:off x="0" y="0"/>
                      <a:ext cx="4591050" cy="5524500"/>
                    </a:xfrm>
                    <a:prstGeom prst="rect">
                      <a:avLst/>
                    </a:prstGeom>
                    <a:noFill/>
                    <a:ln>
                      <a:noFill/>
                    </a:ln>
                  </pic:spPr>
                </pic:pic>
              </a:graphicData>
            </a:graphic>
          </wp:inline>
        </w:drawing>
      </w:r>
      <w:bookmarkStart w:id="3245" w:name="_PageBreakInsert"/>
      <w:bookmarkEnd w:id="3245"/>
    </w:p>
    <w:p w14:paraId="08D15532" w14:textId="77777777" w:rsidR="00E93F58" w:rsidRPr="00FB5439" w:rsidRDefault="00E93F58" w:rsidP="00A45941">
      <w:pPr>
        <w:pStyle w:val="ActHead1"/>
        <w:keepNext w:val="0"/>
        <w:pageBreakBefore/>
        <w:spacing w:before="120"/>
      </w:pPr>
      <w:bookmarkStart w:id="3246" w:name="_Toc151992807"/>
      <w:bookmarkStart w:id="3247" w:name="_Toc158713410"/>
      <w:r w:rsidRPr="00FB5439">
        <w:rPr>
          <w:rStyle w:val="CharChapNo"/>
        </w:rPr>
        <w:lastRenderedPageBreak/>
        <w:t>Schedule 2A</w:t>
      </w:r>
      <w:r w:rsidRPr="00FB5439">
        <w:rPr>
          <w:color w:val="000000"/>
        </w:rPr>
        <w:t>—</w:t>
      </w:r>
      <w:r w:rsidRPr="00FB5439">
        <w:rPr>
          <w:rStyle w:val="CharChapText"/>
        </w:rPr>
        <w:t>Forms of transfer of Division 3 securities</w:t>
      </w:r>
      <w:bookmarkEnd w:id="3246"/>
      <w:bookmarkEnd w:id="3247"/>
    </w:p>
    <w:p w14:paraId="61BE1F60" w14:textId="77777777" w:rsidR="00E93F58" w:rsidRPr="00FB5439" w:rsidRDefault="00E93F58" w:rsidP="00070F64">
      <w:pPr>
        <w:pStyle w:val="notemargin"/>
      </w:pPr>
      <w:r w:rsidRPr="00FB5439">
        <w:rPr>
          <w:color w:val="000000"/>
        </w:rPr>
        <w:t>(regulation 7.11.04)</w:t>
      </w:r>
    </w:p>
    <w:p w14:paraId="55C69943" w14:textId="77777777" w:rsidR="00E93F58" w:rsidRPr="00FB5439" w:rsidRDefault="00E93F58" w:rsidP="00A80D13">
      <w:pPr>
        <w:pStyle w:val="ActHead2"/>
      </w:pPr>
      <w:bookmarkStart w:id="3248" w:name="_Toc151992808"/>
      <w:bookmarkStart w:id="3249" w:name="_Toc158713411"/>
      <w:r w:rsidRPr="00FB5439">
        <w:rPr>
          <w:rStyle w:val="CharPartNo"/>
        </w:rPr>
        <w:t>Form 1</w:t>
      </w:r>
      <w:bookmarkEnd w:id="3248"/>
      <w:bookmarkEnd w:id="3249"/>
      <w:r w:rsidRPr="00FB5439">
        <w:rPr>
          <w:rStyle w:val="CharPartText"/>
        </w:rPr>
        <w:t xml:space="preserve"> </w:t>
      </w:r>
      <w:r w:rsidRPr="00FB5439">
        <w:t xml:space="preserve"> </w:t>
      </w:r>
    </w:p>
    <w:p w14:paraId="3EF2950D" w14:textId="77777777" w:rsidR="00E93F58" w:rsidRPr="00FB5439" w:rsidRDefault="00E93F58" w:rsidP="00070F64"/>
    <w:tbl>
      <w:tblPr>
        <w:tblW w:w="5000" w:type="pct"/>
        <w:tblCellMar>
          <w:left w:w="0" w:type="dxa"/>
          <w:right w:w="0" w:type="dxa"/>
        </w:tblCellMar>
        <w:tblLook w:val="0000" w:firstRow="0" w:lastRow="0" w:firstColumn="0" w:lastColumn="0" w:noHBand="0" w:noVBand="0"/>
      </w:tblPr>
      <w:tblGrid>
        <w:gridCol w:w="4395"/>
        <w:gridCol w:w="1099"/>
        <w:gridCol w:w="2200"/>
        <w:gridCol w:w="1758"/>
        <w:gridCol w:w="1321"/>
      </w:tblGrid>
      <w:tr w:rsidR="00E93F58" w:rsidRPr="00FB5439" w14:paraId="53641500" w14:textId="77777777" w:rsidTr="00B23434">
        <w:tc>
          <w:tcPr>
            <w:tcW w:w="2550" w:type="pct"/>
            <w:gridSpan w:val="2"/>
            <w:vAlign w:val="center"/>
          </w:tcPr>
          <w:p w14:paraId="7B4CFB45" w14:textId="77777777" w:rsidR="00E93F58" w:rsidRPr="00FB5439" w:rsidRDefault="00E93F58" w:rsidP="00070F64">
            <w:pPr>
              <w:spacing w:before="60"/>
              <w:jc w:val="center"/>
              <w:rPr>
                <w:color w:val="000000"/>
                <w:sz w:val="18"/>
              </w:rPr>
            </w:pPr>
            <w:r>
              <w:rPr>
                <w:color w:val="000000"/>
                <w:sz w:val="18"/>
              </w:rPr>
              <w:t>DIVISION 3</w:t>
            </w:r>
            <w:r w:rsidRPr="00FB5439">
              <w:rPr>
                <w:color w:val="000000"/>
                <w:sz w:val="18"/>
              </w:rPr>
              <w:t xml:space="preserve"> SECURITY TRANSFER FORM</w:t>
            </w:r>
          </w:p>
        </w:tc>
        <w:tc>
          <w:tcPr>
            <w:tcW w:w="2450" w:type="pct"/>
            <w:gridSpan w:val="3"/>
            <w:vAlign w:val="center"/>
          </w:tcPr>
          <w:p w14:paraId="53508751" w14:textId="77777777" w:rsidR="00E93F58" w:rsidRPr="00FB5439" w:rsidRDefault="00E93F58" w:rsidP="00070F64">
            <w:pPr>
              <w:spacing w:before="60"/>
              <w:jc w:val="center"/>
              <w:rPr>
                <w:color w:val="000000"/>
                <w:sz w:val="18"/>
              </w:rPr>
            </w:pPr>
            <w:r w:rsidRPr="00FB5439">
              <w:rPr>
                <w:color w:val="000000"/>
                <w:sz w:val="18"/>
              </w:rPr>
              <w:t>MARKING STAMP</w:t>
            </w:r>
          </w:p>
        </w:tc>
      </w:tr>
      <w:tr w:rsidR="00E93F58" w:rsidRPr="00FB5439" w14:paraId="4E4FC766"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41869464" w14:textId="77777777" w:rsidR="00E93F58" w:rsidRPr="00FB5439" w:rsidRDefault="00E93F58" w:rsidP="00070F64">
            <w:pPr>
              <w:spacing w:before="60"/>
              <w:jc w:val="center"/>
              <w:rPr>
                <w:color w:val="000000"/>
                <w:sz w:val="18"/>
              </w:rPr>
            </w:pPr>
          </w:p>
          <w:p w14:paraId="62F78FAD" w14:textId="77777777" w:rsidR="00E93F58" w:rsidRPr="00FB5439" w:rsidRDefault="00E93F58" w:rsidP="00070F64">
            <w:pPr>
              <w:spacing w:before="60"/>
              <w:jc w:val="center"/>
              <w:rPr>
                <w:color w:val="000000"/>
                <w:sz w:val="18"/>
              </w:rPr>
            </w:pPr>
            <w:r>
              <w:rPr>
                <w:color w:val="000000"/>
                <w:sz w:val="18"/>
              </w:rPr>
              <w:t>PART 1</w:t>
            </w:r>
          </w:p>
        </w:tc>
      </w:tr>
      <w:tr w:rsidR="00E93F58" w:rsidRPr="00FB5439" w14:paraId="7D29FA0D"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65A16EF1"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144E65B8" w14:textId="77777777" w:rsidTr="00B23434">
        <w:tc>
          <w:tcPr>
            <w:tcW w:w="2040" w:type="pct"/>
            <w:vAlign w:val="center"/>
          </w:tcPr>
          <w:p w14:paraId="4E6AB125" w14:textId="77777777" w:rsidR="00E93F58" w:rsidRPr="00FB5439" w:rsidRDefault="00E93F58" w:rsidP="00070F64">
            <w:pPr>
              <w:spacing w:before="180"/>
              <w:ind w:left="142"/>
              <w:rPr>
                <w:color w:val="000000"/>
                <w:sz w:val="18"/>
              </w:rPr>
            </w:pPr>
            <w:r w:rsidRPr="00FB5439">
              <w:rPr>
                <w:color w:val="000000"/>
                <w:sz w:val="18"/>
              </w:rPr>
              <w:t xml:space="preserve">Description of Division 3 assets: </w:t>
            </w:r>
          </w:p>
        </w:tc>
        <w:tc>
          <w:tcPr>
            <w:tcW w:w="1531" w:type="pct"/>
            <w:gridSpan w:val="2"/>
            <w:vAlign w:val="center"/>
          </w:tcPr>
          <w:p w14:paraId="6E1AABFC" w14:textId="77777777" w:rsidR="00E93F58" w:rsidRPr="00FB5439" w:rsidRDefault="00E93F58" w:rsidP="00070F64">
            <w:pPr>
              <w:spacing w:before="180"/>
              <w:ind w:left="142"/>
              <w:rPr>
                <w:color w:val="000000"/>
                <w:sz w:val="18"/>
              </w:rPr>
            </w:pPr>
            <w:r w:rsidRPr="00FB5439">
              <w:rPr>
                <w:color w:val="000000"/>
                <w:sz w:val="18"/>
              </w:rPr>
              <w:t>Class:</w:t>
            </w:r>
          </w:p>
        </w:tc>
        <w:tc>
          <w:tcPr>
            <w:tcW w:w="816" w:type="pct"/>
            <w:tcBorders>
              <w:left w:val="nil"/>
            </w:tcBorders>
            <w:vAlign w:val="center"/>
          </w:tcPr>
          <w:p w14:paraId="1044D0B2" w14:textId="77777777" w:rsidR="00E93F58" w:rsidRPr="00FB5439" w:rsidRDefault="00E93F58"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14:paraId="3B06F0BD"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5DF7BCFF" w14:textId="77777777" w:rsidTr="00B23434">
        <w:tc>
          <w:tcPr>
            <w:tcW w:w="2040" w:type="pct"/>
            <w:vAlign w:val="center"/>
          </w:tcPr>
          <w:p w14:paraId="1EA0FC44" w14:textId="77777777" w:rsidR="00E93F58" w:rsidRPr="00FB5439" w:rsidRDefault="00E93F58" w:rsidP="00070F64">
            <w:pPr>
              <w:spacing w:before="180"/>
              <w:ind w:left="142"/>
              <w:rPr>
                <w:color w:val="000000"/>
                <w:sz w:val="18"/>
              </w:rPr>
            </w:pPr>
            <w:r w:rsidRPr="00FB5439">
              <w:rPr>
                <w:color w:val="000000"/>
                <w:sz w:val="18"/>
              </w:rPr>
              <w:t>Quantity:</w:t>
            </w:r>
          </w:p>
        </w:tc>
        <w:tc>
          <w:tcPr>
            <w:tcW w:w="1531" w:type="pct"/>
            <w:gridSpan w:val="2"/>
            <w:vAlign w:val="center"/>
          </w:tcPr>
          <w:p w14:paraId="20FA8DED" w14:textId="77777777" w:rsidR="00E93F58" w:rsidRPr="00FB5439" w:rsidRDefault="00E93F58" w:rsidP="00070F64">
            <w:pPr>
              <w:spacing w:before="180"/>
              <w:ind w:left="142"/>
              <w:rPr>
                <w:color w:val="000000"/>
                <w:sz w:val="18"/>
              </w:rPr>
            </w:pPr>
            <w:r w:rsidRPr="00FB5439">
              <w:rPr>
                <w:color w:val="000000"/>
                <w:sz w:val="18"/>
              </w:rPr>
              <w:t>[Words]</w:t>
            </w:r>
          </w:p>
        </w:tc>
        <w:tc>
          <w:tcPr>
            <w:tcW w:w="816" w:type="pct"/>
            <w:tcBorders>
              <w:left w:val="nil"/>
            </w:tcBorders>
            <w:vAlign w:val="center"/>
          </w:tcPr>
          <w:p w14:paraId="4723930A" w14:textId="77777777" w:rsidR="00E93F58" w:rsidRPr="00FB5439" w:rsidRDefault="00E93F58" w:rsidP="00070F64">
            <w:pPr>
              <w:spacing w:before="180"/>
              <w:ind w:left="142"/>
              <w:rPr>
                <w:color w:val="000000"/>
                <w:sz w:val="18"/>
              </w:rPr>
            </w:pPr>
            <w:r w:rsidRPr="00FB5439">
              <w:rPr>
                <w:color w:val="000000"/>
                <w:sz w:val="18"/>
              </w:rPr>
              <w:t>[Figures]</w:t>
            </w:r>
          </w:p>
        </w:tc>
        <w:tc>
          <w:tcPr>
            <w:tcW w:w="612" w:type="pct"/>
            <w:vAlign w:val="center"/>
          </w:tcPr>
          <w:p w14:paraId="3ACCCD96" w14:textId="77777777" w:rsidR="00E93F58" w:rsidRPr="00FB5439" w:rsidRDefault="00E93F58" w:rsidP="00070F64">
            <w:pPr>
              <w:spacing w:before="180"/>
              <w:ind w:left="142"/>
              <w:rPr>
                <w:color w:val="000000"/>
                <w:sz w:val="18"/>
              </w:rPr>
            </w:pPr>
          </w:p>
        </w:tc>
      </w:tr>
      <w:tr w:rsidR="00E93F58" w:rsidRPr="00FB5439" w14:paraId="03715974" w14:textId="77777777" w:rsidTr="00B23434">
        <w:trPr>
          <w:cantSplit/>
        </w:trPr>
        <w:tc>
          <w:tcPr>
            <w:tcW w:w="5000" w:type="pct"/>
            <w:gridSpan w:val="5"/>
            <w:vAlign w:val="center"/>
          </w:tcPr>
          <w:p w14:paraId="041A63BF"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t>
            </w:r>
          </w:p>
        </w:tc>
      </w:tr>
      <w:tr w:rsidR="00E93F58" w:rsidRPr="00FB5439" w14:paraId="3368BDA7" w14:textId="77777777" w:rsidTr="00B23434">
        <w:trPr>
          <w:cantSplit/>
        </w:trPr>
        <w:tc>
          <w:tcPr>
            <w:tcW w:w="5000" w:type="pct"/>
            <w:gridSpan w:val="5"/>
            <w:vAlign w:val="center"/>
          </w:tcPr>
          <w:p w14:paraId="2E815A0F" w14:textId="77777777" w:rsidR="00E93F58" w:rsidRPr="00FB5439" w:rsidRDefault="00E93F58" w:rsidP="00070F64">
            <w:pPr>
              <w:spacing w:before="180"/>
              <w:ind w:left="142"/>
              <w:rPr>
                <w:color w:val="000000"/>
                <w:sz w:val="18"/>
              </w:rPr>
            </w:pPr>
            <w:r w:rsidRPr="00FB5439">
              <w:rPr>
                <w:color w:val="000000"/>
                <w:sz w:val="18"/>
              </w:rPr>
              <w:t xml:space="preserve">Full name(s) of transferor(s): </w:t>
            </w:r>
          </w:p>
        </w:tc>
      </w:tr>
      <w:tr w:rsidR="00E93F58" w:rsidRPr="00FB5439" w14:paraId="306DE907" w14:textId="77777777" w:rsidTr="00B23434">
        <w:trPr>
          <w:cantSplit/>
        </w:trPr>
        <w:tc>
          <w:tcPr>
            <w:tcW w:w="5000" w:type="pct"/>
            <w:gridSpan w:val="5"/>
            <w:vAlign w:val="center"/>
          </w:tcPr>
          <w:p w14:paraId="54407F17" w14:textId="77777777" w:rsidR="00E93F58" w:rsidRPr="00FB5439" w:rsidRDefault="00E93F58" w:rsidP="00070F64">
            <w:pPr>
              <w:spacing w:before="180"/>
              <w:ind w:left="142"/>
              <w:rPr>
                <w:color w:val="000000"/>
                <w:sz w:val="18"/>
              </w:rPr>
            </w:pPr>
            <w:r w:rsidRPr="00FB5439">
              <w:rPr>
                <w:color w:val="000000"/>
                <w:sz w:val="18"/>
              </w:rPr>
              <w:t>The transferor(s) hereby transfer(s) the above Division 3 assets to the transferee(s) named in Part 2 hereof or to the several transferees named in Part 2 of the Broker’s Transfer Form(s), Split Transfer Form(s) or Consolidated Transfer Form(s) relating to the assets.</w:t>
            </w:r>
          </w:p>
          <w:p w14:paraId="495883E0" w14:textId="77777777" w:rsidR="00E93F58" w:rsidRPr="00FB5439" w:rsidRDefault="00E93F58" w:rsidP="00070F64">
            <w:pPr>
              <w:spacing w:before="180"/>
              <w:ind w:left="142"/>
              <w:rPr>
                <w:color w:val="000000"/>
                <w:sz w:val="18"/>
              </w:rPr>
            </w:pPr>
            <w:r w:rsidRPr="00FB5439">
              <w:rPr>
                <w:color w:val="000000"/>
                <w:sz w:val="18"/>
              </w:rPr>
              <w:t>This transfer is executed on the transferor’s behalf by the transferor’s broker, who certifies:</w:t>
            </w:r>
          </w:p>
          <w:p w14:paraId="63C7FF24"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as to the validity of documents; and</w:t>
            </w:r>
          </w:p>
          <w:p w14:paraId="0A93EEF5"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6842EF8A" w14:textId="77777777" w:rsidR="00E93F58" w:rsidRPr="00FB5439" w:rsidRDefault="00E93F58" w:rsidP="00070F64">
            <w:pPr>
              <w:spacing w:before="180"/>
              <w:ind w:left="142"/>
              <w:rPr>
                <w:color w:val="000000"/>
                <w:sz w:val="18"/>
              </w:rPr>
            </w:pPr>
            <w:r w:rsidRPr="00FB5439">
              <w:rPr>
                <w:color w:val="000000"/>
                <w:sz w:val="18"/>
              </w:rPr>
              <w:t>[Transferor’s broker’s stamp]</w:t>
            </w:r>
          </w:p>
          <w:p w14:paraId="6AEC665C" w14:textId="77777777" w:rsidR="00E93F58" w:rsidRPr="00FB5439" w:rsidRDefault="00E93F58" w:rsidP="00070F64">
            <w:pPr>
              <w:spacing w:before="180"/>
              <w:ind w:left="142"/>
              <w:rPr>
                <w:color w:val="000000"/>
                <w:sz w:val="18"/>
              </w:rPr>
            </w:pPr>
            <w:r w:rsidRPr="00FB5439">
              <w:rPr>
                <w:color w:val="000000"/>
                <w:sz w:val="18"/>
              </w:rPr>
              <w:t xml:space="preserve">Affixed at </w:t>
            </w:r>
          </w:p>
          <w:p w14:paraId="0A1FC07A" w14:textId="77777777" w:rsidR="00E93F58" w:rsidRPr="00FB5439" w:rsidRDefault="00E93F58" w:rsidP="00070F64">
            <w:pPr>
              <w:spacing w:before="180"/>
              <w:ind w:left="142"/>
              <w:rPr>
                <w:color w:val="000000"/>
                <w:sz w:val="18"/>
              </w:rPr>
            </w:pPr>
            <w:r w:rsidRPr="00FB5439">
              <w:rPr>
                <w:color w:val="000000"/>
                <w:sz w:val="18"/>
              </w:rPr>
              <w:t xml:space="preserve">on </w:t>
            </w:r>
          </w:p>
          <w:p w14:paraId="7F27AEE8" w14:textId="77777777" w:rsidR="00E93F58" w:rsidRPr="00FB5439" w:rsidRDefault="00E93F58" w:rsidP="00070F64">
            <w:pPr>
              <w:spacing w:before="180"/>
              <w:ind w:left="142"/>
              <w:rPr>
                <w:color w:val="000000"/>
                <w:sz w:val="18"/>
              </w:rPr>
            </w:pPr>
            <w:r w:rsidRPr="00FB5439">
              <w:rPr>
                <w:color w:val="000000"/>
                <w:sz w:val="18"/>
              </w:rPr>
              <w:t xml:space="preserve">(place and date of affixing stamp) </w:t>
            </w:r>
          </w:p>
        </w:tc>
      </w:tr>
      <w:tr w:rsidR="00E93F58" w:rsidRPr="00FB5439" w14:paraId="544FD48F"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03917701" w14:textId="77777777" w:rsidR="00E93F58" w:rsidRPr="00FB5439" w:rsidRDefault="00E93F58" w:rsidP="004304A2">
            <w:pPr>
              <w:keepNext/>
              <w:keepLines/>
              <w:spacing w:before="180"/>
              <w:jc w:val="center"/>
              <w:rPr>
                <w:color w:val="000000"/>
                <w:sz w:val="18"/>
              </w:rPr>
            </w:pPr>
            <w:r>
              <w:rPr>
                <w:color w:val="000000"/>
                <w:sz w:val="18"/>
              </w:rPr>
              <w:t>PART 2</w:t>
            </w:r>
          </w:p>
          <w:p w14:paraId="7E8F2372" w14:textId="77777777" w:rsidR="00E93F58" w:rsidRPr="00FB5439" w:rsidRDefault="00E93F58" w:rsidP="004304A2">
            <w:pPr>
              <w:keepNext/>
              <w:keepLines/>
              <w:spacing w:before="60"/>
              <w:jc w:val="center"/>
              <w:rPr>
                <w:color w:val="000000"/>
                <w:sz w:val="18"/>
              </w:rPr>
            </w:pPr>
          </w:p>
        </w:tc>
      </w:tr>
      <w:tr w:rsidR="00E93F58" w:rsidRPr="00FB5439" w14:paraId="7951FFD8" w14:textId="77777777" w:rsidTr="00B23434">
        <w:trPr>
          <w:cantSplit/>
        </w:trPr>
        <w:tc>
          <w:tcPr>
            <w:tcW w:w="2550" w:type="pct"/>
            <w:gridSpan w:val="2"/>
            <w:vAlign w:val="center"/>
          </w:tcPr>
          <w:p w14:paraId="159A4D71" w14:textId="77777777" w:rsidR="00E93F58" w:rsidRPr="00FB5439" w:rsidRDefault="00E93F58" w:rsidP="00070F64">
            <w:pPr>
              <w:spacing w:before="180"/>
              <w:ind w:left="142"/>
              <w:rPr>
                <w:color w:val="000000"/>
                <w:sz w:val="18"/>
              </w:rPr>
            </w:pPr>
            <w:r w:rsidRPr="00FB5439">
              <w:rPr>
                <w:color w:val="000000"/>
                <w:sz w:val="18"/>
              </w:rPr>
              <w:t>Full name(s) and address(es) of transferee(s):</w:t>
            </w:r>
          </w:p>
          <w:p w14:paraId="5B999335" w14:textId="77777777" w:rsidR="00E93F58" w:rsidRPr="00FB5439" w:rsidRDefault="00E93F58" w:rsidP="00070F64">
            <w:pPr>
              <w:spacing w:before="180"/>
              <w:ind w:left="142"/>
              <w:rPr>
                <w:color w:val="000000"/>
                <w:sz w:val="18"/>
              </w:rPr>
            </w:pPr>
          </w:p>
          <w:p w14:paraId="2DB14A12" w14:textId="77777777" w:rsidR="00E93F58" w:rsidRPr="00FB5439" w:rsidRDefault="00E93F58" w:rsidP="00070F64">
            <w:pPr>
              <w:spacing w:before="180"/>
              <w:ind w:left="142"/>
              <w:rPr>
                <w:color w:val="000000"/>
                <w:sz w:val="18"/>
              </w:rPr>
            </w:pPr>
          </w:p>
          <w:p w14:paraId="05736B03" w14:textId="77777777" w:rsidR="00E93F58" w:rsidRPr="00FB5439" w:rsidRDefault="00E93F58" w:rsidP="00070F64">
            <w:pPr>
              <w:spacing w:before="180"/>
              <w:ind w:left="142"/>
              <w:rPr>
                <w:color w:val="000000"/>
                <w:sz w:val="18"/>
              </w:rPr>
            </w:pPr>
          </w:p>
          <w:p w14:paraId="37DCF6BB" w14:textId="77777777" w:rsidR="00E93F58" w:rsidRPr="00FB5439" w:rsidRDefault="00E93F58" w:rsidP="00070F64">
            <w:pPr>
              <w:spacing w:before="180"/>
              <w:ind w:left="142"/>
              <w:rPr>
                <w:color w:val="000000"/>
                <w:sz w:val="18"/>
              </w:rPr>
            </w:pPr>
          </w:p>
          <w:p w14:paraId="32F236F5" w14:textId="77777777" w:rsidR="00E93F58" w:rsidRPr="00FB5439" w:rsidRDefault="00E93F58" w:rsidP="00070F64">
            <w:pPr>
              <w:spacing w:before="180"/>
              <w:ind w:left="142"/>
              <w:rPr>
                <w:color w:val="000000"/>
                <w:sz w:val="18"/>
              </w:rPr>
            </w:pPr>
          </w:p>
          <w:p w14:paraId="11331260" w14:textId="77777777" w:rsidR="00E93F58" w:rsidRPr="00FB5439" w:rsidRDefault="00E93F58" w:rsidP="00070F64">
            <w:pPr>
              <w:spacing w:before="180"/>
              <w:ind w:left="142"/>
              <w:rPr>
                <w:color w:val="000000"/>
                <w:sz w:val="18"/>
              </w:rPr>
            </w:pPr>
          </w:p>
          <w:p w14:paraId="6F549748" w14:textId="77777777" w:rsidR="00E93F58" w:rsidRPr="00FB5439" w:rsidRDefault="00E93F58" w:rsidP="00070F64">
            <w:pPr>
              <w:spacing w:before="180"/>
              <w:ind w:left="142"/>
              <w:rPr>
                <w:color w:val="000000"/>
                <w:sz w:val="18"/>
              </w:rPr>
            </w:pPr>
          </w:p>
          <w:p w14:paraId="1B3C9E05" w14:textId="77777777" w:rsidR="00E93F58" w:rsidRPr="00FB5439" w:rsidRDefault="00E93F58" w:rsidP="00070F64">
            <w:pPr>
              <w:spacing w:before="180"/>
              <w:ind w:left="142"/>
              <w:rPr>
                <w:color w:val="000000"/>
                <w:sz w:val="18"/>
              </w:rPr>
            </w:pPr>
          </w:p>
        </w:tc>
        <w:tc>
          <w:tcPr>
            <w:tcW w:w="2450" w:type="pct"/>
            <w:gridSpan w:val="3"/>
          </w:tcPr>
          <w:p w14:paraId="7F86D8D7"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7339A4B1"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assets set out in Part 1 above, having been purchased in the ordinary course of business, are to be registered in the name(s) of the transferee(s) named in this Part; and</w:t>
            </w:r>
          </w:p>
          <w:p w14:paraId="05700C6C"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369930ED" w14:textId="77777777" w:rsidR="00E93F58" w:rsidRPr="00FB5439" w:rsidRDefault="00E93F58"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14:paraId="2DF6B596" w14:textId="77777777" w:rsidR="00E93F58" w:rsidRPr="00FB5439" w:rsidRDefault="00E93F58" w:rsidP="00070F64">
            <w:pPr>
              <w:spacing w:before="180"/>
              <w:ind w:left="142"/>
              <w:rPr>
                <w:color w:val="000000"/>
                <w:sz w:val="18"/>
              </w:rPr>
            </w:pPr>
            <w:r w:rsidRPr="00FB5439">
              <w:rPr>
                <w:color w:val="000000"/>
                <w:sz w:val="18"/>
              </w:rPr>
              <w:t>[Transferee’s broker’s stamp]</w:t>
            </w:r>
          </w:p>
          <w:p w14:paraId="6CA10BE3"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r w:rsidR="00E93F58" w:rsidRPr="00FB5439" w14:paraId="2964CB79"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59D0EF63" w14:textId="77777777" w:rsidR="00E93F58" w:rsidRPr="00FB5439" w:rsidRDefault="00E93F58" w:rsidP="00070F64">
            <w:pPr>
              <w:spacing w:before="180"/>
              <w:jc w:val="center"/>
              <w:rPr>
                <w:color w:val="000000"/>
                <w:sz w:val="18"/>
              </w:rPr>
            </w:pPr>
            <w:r>
              <w:rPr>
                <w:color w:val="000000"/>
                <w:sz w:val="18"/>
              </w:rPr>
              <w:t>PART 3</w:t>
            </w:r>
          </w:p>
          <w:p w14:paraId="3F7C94C9" w14:textId="77777777" w:rsidR="00E93F58" w:rsidRPr="00FB5439" w:rsidRDefault="00E93F58" w:rsidP="00070F64">
            <w:pPr>
              <w:spacing w:before="60"/>
              <w:jc w:val="center"/>
              <w:rPr>
                <w:color w:val="000000"/>
                <w:sz w:val="18"/>
              </w:rPr>
            </w:pPr>
          </w:p>
        </w:tc>
      </w:tr>
      <w:tr w:rsidR="00E93F58" w:rsidRPr="00FB5439" w14:paraId="2C6C4776" w14:textId="77777777" w:rsidTr="00B23434">
        <w:trPr>
          <w:cantSplit/>
        </w:trPr>
        <w:tc>
          <w:tcPr>
            <w:tcW w:w="5000" w:type="pct"/>
            <w:gridSpan w:val="5"/>
            <w:vAlign w:val="center"/>
          </w:tcPr>
          <w:p w14:paraId="1ADE9C61" w14:textId="77777777" w:rsidR="00E93F58" w:rsidRPr="00FB5439" w:rsidRDefault="00E93F58" w:rsidP="00070F64">
            <w:pPr>
              <w:spacing w:before="180"/>
              <w:ind w:left="142"/>
              <w:rPr>
                <w:color w:val="000000"/>
                <w:sz w:val="18"/>
              </w:rPr>
            </w:pPr>
            <w:r w:rsidRPr="00FB5439">
              <w:rPr>
                <w:color w:val="000000"/>
                <w:sz w:val="18"/>
              </w:rPr>
              <w:lastRenderedPageBreak/>
              <w:t>Transferee’s broker hereby certifies:</w:t>
            </w:r>
          </w:p>
          <w:p w14:paraId="6921EA49"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assets set out in Part 1 above, having been purchased in the ordinary course of business, are to be registered in the name(s) of the transferee(s) named in the Consolidated Transfer Form relating to the Division 3 assets; and</w:t>
            </w:r>
          </w:p>
          <w:p w14:paraId="5525E36F"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29930F43" w14:textId="77777777" w:rsidR="00E93F58" w:rsidRPr="00FB5439" w:rsidRDefault="00E93F58"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14:paraId="09BD5370" w14:textId="77777777" w:rsidR="00E93F58" w:rsidRPr="00FB5439" w:rsidRDefault="00E93F58" w:rsidP="00070F64">
            <w:pPr>
              <w:spacing w:before="180"/>
              <w:ind w:left="142"/>
              <w:rPr>
                <w:color w:val="000000"/>
                <w:sz w:val="18"/>
              </w:rPr>
            </w:pPr>
            <w:r w:rsidRPr="00FB5439">
              <w:rPr>
                <w:color w:val="000000"/>
                <w:sz w:val="18"/>
              </w:rPr>
              <w:t>[Transferee’s broker’s stamp]</w:t>
            </w:r>
          </w:p>
          <w:p w14:paraId="3F3697D9"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bl>
    <w:p w14:paraId="50FE355C" w14:textId="77777777" w:rsidR="00E93F58" w:rsidRPr="00FB5439" w:rsidRDefault="00E93F58" w:rsidP="00A80D13">
      <w:pPr>
        <w:pStyle w:val="ActHead2"/>
        <w:pageBreakBefore/>
      </w:pPr>
      <w:bookmarkStart w:id="3250" w:name="_Toc151992809"/>
      <w:bookmarkStart w:id="3251" w:name="_Toc158713412"/>
      <w:r w:rsidRPr="00FB5439">
        <w:rPr>
          <w:rStyle w:val="CharPartNo"/>
        </w:rPr>
        <w:lastRenderedPageBreak/>
        <w:t>Form 2</w:t>
      </w:r>
      <w:bookmarkEnd w:id="3250"/>
      <w:bookmarkEnd w:id="3251"/>
      <w:r w:rsidRPr="00FB5439">
        <w:rPr>
          <w:rStyle w:val="CharPartText"/>
        </w:rPr>
        <w:t xml:space="preserve"> </w:t>
      </w:r>
      <w:r w:rsidRPr="00FB5439">
        <w:t xml:space="preserve"> </w:t>
      </w:r>
    </w:p>
    <w:p w14:paraId="4351ECCE" w14:textId="77777777" w:rsidR="00E93F58" w:rsidRPr="00FB5439" w:rsidRDefault="00E93F58" w:rsidP="00070F64">
      <w:pPr>
        <w:rPr>
          <w:color w:val="000000"/>
        </w:rPr>
      </w:pPr>
    </w:p>
    <w:tbl>
      <w:tblPr>
        <w:tblW w:w="5000" w:type="pct"/>
        <w:tblCellMar>
          <w:left w:w="0" w:type="dxa"/>
          <w:right w:w="0" w:type="dxa"/>
        </w:tblCellMar>
        <w:tblLook w:val="0000" w:firstRow="0" w:lastRow="0" w:firstColumn="0" w:lastColumn="0" w:noHBand="0" w:noVBand="0"/>
      </w:tblPr>
      <w:tblGrid>
        <w:gridCol w:w="4837"/>
        <w:gridCol w:w="657"/>
        <w:gridCol w:w="2202"/>
        <w:gridCol w:w="1758"/>
        <w:gridCol w:w="1319"/>
      </w:tblGrid>
      <w:tr w:rsidR="00E93F58" w:rsidRPr="00FB5439" w14:paraId="604FC006" w14:textId="77777777" w:rsidTr="00B23434">
        <w:tc>
          <w:tcPr>
            <w:tcW w:w="2550" w:type="pct"/>
            <w:gridSpan w:val="2"/>
            <w:vAlign w:val="center"/>
          </w:tcPr>
          <w:p w14:paraId="38F66145" w14:textId="77777777" w:rsidR="00E93F58" w:rsidRPr="00FB5439" w:rsidRDefault="00E93F58" w:rsidP="00070F64">
            <w:pPr>
              <w:spacing w:before="60"/>
              <w:jc w:val="center"/>
              <w:rPr>
                <w:color w:val="000000"/>
                <w:sz w:val="18"/>
              </w:rPr>
            </w:pPr>
            <w:r w:rsidRPr="00FB5439">
              <w:rPr>
                <w:color w:val="000000"/>
                <w:sz w:val="18"/>
              </w:rPr>
              <w:t>BROKER’S TRANSFER FORM</w:t>
            </w:r>
          </w:p>
        </w:tc>
        <w:tc>
          <w:tcPr>
            <w:tcW w:w="2450" w:type="pct"/>
            <w:gridSpan w:val="3"/>
            <w:vAlign w:val="center"/>
          </w:tcPr>
          <w:p w14:paraId="5EFE6403" w14:textId="77777777" w:rsidR="00E93F58" w:rsidRPr="00FB5439" w:rsidRDefault="00E93F58" w:rsidP="00070F64">
            <w:pPr>
              <w:spacing w:before="60"/>
              <w:jc w:val="center"/>
              <w:rPr>
                <w:color w:val="000000"/>
                <w:sz w:val="18"/>
              </w:rPr>
            </w:pPr>
            <w:r w:rsidRPr="00FB5439">
              <w:rPr>
                <w:color w:val="000000"/>
                <w:sz w:val="18"/>
              </w:rPr>
              <w:t>MARKING STAMP</w:t>
            </w:r>
          </w:p>
        </w:tc>
      </w:tr>
      <w:tr w:rsidR="00E93F58" w:rsidRPr="00FB5439" w14:paraId="12555466"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6E868676" w14:textId="77777777" w:rsidR="00E93F58" w:rsidRPr="00FB5439" w:rsidRDefault="00E93F58" w:rsidP="00070F64">
            <w:pPr>
              <w:spacing w:before="60"/>
              <w:jc w:val="center"/>
              <w:rPr>
                <w:color w:val="000000"/>
                <w:sz w:val="18"/>
              </w:rPr>
            </w:pPr>
          </w:p>
          <w:p w14:paraId="39E1465E" w14:textId="77777777" w:rsidR="00E93F58" w:rsidRPr="00FB5439" w:rsidRDefault="00E93F58" w:rsidP="00070F64">
            <w:pPr>
              <w:spacing w:before="60"/>
              <w:jc w:val="center"/>
              <w:rPr>
                <w:color w:val="000000"/>
                <w:sz w:val="18"/>
              </w:rPr>
            </w:pPr>
            <w:r>
              <w:rPr>
                <w:color w:val="000000"/>
                <w:sz w:val="18"/>
              </w:rPr>
              <w:t>PART 1</w:t>
            </w:r>
          </w:p>
        </w:tc>
      </w:tr>
      <w:tr w:rsidR="00E93F58" w:rsidRPr="00FB5439" w14:paraId="2ECD2F8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6E939522"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353C575F" w14:textId="77777777" w:rsidTr="00B23434">
        <w:tc>
          <w:tcPr>
            <w:tcW w:w="2245" w:type="pct"/>
            <w:vAlign w:val="center"/>
          </w:tcPr>
          <w:p w14:paraId="10A49FAA" w14:textId="77777777" w:rsidR="00E93F58" w:rsidRPr="00FB5439" w:rsidRDefault="00E93F58" w:rsidP="00070F64">
            <w:pPr>
              <w:spacing w:before="180"/>
              <w:ind w:left="142"/>
              <w:rPr>
                <w:color w:val="000000"/>
                <w:sz w:val="18"/>
              </w:rPr>
            </w:pPr>
            <w:r w:rsidRPr="00FB5439">
              <w:rPr>
                <w:color w:val="000000"/>
                <w:sz w:val="18"/>
              </w:rPr>
              <w:t xml:space="preserve">Description of Division 3 assets: </w:t>
            </w:r>
          </w:p>
        </w:tc>
        <w:tc>
          <w:tcPr>
            <w:tcW w:w="1327" w:type="pct"/>
            <w:gridSpan w:val="2"/>
            <w:vAlign w:val="center"/>
          </w:tcPr>
          <w:p w14:paraId="168E05E4" w14:textId="77777777" w:rsidR="00E93F58" w:rsidRPr="00FB5439" w:rsidRDefault="00E93F58" w:rsidP="00070F64">
            <w:pPr>
              <w:spacing w:before="180"/>
              <w:ind w:left="142"/>
              <w:rPr>
                <w:color w:val="000000"/>
                <w:sz w:val="18"/>
              </w:rPr>
            </w:pPr>
            <w:r w:rsidRPr="00FB5439">
              <w:rPr>
                <w:color w:val="000000"/>
                <w:sz w:val="18"/>
              </w:rPr>
              <w:t>Class:</w:t>
            </w:r>
          </w:p>
        </w:tc>
        <w:tc>
          <w:tcPr>
            <w:tcW w:w="816" w:type="pct"/>
            <w:tcBorders>
              <w:left w:val="nil"/>
            </w:tcBorders>
            <w:vAlign w:val="center"/>
          </w:tcPr>
          <w:p w14:paraId="6184BA18" w14:textId="77777777" w:rsidR="00E93F58" w:rsidRPr="00FB5439" w:rsidRDefault="00E93F58"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14:paraId="3BE40263"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29BCE5BC" w14:textId="77777777" w:rsidTr="00B23434">
        <w:tc>
          <w:tcPr>
            <w:tcW w:w="2245" w:type="pct"/>
            <w:vAlign w:val="center"/>
          </w:tcPr>
          <w:p w14:paraId="66F0B552"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3B68F483" w14:textId="77777777" w:rsidR="00E93F58" w:rsidRPr="00FB5439" w:rsidRDefault="00E93F58" w:rsidP="00070F64">
            <w:pPr>
              <w:spacing w:before="180"/>
              <w:ind w:left="142"/>
              <w:rPr>
                <w:color w:val="000000"/>
                <w:sz w:val="18"/>
              </w:rPr>
            </w:pPr>
            <w:r w:rsidRPr="00FB5439">
              <w:rPr>
                <w:color w:val="000000"/>
                <w:sz w:val="18"/>
              </w:rPr>
              <w:t>[Words]</w:t>
            </w:r>
          </w:p>
        </w:tc>
        <w:tc>
          <w:tcPr>
            <w:tcW w:w="816" w:type="pct"/>
            <w:tcBorders>
              <w:left w:val="nil"/>
            </w:tcBorders>
            <w:vAlign w:val="center"/>
          </w:tcPr>
          <w:p w14:paraId="44792ABE" w14:textId="77777777" w:rsidR="00E93F58" w:rsidRPr="00FB5439" w:rsidRDefault="00E93F58" w:rsidP="00070F64">
            <w:pPr>
              <w:spacing w:before="180"/>
              <w:ind w:left="142"/>
              <w:rPr>
                <w:color w:val="000000"/>
                <w:sz w:val="18"/>
              </w:rPr>
            </w:pPr>
            <w:r w:rsidRPr="00FB5439">
              <w:rPr>
                <w:color w:val="000000"/>
                <w:sz w:val="18"/>
              </w:rPr>
              <w:t>[Figures]</w:t>
            </w:r>
          </w:p>
        </w:tc>
        <w:tc>
          <w:tcPr>
            <w:tcW w:w="612" w:type="pct"/>
            <w:vAlign w:val="center"/>
          </w:tcPr>
          <w:p w14:paraId="77699D1A" w14:textId="77777777" w:rsidR="00E93F58" w:rsidRPr="00FB5439" w:rsidRDefault="00E93F58" w:rsidP="00070F64">
            <w:pPr>
              <w:spacing w:before="180"/>
              <w:ind w:left="142"/>
              <w:rPr>
                <w:color w:val="000000"/>
                <w:sz w:val="18"/>
              </w:rPr>
            </w:pPr>
          </w:p>
        </w:tc>
      </w:tr>
      <w:tr w:rsidR="00E93F58" w:rsidRPr="00FB5439" w14:paraId="4D4F0DA6" w14:textId="77777777" w:rsidTr="00B23434">
        <w:trPr>
          <w:cantSplit/>
        </w:trPr>
        <w:tc>
          <w:tcPr>
            <w:tcW w:w="2245" w:type="pct"/>
            <w:vAlign w:val="center"/>
          </w:tcPr>
          <w:p w14:paraId="4EC6175E" w14:textId="77777777" w:rsidR="00E93F58" w:rsidRPr="00FB5439" w:rsidRDefault="00E93F58" w:rsidP="00070F64">
            <w:pPr>
              <w:spacing w:before="180"/>
              <w:ind w:left="142"/>
              <w:rPr>
                <w:color w:val="000000"/>
                <w:sz w:val="18"/>
              </w:rPr>
            </w:pPr>
            <w:r w:rsidRPr="00FB5439">
              <w:rPr>
                <w:color w:val="000000"/>
                <w:sz w:val="18"/>
              </w:rPr>
              <w:t>Transfer identification number:</w:t>
            </w:r>
          </w:p>
          <w:p w14:paraId="207B4239" w14:textId="77777777" w:rsidR="00E93F58" w:rsidRPr="00FB5439" w:rsidRDefault="00E93F58" w:rsidP="00070F64">
            <w:pPr>
              <w:spacing w:before="180"/>
              <w:ind w:left="142"/>
              <w:rPr>
                <w:color w:val="000000"/>
                <w:sz w:val="18"/>
              </w:rPr>
            </w:pPr>
          </w:p>
          <w:p w14:paraId="33A84CB7" w14:textId="77777777" w:rsidR="00E93F58" w:rsidRPr="00FB5439" w:rsidRDefault="00E93F58" w:rsidP="00070F64">
            <w:pPr>
              <w:spacing w:before="180"/>
              <w:ind w:left="142"/>
              <w:rPr>
                <w:color w:val="000000"/>
                <w:sz w:val="18"/>
              </w:rPr>
            </w:pPr>
            <w:r w:rsidRPr="00FB5439">
              <w:rPr>
                <w:color w:val="000000"/>
                <w:sz w:val="18"/>
              </w:rPr>
              <w:t>Full name(s) of transferor(s):</w:t>
            </w:r>
          </w:p>
          <w:p w14:paraId="5A93D14F" w14:textId="77777777" w:rsidR="00E93F58" w:rsidRPr="00FB5439" w:rsidRDefault="00E93F58" w:rsidP="00070F64">
            <w:pPr>
              <w:spacing w:before="180"/>
              <w:ind w:left="142"/>
              <w:rPr>
                <w:color w:val="000000"/>
                <w:sz w:val="18"/>
              </w:rPr>
            </w:pPr>
          </w:p>
          <w:p w14:paraId="73D1B2D1" w14:textId="77777777" w:rsidR="00E93F58" w:rsidRPr="00FB5439" w:rsidRDefault="00E93F58" w:rsidP="00070F64">
            <w:pPr>
              <w:spacing w:before="180"/>
              <w:ind w:left="142"/>
              <w:rPr>
                <w:color w:val="000000"/>
                <w:sz w:val="18"/>
              </w:rPr>
            </w:pPr>
          </w:p>
          <w:p w14:paraId="4EC5E413" w14:textId="77777777" w:rsidR="00E93F58" w:rsidRPr="00FB5439" w:rsidRDefault="00E93F58" w:rsidP="00070F64">
            <w:pPr>
              <w:spacing w:before="180"/>
              <w:ind w:left="142"/>
              <w:rPr>
                <w:color w:val="000000"/>
                <w:sz w:val="18"/>
              </w:rPr>
            </w:pPr>
          </w:p>
          <w:p w14:paraId="18CB9954" w14:textId="77777777" w:rsidR="00E93F58" w:rsidRPr="00FB5439" w:rsidRDefault="00E93F58" w:rsidP="00070F64">
            <w:pPr>
              <w:spacing w:before="180"/>
              <w:ind w:left="142"/>
              <w:rPr>
                <w:color w:val="000000"/>
                <w:sz w:val="18"/>
              </w:rPr>
            </w:pPr>
          </w:p>
          <w:p w14:paraId="55C5D89F" w14:textId="77777777" w:rsidR="00E93F58" w:rsidRPr="00FB5439" w:rsidRDefault="00E93F58" w:rsidP="00070F64">
            <w:pPr>
              <w:spacing w:before="180"/>
              <w:ind w:left="142"/>
              <w:rPr>
                <w:color w:val="000000"/>
                <w:sz w:val="18"/>
              </w:rPr>
            </w:pPr>
          </w:p>
          <w:p w14:paraId="221432F1" w14:textId="77777777" w:rsidR="00E93F58" w:rsidRPr="00FB5439" w:rsidRDefault="00E93F58" w:rsidP="00070F64">
            <w:pPr>
              <w:spacing w:before="180"/>
              <w:ind w:left="142"/>
              <w:rPr>
                <w:color w:val="000000"/>
                <w:sz w:val="18"/>
              </w:rPr>
            </w:pPr>
          </w:p>
        </w:tc>
        <w:tc>
          <w:tcPr>
            <w:tcW w:w="2755" w:type="pct"/>
            <w:gridSpan w:val="4"/>
            <w:vAlign w:val="center"/>
          </w:tcPr>
          <w:p w14:paraId="7BF2FF98" w14:textId="77777777" w:rsidR="00E93F58" w:rsidRPr="00FB5439" w:rsidRDefault="00E93F58" w:rsidP="00070F64">
            <w:pPr>
              <w:spacing w:before="180"/>
              <w:ind w:left="142"/>
              <w:rPr>
                <w:color w:val="000000"/>
                <w:sz w:val="18"/>
              </w:rPr>
            </w:pPr>
            <w:r w:rsidRPr="00FB5439">
              <w:rPr>
                <w:color w:val="000000"/>
                <w:sz w:val="18"/>
              </w:rPr>
              <w:t>Transferor’s broker hereby certifies:</w:t>
            </w:r>
          </w:p>
          <w:p w14:paraId="34446554"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Security Transfer Form relating to the Division 3 assets set out above has been or will be lodged at the company’s office; and</w:t>
            </w:r>
          </w:p>
          <w:p w14:paraId="3EF00BC7"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1A0096FB" w14:textId="77777777" w:rsidR="00E93F58" w:rsidRPr="00FB5439" w:rsidRDefault="00E93F58" w:rsidP="00070F64">
            <w:pPr>
              <w:spacing w:before="180"/>
              <w:ind w:left="142"/>
              <w:rPr>
                <w:color w:val="000000"/>
                <w:sz w:val="18"/>
              </w:rPr>
            </w:pPr>
            <w:r w:rsidRPr="00FB5439">
              <w:rPr>
                <w:color w:val="000000"/>
                <w:sz w:val="18"/>
              </w:rPr>
              <w:t>[Transferor’s broker’s stamp]</w:t>
            </w:r>
          </w:p>
          <w:p w14:paraId="23ACCBD0" w14:textId="77777777" w:rsidR="00E93F58" w:rsidRPr="00FB5439" w:rsidRDefault="00E93F58" w:rsidP="00070F64">
            <w:pPr>
              <w:spacing w:before="180"/>
              <w:ind w:left="142"/>
              <w:rPr>
                <w:color w:val="000000"/>
                <w:sz w:val="18"/>
              </w:rPr>
            </w:pPr>
            <w:r w:rsidRPr="00FB5439">
              <w:rPr>
                <w:color w:val="000000"/>
                <w:sz w:val="18"/>
              </w:rPr>
              <w:t xml:space="preserve">Affixed at </w:t>
            </w:r>
          </w:p>
          <w:p w14:paraId="3713BFFB" w14:textId="77777777" w:rsidR="00E93F58" w:rsidRPr="00FB5439" w:rsidRDefault="00E93F58" w:rsidP="00070F64">
            <w:pPr>
              <w:spacing w:before="180"/>
              <w:ind w:left="142"/>
              <w:rPr>
                <w:color w:val="000000"/>
                <w:sz w:val="18"/>
              </w:rPr>
            </w:pPr>
            <w:r w:rsidRPr="00FB5439">
              <w:rPr>
                <w:color w:val="000000"/>
                <w:sz w:val="18"/>
              </w:rPr>
              <w:t xml:space="preserve">on </w:t>
            </w:r>
          </w:p>
          <w:p w14:paraId="0BB8DCB9" w14:textId="77777777" w:rsidR="00E93F58" w:rsidRPr="00FB5439" w:rsidRDefault="00E93F58" w:rsidP="00070F64">
            <w:pPr>
              <w:spacing w:before="180"/>
              <w:ind w:left="142"/>
              <w:rPr>
                <w:color w:val="000000"/>
                <w:sz w:val="18"/>
              </w:rPr>
            </w:pPr>
            <w:r w:rsidRPr="00FB5439">
              <w:rPr>
                <w:color w:val="000000"/>
                <w:sz w:val="18"/>
              </w:rPr>
              <w:t>(place and date of affixing stamp)</w:t>
            </w:r>
          </w:p>
          <w:p w14:paraId="4DF86532" w14:textId="77777777" w:rsidR="00E93F58" w:rsidRPr="00FB5439" w:rsidRDefault="00E93F58" w:rsidP="00070F64">
            <w:pPr>
              <w:ind w:left="142"/>
              <w:rPr>
                <w:color w:val="000000"/>
                <w:sz w:val="18"/>
              </w:rPr>
            </w:pPr>
            <w:r w:rsidRPr="00FB5439">
              <w:rPr>
                <w:color w:val="000000"/>
              </w:rPr>
              <w:t xml:space="preserve"> </w:t>
            </w:r>
          </w:p>
        </w:tc>
      </w:tr>
      <w:tr w:rsidR="00E93F58" w:rsidRPr="00FB5439" w14:paraId="5C0F9D4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6CCB7504" w14:textId="77777777" w:rsidR="00E93F58" w:rsidRPr="00FB5439" w:rsidRDefault="00E93F58" w:rsidP="00070F64">
            <w:pPr>
              <w:spacing w:before="180"/>
              <w:jc w:val="center"/>
              <w:rPr>
                <w:color w:val="000000"/>
                <w:sz w:val="18"/>
              </w:rPr>
            </w:pPr>
            <w:r>
              <w:rPr>
                <w:color w:val="000000"/>
                <w:sz w:val="18"/>
              </w:rPr>
              <w:t>PART 2</w:t>
            </w:r>
          </w:p>
          <w:p w14:paraId="545500E1" w14:textId="77777777" w:rsidR="00E93F58" w:rsidRPr="00FB5439" w:rsidRDefault="00E93F58" w:rsidP="00070F64">
            <w:pPr>
              <w:spacing w:before="60"/>
              <w:jc w:val="center"/>
              <w:rPr>
                <w:color w:val="000000"/>
                <w:sz w:val="18"/>
              </w:rPr>
            </w:pPr>
          </w:p>
        </w:tc>
      </w:tr>
      <w:tr w:rsidR="00E93F58" w:rsidRPr="00FB5439" w14:paraId="2A248EFA" w14:textId="77777777" w:rsidTr="00B23434">
        <w:trPr>
          <w:cantSplit/>
        </w:trPr>
        <w:tc>
          <w:tcPr>
            <w:tcW w:w="2245" w:type="pct"/>
            <w:vAlign w:val="center"/>
          </w:tcPr>
          <w:p w14:paraId="5E111843" w14:textId="77777777" w:rsidR="00E93F58" w:rsidRPr="00FB5439" w:rsidRDefault="00E93F58" w:rsidP="00070F64">
            <w:pPr>
              <w:spacing w:before="180"/>
              <w:ind w:left="142"/>
              <w:rPr>
                <w:color w:val="000000"/>
                <w:sz w:val="18"/>
              </w:rPr>
            </w:pPr>
            <w:r w:rsidRPr="00FB5439">
              <w:rPr>
                <w:color w:val="000000"/>
                <w:sz w:val="18"/>
              </w:rPr>
              <w:t>Full name(s) and address(es) of transferee(s):</w:t>
            </w:r>
          </w:p>
          <w:p w14:paraId="50DCA505" w14:textId="77777777" w:rsidR="00E93F58" w:rsidRPr="00FB5439" w:rsidRDefault="00E93F58" w:rsidP="00070F64">
            <w:pPr>
              <w:spacing w:before="180"/>
              <w:ind w:left="142"/>
              <w:rPr>
                <w:color w:val="000000"/>
                <w:sz w:val="18"/>
              </w:rPr>
            </w:pPr>
          </w:p>
          <w:p w14:paraId="3BB3931F" w14:textId="77777777" w:rsidR="00E93F58" w:rsidRPr="00FB5439" w:rsidRDefault="00E93F58" w:rsidP="00070F64">
            <w:pPr>
              <w:spacing w:before="180"/>
              <w:ind w:left="142"/>
              <w:rPr>
                <w:color w:val="000000"/>
                <w:sz w:val="18"/>
              </w:rPr>
            </w:pPr>
          </w:p>
          <w:p w14:paraId="731FF216" w14:textId="77777777" w:rsidR="00E93F58" w:rsidRPr="00FB5439" w:rsidRDefault="00E93F58" w:rsidP="00070F64">
            <w:pPr>
              <w:spacing w:before="180"/>
              <w:ind w:left="142"/>
              <w:rPr>
                <w:color w:val="000000"/>
                <w:sz w:val="18"/>
              </w:rPr>
            </w:pPr>
          </w:p>
          <w:p w14:paraId="2B97306D" w14:textId="77777777" w:rsidR="00E93F58" w:rsidRPr="00FB5439" w:rsidRDefault="00E93F58" w:rsidP="00070F64">
            <w:pPr>
              <w:spacing w:before="180"/>
              <w:ind w:left="142"/>
              <w:rPr>
                <w:color w:val="000000"/>
                <w:sz w:val="18"/>
              </w:rPr>
            </w:pPr>
          </w:p>
          <w:p w14:paraId="622997F1" w14:textId="77777777" w:rsidR="00E93F58" w:rsidRPr="00FB5439" w:rsidRDefault="00E93F58" w:rsidP="00070F64">
            <w:pPr>
              <w:spacing w:before="180"/>
              <w:ind w:left="142"/>
              <w:rPr>
                <w:color w:val="000000"/>
                <w:sz w:val="18"/>
              </w:rPr>
            </w:pPr>
          </w:p>
          <w:p w14:paraId="70B6EA4A" w14:textId="77777777" w:rsidR="00E93F58" w:rsidRPr="00FB5439" w:rsidRDefault="00E93F58" w:rsidP="00070F64">
            <w:pPr>
              <w:spacing w:before="180"/>
              <w:ind w:left="142"/>
              <w:rPr>
                <w:color w:val="000000"/>
                <w:sz w:val="18"/>
              </w:rPr>
            </w:pPr>
          </w:p>
          <w:p w14:paraId="34470EBF" w14:textId="77777777" w:rsidR="00E93F58" w:rsidRPr="00FB5439" w:rsidRDefault="00E93F58" w:rsidP="00070F64">
            <w:pPr>
              <w:spacing w:before="180"/>
              <w:ind w:left="142"/>
              <w:rPr>
                <w:color w:val="000000"/>
                <w:sz w:val="18"/>
              </w:rPr>
            </w:pPr>
          </w:p>
        </w:tc>
        <w:tc>
          <w:tcPr>
            <w:tcW w:w="2755" w:type="pct"/>
            <w:gridSpan w:val="4"/>
            <w:vAlign w:val="center"/>
          </w:tcPr>
          <w:p w14:paraId="250D8497"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12A4481C"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assets set out in Part 1 above, having been purchased in the ordinary course of business, are to be registered in the name(s) of the transferee(s) named in this Part; and</w:t>
            </w:r>
          </w:p>
          <w:p w14:paraId="436F16F0"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17CFDAF1" w14:textId="77777777" w:rsidR="00E93F58" w:rsidRPr="00FB5439" w:rsidRDefault="00E93F58"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14:paraId="1C0F1CA8" w14:textId="77777777" w:rsidR="00E93F58" w:rsidRPr="00FB5439" w:rsidRDefault="00E93F58" w:rsidP="00070F64">
            <w:pPr>
              <w:spacing w:before="180"/>
              <w:ind w:left="142"/>
              <w:rPr>
                <w:color w:val="000000"/>
                <w:sz w:val="18"/>
              </w:rPr>
            </w:pPr>
            <w:r w:rsidRPr="00FB5439">
              <w:rPr>
                <w:color w:val="000000"/>
                <w:sz w:val="18"/>
              </w:rPr>
              <w:t>[Transferee’s broker’s stamp]</w:t>
            </w:r>
          </w:p>
          <w:p w14:paraId="0ACB08FD" w14:textId="77777777" w:rsidR="00E93F58" w:rsidRPr="00FB5439" w:rsidRDefault="00E93F58" w:rsidP="00070F64">
            <w:pPr>
              <w:spacing w:before="180"/>
              <w:ind w:left="142"/>
              <w:rPr>
                <w:color w:val="000000"/>
                <w:sz w:val="18"/>
              </w:rPr>
            </w:pPr>
            <w:r w:rsidRPr="00FB5439">
              <w:rPr>
                <w:color w:val="000000"/>
                <w:sz w:val="18"/>
              </w:rPr>
              <w:t>Date of affixing stamp:</w:t>
            </w:r>
          </w:p>
        </w:tc>
      </w:tr>
      <w:tr w:rsidR="00E93F58" w:rsidRPr="00FB5439" w14:paraId="6BDA487C"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578DE815" w14:textId="77777777" w:rsidR="00E93F58" w:rsidRPr="00FB5439" w:rsidRDefault="00E93F58" w:rsidP="00D00422">
            <w:pPr>
              <w:keepNext/>
              <w:keepLines/>
              <w:spacing w:before="180"/>
              <w:jc w:val="center"/>
              <w:rPr>
                <w:color w:val="000000"/>
                <w:sz w:val="18"/>
              </w:rPr>
            </w:pPr>
            <w:r>
              <w:rPr>
                <w:color w:val="000000"/>
                <w:sz w:val="18"/>
              </w:rPr>
              <w:t>PART 3</w:t>
            </w:r>
          </w:p>
          <w:p w14:paraId="7A0D509B" w14:textId="77777777" w:rsidR="00E93F58" w:rsidRPr="00FB5439" w:rsidRDefault="00E93F58" w:rsidP="00070F64">
            <w:pPr>
              <w:spacing w:before="60"/>
              <w:jc w:val="center"/>
              <w:rPr>
                <w:color w:val="000000"/>
                <w:sz w:val="18"/>
              </w:rPr>
            </w:pPr>
          </w:p>
        </w:tc>
      </w:tr>
      <w:tr w:rsidR="00E93F58" w:rsidRPr="00FB5439" w14:paraId="2A15BD23" w14:textId="77777777" w:rsidTr="00B23434">
        <w:trPr>
          <w:cantSplit/>
        </w:trPr>
        <w:tc>
          <w:tcPr>
            <w:tcW w:w="5000" w:type="pct"/>
            <w:gridSpan w:val="5"/>
            <w:vAlign w:val="center"/>
          </w:tcPr>
          <w:p w14:paraId="301BB8C1"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328B99C2"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assets set out in Part 1 above, having been purchased in the ordinary course of business, are to be registered in the name(s) of the transferee(s) named in the Consolidated Transfer Form relating to the assets; and</w:t>
            </w:r>
          </w:p>
          <w:p w14:paraId="3096728E"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16B58B94" w14:textId="77777777" w:rsidR="00E93F58" w:rsidRPr="00FB5439" w:rsidRDefault="00E93F58"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14:paraId="4DB86603" w14:textId="77777777" w:rsidR="00E93F58" w:rsidRPr="00FB5439" w:rsidRDefault="00E93F58" w:rsidP="00070F64">
            <w:pPr>
              <w:spacing w:before="180"/>
              <w:ind w:left="142"/>
              <w:rPr>
                <w:color w:val="000000"/>
                <w:sz w:val="18"/>
              </w:rPr>
            </w:pPr>
            <w:r w:rsidRPr="00FB5439">
              <w:rPr>
                <w:color w:val="000000"/>
                <w:sz w:val="18"/>
              </w:rPr>
              <w:t>[Transferee’s broker’s stamp]</w:t>
            </w:r>
          </w:p>
          <w:p w14:paraId="362E523D"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bl>
    <w:p w14:paraId="1F05AC6D" w14:textId="77777777" w:rsidR="00E93F58" w:rsidRPr="00FB5439" w:rsidRDefault="00E93F58" w:rsidP="00A80D13">
      <w:pPr>
        <w:pStyle w:val="ActHead2"/>
        <w:pageBreakBefore/>
      </w:pPr>
      <w:bookmarkStart w:id="3252" w:name="_Toc151992810"/>
      <w:bookmarkStart w:id="3253" w:name="_Toc158713413"/>
      <w:r w:rsidRPr="00FB5439">
        <w:rPr>
          <w:rStyle w:val="CharPartNo"/>
        </w:rPr>
        <w:lastRenderedPageBreak/>
        <w:t>Form 3</w:t>
      </w:r>
      <w:bookmarkEnd w:id="3252"/>
      <w:bookmarkEnd w:id="3253"/>
      <w:r w:rsidRPr="00FB5439">
        <w:rPr>
          <w:rStyle w:val="CharPartText"/>
        </w:rPr>
        <w:t xml:space="preserve"> </w:t>
      </w:r>
      <w:r w:rsidRPr="00FB5439">
        <w:t xml:space="preserve"> </w:t>
      </w:r>
    </w:p>
    <w:p w14:paraId="37B49ABA" w14:textId="77777777" w:rsidR="00E93F58" w:rsidRPr="00FB5439" w:rsidRDefault="00E93F58" w:rsidP="00070F64">
      <w:pPr>
        <w:rPr>
          <w:color w:val="000000"/>
        </w:rPr>
      </w:pPr>
    </w:p>
    <w:tbl>
      <w:tblPr>
        <w:tblW w:w="5000" w:type="pct"/>
        <w:tblCellMar>
          <w:left w:w="0" w:type="dxa"/>
          <w:right w:w="0" w:type="dxa"/>
        </w:tblCellMar>
        <w:tblLook w:val="0000" w:firstRow="0" w:lastRow="0" w:firstColumn="0" w:lastColumn="0" w:noHBand="0" w:noVBand="0"/>
      </w:tblPr>
      <w:tblGrid>
        <w:gridCol w:w="4837"/>
        <w:gridCol w:w="657"/>
        <w:gridCol w:w="2202"/>
        <w:gridCol w:w="1758"/>
        <w:gridCol w:w="1319"/>
      </w:tblGrid>
      <w:tr w:rsidR="00E93F58" w:rsidRPr="00FB5439" w14:paraId="0293836E" w14:textId="77777777" w:rsidTr="00B23434">
        <w:tc>
          <w:tcPr>
            <w:tcW w:w="2550" w:type="pct"/>
            <w:gridSpan w:val="2"/>
            <w:vAlign w:val="center"/>
          </w:tcPr>
          <w:p w14:paraId="26A0B633" w14:textId="77777777" w:rsidR="00E93F58" w:rsidRPr="00FB5439" w:rsidRDefault="00E93F58" w:rsidP="00070F64">
            <w:pPr>
              <w:spacing w:before="180"/>
              <w:jc w:val="center"/>
              <w:rPr>
                <w:color w:val="000000"/>
                <w:sz w:val="18"/>
              </w:rPr>
            </w:pPr>
            <w:r w:rsidRPr="00FB5439">
              <w:rPr>
                <w:color w:val="000000"/>
                <w:sz w:val="18"/>
              </w:rPr>
              <w:t>SPLIT TRANSFER FORM</w:t>
            </w:r>
          </w:p>
          <w:p w14:paraId="7E7A9A31" w14:textId="77777777" w:rsidR="00E93F58" w:rsidRPr="00FB5439" w:rsidRDefault="00E93F58" w:rsidP="00070F64">
            <w:pPr>
              <w:spacing w:before="60"/>
              <w:jc w:val="center"/>
              <w:rPr>
                <w:color w:val="000000"/>
                <w:sz w:val="18"/>
              </w:rPr>
            </w:pPr>
          </w:p>
        </w:tc>
        <w:tc>
          <w:tcPr>
            <w:tcW w:w="2450" w:type="pct"/>
            <w:gridSpan w:val="3"/>
            <w:vAlign w:val="center"/>
          </w:tcPr>
          <w:p w14:paraId="407A3792" w14:textId="77777777" w:rsidR="00E93F58" w:rsidRPr="00FB5439" w:rsidRDefault="00E93F58" w:rsidP="00070F64">
            <w:pPr>
              <w:spacing w:before="180"/>
              <w:jc w:val="center"/>
              <w:rPr>
                <w:color w:val="000000"/>
                <w:sz w:val="18"/>
              </w:rPr>
            </w:pPr>
            <w:r w:rsidRPr="00FB5439">
              <w:rPr>
                <w:color w:val="000000"/>
                <w:sz w:val="18"/>
              </w:rPr>
              <w:t>MARKING STAMP</w:t>
            </w:r>
          </w:p>
          <w:p w14:paraId="2BB2B9ED" w14:textId="77777777" w:rsidR="00E93F58" w:rsidRPr="00FB5439" w:rsidRDefault="00E93F58" w:rsidP="00070F64">
            <w:pPr>
              <w:spacing w:before="60"/>
              <w:jc w:val="center"/>
              <w:rPr>
                <w:color w:val="000000"/>
                <w:sz w:val="18"/>
              </w:rPr>
            </w:pPr>
          </w:p>
        </w:tc>
      </w:tr>
      <w:tr w:rsidR="00E93F58" w:rsidRPr="00FB5439" w14:paraId="5EF5D76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7025CDA1" w14:textId="77777777" w:rsidR="00E93F58" w:rsidRPr="00FB5439" w:rsidRDefault="00E93F58" w:rsidP="00070F64">
            <w:pPr>
              <w:spacing w:before="180"/>
              <w:jc w:val="center"/>
              <w:rPr>
                <w:color w:val="000000"/>
                <w:sz w:val="18"/>
              </w:rPr>
            </w:pPr>
            <w:r>
              <w:rPr>
                <w:color w:val="000000"/>
                <w:sz w:val="18"/>
              </w:rPr>
              <w:t>PART 1</w:t>
            </w:r>
          </w:p>
          <w:p w14:paraId="754E7BF2" w14:textId="77777777" w:rsidR="00E93F58" w:rsidRPr="00FB5439" w:rsidRDefault="00E93F58" w:rsidP="00070F64">
            <w:pPr>
              <w:spacing w:before="60"/>
              <w:jc w:val="center"/>
              <w:rPr>
                <w:color w:val="000000"/>
                <w:sz w:val="18"/>
              </w:rPr>
            </w:pPr>
          </w:p>
        </w:tc>
      </w:tr>
      <w:tr w:rsidR="00E93F58" w:rsidRPr="00FB5439" w14:paraId="110D69C2"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18550780"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65903379" w14:textId="77777777" w:rsidTr="00B23434">
        <w:tc>
          <w:tcPr>
            <w:tcW w:w="2245" w:type="pct"/>
            <w:vAlign w:val="center"/>
          </w:tcPr>
          <w:p w14:paraId="4A9EEA0E" w14:textId="77777777" w:rsidR="00E93F58" w:rsidRPr="00FB5439" w:rsidRDefault="00E93F58" w:rsidP="00070F64">
            <w:pPr>
              <w:spacing w:before="180"/>
              <w:ind w:left="142"/>
              <w:rPr>
                <w:color w:val="000000"/>
                <w:sz w:val="18"/>
              </w:rPr>
            </w:pPr>
            <w:r w:rsidRPr="00FB5439">
              <w:rPr>
                <w:color w:val="000000"/>
                <w:sz w:val="18"/>
              </w:rPr>
              <w:t xml:space="preserve">Description of Division 3 assets: </w:t>
            </w:r>
          </w:p>
        </w:tc>
        <w:tc>
          <w:tcPr>
            <w:tcW w:w="1327" w:type="pct"/>
            <w:gridSpan w:val="2"/>
            <w:vAlign w:val="center"/>
          </w:tcPr>
          <w:p w14:paraId="4D85E5DD" w14:textId="77777777" w:rsidR="00E93F58" w:rsidRPr="00FB5439" w:rsidRDefault="00E93F58" w:rsidP="00070F64">
            <w:pPr>
              <w:spacing w:before="180"/>
              <w:ind w:left="142"/>
              <w:rPr>
                <w:color w:val="000000"/>
                <w:sz w:val="18"/>
              </w:rPr>
            </w:pPr>
            <w:r w:rsidRPr="00FB5439">
              <w:rPr>
                <w:color w:val="000000"/>
                <w:sz w:val="18"/>
              </w:rPr>
              <w:t>Class:</w:t>
            </w:r>
          </w:p>
        </w:tc>
        <w:tc>
          <w:tcPr>
            <w:tcW w:w="816" w:type="pct"/>
            <w:tcBorders>
              <w:left w:val="nil"/>
            </w:tcBorders>
            <w:vAlign w:val="center"/>
          </w:tcPr>
          <w:p w14:paraId="24D033C4" w14:textId="77777777" w:rsidR="00E93F58" w:rsidRPr="00FB5439" w:rsidRDefault="00E93F58"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14:paraId="625EAFEE"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6E66581C" w14:textId="77777777" w:rsidTr="00B23434">
        <w:tc>
          <w:tcPr>
            <w:tcW w:w="2245" w:type="pct"/>
            <w:vAlign w:val="center"/>
          </w:tcPr>
          <w:p w14:paraId="68138604"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50093838" w14:textId="77777777" w:rsidR="00E93F58" w:rsidRPr="00FB5439" w:rsidRDefault="00E93F58" w:rsidP="00070F64">
            <w:pPr>
              <w:spacing w:before="180"/>
              <w:ind w:left="142"/>
              <w:rPr>
                <w:color w:val="000000"/>
                <w:sz w:val="18"/>
              </w:rPr>
            </w:pPr>
            <w:r w:rsidRPr="00FB5439">
              <w:rPr>
                <w:color w:val="000000"/>
                <w:sz w:val="18"/>
              </w:rPr>
              <w:t>[Words]</w:t>
            </w:r>
          </w:p>
        </w:tc>
        <w:tc>
          <w:tcPr>
            <w:tcW w:w="816" w:type="pct"/>
            <w:tcBorders>
              <w:left w:val="nil"/>
            </w:tcBorders>
            <w:vAlign w:val="center"/>
          </w:tcPr>
          <w:p w14:paraId="0CBEA459" w14:textId="77777777" w:rsidR="00E93F58" w:rsidRPr="00FB5439" w:rsidRDefault="00E93F58" w:rsidP="00070F64">
            <w:pPr>
              <w:spacing w:before="180"/>
              <w:ind w:left="142"/>
              <w:rPr>
                <w:color w:val="000000"/>
                <w:sz w:val="18"/>
              </w:rPr>
            </w:pPr>
            <w:r w:rsidRPr="00FB5439">
              <w:rPr>
                <w:color w:val="000000"/>
                <w:sz w:val="18"/>
              </w:rPr>
              <w:t>[Figures]</w:t>
            </w:r>
          </w:p>
        </w:tc>
        <w:tc>
          <w:tcPr>
            <w:tcW w:w="612" w:type="pct"/>
            <w:vAlign w:val="center"/>
          </w:tcPr>
          <w:p w14:paraId="08B3A24F" w14:textId="77777777" w:rsidR="00E93F58" w:rsidRPr="00FB5439" w:rsidRDefault="00E93F58" w:rsidP="00070F64">
            <w:pPr>
              <w:spacing w:before="180"/>
              <w:ind w:left="142"/>
              <w:rPr>
                <w:color w:val="000000"/>
                <w:sz w:val="18"/>
              </w:rPr>
            </w:pPr>
          </w:p>
        </w:tc>
      </w:tr>
      <w:tr w:rsidR="00E93F58" w:rsidRPr="00FB5439" w14:paraId="56D797FD" w14:textId="77777777" w:rsidTr="00B23434">
        <w:trPr>
          <w:cantSplit/>
        </w:trPr>
        <w:tc>
          <w:tcPr>
            <w:tcW w:w="2245" w:type="pct"/>
            <w:vAlign w:val="center"/>
          </w:tcPr>
          <w:p w14:paraId="674F18D7" w14:textId="77777777" w:rsidR="00E93F58" w:rsidRPr="00FB5439" w:rsidRDefault="00E93F58" w:rsidP="00070F64">
            <w:pPr>
              <w:spacing w:before="180"/>
              <w:ind w:left="142"/>
              <w:rPr>
                <w:color w:val="000000"/>
                <w:sz w:val="18"/>
              </w:rPr>
            </w:pPr>
            <w:r w:rsidRPr="00FB5439">
              <w:rPr>
                <w:color w:val="000000"/>
                <w:sz w:val="18"/>
              </w:rPr>
              <w:t>Transfer identification number:</w:t>
            </w:r>
          </w:p>
          <w:p w14:paraId="6078D4E2" w14:textId="77777777" w:rsidR="00E93F58" w:rsidRPr="00FB5439" w:rsidRDefault="00E93F58" w:rsidP="00070F64">
            <w:pPr>
              <w:spacing w:before="180"/>
              <w:ind w:left="142"/>
              <w:rPr>
                <w:color w:val="000000"/>
                <w:sz w:val="18"/>
              </w:rPr>
            </w:pPr>
          </w:p>
          <w:p w14:paraId="168BC7B5" w14:textId="77777777" w:rsidR="00E93F58" w:rsidRPr="00FB5439" w:rsidRDefault="00E93F58" w:rsidP="00070F64">
            <w:pPr>
              <w:spacing w:before="180"/>
              <w:ind w:left="142"/>
              <w:rPr>
                <w:color w:val="000000"/>
                <w:sz w:val="18"/>
              </w:rPr>
            </w:pPr>
            <w:r w:rsidRPr="00FB5439">
              <w:rPr>
                <w:color w:val="000000"/>
                <w:sz w:val="18"/>
              </w:rPr>
              <w:t>Full name(s) of transferor(s):</w:t>
            </w:r>
          </w:p>
          <w:p w14:paraId="0B7929EC" w14:textId="77777777" w:rsidR="00E93F58" w:rsidRPr="00FB5439" w:rsidRDefault="00E93F58" w:rsidP="00070F64">
            <w:pPr>
              <w:spacing w:before="180"/>
              <w:ind w:left="142"/>
              <w:rPr>
                <w:color w:val="000000"/>
                <w:sz w:val="18"/>
              </w:rPr>
            </w:pPr>
          </w:p>
          <w:p w14:paraId="4249FAEE" w14:textId="77777777" w:rsidR="00E93F58" w:rsidRPr="00FB5439" w:rsidRDefault="00E93F58" w:rsidP="00070F64">
            <w:pPr>
              <w:spacing w:before="180"/>
              <w:ind w:left="142"/>
              <w:rPr>
                <w:color w:val="000000"/>
                <w:sz w:val="18"/>
              </w:rPr>
            </w:pPr>
          </w:p>
          <w:p w14:paraId="2B2C5F25" w14:textId="77777777" w:rsidR="00E93F58" w:rsidRPr="00FB5439" w:rsidRDefault="00E93F58" w:rsidP="00070F64">
            <w:pPr>
              <w:spacing w:before="180"/>
              <w:ind w:left="142"/>
              <w:rPr>
                <w:color w:val="000000"/>
                <w:sz w:val="18"/>
              </w:rPr>
            </w:pPr>
          </w:p>
        </w:tc>
        <w:tc>
          <w:tcPr>
            <w:tcW w:w="2755" w:type="pct"/>
            <w:gridSpan w:val="4"/>
            <w:vAlign w:val="center"/>
          </w:tcPr>
          <w:p w14:paraId="604ACA62" w14:textId="77777777" w:rsidR="00E93F58" w:rsidRPr="00FB5439" w:rsidRDefault="00E93F58" w:rsidP="00070F64">
            <w:pPr>
              <w:spacing w:before="180"/>
              <w:ind w:left="142"/>
              <w:rPr>
                <w:color w:val="000000"/>
                <w:sz w:val="18"/>
              </w:rPr>
            </w:pPr>
            <w:r w:rsidRPr="00FB5439">
              <w:rPr>
                <w:color w:val="000000"/>
                <w:sz w:val="18"/>
              </w:rPr>
              <w:t>The [name of market licensee] hereby certifies that the Security Transfer Form or the Broker’s Transfer Form relating to the Division 3 assets set out above has been or will be lodged at the company’s office.</w:t>
            </w:r>
          </w:p>
          <w:p w14:paraId="3042F76E" w14:textId="77777777" w:rsidR="00E93F58" w:rsidRPr="00FB5439" w:rsidRDefault="00E93F58" w:rsidP="00070F64">
            <w:pPr>
              <w:spacing w:before="180"/>
              <w:ind w:left="142"/>
              <w:rPr>
                <w:color w:val="000000"/>
                <w:sz w:val="18"/>
              </w:rPr>
            </w:pPr>
            <w:r w:rsidRPr="00FB5439">
              <w:rPr>
                <w:color w:val="000000"/>
                <w:sz w:val="18"/>
              </w:rPr>
              <w:t>[Market licensee stamp]</w:t>
            </w:r>
          </w:p>
          <w:p w14:paraId="141B0B09" w14:textId="77777777" w:rsidR="00E93F58" w:rsidRPr="00FB5439" w:rsidRDefault="00E93F58" w:rsidP="00070F64">
            <w:pPr>
              <w:spacing w:before="180"/>
              <w:ind w:left="142"/>
              <w:rPr>
                <w:color w:val="000000"/>
                <w:sz w:val="18"/>
              </w:rPr>
            </w:pPr>
            <w:r w:rsidRPr="00FB5439">
              <w:rPr>
                <w:color w:val="000000"/>
                <w:sz w:val="18"/>
              </w:rPr>
              <w:t xml:space="preserve">Affixed at </w:t>
            </w:r>
          </w:p>
          <w:p w14:paraId="6C83041A" w14:textId="77777777" w:rsidR="00E93F58" w:rsidRPr="00FB5439" w:rsidRDefault="00E93F58" w:rsidP="00070F64">
            <w:pPr>
              <w:spacing w:before="180"/>
              <w:ind w:left="142"/>
              <w:rPr>
                <w:color w:val="000000"/>
                <w:sz w:val="18"/>
              </w:rPr>
            </w:pPr>
            <w:r w:rsidRPr="00FB5439">
              <w:rPr>
                <w:color w:val="000000"/>
                <w:sz w:val="18"/>
              </w:rPr>
              <w:t xml:space="preserve">on </w:t>
            </w:r>
          </w:p>
          <w:p w14:paraId="79413D3F" w14:textId="77777777" w:rsidR="00E93F58" w:rsidRPr="00FB5439" w:rsidRDefault="00E93F58" w:rsidP="00070F64">
            <w:pPr>
              <w:spacing w:before="180"/>
              <w:ind w:left="142"/>
              <w:rPr>
                <w:color w:val="000000"/>
                <w:sz w:val="18"/>
              </w:rPr>
            </w:pPr>
            <w:r w:rsidRPr="00FB5439">
              <w:rPr>
                <w:color w:val="000000"/>
                <w:sz w:val="18"/>
              </w:rPr>
              <w:t>(place and date of affixing stamp)</w:t>
            </w:r>
          </w:p>
        </w:tc>
      </w:tr>
      <w:tr w:rsidR="00E93F58" w:rsidRPr="00FB5439" w14:paraId="1FA7DA4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27EEB9BA" w14:textId="77777777" w:rsidR="00E93F58" w:rsidRPr="00FB5439" w:rsidRDefault="00E93F58" w:rsidP="004304A2">
            <w:pPr>
              <w:keepNext/>
              <w:keepLines/>
              <w:spacing w:before="180"/>
              <w:jc w:val="center"/>
              <w:rPr>
                <w:color w:val="000000"/>
                <w:sz w:val="18"/>
              </w:rPr>
            </w:pPr>
            <w:r>
              <w:rPr>
                <w:color w:val="000000"/>
                <w:sz w:val="18"/>
              </w:rPr>
              <w:t>PART 2</w:t>
            </w:r>
          </w:p>
          <w:p w14:paraId="0C57CEDE" w14:textId="77777777" w:rsidR="00E93F58" w:rsidRPr="00FB5439" w:rsidRDefault="00E93F58" w:rsidP="004304A2">
            <w:pPr>
              <w:keepNext/>
              <w:keepLines/>
              <w:spacing w:before="60"/>
              <w:jc w:val="center"/>
              <w:rPr>
                <w:color w:val="000000"/>
                <w:sz w:val="18"/>
              </w:rPr>
            </w:pPr>
          </w:p>
        </w:tc>
      </w:tr>
      <w:tr w:rsidR="00E93F58" w:rsidRPr="00FB5439" w14:paraId="63DA4A18" w14:textId="77777777" w:rsidTr="00B23434">
        <w:trPr>
          <w:cantSplit/>
        </w:trPr>
        <w:tc>
          <w:tcPr>
            <w:tcW w:w="2245" w:type="pct"/>
            <w:vAlign w:val="center"/>
          </w:tcPr>
          <w:p w14:paraId="056D1E5A" w14:textId="77777777" w:rsidR="00E93F58" w:rsidRPr="00FB5439" w:rsidRDefault="00E93F58" w:rsidP="00070F64">
            <w:pPr>
              <w:spacing w:before="180"/>
              <w:ind w:left="142"/>
              <w:rPr>
                <w:color w:val="000000"/>
                <w:sz w:val="18"/>
              </w:rPr>
            </w:pPr>
            <w:r w:rsidRPr="00FB5439">
              <w:rPr>
                <w:color w:val="000000"/>
                <w:sz w:val="18"/>
              </w:rPr>
              <w:t xml:space="preserve">Full name(s) and address(es) of transferee(s) </w:t>
            </w:r>
          </w:p>
        </w:tc>
        <w:tc>
          <w:tcPr>
            <w:tcW w:w="2755" w:type="pct"/>
            <w:gridSpan w:val="4"/>
            <w:vAlign w:val="center"/>
          </w:tcPr>
          <w:p w14:paraId="46320649"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08280314"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assets set out in Part 1 above, having been purchased in the ordinary course of business, are to be registered in the name(s) of the transferee(s) named in this Part; and</w:t>
            </w:r>
          </w:p>
          <w:p w14:paraId="020AC09B"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718B9F78" w14:textId="77777777" w:rsidR="00E93F58" w:rsidRPr="00FB5439" w:rsidRDefault="00E93F58"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14:paraId="1471C266" w14:textId="77777777" w:rsidR="00E93F58" w:rsidRPr="00FB5439" w:rsidRDefault="00E93F58" w:rsidP="00070F64">
            <w:pPr>
              <w:spacing w:before="180"/>
              <w:ind w:left="142"/>
              <w:rPr>
                <w:color w:val="000000"/>
                <w:sz w:val="18"/>
              </w:rPr>
            </w:pPr>
            <w:r w:rsidRPr="00FB5439">
              <w:rPr>
                <w:color w:val="000000"/>
                <w:sz w:val="18"/>
              </w:rPr>
              <w:t>[Transferee’s broker’s stamp]</w:t>
            </w:r>
          </w:p>
          <w:p w14:paraId="6B3B7A93" w14:textId="77777777" w:rsidR="00E93F58" w:rsidRPr="00FB5439" w:rsidRDefault="00E93F58" w:rsidP="00070F64">
            <w:pPr>
              <w:spacing w:before="180"/>
              <w:ind w:left="142"/>
              <w:rPr>
                <w:color w:val="000000"/>
                <w:sz w:val="18"/>
              </w:rPr>
            </w:pPr>
            <w:r w:rsidRPr="00FB5439">
              <w:rPr>
                <w:color w:val="000000"/>
                <w:sz w:val="18"/>
              </w:rPr>
              <w:t>Date of affixing stamp:</w:t>
            </w:r>
          </w:p>
        </w:tc>
      </w:tr>
      <w:tr w:rsidR="00E93F58" w:rsidRPr="00FB5439" w14:paraId="537E39A7" w14:textId="77777777" w:rsidTr="00D00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000" w:type="pct"/>
            <w:gridSpan w:val="5"/>
            <w:tcBorders>
              <w:top w:val="nil"/>
              <w:left w:val="nil"/>
              <w:bottom w:val="nil"/>
              <w:right w:val="nil"/>
            </w:tcBorders>
          </w:tcPr>
          <w:p w14:paraId="48595BC0" w14:textId="77777777" w:rsidR="00E93F58" w:rsidRPr="00FB5439" w:rsidRDefault="00E93F58" w:rsidP="00D00422">
            <w:pPr>
              <w:keepNext/>
              <w:keepLines/>
              <w:spacing w:before="180"/>
              <w:jc w:val="center"/>
              <w:rPr>
                <w:color w:val="000000"/>
                <w:sz w:val="18"/>
              </w:rPr>
            </w:pPr>
            <w:r>
              <w:rPr>
                <w:color w:val="000000"/>
                <w:sz w:val="18"/>
              </w:rPr>
              <w:t>PART 3</w:t>
            </w:r>
          </w:p>
          <w:p w14:paraId="2721B735" w14:textId="77777777" w:rsidR="00E93F58" w:rsidRPr="00FB5439" w:rsidRDefault="00E93F58" w:rsidP="00D00422">
            <w:pPr>
              <w:keepNext/>
              <w:spacing w:before="60"/>
              <w:jc w:val="center"/>
              <w:rPr>
                <w:color w:val="000000"/>
                <w:sz w:val="18"/>
              </w:rPr>
            </w:pPr>
          </w:p>
        </w:tc>
      </w:tr>
      <w:tr w:rsidR="00E93F58" w:rsidRPr="00FB5439" w14:paraId="62C33423" w14:textId="77777777" w:rsidTr="00D00422">
        <w:trPr>
          <w:cantSplit/>
        </w:trPr>
        <w:tc>
          <w:tcPr>
            <w:tcW w:w="5000" w:type="pct"/>
            <w:gridSpan w:val="5"/>
            <w:tcBorders>
              <w:bottom w:val="nil"/>
            </w:tcBorders>
            <w:vAlign w:val="center"/>
          </w:tcPr>
          <w:p w14:paraId="2C76ADDC" w14:textId="77777777" w:rsidR="00E93F58" w:rsidRPr="00FB5439" w:rsidRDefault="00E93F58" w:rsidP="00070F64">
            <w:pPr>
              <w:ind w:left="142"/>
              <w:rPr>
                <w:color w:val="000000"/>
                <w:sz w:val="18"/>
              </w:rPr>
            </w:pPr>
            <w:r w:rsidRPr="00FB5439">
              <w:rPr>
                <w:color w:val="000000"/>
                <w:sz w:val="18"/>
              </w:rPr>
              <w:t>Transferee’s broker hereby certifies:</w:t>
            </w:r>
          </w:p>
          <w:p w14:paraId="5FF8A3DE" w14:textId="77777777" w:rsidR="00E93F58" w:rsidRPr="00FB5439" w:rsidRDefault="00E93F58" w:rsidP="00D00422">
            <w:pPr>
              <w:keepNext/>
              <w:spacing w:before="60"/>
              <w:ind w:left="567" w:hanging="425"/>
              <w:rPr>
                <w:color w:val="000000"/>
                <w:sz w:val="18"/>
              </w:rPr>
            </w:pPr>
            <w:r w:rsidRPr="00FB5439">
              <w:rPr>
                <w:color w:val="000000"/>
                <w:sz w:val="18"/>
              </w:rPr>
              <w:t>(a)</w:t>
            </w:r>
            <w:r w:rsidRPr="00FB5439">
              <w:rPr>
                <w:color w:val="000000"/>
                <w:sz w:val="18"/>
              </w:rPr>
              <w:tab/>
              <w:t>that the Division 3 assets set out in Part 1 above, having been purchased in the ordinary course of business, are to be registered in the name(s) of the transferee(s) named in the Consolidated Transfer Form relating to the Division 3 assets; and</w:t>
            </w:r>
          </w:p>
          <w:p w14:paraId="60B35868"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5B538909" w14:textId="77777777" w:rsidR="00E93F58" w:rsidRPr="00FB5439" w:rsidRDefault="00E93F58"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14:paraId="2EBD16C1" w14:textId="77777777" w:rsidR="00E93F58" w:rsidRPr="00FB5439" w:rsidRDefault="00E93F58" w:rsidP="00070F64">
            <w:pPr>
              <w:spacing w:before="180"/>
              <w:ind w:left="142"/>
              <w:rPr>
                <w:color w:val="000000"/>
                <w:sz w:val="18"/>
              </w:rPr>
            </w:pPr>
            <w:r w:rsidRPr="00FB5439">
              <w:rPr>
                <w:color w:val="000000"/>
                <w:sz w:val="18"/>
              </w:rPr>
              <w:t xml:space="preserve">[Transferee’s broker’s stamp] </w:t>
            </w:r>
          </w:p>
          <w:p w14:paraId="271EC6F4"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bl>
    <w:p w14:paraId="75B41713" w14:textId="77777777" w:rsidR="00E93F58" w:rsidRPr="00FB5439" w:rsidRDefault="00E93F58" w:rsidP="00A80D13">
      <w:pPr>
        <w:pStyle w:val="ActHead2"/>
        <w:pageBreakBefore/>
      </w:pPr>
      <w:bookmarkStart w:id="3254" w:name="_Toc151992811"/>
      <w:bookmarkStart w:id="3255" w:name="_Toc158713414"/>
      <w:r w:rsidRPr="00FB5439">
        <w:rPr>
          <w:rStyle w:val="CharPartNo"/>
        </w:rPr>
        <w:lastRenderedPageBreak/>
        <w:t>Form 4</w:t>
      </w:r>
      <w:bookmarkEnd w:id="3254"/>
      <w:bookmarkEnd w:id="3255"/>
      <w:r w:rsidRPr="00FB5439">
        <w:rPr>
          <w:rStyle w:val="CharPartText"/>
        </w:rPr>
        <w:t xml:space="preserve"> </w:t>
      </w:r>
      <w:r w:rsidRPr="00FB5439">
        <w:t xml:space="preserve"> </w:t>
      </w:r>
    </w:p>
    <w:p w14:paraId="18E6377B" w14:textId="77777777" w:rsidR="00E93F58" w:rsidRPr="00FB5439" w:rsidRDefault="00E93F58" w:rsidP="00070F64">
      <w:pPr>
        <w:rPr>
          <w:color w:val="000000"/>
        </w:rPr>
      </w:pPr>
    </w:p>
    <w:tbl>
      <w:tblPr>
        <w:tblW w:w="5000" w:type="pct"/>
        <w:tblCellMar>
          <w:left w:w="0" w:type="dxa"/>
          <w:right w:w="0" w:type="dxa"/>
        </w:tblCellMar>
        <w:tblLook w:val="0000" w:firstRow="0" w:lastRow="0" w:firstColumn="0" w:lastColumn="0" w:noHBand="0" w:noVBand="0"/>
      </w:tblPr>
      <w:tblGrid>
        <w:gridCol w:w="4395"/>
        <w:gridCol w:w="1099"/>
        <w:gridCol w:w="2200"/>
        <w:gridCol w:w="1758"/>
        <w:gridCol w:w="1321"/>
      </w:tblGrid>
      <w:tr w:rsidR="00E93F58" w:rsidRPr="00FB5439" w14:paraId="7811C8CA" w14:textId="77777777" w:rsidTr="00B23434">
        <w:tc>
          <w:tcPr>
            <w:tcW w:w="2550" w:type="pct"/>
            <w:gridSpan w:val="2"/>
            <w:vAlign w:val="center"/>
          </w:tcPr>
          <w:p w14:paraId="52EB1BA9" w14:textId="77777777" w:rsidR="00E93F58" w:rsidRPr="00FB5439" w:rsidRDefault="00E93F58" w:rsidP="00070F64">
            <w:pPr>
              <w:spacing w:before="180"/>
              <w:jc w:val="center"/>
              <w:rPr>
                <w:color w:val="000000"/>
                <w:sz w:val="18"/>
              </w:rPr>
            </w:pPr>
            <w:r w:rsidRPr="00FB5439">
              <w:rPr>
                <w:color w:val="000000"/>
                <w:sz w:val="18"/>
              </w:rPr>
              <w:t>CONSOLIDATED TRANSFER FORM</w:t>
            </w:r>
          </w:p>
          <w:p w14:paraId="20910228" w14:textId="77777777" w:rsidR="00E93F58" w:rsidRPr="00FB5439" w:rsidRDefault="00E93F58" w:rsidP="00070F64">
            <w:pPr>
              <w:spacing w:before="60"/>
              <w:jc w:val="center"/>
              <w:rPr>
                <w:color w:val="000000"/>
                <w:sz w:val="18"/>
              </w:rPr>
            </w:pPr>
          </w:p>
        </w:tc>
        <w:tc>
          <w:tcPr>
            <w:tcW w:w="2450" w:type="pct"/>
            <w:gridSpan w:val="3"/>
            <w:vAlign w:val="center"/>
          </w:tcPr>
          <w:p w14:paraId="760C7140" w14:textId="77777777" w:rsidR="00E93F58" w:rsidRPr="00FB5439" w:rsidRDefault="00E93F58" w:rsidP="00070F64">
            <w:pPr>
              <w:spacing w:before="180"/>
              <w:jc w:val="center"/>
              <w:rPr>
                <w:color w:val="000000"/>
                <w:sz w:val="18"/>
              </w:rPr>
            </w:pPr>
            <w:r w:rsidRPr="00FB5439">
              <w:rPr>
                <w:color w:val="000000"/>
                <w:sz w:val="18"/>
              </w:rPr>
              <w:t>MARKING STAMP</w:t>
            </w:r>
          </w:p>
          <w:p w14:paraId="56619158" w14:textId="77777777" w:rsidR="00E93F58" w:rsidRPr="00FB5439" w:rsidRDefault="00E93F58" w:rsidP="00070F64">
            <w:pPr>
              <w:spacing w:before="60"/>
              <w:jc w:val="center"/>
              <w:rPr>
                <w:color w:val="000000"/>
                <w:sz w:val="18"/>
              </w:rPr>
            </w:pPr>
          </w:p>
        </w:tc>
      </w:tr>
      <w:tr w:rsidR="00E93F58" w:rsidRPr="00FB5439" w14:paraId="7D85760C"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5D50D5D5" w14:textId="77777777" w:rsidR="00E93F58" w:rsidRPr="00FB5439" w:rsidRDefault="00E93F58" w:rsidP="00070F64">
            <w:pPr>
              <w:spacing w:before="180"/>
              <w:jc w:val="center"/>
              <w:rPr>
                <w:color w:val="000000"/>
                <w:sz w:val="18"/>
              </w:rPr>
            </w:pPr>
            <w:r>
              <w:rPr>
                <w:color w:val="000000"/>
                <w:sz w:val="18"/>
              </w:rPr>
              <w:t>PART 1</w:t>
            </w:r>
          </w:p>
          <w:p w14:paraId="01282E50" w14:textId="77777777" w:rsidR="00E93F58" w:rsidRPr="00FB5439" w:rsidRDefault="00E93F58" w:rsidP="00070F64">
            <w:pPr>
              <w:spacing w:before="60"/>
              <w:jc w:val="center"/>
              <w:rPr>
                <w:color w:val="000000"/>
                <w:sz w:val="18"/>
              </w:rPr>
            </w:pPr>
          </w:p>
        </w:tc>
      </w:tr>
      <w:tr w:rsidR="00E93F58" w:rsidRPr="00FB5439" w14:paraId="3E2B9C35"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040E930A"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371D824F" w14:textId="77777777" w:rsidTr="00B23434">
        <w:tc>
          <w:tcPr>
            <w:tcW w:w="2040" w:type="pct"/>
            <w:vAlign w:val="center"/>
          </w:tcPr>
          <w:p w14:paraId="2A147239" w14:textId="77777777" w:rsidR="00E93F58" w:rsidRPr="00FB5439" w:rsidRDefault="00E93F58" w:rsidP="00070F64">
            <w:pPr>
              <w:spacing w:before="180"/>
              <w:ind w:left="142"/>
              <w:rPr>
                <w:color w:val="000000"/>
                <w:sz w:val="18"/>
              </w:rPr>
            </w:pPr>
            <w:r w:rsidRPr="00FB5439">
              <w:rPr>
                <w:color w:val="000000"/>
                <w:sz w:val="18"/>
              </w:rPr>
              <w:t xml:space="preserve">Description of Division 3 assets: </w:t>
            </w:r>
          </w:p>
        </w:tc>
        <w:tc>
          <w:tcPr>
            <w:tcW w:w="1531" w:type="pct"/>
            <w:gridSpan w:val="2"/>
            <w:vAlign w:val="center"/>
          </w:tcPr>
          <w:p w14:paraId="6D6ECDCB" w14:textId="77777777" w:rsidR="00E93F58" w:rsidRPr="00FB5439" w:rsidRDefault="00E93F58" w:rsidP="00070F64">
            <w:pPr>
              <w:spacing w:before="180"/>
              <w:ind w:left="142"/>
              <w:rPr>
                <w:color w:val="000000"/>
                <w:sz w:val="18"/>
              </w:rPr>
            </w:pPr>
            <w:r w:rsidRPr="00FB5439">
              <w:rPr>
                <w:color w:val="000000"/>
                <w:sz w:val="18"/>
              </w:rPr>
              <w:t>Class:</w:t>
            </w:r>
          </w:p>
        </w:tc>
        <w:tc>
          <w:tcPr>
            <w:tcW w:w="816" w:type="pct"/>
            <w:tcBorders>
              <w:left w:val="nil"/>
            </w:tcBorders>
            <w:vAlign w:val="center"/>
          </w:tcPr>
          <w:p w14:paraId="4ED9E3D3" w14:textId="77777777" w:rsidR="00E93F58" w:rsidRPr="00FB5439" w:rsidRDefault="00E93F58"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14:paraId="1805F1E4"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117E48DE" w14:textId="77777777" w:rsidTr="00B23434">
        <w:tc>
          <w:tcPr>
            <w:tcW w:w="2040" w:type="pct"/>
            <w:vAlign w:val="center"/>
          </w:tcPr>
          <w:p w14:paraId="021CD94F" w14:textId="77777777" w:rsidR="00E93F58" w:rsidRPr="00FB5439" w:rsidRDefault="00E93F58" w:rsidP="00070F64">
            <w:pPr>
              <w:spacing w:before="180"/>
              <w:ind w:left="142"/>
              <w:rPr>
                <w:color w:val="000000"/>
                <w:sz w:val="18"/>
              </w:rPr>
            </w:pPr>
            <w:r w:rsidRPr="00FB5439">
              <w:rPr>
                <w:color w:val="000000"/>
                <w:sz w:val="18"/>
              </w:rPr>
              <w:t>Quantity:</w:t>
            </w:r>
          </w:p>
        </w:tc>
        <w:tc>
          <w:tcPr>
            <w:tcW w:w="1531" w:type="pct"/>
            <w:gridSpan w:val="2"/>
            <w:vAlign w:val="center"/>
          </w:tcPr>
          <w:p w14:paraId="27C95F8D" w14:textId="77777777" w:rsidR="00E93F58" w:rsidRPr="00FB5439" w:rsidRDefault="00E93F58" w:rsidP="00070F64">
            <w:pPr>
              <w:spacing w:before="180"/>
              <w:ind w:left="142"/>
              <w:rPr>
                <w:color w:val="000000"/>
                <w:sz w:val="18"/>
              </w:rPr>
            </w:pPr>
            <w:r w:rsidRPr="00FB5439">
              <w:rPr>
                <w:color w:val="000000"/>
                <w:sz w:val="18"/>
              </w:rPr>
              <w:t>[Words]</w:t>
            </w:r>
          </w:p>
        </w:tc>
        <w:tc>
          <w:tcPr>
            <w:tcW w:w="816" w:type="pct"/>
            <w:tcBorders>
              <w:left w:val="nil"/>
            </w:tcBorders>
            <w:vAlign w:val="center"/>
          </w:tcPr>
          <w:p w14:paraId="7363725F" w14:textId="77777777" w:rsidR="00E93F58" w:rsidRPr="00FB5439" w:rsidRDefault="00E93F58" w:rsidP="00070F64">
            <w:pPr>
              <w:spacing w:before="180"/>
              <w:ind w:left="142"/>
              <w:rPr>
                <w:color w:val="000000"/>
                <w:sz w:val="18"/>
              </w:rPr>
            </w:pPr>
            <w:r w:rsidRPr="00FB5439">
              <w:rPr>
                <w:color w:val="000000"/>
                <w:sz w:val="18"/>
              </w:rPr>
              <w:t>[Figures]</w:t>
            </w:r>
          </w:p>
        </w:tc>
        <w:tc>
          <w:tcPr>
            <w:tcW w:w="612" w:type="pct"/>
            <w:vAlign w:val="center"/>
          </w:tcPr>
          <w:p w14:paraId="4927A8A9" w14:textId="77777777" w:rsidR="00E93F58" w:rsidRPr="00FB5439" w:rsidRDefault="00E93F58" w:rsidP="00070F64">
            <w:pPr>
              <w:spacing w:before="180"/>
              <w:ind w:left="142"/>
              <w:rPr>
                <w:color w:val="000000"/>
                <w:sz w:val="18"/>
              </w:rPr>
            </w:pPr>
          </w:p>
        </w:tc>
      </w:tr>
      <w:tr w:rsidR="00E93F58" w:rsidRPr="00FB5439" w14:paraId="7F0E0455" w14:textId="77777777" w:rsidTr="00B23434">
        <w:trPr>
          <w:cantSplit/>
        </w:trPr>
        <w:tc>
          <w:tcPr>
            <w:tcW w:w="5000" w:type="pct"/>
            <w:gridSpan w:val="5"/>
            <w:vAlign w:val="center"/>
          </w:tcPr>
          <w:p w14:paraId="34BE2E96"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t>
            </w:r>
          </w:p>
        </w:tc>
      </w:tr>
      <w:tr w:rsidR="00E93F58" w:rsidRPr="00FB5439" w14:paraId="5DE55382" w14:textId="77777777" w:rsidTr="00B23434">
        <w:trPr>
          <w:cantSplit/>
        </w:trPr>
        <w:tc>
          <w:tcPr>
            <w:tcW w:w="5000" w:type="pct"/>
            <w:gridSpan w:val="5"/>
            <w:vAlign w:val="center"/>
          </w:tcPr>
          <w:p w14:paraId="57C93AE5" w14:textId="77777777" w:rsidR="00E93F58" w:rsidRPr="00FB5439" w:rsidRDefault="00E93F58" w:rsidP="00070F64">
            <w:pPr>
              <w:spacing w:before="180"/>
              <w:ind w:left="142"/>
              <w:rPr>
                <w:color w:val="000000"/>
                <w:sz w:val="18"/>
              </w:rPr>
            </w:pPr>
            <w:r w:rsidRPr="00FB5439">
              <w:rPr>
                <w:color w:val="000000"/>
                <w:sz w:val="18"/>
              </w:rPr>
              <w:t xml:space="preserve">Transfer Consolidation Number(s): </w:t>
            </w:r>
          </w:p>
        </w:tc>
      </w:tr>
      <w:tr w:rsidR="00E93F58" w:rsidRPr="00FB5439" w14:paraId="4E5BA996"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41C186C8" w14:textId="77777777" w:rsidR="00E93F58" w:rsidRPr="00FB5439" w:rsidRDefault="00E93F58" w:rsidP="00070F64">
            <w:pPr>
              <w:spacing w:before="180"/>
              <w:jc w:val="center"/>
              <w:rPr>
                <w:color w:val="000000"/>
                <w:sz w:val="18"/>
              </w:rPr>
            </w:pPr>
            <w:r>
              <w:rPr>
                <w:color w:val="000000"/>
                <w:sz w:val="18"/>
              </w:rPr>
              <w:t>PART 2</w:t>
            </w:r>
          </w:p>
          <w:p w14:paraId="385C775B" w14:textId="77777777" w:rsidR="00E93F58" w:rsidRPr="00FB5439" w:rsidRDefault="00E93F58" w:rsidP="00070F64">
            <w:pPr>
              <w:spacing w:before="60"/>
              <w:jc w:val="center"/>
              <w:rPr>
                <w:color w:val="000000"/>
                <w:sz w:val="18"/>
              </w:rPr>
            </w:pPr>
          </w:p>
        </w:tc>
      </w:tr>
      <w:tr w:rsidR="00E93F58" w:rsidRPr="00FB5439" w14:paraId="3B2AE00F" w14:textId="77777777" w:rsidTr="00B23434">
        <w:trPr>
          <w:cantSplit/>
        </w:trPr>
        <w:tc>
          <w:tcPr>
            <w:tcW w:w="2040" w:type="pct"/>
            <w:vAlign w:val="center"/>
          </w:tcPr>
          <w:p w14:paraId="2D85BCEE" w14:textId="77777777" w:rsidR="00E93F58" w:rsidRPr="00FB5439" w:rsidRDefault="00E93F58" w:rsidP="00070F64">
            <w:pPr>
              <w:spacing w:before="180"/>
              <w:ind w:left="142"/>
              <w:rPr>
                <w:color w:val="000000"/>
                <w:sz w:val="18"/>
              </w:rPr>
            </w:pPr>
            <w:r w:rsidRPr="00FB5439">
              <w:rPr>
                <w:color w:val="000000"/>
                <w:sz w:val="18"/>
              </w:rPr>
              <w:t>Full name(s) and address(es) of transferee(s):</w:t>
            </w:r>
          </w:p>
        </w:tc>
        <w:tc>
          <w:tcPr>
            <w:tcW w:w="2960" w:type="pct"/>
            <w:gridSpan w:val="4"/>
            <w:vAlign w:val="center"/>
          </w:tcPr>
          <w:p w14:paraId="7EADBD57"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6A45AC5D"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assets set out in Part 1 of the Form(s) whose Transfer Consolidation Number(s) is (or are) set out in Part 1 above, having been purchased in the ordinary course of business, are to be registered in the name(s) of the transferee(s) named in this Part; and</w:t>
            </w:r>
          </w:p>
          <w:p w14:paraId="0DF24C12"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235D11AD" w14:textId="77777777" w:rsidR="00E93F58" w:rsidRPr="00FB5439" w:rsidRDefault="00E93F58" w:rsidP="00070F64">
            <w:pPr>
              <w:spacing w:before="60"/>
              <w:ind w:left="142"/>
              <w:rPr>
                <w:color w:val="000000"/>
                <w:sz w:val="18"/>
              </w:rPr>
            </w:pPr>
            <w:r w:rsidRPr="00FB5439">
              <w:rPr>
                <w:color w:val="000000"/>
                <w:sz w:val="18"/>
              </w:rPr>
              <w:t>and hereby requests that such entries be made in the register as are necessary to give effect to the transfer(s).</w:t>
            </w:r>
          </w:p>
          <w:p w14:paraId="447BEA19" w14:textId="77777777" w:rsidR="00E93F58" w:rsidRPr="00FB5439" w:rsidRDefault="00E93F58" w:rsidP="00070F64">
            <w:pPr>
              <w:spacing w:before="180"/>
              <w:ind w:left="142"/>
              <w:rPr>
                <w:color w:val="000000"/>
                <w:sz w:val="18"/>
              </w:rPr>
            </w:pPr>
            <w:r w:rsidRPr="00FB5439">
              <w:rPr>
                <w:color w:val="000000"/>
                <w:sz w:val="18"/>
              </w:rPr>
              <w:t>[Transferee’s broker’s stamp]</w:t>
            </w:r>
          </w:p>
          <w:p w14:paraId="60D08929"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bl>
    <w:p w14:paraId="76E26415" w14:textId="77777777" w:rsidR="00E93F58" w:rsidRPr="00FB5439" w:rsidRDefault="00E93F58" w:rsidP="00A80D13">
      <w:pPr>
        <w:pStyle w:val="ActHead2"/>
        <w:pageBreakBefore/>
      </w:pPr>
      <w:bookmarkStart w:id="3256" w:name="_Toc151992812"/>
      <w:bookmarkStart w:id="3257" w:name="_Toc158713415"/>
      <w:r w:rsidRPr="00FB5439">
        <w:rPr>
          <w:rStyle w:val="CharPartNo"/>
        </w:rPr>
        <w:lastRenderedPageBreak/>
        <w:t>Form 5</w:t>
      </w:r>
      <w:bookmarkEnd w:id="3256"/>
      <w:bookmarkEnd w:id="3257"/>
      <w:r w:rsidRPr="00FB5439">
        <w:rPr>
          <w:rStyle w:val="CharPartText"/>
        </w:rPr>
        <w:t xml:space="preserve"> </w:t>
      </w:r>
      <w:r w:rsidRPr="00FB5439">
        <w:t xml:space="preserve"> </w:t>
      </w:r>
    </w:p>
    <w:p w14:paraId="66266227" w14:textId="77777777" w:rsidR="00E93F58" w:rsidRPr="00FB5439" w:rsidRDefault="00E93F58" w:rsidP="00070F64">
      <w:pPr>
        <w:rPr>
          <w:color w:val="000000"/>
        </w:rPr>
      </w:pPr>
    </w:p>
    <w:tbl>
      <w:tblPr>
        <w:tblW w:w="5000" w:type="pct"/>
        <w:tblCellMar>
          <w:left w:w="0" w:type="dxa"/>
          <w:right w:w="0" w:type="dxa"/>
        </w:tblCellMar>
        <w:tblLook w:val="0000" w:firstRow="0" w:lastRow="0" w:firstColumn="0" w:lastColumn="0" w:noHBand="0" w:noVBand="0"/>
      </w:tblPr>
      <w:tblGrid>
        <w:gridCol w:w="4178"/>
        <w:gridCol w:w="659"/>
        <w:gridCol w:w="659"/>
        <w:gridCol w:w="2200"/>
        <w:gridCol w:w="3077"/>
      </w:tblGrid>
      <w:tr w:rsidR="00E93F58" w:rsidRPr="00FB5439" w14:paraId="3C9F6C21" w14:textId="77777777" w:rsidTr="00B23434">
        <w:tc>
          <w:tcPr>
            <w:tcW w:w="2551" w:type="pct"/>
            <w:gridSpan w:val="3"/>
            <w:vAlign w:val="center"/>
          </w:tcPr>
          <w:p w14:paraId="69905AFE" w14:textId="77777777" w:rsidR="00E93F58" w:rsidRPr="00FB5439" w:rsidRDefault="00E93F58" w:rsidP="00070F64">
            <w:pPr>
              <w:spacing w:before="180"/>
              <w:jc w:val="center"/>
              <w:rPr>
                <w:color w:val="000000"/>
                <w:sz w:val="18"/>
              </w:rPr>
            </w:pPr>
            <w:r w:rsidRPr="00FB5439">
              <w:rPr>
                <w:color w:val="000000"/>
                <w:sz w:val="18"/>
              </w:rPr>
              <w:t>SECURITY RENUNCIATION AND TRANSFER FORM</w:t>
            </w:r>
          </w:p>
          <w:p w14:paraId="61FFA088" w14:textId="77777777" w:rsidR="00E93F58" w:rsidRPr="00FB5439" w:rsidRDefault="00E93F58" w:rsidP="00070F64">
            <w:pPr>
              <w:spacing w:before="60"/>
              <w:jc w:val="center"/>
              <w:rPr>
                <w:color w:val="000000"/>
                <w:sz w:val="18"/>
              </w:rPr>
            </w:pPr>
          </w:p>
        </w:tc>
        <w:tc>
          <w:tcPr>
            <w:tcW w:w="2449" w:type="pct"/>
            <w:gridSpan w:val="2"/>
            <w:vAlign w:val="center"/>
          </w:tcPr>
          <w:p w14:paraId="26BE6E94" w14:textId="77777777" w:rsidR="00E93F58" w:rsidRPr="00FB5439" w:rsidRDefault="00E93F58" w:rsidP="00070F64">
            <w:pPr>
              <w:spacing w:before="180"/>
              <w:jc w:val="center"/>
              <w:rPr>
                <w:color w:val="000000"/>
                <w:sz w:val="18"/>
              </w:rPr>
            </w:pPr>
            <w:r w:rsidRPr="00FB5439">
              <w:rPr>
                <w:color w:val="000000"/>
                <w:sz w:val="18"/>
              </w:rPr>
              <w:t>MARKING STAMP</w:t>
            </w:r>
          </w:p>
          <w:p w14:paraId="72A4F031" w14:textId="77777777" w:rsidR="00E93F58" w:rsidRPr="00FB5439" w:rsidRDefault="00E93F58" w:rsidP="00070F64">
            <w:pPr>
              <w:spacing w:before="60"/>
              <w:jc w:val="center"/>
              <w:rPr>
                <w:color w:val="000000"/>
                <w:sz w:val="18"/>
              </w:rPr>
            </w:pPr>
          </w:p>
        </w:tc>
      </w:tr>
      <w:tr w:rsidR="00E93F58" w:rsidRPr="00FB5439" w14:paraId="6FC08A1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4B041038" w14:textId="77777777" w:rsidR="00E93F58" w:rsidRPr="00FB5439" w:rsidRDefault="00E93F58" w:rsidP="00070F64">
            <w:pPr>
              <w:spacing w:before="180"/>
              <w:jc w:val="center"/>
              <w:rPr>
                <w:color w:val="000000"/>
                <w:sz w:val="18"/>
              </w:rPr>
            </w:pPr>
            <w:r>
              <w:rPr>
                <w:color w:val="000000"/>
                <w:sz w:val="18"/>
              </w:rPr>
              <w:t>PART 1</w:t>
            </w:r>
          </w:p>
          <w:p w14:paraId="75EF1333" w14:textId="77777777" w:rsidR="00E93F58" w:rsidRPr="00FB5439" w:rsidRDefault="00E93F58" w:rsidP="00070F64">
            <w:pPr>
              <w:spacing w:before="60"/>
              <w:jc w:val="center"/>
              <w:rPr>
                <w:color w:val="000000"/>
                <w:sz w:val="18"/>
              </w:rPr>
            </w:pPr>
          </w:p>
        </w:tc>
      </w:tr>
      <w:tr w:rsidR="00E93F58" w:rsidRPr="00FB5439" w14:paraId="28A6180D"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487E1986"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5E8E3462" w14:textId="77777777" w:rsidTr="00B23434">
        <w:tc>
          <w:tcPr>
            <w:tcW w:w="2245" w:type="pct"/>
            <w:gridSpan w:val="2"/>
            <w:vAlign w:val="center"/>
          </w:tcPr>
          <w:p w14:paraId="06F5738F" w14:textId="77777777" w:rsidR="00E93F58" w:rsidRPr="00FB5439" w:rsidRDefault="00E93F58" w:rsidP="00070F64">
            <w:pPr>
              <w:spacing w:before="180"/>
              <w:ind w:left="142"/>
              <w:rPr>
                <w:color w:val="000000"/>
                <w:sz w:val="18"/>
              </w:rPr>
            </w:pPr>
            <w:r w:rsidRPr="00FB5439">
              <w:rPr>
                <w:color w:val="000000"/>
                <w:sz w:val="18"/>
              </w:rPr>
              <w:t xml:space="preserve">Description of Division 3 rights: </w:t>
            </w:r>
          </w:p>
        </w:tc>
        <w:tc>
          <w:tcPr>
            <w:tcW w:w="1327" w:type="pct"/>
            <w:gridSpan w:val="2"/>
            <w:vAlign w:val="center"/>
          </w:tcPr>
          <w:p w14:paraId="115ED758" w14:textId="77777777" w:rsidR="00E93F58" w:rsidRPr="00FB5439" w:rsidRDefault="00E93F58" w:rsidP="00070F64">
            <w:pPr>
              <w:spacing w:before="180"/>
              <w:ind w:left="142"/>
              <w:rPr>
                <w:color w:val="000000"/>
                <w:sz w:val="18"/>
              </w:rPr>
            </w:pPr>
          </w:p>
        </w:tc>
        <w:tc>
          <w:tcPr>
            <w:tcW w:w="1428" w:type="pct"/>
            <w:vAlign w:val="center"/>
          </w:tcPr>
          <w:p w14:paraId="7E780CC1"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7C6277E0" w14:textId="77777777" w:rsidTr="00B23434">
        <w:tc>
          <w:tcPr>
            <w:tcW w:w="2245" w:type="pct"/>
            <w:gridSpan w:val="2"/>
            <w:vAlign w:val="center"/>
          </w:tcPr>
          <w:p w14:paraId="107C7F94"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1336FA6E" w14:textId="77777777" w:rsidR="00E93F58" w:rsidRPr="00FB5439" w:rsidRDefault="00E93F58" w:rsidP="00070F64">
            <w:pPr>
              <w:spacing w:before="180"/>
              <w:ind w:left="142"/>
              <w:rPr>
                <w:color w:val="000000"/>
                <w:sz w:val="18"/>
              </w:rPr>
            </w:pPr>
            <w:r w:rsidRPr="00FB5439">
              <w:rPr>
                <w:color w:val="000000"/>
                <w:sz w:val="18"/>
              </w:rPr>
              <w:t>[Words]</w:t>
            </w:r>
          </w:p>
        </w:tc>
        <w:tc>
          <w:tcPr>
            <w:tcW w:w="1428" w:type="pct"/>
            <w:vAlign w:val="center"/>
          </w:tcPr>
          <w:p w14:paraId="3F320123" w14:textId="77777777" w:rsidR="00E93F58" w:rsidRPr="00FB5439" w:rsidRDefault="00E93F58" w:rsidP="00070F64">
            <w:pPr>
              <w:spacing w:before="180"/>
              <w:ind w:left="142"/>
              <w:rPr>
                <w:color w:val="000000"/>
                <w:sz w:val="18"/>
              </w:rPr>
            </w:pPr>
            <w:r w:rsidRPr="00FB5439">
              <w:rPr>
                <w:color w:val="000000"/>
                <w:sz w:val="18"/>
              </w:rPr>
              <w:t>[Figures]</w:t>
            </w:r>
          </w:p>
        </w:tc>
      </w:tr>
      <w:tr w:rsidR="00E93F58" w:rsidRPr="00FB5439" w14:paraId="223B0D88" w14:textId="77777777" w:rsidTr="00B23434">
        <w:trPr>
          <w:cantSplit/>
        </w:trPr>
        <w:tc>
          <w:tcPr>
            <w:tcW w:w="2245" w:type="pct"/>
            <w:gridSpan w:val="2"/>
            <w:vAlign w:val="center"/>
          </w:tcPr>
          <w:p w14:paraId="689DB63F"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14:paraId="0565820E" w14:textId="77777777" w:rsidR="00E93F58" w:rsidRPr="00FB5439" w:rsidRDefault="00E93F58" w:rsidP="00070F64">
            <w:pPr>
              <w:spacing w:before="180"/>
              <w:ind w:left="142"/>
              <w:rPr>
                <w:color w:val="000000"/>
                <w:sz w:val="18"/>
              </w:rPr>
            </w:pPr>
          </w:p>
        </w:tc>
      </w:tr>
      <w:tr w:rsidR="00E93F58" w:rsidRPr="00FB5439" w14:paraId="79DDFF44" w14:textId="77777777" w:rsidTr="00B23434">
        <w:trPr>
          <w:cantSplit/>
        </w:trPr>
        <w:tc>
          <w:tcPr>
            <w:tcW w:w="2245" w:type="pct"/>
            <w:gridSpan w:val="2"/>
            <w:vAlign w:val="center"/>
          </w:tcPr>
          <w:p w14:paraId="4E82E7F5" w14:textId="77777777" w:rsidR="00E93F58" w:rsidRPr="00FB5439" w:rsidRDefault="00E93F58"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14:paraId="0F097BC5" w14:textId="77777777" w:rsidR="00E93F58" w:rsidRPr="00FB5439" w:rsidRDefault="00E93F58" w:rsidP="00070F64">
            <w:pPr>
              <w:spacing w:before="180"/>
              <w:ind w:left="142"/>
              <w:rPr>
                <w:color w:val="000000"/>
                <w:sz w:val="18"/>
              </w:rPr>
            </w:pPr>
          </w:p>
        </w:tc>
      </w:tr>
      <w:tr w:rsidR="00E93F58" w:rsidRPr="00FB5439" w14:paraId="5121C56D"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5496D793" w14:textId="77777777" w:rsidR="00E93F58" w:rsidRPr="00FB5439" w:rsidRDefault="00E93F58" w:rsidP="00070F64">
            <w:pPr>
              <w:spacing w:before="180"/>
              <w:ind w:left="34"/>
              <w:rPr>
                <w:color w:val="000000"/>
                <w:sz w:val="18"/>
              </w:rPr>
            </w:pPr>
            <w:r w:rsidRPr="00FB5439">
              <w:rPr>
                <w:color w:val="000000"/>
                <w:sz w:val="18"/>
              </w:rPr>
              <w:t>The transferor(s) hereby renounce(s) and transfer(s) the above Division 3 rights in favour of the transferee(s) named in Part 2 hereof or to the several transferees named in Part 2 of the Broker’s Renunciation and Transfer Form(s), Renunciation and Split Transfer Form(s) or Renunciation and Consolidated Transfer Form(s) relating to the above Division 3 rights.</w:t>
            </w:r>
          </w:p>
          <w:p w14:paraId="39D9169E" w14:textId="77777777" w:rsidR="00E93F58" w:rsidRPr="00FB5439" w:rsidRDefault="00E93F58" w:rsidP="00070F64">
            <w:pPr>
              <w:spacing w:before="180"/>
              <w:ind w:left="34"/>
              <w:rPr>
                <w:color w:val="000000"/>
                <w:sz w:val="18"/>
              </w:rPr>
            </w:pPr>
            <w:r w:rsidRPr="00FB5439">
              <w:rPr>
                <w:color w:val="000000"/>
                <w:sz w:val="18"/>
              </w:rPr>
              <w:t>This transfer and renunciation is executed on the transferor’s behalf by the transferor’s broker, who certifies:</w:t>
            </w:r>
          </w:p>
          <w:p w14:paraId="58457AAC" w14:textId="77777777" w:rsidR="00E93F58" w:rsidRPr="00FB5439" w:rsidRDefault="00E93F58" w:rsidP="00070F64">
            <w:pPr>
              <w:spacing w:before="60"/>
              <w:ind w:left="459" w:hanging="425"/>
              <w:rPr>
                <w:color w:val="000000"/>
                <w:sz w:val="18"/>
              </w:rPr>
            </w:pPr>
            <w:r w:rsidRPr="00FB5439">
              <w:rPr>
                <w:color w:val="000000"/>
                <w:sz w:val="18"/>
              </w:rPr>
              <w:t>(a)</w:t>
            </w:r>
            <w:r w:rsidRPr="00FB5439">
              <w:rPr>
                <w:color w:val="000000"/>
                <w:sz w:val="18"/>
              </w:rPr>
              <w:tab/>
              <w:t>as to the validity of documents; and</w:t>
            </w:r>
          </w:p>
          <w:p w14:paraId="7C7FF910" w14:textId="77777777" w:rsidR="00E93F58" w:rsidRPr="00FB5439" w:rsidRDefault="00E93F58" w:rsidP="00070F64">
            <w:pPr>
              <w:spacing w:before="60"/>
              <w:ind w:left="459" w:hanging="425"/>
              <w:rPr>
                <w:color w:val="000000"/>
                <w:sz w:val="18"/>
              </w:rPr>
            </w:pPr>
            <w:r w:rsidRPr="00FB5439">
              <w:rPr>
                <w:color w:val="000000"/>
                <w:sz w:val="18"/>
              </w:rPr>
              <w:t>(b)</w:t>
            </w:r>
            <w:r w:rsidRPr="00FB5439">
              <w:rPr>
                <w:color w:val="000000"/>
                <w:sz w:val="18"/>
              </w:rPr>
              <w:tab/>
              <w:t>that stamp duty, if payable, has been or will be paid.</w:t>
            </w:r>
          </w:p>
          <w:p w14:paraId="5482E02F" w14:textId="77777777" w:rsidR="00E93F58" w:rsidRPr="00FB5439" w:rsidRDefault="00E93F58" w:rsidP="00070F64">
            <w:pPr>
              <w:spacing w:before="180"/>
              <w:ind w:left="34"/>
              <w:rPr>
                <w:color w:val="000000"/>
                <w:sz w:val="18"/>
              </w:rPr>
            </w:pPr>
            <w:r w:rsidRPr="00FB5439">
              <w:rPr>
                <w:color w:val="000000"/>
                <w:sz w:val="18"/>
              </w:rPr>
              <w:t>[Transferor’s broker’s stamp]</w:t>
            </w:r>
          </w:p>
          <w:p w14:paraId="3BDF5134" w14:textId="77777777" w:rsidR="00E93F58" w:rsidRPr="00FB5439" w:rsidRDefault="00E93F58" w:rsidP="00070F64">
            <w:pPr>
              <w:spacing w:before="180"/>
              <w:ind w:left="34"/>
              <w:rPr>
                <w:color w:val="000000"/>
                <w:sz w:val="18"/>
              </w:rPr>
            </w:pPr>
            <w:r w:rsidRPr="00FB5439">
              <w:rPr>
                <w:color w:val="000000"/>
                <w:sz w:val="18"/>
              </w:rPr>
              <w:t xml:space="preserve">Affixed at </w:t>
            </w:r>
          </w:p>
          <w:p w14:paraId="013B0179" w14:textId="77777777" w:rsidR="00E93F58" w:rsidRPr="00FB5439" w:rsidRDefault="00E93F58" w:rsidP="00070F64">
            <w:pPr>
              <w:spacing w:before="180"/>
              <w:ind w:left="34"/>
              <w:rPr>
                <w:color w:val="000000"/>
                <w:sz w:val="18"/>
              </w:rPr>
            </w:pPr>
            <w:r w:rsidRPr="00FB5439">
              <w:rPr>
                <w:color w:val="000000"/>
                <w:sz w:val="18"/>
              </w:rPr>
              <w:t xml:space="preserve">on </w:t>
            </w:r>
          </w:p>
          <w:p w14:paraId="4FB440AB" w14:textId="77777777" w:rsidR="00E93F58" w:rsidRPr="00FB5439" w:rsidRDefault="00E93F58" w:rsidP="00070F64">
            <w:pPr>
              <w:spacing w:before="180"/>
              <w:ind w:left="34"/>
              <w:rPr>
                <w:color w:val="000000"/>
                <w:sz w:val="18"/>
              </w:rPr>
            </w:pPr>
            <w:r w:rsidRPr="00FB5439">
              <w:rPr>
                <w:color w:val="000000"/>
                <w:sz w:val="18"/>
              </w:rPr>
              <w:t xml:space="preserve">(place and date of affixing stamp) </w:t>
            </w:r>
          </w:p>
        </w:tc>
      </w:tr>
      <w:tr w:rsidR="00E93F58" w:rsidRPr="00FB5439" w14:paraId="739145B2"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179FBBB8" w14:textId="77777777" w:rsidR="00E93F58" w:rsidRPr="00FB5439" w:rsidRDefault="00E93F58" w:rsidP="004304A2">
            <w:pPr>
              <w:keepNext/>
              <w:keepLines/>
              <w:spacing w:before="180"/>
              <w:jc w:val="center"/>
              <w:rPr>
                <w:color w:val="000000"/>
                <w:sz w:val="18"/>
              </w:rPr>
            </w:pPr>
            <w:r>
              <w:rPr>
                <w:color w:val="000000"/>
                <w:sz w:val="18"/>
              </w:rPr>
              <w:t>PART 2</w:t>
            </w:r>
          </w:p>
          <w:p w14:paraId="65F14281" w14:textId="77777777" w:rsidR="00E93F58" w:rsidRPr="00FB5439" w:rsidRDefault="00E93F58" w:rsidP="004304A2">
            <w:pPr>
              <w:keepNext/>
              <w:keepLines/>
              <w:spacing w:before="60"/>
              <w:jc w:val="center"/>
              <w:rPr>
                <w:color w:val="000000"/>
                <w:sz w:val="18"/>
              </w:rPr>
            </w:pPr>
          </w:p>
        </w:tc>
      </w:tr>
      <w:tr w:rsidR="00E93F58" w:rsidRPr="00FB5439" w14:paraId="5C11B1BE" w14:textId="77777777" w:rsidTr="00B23434">
        <w:tc>
          <w:tcPr>
            <w:tcW w:w="1939" w:type="pct"/>
            <w:vAlign w:val="center"/>
          </w:tcPr>
          <w:p w14:paraId="272BC104" w14:textId="77777777" w:rsidR="00E93F58" w:rsidRPr="00FB5439" w:rsidRDefault="00E93F58" w:rsidP="00070F64">
            <w:pPr>
              <w:spacing w:before="180"/>
              <w:ind w:left="142"/>
              <w:rPr>
                <w:color w:val="000000"/>
                <w:sz w:val="18"/>
              </w:rPr>
            </w:pPr>
            <w:r w:rsidRPr="00FB5439">
              <w:rPr>
                <w:color w:val="000000"/>
                <w:sz w:val="18"/>
              </w:rPr>
              <w:t xml:space="preserve">Full name(s) and address(es) of transferee(s): </w:t>
            </w:r>
          </w:p>
        </w:tc>
        <w:tc>
          <w:tcPr>
            <w:tcW w:w="3061" w:type="pct"/>
            <w:gridSpan w:val="4"/>
            <w:vAlign w:val="center"/>
          </w:tcPr>
          <w:p w14:paraId="549879F6"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788BC574"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rights set out in Part 1 above having been purchased in the ordinary course of business, the Division 3 assets to which the Division 3 rights relate are to be issued to the transferee(s) named in this Part; and</w:t>
            </w:r>
          </w:p>
          <w:p w14:paraId="2522F358"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48DE48B7" w14:textId="77777777" w:rsidR="00E93F58" w:rsidRPr="00FB5439" w:rsidRDefault="00E93F58" w:rsidP="00070F64">
            <w:pPr>
              <w:spacing w:before="60"/>
              <w:ind w:left="141" w:firstLine="1"/>
              <w:rPr>
                <w:color w:val="000000"/>
                <w:sz w:val="18"/>
              </w:rPr>
            </w:pPr>
            <w:r w:rsidRPr="00FB5439">
              <w:rPr>
                <w:color w:val="000000"/>
                <w:sz w:val="18"/>
              </w:rPr>
              <w:t>and hereby requests that the Division 3 assets be issued by the company to the transferee(s) and such entries be made in the register as are necessary to give effect to this renunciation and transfer.</w:t>
            </w:r>
          </w:p>
          <w:p w14:paraId="129874D7" w14:textId="77777777" w:rsidR="00E93F58" w:rsidRPr="00FB5439" w:rsidRDefault="00E93F58" w:rsidP="00070F64">
            <w:pPr>
              <w:spacing w:before="180"/>
              <w:ind w:left="142"/>
              <w:rPr>
                <w:color w:val="000000"/>
                <w:sz w:val="18"/>
              </w:rPr>
            </w:pPr>
            <w:r w:rsidRPr="00FB5439">
              <w:rPr>
                <w:color w:val="000000"/>
                <w:sz w:val="18"/>
              </w:rPr>
              <w:t>[Transferee’s broker’s stamp]</w:t>
            </w:r>
          </w:p>
          <w:p w14:paraId="7DC72635"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r w:rsidR="00E93F58" w:rsidRPr="00FB5439" w14:paraId="6DFB0BC7"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2DDCB4D8" w14:textId="77777777" w:rsidR="00E93F58" w:rsidRPr="00FB5439" w:rsidRDefault="00E93F58" w:rsidP="00070F64">
            <w:pPr>
              <w:spacing w:before="180"/>
              <w:jc w:val="center"/>
              <w:rPr>
                <w:color w:val="000000"/>
                <w:sz w:val="18"/>
              </w:rPr>
            </w:pPr>
            <w:r>
              <w:rPr>
                <w:color w:val="000000"/>
                <w:sz w:val="18"/>
              </w:rPr>
              <w:t>PART 3</w:t>
            </w:r>
          </w:p>
          <w:p w14:paraId="07128EC0" w14:textId="77777777" w:rsidR="00E93F58" w:rsidRPr="00FB5439" w:rsidRDefault="00E93F58" w:rsidP="00070F64">
            <w:pPr>
              <w:spacing w:before="60"/>
              <w:jc w:val="center"/>
              <w:rPr>
                <w:color w:val="000000"/>
                <w:sz w:val="18"/>
              </w:rPr>
            </w:pPr>
          </w:p>
        </w:tc>
      </w:tr>
      <w:tr w:rsidR="00E93F58" w:rsidRPr="00FB5439" w14:paraId="436A40B3" w14:textId="77777777" w:rsidTr="00B23434">
        <w:trPr>
          <w:trHeight w:val="3192"/>
        </w:trPr>
        <w:tc>
          <w:tcPr>
            <w:tcW w:w="5000" w:type="pct"/>
            <w:gridSpan w:val="5"/>
            <w:tcBorders>
              <w:bottom w:val="nil"/>
            </w:tcBorders>
            <w:vAlign w:val="center"/>
          </w:tcPr>
          <w:p w14:paraId="52FFBBB1" w14:textId="77777777" w:rsidR="00E93F58" w:rsidRPr="00FB5439" w:rsidRDefault="00E93F58" w:rsidP="00070F64">
            <w:pPr>
              <w:spacing w:before="180"/>
              <w:ind w:left="142"/>
              <w:rPr>
                <w:color w:val="000000"/>
                <w:sz w:val="18"/>
              </w:rPr>
            </w:pPr>
            <w:r w:rsidRPr="00FB5439">
              <w:rPr>
                <w:color w:val="000000"/>
                <w:sz w:val="18"/>
              </w:rPr>
              <w:lastRenderedPageBreak/>
              <w:t>Transferee’s broker hereby certifies:</w:t>
            </w:r>
          </w:p>
          <w:p w14:paraId="37D04C71"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rights set out in Part 1 above having been purchased in the ordinary course of business, the Division 3 assets to which the rights relate are to be issued to the transferee(s) named in the Renunciation and Consolidated Transfer Form relating to the Division 3 rights; and</w:t>
            </w:r>
          </w:p>
          <w:p w14:paraId="4D116E68"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30C56014" w14:textId="77777777" w:rsidR="00E93F58" w:rsidRPr="00FB5439" w:rsidRDefault="00E93F58" w:rsidP="00070F64">
            <w:pPr>
              <w:spacing w:before="180"/>
              <w:ind w:left="142"/>
              <w:rPr>
                <w:color w:val="000000"/>
                <w:sz w:val="18"/>
              </w:rPr>
            </w:pPr>
            <w:r w:rsidRPr="00FB5439">
              <w:rPr>
                <w:color w:val="000000"/>
                <w:sz w:val="18"/>
              </w:rPr>
              <w:t>and hereby requests that the Division 3 assets be issued by the company to the transferee(s) and such entries be made in the register as are necessary to give effect to this renunciation and transfer.</w:t>
            </w:r>
          </w:p>
          <w:p w14:paraId="1F03A002" w14:textId="77777777" w:rsidR="00E93F58" w:rsidRPr="00FB5439" w:rsidRDefault="00E93F58" w:rsidP="00070F64">
            <w:pPr>
              <w:spacing w:before="180"/>
              <w:ind w:left="142"/>
              <w:rPr>
                <w:color w:val="000000"/>
                <w:sz w:val="18"/>
              </w:rPr>
            </w:pPr>
            <w:r w:rsidRPr="00FB5439">
              <w:rPr>
                <w:color w:val="000000"/>
                <w:sz w:val="18"/>
              </w:rPr>
              <w:t>[Transferee’s broker’s stamp]</w:t>
            </w:r>
          </w:p>
          <w:p w14:paraId="691E1DCD"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bl>
    <w:p w14:paraId="5E40FD33" w14:textId="77777777" w:rsidR="00E93F58" w:rsidRPr="00FB5439" w:rsidRDefault="00E93F58" w:rsidP="00A80D13">
      <w:pPr>
        <w:pStyle w:val="ActHead2"/>
        <w:pageBreakBefore/>
      </w:pPr>
      <w:bookmarkStart w:id="3258" w:name="_Toc151992813"/>
      <w:bookmarkStart w:id="3259" w:name="_Toc158713416"/>
      <w:r w:rsidRPr="00FB5439">
        <w:rPr>
          <w:rStyle w:val="CharPartNo"/>
        </w:rPr>
        <w:lastRenderedPageBreak/>
        <w:t>Form 6</w:t>
      </w:r>
      <w:bookmarkEnd w:id="3258"/>
      <w:bookmarkEnd w:id="3259"/>
      <w:r w:rsidRPr="00FB5439">
        <w:rPr>
          <w:rStyle w:val="CharPartText"/>
        </w:rPr>
        <w:t xml:space="preserve"> </w:t>
      </w:r>
      <w:r w:rsidRPr="00FB5439">
        <w:t xml:space="preserve"> </w:t>
      </w:r>
    </w:p>
    <w:p w14:paraId="7E3E7620" w14:textId="77777777" w:rsidR="00E93F58" w:rsidRPr="00FB5439" w:rsidRDefault="00E93F58" w:rsidP="00070F64">
      <w:pPr>
        <w:rPr>
          <w:color w:val="000000"/>
        </w:rPr>
      </w:pPr>
    </w:p>
    <w:tbl>
      <w:tblPr>
        <w:tblW w:w="5000" w:type="pct"/>
        <w:tblCellMar>
          <w:left w:w="0" w:type="dxa"/>
          <w:right w:w="0" w:type="dxa"/>
        </w:tblCellMar>
        <w:tblLook w:val="0000" w:firstRow="0" w:lastRow="0" w:firstColumn="0" w:lastColumn="0" w:noHBand="0" w:noVBand="0"/>
      </w:tblPr>
      <w:tblGrid>
        <w:gridCol w:w="4837"/>
        <w:gridCol w:w="659"/>
        <w:gridCol w:w="2200"/>
        <w:gridCol w:w="3077"/>
      </w:tblGrid>
      <w:tr w:rsidR="00E93F58" w:rsidRPr="00FB5439" w14:paraId="6AEC7BCC" w14:textId="77777777" w:rsidTr="00B23434">
        <w:tc>
          <w:tcPr>
            <w:tcW w:w="2551" w:type="pct"/>
            <w:gridSpan w:val="2"/>
            <w:vAlign w:val="center"/>
          </w:tcPr>
          <w:p w14:paraId="3D469958" w14:textId="77777777" w:rsidR="00E93F58" w:rsidRPr="00FB5439" w:rsidRDefault="00E93F58" w:rsidP="00070F64">
            <w:pPr>
              <w:spacing w:before="180"/>
              <w:jc w:val="center"/>
              <w:rPr>
                <w:color w:val="000000"/>
                <w:sz w:val="18"/>
              </w:rPr>
            </w:pPr>
            <w:r w:rsidRPr="00FB5439">
              <w:rPr>
                <w:color w:val="000000"/>
                <w:sz w:val="18"/>
              </w:rPr>
              <w:t>BROKER’S RENUNCIATION AND TRANSFER FORM</w:t>
            </w:r>
          </w:p>
          <w:p w14:paraId="58759837" w14:textId="77777777" w:rsidR="00E93F58" w:rsidRPr="00FB5439" w:rsidRDefault="00E93F58" w:rsidP="00070F64">
            <w:pPr>
              <w:spacing w:before="60"/>
              <w:jc w:val="center"/>
              <w:rPr>
                <w:color w:val="000000"/>
                <w:sz w:val="18"/>
              </w:rPr>
            </w:pPr>
          </w:p>
        </w:tc>
        <w:tc>
          <w:tcPr>
            <w:tcW w:w="2449" w:type="pct"/>
            <w:gridSpan w:val="2"/>
            <w:vAlign w:val="center"/>
          </w:tcPr>
          <w:p w14:paraId="325D4841" w14:textId="77777777" w:rsidR="00E93F58" w:rsidRPr="00FB5439" w:rsidRDefault="00E93F58" w:rsidP="00070F64">
            <w:pPr>
              <w:spacing w:before="180"/>
              <w:jc w:val="center"/>
              <w:rPr>
                <w:color w:val="000000"/>
                <w:sz w:val="18"/>
              </w:rPr>
            </w:pPr>
            <w:r w:rsidRPr="00FB5439">
              <w:rPr>
                <w:color w:val="000000"/>
                <w:sz w:val="18"/>
              </w:rPr>
              <w:t>MARKING STAMP</w:t>
            </w:r>
          </w:p>
          <w:p w14:paraId="3FA9AA06" w14:textId="77777777" w:rsidR="00E93F58" w:rsidRPr="00FB5439" w:rsidRDefault="00E93F58" w:rsidP="00070F64">
            <w:pPr>
              <w:spacing w:before="60"/>
              <w:jc w:val="center"/>
              <w:rPr>
                <w:color w:val="000000"/>
                <w:sz w:val="18"/>
              </w:rPr>
            </w:pPr>
          </w:p>
        </w:tc>
      </w:tr>
      <w:tr w:rsidR="00E93F58" w:rsidRPr="00FB5439" w14:paraId="06C38CBE"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0D56363A" w14:textId="77777777" w:rsidR="00E93F58" w:rsidRPr="00FB5439" w:rsidRDefault="00E93F58" w:rsidP="00070F64">
            <w:pPr>
              <w:spacing w:before="180"/>
              <w:jc w:val="center"/>
              <w:rPr>
                <w:color w:val="000000"/>
                <w:sz w:val="18"/>
              </w:rPr>
            </w:pPr>
            <w:r>
              <w:rPr>
                <w:color w:val="000000"/>
                <w:sz w:val="18"/>
              </w:rPr>
              <w:t>PART 1</w:t>
            </w:r>
          </w:p>
          <w:p w14:paraId="3F6AFEF3" w14:textId="77777777" w:rsidR="00E93F58" w:rsidRPr="00FB5439" w:rsidRDefault="00E93F58" w:rsidP="00070F64">
            <w:pPr>
              <w:spacing w:before="60"/>
              <w:jc w:val="center"/>
              <w:rPr>
                <w:color w:val="000000"/>
                <w:sz w:val="18"/>
              </w:rPr>
            </w:pPr>
          </w:p>
        </w:tc>
      </w:tr>
      <w:tr w:rsidR="00E93F58" w:rsidRPr="00FB5439" w14:paraId="38569E9A"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16FB0E0C"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3295EA53" w14:textId="77777777" w:rsidTr="00B23434">
        <w:tc>
          <w:tcPr>
            <w:tcW w:w="2245" w:type="pct"/>
            <w:vAlign w:val="center"/>
          </w:tcPr>
          <w:p w14:paraId="6E0F5548" w14:textId="77777777" w:rsidR="00E93F58" w:rsidRPr="00FB5439" w:rsidRDefault="00E93F58" w:rsidP="00070F64">
            <w:pPr>
              <w:spacing w:before="180"/>
              <w:ind w:left="142"/>
              <w:rPr>
                <w:color w:val="000000"/>
                <w:sz w:val="18"/>
              </w:rPr>
            </w:pPr>
            <w:r w:rsidRPr="00FB5439">
              <w:rPr>
                <w:color w:val="000000"/>
                <w:sz w:val="18"/>
              </w:rPr>
              <w:t xml:space="preserve">Description of Division 3 rights: </w:t>
            </w:r>
          </w:p>
        </w:tc>
        <w:tc>
          <w:tcPr>
            <w:tcW w:w="1327" w:type="pct"/>
            <w:gridSpan w:val="2"/>
            <w:vAlign w:val="center"/>
          </w:tcPr>
          <w:p w14:paraId="5D47951A" w14:textId="77777777" w:rsidR="00E93F58" w:rsidRPr="00FB5439" w:rsidRDefault="00E93F58" w:rsidP="00070F64">
            <w:pPr>
              <w:spacing w:before="180"/>
              <w:ind w:left="142"/>
              <w:rPr>
                <w:color w:val="000000"/>
                <w:sz w:val="18"/>
              </w:rPr>
            </w:pPr>
          </w:p>
        </w:tc>
        <w:tc>
          <w:tcPr>
            <w:tcW w:w="1428" w:type="pct"/>
            <w:vAlign w:val="center"/>
          </w:tcPr>
          <w:p w14:paraId="1E3000A8"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1F931C2C" w14:textId="77777777" w:rsidTr="00B23434">
        <w:tc>
          <w:tcPr>
            <w:tcW w:w="2245" w:type="pct"/>
            <w:vAlign w:val="center"/>
          </w:tcPr>
          <w:p w14:paraId="3C4B3BF5"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2D47FC9F" w14:textId="77777777" w:rsidR="00E93F58" w:rsidRPr="00FB5439" w:rsidRDefault="00E93F58" w:rsidP="00070F64">
            <w:pPr>
              <w:spacing w:before="180"/>
              <w:ind w:left="142"/>
              <w:rPr>
                <w:color w:val="000000"/>
                <w:sz w:val="18"/>
              </w:rPr>
            </w:pPr>
            <w:r w:rsidRPr="00FB5439">
              <w:rPr>
                <w:color w:val="000000"/>
                <w:sz w:val="18"/>
              </w:rPr>
              <w:t>[Words]</w:t>
            </w:r>
          </w:p>
        </w:tc>
        <w:tc>
          <w:tcPr>
            <w:tcW w:w="1428" w:type="pct"/>
            <w:vAlign w:val="center"/>
          </w:tcPr>
          <w:p w14:paraId="3DB338B4" w14:textId="77777777" w:rsidR="00E93F58" w:rsidRPr="00FB5439" w:rsidRDefault="00E93F58" w:rsidP="00070F64">
            <w:pPr>
              <w:spacing w:before="180"/>
              <w:ind w:left="142"/>
              <w:rPr>
                <w:color w:val="000000"/>
                <w:sz w:val="18"/>
              </w:rPr>
            </w:pPr>
            <w:r w:rsidRPr="00FB5439">
              <w:rPr>
                <w:color w:val="000000"/>
                <w:sz w:val="18"/>
              </w:rPr>
              <w:t>[Figures]</w:t>
            </w:r>
          </w:p>
        </w:tc>
      </w:tr>
      <w:tr w:rsidR="00E93F58" w:rsidRPr="00FB5439" w14:paraId="3C8932FF" w14:textId="77777777" w:rsidTr="00B23434">
        <w:trPr>
          <w:cantSplit/>
        </w:trPr>
        <w:tc>
          <w:tcPr>
            <w:tcW w:w="2245" w:type="pct"/>
            <w:vAlign w:val="center"/>
          </w:tcPr>
          <w:p w14:paraId="69AC8219"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14:paraId="1A07E92D" w14:textId="77777777" w:rsidR="00E93F58" w:rsidRPr="00FB5439" w:rsidRDefault="00E93F58" w:rsidP="00070F64">
            <w:pPr>
              <w:spacing w:before="180"/>
              <w:ind w:left="142"/>
              <w:rPr>
                <w:color w:val="000000"/>
                <w:sz w:val="18"/>
              </w:rPr>
            </w:pPr>
          </w:p>
        </w:tc>
      </w:tr>
      <w:tr w:rsidR="00E93F58" w:rsidRPr="00FB5439" w14:paraId="4E688EB4" w14:textId="77777777" w:rsidTr="00B23434">
        <w:trPr>
          <w:cantSplit/>
        </w:trPr>
        <w:tc>
          <w:tcPr>
            <w:tcW w:w="2245" w:type="pct"/>
            <w:vAlign w:val="center"/>
          </w:tcPr>
          <w:p w14:paraId="76763DB2" w14:textId="77777777" w:rsidR="00E93F58" w:rsidRPr="00FB5439" w:rsidRDefault="00E93F58" w:rsidP="00070F64">
            <w:pPr>
              <w:spacing w:before="180"/>
              <w:ind w:left="142"/>
              <w:rPr>
                <w:color w:val="000000"/>
                <w:sz w:val="18"/>
              </w:rPr>
            </w:pPr>
            <w:r w:rsidRPr="00FB5439">
              <w:rPr>
                <w:color w:val="000000"/>
                <w:sz w:val="18"/>
              </w:rPr>
              <w:t xml:space="preserve">Full name(s) and address(es) of transferor(s): </w:t>
            </w:r>
          </w:p>
        </w:tc>
        <w:tc>
          <w:tcPr>
            <w:tcW w:w="2755" w:type="pct"/>
            <w:gridSpan w:val="3"/>
            <w:vAlign w:val="center"/>
          </w:tcPr>
          <w:p w14:paraId="3129C66F" w14:textId="77777777" w:rsidR="00E93F58" w:rsidRPr="00FB5439" w:rsidRDefault="00E93F58" w:rsidP="00070F64">
            <w:pPr>
              <w:spacing w:before="180"/>
              <w:ind w:left="142"/>
              <w:rPr>
                <w:color w:val="000000"/>
                <w:sz w:val="18"/>
              </w:rPr>
            </w:pPr>
            <w:r w:rsidRPr="00FB5439">
              <w:rPr>
                <w:color w:val="000000"/>
                <w:sz w:val="18"/>
              </w:rPr>
              <w:t>Transferor’s broker hereby certifies:</w:t>
            </w:r>
          </w:p>
          <w:p w14:paraId="2AAE520A"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Security Renunciation and Transfer Form relating to the Division 3 rights set out above has been or will be lodged at the company’s office; and</w:t>
            </w:r>
          </w:p>
          <w:p w14:paraId="7C8E0892"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6FEBB90E" w14:textId="77777777" w:rsidR="00E93F58" w:rsidRPr="00FB5439" w:rsidRDefault="00E93F58" w:rsidP="00070F64">
            <w:pPr>
              <w:spacing w:before="180"/>
              <w:ind w:left="142"/>
              <w:rPr>
                <w:color w:val="000000"/>
                <w:sz w:val="18"/>
              </w:rPr>
            </w:pPr>
            <w:r w:rsidRPr="00FB5439">
              <w:rPr>
                <w:color w:val="000000"/>
                <w:sz w:val="18"/>
              </w:rPr>
              <w:t>[Transferor’s broker’s stamp]</w:t>
            </w:r>
          </w:p>
          <w:p w14:paraId="41273D34" w14:textId="77777777" w:rsidR="00E93F58" w:rsidRPr="00FB5439" w:rsidRDefault="00E93F58" w:rsidP="00070F64">
            <w:pPr>
              <w:spacing w:before="180"/>
              <w:ind w:left="142"/>
              <w:rPr>
                <w:color w:val="000000"/>
                <w:sz w:val="18"/>
              </w:rPr>
            </w:pPr>
            <w:r w:rsidRPr="00FB5439">
              <w:rPr>
                <w:color w:val="000000"/>
                <w:sz w:val="18"/>
              </w:rPr>
              <w:t xml:space="preserve">Affixed at </w:t>
            </w:r>
          </w:p>
          <w:p w14:paraId="1963DC1E" w14:textId="77777777" w:rsidR="00E93F58" w:rsidRPr="00FB5439" w:rsidRDefault="00E93F58" w:rsidP="00070F64">
            <w:pPr>
              <w:spacing w:before="180"/>
              <w:ind w:left="142"/>
              <w:rPr>
                <w:color w:val="000000"/>
                <w:sz w:val="18"/>
              </w:rPr>
            </w:pPr>
            <w:r w:rsidRPr="00FB5439">
              <w:rPr>
                <w:color w:val="000000"/>
                <w:sz w:val="18"/>
              </w:rPr>
              <w:t xml:space="preserve">on </w:t>
            </w:r>
          </w:p>
          <w:p w14:paraId="270037C7" w14:textId="77777777" w:rsidR="00E93F58" w:rsidRPr="00FB5439" w:rsidRDefault="00E93F58" w:rsidP="00070F64">
            <w:pPr>
              <w:spacing w:before="180"/>
              <w:ind w:left="142"/>
              <w:rPr>
                <w:color w:val="000000"/>
                <w:sz w:val="18"/>
              </w:rPr>
            </w:pPr>
            <w:r w:rsidRPr="00FB5439">
              <w:rPr>
                <w:color w:val="000000"/>
                <w:sz w:val="18"/>
              </w:rPr>
              <w:t xml:space="preserve">(place and date of affixing stamp) </w:t>
            </w:r>
          </w:p>
        </w:tc>
      </w:tr>
      <w:tr w:rsidR="00E93F58" w:rsidRPr="00FB5439" w14:paraId="46A2ED2A"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1C377F30" w14:textId="77777777" w:rsidR="00E93F58" w:rsidRPr="00FB5439" w:rsidRDefault="00E93F58" w:rsidP="004304A2">
            <w:pPr>
              <w:keepNext/>
              <w:keepLines/>
              <w:spacing w:before="180"/>
              <w:jc w:val="center"/>
              <w:rPr>
                <w:color w:val="000000"/>
                <w:sz w:val="18"/>
              </w:rPr>
            </w:pPr>
            <w:r>
              <w:rPr>
                <w:color w:val="000000"/>
                <w:sz w:val="18"/>
              </w:rPr>
              <w:t>PART 2</w:t>
            </w:r>
          </w:p>
          <w:p w14:paraId="18170837" w14:textId="77777777" w:rsidR="00E93F58" w:rsidRPr="00FB5439" w:rsidRDefault="00E93F58" w:rsidP="004304A2">
            <w:pPr>
              <w:keepNext/>
              <w:keepLines/>
              <w:spacing w:before="60"/>
              <w:jc w:val="center"/>
              <w:rPr>
                <w:color w:val="000000"/>
                <w:sz w:val="18"/>
              </w:rPr>
            </w:pPr>
          </w:p>
        </w:tc>
      </w:tr>
      <w:tr w:rsidR="00E93F58" w:rsidRPr="00FB5439" w14:paraId="0FC5200D" w14:textId="77777777" w:rsidTr="00B23434">
        <w:tc>
          <w:tcPr>
            <w:tcW w:w="2245" w:type="pct"/>
            <w:vAlign w:val="center"/>
          </w:tcPr>
          <w:p w14:paraId="73712D29" w14:textId="77777777" w:rsidR="00E93F58" w:rsidRPr="00FB5439" w:rsidRDefault="00E93F58" w:rsidP="004304A2">
            <w:pPr>
              <w:keepNext/>
              <w:keepLines/>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14:paraId="57DE73FB" w14:textId="77777777" w:rsidR="00E93F58" w:rsidRPr="00FB5439" w:rsidRDefault="00E93F58" w:rsidP="004304A2">
            <w:pPr>
              <w:keepNext/>
              <w:keepLines/>
              <w:spacing w:before="180"/>
              <w:ind w:left="142"/>
              <w:rPr>
                <w:color w:val="000000"/>
                <w:sz w:val="18"/>
              </w:rPr>
            </w:pPr>
            <w:r w:rsidRPr="00FB5439">
              <w:rPr>
                <w:color w:val="000000"/>
                <w:sz w:val="18"/>
              </w:rPr>
              <w:t>Transferee’s broker hereby certifies:</w:t>
            </w:r>
          </w:p>
          <w:p w14:paraId="0C144837" w14:textId="77777777" w:rsidR="00E93F58" w:rsidRPr="00FB5439" w:rsidRDefault="00E93F58" w:rsidP="004304A2">
            <w:pPr>
              <w:keepNext/>
              <w:keepLines/>
              <w:spacing w:before="60"/>
              <w:ind w:left="567" w:hanging="425"/>
              <w:rPr>
                <w:color w:val="000000"/>
                <w:sz w:val="18"/>
              </w:rPr>
            </w:pPr>
            <w:r w:rsidRPr="00FB5439">
              <w:rPr>
                <w:color w:val="000000"/>
                <w:sz w:val="18"/>
              </w:rPr>
              <w:t>(a)</w:t>
            </w:r>
            <w:r w:rsidRPr="00FB5439">
              <w:rPr>
                <w:color w:val="000000"/>
                <w:sz w:val="18"/>
              </w:rPr>
              <w:tab/>
              <w:t>that, the Division 3 rights set out in Part 1 above having been purchased in the ordinary course of business, the Division 3 assets to which the Division 3 rights relate are to be issued to the transferee(s) named in this Part; and</w:t>
            </w:r>
          </w:p>
          <w:p w14:paraId="01232C44" w14:textId="77777777" w:rsidR="00E93F58" w:rsidRPr="00FB5439" w:rsidRDefault="00E93F58" w:rsidP="004304A2">
            <w:pPr>
              <w:keepNext/>
              <w:keepLines/>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3D65EEB7" w14:textId="77777777" w:rsidR="00E93F58" w:rsidRPr="00FB5439" w:rsidRDefault="00E93F58" w:rsidP="004304A2">
            <w:pPr>
              <w:keepNext/>
              <w:keepLines/>
              <w:spacing w:before="60"/>
              <w:ind w:left="142"/>
              <w:rPr>
                <w:color w:val="000000"/>
                <w:sz w:val="18"/>
              </w:rPr>
            </w:pPr>
            <w:r w:rsidRPr="00FB5439">
              <w:rPr>
                <w:color w:val="000000"/>
                <w:sz w:val="18"/>
              </w:rPr>
              <w:t>and hereby requests that the Division 3 assets be issued by the company to the transferee(s) and such entries be made in the register as are necessary to give effect to this renunciation and transfer.</w:t>
            </w:r>
          </w:p>
          <w:p w14:paraId="0A83BD4C" w14:textId="77777777" w:rsidR="00E93F58" w:rsidRPr="00FB5439" w:rsidRDefault="00E93F58" w:rsidP="004304A2">
            <w:pPr>
              <w:keepNext/>
              <w:keepLines/>
              <w:spacing w:before="180"/>
              <w:ind w:left="142"/>
              <w:rPr>
                <w:color w:val="000000"/>
                <w:sz w:val="18"/>
              </w:rPr>
            </w:pPr>
            <w:r w:rsidRPr="00FB5439">
              <w:rPr>
                <w:color w:val="000000"/>
                <w:sz w:val="18"/>
              </w:rPr>
              <w:t>[Transferee’s broker’s stamp]</w:t>
            </w:r>
          </w:p>
          <w:p w14:paraId="7B01D13E" w14:textId="77777777" w:rsidR="00E93F58" w:rsidRPr="00FB5439" w:rsidRDefault="00E93F58" w:rsidP="004304A2">
            <w:pPr>
              <w:keepNext/>
              <w:keepLines/>
              <w:spacing w:before="180"/>
              <w:ind w:left="142"/>
              <w:rPr>
                <w:color w:val="000000"/>
                <w:sz w:val="18"/>
              </w:rPr>
            </w:pPr>
            <w:r w:rsidRPr="00FB5439">
              <w:rPr>
                <w:color w:val="000000"/>
                <w:sz w:val="18"/>
              </w:rPr>
              <w:t xml:space="preserve">Date of affixing stamp: </w:t>
            </w:r>
          </w:p>
        </w:tc>
      </w:tr>
      <w:tr w:rsidR="00E93F58" w:rsidRPr="00FB5439" w14:paraId="3AF20C0D"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186B5530" w14:textId="77777777" w:rsidR="00E93F58" w:rsidRPr="00FB5439" w:rsidRDefault="00E93F58" w:rsidP="00070F64">
            <w:pPr>
              <w:spacing w:before="180"/>
              <w:jc w:val="center"/>
              <w:rPr>
                <w:color w:val="000000"/>
                <w:sz w:val="18"/>
              </w:rPr>
            </w:pPr>
            <w:r>
              <w:rPr>
                <w:color w:val="000000"/>
                <w:sz w:val="18"/>
              </w:rPr>
              <w:t>PART 3</w:t>
            </w:r>
          </w:p>
          <w:p w14:paraId="68AFCA55" w14:textId="77777777" w:rsidR="00E93F58" w:rsidRPr="00FB5439" w:rsidRDefault="00E93F58" w:rsidP="00070F64">
            <w:pPr>
              <w:spacing w:before="60"/>
              <w:jc w:val="center"/>
              <w:rPr>
                <w:color w:val="000000"/>
                <w:sz w:val="18"/>
              </w:rPr>
            </w:pPr>
          </w:p>
        </w:tc>
      </w:tr>
      <w:tr w:rsidR="00E93F58" w:rsidRPr="00FB5439" w14:paraId="38872DAF" w14:textId="77777777" w:rsidTr="00B23434">
        <w:trPr>
          <w:cantSplit/>
        </w:trPr>
        <w:tc>
          <w:tcPr>
            <w:tcW w:w="5000" w:type="pct"/>
            <w:gridSpan w:val="4"/>
            <w:tcBorders>
              <w:bottom w:val="nil"/>
            </w:tcBorders>
            <w:vAlign w:val="center"/>
          </w:tcPr>
          <w:p w14:paraId="72C51B26" w14:textId="77777777" w:rsidR="00E93F58" w:rsidRPr="00FB5439" w:rsidRDefault="00E93F58" w:rsidP="004304A2">
            <w:pPr>
              <w:spacing w:before="120"/>
              <w:ind w:left="142"/>
              <w:rPr>
                <w:color w:val="000000"/>
                <w:sz w:val="18"/>
              </w:rPr>
            </w:pPr>
            <w:r w:rsidRPr="00FB5439">
              <w:rPr>
                <w:color w:val="000000"/>
                <w:sz w:val="18"/>
              </w:rPr>
              <w:lastRenderedPageBreak/>
              <w:t>Transferee’s broker hereby certifies:</w:t>
            </w:r>
          </w:p>
          <w:p w14:paraId="0EAF6523"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rights set out in Part 1 above having been purchased in the ordinary course of business, the Division 3 assets to which the Division 3 rights relate are to be issued to the transferee(s) named in the Renunciation and Consolidated Transfer Form relating to the rights; and</w:t>
            </w:r>
          </w:p>
          <w:p w14:paraId="79C7AB94"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7C0E51FC" w14:textId="77777777" w:rsidR="00E93F58" w:rsidRPr="00FB5439" w:rsidRDefault="00E93F58" w:rsidP="00070F64">
            <w:pPr>
              <w:spacing w:before="180"/>
              <w:ind w:left="142"/>
              <w:rPr>
                <w:color w:val="000000"/>
                <w:sz w:val="18"/>
              </w:rPr>
            </w:pPr>
            <w:r w:rsidRPr="00FB5439">
              <w:rPr>
                <w:color w:val="000000"/>
                <w:sz w:val="18"/>
              </w:rPr>
              <w:t>and hereby requests that the Division 3 assets be issued by the company to the transferee(s) and such entries be made in the register as are necessary to give effect to this renunciation and transfer.</w:t>
            </w:r>
          </w:p>
          <w:p w14:paraId="4C6C2F40" w14:textId="77777777" w:rsidR="00E93F58" w:rsidRPr="00FB5439" w:rsidRDefault="00E93F58" w:rsidP="00070F64">
            <w:pPr>
              <w:spacing w:before="180"/>
              <w:ind w:left="142"/>
              <w:rPr>
                <w:color w:val="000000"/>
                <w:sz w:val="18"/>
              </w:rPr>
            </w:pPr>
            <w:r w:rsidRPr="00FB5439">
              <w:rPr>
                <w:color w:val="000000"/>
                <w:sz w:val="18"/>
              </w:rPr>
              <w:t>[Transferee’s broker’s stamp]</w:t>
            </w:r>
          </w:p>
          <w:p w14:paraId="6D5D8A15" w14:textId="77777777" w:rsidR="00E93F58" w:rsidRPr="00FB5439" w:rsidRDefault="00E93F58" w:rsidP="00070F64">
            <w:pPr>
              <w:spacing w:before="180"/>
              <w:ind w:left="142"/>
              <w:rPr>
                <w:color w:val="000000"/>
                <w:sz w:val="18"/>
              </w:rPr>
            </w:pPr>
            <w:r w:rsidRPr="00FB5439">
              <w:rPr>
                <w:color w:val="000000"/>
                <w:sz w:val="18"/>
              </w:rPr>
              <w:t>Date of affixing stamp:</w:t>
            </w:r>
          </w:p>
        </w:tc>
      </w:tr>
    </w:tbl>
    <w:p w14:paraId="34F05556" w14:textId="77777777" w:rsidR="00E93F58" w:rsidRPr="00FB5439" w:rsidRDefault="00E93F58" w:rsidP="00A80D13">
      <w:pPr>
        <w:pStyle w:val="ActHead2"/>
        <w:pageBreakBefore/>
      </w:pPr>
      <w:bookmarkStart w:id="3260" w:name="_Toc151992814"/>
      <w:bookmarkStart w:id="3261" w:name="_Toc158713417"/>
      <w:r w:rsidRPr="00FB5439">
        <w:rPr>
          <w:rStyle w:val="CharPartNo"/>
        </w:rPr>
        <w:lastRenderedPageBreak/>
        <w:t>Form 7</w:t>
      </w:r>
      <w:bookmarkEnd w:id="3260"/>
      <w:bookmarkEnd w:id="3261"/>
      <w:r w:rsidRPr="00FB5439">
        <w:rPr>
          <w:rStyle w:val="CharPartText"/>
        </w:rPr>
        <w:t xml:space="preserve"> </w:t>
      </w:r>
      <w:r w:rsidRPr="00FB5439">
        <w:t xml:space="preserve"> </w:t>
      </w:r>
    </w:p>
    <w:p w14:paraId="03069804" w14:textId="77777777" w:rsidR="00E93F58" w:rsidRPr="00FB5439" w:rsidRDefault="00E93F58" w:rsidP="00070F64">
      <w:pPr>
        <w:rPr>
          <w:color w:val="000000"/>
          <w:sz w:val="16"/>
          <w:szCs w:val="16"/>
        </w:rPr>
      </w:pPr>
    </w:p>
    <w:tbl>
      <w:tblPr>
        <w:tblW w:w="5000" w:type="pct"/>
        <w:tblCellMar>
          <w:left w:w="0" w:type="dxa"/>
          <w:right w:w="0" w:type="dxa"/>
        </w:tblCellMar>
        <w:tblLook w:val="0000" w:firstRow="0" w:lastRow="0" w:firstColumn="0" w:lastColumn="0" w:noHBand="0" w:noVBand="0"/>
      </w:tblPr>
      <w:tblGrid>
        <w:gridCol w:w="4837"/>
        <w:gridCol w:w="659"/>
        <w:gridCol w:w="2200"/>
        <w:gridCol w:w="3077"/>
      </w:tblGrid>
      <w:tr w:rsidR="00E93F58" w:rsidRPr="00FB5439" w14:paraId="23EF8B76" w14:textId="77777777" w:rsidTr="00B23434">
        <w:tc>
          <w:tcPr>
            <w:tcW w:w="2551" w:type="pct"/>
            <w:gridSpan w:val="2"/>
            <w:vAlign w:val="center"/>
          </w:tcPr>
          <w:p w14:paraId="2F0287C7" w14:textId="77777777" w:rsidR="00E93F58" w:rsidRPr="00FB5439" w:rsidRDefault="00E93F58" w:rsidP="00070F64">
            <w:pPr>
              <w:spacing w:before="180"/>
              <w:jc w:val="center"/>
              <w:rPr>
                <w:color w:val="000000"/>
                <w:sz w:val="18"/>
              </w:rPr>
            </w:pPr>
            <w:r w:rsidRPr="00FB5439">
              <w:rPr>
                <w:color w:val="000000"/>
                <w:sz w:val="18"/>
              </w:rPr>
              <w:t>RENUNCIATION AND SPLIT TRANSFER FORM</w:t>
            </w:r>
          </w:p>
          <w:p w14:paraId="0F1FAB39" w14:textId="77777777" w:rsidR="00E93F58" w:rsidRPr="00FB5439" w:rsidRDefault="00E93F58" w:rsidP="00070F64">
            <w:pPr>
              <w:spacing w:before="60"/>
              <w:jc w:val="center"/>
              <w:rPr>
                <w:color w:val="000000"/>
                <w:sz w:val="18"/>
              </w:rPr>
            </w:pPr>
          </w:p>
        </w:tc>
        <w:tc>
          <w:tcPr>
            <w:tcW w:w="2449" w:type="pct"/>
            <w:gridSpan w:val="2"/>
            <w:vAlign w:val="center"/>
          </w:tcPr>
          <w:p w14:paraId="4CF87097" w14:textId="77777777" w:rsidR="00E93F58" w:rsidRPr="00FB5439" w:rsidRDefault="00E93F58" w:rsidP="00070F64">
            <w:pPr>
              <w:spacing w:before="180"/>
              <w:jc w:val="center"/>
              <w:rPr>
                <w:color w:val="000000"/>
                <w:sz w:val="18"/>
              </w:rPr>
            </w:pPr>
            <w:r w:rsidRPr="00FB5439">
              <w:rPr>
                <w:color w:val="000000"/>
                <w:sz w:val="18"/>
              </w:rPr>
              <w:t>MARKING STAMP</w:t>
            </w:r>
          </w:p>
          <w:p w14:paraId="7204243F" w14:textId="77777777" w:rsidR="00E93F58" w:rsidRPr="00FB5439" w:rsidRDefault="00E93F58" w:rsidP="00070F64">
            <w:pPr>
              <w:spacing w:before="60"/>
              <w:jc w:val="center"/>
              <w:rPr>
                <w:color w:val="000000"/>
                <w:sz w:val="18"/>
              </w:rPr>
            </w:pPr>
          </w:p>
        </w:tc>
      </w:tr>
      <w:tr w:rsidR="00E93F58" w:rsidRPr="00FB5439" w14:paraId="3EB02FA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37C5EA09" w14:textId="77777777" w:rsidR="00E93F58" w:rsidRPr="00FB5439" w:rsidRDefault="00E93F58" w:rsidP="00070F64">
            <w:pPr>
              <w:spacing w:before="80" w:after="80"/>
              <w:jc w:val="center"/>
              <w:rPr>
                <w:color w:val="000000"/>
                <w:sz w:val="18"/>
              </w:rPr>
            </w:pPr>
            <w:r>
              <w:rPr>
                <w:color w:val="000000"/>
                <w:sz w:val="18"/>
              </w:rPr>
              <w:t>PART 1</w:t>
            </w:r>
          </w:p>
        </w:tc>
      </w:tr>
      <w:tr w:rsidR="00E93F58" w:rsidRPr="00FB5439" w14:paraId="5F33B9D7"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08206E4A"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44D02CB4" w14:textId="77777777" w:rsidTr="00B23434">
        <w:tc>
          <w:tcPr>
            <w:tcW w:w="2245" w:type="pct"/>
            <w:vAlign w:val="center"/>
          </w:tcPr>
          <w:p w14:paraId="5E6D4658" w14:textId="77777777" w:rsidR="00E93F58" w:rsidRPr="00FB5439" w:rsidRDefault="00E93F58" w:rsidP="00070F64">
            <w:pPr>
              <w:spacing w:before="180"/>
              <w:ind w:left="142"/>
              <w:rPr>
                <w:color w:val="000000"/>
                <w:sz w:val="18"/>
              </w:rPr>
            </w:pPr>
            <w:r w:rsidRPr="00FB5439">
              <w:rPr>
                <w:color w:val="000000"/>
                <w:sz w:val="18"/>
              </w:rPr>
              <w:t xml:space="preserve">Description of Division 3 rights: </w:t>
            </w:r>
          </w:p>
        </w:tc>
        <w:tc>
          <w:tcPr>
            <w:tcW w:w="1327" w:type="pct"/>
            <w:gridSpan w:val="2"/>
            <w:vAlign w:val="center"/>
          </w:tcPr>
          <w:p w14:paraId="2130849F" w14:textId="77777777" w:rsidR="00E93F58" w:rsidRPr="00FB5439" w:rsidRDefault="00E93F58" w:rsidP="00070F64">
            <w:pPr>
              <w:spacing w:before="180"/>
              <w:ind w:left="142"/>
              <w:rPr>
                <w:color w:val="000000"/>
                <w:sz w:val="18"/>
              </w:rPr>
            </w:pPr>
          </w:p>
        </w:tc>
        <w:tc>
          <w:tcPr>
            <w:tcW w:w="1428" w:type="pct"/>
            <w:vAlign w:val="center"/>
          </w:tcPr>
          <w:p w14:paraId="5D5C9BC1"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344E517D" w14:textId="77777777" w:rsidTr="00B23434">
        <w:tc>
          <w:tcPr>
            <w:tcW w:w="2245" w:type="pct"/>
            <w:vAlign w:val="center"/>
          </w:tcPr>
          <w:p w14:paraId="014FDD52"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6FEA43CA" w14:textId="77777777" w:rsidR="00E93F58" w:rsidRPr="00FB5439" w:rsidRDefault="00E93F58" w:rsidP="00070F64">
            <w:pPr>
              <w:spacing w:before="180"/>
              <w:ind w:left="142"/>
              <w:rPr>
                <w:color w:val="000000"/>
                <w:sz w:val="18"/>
              </w:rPr>
            </w:pPr>
            <w:r w:rsidRPr="00FB5439">
              <w:rPr>
                <w:color w:val="000000"/>
                <w:sz w:val="18"/>
              </w:rPr>
              <w:t>[Words]</w:t>
            </w:r>
          </w:p>
        </w:tc>
        <w:tc>
          <w:tcPr>
            <w:tcW w:w="1428" w:type="pct"/>
            <w:vAlign w:val="center"/>
          </w:tcPr>
          <w:p w14:paraId="093794A6" w14:textId="77777777" w:rsidR="00E93F58" w:rsidRPr="00FB5439" w:rsidRDefault="00E93F58" w:rsidP="00070F64">
            <w:pPr>
              <w:spacing w:before="180"/>
              <w:ind w:left="142"/>
              <w:rPr>
                <w:color w:val="000000"/>
                <w:sz w:val="18"/>
              </w:rPr>
            </w:pPr>
            <w:r w:rsidRPr="00FB5439">
              <w:rPr>
                <w:color w:val="000000"/>
                <w:sz w:val="18"/>
              </w:rPr>
              <w:t>[Figures]</w:t>
            </w:r>
          </w:p>
        </w:tc>
      </w:tr>
      <w:tr w:rsidR="00E93F58" w:rsidRPr="00FB5439" w14:paraId="3516E17A" w14:textId="77777777" w:rsidTr="00B23434">
        <w:trPr>
          <w:cantSplit/>
        </w:trPr>
        <w:tc>
          <w:tcPr>
            <w:tcW w:w="2245" w:type="pct"/>
            <w:vAlign w:val="center"/>
          </w:tcPr>
          <w:p w14:paraId="3B98F031"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14:paraId="75436216" w14:textId="77777777" w:rsidR="00E93F58" w:rsidRPr="00FB5439" w:rsidRDefault="00E93F58" w:rsidP="00070F64">
            <w:pPr>
              <w:spacing w:before="180"/>
              <w:ind w:left="142"/>
              <w:rPr>
                <w:color w:val="000000"/>
                <w:sz w:val="18"/>
              </w:rPr>
            </w:pPr>
          </w:p>
        </w:tc>
      </w:tr>
      <w:tr w:rsidR="00E93F58" w:rsidRPr="00FB5439" w14:paraId="18A77A89" w14:textId="77777777" w:rsidTr="00B23434">
        <w:tc>
          <w:tcPr>
            <w:tcW w:w="2245" w:type="pct"/>
            <w:vAlign w:val="center"/>
          </w:tcPr>
          <w:p w14:paraId="49D4C5FC" w14:textId="77777777" w:rsidR="00E93F58" w:rsidRPr="00FB5439" w:rsidRDefault="00E93F58"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14:paraId="02BC2506" w14:textId="77777777" w:rsidR="00E93F58" w:rsidRPr="00FB5439" w:rsidRDefault="00E93F58" w:rsidP="00070F64">
            <w:pPr>
              <w:spacing w:before="180"/>
              <w:ind w:left="142"/>
              <w:rPr>
                <w:color w:val="000000"/>
                <w:sz w:val="18"/>
              </w:rPr>
            </w:pPr>
            <w:r w:rsidRPr="00FB5439">
              <w:rPr>
                <w:color w:val="000000"/>
                <w:sz w:val="18"/>
              </w:rPr>
              <w:t xml:space="preserve">The </w:t>
            </w:r>
            <w:r w:rsidRPr="00FB5439">
              <w:rPr>
                <w:i/>
                <w:color w:val="000000"/>
                <w:sz w:val="18"/>
              </w:rPr>
              <w:t>[name of market licensee]</w:t>
            </w:r>
            <w:r w:rsidRPr="00FB5439">
              <w:rPr>
                <w:color w:val="000000"/>
                <w:sz w:val="18"/>
              </w:rPr>
              <w:t xml:space="preserve"> hereby certifies that the Security Renunciation and Transfer Form or the Broker’s Renunciation and Transfer Form relating to the Division 3 rights set out above has been or will be lodged at the company’s office.</w:t>
            </w:r>
          </w:p>
          <w:p w14:paraId="06E50DCE" w14:textId="77777777" w:rsidR="00E93F58" w:rsidRPr="00FB5439" w:rsidRDefault="00E93F58" w:rsidP="00070F64">
            <w:pPr>
              <w:spacing w:before="180"/>
              <w:ind w:left="142"/>
              <w:rPr>
                <w:color w:val="000000"/>
                <w:sz w:val="18"/>
              </w:rPr>
            </w:pPr>
            <w:r w:rsidRPr="00FB5439">
              <w:rPr>
                <w:color w:val="000000"/>
                <w:sz w:val="18"/>
              </w:rPr>
              <w:t>[Market licensee stamp]</w:t>
            </w:r>
          </w:p>
          <w:p w14:paraId="1C4F5B47" w14:textId="77777777" w:rsidR="00E93F58" w:rsidRPr="00FB5439" w:rsidRDefault="00E93F58" w:rsidP="00070F64">
            <w:pPr>
              <w:spacing w:before="180"/>
              <w:ind w:left="142"/>
              <w:rPr>
                <w:color w:val="000000"/>
                <w:sz w:val="18"/>
              </w:rPr>
            </w:pPr>
            <w:r w:rsidRPr="00FB5439">
              <w:rPr>
                <w:color w:val="000000"/>
                <w:sz w:val="18"/>
              </w:rPr>
              <w:t xml:space="preserve">Affixed at </w:t>
            </w:r>
          </w:p>
          <w:p w14:paraId="2B6D692F" w14:textId="77777777" w:rsidR="00E93F58" w:rsidRPr="00FB5439" w:rsidRDefault="00E93F58" w:rsidP="00070F64">
            <w:pPr>
              <w:spacing w:before="180"/>
              <w:ind w:left="142"/>
              <w:rPr>
                <w:color w:val="000000"/>
                <w:sz w:val="18"/>
              </w:rPr>
            </w:pPr>
            <w:r w:rsidRPr="00FB5439">
              <w:rPr>
                <w:color w:val="000000"/>
                <w:sz w:val="18"/>
              </w:rPr>
              <w:t xml:space="preserve">on </w:t>
            </w:r>
          </w:p>
          <w:p w14:paraId="1F68F5B9" w14:textId="77777777" w:rsidR="00E93F58" w:rsidRPr="00FB5439" w:rsidRDefault="00E93F58" w:rsidP="00070F64">
            <w:pPr>
              <w:spacing w:before="180"/>
              <w:ind w:left="142"/>
              <w:rPr>
                <w:color w:val="000000"/>
                <w:sz w:val="18"/>
              </w:rPr>
            </w:pPr>
            <w:r w:rsidRPr="00FB5439">
              <w:rPr>
                <w:color w:val="000000"/>
                <w:sz w:val="18"/>
              </w:rPr>
              <w:t xml:space="preserve">(place and date of affixing stamp) </w:t>
            </w:r>
          </w:p>
        </w:tc>
      </w:tr>
      <w:tr w:rsidR="00E93F58" w:rsidRPr="00FB5439" w14:paraId="6E00CE86"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6C149E10" w14:textId="77777777" w:rsidR="00E93F58" w:rsidRPr="00FB5439" w:rsidRDefault="00E93F58" w:rsidP="00070F64">
            <w:pPr>
              <w:spacing w:before="200" w:after="80"/>
              <w:jc w:val="center"/>
              <w:rPr>
                <w:color w:val="000000"/>
                <w:sz w:val="18"/>
              </w:rPr>
            </w:pPr>
            <w:r>
              <w:rPr>
                <w:color w:val="000000"/>
                <w:sz w:val="18"/>
              </w:rPr>
              <w:t>PART 2</w:t>
            </w:r>
          </w:p>
        </w:tc>
      </w:tr>
      <w:tr w:rsidR="00E93F58" w:rsidRPr="00FB5439" w14:paraId="0DE9A895" w14:textId="77777777" w:rsidTr="00B23434">
        <w:tc>
          <w:tcPr>
            <w:tcW w:w="2245" w:type="pct"/>
            <w:vAlign w:val="center"/>
          </w:tcPr>
          <w:p w14:paraId="2FFFD2E8" w14:textId="77777777" w:rsidR="00E93F58" w:rsidRPr="00FB5439" w:rsidRDefault="00E93F58" w:rsidP="00070F64">
            <w:pPr>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14:paraId="044ADB3D"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46C9552D"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rights set out in Part 1 above having been purchased in the ordinary course of business, the Division 3 assets to which the Division 3 rights relate are to be issued to the transferee(s) named in this Part; and</w:t>
            </w:r>
          </w:p>
          <w:p w14:paraId="34D58B05"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7F431954" w14:textId="77777777" w:rsidR="00E93F58" w:rsidRPr="00FB5439" w:rsidRDefault="00E93F58" w:rsidP="00070F64">
            <w:pPr>
              <w:spacing w:before="60"/>
              <w:ind w:left="142"/>
              <w:rPr>
                <w:color w:val="000000"/>
                <w:sz w:val="18"/>
              </w:rPr>
            </w:pPr>
            <w:r w:rsidRPr="00FB5439">
              <w:rPr>
                <w:color w:val="000000"/>
                <w:sz w:val="18"/>
              </w:rPr>
              <w:t>and hereby requests that the Division 3 assets be issued by the company to the transferee(s) and such entries be made in the register as are necessary to give effect to this renunciation and transfer.</w:t>
            </w:r>
          </w:p>
          <w:p w14:paraId="4C2F958A" w14:textId="77777777" w:rsidR="00E93F58" w:rsidRPr="00FB5439" w:rsidRDefault="00E93F58" w:rsidP="00070F64">
            <w:pPr>
              <w:spacing w:before="120"/>
              <w:ind w:left="142"/>
              <w:rPr>
                <w:color w:val="000000"/>
                <w:sz w:val="18"/>
              </w:rPr>
            </w:pPr>
            <w:r w:rsidRPr="00FB5439">
              <w:rPr>
                <w:color w:val="000000"/>
                <w:sz w:val="18"/>
              </w:rPr>
              <w:t>[Transferee’s broker’s stamp]</w:t>
            </w:r>
          </w:p>
          <w:p w14:paraId="5888A9DF" w14:textId="77777777" w:rsidR="00E93F58" w:rsidRPr="00FB5439" w:rsidRDefault="00E93F58" w:rsidP="00070F64">
            <w:pPr>
              <w:spacing w:before="120"/>
              <w:ind w:left="142"/>
              <w:rPr>
                <w:color w:val="000000"/>
                <w:sz w:val="18"/>
              </w:rPr>
            </w:pPr>
            <w:r w:rsidRPr="00FB5439">
              <w:rPr>
                <w:color w:val="000000"/>
                <w:sz w:val="18"/>
              </w:rPr>
              <w:t xml:space="preserve">Date of affixing stamp: </w:t>
            </w:r>
          </w:p>
        </w:tc>
      </w:tr>
      <w:tr w:rsidR="00E93F58" w:rsidRPr="00FB5439" w14:paraId="6DA9D2E5"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57F50411" w14:textId="77777777" w:rsidR="00E93F58" w:rsidRPr="00FB5439" w:rsidRDefault="00E93F58" w:rsidP="00D00422">
            <w:pPr>
              <w:keepNext/>
              <w:keepLines/>
              <w:spacing w:before="80" w:after="80"/>
              <w:jc w:val="center"/>
              <w:rPr>
                <w:color w:val="000000"/>
                <w:sz w:val="18"/>
              </w:rPr>
            </w:pPr>
            <w:r>
              <w:rPr>
                <w:color w:val="000000"/>
                <w:sz w:val="18"/>
              </w:rPr>
              <w:t>PART 3</w:t>
            </w:r>
          </w:p>
        </w:tc>
      </w:tr>
      <w:tr w:rsidR="00E93F58" w:rsidRPr="00FB5439" w14:paraId="56BB6305" w14:textId="77777777" w:rsidTr="00D00422">
        <w:trPr>
          <w:cantSplit/>
        </w:trPr>
        <w:tc>
          <w:tcPr>
            <w:tcW w:w="5000" w:type="pct"/>
            <w:gridSpan w:val="4"/>
            <w:tcBorders>
              <w:bottom w:val="nil"/>
            </w:tcBorders>
            <w:vAlign w:val="center"/>
          </w:tcPr>
          <w:p w14:paraId="270C896A" w14:textId="77777777" w:rsidR="00E93F58" w:rsidRPr="00FB5439" w:rsidRDefault="00E93F58" w:rsidP="00070F64">
            <w:pPr>
              <w:spacing w:before="180"/>
              <w:ind w:left="142"/>
              <w:rPr>
                <w:color w:val="000000"/>
                <w:sz w:val="18"/>
              </w:rPr>
            </w:pPr>
            <w:r w:rsidRPr="00FB5439">
              <w:rPr>
                <w:color w:val="000000"/>
                <w:sz w:val="18"/>
              </w:rPr>
              <w:t>Transferee’s broker hereby certifies:</w:t>
            </w:r>
          </w:p>
          <w:p w14:paraId="2700627A" w14:textId="77777777" w:rsidR="00E93F58" w:rsidRPr="00FB5439" w:rsidRDefault="00E93F58" w:rsidP="00070F64">
            <w:pPr>
              <w:spacing w:before="60"/>
              <w:ind w:left="567" w:hanging="425"/>
              <w:rPr>
                <w:color w:val="000000"/>
                <w:sz w:val="18"/>
              </w:rPr>
            </w:pPr>
            <w:r w:rsidRPr="00FB5439">
              <w:rPr>
                <w:color w:val="000000"/>
                <w:sz w:val="18"/>
              </w:rPr>
              <w:t>(a)</w:t>
            </w:r>
            <w:r w:rsidRPr="00FB5439">
              <w:rPr>
                <w:color w:val="000000"/>
                <w:sz w:val="18"/>
              </w:rPr>
              <w:tab/>
              <w:t>that, the Division 3 rights set out in Part 1 above having been purchased in the ordinary course of business, the Division 3 assets to which the Division 3 rights relate are to be issued to the transferee(s) named in the Renunciation and Consolidated Transfer Form relating to the rights; and</w:t>
            </w:r>
          </w:p>
          <w:p w14:paraId="54CEBA49" w14:textId="77777777" w:rsidR="00E93F58" w:rsidRPr="00FB5439" w:rsidRDefault="00E93F58"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19CD65CD" w14:textId="77777777" w:rsidR="00E93F58" w:rsidRPr="00FB5439" w:rsidRDefault="00E93F58" w:rsidP="00070F64">
            <w:pPr>
              <w:spacing w:before="180"/>
              <w:ind w:left="142"/>
              <w:rPr>
                <w:color w:val="000000"/>
                <w:sz w:val="18"/>
              </w:rPr>
            </w:pPr>
            <w:r w:rsidRPr="00FB5439">
              <w:rPr>
                <w:color w:val="000000"/>
                <w:sz w:val="18"/>
              </w:rPr>
              <w:t>and hereby requests that the Division 3 assets be issued by the company to the transferee(s) and such entries be made in the register as are necessary to give effect to this renunciation and transfer.</w:t>
            </w:r>
          </w:p>
          <w:p w14:paraId="77C736CC" w14:textId="77777777" w:rsidR="00E93F58" w:rsidRPr="00FB5439" w:rsidRDefault="00E93F58" w:rsidP="00070F64">
            <w:pPr>
              <w:spacing w:before="180"/>
              <w:ind w:left="142"/>
              <w:rPr>
                <w:color w:val="000000"/>
                <w:sz w:val="18"/>
              </w:rPr>
            </w:pPr>
            <w:r w:rsidRPr="00FB5439">
              <w:rPr>
                <w:color w:val="000000"/>
                <w:sz w:val="18"/>
              </w:rPr>
              <w:t>(Transferee’s broker’s stamp)</w:t>
            </w:r>
          </w:p>
          <w:p w14:paraId="308E1B55" w14:textId="77777777" w:rsidR="00E93F58" w:rsidRPr="00FB5439" w:rsidRDefault="00E93F58" w:rsidP="00070F64">
            <w:pPr>
              <w:spacing w:before="180"/>
              <w:ind w:left="142"/>
              <w:rPr>
                <w:color w:val="000000"/>
                <w:sz w:val="18"/>
              </w:rPr>
            </w:pPr>
            <w:r w:rsidRPr="00FB5439">
              <w:rPr>
                <w:color w:val="000000"/>
                <w:sz w:val="18"/>
              </w:rPr>
              <w:t xml:space="preserve">Date of affixing stamp: </w:t>
            </w:r>
          </w:p>
        </w:tc>
      </w:tr>
    </w:tbl>
    <w:p w14:paraId="6DD29A2B" w14:textId="77777777" w:rsidR="00E93F58" w:rsidRPr="00FB5439" w:rsidRDefault="00E93F58" w:rsidP="00A80D13">
      <w:pPr>
        <w:pStyle w:val="ActHead2"/>
        <w:pageBreakBefore/>
        <w:spacing w:before="120"/>
      </w:pPr>
      <w:bookmarkStart w:id="3262" w:name="_Toc151992815"/>
      <w:bookmarkStart w:id="3263" w:name="_Toc158713418"/>
      <w:r w:rsidRPr="00FB5439">
        <w:rPr>
          <w:rStyle w:val="CharPartNo"/>
        </w:rPr>
        <w:lastRenderedPageBreak/>
        <w:t>Form 8</w:t>
      </w:r>
      <w:bookmarkEnd w:id="3262"/>
      <w:bookmarkEnd w:id="3263"/>
      <w:r w:rsidRPr="00FB5439">
        <w:rPr>
          <w:rStyle w:val="CharPartText"/>
        </w:rPr>
        <w:t xml:space="preserve"> </w:t>
      </w:r>
      <w:r w:rsidRPr="00FB5439">
        <w:t xml:space="preserve"> </w:t>
      </w:r>
    </w:p>
    <w:p w14:paraId="43715E47" w14:textId="77777777" w:rsidR="00E93F58" w:rsidRPr="00FB5439" w:rsidRDefault="00E93F58" w:rsidP="001B2974">
      <w:pPr>
        <w:rPr>
          <w:color w:val="000000"/>
          <w:sz w:val="16"/>
          <w:szCs w:val="16"/>
        </w:rPr>
      </w:pPr>
    </w:p>
    <w:tbl>
      <w:tblPr>
        <w:tblW w:w="5000" w:type="pct"/>
        <w:tblCellMar>
          <w:left w:w="0" w:type="dxa"/>
          <w:right w:w="0" w:type="dxa"/>
        </w:tblCellMar>
        <w:tblLook w:val="0000" w:firstRow="0" w:lastRow="0" w:firstColumn="0" w:lastColumn="0" w:noHBand="0" w:noVBand="0"/>
      </w:tblPr>
      <w:tblGrid>
        <w:gridCol w:w="4837"/>
        <w:gridCol w:w="659"/>
        <w:gridCol w:w="2200"/>
        <w:gridCol w:w="3077"/>
      </w:tblGrid>
      <w:tr w:rsidR="00E93F58" w:rsidRPr="00FB5439" w14:paraId="181FD3A4" w14:textId="77777777" w:rsidTr="00B23434">
        <w:tc>
          <w:tcPr>
            <w:tcW w:w="2551" w:type="pct"/>
            <w:gridSpan w:val="2"/>
            <w:vAlign w:val="center"/>
          </w:tcPr>
          <w:p w14:paraId="6F3AB0F7" w14:textId="77777777" w:rsidR="00E93F58" w:rsidRPr="00FB5439" w:rsidRDefault="00E93F58" w:rsidP="00070F64">
            <w:pPr>
              <w:spacing w:before="180"/>
              <w:jc w:val="center"/>
              <w:rPr>
                <w:color w:val="000000"/>
                <w:sz w:val="18"/>
              </w:rPr>
            </w:pPr>
            <w:r w:rsidRPr="00FB5439">
              <w:rPr>
                <w:color w:val="000000"/>
                <w:sz w:val="18"/>
              </w:rPr>
              <w:t>RENUNCIATION AND CONSOLIDATION TRANSFER FORM</w:t>
            </w:r>
          </w:p>
          <w:p w14:paraId="39A3F881" w14:textId="77777777" w:rsidR="00E93F58" w:rsidRPr="00FB5439" w:rsidRDefault="00E93F58" w:rsidP="00070F64">
            <w:pPr>
              <w:spacing w:before="60"/>
              <w:jc w:val="center"/>
              <w:rPr>
                <w:color w:val="000000"/>
                <w:sz w:val="18"/>
              </w:rPr>
            </w:pPr>
          </w:p>
        </w:tc>
        <w:tc>
          <w:tcPr>
            <w:tcW w:w="2449" w:type="pct"/>
            <w:gridSpan w:val="2"/>
            <w:vAlign w:val="center"/>
          </w:tcPr>
          <w:p w14:paraId="6281419B" w14:textId="77777777" w:rsidR="00E93F58" w:rsidRPr="00FB5439" w:rsidRDefault="00E93F58" w:rsidP="00070F64">
            <w:pPr>
              <w:spacing w:before="180"/>
              <w:jc w:val="center"/>
              <w:rPr>
                <w:color w:val="000000"/>
                <w:sz w:val="18"/>
              </w:rPr>
            </w:pPr>
            <w:r w:rsidRPr="00FB5439">
              <w:rPr>
                <w:color w:val="000000"/>
                <w:sz w:val="18"/>
              </w:rPr>
              <w:t>MARKING STAMP</w:t>
            </w:r>
          </w:p>
          <w:p w14:paraId="13BEC1DC" w14:textId="77777777" w:rsidR="00E93F58" w:rsidRPr="00FB5439" w:rsidRDefault="00E93F58" w:rsidP="00070F64">
            <w:pPr>
              <w:spacing w:before="60"/>
              <w:jc w:val="center"/>
              <w:rPr>
                <w:color w:val="000000"/>
                <w:sz w:val="18"/>
              </w:rPr>
            </w:pPr>
          </w:p>
        </w:tc>
      </w:tr>
      <w:tr w:rsidR="00E93F58" w:rsidRPr="00FB5439" w14:paraId="5D183E8F"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1806EF55" w14:textId="77777777" w:rsidR="00E93F58" w:rsidRPr="00FB5439" w:rsidRDefault="00E93F58" w:rsidP="004304A2">
            <w:pPr>
              <w:spacing w:before="60" w:after="60"/>
              <w:jc w:val="center"/>
              <w:rPr>
                <w:color w:val="000000"/>
                <w:sz w:val="18"/>
              </w:rPr>
            </w:pPr>
            <w:r>
              <w:rPr>
                <w:color w:val="000000"/>
                <w:sz w:val="18"/>
              </w:rPr>
              <w:t>PART 1</w:t>
            </w:r>
          </w:p>
        </w:tc>
      </w:tr>
      <w:tr w:rsidR="00E93F58" w:rsidRPr="00FB5439" w14:paraId="4DE62552"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0624D403"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3702823F" w14:textId="77777777" w:rsidTr="00B23434">
        <w:tc>
          <w:tcPr>
            <w:tcW w:w="2245" w:type="pct"/>
            <w:vAlign w:val="center"/>
          </w:tcPr>
          <w:p w14:paraId="11329767" w14:textId="77777777" w:rsidR="00E93F58" w:rsidRPr="00FB5439" w:rsidRDefault="00E93F58" w:rsidP="00070F64">
            <w:pPr>
              <w:spacing w:before="180"/>
              <w:ind w:left="142"/>
              <w:rPr>
                <w:color w:val="000000"/>
                <w:sz w:val="18"/>
              </w:rPr>
            </w:pPr>
            <w:r w:rsidRPr="00FB5439">
              <w:rPr>
                <w:color w:val="000000"/>
                <w:sz w:val="18"/>
              </w:rPr>
              <w:t xml:space="preserve">Description of Division 3 rights: </w:t>
            </w:r>
          </w:p>
        </w:tc>
        <w:tc>
          <w:tcPr>
            <w:tcW w:w="1327" w:type="pct"/>
            <w:gridSpan w:val="2"/>
            <w:vAlign w:val="center"/>
          </w:tcPr>
          <w:p w14:paraId="5CE71160" w14:textId="77777777" w:rsidR="00E93F58" w:rsidRPr="00FB5439" w:rsidRDefault="00E93F58" w:rsidP="00070F64">
            <w:pPr>
              <w:spacing w:before="180"/>
              <w:ind w:left="142"/>
              <w:rPr>
                <w:color w:val="000000"/>
                <w:sz w:val="18"/>
              </w:rPr>
            </w:pPr>
          </w:p>
        </w:tc>
        <w:tc>
          <w:tcPr>
            <w:tcW w:w="1428" w:type="pct"/>
            <w:vAlign w:val="center"/>
          </w:tcPr>
          <w:p w14:paraId="27926A3E"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51BAEBA3" w14:textId="77777777" w:rsidTr="00B23434">
        <w:tc>
          <w:tcPr>
            <w:tcW w:w="2245" w:type="pct"/>
            <w:vAlign w:val="center"/>
          </w:tcPr>
          <w:p w14:paraId="764B8DCA"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4B8B7598" w14:textId="77777777" w:rsidR="00E93F58" w:rsidRPr="00FB5439" w:rsidRDefault="00E93F58" w:rsidP="00070F64">
            <w:pPr>
              <w:spacing w:before="180"/>
              <w:ind w:left="142"/>
              <w:rPr>
                <w:color w:val="000000"/>
                <w:sz w:val="18"/>
              </w:rPr>
            </w:pPr>
            <w:r w:rsidRPr="00FB5439">
              <w:rPr>
                <w:color w:val="000000"/>
                <w:sz w:val="18"/>
              </w:rPr>
              <w:t>[Words]</w:t>
            </w:r>
          </w:p>
        </w:tc>
        <w:tc>
          <w:tcPr>
            <w:tcW w:w="1428" w:type="pct"/>
            <w:vAlign w:val="center"/>
          </w:tcPr>
          <w:p w14:paraId="402B21C2" w14:textId="77777777" w:rsidR="00E93F58" w:rsidRPr="00FB5439" w:rsidRDefault="00E93F58" w:rsidP="00070F64">
            <w:pPr>
              <w:spacing w:before="180"/>
              <w:ind w:left="142"/>
              <w:rPr>
                <w:color w:val="000000"/>
                <w:sz w:val="18"/>
              </w:rPr>
            </w:pPr>
            <w:r w:rsidRPr="00FB5439">
              <w:rPr>
                <w:color w:val="000000"/>
                <w:sz w:val="18"/>
              </w:rPr>
              <w:t>[Figures]</w:t>
            </w:r>
          </w:p>
        </w:tc>
      </w:tr>
      <w:tr w:rsidR="00E93F58" w:rsidRPr="00FB5439" w14:paraId="751BC877" w14:textId="77777777" w:rsidTr="00B23434">
        <w:trPr>
          <w:cantSplit/>
        </w:trPr>
        <w:tc>
          <w:tcPr>
            <w:tcW w:w="2245" w:type="pct"/>
            <w:vAlign w:val="center"/>
          </w:tcPr>
          <w:p w14:paraId="0AEEB618"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14:paraId="02CC5D16" w14:textId="77777777" w:rsidR="00E93F58" w:rsidRPr="00FB5439" w:rsidRDefault="00E93F58" w:rsidP="00070F64">
            <w:pPr>
              <w:spacing w:before="180"/>
              <w:ind w:left="142"/>
              <w:rPr>
                <w:color w:val="000000"/>
                <w:sz w:val="18"/>
              </w:rPr>
            </w:pPr>
          </w:p>
        </w:tc>
      </w:tr>
      <w:tr w:rsidR="00E93F58" w:rsidRPr="00FB5439" w14:paraId="32B33E1D" w14:textId="77777777" w:rsidTr="00B23434">
        <w:trPr>
          <w:cantSplit/>
        </w:trPr>
        <w:tc>
          <w:tcPr>
            <w:tcW w:w="2245" w:type="pct"/>
            <w:vAlign w:val="center"/>
          </w:tcPr>
          <w:p w14:paraId="45E67545" w14:textId="77777777" w:rsidR="00E93F58" w:rsidRPr="00FB5439" w:rsidRDefault="00E93F58" w:rsidP="00070F64">
            <w:pPr>
              <w:spacing w:before="180"/>
              <w:ind w:left="142"/>
              <w:rPr>
                <w:color w:val="000000"/>
                <w:sz w:val="18"/>
              </w:rPr>
            </w:pPr>
            <w:r w:rsidRPr="00FB5439">
              <w:rPr>
                <w:color w:val="000000"/>
                <w:sz w:val="18"/>
              </w:rPr>
              <w:t xml:space="preserve">Transfer Consolidation Number: </w:t>
            </w:r>
          </w:p>
        </w:tc>
        <w:tc>
          <w:tcPr>
            <w:tcW w:w="2755" w:type="pct"/>
            <w:gridSpan w:val="3"/>
            <w:vAlign w:val="center"/>
          </w:tcPr>
          <w:p w14:paraId="352DA22C" w14:textId="77777777" w:rsidR="00E93F58" w:rsidRPr="00FB5439" w:rsidRDefault="00E93F58" w:rsidP="00070F64">
            <w:pPr>
              <w:spacing w:before="180"/>
              <w:ind w:left="142"/>
              <w:rPr>
                <w:color w:val="000000"/>
                <w:sz w:val="18"/>
              </w:rPr>
            </w:pPr>
          </w:p>
        </w:tc>
      </w:tr>
      <w:tr w:rsidR="00E93F58" w:rsidRPr="00FB5439" w14:paraId="60AD2A8C"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2162A6FE" w14:textId="77777777" w:rsidR="00E93F58" w:rsidRPr="00FB5439" w:rsidRDefault="00E93F58" w:rsidP="004304A2">
            <w:pPr>
              <w:spacing w:before="60" w:after="60"/>
              <w:jc w:val="center"/>
              <w:rPr>
                <w:color w:val="000000"/>
                <w:sz w:val="18"/>
              </w:rPr>
            </w:pPr>
            <w:r>
              <w:rPr>
                <w:color w:val="000000"/>
                <w:sz w:val="18"/>
              </w:rPr>
              <w:t>PART 2</w:t>
            </w:r>
          </w:p>
        </w:tc>
      </w:tr>
      <w:tr w:rsidR="00E93F58" w:rsidRPr="00FB5439" w14:paraId="2DBA0D42" w14:textId="77777777" w:rsidTr="00B23434">
        <w:trPr>
          <w:cantSplit/>
        </w:trPr>
        <w:tc>
          <w:tcPr>
            <w:tcW w:w="2245" w:type="pct"/>
            <w:vAlign w:val="center"/>
          </w:tcPr>
          <w:p w14:paraId="6E46399D" w14:textId="77777777" w:rsidR="00E93F58" w:rsidRPr="00FB5439" w:rsidRDefault="00E93F58" w:rsidP="002405A2">
            <w:pPr>
              <w:widowControl w:val="0"/>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14:paraId="171D2670" w14:textId="77777777" w:rsidR="00E93F58" w:rsidRPr="00FB5439" w:rsidRDefault="00E93F58" w:rsidP="002405A2">
            <w:pPr>
              <w:widowControl w:val="0"/>
              <w:spacing w:before="180"/>
              <w:ind w:left="142"/>
              <w:rPr>
                <w:color w:val="000000"/>
                <w:sz w:val="18"/>
              </w:rPr>
            </w:pPr>
            <w:r w:rsidRPr="00FB5439">
              <w:rPr>
                <w:color w:val="000000"/>
                <w:sz w:val="18"/>
              </w:rPr>
              <w:t>Transferee’s broker hereby certifies:</w:t>
            </w:r>
          </w:p>
          <w:p w14:paraId="54584777" w14:textId="77777777" w:rsidR="00E93F58" w:rsidRPr="00FB5439" w:rsidRDefault="00E93F58" w:rsidP="002405A2">
            <w:pPr>
              <w:widowControl w:val="0"/>
              <w:spacing w:before="60"/>
              <w:ind w:left="567" w:hanging="425"/>
              <w:rPr>
                <w:color w:val="000000"/>
                <w:sz w:val="18"/>
              </w:rPr>
            </w:pPr>
            <w:r w:rsidRPr="00FB5439">
              <w:rPr>
                <w:color w:val="000000"/>
                <w:sz w:val="18"/>
              </w:rPr>
              <w:t>(a)</w:t>
            </w:r>
            <w:r w:rsidRPr="00FB5439">
              <w:rPr>
                <w:color w:val="000000"/>
                <w:sz w:val="18"/>
              </w:rPr>
              <w:tab/>
              <w:t>that, the Division 3 rights set out in Part 1 of the Form(s) whose Transfer Consolidation Number(s) is (or are) set out in Part 1 above having been purchased in the ordinary course of business, the Division 3 assets to which the Division 3 rights relate are to be issued to the transferee(s) named in this Part; and</w:t>
            </w:r>
          </w:p>
          <w:p w14:paraId="59BA8396" w14:textId="77777777" w:rsidR="00E93F58" w:rsidRPr="00FB5439" w:rsidRDefault="00E93F58" w:rsidP="002405A2">
            <w:pPr>
              <w:widowControl w:val="0"/>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14:paraId="6356E5C9" w14:textId="77777777" w:rsidR="00E93F58" w:rsidRPr="00FB5439" w:rsidRDefault="00E93F58" w:rsidP="002405A2">
            <w:pPr>
              <w:widowControl w:val="0"/>
              <w:spacing w:before="60"/>
              <w:ind w:left="142"/>
              <w:rPr>
                <w:color w:val="000000"/>
                <w:sz w:val="18"/>
              </w:rPr>
            </w:pPr>
            <w:r w:rsidRPr="00FB5439">
              <w:rPr>
                <w:color w:val="000000"/>
                <w:sz w:val="18"/>
              </w:rPr>
              <w:t>and hereby requests that the Division 3 assets be issued by the company to the transferee(s) and such entries be made in the register as are necessary to give effect to the renunciation(s) and transfer(s).</w:t>
            </w:r>
          </w:p>
          <w:p w14:paraId="17BA3720" w14:textId="77777777" w:rsidR="00E93F58" w:rsidRPr="00FB5439" w:rsidRDefault="00E93F58" w:rsidP="002405A2">
            <w:pPr>
              <w:widowControl w:val="0"/>
              <w:spacing w:before="180"/>
              <w:ind w:left="142"/>
              <w:rPr>
                <w:color w:val="000000"/>
                <w:sz w:val="18"/>
              </w:rPr>
            </w:pPr>
            <w:r w:rsidRPr="00FB5439">
              <w:rPr>
                <w:color w:val="000000"/>
                <w:sz w:val="18"/>
              </w:rPr>
              <w:t>[Transferee’s broker’s stamp]</w:t>
            </w:r>
          </w:p>
          <w:p w14:paraId="5DE177B4" w14:textId="77777777" w:rsidR="00E93F58" w:rsidRPr="00FB5439" w:rsidRDefault="00E93F58" w:rsidP="002405A2">
            <w:pPr>
              <w:widowControl w:val="0"/>
              <w:spacing w:before="180"/>
              <w:ind w:left="142"/>
              <w:rPr>
                <w:color w:val="000000"/>
                <w:sz w:val="18"/>
              </w:rPr>
            </w:pPr>
            <w:r w:rsidRPr="00FB5439">
              <w:rPr>
                <w:color w:val="000000"/>
                <w:sz w:val="18"/>
              </w:rPr>
              <w:t xml:space="preserve">Date of affixing stamp: </w:t>
            </w:r>
          </w:p>
        </w:tc>
      </w:tr>
    </w:tbl>
    <w:p w14:paraId="559B60C9" w14:textId="77777777" w:rsidR="00E93F58" w:rsidRPr="00FB5439" w:rsidRDefault="00E93F58" w:rsidP="00A80D13">
      <w:pPr>
        <w:pStyle w:val="ActHead2"/>
        <w:pageBreakBefore/>
      </w:pPr>
      <w:bookmarkStart w:id="3264" w:name="_Toc151992816"/>
      <w:bookmarkStart w:id="3265" w:name="_Toc158713419"/>
      <w:r w:rsidRPr="00FB5439">
        <w:rPr>
          <w:rStyle w:val="CharPartNo"/>
        </w:rPr>
        <w:lastRenderedPageBreak/>
        <w:t>Form 9</w:t>
      </w:r>
      <w:bookmarkEnd w:id="3264"/>
      <w:bookmarkEnd w:id="3265"/>
      <w:r w:rsidRPr="00FB5439">
        <w:rPr>
          <w:rStyle w:val="CharPartText"/>
        </w:rPr>
        <w:t xml:space="preserve"> </w:t>
      </w:r>
      <w:r w:rsidRPr="00FB5439">
        <w:t xml:space="preserve"> </w:t>
      </w:r>
    </w:p>
    <w:p w14:paraId="44DCE79F" w14:textId="77777777" w:rsidR="00E93F58" w:rsidRPr="00FB5439" w:rsidRDefault="00E93F58" w:rsidP="00070F64">
      <w:pPr>
        <w:rPr>
          <w:color w:val="000000"/>
        </w:rPr>
      </w:pPr>
    </w:p>
    <w:tbl>
      <w:tblPr>
        <w:tblW w:w="5000" w:type="pct"/>
        <w:tblCellMar>
          <w:left w:w="0" w:type="dxa"/>
          <w:right w:w="0" w:type="dxa"/>
        </w:tblCellMar>
        <w:tblLook w:val="0000" w:firstRow="0" w:lastRow="0" w:firstColumn="0" w:lastColumn="0" w:noHBand="0" w:noVBand="0"/>
      </w:tblPr>
      <w:tblGrid>
        <w:gridCol w:w="4395"/>
        <w:gridCol w:w="440"/>
        <w:gridCol w:w="659"/>
        <w:gridCol w:w="2200"/>
        <w:gridCol w:w="1758"/>
        <w:gridCol w:w="1321"/>
      </w:tblGrid>
      <w:tr w:rsidR="00E93F58" w:rsidRPr="00FB5439" w14:paraId="454BC53F" w14:textId="77777777" w:rsidTr="00B23434">
        <w:tc>
          <w:tcPr>
            <w:tcW w:w="2550" w:type="pct"/>
            <w:gridSpan w:val="3"/>
            <w:vAlign w:val="center"/>
          </w:tcPr>
          <w:p w14:paraId="69AE881D" w14:textId="77777777" w:rsidR="00E93F58" w:rsidRPr="00FB5439" w:rsidRDefault="00E93F58" w:rsidP="00070F64">
            <w:pPr>
              <w:spacing w:before="180"/>
              <w:jc w:val="center"/>
              <w:rPr>
                <w:color w:val="000000"/>
                <w:sz w:val="18"/>
              </w:rPr>
            </w:pPr>
            <w:r w:rsidRPr="00FB5439">
              <w:rPr>
                <w:color w:val="000000"/>
                <w:sz w:val="18"/>
              </w:rPr>
              <w:t>TRUSTEE TRANSFER FORM</w:t>
            </w:r>
          </w:p>
          <w:p w14:paraId="67A8BA11" w14:textId="77777777" w:rsidR="00E93F58" w:rsidRPr="00FB5439" w:rsidRDefault="00E93F58" w:rsidP="00070F64">
            <w:pPr>
              <w:spacing w:before="60"/>
              <w:jc w:val="center"/>
              <w:rPr>
                <w:color w:val="000000"/>
                <w:sz w:val="18"/>
              </w:rPr>
            </w:pPr>
          </w:p>
        </w:tc>
        <w:tc>
          <w:tcPr>
            <w:tcW w:w="2450" w:type="pct"/>
            <w:gridSpan w:val="3"/>
            <w:vAlign w:val="center"/>
          </w:tcPr>
          <w:p w14:paraId="4EF70FD7" w14:textId="77777777" w:rsidR="00E93F58" w:rsidRPr="00FB5439" w:rsidRDefault="00E93F58" w:rsidP="00070F64">
            <w:pPr>
              <w:spacing w:before="180"/>
              <w:jc w:val="center"/>
              <w:rPr>
                <w:color w:val="000000"/>
                <w:sz w:val="18"/>
              </w:rPr>
            </w:pPr>
            <w:r w:rsidRPr="00FB5439">
              <w:rPr>
                <w:color w:val="000000"/>
                <w:sz w:val="18"/>
              </w:rPr>
              <w:t>MARKING STAMP</w:t>
            </w:r>
          </w:p>
          <w:p w14:paraId="772799FF" w14:textId="77777777" w:rsidR="00E93F58" w:rsidRPr="00FB5439" w:rsidRDefault="00E93F58" w:rsidP="00070F64">
            <w:pPr>
              <w:spacing w:before="60"/>
              <w:jc w:val="center"/>
              <w:rPr>
                <w:color w:val="000000"/>
                <w:sz w:val="18"/>
              </w:rPr>
            </w:pPr>
          </w:p>
        </w:tc>
      </w:tr>
      <w:tr w:rsidR="00E93F58" w:rsidRPr="00FB5439" w14:paraId="140CCD2E"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14:paraId="06DAD43D" w14:textId="77777777" w:rsidR="00E93F58" w:rsidRPr="00FB5439" w:rsidRDefault="00E93F58" w:rsidP="00070F64">
            <w:pPr>
              <w:spacing w:beforeLines="80" w:before="192" w:after="80"/>
              <w:jc w:val="center"/>
              <w:rPr>
                <w:color w:val="000000"/>
                <w:sz w:val="18"/>
              </w:rPr>
            </w:pPr>
            <w:r>
              <w:rPr>
                <w:color w:val="000000"/>
                <w:sz w:val="18"/>
              </w:rPr>
              <w:t>PART 1</w:t>
            </w:r>
          </w:p>
        </w:tc>
      </w:tr>
      <w:tr w:rsidR="00E93F58" w:rsidRPr="00FB5439" w14:paraId="7C9B81F4"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14:paraId="4A2806D9" w14:textId="77777777" w:rsidR="00E93F58" w:rsidRPr="00FB5439" w:rsidRDefault="00E93F58" w:rsidP="00070F64">
            <w:pPr>
              <w:spacing w:before="180"/>
              <w:rPr>
                <w:color w:val="000000"/>
                <w:sz w:val="18"/>
              </w:rPr>
            </w:pPr>
            <w:r w:rsidRPr="00FB5439">
              <w:rPr>
                <w:color w:val="000000"/>
                <w:sz w:val="18"/>
              </w:rPr>
              <w:t>Full name of company:</w:t>
            </w:r>
          </w:p>
        </w:tc>
      </w:tr>
      <w:tr w:rsidR="00E93F58" w:rsidRPr="00FB5439" w14:paraId="3E06DADD" w14:textId="77777777" w:rsidTr="00B23434">
        <w:tc>
          <w:tcPr>
            <w:tcW w:w="2040" w:type="pct"/>
            <w:vAlign w:val="center"/>
          </w:tcPr>
          <w:p w14:paraId="74D566A6" w14:textId="77777777" w:rsidR="00E93F58" w:rsidRPr="00FB5439" w:rsidRDefault="00E93F58" w:rsidP="00070F64">
            <w:pPr>
              <w:spacing w:before="180"/>
              <w:ind w:left="142"/>
              <w:rPr>
                <w:color w:val="000000"/>
                <w:sz w:val="18"/>
              </w:rPr>
            </w:pPr>
            <w:r w:rsidRPr="00FB5439">
              <w:rPr>
                <w:color w:val="000000"/>
                <w:sz w:val="18"/>
              </w:rPr>
              <w:t xml:space="preserve">Description of Division 3 assets: </w:t>
            </w:r>
          </w:p>
        </w:tc>
        <w:tc>
          <w:tcPr>
            <w:tcW w:w="1531" w:type="pct"/>
            <w:gridSpan w:val="3"/>
            <w:vAlign w:val="center"/>
          </w:tcPr>
          <w:p w14:paraId="39CFD5A2" w14:textId="77777777" w:rsidR="00E93F58" w:rsidRPr="00FB5439" w:rsidRDefault="00E93F58" w:rsidP="00070F64">
            <w:pPr>
              <w:spacing w:before="180"/>
              <w:ind w:left="142"/>
              <w:rPr>
                <w:color w:val="000000"/>
                <w:sz w:val="18"/>
              </w:rPr>
            </w:pPr>
            <w:r w:rsidRPr="00FB5439">
              <w:rPr>
                <w:color w:val="000000"/>
                <w:sz w:val="18"/>
              </w:rPr>
              <w:t>Class:</w:t>
            </w:r>
          </w:p>
        </w:tc>
        <w:tc>
          <w:tcPr>
            <w:tcW w:w="816" w:type="pct"/>
            <w:tcBorders>
              <w:left w:val="nil"/>
            </w:tcBorders>
            <w:vAlign w:val="center"/>
          </w:tcPr>
          <w:p w14:paraId="75436DE8" w14:textId="77777777" w:rsidR="00E93F58" w:rsidRPr="00FB5439" w:rsidRDefault="00E93F58"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14:paraId="36DC571E"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059B087F" w14:textId="77777777" w:rsidTr="00B23434">
        <w:tc>
          <w:tcPr>
            <w:tcW w:w="2244" w:type="pct"/>
            <w:gridSpan w:val="2"/>
            <w:vAlign w:val="center"/>
          </w:tcPr>
          <w:p w14:paraId="28071645"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32EE2192" w14:textId="77777777" w:rsidR="00E93F58" w:rsidRPr="00FB5439" w:rsidRDefault="00E93F58" w:rsidP="00070F64">
            <w:pPr>
              <w:spacing w:before="180"/>
              <w:ind w:left="142"/>
              <w:rPr>
                <w:color w:val="000000"/>
                <w:sz w:val="18"/>
              </w:rPr>
            </w:pPr>
            <w:r w:rsidRPr="00FB5439">
              <w:rPr>
                <w:color w:val="000000"/>
                <w:sz w:val="18"/>
              </w:rPr>
              <w:t>[Words]</w:t>
            </w:r>
          </w:p>
        </w:tc>
        <w:tc>
          <w:tcPr>
            <w:tcW w:w="1428" w:type="pct"/>
            <w:gridSpan w:val="2"/>
            <w:vAlign w:val="center"/>
          </w:tcPr>
          <w:p w14:paraId="748AA2F8" w14:textId="77777777" w:rsidR="00E93F58" w:rsidRPr="00FB5439" w:rsidRDefault="00E93F58" w:rsidP="00070F64">
            <w:pPr>
              <w:spacing w:before="180"/>
              <w:ind w:left="142"/>
              <w:rPr>
                <w:color w:val="000000"/>
                <w:sz w:val="18"/>
              </w:rPr>
            </w:pPr>
            <w:r w:rsidRPr="00FB5439">
              <w:rPr>
                <w:color w:val="000000"/>
                <w:sz w:val="18"/>
              </w:rPr>
              <w:t>[Figures]</w:t>
            </w:r>
          </w:p>
        </w:tc>
      </w:tr>
      <w:tr w:rsidR="00E93F58" w:rsidRPr="00FB5439" w14:paraId="4F2BA654" w14:textId="77777777" w:rsidTr="00B23434">
        <w:trPr>
          <w:cantSplit/>
        </w:trPr>
        <w:tc>
          <w:tcPr>
            <w:tcW w:w="2244" w:type="pct"/>
            <w:gridSpan w:val="2"/>
            <w:vAlign w:val="center"/>
          </w:tcPr>
          <w:p w14:paraId="27A1A21E"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where appropriate: </w:t>
            </w:r>
          </w:p>
        </w:tc>
        <w:tc>
          <w:tcPr>
            <w:tcW w:w="2756" w:type="pct"/>
            <w:gridSpan w:val="4"/>
            <w:vAlign w:val="center"/>
          </w:tcPr>
          <w:p w14:paraId="7ED5124A" w14:textId="77777777" w:rsidR="00E93F58" w:rsidRPr="00FB5439" w:rsidRDefault="00E93F58" w:rsidP="00070F64">
            <w:pPr>
              <w:spacing w:before="180"/>
              <w:ind w:left="142"/>
              <w:rPr>
                <w:color w:val="000000"/>
                <w:sz w:val="18"/>
              </w:rPr>
            </w:pPr>
          </w:p>
        </w:tc>
      </w:tr>
      <w:tr w:rsidR="00E93F58" w:rsidRPr="00FB5439" w14:paraId="1A26E91E" w14:textId="77777777" w:rsidTr="00B23434">
        <w:trPr>
          <w:cantSplit/>
        </w:trPr>
        <w:tc>
          <w:tcPr>
            <w:tcW w:w="2244" w:type="pct"/>
            <w:gridSpan w:val="2"/>
            <w:vAlign w:val="center"/>
          </w:tcPr>
          <w:p w14:paraId="5898D1AF" w14:textId="77777777" w:rsidR="00E93F58" w:rsidRPr="00FB5439" w:rsidRDefault="00E93F58" w:rsidP="00070F64">
            <w:pPr>
              <w:spacing w:before="180"/>
              <w:ind w:left="142"/>
              <w:rPr>
                <w:color w:val="000000"/>
                <w:sz w:val="18"/>
              </w:rPr>
            </w:pPr>
            <w:r w:rsidRPr="00FB5439">
              <w:rPr>
                <w:color w:val="000000"/>
                <w:sz w:val="18"/>
              </w:rPr>
              <w:t xml:space="preserve">Full name(s) of transferor(s): </w:t>
            </w:r>
          </w:p>
        </w:tc>
        <w:tc>
          <w:tcPr>
            <w:tcW w:w="2756" w:type="pct"/>
            <w:gridSpan w:val="4"/>
            <w:vAlign w:val="center"/>
          </w:tcPr>
          <w:p w14:paraId="79B1195C" w14:textId="77777777" w:rsidR="00E93F58" w:rsidRPr="00FB5439" w:rsidRDefault="00E93F58" w:rsidP="00070F64">
            <w:pPr>
              <w:spacing w:before="180"/>
              <w:ind w:left="142"/>
              <w:rPr>
                <w:color w:val="000000"/>
                <w:sz w:val="18"/>
              </w:rPr>
            </w:pPr>
          </w:p>
        </w:tc>
      </w:tr>
      <w:tr w:rsidR="00E93F58" w:rsidRPr="00FB5439" w14:paraId="189A4111"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14:paraId="61C9DFC4" w14:textId="77777777" w:rsidR="00E93F58" w:rsidRPr="00FB5439" w:rsidRDefault="00E93F58" w:rsidP="00070F64">
            <w:pPr>
              <w:spacing w:before="200" w:after="80"/>
              <w:jc w:val="center"/>
              <w:rPr>
                <w:color w:val="000000"/>
                <w:sz w:val="18"/>
              </w:rPr>
            </w:pPr>
            <w:r>
              <w:rPr>
                <w:color w:val="000000"/>
                <w:sz w:val="18"/>
              </w:rPr>
              <w:t>PART 2</w:t>
            </w:r>
          </w:p>
        </w:tc>
      </w:tr>
      <w:tr w:rsidR="00E93F58" w:rsidRPr="00FB5439" w14:paraId="2E22FD67" w14:textId="77777777" w:rsidTr="00B23434">
        <w:trPr>
          <w:cantSplit/>
        </w:trPr>
        <w:tc>
          <w:tcPr>
            <w:tcW w:w="2244" w:type="pct"/>
            <w:gridSpan w:val="2"/>
            <w:vAlign w:val="center"/>
          </w:tcPr>
          <w:p w14:paraId="70BEDB00" w14:textId="77777777" w:rsidR="00E93F58" w:rsidRPr="00FB5439" w:rsidRDefault="00E93F58" w:rsidP="00070F64">
            <w:pPr>
              <w:spacing w:before="180"/>
              <w:ind w:left="142"/>
              <w:rPr>
                <w:color w:val="000000"/>
                <w:sz w:val="18"/>
              </w:rPr>
            </w:pPr>
            <w:r w:rsidRPr="00FB5439">
              <w:rPr>
                <w:color w:val="000000"/>
                <w:sz w:val="18"/>
              </w:rPr>
              <w:t xml:space="preserve">Full name(s) and address(es) of transferee(s): </w:t>
            </w:r>
          </w:p>
        </w:tc>
        <w:tc>
          <w:tcPr>
            <w:tcW w:w="2756" w:type="pct"/>
            <w:gridSpan w:val="4"/>
            <w:vAlign w:val="center"/>
          </w:tcPr>
          <w:p w14:paraId="64E4872F" w14:textId="77777777" w:rsidR="00E93F58" w:rsidRPr="00FB5439" w:rsidRDefault="00E93F58" w:rsidP="00070F64">
            <w:pPr>
              <w:spacing w:before="180"/>
              <w:ind w:left="142"/>
              <w:rPr>
                <w:color w:val="000000"/>
                <w:sz w:val="18"/>
              </w:rPr>
            </w:pPr>
            <w:r w:rsidRPr="00FB5439">
              <w:rPr>
                <w:color w:val="000000"/>
                <w:sz w:val="18"/>
              </w:rPr>
              <w:t xml:space="preserve">Transferor hereby certifies that the Division 3 assets set out in Part 1 above are to be registered in the name(s) of the transferee(s) named in this Part, being the person(s) for or on whose behalf the transferor held them, either alone or together with another person or other persons, in the ordinary course of business immediately before the execution of this transfer, and hereby requests that such entries be made in the register as are necessary to give effect to this transfer. </w:t>
            </w:r>
          </w:p>
        </w:tc>
      </w:tr>
      <w:tr w:rsidR="00E93F58" w:rsidRPr="00FB5439" w14:paraId="64B8C127" w14:textId="77777777" w:rsidTr="00B23434">
        <w:trPr>
          <w:cantSplit/>
        </w:trPr>
        <w:tc>
          <w:tcPr>
            <w:tcW w:w="5000" w:type="pct"/>
            <w:gridSpan w:val="6"/>
            <w:vAlign w:val="center"/>
          </w:tcPr>
          <w:p w14:paraId="0F601E67" w14:textId="77777777" w:rsidR="00E93F58" w:rsidRPr="00FB5439" w:rsidRDefault="00E93F58"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transfer the above Division 3 assets to the transferee(s) named in Part 2 hereof.</w:t>
            </w:r>
          </w:p>
          <w:p w14:paraId="757B21EB" w14:textId="77777777" w:rsidR="00E93F58" w:rsidRPr="00FB5439" w:rsidRDefault="00E93F58" w:rsidP="00070F64">
            <w:pPr>
              <w:spacing w:before="180"/>
              <w:ind w:left="142"/>
              <w:rPr>
                <w:color w:val="000000"/>
                <w:sz w:val="18"/>
              </w:rPr>
            </w:pPr>
            <w:r w:rsidRPr="00FB5439">
              <w:rPr>
                <w:color w:val="000000"/>
                <w:sz w:val="18"/>
              </w:rPr>
              <w:t>Execution by the transferor(s):</w:t>
            </w:r>
          </w:p>
          <w:p w14:paraId="0FD11FAC" w14:textId="77777777" w:rsidR="00E93F58" w:rsidRPr="00FB5439" w:rsidRDefault="00E93F58" w:rsidP="00070F64">
            <w:pPr>
              <w:spacing w:before="180"/>
              <w:ind w:left="142"/>
              <w:rPr>
                <w:color w:val="000000"/>
                <w:sz w:val="18"/>
              </w:rPr>
            </w:pPr>
            <w:r w:rsidRPr="00FB5439">
              <w:rPr>
                <w:color w:val="000000"/>
                <w:sz w:val="18"/>
              </w:rPr>
              <w:t xml:space="preserve">Date of execution: </w:t>
            </w:r>
          </w:p>
        </w:tc>
      </w:tr>
    </w:tbl>
    <w:p w14:paraId="1ED6F3CD" w14:textId="77777777" w:rsidR="00E93F58" w:rsidRPr="00FB5439" w:rsidRDefault="00E93F58" w:rsidP="00A80D13">
      <w:pPr>
        <w:pStyle w:val="ActHead2"/>
        <w:pageBreakBefore/>
      </w:pPr>
      <w:bookmarkStart w:id="3266" w:name="_Toc151992817"/>
      <w:bookmarkStart w:id="3267" w:name="_Toc158713420"/>
      <w:r w:rsidRPr="00FB5439">
        <w:rPr>
          <w:rStyle w:val="CharPartNo"/>
        </w:rPr>
        <w:lastRenderedPageBreak/>
        <w:t>Form 10</w:t>
      </w:r>
      <w:bookmarkEnd w:id="3266"/>
      <w:bookmarkEnd w:id="3267"/>
      <w:r w:rsidRPr="00FB5439">
        <w:rPr>
          <w:rStyle w:val="CharPartText"/>
        </w:rPr>
        <w:t xml:space="preserve"> </w:t>
      </w:r>
      <w:r w:rsidRPr="00FB5439">
        <w:t xml:space="preserve"> </w:t>
      </w:r>
    </w:p>
    <w:p w14:paraId="3753B1E6" w14:textId="77777777" w:rsidR="00E93F58" w:rsidRPr="00FB5439" w:rsidRDefault="00E93F58" w:rsidP="00070F64">
      <w:pPr>
        <w:rPr>
          <w:sz w:val="16"/>
          <w:szCs w:val="16"/>
        </w:rPr>
      </w:pPr>
    </w:p>
    <w:tbl>
      <w:tblPr>
        <w:tblW w:w="5000" w:type="pct"/>
        <w:tblCellMar>
          <w:left w:w="0" w:type="dxa"/>
          <w:right w:w="0" w:type="dxa"/>
        </w:tblCellMar>
        <w:tblLook w:val="0000" w:firstRow="0" w:lastRow="0" w:firstColumn="0" w:lastColumn="0" w:noHBand="0" w:noVBand="0"/>
      </w:tblPr>
      <w:tblGrid>
        <w:gridCol w:w="4837"/>
        <w:gridCol w:w="659"/>
        <w:gridCol w:w="2200"/>
        <w:gridCol w:w="3077"/>
      </w:tblGrid>
      <w:tr w:rsidR="00E93F58" w:rsidRPr="00FB5439" w14:paraId="02BA2F83" w14:textId="77777777" w:rsidTr="00B23434">
        <w:tc>
          <w:tcPr>
            <w:tcW w:w="2551" w:type="pct"/>
            <w:gridSpan w:val="2"/>
            <w:vAlign w:val="center"/>
          </w:tcPr>
          <w:p w14:paraId="20DCA7C3" w14:textId="77777777" w:rsidR="00E93F58" w:rsidRPr="00FB5439" w:rsidRDefault="00E93F58" w:rsidP="00A45941">
            <w:pPr>
              <w:spacing w:before="180"/>
              <w:jc w:val="center"/>
              <w:rPr>
                <w:color w:val="000000"/>
                <w:sz w:val="18"/>
              </w:rPr>
            </w:pPr>
            <w:r w:rsidRPr="00FB5439">
              <w:rPr>
                <w:color w:val="000000"/>
                <w:sz w:val="18"/>
              </w:rPr>
              <w:t>TRUSTEE RENUNCIATION AND TRANSFER FORM</w:t>
            </w:r>
          </w:p>
        </w:tc>
        <w:tc>
          <w:tcPr>
            <w:tcW w:w="2449" w:type="pct"/>
            <w:gridSpan w:val="2"/>
            <w:vAlign w:val="center"/>
          </w:tcPr>
          <w:p w14:paraId="4C1CAA32" w14:textId="77777777" w:rsidR="00E93F58" w:rsidRPr="00FB5439" w:rsidRDefault="00E93F58" w:rsidP="00070F64">
            <w:pPr>
              <w:spacing w:before="60"/>
              <w:jc w:val="center"/>
              <w:rPr>
                <w:color w:val="000000"/>
                <w:sz w:val="18"/>
              </w:rPr>
            </w:pPr>
          </w:p>
        </w:tc>
      </w:tr>
      <w:tr w:rsidR="00E93F58" w:rsidRPr="00FB5439" w14:paraId="6BD56B48"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3BBD64EB" w14:textId="77777777" w:rsidR="00E93F58" w:rsidRPr="00FB5439" w:rsidRDefault="00E93F58" w:rsidP="00070F64">
            <w:pPr>
              <w:spacing w:beforeLines="80" w:before="192" w:after="80"/>
              <w:jc w:val="center"/>
              <w:rPr>
                <w:color w:val="000000"/>
                <w:sz w:val="18"/>
              </w:rPr>
            </w:pPr>
            <w:r>
              <w:rPr>
                <w:color w:val="000000"/>
                <w:sz w:val="18"/>
              </w:rPr>
              <w:t>PART 1</w:t>
            </w:r>
          </w:p>
        </w:tc>
      </w:tr>
      <w:tr w:rsidR="00E93F58" w:rsidRPr="00FB5439" w14:paraId="051DDBDE"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758186D0" w14:textId="77777777" w:rsidR="00E93F58" w:rsidRPr="00FB5439" w:rsidRDefault="00E93F58" w:rsidP="00070F64">
            <w:pPr>
              <w:spacing w:before="180"/>
              <w:ind w:left="34"/>
              <w:rPr>
                <w:color w:val="000000"/>
                <w:sz w:val="18"/>
              </w:rPr>
            </w:pPr>
            <w:r w:rsidRPr="00FB5439">
              <w:rPr>
                <w:color w:val="000000"/>
                <w:sz w:val="18"/>
              </w:rPr>
              <w:t>Full name of company:</w:t>
            </w:r>
          </w:p>
        </w:tc>
      </w:tr>
      <w:tr w:rsidR="00E93F58" w:rsidRPr="00FB5439" w14:paraId="07B4D240" w14:textId="77777777" w:rsidTr="00B23434">
        <w:tc>
          <w:tcPr>
            <w:tcW w:w="2245" w:type="pct"/>
            <w:vAlign w:val="center"/>
          </w:tcPr>
          <w:p w14:paraId="65888254" w14:textId="77777777" w:rsidR="00E93F58" w:rsidRPr="00FB5439" w:rsidRDefault="00E93F58" w:rsidP="00070F64">
            <w:pPr>
              <w:spacing w:before="180"/>
              <w:ind w:left="142"/>
              <w:rPr>
                <w:color w:val="000000"/>
                <w:sz w:val="18"/>
              </w:rPr>
            </w:pPr>
            <w:r w:rsidRPr="00FB5439">
              <w:rPr>
                <w:color w:val="000000"/>
                <w:sz w:val="18"/>
              </w:rPr>
              <w:t xml:space="preserve">Description of Division 3 rights: </w:t>
            </w:r>
          </w:p>
        </w:tc>
        <w:tc>
          <w:tcPr>
            <w:tcW w:w="1327" w:type="pct"/>
            <w:gridSpan w:val="2"/>
            <w:vAlign w:val="center"/>
          </w:tcPr>
          <w:p w14:paraId="40FCB093" w14:textId="77777777" w:rsidR="00E93F58" w:rsidRPr="00FB5439" w:rsidRDefault="00E93F58" w:rsidP="00070F64">
            <w:pPr>
              <w:spacing w:before="180"/>
              <w:ind w:left="142"/>
              <w:rPr>
                <w:color w:val="000000"/>
                <w:sz w:val="18"/>
              </w:rPr>
            </w:pPr>
          </w:p>
        </w:tc>
        <w:tc>
          <w:tcPr>
            <w:tcW w:w="1428" w:type="pct"/>
            <w:vAlign w:val="center"/>
          </w:tcPr>
          <w:p w14:paraId="390ECBFF" w14:textId="77777777" w:rsidR="00E93F58" w:rsidRPr="00FB5439" w:rsidRDefault="00E93F58" w:rsidP="00070F64">
            <w:pPr>
              <w:spacing w:before="180"/>
              <w:ind w:left="142"/>
              <w:rPr>
                <w:color w:val="000000"/>
                <w:sz w:val="18"/>
              </w:rPr>
            </w:pPr>
            <w:r w:rsidRPr="00FB5439">
              <w:rPr>
                <w:color w:val="000000"/>
                <w:sz w:val="18"/>
              </w:rPr>
              <w:t>Register:</w:t>
            </w:r>
          </w:p>
        </w:tc>
      </w:tr>
      <w:tr w:rsidR="00E93F58" w:rsidRPr="00FB5439" w14:paraId="3BEAE807" w14:textId="77777777" w:rsidTr="00B23434">
        <w:tc>
          <w:tcPr>
            <w:tcW w:w="2245" w:type="pct"/>
            <w:vAlign w:val="center"/>
          </w:tcPr>
          <w:p w14:paraId="3EF2A835" w14:textId="77777777" w:rsidR="00E93F58" w:rsidRPr="00FB5439" w:rsidRDefault="00E93F58" w:rsidP="00070F64">
            <w:pPr>
              <w:spacing w:before="180"/>
              <w:ind w:left="142"/>
              <w:rPr>
                <w:color w:val="000000"/>
                <w:sz w:val="18"/>
              </w:rPr>
            </w:pPr>
            <w:r w:rsidRPr="00FB5439">
              <w:rPr>
                <w:color w:val="000000"/>
                <w:sz w:val="18"/>
              </w:rPr>
              <w:t>Quantity:</w:t>
            </w:r>
          </w:p>
        </w:tc>
        <w:tc>
          <w:tcPr>
            <w:tcW w:w="1327" w:type="pct"/>
            <w:gridSpan w:val="2"/>
            <w:vAlign w:val="center"/>
          </w:tcPr>
          <w:p w14:paraId="7E2BD39D" w14:textId="77777777" w:rsidR="00E93F58" w:rsidRPr="00FB5439" w:rsidRDefault="00E93F58" w:rsidP="00070F64">
            <w:pPr>
              <w:spacing w:before="180"/>
              <w:ind w:left="142"/>
              <w:rPr>
                <w:color w:val="000000"/>
                <w:sz w:val="18"/>
              </w:rPr>
            </w:pPr>
            <w:r w:rsidRPr="00FB5439">
              <w:rPr>
                <w:color w:val="000000"/>
                <w:sz w:val="18"/>
              </w:rPr>
              <w:t>[Words]</w:t>
            </w:r>
          </w:p>
        </w:tc>
        <w:tc>
          <w:tcPr>
            <w:tcW w:w="1428" w:type="pct"/>
            <w:vAlign w:val="center"/>
          </w:tcPr>
          <w:p w14:paraId="7262307C" w14:textId="77777777" w:rsidR="00E93F58" w:rsidRPr="00FB5439" w:rsidRDefault="00E93F58" w:rsidP="00070F64">
            <w:pPr>
              <w:spacing w:before="180"/>
              <w:ind w:left="142"/>
              <w:rPr>
                <w:color w:val="000000"/>
                <w:sz w:val="18"/>
              </w:rPr>
            </w:pPr>
            <w:r w:rsidRPr="00FB5439">
              <w:rPr>
                <w:color w:val="000000"/>
                <w:sz w:val="18"/>
              </w:rPr>
              <w:t>[Figures]</w:t>
            </w:r>
          </w:p>
        </w:tc>
      </w:tr>
      <w:tr w:rsidR="00E93F58" w:rsidRPr="00FB5439" w14:paraId="59A290A9" w14:textId="77777777" w:rsidTr="00B23434">
        <w:trPr>
          <w:cantSplit/>
        </w:trPr>
        <w:tc>
          <w:tcPr>
            <w:tcW w:w="2245" w:type="pct"/>
            <w:vAlign w:val="center"/>
          </w:tcPr>
          <w:p w14:paraId="3DD42C6F" w14:textId="77777777" w:rsidR="00E93F58" w:rsidRPr="00FB5439" w:rsidRDefault="00E93F58" w:rsidP="00070F64">
            <w:pPr>
              <w:spacing w:before="180"/>
              <w:ind w:left="142"/>
              <w:rPr>
                <w:color w:val="000000"/>
                <w:sz w:val="18"/>
              </w:rPr>
            </w:pPr>
            <w:r w:rsidRPr="00FB5439">
              <w:rPr>
                <w:color w:val="000000"/>
                <w:sz w:val="18"/>
              </w:rPr>
              <w:t xml:space="preserve">Transfer identification number, where appropriate: </w:t>
            </w:r>
          </w:p>
        </w:tc>
        <w:tc>
          <w:tcPr>
            <w:tcW w:w="2755" w:type="pct"/>
            <w:gridSpan w:val="3"/>
            <w:vAlign w:val="center"/>
          </w:tcPr>
          <w:p w14:paraId="0FB97AA4" w14:textId="77777777" w:rsidR="00E93F58" w:rsidRPr="00FB5439" w:rsidRDefault="00E93F58" w:rsidP="00070F64">
            <w:pPr>
              <w:spacing w:before="180"/>
              <w:ind w:left="142"/>
              <w:rPr>
                <w:color w:val="000000"/>
                <w:sz w:val="18"/>
              </w:rPr>
            </w:pPr>
          </w:p>
        </w:tc>
      </w:tr>
      <w:tr w:rsidR="00E93F58" w:rsidRPr="00FB5439" w14:paraId="7B141229" w14:textId="77777777" w:rsidTr="00B23434">
        <w:trPr>
          <w:cantSplit/>
        </w:trPr>
        <w:tc>
          <w:tcPr>
            <w:tcW w:w="2245" w:type="pct"/>
            <w:vAlign w:val="center"/>
          </w:tcPr>
          <w:p w14:paraId="4C948E3E" w14:textId="77777777" w:rsidR="00E93F58" w:rsidRPr="00FB5439" w:rsidRDefault="00E93F58"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14:paraId="7A21BB1C" w14:textId="77777777" w:rsidR="00E93F58" w:rsidRPr="00FB5439" w:rsidRDefault="00E93F58" w:rsidP="00070F64">
            <w:pPr>
              <w:spacing w:before="180"/>
              <w:ind w:left="142"/>
              <w:rPr>
                <w:color w:val="000000"/>
                <w:sz w:val="18"/>
              </w:rPr>
            </w:pPr>
          </w:p>
        </w:tc>
      </w:tr>
      <w:tr w:rsidR="00E93F58" w:rsidRPr="00FB5439" w14:paraId="2A10A985" w14:textId="77777777"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14:paraId="4C09ABCD" w14:textId="77777777" w:rsidR="00E93F58" w:rsidRPr="00FB5439" w:rsidRDefault="00E93F58" w:rsidP="00070F64">
            <w:pPr>
              <w:spacing w:before="200" w:after="80"/>
              <w:jc w:val="center"/>
              <w:rPr>
                <w:color w:val="000000"/>
                <w:sz w:val="18"/>
              </w:rPr>
            </w:pPr>
            <w:r>
              <w:rPr>
                <w:color w:val="000000"/>
                <w:sz w:val="18"/>
              </w:rPr>
              <w:t>PART 2</w:t>
            </w:r>
          </w:p>
        </w:tc>
      </w:tr>
      <w:tr w:rsidR="00E93F58" w:rsidRPr="00FB5439" w14:paraId="4FF4C2A2" w14:textId="77777777" w:rsidTr="00B23434">
        <w:trPr>
          <w:cantSplit/>
        </w:trPr>
        <w:tc>
          <w:tcPr>
            <w:tcW w:w="2245" w:type="pct"/>
            <w:vAlign w:val="center"/>
          </w:tcPr>
          <w:p w14:paraId="5C44292F" w14:textId="77777777" w:rsidR="00E93F58" w:rsidRPr="00FB5439" w:rsidRDefault="00E93F58" w:rsidP="00070F64">
            <w:pPr>
              <w:spacing w:before="180"/>
              <w:ind w:left="142"/>
              <w:rPr>
                <w:color w:val="000000"/>
                <w:sz w:val="18"/>
              </w:rPr>
            </w:pPr>
            <w:r w:rsidRPr="00FB5439">
              <w:rPr>
                <w:color w:val="000000"/>
                <w:sz w:val="18"/>
              </w:rPr>
              <w:t xml:space="preserve">Full name(s) and address(es) of transferee(s): </w:t>
            </w:r>
          </w:p>
          <w:p w14:paraId="3DECD00F" w14:textId="77777777" w:rsidR="00E93F58" w:rsidRPr="00FB5439" w:rsidRDefault="00E93F58" w:rsidP="00070F64">
            <w:pPr>
              <w:spacing w:before="180"/>
              <w:ind w:left="142"/>
              <w:rPr>
                <w:color w:val="000000"/>
                <w:sz w:val="18"/>
              </w:rPr>
            </w:pPr>
            <w:r w:rsidRPr="00FB5439">
              <w:rPr>
                <w:color w:val="000000"/>
                <w:sz w:val="18"/>
              </w:rPr>
              <w:br/>
            </w:r>
          </w:p>
        </w:tc>
        <w:tc>
          <w:tcPr>
            <w:tcW w:w="2755" w:type="pct"/>
            <w:gridSpan w:val="3"/>
            <w:vAlign w:val="center"/>
          </w:tcPr>
          <w:p w14:paraId="40F69D13" w14:textId="77777777" w:rsidR="00E93F58" w:rsidRPr="00FB5439" w:rsidRDefault="00E93F58" w:rsidP="00D501FE">
            <w:pPr>
              <w:spacing w:before="60"/>
              <w:ind w:left="142"/>
              <w:rPr>
                <w:color w:val="000000"/>
                <w:sz w:val="18"/>
              </w:rPr>
            </w:pPr>
            <w:r w:rsidRPr="00FB5439">
              <w:rPr>
                <w:color w:val="000000"/>
                <w:sz w:val="18"/>
              </w:rPr>
              <w:t xml:space="preserve">Transferor hereby certifies that, the Division 3 rights set out in Part 1 above having been transferred to the person(s) for or on whose behalf the transferor held them, either alone or together with another person or other persons, in the ordinary course of business immediately before the transfer, the Division 3 assets to which the Division 3 rights relate are to be issued to the transferee(s) named in this Part, and hereby requests that the Division 3 assets be issued by the company to the transferee(s) and that such entries be made in the register as are necessary to give effect to this renunciation and transfer. </w:t>
            </w:r>
          </w:p>
        </w:tc>
      </w:tr>
      <w:tr w:rsidR="00E93F58" w:rsidRPr="00FB5439" w14:paraId="673B4CA2" w14:textId="77777777" w:rsidTr="00B23434">
        <w:trPr>
          <w:cantSplit/>
        </w:trPr>
        <w:tc>
          <w:tcPr>
            <w:tcW w:w="5000" w:type="pct"/>
            <w:gridSpan w:val="4"/>
            <w:vAlign w:val="center"/>
          </w:tcPr>
          <w:p w14:paraId="7BDBADCB" w14:textId="77777777" w:rsidR="00E93F58" w:rsidRPr="00FB5439" w:rsidRDefault="00E93F58"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renounce and transfer the above Division 3 rights in favour of the transferee(s) named in Part 2 hereof.</w:t>
            </w:r>
          </w:p>
          <w:p w14:paraId="35A748FF" w14:textId="77777777" w:rsidR="00E93F58" w:rsidRPr="00FB5439" w:rsidRDefault="00E93F58" w:rsidP="00D501FE">
            <w:pPr>
              <w:spacing w:before="120"/>
              <w:ind w:left="142"/>
              <w:rPr>
                <w:color w:val="000000"/>
                <w:sz w:val="18"/>
              </w:rPr>
            </w:pPr>
            <w:r w:rsidRPr="00FB5439">
              <w:rPr>
                <w:color w:val="000000"/>
                <w:sz w:val="18"/>
              </w:rPr>
              <w:t>Execution by the transferor(s):</w:t>
            </w:r>
          </w:p>
          <w:p w14:paraId="6DA8290A" w14:textId="77777777" w:rsidR="00E93F58" w:rsidRPr="00FB5439" w:rsidRDefault="00E93F58" w:rsidP="00D501FE">
            <w:pPr>
              <w:ind w:left="142"/>
              <w:rPr>
                <w:color w:val="000000"/>
                <w:sz w:val="18"/>
              </w:rPr>
            </w:pPr>
            <w:r w:rsidRPr="00FB5439">
              <w:rPr>
                <w:color w:val="000000"/>
                <w:sz w:val="18"/>
              </w:rPr>
              <w:t xml:space="preserve">Date of execution: </w:t>
            </w:r>
          </w:p>
        </w:tc>
      </w:tr>
    </w:tbl>
    <w:p w14:paraId="03BB1C38" w14:textId="77777777" w:rsidR="00E93F58" w:rsidRPr="00FB5439" w:rsidRDefault="00E93F58" w:rsidP="00147E1D"/>
    <w:p w14:paraId="66907F02" w14:textId="77777777" w:rsidR="00E93F58" w:rsidRPr="006E709F" w:rsidRDefault="00E93F58" w:rsidP="00A801D0">
      <w:pPr>
        <w:pStyle w:val="ActHead1"/>
        <w:pageBreakBefore/>
      </w:pPr>
      <w:bookmarkStart w:id="3268" w:name="_Toc151992384"/>
      <w:bookmarkStart w:id="3269" w:name="_Toc158713421"/>
      <w:r w:rsidRPr="000C4237">
        <w:rPr>
          <w:rStyle w:val="CharChapNo"/>
        </w:rPr>
        <w:lastRenderedPageBreak/>
        <w:t>Schedule 3</w:t>
      </w:r>
      <w:r w:rsidRPr="006E709F">
        <w:t>—</w:t>
      </w:r>
      <w:r w:rsidRPr="000C4237">
        <w:rPr>
          <w:rStyle w:val="CharChapText"/>
        </w:rPr>
        <w:t>Specified offices</w:t>
      </w:r>
      <w:bookmarkEnd w:id="3268"/>
      <w:bookmarkEnd w:id="3269"/>
    </w:p>
    <w:p w14:paraId="50655986" w14:textId="77777777" w:rsidR="00E93F58" w:rsidRPr="006E709F" w:rsidRDefault="00E93F58" w:rsidP="00A801D0">
      <w:pPr>
        <w:pStyle w:val="notemargin"/>
      </w:pPr>
      <w:r w:rsidRPr="006E709F">
        <w:t>(regulation 6.2.02)</w:t>
      </w:r>
    </w:p>
    <w:p w14:paraId="5B2855CD"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3570776F"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16"/>
        <w:gridCol w:w="3122"/>
        <w:gridCol w:w="3122"/>
        <w:gridCol w:w="2913"/>
      </w:tblGrid>
      <w:tr w:rsidR="00E93F58" w:rsidRPr="006E709F" w14:paraId="297DD5EC" w14:textId="77777777" w:rsidTr="00E118FA">
        <w:trPr>
          <w:tblHeader/>
        </w:trPr>
        <w:tc>
          <w:tcPr>
            <w:tcW w:w="750" w:type="pct"/>
            <w:tcBorders>
              <w:top w:val="single" w:sz="12" w:space="0" w:color="auto"/>
              <w:bottom w:val="single" w:sz="6" w:space="0" w:color="auto"/>
            </w:tcBorders>
            <w:shd w:val="clear" w:color="auto" w:fill="auto"/>
          </w:tcPr>
          <w:p w14:paraId="36A2AE9F" w14:textId="77777777" w:rsidR="00E93F58" w:rsidRPr="006E709F" w:rsidRDefault="00E93F58" w:rsidP="00A801D0">
            <w:pPr>
              <w:pStyle w:val="TableHeading"/>
            </w:pPr>
            <w:r w:rsidRPr="006E709F">
              <w:t>Column 1</w:t>
            </w:r>
          </w:p>
        </w:tc>
        <w:tc>
          <w:tcPr>
            <w:tcW w:w="1449" w:type="pct"/>
            <w:tcBorders>
              <w:top w:val="single" w:sz="12" w:space="0" w:color="auto"/>
              <w:bottom w:val="single" w:sz="6" w:space="0" w:color="auto"/>
            </w:tcBorders>
            <w:shd w:val="clear" w:color="auto" w:fill="auto"/>
          </w:tcPr>
          <w:p w14:paraId="1A11E6AD" w14:textId="77777777" w:rsidR="00E93F58" w:rsidRPr="006E709F" w:rsidRDefault="00E93F58" w:rsidP="00A801D0">
            <w:pPr>
              <w:pStyle w:val="TableHeading"/>
            </w:pPr>
            <w:r w:rsidRPr="006E709F">
              <w:t>Column 2</w:t>
            </w:r>
          </w:p>
        </w:tc>
        <w:tc>
          <w:tcPr>
            <w:tcW w:w="1449" w:type="pct"/>
            <w:tcBorders>
              <w:top w:val="single" w:sz="12" w:space="0" w:color="auto"/>
              <w:bottom w:val="single" w:sz="6" w:space="0" w:color="auto"/>
            </w:tcBorders>
            <w:shd w:val="clear" w:color="auto" w:fill="auto"/>
          </w:tcPr>
          <w:p w14:paraId="3BCB3751" w14:textId="77777777" w:rsidR="00E93F58" w:rsidRPr="006E709F" w:rsidRDefault="00E93F58" w:rsidP="00A801D0">
            <w:pPr>
              <w:pStyle w:val="TableHeading"/>
            </w:pPr>
            <w:r w:rsidRPr="006E709F">
              <w:t>Column 3</w:t>
            </w:r>
          </w:p>
        </w:tc>
        <w:tc>
          <w:tcPr>
            <w:tcW w:w="1352" w:type="pct"/>
            <w:tcBorders>
              <w:top w:val="single" w:sz="12" w:space="0" w:color="auto"/>
              <w:bottom w:val="single" w:sz="6" w:space="0" w:color="auto"/>
            </w:tcBorders>
            <w:shd w:val="clear" w:color="auto" w:fill="auto"/>
          </w:tcPr>
          <w:p w14:paraId="7E15E84D" w14:textId="77777777" w:rsidR="00E93F58" w:rsidRPr="006E709F" w:rsidRDefault="00E93F58" w:rsidP="00A801D0">
            <w:pPr>
              <w:pStyle w:val="TableHeading"/>
            </w:pPr>
            <w:r w:rsidRPr="006E709F">
              <w:t>Column 4</w:t>
            </w:r>
          </w:p>
        </w:tc>
      </w:tr>
      <w:tr w:rsidR="00E93F58" w:rsidRPr="006E709F" w14:paraId="1F607D5C" w14:textId="77777777" w:rsidTr="00E118FA">
        <w:trPr>
          <w:tblHeader/>
        </w:trPr>
        <w:tc>
          <w:tcPr>
            <w:tcW w:w="750" w:type="pct"/>
            <w:tcBorders>
              <w:top w:val="single" w:sz="6" w:space="0" w:color="auto"/>
              <w:bottom w:val="single" w:sz="12" w:space="0" w:color="auto"/>
            </w:tcBorders>
            <w:shd w:val="clear" w:color="auto" w:fill="auto"/>
          </w:tcPr>
          <w:p w14:paraId="5B8493A0" w14:textId="77777777" w:rsidR="00E93F58" w:rsidRPr="006E709F" w:rsidRDefault="00E93F58" w:rsidP="000858E6">
            <w:pPr>
              <w:pStyle w:val="TableHeading"/>
            </w:pPr>
            <w:r w:rsidRPr="006E709F">
              <w:t>Item</w:t>
            </w:r>
          </w:p>
        </w:tc>
        <w:tc>
          <w:tcPr>
            <w:tcW w:w="1449" w:type="pct"/>
            <w:tcBorders>
              <w:top w:val="single" w:sz="6" w:space="0" w:color="auto"/>
              <w:bottom w:val="single" w:sz="12" w:space="0" w:color="auto"/>
            </w:tcBorders>
            <w:shd w:val="clear" w:color="auto" w:fill="auto"/>
          </w:tcPr>
          <w:p w14:paraId="0820599D" w14:textId="77777777" w:rsidR="00E93F58" w:rsidRPr="006E709F" w:rsidRDefault="00E93F58" w:rsidP="000858E6">
            <w:pPr>
              <w:pStyle w:val="TableHeading"/>
            </w:pPr>
            <w:r w:rsidRPr="006E709F">
              <w:t>Office</w:t>
            </w:r>
          </w:p>
        </w:tc>
        <w:tc>
          <w:tcPr>
            <w:tcW w:w="1449" w:type="pct"/>
            <w:tcBorders>
              <w:top w:val="single" w:sz="6" w:space="0" w:color="auto"/>
              <w:bottom w:val="single" w:sz="12" w:space="0" w:color="auto"/>
            </w:tcBorders>
            <w:shd w:val="clear" w:color="auto" w:fill="auto"/>
          </w:tcPr>
          <w:p w14:paraId="5C1A9282" w14:textId="77777777" w:rsidR="00E93F58" w:rsidRPr="006E709F" w:rsidRDefault="00E93F58" w:rsidP="000858E6">
            <w:pPr>
              <w:pStyle w:val="TableHeading"/>
            </w:pPr>
            <w:r w:rsidRPr="006E709F">
              <w:t>Law</w:t>
            </w:r>
          </w:p>
        </w:tc>
        <w:tc>
          <w:tcPr>
            <w:tcW w:w="1352" w:type="pct"/>
            <w:tcBorders>
              <w:top w:val="single" w:sz="6" w:space="0" w:color="auto"/>
              <w:bottom w:val="single" w:sz="12" w:space="0" w:color="auto"/>
            </w:tcBorders>
            <w:shd w:val="clear" w:color="auto" w:fill="auto"/>
          </w:tcPr>
          <w:p w14:paraId="02736118" w14:textId="77777777" w:rsidR="00E93F58" w:rsidRPr="006E709F" w:rsidRDefault="00E93F58" w:rsidP="000858E6">
            <w:pPr>
              <w:pStyle w:val="TableHeading"/>
            </w:pPr>
            <w:r w:rsidRPr="006E709F">
              <w:t>Jurisdiction</w:t>
            </w:r>
          </w:p>
        </w:tc>
      </w:tr>
      <w:tr w:rsidR="00E93F58" w:rsidRPr="006E709F" w14:paraId="05DE9354" w14:textId="77777777" w:rsidTr="00E118FA">
        <w:tc>
          <w:tcPr>
            <w:tcW w:w="750" w:type="pct"/>
            <w:tcBorders>
              <w:top w:val="single" w:sz="12" w:space="0" w:color="auto"/>
            </w:tcBorders>
            <w:shd w:val="clear" w:color="auto" w:fill="auto"/>
          </w:tcPr>
          <w:p w14:paraId="53B5E945" w14:textId="77777777" w:rsidR="00E93F58" w:rsidRPr="006E709F" w:rsidRDefault="00E93F58" w:rsidP="00A801D0">
            <w:pPr>
              <w:pStyle w:val="Tabletext"/>
            </w:pPr>
            <w:r w:rsidRPr="006E709F">
              <w:t>1</w:t>
            </w:r>
          </w:p>
        </w:tc>
        <w:tc>
          <w:tcPr>
            <w:tcW w:w="1449" w:type="pct"/>
            <w:tcBorders>
              <w:top w:val="single" w:sz="12" w:space="0" w:color="auto"/>
            </w:tcBorders>
            <w:shd w:val="clear" w:color="auto" w:fill="auto"/>
          </w:tcPr>
          <w:p w14:paraId="04C2EB6A" w14:textId="77777777" w:rsidR="00E93F58" w:rsidRPr="006E709F" w:rsidRDefault="00E93F58" w:rsidP="00A801D0">
            <w:pPr>
              <w:pStyle w:val="Tabletext"/>
            </w:pPr>
            <w:r w:rsidRPr="006E709F">
              <w:t>Treasurer</w:t>
            </w:r>
          </w:p>
        </w:tc>
        <w:tc>
          <w:tcPr>
            <w:tcW w:w="1449" w:type="pct"/>
            <w:tcBorders>
              <w:top w:val="single" w:sz="12" w:space="0" w:color="auto"/>
            </w:tcBorders>
            <w:shd w:val="clear" w:color="auto" w:fill="auto"/>
          </w:tcPr>
          <w:p w14:paraId="44CDF1D6" w14:textId="77777777" w:rsidR="00E93F58" w:rsidRPr="006E709F" w:rsidRDefault="00E93F58" w:rsidP="00C328E8">
            <w:pPr>
              <w:pStyle w:val="Tabletext"/>
            </w:pPr>
          </w:p>
        </w:tc>
        <w:tc>
          <w:tcPr>
            <w:tcW w:w="1352" w:type="pct"/>
            <w:tcBorders>
              <w:top w:val="single" w:sz="12" w:space="0" w:color="auto"/>
            </w:tcBorders>
            <w:shd w:val="clear" w:color="auto" w:fill="auto"/>
          </w:tcPr>
          <w:p w14:paraId="2BC37EA7" w14:textId="77777777" w:rsidR="00E93F58" w:rsidRPr="006E709F" w:rsidRDefault="00E93F58" w:rsidP="00A801D0">
            <w:pPr>
              <w:pStyle w:val="Tabletext"/>
            </w:pPr>
            <w:r w:rsidRPr="006E709F">
              <w:t>Commonwealth</w:t>
            </w:r>
          </w:p>
        </w:tc>
      </w:tr>
      <w:tr w:rsidR="00E93F58" w:rsidRPr="006E709F" w14:paraId="16DCAB63" w14:textId="77777777" w:rsidTr="00E118FA">
        <w:tc>
          <w:tcPr>
            <w:tcW w:w="750" w:type="pct"/>
            <w:shd w:val="clear" w:color="auto" w:fill="auto"/>
          </w:tcPr>
          <w:p w14:paraId="46C6BC01" w14:textId="77777777" w:rsidR="00E93F58" w:rsidRPr="006E709F" w:rsidRDefault="00E93F58" w:rsidP="00A801D0">
            <w:pPr>
              <w:pStyle w:val="Tabletext"/>
            </w:pPr>
            <w:r w:rsidRPr="006E709F">
              <w:t>2</w:t>
            </w:r>
          </w:p>
        </w:tc>
        <w:tc>
          <w:tcPr>
            <w:tcW w:w="1449" w:type="pct"/>
            <w:shd w:val="clear" w:color="auto" w:fill="auto"/>
          </w:tcPr>
          <w:p w14:paraId="51275EEF" w14:textId="77777777" w:rsidR="00E93F58" w:rsidRPr="006E709F" w:rsidRDefault="00E93F58" w:rsidP="00A801D0">
            <w:pPr>
              <w:pStyle w:val="Tabletext"/>
            </w:pPr>
            <w:r w:rsidRPr="006E709F">
              <w:t>Trustee</w:t>
            </w:r>
          </w:p>
        </w:tc>
        <w:tc>
          <w:tcPr>
            <w:tcW w:w="1449" w:type="pct"/>
            <w:shd w:val="clear" w:color="auto" w:fill="auto"/>
          </w:tcPr>
          <w:p w14:paraId="6E71D83A" w14:textId="77777777" w:rsidR="00E93F58" w:rsidRPr="006E709F" w:rsidRDefault="00E93F58" w:rsidP="00A801D0">
            <w:pPr>
              <w:pStyle w:val="Tabletext"/>
            </w:pPr>
            <w:r w:rsidRPr="006E709F">
              <w:t xml:space="preserve">Parts IV, X and XI of the </w:t>
            </w:r>
            <w:r w:rsidRPr="006E709F">
              <w:rPr>
                <w:i/>
              </w:rPr>
              <w:t>Bankruptcy Act 1966</w:t>
            </w:r>
          </w:p>
        </w:tc>
        <w:tc>
          <w:tcPr>
            <w:tcW w:w="1352" w:type="pct"/>
            <w:shd w:val="clear" w:color="auto" w:fill="auto"/>
          </w:tcPr>
          <w:p w14:paraId="20812E5F" w14:textId="77777777" w:rsidR="00E93F58" w:rsidRPr="006E709F" w:rsidRDefault="00E93F58" w:rsidP="00A801D0">
            <w:pPr>
              <w:pStyle w:val="Tabletext"/>
            </w:pPr>
            <w:r w:rsidRPr="006E709F">
              <w:t>Commonwealth</w:t>
            </w:r>
          </w:p>
        </w:tc>
      </w:tr>
      <w:tr w:rsidR="00E93F58" w:rsidRPr="006E709F" w14:paraId="7D403D7D" w14:textId="77777777" w:rsidTr="00E118FA">
        <w:tc>
          <w:tcPr>
            <w:tcW w:w="750" w:type="pct"/>
            <w:shd w:val="clear" w:color="auto" w:fill="auto"/>
          </w:tcPr>
          <w:p w14:paraId="2AA7A346" w14:textId="77777777" w:rsidR="00E93F58" w:rsidRPr="006E709F" w:rsidRDefault="00E93F58" w:rsidP="00A801D0">
            <w:pPr>
              <w:pStyle w:val="Tabletext"/>
            </w:pPr>
            <w:r w:rsidRPr="006E709F">
              <w:t>3</w:t>
            </w:r>
          </w:p>
        </w:tc>
        <w:tc>
          <w:tcPr>
            <w:tcW w:w="1449" w:type="pct"/>
            <w:shd w:val="clear" w:color="auto" w:fill="auto"/>
          </w:tcPr>
          <w:p w14:paraId="7C2F71A5" w14:textId="77777777" w:rsidR="00E93F58" w:rsidRPr="006E709F" w:rsidRDefault="00E93F58" w:rsidP="00A801D0">
            <w:pPr>
              <w:pStyle w:val="Tabletext"/>
            </w:pPr>
            <w:r w:rsidRPr="006E709F">
              <w:t>Chairperson of the Australian Securities and Investments Commission</w:t>
            </w:r>
          </w:p>
        </w:tc>
        <w:tc>
          <w:tcPr>
            <w:tcW w:w="1449" w:type="pct"/>
            <w:shd w:val="clear" w:color="auto" w:fill="auto"/>
          </w:tcPr>
          <w:p w14:paraId="4327B024" w14:textId="77777777" w:rsidR="00E93F58" w:rsidRPr="006E709F" w:rsidRDefault="00E93F58" w:rsidP="00A801D0">
            <w:pPr>
              <w:pStyle w:val="Tabletext"/>
            </w:pPr>
            <w:r w:rsidRPr="006E709F">
              <w:rPr>
                <w:i/>
              </w:rPr>
              <w:t>Australian Securities and Investments Commission Act 2001</w:t>
            </w:r>
          </w:p>
        </w:tc>
        <w:tc>
          <w:tcPr>
            <w:tcW w:w="1352" w:type="pct"/>
            <w:shd w:val="clear" w:color="auto" w:fill="auto"/>
          </w:tcPr>
          <w:p w14:paraId="649D2FD0" w14:textId="77777777" w:rsidR="00E93F58" w:rsidRPr="006E709F" w:rsidRDefault="00E93F58" w:rsidP="00A801D0">
            <w:pPr>
              <w:pStyle w:val="Tabletext"/>
            </w:pPr>
            <w:r w:rsidRPr="006E709F">
              <w:t>Commonwealth</w:t>
            </w:r>
          </w:p>
        </w:tc>
      </w:tr>
      <w:tr w:rsidR="00E93F58" w:rsidRPr="006E709F" w14:paraId="21A7DF41" w14:textId="77777777" w:rsidTr="00E118FA">
        <w:tc>
          <w:tcPr>
            <w:tcW w:w="750" w:type="pct"/>
            <w:shd w:val="clear" w:color="auto" w:fill="auto"/>
          </w:tcPr>
          <w:p w14:paraId="2483D913" w14:textId="77777777" w:rsidR="00E93F58" w:rsidRPr="006E709F" w:rsidRDefault="00E93F58" w:rsidP="00A801D0">
            <w:pPr>
              <w:pStyle w:val="Tabletext"/>
            </w:pPr>
            <w:r w:rsidRPr="006E709F">
              <w:t>4</w:t>
            </w:r>
          </w:p>
        </w:tc>
        <w:tc>
          <w:tcPr>
            <w:tcW w:w="1449" w:type="pct"/>
            <w:shd w:val="clear" w:color="auto" w:fill="auto"/>
          </w:tcPr>
          <w:p w14:paraId="712B80B2" w14:textId="77777777" w:rsidR="00E93F58" w:rsidRPr="006E709F" w:rsidRDefault="00E93F58" w:rsidP="00A801D0">
            <w:pPr>
              <w:pStyle w:val="Tabletext"/>
            </w:pPr>
            <w:r w:rsidRPr="006E709F">
              <w:t>Deputy Chairperson of the Australian Securities and Investments Commission</w:t>
            </w:r>
          </w:p>
        </w:tc>
        <w:tc>
          <w:tcPr>
            <w:tcW w:w="1449" w:type="pct"/>
            <w:shd w:val="clear" w:color="auto" w:fill="auto"/>
          </w:tcPr>
          <w:p w14:paraId="2CF521DA" w14:textId="77777777" w:rsidR="00E93F58" w:rsidRPr="006E709F" w:rsidRDefault="00E93F58" w:rsidP="00A801D0">
            <w:pPr>
              <w:pStyle w:val="Tabletext"/>
            </w:pPr>
            <w:r w:rsidRPr="006E709F">
              <w:rPr>
                <w:i/>
              </w:rPr>
              <w:t>Australian Securities and Investments Commission Act 2001</w:t>
            </w:r>
          </w:p>
        </w:tc>
        <w:tc>
          <w:tcPr>
            <w:tcW w:w="1352" w:type="pct"/>
            <w:shd w:val="clear" w:color="auto" w:fill="auto"/>
          </w:tcPr>
          <w:p w14:paraId="53208555" w14:textId="77777777" w:rsidR="00E93F58" w:rsidRPr="006E709F" w:rsidRDefault="00E93F58" w:rsidP="00A801D0">
            <w:pPr>
              <w:pStyle w:val="Tabletext"/>
            </w:pPr>
            <w:r w:rsidRPr="006E709F">
              <w:t>Commonwealth</w:t>
            </w:r>
          </w:p>
        </w:tc>
      </w:tr>
      <w:tr w:rsidR="00E93F58" w:rsidRPr="006E709F" w14:paraId="15E511EC" w14:textId="77777777" w:rsidTr="00E118FA">
        <w:tc>
          <w:tcPr>
            <w:tcW w:w="750" w:type="pct"/>
            <w:shd w:val="clear" w:color="auto" w:fill="auto"/>
          </w:tcPr>
          <w:p w14:paraId="402C7E21" w14:textId="77777777" w:rsidR="00E93F58" w:rsidRPr="006E709F" w:rsidRDefault="00E93F58" w:rsidP="00A801D0">
            <w:pPr>
              <w:pStyle w:val="Tabletext"/>
            </w:pPr>
            <w:r w:rsidRPr="006E709F">
              <w:t>5</w:t>
            </w:r>
          </w:p>
        </w:tc>
        <w:tc>
          <w:tcPr>
            <w:tcW w:w="1449" w:type="pct"/>
            <w:shd w:val="clear" w:color="auto" w:fill="auto"/>
          </w:tcPr>
          <w:p w14:paraId="05EF96B4" w14:textId="77777777" w:rsidR="00E93F58" w:rsidRPr="006E709F" w:rsidRDefault="00E93F58" w:rsidP="00A801D0">
            <w:pPr>
              <w:pStyle w:val="Tabletext"/>
            </w:pPr>
            <w:r w:rsidRPr="006E709F">
              <w:t>Member of the Australian Securities and Investments Commission</w:t>
            </w:r>
          </w:p>
        </w:tc>
        <w:tc>
          <w:tcPr>
            <w:tcW w:w="1449" w:type="pct"/>
            <w:shd w:val="clear" w:color="auto" w:fill="auto"/>
          </w:tcPr>
          <w:p w14:paraId="53751B48" w14:textId="77777777" w:rsidR="00E93F58" w:rsidRPr="006E709F" w:rsidRDefault="00E93F58" w:rsidP="00A801D0">
            <w:pPr>
              <w:pStyle w:val="Tabletext"/>
            </w:pPr>
            <w:r w:rsidRPr="006E709F">
              <w:rPr>
                <w:i/>
              </w:rPr>
              <w:t>Australian Securities and Investments Commission Act 2001</w:t>
            </w:r>
          </w:p>
        </w:tc>
        <w:tc>
          <w:tcPr>
            <w:tcW w:w="1352" w:type="pct"/>
            <w:shd w:val="clear" w:color="auto" w:fill="auto"/>
          </w:tcPr>
          <w:p w14:paraId="4EA47338" w14:textId="77777777" w:rsidR="00E93F58" w:rsidRPr="006E709F" w:rsidRDefault="00E93F58" w:rsidP="00A801D0">
            <w:pPr>
              <w:pStyle w:val="Tabletext"/>
            </w:pPr>
            <w:r w:rsidRPr="006E709F">
              <w:t>Commonwealth</w:t>
            </w:r>
          </w:p>
        </w:tc>
      </w:tr>
      <w:tr w:rsidR="00E93F58" w:rsidRPr="006E709F" w14:paraId="5B0AB39C" w14:textId="77777777" w:rsidTr="00E118FA">
        <w:tc>
          <w:tcPr>
            <w:tcW w:w="750" w:type="pct"/>
            <w:shd w:val="clear" w:color="auto" w:fill="auto"/>
          </w:tcPr>
          <w:p w14:paraId="0FED57C4" w14:textId="77777777" w:rsidR="00E93F58" w:rsidRPr="006E709F" w:rsidRDefault="00E93F58" w:rsidP="00A801D0">
            <w:pPr>
              <w:pStyle w:val="Tabletext"/>
            </w:pPr>
            <w:r w:rsidRPr="006E709F">
              <w:t>7</w:t>
            </w:r>
          </w:p>
        </w:tc>
        <w:tc>
          <w:tcPr>
            <w:tcW w:w="1449" w:type="pct"/>
            <w:shd w:val="clear" w:color="auto" w:fill="auto"/>
          </w:tcPr>
          <w:p w14:paraId="1F4CA331" w14:textId="77777777" w:rsidR="00E93F58" w:rsidRPr="006E709F" w:rsidRDefault="00E93F58" w:rsidP="00A801D0">
            <w:pPr>
              <w:pStyle w:val="Tabletext"/>
            </w:pPr>
            <w:r w:rsidRPr="006E709F">
              <w:rPr>
                <w:color w:val="000000"/>
              </w:rPr>
              <w:t>Member of the Takeovers Panel</w:t>
            </w:r>
          </w:p>
        </w:tc>
        <w:tc>
          <w:tcPr>
            <w:tcW w:w="1449" w:type="pct"/>
            <w:shd w:val="clear" w:color="auto" w:fill="auto"/>
          </w:tcPr>
          <w:p w14:paraId="5A1D4FFD" w14:textId="77777777" w:rsidR="00E93F58" w:rsidRPr="006E709F" w:rsidRDefault="00E93F58" w:rsidP="00A801D0">
            <w:pPr>
              <w:pStyle w:val="Tabletext"/>
            </w:pPr>
            <w:r w:rsidRPr="006E709F">
              <w:rPr>
                <w:i/>
              </w:rPr>
              <w:t>Australian Securities and Investments Commission Act 2001</w:t>
            </w:r>
          </w:p>
        </w:tc>
        <w:tc>
          <w:tcPr>
            <w:tcW w:w="1352" w:type="pct"/>
            <w:shd w:val="clear" w:color="auto" w:fill="auto"/>
          </w:tcPr>
          <w:p w14:paraId="319277CD" w14:textId="77777777" w:rsidR="00E93F58" w:rsidRPr="006E709F" w:rsidRDefault="00E93F58" w:rsidP="00A801D0">
            <w:pPr>
              <w:pStyle w:val="Tabletext"/>
            </w:pPr>
            <w:r w:rsidRPr="006E709F">
              <w:t>Commonwealth</w:t>
            </w:r>
          </w:p>
        </w:tc>
      </w:tr>
      <w:tr w:rsidR="00E93F58" w:rsidRPr="006E709F" w14:paraId="707F2328" w14:textId="77777777" w:rsidTr="00E118FA">
        <w:tc>
          <w:tcPr>
            <w:tcW w:w="750" w:type="pct"/>
            <w:shd w:val="clear" w:color="auto" w:fill="auto"/>
          </w:tcPr>
          <w:p w14:paraId="44995418" w14:textId="77777777" w:rsidR="00E93F58" w:rsidRPr="006E709F" w:rsidRDefault="00E93F58" w:rsidP="00A801D0">
            <w:pPr>
              <w:pStyle w:val="Tabletext"/>
            </w:pPr>
            <w:r w:rsidRPr="006E709F">
              <w:t>8</w:t>
            </w:r>
          </w:p>
        </w:tc>
        <w:tc>
          <w:tcPr>
            <w:tcW w:w="1449" w:type="pct"/>
            <w:shd w:val="clear" w:color="auto" w:fill="auto"/>
          </w:tcPr>
          <w:p w14:paraId="493BF030" w14:textId="77777777" w:rsidR="00E93F58" w:rsidRPr="006E709F" w:rsidRDefault="00E93F58" w:rsidP="00A801D0">
            <w:pPr>
              <w:pStyle w:val="Tabletext"/>
            </w:pPr>
            <w:r w:rsidRPr="006E709F">
              <w:t>Treasurer</w:t>
            </w:r>
          </w:p>
        </w:tc>
        <w:tc>
          <w:tcPr>
            <w:tcW w:w="1449" w:type="pct"/>
            <w:shd w:val="clear" w:color="auto" w:fill="auto"/>
          </w:tcPr>
          <w:p w14:paraId="1B7A489E" w14:textId="77777777" w:rsidR="00E93F58" w:rsidRPr="006E709F" w:rsidRDefault="00E93F58" w:rsidP="00C328E8">
            <w:pPr>
              <w:pStyle w:val="Tabletext"/>
            </w:pPr>
          </w:p>
        </w:tc>
        <w:tc>
          <w:tcPr>
            <w:tcW w:w="1352" w:type="pct"/>
            <w:shd w:val="clear" w:color="auto" w:fill="auto"/>
          </w:tcPr>
          <w:p w14:paraId="3D408D72" w14:textId="77777777" w:rsidR="00E93F58" w:rsidRPr="006E709F" w:rsidRDefault="00E93F58" w:rsidP="00A801D0">
            <w:pPr>
              <w:pStyle w:val="Tabletext"/>
            </w:pPr>
            <w:r w:rsidRPr="006E709F">
              <w:t>Western Australia</w:t>
            </w:r>
          </w:p>
        </w:tc>
      </w:tr>
      <w:tr w:rsidR="00E93F58" w:rsidRPr="006E709F" w14:paraId="0D40CFF4" w14:textId="77777777" w:rsidTr="00E118FA">
        <w:tc>
          <w:tcPr>
            <w:tcW w:w="750" w:type="pct"/>
            <w:shd w:val="clear" w:color="auto" w:fill="auto"/>
          </w:tcPr>
          <w:p w14:paraId="5874A014" w14:textId="77777777" w:rsidR="00E93F58" w:rsidRPr="006E709F" w:rsidRDefault="00E93F58" w:rsidP="00A801D0">
            <w:pPr>
              <w:pStyle w:val="Tabletext"/>
            </w:pPr>
            <w:r w:rsidRPr="006E709F">
              <w:t>9</w:t>
            </w:r>
          </w:p>
        </w:tc>
        <w:tc>
          <w:tcPr>
            <w:tcW w:w="1449" w:type="pct"/>
            <w:shd w:val="clear" w:color="auto" w:fill="auto"/>
          </w:tcPr>
          <w:p w14:paraId="0D2E047F" w14:textId="77777777" w:rsidR="00E93F58" w:rsidRPr="006E709F" w:rsidRDefault="00E93F58" w:rsidP="00A801D0">
            <w:pPr>
              <w:pStyle w:val="Tabletext"/>
            </w:pPr>
            <w:r w:rsidRPr="006E709F">
              <w:t>Commissioner for Corporate Affairs</w:t>
            </w:r>
          </w:p>
        </w:tc>
        <w:tc>
          <w:tcPr>
            <w:tcW w:w="1449" w:type="pct"/>
            <w:shd w:val="clear" w:color="auto" w:fill="auto"/>
          </w:tcPr>
          <w:p w14:paraId="396F3ED3" w14:textId="77777777" w:rsidR="00E93F58" w:rsidRPr="006E709F" w:rsidRDefault="00E93F58" w:rsidP="00C328E8">
            <w:pPr>
              <w:pStyle w:val="Tabletext"/>
            </w:pPr>
          </w:p>
        </w:tc>
        <w:tc>
          <w:tcPr>
            <w:tcW w:w="1352" w:type="pct"/>
            <w:shd w:val="clear" w:color="auto" w:fill="auto"/>
          </w:tcPr>
          <w:p w14:paraId="7BC9F173" w14:textId="77777777" w:rsidR="00E93F58" w:rsidRPr="006E709F" w:rsidRDefault="00E93F58" w:rsidP="00A801D0">
            <w:pPr>
              <w:pStyle w:val="Tabletext"/>
            </w:pPr>
            <w:r w:rsidRPr="006E709F">
              <w:t>Western Australia</w:t>
            </w:r>
          </w:p>
        </w:tc>
      </w:tr>
      <w:tr w:rsidR="00E93F58" w:rsidRPr="006E709F" w14:paraId="58B1878B" w14:textId="77777777" w:rsidTr="00E118FA">
        <w:tc>
          <w:tcPr>
            <w:tcW w:w="750" w:type="pct"/>
            <w:shd w:val="clear" w:color="auto" w:fill="auto"/>
          </w:tcPr>
          <w:p w14:paraId="0A766AD5" w14:textId="77777777" w:rsidR="00E93F58" w:rsidRPr="006E709F" w:rsidRDefault="00E93F58" w:rsidP="00A801D0">
            <w:pPr>
              <w:pStyle w:val="Tabletext"/>
            </w:pPr>
            <w:r w:rsidRPr="006E709F">
              <w:t>10</w:t>
            </w:r>
          </w:p>
        </w:tc>
        <w:tc>
          <w:tcPr>
            <w:tcW w:w="1449" w:type="pct"/>
            <w:shd w:val="clear" w:color="auto" w:fill="auto"/>
          </w:tcPr>
          <w:p w14:paraId="7BED20C7" w14:textId="77777777" w:rsidR="00E93F58" w:rsidRPr="006E709F" w:rsidRDefault="00E93F58" w:rsidP="00A801D0">
            <w:pPr>
              <w:pStyle w:val="Tabletext"/>
            </w:pPr>
            <w:r w:rsidRPr="006E709F">
              <w:t>Public Trustee</w:t>
            </w:r>
          </w:p>
        </w:tc>
        <w:tc>
          <w:tcPr>
            <w:tcW w:w="1449" w:type="pct"/>
            <w:shd w:val="clear" w:color="auto" w:fill="auto"/>
          </w:tcPr>
          <w:p w14:paraId="530F635C" w14:textId="77777777" w:rsidR="00E93F58" w:rsidRPr="006E709F" w:rsidRDefault="00E93F58" w:rsidP="00A801D0">
            <w:pPr>
              <w:pStyle w:val="Tabletext"/>
            </w:pPr>
            <w:r w:rsidRPr="006E709F">
              <w:rPr>
                <w:i/>
              </w:rPr>
              <w:t>Public Trustee Act 1941</w:t>
            </w:r>
          </w:p>
        </w:tc>
        <w:tc>
          <w:tcPr>
            <w:tcW w:w="1352" w:type="pct"/>
            <w:shd w:val="clear" w:color="auto" w:fill="auto"/>
          </w:tcPr>
          <w:p w14:paraId="10639E03" w14:textId="77777777" w:rsidR="00E93F58" w:rsidRPr="006E709F" w:rsidRDefault="00E93F58" w:rsidP="00A801D0">
            <w:pPr>
              <w:pStyle w:val="Tabletext"/>
            </w:pPr>
            <w:r w:rsidRPr="006E709F">
              <w:t>Western Australia</w:t>
            </w:r>
          </w:p>
        </w:tc>
      </w:tr>
      <w:tr w:rsidR="00E93F58" w:rsidRPr="006E709F" w14:paraId="45C01083" w14:textId="77777777" w:rsidTr="00E118FA">
        <w:tc>
          <w:tcPr>
            <w:tcW w:w="750" w:type="pct"/>
            <w:shd w:val="clear" w:color="auto" w:fill="auto"/>
          </w:tcPr>
          <w:p w14:paraId="2DA9D104" w14:textId="77777777" w:rsidR="00E93F58" w:rsidRPr="006E709F" w:rsidRDefault="00E93F58" w:rsidP="00A801D0">
            <w:pPr>
              <w:pStyle w:val="Tabletext"/>
            </w:pPr>
            <w:r w:rsidRPr="006E709F">
              <w:t>11</w:t>
            </w:r>
          </w:p>
        </w:tc>
        <w:tc>
          <w:tcPr>
            <w:tcW w:w="1449" w:type="pct"/>
            <w:shd w:val="clear" w:color="auto" w:fill="auto"/>
          </w:tcPr>
          <w:p w14:paraId="66C4410C" w14:textId="77777777" w:rsidR="00E93F58" w:rsidRPr="006E709F" w:rsidRDefault="00E93F58" w:rsidP="00A801D0">
            <w:pPr>
              <w:pStyle w:val="Tabletext"/>
            </w:pPr>
            <w:r w:rsidRPr="006E709F">
              <w:t>Master of the Supreme Court</w:t>
            </w:r>
          </w:p>
        </w:tc>
        <w:tc>
          <w:tcPr>
            <w:tcW w:w="1449" w:type="pct"/>
            <w:shd w:val="clear" w:color="auto" w:fill="auto"/>
          </w:tcPr>
          <w:p w14:paraId="120044DA" w14:textId="77777777" w:rsidR="00E93F58" w:rsidRPr="006E709F" w:rsidRDefault="00E93F58" w:rsidP="00A801D0">
            <w:pPr>
              <w:pStyle w:val="Tabletext"/>
            </w:pPr>
            <w:r w:rsidRPr="006E709F">
              <w:rPr>
                <w:i/>
              </w:rPr>
              <w:t>Supreme Court Act 1935</w:t>
            </w:r>
          </w:p>
        </w:tc>
        <w:tc>
          <w:tcPr>
            <w:tcW w:w="1352" w:type="pct"/>
            <w:shd w:val="clear" w:color="auto" w:fill="auto"/>
          </w:tcPr>
          <w:p w14:paraId="2F5E0A5B" w14:textId="77777777" w:rsidR="00E93F58" w:rsidRPr="006E709F" w:rsidRDefault="00E93F58" w:rsidP="00A801D0">
            <w:pPr>
              <w:pStyle w:val="Tabletext"/>
            </w:pPr>
            <w:r w:rsidRPr="006E709F">
              <w:t>Western Australia</w:t>
            </w:r>
          </w:p>
        </w:tc>
      </w:tr>
      <w:tr w:rsidR="00E93F58" w:rsidRPr="006E709F" w14:paraId="0ED1B3CB" w14:textId="77777777" w:rsidTr="00E118FA">
        <w:tc>
          <w:tcPr>
            <w:tcW w:w="750" w:type="pct"/>
            <w:shd w:val="clear" w:color="auto" w:fill="auto"/>
          </w:tcPr>
          <w:p w14:paraId="7446480E" w14:textId="77777777" w:rsidR="00E93F58" w:rsidRPr="006E709F" w:rsidRDefault="00E93F58" w:rsidP="00A801D0">
            <w:pPr>
              <w:pStyle w:val="Tabletext"/>
            </w:pPr>
            <w:r w:rsidRPr="006E709F">
              <w:t>12</w:t>
            </w:r>
          </w:p>
        </w:tc>
        <w:tc>
          <w:tcPr>
            <w:tcW w:w="1449" w:type="pct"/>
            <w:shd w:val="clear" w:color="auto" w:fill="auto"/>
          </w:tcPr>
          <w:p w14:paraId="47473274" w14:textId="77777777" w:rsidR="00E93F58" w:rsidRPr="006E709F" w:rsidRDefault="00E93F58" w:rsidP="00A801D0">
            <w:pPr>
              <w:pStyle w:val="Tabletext"/>
            </w:pPr>
            <w:r w:rsidRPr="006E709F">
              <w:t>Registrar of the Supreme Court</w:t>
            </w:r>
          </w:p>
        </w:tc>
        <w:tc>
          <w:tcPr>
            <w:tcW w:w="1449" w:type="pct"/>
            <w:shd w:val="clear" w:color="auto" w:fill="auto"/>
          </w:tcPr>
          <w:p w14:paraId="11675F3D" w14:textId="77777777" w:rsidR="00E93F58" w:rsidRPr="006E709F" w:rsidRDefault="00E93F58" w:rsidP="00A801D0">
            <w:pPr>
              <w:pStyle w:val="Tabletext"/>
            </w:pPr>
            <w:r w:rsidRPr="006E709F">
              <w:rPr>
                <w:i/>
              </w:rPr>
              <w:t>Supreme Court Act 1935</w:t>
            </w:r>
          </w:p>
        </w:tc>
        <w:tc>
          <w:tcPr>
            <w:tcW w:w="1352" w:type="pct"/>
            <w:shd w:val="clear" w:color="auto" w:fill="auto"/>
          </w:tcPr>
          <w:p w14:paraId="45BD6B7F" w14:textId="77777777" w:rsidR="00E93F58" w:rsidRPr="006E709F" w:rsidRDefault="00E93F58" w:rsidP="00A801D0">
            <w:pPr>
              <w:pStyle w:val="Tabletext"/>
            </w:pPr>
            <w:r w:rsidRPr="006E709F">
              <w:t>Western Australia</w:t>
            </w:r>
          </w:p>
        </w:tc>
      </w:tr>
      <w:tr w:rsidR="00E93F58" w:rsidRPr="006E709F" w14:paraId="7CE134EA" w14:textId="77777777" w:rsidTr="00E118FA">
        <w:tc>
          <w:tcPr>
            <w:tcW w:w="750" w:type="pct"/>
            <w:tcBorders>
              <w:bottom w:val="single" w:sz="4" w:space="0" w:color="auto"/>
            </w:tcBorders>
            <w:shd w:val="clear" w:color="auto" w:fill="auto"/>
          </w:tcPr>
          <w:p w14:paraId="1DEB1F42" w14:textId="77777777" w:rsidR="00E93F58" w:rsidRPr="006E709F" w:rsidRDefault="00E93F58" w:rsidP="00A801D0">
            <w:pPr>
              <w:pStyle w:val="Tabletext"/>
            </w:pPr>
            <w:r w:rsidRPr="006E709F">
              <w:t>13</w:t>
            </w:r>
          </w:p>
        </w:tc>
        <w:tc>
          <w:tcPr>
            <w:tcW w:w="1449" w:type="pct"/>
            <w:tcBorders>
              <w:bottom w:val="single" w:sz="4" w:space="0" w:color="auto"/>
            </w:tcBorders>
            <w:shd w:val="clear" w:color="auto" w:fill="auto"/>
          </w:tcPr>
          <w:p w14:paraId="601AD668" w14:textId="77777777" w:rsidR="00E93F58" w:rsidRPr="006E709F" w:rsidRDefault="00E93F58" w:rsidP="00A801D0">
            <w:pPr>
              <w:pStyle w:val="Tabletext"/>
            </w:pPr>
            <w:r w:rsidRPr="006E709F">
              <w:t>Treasurer</w:t>
            </w:r>
          </w:p>
        </w:tc>
        <w:tc>
          <w:tcPr>
            <w:tcW w:w="1449" w:type="pct"/>
            <w:tcBorders>
              <w:bottom w:val="single" w:sz="4" w:space="0" w:color="auto"/>
            </w:tcBorders>
            <w:shd w:val="clear" w:color="auto" w:fill="auto"/>
          </w:tcPr>
          <w:p w14:paraId="00A02CCD" w14:textId="77777777" w:rsidR="00E93F58" w:rsidRPr="006E709F" w:rsidRDefault="00E93F58" w:rsidP="00C328E8">
            <w:pPr>
              <w:pStyle w:val="Tabletext"/>
            </w:pPr>
          </w:p>
        </w:tc>
        <w:tc>
          <w:tcPr>
            <w:tcW w:w="1352" w:type="pct"/>
            <w:tcBorders>
              <w:bottom w:val="single" w:sz="4" w:space="0" w:color="auto"/>
            </w:tcBorders>
            <w:shd w:val="clear" w:color="auto" w:fill="auto"/>
          </w:tcPr>
          <w:p w14:paraId="1BE35FDC" w14:textId="77777777" w:rsidR="00E93F58" w:rsidRPr="006E709F" w:rsidRDefault="00E93F58" w:rsidP="00A801D0">
            <w:pPr>
              <w:pStyle w:val="Tabletext"/>
            </w:pPr>
            <w:r w:rsidRPr="006E709F">
              <w:t>Victoria</w:t>
            </w:r>
          </w:p>
        </w:tc>
      </w:tr>
      <w:tr w:rsidR="00E93F58" w:rsidRPr="006E709F" w14:paraId="205F29D1" w14:textId="77777777" w:rsidTr="00E118FA">
        <w:tc>
          <w:tcPr>
            <w:tcW w:w="750" w:type="pct"/>
            <w:tcBorders>
              <w:bottom w:val="single" w:sz="4" w:space="0" w:color="auto"/>
            </w:tcBorders>
            <w:shd w:val="clear" w:color="auto" w:fill="auto"/>
          </w:tcPr>
          <w:p w14:paraId="66B7F0FA" w14:textId="77777777" w:rsidR="00E93F58" w:rsidRPr="006E709F" w:rsidRDefault="00E93F58" w:rsidP="00A801D0">
            <w:pPr>
              <w:pStyle w:val="Tabletext"/>
            </w:pPr>
            <w:r w:rsidRPr="006E709F">
              <w:t>14</w:t>
            </w:r>
          </w:p>
        </w:tc>
        <w:tc>
          <w:tcPr>
            <w:tcW w:w="1449" w:type="pct"/>
            <w:tcBorders>
              <w:bottom w:val="single" w:sz="4" w:space="0" w:color="auto"/>
            </w:tcBorders>
            <w:shd w:val="clear" w:color="auto" w:fill="auto"/>
          </w:tcPr>
          <w:p w14:paraId="39A481B6" w14:textId="77777777" w:rsidR="00E93F58" w:rsidRPr="006E709F" w:rsidRDefault="00E93F58" w:rsidP="00A801D0">
            <w:pPr>
              <w:pStyle w:val="Tabletext"/>
            </w:pPr>
            <w:r w:rsidRPr="006E709F">
              <w:t>Commissioner for Corporate Affairs</w:t>
            </w:r>
          </w:p>
        </w:tc>
        <w:tc>
          <w:tcPr>
            <w:tcW w:w="1449" w:type="pct"/>
            <w:tcBorders>
              <w:bottom w:val="single" w:sz="4" w:space="0" w:color="auto"/>
            </w:tcBorders>
            <w:shd w:val="clear" w:color="auto" w:fill="auto"/>
          </w:tcPr>
          <w:p w14:paraId="7710E341" w14:textId="77777777" w:rsidR="00E93F58" w:rsidRPr="006E709F" w:rsidRDefault="00E93F58" w:rsidP="00C328E8">
            <w:pPr>
              <w:pStyle w:val="Tabletext"/>
            </w:pPr>
          </w:p>
        </w:tc>
        <w:tc>
          <w:tcPr>
            <w:tcW w:w="1352" w:type="pct"/>
            <w:tcBorders>
              <w:bottom w:val="single" w:sz="4" w:space="0" w:color="auto"/>
            </w:tcBorders>
            <w:shd w:val="clear" w:color="auto" w:fill="auto"/>
          </w:tcPr>
          <w:p w14:paraId="5DEB2108" w14:textId="77777777" w:rsidR="00E93F58" w:rsidRPr="006E709F" w:rsidRDefault="00E93F58" w:rsidP="00A801D0">
            <w:pPr>
              <w:pStyle w:val="Tabletext"/>
            </w:pPr>
            <w:r w:rsidRPr="006E709F">
              <w:t>Victoria</w:t>
            </w:r>
          </w:p>
        </w:tc>
      </w:tr>
      <w:tr w:rsidR="00E93F58" w:rsidRPr="006E709F" w14:paraId="389084AD" w14:textId="77777777" w:rsidTr="00E118FA">
        <w:trPr>
          <w:cantSplit/>
        </w:trPr>
        <w:tc>
          <w:tcPr>
            <w:tcW w:w="750" w:type="pct"/>
            <w:tcBorders>
              <w:top w:val="single" w:sz="4" w:space="0" w:color="auto"/>
            </w:tcBorders>
            <w:shd w:val="clear" w:color="auto" w:fill="auto"/>
          </w:tcPr>
          <w:p w14:paraId="7DD3FEB4" w14:textId="77777777" w:rsidR="00E93F58" w:rsidRPr="006E709F" w:rsidRDefault="00E93F58" w:rsidP="00A801D0">
            <w:pPr>
              <w:pStyle w:val="Tabletext"/>
            </w:pPr>
            <w:r w:rsidRPr="006E709F">
              <w:t>15</w:t>
            </w:r>
          </w:p>
        </w:tc>
        <w:tc>
          <w:tcPr>
            <w:tcW w:w="1449" w:type="pct"/>
            <w:tcBorders>
              <w:top w:val="single" w:sz="4" w:space="0" w:color="auto"/>
            </w:tcBorders>
            <w:shd w:val="clear" w:color="auto" w:fill="auto"/>
          </w:tcPr>
          <w:p w14:paraId="48DF400B" w14:textId="77777777" w:rsidR="00E93F58" w:rsidRPr="006E709F" w:rsidRDefault="00E93F58" w:rsidP="00A801D0">
            <w:pPr>
              <w:pStyle w:val="Tabletext"/>
            </w:pPr>
            <w:r w:rsidRPr="006E709F">
              <w:t>Public Trustee</w:t>
            </w:r>
          </w:p>
        </w:tc>
        <w:tc>
          <w:tcPr>
            <w:tcW w:w="1449" w:type="pct"/>
            <w:tcBorders>
              <w:top w:val="single" w:sz="4" w:space="0" w:color="auto"/>
            </w:tcBorders>
            <w:shd w:val="clear" w:color="auto" w:fill="auto"/>
          </w:tcPr>
          <w:p w14:paraId="37A8BB31" w14:textId="77777777" w:rsidR="00E93F58" w:rsidRPr="006E709F" w:rsidRDefault="00E93F58" w:rsidP="00A801D0">
            <w:pPr>
              <w:pStyle w:val="Tabletext"/>
            </w:pPr>
            <w:r w:rsidRPr="006E709F">
              <w:rPr>
                <w:i/>
              </w:rPr>
              <w:t>Public Trustee Act 1958</w:t>
            </w:r>
          </w:p>
        </w:tc>
        <w:tc>
          <w:tcPr>
            <w:tcW w:w="1352" w:type="pct"/>
            <w:tcBorders>
              <w:top w:val="single" w:sz="4" w:space="0" w:color="auto"/>
            </w:tcBorders>
            <w:shd w:val="clear" w:color="auto" w:fill="auto"/>
          </w:tcPr>
          <w:p w14:paraId="5F220E6E" w14:textId="77777777" w:rsidR="00E93F58" w:rsidRPr="006E709F" w:rsidRDefault="00E93F58" w:rsidP="00A801D0">
            <w:pPr>
              <w:pStyle w:val="Tabletext"/>
            </w:pPr>
            <w:r w:rsidRPr="006E709F">
              <w:t>Victoria</w:t>
            </w:r>
          </w:p>
        </w:tc>
      </w:tr>
      <w:tr w:rsidR="00E93F58" w:rsidRPr="006E709F" w14:paraId="012F12BC" w14:textId="77777777" w:rsidTr="00E118FA">
        <w:tc>
          <w:tcPr>
            <w:tcW w:w="750" w:type="pct"/>
            <w:shd w:val="clear" w:color="auto" w:fill="auto"/>
          </w:tcPr>
          <w:p w14:paraId="1B3EBE36" w14:textId="77777777" w:rsidR="00E93F58" w:rsidRPr="006E709F" w:rsidRDefault="00E93F58" w:rsidP="00A801D0">
            <w:pPr>
              <w:pStyle w:val="Tabletext"/>
            </w:pPr>
            <w:r w:rsidRPr="006E709F">
              <w:t>16</w:t>
            </w:r>
          </w:p>
        </w:tc>
        <w:tc>
          <w:tcPr>
            <w:tcW w:w="1449" w:type="pct"/>
            <w:shd w:val="clear" w:color="auto" w:fill="auto"/>
          </w:tcPr>
          <w:p w14:paraId="5113DD88" w14:textId="77777777" w:rsidR="00E93F58" w:rsidRPr="006E709F" w:rsidRDefault="00E93F58" w:rsidP="00A801D0">
            <w:pPr>
              <w:pStyle w:val="Tabletext"/>
            </w:pPr>
            <w:r w:rsidRPr="006E709F">
              <w:t>Master of the Supreme Court</w:t>
            </w:r>
          </w:p>
        </w:tc>
        <w:tc>
          <w:tcPr>
            <w:tcW w:w="1449" w:type="pct"/>
            <w:shd w:val="clear" w:color="auto" w:fill="auto"/>
          </w:tcPr>
          <w:p w14:paraId="022681ED" w14:textId="77777777" w:rsidR="00E93F58" w:rsidRPr="006E709F" w:rsidRDefault="00E93F58" w:rsidP="00A801D0">
            <w:pPr>
              <w:pStyle w:val="Tabletext"/>
            </w:pPr>
            <w:r w:rsidRPr="006E709F">
              <w:rPr>
                <w:i/>
              </w:rPr>
              <w:t>Supreme Court Act 1958</w:t>
            </w:r>
          </w:p>
        </w:tc>
        <w:tc>
          <w:tcPr>
            <w:tcW w:w="1352" w:type="pct"/>
            <w:shd w:val="clear" w:color="auto" w:fill="auto"/>
          </w:tcPr>
          <w:p w14:paraId="1A531A92" w14:textId="77777777" w:rsidR="00E93F58" w:rsidRPr="006E709F" w:rsidRDefault="00E93F58" w:rsidP="00A801D0">
            <w:pPr>
              <w:pStyle w:val="Tabletext"/>
            </w:pPr>
            <w:r w:rsidRPr="006E709F">
              <w:t>Victoria</w:t>
            </w:r>
          </w:p>
        </w:tc>
      </w:tr>
      <w:tr w:rsidR="00E93F58" w:rsidRPr="006E709F" w14:paraId="14B85ADE" w14:textId="77777777" w:rsidTr="00E118FA">
        <w:tc>
          <w:tcPr>
            <w:tcW w:w="750" w:type="pct"/>
            <w:shd w:val="clear" w:color="auto" w:fill="auto"/>
          </w:tcPr>
          <w:p w14:paraId="05EE698D" w14:textId="77777777" w:rsidR="00E93F58" w:rsidRPr="006E709F" w:rsidRDefault="00E93F58" w:rsidP="00A801D0">
            <w:pPr>
              <w:pStyle w:val="Tabletext"/>
            </w:pPr>
            <w:r w:rsidRPr="006E709F">
              <w:t>17</w:t>
            </w:r>
          </w:p>
        </w:tc>
        <w:tc>
          <w:tcPr>
            <w:tcW w:w="1449" w:type="pct"/>
            <w:shd w:val="clear" w:color="auto" w:fill="auto"/>
          </w:tcPr>
          <w:p w14:paraId="265402FE" w14:textId="77777777" w:rsidR="00E93F58" w:rsidRPr="006E709F" w:rsidRDefault="00E93F58" w:rsidP="00A801D0">
            <w:pPr>
              <w:pStyle w:val="Tabletext"/>
            </w:pPr>
            <w:r w:rsidRPr="006E709F">
              <w:t>Treasurer</w:t>
            </w:r>
          </w:p>
        </w:tc>
        <w:tc>
          <w:tcPr>
            <w:tcW w:w="1449" w:type="pct"/>
            <w:shd w:val="clear" w:color="auto" w:fill="auto"/>
          </w:tcPr>
          <w:p w14:paraId="0003952A" w14:textId="77777777" w:rsidR="00E93F58" w:rsidRPr="006E709F" w:rsidRDefault="00E93F58" w:rsidP="00C328E8">
            <w:pPr>
              <w:pStyle w:val="Tabletext"/>
            </w:pPr>
          </w:p>
        </w:tc>
        <w:tc>
          <w:tcPr>
            <w:tcW w:w="1352" w:type="pct"/>
            <w:shd w:val="clear" w:color="auto" w:fill="auto"/>
          </w:tcPr>
          <w:p w14:paraId="247E1A01" w14:textId="77777777" w:rsidR="00E93F58" w:rsidRPr="006E709F" w:rsidRDefault="00E93F58" w:rsidP="00A801D0">
            <w:pPr>
              <w:pStyle w:val="Tabletext"/>
            </w:pPr>
            <w:r w:rsidRPr="006E709F">
              <w:t>New South Wales</w:t>
            </w:r>
          </w:p>
        </w:tc>
      </w:tr>
      <w:tr w:rsidR="00E93F58" w:rsidRPr="006E709F" w14:paraId="01D0AD5F" w14:textId="77777777" w:rsidTr="00E118FA">
        <w:tc>
          <w:tcPr>
            <w:tcW w:w="750" w:type="pct"/>
            <w:shd w:val="clear" w:color="auto" w:fill="auto"/>
          </w:tcPr>
          <w:p w14:paraId="7F82ACAB" w14:textId="77777777" w:rsidR="00E93F58" w:rsidRPr="006E709F" w:rsidRDefault="00E93F58" w:rsidP="00A801D0">
            <w:pPr>
              <w:pStyle w:val="Tabletext"/>
            </w:pPr>
            <w:r w:rsidRPr="006E709F">
              <w:t>18</w:t>
            </w:r>
          </w:p>
        </w:tc>
        <w:tc>
          <w:tcPr>
            <w:tcW w:w="1449" w:type="pct"/>
            <w:shd w:val="clear" w:color="auto" w:fill="auto"/>
          </w:tcPr>
          <w:p w14:paraId="53271AE6" w14:textId="77777777" w:rsidR="00E93F58" w:rsidRPr="006E709F" w:rsidRDefault="00E93F58" w:rsidP="00A801D0">
            <w:pPr>
              <w:pStyle w:val="Tabletext"/>
            </w:pPr>
            <w:r w:rsidRPr="006E709F">
              <w:t>Public Trustee</w:t>
            </w:r>
          </w:p>
        </w:tc>
        <w:tc>
          <w:tcPr>
            <w:tcW w:w="1449" w:type="pct"/>
            <w:shd w:val="clear" w:color="auto" w:fill="auto"/>
          </w:tcPr>
          <w:p w14:paraId="1E3FD049" w14:textId="77777777" w:rsidR="00E93F58" w:rsidRPr="006E709F" w:rsidRDefault="00E93F58" w:rsidP="00A801D0">
            <w:pPr>
              <w:pStyle w:val="Tabletext"/>
            </w:pPr>
            <w:r w:rsidRPr="006E709F">
              <w:rPr>
                <w:i/>
              </w:rPr>
              <w:t>Public Trustee Act 1913</w:t>
            </w:r>
          </w:p>
        </w:tc>
        <w:tc>
          <w:tcPr>
            <w:tcW w:w="1352" w:type="pct"/>
            <w:shd w:val="clear" w:color="auto" w:fill="auto"/>
          </w:tcPr>
          <w:p w14:paraId="1126351F" w14:textId="77777777" w:rsidR="00E93F58" w:rsidRPr="006E709F" w:rsidRDefault="00E93F58" w:rsidP="00A801D0">
            <w:pPr>
              <w:pStyle w:val="Tabletext"/>
            </w:pPr>
            <w:r w:rsidRPr="006E709F">
              <w:t>New South Wales</w:t>
            </w:r>
          </w:p>
        </w:tc>
      </w:tr>
      <w:tr w:rsidR="00E93F58" w:rsidRPr="006E709F" w14:paraId="0EF08AE7" w14:textId="77777777" w:rsidTr="00E118FA">
        <w:tc>
          <w:tcPr>
            <w:tcW w:w="750" w:type="pct"/>
            <w:shd w:val="clear" w:color="auto" w:fill="auto"/>
          </w:tcPr>
          <w:p w14:paraId="3D97D773" w14:textId="77777777" w:rsidR="00E93F58" w:rsidRPr="006E709F" w:rsidRDefault="00E93F58" w:rsidP="00A801D0">
            <w:pPr>
              <w:pStyle w:val="Tabletext"/>
            </w:pPr>
            <w:r w:rsidRPr="006E709F">
              <w:t>19</w:t>
            </w:r>
          </w:p>
        </w:tc>
        <w:tc>
          <w:tcPr>
            <w:tcW w:w="1449" w:type="pct"/>
            <w:shd w:val="clear" w:color="auto" w:fill="auto"/>
          </w:tcPr>
          <w:p w14:paraId="05312AA1" w14:textId="77777777" w:rsidR="00E93F58" w:rsidRPr="006E709F" w:rsidRDefault="00E93F58" w:rsidP="00A801D0">
            <w:pPr>
              <w:pStyle w:val="Tabletext"/>
            </w:pPr>
            <w:r w:rsidRPr="006E709F">
              <w:t>Master</w:t>
            </w:r>
          </w:p>
        </w:tc>
        <w:tc>
          <w:tcPr>
            <w:tcW w:w="1449" w:type="pct"/>
            <w:shd w:val="clear" w:color="auto" w:fill="auto"/>
          </w:tcPr>
          <w:p w14:paraId="4A3D106B" w14:textId="77777777" w:rsidR="00E93F58" w:rsidRPr="006E709F" w:rsidRDefault="00E93F58" w:rsidP="00A801D0">
            <w:pPr>
              <w:pStyle w:val="Tabletext"/>
            </w:pPr>
            <w:r w:rsidRPr="006E709F">
              <w:t xml:space="preserve">Division 1 of Part VIII of the </w:t>
            </w:r>
            <w:r w:rsidRPr="006E709F">
              <w:rPr>
                <w:i/>
              </w:rPr>
              <w:t>Supreme Court Act 1970</w:t>
            </w:r>
          </w:p>
        </w:tc>
        <w:tc>
          <w:tcPr>
            <w:tcW w:w="1352" w:type="pct"/>
            <w:shd w:val="clear" w:color="auto" w:fill="auto"/>
          </w:tcPr>
          <w:p w14:paraId="23ABBFF9" w14:textId="77777777" w:rsidR="00E93F58" w:rsidRPr="006E709F" w:rsidRDefault="00E93F58" w:rsidP="00A801D0">
            <w:pPr>
              <w:pStyle w:val="Tabletext"/>
            </w:pPr>
            <w:r w:rsidRPr="006E709F">
              <w:t>New South Wales</w:t>
            </w:r>
          </w:p>
        </w:tc>
      </w:tr>
      <w:tr w:rsidR="00E93F58" w:rsidRPr="006E709F" w14:paraId="22B2375C" w14:textId="77777777" w:rsidTr="00E118FA">
        <w:tc>
          <w:tcPr>
            <w:tcW w:w="750" w:type="pct"/>
            <w:shd w:val="clear" w:color="auto" w:fill="auto"/>
          </w:tcPr>
          <w:p w14:paraId="3D0D726C" w14:textId="77777777" w:rsidR="00E93F58" w:rsidRPr="006E709F" w:rsidRDefault="00E93F58" w:rsidP="00A801D0">
            <w:pPr>
              <w:pStyle w:val="Tabletext"/>
            </w:pPr>
            <w:r w:rsidRPr="006E709F">
              <w:t>20</w:t>
            </w:r>
          </w:p>
        </w:tc>
        <w:tc>
          <w:tcPr>
            <w:tcW w:w="1449" w:type="pct"/>
            <w:shd w:val="clear" w:color="auto" w:fill="auto"/>
          </w:tcPr>
          <w:p w14:paraId="47EB5D0B" w14:textId="77777777" w:rsidR="00E93F58" w:rsidRPr="006E709F" w:rsidRDefault="00E93F58" w:rsidP="00A801D0">
            <w:pPr>
              <w:pStyle w:val="Tabletext"/>
            </w:pPr>
            <w:r w:rsidRPr="006E709F">
              <w:t>Supervisor of Loan Fund Companies</w:t>
            </w:r>
          </w:p>
        </w:tc>
        <w:tc>
          <w:tcPr>
            <w:tcW w:w="1449" w:type="pct"/>
            <w:shd w:val="clear" w:color="auto" w:fill="auto"/>
          </w:tcPr>
          <w:p w14:paraId="2B5D5799" w14:textId="77777777" w:rsidR="00E93F58" w:rsidRPr="006E709F" w:rsidRDefault="00E93F58" w:rsidP="00A801D0">
            <w:pPr>
              <w:pStyle w:val="Tabletext"/>
            </w:pPr>
            <w:r w:rsidRPr="006E709F">
              <w:rPr>
                <w:i/>
              </w:rPr>
              <w:t>Loan Fund Companies Act 1976</w:t>
            </w:r>
          </w:p>
        </w:tc>
        <w:tc>
          <w:tcPr>
            <w:tcW w:w="1352" w:type="pct"/>
            <w:shd w:val="clear" w:color="auto" w:fill="auto"/>
          </w:tcPr>
          <w:p w14:paraId="36F651F0" w14:textId="77777777" w:rsidR="00E93F58" w:rsidRPr="006E709F" w:rsidRDefault="00E93F58" w:rsidP="00A801D0">
            <w:pPr>
              <w:pStyle w:val="Tabletext"/>
            </w:pPr>
            <w:r w:rsidRPr="006E709F">
              <w:t>New South Wales</w:t>
            </w:r>
          </w:p>
        </w:tc>
      </w:tr>
      <w:tr w:rsidR="00E93F58" w:rsidRPr="006E709F" w14:paraId="262142D0" w14:textId="77777777" w:rsidTr="00E118FA">
        <w:tc>
          <w:tcPr>
            <w:tcW w:w="750" w:type="pct"/>
            <w:shd w:val="clear" w:color="auto" w:fill="auto"/>
          </w:tcPr>
          <w:p w14:paraId="2A028FBA" w14:textId="77777777" w:rsidR="00E93F58" w:rsidRPr="006E709F" w:rsidRDefault="00E93F58" w:rsidP="00A801D0">
            <w:pPr>
              <w:pStyle w:val="Tabletext"/>
            </w:pPr>
            <w:r w:rsidRPr="006E709F">
              <w:t>21</w:t>
            </w:r>
          </w:p>
        </w:tc>
        <w:tc>
          <w:tcPr>
            <w:tcW w:w="1449" w:type="pct"/>
            <w:shd w:val="clear" w:color="auto" w:fill="auto"/>
          </w:tcPr>
          <w:p w14:paraId="3F509B1A" w14:textId="77777777" w:rsidR="00E93F58" w:rsidRPr="006E709F" w:rsidRDefault="00E93F58" w:rsidP="00A801D0">
            <w:pPr>
              <w:pStyle w:val="Tabletext"/>
            </w:pPr>
            <w:r w:rsidRPr="006E709F">
              <w:t>Protective Commissioner</w:t>
            </w:r>
          </w:p>
        </w:tc>
        <w:tc>
          <w:tcPr>
            <w:tcW w:w="1449" w:type="pct"/>
            <w:shd w:val="clear" w:color="auto" w:fill="auto"/>
          </w:tcPr>
          <w:p w14:paraId="125B07B2" w14:textId="77777777" w:rsidR="00E93F58" w:rsidRPr="006E709F" w:rsidRDefault="00E93F58" w:rsidP="00A801D0">
            <w:pPr>
              <w:pStyle w:val="Tabletext"/>
            </w:pPr>
            <w:r w:rsidRPr="006E709F">
              <w:rPr>
                <w:i/>
              </w:rPr>
              <w:t>Mental Health Act 1958</w:t>
            </w:r>
          </w:p>
        </w:tc>
        <w:tc>
          <w:tcPr>
            <w:tcW w:w="1352" w:type="pct"/>
            <w:shd w:val="clear" w:color="auto" w:fill="auto"/>
          </w:tcPr>
          <w:p w14:paraId="4942E392" w14:textId="77777777" w:rsidR="00E93F58" w:rsidRPr="006E709F" w:rsidRDefault="00E93F58" w:rsidP="00A801D0">
            <w:pPr>
              <w:pStyle w:val="Tabletext"/>
            </w:pPr>
            <w:r w:rsidRPr="006E709F">
              <w:t>New South Wales</w:t>
            </w:r>
          </w:p>
        </w:tc>
      </w:tr>
      <w:tr w:rsidR="00E93F58" w:rsidRPr="006E709F" w14:paraId="7CED6F28" w14:textId="77777777" w:rsidTr="00E118FA">
        <w:tc>
          <w:tcPr>
            <w:tcW w:w="750" w:type="pct"/>
            <w:shd w:val="clear" w:color="auto" w:fill="auto"/>
          </w:tcPr>
          <w:p w14:paraId="650CF92E" w14:textId="77777777" w:rsidR="00E93F58" w:rsidRPr="006E709F" w:rsidRDefault="00E93F58" w:rsidP="00A801D0">
            <w:pPr>
              <w:pStyle w:val="Tabletext"/>
            </w:pPr>
            <w:r w:rsidRPr="006E709F">
              <w:t>22</w:t>
            </w:r>
          </w:p>
        </w:tc>
        <w:tc>
          <w:tcPr>
            <w:tcW w:w="1449" w:type="pct"/>
            <w:shd w:val="clear" w:color="auto" w:fill="auto"/>
          </w:tcPr>
          <w:p w14:paraId="3DC04ED3" w14:textId="77777777" w:rsidR="00E93F58" w:rsidRPr="006E709F" w:rsidRDefault="00E93F58" w:rsidP="00A801D0">
            <w:pPr>
              <w:pStyle w:val="Tabletext"/>
            </w:pPr>
            <w:r w:rsidRPr="006E709F">
              <w:t>Treasurer</w:t>
            </w:r>
          </w:p>
        </w:tc>
        <w:tc>
          <w:tcPr>
            <w:tcW w:w="1449" w:type="pct"/>
            <w:shd w:val="clear" w:color="auto" w:fill="auto"/>
          </w:tcPr>
          <w:p w14:paraId="159CCAD3" w14:textId="77777777" w:rsidR="00E93F58" w:rsidRPr="006E709F" w:rsidRDefault="00E93F58" w:rsidP="00C328E8">
            <w:pPr>
              <w:pStyle w:val="Tabletext"/>
            </w:pPr>
          </w:p>
        </w:tc>
        <w:tc>
          <w:tcPr>
            <w:tcW w:w="1352" w:type="pct"/>
            <w:shd w:val="clear" w:color="auto" w:fill="auto"/>
          </w:tcPr>
          <w:p w14:paraId="3B1DAFC8" w14:textId="77777777" w:rsidR="00E93F58" w:rsidRPr="006E709F" w:rsidRDefault="00E93F58" w:rsidP="00A801D0">
            <w:pPr>
              <w:pStyle w:val="Tabletext"/>
            </w:pPr>
            <w:r w:rsidRPr="006E709F">
              <w:t>Queensland</w:t>
            </w:r>
          </w:p>
        </w:tc>
      </w:tr>
      <w:tr w:rsidR="00E93F58" w:rsidRPr="006E709F" w14:paraId="15D7F676" w14:textId="77777777" w:rsidTr="00E118FA">
        <w:tc>
          <w:tcPr>
            <w:tcW w:w="750" w:type="pct"/>
            <w:shd w:val="clear" w:color="auto" w:fill="auto"/>
          </w:tcPr>
          <w:p w14:paraId="3BCE5A20" w14:textId="77777777" w:rsidR="00E93F58" w:rsidRPr="006E709F" w:rsidRDefault="00E93F58" w:rsidP="00A801D0">
            <w:pPr>
              <w:pStyle w:val="Tabletext"/>
            </w:pPr>
            <w:r w:rsidRPr="006E709F">
              <w:t>23</w:t>
            </w:r>
          </w:p>
        </w:tc>
        <w:tc>
          <w:tcPr>
            <w:tcW w:w="1449" w:type="pct"/>
            <w:shd w:val="clear" w:color="auto" w:fill="auto"/>
          </w:tcPr>
          <w:p w14:paraId="76645C8E" w14:textId="77777777" w:rsidR="00E93F58" w:rsidRPr="006E709F" w:rsidRDefault="00E93F58" w:rsidP="00A801D0">
            <w:pPr>
              <w:pStyle w:val="Tabletext"/>
            </w:pPr>
            <w:r w:rsidRPr="006E709F">
              <w:t>Commissioner for Corporate Affairs</w:t>
            </w:r>
          </w:p>
        </w:tc>
        <w:tc>
          <w:tcPr>
            <w:tcW w:w="1449" w:type="pct"/>
            <w:shd w:val="clear" w:color="auto" w:fill="auto"/>
          </w:tcPr>
          <w:p w14:paraId="033FB91D" w14:textId="77777777" w:rsidR="00E93F58" w:rsidRPr="006E709F" w:rsidRDefault="00E93F58" w:rsidP="00C328E8">
            <w:pPr>
              <w:pStyle w:val="Tabletext"/>
            </w:pPr>
          </w:p>
        </w:tc>
        <w:tc>
          <w:tcPr>
            <w:tcW w:w="1352" w:type="pct"/>
            <w:shd w:val="clear" w:color="auto" w:fill="auto"/>
          </w:tcPr>
          <w:p w14:paraId="3EAD3506" w14:textId="77777777" w:rsidR="00E93F58" w:rsidRPr="006E709F" w:rsidRDefault="00E93F58" w:rsidP="00A801D0">
            <w:pPr>
              <w:pStyle w:val="Tabletext"/>
            </w:pPr>
            <w:r w:rsidRPr="006E709F">
              <w:t>Queensland</w:t>
            </w:r>
          </w:p>
        </w:tc>
      </w:tr>
      <w:tr w:rsidR="00E93F58" w:rsidRPr="006E709F" w14:paraId="4009FF1B" w14:textId="77777777" w:rsidTr="00E118FA">
        <w:tc>
          <w:tcPr>
            <w:tcW w:w="750" w:type="pct"/>
            <w:shd w:val="clear" w:color="auto" w:fill="auto"/>
          </w:tcPr>
          <w:p w14:paraId="1916B7BB" w14:textId="77777777" w:rsidR="00E93F58" w:rsidRPr="006E709F" w:rsidRDefault="00E93F58" w:rsidP="00A801D0">
            <w:pPr>
              <w:pStyle w:val="Tabletext"/>
            </w:pPr>
            <w:r w:rsidRPr="006E709F">
              <w:t>24</w:t>
            </w:r>
          </w:p>
        </w:tc>
        <w:tc>
          <w:tcPr>
            <w:tcW w:w="1449" w:type="pct"/>
            <w:shd w:val="clear" w:color="auto" w:fill="auto"/>
          </w:tcPr>
          <w:p w14:paraId="17933084" w14:textId="77777777" w:rsidR="00E93F58" w:rsidRPr="006E709F" w:rsidRDefault="00E93F58" w:rsidP="00A801D0">
            <w:pPr>
              <w:pStyle w:val="Tabletext"/>
            </w:pPr>
            <w:r w:rsidRPr="006E709F">
              <w:t>Public Trustee</w:t>
            </w:r>
          </w:p>
        </w:tc>
        <w:tc>
          <w:tcPr>
            <w:tcW w:w="1449" w:type="pct"/>
            <w:shd w:val="clear" w:color="auto" w:fill="auto"/>
          </w:tcPr>
          <w:p w14:paraId="04B8F88C" w14:textId="77777777" w:rsidR="00E93F58" w:rsidRPr="006E709F" w:rsidRDefault="00E93F58" w:rsidP="00A801D0">
            <w:pPr>
              <w:pStyle w:val="Tabletext"/>
            </w:pPr>
            <w:r w:rsidRPr="006E709F">
              <w:rPr>
                <w:i/>
              </w:rPr>
              <w:t>Public Trustee Act 1978</w:t>
            </w:r>
          </w:p>
        </w:tc>
        <w:tc>
          <w:tcPr>
            <w:tcW w:w="1352" w:type="pct"/>
            <w:shd w:val="clear" w:color="auto" w:fill="auto"/>
          </w:tcPr>
          <w:p w14:paraId="4723B600" w14:textId="77777777" w:rsidR="00E93F58" w:rsidRPr="006E709F" w:rsidRDefault="00E93F58" w:rsidP="00A801D0">
            <w:pPr>
              <w:pStyle w:val="Tabletext"/>
            </w:pPr>
            <w:r w:rsidRPr="006E709F">
              <w:t>Queensland</w:t>
            </w:r>
          </w:p>
        </w:tc>
      </w:tr>
      <w:tr w:rsidR="00E93F58" w:rsidRPr="006E709F" w14:paraId="7279A4F8" w14:textId="77777777" w:rsidTr="00E118FA">
        <w:tc>
          <w:tcPr>
            <w:tcW w:w="750" w:type="pct"/>
            <w:shd w:val="clear" w:color="auto" w:fill="auto"/>
          </w:tcPr>
          <w:p w14:paraId="5A8C983B" w14:textId="77777777" w:rsidR="00E93F58" w:rsidRPr="006E709F" w:rsidRDefault="00E93F58" w:rsidP="00A801D0">
            <w:pPr>
              <w:pStyle w:val="Tabletext"/>
            </w:pPr>
            <w:r w:rsidRPr="006E709F">
              <w:t>25</w:t>
            </w:r>
          </w:p>
        </w:tc>
        <w:tc>
          <w:tcPr>
            <w:tcW w:w="1449" w:type="pct"/>
            <w:shd w:val="clear" w:color="auto" w:fill="auto"/>
          </w:tcPr>
          <w:p w14:paraId="5EB8FF13" w14:textId="77777777" w:rsidR="00E93F58" w:rsidRPr="006E709F" w:rsidRDefault="00E93F58" w:rsidP="00A801D0">
            <w:pPr>
              <w:pStyle w:val="Tabletext"/>
            </w:pPr>
            <w:r w:rsidRPr="006E709F">
              <w:t>Registrar</w:t>
            </w:r>
          </w:p>
        </w:tc>
        <w:tc>
          <w:tcPr>
            <w:tcW w:w="1449" w:type="pct"/>
            <w:shd w:val="clear" w:color="auto" w:fill="auto"/>
          </w:tcPr>
          <w:p w14:paraId="7A1E6E77" w14:textId="77777777" w:rsidR="00E93F58" w:rsidRPr="006E709F" w:rsidRDefault="00E93F58" w:rsidP="00A801D0">
            <w:pPr>
              <w:pStyle w:val="Tabletext"/>
            </w:pPr>
            <w:r w:rsidRPr="006E709F">
              <w:t>Supreme Court Acts 1861</w:t>
            </w:r>
            <w:r>
              <w:noBreakHyphen/>
            </w:r>
            <w:r w:rsidRPr="006E709F">
              <w:t>1980</w:t>
            </w:r>
          </w:p>
        </w:tc>
        <w:tc>
          <w:tcPr>
            <w:tcW w:w="1352" w:type="pct"/>
            <w:shd w:val="clear" w:color="auto" w:fill="auto"/>
          </w:tcPr>
          <w:p w14:paraId="7C80C104" w14:textId="77777777" w:rsidR="00E93F58" w:rsidRPr="006E709F" w:rsidRDefault="00E93F58" w:rsidP="00A801D0">
            <w:pPr>
              <w:pStyle w:val="Tabletext"/>
            </w:pPr>
            <w:r w:rsidRPr="006E709F">
              <w:t>Queensland</w:t>
            </w:r>
          </w:p>
        </w:tc>
      </w:tr>
      <w:tr w:rsidR="00E93F58" w:rsidRPr="006E709F" w14:paraId="540AA801" w14:textId="77777777" w:rsidTr="00E118FA">
        <w:tc>
          <w:tcPr>
            <w:tcW w:w="750" w:type="pct"/>
            <w:shd w:val="clear" w:color="auto" w:fill="auto"/>
          </w:tcPr>
          <w:p w14:paraId="3FBABB4D" w14:textId="77777777" w:rsidR="00E93F58" w:rsidRPr="006E709F" w:rsidRDefault="00E93F58" w:rsidP="00A801D0">
            <w:pPr>
              <w:pStyle w:val="Tabletext"/>
            </w:pPr>
            <w:r w:rsidRPr="006E709F">
              <w:t>26</w:t>
            </w:r>
          </w:p>
        </w:tc>
        <w:tc>
          <w:tcPr>
            <w:tcW w:w="1449" w:type="pct"/>
            <w:shd w:val="clear" w:color="auto" w:fill="auto"/>
          </w:tcPr>
          <w:p w14:paraId="79B04087" w14:textId="77777777" w:rsidR="00E93F58" w:rsidRPr="006E709F" w:rsidRDefault="00E93F58" w:rsidP="00A801D0">
            <w:pPr>
              <w:pStyle w:val="Tabletext"/>
            </w:pPr>
            <w:r w:rsidRPr="006E709F">
              <w:t>Treasurer</w:t>
            </w:r>
          </w:p>
        </w:tc>
        <w:tc>
          <w:tcPr>
            <w:tcW w:w="1449" w:type="pct"/>
            <w:shd w:val="clear" w:color="auto" w:fill="auto"/>
          </w:tcPr>
          <w:p w14:paraId="79A866C9" w14:textId="77777777" w:rsidR="00E93F58" w:rsidRPr="006E709F" w:rsidRDefault="00E93F58" w:rsidP="00C328E8">
            <w:pPr>
              <w:pStyle w:val="Tabletext"/>
            </w:pPr>
          </w:p>
        </w:tc>
        <w:tc>
          <w:tcPr>
            <w:tcW w:w="1352" w:type="pct"/>
            <w:shd w:val="clear" w:color="auto" w:fill="auto"/>
          </w:tcPr>
          <w:p w14:paraId="4C7C3504" w14:textId="77777777" w:rsidR="00E93F58" w:rsidRPr="006E709F" w:rsidRDefault="00E93F58" w:rsidP="00A801D0">
            <w:pPr>
              <w:pStyle w:val="Tabletext"/>
            </w:pPr>
            <w:r w:rsidRPr="006E709F">
              <w:t>South Australia</w:t>
            </w:r>
          </w:p>
        </w:tc>
      </w:tr>
      <w:tr w:rsidR="00E93F58" w:rsidRPr="006E709F" w14:paraId="3C2315C8" w14:textId="77777777" w:rsidTr="00E118FA">
        <w:tc>
          <w:tcPr>
            <w:tcW w:w="750" w:type="pct"/>
            <w:shd w:val="clear" w:color="auto" w:fill="auto"/>
          </w:tcPr>
          <w:p w14:paraId="37DC0821" w14:textId="77777777" w:rsidR="00E93F58" w:rsidRPr="006E709F" w:rsidRDefault="00E93F58" w:rsidP="00A801D0">
            <w:pPr>
              <w:pStyle w:val="Tabletext"/>
            </w:pPr>
            <w:r w:rsidRPr="006E709F">
              <w:t>27</w:t>
            </w:r>
          </w:p>
        </w:tc>
        <w:tc>
          <w:tcPr>
            <w:tcW w:w="1449" w:type="pct"/>
            <w:shd w:val="clear" w:color="auto" w:fill="auto"/>
          </w:tcPr>
          <w:p w14:paraId="0F30A4B2" w14:textId="77777777" w:rsidR="00E93F58" w:rsidRPr="006E709F" w:rsidRDefault="00E93F58" w:rsidP="00A801D0">
            <w:pPr>
              <w:pStyle w:val="Tabletext"/>
            </w:pPr>
            <w:r w:rsidRPr="006E709F">
              <w:t>Curator of Prisoners Property</w:t>
            </w:r>
          </w:p>
        </w:tc>
        <w:tc>
          <w:tcPr>
            <w:tcW w:w="1449" w:type="pct"/>
            <w:shd w:val="clear" w:color="auto" w:fill="auto"/>
          </w:tcPr>
          <w:p w14:paraId="582AF7CF" w14:textId="77777777" w:rsidR="00E93F58" w:rsidRPr="006E709F" w:rsidRDefault="00E93F58" w:rsidP="00A801D0">
            <w:pPr>
              <w:pStyle w:val="Tabletext"/>
            </w:pPr>
            <w:r w:rsidRPr="006E709F">
              <w:rPr>
                <w:i/>
              </w:rPr>
              <w:t>Criminal Law Consolidation Act 1935</w:t>
            </w:r>
            <w:r>
              <w:rPr>
                <w:i/>
              </w:rPr>
              <w:noBreakHyphen/>
            </w:r>
            <w:r w:rsidRPr="006E709F">
              <w:rPr>
                <w:i/>
              </w:rPr>
              <w:t>80</w:t>
            </w:r>
          </w:p>
        </w:tc>
        <w:tc>
          <w:tcPr>
            <w:tcW w:w="1352" w:type="pct"/>
            <w:shd w:val="clear" w:color="auto" w:fill="auto"/>
          </w:tcPr>
          <w:p w14:paraId="0371B46B" w14:textId="77777777" w:rsidR="00E93F58" w:rsidRPr="006E709F" w:rsidRDefault="00E93F58" w:rsidP="00A801D0">
            <w:pPr>
              <w:pStyle w:val="Tabletext"/>
            </w:pPr>
            <w:r w:rsidRPr="006E709F">
              <w:t>South Australia</w:t>
            </w:r>
          </w:p>
        </w:tc>
      </w:tr>
      <w:tr w:rsidR="00E93F58" w:rsidRPr="006E709F" w14:paraId="0ACD69BF" w14:textId="77777777" w:rsidTr="00E118FA">
        <w:tc>
          <w:tcPr>
            <w:tcW w:w="750" w:type="pct"/>
            <w:shd w:val="clear" w:color="auto" w:fill="auto"/>
          </w:tcPr>
          <w:p w14:paraId="29077A3E" w14:textId="77777777" w:rsidR="00E93F58" w:rsidRPr="006E709F" w:rsidRDefault="00E93F58" w:rsidP="00A801D0">
            <w:pPr>
              <w:pStyle w:val="Tabletext"/>
            </w:pPr>
            <w:r w:rsidRPr="006E709F">
              <w:t>28</w:t>
            </w:r>
          </w:p>
        </w:tc>
        <w:tc>
          <w:tcPr>
            <w:tcW w:w="1449" w:type="pct"/>
            <w:shd w:val="clear" w:color="auto" w:fill="auto"/>
          </w:tcPr>
          <w:p w14:paraId="1EE9552C" w14:textId="77777777" w:rsidR="00E93F58" w:rsidRPr="006E709F" w:rsidRDefault="00E93F58" w:rsidP="00A801D0">
            <w:pPr>
              <w:pStyle w:val="Tabletext"/>
            </w:pPr>
            <w:r w:rsidRPr="006E709F">
              <w:t>Public Trustee</w:t>
            </w:r>
          </w:p>
        </w:tc>
        <w:tc>
          <w:tcPr>
            <w:tcW w:w="1449" w:type="pct"/>
            <w:shd w:val="clear" w:color="auto" w:fill="auto"/>
          </w:tcPr>
          <w:p w14:paraId="787538BF" w14:textId="77777777" w:rsidR="00E93F58" w:rsidRPr="006E709F" w:rsidRDefault="00E93F58" w:rsidP="00A801D0">
            <w:pPr>
              <w:pStyle w:val="Tabletext"/>
            </w:pPr>
            <w:r w:rsidRPr="006E709F">
              <w:rPr>
                <w:i/>
              </w:rPr>
              <w:t>Administration and Probate Act 1919</w:t>
            </w:r>
            <w:r>
              <w:rPr>
                <w:i/>
              </w:rPr>
              <w:noBreakHyphen/>
            </w:r>
            <w:r w:rsidRPr="006E709F">
              <w:rPr>
                <w:i/>
              </w:rPr>
              <w:t>1980</w:t>
            </w:r>
          </w:p>
        </w:tc>
        <w:tc>
          <w:tcPr>
            <w:tcW w:w="1352" w:type="pct"/>
            <w:shd w:val="clear" w:color="auto" w:fill="auto"/>
          </w:tcPr>
          <w:p w14:paraId="440EE754" w14:textId="77777777" w:rsidR="00E93F58" w:rsidRPr="006E709F" w:rsidRDefault="00E93F58" w:rsidP="00A801D0">
            <w:pPr>
              <w:pStyle w:val="Tabletext"/>
            </w:pPr>
            <w:r w:rsidRPr="006E709F">
              <w:t>South Australia</w:t>
            </w:r>
          </w:p>
        </w:tc>
      </w:tr>
      <w:tr w:rsidR="00E93F58" w:rsidRPr="006E709F" w14:paraId="2C1C8A4A" w14:textId="77777777" w:rsidTr="00E118FA">
        <w:tc>
          <w:tcPr>
            <w:tcW w:w="750" w:type="pct"/>
            <w:shd w:val="clear" w:color="auto" w:fill="auto"/>
          </w:tcPr>
          <w:p w14:paraId="055E6AE7" w14:textId="77777777" w:rsidR="00E93F58" w:rsidRPr="006E709F" w:rsidRDefault="00E93F58" w:rsidP="00A801D0">
            <w:pPr>
              <w:pStyle w:val="Tabletext"/>
            </w:pPr>
            <w:r w:rsidRPr="006E709F">
              <w:t>29</w:t>
            </w:r>
          </w:p>
        </w:tc>
        <w:tc>
          <w:tcPr>
            <w:tcW w:w="1449" w:type="pct"/>
            <w:shd w:val="clear" w:color="auto" w:fill="auto"/>
          </w:tcPr>
          <w:p w14:paraId="1237E155" w14:textId="77777777" w:rsidR="00E93F58" w:rsidRPr="006E709F" w:rsidRDefault="00E93F58" w:rsidP="00A801D0">
            <w:pPr>
              <w:pStyle w:val="Tabletext"/>
            </w:pPr>
            <w:r w:rsidRPr="006E709F">
              <w:t>Master or accountant</w:t>
            </w:r>
          </w:p>
        </w:tc>
        <w:tc>
          <w:tcPr>
            <w:tcW w:w="1449" w:type="pct"/>
            <w:shd w:val="clear" w:color="auto" w:fill="auto"/>
          </w:tcPr>
          <w:p w14:paraId="04CC4350" w14:textId="77777777" w:rsidR="00E93F58" w:rsidRPr="006E709F" w:rsidRDefault="00E93F58" w:rsidP="00A801D0">
            <w:pPr>
              <w:pStyle w:val="Tabletext"/>
            </w:pPr>
            <w:r w:rsidRPr="006E709F">
              <w:t>Supreme Court Act 1935</w:t>
            </w:r>
            <w:r>
              <w:noBreakHyphen/>
            </w:r>
            <w:r w:rsidRPr="006E709F">
              <w:t>1980</w:t>
            </w:r>
          </w:p>
        </w:tc>
        <w:tc>
          <w:tcPr>
            <w:tcW w:w="1352" w:type="pct"/>
            <w:shd w:val="clear" w:color="auto" w:fill="auto"/>
          </w:tcPr>
          <w:p w14:paraId="2B3F07D7" w14:textId="77777777" w:rsidR="00E93F58" w:rsidRPr="006E709F" w:rsidRDefault="00E93F58" w:rsidP="00A801D0">
            <w:pPr>
              <w:pStyle w:val="Tabletext"/>
            </w:pPr>
            <w:r w:rsidRPr="006E709F">
              <w:t>South Australia</w:t>
            </w:r>
          </w:p>
        </w:tc>
      </w:tr>
      <w:tr w:rsidR="00E93F58" w:rsidRPr="006E709F" w14:paraId="6A1FE556" w14:textId="77777777" w:rsidTr="00E118FA">
        <w:trPr>
          <w:cantSplit/>
        </w:trPr>
        <w:tc>
          <w:tcPr>
            <w:tcW w:w="750" w:type="pct"/>
            <w:shd w:val="clear" w:color="auto" w:fill="auto"/>
          </w:tcPr>
          <w:p w14:paraId="5DF201C9" w14:textId="77777777" w:rsidR="00E93F58" w:rsidRPr="006E709F" w:rsidRDefault="00E93F58" w:rsidP="00A801D0">
            <w:pPr>
              <w:pStyle w:val="Tabletext"/>
            </w:pPr>
            <w:r w:rsidRPr="006E709F">
              <w:t>30</w:t>
            </w:r>
          </w:p>
        </w:tc>
        <w:tc>
          <w:tcPr>
            <w:tcW w:w="1449" w:type="pct"/>
            <w:shd w:val="clear" w:color="auto" w:fill="auto"/>
          </w:tcPr>
          <w:p w14:paraId="283B721C" w14:textId="77777777" w:rsidR="00E93F58" w:rsidRPr="006E709F" w:rsidRDefault="00E93F58" w:rsidP="00A801D0">
            <w:pPr>
              <w:pStyle w:val="Tabletext"/>
            </w:pPr>
            <w:r w:rsidRPr="006E709F">
              <w:t>Administrator</w:t>
            </w:r>
          </w:p>
        </w:tc>
        <w:tc>
          <w:tcPr>
            <w:tcW w:w="1449" w:type="pct"/>
            <w:shd w:val="clear" w:color="auto" w:fill="auto"/>
          </w:tcPr>
          <w:p w14:paraId="0B9559D7" w14:textId="77777777" w:rsidR="00E93F58" w:rsidRPr="006E709F" w:rsidRDefault="00E93F58" w:rsidP="00A801D0">
            <w:pPr>
              <w:pStyle w:val="Tabletext"/>
            </w:pPr>
            <w:r w:rsidRPr="006E709F">
              <w:t xml:space="preserve">Chapter XLIX of the </w:t>
            </w:r>
            <w:r w:rsidRPr="006E709F">
              <w:rPr>
                <w:i/>
              </w:rPr>
              <w:t>Criminal Code</w:t>
            </w:r>
          </w:p>
        </w:tc>
        <w:tc>
          <w:tcPr>
            <w:tcW w:w="1352" w:type="pct"/>
            <w:shd w:val="clear" w:color="auto" w:fill="auto"/>
          </w:tcPr>
          <w:p w14:paraId="7BA45363" w14:textId="77777777" w:rsidR="00E93F58" w:rsidRPr="006E709F" w:rsidRDefault="00E93F58" w:rsidP="00A801D0">
            <w:pPr>
              <w:pStyle w:val="Tabletext"/>
            </w:pPr>
            <w:r w:rsidRPr="006E709F">
              <w:t>Tasmania</w:t>
            </w:r>
          </w:p>
        </w:tc>
      </w:tr>
      <w:tr w:rsidR="00E93F58" w:rsidRPr="006E709F" w14:paraId="30B8A4EF" w14:textId="77777777" w:rsidTr="00E118FA">
        <w:tc>
          <w:tcPr>
            <w:tcW w:w="750" w:type="pct"/>
            <w:shd w:val="clear" w:color="auto" w:fill="auto"/>
          </w:tcPr>
          <w:p w14:paraId="64AE157E" w14:textId="77777777" w:rsidR="00E93F58" w:rsidRPr="006E709F" w:rsidRDefault="00E93F58" w:rsidP="00A801D0">
            <w:pPr>
              <w:pStyle w:val="Tabletext"/>
            </w:pPr>
            <w:r w:rsidRPr="006E709F">
              <w:t>31</w:t>
            </w:r>
          </w:p>
        </w:tc>
        <w:tc>
          <w:tcPr>
            <w:tcW w:w="1449" w:type="pct"/>
            <w:shd w:val="clear" w:color="auto" w:fill="auto"/>
          </w:tcPr>
          <w:p w14:paraId="057B6947" w14:textId="77777777" w:rsidR="00E93F58" w:rsidRPr="006E709F" w:rsidRDefault="00E93F58" w:rsidP="00A801D0">
            <w:pPr>
              <w:pStyle w:val="Tabletext"/>
            </w:pPr>
            <w:r w:rsidRPr="006E709F">
              <w:t>Treasurer</w:t>
            </w:r>
          </w:p>
        </w:tc>
        <w:tc>
          <w:tcPr>
            <w:tcW w:w="1449" w:type="pct"/>
            <w:shd w:val="clear" w:color="auto" w:fill="auto"/>
          </w:tcPr>
          <w:p w14:paraId="6A828ED9" w14:textId="77777777" w:rsidR="00E93F58" w:rsidRPr="006E709F" w:rsidRDefault="00E93F58" w:rsidP="00C328E8">
            <w:pPr>
              <w:pStyle w:val="Tabletext"/>
            </w:pPr>
          </w:p>
        </w:tc>
        <w:tc>
          <w:tcPr>
            <w:tcW w:w="1352" w:type="pct"/>
            <w:shd w:val="clear" w:color="auto" w:fill="auto"/>
          </w:tcPr>
          <w:p w14:paraId="2DAF14AB" w14:textId="77777777" w:rsidR="00E93F58" w:rsidRPr="006E709F" w:rsidRDefault="00E93F58" w:rsidP="00A801D0">
            <w:pPr>
              <w:pStyle w:val="Tabletext"/>
            </w:pPr>
            <w:r w:rsidRPr="006E709F">
              <w:t>Tasmania</w:t>
            </w:r>
          </w:p>
        </w:tc>
      </w:tr>
      <w:tr w:rsidR="00E93F58" w:rsidRPr="006E709F" w14:paraId="41AD2EFF" w14:textId="77777777" w:rsidTr="00E118FA">
        <w:tc>
          <w:tcPr>
            <w:tcW w:w="750" w:type="pct"/>
            <w:tcBorders>
              <w:bottom w:val="single" w:sz="4" w:space="0" w:color="auto"/>
            </w:tcBorders>
            <w:shd w:val="clear" w:color="auto" w:fill="auto"/>
          </w:tcPr>
          <w:p w14:paraId="369C433C" w14:textId="77777777" w:rsidR="00E93F58" w:rsidRPr="006E709F" w:rsidRDefault="00E93F58" w:rsidP="00A801D0">
            <w:pPr>
              <w:pStyle w:val="Tabletext"/>
            </w:pPr>
            <w:r w:rsidRPr="006E709F">
              <w:t>32</w:t>
            </w:r>
          </w:p>
        </w:tc>
        <w:tc>
          <w:tcPr>
            <w:tcW w:w="1449" w:type="pct"/>
            <w:tcBorders>
              <w:bottom w:val="single" w:sz="4" w:space="0" w:color="auto"/>
            </w:tcBorders>
            <w:shd w:val="clear" w:color="auto" w:fill="auto"/>
          </w:tcPr>
          <w:p w14:paraId="23CC298B" w14:textId="77777777" w:rsidR="00E93F58" w:rsidRPr="006E709F" w:rsidRDefault="00E93F58" w:rsidP="00A801D0">
            <w:pPr>
              <w:pStyle w:val="Tabletext"/>
            </w:pPr>
            <w:r w:rsidRPr="006E709F">
              <w:t>Commissioner for Corporate Affairs</w:t>
            </w:r>
          </w:p>
        </w:tc>
        <w:tc>
          <w:tcPr>
            <w:tcW w:w="1449" w:type="pct"/>
            <w:tcBorders>
              <w:bottom w:val="single" w:sz="4" w:space="0" w:color="auto"/>
            </w:tcBorders>
            <w:shd w:val="clear" w:color="auto" w:fill="auto"/>
          </w:tcPr>
          <w:p w14:paraId="6A627DAE" w14:textId="77777777" w:rsidR="00E93F58" w:rsidRPr="006E709F" w:rsidRDefault="00E93F58" w:rsidP="00C328E8">
            <w:pPr>
              <w:pStyle w:val="Tabletext"/>
            </w:pPr>
          </w:p>
        </w:tc>
        <w:tc>
          <w:tcPr>
            <w:tcW w:w="1352" w:type="pct"/>
            <w:tcBorders>
              <w:bottom w:val="single" w:sz="4" w:space="0" w:color="auto"/>
            </w:tcBorders>
            <w:shd w:val="clear" w:color="auto" w:fill="auto"/>
          </w:tcPr>
          <w:p w14:paraId="5F7C614A" w14:textId="77777777" w:rsidR="00E93F58" w:rsidRPr="006E709F" w:rsidRDefault="00E93F58" w:rsidP="00A801D0">
            <w:pPr>
              <w:pStyle w:val="Tabletext"/>
            </w:pPr>
            <w:r w:rsidRPr="006E709F">
              <w:t>Tasmania</w:t>
            </w:r>
          </w:p>
        </w:tc>
      </w:tr>
      <w:tr w:rsidR="00E93F58" w:rsidRPr="006E709F" w14:paraId="33CB96AF" w14:textId="77777777" w:rsidTr="00E118FA">
        <w:trPr>
          <w:cantSplit/>
        </w:trPr>
        <w:tc>
          <w:tcPr>
            <w:tcW w:w="750" w:type="pct"/>
            <w:tcBorders>
              <w:bottom w:val="single" w:sz="4" w:space="0" w:color="auto"/>
            </w:tcBorders>
            <w:shd w:val="clear" w:color="auto" w:fill="auto"/>
          </w:tcPr>
          <w:p w14:paraId="2BF0C1AF" w14:textId="77777777" w:rsidR="00E93F58" w:rsidRPr="006E709F" w:rsidRDefault="00E93F58" w:rsidP="00A801D0">
            <w:pPr>
              <w:pStyle w:val="Tabletext"/>
            </w:pPr>
            <w:r w:rsidRPr="006E709F">
              <w:t>33</w:t>
            </w:r>
          </w:p>
        </w:tc>
        <w:tc>
          <w:tcPr>
            <w:tcW w:w="1449" w:type="pct"/>
            <w:tcBorders>
              <w:bottom w:val="single" w:sz="4" w:space="0" w:color="auto"/>
            </w:tcBorders>
            <w:shd w:val="clear" w:color="auto" w:fill="auto"/>
          </w:tcPr>
          <w:p w14:paraId="4E431045" w14:textId="77777777" w:rsidR="00E93F58" w:rsidRPr="006E709F" w:rsidRDefault="00E93F58" w:rsidP="00A801D0">
            <w:pPr>
              <w:pStyle w:val="Tabletext"/>
            </w:pPr>
            <w:r w:rsidRPr="006E709F">
              <w:t>Public Trustee</w:t>
            </w:r>
          </w:p>
        </w:tc>
        <w:tc>
          <w:tcPr>
            <w:tcW w:w="1449" w:type="pct"/>
            <w:tcBorders>
              <w:bottom w:val="single" w:sz="4" w:space="0" w:color="auto"/>
            </w:tcBorders>
            <w:shd w:val="clear" w:color="auto" w:fill="auto"/>
          </w:tcPr>
          <w:p w14:paraId="7DD3FBA8" w14:textId="77777777" w:rsidR="00E93F58" w:rsidRPr="006E709F" w:rsidRDefault="00E93F58" w:rsidP="00A801D0">
            <w:pPr>
              <w:pStyle w:val="Tabletext"/>
            </w:pPr>
            <w:r w:rsidRPr="006E709F">
              <w:rPr>
                <w:i/>
              </w:rPr>
              <w:t>Public Trustee Office Act 1930</w:t>
            </w:r>
          </w:p>
        </w:tc>
        <w:tc>
          <w:tcPr>
            <w:tcW w:w="1352" w:type="pct"/>
            <w:tcBorders>
              <w:bottom w:val="single" w:sz="4" w:space="0" w:color="auto"/>
            </w:tcBorders>
            <w:shd w:val="clear" w:color="auto" w:fill="auto"/>
          </w:tcPr>
          <w:p w14:paraId="486A5F01" w14:textId="77777777" w:rsidR="00E93F58" w:rsidRPr="006E709F" w:rsidRDefault="00E93F58" w:rsidP="00A801D0">
            <w:pPr>
              <w:pStyle w:val="Tabletext"/>
            </w:pPr>
            <w:r w:rsidRPr="006E709F">
              <w:t>Tasmania</w:t>
            </w:r>
          </w:p>
        </w:tc>
      </w:tr>
      <w:tr w:rsidR="00E93F58" w:rsidRPr="006E709F" w14:paraId="2E528FD2" w14:textId="77777777" w:rsidTr="00E118FA">
        <w:trPr>
          <w:cantSplit/>
        </w:trPr>
        <w:tc>
          <w:tcPr>
            <w:tcW w:w="750" w:type="pct"/>
            <w:tcBorders>
              <w:top w:val="single" w:sz="4" w:space="0" w:color="auto"/>
            </w:tcBorders>
            <w:shd w:val="clear" w:color="auto" w:fill="auto"/>
          </w:tcPr>
          <w:p w14:paraId="246091F1" w14:textId="77777777" w:rsidR="00E93F58" w:rsidRPr="006E709F" w:rsidRDefault="00E93F58" w:rsidP="00A801D0">
            <w:pPr>
              <w:pStyle w:val="Tabletext"/>
            </w:pPr>
            <w:r w:rsidRPr="006E709F">
              <w:t>34</w:t>
            </w:r>
          </w:p>
        </w:tc>
        <w:tc>
          <w:tcPr>
            <w:tcW w:w="1449" w:type="pct"/>
            <w:tcBorders>
              <w:top w:val="single" w:sz="4" w:space="0" w:color="auto"/>
            </w:tcBorders>
            <w:shd w:val="clear" w:color="auto" w:fill="auto"/>
          </w:tcPr>
          <w:p w14:paraId="27CB8047" w14:textId="77777777" w:rsidR="00E93F58" w:rsidRPr="006E709F" w:rsidRDefault="00E93F58" w:rsidP="00A801D0">
            <w:pPr>
              <w:pStyle w:val="Tabletext"/>
            </w:pPr>
            <w:r w:rsidRPr="006E709F">
              <w:t>Registrar of the Supreme Court</w:t>
            </w:r>
          </w:p>
        </w:tc>
        <w:tc>
          <w:tcPr>
            <w:tcW w:w="1449" w:type="pct"/>
            <w:tcBorders>
              <w:top w:val="single" w:sz="4" w:space="0" w:color="auto"/>
            </w:tcBorders>
            <w:shd w:val="clear" w:color="auto" w:fill="auto"/>
          </w:tcPr>
          <w:p w14:paraId="4504E056" w14:textId="77777777" w:rsidR="00E93F58" w:rsidRPr="006E709F" w:rsidRDefault="00E93F58" w:rsidP="00A801D0">
            <w:pPr>
              <w:pStyle w:val="Tabletext"/>
            </w:pPr>
            <w:r w:rsidRPr="006E709F">
              <w:rPr>
                <w:i/>
              </w:rPr>
              <w:t>Supreme Court Act 1959</w:t>
            </w:r>
          </w:p>
        </w:tc>
        <w:tc>
          <w:tcPr>
            <w:tcW w:w="1352" w:type="pct"/>
            <w:tcBorders>
              <w:top w:val="single" w:sz="4" w:space="0" w:color="auto"/>
            </w:tcBorders>
            <w:shd w:val="clear" w:color="auto" w:fill="auto"/>
          </w:tcPr>
          <w:p w14:paraId="671F1416" w14:textId="77777777" w:rsidR="00E93F58" w:rsidRPr="006E709F" w:rsidRDefault="00E93F58" w:rsidP="00A801D0">
            <w:pPr>
              <w:pStyle w:val="Tabletext"/>
            </w:pPr>
            <w:r w:rsidRPr="006E709F">
              <w:t>Tasmania</w:t>
            </w:r>
          </w:p>
        </w:tc>
      </w:tr>
      <w:tr w:rsidR="00E93F58" w:rsidRPr="006E709F" w14:paraId="2BACDCC3" w14:textId="77777777" w:rsidTr="00E118FA">
        <w:tc>
          <w:tcPr>
            <w:tcW w:w="750" w:type="pct"/>
            <w:shd w:val="clear" w:color="auto" w:fill="auto"/>
          </w:tcPr>
          <w:p w14:paraId="3064407C" w14:textId="77777777" w:rsidR="00E93F58" w:rsidRPr="006E709F" w:rsidRDefault="00E93F58" w:rsidP="00A801D0">
            <w:pPr>
              <w:pStyle w:val="Tabletext"/>
            </w:pPr>
            <w:r w:rsidRPr="006E709F">
              <w:t>35</w:t>
            </w:r>
          </w:p>
        </w:tc>
        <w:tc>
          <w:tcPr>
            <w:tcW w:w="1449" w:type="pct"/>
            <w:shd w:val="clear" w:color="auto" w:fill="auto"/>
          </w:tcPr>
          <w:p w14:paraId="110A9CAE" w14:textId="77777777" w:rsidR="00E93F58" w:rsidRPr="006E709F" w:rsidRDefault="00E93F58" w:rsidP="00A801D0">
            <w:pPr>
              <w:pStyle w:val="Tabletext"/>
            </w:pPr>
            <w:r w:rsidRPr="006E709F">
              <w:t>Treasurer</w:t>
            </w:r>
          </w:p>
        </w:tc>
        <w:tc>
          <w:tcPr>
            <w:tcW w:w="1449" w:type="pct"/>
            <w:shd w:val="clear" w:color="auto" w:fill="auto"/>
          </w:tcPr>
          <w:p w14:paraId="5F298B90" w14:textId="77777777" w:rsidR="00E93F58" w:rsidRPr="006E709F" w:rsidRDefault="00E93F58" w:rsidP="00C328E8">
            <w:pPr>
              <w:pStyle w:val="Tabletext"/>
            </w:pPr>
          </w:p>
        </w:tc>
        <w:tc>
          <w:tcPr>
            <w:tcW w:w="1352" w:type="pct"/>
            <w:shd w:val="clear" w:color="auto" w:fill="auto"/>
          </w:tcPr>
          <w:p w14:paraId="57DBF0AC" w14:textId="77777777" w:rsidR="00E93F58" w:rsidRPr="006E709F" w:rsidRDefault="00E93F58" w:rsidP="00A801D0">
            <w:pPr>
              <w:pStyle w:val="Tabletext"/>
            </w:pPr>
            <w:r w:rsidRPr="006E709F">
              <w:t>Australian Capital Territory</w:t>
            </w:r>
          </w:p>
        </w:tc>
      </w:tr>
      <w:tr w:rsidR="00E93F58" w:rsidRPr="006E709F" w14:paraId="530F2863" w14:textId="77777777" w:rsidTr="00E118FA">
        <w:tc>
          <w:tcPr>
            <w:tcW w:w="750" w:type="pct"/>
            <w:shd w:val="clear" w:color="auto" w:fill="auto"/>
          </w:tcPr>
          <w:p w14:paraId="219DFC5C" w14:textId="77777777" w:rsidR="00E93F58" w:rsidRPr="006E709F" w:rsidRDefault="00E93F58" w:rsidP="00A801D0">
            <w:pPr>
              <w:pStyle w:val="Tabletext"/>
            </w:pPr>
            <w:r w:rsidRPr="006E709F">
              <w:t>36</w:t>
            </w:r>
          </w:p>
        </w:tc>
        <w:tc>
          <w:tcPr>
            <w:tcW w:w="1449" w:type="pct"/>
            <w:shd w:val="clear" w:color="auto" w:fill="auto"/>
          </w:tcPr>
          <w:p w14:paraId="44E70EE4" w14:textId="77777777" w:rsidR="00E93F58" w:rsidRPr="006E709F" w:rsidRDefault="00E93F58" w:rsidP="00A801D0">
            <w:pPr>
              <w:pStyle w:val="Tabletext"/>
            </w:pPr>
            <w:r w:rsidRPr="006E709F">
              <w:t>Public Trustee</w:t>
            </w:r>
          </w:p>
        </w:tc>
        <w:tc>
          <w:tcPr>
            <w:tcW w:w="1449" w:type="pct"/>
            <w:shd w:val="clear" w:color="auto" w:fill="auto"/>
          </w:tcPr>
          <w:p w14:paraId="6F3326E1" w14:textId="77777777" w:rsidR="00E93F58" w:rsidRPr="006E709F" w:rsidRDefault="00E93F58" w:rsidP="00A801D0">
            <w:pPr>
              <w:pStyle w:val="Tabletext"/>
            </w:pPr>
            <w:r w:rsidRPr="006E709F">
              <w:rPr>
                <w:i/>
              </w:rPr>
              <w:t xml:space="preserve">Administration and Probate Ordinance 1929 </w:t>
            </w:r>
            <w:r w:rsidRPr="006E709F">
              <w:t xml:space="preserve">and the </w:t>
            </w:r>
            <w:r w:rsidRPr="006E709F">
              <w:rPr>
                <w:i/>
              </w:rPr>
              <w:t>Public Trustee Act 1985</w:t>
            </w:r>
          </w:p>
        </w:tc>
        <w:tc>
          <w:tcPr>
            <w:tcW w:w="1352" w:type="pct"/>
            <w:shd w:val="clear" w:color="auto" w:fill="auto"/>
          </w:tcPr>
          <w:p w14:paraId="18676EB7" w14:textId="77777777" w:rsidR="00E93F58" w:rsidRPr="006E709F" w:rsidRDefault="00E93F58" w:rsidP="00A801D0">
            <w:pPr>
              <w:pStyle w:val="Tabletext"/>
            </w:pPr>
            <w:r w:rsidRPr="006E709F">
              <w:t>Australian Capital Territory</w:t>
            </w:r>
          </w:p>
        </w:tc>
      </w:tr>
      <w:tr w:rsidR="00E93F58" w:rsidRPr="006E709F" w14:paraId="0A3D7FE2" w14:textId="77777777" w:rsidTr="00E118FA">
        <w:tc>
          <w:tcPr>
            <w:tcW w:w="750" w:type="pct"/>
            <w:shd w:val="clear" w:color="auto" w:fill="auto"/>
          </w:tcPr>
          <w:p w14:paraId="078D49DE" w14:textId="77777777" w:rsidR="00E93F58" w:rsidRPr="006E709F" w:rsidRDefault="00E93F58" w:rsidP="00A801D0">
            <w:pPr>
              <w:pStyle w:val="Tabletext"/>
            </w:pPr>
            <w:r w:rsidRPr="006E709F">
              <w:lastRenderedPageBreak/>
              <w:t>37</w:t>
            </w:r>
          </w:p>
        </w:tc>
        <w:tc>
          <w:tcPr>
            <w:tcW w:w="1449" w:type="pct"/>
            <w:shd w:val="clear" w:color="auto" w:fill="auto"/>
          </w:tcPr>
          <w:p w14:paraId="52576C57" w14:textId="77777777" w:rsidR="00E93F58" w:rsidRPr="006E709F" w:rsidRDefault="00E93F58" w:rsidP="00A801D0">
            <w:pPr>
              <w:pStyle w:val="Tabletext"/>
            </w:pPr>
            <w:r w:rsidRPr="006E709F">
              <w:t>Registrar of the Supreme Court</w:t>
            </w:r>
          </w:p>
        </w:tc>
        <w:tc>
          <w:tcPr>
            <w:tcW w:w="1449" w:type="pct"/>
            <w:shd w:val="clear" w:color="auto" w:fill="auto"/>
          </w:tcPr>
          <w:p w14:paraId="7EE42343" w14:textId="77777777" w:rsidR="00E93F58" w:rsidRPr="006E709F" w:rsidRDefault="00E93F58" w:rsidP="00A801D0">
            <w:pPr>
              <w:pStyle w:val="Tabletext"/>
            </w:pPr>
            <w:r w:rsidRPr="006E709F">
              <w:rPr>
                <w:i/>
              </w:rPr>
              <w:t>Australian Capital Territory Supreme Court Act 1933</w:t>
            </w:r>
          </w:p>
        </w:tc>
        <w:tc>
          <w:tcPr>
            <w:tcW w:w="1352" w:type="pct"/>
            <w:shd w:val="clear" w:color="auto" w:fill="auto"/>
          </w:tcPr>
          <w:p w14:paraId="1129C37E" w14:textId="77777777" w:rsidR="00E93F58" w:rsidRPr="006E709F" w:rsidRDefault="00E93F58" w:rsidP="00A801D0">
            <w:pPr>
              <w:pStyle w:val="Tabletext"/>
            </w:pPr>
            <w:r w:rsidRPr="006E709F">
              <w:t>Commonwealth</w:t>
            </w:r>
          </w:p>
        </w:tc>
      </w:tr>
      <w:tr w:rsidR="00E93F58" w:rsidRPr="006E709F" w14:paraId="4E270FA2" w14:textId="77777777" w:rsidTr="00E118FA">
        <w:tc>
          <w:tcPr>
            <w:tcW w:w="750" w:type="pct"/>
            <w:shd w:val="clear" w:color="auto" w:fill="auto"/>
          </w:tcPr>
          <w:p w14:paraId="745FC309" w14:textId="77777777" w:rsidR="00E93F58" w:rsidRPr="006E709F" w:rsidRDefault="00E93F58" w:rsidP="00A801D0">
            <w:pPr>
              <w:pStyle w:val="Tabletext"/>
            </w:pPr>
            <w:r w:rsidRPr="006E709F">
              <w:t>38</w:t>
            </w:r>
          </w:p>
        </w:tc>
        <w:tc>
          <w:tcPr>
            <w:tcW w:w="1449" w:type="pct"/>
            <w:shd w:val="clear" w:color="auto" w:fill="auto"/>
          </w:tcPr>
          <w:p w14:paraId="18CA2A7B" w14:textId="77777777" w:rsidR="00E93F58" w:rsidRPr="006E709F" w:rsidRDefault="00E93F58" w:rsidP="00A801D0">
            <w:pPr>
              <w:pStyle w:val="Tabletext"/>
            </w:pPr>
            <w:r w:rsidRPr="006E709F">
              <w:t>Master of the Supreme Court</w:t>
            </w:r>
          </w:p>
        </w:tc>
        <w:tc>
          <w:tcPr>
            <w:tcW w:w="1449" w:type="pct"/>
            <w:shd w:val="clear" w:color="auto" w:fill="auto"/>
          </w:tcPr>
          <w:p w14:paraId="1ECC6E0D" w14:textId="77777777" w:rsidR="00E93F58" w:rsidRPr="006E709F" w:rsidRDefault="00E93F58" w:rsidP="00A801D0">
            <w:pPr>
              <w:pStyle w:val="Tabletext"/>
            </w:pPr>
            <w:r w:rsidRPr="006E709F">
              <w:rPr>
                <w:i/>
              </w:rPr>
              <w:t>Australian Capital Territory Supreme Court Act 1933</w:t>
            </w:r>
          </w:p>
        </w:tc>
        <w:tc>
          <w:tcPr>
            <w:tcW w:w="1352" w:type="pct"/>
            <w:shd w:val="clear" w:color="auto" w:fill="auto"/>
          </w:tcPr>
          <w:p w14:paraId="23A6B97F" w14:textId="77777777" w:rsidR="00E93F58" w:rsidRPr="006E709F" w:rsidRDefault="00E93F58" w:rsidP="00A801D0">
            <w:pPr>
              <w:pStyle w:val="Tabletext"/>
            </w:pPr>
            <w:r w:rsidRPr="006E709F">
              <w:t>Commonwealth</w:t>
            </w:r>
          </w:p>
        </w:tc>
      </w:tr>
      <w:tr w:rsidR="00E93F58" w:rsidRPr="006E709F" w14:paraId="4D32359E" w14:textId="77777777" w:rsidTr="00E118FA">
        <w:tc>
          <w:tcPr>
            <w:tcW w:w="750" w:type="pct"/>
            <w:shd w:val="clear" w:color="auto" w:fill="auto"/>
          </w:tcPr>
          <w:p w14:paraId="4B8F932A" w14:textId="77777777" w:rsidR="00E93F58" w:rsidRPr="006E709F" w:rsidRDefault="00E93F58" w:rsidP="00A801D0">
            <w:pPr>
              <w:pStyle w:val="Tabletext"/>
            </w:pPr>
            <w:r w:rsidRPr="006E709F">
              <w:t>39</w:t>
            </w:r>
          </w:p>
        </w:tc>
        <w:tc>
          <w:tcPr>
            <w:tcW w:w="1449" w:type="pct"/>
            <w:shd w:val="clear" w:color="auto" w:fill="auto"/>
          </w:tcPr>
          <w:p w14:paraId="5E0D9FE0" w14:textId="77777777" w:rsidR="00E93F58" w:rsidRPr="006E709F" w:rsidRDefault="00E93F58" w:rsidP="00A801D0">
            <w:pPr>
              <w:pStyle w:val="Tabletext"/>
            </w:pPr>
            <w:r w:rsidRPr="006E709F">
              <w:t>Treasurer</w:t>
            </w:r>
          </w:p>
        </w:tc>
        <w:tc>
          <w:tcPr>
            <w:tcW w:w="1449" w:type="pct"/>
            <w:shd w:val="clear" w:color="auto" w:fill="auto"/>
          </w:tcPr>
          <w:p w14:paraId="4BBB4A9D" w14:textId="77777777" w:rsidR="00E93F58" w:rsidRPr="006E709F" w:rsidRDefault="00E93F58" w:rsidP="00C328E8">
            <w:pPr>
              <w:pStyle w:val="Tabletext"/>
            </w:pPr>
          </w:p>
        </w:tc>
        <w:tc>
          <w:tcPr>
            <w:tcW w:w="1352" w:type="pct"/>
            <w:shd w:val="clear" w:color="auto" w:fill="auto"/>
          </w:tcPr>
          <w:p w14:paraId="6B2A34A3" w14:textId="77777777" w:rsidR="00E93F58" w:rsidRPr="006E709F" w:rsidRDefault="00E93F58" w:rsidP="00A801D0">
            <w:pPr>
              <w:pStyle w:val="Tabletext"/>
            </w:pPr>
            <w:r w:rsidRPr="006E709F">
              <w:t>Northern Territory</w:t>
            </w:r>
          </w:p>
        </w:tc>
      </w:tr>
      <w:tr w:rsidR="00E93F58" w:rsidRPr="006E709F" w14:paraId="5E42F2C6" w14:textId="77777777" w:rsidTr="00E118FA">
        <w:tc>
          <w:tcPr>
            <w:tcW w:w="750" w:type="pct"/>
            <w:shd w:val="clear" w:color="auto" w:fill="auto"/>
          </w:tcPr>
          <w:p w14:paraId="1A3FD787" w14:textId="77777777" w:rsidR="00E93F58" w:rsidRPr="006E709F" w:rsidRDefault="00E93F58" w:rsidP="00A801D0">
            <w:pPr>
              <w:pStyle w:val="Tabletext"/>
            </w:pPr>
            <w:r w:rsidRPr="006E709F">
              <w:t>40</w:t>
            </w:r>
          </w:p>
        </w:tc>
        <w:tc>
          <w:tcPr>
            <w:tcW w:w="1449" w:type="pct"/>
            <w:shd w:val="clear" w:color="auto" w:fill="auto"/>
          </w:tcPr>
          <w:p w14:paraId="1E3C0374" w14:textId="77777777" w:rsidR="00E93F58" w:rsidRPr="006E709F" w:rsidRDefault="00E93F58" w:rsidP="00A801D0">
            <w:pPr>
              <w:pStyle w:val="Tabletext"/>
            </w:pPr>
            <w:r w:rsidRPr="006E709F">
              <w:t>Public Trustee</w:t>
            </w:r>
          </w:p>
        </w:tc>
        <w:tc>
          <w:tcPr>
            <w:tcW w:w="1449" w:type="pct"/>
            <w:shd w:val="clear" w:color="auto" w:fill="auto"/>
          </w:tcPr>
          <w:p w14:paraId="7F5D2F76" w14:textId="77777777" w:rsidR="00E93F58" w:rsidRPr="006E709F" w:rsidRDefault="00E93F58" w:rsidP="00A801D0">
            <w:pPr>
              <w:pStyle w:val="Tabletext"/>
            </w:pPr>
            <w:r w:rsidRPr="006E709F">
              <w:rPr>
                <w:i/>
              </w:rPr>
              <w:t>Public Trustee Act 1979</w:t>
            </w:r>
          </w:p>
        </w:tc>
        <w:tc>
          <w:tcPr>
            <w:tcW w:w="1352" w:type="pct"/>
            <w:shd w:val="clear" w:color="auto" w:fill="auto"/>
          </w:tcPr>
          <w:p w14:paraId="34F2B628" w14:textId="77777777" w:rsidR="00E93F58" w:rsidRPr="006E709F" w:rsidRDefault="00E93F58" w:rsidP="00A801D0">
            <w:pPr>
              <w:pStyle w:val="Tabletext"/>
            </w:pPr>
            <w:r w:rsidRPr="006E709F">
              <w:t>Northern Territory</w:t>
            </w:r>
          </w:p>
        </w:tc>
      </w:tr>
      <w:tr w:rsidR="00E93F58" w:rsidRPr="006E709F" w14:paraId="4EAD4372" w14:textId="77777777" w:rsidTr="00E118FA">
        <w:tc>
          <w:tcPr>
            <w:tcW w:w="750" w:type="pct"/>
            <w:tcBorders>
              <w:bottom w:val="single" w:sz="4" w:space="0" w:color="auto"/>
            </w:tcBorders>
            <w:shd w:val="clear" w:color="auto" w:fill="auto"/>
          </w:tcPr>
          <w:p w14:paraId="49687264" w14:textId="77777777" w:rsidR="00E93F58" w:rsidRPr="006E709F" w:rsidRDefault="00E93F58" w:rsidP="00A801D0">
            <w:pPr>
              <w:pStyle w:val="Tabletext"/>
            </w:pPr>
            <w:r w:rsidRPr="006E709F">
              <w:t>41</w:t>
            </w:r>
          </w:p>
        </w:tc>
        <w:tc>
          <w:tcPr>
            <w:tcW w:w="1449" w:type="pct"/>
            <w:tcBorders>
              <w:bottom w:val="single" w:sz="4" w:space="0" w:color="auto"/>
            </w:tcBorders>
            <w:shd w:val="clear" w:color="auto" w:fill="auto"/>
          </w:tcPr>
          <w:p w14:paraId="46F945B6" w14:textId="77777777" w:rsidR="00E93F58" w:rsidRPr="006E709F" w:rsidRDefault="00E93F58" w:rsidP="00A801D0">
            <w:pPr>
              <w:pStyle w:val="Tabletext"/>
            </w:pPr>
            <w:r w:rsidRPr="006E709F">
              <w:t>Master of the Supreme Court</w:t>
            </w:r>
          </w:p>
        </w:tc>
        <w:tc>
          <w:tcPr>
            <w:tcW w:w="1449" w:type="pct"/>
            <w:tcBorders>
              <w:bottom w:val="single" w:sz="4" w:space="0" w:color="auto"/>
            </w:tcBorders>
            <w:shd w:val="clear" w:color="auto" w:fill="auto"/>
          </w:tcPr>
          <w:p w14:paraId="63F439B9" w14:textId="77777777" w:rsidR="00E93F58" w:rsidRPr="006E709F" w:rsidRDefault="00E93F58" w:rsidP="00C328E8">
            <w:pPr>
              <w:pStyle w:val="Tabletext"/>
            </w:pPr>
          </w:p>
        </w:tc>
        <w:tc>
          <w:tcPr>
            <w:tcW w:w="1352" w:type="pct"/>
            <w:tcBorders>
              <w:bottom w:val="single" w:sz="4" w:space="0" w:color="auto"/>
            </w:tcBorders>
            <w:shd w:val="clear" w:color="auto" w:fill="auto"/>
          </w:tcPr>
          <w:p w14:paraId="2B57498C" w14:textId="77777777" w:rsidR="00E93F58" w:rsidRPr="006E709F" w:rsidRDefault="00E93F58" w:rsidP="00A801D0">
            <w:pPr>
              <w:pStyle w:val="Tabletext"/>
            </w:pPr>
            <w:r w:rsidRPr="006E709F">
              <w:t>Northern Territory</w:t>
            </w:r>
          </w:p>
        </w:tc>
      </w:tr>
      <w:tr w:rsidR="00E93F58" w:rsidRPr="006E709F" w14:paraId="6DBDD481" w14:textId="77777777" w:rsidTr="00E118FA">
        <w:tc>
          <w:tcPr>
            <w:tcW w:w="750" w:type="pct"/>
            <w:tcBorders>
              <w:bottom w:val="single" w:sz="12" w:space="0" w:color="auto"/>
            </w:tcBorders>
            <w:shd w:val="clear" w:color="auto" w:fill="auto"/>
          </w:tcPr>
          <w:p w14:paraId="6801401B" w14:textId="77777777" w:rsidR="00E93F58" w:rsidRPr="006E709F" w:rsidRDefault="00E93F58" w:rsidP="00A801D0">
            <w:pPr>
              <w:pStyle w:val="Tabletext"/>
            </w:pPr>
            <w:r w:rsidRPr="006E709F">
              <w:t>42</w:t>
            </w:r>
          </w:p>
        </w:tc>
        <w:tc>
          <w:tcPr>
            <w:tcW w:w="1449" w:type="pct"/>
            <w:tcBorders>
              <w:bottom w:val="single" w:sz="12" w:space="0" w:color="auto"/>
            </w:tcBorders>
            <w:shd w:val="clear" w:color="auto" w:fill="auto"/>
          </w:tcPr>
          <w:p w14:paraId="130547E5" w14:textId="77777777" w:rsidR="00E93F58" w:rsidRPr="006E709F" w:rsidRDefault="00E93F58" w:rsidP="00A801D0">
            <w:pPr>
              <w:pStyle w:val="Tabletext"/>
            </w:pPr>
            <w:r w:rsidRPr="006E709F">
              <w:t>Commissioner for Corporate Affairs</w:t>
            </w:r>
          </w:p>
        </w:tc>
        <w:tc>
          <w:tcPr>
            <w:tcW w:w="1449" w:type="pct"/>
            <w:tcBorders>
              <w:bottom w:val="single" w:sz="12" w:space="0" w:color="auto"/>
            </w:tcBorders>
            <w:shd w:val="clear" w:color="auto" w:fill="auto"/>
          </w:tcPr>
          <w:p w14:paraId="4CA3C7E0" w14:textId="77777777" w:rsidR="00E93F58" w:rsidRPr="006E709F" w:rsidRDefault="00E93F58" w:rsidP="00A801D0">
            <w:pPr>
              <w:pStyle w:val="Tabletext"/>
            </w:pPr>
            <w:r w:rsidRPr="006E709F">
              <w:rPr>
                <w:i/>
              </w:rPr>
              <w:t>Companies (Administration) Act 1986</w:t>
            </w:r>
          </w:p>
        </w:tc>
        <w:tc>
          <w:tcPr>
            <w:tcW w:w="1352" w:type="pct"/>
            <w:tcBorders>
              <w:bottom w:val="single" w:sz="12" w:space="0" w:color="auto"/>
            </w:tcBorders>
            <w:shd w:val="clear" w:color="auto" w:fill="auto"/>
          </w:tcPr>
          <w:p w14:paraId="4237B23E" w14:textId="77777777" w:rsidR="00E93F58" w:rsidRPr="006E709F" w:rsidRDefault="00E93F58" w:rsidP="00A801D0">
            <w:pPr>
              <w:pStyle w:val="Tabletext"/>
            </w:pPr>
            <w:r w:rsidRPr="006E709F">
              <w:t>Northern Territory</w:t>
            </w:r>
          </w:p>
        </w:tc>
      </w:tr>
    </w:tbl>
    <w:p w14:paraId="268E4CDB" w14:textId="77777777" w:rsidR="00E93F58" w:rsidRPr="006E709F" w:rsidRDefault="00E93F58" w:rsidP="00A801D0">
      <w:pPr>
        <w:pStyle w:val="ActHead1"/>
        <w:pageBreakBefore/>
      </w:pPr>
      <w:bookmarkStart w:id="3270" w:name="_Toc151992385"/>
      <w:bookmarkStart w:id="3271" w:name="_Toc158713422"/>
      <w:r w:rsidRPr="000C4237">
        <w:rPr>
          <w:rStyle w:val="CharChapNo"/>
        </w:rPr>
        <w:lastRenderedPageBreak/>
        <w:t>Schedule 4</w:t>
      </w:r>
      <w:r w:rsidRPr="006E709F">
        <w:t>—</w:t>
      </w:r>
      <w:r w:rsidRPr="000C4237">
        <w:rPr>
          <w:rStyle w:val="CharChapText"/>
        </w:rPr>
        <w:t>Prescribed amounts</w:t>
      </w:r>
      <w:bookmarkEnd w:id="3270"/>
      <w:bookmarkEnd w:id="3271"/>
    </w:p>
    <w:p w14:paraId="3C2727EE" w14:textId="77777777" w:rsidR="00E93F58" w:rsidRPr="006E709F" w:rsidRDefault="00E93F58" w:rsidP="00A801D0">
      <w:pPr>
        <w:pStyle w:val="notemargin"/>
      </w:pPr>
      <w:r w:rsidRPr="006E709F">
        <w:t>(regulation 1.1.01)</w:t>
      </w:r>
    </w:p>
    <w:p w14:paraId="45339C0B"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67F62FE1"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743"/>
        <w:gridCol w:w="6548"/>
        <w:gridCol w:w="2482"/>
      </w:tblGrid>
      <w:tr w:rsidR="00E93F58" w:rsidRPr="006E709F" w14:paraId="679EA055" w14:textId="77777777" w:rsidTr="00E118FA">
        <w:trPr>
          <w:tblHeader/>
        </w:trPr>
        <w:tc>
          <w:tcPr>
            <w:tcW w:w="809" w:type="pct"/>
            <w:tcBorders>
              <w:top w:val="single" w:sz="12" w:space="0" w:color="auto"/>
              <w:bottom w:val="single" w:sz="6" w:space="0" w:color="auto"/>
            </w:tcBorders>
            <w:shd w:val="clear" w:color="auto" w:fill="auto"/>
          </w:tcPr>
          <w:p w14:paraId="6A97BB6E" w14:textId="77777777" w:rsidR="00E93F58" w:rsidRPr="006E709F" w:rsidRDefault="00E93F58" w:rsidP="00A801D0">
            <w:pPr>
              <w:pStyle w:val="TableHeading"/>
            </w:pPr>
            <w:r w:rsidRPr="006E709F">
              <w:t>Column 1</w:t>
            </w:r>
          </w:p>
        </w:tc>
        <w:tc>
          <w:tcPr>
            <w:tcW w:w="3039" w:type="pct"/>
            <w:tcBorders>
              <w:top w:val="single" w:sz="12" w:space="0" w:color="auto"/>
              <w:bottom w:val="single" w:sz="6" w:space="0" w:color="auto"/>
            </w:tcBorders>
            <w:shd w:val="clear" w:color="auto" w:fill="auto"/>
          </w:tcPr>
          <w:p w14:paraId="59FE4BFE" w14:textId="77777777" w:rsidR="00E93F58" w:rsidRPr="006E709F" w:rsidRDefault="00E93F58" w:rsidP="00A801D0">
            <w:pPr>
              <w:pStyle w:val="TableHeading"/>
            </w:pPr>
            <w:r w:rsidRPr="006E709F">
              <w:t>Column 2</w:t>
            </w:r>
          </w:p>
        </w:tc>
        <w:tc>
          <w:tcPr>
            <w:tcW w:w="1152" w:type="pct"/>
            <w:tcBorders>
              <w:top w:val="single" w:sz="12" w:space="0" w:color="auto"/>
              <w:bottom w:val="single" w:sz="6" w:space="0" w:color="auto"/>
            </w:tcBorders>
            <w:shd w:val="clear" w:color="auto" w:fill="auto"/>
          </w:tcPr>
          <w:p w14:paraId="0BB631BC" w14:textId="77777777" w:rsidR="00E93F58" w:rsidRPr="006E709F" w:rsidRDefault="00E93F58" w:rsidP="00A801D0">
            <w:pPr>
              <w:pStyle w:val="TableHeading"/>
            </w:pPr>
            <w:r w:rsidRPr="006E709F">
              <w:t>Column 3</w:t>
            </w:r>
          </w:p>
        </w:tc>
      </w:tr>
      <w:tr w:rsidR="00E93F58" w:rsidRPr="006E709F" w14:paraId="4FD75F18" w14:textId="77777777" w:rsidTr="00E118FA">
        <w:trPr>
          <w:tblHeader/>
        </w:trPr>
        <w:tc>
          <w:tcPr>
            <w:tcW w:w="809" w:type="pct"/>
            <w:tcBorders>
              <w:top w:val="single" w:sz="6" w:space="0" w:color="auto"/>
              <w:bottom w:val="single" w:sz="12" w:space="0" w:color="auto"/>
            </w:tcBorders>
            <w:shd w:val="clear" w:color="auto" w:fill="auto"/>
          </w:tcPr>
          <w:p w14:paraId="4B79CF12" w14:textId="77777777" w:rsidR="00E93F58" w:rsidRPr="006E709F" w:rsidRDefault="00E93F58" w:rsidP="000858E6">
            <w:pPr>
              <w:pStyle w:val="TableHeading"/>
            </w:pPr>
            <w:r w:rsidRPr="006E709F">
              <w:t>Item</w:t>
            </w:r>
          </w:p>
        </w:tc>
        <w:tc>
          <w:tcPr>
            <w:tcW w:w="3039" w:type="pct"/>
            <w:tcBorders>
              <w:top w:val="single" w:sz="6" w:space="0" w:color="auto"/>
              <w:bottom w:val="single" w:sz="12" w:space="0" w:color="auto"/>
            </w:tcBorders>
            <w:shd w:val="clear" w:color="auto" w:fill="auto"/>
          </w:tcPr>
          <w:p w14:paraId="1B09B87D" w14:textId="77777777" w:rsidR="00E93F58" w:rsidRPr="006E709F" w:rsidRDefault="00E93F58" w:rsidP="000858E6">
            <w:pPr>
              <w:pStyle w:val="TableHeading"/>
            </w:pPr>
            <w:r w:rsidRPr="006E709F">
              <w:t>Matter</w:t>
            </w:r>
          </w:p>
        </w:tc>
        <w:tc>
          <w:tcPr>
            <w:tcW w:w="1152" w:type="pct"/>
            <w:tcBorders>
              <w:top w:val="single" w:sz="6" w:space="0" w:color="auto"/>
              <w:bottom w:val="single" w:sz="12" w:space="0" w:color="auto"/>
            </w:tcBorders>
            <w:shd w:val="clear" w:color="auto" w:fill="auto"/>
          </w:tcPr>
          <w:p w14:paraId="5EF749CE" w14:textId="77777777" w:rsidR="00E93F58" w:rsidRPr="006E709F" w:rsidRDefault="00E93F58" w:rsidP="000858E6">
            <w:pPr>
              <w:pStyle w:val="TableHeading"/>
            </w:pPr>
            <w:r w:rsidRPr="006E709F">
              <w:t>Amount ($)</w:t>
            </w:r>
          </w:p>
        </w:tc>
      </w:tr>
      <w:tr w:rsidR="00E93F58" w:rsidRPr="006E709F" w14:paraId="39357AA9" w14:textId="77777777" w:rsidTr="00E118FA">
        <w:tc>
          <w:tcPr>
            <w:tcW w:w="809" w:type="pct"/>
            <w:tcBorders>
              <w:top w:val="single" w:sz="12" w:space="0" w:color="auto"/>
              <w:bottom w:val="nil"/>
              <w:right w:val="nil"/>
            </w:tcBorders>
            <w:shd w:val="clear" w:color="auto" w:fill="auto"/>
          </w:tcPr>
          <w:p w14:paraId="1467EDD8" w14:textId="77777777" w:rsidR="00E93F58" w:rsidRPr="006E709F" w:rsidRDefault="00E93F58" w:rsidP="00A801D0">
            <w:pPr>
              <w:pStyle w:val="Tabletext"/>
            </w:pPr>
            <w:r w:rsidRPr="006E709F">
              <w:t>1</w:t>
            </w:r>
          </w:p>
        </w:tc>
        <w:tc>
          <w:tcPr>
            <w:tcW w:w="3039" w:type="pct"/>
            <w:tcBorders>
              <w:top w:val="single" w:sz="12" w:space="0" w:color="auto"/>
              <w:left w:val="nil"/>
              <w:bottom w:val="nil"/>
              <w:right w:val="nil"/>
            </w:tcBorders>
            <w:shd w:val="clear" w:color="auto" w:fill="auto"/>
          </w:tcPr>
          <w:p w14:paraId="721C2DF0" w14:textId="77777777" w:rsidR="00E93F58" w:rsidRPr="006E709F" w:rsidRDefault="00E93F58" w:rsidP="00A801D0">
            <w:pPr>
              <w:pStyle w:val="Tabletext"/>
            </w:pPr>
            <w:r w:rsidRPr="006E709F">
              <w:t>Inspection of registers for the purposes of:</w:t>
            </w:r>
          </w:p>
        </w:tc>
        <w:tc>
          <w:tcPr>
            <w:tcW w:w="1152" w:type="pct"/>
            <w:tcBorders>
              <w:top w:val="single" w:sz="12" w:space="0" w:color="auto"/>
              <w:left w:val="nil"/>
              <w:bottom w:val="nil"/>
            </w:tcBorders>
            <w:shd w:val="clear" w:color="auto" w:fill="auto"/>
          </w:tcPr>
          <w:p w14:paraId="3E1B526A" w14:textId="77777777" w:rsidR="00E93F58" w:rsidRPr="006E709F" w:rsidRDefault="00E93F58" w:rsidP="00A801D0">
            <w:pPr>
              <w:pStyle w:val="Tabletext"/>
            </w:pPr>
          </w:p>
        </w:tc>
      </w:tr>
      <w:tr w:rsidR="00E93F58" w:rsidRPr="006E709F" w14:paraId="23B18ECC" w14:textId="77777777" w:rsidTr="00E118FA">
        <w:tc>
          <w:tcPr>
            <w:tcW w:w="809" w:type="pct"/>
            <w:tcBorders>
              <w:top w:val="nil"/>
              <w:bottom w:val="nil"/>
              <w:right w:val="nil"/>
            </w:tcBorders>
            <w:shd w:val="clear" w:color="auto" w:fill="auto"/>
          </w:tcPr>
          <w:p w14:paraId="53AF6A2E"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0B8936D0" w14:textId="77777777" w:rsidR="00E93F58" w:rsidRPr="006E709F" w:rsidRDefault="00E93F58" w:rsidP="00C36BD7">
            <w:pPr>
              <w:pStyle w:val="Tablea"/>
            </w:pPr>
            <w:r w:rsidRPr="006E709F">
              <w:t>(a) subsection 173(2) or subsection 672DA(7):</w:t>
            </w:r>
          </w:p>
        </w:tc>
        <w:tc>
          <w:tcPr>
            <w:tcW w:w="1152" w:type="pct"/>
            <w:tcBorders>
              <w:top w:val="nil"/>
              <w:left w:val="nil"/>
              <w:bottom w:val="nil"/>
            </w:tcBorders>
            <w:shd w:val="clear" w:color="auto" w:fill="auto"/>
          </w:tcPr>
          <w:p w14:paraId="2A0883B5" w14:textId="77777777" w:rsidR="00E93F58" w:rsidRPr="006E709F" w:rsidRDefault="00E93F58" w:rsidP="00C328E8">
            <w:pPr>
              <w:pStyle w:val="Tabletext"/>
            </w:pPr>
          </w:p>
        </w:tc>
      </w:tr>
      <w:tr w:rsidR="00E93F58" w:rsidRPr="006E709F" w14:paraId="356731E2" w14:textId="77777777" w:rsidTr="00E118FA">
        <w:tc>
          <w:tcPr>
            <w:tcW w:w="809" w:type="pct"/>
            <w:tcBorders>
              <w:top w:val="nil"/>
              <w:bottom w:val="nil"/>
              <w:right w:val="nil"/>
            </w:tcBorders>
            <w:shd w:val="clear" w:color="auto" w:fill="auto"/>
          </w:tcPr>
          <w:p w14:paraId="6DBFEBFE"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76CD5ED7" w14:textId="77777777" w:rsidR="00E93F58" w:rsidRPr="006E709F" w:rsidRDefault="00E93F58" w:rsidP="00A801D0">
            <w:pPr>
              <w:pStyle w:val="Tablei"/>
            </w:pPr>
            <w:r w:rsidRPr="006E709F">
              <w:t>(i) if a register is not kept on a computer—for each inspection</w:t>
            </w:r>
          </w:p>
        </w:tc>
        <w:tc>
          <w:tcPr>
            <w:tcW w:w="1152" w:type="pct"/>
            <w:tcBorders>
              <w:top w:val="nil"/>
              <w:left w:val="nil"/>
              <w:bottom w:val="nil"/>
            </w:tcBorders>
            <w:shd w:val="clear" w:color="auto" w:fill="auto"/>
          </w:tcPr>
          <w:p w14:paraId="3FBC49C7" w14:textId="77777777" w:rsidR="00E93F58" w:rsidRPr="006E709F" w:rsidRDefault="00E93F58" w:rsidP="000858E6">
            <w:pPr>
              <w:pStyle w:val="Tabletext"/>
            </w:pPr>
            <w:r w:rsidRPr="006E709F">
              <w:t>5.00</w:t>
            </w:r>
          </w:p>
        </w:tc>
      </w:tr>
      <w:tr w:rsidR="00E93F58" w:rsidRPr="006E709F" w14:paraId="65E08325" w14:textId="77777777" w:rsidTr="00E118FA">
        <w:tc>
          <w:tcPr>
            <w:tcW w:w="809" w:type="pct"/>
            <w:tcBorders>
              <w:top w:val="nil"/>
              <w:bottom w:val="single" w:sz="4" w:space="0" w:color="auto"/>
              <w:right w:val="nil"/>
            </w:tcBorders>
            <w:shd w:val="clear" w:color="auto" w:fill="auto"/>
          </w:tcPr>
          <w:p w14:paraId="52F175BB" w14:textId="77777777" w:rsidR="00E93F58" w:rsidRPr="006E709F" w:rsidRDefault="00E93F58" w:rsidP="00A801D0">
            <w:pPr>
              <w:pStyle w:val="Tabletext"/>
            </w:pPr>
          </w:p>
        </w:tc>
        <w:tc>
          <w:tcPr>
            <w:tcW w:w="3039" w:type="pct"/>
            <w:tcBorders>
              <w:top w:val="nil"/>
              <w:left w:val="nil"/>
              <w:bottom w:val="single" w:sz="4" w:space="0" w:color="auto"/>
              <w:right w:val="nil"/>
            </w:tcBorders>
            <w:shd w:val="clear" w:color="auto" w:fill="auto"/>
          </w:tcPr>
          <w:p w14:paraId="143E5D7B" w14:textId="77777777" w:rsidR="00E93F58" w:rsidRPr="006E709F" w:rsidRDefault="00E93F58" w:rsidP="00A801D0">
            <w:pPr>
              <w:pStyle w:val="Tablei"/>
            </w:pPr>
            <w:r w:rsidRPr="006E709F">
              <w:t>(ii) if a register is kept on a computer—for each inspection</w:t>
            </w:r>
          </w:p>
        </w:tc>
        <w:tc>
          <w:tcPr>
            <w:tcW w:w="1152" w:type="pct"/>
            <w:tcBorders>
              <w:top w:val="nil"/>
              <w:left w:val="nil"/>
              <w:bottom w:val="single" w:sz="4" w:space="0" w:color="auto"/>
            </w:tcBorders>
            <w:shd w:val="clear" w:color="auto" w:fill="auto"/>
          </w:tcPr>
          <w:p w14:paraId="3794E34B" w14:textId="77777777" w:rsidR="00E93F58" w:rsidRPr="006E709F" w:rsidRDefault="00E93F58" w:rsidP="00A801D0">
            <w:pPr>
              <w:pStyle w:val="Tabletext"/>
            </w:pPr>
            <w:r w:rsidRPr="006E709F">
              <w:t>a reasonable amount that does not exceed the marginal cost to the company of providing an inspection</w:t>
            </w:r>
          </w:p>
        </w:tc>
      </w:tr>
      <w:tr w:rsidR="00E93F58" w:rsidRPr="006E709F" w14:paraId="637FE8EC" w14:textId="77777777" w:rsidTr="00E118FA">
        <w:tc>
          <w:tcPr>
            <w:tcW w:w="809" w:type="pct"/>
            <w:tcBorders>
              <w:top w:val="single" w:sz="4" w:space="0" w:color="auto"/>
              <w:bottom w:val="nil"/>
              <w:right w:val="nil"/>
            </w:tcBorders>
            <w:shd w:val="clear" w:color="auto" w:fill="auto"/>
          </w:tcPr>
          <w:p w14:paraId="7114068B" w14:textId="77777777" w:rsidR="00E93F58" w:rsidRPr="006E709F" w:rsidRDefault="00E93F58" w:rsidP="00A801D0">
            <w:pPr>
              <w:pStyle w:val="Tabletext"/>
            </w:pPr>
            <w:r w:rsidRPr="006E709F">
              <w:t>1AA</w:t>
            </w:r>
          </w:p>
        </w:tc>
        <w:tc>
          <w:tcPr>
            <w:tcW w:w="3039" w:type="pct"/>
            <w:tcBorders>
              <w:top w:val="single" w:sz="4" w:space="0" w:color="auto"/>
              <w:left w:val="nil"/>
              <w:bottom w:val="nil"/>
              <w:right w:val="nil"/>
            </w:tcBorders>
            <w:shd w:val="clear" w:color="auto" w:fill="auto"/>
          </w:tcPr>
          <w:p w14:paraId="284BF61D" w14:textId="77777777" w:rsidR="00E93F58" w:rsidRPr="006E709F" w:rsidRDefault="00E93F58" w:rsidP="00875880">
            <w:pPr>
              <w:pStyle w:val="Tabletext"/>
            </w:pPr>
            <w:r w:rsidRPr="006E709F">
              <w:t>Supply of copies for subsection 173(3)</w:t>
            </w:r>
          </w:p>
          <w:p w14:paraId="052D7481" w14:textId="77777777" w:rsidR="00E93F58" w:rsidRPr="006E709F" w:rsidRDefault="00E93F58" w:rsidP="00A801D0">
            <w:pPr>
              <w:pStyle w:val="Tabletext"/>
            </w:pPr>
            <w:r w:rsidRPr="006E709F">
              <w:t>In addition, if information is provided about 5,000 or more members:</w:t>
            </w:r>
          </w:p>
        </w:tc>
        <w:tc>
          <w:tcPr>
            <w:tcW w:w="1152" w:type="pct"/>
            <w:tcBorders>
              <w:top w:val="single" w:sz="4" w:space="0" w:color="auto"/>
              <w:left w:val="nil"/>
              <w:bottom w:val="nil"/>
            </w:tcBorders>
            <w:shd w:val="clear" w:color="auto" w:fill="auto"/>
          </w:tcPr>
          <w:p w14:paraId="3BDB34A8" w14:textId="77777777" w:rsidR="00E93F58" w:rsidRPr="006E709F" w:rsidRDefault="00E93F58" w:rsidP="00A801D0">
            <w:pPr>
              <w:pStyle w:val="Tabletext"/>
            </w:pPr>
            <w:r w:rsidRPr="006E709F">
              <w:t>250.00</w:t>
            </w:r>
          </w:p>
        </w:tc>
      </w:tr>
      <w:tr w:rsidR="00E93F58" w:rsidRPr="006E709F" w14:paraId="5A4CE829" w14:textId="77777777" w:rsidTr="00E118FA">
        <w:tc>
          <w:tcPr>
            <w:tcW w:w="809" w:type="pct"/>
            <w:tcBorders>
              <w:top w:val="nil"/>
              <w:bottom w:val="nil"/>
              <w:right w:val="nil"/>
            </w:tcBorders>
            <w:shd w:val="clear" w:color="auto" w:fill="auto"/>
          </w:tcPr>
          <w:p w14:paraId="3D17820C" w14:textId="77777777" w:rsidR="00E93F58" w:rsidRPr="006E709F" w:rsidRDefault="00E93F58" w:rsidP="00A801D0">
            <w:pPr>
              <w:pStyle w:val="Tabletext"/>
            </w:pPr>
          </w:p>
        </w:tc>
        <w:tc>
          <w:tcPr>
            <w:tcW w:w="3039" w:type="pct"/>
            <w:tcBorders>
              <w:top w:val="nil"/>
              <w:left w:val="nil"/>
              <w:bottom w:val="nil"/>
              <w:right w:val="nil"/>
            </w:tcBorders>
            <w:shd w:val="clear" w:color="auto" w:fill="auto"/>
          </w:tcPr>
          <w:p w14:paraId="49E4D7CE" w14:textId="77777777" w:rsidR="00E93F58" w:rsidRPr="006E709F" w:rsidRDefault="00E93F58" w:rsidP="00A801D0">
            <w:pPr>
              <w:pStyle w:val="Tablea"/>
            </w:pPr>
            <w:r w:rsidRPr="006E709F">
              <w:t>(a) for the 5,000th member and for each additional member up to and including the 19,999th member</w:t>
            </w:r>
          </w:p>
        </w:tc>
        <w:tc>
          <w:tcPr>
            <w:tcW w:w="1152" w:type="pct"/>
            <w:tcBorders>
              <w:top w:val="nil"/>
              <w:left w:val="nil"/>
              <w:bottom w:val="nil"/>
            </w:tcBorders>
            <w:shd w:val="clear" w:color="auto" w:fill="auto"/>
          </w:tcPr>
          <w:p w14:paraId="6B37E4AE" w14:textId="77777777" w:rsidR="00E93F58" w:rsidRPr="006E709F" w:rsidRDefault="00E93F58" w:rsidP="00A801D0">
            <w:pPr>
              <w:pStyle w:val="Tabletext"/>
            </w:pPr>
            <w:r w:rsidRPr="006E709F">
              <w:t>0.05</w:t>
            </w:r>
          </w:p>
        </w:tc>
      </w:tr>
      <w:tr w:rsidR="00E93F58" w:rsidRPr="006E709F" w14:paraId="220D9C22" w14:textId="77777777" w:rsidTr="00E118FA">
        <w:tc>
          <w:tcPr>
            <w:tcW w:w="809" w:type="pct"/>
            <w:tcBorders>
              <w:top w:val="nil"/>
              <w:bottom w:val="single" w:sz="4" w:space="0" w:color="auto"/>
              <w:right w:val="nil"/>
            </w:tcBorders>
            <w:shd w:val="clear" w:color="auto" w:fill="auto"/>
          </w:tcPr>
          <w:p w14:paraId="53735DF6" w14:textId="77777777" w:rsidR="00E93F58" w:rsidRPr="006E709F" w:rsidRDefault="00E93F58" w:rsidP="00A801D0">
            <w:pPr>
              <w:pStyle w:val="Tabletext"/>
            </w:pPr>
          </w:p>
        </w:tc>
        <w:tc>
          <w:tcPr>
            <w:tcW w:w="3039" w:type="pct"/>
            <w:tcBorders>
              <w:top w:val="nil"/>
              <w:left w:val="nil"/>
              <w:bottom w:val="single" w:sz="4" w:space="0" w:color="auto"/>
              <w:right w:val="nil"/>
            </w:tcBorders>
            <w:shd w:val="clear" w:color="auto" w:fill="auto"/>
          </w:tcPr>
          <w:p w14:paraId="0BE883E2" w14:textId="77777777" w:rsidR="00E93F58" w:rsidRPr="006E709F" w:rsidRDefault="00E93F58" w:rsidP="00A801D0">
            <w:pPr>
              <w:pStyle w:val="Tablea"/>
            </w:pPr>
            <w:r w:rsidRPr="006E709F">
              <w:t>(b) for the 20,000th member and for each additional member</w:t>
            </w:r>
          </w:p>
        </w:tc>
        <w:tc>
          <w:tcPr>
            <w:tcW w:w="1152" w:type="pct"/>
            <w:tcBorders>
              <w:top w:val="nil"/>
              <w:left w:val="nil"/>
              <w:bottom w:val="single" w:sz="4" w:space="0" w:color="auto"/>
            </w:tcBorders>
            <w:shd w:val="clear" w:color="auto" w:fill="auto"/>
          </w:tcPr>
          <w:p w14:paraId="72181C96" w14:textId="77777777" w:rsidR="00E93F58" w:rsidRPr="006E709F" w:rsidRDefault="00E93F58" w:rsidP="00A801D0">
            <w:pPr>
              <w:pStyle w:val="Tabletext"/>
            </w:pPr>
            <w:r w:rsidRPr="006E709F">
              <w:t>0.01</w:t>
            </w:r>
          </w:p>
        </w:tc>
      </w:tr>
      <w:tr w:rsidR="00E93F58" w:rsidRPr="006E709F" w14:paraId="2AD2C523" w14:textId="77777777" w:rsidTr="00E118FA">
        <w:tc>
          <w:tcPr>
            <w:tcW w:w="809" w:type="pct"/>
            <w:tcBorders>
              <w:top w:val="single" w:sz="4" w:space="0" w:color="auto"/>
              <w:bottom w:val="nil"/>
              <w:right w:val="nil"/>
            </w:tcBorders>
            <w:shd w:val="clear" w:color="auto" w:fill="auto"/>
          </w:tcPr>
          <w:p w14:paraId="7F2B7EB8" w14:textId="77777777" w:rsidR="00E93F58" w:rsidRPr="006E709F" w:rsidRDefault="00E93F58" w:rsidP="00A801D0">
            <w:pPr>
              <w:pStyle w:val="Tabletext"/>
            </w:pPr>
            <w:r w:rsidRPr="006E709F">
              <w:t>1A</w:t>
            </w:r>
          </w:p>
        </w:tc>
        <w:tc>
          <w:tcPr>
            <w:tcW w:w="3039" w:type="pct"/>
            <w:tcBorders>
              <w:top w:val="single" w:sz="4" w:space="0" w:color="auto"/>
              <w:left w:val="nil"/>
              <w:bottom w:val="nil"/>
              <w:right w:val="nil"/>
            </w:tcBorders>
            <w:shd w:val="clear" w:color="auto" w:fill="auto"/>
          </w:tcPr>
          <w:p w14:paraId="42A945CA" w14:textId="77777777" w:rsidR="00E93F58" w:rsidRPr="006E709F" w:rsidRDefault="00E93F58" w:rsidP="00A801D0">
            <w:pPr>
              <w:pStyle w:val="Tabletext"/>
            </w:pPr>
            <w:r w:rsidRPr="006E709F">
              <w:t>Inspection of registers or records for:</w:t>
            </w:r>
          </w:p>
        </w:tc>
        <w:tc>
          <w:tcPr>
            <w:tcW w:w="1152" w:type="pct"/>
            <w:tcBorders>
              <w:top w:val="single" w:sz="4" w:space="0" w:color="auto"/>
              <w:left w:val="nil"/>
              <w:bottom w:val="nil"/>
            </w:tcBorders>
            <w:shd w:val="clear" w:color="auto" w:fill="auto"/>
          </w:tcPr>
          <w:p w14:paraId="72E7346A" w14:textId="77777777" w:rsidR="00E93F58" w:rsidRPr="006E709F" w:rsidRDefault="00E93F58" w:rsidP="00A801D0">
            <w:pPr>
              <w:pStyle w:val="Tabletext"/>
            </w:pPr>
          </w:p>
        </w:tc>
      </w:tr>
      <w:tr w:rsidR="00E93F58" w:rsidRPr="006E709F" w14:paraId="218878AF" w14:textId="77777777" w:rsidTr="00E118FA">
        <w:tc>
          <w:tcPr>
            <w:tcW w:w="809" w:type="pct"/>
            <w:tcBorders>
              <w:top w:val="nil"/>
              <w:bottom w:val="nil"/>
              <w:right w:val="nil"/>
            </w:tcBorders>
            <w:shd w:val="clear" w:color="auto" w:fill="auto"/>
          </w:tcPr>
          <w:p w14:paraId="72E1A8A7"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560FFFCF" w14:textId="77777777" w:rsidR="00E93F58" w:rsidRPr="006E709F" w:rsidRDefault="00E93F58" w:rsidP="007678F7">
            <w:pPr>
              <w:pStyle w:val="Tablea"/>
            </w:pPr>
            <w:r w:rsidRPr="006E709F">
              <w:t>(a) subsection 271(3)</w:t>
            </w:r>
          </w:p>
        </w:tc>
        <w:tc>
          <w:tcPr>
            <w:tcW w:w="1152" w:type="pct"/>
            <w:tcBorders>
              <w:top w:val="nil"/>
              <w:left w:val="nil"/>
              <w:bottom w:val="nil"/>
            </w:tcBorders>
            <w:shd w:val="clear" w:color="auto" w:fill="auto"/>
          </w:tcPr>
          <w:p w14:paraId="3ED58CD4" w14:textId="77777777" w:rsidR="00E93F58" w:rsidRPr="006E709F" w:rsidRDefault="00E93F58" w:rsidP="00C328E8">
            <w:pPr>
              <w:pStyle w:val="Tabletext"/>
            </w:pPr>
          </w:p>
        </w:tc>
      </w:tr>
      <w:tr w:rsidR="00E93F58" w:rsidRPr="006E709F" w14:paraId="7AD652C9" w14:textId="77777777" w:rsidTr="00E118FA">
        <w:tc>
          <w:tcPr>
            <w:tcW w:w="809" w:type="pct"/>
            <w:tcBorders>
              <w:top w:val="nil"/>
              <w:bottom w:val="nil"/>
              <w:right w:val="nil"/>
            </w:tcBorders>
            <w:shd w:val="clear" w:color="auto" w:fill="auto"/>
          </w:tcPr>
          <w:p w14:paraId="0B8A98FC"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5F1BB2FE" w14:textId="77777777" w:rsidR="00E93F58" w:rsidRPr="006E709F" w:rsidRDefault="00E93F58" w:rsidP="007678F7">
            <w:pPr>
              <w:pStyle w:val="Tablea"/>
            </w:pPr>
            <w:r w:rsidRPr="006E709F">
              <w:t>(b) subsection 668A(3);</w:t>
            </w:r>
          </w:p>
        </w:tc>
        <w:tc>
          <w:tcPr>
            <w:tcW w:w="1152" w:type="pct"/>
            <w:tcBorders>
              <w:top w:val="nil"/>
              <w:left w:val="nil"/>
              <w:bottom w:val="nil"/>
            </w:tcBorders>
            <w:shd w:val="clear" w:color="auto" w:fill="auto"/>
          </w:tcPr>
          <w:p w14:paraId="44AEA3FF" w14:textId="77777777" w:rsidR="00E93F58" w:rsidRPr="006E709F" w:rsidRDefault="00E93F58" w:rsidP="00C328E8">
            <w:pPr>
              <w:pStyle w:val="Tabletext"/>
            </w:pPr>
          </w:p>
        </w:tc>
      </w:tr>
      <w:tr w:rsidR="00E93F58" w:rsidRPr="006E709F" w14:paraId="136C31E9" w14:textId="77777777" w:rsidTr="00E118FA">
        <w:tc>
          <w:tcPr>
            <w:tcW w:w="809" w:type="pct"/>
            <w:tcBorders>
              <w:top w:val="nil"/>
              <w:bottom w:val="single" w:sz="4" w:space="0" w:color="auto"/>
              <w:right w:val="nil"/>
            </w:tcBorders>
            <w:shd w:val="clear" w:color="auto" w:fill="auto"/>
          </w:tcPr>
          <w:p w14:paraId="0B32F178" w14:textId="77777777" w:rsidR="00E93F58" w:rsidRPr="006E709F" w:rsidRDefault="00E93F58" w:rsidP="00C328E8">
            <w:pPr>
              <w:pStyle w:val="Tabletext"/>
            </w:pPr>
          </w:p>
        </w:tc>
        <w:tc>
          <w:tcPr>
            <w:tcW w:w="3039" w:type="pct"/>
            <w:tcBorders>
              <w:top w:val="nil"/>
              <w:left w:val="nil"/>
              <w:bottom w:val="single" w:sz="4" w:space="0" w:color="auto"/>
              <w:right w:val="nil"/>
            </w:tcBorders>
            <w:shd w:val="clear" w:color="auto" w:fill="auto"/>
          </w:tcPr>
          <w:p w14:paraId="3C66333A" w14:textId="77777777" w:rsidR="00E93F58" w:rsidRPr="006E709F" w:rsidRDefault="00E93F58" w:rsidP="00A801D0">
            <w:pPr>
              <w:pStyle w:val="Tabletext"/>
            </w:pPr>
            <w:r w:rsidRPr="006E709F">
              <w:t>for each inspection</w:t>
            </w:r>
          </w:p>
        </w:tc>
        <w:tc>
          <w:tcPr>
            <w:tcW w:w="1152" w:type="pct"/>
            <w:tcBorders>
              <w:top w:val="nil"/>
              <w:left w:val="nil"/>
              <w:bottom w:val="single" w:sz="4" w:space="0" w:color="auto"/>
            </w:tcBorders>
            <w:shd w:val="clear" w:color="auto" w:fill="auto"/>
          </w:tcPr>
          <w:p w14:paraId="37C81F79" w14:textId="77777777" w:rsidR="00E93F58" w:rsidRPr="006E709F" w:rsidRDefault="00E93F58" w:rsidP="00A801D0">
            <w:pPr>
              <w:pStyle w:val="Tabletext"/>
            </w:pPr>
            <w:r w:rsidRPr="006E709F">
              <w:t>5.00</w:t>
            </w:r>
          </w:p>
        </w:tc>
      </w:tr>
      <w:tr w:rsidR="00E93F58" w:rsidRPr="006E709F" w14:paraId="7466F3C6" w14:textId="77777777" w:rsidTr="00E118FA">
        <w:tc>
          <w:tcPr>
            <w:tcW w:w="809" w:type="pct"/>
            <w:tcBorders>
              <w:top w:val="single" w:sz="4" w:space="0" w:color="auto"/>
              <w:bottom w:val="single" w:sz="4" w:space="0" w:color="auto"/>
            </w:tcBorders>
            <w:shd w:val="clear" w:color="auto" w:fill="auto"/>
          </w:tcPr>
          <w:p w14:paraId="38C38007" w14:textId="77777777" w:rsidR="00E93F58" w:rsidRPr="006E709F" w:rsidRDefault="00E93F58" w:rsidP="00A801D0">
            <w:pPr>
              <w:pStyle w:val="Tabletext"/>
            </w:pPr>
            <w:r w:rsidRPr="006E709F">
              <w:t>2</w:t>
            </w:r>
          </w:p>
        </w:tc>
        <w:tc>
          <w:tcPr>
            <w:tcW w:w="3039" w:type="pct"/>
            <w:tcBorders>
              <w:top w:val="single" w:sz="4" w:space="0" w:color="auto"/>
              <w:bottom w:val="single" w:sz="4" w:space="0" w:color="auto"/>
            </w:tcBorders>
            <w:shd w:val="clear" w:color="auto" w:fill="auto"/>
          </w:tcPr>
          <w:p w14:paraId="3F1351DA" w14:textId="77777777" w:rsidR="00E93F58" w:rsidRPr="006E709F" w:rsidRDefault="00E93F58" w:rsidP="00A801D0">
            <w:pPr>
              <w:pStyle w:val="Tabletext"/>
            </w:pPr>
            <w:r w:rsidRPr="006E709F">
              <w:t>Supply under section 139 by a company to a member of the company of a copy of the company’s constitution</w:t>
            </w:r>
          </w:p>
        </w:tc>
        <w:tc>
          <w:tcPr>
            <w:tcW w:w="1152" w:type="pct"/>
            <w:tcBorders>
              <w:top w:val="single" w:sz="4" w:space="0" w:color="auto"/>
              <w:bottom w:val="single" w:sz="4" w:space="0" w:color="auto"/>
            </w:tcBorders>
            <w:shd w:val="clear" w:color="auto" w:fill="auto"/>
          </w:tcPr>
          <w:p w14:paraId="6337F2B5" w14:textId="77777777" w:rsidR="00E93F58" w:rsidRPr="006E709F" w:rsidRDefault="00E93F58" w:rsidP="00A801D0">
            <w:pPr>
              <w:pStyle w:val="Tabletext"/>
            </w:pPr>
            <w:r w:rsidRPr="006E709F">
              <w:t>10.00</w:t>
            </w:r>
          </w:p>
        </w:tc>
      </w:tr>
      <w:tr w:rsidR="00E93F58" w:rsidRPr="006E709F" w14:paraId="0128D148" w14:textId="77777777" w:rsidTr="00E118FA">
        <w:tc>
          <w:tcPr>
            <w:tcW w:w="809" w:type="pct"/>
            <w:tcBorders>
              <w:bottom w:val="nil"/>
              <w:right w:val="nil"/>
            </w:tcBorders>
            <w:shd w:val="clear" w:color="auto" w:fill="auto"/>
          </w:tcPr>
          <w:p w14:paraId="2CA2F3F5" w14:textId="77777777" w:rsidR="00E93F58" w:rsidRPr="006E709F" w:rsidRDefault="00E93F58" w:rsidP="00C86594">
            <w:pPr>
              <w:pStyle w:val="Tabletext"/>
            </w:pPr>
            <w:r w:rsidRPr="006E709F">
              <w:t>3</w:t>
            </w:r>
          </w:p>
        </w:tc>
        <w:tc>
          <w:tcPr>
            <w:tcW w:w="3039" w:type="pct"/>
            <w:tcBorders>
              <w:left w:val="nil"/>
              <w:bottom w:val="nil"/>
              <w:right w:val="nil"/>
            </w:tcBorders>
            <w:shd w:val="clear" w:color="auto" w:fill="auto"/>
          </w:tcPr>
          <w:p w14:paraId="0275CFC1" w14:textId="77777777" w:rsidR="00E93F58" w:rsidRPr="006E709F" w:rsidRDefault="00E93F58" w:rsidP="00750EE3">
            <w:pPr>
              <w:pStyle w:val="Tabletext"/>
            </w:pPr>
            <w:r w:rsidRPr="006E709F">
              <w:t>Supply of copies for subsection 672DA(8):</w:t>
            </w:r>
          </w:p>
        </w:tc>
        <w:tc>
          <w:tcPr>
            <w:tcW w:w="1152" w:type="pct"/>
            <w:tcBorders>
              <w:left w:val="nil"/>
              <w:bottom w:val="nil"/>
            </w:tcBorders>
            <w:shd w:val="clear" w:color="auto" w:fill="auto"/>
          </w:tcPr>
          <w:p w14:paraId="7CAFD91B" w14:textId="77777777" w:rsidR="00E93F58" w:rsidRPr="006E709F" w:rsidRDefault="00E93F58" w:rsidP="00C86594">
            <w:pPr>
              <w:pStyle w:val="Tabletext"/>
            </w:pPr>
          </w:p>
        </w:tc>
      </w:tr>
      <w:tr w:rsidR="00E93F58" w:rsidRPr="006E709F" w14:paraId="7568F62A" w14:textId="77777777" w:rsidTr="00E118FA">
        <w:tc>
          <w:tcPr>
            <w:tcW w:w="809" w:type="pct"/>
            <w:tcBorders>
              <w:top w:val="nil"/>
              <w:bottom w:val="nil"/>
              <w:right w:val="nil"/>
            </w:tcBorders>
            <w:shd w:val="clear" w:color="auto" w:fill="auto"/>
          </w:tcPr>
          <w:p w14:paraId="15F173ED" w14:textId="77777777" w:rsidR="00E93F58" w:rsidRPr="006E709F" w:rsidRDefault="00E93F58" w:rsidP="00C86594">
            <w:pPr>
              <w:pStyle w:val="Tabletext"/>
            </w:pPr>
          </w:p>
        </w:tc>
        <w:tc>
          <w:tcPr>
            <w:tcW w:w="3039" w:type="pct"/>
            <w:tcBorders>
              <w:top w:val="nil"/>
              <w:left w:val="nil"/>
              <w:bottom w:val="nil"/>
              <w:right w:val="nil"/>
            </w:tcBorders>
            <w:shd w:val="clear" w:color="auto" w:fill="auto"/>
          </w:tcPr>
          <w:p w14:paraId="6AF90A7C" w14:textId="77777777" w:rsidR="00E93F58" w:rsidRPr="006E709F" w:rsidRDefault="00E93F58" w:rsidP="00C86594">
            <w:pPr>
              <w:pStyle w:val="Tablea"/>
            </w:pPr>
            <w:r w:rsidRPr="006E709F">
              <w:t xml:space="preserve">(a) if a register is not kept on a computer—for each page, or part of a page, not exceeding international sheet size A4 of the copy supplied or, at the option of the supplier, for each 100 words or part of 100 words </w:t>
            </w:r>
          </w:p>
        </w:tc>
        <w:tc>
          <w:tcPr>
            <w:tcW w:w="1152" w:type="pct"/>
            <w:tcBorders>
              <w:top w:val="nil"/>
              <w:left w:val="nil"/>
              <w:bottom w:val="nil"/>
            </w:tcBorders>
            <w:shd w:val="clear" w:color="auto" w:fill="auto"/>
          </w:tcPr>
          <w:p w14:paraId="6F143603" w14:textId="77777777" w:rsidR="00E93F58" w:rsidRPr="006E709F" w:rsidRDefault="00E93F58" w:rsidP="00C86594">
            <w:pPr>
              <w:pStyle w:val="Tabletext"/>
            </w:pPr>
            <w:r w:rsidRPr="006E709F">
              <w:t xml:space="preserve">0.50 </w:t>
            </w:r>
          </w:p>
        </w:tc>
      </w:tr>
      <w:tr w:rsidR="00E93F58" w:rsidRPr="006E709F" w14:paraId="2A12C872" w14:textId="77777777" w:rsidTr="00E118FA">
        <w:trPr>
          <w:cantSplit/>
        </w:trPr>
        <w:tc>
          <w:tcPr>
            <w:tcW w:w="809" w:type="pct"/>
            <w:tcBorders>
              <w:top w:val="nil"/>
              <w:bottom w:val="single" w:sz="4" w:space="0" w:color="auto"/>
              <w:right w:val="nil"/>
            </w:tcBorders>
            <w:shd w:val="clear" w:color="auto" w:fill="auto"/>
          </w:tcPr>
          <w:p w14:paraId="56B8AACF" w14:textId="77777777" w:rsidR="00E93F58" w:rsidRPr="006E709F" w:rsidRDefault="00E93F58" w:rsidP="00A801D0">
            <w:pPr>
              <w:pStyle w:val="Tabletext"/>
            </w:pPr>
          </w:p>
        </w:tc>
        <w:tc>
          <w:tcPr>
            <w:tcW w:w="3039" w:type="pct"/>
            <w:tcBorders>
              <w:top w:val="nil"/>
              <w:left w:val="nil"/>
              <w:bottom w:val="single" w:sz="4" w:space="0" w:color="auto"/>
              <w:right w:val="nil"/>
            </w:tcBorders>
            <w:shd w:val="clear" w:color="auto" w:fill="auto"/>
          </w:tcPr>
          <w:p w14:paraId="057DA34A" w14:textId="77777777" w:rsidR="00E93F58" w:rsidRPr="006E709F" w:rsidRDefault="00E93F58" w:rsidP="00A801D0">
            <w:pPr>
              <w:pStyle w:val="Tablea"/>
            </w:pPr>
            <w:r w:rsidRPr="006E709F">
              <w:t xml:space="preserve">(b) if a register is kept on a computer—for each inspection </w:t>
            </w:r>
          </w:p>
        </w:tc>
        <w:tc>
          <w:tcPr>
            <w:tcW w:w="1152" w:type="pct"/>
            <w:tcBorders>
              <w:top w:val="nil"/>
              <w:left w:val="nil"/>
              <w:bottom w:val="single" w:sz="4" w:space="0" w:color="auto"/>
            </w:tcBorders>
            <w:shd w:val="clear" w:color="auto" w:fill="auto"/>
          </w:tcPr>
          <w:p w14:paraId="3FEE0A6D" w14:textId="77777777" w:rsidR="00E93F58" w:rsidRPr="006E709F" w:rsidRDefault="00E93F58" w:rsidP="00A801D0">
            <w:pPr>
              <w:pStyle w:val="Tabletext"/>
            </w:pPr>
            <w:r w:rsidRPr="006E709F">
              <w:t xml:space="preserve">a reasonable amount that does not exceed the marginal cost to the company of providing a copy </w:t>
            </w:r>
          </w:p>
        </w:tc>
      </w:tr>
      <w:tr w:rsidR="00E93F58" w:rsidRPr="006E709F" w14:paraId="569066DB" w14:textId="77777777" w:rsidTr="00E118FA">
        <w:tc>
          <w:tcPr>
            <w:tcW w:w="809" w:type="pct"/>
            <w:tcBorders>
              <w:top w:val="single" w:sz="4" w:space="0" w:color="auto"/>
              <w:bottom w:val="nil"/>
              <w:right w:val="nil"/>
            </w:tcBorders>
            <w:shd w:val="clear" w:color="auto" w:fill="auto"/>
          </w:tcPr>
          <w:p w14:paraId="2DA096E1" w14:textId="77777777" w:rsidR="00E93F58" w:rsidRPr="006E709F" w:rsidRDefault="00E93F58" w:rsidP="00A801D0">
            <w:pPr>
              <w:pStyle w:val="Tabletext"/>
            </w:pPr>
            <w:r w:rsidRPr="006E709F">
              <w:t>3A</w:t>
            </w:r>
          </w:p>
        </w:tc>
        <w:tc>
          <w:tcPr>
            <w:tcW w:w="3039" w:type="pct"/>
            <w:tcBorders>
              <w:top w:val="single" w:sz="4" w:space="0" w:color="auto"/>
              <w:left w:val="nil"/>
              <w:bottom w:val="nil"/>
              <w:right w:val="nil"/>
            </w:tcBorders>
            <w:shd w:val="clear" w:color="auto" w:fill="auto"/>
          </w:tcPr>
          <w:p w14:paraId="04C90AF0" w14:textId="77777777" w:rsidR="00E93F58" w:rsidRPr="006E709F" w:rsidRDefault="00E93F58" w:rsidP="00A801D0">
            <w:pPr>
              <w:pStyle w:val="Tabletext"/>
            </w:pPr>
            <w:r w:rsidRPr="006E709F">
              <w:t>Supply of copies for:</w:t>
            </w:r>
          </w:p>
        </w:tc>
        <w:tc>
          <w:tcPr>
            <w:tcW w:w="1152" w:type="pct"/>
            <w:tcBorders>
              <w:top w:val="single" w:sz="4" w:space="0" w:color="auto"/>
              <w:left w:val="nil"/>
              <w:bottom w:val="nil"/>
            </w:tcBorders>
            <w:shd w:val="clear" w:color="auto" w:fill="auto"/>
          </w:tcPr>
          <w:p w14:paraId="2FB53A75" w14:textId="77777777" w:rsidR="00E93F58" w:rsidRPr="006E709F" w:rsidRDefault="00E93F58" w:rsidP="00A801D0">
            <w:pPr>
              <w:pStyle w:val="Tabletext"/>
            </w:pPr>
          </w:p>
        </w:tc>
      </w:tr>
      <w:tr w:rsidR="00E93F58" w:rsidRPr="006E709F" w14:paraId="38FE2412" w14:textId="77777777" w:rsidTr="00E118FA">
        <w:tc>
          <w:tcPr>
            <w:tcW w:w="809" w:type="pct"/>
            <w:tcBorders>
              <w:top w:val="nil"/>
              <w:bottom w:val="nil"/>
              <w:right w:val="nil"/>
            </w:tcBorders>
            <w:shd w:val="clear" w:color="auto" w:fill="auto"/>
          </w:tcPr>
          <w:p w14:paraId="7CC6BCEA"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6F4A69A5" w14:textId="77777777" w:rsidR="00E93F58" w:rsidRPr="006E709F" w:rsidRDefault="00E93F58" w:rsidP="00C36BD7">
            <w:pPr>
              <w:pStyle w:val="Tablea"/>
            </w:pPr>
            <w:r w:rsidRPr="006E709F">
              <w:t>(a) subsection 246G(3)</w:t>
            </w:r>
          </w:p>
        </w:tc>
        <w:tc>
          <w:tcPr>
            <w:tcW w:w="1152" w:type="pct"/>
            <w:tcBorders>
              <w:top w:val="nil"/>
              <w:left w:val="nil"/>
              <w:bottom w:val="nil"/>
            </w:tcBorders>
            <w:shd w:val="clear" w:color="auto" w:fill="auto"/>
          </w:tcPr>
          <w:p w14:paraId="14C3DCE6" w14:textId="77777777" w:rsidR="00E93F58" w:rsidRPr="006E709F" w:rsidRDefault="00E93F58" w:rsidP="00C328E8">
            <w:pPr>
              <w:pStyle w:val="Tabletext"/>
            </w:pPr>
          </w:p>
        </w:tc>
      </w:tr>
      <w:tr w:rsidR="00E93F58" w:rsidRPr="006E709F" w14:paraId="095BB696" w14:textId="77777777" w:rsidTr="00E118FA">
        <w:tc>
          <w:tcPr>
            <w:tcW w:w="809" w:type="pct"/>
            <w:tcBorders>
              <w:top w:val="nil"/>
              <w:bottom w:val="nil"/>
              <w:right w:val="nil"/>
            </w:tcBorders>
            <w:shd w:val="clear" w:color="auto" w:fill="auto"/>
          </w:tcPr>
          <w:p w14:paraId="08BA8914"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77298321" w14:textId="77777777" w:rsidR="00E93F58" w:rsidRPr="006E709F" w:rsidRDefault="00E93F58" w:rsidP="00C36BD7">
            <w:pPr>
              <w:pStyle w:val="Tablea"/>
            </w:pPr>
            <w:r w:rsidRPr="006E709F">
              <w:t>(b) subsection 251B(4)</w:t>
            </w:r>
          </w:p>
        </w:tc>
        <w:tc>
          <w:tcPr>
            <w:tcW w:w="1152" w:type="pct"/>
            <w:tcBorders>
              <w:top w:val="nil"/>
              <w:left w:val="nil"/>
              <w:bottom w:val="nil"/>
            </w:tcBorders>
            <w:shd w:val="clear" w:color="auto" w:fill="auto"/>
          </w:tcPr>
          <w:p w14:paraId="0E98720B" w14:textId="77777777" w:rsidR="00E93F58" w:rsidRPr="006E709F" w:rsidRDefault="00E93F58" w:rsidP="00C328E8">
            <w:pPr>
              <w:pStyle w:val="Tabletext"/>
            </w:pPr>
          </w:p>
        </w:tc>
      </w:tr>
      <w:tr w:rsidR="00E93F58" w:rsidRPr="006E709F" w14:paraId="3F73E004" w14:textId="77777777" w:rsidTr="00E118FA">
        <w:tc>
          <w:tcPr>
            <w:tcW w:w="809" w:type="pct"/>
            <w:tcBorders>
              <w:top w:val="nil"/>
              <w:bottom w:val="nil"/>
              <w:right w:val="nil"/>
            </w:tcBorders>
            <w:shd w:val="clear" w:color="auto" w:fill="auto"/>
          </w:tcPr>
          <w:p w14:paraId="1E7860E0"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0B2936B0" w14:textId="77777777" w:rsidR="00E93F58" w:rsidRPr="006E709F" w:rsidRDefault="00E93F58" w:rsidP="00C36BD7">
            <w:pPr>
              <w:pStyle w:val="Tablea"/>
            </w:pPr>
            <w:r w:rsidRPr="006E709F">
              <w:t>(ba) subsection 253N(4)</w:t>
            </w:r>
          </w:p>
        </w:tc>
        <w:tc>
          <w:tcPr>
            <w:tcW w:w="1152" w:type="pct"/>
            <w:tcBorders>
              <w:top w:val="nil"/>
              <w:left w:val="nil"/>
              <w:bottom w:val="nil"/>
            </w:tcBorders>
            <w:shd w:val="clear" w:color="auto" w:fill="auto"/>
          </w:tcPr>
          <w:p w14:paraId="4723B216" w14:textId="77777777" w:rsidR="00E93F58" w:rsidRPr="006E709F" w:rsidRDefault="00E93F58" w:rsidP="00C328E8">
            <w:pPr>
              <w:pStyle w:val="Tabletext"/>
            </w:pPr>
          </w:p>
        </w:tc>
      </w:tr>
      <w:tr w:rsidR="00E93F58" w:rsidRPr="006E709F" w14:paraId="7B55664B" w14:textId="77777777" w:rsidTr="00E118FA">
        <w:tc>
          <w:tcPr>
            <w:tcW w:w="809" w:type="pct"/>
            <w:tcBorders>
              <w:top w:val="nil"/>
              <w:bottom w:val="nil"/>
              <w:right w:val="nil"/>
            </w:tcBorders>
            <w:shd w:val="clear" w:color="auto" w:fill="auto"/>
          </w:tcPr>
          <w:p w14:paraId="5B65D41D"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6C87547E" w14:textId="77777777" w:rsidR="00E93F58" w:rsidRPr="006E709F" w:rsidRDefault="00E93F58" w:rsidP="007678F7">
            <w:pPr>
              <w:pStyle w:val="Tablea"/>
            </w:pPr>
            <w:r w:rsidRPr="006E709F">
              <w:t>(c) subsection 271(4)</w:t>
            </w:r>
          </w:p>
        </w:tc>
        <w:tc>
          <w:tcPr>
            <w:tcW w:w="1152" w:type="pct"/>
            <w:tcBorders>
              <w:top w:val="nil"/>
              <w:left w:val="nil"/>
              <w:bottom w:val="nil"/>
            </w:tcBorders>
            <w:shd w:val="clear" w:color="auto" w:fill="auto"/>
          </w:tcPr>
          <w:p w14:paraId="1EC15E8F" w14:textId="77777777" w:rsidR="00E93F58" w:rsidRPr="006E709F" w:rsidRDefault="00E93F58" w:rsidP="00C328E8">
            <w:pPr>
              <w:pStyle w:val="Tabletext"/>
            </w:pPr>
          </w:p>
        </w:tc>
      </w:tr>
      <w:tr w:rsidR="00E93F58" w:rsidRPr="006E709F" w14:paraId="0437E97F" w14:textId="77777777" w:rsidTr="00E118FA">
        <w:tc>
          <w:tcPr>
            <w:tcW w:w="809" w:type="pct"/>
            <w:tcBorders>
              <w:top w:val="nil"/>
              <w:bottom w:val="nil"/>
              <w:right w:val="nil"/>
            </w:tcBorders>
            <w:shd w:val="clear" w:color="auto" w:fill="auto"/>
          </w:tcPr>
          <w:p w14:paraId="16423CFD"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062A8590" w14:textId="77777777" w:rsidR="00E93F58" w:rsidRPr="006E709F" w:rsidRDefault="00E93F58" w:rsidP="007678F7">
            <w:pPr>
              <w:pStyle w:val="Tablea"/>
            </w:pPr>
            <w:r w:rsidRPr="006E709F">
              <w:t>(d) subsection 812(3)</w:t>
            </w:r>
          </w:p>
        </w:tc>
        <w:tc>
          <w:tcPr>
            <w:tcW w:w="1152" w:type="pct"/>
            <w:tcBorders>
              <w:top w:val="nil"/>
              <w:left w:val="nil"/>
              <w:bottom w:val="nil"/>
            </w:tcBorders>
            <w:shd w:val="clear" w:color="auto" w:fill="auto"/>
          </w:tcPr>
          <w:p w14:paraId="28529C03" w14:textId="77777777" w:rsidR="00E93F58" w:rsidRPr="006E709F" w:rsidRDefault="00E93F58" w:rsidP="00C328E8">
            <w:pPr>
              <w:pStyle w:val="Tabletext"/>
            </w:pPr>
          </w:p>
        </w:tc>
      </w:tr>
      <w:tr w:rsidR="00E93F58" w:rsidRPr="006E709F" w14:paraId="2683DCDD" w14:textId="77777777" w:rsidTr="00E118FA">
        <w:tc>
          <w:tcPr>
            <w:tcW w:w="809" w:type="pct"/>
            <w:tcBorders>
              <w:top w:val="nil"/>
              <w:bottom w:val="nil"/>
              <w:right w:val="nil"/>
            </w:tcBorders>
            <w:shd w:val="clear" w:color="auto" w:fill="auto"/>
          </w:tcPr>
          <w:p w14:paraId="70056EC5"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1B778044" w14:textId="77777777" w:rsidR="00E93F58" w:rsidRPr="006E709F" w:rsidRDefault="00E93F58" w:rsidP="007678F7">
            <w:pPr>
              <w:pStyle w:val="Tablea"/>
            </w:pPr>
            <w:r w:rsidRPr="006E709F">
              <w:t>(e) paragraph 1178(3)(a);</w:t>
            </w:r>
          </w:p>
        </w:tc>
        <w:tc>
          <w:tcPr>
            <w:tcW w:w="1152" w:type="pct"/>
            <w:tcBorders>
              <w:top w:val="nil"/>
              <w:left w:val="nil"/>
              <w:bottom w:val="nil"/>
            </w:tcBorders>
            <w:shd w:val="clear" w:color="auto" w:fill="auto"/>
          </w:tcPr>
          <w:p w14:paraId="52807E8E" w14:textId="77777777" w:rsidR="00E93F58" w:rsidRPr="006E709F" w:rsidRDefault="00E93F58" w:rsidP="00C328E8">
            <w:pPr>
              <w:pStyle w:val="Tabletext"/>
            </w:pPr>
          </w:p>
        </w:tc>
      </w:tr>
      <w:tr w:rsidR="00E93F58" w:rsidRPr="006E709F" w14:paraId="59AA7AA8" w14:textId="77777777" w:rsidTr="00E118FA">
        <w:tc>
          <w:tcPr>
            <w:tcW w:w="809" w:type="pct"/>
            <w:tcBorders>
              <w:top w:val="nil"/>
              <w:bottom w:val="single" w:sz="4" w:space="0" w:color="auto"/>
              <w:right w:val="nil"/>
            </w:tcBorders>
            <w:shd w:val="clear" w:color="auto" w:fill="auto"/>
          </w:tcPr>
          <w:p w14:paraId="2BBCC482" w14:textId="77777777" w:rsidR="00E93F58" w:rsidRPr="006E709F" w:rsidRDefault="00E93F58" w:rsidP="00C328E8">
            <w:pPr>
              <w:pStyle w:val="Tabletext"/>
            </w:pPr>
          </w:p>
        </w:tc>
        <w:tc>
          <w:tcPr>
            <w:tcW w:w="3039" w:type="pct"/>
            <w:tcBorders>
              <w:top w:val="nil"/>
              <w:left w:val="nil"/>
              <w:bottom w:val="single" w:sz="4" w:space="0" w:color="auto"/>
              <w:right w:val="nil"/>
            </w:tcBorders>
            <w:shd w:val="clear" w:color="auto" w:fill="auto"/>
          </w:tcPr>
          <w:p w14:paraId="03CB67E0" w14:textId="77777777" w:rsidR="00E93F58" w:rsidRPr="006E709F" w:rsidRDefault="00E93F58" w:rsidP="00A801D0">
            <w:pPr>
              <w:pStyle w:val="Tabletext"/>
            </w:pPr>
            <w:r w:rsidRPr="006E709F">
              <w:t>for each page, or part of a page, not exceeding international sheet size A4 of the copy supplied or, at the option of the supplier, for each 100 words or part of 100 words</w:t>
            </w:r>
          </w:p>
        </w:tc>
        <w:tc>
          <w:tcPr>
            <w:tcW w:w="1152" w:type="pct"/>
            <w:tcBorders>
              <w:top w:val="nil"/>
              <w:left w:val="nil"/>
              <w:bottom w:val="single" w:sz="4" w:space="0" w:color="auto"/>
            </w:tcBorders>
            <w:shd w:val="clear" w:color="auto" w:fill="auto"/>
          </w:tcPr>
          <w:p w14:paraId="2D5CBC24" w14:textId="77777777" w:rsidR="00E93F58" w:rsidRPr="006E709F" w:rsidRDefault="00E93F58" w:rsidP="00A801D0">
            <w:pPr>
              <w:pStyle w:val="Tabletext"/>
            </w:pPr>
            <w:r w:rsidRPr="006E709F">
              <w:t>0.50</w:t>
            </w:r>
          </w:p>
        </w:tc>
      </w:tr>
      <w:tr w:rsidR="00E93F58" w:rsidRPr="006E709F" w14:paraId="2EFDB67C" w14:textId="77777777" w:rsidTr="00E118FA">
        <w:tc>
          <w:tcPr>
            <w:tcW w:w="809" w:type="pct"/>
            <w:tcBorders>
              <w:top w:val="single" w:sz="4" w:space="0" w:color="auto"/>
            </w:tcBorders>
            <w:shd w:val="clear" w:color="auto" w:fill="auto"/>
          </w:tcPr>
          <w:p w14:paraId="7C30671A" w14:textId="77777777" w:rsidR="00E93F58" w:rsidRPr="006E709F" w:rsidRDefault="00E93F58" w:rsidP="00A801D0">
            <w:pPr>
              <w:pStyle w:val="Tabletext"/>
            </w:pPr>
            <w:r w:rsidRPr="006E709F">
              <w:t>4</w:t>
            </w:r>
          </w:p>
        </w:tc>
        <w:tc>
          <w:tcPr>
            <w:tcW w:w="3039" w:type="pct"/>
            <w:tcBorders>
              <w:top w:val="single" w:sz="4" w:space="0" w:color="auto"/>
            </w:tcBorders>
            <w:shd w:val="clear" w:color="auto" w:fill="auto"/>
          </w:tcPr>
          <w:p w14:paraId="67F05C1C" w14:textId="77777777" w:rsidR="00E93F58" w:rsidRPr="006E709F" w:rsidRDefault="00E93F58" w:rsidP="007678F7">
            <w:pPr>
              <w:pStyle w:val="Tabletext"/>
            </w:pPr>
            <w:r w:rsidRPr="006E709F">
              <w:t>Payment for each name and address provided under subsection 641(5)</w:t>
            </w:r>
          </w:p>
        </w:tc>
        <w:tc>
          <w:tcPr>
            <w:tcW w:w="1152" w:type="pct"/>
            <w:tcBorders>
              <w:top w:val="single" w:sz="4" w:space="0" w:color="auto"/>
            </w:tcBorders>
            <w:shd w:val="clear" w:color="auto" w:fill="auto"/>
          </w:tcPr>
          <w:p w14:paraId="0B0A8E31" w14:textId="77777777" w:rsidR="00E93F58" w:rsidRPr="006E709F" w:rsidRDefault="00E93F58" w:rsidP="00A801D0">
            <w:pPr>
              <w:pStyle w:val="Tabletext"/>
            </w:pPr>
            <w:r w:rsidRPr="006E709F">
              <w:t>0.10</w:t>
            </w:r>
          </w:p>
        </w:tc>
      </w:tr>
      <w:tr w:rsidR="00E93F58" w:rsidRPr="006E709F" w14:paraId="5176A016" w14:textId="77777777" w:rsidTr="00E118FA">
        <w:tc>
          <w:tcPr>
            <w:tcW w:w="809" w:type="pct"/>
            <w:shd w:val="clear" w:color="auto" w:fill="auto"/>
          </w:tcPr>
          <w:p w14:paraId="564E6DDD" w14:textId="77777777" w:rsidR="00E93F58" w:rsidRPr="006E709F" w:rsidRDefault="00E93F58" w:rsidP="00A801D0">
            <w:pPr>
              <w:pStyle w:val="Tabletext"/>
            </w:pPr>
            <w:r w:rsidRPr="006E709F">
              <w:t>5</w:t>
            </w:r>
          </w:p>
        </w:tc>
        <w:tc>
          <w:tcPr>
            <w:tcW w:w="3039" w:type="pct"/>
            <w:shd w:val="clear" w:color="auto" w:fill="auto"/>
          </w:tcPr>
          <w:p w14:paraId="19D9A7AE" w14:textId="77777777" w:rsidR="00E93F58" w:rsidRPr="006E709F" w:rsidRDefault="00E93F58" w:rsidP="00A801D0">
            <w:pPr>
              <w:pStyle w:val="Tabletext"/>
            </w:pPr>
            <w:r w:rsidRPr="006E709F">
              <w:t>For compliance with a direction under section 672A</w:t>
            </w:r>
          </w:p>
        </w:tc>
        <w:tc>
          <w:tcPr>
            <w:tcW w:w="1152" w:type="pct"/>
            <w:shd w:val="clear" w:color="auto" w:fill="auto"/>
          </w:tcPr>
          <w:p w14:paraId="4E02835F" w14:textId="77777777" w:rsidR="00E93F58" w:rsidRPr="006E709F" w:rsidRDefault="00E93F58" w:rsidP="00A801D0">
            <w:pPr>
              <w:pStyle w:val="Tabletext"/>
            </w:pPr>
            <w:r w:rsidRPr="006E709F">
              <w:t xml:space="preserve">5.00 </w:t>
            </w:r>
          </w:p>
        </w:tc>
      </w:tr>
      <w:tr w:rsidR="00E93F58" w:rsidRPr="006E709F" w14:paraId="150222DD" w14:textId="77777777" w:rsidTr="00E118FA">
        <w:tc>
          <w:tcPr>
            <w:tcW w:w="809" w:type="pct"/>
            <w:shd w:val="clear" w:color="auto" w:fill="auto"/>
          </w:tcPr>
          <w:p w14:paraId="4EE85E42" w14:textId="77777777" w:rsidR="00E93F58" w:rsidRPr="006E709F" w:rsidRDefault="00E93F58" w:rsidP="00A801D0">
            <w:pPr>
              <w:pStyle w:val="Tabletext"/>
            </w:pPr>
            <w:r w:rsidRPr="006E709F">
              <w:t>6</w:t>
            </w:r>
          </w:p>
        </w:tc>
        <w:tc>
          <w:tcPr>
            <w:tcW w:w="3039" w:type="pct"/>
            <w:shd w:val="clear" w:color="auto" w:fill="auto"/>
          </w:tcPr>
          <w:p w14:paraId="4374E3E4" w14:textId="77777777" w:rsidR="00E93F58" w:rsidRPr="006E709F" w:rsidRDefault="00E93F58" w:rsidP="007678F7">
            <w:pPr>
              <w:pStyle w:val="Tabletext"/>
            </w:pPr>
            <w:r w:rsidRPr="006E709F">
              <w:t xml:space="preserve">Replacement of lost or destroyed certificate for </w:t>
            </w:r>
            <w:r w:rsidRPr="006E709F">
              <w:rPr>
                <w:color w:val="000000"/>
              </w:rPr>
              <w:t>paragraph 1070D(4)(a)</w:t>
            </w:r>
          </w:p>
        </w:tc>
        <w:tc>
          <w:tcPr>
            <w:tcW w:w="1152" w:type="pct"/>
            <w:shd w:val="clear" w:color="auto" w:fill="auto"/>
          </w:tcPr>
          <w:p w14:paraId="76577A77" w14:textId="77777777" w:rsidR="00E93F58" w:rsidRPr="006E709F" w:rsidRDefault="00E93F58" w:rsidP="00A801D0">
            <w:pPr>
              <w:pStyle w:val="Tabletext"/>
            </w:pPr>
            <w:r w:rsidRPr="006E709F">
              <w:t>10.00</w:t>
            </w:r>
          </w:p>
        </w:tc>
      </w:tr>
      <w:tr w:rsidR="00E93F58" w:rsidRPr="006E709F" w14:paraId="24997838" w14:textId="77777777" w:rsidTr="00E118FA">
        <w:tc>
          <w:tcPr>
            <w:tcW w:w="809" w:type="pct"/>
            <w:tcBorders>
              <w:bottom w:val="single" w:sz="4" w:space="0" w:color="auto"/>
            </w:tcBorders>
            <w:shd w:val="clear" w:color="auto" w:fill="auto"/>
          </w:tcPr>
          <w:p w14:paraId="0E00470A" w14:textId="77777777" w:rsidR="00E93F58" w:rsidRPr="006E709F" w:rsidRDefault="00E93F58" w:rsidP="00A801D0">
            <w:pPr>
              <w:pStyle w:val="Tabletext"/>
            </w:pPr>
            <w:r w:rsidRPr="006E709F">
              <w:t>7</w:t>
            </w:r>
          </w:p>
        </w:tc>
        <w:tc>
          <w:tcPr>
            <w:tcW w:w="3039" w:type="pct"/>
            <w:tcBorders>
              <w:bottom w:val="single" w:sz="4" w:space="0" w:color="auto"/>
            </w:tcBorders>
            <w:shd w:val="clear" w:color="auto" w:fill="auto"/>
          </w:tcPr>
          <w:p w14:paraId="3BB1FA70" w14:textId="77777777" w:rsidR="00E93F58" w:rsidRPr="006E709F" w:rsidRDefault="00E93F58" w:rsidP="007678F7">
            <w:pPr>
              <w:pStyle w:val="Tabletext"/>
            </w:pPr>
            <w:r w:rsidRPr="006E709F">
              <w:t>Fee for supply by a responsible entity of a copy of the constitution of a registered scheme under subsection 601GC(4)</w:t>
            </w:r>
          </w:p>
        </w:tc>
        <w:tc>
          <w:tcPr>
            <w:tcW w:w="1152" w:type="pct"/>
            <w:tcBorders>
              <w:bottom w:val="single" w:sz="4" w:space="0" w:color="auto"/>
            </w:tcBorders>
            <w:shd w:val="clear" w:color="auto" w:fill="auto"/>
          </w:tcPr>
          <w:p w14:paraId="35E1702E" w14:textId="77777777" w:rsidR="00E93F58" w:rsidRPr="006E709F" w:rsidRDefault="00E93F58" w:rsidP="00A801D0">
            <w:pPr>
              <w:pStyle w:val="Tabletext"/>
            </w:pPr>
            <w:r w:rsidRPr="006E709F">
              <w:t>10.00</w:t>
            </w:r>
          </w:p>
        </w:tc>
      </w:tr>
      <w:tr w:rsidR="00E93F58" w:rsidRPr="006E709F" w14:paraId="643ED169" w14:textId="77777777" w:rsidTr="00E118FA">
        <w:tc>
          <w:tcPr>
            <w:tcW w:w="809" w:type="pct"/>
            <w:tcBorders>
              <w:bottom w:val="single" w:sz="4" w:space="0" w:color="auto"/>
            </w:tcBorders>
            <w:shd w:val="clear" w:color="auto" w:fill="auto"/>
          </w:tcPr>
          <w:p w14:paraId="2EA5B836" w14:textId="77777777" w:rsidR="00E93F58" w:rsidRPr="006E709F" w:rsidRDefault="00E93F58" w:rsidP="00A801D0">
            <w:pPr>
              <w:pStyle w:val="Tabletext"/>
            </w:pPr>
            <w:r w:rsidRPr="006E709F">
              <w:t>7A</w:t>
            </w:r>
          </w:p>
        </w:tc>
        <w:tc>
          <w:tcPr>
            <w:tcW w:w="3039" w:type="pct"/>
            <w:tcBorders>
              <w:bottom w:val="single" w:sz="4" w:space="0" w:color="auto"/>
            </w:tcBorders>
            <w:shd w:val="clear" w:color="auto" w:fill="auto"/>
          </w:tcPr>
          <w:p w14:paraId="2698CE7A" w14:textId="77777777" w:rsidR="00E93F58" w:rsidRPr="006E709F" w:rsidRDefault="00E93F58" w:rsidP="007678F7">
            <w:pPr>
              <w:pStyle w:val="Tabletext"/>
            </w:pPr>
            <w:r w:rsidRPr="006E709F">
              <w:t>Costs of the operator in providing a copy of the consolidated constitution of a notified foreign passport fund under section 1213J</w:t>
            </w:r>
          </w:p>
        </w:tc>
        <w:tc>
          <w:tcPr>
            <w:tcW w:w="1152" w:type="pct"/>
            <w:tcBorders>
              <w:bottom w:val="single" w:sz="4" w:space="0" w:color="auto"/>
            </w:tcBorders>
            <w:shd w:val="clear" w:color="auto" w:fill="auto"/>
          </w:tcPr>
          <w:p w14:paraId="4F35F683" w14:textId="77777777" w:rsidR="00E93F58" w:rsidRPr="006E709F" w:rsidRDefault="00E93F58" w:rsidP="00A801D0">
            <w:pPr>
              <w:pStyle w:val="Tabletext"/>
            </w:pPr>
            <w:r w:rsidRPr="006E709F">
              <w:t>10.00</w:t>
            </w:r>
          </w:p>
        </w:tc>
      </w:tr>
      <w:tr w:rsidR="00E93F58" w:rsidRPr="006E709F" w14:paraId="473E10DA" w14:textId="77777777" w:rsidTr="00E118FA">
        <w:tc>
          <w:tcPr>
            <w:tcW w:w="809" w:type="pct"/>
            <w:tcBorders>
              <w:bottom w:val="nil"/>
            </w:tcBorders>
            <w:shd w:val="clear" w:color="auto" w:fill="auto"/>
          </w:tcPr>
          <w:p w14:paraId="58F49078" w14:textId="77777777" w:rsidR="00E93F58" w:rsidRPr="006E709F" w:rsidRDefault="00E93F58" w:rsidP="00A801D0">
            <w:pPr>
              <w:pStyle w:val="Tabletext"/>
            </w:pPr>
            <w:r w:rsidRPr="006E709F">
              <w:t>7B</w:t>
            </w:r>
          </w:p>
        </w:tc>
        <w:tc>
          <w:tcPr>
            <w:tcW w:w="3039" w:type="pct"/>
            <w:tcBorders>
              <w:bottom w:val="nil"/>
            </w:tcBorders>
            <w:shd w:val="clear" w:color="auto" w:fill="auto"/>
          </w:tcPr>
          <w:p w14:paraId="395737F1" w14:textId="77777777" w:rsidR="00E93F58" w:rsidRPr="006E709F" w:rsidRDefault="00E93F58" w:rsidP="00875880">
            <w:pPr>
              <w:pStyle w:val="Tabletext"/>
            </w:pPr>
            <w:r w:rsidRPr="006E709F">
              <w:t>Costs of the operator in providing a copy of the register of members of a notified foreign passport fund under section 1213K</w:t>
            </w:r>
          </w:p>
          <w:p w14:paraId="6209E50D" w14:textId="77777777" w:rsidR="00E93F58" w:rsidRPr="006E709F" w:rsidRDefault="00E93F58" w:rsidP="007678F7">
            <w:pPr>
              <w:pStyle w:val="Tabletext"/>
            </w:pPr>
            <w:r w:rsidRPr="006E709F">
              <w:t>In addition, if information is provided about 5,000 or more members:</w:t>
            </w:r>
          </w:p>
        </w:tc>
        <w:tc>
          <w:tcPr>
            <w:tcW w:w="1152" w:type="pct"/>
            <w:tcBorders>
              <w:bottom w:val="nil"/>
            </w:tcBorders>
            <w:shd w:val="clear" w:color="auto" w:fill="auto"/>
          </w:tcPr>
          <w:p w14:paraId="30A50F05" w14:textId="77777777" w:rsidR="00E93F58" w:rsidRPr="006E709F" w:rsidRDefault="00E93F58" w:rsidP="00A801D0">
            <w:pPr>
              <w:pStyle w:val="Tabletext"/>
            </w:pPr>
            <w:r w:rsidRPr="006E709F">
              <w:t>250.00</w:t>
            </w:r>
          </w:p>
        </w:tc>
      </w:tr>
      <w:tr w:rsidR="00E93F58" w:rsidRPr="006E709F" w14:paraId="5D435884" w14:textId="77777777" w:rsidTr="00E118FA">
        <w:tc>
          <w:tcPr>
            <w:tcW w:w="809" w:type="pct"/>
            <w:tcBorders>
              <w:top w:val="nil"/>
              <w:bottom w:val="nil"/>
            </w:tcBorders>
            <w:shd w:val="clear" w:color="auto" w:fill="auto"/>
          </w:tcPr>
          <w:p w14:paraId="33195376" w14:textId="77777777" w:rsidR="00E93F58" w:rsidRPr="006E709F" w:rsidRDefault="00E93F58" w:rsidP="00A801D0">
            <w:pPr>
              <w:pStyle w:val="Tabletext"/>
            </w:pPr>
          </w:p>
        </w:tc>
        <w:tc>
          <w:tcPr>
            <w:tcW w:w="3039" w:type="pct"/>
            <w:tcBorders>
              <w:top w:val="nil"/>
              <w:bottom w:val="nil"/>
            </w:tcBorders>
            <w:shd w:val="clear" w:color="auto" w:fill="auto"/>
          </w:tcPr>
          <w:p w14:paraId="6DA3AEA8" w14:textId="77777777" w:rsidR="00E93F58" w:rsidRPr="006E709F" w:rsidRDefault="00E93F58" w:rsidP="000D3A49">
            <w:pPr>
              <w:pStyle w:val="Tablea"/>
            </w:pPr>
            <w:r w:rsidRPr="006E709F">
              <w:t xml:space="preserve">(a) for the 5,000th member and for each additional member up to and including </w:t>
            </w:r>
            <w:r w:rsidRPr="006E709F">
              <w:lastRenderedPageBreak/>
              <w:t>the 19,999th member</w:t>
            </w:r>
          </w:p>
        </w:tc>
        <w:tc>
          <w:tcPr>
            <w:tcW w:w="1152" w:type="pct"/>
            <w:tcBorders>
              <w:top w:val="nil"/>
              <w:bottom w:val="nil"/>
            </w:tcBorders>
            <w:shd w:val="clear" w:color="auto" w:fill="auto"/>
          </w:tcPr>
          <w:p w14:paraId="3B70463D" w14:textId="77777777" w:rsidR="00E93F58" w:rsidRPr="006E709F" w:rsidRDefault="00E93F58" w:rsidP="00A801D0">
            <w:pPr>
              <w:pStyle w:val="Tabletext"/>
            </w:pPr>
            <w:r w:rsidRPr="006E709F">
              <w:lastRenderedPageBreak/>
              <w:t>0.05</w:t>
            </w:r>
          </w:p>
        </w:tc>
      </w:tr>
      <w:tr w:rsidR="00E93F58" w:rsidRPr="006E709F" w14:paraId="297B9EB5" w14:textId="77777777" w:rsidTr="00E118FA">
        <w:tc>
          <w:tcPr>
            <w:tcW w:w="809" w:type="pct"/>
            <w:tcBorders>
              <w:top w:val="nil"/>
              <w:bottom w:val="single" w:sz="4" w:space="0" w:color="auto"/>
            </w:tcBorders>
            <w:shd w:val="clear" w:color="auto" w:fill="auto"/>
          </w:tcPr>
          <w:p w14:paraId="7BA7AF4B" w14:textId="77777777" w:rsidR="00E93F58" w:rsidRPr="006E709F" w:rsidRDefault="00E93F58" w:rsidP="00A801D0">
            <w:pPr>
              <w:pStyle w:val="Tabletext"/>
            </w:pPr>
          </w:p>
        </w:tc>
        <w:tc>
          <w:tcPr>
            <w:tcW w:w="3039" w:type="pct"/>
            <w:tcBorders>
              <w:top w:val="nil"/>
              <w:bottom w:val="single" w:sz="4" w:space="0" w:color="auto"/>
            </w:tcBorders>
            <w:shd w:val="clear" w:color="auto" w:fill="auto"/>
          </w:tcPr>
          <w:p w14:paraId="6AFCCD4D" w14:textId="77777777" w:rsidR="00E93F58" w:rsidRPr="006E709F" w:rsidRDefault="00E93F58" w:rsidP="000D3A49">
            <w:pPr>
              <w:pStyle w:val="Tablea"/>
            </w:pPr>
            <w:r w:rsidRPr="006E709F">
              <w:t>(b) for the 20,000th member and for each additional member</w:t>
            </w:r>
          </w:p>
        </w:tc>
        <w:tc>
          <w:tcPr>
            <w:tcW w:w="1152" w:type="pct"/>
            <w:tcBorders>
              <w:top w:val="nil"/>
              <w:bottom w:val="single" w:sz="4" w:space="0" w:color="auto"/>
            </w:tcBorders>
            <w:shd w:val="clear" w:color="auto" w:fill="auto"/>
          </w:tcPr>
          <w:p w14:paraId="7F5CE2F4" w14:textId="77777777" w:rsidR="00E93F58" w:rsidRPr="006E709F" w:rsidRDefault="00E93F58" w:rsidP="00A801D0">
            <w:pPr>
              <w:pStyle w:val="Tabletext"/>
            </w:pPr>
            <w:r w:rsidRPr="006E709F">
              <w:t>0.01</w:t>
            </w:r>
          </w:p>
        </w:tc>
      </w:tr>
      <w:tr w:rsidR="00E93F58" w:rsidRPr="006E709F" w14:paraId="188BB778" w14:textId="77777777" w:rsidTr="00E118FA">
        <w:tc>
          <w:tcPr>
            <w:tcW w:w="809" w:type="pct"/>
            <w:tcBorders>
              <w:bottom w:val="nil"/>
              <w:right w:val="nil"/>
            </w:tcBorders>
            <w:shd w:val="clear" w:color="auto" w:fill="auto"/>
          </w:tcPr>
          <w:p w14:paraId="0684472C" w14:textId="77777777" w:rsidR="00E93F58" w:rsidRPr="006E709F" w:rsidRDefault="00E93F58" w:rsidP="00C328E8">
            <w:pPr>
              <w:pStyle w:val="Tabletext"/>
            </w:pPr>
            <w:r w:rsidRPr="006E709F">
              <w:t>8</w:t>
            </w:r>
          </w:p>
        </w:tc>
        <w:tc>
          <w:tcPr>
            <w:tcW w:w="3039" w:type="pct"/>
            <w:tcBorders>
              <w:left w:val="nil"/>
              <w:bottom w:val="nil"/>
              <w:right w:val="nil"/>
            </w:tcBorders>
            <w:shd w:val="clear" w:color="auto" w:fill="auto"/>
          </w:tcPr>
          <w:p w14:paraId="1BAB060E" w14:textId="77777777" w:rsidR="00E93F58" w:rsidRPr="006E709F" w:rsidRDefault="00E93F58" w:rsidP="009365FD">
            <w:pPr>
              <w:pStyle w:val="Tabletext"/>
              <w:keepNext/>
              <w:keepLines/>
            </w:pPr>
            <w:r w:rsidRPr="006E709F">
              <w:t>Inspection of register for subsection 919E(3):</w:t>
            </w:r>
          </w:p>
        </w:tc>
        <w:tc>
          <w:tcPr>
            <w:tcW w:w="1152" w:type="pct"/>
            <w:tcBorders>
              <w:left w:val="nil"/>
              <w:bottom w:val="nil"/>
            </w:tcBorders>
            <w:shd w:val="clear" w:color="auto" w:fill="auto"/>
          </w:tcPr>
          <w:p w14:paraId="0B13FADD" w14:textId="77777777" w:rsidR="00E93F58" w:rsidRPr="006E709F" w:rsidRDefault="00E93F58" w:rsidP="009365FD">
            <w:pPr>
              <w:pStyle w:val="Tabletext"/>
              <w:keepNext/>
              <w:keepLines/>
            </w:pPr>
          </w:p>
        </w:tc>
      </w:tr>
      <w:tr w:rsidR="00E93F58" w:rsidRPr="006E709F" w14:paraId="4A55B804" w14:textId="77777777" w:rsidTr="00E118FA">
        <w:tc>
          <w:tcPr>
            <w:tcW w:w="809" w:type="pct"/>
            <w:tcBorders>
              <w:top w:val="nil"/>
              <w:bottom w:val="nil"/>
              <w:right w:val="nil"/>
            </w:tcBorders>
            <w:shd w:val="clear" w:color="auto" w:fill="auto"/>
          </w:tcPr>
          <w:p w14:paraId="430A3F80" w14:textId="77777777" w:rsidR="00E93F58" w:rsidRPr="006E709F" w:rsidRDefault="00E93F58" w:rsidP="00C328E8">
            <w:pPr>
              <w:pStyle w:val="Tabletext"/>
            </w:pPr>
          </w:p>
        </w:tc>
        <w:tc>
          <w:tcPr>
            <w:tcW w:w="3039" w:type="pct"/>
            <w:tcBorders>
              <w:top w:val="nil"/>
              <w:left w:val="nil"/>
              <w:bottom w:val="nil"/>
              <w:right w:val="nil"/>
            </w:tcBorders>
            <w:shd w:val="clear" w:color="auto" w:fill="auto"/>
          </w:tcPr>
          <w:p w14:paraId="7B32E138" w14:textId="77777777" w:rsidR="00E93F58" w:rsidRPr="006E709F" w:rsidRDefault="00E93F58" w:rsidP="00A801D0">
            <w:pPr>
              <w:pStyle w:val="Tablea"/>
            </w:pPr>
            <w:r w:rsidRPr="006E709F">
              <w:t>(a) if the register is not kept on a computer—for each inspection</w:t>
            </w:r>
          </w:p>
        </w:tc>
        <w:tc>
          <w:tcPr>
            <w:tcW w:w="1152" w:type="pct"/>
            <w:tcBorders>
              <w:top w:val="nil"/>
              <w:left w:val="nil"/>
              <w:bottom w:val="nil"/>
            </w:tcBorders>
            <w:shd w:val="clear" w:color="auto" w:fill="auto"/>
          </w:tcPr>
          <w:p w14:paraId="69F72BBC" w14:textId="77777777" w:rsidR="00E93F58" w:rsidRPr="006E709F" w:rsidRDefault="00E93F58" w:rsidP="00C328E8">
            <w:pPr>
              <w:pStyle w:val="Tabletext"/>
              <w:keepNext/>
              <w:keepLines/>
            </w:pPr>
            <w:r w:rsidRPr="006E709F">
              <w:t>12.50</w:t>
            </w:r>
          </w:p>
        </w:tc>
      </w:tr>
      <w:tr w:rsidR="00E93F58" w:rsidRPr="006E709F" w14:paraId="49E53642" w14:textId="77777777" w:rsidTr="00E118FA">
        <w:trPr>
          <w:cantSplit/>
        </w:trPr>
        <w:tc>
          <w:tcPr>
            <w:tcW w:w="809" w:type="pct"/>
            <w:tcBorders>
              <w:top w:val="nil"/>
              <w:bottom w:val="nil"/>
              <w:right w:val="nil"/>
            </w:tcBorders>
            <w:shd w:val="clear" w:color="auto" w:fill="auto"/>
          </w:tcPr>
          <w:p w14:paraId="558160CC" w14:textId="77777777" w:rsidR="00E93F58" w:rsidRPr="006E709F" w:rsidRDefault="00E93F58" w:rsidP="00A801D0">
            <w:pPr>
              <w:pStyle w:val="Tabletext"/>
            </w:pPr>
          </w:p>
        </w:tc>
        <w:tc>
          <w:tcPr>
            <w:tcW w:w="3039" w:type="pct"/>
            <w:tcBorders>
              <w:top w:val="nil"/>
              <w:left w:val="nil"/>
              <w:bottom w:val="nil"/>
              <w:right w:val="nil"/>
            </w:tcBorders>
            <w:shd w:val="clear" w:color="auto" w:fill="auto"/>
          </w:tcPr>
          <w:p w14:paraId="5F6B48CD" w14:textId="77777777" w:rsidR="00E93F58" w:rsidRPr="006E709F" w:rsidRDefault="00E93F58" w:rsidP="00A801D0">
            <w:pPr>
              <w:pStyle w:val="Tablea"/>
            </w:pPr>
            <w:r w:rsidRPr="006E709F">
              <w:t>(b) if the register is kept on a computer—for each inspection</w:t>
            </w:r>
          </w:p>
        </w:tc>
        <w:tc>
          <w:tcPr>
            <w:tcW w:w="1152" w:type="pct"/>
            <w:tcBorders>
              <w:top w:val="nil"/>
              <w:left w:val="nil"/>
              <w:bottom w:val="nil"/>
            </w:tcBorders>
            <w:shd w:val="clear" w:color="auto" w:fill="auto"/>
          </w:tcPr>
          <w:p w14:paraId="31D4C062" w14:textId="77777777" w:rsidR="00E93F58" w:rsidRPr="006E709F" w:rsidRDefault="00E93F58" w:rsidP="00A801D0">
            <w:pPr>
              <w:pStyle w:val="Tabletext"/>
            </w:pPr>
            <w:r w:rsidRPr="006E709F">
              <w:t>a reasonable amount that does not exceed the marginal cost to the declared professional body of providing an inspection</w:t>
            </w:r>
          </w:p>
        </w:tc>
      </w:tr>
      <w:tr w:rsidR="00E93F58" w:rsidRPr="006E709F" w14:paraId="12DD3C5D" w14:textId="77777777" w:rsidTr="00E118FA">
        <w:tc>
          <w:tcPr>
            <w:tcW w:w="809" w:type="pct"/>
            <w:tcBorders>
              <w:top w:val="nil"/>
              <w:bottom w:val="single" w:sz="4" w:space="0" w:color="auto"/>
              <w:right w:val="nil"/>
            </w:tcBorders>
            <w:shd w:val="clear" w:color="auto" w:fill="auto"/>
          </w:tcPr>
          <w:p w14:paraId="795F66D4" w14:textId="77777777" w:rsidR="00E93F58" w:rsidRPr="006E709F" w:rsidRDefault="00E93F58" w:rsidP="00A801D0">
            <w:pPr>
              <w:pStyle w:val="Tabletext"/>
            </w:pPr>
          </w:p>
        </w:tc>
        <w:tc>
          <w:tcPr>
            <w:tcW w:w="3039" w:type="pct"/>
            <w:tcBorders>
              <w:top w:val="nil"/>
              <w:left w:val="nil"/>
              <w:bottom w:val="single" w:sz="4" w:space="0" w:color="auto"/>
              <w:right w:val="nil"/>
            </w:tcBorders>
            <w:shd w:val="clear" w:color="auto" w:fill="auto"/>
          </w:tcPr>
          <w:p w14:paraId="5BF8BF96" w14:textId="77777777" w:rsidR="00E93F58" w:rsidRPr="006E709F" w:rsidRDefault="00E93F58" w:rsidP="00A801D0">
            <w:pPr>
              <w:pStyle w:val="Tablea"/>
            </w:pPr>
            <w:r w:rsidRPr="006E709F">
              <w:t>(c) despite paragraphs (a) and (b), if the inspection is by a member of the declared professional body</w:t>
            </w:r>
          </w:p>
        </w:tc>
        <w:tc>
          <w:tcPr>
            <w:tcW w:w="1152" w:type="pct"/>
            <w:tcBorders>
              <w:top w:val="nil"/>
              <w:left w:val="nil"/>
              <w:bottom w:val="single" w:sz="4" w:space="0" w:color="auto"/>
            </w:tcBorders>
            <w:shd w:val="clear" w:color="auto" w:fill="auto"/>
          </w:tcPr>
          <w:p w14:paraId="70DABEF9" w14:textId="77777777" w:rsidR="00E93F58" w:rsidRPr="006E709F" w:rsidRDefault="00E93F58" w:rsidP="00A801D0">
            <w:pPr>
              <w:pStyle w:val="Tabletext"/>
            </w:pPr>
            <w:r w:rsidRPr="006E709F">
              <w:t>No fee</w:t>
            </w:r>
          </w:p>
        </w:tc>
      </w:tr>
      <w:tr w:rsidR="00E93F58" w:rsidRPr="006E709F" w14:paraId="7FFEC326" w14:textId="77777777" w:rsidTr="00E118FA">
        <w:tc>
          <w:tcPr>
            <w:tcW w:w="809" w:type="pct"/>
            <w:tcBorders>
              <w:top w:val="single" w:sz="4" w:space="0" w:color="auto"/>
              <w:bottom w:val="nil"/>
              <w:right w:val="nil"/>
            </w:tcBorders>
            <w:shd w:val="clear" w:color="auto" w:fill="auto"/>
          </w:tcPr>
          <w:p w14:paraId="4C617076" w14:textId="77777777" w:rsidR="00E93F58" w:rsidRPr="006E709F" w:rsidRDefault="00E93F58" w:rsidP="00A801D0">
            <w:pPr>
              <w:pStyle w:val="Tabletext"/>
            </w:pPr>
            <w:r w:rsidRPr="006E709F">
              <w:t>9</w:t>
            </w:r>
          </w:p>
        </w:tc>
        <w:tc>
          <w:tcPr>
            <w:tcW w:w="3039" w:type="pct"/>
            <w:tcBorders>
              <w:top w:val="single" w:sz="4" w:space="0" w:color="auto"/>
              <w:left w:val="nil"/>
              <w:bottom w:val="nil"/>
              <w:right w:val="nil"/>
            </w:tcBorders>
            <w:shd w:val="clear" w:color="auto" w:fill="auto"/>
          </w:tcPr>
          <w:p w14:paraId="51242CF1" w14:textId="77777777" w:rsidR="00E93F58" w:rsidRPr="006E709F" w:rsidRDefault="00E93F58" w:rsidP="007678F7">
            <w:pPr>
              <w:pStyle w:val="Tabletext"/>
            </w:pPr>
            <w:r w:rsidRPr="006E709F">
              <w:t xml:space="preserve">Making copies of, or taking extracts from, a register for subsection 919E(3): </w:t>
            </w:r>
          </w:p>
        </w:tc>
        <w:tc>
          <w:tcPr>
            <w:tcW w:w="1152" w:type="pct"/>
            <w:tcBorders>
              <w:top w:val="single" w:sz="4" w:space="0" w:color="auto"/>
              <w:left w:val="nil"/>
              <w:bottom w:val="nil"/>
            </w:tcBorders>
            <w:shd w:val="clear" w:color="auto" w:fill="auto"/>
          </w:tcPr>
          <w:p w14:paraId="73DCFDBA" w14:textId="77777777" w:rsidR="00E93F58" w:rsidRPr="006E709F" w:rsidRDefault="00E93F58" w:rsidP="00A801D0">
            <w:pPr>
              <w:pStyle w:val="Tabletext"/>
            </w:pPr>
          </w:p>
        </w:tc>
      </w:tr>
      <w:tr w:rsidR="00E93F58" w:rsidRPr="006E709F" w14:paraId="2B08136F" w14:textId="77777777" w:rsidTr="00E118FA">
        <w:tc>
          <w:tcPr>
            <w:tcW w:w="809" w:type="pct"/>
            <w:tcBorders>
              <w:top w:val="nil"/>
              <w:bottom w:val="nil"/>
              <w:right w:val="nil"/>
            </w:tcBorders>
            <w:shd w:val="clear" w:color="auto" w:fill="auto"/>
          </w:tcPr>
          <w:p w14:paraId="6B918F4C" w14:textId="77777777" w:rsidR="00E93F58" w:rsidRPr="006E709F" w:rsidRDefault="00E93F58" w:rsidP="00A801D0">
            <w:pPr>
              <w:pStyle w:val="Tabletext"/>
            </w:pPr>
          </w:p>
        </w:tc>
        <w:tc>
          <w:tcPr>
            <w:tcW w:w="3039" w:type="pct"/>
            <w:tcBorders>
              <w:top w:val="nil"/>
              <w:left w:val="nil"/>
              <w:bottom w:val="nil"/>
              <w:right w:val="nil"/>
            </w:tcBorders>
            <w:shd w:val="clear" w:color="auto" w:fill="auto"/>
          </w:tcPr>
          <w:p w14:paraId="4A33589C" w14:textId="77777777" w:rsidR="00E93F58" w:rsidRPr="006E709F" w:rsidRDefault="00E93F58" w:rsidP="00A801D0">
            <w:pPr>
              <w:pStyle w:val="Tablea"/>
            </w:pPr>
            <w:r w:rsidRPr="006E709F">
              <w:t>(a) if the register is not kept on a computer—for each page, or part of a page, not exceeding international sheet size A4 of the copy supplied or, at the option of the supplier, for each 100 words or part of 100 words</w:t>
            </w:r>
          </w:p>
        </w:tc>
        <w:tc>
          <w:tcPr>
            <w:tcW w:w="1152" w:type="pct"/>
            <w:tcBorders>
              <w:top w:val="nil"/>
              <w:left w:val="nil"/>
              <w:bottom w:val="nil"/>
            </w:tcBorders>
            <w:shd w:val="clear" w:color="auto" w:fill="auto"/>
          </w:tcPr>
          <w:p w14:paraId="2EDB3835" w14:textId="77777777" w:rsidR="00E93F58" w:rsidRPr="006E709F" w:rsidRDefault="00E93F58" w:rsidP="00A801D0">
            <w:pPr>
              <w:pStyle w:val="Tabletext"/>
            </w:pPr>
            <w:r w:rsidRPr="006E709F">
              <w:t>1.25</w:t>
            </w:r>
          </w:p>
        </w:tc>
      </w:tr>
      <w:tr w:rsidR="00E93F58" w:rsidRPr="006E709F" w14:paraId="4DC7C92C" w14:textId="77777777" w:rsidTr="00E118FA">
        <w:tc>
          <w:tcPr>
            <w:tcW w:w="809" w:type="pct"/>
            <w:tcBorders>
              <w:top w:val="nil"/>
              <w:bottom w:val="single" w:sz="12" w:space="0" w:color="auto"/>
              <w:right w:val="nil"/>
            </w:tcBorders>
            <w:shd w:val="clear" w:color="auto" w:fill="auto"/>
          </w:tcPr>
          <w:p w14:paraId="6FDE5C6B" w14:textId="77777777" w:rsidR="00E93F58" w:rsidRPr="006E709F" w:rsidRDefault="00E93F58" w:rsidP="00A801D0">
            <w:pPr>
              <w:pStyle w:val="Tabletext"/>
            </w:pPr>
          </w:p>
        </w:tc>
        <w:tc>
          <w:tcPr>
            <w:tcW w:w="3039" w:type="pct"/>
            <w:tcBorders>
              <w:top w:val="nil"/>
              <w:left w:val="nil"/>
              <w:bottom w:val="single" w:sz="12" w:space="0" w:color="auto"/>
              <w:right w:val="nil"/>
            </w:tcBorders>
            <w:shd w:val="clear" w:color="auto" w:fill="auto"/>
          </w:tcPr>
          <w:p w14:paraId="408C5F92" w14:textId="77777777" w:rsidR="00E93F58" w:rsidRPr="006E709F" w:rsidRDefault="00E93F58" w:rsidP="00A801D0">
            <w:pPr>
              <w:pStyle w:val="Tablea"/>
            </w:pPr>
            <w:r w:rsidRPr="006E709F">
              <w:t>(b) if a register is kept on a computer—for each copy or extract</w:t>
            </w:r>
          </w:p>
        </w:tc>
        <w:tc>
          <w:tcPr>
            <w:tcW w:w="1152" w:type="pct"/>
            <w:tcBorders>
              <w:top w:val="nil"/>
              <w:left w:val="nil"/>
              <w:bottom w:val="single" w:sz="12" w:space="0" w:color="auto"/>
            </w:tcBorders>
            <w:shd w:val="clear" w:color="auto" w:fill="auto"/>
          </w:tcPr>
          <w:p w14:paraId="643B30B0" w14:textId="77777777" w:rsidR="00E93F58" w:rsidRPr="006E709F" w:rsidRDefault="00E93F58" w:rsidP="00A801D0">
            <w:pPr>
              <w:pStyle w:val="Tabletext"/>
            </w:pPr>
            <w:r w:rsidRPr="006E709F">
              <w:t>a reasonable amount that does not exceed the marginal cost to the declared professional body of providing a copy or extract</w:t>
            </w:r>
          </w:p>
        </w:tc>
      </w:tr>
    </w:tbl>
    <w:p w14:paraId="5BA9154E" w14:textId="77777777" w:rsidR="00E93F58" w:rsidRPr="006E709F" w:rsidRDefault="00E93F58" w:rsidP="00E376FA">
      <w:pPr>
        <w:pStyle w:val="ActHead1"/>
        <w:pageBreakBefore/>
      </w:pPr>
      <w:bookmarkStart w:id="3272" w:name="_Toc151992386"/>
      <w:bookmarkStart w:id="3273" w:name="_Toc158713423"/>
      <w:r w:rsidRPr="000C4237">
        <w:rPr>
          <w:rStyle w:val="CharChapNo"/>
        </w:rPr>
        <w:lastRenderedPageBreak/>
        <w:t>Schedule 5C</w:t>
      </w:r>
      <w:r w:rsidRPr="006E709F">
        <w:t>—</w:t>
      </w:r>
      <w:r w:rsidRPr="000C4237">
        <w:rPr>
          <w:rStyle w:val="CharChapText"/>
        </w:rPr>
        <w:t>Conduct of auditor—relevant relationships</w:t>
      </w:r>
      <w:bookmarkEnd w:id="3272"/>
      <w:bookmarkEnd w:id="3273"/>
    </w:p>
    <w:p w14:paraId="00A34973" w14:textId="77777777" w:rsidR="00E93F58" w:rsidRPr="006E709F" w:rsidRDefault="00E93F58" w:rsidP="00A801D0">
      <w:pPr>
        <w:pStyle w:val="notemargin"/>
      </w:pPr>
      <w:r w:rsidRPr="006E709F">
        <w:t>(regulation 2M.6.05)</w:t>
      </w:r>
    </w:p>
    <w:p w14:paraId="13457AC6"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6B83C808" w14:textId="77777777" w:rsidR="00E93F58" w:rsidRPr="006E709F" w:rsidRDefault="00E93F58" w:rsidP="00A801D0">
      <w:pPr>
        <w:pStyle w:val="ActHead5"/>
      </w:pPr>
      <w:bookmarkStart w:id="3274" w:name="_Toc151992387"/>
      <w:bookmarkStart w:id="3275" w:name="_Toc158713424"/>
      <w:r w:rsidRPr="000C4237">
        <w:rPr>
          <w:rStyle w:val="CharSectno"/>
        </w:rPr>
        <w:t>1</w:t>
      </w:r>
      <w:r w:rsidRPr="006E709F">
        <w:t xml:space="preserve">  Money owed—debt</w:t>
      </w:r>
      <w:bookmarkEnd w:id="3274"/>
      <w:bookmarkEnd w:id="3275"/>
    </w:p>
    <w:p w14:paraId="399DD8E6" w14:textId="77777777" w:rsidR="00E93F58" w:rsidRPr="006E709F" w:rsidRDefault="00E93F58" w:rsidP="00A801D0">
      <w:pPr>
        <w:pStyle w:val="subsection"/>
      </w:pPr>
      <w:r w:rsidRPr="006E709F">
        <w:tab/>
        <w:t>(1)</w:t>
      </w:r>
      <w:r w:rsidRPr="006E709F">
        <w:tab/>
        <w:t>Subclause (2) applies in relation to audit activity in relation to a financial year that ends on or after the commencement of this Schedule.</w:t>
      </w:r>
    </w:p>
    <w:p w14:paraId="7796C6B1" w14:textId="77777777" w:rsidR="00E93F58" w:rsidRPr="006E709F" w:rsidRDefault="00E93F58" w:rsidP="00A801D0">
      <w:pPr>
        <w:pStyle w:val="subsection"/>
      </w:pPr>
      <w:r w:rsidRPr="006E709F">
        <w:tab/>
        <w:t>(2)</w:t>
      </w:r>
      <w:r w:rsidRPr="006E709F">
        <w:tab/>
        <w:t>The operation of Chapter 2M of the Act is modified by omitting subsection 324CH(5) of the Act (including the subheading) and substituting the following subheading and subsection:</w:t>
      </w:r>
    </w:p>
    <w:p w14:paraId="6E517E04" w14:textId="77777777" w:rsidR="00E93F58" w:rsidRPr="006E709F" w:rsidRDefault="00E93F58" w:rsidP="002A22A4">
      <w:pPr>
        <w:pStyle w:val="SubsectionHead"/>
      </w:pPr>
      <w:r w:rsidRPr="006E709F">
        <w:t>Ordinary course of business exception</w:t>
      </w:r>
    </w:p>
    <w:p w14:paraId="475C5A43" w14:textId="77777777" w:rsidR="00E93F58" w:rsidRPr="006E709F" w:rsidRDefault="00E93F58" w:rsidP="002A22A4">
      <w:pPr>
        <w:pStyle w:val="subsection"/>
      </w:pPr>
      <w:r w:rsidRPr="006E709F">
        <w:tab/>
        <w:t>(5)</w:t>
      </w:r>
      <w:r w:rsidRPr="006E709F">
        <w:tab/>
        <w:t>For the purposes of item 15 of the table in subsection (1):</w:t>
      </w:r>
    </w:p>
    <w:p w14:paraId="3CFF8B17" w14:textId="77777777" w:rsidR="00E93F58" w:rsidRPr="006E709F" w:rsidRDefault="00E93F58" w:rsidP="002A22A4">
      <w:pPr>
        <w:pStyle w:val="paragraph"/>
      </w:pPr>
      <w:r w:rsidRPr="006E709F">
        <w:tab/>
        <w:t>(a)</w:t>
      </w:r>
      <w:r w:rsidRPr="006E709F">
        <w:tab/>
        <w:t>disregard a debt owed by an individual to a body corporate or entity if:</w:t>
      </w:r>
    </w:p>
    <w:p w14:paraId="3287C786" w14:textId="77777777" w:rsidR="00E93F58" w:rsidRPr="006E709F" w:rsidRDefault="00E93F58" w:rsidP="002A22A4">
      <w:pPr>
        <w:pStyle w:val="paragraphsub"/>
      </w:pPr>
      <w:r w:rsidRPr="006E709F">
        <w:tab/>
        <w:t>(i)</w:t>
      </w:r>
      <w:r w:rsidRPr="006E709F">
        <w:tab/>
        <w:t>the body corporate or entity is:</w:t>
      </w:r>
    </w:p>
    <w:p w14:paraId="1DFE352D" w14:textId="77777777" w:rsidR="00E93F58" w:rsidRPr="006E709F" w:rsidRDefault="00E93F58" w:rsidP="002A22A4">
      <w:pPr>
        <w:pStyle w:val="paragraphsub-sub"/>
      </w:pPr>
      <w:r w:rsidRPr="006E709F">
        <w:tab/>
        <w:t>(A)</w:t>
      </w:r>
      <w:r w:rsidRPr="006E709F">
        <w:tab/>
        <w:t>an Australian ADI; or</w:t>
      </w:r>
    </w:p>
    <w:p w14:paraId="3C4ABC7D" w14:textId="77777777" w:rsidR="00E93F58" w:rsidRPr="006E709F" w:rsidRDefault="00E93F58" w:rsidP="002A22A4">
      <w:pPr>
        <w:pStyle w:val="paragraphsub-sub"/>
      </w:pPr>
      <w:r w:rsidRPr="006E709F">
        <w:tab/>
        <w:t>(B)</w:t>
      </w:r>
      <w:r w:rsidRPr="006E709F">
        <w:tab/>
        <w:t xml:space="preserve">a body corporate registered under the </w:t>
      </w:r>
      <w:r w:rsidRPr="006E709F">
        <w:rPr>
          <w:i/>
        </w:rPr>
        <w:t>Life Insurance Act 1995</w:t>
      </w:r>
      <w:r w:rsidRPr="006E709F">
        <w:t>; and</w:t>
      </w:r>
    </w:p>
    <w:p w14:paraId="1A2DE9A5" w14:textId="77777777" w:rsidR="00E93F58" w:rsidRPr="006E709F" w:rsidRDefault="00E93F58" w:rsidP="002A22A4">
      <w:pPr>
        <w:pStyle w:val="paragraphsub"/>
      </w:pPr>
      <w:r w:rsidRPr="006E709F">
        <w:tab/>
        <w:t>(ii)</w:t>
      </w:r>
      <w:r w:rsidRPr="006E709F">
        <w:tab/>
        <w:t>the debt arose because of a loan that the body corporate or entity made to the person in the ordinary course of its ordinary business; and</w:t>
      </w:r>
    </w:p>
    <w:p w14:paraId="6E69176F" w14:textId="77777777" w:rsidR="00E93F58" w:rsidRPr="006E709F" w:rsidRDefault="00E93F58" w:rsidP="002A22A4">
      <w:pPr>
        <w:pStyle w:val="paragraphsub"/>
      </w:pPr>
      <w:r w:rsidRPr="006E709F">
        <w:tab/>
        <w:t>(iii)</w:t>
      </w:r>
      <w:r w:rsidRPr="006E709F">
        <w:tab/>
        <w:t>the person used the amount of the loan to pay the whole or part of the purchase price of premises that the person uses as their principal place of residence; and</w:t>
      </w:r>
    </w:p>
    <w:p w14:paraId="50B4FBE1" w14:textId="77777777" w:rsidR="00E93F58" w:rsidRPr="006E709F" w:rsidRDefault="00E93F58" w:rsidP="002A22A4">
      <w:pPr>
        <w:pStyle w:val="paragraph"/>
      </w:pPr>
      <w:r w:rsidRPr="006E709F">
        <w:tab/>
        <w:t>(b)</w:t>
      </w:r>
      <w:r w:rsidRPr="006E709F">
        <w:tab/>
        <w:t>disregard a debt owed by the person or firm to a body corporate or entity if:</w:t>
      </w:r>
    </w:p>
    <w:p w14:paraId="4A2FB8A2" w14:textId="77777777" w:rsidR="00E93F58" w:rsidRPr="006E709F" w:rsidRDefault="00E93F58" w:rsidP="002A22A4">
      <w:pPr>
        <w:pStyle w:val="paragraphsub"/>
      </w:pPr>
      <w:r w:rsidRPr="006E709F">
        <w:tab/>
        <w:t>(i)</w:t>
      </w:r>
      <w:r w:rsidRPr="006E709F">
        <w:tab/>
        <w:t>the debt is on normal terms and conditions, and arises from the acquisition of goods or services on normal trading terms from:</w:t>
      </w:r>
    </w:p>
    <w:p w14:paraId="23CB0D26" w14:textId="77777777" w:rsidR="00E93F58" w:rsidRPr="006E709F" w:rsidRDefault="00E93F58" w:rsidP="002A22A4">
      <w:pPr>
        <w:pStyle w:val="paragraphsub-sub"/>
      </w:pPr>
      <w:r w:rsidRPr="006E709F">
        <w:tab/>
        <w:t>(A)</w:t>
      </w:r>
      <w:r w:rsidRPr="006E709F">
        <w:tab/>
        <w:t>the audited body; or</w:t>
      </w:r>
    </w:p>
    <w:p w14:paraId="3FC42CAB" w14:textId="77777777" w:rsidR="00E93F58" w:rsidRPr="006E709F" w:rsidRDefault="00E93F58" w:rsidP="002A22A4">
      <w:pPr>
        <w:pStyle w:val="paragraphsub-sub"/>
      </w:pPr>
      <w:r w:rsidRPr="006E709F">
        <w:tab/>
        <w:t>(B)</w:t>
      </w:r>
      <w:r w:rsidRPr="006E709F">
        <w:tab/>
        <w:t>an entity that the audited body controls; or</w:t>
      </w:r>
    </w:p>
    <w:p w14:paraId="63F268FF" w14:textId="77777777" w:rsidR="00E93F58" w:rsidRPr="006E709F" w:rsidRDefault="00E93F58" w:rsidP="002A22A4">
      <w:pPr>
        <w:pStyle w:val="paragraphsub-sub"/>
      </w:pPr>
      <w:r w:rsidRPr="006E709F">
        <w:tab/>
        <w:t>(C)</w:t>
      </w:r>
      <w:r w:rsidRPr="006E709F">
        <w:tab/>
        <w:t>a related body corporate; and</w:t>
      </w:r>
    </w:p>
    <w:p w14:paraId="65B2E669" w14:textId="77777777" w:rsidR="00E93F58" w:rsidRPr="006E709F" w:rsidRDefault="00E93F58" w:rsidP="002A22A4">
      <w:pPr>
        <w:pStyle w:val="paragraphsub"/>
      </w:pPr>
      <w:r w:rsidRPr="006E709F">
        <w:tab/>
        <w:t>(ii)</w:t>
      </w:r>
      <w:r w:rsidRPr="006E709F">
        <w:tab/>
        <w:t>the goods or services will be used by the person or firm:</w:t>
      </w:r>
    </w:p>
    <w:p w14:paraId="1B3E39F1" w14:textId="77777777" w:rsidR="00E93F58" w:rsidRPr="006E709F" w:rsidRDefault="00E93F58" w:rsidP="002A22A4">
      <w:pPr>
        <w:pStyle w:val="paragraphsub-sub"/>
      </w:pPr>
      <w:r w:rsidRPr="006E709F">
        <w:tab/>
        <w:t>(A)</w:t>
      </w:r>
      <w:r w:rsidRPr="006E709F">
        <w:tab/>
        <w:t>for the personal use of the person or firm; or</w:t>
      </w:r>
    </w:p>
    <w:p w14:paraId="3D418654" w14:textId="77777777" w:rsidR="00E93F58" w:rsidRPr="006E709F" w:rsidRDefault="00E93F58" w:rsidP="002A22A4">
      <w:pPr>
        <w:pStyle w:val="paragraphsub-sub"/>
      </w:pPr>
      <w:r w:rsidRPr="006E709F">
        <w:tab/>
        <w:t>(B)</w:t>
      </w:r>
      <w:r w:rsidRPr="006E709F">
        <w:tab/>
        <w:t>in the ordinary course of business of the person or firm.</w:t>
      </w:r>
    </w:p>
    <w:p w14:paraId="15CB0BB3" w14:textId="77777777" w:rsidR="00E93F58" w:rsidRPr="006E709F" w:rsidRDefault="00E93F58" w:rsidP="00A801D0">
      <w:pPr>
        <w:pStyle w:val="ActHead5"/>
      </w:pPr>
      <w:bookmarkStart w:id="3276" w:name="_Toc151992388"/>
      <w:bookmarkStart w:id="3277" w:name="_Toc158713425"/>
      <w:r w:rsidRPr="000C4237">
        <w:rPr>
          <w:rStyle w:val="CharSectno"/>
        </w:rPr>
        <w:t>2</w:t>
      </w:r>
      <w:r w:rsidRPr="006E709F">
        <w:t xml:space="preserve">  Money owed—deposit account</w:t>
      </w:r>
      <w:bookmarkEnd w:id="3276"/>
      <w:bookmarkEnd w:id="3277"/>
    </w:p>
    <w:p w14:paraId="298C9AEF" w14:textId="77777777" w:rsidR="00E93F58" w:rsidRPr="006E709F" w:rsidRDefault="00E93F58" w:rsidP="00A801D0">
      <w:pPr>
        <w:pStyle w:val="subsection"/>
      </w:pPr>
      <w:r w:rsidRPr="006E709F">
        <w:tab/>
        <w:t>(1)</w:t>
      </w:r>
      <w:r w:rsidRPr="006E709F">
        <w:tab/>
        <w:t>Subclause (2) applies in relation to audit activity in relation to a financial year that ends on or after the commencement of this Schedule.</w:t>
      </w:r>
    </w:p>
    <w:p w14:paraId="1220928D" w14:textId="77777777" w:rsidR="00E93F58" w:rsidRPr="006E709F" w:rsidRDefault="00E93F58" w:rsidP="00A801D0">
      <w:pPr>
        <w:pStyle w:val="subsection"/>
      </w:pPr>
      <w:r w:rsidRPr="006E709F">
        <w:tab/>
        <w:t>(2)</w:t>
      </w:r>
      <w:r w:rsidRPr="006E709F">
        <w:tab/>
        <w:t>The operation of Chapter 2M of the Act is modified by omitting subsection 324CH(6) of the Act (including the subheading) and substituting the following subheading and subsection:</w:t>
      </w:r>
    </w:p>
    <w:p w14:paraId="06A2E8E4" w14:textId="77777777" w:rsidR="00E93F58" w:rsidRPr="006E709F" w:rsidRDefault="00E93F58" w:rsidP="002A22A4">
      <w:pPr>
        <w:pStyle w:val="SubsectionHead"/>
      </w:pPr>
      <w:r w:rsidRPr="006E709F">
        <w:t>Loans by immediate family members and amounts on call</w:t>
      </w:r>
    </w:p>
    <w:p w14:paraId="32CD391D" w14:textId="77777777" w:rsidR="00E93F58" w:rsidRPr="006E709F" w:rsidRDefault="00E93F58" w:rsidP="002A22A4">
      <w:pPr>
        <w:pStyle w:val="subsection"/>
      </w:pPr>
      <w:r w:rsidRPr="006E709F">
        <w:tab/>
        <w:t>(6)</w:t>
      </w:r>
      <w:r w:rsidRPr="006E709F">
        <w:tab/>
        <w:t>For the purposes of item 16 of the table in subsection (1):</w:t>
      </w:r>
    </w:p>
    <w:p w14:paraId="0614CF8D" w14:textId="77777777" w:rsidR="00E93F58" w:rsidRPr="006E709F" w:rsidRDefault="00E93F58" w:rsidP="002A22A4">
      <w:pPr>
        <w:pStyle w:val="paragraph"/>
      </w:pPr>
      <w:r w:rsidRPr="006E709F">
        <w:tab/>
        <w:t>(a)</w:t>
      </w:r>
      <w:r w:rsidRPr="006E709F">
        <w:tab/>
        <w:t>disregard a debt owed to a person by a body corporate or entity if:</w:t>
      </w:r>
    </w:p>
    <w:p w14:paraId="676B08AC" w14:textId="77777777" w:rsidR="00E93F58" w:rsidRPr="006E709F" w:rsidRDefault="00E93F58" w:rsidP="002A22A4">
      <w:pPr>
        <w:pStyle w:val="paragraphsub"/>
      </w:pPr>
      <w:r w:rsidRPr="006E709F">
        <w:tab/>
        <w:t>(i)</w:t>
      </w:r>
      <w:r w:rsidRPr="006E709F">
        <w:tab/>
        <w:t>the item applies to the person because the person is an immediate family member of:</w:t>
      </w:r>
    </w:p>
    <w:p w14:paraId="10388E05" w14:textId="77777777" w:rsidR="00E93F58" w:rsidRPr="006E709F" w:rsidRDefault="00E93F58" w:rsidP="002A22A4">
      <w:pPr>
        <w:pStyle w:val="paragraphsub-sub"/>
      </w:pPr>
      <w:r w:rsidRPr="006E709F">
        <w:tab/>
        <w:t>(A)</w:t>
      </w:r>
      <w:r w:rsidRPr="006E709F">
        <w:tab/>
        <w:t>a professional member of the audit team conducting the audit of the audited body; or</w:t>
      </w:r>
    </w:p>
    <w:p w14:paraId="64AD1FFE" w14:textId="77777777" w:rsidR="00E93F58" w:rsidRPr="006E709F" w:rsidRDefault="00E93F58" w:rsidP="002A22A4">
      <w:pPr>
        <w:pStyle w:val="paragraphsub-sub"/>
      </w:pPr>
      <w:r w:rsidRPr="006E709F">
        <w:tab/>
        <w:t>(B)</w:t>
      </w:r>
      <w:r w:rsidRPr="006E709F">
        <w:tab/>
        <w:t>a non</w:t>
      </w:r>
      <w:r>
        <w:noBreakHyphen/>
      </w:r>
      <w:r w:rsidRPr="006E709F">
        <w:t>audit services provider; and</w:t>
      </w:r>
    </w:p>
    <w:p w14:paraId="60B14CBB" w14:textId="77777777" w:rsidR="00E93F58" w:rsidRPr="006E709F" w:rsidRDefault="00E93F58" w:rsidP="002A22A4">
      <w:pPr>
        <w:pStyle w:val="paragraphsub"/>
      </w:pPr>
      <w:r w:rsidRPr="006E709F">
        <w:tab/>
        <w:t>(ii)</w:t>
      </w:r>
      <w:r w:rsidRPr="006E709F">
        <w:tab/>
        <w:t>the debt is incurred in the ordinary course of business of the body corporate or entity; and</w:t>
      </w:r>
    </w:p>
    <w:p w14:paraId="0CD98CA3" w14:textId="77777777" w:rsidR="00E93F58" w:rsidRPr="006E709F" w:rsidRDefault="00E93F58" w:rsidP="002A22A4">
      <w:pPr>
        <w:pStyle w:val="paragraph"/>
      </w:pPr>
      <w:r w:rsidRPr="006E709F">
        <w:tab/>
        <w:t>(b)</w:t>
      </w:r>
      <w:r w:rsidRPr="006E709F">
        <w:tab/>
        <w:t>disregard an amount owed to the person or firm by the audited body, a related body corporate or an entity that the audited body controls if:</w:t>
      </w:r>
    </w:p>
    <w:p w14:paraId="10F4EF82" w14:textId="77777777" w:rsidR="00E93F58" w:rsidRPr="006E709F" w:rsidRDefault="00E93F58" w:rsidP="002A22A4">
      <w:pPr>
        <w:pStyle w:val="paragraphsub"/>
      </w:pPr>
      <w:r w:rsidRPr="006E709F">
        <w:tab/>
        <w:t>(i)</w:t>
      </w:r>
      <w:r w:rsidRPr="006E709F">
        <w:tab/>
        <w:t>the body, body corporate or entity is an Australian ADI; and</w:t>
      </w:r>
    </w:p>
    <w:p w14:paraId="1F94FABC" w14:textId="77777777" w:rsidR="00E93F58" w:rsidRPr="006E709F" w:rsidRDefault="00E93F58" w:rsidP="002A22A4">
      <w:pPr>
        <w:pStyle w:val="paragraphsub"/>
      </w:pPr>
      <w:r w:rsidRPr="006E709F">
        <w:tab/>
        <w:t>(ii)</w:t>
      </w:r>
      <w:r w:rsidRPr="006E709F">
        <w:tab/>
        <w:t>the amount is in a basic deposit product provided by the body, body corporate or entity; and</w:t>
      </w:r>
    </w:p>
    <w:p w14:paraId="3163D417" w14:textId="77777777" w:rsidR="00E93F58" w:rsidRPr="006E709F" w:rsidRDefault="00E93F58" w:rsidP="001A78D8">
      <w:pPr>
        <w:pStyle w:val="paragraphsub"/>
        <w:keepNext/>
        <w:keepLines/>
      </w:pPr>
      <w:r w:rsidRPr="006E709F">
        <w:lastRenderedPageBreak/>
        <w:tab/>
        <w:t>(iii)</w:t>
      </w:r>
      <w:r w:rsidRPr="006E709F">
        <w:tab/>
        <w:t>the amount was deposited in the ordinary course of the business of the audited body, body corporate or entity, and on the terms and conditions that normally apply to basic deposit products provided by the body, body corporate or entity.</w:t>
      </w:r>
    </w:p>
    <w:p w14:paraId="5DCC4F5E" w14:textId="77777777" w:rsidR="00E93F58" w:rsidRPr="006E709F" w:rsidRDefault="00E93F58" w:rsidP="00A801D0">
      <w:pPr>
        <w:pStyle w:val="ActHead5"/>
      </w:pPr>
      <w:bookmarkStart w:id="3278" w:name="_Toc151992389"/>
      <w:bookmarkStart w:id="3279" w:name="_Toc158713426"/>
      <w:r w:rsidRPr="000C4237">
        <w:rPr>
          <w:rStyle w:val="CharSectno"/>
        </w:rPr>
        <w:t>3</w:t>
      </w:r>
      <w:r w:rsidRPr="006E709F">
        <w:t xml:space="preserve">  Public company auditor (annual appointments at AGMs to fill vacancies)</w:t>
      </w:r>
      <w:bookmarkEnd w:id="3278"/>
      <w:bookmarkEnd w:id="3279"/>
    </w:p>
    <w:p w14:paraId="020DC143" w14:textId="77777777" w:rsidR="00E93F58" w:rsidRPr="006E709F" w:rsidRDefault="00E93F58" w:rsidP="00A801D0">
      <w:pPr>
        <w:pStyle w:val="subsection"/>
      </w:pPr>
      <w:r w:rsidRPr="006E709F">
        <w:tab/>
        <w:t>(1)</w:t>
      </w:r>
      <w:r w:rsidRPr="006E709F">
        <w:tab/>
        <w:t>Subclause (2) applies to:</w:t>
      </w:r>
    </w:p>
    <w:p w14:paraId="64BBE155" w14:textId="77777777" w:rsidR="00E93F58" w:rsidRPr="006E709F" w:rsidRDefault="00E93F58" w:rsidP="00A801D0">
      <w:pPr>
        <w:pStyle w:val="paragraph"/>
      </w:pPr>
      <w:r w:rsidRPr="006E709F">
        <w:tab/>
        <w:t>(a)</w:t>
      </w:r>
      <w:r w:rsidRPr="006E709F">
        <w:tab/>
        <w:t>all companies; and</w:t>
      </w:r>
    </w:p>
    <w:p w14:paraId="16C06A5A" w14:textId="77777777" w:rsidR="00E93F58" w:rsidRPr="006E709F" w:rsidRDefault="00E93F58" w:rsidP="00A801D0">
      <w:pPr>
        <w:pStyle w:val="paragraph"/>
      </w:pPr>
      <w:r w:rsidRPr="006E709F">
        <w:tab/>
        <w:t>(b)</w:t>
      </w:r>
      <w:r w:rsidRPr="006E709F">
        <w:tab/>
        <w:t>all registered schemes; and</w:t>
      </w:r>
    </w:p>
    <w:p w14:paraId="6EBCBB76" w14:textId="77777777" w:rsidR="00E93F58" w:rsidRPr="006E709F" w:rsidRDefault="00E93F58" w:rsidP="00A801D0">
      <w:pPr>
        <w:pStyle w:val="paragraph"/>
      </w:pPr>
      <w:r w:rsidRPr="006E709F">
        <w:tab/>
        <w:t>(c)</w:t>
      </w:r>
      <w:r w:rsidRPr="006E709F">
        <w:tab/>
        <w:t>all disclosing entities;</w:t>
      </w:r>
    </w:p>
    <w:p w14:paraId="5970839E" w14:textId="77777777" w:rsidR="00E93F58" w:rsidRPr="006E709F" w:rsidRDefault="00E93F58" w:rsidP="00A801D0">
      <w:pPr>
        <w:pStyle w:val="subsection2"/>
      </w:pPr>
      <w:r w:rsidRPr="006E709F">
        <w:t>only in relation to audit activity that is conducted on or after the commencement of this Schedule.</w:t>
      </w:r>
    </w:p>
    <w:p w14:paraId="4C763803" w14:textId="77777777" w:rsidR="00E93F58" w:rsidRPr="006E709F" w:rsidRDefault="00E93F58" w:rsidP="00A801D0">
      <w:pPr>
        <w:pStyle w:val="subsection"/>
      </w:pPr>
      <w:r w:rsidRPr="006E709F">
        <w:tab/>
        <w:t>(2)</w:t>
      </w:r>
      <w:r w:rsidRPr="006E709F">
        <w:tab/>
        <w:t>The operation of Chapter 2M of the Act is modified by omitting from subsections 327B(2A), (2B) and (2C) of the Act “21 days” and inserting “21 days, or such longer period as ASIC allows,”.</w:t>
      </w:r>
    </w:p>
    <w:p w14:paraId="02069E29" w14:textId="77777777" w:rsidR="00E93F58" w:rsidRPr="006E709F" w:rsidRDefault="00E93F58" w:rsidP="002F332A">
      <w:pPr>
        <w:pStyle w:val="ActHead1"/>
        <w:pageBreakBefore/>
        <w:spacing w:before="120"/>
      </w:pPr>
      <w:bookmarkStart w:id="3280" w:name="_Toc151992390"/>
      <w:bookmarkStart w:id="3281" w:name="_Toc158713427"/>
      <w:r w:rsidRPr="000C4237">
        <w:rPr>
          <w:rStyle w:val="CharChapNo"/>
        </w:rPr>
        <w:lastRenderedPageBreak/>
        <w:t>Schedule 6</w:t>
      </w:r>
      <w:r w:rsidRPr="006E709F">
        <w:t>—</w:t>
      </w:r>
      <w:r w:rsidRPr="000C4237">
        <w:rPr>
          <w:rStyle w:val="CharChapText"/>
        </w:rPr>
        <w:t>Availability of names</w:t>
      </w:r>
      <w:bookmarkEnd w:id="3280"/>
      <w:bookmarkEnd w:id="3281"/>
    </w:p>
    <w:p w14:paraId="52EE409E" w14:textId="77777777" w:rsidR="00E93F58" w:rsidRPr="006E709F" w:rsidRDefault="00E93F58" w:rsidP="00A801D0">
      <w:pPr>
        <w:pStyle w:val="notemargin"/>
      </w:pPr>
      <w:r w:rsidRPr="006E709F">
        <w:t>(regulations 2B.6.01, 2B.6.02, 5B.3.01, 5B.3.02 and 8A.4.10)</w:t>
      </w:r>
    </w:p>
    <w:p w14:paraId="1931D04F" w14:textId="77777777" w:rsidR="00E93F58" w:rsidRPr="006E709F" w:rsidRDefault="00E93F58" w:rsidP="00A801D0">
      <w:pPr>
        <w:pStyle w:val="ActHead2"/>
      </w:pPr>
      <w:bookmarkStart w:id="3282" w:name="_Toc151992391"/>
      <w:bookmarkStart w:id="3283" w:name="_Toc158713428"/>
      <w:r w:rsidRPr="000C4237">
        <w:rPr>
          <w:rStyle w:val="CharPartNo"/>
        </w:rPr>
        <w:t>Part 1</w:t>
      </w:r>
      <w:r w:rsidRPr="006E709F">
        <w:t>—</w:t>
      </w:r>
      <w:r w:rsidRPr="000C4237">
        <w:rPr>
          <w:rStyle w:val="CharPartText"/>
        </w:rPr>
        <w:t>Rules for ascertaining whether names are identical</w:t>
      </w:r>
      <w:bookmarkEnd w:id="3282"/>
      <w:bookmarkEnd w:id="3283"/>
    </w:p>
    <w:p w14:paraId="27112830" w14:textId="77777777" w:rsidR="00E93F58" w:rsidRPr="006E709F" w:rsidRDefault="00E93F58" w:rsidP="00042A1F">
      <w:pPr>
        <w:pStyle w:val="ItemHead"/>
      </w:pPr>
      <w:r w:rsidRPr="006E709F">
        <w:t xml:space="preserve">6101  </w:t>
      </w:r>
    </w:p>
    <w:p w14:paraId="583F89D6" w14:textId="77777777" w:rsidR="00E93F58" w:rsidRPr="006E709F" w:rsidRDefault="00E93F58" w:rsidP="00A801D0">
      <w:pPr>
        <w:pStyle w:val="subsection"/>
      </w:pPr>
      <w:r w:rsidRPr="006E709F">
        <w:tab/>
      </w:r>
      <w:r w:rsidRPr="006E709F">
        <w:tab/>
        <w:t>In comparing one name with another for paragraph 147(1)(a) or (b) or 601DC(1)(a) or (b) or for subparagraph 1213B(5)(a)(i), (ii), (iii) or (iv) of the Act, the following matters are to be disregarded:</w:t>
      </w:r>
    </w:p>
    <w:p w14:paraId="1897ACC3" w14:textId="77777777" w:rsidR="00E93F58" w:rsidRPr="006E709F" w:rsidRDefault="00E93F58" w:rsidP="00A801D0">
      <w:pPr>
        <w:pStyle w:val="paragraph"/>
      </w:pPr>
      <w:r w:rsidRPr="006E709F">
        <w:tab/>
        <w:t>(a)</w:t>
      </w:r>
      <w:r w:rsidRPr="006E709F">
        <w:tab/>
        <w:t>the use of the definite or indefinite article as the first word in one or both of those names;</w:t>
      </w:r>
    </w:p>
    <w:p w14:paraId="0DCB7C66" w14:textId="77777777" w:rsidR="00E93F58" w:rsidRPr="006E709F" w:rsidRDefault="00E93F58" w:rsidP="00A801D0">
      <w:pPr>
        <w:pStyle w:val="paragraph"/>
      </w:pPr>
      <w:r w:rsidRPr="006E709F">
        <w:tab/>
        <w:t>(b)</w:t>
      </w:r>
      <w:r w:rsidRPr="006E709F">
        <w:tab/>
        <w:t>the use of ‘Proprietary’, ‘Pty’, ‘Limited’, ‘Ltd’, ‘No Liability’ or ‘NL’ in one or both of the names;</w:t>
      </w:r>
    </w:p>
    <w:p w14:paraId="52701A70" w14:textId="77777777" w:rsidR="00E93F58" w:rsidRPr="006E709F" w:rsidRDefault="00E93F58" w:rsidP="00A801D0">
      <w:pPr>
        <w:pStyle w:val="paragraph"/>
      </w:pPr>
      <w:r w:rsidRPr="006E709F">
        <w:tab/>
        <w:t>(c)</w:t>
      </w:r>
      <w:r w:rsidRPr="006E709F">
        <w:tab/>
        <w:t>whether a word is in the plural or singular number in one or both names;</w:t>
      </w:r>
    </w:p>
    <w:p w14:paraId="31B31C2C" w14:textId="77777777" w:rsidR="00E93F58" w:rsidRPr="006E709F" w:rsidRDefault="00E93F58" w:rsidP="00A801D0">
      <w:pPr>
        <w:pStyle w:val="paragraph"/>
      </w:pPr>
      <w:r w:rsidRPr="006E709F">
        <w:tab/>
        <w:t>(d)</w:t>
      </w:r>
      <w:r w:rsidRPr="006E709F">
        <w:tab/>
        <w:t>the type, size and case of letters, the size of any numbers or other characters, and any accents, spaces between letters, numbers or characters, and punctuation marks, used in one or both names;</w:t>
      </w:r>
    </w:p>
    <w:p w14:paraId="3F4C8386" w14:textId="77777777" w:rsidR="00E93F58" w:rsidRPr="006E709F" w:rsidRDefault="00E93F58" w:rsidP="00A801D0">
      <w:pPr>
        <w:pStyle w:val="paragraph"/>
      </w:pPr>
      <w:r w:rsidRPr="006E709F">
        <w:tab/>
        <w:t>(e)</w:t>
      </w:r>
      <w:r w:rsidRPr="006E709F">
        <w:tab/>
        <w:t>the fact that one name contains a word or expression in column 2 of the following table and the other name contains an alternative for that word or expression in column 3:</w:t>
      </w:r>
    </w:p>
    <w:p w14:paraId="755E86B7"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310"/>
        <w:gridCol w:w="4729"/>
        <w:gridCol w:w="3734"/>
      </w:tblGrid>
      <w:tr w:rsidR="00E93F58" w:rsidRPr="006E709F" w14:paraId="6572EACA" w14:textId="77777777" w:rsidTr="00E118FA">
        <w:trPr>
          <w:tblHeader/>
        </w:trPr>
        <w:tc>
          <w:tcPr>
            <w:tcW w:w="1072" w:type="pct"/>
            <w:tcBorders>
              <w:top w:val="single" w:sz="12" w:space="0" w:color="auto"/>
              <w:bottom w:val="single" w:sz="12" w:space="0" w:color="auto"/>
            </w:tcBorders>
            <w:shd w:val="clear" w:color="auto" w:fill="auto"/>
          </w:tcPr>
          <w:p w14:paraId="46630EEB" w14:textId="77777777" w:rsidR="00E93F58" w:rsidRPr="006E709F" w:rsidRDefault="00E93F58" w:rsidP="007678F7">
            <w:pPr>
              <w:pStyle w:val="TableHeading"/>
            </w:pPr>
            <w:r w:rsidRPr="006E709F">
              <w:t>Column 1</w:t>
            </w:r>
          </w:p>
          <w:p w14:paraId="614031B3" w14:textId="77777777" w:rsidR="00E93F58" w:rsidRPr="006E709F" w:rsidRDefault="00E93F58" w:rsidP="007678F7">
            <w:pPr>
              <w:pStyle w:val="TableHeading"/>
            </w:pPr>
            <w:r w:rsidRPr="006E709F">
              <w:t>Item</w:t>
            </w:r>
          </w:p>
        </w:tc>
        <w:tc>
          <w:tcPr>
            <w:tcW w:w="2195" w:type="pct"/>
            <w:tcBorders>
              <w:top w:val="single" w:sz="12" w:space="0" w:color="auto"/>
              <w:bottom w:val="single" w:sz="12" w:space="0" w:color="auto"/>
            </w:tcBorders>
            <w:shd w:val="clear" w:color="auto" w:fill="auto"/>
          </w:tcPr>
          <w:p w14:paraId="76BF822E" w14:textId="77777777" w:rsidR="00E93F58" w:rsidRPr="006E709F" w:rsidRDefault="00E93F58" w:rsidP="007678F7">
            <w:pPr>
              <w:pStyle w:val="TableHeading"/>
            </w:pPr>
            <w:r w:rsidRPr="006E709F">
              <w:t>Column 2</w:t>
            </w:r>
          </w:p>
          <w:p w14:paraId="2BF21CF7" w14:textId="77777777" w:rsidR="00E93F58" w:rsidRPr="006E709F" w:rsidRDefault="00E93F58" w:rsidP="007678F7">
            <w:pPr>
              <w:pStyle w:val="TableHeading"/>
            </w:pPr>
            <w:r w:rsidRPr="006E709F">
              <w:t>Word or expression</w:t>
            </w:r>
          </w:p>
        </w:tc>
        <w:tc>
          <w:tcPr>
            <w:tcW w:w="1733" w:type="pct"/>
            <w:tcBorders>
              <w:top w:val="single" w:sz="12" w:space="0" w:color="auto"/>
              <w:bottom w:val="single" w:sz="12" w:space="0" w:color="auto"/>
            </w:tcBorders>
            <w:shd w:val="clear" w:color="auto" w:fill="auto"/>
          </w:tcPr>
          <w:p w14:paraId="024E0C1F" w14:textId="77777777" w:rsidR="00E93F58" w:rsidRPr="006E709F" w:rsidRDefault="00E93F58" w:rsidP="007678F7">
            <w:pPr>
              <w:pStyle w:val="TableHeading"/>
            </w:pPr>
            <w:r w:rsidRPr="006E709F">
              <w:t>Column 3</w:t>
            </w:r>
          </w:p>
          <w:p w14:paraId="0733B351" w14:textId="77777777" w:rsidR="00E93F58" w:rsidRPr="006E709F" w:rsidRDefault="00E93F58" w:rsidP="007678F7">
            <w:pPr>
              <w:pStyle w:val="TableHeading"/>
            </w:pPr>
            <w:r w:rsidRPr="006E709F">
              <w:t>Alternative</w:t>
            </w:r>
          </w:p>
        </w:tc>
      </w:tr>
      <w:tr w:rsidR="00E93F58" w:rsidRPr="006E709F" w14:paraId="71945958" w14:textId="77777777" w:rsidTr="00E118FA">
        <w:tc>
          <w:tcPr>
            <w:tcW w:w="1072" w:type="pct"/>
            <w:tcBorders>
              <w:top w:val="single" w:sz="12" w:space="0" w:color="auto"/>
            </w:tcBorders>
            <w:shd w:val="clear" w:color="auto" w:fill="auto"/>
          </w:tcPr>
          <w:p w14:paraId="04A63958" w14:textId="77777777" w:rsidR="00E93F58" w:rsidRPr="006E709F" w:rsidRDefault="00E93F58" w:rsidP="00A801D0">
            <w:pPr>
              <w:pStyle w:val="Tabletext"/>
            </w:pPr>
            <w:r w:rsidRPr="006E709F">
              <w:t>1</w:t>
            </w:r>
          </w:p>
        </w:tc>
        <w:tc>
          <w:tcPr>
            <w:tcW w:w="2195" w:type="pct"/>
            <w:tcBorders>
              <w:top w:val="single" w:sz="12" w:space="0" w:color="auto"/>
            </w:tcBorders>
            <w:shd w:val="clear" w:color="auto" w:fill="auto"/>
          </w:tcPr>
          <w:p w14:paraId="77F293B9" w14:textId="77777777" w:rsidR="00E93F58" w:rsidRPr="006E709F" w:rsidRDefault="00E93F58" w:rsidP="00A801D0">
            <w:pPr>
              <w:pStyle w:val="Tabletext"/>
            </w:pPr>
            <w:r w:rsidRPr="006E709F">
              <w:t>Australian</w:t>
            </w:r>
          </w:p>
        </w:tc>
        <w:tc>
          <w:tcPr>
            <w:tcW w:w="1733" w:type="pct"/>
            <w:tcBorders>
              <w:top w:val="single" w:sz="12" w:space="0" w:color="auto"/>
            </w:tcBorders>
            <w:shd w:val="clear" w:color="auto" w:fill="auto"/>
          </w:tcPr>
          <w:p w14:paraId="301A073C" w14:textId="77777777" w:rsidR="00E93F58" w:rsidRPr="006E709F" w:rsidRDefault="00E93F58" w:rsidP="00A801D0">
            <w:pPr>
              <w:pStyle w:val="Tabletext"/>
            </w:pPr>
            <w:r w:rsidRPr="006E709F">
              <w:t>Aust</w:t>
            </w:r>
          </w:p>
        </w:tc>
      </w:tr>
      <w:tr w:rsidR="00E93F58" w:rsidRPr="006E709F" w14:paraId="22ACECF3" w14:textId="77777777" w:rsidTr="00E118FA">
        <w:tc>
          <w:tcPr>
            <w:tcW w:w="1072" w:type="pct"/>
            <w:shd w:val="clear" w:color="auto" w:fill="auto"/>
          </w:tcPr>
          <w:p w14:paraId="633468EC" w14:textId="77777777" w:rsidR="00E93F58" w:rsidRPr="006E709F" w:rsidRDefault="00E93F58" w:rsidP="00A801D0">
            <w:pPr>
              <w:pStyle w:val="Tabletext"/>
            </w:pPr>
            <w:r w:rsidRPr="006E709F">
              <w:t>2</w:t>
            </w:r>
          </w:p>
        </w:tc>
        <w:tc>
          <w:tcPr>
            <w:tcW w:w="2195" w:type="pct"/>
            <w:shd w:val="clear" w:color="auto" w:fill="auto"/>
          </w:tcPr>
          <w:p w14:paraId="6CAA0B8F" w14:textId="77777777" w:rsidR="00E93F58" w:rsidRPr="006E709F" w:rsidRDefault="00E93F58" w:rsidP="00A801D0">
            <w:pPr>
              <w:pStyle w:val="Tabletext"/>
            </w:pPr>
            <w:r w:rsidRPr="006E709F">
              <w:t>Company</w:t>
            </w:r>
          </w:p>
        </w:tc>
        <w:tc>
          <w:tcPr>
            <w:tcW w:w="1733" w:type="pct"/>
            <w:shd w:val="clear" w:color="auto" w:fill="auto"/>
          </w:tcPr>
          <w:p w14:paraId="528A6762" w14:textId="77777777" w:rsidR="00E93F58" w:rsidRPr="006E709F" w:rsidRDefault="00E93F58" w:rsidP="00A801D0">
            <w:pPr>
              <w:pStyle w:val="Tabletext"/>
            </w:pPr>
            <w:r w:rsidRPr="006E709F">
              <w:t xml:space="preserve">Co </w:t>
            </w:r>
            <w:r w:rsidRPr="006E709F">
              <w:rPr>
                <w:i/>
              </w:rPr>
              <w:t xml:space="preserve">or </w:t>
            </w:r>
            <w:r w:rsidRPr="006E709F">
              <w:t>Coy</w:t>
            </w:r>
          </w:p>
        </w:tc>
      </w:tr>
      <w:tr w:rsidR="00E93F58" w:rsidRPr="006E709F" w14:paraId="4DAD350D" w14:textId="77777777" w:rsidTr="00E118FA">
        <w:tc>
          <w:tcPr>
            <w:tcW w:w="1072" w:type="pct"/>
            <w:shd w:val="clear" w:color="auto" w:fill="auto"/>
          </w:tcPr>
          <w:p w14:paraId="5F0AF1A7" w14:textId="77777777" w:rsidR="00E93F58" w:rsidRPr="006E709F" w:rsidRDefault="00E93F58" w:rsidP="00A801D0">
            <w:pPr>
              <w:pStyle w:val="Tabletext"/>
            </w:pPr>
            <w:r w:rsidRPr="006E709F">
              <w:t>3</w:t>
            </w:r>
          </w:p>
        </w:tc>
        <w:tc>
          <w:tcPr>
            <w:tcW w:w="2195" w:type="pct"/>
            <w:shd w:val="clear" w:color="auto" w:fill="auto"/>
          </w:tcPr>
          <w:p w14:paraId="41E58988" w14:textId="77777777" w:rsidR="00E93F58" w:rsidRPr="006E709F" w:rsidRDefault="00E93F58" w:rsidP="00A801D0">
            <w:pPr>
              <w:pStyle w:val="Tabletext"/>
            </w:pPr>
            <w:r w:rsidRPr="006E709F">
              <w:t>Co</w:t>
            </w:r>
          </w:p>
        </w:tc>
        <w:tc>
          <w:tcPr>
            <w:tcW w:w="1733" w:type="pct"/>
            <w:shd w:val="clear" w:color="auto" w:fill="auto"/>
          </w:tcPr>
          <w:p w14:paraId="1DD9F588" w14:textId="77777777" w:rsidR="00E93F58" w:rsidRPr="006E709F" w:rsidRDefault="00E93F58" w:rsidP="00A801D0">
            <w:pPr>
              <w:pStyle w:val="Tabletext"/>
            </w:pPr>
            <w:r w:rsidRPr="006E709F">
              <w:t xml:space="preserve">Company </w:t>
            </w:r>
            <w:r w:rsidRPr="006E709F">
              <w:rPr>
                <w:i/>
              </w:rPr>
              <w:t>or</w:t>
            </w:r>
            <w:r w:rsidRPr="006E709F">
              <w:t xml:space="preserve"> Coy</w:t>
            </w:r>
          </w:p>
        </w:tc>
      </w:tr>
      <w:tr w:rsidR="00E93F58" w:rsidRPr="006E709F" w14:paraId="510F13B5" w14:textId="77777777" w:rsidTr="00E118FA">
        <w:tc>
          <w:tcPr>
            <w:tcW w:w="1072" w:type="pct"/>
            <w:shd w:val="clear" w:color="auto" w:fill="auto"/>
          </w:tcPr>
          <w:p w14:paraId="08D91AFA" w14:textId="77777777" w:rsidR="00E93F58" w:rsidRPr="006E709F" w:rsidRDefault="00E93F58" w:rsidP="00A801D0">
            <w:pPr>
              <w:pStyle w:val="Tabletext"/>
            </w:pPr>
            <w:r w:rsidRPr="006E709F">
              <w:t>4</w:t>
            </w:r>
          </w:p>
        </w:tc>
        <w:tc>
          <w:tcPr>
            <w:tcW w:w="2195" w:type="pct"/>
            <w:shd w:val="clear" w:color="auto" w:fill="auto"/>
          </w:tcPr>
          <w:p w14:paraId="0BECA7D7" w14:textId="77777777" w:rsidR="00E93F58" w:rsidRPr="006E709F" w:rsidRDefault="00E93F58" w:rsidP="00A801D0">
            <w:pPr>
              <w:pStyle w:val="Tabletext"/>
            </w:pPr>
            <w:r w:rsidRPr="006E709F">
              <w:t>Coy</w:t>
            </w:r>
          </w:p>
        </w:tc>
        <w:tc>
          <w:tcPr>
            <w:tcW w:w="1733" w:type="pct"/>
            <w:shd w:val="clear" w:color="auto" w:fill="auto"/>
          </w:tcPr>
          <w:p w14:paraId="10EF8D5E" w14:textId="77777777" w:rsidR="00E93F58" w:rsidRPr="006E709F" w:rsidRDefault="00E93F58" w:rsidP="00A801D0">
            <w:pPr>
              <w:pStyle w:val="Tabletext"/>
            </w:pPr>
            <w:r w:rsidRPr="006E709F">
              <w:t xml:space="preserve">Company </w:t>
            </w:r>
            <w:r w:rsidRPr="006E709F">
              <w:rPr>
                <w:i/>
              </w:rPr>
              <w:t>or</w:t>
            </w:r>
            <w:r w:rsidRPr="006E709F">
              <w:t xml:space="preserve"> Co</w:t>
            </w:r>
          </w:p>
        </w:tc>
      </w:tr>
      <w:tr w:rsidR="00E93F58" w:rsidRPr="006E709F" w14:paraId="62E3A374" w14:textId="77777777" w:rsidTr="00E118FA">
        <w:tc>
          <w:tcPr>
            <w:tcW w:w="1072" w:type="pct"/>
            <w:shd w:val="clear" w:color="auto" w:fill="auto"/>
          </w:tcPr>
          <w:p w14:paraId="4A73E84F" w14:textId="77777777" w:rsidR="00E93F58" w:rsidRPr="006E709F" w:rsidRDefault="00E93F58" w:rsidP="00A801D0">
            <w:pPr>
              <w:pStyle w:val="Tabletext"/>
            </w:pPr>
            <w:r w:rsidRPr="006E709F">
              <w:t>5</w:t>
            </w:r>
          </w:p>
        </w:tc>
        <w:tc>
          <w:tcPr>
            <w:tcW w:w="2195" w:type="pct"/>
            <w:shd w:val="clear" w:color="auto" w:fill="auto"/>
          </w:tcPr>
          <w:p w14:paraId="5BA40B92" w14:textId="77777777" w:rsidR="00E93F58" w:rsidRPr="006E709F" w:rsidRDefault="00E93F58" w:rsidP="00A801D0">
            <w:pPr>
              <w:pStyle w:val="Tabletext"/>
            </w:pPr>
            <w:r w:rsidRPr="006E709F">
              <w:t>Number</w:t>
            </w:r>
          </w:p>
        </w:tc>
        <w:tc>
          <w:tcPr>
            <w:tcW w:w="1733" w:type="pct"/>
            <w:shd w:val="clear" w:color="auto" w:fill="auto"/>
          </w:tcPr>
          <w:p w14:paraId="3F5CB6F5" w14:textId="77777777" w:rsidR="00E93F58" w:rsidRPr="006E709F" w:rsidRDefault="00E93F58" w:rsidP="00A801D0">
            <w:pPr>
              <w:pStyle w:val="Tabletext"/>
            </w:pPr>
            <w:r w:rsidRPr="006E709F">
              <w:t>No</w:t>
            </w:r>
          </w:p>
        </w:tc>
      </w:tr>
      <w:tr w:rsidR="00E93F58" w:rsidRPr="006E709F" w14:paraId="0F0F14F5" w14:textId="77777777" w:rsidTr="00E118FA">
        <w:tc>
          <w:tcPr>
            <w:tcW w:w="1072" w:type="pct"/>
            <w:shd w:val="clear" w:color="auto" w:fill="auto"/>
          </w:tcPr>
          <w:p w14:paraId="520279CC" w14:textId="77777777" w:rsidR="00E93F58" w:rsidRPr="006E709F" w:rsidRDefault="00E93F58" w:rsidP="00A801D0">
            <w:pPr>
              <w:pStyle w:val="Tabletext"/>
            </w:pPr>
            <w:r w:rsidRPr="006E709F">
              <w:t>6</w:t>
            </w:r>
          </w:p>
        </w:tc>
        <w:tc>
          <w:tcPr>
            <w:tcW w:w="2195" w:type="pct"/>
            <w:shd w:val="clear" w:color="auto" w:fill="auto"/>
          </w:tcPr>
          <w:p w14:paraId="44076D16" w14:textId="77777777" w:rsidR="00E93F58" w:rsidRPr="006E709F" w:rsidRDefault="00E93F58" w:rsidP="00A801D0">
            <w:pPr>
              <w:pStyle w:val="Tabletext"/>
            </w:pPr>
            <w:r w:rsidRPr="006E709F">
              <w:t>and</w:t>
            </w:r>
          </w:p>
        </w:tc>
        <w:tc>
          <w:tcPr>
            <w:tcW w:w="1733" w:type="pct"/>
            <w:shd w:val="clear" w:color="auto" w:fill="auto"/>
          </w:tcPr>
          <w:p w14:paraId="6BF0C6FF" w14:textId="77777777" w:rsidR="00E93F58" w:rsidRPr="006E709F" w:rsidRDefault="00E93F58" w:rsidP="00A801D0">
            <w:pPr>
              <w:pStyle w:val="Tabletext"/>
            </w:pPr>
            <w:r w:rsidRPr="006E709F">
              <w:t>&amp;</w:t>
            </w:r>
          </w:p>
        </w:tc>
      </w:tr>
      <w:tr w:rsidR="00E93F58" w:rsidRPr="006E709F" w14:paraId="37FDD934" w14:textId="77777777" w:rsidTr="00E118FA">
        <w:tc>
          <w:tcPr>
            <w:tcW w:w="1072" w:type="pct"/>
            <w:tcBorders>
              <w:bottom w:val="single" w:sz="4" w:space="0" w:color="auto"/>
            </w:tcBorders>
            <w:shd w:val="clear" w:color="auto" w:fill="auto"/>
          </w:tcPr>
          <w:p w14:paraId="50A3B945" w14:textId="77777777" w:rsidR="00E93F58" w:rsidRPr="006E709F" w:rsidRDefault="00E93F58" w:rsidP="00A801D0">
            <w:pPr>
              <w:pStyle w:val="Tabletext"/>
            </w:pPr>
            <w:r w:rsidRPr="006E709F">
              <w:t>7</w:t>
            </w:r>
          </w:p>
        </w:tc>
        <w:tc>
          <w:tcPr>
            <w:tcW w:w="2195" w:type="pct"/>
            <w:tcBorders>
              <w:bottom w:val="single" w:sz="4" w:space="0" w:color="auto"/>
            </w:tcBorders>
            <w:shd w:val="clear" w:color="auto" w:fill="auto"/>
          </w:tcPr>
          <w:p w14:paraId="340763BC" w14:textId="77777777" w:rsidR="00E93F58" w:rsidRPr="006E709F" w:rsidRDefault="00E93F58" w:rsidP="00A801D0">
            <w:pPr>
              <w:pStyle w:val="Tabletext"/>
            </w:pPr>
            <w:r w:rsidRPr="006E709F">
              <w:t>Incorporated</w:t>
            </w:r>
          </w:p>
        </w:tc>
        <w:tc>
          <w:tcPr>
            <w:tcW w:w="1733" w:type="pct"/>
            <w:tcBorders>
              <w:bottom w:val="single" w:sz="4" w:space="0" w:color="auto"/>
            </w:tcBorders>
            <w:shd w:val="clear" w:color="auto" w:fill="auto"/>
          </w:tcPr>
          <w:p w14:paraId="1A89EAB5" w14:textId="77777777" w:rsidR="00E93F58" w:rsidRPr="006E709F" w:rsidRDefault="00E93F58" w:rsidP="00A801D0">
            <w:pPr>
              <w:pStyle w:val="Tabletext"/>
            </w:pPr>
            <w:r w:rsidRPr="006E709F">
              <w:t>Inc</w:t>
            </w:r>
          </w:p>
        </w:tc>
      </w:tr>
      <w:tr w:rsidR="00E93F58" w:rsidRPr="006E709F" w14:paraId="2386B76D" w14:textId="77777777" w:rsidTr="00E118FA">
        <w:tc>
          <w:tcPr>
            <w:tcW w:w="1072" w:type="pct"/>
            <w:tcBorders>
              <w:bottom w:val="single" w:sz="4" w:space="0" w:color="auto"/>
            </w:tcBorders>
            <w:shd w:val="clear" w:color="auto" w:fill="auto"/>
          </w:tcPr>
          <w:p w14:paraId="20826341" w14:textId="77777777" w:rsidR="00E93F58" w:rsidRPr="006E709F" w:rsidRDefault="00E93F58" w:rsidP="00A801D0">
            <w:pPr>
              <w:pStyle w:val="Tabletext"/>
            </w:pPr>
            <w:r w:rsidRPr="006E709F">
              <w:t>8</w:t>
            </w:r>
          </w:p>
        </w:tc>
        <w:tc>
          <w:tcPr>
            <w:tcW w:w="2195" w:type="pct"/>
            <w:tcBorders>
              <w:bottom w:val="single" w:sz="4" w:space="0" w:color="auto"/>
            </w:tcBorders>
            <w:shd w:val="clear" w:color="auto" w:fill="auto"/>
          </w:tcPr>
          <w:p w14:paraId="45267367" w14:textId="77777777" w:rsidR="00E93F58" w:rsidRPr="006E709F" w:rsidRDefault="00E93F58" w:rsidP="00A801D0">
            <w:pPr>
              <w:pStyle w:val="Tabletext"/>
            </w:pPr>
            <w:r w:rsidRPr="006E709F">
              <w:t>Corporation</w:t>
            </w:r>
          </w:p>
        </w:tc>
        <w:tc>
          <w:tcPr>
            <w:tcW w:w="1733" w:type="pct"/>
            <w:tcBorders>
              <w:bottom w:val="single" w:sz="4" w:space="0" w:color="auto"/>
            </w:tcBorders>
            <w:shd w:val="clear" w:color="auto" w:fill="auto"/>
          </w:tcPr>
          <w:p w14:paraId="6F26187F" w14:textId="77777777" w:rsidR="00E93F58" w:rsidRPr="006E709F" w:rsidRDefault="00E93F58" w:rsidP="00A801D0">
            <w:pPr>
              <w:pStyle w:val="Tabletext"/>
            </w:pPr>
            <w:r w:rsidRPr="006E709F">
              <w:t>Corp</w:t>
            </w:r>
          </w:p>
        </w:tc>
      </w:tr>
      <w:tr w:rsidR="00E93F58" w:rsidRPr="006E709F" w14:paraId="225650D2" w14:textId="77777777" w:rsidTr="00D1214F">
        <w:tc>
          <w:tcPr>
            <w:tcW w:w="1072" w:type="pct"/>
            <w:shd w:val="clear" w:color="auto" w:fill="auto"/>
          </w:tcPr>
          <w:p w14:paraId="02378AAC" w14:textId="77777777" w:rsidR="00E93F58" w:rsidRPr="006E709F" w:rsidRDefault="00E93F58" w:rsidP="00A801D0">
            <w:pPr>
              <w:pStyle w:val="Tabletext"/>
            </w:pPr>
            <w:r w:rsidRPr="006E709F">
              <w:t>9</w:t>
            </w:r>
          </w:p>
        </w:tc>
        <w:tc>
          <w:tcPr>
            <w:tcW w:w="2195" w:type="pct"/>
            <w:shd w:val="clear" w:color="auto" w:fill="auto"/>
          </w:tcPr>
          <w:p w14:paraId="27CF9332" w14:textId="77777777" w:rsidR="00E93F58" w:rsidRPr="006E709F" w:rsidRDefault="00E93F58" w:rsidP="00A801D0">
            <w:pPr>
              <w:pStyle w:val="Tabletext"/>
            </w:pPr>
            <w:r w:rsidRPr="006E709F">
              <w:t>Australian Company Number</w:t>
            </w:r>
          </w:p>
        </w:tc>
        <w:tc>
          <w:tcPr>
            <w:tcW w:w="1733" w:type="pct"/>
            <w:shd w:val="clear" w:color="auto" w:fill="auto"/>
          </w:tcPr>
          <w:p w14:paraId="614EAD2C" w14:textId="77777777" w:rsidR="00E93F58" w:rsidRPr="006E709F" w:rsidRDefault="00E93F58" w:rsidP="00A801D0">
            <w:pPr>
              <w:pStyle w:val="Tabletext"/>
            </w:pPr>
            <w:r w:rsidRPr="006E709F">
              <w:t>ACN</w:t>
            </w:r>
          </w:p>
        </w:tc>
      </w:tr>
      <w:tr w:rsidR="00E93F58" w:rsidRPr="006E709F" w14:paraId="7F05977A" w14:textId="77777777" w:rsidTr="00E118FA">
        <w:tc>
          <w:tcPr>
            <w:tcW w:w="1072" w:type="pct"/>
            <w:tcBorders>
              <w:bottom w:val="single" w:sz="12" w:space="0" w:color="auto"/>
            </w:tcBorders>
            <w:shd w:val="clear" w:color="auto" w:fill="auto"/>
          </w:tcPr>
          <w:p w14:paraId="646747FA" w14:textId="77777777" w:rsidR="00E93F58" w:rsidRPr="006E709F" w:rsidRDefault="00E93F58" w:rsidP="006C30E7">
            <w:pPr>
              <w:pStyle w:val="Tabletext"/>
            </w:pPr>
            <w:r w:rsidRPr="006E709F">
              <w:t>10</w:t>
            </w:r>
          </w:p>
        </w:tc>
        <w:tc>
          <w:tcPr>
            <w:tcW w:w="2195" w:type="pct"/>
            <w:tcBorders>
              <w:bottom w:val="single" w:sz="12" w:space="0" w:color="auto"/>
            </w:tcBorders>
            <w:shd w:val="clear" w:color="auto" w:fill="auto"/>
          </w:tcPr>
          <w:p w14:paraId="69412ACB" w14:textId="77777777" w:rsidR="00E93F58" w:rsidRPr="006E709F" w:rsidRDefault="00E93F58" w:rsidP="006C30E7">
            <w:pPr>
              <w:pStyle w:val="Tabletext"/>
            </w:pPr>
            <w:r w:rsidRPr="006E709F">
              <w:t>Corporate Collective Investment Vehicle</w:t>
            </w:r>
          </w:p>
        </w:tc>
        <w:tc>
          <w:tcPr>
            <w:tcW w:w="1733" w:type="pct"/>
            <w:tcBorders>
              <w:bottom w:val="single" w:sz="12" w:space="0" w:color="auto"/>
            </w:tcBorders>
            <w:shd w:val="clear" w:color="auto" w:fill="auto"/>
          </w:tcPr>
          <w:p w14:paraId="041399F2" w14:textId="77777777" w:rsidR="00E93F58" w:rsidRPr="006E709F" w:rsidRDefault="00E93F58" w:rsidP="006C30E7">
            <w:pPr>
              <w:pStyle w:val="Tabletext"/>
            </w:pPr>
            <w:r w:rsidRPr="006E709F">
              <w:t>CCIV</w:t>
            </w:r>
          </w:p>
        </w:tc>
      </w:tr>
    </w:tbl>
    <w:p w14:paraId="149116DD" w14:textId="77777777" w:rsidR="00E93F58" w:rsidRPr="006E709F" w:rsidRDefault="00E93F58" w:rsidP="00A801D0">
      <w:pPr>
        <w:pStyle w:val="ActHead2"/>
        <w:pageBreakBefore/>
      </w:pPr>
      <w:bookmarkStart w:id="3284" w:name="_Toc151992392"/>
      <w:bookmarkStart w:id="3285" w:name="_Toc158713429"/>
      <w:r w:rsidRPr="000C4237">
        <w:rPr>
          <w:rStyle w:val="CharPartNo"/>
        </w:rPr>
        <w:lastRenderedPageBreak/>
        <w:t>Part 2</w:t>
      </w:r>
      <w:r w:rsidRPr="006E709F">
        <w:t>—</w:t>
      </w:r>
      <w:r w:rsidRPr="000C4237">
        <w:rPr>
          <w:rStyle w:val="CharPartText"/>
        </w:rPr>
        <w:t>Names unacceptable for registration</w:t>
      </w:r>
      <w:bookmarkEnd w:id="3284"/>
      <w:bookmarkEnd w:id="3285"/>
    </w:p>
    <w:p w14:paraId="1D26D35C" w14:textId="77777777" w:rsidR="00E93F58" w:rsidRPr="006E709F" w:rsidRDefault="00E93F58" w:rsidP="00042A1F">
      <w:pPr>
        <w:pStyle w:val="ItemHead"/>
      </w:pPr>
      <w:r w:rsidRPr="006E709F">
        <w:t xml:space="preserve">6203  </w:t>
      </w:r>
    </w:p>
    <w:p w14:paraId="7587374D" w14:textId="77777777" w:rsidR="00E93F58" w:rsidRPr="006E709F" w:rsidRDefault="00E93F58" w:rsidP="00A801D0">
      <w:pPr>
        <w:pStyle w:val="subsection"/>
      </w:pPr>
      <w:r w:rsidRPr="006E709F">
        <w:tab/>
      </w:r>
      <w:r w:rsidRPr="006E709F">
        <w:tab/>
        <w:t>For paragraphs 147(1)(c) and 601DC(1)(c) and for subparagraph 1213B(5)(a)(v) of the Act, a name is unacceptable for registration if the name:</w:t>
      </w:r>
    </w:p>
    <w:p w14:paraId="5F617EBB" w14:textId="77777777" w:rsidR="00E93F58" w:rsidRPr="006E709F" w:rsidRDefault="00E93F58" w:rsidP="00A801D0">
      <w:pPr>
        <w:pStyle w:val="paragraph"/>
      </w:pPr>
      <w:r w:rsidRPr="006E709F">
        <w:tab/>
        <w:t>(a)</w:t>
      </w:r>
      <w:r w:rsidRPr="006E709F">
        <w:tab/>
        <w:t>in the opinion of ASIC, is undesirable, or likely to be offensive to:</w:t>
      </w:r>
    </w:p>
    <w:p w14:paraId="3A47AC38" w14:textId="77777777" w:rsidR="00E93F58" w:rsidRPr="006E709F" w:rsidRDefault="00E93F58" w:rsidP="00A801D0">
      <w:pPr>
        <w:pStyle w:val="paragraphsub"/>
      </w:pPr>
      <w:r w:rsidRPr="006E709F">
        <w:tab/>
        <w:t>(i)</w:t>
      </w:r>
      <w:r w:rsidRPr="006E709F">
        <w:tab/>
        <w:t>members of the public; or</w:t>
      </w:r>
    </w:p>
    <w:p w14:paraId="6AA6A37A" w14:textId="77777777" w:rsidR="00E93F58" w:rsidRPr="006E709F" w:rsidRDefault="00E93F58" w:rsidP="00A801D0">
      <w:pPr>
        <w:pStyle w:val="paragraphsub"/>
      </w:pPr>
      <w:r w:rsidRPr="006E709F">
        <w:tab/>
        <w:t>(ii)</w:t>
      </w:r>
      <w:r w:rsidRPr="006E709F">
        <w:tab/>
        <w:t>members of any section of the public; or</w:t>
      </w:r>
    </w:p>
    <w:p w14:paraId="15DA75EF" w14:textId="77777777" w:rsidR="00E93F58" w:rsidRPr="006E709F" w:rsidRDefault="00E93F58" w:rsidP="00A801D0">
      <w:pPr>
        <w:pStyle w:val="paragraph"/>
      </w:pPr>
      <w:r w:rsidRPr="006E709F">
        <w:tab/>
        <w:t>(b)</w:t>
      </w:r>
      <w:r w:rsidRPr="006E709F">
        <w:tab/>
        <w:t>subject to rule 6204:</w:t>
      </w:r>
    </w:p>
    <w:p w14:paraId="78EB19E7" w14:textId="77777777" w:rsidR="00E93F58" w:rsidRPr="006E709F" w:rsidRDefault="00E93F58" w:rsidP="00A801D0">
      <w:pPr>
        <w:pStyle w:val="paragraphsub"/>
      </w:pPr>
      <w:r w:rsidRPr="006E709F">
        <w:tab/>
        <w:t>(i)</w:t>
      </w:r>
      <w:r w:rsidRPr="006E709F">
        <w:tab/>
        <w:t>contains a word or phrase specified in an item in Part 3, or an abbreviation of that word or phrase; or</w:t>
      </w:r>
    </w:p>
    <w:p w14:paraId="6E4DA914" w14:textId="77777777" w:rsidR="00E93F58" w:rsidRPr="006E709F" w:rsidRDefault="00E93F58" w:rsidP="00A801D0">
      <w:pPr>
        <w:pStyle w:val="paragraphsub"/>
      </w:pPr>
      <w:r w:rsidRPr="006E709F">
        <w:tab/>
        <w:t>(ii)</w:t>
      </w:r>
      <w:r w:rsidRPr="006E709F">
        <w:tab/>
        <w:t>a word or phrase or an abbreviation having the same or a similar meaning; or</w:t>
      </w:r>
    </w:p>
    <w:p w14:paraId="345C4F57" w14:textId="77777777" w:rsidR="00E93F58" w:rsidRPr="006E709F" w:rsidRDefault="00E93F58" w:rsidP="00A801D0">
      <w:pPr>
        <w:pStyle w:val="paragraph"/>
      </w:pPr>
      <w:r w:rsidRPr="006E709F">
        <w:tab/>
        <w:t>(c)</w:t>
      </w:r>
      <w:r w:rsidRPr="006E709F">
        <w:tab/>
        <w:t>subject to rule 6205, includes the word ‘Commonwealth’ or ‘Federal’; or</w:t>
      </w:r>
    </w:p>
    <w:p w14:paraId="545C85CF" w14:textId="77777777" w:rsidR="00E93F58" w:rsidRPr="006E709F" w:rsidRDefault="00E93F58" w:rsidP="00A801D0">
      <w:pPr>
        <w:pStyle w:val="paragraph"/>
      </w:pPr>
      <w:r w:rsidRPr="006E709F">
        <w:tab/>
        <w:t>(d)</w:t>
      </w:r>
      <w:r w:rsidRPr="006E709F">
        <w:tab/>
        <w:t>in the context in which it is proposed to be used, suggests a connection with:</w:t>
      </w:r>
    </w:p>
    <w:p w14:paraId="7C8641CB" w14:textId="77777777" w:rsidR="00E93F58" w:rsidRPr="006E709F" w:rsidRDefault="00E93F58" w:rsidP="00A801D0">
      <w:pPr>
        <w:pStyle w:val="paragraphsub"/>
      </w:pPr>
      <w:r w:rsidRPr="006E709F">
        <w:tab/>
        <w:t>(i)</w:t>
      </w:r>
      <w:r w:rsidRPr="006E709F">
        <w:tab/>
        <w:t>the Crown; or</w:t>
      </w:r>
    </w:p>
    <w:p w14:paraId="459702A8" w14:textId="77777777" w:rsidR="00E93F58" w:rsidRPr="006E709F" w:rsidRDefault="00E93F58" w:rsidP="00A801D0">
      <w:pPr>
        <w:pStyle w:val="paragraphsub"/>
      </w:pPr>
      <w:r w:rsidRPr="006E709F">
        <w:tab/>
        <w:t>(ii)</w:t>
      </w:r>
      <w:r w:rsidRPr="006E709F">
        <w:tab/>
        <w:t>the Commonwealth Government; or</w:t>
      </w:r>
    </w:p>
    <w:p w14:paraId="4D4DAEE3" w14:textId="77777777" w:rsidR="00E93F58" w:rsidRPr="006E709F" w:rsidRDefault="00E93F58" w:rsidP="00A801D0">
      <w:pPr>
        <w:pStyle w:val="paragraphsub"/>
      </w:pPr>
      <w:r w:rsidRPr="006E709F">
        <w:tab/>
        <w:t>(iii)</w:t>
      </w:r>
      <w:r w:rsidRPr="006E709F">
        <w:tab/>
        <w:t>the Government of a State or Territory; or</w:t>
      </w:r>
    </w:p>
    <w:p w14:paraId="383B1BB9" w14:textId="77777777" w:rsidR="00E93F58" w:rsidRPr="006E709F" w:rsidRDefault="00E93F58" w:rsidP="00A801D0">
      <w:pPr>
        <w:pStyle w:val="paragraphsub"/>
      </w:pPr>
      <w:r w:rsidRPr="006E709F">
        <w:tab/>
        <w:t>(iv)</w:t>
      </w:r>
      <w:r w:rsidRPr="006E709F">
        <w:tab/>
        <w:t>a municipal or other local authority; or</w:t>
      </w:r>
    </w:p>
    <w:p w14:paraId="4EA35934" w14:textId="77777777" w:rsidR="00E93F58" w:rsidRPr="006E709F" w:rsidRDefault="00E93F58" w:rsidP="00A801D0">
      <w:pPr>
        <w:pStyle w:val="paragraphsub"/>
      </w:pPr>
      <w:r w:rsidRPr="006E709F">
        <w:tab/>
        <w:t>(v)</w:t>
      </w:r>
      <w:r w:rsidRPr="006E709F">
        <w:tab/>
        <w:t>the Government of any other part of the Queen’s dominions, possessions or territories; or</w:t>
      </w:r>
    </w:p>
    <w:p w14:paraId="6BA2074A" w14:textId="77777777" w:rsidR="00E93F58" w:rsidRPr="006E709F" w:rsidRDefault="00E93F58" w:rsidP="00A801D0">
      <w:pPr>
        <w:pStyle w:val="paragraphsub"/>
      </w:pPr>
      <w:r w:rsidRPr="006E709F">
        <w:tab/>
        <w:t>(vi)</w:t>
      </w:r>
      <w:r w:rsidRPr="006E709F">
        <w:tab/>
        <w:t>a department, authority or instrumentality of the Commonwealth Government; or</w:t>
      </w:r>
    </w:p>
    <w:p w14:paraId="41FE9533" w14:textId="77777777" w:rsidR="00E93F58" w:rsidRPr="006E709F" w:rsidRDefault="00E93F58" w:rsidP="00A801D0">
      <w:pPr>
        <w:pStyle w:val="paragraphsub"/>
      </w:pPr>
      <w:r w:rsidRPr="006E709F">
        <w:tab/>
        <w:t>(vii)</w:t>
      </w:r>
      <w:r w:rsidRPr="006E709F">
        <w:tab/>
        <w:t>a department, authority or instrumentality of the Government of a State or Territory; or</w:t>
      </w:r>
    </w:p>
    <w:p w14:paraId="5EAE8DFB" w14:textId="77777777" w:rsidR="00E93F58" w:rsidRPr="006E709F" w:rsidRDefault="00E93F58" w:rsidP="00A801D0">
      <w:pPr>
        <w:pStyle w:val="paragraphsub"/>
      </w:pPr>
      <w:r w:rsidRPr="006E709F">
        <w:tab/>
        <w:t>(viii)</w:t>
      </w:r>
      <w:r w:rsidRPr="006E709F">
        <w:tab/>
        <w:t>the government of a foreign country;</w:t>
      </w:r>
    </w:p>
    <w:p w14:paraId="6989C8D2" w14:textId="77777777" w:rsidR="00E93F58" w:rsidRPr="006E709F" w:rsidRDefault="00E93F58" w:rsidP="00A801D0">
      <w:pPr>
        <w:pStyle w:val="paragraph"/>
      </w:pPr>
      <w:r w:rsidRPr="006E709F">
        <w:tab/>
      </w:r>
      <w:r w:rsidRPr="006E709F">
        <w:tab/>
        <w:t>if that connection does not exist; or</w:t>
      </w:r>
    </w:p>
    <w:p w14:paraId="65EA1D0B" w14:textId="77777777" w:rsidR="00E93F58" w:rsidRPr="006E709F" w:rsidRDefault="00E93F58" w:rsidP="00A801D0">
      <w:pPr>
        <w:pStyle w:val="paragraph"/>
      </w:pPr>
      <w:r w:rsidRPr="006E709F">
        <w:tab/>
        <w:t>(e)</w:t>
      </w:r>
      <w:r w:rsidRPr="006E709F">
        <w:tab/>
        <w:t>in the context in which it is proposed to be used, suggests a connection with:</w:t>
      </w:r>
    </w:p>
    <w:p w14:paraId="61691964" w14:textId="77777777" w:rsidR="00E93F58" w:rsidRPr="006E709F" w:rsidRDefault="00E93F58" w:rsidP="00A801D0">
      <w:pPr>
        <w:pStyle w:val="paragraphsub"/>
      </w:pPr>
      <w:r w:rsidRPr="006E709F">
        <w:tab/>
        <w:t>(i)</w:t>
      </w:r>
      <w:r w:rsidRPr="006E709F">
        <w:tab/>
        <w:t>a member of the Royal Family; or</w:t>
      </w:r>
    </w:p>
    <w:p w14:paraId="18000ED6" w14:textId="77777777" w:rsidR="00E93F58" w:rsidRPr="006E709F" w:rsidRDefault="00E93F58" w:rsidP="00A801D0">
      <w:pPr>
        <w:pStyle w:val="paragraphsub"/>
      </w:pPr>
      <w:r w:rsidRPr="006E709F">
        <w:tab/>
        <w:t>(ii)</w:t>
      </w:r>
      <w:r w:rsidRPr="006E709F">
        <w:tab/>
        <w:t>the receipt of Royal patronage; or</w:t>
      </w:r>
    </w:p>
    <w:p w14:paraId="5545E4BC" w14:textId="77777777" w:rsidR="00E93F58" w:rsidRPr="006E709F" w:rsidRDefault="00E93F58" w:rsidP="00A801D0">
      <w:pPr>
        <w:pStyle w:val="paragraphsub"/>
      </w:pPr>
      <w:r w:rsidRPr="006E709F">
        <w:tab/>
        <w:t>(iii)</w:t>
      </w:r>
      <w:r w:rsidRPr="006E709F">
        <w:tab/>
        <w:t>an ex</w:t>
      </w:r>
      <w:r>
        <w:noBreakHyphen/>
      </w:r>
      <w:r w:rsidRPr="006E709F">
        <w:t>servicemen’s organisation; or</w:t>
      </w:r>
    </w:p>
    <w:p w14:paraId="7564D497" w14:textId="77777777" w:rsidR="00E93F58" w:rsidRPr="006E709F" w:rsidRDefault="00E93F58" w:rsidP="00A801D0">
      <w:pPr>
        <w:pStyle w:val="paragraphsub"/>
      </w:pPr>
      <w:r w:rsidRPr="006E709F">
        <w:tab/>
        <w:t>(iv)</w:t>
      </w:r>
      <w:r w:rsidRPr="006E709F">
        <w:tab/>
        <w:t>Sir Donald Bradman; or</w:t>
      </w:r>
    </w:p>
    <w:p w14:paraId="383C8BF5" w14:textId="77777777" w:rsidR="00E93F58" w:rsidRPr="006E709F" w:rsidRDefault="00E93F58" w:rsidP="00A801D0">
      <w:pPr>
        <w:pStyle w:val="paragraphsub"/>
      </w:pPr>
      <w:r w:rsidRPr="006E709F">
        <w:tab/>
        <w:t>(v)</w:t>
      </w:r>
      <w:r w:rsidRPr="006E709F">
        <w:tab/>
        <w:t>Mary MacKillop;</w:t>
      </w:r>
    </w:p>
    <w:p w14:paraId="05D20D73" w14:textId="77777777" w:rsidR="00E93F58" w:rsidRPr="006E709F" w:rsidRDefault="00E93F58" w:rsidP="00A801D0">
      <w:pPr>
        <w:pStyle w:val="paragraph"/>
      </w:pPr>
      <w:r w:rsidRPr="006E709F">
        <w:tab/>
      </w:r>
      <w:r w:rsidRPr="006E709F">
        <w:tab/>
        <w:t>if that connection does not exist; or</w:t>
      </w:r>
    </w:p>
    <w:p w14:paraId="665AA747" w14:textId="77777777" w:rsidR="00E93F58" w:rsidRPr="006E709F" w:rsidRDefault="00E93F58" w:rsidP="00A801D0">
      <w:pPr>
        <w:pStyle w:val="paragraph"/>
      </w:pPr>
      <w:r w:rsidRPr="006E709F">
        <w:tab/>
        <w:t>(f)</w:t>
      </w:r>
      <w:r w:rsidRPr="006E709F">
        <w:tab/>
        <w:t>in the context in which it is proposed to be used, suggests that the members of an organisation are totally or partially incapacitated if those members are not so affected.</w:t>
      </w:r>
    </w:p>
    <w:p w14:paraId="3ED038F7" w14:textId="77777777" w:rsidR="00E93F58" w:rsidRPr="006E709F" w:rsidRDefault="00E93F58" w:rsidP="00042A1F">
      <w:pPr>
        <w:pStyle w:val="ItemHead"/>
      </w:pPr>
      <w:r w:rsidRPr="006E709F">
        <w:t xml:space="preserve">6204  </w:t>
      </w:r>
    </w:p>
    <w:p w14:paraId="55264454" w14:textId="77777777" w:rsidR="00E93F58" w:rsidRPr="006E709F" w:rsidRDefault="00E93F58" w:rsidP="00A801D0">
      <w:pPr>
        <w:pStyle w:val="subsection"/>
      </w:pPr>
      <w:r w:rsidRPr="006E709F">
        <w:tab/>
      </w:r>
      <w:r w:rsidRPr="006E709F">
        <w:tab/>
        <w:t>Paragraph 6203(b) does not apply to the following:</w:t>
      </w:r>
    </w:p>
    <w:p w14:paraId="38183A3C" w14:textId="77777777" w:rsidR="00E93F58" w:rsidRPr="006E709F" w:rsidRDefault="00E93F58" w:rsidP="00A801D0">
      <w:pPr>
        <w:pStyle w:val="paragraph"/>
      </w:pPr>
      <w:r w:rsidRPr="006E709F">
        <w:tab/>
        <w:t>(a)</w:t>
      </w:r>
      <w:r w:rsidRPr="006E709F">
        <w:tab/>
        <w:t>item 6309, 6312 or 6318 of Part 3 if a word or phrase in any of those items must be included in the name of:</w:t>
      </w:r>
    </w:p>
    <w:p w14:paraId="147EE2F8" w14:textId="77777777" w:rsidR="00E93F58" w:rsidRPr="006E709F" w:rsidRDefault="00E93F58" w:rsidP="00A801D0">
      <w:pPr>
        <w:pStyle w:val="paragraphsub"/>
      </w:pPr>
      <w:r w:rsidRPr="006E709F">
        <w:tab/>
        <w:t>(i)</w:t>
      </w:r>
      <w:r w:rsidRPr="006E709F">
        <w:tab/>
        <w:t>a registrable Australian body; or</w:t>
      </w:r>
    </w:p>
    <w:p w14:paraId="62D60F65" w14:textId="77777777" w:rsidR="00E93F58" w:rsidRPr="006E709F" w:rsidRDefault="00E93F58" w:rsidP="00A801D0">
      <w:pPr>
        <w:pStyle w:val="paragraphsub"/>
      </w:pPr>
      <w:r w:rsidRPr="006E709F">
        <w:tab/>
        <w:t>(ii)</w:t>
      </w:r>
      <w:r w:rsidRPr="006E709F">
        <w:tab/>
        <w:t>a registered Australian body;</w:t>
      </w:r>
    </w:p>
    <w:p w14:paraId="49198496" w14:textId="77777777" w:rsidR="00E93F58" w:rsidRPr="006E709F" w:rsidRDefault="00E93F58" w:rsidP="00A801D0">
      <w:pPr>
        <w:pStyle w:val="paragraph"/>
      </w:pPr>
      <w:r w:rsidRPr="006E709F">
        <w:tab/>
      </w:r>
      <w:r w:rsidRPr="006E709F">
        <w:tab/>
        <w:t>because of the Act under which it is incorporated or registered;</w:t>
      </w:r>
    </w:p>
    <w:p w14:paraId="730041BC" w14:textId="77777777" w:rsidR="00E93F58" w:rsidRPr="006E709F" w:rsidRDefault="00E93F58" w:rsidP="00A801D0">
      <w:pPr>
        <w:pStyle w:val="paragraph"/>
      </w:pPr>
      <w:r w:rsidRPr="006E709F">
        <w:tab/>
        <w:t>(b)</w:t>
      </w:r>
      <w:r w:rsidRPr="006E709F">
        <w:tab/>
        <w:t>item 6314 of Part 3 if the word in that item must be included in the name of:</w:t>
      </w:r>
    </w:p>
    <w:p w14:paraId="6BE6C1EE" w14:textId="77777777" w:rsidR="00E93F58" w:rsidRPr="006E709F" w:rsidRDefault="00E93F58" w:rsidP="00A801D0">
      <w:pPr>
        <w:pStyle w:val="paragraphsub"/>
      </w:pPr>
      <w:r w:rsidRPr="006E709F">
        <w:tab/>
        <w:t>(i)</w:t>
      </w:r>
      <w:r w:rsidRPr="006E709F">
        <w:tab/>
        <w:t>a registrable Australian body; or</w:t>
      </w:r>
    </w:p>
    <w:p w14:paraId="0EAAB263" w14:textId="77777777" w:rsidR="00E93F58" w:rsidRPr="006E709F" w:rsidRDefault="00E93F58" w:rsidP="00A801D0">
      <w:pPr>
        <w:pStyle w:val="paragraphsub"/>
      </w:pPr>
      <w:r w:rsidRPr="006E709F">
        <w:tab/>
        <w:t>(ii)</w:t>
      </w:r>
      <w:r w:rsidRPr="006E709F">
        <w:tab/>
        <w:t>a registered Australian body; or</w:t>
      </w:r>
    </w:p>
    <w:p w14:paraId="458A3B3C" w14:textId="77777777" w:rsidR="00E93F58" w:rsidRPr="006E709F" w:rsidRDefault="00E93F58" w:rsidP="00A801D0">
      <w:pPr>
        <w:pStyle w:val="paragraphsub"/>
      </w:pPr>
      <w:r w:rsidRPr="006E709F">
        <w:tab/>
        <w:t>(iii)</w:t>
      </w:r>
      <w:r w:rsidRPr="006E709F">
        <w:tab/>
        <w:t>a registered foreign company; or</w:t>
      </w:r>
    </w:p>
    <w:p w14:paraId="630F3A45" w14:textId="77777777" w:rsidR="00E93F58" w:rsidRPr="006E709F" w:rsidRDefault="00E93F58" w:rsidP="00A801D0">
      <w:pPr>
        <w:pStyle w:val="paragraphsub"/>
      </w:pPr>
      <w:r w:rsidRPr="006E709F">
        <w:tab/>
        <w:t>(iv)</w:t>
      </w:r>
      <w:r w:rsidRPr="006E709F">
        <w:tab/>
        <w:t>a foreign company;</w:t>
      </w:r>
    </w:p>
    <w:p w14:paraId="5A3B6239" w14:textId="77777777" w:rsidR="00E93F58" w:rsidRPr="006E709F" w:rsidRDefault="00E93F58" w:rsidP="00A801D0">
      <w:pPr>
        <w:pStyle w:val="paragraph"/>
      </w:pPr>
      <w:r w:rsidRPr="006E709F">
        <w:tab/>
      </w:r>
      <w:r w:rsidRPr="006E709F">
        <w:tab/>
        <w:t>because of the Act under which it is incorporated or registered;</w:t>
      </w:r>
    </w:p>
    <w:p w14:paraId="333419E5" w14:textId="77777777" w:rsidR="00E93F58" w:rsidRPr="006E709F" w:rsidRDefault="00E93F58" w:rsidP="00875880">
      <w:pPr>
        <w:pStyle w:val="paragraph"/>
      </w:pPr>
      <w:r w:rsidRPr="006E709F">
        <w:tab/>
        <w:t>(c)</w:t>
      </w:r>
      <w:r w:rsidRPr="006E709F">
        <w:tab/>
        <w:t>item 6316AA of Part 3 if the phrase in that item is included in the name of a foreign passport fund in relation to which a notice of intention has been lodged under section 1213 of the Act (which deals with notices of intention to offer interests in a foreign passport fund).</w:t>
      </w:r>
    </w:p>
    <w:p w14:paraId="70D24353" w14:textId="77777777" w:rsidR="00E93F58" w:rsidRPr="006E709F" w:rsidRDefault="00E93F58" w:rsidP="00042A1F">
      <w:pPr>
        <w:pStyle w:val="ItemHead"/>
      </w:pPr>
      <w:r w:rsidRPr="006E709F">
        <w:t xml:space="preserve">6205  </w:t>
      </w:r>
    </w:p>
    <w:p w14:paraId="4D6DBEE3" w14:textId="77777777" w:rsidR="00E93F58" w:rsidRPr="006E709F" w:rsidRDefault="00E93F58" w:rsidP="00A801D0">
      <w:pPr>
        <w:pStyle w:val="subsection"/>
      </w:pPr>
      <w:r w:rsidRPr="006E709F">
        <w:tab/>
      </w:r>
      <w:r w:rsidRPr="006E709F">
        <w:tab/>
        <w:t>Paragraph 6203(c) does not apply if ASIC is satisfied that the word is used in a geographical context.</w:t>
      </w:r>
    </w:p>
    <w:p w14:paraId="0640EE7F" w14:textId="77777777" w:rsidR="00E93F58" w:rsidRPr="006E709F" w:rsidRDefault="00E93F58" w:rsidP="00A801D0">
      <w:pPr>
        <w:pStyle w:val="ActHead2"/>
        <w:pageBreakBefore/>
      </w:pPr>
      <w:bookmarkStart w:id="3286" w:name="_Toc151992393"/>
      <w:bookmarkStart w:id="3287" w:name="_Toc158713430"/>
      <w:r w:rsidRPr="000C4237">
        <w:rPr>
          <w:rStyle w:val="CharPartNo"/>
        </w:rPr>
        <w:lastRenderedPageBreak/>
        <w:t>Part 3</w:t>
      </w:r>
      <w:r w:rsidRPr="006E709F">
        <w:t>—</w:t>
      </w:r>
      <w:r w:rsidRPr="000C4237">
        <w:rPr>
          <w:rStyle w:val="CharPartText"/>
        </w:rPr>
        <w:t>Restricted words and phrases</w:t>
      </w:r>
      <w:bookmarkEnd w:id="3286"/>
      <w:bookmarkEnd w:id="3287"/>
    </w:p>
    <w:p w14:paraId="040A446C"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0"/>
        <w:gridCol w:w="9133"/>
      </w:tblGrid>
      <w:tr w:rsidR="00E93F58" w:rsidRPr="006E709F" w14:paraId="5D5C7E8F" w14:textId="77777777" w:rsidTr="00E118FA">
        <w:trPr>
          <w:tblHeader/>
        </w:trPr>
        <w:tc>
          <w:tcPr>
            <w:tcW w:w="761" w:type="pct"/>
            <w:tcBorders>
              <w:top w:val="single" w:sz="12" w:space="0" w:color="auto"/>
              <w:bottom w:val="single" w:sz="6" w:space="0" w:color="auto"/>
            </w:tcBorders>
            <w:shd w:val="clear" w:color="auto" w:fill="auto"/>
          </w:tcPr>
          <w:p w14:paraId="18EFA540" w14:textId="77777777" w:rsidR="00E93F58" w:rsidRPr="006E709F" w:rsidRDefault="00E93F58" w:rsidP="00A801D0">
            <w:pPr>
              <w:pStyle w:val="TableHeading"/>
            </w:pPr>
            <w:r w:rsidRPr="006E709F">
              <w:t>Column 1</w:t>
            </w:r>
          </w:p>
        </w:tc>
        <w:tc>
          <w:tcPr>
            <w:tcW w:w="4239" w:type="pct"/>
            <w:tcBorders>
              <w:top w:val="single" w:sz="12" w:space="0" w:color="auto"/>
              <w:bottom w:val="single" w:sz="6" w:space="0" w:color="auto"/>
            </w:tcBorders>
            <w:shd w:val="clear" w:color="auto" w:fill="auto"/>
          </w:tcPr>
          <w:p w14:paraId="3CA33CB3" w14:textId="77777777" w:rsidR="00E93F58" w:rsidRPr="006E709F" w:rsidRDefault="00E93F58" w:rsidP="00A801D0">
            <w:pPr>
              <w:pStyle w:val="TableHeading"/>
            </w:pPr>
            <w:r w:rsidRPr="006E709F">
              <w:t>Column 2</w:t>
            </w:r>
          </w:p>
        </w:tc>
      </w:tr>
      <w:tr w:rsidR="00E93F58" w:rsidRPr="006E709F" w14:paraId="690AD758" w14:textId="77777777" w:rsidTr="00E118FA">
        <w:trPr>
          <w:tblHeader/>
        </w:trPr>
        <w:tc>
          <w:tcPr>
            <w:tcW w:w="761" w:type="pct"/>
            <w:tcBorders>
              <w:top w:val="single" w:sz="6" w:space="0" w:color="auto"/>
              <w:bottom w:val="single" w:sz="12" w:space="0" w:color="auto"/>
            </w:tcBorders>
            <w:shd w:val="clear" w:color="auto" w:fill="auto"/>
          </w:tcPr>
          <w:p w14:paraId="4070247E" w14:textId="77777777" w:rsidR="00E93F58" w:rsidRPr="006E709F" w:rsidRDefault="00E93F58" w:rsidP="005133DE">
            <w:pPr>
              <w:pStyle w:val="TableHeading"/>
            </w:pPr>
            <w:r w:rsidRPr="006E709F">
              <w:t>Item</w:t>
            </w:r>
          </w:p>
        </w:tc>
        <w:tc>
          <w:tcPr>
            <w:tcW w:w="4239" w:type="pct"/>
            <w:tcBorders>
              <w:top w:val="single" w:sz="6" w:space="0" w:color="auto"/>
              <w:bottom w:val="single" w:sz="12" w:space="0" w:color="auto"/>
            </w:tcBorders>
            <w:shd w:val="clear" w:color="auto" w:fill="auto"/>
          </w:tcPr>
          <w:p w14:paraId="2934C8DF" w14:textId="77777777" w:rsidR="00E93F58" w:rsidRPr="006E709F" w:rsidRDefault="00E93F58" w:rsidP="005133DE">
            <w:pPr>
              <w:pStyle w:val="TableHeading"/>
            </w:pPr>
            <w:r w:rsidRPr="006E709F">
              <w:t>Word or phrase</w:t>
            </w:r>
          </w:p>
        </w:tc>
      </w:tr>
      <w:tr w:rsidR="00E93F58" w:rsidRPr="006E709F" w14:paraId="298E41AA" w14:textId="77777777" w:rsidTr="00E118FA">
        <w:tc>
          <w:tcPr>
            <w:tcW w:w="761" w:type="pct"/>
            <w:tcBorders>
              <w:top w:val="single" w:sz="12" w:space="0" w:color="auto"/>
              <w:bottom w:val="single" w:sz="4" w:space="0" w:color="auto"/>
            </w:tcBorders>
            <w:shd w:val="clear" w:color="auto" w:fill="auto"/>
          </w:tcPr>
          <w:p w14:paraId="5FF43DFB" w14:textId="77777777" w:rsidR="00E93F58" w:rsidRPr="006E709F" w:rsidRDefault="00E93F58" w:rsidP="004E434B">
            <w:pPr>
              <w:pStyle w:val="Tabletext"/>
            </w:pPr>
            <w:r w:rsidRPr="006E709F">
              <w:t>6301A</w:t>
            </w:r>
          </w:p>
        </w:tc>
        <w:tc>
          <w:tcPr>
            <w:tcW w:w="4239" w:type="pct"/>
            <w:tcBorders>
              <w:top w:val="single" w:sz="12" w:space="0" w:color="auto"/>
              <w:bottom w:val="single" w:sz="4" w:space="0" w:color="auto"/>
            </w:tcBorders>
            <w:shd w:val="clear" w:color="auto" w:fill="auto"/>
          </w:tcPr>
          <w:p w14:paraId="37FABF6B" w14:textId="77777777" w:rsidR="00E93F58" w:rsidRPr="006E709F" w:rsidRDefault="00E93F58" w:rsidP="004E434B">
            <w:pPr>
              <w:pStyle w:val="Tabletext"/>
            </w:pPr>
            <w:r w:rsidRPr="006E709F">
              <w:t>Aboriginal and Torres Strait Islander Corporation</w:t>
            </w:r>
          </w:p>
        </w:tc>
      </w:tr>
      <w:tr w:rsidR="00E93F58" w:rsidRPr="006E709F" w14:paraId="1753DD35" w14:textId="77777777" w:rsidTr="00E118FA">
        <w:tc>
          <w:tcPr>
            <w:tcW w:w="761" w:type="pct"/>
            <w:tcBorders>
              <w:top w:val="single" w:sz="4" w:space="0" w:color="auto"/>
            </w:tcBorders>
            <w:shd w:val="clear" w:color="auto" w:fill="auto"/>
          </w:tcPr>
          <w:p w14:paraId="5179EFC6" w14:textId="77777777" w:rsidR="00E93F58" w:rsidRPr="006E709F" w:rsidRDefault="00E93F58" w:rsidP="00A801D0">
            <w:pPr>
              <w:pStyle w:val="Tabletext"/>
            </w:pPr>
            <w:r w:rsidRPr="006E709F">
              <w:t>6301</w:t>
            </w:r>
          </w:p>
        </w:tc>
        <w:tc>
          <w:tcPr>
            <w:tcW w:w="4239" w:type="pct"/>
            <w:tcBorders>
              <w:top w:val="single" w:sz="4" w:space="0" w:color="auto"/>
            </w:tcBorders>
            <w:shd w:val="clear" w:color="auto" w:fill="auto"/>
          </w:tcPr>
          <w:p w14:paraId="4DF050AD" w14:textId="77777777" w:rsidR="00E93F58" w:rsidRPr="006E709F" w:rsidRDefault="00E93F58" w:rsidP="00A801D0">
            <w:pPr>
              <w:pStyle w:val="Tabletext"/>
            </w:pPr>
            <w:r w:rsidRPr="006E709F">
              <w:t>Aboriginal Corporation</w:t>
            </w:r>
          </w:p>
        </w:tc>
      </w:tr>
      <w:tr w:rsidR="00E93F58" w:rsidRPr="006E709F" w14:paraId="1C892EAE" w14:textId="77777777" w:rsidTr="00E118FA">
        <w:tc>
          <w:tcPr>
            <w:tcW w:w="761" w:type="pct"/>
            <w:shd w:val="clear" w:color="auto" w:fill="auto"/>
          </w:tcPr>
          <w:p w14:paraId="075A045D" w14:textId="77777777" w:rsidR="00E93F58" w:rsidRPr="006E709F" w:rsidRDefault="00E93F58" w:rsidP="00A801D0">
            <w:pPr>
              <w:pStyle w:val="Tabletext"/>
            </w:pPr>
            <w:r w:rsidRPr="006E709F">
              <w:t>6302</w:t>
            </w:r>
          </w:p>
        </w:tc>
        <w:tc>
          <w:tcPr>
            <w:tcW w:w="4239" w:type="pct"/>
            <w:shd w:val="clear" w:color="auto" w:fill="auto"/>
          </w:tcPr>
          <w:p w14:paraId="2366098D" w14:textId="77777777" w:rsidR="00E93F58" w:rsidRPr="006E709F" w:rsidRDefault="00E93F58" w:rsidP="00A801D0">
            <w:pPr>
              <w:pStyle w:val="Tabletext"/>
            </w:pPr>
            <w:r w:rsidRPr="006E709F">
              <w:t>Aboriginal Council</w:t>
            </w:r>
          </w:p>
        </w:tc>
      </w:tr>
      <w:tr w:rsidR="00E93F58" w:rsidRPr="006E709F" w14:paraId="2EEF4CDF" w14:textId="77777777" w:rsidTr="00E118FA">
        <w:tc>
          <w:tcPr>
            <w:tcW w:w="761" w:type="pct"/>
            <w:shd w:val="clear" w:color="auto" w:fill="auto"/>
          </w:tcPr>
          <w:p w14:paraId="55D0957D" w14:textId="77777777" w:rsidR="00E93F58" w:rsidRPr="006E709F" w:rsidRDefault="00E93F58" w:rsidP="00A801D0">
            <w:pPr>
              <w:pStyle w:val="Tabletext"/>
            </w:pPr>
            <w:r w:rsidRPr="006E709F">
              <w:t>6304</w:t>
            </w:r>
          </w:p>
        </w:tc>
        <w:tc>
          <w:tcPr>
            <w:tcW w:w="4239" w:type="pct"/>
            <w:shd w:val="clear" w:color="auto" w:fill="auto"/>
          </w:tcPr>
          <w:p w14:paraId="3E03B2CE" w14:textId="77777777" w:rsidR="00E93F58" w:rsidRPr="006E709F" w:rsidRDefault="00E93F58" w:rsidP="00A801D0">
            <w:pPr>
              <w:pStyle w:val="Tabletext"/>
            </w:pPr>
            <w:r w:rsidRPr="006E709F">
              <w:t>Chamber of Commerce</w:t>
            </w:r>
          </w:p>
        </w:tc>
      </w:tr>
      <w:tr w:rsidR="00E93F58" w:rsidRPr="006E709F" w14:paraId="76C925F9" w14:textId="77777777" w:rsidTr="00E118FA">
        <w:tc>
          <w:tcPr>
            <w:tcW w:w="761" w:type="pct"/>
            <w:shd w:val="clear" w:color="auto" w:fill="auto"/>
          </w:tcPr>
          <w:p w14:paraId="2D64DE28" w14:textId="77777777" w:rsidR="00E93F58" w:rsidRPr="006E709F" w:rsidRDefault="00E93F58" w:rsidP="00A801D0">
            <w:pPr>
              <w:pStyle w:val="Tabletext"/>
            </w:pPr>
            <w:r w:rsidRPr="006E709F">
              <w:t>6305</w:t>
            </w:r>
          </w:p>
        </w:tc>
        <w:tc>
          <w:tcPr>
            <w:tcW w:w="4239" w:type="pct"/>
            <w:shd w:val="clear" w:color="auto" w:fill="auto"/>
          </w:tcPr>
          <w:p w14:paraId="11AB6187" w14:textId="77777777" w:rsidR="00E93F58" w:rsidRPr="006E709F" w:rsidRDefault="00E93F58" w:rsidP="00A801D0">
            <w:pPr>
              <w:pStyle w:val="Tabletext"/>
            </w:pPr>
            <w:r w:rsidRPr="006E709F">
              <w:t>Chamber of Manufactures</w:t>
            </w:r>
          </w:p>
        </w:tc>
      </w:tr>
      <w:tr w:rsidR="00E93F58" w:rsidRPr="006E709F" w14:paraId="78AACE31" w14:textId="77777777" w:rsidTr="00E118FA">
        <w:tc>
          <w:tcPr>
            <w:tcW w:w="761" w:type="pct"/>
            <w:shd w:val="clear" w:color="auto" w:fill="auto"/>
          </w:tcPr>
          <w:p w14:paraId="1DC2A890" w14:textId="77777777" w:rsidR="00E93F58" w:rsidRPr="006E709F" w:rsidRDefault="00E93F58" w:rsidP="00A801D0">
            <w:pPr>
              <w:pStyle w:val="Tabletext"/>
            </w:pPr>
            <w:r w:rsidRPr="006E709F">
              <w:t>6306</w:t>
            </w:r>
          </w:p>
        </w:tc>
        <w:tc>
          <w:tcPr>
            <w:tcW w:w="4239" w:type="pct"/>
            <w:shd w:val="clear" w:color="auto" w:fill="auto"/>
          </w:tcPr>
          <w:p w14:paraId="4FC94D64" w14:textId="77777777" w:rsidR="00E93F58" w:rsidRPr="006E709F" w:rsidRDefault="00E93F58" w:rsidP="00A801D0">
            <w:pPr>
              <w:pStyle w:val="Tabletext"/>
            </w:pPr>
            <w:r w:rsidRPr="006E709F">
              <w:t>Chartered</w:t>
            </w:r>
          </w:p>
        </w:tc>
      </w:tr>
      <w:tr w:rsidR="00E93F58" w:rsidRPr="006E709F" w14:paraId="3CF0ACAD" w14:textId="77777777" w:rsidTr="00E118FA">
        <w:tc>
          <w:tcPr>
            <w:tcW w:w="761" w:type="pct"/>
            <w:shd w:val="clear" w:color="auto" w:fill="auto"/>
          </w:tcPr>
          <w:p w14:paraId="4BB517F9" w14:textId="77777777" w:rsidR="00E93F58" w:rsidRPr="006E709F" w:rsidRDefault="00E93F58" w:rsidP="00A801D0">
            <w:pPr>
              <w:pStyle w:val="Tabletext"/>
            </w:pPr>
            <w:r w:rsidRPr="006E709F">
              <w:t>6308</w:t>
            </w:r>
          </w:p>
        </w:tc>
        <w:tc>
          <w:tcPr>
            <w:tcW w:w="4239" w:type="pct"/>
            <w:shd w:val="clear" w:color="auto" w:fill="auto"/>
          </w:tcPr>
          <w:p w14:paraId="7D659421" w14:textId="77777777" w:rsidR="00E93F58" w:rsidRPr="006E709F" w:rsidRDefault="00E93F58" w:rsidP="00A801D0">
            <w:pPr>
              <w:pStyle w:val="Tabletext"/>
            </w:pPr>
            <w:r w:rsidRPr="006E709F">
              <w:t>Consumer</w:t>
            </w:r>
          </w:p>
        </w:tc>
      </w:tr>
      <w:tr w:rsidR="00E93F58" w:rsidRPr="006E709F" w14:paraId="68BE48F4" w14:textId="77777777" w:rsidTr="00E118FA">
        <w:tc>
          <w:tcPr>
            <w:tcW w:w="761" w:type="pct"/>
            <w:shd w:val="clear" w:color="auto" w:fill="auto"/>
          </w:tcPr>
          <w:p w14:paraId="781D37E5" w14:textId="77777777" w:rsidR="00E93F58" w:rsidRPr="006E709F" w:rsidRDefault="00E93F58" w:rsidP="00A801D0">
            <w:pPr>
              <w:pStyle w:val="Tabletext"/>
            </w:pPr>
            <w:r w:rsidRPr="006E709F">
              <w:t>6309</w:t>
            </w:r>
          </w:p>
        </w:tc>
        <w:tc>
          <w:tcPr>
            <w:tcW w:w="4239" w:type="pct"/>
            <w:shd w:val="clear" w:color="auto" w:fill="auto"/>
          </w:tcPr>
          <w:p w14:paraId="13F63E3C" w14:textId="77777777" w:rsidR="00E93F58" w:rsidRPr="006E709F" w:rsidRDefault="00E93F58" w:rsidP="00A801D0">
            <w:pPr>
              <w:pStyle w:val="Tabletext"/>
            </w:pPr>
            <w:r w:rsidRPr="006E709F">
              <w:t>Co</w:t>
            </w:r>
            <w:r>
              <w:noBreakHyphen/>
            </w:r>
            <w:r w:rsidRPr="006E709F">
              <w:t>operative</w:t>
            </w:r>
          </w:p>
        </w:tc>
      </w:tr>
      <w:tr w:rsidR="00E93F58" w:rsidRPr="006E709F" w14:paraId="5E1EEFD2" w14:textId="77777777" w:rsidTr="00E118FA">
        <w:tc>
          <w:tcPr>
            <w:tcW w:w="761" w:type="pct"/>
            <w:shd w:val="clear" w:color="auto" w:fill="auto"/>
          </w:tcPr>
          <w:p w14:paraId="6701AB94" w14:textId="77777777" w:rsidR="00E93F58" w:rsidRPr="006E709F" w:rsidRDefault="00E93F58" w:rsidP="00A801D0">
            <w:pPr>
              <w:pStyle w:val="Tabletext"/>
            </w:pPr>
            <w:r w:rsidRPr="006E709F">
              <w:t>6311</w:t>
            </w:r>
          </w:p>
        </w:tc>
        <w:tc>
          <w:tcPr>
            <w:tcW w:w="4239" w:type="pct"/>
            <w:shd w:val="clear" w:color="auto" w:fill="auto"/>
          </w:tcPr>
          <w:p w14:paraId="46203F08" w14:textId="77777777" w:rsidR="00E93F58" w:rsidRPr="006E709F" w:rsidRDefault="00E93F58" w:rsidP="00A801D0">
            <w:pPr>
              <w:pStyle w:val="Tabletext"/>
            </w:pPr>
            <w:r w:rsidRPr="006E709F">
              <w:t>Executor</w:t>
            </w:r>
          </w:p>
        </w:tc>
      </w:tr>
      <w:tr w:rsidR="00E93F58" w:rsidRPr="006E709F" w14:paraId="69CE7288" w14:textId="77777777" w:rsidTr="00E118FA">
        <w:tc>
          <w:tcPr>
            <w:tcW w:w="761" w:type="pct"/>
            <w:shd w:val="clear" w:color="auto" w:fill="auto"/>
          </w:tcPr>
          <w:p w14:paraId="63E323ED" w14:textId="77777777" w:rsidR="00E93F58" w:rsidRPr="006E709F" w:rsidRDefault="00E93F58" w:rsidP="00A801D0">
            <w:pPr>
              <w:pStyle w:val="Tabletext"/>
            </w:pPr>
            <w:r w:rsidRPr="006E709F">
              <w:t>6312</w:t>
            </w:r>
          </w:p>
        </w:tc>
        <w:tc>
          <w:tcPr>
            <w:tcW w:w="4239" w:type="pct"/>
            <w:shd w:val="clear" w:color="auto" w:fill="auto"/>
          </w:tcPr>
          <w:p w14:paraId="1BE636BB" w14:textId="77777777" w:rsidR="00E93F58" w:rsidRPr="006E709F" w:rsidRDefault="00E93F58" w:rsidP="00A801D0">
            <w:pPr>
              <w:pStyle w:val="Tabletext"/>
            </w:pPr>
            <w:r w:rsidRPr="006E709F">
              <w:t>Friendly Society (other than in relation to the conduct of a financial business)</w:t>
            </w:r>
          </w:p>
        </w:tc>
      </w:tr>
      <w:tr w:rsidR="00E93F58" w:rsidRPr="006E709F" w14:paraId="3CF3620E" w14:textId="77777777" w:rsidTr="00E118FA">
        <w:tc>
          <w:tcPr>
            <w:tcW w:w="761" w:type="pct"/>
            <w:shd w:val="clear" w:color="auto" w:fill="auto"/>
          </w:tcPr>
          <w:p w14:paraId="300CBA00" w14:textId="77777777" w:rsidR="00E93F58" w:rsidRPr="006E709F" w:rsidRDefault="00E93F58" w:rsidP="00A801D0">
            <w:pPr>
              <w:pStyle w:val="Tabletext"/>
            </w:pPr>
            <w:r w:rsidRPr="006E709F">
              <w:t>6312A</w:t>
            </w:r>
          </w:p>
        </w:tc>
        <w:tc>
          <w:tcPr>
            <w:tcW w:w="4239" w:type="pct"/>
            <w:shd w:val="clear" w:color="auto" w:fill="auto"/>
          </w:tcPr>
          <w:p w14:paraId="73486FBC" w14:textId="77777777" w:rsidR="00E93F58" w:rsidRPr="006E709F" w:rsidRDefault="00E93F58" w:rsidP="00A801D0">
            <w:pPr>
              <w:pStyle w:val="Tabletext"/>
            </w:pPr>
            <w:r w:rsidRPr="006E709F">
              <w:t>GST</w:t>
            </w:r>
          </w:p>
        </w:tc>
      </w:tr>
      <w:tr w:rsidR="00E93F58" w:rsidRPr="006E709F" w14:paraId="25706D32" w14:textId="77777777" w:rsidTr="00E118FA">
        <w:tc>
          <w:tcPr>
            <w:tcW w:w="761" w:type="pct"/>
            <w:shd w:val="clear" w:color="auto" w:fill="auto"/>
          </w:tcPr>
          <w:p w14:paraId="60057625" w14:textId="77777777" w:rsidR="00E93F58" w:rsidRPr="006E709F" w:rsidRDefault="00E93F58" w:rsidP="00A801D0">
            <w:pPr>
              <w:pStyle w:val="Tabletext"/>
            </w:pPr>
            <w:r w:rsidRPr="006E709F">
              <w:t>6312B</w:t>
            </w:r>
          </w:p>
        </w:tc>
        <w:tc>
          <w:tcPr>
            <w:tcW w:w="4239" w:type="pct"/>
            <w:shd w:val="clear" w:color="auto" w:fill="auto"/>
          </w:tcPr>
          <w:p w14:paraId="4C925916" w14:textId="77777777" w:rsidR="00E93F58" w:rsidRPr="006E709F" w:rsidRDefault="00E93F58" w:rsidP="00A801D0">
            <w:pPr>
              <w:pStyle w:val="Tabletext"/>
            </w:pPr>
            <w:r w:rsidRPr="006E709F">
              <w:t>G.S.T.</w:t>
            </w:r>
          </w:p>
        </w:tc>
      </w:tr>
      <w:tr w:rsidR="00E93F58" w:rsidRPr="006E709F" w14:paraId="52A404DB" w14:textId="77777777" w:rsidTr="00E118FA">
        <w:tc>
          <w:tcPr>
            <w:tcW w:w="761" w:type="pct"/>
            <w:shd w:val="clear" w:color="auto" w:fill="auto"/>
          </w:tcPr>
          <w:p w14:paraId="6519E696" w14:textId="77777777" w:rsidR="00E93F58" w:rsidRPr="006E709F" w:rsidRDefault="00E93F58" w:rsidP="00A801D0">
            <w:pPr>
              <w:pStyle w:val="Tabletext"/>
            </w:pPr>
            <w:r w:rsidRPr="006E709F">
              <w:t>6313</w:t>
            </w:r>
          </w:p>
        </w:tc>
        <w:tc>
          <w:tcPr>
            <w:tcW w:w="4239" w:type="pct"/>
            <w:shd w:val="clear" w:color="auto" w:fill="auto"/>
          </w:tcPr>
          <w:p w14:paraId="2DAFF703" w14:textId="77777777" w:rsidR="00E93F58" w:rsidRPr="006E709F" w:rsidRDefault="00E93F58" w:rsidP="00A801D0">
            <w:pPr>
              <w:pStyle w:val="Tabletext"/>
            </w:pPr>
            <w:r w:rsidRPr="006E709F">
              <w:t>Guarantee</w:t>
            </w:r>
          </w:p>
        </w:tc>
      </w:tr>
      <w:tr w:rsidR="00E93F58" w:rsidRPr="006E709F" w14:paraId="43847AEF" w14:textId="77777777" w:rsidTr="00E118FA">
        <w:tc>
          <w:tcPr>
            <w:tcW w:w="761" w:type="pct"/>
            <w:shd w:val="clear" w:color="auto" w:fill="auto"/>
          </w:tcPr>
          <w:p w14:paraId="795B2C6F" w14:textId="77777777" w:rsidR="00E93F58" w:rsidRPr="006E709F" w:rsidRDefault="00E93F58" w:rsidP="00A801D0">
            <w:pPr>
              <w:pStyle w:val="Tabletext"/>
            </w:pPr>
            <w:r w:rsidRPr="006E709F">
              <w:t>6314</w:t>
            </w:r>
          </w:p>
        </w:tc>
        <w:tc>
          <w:tcPr>
            <w:tcW w:w="4239" w:type="pct"/>
            <w:shd w:val="clear" w:color="auto" w:fill="auto"/>
          </w:tcPr>
          <w:p w14:paraId="39C48739" w14:textId="77777777" w:rsidR="00E93F58" w:rsidRPr="006E709F" w:rsidRDefault="00E93F58" w:rsidP="00A801D0">
            <w:pPr>
              <w:pStyle w:val="Tabletext"/>
            </w:pPr>
            <w:r w:rsidRPr="006E709F">
              <w:t>Incorporated</w:t>
            </w:r>
          </w:p>
        </w:tc>
      </w:tr>
      <w:tr w:rsidR="00E93F58" w:rsidRPr="006E709F" w14:paraId="149C6828" w14:textId="77777777" w:rsidTr="00E118FA">
        <w:tc>
          <w:tcPr>
            <w:tcW w:w="761" w:type="pct"/>
            <w:shd w:val="clear" w:color="auto" w:fill="auto"/>
          </w:tcPr>
          <w:p w14:paraId="4C6D0BE0" w14:textId="77777777" w:rsidR="00E93F58" w:rsidRPr="006E709F" w:rsidRDefault="00E93F58" w:rsidP="00A801D0">
            <w:pPr>
              <w:pStyle w:val="Tabletext"/>
            </w:pPr>
            <w:r w:rsidRPr="006E709F">
              <w:t>6315</w:t>
            </w:r>
          </w:p>
        </w:tc>
        <w:tc>
          <w:tcPr>
            <w:tcW w:w="4239" w:type="pct"/>
            <w:shd w:val="clear" w:color="auto" w:fill="auto"/>
          </w:tcPr>
          <w:p w14:paraId="0E6D5D2E" w14:textId="77777777" w:rsidR="00E93F58" w:rsidRPr="006E709F" w:rsidRDefault="00E93F58" w:rsidP="00A801D0">
            <w:pPr>
              <w:pStyle w:val="Tabletext"/>
            </w:pPr>
            <w:r w:rsidRPr="006E709F">
              <w:t>Indigenous Corporation</w:t>
            </w:r>
          </w:p>
        </w:tc>
      </w:tr>
      <w:tr w:rsidR="00E93F58" w:rsidRPr="006E709F" w14:paraId="7671C464" w14:textId="77777777" w:rsidTr="00E118FA">
        <w:tc>
          <w:tcPr>
            <w:tcW w:w="761" w:type="pct"/>
            <w:shd w:val="clear" w:color="auto" w:fill="auto"/>
          </w:tcPr>
          <w:p w14:paraId="4F549415" w14:textId="77777777" w:rsidR="00E93F58" w:rsidRPr="006E709F" w:rsidRDefault="00E93F58" w:rsidP="00A801D0">
            <w:pPr>
              <w:pStyle w:val="Tabletext"/>
            </w:pPr>
            <w:r w:rsidRPr="006E709F">
              <w:t>6316</w:t>
            </w:r>
          </w:p>
        </w:tc>
        <w:tc>
          <w:tcPr>
            <w:tcW w:w="4239" w:type="pct"/>
            <w:shd w:val="clear" w:color="auto" w:fill="auto"/>
          </w:tcPr>
          <w:p w14:paraId="7AC1C364" w14:textId="77777777" w:rsidR="00E93F58" w:rsidRPr="006E709F" w:rsidRDefault="00E93F58" w:rsidP="00A801D0">
            <w:pPr>
              <w:pStyle w:val="Tabletext"/>
            </w:pPr>
            <w:r w:rsidRPr="006E709F">
              <w:t>Made in Australia</w:t>
            </w:r>
          </w:p>
        </w:tc>
      </w:tr>
      <w:tr w:rsidR="00E93F58" w:rsidRPr="006E709F" w14:paraId="20D29E10" w14:textId="77777777" w:rsidTr="00E118FA">
        <w:tc>
          <w:tcPr>
            <w:tcW w:w="761" w:type="pct"/>
            <w:shd w:val="clear" w:color="auto" w:fill="auto"/>
          </w:tcPr>
          <w:p w14:paraId="05883448" w14:textId="77777777" w:rsidR="00E93F58" w:rsidRPr="006E709F" w:rsidRDefault="00E93F58" w:rsidP="00A801D0">
            <w:pPr>
              <w:pStyle w:val="Tabletext"/>
            </w:pPr>
            <w:r w:rsidRPr="006E709F">
              <w:t>6316AA</w:t>
            </w:r>
          </w:p>
        </w:tc>
        <w:tc>
          <w:tcPr>
            <w:tcW w:w="4239" w:type="pct"/>
            <w:shd w:val="clear" w:color="auto" w:fill="auto"/>
          </w:tcPr>
          <w:p w14:paraId="554A5CB0" w14:textId="77777777" w:rsidR="00E93F58" w:rsidRPr="006E709F" w:rsidRDefault="00E93F58" w:rsidP="00A801D0">
            <w:pPr>
              <w:pStyle w:val="Tabletext"/>
            </w:pPr>
            <w:r w:rsidRPr="006E709F">
              <w:t>passport fund</w:t>
            </w:r>
          </w:p>
        </w:tc>
      </w:tr>
      <w:tr w:rsidR="00E93F58" w:rsidRPr="006E709F" w14:paraId="2F1EAB9A" w14:textId="77777777" w:rsidTr="00E118FA">
        <w:tc>
          <w:tcPr>
            <w:tcW w:w="761" w:type="pct"/>
            <w:shd w:val="clear" w:color="auto" w:fill="auto"/>
          </w:tcPr>
          <w:p w14:paraId="4B068249" w14:textId="77777777" w:rsidR="00E93F58" w:rsidRPr="006E709F" w:rsidRDefault="00E93F58" w:rsidP="00A801D0">
            <w:pPr>
              <w:pStyle w:val="Tabletext"/>
            </w:pPr>
            <w:r w:rsidRPr="006E709F">
              <w:t>6316A</w:t>
            </w:r>
          </w:p>
        </w:tc>
        <w:tc>
          <w:tcPr>
            <w:tcW w:w="4239" w:type="pct"/>
            <w:shd w:val="clear" w:color="auto" w:fill="auto"/>
          </w:tcPr>
          <w:p w14:paraId="53C10661" w14:textId="77777777" w:rsidR="00E93F58" w:rsidRPr="006E709F" w:rsidRDefault="00E93F58" w:rsidP="00A801D0">
            <w:pPr>
              <w:pStyle w:val="Tabletext"/>
            </w:pPr>
            <w:r w:rsidRPr="006E709F">
              <w:t>police</w:t>
            </w:r>
          </w:p>
        </w:tc>
      </w:tr>
      <w:tr w:rsidR="00E93F58" w:rsidRPr="006E709F" w14:paraId="362098C5" w14:textId="77777777" w:rsidTr="00E118FA">
        <w:tc>
          <w:tcPr>
            <w:tcW w:w="761" w:type="pct"/>
            <w:shd w:val="clear" w:color="auto" w:fill="auto"/>
          </w:tcPr>
          <w:p w14:paraId="46AA1028" w14:textId="77777777" w:rsidR="00E93F58" w:rsidRPr="006E709F" w:rsidRDefault="00E93F58" w:rsidP="00A801D0">
            <w:pPr>
              <w:pStyle w:val="Tabletext"/>
            </w:pPr>
            <w:r w:rsidRPr="006E709F">
              <w:t>6316B</w:t>
            </w:r>
          </w:p>
        </w:tc>
        <w:tc>
          <w:tcPr>
            <w:tcW w:w="4239" w:type="pct"/>
            <w:shd w:val="clear" w:color="auto" w:fill="auto"/>
          </w:tcPr>
          <w:p w14:paraId="053AA6E0" w14:textId="77777777" w:rsidR="00E93F58" w:rsidRPr="006E709F" w:rsidRDefault="00E93F58" w:rsidP="00A801D0">
            <w:pPr>
              <w:pStyle w:val="Tabletext"/>
            </w:pPr>
            <w:r w:rsidRPr="006E709F">
              <w:t>policing</w:t>
            </w:r>
          </w:p>
        </w:tc>
      </w:tr>
      <w:tr w:rsidR="00E93F58" w:rsidRPr="006E709F" w14:paraId="1DC529E1" w14:textId="77777777" w:rsidTr="00E118FA">
        <w:tc>
          <w:tcPr>
            <w:tcW w:w="761" w:type="pct"/>
            <w:shd w:val="clear" w:color="auto" w:fill="auto"/>
          </w:tcPr>
          <w:p w14:paraId="1B919CA7" w14:textId="77777777" w:rsidR="00E93F58" w:rsidRPr="006E709F" w:rsidRDefault="00E93F58" w:rsidP="00A801D0">
            <w:pPr>
              <w:pStyle w:val="Tabletext"/>
            </w:pPr>
            <w:r w:rsidRPr="006E709F">
              <w:t>6317</w:t>
            </w:r>
          </w:p>
        </w:tc>
        <w:tc>
          <w:tcPr>
            <w:tcW w:w="4239" w:type="pct"/>
            <w:shd w:val="clear" w:color="auto" w:fill="auto"/>
          </w:tcPr>
          <w:p w14:paraId="3C337967" w14:textId="77777777" w:rsidR="00E93F58" w:rsidRPr="006E709F" w:rsidRDefault="00E93F58" w:rsidP="00A801D0">
            <w:pPr>
              <w:pStyle w:val="Tabletext"/>
            </w:pPr>
            <w:r w:rsidRPr="006E709F">
              <w:t>R.S.L.</w:t>
            </w:r>
          </w:p>
        </w:tc>
      </w:tr>
      <w:tr w:rsidR="00E93F58" w:rsidRPr="006E709F" w14:paraId="6AFBCBBC" w14:textId="77777777" w:rsidTr="00E118FA">
        <w:tc>
          <w:tcPr>
            <w:tcW w:w="761" w:type="pct"/>
            <w:shd w:val="clear" w:color="auto" w:fill="auto"/>
          </w:tcPr>
          <w:p w14:paraId="2FE45ED4" w14:textId="77777777" w:rsidR="00E93F58" w:rsidRPr="006E709F" w:rsidRDefault="00E93F58" w:rsidP="00A801D0">
            <w:pPr>
              <w:pStyle w:val="Tabletext"/>
            </w:pPr>
            <w:r w:rsidRPr="006E709F">
              <w:t>6317A</w:t>
            </w:r>
          </w:p>
        </w:tc>
        <w:tc>
          <w:tcPr>
            <w:tcW w:w="4239" w:type="pct"/>
            <w:shd w:val="clear" w:color="auto" w:fill="auto"/>
          </w:tcPr>
          <w:p w14:paraId="6716A66F" w14:textId="77777777" w:rsidR="00E93F58" w:rsidRPr="006E709F" w:rsidRDefault="00E93F58" w:rsidP="00A801D0">
            <w:pPr>
              <w:pStyle w:val="Tabletext"/>
            </w:pPr>
            <w:r w:rsidRPr="006E709F">
              <w:t>RSL</w:t>
            </w:r>
          </w:p>
        </w:tc>
      </w:tr>
      <w:tr w:rsidR="00E93F58" w:rsidRPr="006E709F" w14:paraId="00EC728E" w14:textId="77777777" w:rsidTr="00E118FA">
        <w:tc>
          <w:tcPr>
            <w:tcW w:w="761" w:type="pct"/>
            <w:shd w:val="clear" w:color="auto" w:fill="auto"/>
          </w:tcPr>
          <w:p w14:paraId="58C3DC36" w14:textId="77777777" w:rsidR="00E93F58" w:rsidRPr="006E709F" w:rsidRDefault="00E93F58" w:rsidP="00A801D0">
            <w:pPr>
              <w:pStyle w:val="Tabletext"/>
            </w:pPr>
            <w:r w:rsidRPr="006E709F">
              <w:t>6318</w:t>
            </w:r>
          </w:p>
        </w:tc>
        <w:tc>
          <w:tcPr>
            <w:tcW w:w="4239" w:type="pct"/>
            <w:shd w:val="clear" w:color="auto" w:fill="auto"/>
          </w:tcPr>
          <w:p w14:paraId="6CE3F9A0" w14:textId="77777777" w:rsidR="00E93F58" w:rsidRPr="006E709F" w:rsidRDefault="00E93F58" w:rsidP="00A801D0">
            <w:pPr>
              <w:pStyle w:val="Tabletext"/>
            </w:pPr>
            <w:r w:rsidRPr="006E709F">
              <w:t>Starr Bowkett</w:t>
            </w:r>
          </w:p>
        </w:tc>
      </w:tr>
      <w:tr w:rsidR="00E93F58" w:rsidRPr="006E709F" w14:paraId="2E5F603E" w14:textId="77777777" w:rsidTr="00E118FA">
        <w:tc>
          <w:tcPr>
            <w:tcW w:w="761" w:type="pct"/>
            <w:shd w:val="clear" w:color="auto" w:fill="auto"/>
          </w:tcPr>
          <w:p w14:paraId="09F355C8" w14:textId="77777777" w:rsidR="00E93F58" w:rsidRPr="006E709F" w:rsidRDefault="00E93F58" w:rsidP="00A801D0">
            <w:pPr>
              <w:pStyle w:val="Tabletext"/>
            </w:pPr>
            <w:r w:rsidRPr="006E709F">
              <w:t>6319</w:t>
            </w:r>
          </w:p>
        </w:tc>
        <w:tc>
          <w:tcPr>
            <w:tcW w:w="4239" w:type="pct"/>
            <w:shd w:val="clear" w:color="auto" w:fill="auto"/>
          </w:tcPr>
          <w:p w14:paraId="572E82DE" w14:textId="77777777" w:rsidR="00E93F58" w:rsidRPr="006E709F" w:rsidRDefault="00E93F58" w:rsidP="00A801D0">
            <w:pPr>
              <w:pStyle w:val="Tabletext"/>
            </w:pPr>
            <w:r w:rsidRPr="006E709F">
              <w:t>Stock Exchange</w:t>
            </w:r>
          </w:p>
        </w:tc>
      </w:tr>
      <w:tr w:rsidR="00E93F58" w:rsidRPr="006E709F" w14:paraId="52B03FF9" w14:textId="77777777" w:rsidTr="00E118FA">
        <w:tc>
          <w:tcPr>
            <w:tcW w:w="761" w:type="pct"/>
            <w:shd w:val="clear" w:color="auto" w:fill="auto"/>
          </w:tcPr>
          <w:p w14:paraId="1BFC07BD" w14:textId="77777777" w:rsidR="00E93F58" w:rsidRPr="006E709F" w:rsidRDefault="00E93F58" w:rsidP="00A801D0">
            <w:pPr>
              <w:pStyle w:val="Tabletext"/>
            </w:pPr>
            <w:r w:rsidRPr="006E709F">
              <w:t>6319A</w:t>
            </w:r>
          </w:p>
        </w:tc>
        <w:tc>
          <w:tcPr>
            <w:tcW w:w="4239" w:type="pct"/>
            <w:shd w:val="clear" w:color="auto" w:fill="auto"/>
          </w:tcPr>
          <w:p w14:paraId="2EC18FA4" w14:textId="77777777" w:rsidR="00E93F58" w:rsidRPr="006E709F" w:rsidRDefault="00E93F58" w:rsidP="00A801D0">
            <w:pPr>
              <w:pStyle w:val="Tabletext"/>
            </w:pPr>
            <w:r w:rsidRPr="006E709F">
              <w:t>Torres Strait Islander and Aboriginal Corporation</w:t>
            </w:r>
          </w:p>
        </w:tc>
      </w:tr>
      <w:tr w:rsidR="00E93F58" w:rsidRPr="006E709F" w14:paraId="27100DE5" w14:textId="77777777" w:rsidTr="00E118FA">
        <w:tc>
          <w:tcPr>
            <w:tcW w:w="761" w:type="pct"/>
            <w:shd w:val="clear" w:color="auto" w:fill="auto"/>
          </w:tcPr>
          <w:p w14:paraId="4E93128A" w14:textId="77777777" w:rsidR="00E93F58" w:rsidRPr="006E709F" w:rsidRDefault="00E93F58" w:rsidP="00A801D0">
            <w:pPr>
              <w:pStyle w:val="Tabletext"/>
            </w:pPr>
            <w:r w:rsidRPr="006E709F">
              <w:t>6320</w:t>
            </w:r>
          </w:p>
        </w:tc>
        <w:tc>
          <w:tcPr>
            <w:tcW w:w="4239" w:type="pct"/>
            <w:shd w:val="clear" w:color="auto" w:fill="auto"/>
          </w:tcPr>
          <w:p w14:paraId="7B3B253A" w14:textId="77777777" w:rsidR="00E93F58" w:rsidRPr="006E709F" w:rsidRDefault="00E93F58" w:rsidP="00A801D0">
            <w:pPr>
              <w:pStyle w:val="Tabletext"/>
            </w:pPr>
            <w:r w:rsidRPr="006E709F">
              <w:t>Torres Strait Islander Corporation</w:t>
            </w:r>
          </w:p>
        </w:tc>
      </w:tr>
      <w:tr w:rsidR="00E93F58" w:rsidRPr="006E709F" w14:paraId="2927C9B5" w14:textId="77777777" w:rsidTr="00E118FA">
        <w:tc>
          <w:tcPr>
            <w:tcW w:w="761" w:type="pct"/>
            <w:tcBorders>
              <w:bottom w:val="single" w:sz="4" w:space="0" w:color="auto"/>
            </w:tcBorders>
            <w:shd w:val="clear" w:color="auto" w:fill="auto"/>
          </w:tcPr>
          <w:p w14:paraId="2DF1CC5B" w14:textId="77777777" w:rsidR="00E93F58" w:rsidRPr="006E709F" w:rsidRDefault="00E93F58" w:rsidP="00A801D0">
            <w:pPr>
              <w:pStyle w:val="Tabletext"/>
            </w:pPr>
            <w:r w:rsidRPr="006E709F">
              <w:t>6321</w:t>
            </w:r>
          </w:p>
        </w:tc>
        <w:tc>
          <w:tcPr>
            <w:tcW w:w="4239" w:type="pct"/>
            <w:tcBorders>
              <w:bottom w:val="single" w:sz="4" w:space="0" w:color="auto"/>
            </w:tcBorders>
            <w:shd w:val="clear" w:color="auto" w:fill="auto"/>
          </w:tcPr>
          <w:p w14:paraId="30398172" w14:textId="77777777" w:rsidR="00E93F58" w:rsidRPr="006E709F" w:rsidRDefault="00E93F58" w:rsidP="00A801D0">
            <w:pPr>
              <w:pStyle w:val="Tabletext"/>
            </w:pPr>
            <w:r w:rsidRPr="006E709F">
              <w:t>Trust</w:t>
            </w:r>
          </w:p>
        </w:tc>
      </w:tr>
      <w:tr w:rsidR="00E93F58" w:rsidRPr="006E709F" w14:paraId="30F75A0D" w14:textId="77777777" w:rsidTr="00E118FA">
        <w:tc>
          <w:tcPr>
            <w:tcW w:w="761" w:type="pct"/>
            <w:tcBorders>
              <w:bottom w:val="single" w:sz="12" w:space="0" w:color="auto"/>
            </w:tcBorders>
            <w:shd w:val="clear" w:color="auto" w:fill="auto"/>
          </w:tcPr>
          <w:p w14:paraId="7671EFAE" w14:textId="77777777" w:rsidR="00E93F58" w:rsidRPr="006E709F" w:rsidRDefault="00E93F58" w:rsidP="00A801D0">
            <w:pPr>
              <w:pStyle w:val="Tabletext"/>
            </w:pPr>
            <w:r w:rsidRPr="006E709F">
              <w:t>6322</w:t>
            </w:r>
          </w:p>
        </w:tc>
        <w:tc>
          <w:tcPr>
            <w:tcW w:w="4239" w:type="pct"/>
            <w:tcBorders>
              <w:bottom w:val="single" w:sz="12" w:space="0" w:color="auto"/>
            </w:tcBorders>
            <w:shd w:val="clear" w:color="auto" w:fill="auto"/>
          </w:tcPr>
          <w:p w14:paraId="0C04D8A1" w14:textId="77777777" w:rsidR="00E93F58" w:rsidRPr="006E709F" w:rsidRDefault="00E93F58" w:rsidP="00A801D0">
            <w:pPr>
              <w:pStyle w:val="Tabletext"/>
            </w:pPr>
            <w:r w:rsidRPr="006E709F">
              <w:t>Trustee</w:t>
            </w:r>
          </w:p>
        </w:tc>
      </w:tr>
    </w:tbl>
    <w:p w14:paraId="1C467C17" w14:textId="77777777" w:rsidR="00E93F58" w:rsidRPr="006E709F" w:rsidRDefault="00E93F58" w:rsidP="002A717F">
      <w:pPr>
        <w:pStyle w:val="ActHead2"/>
        <w:pageBreakBefore/>
      </w:pPr>
      <w:bookmarkStart w:id="3288" w:name="_Toc151992394"/>
      <w:bookmarkStart w:id="3289" w:name="_Toc158713431"/>
      <w:r w:rsidRPr="000C4237">
        <w:rPr>
          <w:rStyle w:val="CharPartNo"/>
        </w:rPr>
        <w:lastRenderedPageBreak/>
        <w:t>Part 4</w:t>
      </w:r>
      <w:r w:rsidRPr="006E709F">
        <w:t>—</w:t>
      </w:r>
      <w:r w:rsidRPr="000C4237">
        <w:rPr>
          <w:rStyle w:val="CharPartText"/>
        </w:rPr>
        <w:t>Consent required to use restricted words and phrases</w:t>
      </w:r>
      <w:bookmarkEnd w:id="3288"/>
      <w:bookmarkEnd w:id="3289"/>
    </w:p>
    <w:p w14:paraId="57135040"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16"/>
        <w:gridCol w:w="4902"/>
        <w:gridCol w:w="4255"/>
      </w:tblGrid>
      <w:tr w:rsidR="00E93F58" w:rsidRPr="006E709F" w14:paraId="10424068" w14:textId="77777777" w:rsidTr="00E118FA">
        <w:trPr>
          <w:tblHeader/>
        </w:trPr>
        <w:tc>
          <w:tcPr>
            <w:tcW w:w="750" w:type="pct"/>
            <w:tcBorders>
              <w:top w:val="single" w:sz="12" w:space="0" w:color="auto"/>
              <w:bottom w:val="single" w:sz="6" w:space="0" w:color="auto"/>
            </w:tcBorders>
            <w:shd w:val="clear" w:color="auto" w:fill="auto"/>
          </w:tcPr>
          <w:p w14:paraId="1AFA958C" w14:textId="77777777" w:rsidR="00E93F58" w:rsidRPr="006E709F" w:rsidRDefault="00E93F58" w:rsidP="00A801D0">
            <w:pPr>
              <w:pStyle w:val="TableHeading"/>
            </w:pPr>
            <w:r w:rsidRPr="006E709F">
              <w:t>Column 1</w:t>
            </w:r>
          </w:p>
        </w:tc>
        <w:tc>
          <w:tcPr>
            <w:tcW w:w="2275" w:type="pct"/>
            <w:tcBorders>
              <w:top w:val="single" w:sz="12" w:space="0" w:color="auto"/>
              <w:bottom w:val="single" w:sz="6" w:space="0" w:color="auto"/>
            </w:tcBorders>
            <w:shd w:val="clear" w:color="auto" w:fill="auto"/>
          </w:tcPr>
          <w:p w14:paraId="1A47DDB9" w14:textId="77777777" w:rsidR="00E93F58" w:rsidRPr="006E709F" w:rsidRDefault="00E93F58" w:rsidP="00A801D0">
            <w:pPr>
              <w:pStyle w:val="TableHeading"/>
            </w:pPr>
            <w:r w:rsidRPr="006E709F">
              <w:t>Column 2</w:t>
            </w:r>
          </w:p>
        </w:tc>
        <w:tc>
          <w:tcPr>
            <w:tcW w:w="1975" w:type="pct"/>
            <w:tcBorders>
              <w:top w:val="single" w:sz="12" w:space="0" w:color="auto"/>
              <w:bottom w:val="single" w:sz="6" w:space="0" w:color="auto"/>
            </w:tcBorders>
            <w:shd w:val="clear" w:color="auto" w:fill="auto"/>
          </w:tcPr>
          <w:p w14:paraId="5211CF15" w14:textId="77777777" w:rsidR="00E93F58" w:rsidRPr="006E709F" w:rsidRDefault="00E93F58" w:rsidP="00A801D0">
            <w:pPr>
              <w:pStyle w:val="TableHeading"/>
            </w:pPr>
            <w:r w:rsidRPr="006E709F">
              <w:t>Column 3</w:t>
            </w:r>
          </w:p>
        </w:tc>
      </w:tr>
      <w:tr w:rsidR="00E93F58" w:rsidRPr="006E709F" w14:paraId="248A454D" w14:textId="77777777" w:rsidTr="00E118FA">
        <w:trPr>
          <w:tblHeader/>
        </w:trPr>
        <w:tc>
          <w:tcPr>
            <w:tcW w:w="750" w:type="pct"/>
            <w:tcBorders>
              <w:top w:val="single" w:sz="6" w:space="0" w:color="auto"/>
              <w:bottom w:val="single" w:sz="12" w:space="0" w:color="auto"/>
            </w:tcBorders>
            <w:shd w:val="clear" w:color="auto" w:fill="auto"/>
          </w:tcPr>
          <w:p w14:paraId="58AD9F36" w14:textId="77777777" w:rsidR="00E93F58" w:rsidRPr="006E709F" w:rsidRDefault="00E93F58" w:rsidP="005133DE">
            <w:pPr>
              <w:pStyle w:val="TableHeading"/>
            </w:pPr>
            <w:r w:rsidRPr="006E709F">
              <w:t>Item</w:t>
            </w:r>
          </w:p>
        </w:tc>
        <w:tc>
          <w:tcPr>
            <w:tcW w:w="2275" w:type="pct"/>
            <w:tcBorders>
              <w:top w:val="single" w:sz="6" w:space="0" w:color="auto"/>
              <w:bottom w:val="single" w:sz="12" w:space="0" w:color="auto"/>
            </w:tcBorders>
            <w:shd w:val="clear" w:color="auto" w:fill="auto"/>
          </w:tcPr>
          <w:p w14:paraId="17C1B4C2" w14:textId="77777777" w:rsidR="00E93F58" w:rsidRPr="006E709F" w:rsidRDefault="00E93F58" w:rsidP="005133DE">
            <w:pPr>
              <w:pStyle w:val="TableHeading"/>
            </w:pPr>
            <w:r w:rsidRPr="006E709F">
              <w:t>Word or phrase</w:t>
            </w:r>
          </w:p>
        </w:tc>
        <w:tc>
          <w:tcPr>
            <w:tcW w:w="1975" w:type="pct"/>
            <w:tcBorders>
              <w:top w:val="single" w:sz="6" w:space="0" w:color="auto"/>
              <w:bottom w:val="single" w:sz="12" w:space="0" w:color="auto"/>
            </w:tcBorders>
            <w:shd w:val="clear" w:color="auto" w:fill="auto"/>
          </w:tcPr>
          <w:p w14:paraId="7D403DA8" w14:textId="77777777" w:rsidR="00E93F58" w:rsidRPr="006E709F" w:rsidRDefault="00E93F58" w:rsidP="005133DE">
            <w:pPr>
              <w:pStyle w:val="TableHeading"/>
            </w:pPr>
            <w:r w:rsidRPr="006E709F">
              <w:t>Minister</w:t>
            </w:r>
          </w:p>
        </w:tc>
      </w:tr>
      <w:tr w:rsidR="00E93F58" w:rsidRPr="006E709F" w14:paraId="4CC5087E" w14:textId="77777777" w:rsidTr="00E118FA">
        <w:tc>
          <w:tcPr>
            <w:tcW w:w="750" w:type="pct"/>
            <w:tcBorders>
              <w:top w:val="single" w:sz="12" w:space="0" w:color="auto"/>
            </w:tcBorders>
            <w:shd w:val="clear" w:color="auto" w:fill="auto"/>
          </w:tcPr>
          <w:p w14:paraId="67916AC5" w14:textId="77777777" w:rsidR="00E93F58" w:rsidRPr="006E709F" w:rsidRDefault="00E93F58" w:rsidP="00A801D0">
            <w:pPr>
              <w:pStyle w:val="Tabletext"/>
            </w:pPr>
            <w:r w:rsidRPr="006E709F">
              <w:t>6401</w:t>
            </w:r>
          </w:p>
        </w:tc>
        <w:tc>
          <w:tcPr>
            <w:tcW w:w="2275" w:type="pct"/>
            <w:tcBorders>
              <w:top w:val="single" w:sz="12" w:space="0" w:color="auto"/>
            </w:tcBorders>
            <w:shd w:val="clear" w:color="auto" w:fill="auto"/>
          </w:tcPr>
          <w:p w14:paraId="50B9F290" w14:textId="77777777" w:rsidR="00E93F58" w:rsidRPr="006E709F" w:rsidRDefault="00E93F58" w:rsidP="00A801D0">
            <w:pPr>
              <w:pStyle w:val="Tabletext"/>
            </w:pPr>
            <w:r w:rsidRPr="006E709F">
              <w:t>Anzac</w:t>
            </w:r>
          </w:p>
        </w:tc>
        <w:tc>
          <w:tcPr>
            <w:tcW w:w="1975" w:type="pct"/>
            <w:tcBorders>
              <w:top w:val="single" w:sz="12" w:space="0" w:color="auto"/>
            </w:tcBorders>
            <w:shd w:val="clear" w:color="auto" w:fill="auto"/>
          </w:tcPr>
          <w:p w14:paraId="089B66D7" w14:textId="77777777" w:rsidR="00E93F58" w:rsidRPr="006E709F" w:rsidRDefault="00E93F58" w:rsidP="00A801D0">
            <w:pPr>
              <w:pStyle w:val="Tabletext"/>
            </w:pPr>
            <w:r w:rsidRPr="006E709F">
              <w:t>Minister for Veterans’ Affairs</w:t>
            </w:r>
          </w:p>
        </w:tc>
      </w:tr>
      <w:tr w:rsidR="00E93F58" w:rsidRPr="006E709F" w14:paraId="29B66EC6" w14:textId="77777777" w:rsidTr="00E118FA">
        <w:tc>
          <w:tcPr>
            <w:tcW w:w="750" w:type="pct"/>
            <w:shd w:val="clear" w:color="auto" w:fill="auto"/>
          </w:tcPr>
          <w:p w14:paraId="3DE3A111" w14:textId="77777777" w:rsidR="00E93F58" w:rsidRPr="006E709F" w:rsidRDefault="00E93F58" w:rsidP="00A801D0">
            <w:pPr>
              <w:pStyle w:val="Tabletext"/>
            </w:pPr>
            <w:r w:rsidRPr="006E709F">
              <w:t>6403</w:t>
            </w:r>
          </w:p>
        </w:tc>
        <w:tc>
          <w:tcPr>
            <w:tcW w:w="2275" w:type="pct"/>
            <w:shd w:val="clear" w:color="auto" w:fill="auto"/>
          </w:tcPr>
          <w:p w14:paraId="60A6D41A" w14:textId="77777777" w:rsidR="00E93F58" w:rsidRPr="006E709F" w:rsidRDefault="00E93F58" w:rsidP="00A801D0">
            <w:pPr>
              <w:pStyle w:val="Tabletext"/>
            </w:pPr>
            <w:r w:rsidRPr="006E709F">
              <w:t>Geneva Cross, Red Crescent, Red Cross, Red Lion and Sun</w:t>
            </w:r>
          </w:p>
        </w:tc>
        <w:tc>
          <w:tcPr>
            <w:tcW w:w="1975" w:type="pct"/>
            <w:shd w:val="clear" w:color="auto" w:fill="auto"/>
          </w:tcPr>
          <w:p w14:paraId="7B23DBDC" w14:textId="77777777" w:rsidR="00E93F58" w:rsidRPr="006E709F" w:rsidRDefault="00E93F58" w:rsidP="00A801D0">
            <w:pPr>
              <w:pStyle w:val="Tabletext"/>
            </w:pPr>
            <w:r w:rsidRPr="006E709F">
              <w:t>Minister for Defence</w:t>
            </w:r>
          </w:p>
        </w:tc>
      </w:tr>
      <w:tr w:rsidR="00E93F58" w:rsidRPr="006E709F" w14:paraId="2F1DB54E" w14:textId="77777777" w:rsidTr="00E118FA">
        <w:tc>
          <w:tcPr>
            <w:tcW w:w="750" w:type="pct"/>
            <w:tcBorders>
              <w:bottom w:val="single" w:sz="4" w:space="0" w:color="auto"/>
            </w:tcBorders>
            <w:shd w:val="clear" w:color="auto" w:fill="auto"/>
          </w:tcPr>
          <w:p w14:paraId="56C4727A" w14:textId="77777777" w:rsidR="00E93F58" w:rsidRPr="006E709F" w:rsidRDefault="00E93F58" w:rsidP="00A801D0">
            <w:pPr>
              <w:pStyle w:val="Tabletext"/>
            </w:pPr>
            <w:r w:rsidRPr="006E709F">
              <w:t>6405</w:t>
            </w:r>
          </w:p>
        </w:tc>
        <w:tc>
          <w:tcPr>
            <w:tcW w:w="2275" w:type="pct"/>
            <w:tcBorders>
              <w:bottom w:val="single" w:sz="4" w:space="0" w:color="auto"/>
            </w:tcBorders>
            <w:shd w:val="clear" w:color="auto" w:fill="auto"/>
          </w:tcPr>
          <w:p w14:paraId="49689646" w14:textId="77777777" w:rsidR="00E93F58" w:rsidRPr="006E709F" w:rsidRDefault="00E93F58" w:rsidP="00A801D0">
            <w:pPr>
              <w:pStyle w:val="Tabletext"/>
            </w:pPr>
            <w:r w:rsidRPr="006E709F">
              <w:t>United Nations</w:t>
            </w:r>
          </w:p>
        </w:tc>
        <w:tc>
          <w:tcPr>
            <w:tcW w:w="1975" w:type="pct"/>
            <w:tcBorders>
              <w:bottom w:val="single" w:sz="4" w:space="0" w:color="auto"/>
            </w:tcBorders>
            <w:shd w:val="clear" w:color="auto" w:fill="auto"/>
          </w:tcPr>
          <w:p w14:paraId="4C59E11B" w14:textId="77777777" w:rsidR="00E93F58" w:rsidRPr="006E709F" w:rsidRDefault="00E93F58" w:rsidP="00A801D0">
            <w:pPr>
              <w:pStyle w:val="Tabletext"/>
            </w:pPr>
            <w:r w:rsidRPr="006E709F">
              <w:t>Minister for Foreign Affairs</w:t>
            </w:r>
          </w:p>
        </w:tc>
      </w:tr>
      <w:tr w:rsidR="00E93F58" w:rsidRPr="006E709F" w14:paraId="2E285D1A" w14:textId="77777777" w:rsidTr="00E118FA">
        <w:tc>
          <w:tcPr>
            <w:tcW w:w="750" w:type="pct"/>
            <w:tcBorders>
              <w:bottom w:val="single" w:sz="12" w:space="0" w:color="auto"/>
            </w:tcBorders>
            <w:shd w:val="clear" w:color="auto" w:fill="auto"/>
          </w:tcPr>
          <w:p w14:paraId="21C14BC7" w14:textId="77777777" w:rsidR="00E93F58" w:rsidRPr="006E709F" w:rsidRDefault="00E93F58" w:rsidP="00A801D0">
            <w:pPr>
              <w:pStyle w:val="Tabletext"/>
            </w:pPr>
            <w:r w:rsidRPr="006E709F">
              <w:t>6406</w:t>
            </w:r>
          </w:p>
        </w:tc>
        <w:tc>
          <w:tcPr>
            <w:tcW w:w="2275" w:type="pct"/>
            <w:tcBorders>
              <w:bottom w:val="single" w:sz="12" w:space="0" w:color="auto"/>
            </w:tcBorders>
            <w:shd w:val="clear" w:color="auto" w:fill="auto"/>
          </w:tcPr>
          <w:p w14:paraId="0F84CDFD" w14:textId="77777777" w:rsidR="00E93F58" w:rsidRPr="006E709F" w:rsidRDefault="00E93F58" w:rsidP="00A801D0">
            <w:pPr>
              <w:pStyle w:val="Tabletext"/>
            </w:pPr>
            <w:r w:rsidRPr="006E709F">
              <w:t>University</w:t>
            </w:r>
          </w:p>
        </w:tc>
        <w:tc>
          <w:tcPr>
            <w:tcW w:w="1975" w:type="pct"/>
            <w:tcBorders>
              <w:bottom w:val="single" w:sz="12" w:space="0" w:color="auto"/>
            </w:tcBorders>
            <w:shd w:val="clear" w:color="auto" w:fill="auto"/>
          </w:tcPr>
          <w:p w14:paraId="74DF1B54" w14:textId="77777777" w:rsidR="00E93F58" w:rsidRPr="006E709F" w:rsidRDefault="00E93F58" w:rsidP="00A801D0">
            <w:pPr>
              <w:pStyle w:val="Tabletext"/>
            </w:pPr>
            <w:r w:rsidRPr="006E709F">
              <w:t>Minister for Education, Training and Youth Affairs</w:t>
            </w:r>
          </w:p>
        </w:tc>
      </w:tr>
    </w:tbl>
    <w:p w14:paraId="5D888463" w14:textId="77777777" w:rsidR="00E93F58" w:rsidRPr="006E709F" w:rsidRDefault="00E93F58" w:rsidP="00A801D0">
      <w:pPr>
        <w:pStyle w:val="ActHead2"/>
        <w:pageBreakBefore/>
      </w:pPr>
      <w:bookmarkStart w:id="3290" w:name="_Toc151992395"/>
      <w:bookmarkStart w:id="3291" w:name="_Toc158713432"/>
      <w:r w:rsidRPr="000C4237">
        <w:rPr>
          <w:rStyle w:val="CharPartNo"/>
        </w:rPr>
        <w:lastRenderedPageBreak/>
        <w:t>Part 5</w:t>
      </w:r>
      <w:r w:rsidRPr="006E709F">
        <w:t>—</w:t>
      </w:r>
      <w:r w:rsidRPr="000C4237">
        <w:rPr>
          <w:rStyle w:val="CharPartText"/>
        </w:rPr>
        <w:t>Names relating to financial institutions for use of which consent is required</w:t>
      </w:r>
      <w:bookmarkEnd w:id="3290"/>
      <w:bookmarkEnd w:id="3291"/>
    </w:p>
    <w:p w14:paraId="594BB0EA"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59"/>
        <w:gridCol w:w="4971"/>
        <w:gridCol w:w="4143"/>
      </w:tblGrid>
      <w:tr w:rsidR="00E93F58" w:rsidRPr="006E709F" w14:paraId="2EB02574" w14:textId="77777777" w:rsidTr="00E118FA">
        <w:trPr>
          <w:tblHeader/>
        </w:trPr>
        <w:tc>
          <w:tcPr>
            <w:tcW w:w="770" w:type="pct"/>
            <w:tcBorders>
              <w:top w:val="single" w:sz="12" w:space="0" w:color="auto"/>
              <w:bottom w:val="single" w:sz="12" w:space="0" w:color="auto"/>
            </w:tcBorders>
            <w:shd w:val="clear" w:color="auto" w:fill="auto"/>
          </w:tcPr>
          <w:p w14:paraId="47CEF0E0" w14:textId="77777777" w:rsidR="00E93F58" w:rsidRPr="006E709F" w:rsidRDefault="00E93F58" w:rsidP="00A801D0">
            <w:pPr>
              <w:pStyle w:val="TableHeading"/>
            </w:pPr>
            <w:r w:rsidRPr="006E709F">
              <w:br/>
              <w:t>Item</w:t>
            </w:r>
          </w:p>
        </w:tc>
        <w:tc>
          <w:tcPr>
            <w:tcW w:w="2307" w:type="pct"/>
            <w:tcBorders>
              <w:top w:val="single" w:sz="12" w:space="0" w:color="auto"/>
              <w:bottom w:val="single" w:sz="12" w:space="0" w:color="auto"/>
            </w:tcBorders>
            <w:shd w:val="clear" w:color="auto" w:fill="auto"/>
          </w:tcPr>
          <w:p w14:paraId="68FBA27B" w14:textId="77777777" w:rsidR="00E93F58" w:rsidRPr="006E709F" w:rsidRDefault="00E93F58" w:rsidP="00A801D0">
            <w:pPr>
              <w:pStyle w:val="TableHeading"/>
            </w:pPr>
            <w:r w:rsidRPr="006E709F">
              <w:br/>
              <w:t>Letters, word or expression</w:t>
            </w:r>
          </w:p>
        </w:tc>
        <w:tc>
          <w:tcPr>
            <w:tcW w:w="1923" w:type="pct"/>
            <w:tcBorders>
              <w:top w:val="single" w:sz="12" w:space="0" w:color="auto"/>
              <w:bottom w:val="single" w:sz="12" w:space="0" w:color="auto"/>
            </w:tcBorders>
            <w:shd w:val="clear" w:color="auto" w:fill="auto"/>
          </w:tcPr>
          <w:p w14:paraId="1895321C" w14:textId="77777777" w:rsidR="00E93F58" w:rsidRPr="006E709F" w:rsidRDefault="00E93F58" w:rsidP="00A801D0">
            <w:pPr>
              <w:pStyle w:val="TableHeading"/>
            </w:pPr>
            <w:r w:rsidRPr="006E709F">
              <w:t>Public authority, instrumentality or agency</w:t>
            </w:r>
          </w:p>
        </w:tc>
      </w:tr>
      <w:tr w:rsidR="00E93F58" w:rsidRPr="006E709F" w14:paraId="74F1AF99" w14:textId="77777777" w:rsidTr="00E118FA">
        <w:tc>
          <w:tcPr>
            <w:tcW w:w="770" w:type="pct"/>
            <w:tcBorders>
              <w:top w:val="single" w:sz="12" w:space="0" w:color="auto"/>
            </w:tcBorders>
            <w:shd w:val="clear" w:color="auto" w:fill="auto"/>
          </w:tcPr>
          <w:p w14:paraId="36999F58" w14:textId="77777777" w:rsidR="00E93F58" w:rsidRPr="006E709F" w:rsidRDefault="00E93F58" w:rsidP="00A801D0">
            <w:pPr>
              <w:pStyle w:val="Tabletext"/>
            </w:pPr>
            <w:r w:rsidRPr="006E709F">
              <w:t>6501</w:t>
            </w:r>
          </w:p>
        </w:tc>
        <w:tc>
          <w:tcPr>
            <w:tcW w:w="2307" w:type="pct"/>
            <w:tcBorders>
              <w:top w:val="single" w:sz="12" w:space="0" w:color="auto"/>
            </w:tcBorders>
            <w:shd w:val="clear" w:color="auto" w:fill="auto"/>
          </w:tcPr>
          <w:p w14:paraId="3E82C265" w14:textId="77777777" w:rsidR="00E93F58" w:rsidRPr="006E709F" w:rsidRDefault="00E93F58" w:rsidP="00A801D0">
            <w:pPr>
              <w:pStyle w:val="Tabletext"/>
            </w:pPr>
            <w:r w:rsidRPr="006E709F">
              <w:t>ADI</w:t>
            </w:r>
          </w:p>
        </w:tc>
        <w:tc>
          <w:tcPr>
            <w:tcW w:w="1923" w:type="pct"/>
            <w:tcBorders>
              <w:top w:val="single" w:sz="12" w:space="0" w:color="auto"/>
            </w:tcBorders>
            <w:shd w:val="clear" w:color="auto" w:fill="auto"/>
          </w:tcPr>
          <w:p w14:paraId="396864D9" w14:textId="77777777" w:rsidR="00E93F58" w:rsidRPr="006E709F" w:rsidRDefault="00E93F58" w:rsidP="00A801D0">
            <w:pPr>
              <w:pStyle w:val="Tabletext"/>
            </w:pPr>
            <w:r w:rsidRPr="006E709F">
              <w:t>APRA</w:t>
            </w:r>
          </w:p>
        </w:tc>
      </w:tr>
      <w:tr w:rsidR="00E93F58" w:rsidRPr="006E709F" w14:paraId="02912CC2" w14:textId="77777777" w:rsidTr="00E118FA">
        <w:tc>
          <w:tcPr>
            <w:tcW w:w="770" w:type="pct"/>
            <w:shd w:val="clear" w:color="auto" w:fill="auto"/>
          </w:tcPr>
          <w:p w14:paraId="76EA6775" w14:textId="77777777" w:rsidR="00E93F58" w:rsidRPr="006E709F" w:rsidRDefault="00E93F58" w:rsidP="00A801D0">
            <w:pPr>
              <w:pStyle w:val="Tabletext"/>
            </w:pPr>
            <w:r w:rsidRPr="006E709F">
              <w:t>6502</w:t>
            </w:r>
          </w:p>
        </w:tc>
        <w:tc>
          <w:tcPr>
            <w:tcW w:w="2307" w:type="pct"/>
            <w:shd w:val="clear" w:color="auto" w:fill="auto"/>
          </w:tcPr>
          <w:p w14:paraId="198FDC7B" w14:textId="77777777" w:rsidR="00E93F58" w:rsidRPr="006E709F" w:rsidRDefault="00E93F58" w:rsidP="00A801D0">
            <w:pPr>
              <w:pStyle w:val="Tabletext"/>
            </w:pPr>
            <w:r w:rsidRPr="006E709F">
              <w:t>authorised deposit</w:t>
            </w:r>
            <w:r>
              <w:noBreakHyphen/>
            </w:r>
            <w:r w:rsidRPr="006E709F">
              <w:t>taking institution</w:t>
            </w:r>
          </w:p>
        </w:tc>
        <w:tc>
          <w:tcPr>
            <w:tcW w:w="1923" w:type="pct"/>
            <w:shd w:val="clear" w:color="auto" w:fill="auto"/>
          </w:tcPr>
          <w:p w14:paraId="3F0A2098" w14:textId="77777777" w:rsidR="00E93F58" w:rsidRPr="006E709F" w:rsidRDefault="00E93F58" w:rsidP="00A801D0">
            <w:pPr>
              <w:pStyle w:val="Tabletext"/>
            </w:pPr>
            <w:r w:rsidRPr="006E709F">
              <w:t>APRA</w:t>
            </w:r>
          </w:p>
        </w:tc>
      </w:tr>
      <w:tr w:rsidR="00E93F58" w:rsidRPr="006E709F" w14:paraId="3AA5F03E" w14:textId="77777777" w:rsidTr="00E118FA">
        <w:tc>
          <w:tcPr>
            <w:tcW w:w="770" w:type="pct"/>
            <w:shd w:val="clear" w:color="auto" w:fill="auto"/>
          </w:tcPr>
          <w:p w14:paraId="166EB12C" w14:textId="77777777" w:rsidR="00E93F58" w:rsidRPr="006E709F" w:rsidRDefault="00E93F58" w:rsidP="00A801D0">
            <w:pPr>
              <w:pStyle w:val="Tabletext"/>
            </w:pPr>
            <w:r w:rsidRPr="006E709F">
              <w:t>6503</w:t>
            </w:r>
          </w:p>
        </w:tc>
        <w:tc>
          <w:tcPr>
            <w:tcW w:w="2307" w:type="pct"/>
            <w:shd w:val="clear" w:color="auto" w:fill="auto"/>
          </w:tcPr>
          <w:p w14:paraId="2F8F9C49" w14:textId="77777777" w:rsidR="00E93F58" w:rsidRPr="006E709F" w:rsidRDefault="00E93F58" w:rsidP="00A801D0">
            <w:pPr>
              <w:pStyle w:val="Tabletext"/>
            </w:pPr>
            <w:r w:rsidRPr="006E709F">
              <w:t>bank</w:t>
            </w:r>
          </w:p>
        </w:tc>
        <w:tc>
          <w:tcPr>
            <w:tcW w:w="1923" w:type="pct"/>
            <w:shd w:val="clear" w:color="auto" w:fill="auto"/>
          </w:tcPr>
          <w:p w14:paraId="336B68F3" w14:textId="77777777" w:rsidR="00E93F58" w:rsidRPr="006E709F" w:rsidRDefault="00E93F58" w:rsidP="00A801D0">
            <w:pPr>
              <w:pStyle w:val="Tabletext"/>
            </w:pPr>
            <w:r w:rsidRPr="006E709F">
              <w:t>APRA</w:t>
            </w:r>
          </w:p>
        </w:tc>
      </w:tr>
      <w:tr w:rsidR="00E93F58" w:rsidRPr="006E709F" w14:paraId="11CB4FED" w14:textId="77777777" w:rsidTr="00E118FA">
        <w:tc>
          <w:tcPr>
            <w:tcW w:w="770" w:type="pct"/>
            <w:shd w:val="clear" w:color="auto" w:fill="auto"/>
          </w:tcPr>
          <w:p w14:paraId="0AFE5CAF" w14:textId="77777777" w:rsidR="00E93F58" w:rsidRPr="006E709F" w:rsidRDefault="00E93F58" w:rsidP="00A801D0">
            <w:pPr>
              <w:pStyle w:val="Tabletext"/>
            </w:pPr>
            <w:r w:rsidRPr="006E709F">
              <w:t>6504</w:t>
            </w:r>
          </w:p>
        </w:tc>
        <w:tc>
          <w:tcPr>
            <w:tcW w:w="2307" w:type="pct"/>
            <w:shd w:val="clear" w:color="auto" w:fill="auto"/>
          </w:tcPr>
          <w:p w14:paraId="5B36571A" w14:textId="77777777" w:rsidR="00E93F58" w:rsidRPr="006E709F" w:rsidRDefault="00E93F58" w:rsidP="00A801D0">
            <w:pPr>
              <w:pStyle w:val="Tabletext"/>
            </w:pPr>
            <w:r w:rsidRPr="006E709F">
              <w:t>banker</w:t>
            </w:r>
          </w:p>
        </w:tc>
        <w:tc>
          <w:tcPr>
            <w:tcW w:w="1923" w:type="pct"/>
            <w:shd w:val="clear" w:color="auto" w:fill="auto"/>
          </w:tcPr>
          <w:p w14:paraId="4EB85CC2" w14:textId="77777777" w:rsidR="00E93F58" w:rsidRPr="006E709F" w:rsidRDefault="00E93F58" w:rsidP="00A801D0">
            <w:pPr>
              <w:pStyle w:val="Tabletext"/>
            </w:pPr>
            <w:r w:rsidRPr="006E709F">
              <w:t>APRA</w:t>
            </w:r>
          </w:p>
        </w:tc>
      </w:tr>
      <w:tr w:rsidR="00E93F58" w:rsidRPr="006E709F" w14:paraId="5C21C67F" w14:textId="77777777" w:rsidTr="00E118FA">
        <w:tc>
          <w:tcPr>
            <w:tcW w:w="770" w:type="pct"/>
            <w:shd w:val="clear" w:color="auto" w:fill="auto"/>
          </w:tcPr>
          <w:p w14:paraId="3FC5FB95" w14:textId="77777777" w:rsidR="00E93F58" w:rsidRPr="006E709F" w:rsidRDefault="00E93F58" w:rsidP="00A801D0">
            <w:pPr>
              <w:pStyle w:val="Tabletext"/>
            </w:pPr>
            <w:r w:rsidRPr="006E709F">
              <w:t>6505</w:t>
            </w:r>
          </w:p>
        </w:tc>
        <w:tc>
          <w:tcPr>
            <w:tcW w:w="2307" w:type="pct"/>
            <w:shd w:val="clear" w:color="auto" w:fill="auto"/>
          </w:tcPr>
          <w:p w14:paraId="29515DB8" w14:textId="77777777" w:rsidR="00E93F58" w:rsidRPr="006E709F" w:rsidRDefault="00E93F58" w:rsidP="00A801D0">
            <w:pPr>
              <w:pStyle w:val="Tabletext"/>
            </w:pPr>
            <w:r w:rsidRPr="006E709F">
              <w:t>banking</w:t>
            </w:r>
          </w:p>
        </w:tc>
        <w:tc>
          <w:tcPr>
            <w:tcW w:w="1923" w:type="pct"/>
            <w:shd w:val="clear" w:color="auto" w:fill="auto"/>
          </w:tcPr>
          <w:p w14:paraId="31852679" w14:textId="77777777" w:rsidR="00E93F58" w:rsidRPr="006E709F" w:rsidRDefault="00E93F58" w:rsidP="00A801D0">
            <w:pPr>
              <w:pStyle w:val="Tabletext"/>
            </w:pPr>
            <w:r w:rsidRPr="006E709F">
              <w:t>APRA</w:t>
            </w:r>
          </w:p>
        </w:tc>
      </w:tr>
      <w:tr w:rsidR="00E93F58" w:rsidRPr="006E709F" w14:paraId="0BF61E03" w14:textId="77777777" w:rsidTr="00E118FA">
        <w:tc>
          <w:tcPr>
            <w:tcW w:w="770" w:type="pct"/>
            <w:shd w:val="clear" w:color="auto" w:fill="auto"/>
          </w:tcPr>
          <w:p w14:paraId="16C8EE79" w14:textId="77777777" w:rsidR="00E93F58" w:rsidRPr="006E709F" w:rsidRDefault="00E93F58" w:rsidP="00A801D0">
            <w:pPr>
              <w:pStyle w:val="Tabletext"/>
            </w:pPr>
            <w:r w:rsidRPr="006E709F">
              <w:t>6506</w:t>
            </w:r>
          </w:p>
        </w:tc>
        <w:tc>
          <w:tcPr>
            <w:tcW w:w="2307" w:type="pct"/>
            <w:shd w:val="clear" w:color="auto" w:fill="auto"/>
          </w:tcPr>
          <w:p w14:paraId="357166DC" w14:textId="77777777" w:rsidR="00E93F58" w:rsidRPr="006E709F" w:rsidRDefault="00E93F58" w:rsidP="00A801D0">
            <w:pPr>
              <w:pStyle w:val="Tabletext"/>
            </w:pPr>
            <w:r w:rsidRPr="006E709F">
              <w:t>building society</w:t>
            </w:r>
          </w:p>
        </w:tc>
        <w:tc>
          <w:tcPr>
            <w:tcW w:w="1923" w:type="pct"/>
            <w:shd w:val="clear" w:color="auto" w:fill="auto"/>
          </w:tcPr>
          <w:p w14:paraId="5A83C3A9" w14:textId="77777777" w:rsidR="00E93F58" w:rsidRPr="006E709F" w:rsidRDefault="00E93F58" w:rsidP="00A801D0">
            <w:pPr>
              <w:pStyle w:val="Tabletext"/>
            </w:pPr>
            <w:r w:rsidRPr="006E709F">
              <w:t>APRA</w:t>
            </w:r>
          </w:p>
        </w:tc>
      </w:tr>
      <w:tr w:rsidR="00E93F58" w:rsidRPr="006E709F" w14:paraId="0D862E7E" w14:textId="77777777" w:rsidTr="00E118FA">
        <w:tc>
          <w:tcPr>
            <w:tcW w:w="770" w:type="pct"/>
            <w:shd w:val="clear" w:color="auto" w:fill="auto"/>
          </w:tcPr>
          <w:p w14:paraId="7BEA16FA" w14:textId="77777777" w:rsidR="00E93F58" w:rsidRPr="006E709F" w:rsidRDefault="00E93F58" w:rsidP="00A801D0">
            <w:pPr>
              <w:pStyle w:val="Tabletext"/>
            </w:pPr>
            <w:r w:rsidRPr="006E709F">
              <w:t>6507</w:t>
            </w:r>
          </w:p>
        </w:tc>
        <w:tc>
          <w:tcPr>
            <w:tcW w:w="2307" w:type="pct"/>
            <w:shd w:val="clear" w:color="auto" w:fill="auto"/>
          </w:tcPr>
          <w:p w14:paraId="5E80765F" w14:textId="77777777" w:rsidR="00E93F58" w:rsidRPr="006E709F" w:rsidRDefault="00E93F58" w:rsidP="00A801D0">
            <w:pPr>
              <w:pStyle w:val="Tabletext"/>
            </w:pPr>
            <w:r w:rsidRPr="006E709F">
              <w:t>credit society</w:t>
            </w:r>
          </w:p>
        </w:tc>
        <w:tc>
          <w:tcPr>
            <w:tcW w:w="1923" w:type="pct"/>
            <w:shd w:val="clear" w:color="auto" w:fill="auto"/>
          </w:tcPr>
          <w:p w14:paraId="0149F69A" w14:textId="77777777" w:rsidR="00E93F58" w:rsidRPr="006E709F" w:rsidRDefault="00E93F58" w:rsidP="00A801D0">
            <w:pPr>
              <w:pStyle w:val="Tabletext"/>
            </w:pPr>
            <w:r w:rsidRPr="006E709F">
              <w:t>APRA</w:t>
            </w:r>
          </w:p>
        </w:tc>
      </w:tr>
      <w:tr w:rsidR="00E93F58" w:rsidRPr="006E709F" w14:paraId="68A709AB" w14:textId="77777777" w:rsidTr="00E118FA">
        <w:tc>
          <w:tcPr>
            <w:tcW w:w="770" w:type="pct"/>
            <w:tcBorders>
              <w:bottom w:val="single" w:sz="4" w:space="0" w:color="auto"/>
            </w:tcBorders>
            <w:shd w:val="clear" w:color="auto" w:fill="auto"/>
          </w:tcPr>
          <w:p w14:paraId="6FB24242" w14:textId="77777777" w:rsidR="00E93F58" w:rsidRPr="006E709F" w:rsidRDefault="00E93F58" w:rsidP="00A801D0">
            <w:pPr>
              <w:pStyle w:val="Tabletext"/>
            </w:pPr>
            <w:r w:rsidRPr="006E709F">
              <w:t>6508</w:t>
            </w:r>
          </w:p>
        </w:tc>
        <w:tc>
          <w:tcPr>
            <w:tcW w:w="2307" w:type="pct"/>
            <w:tcBorders>
              <w:bottom w:val="single" w:sz="4" w:space="0" w:color="auto"/>
            </w:tcBorders>
            <w:shd w:val="clear" w:color="auto" w:fill="auto"/>
          </w:tcPr>
          <w:p w14:paraId="24A4C2F2" w14:textId="77777777" w:rsidR="00E93F58" w:rsidRPr="006E709F" w:rsidRDefault="00E93F58" w:rsidP="00A801D0">
            <w:pPr>
              <w:pStyle w:val="Tabletext"/>
            </w:pPr>
            <w:r w:rsidRPr="006E709F">
              <w:t>credit union</w:t>
            </w:r>
          </w:p>
        </w:tc>
        <w:tc>
          <w:tcPr>
            <w:tcW w:w="1923" w:type="pct"/>
            <w:tcBorders>
              <w:bottom w:val="single" w:sz="4" w:space="0" w:color="auto"/>
            </w:tcBorders>
            <w:shd w:val="clear" w:color="auto" w:fill="auto"/>
          </w:tcPr>
          <w:p w14:paraId="5FD77B6E" w14:textId="77777777" w:rsidR="00E93F58" w:rsidRPr="006E709F" w:rsidRDefault="00E93F58" w:rsidP="00A801D0">
            <w:pPr>
              <w:pStyle w:val="Tabletext"/>
            </w:pPr>
            <w:r w:rsidRPr="006E709F">
              <w:t>APRA</w:t>
            </w:r>
          </w:p>
        </w:tc>
      </w:tr>
      <w:tr w:rsidR="00E93F58" w:rsidRPr="006E709F" w14:paraId="2A9A23CA" w14:textId="77777777" w:rsidTr="00E118FA">
        <w:tc>
          <w:tcPr>
            <w:tcW w:w="770" w:type="pct"/>
            <w:tcBorders>
              <w:bottom w:val="single" w:sz="12" w:space="0" w:color="auto"/>
            </w:tcBorders>
            <w:shd w:val="clear" w:color="auto" w:fill="auto"/>
          </w:tcPr>
          <w:p w14:paraId="6B2AD5BC" w14:textId="77777777" w:rsidR="00E93F58" w:rsidRPr="006E709F" w:rsidRDefault="00E93F58" w:rsidP="00A801D0">
            <w:pPr>
              <w:pStyle w:val="Tabletext"/>
            </w:pPr>
            <w:r w:rsidRPr="006E709F">
              <w:t>6509</w:t>
            </w:r>
          </w:p>
        </w:tc>
        <w:tc>
          <w:tcPr>
            <w:tcW w:w="2307" w:type="pct"/>
            <w:tcBorders>
              <w:bottom w:val="single" w:sz="12" w:space="0" w:color="auto"/>
            </w:tcBorders>
            <w:shd w:val="clear" w:color="auto" w:fill="auto"/>
          </w:tcPr>
          <w:p w14:paraId="65568DB9" w14:textId="77777777" w:rsidR="00E93F58" w:rsidRPr="006E709F" w:rsidRDefault="00E93F58" w:rsidP="00A801D0">
            <w:pPr>
              <w:pStyle w:val="Tabletext"/>
            </w:pPr>
            <w:r w:rsidRPr="006E709F">
              <w:t>friendly society (in relation to the conduct of a financial business)</w:t>
            </w:r>
          </w:p>
        </w:tc>
        <w:tc>
          <w:tcPr>
            <w:tcW w:w="1923" w:type="pct"/>
            <w:tcBorders>
              <w:bottom w:val="single" w:sz="12" w:space="0" w:color="auto"/>
            </w:tcBorders>
            <w:shd w:val="clear" w:color="auto" w:fill="auto"/>
          </w:tcPr>
          <w:p w14:paraId="4487D8EF" w14:textId="77777777" w:rsidR="00E93F58" w:rsidRPr="006E709F" w:rsidRDefault="00E93F58" w:rsidP="00A801D0">
            <w:pPr>
              <w:pStyle w:val="Tabletext"/>
            </w:pPr>
            <w:r w:rsidRPr="006E709F">
              <w:t>APRA</w:t>
            </w:r>
          </w:p>
        </w:tc>
      </w:tr>
    </w:tbl>
    <w:p w14:paraId="765BC37D" w14:textId="77777777" w:rsidR="00E93F58" w:rsidRPr="006E709F" w:rsidRDefault="00E93F58" w:rsidP="002F332A">
      <w:pPr>
        <w:pStyle w:val="ActHead1"/>
        <w:pageBreakBefore/>
        <w:spacing w:before="120"/>
      </w:pPr>
      <w:bookmarkStart w:id="3292" w:name="_Toc151992396"/>
      <w:bookmarkStart w:id="3293" w:name="_Toc158713433"/>
      <w:r w:rsidRPr="000C4237">
        <w:rPr>
          <w:rStyle w:val="CharChapNo"/>
        </w:rPr>
        <w:lastRenderedPageBreak/>
        <w:t>Schedule 7</w:t>
      </w:r>
      <w:r w:rsidRPr="006E709F">
        <w:t>—</w:t>
      </w:r>
      <w:r w:rsidRPr="000C4237">
        <w:rPr>
          <w:rStyle w:val="CharChapText"/>
        </w:rPr>
        <w:t>Exemptions from requirements to set out certain corporate particulars</w:t>
      </w:r>
      <w:bookmarkEnd w:id="3292"/>
      <w:bookmarkEnd w:id="3293"/>
    </w:p>
    <w:p w14:paraId="39677AB6" w14:textId="77777777" w:rsidR="00E93F58" w:rsidRPr="006E709F" w:rsidRDefault="00E93F58" w:rsidP="00A801D0">
      <w:pPr>
        <w:pStyle w:val="notemargin"/>
      </w:pPr>
      <w:r w:rsidRPr="006E709F">
        <w:t>(regulations 2B.6.03 and 5B.3.03)</w:t>
      </w:r>
    </w:p>
    <w:p w14:paraId="51DB6BF6"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69C9A005" w14:textId="77777777" w:rsidR="00E93F58" w:rsidRPr="006E709F" w:rsidRDefault="00E93F58" w:rsidP="007C7D49">
      <w:pPr>
        <w:pStyle w:val="ActHead5"/>
      </w:pPr>
      <w:bookmarkStart w:id="3294" w:name="_Toc151992397"/>
      <w:bookmarkStart w:id="3295" w:name="_Toc158713434"/>
      <w:r w:rsidRPr="000C4237">
        <w:rPr>
          <w:rStyle w:val="CharSectno"/>
        </w:rPr>
        <w:t>7001</w:t>
      </w:r>
      <w:r w:rsidRPr="006E709F">
        <w:t xml:space="preserve">  Definitions for Schedule 7</w:t>
      </w:r>
      <w:bookmarkEnd w:id="3294"/>
      <w:bookmarkEnd w:id="3295"/>
    </w:p>
    <w:p w14:paraId="770CCFFB" w14:textId="77777777" w:rsidR="00E93F58" w:rsidRPr="006E709F" w:rsidRDefault="00E93F58" w:rsidP="00A801D0">
      <w:pPr>
        <w:pStyle w:val="subsection"/>
      </w:pPr>
      <w:r w:rsidRPr="006E709F">
        <w:tab/>
      </w:r>
      <w:r w:rsidRPr="006E709F">
        <w:tab/>
        <w:t>In this Schedule:</w:t>
      </w:r>
    </w:p>
    <w:p w14:paraId="4193CD2A" w14:textId="77777777" w:rsidR="00E93F58" w:rsidRPr="006E709F" w:rsidRDefault="00E93F58" w:rsidP="00A801D0">
      <w:pPr>
        <w:pStyle w:val="Definition"/>
      </w:pPr>
      <w:r w:rsidRPr="006E709F">
        <w:rPr>
          <w:b/>
          <w:i/>
        </w:rPr>
        <w:t>IATA</w:t>
      </w:r>
      <w:r w:rsidRPr="006E709F">
        <w:t xml:space="preserve"> means the International Air Transport Association.</w:t>
      </w:r>
    </w:p>
    <w:p w14:paraId="5E329D32" w14:textId="77777777" w:rsidR="00E93F58" w:rsidRPr="006E709F" w:rsidRDefault="00E93F58" w:rsidP="00A801D0">
      <w:pPr>
        <w:pStyle w:val="Definition"/>
      </w:pPr>
      <w:r w:rsidRPr="006E709F">
        <w:rPr>
          <w:b/>
          <w:i/>
        </w:rPr>
        <w:t>IATA body</w:t>
      </w:r>
      <w:r w:rsidRPr="006E709F">
        <w:t xml:space="preserve"> means a company, registered Australian body or registered foreign company that is a member of IATA, or participates in the program conducted by IATA known as BSP Australia.</w:t>
      </w:r>
    </w:p>
    <w:p w14:paraId="56C5784E" w14:textId="77777777" w:rsidR="00E93F58" w:rsidRPr="006E709F" w:rsidRDefault="00E93F58" w:rsidP="00A801D0">
      <w:pPr>
        <w:pStyle w:val="Definition"/>
      </w:pPr>
      <w:r w:rsidRPr="006E709F">
        <w:rPr>
          <w:b/>
          <w:i/>
        </w:rPr>
        <w:t>relevant information</w:t>
      </w:r>
      <w:r w:rsidRPr="006E709F">
        <w:t xml:space="preserve"> means the information that is required under subsection 153(2), or paragraph 601DE(1)(b), (c) or (d), of the Act to be set out on a public document or negotiable instrument.</w:t>
      </w:r>
    </w:p>
    <w:p w14:paraId="70A52CD0" w14:textId="77777777" w:rsidR="00E93F58" w:rsidRPr="006E709F" w:rsidRDefault="00E93F58" w:rsidP="007C7D49">
      <w:pPr>
        <w:pStyle w:val="ActHead5"/>
      </w:pPr>
      <w:bookmarkStart w:id="3296" w:name="_Toc151992398"/>
      <w:bookmarkStart w:id="3297" w:name="_Toc158713435"/>
      <w:r w:rsidRPr="000C4237">
        <w:rPr>
          <w:rStyle w:val="CharSectno"/>
        </w:rPr>
        <w:t>7002</w:t>
      </w:r>
      <w:r w:rsidRPr="006E709F">
        <w:t xml:space="preserve">  Exemption for certain IATA documents</w:t>
      </w:r>
      <w:bookmarkEnd w:id="3296"/>
      <w:bookmarkEnd w:id="3297"/>
    </w:p>
    <w:p w14:paraId="0BB517A9" w14:textId="77777777" w:rsidR="00E93F58" w:rsidRPr="006E709F" w:rsidRDefault="00E93F58" w:rsidP="00A801D0">
      <w:pPr>
        <w:pStyle w:val="subsection"/>
      </w:pPr>
      <w:r w:rsidRPr="006E709F">
        <w:tab/>
      </w:r>
      <w:r w:rsidRPr="006E709F">
        <w:tab/>
        <w:t>An IATA Body is exempt from the requirement to set out the relevant information on a document if:</w:t>
      </w:r>
    </w:p>
    <w:p w14:paraId="3D5957AE" w14:textId="77777777" w:rsidR="00E93F58" w:rsidRPr="006E709F" w:rsidRDefault="00E93F58" w:rsidP="00A801D0">
      <w:pPr>
        <w:pStyle w:val="paragraph"/>
      </w:pPr>
      <w:r w:rsidRPr="006E709F">
        <w:tab/>
        <w:t>(a)</w:t>
      </w:r>
      <w:r w:rsidRPr="006E709F">
        <w:tab/>
        <w:t>it is a document of one of the following kinds:</w:t>
      </w:r>
    </w:p>
    <w:p w14:paraId="27858B46" w14:textId="77777777" w:rsidR="00E93F58" w:rsidRPr="006E709F" w:rsidRDefault="00E93F58" w:rsidP="00A801D0">
      <w:pPr>
        <w:pStyle w:val="paragraphsub"/>
      </w:pPr>
      <w:r w:rsidRPr="006E709F">
        <w:tab/>
        <w:t>(i)</w:t>
      </w:r>
      <w:r w:rsidRPr="006E709F">
        <w:tab/>
        <w:t>passenger ticket and baggage check;</w:t>
      </w:r>
    </w:p>
    <w:p w14:paraId="493CC6D5" w14:textId="77777777" w:rsidR="00E93F58" w:rsidRPr="006E709F" w:rsidRDefault="00E93F58" w:rsidP="00A801D0">
      <w:pPr>
        <w:pStyle w:val="paragraphsub"/>
      </w:pPr>
      <w:r w:rsidRPr="006E709F">
        <w:tab/>
        <w:t>(ii)</w:t>
      </w:r>
      <w:r w:rsidRPr="006E709F">
        <w:tab/>
        <w:t>excess baggage ticket;</w:t>
      </w:r>
    </w:p>
    <w:p w14:paraId="3BA4C161" w14:textId="77777777" w:rsidR="00E93F58" w:rsidRPr="006E709F" w:rsidRDefault="00E93F58" w:rsidP="00A801D0">
      <w:pPr>
        <w:pStyle w:val="paragraphsub"/>
      </w:pPr>
      <w:r w:rsidRPr="006E709F">
        <w:tab/>
        <w:t>(iii)</w:t>
      </w:r>
      <w:r w:rsidRPr="006E709F">
        <w:tab/>
        <w:t>agency credit or debit memo;</w:t>
      </w:r>
    </w:p>
    <w:p w14:paraId="3A9B8493" w14:textId="77777777" w:rsidR="00E93F58" w:rsidRPr="006E709F" w:rsidRDefault="00E93F58" w:rsidP="00A801D0">
      <w:pPr>
        <w:pStyle w:val="paragraphsub"/>
      </w:pPr>
      <w:r w:rsidRPr="006E709F">
        <w:tab/>
        <w:t>(iv)</w:t>
      </w:r>
      <w:r w:rsidRPr="006E709F">
        <w:tab/>
        <w:t>credit card charge form;</w:t>
      </w:r>
    </w:p>
    <w:p w14:paraId="7B39C92D" w14:textId="77777777" w:rsidR="00E93F58" w:rsidRPr="006E709F" w:rsidRDefault="00E93F58" w:rsidP="00A801D0">
      <w:pPr>
        <w:pStyle w:val="paragraphsub"/>
      </w:pPr>
      <w:r w:rsidRPr="006E709F">
        <w:tab/>
        <w:t>(v)</w:t>
      </w:r>
      <w:r w:rsidRPr="006E709F">
        <w:tab/>
        <w:t>miscellaneous charges order;</w:t>
      </w:r>
    </w:p>
    <w:p w14:paraId="72E7B204" w14:textId="77777777" w:rsidR="00E93F58" w:rsidRPr="006E709F" w:rsidRDefault="00E93F58" w:rsidP="00A801D0">
      <w:pPr>
        <w:pStyle w:val="paragraphsub"/>
      </w:pPr>
      <w:r w:rsidRPr="006E709F">
        <w:tab/>
        <w:t>(vi)</w:t>
      </w:r>
      <w:r w:rsidRPr="006E709F">
        <w:tab/>
        <w:t>stopover voucher;</w:t>
      </w:r>
    </w:p>
    <w:p w14:paraId="3DA5283B" w14:textId="77777777" w:rsidR="00E93F58" w:rsidRPr="006E709F" w:rsidRDefault="00E93F58" w:rsidP="00A801D0">
      <w:pPr>
        <w:pStyle w:val="paragraphsub"/>
      </w:pPr>
      <w:r w:rsidRPr="006E709F">
        <w:tab/>
        <w:t>(vii)</w:t>
      </w:r>
      <w:r w:rsidRPr="006E709F">
        <w:tab/>
        <w:t>air waybill; and</w:t>
      </w:r>
    </w:p>
    <w:p w14:paraId="0405451E" w14:textId="77777777" w:rsidR="00E93F58" w:rsidRPr="006E709F" w:rsidRDefault="00E93F58" w:rsidP="00A801D0">
      <w:pPr>
        <w:pStyle w:val="paragraph"/>
      </w:pPr>
      <w:r w:rsidRPr="006E709F">
        <w:tab/>
        <w:t>(b)</w:t>
      </w:r>
      <w:r w:rsidRPr="006E709F">
        <w:tab/>
        <w:t>either:</w:t>
      </w:r>
    </w:p>
    <w:p w14:paraId="59392FAB" w14:textId="77777777" w:rsidR="00E93F58" w:rsidRPr="006E709F" w:rsidRDefault="00E93F58" w:rsidP="00A801D0">
      <w:pPr>
        <w:pStyle w:val="paragraphsub"/>
      </w:pPr>
      <w:r w:rsidRPr="006E709F">
        <w:tab/>
        <w:t>(i)</w:t>
      </w:r>
      <w:r w:rsidRPr="006E709F">
        <w:tab/>
        <w:t>it is in a form sponsored by IATA; or</w:t>
      </w:r>
    </w:p>
    <w:p w14:paraId="01E68D90" w14:textId="77777777" w:rsidR="00E93F58" w:rsidRPr="006E709F" w:rsidRDefault="00E93F58" w:rsidP="00A801D0">
      <w:pPr>
        <w:pStyle w:val="paragraphsub"/>
      </w:pPr>
      <w:r w:rsidRPr="006E709F">
        <w:tab/>
        <w:t>(ii)</w:t>
      </w:r>
      <w:r w:rsidRPr="006E709F">
        <w:tab/>
        <w:t>it is required by IATA to be used by IATA bodies; or</w:t>
      </w:r>
    </w:p>
    <w:p w14:paraId="04D18A02" w14:textId="77777777" w:rsidR="00E93F58" w:rsidRPr="006E709F" w:rsidRDefault="00E93F58" w:rsidP="00A801D0">
      <w:pPr>
        <w:pStyle w:val="paragraphsub"/>
      </w:pPr>
      <w:r w:rsidRPr="006E709F">
        <w:tab/>
        <w:t>(iii)</w:t>
      </w:r>
      <w:r w:rsidRPr="006E709F">
        <w:tab/>
        <w:t>it is a document printed outside Australia exclusively for use, outside Australia, by or on behalf of that particular IATA body.</w:t>
      </w:r>
    </w:p>
    <w:p w14:paraId="75A82726" w14:textId="77777777" w:rsidR="00E93F58" w:rsidRPr="006E709F" w:rsidRDefault="00E93F58" w:rsidP="007C7D49">
      <w:pPr>
        <w:pStyle w:val="ActHead5"/>
      </w:pPr>
      <w:bookmarkStart w:id="3298" w:name="_Toc151992399"/>
      <w:bookmarkStart w:id="3299" w:name="_Toc158713436"/>
      <w:r w:rsidRPr="000C4237">
        <w:rPr>
          <w:rStyle w:val="CharSectno"/>
        </w:rPr>
        <w:t>7003</w:t>
      </w:r>
      <w:r w:rsidRPr="006E709F">
        <w:t xml:space="preserve">  Exemption for bills of lading and sea waybills</w:t>
      </w:r>
      <w:bookmarkEnd w:id="3298"/>
      <w:bookmarkEnd w:id="3299"/>
    </w:p>
    <w:p w14:paraId="4EF2C505" w14:textId="77777777" w:rsidR="00E93F58" w:rsidRPr="006E709F" w:rsidRDefault="00E93F58" w:rsidP="00A801D0">
      <w:pPr>
        <w:pStyle w:val="subsection"/>
      </w:pPr>
      <w:r w:rsidRPr="006E709F">
        <w:tab/>
      </w:r>
      <w:r w:rsidRPr="006E709F">
        <w:tab/>
        <w:t>The following companies, registered Australian bodies and registered foreign companies are exempt from the requirement to set out the relevant information on a bill of lading or sea waybill:</w:t>
      </w:r>
    </w:p>
    <w:p w14:paraId="527D34D8" w14:textId="77777777" w:rsidR="00E93F58" w:rsidRPr="006E709F" w:rsidRDefault="00E93F58" w:rsidP="00A801D0">
      <w:pPr>
        <w:pStyle w:val="paragraph"/>
      </w:pPr>
      <w:r w:rsidRPr="006E709F">
        <w:tab/>
        <w:t>(a)</w:t>
      </w:r>
      <w:r w:rsidRPr="006E709F">
        <w:tab/>
        <w:t>Austrident Shipping Agency Pty Ltd;</w:t>
      </w:r>
    </w:p>
    <w:p w14:paraId="28612F1E" w14:textId="77777777" w:rsidR="00E93F58" w:rsidRPr="006E709F" w:rsidRDefault="00E93F58" w:rsidP="00A801D0">
      <w:pPr>
        <w:pStyle w:val="paragraph"/>
      </w:pPr>
      <w:r w:rsidRPr="006E709F">
        <w:tab/>
        <w:t>(c)</w:t>
      </w:r>
      <w:r w:rsidRPr="006E709F">
        <w:tab/>
        <w:t>Bakke</w:t>
      </w:r>
      <w:r>
        <w:noBreakHyphen/>
      </w:r>
      <w:r w:rsidRPr="006E709F">
        <w:t>WA Pty Limited;</w:t>
      </w:r>
    </w:p>
    <w:p w14:paraId="335953E9" w14:textId="77777777" w:rsidR="00E93F58" w:rsidRPr="006E709F" w:rsidRDefault="00E93F58" w:rsidP="00A801D0">
      <w:pPr>
        <w:pStyle w:val="paragraph"/>
      </w:pPr>
      <w:r w:rsidRPr="006E709F">
        <w:tab/>
        <w:t>(d)</w:t>
      </w:r>
      <w:r w:rsidRPr="006E709F">
        <w:tab/>
        <w:t>Blue Star Line Limited;</w:t>
      </w:r>
    </w:p>
    <w:p w14:paraId="04F4EC76" w14:textId="77777777" w:rsidR="00E93F58" w:rsidRPr="006E709F" w:rsidRDefault="00E93F58" w:rsidP="00A801D0">
      <w:pPr>
        <w:pStyle w:val="paragraph"/>
      </w:pPr>
      <w:r w:rsidRPr="006E709F">
        <w:tab/>
        <w:t>(e)</w:t>
      </w:r>
      <w:r w:rsidRPr="006E709F">
        <w:tab/>
        <w:t>Blue Star PACE Limited;</w:t>
      </w:r>
    </w:p>
    <w:p w14:paraId="4320240A" w14:textId="77777777" w:rsidR="00E93F58" w:rsidRPr="006E709F" w:rsidRDefault="00E93F58" w:rsidP="00A801D0">
      <w:pPr>
        <w:pStyle w:val="paragraph"/>
      </w:pPr>
      <w:r w:rsidRPr="006E709F">
        <w:tab/>
        <w:t>(f)</w:t>
      </w:r>
      <w:r w:rsidRPr="006E709F">
        <w:tab/>
        <w:t>CSR Limited;</w:t>
      </w:r>
    </w:p>
    <w:p w14:paraId="43135DD0" w14:textId="77777777" w:rsidR="00E93F58" w:rsidRPr="006E709F" w:rsidRDefault="00E93F58" w:rsidP="00A801D0">
      <w:pPr>
        <w:pStyle w:val="paragraph"/>
      </w:pPr>
      <w:r w:rsidRPr="006E709F">
        <w:tab/>
        <w:t>(g)</w:t>
      </w:r>
      <w:r w:rsidRPr="006E709F">
        <w:tab/>
        <w:t>Dalgety Australia Operations Limited;</w:t>
      </w:r>
    </w:p>
    <w:p w14:paraId="5902C7A8" w14:textId="77777777" w:rsidR="00E93F58" w:rsidRPr="006E709F" w:rsidRDefault="00E93F58" w:rsidP="00A801D0">
      <w:pPr>
        <w:pStyle w:val="paragraph"/>
      </w:pPr>
      <w:r w:rsidRPr="006E709F">
        <w:tab/>
        <w:t>(h)</w:t>
      </w:r>
      <w:r w:rsidRPr="006E709F">
        <w:tab/>
        <w:t>Five Star Shipping &amp; Agency Company Pty Ltd;</w:t>
      </w:r>
    </w:p>
    <w:p w14:paraId="5AB262BA" w14:textId="77777777" w:rsidR="00E93F58" w:rsidRPr="006E709F" w:rsidRDefault="00E93F58" w:rsidP="00A801D0">
      <w:pPr>
        <w:pStyle w:val="paragraph"/>
      </w:pPr>
      <w:r w:rsidRPr="006E709F">
        <w:tab/>
        <w:t>(i)</w:t>
      </w:r>
      <w:r w:rsidRPr="006E709F">
        <w:tab/>
        <w:t>Jebsens International (Australia) Pty Ltd;</w:t>
      </w:r>
    </w:p>
    <w:p w14:paraId="08826C97" w14:textId="77777777" w:rsidR="00E93F58" w:rsidRPr="006E709F" w:rsidRDefault="00E93F58" w:rsidP="00A801D0">
      <w:pPr>
        <w:pStyle w:val="paragraph"/>
      </w:pPr>
      <w:r w:rsidRPr="006E709F">
        <w:tab/>
        <w:t>(j)</w:t>
      </w:r>
      <w:r w:rsidRPr="006E709F">
        <w:tab/>
        <w:t>‘K’ Line (Australia) Pty Limited;</w:t>
      </w:r>
    </w:p>
    <w:p w14:paraId="0E8C895E" w14:textId="77777777" w:rsidR="00E93F58" w:rsidRPr="006E709F" w:rsidRDefault="00E93F58" w:rsidP="00A801D0">
      <w:pPr>
        <w:pStyle w:val="paragraph"/>
      </w:pPr>
      <w:r w:rsidRPr="006E709F">
        <w:tab/>
        <w:t>(k)</w:t>
      </w:r>
      <w:r w:rsidRPr="006E709F">
        <w:tab/>
        <w:t>Nedlloyd Australia Pty Ltd;</w:t>
      </w:r>
    </w:p>
    <w:p w14:paraId="407E8A94" w14:textId="77777777" w:rsidR="00E93F58" w:rsidRPr="006E709F" w:rsidRDefault="00E93F58" w:rsidP="00A801D0">
      <w:pPr>
        <w:pStyle w:val="paragraph"/>
      </w:pPr>
      <w:r w:rsidRPr="006E709F">
        <w:tab/>
        <w:t>(l)</w:t>
      </w:r>
      <w:r w:rsidRPr="006E709F">
        <w:tab/>
        <w:t>OOCL (Australia) Pty Limited;</w:t>
      </w:r>
    </w:p>
    <w:p w14:paraId="519728C8" w14:textId="77777777" w:rsidR="00E93F58" w:rsidRPr="006E709F" w:rsidRDefault="00E93F58" w:rsidP="00A801D0">
      <w:pPr>
        <w:pStyle w:val="paragraph"/>
      </w:pPr>
      <w:r w:rsidRPr="006E709F">
        <w:tab/>
        <w:t>(m)</w:t>
      </w:r>
      <w:r w:rsidRPr="006E709F">
        <w:tab/>
        <w:t>Opal Maritime Agencies Pty Limited;</w:t>
      </w:r>
    </w:p>
    <w:p w14:paraId="2F045268" w14:textId="77777777" w:rsidR="00E93F58" w:rsidRPr="006E709F" w:rsidRDefault="00E93F58" w:rsidP="00A801D0">
      <w:pPr>
        <w:pStyle w:val="paragraph"/>
      </w:pPr>
      <w:r w:rsidRPr="006E709F">
        <w:tab/>
        <w:t>(n)</w:t>
      </w:r>
      <w:r w:rsidRPr="006E709F">
        <w:tab/>
        <w:t>Patrick Sleigh Shipping Agencies Pty Limited;</w:t>
      </w:r>
    </w:p>
    <w:p w14:paraId="53DA19C6" w14:textId="77777777" w:rsidR="00E93F58" w:rsidRPr="006E709F" w:rsidRDefault="00E93F58" w:rsidP="00A801D0">
      <w:pPr>
        <w:pStyle w:val="paragraph"/>
      </w:pPr>
      <w:r w:rsidRPr="006E709F">
        <w:tab/>
        <w:t>(o)</w:t>
      </w:r>
      <w:r w:rsidRPr="006E709F">
        <w:tab/>
        <w:t>Tasman Express Line Limited;</w:t>
      </w:r>
    </w:p>
    <w:p w14:paraId="711BB165" w14:textId="77777777" w:rsidR="00E93F58" w:rsidRPr="006E709F" w:rsidRDefault="00E93F58" w:rsidP="00A801D0">
      <w:pPr>
        <w:pStyle w:val="paragraph"/>
      </w:pPr>
      <w:r w:rsidRPr="006E709F">
        <w:tab/>
        <w:t>(p)</w:t>
      </w:r>
      <w:r w:rsidRPr="006E709F">
        <w:tab/>
        <w:t>Wilhelmsen Lines Australia Pty Ltd;</w:t>
      </w:r>
    </w:p>
    <w:p w14:paraId="4E71622E" w14:textId="77777777" w:rsidR="00E93F58" w:rsidRPr="006E709F" w:rsidRDefault="00E93F58" w:rsidP="00A801D0">
      <w:pPr>
        <w:pStyle w:val="paragraph"/>
      </w:pPr>
      <w:r w:rsidRPr="006E709F">
        <w:tab/>
        <w:t>(q)</w:t>
      </w:r>
      <w:r w:rsidRPr="006E709F">
        <w:tab/>
        <w:t>Wills Shipping Pty Limited.</w:t>
      </w:r>
    </w:p>
    <w:p w14:paraId="6ED06D87" w14:textId="77777777" w:rsidR="00E93F58" w:rsidRPr="006E709F" w:rsidRDefault="00E93F58" w:rsidP="007C7D49">
      <w:pPr>
        <w:pStyle w:val="ActHead5"/>
      </w:pPr>
      <w:bookmarkStart w:id="3300" w:name="_Toc151992400"/>
      <w:bookmarkStart w:id="3301" w:name="_Toc158713437"/>
      <w:r w:rsidRPr="000C4237">
        <w:rPr>
          <w:rStyle w:val="CharSectno"/>
        </w:rPr>
        <w:lastRenderedPageBreak/>
        <w:t>7004</w:t>
      </w:r>
      <w:r w:rsidRPr="006E709F">
        <w:t xml:space="preserve">  Exemptions—quotation of ACNs and ARBNs</w:t>
      </w:r>
      <w:bookmarkEnd w:id="3300"/>
      <w:bookmarkEnd w:id="3301"/>
    </w:p>
    <w:p w14:paraId="4D06C6AF" w14:textId="77777777" w:rsidR="00E93F58" w:rsidRPr="006E709F" w:rsidRDefault="00E93F58" w:rsidP="00A801D0">
      <w:pPr>
        <w:pStyle w:val="subsection"/>
      </w:pPr>
      <w:r w:rsidRPr="006E709F">
        <w:tab/>
        <w:t>(1)</w:t>
      </w:r>
      <w:r w:rsidRPr="006E709F">
        <w:tab/>
        <w:t>A company is exempt from the requirement to set out the relevant information on a public document, or a negotiable instrument, of the company if:</w:t>
      </w:r>
    </w:p>
    <w:p w14:paraId="1800FE1F" w14:textId="77777777" w:rsidR="00E93F58" w:rsidRPr="006E709F" w:rsidRDefault="00E93F58" w:rsidP="00A801D0">
      <w:pPr>
        <w:pStyle w:val="paragraph"/>
      </w:pPr>
      <w:r w:rsidRPr="006E709F">
        <w:tab/>
        <w:t>(a)</w:t>
      </w:r>
      <w:r w:rsidRPr="006E709F">
        <w:tab/>
        <w:t>the company is registered on the Australian Business Register; and</w:t>
      </w:r>
    </w:p>
    <w:p w14:paraId="792196DE" w14:textId="77777777" w:rsidR="00E93F58" w:rsidRPr="006E709F" w:rsidRDefault="00E93F58" w:rsidP="00A801D0">
      <w:pPr>
        <w:pStyle w:val="paragraph"/>
      </w:pPr>
      <w:r w:rsidRPr="006E709F">
        <w:tab/>
        <w:t>(b)</w:t>
      </w:r>
      <w:r w:rsidRPr="006E709F">
        <w:tab/>
        <w:t>the last 9 digits of its ABN are the same, and in the same order, as the last 9 digits of its ACN; and</w:t>
      </w:r>
    </w:p>
    <w:p w14:paraId="18A5B7EA" w14:textId="77777777" w:rsidR="00E93F58" w:rsidRPr="006E709F" w:rsidRDefault="00E93F58" w:rsidP="00A801D0">
      <w:pPr>
        <w:pStyle w:val="paragraph"/>
      </w:pPr>
      <w:r w:rsidRPr="006E709F">
        <w:tab/>
        <w:t>(c)</w:t>
      </w:r>
      <w:r w:rsidRPr="006E709F">
        <w:tab/>
        <w:t>‘Australian Business Number’ or ‘ABN’ is displayed with the name of the company, or with 1 of the references to that name:</w:t>
      </w:r>
    </w:p>
    <w:p w14:paraId="288D49D3" w14:textId="77777777" w:rsidR="00E93F58" w:rsidRPr="006E709F" w:rsidRDefault="00E93F58" w:rsidP="00A801D0">
      <w:pPr>
        <w:pStyle w:val="paragraphsub"/>
      </w:pPr>
      <w:r w:rsidRPr="006E709F">
        <w:tab/>
        <w:t>(i)</w:t>
      </w:r>
      <w:r w:rsidRPr="006E709F">
        <w:tab/>
        <w:t>in the case of a document or instrument in which the name appears on only 1 page—on that page; and</w:t>
      </w:r>
    </w:p>
    <w:p w14:paraId="4F55F7DF" w14:textId="77777777" w:rsidR="00E93F58" w:rsidRPr="006E709F" w:rsidRDefault="00E93F58" w:rsidP="00A801D0">
      <w:pPr>
        <w:pStyle w:val="paragraphsub"/>
      </w:pPr>
      <w:r w:rsidRPr="006E709F">
        <w:tab/>
        <w:t>(ii)</w:t>
      </w:r>
      <w:r w:rsidRPr="006E709F">
        <w:tab/>
        <w:t>in the case of a document or instrument in which the name appears on 2 or more pages—on the first of those pages.</w:t>
      </w:r>
    </w:p>
    <w:p w14:paraId="30130625" w14:textId="77777777" w:rsidR="00E93F58" w:rsidRPr="006E709F" w:rsidRDefault="00E93F58" w:rsidP="00A801D0">
      <w:pPr>
        <w:pStyle w:val="subsection"/>
      </w:pPr>
      <w:r w:rsidRPr="006E709F">
        <w:tab/>
        <w:t>(2)</w:t>
      </w:r>
      <w:r w:rsidRPr="006E709F">
        <w:tab/>
        <w:t>A registered Australian body or registered foreign body is exempt from the requirement to set out information mentioned in paragraph 601DE(1)(b) and subsection 601DE(2) of the Act on a public document, or a negotiable instrument, of the registered body or foreign company if:</w:t>
      </w:r>
    </w:p>
    <w:p w14:paraId="64DF9500" w14:textId="77777777" w:rsidR="00E93F58" w:rsidRPr="006E709F" w:rsidRDefault="00E93F58" w:rsidP="00A801D0">
      <w:pPr>
        <w:pStyle w:val="paragraph"/>
      </w:pPr>
      <w:r w:rsidRPr="006E709F">
        <w:tab/>
        <w:t>(a)</w:t>
      </w:r>
      <w:r w:rsidRPr="006E709F">
        <w:tab/>
        <w:t>the body or company is also registered on the Australian Business Register; and</w:t>
      </w:r>
    </w:p>
    <w:p w14:paraId="70641FDA" w14:textId="77777777" w:rsidR="00E93F58" w:rsidRPr="006E709F" w:rsidRDefault="00E93F58" w:rsidP="00A801D0">
      <w:pPr>
        <w:pStyle w:val="paragraph"/>
      </w:pPr>
      <w:r w:rsidRPr="006E709F">
        <w:tab/>
        <w:t>(b)</w:t>
      </w:r>
      <w:r w:rsidRPr="006E709F">
        <w:tab/>
        <w:t>the last 9 digits of its ABN are the same, and in the same order, as the last 9 digits of its ARBN; and</w:t>
      </w:r>
    </w:p>
    <w:p w14:paraId="4C26DBE4" w14:textId="77777777" w:rsidR="00E93F58" w:rsidRPr="006E709F" w:rsidRDefault="00E93F58" w:rsidP="00A801D0">
      <w:pPr>
        <w:pStyle w:val="paragraph"/>
      </w:pPr>
      <w:r w:rsidRPr="006E709F">
        <w:tab/>
        <w:t>(c)</w:t>
      </w:r>
      <w:r w:rsidRPr="006E709F">
        <w:tab/>
        <w:t>‘Australian Business Number’ or ‘ABN’ is displayed with the name of the body or company, or with 1 of the references to that name:</w:t>
      </w:r>
    </w:p>
    <w:p w14:paraId="09CE90AC" w14:textId="77777777" w:rsidR="00E93F58" w:rsidRPr="006E709F" w:rsidRDefault="00E93F58" w:rsidP="00A801D0">
      <w:pPr>
        <w:pStyle w:val="paragraphsub"/>
      </w:pPr>
      <w:r w:rsidRPr="006E709F">
        <w:tab/>
        <w:t>(i)</w:t>
      </w:r>
      <w:r w:rsidRPr="006E709F">
        <w:tab/>
        <w:t>in the case of a document or instrument in which the name appears on only 1 page—on that page; and</w:t>
      </w:r>
    </w:p>
    <w:p w14:paraId="5490DDF7" w14:textId="77777777" w:rsidR="00E93F58" w:rsidRPr="006E709F" w:rsidRDefault="00E93F58" w:rsidP="00A801D0">
      <w:pPr>
        <w:pStyle w:val="paragraphsub"/>
      </w:pPr>
      <w:r w:rsidRPr="006E709F">
        <w:tab/>
        <w:t>(ii)</w:t>
      </w:r>
      <w:r w:rsidRPr="006E709F">
        <w:tab/>
        <w:t>in the case of a document or instrument in which the name appears on 2 or more pages—on the first of those pages.</w:t>
      </w:r>
    </w:p>
    <w:p w14:paraId="54A03182" w14:textId="77777777" w:rsidR="00E93F58" w:rsidRPr="006E709F" w:rsidRDefault="00E93F58" w:rsidP="00E376FA">
      <w:pPr>
        <w:pStyle w:val="ActHead1"/>
        <w:pageBreakBefore/>
      </w:pPr>
      <w:bookmarkStart w:id="3302" w:name="_Toc151992401"/>
      <w:bookmarkStart w:id="3303" w:name="_Toc158713438"/>
      <w:r w:rsidRPr="000C4237">
        <w:rPr>
          <w:rStyle w:val="CharChapNo"/>
        </w:rPr>
        <w:lastRenderedPageBreak/>
        <w:t>Schedule 7A</w:t>
      </w:r>
      <w:r w:rsidRPr="006E709F">
        <w:t>—</w:t>
      </w:r>
      <w:r w:rsidRPr="000C4237">
        <w:rPr>
          <w:rStyle w:val="CharChapText"/>
        </w:rPr>
        <w:t>Content of annual transparency report</w:t>
      </w:r>
      <w:bookmarkEnd w:id="3302"/>
      <w:bookmarkEnd w:id="3303"/>
    </w:p>
    <w:p w14:paraId="20982DD5" w14:textId="77777777" w:rsidR="00E93F58" w:rsidRPr="006E709F" w:rsidRDefault="00E93F58" w:rsidP="00A801D0">
      <w:pPr>
        <w:pStyle w:val="notemargin"/>
      </w:pPr>
      <w:r w:rsidRPr="006E709F">
        <w:t>(subregulation 2M.4A.02(1))</w:t>
      </w:r>
    </w:p>
    <w:p w14:paraId="0923038C" w14:textId="77777777" w:rsidR="00E93F58" w:rsidRPr="006E709F" w:rsidRDefault="00E93F58" w:rsidP="00A801D0">
      <w:pPr>
        <w:pStyle w:val="ActHead2"/>
      </w:pPr>
      <w:bookmarkStart w:id="3304" w:name="_Toc151992402"/>
      <w:bookmarkStart w:id="3305" w:name="_Toc158713439"/>
      <w:r w:rsidRPr="000C4237">
        <w:rPr>
          <w:rStyle w:val="CharPartNo"/>
        </w:rPr>
        <w:t>Part 1</w:t>
      </w:r>
      <w:r w:rsidRPr="006E709F">
        <w:t>—</w:t>
      </w:r>
      <w:r w:rsidRPr="000C4237">
        <w:rPr>
          <w:rStyle w:val="CharPartText"/>
        </w:rPr>
        <w:t>Interpretation for Schedule 7A</w:t>
      </w:r>
      <w:bookmarkEnd w:id="3304"/>
      <w:bookmarkEnd w:id="3305"/>
    </w:p>
    <w:p w14:paraId="1F4BCA0F" w14:textId="77777777" w:rsidR="00E93F58" w:rsidRPr="006E709F" w:rsidRDefault="00E93F58" w:rsidP="007C7D49">
      <w:pPr>
        <w:pStyle w:val="ActHead5"/>
      </w:pPr>
      <w:bookmarkStart w:id="3306" w:name="_Toc151992403"/>
      <w:bookmarkStart w:id="3307" w:name="_Toc158713440"/>
      <w:r w:rsidRPr="000C4237">
        <w:rPr>
          <w:rStyle w:val="CharSectno"/>
        </w:rPr>
        <w:t>7A101</w:t>
      </w:r>
      <w:r w:rsidRPr="006E709F">
        <w:t xml:space="preserve">  Interpretation</w:t>
      </w:r>
      <w:bookmarkEnd w:id="3306"/>
      <w:bookmarkEnd w:id="3307"/>
    </w:p>
    <w:p w14:paraId="39935DC4" w14:textId="77777777" w:rsidR="00E93F58" w:rsidRPr="006E709F" w:rsidRDefault="00E93F58" w:rsidP="00A801D0">
      <w:pPr>
        <w:pStyle w:val="subsection"/>
      </w:pPr>
      <w:r w:rsidRPr="006E709F">
        <w:tab/>
      </w:r>
      <w:r w:rsidRPr="006E709F">
        <w:tab/>
        <w:t>In this Schedule:</w:t>
      </w:r>
    </w:p>
    <w:p w14:paraId="65810A82" w14:textId="77777777" w:rsidR="00E93F58" w:rsidRPr="006E709F" w:rsidRDefault="00E93F58" w:rsidP="00A801D0">
      <w:pPr>
        <w:pStyle w:val="Definition"/>
      </w:pPr>
      <w:r w:rsidRPr="006E709F">
        <w:rPr>
          <w:b/>
          <w:i/>
        </w:rPr>
        <w:t>management body</w:t>
      </w:r>
      <w:r w:rsidRPr="006E709F">
        <w:t>, for an authorised audit company, means the Board of Directors.</w:t>
      </w:r>
    </w:p>
    <w:p w14:paraId="227D030E" w14:textId="77777777" w:rsidR="00E93F58" w:rsidRPr="006E709F" w:rsidRDefault="00E93F58" w:rsidP="00A801D0">
      <w:pPr>
        <w:pStyle w:val="Definition"/>
      </w:pPr>
      <w:r w:rsidRPr="006E709F">
        <w:rPr>
          <w:b/>
          <w:i/>
        </w:rPr>
        <w:t>relevant transparency reporting year</w:t>
      </w:r>
      <w:r w:rsidRPr="006E709F">
        <w:rPr>
          <w:i/>
        </w:rPr>
        <w:t xml:space="preserve"> </w:t>
      </w:r>
      <w:r w:rsidRPr="006E709F">
        <w:t>means the transparency reporting year to which an annual transparency report relates.</w:t>
      </w:r>
    </w:p>
    <w:p w14:paraId="30EB0428" w14:textId="77777777" w:rsidR="00E93F58" w:rsidRPr="006E709F" w:rsidRDefault="00E93F58" w:rsidP="00A801D0">
      <w:pPr>
        <w:pStyle w:val="notetext"/>
      </w:pPr>
      <w:r w:rsidRPr="00BE1284">
        <w:t>Note</w:t>
      </w:r>
      <w:r w:rsidRPr="006E709F">
        <w:t>:</w:t>
      </w:r>
      <w:r w:rsidRPr="006E709F">
        <w:tab/>
        <w:t>See regulation 2M.4A.01 for an application provision that, read in combination with regulation 2M.4A.02, is relevant to Schedule 7A.</w:t>
      </w:r>
    </w:p>
    <w:p w14:paraId="430B44BA" w14:textId="77777777" w:rsidR="00E93F58" w:rsidRPr="006E709F" w:rsidRDefault="00E93F58" w:rsidP="00A801D0">
      <w:pPr>
        <w:pStyle w:val="ActHead2"/>
        <w:pageBreakBefore/>
      </w:pPr>
      <w:bookmarkStart w:id="3308" w:name="_Toc151992404"/>
      <w:bookmarkStart w:id="3309" w:name="_Toc158713441"/>
      <w:r w:rsidRPr="000C4237">
        <w:rPr>
          <w:rStyle w:val="CharPartNo"/>
        </w:rPr>
        <w:lastRenderedPageBreak/>
        <w:t>Part 2</w:t>
      </w:r>
      <w:r w:rsidRPr="006E709F">
        <w:t>—</w:t>
      </w:r>
      <w:r w:rsidRPr="000C4237">
        <w:rPr>
          <w:rStyle w:val="CharPartText"/>
        </w:rPr>
        <w:t>Prescribed information for audit firm or authorised audit company</w:t>
      </w:r>
      <w:bookmarkEnd w:id="3308"/>
      <w:bookmarkEnd w:id="3309"/>
    </w:p>
    <w:p w14:paraId="22587760"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0"/>
        <w:gridCol w:w="9133"/>
      </w:tblGrid>
      <w:tr w:rsidR="00E93F58" w:rsidRPr="006E709F" w14:paraId="6792119E" w14:textId="77777777" w:rsidTr="00E118FA">
        <w:trPr>
          <w:tblHeader/>
        </w:trPr>
        <w:tc>
          <w:tcPr>
            <w:tcW w:w="761" w:type="pct"/>
            <w:tcBorders>
              <w:top w:val="single" w:sz="12" w:space="0" w:color="auto"/>
              <w:bottom w:val="single" w:sz="12" w:space="0" w:color="auto"/>
            </w:tcBorders>
            <w:shd w:val="clear" w:color="auto" w:fill="auto"/>
          </w:tcPr>
          <w:p w14:paraId="36E8759E" w14:textId="77777777" w:rsidR="00E93F58" w:rsidRPr="006E709F" w:rsidRDefault="00E93F58" w:rsidP="00A801D0">
            <w:pPr>
              <w:pStyle w:val="TableHeading"/>
            </w:pPr>
            <w:r w:rsidRPr="006E709F">
              <w:t>Item</w:t>
            </w:r>
          </w:p>
        </w:tc>
        <w:tc>
          <w:tcPr>
            <w:tcW w:w="4239" w:type="pct"/>
            <w:tcBorders>
              <w:top w:val="single" w:sz="12" w:space="0" w:color="auto"/>
              <w:bottom w:val="single" w:sz="12" w:space="0" w:color="auto"/>
            </w:tcBorders>
            <w:shd w:val="clear" w:color="auto" w:fill="auto"/>
          </w:tcPr>
          <w:p w14:paraId="0EF4FCC7" w14:textId="77777777" w:rsidR="00E93F58" w:rsidRPr="006E709F" w:rsidRDefault="00E93F58" w:rsidP="00A801D0">
            <w:pPr>
              <w:pStyle w:val="TableHeading"/>
            </w:pPr>
            <w:r w:rsidRPr="006E709F">
              <w:t>Information</w:t>
            </w:r>
          </w:p>
        </w:tc>
      </w:tr>
      <w:tr w:rsidR="00E93F58" w:rsidRPr="006E709F" w14:paraId="0CBC8E93" w14:textId="77777777" w:rsidTr="00E118FA">
        <w:tc>
          <w:tcPr>
            <w:tcW w:w="761" w:type="pct"/>
            <w:tcBorders>
              <w:top w:val="single" w:sz="12" w:space="0" w:color="auto"/>
              <w:bottom w:val="single" w:sz="4" w:space="0" w:color="auto"/>
            </w:tcBorders>
            <w:shd w:val="clear" w:color="auto" w:fill="auto"/>
          </w:tcPr>
          <w:p w14:paraId="69BAC47F" w14:textId="77777777" w:rsidR="00E93F58" w:rsidRPr="006E709F" w:rsidRDefault="00E93F58" w:rsidP="00A801D0">
            <w:pPr>
              <w:pStyle w:val="Tabletext"/>
            </w:pPr>
            <w:r w:rsidRPr="006E709F">
              <w:t>7A201</w:t>
            </w:r>
          </w:p>
        </w:tc>
        <w:tc>
          <w:tcPr>
            <w:tcW w:w="4239" w:type="pct"/>
            <w:tcBorders>
              <w:top w:val="single" w:sz="12" w:space="0" w:color="auto"/>
              <w:bottom w:val="single" w:sz="4" w:space="0" w:color="auto"/>
            </w:tcBorders>
            <w:shd w:val="clear" w:color="auto" w:fill="auto"/>
          </w:tcPr>
          <w:p w14:paraId="3D111DC5" w14:textId="77777777" w:rsidR="00E93F58" w:rsidRPr="006E709F" w:rsidRDefault="00E93F58" w:rsidP="00A801D0">
            <w:pPr>
              <w:pStyle w:val="Tabletext"/>
            </w:pPr>
            <w:r w:rsidRPr="006E709F">
              <w:t>A description of the transparency reporting auditor’s:</w:t>
            </w:r>
          </w:p>
          <w:p w14:paraId="54AFDC0B" w14:textId="77777777" w:rsidR="00E93F58" w:rsidRPr="006E709F" w:rsidRDefault="00E93F58" w:rsidP="00A801D0">
            <w:pPr>
              <w:pStyle w:val="Tablea"/>
            </w:pPr>
            <w:r w:rsidRPr="006E709F">
              <w:t>(a) legal structure; and</w:t>
            </w:r>
          </w:p>
          <w:p w14:paraId="799964CA" w14:textId="77777777" w:rsidR="00E93F58" w:rsidRPr="006E709F" w:rsidRDefault="00E93F58" w:rsidP="00A801D0">
            <w:pPr>
              <w:pStyle w:val="Tablea"/>
            </w:pPr>
            <w:r w:rsidRPr="006E709F">
              <w:t>(b) ownership</w:t>
            </w:r>
          </w:p>
        </w:tc>
      </w:tr>
      <w:tr w:rsidR="00E93F58" w:rsidRPr="006E709F" w14:paraId="27A95DBA" w14:textId="77777777" w:rsidTr="00E118FA">
        <w:tc>
          <w:tcPr>
            <w:tcW w:w="761" w:type="pct"/>
            <w:tcBorders>
              <w:bottom w:val="nil"/>
              <w:right w:val="nil"/>
            </w:tcBorders>
            <w:shd w:val="clear" w:color="auto" w:fill="auto"/>
          </w:tcPr>
          <w:p w14:paraId="38B6542D" w14:textId="77777777" w:rsidR="00E93F58" w:rsidRPr="006E709F" w:rsidRDefault="00E93F58" w:rsidP="00A801D0">
            <w:pPr>
              <w:pStyle w:val="Tabletext"/>
            </w:pPr>
            <w:r w:rsidRPr="006E709F">
              <w:t>7A202</w:t>
            </w:r>
          </w:p>
        </w:tc>
        <w:tc>
          <w:tcPr>
            <w:tcW w:w="4239" w:type="pct"/>
            <w:tcBorders>
              <w:left w:val="nil"/>
              <w:bottom w:val="nil"/>
            </w:tcBorders>
            <w:shd w:val="clear" w:color="auto" w:fill="auto"/>
          </w:tcPr>
          <w:p w14:paraId="45C813B8" w14:textId="77777777" w:rsidR="00E93F58" w:rsidRPr="006E709F" w:rsidRDefault="00E93F58" w:rsidP="00A801D0">
            <w:pPr>
              <w:pStyle w:val="Tabletext"/>
            </w:pPr>
            <w:r w:rsidRPr="006E709F">
              <w:t>If the transparency reporting auditor belongs to a network, a description of:</w:t>
            </w:r>
          </w:p>
        </w:tc>
      </w:tr>
      <w:tr w:rsidR="00E93F58" w:rsidRPr="006E709F" w14:paraId="240BF77B" w14:textId="77777777" w:rsidTr="00E118FA">
        <w:tc>
          <w:tcPr>
            <w:tcW w:w="761" w:type="pct"/>
            <w:tcBorders>
              <w:top w:val="nil"/>
              <w:bottom w:val="single" w:sz="4" w:space="0" w:color="auto"/>
              <w:right w:val="nil"/>
            </w:tcBorders>
            <w:shd w:val="clear" w:color="auto" w:fill="auto"/>
          </w:tcPr>
          <w:p w14:paraId="277D60EB" w14:textId="77777777" w:rsidR="00E93F58" w:rsidRPr="006E709F" w:rsidRDefault="00E93F58" w:rsidP="005133DE">
            <w:pPr>
              <w:pStyle w:val="Tabletext"/>
            </w:pPr>
          </w:p>
        </w:tc>
        <w:tc>
          <w:tcPr>
            <w:tcW w:w="4239" w:type="pct"/>
            <w:tcBorders>
              <w:top w:val="nil"/>
              <w:left w:val="nil"/>
              <w:bottom w:val="single" w:sz="4" w:space="0" w:color="auto"/>
            </w:tcBorders>
            <w:shd w:val="clear" w:color="auto" w:fill="auto"/>
          </w:tcPr>
          <w:p w14:paraId="0FFBE1A1" w14:textId="77777777" w:rsidR="00E93F58" w:rsidRPr="006E709F" w:rsidRDefault="00E93F58" w:rsidP="00A801D0">
            <w:pPr>
              <w:pStyle w:val="Tablea"/>
            </w:pPr>
            <w:r w:rsidRPr="006E709F">
              <w:t>(a) the network; and</w:t>
            </w:r>
          </w:p>
          <w:p w14:paraId="4D0B9130" w14:textId="77777777" w:rsidR="00E93F58" w:rsidRPr="006E709F" w:rsidRDefault="00E93F58" w:rsidP="00A801D0">
            <w:pPr>
              <w:pStyle w:val="Tablea"/>
            </w:pPr>
            <w:r w:rsidRPr="006E709F">
              <w:t>(b) the legal arrangements of the network; and</w:t>
            </w:r>
          </w:p>
          <w:p w14:paraId="4FCDC504" w14:textId="77777777" w:rsidR="00E93F58" w:rsidRPr="006E709F" w:rsidRDefault="00E93F58" w:rsidP="00A801D0">
            <w:pPr>
              <w:pStyle w:val="Tablea"/>
            </w:pPr>
            <w:r w:rsidRPr="006E709F">
              <w:t>(c) the structural arrangements of the network</w:t>
            </w:r>
          </w:p>
        </w:tc>
      </w:tr>
      <w:tr w:rsidR="00E93F58" w:rsidRPr="006E709F" w14:paraId="479B568B" w14:textId="77777777" w:rsidTr="00E118FA">
        <w:tc>
          <w:tcPr>
            <w:tcW w:w="761" w:type="pct"/>
            <w:tcBorders>
              <w:top w:val="single" w:sz="4" w:space="0" w:color="auto"/>
            </w:tcBorders>
            <w:shd w:val="clear" w:color="auto" w:fill="auto"/>
          </w:tcPr>
          <w:p w14:paraId="7A21F908" w14:textId="77777777" w:rsidR="00E93F58" w:rsidRPr="006E709F" w:rsidRDefault="00E93F58" w:rsidP="00A801D0">
            <w:pPr>
              <w:pStyle w:val="Tabletext"/>
            </w:pPr>
            <w:r w:rsidRPr="006E709F">
              <w:t>7A203</w:t>
            </w:r>
          </w:p>
        </w:tc>
        <w:tc>
          <w:tcPr>
            <w:tcW w:w="4239" w:type="pct"/>
            <w:tcBorders>
              <w:top w:val="single" w:sz="4" w:space="0" w:color="auto"/>
            </w:tcBorders>
            <w:shd w:val="clear" w:color="auto" w:fill="auto"/>
          </w:tcPr>
          <w:p w14:paraId="045B8F76" w14:textId="77777777" w:rsidR="00E93F58" w:rsidRPr="006E709F" w:rsidRDefault="00E93F58" w:rsidP="00A801D0">
            <w:pPr>
              <w:pStyle w:val="Tabletext"/>
            </w:pPr>
            <w:r w:rsidRPr="006E709F">
              <w:t>A description of the transparency reporting auditor’s governance structure</w:t>
            </w:r>
          </w:p>
        </w:tc>
      </w:tr>
      <w:tr w:rsidR="00E93F58" w:rsidRPr="006E709F" w14:paraId="432FA990" w14:textId="77777777" w:rsidTr="00E118FA">
        <w:tc>
          <w:tcPr>
            <w:tcW w:w="761" w:type="pct"/>
            <w:shd w:val="clear" w:color="auto" w:fill="auto"/>
          </w:tcPr>
          <w:p w14:paraId="2D53E093" w14:textId="77777777" w:rsidR="00E93F58" w:rsidRPr="006E709F" w:rsidRDefault="00E93F58" w:rsidP="00A801D0">
            <w:pPr>
              <w:pStyle w:val="Tabletext"/>
            </w:pPr>
            <w:r w:rsidRPr="006E709F">
              <w:t>7A204</w:t>
            </w:r>
          </w:p>
        </w:tc>
        <w:tc>
          <w:tcPr>
            <w:tcW w:w="4239" w:type="pct"/>
            <w:shd w:val="clear" w:color="auto" w:fill="auto"/>
          </w:tcPr>
          <w:p w14:paraId="05DB2539" w14:textId="77777777" w:rsidR="00E93F58" w:rsidRPr="006E709F" w:rsidRDefault="00E93F58" w:rsidP="00A801D0">
            <w:pPr>
              <w:pStyle w:val="Tabletext"/>
            </w:pPr>
            <w:r w:rsidRPr="006E709F">
              <w:t>A description of the transparency reporting auditor’s internal quality control system</w:t>
            </w:r>
          </w:p>
        </w:tc>
      </w:tr>
      <w:tr w:rsidR="00E93F58" w:rsidRPr="006E709F" w14:paraId="0759E050" w14:textId="77777777" w:rsidTr="00E118FA">
        <w:tc>
          <w:tcPr>
            <w:tcW w:w="761" w:type="pct"/>
            <w:shd w:val="clear" w:color="auto" w:fill="auto"/>
          </w:tcPr>
          <w:p w14:paraId="1688D973" w14:textId="77777777" w:rsidR="00E93F58" w:rsidRPr="006E709F" w:rsidRDefault="00E93F58" w:rsidP="00A801D0">
            <w:pPr>
              <w:pStyle w:val="Tabletext"/>
            </w:pPr>
            <w:r w:rsidRPr="006E709F">
              <w:t>7A205</w:t>
            </w:r>
          </w:p>
        </w:tc>
        <w:tc>
          <w:tcPr>
            <w:tcW w:w="4239" w:type="pct"/>
            <w:shd w:val="clear" w:color="auto" w:fill="auto"/>
          </w:tcPr>
          <w:p w14:paraId="1B0AC5FB" w14:textId="77777777" w:rsidR="00E93F58" w:rsidRPr="006E709F" w:rsidRDefault="00E93F58" w:rsidP="00A801D0">
            <w:pPr>
              <w:pStyle w:val="Tabletext"/>
            </w:pPr>
            <w:r w:rsidRPr="006E709F">
              <w:t>A statement by the transparency reporting auditor’s administrative body or management body on the effectiveness of the functioning of the transparency reporting auditor’s internal quality control system in the relevant transparency reporting year</w:t>
            </w:r>
          </w:p>
        </w:tc>
      </w:tr>
      <w:tr w:rsidR="00E93F58" w:rsidRPr="006E709F" w14:paraId="62280840" w14:textId="77777777" w:rsidTr="00E118FA">
        <w:tc>
          <w:tcPr>
            <w:tcW w:w="761" w:type="pct"/>
            <w:shd w:val="clear" w:color="auto" w:fill="auto"/>
          </w:tcPr>
          <w:p w14:paraId="1DFF2466" w14:textId="77777777" w:rsidR="00E93F58" w:rsidRPr="006E709F" w:rsidRDefault="00E93F58" w:rsidP="00A801D0">
            <w:pPr>
              <w:pStyle w:val="Tabletext"/>
            </w:pPr>
            <w:r w:rsidRPr="006E709F">
              <w:rPr>
                <w:color w:val="000000"/>
              </w:rPr>
              <w:t>7A206</w:t>
            </w:r>
          </w:p>
        </w:tc>
        <w:tc>
          <w:tcPr>
            <w:tcW w:w="4239" w:type="pct"/>
            <w:shd w:val="clear" w:color="auto" w:fill="auto"/>
          </w:tcPr>
          <w:p w14:paraId="60240D88" w14:textId="77777777" w:rsidR="00E93F58" w:rsidRPr="006E709F" w:rsidRDefault="00E93F58" w:rsidP="00A801D0">
            <w:pPr>
              <w:pStyle w:val="Tabletext"/>
            </w:pPr>
            <w:r w:rsidRPr="006E709F">
              <w:rPr>
                <w:color w:val="000000"/>
              </w:rPr>
              <w:t>The name of each body that is authorised to review the transparency reporting auditor (for example, ASIC or a professional accounting body) and the date of the most recent review of the transparency reporting auditor conducted by the body</w:t>
            </w:r>
          </w:p>
        </w:tc>
      </w:tr>
      <w:tr w:rsidR="00E93F58" w:rsidRPr="006E709F" w14:paraId="2C4ADEF9" w14:textId="77777777" w:rsidTr="00E118FA">
        <w:tc>
          <w:tcPr>
            <w:tcW w:w="761" w:type="pct"/>
            <w:shd w:val="clear" w:color="auto" w:fill="auto"/>
          </w:tcPr>
          <w:p w14:paraId="34D16408" w14:textId="77777777" w:rsidR="00E93F58" w:rsidRPr="006E709F" w:rsidRDefault="00E93F58" w:rsidP="00A801D0">
            <w:pPr>
              <w:pStyle w:val="Tabletext"/>
            </w:pPr>
            <w:r w:rsidRPr="006E709F">
              <w:t>7A207</w:t>
            </w:r>
          </w:p>
        </w:tc>
        <w:tc>
          <w:tcPr>
            <w:tcW w:w="4239" w:type="pct"/>
            <w:shd w:val="clear" w:color="auto" w:fill="auto"/>
          </w:tcPr>
          <w:p w14:paraId="5FF74625" w14:textId="77777777" w:rsidR="00E93F58" w:rsidRPr="006E709F" w:rsidRDefault="00E93F58" w:rsidP="008C457C">
            <w:pPr>
              <w:pStyle w:val="Tabletext"/>
            </w:pPr>
            <w:r w:rsidRPr="006E709F">
              <w:t>The names of bodies of the kinds mentioned in subsection 332A(1) of the Act for which the transparency reporting auditor conducted an audit under Division 3 of Part 2M.3 of the Act in the relevant transparency reporting year</w:t>
            </w:r>
          </w:p>
        </w:tc>
      </w:tr>
      <w:tr w:rsidR="00E93F58" w:rsidRPr="006E709F" w14:paraId="2F8C7BA4" w14:textId="77777777" w:rsidTr="00E118FA">
        <w:tc>
          <w:tcPr>
            <w:tcW w:w="761" w:type="pct"/>
            <w:tcBorders>
              <w:bottom w:val="single" w:sz="4" w:space="0" w:color="auto"/>
            </w:tcBorders>
            <w:shd w:val="clear" w:color="auto" w:fill="auto"/>
          </w:tcPr>
          <w:p w14:paraId="4F58AEA7" w14:textId="77777777" w:rsidR="00E93F58" w:rsidRPr="006E709F" w:rsidRDefault="00E93F58" w:rsidP="00A801D0">
            <w:pPr>
              <w:pStyle w:val="Tabletext"/>
            </w:pPr>
            <w:r w:rsidRPr="006E709F">
              <w:t>7A208</w:t>
            </w:r>
          </w:p>
        </w:tc>
        <w:tc>
          <w:tcPr>
            <w:tcW w:w="4239" w:type="pct"/>
            <w:tcBorders>
              <w:bottom w:val="single" w:sz="4" w:space="0" w:color="auto"/>
            </w:tcBorders>
            <w:shd w:val="clear" w:color="auto" w:fill="auto"/>
          </w:tcPr>
          <w:p w14:paraId="18311F5A" w14:textId="77777777" w:rsidR="00E93F58" w:rsidRPr="006E709F" w:rsidRDefault="00E93F58" w:rsidP="00A801D0">
            <w:pPr>
              <w:pStyle w:val="Tabletext"/>
            </w:pPr>
            <w:r w:rsidRPr="006E709F">
              <w:t>A statement about the transparency reporting auditor’s independence practices in the relevant transparency reporting year, including the date on which the transparency reporting auditor most recently conducted an internal review of its independence compliance</w:t>
            </w:r>
          </w:p>
        </w:tc>
      </w:tr>
      <w:tr w:rsidR="00E93F58" w:rsidRPr="006E709F" w14:paraId="6FD9425F" w14:textId="77777777" w:rsidTr="00E118FA">
        <w:trPr>
          <w:cantSplit/>
        </w:trPr>
        <w:tc>
          <w:tcPr>
            <w:tcW w:w="761" w:type="pct"/>
            <w:tcBorders>
              <w:bottom w:val="single" w:sz="4" w:space="0" w:color="auto"/>
            </w:tcBorders>
            <w:shd w:val="clear" w:color="auto" w:fill="auto"/>
          </w:tcPr>
          <w:p w14:paraId="3B70020B" w14:textId="77777777" w:rsidR="00E93F58" w:rsidRPr="006E709F" w:rsidRDefault="00E93F58" w:rsidP="00A801D0">
            <w:pPr>
              <w:pStyle w:val="Tabletext"/>
            </w:pPr>
            <w:r w:rsidRPr="006E709F">
              <w:t>7A209</w:t>
            </w:r>
          </w:p>
        </w:tc>
        <w:tc>
          <w:tcPr>
            <w:tcW w:w="4239" w:type="pct"/>
            <w:tcBorders>
              <w:bottom w:val="single" w:sz="4" w:space="0" w:color="auto"/>
            </w:tcBorders>
            <w:shd w:val="clear" w:color="auto" w:fill="auto"/>
          </w:tcPr>
          <w:p w14:paraId="530B3411" w14:textId="77777777" w:rsidR="00E93F58" w:rsidRPr="006E709F" w:rsidRDefault="00E93F58" w:rsidP="00A801D0">
            <w:pPr>
              <w:pStyle w:val="Tabletext"/>
            </w:pPr>
            <w:r w:rsidRPr="006E709F">
              <w:t>A statement about the policy that the transparency reporting auditor follows regarding the minimum amount and nature of continuing or other professional education that professional members of an audit team must undertake during the relevant transparency reporting year</w:t>
            </w:r>
          </w:p>
        </w:tc>
      </w:tr>
      <w:tr w:rsidR="00E93F58" w:rsidRPr="006E709F" w14:paraId="5BEE6845" w14:textId="77777777" w:rsidTr="00E118FA">
        <w:tc>
          <w:tcPr>
            <w:tcW w:w="761" w:type="pct"/>
            <w:tcBorders>
              <w:bottom w:val="nil"/>
              <w:right w:val="nil"/>
            </w:tcBorders>
            <w:shd w:val="clear" w:color="auto" w:fill="auto"/>
          </w:tcPr>
          <w:p w14:paraId="7CD41A50" w14:textId="77777777" w:rsidR="00E93F58" w:rsidRPr="006E709F" w:rsidRDefault="00E93F58" w:rsidP="00A801D0">
            <w:pPr>
              <w:pStyle w:val="Tabletext"/>
            </w:pPr>
            <w:r w:rsidRPr="006E709F">
              <w:t>7A210</w:t>
            </w:r>
          </w:p>
        </w:tc>
        <w:tc>
          <w:tcPr>
            <w:tcW w:w="4239" w:type="pct"/>
            <w:tcBorders>
              <w:left w:val="nil"/>
              <w:bottom w:val="nil"/>
            </w:tcBorders>
            <w:shd w:val="clear" w:color="auto" w:fill="auto"/>
          </w:tcPr>
          <w:p w14:paraId="70026D2A" w14:textId="77777777" w:rsidR="00E93F58" w:rsidRPr="006E709F" w:rsidRDefault="00E93F58" w:rsidP="00A801D0">
            <w:pPr>
              <w:pStyle w:val="Tabletext"/>
            </w:pPr>
            <w:r w:rsidRPr="006E709F">
              <w:t>Financial information for the transparency reporting auditor that relates to the relevant transparency reporting year, including:</w:t>
            </w:r>
          </w:p>
          <w:p w14:paraId="2822D913" w14:textId="77777777" w:rsidR="00E93F58" w:rsidRPr="006E709F" w:rsidRDefault="00E93F58" w:rsidP="00A801D0">
            <w:pPr>
              <w:pStyle w:val="Tablea"/>
            </w:pPr>
            <w:r w:rsidRPr="006E709F">
              <w:t>(a) total revenue; and</w:t>
            </w:r>
          </w:p>
        </w:tc>
      </w:tr>
      <w:tr w:rsidR="00E93F58" w:rsidRPr="006E709F" w14:paraId="5E3D6332" w14:textId="77777777" w:rsidTr="00E118FA">
        <w:tc>
          <w:tcPr>
            <w:tcW w:w="761" w:type="pct"/>
            <w:tcBorders>
              <w:top w:val="nil"/>
              <w:bottom w:val="single" w:sz="4" w:space="0" w:color="auto"/>
              <w:right w:val="nil"/>
            </w:tcBorders>
            <w:shd w:val="clear" w:color="auto" w:fill="auto"/>
          </w:tcPr>
          <w:p w14:paraId="64230C03" w14:textId="77777777" w:rsidR="00E93F58" w:rsidRPr="006E709F" w:rsidRDefault="00E93F58" w:rsidP="00A801D0">
            <w:pPr>
              <w:pStyle w:val="Tabletext"/>
            </w:pPr>
          </w:p>
        </w:tc>
        <w:tc>
          <w:tcPr>
            <w:tcW w:w="4239" w:type="pct"/>
            <w:tcBorders>
              <w:top w:val="nil"/>
              <w:left w:val="nil"/>
              <w:bottom w:val="single" w:sz="4" w:space="0" w:color="auto"/>
            </w:tcBorders>
            <w:shd w:val="clear" w:color="auto" w:fill="auto"/>
          </w:tcPr>
          <w:p w14:paraId="2F90ACFA" w14:textId="77777777" w:rsidR="00E93F58" w:rsidRPr="006E709F" w:rsidRDefault="00E93F58" w:rsidP="00A801D0">
            <w:pPr>
              <w:pStyle w:val="Tablea"/>
            </w:pPr>
            <w:r w:rsidRPr="006E709F">
              <w:t>(b) revenue relating to:</w:t>
            </w:r>
          </w:p>
          <w:p w14:paraId="5C48BD26" w14:textId="77777777" w:rsidR="00E93F58" w:rsidRPr="006E709F" w:rsidRDefault="00E93F58" w:rsidP="00A801D0">
            <w:pPr>
              <w:pStyle w:val="Tablei"/>
            </w:pPr>
            <w:r w:rsidRPr="006E709F">
              <w:t>(i) audits of financial statements conducted by the transparency reporting auditor; and</w:t>
            </w:r>
          </w:p>
          <w:p w14:paraId="6D8D3BD6" w14:textId="77777777" w:rsidR="00E93F58" w:rsidRPr="006E709F" w:rsidRDefault="00E93F58" w:rsidP="00A801D0">
            <w:pPr>
              <w:pStyle w:val="Tablei"/>
            </w:pPr>
            <w:r w:rsidRPr="006E709F">
              <w:t>(ii) other services provided by the transparency reporting auditor</w:t>
            </w:r>
          </w:p>
        </w:tc>
      </w:tr>
      <w:tr w:rsidR="00E93F58" w:rsidRPr="006E709F" w14:paraId="00B2CDB6" w14:textId="77777777" w:rsidTr="00E118FA">
        <w:tc>
          <w:tcPr>
            <w:tcW w:w="761" w:type="pct"/>
            <w:tcBorders>
              <w:bottom w:val="single" w:sz="12" w:space="0" w:color="auto"/>
            </w:tcBorders>
            <w:shd w:val="clear" w:color="auto" w:fill="auto"/>
          </w:tcPr>
          <w:p w14:paraId="74136913" w14:textId="77777777" w:rsidR="00E93F58" w:rsidRPr="006E709F" w:rsidRDefault="00E93F58" w:rsidP="00A801D0">
            <w:pPr>
              <w:pStyle w:val="Tabletext"/>
            </w:pPr>
            <w:r w:rsidRPr="006E709F">
              <w:t>7A211</w:t>
            </w:r>
          </w:p>
        </w:tc>
        <w:tc>
          <w:tcPr>
            <w:tcW w:w="4239" w:type="pct"/>
            <w:tcBorders>
              <w:bottom w:val="single" w:sz="12" w:space="0" w:color="auto"/>
            </w:tcBorders>
            <w:shd w:val="clear" w:color="auto" w:fill="auto"/>
          </w:tcPr>
          <w:p w14:paraId="27B2FE08" w14:textId="77777777" w:rsidR="00E93F58" w:rsidRPr="006E709F" w:rsidRDefault="00E93F58" w:rsidP="00A801D0">
            <w:pPr>
              <w:pStyle w:val="Tabletext"/>
            </w:pPr>
            <w:r w:rsidRPr="006E709F">
              <w:t>Information concerning the basis for remuneration of:</w:t>
            </w:r>
          </w:p>
          <w:p w14:paraId="18C843C3" w14:textId="77777777" w:rsidR="00E93F58" w:rsidRPr="006E709F" w:rsidRDefault="00E93F58" w:rsidP="00A801D0">
            <w:pPr>
              <w:pStyle w:val="Tablea"/>
            </w:pPr>
            <w:r w:rsidRPr="006E709F">
              <w:t>(a) the audit firm’s partners; or</w:t>
            </w:r>
          </w:p>
          <w:p w14:paraId="55DC54EC" w14:textId="77777777" w:rsidR="00E93F58" w:rsidRPr="006E709F" w:rsidRDefault="00E93F58" w:rsidP="00A801D0">
            <w:pPr>
              <w:pStyle w:val="Tablea"/>
            </w:pPr>
            <w:r w:rsidRPr="006E709F">
              <w:t>(b) the authorised audit company’s directors</w:t>
            </w:r>
          </w:p>
        </w:tc>
      </w:tr>
    </w:tbl>
    <w:p w14:paraId="668A68C6" w14:textId="77777777" w:rsidR="00E93F58" w:rsidRPr="006E709F" w:rsidRDefault="00E93F58" w:rsidP="00A801D0">
      <w:pPr>
        <w:pStyle w:val="ActHead2"/>
        <w:pageBreakBefore/>
      </w:pPr>
      <w:bookmarkStart w:id="3310" w:name="_Toc151992405"/>
      <w:bookmarkStart w:id="3311" w:name="_Toc158713442"/>
      <w:r w:rsidRPr="000C4237">
        <w:rPr>
          <w:rStyle w:val="CharPartNo"/>
        </w:rPr>
        <w:lastRenderedPageBreak/>
        <w:t>Part 3</w:t>
      </w:r>
      <w:r w:rsidRPr="006E709F">
        <w:t>—</w:t>
      </w:r>
      <w:r w:rsidRPr="000C4237">
        <w:rPr>
          <w:rStyle w:val="CharPartText"/>
        </w:rPr>
        <w:t>Prescribed information for individual auditor</w:t>
      </w:r>
      <w:bookmarkEnd w:id="3310"/>
      <w:bookmarkEnd w:id="3311"/>
    </w:p>
    <w:p w14:paraId="66E273D5"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640"/>
        <w:gridCol w:w="9133"/>
      </w:tblGrid>
      <w:tr w:rsidR="00E93F58" w:rsidRPr="006E709F" w14:paraId="6E3E18B9" w14:textId="77777777" w:rsidTr="00E118FA">
        <w:trPr>
          <w:tblHeader/>
        </w:trPr>
        <w:tc>
          <w:tcPr>
            <w:tcW w:w="761" w:type="pct"/>
            <w:tcBorders>
              <w:top w:val="single" w:sz="12" w:space="0" w:color="auto"/>
              <w:bottom w:val="single" w:sz="12" w:space="0" w:color="auto"/>
            </w:tcBorders>
            <w:shd w:val="clear" w:color="auto" w:fill="auto"/>
          </w:tcPr>
          <w:p w14:paraId="18829A02" w14:textId="77777777" w:rsidR="00E93F58" w:rsidRPr="006E709F" w:rsidRDefault="00E93F58" w:rsidP="00A801D0">
            <w:pPr>
              <w:pStyle w:val="TableHeading"/>
            </w:pPr>
            <w:r w:rsidRPr="006E709F">
              <w:t>Item</w:t>
            </w:r>
          </w:p>
        </w:tc>
        <w:tc>
          <w:tcPr>
            <w:tcW w:w="4239" w:type="pct"/>
            <w:tcBorders>
              <w:top w:val="single" w:sz="12" w:space="0" w:color="auto"/>
              <w:bottom w:val="single" w:sz="12" w:space="0" w:color="auto"/>
            </w:tcBorders>
            <w:shd w:val="clear" w:color="auto" w:fill="auto"/>
          </w:tcPr>
          <w:p w14:paraId="655AFA38" w14:textId="77777777" w:rsidR="00E93F58" w:rsidRPr="006E709F" w:rsidRDefault="00E93F58" w:rsidP="00A801D0">
            <w:pPr>
              <w:pStyle w:val="TableHeading"/>
            </w:pPr>
            <w:r w:rsidRPr="006E709F">
              <w:t>Information</w:t>
            </w:r>
          </w:p>
        </w:tc>
      </w:tr>
      <w:tr w:rsidR="00E93F58" w:rsidRPr="006E709F" w14:paraId="7CC0FBA1" w14:textId="77777777" w:rsidTr="00E118FA">
        <w:tc>
          <w:tcPr>
            <w:tcW w:w="761" w:type="pct"/>
            <w:tcBorders>
              <w:top w:val="single" w:sz="12" w:space="0" w:color="auto"/>
              <w:bottom w:val="nil"/>
              <w:right w:val="nil"/>
            </w:tcBorders>
            <w:shd w:val="clear" w:color="auto" w:fill="auto"/>
          </w:tcPr>
          <w:p w14:paraId="5F475E00" w14:textId="77777777" w:rsidR="00E93F58" w:rsidRPr="006E709F" w:rsidRDefault="00E93F58" w:rsidP="00A801D0">
            <w:pPr>
              <w:pStyle w:val="Tabletext"/>
            </w:pPr>
            <w:r w:rsidRPr="006E709F">
              <w:t>7A301</w:t>
            </w:r>
          </w:p>
        </w:tc>
        <w:tc>
          <w:tcPr>
            <w:tcW w:w="4239" w:type="pct"/>
            <w:tcBorders>
              <w:top w:val="single" w:sz="12" w:space="0" w:color="auto"/>
              <w:left w:val="nil"/>
              <w:bottom w:val="nil"/>
            </w:tcBorders>
            <w:shd w:val="clear" w:color="auto" w:fill="auto"/>
          </w:tcPr>
          <w:p w14:paraId="4FEE1C50" w14:textId="77777777" w:rsidR="00E93F58" w:rsidRPr="006E709F" w:rsidRDefault="00E93F58" w:rsidP="00A801D0">
            <w:pPr>
              <w:pStyle w:val="Tabletext"/>
            </w:pPr>
            <w:r w:rsidRPr="006E709F">
              <w:t>If the transparency reporting auditor belongs to a network, a description of:</w:t>
            </w:r>
          </w:p>
        </w:tc>
      </w:tr>
      <w:tr w:rsidR="00E93F58" w:rsidRPr="006E709F" w14:paraId="4EBC3F23" w14:textId="77777777" w:rsidTr="00E118FA">
        <w:tc>
          <w:tcPr>
            <w:tcW w:w="761" w:type="pct"/>
            <w:tcBorders>
              <w:top w:val="nil"/>
              <w:bottom w:val="single" w:sz="4" w:space="0" w:color="auto"/>
              <w:right w:val="nil"/>
            </w:tcBorders>
            <w:shd w:val="clear" w:color="auto" w:fill="auto"/>
          </w:tcPr>
          <w:p w14:paraId="12825623" w14:textId="77777777" w:rsidR="00E93F58" w:rsidRPr="006E709F" w:rsidRDefault="00E93F58" w:rsidP="005133DE">
            <w:pPr>
              <w:pStyle w:val="Tabletext"/>
            </w:pPr>
          </w:p>
        </w:tc>
        <w:tc>
          <w:tcPr>
            <w:tcW w:w="4239" w:type="pct"/>
            <w:tcBorders>
              <w:top w:val="nil"/>
              <w:left w:val="nil"/>
              <w:bottom w:val="single" w:sz="4" w:space="0" w:color="auto"/>
            </w:tcBorders>
            <w:shd w:val="clear" w:color="auto" w:fill="auto"/>
          </w:tcPr>
          <w:p w14:paraId="2D2F3FED" w14:textId="77777777" w:rsidR="00E93F58" w:rsidRPr="006E709F" w:rsidRDefault="00E93F58" w:rsidP="00A801D0">
            <w:pPr>
              <w:pStyle w:val="Tablea"/>
            </w:pPr>
            <w:r w:rsidRPr="006E709F">
              <w:t>(a) the network; and</w:t>
            </w:r>
          </w:p>
          <w:p w14:paraId="08B43E51" w14:textId="77777777" w:rsidR="00E93F58" w:rsidRPr="006E709F" w:rsidRDefault="00E93F58" w:rsidP="00A801D0">
            <w:pPr>
              <w:pStyle w:val="Tablea"/>
            </w:pPr>
            <w:r w:rsidRPr="006E709F">
              <w:t>(b) the legal arrangements of the network; and</w:t>
            </w:r>
          </w:p>
          <w:p w14:paraId="05C76D64" w14:textId="77777777" w:rsidR="00E93F58" w:rsidRPr="006E709F" w:rsidRDefault="00E93F58" w:rsidP="00A801D0">
            <w:pPr>
              <w:pStyle w:val="Tablea"/>
            </w:pPr>
            <w:r w:rsidRPr="006E709F">
              <w:t>(c) the structural arrangements of the network</w:t>
            </w:r>
          </w:p>
        </w:tc>
      </w:tr>
      <w:tr w:rsidR="00E93F58" w:rsidRPr="006E709F" w14:paraId="79112D77" w14:textId="77777777" w:rsidTr="00E118FA">
        <w:tc>
          <w:tcPr>
            <w:tcW w:w="761" w:type="pct"/>
            <w:tcBorders>
              <w:top w:val="single" w:sz="4" w:space="0" w:color="auto"/>
            </w:tcBorders>
            <w:shd w:val="clear" w:color="auto" w:fill="auto"/>
          </w:tcPr>
          <w:p w14:paraId="26CF0931" w14:textId="77777777" w:rsidR="00E93F58" w:rsidRPr="006E709F" w:rsidRDefault="00E93F58" w:rsidP="00A801D0">
            <w:pPr>
              <w:pStyle w:val="Tabletext"/>
            </w:pPr>
            <w:r w:rsidRPr="006E709F">
              <w:t>7A302</w:t>
            </w:r>
          </w:p>
        </w:tc>
        <w:tc>
          <w:tcPr>
            <w:tcW w:w="4239" w:type="pct"/>
            <w:tcBorders>
              <w:top w:val="single" w:sz="4" w:space="0" w:color="auto"/>
            </w:tcBorders>
            <w:shd w:val="clear" w:color="auto" w:fill="auto"/>
          </w:tcPr>
          <w:p w14:paraId="6FA070B8" w14:textId="77777777" w:rsidR="00E93F58" w:rsidRPr="006E709F" w:rsidRDefault="00E93F58" w:rsidP="00A801D0">
            <w:pPr>
              <w:pStyle w:val="Tabletext"/>
            </w:pPr>
            <w:r w:rsidRPr="006E709F">
              <w:t>A description of the transparency reporting auditor’s internal quality control system</w:t>
            </w:r>
          </w:p>
        </w:tc>
      </w:tr>
      <w:tr w:rsidR="00E93F58" w:rsidRPr="006E709F" w14:paraId="3B37FA33" w14:textId="77777777" w:rsidTr="00E118FA">
        <w:tc>
          <w:tcPr>
            <w:tcW w:w="761" w:type="pct"/>
            <w:shd w:val="clear" w:color="auto" w:fill="auto"/>
          </w:tcPr>
          <w:p w14:paraId="230A1A5B" w14:textId="77777777" w:rsidR="00E93F58" w:rsidRPr="006E709F" w:rsidRDefault="00E93F58" w:rsidP="00A801D0">
            <w:pPr>
              <w:pStyle w:val="Tabletext"/>
            </w:pPr>
            <w:r w:rsidRPr="006E709F">
              <w:rPr>
                <w:color w:val="000000"/>
              </w:rPr>
              <w:t>7A303</w:t>
            </w:r>
          </w:p>
        </w:tc>
        <w:tc>
          <w:tcPr>
            <w:tcW w:w="4239" w:type="pct"/>
            <w:shd w:val="clear" w:color="auto" w:fill="auto"/>
          </w:tcPr>
          <w:p w14:paraId="55A1CCBB" w14:textId="77777777" w:rsidR="00E93F58" w:rsidRPr="006E709F" w:rsidRDefault="00E93F58" w:rsidP="00A801D0">
            <w:pPr>
              <w:pStyle w:val="Tabletext"/>
            </w:pPr>
            <w:r w:rsidRPr="006E709F">
              <w:rPr>
                <w:color w:val="000000"/>
              </w:rPr>
              <w:t>The name of each body that is authorised to review the transparency reporting auditor (for example, ASIC or a professional accounting body) and the date of the most recent review of the transparency reporting auditor conducted by the body</w:t>
            </w:r>
          </w:p>
        </w:tc>
      </w:tr>
      <w:tr w:rsidR="00E93F58" w:rsidRPr="006E709F" w14:paraId="41E74236" w14:textId="77777777" w:rsidTr="00E118FA">
        <w:tc>
          <w:tcPr>
            <w:tcW w:w="761" w:type="pct"/>
            <w:shd w:val="clear" w:color="auto" w:fill="auto"/>
          </w:tcPr>
          <w:p w14:paraId="6D864F51" w14:textId="77777777" w:rsidR="00E93F58" w:rsidRPr="006E709F" w:rsidRDefault="00E93F58" w:rsidP="00A801D0">
            <w:pPr>
              <w:pStyle w:val="Tabletext"/>
            </w:pPr>
            <w:r w:rsidRPr="006E709F">
              <w:rPr>
                <w:color w:val="000000"/>
              </w:rPr>
              <w:t>7A304</w:t>
            </w:r>
          </w:p>
        </w:tc>
        <w:tc>
          <w:tcPr>
            <w:tcW w:w="4239" w:type="pct"/>
            <w:shd w:val="clear" w:color="auto" w:fill="auto"/>
          </w:tcPr>
          <w:p w14:paraId="549DB9A1" w14:textId="77777777" w:rsidR="00E93F58" w:rsidRPr="006E709F" w:rsidRDefault="00E93F58" w:rsidP="008C457C">
            <w:pPr>
              <w:pStyle w:val="Tabletext"/>
            </w:pPr>
            <w:r w:rsidRPr="006E709F">
              <w:rPr>
                <w:color w:val="000000"/>
              </w:rPr>
              <w:t xml:space="preserve">The names of bodies of the kinds mentioned in subsection 332A(1) of the Act for which the transparency reporting auditor conducted an audit under Division 3 of Part 2M.3 of the Act in the relevant </w:t>
            </w:r>
            <w:r w:rsidRPr="006E709F">
              <w:t>transparency reporting</w:t>
            </w:r>
            <w:r w:rsidRPr="006E709F">
              <w:rPr>
                <w:color w:val="000000"/>
              </w:rPr>
              <w:t xml:space="preserve"> year</w:t>
            </w:r>
          </w:p>
        </w:tc>
      </w:tr>
      <w:tr w:rsidR="00E93F58" w:rsidRPr="006E709F" w14:paraId="6E05BB56" w14:textId="77777777" w:rsidTr="00E118FA">
        <w:tc>
          <w:tcPr>
            <w:tcW w:w="761" w:type="pct"/>
            <w:tcBorders>
              <w:bottom w:val="single" w:sz="4" w:space="0" w:color="auto"/>
            </w:tcBorders>
            <w:shd w:val="clear" w:color="auto" w:fill="auto"/>
          </w:tcPr>
          <w:p w14:paraId="5FE3DA99" w14:textId="77777777" w:rsidR="00E93F58" w:rsidRPr="006E709F" w:rsidRDefault="00E93F58" w:rsidP="00A801D0">
            <w:pPr>
              <w:pStyle w:val="Tabletext"/>
            </w:pPr>
            <w:r w:rsidRPr="006E709F">
              <w:rPr>
                <w:color w:val="000000"/>
              </w:rPr>
              <w:t>7A305</w:t>
            </w:r>
          </w:p>
        </w:tc>
        <w:tc>
          <w:tcPr>
            <w:tcW w:w="4239" w:type="pct"/>
            <w:tcBorders>
              <w:bottom w:val="single" w:sz="4" w:space="0" w:color="auto"/>
            </w:tcBorders>
            <w:shd w:val="clear" w:color="auto" w:fill="auto"/>
          </w:tcPr>
          <w:p w14:paraId="4345F646" w14:textId="77777777" w:rsidR="00E93F58" w:rsidRPr="006E709F" w:rsidRDefault="00E93F58" w:rsidP="00A801D0">
            <w:pPr>
              <w:pStyle w:val="Tabletext"/>
            </w:pPr>
            <w:r w:rsidRPr="006E709F">
              <w:rPr>
                <w:color w:val="000000"/>
              </w:rPr>
              <w:t xml:space="preserve">A statement </w:t>
            </w:r>
            <w:r w:rsidRPr="006E709F">
              <w:t>that sets out the transparency reporting auditor’s independence practices</w:t>
            </w:r>
            <w:r w:rsidRPr="006E709F">
              <w:rPr>
                <w:color w:val="7030A0"/>
              </w:rPr>
              <w:t xml:space="preserve"> </w:t>
            </w:r>
            <w:r w:rsidRPr="006E709F">
              <w:rPr>
                <w:color w:val="000000"/>
              </w:rPr>
              <w:t>in the relevant transparency reporting year</w:t>
            </w:r>
          </w:p>
        </w:tc>
      </w:tr>
      <w:tr w:rsidR="00E93F58" w:rsidRPr="006E709F" w14:paraId="65217863" w14:textId="77777777" w:rsidTr="00E118FA">
        <w:tc>
          <w:tcPr>
            <w:tcW w:w="761" w:type="pct"/>
            <w:tcBorders>
              <w:bottom w:val="single" w:sz="12" w:space="0" w:color="auto"/>
            </w:tcBorders>
            <w:shd w:val="clear" w:color="auto" w:fill="auto"/>
          </w:tcPr>
          <w:p w14:paraId="6CF0BF43" w14:textId="77777777" w:rsidR="00E93F58" w:rsidRPr="006E709F" w:rsidRDefault="00E93F58" w:rsidP="00A801D0">
            <w:pPr>
              <w:pStyle w:val="Tabletext"/>
            </w:pPr>
            <w:r w:rsidRPr="006E709F">
              <w:t>7A306</w:t>
            </w:r>
          </w:p>
        </w:tc>
        <w:tc>
          <w:tcPr>
            <w:tcW w:w="4239" w:type="pct"/>
            <w:tcBorders>
              <w:bottom w:val="single" w:sz="12" w:space="0" w:color="auto"/>
            </w:tcBorders>
            <w:shd w:val="clear" w:color="auto" w:fill="auto"/>
          </w:tcPr>
          <w:p w14:paraId="6AE65244" w14:textId="77777777" w:rsidR="00E93F58" w:rsidRPr="006E709F" w:rsidRDefault="00E93F58" w:rsidP="00A801D0">
            <w:pPr>
              <w:pStyle w:val="Tabletext"/>
            </w:pPr>
            <w:r w:rsidRPr="006E709F">
              <w:t>Financial information for the transparency reporting auditor that relates to the relevant transparency reporting year, including:</w:t>
            </w:r>
          </w:p>
          <w:p w14:paraId="20EEEE52" w14:textId="77777777" w:rsidR="00E93F58" w:rsidRPr="006E709F" w:rsidRDefault="00E93F58" w:rsidP="00A801D0">
            <w:pPr>
              <w:pStyle w:val="Tablea"/>
            </w:pPr>
            <w:r w:rsidRPr="006E709F">
              <w:t>(a) total revenue; and</w:t>
            </w:r>
          </w:p>
          <w:p w14:paraId="09397DC2" w14:textId="77777777" w:rsidR="00E93F58" w:rsidRPr="006E709F" w:rsidRDefault="00E93F58" w:rsidP="00A801D0">
            <w:pPr>
              <w:pStyle w:val="Tablea"/>
            </w:pPr>
            <w:r w:rsidRPr="006E709F">
              <w:t>(b) revenue relating to:</w:t>
            </w:r>
          </w:p>
          <w:p w14:paraId="7D9A3744" w14:textId="77777777" w:rsidR="00E93F58" w:rsidRPr="006E709F" w:rsidRDefault="00E93F58" w:rsidP="00A801D0">
            <w:pPr>
              <w:pStyle w:val="Tablei"/>
            </w:pPr>
            <w:r w:rsidRPr="006E709F">
              <w:t>(i) audits of financial statements conducted by the transparency reporting auditor; and</w:t>
            </w:r>
          </w:p>
          <w:p w14:paraId="204729F6" w14:textId="77777777" w:rsidR="00E93F58" w:rsidRPr="006E709F" w:rsidRDefault="00E93F58" w:rsidP="00A801D0">
            <w:pPr>
              <w:pStyle w:val="Tablei"/>
            </w:pPr>
            <w:r w:rsidRPr="006E709F">
              <w:t>(ii) other services provided by the transparency reporting auditor</w:t>
            </w:r>
          </w:p>
        </w:tc>
      </w:tr>
    </w:tbl>
    <w:p w14:paraId="50146CBE" w14:textId="77777777" w:rsidR="00E93F58" w:rsidRPr="006E709F" w:rsidRDefault="00E93F58" w:rsidP="00065887">
      <w:pPr>
        <w:pStyle w:val="ActHead1"/>
        <w:pageBreakBefore/>
        <w:spacing w:before="120"/>
      </w:pPr>
      <w:bookmarkStart w:id="3312" w:name="_Toc151992406"/>
      <w:bookmarkStart w:id="3313" w:name="_Toc158713443"/>
      <w:r w:rsidRPr="000C4237">
        <w:rPr>
          <w:rStyle w:val="CharChapNo"/>
        </w:rPr>
        <w:lastRenderedPageBreak/>
        <w:t>Schedule 8</w:t>
      </w:r>
      <w:r w:rsidRPr="006E709F">
        <w:t>—</w:t>
      </w:r>
      <w:r w:rsidRPr="000C4237">
        <w:rPr>
          <w:rStyle w:val="CharChapText"/>
        </w:rPr>
        <w:t>Schemes of arrangement under Part 5.1 of the Act</w:t>
      </w:r>
      <w:bookmarkEnd w:id="3312"/>
      <w:bookmarkEnd w:id="3313"/>
    </w:p>
    <w:p w14:paraId="3A9C9BC0" w14:textId="77777777" w:rsidR="00E93F58" w:rsidRPr="006E709F" w:rsidRDefault="00E93F58" w:rsidP="00A801D0">
      <w:pPr>
        <w:pStyle w:val="notemargin"/>
      </w:pPr>
      <w:r w:rsidRPr="006E709F">
        <w:t>(regulation 5.1.01)</w:t>
      </w:r>
    </w:p>
    <w:p w14:paraId="250FEFB7" w14:textId="77777777" w:rsidR="00E93F58" w:rsidRPr="006E709F" w:rsidRDefault="00E93F58" w:rsidP="007C7D49">
      <w:pPr>
        <w:pStyle w:val="ActHead2"/>
      </w:pPr>
      <w:bookmarkStart w:id="3314" w:name="_Toc151992407"/>
      <w:bookmarkStart w:id="3315" w:name="_Toc158713444"/>
      <w:r w:rsidRPr="000C4237">
        <w:rPr>
          <w:rStyle w:val="CharPartNo"/>
        </w:rPr>
        <w:t>Chapter 5</w:t>
      </w:r>
      <w:r w:rsidRPr="006E709F">
        <w:t>—</w:t>
      </w:r>
      <w:r w:rsidRPr="000C4237">
        <w:rPr>
          <w:rStyle w:val="CharPartText"/>
        </w:rPr>
        <w:t>External administration</w:t>
      </w:r>
      <w:bookmarkEnd w:id="3314"/>
      <w:bookmarkEnd w:id="3315"/>
    </w:p>
    <w:p w14:paraId="6F6C0696" w14:textId="77777777" w:rsidR="00E93F58" w:rsidRPr="006E709F" w:rsidRDefault="00E93F58" w:rsidP="007C7D49">
      <w:pPr>
        <w:pStyle w:val="ActHead3"/>
      </w:pPr>
      <w:bookmarkStart w:id="3316" w:name="_Toc151992408"/>
      <w:bookmarkStart w:id="3317" w:name="_Toc158713445"/>
      <w:r w:rsidRPr="000C4237">
        <w:rPr>
          <w:rStyle w:val="CharDivNo"/>
        </w:rPr>
        <w:t>Part 1</w:t>
      </w:r>
      <w:r w:rsidRPr="006E709F">
        <w:t>—</w:t>
      </w:r>
      <w:r w:rsidRPr="000C4237">
        <w:rPr>
          <w:rStyle w:val="CharDivText"/>
        </w:rPr>
        <w:t>Interpretation and application</w:t>
      </w:r>
      <w:bookmarkEnd w:id="3316"/>
      <w:bookmarkEnd w:id="3317"/>
    </w:p>
    <w:p w14:paraId="1E4590CB" w14:textId="77777777" w:rsidR="00E93F58" w:rsidRPr="006E709F" w:rsidRDefault="00E93F58" w:rsidP="00A801D0">
      <w:pPr>
        <w:pStyle w:val="subsection"/>
      </w:pPr>
      <w:r w:rsidRPr="006E709F">
        <w:rPr>
          <w:b/>
        </w:rPr>
        <w:t>8101</w:t>
      </w:r>
      <w:r w:rsidRPr="006E709F">
        <w:tab/>
      </w:r>
      <w:r w:rsidRPr="006E709F">
        <w:tab/>
        <w:t>In this Schedule:</w:t>
      </w:r>
    </w:p>
    <w:p w14:paraId="6DD08F97" w14:textId="77777777" w:rsidR="00E93F58" w:rsidRPr="006E709F" w:rsidRDefault="00E93F58" w:rsidP="00A801D0">
      <w:pPr>
        <w:pStyle w:val="Definition"/>
      </w:pPr>
      <w:r w:rsidRPr="006E709F">
        <w:rPr>
          <w:b/>
          <w:i/>
        </w:rPr>
        <w:t>internal creditor</w:t>
      </w:r>
      <w:r w:rsidRPr="006E709F">
        <w:t xml:space="preserve"> means:</w:t>
      </w:r>
    </w:p>
    <w:p w14:paraId="75217782" w14:textId="77777777" w:rsidR="00E93F58" w:rsidRPr="006E709F" w:rsidRDefault="00E93F58" w:rsidP="00A801D0">
      <w:pPr>
        <w:pStyle w:val="paragraph"/>
      </w:pPr>
      <w:r w:rsidRPr="006E709F">
        <w:tab/>
        <w:t>(a)</w:t>
      </w:r>
      <w:r w:rsidRPr="006E709F">
        <w:tab/>
        <w:t>a creditor who is a member of the company; or</w:t>
      </w:r>
    </w:p>
    <w:p w14:paraId="1FF2A68C" w14:textId="77777777" w:rsidR="00E93F58" w:rsidRPr="006E709F" w:rsidRDefault="00E93F58" w:rsidP="00A801D0">
      <w:pPr>
        <w:pStyle w:val="paragraph"/>
      </w:pPr>
      <w:r w:rsidRPr="006E709F">
        <w:tab/>
        <w:t>(b)</w:t>
      </w:r>
      <w:r w:rsidRPr="006E709F">
        <w:tab/>
        <w:t>a relative or spouse of a member; or</w:t>
      </w:r>
    </w:p>
    <w:p w14:paraId="3AEC0720" w14:textId="77777777" w:rsidR="00E93F58" w:rsidRPr="006E709F" w:rsidRDefault="00E93F58" w:rsidP="00A801D0">
      <w:pPr>
        <w:pStyle w:val="paragraph"/>
      </w:pPr>
      <w:r w:rsidRPr="006E709F">
        <w:tab/>
        <w:t>(c)</w:t>
      </w:r>
      <w:r w:rsidRPr="006E709F">
        <w:tab/>
        <w:t>a relative of the spouse of a member.</w:t>
      </w:r>
    </w:p>
    <w:p w14:paraId="0BDA2E4B" w14:textId="77777777" w:rsidR="00E93F58" w:rsidRPr="006E709F" w:rsidRDefault="00E93F58" w:rsidP="006C30E7">
      <w:pPr>
        <w:pStyle w:val="Definition"/>
      </w:pPr>
      <w:r w:rsidRPr="006E709F">
        <w:rPr>
          <w:b/>
          <w:i/>
        </w:rPr>
        <w:t>relevant marketable securities</w:t>
      </w:r>
      <w:r w:rsidRPr="006E709F">
        <w:t xml:space="preserve"> means:</w:t>
      </w:r>
    </w:p>
    <w:p w14:paraId="4C2EBAA7" w14:textId="77777777" w:rsidR="00E93F58" w:rsidRPr="006E709F" w:rsidRDefault="00E93F58" w:rsidP="006C30E7">
      <w:pPr>
        <w:pStyle w:val="paragraph"/>
      </w:pPr>
      <w:r w:rsidRPr="006E709F">
        <w:tab/>
        <w:t>(a)</w:t>
      </w:r>
      <w:r w:rsidRPr="006E709F">
        <w:tab/>
        <w:t>unless paragraph (b) applies—marketable securities; or</w:t>
      </w:r>
    </w:p>
    <w:p w14:paraId="37BB767B" w14:textId="77777777" w:rsidR="00E93F58" w:rsidRPr="006E709F" w:rsidRDefault="00E93F58" w:rsidP="006C30E7">
      <w:pPr>
        <w:pStyle w:val="paragraph"/>
      </w:pPr>
      <w:r w:rsidRPr="006E709F">
        <w:tab/>
        <w:t>(b)</w:t>
      </w:r>
      <w:r w:rsidRPr="006E709F">
        <w:tab/>
        <w:t>if, because of section 1235C of the Act, the subject of the Scheme is a sub</w:t>
      </w:r>
      <w:r>
        <w:noBreakHyphen/>
      </w:r>
      <w:r w:rsidRPr="006E709F">
        <w:t>fund of a CCIV:</w:t>
      </w:r>
    </w:p>
    <w:p w14:paraId="2DBD100C" w14:textId="77777777" w:rsidR="00E93F58" w:rsidRPr="006E709F" w:rsidRDefault="00E93F58" w:rsidP="006C30E7">
      <w:pPr>
        <w:pStyle w:val="paragraphsub"/>
      </w:pPr>
      <w:r w:rsidRPr="006E709F">
        <w:tab/>
        <w:t>(i)</w:t>
      </w:r>
      <w:r w:rsidRPr="006E709F">
        <w:tab/>
        <w:t>shares or debentures; or</w:t>
      </w:r>
    </w:p>
    <w:p w14:paraId="491D5B26" w14:textId="77777777" w:rsidR="00E93F58" w:rsidRPr="006E709F" w:rsidRDefault="00E93F58" w:rsidP="006C30E7">
      <w:pPr>
        <w:pStyle w:val="paragraphsub"/>
      </w:pPr>
      <w:r w:rsidRPr="006E709F">
        <w:tab/>
        <w:t>(ii)</w:t>
      </w:r>
      <w:r w:rsidRPr="006E709F">
        <w:tab/>
        <w:t>any rights or options in respect of shares.</w:t>
      </w:r>
    </w:p>
    <w:p w14:paraId="063EA2E4" w14:textId="77777777" w:rsidR="00E93F58" w:rsidRPr="006E709F" w:rsidRDefault="00E93F58" w:rsidP="006C30E7">
      <w:pPr>
        <w:pStyle w:val="notetext"/>
      </w:pPr>
      <w:r w:rsidRPr="006E709F">
        <w:t>Note:</w:t>
      </w:r>
      <w:r w:rsidRPr="006E709F">
        <w:tab/>
        <w:t>If, because of section 1235C of the Act, the subject of the Scheme is a sub</w:t>
      </w:r>
      <w:r>
        <w:noBreakHyphen/>
      </w:r>
      <w:r w:rsidRPr="006E709F">
        <w:t>fund of a CCIV, that section translates most of this Schedule’s references to the company so that they are references to the sub</w:t>
      </w:r>
      <w:r>
        <w:noBreakHyphen/>
      </w:r>
      <w:r w:rsidRPr="006E709F">
        <w:t>fund.</w:t>
      </w:r>
    </w:p>
    <w:p w14:paraId="2BFBAF64" w14:textId="77777777" w:rsidR="00E93F58" w:rsidRPr="006E709F" w:rsidRDefault="00E93F58" w:rsidP="00A801D0">
      <w:pPr>
        <w:pStyle w:val="Definition"/>
      </w:pPr>
      <w:r w:rsidRPr="006E709F">
        <w:rPr>
          <w:b/>
          <w:i/>
        </w:rPr>
        <w:t>Scheme</w:t>
      </w:r>
      <w:r w:rsidRPr="006E709F">
        <w:t xml:space="preserve"> means the proposed compromise or arrangement.</w:t>
      </w:r>
    </w:p>
    <w:p w14:paraId="71844965" w14:textId="77777777" w:rsidR="00E93F58" w:rsidRPr="006E709F" w:rsidRDefault="00E93F58" w:rsidP="00A801D0">
      <w:pPr>
        <w:pStyle w:val="Definition"/>
      </w:pPr>
      <w:r w:rsidRPr="006E709F">
        <w:rPr>
          <w:b/>
          <w:i/>
        </w:rPr>
        <w:t>scheme creditors</w:t>
      </w:r>
      <w:r w:rsidRPr="006E709F">
        <w:t xml:space="preserve"> means the creditors or class of creditors of a company, to whom the Scheme would apply.</w:t>
      </w:r>
    </w:p>
    <w:p w14:paraId="7B009F20" w14:textId="77777777" w:rsidR="00E93F58" w:rsidRPr="006E709F" w:rsidRDefault="00E93F58" w:rsidP="00A801D0">
      <w:pPr>
        <w:pStyle w:val="Definition"/>
      </w:pPr>
      <w:r w:rsidRPr="006E709F">
        <w:rPr>
          <w:b/>
          <w:i/>
        </w:rPr>
        <w:t>scheme members</w:t>
      </w:r>
      <w:r w:rsidRPr="006E709F">
        <w:t xml:space="preserve"> means the members or class of members of a company, to whom the Scheme would apply.</w:t>
      </w:r>
    </w:p>
    <w:p w14:paraId="61E57D24" w14:textId="77777777" w:rsidR="00E93F58" w:rsidRPr="006E709F" w:rsidRDefault="00E93F58" w:rsidP="00A801D0">
      <w:pPr>
        <w:pStyle w:val="subsection"/>
      </w:pPr>
      <w:r w:rsidRPr="006E709F">
        <w:rPr>
          <w:b/>
        </w:rPr>
        <w:t>8102</w:t>
      </w:r>
      <w:r w:rsidRPr="006E709F">
        <w:tab/>
      </w:r>
      <w:r w:rsidRPr="006E709F">
        <w:tab/>
        <w:t>This Schedule applies to a Part 5.1 body that is not a company as if:</w:t>
      </w:r>
    </w:p>
    <w:p w14:paraId="3BFECB49" w14:textId="77777777" w:rsidR="00E93F58" w:rsidRPr="006E709F" w:rsidRDefault="00E93F58" w:rsidP="00A801D0">
      <w:pPr>
        <w:pStyle w:val="paragraph"/>
      </w:pPr>
      <w:r w:rsidRPr="006E709F">
        <w:tab/>
        <w:t>(a)</w:t>
      </w:r>
      <w:r w:rsidRPr="006E709F">
        <w:tab/>
        <w:t>references to a company were references to a Part 5.1 body that is not a company; and</w:t>
      </w:r>
    </w:p>
    <w:p w14:paraId="38C97700" w14:textId="77777777" w:rsidR="00E93F58" w:rsidRPr="006E709F" w:rsidRDefault="00E93F58" w:rsidP="00A801D0">
      <w:pPr>
        <w:pStyle w:val="paragraph"/>
      </w:pPr>
      <w:r w:rsidRPr="006E709F">
        <w:tab/>
        <w:t>(b)</w:t>
      </w:r>
      <w:r w:rsidRPr="006E709F">
        <w:tab/>
        <w:t>references to a director were references to an office bearer, committee member or other office holder of the body; and</w:t>
      </w:r>
    </w:p>
    <w:p w14:paraId="23E71FC8" w14:textId="77777777" w:rsidR="00E93F58" w:rsidRPr="006E709F" w:rsidRDefault="00E93F58" w:rsidP="00A801D0">
      <w:pPr>
        <w:pStyle w:val="paragraph"/>
      </w:pPr>
      <w:r w:rsidRPr="006E709F">
        <w:tab/>
        <w:t>(c)</w:t>
      </w:r>
      <w:r w:rsidRPr="006E709F">
        <w:tab/>
        <w:t>references to entitlements to voting shares were references to an ability to exercise a percentage of the total votes that could be exercised by members of the body.</w:t>
      </w:r>
    </w:p>
    <w:p w14:paraId="74BAFAE5" w14:textId="77777777" w:rsidR="00E93F58" w:rsidRPr="006E709F" w:rsidRDefault="00E93F58" w:rsidP="007C7D49">
      <w:pPr>
        <w:pStyle w:val="ActHead3"/>
        <w:pageBreakBefore/>
      </w:pPr>
      <w:bookmarkStart w:id="3318" w:name="_Toc151992409"/>
      <w:bookmarkStart w:id="3319" w:name="_Toc158713446"/>
      <w:r w:rsidRPr="000C4237">
        <w:rPr>
          <w:rStyle w:val="CharDivNo"/>
        </w:rPr>
        <w:lastRenderedPageBreak/>
        <w:t>Part 2</w:t>
      </w:r>
      <w:r w:rsidRPr="006E709F">
        <w:t>—</w:t>
      </w:r>
      <w:r w:rsidRPr="000C4237">
        <w:rPr>
          <w:rStyle w:val="CharDivText"/>
        </w:rPr>
        <w:t>Prescribed information relating to proposed compromise or arrangement with creditors or class of creditors</w:t>
      </w:r>
      <w:bookmarkEnd w:id="3318"/>
      <w:bookmarkEnd w:id="3319"/>
    </w:p>
    <w:p w14:paraId="443808B8" w14:textId="77777777" w:rsidR="00E93F58" w:rsidRPr="006E709F" w:rsidRDefault="00E93F58" w:rsidP="00A801D0">
      <w:pPr>
        <w:pStyle w:val="subsection"/>
      </w:pPr>
      <w:r w:rsidRPr="006E709F">
        <w:rPr>
          <w:b/>
        </w:rPr>
        <w:t>8201</w:t>
      </w:r>
      <w:r w:rsidRPr="006E709F">
        <w:tab/>
      </w:r>
      <w:r w:rsidRPr="006E709F">
        <w:tab/>
        <w:t>The statement must set out:</w:t>
      </w:r>
    </w:p>
    <w:p w14:paraId="34B3597B" w14:textId="77777777" w:rsidR="00E93F58" w:rsidRPr="006E709F" w:rsidRDefault="00E93F58" w:rsidP="00A801D0">
      <w:pPr>
        <w:pStyle w:val="paragraph"/>
      </w:pPr>
      <w:r w:rsidRPr="006E709F">
        <w:tab/>
        <w:t>(a)</w:t>
      </w:r>
      <w:r w:rsidRPr="006E709F">
        <w:tab/>
        <w:t>the expected dividend that would be available to scheme creditors if the company were to be wound up within 6 months after the date of the hearing of the application to the Court for an order under subsections 411(1) and (1A) of the Act; and</w:t>
      </w:r>
    </w:p>
    <w:p w14:paraId="5F7C86F8" w14:textId="77777777" w:rsidR="00E93F58" w:rsidRPr="006E709F" w:rsidRDefault="00E93F58" w:rsidP="00A801D0">
      <w:pPr>
        <w:pStyle w:val="paragraph"/>
      </w:pPr>
      <w:r w:rsidRPr="006E709F">
        <w:tab/>
        <w:t>(b)</w:t>
      </w:r>
      <w:r w:rsidRPr="006E709F">
        <w:tab/>
        <w:t>if a composition of debts is proposed—the expected dividend that would be paid to scheme creditors if the Scheme were put into effect as proposed; and</w:t>
      </w:r>
    </w:p>
    <w:p w14:paraId="4752B647" w14:textId="77777777" w:rsidR="00E93F58" w:rsidRPr="006E709F" w:rsidRDefault="00E93F58" w:rsidP="00A801D0">
      <w:pPr>
        <w:pStyle w:val="paragraph"/>
      </w:pPr>
      <w:r w:rsidRPr="006E709F">
        <w:tab/>
        <w:t>(c)</w:t>
      </w:r>
      <w:r w:rsidRPr="006E709F">
        <w:tab/>
        <w:t>a list of the names of all known scheme creditors and the debts owed to those creditors; and</w:t>
      </w:r>
    </w:p>
    <w:p w14:paraId="4B27A7FF" w14:textId="77777777" w:rsidR="00E93F58" w:rsidRPr="006E709F" w:rsidRDefault="00E93F58" w:rsidP="00A801D0">
      <w:pPr>
        <w:pStyle w:val="paragraph"/>
      </w:pPr>
      <w:r w:rsidRPr="006E709F">
        <w:tab/>
        <w:t>(d)</w:t>
      </w:r>
      <w:r w:rsidRPr="006E709F">
        <w:tab/>
        <w:t>if a scheme creditor is known to be a guaranteed creditor—the name of the creditor and the amount of the debt owed; and</w:t>
      </w:r>
    </w:p>
    <w:p w14:paraId="4B64B22F" w14:textId="77777777" w:rsidR="00E93F58" w:rsidRPr="006E709F" w:rsidRDefault="00E93F58" w:rsidP="00A801D0">
      <w:pPr>
        <w:pStyle w:val="paragraph"/>
      </w:pPr>
      <w:r w:rsidRPr="006E709F">
        <w:tab/>
        <w:t>(e)</w:t>
      </w:r>
      <w:r w:rsidRPr="006E709F">
        <w:tab/>
        <w:t>if a scheme creditor is known to be an internal creditor—the name of the creditor and the amount of the debt owed.</w:t>
      </w:r>
    </w:p>
    <w:p w14:paraId="71149907" w14:textId="77777777" w:rsidR="00E93F58" w:rsidRPr="006E709F" w:rsidRDefault="00E93F58" w:rsidP="00A801D0">
      <w:pPr>
        <w:pStyle w:val="subsection"/>
      </w:pPr>
      <w:r w:rsidRPr="006E709F">
        <w:rPr>
          <w:b/>
        </w:rPr>
        <w:t>8202</w:t>
      </w:r>
      <w:r w:rsidRPr="006E709F">
        <w:tab/>
      </w:r>
      <w:r w:rsidRPr="006E709F">
        <w:tab/>
        <w:t>The statement must contain a statement that an order under subsections 411(1) and (1A) of the Act is not an endorsement of, or any other expression of opinion on, the Scheme.</w:t>
      </w:r>
    </w:p>
    <w:p w14:paraId="3E3F8739" w14:textId="77777777" w:rsidR="00E93F58" w:rsidRPr="006E709F" w:rsidRDefault="00E93F58" w:rsidP="00A801D0">
      <w:pPr>
        <w:pStyle w:val="subsection"/>
      </w:pPr>
      <w:r w:rsidRPr="006E709F">
        <w:rPr>
          <w:b/>
        </w:rPr>
        <w:t>8203</w:t>
      </w:r>
      <w:r w:rsidRPr="006E709F">
        <w:tab/>
      </w:r>
      <w:r w:rsidRPr="006E709F">
        <w:tab/>
        <w:t>The statement must contain or have annexed to it:</w:t>
      </w:r>
    </w:p>
    <w:p w14:paraId="26335BEB" w14:textId="77777777" w:rsidR="00E93F58" w:rsidRPr="006E709F" w:rsidRDefault="00E93F58" w:rsidP="00A801D0">
      <w:pPr>
        <w:pStyle w:val="paragraph"/>
      </w:pPr>
      <w:r w:rsidRPr="006E709F">
        <w:tab/>
        <w:t>(a)</w:t>
      </w:r>
      <w:r w:rsidRPr="006E709F">
        <w:tab/>
        <w:t>a report on the affairs of the company in accordance with Form 507, showing the financial position of the company as at a day within one month of the date on which it is intended to apply to the Court for an order under subsections 411(1) and (1A) of the Act;</w:t>
      </w:r>
    </w:p>
    <w:p w14:paraId="1B5A016B" w14:textId="77777777" w:rsidR="00E93F58" w:rsidRPr="006E709F" w:rsidRDefault="00E93F58" w:rsidP="00A801D0">
      <w:pPr>
        <w:pStyle w:val="paragraph"/>
      </w:pPr>
      <w:r w:rsidRPr="006E709F">
        <w:tab/>
        <w:t>(b)</w:t>
      </w:r>
      <w:r w:rsidRPr="006E709F">
        <w:tab/>
        <w:t xml:space="preserve">a copy, certified by a director or by a secretary of the company to be a true copy, of all financial statements, required to be lodged with the </w:t>
      </w:r>
      <w:r w:rsidRPr="006E709F">
        <w:rPr>
          <w:color w:val="000000"/>
        </w:rPr>
        <w:t>ASIC</w:t>
      </w:r>
      <w:r w:rsidRPr="006E709F">
        <w:t xml:space="preserve"> by the company, together with a copy of every document required by law to be annexed to the financial statements;</w:t>
      </w:r>
    </w:p>
    <w:p w14:paraId="66F51E71" w14:textId="77777777" w:rsidR="00E93F58" w:rsidRPr="006E709F" w:rsidRDefault="00E93F58" w:rsidP="00A801D0">
      <w:pPr>
        <w:pStyle w:val="paragraph"/>
      </w:pPr>
      <w:r w:rsidRPr="006E709F">
        <w:tab/>
        <w:t>(c)</w:t>
      </w:r>
      <w:r w:rsidRPr="006E709F">
        <w:tab/>
        <w:t>if the company the subject of the Scheme is a trustee, a statement:</w:t>
      </w:r>
    </w:p>
    <w:p w14:paraId="649DB435" w14:textId="77777777" w:rsidR="00E93F58" w:rsidRPr="006E709F" w:rsidRDefault="00E93F58" w:rsidP="00A801D0">
      <w:pPr>
        <w:pStyle w:val="paragraphsub"/>
      </w:pPr>
      <w:r w:rsidRPr="006E709F">
        <w:tab/>
        <w:t>(i)</w:t>
      </w:r>
      <w:r w:rsidRPr="006E709F">
        <w:tab/>
        <w:t>of the number of trusts administered by the trustee; and</w:t>
      </w:r>
    </w:p>
    <w:p w14:paraId="11174952" w14:textId="77777777" w:rsidR="00E93F58" w:rsidRPr="006E709F" w:rsidRDefault="00E93F58" w:rsidP="00A801D0">
      <w:pPr>
        <w:pStyle w:val="paragraphsub"/>
      </w:pPr>
      <w:r w:rsidRPr="006E709F">
        <w:tab/>
        <w:t>(ii)</w:t>
      </w:r>
      <w:r w:rsidRPr="006E709F">
        <w:tab/>
        <w:t>whether the trustee carries on any business separate from that of the trust; and</w:t>
      </w:r>
    </w:p>
    <w:p w14:paraId="45649020" w14:textId="77777777" w:rsidR="00E93F58" w:rsidRPr="006E709F" w:rsidRDefault="00E93F58" w:rsidP="00A801D0">
      <w:pPr>
        <w:pStyle w:val="paragraphsub"/>
      </w:pPr>
      <w:r w:rsidRPr="006E709F">
        <w:tab/>
        <w:t>(iii)</w:t>
      </w:r>
      <w:r w:rsidRPr="006E709F">
        <w:tab/>
        <w:t>how the scheme creditors may obtain a copy of the relevant trust deed, free of charge, prior to the date of the meeting; and</w:t>
      </w:r>
    </w:p>
    <w:p w14:paraId="3DFA0473" w14:textId="77777777" w:rsidR="00E93F58" w:rsidRPr="006E709F" w:rsidRDefault="00E93F58" w:rsidP="00A801D0">
      <w:pPr>
        <w:pStyle w:val="paragraph"/>
      </w:pPr>
      <w:r w:rsidRPr="006E709F">
        <w:tab/>
        <w:t>(d)</w:t>
      </w:r>
      <w:r w:rsidRPr="006E709F">
        <w:tab/>
        <w:t>if the person (if any) who would be appointed to manage the Scheme proposes to charge for his or her services and for the services of his or her staff in accordance with a particular scale of charges, that scale of charges.</w:t>
      </w:r>
    </w:p>
    <w:p w14:paraId="3B898E0A" w14:textId="77777777" w:rsidR="00E93F58" w:rsidRPr="006E709F" w:rsidRDefault="00E93F58" w:rsidP="007C7D49">
      <w:pPr>
        <w:pStyle w:val="ActHead3"/>
        <w:pageBreakBefore/>
      </w:pPr>
      <w:bookmarkStart w:id="3320" w:name="_Toc151992410"/>
      <w:bookmarkStart w:id="3321" w:name="_Toc158713447"/>
      <w:r w:rsidRPr="000C4237">
        <w:rPr>
          <w:rStyle w:val="CharDivNo"/>
        </w:rPr>
        <w:lastRenderedPageBreak/>
        <w:t>Part 3</w:t>
      </w:r>
      <w:r w:rsidRPr="006E709F">
        <w:t>—</w:t>
      </w:r>
      <w:r w:rsidRPr="000C4237">
        <w:rPr>
          <w:rStyle w:val="CharDivText"/>
        </w:rPr>
        <w:t>Prescribed information relating to proposed compromise or arrangement with members or a class of members</w:t>
      </w:r>
      <w:bookmarkEnd w:id="3320"/>
      <w:bookmarkEnd w:id="3321"/>
    </w:p>
    <w:p w14:paraId="271ADC71" w14:textId="77777777" w:rsidR="00E93F58" w:rsidRPr="006E709F" w:rsidRDefault="00E93F58" w:rsidP="00A801D0">
      <w:pPr>
        <w:pStyle w:val="subsection"/>
      </w:pPr>
      <w:r w:rsidRPr="006E709F">
        <w:rPr>
          <w:b/>
        </w:rPr>
        <w:t>8301</w:t>
      </w:r>
      <w:r w:rsidRPr="006E709F">
        <w:tab/>
      </w:r>
      <w:r w:rsidRPr="006E709F">
        <w:tab/>
        <w:t>The statement must set out:</w:t>
      </w:r>
    </w:p>
    <w:p w14:paraId="4C87A77A" w14:textId="77777777" w:rsidR="00E93F58" w:rsidRPr="006E709F" w:rsidRDefault="00E93F58" w:rsidP="00A801D0">
      <w:pPr>
        <w:pStyle w:val="paragraph"/>
      </w:pPr>
      <w:r w:rsidRPr="006E709F">
        <w:tab/>
        <w:t>(a)</w:t>
      </w:r>
      <w:r w:rsidRPr="006E709F">
        <w:tab/>
        <w:t>unless the company the subject of the Scheme is in the course of being wound up or is under official management, in relation to each director of the company:</w:t>
      </w:r>
    </w:p>
    <w:p w14:paraId="0B30D7A7" w14:textId="77777777" w:rsidR="00E93F58" w:rsidRPr="006E709F" w:rsidRDefault="00E93F58" w:rsidP="00A801D0">
      <w:pPr>
        <w:pStyle w:val="paragraphsub"/>
      </w:pPr>
      <w:r w:rsidRPr="006E709F">
        <w:tab/>
        <w:t>(i)</w:t>
      </w:r>
      <w:r w:rsidRPr="006E709F">
        <w:tab/>
        <w:t>whether the director recommends the acceptance of the Scheme or recommends against acceptance and, in either case, his or her reasons for so recommending; or</w:t>
      </w:r>
    </w:p>
    <w:p w14:paraId="6BCDDD75" w14:textId="77777777" w:rsidR="00E93F58" w:rsidRPr="006E709F" w:rsidRDefault="00E93F58" w:rsidP="00A801D0">
      <w:pPr>
        <w:pStyle w:val="paragraphsub"/>
      </w:pPr>
      <w:r w:rsidRPr="006E709F">
        <w:tab/>
        <w:t>(ii)</w:t>
      </w:r>
      <w:r w:rsidRPr="006E709F">
        <w:tab/>
        <w:t>if the director is not available to consider the Scheme—that the director is not so available and the cause of his or her not being available; or</w:t>
      </w:r>
    </w:p>
    <w:p w14:paraId="53B5CFC2" w14:textId="77777777" w:rsidR="00E93F58" w:rsidRPr="006E709F" w:rsidRDefault="00E93F58" w:rsidP="00A801D0">
      <w:pPr>
        <w:pStyle w:val="paragraphsub"/>
      </w:pPr>
      <w:r w:rsidRPr="006E709F">
        <w:tab/>
        <w:t>(iii)</w:t>
      </w:r>
      <w:r w:rsidRPr="006E709F">
        <w:tab/>
        <w:t>in any other case—that the director does not desire to make, or does not consider himself or herself justified in making, a recommendation and, if the director so requires, his or her reasons for not wishing to do so; or</w:t>
      </w:r>
    </w:p>
    <w:p w14:paraId="00F021DE" w14:textId="77777777" w:rsidR="00E93F58" w:rsidRPr="006E709F" w:rsidRDefault="00E93F58" w:rsidP="00A801D0">
      <w:pPr>
        <w:pStyle w:val="paragraph"/>
      </w:pPr>
      <w:r w:rsidRPr="006E709F">
        <w:tab/>
        <w:t>(b)</w:t>
      </w:r>
      <w:r w:rsidRPr="006E709F">
        <w:tab/>
        <w:t>if the company is in the course of being wound up or is under official management—in relation to each liquidator or each official manager:</w:t>
      </w:r>
    </w:p>
    <w:p w14:paraId="174FF3B4" w14:textId="77777777" w:rsidR="00E93F58" w:rsidRPr="006E709F" w:rsidRDefault="00E93F58" w:rsidP="00A801D0">
      <w:pPr>
        <w:pStyle w:val="paragraphsub"/>
      </w:pPr>
      <w:r w:rsidRPr="006E709F">
        <w:tab/>
        <w:t>(i)</w:t>
      </w:r>
      <w:r w:rsidRPr="006E709F">
        <w:tab/>
        <w:t>whether he or she recommends acceptance of the Scheme or recommends against acceptance and, in either case, his or her reasons for so recommending; or</w:t>
      </w:r>
    </w:p>
    <w:p w14:paraId="714500C1" w14:textId="77777777" w:rsidR="00E93F58" w:rsidRPr="006E709F" w:rsidRDefault="00E93F58" w:rsidP="00A801D0">
      <w:pPr>
        <w:pStyle w:val="paragraphsub"/>
      </w:pPr>
      <w:r w:rsidRPr="006E709F">
        <w:tab/>
        <w:t>(ii)</w:t>
      </w:r>
      <w:r w:rsidRPr="006E709F">
        <w:tab/>
        <w:t>in any other case—that the liquidator or official manager does not wish to make a recommendation and his or her reasons for not wishing to do so.</w:t>
      </w:r>
    </w:p>
    <w:p w14:paraId="7F3AD293" w14:textId="77777777" w:rsidR="00E93F58" w:rsidRPr="006E709F" w:rsidRDefault="00E93F58" w:rsidP="00A801D0">
      <w:pPr>
        <w:pStyle w:val="subsection"/>
      </w:pPr>
      <w:r w:rsidRPr="006E709F">
        <w:rPr>
          <w:b/>
        </w:rPr>
        <w:t>8302</w:t>
      </w:r>
      <w:r w:rsidRPr="006E709F">
        <w:tab/>
      </w:r>
      <w:r w:rsidRPr="006E709F">
        <w:tab/>
        <w:t>The statement must set out:</w:t>
      </w:r>
    </w:p>
    <w:p w14:paraId="0EAD4D90" w14:textId="77777777" w:rsidR="00E93F58" w:rsidRPr="006E709F" w:rsidRDefault="00E93F58" w:rsidP="00A801D0">
      <w:pPr>
        <w:pStyle w:val="paragraph"/>
      </w:pPr>
      <w:r w:rsidRPr="006E709F">
        <w:tab/>
        <w:t>(a)</w:t>
      </w:r>
      <w:r w:rsidRPr="006E709F">
        <w:tab/>
        <w:t>the number, description and amount of relevant marketable securities of the company the subject of the Scheme held by or on behalf of each director of the company or, if none are held by or on behalf of a director, a statement to that effect; and</w:t>
      </w:r>
    </w:p>
    <w:p w14:paraId="2985400A" w14:textId="77777777" w:rsidR="00E93F58" w:rsidRPr="006E709F" w:rsidRDefault="00E93F58" w:rsidP="00A801D0">
      <w:pPr>
        <w:pStyle w:val="paragraph"/>
      </w:pPr>
      <w:r w:rsidRPr="006E709F">
        <w:tab/>
        <w:t>(b)</w:t>
      </w:r>
      <w:r w:rsidRPr="006E709F">
        <w:tab/>
        <w:t>for each director of the company by whom or on whose behalf shares in that company are held, whether:</w:t>
      </w:r>
    </w:p>
    <w:p w14:paraId="77F69858" w14:textId="77777777" w:rsidR="00E93F58" w:rsidRPr="006E709F" w:rsidRDefault="00E93F58" w:rsidP="00A801D0">
      <w:pPr>
        <w:pStyle w:val="paragraphsub"/>
      </w:pPr>
      <w:r w:rsidRPr="006E709F">
        <w:tab/>
        <w:t>(i)</w:t>
      </w:r>
      <w:r w:rsidRPr="006E709F">
        <w:tab/>
        <w:t>the director intends to vote in favour of, or against, the Scheme; or</w:t>
      </w:r>
    </w:p>
    <w:p w14:paraId="4A3F6A92" w14:textId="77777777" w:rsidR="00E93F58" w:rsidRPr="006E709F" w:rsidRDefault="00E93F58" w:rsidP="00A801D0">
      <w:pPr>
        <w:pStyle w:val="paragraphsub"/>
      </w:pPr>
      <w:r w:rsidRPr="006E709F">
        <w:tab/>
        <w:t>(ii)</w:t>
      </w:r>
      <w:r w:rsidRPr="006E709F">
        <w:tab/>
        <w:t>the director has not decided whether he or she will vote in favour of, or against, the Scheme; and</w:t>
      </w:r>
    </w:p>
    <w:p w14:paraId="7DE82D97" w14:textId="77777777" w:rsidR="00E93F58" w:rsidRPr="006E709F" w:rsidRDefault="00E93F58" w:rsidP="00A801D0">
      <w:pPr>
        <w:pStyle w:val="paragraph"/>
      </w:pPr>
      <w:r w:rsidRPr="006E709F">
        <w:tab/>
        <w:t>(c)</w:t>
      </w:r>
      <w:r w:rsidRPr="006E709F">
        <w:tab/>
        <w:t>if the other party to the proposed reconstruction or amalgamation is, or includes, a corporation, whether any marketable securities of the corporation are held by, or on behalf of, any director of the company the subject of the Scheme and, if so, the number, description and amount of those marketable securities; and</w:t>
      </w:r>
    </w:p>
    <w:p w14:paraId="4F29EFCB" w14:textId="77777777" w:rsidR="00E93F58" w:rsidRPr="006E709F" w:rsidRDefault="00E93F58" w:rsidP="00A801D0">
      <w:pPr>
        <w:pStyle w:val="paragraph"/>
      </w:pPr>
      <w:r w:rsidRPr="006E709F">
        <w:tab/>
        <w:t>(d)</w:t>
      </w:r>
      <w:r w:rsidRPr="006E709F">
        <w:tab/>
        <w:t>particulars of any payment or other benefit that is proposed to:</w:t>
      </w:r>
    </w:p>
    <w:p w14:paraId="16E114FE" w14:textId="77777777" w:rsidR="00E93F58" w:rsidRPr="006E709F" w:rsidRDefault="00E93F58" w:rsidP="00A801D0">
      <w:pPr>
        <w:pStyle w:val="paragraphsub"/>
      </w:pPr>
      <w:r w:rsidRPr="006E709F">
        <w:tab/>
        <w:t>(i)</w:t>
      </w:r>
      <w:r w:rsidRPr="006E709F">
        <w:tab/>
        <w:t>be made or given to any director, secretary or executive officer of the company the subject of the Scheme as compensation for loss of, or as consideration for or in connection with his or her retirement from, office in that company or in a related body corporate; or</w:t>
      </w:r>
    </w:p>
    <w:p w14:paraId="53EF0A5F" w14:textId="77777777" w:rsidR="00E93F58" w:rsidRPr="006E709F" w:rsidRDefault="00E93F58" w:rsidP="00A801D0">
      <w:pPr>
        <w:pStyle w:val="paragraphsub"/>
      </w:pPr>
      <w:r w:rsidRPr="006E709F">
        <w:tab/>
        <w:t>(ii)</w:t>
      </w:r>
      <w:r w:rsidRPr="006E709F">
        <w:tab/>
        <w:t>be made or given to any director, secretary or executive officer of any related body corporate as compensation for the loss of, or as consideration for or in connection with his or her retirement from, office in that body corporate or in the company the subject of the Scheme; and</w:t>
      </w:r>
    </w:p>
    <w:p w14:paraId="146DBDE6" w14:textId="77777777" w:rsidR="00E93F58" w:rsidRPr="006E709F" w:rsidRDefault="00E93F58" w:rsidP="00A801D0">
      <w:pPr>
        <w:pStyle w:val="paragraph"/>
      </w:pPr>
      <w:r w:rsidRPr="006E709F">
        <w:tab/>
        <w:t>(e)</w:t>
      </w:r>
      <w:r w:rsidRPr="006E709F">
        <w:tab/>
        <w:t>if there is any other agreement or arrangement made between a director of the company the subject of the Scheme and another person in connection with or conditional on the outcome of the Scheme—particulars of the agreement or arrangement; and</w:t>
      </w:r>
    </w:p>
    <w:p w14:paraId="511ADCCC" w14:textId="77777777" w:rsidR="00E93F58" w:rsidRPr="006E709F" w:rsidRDefault="00E93F58" w:rsidP="00A801D0">
      <w:pPr>
        <w:pStyle w:val="paragraph"/>
      </w:pPr>
      <w:r w:rsidRPr="006E709F">
        <w:tab/>
        <w:t>(f)</w:t>
      </w:r>
      <w:r w:rsidRPr="006E709F">
        <w:tab/>
        <w:t>if the object of the Scheme is for a corporation to acquire control of another corporation that is a company, particulars of the nature and extent of any interest of a director of that company in any contract entered into by the corporation seeking control; and</w:t>
      </w:r>
    </w:p>
    <w:p w14:paraId="0E955973" w14:textId="77777777" w:rsidR="00E93F58" w:rsidRPr="006E709F" w:rsidRDefault="00E93F58" w:rsidP="00A801D0">
      <w:pPr>
        <w:pStyle w:val="paragraph"/>
      </w:pPr>
      <w:r w:rsidRPr="006E709F">
        <w:tab/>
        <w:t>(g)</w:t>
      </w:r>
      <w:r w:rsidRPr="006E709F">
        <w:tab/>
        <w:t>if the shares of the company the subject of the Scheme are not granted official quotation on a securities exchange, all the information that the company has as to the number of shares that have been sold in the 6 months immediately before the date on which the statement is lodged, the amount of those shares and the prices at which they were sold; and</w:t>
      </w:r>
    </w:p>
    <w:p w14:paraId="1295545E" w14:textId="77777777" w:rsidR="00E93F58" w:rsidRPr="006E709F" w:rsidRDefault="00E93F58" w:rsidP="00A801D0">
      <w:pPr>
        <w:pStyle w:val="paragraph"/>
      </w:pPr>
      <w:r w:rsidRPr="006E709F">
        <w:tab/>
        <w:t>(h)</w:t>
      </w:r>
      <w:r w:rsidRPr="006E709F">
        <w:tab/>
        <w:t>whether, within the knowledge of the directors of the company the subject of the Scheme, or, if the company is in liquidation or under official management, the knowledge of the liquidator or the official manager, the financial position of the company has materially changed since the date of the last balance sheet laid before the company in general meeting or sent to shareholders in accordance with section 314 or 317 of the Act and, if so, full particulars of any change; and</w:t>
      </w:r>
    </w:p>
    <w:p w14:paraId="05D2477C" w14:textId="77777777" w:rsidR="00E93F58" w:rsidRPr="006E709F" w:rsidRDefault="00E93F58" w:rsidP="00A801D0">
      <w:pPr>
        <w:pStyle w:val="paragraph"/>
      </w:pPr>
      <w:r w:rsidRPr="006E709F">
        <w:tab/>
        <w:t>(i)</w:t>
      </w:r>
      <w:r w:rsidRPr="006E709F">
        <w:tab/>
        <w:t>any other information material to the making of a decision in relation to the Scheme, being information that is within the knowledge of any director, liquidator or official manager of a company the subject of the Scheme or of a related company and that has not previously been disclosed to the Scheme members.</w:t>
      </w:r>
    </w:p>
    <w:p w14:paraId="6F0D0F66" w14:textId="77777777" w:rsidR="00E93F58" w:rsidRPr="006E709F" w:rsidRDefault="00E93F58" w:rsidP="00A801D0">
      <w:pPr>
        <w:pStyle w:val="subsection"/>
      </w:pPr>
      <w:r w:rsidRPr="006E709F">
        <w:rPr>
          <w:b/>
        </w:rPr>
        <w:lastRenderedPageBreak/>
        <w:t>8303</w:t>
      </w:r>
      <w:r w:rsidRPr="006E709F">
        <w:tab/>
      </w:r>
      <w:r w:rsidRPr="006E709F">
        <w:tab/>
        <w:t>If:</w:t>
      </w:r>
    </w:p>
    <w:p w14:paraId="6314B476" w14:textId="77777777" w:rsidR="00E93F58" w:rsidRPr="006E709F" w:rsidRDefault="00E93F58" w:rsidP="00A801D0">
      <w:pPr>
        <w:pStyle w:val="paragraph"/>
      </w:pPr>
      <w:r w:rsidRPr="006E709F">
        <w:tab/>
        <w:t>(a)</w:t>
      </w:r>
      <w:r w:rsidRPr="006E709F">
        <w:tab/>
        <w:t>the other party to the proposed reconstruction or amalgamation of the company the subject of the Scheme has a prescribed shareholding in the company; or</w:t>
      </w:r>
    </w:p>
    <w:p w14:paraId="2C5C0F2D" w14:textId="77777777" w:rsidR="00E93F58" w:rsidRPr="006E709F" w:rsidRDefault="00E93F58" w:rsidP="00A801D0">
      <w:pPr>
        <w:pStyle w:val="paragraph"/>
      </w:pPr>
      <w:r w:rsidRPr="006E709F">
        <w:tab/>
        <w:t>(b)</w:t>
      </w:r>
      <w:r w:rsidRPr="006E709F">
        <w:tab/>
        <w:t>a director of any corporation that is the other party to the proposed reconstruction or amalgamation is a director of a company the subject of the Scheme;</w:t>
      </w:r>
    </w:p>
    <w:p w14:paraId="62BEF1EF" w14:textId="77777777" w:rsidR="00E93F58" w:rsidRPr="006E709F" w:rsidRDefault="00E93F58" w:rsidP="007C7D49">
      <w:pPr>
        <w:pStyle w:val="subsection2"/>
      </w:pPr>
      <w:r w:rsidRPr="006E709F">
        <w:t>the statement must be accompanied by a copy of a report made by an expert who is not associated with the corporation that is the other party, stating whether or not, in his or her opinion, the proposed Scheme is in the best interest of the members of the company the subject of the Scheme and setting out his or her reasons for that opinion.</w:t>
      </w:r>
    </w:p>
    <w:p w14:paraId="52544DB1" w14:textId="77777777" w:rsidR="00E93F58" w:rsidRPr="006E709F" w:rsidRDefault="00E93F58" w:rsidP="00A801D0">
      <w:pPr>
        <w:pStyle w:val="subsection"/>
      </w:pPr>
      <w:r w:rsidRPr="006E709F">
        <w:rPr>
          <w:b/>
        </w:rPr>
        <w:t>8304</w:t>
      </w:r>
      <w:r w:rsidRPr="006E709F">
        <w:tab/>
      </w:r>
      <w:r w:rsidRPr="006E709F">
        <w:tab/>
        <w:t>If the company the subject of the Scheme obtains 2 or more reports, each of which could be used for clause 3, the statement must be accompanied by a copy of each report.</w:t>
      </w:r>
    </w:p>
    <w:p w14:paraId="07356069" w14:textId="77777777" w:rsidR="00E93F58" w:rsidRPr="006E709F" w:rsidRDefault="00E93F58" w:rsidP="00A801D0">
      <w:pPr>
        <w:pStyle w:val="subsection"/>
      </w:pPr>
      <w:r w:rsidRPr="006E709F">
        <w:rPr>
          <w:b/>
        </w:rPr>
        <w:t>8305</w:t>
      </w:r>
      <w:r w:rsidRPr="006E709F">
        <w:tab/>
      </w:r>
      <w:r w:rsidRPr="006E709F">
        <w:tab/>
        <w:t>If:</w:t>
      </w:r>
    </w:p>
    <w:p w14:paraId="25C05F35" w14:textId="77777777" w:rsidR="00E93F58" w:rsidRPr="006E709F" w:rsidRDefault="00E93F58" w:rsidP="00A801D0">
      <w:pPr>
        <w:pStyle w:val="paragraph"/>
      </w:pPr>
      <w:r w:rsidRPr="006E709F">
        <w:tab/>
        <w:t>(a)</w:t>
      </w:r>
      <w:r w:rsidRPr="006E709F">
        <w:tab/>
        <w:t>the company the subject of the Scheme obtains a report for clause 3; and</w:t>
      </w:r>
    </w:p>
    <w:p w14:paraId="60113D88" w14:textId="77777777" w:rsidR="00E93F58" w:rsidRPr="006E709F" w:rsidRDefault="00E93F58" w:rsidP="00A801D0">
      <w:pPr>
        <w:pStyle w:val="paragraph"/>
      </w:pPr>
      <w:r w:rsidRPr="006E709F">
        <w:tab/>
        <w:t>(b)</w:t>
      </w:r>
      <w:r w:rsidRPr="006E709F">
        <w:tab/>
        <w:t>the report contains:</w:t>
      </w:r>
    </w:p>
    <w:p w14:paraId="10727CFA" w14:textId="77777777" w:rsidR="00E93F58" w:rsidRPr="006E709F" w:rsidRDefault="00E93F58" w:rsidP="00A801D0">
      <w:pPr>
        <w:pStyle w:val="paragraphsub"/>
      </w:pPr>
      <w:r w:rsidRPr="006E709F">
        <w:tab/>
        <w:t>(i)</w:t>
      </w:r>
      <w:r w:rsidRPr="006E709F">
        <w:tab/>
        <w:t>a forecast of the profits or profitability of the company; or</w:t>
      </w:r>
    </w:p>
    <w:p w14:paraId="13312BE2" w14:textId="77777777" w:rsidR="00E93F58" w:rsidRPr="006E709F" w:rsidRDefault="00E93F58" w:rsidP="00A801D0">
      <w:pPr>
        <w:pStyle w:val="paragraphsub"/>
      </w:pPr>
      <w:r w:rsidRPr="006E709F">
        <w:tab/>
        <w:t>(ii)</w:t>
      </w:r>
      <w:r w:rsidRPr="006E709F">
        <w:tab/>
        <w:t>a statement that the market value of an asset or assets of the company or of a related body corporate differs from an amount at which the value of the asset or assets is shown in the books of the company or the related body corporate;</w:t>
      </w:r>
    </w:p>
    <w:p w14:paraId="606D4541" w14:textId="77777777" w:rsidR="00E93F58" w:rsidRPr="006E709F" w:rsidRDefault="00E93F58" w:rsidP="00A801D0">
      <w:pPr>
        <w:pStyle w:val="subsection2"/>
      </w:pPr>
      <w:r w:rsidRPr="006E709F">
        <w:t>that report must not accompany the statement except with the consent in writing of ASIC and in accordance with such conditions (if any) as are stated by ASIC.</w:t>
      </w:r>
    </w:p>
    <w:p w14:paraId="5B06CBBE" w14:textId="77777777" w:rsidR="00E93F58" w:rsidRPr="006E709F" w:rsidRDefault="00E93F58" w:rsidP="00A801D0">
      <w:pPr>
        <w:pStyle w:val="subsection"/>
      </w:pPr>
      <w:r w:rsidRPr="006E709F">
        <w:rPr>
          <w:b/>
        </w:rPr>
        <w:t>8306</w:t>
      </w:r>
      <w:r w:rsidRPr="006E709F">
        <w:tab/>
      </w:r>
      <w:r w:rsidRPr="006E709F">
        <w:tab/>
        <w:t>For clause 3:</w:t>
      </w:r>
    </w:p>
    <w:p w14:paraId="2EC31EE7" w14:textId="77777777" w:rsidR="00E93F58" w:rsidRPr="006E709F" w:rsidRDefault="00E93F58" w:rsidP="00A801D0">
      <w:pPr>
        <w:pStyle w:val="paragraph"/>
      </w:pPr>
      <w:r w:rsidRPr="006E709F">
        <w:tab/>
        <w:t>(a)</w:t>
      </w:r>
      <w:r w:rsidRPr="006E709F">
        <w:tab/>
        <w:t>a person has a prescribed shareholding in a company if he or she is entitled to not less than 30% of the voting shares in the company; and</w:t>
      </w:r>
    </w:p>
    <w:p w14:paraId="0E854675" w14:textId="77777777" w:rsidR="00E93F58" w:rsidRPr="006E709F" w:rsidRDefault="00E93F58" w:rsidP="00A801D0">
      <w:pPr>
        <w:pStyle w:val="paragraph"/>
      </w:pPr>
      <w:r w:rsidRPr="006E709F">
        <w:tab/>
        <w:t>(b)</w:t>
      </w:r>
      <w:r w:rsidRPr="006E709F">
        <w:tab/>
        <w:t>a person has a prescribed shareholding in a company in which the voting shares are divided into 2 or more classes of shares, if he or she is entitled to not less than 30% of the shares in one of those classes.</w:t>
      </w:r>
    </w:p>
    <w:p w14:paraId="29ECB55F" w14:textId="77777777" w:rsidR="00E93F58" w:rsidRPr="006E709F" w:rsidRDefault="00E93F58" w:rsidP="00A801D0">
      <w:pPr>
        <w:pStyle w:val="subsection"/>
      </w:pPr>
      <w:r w:rsidRPr="006E709F">
        <w:rPr>
          <w:b/>
        </w:rPr>
        <w:t>8307</w:t>
      </w:r>
      <w:r w:rsidRPr="006E709F">
        <w:tab/>
      </w:r>
      <w:r w:rsidRPr="006E709F">
        <w:tab/>
        <w:t>If the consideration to be offered to scheme members consists, in whole or in part, of marketable securities issued, or to be issued, by a corporation, the statement must set out the formula to be applied to find out the number of marketable securities to be issued to each scheme member, and the basis on which that formula was developed.</w:t>
      </w:r>
    </w:p>
    <w:p w14:paraId="78F6C032" w14:textId="77777777" w:rsidR="00E93F58" w:rsidRPr="006E709F" w:rsidRDefault="00E93F58" w:rsidP="00B13146">
      <w:pPr>
        <w:pStyle w:val="subsection"/>
        <w:keepNext/>
        <w:keepLines/>
      </w:pPr>
      <w:r w:rsidRPr="006E709F">
        <w:rPr>
          <w:b/>
        </w:rPr>
        <w:t>8308</w:t>
      </w:r>
      <w:r w:rsidRPr="006E709F">
        <w:tab/>
      </w:r>
      <w:r w:rsidRPr="006E709F">
        <w:tab/>
        <w:t>If marketable securities of the same class as those mentioned in clause 7 are granted official quotation on a securities exchange, the statement must state the fact, specify the securities exchange concerned, and set out:</w:t>
      </w:r>
    </w:p>
    <w:p w14:paraId="2D383155" w14:textId="77777777" w:rsidR="00E93F58" w:rsidRPr="006E709F" w:rsidRDefault="00E93F58" w:rsidP="00A801D0">
      <w:pPr>
        <w:pStyle w:val="paragraph"/>
      </w:pPr>
      <w:r w:rsidRPr="006E709F">
        <w:tab/>
        <w:t>(a)</w:t>
      </w:r>
      <w:r w:rsidRPr="006E709F">
        <w:tab/>
        <w:t>the latest recorded sale price before the date on which the statement is lodged for registration; and</w:t>
      </w:r>
    </w:p>
    <w:p w14:paraId="5FC94465" w14:textId="77777777" w:rsidR="00E93F58" w:rsidRPr="006E709F" w:rsidRDefault="00E93F58" w:rsidP="00A801D0">
      <w:pPr>
        <w:pStyle w:val="paragraph"/>
      </w:pPr>
      <w:r w:rsidRPr="006E709F">
        <w:tab/>
        <w:t>(b)</w:t>
      </w:r>
      <w:r w:rsidRPr="006E709F">
        <w:tab/>
        <w:t>the highest and lowest recorded sale prices during the 3 months immediately before that date and the dates of the relevant sales; and</w:t>
      </w:r>
    </w:p>
    <w:p w14:paraId="4751D193" w14:textId="77777777" w:rsidR="00E93F58" w:rsidRPr="006E709F" w:rsidRDefault="00E93F58" w:rsidP="00A801D0">
      <w:pPr>
        <w:pStyle w:val="paragraph"/>
      </w:pPr>
      <w:r w:rsidRPr="006E709F">
        <w:tab/>
        <w:t>(c)</w:t>
      </w:r>
      <w:r w:rsidRPr="006E709F">
        <w:tab/>
        <w:t>if the Scheme has been the subject of a public announcement in newspapers or by any other means before the statement has been registered by ASIC—the latest recorded sale price immediately before the public announcement.</w:t>
      </w:r>
    </w:p>
    <w:p w14:paraId="28E1CA0C" w14:textId="77777777" w:rsidR="00E93F58" w:rsidRPr="006E709F" w:rsidRDefault="00E93F58" w:rsidP="00A801D0">
      <w:pPr>
        <w:pStyle w:val="subsection"/>
      </w:pPr>
      <w:r w:rsidRPr="006E709F">
        <w:rPr>
          <w:b/>
        </w:rPr>
        <w:t>8309</w:t>
      </w:r>
      <w:r w:rsidRPr="006E709F">
        <w:tab/>
        <w:t>(1)</w:t>
      </w:r>
      <w:r w:rsidRPr="006E709F">
        <w:tab/>
        <w:t>If the marketable securities mentioned in clause 8 are granted official quotation on more than one securities exchange, it is sufficient compliance with paragraphs 8(a) and (c) if information on the marketable securities is given for the securities exchange at which there has been the greatest number of recorded dealings in the securities in the 3 months immediately before the date on which the statement is lodged for registration.</w:t>
      </w:r>
    </w:p>
    <w:p w14:paraId="7910F96F" w14:textId="77777777" w:rsidR="00E93F58" w:rsidRPr="006E709F" w:rsidRDefault="00E93F58" w:rsidP="00A801D0">
      <w:pPr>
        <w:pStyle w:val="subsection"/>
      </w:pPr>
      <w:r w:rsidRPr="006E709F">
        <w:tab/>
        <w:t>(2)</w:t>
      </w:r>
      <w:r w:rsidRPr="006E709F">
        <w:tab/>
        <w:t>If the securities have not been granted official quotation on a securities exchange, the statement must set out all the information that a director, liquidator or official manager of the company the subject of the Scheme or of a related body corporate has about the number of securities that have been sold in the 3 months immediately before the date on which the explanatory statement was prepared and the price of those securities or, if that information or any part of that information cannot be ascertained, a statement to that effect.</w:t>
      </w:r>
    </w:p>
    <w:p w14:paraId="1B3E17AE" w14:textId="77777777" w:rsidR="00E93F58" w:rsidRPr="006E709F" w:rsidRDefault="00E93F58" w:rsidP="00A801D0">
      <w:pPr>
        <w:pStyle w:val="subsection"/>
      </w:pPr>
      <w:r w:rsidRPr="006E709F">
        <w:rPr>
          <w:b/>
        </w:rPr>
        <w:t>8310</w:t>
      </w:r>
      <w:r w:rsidRPr="006E709F">
        <w:tab/>
      </w:r>
      <w:r w:rsidRPr="006E709F">
        <w:tab/>
        <w:t>The statement must set out particulars of the intentions of the directors of the company the subject of the Scheme regarding:</w:t>
      </w:r>
    </w:p>
    <w:p w14:paraId="381F2788" w14:textId="77777777" w:rsidR="00E93F58" w:rsidRPr="006E709F" w:rsidRDefault="00E93F58" w:rsidP="00A801D0">
      <w:pPr>
        <w:pStyle w:val="paragraph"/>
      </w:pPr>
      <w:r w:rsidRPr="006E709F">
        <w:tab/>
        <w:t>(a)</w:t>
      </w:r>
      <w:r w:rsidRPr="006E709F">
        <w:tab/>
        <w:t>the continuation of the business of the company or, if the undertaking, or any part of the undertaking, of a company is to be transferred, how that undertaking or part is to be conducted in the future; and</w:t>
      </w:r>
    </w:p>
    <w:p w14:paraId="1E3C6486" w14:textId="77777777" w:rsidR="00E93F58" w:rsidRPr="006E709F" w:rsidRDefault="00E93F58" w:rsidP="00A801D0">
      <w:pPr>
        <w:pStyle w:val="paragraph"/>
      </w:pPr>
      <w:r w:rsidRPr="006E709F">
        <w:tab/>
        <w:t>(b)</w:t>
      </w:r>
      <w:r w:rsidRPr="006E709F">
        <w:tab/>
        <w:t>any major changes to be made to the business of the company, including any redeployment of the fixed assets of the company; and</w:t>
      </w:r>
    </w:p>
    <w:p w14:paraId="0DE93389" w14:textId="77777777" w:rsidR="00E93F58" w:rsidRPr="006E709F" w:rsidRDefault="00E93F58" w:rsidP="00A801D0">
      <w:pPr>
        <w:pStyle w:val="paragraph"/>
      </w:pPr>
      <w:r w:rsidRPr="006E709F">
        <w:lastRenderedPageBreak/>
        <w:tab/>
        <w:t>(c)</w:t>
      </w:r>
      <w:r w:rsidRPr="006E709F">
        <w:tab/>
        <w:t>the future employment of the present employees of the company.</w:t>
      </w:r>
    </w:p>
    <w:p w14:paraId="466AD3DA" w14:textId="77777777" w:rsidR="00E93F58" w:rsidRPr="006E709F" w:rsidRDefault="00E93F58" w:rsidP="007C7D49">
      <w:pPr>
        <w:pStyle w:val="ActHead3"/>
        <w:pageBreakBefore/>
      </w:pPr>
      <w:bookmarkStart w:id="3322" w:name="_Toc151992411"/>
      <w:bookmarkStart w:id="3323" w:name="_Toc158713448"/>
      <w:r w:rsidRPr="000C4237">
        <w:rPr>
          <w:rStyle w:val="CharDivNo"/>
        </w:rPr>
        <w:lastRenderedPageBreak/>
        <w:t>Part 4</w:t>
      </w:r>
      <w:r w:rsidRPr="006E709F">
        <w:t>—</w:t>
      </w:r>
      <w:r w:rsidRPr="000C4237">
        <w:rPr>
          <w:rStyle w:val="CharDivText"/>
        </w:rPr>
        <w:t>Prescribed information relating to proposed compromise or arrangement with members or class of members for transfer to a trustee</w:t>
      </w:r>
      <w:bookmarkEnd w:id="3322"/>
      <w:bookmarkEnd w:id="3323"/>
    </w:p>
    <w:p w14:paraId="0B4E3E2C" w14:textId="77777777" w:rsidR="00E93F58" w:rsidRPr="006E709F" w:rsidRDefault="00E93F58" w:rsidP="00A801D0">
      <w:pPr>
        <w:pStyle w:val="subsection"/>
      </w:pPr>
      <w:r w:rsidRPr="006E709F">
        <w:rPr>
          <w:b/>
        </w:rPr>
        <w:t>8401</w:t>
      </w:r>
      <w:r w:rsidRPr="006E709F">
        <w:tab/>
      </w:r>
      <w:r w:rsidRPr="006E709F">
        <w:tab/>
        <w:t>The statement must set out:</w:t>
      </w:r>
    </w:p>
    <w:p w14:paraId="53B3C7A5" w14:textId="77777777" w:rsidR="00E93F58" w:rsidRPr="006E709F" w:rsidRDefault="00E93F58" w:rsidP="00A801D0">
      <w:pPr>
        <w:pStyle w:val="paragraph"/>
      </w:pPr>
      <w:r w:rsidRPr="006E709F">
        <w:tab/>
        <w:t>(a)</w:t>
      </w:r>
      <w:r w:rsidRPr="006E709F">
        <w:tab/>
        <w:t>in detail, the basis on which units in the unit trust are to be issued to scheme members; and</w:t>
      </w:r>
    </w:p>
    <w:p w14:paraId="32FEDE7B" w14:textId="77777777" w:rsidR="00E93F58" w:rsidRPr="006E709F" w:rsidRDefault="00E93F58" w:rsidP="00A801D0">
      <w:pPr>
        <w:pStyle w:val="paragraph"/>
      </w:pPr>
      <w:r w:rsidRPr="006E709F">
        <w:tab/>
        <w:t>(b)</w:t>
      </w:r>
      <w:r w:rsidRPr="006E709F">
        <w:tab/>
        <w:t>if the issue of units in the unit trust is based on the asset backing of shares held by scheme members—full valuation details of those assets.</w:t>
      </w:r>
    </w:p>
    <w:p w14:paraId="76A9F0D8" w14:textId="77777777" w:rsidR="00E93F58" w:rsidRPr="006E709F" w:rsidRDefault="00E93F58" w:rsidP="00A801D0">
      <w:pPr>
        <w:pStyle w:val="subsection"/>
      </w:pPr>
      <w:r w:rsidRPr="006E709F">
        <w:rPr>
          <w:b/>
        </w:rPr>
        <w:t>8402</w:t>
      </w:r>
      <w:r w:rsidRPr="006E709F">
        <w:tab/>
      </w:r>
      <w:r w:rsidRPr="006E709F">
        <w:tab/>
        <w:t>A copy of the trust deed must be annexed, or set out in a schedule, to the statement.</w:t>
      </w:r>
    </w:p>
    <w:p w14:paraId="70897857" w14:textId="77777777" w:rsidR="00E93F58" w:rsidRPr="006E709F" w:rsidRDefault="00E93F58" w:rsidP="00A801D0">
      <w:pPr>
        <w:pStyle w:val="subsection"/>
      </w:pPr>
      <w:r w:rsidRPr="006E709F">
        <w:rPr>
          <w:b/>
        </w:rPr>
        <w:t>8403</w:t>
      </w:r>
      <w:r w:rsidRPr="006E709F">
        <w:tab/>
      </w:r>
      <w:r w:rsidRPr="006E709F">
        <w:tab/>
        <w:t>If the effect of the proposed compromise or arrangement will be the merger of 2 companies without substantial common membership, the explanatory statement must, so far as practicable, state the matters, and be accompanied by the documents and reports, mentioned in Part 3.</w:t>
      </w:r>
    </w:p>
    <w:p w14:paraId="308A2A73" w14:textId="77777777" w:rsidR="00E93F58" w:rsidRPr="006E709F" w:rsidRDefault="00E93F58" w:rsidP="00E376FA">
      <w:pPr>
        <w:pStyle w:val="ActHead1"/>
        <w:pageBreakBefore/>
      </w:pPr>
      <w:bookmarkStart w:id="3324" w:name="_Toc151992412"/>
      <w:bookmarkStart w:id="3325" w:name="_Toc158713449"/>
      <w:r w:rsidRPr="000C4237">
        <w:rPr>
          <w:rStyle w:val="CharChapNo"/>
        </w:rPr>
        <w:lastRenderedPageBreak/>
        <w:t>Schedule 8A</w:t>
      </w:r>
      <w:r w:rsidRPr="006E709F">
        <w:t>—</w:t>
      </w:r>
      <w:r w:rsidRPr="000C4237">
        <w:rPr>
          <w:rStyle w:val="CharChapText"/>
        </w:rPr>
        <w:t>Deed of company arrangement—prescribed provisions</w:t>
      </w:r>
      <w:bookmarkEnd w:id="3324"/>
      <w:bookmarkEnd w:id="3325"/>
    </w:p>
    <w:p w14:paraId="3F8B524C" w14:textId="77777777" w:rsidR="00E93F58" w:rsidRPr="006E709F" w:rsidRDefault="00E93F58" w:rsidP="00A801D0">
      <w:pPr>
        <w:pStyle w:val="notemargin"/>
      </w:pPr>
      <w:r w:rsidRPr="006E709F">
        <w:t>(regulation 5.3A.06)</w:t>
      </w:r>
    </w:p>
    <w:p w14:paraId="5EE10340"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79469FB0" w14:textId="77777777" w:rsidR="00E93F58" w:rsidRPr="006E709F" w:rsidRDefault="00E93F58" w:rsidP="00A25488">
      <w:pPr>
        <w:pStyle w:val="Header"/>
      </w:pPr>
      <w:r w:rsidRPr="000C4237">
        <w:rPr>
          <w:rStyle w:val="CharDivNo"/>
        </w:rPr>
        <w:t xml:space="preserve"> </w:t>
      </w:r>
      <w:r w:rsidRPr="000C4237">
        <w:rPr>
          <w:rStyle w:val="CharDivText"/>
        </w:rPr>
        <w:t xml:space="preserve"> </w:t>
      </w:r>
    </w:p>
    <w:p w14:paraId="2569234B" w14:textId="77777777" w:rsidR="00E93F58" w:rsidRPr="006E709F" w:rsidRDefault="00E93F58" w:rsidP="00A801D0">
      <w:pPr>
        <w:pStyle w:val="ActHead5"/>
      </w:pPr>
      <w:bookmarkStart w:id="3326" w:name="_Toc151992413"/>
      <w:bookmarkStart w:id="3327" w:name="_Toc158713450"/>
      <w:r w:rsidRPr="000C4237">
        <w:rPr>
          <w:rStyle w:val="CharSectno"/>
        </w:rPr>
        <w:t>1</w:t>
      </w:r>
      <w:r w:rsidRPr="006E709F">
        <w:t xml:space="preserve">  Administrator deemed agent of company</w:t>
      </w:r>
      <w:bookmarkEnd w:id="3326"/>
      <w:bookmarkEnd w:id="3327"/>
    </w:p>
    <w:p w14:paraId="4D7BAD91" w14:textId="77777777" w:rsidR="00E93F58" w:rsidRPr="006E709F" w:rsidRDefault="00E93F58" w:rsidP="00A801D0">
      <w:pPr>
        <w:pStyle w:val="subsection"/>
      </w:pPr>
      <w:r w:rsidRPr="006E709F">
        <w:tab/>
      </w:r>
      <w:r w:rsidRPr="006E709F">
        <w:tab/>
        <w:t>In exercising the powers conferred by this deed and carrying out the duties arising under this deed, the administrator is taken to act as agent for and on behalf of the company.</w:t>
      </w:r>
    </w:p>
    <w:p w14:paraId="1CBE6BCB" w14:textId="77777777" w:rsidR="00E93F58" w:rsidRPr="006E709F" w:rsidRDefault="00E93F58" w:rsidP="00A801D0">
      <w:pPr>
        <w:pStyle w:val="ActHead5"/>
      </w:pPr>
      <w:bookmarkStart w:id="3328" w:name="_Toc151992414"/>
      <w:bookmarkStart w:id="3329" w:name="_Toc158713451"/>
      <w:r w:rsidRPr="000C4237">
        <w:rPr>
          <w:rStyle w:val="CharSectno"/>
        </w:rPr>
        <w:t>2</w:t>
      </w:r>
      <w:r w:rsidRPr="006E709F">
        <w:t xml:space="preserve">  Powers of administrator</w:t>
      </w:r>
      <w:bookmarkEnd w:id="3328"/>
      <w:bookmarkEnd w:id="3329"/>
    </w:p>
    <w:p w14:paraId="503A1599" w14:textId="77777777" w:rsidR="00E93F58" w:rsidRPr="006E709F" w:rsidRDefault="00E93F58" w:rsidP="00A801D0">
      <w:pPr>
        <w:pStyle w:val="subsection"/>
      </w:pPr>
      <w:r w:rsidRPr="006E709F">
        <w:tab/>
      </w:r>
      <w:r w:rsidRPr="006E709F">
        <w:tab/>
        <w:t>For the purpose only of administering this deed, the administrator has the following powers:</w:t>
      </w:r>
    </w:p>
    <w:p w14:paraId="5F5B7A07" w14:textId="77777777" w:rsidR="00E93F58" w:rsidRPr="006E709F" w:rsidRDefault="00E93F58" w:rsidP="00A801D0">
      <w:pPr>
        <w:pStyle w:val="paragraph"/>
      </w:pPr>
      <w:r w:rsidRPr="006E709F">
        <w:tab/>
        <w:t>(a)</w:t>
      </w:r>
      <w:r w:rsidRPr="006E709F">
        <w:tab/>
        <w:t>to enter upon or take possession of the property of the company;</w:t>
      </w:r>
    </w:p>
    <w:p w14:paraId="53654A84" w14:textId="77777777" w:rsidR="00E93F58" w:rsidRPr="006E709F" w:rsidRDefault="00E93F58" w:rsidP="00A801D0">
      <w:pPr>
        <w:pStyle w:val="paragraph"/>
      </w:pPr>
      <w:r w:rsidRPr="006E709F">
        <w:tab/>
        <w:t>(b)</w:t>
      </w:r>
      <w:r w:rsidRPr="006E709F">
        <w:tab/>
        <w:t>to lease or let on hire property of the company;</w:t>
      </w:r>
    </w:p>
    <w:p w14:paraId="6FE879F9" w14:textId="77777777" w:rsidR="00E93F58" w:rsidRPr="006E709F" w:rsidRDefault="00E93F58" w:rsidP="00A801D0">
      <w:pPr>
        <w:pStyle w:val="paragraph"/>
      </w:pPr>
      <w:r w:rsidRPr="006E709F">
        <w:tab/>
        <w:t>(c)</w:t>
      </w:r>
      <w:r w:rsidRPr="006E709F">
        <w:tab/>
        <w:t>to grant options over property of the company on such conditions as the administrator thinks fit;</w:t>
      </w:r>
    </w:p>
    <w:p w14:paraId="449C455C" w14:textId="77777777" w:rsidR="00E93F58" w:rsidRPr="006E709F" w:rsidRDefault="00E93F58" w:rsidP="00A801D0">
      <w:pPr>
        <w:pStyle w:val="paragraph"/>
      </w:pPr>
      <w:r w:rsidRPr="006E709F">
        <w:tab/>
        <w:t>(d)</w:t>
      </w:r>
      <w:r w:rsidRPr="006E709F">
        <w:tab/>
        <w:t>to insure property of the company;</w:t>
      </w:r>
    </w:p>
    <w:p w14:paraId="3A1DB6A9" w14:textId="77777777" w:rsidR="00E93F58" w:rsidRPr="006E709F" w:rsidRDefault="00E93F58" w:rsidP="00A801D0">
      <w:pPr>
        <w:pStyle w:val="paragraph"/>
      </w:pPr>
      <w:r w:rsidRPr="006E709F">
        <w:tab/>
        <w:t>(e)</w:t>
      </w:r>
      <w:r w:rsidRPr="006E709F">
        <w:tab/>
        <w:t>to repair, renew or enlarge property of the company;</w:t>
      </w:r>
    </w:p>
    <w:p w14:paraId="20F53BE0" w14:textId="77777777" w:rsidR="00E93F58" w:rsidRPr="006E709F" w:rsidRDefault="00E93F58" w:rsidP="00A801D0">
      <w:pPr>
        <w:pStyle w:val="paragraph"/>
      </w:pPr>
      <w:r w:rsidRPr="006E709F">
        <w:tab/>
        <w:t>(f)</w:t>
      </w:r>
      <w:r w:rsidRPr="006E709F">
        <w:tab/>
        <w:t>to call in, collect or convert into money the property of the company;</w:t>
      </w:r>
    </w:p>
    <w:p w14:paraId="7B06C8FA" w14:textId="77777777" w:rsidR="00E93F58" w:rsidRPr="006E709F" w:rsidRDefault="00E93F58" w:rsidP="00A801D0">
      <w:pPr>
        <w:pStyle w:val="paragraph"/>
      </w:pPr>
      <w:r w:rsidRPr="006E709F">
        <w:tab/>
        <w:t>(g)</w:t>
      </w:r>
      <w:r w:rsidRPr="006E709F">
        <w:tab/>
        <w:t>to administer the assets available for the payment of claims of creditors in accordance with the provisions of this deed;</w:t>
      </w:r>
    </w:p>
    <w:p w14:paraId="4E591F66" w14:textId="77777777" w:rsidR="00E93F58" w:rsidRPr="006E709F" w:rsidRDefault="00E93F58" w:rsidP="00A801D0">
      <w:pPr>
        <w:pStyle w:val="paragraph"/>
      </w:pPr>
      <w:r w:rsidRPr="006E709F">
        <w:tab/>
        <w:t>(h)</w:t>
      </w:r>
      <w:r w:rsidRPr="006E709F">
        <w:tab/>
        <w:t>to purchase, hire, lease or otherwise acquire any property or interest in property from any person or corporation;</w:t>
      </w:r>
    </w:p>
    <w:p w14:paraId="4C165A34" w14:textId="77777777" w:rsidR="00E93F58" w:rsidRPr="006E709F" w:rsidRDefault="00E93F58" w:rsidP="00A801D0">
      <w:pPr>
        <w:pStyle w:val="paragraph"/>
      </w:pPr>
      <w:r w:rsidRPr="006E709F">
        <w:tab/>
        <w:t>(i)</w:t>
      </w:r>
      <w:r w:rsidRPr="006E709F">
        <w:tab/>
        <w:t>to borrow or raise money, whether secured upon any or all of the assets of the company or unsecured, for any period on such terms as the administrator thinks fit and whether in substitution for any existing security or otherwise;</w:t>
      </w:r>
    </w:p>
    <w:p w14:paraId="108F680B" w14:textId="77777777" w:rsidR="00E93F58" w:rsidRPr="006E709F" w:rsidRDefault="00E93F58" w:rsidP="00A801D0">
      <w:pPr>
        <w:pStyle w:val="paragraph"/>
      </w:pPr>
      <w:r w:rsidRPr="006E709F">
        <w:tab/>
        <w:t>(j)</w:t>
      </w:r>
      <w:r w:rsidRPr="006E709F">
        <w:tab/>
        <w:t>to bring, prosecute and defend in the name and on behalf of the company or in the name of the administrator any actions, suits or proceedings;</w:t>
      </w:r>
    </w:p>
    <w:p w14:paraId="689717BB" w14:textId="77777777" w:rsidR="00E93F58" w:rsidRPr="006E709F" w:rsidRDefault="00E93F58" w:rsidP="00A801D0">
      <w:pPr>
        <w:pStyle w:val="paragraph"/>
      </w:pPr>
      <w:r w:rsidRPr="006E709F">
        <w:tab/>
        <w:t>(k)</w:t>
      </w:r>
      <w:r w:rsidRPr="006E709F">
        <w:tab/>
        <w:t>to refer to arbitration any question affecting the company;</w:t>
      </w:r>
    </w:p>
    <w:p w14:paraId="07764172" w14:textId="77777777" w:rsidR="00E93F58" w:rsidRPr="006E709F" w:rsidRDefault="00E93F58" w:rsidP="00A801D0">
      <w:pPr>
        <w:pStyle w:val="paragraph"/>
      </w:pPr>
      <w:r w:rsidRPr="006E709F">
        <w:tab/>
        <w:t>(l)</w:t>
      </w:r>
      <w:r w:rsidRPr="006E709F">
        <w:tab/>
        <w:t>to make payments to any secured creditor of the company and any person who is the owner or lessor of property possessed used or occupied by the company;</w:t>
      </w:r>
    </w:p>
    <w:p w14:paraId="5EB96417" w14:textId="77777777" w:rsidR="00E93F58" w:rsidRPr="006E709F" w:rsidRDefault="00E93F58" w:rsidP="00A801D0">
      <w:pPr>
        <w:pStyle w:val="paragraph"/>
      </w:pPr>
      <w:r w:rsidRPr="006E709F">
        <w:tab/>
        <w:t>(m)</w:t>
      </w:r>
      <w:r w:rsidRPr="006E709F">
        <w:tab/>
        <w:t>to convene and hold meetings of the members or creditors of the company for any purpose the administrator thinks fit;</w:t>
      </w:r>
    </w:p>
    <w:p w14:paraId="0941B09C" w14:textId="77777777" w:rsidR="00E93F58" w:rsidRPr="006E709F" w:rsidRDefault="00E93F58" w:rsidP="00A801D0">
      <w:pPr>
        <w:pStyle w:val="paragraph"/>
      </w:pPr>
      <w:r w:rsidRPr="006E709F">
        <w:tab/>
        <w:t>(n)</w:t>
      </w:r>
      <w:r w:rsidRPr="006E709F">
        <w:tab/>
        <w:t>to make interim or other distributions of the proceeds of the realisation of the assets available for the payment of claims of creditors as provided in this deed;</w:t>
      </w:r>
    </w:p>
    <w:p w14:paraId="3820F384" w14:textId="77777777" w:rsidR="00E93F58" w:rsidRPr="006E709F" w:rsidRDefault="00E93F58" w:rsidP="00A801D0">
      <w:pPr>
        <w:pStyle w:val="paragraph"/>
      </w:pPr>
      <w:r w:rsidRPr="006E709F">
        <w:tab/>
        <w:t>(o)</w:t>
      </w:r>
      <w:r w:rsidRPr="006E709F">
        <w:tab/>
        <w:t>to appoint agents to do any business or to attend to any matter or affairs of the company that the administrator is unable to do, or that it is unreasonable to expect the administrator to do, in person;</w:t>
      </w:r>
    </w:p>
    <w:p w14:paraId="632AD42F" w14:textId="77777777" w:rsidR="00E93F58" w:rsidRPr="006E709F" w:rsidRDefault="00E93F58" w:rsidP="00A801D0">
      <w:pPr>
        <w:pStyle w:val="paragraph"/>
      </w:pPr>
      <w:r w:rsidRPr="006E709F">
        <w:tab/>
        <w:t>(p)</w:t>
      </w:r>
      <w:r w:rsidRPr="006E709F">
        <w:tab/>
        <w:t>to engage or discharge employees on behalf of the company;</w:t>
      </w:r>
    </w:p>
    <w:p w14:paraId="7D1B08FB" w14:textId="77777777" w:rsidR="00E93F58" w:rsidRPr="006E709F" w:rsidRDefault="00E93F58" w:rsidP="00A801D0">
      <w:pPr>
        <w:pStyle w:val="paragraph"/>
      </w:pPr>
      <w:r w:rsidRPr="006E709F">
        <w:tab/>
        <w:t>(q)</w:t>
      </w:r>
      <w:r w:rsidRPr="006E709F">
        <w:tab/>
        <w:t>to appoint a solicitor, accountant or other professionally qualified person to assist the administrator;</w:t>
      </w:r>
    </w:p>
    <w:p w14:paraId="11347355" w14:textId="77777777" w:rsidR="00E93F58" w:rsidRPr="006E709F" w:rsidRDefault="00E93F58" w:rsidP="00A801D0">
      <w:pPr>
        <w:pStyle w:val="paragraph"/>
      </w:pPr>
      <w:r w:rsidRPr="006E709F">
        <w:tab/>
        <w:t>(r)</w:t>
      </w:r>
      <w:r w:rsidRPr="006E709F">
        <w:tab/>
        <w:t>to permit any person authorised by the administrator to operate any account in the name of the company;</w:t>
      </w:r>
    </w:p>
    <w:p w14:paraId="243937F5" w14:textId="77777777" w:rsidR="00E93F58" w:rsidRPr="006E709F" w:rsidRDefault="00E93F58" w:rsidP="00A801D0">
      <w:pPr>
        <w:pStyle w:val="paragraph"/>
      </w:pPr>
      <w:r w:rsidRPr="006E709F">
        <w:tab/>
        <w:t>(s)</w:t>
      </w:r>
      <w:r w:rsidRPr="006E709F">
        <w:tab/>
        <w:t>to sell, call in or convert into money any of the property of the company, to apply the money in accordance with this deed and otherwise effectively and properly to carry out his or her duties as administrator;</w:t>
      </w:r>
    </w:p>
    <w:p w14:paraId="42246EB2" w14:textId="77777777" w:rsidR="00E93F58" w:rsidRPr="006E709F" w:rsidRDefault="00E93F58" w:rsidP="00A801D0">
      <w:pPr>
        <w:pStyle w:val="paragraph"/>
      </w:pPr>
      <w:r w:rsidRPr="006E709F">
        <w:tab/>
        <w:t>(t)</w:t>
      </w:r>
      <w:r w:rsidRPr="006E709F">
        <w:tab/>
        <w:t>to do all acts and execute in the name and on behalf of the company all deeds, receipts and other documents, using the company’s common or official seal when necessary;</w:t>
      </w:r>
    </w:p>
    <w:p w14:paraId="0AB78174" w14:textId="77777777" w:rsidR="00E93F58" w:rsidRPr="006E709F" w:rsidRDefault="00E93F58" w:rsidP="00A801D0">
      <w:pPr>
        <w:pStyle w:val="paragraph"/>
      </w:pPr>
      <w:r w:rsidRPr="006E709F">
        <w:tab/>
        <w:t>(u)</w:t>
      </w:r>
      <w:r w:rsidRPr="006E709F">
        <w:tab/>
        <w:t xml:space="preserve">subject to the </w:t>
      </w:r>
      <w:r w:rsidRPr="006E709F">
        <w:rPr>
          <w:i/>
        </w:rPr>
        <w:t>Bankruptcy Act 1966</w:t>
      </w:r>
      <w:r w:rsidRPr="006E709F">
        <w:t>, to prove in the bankruptcy of any contributory or debtor of the company or under any deed executed under that Act;</w:t>
      </w:r>
    </w:p>
    <w:p w14:paraId="3CEDEA00" w14:textId="77777777" w:rsidR="00E93F58" w:rsidRPr="006E709F" w:rsidRDefault="00E93F58" w:rsidP="00A801D0">
      <w:pPr>
        <w:pStyle w:val="paragraph"/>
      </w:pPr>
      <w:r w:rsidRPr="006E709F">
        <w:tab/>
        <w:t>(v)</w:t>
      </w:r>
      <w:r w:rsidRPr="006E709F">
        <w:tab/>
        <w:t>subject to the Act, to prove in the winding up of any contributory or debtor of the company or under any scheme of arrangement entered into, or deed of company arrangement executed, under the Act;</w:t>
      </w:r>
    </w:p>
    <w:p w14:paraId="0E36D7F2" w14:textId="77777777" w:rsidR="00E93F58" w:rsidRPr="006E709F" w:rsidRDefault="00E93F58" w:rsidP="00A801D0">
      <w:pPr>
        <w:pStyle w:val="paragraph"/>
      </w:pPr>
      <w:r w:rsidRPr="006E709F">
        <w:tab/>
        <w:t>(w)</w:t>
      </w:r>
      <w:r w:rsidRPr="006E709F">
        <w:tab/>
        <w:t>to draw, accept, make or endorse any bill of exchange or promissory note in the name and on behalf of the company;</w:t>
      </w:r>
    </w:p>
    <w:p w14:paraId="69071F80" w14:textId="77777777" w:rsidR="00E93F58" w:rsidRPr="006E709F" w:rsidRDefault="00E93F58" w:rsidP="00A801D0">
      <w:pPr>
        <w:pStyle w:val="paragraph"/>
      </w:pPr>
      <w:r w:rsidRPr="006E709F">
        <w:tab/>
        <w:t>(x)</w:t>
      </w:r>
      <w:r w:rsidRPr="006E709F">
        <w:tab/>
        <w:t>to take out letters of administration of the estate of a deceased contributory or debtor, and do any other act necessary for obtaining payment of any money due from a contributory or debtor, or the estate of a contributory or debtor, that cannot be conveniently done in the name of the company;</w:t>
      </w:r>
    </w:p>
    <w:p w14:paraId="5150615E" w14:textId="77777777" w:rsidR="00E93F58" w:rsidRPr="006E709F" w:rsidRDefault="00E93F58" w:rsidP="00A801D0">
      <w:pPr>
        <w:pStyle w:val="paragraph"/>
      </w:pPr>
      <w:r w:rsidRPr="006E709F">
        <w:tab/>
        <w:t>(y)</w:t>
      </w:r>
      <w:r w:rsidRPr="006E709F">
        <w:tab/>
        <w:t>to bring or defend an application for the winding up of the company;</w:t>
      </w:r>
    </w:p>
    <w:p w14:paraId="13B43442" w14:textId="77777777" w:rsidR="00E93F58" w:rsidRPr="006E709F" w:rsidRDefault="00E93F58" w:rsidP="00A801D0">
      <w:pPr>
        <w:pStyle w:val="paragraph"/>
      </w:pPr>
      <w:r w:rsidRPr="006E709F">
        <w:lastRenderedPageBreak/>
        <w:tab/>
        <w:t>(z)</w:t>
      </w:r>
      <w:r w:rsidRPr="006E709F">
        <w:tab/>
        <w:t>to carry on the business of the company on such terms and conditions and for such purposes and times and in such manner as the administrator thinks fit subject only to the limitations imposed by this deed;</w:t>
      </w:r>
    </w:p>
    <w:p w14:paraId="03458B0B" w14:textId="77777777" w:rsidR="00E93F58" w:rsidRPr="006E709F" w:rsidRDefault="00E93F58" w:rsidP="00A801D0">
      <w:pPr>
        <w:pStyle w:val="paragraph"/>
      </w:pPr>
      <w:r w:rsidRPr="006E709F">
        <w:tab/>
        <w:t>(za)</w:t>
      </w:r>
      <w:r w:rsidRPr="006E709F">
        <w:tab/>
        <w:t>to sell any or all of the property of the company including the whole of the business or undertaking of the company at any time the administrator thinks fit, either by public auction or by private contract and either for a lump sum or for a sum payable by instalments or for a sum on account and to obtain a mortgage charge or encumbrance for the balance or otherwise;</w:t>
      </w:r>
    </w:p>
    <w:p w14:paraId="1DF3C7EA" w14:textId="77777777" w:rsidR="00E93F58" w:rsidRPr="006E709F" w:rsidRDefault="00E93F58" w:rsidP="00A801D0">
      <w:pPr>
        <w:pStyle w:val="paragraph"/>
      </w:pPr>
      <w:r w:rsidRPr="006E709F">
        <w:tab/>
        <w:t>(zb)</w:t>
      </w:r>
      <w:r w:rsidRPr="006E709F">
        <w:tab/>
        <w:t>to close down the whole or any part of any business of the company;</w:t>
      </w:r>
    </w:p>
    <w:p w14:paraId="2C492837" w14:textId="77777777" w:rsidR="00E93F58" w:rsidRPr="006E709F" w:rsidRDefault="00E93F58" w:rsidP="00A801D0">
      <w:pPr>
        <w:pStyle w:val="paragraph"/>
      </w:pPr>
      <w:r w:rsidRPr="006E709F">
        <w:tab/>
        <w:t>(zc)</w:t>
      </w:r>
      <w:r w:rsidRPr="006E709F">
        <w:tab/>
        <w:t>to enter into and complete any contract for the sale of shares in the company;</w:t>
      </w:r>
    </w:p>
    <w:p w14:paraId="0D98860C" w14:textId="77777777" w:rsidR="00E93F58" w:rsidRPr="006E709F" w:rsidRDefault="00E93F58" w:rsidP="00A801D0">
      <w:pPr>
        <w:pStyle w:val="paragraph"/>
      </w:pPr>
      <w:r w:rsidRPr="006E709F">
        <w:tab/>
        <w:t>(zd)</w:t>
      </w:r>
      <w:r w:rsidRPr="006E709F">
        <w:tab/>
        <w:t>to compromise any debts or claims brought by or against the company on such terms as the administrator thinks fit and to take security for the discharge of any debt forming part of the property of the company;</w:t>
      </w:r>
    </w:p>
    <w:p w14:paraId="2F5B3973" w14:textId="77777777" w:rsidR="00E93F58" w:rsidRPr="006E709F" w:rsidRDefault="00E93F58" w:rsidP="00A801D0">
      <w:pPr>
        <w:pStyle w:val="paragraph"/>
      </w:pPr>
      <w:r w:rsidRPr="006E709F">
        <w:tab/>
        <w:t>(ze)</w:t>
      </w:r>
      <w:r w:rsidRPr="006E709F">
        <w:tab/>
        <w:t>to pay any class of creditors in full, subject to Subdivision D of Division 6 of Part 5.6 of the Act;</w:t>
      </w:r>
    </w:p>
    <w:p w14:paraId="59B7C85E" w14:textId="77777777" w:rsidR="00E93F58" w:rsidRPr="006E709F" w:rsidRDefault="00E93F58" w:rsidP="00A801D0">
      <w:pPr>
        <w:pStyle w:val="paragraph"/>
      </w:pPr>
      <w:r w:rsidRPr="006E709F">
        <w:tab/>
        <w:t>(zf)</w:t>
      </w:r>
      <w:r w:rsidRPr="006E709F">
        <w:tab/>
        <w:t>to do anything that is incidental to exercising a power set out in this clause;</w:t>
      </w:r>
    </w:p>
    <w:p w14:paraId="7A8EA4F2" w14:textId="77777777" w:rsidR="00E93F58" w:rsidRPr="006E709F" w:rsidRDefault="00E93F58" w:rsidP="00A801D0">
      <w:pPr>
        <w:pStyle w:val="paragraph"/>
      </w:pPr>
      <w:r w:rsidRPr="006E709F">
        <w:tab/>
        <w:t>(zg)</w:t>
      </w:r>
      <w:r w:rsidRPr="006E709F">
        <w:tab/>
        <w:t>to do anything else that is necessary or convenient for the purpose of administering this deed.</w:t>
      </w:r>
    </w:p>
    <w:p w14:paraId="4D5AE035" w14:textId="77777777" w:rsidR="00E93F58" w:rsidRPr="006E709F" w:rsidRDefault="00E93F58" w:rsidP="00221306">
      <w:pPr>
        <w:pStyle w:val="ActHead5"/>
      </w:pPr>
      <w:bookmarkStart w:id="3330" w:name="_Toc151992415"/>
      <w:bookmarkStart w:id="3331" w:name="_Toc158713452"/>
      <w:r w:rsidRPr="000C4237">
        <w:rPr>
          <w:rStyle w:val="CharSectno"/>
        </w:rPr>
        <w:t>3</w:t>
      </w:r>
      <w:r w:rsidRPr="006E709F">
        <w:t xml:space="preserve">  Termination of deed where arrangement fails</w:t>
      </w:r>
      <w:bookmarkEnd w:id="3330"/>
      <w:bookmarkEnd w:id="3331"/>
    </w:p>
    <w:p w14:paraId="32583AAE" w14:textId="77777777" w:rsidR="00E93F58" w:rsidRPr="006E709F" w:rsidRDefault="00E93F58" w:rsidP="00221306">
      <w:pPr>
        <w:pStyle w:val="subsection"/>
        <w:keepNext/>
        <w:keepLines/>
      </w:pPr>
      <w:r w:rsidRPr="006E709F">
        <w:tab/>
      </w:r>
      <w:r w:rsidRPr="006E709F">
        <w:tab/>
        <w:t>If the administrator or the committee of inspection determines that it is no longer practicable or desirable either to continue to carry on the business of the company or to implement this deed, the administrator:</w:t>
      </w:r>
    </w:p>
    <w:p w14:paraId="7DCFEE7D" w14:textId="77777777" w:rsidR="00E93F58" w:rsidRPr="006E709F" w:rsidRDefault="00E93F58" w:rsidP="00221306">
      <w:pPr>
        <w:pStyle w:val="paragraph"/>
        <w:keepNext/>
        <w:keepLines/>
      </w:pPr>
      <w:r w:rsidRPr="006E709F">
        <w:tab/>
        <w:t>(a)</w:t>
      </w:r>
      <w:r w:rsidRPr="006E709F">
        <w:tab/>
        <w:t>may cease to carry on the business of the company except so far as is necessary for the beneficial winding up of the company;</w:t>
      </w:r>
    </w:p>
    <w:p w14:paraId="2CFD23FA" w14:textId="77777777" w:rsidR="00E93F58" w:rsidRPr="006E709F" w:rsidRDefault="00E93F58" w:rsidP="00A801D0">
      <w:pPr>
        <w:pStyle w:val="paragraph"/>
      </w:pPr>
      <w:r w:rsidRPr="006E709F">
        <w:tab/>
        <w:t>(b)</w:t>
      </w:r>
      <w:r w:rsidRPr="006E709F">
        <w:tab/>
        <w:t>must summon a meeting of creditors for the purpose of passing a resolution under section 445C(b) of the Act; and</w:t>
      </w:r>
    </w:p>
    <w:p w14:paraId="0659FD53" w14:textId="77777777" w:rsidR="00E93F58" w:rsidRPr="006E709F" w:rsidRDefault="00E93F58" w:rsidP="00A801D0">
      <w:pPr>
        <w:pStyle w:val="paragraph"/>
      </w:pPr>
      <w:r w:rsidRPr="006E709F">
        <w:tab/>
        <w:t>(c)</w:t>
      </w:r>
      <w:r w:rsidRPr="006E709F">
        <w:tab/>
        <w:t>must forward to each creditor not less than 14 days prior to the meeting an up</w:t>
      </w:r>
      <w:r>
        <w:noBreakHyphen/>
      </w:r>
      <w:r w:rsidRPr="006E709F">
        <w:t>to</w:t>
      </w:r>
      <w:r>
        <w:noBreakHyphen/>
      </w:r>
      <w:r w:rsidRPr="006E709F">
        <w:t>date report as to the position of the company accompanied by such financial statements as the administrator thinks fit, together with a statement that he or she does not think it practicable or desirable to carry on the business of the company or to continue this deed and that this deed will be terminated if the company’s creditors resolve.</w:t>
      </w:r>
    </w:p>
    <w:p w14:paraId="455801EA" w14:textId="77777777" w:rsidR="00E93F58" w:rsidRPr="006E709F" w:rsidRDefault="00E93F58" w:rsidP="00A801D0">
      <w:pPr>
        <w:pStyle w:val="ActHead5"/>
      </w:pPr>
      <w:bookmarkStart w:id="3332" w:name="_Toc151992416"/>
      <w:bookmarkStart w:id="3333" w:name="_Toc158713453"/>
      <w:r w:rsidRPr="000C4237">
        <w:rPr>
          <w:rStyle w:val="CharSectno"/>
        </w:rPr>
        <w:t>4</w:t>
      </w:r>
      <w:r w:rsidRPr="006E709F">
        <w:t xml:space="preserve">  Priority</w:t>
      </w:r>
      <w:bookmarkEnd w:id="3332"/>
      <w:bookmarkEnd w:id="3333"/>
    </w:p>
    <w:p w14:paraId="5C4E40A7" w14:textId="77777777" w:rsidR="00E93F58" w:rsidRPr="006E709F" w:rsidRDefault="00E93F58" w:rsidP="00A801D0">
      <w:pPr>
        <w:pStyle w:val="subsection"/>
      </w:pPr>
      <w:r w:rsidRPr="006E709F">
        <w:tab/>
      </w:r>
      <w:r w:rsidRPr="006E709F">
        <w:tab/>
        <w:t>The administrator must apply the property of the company coming under his or her control under this deed in the order of priority specified in section 556, 560 or 561 of the Act.</w:t>
      </w:r>
    </w:p>
    <w:p w14:paraId="41132DEB" w14:textId="77777777" w:rsidR="00E93F58" w:rsidRPr="006E709F" w:rsidRDefault="00E93F58" w:rsidP="00A801D0">
      <w:pPr>
        <w:pStyle w:val="ActHead5"/>
      </w:pPr>
      <w:bookmarkStart w:id="3334" w:name="_Toc151992417"/>
      <w:bookmarkStart w:id="3335" w:name="_Toc158713454"/>
      <w:r w:rsidRPr="000C4237">
        <w:rPr>
          <w:rStyle w:val="CharSectno"/>
        </w:rPr>
        <w:t>5</w:t>
      </w:r>
      <w:r w:rsidRPr="006E709F">
        <w:t xml:space="preserve">  Discharge of debts</w:t>
      </w:r>
      <w:bookmarkEnd w:id="3334"/>
      <w:bookmarkEnd w:id="3335"/>
    </w:p>
    <w:p w14:paraId="17D575C0" w14:textId="77777777" w:rsidR="00E93F58" w:rsidRPr="006E709F" w:rsidRDefault="00E93F58" w:rsidP="00A801D0">
      <w:pPr>
        <w:pStyle w:val="subsection"/>
      </w:pPr>
      <w:r w:rsidRPr="006E709F">
        <w:tab/>
      </w:r>
      <w:r w:rsidRPr="006E709F">
        <w:tab/>
        <w:t>The creditors must accept their entitlements under this deed in full satisfaction and complete discharge of all debts or claims which they have or claim to have against the company as at the day when the administration began and each of them will, if called upon to do so, execute and deliver to the company such forms of release of any such claim as the administrator requires.</w:t>
      </w:r>
    </w:p>
    <w:p w14:paraId="7313175F" w14:textId="77777777" w:rsidR="00E93F58" w:rsidRPr="006E709F" w:rsidRDefault="00E93F58" w:rsidP="00A801D0">
      <w:pPr>
        <w:pStyle w:val="ActHead5"/>
      </w:pPr>
      <w:bookmarkStart w:id="3336" w:name="_Toc151992418"/>
      <w:bookmarkStart w:id="3337" w:name="_Toc158713455"/>
      <w:r w:rsidRPr="000C4237">
        <w:rPr>
          <w:rStyle w:val="CharSectno"/>
        </w:rPr>
        <w:t>6</w:t>
      </w:r>
      <w:r w:rsidRPr="006E709F">
        <w:t xml:space="preserve">  Claims extinguished</w:t>
      </w:r>
      <w:bookmarkEnd w:id="3336"/>
      <w:bookmarkEnd w:id="3337"/>
    </w:p>
    <w:p w14:paraId="3E74826F" w14:textId="77777777" w:rsidR="00E93F58" w:rsidRPr="006E709F" w:rsidRDefault="00E93F58" w:rsidP="00A801D0">
      <w:pPr>
        <w:pStyle w:val="subsection"/>
      </w:pPr>
      <w:r w:rsidRPr="006E709F">
        <w:tab/>
      </w:r>
      <w:r w:rsidRPr="006E709F">
        <w:tab/>
        <w:t>If the administrator has paid to the creditors their full entitlements under this deed, all debts or claims, present or future, actual or contingent, due or which may become due by the company as a result of anything done or omitted by or on behalf of the company before the day when the administration began and each claim against the company as a result of anything done or omitted by or on behalf of the company before the day when the administration began is extinguished.</w:t>
      </w:r>
    </w:p>
    <w:p w14:paraId="16BCBDF5" w14:textId="77777777" w:rsidR="00E93F58" w:rsidRPr="006E709F" w:rsidRDefault="00E93F58" w:rsidP="00A801D0">
      <w:pPr>
        <w:pStyle w:val="ActHead5"/>
      </w:pPr>
      <w:bookmarkStart w:id="3338" w:name="_Toc151992419"/>
      <w:bookmarkStart w:id="3339" w:name="_Toc158713456"/>
      <w:r w:rsidRPr="000C4237">
        <w:rPr>
          <w:rStyle w:val="CharSectno"/>
        </w:rPr>
        <w:t>7</w:t>
      </w:r>
      <w:r w:rsidRPr="006E709F">
        <w:t xml:space="preserve">  Bar to creditors’ claims</w:t>
      </w:r>
      <w:bookmarkEnd w:id="3338"/>
      <w:bookmarkEnd w:id="3339"/>
    </w:p>
    <w:p w14:paraId="61D02D7A" w14:textId="77777777" w:rsidR="00E93F58" w:rsidRPr="006E709F" w:rsidRDefault="00E93F58" w:rsidP="00A801D0">
      <w:pPr>
        <w:pStyle w:val="subsection"/>
      </w:pPr>
      <w:r w:rsidRPr="006E709F">
        <w:tab/>
      </w:r>
      <w:r w:rsidRPr="006E709F">
        <w:tab/>
        <w:t>Subject to section 444D of the Act this deed may be pleaded by the company against any creditor in bar of any debt or claim that is admissible under this deed and a creditor (whether the creditor’s debt or claim is or is not admitted or established under this deed) must not, before the termination of this deed:</w:t>
      </w:r>
    </w:p>
    <w:p w14:paraId="0A6D9A7C" w14:textId="77777777" w:rsidR="00E93F58" w:rsidRPr="006E709F" w:rsidRDefault="00E93F58" w:rsidP="00A801D0">
      <w:pPr>
        <w:pStyle w:val="paragraph"/>
      </w:pPr>
      <w:r w:rsidRPr="006E709F">
        <w:tab/>
        <w:t>(a)</w:t>
      </w:r>
      <w:r w:rsidRPr="006E709F">
        <w:tab/>
        <w:t>take or concur in the taking of any step to wind up the company; or</w:t>
      </w:r>
    </w:p>
    <w:p w14:paraId="29CC2F83" w14:textId="77777777" w:rsidR="00E93F58" w:rsidRPr="006E709F" w:rsidRDefault="00E93F58" w:rsidP="00A801D0">
      <w:pPr>
        <w:pStyle w:val="paragraph"/>
      </w:pPr>
      <w:r w:rsidRPr="006E709F">
        <w:tab/>
        <w:t>(b)</w:t>
      </w:r>
      <w:r w:rsidRPr="006E709F">
        <w:tab/>
        <w:t>except for the purpose and to the extent provided in this deed, institute or prosecute any legal proceedings in relation to any debt incurred or alleged to have been incurred by the company before the day when the administration began; or</w:t>
      </w:r>
    </w:p>
    <w:p w14:paraId="19476B5D" w14:textId="77777777" w:rsidR="00E93F58" w:rsidRPr="006E709F" w:rsidRDefault="00E93F58" w:rsidP="00A801D0">
      <w:pPr>
        <w:pStyle w:val="paragraph"/>
      </w:pPr>
      <w:r w:rsidRPr="006E709F">
        <w:tab/>
        <w:t>(c)</w:t>
      </w:r>
      <w:r w:rsidRPr="006E709F">
        <w:tab/>
        <w:t>take any further step (including any step by way of legal or equitable execution) in any proceedings pending against or in relation to the company at the day when the administration began; or</w:t>
      </w:r>
    </w:p>
    <w:p w14:paraId="63EEA028" w14:textId="77777777" w:rsidR="00E93F58" w:rsidRPr="006E709F" w:rsidRDefault="00E93F58" w:rsidP="00A801D0">
      <w:pPr>
        <w:pStyle w:val="paragraph"/>
      </w:pPr>
      <w:r w:rsidRPr="006E709F">
        <w:lastRenderedPageBreak/>
        <w:tab/>
        <w:t>(d)</w:t>
      </w:r>
      <w:r w:rsidRPr="006E709F">
        <w:tab/>
        <w:t>exercise any right of set</w:t>
      </w:r>
      <w:r>
        <w:noBreakHyphen/>
      </w:r>
      <w:r w:rsidRPr="006E709F">
        <w:t>off or cross</w:t>
      </w:r>
      <w:r>
        <w:noBreakHyphen/>
      </w:r>
      <w:r w:rsidRPr="006E709F">
        <w:t>action to which the creditor would not have been entitled had the company been wound up at the day when the administration began; or</w:t>
      </w:r>
    </w:p>
    <w:p w14:paraId="54830269" w14:textId="77777777" w:rsidR="00E93F58" w:rsidRPr="006E709F" w:rsidRDefault="00E93F58" w:rsidP="00A801D0">
      <w:pPr>
        <w:pStyle w:val="paragraph"/>
      </w:pPr>
      <w:r w:rsidRPr="006E709F">
        <w:tab/>
        <w:t>(e)</w:t>
      </w:r>
      <w:r w:rsidRPr="006E709F">
        <w:tab/>
        <w:t>commence or take any further step in any arbitration against the company or to which the company is a party.</w:t>
      </w:r>
    </w:p>
    <w:p w14:paraId="410054DB" w14:textId="77777777" w:rsidR="00E93F58" w:rsidRPr="006E709F" w:rsidRDefault="00E93F58" w:rsidP="00A801D0">
      <w:pPr>
        <w:pStyle w:val="ActHead5"/>
      </w:pPr>
      <w:bookmarkStart w:id="3340" w:name="_Toc151992420"/>
      <w:bookmarkStart w:id="3341" w:name="_Toc158713457"/>
      <w:r w:rsidRPr="000C4237">
        <w:rPr>
          <w:rStyle w:val="CharSectno"/>
        </w:rPr>
        <w:t>8</w:t>
      </w:r>
      <w:r w:rsidRPr="006E709F">
        <w:t xml:space="preserve">  Making claims</w:t>
      </w:r>
      <w:bookmarkEnd w:id="3340"/>
      <w:bookmarkEnd w:id="3341"/>
    </w:p>
    <w:p w14:paraId="44C41FD0" w14:textId="77777777" w:rsidR="00E93F58" w:rsidRPr="006E709F" w:rsidRDefault="00E93F58" w:rsidP="00A801D0">
      <w:pPr>
        <w:pStyle w:val="subsection"/>
      </w:pPr>
      <w:r w:rsidRPr="006E709F">
        <w:tab/>
        <w:t>(1)</w:t>
      </w:r>
      <w:r w:rsidRPr="006E709F">
        <w:tab/>
        <w:t xml:space="preserve">Subdivisions A, B, C and E of Division 6 of Part 5.6 of the </w:t>
      </w:r>
      <w:r w:rsidRPr="006E709F">
        <w:rPr>
          <w:i/>
        </w:rPr>
        <w:t>Corporations Act 2001</w:t>
      </w:r>
      <w:r w:rsidRPr="006E709F">
        <w:t xml:space="preserve"> apply to claims made under this deed as if the references to the liquidator were references to the administrator of this deed.</w:t>
      </w:r>
    </w:p>
    <w:p w14:paraId="330548A1" w14:textId="77777777" w:rsidR="00E93F58" w:rsidRPr="006E709F" w:rsidRDefault="00E93F58" w:rsidP="00A801D0">
      <w:pPr>
        <w:pStyle w:val="subsection"/>
      </w:pPr>
      <w:r w:rsidRPr="006E709F">
        <w:tab/>
        <w:t>(2)</w:t>
      </w:r>
      <w:r w:rsidRPr="006E709F">
        <w:tab/>
        <w:t xml:space="preserve">For subclause (1), the remainder of that Act, and the </w:t>
      </w:r>
      <w:r w:rsidRPr="006E709F">
        <w:rPr>
          <w:i/>
        </w:rPr>
        <w:t xml:space="preserve">Corporations </w:t>
      </w:r>
      <w:r>
        <w:rPr>
          <w:i/>
        </w:rPr>
        <w:t>Regulations 2</w:t>
      </w:r>
      <w:r w:rsidRPr="006E709F">
        <w:rPr>
          <w:i/>
        </w:rPr>
        <w:t>001</w:t>
      </w:r>
      <w:r w:rsidRPr="006E709F">
        <w:t>, are taken to apply, as far as practicable, as if:</w:t>
      </w:r>
    </w:p>
    <w:p w14:paraId="6CC008B3" w14:textId="77777777" w:rsidR="00E93F58" w:rsidRPr="006E709F" w:rsidRDefault="00E93F58" w:rsidP="00A801D0">
      <w:pPr>
        <w:pStyle w:val="paragraph"/>
      </w:pPr>
      <w:r w:rsidRPr="006E709F">
        <w:tab/>
        <w:t>(a)</w:t>
      </w:r>
      <w:r w:rsidRPr="006E709F">
        <w:tab/>
        <w:t>a reference that is relevant to the liquidator were a reference in a form that is applicable to the administrator; and</w:t>
      </w:r>
    </w:p>
    <w:p w14:paraId="1E1AAE6B" w14:textId="77777777" w:rsidR="00E93F58" w:rsidRPr="006E709F" w:rsidRDefault="00E93F58" w:rsidP="00A801D0">
      <w:pPr>
        <w:pStyle w:val="paragraph"/>
      </w:pPr>
      <w:r w:rsidRPr="006E709F">
        <w:tab/>
        <w:t>(b)</w:t>
      </w:r>
      <w:r w:rsidRPr="006E709F">
        <w:tab/>
        <w:t>a reference that is relevant to any other matter relating to liquidation were a reference in a form that is applicable to the administration of this deed; and</w:t>
      </w:r>
    </w:p>
    <w:p w14:paraId="00A20E39" w14:textId="77777777" w:rsidR="00E93F58" w:rsidRPr="006E709F" w:rsidRDefault="00E93F58" w:rsidP="00A801D0">
      <w:pPr>
        <w:pStyle w:val="paragraph"/>
      </w:pPr>
      <w:r w:rsidRPr="006E709F">
        <w:tab/>
        <w:t>(c)</w:t>
      </w:r>
      <w:r w:rsidRPr="006E709F">
        <w:tab/>
        <w:t xml:space="preserve">a reference to a </w:t>
      </w:r>
      <w:r w:rsidRPr="006E709F">
        <w:rPr>
          <w:b/>
          <w:i/>
        </w:rPr>
        <w:t xml:space="preserve">relevant date </w:t>
      </w:r>
      <w:r w:rsidRPr="006E709F">
        <w:t xml:space="preserve">were a reference to </w:t>
      </w:r>
      <w:r w:rsidRPr="006E709F">
        <w:rPr>
          <w:color w:val="000000"/>
        </w:rPr>
        <w:t>the date of the administrator’s appointment .</w:t>
      </w:r>
    </w:p>
    <w:p w14:paraId="640861E5" w14:textId="77777777" w:rsidR="00E93F58" w:rsidRPr="006E709F" w:rsidRDefault="00E93F58" w:rsidP="00A801D0">
      <w:pPr>
        <w:pStyle w:val="ActHead5"/>
      </w:pPr>
      <w:bookmarkStart w:id="3342" w:name="_Toc151992421"/>
      <w:bookmarkStart w:id="3343" w:name="_Toc158713458"/>
      <w:r w:rsidRPr="000C4237">
        <w:rPr>
          <w:rStyle w:val="CharSectno"/>
        </w:rPr>
        <w:t>10</w:t>
      </w:r>
      <w:r w:rsidRPr="006E709F">
        <w:t xml:space="preserve">  Lodging of accounts</w:t>
      </w:r>
      <w:bookmarkEnd w:id="3342"/>
      <w:bookmarkEnd w:id="3343"/>
    </w:p>
    <w:p w14:paraId="30A06915" w14:textId="77777777" w:rsidR="00E93F58" w:rsidRPr="006E709F" w:rsidRDefault="00E93F58" w:rsidP="00A801D0">
      <w:pPr>
        <w:pStyle w:val="subsection"/>
      </w:pPr>
      <w:r w:rsidRPr="006E709F">
        <w:tab/>
      </w:r>
      <w:r w:rsidRPr="006E709F">
        <w:tab/>
        <w:t>Section 434 of the Act applies to the administrator as if the reference to a controller were a reference to the administrator of this deed.</w:t>
      </w:r>
    </w:p>
    <w:p w14:paraId="14EC163C" w14:textId="77777777" w:rsidR="00E93F58" w:rsidRPr="006E709F" w:rsidRDefault="00E93F58" w:rsidP="00A801D0">
      <w:pPr>
        <w:pStyle w:val="ActHead5"/>
      </w:pPr>
      <w:bookmarkStart w:id="3344" w:name="_Toc151992422"/>
      <w:bookmarkStart w:id="3345" w:name="_Toc158713459"/>
      <w:r w:rsidRPr="000C4237">
        <w:rPr>
          <w:rStyle w:val="CharSectno"/>
        </w:rPr>
        <w:t>11</w:t>
      </w:r>
      <w:r w:rsidRPr="006E709F">
        <w:t xml:space="preserve">  Committee of inspection</w:t>
      </w:r>
      <w:bookmarkEnd w:id="3344"/>
      <w:bookmarkEnd w:id="3345"/>
    </w:p>
    <w:p w14:paraId="401DB9D6" w14:textId="77777777" w:rsidR="00E93F58" w:rsidRPr="006E709F" w:rsidRDefault="00E93F58" w:rsidP="00A801D0">
      <w:pPr>
        <w:pStyle w:val="subsection"/>
      </w:pPr>
      <w:r w:rsidRPr="006E709F">
        <w:tab/>
      </w:r>
      <w:r w:rsidRPr="006E709F">
        <w:tab/>
        <w:t>For the purpose of advising and assisting the administrator of this deed, there may be a committee of inspection (the</w:t>
      </w:r>
      <w:r w:rsidRPr="006E709F">
        <w:rPr>
          <w:b/>
          <w:i/>
        </w:rPr>
        <w:t xml:space="preserve"> committee</w:t>
      </w:r>
      <w:r w:rsidRPr="006E709F">
        <w:t>) to which the following rules apply:</w:t>
      </w:r>
    </w:p>
    <w:p w14:paraId="4F6F2FDE" w14:textId="77777777" w:rsidR="00E93F58" w:rsidRPr="006E709F" w:rsidRDefault="00E93F58" w:rsidP="00A801D0">
      <w:pPr>
        <w:pStyle w:val="paragraph"/>
      </w:pPr>
      <w:r w:rsidRPr="006E709F">
        <w:tab/>
        <w:t>(a)</w:t>
      </w:r>
      <w:r w:rsidRPr="006E709F">
        <w:tab/>
        <w:t>the committee must consist of at least 3 and not more than 5 members;</w:t>
      </w:r>
    </w:p>
    <w:p w14:paraId="778C2B6A" w14:textId="77777777" w:rsidR="00E93F58" w:rsidRPr="006E709F" w:rsidRDefault="00E93F58" w:rsidP="00A801D0">
      <w:pPr>
        <w:pStyle w:val="paragraph"/>
      </w:pPr>
      <w:r w:rsidRPr="006E709F">
        <w:tab/>
        <w:t>(b)</w:t>
      </w:r>
      <w:r w:rsidRPr="006E709F">
        <w:tab/>
        <w:t>the creditors must appoint the members in a general meeting;</w:t>
      </w:r>
    </w:p>
    <w:p w14:paraId="576A848E" w14:textId="77777777" w:rsidR="00E93F58" w:rsidRPr="006E709F" w:rsidRDefault="00E93F58" w:rsidP="00A801D0">
      <w:pPr>
        <w:pStyle w:val="paragraph"/>
      </w:pPr>
      <w:r w:rsidRPr="006E709F">
        <w:tab/>
        <w:t>(c)</w:t>
      </w:r>
      <w:r w:rsidRPr="006E709F">
        <w:tab/>
        <w:t>a creditor is not entitled to have more than one representative (including the creditor himself or herself, if a natural person) on the committee;</w:t>
      </w:r>
    </w:p>
    <w:p w14:paraId="2C6C2FF3" w14:textId="77777777" w:rsidR="00E93F58" w:rsidRPr="006E709F" w:rsidRDefault="00E93F58" w:rsidP="00A801D0">
      <w:pPr>
        <w:pStyle w:val="paragraph"/>
      </w:pPr>
      <w:r w:rsidRPr="006E709F">
        <w:tab/>
        <w:t>(d)</w:t>
      </w:r>
      <w:r w:rsidRPr="006E709F">
        <w:tab/>
        <w:t>minutes of all resolutions and proceedings of each meeting of the committee must be made and duly entered in books to be provided from time to time for that purpose by the administrator under this deed;</w:t>
      </w:r>
    </w:p>
    <w:p w14:paraId="4D785A7D" w14:textId="77777777" w:rsidR="00E93F58" w:rsidRPr="006E709F" w:rsidRDefault="00E93F58" w:rsidP="00A801D0">
      <w:pPr>
        <w:pStyle w:val="paragraph"/>
      </w:pPr>
      <w:r w:rsidRPr="006E709F">
        <w:tab/>
        <w:t>(e)</w:t>
      </w:r>
      <w:r w:rsidRPr="006E709F">
        <w:tab/>
        <w:t xml:space="preserve">if the minutes of a meeting purport to be signed by the chairperson of the meeting at which the resolutions were passed or proceedings taken or by the chairperson of the next meeting of the committee, the minutes are </w:t>
      </w:r>
      <w:r w:rsidRPr="006E709F">
        <w:rPr>
          <w:i/>
        </w:rPr>
        <w:t xml:space="preserve">prima facie </w:t>
      </w:r>
      <w:r w:rsidRPr="006E709F">
        <w:t>evidence of the matters contained in them;</w:t>
      </w:r>
    </w:p>
    <w:p w14:paraId="1D3445C1" w14:textId="77777777" w:rsidR="00E93F58" w:rsidRPr="006E709F" w:rsidRDefault="00E93F58" w:rsidP="00A801D0">
      <w:pPr>
        <w:pStyle w:val="paragraph"/>
      </w:pPr>
      <w:r w:rsidRPr="006E709F">
        <w:tab/>
        <w:t>(f)</w:t>
      </w:r>
      <w:r w:rsidRPr="006E709F">
        <w:tab/>
        <w:t>unless the contrary is proved, the meeting is taken to have been duly had and convened and all resolutions passed and proceedings taken at the meeting are taken to have been duly passed and taken;</w:t>
      </w:r>
    </w:p>
    <w:p w14:paraId="7964B681" w14:textId="77777777" w:rsidR="00E93F58" w:rsidRPr="006E709F" w:rsidRDefault="00E93F58" w:rsidP="00A801D0">
      <w:pPr>
        <w:pStyle w:val="paragraph"/>
      </w:pPr>
      <w:r w:rsidRPr="006E709F">
        <w:tab/>
        <w:t>(g)</w:t>
      </w:r>
      <w:r w:rsidRPr="006E709F">
        <w:tab/>
        <w:t>a corporation (being otherwise qualified for membership of the committee) is not entitled to be a member of the committee but may appoint a person to represent it on the committee;</w:t>
      </w:r>
    </w:p>
    <w:p w14:paraId="27BA7850" w14:textId="77777777" w:rsidR="00E93F58" w:rsidRPr="006E709F" w:rsidRDefault="00E93F58" w:rsidP="00A801D0">
      <w:pPr>
        <w:pStyle w:val="paragraph"/>
      </w:pPr>
      <w:r w:rsidRPr="006E709F">
        <w:tab/>
        <w:t>(h)</w:t>
      </w:r>
      <w:r w:rsidRPr="006E709F">
        <w:tab/>
        <w:t>subsection 548(3) and sections 549, 550 and 551 of the Act apply, with such modifications as are necessary, to a committee of inspection established under this deed as if the references to the liquidator were references to the administrator of this deed and the references to contributories were deleted.</w:t>
      </w:r>
    </w:p>
    <w:p w14:paraId="37A65BDF" w14:textId="77777777" w:rsidR="00E93F58" w:rsidRPr="006E709F" w:rsidRDefault="00E93F58" w:rsidP="00A801D0">
      <w:pPr>
        <w:pStyle w:val="ActHead5"/>
      </w:pPr>
      <w:bookmarkStart w:id="3346" w:name="_Toc151992423"/>
      <w:bookmarkStart w:id="3347" w:name="_Toc158713460"/>
      <w:r w:rsidRPr="000C4237">
        <w:rPr>
          <w:rStyle w:val="CharSectno"/>
        </w:rPr>
        <w:t>12</w:t>
      </w:r>
      <w:r w:rsidRPr="006E709F">
        <w:t xml:space="preserve">  Termination of deed where arrangement achieves purpose</w:t>
      </w:r>
      <w:bookmarkEnd w:id="3346"/>
      <w:bookmarkEnd w:id="3347"/>
    </w:p>
    <w:p w14:paraId="041F4671" w14:textId="77777777" w:rsidR="00E93F58" w:rsidRPr="006E709F" w:rsidRDefault="00E93F58" w:rsidP="00A801D0">
      <w:pPr>
        <w:pStyle w:val="subsection"/>
      </w:pPr>
      <w:r w:rsidRPr="006E709F">
        <w:tab/>
      </w:r>
      <w:r w:rsidRPr="006E709F">
        <w:tab/>
        <w:t>If the administrator has applied all of the proceeds of the realisation of the assets available for the payment of creditors or has paid to the creditors the sum of 100 cents in the dollar or any lesser sum determined by the creditors at a general meeting, the administrator must certify to that effect in writing and must within 28 days lodge with ASIC a notice of termination of this deed in the following form:</w:t>
      </w:r>
    </w:p>
    <w:p w14:paraId="3EDE1B04" w14:textId="77777777" w:rsidR="00E93F58" w:rsidRPr="006E709F" w:rsidRDefault="00E93F58" w:rsidP="00E376FA">
      <w:pPr>
        <w:spacing w:before="400"/>
        <w:jc w:val="center"/>
        <w:rPr>
          <w:rFonts w:cs="Times New Roman"/>
        </w:rPr>
      </w:pPr>
      <w:r w:rsidRPr="006E709F">
        <w:rPr>
          <w:rFonts w:cs="Times New Roman"/>
        </w:rPr>
        <w:t>‘X PTY LIMITED</w:t>
      </w:r>
    </w:p>
    <w:p w14:paraId="69BF4A9B" w14:textId="77777777" w:rsidR="00E93F58" w:rsidRPr="006E709F" w:rsidRDefault="00E93F58" w:rsidP="00A801D0">
      <w:pPr>
        <w:pStyle w:val="subsection"/>
      </w:pPr>
      <w:r w:rsidRPr="006E709F">
        <w:tab/>
      </w:r>
      <w:r w:rsidRPr="006E709F">
        <w:tab/>
        <w:t>I, (</w:t>
      </w:r>
      <w:r w:rsidRPr="006E709F">
        <w:rPr>
          <w:i/>
        </w:rPr>
        <w:t>insert name and address</w:t>
      </w:r>
      <w:r w:rsidRPr="006E709F">
        <w:t>) as administrator of the deed of company arrangement executed on (</w:t>
      </w:r>
      <w:r w:rsidRPr="006E709F">
        <w:rPr>
          <w:i/>
        </w:rPr>
        <w:t>insert date</w:t>
      </w:r>
      <w:r w:rsidRPr="006E709F">
        <w:t xml:space="preserve">), </w:t>
      </w:r>
      <w:r w:rsidRPr="006E709F">
        <w:rPr>
          <w:u w:val="single"/>
        </w:rPr>
        <w:t>CERTIFY</w:t>
      </w:r>
      <w:r w:rsidRPr="006E709F">
        <w:t xml:space="preserve"> that the deed has been wholly effectuated.’,</w:t>
      </w:r>
    </w:p>
    <w:p w14:paraId="6A9E1A8F" w14:textId="77777777" w:rsidR="00E93F58" w:rsidRPr="006E709F" w:rsidRDefault="00E93F58" w:rsidP="00A801D0">
      <w:pPr>
        <w:pStyle w:val="subsection"/>
      </w:pPr>
      <w:r w:rsidRPr="006E709F">
        <w:tab/>
      </w:r>
      <w:r w:rsidRPr="006E709F">
        <w:tab/>
        <w:t>and the execution of the notice terminates this deed, but nothing in this clause relieves the administrator of his or her obligations under clause 10 of this deed.</w:t>
      </w:r>
    </w:p>
    <w:p w14:paraId="689BE592" w14:textId="77777777" w:rsidR="00E93F58" w:rsidRPr="006E709F" w:rsidRDefault="00E93F58" w:rsidP="00A801D0">
      <w:pPr>
        <w:pStyle w:val="ActHead1"/>
        <w:pageBreakBefore/>
      </w:pPr>
      <w:bookmarkStart w:id="3348" w:name="_Toc151992424"/>
      <w:bookmarkStart w:id="3349" w:name="_Toc158713461"/>
      <w:r w:rsidRPr="000C4237">
        <w:rPr>
          <w:rStyle w:val="CharChapNo"/>
        </w:rPr>
        <w:lastRenderedPageBreak/>
        <w:t>Schedule 8AA</w:t>
      </w:r>
      <w:r w:rsidRPr="006E709F">
        <w:t>—</w:t>
      </w:r>
      <w:r w:rsidRPr="000C4237">
        <w:rPr>
          <w:rStyle w:val="CharChapText"/>
        </w:rPr>
        <w:t>Trustee companies</w:t>
      </w:r>
      <w:bookmarkEnd w:id="3348"/>
      <w:bookmarkEnd w:id="3349"/>
    </w:p>
    <w:p w14:paraId="3FC2FCE3" w14:textId="77777777" w:rsidR="00E93F58" w:rsidRPr="006E709F" w:rsidRDefault="00E93F58" w:rsidP="005A7F57">
      <w:pPr>
        <w:pStyle w:val="notemargin"/>
      </w:pPr>
      <w:r w:rsidRPr="006E709F">
        <w:t>(regulation 5D.1.01A)</w:t>
      </w:r>
    </w:p>
    <w:p w14:paraId="366C6B0E" w14:textId="77777777" w:rsidR="00E93F58" w:rsidRPr="006E709F" w:rsidRDefault="00E93F58" w:rsidP="00B13146">
      <w:pPr>
        <w:pStyle w:val="Header"/>
      </w:pPr>
      <w:r w:rsidRPr="000C4237">
        <w:rPr>
          <w:rStyle w:val="CharPartNo"/>
        </w:rPr>
        <w:t xml:space="preserve"> </w:t>
      </w:r>
      <w:r w:rsidRPr="000C4237">
        <w:rPr>
          <w:rStyle w:val="CharPartText"/>
        </w:rPr>
        <w:t xml:space="preserve"> </w:t>
      </w:r>
    </w:p>
    <w:p w14:paraId="7853C2B6" w14:textId="77777777" w:rsidR="00E93F58" w:rsidRPr="006E709F" w:rsidRDefault="00E93F58" w:rsidP="005133DE">
      <w:pPr>
        <w:pStyle w:val="Tabletext"/>
        <w:rPr>
          <w:sz w:val="16"/>
          <w:szCs w:val="16"/>
        </w:rPr>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17"/>
        <w:gridCol w:w="9556"/>
      </w:tblGrid>
      <w:tr w:rsidR="00E93F58" w:rsidRPr="006E709F" w14:paraId="30A7C3F0" w14:textId="77777777" w:rsidTr="00E118FA">
        <w:trPr>
          <w:tblHeader/>
        </w:trPr>
        <w:tc>
          <w:tcPr>
            <w:tcW w:w="565" w:type="pct"/>
            <w:tcBorders>
              <w:top w:val="single" w:sz="12" w:space="0" w:color="auto"/>
              <w:bottom w:val="single" w:sz="12" w:space="0" w:color="auto"/>
            </w:tcBorders>
            <w:shd w:val="clear" w:color="auto" w:fill="auto"/>
          </w:tcPr>
          <w:p w14:paraId="4061BD06" w14:textId="77777777" w:rsidR="00E93F58" w:rsidRPr="006E709F" w:rsidRDefault="00E93F58" w:rsidP="008C457C">
            <w:pPr>
              <w:pStyle w:val="TableHeading"/>
            </w:pPr>
            <w:r w:rsidRPr="006E709F">
              <w:t>Item</w:t>
            </w:r>
          </w:p>
        </w:tc>
        <w:tc>
          <w:tcPr>
            <w:tcW w:w="4435" w:type="pct"/>
            <w:tcBorders>
              <w:top w:val="single" w:sz="12" w:space="0" w:color="auto"/>
              <w:bottom w:val="single" w:sz="12" w:space="0" w:color="auto"/>
            </w:tcBorders>
            <w:shd w:val="clear" w:color="auto" w:fill="auto"/>
          </w:tcPr>
          <w:p w14:paraId="009D613B" w14:textId="77777777" w:rsidR="00E93F58" w:rsidRPr="006E709F" w:rsidRDefault="00E93F58" w:rsidP="008C457C">
            <w:pPr>
              <w:pStyle w:val="TableHeading"/>
            </w:pPr>
            <w:r w:rsidRPr="006E709F">
              <w:t>Trustee companies</w:t>
            </w:r>
          </w:p>
        </w:tc>
      </w:tr>
      <w:tr w:rsidR="00E93F58" w:rsidRPr="006E709F" w14:paraId="6199CC8D" w14:textId="77777777" w:rsidTr="00E118FA">
        <w:tc>
          <w:tcPr>
            <w:tcW w:w="565" w:type="pct"/>
            <w:tcBorders>
              <w:top w:val="single" w:sz="12" w:space="0" w:color="auto"/>
            </w:tcBorders>
            <w:shd w:val="clear" w:color="auto" w:fill="auto"/>
          </w:tcPr>
          <w:p w14:paraId="2F14AE2C" w14:textId="77777777" w:rsidR="00E93F58" w:rsidRPr="006E709F" w:rsidRDefault="00E93F58" w:rsidP="00A801D0">
            <w:pPr>
              <w:pStyle w:val="Tabletext"/>
            </w:pPr>
            <w:r w:rsidRPr="006E709F">
              <w:t>1</w:t>
            </w:r>
          </w:p>
        </w:tc>
        <w:tc>
          <w:tcPr>
            <w:tcW w:w="4435" w:type="pct"/>
            <w:tcBorders>
              <w:top w:val="single" w:sz="12" w:space="0" w:color="auto"/>
            </w:tcBorders>
            <w:shd w:val="clear" w:color="auto" w:fill="auto"/>
          </w:tcPr>
          <w:p w14:paraId="476AA71D" w14:textId="77777777" w:rsidR="00E93F58" w:rsidRPr="006E709F" w:rsidRDefault="00E93F58" w:rsidP="00A801D0">
            <w:pPr>
              <w:pStyle w:val="Tabletext"/>
            </w:pPr>
            <w:r w:rsidRPr="006E709F">
              <w:t>ANZ Trustees (Canberra) Limited</w:t>
            </w:r>
          </w:p>
        </w:tc>
      </w:tr>
      <w:tr w:rsidR="00E93F58" w:rsidRPr="006E709F" w14:paraId="7BF86DE5" w14:textId="77777777" w:rsidTr="00E118FA">
        <w:tc>
          <w:tcPr>
            <w:tcW w:w="565" w:type="pct"/>
            <w:shd w:val="clear" w:color="auto" w:fill="auto"/>
          </w:tcPr>
          <w:p w14:paraId="64492A9E" w14:textId="77777777" w:rsidR="00E93F58" w:rsidRPr="006E709F" w:rsidRDefault="00E93F58" w:rsidP="00A801D0">
            <w:pPr>
              <w:pStyle w:val="Tabletext"/>
            </w:pPr>
            <w:r w:rsidRPr="006E709F">
              <w:t>2</w:t>
            </w:r>
          </w:p>
        </w:tc>
        <w:tc>
          <w:tcPr>
            <w:tcW w:w="4435" w:type="pct"/>
            <w:shd w:val="clear" w:color="auto" w:fill="auto"/>
          </w:tcPr>
          <w:p w14:paraId="65F4D0BA" w14:textId="77777777" w:rsidR="00E93F58" w:rsidRPr="006E709F" w:rsidRDefault="00E93F58" w:rsidP="00A801D0">
            <w:pPr>
              <w:pStyle w:val="Tabletext"/>
            </w:pPr>
            <w:r w:rsidRPr="006E709F">
              <w:t>ANZ Trustees Limited</w:t>
            </w:r>
          </w:p>
        </w:tc>
      </w:tr>
      <w:tr w:rsidR="00E93F58" w:rsidRPr="006E709F" w14:paraId="6F1B2544" w14:textId="77777777" w:rsidTr="00E118FA">
        <w:tc>
          <w:tcPr>
            <w:tcW w:w="565" w:type="pct"/>
            <w:shd w:val="clear" w:color="auto" w:fill="auto"/>
          </w:tcPr>
          <w:p w14:paraId="049CF3D7" w14:textId="77777777" w:rsidR="00E93F58" w:rsidRPr="006E709F" w:rsidRDefault="00E93F58" w:rsidP="00A801D0">
            <w:pPr>
              <w:pStyle w:val="Tabletext"/>
            </w:pPr>
            <w:r w:rsidRPr="006E709F">
              <w:t>3</w:t>
            </w:r>
          </w:p>
        </w:tc>
        <w:tc>
          <w:tcPr>
            <w:tcW w:w="4435" w:type="pct"/>
            <w:shd w:val="clear" w:color="auto" w:fill="auto"/>
          </w:tcPr>
          <w:p w14:paraId="14432625" w14:textId="77777777" w:rsidR="00E93F58" w:rsidRPr="006E709F" w:rsidRDefault="00E93F58" w:rsidP="00A801D0">
            <w:pPr>
              <w:pStyle w:val="Tabletext"/>
            </w:pPr>
            <w:r w:rsidRPr="006E709F">
              <w:t>Australian Executor Trustees Limited</w:t>
            </w:r>
          </w:p>
        </w:tc>
      </w:tr>
      <w:tr w:rsidR="00E93F58" w:rsidRPr="006E709F" w14:paraId="7D61C608" w14:textId="77777777" w:rsidTr="00E118FA">
        <w:tc>
          <w:tcPr>
            <w:tcW w:w="565" w:type="pct"/>
            <w:shd w:val="clear" w:color="auto" w:fill="auto"/>
          </w:tcPr>
          <w:p w14:paraId="7F719B02" w14:textId="77777777" w:rsidR="00E93F58" w:rsidRPr="006E709F" w:rsidRDefault="00E93F58" w:rsidP="00A801D0">
            <w:pPr>
              <w:pStyle w:val="Tabletext"/>
            </w:pPr>
            <w:r w:rsidRPr="006E709F">
              <w:t>4</w:t>
            </w:r>
          </w:p>
        </w:tc>
        <w:tc>
          <w:tcPr>
            <w:tcW w:w="4435" w:type="pct"/>
            <w:shd w:val="clear" w:color="auto" w:fill="auto"/>
          </w:tcPr>
          <w:p w14:paraId="44549EED" w14:textId="77777777" w:rsidR="00E93F58" w:rsidRPr="006E709F" w:rsidRDefault="00E93F58" w:rsidP="00A801D0">
            <w:pPr>
              <w:pStyle w:val="Tabletext"/>
            </w:pPr>
            <w:r w:rsidRPr="006E709F">
              <w:t>Australian Executor Trustees (Canberra) Limited</w:t>
            </w:r>
          </w:p>
        </w:tc>
      </w:tr>
      <w:tr w:rsidR="00E93F58" w:rsidRPr="006E709F" w14:paraId="455814B5" w14:textId="77777777" w:rsidTr="00E118FA">
        <w:tc>
          <w:tcPr>
            <w:tcW w:w="565" w:type="pct"/>
            <w:shd w:val="clear" w:color="auto" w:fill="auto"/>
          </w:tcPr>
          <w:p w14:paraId="2AF71C3D" w14:textId="77777777" w:rsidR="00E93F58" w:rsidRPr="006E709F" w:rsidRDefault="00E93F58" w:rsidP="00A801D0">
            <w:pPr>
              <w:pStyle w:val="Tabletext"/>
            </w:pPr>
            <w:r w:rsidRPr="006E709F">
              <w:t>5</w:t>
            </w:r>
          </w:p>
        </w:tc>
        <w:tc>
          <w:tcPr>
            <w:tcW w:w="4435" w:type="pct"/>
            <w:shd w:val="clear" w:color="auto" w:fill="auto"/>
          </w:tcPr>
          <w:p w14:paraId="65032966" w14:textId="77777777" w:rsidR="00E93F58" w:rsidRPr="006E709F" w:rsidRDefault="00E93F58" w:rsidP="00A801D0">
            <w:pPr>
              <w:pStyle w:val="Tabletext"/>
            </w:pPr>
            <w:r w:rsidRPr="006E709F">
              <w:t>Australian Executor Trustees (NSW) Limited</w:t>
            </w:r>
          </w:p>
        </w:tc>
      </w:tr>
      <w:tr w:rsidR="00E93F58" w:rsidRPr="006E709F" w14:paraId="68C8DDBE" w14:textId="77777777" w:rsidTr="00E118FA">
        <w:tc>
          <w:tcPr>
            <w:tcW w:w="565" w:type="pct"/>
            <w:shd w:val="clear" w:color="auto" w:fill="auto"/>
          </w:tcPr>
          <w:p w14:paraId="5F1F37BF" w14:textId="77777777" w:rsidR="00E93F58" w:rsidRPr="006E709F" w:rsidRDefault="00E93F58" w:rsidP="00A801D0">
            <w:pPr>
              <w:pStyle w:val="Tabletext"/>
            </w:pPr>
            <w:r w:rsidRPr="006E709F">
              <w:t>6</w:t>
            </w:r>
          </w:p>
        </w:tc>
        <w:tc>
          <w:tcPr>
            <w:tcW w:w="4435" w:type="pct"/>
            <w:shd w:val="clear" w:color="auto" w:fill="auto"/>
          </w:tcPr>
          <w:p w14:paraId="4BAA8BFA" w14:textId="77777777" w:rsidR="00E93F58" w:rsidRPr="006E709F" w:rsidRDefault="00E93F58" w:rsidP="00A801D0">
            <w:pPr>
              <w:pStyle w:val="Tabletext"/>
            </w:pPr>
            <w:r w:rsidRPr="006E709F">
              <w:t>Australian Executor Trustees (SA) Limited</w:t>
            </w:r>
          </w:p>
        </w:tc>
      </w:tr>
      <w:tr w:rsidR="00E93F58" w:rsidRPr="006E709F" w14:paraId="44AB3819" w14:textId="77777777" w:rsidTr="00E118FA">
        <w:tc>
          <w:tcPr>
            <w:tcW w:w="565" w:type="pct"/>
            <w:shd w:val="clear" w:color="auto" w:fill="auto"/>
          </w:tcPr>
          <w:p w14:paraId="7CEFBFC0" w14:textId="77777777" w:rsidR="00E93F58" w:rsidRPr="006E709F" w:rsidRDefault="00E93F58" w:rsidP="00A801D0">
            <w:pPr>
              <w:pStyle w:val="Tabletext"/>
            </w:pPr>
            <w:r w:rsidRPr="006E709F">
              <w:t>6A</w:t>
            </w:r>
          </w:p>
        </w:tc>
        <w:tc>
          <w:tcPr>
            <w:tcW w:w="4435" w:type="pct"/>
            <w:shd w:val="clear" w:color="auto" w:fill="auto"/>
          </w:tcPr>
          <w:p w14:paraId="149C2103" w14:textId="77777777" w:rsidR="00E93F58" w:rsidRPr="006E709F" w:rsidRDefault="00E93F58" w:rsidP="00A801D0">
            <w:pPr>
              <w:pStyle w:val="Tabletext"/>
            </w:pPr>
            <w:r w:rsidRPr="006E709F">
              <w:t>Australian Unity Trustees Limited</w:t>
            </w:r>
          </w:p>
        </w:tc>
      </w:tr>
      <w:tr w:rsidR="00E93F58" w:rsidRPr="006E709F" w14:paraId="057F0D12" w14:textId="77777777" w:rsidTr="00E118FA">
        <w:tc>
          <w:tcPr>
            <w:tcW w:w="565" w:type="pct"/>
            <w:shd w:val="clear" w:color="auto" w:fill="auto"/>
          </w:tcPr>
          <w:p w14:paraId="7793DFE9" w14:textId="77777777" w:rsidR="00E93F58" w:rsidRPr="006E709F" w:rsidRDefault="00E93F58" w:rsidP="00A801D0">
            <w:pPr>
              <w:pStyle w:val="Tabletext"/>
            </w:pPr>
            <w:r w:rsidRPr="006E709F">
              <w:t>7</w:t>
            </w:r>
          </w:p>
        </w:tc>
        <w:tc>
          <w:tcPr>
            <w:tcW w:w="4435" w:type="pct"/>
            <w:shd w:val="clear" w:color="auto" w:fill="auto"/>
          </w:tcPr>
          <w:p w14:paraId="7F01DCC2" w14:textId="77777777" w:rsidR="00E93F58" w:rsidRPr="006E709F" w:rsidRDefault="00E93F58" w:rsidP="00A801D0">
            <w:pPr>
              <w:pStyle w:val="Tabletext"/>
            </w:pPr>
            <w:r w:rsidRPr="006E709F">
              <w:t>Bagot’s Executor and Trustee Company Limited</w:t>
            </w:r>
          </w:p>
        </w:tc>
      </w:tr>
      <w:tr w:rsidR="00E93F58" w:rsidRPr="006E709F" w14:paraId="218CB5F9" w14:textId="77777777" w:rsidTr="00E118FA">
        <w:tc>
          <w:tcPr>
            <w:tcW w:w="565" w:type="pct"/>
            <w:shd w:val="clear" w:color="auto" w:fill="auto"/>
          </w:tcPr>
          <w:p w14:paraId="76251220" w14:textId="77777777" w:rsidR="00E93F58" w:rsidRPr="006E709F" w:rsidRDefault="00E93F58" w:rsidP="00A801D0">
            <w:pPr>
              <w:pStyle w:val="Tabletext"/>
            </w:pPr>
            <w:r w:rsidRPr="006E709F">
              <w:t>8</w:t>
            </w:r>
          </w:p>
        </w:tc>
        <w:tc>
          <w:tcPr>
            <w:tcW w:w="4435" w:type="pct"/>
            <w:shd w:val="clear" w:color="auto" w:fill="auto"/>
          </w:tcPr>
          <w:p w14:paraId="0735445F" w14:textId="77777777" w:rsidR="00E93F58" w:rsidRPr="006E709F" w:rsidRDefault="00E93F58" w:rsidP="00A801D0">
            <w:pPr>
              <w:pStyle w:val="Tabletext"/>
            </w:pPr>
            <w:r w:rsidRPr="006E709F">
              <w:t>Elders Trustees Limited</w:t>
            </w:r>
          </w:p>
        </w:tc>
      </w:tr>
      <w:tr w:rsidR="00E93F58" w:rsidRPr="006E709F" w14:paraId="7B1C4834" w14:textId="77777777" w:rsidTr="00E118FA">
        <w:tc>
          <w:tcPr>
            <w:tcW w:w="565" w:type="pct"/>
            <w:shd w:val="clear" w:color="auto" w:fill="auto"/>
          </w:tcPr>
          <w:p w14:paraId="2E2DD38C" w14:textId="77777777" w:rsidR="00E93F58" w:rsidRPr="006E709F" w:rsidRDefault="00E93F58" w:rsidP="00A801D0">
            <w:pPr>
              <w:pStyle w:val="Tabletext"/>
            </w:pPr>
            <w:r w:rsidRPr="006E709F">
              <w:t>9</w:t>
            </w:r>
          </w:p>
        </w:tc>
        <w:tc>
          <w:tcPr>
            <w:tcW w:w="4435" w:type="pct"/>
            <w:shd w:val="clear" w:color="auto" w:fill="auto"/>
          </w:tcPr>
          <w:p w14:paraId="2F195D47" w14:textId="77777777" w:rsidR="00E93F58" w:rsidRPr="006E709F" w:rsidRDefault="00E93F58" w:rsidP="00A801D0">
            <w:pPr>
              <w:pStyle w:val="Tabletext"/>
            </w:pPr>
            <w:r w:rsidRPr="006E709F">
              <w:t>Equity Trustees Limited</w:t>
            </w:r>
          </w:p>
        </w:tc>
      </w:tr>
      <w:tr w:rsidR="00E93F58" w:rsidRPr="006E709F" w14:paraId="69B4A0E4" w14:textId="77777777" w:rsidTr="00E118FA">
        <w:tc>
          <w:tcPr>
            <w:tcW w:w="565" w:type="pct"/>
            <w:shd w:val="clear" w:color="auto" w:fill="auto"/>
          </w:tcPr>
          <w:p w14:paraId="070AE3D0" w14:textId="77777777" w:rsidR="00E93F58" w:rsidRPr="006E709F" w:rsidRDefault="00E93F58" w:rsidP="00A801D0">
            <w:pPr>
              <w:pStyle w:val="Tabletext"/>
            </w:pPr>
            <w:r w:rsidRPr="006E709F">
              <w:t>10</w:t>
            </w:r>
          </w:p>
        </w:tc>
        <w:tc>
          <w:tcPr>
            <w:tcW w:w="4435" w:type="pct"/>
            <w:shd w:val="clear" w:color="auto" w:fill="auto"/>
          </w:tcPr>
          <w:p w14:paraId="47D24BD9" w14:textId="77777777" w:rsidR="00E93F58" w:rsidRPr="006E709F" w:rsidRDefault="00E93F58" w:rsidP="00A801D0">
            <w:pPr>
              <w:pStyle w:val="Tabletext"/>
            </w:pPr>
            <w:r w:rsidRPr="006E709F">
              <w:t>Executor Trustee Australia Limited</w:t>
            </w:r>
          </w:p>
        </w:tc>
      </w:tr>
      <w:tr w:rsidR="00E93F58" w:rsidRPr="006E709F" w:rsidDel="00260E53" w14:paraId="147828AE" w14:textId="77777777" w:rsidTr="00E118FA">
        <w:tc>
          <w:tcPr>
            <w:tcW w:w="565" w:type="pct"/>
            <w:shd w:val="clear" w:color="auto" w:fill="auto"/>
          </w:tcPr>
          <w:p w14:paraId="518D3B98" w14:textId="77777777" w:rsidR="00E93F58" w:rsidRPr="006E709F" w:rsidDel="00260E53" w:rsidRDefault="00E93F58" w:rsidP="00A801D0">
            <w:pPr>
              <w:pStyle w:val="Tabletext"/>
            </w:pPr>
            <w:r w:rsidRPr="006E709F">
              <w:t>11</w:t>
            </w:r>
          </w:p>
        </w:tc>
        <w:tc>
          <w:tcPr>
            <w:tcW w:w="4435" w:type="pct"/>
            <w:shd w:val="clear" w:color="auto" w:fill="auto"/>
          </w:tcPr>
          <w:p w14:paraId="32341E38" w14:textId="77777777" w:rsidR="00E93F58" w:rsidRPr="006E709F" w:rsidDel="00260E53" w:rsidRDefault="00E93F58" w:rsidP="00A801D0">
            <w:pPr>
              <w:pStyle w:val="Tabletext"/>
            </w:pPr>
            <w:r w:rsidRPr="006E709F">
              <w:t>Mutual Trust Pty Ltd</w:t>
            </w:r>
          </w:p>
        </w:tc>
      </w:tr>
      <w:tr w:rsidR="00E93F58" w:rsidRPr="006E709F" w14:paraId="656A74AF" w14:textId="77777777" w:rsidTr="00E118FA">
        <w:tc>
          <w:tcPr>
            <w:tcW w:w="565" w:type="pct"/>
            <w:shd w:val="clear" w:color="auto" w:fill="auto"/>
          </w:tcPr>
          <w:p w14:paraId="60BD68FC" w14:textId="77777777" w:rsidR="00E93F58" w:rsidRPr="006E709F" w:rsidRDefault="00E93F58" w:rsidP="00A801D0">
            <w:pPr>
              <w:pStyle w:val="Tabletext"/>
            </w:pPr>
            <w:r w:rsidRPr="006E709F">
              <w:t>12</w:t>
            </w:r>
          </w:p>
        </w:tc>
        <w:tc>
          <w:tcPr>
            <w:tcW w:w="4435" w:type="pct"/>
            <w:shd w:val="clear" w:color="auto" w:fill="auto"/>
          </w:tcPr>
          <w:p w14:paraId="5D717A37" w14:textId="77777777" w:rsidR="00E93F58" w:rsidRPr="006E709F" w:rsidRDefault="00E93F58" w:rsidP="00A801D0">
            <w:pPr>
              <w:pStyle w:val="Tabletext"/>
            </w:pPr>
            <w:r w:rsidRPr="006E709F">
              <w:t>National Australia Trustees Limited</w:t>
            </w:r>
          </w:p>
        </w:tc>
      </w:tr>
      <w:tr w:rsidR="00E93F58" w:rsidRPr="006E709F" w14:paraId="623CCA1A" w14:textId="77777777" w:rsidTr="00E118FA">
        <w:tc>
          <w:tcPr>
            <w:tcW w:w="565" w:type="pct"/>
            <w:shd w:val="clear" w:color="auto" w:fill="auto"/>
          </w:tcPr>
          <w:p w14:paraId="400B3C35" w14:textId="77777777" w:rsidR="00E93F58" w:rsidRPr="006E709F" w:rsidRDefault="00E93F58" w:rsidP="00A801D0">
            <w:pPr>
              <w:pStyle w:val="Tabletext"/>
            </w:pPr>
            <w:r w:rsidRPr="006E709F">
              <w:t>14</w:t>
            </w:r>
          </w:p>
        </w:tc>
        <w:tc>
          <w:tcPr>
            <w:tcW w:w="4435" w:type="pct"/>
            <w:shd w:val="clear" w:color="auto" w:fill="auto"/>
          </w:tcPr>
          <w:p w14:paraId="0A11A6E8" w14:textId="77777777" w:rsidR="00E93F58" w:rsidRPr="006E709F" w:rsidRDefault="00E93F58" w:rsidP="00A801D0">
            <w:pPr>
              <w:pStyle w:val="Tabletext"/>
            </w:pPr>
            <w:r w:rsidRPr="006E709F">
              <w:t>Perpetual Limited</w:t>
            </w:r>
          </w:p>
        </w:tc>
      </w:tr>
      <w:tr w:rsidR="00E93F58" w:rsidRPr="006E709F" w14:paraId="120CD427" w14:textId="77777777" w:rsidTr="00E118FA">
        <w:tc>
          <w:tcPr>
            <w:tcW w:w="565" w:type="pct"/>
            <w:shd w:val="clear" w:color="auto" w:fill="auto"/>
          </w:tcPr>
          <w:p w14:paraId="51222DA6" w14:textId="77777777" w:rsidR="00E93F58" w:rsidRPr="006E709F" w:rsidRDefault="00E93F58" w:rsidP="00A801D0">
            <w:pPr>
              <w:pStyle w:val="Tabletext"/>
            </w:pPr>
            <w:r w:rsidRPr="006E709F">
              <w:t>15</w:t>
            </w:r>
          </w:p>
        </w:tc>
        <w:tc>
          <w:tcPr>
            <w:tcW w:w="4435" w:type="pct"/>
            <w:shd w:val="clear" w:color="auto" w:fill="auto"/>
          </w:tcPr>
          <w:p w14:paraId="273E09DB" w14:textId="77777777" w:rsidR="00E93F58" w:rsidRPr="006E709F" w:rsidRDefault="00E93F58" w:rsidP="00A801D0">
            <w:pPr>
              <w:pStyle w:val="Tabletext"/>
            </w:pPr>
            <w:r w:rsidRPr="006E709F">
              <w:t>Perpetual Trustee Company (Canberra) Limited</w:t>
            </w:r>
          </w:p>
        </w:tc>
      </w:tr>
      <w:tr w:rsidR="00E93F58" w:rsidRPr="006E709F" w14:paraId="5CED8126" w14:textId="77777777" w:rsidTr="00E118FA">
        <w:tc>
          <w:tcPr>
            <w:tcW w:w="565" w:type="pct"/>
            <w:shd w:val="clear" w:color="auto" w:fill="auto"/>
          </w:tcPr>
          <w:p w14:paraId="11339B7C" w14:textId="77777777" w:rsidR="00E93F58" w:rsidRPr="006E709F" w:rsidRDefault="00E93F58" w:rsidP="00A801D0">
            <w:pPr>
              <w:pStyle w:val="Tabletext"/>
            </w:pPr>
            <w:r w:rsidRPr="006E709F">
              <w:t>16</w:t>
            </w:r>
          </w:p>
        </w:tc>
        <w:tc>
          <w:tcPr>
            <w:tcW w:w="4435" w:type="pct"/>
            <w:shd w:val="clear" w:color="auto" w:fill="auto"/>
          </w:tcPr>
          <w:p w14:paraId="03E0AA2F" w14:textId="77777777" w:rsidR="00E93F58" w:rsidRPr="006E709F" w:rsidRDefault="00E93F58" w:rsidP="00A801D0">
            <w:pPr>
              <w:pStyle w:val="Tabletext"/>
            </w:pPr>
            <w:r w:rsidRPr="006E709F">
              <w:t>Perpetual Trustee Company Limited</w:t>
            </w:r>
          </w:p>
        </w:tc>
      </w:tr>
      <w:tr w:rsidR="00E93F58" w:rsidRPr="006E709F" w14:paraId="5DD867FA" w14:textId="77777777" w:rsidTr="00E118FA">
        <w:tc>
          <w:tcPr>
            <w:tcW w:w="565" w:type="pct"/>
            <w:shd w:val="clear" w:color="auto" w:fill="auto"/>
          </w:tcPr>
          <w:p w14:paraId="1E8071DD" w14:textId="77777777" w:rsidR="00E93F58" w:rsidRPr="006E709F" w:rsidRDefault="00E93F58" w:rsidP="00A801D0">
            <w:pPr>
              <w:pStyle w:val="Tabletext"/>
            </w:pPr>
            <w:r w:rsidRPr="006E709F">
              <w:t>17</w:t>
            </w:r>
          </w:p>
        </w:tc>
        <w:tc>
          <w:tcPr>
            <w:tcW w:w="4435" w:type="pct"/>
            <w:shd w:val="clear" w:color="auto" w:fill="auto"/>
          </w:tcPr>
          <w:p w14:paraId="409CE3B5" w14:textId="77777777" w:rsidR="00E93F58" w:rsidRPr="006E709F" w:rsidRDefault="00E93F58" w:rsidP="00A801D0">
            <w:pPr>
              <w:pStyle w:val="Tabletext"/>
            </w:pPr>
            <w:r w:rsidRPr="006E709F">
              <w:t>Perpetual Trustees Consolidated Limited</w:t>
            </w:r>
          </w:p>
        </w:tc>
      </w:tr>
      <w:tr w:rsidR="00E93F58" w:rsidRPr="006E709F" w14:paraId="355E2740" w14:textId="77777777" w:rsidTr="00E118FA">
        <w:tc>
          <w:tcPr>
            <w:tcW w:w="565" w:type="pct"/>
            <w:shd w:val="clear" w:color="auto" w:fill="auto"/>
          </w:tcPr>
          <w:p w14:paraId="5219B7C3" w14:textId="77777777" w:rsidR="00E93F58" w:rsidRPr="006E709F" w:rsidRDefault="00E93F58" w:rsidP="00A801D0">
            <w:pPr>
              <w:pStyle w:val="Tabletext"/>
            </w:pPr>
            <w:r w:rsidRPr="006E709F">
              <w:t>18</w:t>
            </w:r>
          </w:p>
        </w:tc>
        <w:tc>
          <w:tcPr>
            <w:tcW w:w="4435" w:type="pct"/>
            <w:shd w:val="clear" w:color="auto" w:fill="auto"/>
          </w:tcPr>
          <w:p w14:paraId="3FAB9ACB" w14:textId="77777777" w:rsidR="00E93F58" w:rsidRPr="006E709F" w:rsidRDefault="00E93F58" w:rsidP="00A801D0">
            <w:pPr>
              <w:pStyle w:val="Tabletext"/>
            </w:pPr>
            <w:r w:rsidRPr="006E709F">
              <w:t>Perpetual Trustees Queensland Limited</w:t>
            </w:r>
          </w:p>
        </w:tc>
      </w:tr>
      <w:tr w:rsidR="00E93F58" w:rsidRPr="006E709F" w14:paraId="06173568" w14:textId="77777777" w:rsidTr="00E118FA">
        <w:tc>
          <w:tcPr>
            <w:tcW w:w="565" w:type="pct"/>
            <w:shd w:val="clear" w:color="auto" w:fill="auto"/>
          </w:tcPr>
          <w:p w14:paraId="7814A35B" w14:textId="77777777" w:rsidR="00E93F58" w:rsidRPr="006E709F" w:rsidRDefault="00E93F58" w:rsidP="00A801D0">
            <w:pPr>
              <w:pStyle w:val="Tabletext"/>
            </w:pPr>
            <w:r w:rsidRPr="006E709F">
              <w:t>19</w:t>
            </w:r>
          </w:p>
        </w:tc>
        <w:tc>
          <w:tcPr>
            <w:tcW w:w="4435" w:type="pct"/>
            <w:shd w:val="clear" w:color="auto" w:fill="auto"/>
          </w:tcPr>
          <w:p w14:paraId="4ACBC37B" w14:textId="77777777" w:rsidR="00E93F58" w:rsidRPr="006E709F" w:rsidRDefault="00E93F58" w:rsidP="00A801D0">
            <w:pPr>
              <w:pStyle w:val="Tabletext"/>
            </w:pPr>
            <w:r w:rsidRPr="006E709F">
              <w:t>Perpetual Trustees S.A. Limited</w:t>
            </w:r>
          </w:p>
        </w:tc>
      </w:tr>
      <w:tr w:rsidR="00E93F58" w:rsidRPr="006E709F" w14:paraId="0BBF046E" w14:textId="77777777" w:rsidTr="00E118FA">
        <w:tc>
          <w:tcPr>
            <w:tcW w:w="565" w:type="pct"/>
            <w:shd w:val="clear" w:color="auto" w:fill="auto"/>
          </w:tcPr>
          <w:p w14:paraId="43688397" w14:textId="77777777" w:rsidR="00E93F58" w:rsidRPr="006E709F" w:rsidRDefault="00E93F58" w:rsidP="00A801D0">
            <w:pPr>
              <w:pStyle w:val="Tabletext"/>
            </w:pPr>
            <w:r w:rsidRPr="006E709F">
              <w:t>20</w:t>
            </w:r>
          </w:p>
        </w:tc>
        <w:tc>
          <w:tcPr>
            <w:tcW w:w="4435" w:type="pct"/>
            <w:shd w:val="clear" w:color="auto" w:fill="auto"/>
          </w:tcPr>
          <w:p w14:paraId="1B8D0329" w14:textId="77777777" w:rsidR="00E93F58" w:rsidRPr="006E709F" w:rsidRDefault="00E93F58" w:rsidP="00A801D0">
            <w:pPr>
              <w:pStyle w:val="Tabletext"/>
            </w:pPr>
            <w:r w:rsidRPr="006E709F">
              <w:t>Perpetual Trustees Victoria Limited</w:t>
            </w:r>
          </w:p>
        </w:tc>
      </w:tr>
      <w:tr w:rsidR="00E93F58" w:rsidRPr="006E709F" w14:paraId="19FB2970" w14:textId="77777777" w:rsidTr="00E118FA">
        <w:tc>
          <w:tcPr>
            <w:tcW w:w="565" w:type="pct"/>
            <w:shd w:val="clear" w:color="auto" w:fill="auto"/>
          </w:tcPr>
          <w:p w14:paraId="3A199CD8" w14:textId="77777777" w:rsidR="00E93F58" w:rsidRPr="006E709F" w:rsidRDefault="00E93F58" w:rsidP="00A801D0">
            <w:pPr>
              <w:pStyle w:val="Tabletext"/>
            </w:pPr>
            <w:r w:rsidRPr="006E709F">
              <w:t>21</w:t>
            </w:r>
          </w:p>
        </w:tc>
        <w:tc>
          <w:tcPr>
            <w:tcW w:w="4435" w:type="pct"/>
            <w:shd w:val="clear" w:color="auto" w:fill="auto"/>
          </w:tcPr>
          <w:p w14:paraId="03A2DCBE" w14:textId="77777777" w:rsidR="00E93F58" w:rsidRPr="006E709F" w:rsidRDefault="00E93F58" w:rsidP="00A801D0">
            <w:pPr>
              <w:pStyle w:val="Tabletext"/>
            </w:pPr>
            <w:r w:rsidRPr="006E709F">
              <w:t>Perpetual Trustees W.A. Limited</w:t>
            </w:r>
          </w:p>
        </w:tc>
      </w:tr>
      <w:tr w:rsidR="00E93F58" w:rsidRPr="006E709F" w14:paraId="1E1783EE" w14:textId="77777777" w:rsidTr="00E118FA">
        <w:tc>
          <w:tcPr>
            <w:tcW w:w="565" w:type="pct"/>
            <w:shd w:val="clear" w:color="auto" w:fill="auto"/>
          </w:tcPr>
          <w:p w14:paraId="53715AF1" w14:textId="77777777" w:rsidR="00E93F58" w:rsidRPr="006E709F" w:rsidRDefault="00E93F58" w:rsidP="00A801D0">
            <w:pPr>
              <w:pStyle w:val="Tabletext"/>
            </w:pPr>
            <w:r w:rsidRPr="006E709F">
              <w:t>22</w:t>
            </w:r>
          </w:p>
        </w:tc>
        <w:tc>
          <w:tcPr>
            <w:tcW w:w="4435" w:type="pct"/>
            <w:shd w:val="clear" w:color="auto" w:fill="auto"/>
          </w:tcPr>
          <w:p w14:paraId="3EBAC4AA" w14:textId="77777777" w:rsidR="00E93F58" w:rsidRPr="006E709F" w:rsidRDefault="00E93F58" w:rsidP="00A801D0">
            <w:pPr>
              <w:pStyle w:val="Tabletext"/>
            </w:pPr>
            <w:r w:rsidRPr="006E709F">
              <w:t>Plan B Trustees Limited</w:t>
            </w:r>
          </w:p>
        </w:tc>
      </w:tr>
      <w:tr w:rsidR="00E93F58" w:rsidRPr="006E709F" w14:paraId="1C120FA8" w14:textId="77777777" w:rsidTr="00E118FA">
        <w:tc>
          <w:tcPr>
            <w:tcW w:w="565" w:type="pct"/>
            <w:shd w:val="clear" w:color="auto" w:fill="auto"/>
          </w:tcPr>
          <w:p w14:paraId="072CF098" w14:textId="77777777" w:rsidR="00E93F58" w:rsidRPr="006E709F" w:rsidRDefault="00E93F58" w:rsidP="00A801D0">
            <w:pPr>
              <w:pStyle w:val="Tabletext"/>
            </w:pPr>
            <w:r w:rsidRPr="006E709F">
              <w:t>23</w:t>
            </w:r>
          </w:p>
        </w:tc>
        <w:tc>
          <w:tcPr>
            <w:tcW w:w="4435" w:type="pct"/>
            <w:shd w:val="clear" w:color="auto" w:fill="auto"/>
          </w:tcPr>
          <w:p w14:paraId="6216B45C" w14:textId="77777777" w:rsidR="00E93F58" w:rsidRPr="006E709F" w:rsidRDefault="00E93F58" w:rsidP="00A801D0">
            <w:pPr>
              <w:pStyle w:val="Tabletext"/>
            </w:pPr>
            <w:r w:rsidRPr="006E709F">
              <w:t>Sandhurst Trustees Limited</w:t>
            </w:r>
          </w:p>
        </w:tc>
      </w:tr>
      <w:tr w:rsidR="00E93F58" w:rsidRPr="006E709F" w14:paraId="09CFCEB2" w14:textId="77777777" w:rsidTr="00E118FA">
        <w:tc>
          <w:tcPr>
            <w:tcW w:w="565" w:type="pct"/>
            <w:shd w:val="clear" w:color="auto" w:fill="auto"/>
          </w:tcPr>
          <w:p w14:paraId="7BEF5886" w14:textId="77777777" w:rsidR="00E93F58" w:rsidRPr="006E709F" w:rsidRDefault="00E93F58" w:rsidP="00A801D0">
            <w:pPr>
              <w:pStyle w:val="Tabletext"/>
            </w:pPr>
            <w:r w:rsidRPr="006E709F">
              <w:t>24</w:t>
            </w:r>
          </w:p>
        </w:tc>
        <w:tc>
          <w:tcPr>
            <w:tcW w:w="4435" w:type="pct"/>
            <w:shd w:val="clear" w:color="auto" w:fill="auto"/>
          </w:tcPr>
          <w:p w14:paraId="28240B3C" w14:textId="77777777" w:rsidR="00E93F58" w:rsidRPr="006E709F" w:rsidRDefault="00E93F58" w:rsidP="00A801D0">
            <w:pPr>
              <w:pStyle w:val="Tabletext"/>
            </w:pPr>
            <w:r w:rsidRPr="006E709F">
              <w:t>Tasmanian Perpetual Trustees Limited</w:t>
            </w:r>
          </w:p>
        </w:tc>
      </w:tr>
      <w:tr w:rsidR="00E93F58" w:rsidRPr="006E709F" w:rsidDel="00260E53" w14:paraId="15AB8F4B" w14:textId="77777777" w:rsidTr="00E118FA">
        <w:tc>
          <w:tcPr>
            <w:tcW w:w="565" w:type="pct"/>
            <w:shd w:val="clear" w:color="auto" w:fill="auto"/>
          </w:tcPr>
          <w:p w14:paraId="04394A99" w14:textId="77777777" w:rsidR="00E93F58" w:rsidRPr="006E709F" w:rsidDel="00260E53" w:rsidRDefault="00E93F58" w:rsidP="00A801D0">
            <w:pPr>
              <w:pStyle w:val="Tabletext"/>
            </w:pPr>
            <w:r w:rsidRPr="006E709F">
              <w:t>25</w:t>
            </w:r>
          </w:p>
        </w:tc>
        <w:tc>
          <w:tcPr>
            <w:tcW w:w="4435" w:type="pct"/>
            <w:shd w:val="clear" w:color="auto" w:fill="auto"/>
          </w:tcPr>
          <w:p w14:paraId="24EF9172" w14:textId="77777777" w:rsidR="00E93F58" w:rsidRPr="006E709F" w:rsidDel="00260E53" w:rsidRDefault="00E93F58" w:rsidP="00A801D0">
            <w:pPr>
              <w:pStyle w:val="Tabletext"/>
            </w:pPr>
            <w:r w:rsidRPr="006E709F">
              <w:t>The Myer Family Company Ltd</w:t>
            </w:r>
          </w:p>
        </w:tc>
      </w:tr>
      <w:tr w:rsidR="00E93F58" w:rsidRPr="006E709F" w:rsidDel="00260E53" w14:paraId="6F9ADDCA" w14:textId="77777777" w:rsidTr="00E118FA">
        <w:tc>
          <w:tcPr>
            <w:tcW w:w="565" w:type="pct"/>
            <w:shd w:val="clear" w:color="auto" w:fill="auto"/>
          </w:tcPr>
          <w:p w14:paraId="71A4F1A8" w14:textId="77777777" w:rsidR="00E93F58" w:rsidRPr="006E709F" w:rsidDel="00260E53" w:rsidRDefault="00E93F58" w:rsidP="00A801D0">
            <w:pPr>
              <w:pStyle w:val="Tabletext"/>
            </w:pPr>
            <w:r w:rsidRPr="006E709F">
              <w:t>26</w:t>
            </w:r>
          </w:p>
        </w:tc>
        <w:tc>
          <w:tcPr>
            <w:tcW w:w="4435" w:type="pct"/>
            <w:shd w:val="clear" w:color="auto" w:fill="auto"/>
          </w:tcPr>
          <w:p w14:paraId="5FD7A9D3" w14:textId="77777777" w:rsidR="00E93F58" w:rsidRPr="006E709F" w:rsidDel="00260E53" w:rsidRDefault="00E93F58" w:rsidP="00A801D0">
            <w:pPr>
              <w:pStyle w:val="Tabletext"/>
            </w:pPr>
            <w:r w:rsidRPr="006E709F">
              <w:t>The Trust Company Limited</w:t>
            </w:r>
          </w:p>
        </w:tc>
      </w:tr>
      <w:tr w:rsidR="00E93F58" w:rsidRPr="006E709F" w:rsidDel="00260E53" w14:paraId="054EFF9E" w14:textId="77777777" w:rsidTr="00E118FA">
        <w:tc>
          <w:tcPr>
            <w:tcW w:w="565" w:type="pct"/>
            <w:shd w:val="clear" w:color="auto" w:fill="auto"/>
          </w:tcPr>
          <w:p w14:paraId="233B7BEE" w14:textId="77777777" w:rsidR="00E93F58" w:rsidRPr="006E709F" w:rsidDel="00260E53" w:rsidRDefault="00E93F58" w:rsidP="00A801D0">
            <w:pPr>
              <w:pStyle w:val="Tabletext"/>
            </w:pPr>
            <w:r w:rsidRPr="006E709F">
              <w:t>27</w:t>
            </w:r>
          </w:p>
        </w:tc>
        <w:tc>
          <w:tcPr>
            <w:tcW w:w="4435" w:type="pct"/>
            <w:shd w:val="clear" w:color="auto" w:fill="auto"/>
          </w:tcPr>
          <w:p w14:paraId="3C0E2284" w14:textId="77777777" w:rsidR="00E93F58" w:rsidRPr="006E709F" w:rsidDel="00260E53" w:rsidRDefault="00E93F58" w:rsidP="00A801D0">
            <w:pPr>
              <w:pStyle w:val="Tabletext"/>
            </w:pPr>
            <w:r w:rsidRPr="006E709F">
              <w:t>The Trust Company (Australia) Limited</w:t>
            </w:r>
          </w:p>
        </w:tc>
      </w:tr>
      <w:tr w:rsidR="00E93F58" w:rsidRPr="006E709F" w:rsidDel="00260E53" w14:paraId="59F3B8E8" w14:textId="77777777" w:rsidTr="00E118FA">
        <w:tc>
          <w:tcPr>
            <w:tcW w:w="565" w:type="pct"/>
            <w:tcBorders>
              <w:bottom w:val="single" w:sz="4" w:space="0" w:color="auto"/>
            </w:tcBorders>
            <w:shd w:val="clear" w:color="auto" w:fill="auto"/>
          </w:tcPr>
          <w:p w14:paraId="42B105D3" w14:textId="77777777" w:rsidR="00E93F58" w:rsidRPr="006E709F" w:rsidDel="00260E53" w:rsidRDefault="00E93F58" w:rsidP="00A801D0">
            <w:pPr>
              <w:pStyle w:val="Tabletext"/>
            </w:pPr>
            <w:r w:rsidRPr="006E709F">
              <w:t>27A</w:t>
            </w:r>
          </w:p>
        </w:tc>
        <w:tc>
          <w:tcPr>
            <w:tcW w:w="4435" w:type="pct"/>
            <w:tcBorders>
              <w:bottom w:val="single" w:sz="4" w:space="0" w:color="auto"/>
            </w:tcBorders>
            <w:shd w:val="clear" w:color="auto" w:fill="auto"/>
          </w:tcPr>
          <w:p w14:paraId="1C3936B0" w14:textId="77777777" w:rsidR="00E93F58" w:rsidRPr="006E709F" w:rsidDel="00260E53" w:rsidRDefault="00E93F58" w:rsidP="00A801D0">
            <w:pPr>
              <w:pStyle w:val="Tabletext"/>
            </w:pPr>
            <w:r w:rsidRPr="006E709F">
              <w:t>The Trust Company (PTCCL) Limited</w:t>
            </w:r>
          </w:p>
        </w:tc>
      </w:tr>
      <w:tr w:rsidR="00E93F58" w:rsidRPr="006E709F" w:rsidDel="00260E53" w14:paraId="76B7D705" w14:textId="77777777" w:rsidTr="00E118FA">
        <w:tc>
          <w:tcPr>
            <w:tcW w:w="565" w:type="pct"/>
            <w:tcBorders>
              <w:bottom w:val="single" w:sz="12" w:space="0" w:color="auto"/>
            </w:tcBorders>
            <w:shd w:val="clear" w:color="auto" w:fill="auto"/>
          </w:tcPr>
          <w:p w14:paraId="7609743E" w14:textId="77777777" w:rsidR="00E93F58" w:rsidRPr="006E709F" w:rsidDel="00260E53" w:rsidRDefault="00E93F58" w:rsidP="00A801D0">
            <w:pPr>
              <w:pStyle w:val="Tabletext"/>
            </w:pPr>
            <w:r w:rsidRPr="006E709F">
              <w:t>28</w:t>
            </w:r>
          </w:p>
        </w:tc>
        <w:tc>
          <w:tcPr>
            <w:tcW w:w="4435" w:type="pct"/>
            <w:tcBorders>
              <w:bottom w:val="single" w:sz="12" w:space="0" w:color="auto"/>
            </w:tcBorders>
            <w:shd w:val="clear" w:color="auto" w:fill="auto"/>
          </w:tcPr>
          <w:p w14:paraId="63BD782A" w14:textId="77777777" w:rsidR="00E93F58" w:rsidRPr="006E709F" w:rsidDel="00260E53" w:rsidRDefault="00E93F58" w:rsidP="00A801D0">
            <w:pPr>
              <w:pStyle w:val="Tabletext"/>
            </w:pPr>
            <w:r w:rsidRPr="006E709F">
              <w:t>The Trust Company (UTCCL) Limited</w:t>
            </w:r>
          </w:p>
        </w:tc>
      </w:tr>
    </w:tbl>
    <w:p w14:paraId="05C0CD03" w14:textId="77777777" w:rsidR="00E93F58" w:rsidRPr="006E709F" w:rsidRDefault="00E93F58" w:rsidP="00065887">
      <w:pPr>
        <w:pStyle w:val="ActHead1"/>
        <w:pageBreakBefore/>
        <w:spacing w:before="120"/>
      </w:pPr>
      <w:bookmarkStart w:id="3350" w:name="_Toc151992425"/>
      <w:bookmarkStart w:id="3351" w:name="_Toc158713462"/>
      <w:r w:rsidRPr="000C4237">
        <w:rPr>
          <w:rStyle w:val="CharChapNo"/>
        </w:rPr>
        <w:lastRenderedPageBreak/>
        <w:t>Schedule 8AB</w:t>
      </w:r>
      <w:r w:rsidRPr="006E709F">
        <w:t>—</w:t>
      </w:r>
      <w:r w:rsidRPr="000C4237">
        <w:rPr>
          <w:rStyle w:val="CharChapText"/>
        </w:rPr>
        <w:t>Prescribed State and Territory provisions for paragraph 601RAE(4)(a) of the Act</w:t>
      </w:r>
      <w:bookmarkEnd w:id="3350"/>
      <w:bookmarkEnd w:id="3351"/>
    </w:p>
    <w:p w14:paraId="508598AC" w14:textId="77777777" w:rsidR="00E93F58" w:rsidRPr="006E709F" w:rsidRDefault="00E93F58" w:rsidP="00A801D0">
      <w:pPr>
        <w:pStyle w:val="notemargin"/>
      </w:pPr>
      <w:r w:rsidRPr="006E709F">
        <w:t>(subregulation 5D.1.04(1))</w:t>
      </w:r>
    </w:p>
    <w:p w14:paraId="303EDB3F" w14:textId="77777777" w:rsidR="00E93F58" w:rsidRPr="006E709F" w:rsidRDefault="00E93F58" w:rsidP="00BB28C2">
      <w:pPr>
        <w:pStyle w:val="Header"/>
      </w:pPr>
      <w:r w:rsidRPr="000C4237">
        <w:rPr>
          <w:rStyle w:val="CharPartNo"/>
        </w:rPr>
        <w:t xml:space="preserve"> </w:t>
      </w:r>
      <w:r w:rsidRPr="000C4237">
        <w:rPr>
          <w:rStyle w:val="CharPartText"/>
        </w:rPr>
        <w:t xml:space="preserve"> </w:t>
      </w:r>
    </w:p>
    <w:p w14:paraId="766DD4C7"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17"/>
        <w:gridCol w:w="9556"/>
      </w:tblGrid>
      <w:tr w:rsidR="00E93F58" w:rsidRPr="006E709F" w14:paraId="4B0D1EED" w14:textId="77777777" w:rsidTr="00E118FA">
        <w:trPr>
          <w:tblHeader/>
        </w:trPr>
        <w:tc>
          <w:tcPr>
            <w:tcW w:w="565" w:type="pct"/>
            <w:tcBorders>
              <w:top w:val="single" w:sz="12" w:space="0" w:color="auto"/>
              <w:bottom w:val="single" w:sz="12" w:space="0" w:color="auto"/>
            </w:tcBorders>
            <w:shd w:val="clear" w:color="auto" w:fill="auto"/>
          </w:tcPr>
          <w:p w14:paraId="6E88CEC6" w14:textId="77777777" w:rsidR="00E93F58" w:rsidRPr="006E709F" w:rsidRDefault="00E93F58" w:rsidP="007678F7">
            <w:pPr>
              <w:pStyle w:val="TableHeading"/>
            </w:pPr>
            <w:r w:rsidRPr="006E709F">
              <w:t>Item</w:t>
            </w:r>
          </w:p>
        </w:tc>
        <w:tc>
          <w:tcPr>
            <w:tcW w:w="4435" w:type="pct"/>
            <w:tcBorders>
              <w:top w:val="single" w:sz="12" w:space="0" w:color="auto"/>
              <w:bottom w:val="single" w:sz="12" w:space="0" w:color="auto"/>
            </w:tcBorders>
            <w:shd w:val="clear" w:color="auto" w:fill="auto"/>
          </w:tcPr>
          <w:p w14:paraId="11718522" w14:textId="77777777" w:rsidR="00E93F58" w:rsidRPr="006E709F" w:rsidRDefault="00E93F58" w:rsidP="007678F7">
            <w:pPr>
              <w:pStyle w:val="TableHeading"/>
            </w:pPr>
            <w:r w:rsidRPr="006E709F">
              <w:t>State or Territory law and provisions</w:t>
            </w:r>
          </w:p>
        </w:tc>
      </w:tr>
      <w:tr w:rsidR="00E93F58" w:rsidRPr="006E709F" w14:paraId="1B09316C" w14:textId="77777777" w:rsidTr="00E118FA">
        <w:tc>
          <w:tcPr>
            <w:tcW w:w="565" w:type="pct"/>
            <w:tcBorders>
              <w:top w:val="single" w:sz="12" w:space="0" w:color="auto"/>
            </w:tcBorders>
            <w:shd w:val="clear" w:color="auto" w:fill="auto"/>
          </w:tcPr>
          <w:p w14:paraId="51683F11" w14:textId="77777777" w:rsidR="00E93F58" w:rsidRPr="006E709F" w:rsidRDefault="00E93F58" w:rsidP="00A801D0">
            <w:pPr>
              <w:pStyle w:val="Tabletext"/>
            </w:pPr>
            <w:r w:rsidRPr="006E709F">
              <w:t>1</w:t>
            </w:r>
          </w:p>
        </w:tc>
        <w:tc>
          <w:tcPr>
            <w:tcW w:w="4435" w:type="pct"/>
            <w:tcBorders>
              <w:top w:val="single" w:sz="12" w:space="0" w:color="auto"/>
            </w:tcBorders>
            <w:shd w:val="clear" w:color="auto" w:fill="auto"/>
          </w:tcPr>
          <w:p w14:paraId="27484844" w14:textId="77777777" w:rsidR="00E93F58" w:rsidRPr="006E709F" w:rsidRDefault="00E93F58" w:rsidP="00A801D0">
            <w:pPr>
              <w:pStyle w:val="Tabletext"/>
            </w:pPr>
            <w:r w:rsidRPr="006E709F">
              <w:rPr>
                <w:b/>
              </w:rPr>
              <w:t xml:space="preserve">Trustee Companies Act 1984 </w:t>
            </w:r>
            <w:r w:rsidRPr="006E709F">
              <w:t>(Vic), sections 40–42</w:t>
            </w:r>
          </w:p>
        </w:tc>
      </w:tr>
      <w:tr w:rsidR="00E93F58" w:rsidRPr="006E709F" w14:paraId="07F01D47" w14:textId="77777777" w:rsidTr="00E118FA">
        <w:tc>
          <w:tcPr>
            <w:tcW w:w="565" w:type="pct"/>
            <w:shd w:val="clear" w:color="auto" w:fill="auto"/>
          </w:tcPr>
          <w:p w14:paraId="4AB9B21C" w14:textId="77777777" w:rsidR="00E93F58" w:rsidRPr="006E709F" w:rsidRDefault="00E93F58" w:rsidP="00A801D0">
            <w:pPr>
              <w:pStyle w:val="Tabletext"/>
            </w:pPr>
            <w:r w:rsidRPr="006E709F">
              <w:t>2</w:t>
            </w:r>
          </w:p>
        </w:tc>
        <w:tc>
          <w:tcPr>
            <w:tcW w:w="4435" w:type="pct"/>
            <w:shd w:val="clear" w:color="auto" w:fill="auto"/>
          </w:tcPr>
          <w:p w14:paraId="50F2A6A6" w14:textId="77777777" w:rsidR="00E93F58" w:rsidRPr="006E709F" w:rsidRDefault="00E93F58" w:rsidP="00A801D0">
            <w:pPr>
              <w:pStyle w:val="Tabletext"/>
            </w:pPr>
            <w:r w:rsidRPr="006E709F">
              <w:rPr>
                <w:i/>
              </w:rPr>
              <w:t>Trustee Companies Act 1987</w:t>
            </w:r>
            <w:r w:rsidRPr="006E709F">
              <w:t xml:space="preserve"> (WA), Part IV and section 34</w:t>
            </w:r>
          </w:p>
        </w:tc>
      </w:tr>
      <w:tr w:rsidR="00E93F58" w:rsidRPr="006E709F" w14:paraId="18C9A581" w14:textId="77777777" w:rsidTr="00E118FA">
        <w:tc>
          <w:tcPr>
            <w:tcW w:w="565" w:type="pct"/>
            <w:shd w:val="clear" w:color="auto" w:fill="auto"/>
          </w:tcPr>
          <w:p w14:paraId="219FE0A5" w14:textId="77777777" w:rsidR="00E93F58" w:rsidRPr="006E709F" w:rsidRDefault="00E93F58" w:rsidP="00A801D0">
            <w:pPr>
              <w:pStyle w:val="Tabletext"/>
            </w:pPr>
            <w:r w:rsidRPr="006E709F">
              <w:t>3</w:t>
            </w:r>
          </w:p>
        </w:tc>
        <w:tc>
          <w:tcPr>
            <w:tcW w:w="4435" w:type="pct"/>
            <w:shd w:val="clear" w:color="auto" w:fill="auto"/>
          </w:tcPr>
          <w:p w14:paraId="0D79E818" w14:textId="77777777" w:rsidR="00E93F58" w:rsidRPr="006E709F" w:rsidRDefault="00E93F58" w:rsidP="00105963">
            <w:pPr>
              <w:pStyle w:val="Tabletext"/>
            </w:pPr>
            <w:r w:rsidRPr="006E709F">
              <w:rPr>
                <w:i/>
              </w:rPr>
              <w:t xml:space="preserve">Trustee Companies Act 1988 </w:t>
            </w:r>
            <w:r w:rsidRPr="006E709F">
              <w:t>(SA), sections 15–15B and 19–21</w:t>
            </w:r>
          </w:p>
        </w:tc>
      </w:tr>
      <w:tr w:rsidR="00E93F58" w:rsidRPr="006E709F" w14:paraId="44F68F6A" w14:textId="77777777" w:rsidTr="00E118FA">
        <w:tc>
          <w:tcPr>
            <w:tcW w:w="565" w:type="pct"/>
            <w:tcBorders>
              <w:bottom w:val="single" w:sz="4" w:space="0" w:color="auto"/>
            </w:tcBorders>
            <w:shd w:val="clear" w:color="auto" w:fill="auto"/>
          </w:tcPr>
          <w:p w14:paraId="0ADF15F7" w14:textId="77777777" w:rsidR="00E93F58" w:rsidRPr="006E709F" w:rsidRDefault="00E93F58" w:rsidP="00A801D0">
            <w:pPr>
              <w:pStyle w:val="Tabletext"/>
            </w:pPr>
            <w:r w:rsidRPr="006E709F">
              <w:t>4</w:t>
            </w:r>
          </w:p>
        </w:tc>
        <w:tc>
          <w:tcPr>
            <w:tcW w:w="4435" w:type="pct"/>
            <w:tcBorders>
              <w:bottom w:val="single" w:sz="4" w:space="0" w:color="auto"/>
            </w:tcBorders>
            <w:shd w:val="clear" w:color="auto" w:fill="auto"/>
          </w:tcPr>
          <w:p w14:paraId="2B5A5EE0" w14:textId="77777777" w:rsidR="00E93F58" w:rsidRPr="006E709F" w:rsidRDefault="00E93F58" w:rsidP="00452F6B">
            <w:pPr>
              <w:pStyle w:val="Tabletext"/>
            </w:pPr>
            <w:r w:rsidRPr="006E709F">
              <w:rPr>
                <w:i/>
              </w:rPr>
              <w:t>Trustee Companies Act 1953</w:t>
            </w:r>
            <w:r w:rsidRPr="006E709F">
              <w:t xml:space="preserve"> (Tas), subsections 18C(1), (3)–(13)</w:t>
            </w:r>
          </w:p>
        </w:tc>
      </w:tr>
      <w:tr w:rsidR="00E93F58" w:rsidRPr="006E709F" w14:paraId="459E84CF" w14:textId="77777777" w:rsidTr="00E118FA">
        <w:tc>
          <w:tcPr>
            <w:tcW w:w="565" w:type="pct"/>
            <w:tcBorders>
              <w:bottom w:val="single" w:sz="12" w:space="0" w:color="auto"/>
            </w:tcBorders>
            <w:shd w:val="clear" w:color="auto" w:fill="auto"/>
          </w:tcPr>
          <w:p w14:paraId="41E8BFC2" w14:textId="77777777" w:rsidR="00E93F58" w:rsidRPr="006E709F" w:rsidRDefault="00E93F58" w:rsidP="00A801D0">
            <w:pPr>
              <w:pStyle w:val="Tabletext"/>
            </w:pPr>
            <w:r w:rsidRPr="006E709F">
              <w:t>5</w:t>
            </w:r>
          </w:p>
        </w:tc>
        <w:tc>
          <w:tcPr>
            <w:tcW w:w="4435" w:type="pct"/>
            <w:tcBorders>
              <w:bottom w:val="single" w:sz="12" w:space="0" w:color="auto"/>
            </w:tcBorders>
            <w:shd w:val="clear" w:color="auto" w:fill="auto"/>
          </w:tcPr>
          <w:p w14:paraId="19113EAF" w14:textId="77777777" w:rsidR="00E93F58" w:rsidRPr="006E709F" w:rsidRDefault="00E93F58" w:rsidP="00105963">
            <w:pPr>
              <w:pStyle w:val="Tabletext"/>
            </w:pPr>
            <w:r w:rsidRPr="006E709F">
              <w:rPr>
                <w:i/>
              </w:rPr>
              <w:t>Companies (Trustees and Personal Representatives) Act</w:t>
            </w:r>
            <w:r w:rsidRPr="006E709F">
              <w:t xml:space="preserve"> (NT), section 25</w:t>
            </w:r>
          </w:p>
        </w:tc>
      </w:tr>
    </w:tbl>
    <w:p w14:paraId="6D59CCBE" w14:textId="77777777" w:rsidR="00E93F58" w:rsidRPr="006E709F" w:rsidRDefault="00E93F58" w:rsidP="00065887">
      <w:pPr>
        <w:pStyle w:val="ActHead1"/>
        <w:pageBreakBefore/>
        <w:spacing w:before="120"/>
      </w:pPr>
      <w:bookmarkStart w:id="3352" w:name="_Toc151992426"/>
      <w:bookmarkStart w:id="3353" w:name="_Toc158713463"/>
      <w:r w:rsidRPr="000C4237">
        <w:rPr>
          <w:rStyle w:val="CharChapNo"/>
        </w:rPr>
        <w:lastRenderedPageBreak/>
        <w:t>Schedule 8AC</w:t>
      </w:r>
      <w:r w:rsidRPr="006E709F">
        <w:t>—</w:t>
      </w:r>
      <w:r w:rsidRPr="000C4237">
        <w:rPr>
          <w:rStyle w:val="CharChapText"/>
        </w:rPr>
        <w:t>Prescribed State and Territory laws and provisions for paragraph 601RAE(4)(b) of the Act—estate administration</w:t>
      </w:r>
      <w:bookmarkEnd w:id="3352"/>
      <w:bookmarkEnd w:id="3353"/>
    </w:p>
    <w:p w14:paraId="2910832B" w14:textId="77777777" w:rsidR="00E93F58" w:rsidRPr="006E709F" w:rsidRDefault="00E93F58" w:rsidP="00A801D0">
      <w:pPr>
        <w:pStyle w:val="notemargin"/>
      </w:pPr>
      <w:r w:rsidRPr="006E709F">
        <w:t>(subregulation 5D.1.04(2) and subregulation 7.6.02(6))</w:t>
      </w:r>
    </w:p>
    <w:p w14:paraId="7984E30E" w14:textId="77777777" w:rsidR="00E93F58" w:rsidRPr="006E709F" w:rsidRDefault="00E93F58" w:rsidP="00BB28C2">
      <w:pPr>
        <w:pStyle w:val="Header"/>
      </w:pPr>
      <w:r w:rsidRPr="000C4237">
        <w:rPr>
          <w:rStyle w:val="CharPartNo"/>
        </w:rPr>
        <w:t xml:space="preserve"> </w:t>
      </w:r>
      <w:r w:rsidRPr="000C4237">
        <w:rPr>
          <w:rStyle w:val="CharPartText"/>
        </w:rPr>
        <w:t xml:space="preserve"> </w:t>
      </w:r>
    </w:p>
    <w:p w14:paraId="7A079980"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17"/>
        <w:gridCol w:w="9556"/>
      </w:tblGrid>
      <w:tr w:rsidR="00E93F58" w:rsidRPr="006E709F" w14:paraId="784519A2" w14:textId="77777777" w:rsidTr="00E118FA">
        <w:trPr>
          <w:tblHeader/>
        </w:trPr>
        <w:tc>
          <w:tcPr>
            <w:tcW w:w="565" w:type="pct"/>
            <w:tcBorders>
              <w:top w:val="single" w:sz="12" w:space="0" w:color="auto"/>
              <w:bottom w:val="single" w:sz="12" w:space="0" w:color="auto"/>
            </w:tcBorders>
            <w:shd w:val="clear" w:color="auto" w:fill="auto"/>
          </w:tcPr>
          <w:p w14:paraId="1098C8CD" w14:textId="77777777" w:rsidR="00E93F58" w:rsidRPr="006E709F" w:rsidRDefault="00E93F58" w:rsidP="007678F7">
            <w:pPr>
              <w:pStyle w:val="TableHeading"/>
            </w:pPr>
            <w:r w:rsidRPr="006E709F">
              <w:t>Item</w:t>
            </w:r>
          </w:p>
        </w:tc>
        <w:tc>
          <w:tcPr>
            <w:tcW w:w="4435" w:type="pct"/>
            <w:tcBorders>
              <w:top w:val="single" w:sz="12" w:space="0" w:color="auto"/>
              <w:bottom w:val="single" w:sz="12" w:space="0" w:color="auto"/>
            </w:tcBorders>
            <w:shd w:val="clear" w:color="auto" w:fill="auto"/>
          </w:tcPr>
          <w:p w14:paraId="505C1958" w14:textId="77777777" w:rsidR="00E93F58" w:rsidRPr="006E709F" w:rsidRDefault="00E93F58" w:rsidP="007678F7">
            <w:pPr>
              <w:pStyle w:val="TableHeading"/>
            </w:pPr>
            <w:r w:rsidRPr="006E709F">
              <w:t>State or Territory law and provisions</w:t>
            </w:r>
          </w:p>
        </w:tc>
      </w:tr>
      <w:tr w:rsidR="00E93F58" w:rsidRPr="006E709F" w14:paraId="64A6CF85" w14:textId="77777777" w:rsidTr="00E118FA">
        <w:tc>
          <w:tcPr>
            <w:tcW w:w="565" w:type="pct"/>
            <w:tcBorders>
              <w:top w:val="single" w:sz="12" w:space="0" w:color="auto"/>
            </w:tcBorders>
            <w:shd w:val="clear" w:color="auto" w:fill="auto"/>
          </w:tcPr>
          <w:p w14:paraId="0DF565CC" w14:textId="77777777" w:rsidR="00E93F58" w:rsidRPr="006E709F" w:rsidRDefault="00E93F58" w:rsidP="00A801D0">
            <w:pPr>
              <w:pStyle w:val="Tabletext"/>
            </w:pPr>
            <w:r w:rsidRPr="006E709F">
              <w:t>1</w:t>
            </w:r>
          </w:p>
        </w:tc>
        <w:tc>
          <w:tcPr>
            <w:tcW w:w="4435" w:type="pct"/>
            <w:tcBorders>
              <w:top w:val="single" w:sz="12" w:space="0" w:color="auto"/>
            </w:tcBorders>
            <w:shd w:val="clear" w:color="auto" w:fill="auto"/>
          </w:tcPr>
          <w:p w14:paraId="1A4F0606" w14:textId="77777777" w:rsidR="00E93F58" w:rsidRPr="006E709F" w:rsidRDefault="00E93F58" w:rsidP="00A801D0">
            <w:pPr>
              <w:pStyle w:val="Tabletext"/>
            </w:pPr>
            <w:r w:rsidRPr="006E709F">
              <w:rPr>
                <w:i/>
              </w:rPr>
              <w:t>Children and Young Persons (Care and Protection) Act 1998</w:t>
            </w:r>
            <w:r w:rsidRPr="006E709F">
              <w:t xml:space="preserve"> (NSW)</w:t>
            </w:r>
          </w:p>
        </w:tc>
      </w:tr>
      <w:tr w:rsidR="00E93F58" w:rsidRPr="006E709F" w14:paraId="632F4752" w14:textId="77777777" w:rsidTr="00E118FA">
        <w:tc>
          <w:tcPr>
            <w:tcW w:w="565" w:type="pct"/>
            <w:shd w:val="clear" w:color="auto" w:fill="auto"/>
          </w:tcPr>
          <w:p w14:paraId="6E741C1F" w14:textId="77777777" w:rsidR="00E93F58" w:rsidRPr="006E709F" w:rsidRDefault="00E93F58" w:rsidP="00A801D0">
            <w:pPr>
              <w:pStyle w:val="Tabletext"/>
            </w:pPr>
            <w:r w:rsidRPr="006E709F">
              <w:t>2</w:t>
            </w:r>
          </w:p>
        </w:tc>
        <w:tc>
          <w:tcPr>
            <w:tcW w:w="4435" w:type="pct"/>
            <w:shd w:val="clear" w:color="auto" w:fill="auto"/>
          </w:tcPr>
          <w:p w14:paraId="7767C64C" w14:textId="77777777" w:rsidR="00E93F58" w:rsidRPr="006E709F" w:rsidRDefault="00E93F58" w:rsidP="00A801D0">
            <w:pPr>
              <w:pStyle w:val="Tabletext"/>
            </w:pPr>
            <w:r w:rsidRPr="006E709F">
              <w:rPr>
                <w:i/>
              </w:rPr>
              <w:t>Guardianship Act 1987</w:t>
            </w:r>
            <w:r w:rsidRPr="006E709F">
              <w:t xml:space="preserve"> (NSW)</w:t>
            </w:r>
          </w:p>
        </w:tc>
      </w:tr>
      <w:tr w:rsidR="00E93F58" w:rsidRPr="006E709F" w14:paraId="0CFEE22B" w14:textId="77777777" w:rsidTr="00E118FA">
        <w:tc>
          <w:tcPr>
            <w:tcW w:w="565" w:type="pct"/>
            <w:shd w:val="clear" w:color="auto" w:fill="auto"/>
          </w:tcPr>
          <w:p w14:paraId="27CFFC6B" w14:textId="77777777" w:rsidR="00E93F58" w:rsidRPr="006E709F" w:rsidRDefault="00E93F58" w:rsidP="00A801D0">
            <w:pPr>
              <w:pStyle w:val="Tabletext"/>
            </w:pPr>
            <w:r w:rsidRPr="006E709F">
              <w:t>3</w:t>
            </w:r>
          </w:p>
        </w:tc>
        <w:tc>
          <w:tcPr>
            <w:tcW w:w="4435" w:type="pct"/>
            <w:shd w:val="clear" w:color="auto" w:fill="auto"/>
          </w:tcPr>
          <w:p w14:paraId="7113505D" w14:textId="77777777" w:rsidR="00E93F58" w:rsidRPr="006E709F" w:rsidRDefault="00E93F58" w:rsidP="00A801D0">
            <w:pPr>
              <w:pStyle w:val="Tabletext"/>
            </w:pPr>
            <w:r w:rsidRPr="006E709F">
              <w:rPr>
                <w:i/>
              </w:rPr>
              <w:t xml:space="preserve">NSW Trustee and Guardian Act 2009 </w:t>
            </w:r>
            <w:r w:rsidRPr="006E709F">
              <w:t>(NSW)</w:t>
            </w:r>
          </w:p>
        </w:tc>
      </w:tr>
      <w:tr w:rsidR="00E93F58" w:rsidRPr="006E709F" w14:paraId="764E9CBA" w14:textId="77777777" w:rsidTr="00E118FA">
        <w:tc>
          <w:tcPr>
            <w:tcW w:w="565" w:type="pct"/>
            <w:shd w:val="clear" w:color="auto" w:fill="auto"/>
          </w:tcPr>
          <w:p w14:paraId="29375221" w14:textId="77777777" w:rsidR="00E93F58" w:rsidRPr="006E709F" w:rsidRDefault="00E93F58" w:rsidP="00A801D0">
            <w:pPr>
              <w:pStyle w:val="Tabletext"/>
            </w:pPr>
            <w:r w:rsidRPr="006E709F">
              <w:t>4</w:t>
            </w:r>
          </w:p>
        </w:tc>
        <w:tc>
          <w:tcPr>
            <w:tcW w:w="4435" w:type="pct"/>
            <w:shd w:val="clear" w:color="auto" w:fill="auto"/>
          </w:tcPr>
          <w:p w14:paraId="4A5692E8" w14:textId="77777777" w:rsidR="00E93F58" w:rsidRPr="006E709F" w:rsidRDefault="00E93F58" w:rsidP="00A801D0">
            <w:pPr>
              <w:pStyle w:val="Tabletext"/>
            </w:pPr>
            <w:r w:rsidRPr="006E709F">
              <w:rPr>
                <w:b/>
              </w:rPr>
              <w:t xml:space="preserve">Victorian Civil and Administrative Tribunal Act 1998 </w:t>
            </w:r>
            <w:r w:rsidRPr="006E709F">
              <w:t>(Vic), Part 9 of Schedule 1</w:t>
            </w:r>
          </w:p>
        </w:tc>
      </w:tr>
      <w:tr w:rsidR="00E93F58" w:rsidRPr="006E709F" w14:paraId="2951DD21" w14:textId="77777777" w:rsidTr="00E118FA">
        <w:tc>
          <w:tcPr>
            <w:tcW w:w="565" w:type="pct"/>
            <w:shd w:val="clear" w:color="auto" w:fill="auto"/>
          </w:tcPr>
          <w:p w14:paraId="40DF9297" w14:textId="77777777" w:rsidR="00E93F58" w:rsidRPr="006E709F" w:rsidRDefault="00E93F58" w:rsidP="00A801D0">
            <w:pPr>
              <w:pStyle w:val="Tabletext"/>
            </w:pPr>
            <w:r w:rsidRPr="006E709F">
              <w:t>5</w:t>
            </w:r>
          </w:p>
        </w:tc>
        <w:tc>
          <w:tcPr>
            <w:tcW w:w="4435" w:type="pct"/>
            <w:shd w:val="clear" w:color="auto" w:fill="auto"/>
          </w:tcPr>
          <w:p w14:paraId="5C0790FB" w14:textId="77777777" w:rsidR="00E93F58" w:rsidRPr="006E709F" w:rsidRDefault="00E93F58" w:rsidP="00A801D0">
            <w:pPr>
              <w:pStyle w:val="Tabletext"/>
            </w:pPr>
            <w:r w:rsidRPr="006E709F">
              <w:rPr>
                <w:b/>
              </w:rPr>
              <w:t xml:space="preserve">Guardianship and Administration Act 1986 </w:t>
            </w:r>
            <w:r w:rsidRPr="006E709F">
              <w:t>(Vic)</w:t>
            </w:r>
          </w:p>
        </w:tc>
      </w:tr>
      <w:tr w:rsidR="00E93F58" w:rsidRPr="006E709F" w14:paraId="27253A89" w14:textId="77777777" w:rsidTr="00E118FA">
        <w:tc>
          <w:tcPr>
            <w:tcW w:w="565" w:type="pct"/>
            <w:shd w:val="clear" w:color="auto" w:fill="auto"/>
          </w:tcPr>
          <w:p w14:paraId="449CFCB3" w14:textId="77777777" w:rsidR="00E93F58" w:rsidRPr="006E709F" w:rsidRDefault="00E93F58" w:rsidP="00A801D0">
            <w:pPr>
              <w:pStyle w:val="Tabletext"/>
            </w:pPr>
            <w:r w:rsidRPr="006E709F">
              <w:t>6</w:t>
            </w:r>
          </w:p>
        </w:tc>
        <w:tc>
          <w:tcPr>
            <w:tcW w:w="4435" w:type="pct"/>
            <w:shd w:val="clear" w:color="auto" w:fill="auto"/>
          </w:tcPr>
          <w:p w14:paraId="55974454" w14:textId="77777777" w:rsidR="00E93F58" w:rsidRPr="006E709F" w:rsidRDefault="00E93F58" w:rsidP="00A801D0">
            <w:pPr>
              <w:pStyle w:val="Tabletext"/>
            </w:pPr>
            <w:r w:rsidRPr="006E709F">
              <w:rPr>
                <w:i/>
              </w:rPr>
              <w:t xml:space="preserve">Guardianship and Administration Act 2000 </w:t>
            </w:r>
            <w:r w:rsidRPr="006E709F">
              <w:t>(Qld)</w:t>
            </w:r>
          </w:p>
        </w:tc>
      </w:tr>
      <w:tr w:rsidR="00E93F58" w:rsidRPr="006E709F" w14:paraId="298BC566" w14:textId="77777777" w:rsidTr="00E118FA">
        <w:tc>
          <w:tcPr>
            <w:tcW w:w="565" w:type="pct"/>
            <w:shd w:val="clear" w:color="auto" w:fill="auto"/>
          </w:tcPr>
          <w:p w14:paraId="5A436273" w14:textId="77777777" w:rsidR="00E93F58" w:rsidRPr="006E709F" w:rsidRDefault="00E93F58" w:rsidP="00A801D0">
            <w:pPr>
              <w:pStyle w:val="Tabletext"/>
            </w:pPr>
            <w:r w:rsidRPr="006E709F">
              <w:t>7</w:t>
            </w:r>
          </w:p>
        </w:tc>
        <w:tc>
          <w:tcPr>
            <w:tcW w:w="4435" w:type="pct"/>
            <w:shd w:val="clear" w:color="auto" w:fill="auto"/>
          </w:tcPr>
          <w:p w14:paraId="6624B6F5" w14:textId="77777777" w:rsidR="00E93F58" w:rsidRPr="006E709F" w:rsidRDefault="00E93F58" w:rsidP="00A801D0">
            <w:pPr>
              <w:pStyle w:val="Tabletext"/>
            </w:pPr>
            <w:r w:rsidRPr="006E709F">
              <w:rPr>
                <w:i/>
              </w:rPr>
              <w:t xml:space="preserve">Guardianship and Administration Act 1990 </w:t>
            </w:r>
            <w:r w:rsidRPr="006E709F">
              <w:t>(WA)</w:t>
            </w:r>
          </w:p>
        </w:tc>
      </w:tr>
      <w:tr w:rsidR="00E93F58" w:rsidRPr="006E709F" w14:paraId="6342B300" w14:textId="77777777" w:rsidTr="00E118FA">
        <w:tc>
          <w:tcPr>
            <w:tcW w:w="565" w:type="pct"/>
            <w:shd w:val="clear" w:color="auto" w:fill="auto"/>
          </w:tcPr>
          <w:p w14:paraId="72209F36" w14:textId="77777777" w:rsidR="00E93F58" w:rsidRPr="006E709F" w:rsidRDefault="00E93F58" w:rsidP="00A801D0">
            <w:pPr>
              <w:pStyle w:val="Tabletext"/>
            </w:pPr>
            <w:r w:rsidRPr="006E709F">
              <w:t>8</w:t>
            </w:r>
          </w:p>
        </w:tc>
        <w:tc>
          <w:tcPr>
            <w:tcW w:w="4435" w:type="pct"/>
            <w:shd w:val="clear" w:color="auto" w:fill="auto"/>
          </w:tcPr>
          <w:p w14:paraId="6888CD8E" w14:textId="77777777" w:rsidR="00E93F58" w:rsidRPr="006E709F" w:rsidRDefault="00E93F58" w:rsidP="00A801D0">
            <w:pPr>
              <w:pStyle w:val="Tabletext"/>
            </w:pPr>
            <w:r w:rsidRPr="006E709F">
              <w:rPr>
                <w:i/>
              </w:rPr>
              <w:t>Guardianship and Administration Act 1993</w:t>
            </w:r>
            <w:r w:rsidRPr="006E709F">
              <w:t xml:space="preserve"> (SA)</w:t>
            </w:r>
          </w:p>
        </w:tc>
      </w:tr>
      <w:tr w:rsidR="00E93F58" w:rsidRPr="006E709F" w14:paraId="6CBD2A3C" w14:textId="77777777" w:rsidTr="00E118FA">
        <w:tc>
          <w:tcPr>
            <w:tcW w:w="565" w:type="pct"/>
            <w:shd w:val="clear" w:color="auto" w:fill="auto"/>
          </w:tcPr>
          <w:p w14:paraId="10D9EEDB" w14:textId="77777777" w:rsidR="00E93F58" w:rsidRPr="006E709F" w:rsidRDefault="00E93F58" w:rsidP="00A801D0">
            <w:pPr>
              <w:pStyle w:val="Tabletext"/>
            </w:pPr>
            <w:r w:rsidRPr="006E709F">
              <w:t>9</w:t>
            </w:r>
          </w:p>
        </w:tc>
        <w:tc>
          <w:tcPr>
            <w:tcW w:w="4435" w:type="pct"/>
            <w:shd w:val="clear" w:color="auto" w:fill="auto"/>
          </w:tcPr>
          <w:p w14:paraId="13ACF199" w14:textId="77777777" w:rsidR="00E93F58" w:rsidRPr="006E709F" w:rsidRDefault="00E93F58" w:rsidP="00A801D0">
            <w:pPr>
              <w:pStyle w:val="Tabletext"/>
            </w:pPr>
            <w:r w:rsidRPr="006E709F">
              <w:rPr>
                <w:i/>
              </w:rPr>
              <w:t xml:space="preserve">Guardianship of Infants Act 1940 </w:t>
            </w:r>
            <w:r w:rsidRPr="006E709F">
              <w:t>(SA)</w:t>
            </w:r>
          </w:p>
        </w:tc>
      </w:tr>
      <w:tr w:rsidR="00E93F58" w:rsidRPr="006E709F" w14:paraId="4406BF6C" w14:textId="77777777" w:rsidTr="00E118FA">
        <w:tc>
          <w:tcPr>
            <w:tcW w:w="565" w:type="pct"/>
            <w:shd w:val="clear" w:color="auto" w:fill="auto"/>
          </w:tcPr>
          <w:p w14:paraId="300A2DB8" w14:textId="77777777" w:rsidR="00E93F58" w:rsidRPr="006E709F" w:rsidRDefault="00E93F58" w:rsidP="00A801D0">
            <w:pPr>
              <w:pStyle w:val="Tabletext"/>
            </w:pPr>
            <w:r w:rsidRPr="006E709F">
              <w:t>10</w:t>
            </w:r>
          </w:p>
        </w:tc>
        <w:tc>
          <w:tcPr>
            <w:tcW w:w="4435" w:type="pct"/>
            <w:shd w:val="clear" w:color="auto" w:fill="auto"/>
          </w:tcPr>
          <w:p w14:paraId="1188B14E" w14:textId="77777777" w:rsidR="00E93F58" w:rsidRPr="006E709F" w:rsidRDefault="00E93F58" w:rsidP="00A801D0">
            <w:pPr>
              <w:pStyle w:val="Tabletext"/>
            </w:pPr>
            <w:r w:rsidRPr="006E709F">
              <w:rPr>
                <w:i/>
              </w:rPr>
              <w:t xml:space="preserve">Guardianship and Administration Act 1995 </w:t>
            </w:r>
            <w:r w:rsidRPr="006E709F">
              <w:t>(Tas)</w:t>
            </w:r>
          </w:p>
        </w:tc>
      </w:tr>
      <w:tr w:rsidR="00E93F58" w:rsidRPr="006E709F" w14:paraId="63024733" w14:textId="77777777" w:rsidTr="00E118FA">
        <w:tc>
          <w:tcPr>
            <w:tcW w:w="565" w:type="pct"/>
            <w:shd w:val="clear" w:color="auto" w:fill="auto"/>
          </w:tcPr>
          <w:p w14:paraId="51EA7404" w14:textId="77777777" w:rsidR="00E93F58" w:rsidRPr="006E709F" w:rsidRDefault="00E93F58" w:rsidP="00A801D0">
            <w:pPr>
              <w:pStyle w:val="Tabletext"/>
            </w:pPr>
            <w:r w:rsidRPr="006E709F">
              <w:t>11</w:t>
            </w:r>
          </w:p>
        </w:tc>
        <w:tc>
          <w:tcPr>
            <w:tcW w:w="4435" w:type="pct"/>
            <w:shd w:val="clear" w:color="auto" w:fill="auto"/>
          </w:tcPr>
          <w:p w14:paraId="2A7198DE" w14:textId="77777777" w:rsidR="00E93F58" w:rsidRPr="006E709F" w:rsidRDefault="00E93F58" w:rsidP="00A801D0">
            <w:pPr>
              <w:pStyle w:val="Tabletext"/>
            </w:pPr>
            <w:r w:rsidRPr="006E709F">
              <w:rPr>
                <w:i/>
              </w:rPr>
              <w:t xml:space="preserve">Guardianship and Custody of Infants Act 1934 </w:t>
            </w:r>
            <w:r w:rsidRPr="006E709F">
              <w:t>(Tas)</w:t>
            </w:r>
          </w:p>
        </w:tc>
      </w:tr>
      <w:tr w:rsidR="00E93F58" w:rsidRPr="006E709F" w14:paraId="1D01AAAE" w14:textId="77777777" w:rsidTr="00E118FA">
        <w:tc>
          <w:tcPr>
            <w:tcW w:w="565" w:type="pct"/>
            <w:shd w:val="clear" w:color="auto" w:fill="auto"/>
          </w:tcPr>
          <w:p w14:paraId="69726576" w14:textId="77777777" w:rsidR="00E93F58" w:rsidRPr="006E709F" w:rsidRDefault="00E93F58" w:rsidP="00A801D0">
            <w:pPr>
              <w:pStyle w:val="Tabletext"/>
            </w:pPr>
            <w:r w:rsidRPr="006E709F">
              <w:t>12</w:t>
            </w:r>
          </w:p>
        </w:tc>
        <w:tc>
          <w:tcPr>
            <w:tcW w:w="4435" w:type="pct"/>
            <w:shd w:val="clear" w:color="auto" w:fill="auto"/>
          </w:tcPr>
          <w:p w14:paraId="64AB5C52" w14:textId="77777777" w:rsidR="00E93F58" w:rsidRPr="006E709F" w:rsidRDefault="00E93F58" w:rsidP="00A801D0">
            <w:pPr>
              <w:pStyle w:val="Tabletext"/>
            </w:pPr>
            <w:r w:rsidRPr="006E709F">
              <w:rPr>
                <w:i/>
              </w:rPr>
              <w:t>Guardianship and Management of Property Act 1991</w:t>
            </w:r>
            <w:r w:rsidRPr="006E709F">
              <w:t xml:space="preserve"> (ACT)</w:t>
            </w:r>
          </w:p>
        </w:tc>
      </w:tr>
      <w:tr w:rsidR="00E93F58" w:rsidRPr="006E709F" w14:paraId="33BAEAF2" w14:textId="77777777" w:rsidTr="00E118FA">
        <w:tc>
          <w:tcPr>
            <w:tcW w:w="565" w:type="pct"/>
            <w:shd w:val="clear" w:color="auto" w:fill="auto"/>
          </w:tcPr>
          <w:p w14:paraId="63FD9679" w14:textId="77777777" w:rsidR="00E93F58" w:rsidRPr="006E709F" w:rsidRDefault="00E93F58" w:rsidP="00A801D0">
            <w:pPr>
              <w:pStyle w:val="Tabletext"/>
            </w:pPr>
            <w:r w:rsidRPr="006E709F">
              <w:t>13</w:t>
            </w:r>
          </w:p>
        </w:tc>
        <w:tc>
          <w:tcPr>
            <w:tcW w:w="4435" w:type="pct"/>
            <w:shd w:val="clear" w:color="auto" w:fill="auto"/>
          </w:tcPr>
          <w:p w14:paraId="128281D1" w14:textId="77777777" w:rsidR="00E93F58" w:rsidRPr="006E709F" w:rsidRDefault="00E93F58" w:rsidP="00A801D0">
            <w:pPr>
              <w:pStyle w:val="Tabletext"/>
            </w:pPr>
            <w:r w:rsidRPr="006E709F">
              <w:rPr>
                <w:i/>
              </w:rPr>
              <w:t xml:space="preserve">Testamentary Guardianship Act 1984 </w:t>
            </w:r>
            <w:r w:rsidRPr="006E709F">
              <w:t>(ACT)</w:t>
            </w:r>
          </w:p>
        </w:tc>
      </w:tr>
      <w:tr w:rsidR="00E93F58" w:rsidRPr="006E709F" w14:paraId="4094D6BA" w14:textId="77777777" w:rsidTr="00E118FA">
        <w:tc>
          <w:tcPr>
            <w:tcW w:w="565" w:type="pct"/>
            <w:tcBorders>
              <w:bottom w:val="single" w:sz="4" w:space="0" w:color="auto"/>
            </w:tcBorders>
            <w:shd w:val="clear" w:color="auto" w:fill="auto"/>
          </w:tcPr>
          <w:p w14:paraId="24D40C59" w14:textId="77777777" w:rsidR="00E93F58" w:rsidRPr="006E709F" w:rsidRDefault="00E93F58" w:rsidP="00A801D0">
            <w:pPr>
              <w:pStyle w:val="Tabletext"/>
            </w:pPr>
            <w:r w:rsidRPr="006E709F">
              <w:t>14</w:t>
            </w:r>
          </w:p>
        </w:tc>
        <w:tc>
          <w:tcPr>
            <w:tcW w:w="4435" w:type="pct"/>
            <w:tcBorders>
              <w:bottom w:val="single" w:sz="4" w:space="0" w:color="auto"/>
            </w:tcBorders>
            <w:shd w:val="clear" w:color="auto" w:fill="auto"/>
          </w:tcPr>
          <w:p w14:paraId="75EA8247" w14:textId="77777777" w:rsidR="00E93F58" w:rsidRPr="006E709F" w:rsidRDefault="00E93F58" w:rsidP="00A801D0">
            <w:pPr>
              <w:pStyle w:val="Tabletext"/>
            </w:pPr>
            <w:r w:rsidRPr="006E709F">
              <w:rPr>
                <w:i/>
              </w:rPr>
              <w:t xml:space="preserve">Adult Guardianship Act </w:t>
            </w:r>
            <w:r w:rsidRPr="006E709F">
              <w:t>(NT)</w:t>
            </w:r>
          </w:p>
        </w:tc>
      </w:tr>
      <w:tr w:rsidR="00E93F58" w:rsidRPr="006E709F" w14:paraId="705439B1" w14:textId="77777777" w:rsidTr="00E118FA">
        <w:tc>
          <w:tcPr>
            <w:tcW w:w="565" w:type="pct"/>
            <w:tcBorders>
              <w:bottom w:val="single" w:sz="12" w:space="0" w:color="auto"/>
            </w:tcBorders>
            <w:shd w:val="clear" w:color="auto" w:fill="auto"/>
          </w:tcPr>
          <w:p w14:paraId="28FE7E01" w14:textId="77777777" w:rsidR="00E93F58" w:rsidRPr="006E709F" w:rsidRDefault="00E93F58" w:rsidP="00A801D0">
            <w:pPr>
              <w:pStyle w:val="Tabletext"/>
            </w:pPr>
            <w:r w:rsidRPr="006E709F">
              <w:t>15</w:t>
            </w:r>
          </w:p>
        </w:tc>
        <w:tc>
          <w:tcPr>
            <w:tcW w:w="4435" w:type="pct"/>
            <w:tcBorders>
              <w:bottom w:val="single" w:sz="12" w:space="0" w:color="auto"/>
            </w:tcBorders>
            <w:shd w:val="clear" w:color="auto" w:fill="auto"/>
          </w:tcPr>
          <w:p w14:paraId="4634BD70" w14:textId="77777777" w:rsidR="00E93F58" w:rsidRPr="006E709F" w:rsidRDefault="00E93F58" w:rsidP="00A801D0">
            <w:pPr>
              <w:pStyle w:val="Tabletext"/>
            </w:pPr>
            <w:r w:rsidRPr="006E709F">
              <w:rPr>
                <w:i/>
              </w:rPr>
              <w:t>Guardianship of Infants Act</w:t>
            </w:r>
            <w:r w:rsidRPr="006E709F">
              <w:t xml:space="preserve"> (NT)</w:t>
            </w:r>
          </w:p>
        </w:tc>
      </w:tr>
    </w:tbl>
    <w:p w14:paraId="6A362A7E" w14:textId="77777777" w:rsidR="00E93F58" w:rsidRPr="006E709F" w:rsidRDefault="00E93F58" w:rsidP="00065887">
      <w:pPr>
        <w:pStyle w:val="ActHead1"/>
        <w:pageBreakBefore/>
        <w:spacing w:before="120"/>
      </w:pPr>
      <w:bookmarkStart w:id="3354" w:name="_Toc151992427"/>
      <w:bookmarkStart w:id="3355" w:name="_Toc158713464"/>
      <w:r w:rsidRPr="000C4237">
        <w:rPr>
          <w:rStyle w:val="CharChapNo"/>
        </w:rPr>
        <w:lastRenderedPageBreak/>
        <w:t>Schedule 8AD</w:t>
      </w:r>
      <w:r w:rsidRPr="006E709F">
        <w:t>—</w:t>
      </w:r>
      <w:r w:rsidRPr="000C4237">
        <w:rPr>
          <w:rStyle w:val="CharChapText"/>
        </w:rPr>
        <w:t>Prescribed State and Territory laws and provisions for paragraph 601RAE(4)(b) of the Act</w:t>
      </w:r>
      <w:bookmarkEnd w:id="3354"/>
      <w:bookmarkEnd w:id="3355"/>
    </w:p>
    <w:p w14:paraId="3B0912E5" w14:textId="77777777" w:rsidR="00E93F58" w:rsidRPr="006E709F" w:rsidRDefault="00E93F58" w:rsidP="00A801D0">
      <w:pPr>
        <w:pStyle w:val="notemargin"/>
      </w:pPr>
      <w:r w:rsidRPr="006E709F">
        <w:t>(subregulation 5D.1.04(3))</w:t>
      </w:r>
    </w:p>
    <w:p w14:paraId="66269CFA" w14:textId="77777777" w:rsidR="00E93F58" w:rsidRPr="006E709F" w:rsidRDefault="00E93F58" w:rsidP="00BB28C2">
      <w:pPr>
        <w:pStyle w:val="Header"/>
      </w:pPr>
      <w:r w:rsidRPr="000C4237">
        <w:rPr>
          <w:rStyle w:val="CharPartNo"/>
        </w:rPr>
        <w:t xml:space="preserve"> </w:t>
      </w:r>
      <w:r w:rsidRPr="000C4237">
        <w:rPr>
          <w:rStyle w:val="CharPartText"/>
        </w:rPr>
        <w:t xml:space="preserve"> </w:t>
      </w:r>
    </w:p>
    <w:p w14:paraId="72610F17"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17"/>
        <w:gridCol w:w="9556"/>
      </w:tblGrid>
      <w:tr w:rsidR="00E93F58" w:rsidRPr="006E709F" w14:paraId="2E1644C8" w14:textId="77777777" w:rsidTr="00E118FA">
        <w:trPr>
          <w:tblHeader/>
        </w:trPr>
        <w:tc>
          <w:tcPr>
            <w:tcW w:w="565" w:type="pct"/>
            <w:tcBorders>
              <w:top w:val="single" w:sz="12" w:space="0" w:color="auto"/>
              <w:bottom w:val="single" w:sz="12" w:space="0" w:color="auto"/>
            </w:tcBorders>
            <w:shd w:val="clear" w:color="auto" w:fill="auto"/>
          </w:tcPr>
          <w:p w14:paraId="108CD141" w14:textId="77777777" w:rsidR="00E93F58" w:rsidRPr="006E709F" w:rsidRDefault="00E93F58" w:rsidP="007678F7">
            <w:pPr>
              <w:pStyle w:val="TableHeading"/>
            </w:pPr>
            <w:r w:rsidRPr="006E709F">
              <w:t>Item</w:t>
            </w:r>
          </w:p>
        </w:tc>
        <w:tc>
          <w:tcPr>
            <w:tcW w:w="4435" w:type="pct"/>
            <w:tcBorders>
              <w:top w:val="single" w:sz="12" w:space="0" w:color="auto"/>
              <w:bottom w:val="single" w:sz="12" w:space="0" w:color="auto"/>
            </w:tcBorders>
            <w:shd w:val="clear" w:color="auto" w:fill="auto"/>
          </w:tcPr>
          <w:p w14:paraId="054473AC" w14:textId="77777777" w:rsidR="00E93F58" w:rsidRPr="006E709F" w:rsidRDefault="00E93F58" w:rsidP="007678F7">
            <w:pPr>
              <w:pStyle w:val="TableHeading"/>
            </w:pPr>
            <w:r w:rsidRPr="006E709F">
              <w:t>State or Territory law and provisions</w:t>
            </w:r>
          </w:p>
        </w:tc>
      </w:tr>
      <w:tr w:rsidR="00E93F58" w:rsidRPr="006E709F" w14:paraId="5A52AABF" w14:textId="77777777" w:rsidTr="00E118FA">
        <w:tc>
          <w:tcPr>
            <w:tcW w:w="565" w:type="pct"/>
            <w:tcBorders>
              <w:top w:val="single" w:sz="12" w:space="0" w:color="auto"/>
            </w:tcBorders>
            <w:shd w:val="clear" w:color="auto" w:fill="auto"/>
          </w:tcPr>
          <w:p w14:paraId="27598872" w14:textId="77777777" w:rsidR="00E93F58" w:rsidRPr="006E709F" w:rsidRDefault="00E93F58" w:rsidP="005133DE">
            <w:pPr>
              <w:pStyle w:val="Tabletext"/>
            </w:pPr>
          </w:p>
        </w:tc>
        <w:tc>
          <w:tcPr>
            <w:tcW w:w="4435" w:type="pct"/>
            <w:tcBorders>
              <w:top w:val="single" w:sz="12" w:space="0" w:color="auto"/>
            </w:tcBorders>
            <w:shd w:val="clear" w:color="auto" w:fill="auto"/>
          </w:tcPr>
          <w:p w14:paraId="30D44473" w14:textId="77777777" w:rsidR="00E93F58" w:rsidRPr="006E709F" w:rsidRDefault="00E93F58" w:rsidP="00A801D0">
            <w:pPr>
              <w:pStyle w:val="Tabletext"/>
            </w:pPr>
            <w:r w:rsidRPr="006E709F">
              <w:t>NEW SOUTH WALES</w:t>
            </w:r>
          </w:p>
        </w:tc>
      </w:tr>
      <w:tr w:rsidR="00E93F58" w:rsidRPr="006E709F" w14:paraId="0DB78826" w14:textId="77777777" w:rsidTr="00E118FA">
        <w:tc>
          <w:tcPr>
            <w:tcW w:w="565" w:type="pct"/>
            <w:shd w:val="clear" w:color="auto" w:fill="auto"/>
          </w:tcPr>
          <w:p w14:paraId="306D395B" w14:textId="77777777" w:rsidR="00E93F58" w:rsidRPr="006E709F" w:rsidRDefault="00E93F58" w:rsidP="00A801D0">
            <w:pPr>
              <w:pStyle w:val="Tabletext"/>
            </w:pPr>
            <w:r w:rsidRPr="006E709F">
              <w:t>1A</w:t>
            </w:r>
          </w:p>
        </w:tc>
        <w:tc>
          <w:tcPr>
            <w:tcW w:w="4435" w:type="pct"/>
            <w:shd w:val="clear" w:color="auto" w:fill="auto"/>
          </w:tcPr>
          <w:p w14:paraId="693E14F9" w14:textId="77777777" w:rsidR="00E93F58" w:rsidRPr="006E709F" w:rsidRDefault="00E93F58" w:rsidP="00A801D0">
            <w:pPr>
              <w:pStyle w:val="Tabletext"/>
            </w:pPr>
            <w:r w:rsidRPr="006E709F">
              <w:rPr>
                <w:i/>
              </w:rPr>
              <w:t xml:space="preserve">Legal Profession Act 2004 </w:t>
            </w:r>
            <w:r w:rsidRPr="006E709F">
              <w:t>and any regulations made under that Act</w:t>
            </w:r>
          </w:p>
        </w:tc>
      </w:tr>
      <w:tr w:rsidR="00E93F58" w:rsidRPr="006E709F" w14:paraId="5369D90A" w14:textId="77777777" w:rsidTr="00E118FA">
        <w:tc>
          <w:tcPr>
            <w:tcW w:w="565" w:type="pct"/>
            <w:shd w:val="clear" w:color="auto" w:fill="auto"/>
          </w:tcPr>
          <w:p w14:paraId="54EEDEAA" w14:textId="77777777" w:rsidR="00E93F58" w:rsidRPr="006E709F" w:rsidRDefault="00E93F58" w:rsidP="00A801D0">
            <w:pPr>
              <w:pStyle w:val="Tabletext"/>
            </w:pPr>
            <w:r w:rsidRPr="006E709F">
              <w:t>1</w:t>
            </w:r>
          </w:p>
        </w:tc>
        <w:tc>
          <w:tcPr>
            <w:tcW w:w="4435" w:type="pct"/>
            <w:shd w:val="clear" w:color="auto" w:fill="auto"/>
          </w:tcPr>
          <w:p w14:paraId="6AE0F6D2" w14:textId="77777777" w:rsidR="00E93F58" w:rsidRPr="006E709F" w:rsidRDefault="00E93F58" w:rsidP="00A801D0">
            <w:pPr>
              <w:pStyle w:val="Tabletext"/>
            </w:pPr>
            <w:r w:rsidRPr="006E709F">
              <w:rPr>
                <w:i/>
              </w:rPr>
              <w:t xml:space="preserve">Probate and Administration Act 1898 </w:t>
            </w:r>
            <w:r w:rsidRPr="006E709F">
              <w:t>and any regulations made under that Act</w:t>
            </w:r>
          </w:p>
        </w:tc>
      </w:tr>
      <w:tr w:rsidR="00E93F58" w:rsidRPr="006E709F" w14:paraId="3713ECD9" w14:textId="77777777" w:rsidTr="00E118FA">
        <w:tc>
          <w:tcPr>
            <w:tcW w:w="565" w:type="pct"/>
            <w:shd w:val="clear" w:color="auto" w:fill="auto"/>
          </w:tcPr>
          <w:p w14:paraId="1EB82D20" w14:textId="77777777" w:rsidR="00E93F58" w:rsidRPr="006E709F" w:rsidRDefault="00E93F58" w:rsidP="00A801D0">
            <w:pPr>
              <w:pStyle w:val="Tabletext"/>
            </w:pPr>
            <w:r w:rsidRPr="006E709F">
              <w:t>2</w:t>
            </w:r>
          </w:p>
        </w:tc>
        <w:tc>
          <w:tcPr>
            <w:tcW w:w="4435" w:type="pct"/>
            <w:shd w:val="clear" w:color="auto" w:fill="auto"/>
          </w:tcPr>
          <w:p w14:paraId="1AA7EBF6" w14:textId="77777777" w:rsidR="00E93F58" w:rsidRPr="006E709F" w:rsidRDefault="00E93F58" w:rsidP="00A801D0">
            <w:pPr>
              <w:pStyle w:val="Tabletext"/>
            </w:pPr>
            <w:r w:rsidRPr="006E709F">
              <w:rPr>
                <w:i/>
              </w:rPr>
              <w:t xml:space="preserve">NSW Trustee and Guardian Act 2009 </w:t>
            </w:r>
            <w:r w:rsidRPr="006E709F">
              <w:t>and any regulations made under that Act</w:t>
            </w:r>
          </w:p>
        </w:tc>
      </w:tr>
      <w:tr w:rsidR="00E93F58" w:rsidRPr="006E709F" w14:paraId="480D22B5" w14:textId="77777777" w:rsidTr="00E118FA">
        <w:tc>
          <w:tcPr>
            <w:tcW w:w="565" w:type="pct"/>
            <w:shd w:val="clear" w:color="auto" w:fill="auto"/>
          </w:tcPr>
          <w:p w14:paraId="12720851" w14:textId="77777777" w:rsidR="00E93F58" w:rsidRPr="006E709F" w:rsidRDefault="00E93F58" w:rsidP="00A801D0">
            <w:pPr>
              <w:pStyle w:val="Tabletext"/>
            </w:pPr>
            <w:r w:rsidRPr="006E709F">
              <w:t>3</w:t>
            </w:r>
          </w:p>
        </w:tc>
        <w:tc>
          <w:tcPr>
            <w:tcW w:w="4435" w:type="pct"/>
            <w:shd w:val="clear" w:color="auto" w:fill="auto"/>
          </w:tcPr>
          <w:p w14:paraId="3BB5C9D7" w14:textId="77777777" w:rsidR="00E93F58" w:rsidRPr="006E709F" w:rsidRDefault="00E93F58" w:rsidP="00A801D0">
            <w:pPr>
              <w:pStyle w:val="Tabletext"/>
            </w:pPr>
            <w:r w:rsidRPr="006E709F">
              <w:rPr>
                <w:i/>
              </w:rPr>
              <w:t xml:space="preserve">Trustee Act 1925 </w:t>
            </w:r>
            <w:r w:rsidRPr="006E709F">
              <w:t>and any regulations made under that Act</w:t>
            </w:r>
          </w:p>
        </w:tc>
      </w:tr>
      <w:tr w:rsidR="00E93F58" w:rsidRPr="006E709F" w14:paraId="3F9EEE29" w14:textId="77777777" w:rsidTr="00E118FA">
        <w:tc>
          <w:tcPr>
            <w:tcW w:w="565" w:type="pct"/>
            <w:shd w:val="clear" w:color="auto" w:fill="auto"/>
          </w:tcPr>
          <w:p w14:paraId="3AF95F48" w14:textId="77777777" w:rsidR="00E93F58" w:rsidRPr="006E709F" w:rsidRDefault="00E93F58" w:rsidP="00A801D0">
            <w:pPr>
              <w:pStyle w:val="Tabletext"/>
            </w:pPr>
            <w:r w:rsidRPr="006E709F">
              <w:t>4</w:t>
            </w:r>
          </w:p>
        </w:tc>
        <w:tc>
          <w:tcPr>
            <w:tcW w:w="4435" w:type="pct"/>
            <w:shd w:val="clear" w:color="auto" w:fill="auto"/>
          </w:tcPr>
          <w:p w14:paraId="0BC92BB8" w14:textId="77777777" w:rsidR="00E93F58" w:rsidRPr="006E709F" w:rsidRDefault="00E93F58" w:rsidP="00A801D0">
            <w:pPr>
              <w:pStyle w:val="Tabletext"/>
            </w:pPr>
            <w:r w:rsidRPr="006E709F">
              <w:rPr>
                <w:i/>
              </w:rPr>
              <w:t xml:space="preserve">Trustee Companies Act 1964 </w:t>
            </w:r>
            <w:r w:rsidRPr="006E709F">
              <w:t>and any regulations made under that Act</w:t>
            </w:r>
          </w:p>
        </w:tc>
      </w:tr>
      <w:tr w:rsidR="00E93F58" w:rsidRPr="006E709F" w14:paraId="1732BE22" w14:textId="77777777" w:rsidTr="00E118FA">
        <w:tc>
          <w:tcPr>
            <w:tcW w:w="565" w:type="pct"/>
            <w:shd w:val="clear" w:color="auto" w:fill="auto"/>
          </w:tcPr>
          <w:p w14:paraId="4F237D33" w14:textId="77777777" w:rsidR="00E93F58" w:rsidRPr="006E709F" w:rsidRDefault="00E93F58" w:rsidP="005133DE">
            <w:pPr>
              <w:pStyle w:val="Tabletext"/>
            </w:pPr>
          </w:p>
        </w:tc>
        <w:tc>
          <w:tcPr>
            <w:tcW w:w="4435" w:type="pct"/>
            <w:shd w:val="clear" w:color="auto" w:fill="auto"/>
          </w:tcPr>
          <w:p w14:paraId="1F86F35B" w14:textId="77777777" w:rsidR="00E93F58" w:rsidRPr="006E709F" w:rsidRDefault="00E93F58" w:rsidP="00A801D0">
            <w:pPr>
              <w:pStyle w:val="Tabletext"/>
            </w:pPr>
            <w:r w:rsidRPr="006E709F">
              <w:t>VICTORIA</w:t>
            </w:r>
          </w:p>
        </w:tc>
      </w:tr>
      <w:tr w:rsidR="00E93F58" w:rsidRPr="006E709F" w14:paraId="33D49F7B" w14:textId="77777777" w:rsidTr="00E118FA">
        <w:tc>
          <w:tcPr>
            <w:tcW w:w="565" w:type="pct"/>
            <w:shd w:val="clear" w:color="auto" w:fill="auto"/>
          </w:tcPr>
          <w:p w14:paraId="10B4CA30" w14:textId="77777777" w:rsidR="00E93F58" w:rsidRPr="006E709F" w:rsidRDefault="00E93F58" w:rsidP="00A801D0">
            <w:pPr>
              <w:pStyle w:val="Tabletext"/>
            </w:pPr>
            <w:r w:rsidRPr="006E709F">
              <w:t>5</w:t>
            </w:r>
          </w:p>
        </w:tc>
        <w:tc>
          <w:tcPr>
            <w:tcW w:w="4435" w:type="pct"/>
            <w:shd w:val="clear" w:color="auto" w:fill="auto"/>
          </w:tcPr>
          <w:p w14:paraId="02BD50E2" w14:textId="77777777" w:rsidR="00E93F58" w:rsidRPr="006E709F" w:rsidRDefault="00E93F58" w:rsidP="00A801D0">
            <w:pPr>
              <w:pStyle w:val="Tabletext"/>
            </w:pPr>
            <w:r w:rsidRPr="006E709F">
              <w:rPr>
                <w:b/>
              </w:rPr>
              <w:t xml:space="preserve">Administration and Probate Act 1958 </w:t>
            </w:r>
            <w:r w:rsidRPr="006E709F">
              <w:t>and any regulations made under that Act</w:t>
            </w:r>
          </w:p>
        </w:tc>
      </w:tr>
      <w:tr w:rsidR="00E93F58" w:rsidRPr="006E709F" w14:paraId="3BA5B61C" w14:textId="77777777" w:rsidTr="00E118FA">
        <w:tc>
          <w:tcPr>
            <w:tcW w:w="565" w:type="pct"/>
            <w:shd w:val="clear" w:color="auto" w:fill="auto"/>
          </w:tcPr>
          <w:p w14:paraId="7EF7000F" w14:textId="77777777" w:rsidR="00E93F58" w:rsidRPr="006E709F" w:rsidRDefault="00E93F58" w:rsidP="00A801D0">
            <w:pPr>
              <w:pStyle w:val="Tabletext"/>
            </w:pPr>
            <w:r w:rsidRPr="006E709F">
              <w:t>6</w:t>
            </w:r>
          </w:p>
        </w:tc>
        <w:tc>
          <w:tcPr>
            <w:tcW w:w="4435" w:type="pct"/>
            <w:shd w:val="clear" w:color="auto" w:fill="auto"/>
          </w:tcPr>
          <w:p w14:paraId="64CA3024" w14:textId="77777777" w:rsidR="00E93F58" w:rsidRPr="006E709F" w:rsidRDefault="00E93F58" w:rsidP="00A801D0">
            <w:pPr>
              <w:pStyle w:val="Tabletext"/>
            </w:pPr>
            <w:r w:rsidRPr="006E709F">
              <w:rPr>
                <w:b/>
              </w:rPr>
              <w:t xml:space="preserve">Guardianship and Administration Act 1986 </w:t>
            </w:r>
            <w:r w:rsidRPr="006E709F">
              <w:t>and any regulations made under that Act</w:t>
            </w:r>
          </w:p>
        </w:tc>
      </w:tr>
      <w:tr w:rsidR="00E93F58" w:rsidRPr="006E709F" w14:paraId="5D6051A7" w14:textId="77777777" w:rsidTr="00E118FA">
        <w:tc>
          <w:tcPr>
            <w:tcW w:w="565" w:type="pct"/>
            <w:shd w:val="clear" w:color="auto" w:fill="auto"/>
          </w:tcPr>
          <w:p w14:paraId="5F4832A0" w14:textId="77777777" w:rsidR="00E93F58" w:rsidRPr="006E709F" w:rsidRDefault="00E93F58" w:rsidP="00A801D0">
            <w:pPr>
              <w:pStyle w:val="Tabletext"/>
            </w:pPr>
            <w:r w:rsidRPr="006E709F">
              <w:t>7</w:t>
            </w:r>
          </w:p>
        </w:tc>
        <w:tc>
          <w:tcPr>
            <w:tcW w:w="4435" w:type="pct"/>
            <w:shd w:val="clear" w:color="auto" w:fill="auto"/>
          </w:tcPr>
          <w:p w14:paraId="6FCB17E3" w14:textId="77777777" w:rsidR="00E93F58" w:rsidRPr="006E709F" w:rsidRDefault="00E93F58" w:rsidP="00A801D0">
            <w:pPr>
              <w:pStyle w:val="Tabletext"/>
            </w:pPr>
            <w:r w:rsidRPr="006E709F">
              <w:rPr>
                <w:b/>
              </w:rPr>
              <w:t xml:space="preserve">Instruments Act 1958 </w:t>
            </w:r>
            <w:r w:rsidRPr="006E709F">
              <w:t>and any regulations made under that Act</w:t>
            </w:r>
          </w:p>
        </w:tc>
      </w:tr>
      <w:tr w:rsidR="00E93F58" w:rsidRPr="006E709F" w14:paraId="68FF1C05" w14:textId="77777777" w:rsidTr="00E118FA">
        <w:tc>
          <w:tcPr>
            <w:tcW w:w="565" w:type="pct"/>
            <w:shd w:val="clear" w:color="auto" w:fill="auto"/>
          </w:tcPr>
          <w:p w14:paraId="53296CFA" w14:textId="77777777" w:rsidR="00E93F58" w:rsidRPr="006E709F" w:rsidRDefault="00E93F58" w:rsidP="00A801D0">
            <w:pPr>
              <w:pStyle w:val="Tabletext"/>
            </w:pPr>
            <w:r w:rsidRPr="006E709F">
              <w:t>7A</w:t>
            </w:r>
          </w:p>
        </w:tc>
        <w:tc>
          <w:tcPr>
            <w:tcW w:w="4435" w:type="pct"/>
            <w:shd w:val="clear" w:color="auto" w:fill="auto"/>
          </w:tcPr>
          <w:p w14:paraId="77468F94" w14:textId="77777777" w:rsidR="00E93F58" w:rsidRPr="006E709F" w:rsidRDefault="00E93F58" w:rsidP="00A801D0">
            <w:pPr>
              <w:pStyle w:val="Tabletext"/>
            </w:pPr>
            <w:r w:rsidRPr="006E709F">
              <w:rPr>
                <w:b/>
              </w:rPr>
              <w:t>Legal Profession Act 2004</w:t>
            </w:r>
            <w:r w:rsidRPr="006E709F">
              <w:t xml:space="preserve"> and any regulations made under that Act</w:t>
            </w:r>
          </w:p>
        </w:tc>
      </w:tr>
      <w:tr w:rsidR="00E93F58" w:rsidRPr="006E709F" w14:paraId="15EC5CF4" w14:textId="77777777" w:rsidTr="00E118FA">
        <w:tc>
          <w:tcPr>
            <w:tcW w:w="565" w:type="pct"/>
            <w:shd w:val="clear" w:color="auto" w:fill="auto"/>
          </w:tcPr>
          <w:p w14:paraId="1DE2E461" w14:textId="77777777" w:rsidR="00E93F58" w:rsidRPr="006E709F" w:rsidRDefault="00E93F58" w:rsidP="00A801D0">
            <w:pPr>
              <w:pStyle w:val="Tabletext"/>
            </w:pPr>
            <w:r w:rsidRPr="006E709F">
              <w:t>8</w:t>
            </w:r>
          </w:p>
        </w:tc>
        <w:tc>
          <w:tcPr>
            <w:tcW w:w="4435" w:type="pct"/>
            <w:shd w:val="clear" w:color="auto" w:fill="auto"/>
          </w:tcPr>
          <w:p w14:paraId="24601AAE" w14:textId="77777777" w:rsidR="00E93F58" w:rsidRPr="006E709F" w:rsidRDefault="00E93F58" w:rsidP="00A801D0">
            <w:pPr>
              <w:pStyle w:val="Tabletext"/>
            </w:pPr>
            <w:r w:rsidRPr="006E709F">
              <w:rPr>
                <w:b/>
              </w:rPr>
              <w:t xml:space="preserve">Medical Treatment Act 1988 </w:t>
            </w:r>
            <w:r w:rsidRPr="006E709F">
              <w:t>and any regulations made under that Act</w:t>
            </w:r>
          </w:p>
        </w:tc>
      </w:tr>
      <w:tr w:rsidR="00E93F58" w:rsidRPr="006E709F" w14:paraId="056B792E" w14:textId="77777777" w:rsidTr="00E118FA">
        <w:tc>
          <w:tcPr>
            <w:tcW w:w="565" w:type="pct"/>
            <w:shd w:val="clear" w:color="auto" w:fill="auto"/>
          </w:tcPr>
          <w:p w14:paraId="27B6CB04" w14:textId="77777777" w:rsidR="00E93F58" w:rsidRPr="006E709F" w:rsidRDefault="00E93F58" w:rsidP="00A801D0">
            <w:pPr>
              <w:pStyle w:val="Tabletext"/>
            </w:pPr>
            <w:r w:rsidRPr="006E709F">
              <w:t>9</w:t>
            </w:r>
          </w:p>
        </w:tc>
        <w:tc>
          <w:tcPr>
            <w:tcW w:w="4435" w:type="pct"/>
            <w:shd w:val="clear" w:color="auto" w:fill="auto"/>
          </w:tcPr>
          <w:p w14:paraId="2A973225" w14:textId="77777777" w:rsidR="00E93F58" w:rsidRPr="006E709F" w:rsidRDefault="00E93F58" w:rsidP="00A801D0">
            <w:pPr>
              <w:pStyle w:val="Tabletext"/>
            </w:pPr>
            <w:r w:rsidRPr="006E709F">
              <w:rPr>
                <w:b/>
              </w:rPr>
              <w:t xml:space="preserve">State Trustees (State Owned Company) Act 1994 </w:t>
            </w:r>
            <w:r w:rsidRPr="006E709F">
              <w:t>and any regulations made under that Act</w:t>
            </w:r>
          </w:p>
        </w:tc>
      </w:tr>
      <w:tr w:rsidR="00E93F58" w:rsidRPr="006E709F" w14:paraId="249EDC31" w14:textId="77777777" w:rsidTr="00E118FA">
        <w:tc>
          <w:tcPr>
            <w:tcW w:w="565" w:type="pct"/>
            <w:shd w:val="clear" w:color="auto" w:fill="auto"/>
          </w:tcPr>
          <w:p w14:paraId="071494FC" w14:textId="77777777" w:rsidR="00E93F58" w:rsidRPr="006E709F" w:rsidRDefault="00E93F58" w:rsidP="00A801D0">
            <w:pPr>
              <w:pStyle w:val="Tabletext"/>
            </w:pPr>
            <w:r w:rsidRPr="006E709F">
              <w:t>10</w:t>
            </w:r>
          </w:p>
        </w:tc>
        <w:tc>
          <w:tcPr>
            <w:tcW w:w="4435" w:type="pct"/>
            <w:shd w:val="clear" w:color="auto" w:fill="auto"/>
          </w:tcPr>
          <w:p w14:paraId="3BA42EA9" w14:textId="77777777" w:rsidR="00E93F58" w:rsidRPr="006E709F" w:rsidRDefault="00E93F58" w:rsidP="00A801D0">
            <w:pPr>
              <w:pStyle w:val="Tabletext"/>
            </w:pPr>
            <w:r w:rsidRPr="006E709F">
              <w:rPr>
                <w:b/>
              </w:rPr>
              <w:t xml:space="preserve">Trustee Act 1958 </w:t>
            </w:r>
            <w:r w:rsidRPr="006E709F">
              <w:t>and any regulations made under that Act</w:t>
            </w:r>
          </w:p>
        </w:tc>
      </w:tr>
      <w:tr w:rsidR="00E93F58" w:rsidRPr="006E709F" w14:paraId="133D18CA" w14:textId="77777777" w:rsidTr="00E118FA">
        <w:tc>
          <w:tcPr>
            <w:tcW w:w="565" w:type="pct"/>
            <w:shd w:val="clear" w:color="auto" w:fill="auto"/>
          </w:tcPr>
          <w:p w14:paraId="7D72129F" w14:textId="77777777" w:rsidR="00E93F58" w:rsidRPr="006E709F" w:rsidRDefault="00E93F58" w:rsidP="005133DE">
            <w:pPr>
              <w:pStyle w:val="Tabletext"/>
            </w:pPr>
          </w:p>
        </w:tc>
        <w:tc>
          <w:tcPr>
            <w:tcW w:w="4435" w:type="pct"/>
            <w:shd w:val="clear" w:color="auto" w:fill="auto"/>
          </w:tcPr>
          <w:p w14:paraId="1C416143" w14:textId="77777777" w:rsidR="00E93F58" w:rsidRPr="006E709F" w:rsidRDefault="00E93F58" w:rsidP="00A801D0">
            <w:pPr>
              <w:pStyle w:val="Tabletext"/>
            </w:pPr>
            <w:r w:rsidRPr="006E709F">
              <w:t>QUEENSLAND</w:t>
            </w:r>
          </w:p>
        </w:tc>
      </w:tr>
      <w:tr w:rsidR="00E93F58" w:rsidRPr="006E709F" w14:paraId="07D1BACB" w14:textId="77777777" w:rsidTr="00E118FA">
        <w:tc>
          <w:tcPr>
            <w:tcW w:w="565" w:type="pct"/>
            <w:shd w:val="clear" w:color="auto" w:fill="auto"/>
          </w:tcPr>
          <w:p w14:paraId="29ECC1DE" w14:textId="77777777" w:rsidR="00E93F58" w:rsidRPr="006E709F" w:rsidRDefault="00E93F58" w:rsidP="00A801D0">
            <w:pPr>
              <w:pStyle w:val="Tabletext"/>
            </w:pPr>
            <w:r w:rsidRPr="006E709F">
              <w:t>11</w:t>
            </w:r>
          </w:p>
        </w:tc>
        <w:tc>
          <w:tcPr>
            <w:tcW w:w="4435" w:type="pct"/>
            <w:shd w:val="clear" w:color="auto" w:fill="auto"/>
          </w:tcPr>
          <w:p w14:paraId="7AD63C3C" w14:textId="77777777" w:rsidR="00E93F58" w:rsidRPr="006E709F" w:rsidRDefault="00E93F58" w:rsidP="00A801D0">
            <w:pPr>
              <w:pStyle w:val="Tabletext"/>
            </w:pPr>
            <w:r w:rsidRPr="006E709F">
              <w:rPr>
                <w:i/>
              </w:rPr>
              <w:t xml:space="preserve">Guardianship and Administration Act 2000 </w:t>
            </w:r>
            <w:r w:rsidRPr="006E709F">
              <w:t>and any regulations made under that Act</w:t>
            </w:r>
          </w:p>
        </w:tc>
      </w:tr>
      <w:tr w:rsidR="00E93F58" w:rsidRPr="006E709F" w14:paraId="43929470" w14:textId="77777777" w:rsidTr="00E118FA">
        <w:tc>
          <w:tcPr>
            <w:tcW w:w="565" w:type="pct"/>
            <w:shd w:val="clear" w:color="auto" w:fill="auto"/>
          </w:tcPr>
          <w:p w14:paraId="13F7ADEE" w14:textId="77777777" w:rsidR="00E93F58" w:rsidRPr="006E709F" w:rsidRDefault="00E93F58" w:rsidP="00A801D0">
            <w:pPr>
              <w:pStyle w:val="Tabletext"/>
            </w:pPr>
            <w:r w:rsidRPr="006E709F">
              <w:t>12</w:t>
            </w:r>
          </w:p>
        </w:tc>
        <w:tc>
          <w:tcPr>
            <w:tcW w:w="4435" w:type="pct"/>
            <w:shd w:val="clear" w:color="auto" w:fill="auto"/>
          </w:tcPr>
          <w:p w14:paraId="1FD82F12" w14:textId="77777777" w:rsidR="00E93F58" w:rsidRPr="006E709F" w:rsidRDefault="00E93F58" w:rsidP="00A801D0">
            <w:pPr>
              <w:pStyle w:val="Tabletext"/>
            </w:pPr>
            <w:r w:rsidRPr="006E709F">
              <w:rPr>
                <w:i/>
              </w:rPr>
              <w:t xml:space="preserve">Legal Profession Act 2007 </w:t>
            </w:r>
            <w:r w:rsidRPr="006E709F">
              <w:t>and any regulations made under that Act</w:t>
            </w:r>
          </w:p>
        </w:tc>
      </w:tr>
      <w:tr w:rsidR="00E93F58" w:rsidRPr="006E709F" w14:paraId="3BFB62E4" w14:textId="77777777" w:rsidTr="00E118FA">
        <w:tc>
          <w:tcPr>
            <w:tcW w:w="565" w:type="pct"/>
            <w:shd w:val="clear" w:color="auto" w:fill="auto"/>
          </w:tcPr>
          <w:p w14:paraId="695570CA" w14:textId="77777777" w:rsidR="00E93F58" w:rsidRPr="006E709F" w:rsidRDefault="00E93F58" w:rsidP="00A801D0">
            <w:pPr>
              <w:pStyle w:val="Tabletext"/>
            </w:pPr>
            <w:r w:rsidRPr="006E709F">
              <w:t>13</w:t>
            </w:r>
          </w:p>
        </w:tc>
        <w:tc>
          <w:tcPr>
            <w:tcW w:w="4435" w:type="pct"/>
            <w:shd w:val="clear" w:color="auto" w:fill="auto"/>
          </w:tcPr>
          <w:p w14:paraId="0DD4E900" w14:textId="77777777" w:rsidR="00E93F58" w:rsidRPr="006E709F" w:rsidRDefault="00E93F58" w:rsidP="00A801D0">
            <w:pPr>
              <w:pStyle w:val="Tabletext"/>
            </w:pPr>
            <w:r w:rsidRPr="006E709F">
              <w:rPr>
                <w:i/>
              </w:rPr>
              <w:t xml:space="preserve">Public Trustee Act 1978 </w:t>
            </w:r>
            <w:r w:rsidRPr="006E709F">
              <w:t>and any regulations made under that Act</w:t>
            </w:r>
          </w:p>
        </w:tc>
      </w:tr>
      <w:tr w:rsidR="00E93F58" w:rsidRPr="006E709F" w14:paraId="4E32D22B" w14:textId="77777777" w:rsidTr="00E118FA">
        <w:tc>
          <w:tcPr>
            <w:tcW w:w="565" w:type="pct"/>
            <w:shd w:val="clear" w:color="auto" w:fill="auto"/>
          </w:tcPr>
          <w:p w14:paraId="360DA004" w14:textId="77777777" w:rsidR="00E93F58" w:rsidRPr="006E709F" w:rsidRDefault="00E93F58" w:rsidP="00A801D0">
            <w:pPr>
              <w:pStyle w:val="Tabletext"/>
            </w:pPr>
            <w:r w:rsidRPr="006E709F">
              <w:t>14</w:t>
            </w:r>
          </w:p>
        </w:tc>
        <w:tc>
          <w:tcPr>
            <w:tcW w:w="4435" w:type="pct"/>
            <w:shd w:val="clear" w:color="auto" w:fill="auto"/>
          </w:tcPr>
          <w:p w14:paraId="43C09577" w14:textId="77777777" w:rsidR="00E93F58" w:rsidRPr="006E709F" w:rsidRDefault="00E93F58" w:rsidP="00A801D0">
            <w:pPr>
              <w:pStyle w:val="Tabletext"/>
            </w:pPr>
            <w:r w:rsidRPr="006E709F">
              <w:rPr>
                <w:i/>
              </w:rPr>
              <w:t xml:space="preserve">Succession Act 1981 </w:t>
            </w:r>
            <w:r w:rsidRPr="006E709F">
              <w:t>and any regulations made under that Act</w:t>
            </w:r>
          </w:p>
        </w:tc>
      </w:tr>
      <w:tr w:rsidR="00E93F58" w:rsidRPr="006E709F" w14:paraId="42E821A1" w14:textId="77777777" w:rsidTr="00E118FA">
        <w:tc>
          <w:tcPr>
            <w:tcW w:w="565" w:type="pct"/>
            <w:tcBorders>
              <w:bottom w:val="single" w:sz="4" w:space="0" w:color="auto"/>
            </w:tcBorders>
            <w:shd w:val="clear" w:color="auto" w:fill="auto"/>
          </w:tcPr>
          <w:p w14:paraId="0EB59098" w14:textId="77777777" w:rsidR="00E93F58" w:rsidRPr="006E709F" w:rsidRDefault="00E93F58" w:rsidP="00A801D0">
            <w:pPr>
              <w:pStyle w:val="Tabletext"/>
            </w:pPr>
            <w:r w:rsidRPr="006E709F">
              <w:t>15</w:t>
            </w:r>
          </w:p>
        </w:tc>
        <w:tc>
          <w:tcPr>
            <w:tcW w:w="4435" w:type="pct"/>
            <w:tcBorders>
              <w:bottom w:val="single" w:sz="4" w:space="0" w:color="auto"/>
            </w:tcBorders>
            <w:shd w:val="clear" w:color="auto" w:fill="auto"/>
          </w:tcPr>
          <w:p w14:paraId="6678C9F1" w14:textId="77777777" w:rsidR="00E93F58" w:rsidRPr="006E709F" w:rsidRDefault="00E93F58" w:rsidP="00A801D0">
            <w:pPr>
              <w:pStyle w:val="Tabletext"/>
            </w:pPr>
            <w:r w:rsidRPr="006E709F">
              <w:rPr>
                <w:i/>
              </w:rPr>
              <w:t xml:space="preserve">Trustee Companies Act 1968 </w:t>
            </w:r>
            <w:r w:rsidRPr="006E709F">
              <w:t>and any regulations made under that Act</w:t>
            </w:r>
          </w:p>
        </w:tc>
      </w:tr>
      <w:tr w:rsidR="00E93F58" w:rsidRPr="006E709F" w14:paraId="7F76FE53" w14:textId="77777777" w:rsidTr="00E118FA">
        <w:tc>
          <w:tcPr>
            <w:tcW w:w="565" w:type="pct"/>
            <w:tcBorders>
              <w:bottom w:val="single" w:sz="4" w:space="0" w:color="auto"/>
            </w:tcBorders>
            <w:shd w:val="clear" w:color="auto" w:fill="auto"/>
          </w:tcPr>
          <w:p w14:paraId="5E5EF9B9" w14:textId="77777777" w:rsidR="00E93F58" w:rsidRPr="006E709F" w:rsidRDefault="00E93F58" w:rsidP="00A801D0">
            <w:pPr>
              <w:pStyle w:val="Tabletext"/>
            </w:pPr>
            <w:r w:rsidRPr="006E709F">
              <w:t>16</w:t>
            </w:r>
          </w:p>
        </w:tc>
        <w:tc>
          <w:tcPr>
            <w:tcW w:w="4435" w:type="pct"/>
            <w:tcBorders>
              <w:bottom w:val="single" w:sz="4" w:space="0" w:color="auto"/>
            </w:tcBorders>
            <w:shd w:val="clear" w:color="auto" w:fill="auto"/>
          </w:tcPr>
          <w:p w14:paraId="7C9F1F0C" w14:textId="77777777" w:rsidR="00E93F58" w:rsidRPr="006E709F" w:rsidRDefault="00E93F58" w:rsidP="00A801D0">
            <w:pPr>
              <w:pStyle w:val="Tabletext"/>
            </w:pPr>
            <w:r w:rsidRPr="006E709F">
              <w:rPr>
                <w:i/>
              </w:rPr>
              <w:t xml:space="preserve">Trusts Act 1973 </w:t>
            </w:r>
            <w:r w:rsidRPr="006E709F">
              <w:t>and any regulations made under that Act</w:t>
            </w:r>
          </w:p>
        </w:tc>
      </w:tr>
      <w:tr w:rsidR="00E93F58" w:rsidRPr="006E709F" w14:paraId="63124489" w14:textId="77777777" w:rsidTr="00E118FA">
        <w:tc>
          <w:tcPr>
            <w:tcW w:w="565" w:type="pct"/>
            <w:tcBorders>
              <w:top w:val="single" w:sz="4" w:space="0" w:color="auto"/>
            </w:tcBorders>
            <w:shd w:val="clear" w:color="auto" w:fill="auto"/>
          </w:tcPr>
          <w:p w14:paraId="1307B6CF" w14:textId="77777777" w:rsidR="00E93F58" w:rsidRPr="006E709F" w:rsidRDefault="00E93F58" w:rsidP="00A801D0">
            <w:pPr>
              <w:pStyle w:val="Tabletext"/>
            </w:pPr>
            <w:r w:rsidRPr="006E709F">
              <w:t>17</w:t>
            </w:r>
          </w:p>
        </w:tc>
        <w:tc>
          <w:tcPr>
            <w:tcW w:w="4435" w:type="pct"/>
            <w:tcBorders>
              <w:top w:val="single" w:sz="4" w:space="0" w:color="auto"/>
            </w:tcBorders>
            <w:shd w:val="clear" w:color="auto" w:fill="auto"/>
          </w:tcPr>
          <w:p w14:paraId="29FCD208" w14:textId="77777777" w:rsidR="00E93F58" w:rsidRPr="006E709F" w:rsidRDefault="00E93F58" w:rsidP="00A801D0">
            <w:pPr>
              <w:pStyle w:val="Tabletext"/>
            </w:pPr>
            <w:r w:rsidRPr="006E709F">
              <w:rPr>
                <w:i/>
              </w:rPr>
              <w:t>Uniform Civil Procedure Rules 1999</w:t>
            </w:r>
            <w:r w:rsidRPr="006E709F">
              <w:t>, Chapter 15 and rule 94</w:t>
            </w:r>
          </w:p>
        </w:tc>
      </w:tr>
      <w:tr w:rsidR="00E93F58" w:rsidRPr="006E709F" w14:paraId="6B4B040E" w14:textId="77777777" w:rsidTr="00E118FA">
        <w:tc>
          <w:tcPr>
            <w:tcW w:w="565" w:type="pct"/>
            <w:shd w:val="clear" w:color="auto" w:fill="auto"/>
          </w:tcPr>
          <w:p w14:paraId="4EDC2E7C" w14:textId="77777777" w:rsidR="00E93F58" w:rsidRPr="006E709F" w:rsidRDefault="00E93F58" w:rsidP="005133DE">
            <w:pPr>
              <w:pStyle w:val="Tabletext"/>
            </w:pPr>
          </w:p>
        </w:tc>
        <w:tc>
          <w:tcPr>
            <w:tcW w:w="4435" w:type="pct"/>
            <w:shd w:val="clear" w:color="auto" w:fill="auto"/>
          </w:tcPr>
          <w:p w14:paraId="6FF02868" w14:textId="77777777" w:rsidR="00E93F58" w:rsidRPr="006E709F" w:rsidRDefault="00E93F58" w:rsidP="00A801D0">
            <w:pPr>
              <w:pStyle w:val="Tabletext"/>
            </w:pPr>
            <w:r w:rsidRPr="006E709F">
              <w:t>WESTERN AUSTRALIA</w:t>
            </w:r>
          </w:p>
        </w:tc>
      </w:tr>
      <w:tr w:rsidR="00E93F58" w:rsidRPr="006E709F" w14:paraId="1DEA9521" w14:textId="77777777" w:rsidTr="00E118FA">
        <w:tc>
          <w:tcPr>
            <w:tcW w:w="565" w:type="pct"/>
            <w:shd w:val="clear" w:color="auto" w:fill="auto"/>
          </w:tcPr>
          <w:p w14:paraId="37E78B0B" w14:textId="77777777" w:rsidR="00E93F58" w:rsidRPr="006E709F" w:rsidRDefault="00E93F58" w:rsidP="00A801D0">
            <w:pPr>
              <w:pStyle w:val="Tabletext"/>
            </w:pPr>
            <w:r w:rsidRPr="006E709F">
              <w:t>18</w:t>
            </w:r>
          </w:p>
        </w:tc>
        <w:tc>
          <w:tcPr>
            <w:tcW w:w="4435" w:type="pct"/>
            <w:shd w:val="clear" w:color="auto" w:fill="auto"/>
          </w:tcPr>
          <w:p w14:paraId="48CDE582" w14:textId="77777777" w:rsidR="00E93F58" w:rsidRPr="006E709F" w:rsidRDefault="00E93F58" w:rsidP="00A801D0">
            <w:pPr>
              <w:pStyle w:val="Tabletext"/>
            </w:pPr>
            <w:r w:rsidRPr="006E709F">
              <w:rPr>
                <w:i/>
              </w:rPr>
              <w:t xml:space="preserve">Guardianship and Administration Act 1990 </w:t>
            </w:r>
            <w:r w:rsidRPr="006E709F">
              <w:t>and any regulations made under that Act</w:t>
            </w:r>
          </w:p>
        </w:tc>
      </w:tr>
      <w:tr w:rsidR="00E93F58" w:rsidRPr="006E709F" w14:paraId="076D1AB1" w14:textId="77777777" w:rsidTr="00E118FA">
        <w:tc>
          <w:tcPr>
            <w:tcW w:w="565" w:type="pct"/>
            <w:shd w:val="clear" w:color="auto" w:fill="auto"/>
          </w:tcPr>
          <w:p w14:paraId="4B67D1DA" w14:textId="77777777" w:rsidR="00E93F58" w:rsidRPr="006E709F" w:rsidRDefault="00E93F58" w:rsidP="00A801D0">
            <w:pPr>
              <w:pStyle w:val="Tabletext"/>
            </w:pPr>
            <w:r w:rsidRPr="006E709F">
              <w:t>18A</w:t>
            </w:r>
          </w:p>
        </w:tc>
        <w:tc>
          <w:tcPr>
            <w:tcW w:w="4435" w:type="pct"/>
            <w:shd w:val="clear" w:color="auto" w:fill="auto"/>
          </w:tcPr>
          <w:p w14:paraId="68EA813E" w14:textId="77777777" w:rsidR="00E93F58" w:rsidRPr="006E709F" w:rsidRDefault="00E93F58" w:rsidP="00A801D0">
            <w:pPr>
              <w:pStyle w:val="Tabletext"/>
            </w:pPr>
            <w:r w:rsidRPr="006E709F">
              <w:rPr>
                <w:i/>
              </w:rPr>
              <w:t xml:space="preserve">Legal Profession Act 2008 </w:t>
            </w:r>
            <w:r w:rsidRPr="006E709F">
              <w:t>and any regulations made under that Act</w:t>
            </w:r>
          </w:p>
        </w:tc>
      </w:tr>
      <w:tr w:rsidR="00E93F58" w:rsidRPr="006E709F" w14:paraId="7AC7CF06" w14:textId="77777777" w:rsidTr="00E118FA">
        <w:tc>
          <w:tcPr>
            <w:tcW w:w="565" w:type="pct"/>
            <w:shd w:val="clear" w:color="auto" w:fill="auto"/>
          </w:tcPr>
          <w:p w14:paraId="7FA5B2BE" w14:textId="77777777" w:rsidR="00E93F58" w:rsidRPr="006E709F" w:rsidRDefault="00E93F58" w:rsidP="00A801D0">
            <w:pPr>
              <w:pStyle w:val="Tabletext"/>
            </w:pPr>
            <w:r w:rsidRPr="006E709F">
              <w:t>18B</w:t>
            </w:r>
          </w:p>
        </w:tc>
        <w:tc>
          <w:tcPr>
            <w:tcW w:w="4435" w:type="pct"/>
            <w:shd w:val="clear" w:color="auto" w:fill="auto"/>
          </w:tcPr>
          <w:p w14:paraId="12C716F1" w14:textId="77777777" w:rsidR="00E93F58" w:rsidRPr="006E709F" w:rsidRDefault="00E93F58" w:rsidP="00A801D0">
            <w:pPr>
              <w:pStyle w:val="Tabletext"/>
            </w:pPr>
            <w:r w:rsidRPr="006E709F">
              <w:rPr>
                <w:i/>
              </w:rPr>
              <w:t xml:space="preserve">Public Trustee Act 1941 </w:t>
            </w:r>
            <w:r w:rsidRPr="006E709F">
              <w:t>and any regulations made under that Act</w:t>
            </w:r>
          </w:p>
        </w:tc>
      </w:tr>
      <w:tr w:rsidR="00E93F58" w:rsidRPr="006E709F" w14:paraId="4C9C7E7A" w14:textId="77777777" w:rsidTr="00E118FA">
        <w:tc>
          <w:tcPr>
            <w:tcW w:w="565" w:type="pct"/>
            <w:shd w:val="clear" w:color="auto" w:fill="auto"/>
          </w:tcPr>
          <w:p w14:paraId="5E5E1137" w14:textId="77777777" w:rsidR="00E93F58" w:rsidRPr="006E709F" w:rsidRDefault="00E93F58" w:rsidP="00A801D0">
            <w:pPr>
              <w:pStyle w:val="Tabletext"/>
            </w:pPr>
            <w:r w:rsidRPr="006E709F">
              <w:t>19</w:t>
            </w:r>
          </w:p>
        </w:tc>
        <w:tc>
          <w:tcPr>
            <w:tcW w:w="4435" w:type="pct"/>
            <w:shd w:val="clear" w:color="auto" w:fill="auto"/>
          </w:tcPr>
          <w:p w14:paraId="59C74485" w14:textId="77777777" w:rsidR="00E93F58" w:rsidRPr="006E709F" w:rsidRDefault="00E93F58" w:rsidP="00A801D0">
            <w:pPr>
              <w:pStyle w:val="Tabletext"/>
            </w:pPr>
            <w:r w:rsidRPr="006E709F">
              <w:rPr>
                <w:i/>
              </w:rPr>
              <w:t xml:space="preserve">Trustees Act 1962 </w:t>
            </w:r>
            <w:r w:rsidRPr="006E709F">
              <w:t>and any regulations made under that Act</w:t>
            </w:r>
          </w:p>
        </w:tc>
      </w:tr>
      <w:tr w:rsidR="00E93F58" w:rsidRPr="006E709F" w14:paraId="31709EAB" w14:textId="77777777" w:rsidTr="00E118FA">
        <w:tc>
          <w:tcPr>
            <w:tcW w:w="565" w:type="pct"/>
            <w:shd w:val="clear" w:color="auto" w:fill="auto"/>
          </w:tcPr>
          <w:p w14:paraId="2AACF832" w14:textId="77777777" w:rsidR="00E93F58" w:rsidRPr="006E709F" w:rsidRDefault="00E93F58" w:rsidP="005133DE">
            <w:pPr>
              <w:pStyle w:val="Tabletext"/>
            </w:pPr>
          </w:p>
        </w:tc>
        <w:tc>
          <w:tcPr>
            <w:tcW w:w="4435" w:type="pct"/>
            <w:shd w:val="clear" w:color="auto" w:fill="auto"/>
          </w:tcPr>
          <w:p w14:paraId="48BA62E4" w14:textId="77777777" w:rsidR="00E93F58" w:rsidRPr="006E709F" w:rsidRDefault="00E93F58" w:rsidP="00A801D0">
            <w:pPr>
              <w:pStyle w:val="Tabletext"/>
            </w:pPr>
            <w:r w:rsidRPr="006E709F">
              <w:t>SOUTH AUSTRALIA</w:t>
            </w:r>
          </w:p>
        </w:tc>
      </w:tr>
      <w:tr w:rsidR="00E93F58" w:rsidRPr="006E709F" w14:paraId="1446ECF1" w14:textId="77777777" w:rsidTr="00E118FA">
        <w:tc>
          <w:tcPr>
            <w:tcW w:w="565" w:type="pct"/>
            <w:shd w:val="clear" w:color="auto" w:fill="auto"/>
          </w:tcPr>
          <w:p w14:paraId="4883D7CB" w14:textId="77777777" w:rsidR="00E93F58" w:rsidRPr="006E709F" w:rsidRDefault="00E93F58" w:rsidP="00A801D0">
            <w:pPr>
              <w:pStyle w:val="Tabletext"/>
            </w:pPr>
            <w:r w:rsidRPr="006E709F">
              <w:t>20</w:t>
            </w:r>
          </w:p>
        </w:tc>
        <w:tc>
          <w:tcPr>
            <w:tcW w:w="4435" w:type="pct"/>
            <w:shd w:val="clear" w:color="auto" w:fill="auto"/>
          </w:tcPr>
          <w:p w14:paraId="04FA6024" w14:textId="77777777" w:rsidR="00E93F58" w:rsidRPr="006E709F" w:rsidRDefault="00E93F58" w:rsidP="00A801D0">
            <w:pPr>
              <w:pStyle w:val="Tabletext"/>
            </w:pPr>
            <w:r w:rsidRPr="006E709F">
              <w:rPr>
                <w:i/>
              </w:rPr>
              <w:t xml:space="preserve">Administration and Probate Act 1919 </w:t>
            </w:r>
            <w:r w:rsidRPr="006E709F">
              <w:t>and any regulations made under that Act</w:t>
            </w:r>
          </w:p>
        </w:tc>
      </w:tr>
      <w:tr w:rsidR="00E93F58" w:rsidRPr="006E709F" w:rsidDel="00260E53" w14:paraId="33947719" w14:textId="77777777" w:rsidTr="00E118FA">
        <w:tc>
          <w:tcPr>
            <w:tcW w:w="565" w:type="pct"/>
            <w:shd w:val="clear" w:color="auto" w:fill="auto"/>
          </w:tcPr>
          <w:p w14:paraId="7FFCA54D" w14:textId="77777777" w:rsidR="00E93F58" w:rsidRPr="006E709F" w:rsidDel="00260E53" w:rsidRDefault="00E93F58" w:rsidP="00A801D0">
            <w:pPr>
              <w:pStyle w:val="Tabletext"/>
            </w:pPr>
            <w:r w:rsidRPr="006E709F">
              <w:t>21</w:t>
            </w:r>
          </w:p>
        </w:tc>
        <w:tc>
          <w:tcPr>
            <w:tcW w:w="4435" w:type="pct"/>
            <w:shd w:val="clear" w:color="auto" w:fill="auto"/>
          </w:tcPr>
          <w:p w14:paraId="1A5E6D51" w14:textId="77777777" w:rsidR="00E93F58" w:rsidRPr="006E709F" w:rsidDel="00260E53" w:rsidRDefault="00E93F58" w:rsidP="00A801D0">
            <w:pPr>
              <w:pStyle w:val="Tabletext"/>
            </w:pPr>
            <w:r w:rsidRPr="006E709F">
              <w:rPr>
                <w:i/>
              </w:rPr>
              <w:t xml:space="preserve">Aged and Infirm Persons’ Property Act 1940 </w:t>
            </w:r>
            <w:r w:rsidRPr="006E709F">
              <w:t>and any regulations made under that Act</w:t>
            </w:r>
          </w:p>
        </w:tc>
      </w:tr>
      <w:tr w:rsidR="00E93F58" w:rsidRPr="006E709F" w14:paraId="1B82F694" w14:textId="77777777" w:rsidTr="00E118FA">
        <w:tc>
          <w:tcPr>
            <w:tcW w:w="565" w:type="pct"/>
            <w:shd w:val="clear" w:color="auto" w:fill="auto"/>
          </w:tcPr>
          <w:p w14:paraId="61A9B62C" w14:textId="77777777" w:rsidR="00E93F58" w:rsidRPr="006E709F" w:rsidRDefault="00E93F58" w:rsidP="00A801D0">
            <w:pPr>
              <w:pStyle w:val="Tabletext"/>
            </w:pPr>
            <w:r w:rsidRPr="006E709F">
              <w:t>22</w:t>
            </w:r>
          </w:p>
        </w:tc>
        <w:tc>
          <w:tcPr>
            <w:tcW w:w="4435" w:type="pct"/>
            <w:shd w:val="clear" w:color="auto" w:fill="auto"/>
          </w:tcPr>
          <w:p w14:paraId="46BEA9C0" w14:textId="77777777" w:rsidR="00E93F58" w:rsidRPr="006E709F" w:rsidRDefault="00E93F58" w:rsidP="00A801D0">
            <w:pPr>
              <w:pStyle w:val="Tabletext"/>
            </w:pPr>
            <w:r w:rsidRPr="006E709F">
              <w:rPr>
                <w:i/>
              </w:rPr>
              <w:t xml:space="preserve">Guardianship and Administration Act 1993 </w:t>
            </w:r>
            <w:r w:rsidRPr="006E709F">
              <w:t>and any regulations made under that Act</w:t>
            </w:r>
          </w:p>
        </w:tc>
      </w:tr>
      <w:tr w:rsidR="00E93F58" w:rsidRPr="006E709F" w:rsidDel="00260E53" w14:paraId="2F08B4A2" w14:textId="77777777" w:rsidTr="00E118FA">
        <w:tc>
          <w:tcPr>
            <w:tcW w:w="565" w:type="pct"/>
            <w:shd w:val="clear" w:color="auto" w:fill="auto"/>
          </w:tcPr>
          <w:p w14:paraId="0A3A5EB7" w14:textId="77777777" w:rsidR="00E93F58" w:rsidRPr="006E709F" w:rsidDel="00260E53" w:rsidRDefault="00E93F58" w:rsidP="00A801D0">
            <w:pPr>
              <w:pStyle w:val="Tabletext"/>
            </w:pPr>
            <w:r w:rsidRPr="006E709F">
              <w:t>23</w:t>
            </w:r>
          </w:p>
        </w:tc>
        <w:tc>
          <w:tcPr>
            <w:tcW w:w="4435" w:type="pct"/>
            <w:shd w:val="clear" w:color="auto" w:fill="auto"/>
          </w:tcPr>
          <w:p w14:paraId="7C5048E0" w14:textId="77777777" w:rsidR="00E93F58" w:rsidRPr="006E709F" w:rsidDel="00260E53" w:rsidRDefault="00E93F58" w:rsidP="00A801D0">
            <w:pPr>
              <w:pStyle w:val="Tabletext"/>
            </w:pPr>
            <w:r w:rsidRPr="006E709F">
              <w:rPr>
                <w:i/>
              </w:rPr>
              <w:t>Legal Practitioners Act 1981</w:t>
            </w:r>
            <w:r w:rsidRPr="006E709F">
              <w:t xml:space="preserve"> and any regulations made under that Act</w:t>
            </w:r>
          </w:p>
        </w:tc>
      </w:tr>
      <w:tr w:rsidR="00E93F58" w:rsidRPr="006E709F" w14:paraId="0BEA3801" w14:textId="77777777" w:rsidTr="00E118FA">
        <w:tc>
          <w:tcPr>
            <w:tcW w:w="565" w:type="pct"/>
            <w:shd w:val="clear" w:color="auto" w:fill="auto"/>
          </w:tcPr>
          <w:p w14:paraId="7C067D0B" w14:textId="77777777" w:rsidR="00E93F58" w:rsidRPr="006E709F" w:rsidRDefault="00E93F58" w:rsidP="00A801D0">
            <w:pPr>
              <w:pStyle w:val="Tabletext"/>
            </w:pPr>
            <w:r w:rsidRPr="006E709F">
              <w:t>24</w:t>
            </w:r>
          </w:p>
        </w:tc>
        <w:tc>
          <w:tcPr>
            <w:tcW w:w="4435" w:type="pct"/>
            <w:shd w:val="clear" w:color="auto" w:fill="auto"/>
          </w:tcPr>
          <w:p w14:paraId="1FF8192B" w14:textId="77777777" w:rsidR="00E93F58" w:rsidRPr="006E709F" w:rsidRDefault="00E93F58" w:rsidP="00A801D0">
            <w:pPr>
              <w:pStyle w:val="Tabletext"/>
            </w:pPr>
            <w:r w:rsidRPr="006E709F">
              <w:rPr>
                <w:i/>
              </w:rPr>
              <w:t xml:space="preserve">Public Trustee Act 1995 </w:t>
            </w:r>
            <w:r w:rsidRPr="006E709F">
              <w:t>and any regulations made under that Act</w:t>
            </w:r>
          </w:p>
        </w:tc>
      </w:tr>
      <w:tr w:rsidR="00E93F58" w:rsidRPr="006E709F" w14:paraId="41662069" w14:textId="77777777" w:rsidTr="00E118FA">
        <w:tc>
          <w:tcPr>
            <w:tcW w:w="565" w:type="pct"/>
            <w:shd w:val="clear" w:color="auto" w:fill="auto"/>
          </w:tcPr>
          <w:p w14:paraId="33732660" w14:textId="77777777" w:rsidR="00E93F58" w:rsidRPr="006E709F" w:rsidRDefault="00E93F58" w:rsidP="00A801D0">
            <w:pPr>
              <w:pStyle w:val="Tabletext"/>
            </w:pPr>
            <w:r w:rsidRPr="006E709F">
              <w:t>25</w:t>
            </w:r>
          </w:p>
        </w:tc>
        <w:tc>
          <w:tcPr>
            <w:tcW w:w="4435" w:type="pct"/>
            <w:shd w:val="clear" w:color="auto" w:fill="auto"/>
          </w:tcPr>
          <w:p w14:paraId="63940A90" w14:textId="77777777" w:rsidR="00E93F58" w:rsidRPr="006E709F" w:rsidRDefault="00E93F58" w:rsidP="00A801D0">
            <w:pPr>
              <w:pStyle w:val="Tabletext"/>
            </w:pPr>
            <w:r w:rsidRPr="006E709F">
              <w:rPr>
                <w:i/>
              </w:rPr>
              <w:t xml:space="preserve">Trustee Act 1936 </w:t>
            </w:r>
            <w:r w:rsidRPr="006E709F">
              <w:t>and any regulations made under that Act</w:t>
            </w:r>
          </w:p>
        </w:tc>
      </w:tr>
      <w:tr w:rsidR="00E93F58" w:rsidRPr="006E709F" w14:paraId="499F005D" w14:textId="77777777" w:rsidTr="00E118FA">
        <w:tc>
          <w:tcPr>
            <w:tcW w:w="565" w:type="pct"/>
            <w:shd w:val="clear" w:color="auto" w:fill="auto"/>
          </w:tcPr>
          <w:p w14:paraId="05F63DC8" w14:textId="77777777" w:rsidR="00E93F58" w:rsidRPr="006E709F" w:rsidRDefault="00E93F58" w:rsidP="00A801D0">
            <w:pPr>
              <w:pStyle w:val="Tabletext"/>
            </w:pPr>
            <w:r w:rsidRPr="006E709F">
              <w:t>25A</w:t>
            </w:r>
          </w:p>
        </w:tc>
        <w:tc>
          <w:tcPr>
            <w:tcW w:w="4435" w:type="pct"/>
            <w:shd w:val="clear" w:color="auto" w:fill="auto"/>
          </w:tcPr>
          <w:p w14:paraId="52ACC8C5" w14:textId="77777777" w:rsidR="00E93F58" w:rsidRPr="006E709F" w:rsidRDefault="00E93F58" w:rsidP="00A801D0">
            <w:pPr>
              <w:pStyle w:val="Tabletext"/>
            </w:pPr>
            <w:r w:rsidRPr="006E709F">
              <w:rPr>
                <w:i/>
              </w:rPr>
              <w:t xml:space="preserve">Trustee Companies Act 1988 </w:t>
            </w:r>
            <w:r w:rsidRPr="006E709F">
              <w:t>and any regulations made under that Act</w:t>
            </w:r>
          </w:p>
        </w:tc>
      </w:tr>
      <w:tr w:rsidR="00E93F58" w:rsidRPr="006E709F" w14:paraId="48C42DA5" w14:textId="77777777" w:rsidTr="00E118FA">
        <w:tc>
          <w:tcPr>
            <w:tcW w:w="565" w:type="pct"/>
            <w:shd w:val="clear" w:color="auto" w:fill="auto"/>
          </w:tcPr>
          <w:p w14:paraId="73DDBE9B" w14:textId="77777777" w:rsidR="00E93F58" w:rsidRPr="006E709F" w:rsidRDefault="00E93F58" w:rsidP="005133DE">
            <w:pPr>
              <w:pStyle w:val="Tabletext"/>
            </w:pPr>
          </w:p>
        </w:tc>
        <w:tc>
          <w:tcPr>
            <w:tcW w:w="4435" w:type="pct"/>
            <w:shd w:val="clear" w:color="auto" w:fill="auto"/>
          </w:tcPr>
          <w:p w14:paraId="1CE643CF" w14:textId="77777777" w:rsidR="00E93F58" w:rsidRPr="006E709F" w:rsidRDefault="00E93F58" w:rsidP="00A801D0">
            <w:pPr>
              <w:pStyle w:val="Tabletext"/>
            </w:pPr>
            <w:r w:rsidRPr="006E709F">
              <w:t>TASMANIA</w:t>
            </w:r>
          </w:p>
        </w:tc>
      </w:tr>
      <w:tr w:rsidR="00E93F58" w:rsidRPr="006E709F" w14:paraId="1D150317" w14:textId="77777777" w:rsidTr="00E118FA">
        <w:tc>
          <w:tcPr>
            <w:tcW w:w="565" w:type="pct"/>
            <w:shd w:val="clear" w:color="auto" w:fill="auto"/>
          </w:tcPr>
          <w:p w14:paraId="2917FDCA" w14:textId="77777777" w:rsidR="00E93F58" w:rsidRPr="006E709F" w:rsidRDefault="00E93F58" w:rsidP="00A801D0">
            <w:pPr>
              <w:pStyle w:val="Tabletext"/>
            </w:pPr>
            <w:r w:rsidRPr="006E709F">
              <w:t>26</w:t>
            </w:r>
          </w:p>
        </w:tc>
        <w:tc>
          <w:tcPr>
            <w:tcW w:w="4435" w:type="pct"/>
            <w:shd w:val="clear" w:color="auto" w:fill="auto"/>
          </w:tcPr>
          <w:p w14:paraId="187008F9" w14:textId="77777777" w:rsidR="00E93F58" w:rsidRPr="006E709F" w:rsidRDefault="00E93F58" w:rsidP="00A801D0">
            <w:pPr>
              <w:pStyle w:val="Tabletext"/>
            </w:pPr>
            <w:r w:rsidRPr="006E709F">
              <w:rPr>
                <w:i/>
              </w:rPr>
              <w:t xml:space="preserve">Administration and Probate Act 1935 </w:t>
            </w:r>
            <w:r w:rsidRPr="006E709F">
              <w:t>and any regulations made under that Act</w:t>
            </w:r>
          </w:p>
        </w:tc>
      </w:tr>
      <w:tr w:rsidR="00E93F58" w:rsidRPr="006E709F" w14:paraId="65025DEC" w14:textId="77777777" w:rsidTr="00E118FA">
        <w:tc>
          <w:tcPr>
            <w:tcW w:w="565" w:type="pct"/>
            <w:shd w:val="clear" w:color="auto" w:fill="auto"/>
          </w:tcPr>
          <w:p w14:paraId="4A243989" w14:textId="77777777" w:rsidR="00E93F58" w:rsidRPr="006E709F" w:rsidRDefault="00E93F58" w:rsidP="00A801D0">
            <w:pPr>
              <w:pStyle w:val="Tabletext"/>
            </w:pPr>
            <w:r w:rsidRPr="006E709F">
              <w:t>26A</w:t>
            </w:r>
          </w:p>
        </w:tc>
        <w:tc>
          <w:tcPr>
            <w:tcW w:w="4435" w:type="pct"/>
            <w:shd w:val="clear" w:color="auto" w:fill="auto"/>
          </w:tcPr>
          <w:p w14:paraId="6AC00EBD" w14:textId="77777777" w:rsidR="00E93F58" w:rsidRPr="006E709F" w:rsidRDefault="00E93F58" w:rsidP="00A801D0">
            <w:pPr>
              <w:pStyle w:val="Tabletext"/>
            </w:pPr>
            <w:r w:rsidRPr="006E709F">
              <w:rPr>
                <w:i/>
              </w:rPr>
              <w:t xml:space="preserve">Legal Profession Act 2007 </w:t>
            </w:r>
            <w:r w:rsidRPr="006E709F">
              <w:t>and any regulations made under that Act</w:t>
            </w:r>
          </w:p>
        </w:tc>
      </w:tr>
      <w:tr w:rsidR="00E93F58" w:rsidRPr="006E709F" w14:paraId="19C73251" w14:textId="77777777" w:rsidTr="00E118FA">
        <w:tc>
          <w:tcPr>
            <w:tcW w:w="565" w:type="pct"/>
            <w:shd w:val="clear" w:color="auto" w:fill="auto"/>
          </w:tcPr>
          <w:p w14:paraId="26DA0AD7" w14:textId="77777777" w:rsidR="00E93F58" w:rsidRPr="006E709F" w:rsidRDefault="00E93F58" w:rsidP="00A801D0">
            <w:pPr>
              <w:pStyle w:val="Tabletext"/>
            </w:pPr>
            <w:r w:rsidRPr="006E709F">
              <w:t>26B</w:t>
            </w:r>
          </w:p>
        </w:tc>
        <w:tc>
          <w:tcPr>
            <w:tcW w:w="4435" w:type="pct"/>
            <w:shd w:val="clear" w:color="auto" w:fill="auto"/>
          </w:tcPr>
          <w:p w14:paraId="15DEA75C" w14:textId="77777777" w:rsidR="00E93F58" w:rsidRPr="006E709F" w:rsidRDefault="00E93F58" w:rsidP="00A801D0">
            <w:pPr>
              <w:pStyle w:val="Tabletext"/>
            </w:pPr>
            <w:r w:rsidRPr="006E709F">
              <w:rPr>
                <w:i/>
              </w:rPr>
              <w:t xml:space="preserve">Public Trustee Act 1930 </w:t>
            </w:r>
            <w:r w:rsidRPr="006E709F">
              <w:t>and any regulations made under that Act</w:t>
            </w:r>
          </w:p>
        </w:tc>
      </w:tr>
      <w:tr w:rsidR="00E93F58" w:rsidRPr="006E709F" w14:paraId="633E3F46" w14:textId="77777777" w:rsidTr="00E118FA">
        <w:tc>
          <w:tcPr>
            <w:tcW w:w="565" w:type="pct"/>
            <w:shd w:val="clear" w:color="auto" w:fill="auto"/>
          </w:tcPr>
          <w:p w14:paraId="09E20241" w14:textId="77777777" w:rsidR="00E93F58" w:rsidRPr="006E709F" w:rsidRDefault="00E93F58" w:rsidP="00A801D0">
            <w:pPr>
              <w:pStyle w:val="Tabletext"/>
            </w:pPr>
            <w:r w:rsidRPr="006E709F">
              <w:t>27</w:t>
            </w:r>
          </w:p>
        </w:tc>
        <w:tc>
          <w:tcPr>
            <w:tcW w:w="4435" w:type="pct"/>
            <w:shd w:val="clear" w:color="auto" w:fill="auto"/>
          </w:tcPr>
          <w:p w14:paraId="3E7D2D43" w14:textId="77777777" w:rsidR="00E93F58" w:rsidRPr="006E709F" w:rsidRDefault="00E93F58" w:rsidP="00A801D0">
            <w:pPr>
              <w:pStyle w:val="Tabletext"/>
            </w:pPr>
            <w:r w:rsidRPr="006E709F">
              <w:rPr>
                <w:i/>
              </w:rPr>
              <w:t xml:space="preserve">Supreme Court Civil Procedure Act 1932 </w:t>
            </w:r>
            <w:r w:rsidRPr="006E709F">
              <w:t>and any regulations made under that Act</w:t>
            </w:r>
          </w:p>
        </w:tc>
      </w:tr>
      <w:tr w:rsidR="00E93F58" w:rsidRPr="006E709F" w14:paraId="5773232D" w14:textId="77777777" w:rsidTr="00E118FA">
        <w:tc>
          <w:tcPr>
            <w:tcW w:w="565" w:type="pct"/>
            <w:shd w:val="clear" w:color="auto" w:fill="auto"/>
          </w:tcPr>
          <w:p w14:paraId="660E5BC2" w14:textId="77777777" w:rsidR="00E93F58" w:rsidRPr="006E709F" w:rsidRDefault="00E93F58" w:rsidP="00A801D0">
            <w:pPr>
              <w:pStyle w:val="Tabletext"/>
            </w:pPr>
            <w:r w:rsidRPr="006E709F">
              <w:t>28</w:t>
            </w:r>
          </w:p>
        </w:tc>
        <w:tc>
          <w:tcPr>
            <w:tcW w:w="4435" w:type="pct"/>
            <w:shd w:val="clear" w:color="auto" w:fill="auto"/>
          </w:tcPr>
          <w:p w14:paraId="4FE320EE" w14:textId="77777777" w:rsidR="00E93F58" w:rsidRPr="006E709F" w:rsidRDefault="00E93F58" w:rsidP="00A801D0">
            <w:pPr>
              <w:pStyle w:val="Tabletext"/>
            </w:pPr>
            <w:r w:rsidRPr="006E709F">
              <w:rPr>
                <w:i/>
              </w:rPr>
              <w:t xml:space="preserve">Trustee Act 1898 </w:t>
            </w:r>
            <w:r w:rsidRPr="006E709F">
              <w:t>and any regulations made under that Act</w:t>
            </w:r>
          </w:p>
        </w:tc>
      </w:tr>
      <w:tr w:rsidR="00E93F58" w:rsidRPr="006E709F" w14:paraId="55C76636" w14:textId="77777777" w:rsidTr="00E118FA">
        <w:tc>
          <w:tcPr>
            <w:tcW w:w="565" w:type="pct"/>
            <w:shd w:val="clear" w:color="auto" w:fill="auto"/>
          </w:tcPr>
          <w:p w14:paraId="77195195" w14:textId="77777777" w:rsidR="00E93F58" w:rsidRPr="006E709F" w:rsidRDefault="00E93F58" w:rsidP="005133DE">
            <w:pPr>
              <w:pStyle w:val="Tabletext"/>
            </w:pPr>
          </w:p>
        </w:tc>
        <w:tc>
          <w:tcPr>
            <w:tcW w:w="4435" w:type="pct"/>
            <w:shd w:val="clear" w:color="auto" w:fill="auto"/>
          </w:tcPr>
          <w:p w14:paraId="215BB1F9" w14:textId="77777777" w:rsidR="00E93F58" w:rsidRPr="006E709F" w:rsidRDefault="00E93F58" w:rsidP="00A801D0">
            <w:pPr>
              <w:pStyle w:val="Tabletext"/>
            </w:pPr>
            <w:r w:rsidRPr="006E709F">
              <w:t>AUSTRALIAN CAPITAL TERRITORY</w:t>
            </w:r>
          </w:p>
        </w:tc>
      </w:tr>
      <w:tr w:rsidR="00E93F58" w:rsidRPr="006E709F" w14:paraId="4BF281DA" w14:textId="77777777" w:rsidTr="00E118FA">
        <w:tc>
          <w:tcPr>
            <w:tcW w:w="565" w:type="pct"/>
            <w:shd w:val="clear" w:color="auto" w:fill="auto"/>
          </w:tcPr>
          <w:p w14:paraId="5DA90DC4" w14:textId="77777777" w:rsidR="00E93F58" w:rsidRPr="006E709F" w:rsidRDefault="00E93F58" w:rsidP="00A801D0">
            <w:pPr>
              <w:pStyle w:val="Tabletext"/>
            </w:pPr>
            <w:r w:rsidRPr="006E709F">
              <w:t>29</w:t>
            </w:r>
          </w:p>
        </w:tc>
        <w:tc>
          <w:tcPr>
            <w:tcW w:w="4435" w:type="pct"/>
            <w:shd w:val="clear" w:color="auto" w:fill="auto"/>
          </w:tcPr>
          <w:p w14:paraId="3982047A" w14:textId="77777777" w:rsidR="00E93F58" w:rsidRPr="006E709F" w:rsidRDefault="00E93F58" w:rsidP="00A801D0">
            <w:pPr>
              <w:pStyle w:val="Tabletext"/>
            </w:pPr>
            <w:r w:rsidRPr="006E709F">
              <w:rPr>
                <w:i/>
              </w:rPr>
              <w:t xml:space="preserve">Administration and Probate Act 1929 </w:t>
            </w:r>
            <w:r w:rsidRPr="006E709F">
              <w:t>and any regulations made under that Act</w:t>
            </w:r>
          </w:p>
        </w:tc>
      </w:tr>
      <w:tr w:rsidR="00E93F58" w:rsidRPr="006E709F" w14:paraId="093C4B74" w14:textId="77777777" w:rsidTr="00E118FA">
        <w:tc>
          <w:tcPr>
            <w:tcW w:w="565" w:type="pct"/>
            <w:shd w:val="clear" w:color="auto" w:fill="auto"/>
          </w:tcPr>
          <w:p w14:paraId="316C779D" w14:textId="77777777" w:rsidR="00E93F58" w:rsidRPr="006E709F" w:rsidRDefault="00E93F58" w:rsidP="00A801D0">
            <w:pPr>
              <w:pStyle w:val="Tabletext"/>
            </w:pPr>
            <w:r w:rsidRPr="006E709F">
              <w:lastRenderedPageBreak/>
              <w:t>30</w:t>
            </w:r>
          </w:p>
        </w:tc>
        <w:tc>
          <w:tcPr>
            <w:tcW w:w="4435" w:type="pct"/>
            <w:shd w:val="clear" w:color="auto" w:fill="auto"/>
          </w:tcPr>
          <w:p w14:paraId="29359FB2" w14:textId="77777777" w:rsidR="00E93F58" w:rsidRPr="006E709F" w:rsidRDefault="00E93F58" w:rsidP="00A801D0">
            <w:pPr>
              <w:pStyle w:val="Tabletext"/>
            </w:pPr>
            <w:r w:rsidRPr="006E709F">
              <w:rPr>
                <w:i/>
              </w:rPr>
              <w:t xml:space="preserve">Court Procedures Act 2004 </w:t>
            </w:r>
            <w:r w:rsidRPr="006E709F">
              <w:t>and any regulations made under that Act</w:t>
            </w:r>
          </w:p>
        </w:tc>
      </w:tr>
      <w:tr w:rsidR="00E93F58" w:rsidRPr="006E709F" w14:paraId="14DA9865" w14:textId="77777777" w:rsidTr="00E118FA">
        <w:trPr>
          <w:cantSplit/>
        </w:trPr>
        <w:tc>
          <w:tcPr>
            <w:tcW w:w="565" w:type="pct"/>
            <w:shd w:val="clear" w:color="auto" w:fill="auto"/>
          </w:tcPr>
          <w:p w14:paraId="6927682C" w14:textId="77777777" w:rsidR="00E93F58" w:rsidRPr="006E709F" w:rsidRDefault="00E93F58" w:rsidP="00A801D0">
            <w:pPr>
              <w:pStyle w:val="Tabletext"/>
            </w:pPr>
            <w:r w:rsidRPr="006E709F">
              <w:t>31</w:t>
            </w:r>
          </w:p>
        </w:tc>
        <w:tc>
          <w:tcPr>
            <w:tcW w:w="4435" w:type="pct"/>
            <w:shd w:val="clear" w:color="auto" w:fill="auto"/>
          </w:tcPr>
          <w:p w14:paraId="27D44151" w14:textId="77777777" w:rsidR="00E93F58" w:rsidRPr="006E709F" w:rsidRDefault="00E93F58" w:rsidP="00A801D0">
            <w:pPr>
              <w:pStyle w:val="Tabletext"/>
            </w:pPr>
            <w:r w:rsidRPr="006E709F">
              <w:rPr>
                <w:i/>
              </w:rPr>
              <w:t xml:space="preserve">Guardianship and Management of Property Act 1991 </w:t>
            </w:r>
            <w:r w:rsidRPr="006E709F">
              <w:t>and any regulations made under that Act</w:t>
            </w:r>
          </w:p>
        </w:tc>
      </w:tr>
      <w:tr w:rsidR="00E93F58" w:rsidRPr="006E709F" w14:paraId="0A8F89DD" w14:textId="77777777" w:rsidTr="00E118FA">
        <w:tc>
          <w:tcPr>
            <w:tcW w:w="565" w:type="pct"/>
            <w:tcBorders>
              <w:bottom w:val="single" w:sz="4" w:space="0" w:color="auto"/>
            </w:tcBorders>
            <w:shd w:val="clear" w:color="auto" w:fill="auto"/>
          </w:tcPr>
          <w:p w14:paraId="2115179C" w14:textId="77777777" w:rsidR="00E93F58" w:rsidRPr="006E709F" w:rsidRDefault="00E93F58" w:rsidP="00A801D0">
            <w:pPr>
              <w:pStyle w:val="Tabletext"/>
            </w:pPr>
            <w:r w:rsidRPr="006E709F">
              <w:t>32</w:t>
            </w:r>
          </w:p>
        </w:tc>
        <w:tc>
          <w:tcPr>
            <w:tcW w:w="4435" w:type="pct"/>
            <w:tcBorders>
              <w:bottom w:val="single" w:sz="4" w:space="0" w:color="auto"/>
            </w:tcBorders>
            <w:shd w:val="clear" w:color="auto" w:fill="auto"/>
          </w:tcPr>
          <w:p w14:paraId="41378900" w14:textId="77777777" w:rsidR="00E93F58" w:rsidRPr="006E709F" w:rsidRDefault="00E93F58" w:rsidP="00A801D0">
            <w:pPr>
              <w:pStyle w:val="Tabletext"/>
            </w:pPr>
            <w:r w:rsidRPr="006E709F">
              <w:rPr>
                <w:i/>
              </w:rPr>
              <w:t xml:space="preserve">Legal Profession Act 2006 </w:t>
            </w:r>
            <w:r w:rsidRPr="006E709F">
              <w:t>and any regulations made under that Act</w:t>
            </w:r>
          </w:p>
        </w:tc>
      </w:tr>
      <w:tr w:rsidR="00E93F58" w:rsidRPr="006E709F" w14:paraId="22D09507" w14:textId="77777777" w:rsidTr="00E118FA">
        <w:tc>
          <w:tcPr>
            <w:tcW w:w="565" w:type="pct"/>
            <w:tcBorders>
              <w:bottom w:val="single" w:sz="4" w:space="0" w:color="auto"/>
            </w:tcBorders>
            <w:shd w:val="clear" w:color="auto" w:fill="auto"/>
          </w:tcPr>
          <w:p w14:paraId="3FA893FD" w14:textId="77777777" w:rsidR="00E93F58" w:rsidRPr="006E709F" w:rsidRDefault="00E93F58" w:rsidP="00A801D0">
            <w:pPr>
              <w:pStyle w:val="Tabletext"/>
            </w:pPr>
            <w:r w:rsidRPr="006E709F">
              <w:t>33</w:t>
            </w:r>
          </w:p>
        </w:tc>
        <w:tc>
          <w:tcPr>
            <w:tcW w:w="4435" w:type="pct"/>
            <w:tcBorders>
              <w:bottom w:val="single" w:sz="4" w:space="0" w:color="auto"/>
            </w:tcBorders>
            <w:shd w:val="clear" w:color="auto" w:fill="auto"/>
          </w:tcPr>
          <w:p w14:paraId="41422D4C" w14:textId="77777777" w:rsidR="00E93F58" w:rsidRPr="006E709F" w:rsidRDefault="00E93F58" w:rsidP="00A801D0">
            <w:pPr>
              <w:pStyle w:val="Tabletext"/>
            </w:pPr>
            <w:r w:rsidRPr="006E709F">
              <w:rPr>
                <w:i/>
              </w:rPr>
              <w:t xml:space="preserve">Trustee Act 1925 </w:t>
            </w:r>
            <w:r w:rsidRPr="006E709F">
              <w:t>and any regulations made under that Act</w:t>
            </w:r>
          </w:p>
        </w:tc>
      </w:tr>
      <w:tr w:rsidR="00E93F58" w:rsidRPr="006E709F" w14:paraId="1FE90FFF" w14:textId="77777777" w:rsidTr="00E118FA">
        <w:tc>
          <w:tcPr>
            <w:tcW w:w="565" w:type="pct"/>
            <w:tcBorders>
              <w:top w:val="single" w:sz="4" w:space="0" w:color="auto"/>
            </w:tcBorders>
            <w:shd w:val="clear" w:color="auto" w:fill="auto"/>
          </w:tcPr>
          <w:p w14:paraId="36F1EDE8" w14:textId="77777777" w:rsidR="00E93F58" w:rsidRPr="006E709F" w:rsidRDefault="00E93F58" w:rsidP="00A801D0">
            <w:pPr>
              <w:pStyle w:val="Tabletext"/>
            </w:pPr>
            <w:r w:rsidRPr="006E709F">
              <w:t>34</w:t>
            </w:r>
          </w:p>
        </w:tc>
        <w:tc>
          <w:tcPr>
            <w:tcW w:w="4435" w:type="pct"/>
            <w:tcBorders>
              <w:top w:val="single" w:sz="4" w:space="0" w:color="auto"/>
            </w:tcBorders>
            <w:shd w:val="clear" w:color="auto" w:fill="auto"/>
          </w:tcPr>
          <w:p w14:paraId="7A40B83E" w14:textId="77777777" w:rsidR="00E93F58" w:rsidRPr="006E709F" w:rsidRDefault="00E93F58" w:rsidP="00A801D0">
            <w:pPr>
              <w:pStyle w:val="Tabletext"/>
            </w:pPr>
            <w:r w:rsidRPr="006E709F">
              <w:rPr>
                <w:i/>
              </w:rPr>
              <w:t xml:space="preserve">Trustee Companies Act 1947 </w:t>
            </w:r>
            <w:r w:rsidRPr="006E709F">
              <w:t>and any regulations made under that Act</w:t>
            </w:r>
          </w:p>
        </w:tc>
      </w:tr>
      <w:tr w:rsidR="00E93F58" w:rsidRPr="006E709F" w14:paraId="25EA506F" w14:textId="77777777" w:rsidTr="00E118FA">
        <w:tc>
          <w:tcPr>
            <w:tcW w:w="565" w:type="pct"/>
            <w:shd w:val="clear" w:color="auto" w:fill="auto"/>
          </w:tcPr>
          <w:p w14:paraId="4B176BA6" w14:textId="77777777" w:rsidR="00E93F58" w:rsidRPr="006E709F" w:rsidRDefault="00E93F58" w:rsidP="005133DE">
            <w:pPr>
              <w:pStyle w:val="Tabletext"/>
            </w:pPr>
          </w:p>
        </w:tc>
        <w:tc>
          <w:tcPr>
            <w:tcW w:w="4435" w:type="pct"/>
            <w:shd w:val="clear" w:color="auto" w:fill="auto"/>
          </w:tcPr>
          <w:p w14:paraId="5C899A1E" w14:textId="77777777" w:rsidR="00E93F58" w:rsidRPr="006E709F" w:rsidRDefault="00E93F58" w:rsidP="00A801D0">
            <w:pPr>
              <w:pStyle w:val="Tabletext"/>
            </w:pPr>
            <w:r w:rsidRPr="006E709F">
              <w:t>NORTHERN TERRITORY</w:t>
            </w:r>
          </w:p>
        </w:tc>
      </w:tr>
      <w:tr w:rsidR="00E93F58" w:rsidRPr="006E709F" w14:paraId="0E9328B5" w14:textId="77777777" w:rsidTr="00E118FA">
        <w:tc>
          <w:tcPr>
            <w:tcW w:w="565" w:type="pct"/>
            <w:tcBorders>
              <w:bottom w:val="single" w:sz="4" w:space="0" w:color="auto"/>
            </w:tcBorders>
            <w:shd w:val="clear" w:color="auto" w:fill="auto"/>
          </w:tcPr>
          <w:p w14:paraId="291C7C81" w14:textId="77777777" w:rsidR="00E93F58" w:rsidRPr="006E709F" w:rsidRDefault="00E93F58" w:rsidP="00A801D0">
            <w:pPr>
              <w:pStyle w:val="Tabletext"/>
            </w:pPr>
            <w:r w:rsidRPr="006E709F">
              <w:t>35</w:t>
            </w:r>
          </w:p>
        </w:tc>
        <w:tc>
          <w:tcPr>
            <w:tcW w:w="4435" w:type="pct"/>
            <w:tcBorders>
              <w:bottom w:val="single" w:sz="4" w:space="0" w:color="auto"/>
            </w:tcBorders>
            <w:shd w:val="clear" w:color="auto" w:fill="auto"/>
          </w:tcPr>
          <w:p w14:paraId="44E133F5" w14:textId="77777777" w:rsidR="00E93F58" w:rsidRPr="006E709F" w:rsidRDefault="00E93F58" w:rsidP="00A801D0">
            <w:pPr>
              <w:pStyle w:val="Tabletext"/>
            </w:pPr>
            <w:r w:rsidRPr="006E709F">
              <w:rPr>
                <w:i/>
              </w:rPr>
              <w:t>Aged and Infirm Persons’ Property Act</w:t>
            </w:r>
            <w:r w:rsidRPr="006E709F">
              <w:t xml:space="preserve"> and any regulations made under that Act</w:t>
            </w:r>
          </w:p>
        </w:tc>
      </w:tr>
      <w:tr w:rsidR="00E93F58" w:rsidRPr="006E709F" w14:paraId="36C7F071" w14:textId="77777777" w:rsidTr="00E118FA">
        <w:tc>
          <w:tcPr>
            <w:tcW w:w="565" w:type="pct"/>
            <w:tcBorders>
              <w:bottom w:val="single" w:sz="12" w:space="0" w:color="auto"/>
            </w:tcBorders>
            <w:shd w:val="clear" w:color="auto" w:fill="auto"/>
          </w:tcPr>
          <w:p w14:paraId="3E8D4E0B" w14:textId="77777777" w:rsidR="00E93F58" w:rsidRPr="006E709F" w:rsidRDefault="00E93F58" w:rsidP="00A801D0">
            <w:pPr>
              <w:pStyle w:val="Tabletext"/>
            </w:pPr>
            <w:r w:rsidRPr="006E709F">
              <w:t>36</w:t>
            </w:r>
          </w:p>
        </w:tc>
        <w:tc>
          <w:tcPr>
            <w:tcW w:w="4435" w:type="pct"/>
            <w:tcBorders>
              <w:bottom w:val="single" w:sz="12" w:space="0" w:color="auto"/>
            </w:tcBorders>
            <w:shd w:val="clear" w:color="auto" w:fill="auto"/>
          </w:tcPr>
          <w:p w14:paraId="4DF7CEDE" w14:textId="77777777" w:rsidR="00E93F58" w:rsidRPr="006E709F" w:rsidRDefault="00E93F58" w:rsidP="00A801D0">
            <w:pPr>
              <w:pStyle w:val="Tabletext"/>
            </w:pPr>
            <w:r w:rsidRPr="006E709F">
              <w:rPr>
                <w:i/>
              </w:rPr>
              <w:t xml:space="preserve">Public Trustee Act </w:t>
            </w:r>
            <w:r w:rsidRPr="006E709F">
              <w:t>and any regulations made under that Act</w:t>
            </w:r>
          </w:p>
        </w:tc>
      </w:tr>
    </w:tbl>
    <w:p w14:paraId="2F5FF811" w14:textId="77777777" w:rsidR="00E93F58" w:rsidRPr="006E709F" w:rsidRDefault="00E93F58" w:rsidP="00A801D0">
      <w:pPr>
        <w:pStyle w:val="ActHead1"/>
        <w:pageBreakBefore/>
      </w:pPr>
      <w:bookmarkStart w:id="3356" w:name="_Toc151992428"/>
      <w:bookmarkStart w:id="3357" w:name="_Toc158713465"/>
      <w:r w:rsidRPr="000C4237">
        <w:rPr>
          <w:rStyle w:val="CharChapNo"/>
        </w:rPr>
        <w:lastRenderedPageBreak/>
        <w:t>Schedule 8AE</w:t>
      </w:r>
      <w:r w:rsidRPr="006E709F">
        <w:t>—</w:t>
      </w:r>
      <w:r w:rsidRPr="000C4237">
        <w:rPr>
          <w:rStyle w:val="CharChapText"/>
        </w:rPr>
        <w:t>Relevant State and Territory provisions</w:t>
      </w:r>
      <w:bookmarkEnd w:id="3356"/>
      <w:bookmarkEnd w:id="3357"/>
    </w:p>
    <w:p w14:paraId="0FBC75ED" w14:textId="77777777" w:rsidR="00E93F58" w:rsidRPr="006E709F" w:rsidRDefault="00E93F58" w:rsidP="00A801D0">
      <w:pPr>
        <w:pStyle w:val="notemargin"/>
      </w:pPr>
      <w:r w:rsidRPr="006E709F">
        <w:t>(regulation 5D.2.06)</w:t>
      </w:r>
    </w:p>
    <w:p w14:paraId="4C04BF17" w14:textId="77777777" w:rsidR="00E93F58" w:rsidRPr="006E709F" w:rsidRDefault="00E93F58" w:rsidP="00793C32">
      <w:pPr>
        <w:pStyle w:val="Header"/>
      </w:pPr>
      <w:r w:rsidRPr="000C4237">
        <w:rPr>
          <w:rStyle w:val="CharPartNo"/>
        </w:rPr>
        <w:t xml:space="preserve"> </w:t>
      </w:r>
      <w:r w:rsidRPr="000C4237">
        <w:rPr>
          <w:rStyle w:val="CharPartText"/>
        </w:rPr>
        <w:t xml:space="preserve"> </w:t>
      </w:r>
    </w:p>
    <w:p w14:paraId="6D23C5D2"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17"/>
        <w:gridCol w:w="9556"/>
      </w:tblGrid>
      <w:tr w:rsidR="00E93F58" w:rsidRPr="006E709F" w14:paraId="7AFB54CF" w14:textId="77777777" w:rsidTr="00E118FA">
        <w:trPr>
          <w:tblHeader/>
        </w:trPr>
        <w:tc>
          <w:tcPr>
            <w:tcW w:w="565" w:type="pct"/>
            <w:tcBorders>
              <w:top w:val="single" w:sz="12" w:space="0" w:color="auto"/>
              <w:bottom w:val="single" w:sz="12" w:space="0" w:color="auto"/>
            </w:tcBorders>
            <w:shd w:val="clear" w:color="auto" w:fill="auto"/>
          </w:tcPr>
          <w:p w14:paraId="1068FBC8" w14:textId="77777777" w:rsidR="00E93F58" w:rsidRPr="006E709F" w:rsidRDefault="00E93F58" w:rsidP="008C457C">
            <w:pPr>
              <w:pStyle w:val="TableHeading"/>
            </w:pPr>
            <w:r w:rsidRPr="006E709F">
              <w:t>Item</w:t>
            </w:r>
          </w:p>
        </w:tc>
        <w:tc>
          <w:tcPr>
            <w:tcW w:w="4435" w:type="pct"/>
            <w:tcBorders>
              <w:top w:val="single" w:sz="12" w:space="0" w:color="auto"/>
              <w:bottom w:val="single" w:sz="12" w:space="0" w:color="auto"/>
            </w:tcBorders>
            <w:shd w:val="clear" w:color="auto" w:fill="auto"/>
          </w:tcPr>
          <w:p w14:paraId="268FF01D" w14:textId="77777777" w:rsidR="00E93F58" w:rsidRPr="006E709F" w:rsidRDefault="00E93F58" w:rsidP="008C457C">
            <w:pPr>
              <w:pStyle w:val="TableHeading"/>
            </w:pPr>
            <w:r w:rsidRPr="006E709F">
              <w:t xml:space="preserve">State or Territory provisions </w:t>
            </w:r>
          </w:p>
        </w:tc>
      </w:tr>
      <w:tr w:rsidR="00E93F58" w:rsidRPr="006E709F" w14:paraId="621F52A5" w14:textId="77777777" w:rsidTr="00E118FA">
        <w:tc>
          <w:tcPr>
            <w:tcW w:w="565" w:type="pct"/>
            <w:tcBorders>
              <w:top w:val="single" w:sz="12" w:space="0" w:color="auto"/>
            </w:tcBorders>
            <w:shd w:val="clear" w:color="auto" w:fill="auto"/>
          </w:tcPr>
          <w:p w14:paraId="16F185F5" w14:textId="77777777" w:rsidR="00E93F58" w:rsidRPr="006E709F" w:rsidRDefault="00E93F58" w:rsidP="00A801D0">
            <w:pPr>
              <w:pStyle w:val="Tabletext"/>
            </w:pPr>
            <w:r w:rsidRPr="006E709F">
              <w:t>1</w:t>
            </w:r>
          </w:p>
        </w:tc>
        <w:tc>
          <w:tcPr>
            <w:tcW w:w="4435" w:type="pct"/>
            <w:tcBorders>
              <w:top w:val="single" w:sz="12" w:space="0" w:color="auto"/>
            </w:tcBorders>
            <w:shd w:val="clear" w:color="auto" w:fill="auto"/>
          </w:tcPr>
          <w:p w14:paraId="4AACCC1D" w14:textId="77777777" w:rsidR="00E93F58" w:rsidRPr="006E709F" w:rsidRDefault="00E93F58" w:rsidP="00A801D0">
            <w:pPr>
              <w:pStyle w:val="Tabletext"/>
            </w:pPr>
            <w:r w:rsidRPr="006E709F">
              <w:rPr>
                <w:i/>
              </w:rPr>
              <w:t>Trustee Act 1925</w:t>
            </w:r>
            <w:r w:rsidRPr="006E709F">
              <w:t xml:space="preserve"> (NSW), Part 2, Division 2</w:t>
            </w:r>
          </w:p>
        </w:tc>
      </w:tr>
      <w:tr w:rsidR="00E93F58" w:rsidRPr="006E709F" w14:paraId="0B229F09" w14:textId="77777777" w:rsidTr="00E118FA">
        <w:tc>
          <w:tcPr>
            <w:tcW w:w="565" w:type="pct"/>
            <w:shd w:val="clear" w:color="auto" w:fill="auto"/>
          </w:tcPr>
          <w:p w14:paraId="66B2632C" w14:textId="77777777" w:rsidR="00E93F58" w:rsidRPr="006E709F" w:rsidRDefault="00E93F58" w:rsidP="00A801D0">
            <w:pPr>
              <w:pStyle w:val="Tabletext"/>
            </w:pPr>
            <w:r w:rsidRPr="006E709F">
              <w:t>2</w:t>
            </w:r>
          </w:p>
        </w:tc>
        <w:tc>
          <w:tcPr>
            <w:tcW w:w="4435" w:type="pct"/>
            <w:shd w:val="clear" w:color="auto" w:fill="auto"/>
          </w:tcPr>
          <w:p w14:paraId="64938A04" w14:textId="77777777" w:rsidR="00E93F58" w:rsidRPr="006E709F" w:rsidRDefault="00E93F58" w:rsidP="00A801D0">
            <w:pPr>
              <w:pStyle w:val="Tabletext"/>
            </w:pPr>
            <w:r w:rsidRPr="006E709F">
              <w:rPr>
                <w:b/>
              </w:rPr>
              <w:t xml:space="preserve">Trustee Act 1958 </w:t>
            </w:r>
            <w:r w:rsidRPr="006E709F">
              <w:t>(Vic), Part I</w:t>
            </w:r>
          </w:p>
        </w:tc>
      </w:tr>
      <w:tr w:rsidR="00E93F58" w:rsidRPr="006E709F" w14:paraId="500E786D" w14:textId="77777777" w:rsidTr="00E118FA">
        <w:tc>
          <w:tcPr>
            <w:tcW w:w="565" w:type="pct"/>
            <w:shd w:val="clear" w:color="auto" w:fill="auto"/>
          </w:tcPr>
          <w:p w14:paraId="4A3BDF1B" w14:textId="77777777" w:rsidR="00E93F58" w:rsidRPr="006E709F" w:rsidRDefault="00E93F58" w:rsidP="00A801D0">
            <w:pPr>
              <w:pStyle w:val="Tabletext"/>
            </w:pPr>
            <w:r w:rsidRPr="006E709F">
              <w:t>3</w:t>
            </w:r>
          </w:p>
        </w:tc>
        <w:tc>
          <w:tcPr>
            <w:tcW w:w="4435" w:type="pct"/>
            <w:shd w:val="clear" w:color="auto" w:fill="auto"/>
          </w:tcPr>
          <w:p w14:paraId="75EAE98B" w14:textId="77777777" w:rsidR="00E93F58" w:rsidRPr="006E709F" w:rsidRDefault="00E93F58" w:rsidP="00A801D0">
            <w:pPr>
              <w:pStyle w:val="Tabletext"/>
            </w:pPr>
            <w:r w:rsidRPr="006E709F">
              <w:rPr>
                <w:i/>
              </w:rPr>
              <w:t xml:space="preserve">Trusts Act 1973 </w:t>
            </w:r>
            <w:r w:rsidRPr="006E709F">
              <w:t>(Qld), Part 3</w:t>
            </w:r>
          </w:p>
        </w:tc>
      </w:tr>
      <w:tr w:rsidR="00E93F58" w:rsidRPr="006E709F" w14:paraId="0C8DF46F" w14:textId="77777777" w:rsidTr="00E118FA">
        <w:tc>
          <w:tcPr>
            <w:tcW w:w="565" w:type="pct"/>
            <w:shd w:val="clear" w:color="auto" w:fill="auto"/>
          </w:tcPr>
          <w:p w14:paraId="562EBC0C" w14:textId="77777777" w:rsidR="00E93F58" w:rsidRPr="006E709F" w:rsidRDefault="00E93F58" w:rsidP="00A801D0">
            <w:pPr>
              <w:pStyle w:val="Tabletext"/>
            </w:pPr>
            <w:r w:rsidRPr="006E709F">
              <w:t>4</w:t>
            </w:r>
          </w:p>
        </w:tc>
        <w:tc>
          <w:tcPr>
            <w:tcW w:w="4435" w:type="pct"/>
            <w:shd w:val="clear" w:color="auto" w:fill="auto"/>
          </w:tcPr>
          <w:p w14:paraId="59F0F904" w14:textId="77777777" w:rsidR="00E93F58" w:rsidRPr="006E709F" w:rsidRDefault="00E93F58" w:rsidP="00A801D0">
            <w:pPr>
              <w:pStyle w:val="Tabletext"/>
            </w:pPr>
            <w:r w:rsidRPr="006E709F">
              <w:rPr>
                <w:i/>
              </w:rPr>
              <w:t xml:space="preserve">Trustees Act 1962 </w:t>
            </w:r>
            <w:r w:rsidRPr="006E709F">
              <w:t>(WA), Part III</w:t>
            </w:r>
          </w:p>
        </w:tc>
      </w:tr>
      <w:tr w:rsidR="00E93F58" w:rsidRPr="006E709F" w14:paraId="02891DEB" w14:textId="77777777" w:rsidTr="00E118FA">
        <w:tc>
          <w:tcPr>
            <w:tcW w:w="565" w:type="pct"/>
            <w:shd w:val="clear" w:color="auto" w:fill="auto"/>
          </w:tcPr>
          <w:p w14:paraId="3CE701F8" w14:textId="77777777" w:rsidR="00E93F58" w:rsidRPr="006E709F" w:rsidRDefault="00E93F58" w:rsidP="00A801D0">
            <w:pPr>
              <w:pStyle w:val="Tabletext"/>
            </w:pPr>
            <w:r w:rsidRPr="006E709F">
              <w:t>5</w:t>
            </w:r>
          </w:p>
        </w:tc>
        <w:tc>
          <w:tcPr>
            <w:tcW w:w="4435" w:type="pct"/>
            <w:shd w:val="clear" w:color="auto" w:fill="auto"/>
          </w:tcPr>
          <w:p w14:paraId="0543510D" w14:textId="77777777" w:rsidR="00E93F58" w:rsidRPr="006E709F" w:rsidRDefault="00E93F58" w:rsidP="00A801D0">
            <w:pPr>
              <w:pStyle w:val="Tabletext"/>
            </w:pPr>
            <w:r w:rsidRPr="006E709F">
              <w:rPr>
                <w:i/>
              </w:rPr>
              <w:t>Trustee Act 1936</w:t>
            </w:r>
            <w:r w:rsidRPr="006E709F">
              <w:t xml:space="preserve"> (SA), Part 1</w:t>
            </w:r>
          </w:p>
        </w:tc>
      </w:tr>
      <w:tr w:rsidR="00E93F58" w:rsidRPr="006E709F" w14:paraId="08845799" w14:textId="77777777" w:rsidTr="00E118FA">
        <w:tc>
          <w:tcPr>
            <w:tcW w:w="565" w:type="pct"/>
            <w:shd w:val="clear" w:color="auto" w:fill="auto"/>
          </w:tcPr>
          <w:p w14:paraId="614D6AB4" w14:textId="77777777" w:rsidR="00E93F58" w:rsidRPr="006E709F" w:rsidRDefault="00E93F58" w:rsidP="00A801D0">
            <w:pPr>
              <w:pStyle w:val="Tabletext"/>
            </w:pPr>
            <w:r w:rsidRPr="006E709F">
              <w:t>6</w:t>
            </w:r>
          </w:p>
        </w:tc>
        <w:tc>
          <w:tcPr>
            <w:tcW w:w="4435" w:type="pct"/>
            <w:shd w:val="clear" w:color="auto" w:fill="auto"/>
          </w:tcPr>
          <w:p w14:paraId="72036D48" w14:textId="77777777" w:rsidR="00E93F58" w:rsidRPr="006E709F" w:rsidRDefault="00E93F58" w:rsidP="00A801D0">
            <w:pPr>
              <w:pStyle w:val="Tabletext"/>
            </w:pPr>
            <w:r w:rsidRPr="006E709F">
              <w:rPr>
                <w:i/>
              </w:rPr>
              <w:t>Trustee Act 1898</w:t>
            </w:r>
            <w:r w:rsidRPr="006E709F">
              <w:t xml:space="preserve"> (Tas), Part II</w:t>
            </w:r>
          </w:p>
        </w:tc>
      </w:tr>
      <w:tr w:rsidR="00E93F58" w:rsidRPr="006E709F" w14:paraId="79F6B057" w14:textId="77777777" w:rsidTr="00E118FA">
        <w:tc>
          <w:tcPr>
            <w:tcW w:w="565" w:type="pct"/>
            <w:tcBorders>
              <w:bottom w:val="single" w:sz="4" w:space="0" w:color="auto"/>
            </w:tcBorders>
            <w:shd w:val="clear" w:color="auto" w:fill="auto"/>
          </w:tcPr>
          <w:p w14:paraId="5821468C" w14:textId="77777777" w:rsidR="00E93F58" w:rsidRPr="006E709F" w:rsidRDefault="00E93F58" w:rsidP="00A801D0">
            <w:pPr>
              <w:pStyle w:val="Tabletext"/>
            </w:pPr>
            <w:r w:rsidRPr="006E709F">
              <w:t>7</w:t>
            </w:r>
          </w:p>
        </w:tc>
        <w:tc>
          <w:tcPr>
            <w:tcW w:w="4435" w:type="pct"/>
            <w:tcBorders>
              <w:bottom w:val="single" w:sz="4" w:space="0" w:color="auto"/>
            </w:tcBorders>
            <w:shd w:val="clear" w:color="auto" w:fill="auto"/>
          </w:tcPr>
          <w:p w14:paraId="0F9C4B05" w14:textId="77777777" w:rsidR="00E93F58" w:rsidRPr="006E709F" w:rsidRDefault="00E93F58" w:rsidP="00A801D0">
            <w:pPr>
              <w:pStyle w:val="Tabletext"/>
            </w:pPr>
            <w:r w:rsidRPr="006E709F">
              <w:rPr>
                <w:i/>
              </w:rPr>
              <w:t>Trustee Act 1925</w:t>
            </w:r>
            <w:r w:rsidRPr="006E709F">
              <w:t xml:space="preserve"> (ACT), Part 2, Subdivision 2.2.1</w:t>
            </w:r>
          </w:p>
        </w:tc>
      </w:tr>
      <w:tr w:rsidR="00E93F58" w:rsidRPr="006E709F" w14:paraId="155A29CC" w14:textId="77777777" w:rsidTr="00E118FA">
        <w:tc>
          <w:tcPr>
            <w:tcW w:w="565" w:type="pct"/>
            <w:tcBorders>
              <w:bottom w:val="single" w:sz="12" w:space="0" w:color="auto"/>
            </w:tcBorders>
            <w:shd w:val="clear" w:color="auto" w:fill="auto"/>
          </w:tcPr>
          <w:p w14:paraId="07D7FC49" w14:textId="77777777" w:rsidR="00E93F58" w:rsidRPr="006E709F" w:rsidRDefault="00E93F58" w:rsidP="00A801D0">
            <w:pPr>
              <w:pStyle w:val="Tabletext"/>
            </w:pPr>
            <w:r w:rsidRPr="006E709F">
              <w:t>8</w:t>
            </w:r>
          </w:p>
        </w:tc>
        <w:tc>
          <w:tcPr>
            <w:tcW w:w="4435" w:type="pct"/>
            <w:tcBorders>
              <w:bottom w:val="single" w:sz="12" w:space="0" w:color="auto"/>
            </w:tcBorders>
            <w:shd w:val="clear" w:color="auto" w:fill="auto"/>
          </w:tcPr>
          <w:p w14:paraId="03F6279B" w14:textId="77777777" w:rsidR="00E93F58" w:rsidRPr="006E709F" w:rsidRDefault="00E93F58" w:rsidP="00A801D0">
            <w:pPr>
              <w:pStyle w:val="Tabletext"/>
            </w:pPr>
            <w:r w:rsidRPr="006E709F">
              <w:t>Trustee Act (NT), Part I</w:t>
            </w:r>
          </w:p>
        </w:tc>
      </w:tr>
    </w:tbl>
    <w:p w14:paraId="3F022B56" w14:textId="77777777" w:rsidR="00E93F58" w:rsidRPr="006E709F" w:rsidRDefault="00E93F58" w:rsidP="00E376FA">
      <w:pPr>
        <w:pStyle w:val="ActHead1"/>
        <w:pageBreakBefore/>
      </w:pPr>
      <w:bookmarkStart w:id="3358" w:name="_Toc151992429"/>
      <w:bookmarkStart w:id="3359" w:name="_Toc158713466"/>
      <w:r w:rsidRPr="000C4237">
        <w:rPr>
          <w:rStyle w:val="CharChapNo"/>
        </w:rPr>
        <w:lastRenderedPageBreak/>
        <w:t>Schedule 8C</w:t>
      </w:r>
      <w:r w:rsidRPr="006E709F">
        <w:t>—</w:t>
      </w:r>
      <w:r w:rsidRPr="000C4237">
        <w:rPr>
          <w:rStyle w:val="CharChapText"/>
        </w:rPr>
        <w:t>Modifications of Part 7.5 of the Act—compensation regimes</w:t>
      </w:r>
      <w:bookmarkEnd w:id="3358"/>
      <w:bookmarkEnd w:id="3359"/>
    </w:p>
    <w:p w14:paraId="51454CDF" w14:textId="77777777" w:rsidR="00E93F58" w:rsidRPr="006E709F" w:rsidRDefault="00E93F58" w:rsidP="00A801D0">
      <w:pPr>
        <w:pStyle w:val="notemargin"/>
      </w:pPr>
      <w:r w:rsidRPr="006E709F">
        <w:t>(regulation 7.5.01A)</w:t>
      </w:r>
    </w:p>
    <w:p w14:paraId="6AA2DD8D" w14:textId="77777777" w:rsidR="00E93F58" w:rsidRPr="006E709F" w:rsidRDefault="00E93F58" w:rsidP="00105D3A">
      <w:pPr>
        <w:pStyle w:val="Header"/>
      </w:pPr>
      <w:r w:rsidRPr="000C4237">
        <w:rPr>
          <w:rStyle w:val="CharPartNo"/>
        </w:rPr>
        <w:t xml:space="preserve"> </w:t>
      </w:r>
      <w:r w:rsidRPr="000C4237">
        <w:rPr>
          <w:rStyle w:val="CharPartText"/>
        </w:rPr>
        <w:t xml:space="preserve"> </w:t>
      </w:r>
    </w:p>
    <w:p w14:paraId="051A6290" w14:textId="77777777" w:rsidR="00E93F58" w:rsidRPr="006E709F" w:rsidRDefault="00E93F58" w:rsidP="000406AC">
      <w:pPr>
        <w:pStyle w:val="ItemHead"/>
      </w:pPr>
      <w:r w:rsidRPr="006E709F">
        <w:t xml:space="preserve">1  </w:t>
      </w:r>
      <w:r w:rsidRPr="008F4A8A">
        <w:t>Section 880B</w:t>
      </w:r>
      <w:r w:rsidRPr="006E709F">
        <w:t xml:space="preserve">, definition of </w:t>
      </w:r>
      <w:r w:rsidRPr="006E709F">
        <w:rPr>
          <w:i/>
        </w:rPr>
        <w:t>fidelity fund</w:t>
      </w:r>
      <w:r w:rsidRPr="006E709F">
        <w:t>, subparagraph (b)(ii)</w:t>
      </w:r>
    </w:p>
    <w:p w14:paraId="6043D6D9" w14:textId="77777777" w:rsidR="00E93F58" w:rsidRPr="006E709F" w:rsidRDefault="00E93F58" w:rsidP="000406AC">
      <w:pPr>
        <w:pStyle w:val="Item"/>
        <w:rPr>
          <w:i/>
        </w:rPr>
      </w:pPr>
      <w:r w:rsidRPr="006E709F">
        <w:rPr>
          <w:i/>
        </w:rPr>
        <w:t>omit</w:t>
      </w:r>
    </w:p>
    <w:p w14:paraId="259626F0" w14:textId="77777777" w:rsidR="00E93F58" w:rsidRPr="006E709F" w:rsidRDefault="00E93F58" w:rsidP="000406AC">
      <w:pPr>
        <w:pStyle w:val="Item"/>
      </w:pPr>
      <w:r w:rsidRPr="006E709F">
        <w:t>markets;</w:t>
      </w:r>
    </w:p>
    <w:p w14:paraId="0C609271" w14:textId="77777777" w:rsidR="00E93F58" w:rsidRPr="006E709F" w:rsidRDefault="00E93F58" w:rsidP="000406AC">
      <w:pPr>
        <w:pStyle w:val="Item"/>
        <w:rPr>
          <w:i/>
        </w:rPr>
      </w:pPr>
      <w:r w:rsidRPr="006E709F">
        <w:rPr>
          <w:i/>
        </w:rPr>
        <w:t>insert</w:t>
      </w:r>
    </w:p>
    <w:p w14:paraId="6FDEB6F0" w14:textId="77777777" w:rsidR="00E93F58" w:rsidRPr="006E709F" w:rsidRDefault="00E93F58" w:rsidP="000406AC">
      <w:pPr>
        <w:pStyle w:val="Item"/>
      </w:pPr>
      <w:r w:rsidRPr="006E709F">
        <w:t>markets; or</w:t>
      </w:r>
    </w:p>
    <w:p w14:paraId="4E1D16BD" w14:textId="77777777" w:rsidR="00E93F58" w:rsidRPr="006E709F" w:rsidRDefault="00E93F58" w:rsidP="00714BE7">
      <w:pPr>
        <w:pStyle w:val="ItemHead"/>
      </w:pPr>
      <w:r w:rsidRPr="006E709F">
        <w:t xml:space="preserve">2  </w:t>
      </w:r>
      <w:r w:rsidRPr="008E71C9">
        <w:t>Section 880B</w:t>
      </w:r>
      <w:r w:rsidRPr="006E709F">
        <w:t xml:space="preserve">, definition of </w:t>
      </w:r>
      <w:r w:rsidRPr="006E709F">
        <w:rPr>
          <w:i/>
        </w:rPr>
        <w:t>fidelity fund</w:t>
      </w:r>
      <w:r w:rsidRPr="006E709F">
        <w:t>, after paragraph (b)</w:t>
      </w:r>
    </w:p>
    <w:p w14:paraId="4CFE2CBF" w14:textId="77777777" w:rsidR="00E93F58" w:rsidRPr="006E709F" w:rsidRDefault="00E93F58" w:rsidP="00714BE7">
      <w:pPr>
        <w:pStyle w:val="Item"/>
        <w:rPr>
          <w:i/>
        </w:rPr>
      </w:pPr>
      <w:r w:rsidRPr="006E709F">
        <w:rPr>
          <w:i/>
        </w:rPr>
        <w:t>insert</w:t>
      </w:r>
    </w:p>
    <w:p w14:paraId="4E077E4B" w14:textId="77777777" w:rsidR="00E93F58" w:rsidRPr="006E709F" w:rsidRDefault="00E93F58" w:rsidP="00A801D0">
      <w:pPr>
        <w:pStyle w:val="paragraph"/>
      </w:pPr>
      <w:r w:rsidRPr="006E709F">
        <w:tab/>
        <w:t>(c)</w:t>
      </w:r>
      <w:r w:rsidRPr="006E709F">
        <w:tab/>
        <w:t>the operator of the market or related body corporate of the operator of the market;</w:t>
      </w:r>
    </w:p>
    <w:p w14:paraId="1084D419" w14:textId="77777777" w:rsidR="00E93F58" w:rsidRPr="006E709F" w:rsidRDefault="00E93F58" w:rsidP="00714BE7">
      <w:pPr>
        <w:pStyle w:val="ItemHead"/>
      </w:pPr>
      <w:r w:rsidRPr="006E709F">
        <w:t>3  Subsection 881A(2)</w:t>
      </w:r>
    </w:p>
    <w:p w14:paraId="52C9762F" w14:textId="77777777" w:rsidR="00E93F58" w:rsidRPr="006E709F" w:rsidRDefault="00E93F58" w:rsidP="00714BE7">
      <w:pPr>
        <w:pStyle w:val="Item"/>
        <w:rPr>
          <w:i/>
        </w:rPr>
      </w:pPr>
      <w:r w:rsidRPr="006E709F">
        <w:rPr>
          <w:i/>
        </w:rPr>
        <w:t>substitute</w:t>
      </w:r>
    </w:p>
    <w:p w14:paraId="15C7BE45" w14:textId="77777777" w:rsidR="00E93F58" w:rsidRPr="006E709F" w:rsidRDefault="00E93F58" w:rsidP="00A801D0">
      <w:pPr>
        <w:pStyle w:val="subsection"/>
      </w:pPr>
      <w:r w:rsidRPr="006E709F">
        <w:tab/>
        <w:t>(1A)</w:t>
      </w:r>
      <w:r w:rsidRPr="006E709F">
        <w:tab/>
        <w:t>If:</w:t>
      </w:r>
    </w:p>
    <w:p w14:paraId="2ADB24B3" w14:textId="77777777" w:rsidR="00E93F58" w:rsidRPr="006E709F" w:rsidRDefault="00E93F58" w:rsidP="00A801D0">
      <w:pPr>
        <w:pStyle w:val="paragraph"/>
      </w:pPr>
      <w:r w:rsidRPr="006E709F">
        <w:tab/>
        <w:t>(a)</w:t>
      </w:r>
      <w:r w:rsidRPr="006E709F">
        <w:tab/>
        <w:t>compensation arrangements under Division 4 apply to only some financial products acquired or disposed of through a licensed market; and</w:t>
      </w:r>
    </w:p>
    <w:p w14:paraId="341BB361" w14:textId="77777777" w:rsidR="00E93F58" w:rsidRPr="006E709F" w:rsidRDefault="00E93F58" w:rsidP="00A801D0">
      <w:pPr>
        <w:pStyle w:val="paragraph"/>
      </w:pPr>
      <w:r w:rsidRPr="006E709F">
        <w:tab/>
        <w:t>(b)</w:t>
      </w:r>
      <w:r w:rsidRPr="006E709F">
        <w:tab/>
        <w:t>paragraphs (1)(a) and (b) are satisfied for the other products acquired or disposed of through the licensed market;</w:t>
      </w:r>
    </w:p>
    <w:p w14:paraId="25BD6D9A" w14:textId="77777777" w:rsidR="00E93F58" w:rsidRPr="006E709F" w:rsidRDefault="00E93F58" w:rsidP="00A801D0">
      <w:pPr>
        <w:pStyle w:val="subsection2"/>
      </w:pPr>
      <w:r w:rsidRPr="006E709F">
        <w:t>there must be compensation arrangements in relation to the other products that are approved in accordance with Division 3.</w:t>
      </w:r>
    </w:p>
    <w:p w14:paraId="6F226CDB" w14:textId="77777777" w:rsidR="00E93F58" w:rsidRPr="006E709F" w:rsidRDefault="00E93F58" w:rsidP="00A801D0">
      <w:pPr>
        <w:pStyle w:val="subsection"/>
      </w:pPr>
      <w:r w:rsidRPr="006E709F">
        <w:tab/>
        <w:t>(2)</w:t>
      </w:r>
      <w:r w:rsidRPr="006E709F">
        <w:tab/>
        <w:t>The compensation regime that applies to a financial market is:</w:t>
      </w:r>
    </w:p>
    <w:p w14:paraId="16B70B71" w14:textId="77777777" w:rsidR="00E93F58" w:rsidRPr="006E709F" w:rsidRDefault="00E93F58" w:rsidP="00A801D0">
      <w:pPr>
        <w:pStyle w:val="paragraph"/>
      </w:pPr>
      <w:r w:rsidRPr="006E709F">
        <w:tab/>
        <w:t>(a)</w:t>
      </w:r>
      <w:r w:rsidRPr="006E709F">
        <w:tab/>
        <w:t>for a financial product to which Division 3 applies—the compensation regime constituted by Division 3; and</w:t>
      </w:r>
    </w:p>
    <w:p w14:paraId="073EA786" w14:textId="77777777" w:rsidR="00E93F58" w:rsidRPr="006E709F" w:rsidRDefault="00E93F58" w:rsidP="00A801D0">
      <w:pPr>
        <w:pStyle w:val="paragraph"/>
      </w:pPr>
      <w:r w:rsidRPr="006E709F">
        <w:tab/>
        <w:t>(b)</w:t>
      </w:r>
      <w:r w:rsidRPr="006E709F">
        <w:tab/>
        <w:t>for a financial product to which Division 4 applies—the compensation regime constituted by Division 4.</w:t>
      </w:r>
    </w:p>
    <w:p w14:paraId="09AD7F5F" w14:textId="77777777" w:rsidR="00E93F58" w:rsidRPr="006E709F" w:rsidRDefault="00E93F58" w:rsidP="00714BE7">
      <w:pPr>
        <w:pStyle w:val="ItemHead"/>
      </w:pPr>
      <w:r w:rsidRPr="006E709F">
        <w:t>4  Paragraph 885C(1)(b)</w:t>
      </w:r>
    </w:p>
    <w:p w14:paraId="5FFC221F" w14:textId="77777777" w:rsidR="00E93F58" w:rsidRPr="006E709F" w:rsidRDefault="00E93F58" w:rsidP="00714BE7">
      <w:pPr>
        <w:pStyle w:val="Item"/>
        <w:rPr>
          <w:i/>
        </w:rPr>
      </w:pPr>
      <w:r w:rsidRPr="006E709F">
        <w:rPr>
          <w:i/>
        </w:rPr>
        <w:t>substitute</w:t>
      </w:r>
    </w:p>
    <w:p w14:paraId="66B5EB75" w14:textId="77777777" w:rsidR="00E93F58" w:rsidRPr="006E709F" w:rsidRDefault="00E93F58" w:rsidP="00A801D0">
      <w:pPr>
        <w:pStyle w:val="paragraph"/>
      </w:pPr>
      <w:r w:rsidRPr="006E709F">
        <w:tab/>
        <w:t>(b)</w:t>
      </w:r>
      <w:r w:rsidRPr="006E709F">
        <w:tab/>
        <w:t>the money or other property, or the authority, was given to the participant in connection with effecting a transaction, or proposed transaction, that:</w:t>
      </w:r>
    </w:p>
    <w:p w14:paraId="6C16CC6E" w14:textId="77777777" w:rsidR="00E93F58" w:rsidRPr="006E709F" w:rsidRDefault="00E93F58" w:rsidP="00A801D0">
      <w:pPr>
        <w:pStyle w:val="paragraphsub"/>
      </w:pPr>
      <w:r w:rsidRPr="006E709F">
        <w:tab/>
        <w:t>(i)</w:t>
      </w:r>
      <w:r w:rsidRPr="006E709F">
        <w:tab/>
        <w:t>was covered by provisions of the operating rules of the market relating to transactions effected through the market; and</w:t>
      </w:r>
    </w:p>
    <w:p w14:paraId="41AD8B80" w14:textId="77777777" w:rsidR="00E93F58" w:rsidRPr="006E709F" w:rsidRDefault="00E93F58" w:rsidP="00A801D0">
      <w:pPr>
        <w:pStyle w:val="paragraphsub"/>
      </w:pPr>
      <w:r w:rsidRPr="006E709F">
        <w:tab/>
        <w:t>(ii)</w:t>
      </w:r>
      <w:r w:rsidRPr="006E709F">
        <w:tab/>
        <w:t>related to a particular financial product that was not covered by the compensation regime constituted by Division 4; and</w:t>
      </w:r>
    </w:p>
    <w:p w14:paraId="39CD8AF0" w14:textId="77777777" w:rsidR="00E93F58" w:rsidRPr="006E709F" w:rsidRDefault="00E93F58" w:rsidP="00714BE7">
      <w:pPr>
        <w:pStyle w:val="ItemHead"/>
      </w:pPr>
      <w:r w:rsidRPr="006E709F">
        <w:t>5  Section 885D, heading</w:t>
      </w:r>
    </w:p>
    <w:p w14:paraId="1D57E012" w14:textId="77777777" w:rsidR="00E93F58" w:rsidRPr="006E709F" w:rsidRDefault="00E93F58" w:rsidP="00714BE7">
      <w:pPr>
        <w:pStyle w:val="Item"/>
        <w:rPr>
          <w:i/>
        </w:rPr>
      </w:pPr>
      <w:r w:rsidRPr="006E709F">
        <w:rPr>
          <w:i/>
        </w:rPr>
        <w:t>substitute</w:t>
      </w:r>
    </w:p>
    <w:p w14:paraId="4F3BE5EF" w14:textId="77777777" w:rsidR="00E93F58" w:rsidRPr="006E709F" w:rsidRDefault="00E93F58" w:rsidP="00F32DDD">
      <w:pPr>
        <w:pStyle w:val="Specials"/>
      </w:pPr>
      <w:r w:rsidRPr="006E709F">
        <w:t>885D  Certain losses that are or are not Division 3 losses</w:t>
      </w:r>
    </w:p>
    <w:p w14:paraId="47F0E208" w14:textId="77777777" w:rsidR="00E93F58" w:rsidRPr="006E709F" w:rsidRDefault="00E93F58" w:rsidP="00714BE7">
      <w:pPr>
        <w:pStyle w:val="ItemHead"/>
      </w:pPr>
      <w:r w:rsidRPr="006E709F">
        <w:t>6  After subsection 885D(2)</w:t>
      </w:r>
    </w:p>
    <w:p w14:paraId="7F1C2F6F" w14:textId="77777777" w:rsidR="00E93F58" w:rsidRPr="006E709F" w:rsidRDefault="00E93F58" w:rsidP="00714BE7">
      <w:pPr>
        <w:pStyle w:val="Item"/>
        <w:rPr>
          <w:i/>
        </w:rPr>
      </w:pPr>
      <w:r w:rsidRPr="006E709F">
        <w:rPr>
          <w:i/>
        </w:rPr>
        <w:t>Insert:</w:t>
      </w:r>
    </w:p>
    <w:p w14:paraId="7754B00E" w14:textId="77777777" w:rsidR="00E93F58" w:rsidRPr="006E709F" w:rsidRDefault="00E93F58" w:rsidP="00A801D0">
      <w:pPr>
        <w:pStyle w:val="subsection"/>
      </w:pPr>
      <w:r w:rsidRPr="006E709F">
        <w:tab/>
        <w:t>(2A)</w:t>
      </w:r>
      <w:r w:rsidRPr="006E709F">
        <w:tab/>
        <w:t>Despite subsection (2), if, in relation to a loss suffered by a person:</w:t>
      </w:r>
    </w:p>
    <w:p w14:paraId="06F2F74F" w14:textId="77777777" w:rsidR="00E93F58" w:rsidRPr="006E709F" w:rsidRDefault="00E93F58" w:rsidP="00A801D0">
      <w:pPr>
        <w:pStyle w:val="paragraph"/>
      </w:pPr>
      <w:r w:rsidRPr="006E709F">
        <w:tab/>
        <w:t>(a)</w:t>
      </w:r>
      <w:r w:rsidRPr="006E709F">
        <w:tab/>
        <w:t>the requirements of subsection 885C(1) are satisfied in relation to a participant and a financial market, except that it is not reasonably apparent whether the compensation regime constituted by Division 3 or by Division 4 covered the transaction, or proposed transaction; and</w:t>
      </w:r>
    </w:p>
    <w:p w14:paraId="32064CAB" w14:textId="77777777" w:rsidR="00E93F58" w:rsidRPr="006E709F" w:rsidRDefault="00E93F58" w:rsidP="00A801D0">
      <w:pPr>
        <w:pStyle w:val="paragraph"/>
      </w:pPr>
      <w:r w:rsidRPr="006E709F">
        <w:tab/>
        <w:t>(b)</w:t>
      </w:r>
      <w:r w:rsidRPr="006E709F">
        <w:tab/>
        <w:t>the relevant financial market has both Division 3 and Division 4 arrangements; and</w:t>
      </w:r>
    </w:p>
    <w:p w14:paraId="36B81416" w14:textId="77777777" w:rsidR="00E93F58" w:rsidRPr="006E709F" w:rsidRDefault="00E93F58" w:rsidP="00A801D0">
      <w:pPr>
        <w:pStyle w:val="paragraph"/>
      </w:pPr>
      <w:r w:rsidRPr="006E709F">
        <w:tab/>
        <w:t>(c)</w:t>
      </w:r>
      <w:r w:rsidRPr="006E709F">
        <w:tab/>
        <w:t>either:</w:t>
      </w:r>
    </w:p>
    <w:p w14:paraId="4EE77346" w14:textId="77777777" w:rsidR="00E93F58" w:rsidRPr="006E709F" w:rsidRDefault="00E93F58" w:rsidP="00A801D0">
      <w:pPr>
        <w:pStyle w:val="paragraphsub"/>
      </w:pPr>
      <w:r w:rsidRPr="006E709F">
        <w:lastRenderedPageBreak/>
        <w:tab/>
        <w:t>(i)</w:t>
      </w:r>
      <w:r w:rsidRPr="006E709F">
        <w:tab/>
        <w:t>the person did not (expressly or impliedly) instruct the participant to use the money or other property to enter into a transaction that would be covered by the compensation regime constituted by Division 3 or by Division 4; or</w:t>
      </w:r>
    </w:p>
    <w:p w14:paraId="203E11C2" w14:textId="77777777" w:rsidR="00E93F58" w:rsidRPr="006E709F" w:rsidRDefault="00E93F58" w:rsidP="00A801D0">
      <w:pPr>
        <w:pStyle w:val="paragraphsub"/>
      </w:pPr>
      <w:r w:rsidRPr="006E709F">
        <w:tab/>
        <w:t>(ii)</w:t>
      </w:r>
      <w:r w:rsidRPr="006E709F">
        <w:tab/>
        <w:t>if the participant had authority to enter into transactions on the person’s behalf without specific authority, there is no evidence that the participant decided to use the money or other property to enter into a transaction that would be covered by the compensation regime constituted by Division 3 or by Division 4; and</w:t>
      </w:r>
    </w:p>
    <w:p w14:paraId="083C0457" w14:textId="77777777" w:rsidR="00E93F58" w:rsidRPr="006E709F" w:rsidRDefault="00E93F58" w:rsidP="00A801D0">
      <w:pPr>
        <w:pStyle w:val="paragraph"/>
      </w:pPr>
      <w:r w:rsidRPr="006E709F">
        <w:tab/>
        <w:t>(d)</w:t>
      </w:r>
      <w:r w:rsidRPr="006E709F">
        <w:tab/>
        <w:t>the participant was permitted to trade in products that would be covered by the compensation regimes constituted by Division 3 and by Division 4; and</w:t>
      </w:r>
    </w:p>
    <w:p w14:paraId="017F2E50" w14:textId="77777777" w:rsidR="00E93F58" w:rsidRPr="006E709F" w:rsidRDefault="00E93F58" w:rsidP="00A801D0">
      <w:pPr>
        <w:pStyle w:val="paragraph"/>
      </w:pPr>
      <w:r w:rsidRPr="006E709F">
        <w:tab/>
        <w:t>(e)</w:t>
      </w:r>
      <w:r w:rsidRPr="006E709F">
        <w:tab/>
        <w:t>it is not reasonably apparent from the usual business practice of the participant which of those transactions the participant proposed to undertake;</w:t>
      </w:r>
    </w:p>
    <w:p w14:paraId="07206917" w14:textId="77777777" w:rsidR="00E93F58" w:rsidRPr="006E709F" w:rsidRDefault="00E93F58" w:rsidP="00A801D0">
      <w:pPr>
        <w:pStyle w:val="subsection2"/>
      </w:pPr>
      <w:r w:rsidRPr="006E709F">
        <w:t xml:space="preserve">the loss is taken to be a </w:t>
      </w:r>
      <w:r w:rsidRPr="006E709F">
        <w:rPr>
          <w:b/>
          <w:i/>
        </w:rPr>
        <w:t>Division 3 loss</w:t>
      </w:r>
      <w:r w:rsidRPr="006E709F">
        <w:t xml:space="preserve"> and not to be a loss that is connected with a financial market to which Division 4 applies.</w:t>
      </w:r>
    </w:p>
    <w:p w14:paraId="016C496A" w14:textId="77777777" w:rsidR="00E93F58" w:rsidRPr="006E709F" w:rsidRDefault="00E93F58" w:rsidP="000D0B82">
      <w:pPr>
        <w:pStyle w:val="subsection"/>
      </w:pPr>
      <w:r w:rsidRPr="006E709F">
        <w:tab/>
        <w:t>(2B)</w:t>
      </w:r>
      <w:r w:rsidRPr="006E709F">
        <w:tab/>
        <w:t>Despite subsection (2), if:</w:t>
      </w:r>
    </w:p>
    <w:p w14:paraId="32490D03" w14:textId="77777777" w:rsidR="00E93F58" w:rsidRPr="006E709F" w:rsidRDefault="00E93F58" w:rsidP="000D0B82">
      <w:pPr>
        <w:pStyle w:val="paragraph"/>
      </w:pPr>
      <w:r w:rsidRPr="006E709F">
        <w:tab/>
        <w:t>(a)</w:t>
      </w:r>
      <w:r w:rsidRPr="006E709F">
        <w:tab/>
        <w:t>the requirements of subsection 885C(1) are satisfied in relation to a participant and a financial market; and</w:t>
      </w:r>
    </w:p>
    <w:p w14:paraId="3784EF57" w14:textId="77777777" w:rsidR="00E93F58" w:rsidRPr="006E709F" w:rsidRDefault="00E93F58" w:rsidP="000D0B82">
      <w:pPr>
        <w:pStyle w:val="paragraph"/>
      </w:pPr>
      <w:r w:rsidRPr="006E709F">
        <w:tab/>
        <w:t>(b)</w:t>
      </w:r>
      <w:r w:rsidRPr="006E709F">
        <w:tab/>
        <w:t>the loss is also connected (see section 888A) with a financial market to which Division 4 applies; and</w:t>
      </w:r>
    </w:p>
    <w:p w14:paraId="01DEAFA1" w14:textId="77777777" w:rsidR="00E93F58" w:rsidRPr="006E709F" w:rsidRDefault="00E93F58" w:rsidP="000D0B82">
      <w:pPr>
        <w:pStyle w:val="paragraph"/>
      </w:pPr>
      <w:r w:rsidRPr="006E709F">
        <w:tab/>
        <w:t>(c)</w:t>
      </w:r>
      <w:r w:rsidRPr="006E709F">
        <w:tab/>
        <w:t>the person did not (expressly or impliedly) instruct the participant to use a particular one of those markets; and</w:t>
      </w:r>
    </w:p>
    <w:p w14:paraId="570470DA" w14:textId="77777777" w:rsidR="00E93F58" w:rsidRPr="006E709F" w:rsidRDefault="00E93F58" w:rsidP="000D0B82">
      <w:pPr>
        <w:pStyle w:val="paragraph"/>
      </w:pPr>
      <w:r w:rsidRPr="006E709F">
        <w:tab/>
        <w:t>(d)</w:t>
      </w:r>
      <w:r w:rsidRPr="006E709F">
        <w:tab/>
        <w:t>it is not reasonably apparent from the usual business practice of the participant which of those markets the participant would use when acting for the person; and</w:t>
      </w:r>
    </w:p>
    <w:p w14:paraId="606A5255" w14:textId="77777777" w:rsidR="00E93F58" w:rsidRPr="006E709F" w:rsidRDefault="00E93F58" w:rsidP="000D0B82">
      <w:pPr>
        <w:pStyle w:val="paragraph"/>
      </w:pPr>
      <w:r w:rsidRPr="006E709F">
        <w:tab/>
        <w:t>(e)</w:t>
      </w:r>
      <w:r w:rsidRPr="006E709F">
        <w:tab/>
        <w:t>the loss is connected with a transaction effected through a financial market to which Division 3 applies; and</w:t>
      </w:r>
    </w:p>
    <w:p w14:paraId="69E57060" w14:textId="77777777" w:rsidR="00E93F58" w:rsidRPr="006E709F" w:rsidRDefault="00E93F58" w:rsidP="000D0B82">
      <w:pPr>
        <w:pStyle w:val="paragraph"/>
      </w:pPr>
      <w:r w:rsidRPr="006E709F">
        <w:tab/>
        <w:t>(f)</w:t>
      </w:r>
      <w:r w:rsidRPr="006E709F">
        <w:tab/>
        <w:t>a claim cannot be made, or has been disallowed, under Division 4 (see subsection 888A(1));</w:t>
      </w:r>
    </w:p>
    <w:p w14:paraId="2215097D" w14:textId="77777777" w:rsidR="00E93F58" w:rsidRPr="006E709F" w:rsidRDefault="00E93F58" w:rsidP="000D0B82">
      <w:pPr>
        <w:pStyle w:val="subsection2"/>
      </w:pPr>
      <w:r w:rsidRPr="006E709F">
        <w:t xml:space="preserve">the loss is taken to be a </w:t>
      </w:r>
      <w:r w:rsidRPr="006E709F">
        <w:rPr>
          <w:b/>
          <w:bCs/>
          <w:i/>
          <w:iCs/>
        </w:rPr>
        <w:t>Division 3 loss</w:t>
      </w:r>
      <w:r w:rsidRPr="006E709F">
        <w:t xml:space="preserve"> and not to be a loss that is connected with a financial market to which Division 4 applies.</w:t>
      </w:r>
    </w:p>
    <w:p w14:paraId="1C19C87E" w14:textId="77777777" w:rsidR="00E93F58" w:rsidRPr="006E709F" w:rsidRDefault="00E93F58" w:rsidP="00714BE7">
      <w:pPr>
        <w:pStyle w:val="ItemHead"/>
      </w:pPr>
      <w:r w:rsidRPr="006E709F">
        <w:t>7  Subsection 885J(1)</w:t>
      </w:r>
    </w:p>
    <w:p w14:paraId="242D5993" w14:textId="77777777" w:rsidR="00E93F58" w:rsidRPr="006E709F" w:rsidRDefault="00E93F58" w:rsidP="00714BE7">
      <w:pPr>
        <w:pStyle w:val="Item"/>
        <w:rPr>
          <w:i/>
        </w:rPr>
      </w:pPr>
      <w:r w:rsidRPr="006E709F">
        <w:rPr>
          <w:i/>
        </w:rPr>
        <w:t>omit</w:t>
      </w:r>
    </w:p>
    <w:p w14:paraId="7AD22109" w14:textId="77777777" w:rsidR="00E93F58" w:rsidRPr="006E709F" w:rsidRDefault="00E93F58" w:rsidP="00714BE7">
      <w:pPr>
        <w:pStyle w:val="Item"/>
      </w:pPr>
      <w:r w:rsidRPr="006E709F">
        <w:t>adequate,</w:t>
      </w:r>
    </w:p>
    <w:p w14:paraId="6A4A3ECB" w14:textId="77777777" w:rsidR="00E93F58" w:rsidRPr="006E709F" w:rsidRDefault="00E93F58" w:rsidP="00714BE7">
      <w:pPr>
        <w:pStyle w:val="Item"/>
        <w:rPr>
          <w:i/>
        </w:rPr>
      </w:pPr>
      <w:r w:rsidRPr="006E709F">
        <w:rPr>
          <w:i/>
        </w:rPr>
        <w:t>insert</w:t>
      </w:r>
    </w:p>
    <w:p w14:paraId="3D57DA92" w14:textId="77777777" w:rsidR="00E93F58" w:rsidRPr="006E709F" w:rsidRDefault="00E93F58" w:rsidP="00714BE7">
      <w:pPr>
        <w:pStyle w:val="Item"/>
      </w:pPr>
      <w:r w:rsidRPr="006E709F">
        <w:t>adequate for the market, or segment of the market, for which the arrangements apply,</w:t>
      </w:r>
    </w:p>
    <w:p w14:paraId="6E68F14C" w14:textId="77777777" w:rsidR="00E93F58" w:rsidRPr="006E709F" w:rsidRDefault="00E93F58" w:rsidP="00A25488">
      <w:pPr>
        <w:pStyle w:val="ItemHead"/>
      </w:pPr>
      <w:r w:rsidRPr="006E709F">
        <w:t>8  Section 887A</w:t>
      </w:r>
    </w:p>
    <w:p w14:paraId="4AFDDDC8" w14:textId="77777777" w:rsidR="00E93F58" w:rsidRPr="006E709F" w:rsidRDefault="00E93F58" w:rsidP="00A25488">
      <w:pPr>
        <w:pStyle w:val="Item"/>
        <w:keepNext/>
        <w:rPr>
          <w:i/>
        </w:rPr>
      </w:pPr>
      <w:r w:rsidRPr="006E709F">
        <w:rPr>
          <w:i/>
        </w:rPr>
        <w:t>substitute</w:t>
      </w:r>
    </w:p>
    <w:p w14:paraId="08320E29" w14:textId="77777777" w:rsidR="00E93F58" w:rsidRPr="006E709F" w:rsidRDefault="00E93F58" w:rsidP="00F32DDD">
      <w:pPr>
        <w:pStyle w:val="Specials"/>
      </w:pPr>
      <w:r w:rsidRPr="006E709F">
        <w:t>887A  Markets to which this Division applies</w:t>
      </w:r>
    </w:p>
    <w:p w14:paraId="0355FFD5" w14:textId="77777777" w:rsidR="00E93F58" w:rsidRPr="006E709F" w:rsidRDefault="00E93F58" w:rsidP="00A801D0">
      <w:pPr>
        <w:pStyle w:val="subsection"/>
      </w:pPr>
      <w:r w:rsidRPr="006E709F">
        <w:tab/>
        <w:t>(1)</w:t>
      </w:r>
      <w:r w:rsidRPr="006E709F">
        <w:tab/>
        <w:t>This Division applies to a financial market that is operated by:</w:t>
      </w:r>
    </w:p>
    <w:p w14:paraId="1544460E" w14:textId="77777777" w:rsidR="00E93F58" w:rsidRPr="006E709F" w:rsidRDefault="00E93F58" w:rsidP="00A801D0">
      <w:pPr>
        <w:pStyle w:val="paragraph"/>
      </w:pPr>
      <w:r w:rsidRPr="006E709F">
        <w:tab/>
        <w:t>(a)</w:t>
      </w:r>
      <w:r w:rsidRPr="006E709F">
        <w:tab/>
        <w:t>a body corporate that is a member of the SEGC; or</w:t>
      </w:r>
    </w:p>
    <w:p w14:paraId="774038FC" w14:textId="77777777" w:rsidR="00E93F58" w:rsidRPr="006E709F" w:rsidRDefault="00E93F58" w:rsidP="00A801D0">
      <w:pPr>
        <w:pStyle w:val="paragraph"/>
      </w:pPr>
      <w:r w:rsidRPr="006E709F">
        <w:tab/>
        <w:t>(b)</w:t>
      </w:r>
      <w:r w:rsidRPr="006E709F">
        <w:tab/>
        <w:t>a body corporate that is a subsidiary of such a member.</w:t>
      </w:r>
    </w:p>
    <w:p w14:paraId="75D71AB2" w14:textId="77777777" w:rsidR="00E93F58" w:rsidRPr="006E709F" w:rsidRDefault="00E93F58" w:rsidP="00A801D0">
      <w:pPr>
        <w:pStyle w:val="subsection"/>
      </w:pPr>
      <w:r w:rsidRPr="006E709F">
        <w:tab/>
        <w:t>(2)</w:t>
      </w:r>
      <w:r w:rsidRPr="006E709F">
        <w:tab/>
        <w:t>However, this Division does not apply to a market mentioned in subsection (1):</w:t>
      </w:r>
    </w:p>
    <w:p w14:paraId="5828284E" w14:textId="77777777" w:rsidR="00E93F58" w:rsidRPr="006E709F" w:rsidRDefault="00E93F58" w:rsidP="00A801D0">
      <w:pPr>
        <w:pStyle w:val="paragraph"/>
      </w:pPr>
      <w:r w:rsidRPr="006E709F">
        <w:tab/>
        <w:t>(a)</w:t>
      </w:r>
      <w:r w:rsidRPr="006E709F">
        <w:tab/>
        <w:t>that the regulations state is not covered by this Division; or</w:t>
      </w:r>
    </w:p>
    <w:p w14:paraId="179F2C1A" w14:textId="77777777" w:rsidR="00E93F58" w:rsidRPr="006E709F" w:rsidRDefault="00E93F58" w:rsidP="00A801D0">
      <w:pPr>
        <w:pStyle w:val="paragraph"/>
      </w:pPr>
      <w:r w:rsidRPr="006E709F">
        <w:tab/>
        <w:t>(b)</w:t>
      </w:r>
      <w:r w:rsidRPr="006E709F">
        <w:tab/>
        <w:t>to the extent that it involves financial products covered by the compensation regime constituted by Division 3.</w:t>
      </w:r>
    </w:p>
    <w:p w14:paraId="506BAD46" w14:textId="77777777" w:rsidR="00E93F58" w:rsidRPr="006E709F" w:rsidRDefault="00E93F58" w:rsidP="00714BE7">
      <w:pPr>
        <w:pStyle w:val="ItemHead"/>
      </w:pPr>
      <w:r w:rsidRPr="006E709F">
        <w:t>9  After subsection 889J(1)</w:t>
      </w:r>
    </w:p>
    <w:p w14:paraId="4DE32960" w14:textId="77777777" w:rsidR="00E93F58" w:rsidRPr="006E709F" w:rsidRDefault="00E93F58" w:rsidP="00714BE7">
      <w:pPr>
        <w:pStyle w:val="Item"/>
        <w:rPr>
          <w:i/>
        </w:rPr>
      </w:pPr>
      <w:r w:rsidRPr="006E709F">
        <w:rPr>
          <w:i/>
        </w:rPr>
        <w:t>insert</w:t>
      </w:r>
    </w:p>
    <w:p w14:paraId="1EB724A3" w14:textId="77777777" w:rsidR="00E93F58" w:rsidRPr="006E709F" w:rsidRDefault="00E93F58" w:rsidP="00A801D0">
      <w:pPr>
        <w:pStyle w:val="subsection"/>
      </w:pPr>
      <w:r w:rsidRPr="006E709F">
        <w:tab/>
        <w:t>(1A)</w:t>
      </w:r>
      <w:r w:rsidRPr="006E709F">
        <w:tab/>
        <w:t>However, a levy is payable only by an operator or a participant (including a participant who is suspended), in a financial market to which this Division applies, who is permitted to trade on that market a financial product to which this Division applies.</w:t>
      </w:r>
    </w:p>
    <w:p w14:paraId="7305561B" w14:textId="77777777" w:rsidR="00E93F58" w:rsidRPr="006E709F" w:rsidRDefault="00E93F58" w:rsidP="00714BE7">
      <w:pPr>
        <w:pStyle w:val="ItemHead"/>
      </w:pPr>
      <w:r w:rsidRPr="006E709F">
        <w:t>10  After subsection 889K(2)</w:t>
      </w:r>
    </w:p>
    <w:p w14:paraId="2EC5424B" w14:textId="77777777" w:rsidR="00E93F58" w:rsidRPr="006E709F" w:rsidRDefault="00E93F58" w:rsidP="00714BE7">
      <w:pPr>
        <w:pStyle w:val="Item"/>
        <w:rPr>
          <w:i/>
        </w:rPr>
      </w:pPr>
      <w:r w:rsidRPr="006E709F">
        <w:rPr>
          <w:i/>
        </w:rPr>
        <w:t>insert</w:t>
      </w:r>
    </w:p>
    <w:p w14:paraId="608D1415" w14:textId="77777777" w:rsidR="00E93F58" w:rsidRPr="006E709F" w:rsidRDefault="00E93F58" w:rsidP="00A801D0">
      <w:pPr>
        <w:pStyle w:val="subsection"/>
      </w:pPr>
      <w:r w:rsidRPr="006E709F">
        <w:lastRenderedPageBreak/>
        <w:tab/>
        <w:t>(2A)</w:t>
      </w:r>
      <w:r w:rsidRPr="006E709F">
        <w:tab/>
        <w:t>However, a levy is payable only by a participant (including a participant who is suspended), in a financial market to which this Division applies, who is permitted to trade on that market a financial product to which this Division applies.</w:t>
      </w:r>
    </w:p>
    <w:p w14:paraId="1F48457E" w14:textId="77777777" w:rsidR="00E93F58" w:rsidRPr="006E709F" w:rsidRDefault="00E93F58" w:rsidP="00714BE7">
      <w:pPr>
        <w:pStyle w:val="ItemHead"/>
      </w:pPr>
      <w:r w:rsidRPr="006E709F">
        <w:t>10A  After subsection 892B(1), including the note</w:t>
      </w:r>
    </w:p>
    <w:p w14:paraId="329EC0C6" w14:textId="77777777" w:rsidR="00E93F58" w:rsidRPr="006E709F" w:rsidRDefault="00E93F58" w:rsidP="00714BE7">
      <w:pPr>
        <w:pStyle w:val="Item"/>
        <w:rPr>
          <w:i/>
        </w:rPr>
      </w:pPr>
      <w:r w:rsidRPr="006E709F">
        <w:rPr>
          <w:i/>
        </w:rPr>
        <w:t>insert</w:t>
      </w:r>
    </w:p>
    <w:p w14:paraId="0F564925" w14:textId="77777777" w:rsidR="00E93F58" w:rsidRPr="006E709F" w:rsidRDefault="00E93F58" w:rsidP="00A801D0">
      <w:pPr>
        <w:pStyle w:val="subsection"/>
      </w:pPr>
      <w:r w:rsidRPr="006E709F">
        <w:tab/>
        <w:t>(1A)</w:t>
      </w:r>
      <w:r w:rsidRPr="006E709F">
        <w:tab/>
        <w:t>Nothing in subsection (1) prevents the Minister approving, in accordance with section 884C, a change to Division 3 arrangements that includes the withdrawal of money from an account or accounts holding a fidelity fund.</w:t>
      </w:r>
    </w:p>
    <w:p w14:paraId="7C40C26A" w14:textId="77777777" w:rsidR="00E93F58" w:rsidRPr="006E709F" w:rsidRDefault="00E93F58" w:rsidP="00714BE7">
      <w:pPr>
        <w:pStyle w:val="ItemHead"/>
      </w:pPr>
      <w:r w:rsidRPr="006E709F">
        <w:t>11  Paragraph 892K(1)(a)</w:t>
      </w:r>
    </w:p>
    <w:p w14:paraId="5B6F62A1" w14:textId="77777777" w:rsidR="00E93F58" w:rsidRPr="006E709F" w:rsidRDefault="00E93F58" w:rsidP="00714BE7">
      <w:pPr>
        <w:pStyle w:val="Item"/>
        <w:rPr>
          <w:i/>
        </w:rPr>
      </w:pPr>
      <w:r w:rsidRPr="006E709F">
        <w:rPr>
          <w:i/>
        </w:rPr>
        <w:t>after</w:t>
      </w:r>
    </w:p>
    <w:p w14:paraId="5B2799B9" w14:textId="77777777" w:rsidR="00E93F58" w:rsidRPr="006E709F" w:rsidRDefault="00E93F58" w:rsidP="00714BE7">
      <w:pPr>
        <w:pStyle w:val="Item"/>
      </w:pPr>
      <w:r w:rsidRPr="006E709F">
        <w:t>report</w:t>
      </w:r>
    </w:p>
    <w:p w14:paraId="194122E1" w14:textId="77777777" w:rsidR="00E93F58" w:rsidRPr="006E709F" w:rsidRDefault="00E93F58" w:rsidP="00714BE7">
      <w:pPr>
        <w:pStyle w:val="Item"/>
        <w:rPr>
          <w:i/>
        </w:rPr>
      </w:pPr>
      <w:r w:rsidRPr="006E709F">
        <w:rPr>
          <w:i/>
        </w:rPr>
        <w:t>insert</w:t>
      </w:r>
    </w:p>
    <w:p w14:paraId="72E3CEF4" w14:textId="77777777" w:rsidR="00E93F58" w:rsidRPr="006E709F" w:rsidRDefault="00E93F58" w:rsidP="00714BE7">
      <w:pPr>
        <w:pStyle w:val="Item"/>
      </w:pPr>
      <w:r w:rsidRPr="006E709F">
        <w:t>for a set of compensation arrangements</w:t>
      </w:r>
    </w:p>
    <w:p w14:paraId="28874FD7" w14:textId="77777777" w:rsidR="00E93F58" w:rsidRPr="006E709F" w:rsidRDefault="00E93F58" w:rsidP="00DC48A1">
      <w:pPr>
        <w:pStyle w:val="ActHead1"/>
        <w:pageBreakBefore/>
      </w:pPr>
      <w:bookmarkStart w:id="3360" w:name="_Toc151992430"/>
      <w:bookmarkStart w:id="3361" w:name="_Toc158713467"/>
      <w:r w:rsidRPr="000C4237">
        <w:rPr>
          <w:rStyle w:val="CharChapNo"/>
        </w:rPr>
        <w:lastRenderedPageBreak/>
        <w:t>Schedule 8D</w:t>
      </w:r>
      <w:r w:rsidRPr="006E709F">
        <w:t>—</w:t>
      </w:r>
      <w:r w:rsidRPr="000C4237">
        <w:rPr>
          <w:rStyle w:val="CharChapText"/>
        </w:rPr>
        <w:t>Tables for reporting portfolio holding information</w:t>
      </w:r>
      <w:bookmarkEnd w:id="3360"/>
      <w:bookmarkEnd w:id="3361"/>
    </w:p>
    <w:p w14:paraId="6A0EC5D7" w14:textId="77777777" w:rsidR="00E93F58" w:rsidRPr="006E709F" w:rsidRDefault="00E93F58" w:rsidP="00DC48A1">
      <w:pPr>
        <w:pStyle w:val="Header"/>
      </w:pPr>
      <w:r w:rsidRPr="000C4237">
        <w:rPr>
          <w:rStyle w:val="CharPartNo"/>
        </w:rPr>
        <w:t xml:space="preserve"> </w:t>
      </w:r>
      <w:r w:rsidRPr="000C4237">
        <w:rPr>
          <w:rStyle w:val="CharPartText"/>
        </w:rPr>
        <w:t xml:space="preserve"> </w:t>
      </w:r>
    </w:p>
    <w:p w14:paraId="53C8C808" w14:textId="77777777" w:rsidR="00E93F58" w:rsidRPr="006E709F" w:rsidRDefault="00E93F58" w:rsidP="00DC48A1">
      <w:pPr>
        <w:pStyle w:val="notemargin"/>
      </w:pPr>
      <w:r w:rsidRPr="006E709F">
        <w:t>(regulations 7.9.07Z and 7.9.07ZA)</w:t>
      </w:r>
    </w:p>
    <w:p w14:paraId="58AECF92" w14:textId="77777777" w:rsidR="00E93F58" w:rsidRPr="006E709F" w:rsidRDefault="00E93F58" w:rsidP="00DC48A1">
      <w:pPr>
        <w:pStyle w:val="ActHead5"/>
      </w:pPr>
      <w:bookmarkStart w:id="3362" w:name="_Toc151992431"/>
      <w:bookmarkStart w:id="3363" w:name="_Toc158713468"/>
      <w:r w:rsidRPr="000C4237">
        <w:rPr>
          <w:rStyle w:val="CharSectno"/>
        </w:rPr>
        <w:t>1</w:t>
      </w:r>
      <w:r w:rsidRPr="006E709F">
        <w:t xml:space="preserve">  Table 1—Assets</w:t>
      </w:r>
      <w:bookmarkEnd w:id="3362"/>
      <w:bookmarkEnd w:id="3363"/>
    </w:p>
    <w:p w14:paraId="455DE6C3" w14:textId="77777777" w:rsidR="00E93F58" w:rsidRPr="006E709F" w:rsidRDefault="00E93F58" w:rsidP="00DC48A1">
      <w:pPr>
        <w:pStyle w:val="Tabletext"/>
      </w:pPr>
    </w:p>
    <w:tbl>
      <w:tblPr>
        <w:tblW w:w="8789" w:type="dxa"/>
        <w:tblInd w:w="108" w:type="dxa"/>
        <w:tblLayout w:type="fixed"/>
        <w:tblCellMar>
          <w:left w:w="0" w:type="dxa"/>
          <w:right w:w="0" w:type="dxa"/>
        </w:tblCellMar>
        <w:tblLook w:val="04A0" w:firstRow="1" w:lastRow="0" w:firstColumn="1" w:lastColumn="0" w:noHBand="0" w:noVBand="1"/>
      </w:tblPr>
      <w:tblGrid>
        <w:gridCol w:w="2692"/>
        <w:gridCol w:w="1419"/>
        <w:gridCol w:w="1276"/>
        <w:gridCol w:w="1771"/>
        <w:gridCol w:w="9"/>
        <w:gridCol w:w="11"/>
        <w:gridCol w:w="1611"/>
      </w:tblGrid>
      <w:tr w:rsidR="00E93F58" w:rsidRPr="006E709F" w14:paraId="75FBE5BB" w14:textId="77777777" w:rsidTr="00CF67DD">
        <w:tc>
          <w:tcPr>
            <w:tcW w:w="5387" w:type="dxa"/>
            <w:gridSpan w:val="3"/>
            <w:tcBorders>
              <w:top w:val="single" w:sz="18" w:space="0" w:color="auto"/>
              <w:left w:val="nil"/>
              <w:bottom w:val="single" w:sz="18" w:space="0" w:color="auto"/>
              <w:right w:val="nil"/>
            </w:tcBorders>
            <w:shd w:val="clear" w:color="auto" w:fill="auto"/>
            <w:tcMar>
              <w:top w:w="0" w:type="dxa"/>
              <w:left w:w="108" w:type="dxa"/>
              <w:bottom w:w="0" w:type="dxa"/>
              <w:right w:w="108" w:type="dxa"/>
            </w:tcMar>
          </w:tcPr>
          <w:p w14:paraId="3E6A8EB2" w14:textId="77777777" w:rsidR="00E93F58" w:rsidRPr="006E709F" w:rsidRDefault="00E93F58" w:rsidP="00CF67DD">
            <w:pPr>
              <w:rPr>
                <w:b/>
                <w:bCs/>
                <w:sz w:val="16"/>
                <w:szCs w:val="16"/>
              </w:rPr>
            </w:pPr>
            <w:bookmarkStart w:id="3364" w:name="_Hlk86229187"/>
            <w:r w:rsidRPr="006E709F">
              <w:rPr>
                <w:b/>
                <w:bCs/>
                <w:sz w:val="16"/>
                <w:szCs w:val="16"/>
              </w:rPr>
              <w:t xml:space="preserve">Portfolio Holdings Information for </w:t>
            </w:r>
            <w:r w:rsidRPr="006E709F">
              <w:rPr>
                <w:b/>
                <w:sz w:val="16"/>
                <w:szCs w:val="16"/>
              </w:rPr>
              <w:t>Investment Option [A]—</w:t>
            </w:r>
            <w:r w:rsidRPr="006E709F">
              <w:rPr>
                <w:b/>
                <w:bCs/>
                <w:sz w:val="16"/>
                <w:szCs w:val="16"/>
              </w:rPr>
              <w:t>Assets</w:t>
            </w:r>
          </w:p>
        </w:tc>
        <w:tc>
          <w:tcPr>
            <w:tcW w:w="3402" w:type="dxa"/>
            <w:gridSpan w:val="4"/>
            <w:tcBorders>
              <w:top w:val="single" w:sz="18"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18F123EC" w14:textId="77777777" w:rsidR="00E93F58" w:rsidRPr="006E709F" w:rsidRDefault="00E93F58" w:rsidP="00CF67DD">
            <w:pPr>
              <w:rPr>
                <w:b/>
                <w:bCs/>
                <w:sz w:val="16"/>
                <w:szCs w:val="16"/>
              </w:rPr>
            </w:pPr>
            <w:r w:rsidRPr="006E709F">
              <w:rPr>
                <w:b/>
                <w:bCs/>
                <w:sz w:val="16"/>
                <w:szCs w:val="16"/>
              </w:rPr>
              <w:t>Summary</w:t>
            </w:r>
          </w:p>
        </w:tc>
      </w:tr>
      <w:tr w:rsidR="00E93F58" w:rsidRPr="006E709F" w14:paraId="7877C48B" w14:textId="77777777" w:rsidTr="00CF67DD">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5BA91E55" w14:textId="77777777" w:rsidR="00E93F58" w:rsidRPr="006E709F" w:rsidRDefault="00E93F58" w:rsidP="00CF67DD">
            <w:pPr>
              <w:rPr>
                <w:b/>
                <w:sz w:val="16"/>
                <w:szCs w:val="16"/>
              </w:rPr>
            </w:pPr>
            <w:bookmarkStart w:id="3365" w:name="_Hlk86156619"/>
            <w:r w:rsidRPr="006E709F">
              <w:rPr>
                <w:b/>
                <w:sz w:val="16"/>
                <w:szCs w:val="16"/>
              </w:rPr>
              <w:t>Cash</w:t>
            </w:r>
          </w:p>
        </w:tc>
        <w:tc>
          <w:tcPr>
            <w:tcW w:w="3402" w:type="dxa"/>
            <w:gridSpan w:val="4"/>
            <w:tcBorders>
              <w:top w:val="single" w:sz="18" w:space="0" w:color="auto"/>
              <w:left w:val="single" w:sz="4" w:space="0" w:color="auto"/>
              <w:bottom w:val="single" w:sz="2" w:space="0" w:color="auto"/>
              <w:right w:val="nil"/>
            </w:tcBorders>
            <w:shd w:val="clear" w:color="auto" w:fill="auto"/>
            <w:tcMar>
              <w:top w:w="0" w:type="dxa"/>
              <w:left w:w="108" w:type="dxa"/>
              <w:bottom w:w="0" w:type="dxa"/>
              <w:right w:w="108" w:type="dxa"/>
            </w:tcMar>
          </w:tcPr>
          <w:p w14:paraId="01FD9633" w14:textId="77777777" w:rsidR="00E93F58" w:rsidRPr="006E709F" w:rsidRDefault="00E93F58" w:rsidP="00CF67DD">
            <w:pPr>
              <w:rPr>
                <w:b/>
                <w:bCs/>
                <w:sz w:val="16"/>
                <w:szCs w:val="16"/>
              </w:rPr>
            </w:pPr>
          </w:p>
        </w:tc>
      </w:tr>
      <w:tr w:rsidR="00E93F58" w:rsidRPr="006E709F" w14:paraId="2A9518FB"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25BBF42C" w14:textId="77777777" w:rsidR="00E93F58" w:rsidRPr="006E709F" w:rsidRDefault="00E93F58" w:rsidP="00CF67DD">
            <w:pPr>
              <w:rPr>
                <w:b/>
                <w:bCs/>
                <w:sz w:val="16"/>
                <w:szCs w:val="16"/>
              </w:rPr>
            </w:pPr>
            <w:r w:rsidRPr="006E709F">
              <w:rPr>
                <w:b/>
                <w:bCs/>
                <w:sz w:val="16"/>
                <w:szCs w:val="16"/>
              </w:rPr>
              <w:t>Name of Institution</w:t>
            </w:r>
          </w:p>
        </w:tc>
        <w:tc>
          <w:tcPr>
            <w:tcW w:w="2695"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36930723" w14:textId="77777777" w:rsidR="00E93F58" w:rsidRPr="006E709F" w:rsidRDefault="00E93F58" w:rsidP="00CF67DD">
            <w:pPr>
              <w:rPr>
                <w:b/>
                <w:bCs/>
                <w:sz w:val="16"/>
                <w:szCs w:val="16"/>
              </w:rPr>
            </w:pPr>
            <w:r w:rsidRPr="006E709F">
              <w:rPr>
                <w:b/>
                <w:sz w:val="16"/>
                <w:szCs w:val="16"/>
              </w:rPr>
              <w:t>Currency</w:t>
            </w:r>
          </w:p>
        </w:tc>
        <w:tc>
          <w:tcPr>
            <w:tcW w:w="1771" w:type="dxa"/>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4185AAAC" w14:textId="77777777" w:rsidR="00E93F58" w:rsidRPr="006E709F" w:rsidRDefault="00E93F58" w:rsidP="00CF67DD">
            <w:pPr>
              <w:rPr>
                <w:b/>
                <w:bCs/>
                <w:sz w:val="16"/>
                <w:szCs w:val="16"/>
              </w:rPr>
            </w:pPr>
            <w:r w:rsidRPr="006E709F">
              <w:rPr>
                <w:b/>
                <w:bCs/>
                <w:sz w:val="16"/>
                <w:szCs w:val="16"/>
              </w:rPr>
              <w:t>Value (AUD)</w:t>
            </w:r>
          </w:p>
        </w:tc>
        <w:tc>
          <w:tcPr>
            <w:tcW w:w="1631" w:type="dxa"/>
            <w:gridSpan w:val="3"/>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3FF163F9" w14:textId="77777777" w:rsidR="00E93F58" w:rsidRPr="006E709F" w:rsidRDefault="00E93F58" w:rsidP="00CF67DD">
            <w:pPr>
              <w:rPr>
                <w:b/>
                <w:bCs/>
                <w:sz w:val="16"/>
                <w:szCs w:val="16"/>
              </w:rPr>
            </w:pPr>
            <w:r w:rsidRPr="006E709F">
              <w:rPr>
                <w:b/>
                <w:bCs/>
                <w:sz w:val="16"/>
                <w:szCs w:val="16"/>
              </w:rPr>
              <w:t>Weighting (%)</w:t>
            </w:r>
          </w:p>
        </w:tc>
      </w:tr>
      <w:tr w:rsidR="00E93F58" w:rsidRPr="006E709F" w14:paraId="743CAFC9" w14:textId="77777777" w:rsidTr="00CF67DD">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34EC20A3" w14:textId="77777777" w:rsidR="00E93F58" w:rsidRPr="006E709F" w:rsidRDefault="00E93F58" w:rsidP="00CF67DD">
            <w:pPr>
              <w:rPr>
                <w:bCs/>
                <w:i/>
                <w:iCs/>
                <w:sz w:val="16"/>
                <w:szCs w:val="16"/>
              </w:rPr>
            </w:pPr>
            <w:r w:rsidRPr="006E709F">
              <w:rPr>
                <w:bCs/>
                <w:i/>
                <w:iCs/>
                <w:sz w:val="16"/>
                <w:szCs w:val="16"/>
              </w:rPr>
              <w:t>Individual asset names not required to be disclosed.</w:t>
            </w:r>
          </w:p>
          <w:p w14:paraId="61ACE3AE" w14:textId="77777777" w:rsidR="00E93F58" w:rsidRPr="006E709F" w:rsidRDefault="00E93F58" w:rsidP="00CF67DD">
            <w:pPr>
              <w:rPr>
                <w:sz w:val="16"/>
                <w:szCs w:val="16"/>
              </w:rPr>
            </w:pPr>
            <w:r w:rsidRPr="006E709F">
              <w:rPr>
                <w:bCs/>
                <w:i/>
                <w:iCs/>
                <w:sz w:val="16"/>
                <w:szCs w:val="16"/>
              </w:rPr>
              <w:t>Only disclose the name of the relevant institution for the asset.</w:t>
            </w: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40A77B94" w14:textId="77777777" w:rsidR="00E93F58" w:rsidRPr="006E709F" w:rsidRDefault="00E93F58" w:rsidP="00CF67DD">
            <w:pPr>
              <w:rPr>
                <w:sz w:val="16"/>
                <w:szCs w:val="16"/>
              </w:rPr>
            </w:pPr>
            <w:r w:rsidRPr="006E709F">
              <w:rPr>
                <w:i/>
                <w:iCs/>
                <w:sz w:val="16"/>
                <w:szCs w:val="16"/>
              </w:rPr>
              <w:t>Values and weighting for individual assets not disclosed. Only disclose total values and weighting for the asset aggregated by the institution.</w:t>
            </w:r>
          </w:p>
        </w:tc>
      </w:tr>
      <w:tr w:rsidR="00E93F58" w:rsidRPr="006E709F" w14:paraId="23A9420C"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573095BF" w14:textId="77777777" w:rsidR="00E93F58" w:rsidRPr="006E709F" w:rsidRDefault="00E93F58" w:rsidP="00CF67DD">
            <w:pPr>
              <w:rPr>
                <w:b/>
                <w:sz w:val="16"/>
                <w:szCs w:val="16"/>
              </w:rPr>
            </w:pPr>
            <w:r w:rsidRPr="006E709F">
              <w:rPr>
                <w:b/>
                <w:bCs/>
                <w:sz w:val="16"/>
                <w:szCs w:val="16"/>
              </w:rPr>
              <w:t>Total</w:t>
            </w:r>
          </w:p>
        </w:tc>
        <w:tc>
          <w:tcPr>
            <w:tcW w:w="3402" w:type="dxa"/>
            <w:gridSpan w:val="4"/>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7DEDB798" w14:textId="77777777" w:rsidR="00E93F58" w:rsidRPr="006E709F" w:rsidRDefault="00E93F58" w:rsidP="00CF67DD">
            <w:pPr>
              <w:rPr>
                <w:b/>
                <w:sz w:val="16"/>
                <w:szCs w:val="16"/>
              </w:rPr>
            </w:pPr>
          </w:p>
        </w:tc>
      </w:tr>
      <w:tr w:rsidR="00E93F58" w:rsidRPr="006E709F" w14:paraId="62802331" w14:textId="77777777" w:rsidTr="00CF67DD">
        <w:trPr>
          <w:trHeight w:val="322"/>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2F579BB4" w14:textId="77777777" w:rsidR="00E93F58" w:rsidRPr="006E709F" w:rsidRDefault="00E93F58" w:rsidP="00CF67DD">
            <w:pPr>
              <w:rPr>
                <w:b/>
                <w:sz w:val="16"/>
                <w:szCs w:val="16"/>
              </w:rPr>
            </w:pPr>
            <w:r w:rsidRPr="006E709F">
              <w:rPr>
                <w:b/>
                <w:sz w:val="16"/>
                <w:szCs w:val="16"/>
              </w:rPr>
              <w:t>Fixed Income</w:t>
            </w:r>
          </w:p>
          <w:p w14:paraId="4EFD1DF5" w14:textId="77777777" w:rsidR="00E93F58" w:rsidRPr="006E709F" w:rsidRDefault="00E93F58" w:rsidP="00CF67DD">
            <w:pPr>
              <w:rPr>
                <w:b/>
                <w:sz w:val="16"/>
                <w:szCs w:val="16"/>
              </w:rPr>
            </w:pPr>
            <w:r w:rsidRPr="006E709F">
              <w:rPr>
                <w:b/>
                <w:sz w:val="16"/>
                <w:szCs w:val="16"/>
              </w:rPr>
              <w:t xml:space="preserve">Held directly or by associated entities or by </w:t>
            </w:r>
            <w:r w:rsidRPr="00D05323">
              <w:rPr>
                <w:b/>
                <w:sz w:val="16"/>
                <w:szCs w:val="16"/>
              </w:rPr>
              <w:t>pooled superannuation trusts</w:t>
            </w:r>
          </w:p>
          <w:p w14:paraId="5F732A7A" w14:textId="77777777" w:rsidR="00E93F58" w:rsidRPr="006E709F" w:rsidRDefault="00E93F58" w:rsidP="00CF67DD">
            <w:pPr>
              <w:rPr>
                <w:sz w:val="16"/>
                <w:szCs w:val="16"/>
              </w:rPr>
            </w:pPr>
            <w:r w:rsidRPr="006E709F">
              <w:rPr>
                <w:b/>
                <w:sz w:val="16"/>
                <w:szCs w:val="16"/>
              </w:rPr>
              <w:t>Internally managed</w:t>
            </w:r>
          </w:p>
        </w:tc>
        <w:tc>
          <w:tcPr>
            <w:tcW w:w="3402" w:type="dxa"/>
            <w:gridSpan w:val="4"/>
            <w:tcBorders>
              <w:top w:val="single" w:sz="18" w:space="0" w:color="auto"/>
              <w:left w:val="single" w:sz="4" w:space="0" w:color="auto"/>
              <w:bottom w:val="single" w:sz="12" w:space="0" w:color="auto"/>
            </w:tcBorders>
            <w:shd w:val="clear" w:color="auto" w:fill="auto"/>
            <w:tcMar>
              <w:top w:w="0" w:type="dxa"/>
              <w:left w:w="108" w:type="dxa"/>
              <w:bottom w:w="0" w:type="dxa"/>
              <w:right w:w="108" w:type="dxa"/>
            </w:tcMar>
          </w:tcPr>
          <w:p w14:paraId="6031686E" w14:textId="77777777" w:rsidR="00E93F58" w:rsidRPr="006E709F" w:rsidRDefault="00E93F58" w:rsidP="00CF67DD">
            <w:pPr>
              <w:rPr>
                <w:sz w:val="16"/>
                <w:szCs w:val="16"/>
              </w:rPr>
            </w:pPr>
          </w:p>
        </w:tc>
      </w:tr>
      <w:tr w:rsidR="00E93F58" w:rsidRPr="006E709F" w14:paraId="4C46B0A1" w14:textId="77777777" w:rsidTr="00CF67DD">
        <w:tc>
          <w:tcPr>
            <w:tcW w:w="5387" w:type="dxa"/>
            <w:gridSpan w:val="3"/>
            <w:tcBorders>
              <w:top w:val="single" w:sz="4" w:space="0" w:color="auto"/>
              <w:left w:val="nil"/>
              <w:bottom w:val="single" w:sz="4" w:space="0" w:color="auto"/>
              <w:right w:val="nil"/>
            </w:tcBorders>
            <w:shd w:val="clear" w:color="auto" w:fill="auto"/>
            <w:tcMar>
              <w:top w:w="0" w:type="dxa"/>
              <w:left w:w="108" w:type="dxa"/>
              <w:bottom w:w="0" w:type="dxa"/>
              <w:right w:w="108" w:type="dxa"/>
            </w:tcMar>
            <w:hideMark/>
          </w:tcPr>
          <w:p w14:paraId="68D309D5" w14:textId="77777777" w:rsidR="00E93F58" w:rsidRPr="006E709F" w:rsidRDefault="00E93F58" w:rsidP="00CF67DD">
            <w:pPr>
              <w:rPr>
                <w:b/>
                <w:sz w:val="16"/>
                <w:szCs w:val="16"/>
              </w:rPr>
            </w:pPr>
            <w:r w:rsidRPr="006E709F">
              <w:rPr>
                <w:b/>
                <w:bCs/>
                <w:sz w:val="16"/>
                <w:szCs w:val="16"/>
              </w:rPr>
              <w:t>Name of Issuer / Counterparty</w:t>
            </w:r>
          </w:p>
        </w:tc>
        <w:tc>
          <w:tcPr>
            <w:tcW w:w="1780" w:type="dxa"/>
            <w:gridSpan w:val="2"/>
            <w:tcBorders>
              <w:top w:val="single" w:sz="4"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032D13F6"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73638733" w14:textId="77777777" w:rsidR="00E93F58" w:rsidRPr="006E709F" w:rsidRDefault="00E93F58" w:rsidP="00CF67DD">
            <w:pPr>
              <w:rPr>
                <w:b/>
                <w:sz w:val="16"/>
                <w:szCs w:val="16"/>
              </w:rPr>
            </w:pPr>
            <w:r w:rsidRPr="006E709F">
              <w:rPr>
                <w:b/>
                <w:sz w:val="16"/>
                <w:szCs w:val="16"/>
              </w:rPr>
              <w:t>Weighting (%)</w:t>
            </w:r>
          </w:p>
        </w:tc>
      </w:tr>
      <w:tr w:rsidR="00E93F58" w:rsidRPr="006E709F" w14:paraId="77AC4A0A" w14:textId="77777777" w:rsidTr="00CF67DD">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4EF3000E" w14:textId="77777777" w:rsidR="00E93F58" w:rsidRPr="006E709F" w:rsidRDefault="00E93F58" w:rsidP="00CF67DD">
            <w:pPr>
              <w:rPr>
                <w:bCs/>
                <w:i/>
                <w:iCs/>
                <w:sz w:val="16"/>
                <w:szCs w:val="16"/>
              </w:rPr>
            </w:pPr>
            <w:r w:rsidRPr="006E709F">
              <w:rPr>
                <w:bCs/>
                <w:i/>
                <w:iCs/>
                <w:sz w:val="16"/>
                <w:szCs w:val="16"/>
              </w:rPr>
              <w:t>Individual asset names not required to be disclosed.</w:t>
            </w:r>
          </w:p>
          <w:p w14:paraId="5B5604AE" w14:textId="77777777" w:rsidR="00E93F58" w:rsidRPr="006E709F" w:rsidRDefault="00E93F58" w:rsidP="00CF67DD">
            <w:pPr>
              <w:rPr>
                <w:sz w:val="16"/>
                <w:szCs w:val="16"/>
              </w:rPr>
            </w:pPr>
            <w:r w:rsidRPr="006E709F">
              <w:rPr>
                <w:bCs/>
                <w:i/>
                <w:iCs/>
                <w:sz w:val="16"/>
                <w:szCs w:val="16"/>
              </w:rPr>
              <w:t>Only disclose the name of the issuer / counterparty for the asset.</w:t>
            </w: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0DFE811F" w14:textId="77777777" w:rsidR="00E93F58" w:rsidRPr="006E709F" w:rsidRDefault="00E93F58" w:rsidP="00CF67DD">
            <w:pPr>
              <w:rPr>
                <w:i/>
                <w:iCs/>
                <w:sz w:val="16"/>
                <w:szCs w:val="16"/>
              </w:rPr>
            </w:pPr>
            <w:r w:rsidRPr="006E709F">
              <w:rPr>
                <w:i/>
                <w:iCs/>
                <w:sz w:val="16"/>
                <w:szCs w:val="16"/>
              </w:rPr>
              <w:t>Values and weighting for individual assets not disclosed. Only disclose total values and weighting aggregated by the issuer or counterparty of the asset.</w:t>
            </w:r>
          </w:p>
        </w:tc>
      </w:tr>
      <w:tr w:rsidR="00E93F58" w:rsidRPr="006E709F" w14:paraId="5B18B71C"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27A16249" w14:textId="77777777" w:rsidR="00E93F58" w:rsidRPr="006E709F" w:rsidRDefault="00E93F58" w:rsidP="00CF67DD">
            <w:pPr>
              <w:rPr>
                <w:b/>
                <w:sz w:val="16"/>
                <w:szCs w:val="16"/>
              </w:rPr>
            </w:pPr>
            <w:r w:rsidRPr="006E709F">
              <w:rPr>
                <w:b/>
                <w:bCs/>
                <w:sz w:val="16"/>
                <w:szCs w:val="16"/>
              </w:rPr>
              <w:t>Total</w:t>
            </w:r>
          </w:p>
        </w:tc>
        <w:tc>
          <w:tcPr>
            <w:tcW w:w="3402" w:type="dxa"/>
            <w:gridSpan w:val="4"/>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75445FB6" w14:textId="77777777" w:rsidR="00E93F58" w:rsidRPr="006E709F" w:rsidRDefault="00E93F58" w:rsidP="00CF67DD">
            <w:pPr>
              <w:rPr>
                <w:b/>
                <w:sz w:val="16"/>
                <w:szCs w:val="16"/>
              </w:rPr>
            </w:pPr>
          </w:p>
        </w:tc>
      </w:tr>
      <w:tr w:rsidR="00E93F58" w:rsidRPr="006E709F" w14:paraId="4FB8EBB8" w14:textId="77777777" w:rsidTr="00CF67DD">
        <w:trPr>
          <w:trHeight w:val="322"/>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5E359FE3" w14:textId="77777777" w:rsidR="00E93F58" w:rsidRPr="006E709F" w:rsidRDefault="00E93F58" w:rsidP="00CF67DD">
            <w:pPr>
              <w:rPr>
                <w:b/>
                <w:sz w:val="16"/>
                <w:szCs w:val="16"/>
              </w:rPr>
            </w:pPr>
            <w:r w:rsidRPr="006E709F">
              <w:rPr>
                <w:b/>
                <w:sz w:val="16"/>
                <w:szCs w:val="16"/>
              </w:rPr>
              <w:t>Fixed Income</w:t>
            </w:r>
          </w:p>
          <w:p w14:paraId="4A43A4D3" w14:textId="77777777" w:rsidR="00E93F58" w:rsidRPr="006E709F" w:rsidRDefault="00E93F58" w:rsidP="00CF67DD">
            <w:pPr>
              <w:tabs>
                <w:tab w:val="center" w:pos="1322"/>
              </w:tabs>
              <w:rPr>
                <w:b/>
                <w:sz w:val="16"/>
                <w:szCs w:val="16"/>
              </w:rPr>
            </w:pPr>
            <w:r w:rsidRPr="006E709F">
              <w:rPr>
                <w:b/>
                <w:sz w:val="16"/>
                <w:szCs w:val="16"/>
              </w:rPr>
              <w:t>Investment in non</w:t>
            </w:r>
            <w:r>
              <w:rPr>
                <w:b/>
                <w:sz w:val="16"/>
                <w:szCs w:val="16"/>
              </w:rPr>
              <w:noBreakHyphen/>
            </w:r>
            <w:r w:rsidRPr="006E709F">
              <w:rPr>
                <w:b/>
                <w:sz w:val="16"/>
                <w:szCs w:val="16"/>
              </w:rPr>
              <w:t>associated entities;</w:t>
            </w:r>
          </w:p>
          <w:p w14:paraId="201718EF" w14:textId="77777777" w:rsidR="00E93F58" w:rsidRPr="006E709F" w:rsidRDefault="00E93F58" w:rsidP="00CF67DD">
            <w:pPr>
              <w:rPr>
                <w:b/>
                <w:sz w:val="16"/>
                <w:szCs w:val="16"/>
              </w:rPr>
            </w:pPr>
            <w:r w:rsidRPr="006E709F">
              <w:rPr>
                <w:b/>
                <w:sz w:val="16"/>
                <w:szCs w:val="16"/>
              </w:rPr>
              <w:t xml:space="preserve">Held directly or by associated entities or by </w:t>
            </w:r>
            <w:r w:rsidRPr="00D05323">
              <w:rPr>
                <w:b/>
                <w:sz w:val="16"/>
                <w:szCs w:val="16"/>
              </w:rPr>
              <w:t>pooled superannuation trusts</w:t>
            </w:r>
          </w:p>
          <w:p w14:paraId="312439FA" w14:textId="77777777" w:rsidR="00E93F58" w:rsidRPr="006E709F" w:rsidRDefault="00E93F58" w:rsidP="00CF67DD">
            <w:pPr>
              <w:rPr>
                <w:sz w:val="16"/>
                <w:szCs w:val="16"/>
              </w:rPr>
            </w:pPr>
            <w:r w:rsidRPr="006E709F">
              <w:rPr>
                <w:b/>
                <w:sz w:val="16"/>
                <w:szCs w:val="16"/>
              </w:rPr>
              <w:t>Externally managed</w:t>
            </w:r>
          </w:p>
        </w:tc>
        <w:tc>
          <w:tcPr>
            <w:tcW w:w="3402" w:type="dxa"/>
            <w:gridSpan w:val="4"/>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55D10BA7" w14:textId="77777777" w:rsidR="00E93F58" w:rsidRPr="006E709F" w:rsidRDefault="00E93F58" w:rsidP="00CF67DD">
            <w:pPr>
              <w:rPr>
                <w:sz w:val="16"/>
                <w:szCs w:val="16"/>
              </w:rPr>
            </w:pPr>
          </w:p>
        </w:tc>
      </w:tr>
      <w:tr w:rsidR="00E93F58" w:rsidRPr="006E709F" w14:paraId="31D9370E" w14:textId="77777777" w:rsidTr="00CF67DD">
        <w:tc>
          <w:tcPr>
            <w:tcW w:w="5387" w:type="dxa"/>
            <w:gridSpan w:val="3"/>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0437DAD2" w14:textId="77777777" w:rsidR="00E93F58" w:rsidRPr="006E709F" w:rsidRDefault="00E93F58" w:rsidP="00CF67DD">
            <w:pPr>
              <w:rPr>
                <w:b/>
                <w:sz w:val="16"/>
                <w:szCs w:val="16"/>
              </w:rPr>
            </w:pPr>
            <w:r w:rsidRPr="006E709F">
              <w:rPr>
                <w:b/>
                <w:bCs/>
                <w:sz w:val="16"/>
                <w:szCs w:val="16"/>
              </w:rPr>
              <w:t>Name of Fund Manager</w:t>
            </w:r>
          </w:p>
        </w:tc>
        <w:tc>
          <w:tcPr>
            <w:tcW w:w="1780" w:type="dxa"/>
            <w:gridSpan w:val="2"/>
            <w:tcBorders>
              <w:top w:val="single" w:sz="8"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6DD2701F"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3D243A31" w14:textId="77777777" w:rsidR="00E93F58" w:rsidRPr="006E709F" w:rsidRDefault="00E93F58" w:rsidP="00CF67DD">
            <w:pPr>
              <w:rPr>
                <w:b/>
                <w:sz w:val="16"/>
                <w:szCs w:val="16"/>
              </w:rPr>
            </w:pPr>
            <w:r w:rsidRPr="006E709F">
              <w:rPr>
                <w:b/>
                <w:sz w:val="16"/>
                <w:szCs w:val="16"/>
              </w:rPr>
              <w:t>Weighting (%)</w:t>
            </w:r>
          </w:p>
        </w:tc>
      </w:tr>
      <w:tr w:rsidR="00E93F58" w:rsidRPr="006E709F" w14:paraId="09E10D79" w14:textId="77777777" w:rsidTr="00CF67DD">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7521D1F9" w14:textId="77777777" w:rsidR="00E93F58" w:rsidRPr="006E709F" w:rsidRDefault="00E93F58" w:rsidP="00CF67DD">
            <w:pPr>
              <w:rPr>
                <w:bCs/>
                <w:i/>
                <w:iCs/>
                <w:sz w:val="16"/>
                <w:szCs w:val="16"/>
              </w:rPr>
            </w:pPr>
            <w:r w:rsidRPr="006E709F">
              <w:rPr>
                <w:bCs/>
                <w:i/>
                <w:iCs/>
                <w:sz w:val="16"/>
                <w:szCs w:val="16"/>
              </w:rPr>
              <w:t>Individual asset names not required to be disclosed.</w:t>
            </w:r>
          </w:p>
          <w:p w14:paraId="2D813F02" w14:textId="77777777" w:rsidR="00E93F58" w:rsidRPr="006E709F" w:rsidRDefault="00E93F58" w:rsidP="00CF67DD">
            <w:pPr>
              <w:rPr>
                <w:sz w:val="16"/>
                <w:szCs w:val="16"/>
              </w:rPr>
            </w:pPr>
            <w:r w:rsidRPr="006E709F">
              <w:rPr>
                <w:bCs/>
                <w:i/>
                <w:iCs/>
                <w:sz w:val="16"/>
                <w:szCs w:val="16"/>
              </w:rPr>
              <w:t>Only disclose the name of the fund manager responsible for managing the asset.</w:t>
            </w: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525B0BD0" w14:textId="77777777" w:rsidR="00E93F58" w:rsidRPr="006E709F" w:rsidRDefault="00E93F58" w:rsidP="00CF67DD">
            <w:pPr>
              <w:rPr>
                <w:sz w:val="16"/>
                <w:szCs w:val="16"/>
              </w:rPr>
            </w:pPr>
            <w:r w:rsidRPr="006E709F">
              <w:rPr>
                <w:i/>
                <w:iCs/>
                <w:sz w:val="16"/>
                <w:szCs w:val="16"/>
              </w:rPr>
              <w:t>Values and weightings for individual assets not disclosed. Only disclose total values and weighting aggregated by the fund manager responsible for managing the asset.</w:t>
            </w:r>
          </w:p>
        </w:tc>
      </w:tr>
      <w:tr w:rsidR="00E93F58" w:rsidRPr="006E709F" w14:paraId="56F9B225"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19CE8572" w14:textId="77777777" w:rsidR="00E93F58" w:rsidRPr="006E709F" w:rsidRDefault="00E93F58" w:rsidP="00CF67DD">
            <w:pPr>
              <w:rPr>
                <w:b/>
                <w:sz w:val="16"/>
                <w:szCs w:val="16"/>
              </w:rPr>
            </w:pPr>
            <w:r w:rsidRPr="006E709F">
              <w:rPr>
                <w:b/>
                <w:bCs/>
                <w:sz w:val="16"/>
                <w:szCs w:val="16"/>
              </w:rPr>
              <w:t>Total</w:t>
            </w:r>
          </w:p>
        </w:tc>
        <w:tc>
          <w:tcPr>
            <w:tcW w:w="3402" w:type="dxa"/>
            <w:gridSpan w:val="4"/>
            <w:tcBorders>
              <w:top w:val="single" w:sz="12" w:space="0" w:color="auto"/>
              <w:left w:val="single" w:sz="4" w:space="0" w:color="auto"/>
              <w:bottom w:val="single" w:sz="18" w:space="0" w:color="auto"/>
            </w:tcBorders>
            <w:shd w:val="clear" w:color="auto" w:fill="auto"/>
            <w:tcMar>
              <w:top w:w="0" w:type="dxa"/>
              <w:left w:w="108" w:type="dxa"/>
              <w:bottom w:w="0" w:type="dxa"/>
              <w:right w:w="108" w:type="dxa"/>
            </w:tcMar>
          </w:tcPr>
          <w:p w14:paraId="22E21984" w14:textId="77777777" w:rsidR="00E93F58" w:rsidRPr="006E709F" w:rsidRDefault="00E93F58" w:rsidP="00CF67DD">
            <w:pPr>
              <w:rPr>
                <w:b/>
                <w:sz w:val="16"/>
                <w:szCs w:val="16"/>
              </w:rPr>
            </w:pPr>
          </w:p>
        </w:tc>
      </w:tr>
      <w:tr w:rsidR="00E93F58" w:rsidRPr="006E709F" w14:paraId="00B1F8FF" w14:textId="77777777" w:rsidTr="00CF67DD">
        <w:trPr>
          <w:trHeight w:val="208"/>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44342370" w14:textId="77777777" w:rsidR="00E93F58" w:rsidRPr="006E709F" w:rsidRDefault="00E93F58" w:rsidP="00CF67DD">
            <w:pPr>
              <w:rPr>
                <w:sz w:val="16"/>
                <w:szCs w:val="16"/>
              </w:rPr>
            </w:pPr>
            <w:r w:rsidRPr="006E709F">
              <w:rPr>
                <w:b/>
                <w:sz w:val="16"/>
                <w:szCs w:val="16"/>
              </w:rPr>
              <w:t>Listed Equity</w:t>
            </w:r>
          </w:p>
        </w:tc>
        <w:tc>
          <w:tcPr>
            <w:tcW w:w="3402" w:type="dxa"/>
            <w:gridSpan w:val="4"/>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1F404C0B" w14:textId="77777777" w:rsidR="00E93F58" w:rsidRPr="006E709F" w:rsidRDefault="00E93F58" w:rsidP="00CF67DD">
            <w:pPr>
              <w:rPr>
                <w:sz w:val="16"/>
                <w:szCs w:val="16"/>
              </w:rPr>
            </w:pPr>
          </w:p>
        </w:tc>
      </w:tr>
      <w:tr w:rsidR="00E93F58" w:rsidRPr="006E709F" w14:paraId="59F16737"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46AA0E8D" w14:textId="77777777" w:rsidR="00E93F58" w:rsidRPr="006E709F" w:rsidRDefault="00E93F58" w:rsidP="00CF67DD">
            <w:pPr>
              <w:rPr>
                <w:b/>
                <w:bCs/>
                <w:sz w:val="16"/>
                <w:szCs w:val="16"/>
              </w:rPr>
            </w:pPr>
            <w:r w:rsidRPr="006E709F">
              <w:rPr>
                <w:b/>
                <w:bCs/>
                <w:sz w:val="16"/>
                <w:szCs w:val="16"/>
              </w:rPr>
              <w:t>Name/kind of investment item</w:t>
            </w:r>
          </w:p>
        </w:tc>
        <w:tc>
          <w:tcPr>
            <w:tcW w:w="1419"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04FD0EBE" w14:textId="77777777" w:rsidR="00E93F58" w:rsidRPr="006E709F" w:rsidRDefault="00E93F58" w:rsidP="00CF67DD">
            <w:pPr>
              <w:rPr>
                <w:b/>
                <w:bCs/>
                <w:sz w:val="16"/>
                <w:szCs w:val="16"/>
              </w:rPr>
            </w:pPr>
            <w:r w:rsidRPr="006E709F">
              <w:rPr>
                <w:b/>
                <w:bCs/>
                <w:sz w:val="16"/>
                <w:szCs w:val="16"/>
              </w:rPr>
              <w:t>Security Identifier</w:t>
            </w:r>
          </w:p>
        </w:tc>
        <w:tc>
          <w:tcPr>
            <w:tcW w:w="1276"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7B2B53F4" w14:textId="77777777" w:rsidR="00E93F58" w:rsidRPr="006E709F" w:rsidRDefault="00E93F58" w:rsidP="00CF67DD">
            <w:pPr>
              <w:rPr>
                <w:b/>
                <w:sz w:val="16"/>
                <w:szCs w:val="16"/>
              </w:rPr>
            </w:pPr>
            <w:r w:rsidRPr="006E709F">
              <w:rPr>
                <w:b/>
                <w:bCs/>
                <w:sz w:val="16"/>
                <w:szCs w:val="16"/>
              </w:rPr>
              <w:t>Units held</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4840BC0A"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767AA3F8" w14:textId="77777777" w:rsidR="00E93F58" w:rsidRPr="006E709F" w:rsidRDefault="00E93F58" w:rsidP="00CF67DD">
            <w:pPr>
              <w:rPr>
                <w:b/>
                <w:sz w:val="16"/>
                <w:szCs w:val="16"/>
              </w:rPr>
            </w:pPr>
            <w:r w:rsidRPr="006E709F">
              <w:rPr>
                <w:b/>
                <w:sz w:val="16"/>
                <w:szCs w:val="16"/>
              </w:rPr>
              <w:t>Weighting (%)</w:t>
            </w:r>
          </w:p>
        </w:tc>
      </w:tr>
      <w:tr w:rsidR="00E93F58" w:rsidRPr="006E709F" w14:paraId="3C231AAF"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1D118837" w14:textId="77777777" w:rsidR="00E93F58" w:rsidRPr="006E709F" w:rsidRDefault="00E93F58" w:rsidP="00CF67DD">
            <w:pPr>
              <w:rPr>
                <w:sz w:val="16"/>
                <w:szCs w:val="16"/>
              </w:rPr>
            </w:pPr>
          </w:p>
        </w:tc>
        <w:tc>
          <w:tcPr>
            <w:tcW w:w="1419" w:type="dxa"/>
            <w:tcBorders>
              <w:top w:val="single" w:sz="4" w:space="0" w:color="auto"/>
              <w:left w:val="nil"/>
              <w:bottom w:val="single" w:sz="12" w:space="0" w:color="auto"/>
              <w:right w:val="nil"/>
            </w:tcBorders>
            <w:shd w:val="clear" w:color="auto" w:fill="auto"/>
          </w:tcPr>
          <w:p w14:paraId="44A37AA6" w14:textId="77777777" w:rsidR="00E93F58" w:rsidRPr="006E709F" w:rsidRDefault="00E93F58" w:rsidP="00CF67DD">
            <w:pPr>
              <w:rPr>
                <w:sz w:val="16"/>
                <w:szCs w:val="16"/>
              </w:rPr>
            </w:pPr>
          </w:p>
        </w:tc>
        <w:tc>
          <w:tcPr>
            <w:tcW w:w="1276" w:type="dxa"/>
            <w:tcBorders>
              <w:top w:val="single" w:sz="4" w:space="0" w:color="auto"/>
              <w:left w:val="nil"/>
              <w:bottom w:val="single" w:sz="12" w:space="0" w:color="auto"/>
              <w:right w:val="nil"/>
            </w:tcBorders>
            <w:shd w:val="clear" w:color="auto" w:fill="auto"/>
          </w:tcPr>
          <w:p w14:paraId="4EA515E2" w14:textId="77777777" w:rsidR="00E93F58" w:rsidRPr="006E709F" w:rsidRDefault="00E93F58" w:rsidP="00CF67DD">
            <w:pPr>
              <w:rPr>
                <w:sz w:val="16"/>
                <w:szCs w:val="16"/>
              </w:rPr>
            </w:pPr>
          </w:p>
        </w:tc>
        <w:tc>
          <w:tcPr>
            <w:tcW w:w="1791" w:type="dxa"/>
            <w:gridSpan w:val="3"/>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2E45684D" w14:textId="77777777" w:rsidR="00E93F58" w:rsidRPr="006E709F" w:rsidRDefault="00E93F58" w:rsidP="00CF67DD">
            <w:pPr>
              <w:rPr>
                <w:sz w:val="16"/>
                <w:szCs w:val="16"/>
              </w:rPr>
            </w:pPr>
          </w:p>
        </w:tc>
        <w:tc>
          <w:tcPr>
            <w:tcW w:w="1611"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37BF2CB6" w14:textId="77777777" w:rsidR="00E93F58" w:rsidRPr="006E709F" w:rsidRDefault="00E93F58" w:rsidP="00CF67DD">
            <w:pPr>
              <w:rPr>
                <w:sz w:val="16"/>
                <w:szCs w:val="16"/>
              </w:rPr>
            </w:pPr>
          </w:p>
        </w:tc>
      </w:tr>
      <w:tr w:rsidR="00E93F58" w:rsidRPr="006E709F" w14:paraId="59AF6771"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29C379E0" w14:textId="77777777" w:rsidR="00E93F58" w:rsidRPr="006E709F" w:rsidRDefault="00E93F58" w:rsidP="00CF67DD">
            <w:pPr>
              <w:rPr>
                <w:b/>
                <w:sz w:val="16"/>
                <w:szCs w:val="16"/>
              </w:rPr>
            </w:pPr>
            <w:r w:rsidRPr="006E709F">
              <w:rPr>
                <w:b/>
                <w:bCs/>
                <w:sz w:val="16"/>
                <w:szCs w:val="16"/>
              </w:rPr>
              <w:t>Total</w:t>
            </w:r>
          </w:p>
        </w:tc>
        <w:tc>
          <w:tcPr>
            <w:tcW w:w="1780" w:type="dxa"/>
            <w:gridSpan w:val="2"/>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4B275918" w14:textId="77777777" w:rsidR="00E93F58" w:rsidRPr="006E709F" w:rsidRDefault="00E93F58" w:rsidP="00CF67DD">
            <w:pPr>
              <w:rPr>
                <w:b/>
                <w:sz w:val="16"/>
                <w:szCs w:val="16"/>
              </w:rPr>
            </w:pPr>
          </w:p>
        </w:tc>
        <w:tc>
          <w:tcPr>
            <w:tcW w:w="1622" w:type="dxa"/>
            <w:gridSpan w:val="2"/>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3F91DBF0" w14:textId="77777777" w:rsidR="00E93F58" w:rsidRPr="006E709F" w:rsidRDefault="00E93F58" w:rsidP="00CF67DD">
            <w:pPr>
              <w:rPr>
                <w:b/>
                <w:sz w:val="16"/>
                <w:szCs w:val="16"/>
              </w:rPr>
            </w:pPr>
          </w:p>
        </w:tc>
      </w:tr>
      <w:tr w:rsidR="00E93F58" w:rsidRPr="006E709F" w14:paraId="7CA26838" w14:textId="77777777" w:rsidTr="00CF67DD">
        <w:trPr>
          <w:trHeight w:val="222"/>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3920516A" w14:textId="77777777" w:rsidR="00E93F58" w:rsidRPr="006E709F" w:rsidRDefault="00E93F58" w:rsidP="00CF67DD">
            <w:pPr>
              <w:tabs>
                <w:tab w:val="center" w:pos="1322"/>
              </w:tabs>
              <w:rPr>
                <w:b/>
                <w:sz w:val="16"/>
                <w:szCs w:val="16"/>
              </w:rPr>
            </w:pPr>
            <w:r w:rsidRPr="006E709F">
              <w:rPr>
                <w:b/>
                <w:sz w:val="16"/>
                <w:szCs w:val="16"/>
              </w:rPr>
              <w:t>Unlisted Equity</w:t>
            </w:r>
          </w:p>
          <w:p w14:paraId="27E0108C" w14:textId="77777777" w:rsidR="00E93F58" w:rsidRPr="006E709F" w:rsidRDefault="00E93F58" w:rsidP="00CF67DD">
            <w:pPr>
              <w:rPr>
                <w:b/>
                <w:sz w:val="16"/>
                <w:szCs w:val="16"/>
              </w:rPr>
            </w:pPr>
            <w:r w:rsidRPr="006E709F">
              <w:rPr>
                <w:b/>
                <w:sz w:val="16"/>
                <w:szCs w:val="16"/>
              </w:rPr>
              <w:t xml:space="preserve">Held directly or by associated entities or by </w:t>
            </w:r>
            <w:r w:rsidRPr="00D05323">
              <w:rPr>
                <w:b/>
                <w:sz w:val="16"/>
                <w:szCs w:val="16"/>
              </w:rPr>
              <w:t>pooled superannuation trusts</w:t>
            </w:r>
          </w:p>
          <w:p w14:paraId="59E797CF" w14:textId="77777777" w:rsidR="00E93F58" w:rsidRPr="006E709F" w:rsidRDefault="00E93F58" w:rsidP="00CF67DD">
            <w:pPr>
              <w:rPr>
                <w:b/>
                <w:sz w:val="16"/>
                <w:szCs w:val="16"/>
              </w:rPr>
            </w:pPr>
            <w:r w:rsidRPr="006E709F">
              <w:rPr>
                <w:b/>
                <w:sz w:val="16"/>
                <w:szCs w:val="16"/>
              </w:rPr>
              <w:t>Internally managed</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24B7CEF2" w14:textId="77777777" w:rsidR="00E93F58" w:rsidRPr="006E709F" w:rsidRDefault="00E93F58" w:rsidP="00CF67DD">
            <w:pPr>
              <w:rPr>
                <w:b/>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3A8ADF39" w14:textId="77777777" w:rsidR="00E93F58" w:rsidRPr="006E709F" w:rsidRDefault="00E93F58" w:rsidP="00CF67DD">
            <w:pPr>
              <w:rPr>
                <w:b/>
                <w:sz w:val="16"/>
                <w:szCs w:val="16"/>
              </w:rPr>
            </w:pPr>
          </w:p>
        </w:tc>
      </w:tr>
      <w:tr w:rsidR="00E93F58" w:rsidRPr="006E709F" w14:paraId="6E1695BC"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7D85165D" w14:textId="77777777" w:rsidR="00E93F58" w:rsidRPr="006E709F" w:rsidRDefault="00E93F58" w:rsidP="00CF67DD">
            <w:pPr>
              <w:rPr>
                <w:b/>
                <w:bCs/>
                <w:sz w:val="16"/>
                <w:szCs w:val="16"/>
              </w:rPr>
            </w:pPr>
            <w:r w:rsidRPr="006E709F">
              <w:rPr>
                <w:b/>
                <w:bCs/>
                <w:sz w:val="16"/>
                <w:szCs w:val="16"/>
              </w:rPr>
              <w:t>Name/kind of investment item</w:t>
            </w:r>
          </w:p>
        </w:tc>
        <w:tc>
          <w:tcPr>
            <w:tcW w:w="2695"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75B7EEE2" w14:textId="77777777" w:rsidR="00E93F58" w:rsidRPr="006E709F" w:rsidRDefault="00E93F58" w:rsidP="00CF67DD">
            <w:pPr>
              <w:rPr>
                <w:b/>
                <w:sz w:val="16"/>
                <w:szCs w:val="16"/>
              </w:rPr>
            </w:pPr>
            <w:r w:rsidRPr="006E709F">
              <w:rPr>
                <w:b/>
                <w:sz w:val="16"/>
                <w:szCs w:val="16"/>
              </w:rPr>
              <w:t>% Ownership</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2C54531B"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3A050827" w14:textId="77777777" w:rsidR="00E93F58" w:rsidRPr="006E709F" w:rsidRDefault="00E93F58" w:rsidP="00CF67DD">
            <w:pPr>
              <w:rPr>
                <w:b/>
                <w:sz w:val="16"/>
                <w:szCs w:val="16"/>
              </w:rPr>
            </w:pPr>
            <w:r w:rsidRPr="006E709F">
              <w:rPr>
                <w:b/>
                <w:sz w:val="16"/>
                <w:szCs w:val="16"/>
              </w:rPr>
              <w:t>Weighting (%)</w:t>
            </w:r>
          </w:p>
        </w:tc>
      </w:tr>
      <w:tr w:rsidR="00E93F58" w:rsidRPr="006E709F" w14:paraId="7E782E0E"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737B37C4" w14:textId="77777777" w:rsidR="00E93F58" w:rsidRPr="006E709F" w:rsidRDefault="00E93F58" w:rsidP="00CF67DD">
            <w:pPr>
              <w:rPr>
                <w:bCs/>
                <w:i/>
                <w:iCs/>
                <w:sz w:val="16"/>
                <w:szCs w:val="16"/>
              </w:rPr>
            </w:pPr>
          </w:p>
        </w:tc>
        <w:tc>
          <w:tcPr>
            <w:tcW w:w="2695" w:type="dxa"/>
            <w:gridSpan w:val="2"/>
            <w:tcBorders>
              <w:top w:val="single" w:sz="4" w:space="0" w:color="auto"/>
              <w:left w:val="nil"/>
              <w:bottom w:val="single" w:sz="12" w:space="0" w:color="auto"/>
              <w:right w:val="nil"/>
            </w:tcBorders>
            <w:shd w:val="clear" w:color="auto" w:fill="auto"/>
          </w:tcPr>
          <w:p w14:paraId="59175EC0" w14:textId="77777777" w:rsidR="00E93F58" w:rsidRPr="006E709F" w:rsidRDefault="00E93F58" w:rsidP="00CF67DD">
            <w:pPr>
              <w:rPr>
                <w:bCs/>
                <w:i/>
                <w:iCs/>
                <w:sz w:val="16"/>
                <w:szCs w:val="16"/>
              </w:rPr>
            </w:pP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709AD206" w14:textId="77777777" w:rsidR="00E93F58" w:rsidRPr="006E709F" w:rsidRDefault="00E93F58" w:rsidP="00CF67DD">
            <w:pPr>
              <w:rPr>
                <w:sz w:val="16"/>
                <w:szCs w:val="16"/>
              </w:rPr>
            </w:pPr>
            <w:r w:rsidRPr="006E709F">
              <w:rPr>
                <w:i/>
                <w:iCs/>
                <w:sz w:val="16"/>
                <w:szCs w:val="16"/>
              </w:rPr>
              <w:t>Values and weighting for individual assets not disclosed. Only disclose total value and weighting.</w:t>
            </w:r>
          </w:p>
        </w:tc>
      </w:tr>
      <w:tr w:rsidR="00E93F58" w:rsidRPr="006E709F" w14:paraId="49F79228"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638BD548"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0682114A"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46DDE719" w14:textId="77777777" w:rsidR="00E93F58" w:rsidRPr="006E709F" w:rsidRDefault="00E93F58" w:rsidP="00CF67DD">
            <w:pPr>
              <w:rPr>
                <w:b/>
                <w:sz w:val="16"/>
                <w:szCs w:val="16"/>
              </w:rPr>
            </w:pPr>
          </w:p>
        </w:tc>
      </w:tr>
      <w:tr w:rsidR="00E93F58" w:rsidRPr="006E709F" w14:paraId="44962B3B" w14:textId="77777777" w:rsidTr="00CF67DD">
        <w:trPr>
          <w:trHeight w:val="208"/>
        </w:trPr>
        <w:tc>
          <w:tcPr>
            <w:tcW w:w="5387" w:type="dxa"/>
            <w:gridSpan w:val="3"/>
            <w:tcBorders>
              <w:top w:val="single" w:sz="18" w:space="0" w:color="auto"/>
              <w:left w:val="nil"/>
              <w:bottom w:val="single" w:sz="4" w:space="0" w:color="auto"/>
              <w:right w:val="nil"/>
            </w:tcBorders>
            <w:shd w:val="clear" w:color="auto" w:fill="auto"/>
            <w:tcMar>
              <w:top w:w="0" w:type="dxa"/>
              <w:left w:w="108" w:type="dxa"/>
              <w:bottom w:w="0" w:type="dxa"/>
              <w:right w:w="108" w:type="dxa"/>
            </w:tcMar>
            <w:hideMark/>
          </w:tcPr>
          <w:p w14:paraId="39AEEDD6" w14:textId="77777777" w:rsidR="00E93F58" w:rsidRPr="006E709F" w:rsidRDefault="00E93F58" w:rsidP="00CF67DD">
            <w:pPr>
              <w:tabs>
                <w:tab w:val="center" w:pos="1322"/>
              </w:tabs>
              <w:rPr>
                <w:b/>
                <w:sz w:val="16"/>
                <w:szCs w:val="16"/>
              </w:rPr>
            </w:pPr>
            <w:r w:rsidRPr="006E709F">
              <w:rPr>
                <w:b/>
                <w:sz w:val="16"/>
                <w:szCs w:val="16"/>
              </w:rPr>
              <w:t>Unlisted Equity</w:t>
            </w:r>
          </w:p>
          <w:p w14:paraId="06E6F467" w14:textId="77777777" w:rsidR="00E93F58" w:rsidRPr="006E709F" w:rsidRDefault="00E93F58" w:rsidP="00CF67DD">
            <w:pPr>
              <w:tabs>
                <w:tab w:val="center" w:pos="1322"/>
              </w:tabs>
              <w:rPr>
                <w:b/>
                <w:sz w:val="16"/>
                <w:szCs w:val="16"/>
              </w:rPr>
            </w:pPr>
            <w:r w:rsidRPr="006E709F">
              <w:rPr>
                <w:b/>
                <w:sz w:val="16"/>
                <w:szCs w:val="16"/>
              </w:rPr>
              <w:t>Investment in non</w:t>
            </w:r>
            <w:r>
              <w:rPr>
                <w:b/>
                <w:sz w:val="16"/>
                <w:szCs w:val="16"/>
              </w:rPr>
              <w:noBreakHyphen/>
            </w:r>
            <w:r w:rsidRPr="006E709F">
              <w:rPr>
                <w:b/>
                <w:sz w:val="16"/>
                <w:szCs w:val="16"/>
              </w:rPr>
              <w:t>associated entities;</w:t>
            </w:r>
          </w:p>
          <w:p w14:paraId="653AB5BC" w14:textId="77777777" w:rsidR="00E93F58" w:rsidRPr="006E709F" w:rsidRDefault="00E93F58" w:rsidP="00CF67DD">
            <w:pPr>
              <w:tabs>
                <w:tab w:val="center" w:pos="1322"/>
              </w:tabs>
              <w:rPr>
                <w:b/>
                <w:sz w:val="16"/>
                <w:szCs w:val="16"/>
              </w:rPr>
            </w:pPr>
            <w:r w:rsidRPr="006E709F">
              <w:rPr>
                <w:b/>
                <w:sz w:val="16"/>
                <w:szCs w:val="16"/>
              </w:rPr>
              <w:t xml:space="preserve">Held directly or by associated entities or by </w:t>
            </w:r>
            <w:r w:rsidRPr="00D05323">
              <w:rPr>
                <w:b/>
                <w:sz w:val="16"/>
                <w:szCs w:val="16"/>
              </w:rPr>
              <w:t>pooled superannuation trusts</w:t>
            </w:r>
          </w:p>
          <w:p w14:paraId="185ACE7B" w14:textId="77777777" w:rsidR="00E93F58" w:rsidRPr="006E709F" w:rsidRDefault="00E93F58" w:rsidP="00CF67DD">
            <w:pPr>
              <w:rPr>
                <w:sz w:val="16"/>
                <w:szCs w:val="16"/>
              </w:rPr>
            </w:pPr>
            <w:r w:rsidRPr="006E709F">
              <w:rPr>
                <w:b/>
                <w:sz w:val="16"/>
                <w:szCs w:val="16"/>
              </w:rPr>
              <w:t>Externally managed</w:t>
            </w:r>
          </w:p>
        </w:tc>
        <w:tc>
          <w:tcPr>
            <w:tcW w:w="1771" w:type="dxa"/>
            <w:tcBorders>
              <w:top w:val="single" w:sz="18"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6EB00EB6" w14:textId="77777777" w:rsidR="00E93F58" w:rsidRPr="006E709F" w:rsidRDefault="00E93F58" w:rsidP="00CF67DD">
            <w:pPr>
              <w:rPr>
                <w:sz w:val="16"/>
                <w:szCs w:val="16"/>
              </w:rPr>
            </w:pPr>
          </w:p>
        </w:tc>
        <w:tc>
          <w:tcPr>
            <w:tcW w:w="1631" w:type="dxa"/>
            <w:gridSpan w:val="3"/>
            <w:tcBorders>
              <w:top w:val="single" w:sz="18" w:space="0" w:color="auto"/>
              <w:left w:val="nil"/>
              <w:bottom w:val="single" w:sz="4" w:space="0" w:color="auto"/>
              <w:right w:val="nil"/>
            </w:tcBorders>
            <w:shd w:val="clear" w:color="auto" w:fill="auto"/>
            <w:tcMar>
              <w:top w:w="0" w:type="dxa"/>
              <w:left w:w="108" w:type="dxa"/>
              <w:bottom w:w="0" w:type="dxa"/>
              <w:right w:w="108" w:type="dxa"/>
            </w:tcMar>
          </w:tcPr>
          <w:p w14:paraId="733147A3" w14:textId="77777777" w:rsidR="00E93F58" w:rsidRPr="006E709F" w:rsidRDefault="00E93F58" w:rsidP="00CF67DD">
            <w:pPr>
              <w:rPr>
                <w:sz w:val="16"/>
                <w:szCs w:val="16"/>
              </w:rPr>
            </w:pPr>
          </w:p>
        </w:tc>
      </w:tr>
      <w:tr w:rsidR="00E93F58" w:rsidRPr="006E709F" w14:paraId="4F43AA63" w14:textId="77777777" w:rsidTr="00CF67DD">
        <w:tc>
          <w:tcPr>
            <w:tcW w:w="5387" w:type="dxa"/>
            <w:gridSpan w:val="3"/>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50054961" w14:textId="77777777" w:rsidR="00E93F58" w:rsidRPr="006E709F" w:rsidRDefault="00E93F58" w:rsidP="00CF67DD">
            <w:pPr>
              <w:rPr>
                <w:b/>
                <w:sz w:val="16"/>
                <w:szCs w:val="16"/>
              </w:rPr>
            </w:pPr>
            <w:r w:rsidRPr="006E709F">
              <w:rPr>
                <w:b/>
                <w:bCs/>
                <w:sz w:val="16"/>
                <w:szCs w:val="16"/>
              </w:rPr>
              <w:t>Name of Fund Manager</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75DCEAFF"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373033E5" w14:textId="77777777" w:rsidR="00E93F58" w:rsidRPr="006E709F" w:rsidRDefault="00E93F58" w:rsidP="00CF67DD">
            <w:pPr>
              <w:rPr>
                <w:b/>
                <w:sz w:val="16"/>
                <w:szCs w:val="16"/>
              </w:rPr>
            </w:pPr>
            <w:r w:rsidRPr="006E709F">
              <w:rPr>
                <w:b/>
                <w:sz w:val="16"/>
                <w:szCs w:val="16"/>
              </w:rPr>
              <w:t>Weighting (%)</w:t>
            </w:r>
          </w:p>
        </w:tc>
      </w:tr>
      <w:tr w:rsidR="00E93F58" w:rsidRPr="006E709F" w14:paraId="7426EF76" w14:textId="77777777" w:rsidTr="00CF67DD">
        <w:trPr>
          <w:trHeight w:val="208"/>
        </w:trPr>
        <w:tc>
          <w:tcPr>
            <w:tcW w:w="5387" w:type="dxa"/>
            <w:gridSpan w:val="3"/>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71EC7BC4" w14:textId="77777777" w:rsidR="00E93F58" w:rsidRPr="006E709F" w:rsidRDefault="00E93F58" w:rsidP="00CF67DD">
            <w:pPr>
              <w:tabs>
                <w:tab w:val="center" w:pos="1322"/>
              </w:tabs>
              <w:rPr>
                <w:bCs/>
                <w:i/>
                <w:iCs/>
                <w:sz w:val="16"/>
                <w:szCs w:val="16"/>
              </w:rPr>
            </w:pPr>
            <w:bookmarkStart w:id="3366" w:name="_Hlk86393580"/>
            <w:r w:rsidRPr="006E709F">
              <w:rPr>
                <w:bCs/>
                <w:i/>
                <w:iCs/>
                <w:sz w:val="16"/>
                <w:szCs w:val="16"/>
              </w:rPr>
              <w:t>Individual asset names not required to be disclosed.</w:t>
            </w:r>
          </w:p>
          <w:p w14:paraId="18550C4F" w14:textId="77777777" w:rsidR="00E93F58" w:rsidRPr="006E709F" w:rsidRDefault="00E93F58" w:rsidP="00CF67DD">
            <w:pPr>
              <w:rPr>
                <w:sz w:val="16"/>
                <w:szCs w:val="16"/>
              </w:rPr>
            </w:pPr>
            <w:r w:rsidRPr="006E709F">
              <w:rPr>
                <w:bCs/>
                <w:i/>
                <w:iCs/>
                <w:sz w:val="16"/>
                <w:szCs w:val="16"/>
              </w:rPr>
              <w:t>Only disclose the name of the fund manager responsible for managing the asset.</w:t>
            </w:r>
          </w:p>
        </w:tc>
        <w:tc>
          <w:tcPr>
            <w:tcW w:w="3402" w:type="dxa"/>
            <w:gridSpan w:val="4"/>
            <w:tcBorders>
              <w:top w:val="single" w:sz="4"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11C60127" w14:textId="77777777" w:rsidR="00E93F58" w:rsidRPr="006E709F" w:rsidRDefault="00E93F58" w:rsidP="00CF67DD">
            <w:pPr>
              <w:rPr>
                <w:sz w:val="16"/>
                <w:szCs w:val="16"/>
              </w:rPr>
            </w:pPr>
            <w:r w:rsidRPr="006E709F">
              <w:rPr>
                <w:i/>
                <w:iCs/>
                <w:sz w:val="16"/>
                <w:szCs w:val="16"/>
              </w:rPr>
              <w:t>Values and weightings for individual assets not disclosed. Only disclose total values and weighting aggregated by the fund manager responsible for managing the assets.</w:t>
            </w:r>
          </w:p>
        </w:tc>
      </w:tr>
      <w:bookmarkEnd w:id="3366"/>
      <w:tr w:rsidR="00E93F58" w:rsidRPr="006E709F" w14:paraId="444598E0"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14BD67D9"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4145AB8D"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28D31126" w14:textId="77777777" w:rsidR="00E93F58" w:rsidRPr="006E709F" w:rsidRDefault="00E93F58" w:rsidP="00CF67DD">
            <w:pPr>
              <w:rPr>
                <w:b/>
                <w:sz w:val="16"/>
                <w:szCs w:val="16"/>
              </w:rPr>
            </w:pPr>
          </w:p>
        </w:tc>
      </w:tr>
      <w:tr w:rsidR="00E93F58" w:rsidRPr="006E709F" w14:paraId="4F45BBF3" w14:textId="77777777" w:rsidTr="00CF67DD">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3D069A73" w14:textId="77777777" w:rsidR="00E93F58" w:rsidRPr="006E709F" w:rsidRDefault="00E93F58" w:rsidP="00CF67DD">
            <w:pPr>
              <w:tabs>
                <w:tab w:val="center" w:pos="1322"/>
              </w:tabs>
              <w:rPr>
                <w:b/>
                <w:sz w:val="16"/>
                <w:szCs w:val="16"/>
              </w:rPr>
            </w:pPr>
            <w:r w:rsidRPr="006E709F">
              <w:rPr>
                <w:b/>
                <w:sz w:val="16"/>
                <w:szCs w:val="16"/>
              </w:rPr>
              <w:lastRenderedPageBreak/>
              <w:t>Listed Property</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415FF5C9" w14:textId="77777777" w:rsidR="00E93F58" w:rsidRPr="006E709F" w:rsidRDefault="00E93F58" w:rsidP="00CF67DD">
            <w:pPr>
              <w:tabs>
                <w:tab w:val="center" w:pos="1322"/>
              </w:tabs>
              <w:rPr>
                <w:b/>
                <w:sz w:val="16"/>
                <w:szCs w:val="16"/>
              </w:rPr>
            </w:pPr>
          </w:p>
        </w:tc>
        <w:tc>
          <w:tcPr>
            <w:tcW w:w="1631" w:type="dxa"/>
            <w:gridSpan w:val="3"/>
            <w:tcBorders>
              <w:top w:val="single" w:sz="12" w:space="0" w:color="auto"/>
              <w:left w:val="nil"/>
              <w:bottom w:val="single" w:sz="12" w:space="0" w:color="auto"/>
              <w:right w:val="nil"/>
            </w:tcBorders>
            <w:shd w:val="clear" w:color="auto" w:fill="auto"/>
            <w:tcMar>
              <w:top w:w="0" w:type="dxa"/>
              <w:left w:w="108" w:type="dxa"/>
              <w:bottom w:w="0" w:type="dxa"/>
              <w:right w:w="108" w:type="dxa"/>
            </w:tcMar>
          </w:tcPr>
          <w:p w14:paraId="1964E8DA" w14:textId="77777777" w:rsidR="00E93F58" w:rsidRPr="006E709F" w:rsidRDefault="00E93F58" w:rsidP="00CF67DD">
            <w:pPr>
              <w:tabs>
                <w:tab w:val="center" w:pos="1322"/>
              </w:tabs>
              <w:rPr>
                <w:b/>
                <w:sz w:val="16"/>
                <w:szCs w:val="16"/>
              </w:rPr>
            </w:pPr>
          </w:p>
        </w:tc>
      </w:tr>
      <w:tr w:rsidR="00E93F58" w:rsidRPr="006E709F" w14:paraId="336D3AE9"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4148416E" w14:textId="77777777" w:rsidR="00E93F58" w:rsidRPr="006E709F" w:rsidRDefault="00E93F58" w:rsidP="00CF67DD">
            <w:pPr>
              <w:rPr>
                <w:b/>
                <w:bCs/>
                <w:sz w:val="16"/>
                <w:szCs w:val="16"/>
              </w:rPr>
            </w:pPr>
            <w:r w:rsidRPr="006E709F">
              <w:rPr>
                <w:b/>
                <w:bCs/>
                <w:sz w:val="16"/>
                <w:szCs w:val="16"/>
              </w:rPr>
              <w:t>Name/kind of investment item</w:t>
            </w:r>
          </w:p>
        </w:tc>
        <w:tc>
          <w:tcPr>
            <w:tcW w:w="1419" w:type="dxa"/>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0C02DEDF" w14:textId="77777777" w:rsidR="00E93F58" w:rsidRPr="006E709F" w:rsidRDefault="00E93F58" w:rsidP="00CF67DD">
            <w:pPr>
              <w:rPr>
                <w:b/>
                <w:bCs/>
                <w:sz w:val="16"/>
                <w:szCs w:val="16"/>
              </w:rPr>
            </w:pPr>
            <w:r w:rsidRPr="006E709F">
              <w:rPr>
                <w:b/>
                <w:bCs/>
                <w:sz w:val="16"/>
                <w:szCs w:val="16"/>
              </w:rPr>
              <w:t>Security Identifier</w:t>
            </w:r>
          </w:p>
        </w:tc>
        <w:tc>
          <w:tcPr>
            <w:tcW w:w="1276" w:type="dxa"/>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652CD68B" w14:textId="77777777" w:rsidR="00E93F58" w:rsidRPr="006E709F" w:rsidRDefault="00E93F58" w:rsidP="00CF67DD">
            <w:pPr>
              <w:rPr>
                <w:b/>
                <w:sz w:val="16"/>
                <w:szCs w:val="16"/>
              </w:rPr>
            </w:pPr>
            <w:r w:rsidRPr="006E709F">
              <w:rPr>
                <w:b/>
                <w:sz w:val="16"/>
                <w:szCs w:val="16"/>
              </w:rPr>
              <w:t>Units held</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042F81EB"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2D97CBAB" w14:textId="77777777" w:rsidR="00E93F58" w:rsidRPr="006E709F" w:rsidRDefault="00E93F58" w:rsidP="00CF67DD">
            <w:pPr>
              <w:rPr>
                <w:b/>
                <w:sz w:val="16"/>
                <w:szCs w:val="16"/>
              </w:rPr>
            </w:pPr>
            <w:r w:rsidRPr="006E709F">
              <w:rPr>
                <w:b/>
                <w:sz w:val="16"/>
                <w:szCs w:val="16"/>
              </w:rPr>
              <w:t>Weighting (%)</w:t>
            </w:r>
          </w:p>
        </w:tc>
      </w:tr>
      <w:tr w:rsidR="00E93F58" w:rsidRPr="006E709F" w14:paraId="77CA054B"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0079C3AE" w14:textId="77777777" w:rsidR="00E93F58" w:rsidRPr="006E709F" w:rsidRDefault="00E93F58" w:rsidP="00CF67DD">
            <w:pPr>
              <w:rPr>
                <w:sz w:val="16"/>
                <w:szCs w:val="16"/>
              </w:rPr>
            </w:pPr>
          </w:p>
        </w:tc>
        <w:tc>
          <w:tcPr>
            <w:tcW w:w="1419" w:type="dxa"/>
            <w:tcBorders>
              <w:top w:val="single" w:sz="4" w:space="0" w:color="auto"/>
              <w:left w:val="nil"/>
              <w:bottom w:val="single" w:sz="12" w:space="0" w:color="auto"/>
              <w:right w:val="nil"/>
            </w:tcBorders>
            <w:shd w:val="clear" w:color="auto" w:fill="auto"/>
          </w:tcPr>
          <w:p w14:paraId="5A54A52E" w14:textId="77777777" w:rsidR="00E93F58" w:rsidRPr="006E709F" w:rsidRDefault="00E93F58" w:rsidP="00CF67DD">
            <w:pPr>
              <w:rPr>
                <w:sz w:val="16"/>
                <w:szCs w:val="16"/>
              </w:rPr>
            </w:pPr>
          </w:p>
        </w:tc>
        <w:tc>
          <w:tcPr>
            <w:tcW w:w="1276" w:type="dxa"/>
            <w:tcBorders>
              <w:top w:val="single" w:sz="4" w:space="0" w:color="auto"/>
              <w:left w:val="nil"/>
              <w:bottom w:val="single" w:sz="12" w:space="0" w:color="auto"/>
              <w:right w:val="nil"/>
            </w:tcBorders>
            <w:shd w:val="clear" w:color="auto" w:fill="auto"/>
          </w:tcPr>
          <w:p w14:paraId="7C51ADAD" w14:textId="77777777" w:rsidR="00E93F58" w:rsidRPr="006E709F" w:rsidRDefault="00E93F58" w:rsidP="00CF67DD">
            <w:pPr>
              <w:rPr>
                <w:sz w:val="16"/>
                <w:szCs w:val="16"/>
              </w:rPr>
            </w:pPr>
          </w:p>
        </w:tc>
        <w:tc>
          <w:tcPr>
            <w:tcW w:w="1791" w:type="dxa"/>
            <w:gridSpan w:val="3"/>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6480B497" w14:textId="77777777" w:rsidR="00E93F58" w:rsidRPr="006E709F" w:rsidRDefault="00E93F58" w:rsidP="00CF67DD">
            <w:pPr>
              <w:rPr>
                <w:sz w:val="16"/>
                <w:szCs w:val="16"/>
              </w:rPr>
            </w:pPr>
          </w:p>
        </w:tc>
        <w:tc>
          <w:tcPr>
            <w:tcW w:w="1611"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389CF0AE" w14:textId="77777777" w:rsidR="00E93F58" w:rsidRPr="006E709F" w:rsidRDefault="00E93F58" w:rsidP="00CF67DD">
            <w:pPr>
              <w:rPr>
                <w:sz w:val="16"/>
                <w:szCs w:val="16"/>
              </w:rPr>
            </w:pPr>
          </w:p>
        </w:tc>
      </w:tr>
      <w:tr w:rsidR="00E93F58" w:rsidRPr="006E709F" w14:paraId="27DA54EC" w14:textId="77777777" w:rsidTr="00CF67DD">
        <w:tc>
          <w:tcPr>
            <w:tcW w:w="2692" w:type="dxa"/>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1C3A1665" w14:textId="77777777" w:rsidR="00E93F58" w:rsidRPr="006E709F" w:rsidRDefault="00E93F58" w:rsidP="00CF67DD">
            <w:pPr>
              <w:rPr>
                <w:b/>
                <w:bCs/>
                <w:sz w:val="16"/>
                <w:szCs w:val="16"/>
              </w:rPr>
            </w:pPr>
            <w:r w:rsidRPr="006E709F">
              <w:rPr>
                <w:b/>
                <w:bCs/>
                <w:sz w:val="16"/>
                <w:szCs w:val="16"/>
              </w:rPr>
              <w:t>Total</w:t>
            </w:r>
          </w:p>
        </w:tc>
        <w:tc>
          <w:tcPr>
            <w:tcW w:w="1419" w:type="dxa"/>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7B79D5D0" w14:textId="77777777" w:rsidR="00E93F58" w:rsidRPr="006E709F" w:rsidRDefault="00E93F58" w:rsidP="00CF67DD">
            <w:pPr>
              <w:rPr>
                <w:b/>
                <w:bCs/>
                <w:sz w:val="16"/>
                <w:szCs w:val="16"/>
              </w:rPr>
            </w:pPr>
          </w:p>
        </w:tc>
        <w:tc>
          <w:tcPr>
            <w:tcW w:w="1276" w:type="dxa"/>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0C0C8474" w14:textId="77777777" w:rsidR="00E93F58" w:rsidRPr="006E709F" w:rsidRDefault="00E93F58" w:rsidP="00CF67DD">
            <w:pPr>
              <w:rPr>
                <w:b/>
                <w:sz w:val="16"/>
                <w:szCs w:val="16"/>
              </w:rPr>
            </w:pPr>
          </w:p>
        </w:tc>
        <w:tc>
          <w:tcPr>
            <w:tcW w:w="1780" w:type="dxa"/>
            <w:gridSpan w:val="2"/>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5741FB3B" w14:textId="77777777" w:rsidR="00E93F58" w:rsidRPr="006E709F" w:rsidRDefault="00E93F58" w:rsidP="00CF67DD">
            <w:pPr>
              <w:rPr>
                <w:b/>
                <w:sz w:val="16"/>
                <w:szCs w:val="16"/>
              </w:rPr>
            </w:pPr>
          </w:p>
        </w:tc>
        <w:tc>
          <w:tcPr>
            <w:tcW w:w="1622" w:type="dxa"/>
            <w:gridSpan w:val="2"/>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194FDCE7" w14:textId="77777777" w:rsidR="00E93F58" w:rsidRPr="006E709F" w:rsidRDefault="00E93F58" w:rsidP="00CF67DD">
            <w:pPr>
              <w:rPr>
                <w:b/>
                <w:sz w:val="16"/>
                <w:szCs w:val="16"/>
              </w:rPr>
            </w:pPr>
          </w:p>
        </w:tc>
      </w:tr>
      <w:tr w:rsidR="00E93F58" w:rsidRPr="006E709F" w14:paraId="3E43D7A1" w14:textId="77777777" w:rsidTr="00CF67DD">
        <w:trPr>
          <w:trHeight w:val="208"/>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7DF8B4C0" w14:textId="77777777" w:rsidR="00E93F58" w:rsidRPr="006E709F" w:rsidRDefault="00E93F58" w:rsidP="00CF67DD">
            <w:pPr>
              <w:tabs>
                <w:tab w:val="center" w:pos="1322"/>
              </w:tabs>
              <w:rPr>
                <w:b/>
                <w:sz w:val="16"/>
                <w:szCs w:val="16"/>
              </w:rPr>
            </w:pPr>
            <w:r w:rsidRPr="006E709F">
              <w:rPr>
                <w:b/>
                <w:sz w:val="16"/>
                <w:szCs w:val="16"/>
              </w:rPr>
              <w:t>Unlisted Property</w:t>
            </w:r>
          </w:p>
          <w:p w14:paraId="493B33D8" w14:textId="77777777" w:rsidR="00E93F58" w:rsidRPr="006E709F" w:rsidRDefault="00E93F58" w:rsidP="00CF67DD">
            <w:pPr>
              <w:rPr>
                <w:b/>
                <w:sz w:val="16"/>
                <w:szCs w:val="16"/>
              </w:rPr>
            </w:pPr>
            <w:r w:rsidRPr="006E709F">
              <w:rPr>
                <w:b/>
                <w:sz w:val="16"/>
                <w:szCs w:val="16"/>
              </w:rPr>
              <w:t xml:space="preserve">Held directly or by associated entities or by </w:t>
            </w:r>
            <w:r w:rsidRPr="00D05323">
              <w:rPr>
                <w:b/>
                <w:sz w:val="16"/>
                <w:szCs w:val="16"/>
              </w:rPr>
              <w:t>pooled superannuation trusts</w:t>
            </w:r>
          </w:p>
          <w:p w14:paraId="7F40B650" w14:textId="77777777" w:rsidR="00E93F58" w:rsidRPr="006E709F" w:rsidRDefault="00E93F58" w:rsidP="00CF67DD">
            <w:pPr>
              <w:rPr>
                <w:sz w:val="16"/>
                <w:szCs w:val="16"/>
              </w:rPr>
            </w:pPr>
            <w:r w:rsidRPr="006E709F">
              <w:rPr>
                <w:b/>
                <w:sz w:val="16"/>
                <w:szCs w:val="16"/>
              </w:rPr>
              <w:t>Internally managed</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709F1AE3" w14:textId="77777777" w:rsidR="00E93F58" w:rsidRPr="006E709F" w:rsidRDefault="00E93F58" w:rsidP="00CF67DD">
            <w:pPr>
              <w:rPr>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22D7722C" w14:textId="77777777" w:rsidR="00E93F58" w:rsidRPr="006E709F" w:rsidRDefault="00E93F58" w:rsidP="00CF67DD">
            <w:pPr>
              <w:rPr>
                <w:sz w:val="16"/>
                <w:szCs w:val="16"/>
              </w:rPr>
            </w:pPr>
          </w:p>
        </w:tc>
      </w:tr>
      <w:tr w:rsidR="00E93F58" w:rsidRPr="006E709F" w14:paraId="4F26C725"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4BB40691" w14:textId="77777777" w:rsidR="00E93F58" w:rsidRPr="006E709F" w:rsidRDefault="00E93F58" w:rsidP="00CF67DD">
            <w:pPr>
              <w:rPr>
                <w:b/>
                <w:bCs/>
                <w:sz w:val="16"/>
                <w:szCs w:val="16"/>
              </w:rPr>
            </w:pPr>
            <w:r w:rsidRPr="006E709F">
              <w:rPr>
                <w:b/>
                <w:bCs/>
                <w:sz w:val="16"/>
                <w:szCs w:val="16"/>
              </w:rPr>
              <w:t>Name/kind of investment item</w:t>
            </w:r>
          </w:p>
        </w:tc>
        <w:tc>
          <w:tcPr>
            <w:tcW w:w="1419"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546CC2AA" w14:textId="77777777" w:rsidR="00E93F58" w:rsidRPr="006E709F" w:rsidRDefault="00E93F58" w:rsidP="00CF67DD">
            <w:pPr>
              <w:rPr>
                <w:b/>
                <w:bCs/>
                <w:sz w:val="16"/>
                <w:szCs w:val="16"/>
              </w:rPr>
            </w:pPr>
            <w:r w:rsidRPr="006E709F">
              <w:rPr>
                <w:b/>
                <w:bCs/>
                <w:sz w:val="16"/>
                <w:szCs w:val="16"/>
              </w:rPr>
              <w:t>Address</w:t>
            </w:r>
          </w:p>
        </w:tc>
        <w:tc>
          <w:tcPr>
            <w:tcW w:w="1276"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6B74D35D" w14:textId="77777777" w:rsidR="00E93F58" w:rsidRPr="006E709F" w:rsidRDefault="00E93F58" w:rsidP="00CF67DD">
            <w:pPr>
              <w:rPr>
                <w:b/>
                <w:sz w:val="16"/>
                <w:szCs w:val="16"/>
              </w:rPr>
            </w:pPr>
            <w:r w:rsidRPr="006E709F">
              <w:rPr>
                <w:b/>
                <w:sz w:val="16"/>
                <w:szCs w:val="16"/>
              </w:rPr>
              <w:t>% of property held</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7BDD8E4B"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7DA8C8A8" w14:textId="77777777" w:rsidR="00E93F58" w:rsidRPr="006E709F" w:rsidRDefault="00E93F58" w:rsidP="00CF67DD">
            <w:pPr>
              <w:rPr>
                <w:b/>
                <w:sz w:val="16"/>
                <w:szCs w:val="16"/>
              </w:rPr>
            </w:pPr>
            <w:r w:rsidRPr="006E709F">
              <w:rPr>
                <w:b/>
                <w:sz w:val="16"/>
                <w:szCs w:val="16"/>
              </w:rPr>
              <w:t>Weighting (%)</w:t>
            </w:r>
          </w:p>
        </w:tc>
      </w:tr>
      <w:tr w:rsidR="00E93F58" w:rsidRPr="006E709F" w14:paraId="2F3A0262"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1DB2C8DC" w14:textId="77777777" w:rsidR="00E93F58" w:rsidRPr="006E709F" w:rsidDel="009662CB" w:rsidRDefault="00E93F58" w:rsidP="00CF67DD">
            <w:pPr>
              <w:rPr>
                <w:bCs/>
                <w:i/>
                <w:iCs/>
                <w:sz w:val="16"/>
                <w:szCs w:val="16"/>
              </w:rPr>
            </w:pPr>
          </w:p>
        </w:tc>
        <w:tc>
          <w:tcPr>
            <w:tcW w:w="1419" w:type="dxa"/>
            <w:tcBorders>
              <w:top w:val="single" w:sz="4" w:space="0" w:color="auto"/>
              <w:left w:val="nil"/>
              <w:bottom w:val="single" w:sz="12" w:space="0" w:color="auto"/>
              <w:right w:val="nil"/>
            </w:tcBorders>
            <w:shd w:val="clear" w:color="auto" w:fill="auto"/>
          </w:tcPr>
          <w:p w14:paraId="6ED06168" w14:textId="77777777" w:rsidR="00E93F58" w:rsidRPr="006E709F" w:rsidRDefault="00E93F58" w:rsidP="00CF67DD">
            <w:pPr>
              <w:rPr>
                <w:bCs/>
                <w:i/>
                <w:sz w:val="16"/>
                <w:szCs w:val="16"/>
              </w:rPr>
            </w:pPr>
          </w:p>
        </w:tc>
        <w:tc>
          <w:tcPr>
            <w:tcW w:w="1276" w:type="dxa"/>
            <w:tcBorders>
              <w:top w:val="single" w:sz="4" w:space="0" w:color="auto"/>
              <w:left w:val="nil"/>
              <w:bottom w:val="single" w:sz="12" w:space="0" w:color="auto"/>
              <w:right w:val="nil"/>
            </w:tcBorders>
            <w:shd w:val="clear" w:color="auto" w:fill="auto"/>
          </w:tcPr>
          <w:p w14:paraId="4B35C98B" w14:textId="77777777" w:rsidR="00E93F58" w:rsidRPr="006E709F" w:rsidRDefault="00E93F58" w:rsidP="00CF67DD">
            <w:pPr>
              <w:rPr>
                <w:bCs/>
                <w:i/>
                <w:sz w:val="16"/>
                <w:szCs w:val="16"/>
              </w:rPr>
            </w:pP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6981AF96" w14:textId="77777777" w:rsidR="00E93F58" w:rsidRPr="006E709F" w:rsidRDefault="00E93F58" w:rsidP="00CF67DD">
            <w:pPr>
              <w:rPr>
                <w:i/>
                <w:iCs/>
                <w:sz w:val="16"/>
                <w:szCs w:val="16"/>
              </w:rPr>
            </w:pPr>
            <w:r w:rsidRPr="006E709F">
              <w:rPr>
                <w:i/>
                <w:iCs/>
                <w:sz w:val="16"/>
                <w:szCs w:val="16"/>
              </w:rPr>
              <w:t>Values and weighting for individual assets not disclosed. Only disclose total value and weighting.</w:t>
            </w:r>
          </w:p>
        </w:tc>
      </w:tr>
      <w:tr w:rsidR="00E93F58" w:rsidRPr="006E709F" w14:paraId="609D1260"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5F7A2ADD"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6CCB4224"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4CB54175" w14:textId="77777777" w:rsidR="00E93F58" w:rsidRPr="006E709F" w:rsidRDefault="00E93F58" w:rsidP="00CF67DD">
            <w:pPr>
              <w:rPr>
                <w:b/>
                <w:sz w:val="16"/>
                <w:szCs w:val="16"/>
              </w:rPr>
            </w:pPr>
          </w:p>
        </w:tc>
      </w:tr>
      <w:tr w:rsidR="00E93F58" w:rsidRPr="006E709F" w14:paraId="772ADA17" w14:textId="77777777" w:rsidTr="00CF67DD">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04D6C3CC" w14:textId="77777777" w:rsidR="00E93F58" w:rsidRPr="006E709F" w:rsidRDefault="00E93F58" w:rsidP="00CF67DD">
            <w:pPr>
              <w:tabs>
                <w:tab w:val="center" w:pos="1322"/>
              </w:tabs>
              <w:rPr>
                <w:b/>
                <w:sz w:val="16"/>
                <w:szCs w:val="16"/>
              </w:rPr>
            </w:pPr>
            <w:r w:rsidRPr="006E709F">
              <w:rPr>
                <w:b/>
                <w:sz w:val="16"/>
                <w:szCs w:val="16"/>
              </w:rPr>
              <w:t>Unlisted Property</w:t>
            </w:r>
          </w:p>
          <w:p w14:paraId="3E221132" w14:textId="77777777" w:rsidR="00E93F58" w:rsidRPr="006E709F" w:rsidRDefault="00E93F58" w:rsidP="00CF67DD">
            <w:pPr>
              <w:tabs>
                <w:tab w:val="center" w:pos="1322"/>
              </w:tabs>
              <w:rPr>
                <w:b/>
                <w:sz w:val="16"/>
                <w:szCs w:val="16"/>
              </w:rPr>
            </w:pPr>
            <w:r w:rsidRPr="006E709F">
              <w:rPr>
                <w:b/>
                <w:sz w:val="16"/>
                <w:szCs w:val="16"/>
              </w:rPr>
              <w:t>Investment in non</w:t>
            </w:r>
            <w:r>
              <w:rPr>
                <w:b/>
                <w:sz w:val="16"/>
                <w:szCs w:val="16"/>
              </w:rPr>
              <w:noBreakHyphen/>
            </w:r>
            <w:r w:rsidRPr="006E709F">
              <w:rPr>
                <w:b/>
                <w:sz w:val="16"/>
                <w:szCs w:val="16"/>
              </w:rPr>
              <w:t>associated entities;</w:t>
            </w:r>
          </w:p>
          <w:p w14:paraId="3BFA8BD2" w14:textId="77777777" w:rsidR="00E93F58" w:rsidRPr="006E709F" w:rsidRDefault="00E93F58" w:rsidP="00CF67DD">
            <w:pPr>
              <w:rPr>
                <w:b/>
                <w:sz w:val="16"/>
                <w:szCs w:val="16"/>
              </w:rPr>
            </w:pPr>
            <w:r w:rsidRPr="006E709F">
              <w:rPr>
                <w:b/>
                <w:sz w:val="16"/>
                <w:szCs w:val="16"/>
              </w:rPr>
              <w:t xml:space="preserve">Held directly or by associated entities or by </w:t>
            </w:r>
            <w:r w:rsidRPr="00D05323">
              <w:rPr>
                <w:b/>
                <w:sz w:val="16"/>
                <w:szCs w:val="16"/>
              </w:rPr>
              <w:t>pooled superannuation trusts</w:t>
            </w:r>
          </w:p>
          <w:p w14:paraId="15D2DD45" w14:textId="77777777" w:rsidR="00E93F58" w:rsidRPr="006E709F" w:rsidRDefault="00E93F58" w:rsidP="00CF67DD">
            <w:pPr>
              <w:rPr>
                <w:b/>
                <w:sz w:val="16"/>
                <w:szCs w:val="16"/>
              </w:rPr>
            </w:pPr>
            <w:r w:rsidRPr="006E709F">
              <w:rPr>
                <w:b/>
                <w:sz w:val="16"/>
                <w:szCs w:val="16"/>
              </w:rPr>
              <w:t>Externally managed</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557F5BB5" w14:textId="77777777" w:rsidR="00E93F58" w:rsidRPr="006E709F" w:rsidRDefault="00E93F58" w:rsidP="00CF67DD">
            <w:pPr>
              <w:rPr>
                <w:b/>
                <w:sz w:val="16"/>
                <w:szCs w:val="16"/>
              </w:rPr>
            </w:pPr>
          </w:p>
        </w:tc>
        <w:tc>
          <w:tcPr>
            <w:tcW w:w="1631" w:type="dxa"/>
            <w:gridSpan w:val="3"/>
            <w:tcBorders>
              <w:top w:val="single" w:sz="12" w:space="0" w:color="auto"/>
              <w:left w:val="nil"/>
              <w:bottom w:val="single" w:sz="12" w:space="0" w:color="auto"/>
              <w:right w:val="nil"/>
            </w:tcBorders>
            <w:shd w:val="clear" w:color="auto" w:fill="auto"/>
            <w:tcMar>
              <w:top w:w="0" w:type="dxa"/>
              <w:left w:w="108" w:type="dxa"/>
              <w:bottom w:w="0" w:type="dxa"/>
              <w:right w:w="108" w:type="dxa"/>
            </w:tcMar>
          </w:tcPr>
          <w:p w14:paraId="11EE1F13" w14:textId="77777777" w:rsidR="00E93F58" w:rsidRPr="006E709F" w:rsidRDefault="00E93F58" w:rsidP="00CF67DD">
            <w:pPr>
              <w:rPr>
                <w:b/>
                <w:sz w:val="16"/>
                <w:szCs w:val="16"/>
              </w:rPr>
            </w:pPr>
          </w:p>
        </w:tc>
      </w:tr>
      <w:tr w:rsidR="00E93F58" w:rsidRPr="006E709F" w14:paraId="7A765B8B" w14:textId="77777777" w:rsidTr="00CF67DD">
        <w:tc>
          <w:tcPr>
            <w:tcW w:w="5387" w:type="dxa"/>
            <w:gridSpan w:val="3"/>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41FD9B6B" w14:textId="77777777" w:rsidR="00E93F58" w:rsidRPr="006E709F" w:rsidRDefault="00E93F58" w:rsidP="00CF67DD">
            <w:pPr>
              <w:rPr>
                <w:b/>
                <w:sz w:val="16"/>
                <w:szCs w:val="16"/>
              </w:rPr>
            </w:pPr>
            <w:r w:rsidRPr="006E709F">
              <w:rPr>
                <w:b/>
                <w:bCs/>
                <w:sz w:val="16"/>
                <w:szCs w:val="16"/>
              </w:rPr>
              <w:t>Name of Fund Manager</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39402379"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6C9DBD5C" w14:textId="77777777" w:rsidR="00E93F58" w:rsidRPr="006E709F" w:rsidRDefault="00E93F58" w:rsidP="00CF67DD">
            <w:pPr>
              <w:rPr>
                <w:b/>
                <w:sz w:val="16"/>
                <w:szCs w:val="16"/>
              </w:rPr>
            </w:pPr>
            <w:r w:rsidRPr="006E709F">
              <w:rPr>
                <w:b/>
                <w:sz w:val="16"/>
                <w:szCs w:val="16"/>
              </w:rPr>
              <w:t>Weighting (%)</w:t>
            </w:r>
          </w:p>
        </w:tc>
      </w:tr>
      <w:tr w:rsidR="00E93F58" w:rsidRPr="006E709F" w14:paraId="5F35DFC4" w14:textId="77777777" w:rsidTr="00CF67DD">
        <w:trPr>
          <w:trHeight w:val="208"/>
        </w:trPr>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hideMark/>
          </w:tcPr>
          <w:p w14:paraId="29A2DDB5" w14:textId="77777777" w:rsidR="00E93F58" w:rsidRPr="006E709F" w:rsidRDefault="00E93F58" w:rsidP="00CF67DD">
            <w:pPr>
              <w:tabs>
                <w:tab w:val="center" w:pos="1322"/>
              </w:tabs>
              <w:rPr>
                <w:bCs/>
                <w:i/>
                <w:iCs/>
                <w:sz w:val="16"/>
                <w:szCs w:val="16"/>
              </w:rPr>
            </w:pPr>
            <w:r w:rsidRPr="006E709F">
              <w:rPr>
                <w:bCs/>
                <w:i/>
                <w:iCs/>
                <w:sz w:val="16"/>
                <w:szCs w:val="16"/>
              </w:rPr>
              <w:t>Individual asset names not required to be disclosed.</w:t>
            </w:r>
          </w:p>
          <w:p w14:paraId="6820261E" w14:textId="77777777" w:rsidR="00E93F58" w:rsidRPr="006E709F" w:rsidRDefault="00E93F58" w:rsidP="00CF67DD">
            <w:pPr>
              <w:rPr>
                <w:sz w:val="16"/>
                <w:szCs w:val="16"/>
              </w:rPr>
            </w:pPr>
            <w:r w:rsidRPr="006E709F">
              <w:rPr>
                <w:bCs/>
                <w:i/>
                <w:iCs/>
                <w:sz w:val="16"/>
                <w:szCs w:val="16"/>
              </w:rPr>
              <w:t>Only disclose the name of the fund manager responsible for managing the asset.</w:t>
            </w: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34634409" w14:textId="77777777" w:rsidR="00E93F58" w:rsidRPr="006E709F" w:rsidRDefault="00E93F58" w:rsidP="00CF67DD">
            <w:pPr>
              <w:rPr>
                <w:sz w:val="16"/>
                <w:szCs w:val="16"/>
              </w:rPr>
            </w:pPr>
            <w:r w:rsidRPr="006E709F">
              <w:rPr>
                <w:i/>
                <w:iCs/>
                <w:sz w:val="16"/>
                <w:szCs w:val="16"/>
              </w:rPr>
              <w:t>Values and weightings for individual assets not disclosed. Only disclose total values and weighting aggregated by the fund manager responsible for managing the assets.</w:t>
            </w:r>
          </w:p>
        </w:tc>
      </w:tr>
      <w:tr w:rsidR="00E93F58" w:rsidRPr="006E709F" w14:paraId="133FCE66"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30D63B85"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25B62493"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57A5EB46" w14:textId="77777777" w:rsidR="00E93F58" w:rsidRPr="006E709F" w:rsidRDefault="00E93F58" w:rsidP="00CF67DD">
            <w:pPr>
              <w:rPr>
                <w:b/>
                <w:sz w:val="16"/>
                <w:szCs w:val="16"/>
              </w:rPr>
            </w:pPr>
          </w:p>
        </w:tc>
      </w:tr>
      <w:tr w:rsidR="00E93F58" w:rsidRPr="006E709F" w14:paraId="331CC4D9" w14:textId="77777777" w:rsidTr="00CF67DD">
        <w:trPr>
          <w:trHeight w:val="208"/>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11DDDD19" w14:textId="77777777" w:rsidR="00E93F58" w:rsidRPr="006E709F" w:rsidRDefault="00E93F58" w:rsidP="00CF67DD">
            <w:pPr>
              <w:rPr>
                <w:sz w:val="16"/>
                <w:szCs w:val="16"/>
              </w:rPr>
            </w:pPr>
            <w:r w:rsidRPr="006E709F">
              <w:rPr>
                <w:b/>
                <w:sz w:val="16"/>
                <w:szCs w:val="16"/>
              </w:rPr>
              <w:t>Listed Infrastructure</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0777CAD9" w14:textId="77777777" w:rsidR="00E93F58" w:rsidRPr="006E709F" w:rsidRDefault="00E93F58" w:rsidP="00CF67DD">
            <w:pPr>
              <w:rPr>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19AD943E" w14:textId="77777777" w:rsidR="00E93F58" w:rsidRPr="006E709F" w:rsidRDefault="00E93F58" w:rsidP="00CF67DD">
            <w:pPr>
              <w:rPr>
                <w:sz w:val="16"/>
                <w:szCs w:val="16"/>
              </w:rPr>
            </w:pPr>
          </w:p>
        </w:tc>
      </w:tr>
      <w:tr w:rsidR="00E93F58" w:rsidRPr="006E709F" w14:paraId="19A2D052"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71B886C1" w14:textId="77777777" w:rsidR="00E93F58" w:rsidRPr="006E709F" w:rsidRDefault="00E93F58" w:rsidP="00CF67DD">
            <w:pPr>
              <w:rPr>
                <w:b/>
                <w:bCs/>
                <w:sz w:val="16"/>
                <w:szCs w:val="16"/>
              </w:rPr>
            </w:pPr>
            <w:r w:rsidRPr="006E709F">
              <w:rPr>
                <w:b/>
                <w:bCs/>
                <w:sz w:val="16"/>
                <w:szCs w:val="16"/>
              </w:rPr>
              <w:t>Name/kind of investment item</w:t>
            </w:r>
          </w:p>
        </w:tc>
        <w:tc>
          <w:tcPr>
            <w:tcW w:w="1419" w:type="dxa"/>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4F1696B8" w14:textId="77777777" w:rsidR="00E93F58" w:rsidRPr="006E709F" w:rsidRDefault="00E93F58" w:rsidP="00CF67DD">
            <w:pPr>
              <w:rPr>
                <w:b/>
                <w:bCs/>
                <w:sz w:val="16"/>
                <w:szCs w:val="16"/>
              </w:rPr>
            </w:pPr>
            <w:r w:rsidRPr="006E709F">
              <w:rPr>
                <w:b/>
                <w:bCs/>
                <w:sz w:val="16"/>
                <w:szCs w:val="16"/>
              </w:rPr>
              <w:t>Security Identifier</w:t>
            </w:r>
          </w:p>
        </w:tc>
        <w:tc>
          <w:tcPr>
            <w:tcW w:w="1276" w:type="dxa"/>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30A0ED62" w14:textId="77777777" w:rsidR="00E93F58" w:rsidRPr="006E709F" w:rsidRDefault="00E93F58" w:rsidP="00CF67DD">
            <w:pPr>
              <w:rPr>
                <w:b/>
                <w:sz w:val="16"/>
                <w:szCs w:val="16"/>
              </w:rPr>
            </w:pPr>
            <w:r w:rsidRPr="006E709F">
              <w:rPr>
                <w:b/>
                <w:sz w:val="16"/>
                <w:szCs w:val="16"/>
              </w:rPr>
              <w:t>Units held</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28BF8898"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56E7E757" w14:textId="77777777" w:rsidR="00E93F58" w:rsidRPr="006E709F" w:rsidRDefault="00E93F58" w:rsidP="00CF67DD">
            <w:pPr>
              <w:rPr>
                <w:b/>
                <w:sz w:val="16"/>
                <w:szCs w:val="16"/>
              </w:rPr>
            </w:pPr>
            <w:r w:rsidRPr="006E709F">
              <w:rPr>
                <w:b/>
                <w:sz w:val="16"/>
                <w:szCs w:val="16"/>
              </w:rPr>
              <w:t>Weighting (%)</w:t>
            </w:r>
          </w:p>
        </w:tc>
      </w:tr>
      <w:tr w:rsidR="00E93F58" w:rsidRPr="006E709F" w14:paraId="12B69551"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161E99DB" w14:textId="77777777" w:rsidR="00E93F58" w:rsidRPr="006E709F" w:rsidRDefault="00E93F58" w:rsidP="00CF67DD">
            <w:pPr>
              <w:rPr>
                <w:bCs/>
                <w:sz w:val="16"/>
                <w:szCs w:val="16"/>
              </w:rPr>
            </w:pPr>
          </w:p>
        </w:tc>
        <w:tc>
          <w:tcPr>
            <w:tcW w:w="1419"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2F0125A6" w14:textId="77777777" w:rsidR="00E93F58" w:rsidRPr="006E709F" w:rsidRDefault="00E93F58" w:rsidP="00CF67DD">
            <w:pPr>
              <w:rPr>
                <w:b/>
                <w:bCs/>
                <w:sz w:val="16"/>
                <w:szCs w:val="16"/>
              </w:rPr>
            </w:pPr>
          </w:p>
        </w:tc>
        <w:tc>
          <w:tcPr>
            <w:tcW w:w="1276" w:type="dxa"/>
            <w:tcBorders>
              <w:top w:val="single" w:sz="4" w:space="0" w:color="auto"/>
              <w:left w:val="nil"/>
              <w:bottom w:val="single" w:sz="12" w:space="0" w:color="auto"/>
              <w:right w:val="nil"/>
            </w:tcBorders>
            <w:shd w:val="clear" w:color="auto" w:fill="auto"/>
          </w:tcPr>
          <w:p w14:paraId="5A0E28E5" w14:textId="77777777" w:rsidR="00E93F58" w:rsidRPr="006E709F" w:rsidRDefault="00E93F58" w:rsidP="00CF67DD">
            <w:pPr>
              <w:rPr>
                <w:bCs/>
                <w:sz w:val="16"/>
                <w:szCs w:val="16"/>
              </w:rPr>
            </w:pPr>
          </w:p>
        </w:tc>
        <w:tc>
          <w:tcPr>
            <w:tcW w:w="1780" w:type="dxa"/>
            <w:gridSpan w:val="2"/>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6C43BFFE" w14:textId="77777777" w:rsidR="00E93F58" w:rsidRPr="006E709F" w:rsidRDefault="00E93F58" w:rsidP="00CF67DD">
            <w:pPr>
              <w:rPr>
                <w:sz w:val="16"/>
                <w:szCs w:val="16"/>
              </w:rPr>
            </w:pPr>
          </w:p>
        </w:tc>
        <w:tc>
          <w:tcPr>
            <w:tcW w:w="1622" w:type="dxa"/>
            <w:gridSpan w:val="2"/>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7E295534" w14:textId="77777777" w:rsidR="00E93F58" w:rsidRPr="006E709F" w:rsidRDefault="00E93F58" w:rsidP="00CF67DD">
            <w:pPr>
              <w:rPr>
                <w:sz w:val="16"/>
                <w:szCs w:val="16"/>
              </w:rPr>
            </w:pPr>
          </w:p>
        </w:tc>
      </w:tr>
      <w:tr w:rsidR="00E93F58" w:rsidRPr="006E709F" w14:paraId="7BCCB3CF" w14:textId="77777777" w:rsidTr="00CF67DD">
        <w:tc>
          <w:tcPr>
            <w:tcW w:w="2692" w:type="dxa"/>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018B0DC9" w14:textId="77777777" w:rsidR="00E93F58" w:rsidRPr="006E709F" w:rsidRDefault="00E93F58" w:rsidP="00CF67DD">
            <w:pPr>
              <w:rPr>
                <w:b/>
                <w:bCs/>
                <w:sz w:val="16"/>
                <w:szCs w:val="16"/>
              </w:rPr>
            </w:pPr>
            <w:r w:rsidRPr="006E709F">
              <w:rPr>
                <w:b/>
                <w:bCs/>
                <w:sz w:val="16"/>
                <w:szCs w:val="16"/>
              </w:rPr>
              <w:t>Total</w:t>
            </w:r>
          </w:p>
        </w:tc>
        <w:tc>
          <w:tcPr>
            <w:tcW w:w="1419" w:type="dxa"/>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4E9C84D3" w14:textId="77777777" w:rsidR="00E93F58" w:rsidRPr="006E709F" w:rsidRDefault="00E93F58" w:rsidP="00CF67DD">
            <w:pPr>
              <w:rPr>
                <w:b/>
                <w:bCs/>
                <w:sz w:val="16"/>
                <w:szCs w:val="16"/>
              </w:rPr>
            </w:pPr>
          </w:p>
        </w:tc>
        <w:tc>
          <w:tcPr>
            <w:tcW w:w="1276" w:type="dxa"/>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65A08451" w14:textId="77777777" w:rsidR="00E93F58" w:rsidRPr="006E709F" w:rsidRDefault="00E93F58" w:rsidP="00CF67DD">
            <w:pPr>
              <w:rPr>
                <w:b/>
                <w:sz w:val="16"/>
                <w:szCs w:val="16"/>
              </w:rPr>
            </w:pPr>
          </w:p>
        </w:tc>
        <w:tc>
          <w:tcPr>
            <w:tcW w:w="1780" w:type="dxa"/>
            <w:gridSpan w:val="2"/>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5A0111C8" w14:textId="77777777" w:rsidR="00E93F58" w:rsidRPr="006E709F" w:rsidRDefault="00E93F58" w:rsidP="00CF67DD">
            <w:pPr>
              <w:rPr>
                <w:b/>
                <w:sz w:val="16"/>
                <w:szCs w:val="16"/>
              </w:rPr>
            </w:pPr>
          </w:p>
        </w:tc>
        <w:tc>
          <w:tcPr>
            <w:tcW w:w="1622" w:type="dxa"/>
            <w:gridSpan w:val="2"/>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7614173F" w14:textId="77777777" w:rsidR="00E93F58" w:rsidRPr="006E709F" w:rsidRDefault="00E93F58" w:rsidP="00CF67DD">
            <w:pPr>
              <w:rPr>
                <w:b/>
                <w:sz w:val="16"/>
                <w:szCs w:val="16"/>
              </w:rPr>
            </w:pPr>
          </w:p>
        </w:tc>
      </w:tr>
      <w:tr w:rsidR="00E93F58" w:rsidRPr="006E709F" w14:paraId="10A8DEEE" w14:textId="77777777" w:rsidTr="00CF67DD">
        <w:trPr>
          <w:trHeight w:val="208"/>
        </w:trPr>
        <w:tc>
          <w:tcPr>
            <w:tcW w:w="5387" w:type="dxa"/>
            <w:gridSpan w:val="3"/>
            <w:tcBorders>
              <w:top w:val="single" w:sz="18" w:space="0" w:color="auto"/>
              <w:left w:val="nil"/>
              <w:bottom w:val="single" w:sz="4" w:space="0" w:color="auto"/>
              <w:right w:val="nil"/>
            </w:tcBorders>
            <w:shd w:val="clear" w:color="auto" w:fill="auto"/>
            <w:tcMar>
              <w:top w:w="0" w:type="dxa"/>
              <w:left w:w="108" w:type="dxa"/>
              <w:bottom w:w="0" w:type="dxa"/>
              <w:right w:w="108" w:type="dxa"/>
            </w:tcMar>
            <w:hideMark/>
          </w:tcPr>
          <w:p w14:paraId="771B0A00" w14:textId="77777777" w:rsidR="00E93F58" w:rsidRPr="006E709F" w:rsidRDefault="00E93F58" w:rsidP="00CF67DD">
            <w:pPr>
              <w:tabs>
                <w:tab w:val="center" w:pos="1322"/>
              </w:tabs>
              <w:rPr>
                <w:b/>
                <w:sz w:val="16"/>
                <w:szCs w:val="16"/>
              </w:rPr>
            </w:pPr>
            <w:r w:rsidRPr="006E709F">
              <w:rPr>
                <w:b/>
                <w:sz w:val="16"/>
                <w:szCs w:val="16"/>
              </w:rPr>
              <w:t>Unlisted Infrastructure</w:t>
            </w:r>
          </w:p>
          <w:p w14:paraId="635BA14D" w14:textId="77777777" w:rsidR="00E93F58" w:rsidRPr="006E709F" w:rsidRDefault="00E93F58" w:rsidP="00CF67DD">
            <w:pPr>
              <w:tabs>
                <w:tab w:val="center" w:pos="1322"/>
              </w:tabs>
              <w:rPr>
                <w:b/>
                <w:sz w:val="16"/>
                <w:szCs w:val="16"/>
              </w:rPr>
            </w:pPr>
            <w:r w:rsidRPr="006E709F">
              <w:rPr>
                <w:b/>
                <w:sz w:val="16"/>
                <w:szCs w:val="16"/>
              </w:rPr>
              <w:t xml:space="preserve">Held directly or by associated entities or by </w:t>
            </w:r>
            <w:r w:rsidRPr="00D05323">
              <w:rPr>
                <w:b/>
                <w:sz w:val="16"/>
                <w:szCs w:val="16"/>
              </w:rPr>
              <w:t>pooled superannuation trusts</w:t>
            </w:r>
          </w:p>
          <w:p w14:paraId="4D47F830" w14:textId="77777777" w:rsidR="00E93F58" w:rsidRPr="006E709F" w:rsidRDefault="00E93F58" w:rsidP="00CF67DD">
            <w:pPr>
              <w:rPr>
                <w:sz w:val="16"/>
                <w:szCs w:val="16"/>
              </w:rPr>
            </w:pPr>
            <w:r w:rsidRPr="006E709F">
              <w:rPr>
                <w:b/>
                <w:sz w:val="16"/>
                <w:szCs w:val="16"/>
              </w:rPr>
              <w:t>Internally managed</w:t>
            </w:r>
          </w:p>
        </w:tc>
        <w:tc>
          <w:tcPr>
            <w:tcW w:w="1771" w:type="dxa"/>
            <w:tcBorders>
              <w:top w:val="single" w:sz="18"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5D0934E2" w14:textId="77777777" w:rsidR="00E93F58" w:rsidRPr="006E709F" w:rsidRDefault="00E93F58" w:rsidP="00CF67DD">
            <w:pPr>
              <w:rPr>
                <w:sz w:val="16"/>
                <w:szCs w:val="16"/>
              </w:rPr>
            </w:pPr>
          </w:p>
        </w:tc>
        <w:tc>
          <w:tcPr>
            <w:tcW w:w="1631" w:type="dxa"/>
            <w:gridSpan w:val="3"/>
            <w:tcBorders>
              <w:top w:val="single" w:sz="18" w:space="0" w:color="auto"/>
              <w:left w:val="nil"/>
              <w:bottom w:val="single" w:sz="4" w:space="0" w:color="auto"/>
              <w:right w:val="nil"/>
            </w:tcBorders>
            <w:shd w:val="clear" w:color="auto" w:fill="auto"/>
            <w:tcMar>
              <w:top w:w="0" w:type="dxa"/>
              <w:left w:w="108" w:type="dxa"/>
              <w:bottom w:w="0" w:type="dxa"/>
              <w:right w:w="108" w:type="dxa"/>
            </w:tcMar>
          </w:tcPr>
          <w:p w14:paraId="453EAE13" w14:textId="77777777" w:rsidR="00E93F58" w:rsidRPr="006E709F" w:rsidRDefault="00E93F58" w:rsidP="00CF67DD">
            <w:pPr>
              <w:rPr>
                <w:sz w:val="16"/>
                <w:szCs w:val="16"/>
              </w:rPr>
            </w:pPr>
          </w:p>
        </w:tc>
      </w:tr>
      <w:tr w:rsidR="00E93F58" w:rsidRPr="006E709F" w14:paraId="3776B829"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397D03A3" w14:textId="77777777" w:rsidR="00E93F58" w:rsidRPr="006E709F" w:rsidRDefault="00E93F58" w:rsidP="00CF67DD">
            <w:pPr>
              <w:rPr>
                <w:b/>
                <w:bCs/>
                <w:sz w:val="16"/>
                <w:szCs w:val="16"/>
              </w:rPr>
            </w:pPr>
            <w:r w:rsidRPr="006E709F">
              <w:rPr>
                <w:b/>
                <w:bCs/>
                <w:sz w:val="16"/>
                <w:szCs w:val="16"/>
              </w:rPr>
              <w:t>Name/kind of investment item</w:t>
            </w:r>
          </w:p>
        </w:tc>
        <w:tc>
          <w:tcPr>
            <w:tcW w:w="2695"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0C016061" w14:textId="77777777" w:rsidR="00E93F58" w:rsidRPr="006E709F" w:rsidRDefault="00E93F58" w:rsidP="00CF67DD">
            <w:pPr>
              <w:rPr>
                <w:b/>
                <w:sz w:val="16"/>
                <w:szCs w:val="16"/>
              </w:rPr>
            </w:pPr>
            <w:r w:rsidRPr="006E709F">
              <w:rPr>
                <w:b/>
                <w:sz w:val="16"/>
                <w:szCs w:val="16"/>
              </w:rPr>
              <w:t>% Ownership</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2BDB2CC0"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12508E7B" w14:textId="77777777" w:rsidR="00E93F58" w:rsidRPr="006E709F" w:rsidRDefault="00E93F58" w:rsidP="00CF67DD">
            <w:pPr>
              <w:rPr>
                <w:b/>
                <w:sz w:val="16"/>
                <w:szCs w:val="16"/>
              </w:rPr>
            </w:pPr>
            <w:r w:rsidRPr="006E709F">
              <w:rPr>
                <w:b/>
                <w:sz w:val="16"/>
                <w:szCs w:val="16"/>
              </w:rPr>
              <w:t>Weighting (%)</w:t>
            </w:r>
          </w:p>
        </w:tc>
      </w:tr>
      <w:tr w:rsidR="00E93F58" w:rsidRPr="006E709F" w14:paraId="1DF9272C"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6083CE91" w14:textId="77777777" w:rsidR="00E93F58" w:rsidRPr="006E709F" w:rsidRDefault="00E93F58" w:rsidP="00CF67DD">
            <w:pPr>
              <w:rPr>
                <w:bCs/>
                <w:sz w:val="16"/>
                <w:szCs w:val="16"/>
              </w:rPr>
            </w:pPr>
          </w:p>
        </w:tc>
        <w:tc>
          <w:tcPr>
            <w:tcW w:w="2695" w:type="dxa"/>
            <w:gridSpan w:val="2"/>
            <w:tcBorders>
              <w:top w:val="single" w:sz="4" w:space="0" w:color="auto"/>
              <w:left w:val="nil"/>
              <w:bottom w:val="single" w:sz="12" w:space="0" w:color="auto"/>
              <w:right w:val="nil"/>
            </w:tcBorders>
            <w:shd w:val="clear" w:color="auto" w:fill="auto"/>
          </w:tcPr>
          <w:p w14:paraId="3B986A11" w14:textId="77777777" w:rsidR="00E93F58" w:rsidRPr="006E709F" w:rsidRDefault="00E93F58" w:rsidP="00CF67DD">
            <w:pPr>
              <w:rPr>
                <w:bCs/>
                <w:sz w:val="16"/>
                <w:szCs w:val="16"/>
              </w:rPr>
            </w:pP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6129DC66" w14:textId="77777777" w:rsidR="00E93F58" w:rsidRPr="006E709F" w:rsidRDefault="00E93F58" w:rsidP="00CF67DD">
            <w:pPr>
              <w:rPr>
                <w:i/>
                <w:iCs/>
                <w:sz w:val="16"/>
                <w:szCs w:val="16"/>
              </w:rPr>
            </w:pPr>
            <w:r w:rsidRPr="006E709F">
              <w:rPr>
                <w:i/>
                <w:iCs/>
                <w:sz w:val="16"/>
                <w:szCs w:val="16"/>
              </w:rPr>
              <w:t>Value and weighting for individual assets not disclosed. Only disclose total value and weighting.</w:t>
            </w:r>
          </w:p>
        </w:tc>
      </w:tr>
      <w:tr w:rsidR="00E93F58" w:rsidRPr="006E709F" w14:paraId="785B0E14"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7A608EF5"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6559543F"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2F01EFD8" w14:textId="77777777" w:rsidR="00E93F58" w:rsidRPr="006E709F" w:rsidRDefault="00E93F58" w:rsidP="00CF67DD">
            <w:pPr>
              <w:rPr>
                <w:b/>
                <w:sz w:val="16"/>
                <w:szCs w:val="16"/>
              </w:rPr>
            </w:pPr>
          </w:p>
        </w:tc>
      </w:tr>
      <w:tr w:rsidR="00E93F58" w:rsidRPr="006E709F" w14:paraId="48A85D5A" w14:textId="77777777" w:rsidTr="00CF67DD">
        <w:trPr>
          <w:trHeight w:val="208"/>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58380296" w14:textId="77777777" w:rsidR="00E93F58" w:rsidRPr="006E709F" w:rsidRDefault="00E93F58" w:rsidP="00CF67DD">
            <w:pPr>
              <w:tabs>
                <w:tab w:val="center" w:pos="1322"/>
              </w:tabs>
              <w:rPr>
                <w:b/>
                <w:sz w:val="16"/>
                <w:szCs w:val="16"/>
              </w:rPr>
            </w:pPr>
            <w:r w:rsidRPr="006E709F">
              <w:rPr>
                <w:b/>
                <w:sz w:val="16"/>
                <w:szCs w:val="16"/>
              </w:rPr>
              <w:t>Unlisted Infrastructure</w:t>
            </w:r>
          </w:p>
          <w:p w14:paraId="77C80EED" w14:textId="77777777" w:rsidR="00E93F58" w:rsidRPr="006E709F" w:rsidRDefault="00E93F58" w:rsidP="00CF67DD">
            <w:pPr>
              <w:tabs>
                <w:tab w:val="center" w:pos="1322"/>
              </w:tabs>
              <w:rPr>
                <w:b/>
                <w:sz w:val="16"/>
                <w:szCs w:val="16"/>
              </w:rPr>
            </w:pPr>
            <w:r w:rsidRPr="006E709F">
              <w:rPr>
                <w:b/>
                <w:sz w:val="16"/>
                <w:szCs w:val="16"/>
              </w:rPr>
              <w:t>Investment in non</w:t>
            </w:r>
            <w:r>
              <w:rPr>
                <w:b/>
                <w:sz w:val="16"/>
                <w:szCs w:val="16"/>
              </w:rPr>
              <w:noBreakHyphen/>
            </w:r>
            <w:r w:rsidRPr="006E709F">
              <w:rPr>
                <w:b/>
                <w:sz w:val="16"/>
                <w:szCs w:val="16"/>
              </w:rPr>
              <w:t>associated entities;</w:t>
            </w:r>
          </w:p>
          <w:p w14:paraId="50F1A384" w14:textId="77777777" w:rsidR="00E93F58" w:rsidRPr="006E709F" w:rsidRDefault="00E93F58" w:rsidP="00CF67DD">
            <w:pPr>
              <w:tabs>
                <w:tab w:val="center" w:pos="1322"/>
              </w:tabs>
              <w:rPr>
                <w:b/>
                <w:sz w:val="16"/>
                <w:szCs w:val="16"/>
              </w:rPr>
            </w:pPr>
            <w:r w:rsidRPr="006E709F">
              <w:rPr>
                <w:b/>
                <w:sz w:val="16"/>
                <w:szCs w:val="16"/>
              </w:rPr>
              <w:t xml:space="preserve">Held directly or by associated entities or by </w:t>
            </w:r>
            <w:r w:rsidRPr="00D05323">
              <w:rPr>
                <w:b/>
                <w:sz w:val="16"/>
                <w:szCs w:val="16"/>
              </w:rPr>
              <w:t>pooled superannuation trusts</w:t>
            </w:r>
          </w:p>
          <w:p w14:paraId="611ADDE3" w14:textId="77777777" w:rsidR="00E93F58" w:rsidRPr="006E709F" w:rsidRDefault="00E93F58" w:rsidP="00CF67DD">
            <w:pPr>
              <w:rPr>
                <w:sz w:val="16"/>
                <w:szCs w:val="16"/>
              </w:rPr>
            </w:pPr>
            <w:r w:rsidRPr="006E709F">
              <w:rPr>
                <w:b/>
                <w:sz w:val="16"/>
                <w:szCs w:val="16"/>
              </w:rPr>
              <w:t>Externally managed</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5EBF2C9F" w14:textId="77777777" w:rsidR="00E93F58" w:rsidRPr="006E709F" w:rsidRDefault="00E93F58" w:rsidP="00CF67DD">
            <w:pPr>
              <w:rPr>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671FC3D3" w14:textId="77777777" w:rsidR="00E93F58" w:rsidRPr="006E709F" w:rsidRDefault="00E93F58" w:rsidP="00CF67DD">
            <w:pPr>
              <w:rPr>
                <w:sz w:val="16"/>
                <w:szCs w:val="16"/>
              </w:rPr>
            </w:pPr>
          </w:p>
        </w:tc>
      </w:tr>
      <w:tr w:rsidR="00E93F58" w:rsidRPr="006E709F" w14:paraId="72BA4991" w14:textId="77777777" w:rsidTr="00CF67DD">
        <w:tc>
          <w:tcPr>
            <w:tcW w:w="5387" w:type="dxa"/>
            <w:gridSpan w:val="3"/>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7E122E84" w14:textId="77777777" w:rsidR="00E93F58" w:rsidRPr="006E709F" w:rsidRDefault="00E93F58" w:rsidP="00CF67DD">
            <w:pPr>
              <w:rPr>
                <w:b/>
                <w:sz w:val="16"/>
                <w:szCs w:val="16"/>
              </w:rPr>
            </w:pPr>
            <w:r w:rsidRPr="006E709F">
              <w:rPr>
                <w:b/>
                <w:bCs/>
                <w:sz w:val="16"/>
                <w:szCs w:val="16"/>
              </w:rPr>
              <w:t>Name of Fund Manager</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1A8F8294"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0E912EBA" w14:textId="77777777" w:rsidR="00E93F58" w:rsidRPr="006E709F" w:rsidRDefault="00E93F58" w:rsidP="00CF67DD">
            <w:pPr>
              <w:rPr>
                <w:b/>
                <w:sz w:val="16"/>
                <w:szCs w:val="16"/>
              </w:rPr>
            </w:pPr>
            <w:r w:rsidRPr="006E709F">
              <w:rPr>
                <w:b/>
                <w:sz w:val="16"/>
                <w:szCs w:val="16"/>
              </w:rPr>
              <w:t>Weighting (%)</w:t>
            </w:r>
          </w:p>
        </w:tc>
      </w:tr>
      <w:tr w:rsidR="00E93F58" w:rsidRPr="006E709F" w14:paraId="21FCF2D7" w14:textId="77777777" w:rsidTr="00CF67DD">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6FA54220" w14:textId="77777777" w:rsidR="00E93F58" w:rsidRPr="006E709F" w:rsidRDefault="00E93F58" w:rsidP="00CF67DD">
            <w:pPr>
              <w:tabs>
                <w:tab w:val="center" w:pos="1322"/>
              </w:tabs>
              <w:rPr>
                <w:bCs/>
                <w:i/>
                <w:iCs/>
                <w:sz w:val="16"/>
                <w:szCs w:val="16"/>
              </w:rPr>
            </w:pPr>
            <w:r w:rsidRPr="006E709F">
              <w:rPr>
                <w:bCs/>
                <w:i/>
                <w:iCs/>
                <w:sz w:val="16"/>
                <w:szCs w:val="16"/>
              </w:rPr>
              <w:t>Individual asset names not required to be disclosed.</w:t>
            </w:r>
          </w:p>
          <w:p w14:paraId="31E6A89B" w14:textId="77777777" w:rsidR="00E93F58" w:rsidRPr="006E709F" w:rsidRDefault="00E93F58" w:rsidP="00CF67DD">
            <w:pPr>
              <w:rPr>
                <w:b/>
                <w:sz w:val="16"/>
                <w:szCs w:val="16"/>
              </w:rPr>
            </w:pPr>
            <w:r w:rsidRPr="006E709F">
              <w:rPr>
                <w:bCs/>
                <w:i/>
                <w:iCs/>
                <w:sz w:val="16"/>
                <w:szCs w:val="16"/>
              </w:rPr>
              <w:t>Only disclose the name of the fund manager responsible for managing the asset.</w:t>
            </w: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78DF1A32" w14:textId="77777777" w:rsidR="00E93F58" w:rsidRPr="006E709F" w:rsidRDefault="00E93F58" w:rsidP="00CF67DD">
            <w:pPr>
              <w:rPr>
                <w:i/>
                <w:iCs/>
                <w:sz w:val="16"/>
                <w:szCs w:val="16"/>
              </w:rPr>
            </w:pPr>
            <w:r w:rsidRPr="006E709F">
              <w:rPr>
                <w:i/>
                <w:iCs/>
                <w:sz w:val="16"/>
                <w:szCs w:val="16"/>
              </w:rPr>
              <w:t>Values and weightings for individual assets not disclosed. Only disclose total values and weighting aggregated by the fund manager responsible for managing the assets.</w:t>
            </w:r>
          </w:p>
        </w:tc>
      </w:tr>
      <w:tr w:rsidR="00E93F58" w:rsidRPr="006E709F" w14:paraId="0A0BE05D"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7FFCF38D"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26185313"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0E37B448" w14:textId="77777777" w:rsidR="00E93F58" w:rsidRPr="006E709F" w:rsidRDefault="00E93F58" w:rsidP="00CF67DD">
            <w:pPr>
              <w:rPr>
                <w:b/>
                <w:sz w:val="16"/>
                <w:szCs w:val="16"/>
              </w:rPr>
            </w:pPr>
          </w:p>
        </w:tc>
      </w:tr>
      <w:tr w:rsidR="00E93F58" w:rsidRPr="006E709F" w14:paraId="606164AE" w14:textId="77777777" w:rsidTr="00CF67DD">
        <w:trPr>
          <w:trHeight w:val="208"/>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04AAF7BA" w14:textId="77777777" w:rsidR="00E93F58" w:rsidRPr="006E709F" w:rsidRDefault="00E93F58" w:rsidP="00CF67DD">
            <w:pPr>
              <w:rPr>
                <w:sz w:val="16"/>
                <w:szCs w:val="16"/>
              </w:rPr>
            </w:pPr>
            <w:r w:rsidRPr="006E709F">
              <w:rPr>
                <w:b/>
                <w:sz w:val="16"/>
                <w:szCs w:val="16"/>
              </w:rPr>
              <w:t>Listed Alternatives</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2DEE46EE" w14:textId="77777777" w:rsidR="00E93F58" w:rsidRPr="006E709F" w:rsidRDefault="00E93F58" w:rsidP="00CF67DD">
            <w:pPr>
              <w:rPr>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2923E052" w14:textId="77777777" w:rsidR="00E93F58" w:rsidRPr="006E709F" w:rsidRDefault="00E93F58" w:rsidP="00CF67DD">
            <w:pPr>
              <w:rPr>
                <w:sz w:val="16"/>
                <w:szCs w:val="16"/>
              </w:rPr>
            </w:pPr>
          </w:p>
        </w:tc>
      </w:tr>
      <w:tr w:rsidR="00E93F58" w:rsidRPr="006E709F" w14:paraId="5CBD1D11" w14:textId="77777777" w:rsidTr="00CF67DD">
        <w:tc>
          <w:tcPr>
            <w:tcW w:w="2692"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13605E93" w14:textId="77777777" w:rsidR="00E93F58" w:rsidRPr="006E709F" w:rsidRDefault="00E93F58" w:rsidP="00CF67DD">
            <w:pPr>
              <w:rPr>
                <w:b/>
                <w:bCs/>
                <w:sz w:val="16"/>
                <w:szCs w:val="16"/>
              </w:rPr>
            </w:pPr>
            <w:r w:rsidRPr="006E709F">
              <w:rPr>
                <w:b/>
                <w:bCs/>
                <w:sz w:val="16"/>
                <w:szCs w:val="16"/>
              </w:rPr>
              <w:t>Name/kind of investment item</w:t>
            </w:r>
          </w:p>
        </w:tc>
        <w:tc>
          <w:tcPr>
            <w:tcW w:w="1419"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7318EE70" w14:textId="77777777" w:rsidR="00E93F58" w:rsidRPr="006E709F" w:rsidRDefault="00E93F58" w:rsidP="00CF67DD">
            <w:pPr>
              <w:rPr>
                <w:b/>
                <w:bCs/>
                <w:sz w:val="16"/>
                <w:szCs w:val="16"/>
              </w:rPr>
            </w:pPr>
            <w:r w:rsidRPr="006E709F">
              <w:rPr>
                <w:b/>
                <w:bCs/>
                <w:sz w:val="16"/>
                <w:szCs w:val="16"/>
              </w:rPr>
              <w:t>Security Identifier</w:t>
            </w:r>
          </w:p>
        </w:tc>
        <w:tc>
          <w:tcPr>
            <w:tcW w:w="1276" w:type="dxa"/>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1E803201" w14:textId="77777777" w:rsidR="00E93F58" w:rsidRPr="006E709F" w:rsidRDefault="00E93F58" w:rsidP="00CF67DD">
            <w:pPr>
              <w:rPr>
                <w:b/>
                <w:sz w:val="16"/>
                <w:szCs w:val="16"/>
              </w:rPr>
            </w:pPr>
            <w:r w:rsidRPr="006E709F">
              <w:rPr>
                <w:b/>
                <w:sz w:val="16"/>
                <w:szCs w:val="16"/>
              </w:rPr>
              <w:t>Units held</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370B18D2"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hideMark/>
          </w:tcPr>
          <w:p w14:paraId="3FC3FC91" w14:textId="77777777" w:rsidR="00E93F58" w:rsidRPr="006E709F" w:rsidRDefault="00E93F58" w:rsidP="00CF67DD">
            <w:pPr>
              <w:rPr>
                <w:b/>
                <w:sz w:val="16"/>
                <w:szCs w:val="16"/>
              </w:rPr>
            </w:pPr>
            <w:r w:rsidRPr="006E709F">
              <w:rPr>
                <w:b/>
                <w:sz w:val="16"/>
                <w:szCs w:val="16"/>
              </w:rPr>
              <w:t>Weighting (%)</w:t>
            </w:r>
          </w:p>
        </w:tc>
      </w:tr>
      <w:tr w:rsidR="00E93F58" w:rsidRPr="006E709F" w14:paraId="5B8FEE08" w14:textId="77777777" w:rsidTr="00CF67DD">
        <w:tc>
          <w:tcPr>
            <w:tcW w:w="2692"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5E10FF93" w14:textId="77777777" w:rsidR="00E93F58" w:rsidRPr="006E709F" w:rsidRDefault="00E93F58" w:rsidP="00CF67DD">
            <w:pPr>
              <w:rPr>
                <w:bCs/>
                <w:sz w:val="16"/>
                <w:szCs w:val="16"/>
              </w:rPr>
            </w:pPr>
          </w:p>
        </w:tc>
        <w:tc>
          <w:tcPr>
            <w:tcW w:w="1419" w:type="dxa"/>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4D29818B" w14:textId="77777777" w:rsidR="00E93F58" w:rsidRPr="006E709F" w:rsidRDefault="00E93F58" w:rsidP="00CF67DD">
            <w:pPr>
              <w:rPr>
                <w:b/>
                <w:bCs/>
                <w:sz w:val="16"/>
                <w:szCs w:val="16"/>
              </w:rPr>
            </w:pPr>
          </w:p>
        </w:tc>
        <w:tc>
          <w:tcPr>
            <w:tcW w:w="1276" w:type="dxa"/>
            <w:tcBorders>
              <w:top w:val="single" w:sz="4" w:space="0" w:color="auto"/>
              <w:left w:val="nil"/>
              <w:bottom w:val="single" w:sz="12" w:space="0" w:color="auto"/>
              <w:right w:val="nil"/>
            </w:tcBorders>
            <w:shd w:val="clear" w:color="auto" w:fill="auto"/>
          </w:tcPr>
          <w:p w14:paraId="4C5B94DA" w14:textId="77777777" w:rsidR="00E93F58" w:rsidRPr="006E709F" w:rsidRDefault="00E93F58" w:rsidP="00CF67DD">
            <w:pPr>
              <w:rPr>
                <w:bCs/>
                <w:sz w:val="16"/>
                <w:szCs w:val="16"/>
              </w:rPr>
            </w:pPr>
          </w:p>
        </w:tc>
        <w:tc>
          <w:tcPr>
            <w:tcW w:w="1780" w:type="dxa"/>
            <w:gridSpan w:val="2"/>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706A437D" w14:textId="77777777" w:rsidR="00E93F58" w:rsidRPr="006E709F" w:rsidRDefault="00E93F58" w:rsidP="00CF67DD">
            <w:pPr>
              <w:rPr>
                <w:sz w:val="16"/>
                <w:szCs w:val="16"/>
              </w:rPr>
            </w:pPr>
          </w:p>
        </w:tc>
        <w:tc>
          <w:tcPr>
            <w:tcW w:w="1622" w:type="dxa"/>
            <w:gridSpan w:val="2"/>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37ABF983" w14:textId="77777777" w:rsidR="00E93F58" w:rsidRPr="006E709F" w:rsidRDefault="00E93F58" w:rsidP="00CF67DD">
            <w:pPr>
              <w:rPr>
                <w:sz w:val="16"/>
                <w:szCs w:val="16"/>
              </w:rPr>
            </w:pPr>
          </w:p>
        </w:tc>
      </w:tr>
      <w:tr w:rsidR="00E93F58" w:rsidRPr="006E709F" w14:paraId="3ECBBDEB" w14:textId="77777777" w:rsidTr="00CF67DD">
        <w:tc>
          <w:tcPr>
            <w:tcW w:w="2692" w:type="dxa"/>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3BAB81C6" w14:textId="77777777" w:rsidR="00E93F58" w:rsidRPr="006E709F" w:rsidRDefault="00E93F58" w:rsidP="00CF67DD">
            <w:pPr>
              <w:rPr>
                <w:b/>
                <w:bCs/>
                <w:sz w:val="16"/>
                <w:szCs w:val="16"/>
              </w:rPr>
            </w:pPr>
            <w:r w:rsidRPr="006E709F">
              <w:rPr>
                <w:b/>
                <w:bCs/>
                <w:sz w:val="16"/>
                <w:szCs w:val="16"/>
              </w:rPr>
              <w:t>Total</w:t>
            </w:r>
          </w:p>
        </w:tc>
        <w:tc>
          <w:tcPr>
            <w:tcW w:w="1419" w:type="dxa"/>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3D9E4CBE" w14:textId="77777777" w:rsidR="00E93F58" w:rsidRPr="006E709F" w:rsidRDefault="00E93F58" w:rsidP="00CF67DD">
            <w:pPr>
              <w:rPr>
                <w:b/>
                <w:bCs/>
                <w:sz w:val="16"/>
                <w:szCs w:val="16"/>
              </w:rPr>
            </w:pPr>
          </w:p>
        </w:tc>
        <w:tc>
          <w:tcPr>
            <w:tcW w:w="1276" w:type="dxa"/>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7CF2D742" w14:textId="77777777" w:rsidR="00E93F58" w:rsidRPr="006E709F" w:rsidRDefault="00E93F58" w:rsidP="00CF67DD">
            <w:pPr>
              <w:rPr>
                <w:b/>
                <w:sz w:val="16"/>
                <w:szCs w:val="16"/>
              </w:rPr>
            </w:pPr>
          </w:p>
        </w:tc>
        <w:tc>
          <w:tcPr>
            <w:tcW w:w="1780" w:type="dxa"/>
            <w:gridSpan w:val="2"/>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0B38EEB3" w14:textId="77777777" w:rsidR="00E93F58" w:rsidRPr="006E709F" w:rsidRDefault="00E93F58" w:rsidP="00CF67DD">
            <w:pPr>
              <w:rPr>
                <w:b/>
                <w:sz w:val="16"/>
                <w:szCs w:val="16"/>
              </w:rPr>
            </w:pPr>
          </w:p>
        </w:tc>
        <w:tc>
          <w:tcPr>
            <w:tcW w:w="1622" w:type="dxa"/>
            <w:gridSpan w:val="2"/>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2229F5E9" w14:textId="77777777" w:rsidR="00E93F58" w:rsidRPr="006E709F" w:rsidRDefault="00E93F58" w:rsidP="00CF67DD">
            <w:pPr>
              <w:rPr>
                <w:b/>
                <w:sz w:val="16"/>
                <w:szCs w:val="16"/>
              </w:rPr>
            </w:pPr>
          </w:p>
        </w:tc>
      </w:tr>
      <w:tr w:rsidR="00E93F58" w:rsidRPr="006E709F" w14:paraId="386A41C1" w14:textId="77777777" w:rsidTr="00CF67DD">
        <w:trPr>
          <w:trHeight w:val="208"/>
        </w:trPr>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hideMark/>
          </w:tcPr>
          <w:p w14:paraId="2941A4C8" w14:textId="77777777" w:rsidR="00E93F58" w:rsidRPr="006E709F" w:rsidRDefault="00E93F58" w:rsidP="00CF67DD">
            <w:pPr>
              <w:tabs>
                <w:tab w:val="center" w:pos="1322"/>
              </w:tabs>
              <w:rPr>
                <w:b/>
                <w:sz w:val="16"/>
                <w:szCs w:val="16"/>
              </w:rPr>
            </w:pPr>
            <w:r w:rsidRPr="006E709F">
              <w:rPr>
                <w:b/>
                <w:sz w:val="16"/>
                <w:szCs w:val="16"/>
              </w:rPr>
              <w:t>Unlisted Alternatives</w:t>
            </w:r>
          </w:p>
          <w:p w14:paraId="565B6046" w14:textId="77777777" w:rsidR="00E93F58" w:rsidRPr="006E709F" w:rsidRDefault="00E93F58" w:rsidP="00CF67DD">
            <w:pPr>
              <w:rPr>
                <w:b/>
                <w:sz w:val="16"/>
                <w:szCs w:val="16"/>
              </w:rPr>
            </w:pPr>
            <w:r w:rsidRPr="006E709F">
              <w:rPr>
                <w:b/>
                <w:sz w:val="16"/>
                <w:szCs w:val="16"/>
              </w:rPr>
              <w:t xml:space="preserve">Held directly or by associated entities or by </w:t>
            </w:r>
            <w:r w:rsidRPr="00D05323">
              <w:rPr>
                <w:b/>
                <w:sz w:val="16"/>
                <w:szCs w:val="16"/>
              </w:rPr>
              <w:t>pooled superannuation trusts</w:t>
            </w:r>
          </w:p>
          <w:p w14:paraId="0A89528C" w14:textId="77777777" w:rsidR="00E93F58" w:rsidRPr="006E709F" w:rsidRDefault="00E93F58" w:rsidP="00CF67DD">
            <w:pPr>
              <w:rPr>
                <w:sz w:val="16"/>
                <w:szCs w:val="16"/>
              </w:rPr>
            </w:pPr>
            <w:r w:rsidRPr="006E709F">
              <w:rPr>
                <w:b/>
                <w:sz w:val="16"/>
                <w:szCs w:val="16"/>
              </w:rPr>
              <w:t>Internally managed</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513074AA" w14:textId="77777777" w:rsidR="00E93F58" w:rsidRPr="006E709F" w:rsidRDefault="00E93F58" w:rsidP="00CF67DD">
            <w:pPr>
              <w:rPr>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4AF87340" w14:textId="77777777" w:rsidR="00E93F58" w:rsidRPr="006E709F" w:rsidRDefault="00E93F58" w:rsidP="00CF67DD">
            <w:pPr>
              <w:rPr>
                <w:sz w:val="16"/>
                <w:szCs w:val="16"/>
              </w:rPr>
            </w:pPr>
          </w:p>
        </w:tc>
      </w:tr>
      <w:tr w:rsidR="00E93F58" w:rsidRPr="006E709F" w14:paraId="7909E113" w14:textId="77777777" w:rsidTr="00CF67DD">
        <w:trPr>
          <w:trHeight w:val="36"/>
        </w:trPr>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5F696B58" w14:textId="77777777" w:rsidR="00E93F58" w:rsidRPr="006E709F" w:rsidRDefault="00E93F58" w:rsidP="00CF67DD">
            <w:pPr>
              <w:rPr>
                <w:b/>
                <w:sz w:val="16"/>
                <w:szCs w:val="16"/>
              </w:rPr>
            </w:pPr>
            <w:r w:rsidRPr="006E709F">
              <w:rPr>
                <w:b/>
                <w:bCs/>
                <w:sz w:val="16"/>
                <w:szCs w:val="16"/>
              </w:rPr>
              <w:t>Name/kind of investment item</w:t>
            </w:r>
          </w:p>
        </w:tc>
        <w:tc>
          <w:tcPr>
            <w:tcW w:w="1780" w:type="dxa"/>
            <w:gridSpan w:val="2"/>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6A47EDD3"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647BB634" w14:textId="77777777" w:rsidR="00E93F58" w:rsidRPr="006E709F" w:rsidRDefault="00E93F58" w:rsidP="00CF67DD">
            <w:pPr>
              <w:rPr>
                <w:b/>
                <w:sz w:val="16"/>
                <w:szCs w:val="16"/>
              </w:rPr>
            </w:pPr>
            <w:r w:rsidRPr="006E709F">
              <w:rPr>
                <w:b/>
                <w:sz w:val="16"/>
                <w:szCs w:val="16"/>
              </w:rPr>
              <w:t>Weighting (%)</w:t>
            </w:r>
          </w:p>
        </w:tc>
      </w:tr>
      <w:tr w:rsidR="00E93F58" w:rsidRPr="006E709F" w14:paraId="4F5EE33E" w14:textId="77777777" w:rsidTr="00CF67DD">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0B0C7D3B" w14:textId="77777777" w:rsidR="00E93F58" w:rsidRPr="006E709F" w:rsidRDefault="00E93F58" w:rsidP="00CF67DD">
            <w:pPr>
              <w:rPr>
                <w:bCs/>
                <w:sz w:val="16"/>
                <w:szCs w:val="16"/>
              </w:rPr>
            </w:pP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792D067D" w14:textId="77777777" w:rsidR="00E93F58" w:rsidRPr="006E709F" w:rsidRDefault="00E93F58" w:rsidP="00CF67DD">
            <w:pPr>
              <w:rPr>
                <w:i/>
                <w:iCs/>
                <w:sz w:val="16"/>
                <w:szCs w:val="16"/>
              </w:rPr>
            </w:pPr>
            <w:r w:rsidRPr="006E709F">
              <w:rPr>
                <w:i/>
                <w:iCs/>
                <w:sz w:val="16"/>
                <w:szCs w:val="16"/>
              </w:rPr>
              <w:t>Value and weighting for individual assets not disclosed. Only disclose total value and weighting.</w:t>
            </w:r>
          </w:p>
        </w:tc>
      </w:tr>
      <w:tr w:rsidR="00E93F58" w:rsidRPr="006E709F" w14:paraId="2A2050FE"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0640A8DA"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799A792D"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3627A637" w14:textId="77777777" w:rsidR="00E93F58" w:rsidRPr="006E709F" w:rsidRDefault="00E93F58" w:rsidP="00CF67DD">
            <w:pPr>
              <w:rPr>
                <w:b/>
                <w:sz w:val="16"/>
                <w:szCs w:val="16"/>
              </w:rPr>
            </w:pPr>
          </w:p>
        </w:tc>
      </w:tr>
      <w:tr w:rsidR="00E93F58" w:rsidRPr="006E709F" w14:paraId="55FE8D02" w14:textId="77777777" w:rsidTr="00CF67DD">
        <w:tc>
          <w:tcPr>
            <w:tcW w:w="5387"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34CFDEEA" w14:textId="77777777" w:rsidR="00E93F58" w:rsidRPr="006E709F" w:rsidRDefault="00E93F58" w:rsidP="00CF67DD">
            <w:pPr>
              <w:tabs>
                <w:tab w:val="center" w:pos="1322"/>
              </w:tabs>
              <w:rPr>
                <w:b/>
                <w:sz w:val="16"/>
                <w:szCs w:val="16"/>
              </w:rPr>
            </w:pPr>
            <w:r w:rsidRPr="006E709F">
              <w:rPr>
                <w:b/>
                <w:sz w:val="16"/>
                <w:szCs w:val="16"/>
              </w:rPr>
              <w:t>Unlisted Alternative</w:t>
            </w:r>
          </w:p>
          <w:p w14:paraId="25A78B27" w14:textId="77777777" w:rsidR="00E93F58" w:rsidRPr="006E709F" w:rsidRDefault="00E93F58" w:rsidP="00CF67DD">
            <w:pPr>
              <w:tabs>
                <w:tab w:val="center" w:pos="1322"/>
              </w:tabs>
              <w:rPr>
                <w:b/>
                <w:sz w:val="16"/>
                <w:szCs w:val="16"/>
              </w:rPr>
            </w:pPr>
            <w:r w:rsidRPr="006E709F">
              <w:rPr>
                <w:b/>
                <w:sz w:val="16"/>
                <w:szCs w:val="16"/>
              </w:rPr>
              <w:t>Investment in non</w:t>
            </w:r>
            <w:r>
              <w:rPr>
                <w:b/>
                <w:sz w:val="16"/>
                <w:szCs w:val="16"/>
              </w:rPr>
              <w:noBreakHyphen/>
            </w:r>
            <w:r w:rsidRPr="006E709F">
              <w:rPr>
                <w:b/>
                <w:sz w:val="16"/>
                <w:szCs w:val="16"/>
              </w:rPr>
              <w:t>associated entities;</w:t>
            </w:r>
          </w:p>
          <w:p w14:paraId="27923056" w14:textId="77777777" w:rsidR="00E93F58" w:rsidRPr="006E709F" w:rsidRDefault="00E93F58" w:rsidP="00CF67DD">
            <w:pPr>
              <w:rPr>
                <w:b/>
                <w:sz w:val="16"/>
                <w:szCs w:val="16"/>
              </w:rPr>
            </w:pPr>
            <w:r w:rsidRPr="006E709F">
              <w:rPr>
                <w:b/>
                <w:sz w:val="16"/>
                <w:szCs w:val="16"/>
              </w:rPr>
              <w:t xml:space="preserve">Held directly or by associated entities or by </w:t>
            </w:r>
            <w:r w:rsidRPr="009560C1">
              <w:rPr>
                <w:b/>
                <w:sz w:val="16"/>
                <w:szCs w:val="16"/>
              </w:rPr>
              <w:t>pooled superannuation trusts</w:t>
            </w:r>
          </w:p>
          <w:p w14:paraId="2E550C90" w14:textId="77777777" w:rsidR="00E93F58" w:rsidRPr="006E709F" w:rsidRDefault="00E93F58" w:rsidP="00CF67DD">
            <w:pPr>
              <w:rPr>
                <w:b/>
                <w:sz w:val="16"/>
                <w:szCs w:val="16"/>
              </w:rPr>
            </w:pPr>
            <w:r w:rsidRPr="006E709F">
              <w:rPr>
                <w:b/>
                <w:sz w:val="16"/>
                <w:szCs w:val="16"/>
              </w:rPr>
              <w:t>Externally managed</w:t>
            </w:r>
          </w:p>
        </w:tc>
        <w:tc>
          <w:tcPr>
            <w:tcW w:w="1771" w:type="dxa"/>
            <w:tcBorders>
              <w:top w:val="single" w:sz="18"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0FCFC86E" w14:textId="77777777" w:rsidR="00E93F58" w:rsidRPr="006E709F" w:rsidRDefault="00E93F58" w:rsidP="00CF67DD">
            <w:pPr>
              <w:rPr>
                <w:b/>
                <w:sz w:val="16"/>
                <w:szCs w:val="16"/>
              </w:rPr>
            </w:pPr>
          </w:p>
        </w:tc>
        <w:tc>
          <w:tcPr>
            <w:tcW w:w="1631" w:type="dxa"/>
            <w:gridSpan w:val="3"/>
            <w:tcBorders>
              <w:top w:val="single" w:sz="18" w:space="0" w:color="auto"/>
              <w:left w:val="nil"/>
              <w:bottom w:val="single" w:sz="12" w:space="0" w:color="auto"/>
              <w:right w:val="nil"/>
            </w:tcBorders>
            <w:shd w:val="clear" w:color="auto" w:fill="auto"/>
            <w:tcMar>
              <w:top w:w="0" w:type="dxa"/>
              <w:left w:w="108" w:type="dxa"/>
              <w:bottom w:w="0" w:type="dxa"/>
              <w:right w:w="108" w:type="dxa"/>
            </w:tcMar>
          </w:tcPr>
          <w:p w14:paraId="3148EED1" w14:textId="77777777" w:rsidR="00E93F58" w:rsidRPr="006E709F" w:rsidRDefault="00E93F58" w:rsidP="00CF67DD">
            <w:pPr>
              <w:rPr>
                <w:b/>
                <w:sz w:val="16"/>
                <w:szCs w:val="16"/>
              </w:rPr>
            </w:pPr>
          </w:p>
        </w:tc>
      </w:tr>
      <w:tr w:rsidR="00E93F58" w:rsidRPr="006E709F" w14:paraId="16C33281" w14:textId="77777777" w:rsidTr="00CF67DD">
        <w:trPr>
          <w:trHeight w:val="36"/>
        </w:trPr>
        <w:tc>
          <w:tcPr>
            <w:tcW w:w="5387" w:type="dxa"/>
            <w:gridSpan w:val="3"/>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217471B3" w14:textId="77777777" w:rsidR="00E93F58" w:rsidRPr="006E709F" w:rsidRDefault="00E93F58" w:rsidP="00CF67DD">
            <w:pPr>
              <w:rPr>
                <w:b/>
                <w:sz w:val="16"/>
                <w:szCs w:val="16"/>
              </w:rPr>
            </w:pPr>
            <w:r w:rsidRPr="006E709F">
              <w:rPr>
                <w:b/>
                <w:bCs/>
                <w:sz w:val="16"/>
                <w:szCs w:val="16"/>
              </w:rPr>
              <w:t>Name of Fund Manager</w:t>
            </w:r>
          </w:p>
        </w:tc>
        <w:tc>
          <w:tcPr>
            <w:tcW w:w="1780" w:type="dxa"/>
            <w:gridSpan w:val="2"/>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0B3AB00E" w14:textId="77777777" w:rsidR="00E93F58" w:rsidRPr="006E709F" w:rsidRDefault="00E93F58" w:rsidP="00CF67DD">
            <w:pPr>
              <w:rPr>
                <w:b/>
                <w:sz w:val="16"/>
                <w:szCs w:val="16"/>
              </w:rPr>
            </w:pPr>
            <w:r w:rsidRPr="006E709F">
              <w:rPr>
                <w:b/>
                <w:sz w:val="16"/>
                <w:szCs w:val="16"/>
              </w:rPr>
              <w:t>Value (AUD)</w:t>
            </w:r>
          </w:p>
        </w:tc>
        <w:tc>
          <w:tcPr>
            <w:tcW w:w="1622"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6580BC43" w14:textId="77777777" w:rsidR="00E93F58" w:rsidRPr="006E709F" w:rsidRDefault="00E93F58" w:rsidP="00CF67DD">
            <w:pPr>
              <w:rPr>
                <w:b/>
                <w:sz w:val="16"/>
                <w:szCs w:val="16"/>
              </w:rPr>
            </w:pPr>
            <w:r w:rsidRPr="006E709F">
              <w:rPr>
                <w:b/>
                <w:sz w:val="16"/>
                <w:szCs w:val="16"/>
              </w:rPr>
              <w:t>Weighting (%)</w:t>
            </w:r>
          </w:p>
        </w:tc>
      </w:tr>
      <w:tr w:rsidR="00E93F58" w:rsidRPr="006E709F" w14:paraId="784B3AB1" w14:textId="77777777" w:rsidTr="00CF67DD">
        <w:tc>
          <w:tcPr>
            <w:tcW w:w="5387" w:type="dxa"/>
            <w:gridSpan w:val="3"/>
            <w:tcBorders>
              <w:top w:val="single" w:sz="4" w:space="0" w:color="auto"/>
              <w:left w:val="nil"/>
              <w:bottom w:val="single" w:sz="12" w:space="0" w:color="auto"/>
              <w:right w:val="nil"/>
            </w:tcBorders>
            <w:shd w:val="clear" w:color="auto" w:fill="auto"/>
            <w:tcMar>
              <w:top w:w="0" w:type="dxa"/>
              <w:left w:w="108" w:type="dxa"/>
              <w:bottom w:w="0" w:type="dxa"/>
              <w:right w:w="108" w:type="dxa"/>
            </w:tcMar>
          </w:tcPr>
          <w:p w14:paraId="5975425F" w14:textId="77777777" w:rsidR="00E93F58" w:rsidRPr="006E709F" w:rsidRDefault="00E93F58" w:rsidP="00CF67DD">
            <w:pPr>
              <w:rPr>
                <w:bCs/>
                <w:i/>
                <w:iCs/>
                <w:sz w:val="16"/>
                <w:szCs w:val="16"/>
              </w:rPr>
            </w:pPr>
            <w:r w:rsidRPr="006E709F">
              <w:rPr>
                <w:bCs/>
                <w:i/>
                <w:iCs/>
                <w:sz w:val="16"/>
                <w:szCs w:val="16"/>
              </w:rPr>
              <w:t>Individual asset names not required to be disclosed.</w:t>
            </w:r>
          </w:p>
          <w:p w14:paraId="0280299B" w14:textId="77777777" w:rsidR="00E93F58" w:rsidRPr="006E709F" w:rsidRDefault="00E93F58" w:rsidP="00CF67DD">
            <w:pPr>
              <w:rPr>
                <w:b/>
                <w:sz w:val="16"/>
                <w:szCs w:val="16"/>
              </w:rPr>
            </w:pPr>
            <w:r w:rsidRPr="006E709F">
              <w:rPr>
                <w:bCs/>
                <w:i/>
                <w:iCs/>
                <w:sz w:val="16"/>
                <w:szCs w:val="16"/>
              </w:rPr>
              <w:t>Only disclose the name of the fund manager responsible for managing the asset.</w:t>
            </w:r>
          </w:p>
        </w:tc>
        <w:tc>
          <w:tcPr>
            <w:tcW w:w="3402" w:type="dxa"/>
            <w:gridSpan w:val="4"/>
            <w:tcBorders>
              <w:top w:val="single" w:sz="4" w:space="0" w:color="auto"/>
              <w:left w:val="single" w:sz="4" w:space="0" w:color="auto"/>
              <w:bottom w:val="single" w:sz="12" w:space="0" w:color="auto"/>
              <w:right w:val="nil"/>
            </w:tcBorders>
            <w:shd w:val="clear" w:color="auto" w:fill="auto"/>
            <w:tcMar>
              <w:top w:w="0" w:type="dxa"/>
              <w:left w:w="108" w:type="dxa"/>
              <w:bottom w:w="0" w:type="dxa"/>
              <w:right w:w="108" w:type="dxa"/>
            </w:tcMar>
          </w:tcPr>
          <w:p w14:paraId="09C8D2CA" w14:textId="77777777" w:rsidR="00E93F58" w:rsidRPr="006E709F" w:rsidRDefault="00E93F58" w:rsidP="00CF67DD">
            <w:pPr>
              <w:rPr>
                <w:b/>
                <w:sz w:val="16"/>
                <w:szCs w:val="16"/>
              </w:rPr>
            </w:pPr>
            <w:r w:rsidRPr="006E709F">
              <w:rPr>
                <w:i/>
                <w:iCs/>
                <w:sz w:val="16"/>
                <w:szCs w:val="16"/>
              </w:rPr>
              <w:t>Values and weightings for individual assets not disclosed. Only disclose total values and weighting aggregated by the fund manager responsible for managing the assets.</w:t>
            </w:r>
          </w:p>
        </w:tc>
      </w:tr>
      <w:tr w:rsidR="00E93F58" w:rsidRPr="006E709F" w14:paraId="0C00A542" w14:textId="77777777" w:rsidTr="00CF67DD">
        <w:tc>
          <w:tcPr>
            <w:tcW w:w="5387"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hideMark/>
          </w:tcPr>
          <w:p w14:paraId="791788AE" w14:textId="77777777" w:rsidR="00E93F58" w:rsidRPr="006E709F" w:rsidRDefault="00E93F58" w:rsidP="00CF67DD">
            <w:pPr>
              <w:rPr>
                <w:b/>
                <w:sz w:val="16"/>
                <w:szCs w:val="16"/>
              </w:rPr>
            </w:pPr>
            <w:r w:rsidRPr="006E709F">
              <w:rPr>
                <w:b/>
                <w:bCs/>
                <w:sz w:val="16"/>
                <w:szCs w:val="16"/>
              </w:rPr>
              <w:t>Total</w:t>
            </w:r>
          </w:p>
        </w:tc>
        <w:tc>
          <w:tcPr>
            <w:tcW w:w="1771" w:type="dxa"/>
            <w:tcBorders>
              <w:top w:val="single" w:sz="12"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16E37DF7" w14:textId="77777777" w:rsidR="00E93F58" w:rsidRPr="006E709F" w:rsidRDefault="00E93F58" w:rsidP="00CF67DD">
            <w:pPr>
              <w:rPr>
                <w:b/>
                <w:sz w:val="16"/>
                <w:szCs w:val="16"/>
              </w:rPr>
            </w:pPr>
          </w:p>
        </w:tc>
        <w:tc>
          <w:tcPr>
            <w:tcW w:w="1631" w:type="dxa"/>
            <w:gridSpan w:val="3"/>
            <w:tcBorders>
              <w:top w:val="single" w:sz="12" w:space="0" w:color="auto"/>
              <w:left w:val="nil"/>
              <w:bottom w:val="single" w:sz="18" w:space="0" w:color="auto"/>
              <w:right w:val="nil"/>
            </w:tcBorders>
            <w:shd w:val="clear" w:color="auto" w:fill="auto"/>
            <w:tcMar>
              <w:top w:w="0" w:type="dxa"/>
              <w:left w:w="108" w:type="dxa"/>
              <w:bottom w:w="0" w:type="dxa"/>
              <w:right w:w="108" w:type="dxa"/>
            </w:tcMar>
          </w:tcPr>
          <w:p w14:paraId="30641EDC" w14:textId="77777777" w:rsidR="00E93F58" w:rsidRPr="006E709F" w:rsidRDefault="00E93F58" w:rsidP="00CF67DD">
            <w:pPr>
              <w:rPr>
                <w:b/>
                <w:sz w:val="16"/>
                <w:szCs w:val="16"/>
              </w:rPr>
            </w:pPr>
          </w:p>
        </w:tc>
      </w:tr>
      <w:tr w:rsidR="00E93F58" w:rsidRPr="006E709F" w14:paraId="7389FDC1" w14:textId="77777777" w:rsidTr="00CF67DD">
        <w:tc>
          <w:tcPr>
            <w:tcW w:w="5387" w:type="dxa"/>
            <w:gridSpan w:val="3"/>
            <w:tcBorders>
              <w:top w:val="single" w:sz="18" w:space="0" w:color="auto"/>
              <w:left w:val="nil"/>
              <w:bottom w:val="single" w:sz="18" w:space="0" w:color="auto"/>
              <w:right w:val="nil"/>
            </w:tcBorders>
            <w:shd w:val="clear" w:color="auto" w:fill="auto"/>
            <w:tcMar>
              <w:top w:w="0" w:type="dxa"/>
              <w:left w:w="108" w:type="dxa"/>
              <w:bottom w:w="0" w:type="dxa"/>
              <w:right w:w="108" w:type="dxa"/>
            </w:tcMar>
            <w:hideMark/>
          </w:tcPr>
          <w:p w14:paraId="0FD08575" w14:textId="77777777" w:rsidR="00E93F58" w:rsidRPr="006E709F" w:rsidRDefault="00E93F58" w:rsidP="00CF67DD">
            <w:pPr>
              <w:rPr>
                <w:b/>
                <w:sz w:val="16"/>
                <w:szCs w:val="16"/>
              </w:rPr>
            </w:pPr>
            <w:r w:rsidRPr="006E709F">
              <w:rPr>
                <w:b/>
                <w:bCs/>
                <w:sz w:val="16"/>
                <w:szCs w:val="16"/>
              </w:rPr>
              <w:t>Total Investment Items</w:t>
            </w:r>
          </w:p>
        </w:tc>
        <w:tc>
          <w:tcPr>
            <w:tcW w:w="1771" w:type="dxa"/>
            <w:tcBorders>
              <w:top w:val="single" w:sz="18" w:space="0" w:color="auto"/>
              <w:left w:val="single" w:sz="4" w:space="0" w:color="auto"/>
              <w:bottom w:val="single" w:sz="18" w:space="0" w:color="auto"/>
              <w:right w:val="nil"/>
            </w:tcBorders>
            <w:shd w:val="clear" w:color="auto" w:fill="auto"/>
            <w:tcMar>
              <w:top w:w="0" w:type="dxa"/>
              <w:left w:w="108" w:type="dxa"/>
              <w:bottom w:w="0" w:type="dxa"/>
              <w:right w:w="108" w:type="dxa"/>
            </w:tcMar>
          </w:tcPr>
          <w:p w14:paraId="4D9CA0FC" w14:textId="77777777" w:rsidR="00E93F58" w:rsidRPr="006E709F" w:rsidRDefault="00E93F58" w:rsidP="00CF67DD">
            <w:pPr>
              <w:rPr>
                <w:b/>
                <w:sz w:val="16"/>
                <w:szCs w:val="16"/>
              </w:rPr>
            </w:pPr>
          </w:p>
        </w:tc>
        <w:tc>
          <w:tcPr>
            <w:tcW w:w="1631" w:type="dxa"/>
            <w:gridSpan w:val="3"/>
            <w:tcBorders>
              <w:top w:val="single" w:sz="18" w:space="0" w:color="auto"/>
              <w:left w:val="nil"/>
              <w:bottom w:val="single" w:sz="18" w:space="0" w:color="auto"/>
              <w:right w:val="nil"/>
            </w:tcBorders>
            <w:shd w:val="clear" w:color="auto" w:fill="auto"/>
            <w:tcMar>
              <w:top w:w="0" w:type="dxa"/>
              <w:left w:w="108" w:type="dxa"/>
              <w:bottom w:w="0" w:type="dxa"/>
              <w:right w:w="108" w:type="dxa"/>
            </w:tcMar>
          </w:tcPr>
          <w:p w14:paraId="0CD8C854" w14:textId="77777777" w:rsidR="00E93F58" w:rsidRPr="006E709F" w:rsidRDefault="00E93F58" w:rsidP="00CF67DD">
            <w:pPr>
              <w:rPr>
                <w:b/>
                <w:sz w:val="16"/>
                <w:szCs w:val="16"/>
              </w:rPr>
            </w:pPr>
          </w:p>
        </w:tc>
      </w:tr>
      <w:bookmarkEnd w:id="3364"/>
      <w:bookmarkEnd w:id="3365"/>
    </w:tbl>
    <w:p w14:paraId="0FD8BAA5" w14:textId="77777777" w:rsidR="00E93F58" w:rsidRPr="006E709F" w:rsidRDefault="00E93F58" w:rsidP="00DC48A1">
      <w:pPr>
        <w:pStyle w:val="Tabletext"/>
      </w:pPr>
    </w:p>
    <w:p w14:paraId="087D0437" w14:textId="77777777" w:rsidR="00E93F58" w:rsidRPr="006E709F" w:rsidRDefault="00E93F58" w:rsidP="00DC48A1">
      <w:pPr>
        <w:pStyle w:val="ActHead5"/>
        <w:pageBreakBefore/>
      </w:pPr>
      <w:bookmarkStart w:id="3367" w:name="_Toc151992432"/>
      <w:bookmarkStart w:id="3368" w:name="_Toc158713469"/>
      <w:r w:rsidRPr="000C4237">
        <w:rPr>
          <w:rStyle w:val="CharSectno"/>
        </w:rPr>
        <w:lastRenderedPageBreak/>
        <w:t>2</w:t>
      </w:r>
      <w:r w:rsidRPr="006E709F">
        <w:t xml:space="preserve">  Table 2—Derivatives by kind of derivative</w:t>
      </w:r>
      <w:bookmarkEnd w:id="3367"/>
      <w:bookmarkEnd w:id="3368"/>
    </w:p>
    <w:p w14:paraId="3F177544" w14:textId="77777777" w:rsidR="00E93F58" w:rsidRPr="006E709F" w:rsidRDefault="00E93F58" w:rsidP="00DC48A1">
      <w:pPr>
        <w:pStyle w:val="Tabletext"/>
      </w:pPr>
    </w:p>
    <w:tbl>
      <w:tblPr>
        <w:tblW w:w="4721"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3900"/>
        <w:gridCol w:w="3220"/>
        <w:gridCol w:w="3052"/>
      </w:tblGrid>
      <w:tr w:rsidR="00E93F58" w:rsidRPr="006E709F" w14:paraId="046EDDAC" w14:textId="77777777" w:rsidTr="00CF67DD">
        <w:trPr>
          <w:tblHeader/>
        </w:trPr>
        <w:tc>
          <w:tcPr>
            <w:tcW w:w="5000" w:type="pct"/>
            <w:gridSpan w:val="3"/>
            <w:tcBorders>
              <w:top w:val="single" w:sz="12" w:space="0" w:color="auto"/>
              <w:bottom w:val="single" w:sz="6" w:space="0" w:color="auto"/>
            </w:tcBorders>
            <w:shd w:val="clear" w:color="auto" w:fill="auto"/>
          </w:tcPr>
          <w:p w14:paraId="01FA8FE4" w14:textId="77777777" w:rsidR="00E93F58" w:rsidRPr="006E709F" w:rsidRDefault="00E93F58" w:rsidP="00CF67DD">
            <w:pPr>
              <w:pStyle w:val="TableHeading"/>
              <w:rPr>
                <w:sz w:val="16"/>
                <w:szCs w:val="16"/>
                <w:highlight w:val="yellow"/>
              </w:rPr>
            </w:pPr>
            <w:r w:rsidRPr="006E709F">
              <w:rPr>
                <w:sz w:val="16"/>
                <w:szCs w:val="16"/>
              </w:rPr>
              <w:t>Portfolio Holdings Information for Investment Option [A]—Derivatives</w:t>
            </w:r>
          </w:p>
        </w:tc>
      </w:tr>
      <w:tr w:rsidR="00E93F58" w:rsidRPr="006E709F" w14:paraId="6C16EC7A" w14:textId="77777777" w:rsidTr="00CF67DD">
        <w:trPr>
          <w:tblHeader/>
        </w:trPr>
        <w:tc>
          <w:tcPr>
            <w:tcW w:w="1917" w:type="pct"/>
            <w:tcBorders>
              <w:top w:val="single" w:sz="6" w:space="0" w:color="auto"/>
              <w:bottom w:val="single" w:sz="12" w:space="0" w:color="auto"/>
            </w:tcBorders>
            <w:shd w:val="clear" w:color="auto" w:fill="auto"/>
          </w:tcPr>
          <w:p w14:paraId="2C3AB9AC" w14:textId="77777777" w:rsidR="00E93F58" w:rsidRPr="006E709F" w:rsidRDefault="00E93F58" w:rsidP="00CF67DD">
            <w:pPr>
              <w:pStyle w:val="TableHeading"/>
              <w:rPr>
                <w:sz w:val="16"/>
                <w:szCs w:val="16"/>
              </w:rPr>
            </w:pPr>
            <w:r w:rsidRPr="006E709F">
              <w:rPr>
                <w:sz w:val="16"/>
                <w:szCs w:val="16"/>
              </w:rPr>
              <w:t>Kind of derivative</w:t>
            </w:r>
          </w:p>
        </w:tc>
        <w:tc>
          <w:tcPr>
            <w:tcW w:w="1583" w:type="pct"/>
            <w:tcBorders>
              <w:top w:val="single" w:sz="6" w:space="0" w:color="auto"/>
              <w:bottom w:val="single" w:sz="12" w:space="0" w:color="auto"/>
            </w:tcBorders>
            <w:shd w:val="clear" w:color="auto" w:fill="auto"/>
          </w:tcPr>
          <w:p w14:paraId="63F1D011" w14:textId="77777777" w:rsidR="00E93F58" w:rsidRPr="006E709F" w:rsidRDefault="00E93F58" w:rsidP="00CF67DD">
            <w:pPr>
              <w:pStyle w:val="TableHeading"/>
              <w:rPr>
                <w:sz w:val="16"/>
                <w:szCs w:val="16"/>
              </w:rPr>
            </w:pPr>
            <w:r w:rsidRPr="006E709F">
              <w:rPr>
                <w:sz w:val="16"/>
                <w:szCs w:val="16"/>
              </w:rPr>
              <w:t>Value</w:t>
            </w:r>
          </w:p>
        </w:tc>
        <w:tc>
          <w:tcPr>
            <w:tcW w:w="1500" w:type="pct"/>
            <w:tcBorders>
              <w:top w:val="single" w:sz="6" w:space="0" w:color="auto"/>
              <w:bottom w:val="single" w:sz="12" w:space="0" w:color="auto"/>
            </w:tcBorders>
            <w:shd w:val="clear" w:color="auto" w:fill="auto"/>
          </w:tcPr>
          <w:p w14:paraId="4EC80FE7" w14:textId="77777777" w:rsidR="00E93F58" w:rsidRPr="006E709F" w:rsidRDefault="00E93F58" w:rsidP="00CF67DD">
            <w:pPr>
              <w:pStyle w:val="TableHeading"/>
              <w:rPr>
                <w:sz w:val="16"/>
                <w:szCs w:val="16"/>
              </w:rPr>
            </w:pPr>
            <w:r w:rsidRPr="006E709F">
              <w:rPr>
                <w:sz w:val="16"/>
                <w:szCs w:val="16"/>
              </w:rPr>
              <w:t>Weighting</w:t>
            </w:r>
          </w:p>
        </w:tc>
      </w:tr>
      <w:tr w:rsidR="00E93F58" w:rsidRPr="006E709F" w14:paraId="3BCB75ED" w14:textId="77777777" w:rsidTr="00CF67DD">
        <w:tc>
          <w:tcPr>
            <w:tcW w:w="1917" w:type="pct"/>
            <w:tcBorders>
              <w:top w:val="single" w:sz="12" w:space="0" w:color="auto"/>
            </w:tcBorders>
            <w:shd w:val="clear" w:color="auto" w:fill="auto"/>
          </w:tcPr>
          <w:p w14:paraId="467B032D" w14:textId="77777777" w:rsidR="00E93F58" w:rsidRPr="006E709F" w:rsidRDefault="00E93F58" w:rsidP="00CF67DD">
            <w:pPr>
              <w:pStyle w:val="Tabletext"/>
              <w:rPr>
                <w:sz w:val="16"/>
                <w:szCs w:val="16"/>
              </w:rPr>
            </w:pPr>
            <w:r w:rsidRPr="006E709F">
              <w:rPr>
                <w:sz w:val="16"/>
                <w:szCs w:val="16"/>
              </w:rPr>
              <w:t>Swaps</w:t>
            </w:r>
          </w:p>
        </w:tc>
        <w:tc>
          <w:tcPr>
            <w:tcW w:w="3083" w:type="pct"/>
            <w:gridSpan w:val="2"/>
            <w:tcBorders>
              <w:top w:val="single" w:sz="12" w:space="0" w:color="auto"/>
            </w:tcBorders>
            <w:shd w:val="clear" w:color="auto" w:fill="auto"/>
          </w:tcPr>
          <w:p w14:paraId="78359CC0" w14:textId="77777777" w:rsidR="00E93F58" w:rsidRPr="006E709F" w:rsidRDefault="00E93F58" w:rsidP="00CF67DD">
            <w:pPr>
              <w:pStyle w:val="Tabletext"/>
              <w:rPr>
                <w:i/>
                <w:sz w:val="16"/>
                <w:szCs w:val="16"/>
              </w:rPr>
            </w:pPr>
            <w:r w:rsidRPr="006E709F">
              <w:rPr>
                <w:i/>
                <w:sz w:val="16"/>
                <w:szCs w:val="16"/>
              </w:rPr>
              <w:t>Values and weighting for individual derivatives not disclosed. Only disclose total values and weighting for this kind of derivative.</w:t>
            </w:r>
          </w:p>
        </w:tc>
      </w:tr>
      <w:tr w:rsidR="00E93F58" w:rsidRPr="006E709F" w14:paraId="7D15B01C" w14:textId="77777777" w:rsidTr="00CF67DD">
        <w:tc>
          <w:tcPr>
            <w:tcW w:w="1917" w:type="pct"/>
            <w:shd w:val="clear" w:color="auto" w:fill="auto"/>
          </w:tcPr>
          <w:p w14:paraId="0777C876" w14:textId="77777777" w:rsidR="00E93F58" w:rsidRPr="006E709F" w:rsidRDefault="00E93F58" w:rsidP="00CF67DD">
            <w:pPr>
              <w:pStyle w:val="Tabletext"/>
              <w:rPr>
                <w:sz w:val="16"/>
                <w:szCs w:val="16"/>
              </w:rPr>
            </w:pPr>
            <w:r w:rsidRPr="006E709F">
              <w:rPr>
                <w:sz w:val="16"/>
                <w:szCs w:val="16"/>
              </w:rPr>
              <w:t>Forwards</w:t>
            </w:r>
          </w:p>
        </w:tc>
        <w:tc>
          <w:tcPr>
            <w:tcW w:w="3083" w:type="pct"/>
            <w:gridSpan w:val="2"/>
            <w:shd w:val="clear" w:color="auto" w:fill="auto"/>
          </w:tcPr>
          <w:p w14:paraId="195215A9" w14:textId="77777777" w:rsidR="00E93F58" w:rsidRPr="006E709F" w:rsidRDefault="00E93F58" w:rsidP="00CF67DD">
            <w:pPr>
              <w:pStyle w:val="Tabletext"/>
              <w:rPr>
                <w:i/>
                <w:sz w:val="16"/>
                <w:szCs w:val="16"/>
              </w:rPr>
            </w:pPr>
            <w:r w:rsidRPr="006E709F">
              <w:rPr>
                <w:i/>
                <w:sz w:val="16"/>
                <w:szCs w:val="16"/>
              </w:rPr>
              <w:t>Values and weighting for individual derivatives not disclosed. Only disclose total values and weighting for this kind of derivative.</w:t>
            </w:r>
          </w:p>
        </w:tc>
      </w:tr>
      <w:tr w:rsidR="00E93F58" w:rsidRPr="006E709F" w14:paraId="6E573142" w14:textId="77777777" w:rsidTr="00CF67DD">
        <w:tc>
          <w:tcPr>
            <w:tcW w:w="1917" w:type="pct"/>
            <w:shd w:val="clear" w:color="auto" w:fill="auto"/>
          </w:tcPr>
          <w:p w14:paraId="44121975" w14:textId="77777777" w:rsidR="00E93F58" w:rsidRPr="006E709F" w:rsidRDefault="00E93F58" w:rsidP="00CF67DD">
            <w:pPr>
              <w:pStyle w:val="Tabletext"/>
              <w:rPr>
                <w:sz w:val="16"/>
                <w:szCs w:val="16"/>
              </w:rPr>
            </w:pPr>
            <w:r w:rsidRPr="006E709F">
              <w:rPr>
                <w:sz w:val="16"/>
                <w:szCs w:val="16"/>
              </w:rPr>
              <w:t>Futures</w:t>
            </w:r>
          </w:p>
        </w:tc>
        <w:tc>
          <w:tcPr>
            <w:tcW w:w="3083" w:type="pct"/>
            <w:gridSpan w:val="2"/>
            <w:shd w:val="clear" w:color="auto" w:fill="auto"/>
          </w:tcPr>
          <w:p w14:paraId="05677DF1" w14:textId="77777777" w:rsidR="00E93F58" w:rsidRPr="006E709F" w:rsidRDefault="00E93F58" w:rsidP="00CF67DD">
            <w:pPr>
              <w:pStyle w:val="Tabletext"/>
              <w:rPr>
                <w:i/>
                <w:sz w:val="16"/>
                <w:szCs w:val="16"/>
              </w:rPr>
            </w:pPr>
            <w:r w:rsidRPr="006E709F">
              <w:rPr>
                <w:i/>
                <w:sz w:val="16"/>
                <w:szCs w:val="16"/>
              </w:rPr>
              <w:t>Values and weighting for individual derivatives not disclosed. Only disclose total values and weighting for this kind of derivative.</w:t>
            </w:r>
          </w:p>
        </w:tc>
      </w:tr>
      <w:tr w:rsidR="00E93F58" w:rsidRPr="006E709F" w14:paraId="491E0DE2" w14:textId="77777777" w:rsidTr="00CF67DD">
        <w:tc>
          <w:tcPr>
            <w:tcW w:w="1917" w:type="pct"/>
            <w:shd w:val="clear" w:color="auto" w:fill="auto"/>
          </w:tcPr>
          <w:p w14:paraId="22099F59" w14:textId="77777777" w:rsidR="00E93F58" w:rsidRPr="006E709F" w:rsidRDefault="00E93F58" w:rsidP="00CF67DD">
            <w:pPr>
              <w:pStyle w:val="Tabletext"/>
              <w:rPr>
                <w:sz w:val="16"/>
                <w:szCs w:val="16"/>
              </w:rPr>
            </w:pPr>
            <w:r w:rsidRPr="006E709F">
              <w:rPr>
                <w:sz w:val="16"/>
                <w:szCs w:val="16"/>
              </w:rPr>
              <w:t>Options</w:t>
            </w:r>
          </w:p>
        </w:tc>
        <w:tc>
          <w:tcPr>
            <w:tcW w:w="3083" w:type="pct"/>
            <w:gridSpan w:val="2"/>
            <w:shd w:val="clear" w:color="auto" w:fill="auto"/>
          </w:tcPr>
          <w:p w14:paraId="6632E23C" w14:textId="77777777" w:rsidR="00E93F58" w:rsidRPr="006E709F" w:rsidRDefault="00E93F58" w:rsidP="00CF67DD">
            <w:pPr>
              <w:pStyle w:val="Tabletext"/>
              <w:rPr>
                <w:i/>
                <w:sz w:val="16"/>
                <w:szCs w:val="16"/>
              </w:rPr>
            </w:pPr>
            <w:r w:rsidRPr="006E709F">
              <w:rPr>
                <w:i/>
                <w:sz w:val="16"/>
                <w:szCs w:val="16"/>
              </w:rPr>
              <w:t>Values and weighting for individual derivatives not disclosed. Only disclose total values and weighting for this kind of derivative.</w:t>
            </w:r>
          </w:p>
        </w:tc>
      </w:tr>
      <w:tr w:rsidR="00E93F58" w:rsidRPr="006E709F" w14:paraId="6EBC53E2" w14:textId="77777777" w:rsidTr="00CF67DD">
        <w:tc>
          <w:tcPr>
            <w:tcW w:w="1917" w:type="pct"/>
            <w:tcBorders>
              <w:top w:val="single" w:sz="2" w:space="0" w:color="auto"/>
              <w:bottom w:val="single" w:sz="12" w:space="0" w:color="auto"/>
            </w:tcBorders>
            <w:shd w:val="clear" w:color="auto" w:fill="auto"/>
          </w:tcPr>
          <w:p w14:paraId="21077B22" w14:textId="77777777" w:rsidR="00E93F58" w:rsidRPr="006E709F" w:rsidRDefault="00E93F58" w:rsidP="00CF67DD">
            <w:pPr>
              <w:pStyle w:val="Tabletext"/>
              <w:rPr>
                <w:rFonts w:cs="Arial"/>
                <w:b/>
                <w:bCs/>
                <w:color w:val="000000"/>
                <w:sz w:val="16"/>
                <w:szCs w:val="16"/>
              </w:rPr>
            </w:pPr>
            <w:r w:rsidRPr="006E709F">
              <w:rPr>
                <w:rFonts w:cs="Arial"/>
                <w:b/>
                <w:bCs/>
                <w:color w:val="000000"/>
                <w:sz w:val="16"/>
                <w:szCs w:val="16"/>
              </w:rPr>
              <w:t>Total</w:t>
            </w:r>
          </w:p>
        </w:tc>
        <w:tc>
          <w:tcPr>
            <w:tcW w:w="1583" w:type="pct"/>
            <w:tcBorders>
              <w:top w:val="single" w:sz="2" w:space="0" w:color="auto"/>
              <w:bottom w:val="single" w:sz="12" w:space="0" w:color="auto"/>
            </w:tcBorders>
            <w:shd w:val="clear" w:color="auto" w:fill="auto"/>
          </w:tcPr>
          <w:p w14:paraId="370B8DA3" w14:textId="77777777" w:rsidR="00E93F58" w:rsidRPr="006E709F" w:rsidRDefault="00E93F58" w:rsidP="00CF67DD">
            <w:pPr>
              <w:pStyle w:val="Tabletext"/>
              <w:jc w:val="right"/>
              <w:rPr>
                <w:rFonts w:cs="Arial"/>
                <w:bCs/>
                <w:color w:val="000000"/>
                <w:sz w:val="16"/>
                <w:szCs w:val="16"/>
              </w:rPr>
            </w:pPr>
          </w:p>
        </w:tc>
        <w:tc>
          <w:tcPr>
            <w:tcW w:w="1500" w:type="pct"/>
            <w:tcBorders>
              <w:top w:val="single" w:sz="2" w:space="0" w:color="auto"/>
              <w:bottom w:val="single" w:sz="12" w:space="0" w:color="auto"/>
            </w:tcBorders>
            <w:shd w:val="clear" w:color="auto" w:fill="auto"/>
          </w:tcPr>
          <w:p w14:paraId="5145683A" w14:textId="77777777" w:rsidR="00E93F58" w:rsidRPr="006E709F" w:rsidRDefault="00E93F58" w:rsidP="00CF67DD">
            <w:pPr>
              <w:pStyle w:val="Tabletext"/>
              <w:jc w:val="right"/>
              <w:rPr>
                <w:rFonts w:cs="Arial"/>
                <w:bCs/>
                <w:color w:val="000000"/>
                <w:sz w:val="16"/>
                <w:szCs w:val="16"/>
              </w:rPr>
            </w:pPr>
          </w:p>
        </w:tc>
      </w:tr>
    </w:tbl>
    <w:p w14:paraId="49EAE4A3" w14:textId="77777777" w:rsidR="00E93F58" w:rsidRPr="006E709F" w:rsidRDefault="00E93F58" w:rsidP="00DC48A1">
      <w:pPr>
        <w:pStyle w:val="ActHead5"/>
      </w:pPr>
      <w:bookmarkStart w:id="3369" w:name="_Toc151992433"/>
      <w:bookmarkStart w:id="3370" w:name="_Toc158713470"/>
      <w:r w:rsidRPr="000C4237">
        <w:rPr>
          <w:rStyle w:val="CharSectno"/>
        </w:rPr>
        <w:t>3</w:t>
      </w:r>
      <w:r w:rsidRPr="006E709F">
        <w:t xml:space="preserve">  Table 3—Derivatives by asset class</w:t>
      </w:r>
      <w:bookmarkEnd w:id="3369"/>
      <w:bookmarkEnd w:id="3370"/>
    </w:p>
    <w:p w14:paraId="53520B78" w14:textId="77777777" w:rsidR="00E93F58" w:rsidRPr="006E709F" w:rsidRDefault="00E93F58" w:rsidP="00DC48A1">
      <w:pPr>
        <w:pStyle w:val="Tabletext"/>
      </w:pPr>
    </w:p>
    <w:tbl>
      <w:tblPr>
        <w:tblW w:w="0" w:type="auto"/>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539"/>
        <w:gridCol w:w="2410"/>
        <w:gridCol w:w="2551"/>
      </w:tblGrid>
      <w:tr w:rsidR="00E93F58" w:rsidRPr="006E709F" w14:paraId="3B81179C" w14:textId="77777777" w:rsidTr="00CF67DD">
        <w:trPr>
          <w:tblHeader/>
        </w:trPr>
        <w:tc>
          <w:tcPr>
            <w:tcW w:w="8500" w:type="dxa"/>
            <w:gridSpan w:val="3"/>
            <w:tcBorders>
              <w:top w:val="single" w:sz="12" w:space="0" w:color="auto"/>
              <w:left w:val="nil"/>
              <w:bottom w:val="single" w:sz="6" w:space="0" w:color="auto"/>
              <w:right w:val="nil"/>
            </w:tcBorders>
            <w:shd w:val="clear" w:color="auto" w:fill="auto"/>
          </w:tcPr>
          <w:p w14:paraId="0D8ED4A9" w14:textId="77777777" w:rsidR="00E93F58" w:rsidRPr="006E709F" w:rsidRDefault="00E93F58" w:rsidP="00CF67DD">
            <w:pPr>
              <w:pStyle w:val="TableHeading"/>
              <w:rPr>
                <w:sz w:val="16"/>
                <w:szCs w:val="16"/>
              </w:rPr>
            </w:pPr>
            <w:r w:rsidRPr="006E709F">
              <w:rPr>
                <w:sz w:val="16"/>
                <w:szCs w:val="16"/>
              </w:rPr>
              <w:t>Portfolio Holdings Information for Investment Option [A]—Derivatives by Asset Class</w:t>
            </w:r>
          </w:p>
        </w:tc>
      </w:tr>
      <w:tr w:rsidR="00E93F58" w:rsidRPr="006E709F" w14:paraId="3A3CEC7D" w14:textId="77777777" w:rsidTr="00CF67DD">
        <w:trPr>
          <w:tblHeader/>
        </w:trPr>
        <w:tc>
          <w:tcPr>
            <w:tcW w:w="3539" w:type="dxa"/>
            <w:tcBorders>
              <w:top w:val="single" w:sz="6" w:space="0" w:color="auto"/>
              <w:left w:val="nil"/>
              <w:bottom w:val="single" w:sz="12" w:space="0" w:color="auto"/>
              <w:right w:val="nil"/>
            </w:tcBorders>
            <w:shd w:val="clear" w:color="auto" w:fill="auto"/>
          </w:tcPr>
          <w:p w14:paraId="627388B2" w14:textId="77777777" w:rsidR="00E93F58" w:rsidRPr="006E709F" w:rsidRDefault="00E93F58" w:rsidP="00CF67DD">
            <w:pPr>
              <w:pStyle w:val="TableHeading"/>
              <w:rPr>
                <w:sz w:val="16"/>
                <w:szCs w:val="16"/>
              </w:rPr>
            </w:pPr>
            <w:r w:rsidRPr="006E709F">
              <w:rPr>
                <w:sz w:val="16"/>
                <w:szCs w:val="16"/>
              </w:rPr>
              <w:t>Asset class</w:t>
            </w:r>
          </w:p>
        </w:tc>
        <w:tc>
          <w:tcPr>
            <w:tcW w:w="2410" w:type="dxa"/>
            <w:tcBorders>
              <w:top w:val="single" w:sz="6" w:space="0" w:color="auto"/>
              <w:left w:val="nil"/>
              <w:bottom w:val="single" w:sz="12" w:space="0" w:color="auto"/>
              <w:right w:val="nil"/>
            </w:tcBorders>
            <w:shd w:val="clear" w:color="auto" w:fill="auto"/>
          </w:tcPr>
          <w:p w14:paraId="05500A61" w14:textId="77777777" w:rsidR="00E93F58" w:rsidRPr="006E709F" w:rsidRDefault="00E93F58" w:rsidP="00CF67DD">
            <w:pPr>
              <w:pStyle w:val="TableHeading"/>
              <w:rPr>
                <w:sz w:val="16"/>
                <w:szCs w:val="16"/>
              </w:rPr>
            </w:pPr>
            <w:r w:rsidRPr="006E709F">
              <w:rPr>
                <w:sz w:val="16"/>
                <w:szCs w:val="16"/>
              </w:rPr>
              <w:t>Actual asset allocation (% of total assets (including derivatives) in the investment option)</w:t>
            </w:r>
          </w:p>
        </w:tc>
        <w:tc>
          <w:tcPr>
            <w:tcW w:w="2551" w:type="dxa"/>
            <w:tcBorders>
              <w:top w:val="single" w:sz="6" w:space="0" w:color="auto"/>
              <w:left w:val="nil"/>
              <w:bottom w:val="single" w:sz="12" w:space="0" w:color="auto"/>
              <w:right w:val="nil"/>
            </w:tcBorders>
            <w:shd w:val="clear" w:color="auto" w:fill="auto"/>
          </w:tcPr>
          <w:p w14:paraId="6AAAEC6C" w14:textId="77777777" w:rsidR="00E93F58" w:rsidRPr="006E709F" w:rsidRDefault="00E93F58" w:rsidP="00CF67DD">
            <w:pPr>
              <w:pStyle w:val="TableHeading"/>
              <w:rPr>
                <w:sz w:val="16"/>
                <w:szCs w:val="16"/>
              </w:rPr>
            </w:pPr>
            <w:r w:rsidRPr="006E709F">
              <w:rPr>
                <w:sz w:val="16"/>
                <w:szCs w:val="16"/>
              </w:rPr>
              <w:t>Effect of derivatives exposure (% of total assets (including derivatives) in the investment option)</w:t>
            </w:r>
          </w:p>
        </w:tc>
      </w:tr>
      <w:tr w:rsidR="00E93F58" w:rsidRPr="006E709F" w14:paraId="31965C4D" w14:textId="77777777" w:rsidTr="00CF67DD">
        <w:tc>
          <w:tcPr>
            <w:tcW w:w="3539" w:type="dxa"/>
            <w:tcBorders>
              <w:top w:val="single" w:sz="2" w:space="0" w:color="auto"/>
              <w:left w:val="nil"/>
              <w:bottom w:val="single" w:sz="2" w:space="0" w:color="auto"/>
              <w:right w:val="nil"/>
            </w:tcBorders>
            <w:shd w:val="clear" w:color="auto" w:fill="auto"/>
          </w:tcPr>
          <w:p w14:paraId="4E49378C" w14:textId="77777777" w:rsidR="00E93F58" w:rsidRPr="006E709F" w:rsidRDefault="00E93F58" w:rsidP="00CF67DD">
            <w:pPr>
              <w:rPr>
                <w:sz w:val="16"/>
                <w:szCs w:val="16"/>
              </w:rPr>
            </w:pPr>
            <w:r w:rsidRPr="006E709F">
              <w:rPr>
                <w:sz w:val="16"/>
                <w:szCs w:val="16"/>
              </w:rPr>
              <w:t>Cash</w:t>
            </w:r>
          </w:p>
        </w:tc>
        <w:tc>
          <w:tcPr>
            <w:tcW w:w="2410" w:type="dxa"/>
            <w:tcBorders>
              <w:top w:val="single" w:sz="2" w:space="0" w:color="auto"/>
              <w:left w:val="nil"/>
              <w:bottom w:val="single" w:sz="2" w:space="0" w:color="auto"/>
              <w:right w:val="nil"/>
            </w:tcBorders>
            <w:shd w:val="clear" w:color="auto" w:fill="auto"/>
          </w:tcPr>
          <w:p w14:paraId="69E4E247" w14:textId="77777777" w:rsidR="00E93F58" w:rsidRPr="006E709F" w:rsidRDefault="00E93F58" w:rsidP="00CF67DD">
            <w:pPr>
              <w:pStyle w:val="Tabletext"/>
              <w:rPr>
                <w:sz w:val="16"/>
                <w:szCs w:val="16"/>
              </w:rPr>
            </w:pPr>
          </w:p>
        </w:tc>
        <w:tc>
          <w:tcPr>
            <w:tcW w:w="2551" w:type="dxa"/>
            <w:tcBorders>
              <w:top w:val="single" w:sz="2" w:space="0" w:color="auto"/>
              <w:left w:val="nil"/>
              <w:bottom w:val="single" w:sz="2" w:space="0" w:color="auto"/>
              <w:right w:val="nil"/>
            </w:tcBorders>
            <w:shd w:val="clear" w:color="auto" w:fill="auto"/>
          </w:tcPr>
          <w:p w14:paraId="0CC9B7A1" w14:textId="77777777" w:rsidR="00E93F58" w:rsidRPr="006E709F" w:rsidRDefault="00E93F58" w:rsidP="00CF67DD">
            <w:pPr>
              <w:pStyle w:val="Tabletext"/>
              <w:rPr>
                <w:sz w:val="16"/>
                <w:szCs w:val="16"/>
              </w:rPr>
            </w:pPr>
          </w:p>
        </w:tc>
      </w:tr>
      <w:tr w:rsidR="00E93F58" w:rsidRPr="006E709F" w14:paraId="3408C6E7" w14:textId="77777777" w:rsidTr="00CF67DD">
        <w:trPr>
          <w:trHeight w:val="61"/>
        </w:trPr>
        <w:tc>
          <w:tcPr>
            <w:tcW w:w="3539" w:type="dxa"/>
            <w:tcBorders>
              <w:top w:val="single" w:sz="2" w:space="0" w:color="auto"/>
              <w:left w:val="nil"/>
              <w:bottom w:val="single" w:sz="2" w:space="0" w:color="auto"/>
              <w:right w:val="nil"/>
            </w:tcBorders>
            <w:shd w:val="clear" w:color="auto" w:fill="auto"/>
          </w:tcPr>
          <w:p w14:paraId="705FD461" w14:textId="77777777" w:rsidR="00E93F58" w:rsidRPr="006E709F" w:rsidRDefault="00E93F58" w:rsidP="00CF67DD">
            <w:pPr>
              <w:rPr>
                <w:sz w:val="16"/>
                <w:szCs w:val="16"/>
              </w:rPr>
            </w:pPr>
            <w:r w:rsidRPr="006E709F">
              <w:rPr>
                <w:sz w:val="16"/>
                <w:szCs w:val="16"/>
              </w:rPr>
              <w:t>Fixed Income</w:t>
            </w:r>
          </w:p>
        </w:tc>
        <w:tc>
          <w:tcPr>
            <w:tcW w:w="2410" w:type="dxa"/>
            <w:tcBorders>
              <w:top w:val="single" w:sz="2" w:space="0" w:color="auto"/>
              <w:left w:val="nil"/>
              <w:bottom w:val="single" w:sz="2" w:space="0" w:color="auto"/>
              <w:right w:val="nil"/>
            </w:tcBorders>
            <w:shd w:val="clear" w:color="auto" w:fill="auto"/>
          </w:tcPr>
          <w:p w14:paraId="27638859" w14:textId="77777777" w:rsidR="00E93F58" w:rsidRPr="006E709F" w:rsidRDefault="00E93F58" w:rsidP="00CF67DD">
            <w:pPr>
              <w:pStyle w:val="Tabletext"/>
              <w:rPr>
                <w:sz w:val="16"/>
                <w:szCs w:val="16"/>
              </w:rPr>
            </w:pPr>
          </w:p>
        </w:tc>
        <w:tc>
          <w:tcPr>
            <w:tcW w:w="2551" w:type="dxa"/>
            <w:tcBorders>
              <w:top w:val="single" w:sz="2" w:space="0" w:color="auto"/>
              <w:left w:val="nil"/>
              <w:bottom w:val="single" w:sz="2" w:space="0" w:color="auto"/>
              <w:right w:val="nil"/>
            </w:tcBorders>
            <w:shd w:val="clear" w:color="auto" w:fill="auto"/>
          </w:tcPr>
          <w:p w14:paraId="30728298" w14:textId="77777777" w:rsidR="00E93F58" w:rsidRPr="006E709F" w:rsidRDefault="00E93F58" w:rsidP="00CF67DD">
            <w:pPr>
              <w:pStyle w:val="Tabletext"/>
              <w:rPr>
                <w:sz w:val="16"/>
                <w:szCs w:val="16"/>
              </w:rPr>
            </w:pPr>
          </w:p>
        </w:tc>
      </w:tr>
      <w:tr w:rsidR="00E93F58" w:rsidRPr="006E709F" w14:paraId="060FE0B0" w14:textId="77777777" w:rsidTr="00CF67DD">
        <w:tc>
          <w:tcPr>
            <w:tcW w:w="3539" w:type="dxa"/>
            <w:tcBorders>
              <w:top w:val="single" w:sz="2" w:space="0" w:color="auto"/>
              <w:left w:val="nil"/>
              <w:bottom w:val="single" w:sz="2" w:space="0" w:color="auto"/>
              <w:right w:val="nil"/>
            </w:tcBorders>
            <w:shd w:val="clear" w:color="auto" w:fill="auto"/>
          </w:tcPr>
          <w:p w14:paraId="4FC362E9" w14:textId="77777777" w:rsidR="00E93F58" w:rsidRPr="006E709F" w:rsidRDefault="00E93F58" w:rsidP="00CF67DD">
            <w:pPr>
              <w:rPr>
                <w:sz w:val="16"/>
                <w:szCs w:val="16"/>
              </w:rPr>
            </w:pPr>
            <w:r w:rsidRPr="006E709F">
              <w:rPr>
                <w:sz w:val="16"/>
                <w:szCs w:val="16"/>
              </w:rPr>
              <w:t>Equities</w:t>
            </w:r>
          </w:p>
        </w:tc>
        <w:tc>
          <w:tcPr>
            <w:tcW w:w="2410" w:type="dxa"/>
            <w:tcBorders>
              <w:top w:val="single" w:sz="2" w:space="0" w:color="auto"/>
              <w:left w:val="nil"/>
              <w:bottom w:val="single" w:sz="2" w:space="0" w:color="auto"/>
              <w:right w:val="nil"/>
            </w:tcBorders>
            <w:shd w:val="clear" w:color="auto" w:fill="auto"/>
          </w:tcPr>
          <w:p w14:paraId="15B65A11" w14:textId="77777777" w:rsidR="00E93F58" w:rsidRPr="006E709F" w:rsidRDefault="00E93F58" w:rsidP="00CF67DD">
            <w:pPr>
              <w:pStyle w:val="Tabletext"/>
              <w:rPr>
                <w:sz w:val="16"/>
                <w:szCs w:val="16"/>
              </w:rPr>
            </w:pPr>
          </w:p>
        </w:tc>
        <w:tc>
          <w:tcPr>
            <w:tcW w:w="2551" w:type="dxa"/>
            <w:tcBorders>
              <w:top w:val="single" w:sz="2" w:space="0" w:color="auto"/>
              <w:left w:val="nil"/>
              <w:bottom w:val="single" w:sz="2" w:space="0" w:color="auto"/>
              <w:right w:val="nil"/>
            </w:tcBorders>
            <w:shd w:val="clear" w:color="auto" w:fill="auto"/>
          </w:tcPr>
          <w:p w14:paraId="0FA9F45A" w14:textId="77777777" w:rsidR="00E93F58" w:rsidRPr="006E709F" w:rsidRDefault="00E93F58" w:rsidP="00CF67DD">
            <w:pPr>
              <w:pStyle w:val="Tabletext"/>
              <w:rPr>
                <w:sz w:val="16"/>
                <w:szCs w:val="16"/>
              </w:rPr>
            </w:pPr>
          </w:p>
        </w:tc>
      </w:tr>
      <w:tr w:rsidR="00E93F58" w:rsidRPr="006E709F" w14:paraId="000AB93F" w14:textId="77777777" w:rsidTr="00CF67DD">
        <w:tc>
          <w:tcPr>
            <w:tcW w:w="3539" w:type="dxa"/>
            <w:tcBorders>
              <w:top w:val="single" w:sz="2" w:space="0" w:color="auto"/>
              <w:left w:val="nil"/>
              <w:bottom w:val="single" w:sz="2" w:space="0" w:color="auto"/>
              <w:right w:val="nil"/>
            </w:tcBorders>
            <w:shd w:val="clear" w:color="auto" w:fill="auto"/>
          </w:tcPr>
          <w:p w14:paraId="2A2B780F" w14:textId="77777777" w:rsidR="00E93F58" w:rsidRPr="006E709F" w:rsidRDefault="00E93F58" w:rsidP="00CF67DD">
            <w:pPr>
              <w:rPr>
                <w:sz w:val="16"/>
                <w:szCs w:val="16"/>
              </w:rPr>
            </w:pPr>
            <w:r w:rsidRPr="006E709F">
              <w:rPr>
                <w:sz w:val="16"/>
                <w:szCs w:val="16"/>
              </w:rPr>
              <w:t>Property</w:t>
            </w:r>
          </w:p>
        </w:tc>
        <w:tc>
          <w:tcPr>
            <w:tcW w:w="2410" w:type="dxa"/>
            <w:tcBorders>
              <w:top w:val="single" w:sz="2" w:space="0" w:color="auto"/>
              <w:left w:val="nil"/>
              <w:bottom w:val="single" w:sz="2" w:space="0" w:color="auto"/>
              <w:right w:val="nil"/>
            </w:tcBorders>
            <w:shd w:val="clear" w:color="auto" w:fill="auto"/>
          </w:tcPr>
          <w:p w14:paraId="60A9B329" w14:textId="77777777" w:rsidR="00E93F58" w:rsidRPr="006E709F" w:rsidRDefault="00E93F58" w:rsidP="00CF67DD">
            <w:pPr>
              <w:pStyle w:val="Tabletext"/>
              <w:rPr>
                <w:sz w:val="16"/>
                <w:szCs w:val="16"/>
              </w:rPr>
            </w:pPr>
          </w:p>
        </w:tc>
        <w:tc>
          <w:tcPr>
            <w:tcW w:w="2551" w:type="dxa"/>
            <w:tcBorders>
              <w:top w:val="single" w:sz="2" w:space="0" w:color="auto"/>
              <w:left w:val="nil"/>
              <w:bottom w:val="single" w:sz="2" w:space="0" w:color="auto"/>
              <w:right w:val="nil"/>
            </w:tcBorders>
            <w:shd w:val="clear" w:color="auto" w:fill="auto"/>
          </w:tcPr>
          <w:p w14:paraId="694B1252" w14:textId="77777777" w:rsidR="00E93F58" w:rsidRPr="006E709F" w:rsidRDefault="00E93F58" w:rsidP="00CF67DD">
            <w:pPr>
              <w:pStyle w:val="Tabletext"/>
              <w:rPr>
                <w:sz w:val="16"/>
                <w:szCs w:val="16"/>
              </w:rPr>
            </w:pPr>
          </w:p>
        </w:tc>
      </w:tr>
      <w:tr w:rsidR="00E93F58" w:rsidRPr="006E709F" w14:paraId="16F564CD" w14:textId="77777777" w:rsidTr="00CF67DD">
        <w:tc>
          <w:tcPr>
            <w:tcW w:w="3539" w:type="dxa"/>
            <w:tcBorders>
              <w:top w:val="single" w:sz="2" w:space="0" w:color="auto"/>
              <w:left w:val="nil"/>
              <w:bottom w:val="single" w:sz="2" w:space="0" w:color="auto"/>
              <w:right w:val="nil"/>
            </w:tcBorders>
            <w:shd w:val="clear" w:color="auto" w:fill="auto"/>
          </w:tcPr>
          <w:p w14:paraId="3671571E" w14:textId="77777777" w:rsidR="00E93F58" w:rsidRPr="006E709F" w:rsidRDefault="00E93F58" w:rsidP="00CF67DD">
            <w:pPr>
              <w:rPr>
                <w:sz w:val="16"/>
                <w:szCs w:val="16"/>
              </w:rPr>
            </w:pPr>
            <w:r w:rsidRPr="006E709F">
              <w:rPr>
                <w:sz w:val="16"/>
                <w:szCs w:val="16"/>
              </w:rPr>
              <w:t>Infrastructure</w:t>
            </w:r>
          </w:p>
        </w:tc>
        <w:tc>
          <w:tcPr>
            <w:tcW w:w="2410" w:type="dxa"/>
            <w:tcBorders>
              <w:top w:val="single" w:sz="2" w:space="0" w:color="auto"/>
              <w:left w:val="nil"/>
              <w:bottom w:val="single" w:sz="2" w:space="0" w:color="auto"/>
              <w:right w:val="nil"/>
            </w:tcBorders>
            <w:shd w:val="clear" w:color="auto" w:fill="auto"/>
          </w:tcPr>
          <w:p w14:paraId="3527DA57" w14:textId="77777777" w:rsidR="00E93F58" w:rsidRPr="006E709F" w:rsidRDefault="00E93F58" w:rsidP="00CF67DD">
            <w:pPr>
              <w:pStyle w:val="Tabletext"/>
              <w:rPr>
                <w:sz w:val="16"/>
                <w:szCs w:val="16"/>
              </w:rPr>
            </w:pPr>
          </w:p>
        </w:tc>
        <w:tc>
          <w:tcPr>
            <w:tcW w:w="2551" w:type="dxa"/>
            <w:tcBorders>
              <w:top w:val="single" w:sz="2" w:space="0" w:color="auto"/>
              <w:left w:val="nil"/>
              <w:bottom w:val="single" w:sz="2" w:space="0" w:color="auto"/>
              <w:right w:val="nil"/>
            </w:tcBorders>
            <w:shd w:val="clear" w:color="auto" w:fill="auto"/>
          </w:tcPr>
          <w:p w14:paraId="54F004CF" w14:textId="77777777" w:rsidR="00E93F58" w:rsidRPr="006E709F" w:rsidRDefault="00E93F58" w:rsidP="00CF67DD">
            <w:pPr>
              <w:pStyle w:val="Tabletext"/>
              <w:rPr>
                <w:sz w:val="16"/>
                <w:szCs w:val="16"/>
              </w:rPr>
            </w:pPr>
          </w:p>
        </w:tc>
      </w:tr>
      <w:tr w:rsidR="00E93F58" w:rsidRPr="006E709F" w14:paraId="0C2D8251" w14:textId="77777777" w:rsidTr="00CF67DD">
        <w:tc>
          <w:tcPr>
            <w:tcW w:w="3539" w:type="dxa"/>
            <w:tcBorders>
              <w:top w:val="single" w:sz="2" w:space="0" w:color="auto"/>
              <w:left w:val="nil"/>
              <w:bottom w:val="single" w:sz="2" w:space="0" w:color="auto"/>
              <w:right w:val="nil"/>
            </w:tcBorders>
            <w:shd w:val="clear" w:color="auto" w:fill="auto"/>
          </w:tcPr>
          <w:p w14:paraId="5F28B9A7" w14:textId="77777777" w:rsidR="00E93F58" w:rsidRPr="006E709F" w:rsidRDefault="00E93F58" w:rsidP="00CF67DD">
            <w:pPr>
              <w:rPr>
                <w:sz w:val="16"/>
                <w:szCs w:val="16"/>
              </w:rPr>
            </w:pPr>
            <w:r w:rsidRPr="006E709F">
              <w:rPr>
                <w:sz w:val="16"/>
                <w:szCs w:val="16"/>
              </w:rPr>
              <w:t>Alternatives</w:t>
            </w:r>
          </w:p>
        </w:tc>
        <w:tc>
          <w:tcPr>
            <w:tcW w:w="2410" w:type="dxa"/>
            <w:tcBorders>
              <w:top w:val="single" w:sz="2" w:space="0" w:color="auto"/>
              <w:left w:val="nil"/>
              <w:bottom w:val="single" w:sz="2" w:space="0" w:color="auto"/>
              <w:right w:val="nil"/>
            </w:tcBorders>
            <w:shd w:val="clear" w:color="auto" w:fill="auto"/>
          </w:tcPr>
          <w:p w14:paraId="386729D0" w14:textId="77777777" w:rsidR="00E93F58" w:rsidRPr="006E709F" w:rsidRDefault="00E93F58" w:rsidP="00CF67DD">
            <w:pPr>
              <w:pStyle w:val="Tabletext"/>
              <w:rPr>
                <w:sz w:val="16"/>
                <w:szCs w:val="16"/>
              </w:rPr>
            </w:pPr>
          </w:p>
        </w:tc>
        <w:tc>
          <w:tcPr>
            <w:tcW w:w="2551" w:type="dxa"/>
            <w:tcBorders>
              <w:top w:val="single" w:sz="2" w:space="0" w:color="auto"/>
              <w:left w:val="nil"/>
              <w:bottom w:val="single" w:sz="2" w:space="0" w:color="auto"/>
              <w:right w:val="nil"/>
            </w:tcBorders>
            <w:shd w:val="clear" w:color="auto" w:fill="auto"/>
          </w:tcPr>
          <w:p w14:paraId="68BBEAD9" w14:textId="77777777" w:rsidR="00E93F58" w:rsidRPr="006E709F" w:rsidRDefault="00E93F58" w:rsidP="00CF67DD">
            <w:pPr>
              <w:pStyle w:val="Tabletext"/>
              <w:rPr>
                <w:sz w:val="16"/>
                <w:szCs w:val="16"/>
              </w:rPr>
            </w:pPr>
          </w:p>
        </w:tc>
      </w:tr>
      <w:tr w:rsidR="00E93F58" w:rsidRPr="006E709F" w14:paraId="7EDF2BCC" w14:textId="77777777" w:rsidTr="00CF67DD">
        <w:tc>
          <w:tcPr>
            <w:tcW w:w="3539" w:type="dxa"/>
            <w:tcBorders>
              <w:top w:val="single" w:sz="2" w:space="0" w:color="auto"/>
              <w:left w:val="nil"/>
              <w:bottom w:val="single" w:sz="12" w:space="0" w:color="auto"/>
              <w:right w:val="nil"/>
            </w:tcBorders>
            <w:shd w:val="clear" w:color="auto" w:fill="auto"/>
          </w:tcPr>
          <w:p w14:paraId="48ED1E17" w14:textId="77777777" w:rsidR="00E93F58" w:rsidRPr="006E709F" w:rsidRDefault="00E93F58" w:rsidP="00CF67DD">
            <w:pPr>
              <w:pStyle w:val="TableHeading"/>
              <w:rPr>
                <w:sz w:val="16"/>
                <w:szCs w:val="16"/>
              </w:rPr>
            </w:pPr>
            <w:r w:rsidRPr="006E709F">
              <w:rPr>
                <w:sz w:val="16"/>
                <w:szCs w:val="16"/>
              </w:rPr>
              <w:t>Total</w:t>
            </w:r>
          </w:p>
        </w:tc>
        <w:tc>
          <w:tcPr>
            <w:tcW w:w="2410" w:type="dxa"/>
            <w:tcBorders>
              <w:top w:val="single" w:sz="2" w:space="0" w:color="auto"/>
              <w:left w:val="nil"/>
              <w:bottom w:val="single" w:sz="12" w:space="0" w:color="auto"/>
              <w:right w:val="nil"/>
            </w:tcBorders>
            <w:shd w:val="clear" w:color="auto" w:fill="auto"/>
          </w:tcPr>
          <w:p w14:paraId="4BA828D4" w14:textId="77777777" w:rsidR="00E93F58" w:rsidRPr="006E709F" w:rsidRDefault="00E93F58" w:rsidP="00CF67DD">
            <w:pPr>
              <w:pStyle w:val="Tabletext"/>
              <w:rPr>
                <w:sz w:val="16"/>
                <w:szCs w:val="16"/>
              </w:rPr>
            </w:pPr>
          </w:p>
        </w:tc>
        <w:tc>
          <w:tcPr>
            <w:tcW w:w="2551" w:type="dxa"/>
            <w:tcBorders>
              <w:top w:val="single" w:sz="2" w:space="0" w:color="auto"/>
              <w:left w:val="nil"/>
              <w:bottom w:val="single" w:sz="12" w:space="0" w:color="auto"/>
              <w:right w:val="nil"/>
            </w:tcBorders>
            <w:shd w:val="clear" w:color="auto" w:fill="auto"/>
          </w:tcPr>
          <w:p w14:paraId="0D332A01" w14:textId="77777777" w:rsidR="00E93F58" w:rsidRPr="006E709F" w:rsidRDefault="00E93F58" w:rsidP="00CF67DD">
            <w:pPr>
              <w:pStyle w:val="Tabletext"/>
              <w:rPr>
                <w:sz w:val="16"/>
                <w:szCs w:val="16"/>
              </w:rPr>
            </w:pPr>
          </w:p>
        </w:tc>
      </w:tr>
    </w:tbl>
    <w:p w14:paraId="52A01D3B" w14:textId="77777777" w:rsidR="00E93F58" w:rsidRPr="006E709F" w:rsidRDefault="00E93F58" w:rsidP="00DC48A1">
      <w:pPr>
        <w:pStyle w:val="ActHead5"/>
      </w:pPr>
      <w:bookmarkStart w:id="3371" w:name="_Toc151992434"/>
      <w:bookmarkStart w:id="3372" w:name="_Toc158713471"/>
      <w:r w:rsidRPr="000C4237">
        <w:rPr>
          <w:rStyle w:val="CharSectno"/>
        </w:rPr>
        <w:t>4</w:t>
      </w:r>
      <w:r w:rsidRPr="006E709F">
        <w:t xml:space="preserve">  Table 4—Derivatives by currency</w:t>
      </w:r>
      <w:bookmarkEnd w:id="3371"/>
      <w:bookmarkEnd w:id="3372"/>
    </w:p>
    <w:p w14:paraId="638E3E77" w14:textId="77777777" w:rsidR="00E93F58" w:rsidRPr="006E709F" w:rsidRDefault="00E93F58" w:rsidP="00DC48A1">
      <w:pPr>
        <w:pStyle w:val="Tabletext"/>
      </w:pPr>
    </w:p>
    <w:tbl>
      <w:tblPr>
        <w:tblW w:w="0" w:type="auto"/>
        <w:tblInd w:w="113" w:type="dxa"/>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3539"/>
        <w:gridCol w:w="2410"/>
        <w:gridCol w:w="2551"/>
      </w:tblGrid>
      <w:tr w:rsidR="00E93F58" w:rsidRPr="006E709F" w14:paraId="792725B5" w14:textId="77777777" w:rsidTr="00CF67DD">
        <w:trPr>
          <w:tblHeader/>
        </w:trPr>
        <w:tc>
          <w:tcPr>
            <w:tcW w:w="8500" w:type="dxa"/>
            <w:gridSpan w:val="3"/>
            <w:tcBorders>
              <w:top w:val="single" w:sz="12" w:space="0" w:color="auto"/>
              <w:bottom w:val="single" w:sz="12" w:space="0" w:color="auto"/>
            </w:tcBorders>
            <w:shd w:val="clear" w:color="auto" w:fill="auto"/>
          </w:tcPr>
          <w:p w14:paraId="62FF59DC" w14:textId="77777777" w:rsidR="00E93F58" w:rsidRPr="006E709F" w:rsidRDefault="00E93F58" w:rsidP="00CF67DD">
            <w:pPr>
              <w:pStyle w:val="TableHeading"/>
              <w:rPr>
                <w:sz w:val="16"/>
              </w:rPr>
            </w:pPr>
            <w:r w:rsidRPr="006E709F">
              <w:rPr>
                <w:sz w:val="16"/>
              </w:rPr>
              <w:t>Portfolio Holdings Information for Investment Option [A]—Derivatives by Currency</w:t>
            </w:r>
          </w:p>
        </w:tc>
      </w:tr>
      <w:tr w:rsidR="00E93F58" w:rsidRPr="006E709F" w14:paraId="6EFA8199" w14:textId="77777777" w:rsidTr="00CF67DD">
        <w:trPr>
          <w:tblHeader/>
        </w:trPr>
        <w:tc>
          <w:tcPr>
            <w:tcW w:w="3539" w:type="dxa"/>
            <w:tcBorders>
              <w:top w:val="single" w:sz="12" w:space="0" w:color="auto"/>
              <w:bottom w:val="single" w:sz="12" w:space="0" w:color="auto"/>
            </w:tcBorders>
            <w:shd w:val="clear" w:color="auto" w:fill="auto"/>
          </w:tcPr>
          <w:p w14:paraId="6DDE9A52" w14:textId="77777777" w:rsidR="00E93F58" w:rsidRPr="006E709F" w:rsidRDefault="00E93F58" w:rsidP="00CF67DD">
            <w:pPr>
              <w:rPr>
                <w:b/>
                <w:bCs/>
                <w:sz w:val="16"/>
              </w:rPr>
            </w:pPr>
            <w:r w:rsidRPr="006E709F">
              <w:rPr>
                <w:b/>
                <w:bCs/>
                <w:sz w:val="16"/>
              </w:rPr>
              <w:t>Currency exposure</w:t>
            </w:r>
          </w:p>
        </w:tc>
        <w:tc>
          <w:tcPr>
            <w:tcW w:w="2410" w:type="dxa"/>
            <w:tcBorders>
              <w:top w:val="single" w:sz="12" w:space="0" w:color="auto"/>
              <w:bottom w:val="single" w:sz="12" w:space="0" w:color="auto"/>
            </w:tcBorders>
            <w:shd w:val="clear" w:color="auto" w:fill="auto"/>
          </w:tcPr>
          <w:p w14:paraId="0FD32883" w14:textId="77777777" w:rsidR="00E93F58" w:rsidRPr="006E709F" w:rsidRDefault="00E93F58" w:rsidP="00CF67DD">
            <w:pPr>
              <w:pStyle w:val="TableHeading"/>
              <w:rPr>
                <w:sz w:val="16"/>
              </w:rPr>
            </w:pPr>
            <w:r w:rsidRPr="006E709F">
              <w:rPr>
                <w:sz w:val="16"/>
              </w:rPr>
              <w:t>Actual currency exposure (% of assets and derivatives under management)</w:t>
            </w:r>
          </w:p>
        </w:tc>
        <w:tc>
          <w:tcPr>
            <w:tcW w:w="2551" w:type="dxa"/>
            <w:tcBorders>
              <w:top w:val="single" w:sz="12" w:space="0" w:color="auto"/>
              <w:bottom w:val="single" w:sz="12" w:space="0" w:color="auto"/>
            </w:tcBorders>
            <w:shd w:val="clear" w:color="auto" w:fill="auto"/>
          </w:tcPr>
          <w:p w14:paraId="32C5F2A5" w14:textId="77777777" w:rsidR="00E93F58" w:rsidRPr="006E709F" w:rsidRDefault="00E93F58" w:rsidP="00CF67DD">
            <w:pPr>
              <w:pStyle w:val="TableHeading"/>
              <w:rPr>
                <w:sz w:val="16"/>
              </w:rPr>
            </w:pPr>
            <w:r w:rsidRPr="006E709F">
              <w:rPr>
                <w:sz w:val="16"/>
              </w:rPr>
              <w:t>Effect of derivatives exposure (% of assets and derivatives under management)</w:t>
            </w:r>
          </w:p>
        </w:tc>
      </w:tr>
      <w:tr w:rsidR="00E93F58" w:rsidRPr="006E709F" w14:paraId="20C1C8B1" w14:textId="77777777" w:rsidTr="00CF67DD">
        <w:tc>
          <w:tcPr>
            <w:tcW w:w="3539" w:type="dxa"/>
            <w:tcBorders>
              <w:top w:val="single" w:sz="12" w:space="0" w:color="auto"/>
            </w:tcBorders>
            <w:shd w:val="clear" w:color="auto" w:fill="auto"/>
          </w:tcPr>
          <w:p w14:paraId="1B4ACCBC" w14:textId="77777777" w:rsidR="00E93F58" w:rsidRPr="006E709F" w:rsidRDefault="00E93F58" w:rsidP="00CF67DD">
            <w:pPr>
              <w:rPr>
                <w:sz w:val="16"/>
              </w:rPr>
            </w:pPr>
            <w:r w:rsidRPr="006E709F">
              <w:rPr>
                <w:sz w:val="16"/>
              </w:rPr>
              <w:t>AUD</w:t>
            </w:r>
          </w:p>
        </w:tc>
        <w:tc>
          <w:tcPr>
            <w:tcW w:w="2410" w:type="dxa"/>
            <w:tcBorders>
              <w:top w:val="single" w:sz="12" w:space="0" w:color="auto"/>
            </w:tcBorders>
            <w:shd w:val="clear" w:color="auto" w:fill="auto"/>
          </w:tcPr>
          <w:p w14:paraId="1F9D0F68" w14:textId="77777777" w:rsidR="00E93F58" w:rsidRPr="006E709F" w:rsidRDefault="00E93F58" w:rsidP="00CF67DD">
            <w:pPr>
              <w:pStyle w:val="Tabletext"/>
              <w:rPr>
                <w:sz w:val="16"/>
              </w:rPr>
            </w:pPr>
          </w:p>
        </w:tc>
        <w:tc>
          <w:tcPr>
            <w:tcW w:w="2551" w:type="dxa"/>
            <w:tcBorders>
              <w:top w:val="single" w:sz="12" w:space="0" w:color="auto"/>
            </w:tcBorders>
            <w:shd w:val="clear" w:color="auto" w:fill="auto"/>
          </w:tcPr>
          <w:p w14:paraId="6764CAB7" w14:textId="77777777" w:rsidR="00E93F58" w:rsidRPr="006E709F" w:rsidRDefault="00E93F58" w:rsidP="00CF67DD">
            <w:pPr>
              <w:pStyle w:val="Tabletext"/>
              <w:rPr>
                <w:sz w:val="16"/>
              </w:rPr>
            </w:pPr>
          </w:p>
        </w:tc>
      </w:tr>
      <w:tr w:rsidR="00E93F58" w:rsidRPr="006E709F" w14:paraId="5BD3270C" w14:textId="77777777" w:rsidTr="00CF67DD">
        <w:tc>
          <w:tcPr>
            <w:tcW w:w="3539" w:type="dxa"/>
            <w:shd w:val="clear" w:color="auto" w:fill="auto"/>
          </w:tcPr>
          <w:p w14:paraId="453CEB98" w14:textId="77777777" w:rsidR="00E93F58" w:rsidRPr="006E709F" w:rsidRDefault="00E93F58" w:rsidP="00CF67DD">
            <w:pPr>
              <w:rPr>
                <w:sz w:val="16"/>
              </w:rPr>
            </w:pPr>
            <w:r w:rsidRPr="006E709F">
              <w:rPr>
                <w:sz w:val="16"/>
              </w:rPr>
              <w:t>USD</w:t>
            </w:r>
          </w:p>
        </w:tc>
        <w:tc>
          <w:tcPr>
            <w:tcW w:w="2410" w:type="dxa"/>
            <w:shd w:val="clear" w:color="auto" w:fill="auto"/>
          </w:tcPr>
          <w:p w14:paraId="4D26F006" w14:textId="77777777" w:rsidR="00E93F58" w:rsidRPr="006E709F" w:rsidRDefault="00E93F58" w:rsidP="00CF67DD">
            <w:pPr>
              <w:pStyle w:val="Tabletext"/>
              <w:rPr>
                <w:sz w:val="16"/>
              </w:rPr>
            </w:pPr>
          </w:p>
        </w:tc>
        <w:tc>
          <w:tcPr>
            <w:tcW w:w="2551" w:type="dxa"/>
            <w:shd w:val="clear" w:color="auto" w:fill="auto"/>
          </w:tcPr>
          <w:p w14:paraId="69D2ECCB" w14:textId="77777777" w:rsidR="00E93F58" w:rsidRPr="006E709F" w:rsidRDefault="00E93F58" w:rsidP="00CF67DD">
            <w:pPr>
              <w:pStyle w:val="Tabletext"/>
              <w:rPr>
                <w:sz w:val="16"/>
              </w:rPr>
            </w:pPr>
          </w:p>
        </w:tc>
      </w:tr>
      <w:tr w:rsidR="00E93F58" w:rsidRPr="006E709F" w14:paraId="7D2098A7" w14:textId="77777777" w:rsidTr="00CF67DD">
        <w:tc>
          <w:tcPr>
            <w:tcW w:w="3539" w:type="dxa"/>
            <w:tcBorders>
              <w:bottom w:val="single" w:sz="2" w:space="0" w:color="auto"/>
            </w:tcBorders>
            <w:shd w:val="clear" w:color="auto" w:fill="auto"/>
          </w:tcPr>
          <w:p w14:paraId="4E8DE880" w14:textId="77777777" w:rsidR="00E93F58" w:rsidRPr="006E709F" w:rsidRDefault="00E93F58" w:rsidP="00CF67DD">
            <w:pPr>
              <w:rPr>
                <w:sz w:val="16"/>
              </w:rPr>
            </w:pPr>
            <w:r w:rsidRPr="006E709F">
              <w:rPr>
                <w:sz w:val="16"/>
              </w:rPr>
              <w:t>Currencies of other developed markets</w:t>
            </w:r>
          </w:p>
        </w:tc>
        <w:tc>
          <w:tcPr>
            <w:tcW w:w="2410" w:type="dxa"/>
            <w:tcBorders>
              <w:bottom w:val="single" w:sz="2" w:space="0" w:color="auto"/>
            </w:tcBorders>
            <w:shd w:val="clear" w:color="auto" w:fill="auto"/>
          </w:tcPr>
          <w:p w14:paraId="351D5AFB" w14:textId="77777777" w:rsidR="00E93F58" w:rsidRPr="006E709F" w:rsidRDefault="00E93F58" w:rsidP="00CF67DD">
            <w:pPr>
              <w:pStyle w:val="Tabletext"/>
              <w:rPr>
                <w:sz w:val="16"/>
              </w:rPr>
            </w:pPr>
          </w:p>
        </w:tc>
        <w:tc>
          <w:tcPr>
            <w:tcW w:w="2551" w:type="dxa"/>
            <w:tcBorders>
              <w:bottom w:val="single" w:sz="2" w:space="0" w:color="auto"/>
            </w:tcBorders>
            <w:shd w:val="clear" w:color="auto" w:fill="auto"/>
          </w:tcPr>
          <w:p w14:paraId="423818EA" w14:textId="77777777" w:rsidR="00E93F58" w:rsidRPr="006E709F" w:rsidRDefault="00E93F58" w:rsidP="00CF67DD">
            <w:pPr>
              <w:pStyle w:val="Tabletext"/>
              <w:rPr>
                <w:sz w:val="16"/>
              </w:rPr>
            </w:pPr>
          </w:p>
        </w:tc>
      </w:tr>
      <w:tr w:rsidR="00E93F58" w:rsidRPr="006E709F" w14:paraId="6038FA74" w14:textId="77777777" w:rsidTr="00CF67DD">
        <w:tc>
          <w:tcPr>
            <w:tcW w:w="3539" w:type="dxa"/>
            <w:tcBorders>
              <w:bottom w:val="single" w:sz="12" w:space="0" w:color="auto"/>
            </w:tcBorders>
            <w:shd w:val="clear" w:color="auto" w:fill="auto"/>
          </w:tcPr>
          <w:p w14:paraId="668D4217" w14:textId="77777777" w:rsidR="00E93F58" w:rsidRPr="006E709F" w:rsidRDefault="00E93F58" w:rsidP="00CF67DD">
            <w:pPr>
              <w:rPr>
                <w:sz w:val="16"/>
              </w:rPr>
            </w:pPr>
            <w:r w:rsidRPr="006E709F">
              <w:rPr>
                <w:sz w:val="16"/>
              </w:rPr>
              <w:t>Currencies of emerging markets</w:t>
            </w:r>
          </w:p>
        </w:tc>
        <w:tc>
          <w:tcPr>
            <w:tcW w:w="2410" w:type="dxa"/>
            <w:tcBorders>
              <w:bottom w:val="single" w:sz="12" w:space="0" w:color="auto"/>
            </w:tcBorders>
            <w:shd w:val="clear" w:color="auto" w:fill="auto"/>
          </w:tcPr>
          <w:p w14:paraId="542D5D46" w14:textId="77777777" w:rsidR="00E93F58" w:rsidRPr="006E709F" w:rsidRDefault="00E93F58" w:rsidP="00CF67DD">
            <w:pPr>
              <w:pStyle w:val="Tabletext"/>
              <w:rPr>
                <w:sz w:val="16"/>
              </w:rPr>
            </w:pPr>
          </w:p>
        </w:tc>
        <w:tc>
          <w:tcPr>
            <w:tcW w:w="2551" w:type="dxa"/>
            <w:tcBorders>
              <w:bottom w:val="single" w:sz="12" w:space="0" w:color="auto"/>
            </w:tcBorders>
            <w:shd w:val="clear" w:color="auto" w:fill="auto"/>
          </w:tcPr>
          <w:p w14:paraId="6B601600" w14:textId="77777777" w:rsidR="00E93F58" w:rsidRPr="006E709F" w:rsidRDefault="00E93F58" w:rsidP="00CF67DD">
            <w:pPr>
              <w:pStyle w:val="Tabletext"/>
              <w:rPr>
                <w:sz w:val="16"/>
              </w:rPr>
            </w:pPr>
          </w:p>
        </w:tc>
      </w:tr>
    </w:tbl>
    <w:p w14:paraId="04ED291C" w14:textId="77777777" w:rsidR="00E93F58" w:rsidRPr="006E709F" w:rsidRDefault="00E93F58" w:rsidP="00A801D0">
      <w:pPr>
        <w:pStyle w:val="ActHead1"/>
        <w:pageBreakBefore/>
      </w:pPr>
      <w:bookmarkStart w:id="3373" w:name="_Toc151992435"/>
      <w:bookmarkStart w:id="3374" w:name="_Toc158713472"/>
      <w:r w:rsidRPr="000C4237">
        <w:rPr>
          <w:rStyle w:val="CharChapNo"/>
        </w:rPr>
        <w:lastRenderedPageBreak/>
        <w:t>Schedule 9</w:t>
      </w:r>
      <w:r w:rsidRPr="006E709F">
        <w:t>—</w:t>
      </w:r>
      <w:r w:rsidRPr="000C4237">
        <w:rPr>
          <w:rStyle w:val="CharChapText"/>
        </w:rPr>
        <w:t>Companies authorised to effect transfers under Part 7.11 of the Act</w:t>
      </w:r>
      <w:bookmarkEnd w:id="3373"/>
      <w:bookmarkEnd w:id="3374"/>
    </w:p>
    <w:p w14:paraId="194EB90B" w14:textId="77777777" w:rsidR="00E93F58" w:rsidRPr="006E709F" w:rsidRDefault="00E93F58" w:rsidP="00A801D0">
      <w:pPr>
        <w:pStyle w:val="notemargin"/>
      </w:pPr>
      <w:r w:rsidRPr="006E709F">
        <w:rPr>
          <w:color w:val="000000"/>
        </w:rPr>
        <w:t>(regulation 7.11.01</w:t>
      </w:r>
      <w:r w:rsidRPr="006E709F">
        <w:t xml:space="preserve">, definition of </w:t>
      </w:r>
      <w:r w:rsidRPr="006E709F">
        <w:rPr>
          <w:b/>
          <w:i/>
        </w:rPr>
        <w:t>beneficial owner</w:t>
      </w:r>
      <w:r w:rsidRPr="006E709F">
        <w:rPr>
          <w:color w:val="000000"/>
        </w:rPr>
        <w:t>)</w:t>
      </w:r>
    </w:p>
    <w:p w14:paraId="7C1D925D" w14:textId="77777777" w:rsidR="00E93F58" w:rsidRPr="006E709F" w:rsidRDefault="00E93F58" w:rsidP="00FF5814">
      <w:pPr>
        <w:pStyle w:val="Header"/>
      </w:pPr>
      <w:r w:rsidRPr="000C4237">
        <w:rPr>
          <w:rStyle w:val="CharPartNo"/>
        </w:rPr>
        <w:t xml:space="preserve"> </w:t>
      </w:r>
      <w:r w:rsidRPr="000C4237">
        <w:rPr>
          <w:rStyle w:val="CharPartText"/>
        </w:rPr>
        <w:t xml:space="preserve"> </w:t>
      </w:r>
    </w:p>
    <w:p w14:paraId="158502E8"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006"/>
        <w:gridCol w:w="9767"/>
      </w:tblGrid>
      <w:tr w:rsidR="00E93F58" w:rsidRPr="006E709F" w14:paraId="71A0E173" w14:textId="77777777" w:rsidTr="00E118FA">
        <w:trPr>
          <w:tblHeader/>
        </w:trPr>
        <w:tc>
          <w:tcPr>
            <w:tcW w:w="467" w:type="pct"/>
            <w:tcBorders>
              <w:top w:val="single" w:sz="12" w:space="0" w:color="auto"/>
              <w:bottom w:val="single" w:sz="12" w:space="0" w:color="auto"/>
            </w:tcBorders>
            <w:shd w:val="clear" w:color="auto" w:fill="auto"/>
          </w:tcPr>
          <w:p w14:paraId="2ACD4158" w14:textId="77777777" w:rsidR="00E93F58" w:rsidRPr="006E709F" w:rsidRDefault="00E93F58" w:rsidP="008C457C">
            <w:pPr>
              <w:pStyle w:val="TableHeading"/>
            </w:pPr>
            <w:r w:rsidRPr="006E709F">
              <w:t>Item</w:t>
            </w:r>
          </w:p>
        </w:tc>
        <w:tc>
          <w:tcPr>
            <w:tcW w:w="4533" w:type="pct"/>
            <w:tcBorders>
              <w:top w:val="single" w:sz="12" w:space="0" w:color="auto"/>
              <w:bottom w:val="single" w:sz="12" w:space="0" w:color="auto"/>
            </w:tcBorders>
            <w:shd w:val="clear" w:color="auto" w:fill="auto"/>
          </w:tcPr>
          <w:p w14:paraId="1F509640" w14:textId="77777777" w:rsidR="00E93F58" w:rsidRPr="006E709F" w:rsidRDefault="00E93F58" w:rsidP="008C457C">
            <w:pPr>
              <w:pStyle w:val="TableHeading"/>
            </w:pPr>
            <w:r w:rsidRPr="006E709F">
              <w:t>Companies</w:t>
            </w:r>
          </w:p>
        </w:tc>
      </w:tr>
      <w:tr w:rsidR="00E93F58" w:rsidRPr="006E709F" w14:paraId="14CFDA26" w14:textId="77777777" w:rsidTr="00E118FA">
        <w:tc>
          <w:tcPr>
            <w:tcW w:w="467" w:type="pct"/>
            <w:tcBorders>
              <w:top w:val="single" w:sz="12" w:space="0" w:color="auto"/>
            </w:tcBorders>
            <w:shd w:val="clear" w:color="auto" w:fill="auto"/>
          </w:tcPr>
          <w:p w14:paraId="43F5EE91" w14:textId="77777777" w:rsidR="00E93F58" w:rsidRPr="006E709F" w:rsidRDefault="00E93F58" w:rsidP="00A801D0">
            <w:pPr>
              <w:pStyle w:val="Tabletext"/>
            </w:pPr>
            <w:r w:rsidRPr="006E709F">
              <w:t>1</w:t>
            </w:r>
          </w:p>
        </w:tc>
        <w:tc>
          <w:tcPr>
            <w:tcW w:w="4533" w:type="pct"/>
            <w:tcBorders>
              <w:top w:val="single" w:sz="12" w:space="0" w:color="auto"/>
            </w:tcBorders>
            <w:shd w:val="clear" w:color="auto" w:fill="auto"/>
          </w:tcPr>
          <w:p w14:paraId="4CCDF8D5" w14:textId="77777777" w:rsidR="00E93F58" w:rsidRPr="006E709F" w:rsidRDefault="00E93F58" w:rsidP="00A801D0">
            <w:pPr>
              <w:pStyle w:val="Tabletext"/>
            </w:pPr>
            <w:r w:rsidRPr="006E709F">
              <w:t>ANZ Nominees Limited</w:t>
            </w:r>
          </w:p>
        </w:tc>
      </w:tr>
      <w:tr w:rsidR="00E93F58" w:rsidRPr="006E709F" w14:paraId="10FF7562" w14:textId="77777777" w:rsidTr="00E118FA">
        <w:tc>
          <w:tcPr>
            <w:tcW w:w="467" w:type="pct"/>
            <w:shd w:val="clear" w:color="auto" w:fill="auto"/>
          </w:tcPr>
          <w:p w14:paraId="04F0A452" w14:textId="77777777" w:rsidR="00E93F58" w:rsidRPr="006E709F" w:rsidRDefault="00E93F58" w:rsidP="00A801D0">
            <w:pPr>
              <w:pStyle w:val="Tabletext"/>
            </w:pPr>
            <w:r w:rsidRPr="006E709F">
              <w:t>2</w:t>
            </w:r>
          </w:p>
        </w:tc>
        <w:tc>
          <w:tcPr>
            <w:tcW w:w="4533" w:type="pct"/>
            <w:shd w:val="clear" w:color="auto" w:fill="auto"/>
          </w:tcPr>
          <w:p w14:paraId="1EDCA054" w14:textId="77777777" w:rsidR="00E93F58" w:rsidRPr="006E709F" w:rsidRDefault="00E93F58" w:rsidP="00A801D0">
            <w:pPr>
              <w:pStyle w:val="Tabletext"/>
            </w:pPr>
            <w:r w:rsidRPr="006E709F">
              <w:t>CHESS Depositary Nominees Pty Limited</w:t>
            </w:r>
          </w:p>
        </w:tc>
      </w:tr>
      <w:tr w:rsidR="00E93F58" w:rsidRPr="006E709F" w14:paraId="6FA25C61" w14:textId="77777777" w:rsidTr="00E118FA">
        <w:tc>
          <w:tcPr>
            <w:tcW w:w="467" w:type="pct"/>
            <w:shd w:val="clear" w:color="auto" w:fill="auto"/>
          </w:tcPr>
          <w:p w14:paraId="3346F34A" w14:textId="77777777" w:rsidR="00E93F58" w:rsidRPr="006E709F" w:rsidRDefault="00E93F58" w:rsidP="00A801D0">
            <w:pPr>
              <w:pStyle w:val="Tabletext"/>
            </w:pPr>
            <w:r w:rsidRPr="006E709F">
              <w:t>3</w:t>
            </w:r>
          </w:p>
        </w:tc>
        <w:tc>
          <w:tcPr>
            <w:tcW w:w="4533" w:type="pct"/>
            <w:shd w:val="clear" w:color="auto" w:fill="auto"/>
          </w:tcPr>
          <w:p w14:paraId="43F02AAF" w14:textId="77777777" w:rsidR="00E93F58" w:rsidRPr="006E709F" w:rsidRDefault="00E93F58" w:rsidP="00A801D0">
            <w:pPr>
              <w:pStyle w:val="Tabletext"/>
            </w:pPr>
            <w:r w:rsidRPr="006E709F">
              <w:t>Equity Nominees Limited</w:t>
            </w:r>
          </w:p>
        </w:tc>
      </w:tr>
      <w:tr w:rsidR="00E93F58" w:rsidRPr="006E709F" w14:paraId="682DB965" w14:textId="77777777" w:rsidTr="00E118FA">
        <w:tc>
          <w:tcPr>
            <w:tcW w:w="467" w:type="pct"/>
            <w:shd w:val="clear" w:color="auto" w:fill="auto"/>
          </w:tcPr>
          <w:p w14:paraId="42BEE927" w14:textId="77777777" w:rsidR="00E93F58" w:rsidRPr="006E709F" w:rsidRDefault="00E93F58" w:rsidP="00A801D0">
            <w:pPr>
              <w:pStyle w:val="Tabletext"/>
            </w:pPr>
            <w:r w:rsidRPr="006E709F">
              <w:t>4</w:t>
            </w:r>
          </w:p>
        </w:tc>
        <w:tc>
          <w:tcPr>
            <w:tcW w:w="4533" w:type="pct"/>
            <w:shd w:val="clear" w:color="auto" w:fill="auto"/>
          </w:tcPr>
          <w:p w14:paraId="31035702" w14:textId="77777777" w:rsidR="00E93F58" w:rsidRPr="006E709F" w:rsidRDefault="00E93F58" w:rsidP="00A801D0">
            <w:pPr>
              <w:pStyle w:val="Tabletext"/>
            </w:pPr>
            <w:r w:rsidRPr="006E709F">
              <w:t>National Nominees Limited</w:t>
            </w:r>
          </w:p>
        </w:tc>
      </w:tr>
      <w:tr w:rsidR="00E93F58" w:rsidRPr="006E709F" w14:paraId="0D502556" w14:textId="77777777" w:rsidTr="00E118FA">
        <w:tc>
          <w:tcPr>
            <w:tcW w:w="467" w:type="pct"/>
            <w:shd w:val="clear" w:color="auto" w:fill="auto"/>
          </w:tcPr>
          <w:p w14:paraId="3D2E5772" w14:textId="77777777" w:rsidR="00E93F58" w:rsidRPr="006E709F" w:rsidRDefault="00E93F58" w:rsidP="00A801D0">
            <w:pPr>
              <w:pStyle w:val="Tabletext"/>
            </w:pPr>
            <w:r w:rsidRPr="006E709F">
              <w:t>5</w:t>
            </w:r>
          </w:p>
        </w:tc>
        <w:tc>
          <w:tcPr>
            <w:tcW w:w="4533" w:type="pct"/>
            <w:shd w:val="clear" w:color="auto" w:fill="auto"/>
          </w:tcPr>
          <w:p w14:paraId="35DD7EA4" w14:textId="77777777" w:rsidR="00E93F58" w:rsidRPr="006E709F" w:rsidRDefault="00E93F58" w:rsidP="00A801D0">
            <w:pPr>
              <w:pStyle w:val="Tabletext"/>
            </w:pPr>
            <w:r w:rsidRPr="006E709F">
              <w:t>Perpetual Nominees Limited</w:t>
            </w:r>
          </w:p>
        </w:tc>
      </w:tr>
      <w:tr w:rsidR="00E93F58" w:rsidRPr="006E709F" w14:paraId="3A0FEE92" w14:textId="77777777" w:rsidTr="00E118FA">
        <w:tc>
          <w:tcPr>
            <w:tcW w:w="467" w:type="pct"/>
            <w:shd w:val="clear" w:color="auto" w:fill="auto"/>
          </w:tcPr>
          <w:p w14:paraId="56B4F9DB" w14:textId="77777777" w:rsidR="00E93F58" w:rsidRPr="006E709F" w:rsidRDefault="00E93F58" w:rsidP="00A801D0">
            <w:pPr>
              <w:pStyle w:val="Tabletext"/>
            </w:pPr>
            <w:r w:rsidRPr="006E709F">
              <w:t>6</w:t>
            </w:r>
          </w:p>
        </w:tc>
        <w:tc>
          <w:tcPr>
            <w:tcW w:w="4533" w:type="pct"/>
            <w:shd w:val="clear" w:color="auto" w:fill="auto"/>
          </w:tcPr>
          <w:p w14:paraId="77E22770" w14:textId="77777777" w:rsidR="00E93F58" w:rsidRPr="006E709F" w:rsidRDefault="00E93F58" w:rsidP="00A801D0">
            <w:pPr>
              <w:pStyle w:val="Tabletext"/>
            </w:pPr>
            <w:r w:rsidRPr="006E709F">
              <w:t>Sepon (Australia) Pty Limited</w:t>
            </w:r>
          </w:p>
        </w:tc>
      </w:tr>
      <w:tr w:rsidR="00E93F58" w:rsidRPr="006E709F" w14:paraId="39C8E0A8" w14:textId="77777777" w:rsidTr="00E118FA">
        <w:tc>
          <w:tcPr>
            <w:tcW w:w="467" w:type="pct"/>
            <w:shd w:val="clear" w:color="auto" w:fill="auto"/>
          </w:tcPr>
          <w:p w14:paraId="10402CAF" w14:textId="77777777" w:rsidR="00E93F58" w:rsidRPr="006E709F" w:rsidRDefault="00E93F58" w:rsidP="00A801D0">
            <w:pPr>
              <w:pStyle w:val="Tabletext"/>
            </w:pPr>
            <w:r w:rsidRPr="006E709F">
              <w:t>7</w:t>
            </w:r>
          </w:p>
        </w:tc>
        <w:tc>
          <w:tcPr>
            <w:tcW w:w="4533" w:type="pct"/>
            <w:shd w:val="clear" w:color="auto" w:fill="auto"/>
          </w:tcPr>
          <w:p w14:paraId="08FF00A8" w14:textId="77777777" w:rsidR="00E93F58" w:rsidRPr="006E709F" w:rsidRDefault="00E93F58" w:rsidP="00A801D0">
            <w:pPr>
              <w:pStyle w:val="Tabletext"/>
            </w:pPr>
            <w:r w:rsidRPr="006E709F">
              <w:t>State Street Australia Ltd</w:t>
            </w:r>
          </w:p>
        </w:tc>
      </w:tr>
      <w:tr w:rsidR="00E93F58" w:rsidRPr="006E709F" w14:paraId="103DCE8C" w14:textId="77777777" w:rsidTr="00E118FA">
        <w:tc>
          <w:tcPr>
            <w:tcW w:w="467" w:type="pct"/>
            <w:tcBorders>
              <w:bottom w:val="single" w:sz="4" w:space="0" w:color="auto"/>
            </w:tcBorders>
            <w:shd w:val="clear" w:color="auto" w:fill="auto"/>
          </w:tcPr>
          <w:p w14:paraId="6A5F6CA3" w14:textId="77777777" w:rsidR="00E93F58" w:rsidRPr="006E709F" w:rsidRDefault="00E93F58" w:rsidP="00A801D0">
            <w:pPr>
              <w:pStyle w:val="Tabletext"/>
            </w:pPr>
            <w:r w:rsidRPr="006E709F">
              <w:t>8</w:t>
            </w:r>
          </w:p>
        </w:tc>
        <w:tc>
          <w:tcPr>
            <w:tcW w:w="4533" w:type="pct"/>
            <w:tcBorders>
              <w:bottom w:val="single" w:sz="4" w:space="0" w:color="auto"/>
            </w:tcBorders>
            <w:shd w:val="clear" w:color="auto" w:fill="auto"/>
          </w:tcPr>
          <w:p w14:paraId="69D7A0B9" w14:textId="77777777" w:rsidR="00E93F58" w:rsidRPr="006E709F" w:rsidRDefault="00E93F58" w:rsidP="00A801D0">
            <w:pPr>
              <w:pStyle w:val="Tabletext"/>
            </w:pPr>
            <w:r w:rsidRPr="006E709F">
              <w:t>The Trust Company (Nominees) Limited</w:t>
            </w:r>
          </w:p>
        </w:tc>
      </w:tr>
      <w:tr w:rsidR="00E93F58" w:rsidRPr="006E709F" w14:paraId="388E1540" w14:textId="77777777" w:rsidTr="00E118FA">
        <w:tc>
          <w:tcPr>
            <w:tcW w:w="467" w:type="pct"/>
            <w:tcBorders>
              <w:bottom w:val="single" w:sz="12" w:space="0" w:color="auto"/>
            </w:tcBorders>
            <w:shd w:val="clear" w:color="auto" w:fill="auto"/>
          </w:tcPr>
          <w:p w14:paraId="2E299592" w14:textId="77777777" w:rsidR="00E93F58" w:rsidRPr="006E709F" w:rsidRDefault="00E93F58" w:rsidP="00A801D0">
            <w:pPr>
              <w:pStyle w:val="Tabletext"/>
            </w:pPr>
            <w:r w:rsidRPr="006E709F">
              <w:t>9</w:t>
            </w:r>
          </w:p>
        </w:tc>
        <w:tc>
          <w:tcPr>
            <w:tcW w:w="4533" w:type="pct"/>
            <w:tcBorders>
              <w:bottom w:val="single" w:sz="12" w:space="0" w:color="auto"/>
            </w:tcBorders>
            <w:shd w:val="clear" w:color="auto" w:fill="auto"/>
          </w:tcPr>
          <w:p w14:paraId="0C5BCB2C" w14:textId="77777777" w:rsidR="00E93F58" w:rsidRPr="006E709F" w:rsidRDefault="00E93F58" w:rsidP="00A801D0">
            <w:pPr>
              <w:pStyle w:val="Tabletext"/>
            </w:pPr>
            <w:r w:rsidRPr="006E709F">
              <w:t>The Trust Company (PTAL) Limited</w:t>
            </w:r>
          </w:p>
        </w:tc>
      </w:tr>
    </w:tbl>
    <w:p w14:paraId="3EB971C7" w14:textId="77777777" w:rsidR="00E93F58" w:rsidRPr="006E709F" w:rsidRDefault="00E93F58" w:rsidP="00A801D0">
      <w:pPr>
        <w:pStyle w:val="ActHead1"/>
        <w:pageBreakBefore/>
      </w:pPr>
      <w:bookmarkStart w:id="3375" w:name="_Toc151992436"/>
      <w:bookmarkStart w:id="3376" w:name="_Toc158713473"/>
      <w:r w:rsidRPr="000C4237">
        <w:rPr>
          <w:rStyle w:val="CharChapNo"/>
        </w:rPr>
        <w:lastRenderedPageBreak/>
        <w:t>Schedule 10</w:t>
      </w:r>
      <w:r w:rsidRPr="006E709F">
        <w:t>—</w:t>
      </w:r>
      <w:r w:rsidRPr="000C4237">
        <w:rPr>
          <w:rStyle w:val="CharChapText"/>
        </w:rPr>
        <w:t>Disclosure of fees and other costs</w:t>
      </w:r>
      <w:bookmarkEnd w:id="3375"/>
      <w:bookmarkEnd w:id="3376"/>
    </w:p>
    <w:p w14:paraId="6B4EBD1A" w14:textId="77777777" w:rsidR="00E93F58" w:rsidRPr="006E709F" w:rsidRDefault="00E93F58" w:rsidP="00A801D0">
      <w:pPr>
        <w:pStyle w:val="notemargin"/>
      </w:pPr>
      <w:r w:rsidRPr="006E709F">
        <w:t>(regulations 7.9.16K, 7.9.16M and 7.9.16N)</w:t>
      </w:r>
    </w:p>
    <w:p w14:paraId="46B9782B" w14:textId="77777777" w:rsidR="00E93F58" w:rsidRPr="006E709F" w:rsidRDefault="00E93F58" w:rsidP="00A801D0">
      <w:pPr>
        <w:pStyle w:val="ActHead2"/>
      </w:pPr>
      <w:bookmarkStart w:id="3377" w:name="_Toc151992437"/>
      <w:bookmarkStart w:id="3378" w:name="_Toc158713474"/>
      <w:r w:rsidRPr="000C4237">
        <w:rPr>
          <w:rStyle w:val="CharPartNo"/>
        </w:rPr>
        <w:t>Part 1</w:t>
      </w:r>
      <w:r w:rsidRPr="006E709F">
        <w:t>—</w:t>
      </w:r>
      <w:r w:rsidRPr="000C4237">
        <w:rPr>
          <w:rStyle w:val="CharPartText"/>
        </w:rPr>
        <w:t>Interpretation</w:t>
      </w:r>
      <w:bookmarkEnd w:id="3377"/>
      <w:bookmarkEnd w:id="3378"/>
    </w:p>
    <w:p w14:paraId="5443EED9" w14:textId="77777777" w:rsidR="00E93F58" w:rsidRPr="006E709F" w:rsidRDefault="00E93F58" w:rsidP="00D5406C">
      <w:pPr>
        <w:pStyle w:val="ActHead5"/>
      </w:pPr>
      <w:bookmarkStart w:id="3379" w:name="_Toc151992438"/>
      <w:bookmarkStart w:id="3380" w:name="_Toc158713475"/>
      <w:r w:rsidRPr="000C4237">
        <w:rPr>
          <w:rStyle w:val="CharSectno"/>
        </w:rPr>
        <w:t>101</w:t>
      </w:r>
      <w:r w:rsidRPr="006E709F">
        <w:t xml:space="preserve">  Definitions</w:t>
      </w:r>
      <w:bookmarkEnd w:id="3379"/>
      <w:bookmarkEnd w:id="3380"/>
    </w:p>
    <w:p w14:paraId="4D2EE3E2" w14:textId="77777777" w:rsidR="00E93F58" w:rsidRPr="006E709F" w:rsidRDefault="00E93F58" w:rsidP="00A801D0">
      <w:pPr>
        <w:pStyle w:val="subsection"/>
      </w:pPr>
      <w:r w:rsidRPr="006E709F">
        <w:tab/>
      </w:r>
      <w:r w:rsidRPr="006E709F">
        <w:tab/>
        <w:t>In this Schedule:</w:t>
      </w:r>
    </w:p>
    <w:p w14:paraId="1AE921E8" w14:textId="77777777" w:rsidR="00E93F58" w:rsidRPr="006E709F" w:rsidRDefault="00E93F58" w:rsidP="00677261">
      <w:pPr>
        <w:pStyle w:val="Definition"/>
      </w:pPr>
      <w:r w:rsidRPr="006E709F">
        <w:rPr>
          <w:b/>
          <w:i/>
        </w:rPr>
        <w:t>activity fee</w:t>
      </w:r>
      <w:r w:rsidRPr="006E709F">
        <w:t>, for a superannuation product, has the meaning given by subsection 29V(7) of the SIS Act.</w:t>
      </w:r>
    </w:p>
    <w:p w14:paraId="7CC67BB9" w14:textId="77777777" w:rsidR="00E93F58" w:rsidRPr="006E709F" w:rsidRDefault="00E93F58" w:rsidP="00677261">
      <w:pPr>
        <w:pStyle w:val="Definition"/>
      </w:pPr>
      <w:r w:rsidRPr="006E709F">
        <w:rPr>
          <w:b/>
          <w:i/>
        </w:rPr>
        <w:t>administration fee</w:t>
      </w:r>
      <w:r w:rsidRPr="006E709F">
        <w:t>, for a superannuation product, has the meaning given by subsection 29V(2) of the SIS Act.</w:t>
      </w:r>
    </w:p>
    <w:p w14:paraId="65855C1E" w14:textId="77777777" w:rsidR="00E93F58" w:rsidRPr="006E709F" w:rsidRDefault="00E93F58" w:rsidP="00677261">
      <w:pPr>
        <w:pStyle w:val="Definition"/>
      </w:pPr>
      <w:r w:rsidRPr="006E709F">
        <w:rPr>
          <w:b/>
          <w:i/>
        </w:rPr>
        <w:t>advice fee</w:t>
      </w:r>
      <w:r w:rsidRPr="006E709F">
        <w:t>:</w:t>
      </w:r>
    </w:p>
    <w:p w14:paraId="482BEB1A" w14:textId="77777777" w:rsidR="00E93F58" w:rsidRPr="006E709F" w:rsidRDefault="00E93F58" w:rsidP="00677261">
      <w:pPr>
        <w:pStyle w:val="paragraph"/>
      </w:pPr>
      <w:r w:rsidRPr="006E709F">
        <w:tab/>
        <w:t>(a)</w:t>
      </w:r>
      <w:r w:rsidRPr="006E709F">
        <w:tab/>
        <w:t>for a superannuation product—has the meaning given by subsection 29V(8) of the SIS Act; and</w:t>
      </w:r>
    </w:p>
    <w:p w14:paraId="57E7161E" w14:textId="77777777" w:rsidR="00E93F58" w:rsidRPr="006E709F" w:rsidRDefault="00E93F58" w:rsidP="00677261">
      <w:pPr>
        <w:pStyle w:val="paragraph"/>
      </w:pPr>
      <w:r w:rsidRPr="006E709F">
        <w:tab/>
        <w:t>(b)</w:t>
      </w:r>
      <w:r w:rsidRPr="006E709F">
        <w:tab/>
        <w:t>for a collective investment product—means an amount that is:</w:t>
      </w:r>
    </w:p>
    <w:p w14:paraId="57485649" w14:textId="77777777" w:rsidR="00E93F58" w:rsidRPr="006E709F" w:rsidRDefault="00E93F58" w:rsidP="00677261">
      <w:pPr>
        <w:pStyle w:val="paragraphsub"/>
      </w:pPr>
      <w:r w:rsidRPr="006E709F">
        <w:tab/>
        <w:t>(i)</w:t>
      </w:r>
      <w:r w:rsidRPr="006E709F">
        <w:tab/>
        <w:t>paid or payable to a financial adviser for financial product advice to a retail client or product holder about an investment; and</w:t>
      </w:r>
    </w:p>
    <w:p w14:paraId="0D23231D" w14:textId="77777777" w:rsidR="00E93F58" w:rsidRPr="006E709F" w:rsidRDefault="00E93F58" w:rsidP="00677261">
      <w:pPr>
        <w:pStyle w:val="paragraphsub"/>
      </w:pPr>
      <w:r w:rsidRPr="006E709F">
        <w:tab/>
        <w:t>(ii)</w:t>
      </w:r>
      <w:r w:rsidRPr="006E709F">
        <w:tab/>
        <w:t>not included in a contribution fee, withdrawal fee, exit fee, establishment fee or management cost.</w:t>
      </w:r>
    </w:p>
    <w:p w14:paraId="1806B4ED" w14:textId="77777777" w:rsidR="00E93F58" w:rsidRPr="006E709F" w:rsidRDefault="00E93F58" w:rsidP="00A801D0">
      <w:pPr>
        <w:pStyle w:val="Definition"/>
      </w:pPr>
      <w:r w:rsidRPr="006E709F">
        <w:rPr>
          <w:b/>
          <w:i/>
        </w:rPr>
        <w:t>balanced investment option</w:t>
      </w:r>
      <w:r w:rsidRPr="006E709F">
        <w:t xml:space="preserve"> means an investment option in which the ratio of investment in growth assets, such as shares or property, to investment in defensive assets, such as cash or bonds, is as close as practicable to 70:30.</w:t>
      </w:r>
    </w:p>
    <w:p w14:paraId="5457B413" w14:textId="77777777" w:rsidR="00E93F58" w:rsidRPr="006E709F" w:rsidRDefault="00E93F58" w:rsidP="00A801D0">
      <w:pPr>
        <w:pStyle w:val="Definition"/>
      </w:pPr>
      <w:r w:rsidRPr="006E709F">
        <w:rPr>
          <w:b/>
          <w:i/>
        </w:rPr>
        <w:t>brokerage</w:t>
      </w:r>
      <w:r w:rsidRPr="006E709F">
        <w:t xml:space="preserve"> means an amount paid or payable to a broker for undertaking a transaction for the acquisition or disposal of a financial product.</w:t>
      </w:r>
    </w:p>
    <w:p w14:paraId="43A41DC9" w14:textId="77777777" w:rsidR="00E93F58" w:rsidRPr="006E709F" w:rsidRDefault="00E93F58" w:rsidP="00677261">
      <w:pPr>
        <w:pStyle w:val="Definition"/>
      </w:pPr>
      <w:r w:rsidRPr="006E709F">
        <w:rPr>
          <w:b/>
          <w:i/>
        </w:rPr>
        <w:t>buy</w:t>
      </w:r>
      <w:r>
        <w:rPr>
          <w:b/>
          <w:i/>
        </w:rPr>
        <w:noBreakHyphen/>
      </w:r>
      <w:r w:rsidRPr="006E709F">
        <w:rPr>
          <w:b/>
          <w:i/>
        </w:rPr>
        <w:t>sell spread</w:t>
      </w:r>
      <w:r w:rsidRPr="006E709F">
        <w:t>:</w:t>
      </w:r>
    </w:p>
    <w:p w14:paraId="0A177C8B" w14:textId="77777777" w:rsidR="00E93F58" w:rsidRPr="006E709F" w:rsidRDefault="00E93F58" w:rsidP="00677261">
      <w:pPr>
        <w:pStyle w:val="paragraph"/>
      </w:pPr>
      <w:r w:rsidRPr="006E709F">
        <w:tab/>
        <w:t>(a)</w:t>
      </w:r>
      <w:r w:rsidRPr="006E709F">
        <w:tab/>
        <w:t>for a superannuation product—has the meaning given by subsection 29V(4) of the SIS Act; or</w:t>
      </w:r>
    </w:p>
    <w:p w14:paraId="42118FC7" w14:textId="77777777" w:rsidR="00E93F58" w:rsidRPr="006E709F" w:rsidRDefault="00E93F58" w:rsidP="00677261">
      <w:pPr>
        <w:pStyle w:val="paragraph"/>
      </w:pPr>
      <w:r w:rsidRPr="006E709F">
        <w:tab/>
        <w:t>(b)</w:t>
      </w:r>
      <w:r w:rsidRPr="006E709F">
        <w:tab/>
        <w:t>for a collective investment product (other than a security in a retail CCIV)—means an amount, deducted from the value of a financial product of a product holder, that represents an apportionment, among product holders, of the actual or estimated transaction costs incurred by the managed investment scheme; or</w:t>
      </w:r>
    </w:p>
    <w:p w14:paraId="36C5905F" w14:textId="77777777" w:rsidR="00E93F58" w:rsidRPr="006E709F" w:rsidRDefault="00E93F58" w:rsidP="001C486F">
      <w:pPr>
        <w:pStyle w:val="paragraph"/>
      </w:pPr>
      <w:r w:rsidRPr="006E709F">
        <w:tab/>
        <w:t>(c)</w:t>
      </w:r>
      <w:r w:rsidRPr="006E709F">
        <w:tab/>
        <w:t>for a collective investment product that is a security in a retail CCIV that is referable to a sub</w:t>
      </w:r>
      <w:r>
        <w:noBreakHyphen/>
      </w:r>
      <w:r w:rsidRPr="006E709F">
        <w:t>fund of the CCIV—means an amount, deducted from the value of the security of a product holder, that represents an apportionment, among product holders for the sub</w:t>
      </w:r>
      <w:r>
        <w:noBreakHyphen/>
      </w:r>
      <w:r w:rsidRPr="006E709F">
        <w:t>fund, of the actual or estimated transaction costs incurred by the CCIV in respect of sub</w:t>
      </w:r>
      <w:r>
        <w:noBreakHyphen/>
      </w:r>
      <w:r w:rsidRPr="006E709F">
        <w:t>fund.</w:t>
      </w:r>
    </w:p>
    <w:p w14:paraId="54406680" w14:textId="77777777" w:rsidR="00E93F58" w:rsidRPr="006E709F" w:rsidRDefault="00E93F58" w:rsidP="00A7652F">
      <w:pPr>
        <w:pStyle w:val="Definition"/>
        <w:rPr>
          <w:highlight w:val="red"/>
        </w:rPr>
      </w:pPr>
      <w:r w:rsidRPr="006E709F">
        <w:rPr>
          <w:b/>
          <w:i/>
        </w:rPr>
        <w:t>collective investment product</w:t>
      </w:r>
      <w:r w:rsidRPr="006E709F">
        <w:rPr>
          <w:i/>
        </w:rPr>
        <w:t xml:space="preserve"> </w:t>
      </w:r>
      <w:r w:rsidRPr="006E709F">
        <w:t>means a managed investment product, a security in a retail CCIV or a foreign passport fund product.</w:t>
      </w:r>
    </w:p>
    <w:p w14:paraId="45A91C1C" w14:textId="77777777" w:rsidR="00E93F58" w:rsidRPr="006E709F" w:rsidRDefault="00E93F58" w:rsidP="00A801D0">
      <w:pPr>
        <w:pStyle w:val="Definition"/>
      </w:pPr>
      <w:r w:rsidRPr="006E709F">
        <w:rPr>
          <w:b/>
          <w:i/>
        </w:rPr>
        <w:t>contribution fee</w:t>
      </w:r>
      <w:r w:rsidRPr="006E709F">
        <w:t xml:space="preserve"> means an amount paid or payable against the initial, and any subsequent, contributions made into a product by or for a retail client for the product.</w:t>
      </w:r>
    </w:p>
    <w:p w14:paraId="03A82F53" w14:textId="77777777" w:rsidR="00E93F58" w:rsidRPr="006E709F" w:rsidRDefault="00E93F58" w:rsidP="00A801D0">
      <w:pPr>
        <w:pStyle w:val="notetext"/>
      </w:pPr>
      <w:r w:rsidRPr="006E709F">
        <w:t>Note:</w:t>
      </w:r>
      <w:r w:rsidRPr="006E709F">
        <w:tab/>
        <w:t>A contribution may be made by an employer on behalf of the product holder or retail client.</w:t>
      </w:r>
    </w:p>
    <w:p w14:paraId="662C2BC3" w14:textId="77777777" w:rsidR="00E93F58" w:rsidRPr="006E709F" w:rsidRDefault="00E93F58" w:rsidP="00A801D0">
      <w:pPr>
        <w:pStyle w:val="Definition"/>
      </w:pPr>
      <w:r w:rsidRPr="006E709F">
        <w:rPr>
          <w:b/>
          <w:i/>
        </w:rPr>
        <w:t>distribution costs</w:t>
      </w:r>
      <w:r w:rsidRPr="006E709F">
        <w:t xml:space="preserve"> means the costs or amounts paid or payable for the marketing, offer or sale of a product.</w:t>
      </w:r>
    </w:p>
    <w:p w14:paraId="4797C2EA" w14:textId="77777777" w:rsidR="00E93F58" w:rsidRPr="006E709F" w:rsidRDefault="00E93F58" w:rsidP="00A801D0">
      <w:pPr>
        <w:pStyle w:val="notetext"/>
      </w:pPr>
      <w:r w:rsidRPr="006E709F">
        <w:t>Note:</w:t>
      </w:r>
      <w:r w:rsidRPr="006E709F">
        <w:tab/>
        <w:t>This includes any related adviser remuneration component other than an advice fee.</w:t>
      </w:r>
    </w:p>
    <w:p w14:paraId="241D5424" w14:textId="77777777" w:rsidR="00E93F58" w:rsidRPr="006E709F" w:rsidRDefault="00E93F58" w:rsidP="00A801D0">
      <w:pPr>
        <w:pStyle w:val="Definition"/>
      </w:pPr>
      <w:r w:rsidRPr="006E709F">
        <w:rPr>
          <w:b/>
          <w:i/>
        </w:rPr>
        <w:t>establishment fee</w:t>
      </w:r>
      <w:r w:rsidRPr="006E709F">
        <w:t xml:space="preserve"> means an amount paid or payable for the establishment of a client’s interest in a product.</w:t>
      </w:r>
    </w:p>
    <w:p w14:paraId="1431A759" w14:textId="77777777" w:rsidR="00E93F58" w:rsidRPr="006E709F" w:rsidRDefault="00E93F58" w:rsidP="00A801D0">
      <w:pPr>
        <w:pStyle w:val="notetext"/>
      </w:pPr>
      <w:r w:rsidRPr="006E709F">
        <w:t>Note:</w:t>
      </w:r>
      <w:r w:rsidRPr="006E709F">
        <w:tab/>
        <w:t>This does not include contribution fees paid or payable against the initial contribution into the product.</w:t>
      </w:r>
    </w:p>
    <w:p w14:paraId="4FEDB2A2" w14:textId="77777777" w:rsidR="00E93F58" w:rsidRPr="006E709F" w:rsidRDefault="00E93F58" w:rsidP="00677261">
      <w:pPr>
        <w:pStyle w:val="Definition"/>
      </w:pPr>
      <w:r w:rsidRPr="006E709F">
        <w:rPr>
          <w:b/>
          <w:i/>
        </w:rPr>
        <w:t>exit fee</w:t>
      </w:r>
      <w:r w:rsidRPr="006E709F">
        <w:t>:</w:t>
      </w:r>
    </w:p>
    <w:p w14:paraId="6CEADE9E" w14:textId="77777777" w:rsidR="00E93F58" w:rsidRPr="006E709F" w:rsidRDefault="00E93F58" w:rsidP="00677261">
      <w:pPr>
        <w:pStyle w:val="paragraph"/>
      </w:pPr>
      <w:r w:rsidRPr="006E709F">
        <w:tab/>
        <w:t>(a)</w:t>
      </w:r>
      <w:r w:rsidRPr="006E709F">
        <w:tab/>
        <w:t>for a superannuation product—has the meaning given by subsection 99BA(2) of the SIS Act; and</w:t>
      </w:r>
    </w:p>
    <w:p w14:paraId="096B5793" w14:textId="77777777" w:rsidR="00E93F58" w:rsidRPr="006E709F" w:rsidRDefault="00E93F58" w:rsidP="00677261">
      <w:pPr>
        <w:pStyle w:val="paragraph"/>
      </w:pPr>
      <w:r w:rsidRPr="006E709F">
        <w:tab/>
        <w:t>(b)</w:t>
      </w:r>
      <w:r w:rsidRPr="006E709F">
        <w:tab/>
        <w:t>for a collective investment product (other than a security in a retail CCIV)—means an amount paid or payable on the disposal of all interests held in the product; and</w:t>
      </w:r>
    </w:p>
    <w:p w14:paraId="760B65C3" w14:textId="77777777" w:rsidR="00E93F58" w:rsidRPr="006E709F" w:rsidRDefault="00E93F58" w:rsidP="001C486F">
      <w:pPr>
        <w:pStyle w:val="paragraph"/>
      </w:pPr>
      <w:r w:rsidRPr="006E709F">
        <w:tab/>
        <w:t>(c)</w:t>
      </w:r>
      <w:r w:rsidRPr="006E709F">
        <w:tab/>
        <w:t>for a collective investment product that is a security in a retail CCIV—means an amount paid or payable on the disposal of the security.</w:t>
      </w:r>
    </w:p>
    <w:p w14:paraId="2E4BCEFF" w14:textId="77777777" w:rsidR="00E93F58" w:rsidRPr="006E709F" w:rsidRDefault="00E93F58" w:rsidP="00A801D0">
      <w:pPr>
        <w:pStyle w:val="Definition"/>
      </w:pPr>
      <w:r w:rsidRPr="006E709F">
        <w:rPr>
          <w:b/>
          <w:i/>
        </w:rPr>
        <w:t>incidental fees</w:t>
      </w:r>
      <w:r w:rsidRPr="006E709F">
        <w:t xml:space="preserve"> means costs or amounts, other than costs or fees defined in this clause, that are:</w:t>
      </w:r>
    </w:p>
    <w:p w14:paraId="2D50C882" w14:textId="77777777" w:rsidR="00E93F58" w:rsidRPr="006E709F" w:rsidRDefault="00E93F58" w:rsidP="00A801D0">
      <w:pPr>
        <w:pStyle w:val="paragraph"/>
      </w:pPr>
      <w:r w:rsidRPr="006E709F">
        <w:tab/>
        <w:t>(a)</w:t>
      </w:r>
      <w:r w:rsidRPr="006E709F">
        <w:tab/>
        <w:t>paid or payable in relation to the product; and</w:t>
      </w:r>
    </w:p>
    <w:p w14:paraId="0F28DBBA" w14:textId="77777777" w:rsidR="00E93F58" w:rsidRPr="006E709F" w:rsidRDefault="00E93F58" w:rsidP="00A801D0">
      <w:pPr>
        <w:pStyle w:val="paragraph"/>
      </w:pPr>
      <w:r w:rsidRPr="006E709F">
        <w:lastRenderedPageBreak/>
        <w:tab/>
        <w:t>(b)</w:t>
      </w:r>
      <w:r w:rsidRPr="006E709F">
        <w:tab/>
        <w:t>not material to a retail client’s decision to acquire, hold or dispose of his or her interest in the product.</w:t>
      </w:r>
    </w:p>
    <w:p w14:paraId="2D822066" w14:textId="77777777" w:rsidR="00E93F58" w:rsidRPr="006E709F" w:rsidRDefault="00E93F58" w:rsidP="00BF7680">
      <w:pPr>
        <w:pStyle w:val="notetext"/>
      </w:pPr>
      <w:r w:rsidRPr="006E709F">
        <w:t>Example:</w:t>
      </w:r>
      <w:r w:rsidRPr="006E709F">
        <w:tab/>
        <w:t>Cheque dishonour fees.</w:t>
      </w:r>
    </w:p>
    <w:p w14:paraId="7421BAE0" w14:textId="77777777" w:rsidR="00E93F58" w:rsidRPr="006E709F" w:rsidRDefault="00E93F58" w:rsidP="00677261">
      <w:pPr>
        <w:pStyle w:val="Definition"/>
      </w:pPr>
      <w:r w:rsidRPr="006E709F">
        <w:rPr>
          <w:b/>
          <w:i/>
        </w:rPr>
        <w:t>indirect cost</w:t>
      </w:r>
      <w:r w:rsidRPr="006E709F">
        <w:t xml:space="preserve"> of a MySuper product or an investment option offered by a superannuation entity means any amount that:</w:t>
      </w:r>
    </w:p>
    <w:p w14:paraId="4D0B0AB3" w14:textId="77777777" w:rsidR="00E93F58" w:rsidRPr="006E709F" w:rsidRDefault="00E93F58" w:rsidP="00677261">
      <w:pPr>
        <w:pStyle w:val="paragraph"/>
      </w:pPr>
      <w:r w:rsidRPr="006E709F">
        <w:tab/>
        <w:t>(a)</w:t>
      </w:r>
      <w:r w:rsidRPr="006E709F">
        <w:tab/>
        <w:t>a trustee of the entity knows, or reasonably ought to know, will directly or indirectly reduce the return on the investment of a member of the entity in the MySuper product or investment option; and</w:t>
      </w:r>
    </w:p>
    <w:p w14:paraId="3BA66173" w14:textId="77777777" w:rsidR="00E93F58" w:rsidRPr="006E709F" w:rsidRDefault="00E93F58" w:rsidP="00677261">
      <w:pPr>
        <w:pStyle w:val="paragraph"/>
      </w:pPr>
      <w:r w:rsidRPr="006E709F">
        <w:tab/>
        <w:t>(b)</w:t>
      </w:r>
      <w:r w:rsidRPr="006E709F">
        <w:tab/>
        <w:t>is not charged to the member as a fee.</w:t>
      </w:r>
    </w:p>
    <w:p w14:paraId="78F54C3F" w14:textId="77777777" w:rsidR="00E93F58" w:rsidRPr="006E709F" w:rsidRDefault="00E93F58" w:rsidP="00677261">
      <w:pPr>
        <w:pStyle w:val="Definition"/>
      </w:pPr>
      <w:r w:rsidRPr="006E709F">
        <w:rPr>
          <w:b/>
          <w:i/>
        </w:rPr>
        <w:t>insurance fee</w:t>
      </w:r>
      <w:r w:rsidRPr="006E709F">
        <w:t>, for a superannuation product, has the meaning given by subsection 29V(9) of the SIS Act.</w:t>
      </w:r>
    </w:p>
    <w:p w14:paraId="757AF40F" w14:textId="77777777" w:rsidR="00E93F58" w:rsidRPr="006E709F" w:rsidRDefault="00E93F58" w:rsidP="00677261">
      <w:pPr>
        <w:pStyle w:val="Definition"/>
      </w:pPr>
      <w:r w:rsidRPr="006E709F">
        <w:rPr>
          <w:b/>
          <w:i/>
        </w:rPr>
        <w:t>investment fee</w:t>
      </w:r>
      <w:r w:rsidRPr="006E709F">
        <w:t>, for a superannuation product, has the meaning given by subsection 29V(3) of the SIS Act.</w:t>
      </w:r>
    </w:p>
    <w:p w14:paraId="08F1E84D" w14:textId="77777777" w:rsidR="00E93F58" w:rsidRPr="006E709F" w:rsidRDefault="00E93F58" w:rsidP="00677261">
      <w:pPr>
        <w:pStyle w:val="Definition"/>
      </w:pPr>
      <w:r w:rsidRPr="006E709F">
        <w:rPr>
          <w:b/>
          <w:i/>
        </w:rPr>
        <w:t>lifecycle MySuper product</w:t>
      </w:r>
      <w:r w:rsidRPr="006E709F">
        <w:t xml:space="preserve"> has the meaning given by regulation 7.9.07N.</w:t>
      </w:r>
    </w:p>
    <w:p w14:paraId="43698766" w14:textId="77777777" w:rsidR="00E93F58" w:rsidRPr="006E709F" w:rsidRDefault="00E93F58" w:rsidP="00677261">
      <w:pPr>
        <w:pStyle w:val="Definition"/>
      </w:pPr>
      <w:r w:rsidRPr="006E709F">
        <w:rPr>
          <w:b/>
          <w:i/>
        </w:rPr>
        <w:t>lifecycle stage</w:t>
      </w:r>
      <w:r w:rsidRPr="006E709F">
        <w:t xml:space="preserve"> has the meaning given by regulation 7.9.07N.</w:t>
      </w:r>
    </w:p>
    <w:p w14:paraId="427C1B16" w14:textId="77777777" w:rsidR="00E93F58" w:rsidRPr="006E709F" w:rsidRDefault="00E93F58" w:rsidP="00677261">
      <w:pPr>
        <w:pStyle w:val="Definition"/>
      </w:pPr>
      <w:r w:rsidRPr="006E709F">
        <w:rPr>
          <w:b/>
          <w:i/>
        </w:rPr>
        <w:t>performance</w:t>
      </w:r>
      <w:r w:rsidRPr="006E709F">
        <w:t>, of a collective investment product, a superannuation product, a MySuper product or an investment option, includes:</w:t>
      </w:r>
    </w:p>
    <w:p w14:paraId="2E27FC53" w14:textId="77777777" w:rsidR="00E93F58" w:rsidRPr="006E709F" w:rsidRDefault="00E93F58" w:rsidP="00677261">
      <w:pPr>
        <w:pStyle w:val="paragraph"/>
      </w:pPr>
      <w:r w:rsidRPr="006E709F">
        <w:tab/>
        <w:t>(a)</w:t>
      </w:r>
      <w:r w:rsidRPr="006E709F">
        <w:tab/>
        <w:t>income in relation to the assets of, or attributed to, the collective investment product, the superannuation product, the MySuper product or the investment option; and</w:t>
      </w:r>
    </w:p>
    <w:p w14:paraId="4F07D41E" w14:textId="77777777" w:rsidR="00E93F58" w:rsidRPr="006E709F" w:rsidRDefault="00E93F58" w:rsidP="00677261">
      <w:pPr>
        <w:pStyle w:val="paragraph"/>
      </w:pPr>
      <w:r w:rsidRPr="006E709F">
        <w:tab/>
        <w:t>(b)</w:t>
      </w:r>
      <w:r w:rsidRPr="006E709F">
        <w:tab/>
        <w:t>capital appreciation (realised or unrealised) to the value of the collective investment product, the superannuation product, the MySuper product or the investment option.</w:t>
      </w:r>
    </w:p>
    <w:p w14:paraId="7A61662D" w14:textId="77777777" w:rsidR="00E93F58" w:rsidRPr="006E709F" w:rsidRDefault="00E93F58" w:rsidP="00A801D0">
      <w:pPr>
        <w:pStyle w:val="Definition"/>
      </w:pPr>
      <w:r w:rsidRPr="006E709F">
        <w:rPr>
          <w:b/>
          <w:i/>
        </w:rPr>
        <w:t>performance fee</w:t>
      </w:r>
      <w:r w:rsidRPr="006E709F">
        <w:t xml:space="preserve"> means an amount paid or payable, calculated by reference to the performance of a collective investment product, a superannuation product, a MySuper product or an investment option.</w:t>
      </w:r>
    </w:p>
    <w:p w14:paraId="0599C00A" w14:textId="77777777" w:rsidR="00E93F58" w:rsidRPr="006E709F" w:rsidRDefault="00E93F58" w:rsidP="00A801D0">
      <w:pPr>
        <w:pStyle w:val="Definition"/>
      </w:pPr>
      <w:r w:rsidRPr="006E709F">
        <w:rPr>
          <w:b/>
          <w:i/>
        </w:rPr>
        <w:t>service fees</w:t>
      </w:r>
      <w:r w:rsidRPr="006E709F">
        <w:t xml:space="preserve"> means advice fees, special request fees and switching fees.</w:t>
      </w:r>
    </w:p>
    <w:p w14:paraId="7669047D" w14:textId="77777777" w:rsidR="00E93F58" w:rsidRPr="006E709F" w:rsidRDefault="00E93F58" w:rsidP="001C486F">
      <w:pPr>
        <w:pStyle w:val="Definition"/>
      </w:pPr>
      <w:r w:rsidRPr="006E709F">
        <w:rPr>
          <w:b/>
          <w:i/>
        </w:rPr>
        <w:t>special request fees</w:t>
      </w:r>
      <w:r w:rsidRPr="006E709F">
        <w:t xml:space="preserve"> includes fees paid or deducted from a product holder’s collective investment product for a request made to:</w:t>
      </w:r>
    </w:p>
    <w:p w14:paraId="35DE2CD7" w14:textId="77777777" w:rsidR="00E93F58" w:rsidRPr="006E709F" w:rsidRDefault="00E93F58" w:rsidP="001C486F">
      <w:pPr>
        <w:pStyle w:val="paragraph"/>
      </w:pPr>
      <w:r w:rsidRPr="006E709F">
        <w:tab/>
        <w:t>(a)</w:t>
      </w:r>
      <w:r w:rsidRPr="006E709F">
        <w:tab/>
        <w:t>for a product that is a managed investment product for a managed investment scheme—the managed investment scheme; or</w:t>
      </w:r>
    </w:p>
    <w:p w14:paraId="276B10A5" w14:textId="77777777" w:rsidR="00E93F58" w:rsidRPr="006E709F" w:rsidRDefault="00E93F58" w:rsidP="001C486F">
      <w:pPr>
        <w:pStyle w:val="paragraph"/>
      </w:pPr>
      <w:r w:rsidRPr="006E709F">
        <w:tab/>
        <w:t>(b)</w:t>
      </w:r>
      <w:r w:rsidRPr="006E709F">
        <w:tab/>
        <w:t>for a product that is a security in a retail CCIV that is referable to a sub</w:t>
      </w:r>
      <w:r>
        <w:noBreakHyphen/>
      </w:r>
      <w:r w:rsidRPr="006E709F">
        <w:t>fund of the CCIV—the CCIV in respect of the sub</w:t>
      </w:r>
      <w:r>
        <w:noBreakHyphen/>
      </w:r>
      <w:r w:rsidRPr="006E709F">
        <w:t>fund.</w:t>
      </w:r>
    </w:p>
    <w:p w14:paraId="516A49EE" w14:textId="77777777" w:rsidR="00E93F58" w:rsidRPr="006E709F" w:rsidRDefault="00E93F58" w:rsidP="001C486F">
      <w:pPr>
        <w:pStyle w:val="notetext"/>
      </w:pPr>
      <w:r w:rsidRPr="006E709F">
        <w:t>Example:</w:t>
      </w:r>
      <w:r w:rsidRPr="006E709F">
        <w:tab/>
        <w:t>This applies to a fee for a request for additional information from a managed investment scheme.</w:t>
      </w:r>
    </w:p>
    <w:p w14:paraId="75A30DF1" w14:textId="77777777" w:rsidR="00E93F58" w:rsidRPr="006E709F" w:rsidRDefault="00E93F58" w:rsidP="00677261">
      <w:pPr>
        <w:pStyle w:val="Definition"/>
      </w:pPr>
      <w:r w:rsidRPr="006E709F">
        <w:rPr>
          <w:b/>
          <w:i/>
        </w:rPr>
        <w:t>switching fee</w:t>
      </w:r>
      <w:r w:rsidRPr="006E709F">
        <w:t>:</w:t>
      </w:r>
    </w:p>
    <w:p w14:paraId="0B5AD8A1" w14:textId="77777777" w:rsidR="00E93F58" w:rsidRPr="006E709F" w:rsidRDefault="00E93F58" w:rsidP="00677261">
      <w:pPr>
        <w:pStyle w:val="paragraph"/>
      </w:pPr>
      <w:r w:rsidRPr="006E709F">
        <w:tab/>
        <w:t>(a)</w:t>
      </w:r>
      <w:r w:rsidRPr="006E709F">
        <w:tab/>
        <w:t>for a superannuation product—has the meaning given by subsection 29V(5) of the SIS Act; or</w:t>
      </w:r>
    </w:p>
    <w:p w14:paraId="3735588E" w14:textId="77777777" w:rsidR="00E93F58" w:rsidRPr="006E709F" w:rsidRDefault="00E93F58" w:rsidP="00677261">
      <w:pPr>
        <w:pStyle w:val="paragraph"/>
      </w:pPr>
      <w:r w:rsidRPr="006E709F">
        <w:tab/>
        <w:t>(b)</w:t>
      </w:r>
      <w:r w:rsidRPr="006E709F">
        <w:tab/>
        <w:t>for a collective investment product—means an amount paid or payable when a product holder transfers all or part of the product holder’s interest in the collective investment product from one investment option to another.</w:t>
      </w:r>
    </w:p>
    <w:p w14:paraId="1492FEAE" w14:textId="77777777" w:rsidR="00E93F58" w:rsidRPr="006E709F" w:rsidRDefault="00E93F58" w:rsidP="00A801D0">
      <w:pPr>
        <w:pStyle w:val="Definition"/>
      </w:pPr>
      <w:r w:rsidRPr="006E709F">
        <w:rPr>
          <w:b/>
          <w:i/>
        </w:rPr>
        <w:t>withdrawal fee</w:t>
      </w:r>
      <w:r w:rsidRPr="006E709F">
        <w:t>, for a collective investment product, means an amount, other than an exit fee, paid or payable in respect of:</w:t>
      </w:r>
    </w:p>
    <w:p w14:paraId="66410A70" w14:textId="77777777" w:rsidR="00E93F58" w:rsidRPr="006E709F" w:rsidRDefault="00E93F58" w:rsidP="001C486F">
      <w:pPr>
        <w:pStyle w:val="paragraph"/>
      </w:pPr>
      <w:r w:rsidRPr="006E709F">
        <w:tab/>
        <w:t>(a)</w:t>
      </w:r>
      <w:r w:rsidRPr="006E709F">
        <w:tab/>
        <w:t>for a product (other than a security in a retail CCIV)—a withdrawal or the disposal of an interest in the product; or</w:t>
      </w:r>
    </w:p>
    <w:p w14:paraId="683A517D" w14:textId="77777777" w:rsidR="00E93F58" w:rsidRPr="006E709F" w:rsidRDefault="00E93F58" w:rsidP="001C486F">
      <w:pPr>
        <w:pStyle w:val="paragraph"/>
      </w:pPr>
      <w:r w:rsidRPr="006E709F">
        <w:tab/>
        <w:t>(b)</w:t>
      </w:r>
      <w:r w:rsidRPr="006E709F">
        <w:tab/>
        <w:t>for a product that is a security in a retail CCIV—the disposal of the security.</w:t>
      </w:r>
    </w:p>
    <w:p w14:paraId="20550A58" w14:textId="77777777" w:rsidR="00E93F58" w:rsidRPr="006E709F" w:rsidRDefault="00E93F58" w:rsidP="00D5406C">
      <w:pPr>
        <w:pStyle w:val="ActHead5"/>
      </w:pPr>
      <w:bookmarkStart w:id="3381" w:name="_Toc151992439"/>
      <w:bookmarkStart w:id="3382" w:name="_Toc158713476"/>
      <w:r w:rsidRPr="000C4237">
        <w:rPr>
          <w:rStyle w:val="CharSectno"/>
        </w:rPr>
        <w:t>102</w:t>
      </w:r>
      <w:r w:rsidRPr="006E709F">
        <w:t xml:space="preserve">  Meaning of </w:t>
      </w:r>
      <w:r w:rsidRPr="006E709F">
        <w:rPr>
          <w:i/>
        </w:rPr>
        <w:t>management costs</w:t>
      </w:r>
      <w:bookmarkEnd w:id="3381"/>
      <w:bookmarkEnd w:id="3382"/>
    </w:p>
    <w:p w14:paraId="797A94F4" w14:textId="77777777" w:rsidR="00E93F58" w:rsidRPr="006E709F" w:rsidRDefault="00E93F58" w:rsidP="00A801D0">
      <w:pPr>
        <w:pStyle w:val="subsection"/>
      </w:pPr>
      <w:r w:rsidRPr="006E709F">
        <w:tab/>
        <w:t>(1)</w:t>
      </w:r>
      <w:r w:rsidRPr="006E709F">
        <w:tab/>
      </w:r>
      <w:r w:rsidRPr="006E709F">
        <w:rPr>
          <w:b/>
          <w:i/>
        </w:rPr>
        <w:t>Management costs</w:t>
      </w:r>
      <w:r w:rsidRPr="006E709F">
        <w:t>, for a collective investment product, means any of the following:</w:t>
      </w:r>
    </w:p>
    <w:p w14:paraId="6EB13D50" w14:textId="77777777" w:rsidR="00E93F58" w:rsidRPr="006E709F" w:rsidRDefault="00E93F58" w:rsidP="00677261">
      <w:pPr>
        <w:pStyle w:val="paragraph"/>
      </w:pPr>
      <w:r w:rsidRPr="006E709F">
        <w:tab/>
        <w:t>(a)</w:t>
      </w:r>
      <w:r w:rsidRPr="006E709F">
        <w:tab/>
        <w:t>for a product that is a managed investment product for a managed investment scheme—an amount payable for administering the managed investment scheme;</w:t>
      </w:r>
    </w:p>
    <w:p w14:paraId="208A1CD3" w14:textId="77777777" w:rsidR="00E93F58" w:rsidRPr="006E709F" w:rsidRDefault="00E93F58" w:rsidP="001C486F">
      <w:pPr>
        <w:pStyle w:val="paragraph"/>
      </w:pPr>
      <w:r w:rsidRPr="006E709F">
        <w:tab/>
        <w:t>(aa)</w:t>
      </w:r>
      <w:r w:rsidRPr="006E709F">
        <w:tab/>
        <w:t>for a product that is a security in a retail CCIV that is referable to a sub</w:t>
      </w:r>
      <w:r>
        <w:noBreakHyphen/>
      </w:r>
      <w:r w:rsidRPr="006E709F">
        <w:t>fund of the CCIV—the amount payable for administering the sub</w:t>
      </w:r>
      <w:r>
        <w:noBreakHyphen/>
      </w:r>
      <w:r w:rsidRPr="006E709F">
        <w:t>fund;</w:t>
      </w:r>
    </w:p>
    <w:p w14:paraId="6D80A0BE" w14:textId="77777777" w:rsidR="00E93F58" w:rsidRPr="006E709F" w:rsidRDefault="00E93F58" w:rsidP="00A801D0">
      <w:pPr>
        <w:pStyle w:val="paragraph"/>
      </w:pPr>
      <w:r w:rsidRPr="006E709F">
        <w:tab/>
        <w:t>(b)</w:t>
      </w:r>
      <w:r w:rsidRPr="006E709F">
        <w:tab/>
        <w:t>for a custodial arrangement—the cost involved, or amount paid or payable, for gaining access to, or participating in, the arrangement;</w:t>
      </w:r>
    </w:p>
    <w:p w14:paraId="7AA38DE9" w14:textId="77777777" w:rsidR="00E93F58" w:rsidRPr="006E709F" w:rsidRDefault="00E93F58" w:rsidP="00A801D0">
      <w:pPr>
        <w:pStyle w:val="paragraph"/>
      </w:pPr>
      <w:r w:rsidRPr="006E709F">
        <w:tab/>
        <w:t>(c)</w:t>
      </w:r>
      <w:r w:rsidRPr="006E709F">
        <w:tab/>
        <w:t>distribution costs;</w:t>
      </w:r>
    </w:p>
    <w:p w14:paraId="6F880B45" w14:textId="77777777" w:rsidR="00E93F58" w:rsidRPr="006E709F" w:rsidRDefault="00E93F58" w:rsidP="001C486F">
      <w:pPr>
        <w:pStyle w:val="paragraph"/>
      </w:pPr>
      <w:r w:rsidRPr="006E709F">
        <w:tab/>
        <w:t>(d)</w:t>
      </w:r>
      <w:r w:rsidRPr="006E709F">
        <w:tab/>
        <w:t>for a product that is a managed investment product for a managed investment scheme or is a security in a retail CCIV that is referable to a sub</w:t>
      </w:r>
      <w:r>
        <w:noBreakHyphen/>
      </w:r>
      <w:r w:rsidRPr="006E709F">
        <w:t>fund of the CCIV—other expenses and reimbursements in relation to the managed investment scheme or the sub</w:t>
      </w:r>
      <w:r>
        <w:noBreakHyphen/>
      </w:r>
      <w:r w:rsidRPr="006E709F">
        <w:t>fund;</w:t>
      </w:r>
    </w:p>
    <w:p w14:paraId="512537FF" w14:textId="77777777" w:rsidR="00E93F58" w:rsidRPr="006E709F" w:rsidRDefault="00E93F58" w:rsidP="001C486F">
      <w:pPr>
        <w:pStyle w:val="paragraph"/>
      </w:pPr>
      <w:r w:rsidRPr="006E709F">
        <w:lastRenderedPageBreak/>
        <w:tab/>
        <w:t>(e)</w:t>
      </w:r>
      <w:r w:rsidRPr="006E709F">
        <w:tab/>
        <w:t>for a product that is a managed investment product for a managed investment scheme or is a security in a retail CCIV that is referable to a sub</w:t>
      </w:r>
      <w:r>
        <w:noBreakHyphen/>
      </w:r>
      <w:r w:rsidRPr="006E709F">
        <w:t>fund of the CCIV—amounts paid or payable for investing in the assets of the managed investment scheme or in the assets of the sub</w:t>
      </w:r>
      <w:r>
        <w:noBreakHyphen/>
      </w:r>
      <w:r w:rsidRPr="006E709F">
        <w:t>fund;</w:t>
      </w:r>
    </w:p>
    <w:p w14:paraId="1BE21B10" w14:textId="77777777" w:rsidR="00E93F58" w:rsidRPr="006E709F" w:rsidRDefault="00E93F58" w:rsidP="00A801D0">
      <w:pPr>
        <w:pStyle w:val="paragraph"/>
      </w:pPr>
      <w:r w:rsidRPr="006E709F">
        <w:tab/>
        <w:t>(f)</w:t>
      </w:r>
      <w:r w:rsidRPr="006E709F">
        <w:tab/>
        <w:t>amounts deducted from a common fund by way of fees, costs, charges or expenses, including:</w:t>
      </w:r>
    </w:p>
    <w:p w14:paraId="4C34FE18" w14:textId="77777777" w:rsidR="00E93F58" w:rsidRPr="006E709F" w:rsidRDefault="00E93F58" w:rsidP="00A801D0">
      <w:pPr>
        <w:pStyle w:val="paragraphsub"/>
      </w:pPr>
      <w:r w:rsidRPr="006E709F">
        <w:tab/>
        <w:t>(i)</w:t>
      </w:r>
      <w:r w:rsidRPr="006E709F">
        <w:tab/>
        <w:t>amounts retrieved by an external fund manager or a product issuer; and</w:t>
      </w:r>
    </w:p>
    <w:p w14:paraId="2804AAEC" w14:textId="77777777" w:rsidR="00E93F58" w:rsidRPr="006E709F" w:rsidRDefault="00E93F58" w:rsidP="00A801D0">
      <w:pPr>
        <w:pStyle w:val="paragraphsub"/>
      </w:pPr>
      <w:r w:rsidRPr="006E709F">
        <w:tab/>
        <w:t>(ii)</w:t>
      </w:r>
      <w:r w:rsidRPr="006E709F">
        <w:tab/>
        <w:t>amounts deducted from returns before allocation to the fund;</w:t>
      </w:r>
    </w:p>
    <w:p w14:paraId="561DEF28" w14:textId="77777777" w:rsidR="00E93F58" w:rsidRPr="006E709F" w:rsidRDefault="00E93F58" w:rsidP="00A801D0">
      <w:pPr>
        <w:pStyle w:val="paragraph"/>
      </w:pPr>
      <w:r w:rsidRPr="006E709F">
        <w:tab/>
        <w:t>(g)</w:t>
      </w:r>
      <w:r w:rsidRPr="006E709F">
        <w:tab/>
        <w:t>estimated performance fees;</w:t>
      </w:r>
    </w:p>
    <w:p w14:paraId="556CC00D" w14:textId="77777777" w:rsidR="00E93F58" w:rsidRPr="006E709F" w:rsidRDefault="00E93F58" w:rsidP="00A801D0">
      <w:pPr>
        <w:pStyle w:val="paragraph"/>
      </w:pPr>
      <w:r w:rsidRPr="006E709F">
        <w:tab/>
        <w:t>(h)</w:t>
      </w:r>
      <w:r w:rsidRPr="006E709F">
        <w:tab/>
        <w:t>any other investment</w:t>
      </w:r>
      <w:r>
        <w:noBreakHyphen/>
      </w:r>
      <w:r w:rsidRPr="006E709F">
        <w:t>related expenses and reimbursements, including any associated with custodial arrangements.</w:t>
      </w:r>
    </w:p>
    <w:p w14:paraId="4810897D" w14:textId="77777777" w:rsidR="00E93F58" w:rsidRPr="006E709F" w:rsidRDefault="00E93F58" w:rsidP="00A801D0">
      <w:pPr>
        <w:pStyle w:val="subsection"/>
      </w:pPr>
      <w:r w:rsidRPr="006E709F">
        <w:tab/>
        <w:t>(2)</w:t>
      </w:r>
      <w:r w:rsidRPr="006E709F">
        <w:tab/>
        <w:t>The following fees and costs are not management costs for a collective investment product:</w:t>
      </w:r>
    </w:p>
    <w:p w14:paraId="3D77674A" w14:textId="77777777" w:rsidR="00E93F58" w:rsidRPr="006E709F" w:rsidRDefault="00E93F58" w:rsidP="00A801D0">
      <w:pPr>
        <w:pStyle w:val="paragraph"/>
      </w:pPr>
      <w:r w:rsidRPr="006E709F">
        <w:tab/>
        <w:t>(a)</w:t>
      </w:r>
      <w:r w:rsidRPr="006E709F">
        <w:tab/>
        <w:t>a contribution fee;</w:t>
      </w:r>
    </w:p>
    <w:p w14:paraId="28C2446C" w14:textId="77777777" w:rsidR="00E93F58" w:rsidRPr="006E709F" w:rsidRDefault="00E93F58" w:rsidP="00A801D0">
      <w:pPr>
        <w:pStyle w:val="paragraph"/>
      </w:pPr>
      <w:r w:rsidRPr="006E709F">
        <w:tab/>
        <w:t>(b)</w:t>
      </w:r>
      <w:r w:rsidRPr="006E709F">
        <w:tab/>
        <w:t>transactional and operational costs;</w:t>
      </w:r>
    </w:p>
    <w:p w14:paraId="3FC7A219" w14:textId="77777777" w:rsidR="00E93F58" w:rsidRPr="006E709F" w:rsidRDefault="00E93F58" w:rsidP="00A801D0">
      <w:pPr>
        <w:pStyle w:val="paragraph"/>
      </w:pPr>
      <w:r w:rsidRPr="006E709F">
        <w:tab/>
        <w:t>(c)</w:t>
      </w:r>
      <w:r w:rsidRPr="006E709F">
        <w:tab/>
        <w:t>an additional service fee;</w:t>
      </w:r>
    </w:p>
    <w:p w14:paraId="68A28221" w14:textId="77777777" w:rsidR="00E93F58" w:rsidRPr="006E709F" w:rsidRDefault="00E93F58" w:rsidP="00A801D0">
      <w:pPr>
        <w:pStyle w:val="paragraph"/>
      </w:pPr>
      <w:r w:rsidRPr="006E709F">
        <w:tab/>
        <w:t>(d)</w:t>
      </w:r>
      <w:r w:rsidRPr="006E709F">
        <w:tab/>
        <w:t>an establishment fee;</w:t>
      </w:r>
    </w:p>
    <w:p w14:paraId="3D671F27" w14:textId="77777777" w:rsidR="00E93F58" w:rsidRPr="006E709F" w:rsidRDefault="00E93F58" w:rsidP="00A801D0">
      <w:pPr>
        <w:pStyle w:val="paragraph"/>
      </w:pPr>
      <w:r w:rsidRPr="006E709F">
        <w:tab/>
        <w:t>(e)</w:t>
      </w:r>
      <w:r w:rsidRPr="006E709F">
        <w:tab/>
        <w:t>a switching fee;</w:t>
      </w:r>
    </w:p>
    <w:p w14:paraId="3822FBFA" w14:textId="77777777" w:rsidR="00E93F58" w:rsidRPr="006E709F" w:rsidRDefault="00E93F58" w:rsidP="00677261">
      <w:pPr>
        <w:pStyle w:val="paragraph"/>
      </w:pPr>
      <w:r w:rsidRPr="006E709F">
        <w:tab/>
        <w:t>(f)</w:t>
      </w:r>
      <w:r w:rsidRPr="006E709F">
        <w:tab/>
        <w:t>an exit fee;</w:t>
      </w:r>
    </w:p>
    <w:p w14:paraId="3129735F" w14:textId="77777777" w:rsidR="00E93F58" w:rsidRPr="006E709F" w:rsidRDefault="00E93F58" w:rsidP="00A801D0">
      <w:pPr>
        <w:pStyle w:val="paragraph"/>
      </w:pPr>
      <w:r w:rsidRPr="006E709F">
        <w:tab/>
        <w:t>(g)</w:t>
      </w:r>
      <w:r w:rsidRPr="006E709F">
        <w:tab/>
        <w:t>a withdrawal fee;</w:t>
      </w:r>
    </w:p>
    <w:p w14:paraId="1E3BDD47" w14:textId="77777777" w:rsidR="00E93F58" w:rsidRPr="006E709F" w:rsidRDefault="00E93F58" w:rsidP="00A801D0">
      <w:pPr>
        <w:pStyle w:val="paragraph"/>
      </w:pPr>
      <w:r w:rsidRPr="006E709F">
        <w:tab/>
        <w:t>(h)</w:t>
      </w:r>
      <w:r w:rsidRPr="006E709F">
        <w:tab/>
        <w:t>costs (related to a specific asset or activity to produce income) that an investor would incur if he or she invested directly in the asset;</w:t>
      </w:r>
    </w:p>
    <w:p w14:paraId="79A4B77E" w14:textId="77777777" w:rsidR="00E93F58" w:rsidRPr="006E709F" w:rsidRDefault="00E93F58" w:rsidP="00A801D0">
      <w:pPr>
        <w:pStyle w:val="paragraph"/>
      </w:pPr>
      <w:r w:rsidRPr="006E709F">
        <w:tab/>
        <w:t>(i)</w:t>
      </w:r>
      <w:r w:rsidRPr="006E709F">
        <w:tab/>
        <w:t>incidental fees.</w:t>
      </w:r>
    </w:p>
    <w:p w14:paraId="3F2060A6" w14:textId="77777777" w:rsidR="00E93F58" w:rsidRPr="006E709F" w:rsidRDefault="00E93F58" w:rsidP="00D5406C">
      <w:pPr>
        <w:pStyle w:val="ActHead5"/>
      </w:pPr>
      <w:bookmarkStart w:id="3383" w:name="_Toc151992440"/>
      <w:bookmarkStart w:id="3384" w:name="_Toc158713477"/>
      <w:r w:rsidRPr="000C4237">
        <w:rPr>
          <w:rStyle w:val="CharSectno"/>
        </w:rPr>
        <w:t>103</w:t>
      </w:r>
      <w:r w:rsidRPr="006E709F">
        <w:t xml:space="preserve">  Meaning of </w:t>
      </w:r>
      <w:r w:rsidRPr="006E709F">
        <w:rPr>
          <w:i/>
        </w:rPr>
        <w:t>transactional and operational costs</w:t>
      </w:r>
      <w:bookmarkEnd w:id="3383"/>
      <w:bookmarkEnd w:id="3384"/>
    </w:p>
    <w:p w14:paraId="58288E27" w14:textId="77777777" w:rsidR="00E93F58" w:rsidRPr="006E709F" w:rsidRDefault="00E93F58" w:rsidP="00A801D0">
      <w:pPr>
        <w:pStyle w:val="subsection"/>
      </w:pPr>
      <w:r w:rsidRPr="006E709F">
        <w:tab/>
      </w:r>
      <w:r w:rsidRPr="006E709F">
        <w:tab/>
      </w:r>
      <w:r w:rsidRPr="006E709F">
        <w:rPr>
          <w:b/>
          <w:i/>
        </w:rPr>
        <w:t>Transactional and operational costs</w:t>
      </w:r>
      <w:r w:rsidRPr="006E709F">
        <w:t xml:space="preserve"> include the following:</w:t>
      </w:r>
    </w:p>
    <w:p w14:paraId="26E263CF" w14:textId="77777777" w:rsidR="00E93F58" w:rsidRPr="006E709F" w:rsidRDefault="00E93F58" w:rsidP="00A801D0">
      <w:pPr>
        <w:pStyle w:val="paragraph"/>
      </w:pPr>
      <w:r w:rsidRPr="006E709F">
        <w:tab/>
        <w:t>(a)</w:t>
      </w:r>
      <w:r w:rsidRPr="006E709F">
        <w:tab/>
        <w:t>brokerage;</w:t>
      </w:r>
    </w:p>
    <w:p w14:paraId="561BB66B" w14:textId="77777777" w:rsidR="00E93F58" w:rsidRPr="006E709F" w:rsidRDefault="00E93F58" w:rsidP="00A801D0">
      <w:pPr>
        <w:pStyle w:val="paragraph"/>
      </w:pPr>
      <w:r w:rsidRPr="006E709F">
        <w:tab/>
        <w:t>(b)</w:t>
      </w:r>
      <w:r w:rsidRPr="006E709F">
        <w:tab/>
        <w:t>buy</w:t>
      </w:r>
      <w:r>
        <w:noBreakHyphen/>
      </w:r>
      <w:r w:rsidRPr="006E709F">
        <w:t>sell spread;</w:t>
      </w:r>
    </w:p>
    <w:p w14:paraId="003205E2" w14:textId="77777777" w:rsidR="00E93F58" w:rsidRPr="006E709F" w:rsidRDefault="00E93F58" w:rsidP="00A801D0">
      <w:pPr>
        <w:pStyle w:val="paragraph"/>
      </w:pPr>
      <w:r w:rsidRPr="006E709F">
        <w:tab/>
        <w:t>(c)</w:t>
      </w:r>
      <w:r w:rsidRPr="006E709F">
        <w:tab/>
        <w:t>settlement costs (including custody costs);</w:t>
      </w:r>
    </w:p>
    <w:p w14:paraId="1A186EDE" w14:textId="77777777" w:rsidR="00E93F58" w:rsidRPr="006E709F" w:rsidRDefault="00E93F58" w:rsidP="00A801D0">
      <w:pPr>
        <w:pStyle w:val="paragraph"/>
      </w:pPr>
      <w:r w:rsidRPr="006E709F">
        <w:tab/>
        <w:t>(d)</w:t>
      </w:r>
      <w:r w:rsidRPr="006E709F">
        <w:tab/>
        <w:t>clearing costs;</w:t>
      </w:r>
    </w:p>
    <w:p w14:paraId="3662043B" w14:textId="77777777" w:rsidR="00E93F58" w:rsidRPr="006E709F" w:rsidRDefault="00E93F58" w:rsidP="00A801D0">
      <w:pPr>
        <w:pStyle w:val="paragraph"/>
      </w:pPr>
      <w:r w:rsidRPr="006E709F">
        <w:tab/>
        <w:t>(e)</w:t>
      </w:r>
      <w:r w:rsidRPr="006E709F">
        <w:tab/>
        <w:t>stamp duty on an investment transaction.</w:t>
      </w:r>
    </w:p>
    <w:p w14:paraId="69491B83" w14:textId="77777777" w:rsidR="00E93F58" w:rsidRPr="006E709F" w:rsidRDefault="00E93F58" w:rsidP="00D5406C">
      <w:pPr>
        <w:pStyle w:val="ActHead5"/>
      </w:pPr>
      <w:bookmarkStart w:id="3385" w:name="_Toc151992441"/>
      <w:bookmarkStart w:id="3386" w:name="_Toc158713478"/>
      <w:r w:rsidRPr="000C4237">
        <w:rPr>
          <w:rStyle w:val="CharSectno"/>
        </w:rPr>
        <w:t>104</w:t>
      </w:r>
      <w:r w:rsidRPr="006E709F">
        <w:t xml:space="preserve">  Meaning of </w:t>
      </w:r>
      <w:r w:rsidRPr="006E709F">
        <w:rPr>
          <w:i/>
        </w:rPr>
        <w:t>indirect cost ratio (ICR)</w:t>
      </w:r>
      <w:bookmarkEnd w:id="3385"/>
      <w:bookmarkEnd w:id="3386"/>
    </w:p>
    <w:p w14:paraId="34B158F7" w14:textId="77777777" w:rsidR="00E93F58" w:rsidRPr="006E709F" w:rsidRDefault="00E93F58" w:rsidP="00677261">
      <w:pPr>
        <w:pStyle w:val="subsection"/>
      </w:pPr>
      <w:r w:rsidRPr="006E709F">
        <w:tab/>
        <w:t>(1)</w:t>
      </w:r>
      <w:r w:rsidRPr="006E709F">
        <w:tab/>
        <w:t xml:space="preserve">The </w:t>
      </w:r>
      <w:r w:rsidRPr="006E709F">
        <w:rPr>
          <w:b/>
          <w:i/>
        </w:rPr>
        <w:t xml:space="preserve">indirect cost ratio </w:t>
      </w:r>
      <w:r w:rsidRPr="006E709F">
        <w:t>(</w:t>
      </w:r>
      <w:r w:rsidRPr="006E709F">
        <w:rPr>
          <w:b/>
          <w:i/>
        </w:rPr>
        <w:t>ICR</w:t>
      </w:r>
      <w:r w:rsidRPr="006E709F">
        <w:t>), for a MySuper product or an investment option offered by a superannuation entity, is the ratio of the total of the indirect costs for the MySuper product or investment option, to the total average net assets of the superannuation entity attributed to the MySuper product or investment option.</w:t>
      </w:r>
    </w:p>
    <w:p w14:paraId="12AED68C" w14:textId="77777777" w:rsidR="00E93F58" w:rsidRPr="006E709F" w:rsidRDefault="00E93F58" w:rsidP="00677261">
      <w:pPr>
        <w:pStyle w:val="notetext"/>
      </w:pPr>
      <w:r w:rsidRPr="006E709F">
        <w:t>Note:</w:t>
      </w:r>
      <w:r w:rsidRPr="006E709F">
        <w:tab/>
        <w:t>A fee deducted directly from a member’s account is not included in the indirect cost ratio.</w:t>
      </w:r>
    </w:p>
    <w:p w14:paraId="58697207" w14:textId="77777777" w:rsidR="00E93F58" w:rsidRPr="006E709F" w:rsidRDefault="00E93F58" w:rsidP="00677261">
      <w:pPr>
        <w:pStyle w:val="subsection"/>
      </w:pPr>
      <w:r w:rsidRPr="006E709F">
        <w:tab/>
        <w:t>(1A)</w:t>
      </w:r>
      <w:r w:rsidRPr="006E709F">
        <w:tab/>
        <w:t xml:space="preserve">The </w:t>
      </w:r>
      <w:r w:rsidRPr="006E709F">
        <w:rPr>
          <w:b/>
          <w:i/>
        </w:rPr>
        <w:t xml:space="preserve">indirect cost ratio </w:t>
      </w:r>
      <w:r w:rsidRPr="006E709F">
        <w:t>(</w:t>
      </w:r>
      <w:r w:rsidRPr="006E709F">
        <w:rPr>
          <w:b/>
          <w:i/>
        </w:rPr>
        <w:t>ICR</w:t>
      </w:r>
      <w:r w:rsidRPr="006E709F">
        <w:t>), for an investment option offered by a managed investment scheme, is the ratio of the management costs for the option that are not deducted directly from a product holder’s account, to the total average net assets of the managed investment scheme that relates to the investment option.</w:t>
      </w:r>
    </w:p>
    <w:p w14:paraId="60486715" w14:textId="77777777" w:rsidR="00E93F58" w:rsidRPr="006E709F" w:rsidRDefault="00E93F58" w:rsidP="00677261">
      <w:pPr>
        <w:pStyle w:val="notetext"/>
      </w:pPr>
      <w:r w:rsidRPr="006E709F">
        <w:t>Note:</w:t>
      </w:r>
      <w:r w:rsidRPr="006E709F">
        <w:tab/>
        <w:t>A fee deducted directly from a product holder’s account is not included in the indirect cost ratio.</w:t>
      </w:r>
    </w:p>
    <w:p w14:paraId="54A78A16" w14:textId="77777777" w:rsidR="00E93F58" w:rsidRPr="006E709F" w:rsidRDefault="00E93F58" w:rsidP="001C486F">
      <w:pPr>
        <w:pStyle w:val="subsection"/>
      </w:pPr>
      <w:bookmarkStart w:id="3387" w:name="_Hlk96337762"/>
      <w:r w:rsidRPr="006E709F">
        <w:tab/>
        <w:t>(1B)</w:t>
      </w:r>
      <w:r w:rsidRPr="006E709F">
        <w:tab/>
        <w:t>For an investment option that is a sub</w:t>
      </w:r>
      <w:r>
        <w:noBreakHyphen/>
      </w:r>
      <w:r w:rsidRPr="006E709F">
        <w:t xml:space="preserve">fund of a retail CCIV, the </w:t>
      </w:r>
      <w:r w:rsidRPr="006E709F">
        <w:rPr>
          <w:b/>
          <w:i/>
        </w:rPr>
        <w:t>indirect cost ratio</w:t>
      </w:r>
      <w:r w:rsidRPr="006E709F">
        <w:t xml:space="preserve"> (</w:t>
      </w:r>
      <w:r w:rsidRPr="006E709F">
        <w:rPr>
          <w:b/>
          <w:i/>
        </w:rPr>
        <w:t>ICR</w:t>
      </w:r>
      <w:r w:rsidRPr="006E709F">
        <w:t>) for the option is the ratio of the management costs for all</w:t>
      </w:r>
      <w:r w:rsidRPr="006E709F">
        <w:rPr>
          <w:i/>
        </w:rPr>
        <w:t xml:space="preserve"> </w:t>
      </w:r>
      <w:r w:rsidRPr="006E709F">
        <w:t>securities referable to the sub</w:t>
      </w:r>
      <w:r>
        <w:noBreakHyphen/>
      </w:r>
      <w:r w:rsidRPr="006E709F">
        <w:t>fund that are not deducted directly from a product holder’s account to the total average net assets of the sub</w:t>
      </w:r>
      <w:r>
        <w:noBreakHyphen/>
      </w:r>
      <w:r w:rsidRPr="006E709F">
        <w:t>fund.</w:t>
      </w:r>
    </w:p>
    <w:p w14:paraId="3A6958B1" w14:textId="77777777" w:rsidR="00E93F58" w:rsidRPr="006E709F" w:rsidRDefault="00E93F58" w:rsidP="001C486F">
      <w:pPr>
        <w:pStyle w:val="notetext"/>
      </w:pPr>
      <w:r w:rsidRPr="006E709F">
        <w:t>Note:</w:t>
      </w:r>
      <w:r w:rsidRPr="006E709F">
        <w:tab/>
        <w:t>A fee deducted directly from a product holder’s account is not included in the indirect cost ratio.</w:t>
      </w:r>
    </w:p>
    <w:bookmarkEnd w:id="3387"/>
    <w:p w14:paraId="767C4AF3" w14:textId="77777777" w:rsidR="00E93F58" w:rsidRPr="006E709F" w:rsidRDefault="00E93F58" w:rsidP="00A801D0">
      <w:pPr>
        <w:pStyle w:val="subsection"/>
      </w:pPr>
      <w:r w:rsidRPr="006E709F">
        <w:tab/>
        <w:t>(2)</w:t>
      </w:r>
      <w:r w:rsidRPr="006E709F">
        <w:tab/>
        <w:t>The ICR for a Product Disclosure Statement is to be determined for the financial year before the Product Disclosure Statement is issued.</w:t>
      </w:r>
    </w:p>
    <w:p w14:paraId="19544584" w14:textId="77777777" w:rsidR="00E93F58" w:rsidRPr="006E709F" w:rsidRDefault="00E93F58" w:rsidP="00A801D0">
      <w:pPr>
        <w:pStyle w:val="subsection"/>
      </w:pPr>
      <w:r w:rsidRPr="006E709F">
        <w:tab/>
        <w:t>(3)</w:t>
      </w:r>
      <w:r w:rsidRPr="006E709F">
        <w:tab/>
        <w:t>The ICR for a periodic statement is to be determined over the latest reporting period.</w:t>
      </w:r>
    </w:p>
    <w:p w14:paraId="50FB8888" w14:textId="77777777" w:rsidR="00E93F58" w:rsidRPr="006E709F" w:rsidRDefault="00E93F58" w:rsidP="00A801D0">
      <w:pPr>
        <w:pStyle w:val="ActHead2"/>
        <w:pageBreakBefore/>
      </w:pPr>
      <w:bookmarkStart w:id="3388" w:name="_Toc151992442"/>
      <w:bookmarkStart w:id="3389" w:name="_Toc158713479"/>
      <w:r w:rsidRPr="000C4237">
        <w:rPr>
          <w:rStyle w:val="CharPartNo"/>
        </w:rPr>
        <w:lastRenderedPageBreak/>
        <w:t>Part 2</w:t>
      </w:r>
      <w:r w:rsidRPr="006E709F">
        <w:t>—</w:t>
      </w:r>
      <w:r w:rsidRPr="000C4237">
        <w:rPr>
          <w:rStyle w:val="CharPartText"/>
        </w:rPr>
        <w:t>Fees and Costs Template, example of annual fees and costs and Consumer Advisory Warning for Product Disclosure Statements</w:t>
      </w:r>
      <w:bookmarkEnd w:id="3388"/>
      <w:bookmarkEnd w:id="3389"/>
    </w:p>
    <w:p w14:paraId="5CB1B05B" w14:textId="77777777" w:rsidR="00E93F58" w:rsidRPr="006E709F" w:rsidRDefault="00E93F58" w:rsidP="00677261">
      <w:pPr>
        <w:pStyle w:val="ActHead3"/>
      </w:pPr>
      <w:bookmarkStart w:id="3390" w:name="_Toc151992443"/>
      <w:bookmarkStart w:id="3391" w:name="_Toc158713480"/>
      <w:r w:rsidRPr="000C4237">
        <w:rPr>
          <w:rStyle w:val="CharDivNo"/>
        </w:rPr>
        <w:t>Division 1</w:t>
      </w:r>
      <w:r w:rsidRPr="006E709F">
        <w:t>—</w:t>
      </w:r>
      <w:r w:rsidRPr="000C4237">
        <w:rPr>
          <w:rStyle w:val="CharDivText"/>
        </w:rPr>
        <w:t>The fees and costs template for superannuation products</w:t>
      </w:r>
      <w:bookmarkEnd w:id="3390"/>
      <w:bookmarkEnd w:id="3391"/>
    </w:p>
    <w:p w14:paraId="27C782EE" w14:textId="77777777" w:rsidR="00E93F58" w:rsidRPr="006E709F" w:rsidRDefault="00E93F58" w:rsidP="00677261">
      <w:pPr>
        <w:pStyle w:val="ActHead5"/>
      </w:pPr>
      <w:bookmarkStart w:id="3392" w:name="_Toc151992444"/>
      <w:bookmarkStart w:id="3393" w:name="_Toc158713481"/>
      <w:r w:rsidRPr="000C4237">
        <w:rPr>
          <w:rStyle w:val="CharSectno"/>
        </w:rPr>
        <w:t>201</w:t>
      </w:r>
      <w:r w:rsidRPr="006E709F">
        <w:t xml:space="preserve">  Template for superannuation products</w:t>
      </w:r>
      <w:bookmarkEnd w:id="3392"/>
      <w:bookmarkEnd w:id="3393"/>
    </w:p>
    <w:p w14:paraId="2BF69F35" w14:textId="77777777" w:rsidR="00E93F58" w:rsidRPr="006E709F" w:rsidRDefault="00E93F58" w:rsidP="000858E6">
      <w:pPr>
        <w:spacing w:before="120" w:line="276" w:lineRule="auto"/>
        <w:rPr>
          <w:rFonts w:ascii="Arial" w:hAnsi="Arial" w:cs="Arial"/>
          <w:b/>
          <w:sz w:val="24"/>
          <w:szCs w:val="24"/>
        </w:rPr>
      </w:pPr>
      <w:r w:rsidRPr="006E709F">
        <w:rPr>
          <w:rFonts w:ascii="Arial" w:hAnsi="Arial" w:cs="Arial"/>
          <w:b/>
          <w:sz w:val="24"/>
          <w:szCs w:val="24"/>
        </w:rPr>
        <w:t>Fees and other costs</w:t>
      </w:r>
    </w:p>
    <w:p w14:paraId="2F467751" w14:textId="77777777" w:rsidR="00E93F58" w:rsidRPr="006E709F" w:rsidRDefault="00E93F58" w:rsidP="00677261">
      <w:pPr>
        <w:spacing w:line="240" w:lineRule="auto"/>
      </w:pPr>
      <w:r w:rsidRPr="006E709F">
        <w:rPr>
          <w:rFonts w:ascii="Arial" w:hAnsi="Arial" w:cs="Arial"/>
          <w:sz w:val="19"/>
          <w:szCs w:val="19"/>
        </w:rPr>
        <w:t>T</w:t>
      </w:r>
      <w:r w:rsidRPr="006E709F">
        <w:t>his document shows fees and other costs that you may be charged. These fees and other costs may be deducted from your money, from the returns on your investment or from the assets of the superannuation entity as a whole.</w:t>
      </w:r>
    </w:p>
    <w:p w14:paraId="3D5C27B5" w14:textId="77777777" w:rsidR="00E93F58" w:rsidRPr="006E709F" w:rsidRDefault="00E93F58" w:rsidP="00677261">
      <w:pPr>
        <w:spacing w:line="240" w:lineRule="auto"/>
      </w:pPr>
    </w:p>
    <w:p w14:paraId="136C16F6" w14:textId="77777777" w:rsidR="00E93F58" w:rsidRPr="006E709F" w:rsidRDefault="00E93F58" w:rsidP="00677261">
      <w:pPr>
        <w:spacing w:line="240" w:lineRule="auto"/>
      </w:pPr>
      <w:r w:rsidRPr="006E709F">
        <w:t>Other fees, such as activity fees, advice fees for personal advice and insurance fees, may also be charged, but these will depend on the nature of the activity, advice or insurance chosen by you. Entry fees and exit fees cannot be charged.</w:t>
      </w:r>
    </w:p>
    <w:p w14:paraId="34B9846E" w14:textId="77777777" w:rsidR="00E93F58" w:rsidRPr="006E709F" w:rsidRDefault="00E93F58" w:rsidP="00677261">
      <w:pPr>
        <w:spacing w:line="240" w:lineRule="auto"/>
      </w:pPr>
    </w:p>
    <w:p w14:paraId="4C1A381E" w14:textId="77777777" w:rsidR="00E93F58" w:rsidRPr="006E709F" w:rsidRDefault="00E93F58" w:rsidP="00677261">
      <w:pPr>
        <w:spacing w:line="240" w:lineRule="auto"/>
      </w:pPr>
      <w:r w:rsidRPr="006E709F">
        <w:t>Taxes, insurance fees and other costs relating to insurance are set out in another part of this document.</w:t>
      </w:r>
    </w:p>
    <w:p w14:paraId="24E7ADAB" w14:textId="77777777" w:rsidR="00E93F58" w:rsidRPr="006E709F" w:rsidRDefault="00E93F58" w:rsidP="00677261"/>
    <w:p w14:paraId="66FE39A2" w14:textId="77777777" w:rsidR="00E93F58" w:rsidRPr="006E709F" w:rsidRDefault="00E93F58" w:rsidP="00677261">
      <w:pPr>
        <w:spacing w:line="240" w:lineRule="auto"/>
      </w:pPr>
      <w:r w:rsidRPr="006E709F">
        <w:t>You should read all the information about fees and other costs because it is important to understand their impact on your investment.</w:t>
      </w:r>
    </w:p>
    <w:p w14:paraId="41F5E4C0" w14:textId="77777777" w:rsidR="00E93F58" w:rsidRPr="006E709F" w:rsidRDefault="00E93F58" w:rsidP="00677261">
      <w:pPr>
        <w:spacing w:line="240" w:lineRule="auto"/>
      </w:pPr>
    </w:p>
    <w:p w14:paraId="11557EFB" w14:textId="77777777" w:rsidR="00E93F58" w:rsidRPr="006E709F" w:rsidRDefault="00E93F58" w:rsidP="00677261">
      <w:pPr>
        <w:spacing w:line="240" w:lineRule="auto"/>
      </w:pPr>
      <w:r w:rsidRPr="006E709F">
        <w:rPr>
          <w:i/>
        </w:rPr>
        <w:t xml:space="preserve">[If relevant] </w:t>
      </w:r>
      <w:r w:rsidRPr="006E709F">
        <w:t xml:space="preserve">The fees and other costs for each MySuper product offered by the superannuation entity, and each investment option offered by the entity, are set out on page </w:t>
      </w:r>
      <w:r w:rsidRPr="006E709F">
        <w:rPr>
          <w:i/>
        </w:rPr>
        <w:t>[insert page number]</w:t>
      </w:r>
      <w:r w:rsidRPr="006E709F">
        <w:t>.</w:t>
      </w:r>
    </w:p>
    <w:p w14:paraId="17F525DF" w14:textId="77777777" w:rsidR="00E93F58" w:rsidRPr="006E709F" w:rsidRDefault="00E93F58" w:rsidP="000858E6">
      <w:pPr>
        <w:spacing w:line="240" w:lineRule="auto"/>
        <w:rPr>
          <w:sz w:val="16"/>
          <w:szCs w:val="16"/>
        </w:rPr>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3591"/>
        <w:gridCol w:w="3592"/>
        <w:gridCol w:w="3590"/>
      </w:tblGrid>
      <w:tr w:rsidR="00E93F58" w:rsidRPr="006E709F" w14:paraId="3DEB145F" w14:textId="77777777" w:rsidTr="00E118FA">
        <w:trPr>
          <w:tblHeader/>
        </w:trPr>
        <w:tc>
          <w:tcPr>
            <w:tcW w:w="5000" w:type="pct"/>
            <w:gridSpan w:val="3"/>
            <w:tcBorders>
              <w:top w:val="single" w:sz="12" w:space="0" w:color="auto"/>
              <w:bottom w:val="single" w:sz="6" w:space="0" w:color="auto"/>
            </w:tcBorders>
            <w:shd w:val="clear" w:color="auto" w:fill="auto"/>
          </w:tcPr>
          <w:p w14:paraId="32BAA8D0" w14:textId="77777777" w:rsidR="00E93F58" w:rsidRPr="006E709F" w:rsidRDefault="00E93F58" w:rsidP="006A221B">
            <w:pPr>
              <w:pStyle w:val="TableHeading"/>
              <w:rPr>
                <w:i/>
              </w:rPr>
            </w:pPr>
            <w:r w:rsidRPr="006E709F">
              <w:rPr>
                <w:i/>
              </w:rPr>
              <w:t>[Name of superannuation product]</w:t>
            </w:r>
          </w:p>
        </w:tc>
      </w:tr>
      <w:tr w:rsidR="00E93F58" w:rsidRPr="006E709F" w14:paraId="3072ADD9" w14:textId="77777777" w:rsidTr="00E118FA">
        <w:trPr>
          <w:tblHeader/>
        </w:trPr>
        <w:tc>
          <w:tcPr>
            <w:tcW w:w="1667" w:type="pct"/>
            <w:tcBorders>
              <w:top w:val="single" w:sz="6" w:space="0" w:color="auto"/>
              <w:bottom w:val="single" w:sz="12" w:space="0" w:color="auto"/>
            </w:tcBorders>
            <w:shd w:val="clear" w:color="auto" w:fill="auto"/>
          </w:tcPr>
          <w:p w14:paraId="7E794E0F" w14:textId="77777777" w:rsidR="00E93F58" w:rsidRPr="006E709F" w:rsidRDefault="00E93F58" w:rsidP="006A221B">
            <w:pPr>
              <w:pStyle w:val="TableHeading"/>
              <w:rPr>
                <w:i/>
              </w:rPr>
            </w:pPr>
            <w:r w:rsidRPr="006E709F">
              <w:rPr>
                <w:i/>
              </w:rPr>
              <w:t>Type of fee</w:t>
            </w:r>
          </w:p>
        </w:tc>
        <w:tc>
          <w:tcPr>
            <w:tcW w:w="1667" w:type="pct"/>
            <w:tcBorders>
              <w:top w:val="single" w:sz="6" w:space="0" w:color="auto"/>
              <w:bottom w:val="single" w:sz="12" w:space="0" w:color="auto"/>
            </w:tcBorders>
            <w:shd w:val="clear" w:color="auto" w:fill="auto"/>
          </w:tcPr>
          <w:p w14:paraId="0EB49594" w14:textId="77777777" w:rsidR="00E93F58" w:rsidRPr="006E709F" w:rsidRDefault="00E93F58" w:rsidP="006A221B">
            <w:pPr>
              <w:pStyle w:val="TableHeading"/>
            </w:pPr>
            <w:r w:rsidRPr="006E709F">
              <w:t>Amount</w:t>
            </w:r>
          </w:p>
        </w:tc>
        <w:tc>
          <w:tcPr>
            <w:tcW w:w="1666" w:type="pct"/>
            <w:tcBorders>
              <w:top w:val="single" w:sz="6" w:space="0" w:color="auto"/>
              <w:bottom w:val="single" w:sz="12" w:space="0" w:color="auto"/>
            </w:tcBorders>
            <w:shd w:val="clear" w:color="auto" w:fill="auto"/>
          </w:tcPr>
          <w:p w14:paraId="40DB199F" w14:textId="77777777" w:rsidR="00E93F58" w:rsidRPr="006E709F" w:rsidRDefault="00E93F58" w:rsidP="006A221B">
            <w:pPr>
              <w:pStyle w:val="TableHeading"/>
            </w:pPr>
            <w:r w:rsidRPr="006E709F">
              <w:t>How and when paid</w:t>
            </w:r>
          </w:p>
        </w:tc>
      </w:tr>
      <w:tr w:rsidR="00E93F58" w:rsidRPr="006E709F" w14:paraId="3E881B4A" w14:textId="77777777" w:rsidTr="00E118FA">
        <w:tc>
          <w:tcPr>
            <w:tcW w:w="1667" w:type="pct"/>
            <w:tcBorders>
              <w:top w:val="single" w:sz="12" w:space="0" w:color="auto"/>
            </w:tcBorders>
            <w:shd w:val="clear" w:color="auto" w:fill="auto"/>
          </w:tcPr>
          <w:p w14:paraId="3A842371" w14:textId="77777777" w:rsidR="00E93F58" w:rsidRPr="006E709F" w:rsidRDefault="00E93F58" w:rsidP="006A221B">
            <w:pPr>
              <w:pStyle w:val="Tabletext"/>
              <w:rPr>
                <w:i/>
              </w:rPr>
            </w:pPr>
            <w:r w:rsidRPr="006E709F">
              <w:rPr>
                <w:i/>
              </w:rPr>
              <w:t>Investment fee¹</w:t>
            </w:r>
          </w:p>
        </w:tc>
        <w:tc>
          <w:tcPr>
            <w:tcW w:w="1667" w:type="pct"/>
            <w:tcBorders>
              <w:top w:val="single" w:sz="12" w:space="0" w:color="auto"/>
            </w:tcBorders>
            <w:shd w:val="clear" w:color="auto" w:fill="auto"/>
          </w:tcPr>
          <w:p w14:paraId="7A507612" w14:textId="77777777" w:rsidR="00E93F58" w:rsidRPr="006E709F" w:rsidRDefault="00E93F58" w:rsidP="006A221B">
            <w:pPr>
              <w:pStyle w:val="Tabletext"/>
              <w:rPr>
                <w:i/>
              </w:rPr>
            </w:pPr>
          </w:p>
        </w:tc>
        <w:tc>
          <w:tcPr>
            <w:tcW w:w="1666" w:type="pct"/>
            <w:tcBorders>
              <w:top w:val="single" w:sz="12" w:space="0" w:color="auto"/>
            </w:tcBorders>
            <w:shd w:val="clear" w:color="auto" w:fill="auto"/>
          </w:tcPr>
          <w:p w14:paraId="7BCE9070" w14:textId="77777777" w:rsidR="00E93F58" w:rsidRPr="006E709F" w:rsidRDefault="00E93F58" w:rsidP="006A221B">
            <w:pPr>
              <w:pStyle w:val="Tabletext"/>
              <w:rPr>
                <w:i/>
              </w:rPr>
            </w:pPr>
          </w:p>
        </w:tc>
      </w:tr>
      <w:tr w:rsidR="00E93F58" w:rsidRPr="006E709F" w14:paraId="355B98DA" w14:textId="77777777" w:rsidTr="00E118FA">
        <w:tc>
          <w:tcPr>
            <w:tcW w:w="1667" w:type="pct"/>
            <w:shd w:val="clear" w:color="auto" w:fill="auto"/>
          </w:tcPr>
          <w:p w14:paraId="068BB071" w14:textId="77777777" w:rsidR="00E93F58" w:rsidRPr="006E709F" w:rsidRDefault="00E93F58" w:rsidP="006A221B">
            <w:pPr>
              <w:pStyle w:val="Tabletext"/>
              <w:rPr>
                <w:i/>
              </w:rPr>
            </w:pPr>
            <w:r w:rsidRPr="006E709F">
              <w:rPr>
                <w:i/>
              </w:rPr>
              <w:t>Administration fee¹</w:t>
            </w:r>
          </w:p>
        </w:tc>
        <w:tc>
          <w:tcPr>
            <w:tcW w:w="1667" w:type="pct"/>
            <w:shd w:val="clear" w:color="auto" w:fill="auto"/>
          </w:tcPr>
          <w:p w14:paraId="37FC8843" w14:textId="77777777" w:rsidR="00E93F58" w:rsidRPr="006E709F" w:rsidRDefault="00E93F58" w:rsidP="006A221B">
            <w:pPr>
              <w:pStyle w:val="Tabletext"/>
              <w:rPr>
                <w:i/>
              </w:rPr>
            </w:pPr>
          </w:p>
        </w:tc>
        <w:tc>
          <w:tcPr>
            <w:tcW w:w="1666" w:type="pct"/>
            <w:shd w:val="clear" w:color="auto" w:fill="auto"/>
          </w:tcPr>
          <w:p w14:paraId="6E04486E" w14:textId="77777777" w:rsidR="00E93F58" w:rsidRPr="006E709F" w:rsidRDefault="00E93F58" w:rsidP="006A221B">
            <w:pPr>
              <w:pStyle w:val="Tabletext"/>
              <w:rPr>
                <w:i/>
              </w:rPr>
            </w:pPr>
          </w:p>
        </w:tc>
      </w:tr>
      <w:tr w:rsidR="00E93F58" w:rsidRPr="006E709F" w14:paraId="30933245" w14:textId="77777777" w:rsidTr="00E118FA">
        <w:tc>
          <w:tcPr>
            <w:tcW w:w="1667" w:type="pct"/>
            <w:shd w:val="clear" w:color="auto" w:fill="auto"/>
          </w:tcPr>
          <w:p w14:paraId="1603A476" w14:textId="77777777" w:rsidR="00E93F58" w:rsidRPr="006E709F" w:rsidRDefault="00E93F58" w:rsidP="006A221B">
            <w:pPr>
              <w:pStyle w:val="Tabletext"/>
              <w:rPr>
                <w:i/>
              </w:rPr>
            </w:pPr>
            <w:r w:rsidRPr="006E709F">
              <w:rPr>
                <w:i/>
              </w:rPr>
              <w:t>Buy</w:t>
            </w:r>
            <w:r>
              <w:rPr>
                <w:i/>
              </w:rPr>
              <w:noBreakHyphen/>
            </w:r>
            <w:r w:rsidRPr="006E709F">
              <w:rPr>
                <w:i/>
              </w:rPr>
              <w:t>sell spread</w:t>
            </w:r>
          </w:p>
        </w:tc>
        <w:tc>
          <w:tcPr>
            <w:tcW w:w="1667" w:type="pct"/>
            <w:shd w:val="clear" w:color="auto" w:fill="auto"/>
          </w:tcPr>
          <w:p w14:paraId="24C8FE5D" w14:textId="77777777" w:rsidR="00E93F58" w:rsidRPr="006E709F" w:rsidRDefault="00E93F58" w:rsidP="006A221B">
            <w:pPr>
              <w:pStyle w:val="Tabletext"/>
              <w:rPr>
                <w:i/>
              </w:rPr>
            </w:pPr>
          </w:p>
        </w:tc>
        <w:tc>
          <w:tcPr>
            <w:tcW w:w="1666" w:type="pct"/>
            <w:shd w:val="clear" w:color="auto" w:fill="auto"/>
          </w:tcPr>
          <w:p w14:paraId="4DD2F1CD" w14:textId="77777777" w:rsidR="00E93F58" w:rsidRPr="006E709F" w:rsidRDefault="00E93F58" w:rsidP="006A221B">
            <w:pPr>
              <w:pStyle w:val="Tabletext"/>
              <w:rPr>
                <w:i/>
              </w:rPr>
            </w:pPr>
          </w:p>
        </w:tc>
      </w:tr>
      <w:tr w:rsidR="00E93F58" w:rsidRPr="006E709F" w14:paraId="18FEE772" w14:textId="77777777" w:rsidTr="00E118FA">
        <w:tc>
          <w:tcPr>
            <w:tcW w:w="1667" w:type="pct"/>
            <w:shd w:val="clear" w:color="auto" w:fill="auto"/>
          </w:tcPr>
          <w:p w14:paraId="19FC5104" w14:textId="77777777" w:rsidR="00E93F58" w:rsidRPr="006E709F" w:rsidRDefault="00E93F58" w:rsidP="006A221B">
            <w:pPr>
              <w:pStyle w:val="Tabletext"/>
              <w:rPr>
                <w:i/>
              </w:rPr>
            </w:pPr>
            <w:r w:rsidRPr="006E709F">
              <w:rPr>
                <w:i/>
              </w:rPr>
              <w:t>Switching fee</w:t>
            </w:r>
          </w:p>
        </w:tc>
        <w:tc>
          <w:tcPr>
            <w:tcW w:w="1667" w:type="pct"/>
            <w:shd w:val="clear" w:color="auto" w:fill="auto"/>
          </w:tcPr>
          <w:p w14:paraId="7FBCD905" w14:textId="77777777" w:rsidR="00E93F58" w:rsidRPr="006E709F" w:rsidRDefault="00E93F58" w:rsidP="006A221B">
            <w:pPr>
              <w:pStyle w:val="Tabletext"/>
              <w:rPr>
                <w:i/>
              </w:rPr>
            </w:pPr>
          </w:p>
        </w:tc>
        <w:tc>
          <w:tcPr>
            <w:tcW w:w="1666" w:type="pct"/>
            <w:shd w:val="clear" w:color="auto" w:fill="auto"/>
          </w:tcPr>
          <w:p w14:paraId="0ADE9B77" w14:textId="77777777" w:rsidR="00E93F58" w:rsidRPr="006E709F" w:rsidRDefault="00E93F58" w:rsidP="006A221B">
            <w:pPr>
              <w:pStyle w:val="Tabletext"/>
              <w:rPr>
                <w:i/>
              </w:rPr>
            </w:pPr>
          </w:p>
        </w:tc>
      </w:tr>
      <w:tr w:rsidR="00E93F58" w:rsidRPr="006E709F" w14:paraId="1D9B75ED" w14:textId="77777777" w:rsidTr="00E118FA">
        <w:tc>
          <w:tcPr>
            <w:tcW w:w="1667" w:type="pct"/>
            <w:tcBorders>
              <w:bottom w:val="single" w:sz="4" w:space="0" w:color="auto"/>
            </w:tcBorders>
            <w:shd w:val="clear" w:color="auto" w:fill="auto"/>
          </w:tcPr>
          <w:p w14:paraId="0601B145" w14:textId="77777777" w:rsidR="00E93F58" w:rsidRPr="006E709F" w:rsidRDefault="00E93F58" w:rsidP="006A221B">
            <w:pPr>
              <w:pStyle w:val="Tabletext"/>
              <w:rPr>
                <w:i/>
              </w:rPr>
            </w:pPr>
            <w:r w:rsidRPr="006E709F">
              <w:rPr>
                <w:i/>
              </w:rPr>
              <w:t>Advice fees</w:t>
            </w:r>
          </w:p>
          <w:p w14:paraId="09FA6808" w14:textId="77777777" w:rsidR="00E93F58" w:rsidRPr="006E709F" w:rsidRDefault="00E93F58" w:rsidP="006A221B">
            <w:pPr>
              <w:pStyle w:val="Tabletext"/>
            </w:pPr>
            <w:r w:rsidRPr="006E709F">
              <w:t>relating to all members investing in a particular MySuper product or investment option</w:t>
            </w:r>
          </w:p>
        </w:tc>
        <w:tc>
          <w:tcPr>
            <w:tcW w:w="1667" w:type="pct"/>
            <w:tcBorders>
              <w:bottom w:val="single" w:sz="4" w:space="0" w:color="auto"/>
            </w:tcBorders>
            <w:shd w:val="clear" w:color="auto" w:fill="auto"/>
          </w:tcPr>
          <w:p w14:paraId="6675A4B7" w14:textId="77777777" w:rsidR="00E93F58" w:rsidRPr="006E709F" w:rsidRDefault="00E93F58" w:rsidP="005133DE">
            <w:pPr>
              <w:pStyle w:val="Tabletext"/>
            </w:pPr>
          </w:p>
        </w:tc>
        <w:tc>
          <w:tcPr>
            <w:tcW w:w="1666" w:type="pct"/>
            <w:tcBorders>
              <w:bottom w:val="single" w:sz="4" w:space="0" w:color="auto"/>
            </w:tcBorders>
            <w:shd w:val="clear" w:color="auto" w:fill="auto"/>
          </w:tcPr>
          <w:p w14:paraId="4A3CE7F5" w14:textId="77777777" w:rsidR="00E93F58" w:rsidRPr="006E709F" w:rsidRDefault="00E93F58" w:rsidP="005133DE">
            <w:pPr>
              <w:pStyle w:val="Tabletext"/>
            </w:pPr>
          </w:p>
        </w:tc>
      </w:tr>
      <w:tr w:rsidR="00E93F58" w:rsidRPr="006E709F" w14:paraId="767B9BB4" w14:textId="77777777" w:rsidTr="00E118FA">
        <w:tc>
          <w:tcPr>
            <w:tcW w:w="1667" w:type="pct"/>
            <w:shd w:val="clear" w:color="auto" w:fill="auto"/>
          </w:tcPr>
          <w:p w14:paraId="7007C95B" w14:textId="77777777" w:rsidR="00E93F58" w:rsidRPr="006E709F" w:rsidRDefault="00E93F58" w:rsidP="006A221B">
            <w:pPr>
              <w:pStyle w:val="Tabletext"/>
              <w:rPr>
                <w:i/>
              </w:rPr>
            </w:pPr>
            <w:r w:rsidRPr="006E709F">
              <w:rPr>
                <w:i/>
              </w:rPr>
              <w:t>Other fees and costs²</w:t>
            </w:r>
          </w:p>
        </w:tc>
        <w:tc>
          <w:tcPr>
            <w:tcW w:w="1667" w:type="pct"/>
            <w:shd w:val="clear" w:color="auto" w:fill="auto"/>
          </w:tcPr>
          <w:p w14:paraId="75C4941A" w14:textId="77777777" w:rsidR="00E93F58" w:rsidRPr="006E709F" w:rsidRDefault="00E93F58" w:rsidP="006A221B">
            <w:pPr>
              <w:pStyle w:val="Tabletext"/>
              <w:rPr>
                <w:i/>
              </w:rPr>
            </w:pPr>
          </w:p>
        </w:tc>
        <w:tc>
          <w:tcPr>
            <w:tcW w:w="1666" w:type="pct"/>
            <w:shd w:val="clear" w:color="auto" w:fill="auto"/>
          </w:tcPr>
          <w:p w14:paraId="1172A6F4" w14:textId="77777777" w:rsidR="00E93F58" w:rsidRPr="006E709F" w:rsidRDefault="00E93F58" w:rsidP="006A221B">
            <w:pPr>
              <w:pStyle w:val="Tabletext"/>
              <w:rPr>
                <w:i/>
              </w:rPr>
            </w:pPr>
          </w:p>
        </w:tc>
      </w:tr>
      <w:tr w:rsidR="00E93F58" w:rsidRPr="006E709F" w14:paraId="62BC0E12" w14:textId="77777777" w:rsidTr="00E118FA">
        <w:tc>
          <w:tcPr>
            <w:tcW w:w="1667" w:type="pct"/>
            <w:tcBorders>
              <w:bottom w:val="single" w:sz="12" w:space="0" w:color="auto"/>
            </w:tcBorders>
            <w:shd w:val="clear" w:color="auto" w:fill="auto"/>
          </w:tcPr>
          <w:p w14:paraId="7F114A03" w14:textId="77777777" w:rsidR="00E93F58" w:rsidRPr="006E709F" w:rsidRDefault="00E93F58" w:rsidP="006A221B">
            <w:pPr>
              <w:pStyle w:val="Tabletext"/>
              <w:rPr>
                <w:i/>
              </w:rPr>
            </w:pPr>
            <w:r w:rsidRPr="006E709F">
              <w:rPr>
                <w:i/>
              </w:rPr>
              <w:t>Indirect cost ratio¹</w:t>
            </w:r>
          </w:p>
        </w:tc>
        <w:tc>
          <w:tcPr>
            <w:tcW w:w="1667" w:type="pct"/>
            <w:tcBorders>
              <w:bottom w:val="single" w:sz="12" w:space="0" w:color="auto"/>
            </w:tcBorders>
            <w:shd w:val="clear" w:color="auto" w:fill="auto"/>
          </w:tcPr>
          <w:p w14:paraId="55515E95" w14:textId="77777777" w:rsidR="00E93F58" w:rsidRPr="006E709F" w:rsidRDefault="00E93F58" w:rsidP="006A221B">
            <w:pPr>
              <w:pStyle w:val="Tabletext"/>
              <w:rPr>
                <w:i/>
              </w:rPr>
            </w:pPr>
          </w:p>
        </w:tc>
        <w:tc>
          <w:tcPr>
            <w:tcW w:w="1666" w:type="pct"/>
            <w:tcBorders>
              <w:bottom w:val="single" w:sz="12" w:space="0" w:color="auto"/>
            </w:tcBorders>
            <w:shd w:val="clear" w:color="auto" w:fill="auto"/>
          </w:tcPr>
          <w:p w14:paraId="2DA65FF5" w14:textId="77777777" w:rsidR="00E93F58" w:rsidRPr="006E709F" w:rsidRDefault="00E93F58" w:rsidP="006A221B">
            <w:pPr>
              <w:pStyle w:val="Tabletext"/>
              <w:rPr>
                <w:i/>
              </w:rPr>
            </w:pPr>
          </w:p>
        </w:tc>
      </w:tr>
    </w:tbl>
    <w:p w14:paraId="6374C119" w14:textId="77777777" w:rsidR="00E93F58" w:rsidRPr="006E709F" w:rsidRDefault="00E93F58" w:rsidP="00636892">
      <w:pPr>
        <w:pStyle w:val="notemargin"/>
      </w:pPr>
      <w:r w:rsidRPr="006E709F">
        <w:t>1.</w:t>
      </w:r>
      <w:r w:rsidRPr="006E709F">
        <w:tab/>
        <w:t>If your account balance for a product offered by the superannuation entity is less than $6,000 at the end of the entity’s income year, the total combined amount of administration fees, investment fees and indirect costs charged to you is capped at 3% of the account balance. Any amount charged in excess of that cap must be refunded.</w:t>
      </w:r>
    </w:p>
    <w:p w14:paraId="1120BFE4" w14:textId="77777777" w:rsidR="00E93F58" w:rsidRPr="006E709F" w:rsidRDefault="00E93F58" w:rsidP="00677261">
      <w:pPr>
        <w:pStyle w:val="notemargin"/>
        <w:rPr>
          <w:i/>
        </w:rPr>
      </w:pPr>
      <w:r w:rsidRPr="006E709F">
        <w:t>2.</w:t>
      </w:r>
      <w:r w:rsidRPr="006E709F">
        <w:tab/>
      </w:r>
      <w:r w:rsidRPr="006E709F">
        <w:rPr>
          <w:i/>
        </w:rPr>
        <w:t>[If there are other fees and costs, such as activity fees, advice fees for personal advice or insurance fees, include a cross</w:t>
      </w:r>
      <w:r>
        <w:rPr>
          <w:i/>
        </w:rPr>
        <w:noBreakHyphen/>
      </w:r>
      <w:r w:rsidRPr="006E709F">
        <w:rPr>
          <w:i/>
        </w:rPr>
        <w:t>reference to the “Additional Explanation of Fees and Costs”.]</w:t>
      </w:r>
    </w:p>
    <w:p w14:paraId="306E3F35" w14:textId="77777777" w:rsidR="00E93F58" w:rsidRPr="006E709F" w:rsidRDefault="00E93F58" w:rsidP="001A180A">
      <w:pPr>
        <w:pStyle w:val="ActHead3"/>
        <w:pageBreakBefore/>
      </w:pPr>
      <w:bookmarkStart w:id="3394" w:name="_Toc151992445"/>
      <w:bookmarkStart w:id="3395" w:name="_Toc158713482"/>
      <w:r w:rsidRPr="000C4237">
        <w:rPr>
          <w:rStyle w:val="CharDivNo"/>
        </w:rPr>
        <w:lastRenderedPageBreak/>
        <w:t>Division 2</w:t>
      </w:r>
      <w:r w:rsidRPr="006E709F">
        <w:t>—</w:t>
      </w:r>
      <w:r w:rsidRPr="000C4237">
        <w:rPr>
          <w:rStyle w:val="CharDivText"/>
        </w:rPr>
        <w:t>The fees and costs template for collective investment products</w:t>
      </w:r>
      <w:bookmarkEnd w:id="3394"/>
      <w:bookmarkEnd w:id="3395"/>
    </w:p>
    <w:p w14:paraId="107BA2A2" w14:textId="77777777" w:rsidR="00E93F58" w:rsidRPr="006E709F" w:rsidRDefault="00E93F58" w:rsidP="00677261">
      <w:pPr>
        <w:pStyle w:val="ActHead5"/>
      </w:pPr>
      <w:bookmarkStart w:id="3396" w:name="_Toc151992446"/>
      <w:bookmarkStart w:id="3397" w:name="_Toc158713483"/>
      <w:r w:rsidRPr="000C4237">
        <w:rPr>
          <w:rStyle w:val="CharSectno"/>
        </w:rPr>
        <w:t>202</w:t>
      </w:r>
      <w:r w:rsidRPr="006E709F">
        <w:t xml:space="preserve">  Template for a multiple fee structure—collective investment products</w:t>
      </w:r>
      <w:bookmarkEnd w:id="3396"/>
      <w:bookmarkEnd w:id="3397"/>
    </w:p>
    <w:p w14:paraId="721AD42D" w14:textId="77777777" w:rsidR="00E93F58" w:rsidRPr="006E709F" w:rsidRDefault="00E93F58" w:rsidP="000858E6">
      <w:pPr>
        <w:spacing w:before="240" w:line="276" w:lineRule="auto"/>
        <w:rPr>
          <w:rFonts w:ascii="Arial" w:hAnsi="Arial" w:cs="Arial"/>
          <w:b/>
          <w:sz w:val="24"/>
          <w:szCs w:val="24"/>
        </w:rPr>
      </w:pPr>
      <w:r w:rsidRPr="006E709F">
        <w:rPr>
          <w:rFonts w:ascii="Arial" w:hAnsi="Arial" w:cs="Arial"/>
          <w:b/>
          <w:sz w:val="24"/>
          <w:szCs w:val="24"/>
        </w:rPr>
        <w:t>Fees and other costs</w:t>
      </w:r>
    </w:p>
    <w:p w14:paraId="0A4AAC73" w14:textId="77777777" w:rsidR="00E93F58" w:rsidRPr="006E709F" w:rsidRDefault="00E93F58" w:rsidP="00677261">
      <w:pPr>
        <w:spacing w:line="240" w:lineRule="auto"/>
      </w:pPr>
      <w:r w:rsidRPr="006E709F">
        <w:rPr>
          <w:rFonts w:ascii="Arial" w:hAnsi="Arial" w:cs="Arial"/>
          <w:sz w:val="19"/>
          <w:szCs w:val="19"/>
        </w:rPr>
        <w:t>T</w:t>
      </w:r>
      <w:r w:rsidRPr="006E709F">
        <w:t xml:space="preserve">his document shows fees and other costs that you may be charged. These fees and costs may be deducted from your money, from the returns on your investment or from the assets of the </w:t>
      </w:r>
      <w:r w:rsidRPr="006E709F">
        <w:rPr>
          <w:i/>
        </w:rPr>
        <w:t>[managed investment scheme / retail CCIV]</w:t>
      </w:r>
      <w:r w:rsidRPr="006E709F">
        <w:t xml:space="preserve"> as a whole.</w:t>
      </w:r>
    </w:p>
    <w:p w14:paraId="6DC6730B" w14:textId="77777777" w:rsidR="00E93F58" w:rsidRPr="006E709F" w:rsidRDefault="00E93F58" w:rsidP="00677261">
      <w:pPr>
        <w:spacing w:line="240" w:lineRule="auto"/>
        <w:rPr>
          <w:sz w:val="16"/>
          <w:szCs w:val="16"/>
        </w:rPr>
      </w:pPr>
    </w:p>
    <w:p w14:paraId="713860D5" w14:textId="77777777" w:rsidR="00E93F58" w:rsidRPr="006E709F" w:rsidRDefault="00E93F58" w:rsidP="00677261">
      <w:pPr>
        <w:spacing w:line="240" w:lineRule="auto"/>
      </w:pPr>
      <w:r w:rsidRPr="006E709F">
        <w:t>Taxes and insurance costs are set out in another part of this document.</w:t>
      </w:r>
    </w:p>
    <w:p w14:paraId="1AE7C4B1" w14:textId="77777777" w:rsidR="00E93F58" w:rsidRPr="006E709F" w:rsidRDefault="00E93F58" w:rsidP="00677261">
      <w:pPr>
        <w:spacing w:line="240" w:lineRule="auto"/>
        <w:rPr>
          <w:sz w:val="16"/>
          <w:szCs w:val="16"/>
        </w:rPr>
      </w:pPr>
    </w:p>
    <w:p w14:paraId="487170C6" w14:textId="77777777" w:rsidR="00E93F58" w:rsidRPr="006E709F" w:rsidRDefault="00E93F58" w:rsidP="00677261">
      <w:pPr>
        <w:spacing w:line="240" w:lineRule="auto"/>
      </w:pPr>
      <w:r w:rsidRPr="006E709F">
        <w:t>You have 2 different fee payment options:</w:t>
      </w:r>
    </w:p>
    <w:p w14:paraId="430037CB" w14:textId="77777777" w:rsidR="00E93F58" w:rsidRPr="006E709F" w:rsidRDefault="00E93F58" w:rsidP="00677261">
      <w:pPr>
        <w:pStyle w:val="paragraph"/>
      </w:pPr>
      <w:r w:rsidRPr="006E709F">
        <w:tab/>
        <w:t>(a)</w:t>
      </w:r>
      <w:r w:rsidRPr="006E709F">
        <w:tab/>
        <w:t xml:space="preserve">to pay contribution fees upfront, at the time when you make each investment into the </w:t>
      </w:r>
      <w:r w:rsidRPr="006E709F">
        <w:rPr>
          <w:i/>
        </w:rPr>
        <w:t>[managed investment scheme / retail CCIV]</w:t>
      </w:r>
      <w:r w:rsidRPr="006E709F">
        <w:t>; or</w:t>
      </w:r>
    </w:p>
    <w:p w14:paraId="7A6934BE" w14:textId="77777777" w:rsidR="00E93F58" w:rsidRPr="006E709F" w:rsidRDefault="00E93F58" w:rsidP="00677261">
      <w:pPr>
        <w:pStyle w:val="paragraph"/>
      </w:pPr>
      <w:r w:rsidRPr="006E709F">
        <w:tab/>
        <w:t>(b)</w:t>
      </w:r>
      <w:r w:rsidRPr="006E709F">
        <w:tab/>
        <w:t>to pay contribution fees later (for example, on the termination of your investment or by way of other increased fees).</w:t>
      </w:r>
    </w:p>
    <w:p w14:paraId="31196099" w14:textId="77777777" w:rsidR="00E93F58" w:rsidRPr="006E709F" w:rsidRDefault="00E93F58" w:rsidP="00677261">
      <w:pPr>
        <w:pStyle w:val="notemargin"/>
        <w:spacing w:line="240" w:lineRule="auto"/>
      </w:pPr>
      <w:r w:rsidRPr="006E709F">
        <w:t>Note:</w:t>
      </w:r>
      <w:r w:rsidRPr="006E709F">
        <w:tab/>
        <w:t>You may pay more in total fees if you choose to pay contribution fees later.</w:t>
      </w:r>
    </w:p>
    <w:p w14:paraId="359BA5EC" w14:textId="77777777" w:rsidR="00E93F58" w:rsidRPr="006E709F" w:rsidRDefault="00E93F58" w:rsidP="00677261">
      <w:pPr>
        <w:pStyle w:val="notemargin"/>
        <w:spacing w:line="240" w:lineRule="auto"/>
      </w:pPr>
    </w:p>
    <w:p w14:paraId="2F392E7E" w14:textId="77777777" w:rsidR="00E93F58" w:rsidRPr="006E709F" w:rsidRDefault="00E93F58" w:rsidP="00677261">
      <w:pPr>
        <w:spacing w:line="240" w:lineRule="auto"/>
      </w:pPr>
      <w:r w:rsidRPr="006E709F">
        <w:t>You should read all the information about fees and costs because it is important to understand their impact on your investment.</w:t>
      </w:r>
    </w:p>
    <w:p w14:paraId="3FB976DC" w14:textId="77777777" w:rsidR="00E93F58" w:rsidRPr="006E709F" w:rsidRDefault="00E93F58" w:rsidP="00677261">
      <w:pPr>
        <w:spacing w:line="240" w:lineRule="auto"/>
        <w:rPr>
          <w:sz w:val="16"/>
          <w:szCs w:val="16"/>
        </w:rPr>
      </w:pPr>
    </w:p>
    <w:p w14:paraId="49119CA7" w14:textId="77777777" w:rsidR="00E93F58" w:rsidRPr="006E709F" w:rsidRDefault="00E93F58" w:rsidP="006A221B">
      <w:pPr>
        <w:spacing w:line="240" w:lineRule="auto"/>
      </w:pPr>
      <w:r w:rsidRPr="006E709F">
        <w:rPr>
          <w:i/>
        </w:rPr>
        <w:t>[If relevant]</w:t>
      </w:r>
      <w:r w:rsidRPr="006E709F">
        <w:t xml:space="preserve"> Fees and costs for particular investment options are set out on page </w:t>
      </w:r>
      <w:r w:rsidRPr="006E709F">
        <w:rPr>
          <w:i/>
        </w:rPr>
        <w:t>[insert page number]</w:t>
      </w:r>
      <w:r w:rsidRPr="006E709F">
        <w:t>.</w:t>
      </w:r>
    </w:p>
    <w:p w14:paraId="43B39E7D" w14:textId="77777777" w:rsidR="00E93F58" w:rsidRPr="006E709F" w:rsidRDefault="00E93F58" w:rsidP="006A221B">
      <w:pPr>
        <w:spacing w:line="240" w:lineRule="auto"/>
        <w:rPr>
          <w:sz w:val="16"/>
          <w:szCs w:val="16"/>
        </w:rPr>
      </w:pPr>
    </w:p>
    <w:tbl>
      <w:tblPr>
        <w:tblW w:w="5000" w:type="pct"/>
        <w:tblBorders>
          <w:top w:val="single" w:sz="12" w:space="0" w:color="auto"/>
          <w:bottom w:val="single" w:sz="2" w:space="0" w:color="auto"/>
          <w:insideH w:val="single" w:sz="12" w:space="0" w:color="auto"/>
        </w:tblBorders>
        <w:tblLook w:val="0000" w:firstRow="0" w:lastRow="0" w:firstColumn="0" w:lastColumn="0" w:noHBand="0" w:noVBand="0"/>
      </w:tblPr>
      <w:tblGrid>
        <w:gridCol w:w="3010"/>
        <w:gridCol w:w="2375"/>
        <w:gridCol w:w="2692"/>
        <w:gridCol w:w="2690"/>
      </w:tblGrid>
      <w:tr w:rsidR="00E93F58" w:rsidRPr="006E709F" w14:paraId="4D8B1EB4" w14:textId="77777777" w:rsidTr="00E118FA">
        <w:trPr>
          <w:tblHeader/>
        </w:trPr>
        <w:tc>
          <w:tcPr>
            <w:tcW w:w="5000" w:type="pct"/>
            <w:gridSpan w:val="4"/>
            <w:tcBorders>
              <w:top w:val="single" w:sz="2" w:space="0" w:color="auto"/>
              <w:left w:val="single" w:sz="2" w:space="0" w:color="auto"/>
              <w:bottom w:val="single" w:sz="2" w:space="0" w:color="auto"/>
              <w:right w:val="single" w:sz="2" w:space="0" w:color="auto"/>
            </w:tcBorders>
            <w:shd w:val="clear" w:color="auto" w:fill="auto"/>
          </w:tcPr>
          <w:p w14:paraId="5CD409DC" w14:textId="77777777" w:rsidR="00E93F58" w:rsidRPr="006E709F" w:rsidRDefault="00E93F58" w:rsidP="006F2E0A">
            <w:pPr>
              <w:pStyle w:val="TableHeading"/>
              <w:rPr>
                <w:i/>
              </w:rPr>
            </w:pPr>
            <w:r w:rsidRPr="006E709F">
              <w:rPr>
                <w:i/>
              </w:rPr>
              <w:t>[Name of collective investment product]</w:t>
            </w:r>
          </w:p>
        </w:tc>
      </w:tr>
      <w:tr w:rsidR="00E93F58" w:rsidRPr="006E709F" w14:paraId="258665E2" w14:textId="77777777" w:rsidTr="00E118FA">
        <w:trPr>
          <w:tblHeader/>
        </w:trPr>
        <w:tc>
          <w:tcPr>
            <w:tcW w:w="1398" w:type="pct"/>
            <w:tcBorders>
              <w:top w:val="single" w:sz="2" w:space="0" w:color="auto"/>
              <w:left w:val="single" w:sz="2" w:space="0" w:color="auto"/>
              <w:bottom w:val="single" w:sz="2" w:space="0" w:color="auto"/>
              <w:right w:val="single" w:sz="2" w:space="0" w:color="auto"/>
            </w:tcBorders>
            <w:shd w:val="clear" w:color="auto" w:fill="auto"/>
          </w:tcPr>
          <w:p w14:paraId="6D25BACD" w14:textId="77777777" w:rsidR="00E93F58" w:rsidRPr="006E709F" w:rsidRDefault="00E93F58" w:rsidP="006A221B">
            <w:pPr>
              <w:pStyle w:val="Tabletext"/>
              <w:rPr>
                <w:b/>
              </w:rPr>
            </w:pPr>
            <w:r w:rsidRPr="006E709F">
              <w:rPr>
                <w:b/>
              </w:rPr>
              <w:t>Type of fee or cost</w:t>
            </w:r>
          </w:p>
        </w:tc>
        <w:tc>
          <w:tcPr>
            <w:tcW w:w="2353" w:type="pct"/>
            <w:gridSpan w:val="2"/>
            <w:tcBorders>
              <w:top w:val="single" w:sz="2" w:space="0" w:color="auto"/>
              <w:left w:val="single" w:sz="2" w:space="0" w:color="auto"/>
              <w:bottom w:val="single" w:sz="2" w:space="0" w:color="auto"/>
              <w:right w:val="single" w:sz="2" w:space="0" w:color="auto"/>
            </w:tcBorders>
            <w:shd w:val="clear" w:color="auto" w:fill="auto"/>
          </w:tcPr>
          <w:p w14:paraId="5B7C3B63" w14:textId="77777777" w:rsidR="00E93F58" w:rsidRPr="006E709F" w:rsidRDefault="00E93F58" w:rsidP="006A221B">
            <w:pPr>
              <w:pStyle w:val="Tabletext"/>
              <w:rPr>
                <w:b/>
              </w:rPr>
            </w:pPr>
            <w:r w:rsidRPr="006E709F">
              <w:rPr>
                <w:b/>
              </w:rPr>
              <w:t xml:space="preserve">Amount </w:t>
            </w: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47FF3AFA" w14:textId="77777777" w:rsidR="00E93F58" w:rsidRPr="006E709F" w:rsidRDefault="00E93F58" w:rsidP="006A221B">
            <w:pPr>
              <w:pStyle w:val="Tabletext"/>
              <w:rPr>
                <w:b/>
              </w:rPr>
            </w:pPr>
            <w:r w:rsidRPr="006E709F">
              <w:rPr>
                <w:b/>
              </w:rPr>
              <w:t>How and when paid</w:t>
            </w:r>
          </w:p>
        </w:tc>
      </w:tr>
      <w:tr w:rsidR="00E93F58" w:rsidRPr="006E709F" w14:paraId="6C47844F"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2FFF5982" w14:textId="77777777" w:rsidR="00E93F58" w:rsidRPr="006E709F" w:rsidRDefault="00E93F58" w:rsidP="006A221B">
            <w:pPr>
              <w:pStyle w:val="Tabletext"/>
              <w:rPr>
                <w:b/>
              </w:rPr>
            </w:pP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721991DC" w14:textId="77777777" w:rsidR="00E93F58" w:rsidRPr="006E709F" w:rsidRDefault="00E93F58" w:rsidP="006A221B">
            <w:pPr>
              <w:pStyle w:val="Tabletext"/>
              <w:rPr>
                <w:b/>
              </w:rPr>
            </w:pPr>
            <w:r w:rsidRPr="006E709F">
              <w:rPr>
                <w:b/>
              </w:rPr>
              <w:t>Option to pay contribution fees upfront</w:t>
            </w: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59FDA99E" w14:textId="77777777" w:rsidR="00E93F58" w:rsidRPr="006E709F" w:rsidRDefault="00E93F58" w:rsidP="006A221B">
            <w:pPr>
              <w:pStyle w:val="Tabletext"/>
              <w:rPr>
                <w:b/>
              </w:rPr>
            </w:pPr>
            <w:r w:rsidRPr="006E709F">
              <w:rPr>
                <w:b/>
              </w:rPr>
              <w:t>Option to pay contribution fees later</w:t>
            </w: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7361069C" w14:textId="77777777" w:rsidR="00E93F58" w:rsidRPr="006E709F" w:rsidRDefault="00E93F58" w:rsidP="006A221B">
            <w:pPr>
              <w:pStyle w:val="Tabletext"/>
              <w:rPr>
                <w:b/>
              </w:rPr>
            </w:pPr>
          </w:p>
        </w:tc>
      </w:tr>
      <w:tr w:rsidR="00E93F58" w:rsidRPr="006E709F" w14:paraId="55089F41"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0EABAB6F" w14:textId="77777777" w:rsidR="00E93F58" w:rsidRPr="006E709F" w:rsidRDefault="00E93F58" w:rsidP="006F2E0A">
            <w:pPr>
              <w:pStyle w:val="Tabletext"/>
              <w:rPr>
                <w:b/>
              </w:rPr>
            </w:pPr>
            <w:r w:rsidRPr="006E709F">
              <w:rPr>
                <w:b/>
              </w:rPr>
              <w:t>Fees when your money moves in or out of the product</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6ADC87FB" w14:textId="77777777" w:rsidR="00E93F58" w:rsidRPr="006E709F" w:rsidRDefault="00E93F58" w:rsidP="006A221B">
            <w:pPr>
              <w:pStyle w:val="Tabletext"/>
              <w:rPr>
                <w:b/>
              </w:rPr>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29598D0A" w14:textId="77777777" w:rsidR="00E93F58" w:rsidRPr="006E709F" w:rsidRDefault="00E93F58" w:rsidP="006A221B">
            <w:pPr>
              <w:pStyle w:val="Tabletext"/>
              <w:rPr>
                <w:b/>
              </w:rPr>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6B847EFD" w14:textId="77777777" w:rsidR="00E93F58" w:rsidRPr="006E709F" w:rsidRDefault="00E93F58" w:rsidP="006A221B">
            <w:pPr>
              <w:pStyle w:val="Tabletext"/>
              <w:rPr>
                <w:b/>
              </w:rPr>
            </w:pPr>
          </w:p>
        </w:tc>
      </w:tr>
      <w:tr w:rsidR="00E93F58" w:rsidRPr="006E709F" w14:paraId="07646E24"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46D25775" w14:textId="77777777" w:rsidR="00E93F58" w:rsidRPr="006E709F" w:rsidRDefault="00E93F58" w:rsidP="006A221B">
            <w:pPr>
              <w:pStyle w:val="Tabletext"/>
              <w:rPr>
                <w:i/>
              </w:rPr>
            </w:pPr>
            <w:r w:rsidRPr="006E709F">
              <w:rPr>
                <w:i/>
              </w:rPr>
              <w:t>Establishment fee</w:t>
            </w:r>
          </w:p>
          <w:p w14:paraId="0E71EAFD" w14:textId="77777777" w:rsidR="00E93F58" w:rsidRPr="006E709F" w:rsidRDefault="00E93F58" w:rsidP="006A221B">
            <w:pPr>
              <w:pStyle w:val="Tabletext"/>
            </w:pPr>
            <w:r w:rsidRPr="006E709F">
              <w:t>The fee to open your investment</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4350AA53"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08A317C2"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73D32CA3" w14:textId="77777777" w:rsidR="00E93F58" w:rsidRPr="006E709F" w:rsidRDefault="00E93F58" w:rsidP="005133DE">
            <w:pPr>
              <w:pStyle w:val="Tabletext"/>
            </w:pPr>
          </w:p>
        </w:tc>
      </w:tr>
      <w:tr w:rsidR="00E93F58" w:rsidRPr="006E709F" w14:paraId="5DC71EBD"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32E2178C" w14:textId="77777777" w:rsidR="00E93F58" w:rsidRPr="006E709F" w:rsidRDefault="00E93F58" w:rsidP="006A221B">
            <w:pPr>
              <w:pStyle w:val="Tabletext"/>
              <w:rPr>
                <w:i/>
              </w:rPr>
            </w:pPr>
            <w:r w:rsidRPr="006E709F">
              <w:rPr>
                <w:i/>
              </w:rPr>
              <w:t>Contribution fee¹</w:t>
            </w:r>
          </w:p>
          <w:p w14:paraId="26AE1FBE" w14:textId="77777777" w:rsidR="00E93F58" w:rsidRPr="006E709F" w:rsidRDefault="00E93F58" w:rsidP="006A221B">
            <w:pPr>
              <w:pStyle w:val="Tabletext"/>
            </w:pPr>
            <w:r w:rsidRPr="006E709F">
              <w:t>The fee on each amount contributed to your investment</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01047340"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22C60CB5"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22E246E9" w14:textId="77777777" w:rsidR="00E93F58" w:rsidRPr="006E709F" w:rsidRDefault="00E93F58" w:rsidP="005133DE">
            <w:pPr>
              <w:pStyle w:val="Tabletext"/>
            </w:pPr>
          </w:p>
        </w:tc>
      </w:tr>
      <w:tr w:rsidR="00E93F58" w:rsidRPr="006E709F" w14:paraId="0B2C5958"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3AF322CC" w14:textId="77777777" w:rsidR="00E93F58" w:rsidRPr="006E709F" w:rsidRDefault="00E93F58" w:rsidP="006A221B">
            <w:pPr>
              <w:pStyle w:val="Tabletext"/>
              <w:rPr>
                <w:i/>
              </w:rPr>
            </w:pPr>
            <w:r w:rsidRPr="006E709F">
              <w:rPr>
                <w:i/>
              </w:rPr>
              <w:t>Withdrawal fee¹</w:t>
            </w:r>
          </w:p>
          <w:p w14:paraId="1C8ABE15" w14:textId="77777777" w:rsidR="00E93F58" w:rsidRPr="006E709F" w:rsidRDefault="00E93F58" w:rsidP="006A221B">
            <w:pPr>
              <w:pStyle w:val="Tabletext"/>
            </w:pPr>
            <w:r w:rsidRPr="006E709F">
              <w:t>The fee on each amount you take out of your investment</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11AAFA88"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6759F125"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00850C0F" w14:textId="77777777" w:rsidR="00E93F58" w:rsidRPr="006E709F" w:rsidRDefault="00E93F58" w:rsidP="005133DE">
            <w:pPr>
              <w:pStyle w:val="Tabletext"/>
            </w:pPr>
          </w:p>
        </w:tc>
      </w:tr>
      <w:tr w:rsidR="00E93F58" w:rsidRPr="006E709F" w14:paraId="2C779DE7" w14:textId="77777777" w:rsidTr="00E118FA">
        <w:trPr>
          <w:cantSplit/>
        </w:trPr>
        <w:tc>
          <w:tcPr>
            <w:tcW w:w="1398" w:type="pct"/>
            <w:tcBorders>
              <w:top w:val="single" w:sz="2" w:space="0" w:color="auto"/>
              <w:left w:val="single" w:sz="2" w:space="0" w:color="auto"/>
              <w:bottom w:val="single" w:sz="2" w:space="0" w:color="auto"/>
              <w:right w:val="single" w:sz="2" w:space="0" w:color="auto"/>
            </w:tcBorders>
            <w:shd w:val="clear" w:color="auto" w:fill="auto"/>
          </w:tcPr>
          <w:p w14:paraId="3F6C39CB" w14:textId="77777777" w:rsidR="00E93F58" w:rsidRPr="006E709F" w:rsidRDefault="00E93F58" w:rsidP="006A221B">
            <w:pPr>
              <w:pStyle w:val="Tabletext"/>
              <w:rPr>
                <w:i/>
              </w:rPr>
            </w:pPr>
            <w:r w:rsidRPr="006E709F">
              <w:rPr>
                <w:i/>
              </w:rPr>
              <w:t>Exit fee¹</w:t>
            </w:r>
          </w:p>
          <w:p w14:paraId="35F20843" w14:textId="77777777" w:rsidR="00E93F58" w:rsidRPr="006E709F" w:rsidRDefault="00E93F58" w:rsidP="006A221B">
            <w:pPr>
              <w:pStyle w:val="Tabletext"/>
            </w:pPr>
            <w:r w:rsidRPr="006E709F">
              <w:t>The fee to close your investment</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2133B687"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57EE17C2"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64124896" w14:textId="77777777" w:rsidR="00E93F58" w:rsidRPr="006E709F" w:rsidRDefault="00E93F58" w:rsidP="005133DE">
            <w:pPr>
              <w:pStyle w:val="Tabletext"/>
            </w:pPr>
          </w:p>
        </w:tc>
      </w:tr>
      <w:tr w:rsidR="00E93F58" w:rsidRPr="006E709F" w14:paraId="110391C9"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03F1609E" w14:textId="77777777" w:rsidR="00E93F58" w:rsidRPr="006E709F" w:rsidRDefault="00E93F58" w:rsidP="005133DE">
            <w:pPr>
              <w:pStyle w:val="Tabletext"/>
              <w:rPr>
                <w:b/>
              </w:rPr>
            </w:pPr>
            <w:r w:rsidRPr="006E709F">
              <w:rPr>
                <w:b/>
              </w:rPr>
              <w:t>Management costs</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5E143BA1"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49406C19"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477FE867" w14:textId="77777777" w:rsidR="00E93F58" w:rsidRPr="006E709F" w:rsidRDefault="00E93F58" w:rsidP="005133DE">
            <w:pPr>
              <w:pStyle w:val="Tabletext"/>
            </w:pPr>
          </w:p>
        </w:tc>
      </w:tr>
      <w:tr w:rsidR="00E93F58" w:rsidRPr="006E709F" w14:paraId="2B7F9112"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50FC81BE" w14:textId="77777777" w:rsidR="00E93F58" w:rsidRPr="006E709F" w:rsidRDefault="00E93F58" w:rsidP="006A221B">
            <w:pPr>
              <w:pStyle w:val="Tabletext"/>
              <w:rPr>
                <w:i/>
              </w:rPr>
            </w:pPr>
            <w:r w:rsidRPr="006E709F">
              <w:rPr>
                <w:i/>
              </w:rPr>
              <w:t>The fees and costs for managing your investment¹</w:t>
            </w:r>
          </w:p>
          <w:p w14:paraId="020A38EF" w14:textId="77777777" w:rsidR="00E93F58" w:rsidRPr="006E709F" w:rsidRDefault="00E93F58" w:rsidP="006A221B">
            <w:pPr>
              <w:pStyle w:val="Tabletext"/>
            </w:pPr>
            <w:r w:rsidRPr="006E709F">
              <w:t xml:space="preserve">The amount you pay for specific investment options is shown at page </w:t>
            </w:r>
            <w:r w:rsidRPr="006E709F">
              <w:rPr>
                <w:i/>
              </w:rPr>
              <w:t>[insert page number]</w:t>
            </w:r>
            <w:r w:rsidRPr="006E709F">
              <w:t xml:space="preserve"> </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5D36D34F"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1B55572B"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33FDD275" w14:textId="77777777" w:rsidR="00E93F58" w:rsidRPr="006E709F" w:rsidRDefault="00E93F58" w:rsidP="005133DE">
            <w:pPr>
              <w:pStyle w:val="Tabletext"/>
            </w:pPr>
          </w:p>
        </w:tc>
      </w:tr>
      <w:tr w:rsidR="00E93F58" w:rsidRPr="006E709F" w14:paraId="6F880087"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57ED2CB7" w14:textId="77777777" w:rsidR="00E93F58" w:rsidRPr="006E709F" w:rsidRDefault="00E93F58" w:rsidP="005133DE">
            <w:pPr>
              <w:pStyle w:val="Tabletext"/>
              <w:rPr>
                <w:b/>
              </w:rPr>
            </w:pPr>
            <w:r w:rsidRPr="006E709F">
              <w:rPr>
                <w:b/>
              </w:rPr>
              <w:t>Service fees²</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40D945C4"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6A564F82"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0C35303B" w14:textId="77777777" w:rsidR="00E93F58" w:rsidRPr="006E709F" w:rsidRDefault="00E93F58" w:rsidP="005133DE">
            <w:pPr>
              <w:pStyle w:val="Tabletext"/>
            </w:pPr>
          </w:p>
        </w:tc>
      </w:tr>
      <w:tr w:rsidR="00E93F58" w:rsidRPr="006E709F" w14:paraId="28BCDBE6" w14:textId="77777777" w:rsidTr="00E118FA">
        <w:tc>
          <w:tcPr>
            <w:tcW w:w="1398" w:type="pct"/>
            <w:tcBorders>
              <w:top w:val="single" w:sz="2" w:space="0" w:color="auto"/>
              <w:left w:val="single" w:sz="2" w:space="0" w:color="auto"/>
              <w:bottom w:val="single" w:sz="2" w:space="0" w:color="auto"/>
              <w:right w:val="single" w:sz="2" w:space="0" w:color="auto"/>
            </w:tcBorders>
            <w:shd w:val="clear" w:color="auto" w:fill="auto"/>
          </w:tcPr>
          <w:p w14:paraId="4F89249E" w14:textId="77777777" w:rsidR="00E93F58" w:rsidRPr="006E709F" w:rsidRDefault="00E93F58" w:rsidP="006A221B">
            <w:pPr>
              <w:pStyle w:val="Tabletext"/>
              <w:rPr>
                <w:i/>
              </w:rPr>
            </w:pPr>
            <w:r w:rsidRPr="006E709F">
              <w:rPr>
                <w:i/>
              </w:rPr>
              <w:t>Switching fee</w:t>
            </w:r>
          </w:p>
          <w:p w14:paraId="5B4E98B0" w14:textId="77777777" w:rsidR="00E93F58" w:rsidRPr="006E709F" w:rsidRDefault="00E93F58" w:rsidP="006A221B">
            <w:pPr>
              <w:pStyle w:val="Tabletext"/>
            </w:pPr>
            <w:r w:rsidRPr="006E709F">
              <w:t>The fee for changing investment options</w:t>
            </w:r>
          </w:p>
        </w:tc>
        <w:tc>
          <w:tcPr>
            <w:tcW w:w="1103" w:type="pct"/>
            <w:tcBorders>
              <w:top w:val="single" w:sz="2" w:space="0" w:color="auto"/>
              <w:left w:val="single" w:sz="2" w:space="0" w:color="auto"/>
              <w:bottom w:val="single" w:sz="2" w:space="0" w:color="auto"/>
              <w:right w:val="single" w:sz="2" w:space="0" w:color="auto"/>
            </w:tcBorders>
            <w:shd w:val="clear" w:color="auto" w:fill="auto"/>
          </w:tcPr>
          <w:p w14:paraId="7144893A" w14:textId="77777777" w:rsidR="00E93F58" w:rsidRPr="006E709F" w:rsidRDefault="00E93F58" w:rsidP="005133DE">
            <w:pPr>
              <w:pStyle w:val="Tabletext"/>
            </w:pPr>
          </w:p>
        </w:tc>
        <w:tc>
          <w:tcPr>
            <w:tcW w:w="1250" w:type="pct"/>
            <w:tcBorders>
              <w:top w:val="single" w:sz="2" w:space="0" w:color="auto"/>
              <w:left w:val="single" w:sz="2" w:space="0" w:color="auto"/>
              <w:bottom w:val="single" w:sz="2" w:space="0" w:color="auto"/>
              <w:right w:val="single" w:sz="2" w:space="0" w:color="auto"/>
            </w:tcBorders>
            <w:shd w:val="clear" w:color="auto" w:fill="auto"/>
          </w:tcPr>
          <w:p w14:paraId="6D51687C" w14:textId="77777777" w:rsidR="00E93F58" w:rsidRPr="006E709F" w:rsidRDefault="00E93F58" w:rsidP="005133DE">
            <w:pPr>
              <w:pStyle w:val="Tabletext"/>
            </w:pPr>
          </w:p>
        </w:tc>
        <w:tc>
          <w:tcPr>
            <w:tcW w:w="1249" w:type="pct"/>
            <w:tcBorders>
              <w:top w:val="single" w:sz="2" w:space="0" w:color="auto"/>
              <w:left w:val="single" w:sz="2" w:space="0" w:color="auto"/>
              <w:bottom w:val="single" w:sz="2" w:space="0" w:color="auto"/>
              <w:right w:val="single" w:sz="2" w:space="0" w:color="auto"/>
            </w:tcBorders>
            <w:shd w:val="clear" w:color="auto" w:fill="auto"/>
          </w:tcPr>
          <w:p w14:paraId="672244F8" w14:textId="77777777" w:rsidR="00E93F58" w:rsidRPr="006E709F" w:rsidRDefault="00E93F58" w:rsidP="005133DE">
            <w:pPr>
              <w:pStyle w:val="Tabletext"/>
            </w:pPr>
          </w:p>
        </w:tc>
      </w:tr>
    </w:tbl>
    <w:p w14:paraId="704CDF6B" w14:textId="77777777" w:rsidR="00E93F58" w:rsidRPr="006E709F" w:rsidRDefault="00E93F58" w:rsidP="00677261">
      <w:pPr>
        <w:pStyle w:val="notemargin"/>
      </w:pPr>
      <w:r w:rsidRPr="006E709F">
        <w:rPr>
          <w:bCs/>
        </w:rPr>
        <w:t>1.</w:t>
      </w:r>
      <w:r w:rsidRPr="006E709F">
        <w:rPr>
          <w:bCs/>
        </w:rPr>
        <w:tab/>
      </w:r>
      <w:r w:rsidRPr="006E709F">
        <w:t>This fee includes an amount payable to an adviser. (See Division 4, “Adviser remuneration” under the heading “Additional Explanation of Fees and Costs”.)</w:t>
      </w:r>
    </w:p>
    <w:p w14:paraId="5023F60B" w14:textId="77777777" w:rsidR="00E93F58" w:rsidRPr="006E709F" w:rsidRDefault="00E93F58" w:rsidP="00677261">
      <w:pPr>
        <w:pStyle w:val="notemargin"/>
        <w:rPr>
          <w:i/>
        </w:rPr>
      </w:pPr>
      <w:r w:rsidRPr="006E709F">
        <w:rPr>
          <w:bCs/>
        </w:rPr>
        <w:t>2</w:t>
      </w:r>
      <w:r w:rsidRPr="006E709F">
        <w:t>.</w:t>
      </w:r>
      <w:r w:rsidRPr="006E709F">
        <w:tab/>
      </w:r>
      <w:r w:rsidRPr="006E709F">
        <w:rPr>
          <w:i/>
        </w:rPr>
        <w:t>[If there are other service fees, such as advice fees or special request fees, include a cross</w:t>
      </w:r>
      <w:r>
        <w:rPr>
          <w:i/>
        </w:rPr>
        <w:noBreakHyphen/>
      </w:r>
      <w:r w:rsidRPr="006E709F">
        <w:rPr>
          <w:i/>
        </w:rPr>
        <w:t>reference to the “Additional Explanation of Fees and Costs”.]</w:t>
      </w:r>
    </w:p>
    <w:p w14:paraId="0EA2ECAD" w14:textId="77777777" w:rsidR="00E93F58" w:rsidRPr="006E709F" w:rsidRDefault="00E93F58" w:rsidP="00677261">
      <w:pPr>
        <w:pStyle w:val="ActHead5"/>
      </w:pPr>
      <w:bookmarkStart w:id="3398" w:name="_Toc151992447"/>
      <w:bookmarkStart w:id="3399" w:name="_Toc158713484"/>
      <w:r w:rsidRPr="000C4237">
        <w:rPr>
          <w:rStyle w:val="CharSectno"/>
        </w:rPr>
        <w:t>202A</w:t>
      </w:r>
      <w:r w:rsidRPr="006E709F">
        <w:t xml:space="preserve">  Template for single fee structure—collective investment products</w:t>
      </w:r>
      <w:bookmarkEnd w:id="3398"/>
      <w:bookmarkEnd w:id="3399"/>
    </w:p>
    <w:p w14:paraId="1B5E52CF" w14:textId="77777777" w:rsidR="00E93F58" w:rsidRPr="006E709F" w:rsidRDefault="00E93F58" w:rsidP="000858E6">
      <w:pPr>
        <w:spacing w:before="240" w:line="276" w:lineRule="auto"/>
        <w:rPr>
          <w:rFonts w:ascii="Arial" w:hAnsi="Arial" w:cs="Arial"/>
          <w:b/>
          <w:sz w:val="24"/>
          <w:szCs w:val="24"/>
        </w:rPr>
      </w:pPr>
      <w:r w:rsidRPr="006E709F">
        <w:rPr>
          <w:rFonts w:ascii="Arial" w:hAnsi="Arial" w:cs="Arial"/>
          <w:b/>
          <w:sz w:val="24"/>
          <w:szCs w:val="24"/>
        </w:rPr>
        <w:t>Fees and other costs</w:t>
      </w:r>
    </w:p>
    <w:p w14:paraId="0C9B9E41" w14:textId="77777777" w:rsidR="00E93F58" w:rsidRPr="006E709F" w:rsidRDefault="00E93F58" w:rsidP="00677261">
      <w:pPr>
        <w:spacing w:line="240" w:lineRule="auto"/>
      </w:pPr>
      <w:r w:rsidRPr="006E709F">
        <w:rPr>
          <w:rFonts w:ascii="Arial" w:hAnsi="Arial" w:cs="Arial"/>
          <w:sz w:val="19"/>
          <w:szCs w:val="19"/>
        </w:rPr>
        <w:lastRenderedPageBreak/>
        <w:t>T</w:t>
      </w:r>
      <w:r w:rsidRPr="006E709F">
        <w:t xml:space="preserve">his document shows fees and other costs that you may be charged. These fees and costs may be deducted from your money, from the returns on your investment or from the assets of the </w:t>
      </w:r>
      <w:r w:rsidRPr="006E709F">
        <w:rPr>
          <w:i/>
        </w:rPr>
        <w:t>[managed investment scheme / retail CCIV]</w:t>
      </w:r>
      <w:r w:rsidRPr="006E709F">
        <w:t xml:space="preserve"> as a whole.</w:t>
      </w:r>
    </w:p>
    <w:p w14:paraId="4912C8ED" w14:textId="77777777" w:rsidR="00E93F58" w:rsidRPr="006E709F" w:rsidRDefault="00E93F58" w:rsidP="00677261">
      <w:pPr>
        <w:spacing w:line="240" w:lineRule="auto"/>
      </w:pPr>
    </w:p>
    <w:p w14:paraId="70B31778" w14:textId="77777777" w:rsidR="00E93F58" w:rsidRPr="006E709F" w:rsidRDefault="00E93F58" w:rsidP="00677261">
      <w:pPr>
        <w:spacing w:line="240" w:lineRule="auto"/>
      </w:pPr>
      <w:r w:rsidRPr="006E709F">
        <w:t>Taxes and insurance costs are set out in another part of this document.</w:t>
      </w:r>
    </w:p>
    <w:p w14:paraId="21983B99" w14:textId="77777777" w:rsidR="00E93F58" w:rsidRPr="006E709F" w:rsidRDefault="00E93F58" w:rsidP="00677261">
      <w:pPr>
        <w:spacing w:line="240" w:lineRule="auto"/>
      </w:pPr>
    </w:p>
    <w:p w14:paraId="683330B9" w14:textId="77777777" w:rsidR="00E93F58" w:rsidRPr="006E709F" w:rsidRDefault="00E93F58" w:rsidP="00677261">
      <w:pPr>
        <w:spacing w:line="240" w:lineRule="auto"/>
      </w:pPr>
      <w:r w:rsidRPr="006E709F">
        <w:t>You should read all the information about fees and costs because it is important to understand their impact on your investment.</w:t>
      </w:r>
    </w:p>
    <w:p w14:paraId="0EE128BD" w14:textId="77777777" w:rsidR="00E93F58" w:rsidRPr="006E709F" w:rsidRDefault="00E93F58" w:rsidP="00677261">
      <w:pPr>
        <w:spacing w:line="240" w:lineRule="auto"/>
      </w:pPr>
    </w:p>
    <w:p w14:paraId="6EE493FA" w14:textId="77777777" w:rsidR="00E93F58" w:rsidRPr="006E709F" w:rsidRDefault="00E93F58" w:rsidP="00677261">
      <w:pPr>
        <w:spacing w:line="240" w:lineRule="auto"/>
      </w:pPr>
      <w:r w:rsidRPr="006E709F">
        <w:rPr>
          <w:i/>
        </w:rPr>
        <w:t>[If relevant]</w:t>
      </w:r>
      <w:r w:rsidRPr="006E709F">
        <w:t xml:space="preserve"> Fees and costs for particular investment options are set out on page </w:t>
      </w:r>
      <w:r w:rsidRPr="006E709F">
        <w:rPr>
          <w:i/>
        </w:rPr>
        <w:t>[insert page number]</w:t>
      </w:r>
      <w:r w:rsidRPr="006E709F">
        <w:t>.</w:t>
      </w:r>
    </w:p>
    <w:p w14:paraId="520DDC4C" w14:textId="77777777" w:rsidR="00E93F58" w:rsidRPr="006E709F" w:rsidRDefault="00E93F58" w:rsidP="00677261">
      <w:pPr>
        <w:spacing w:line="240" w:lineRule="auto"/>
        <w:rPr>
          <w:sz w:val="16"/>
          <w:szCs w:val="16"/>
        </w:rPr>
      </w:pPr>
    </w:p>
    <w:tbl>
      <w:tblPr>
        <w:tblW w:w="5000" w:type="pct"/>
        <w:tblBorders>
          <w:top w:val="single" w:sz="12" w:space="0" w:color="auto"/>
          <w:bottom w:val="single" w:sz="2" w:space="0" w:color="auto"/>
          <w:insideH w:val="single" w:sz="12" w:space="0" w:color="auto"/>
        </w:tblBorders>
        <w:tblLook w:val="0000" w:firstRow="0" w:lastRow="0" w:firstColumn="0" w:lastColumn="0" w:noHBand="0" w:noVBand="0"/>
      </w:tblPr>
      <w:tblGrid>
        <w:gridCol w:w="2689"/>
        <w:gridCol w:w="5384"/>
        <w:gridCol w:w="2694"/>
      </w:tblGrid>
      <w:tr w:rsidR="00E93F58" w:rsidRPr="006E709F" w14:paraId="5BC8CA19" w14:textId="77777777" w:rsidTr="00E118FA">
        <w:trPr>
          <w:tblHeader/>
        </w:trPr>
        <w:tc>
          <w:tcPr>
            <w:tcW w:w="5000" w:type="pct"/>
            <w:gridSpan w:val="3"/>
            <w:tcBorders>
              <w:top w:val="single" w:sz="2" w:space="0" w:color="auto"/>
              <w:left w:val="single" w:sz="2" w:space="0" w:color="auto"/>
              <w:bottom w:val="single" w:sz="2" w:space="0" w:color="auto"/>
              <w:right w:val="single" w:sz="2" w:space="0" w:color="auto"/>
            </w:tcBorders>
            <w:shd w:val="clear" w:color="auto" w:fill="auto"/>
          </w:tcPr>
          <w:p w14:paraId="78C940D3" w14:textId="77777777" w:rsidR="00E93F58" w:rsidRPr="006E709F" w:rsidRDefault="00E93F58" w:rsidP="006F2E0A">
            <w:pPr>
              <w:pStyle w:val="TableHeading"/>
              <w:rPr>
                <w:i/>
              </w:rPr>
            </w:pPr>
            <w:r w:rsidRPr="006E709F">
              <w:rPr>
                <w:i/>
              </w:rPr>
              <w:t>[Name of collective investment product]</w:t>
            </w:r>
          </w:p>
        </w:tc>
      </w:tr>
      <w:tr w:rsidR="00E93F58" w:rsidRPr="006E709F" w14:paraId="0C6BF3C3" w14:textId="77777777" w:rsidTr="00E118FA">
        <w:trPr>
          <w:tblHeader/>
        </w:trPr>
        <w:tc>
          <w:tcPr>
            <w:tcW w:w="1249" w:type="pct"/>
            <w:tcBorders>
              <w:top w:val="single" w:sz="2" w:space="0" w:color="auto"/>
              <w:left w:val="single" w:sz="2" w:space="0" w:color="auto"/>
              <w:bottom w:val="single" w:sz="2" w:space="0" w:color="auto"/>
              <w:right w:val="single" w:sz="2" w:space="0" w:color="auto"/>
            </w:tcBorders>
            <w:shd w:val="clear" w:color="auto" w:fill="auto"/>
          </w:tcPr>
          <w:p w14:paraId="40FE0D34" w14:textId="77777777" w:rsidR="00E93F58" w:rsidRPr="006E709F" w:rsidRDefault="00E93F58" w:rsidP="006A221B">
            <w:pPr>
              <w:pStyle w:val="TableHeading"/>
            </w:pPr>
            <w:r w:rsidRPr="006E709F">
              <w:t>Type of fee or cost</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6D4D61D9" w14:textId="77777777" w:rsidR="00E93F58" w:rsidRPr="006E709F" w:rsidRDefault="00E93F58" w:rsidP="006A221B">
            <w:pPr>
              <w:pStyle w:val="TableHeading"/>
            </w:pPr>
            <w:r w:rsidRPr="006E709F">
              <w:t xml:space="preserve">Amount </w:t>
            </w: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4CAFB97E" w14:textId="77777777" w:rsidR="00E93F58" w:rsidRPr="006E709F" w:rsidRDefault="00E93F58" w:rsidP="006A221B">
            <w:pPr>
              <w:pStyle w:val="TableHeading"/>
            </w:pPr>
            <w:r w:rsidRPr="006E709F">
              <w:t>How and when paid</w:t>
            </w:r>
          </w:p>
        </w:tc>
      </w:tr>
      <w:tr w:rsidR="00E93F58" w:rsidRPr="006E709F" w14:paraId="62C63F85"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24734347" w14:textId="77777777" w:rsidR="00E93F58" w:rsidRPr="006E709F" w:rsidRDefault="00E93F58" w:rsidP="006F2E0A">
            <w:pPr>
              <w:pStyle w:val="TableHeading"/>
            </w:pPr>
            <w:r w:rsidRPr="006E709F">
              <w:t>Fees when your money moves in or out of the product</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74E8C08C" w14:textId="77777777" w:rsidR="00E93F58" w:rsidRPr="006E709F" w:rsidRDefault="00E93F58" w:rsidP="006A221B">
            <w:pPr>
              <w:pStyle w:val="TableHeading"/>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202FBF2F" w14:textId="77777777" w:rsidR="00E93F58" w:rsidRPr="006E709F" w:rsidRDefault="00E93F58" w:rsidP="006A221B">
            <w:pPr>
              <w:pStyle w:val="TableHeading"/>
            </w:pPr>
          </w:p>
        </w:tc>
      </w:tr>
      <w:tr w:rsidR="00E93F58" w:rsidRPr="006E709F" w14:paraId="0A0B1B32"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6A7FBC29" w14:textId="77777777" w:rsidR="00E93F58" w:rsidRPr="006E709F" w:rsidRDefault="00E93F58" w:rsidP="006A221B">
            <w:pPr>
              <w:pStyle w:val="Tabletext"/>
              <w:rPr>
                <w:i/>
              </w:rPr>
            </w:pPr>
            <w:r w:rsidRPr="006E709F">
              <w:rPr>
                <w:i/>
              </w:rPr>
              <w:t>Establishment fee</w:t>
            </w:r>
          </w:p>
          <w:p w14:paraId="416271D9" w14:textId="77777777" w:rsidR="00E93F58" w:rsidRPr="006E709F" w:rsidRDefault="00E93F58" w:rsidP="00DA6FFD">
            <w:pPr>
              <w:pStyle w:val="Tabletext"/>
            </w:pPr>
            <w:r w:rsidRPr="006E709F">
              <w:t>The fee to open your investment</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78B65C75" w14:textId="77777777" w:rsidR="00E93F58" w:rsidRPr="006E709F" w:rsidRDefault="00E93F58" w:rsidP="00677261">
            <w:pPr>
              <w:spacing w:line="240" w:lineRule="auto"/>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0705F16A" w14:textId="77777777" w:rsidR="00E93F58" w:rsidRPr="006E709F" w:rsidRDefault="00E93F58" w:rsidP="00677261">
            <w:pPr>
              <w:spacing w:line="240" w:lineRule="auto"/>
            </w:pPr>
          </w:p>
        </w:tc>
      </w:tr>
      <w:tr w:rsidR="00E93F58" w:rsidRPr="006E709F" w14:paraId="31193A08" w14:textId="77777777" w:rsidTr="00E118FA">
        <w:trPr>
          <w:cantSplit/>
        </w:trPr>
        <w:tc>
          <w:tcPr>
            <w:tcW w:w="1249" w:type="pct"/>
            <w:tcBorders>
              <w:top w:val="single" w:sz="2" w:space="0" w:color="auto"/>
              <w:left w:val="single" w:sz="2" w:space="0" w:color="auto"/>
              <w:bottom w:val="single" w:sz="2" w:space="0" w:color="auto"/>
              <w:right w:val="single" w:sz="2" w:space="0" w:color="auto"/>
            </w:tcBorders>
            <w:shd w:val="clear" w:color="auto" w:fill="auto"/>
          </w:tcPr>
          <w:p w14:paraId="671EFCAB" w14:textId="77777777" w:rsidR="00E93F58" w:rsidRPr="006E709F" w:rsidRDefault="00E93F58" w:rsidP="00A53AD1">
            <w:pPr>
              <w:pStyle w:val="Tabletext"/>
              <w:rPr>
                <w:i/>
              </w:rPr>
            </w:pPr>
            <w:r w:rsidRPr="006E709F">
              <w:rPr>
                <w:i/>
              </w:rPr>
              <w:t>Contribution fee¹</w:t>
            </w:r>
          </w:p>
          <w:p w14:paraId="2AD00C1B" w14:textId="77777777" w:rsidR="00E93F58" w:rsidRPr="006E709F" w:rsidRDefault="00E93F58" w:rsidP="00DA6FFD">
            <w:pPr>
              <w:pStyle w:val="Tabletext"/>
            </w:pPr>
            <w:r w:rsidRPr="006E709F">
              <w:t>The fee on each amount contributed to your investment</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0A6D3570" w14:textId="77777777" w:rsidR="00E93F58" w:rsidRPr="006E709F" w:rsidRDefault="00E93F58" w:rsidP="00677261">
            <w:pPr>
              <w:spacing w:line="240" w:lineRule="auto"/>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1AA7C40F" w14:textId="77777777" w:rsidR="00E93F58" w:rsidRPr="006E709F" w:rsidRDefault="00E93F58" w:rsidP="00677261">
            <w:pPr>
              <w:spacing w:line="240" w:lineRule="auto"/>
            </w:pPr>
          </w:p>
        </w:tc>
      </w:tr>
      <w:tr w:rsidR="00E93F58" w:rsidRPr="006E709F" w14:paraId="0A308F82" w14:textId="77777777" w:rsidTr="00E118FA">
        <w:trPr>
          <w:cantSplit/>
        </w:trPr>
        <w:tc>
          <w:tcPr>
            <w:tcW w:w="1249" w:type="pct"/>
            <w:tcBorders>
              <w:top w:val="single" w:sz="2" w:space="0" w:color="auto"/>
              <w:left w:val="single" w:sz="2" w:space="0" w:color="auto"/>
              <w:bottom w:val="single" w:sz="2" w:space="0" w:color="auto"/>
              <w:right w:val="single" w:sz="2" w:space="0" w:color="auto"/>
            </w:tcBorders>
            <w:shd w:val="clear" w:color="auto" w:fill="auto"/>
          </w:tcPr>
          <w:p w14:paraId="2FD422CB" w14:textId="77777777" w:rsidR="00E93F58" w:rsidRPr="006E709F" w:rsidRDefault="00E93F58" w:rsidP="00A53AD1">
            <w:pPr>
              <w:pStyle w:val="Tabletext"/>
              <w:rPr>
                <w:i/>
              </w:rPr>
            </w:pPr>
            <w:r w:rsidRPr="006E709F">
              <w:rPr>
                <w:i/>
              </w:rPr>
              <w:t>Withdrawal fee¹</w:t>
            </w:r>
          </w:p>
          <w:p w14:paraId="78479012" w14:textId="77777777" w:rsidR="00E93F58" w:rsidRPr="006E709F" w:rsidRDefault="00E93F58" w:rsidP="00DA6FFD">
            <w:pPr>
              <w:pStyle w:val="Tabletext"/>
            </w:pPr>
            <w:r w:rsidRPr="006E709F">
              <w:t>The fee on each amount you take out of your investment</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6C6F09EF" w14:textId="77777777" w:rsidR="00E93F58" w:rsidRPr="006E709F" w:rsidRDefault="00E93F58" w:rsidP="00677261">
            <w:pPr>
              <w:spacing w:line="240" w:lineRule="auto"/>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7ADCF85A" w14:textId="77777777" w:rsidR="00E93F58" w:rsidRPr="006E709F" w:rsidRDefault="00E93F58" w:rsidP="00677261">
            <w:pPr>
              <w:spacing w:line="240" w:lineRule="auto"/>
            </w:pPr>
          </w:p>
        </w:tc>
      </w:tr>
      <w:tr w:rsidR="00E93F58" w:rsidRPr="006E709F" w14:paraId="3DE0BC0A"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03FE169E" w14:textId="77777777" w:rsidR="00E93F58" w:rsidRPr="006E709F" w:rsidRDefault="00E93F58" w:rsidP="00A53AD1">
            <w:pPr>
              <w:pStyle w:val="Tabletext"/>
              <w:rPr>
                <w:i/>
              </w:rPr>
            </w:pPr>
            <w:r w:rsidRPr="006E709F">
              <w:rPr>
                <w:i/>
              </w:rPr>
              <w:t>Exit fee¹</w:t>
            </w:r>
          </w:p>
          <w:p w14:paraId="45B65B34" w14:textId="77777777" w:rsidR="00E93F58" w:rsidRPr="006E709F" w:rsidRDefault="00E93F58" w:rsidP="00DA6FFD">
            <w:pPr>
              <w:pStyle w:val="Tabletext"/>
            </w:pPr>
            <w:r w:rsidRPr="006E709F">
              <w:t>The fee to close your investment</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7FD5AF61" w14:textId="77777777" w:rsidR="00E93F58" w:rsidRPr="006E709F" w:rsidRDefault="00E93F58" w:rsidP="000858E6">
            <w:pPr>
              <w:keepNext/>
              <w:keepLines/>
              <w:spacing w:line="240" w:lineRule="auto"/>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43B6261B" w14:textId="77777777" w:rsidR="00E93F58" w:rsidRPr="006E709F" w:rsidRDefault="00E93F58" w:rsidP="000858E6">
            <w:pPr>
              <w:keepNext/>
              <w:keepLines/>
              <w:spacing w:line="240" w:lineRule="auto"/>
            </w:pPr>
          </w:p>
        </w:tc>
      </w:tr>
      <w:tr w:rsidR="00E93F58" w:rsidRPr="006E709F" w14:paraId="4B2FDC6B"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719AAA7D" w14:textId="77777777" w:rsidR="00E93F58" w:rsidRPr="006E709F" w:rsidRDefault="00E93F58" w:rsidP="00A53AD1">
            <w:pPr>
              <w:pStyle w:val="TableHeading"/>
            </w:pPr>
            <w:r w:rsidRPr="006E709F">
              <w:t>Management costs</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558B7BF7" w14:textId="77777777" w:rsidR="00E93F58" w:rsidRPr="006E709F" w:rsidRDefault="00E93F58" w:rsidP="00A53AD1">
            <w:pPr>
              <w:pStyle w:val="TableHeading"/>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631F84A0" w14:textId="77777777" w:rsidR="00E93F58" w:rsidRPr="006E709F" w:rsidRDefault="00E93F58" w:rsidP="00A53AD1">
            <w:pPr>
              <w:pStyle w:val="TableHeading"/>
            </w:pPr>
          </w:p>
        </w:tc>
      </w:tr>
      <w:tr w:rsidR="00E93F58" w:rsidRPr="006E709F" w14:paraId="6560D221"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0627DD1A" w14:textId="77777777" w:rsidR="00E93F58" w:rsidRPr="006E709F" w:rsidRDefault="00E93F58" w:rsidP="00A53AD1">
            <w:pPr>
              <w:pStyle w:val="Tabletext"/>
              <w:rPr>
                <w:i/>
              </w:rPr>
            </w:pPr>
            <w:r w:rsidRPr="006E709F">
              <w:rPr>
                <w:i/>
              </w:rPr>
              <w:t>The fees and costs for managing your investment¹</w:t>
            </w:r>
          </w:p>
          <w:p w14:paraId="4259D4F5" w14:textId="77777777" w:rsidR="00E93F58" w:rsidRPr="006E709F" w:rsidRDefault="00E93F58" w:rsidP="00DA6FFD">
            <w:pPr>
              <w:pStyle w:val="Tabletext"/>
            </w:pPr>
            <w:r w:rsidRPr="006E709F">
              <w:t xml:space="preserve">The amount you pay for specific investment options is shown at page </w:t>
            </w:r>
            <w:r w:rsidRPr="006E709F">
              <w:rPr>
                <w:i/>
              </w:rPr>
              <w:t>[insert page number]</w:t>
            </w:r>
            <w:r w:rsidRPr="006E709F">
              <w:t xml:space="preserve"> </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0B4BA2C8" w14:textId="77777777" w:rsidR="00E93F58" w:rsidRPr="006E709F" w:rsidRDefault="00E93F58" w:rsidP="00677261">
            <w:pPr>
              <w:spacing w:line="240" w:lineRule="auto"/>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6FB09C15" w14:textId="77777777" w:rsidR="00E93F58" w:rsidRPr="006E709F" w:rsidRDefault="00E93F58" w:rsidP="00677261">
            <w:pPr>
              <w:spacing w:line="240" w:lineRule="auto"/>
            </w:pPr>
          </w:p>
        </w:tc>
      </w:tr>
      <w:tr w:rsidR="00E93F58" w:rsidRPr="006E709F" w14:paraId="13BBFE46"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4E6A299C" w14:textId="77777777" w:rsidR="00E93F58" w:rsidRPr="006E709F" w:rsidRDefault="00E93F58" w:rsidP="00A53AD1">
            <w:pPr>
              <w:pStyle w:val="TableHeading"/>
            </w:pPr>
            <w:r w:rsidRPr="006E709F">
              <w:t>Service fees²</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59CB158B" w14:textId="77777777" w:rsidR="00E93F58" w:rsidRPr="006E709F" w:rsidRDefault="00E93F58" w:rsidP="00A53AD1">
            <w:pPr>
              <w:pStyle w:val="TableHeading"/>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5F066776" w14:textId="77777777" w:rsidR="00E93F58" w:rsidRPr="006E709F" w:rsidRDefault="00E93F58" w:rsidP="00A53AD1">
            <w:pPr>
              <w:pStyle w:val="TableHeading"/>
            </w:pPr>
          </w:p>
        </w:tc>
      </w:tr>
      <w:tr w:rsidR="00E93F58" w:rsidRPr="006E709F" w14:paraId="23AE5962" w14:textId="77777777" w:rsidTr="00E118FA">
        <w:tc>
          <w:tcPr>
            <w:tcW w:w="1249" w:type="pct"/>
            <w:tcBorders>
              <w:top w:val="single" w:sz="2" w:space="0" w:color="auto"/>
              <w:left w:val="single" w:sz="2" w:space="0" w:color="auto"/>
              <w:bottom w:val="single" w:sz="2" w:space="0" w:color="auto"/>
              <w:right w:val="single" w:sz="2" w:space="0" w:color="auto"/>
            </w:tcBorders>
            <w:shd w:val="clear" w:color="auto" w:fill="auto"/>
          </w:tcPr>
          <w:p w14:paraId="2E168631" w14:textId="77777777" w:rsidR="00E93F58" w:rsidRPr="006E709F" w:rsidRDefault="00E93F58" w:rsidP="00A53AD1">
            <w:pPr>
              <w:pStyle w:val="Tabletext"/>
              <w:rPr>
                <w:i/>
              </w:rPr>
            </w:pPr>
            <w:r w:rsidRPr="006E709F">
              <w:rPr>
                <w:i/>
              </w:rPr>
              <w:t>Switching fee</w:t>
            </w:r>
          </w:p>
          <w:p w14:paraId="3126D992" w14:textId="77777777" w:rsidR="00E93F58" w:rsidRPr="006E709F" w:rsidRDefault="00E93F58" w:rsidP="00DA6FFD">
            <w:pPr>
              <w:pStyle w:val="Tabletext"/>
            </w:pPr>
            <w:r w:rsidRPr="006E709F">
              <w:t>The fee for changing investment options</w:t>
            </w:r>
          </w:p>
        </w:tc>
        <w:tc>
          <w:tcPr>
            <w:tcW w:w="2500" w:type="pct"/>
            <w:tcBorders>
              <w:top w:val="single" w:sz="2" w:space="0" w:color="auto"/>
              <w:left w:val="single" w:sz="2" w:space="0" w:color="auto"/>
              <w:bottom w:val="single" w:sz="2" w:space="0" w:color="auto"/>
              <w:right w:val="single" w:sz="2" w:space="0" w:color="auto"/>
            </w:tcBorders>
            <w:shd w:val="clear" w:color="auto" w:fill="auto"/>
          </w:tcPr>
          <w:p w14:paraId="3A7592BA" w14:textId="77777777" w:rsidR="00E93F58" w:rsidRPr="006E709F" w:rsidRDefault="00E93F58" w:rsidP="00677261">
            <w:pPr>
              <w:spacing w:line="240" w:lineRule="auto"/>
            </w:pPr>
          </w:p>
        </w:tc>
        <w:tc>
          <w:tcPr>
            <w:tcW w:w="1251" w:type="pct"/>
            <w:tcBorders>
              <w:top w:val="single" w:sz="2" w:space="0" w:color="auto"/>
              <w:left w:val="single" w:sz="2" w:space="0" w:color="auto"/>
              <w:bottom w:val="single" w:sz="2" w:space="0" w:color="auto"/>
              <w:right w:val="single" w:sz="2" w:space="0" w:color="auto"/>
            </w:tcBorders>
            <w:shd w:val="clear" w:color="auto" w:fill="auto"/>
          </w:tcPr>
          <w:p w14:paraId="4B8AB77F" w14:textId="77777777" w:rsidR="00E93F58" w:rsidRPr="006E709F" w:rsidRDefault="00E93F58" w:rsidP="00677261">
            <w:pPr>
              <w:spacing w:line="240" w:lineRule="auto"/>
            </w:pPr>
          </w:p>
        </w:tc>
      </w:tr>
    </w:tbl>
    <w:p w14:paraId="72A7BAB2" w14:textId="77777777" w:rsidR="00E93F58" w:rsidRPr="006E709F" w:rsidRDefault="00E93F58" w:rsidP="00677261">
      <w:pPr>
        <w:pStyle w:val="notemargin"/>
      </w:pPr>
      <w:r w:rsidRPr="006E709F">
        <w:rPr>
          <w:bCs/>
        </w:rPr>
        <w:t>1.</w:t>
      </w:r>
      <w:r w:rsidRPr="006E709F">
        <w:rPr>
          <w:bCs/>
        </w:rPr>
        <w:tab/>
      </w:r>
      <w:r w:rsidRPr="006E709F">
        <w:t>This fee includes an amount payable to an adviser. (See Division 4, “Adviser remuneration” under the heading “Additional Explanation of Fees and Costs”.)</w:t>
      </w:r>
    </w:p>
    <w:p w14:paraId="27B2446A" w14:textId="77777777" w:rsidR="00E93F58" w:rsidRPr="006E709F" w:rsidRDefault="00E93F58" w:rsidP="00677261">
      <w:pPr>
        <w:pStyle w:val="notemargin"/>
      </w:pPr>
      <w:r w:rsidRPr="006E709F">
        <w:rPr>
          <w:bCs/>
        </w:rPr>
        <w:t>2</w:t>
      </w:r>
      <w:r w:rsidRPr="006E709F">
        <w:t>.</w:t>
      </w:r>
      <w:r w:rsidRPr="006E709F">
        <w:tab/>
      </w:r>
      <w:r w:rsidRPr="006E709F">
        <w:rPr>
          <w:i/>
        </w:rPr>
        <w:t>[If there are other service fees, such as advice fees or special request fees, include a cross</w:t>
      </w:r>
      <w:r>
        <w:rPr>
          <w:i/>
        </w:rPr>
        <w:noBreakHyphen/>
      </w:r>
      <w:r w:rsidRPr="006E709F">
        <w:rPr>
          <w:i/>
        </w:rPr>
        <w:t>reference to the “Additional Explanation of Fees and Costs”.]</w:t>
      </w:r>
    </w:p>
    <w:p w14:paraId="7CF752D2" w14:textId="77777777" w:rsidR="00E93F58" w:rsidRPr="006E709F" w:rsidRDefault="00E93F58" w:rsidP="00A801D0">
      <w:pPr>
        <w:pStyle w:val="ActHead3"/>
        <w:pageBreakBefore/>
      </w:pPr>
      <w:bookmarkStart w:id="3400" w:name="_Toc151992448"/>
      <w:bookmarkStart w:id="3401" w:name="_Toc158713485"/>
      <w:r w:rsidRPr="000C4237">
        <w:rPr>
          <w:rStyle w:val="CharDivNo"/>
        </w:rPr>
        <w:lastRenderedPageBreak/>
        <w:t>Division 3</w:t>
      </w:r>
      <w:r w:rsidRPr="006E709F">
        <w:t>—</w:t>
      </w:r>
      <w:r w:rsidRPr="000C4237">
        <w:rPr>
          <w:rStyle w:val="CharDivText"/>
        </w:rPr>
        <w:t>How to fill in the template</w:t>
      </w:r>
      <w:bookmarkEnd w:id="3400"/>
      <w:bookmarkEnd w:id="3401"/>
    </w:p>
    <w:p w14:paraId="37314AF6" w14:textId="77777777" w:rsidR="00E93F58" w:rsidRPr="006E709F" w:rsidRDefault="00E93F58" w:rsidP="00D5406C">
      <w:pPr>
        <w:pStyle w:val="ActHead5"/>
      </w:pPr>
      <w:bookmarkStart w:id="3402" w:name="_Toc151992449"/>
      <w:bookmarkStart w:id="3403" w:name="_Toc158713486"/>
      <w:r w:rsidRPr="000C4237">
        <w:rPr>
          <w:rStyle w:val="CharSectno"/>
        </w:rPr>
        <w:t>203</w:t>
      </w:r>
      <w:r w:rsidRPr="006E709F">
        <w:t xml:space="preserve">  The preamble</w:t>
      </w:r>
      <w:bookmarkEnd w:id="3402"/>
      <w:bookmarkEnd w:id="3403"/>
    </w:p>
    <w:p w14:paraId="79157ED4" w14:textId="77777777" w:rsidR="00E93F58" w:rsidRPr="006E709F" w:rsidRDefault="00E93F58" w:rsidP="00A801D0">
      <w:pPr>
        <w:pStyle w:val="subsection"/>
      </w:pPr>
      <w:r w:rsidRPr="006E709F">
        <w:tab/>
      </w:r>
      <w:r w:rsidRPr="006E709F">
        <w:tab/>
        <w:t>The material in the preamble to the template should only include matters that are relevant to the product.</w:t>
      </w:r>
    </w:p>
    <w:p w14:paraId="48AF8573" w14:textId="77777777" w:rsidR="00E93F58" w:rsidRPr="006E709F" w:rsidRDefault="00E93F58" w:rsidP="00BF7680">
      <w:pPr>
        <w:pStyle w:val="notetext"/>
      </w:pPr>
      <w:r w:rsidRPr="006E709F">
        <w:t>Example:</w:t>
      </w:r>
      <w:r w:rsidRPr="006E709F">
        <w:tab/>
        <w:t>Insurance costs will generally not be relevant to a collective investment product.</w:t>
      </w:r>
    </w:p>
    <w:p w14:paraId="109F5F20" w14:textId="77777777" w:rsidR="00E93F58" w:rsidRPr="006E709F" w:rsidRDefault="00E93F58" w:rsidP="0054091E">
      <w:pPr>
        <w:pStyle w:val="ActHead5"/>
      </w:pPr>
      <w:bookmarkStart w:id="3404" w:name="_Toc151992450"/>
      <w:bookmarkStart w:id="3405" w:name="_Toc158713487"/>
      <w:r w:rsidRPr="000C4237">
        <w:rPr>
          <w:rStyle w:val="CharSectno"/>
        </w:rPr>
        <w:t>204</w:t>
      </w:r>
      <w:r w:rsidRPr="006E709F">
        <w:t xml:space="preserve">  Column 2—presentation of amounts</w:t>
      </w:r>
      <w:bookmarkEnd w:id="3404"/>
      <w:bookmarkEnd w:id="3405"/>
    </w:p>
    <w:p w14:paraId="4D111A01" w14:textId="77777777" w:rsidR="00E93F58" w:rsidRPr="006E709F" w:rsidRDefault="00E93F58" w:rsidP="00A801D0">
      <w:pPr>
        <w:pStyle w:val="subsection"/>
      </w:pPr>
      <w:r w:rsidRPr="006E709F">
        <w:tab/>
        <w:t>(1)</w:t>
      </w:r>
      <w:r w:rsidRPr="006E709F">
        <w:tab/>
        <w:t>This clause, clause 205 and clause 206 are subject to regulations 7.9.15A, 7.9.15B and 7.9.15C.</w:t>
      </w:r>
    </w:p>
    <w:p w14:paraId="241F67DD" w14:textId="77777777" w:rsidR="00E93F58" w:rsidRPr="006E709F" w:rsidRDefault="00E93F58" w:rsidP="00A801D0">
      <w:pPr>
        <w:pStyle w:val="subsection"/>
      </w:pPr>
      <w:r w:rsidRPr="006E709F">
        <w:tab/>
        <w:t>(2)</w:t>
      </w:r>
      <w:r w:rsidRPr="006E709F">
        <w:tab/>
        <w:t>If a particular fee or cost is not charged, ‘nil’, ‘zero’, ‘0’ or ‘not applicable’ (if it would not be misleading) must be written in column 2 opposite the type of fee or cost.</w:t>
      </w:r>
    </w:p>
    <w:p w14:paraId="63E05868" w14:textId="77777777" w:rsidR="00E93F58" w:rsidRPr="006E709F" w:rsidRDefault="00E93F58" w:rsidP="00A801D0">
      <w:pPr>
        <w:pStyle w:val="subsection"/>
      </w:pPr>
      <w:r w:rsidRPr="006E709F">
        <w:tab/>
        <w:t>(3)</w:t>
      </w:r>
      <w:r w:rsidRPr="006E709F">
        <w:tab/>
        <w:t>If it is not possible to determine a single amount or percentage of a fee or cost, it may be written as a range of fees or costs.</w:t>
      </w:r>
    </w:p>
    <w:p w14:paraId="30AC86CB" w14:textId="77777777" w:rsidR="00E93F58" w:rsidRPr="006E709F" w:rsidRDefault="00E93F58" w:rsidP="00A801D0">
      <w:pPr>
        <w:pStyle w:val="subsection"/>
      </w:pPr>
      <w:r w:rsidRPr="006E709F">
        <w:tab/>
        <w:t>(4)</w:t>
      </w:r>
      <w:r w:rsidRPr="006E709F">
        <w:tab/>
        <w:t>If the exact amount of a fee or cost paid or payable is not known, an amount that is a reasonable estimate of the amount attributable to the retail client must be shown.</w:t>
      </w:r>
    </w:p>
    <w:p w14:paraId="65BBDAA2" w14:textId="77777777" w:rsidR="00E93F58" w:rsidRPr="006E709F" w:rsidRDefault="00E93F58" w:rsidP="00A801D0">
      <w:pPr>
        <w:pStyle w:val="subsection"/>
      </w:pPr>
      <w:r w:rsidRPr="006E709F">
        <w:tab/>
        <w:t>(5)</w:t>
      </w:r>
      <w:r w:rsidRPr="006E709F">
        <w:tab/>
        <w:t>An amount set out in accordance with subclause (4) must be clearly designated as an estimate.</w:t>
      </w:r>
    </w:p>
    <w:p w14:paraId="72BF5E3A" w14:textId="77777777" w:rsidR="00E93F58" w:rsidRPr="006E709F" w:rsidRDefault="00E93F58" w:rsidP="00A801D0">
      <w:pPr>
        <w:pStyle w:val="subsection"/>
      </w:pPr>
      <w:r w:rsidRPr="006E709F">
        <w:tab/>
        <w:t>(6)</w:t>
      </w:r>
      <w:r w:rsidRPr="006E709F">
        <w:tab/>
        <w:t>If an amount or cost has a number of components, the amount of each component must be listed separately.</w:t>
      </w:r>
    </w:p>
    <w:p w14:paraId="328ECE0F" w14:textId="77777777" w:rsidR="00E93F58" w:rsidRPr="006E709F" w:rsidRDefault="00E93F58" w:rsidP="00BF7680">
      <w:pPr>
        <w:pStyle w:val="notetext"/>
      </w:pPr>
      <w:r w:rsidRPr="006E709F">
        <w:t>Example:</w:t>
      </w:r>
      <w:r w:rsidRPr="006E709F">
        <w:tab/>
        <w:t>Management costs: 1.8% of product holder’s balance + $70 per year.</w:t>
      </w:r>
    </w:p>
    <w:p w14:paraId="2B83DA03" w14:textId="77777777" w:rsidR="00E93F58" w:rsidRPr="006E709F" w:rsidRDefault="00E93F58" w:rsidP="00BD52AE">
      <w:pPr>
        <w:pStyle w:val="subsection"/>
      </w:pPr>
      <w:r w:rsidRPr="006E709F">
        <w:tab/>
        <w:t>(7)</w:t>
      </w:r>
      <w:r w:rsidRPr="006E709F">
        <w:tab/>
        <w:t>A cost or amount paid or payable must include (if applicable):</w:t>
      </w:r>
    </w:p>
    <w:p w14:paraId="7C4F6048" w14:textId="77777777" w:rsidR="00E93F58" w:rsidRPr="006E709F" w:rsidRDefault="00E93F58" w:rsidP="00BD52AE">
      <w:pPr>
        <w:pStyle w:val="paragraph"/>
      </w:pPr>
      <w:r w:rsidRPr="006E709F">
        <w:tab/>
        <w:t>(a)</w:t>
      </w:r>
      <w:r w:rsidRPr="006E709F">
        <w:tab/>
        <w:t>for each collective investment product:</w:t>
      </w:r>
    </w:p>
    <w:p w14:paraId="0C2D9708" w14:textId="77777777" w:rsidR="00E93F58" w:rsidRPr="006E709F" w:rsidRDefault="00E93F58" w:rsidP="00BD52AE">
      <w:pPr>
        <w:pStyle w:val="paragraphsub"/>
      </w:pPr>
      <w:r w:rsidRPr="006E709F">
        <w:tab/>
        <w:t>(i)</w:t>
      </w:r>
      <w:r w:rsidRPr="006E709F">
        <w:tab/>
        <w:t>GST, after being reduced by any reduced input tax credits; and</w:t>
      </w:r>
    </w:p>
    <w:p w14:paraId="4C07BE89" w14:textId="77777777" w:rsidR="00E93F58" w:rsidRPr="006E709F" w:rsidRDefault="00E93F58" w:rsidP="00BD52AE">
      <w:pPr>
        <w:pStyle w:val="paragraphsub"/>
      </w:pPr>
      <w:r w:rsidRPr="006E709F">
        <w:tab/>
        <w:t>(ii)</w:t>
      </w:r>
      <w:r w:rsidRPr="006E709F">
        <w:tab/>
        <w:t>stamp duty; and</w:t>
      </w:r>
    </w:p>
    <w:p w14:paraId="60256330" w14:textId="77777777" w:rsidR="00E93F58" w:rsidRPr="006E709F" w:rsidRDefault="00E93F58" w:rsidP="00BD52AE">
      <w:pPr>
        <w:pStyle w:val="paragraph"/>
      </w:pPr>
      <w:r w:rsidRPr="006E709F">
        <w:tab/>
        <w:t>(b)</w:t>
      </w:r>
      <w:r w:rsidRPr="006E709F">
        <w:tab/>
        <w:t>for each collective investment product offered by an Australian passport fund or a notified foreign passport fund:</w:t>
      </w:r>
    </w:p>
    <w:p w14:paraId="155B04FA" w14:textId="77777777" w:rsidR="00E93F58" w:rsidRPr="006E709F" w:rsidRDefault="00E93F58" w:rsidP="00BD52AE">
      <w:pPr>
        <w:pStyle w:val="paragraphsub"/>
      </w:pPr>
      <w:r w:rsidRPr="006E709F">
        <w:tab/>
        <w:t>(i)</w:t>
      </w:r>
      <w:r w:rsidRPr="006E709F">
        <w:tab/>
        <w:t>any indirect taxes equivalent to GST that are payable in another jurisdiction, after being reduced by any applicable tax credits that are available in that jurisdiction; and</w:t>
      </w:r>
    </w:p>
    <w:p w14:paraId="5FDAAACF" w14:textId="77777777" w:rsidR="00E93F58" w:rsidRPr="006E709F" w:rsidRDefault="00E93F58" w:rsidP="00BD52AE">
      <w:pPr>
        <w:pStyle w:val="paragraphsub"/>
      </w:pPr>
      <w:r w:rsidRPr="006E709F">
        <w:tab/>
        <w:t>(ii)</w:t>
      </w:r>
      <w:r w:rsidRPr="006E709F">
        <w:tab/>
        <w:t>any duties equivalent to stamp duty that are payable in another jurisdiction.</w:t>
      </w:r>
    </w:p>
    <w:p w14:paraId="62D7A5AF" w14:textId="77777777" w:rsidR="00E93F58" w:rsidRPr="006E709F" w:rsidRDefault="00E93F58" w:rsidP="00D40A21">
      <w:pPr>
        <w:pStyle w:val="ActHead5"/>
      </w:pPr>
      <w:bookmarkStart w:id="3406" w:name="_Toc151992451"/>
      <w:bookmarkStart w:id="3407" w:name="_Toc158713488"/>
      <w:r w:rsidRPr="000C4237">
        <w:rPr>
          <w:rStyle w:val="CharSectno"/>
        </w:rPr>
        <w:t>205</w:t>
      </w:r>
      <w:r w:rsidRPr="006E709F">
        <w:t xml:space="preserve">  Column 2—include information for each MySuper product or investment option</w:t>
      </w:r>
      <w:bookmarkEnd w:id="3406"/>
      <w:bookmarkEnd w:id="3407"/>
    </w:p>
    <w:p w14:paraId="05FC064A" w14:textId="77777777" w:rsidR="00E93F58" w:rsidRPr="006E709F" w:rsidRDefault="00E93F58" w:rsidP="00D40A21">
      <w:pPr>
        <w:pStyle w:val="subsection"/>
      </w:pPr>
      <w:r w:rsidRPr="006E709F">
        <w:tab/>
        <w:t>(1)</w:t>
      </w:r>
      <w:r w:rsidRPr="006E709F">
        <w:tab/>
        <w:t>The fee information must be set out:</w:t>
      </w:r>
    </w:p>
    <w:p w14:paraId="308A04F3" w14:textId="77777777" w:rsidR="00E93F58" w:rsidRPr="006E709F" w:rsidRDefault="00E93F58" w:rsidP="00D40A21">
      <w:pPr>
        <w:pStyle w:val="paragraph"/>
      </w:pPr>
      <w:r w:rsidRPr="006E709F">
        <w:tab/>
        <w:t>(a)</w:t>
      </w:r>
      <w:r w:rsidRPr="006E709F">
        <w:tab/>
        <w:t>for superannuation products—for each MySuper product and each investment option offered by the relevant superannuation entity; and</w:t>
      </w:r>
    </w:p>
    <w:p w14:paraId="39EC9D5E" w14:textId="77777777" w:rsidR="00E93F58" w:rsidRPr="006E709F" w:rsidRDefault="00E93F58" w:rsidP="00D40A21">
      <w:pPr>
        <w:pStyle w:val="paragraph"/>
      </w:pPr>
      <w:r w:rsidRPr="006E709F">
        <w:tab/>
        <w:t>(b)</w:t>
      </w:r>
      <w:r w:rsidRPr="006E709F">
        <w:tab/>
        <w:t>for collective investment products—for each investment option offered by the relevant managed investment scheme or retail CCIV.</w:t>
      </w:r>
    </w:p>
    <w:p w14:paraId="455DF6BD" w14:textId="77777777" w:rsidR="00E93F58" w:rsidRPr="006E709F" w:rsidRDefault="00E93F58" w:rsidP="00D40A21">
      <w:pPr>
        <w:pStyle w:val="subsection"/>
      </w:pPr>
      <w:r w:rsidRPr="006E709F">
        <w:tab/>
        <w:t>(2)</w:t>
      </w:r>
      <w:r w:rsidRPr="006E709F">
        <w:tab/>
        <w:t>It may be:</w:t>
      </w:r>
    </w:p>
    <w:p w14:paraId="40CF9776" w14:textId="77777777" w:rsidR="00E93F58" w:rsidRPr="006E709F" w:rsidRDefault="00E93F58" w:rsidP="00D40A21">
      <w:pPr>
        <w:pStyle w:val="paragraph"/>
      </w:pPr>
      <w:r w:rsidRPr="006E709F">
        <w:tab/>
        <w:t>(a)</w:t>
      </w:r>
      <w:r w:rsidRPr="006E709F">
        <w:tab/>
        <w:t>set out in the table; or</w:t>
      </w:r>
    </w:p>
    <w:p w14:paraId="76F26BCC" w14:textId="77777777" w:rsidR="00E93F58" w:rsidRPr="006E709F" w:rsidRDefault="00E93F58" w:rsidP="00D40A21">
      <w:pPr>
        <w:pStyle w:val="paragraph"/>
      </w:pPr>
      <w:r w:rsidRPr="006E709F">
        <w:tab/>
        <w:t>(b)</w:t>
      </w:r>
      <w:r w:rsidRPr="006E709F">
        <w:tab/>
        <w:t>cross</w:t>
      </w:r>
      <w:r>
        <w:noBreakHyphen/>
      </w:r>
      <w:r w:rsidRPr="006E709F">
        <w:t>referenced in the table to another section of the Product Disclosure Statement that contains the relevant fee information.</w:t>
      </w:r>
    </w:p>
    <w:p w14:paraId="4D1E5A75" w14:textId="77777777" w:rsidR="00E93F58" w:rsidRPr="006E709F" w:rsidRDefault="00E93F58" w:rsidP="00D5406C">
      <w:pPr>
        <w:pStyle w:val="ActHead5"/>
      </w:pPr>
      <w:bookmarkStart w:id="3408" w:name="_Toc151992452"/>
      <w:bookmarkStart w:id="3409" w:name="_Toc158713489"/>
      <w:r w:rsidRPr="000C4237">
        <w:rPr>
          <w:rStyle w:val="CharSectno"/>
        </w:rPr>
        <w:t>206</w:t>
      </w:r>
      <w:r w:rsidRPr="006E709F">
        <w:t xml:space="preserve">  Presentation of multiple fee payment options</w:t>
      </w:r>
      <w:bookmarkEnd w:id="3408"/>
      <w:bookmarkEnd w:id="3409"/>
    </w:p>
    <w:p w14:paraId="20812355" w14:textId="77777777" w:rsidR="00E93F58" w:rsidRPr="006E709F" w:rsidRDefault="00E93F58" w:rsidP="00A801D0">
      <w:pPr>
        <w:pStyle w:val="subsection"/>
      </w:pPr>
      <w:r w:rsidRPr="006E709F">
        <w:tab/>
      </w:r>
      <w:r w:rsidRPr="006E709F">
        <w:tab/>
        <w:t>If a superannuation entity, managed investment scheme or retail CCIV has more than 2 options for the payment of fees:</w:t>
      </w:r>
    </w:p>
    <w:p w14:paraId="15352BC7" w14:textId="77777777" w:rsidR="00E93F58" w:rsidRPr="006E709F" w:rsidRDefault="00E93F58" w:rsidP="00A801D0">
      <w:pPr>
        <w:pStyle w:val="paragraph"/>
      </w:pPr>
      <w:r w:rsidRPr="006E709F">
        <w:tab/>
        <w:t>(a)</w:t>
      </w:r>
      <w:r w:rsidRPr="006E709F">
        <w:tab/>
        <w:t>the number of fee payment options must be set out in the preamble; and</w:t>
      </w:r>
    </w:p>
    <w:p w14:paraId="33DD381A" w14:textId="77777777" w:rsidR="00E93F58" w:rsidRPr="006E709F" w:rsidRDefault="00E93F58" w:rsidP="00A801D0">
      <w:pPr>
        <w:pStyle w:val="paragraph"/>
      </w:pPr>
      <w:r w:rsidRPr="006E709F">
        <w:tab/>
        <w:t>(b)</w:t>
      </w:r>
      <w:r w:rsidRPr="006E709F">
        <w:tab/>
        <w:t>details of all fee payment options must be set out in the template.</w:t>
      </w:r>
    </w:p>
    <w:p w14:paraId="48BE09DF" w14:textId="77777777" w:rsidR="00E93F58" w:rsidRPr="006E709F" w:rsidRDefault="00E93F58" w:rsidP="00D5406C">
      <w:pPr>
        <w:pStyle w:val="ActHead5"/>
      </w:pPr>
      <w:bookmarkStart w:id="3410" w:name="_Toc151992453"/>
      <w:bookmarkStart w:id="3411" w:name="_Toc158713490"/>
      <w:r w:rsidRPr="000C4237">
        <w:rPr>
          <w:rStyle w:val="CharSectno"/>
        </w:rPr>
        <w:t>207</w:t>
      </w:r>
      <w:r w:rsidRPr="006E709F">
        <w:t xml:space="preserve">  Column 3—how and when fees and costs are payable</w:t>
      </w:r>
      <w:bookmarkEnd w:id="3410"/>
      <w:bookmarkEnd w:id="3411"/>
    </w:p>
    <w:p w14:paraId="3D8D9457" w14:textId="77777777" w:rsidR="00E93F58" w:rsidRPr="006E709F" w:rsidRDefault="00E93F58" w:rsidP="00A801D0">
      <w:pPr>
        <w:pStyle w:val="subsection"/>
      </w:pPr>
      <w:r w:rsidRPr="006E709F">
        <w:tab/>
      </w:r>
      <w:r w:rsidRPr="006E709F">
        <w:tab/>
        <w:t>Column 3 of the template must set out:</w:t>
      </w:r>
    </w:p>
    <w:p w14:paraId="7B80AFC2" w14:textId="77777777" w:rsidR="00E93F58" w:rsidRPr="006E709F" w:rsidRDefault="00E93F58" w:rsidP="00A801D0">
      <w:pPr>
        <w:pStyle w:val="paragraph"/>
      </w:pPr>
      <w:r w:rsidRPr="006E709F">
        <w:tab/>
        <w:t>(a)</w:t>
      </w:r>
      <w:r w:rsidRPr="006E709F">
        <w:tab/>
        <w:t>how the fee is or will be recovered, for example by deduction from:</w:t>
      </w:r>
    </w:p>
    <w:p w14:paraId="12E3A3BC" w14:textId="77777777" w:rsidR="00E93F58" w:rsidRPr="006E709F" w:rsidRDefault="00E93F58" w:rsidP="00A801D0">
      <w:pPr>
        <w:pStyle w:val="paragraphsub"/>
      </w:pPr>
      <w:r w:rsidRPr="006E709F">
        <w:tab/>
        <w:t>(i)</w:t>
      </w:r>
      <w:r w:rsidRPr="006E709F">
        <w:tab/>
        <w:t>the member’s investment balance; or</w:t>
      </w:r>
    </w:p>
    <w:p w14:paraId="420D1952" w14:textId="77777777" w:rsidR="00E93F58" w:rsidRPr="006E709F" w:rsidRDefault="00E93F58" w:rsidP="00D40A21">
      <w:pPr>
        <w:pStyle w:val="paragraphsub"/>
      </w:pPr>
      <w:r w:rsidRPr="006E709F">
        <w:lastRenderedPageBreak/>
        <w:tab/>
        <w:t>(ii)</w:t>
      </w:r>
      <w:r w:rsidRPr="006E709F">
        <w:tab/>
        <w:t>the assets of the superannuation entity or managed investment scheme;</w:t>
      </w:r>
    </w:p>
    <w:p w14:paraId="0B913735" w14:textId="77777777" w:rsidR="00E93F58" w:rsidRPr="006E709F" w:rsidRDefault="00E93F58" w:rsidP="00A801D0">
      <w:pPr>
        <w:pStyle w:val="paragraphsub"/>
      </w:pPr>
      <w:r w:rsidRPr="006E709F">
        <w:tab/>
        <w:t>(iii)</w:t>
      </w:r>
      <w:r w:rsidRPr="006E709F">
        <w:tab/>
        <w:t>contributions; or</w:t>
      </w:r>
    </w:p>
    <w:p w14:paraId="5CFFAC9E" w14:textId="77777777" w:rsidR="00E93F58" w:rsidRPr="006E709F" w:rsidRDefault="00E93F58" w:rsidP="00A801D0">
      <w:pPr>
        <w:pStyle w:val="paragraphsub"/>
      </w:pPr>
      <w:r w:rsidRPr="006E709F">
        <w:tab/>
        <w:t>(iv)</w:t>
      </w:r>
      <w:r w:rsidRPr="006E709F">
        <w:tab/>
        <w:t>withdrawals; and</w:t>
      </w:r>
    </w:p>
    <w:p w14:paraId="578E045C" w14:textId="77777777" w:rsidR="00E93F58" w:rsidRPr="006E709F" w:rsidRDefault="00E93F58" w:rsidP="00A801D0">
      <w:pPr>
        <w:pStyle w:val="paragraph"/>
      </w:pPr>
      <w:r w:rsidRPr="006E709F">
        <w:tab/>
        <w:t>(b)</w:t>
      </w:r>
      <w:r w:rsidRPr="006E709F">
        <w:tab/>
        <w:t>the recurrence of the recovery of the fee; and</w:t>
      </w:r>
    </w:p>
    <w:p w14:paraId="7E4A2AE3" w14:textId="77777777" w:rsidR="00E93F58" w:rsidRPr="006E709F" w:rsidRDefault="00E93F58" w:rsidP="00A801D0">
      <w:pPr>
        <w:pStyle w:val="paragraph"/>
      </w:pPr>
      <w:r w:rsidRPr="006E709F">
        <w:tab/>
        <w:t>(c)</w:t>
      </w:r>
      <w:r w:rsidRPr="006E709F">
        <w:tab/>
        <w:t>the timing of the recovery of the fee.</w:t>
      </w:r>
    </w:p>
    <w:p w14:paraId="7E5C5520" w14:textId="77777777" w:rsidR="00E93F58" w:rsidRPr="006E709F" w:rsidRDefault="00E93F58" w:rsidP="00D5406C">
      <w:pPr>
        <w:pStyle w:val="ActHead5"/>
      </w:pPr>
      <w:bookmarkStart w:id="3412" w:name="_Toc151992454"/>
      <w:bookmarkStart w:id="3413" w:name="_Toc158713491"/>
      <w:r w:rsidRPr="000C4237">
        <w:rPr>
          <w:rStyle w:val="CharSectno"/>
        </w:rPr>
        <w:t>208</w:t>
      </w:r>
      <w:r w:rsidRPr="006E709F">
        <w:t xml:space="preserve">  Other material to be included in the template</w:t>
      </w:r>
      <w:bookmarkEnd w:id="3412"/>
      <w:bookmarkEnd w:id="3413"/>
    </w:p>
    <w:p w14:paraId="373AA6D5" w14:textId="77777777" w:rsidR="00E93F58" w:rsidRPr="006E709F" w:rsidRDefault="00E93F58" w:rsidP="00A801D0">
      <w:pPr>
        <w:pStyle w:val="subsection"/>
      </w:pPr>
      <w:r w:rsidRPr="006E709F">
        <w:tab/>
        <w:t>(1)</w:t>
      </w:r>
      <w:r w:rsidRPr="006E709F">
        <w:tab/>
        <w:t>The template must clearly indicate which fees and costs are negotiable (for example, by stating in column 3 ‘The amount of this fee can be negotiated.’).</w:t>
      </w:r>
    </w:p>
    <w:p w14:paraId="601F1D1B" w14:textId="77777777" w:rsidR="00E93F58" w:rsidRPr="006E709F" w:rsidRDefault="00E93F58" w:rsidP="00A801D0">
      <w:pPr>
        <w:pStyle w:val="subsection"/>
      </w:pPr>
      <w:r w:rsidRPr="006E709F">
        <w:tab/>
        <w:t>(2)</w:t>
      </w:r>
      <w:r w:rsidRPr="006E709F">
        <w:tab/>
        <w:t>An indication that a fee or cost is negotiable must be cross</w:t>
      </w:r>
      <w:r>
        <w:noBreakHyphen/>
      </w:r>
      <w:r w:rsidRPr="006E709F">
        <w:t>referenced to an explanation outside the template in the ‘Additional Explanation of Fees and Costs’ part of the fees section.</w:t>
      </w:r>
    </w:p>
    <w:p w14:paraId="24AC8BF2" w14:textId="77777777" w:rsidR="00E93F58" w:rsidRPr="006E709F" w:rsidRDefault="00E93F58" w:rsidP="0069387B">
      <w:pPr>
        <w:pStyle w:val="ActHead3"/>
        <w:pageBreakBefore/>
      </w:pPr>
      <w:bookmarkStart w:id="3414" w:name="_Toc151992455"/>
      <w:bookmarkStart w:id="3415" w:name="_Toc158713492"/>
      <w:r w:rsidRPr="000C4237">
        <w:rPr>
          <w:rStyle w:val="CharDivNo"/>
        </w:rPr>
        <w:lastRenderedPageBreak/>
        <w:t>Division 4</w:t>
      </w:r>
      <w:r w:rsidRPr="006E709F">
        <w:t>—</w:t>
      </w:r>
      <w:r w:rsidRPr="000C4237">
        <w:rPr>
          <w:rStyle w:val="CharDivText"/>
        </w:rPr>
        <w:t>Additional explanation of fees and costs</w:t>
      </w:r>
      <w:bookmarkEnd w:id="3414"/>
      <w:bookmarkEnd w:id="3415"/>
    </w:p>
    <w:p w14:paraId="0A81956A" w14:textId="77777777" w:rsidR="00E93F58" w:rsidRPr="006E709F" w:rsidRDefault="00E93F58" w:rsidP="00D5406C">
      <w:pPr>
        <w:pStyle w:val="ActHead5"/>
      </w:pPr>
      <w:bookmarkStart w:id="3416" w:name="_Toc151992456"/>
      <w:bookmarkStart w:id="3417" w:name="_Toc158713493"/>
      <w:r w:rsidRPr="000C4237">
        <w:rPr>
          <w:rStyle w:val="CharSectno"/>
        </w:rPr>
        <w:t>209</w:t>
      </w:r>
      <w:r w:rsidRPr="006E709F">
        <w:t xml:space="preserve">  Matters to be included as additional explanation of fees and costs</w:t>
      </w:r>
      <w:bookmarkEnd w:id="3416"/>
      <w:bookmarkEnd w:id="3417"/>
    </w:p>
    <w:p w14:paraId="284DB676" w14:textId="77777777" w:rsidR="00E93F58" w:rsidRPr="006E709F" w:rsidRDefault="00E93F58" w:rsidP="00A801D0">
      <w:pPr>
        <w:pStyle w:val="subsection"/>
      </w:pPr>
      <w:r w:rsidRPr="006E709F">
        <w:tab/>
      </w:r>
      <w:r w:rsidRPr="006E709F">
        <w:tab/>
        <w:t>The following information, if relevant to the particular superannuation product or collective investment product, must be included under the heading ‘Additional Explanation of Fees and Costs’:</w:t>
      </w:r>
    </w:p>
    <w:p w14:paraId="485D9420" w14:textId="77777777" w:rsidR="00E93F58" w:rsidRPr="006E709F" w:rsidRDefault="00E93F58" w:rsidP="00D40A21">
      <w:pPr>
        <w:pStyle w:val="paragraph"/>
      </w:pPr>
      <w:r w:rsidRPr="006E709F">
        <w:tab/>
        <w:t>(a)</w:t>
      </w:r>
      <w:r w:rsidRPr="006E709F">
        <w:tab/>
        <w:t>the explanation of the fees mentioned in footnote 2 for superannuation products and footnote 2 for collective investment products;</w:t>
      </w:r>
    </w:p>
    <w:p w14:paraId="49085F80" w14:textId="77777777" w:rsidR="00E93F58" w:rsidRPr="006E709F" w:rsidRDefault="00E93F58" w:rsidP="00A801D0">
      <w:pPr>
        <w:pStyle w:val="paragraph"/>
      </w:pPr>
      <w:r w:rsidRPr="006E709F">
        <w:tab/>
        <w:t>(b)</w:t>
      </w:r>
      <w:r w:rsidRPr="006E709F">
        <w:tab/>
        <w:t>information on performance fees including:</w:t>
      </w:r>
    </w:p>
    <w:p w14:paraId="61447D1A" w14:textId="77777777" w:rsidR="00E93F58" w:rsidRPr="006E709F" w:rsidRDefault="00E93F58" w:rsidP="00D40A21">
      <w:pPr>
        <w:pStyle w:val="paragraphsub"/>
      </w:pPr>
      <w:r w:rsidRPr="006E709F">
        <w:tab/>
        <w:t>(i)</w:t>
      </w:r>
      <w:r w:rsidRPr="006E709F">
        <w:tab/>
        <w:t>a statement about how performance fees affect administration fees and investment fees for a superannuation product, or management costs for a collective investment product; and</w:t>
      </w:r>
    </w:p>
    <w:p w14:paraId="1B8032DA" w14:textId="77777777" w:rsidR="00E93F58" w:rsidRPr="006E709F" w:rsidRDefault="00E93F58" w:rsidP="00A801D0">
      <w:pPr>
        <w:pStyle w:val="paragraphsub"/>
      </w:pPr>
      <w:r w:rsidRPr="006E709F">
        <w:tab/>
        <w:t>(ii)</w:t>
      </w:r>
      <w:r w:rsidRPr="006E709F">
        <w:tab/>
        <w:t>the method for calculating the fees; and</w:t>
      </w:r>
    </w:p>
    <w:p w14:paraId="202B97F5" w14:textId="77777777" w:rsidR="00E93F58" w:rsidRPr="006E709F" w:rsidRDefault="00E93F58" w:rsidP="00A801D0">
      <w:pPr>
        <w:pStyle w:val="paragraphsub"/>
      </w:pPr>
      <w:r w:rsidRPr="006E709F">
        <w:tab/>
        <w:t>(iii)</w:t>
      </w:r>
      <w:r w:rsidRPr="006E709F">
        <w:tab/>
        <w:t>the amount of the fees, or an estimate of the amount if the amount is not known;</w:t>
      </w:r>
    </w:p>
    <w:p w14:paraId="437165C6" w14:textId="77777777" w:rsidR="00E93F58" w:rsidRPr="006E709F" w:rsidRDefault="00E93F58" w:rsidP="00D40A21">
      <w:pPr>
        <w:pStyle w:val="paragraph"/>
      </w:pPr>
      <w:r w:rsidRPr="006E709F">
        <w:tab/>
        <w:t>(c)</w:t>
      </w:r>
      <w:r w:rsidRPr="006E709F">
        <w:tab/>
        <w:t>for tax—a cross reference to the “Tax” part of the Product Disclosure Statement;</w:t>
      </w:r>
    </w:p>
    <w:p w14:paraId="705A399D" w14:textId="77777777" w:rsidR="00E93F58" w:rsidRPr="006E709F" w:rsidRDefault="00E93F58" w:rsidP="00D40A21">
      <w:pPr>
        <w:pStyle w:val="paragraph"/>
      </w:pPr>
      <w:r w:rsidRPr="006E709F">
        <w:tab/>
        <w:t>(ca)</w:t>
      </w:r>
      <w:r w:rsidRPr="006E709F">
        <w:tab/>
        <w:t>for insurance fees and other costs relating to insurance (if relevant)—a cross reference to the “Insurance” part of the Product Disclosure Statement;</w:t>
      </w:r>
    </w:p>
    <w:p w14:paraId="50613053" w14:textId="77777777" w:rsidR="00E93F58" w:rsidRPr="006E709F" w:rsidRDefault="00E93F58" w:rsidP="00A801D0">
      <w:pPr>
        <w:pStyle w:val="paragraph"/>
      </w:pPr>
      <w:r w:rsidRPr="006E709F">
        <w:tab/>
        <w:t>(d)</w:t>
      </w:r>
      <w:r w:rsidRPr="006E709F">
        <w:tab/>
        <w:t>if the product is subject to tax—whether the benefit of any tax deduction is passed on to the investor in the form of a reduced fee or cost;</w:t>
      </w:r>
    </w:p>
    <w:p w14:paraId="3B87B665" w14:textId="77777777" w:rsidR="00E93F58" w:rsidRPr="006E709F" w:rsidRDefault="00E93F58" w:rsidP="00A801D0">
      <w:pPr>
        <w:pStyle w:val="paragraph"/>
      </w:pPr>
      <w:r w:rsidRPr="006E709F">
        <w:tab/>
        <w:t>(e)</w:t>
      </w:r>
      <w:r w:rsidRPr="006E709F">
        <w:tab/>
        <w:t>an explanation of adviser remuneration that forms part of any fee or cost in the table, including (if known to the product issuer):</w:t>
      </w:r>
    </w:p>
    <w:p w14:paraId="606D1D27" w14:textId="77777777" w:rsidR="00E93F58" w:rsidRPr="006E709F" w:rsidRDefault="00E93F58" w:rsidP="00A801D0">
      <w:pPr>
        <w:pStyle w:val="paragraphsub"/>
      </w:pPr>
      <w:r w:rsidRPr="006E709F">
        <w:tab/>
        <w:t>(i)</w:t>
      </w:r>
      <w:r w:rsidRPr="006E709F">
        <w:tab/>
        <w:t>the method of calculation; and</w:t>
      </w:r>
    </w:p>
    <w:p w14:paraId="5504408D" w14:textId="77777777" w:rsidR="00E93F58" w:rsidRPr="006E709F" w:rsidRDefault="00E93F58" w:rsidP="00A801D0">
      <w:pPr>
        <w:pStyle w:val="paragraphsub"/>
      </w:pPr>
      <w:r w:rsidRPr="006E709F">
        <w:tab/>
        <w:t>(ii)</w:t>
      </w:r>
      <w:r w:rsidRPr="006E709F">
        <w:tab/>
        <w:t>the amounts of commission or the range of amounts; and</w:t>
      </w:r>
    </w:p>
    <w:p w14:paraId="1F2D43D5" w14:textId="77777777" w:rsidR="00E93F58" w:rsidRPr="006E709F" w:rsidRDefault="00E93F58" w:rsidP="00A801D0">
      <w:pPr>
        <w:pStyle w:val="paragraphsub"/>
      </w:pPr>
      <w:r w:rsidRPr="006E709F">
        <w:tab/>
        <w:t>(iii)</w:t>
      </w:r>
      <w:r w:rsidRPr="006E709F">
        <w:tab/>
        <w:t>whether the amounts are negotiable or rebatable; and</w:t>
      </w:r>
    </w:p>
    <w:p w14:paraId="268FF75B" w14:textId="77777777" w:rsidR="00E93F58" w:rsidRPr="006E709F" w:rsidRDefault="00E93F58" w:rsidP="00A801D0">
      <w:pPr>
        <w:pStyle w:val="paragraphsub"/>
      </w:pPr>
      <w:r w:rsidRPr="006E709F">
        <w:tab/>
        <w:t>(iv)</w:t>
      </w:r>
      <w:r w:rsidRPr="006E709F">
        <w:tab/>
        <w:t>the way in which amounts may be negotiated or rebated;</w:t>
      </w:r>
    </w:p>
    <w:p w14:paraId="7C1121A4" w14:textId="77777777" w:rsidR="00E93F58" w:rsidRPr="006E709F" w:rsidRDefault="00E93F58" w:rsidP="00A801D0">
      <w:pPr>
        <w:pStyle w:val="paragraph"/>
      </w:pPr>
      <w:r w:rsidRPr="006E709F">
        <w:tab/>
        <w:t>(f)</w:t>
      </w:r>
      <w:r w:rsidRPr="006E709F">
        <w:tab/>
        <w:t>an explanation of advice fees;</w:t>
      </w:r>
    </w:p>
    <w:p w14:paraId="38448AA3" w14:textId="77777777" w:rsidR="00E93F58" w:rsidRPr="006E709F" w:rsidRDefault="00E93F58" w:rsidP="00A801D0">
      <w:pPr>
        <w:pStyle w:val="paragraph"/>
      </w:pPr>
      <w:r w:rsidRPr="006E709F">
        <w:tab/>
        <w:t>(g)</w:t>
      </w:r>
      <w:r w:rsidRPr="006E709F">
        <w:tab/>
        <w:t>for a negotiated fee or cost—contact details of the person or body with whom the fee or cost can be negotiated and the manner of negotiation;</w:t>
      </w:r>
    </w:p>
    <w:p w14:paraId="38876502" w14:textId="77777777" w:rsidR="00E93F58" w:rsidRPr="006E709F" w:rsidRDefault="00E93F58" w:rsidP="00A801D0">
      <w:pPr>
        <w:pStyle w:val="paragraph"/>
      </w:pPr>
      <w:r w:rsidRPr="006E709F">
        <w:tab/>
        <w:t>(h)</w:t>
      </w:r>
      <w:r w:rsidRPr="006E709F">
        <w:tab/>
        <w:t>worked examples (if appropriate);</w:t>
      </w:r>
    </w:p>
    <w:p w14:paraId="3D3AD6BE" w14:textId="77777777" w:rsidR="00E93F58" w:rsidRPr="006E709F" w:rsidRDefault="00E93F58" w:rsidP="00A801D0">
      <w:pPr>
        <w:pStyle w:val="paragraph"/>
      </w:pPr>
      <w:r w:rsidRPr="006E709F">
        <w:tab/>
        <w:t>(i)</w:t>
      </w:r>
      <w:r w:rsidRPr="006E709F">
        <w:tab/>
        <w:t>additional details of incidental fees (if appropriate);</w:t>
      </w:r>
    </w:p>
    <w:p w14:paraId="154D08C6" w14:textId="77777777" w:rsidR="00E93F58" w:rsidRPr="006E709F" w:rsidRDefault="00E93F58" w:rsidP="00A801D0">
      <w:pPr>
        <w:pStyle w:val="paragraph"/>
      </w:pPr>
      <w:r w:rsidRPr="006E709F">
        <w:tab/>
        <w:t>(j)</w:t>
      </w:r>
      <w:r w:rsidRPr="006E709F">
        <w:tab/>
        <w:t>details of transactional and operational costs such as brokerage and buy</w:t>
      </w:r>
      <w:r>
        <w:noBreakHyphen/>
      </w:r>
      <w:r w:rsidRPr="006E709F">
        <w:t>sell spread, including:</w:t>
      </w:r>
    </w:p>
    <w:p w14:paraId="47564DED" w14:textId="77777777" w:rsidR="00E93F58" w:rsidRPr="006E709F" w:rsidRDefault="00E93F58" w:rsidP="00A801D0">
      <w:pPr>
        <w:pStyle w:val="paragraphsub"/>
      </w:pPr>
      <w:r w:rsidRPr="006E709F">
        <w:tab/>
        <w:t>(i)</w:t>
      </w:r>
      <w:r w:rsidRPr="006E709F">
        <w:tab/>
        <w:t>a description of the cost; and</w:t>
      </w:r>
    </w:p>
    <w:p w14:paraId="54F84733" w14:textId="77777777" w:rsidR="00E93F58" w:rsidRPr="006E709F" w:rsidRDefault="00E93F58" w:rsidP="00A801D0">
      <w:pPr>
        <w:pStyle w:val="paragraphsub"/>
      </w:pPr>
      <w:r w:rsidRPr="006E709F">
        <w:tab/>
        <w:t>(ii)</w:t>
      </w:r>
      <w:r w:rsidRPr="006E709F">
        <w:tab/>
        <w:t>the amount, or an estimate if the amount is not known; and</w:t>
      </w:r>
    </w:p>
    <w:p w14:paraId="53D06204" w14:textId="77777777" w:rsidR="00E93F58" w:rsidRPr="006E709F" w:rsidRDefault="00E93F58" w:rsidP="00A801D0">
      <w:pPr>
        <w:pStyle w:val="paragraphsub"/>
      </w:pPr>
      <w:r w:rsidRPr="006E709F">
        <w:tab/>
        <w:t>(iii)</w:t>
      </w:r>
      <w:r w:rsidRPr="006E709F">
        <w:tab/>
        <w:t>how and when the costs are recovered; and</w:t>
      </w:r>
    </w:p>
    <w:p w14:paraId="7C4D2245" w14:textId="77777777" w:rsidR="00E93F58" w:rsidRPr="006E709F" w:rsidRDefault="00E93F58" w:rsidP="00A801D0">
      <w:pPr>
        <w:pStyle w:val="paragraphsub"/>
      </w:pPr>
      <w:r w:rsidRPr="006E709F">
        <w:tab/>
        <w:t>(iv)</w:t>
      </w:r>
      <w:r w:rsidRPr="006E709F">
        <w:tab/>
        <w:t>a statement that the cost is an additional cost to the investor; and</w:t>
      </w:r>
    </w:p>
    <w:p w14:paraId="3628A3B5" w14:textId="77777777" w:rsidR="00E93F58" w:rsidRPr="006E709F" w:rsidRDefault="00E93F58" w:rsidP="00A801D0">
      <w:pPr>
        <w:pStyle w:val="paragraphsub"/>
      </w:pPr>
      <w:r w:rsidRPr="006E709F">
        <w:tab/>
        <w:t>(v)</w:t>
      </w:r>
      <w:r w:rsidRPr="006E709F">
        <w:tab/>
        <w:t>whether any part of the buy</w:t>
      </w:r>
      <w:r>
        <w:noBreakHyphen/>
      </w:r>
      <w:r w:rsidRPr="006E709F">
        <w:t>sell spread is paid to the product issuer or an external manager;</w:t>
      </w:r>
    </w:p>
    <w:p w14:paraId="501D2D4C" w14:textId="77777777" w:rsidR="00E93F58" w:rsidRPr="006E709F" w:rsidRDefault="00E93F58" w:rsidP="00A801D0">
      <w:pPr>
        <w:pStyle w:val="paragraph"/>
      </w:pPr>
      <w:r w:rsidRPr="006E709F">
        <w:tab/>
        <w:t>(k)</w:t>
      </w:r>
      <w:r w:rsidRPr="006E709F">
        <w:tab/>
        <w:t>the following information about fee changes:</w:t>
      </w:r>
    </w:p>
    <w:p w14:paraId="0A5F8E96" w14:textId="77777777" w:rsidR="00E93F58" w:rsidRPr="006E709F" w:rsidRDefault="00E93F58" w:rsidP="00A801D0">
      <w:pPr>
        <w:pStyle w:val="paragraphsub"/>
      </w:pPr>
      <w:r w:rsidRPr="006E709F">
        <w:tab/>
        <w:t>(i)</w:t>
      </w:r>
      <w:r w:rsidRPr="006E709F">
        <w:tab/>
        <w:t>if applicable, a statement about the issuer’s right to change the amount of fees without the investor’s consent;</w:t>
      </w:r>
    </w:p>
    <w:p w14:paraId="0EEDB908" w14:textId="77777777" w:rsidR="00E93F58" w:rsidRPr="006E709F" w:rsidRDefault="00E93F58" w:rsidP="00A801D0">
      <w:pPr>
        <w:pStyle w:val="paragraphsub"/>
      </w:pPr>
      <w:r w:rsidRPr="006E709F">
        <w:tab/>
        <w:t>(ii)</w:t>
      </w:r>
      <w:r w:rsidRPr="006E709F">
        <w:tab/>
        <w:t>any indexation arrangements that apply;</w:t>
      </w:r>
    </w:p>
    <w:p w14:paraId="50E025A5" w14:textId="77777777" w:rsidR="00E93F58" w:rsidRPr="006E709F" w:rsidRDefault="00E93F58" w:rsidP="00A801D0">
      <w:pPr>
        <w:pStyle w:val="paragraphsub"/>
      </w:pPr>
      <w:r w:rsidRPr="006E709F">
        <w:tab/>
        <w:t>(iii)</w:t>
      </w:r>
      <w:r w:rsidRPr="006E709F">
        <w:tab/>
        <w:t>the period of advance notice required for fee changes;</w:t>
      </w:r>
    </w:p>
    <w:p w14:paraId="42111E8E" w14:textId="77777777" w:rsidR="00E93F58" w:rsidRPr="006E709F" w:rsidRDefault="00E93F58" w:rsidP="00A801D0">
      <w:pPr>
        <w:pStyle w:val="paragraphsub"/>
      </w:pPr>
      <w:r w:rsidRPr="006E709F">
        <w:tab/>
        <w:t>(iv)</w:t>
      </w:r>
      <w:r w:rsidRPr="006E709F">
        <w:tab/>
        <w:t>any change in fee structure that is dependent on a person’s employment;</w:t>
      </w:r>
    </w:p>
    <w:p w14:paraId="25CE11D8" w14:textId="77777777" w:rsidR="00E93F58" w:rsidRPr="006E709F" w:rsidRDefault="00E93F58" w:rsidP="00A801D0">
      <w:pPr>
        <w:pStyle w:val="paragraph"/>
      </w:pPr>
      <w:r w:rsidRPr="006E709F">
        <w:tab/>
        <w:t>(l)</w:t>
      </w:r>
      <w:r w:rsidRPr="006E709F">
        <w:tab/>
        <w:t>if the issuer has instituted a flexible charging structure, for each applicable fee, if known:</w:t>
      </w:r>
    </w:p>
    <w:p w14:paraId="6D8F404A" w14:textId="77777777" w:rsidR="00E93F58" w:rsidRPr="006E709F" w:rsidRDefault="00E93F58" w:rsidP="00A801D0">
      <w:pPr>
        <w:pStyle w:val="paragraphsub"/>
      </w:pPr>
      <w:r w:rsidRPr="006E709F">
        <w:tab/>
        <w:t>(i)</w:t>
      </w:r>
      <w:r w:rsidRPr="006E709F">
        <w:tab/>
        <w:t>any maximum, and when it would apply; and</w:t>
      </w:r>
    </w:p>
    <w:p w14:paraId="2BA25942" w14:textId="77777777" w:rsidR="00E93F58" w:rsidRPr="006E709F" w:rsidRDefault="00E93F58" w:rsidP="00A801D0">
      <w:pPr>
        <w:pStyle w:val="paragraphsub"/>
      </w:pPr>
      <w:r w:rsidRPr="006E709F">
        <w:tab/>
        <w:t>(ii)</w:t>
      </w:r>
      <w:r w:rsidRPr="006E709F">
        <w:tab/>
        <w:t>any waiver, and when it would not apply;</w:t>
      </w:r>
    </w:p>
    <w:p w14:paraId="0E4714EB" w14:textId="77777777" w:rsidR="00E93F58" w:rsidRPr="006E709F" w:rsidRDefault="00E93F58" w:rsidP="00A801D0">
      <w:pPr>
        <w:pStyle w:val="paragraph"/>
      </w:pPr>
      <w:r w:rsidRPr="006E709F">
        <w:tab/>
        <w:t>(m)</w:t>
      </w:r>
      <w:r w:rsidRPr="006E709F">
        <w:tab/>
        <w:t>for a superannuation product—details regarding the protection of small accounts (member protection rules) unless already included in the Product Disclosure Statement.</w:t>
      </w:r>
    </w:p>
    <w:p w14:paraId="57FA29FA" w14:textId="77777777" w:rsidR="00E93F58" w:rsidRPr="006E709F" w:rsidRDefault="00E93F58" w:rsidP="00C2769E">
      <w:pPr>
        <w:pStyle w:val="ActHead3"/>
        <w:pageBreakBefore/>
      </w:pPr>
      <w:bookmarkStart w:id="3418" w:name="_Toc151992457"/>
      <w:bookmarkStart w:id="3419" w:name="_Toc158713494"/>
      <w:r w:rsidRPr="000C4237">
        <w:rPr>
          <w:rStyle w:val="CharDivNo"/>
        </w:rPr>
        <w:lastRenderedPageBreak/>
        <w:t>Division 4A</w:t>
      </w:r>
      <w:r w:rsidRPr="006E709F">
        <w:t>—</w:t>
      </w:r>
      <w:r w:rsidRPr="000C4237">
        <w:rPr>
          <w:rStyle w:val="CharDivText"/>
        </w:rPr>
        <w:t>Defined fees for superannuation products</w:t>
      </w:r>
      <w:bookmarkEnd w:id="3418"/>
      <w:bookmarkEnd w:id="3419"/>
    </w:p>
    <w:p w14:paraId="332934E9" w14:textId="77777777" w:rsidR="00E93F58" w:rsidRPr="006E709F" w:rsidRDefault="00E93F58" w:rsidP="00D40A21">
      <w:pPr>
        <w:pStyle w:val="ActHead5"/>
      </w:pPr>
      <w:bookmarkStart w:id="3420" w:name="_Toc151992458"/>
      <w:bookmarkStart w:id="3421" w:name="_Toc158713495"/>
      <w:r w:rsidRPr="000C4237">
        <w:rPr>
          <w:rStyle w:val="CharSectno"/>
        </w:rPr>
        <w:t>209A</w:t>
      </w:r>
      <w:r w:rsidRPr="006E709F">
        <w:t xml:space="preserve">  Defined fees for superannuation products</w:t>
      </w:r>
      <w:bookmarkEnd w:id="3420"/>
      <w:bookmarkEnd w:id="3421"/>
    </w:p>
    <w:p w14:paraId="4EDFA75C" w14:textId="77777777" w:rsidR="00E93F58" w:rsidRPr="006E709F" w:rsidRDefault="00E93F58" w:rsidP="00D40A21">
      <w:pPr>
        <w:pStyle w:val="subsection"/>
      </w:pPr>
      <w:r w:rsidRPr="006E709F">
        <w:tab/>
      </w:r>
      <w:r w:rsidRPr="006E709F">
        <w:tab/>
        <w:t>The following definitions must be included for a superannuation product under the heading “Defined fees”:</w:t>
      </w:r>
    </w:p>
    <w:p w14:paraId="752450A8" w14:textId="77777777" w:rsidR="00E93F58" w:rsidRPr="006E709F" w:rsidRDefault="00E93F58" w:rsidP="00D40A21">
      <w:pPr>
        <w:pStyle w:val="SubsectionHead"/>
      </w:pPr>
      <w:r w:rsidRPr="006E709F">
        <w:t>Activity fees</w:t>
      </w:r>
    </w:p>
    <w:p w14:paraId="0D372DE0" w14:textId="77777777" w:rsidR="00E93F58" w:rsidRPr="006E709F" w:rsidRDefault="00E93F58" w:rsidP="00D40A21">
      <w:pPr>
        <w:pStyle w:val="subsection"/>
      </w:pPr>
      <w:r w:rsidRPr="006E709F">
        <w:tab/>
      </w:r>
      <w:r w:rsidRPr="006E709F">
        <w:tab/>
        <w:t xml:space="preserve">A fee is an </w:t>
      </w:r>
      <w:r w:rsidRPr="006E709F">
        <w:rPr>
          <w:b/>
          <w:i/>
        </w:rPr>
        <w:t>activity fee</w:t>
      </w:r>
      <w:r w:rsidRPr="006E709F">
        <w:t xml:space="preserve"> if:</w:t>
      </w:r>
    </w:p>
    <w:p w14:paraId="18E7B322" w14:textId="77777777" w:rsidR="00E93F58" w:rsidRPr="006E709F" w:rsidRDefault="00E93F58" w:rsidP="00D40A21">
      <w:pPr>
        <w:pStyle w:val="paragraph"/>
      </w:pPr>
      <w:r w:rsidRPr="006E709F">
        <w:tab/>
        <w:t>(a)</w:t>
      </w:r>
      <w:r w:rsidRPr="006E709F">
        <w:tab/>
        <w:t>the fee relates to costs incurred by the trustee</w:t>
      </w:r>
      <w:r w:rsidRPr="006E709F">
        <w:rPr>
          <w:i/>
        </w:rPr>
        <w:t xml:space="preserve"> [OR the trustees]</w:t>
      </w:r>
      <w:r w:rsidRPr="006E709F">
        <w:t xml:space="preserve"> of the superannuation entity that are directly related to an activity of the trustee</w:t>
      </w:r>
      <w:r w:rsidRPr="006E709F">
        <w:rPr>
          <w:i/>
        </w:rPr>
        <w:t xml:space="preserve"> [OR the trustees]</w:t>
      </w:r>
      <w:r w:rsidRPr="006E709F">
        <w:t>:</w:t>
      </w:r>
    </w:p>
    <w:p w14:paraId="0BCFE124" w14:textId="77777777" w:rsidR="00E93F58" w:rsidRPr="006E709F" w:rsidRDefault="00E93F58" w:rsidP="00D40A21">
      <w:pPr>
        <w:pStyle w:val="paragraphsub"/>
      </w:pPr>
      <w:r w:rsidRPr="006E709F">
        <w:tab/>
        <w:t>(i)</w:t>
      </w:r>
      <w:r w:rsidRPr="006E709F">
        <w:tab/>
        <w:t>that is engaged in at the request, or with the consent, of a member; or</w:t>
      </w:r>
    </w:p>
    <w:p w14:paraId="40FCE7FD" w14:textId="77777777" w:rsidR="00E93F58" w:rsidRPr="006E709F" w:rsidRDefault="00E93F58" w:rsidP="00D40A21">
      <w:pPr>
        <w:pStyle w:val="paragraphsub"/>
      </w:pPr>
      <w:r w:rsidRPr="006E709F">
        <w:tab/>
        <w:t>(ii)</w:t>
      </w:r>
      <w:r w:rsidRPr="006E709F">
        <w:tab/>
        <w:t>that relates to a member and is required by law; and</w:t>
      </w:r>
    </w:p>
    <w:p w14:paraId="415C9A72" w14:textId="77777777" w:rsidR="00E93F58" w:rsidRPr="006E709F" w:rsidRDefault="00E93F58" w:rsidP="00D40A21">
      <w:pPr>
        <w:pStyle w:val="paragraph"/>
      </w:pPr>
      <w:r w:rsidRPr="006E709F">
        <w:tab/>
        <w:t>(b)</w:t>
      </w:r>
      <w:r w:rsidRPr="006E709F">
        <w:tab/>
        <w:t>those costs are not otherwise charged as an administration fee, an investment fee, a buy</w:t>
      </w:r>
      <w:r>
        <w:noBreakHyphen/>
      </w:r>
      <w:r w:rsidRPr="006E709F">
        <w:t>sell spread, a switching fee, an advice fee or an insurance fee.</w:t>
      </w:r>
    </w:p>
    <w:p w14:paraId="189DD079" w14:textId="77777777" w:rsidR="00E93F58" w:rsidRPr="006E709F" w:rsidRDefault="00E93F58" w:rsidP="00D40A21">
      <w:pPr>
        <w:pStyle w:val="SubsectionHead"/>
      </w:pPr>
      <w:r w:rsidRPr="006E709F">
        <w:t>Administration fees</w:t>
      </w:r>
    </w:p>
    <w:p w14:paraId="79536940" w14:textId="77777777" w:rsidR="00E93F58" w:rsidRPr="006E709F" w:rsidRDefault="00E93F58" w:rsidP="00D40A21">
      <w:pPr>
        <w:pStyle w:val="subsection"/>
      </w:pPr>
      <w:r w:rsidRPr="006E709F">
        <w:tab/>
      </w:r>
      <w:r w:rsidRPr="006E709F">
        <w:tab/>
        <w:t xml:space="preserve">An </w:t>
      </w:r>
      <w:r w:rsidRPr="006E709F">
        <w:rPr>
          <w:b/>
          <w:i/>
        </w:rPr>
        <w:t>administration fee</w:t>
      </w:r>
      <w:r w:rsidRPr="006E709F">
        <w:t xml:space="preserve"> is a fee that relates to the administration or operation of the superannuation entity and includes costs incurred by the trustee</w:t>
      </w:r>
      <w:r w:rsidRPr="006E709F">
        <w:rPr>
          <w:i/>
        </w:rPr>
        <w:t xml:space="preserve"> [OR the trustees]</w:t>
      </w:r>
      <w:r w:rsidRPr="006E709F">
        <w:t xml:space="preserve"> of the entity that:</w:t>
      </w:r>
    </w:p>
    <w:p w14:paraId="0FF9BE67" w14:textId="77777777" w:rsidR="00E93F58" w:rsidRPr="006E709F" w:rsidRDefault="00E93F58" w:rsidP="00D40A21">
      <w:pPr>
        <w:pStyle w:val="paragraph"/>
      </w:pPr>
      <w:r w:rsidRPr="006E709F">
        <w:tab/>
        <w:t>(a)</w:t>
      </w:r>
      <w:r w:rsidRPr="006E709F">
        <w:tab/>
        <w:t>relate to the administration or operation of the entity; and</w:t>
      </w:r>
    </w:p>
    <w:p w14:paraId="7B0A3C86" w14:textId="77777777" w:rsidR="00E93F58" w:rsidRPr="006E709F" w:rsidRDefault="00E93F58" w:rsidP="00D40A21">
      <w:pPr>
        <w:pStyle w:val="paragraph"/>
      </w:pPr>
      <w:r w:rsidRPr="006E709F">
        <w:tab/>
        <w:t>(b)</w:t>
      </w:r>
      <w:r w:rsidRPr="006E709F">
        <w:tab/>
        <w:t>are not otherwise charged as an investment fee, a buy</w:t>
      </w:r>
      <w:r>
        <w:noBreakHyphen/>
      </w:r>
      <w:r w:rsidRPr="006E709F">
        <w:t>sell spread, a switching fee, an activity fee, an advice fee or an insurance fee.</w:t>
      </w:r>
    </w:p>
    <w:p w14:paraId="52C0C8FB" w14:textId="77777777" w:rsidR="00E93F58" w:rsidRPr="006E709F" w:rsidRDefault="00E93F58" w:rsidP="00D40A21">
      <w:pPr>
        <w:pStyle w:val="SubsectionHead"/>
      </w:pPr>
      <w:r w:rsidRPr="006E709F">
        <w:t>Advice fees</w:t>
      </w:r>
    </w:p>
    <w:p w14:paraId="48EB1907" w14:textId="77777777" w:rsidR="00E93F58" w:rsidRPr="006E709F" w:rsidRDefault="00E93F58" w:rsidP="00D40A21">
      <w:pPr>
        <w:pStyle w:val="subsection"/>
      </w:pPr>
      <w:r w:rsidRPr="006E709F">
        <w:tab/>
      </w:r>
      <w:r w:rsidRPr="006E709F">
        <w:tab/>
        <w:t xml:space="preserve">A fee is an </w:t>
      </w:r>
      <w:r w:rsidRPr="006E709F">
        <w:rPr>
          <w:b/>
          <w:i/>
        </w:rPr>
        <w:t>advice fee</w:t>
      </w:r>
      <w:r w:rsidRPr="006E709F">
        <w:t xml:space="preserve"> if:</w:t>
      </w:r>
    </w:p>
    <w:p w14:paraId="7E2C0532" w14:textId="77777777" w:rsidR="00E93F58" w:rsidRPr="006E709F" w:rsidRDefault="00E93F58" w:rsidP="00D40A21">
      <w:pPr>
        <w:pStyle w:val="paragraph"/>
      </w:pPr>
      <w:r w:rsidRPr="006E709F">
        <w:tab/>
        <w:t>(a)</w:t>
      </w:r>
      <w:r w:rsidRPr="006E709F">
        <w:tab/>
        <w:t xml:space="preserve">the fee relates directly to costs incurred by the trustee </w:t>
      </w:r>
      <w:r w:rsidRPr="006E709F">
        <w:rPr>
          <w:i/>
        </w:rPr>
        <w:t xml:space="preserve">[OR the trustees] </w:t>
      </w:r>
      <w:r w:rsidRPr="006E709F">
        <w:t>of the superannuation entity because of the provision of financial product advice to a member by:</w:t>
      </w:r>
    </w:p>
    <w:p w14:paraId="79D03F54" w14:textId="77777777" w:rsidR="00E93F58" w:rsidRPr="006E709F" w:rsidRDefault="00E93F58" w:rsidP="00D40A21">
      <w:pPr>
        <w:pStyle w:val="paragraphsub"/>
      </w:pPr>
      <w:r w:rsidRPr="006E709F">
        <w:tab/>
        <w:t>(i)</w:t>
      </w:r>
      <w:r w:rsidRPr="006E709F">
        <w:tab/>
        <w:t>a trustee of the entity; or</w:t>
      </w:r>
    </w:p>
    <w:p w14:paraId="451A7692" w14:textId="77777777" w:rsidR="00E93F58" w:rsidRPr="006E709F" w:rsidRDefault="00E93F58" w:rsidP="00D40A21">
      <w:pPr>
        <w:pStyle w:val="paragraphsub"/>
      </w:pPr>
      <w:r w:rsidRPr="006E709F">
        <w:tab/>
        <w:t>(ii)</w:t>
      </w:r>
      <w:r w:rsidRPr="006E709F">
        <w:tab/>
        <w:t xml:space="preserve">another person acting as an employee of, or under an arrangement with, the trustee </w:t>
      </w:r>
      <w:r w:rsidRPr="006E709F">
        <w:rPr>
          <w:i/>
        </w:rPr>
        <w:t xml:space="preserve">[OR the trustees] </w:t>
      </w:r>
      <w:r w:rsidRPr="006E709F">
        <w:t>of the entity; and</w:t>
      </w:r>
    </w:p>
    <w:p w14:paraId="23439F06" w14:textId="77777777" w:rsidR="00E93F58" w:rsidRPr="006E709F" w:rsidRDefault="00E93F58" w:rsidP="00D40A21">
      <w:pPr>
        <w:pStyle w:val="paragraph"/>
      </w:pPr>
      <w:r w:rsidRPr="006E709F">
        <w:tab/>
        <w:t>(b)</w:t>
      </w:r>
      <w:r w:rsidRPr="006E709F">
        <w:tab/>
        <w:t>those costs are not otherwise charged as an administration fee, an investment fee, a switching fee, an activity fee or an insurance fee.</w:t>
      </w:r>
    </w:p>
    <w:p w14:paraId="743876CD" w14:textId="77777777" w:rsidR="00E93F58" w:rsidRPr="006E709F" w:rsidRDefault="00E93F58" w:rsidP="00D40A21">
      <w:pPr>
        <w:pStyle w:val="SubsectionHead"/>
      </w:pPr>
      <w:r w:rsidRPr="006E709F">
        <w:t>Buy</w:t>
      </w:r>
      <w:r>
        <w:noBreakHyphen/>
      </w:r>
      <w:r w:rsidRPr="006E709F">
        <w:t>sell spreads</w:t>
      </w:r>
    </w:p>
    <w:p w14:paraId="35329D92" w14:textId="77777777" w:rsidR="00E93F58" w:rsidRPr="006E709F" w:rsidRDefault="00E93F58" w:rsidP="00D40A21">
      <w:pPr>
        <w:pStyle w:val="subsection"/>
      </w:pPr>
      <w:r w:rsidRPr="006E709F">
        <w:tab/>
      </w:r>
      <w:r w:rsidRPr="006E709F">
        <w:tab/>
        <w:t xml:space="preserve">A </w:t>
      </w:r>
      <w:r w:rsidRPr="006E709F">
        <w:rPr>
          <w:b/>
          <w:i/>
        </w:rPr>
        <w:t>buy</w:t>
      </w:r>
      <w:r>
        <w:rPr>
          <w:b/>
          <w:i/>
        </w:rPr>
        <w:noBreakHyphen/>
      </w:r>
      <w:r w:rsidRPr="006E709F">
        <w:rPr>
          <w:b/>
          <w:i/>
        </w:rPr>
        <w:t>sell spread</w:t>
      </w:r>
      <w:r w:rsidRPr="006E709F">
        <w:t xml:space="preserve"> is a fee to recover transaction costs incurred by the trustee </w:t>
      </w:r>
      <w:r w:rsidRPr="006E709F">
        <w:rPr>
          <w:i/>
        </w:rPr>
        <w:t>[OR the trustees]</w:t>
      </w:r>
      <w:r w:rsidRPr="006E709F">
        <w:t xml:space="preserve"> of the superannuation entity in relation to the sale and purchase of assets of the entity.</w:t>
      </w:r>
    </w:p>
    <w:p w14:paraId="71D3B0B2" w14:textId="77777777" w:rsidR="00E93F58" w:rsidRPr="006E709F" w:rsidRDefault="00E93F58" w:rsidP="00636892">
      <w:pPr>
        <w:pStyle w:val="SubsectionHead"/>
      </w:pPr>
      <w:r w:rsidRPr="006E709F">
        <w:t>Exit fees</w:t>
      </w:r>
    </w:p>
    <w:p w14:paraId="612E8184" w14:textId="77777777" w:rsidR="00E93F58" w:rsidRPr="006E709F" w:rsidRDefault="00E93F58" w:rsidP="00636892">
      <w:pPr>
        <w:pStyle w:val="subsection"/>
      </w:pPr>
      <w:r w:rsidRPr="006E709F">
        <w:tab/>
      </w:r>
      <w:r w:rsidRPr="006E709F">
        <w:tab/>
        <w:t xml:space="preserve">An </w:t>
      </w:r>
      <w:r w:rsidRPr="006E709F">
        <w:rPr>
          <w:b/>
          <w:i/>
        </w:rPr>
        <w:t xml:space="preserve">exit fee </w:t>
      </w:r>
      <w:r w:rsidRPr="006E709F">
        <w:t>is a fee, other than a buy</w:t>
      </w:r>
      <w:r>
        <w:noBreakHyphen/>
      </w:r>
      <w:r w:rsidRPr="006E709F">
        <w:t>sell spread, that relates to the disposal of all or part of a member’s interests in a superannuation entity.</w:t>
      </w:r>
    </w:p>
    <w:p w14:paraId="502B91AC" w14:textId="77777777" w:rsidR="00E93F58" w:rsidRPr="006E709F" w:rsidRDefault="00E93F58" w:rsidP="00D40A21">
      <w:pPr>
        <w:pStyle w:val="SubsectionHead"/>
      </w:pPr>
      <w:r w:rsidRPr="006E709F">
        <w:t>Indirect cost ratio</w:t>
      </w:r>
    </w:p>
    <w:p w14:paraId="328062D4" w14:textId="77777777" w:rsidR="00E93F58" w:rsidRPr="006E709F" w:rsidRDefault="00E93F58" w:rsidP="00D40A21">
      <w:pPr>
        <w:pStyle w:val="subsection"/>
      </w:pPr>
      <w:r w:rsidRPr="006E709F">
        <w:tab/>
      </w:r>
      <w:r w:rsidRPr="006E709F">
        <w:tab/>
        <w:t xml:space="preserve">The </w:t>
      </w:r>
      <w:r w:rsidRPr="006E709F">
        <w:rPr>
          <w:b/>
          <w:i/>
        </w:rPr>
        <w:t xml:space="preserve">indirect cost ratio </w:t>
      </w:r>
      <w:r w:rsidRPr="006E709F">
        <w:t>(</w:t>
      </w:r>
      <w:r w:rsidRPr="006E709F">
        <w:rPr>
          <w:b/>
          <w:i/>
        </w:rPr>
        <w:t>ICR</w:t>
      </w:r>
      <w:r w:rsidRPr="006E709F">
        <w:t>), for a MySuper product or an investment option offered by a superannuation entity, is the ratio of the total of the indirect costs for the MySuper product or investment option, to the total average net assets of the superannuation entity attributed to the MySuper product or investment option.</w:t>
      </w:r>
    </w:p>
    <w:p w14:paraId="025C35B6" w14:textId="77777777" w:rsidR="00E93F58" w:rsidRPr="006E709F" w:rsidRDefault="00E93F58" w:rsidP="00D40A21">
      <w:pPr>
        <w:pStyle w:val="notetext"/>
      </w:pPr>
      <w:r w:rsidRPr="006E709F">
        <w:t>Note:</w:t>
      </w:r>
      <w:r w:rsidRPr="006E709F">
        <w:tab/>
        <w:t>A dollar</w:t>
      </w:r>
      <w:r>
        <w:noBreakHyphen/>
      </w:r>
      <w:r w:rsidRPr="006E709F">
        <w:t>based fee deducted directly from a member’s account is not included in the indirect cost ratio.</w:t>
      </w:r>
    </w:p>
    <w:p w14:paraId="268540AA" w14:textId="77777777" w:rsidR="00E93F58" w:rsidRPr="006E709F" w:rsidRDefault="00E93F58" w:rsidP="00D40A21">
      <w:pPr>
        <w:pStyle w:val="SubsectionHead"/>
      </w:pPr>
      <w:r w:rsidRPr="006E709F">
        <w:t>Investment fees</w:t>
      </w:r>
    </w:p>
    <w:p w14:paraId="610E806A" w14:textId="77777777" w:rsidR="00E93F58" w:rsidRPr="006E709F" w:rsidRDefault="00E93F58" w:rsidP="00D40A21">
      <w:pPr>
        <w:pStyle w:val="subsection"/>
      </w:pPr>
      <w:r w:rsidRPr="006E709F">
        <w:tab/>
      </w:r>
      <w:r w:rsidRPr="006E709F">
        <w:tab/>
        <w:t xml:space="preserve">An </w:t>
      </w:r>
      <w:r w:rsidRPr="006E709F">
        <w:rPr>
          <w:b/>
          <w:i/>
        </w:rPr>
        <w:t>investment fee</w:t>
      </w:r>
      <w:r w:rsidRPr="006E709F">
        <w:t xml:space="preserve"> is a fee that relates to the investment of the assets of a superannuation entity and includes:</w:t>
      </w:r>
    </w:p>
    <w:p w14:paraId="04615E5E" w14:textId="77777777" w:rsidR="00E93F58" w:rsidRPr="006E709F" w:rsidRDefault="00E93F58" w:rsidP="00D40A21">
      <w:pPr>
        <w:pStyle w:val="paragraph"/>
      </w:pPr>
      <w:r w:rsidRPr="006E709F">
        <w:tab/>
        <w:t>(a)</w:t>
      </w:r>
      <w:r w:rsidRPr="006E709F">
        <w:tab/>
        <w:t>fees in payment for the exercise of care and expertise in the investment of those assets (including performance fees); and</w:t>
      </w:r>
    </w:p>
    <w:p w14:paraId="266DF94B" w14:textId="77777777" w:rsidR="00E93F58" w:rsidRPr="006E709F" w:rsidRDefault="00E93F58" w:rsidP="00D40A21">
      <w:pPr>
        <w:pStyle w:val="paragraph"/>
      </w:pPr>
      <w:r w:rsidRPr="006E709F">
        <w:tab/>
        <w:t>(b)</w:t>
      </w:r>
      <w:r w:rsidRPr="006E709F">
        <w:tab/>
        <w:t xml:space="preserve">costs incurred by the trustee </w:t>
      </w:r>
      <w:r w:rsidRPr="006E709F">
        <w:rPr>
          <w:i/>
        </w:rPr>
        <w:t>[OR the trustees]</w:t>
      </w:r>
      <w:r w:rsidRPr="006E709F">
        <w:t xml:space="preserve"> of the entity that:</w:t>
      </w:r>
    </w:p>
    <w:p w14:paraId="64016E1D" w14:textId="77777777" w:rsidR="00E93F58" w:rsidRPr="006E709F" w:rsidRDefault="00E93F58" w:rsidP="00D40A21">
      <w:pPr>
        <w:pStyle w:val="paragraphsub"/>
      </w:pPr>
      <w:r w:rsidRPr="006E709F">
        <w:tab/>
        <w:t>(i)</w:t>
      </w:r>
      <w:r w:rsidRPr="006E709F">
        <w:tab/>
        <w:t>relate to the investment of assets of the entity; and</w:t>
      </w:r>
    </w:p>
    <w:p w14:paraId="25EA2D65" w14:textId="77777777" w:rsidR="00E93F58" w:rsidRPr="006E709F" w:rsidRDefault="00E93F58" w:rsidP="00D40A21">
      <w:pPr>
        <w:pStyle w:val="paragraphsub"/>
      </w:pPr>
      <w:r w:rsidRPr="006E709F">
        <w:lastRenderedPageBreak/>
        <w:tab/>
        <w:t>(ii)</w:t>
      </w:r>
      <w:r w:rsidRPr="006E709F">
        <w:tab/>
        <w:t>are not otherwise charged as an administration fee, a buy</w:t>
      </w:r>
      <w:r>
        <w:noBreakHyphen/>
      </w:r>
      <w:r w:rsidRPr="006E709F">
        <w:t>sell spread, a switching fee, an activity fee, an advice fee or an insurance fee.</w:t>
      </w:r>
    </w:p>
    <w:p w14:paraId="23DC53E2" w14:textId="77777777" w:rsidR="00E93F58" w:rsidRPr="006E709F" w:rsidRDefault="00E93F58" w:rsidP="00D40A21">
      <w:pPr>
        <w:pStyle w:val="SubsectionHead"/>
      </w:pPr>
      <w:r w:rsidRPr="006E709F">
        <w:t>Switching fees</w:t>
      </w:r>
    </w:p>
    <w:p w14:paraId="568AD6EC" w14:textId="77777777" w:rsidR="00E93F58" w:rsidRPr="006E709F" w:rsidRDefault="00E93F58" w:rsidP="00D40A21">
      <w:pPr>
        <w:pStyle w:val="subsection"/>
      </w:pPr>
      <w:r w:rsidRPr="006E709F">
        <w:tab/>
      </w:r>
      <w:r w:rsidRPr="006E709F">
        <w:tab/>
        <w:t xml:space="preserve">A </w:t>
      </w:r>
      <w:r w:rsidRPr="006E709F">
        <w:rPr>
          <w:b/>
          <w:i/>
        </w:rPr>
        <w:t>switching fee</w:t>
      </w:r>
      <w:r w:rsidRPr="006E709F">
        <w:t xml:space="preserve"> is a fee to recover the costs of switching all or part of a member’s interest in the superannuation entity from one class of beneficial interest in the entity to another.</w:t>
      </w:r>
    </w:p>
    <w:p w14:paraId="27640310" w14:textId="77777777" w:rsidR="00E93F58" w:rsidRPr="006E709F" w:rsidRDefault="00E93F58" w:rsidP="00A801D0">
      <w:pPr>
        <w:pStyle w:val="ActHead3"/>
        <w:pageBreakBefore/>
      </w:pPr>
      <w:bookmarkStart w:id="3422" w:name="_Toc151992459"/>
      <w:bookmarkStart w:id="3423" w:name="_Toc158713496"/>
      <w:r w:rsidRPr="000C4237">
        <w:rPr>
          <w:rStyle w:val="CharDivNo"/>
        </w:rPr>
        <w:lastRenderedPageBreak/>
        <w:t>Division 5</w:t>
      </w:r>
      <w:r w:rsidRPr="006E709F">
        <w:t>—</w:t>
      </w:r>
      <w:r w:rsidRPr="000C4237">
        <w:rPr>
          <w:rStyle w:val="CharDivText"/>
        </w:rPr>
        <w:t>Example of annual fees and costs</w:t>
      </w:r>
      <w:bookmarkEnd w:id="3422"/>
      <w:bookmarkEnd w:id="3423"/>
    </w:p>
    <w:p w14:paraId="42D642CC" w14:textId="77777777" w:rsidR="00E93F58" w:rsidRPr="006E709F" w:rsidRDefault="00E93F58" w:rsidP="00D5406C">
      <w:pPr>
        <w:pStyle w:val="ActHead5"/>
      </w:pPr>
      <w:bookmarkStart w:id="3424" w:name="_Toc151992460"/>
      <w:bookmarkStart w:id="3425" w:name="_Toc158713497"/>
      <w:r w:rsidRPr="000C4237">
        <w:rPr>
          <w:rStyle w:val="CharSectno"/>
        </w:rPr>
        <w:t>210</w:t>
      </w:r>
      <w:r w:rsidRPr="006E709F">
        <w:t xml:space="preserve">  Example of annual fees and costs</w:t>
      </w:r>
      <w:bookmarkEnd w:id="3424"/>
      <w:bookmarkEnd w:id="3425"/>
    </w:p>
    <w:p w14:paraId="30CD589D" w14:textId="77777777" w:rsidR="00E93F58" w:rsidRPr="006E709F" w:rsidRDefault="00E93F58" w:rsidP="00A801D0">
      <w:pPr>
        <w:pStyle w:val="subsection"/>
      </w:pPr>
      <w:r w:rsidRPr="006E709F">
        <w:tab/>
      </w:r>
      <w:r w:rsidRPr="006E709F">
        <w:tab/>
        <w:t>The example of annual fees and costs:</w:t>
      </w:r>
    </w:p>
    <w:p w14:paraId="50CD43F8" w14:textId="77777777" w:rsidR="00E93F58" w:rsidRPr="006E709F" w:rsidRDefault="00E93F58" w:rsidP="00A801D0">
      <w:pPr>
        <w:pStyle w:val="paragraph"/>
      </w:pPr>
      <w:r w:rsidRPr="006E709F">
        <w:tab/>
        <w:t>(a)</w:t>
      </w:r>
      <w:r w:rsidRPr="006E709F">
        <w:tab/>
        <w:t>must contain fees and costs in accordance with the table in clause 211 or 212; and</w:t>
      </w:r>
    </w:p>
    <w:p w14:paraId="6DB55F20" w14:textId="77777777" w:rsidR="00E93F58" w:rsidRPr="006E709F" w:rsidRDefault="00E93F58" w:rsidP="00A801D0">
      <w:pPr>
        <w:pStyle w:val="paragraph"/>
      </w:pPr>
      <w:r w:rsidRPr="006E709F">
        <w:tab/>
        <w:t>(b)</w:t>
      </w:r>
      <w:r w:rsidRPr="006E709F">
        <w:tab/>
        <w:t>must be set out using the headings and the form in clause 211 or 212; and</w:t>
      </w:r>
    </w:p>
    <w:p w14:paraId="620F4D41" w14:textId="77777777" w:rsidR="00E93F58" w:rsidRPr="006E709F" w:rsidRDefault="00E93F58" w:rsidP="00A801D0">
      <w:pPr>
        <w:pStyle w:val="paragraph"/>
      </w:pPr>
      <w:r w:rsidRPr="006E709F">
        <w:tab/>
        <w:t>(c)</w:t>
      </w:r>
      <w:r w:rsidRPr="006E709F">
        <w:tab/>
        <w:t>must be included in the ‘Fees’ section of a Product Disclosure Statement, following the fees and costs template.</w:t>
      </w:r>
    </w:p>
    <w:p w14:paraId="00138F8F" w14:textId="77777777" w:rsidR="00E93F58" w:rsidRPr="006E709F" w:rsidRDefault="00E93F58" w:rsidP="00D40A21">
      <w:pPr>
        <w:pStyle w:val="ActHead5"/>
      </w:pPr>
      <w:bookmarkStart w:id="3426" w:name="_Toc151992461"/>
      <w:bookmarkStart w:id="3427" w:name="_Toc158713498"/>
      <w:r w:rsidRPr="000C4237">
        <w:rPr>
          <w:rStyle w:val="CharSectno"/>
        </w:rPr>
        <w:t>211</w:t>
      </w:r>
      <w:r w:rsidRPr="006E709F">
        <w:t xml:space="preserve">  Superannuation products—Example of annual fees and costs for a MySuper product</w:t>
      </w:r>
      <w:bookmarkEnd w:id="3426"/>
      <w:bookmarkEnd w:id="3427"/>
    </w:p>
    <w:p w14:paraId="0977055E" w14:textId="77777777" w:rsidR="00E93F58" w:rsidRPr="006E709F" w:rsidRDefault="00E93F58" w:rsidP="00D40A21">
      <w:pPr>
        <w:pStyle w:val="subsection"/>
      </w:pPr>
      <w:r w:rsidRPr="006E709F">
        <w:tab/>
      </w:r>
      <w:r w:rsidRPr="006E709F">
        <w:tab/>
        <w:t>This table gives an example of how the fees and costs for the generic MySuper product for this superannuation product can affect your superannuation investment over a 1 year period. You should use this table to compare this superannuation product with other superannuation products.</w:t>
      </w:r>
    </w:p>
    <w:p w14:paraId="3615A544" w14:textId="77777777" w:rsidR="00E93F58" w:rsidRPr="006E709F" w:rsidRDefault="00E93F58" w:rsidP="00320785">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386"/>
        <w:gridCol w:w="1952"/>
        <w:gridCol w:w="5425"/>
      </w:tblGrid>
      <w:tr w:rsidR="00E93F58" w:rsidRPr="006E709F" w14:paraId="0D3AE821" w14:textId="77777777" w:rsidTr="00E118FA">
        <w:tc>
          <w:tcPr>
            <w:tcW w:w="2480" w:type="pct"/>
            <w:gridSpan w:val="2"/>
            <w:shd w:val="clear" w:color="auto" w:fill="FFFFFF"/>
            <w:tcMar>
              <w:top w:w="0" w:type="dxa"/>
              <w:left w:w="108" w:type="dxa"/>
              <w:bottom w:w="0" w:type="dxa"/>
              <w:right w:w="108" w:type="dxa"/>
            </w:tcMar>
            <w:hideMark/>
          </w:tcPr>
          <w:p w14:paraId="7771F916" w14:textId="77777777" w:rsidR="00E93F58" w:rsidRPr="006E709F" w:rsidRDefault="00E93F58" w:rsidP="00377DE6">
            <w:pPr>
              <w:pStyle w:val="Tabletext"/>
              <w:rPr>
                <w:rFonts w:eastAsia="Calibri"/>
                <w:sz w:val="18"/>
                <w:szCs w:val="18"/>
              </w:rPr>
            </w:pPr>
            <w:r w:rsidRPr="006E709F">
              <w:rPr>
                <w:b/>
                <w:sz w:val="18"/>
                <w:szCs w:val="18"/>
              </w:rPr>
              <w:t>EXAMPLE—</w:t>
            </w:r>
            <w:r>
              <w:rPr>
                <w:b/>
                <w:sz w:val="18"/>
                <w:szCs w:val="18"/>
              </w:rPr>
              <w:noBreakHyphen/>
            </w:r>
            <w:r w:rsidRPr="006E709F">
              <w:rPr>
                <w:sz w:val="18"/>
                <w:szCs w:val="18"/>
              </w:rPr>
              <w:t>MySuper product</w:t>
            </w:r>
          </w:p>
        </w:tc>
        <w:tc>
          <w:tcPr>
            <w:tcW w:w="2520" w:type="pct"/>
            <w:shd w:val="clear" w:color="auto" w:fill="FFFFFF"/>
            <w:tcMar>
              <w:top w:w="0" w:type="dxa"/>
              <w:left w:w="108" w:type="dxa"/>
              <w:bottom w:w="0" w:type="dxa"/>
              <w:right w:w="108" w:type="dxa"/>
            </w:tcMar>
            <w:hideMark/>
          </w:tcPr>
          <w:p w14:paraId="6A6DB162" w14:textId="77777777" w:rsidR="00E93F58" w:rsidRPr="006E709F" w:rsidRDefault="00E93F58" w:rsidP="00377DE6">
            <w:pPr>
              <w:pStyle w:val="Tabletext"/>
              <w:rPr>
                <w:rFonts w:eastAsia="Calibri"/>
                <w:b/>
                <w:sz w:val="18"/>
                <w:szCs w:val="18"/>
              </w:rPr>
            </w:pPr>
            <w:r w:rsidRPr="006E709F">
              <w:rPr>
                <w:b/>
                <w:sz w:val="18"/>
                <w:szCs w:val="18"/>
              </w:rPr>
              <w:t>BALANCE OF $50 000</w:t>
            </w:r>
          </w:p>
        </w:tc>
      </w:tr>
      <w:tr w:rsidR="00E93F58" w:rsidRPr="006E709F" w14:paraId="548B6309" w14:textId="77777777" w:rsidTr="00E118FA">
        <w:tc>
          <w:tcPr>
            <w:tcW w:w="1573" w:type="pct"/>
            <w:shd w:val="clear" w:color="auto" w:fill="FFFFFF"/>
            <w:tcMar>
              <w:top w:w="0" w:type="dxa"/>
              <w:left w:w="108" w:type="dxa"/>
              <w:bottom w:w="0" w:type="dxa"/>
              <w:right w:w="108" w:type="dxa"/>
            </w:tcMar>
            <w:hideMark/>
          </w:tcPr>
          <w:p w14:paraId="27E7E034" w14:textId="77777777" w:rsidR="00E93F58" w:rsidRPr="006E709F" w:rsidRDefault="00E93F58" w:rsidP="00377DE6">
            <w:pPr>
              <w:pStyle w:val="Tabletext"/>
              <w:rPr>
                <w:rFonts w:eastAsia="Calibri"/>
                <w:sz w:val="18"/>
                <w:szCs w:val="18"/>
              </w:rPr>
            </w:pPr>
            <w:r w:rsidRPr="006E709F">
              <w:rPr>
                <w:sz w:val="18"/>
                <w:szCs w:val="18"/>
              </w:rPr>
              <w:t xml:space="preserve">Investment fees </w:t>
            </w:r>
          </w:p>
        </w:tc>
        <w:tc>
          <w:tcPr>
            <w:tcW w:w="907" w:type="pct"/>
            <w:shd w:val="clear" w:color="auto" w:fill="FFFFFF"/>
            <w:tcMar>
              <w:top w:w="0" w:type="dxa"/>
              <w:left w:w="108" w:type="dxa"/>
              <w:bottom w:w="0" w:type="dxa"/>
              <w:right w:w="108" w:type="dxa"/>
            </w:tcMar>
            <w:hideMark/>
          </w:tcPr>
          <w:p w14:paraId="0590F6CC" w14:textId="77777777" w:rsidR="00E93F58" w:rsidRPr="006E709F" w:rsidRDefault="00E93F58" w:rsidP="00377DE6">
            <w:pPr>
              <w:pStyle w:val="Tabletext"/>
              <w:rPr>
                <w:rFonts w:eastAsia="Calibri"/>
                <w:sz w:val="18"/>
                <w:szCs w:val="18"/>
              </w:rPr>
            </w:pPr>
            <w:r w:rsidRPr="006E709F">
              <w:rPr>
                <w:sz w:val="18"/>
                <w:szCs w:val="18"/>
              </w:rPr>
              <w:t>1.6%</w:t>
            </w:r>
          </w:p>
        </w:tc>
        <w:tc>
          <w:tcPr>
            <w:tcW w:w="2520" w:type="pct"/>
            <w:shd w:val="clear" w:color="auto" w:fill="FFFFFF"/>
            <w:tcMar>
              <w:top w:w="0" w:type="dxa"/>
              <w:left w:w="108" w:type="dxa"/>
              <w:bottom w:w="0" w:type="dxa"/>
              <w:right w:w="108" w:type="dxa"/>
            </w:tcMar>
            <w:hideMark/>
          </w:tcPr>
          <w:p w14:paraId="2558A3A9" w14:textId="77777777" w:rsidR="00E93F58" w:rsidRPr="006E709F" w:rsidRDefault="00E93F58" w:rsidP="00377DE6">
            <w:pPr>
              <w:pStyle w:val="Tabletext"/>
              <w:rPr>
                <w:rFonts w:eastAsia="Calibri"/>
                <w:sz w:val="18"/>
                <w:szCs w:val="18"/>
              </w:rPr>
            </w:pPr>
            <w:r w:rsidRPr="006E709F">
              <w:rPr>
                <w:sz w:val="18"/>
                <w:szCs w:val="18"/>
              </w:rPr>
              <w:t>For every $50 000 you have in the MySuper product you will be charged $800 each year</w:t>
            </w:r>
          </w:p>
        </w:tc>
      </w:tr>
      <w:tr w:rsidR="00E93F58" w:rsidRPr="006E709F" w14:paraId="59DA1A58" w14:textId="77777777" w:rsidTr="00E118FA">
        <w:tc>
          <w:tcPr>
            <w:tcW w:w="1573" w:type="pct"/>
            <w:shd w:val="clear" w:color="auto" w:fill="FFFFFF"/>
            <w:tcMar>
              <w:top w:w="0" w:type="dxa"/>
              <w:left w:w="108" w:type="dxa"/>
              <w:bottom w:w="0" w:type="dxa"/>
              <w:right w:w="108" w:type="dxa"/>
            </w:tcMar>
            <w:hideMark/>
          </w:tcPr>
          <w:p w14:paraId="0263258B" w14:textId="77777777" w:rsidR="00E93F58" w:rsidRPr="006E709F" w:rsidRDefault="00E93F58" w:rsidP="00377DE6">
            <w:pPr>
              <w:pStyle w:val="Tabletext"/>
              <w:rPr>
                <w:rFonts w:eastAsia="Calibri"/>
                <w:sz w:val="18"/>
                <w:szCs w:val="18"/>
              </w:rPr>
            </w:pPr>
            <w:r w:rsidRPr="006E709F">
              <w:rPr>
                <w:b/>
                <w:sz w:val="18"/>
                <w:szCs w:val="18"/>
              </w:rPr>
              <w:t>PLUS</w:t>
            </w:r>
            <w:r w:rsidRPr="006E709F">
              <w:rPr>
                <w:sz w:val="18"/>
                <w:szCs w:val="18"/>
              </w:rPr>
              <w:t xml:space="preserve"> Administration fees</w:t>
            </w:r>
          </w:p>
        </w:tc>
        <w:tc>
          <w:tcPr>
            <w:tcW w:w="907" w:type="pct"/>
            <w:shd w:val="clear" w:color="auto" w:fill="FFFFFF"/>
            <w:tcMar>
              <w:top w:w="0" w:type="dxa"/>
              <w:left w:w="108" w:type="dxa"/>
              <w:bottom w:w="0" w:type="dxa"/>
              <w:right w:w="108" w:type="dxa"/>
            </w:tcMar>
            <w:hideMark/>
          </w:tcPr>
          <w:p w14:paraId="30A3EDBC" w14:textId="77777777" w:rsidR="00E93F58" w:rsidRPr="006E709F" w:rsidRDefault="00E93F58" w:rsidP="00377DE6">
            <w:pPr>
              <w:pStyle w:val="Tabletext"/>
              <w:rPr>
                <w:sz w:val="18"/>
                <w:szCs w:val="18"/>
              </w:rPr>
            </w:pPr>
            <w:r w:rsidRPr="006E709F">
              <w:rPr>
                <w:sz w:val="18"/>
                <w:szCs w:val="18"/>
              </w:rPr>
              <w:t>$52</w:t>
            </w:r>
          </w:p>
          <w:p w14:paraId="1BE40D88" w14:textId="77777777" w:rsidR="00E93F58" w:rsidRPr="006E709F" w:rsidRDefault="00E93F58" w:rsidP="00377DE6">
            <w:pPr>
              <w:pStyle w:val="Tabletext"/>
              <w:rPr>
                <w:rFonts w:eastAsia="Calibri"/>
                <w:sz w:val="18"/>
                <w:szCs w:val="18"/>
              </w:rPr>
            </w:pPr>
            <w:r w:rsidRPr="006E709F">
              <w:rPr>
                <w:sz w:val="18"/>
                <w:szCs w:val="18"/>
              </w:rPr>
              <w:t xml:space="preserve">($1 per week) </w:t>
            </w:r>
          </w:p>
        </w:tc>
        <w:tc>
          <w:tcPr>
            <w:tcW w:w="2520" w:type="pct"/>
            <w:shd w:val="clear" w:color="auto" w:fill="FFFFFF"/>
            <w:tcMar>
              <w:top w:w="0" w:type="dxa"/>
              <w:left w:w="108" w:type="dxa"/>
              <w:bottom w:w="0" w:type="dxa"/>
              <w:right w:w="108" w:type="dxa"/>
            </w:tcMar>
            <w:hideMark/>
          </w:tcPr>
          <w:p w14:paraId="16E7E8C9" w14:textId="77777777" w:rsidR="00E93F58" w:rsidRPr="006E709F" w:rsidRDefault="00E93F58" w:rsidP="00377DE6">
            <w:pPr>
              <w:pStyle w:val="Tabletext"/>
              <w:rPr>
                <w:rFonts w:eastAsia="Calibri"/>
                <w:sz w:val="18"/>
                <w:szCs w:val="18"/>
              </w:rPr>
            </w:pPr>
            <w:r w:rsidRPr="006E709F">
              <w:rPr>
                <w:b/>
                <w:sz w:val="18"/>
                <w:szCs w:val="18"/>
              </w:rPr>
              <w:t>And</w:t>
            </w:r>
            <w:r w:rsidRPr="006E709F">
              <w:rPr>
                <w:sz w:val="18"/>
                <w:szCs w:val="18"/>
              </w:rPr>
              <w:t>, you will be charged $52 in administration fees regardless of your balance</w:t>
            </w:r>
          </w:p>
        </w:tc>
      </w:tr>
      <w:tr w:rsidR="00E93F58" w:rsidRPr="006E709F" w14:paraId="262B5AA5" w14:textId="77777777" w:rsidTr="00E118FA">
        <w:tc>
          <w:tcPr>
            <w:tcW w:w="1573" w:type="pct"/>
            <w:tcMar>
              <w:top w:w="0" w:type="dxa"/>
              <w:left w:w="108" w:type="dxa"/>
              <w:bottom w:w="0" w:type="dxa"/>
              <w:right w:w="108" w:type="dxa"/>
            </w:tcMar>
          </w:tcPr>
          <w:p w14:paraId="1F318C12" w14:textId="77777777" w:rsidR="00E93F58" w:rsidRPr="006E709F" w:rsidRDefault="00E93F58" w:rsidP="00377DE6">
            <w:pPr>
              <w:pStyle w:val="Tabletext"/>
              <w:rPr>
                <w:sz w:val="18"/>
                <w:szCs w:val="18"/>
              </w:rPr>
            </w:pPr>
            <w:r w:rsidRPr="006E709F">
              <w:rPr>
                <w:b/>
                <w:sz w:val="18"/>
                <w:szCs w:val="18"/>
              </w:rPr>
              <w:t xml:space="preserve">PLUS </w:t>
            </w:r>
            <w:r w:rsidRPr="006E709F">
              <w:rPr>
                <w:sz w:val="18"/>
                <w:szCs w:val="18"/>
              </w:rPr>
              <w:t>Indirect costs for the MySuper product</w:t>
            </w:r>
          </w:p>
        </w:tc>
        <w:tc>
          <w:tcPr>
            <w:tcW w:w="907" w:type="pct"/>
            <w:tcMar>
              <w:top w:w="0" w:type="dxa"/>
              <w:left w:w="108" w:type="dxa"/>
              <w:bottom w:w="0" w:type="dxa"/>
              <w:right w:w="108" w:type="dxa"/>
            </w:tcMar>
          </w:tcPr>
          <w:p w14:paraId="4AD749CF" w14:textId="77777777" w:rsidR="00E93F58" w:rsidRPr="006E709F" w:rsidRDefault="00E93F58" w:rsidP="00377DE6">
            <w:pPr>
              <w:pStyle w:val="Tabletext"/>
              <w:rPr>
                <w:rFonts w:eastAsia="Calibri"/>
                <w:sz w:val="18"/>
                <w:szCs w:val="18"/>
              </w:rPr>
            </w:pPr>
            <w:r w:rsidRPr="006E709F">
              <w:rPr>
                <w:rFonts w:eastAsia="Calibri"/>
                <w:sz w:val="18"/>
                <w:szCs w:val="18"/>
              </w:rPr>
              <w:t>1.2%</w:t>
            </w:r>
          </w:p>
        </w:tc>
        <w:tc>
          <w:tcPr>
            <w:tcW w:w="2520" w:type="pct"/>
            <w:tcMar>
              <w:top w:w="0" w:type="dxa"/>
              <w:left w:w="108" w:type="dxa"/>
              <w:bottom w:w="0" w:type="dxa"/>
              <w:right w:w="108" w:type="dxa"/>
            </w:tcMar>
          </w:tcPr>
          <w:p w14:paraId="403757AD" w14:textId="77777777" w:rsidR="00E93F58" w:rsidRPr="006E709F" w:rsidRDefault="00E93F58" w:rsidP="00377DE6">
            <w:pPr>
              <w:pStyle w:val="Tabletext"/>
              <w:rPr>
                <w:sz w:val="18"/>
                <w:szCs w:val="18"/>
              </w:rPr>
            </w:pPr>
            <w:r w:rsidRPr="006E709F">
              <w:rPr>
                <w:b/>
                <w:sz w:val="18"/>
                <w:szCs w:val="18"/>
              </w:rPr>
              <w:t>And</w:t>
            </w:r>
            <w:r w:rsidRPr="006E709F">
              <w:rPr>
                <w:sz w:val="18"/>
                <w:szCs w:val="18"/>
              </w:rPr>
              <w:t>, indirect costs of $600 each year will be deducted from your investment</w:t>
            </w:r>
          </w:p>
        </w:tc>
      </w:tr>
      <w:tr w:rsidR="00E93F58" w:rsidRPr="006E709F" w14:paraId="0F5613BD" w14:textId="77777777" w:rsidTr="00E118FA">
        <w:tc>
          <w:tcPr>
            <w:tcW w:w="1573" w:type="pct"/>
            <w:shd w:val="clear" w:color="auto" w:fill="auto"/>
            <w:tcMar>
              <w:top w:w="0" w:type="dxa"/>
              <w:left w:w="108" w:type="dxa"/>
              <w:bottom w:w="0" w:type="dxa"/>
              <w:right w:w="108" w:type="dxa"/>
            </w:tcMar>
            <w:hideMark/>
          </w:tcPr>
          <w:p w14:paraId="68413AC4" w14:textId="77777777" w:rsidR="00E93F58" w:rsidRPr="006E709F" w:rsidRDefault="00E93F58" w:rsidP="00377DE6">
            <w:pPr>
              <w:pStyle w:val="Tabletext"/>
              <w:rPr>
                <w:rFonts w:eastAsia="Calibri"/>
                <w:sz w:val="18"/>
                <w:szCs w:val="18"/>
              </w:rPr>
            </w:pPr>
            <w:r w:rsidRPr="006E709F">
              <w:rPr>
                <w:b/>
                <w:sz w:val="18"/>
                <w:szCs w:val="18"/>
              </w:rPr>
              <w:t>EQUALS</w:t>
            </w:r>
            <w:r w:rsidRPr="006E709F">
              <w:rPr>
                <w:sz w:val="18"/>
                <w:szCs w:val="18"/>
              </w:rPr>
              <w:t xml:space="preserve"> Cost of product</w:t>
            </w:r>
          </w:p>
        </w:tc>
        <w:tc>
          <w:tcPr>
            <w:tcW w:w="907" w:type="pct"/>
            <w:shd w:val="clear" w:color="auto" w:fill="auto"/>
            <w:tcMar>
              <w:top w:w="0" w:type="dxa"/>
              <w:left w:w="108" w:type="dxa"/>
              <w:bottom w:w="0" w:type="dxa"/>
              <w:right w:w="108" w:type="dxa"/>
            </w:tcMar>
            <w:hideMark/>
          </w:tcPr>
          <w:p w14:paraId="29784E57" w14:textId="77777777" w:rsidR="00E93F58" w:rsidRPr="006E709F" w:rsidRDefault="00E93F58" w:rsidP="00377DE6">
            <w:pPr>
              <w:pStyle w:val="Tabletext"/>
              <w:rPr>
                <w:rFonts w:eastAsia="Calibri"/>
                <w:sz w:val="18"/>
                <w:szCs w:val="18"/>
              </w:rPr>
            </w:pPr>
          </w:p>
        </w:tc>
        <w:tc>
          <w:tcPr>
            <w:tcW w:w="2520" w:type="pct"/>
            <w:shd w:val="clear" w:color="auto" w:fill="auto"/>
            <w:tcMar>
              <w:top w:w="0" w:type="dxa"/>
              <w:left w:w="108" w:type="dxa"/>
              <w:bottom w:w="0" w:type="dxa"/>
              <w:right w:w="108" w:type="dxa"/>
            </w:tcMar>
            <w:hideMark/>
          </w:tcPr>
          <w:p w14:paraId="076230FB" w14:textId="77777777" w:rsidR="00E93F58" w:rsidRPr="006E709F" w:rsidRDefault="00E93F58" w:rsidP="00377DE6">
            <w:pPr>
              <w:pStyle w:val="Tabletext"/>
              <w:rPr>
                <w:sz w:val="18"/>
                <w:szCs w:val="18"/>
              </w:rPr>
            </w:pPr>
            <w:r w:rsidRPr="006E709F">
              <w:rPr>
                <w:sz w:val="18"/>
                <w:szCs w:val="18"/>
              </w:rPr>
              <w:t xml:space="preserve">If your balance was $50 000, then for that year you will be charged fees of </w:t>
            </w:r>
            <w:r w:rsidRPr="006E709F">
              <w:rPr>
                <w:b/>
                <w:sz w:val="18"/>
                <w:szCs w:val="18"/>
              </w:rPr>
              <w:t xml:space="preserve">$1 452 </w:t>
            </w:r>
            <w:r w:rsidRPr="006E709F">
              <w:rPr>
                <w:sz w:val="18"/>
                <w:szCs w:val="18"/>
              </w:rPr>
              <w:t>for the MySuper product.</w:t>
            </w:r>
          </w:p>
          <w:p w14:paraId="5CFDCAB3" w14:textId="77777777" w:rsidR="00E93F58" w:rsidRPr="006E709F" w:rsidRDefault="00E93F58" w:rsidP="00377DE6">
            <w:pPr>
              <w:pStyle w:val="Tabletext"/>
              <w:rPr>
                <w:sz w:val="18"/>
                <w:szCs w:val="18"/>
              </w:rPr>
            </w:pPr>
          </w:p>
        </w:tc>
      </w:tr>
    </w:tbl>
    <w:p w14:paraId="744003E9" w14:textId="77777777" w:rsidR="00E93F58" w:rsidRPr="006E709F" w:rsidRDefault="00E93F58" w:rsidP="00D40A21">
      <w:pPr>
        <w:pStyle w:val="notemargin"/>
      </w:pPr>
      <w:r w:rsidRPr="006E709F">
        <w:rPr>
          <w:bCs/>
          <w:position w:val="6"/>
          <w:sz w:val="16"/>
        </w:rPr>
        <w:t>Note:</w:t>
      </w:r>
      <w:r w:rsidRPr="006E709F">
        <w:rPr>
          <w:bCs/>
          <w:position w:val="6"/>
          <w:sz w:val="16"/>
        </w:rPr>
        <w:tab/>
      </w:r>
      <w:r w:rsidRPr="000C4237">
        <w:rPr>
          <w:b/>
          <w:bCs/>
          <w:position w:val="6"/>
          <w:sz w:val="16"/>
        </w:rPr>
        <w:t>*</w:t>
      </w:r>
      <w:r w:rsidRPr="006E709F">
        <w:rPr>
          <w:b/>
          <w:bCs/>
        </w:rPr>
        <w:t xml:space="preserve"> </w:t>
      </w:r>
      <w:r w:rsidRPr="006E709F">
        <w:t>Additional fees may apply.</w:t>
      </w:r>
    </w:p>
    <w:p w14:paraId="56E30212" w14:textId="77777777" w:rsidR="00E93F58" w:rsidRPr="006E709F" w:rsidRDefault="00E93F58" w:rsidP="00D40A21">
      <w:pPr>
        <w:pStyle w:val="ActHead5"/>
      </w:pPr>
      <w:bookmarkStart w:id="3428" w:name="_Toc151992462"/>
      <w:bookmarkStart w:id="3429" w:name="_Toc158713499"/>
      <w:r w:rsidRPr="000C4237">
        <w:rPr>
          <w:rStyle w:val="CharSectno"/>
        </w:rPr>
        <w:t>212</w:t>
      </w:r>
      <w:r w:rsidRPr="006E709F">
        <w:t xml:space="preserve">  Collective investment products—Example of annual fees and costs for a balanced investment option</w:t>
      </w:r>
      <w:bookmarkEnd w:id="3428"/>
      <w:bookmarkEnd w:id="3429"/>
    </w:p>
    <w:p w14:paraId="5DD35344" w14:textId="77777777" w:rsidR="00E93F58" w:rsidRPr="006E709F" w:rsidRDefault="00E93F58" w:rsidP="00D9431E">
      <w:pPr>
        <w:spacing w:before="240"/>
        <w:rPr>
          <w:rFonts w:cs="Times New Roman"/>
          <w:b/>
        </w:rPr>
      </w:pPr>
      <w:r w:rsidRPr="006E709F">
        <w:rPr>
          <w:rFonts w:cs="Times New Roman"/>
          <w:b/>
        </w:rPr>
        <w:t>Example of annual fees and costs for a balanced investment option</w:t>
      </w:r>
    </w:p>
    <w:p w14:paraId="0F2E32AB" w14:textId="77777777" w:rsidR="00E93F58" w:rsidRPr="006E709F" w:rsidRDefault="00E93F58" w:rsidP="009D0C04">
      <w:pPr>
        <w:keepLines/>
        <w:spacing w:before="240"/>
        <w:rPr>
          <w:rFonts w:cs="Times New Roman"/>
        </w:rPr>
      </w:pPr>
      <w:r w:rsidRPr="006E709F">
        <w:rPr>
          <w:rFonts w:cs="Times New Roman"/>
        </w:rPr>
        <w:t xml:space="preserve">This table gives an example of how the fees and costs in </w:t>
      </w:r>
      <w:r w:rsidRPr="006E709F">
        <w:t>the balanced investment option for this product</w:t>
      </w:r>
      <w:r w:rsidRPr="006E709F">
        <w:rPr>
          <w:rFonts w:cs="Times New Roman"/>
        </w:rPr>
        <w:t xml:space="preserve"> can affect your investment over a 1 year period. You should use this table to compare this product with other </w:t>
      </w:r>
      <w:r w:rsidRPr="006E709F">
        <w:t xml:space="preserve">products offered by </w:t>
      </w:r>
      <w:r w:rsidRPr="006E709F">
        <w:rPr>
          <w:i/>
        </w:rPr>
        <w:t>[managed investment schemes / retail CCIVs]</w:t>
      </w:r>
      <w:r w:rsidRPr="006E709F">
        <w:rPr>
          <w:rFonts w:cs="Times New Roman"/>
        </w:rPr>
        <w:t>.</w:t>
      </w:r>
    </w:p>
    <w:p w14:paraId="7A5A913A" w14:textId="77777777" w:rsidR="00E93F58" w:rsidRPr="006E709F" w:rsidRDefault="00E93F58" w:rsidP="00A801D0">
      <w:pPr>
        <w:pStyle w:val="Tabletext"/>
      </w:pPr>
    </w:p>
    <w:tbl>
      <w:tblPr>
        <w:tblW w:w="5000" w:type="pct"/>
        <w:tblLook w:val="01E0" w:firstRow="1" w:lastRow="1" w:firstColumn="1" w:lastColumn="1" w:noHBand="0" w:noVBand="0"/>
      </w:tblPr>
      <w:tblGrid>
        <w:gridCol w:w="3878"/>
        <w:gridCol w:w="1249"/>
        <w:gridCol w:w="5636"/>
      </w:tblGrid>
      <w:tr w:rsidR="00E93F58" w:rsidRPr="006E709F" w14:paraId="7D464CC9" w14:textId="77777777" w:rsidTr="00E118FA">
        <w:tc>
          <w:tcPr>
            <w:tcW w:w="2382" w:type="pct"/>
            <w:gridSpan w:val="2"/>
            <w:tcBorders>
              <w:top w:val="single" w:sz="4" w:space="0" w:color="auto"/>
              <w:left w:val="single" w:sz="4" w:space="0" w:color="auto"/>
              <w:bottom w:val="single" w:sz="4" w:space="0" w:color="auto"/>
              <w:right w:val="single" w:sz="4" w:space="0" w:color="auto"/>
            </w:tcBorders>
            <w:shd w:val="clear" w:color="auto" w:fill="FFFFFF"/>
          </w:tcPr>
          <w:p w14:paraId="7F82465E" w14:textId="77777777" w:rsidR="00E93F58" w:rsidRPr="006E709F" w:rsidRDefault="00E93F58" w:rsidP="00497EC9">
            <w:pPr>
              <w:pStyle w:val="Tabletext"/>
              <w:keepNext/>
              <w:spacing w:after="60"/>
            </w:pPr>
            <w:r w:rsidRPr="006E709F">
              <w:rPr>
                <w:b/>
              </w:rPr>
              <w:t>EXAMPLE</w:t>
            </w:r>
            <w:r w:rsidRPr="006E709F">
              <w:t>—the Balanced Investment Option</w:t>
            </w:r>
          </w:p>
        </w:tc>
        <w:tc>
          <w:tcPr>
            <w:tcW w:w="2618" w:type="pct"/>
            <w:tcBorders>
              <w:top w:val="single" w:sz="4" w:space="0" w:color="auto"/>
              <w:left w:val="single" w:sz="4" w:space="0" w:color="auto"/>
              <w:bottom w:val="single" w:sz="4" w:space="0" w:color="auto"/>
              <w:right w:val="single" w:sz="4" w:space="0" w:color="auto"/>
            </w:tcBorders>
            <w:shd w:val="clear" w:color="auto" w:fill="FFFFFF"/>
          </w:tcPr>
          <w:p w14:paraId="43D27E5B" w14:textId="77777777" w:rsidR="00E93F58" w:rsidRPr="006E709F" w:rsidRDefault="00E93F58" w:rsidP="00D75DE0">
            <w:pPr>
              <w:pStyle w:val="Tabletext"/>
              <w:spacing w:after="60"/>
              <w:rPr>
                <w:b/>
              </w:rPr>
            </w:pPr>
            <w:r w:rsidRPr="006E709F">
              <w:rPr>
                <w:b/>
              </w:rPr>
              <w:t>BALANCE OF $50 000 WITH A CONTRIBUTION OF $5 000 DURING YEAR</w:t>
            </w:r>
          </w:p>
        </w:tc>
      </w:tr>
      <w:tr w:rsidR="00E93F58" w:rsidRPr="006E709F" w14:paraId="52D756F6" w14:textId="77777777" w:rsidTr="00E118FA">
        <w:tc>
          <w:tcPr>
            <w:tcW w:w="1802" w:type="pct"/>
            <w:tcBorders>
              <w:top w:val="single" w:sz="4" w:space="0" w:color="auto"/>
              <w:left w:val="single" w:sz="4" w:space="0" w:color="auto"/>
              <w:bottom w:val="single" w:sz="4" w:space="0" w:color="auto"/>
              <w:right w:val="single" w:sz="4" w:space="0" w:color="auto"/>
            </w:tcBorders>
            <w:shd w:val="clear" w:color="auto" w:fill="FFFFFF"/>
          </w:tcPr>
          <w:p w14:paraId="0CFCB229" w14:textId="77777777" w:rsidR="00E93F58" w:rsidRPr="006E709F" w:rsidRDefault="00E93F58" w:rsidP="00D75DE0">
            <w:pPr>
              <w:pStyle w:val="Tabletext"/>
              <w:spacing w:after="60"/>
            </w:pPr>
            <w:r w:rsidRPr="006E709F">
              <w:t>Contribution Fees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54B7B2D" w14:textId="77777777" w:rsidR="00E93F58" w:rsidRPr="006E709F" w:rsidRDefault="00E93F58" w:rsidP="00D75DE0">
            <w:pPr>
              <w:pStyle w:val="Tabletext"/>
              <w:spacing w:after="60"/>
            </w:pPr>
            <w:r w:rsidRPr="006E709F">
              <w:t>0</w:t>
            </w:r>
            <w:r>
              <w:noBreakHyphen/>
            </w:r>
            <w:r w:rsidRPr="006E709F">
              <w:t>4%</w:t>
            </w:r>
          </w:p>
        </w:tc>
        <w:tc>
          <w:tcPr>
            <w:tcW w:w="2618" w:type="pct"/>
            <w:tcBorders>
              <w:top w:val="single" w:sz="4" w:space="0" w:color="auto"/>
              <w:left w:val="single" w:sz="4" w:space="0" w:color="auto"/>
              <w:bottom w:val="single" w:sz="4" w:space="0" w:color="auto"/>
              <w:right w:val="single" w:sz="4" w:space="0" w:color="auto"/>
            </w:tcBorders>
            <w:shd w:val="clear" w:color="auto" w:fill="FFFFFF"/>
          </w:tcPr>
          <w:p w14:paraId="4BC15499" w14:textId="77777777" w:rsidR="00E93F58" w:rsidRPr="006E709F" w:rsidRDefault="00E93F58" w:rsidP="00D75DE0">
            <w:pPr>
              <w:pStyle w:val="Tabletext"/>
              <w:spacing w:after="60"/>
            </w:pPr>
            <w:r w:rsidRPr="006E709F">
              <w:t>For every additional $5 000 you put in, you will be charged between $0 and $200.</w:t>
            </w:r>
          </w:p>
        </w:tc>
      </w:tr>
      <w:tr w:rsidR="00E93F58" w:rsidRPr="006E709F" w14:paraId="21B2E4B2" w14:textId="77777777" w:rsidTr="00E118FA">
        <w:tc>
          <w:tcPr>
            <w:tcW w:w="1802" w:type="pct"/>
            <w:tcBorders>
              <w:top w:val="single" w:sz="4" w:space="0" w:color="auto"/>
              <w:left w:val="single" w:sz="4" w:space="0" w:color="auto"/>
              <w:bottom w:val="single" w:sz="4" w:space="0" w:color="auto"/>
              <w:right w:val="single" w:sz="4" w:space="0" w:color="auto"/>
            </w:tcBorders>
            <w:shd w:val="clear" w:color="auto" w:fill="FFFFFF"/>
          </w:tcPr>
          <w:p w14:paraId="2A2FEBFE" w14:textId="77777777" w:rsidR="00E93F58" w:rsidRPr="006E709F" w:rsidRDefault="00E93F58" w:rsidP="00D75DE0">
            <w:pPr>
              <w:pStyle w:val="Tabletext"/>
              <w:spacing w:after="60"/>
            </w:pPr>
            <w:r w:rsidRPr="006E709F">
              <w:rPr>
                <w:b/>
              </w:rPr>
              <w:t>PLUS</w:t>
            </w:r>
            <w:r w:rsidRPr="006E709F">
              <w:t xml:space="preserve"> Management Costs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0B7D33D6" w14:textId="77777777" w:rsidR="00E93F58" w:rsidRPr="006E709F" w:rsidRDefault="00E93F58" w:rsidP="00D75DE0">
            <w:pPr>
              <w:pStyle w:val="Tabletext"/>
              <w:spacing w:after="60"/>
            </w:pPr>
            <w:r w:rsidRPr="006E709F">
              <w:t>1.3%</w:t>
            </w:r>
          </w:p>
        </w:tc>
        <w:tc>
          <w:tcPr>
            <w:tcW w:w="2618" w:type="pct"/>
            <w:tcBorders>
              <w:top w:val="single" w:sz="4" w:space="0" w:color="auto"/>
              <w:left w:val="single" w:sz="4" w:space="0" w:color="auto"/>
              <w:bottom w:val="single" w:sz="4" w:space="0" w:color="auto"/>
              <w:right w:val="single" w:sz="4" w:space="0" w:color="auto"/>
            </w:tcBorders>
            <w:shd w:val="clear" w:color="auto" w:fill="FFFFFF"/>
          </w:tcPr>
          <w:p w14:paraId="5D3A53EF" w14:textId="77777777" w:rsidR="00E93F58" w:rsidRPr="006E709F" w:rsidRDefault="00E93F58" w:rsidP="00D75DE0">
            <w:pPr>
              <w:pStyle w:val="Tabletext"/>
              <w:spacing w:after="60"/>
            </w:pPr>
            <w:r w:rsidRPr="006E709F">
              <w:rPr>
                <w:b/>
              </w:rPr>
              <w:t>And</w:t>
            </w:r>
            <w:r w:rsidRPr="006E709F">
              <w:t>, for every $50 000 you have in the balanced investment option you will be charged $650 each year.</w:t>
            </w:r>
          </w:p>
        </w:tc>
      </w:tr>
      <w:tr w:rsidR="00E93F58" w:rsidRPr="006E709F" w14:paraId="21191CDD" w14:textId="77777777" w:rsidTr="00E118FA">
        <w:tc>
          <w:tcPr>
            <w:tcW w:w="180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66FC5794" w14:textId="77777777" w:rsidR="00E93F58" w:rsidRPr="006E709F" w:rsidRDefault="00E93F58" w:rsidP="00D75DE0">
            <w:pPr>
              <w:pStyle w:val="Tabletext"/>
              <w:spacing w:after="60"/>
            </w:pPr>
            <w:r w:rsidRPr="006E709F">
              <w:rPr>
                <w:b/>
              </w:rPr>
              <w:t>EQUALS</w:t>
            </w:r>
            <w:r w:rsidRPr="006E709F">
              <w:t xml:space="preserve"> Cost of balanced investment option</w:t>
            </w:r>
          </w:p>
        </w:tc>
        <w:tc>
          <w:tcPr>
            <w:tcW w:w="580"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79B8BD93" w14:textId="77777777" w:rsidR="00E93F58" w:rsidRPr="006E709F" w:rsidRDefault="00E93F58" w:rsidP="00D75DE0">
            <w:pPr>
              <w:pStyle w:val="Tabletext"/>
              <w:spacing w:after="60"/>
            </w:pPr>
          </w:p>
        </w:tc>
        <w:tc>
          <w:tcPr>
            <w:tcW w:w="2618"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3F4DB76C" w14:textId="77777777" w:rsidR="00E93F58" w:rsidRPr="006E709F" w:rsidRDefault="00E93F58" w:rsidP="00D75DE0">
            <w:pPr>
              <w:pStyle w:val="Tabletext"/>
              <w:spacing w:after="60"/>
            </w:pPr>
            <w:r w:rsidRPr="006E709F">
              <w:t>If you had an investment of $50 000 at the beginning of the year and you put in an additional $5 000 during that year, you would be charged fees of from:</w:t>
            </w:r>
          </w:p>
          <w:p w14:paraId="2382905D" w14:textId="77777777" w:rsidR="00E93F58" w:rsidRPr="006E709F" w:rsidRDefault="00E93F58" w:rsidP="00D75DE0">
            <w:pPr>
              <w:pStyle w:val="Tabletext"/>
              <w:spacing w:after="60"/>
              <w:jc w:val="center"/>
              <w:rPr>
                <w:b/>
              </w:rPr>
            </w:pPr>
            <w:r w:rsidRPr="006E709F">
              <w:rPr>
                <w:b/>
              </w:rPr>
              <w:t>$650 to $850</w:t>
            </w:r>
            <w:r w:rsidRPr="000C4237">
              <w:rPr>
                <w:b/>
                <w:position w:val="6"/>
                <w:sz w:val="16"/>
              </w:rPr>
              <w:t>*</w:t>
            </w:r>
          </w:p>
          <w:p w14:paraId="62E9095D" w14:textId="77777777" w:rsidR="00E93F58" w:rsidRPr="006E709F" w:rsidRDefault="00E93F58" w:rsidP="00D75DE0">
            <w:pPr>
              <w:pStyle w:val="Tabletext"/>
              <w:spacing w:after="60"/>
              <w:jc w:val="center"/>
              <w:rPr>
                <w:b/>
              </w:rPr>
            </w:pPr>
            <w:r w:rsidRPr="006E709F">
              <w:rPr>
                <w:b/>
              </w:rPr>
              <w:t>What it costs you will depend on the investment option you choose and the fees you negotiate.</w:t>
            </w:r>
          </w:p>
        </w:tc>
      </w:tr>
    </w:tbl>
    <w:p w14:paraId="5B750939" w14:textId="77777777" w:rsidR="00E93F58" w:rsidRPr="006E709F" w:rsidRDefault="00E93F58" w:rsidP="00D75DE0">
      <w:pPr>
        <w:pStyle w:val="notemargin"/>
        <w:rPr>
          <w:sz w:val="16"/>
          <w:szCs w:val="16"/>
        </w:rPr>
      </w:pPr>
      <w:r w:rsidRPr="000C4237">
        <w:rPr>
          <w:b/>
          <w:position w:val="6"/>
          <w:sz w:val="16"/>
          <w:szCs w:val="16"/>
        </w:rPr>
        <w:t>*</w:t>
      </w:r>
      <w:r w:rsidRPr="006E709F">
        <w:rPr>
          <w:b/>
          <w:sz w:val="16"/>
          <w:szCs w:val="16"/>
        </w:rPr>
        <w:t xml:space="preserve"> </w:t>
      </w:r>
      <w:r w:rsidRPr="006E709F">
        <w:rPr>
          <w:sz w:val="16"/>
          <w:szCs w:val="16"/>
        </w:rPr>
        <w:t>Additional fees may apply:</w:t>
      </w:r>
    </w:p>
    <w:p w14:paraId="33EFBFBA" w14:textId="77777777" w:rsidR="00E93F58" w:rsidRPr="006E709F" w:rsidRDefault="00E93F58" w:rsidP="00D75DE0">
      <w:pPr>
        <w:pStyle w:val="notemargin"/>
        <w:rPr>
          <w:sz w:val="16"/>
          <w:szCs w:val="16"/>
        </w:rPr>
      </w:pPr>
      <w:r w:rsidRPr="006E709F">
        <w:rPr>
          <w:b/>
          <w:sz w:val="16"/>
          <w:szCs w:val="16"/>
        </w:rPr>
        <w:t>Establishment fee</w:t>
      </w:r>
      <w:r w:rsidRPr="006E709F">
        <w:rPr>
          <w:sz w:val="16"/>
          <w:szCs w:val="16"/>
        </w:rPr>
        <w:t>—$50</w:t>
      </w:r>
    </w:p>
    <w:p w14:paraId="0F9B0B41" w14:textId="77777777" w:rsidR="00E93F58" w:rsidRPr="006E709F" w:rsidRDefault="00E93F58" w:rsidP="00D75DE0">
      <w:pPr>
        <w:pStyle w:val="notemargin"/>
        <w:tabs>
          <w:tab w:val="clear" w:pos="709"/>
          <w:tab w:val="left" w:pos="567"/>
        </w:tabs>
        <w:ind w:left="0" w:firstLine="0"/>
        <w:rPr>
          <w:sz w:val="16"/>
          <w:szCs w:val="16"/>
        </w:rPr>
      </w:pPr>
      <w:r w:rsidRPr="006E709F">
        <w:rPr>
          <w:b/>
          <w:sz w:val="16"/>
          <w:szCs w:val="16"/>
        </w:rPr>
        <w:t>And</w:t>
      </w:r>
      <w:r w:rsidRPr="006E709F">
        <w:rPr>
          <w:sz w:val="16"/>
          <w:szCs w:val="16"/>
        </w:rPr>
        <w:t xml:space="preserve">, if you leave the </w:t>
      </w:r>
      <w:r w:rsidRPr="006E709F">
        <w:rPr>
          <w:i/>
        </w:rPr>
        <w:t>[managed investment scheme / retail CCIV]</w:t>
      </w:r>
      <w:r w:rsidRPr="006E709F">
        <w:rPr>
          <w:sz w:val="16"/>
          <w:szCs w:val="16"/>
        </w:rPr>
        <w:t xml:space="preserve"> early, you may also be charged </w:t>
      </w:r>
      <w:r w:rsidRPr="006E709F">
        <w:rPr>
          <w:b/>
          <w:sz w:val="16"/>
          <w:szCs w:val="16"/>
        </w:rPr>
        <w:t>exit fees</w:t>
      </w:r>
      <w:r w:rsidRPr="006E709F">
        <w:rPr>
          <w:sz w:val="16"/>
          <w:szCs w:val="16"/>
        </w:rPr>
        <w:t xml:space="preserve"> of between 0 and 5% of your total account balance (between $0 and $2 500 for every $50 000 you withdraw)</w:t>
      </w:r>
    </w:p>
    <w:p w14:paraId="4A0B776F" w14:textId="77777777" w:rsidR="00E93F58" w:rsidRPr="006E709F" w:rsidRDefault="00E93F58" w:rsidP="00D5406C">
      <w:pPr>
        <w:pStyle w:val="ActHead5"/>
      </w:pPr>
      <w:bookmarkStart w:id="3430" w:name="_Toc151992463"/>
      <w:bookmarkStart w:id="3431" w:name="_Toc158713500"/>
      <w:r w:rsidRPr="000C4237">
        <w:rPr>
          <w:rStyle w:val="CharSectno"/>
        </w:rPr>
        <w:t>213</w:t>
      </w:r>
      <w:r w:rsidRPr="006E709F">
        <w:t xml:space="preserve">  Defined benefit funds</w:t>
      </w:r>
      <w:bookmarkEnd w:id="3430"/>
      <w:bookmarkEnd w:id="3431"/>
    </w:p>
    <w:p w14:paraId="34F1A75B" w14:textId="77777777" w:rsidR="00E93F58" w:rsidRPr="006E709F" w:rsidRDefault="00E93F58" w:rsidP="00A801D0">
      <w:pPr>
        <w:pStyle w:val="subsection"/>
      </w:pPr>
      <w:r w:rsidRPr="006E709F">
        <w:tab/>
      </w:r>
      <w:r w:rsidRPr="006E709F">
        <w:tab/>
        <w:t>An example of fees and costs is not required in a Product Disclosure Statement for a defined benefit fund.</w:t>
      </w:r>
    </w:p>
    <w:p w14:paraId="35AE1338" w14:textId="77777777" w:rsidR="00E93F58" w:rsidRPr="006E709F" w:rsidRDefault="00E93F58" w:rsidP="00A801D0">
      <w:pPr>
        <w:pStyle w:val="notetext"/>
      </w:pPr>
      <w:r w:rsidRPr="006E709F">
        <w:lastRenderedPageBreak/>
        <w:t>Note:</w:t>
      </w:r>
      <w:r w:rsidRPr="006E709F">
        <w:tab/>
      </w:r>
      <w:r w:rsidRPr="006E709F">
        <w:rPr>
          <w:b/>
          <w:i/>
        </w:rPr>
        <w:t>Defined benefit fund</w:t>
      </w:r>
      <w:r w:rsidRPr="006E709F">
        <w:t xml:space="preserve"> is defined in subregulation 1.03(1) of the SIS Regulations.</w:t>
      </w:r>
    </w:p>
    <w:p w14:paraId="722417EB" w14:textId="77777777" w:rsidR="00E93F58" w:rsidRPr="006E709F" w:rsidRDefault="00E93F58" w:rsidP="00A801D0">
      <w:pPr>
        <w:pStyle w:val="ActHead3"/>
        <w:pageBreakBefore/>
      </w:pPr>
      <w:bookmarkStart w:id="3432" w:name="_Toc151992464"/>
      <w:bookmarkStart w:id="3433" w:name="_Toc158713501"/>
      <w:r w:rsidRPr="000C4237">
        <w:rPr>
          <w:rStyle w:val="CharDivNo"/>
        </w:rPr>
        <w:lastRenderedPageBreak/>
        <w:t>Division 6</w:t>
      </w:r>
      <w:r w:rsidRPr="006E709F">
        <w:t>—</w:t>
      </w:r>
      <w:r w:rsidRPr="000C4237">
        <w:rPr>
          <w:rStyle w:val="CharDivText"/>
        </w:rPr>
        <w:t>How to fill in the example of annual fees and costs</w:t>
      </w:r>
      <w:bookmarkEnd w:id="3432"/>
      <w:bookmarkEnd w:id="3433"/>
    </w:p>
    <w:p w14:paraId="6DB684A2" w14:textId="77777777" w:rsidR="00E93F58" w:rsidRPr="006E709F" w:rsidRDefault="00E93F58" w:rsidP="00B2417E">
      <w:pPr>
        <w:pStyle w:val="ActHead5"/>
      </w:pPr>
      <w:bookmarkStart w:id="3434" w:name="_Toc151992465"/>
      <w:bookmarkStart w:id="3435" w:name="_Toc158713502"/>
      <w:r w:rsidRPr="000C4237">
        <w:rPr>
          <w:rStyle w:val="CharSectno"/>
        </w:rPr>
        <w:t>214</w:t>
      </w:r>
      <w:r w:rsidRPr="006E709F">
        <w:t xml:space="preserve">  Fees and costs must be ongoing amounts</w:t>
      </w:r>
      <w:bookmarkEnd w:id="3434"/>
      <w:bookmarkEnd w:id="3435"/>
    </w:p>
    <w:p w14:paraId="0E0B3B35" w14:textId="77777777" w:rsidR="00E93F58" w:rsidRPr="006E709F" w:rsidRDefault="00E93F58" w:rsidP="00B2417E">
      <w:pPr>
        <w:pStyle w:val="subsection"/>
      </w:pPr>
      <w:r w:rsidRPr="006E709F">
        <w:tab/>
      </w:r>
      <w:r w:rsidRPr="006E709F">
        <w:tab/>
        <w:t>The fees and costs stated in the example must be typical ongoing fees that apply to the MySuper product or investment option.</w:t>
      </w:r>
    </w:p>
    <w:p w14:paraId="5FEB1993" w14:textId="77777777" w:rsidR="00E93F58" w:rsidRPr="006E709F" w:rsidRDefault="00E93F58" w:rsidP="00B2417E">
      <w:pPr>
        <w:pStyle w:val="notetext"/>
      </w:pPr>
      <w:r w:rsidRPr="006E709F">
        <w:t>Note:</w:t>
      </w:r>
      <w:r w:rsidRPr="006E709F">
        <w:tab/>
        <w:t>The example should not be based on “honeymoon rates”. It must be consistent with the statement for an existing member or product holder having the stated balance and level of contributions each year.</w:t>
      </w:r>
    </w:p>
    <w:p w14:paraId="5940F484" w14:textId="77777777" w:rsidR="00E93F58" w:rsidRPr="006E709F" w:rsidRDefault="00E93F58" w:rsidP="00B2417E">
      <w:pPr>
        <w:pStyle w:val="ActHead5"/>
      </w:pPr>
      <w:bookmarkStart w:id="3436" w:name="_Toc151992466"/>
      <w:bookmarkStart w:id="3437" w:name="_Toc158713503"/>
      <w:r w:rsidRPr="000C4237">
        <w:rPr>
          <w:rStyle w:val="CharSectno"/>
        </w:rPr>
        <w:t>214A</w:t>
      </w:r>
      <w:r w:rsidRPr="006E709F">
        <w:t xml:space="preserve">  Example of annual fees and costs for a MySuper product—lifecycle MySuper product</w:t>
      </w:r>
      <w:bookmarkEnd w:id="3436"/>
      <w:bookmarkEnd w:id="3437"/>
    </w:p>
    <w:p w14:paraId="2BF15D2C" w14:textId="77777777" w:rsidR="00E93F58" w:rsidRPr="006E709F" w:rsidRDefault="00E93F58" w:rsidP="00850128">
      <w:pPr>
        <w:pStyle w:val="subsection"/>
      </w:pPr>
      <w:r w:rsidRPr="006E709F">
        <w:tab/>
      </w:r>
      <w:r w:rsidRPr="006E709F">
        <w:tab/>
        <w:t>If the example of fees and costs for a MySuper product uses a lifecycle MySuper product, the investment fee quoted in the example must be the highest investment fee for a lifecycle stage of the lifecycle MySuper product.</w:t>
      </w:r>
    </w:p>
    <w:p w14:paraId="65902611" w14:textId="77777777" w:rsidR="00E93F58" w:rsidRPr="006E709F" w:rsidRDefault="00E93F58" w:rsidP="00D5406C">
      <w:pPr>
        <w:pStyle w:val="ActHead5"/>
      </w:pPr>
      <w:bookmarkStart w:id="3438" w:name="_Toc151992467"/>
      <w:bookmarkStart w:id="3439" w:name="_Toc158713504"/>
      <w:r w:rsidRPr="000C4237">
        <w:rPr>
          <w:rStyle w:val="CharSectno"/>
        </w:rPr>
        <w:t>215</w:t>
      </w:r>
      <w:r w:rsidRPr="006E709F">
        <w:t xml:space="preserve">  Minimum entry balance rule</w:t>
      </w:r>
      <w:bookmarkEnd w:id="3438"/>
      <w:bookmarkEnd w:id="3439"/>
    </w:p>
    <w:p w14:paraId="66114625" w14:textId="77777777" w:rsidR="00E93F58" w:rsidRPr="006E709F" w:rsidRDefault="00E93F58" w:rsidP="00A801D0">
      <w:pPr>
        <w:pStyle w:val="subsection"/>
      </w:pPr>
      <w:r w:rsidRPr="006E709F">
        <w:tab/>
      </w:r>
      <w:r w:rsidRPr="006E709F">
        <w:tab/>
        <w:t>If the minimum balance required to enter a superannuation entity, a managed investment scheme or a retail CCIV is greater than $50 000, the example of annual fees and costs must be based on an amount that is the lowest multiple of $50 000 that exceeds the minimum entry balance.</w:t>
      </w:r>
    </w:p>
    <w:p w14:paraId="3FBCEFD4" w14:textId="77777777" w:rsidR="00E93F58" w:rsidRPr="006E709F" w:rsidRDefault="00E93F58" w:rsidP="00247078">
      <w:pPr>
        <w:pStyle w:val="notetext"/>
      </w:pPr>
      <w:r w:rsidRPr="006E709F">
        <w:t>Example:</w:t>
      </w:r>
      <w:r w:rsidRPr="006E709F">
        <w:tab/>
        <w:t>If a superannuation entity, a managed investment scheme or a retail CCIV has a minimum entry balance of $65 000, the relevant amount for the example of annual fees and costs is $100 000.</w:t>
      </w:r>
    </w:p>
    <w:p w14:paraId="4E49718E" w14:textId="77777777" w:rsidR="00E93F58" w:rsidRPr="006E709F" w:rsidRDefault="00E93F58" w:rsidP="00B2417E">
      <w:pPr>
        <w:pStyle w:val="ActHead5"/>
      </w:pPr>
      <w:bookmarkStart w:id="3440" w:name="_Toc151992468"/>
      <w:bookmarkStart w:id="3441" w:name="_Toc158713505"/>
      <w:r w:rsidRPr="000C4237">
        <w:rPr>
          <w:rStyle w:val="CharSectno"/>
        </w:rPr>
        <w:t>216</w:t>
      </w:r>
      <w:r w:rsidRPr="006E709F">
        <w:t xml:space="preserve">  Exit fees</w:t>
      </w:r>
      <w:bookmarkEnd w:id="3440"/>
      <w:bookmarkEnd w:id="3441"/>
    </w:p>
    <w:p w14:paraId="729630BF" w14:textId="77777777" w:rsidR="00E93F58" w:rsidRPr="006E709F" w:rsidRDefault="00E93F58" w:rsidP="00F44200">
      <w:pPr>
        <w:pStyle w:val="subsection"/>
      </w:pPr>
      <w:r w:rsidRPr="006E709F">
        <w:tab/>
      </w:r>
      <w:r w:rsidRPr="006E709F">
        <w:tab/>
        <w:t>If an exit fee may be charged in relation to a collective investment product, the fee must be described in footnote to the table, based on:</w:t>
      </w:r>
    </w:p>
    <w:p w14:paraId="06D8F944" w14:textId="77777777" w:rsidR="00E93F58" w:rsidRPr="006E709F" w:rsidRDefault="00E93F58" w:rsidP="00B2417E">
      <w:pPr>
        <w:pStyle w:val="paragraph"/>
      </w:pPr>
      <w:r w:rsidRPr="006E709F">
        <w:tab/>
        <w:t>(a)</w:t>
      </w:r>
      <w:r w:rsidRPr="006E709F">
        <w:tab/>
        <w:t>a balance of $50 000; or</w:t>
      </w:r>
    </w:p>
    <w:p w14:paraId="4CDF4C24" w14:textId="77777777" w:rsidR="00E93F58" w:rsidRPr="006E709F" w:rsidRDefault="00E93F58" w:rsidP="00B2417E">
      <w:pPr>
        <w:pStyle w:val="paragraph"/>
      </w:pPr>
      <w:r w:rsidRPr="006E709F">
        <w:tab/>
        <w:t>(b)</w:t>
      </w:r>
      <w:r w:rsidRPr="006E709F">
        <w:tab/>
        <w:t>if clause 215 applies—an amount that is a multiple of $50 000.</w:t>
      </w:r>
    </w:p>
    <w:p w14:paraId="2D78E1E3" w14:textId="77777777" w:rsidR="00E93F58" w:rsidRPr="006E709F" w:rsidRDefault="00E93F58" w:rsidP="00D5406C">
      <w:pPr>
        <w:pStyle w:val="ActHead5"/>
      </w:pPr>
      <w:bookmarkStart w:id="3442" w:name="_Toc151992469"/>
      <w:bookmarkStart w:id="3443" w:name="_Toc158713506"/>
      <w:r w:rsidRPr="000C4237">
        <w:rPr>
          <w:rStyle w:val="CharSectno"/>
        </w:rPr>
        <w:t>217</w:t>
      </w:r>
      <w:r w:rsidRPr="006E709F">
        <w:t xml:space="preserve">  Contribution fees</w:t>
      </w:r>
      <w:bookmarkEnd w:id="3442"/>
      <w:bookmarkEnd w:id="3443"/>
    </w:p>
    <w:p w14:paraId="117E8F05" w14:textId="77777777" w:rsidR="00E93F58" w:rsidRPr="006E709F" w:rsidRDefault="00E93F58" w:rsidP="00A801D0">
      <w:pPr>
        <w:pStyle w:val="subsection"/>
      </w:pPr>
      <w:r w:rsidRPr="006E709F">
        <w:tab/>
        <w:t>(1)</w:t>
      </w:r>
      <w:r w:rsidRPr="006E709F">
        <w:tab/>
        <w:t>The amounts of contribution fees to be inserted in the example of annual fees and costs for a collective investment product, are applied against a $5 000 investment.</w:t>
      </w:r>
    </w:p>
    <w:p w14:paraId="3F416638" w14:textId="77777777" w:rsidR="00E93F58" w:rsidRPr="006E709F" w:rsidRDefault="00E93F58" w:rsidP="00A801D0">
      <w:pPr>
        <w:pStyle w:val="subsection"/>
      </w:pPr>
      <w:r w:rsidRPr="006E709F">
        <w:tab/>
        <w:t>(2)</w:t>
      </w:r>
      <w:r w:rsidRPr="006E709F">
        <w:tab/>
        <w:t>If a Product Disclosure Statement relates to a product:</w:t>
      </w:r>
    </w:p>
    <w:p w14:paraId="4AFB3D0C" w14:textId="77777777" w:rsidR="00E93F58" w:rsidRPr="006E709F" w:rsidRDefault="00E93F58" w:rsidP="00A801D0">
      <w:pPr>
        <w:pStyle w:val="paragraph"/>
      </w:pPr>
      <w:r w:rsidRPr="006E709F">
        <w:tab/>
        <w:t>(a)</w:t>
      </w:r>
      <w:r w:rsidRPr="006E709F">
        <w:tab/>
        <w:t>that is paid for by a single lump sum amount; and</w:t>
      </w:r>
    </w:p>
    <w:p w14:paraId="2361D2DF" w14:textId="77777777" w:rsidR="00E93F58" w:rsidRPr="006E709F" w:rsidRDefault="00E93F58" w:rsidP="00A801D0">
      <w:pPr>
        <w:pStyle w:val="paragraph"/>
      </w:pPr>
      <w:r w:rsidRPr="006E709F">
        <w:tab/>
        <w:t>(b)</w:t>
      </w:r>
      <w:r w:rsidRPr="006E709F">
        <w:tab/>
        <w:t>for which no additional contributions can be made;</w:t>
      </w:r>
    </w:p>
    <w:p w14:paraId="7AE382DC" w14:textId="77777777" w:rsidR="00E93F58" w:rsidRPr="006E709F" w:rsidRDefault="00E93F58" w:rsidP="00A801D0">
      <w:pPr>
        <w:pStyle w:val="subsection2"/>
      </w:pPr>
      <w:r w:rsidRPr="006E709F">
        <w:t>the example of annual fees and costs should be modified by removing references to contributions or contribution fees.</w:t>
      </w:r>
    </w:p>
    <w:p w14:paraId="05202790" w14:textId="77777777" w:rsidR="00E93F58" w:rsidRPr="006E709F" w:rsidRDefault="00E93F58" w:rsidP="00A801D0">
      <w:pPr>
        <w:pStyle w:val="subsection"/>
      </w:pPr>
      <w:r w:rsidRPr="006E709F">
        <w:tab/>
        <w:t>(3)</w:t>
      </w:r>
      <w:r w:rsidRPr="006E709F">
        <w:tab/>
        <w:t>The example must be based on a balance:</w:t>
      </w:r>
    </w:p>
    <w:p w14:paraId="3D9A79AF" w14:textId="77777777" w:rsidR="00E93F58" w:rsidRPr="006E709F" w:rsidRDefault="00E93F58" w:rsidP="00A801D0">
      <w:pPr>
        <w:pStyle w:val="paragraph"/>
      </w:pPr>
      <w:r w:rsidRPr="006E709F">
        <w:tab/>
        <w:t>(a)</w:t>
      </w:r>
      <w:r w:rsidRPr="006E709F">
        <w:tab/>
        <w:t>of $50 000; or</w:t>
      </w:r>
    </w:p>
    <w:p w14:paraId="6A3AF528" w14:textId="77777777" w:rsidR="00E93F58" w:rsidRPr="006E709F" w:rsidRDefault="00E93F58" w:rsidP="00A801D0">
      <w:pPr>
        <w:pStyle w:val="paragraph"/>
      </w:pPr>
      <w:r w:rsidRPr="006E709F">
        <w:tab/>
        <w:t>(b)</w:t>
      </w:r>
      <w:r w:rsidRPr="006E709F">
        <w:tab/>
        <w:t>worked out in accordance with clause 215.</w:t>
      </w:r>
    </w:p>
    <w:p w14:paraId="72DBDD6A" w14:textId="77777777" w:rsidR="00E93F58" w:rsidRPr="006E709F" w:rsidRDefault="00E93F58" w:rsidP="00A801D0">
      <w:pPr>
        <w:pStyle w:val="notetext"/>
      </w:pPr>
      <w:r w:rsidRPr="006E709F">
        <w:t>Note:</w:t>
      </w:r>
      <w:r w:rsidRPr="006E709F">
        <w:tab/>
        <w:t>If there is a fee paid for the initial contribution, it should be described as the establishment fee.</w:t>
      </w:r>
    </w:p>
    <w:p w14:paraId="77CA1C32" w14:textId="77777777" w:rsidR="00E93F58" w:rsidRPr="006E709F" w:rsidRDefault="00E93F58" w:rsidP="00B2417E">
      <w:pPr>
        <w:pStyle w:val="ActHead5"/>
      </w:pPr>
      <w:bookmarkStart w:id="3444" w:name="_Toc151992470"/>
      <w:bookmarkStart w:id="3445" w:name="_Toc158713507"/>
      <w:r w:rsidRPr="000C4237">
        <w:rPr>
          <w:rStyle w:val="CharSectno"/>
        </w:rPr>
        <w:t>218</w:t>
      </w:r>
      <w:r w:rsidRPr="006E709F">
        <w:t xml:space="preserve">  Administration fees and investment fees for a superannuation product</w:t>
      </w:r>
      <w:bookmarkEnd w:id="3444"/>
      <w:bookmarkEnd w:id="3445"/>
    </w:p>
    <w:p w14:paraId="1FA8B190" w14:textId="77777777" w:rsidR="00E93F58" w:rsidRPr="006E709F" w:rsidRDefault="00E93F58" w:rsidP="00B2417E">
      <w:pPr>
        <w:pStyle w:val="SubsectionHead"/>
      </w:pPr>
      <w:r w:rsidRPr="006E709F">
        <w:t>Administration fees</w:t>
      </w:r>
    </w:p>
    <w:p w14:paraId="25B09D7B" w14:textId="77777777" w:rsidR="00E93F58" w:rsidRPr="006E709F" w:rsidRDefault="00E93F58" w:rsidP="00B2417E">
      <w:pPr>
        <w:pStyle w:val="subsection"/>
      </w:pPr>
      <w:r w:rsidRPr="006E709F">
        <w:tab/>
        <w:t>(1)</w:t>
      </w:r>
      <w:r w:rsidRPr="006E709F">
        <w:tab/>
        <w:t>The example of administration fees for a MySuper product or an investment option offered by a superannuation entity is applied to an amount of $50 000 or an amount that is a multiple of $50 000 if clause 215 applies.</w:t>
      </w:r>
    </w:p>
    <w:p w14:paraId="03964C0F" w14:textId="77777777" w:rsidR="00E93F58" w:rsidRPr="006E709F" w:rsidRDefault="00E93F58" w:rsidP="00B2417E">
      <w:pPr>
        <w:pStyle w:val="notetext"/>
      </w:pPr>
      <w:r w:rsidRPr="006E709F">
        <w:rPr>
          <w:iCs/>
        </w:rPr>
        <w:t>Note:</w:t>
      </w:r>
      <w:r w:rsidRPr="006E709F">
        <w:rPr>
          <w:iCs/>
        </w:rPr>
        <w:tab/>
      </w:r>
      <w:r w:rsidRPr="006E709F">
        <w:t>In calculating the amount, do not include contributions that may be made during the year.</w:t>
      </w:r>
    </w:p>
    <w:p w14:paraId="37F07CCB" w14:textId="77777777" w:rsidR="00E93F58" w:rsidRPr="006E709F" w:rsidRDefault="00E93F58" w:rsidP="00B2417E">
      <w:pPr>
        <w:pStyle w:val="subsection"/>
      </w:pPr>
      <w:r w:rsidRPr="006E709F">
        <w:tab/>
        <w:t>(2)</w:t>
      </w:r>
      <w:r w:rsidRPr="006E709F">
        <w:tab/>
        <w:t>If there is a range in the amount of administration fees that may be charged for a MySuper product or an investment option offered by a superannuation entity, the example must use the highest administration fees in the range.</w:t>
      </w:r>
    </w:p>
    <w:p w14:paraId="1FF04B12" w14:textId="77777777" w:rsidR="00E93F58" w:rsidRPr="006E709F" w:rsidRDefault="00E93F58" w:rsidP="00B2417E">
      <w:pPr>
        <w:pStyle w:val="SubsectionHead"/>
      </w:pPr>
      <w:r w:rsidRPr="006E709F">
        <w:lastRenderedPageBreak/>
        <w:t>Investment fees</w:t>
      </w:r>
    </w:p>
    <w:p w14:paraId="607CA46A" w14:textId="77777777" w:rsidR="00E93F58" w:rsidRPr="006E709F" w:rsidRDefault="00E93F58" w:rsidP="00B2417E">
      <w:pPr>
        <w:pStyle w:val="subsection"/>
      </w:pPr>
      <w:r w:rsidRPr="006E709F">
        <w:tab/>
        <w:t>(3)</w:t>
      </w:r>
      <w:r w:rsidRPr="006E709F">
        <w:tab/>
        <w:t>The example of investment fees for a MySuper product or an investment option offered by a superannuation entity is applied to an amount of $50 000 or an amount that is a multiple of $50 000 if clause 215 applies.</w:t>
      </w:r>
    </w:p>
    <w:p w14:paraId="28BC5D29" w14:textId="77777777" w:rsidR="00E93F58" w:rsidRPr="006E709F" w:rsidRDefault="00E93F58" w:rsidP="00B2417E">
      <w:pPr>
        <w:pStyle w:val="notetext"/>
      </w:pPr>
      <w:r w:rsidRPr="006E709F">
        <w:rPr>
          <w:iCs/>
        </w:rPr>
        <w:t>Note:</w:t>
      </w:r>
      <w:r w:rsidRPr="006E709F">
        <w:rPr>
          <w:iCs/>
        </w:rPr>
        <w:tab/>
      </w:r>
      <w:r w:rsidRPr="006E709F">
        <w:t>In calculating the amount, do not include contributions that may be made during the year.</w:t>
      </w:r>
    </w:p>
    <w:p w14:paraId="5D4EC1E3" w14:textId="77777777" w:rsidR="00E93F58" w:rsidRPr="006E709F" w:rsidRDefault="00E93F58" w:rsidP="00B2417E">
      <w:pPr>
        <w:pStyle w:val="subsection"/>
      </w:pPr>
      <w:r w:rsidRPr="006E709F">
        <w:tab/>
        <w:t>(4)</w:t>
      </w:r>
      <w:r w:rsidRPr="006E709F">
        <w:tab/>
        <w:t>If there is a range in the amount of investment fees that may be charged for a MySuper product or an investment option offered by a superannuation entity, the example must use the highest investment fees in the range.</w:t>
      </w:r>
    </w:p>
    <w:p w14:paraId="3171130F" w14:textId="77777777" w:rsidR="00E93F58" w:rsidRPr="006E709F" w:rsidRDefault="00E93F58" w:rsidP="00B2417E">
      <w:pPr>
        <w:pStyle w:val="SubsectionHead"/>
      </w:pPr>
      <w:r w:rsidRPr="006E709F">
        <w:t>Indirect costs for a MySuper product or investment option</w:t>
      </w:r>
    </w:p>
    <w:p w14:paraId="59F4E803" w14:textId="77777777" w:rsidR="00E93F58" w:rsidRPr="006E709F" w:rsidRDefault="00E93F58" w:rsidP="00B2417E">
      <w:pPr>
        <w:pStyle w:val="subsection"/>
      </w:pPr>
      <w:r w:rsidRPr="006E709F">
        <w:tab/>
        <w:t>(5)</w:t>
      </w:r>
      <w:r w:rsidRPr="006E709F">
        <w:tab/>
        <w:t>The example of indirect costs for a MySuper product or an investment option offered by a superannuation entity must be worked out by applying the indirect cost ratio for the MySuper product or the investment option to an amount of $50,000 or an amount that is a multiple of $50,000 if clause 215 applies.</w:t>
      </w:r>
    </w:p>
    <w:p w14:paraId="23759275" w14:textId="77777777" w:rsidR="00E93F58" w:rsidRPr="006E709F" w:rsidRDefault="00E93F58" w:rsidP="00B2417E">
      <w:pPr>
        <w:pStyle w:val="ActHead5"/>
      </w:pPr>
      <w:bookmarkStart w:id="3446" w:name="_Toc151992471"/>
      <w:bookmarkStart w:id="3447" w:name="_Toc158713508"/>
      <w:r w:rsidRPr="000C4237">
        <w:rPr>
          <w:rStyle w:val="CharSectno"/>
        </w:rPr>
        <w:t>218A</w:t>
      </w:r>
      <w:r w:rsidRPr="006E709F">
        <w:t xml:space="preserve">  Management costs for a collective investment product</w:t>
      </w:r>
      <w:bookmarkEnd w:id="3446"/>
      <w:bookmarkEnd w:id="3447"/>
    </w:p>
    <w:p w14:paraId="70806466" w14:textId="77777777" w:rsidR="00E93F58" w:rsidRPr="006E709F" w:rsidRDefault="00E93F58" w:rsidP="00B2417E">
      <w:pPr>
        <w:pStyle w:val="subsection"/>
      </w:pPr>
      <w:r w:rsidRPr="006E709F">
        <w:tab/>
        <w:t>(1)</w:t>
      </w:r>
      <w:r w:rsidRPr="006E709F">
        <w:tab/>
        <w:t>The example of management costs for an investment option offered by a managed investment scheme or a retail CCIV is applied to an amount of $50 000 or an amount that is a multiple of $50 000 if clause 215 applies.</w:t>
      </w:r>
    </w:p>
    <w:p w14:paraId="08988B5A" w14:textId="77777777" w:rsidR="00E93F58" w:rsidRPr="006E709F" w:rsidRDefault="00E93F58" w:rsidP="00B2417E">
      <w:pPr>
        <w:pStyle w:val="notetext"/>
      </w:pPr>
      <w:r w:rsidRPr="006E709F">
        <w:t>Note:</w:t>
      </w:r>
      <w:r w:rsidRPr="006E709F">
        <w:tab/>
        <w:t>In calculating the amount, do not include contributions that may be made during the year.</w:t>
      </w:r>
    </w:p>
    <w:p w14:paraId="5F26BD8E" w14:textId="77777777" w:rsidR="00E93F58" w:rsidRPr="006E709F" w:rsidRDefault="00E93F58" w:rsidP="00B2417E">
      <w:pPr>
        <w:pStyle w:val="subsection"/>
      </w:pPr>
      <w:r w:rsidRPr="006E709F">
        <w:tab/>
        <w:t>(2)</w:t>
      </w:r>
      <w:r w:rsidRPr="006E709F">
        <w:tab/>
        <w:t>If there is a range in the amount of management costs that may be charged for an investment option offered by a managed investment scheme or a retail CCIV, the example must use the highest management costs in the range.</w:t>
      </w:r>
    </w:p>
    <w:p w14:paraId="6C42E3D3" w14:textId="77777777" w:rsidR="00E93F58" w:rsidRPr="006E709F" w:rsidRDefault="00E93F58" w:rsidP="00B2417E">
      <w:pPr>
        <w:pStyle w:val="subsection"/>
      </w:pPr>
      <w:r w:rsidRPr="006E709F">
        <w:tab/>
        <w:t>(3)</w:t>
      </w:r>
      <w:r w:rsidRPr="006E709F">
        <w:tab/>
        <w:t>Management costs that are not deducted directly from a product holder’s account must be calculated using the indirect cost ratio for the relevant investment option offered by the managed investment scheme or the retail CCIV.</w:t>
      </w:r>
    </w:p>
    <w:p w14:paraId="5D2AFD6D" w14:textId="77777777" w:rsidR="00E93F58" w:rsidRPr="006E709F" w:rsidRDefault="00E93F58" w:rsidP="00B2417E">
      <w:pPr>
        <w:pStyle w:val="subsection"/>
      </w:pPr>
      <w:r w:rsidRPr="006E709F">
        <w:tab/>
        <w:t>(4)</w:t>
      </w:r>
      <w:r w:rsidRPr="006E709F">
        <w:tab/>
        <w:t>Any percentage based management costs that are deducted directly from a product holder’s account should be added to the percentage amount calculated under subclause (3).</w:t>
      </w:r>
    </w:p>
    <w:p w14:paraId="55492E77" w14:textId="77777777" w:rsidR="00E93F58" w:rsidRPr="006E709F" w:rsidRDefault="00E93F58" w:rsidP="00B2417E">
      <w:pPr>
        <w:pStyle w:val="subsection"/>
      </w:pPr>
      <w:r w:rsidRPr="006E709F">
        <w:tab/>
        <w:t>(5)</w:t>
      </w:r>
      <w:r w:rsidRPr="006E709F">
        <w:tab/>
        <w:t>Any dollar based management costs that are deducted directly from a product holder’s account must be shown separately in the management costs cell.</w:t>
      </w:r>
    </w:p>
    <w:p w14:paraId="73886C56" w14:textId="77777777" w:rsidR="00E93F58" w:rsidRPr="006E709F" w:rsidRDefault="00E93F58" w:rsidP="00B2417E">
      <w:pPr>
        <w:pStyle w:val="notetext"/>
      </w:pPr>
      <w:r w:rsidRPr="006E709F">
        <w:t>Example 1:</w:t>
      </w:r>
      <w:r w:rsidRPr="006E709F">
        <w:tab/>
        <w:t>Management costs: 2 % deducted directly from your account + 1.6% deducted indirectly.</w:t>
      </w:r>
    </w:p>
    <w:p w14:paraId="53B108AA" w14:textId="77777777" w:rsidR="00E93F58" w:rsidRPr="006E709F" w:rsidRDefault="00E93F58" w:rsidP="00B2417E">
      <w:pPr>
        <w:pStyle w:val="notetext"/>
      </w:pPr>
      <w:r w:rsidRPr="006E709F">
        <w:t>Example 2:</w:t>
      </w:r>
      <w:r w:rsidRPr="006E709F">
        <w:tab/>
        <w:t>Management costs: $52 per year ($1 per week) deducted directly from your account + 1.6% deducted indirectly.</w:t>
      </w:r>
    </w:p>
    <w:p w14:paraId="49A6517A" w14:textId="77777777" w:rsidR="00E93F58" w:rsidRPr="006E709F" w:rsidRDefault="00E93F58" w:rsidP="00B2417E">
      <w:pPr>
        <w:pStyle w:val="notetext"/>
      </w:pPr>
      <w:r w:rsidRPr="006E709F">
        <w:t>Example 3:</w:t>
      </w:r>
      <w:r w:rsidRPr="006E709F">
        <w:tab/>
        <w:t>Management costs: $52 per year ($1 per week) + 1% deducted directly from your account + 1.6% deducted indirectly.</w:t>
      </w:r>
    </w:p>
    <w:p w14:paraId="0C90887F" w14:textId="77777777" w:rsidR="00E93F58" w:rsidRPr="006E709F" w:rsidRDefault="00E93F58" w:rsidP="00B2417E">
      <w:pPr>
        <w:pStyle w:val="ActHead5"/>
      </w:pPr>
      <w:bookmarkStart w:id="3448" w:name="_Toc151992472"/>
      <w:bookmarkStart w:id="3449" w:name="_Toc158713509"/>
      <w:r w:rsidRPr="000C4237">
        <w:rPr>
          <w:rStyle w:val="CharSectno"/>
        </w:rPr>
        <w:t>219</w:t>
      </w:r>
      <w:r w:rsidRPr="006E709F">
        <w:t xml:space="preserve">  Withdrawal fees and exit fees</w:t>
      </w:r>
      <w:bookmarkEnd w:id="3448"/>
      <w:bookmarkEnd w:id="3449"/>
    </w:p>
    <w:p w14:paraId="1FD11514" w14:textId="77777777" w:rsidR="00E93F58" w:rsidRPr="006E709F" w:rsidRDefault="00E93F58" w:rsidP="00A801D0">
      <w:pPr>
        <w:pStyle w:val="subsection"/>
      </w:pPr>
      <w:r w:rsidRPr="006E709F">
        <w:tab/>
        <w:t>(1)</w:t>
      </w:r>
      <w:r w:rsidRPr="006E709F">
        <w:tab/>
        <w:t>The example of a withdrawal fee or an exit fee for a collective investment product is applied against an amount of $50 000 or an amount that is a multiple of $50 000 if clause 215 applies.</w:t>
      </w:r>
    </w:p>
    <w:p w14:paraId="332268CC" w14:textId="77777777" w:rsidR="00E93F58" w:rsidRPr="006E709F" w:rsidRDefault="00E93F58" w:rsidP="00A801D0">
      <w:pPr>
        <w:pStyle w:val="subsection"/>
      </w:pPr>
      <w:r w:rsidRPr="006E709F">
        <w:tab/>
        <w:t>(2)</w:t>
      </w:r>
      <w:r w:rsidRPr="006E709F">
        <w:tab/>
        <w:t>In calculating the amount, do not include contributions that may be made during the year.</w:t>
      </w:r>
    </w:p>
    <w:p w14:paraId="4A1B2D5B" w14:textId="77777777" w:rsidR="00E93F58" w:rsidRPr="006E709F" w:rsidRDefault="00E93F58" w:rsidP="00B2417E">
      <w:pPr>
        <w:pStyle w:val="ActHead5"/>
      </w:pPr>
      <w:bookmarkStart w:id="3450" w:name="_Toc151992473"/>
      <w:bookmarkStart w:id="3451" w:name="_Toc158713510"/>
      <w:r w:rsidRPr="000C4237">
        <w:rPr>
          <w:rStyle w:val="CharSectno"/>
        </w:rPr>
        <w:t>220</w:t>
      </w:r>
      <w:r w:rsidRPr="006E709F">
        <w:t xml:space="preserve">  If there is no generic MySuper product or balanced investment option</w:t>
      </w:r>
      <w:bookmarkEnd w:id="3450"/>
      <w:bookmarkEnd w:id="3451"/>
    </w:p>
    <w:p w14:paraId="0FA7CE55" w14:textId="77777777" w:rsidR="00E93F58" w:rsidRPr="006E709F" w:rsidRDefault="00E93F58" w:rsidP="00B2417E">
      <w:pPr>
        <w:pStyle w:val="SubsectionHead"/>
      </w:pPr>
      <w:r w:rsidRPr="006E709F">
        <w:t>Superannuation entities</w:t>
      </w:r>
    </w:p>
    <w:p w14:paraId="33A3574A" w14:textId="77777777" w:rsidR="00E93F58" w:rsidRPr="006E709F" w:rsidRDefault="00E93F58" w:rsidP="00B2417E">
      <w:pPr>
        <w:pStyle w:val="subsection"/>
      </w:pPr>
      <w:r w:rsidRPr="006E709F">
        <w:tab/>
        <w:t>(1)</w:t>
      </w:r>
      <w:r w:rsidRPr="006E709F">
        <w:tab/>
        <w:t>If a superannuation entity does not offer a generic MySuper product, the example should be based on:</w:t>
      </w:r>
    </w:p>
    <w:p w14:paraId="1C588581" w14:textId="77777777" w:rsidR="00E93F58" w:rsidRPr="006E709F" w:rsidRDefault="00E93F58" w:rsidP="00B2417E">
      <w:pPr>
        <w:pStyle w:val="paragraph"/>
      </w:pPr>
      <w:r w:rsidRPr="006E709F">
        <w:tab/>
        <w:t>(a)</w:t>
      </w:r>
      <w:r w:rsidRPr="006E709F">
        <w:tab/>
        <w:t>where the superannuation entity offers a balanced investment option—the balanced investment option under which most assets of the superannuation entity are invested; and</w:t>
      </w:r>
    </w:p>
    <w:p w14:paraId="0B06749E" w14:textId="77777777" w:rsidR="00E93F58" w:rsidRPr="006E709F" w:rsidRDefault="00E93F58" w:rsidP="00B2417E">
      <w:pPr>
        <w:pStyle w:val="paragraph"/>
      </w:pPr>
      <w:r w:rsidRPr="006E709F">
        <w:tab/>
        <w:t>(b)</w:t>
      </w:r>
      <w:r w:rsidRPr="006E709F">
        <w:tab/>
        <w:t>where the superannuation entity does not offer a balanced investment option—the investment option under which most assets of the superannuation entity are invested.</w:t>
      </w:r>
    </w:p>
    <w:p w14:paraId="11B48135" w14:textId="77777777" w:rsidR="00E93F58" w:rsidRPr="006E709F" w:rsidRDefault="00E93F58" w:rsidP="00B2417E">
      <w:pPr>
        <w:pStyle w:val="SubsectionHead"/>
      </w:pPr>
      <w:r w:rsidRPr="006E709F">
        <w:t>Managed investment schemes</w:t>
      </w:r>
    </w:p>
    <w:p w14:paraId="54CD7D62" w14:textId="77777777" w:rsidR="00E93F58" w:rsidRPr="006E709F" w:rsidRDefault="00E93F58" w:rsidP="00B2417E">
      <w:pPr>
        <w:pStyle w:val="subsection"/>
      </w:pPr>
      <w:r w:rsidRPr="006E709F">
        <w:tab/>
        <w:t>(2)</w:t>
      </w:r>
      <w:r w:rsidRPr="006E709F">
        <w:tab/>
        <w:t>If a managed investment scheme does not offer a balanced investment option, the example should be based on:</w:t>
      </w:r>
    </w:p>
    <w:p w14:paraId="6A4FFC1B" w14:textId="77777777" w:rsidR="00E93F58" w:rsidRPr="006E709F" w:rsidRDefault="00E93F58" w:rsidP="00B2417E">
      <w:pPr>
        <w:pStyle w:val="paragraph"/>
      </w:pPr>
      <w:r w:rsidRPr="006E709F">
        <w:tab/>
        <w:t>(a)</w:t>
      </w:r>
      <w:r w:rsidRPr="006E709F">
        <w:tab/>
        <w:t>where the scheme offers a default investment option—that option; and</w:t>
      </w:r>
    </w:p>
    <w:p w14:paraId="19877A0B" w14:textId="77777777" w:rsidR="00E93F58" w:rsidRPr="006E709F" w:rsidRDefault="00E93F58" w:rsidP="00B2417E">
      <w:pPr>
        <w:pStyle w:val="paragraph"/>
      </w:pPr>
      <w:r w:rsidRPr="006E709F">
        <w:lastRenderedPageBreak/>
        <w:tab/>
        <w:t>(b)</w:t>
      </w:r>
      <w:r w:rsidRPr="006E709F">
        <w:tab/>
        <w:t>where the scheme does not offer a default investment option—the investment option under which most assets of the scheme are invested.</w:t>
      </w:r>
    </w:p>
    <w:p w14:paraId="7D61B07D" w14:textId="77777777" w:rsidR="00E93F58" w:rsidRPr="006E709F" w:rsidRDefault="00E93F58" w:rsidP="00761295">
      <w:pPr>
        <w:pStyle w:val="SubsectionHead"/>
      </w:pPr>
      <w:r w:rsidRPr="006E709F">
        <w:t>CCIVs</w:t>
      </w:r>
    </w:p>
    <w:p w14:paraId="27BCA9F7" w14:textId="77777777" w:rsidR="00E93F58" w:rsidRPr="006E709F" w:rsidRDefault="00E93F58" w:rsidP="00761295">
      <w:pPr>
        <w:pStyle w:val="subsection"/>
      </w:pPr>
      <w:r w:rsidRPr="006E709F">
        <w:tab/>
        <w:t>(3)</w:t>
      </w:r>
      <w:r w:rsidRPr="006E709F">
        <w:tab/>
        <w:t>If a retail CCIV does not offer a balanced investment option, the example should be based on:</w:t>
      </w:r>
    </w:p>
    <w:p w14:paraId="0BD13AA1" w14:textId="77777777" w:rsidR="00E93F58" w:rsidRPr="006E709F" w:rsidRDefault="00E93F58" w:rsidP="00761295">
      <w:pPr>
        <w:pStyle w:val="paragraph"/>
      </w:pPr>
      <w:r w:rsidRPr="006E709F">
        <w:tab/>
        <w:t>(a)</w:t>
      </w:r>
      <w:r w:rsidRPr="006E709F">
        <w:tab/>
        <w:t>where the CCIV offers a default investment option—that option; and</w:t>
      </w:r>
    </w:p>
    <w:p w14:paraId="74C2FA6B" w14:textId="77777777" w:rsidR="00E93F58" w:rsidRPr="006E709F" w:rsidRDefault="00E93F58" w:rsidP="00761295">
      <w:pPr>
        <w:pStyle w:val="paragraph"/>
      </w:pPr>
      <w:r w:rsidRPr="006E709F">
        <w:tab/>
        <w:t>(b)</w:t>
      </w:r>
      <w:r w:rsidRPr="006E709F">
        <w:tab/>
        <w:t>where the CCIV does not offer a default investment option—the investment option under which the CCIV has the most funds invested.</w:t>
      </w:r>
    </w:p>
    <w:p w14:paraId="770DC318" w14:textId="77777777" w:rsidR="00E93F58" w:rsidRPr="006E709F" w:rsidRDefault="00E93F58" w:rsidP="00CA4A64">
      <w:pPr>
        <w:pStyle w:val="ActHead3"/>
        <w:pageBreakBefore/>
      </w:pPr>
      <w:bookmarkStart w:id="3452" w:name="_Toc151992474"/>
      <w:bookmarkStart w:id="3453" w:name="_Toc158713511"/>
      <w:r w:rsidRPr="000C4237">
        <w:rPr>
          <w:rStyle w:val="CharDivNo"/>
        </w:rPr>
        <w:lastRenderedPageBreak/>
        <w:t>Division 7</w:t>
      </w:r>
      <w:r w:rsidRPr="006E709F">
        <w:t>—</w:t>
      </w:r>
      <w:r w:rsidRPr="000C4237">
        <w:rPr>
          <w:rStyle w:val="CharDivText"/>
        </w:rPr>
        <w:t>Consumer Advisory Warning</w:t>
      </w:r>
      <w:bookmarkEnd w:id="3452"/>
      <w:bookmarkEnd w:id="3453"/>
    </w:p>
    <w:p w14:paraId="66026308" w14:textId="77777777" w:rsidR="00E93F58" w:rsidRPr="006E709F" w:rsidRDefault="00E93F58" w:rsidP="00D9431E">
      <w:pPr>
        <w:pStyle w:val="ActHead5"/>
      </w:pPr>
      <w:bookmarkStart w:id="3454" w:name="_Toc151992475"/>
      <w:bookmarkStart w:id="3455" w:name="_Toc158713512"/>
      <w:r w:rsidRPr="000C4237">
        <w:rPr>
          <w:rStyle w:val="CharSectno"/>
        </w:rPr>
        <w:t>221</w:t>
      </w:r>
      <w:r w:rsidRPr="006E709F">
        <w:t xml:space="preserve">  Consumer advisory warning</w:t>
      </w:r>
      <w:bookmarkEnd w:id="3454"/>
      <w:bookmarkEnd w:id="3455"/>
    </w:p>
    <w:p w14:paraId="049E18BB" w14:textId="77777777" w:rsidR="00E93F58" w:rsidRPr="006E709F" w:rsidRDefault="00E93F58" w:rsidP="00A801D0">
      <w:pPr>
        <w:pStyle w:val="Tabletext"/>
      </w:pPr>
    </w:p>
    <w:tbl>
      <w:tblPr>
        <w:tblW w:w="5000" w:type="pct"/>
        <w:jc w:val="center"/>
        <w:tblCellSpacing w:w="0" w:type="dxa"/>
        <w:tblBorders>
          <w:top w:val="single" w:sz="4" w:space="0" w:color="auto"/>
          <w:left w:val="single" w:sz="4" w:space="0" w:color="auto"/>
          <w:bottom w:val="single" w:sz="4" w:space="0" w:color="auto"/>
          <w:right w:val="single" w:sz="4" w:space="0" w:color="auto"/>
        </w:tblBorders>
        <w:tblCellMar>
          <w:top w:w="150" w:type="dxa"/>
          <w:left w:w="150" w:type="dxa"/>
          <w:bottom w:w="150" w:type="dxa"/>
          <w:right w:w="150" w:type="dxa"/>
        </w:tblCellMar>
        <w:tblLook w:val="0000" w:firstRow="0" w:lastRow="0" w:firstColumn="0" w:lastColumn="0" w:noHBand="0" w:noVBand="0"/>
      </w:tblPr>
      <w:tblGrid>
        <w:gridCol w:w="10763"/>
      </w:tblGrid>
      <w:tr w:rsidR="00E93F58" w:rsidRPr="006E709F" w14:paraId="192372B9" w14:textId="77777777" w:rsidTr="00E118FA">
        <w:trPr>
          <w:tblCellSpacing w:w="0" w:type="dxa"/>
          <w:jc w:val="center"/>
        </w:trPr>
        <w:tc>
          <w:tcPr>
            <w:tcW w:w="5000" w:type="pct"/>
            <w:shd w:val="clear" w:color="auto" w:fill="auto"/>
            <w:vAlign w:val="center"/>
          </w:tcPr>
          <w:p w14:paraId="402763D9" w14:textId="77777777" w:rsidR="00E93F58" w:rsidRPr="006E709F" w:rsidRDefault="00E93F58" w:rsidP="006014BA">
            <w:pPr>
              <w:pStyle w:val="Tabletext"/>
              <w:jc w:val="center"/>
              <w:rPr>
                <w:b/>
              </w:rPr>
            </w:pPr>
            <w:r w:rsidRPr="006E709F">
              <w:rPr>
                <w:b/>
              </w:rPr>
              <w:t>DID YOU KNOW?</w:t>
            </w:r>
          </w:p>
          <w:p w14:paraId="422E5239" w14:textId="77777777" w:rsidR="00E93F58" w:rsidRPr="006E709F" w:rsidRDefault="00E93F58" w:rsidP="006014BA">
            <w:pPr>
              <w:pStyle w:val="Tabletext"/>
              <w:jc w:val="center"/>
              <w:rPr>
                <w:b/>
              </w:rPr>
            </w:pPr>
            <w:r w:rsidRPr="006E709F">
              <w:rPr>
                <w:b/>
              </w:rPr>
              <w:t>Small differences in both investment performance and fees and costs can have a substantial impact on your long term returns.</w:t>
            </w:r>
          </w:p>
          <w:p w14:paraId="06153F1C" w14:textId="77777777" w:rsidR="00E93F58" w:rsidRPr="006E709F" w:rsidRDefault="00E93F58" w:rsidP="006014BA">
            <w:pPr>
              <w:pStyle w:val="Tabletext"/>
              <w:jc w:val="center"/>
              <w:rPr>
                <w:b/>
              </w:rPr>
            </w:pPr>
            <w:r w:rsidRPr="006E709F">
              <w:rPr>
                <w:b/>
              </w:rPr>
              <w:t>For example, total annual fees and costs of 2% of your account balance rather than 1% could reduce your final return by up to 20% over a 30 year period</w:t>
            </w:r>
            <w:r w:rsidRPr="006E709F">
              <w:rPr>
                <w:b/>
              </w:rPr>
              <w:br/>
              <w:t>(for example, reduce it from $100 000 to $80 000).</w:t>
            </w:r>
          </w:p>
          <w:p w14:paraId="7822C5F2" w14:textId="77777777" w:rsidR="00E93F58" w:rsidRPr="006E709F" w:rsidRDefault="00E93F58" w:rsidP="006014BA">
            <w:pPr>
              <w:pStyle w:val="Tabletext"/>
              <w:jc w:val="center"/>
              <w:rPr>
                <w:b/>
              </w:rPr>
            </w:pPr>
            <w:r w:rsidRPr="006E709F">
              <w:rPr>
                <w:b/>
              </w:rPr>
              <w:t>You should consider whether features such as superior investment performance or the provision of better member services justify higher fees and costs.</w:t>
            </w:r>
          </w:p>
          <w:p w14:paraId="6910DEA1" w14:textId="77777777" w:rsidR="00E93F58" w:rsidRPr="006E709F" w:rsidRDefault="00E93F58" w:rsidP="006014BA">
            <w:pPr>
              <w:pStyle w:val="Tabletext"/>
              <w:jc w:val="center"/>
              <w:rPr>
                <w:b/>
              </w:rPr>
            </w:pPr>
            <w:r w:rsidRPr="006E709F">
              <w:rPr>
                <w:b/>
              </w:rPr>
              <w:t>Your employer may be able to negotiate to pay lower administration fees. Ask the fund or your financial adviser.</w:t>
            </w:r>
          </w:p>
          <w:p w14:paraId="4739C14C" w14:textId="77777777" w:rsidR="00E93F58" w:rsidRPr="006E709F" w:rsidRDefault="00E93F58" w:rsidP="006014BA">
            <w:pPr>
              <w:pStyle w:val="Tabletext"/>
              <w:jc w:val="center"/>
              <w:rPr>
                <w:b/>
              </w:rPr>
            </w:pPr>
            <w:r w:rsidRPr="006E709F">
              <w:rPr>
                <w:b/>
              </w:rPr>
              <w:t>TO FIND OUT MORE</w:t>
            </w:r>
          </w:p>
          <w:p w14:paraId="0DB94F4A" w14:textId="77777777" w:rsidR="00E93F58" w:rsidRPr="006E709F" w:rsidRDefault="00E93F58" w:rsidP="006014BA">
            <w:pPr>
              <w:pStyle w:val="Tabletext"/>
              <w:jc w:val="center"/>
              <w:rPr>
                <w:b/>
              </w:rPr>
            </w:pPr>
            <w:r w:rsidRPr="006E709F">
              <w:t xml:space="preserve">If you would like to find out more, or see the impact of the fees based on your own circumstances, the </w:t>
            </w:r>
            <w:r w:rsidRPr="006E709F">
              <w:rPr>
                <w:b/>
              </w:rPr>
              <w:t>Australian Securities and Investments Commission (ASIC)</w:t>
            </w:r>
            <w:r w:rsidRPr="006E709F">
              <w:t xml:space="preserve"> website (www.moneysmart.gov.au) has a </w:t>
            </w:r>
            <w:r w:rsidRPr="006E709F">
              <w:rPr>
                <w:i/>
              </w:rPr>
              <w:t>[superannuation or managed investment fee]</w:t>
            </w:r>
            <w:r w:rsidRPr="006E709F">
              <w:t xml:space="preserve"> calculator to help you check out different fee options.</w:t>
            </w:r>
          </w:p>
        </w:tc>
      </w:tr>
    </w:tbl>
    <w:p w14:paraId="7FF4D674" w14:textId="77777777" w:rsidR="00E93F58" w:rsidRPr="006E709F" w:rsidRDefault="00E93F58" w:rsidP="00BD0A25">
      <w:pPr>
        <w:pStyle w:val="ActHead5"/>
      </w:pPr>
      <w:bookmarkStart w:id="3456" w:name="_Toc151992476"/>
      <w:bookmarkStart w:id="3457" w:name="_Toc158713513"/>
      <w:r w:rsidRPr="000C4237">
        <w:rPr>
          <w:rStyle w:val="CharSectno"/>
        </w:rPr>
        <w:t>222</w:t>
      </w:r>
      <w:r w:rsidRPr="006E709F">
        <w:t xml:space="preserve">  Where to place the Consumer Advisory Warning</w:t>
      </w:r>
      <w:bookmarkEnd w:id="3456"/>
      <w:bookmarkEnd w:id="3457"/>
    </w:p>
    <w:p w14:paraId="6ED429A2" w14:textId="77777777" w:rsidR="00E93F58" w:rsidRPr="006E709F" w:rsidRDefault="00E93F58" w:rsidP="00A801D0">
      <w:pPr>
        <w:pStyle w:val="subsection"/>
      </w:pPr>
      <w:r w:rsidRPr="006E709F">
        <w:tab/>
      </w:r>
      <w:r w:rsidRPr="006E709F">
        <w:tab/>
        <w:t>The Consumer Advisory Warning must be located at the beginning of the fees section of the Product Disclosure Statement.</w:t>
      </w:r>
    </w:p>
    <w:p w14:paraId="5C4E11AD" w14:textId="77777777" w:rsidR="00E93F58" w:rsidRPr="006E709F" w:rsidRDefault="00E93F58" w:rsidP="00A801D0">
      <w:pPr>
        <w:pStyle w:val="ActHead2"/>
        <w:pageBreakBefore/>
      </w:pPr>
      <w:bookmarkStart w:id="3458" w:name="_Toc151992477"/>
      <w:bookmarkStart w:id="3459" w:name="_Toc158713514"/>
      <w:r w:rsidRPr="000C4237">
        <w:rPr>
          <w:rStyle w:val="CharPartNo"/>
        </w:rPr>
        <w:lastRenderedPageBreak/>
        <w:t>Part 3</w:t>
      </w:r>
      <w:r w:rsidRPr="006E709F">
        <w:t>—</w:t>
      </w:r>
      <w:r w:rsidRPr="000C4237">
        <w:rPr>
          <w:rStyle w:val="CharPartText"/>
        </w:rPr>
        <w:t>Fees and costs in periodic statements</w:t>
      </w:r>
      <w:bookmarkEnd w:id="3458"/>
      <w:bookmarkEnd w:id="3459"/>
    </w:p>
    <w:p w14:paraId="3A09145B" w14:textId="77777777" w:rsidR="00E93F58" w:rsidRPr="006E709F" w:rsidRDefault="00E93F58" w:rsidP="00A801D0">
      <w:pPr>
        <w:pStyle w:val="ActHead3"/>
      </w:pPr>
      <w:bookmarkStart w:id="3460" w:name="_Toc151992478"/>
      <w:bookmarkStart w:id="3461" w:name="_Toc158713515"/>
      <w:r w:rsidRPr="000C4237">
        <w:rPr>
          <w:rStyle w:val="CharDivNo"/>
        </w:rPr>
        <w:t>Division 1</w:t>
      </w:r>
      <w:r w:rsidRPr="006E709F">
        <w:t>—</w:t>
      </w:r>
      <w:r w:rsidRPr="000C4237">
        <w:rPr>
          <w:rStyle w:val="CharDivText"/>
        </w:rPr>
        <w:t>Other Management Costs</w:t>
      </w:r>
      <w:bookmarkEnd w:id="3460"/>
      <w:bookmarkEnd w:id="3461"/>
    </w:p>
    <w:p w14:paraId="095EC03A" w14:textId="77777777" w:rsidR="00E93F58" w:rsidRPr="006E709F" w:rsidRDefault="00E93F58" w:rsidP="00C01C82">
      <w:pPr>
        <w:pStyle w:val="ActHead5"/>
      </w:pPr>
      <w:bookmarkStart w:id="3462" w:name="_Toc151992479"/>
      <w:bookmarkStart w:id="3463" w:name="_Toc158713516"/>
      <w:r w:rsidRPr="000C4237">
        <w:rPr>
          <w:rStyle w:val="CharSectno"/>
        </w:rPr>
        <w:t>301</w:t>
      </w:r>
      <w:r w:rsidRPr="006E709F">
        <w:t xml:space="preserve">  Indirect costs related to investment and administration of accounts</w:t>
      </w:r>
      <w:bookmarkEnd w:id="3462"/>
      <w:bookmarkEnd w:id="3463"/>
    </w:p>
    <w:p w14:paraId="13012A65" w14:textId="77777777" w:rsidR="00E93F58" w:rsidRPr="006E709F" w:rsidRDefault="00E93F58" w:rsidP="00C01C82">
      <w:pPr>
        <w:pStyle w:val="subsection"/>
      </w:pPr>
      <w:r w:rsidRPr="006E709F">
        <w:tab/>
        <w:t>(1)</w:t>
      </w:r>
      <w:r w:rsidRPr="006E709F">
        <w:tab/>
        <w:t>The following text and the appropriate amount, in dollars, must be inserted after the part of the periodic statement that itemises transactions during the period.</w:t>
      </w:r>
    </w:p>
    <w:p w14:paraId="2EC41672" w14:textId="77777777" w:rsidR="00E93F58" w:rsidRPr="006E709F" w:rsidRDefault="00E93F58" w:rsidP="00C01C82"/>
    <w:p w14:paraId="339DDE45" w14:textId="77777777" w:rsidR="00E93F58" w:rsidRPr="006E709F" w:rsidRDefault="00E93F58" w:rsidP="00C01C82">
      <w:pPr>
        <w:ind w:left="1134"/>
        <w:rPr>
          <w:b/>
          <w:sz w:val="26"/>
          <w:szCs w:val="26"/>
        </w:rPr>
      </w:pPr>
      <w:r w:rsidRPr="006E709F">
        <w:rPr>
          <w:b/>
          <w:sz w:val="26"/>
          <w:szCs w:val="26"/>
        </w:rPr>
        <w:t>Indirect costs of your investment</w:t>
      </w:r>
    </w:p>
    <w:p w14:paraId="4A64C226" w14:textId="77777777" w:rsidR="00E93F58" w:rsidRPr="006E709F" w:rsidRDefault="00E93F58" w:rsidP="00C01C82">
      <w:pPr>
        <w:pStyle w:val="subsection"/>
      </w:pPr>
      <w:r w:rsidRPr="006E709F">
        <w:tab/>
      </w:r>
      <w:r w:rsidRPr="006E709F">
        <w:tab/>
        <w:t>This approximate amount has been deducted from your investment and includes amounts that have reduced the return on your investment but are not charged directly to you as a fee.</w:t>
      </w:r>
    </w:p>
    <w:p w14:paraId="167917C7" w14:textId="77777777" w:rsidR="00E93F58" w:rsidRPr="006E709F" w:rsidRDefault="00E93F58" w:rsidP="00C01C82">
      <w:pPr>
        <w:pStyle w:val="subsection"/>
      </w:pPr>
      <w:r w:rsidRPr="006E709F">
        <w:tab/>
        <w:t>(2)</w:t>
      </w:r>
      <w:r w:rsidRPr="006E709F">
        <w:tab/>
        <w:t>The amount inserted must include:</w:t>
      </w:r>
    </w:p>
    <w:p w14:paraId="3E91FD51" w14:textId="77777777" w:rsidR="00E93F58" w:rsidRPr="006E709F" w:rsidRDefault="00E93F58" w:rsidP="00C01C82">
      <w:pPr>
        <w:pStyle w:val="paragraph"/>
      </w:pPr>
      <w:r w:rsidRPr="006E709F">
        <w:tab/>
        <w:t>(a)</w:t>
      </w:r>
      <w:r w:rsidRPr="006E709F">
        <w:tab/>
        <w:t>for a MySuper product or an investment option offered by a superannuation entity—the indirect costs for the MySuper product or investment option; and</w:t>
      </w:r>
    </w:p>
    <w:p w14:paraId="01AFE5F8" w14:textId="77777777" w:rsidR="00E93F58" w:rsidRPr="006E709F" w:rsidRDefault="00E93F58" w:rsidP="00C01C82">
      <w:pPr>
        <w:pStyle w:val="paragraph"/>
      </w:pPr>
      <w:r w:rsidRPr="006E709F">
        <w:tab/>
        <w:t>(b)</w:t>
      </w:r>
      <w:r w:rsidRPr="006E709F">
        <w:tab/>
        <w:t>for an investment option offered by a managed investment scheme or a retail CCIV—all management costs not deducted directly from a product holder’s account during the reporting period.</w:t>
      </w:r>
    </w:p>
    <w:p w14:paraId="541610E4" w14:textId="77777777" w:rsidR="00E93F58" w:rsidRPr="006E709F" w:rsidRDefault="00E93F58" w:rsidP="00C01C82">
      <w:pPr>
        <w:pStyle w:val="subsection"/>
      </w:pPr>
      <w:r w:rsidRPr="006E709F">
        <w:tab/>
        <w:t>(3)</w:t>
      </w:r>
      <w:r w:rsidRPr="006E709F">
        <w:tab/>
        <w:t>The amount must be shown as a single total amount in dollars.</w:t>
      </w:r>
    </w:p>
    <w:p w14:paraId="6D92E4B4" w14:textId="77777777" w:rsidR="00E93F58" w:rsidRPr="006E709F" w:rsidRDefault="00E93F58" w:rsidP="00C01C82">
      <w:pPr>
        <w:pStyle w:val="subsection"/>
      </w:pPr>
      <w:r w:rsidRPr="006E709F">
        <w:tab/>
        <w:t>(4)</w:t>
      </w:r>
      <w:r w:rsidRPr="006E709F">
        <w:tab/>
        <w:t>The amount for a collective investment product must be calculated by multiplying the indirect cost ratio for the relevant investment option by the product holder’s average account balance for the option over the reporting period.</w:t>
      </w:r>
    </w:p>
    <w:p w14:paraId="375CB11F" w14:textId="77777777" w:rsidR="00E93F58" w:rsidRPr="006E709F" w:rsidRDefault="00E93F58" w:rsidP="00A801D0">
      <w:pPr>
        <w:pStyle w:val="ActHead3"/>
        <w:pageBreakBefore/>
      </w:pPr>
      <w:bookmarkStart w:id="3464" w:name="_Toc151992480"/>
      <w:bookmarkStart w:id="3465" w:name="_Toc158713517"/>
      <w:r w:rsidRPr="000C4237">
        <w:rPr>
          <w:rStyle w:val="CharDivNo"/>
        </w:rPr>
        <w:lastRenderedPageBreak/>
        <w:t>Division 2</w:t>
      </w:r>
      <w:r w:rsidRPr="006E709F">
        <w:t>—</w:t>
      </w:r>
      <w:r w:rsidRPr="000C4237">
        <w:rPr>
          <w:rStyle w:val="CharDivText"/>
        </w:rPr>
        <w:t>Total fees</w:t>
      </w:r>
      <w:bookmarkEnd w:id="3464"/>
      <w:bookmarkEnd w:id="3465"/>
    </w:p>
    <w:p w14:paraId="7A03C31B" w14:textId="77777777" w:rsidR="00E93F58" w:rsidRPr="006E709F" w:rsidRDefault="00E93F58" w:rsidP="00D9431E">
      <w:pPr>
        <w:pStyle w:val="ActHead5"/>
      </w:pPr>
      <w:bookmarkStart w:id="3466" w:name="_Toc151992481"/>
      <w:bookmarkStart w:id="3467" w:name="_Toc158713518"/>
      <w:r w:rsidRPr="000C4237">
        <w:rPr>
          <w:rStyle w:val="CharSectno"/>
        </w:rPr>
        <w:t>302</w:t>
      </w:r>
      <w:r w:rsidRPr="006E709F">
        <w:t xml:space="preserve">  Total of fees in the periodic statement</w:t>
      </w:r>
      <w:bookmarkEnd w:id="3466"/>
      <w:bookmarkEnd w:id="3467"/>
    </w:p>
    <w:p w14:paraId="7D60E2A2" w14:textId="77777777" w:rsidR="00E93F58" w:rsidRPr="006E709F" w:rsidRDefault="00E93F58" w:rsidP="00A801D0">
      <w:pPr>
        <w:pStyle w:val="subsection"/>
      </w:pPr>
      <w:r w:rsidRPr="006E709F">
        <w:tab/>
        <w:t>(1)</w:t>
      </w:r>
      <w:r w:rsidRPr="006E709F">
        <w:tab/>
        <w:t>The following text and the appropriate amount, in dollars, must be displayed:</w:t>
      </w:r>
    </w:p>
    <w:p w14:paraId="08E35C90" w14:textId="77777777" w:rsidR="00E93F58" w:rsidRPr="006E709F" w:rsidRDefault="00E93F58" w:rsidP="00A801D0">
      <w:pPr>
        <w:pStyle w:val="paragraph"/>
      </w:pPr>
      <w:r w:rsidRPr="006E709F">
        <w:tab/>
        <w:t>(a)</w:t>
      </w:r>
      <w:r w:rsidRPr="006E709F">
        <w:tab/>
        <w:t>at the end of the part of the periodic statement that itemises transactions during the period; or</w:t>
      </w:r>
    </w:p>
    <w:p w14:paraId="1562AF98" w14:textId="77777777" w:rsidR="00E93F58" w:rsidRPr="006E709F" w:rsidRDefault="00E93F58" w:rsidP="00A801D0">
      <w:pPr>
        <w:pStyle w:val="paragraph"/>
      </w:pPr>
      <w:r w:rsidRPr="006E709F">
        <w:tab/>
        <w:t>(b)</w:t>
      </w:r>
      <w:r w:rsidRPr="006E709F">
        <w:tab/>
        <w:t>in a summary part of the periodic statement.</w:t>
      </w:r>
    </w:p>
    <w:p w14:paraId="05F7254D" w14:textId="77777777" w:rsidR="00E93F58" w:rsidRPr="006E709F" w:rsidRDefault="00E93F58" w:rsidP="007E5000">
      <w:pPr>
        <w:pStyle w:val="notemargin"/>
        <w:ind w:left="1843"/>
      </w:pPr>
      <w:r w:rsidRPr="006E709F">
        <w:rPr>
          <w:b/>
        </w:rPr>
        <w:t>TOTAL FEES YOU PAID</w:t>
      </w:r>
    </w:p>
    <w:p w14:paraId="755EAE98" w14:textId="77777777" w:rsidR="00E93F58" w:rsidRPr="006E709F" w:rsidRDefault="00E93F58" w:rsidP="00BD0A25">
      <w:pPr>
        <w:pStyle w:val="notetext"/>
        <w:ind w:left="1134" w:firstLine="0"/>
      </w:pPr>
      <w:r w:rsidRPr="006E709F">
        <w:t>This approximate amount includes all the fees and costs which affected your investment during the period.</w:t>
      </w:r>
    </w:p>
    <w:p w14:paraId="4C5D0331" w14:textId="77777777" w:rsidR="00E93F58" w:rsidRPr="006E709F" w:rsidRDefault="00E93F58" w:rsidP="00A801D0">
      <w:pPr>
        <w:pStyle w:val="subsection"/>
      </w:pPr>
      <w:r w:rsidRPr="006E709F">
        <w:tab/>
        <w:t>(2)</w:t>
      </w:r>
      <w:r w:rsidRPr="006E709F">
        <w:tab/>
        <w:t>The total fees you paid are the total of all fees and costs disclosed in the periodic statement.</w:t>
      </w:r>
    </w:p>
    <w:p w14:paraId="27503FF3" w14:textId="77777777" w:rsidR="00E93F58" w:rsidRPr="006E709F" w:rsidRDefault="00E93F58" w:rsidP="00A801D0">
      <w:pPr>
        <w:pStyle w:val="ActHead3"/>
        <w:pageBreakBefore/>
      </w:pPr>
      <w:bookmarkStart w:id="3468" w:name="_Toc151992482"/>
      <w:bookmarkStart w:id="3469" w:name="_Toc158713519"/>
      <w:r w:rsidRPr="000C4237">
        <w:rPr>
          <w:rStyle w:val="CharDivNo"/>
        </w:rPr>
        <w:lastRenderedPageBreak/>
        <w:t>Division 3</w:t>
      </w:r>
      <w:r w:rsidRPr="006E709F">
        <w:t>—</w:t>
      </w:r>
      <w:r w:rsidRPr="000C4237">
        <w:rPr>
          <w:rStyle w:val="CharDivText"/>
        </w:rPr>
        <w:t>Additional Explanation of Fees and Costs</w:t>
      </w:r>
      <w:bookmarkEnd w:id="3468"/>
      <w:bookmarkEnd w:id="3469"/>
    </w:p>
    <w:p w14:paraId="4CB21C40" w14:textId="77777777" w:rsidR="00E93F58" w:rsidRPr="006E709F" w:rsidRDefault="00E93F58" w:rsidP="00C01C82">
      <w:pPr>
        <w:pStyle w:val="ActHead5"/>
      </w:pPr>
      <w:bookmarkStart w:id="3470" w:name="_Toc151992483"/>
      <w:bookmarkStart w:id="3471" w:name="_Toc158713520"/>
      <w:r w:rsidRPr="000C4237">
        <w:rPr>
          <w:rStyle w:val="CharSectno"/>
        </w:rPr>
        <w:t>303</w:t>
      </w:r>
      <w:r w:rsidRPr="006E709F">
        <w:t xml:space="preserve">  Matters to be included as additional explanation of fees and costs</w:t>
      </w:r>
      <w:bookmarkEnd w:id="3470"/>
      <w:bookmarkEnd w:id="3471"/>
    </w:p>
    <w:p w14:paraId="67F2AE52" w14:textId="77777777" w:rsidR="00E93F58" w:rsidRPr="006E709F" w:rsidRDefault="00E93F58" w:rsidP="00C01C82">
      <w:pPr>
        <w:pStyle w:val="SubsectionHead"/>
      </w:pPr>
      <w:r w:rsidRPr="006E709F">
        <w:t>Superannuation products</w:t>
      </w:r>
    </w:p>
    <w:p w14:paraId="64166F48" w14:textId="77777777" w:rsidR="00E93F58" w:rsidRPr="006E709F" w:rsidRDefault="00E93F58" w:rsidP="00C01C82">
      <w:pPr>
        <w:pStyle w:val="subsection"/>
      </w:pPr>
      <w:r w:rsidRPr="006E709F">
        <w:tab/>
        <w:t>(1)</w:t>
      </w:r>
      <w:r w:rsidRPr="006E709F">
        <w:tab/>
        <w:t>The following information must be included in the periodic statement for a superannuation product under the heading “Additional Explanation of Fees and Costs”, if it has not been included in another part of the periodic statement:</w:t>
      </w:r>
    </w:p>
    <w:p w14:paraId="4BB801C9" w14:textId="77777777" w:rsidR="00E93F58" w:rsidRPr="006E709F" w:rsidRDefault="00E93F58" w:rsidP="00C01C82">
      <w:pPr>
        <w:pStyle w:val="paragraph"/>
      </w:pPr>
      <w:r w:rsidRPr="006E709F">
        <w:tab/>
        <w:t>(a)</w:t>
      </w:r>
      <w:r w:rsidRPr="006E709F">
        <w:tab/>
        <w:t>details of any activity fees, advice fees and insurance fees that were incurred by the member during the period;</w:t>
      </w:r>
    </w:p>
    <w:p w14:paraId="6D2953AF" w14:textId="77777777" w:rsidR="00E93F58" w:rsidRPr="006E709F" w:rsidRDefault="00E93F58" w:rsidP="00C01C82">
      <w:pPr>
        <w:pStyle w:val="paragraph"/>
      </w:pPr>
      <w:r w:rsidRPr="006E709F">
        <w:tab/>
        <w:t>(b)</w:t>
      </w:r>
      <w:r w:rsidRPr="006E709F">
        <w:tab/>
        <w:t>for a superannuation product that is subject to tax—whether the benefit of any tax deduction has been passed on to the investor in the form of a reduced fee or cost;</w:t>
      </w:r>
    </w:p>
    <w:p w14:paraId="657C4E58" w14:textId="77777777" w:rsidR="00E93F58" w:rsidRPr="006E709F" w:rsidRDefault="00E93F58" w:rsidP="00636892">
      <w:pPr>
        <w:pStyle w:val="paragraph"/>
      </w:pPr>
      <w:r w:rsidRPr="006E709F">
        <w:tab/>
        <w:t>(c)</w:t>
      </w:r>
      <w:r w:rsidRPr="006E709F">
        <w:tab/>
        <w:t>a statement that if the account balance for a MySuper product or a choice product offered by the superannuation entity is less than $6,000 at the end of the entity’s income year:</w:t>
      </w:r>
    </w:p>
    <w:p w14:paraId="6CD663DA" w14:textId="77777777" w:rsidR="00E93F58" w:rsidRPr="006E709F" w:rsidRDefault="00E93F58" w:rsidP="00636892">
      <w:pPr>
        <w:pStyle w:val="paragraphsub"/>
      </w:pPr>
      <w:r w:rsidRPr="006E709F">
        <w:tab/>
        <w:t>(i)</w:t>
      </w:r>
      <w:r w:rsidRPr="006E709F">
        <w:tab/>
        <w:t>the total combined amount of administration fees, investment fees and indirect costs charged in relation to the MySuper product or a choice product is capped at 3% of the account balance; and</w:t>
      </w:r>
    </w:p>
    <w:p w14:paraId="77C192E2" w14:textId="77777777" w:rsidR="00E93F58" w:rsidRPr="006E709F" w:rsidRDefault="00E93F58" w:rsidP="00636892">
      <w:pPr>
        <w:pStyle w:val="paragraphsub"/>
      </w:pPr>
      <w:r w:rsidRPr="006E709F">
        <w:tab/>
        <w:t>(ii)</w:t>
      </w:r>
      <w:r w:rsidRPr="006E709F">
        <w:tab/>
        <w:t>any amount charged in excess of that cap must be refunded.</w:t>
      </w:r>
    </w:p>
    <w:p w14:paraId="582CEF7F" w14:textId="77777777" w:rsidR="00E93F58" w:rsidRPr="006E709F" w:rsidRDefault="00E93F58" w:rsidP="00333B75">
      <w:pPr>
        <w:pStyle w:val="SubsectionHead"/>
      </w:pPr>
      <w:r w:rsidRPr="006E709F">
        <w:t>Collective investment products</w:t>
      </w:r>
    </w:p>
    <w:p w14:paraId="4EECBDAB" w14:textId="77777777" w:rsidR="00E93F58" w:rsidRPr="006E709F" w:rsidRDefault="00E93F58" w:rsidP="00C01C82">
      <w:pPr>
        <w:pStyle w:val="subsection"/>
      </w:pPr>
      <w:r w:rsidRPr="006E709F">
        <w:tab/>
        <w:t>(2)</w:t>
      </w:r>
      <w:r w:rsidRPr="006E709F">
        <w:tab/>
        <w:t>The following information must be included in the periodic statement under the heading “Additional Explanation of Fees and Costs”, if it has not been included in another part of the periodic statement:</w:t>
      </w:r>
    </w:p>
    <w:p w14:paraId="6B351D7D" w14:textId="77777777" w:rsidR="00E93F58" w:rsidRPr="006E709F" w:rsidRDefault="00E93F58" w:rsidP="00C01C82">
      <w:pPr>
        <w:pStyle w:val="paragraph"/>
      </w:pPr>
      <w:r w:rsidRPr="006E709F">
        <w:tab/>
        <w:t>(a)</w:t>
      </w:r>
      <w:r w:rsidRPr="006E709F">
        <w:tab/>
        <w:t>details of incidental fees, such as cheque dishonour fees, that were incurred by the product holder during the period;</w:t>
      </w:r>
    </w:p>
    <w:p w14:paraId="6FB9327A" w14:textId="77777777" w:rsidR="00E93F58" w:rsidRPr="006E709F" w:rsidRDefault="00E93F58" w:rsidP="00C01C82">
      <w:pPr>
        <w:pStyle w:val="paragraph"/>
      </w:pPr>
      <w:r w:rsidRPr="006E709F">
        <w:tab/>
        <w:t>(b)</w:t>
      </w:r>
      <w:r w:rsidRPr="006E709F">
        <w:tab/>
        <w:t>details of any service fees that may have been incurred by the product holder;</w:t>
      </w:r>
    </w:p>
    <w:p w14:paraId="2ED26C15" w14:textId="77777777" w:rsidR="00E93F58" w:rsidRPr="006E709F" w:rsidRDefault="00E93F58" w:rsidP="00C01C82">
      <w:pPr>
        <w:pStyle w:val="paragraph"/>
      </w:pPr>
      <w:r w:rsidRPr="006E709F">
        <w:tab/>
        <w:t>(c)</w:t>
      </w:r>
      <w:r w:rsidRPr="006E709F">
        <w:tab/>
        <w:t>for a collective investment product that is subject to tax—whether the benefit of any tax deduction has been passed on to the investor in the form of a reduced fee or cost.</w:t>
      </w:r>
    </w:p>
    <w:p w14:paraId="7BF2B35B" w14:textId="77777777" w:rsidR="00E93F58" w:rsidRPr="006E709F" w:rsidRDefault="00E93F58" w:rsidP="00A801D0">
      <w:pPr>
        <w:pStyle w:val="ActHead1"/>
        <w:pageBreakBefore/>
      </w:pPr>
      <w:bookmarkStart w:id="3472" w:name="_Toc151992484"/>
      <w:bookmarkStart w:id="3473" w:name="_Toc158713521"/>
      <w:r w:rsidRPr="000C4237">
        <w:rPr>
          <w:rStyle w:val="CharChapNo"/>
        </w:rPr>
        <w:lastRenderedPageBreak/>
        <w:t>Schedule 10A</w:t>
      </w:r>
      <w:r w:rsidRPr="006E709F">
        <w:t>—</w:t>
      </w:r>
      <w:r w:rsidRPr="000C4237">
        <w:rPr>
          <w:rStyle w:val="CharChapText"/>
        </w:rPr>
        <w:t>Modifications of Part 7.9 of the Act</w:t>
      </w:r>
      <w:bookmarkEnd w:id="3472"/>
      <w:bookmarkEnd w:id="3473"/>
    </w:p>
    <w:p w14:paraId="28D7A0AC" w14:textId="77777777" w:rsidR="00E93F58" w:rsidRPr="006E709F" w:rsidRDefault="00E93F58" w:rsidP="00A801D0">
      <w:pPr>
        <w:pStyle w:val="notemargin"/>
      </w:pPr>
      <w:r w:rsidRPr="006E709F">
        <w:t xml:space="preserve">(regulations 7.9.02, 7.9.04, 7.9.05, 7.9.06, 7.9.09C, </w:t>
      </w:r>
      <w:r w:rsidRPr="006E709F">
        <w:rPr>
          <w:szCs w:val="18"/>
        </w:rPr>
        <w:t xml:space="preserve">7.9.11C, 7.9.11N, 7.9.11V, </w:t>
      </w:r>
      <w:r w:rsidRPr="006E709F">
        <w:t>7.9.12, 7.9.24, 7.9.27, 7.9.30, 7.9.43, 7.9.47, 7.9.51, 7.9.56, 7.9.60, 7.9.61, 7.9.63, 7.9.73 and 8.4.02)</w:t>
      </w:r>
    </w:p>
    <w:p w14:paraId="733BAEA3" w14:textId="77777777" w:rsidR="00E93F58" w:rsidRPr="006E709F" w:rsidRDefault="00E93F58" w:rsidP="00A801D0">
      <w:pPr>
        <w:pStyle w:val="ActHead2"/>
      </w:pPr>
      <w:bookmarkStart w:id="3474" w:name="_Toc151992485"/>
      <w:bookmarkStart w:id="3475" w:name="_Toc158713522"/>
      <w:r w:rsidRPr="000C4237">
        <w:rPr>
          <w:rStyle w:val="CharPartNo"/>
        </w:rPr>
        <w:t>Part 1</w:t>
      </w:r>
      <w:r w:rsidRPr="006E709F">
        <w:t>—</w:t>
      </w:r>
      <w:r w:rsidRPr="000C4237">
        <w:rPr>
          <w:rStyle w:val="CharPartText"/>
        </w:rPr>
        <w:t>Modifications relating to sub</w:t>
      </w:r>
      <w:r w:rsidRPr="000C4237">
        <w:rPr>
          <w:rStyle w:val="CharPartText"/>
        </w:rPr>
        <w:noBreakHyphen/>
        <w:t>plans</w:t>
      </w:r>
      <w:bookmarkEnd w:id="3474"/>
      <w:bookmarkEnd w:id="3475"/>
    </w:p>
    <w:p w14:paraId="53A7A058"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60BF36FE" w14:textId="77777777" w:rsidR="00E93F58" w:rsidRPr="006E709F" w:rsidRDefault="00E93F58" w:rsidP="00C66015">
      <w:pPr>
        <w:pStyle w:val="ItemHead"/>
      </w:pPr>
      <w:r w:rsidRPr="006E709F">
        <w:t>1.1  Paragraph 1012D(10)(b)</w:t>
      </w:r>
    </w:p>
    <w:p w14:paraId="22ADA51D" w14:textId="77777777" w:rsidR="00E93F58" w:rsidRPr="006E709F" w:rsidRDefault="00E93F58" w:rsidP="00C66015">
      <w:pPr>
        <w:pStyle w:val="Item"/>
        <w:rPr>
          <w:i/>
        </w:rPr>
      </w:pPr>
      <w:r w:rsidRPr="006E709F">
        <w:rPr>
          <w:i/>
        </w:rPr>
        <w:t>substitute</w:t>
      </w:r>
    </w:p>
    <w:p w14:paraId="7AA40028" w14:textId="77777777" w:rsidR="00E93F58" w:rsidRPr="006E709F" w:rsidRDefault="00E93F58" w:rsidP="00A801D0">
      <w:pPr>
        <w:pStyle w:val="paragraph"/>
      </w:pPr>
      <w:r w:rsidRPr="006E709F">
        <w:tab/>
        <w:t>(b)</w:t>
      </w:r>
      <w:r w:rsidRPr="006E709F">
        <w:tab/>
        <w:t>a superannuation product is the same as another superannuation product only if the other superannuation product is:</w:t>
      </w:r>
    </w:p>
    <w:p w14:paraId="00A6E856" w14:textId="77777777" w:rsidR="00E93F58" w:rsidRPr="006E709F" w:rsidRDefault="00E93F58" w:rsidP="00A801D0">
      <w:pPr>
        <w:pStyle w:val="paragraphsub"/>
      </w:pPr>
      <w:r w:rsidRPr="006E709F">
        <w:tab/>
        <w:t>(i)</w:t>
      </w:r>
      <w:r w:rsidRPr="006E709F">
        <w:tab/>
        <w:t>an interest in the same sub</w:t>
      </w:r>
      <w:r>
        <w:noBreakHyphen/>
      </w:r>
      <w:r w:rsidRPr="006E709F">
        <w:t>plan; or</w:t>
      </w:r>
    </w:p>
    <w:p w14:paraId="1E2BCAA4" w14:textId="77777777" w:rsidR="00E93F58" w:rsidRPr="006E709F" w:rsidRDefault="00E93F58" w:rsidP="00A801D0">
      <w:pPr>
        <w:pStyle w:val="paragraphsub"/>
      </w:pPr>
      <w:r w:rsidRPr="006E709F">
        <w:tab/>
        <w:t>(ii)</w:t>
      </w:r>
      <w:r w:rsidRPr="006E709F">
        <w:tab/>
        <w:t>if there is no sub</w:t>
      </w:r>
      <w:r>
        <w:noBreakHyphen/>
      </w:r>
      <w:r w:rsidRPr="006E709F">
        <w:t>plan—an interest in the same fund.</w:t>
      </w:r>
    </w:p>
    <w:p w14:paraId="1109AD2E" w14:textId="77777777" w:rsidR="00E93F58" w:rsidRPr="006E709F" w:rsidRDefault="00E93F58" w:rsidP="00A801D0">
      <w:pPr>
        <w:pStyle w:val="ActHead2"/>
        <w:pageBreakBefore/>
      </w:pPr>
      <w:bookmarkStart w:id="3476" w:name="_Toc151992486"/>
      <w:bookmarkStart w:id="3477" w:name="_Toc158713523"/>
      <w:r w:rsidRPr="000C4237">
        <w:rPr>
          <w:rStyle w:val="CharPartNo"/>
        </w:rPr>
        <w:lastRenderedPageBreak/>
        <w:t>Part 2</w:t>
      </w:r>
      <w:r w:rsidRPr="006E709F">
        <w:t>—</w:t>
      </w:r>
      <w:r w:rsidRPr="000C4237">
        <w:rPr>
          <w:rStyle w:val="CharPartText"/>
        </w:rPr>
        <w:t xml:space="preserve">Modifications relating to Product Disclosure Statements for </w:t>
      </w:r>
      <w:r w:rsidRPr="00B16490">
        <w:rPr>
          <w:rStyle w:val="CharPartText"/>
        </w:rPr>
        <w:t>RSAs</w:t>
      </w:r>
      <w:bookmarkEnd w:id="3476"/>
      <w:bookmarkEnd w:id="3477"/>
    </w:p>
    <w:p w14:paraId="3B457426"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72859B00" w14:textId="77777777" w:rsidR="00E93F58" w:rsidRPr="006E709F" w:rsidRDefault="00E93F58" w:rsidP="00C66015">
      <w:pPr>
        <w:pStyle w:val="ItemHead"/>
      </w:pPr>
      <w:r w:rsidRPr="006E709F">
        <w:t>2.1  After subsection 1012D(9B)</w:t>
      </w:r>
    </w:p>
    <w:p w14:paraId="0A983235" w14:textId="77777777" w:rsidR="00E93F58" w:rsidRPr="006E709F" w:rsidRDefault="00E93F58" w:rsidP="00C66015">
      <w:pPr>
        <w:pStyle w:val="Item"/>
        <w:rPr>
          <w:i/>
        </w:rPr>
      </w:pPr>
      <w:r w:rsidRPr="006E709F">
        <w:rPr>
          <w:i/>
        </w:rPr>
        <w:t>insert</w:t>
      </w:r>
    </w:p>
    <w:p w14:paraId="0BCAE19D" w14:textId="77777777" w:rsidR="00E93F58" w:rsidRPr="006E709F" w:rsidRDefault="00E93F58" w:rsidP="00A801D0">
      <w:pPr>
        <w:pStyle w:val="SubsectionHead"/>
      </w:pPr>
      <w:r w:rsidRPr="006E709F">
        <w:t>Recommendation, issue or sale situation—takeover or merger</w:t>
      </w:r>
    </w:p>
    <w:p w14:paraId="013E0D05" w14:textId="77777777" w:rsidR="00E93F58" w:rsidRPr="006E709F" w:rsidRDefault="00E93F58" w:rsidP="00A801D0">
      <w:pPr>
        <w:pStyle w:val="subsection"/>
      </w:pPr>
      <w:r w:rsidRPr="006E709F">
        <w:tab/>
        <w:t>(9C)</w:t>
      </w:r>
      <w:r w:rsidRPr="006E709F">
        <w:tab/>
        <w:t>In a recommendation situation, issue situation or sale situation, the issuer does not have to give a Product Disclosure Statement if a person:</w:t>
      </w:r>
    </w:p>
    <w:p w14:paraId="44862925" w14:textId="77777777" w:rsidR="00E93F58" w:rsidRPr="006E709F" w:rsidRDefault="00E93F58" w:rsidP="00A801D0">
      <w:pPr>
        <w:pStyle w:val="paragraph"/>
      </w:pPr>
      <w:r w:rsidRPr="006E709F">
        <w:tab/>
        <w:t>(a)</w:t>
      </w:r>
      <w:r w:rsidRPr="006E709F">
        <w:tab/>
        <w:t>becomes the holder of an RSA with an RSA institution; and</w:t>
      </w:r>
    </w:p>
    <w:p w14:paraId="69E55059" w14:textId="77777777" w:rsidR="00E93F58" w:rsidRPr="006E709F" w:rsidRDefault="00E93F58" w:rsidP="00A801D0">
      <w:pPr>
        <w:pStyle w:val="paragraph"/>
      </w:pPr>
      <w:r w:rsidRPr="006E709F">
        <w:tab/>
        <w:t>(b)</w:t>
      </w:r>
      <w:r w:rsidRPr="006E709F">
        <w:tab/>
        <w:t>does so as a direct result of:</w:t>
      </w:r>
    </w:p>
    <w:p w14:paraId="1D485ED2" w14:textId="77777777" w:rsidR="00E93F58" w:rsidRPr="006E709F" w:rsidRDefault="00E93F58" w:rsidP="00A801D0">
      <w:pPr>
        <w:pStyle w:val="paragraphsub"/>
      </w:pPr>
      <w:r w:rsidRPr="006E709F">
        <w:tab/>
        <w:t>(i)</w:t>
      </w:r>
      <w:r w:rsidRPr="006E709F">
        <w:tab/>
        <w:t>the takeover of the RSA provider with which the person previously held an RSA by:</w:t>
      </w:r>
    </w:p>
    <w:p w14:paraId="7C6A54C2" w14:textId="77777777" w:rsidR="00E93F58" w:rsidRPr="006E709F" w:rsidRDefault="00E93F58" w:rsidP="00A801D0">
      <w:pPr>
        <w:pStyle w:val="paragraphsub-sub"/>
      </w:pPr>
      <w:r w:rsidRPr="006E709F">
        <w:tab/>
        <w:t>(A)</w:t>
      </w:r>
      <w:r w:rsidRPr="006E709F">
        <w:tab/>
        <w:t>the RSA institution; or</w:t>
      </w:r>
    </w:p>
    <w:p w14:paraId="164298B4" w14:textId="77777777" w:rsidR="00E93F58" w:rsidRPr="006E709F" w:rsidRDefault="00E93F58" w:rsidP="00A801D0">
      <w:pPr>
        <w:pStyle w:val="paragraphsub-sub"/>
      </w:pPr>
      <w:r w:rsidRPr="006E709F">
        <w:tab/>
        <w:t>(B)</w:t>
      </w:r>
      <w:r w:rsidRPr="006E709F">
        <w:tab/>
        <w:t>a corporation that is a related corporation of the RSA institution; or</w:t>
      </w:r>
    </w:p>
    <w:p w14:paraId="13E8FF8B" w14:textId="77777777" w:rsidR="00E93F58" w:rsidRPr="006E709F" w:rsidRDefault="00E93F58" w:rsidP="00A801D0">
      <w:pPr>
        <w:pStyle w:val="paragraphsub"/>
      </w:pPr>
      <w:r w:rsidRPr="006E709F">
        <w:tab/>
        <w:t>(ii)</w:t>
      </w:r>
      <w:r w:rsidRPr="006E709F">
        <w:tab/>
        <w:t>a merger involving the RSA provider with which the person previously held an RSA and which results in the creation of the RSA institution; or</w:t>
      </w:r>
    </w:p>
    <w:p w14:paraId="6CA03C47" w14:textId="77777777" w:rsidR="00E93F58" w:rsidRPr="006E709F" w:rsidRDefault="00E93F58" w:rsidP="00A801D0">
      <w:pPr>
        <w:pStyle w:val="paragraphsub"/>
      </w:pPr>
      <w:r w:rsidRPr="006E709F">
        <w:tab/>
        <w:t>(iii)</w:t>
      </w:r>
      <w:r w:rsidRPr="006E709F">
        <w:tab/>
        <w:t>the transfer of any, or all of, the assets and liabilities of the RSA provider with which the person previously held an RSA to the RSA institution:</w:t>
      </w:r>
    </w:p>
    <w:p w14:paraId="5A356641" w14:textId="77777777" w:rsidR="00E93F58" w:rsidRPr="006E709F" w:rsidRDefault="00E93F58" w:rsidP="00A801D0">
      <w:pPr>
        <w:pStyle w:val="paragraphsub-sub"/>
      </w:pPr>
      <w:r w:rsidRPr="006E709F">
        <w:tab/>
        <w:t>(A)</w:t>
      </w:r>
      <w:r w:rsidRPr="006E709F">
        <w:tab/>
        <w:t xml:space="preserve">under a provision of the </w:t>
      </w:r>
      <w:r w:rsidRPr="006E709F">
        <w:rPr>
          <w:i/>
        </w:rPr>
        <w:t>Banking Act 1959</w:t>
      </w:r>
      <w:r w:rsidRPr="006E709F">
        <w:t xml:space="preserve">, the </w:t>
      </w:r>
      <w:r w:rsidRPr="006E709F">
        <w:rPr>
          <w:i/>
        </w:rPr>
        <w:t>Life Insurance Act 1995</w:t>
      </w:r>
      <w:r w:rsidRPr="006E709F">
        <w:t xml:space="preserve"> or of any other law of the Commonwealth, a State or a Territory; or</w:t>
      </w:r>
    </w:p>
    <w:p w14:paraId="4DA0AC32" w14:textId="77777777" w:rsidR="00E93F58" w:rsidRPr="006E709F" w:rsidRDefault="00E93F58" w:rsidP="00A801D0">
      <w:pPr>
        <w:pStyle w:val="paragraphsub-sub"/>
      </w:pPr>
      <w:r w:rsidRPr="006E709F">
        <w:tab/>
        <w:t>(B)</w:t>
      </w:r>
      <w:r w:rsidRPr="006E709F">
        <w:tab/>
        <w:t>under a voluntary transfer of engagements; or</w:t>
      </w:r>
    </w:p>
    <w:p w14:paraId="27FAD92D" w14:textId="77777777" w:rsidR="00E93F58" w:rsidRPr="006E709F" w:rsidRDefault="00E93F58" w:rsidP="00A801D0">
      <w:pPr>
        <w:pStyle w:val="paragraphsub-sub"/>
      </w:pPr>
      <w:r w:rsidRPr="006E709F">
        <w:tab/>
        <w:t>(C)</w:t>
      </w:r>
      <w:r w:rsidRPr="006E709F">
        <w:tab/>
        <w:t>on the request of the Australian Prudential Regulation Authority.</w:t>
      </w:r>
    </w:p>
    <w:p w14:paraId="5D6A531C" w14:textId="77777777" w:rsidR="00E93F58" w:rsidRPr="006E709F" w:rsidRDefault="00E93F58" w:rsidP="00221306">
      <w:pPr>
        <w:pStyle w:val="ActHead2"/>
        <w:pageBreakBefore/>
      </w:pPr>
      <w:bookmarkStart w:id="3478" w:name="_Toc151992487"/>
      <w:bookmarkStart w:id="3479" w:name="_Toc158713524"/>
      <w:r w:rsidRPr="000C4237">
        <w:rPr>
          <w:rStyle w:val="CharPartNo"/>
        </w:rPr>
        <w:lastRenderedPageBreak/>
        <w:t>Part 3</w:t>
      </w:r>
      <w:r w:rsidRPr="006E709F">
        <w:t>—</w:t>
      </w:r>
      <w:r w:rsidRPr="000C4237">
        <w:rPr>
          <w:rStyle w:val="CharPartText"/>
        </w:rPr>
        <w:t>Modifications relating to insurance options under contract associated with superannuation interest</w:t>
      </w:r>
      <w:bookmarkEnd w:id="3478"/>
      <w:bookmarkEnd w:id="3479"/>
    </w:p>
    <w:p w14:paraId="5303491D"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4018C59C" w14:textId="77777777" w:rsidR="00E93F58" w:rsidRPr="006E709F" w:rsidRDefault="00E93F58" w:rsidP="00C66015">
      <w:pPr>
        <w:pStyle w:val="ItemHead"/>
      </w:pPr>
      <w:r w:rsidRPr="006E709F">
        <w:t>3.1  After subsection 1012D(9B)</w:t>
      </w:r>
    </w:p>
    <w:p w14:paraId="1161D6FA" w14:textId="77777777" w:rsidR="00E93F58" w:rsidRPr="006E709F" w:rsidRDefault="00E93F58" w:rsidP="00C66015">
      <w:pPr>
        <w:pStyle w:val="Item"/>
        <w:rPr>
          <w:i/>
        </w:rPr>
      </w:pPr>
      <w:r w:rsidRPr="006E709F">
        <w:rPr>
          <w:i/>
        </w:rPr>
        <w:t>insert</w:t>
      </w:r>
    </w:p>
    <w:p w14:paraId="7180FE79" w14:textId="77777777" w:rsidR="00E93F58" w:rsidRPr="006E709F" w:rsidRDefault="00E93F58" w:rsidP="00A801D0">
      <w:pPr>
        <w:pStyle w:val="SubsectionHead"/>
      </w:pPr>
      <w:r w:rsidRPr="006E709F">
        <w:t>Insurance options</w:t>
      </w:r>
    </w:p>
    <w:p w14:paraId="7CAF56FF" w14:textId="77777777" w:rsidR="00E93F58" w:rsidRPr="006E709F" w:rsidRDefault="00E93F58" w:rsidP="00A801D0">
      <w:pPr>
        <w:pStyle w:val="subsection"/>
      </w:pPr>
      <w:r w:rsidRPr="006E709F">
        <w:tab/>
        <w:t>(9C)</w:t>
      </w:r>
      <w:r w:rsidRPr="006E709F">
        <w:tab/>
        <w:t>A product issuer does not have to give a Product Disclosure Statement to a person if:</w:t>
      </w:r>
    </w:p>
    <w:p w14:paraId="6DA97C54" w14:textId="77777777" w:rsidR="00E93F58" w:rsidRPr="006E709F" w:rsidRDefault="00E93F58" w:rsidP="00A801D0">
      <w:pPr>
        <w:pStyle w:val="paragraph"/>
      </w:pPr>
      <w:r w:rsidRPr="006E709F">
        <w:rPr>
          <w:color w:val="000000"/>
        </w:rPr>
        <w:tab/>
        <w:t>(a)</w:t>
      </w:r>
      <w:r w:rsidRPr="006E709F">
        <w:rPr>
          <w:color w:val="000000"/>
        </w:rPr>
        <w:tab/>
        <w:t>a product holder seeks to change the coverage of insurance options under a contract associated with a superannuation interest; and</w:t>
      </w:r>
    </w:p>
    <w:p w14:paraId="1A13A0EC" w14:textId="77777777" w:rsidR="00E93F58" w:rsidRPr="006E709F" w:rsidRDefault="00E93F58" w:rsidP="00A801D0">
      <w:pPr>
        <w:pStyle w:val="paragraph"/>
      </w:pPr>
      <w:r w:rsidRPr="006E709F">
        <w:tab/>
        <w:t>(b)</w:t>
      </w:r>
      <w:r w:rsidRPr="006E709F">
        <w:tab/>
        <w:t>information in relation to the change of insurance options has not already been given in a periodic statement or in accordance with other periodic reporting requirements under Division 3.</w:t>
      </w:r>
    </w:p>
    <w:p w14:paraId="7E1141B1" w14:textId="77777777" w:rsidR="00E93F58" w:rsidRPr="006E709F" w:rsidRDefault="00E93F58" w:rsidP="00A801D0">
      <w:pPr>
        <w:pStyle w:val="subsection"/>
      </w:pPr>
      <w:r w:rsidRPr="006E709F">
        <w:tab/>
        <w:t>(9D)</w:t>
      </w:r>
      <w:r w:rsidRPr="006E709F">
        <w:tab/>
        <w:t>If subsection (9C) applies:</w:t>
      </w:r>
    </w:p>
    <w:p w14:paraId="771219D6" w14:textId="77777777" w:rsidR="00E93F58" w:rsidRPr="006E709F" w:rsidRDefault="00E93F58" w:rsidP="00A801D0">
      <w:pPr>
        <w:pStyle w:val="paragraph"/>
      </w:pPr>
      <w:r w:rsidRPr="006E709F">
        <w:rPr>
          <w:color w:val="000000"/>
        </w:rPr>
        <w:tab/>
        <w:t>(a)</w:t>
      </w:r>
      <w:r w:rsidRPr="006E709F">
        <w:rPr>
          <w:color w:val="000000"/>
        </w:rPr>
        <w:tab/>
        <w:t>the product issuer must ensure that the product holder has sufficient information to enable the product holder to make an informed decision; and</w:t>
      </w:r>
    </w:p>
    <w:p w14:paraId="0C760E5F" w14:textId="77777777" w:rsidR="00E93F58" w:rsidRPr="006E709F" w:rsidRDefault="00E93F58" w:rsidP="00A801D0">
      <w:pPr>
        <w:pStyle w:val="paragraph"/>
      </w:pPr>
      <w:r w:rsidRPr="006E709F">
        <w:tab/>
        <w:t>(b)</w:t>
      </w:r>
      <w:r w:rsidRPr="006E709F">
        <w:tab/>
        <w:t>that subsection does not prevent the product issuer from complying with paragraph (a) by giving the product holder a Product Disclosure Statement.</w:t>
      </w:r>
    </w:p>
    <w:p w14:paraId="28120E15" w14:textId="77777777" w:rsidR="00E93F58" w:rsidRPr="006E709F" w:rsidRDefault="00E93F58" w:rsidP="00AE08F9">
      <w:pPr>
        <w:pStyle w:val="ActHead2"/>
        <w:pageBreakBefore/>
      </w:pPr>
      <w:bookmarkStart w:id="3480" w:name="_Toc151992488"/>
      <w:bookmarkStart w:id="3481" w:name="_Toc158713525"/>
      <w:r w:rsidRPr="000C4237">
        <w:rPr>
          <w:rStyle w:val="CharPartNo"/>
        </w:rPr>
        <w:lastRenderedPageBreak/>
        <w:t>Part 5A</w:t>
      </w:r>
      <w:r w:rsidRPr="006E709F">
        <w:t>—</w:t>
      </w:r>
      <w:r w:rsidRPr="000C4237">
        <w:rPr>
          <w:rStyle w:val="CharPartText"/>
        </w:rPr>
        <w:t xml:space="preserve">Modifications for </w:t>
      </w:r>
      <w:r w:rsidRPr="00574642">
        <w:rPr>
          <w:rStyle w:val="CharPartText"/>
        </w:rPr>
        <w:t>standard margin lending facilities</w:t>
      </w:r>
      <w:bookmarkEnd w:id="3480"/>
      <w:bookmarkEnd w:id="3481"/>
    </w:p>
    <w:p w14:paraId="57B2FE9D"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08DEB5B7" w14:textId="77777777" w:rsidR="00E93F58" w:rsidRPr="006E709F" w:rsidRDefault="00E93F58" w:rsidP="00C66015">
      <w:pPr>
        <w:pStyle w:val="ItemHead"/>
      </w:pPr>
      <w:r w:rsidRPr="006E709F">
        <w:t>5A.2  Subsection 1013C(1)</w:t>
      </w:r>
    </w:p>
    <w:p w14:paraId="62EDD770" w14:textId="77777777" w:rsidR="00E93F58" w:rsidRPr="006E709F" w:rsidRDefault="00E93F58" w:rsidP="00C66015">
      <w:pPr>
        <w:pStyle w:val="Item"/>
        <w:rPr>
          <w:i/>
        </w:rPr>
      </w:pPr>
      <w:r w:rsidRPr="006E709F">
        <w:rPr>
          <w:i/>
        </w:rPr>
        <w:t>substitute</w:t>
      </w:r>
    </w:p>
    <w:p w14:paraId="596ED919" w14:textId="77777777" w:rsidR="00E93F58" w:rsidRPr="006E709F" w:rsidRDefault="00E93F58" w:rsidP="00EA46A9">
      <w:pPr>
        <w:pStyle w:val="subsection"/>
      </w:pPr>
      <w:r w:rsidRPr="006E709F">
        <w:tab/>
        <w:t>(1)</w:t>
      </w:r>
      <w:r w:rsidRPr="006E709F">
        <w:tab/>
        <w:t xml:space="preserve">A Product Disclosure Statement for a </w:t>
      </w:r>
      <w:r w:rsidRPr="00BE1284">
        <w:t>standard margin lending facility</w:t>
      </w:r>
      <w:r w:rsidRPr="006E709F">
        <w:t xml:space="preserve"> to which Subdivision 4.2A of Division 4 of Part 7.9 of the </w:t>
      </w:r>
      <w:r w:rsidRPr="006E709F">
        <w:rPr>
          <w:i/>
        </w:rPr>
        <w:t xml:space="preserve">Corporations </w:t>
      </w:r>
      <w:r>
        <w:rPr>
          <w:i/>
        </w:rPr>
        <w:t>Regulations 2</w:t>
      </w:r>
      <w:r w:rsidRPr="006E709F">
        <w:rPr>
          <w:i/>
        </w:rPr>
        <w:t>001</w:t>
      </w:r>
      <w:r w:rsidRPr="006E709F">
        <w:t xml:space="preserve"> applies must:</w:t>
      </w:r>
    </w:p>
    <w:p w14:paraId="0C8B8620" w14:textId="77777777" w:rsidR="00E93F58" w:rsidRPr="006E709F" w:rsidRDefault="00E93F58" w:rsidP="00A801D0">
      <w:pPr>
        <w:pStyle w:val="paragraph"/>
      </w:pPr>
      <w:r w:rsidRPr="006E709F">
        <w:tab/>
        <w:t>(a)</w:t>
      </w:r>
      <w:r w:rsidRPr="006E709F">
        <w:tab/>
        <w:t>include the statements and information required by regulations made for this paragraph; and</w:t>
      </w:r>
    </w:p>
    <w:p w14:paraId="5FA53EA2" w14:textId="77777777" w:rsidR="00E93F58" w:rsidRPr="006E709F" w:rsidRDefault="00E93F58" w:rsidP="00A801D0">
      <w:pPr>
        <w:pStyle w:val="paragraph"/>
      </w:pPr>
      <w:r w:rsidRPr="006E709F">
        <w:tab/>
        <w:t>(b)</w:t>
      </w:r>
      <w:r w:rsidRPr="006E709F">
        <w:tab/>
        <w:t>be in the form required by regulations made for this paragraph.</w:t>
      </w:r>
    </w:p>
    <w:p w14:paraId="6160B1DA" w14:textId="77777777" w:rsidR="00E93F58" w:rsidRPr="006E709F" w:rsidRDefault="00E93F58" w:rsidP="00A801D0">
      <w:pPr>
        <w:pStyle w:val="subsection"/>
      </w:pPr>
      <w:r w:rsidRPr="006E709F">
        <w:tab/>
        <w:t>(1A)</w:t>
      </w:r>
      <w:r w:rsidRPr="006E709F">
        <w:tab/>
        <w:t>If a law other than this Act or regulations under this Act requires the responsible person for the Product Disclosure Statement:</w:t>
      </w:r>
    </w:p>
    <w:p w14:paraId="5593F2B4" w14:textId="77777777" w:rsidR="00E93F58" w:rsidRPr="006E709F" w:rsidRDefault="00E93F58" w:rsidP="00A801D0">
      <w:pPr>
        <w:pStyle w:val="paragraph"/>
      </w:pPr>
      <w:r w:rsidRPr="006E709F">
        <w:tab/>
        <w:t>(a)</w:t>
      </w:r>
      <w:r w:rsidRPr="006E709F">
        <w:tab/>
        <w:t>to give, disclose or provide a matter; or</w:t>
      </w:r>
    </w:p>
    <w:p w14:paraId="27D2BC8F" w14:textId="77777777" w:rsidR="00E93F58" w:rsidRPr="006E709F" w:rsidRDefault="00E93F58" w:rsidP="00A801D0">
      <w:pPr>
        <w:pStyle w:val="paragraph"/>
      </w:pPr>
      <w:r w:rsidRPr="006E709F">
        <w:tab/>
        <w:t>(b)</w:t>
      </w:r>
      <w:r w:rsidRPr="006E709F">
        <w:tab/>
        <w:t>to include a matter in the Statement;</w:t>
      </w:r>
    </w:p>
    <w:p w14:paraId="5A987345" w14:textId="77777777" w:rsidR="00E93F58" w:rsidRPr="006E709F" w:rsidRDefault="00E93F58" w:rsidP="00A801D0">
      <w:pPr>
        <w:pStyle w:val="subsection2"/>
      </w:pPr>
      <w:r w:rsidRPr="006E709F">
        <w:t>the Statement may make provision for the matter by applying, adopting or incorporating the matter as in force at a particular time or as in force from time to time.</w:t>
      </w:r>
    </w:p>
    <w:p w14:paraId="258AF62F" w14:textId="77777777" w:rsidR="00E93F58" w:rsidRPr="006E709F" w:rsidRDefault="00E93F58" w:rsidP="00A801D0">
      <w:pPr>
        <w:pStyle w:val="subsection"/>
      </w:pPr>
      <w:r w:rsidRPr="006E709F">
        <w:tab/>
        <w:t>(1B)</w:t>
      </w:r>
      <w:r w:rsidRPr="006E709F">
        <w:tab/>
        <w:t>In addition to subsection (1A), a Product Disclosure Statement may make provision for a matter contained in writing by applying, adopting or incorporating the matter as in force at a particular time or as in force from time to time.</w:t>
      </w:r>
    </w:p>
    <w:p w14:paraId="5F1333ED" w14:textId="77777777" w:rsidR="00E93F58" w:rsidRPr="006E709F" w:rsidRDefault="00E93F58" w:rsidP="00A801D0">
      <w:pPr>
        <w:pStyle w:val="subsection"/>
      </w:pPr>
      <w:r w:rsidRPr="006E709F">
        <w:tab/>
        <w:t>(1C)</w:t>
      </w:r>
      <w:r w:rsidRPr="006E709F">
        <w:tab/>
        <w:t>If a Product Disclosure Statement applies, adopts or incorporates a matter contained in writing:</w:t>
      </w:r>
    </w:p>
    <w:p w14:paraId="7EBBF68B" w14:textId="77777777" w:rsidR="00E93F58" w:rsidRPr="006E709F" w:rsidRDefault="00E93F58" w:rsidP="00A801D0">
      <w:pPr>
        <w:pStyle w:val="paragraph"/>
      </w:pPr>
      <w:r w:rsidRPr="006E709F">
        <w:tab/>
        <w:t>(a)</w:t>
      </w:r>
      <w:r w:rsidRPr="006E709F">
        <w:tab/>
        <w:t>the applied, adopted or incorporated matter forms part of the Statement; and</w:t>
      </w:r>
    </w:p>
    <w:p w14:paraId="0BEE1E79" w14:textId="77777777" w:rsidR="00E93F58" w:rsidRPr="006E709F" w:rsidRDefault="00E93F58" w:rsidP="00A801D0">
      <w:pPr>
        <w:pStyle w:val="paragraph"/>
      </w:pPr>
      <w:r w:rsidRPr="006E709F">
        <w:tab/>
        <w:t>(b)</w:t>
      </w:r>
      <w:r w:rsidRPr="006E709F">
        <w:tab/>
        <w:t>the responsible person for the Statement is not required to give the document which provides for the matter to a person (as part of giving the Statement or later) if that person has not asked for the document; and</w:t>
      </w:r>
    </w:p>
    <w:p w14:paraId="4913B1B1" w14:textId="77777777" w:rsidR="00E93F58" w:rsidRPr="006E709F" w:rsidRDefault="00E93F58" w:rsidP="00A801D0">
      <w:pPr>
        <w:pStyle w:val="paragraph"/>
      </w:pPr>
      <w:r w:rsidRPr="006E709F">
        <w:tab/>
        <w:t>(c)</w:t>
      </w:r>
      <w:r w:rsidRPr="006E709F">
        <w:tab/>
        <w:t>the responsible person for the Statement must give the document which provides for the matter to a person if that person asks for the document.</w:t>
      </w:r>
    </w:p>
    <w:p w14:paraId="1394B3D0" w14:textId="77777777" w:rsidR="00E93F58" w:rsidRPr="006E709F" w:rsidRDefault="00E93F58" w:rsidP="00A801D0">
      <w:pPr>
        <w:pStyle w:val="subsection"/>
      </w:pPr>
      <w:r w:rsidRPr="006E709F">
        <w:tab/>
        <w:t>(1D)</w:t>
      </w:r>
      <w:r w:rsidRPr="006E709F">
        <w:tab/>
        <w:t>The regulations may prescribe requirements for applying, adopting, or incorporating a matter contained in writing in a Product Disclosure Statement.</w:t>
      </w:r>
    </w:p>
    <w:p w14:paraId="4AC2E43D" w14:textId="77777777" w:rsidR="00E93F58" w:rsidRPr="006E709F" w:rsidRDefault="00E93F58" w:rsidP="00A801D0">
      <w:pPr>
        <w:pStyle w:val="subsection"/>
      </w:pPr>
      <w:r w:rsidRPr="006E709F">
        <w:tab/>
        <w:t>(1E)</w:t>
      </w:r>
      <w:r w:rsidRPr="006E709F">
        <w:tab/>
        <w:t>A Product Disclosure Statement may refer to information, other than information to which subsection (1A) or (1B) applies, that is set out in another document; and</w:t>
      </w:r>
    </w:p>
    <w:p w14:paraId="31BAE269" w14:textId="77777777" w:rsidR="00E93F58" w:rsidRPr="006E709F" w:rsidRDefault="00E93F58" w:rsidP="00A801D0">
      <w:pPr>
        <w:pStyle w:val="subsection"/>
      </w:pPr>
      <w:r w:rsidRPr="006E709F">
        <w:tab/>
        <w:t>(1F)</w:t>
      </w:r>
      <w:r w:rsidRPr="006E709F">
        <w:tab/>
        <w:t>If the Product Disclosure Statement refers to other information as permitted by subsection (1E), that information does not form part of the Statement.</w:t>
      </w:r>
    </w:p>
    <w:p w14:paraId="698C9F59" w14:textId="77777777" w:rsidR="00E93F58" w:rsidRPr="006E709F" w:rsidRDefault="00E93F58" w:rsidP="00A801D0">
      <w:pPr>
        <w:pStyle w:val="notetext"/>
      </w:pPr>
      <w:r w:rsidRPr="006E709F">
        <w:t>Note:</w:t>
      </w:r>
      <w:r w:rsidRPr="006E709F">
        <w:tab/>
        <w:t>Although the information mentioned in subsection (1F) would not form part of the Product Disclosure Statement, it would be subject to requirements imposed by the Act or these Regulations such as the prohibition on making misleading or deceptive statements.</w:t>
      </w:r>
    </w:p>
    <w:p w14:paraId="52CA04EE" w14:textId="77777777" w:rsidR="00E93F58" w:rsidRPr="006E709F" w:rsidRDefault="00E93F58" w:rsidP="00C66015">
      <w:pPr>
        <w:pStyle w:val="ItemHead"/>
      </w:pPr>
      <w:r w:rsidRPr="006E709F">
        <w:t>5A.3  Section 1013D</w:t>
      </w:r>
    </w:p>
    <w:p w14:paraId="2B2BF202" w14:textId="77777777" w:rsidR="00E93F58" w:rsidRPr="006E709F" w:rsidRDefault="00E93F58" w:rsidP="00C66015">
      <w:pPr>
        <w:pStyle w:val="Item"/>
        <w:rPr>
          <w:i/>
        </w:rPr>
      </w:pPr>
      <w:r w:rsidRPr="006E709F">
        <w:rPr>
          <w:i/>
        </w:rPr>
        <w:t>omit</w:t>
      </w:r>
    </w:p>
    <w:p w14:paraId="4FEFFE82" w14:textId="77777777" w:rsidR="00E93F58" w:rsidRPr="006E709F" w:rsidRDefault="00E93F58" w:rsidP="00C66015">
      <w:pPr>
        <w:pStyle w:val="ItemHead"/>
      </w:pPr>
      <w:r w:rsidRPr="006E709F">
        <w:t>5A.4  Section 1013E</w:t>
      </w:r>
    </w:p>
    <w:p w14:paraId="45039B84" w14:textId="77777777" w:rsidR="00E93F58" w:rsidRPr="006E709F" w:rsidRDefault="00E93F58" w:rsidP="00C66015">
      <w:pPr>
        <w:pStyle w:val="Item"/>
        <w:rPr>
          <w:i/>
        </w:rPr>
      </w:pPr>
      <w:r w:rsidRPr="006E709F">
        <w:rPr>
          <w:i/>
        </w:rPr>
        <w:t>omit</w:t>
      </w:r>
    </w:p>
    <w:p w14:paraId="3671EC13" w14:textId="77777777" w:rsidR="00E93F58" w:rsidRPr="006E709F" w:rsidRDefault="00E93F58" w:rsidP="00C66015">
      <w:pPr>
        <w:pStyle w:val="ItemHead"/>
      </w:pPr>
      <w:r w:rsidRPr="006E709F">
        <w:t>5A.5  Section 1013L</w:t>
      </w:r>
    </w:p>
    <w:p w14:paraId="4B7A5591" w14:textId="77777777" w:rsidR="00E93F58" w:rsidRPr="006E709F" w:rsidRDefault="00E93F58" w:rsidP="00C66015">
      <w:pPr>
        <w:pStyle w:val="Item"/>
        <w:rPr>
          <w:i/>
        </w:rPr>
      </w:pPr>
      <w:r w:rsidRPr="006E709F">
        <w:rPr>
          <w:i/>
        </w:rPr>
        <w:t>substitute</w:t>
      </w:r>
    </w:p>
    <w:p w14:paraId="2F316C26" w14:textId="77777777" w:rsidR="00E93F58" w:rsidRPr="006E709F" w:rsidRDefault="00E93F58" w:rsidP="005A44F5">
      <w:pPr>
        <w:pStyle w:val="Specials"/>
      </w:pPr>
      <w:r w:rsidRPr="006E709F">
        <w:t>1013L  When Product Disclosure document may consist of 2 or more documents</w:t>
      </w:r>
    </w:p>
    <w:p w14:paraId="160ECACB" w14:textId="77777777" w:rsidR="00E93F58" w:rsidRPr="006E709F" w:rsidRDefault="00E93F58" w:rsidP="00A801D0">
      <w:pPr>
        <w:pStyle w:val="subsection"/>
      </w:pPr>
      <w:r w:rsidRPr="006E709F">
        <w:tab/>
      </w:r>
      <w:r w:rsidRPr="006E709F">
        <w:tab/>
        <w:t>A Product Disclosure Statement may consist of 2 or more documents, only if:</w:t>
      </w:r>
    </w:p>
    <w:p w14:paraId="5086912E" w14:textId="77777777" w:rsidR="00E93F58" w:rsidRPr="006E709F" w:rsidRDefault="00E93F58" w:rsidP="00A801D0">
      <w:pPr>
        <w:pStyle w:val="paragraph"/>
      </w:pPr>
      <w:r w:rsidRPr="006E709F">
        <w:tab/>
        <w:t>(a)</w:t>
      </w:r>
      <w:r w:rsidRPr="006E709F">
        <w:tab/>
        <w:t>one of the documents is a document that complies with the requirements for a Product Disclosure Statement under this Act and the Regulations; and</w:t>
      </w:r>
    </w:p>
    <w:p w14:paraId="557C7DD5" w14:textId="77777777" w:rsidR="00E93F58" w:rsidRPr="006E709F" w:rsidRDefault="00E93F58" w:rsidP="00A801D0">
      <w:pPr>
        <w:pStyle w:val="paragraph"/>
      </w:pPr>
      <w:r w:rsidRPr="006E709F">
        <w:tab/>
        <w:t>(b)</w:t>
      </w:r>
      <w:r w:rsidRPr="006E709F">
        <w:tab/>
        <w:t>the other document or documents contain a matter in writing that is applied, adopted or incorporated by the document mentioned in paragraph (a).</w:t>
      </w:r>
    </w:p>
    <w:p w14:paraId="23F43257" w14:textId="77777777" w:rsidR="00E93F58" w:rsidRPr="006E709F" w:rsidRDefault="00E93F58" w:rsidP="00C66015">
      <w:pPr>
        <w:pStyle w:val="ItemHead"/>
      </w:pPr>
      <w:r w:rsidRPr="006E709F">
        <w:lastRenderedPageBreak/>
        <w:t>5A.6  Subdivision D, Division 2</w:t>
      </w:r>
    </w:p>
    <w:p w14:paraId="6A3C04E7" w14:textId="77777777" w:rsidR="00E93F58" w:rsidRPr="006E709F" w:rsidRDefault="00E93F58" w:rsidP="00C66015">
      <w:pPr>
        <w:pStyle w:val="Item"/>
        <w:rPr>
          <w:i/>
        </w:rPr>
      </w:pPr>
      <w:r w:rsidRPr="006E709F">
        <w:rPr>
          <w:i/>
        </w:rPr>
        <w:t>omit</w:t>
      </w:r>
    </w:p>
    <w:p w14:paraId="1B94EED5" w14:textId="77777777" w:rsidR="00E93F58" w:rsidRPr="006E709F" w:rsidRDefault="00E93F58" w:rsidP="00C66015">
      <w:pPr>
        <w:pStyle w:val="ItemHead"/>
      </w:pPr>
      <w:r w:rsidRPr="006E709F">
        <w:t>5A.7  Subsection 1015D(3)</w:t>
      </w:r>
    </w:p>
    <w:p w14:paraId="3B9B1DD9" w14:textId="77777777" w:rsidR="00E93F58" w:rsidRPr="006E709F" w:rsidRDefault="00E93F58" w:rsidP="00C66015">
      <w:pPr>
        <w:pStyle w:val="Item"/>
        <w:rPr>
          <w:i/>
        </w:rPr>
      </w:pPr>
      <w:r w:rsidRPr="006E709F">
        <w:rPr>
          <w:i/>
        </w:rPr>
        <w:t>omit</w:t>
      </w:r>
    </w:p>
    <w:p w14:paraId="48D4D7B6" w14:textId="77777777" w:rsidR="00E93F58" w:rsidRPr="006E709F" w:rsidRDefault="00E93F58" w:rsidP="00AE08F9">
      <w:pPr>
        <w:pStyle w:val="ActHead2"/>
        <w:pageBreakBefore/>
      </w:pPr>
      <w:bookmarkStart w:id="3482" w:name="_Toc151992489"/>
      <w:bookmarkStart w:id="3483" w:name="_Toc158713526"/>
      <w:r w:rsidRPr="000C4237">
        <w:rPr>
          <w:rStyle w:val="CharPartNo"/>
        </w:rPr>
        <w:lastRenderedPageBreak/>
        <w:t>Part 5B</w:t>
      </w:r>
      <w:r w:rsidRPr="006E709F">
        <w:t>—</w:t>
      </w:r>
      <w:r w:rsidRPr="000C4237">
        <w:rPr>
          <w:rStyle w:val="CharPartText"/>
        </w:rPr>
        <w:t>Modifications for superannuation products to which Subdivision 4.2B of Division 4 of Part 7.9 applies</w:t>
      </w:r>
      <w:bookmarkEnd w:id="3482"/>
      <w:bookmarkEnd w:id="3483"/>
    </w:p>
    <w:p w14:paraId="28643EB4" w14:textId="77777777" w:rsidR="00E93F58" w:rsidRPr="006E709F" w:rsidRDefault="00E93F58" w:rsidP="00A37D65">
      <w:pPr>
        <w:pStyle w:val="Header"/>
      </w:pPr>
      <w:r w:rsidRPr="000C4237">
        <w:rPr>
          <w:rStyle w:val="CharDivNo"/>
        </w:rPr>
        <w:t xml:space="preserve"> </w:t>
      </w:r>
      <w:r w:rsidRPr="000C4237">
        <w:rPr>
          <w:rStyle w:val="CharDivText"/>
        </w:rPr>
        <w:t xml:space="preserve"> </w:t>
      </w:r>
    </w:p>
    <w:p w14:paraId="28C65436" w14:textId="77777777" w:rsidR="00E93F58" w:rsidRPr="006E709F" w:rsidRDefault="00E93F58" w:rsidP="00C66015">
      <w:pPr>
        <w:pStyle w:val="ItemHead"/>
      </w:pPr>
      <w:r w:rsidRPr="006E709F">
        <w:t>5B.2  Subsection 1013C(1)</w:t>
      </w:r>
    </w:p>
    <w:p w14:paraId="5B9966C5" w14:textId="77777777" w:rsidR="00E93F58" w:rsidRPr="006E709F" w:rsidRDefault="00E93F58" w:rsidP="00A801D0">
      <w:pPr>
        <w:pStyle w:val="Item"/>
        <w:rPr>
          <w:i/>
        </w:rPr>
      </w:pPr>
      <w:r w:rsidRPr="006E709F">
        <w:rPr>
          <w:i/>
        </w:rPr>
        <w:t>substitute</w:t>
      </w:r>
    </w:p>
    <w:p w14:paraId="27087487" w14:textId="77777777" w:rsidR="00E93F58" w:rsidRPr="006E709F" w:rsidRDefault="00E93F58" w:rsidP="00A801D0">
      <w:pPr>
        <w:pStyle w:val="subsection"/>
      </w:pPr>
      <w:r w:rsidRPr="006E709F">
        <w:tab/>
        <w:t>(1)</w:t>
      </w:r>
      <w:r w:rsidRPr="006E709F">
        <w:tab/>
        <w:t xml:space="preserve">A Product Disclosure Statement for a superannuation product to which Subdivision 4.2B of Division 4 of Part 7.9 of the </w:t>
      </w:r>
      <w:r w:rsidRPr="006E709F">
        <w:rPr>
          <w:i/>
        </w:rPr>
        <w:t xml:space="preserve">Corporations </w:t>
      </w:r>
      <w:r>
        <w:rPr>
          <w:i/>
        </w:rPr>
        <w:t>Regulations 2</w:t>
      </w:r>
      <w:r w:rsidRPr="006E709F">
        <w:rPr>
          <w:i/>
        </w:rPr>
        <w:t>001</w:t>
      </w:r>
      <w:r w:rsidRPr="006E709F">
        <w:t xml:space="preserve"> applies must:</w:t>
      </w:r>
    </w:p>
    <w:p w14:paraId="0A6B142C" w14:textId="77777777" w:rsidR="00E93F58" w:rsidRPr="006E709F" w:rsidRDefault="00E93F58" w:rsidP="00A801D0">
      <w:pPr>
        <w:pStyle w:val="paragraph"/>
      </w:pPr>
      <w:r w:rsidRPr="006E709F">
        <w:tab/>
        <w:t>(a)</w:t>
      </w:r>
      <w:r w:rsidRPr="006E709F">
        <w:tab/>
        <w:t>include the statements and information required by regulations made for this paragraph; and</w:t>
      </w:r>
    </w:p>
    <w:p w14:paraId="48F18725" w14:textId="77777777" w:rsidR="00E93F58" w:rsidRPr="006E709F" w:rsidRDefault="00E93F58" w:rsidP="00A801D0">
      <w:pPr>
        <w:pStyle w:val="paragraph"/>
      </w:pPr>
      <w:r w:rsidRPr="006E709F">
        <w:tab/>
        <w:t>(b)</w:t>
      </w:r>
      <w:r w:rsidRPr="006E709F">
        <w:tab/>
        <w:t>be in the form required by regulations made for this paragraph.</w:t>
      </w:r>
    </w:p>
    <w:p w14:paraId="74DA61E4" w14:textId="77777777" w:rsidR="00E93F58" w:rsidRPr="006E709F" w:rsidRDefault="00E93F58" w:rsidP="00A801D0">
      <w:pPr>
        <w:pStyle w:val="subsection"/>
      </w:pPr>
      <w:r w:rsidRPr="006E709F">
        <w:tab/>
        <w:t>(1A)</w:t>
      </w:r>
      <w:r w:rsidRPr="006E709F">
        <w:tab/>
        <w:t>If a law other than this Act or regulations under this Act requires the responsible person for the Product Disclosure Statement:</w:t>
      </w:r>
    </w:p>
    <w:p w14:paraId="78EA64A8" w14:textId="77777777" w:rsidR="00E93F58" w:rsidRPr="006E709F" w:rsidRDefault="00E93F58" w:rsidP="00A801D0">
      <w:pPr>
        <w:pStyle w:val="paragraph"/>
      </w:pPr>
      <w:r w:rsidRPr="006E709F">
        <w:tab/>
        <w:t>(a)</w:t>
      </w:r>
      <w:r w:rsidRPr="006E709F">
        <w:tab/>
        <w:t>to give, disclose or provide a matter; or</w:t>
      </w:r>
    </w:p>
    <w:p w14:paraId="5324728C" w14:textId="77777777" w:rsidR="00E93F58" w:rsidRPr="006E709F" w:rsidRDefault="00E93F58" w:rsidP="00A801D0">
      <w:pPr>
        <w:pStyle w:val="paragraph"/>
      </w:pPr>
      <w:r w:rsidRPr="006E709F">
        <w:tab/>
        <w:t>(b)</w:t>
      </w:r>
      <w:r w:rsidRPr="006E709F">
        <w:tab/>
        <w:t>to include a matter in the Statement;</w:t>
      </w:r>
    </w:p>
    <w:p w14:paraId="384B45E4" w14:textId="77777777" w:rsidR="00E93F58" w:rsidRPr="006E709F" w:rsidRDefault="00E93F58" w:rsidP="00A801D0">
      <w:pPr>
        <w:pStyle w:val="subsection2"/>
      </w:pPr>
      <w:r w:rsidRPr="006E709F">
        <w:t>the Statement may make provision for the matter by applying, adopting or incorporating the matter as in force at a particular time or as in force from time to time.</w:t>
      </w:r>
    </w:p>
    <w:p w14:paraId="3AC51E49" w14:textId="77777777" w:rsidR="00E93F58" w:rsidRPr="006E709F" w:rsidRDefault="00E93F58" w:rsidP="00A801D0">
      <w:pPr>
        <w:pStyle w:val="subsection"/>
      </w:pPr>
      <w:r w:rsidRPr="006E709F">
        <w:tab/>
        <w:t>(1B)</w:t>
      </w:r>
      <w:r w:rsidRPr="006E709F">
        <w:tab/>
        <w:t>In addition to subsection (1A), a Product Disclosure Statement may make provision for a matter contained in writing by applying, adopting or incorporating the matter as in force at a particular time or as in force from time to time.</w:t>
      </w:r>
    </w:p>
    <w:p w14:paraId="3727A3EC" w14:textId="77777777" w:rsidR="00E93F58" w:rsidRPr="006E709F" w:rsidRDefault="00E93F58" w:rsidP="00A801D0">
      <w:pPr>
        <w:pStyle w:val="subsection"/>
      </w:pPr>
      <w:r w:rsidRPr="006E709F">
        <w:tab/>
        <w:t>(1C)</w:t>
      </w:r>
      <w:r w:rsidRPr="006E709F">
        <w:tab/>
        <w:t>If a Product Disclosure Statement applies, adopts or incorporates a matter contained in writing:</w:t>
      </w:r>
    </w:p>
    <w:p w14:paraId="06C86091" w14:textId="77777777" w:rsidR="00E93F58" w:rsidRPr="006E709F" w:rsidRDefault="00E93F58" w:rsidP="00A801D0">
      <w:pPr>
        <w:pStyle w:val="paragraph"/>
      </w:pPr>
      <w:r w:rsidRPr="006E709F">
        <w:tab/>
        <w:t>(a)</w:t>
      </w:r>
      <w:r w:rsidRPr="006E709F">
        <w:tab/>
        <w:t>the applied, adopted or incorporated matter forms part of the Statement; and</w:t>
      </w:r>
    </w:p>
    <w:p w14:paraId="502D4742" w14:textId="77777777" w:rsidR="00E93F58" w:rsidRPr="006E709F" w:rsidRDefault="00E93F58" w:rsidP="00A801D0">
      <w:pPr>
        <w:pStyle w:val="paragraph"/>
      </w:pPr>
      <w:r w:rsidRPr="006E709F">
        <w:tab/>
        <w:t>(b)</w:t>
      </w:r>
      <w:r w:rsidRPr="006E709F">
        <w:tab/>
        <w:t>the responsible person for the Statement is not required to give the document which provides for the matter to a person (as part of giving the Statement or later) if that person has not asked for the document; and</w:t>
      </w:r>
    </w:p>
    <w:p w14:paraId="74138BBC" w14:textId="77777777" w:rsidR="00E93F58" w:rsidRPr="006E709F" w:rsidRDefault="00E93F58" w:rsidP="00A801D0">
      <w:pPr>
        <w:pStyle w:val="paragraph"/>
      </w:pPr>
      <w:r w:rsidRPr="006E709F">
        <w:tab/>
        <w:t>(c)</w:t>
      </w:r>
      <w:r w:rsidRPr="006E709F">
        <w:tab/>
        <w:t>the responsible person for the Statement must give the document which provides for the matter to a person if that person asks for the document.</w:t>
      </w:r>
    </w:p>
    <w:p w14:paraId="2CE4A68E" w14:textId="77777777" w:rsidR="00E93F58" w:rsidRPr="006E709F" w:rsidRDefault="00E93F58" w:rsidP="00A801D0">
      <w:pPr>
        <w:pStyle w:val="subsection"/>
      </w:pPr>
      <w:r w:rsidRPr="006E709F">
        <w:tab/>
        <w:t>(1D)</w:t>
      </w:r>
      <w:r w:rsidRPr="006E709F">
        <w:tab/>
        <w:t>The regulations may prescribe requirements for applying, adopting, or incorporating a matter contained in writing in a Product Disclosure Statement.</w:t>
      </w:r>
    </w:p>
    <w:p w14:paraId="5AD667C8" w14:textId="77777777" w:rsidR="00E93F58" w:rsidRPr="006E709F" w:rsidRDefault="00E93F58" w:rsidP="00A801D0">
      <w:pPr>
        <w:pStyle w:val="subsection"/>
      </w:pPr>
      <w:r w:rsidRPr="006E709F">
        <w:tab/>
        <w:t>(1E)</w:t>
      </w:r>
      <w:r w:rsidRPr="006E709F">
        <w:tab/>
        <w:t>A Product Disclosure Statement may refer to information, other than information to which subsection (1A) or (1B) applies, that is set out in another document; and</w:t>
      </w:r>
    </w:p>
    <w:p w14:paraId="6E584775" w14:textId="77777777" w:rsidR="00E93F58" w:rsidRPr="006E709F" w:rsidRDefault="00E93F58" w:rsidP="00A801D0">
      <w:pPr>
        <w:pStyle w:val="subsection"/>
      </w:pPr>
      <w:r w:rsidRPr="006E709F">
        <w:tab/>
        <w:t>(1F)</w:t>
      </w:r>
      <w:r w:rsidRPr="006E709F">
        <w:tab/>
        <w:t>If the Product Disclosure Statement refers to other information as permitted by subsection (1E), that information does not form part of the Statement.</w:t>
      </w:r>
    </w:p>
    <w:p w14:paraId="4BBA519C" w14:textId="77777777" w:rsidR="00E93F58" w:rsidRPr="006E709F" w:rsidRDefault="00E93F58" w:rsidP="00A801D0">
      <w:pPr>
        <w:pStyle w:val="notetext"/>
      </w:pPr>
      <w:r w:rsidRPr="006E709F">
        <w:t>Note:</w:t>
      </w:r>
      <w:r w:rsidRPr="006E709F">
        <w:tab/>
        <w:t>Although the information mentioned in subsection (1F) would not form part of the Product Disclosure Statement, it would be subject to requirements imposed by the Act or these Regulations such as the prohibition on making misleading or deceptive statements.</w:t>
      </w:r>
    </w:p>
    <w:p w14:paraId="45D99C1F" w14:textId="77777777" w:rsidR="00E93F58" w:rsidRPr="006E709F" w:rsidRDefault="00E93F58" w:rsidP="00C66015">
      <w:pPr>
        <w:pStyle w:val="ItemHead"/>
      </w:pPr>
      <w:r w:rsidRPr="006E709F">
        <w:t>5B.3  Section 1013D</w:t>
      </w:r>
    </w:p>
    <w:p w14:paraId="484731EB" w14:textId="77777777" w:rsidR="00E93F58" w:rsidRPr="006E709F" w:rsidRDefault="00E93F58" w:rsidP="00A801D0">
      <w:pPr>
        <w:pStyle w:val="Item"/>
        <w:rPr>
          <w:i/>
        </w:rPr>
      </w:pPr>
      <w:r w:rsidRPr="006E709F">
        <w:rPr>
          <w:i/>
        </w:rPr>
        <w:t>omit</w:t>
      </w:r>
    </w:p>
    <w:p w14:paraId="6E52EA59" w14:textId="77777777" w:rsidR="00E93F58" w:rsidRPr="006E709F" w:rsidRDefault="00E93F58" w:rsidP="00C66015">
      <w:pPr>
        <w:pStyle w:val="ItemHead"/>
      </w:pPr>
      <w:r w:rsidRPr="006E709F">
        <w:t>5B.4  Section 1013E</w:t>
      </w:r>
    </w:p>
    <w:p w14:paraId="7DF53A56" w14:textId="77777777" w:rsidR="00E93F58" w:rsidRPr="006E709F" w:rsidRDefault="00E93F58" w:rsidP="00A801D0">
      <w:pPr>
        <w:pStyle w:val="Item"/>
        <w:rPr>
          <w:i/>
        </w:rPr>
      </w:pPr>
      <w:r w:rsidRPr="006E709F">
        <w:rPr>
          <w:i/>
        </w:rPr>
        <w:t>omit</w:t>
      </w:r>
    </w:p>
    <w:p w14:paraId="43CBE58F" w14:textId="77777777" w:rsidR="00E93F58" w:rsidRPr="006E709F" w:rsidRDefault="00E93F58" w:rsidP="00C66015">
      <w:pPr>
        <w:pStyle w:val="ItemHead"/>
      </w:pPr>
      <w:r w:rsidRPr="006E709F">
        <w:t>5B.5  Section 1013L</w:t>
      </w:r>
    </w:p>
    <w:p w14:paraId="00328395" w14:textId="77777777" w:rsidR="00E93F58" w:rsidRPr="006E709F" w:rsidRDefault="00E93F58" w:rsidP="00C66015">
      <w:pPr>
        <w:pStyle w:val="Item"/>
        <w:rPr>
          <w:i/>
        </w:rPr>
      </w:pPr>
      <w:r w:rsidRPr="006E709F">
        <w:rPr>
          <w:i/>
        </w:rPr>
        <w:t>substitute</w:t>
      </w:r>
    </w:p>
    <w:p w14:paraId="2CEE9C6F" w14:textId="77777777" w:rsidR="00E93F58" w:rsidRPr="006E709F" w:rsidRDefault="00E93F58" w:rsidP="005A44F5">
      <w:pPr>
        <w:pStyle w:val="Specials"/>
      </w:pPr>
      <w:r w:rsidRPr="006E709F">
        <w:t>1013L  When Product Disclosure Statement may consist of 2 or more documents</w:t>
      </w:r>
    </w:p>
    <w:p w14:paraId="58F415BB" w14:textId="77777777" w:rsidR="00E93F58" w:rsidRPr="006E709F" w:rsidRDefault="00E93F58" w:rsidP="00A801D0">
      <w:pPr>
        <w:pStyle w:val="subsection"/>
      </w:pPr>
      <w:r w:rsidRPr="006E709F">
        <w:tab/>
      </w:r>
      <w:r w:rsidRPr="006E709F">
        <w:tab/>
        <w:t>A Product Disclosure Statement may consist of 2 or more documents only if:</w:t>
      </w:r>
    </w:p>
    <w:p w14:paraId="26F29322" w14:textId="77777777" w:rsidR="00E93F58" w:rsidRPr="006E709F" w:rsidRDefault="00E93F58" w:rsidP="00A801D0">
      <w:pPr>
        <w:pStyle w:val="paragraph"/>
      </w:pPr>
      <w:r w:rsidRPr="006E709F">
        <w:tab/>
        <w:t>(a)</w:t>
      </w:r>
      <w:r w:rsidRPr="006E709F">
        <w:tab/>
        <w:t>one of the documents is a document that complies with the requirements for a Product Disclosure Statement under this Act and the Regulations; and</w:t>
      </w:r>
    </w:p>
    <w:p w14:paraId="43033DEB" w14:textId="77777777" w:rsidR="00E93F58" w:rsidRPr="006E709F" w:rsidRDefault="00E93F58" w:rsidP="00A801D0">
      <w:pPr>
        <w:pStyle w:val="paragraph"/>
      </w:pPr>
      <w:r w:rsidRPr="006E709F">
        <w:tab/>
        <w:t>(b)</w:t>
      </w:r>
      <w:r w:rsidRPr="006E709F">
        <w:tab/>
        <w:t>the other document or documents contain a matter in writing that is applied, adopted or incorporated by the document mentioned in subparagraph (a).</w:t>
      </w:r>
    </w:p>
    <w:p w14:paraId="6E6B2D8B" w14:textId="77777777" w:rsidR="00E93F58" w:rsidRPr="006E709F" w:rsidRDefault="00E93F58" w:rsidP="00C66015">
      <w:pPr>
        <w:pStyle w:val="ItemHead"/>
      </w:pPr>
      <w:r w:rsidRPr="006E709F">
        <w:lastRenderedPageBreak/>
        <w:t>5B.6  Subsection 1015D(3)</w:t>
      </w:r>
    </w:p>
    <w:p w14:paraId="20BF3126" w14:textId="77777777" w:rsidR="00E93F58" w:rsidRPr="006E709F" w:rsidRDefault="00E93F58" w:rsidP="00C66015">
      <w:pPr>
        <w:pStyle w:val="Item"/>
        <w:rPr>
          <w:i/>
        </w:rPr>
      </w:pPr>
      <w:r w:rsidRPr="006E709F">
        <w:rPr>
          <w:i/>
        </w:rPr>
        <w:t>omit</w:t>
      </w:r>
    </w:p>
    <w:p w14:paraId="61CD37D3" w14:textId="77777777" w:rsidR="00E93F58" w:rsidRPr="006E709F" w:rsidRDefault="00E93F58" w:rsidP="00AE08F9">
      <w:pPr>
        <w:pStyle w:val="ActHead2"/>
        <w:pageBreakBefore/>
      </w:pPr>
      <w:bookmarkStart w:id="3484" w:name="_Toc151992490"/>
      <w:bookmarkStart w:id="3485" w:name="_Toc158713527"/>
      <w:r w:rsidRPr="000C4237">
        <w:rPr>
          <w:rStyle w:val="CharPartNo"/>
        </w:rPr>
        <w:lastRenderedPageBreak/>
        <w:t>Part 5C</w:t>
      </w:r>
      <w:r w:rsidRPr="006E709F">
        <w:t>—</w:t>
      </w:r>
      <w:r w:rsidRPr="000C4237">
        <w:rPr>
          <w:rStyle w:val="CharPartText"/>
        </w:rPr>
        <w:t>Modifications for simple managed investment scheme</w:t>
      </w:r>
      <w:bookmarkEnd w:id="3484"/>
      <w:bookmarkEnd w:id="3485"/>
    </w:p>
    <w:p w14:paraId="18E37C43" w14:textId="77777777" w:rsidR="00E93F58" w:rsidRPr="006E709F" w:rsidRDefault="00E93F58" w:rsidP="00A37D65">
      <w:pPr>
        <w:pStyle w:val="Header"/>
      </w:pPr>
      <w:r w:rsidRPr="000C4237">
        <w:rPr>
          <w:rStyle w:val="CharDivNo"/>
        </w:rPr>
        <w:t xml:space="preserve"> </w:t>
      </w:r>
      <w:r w:rsidRPr="000C4237">
        <w:rPr>
          <w:rStyle w:val="CharDivText"/>
        </w:rPr>
        <w:t xml:space="preserve"> </w:t>
      </w:r>
    </w:p>
    <w:p w14:paraId="6A22CB50" w14:textId="77777777" w:rsidR="00E93F58" w:rsidRPr="006E709F" w:rsidRDefault="00E93F58" w:rsidP="00C66015">
      <w:pPr>
        <w:pStyle w:val="ItemHead"/>
      </w:pPr>
      <w:r w:rsidRPr="006E709F">
        <w:t>5C.2  Subsection 1013C(1)</w:t>
      </w:r>
    </w:p>
    <w:p w14:paraId="53DEA603" w14:textId="77777777" w:rsidR="00E93F58" w:rsidRPr="006E709F" w:rsidRDefault="00E93F58" w:rsidP="00A801D0">
      <w:pPr>
        <w:pStyle w:val="Item"/>
        <w:rPr>
          <w:i/>
        </w:rPr>
      </w:pPr>
      <w:r w:rsidRPr="006E709F">
        <w:rPr>
          <w:i/>
        </w:rPr>
        <w:t>substitute</w:t>
      </w:r>
    </w:p>
    <w:p w14:paraId="1F9394C9" w14:textId="77777777" w:rsidR="00E93F58" w:rsidRPr="006E709F" w:rsidRDefault="00E93F58" w:rsidP="00A801D0">
      <w:pPr>
        <w:pStyle w:val="subsection"/>
      </w:pPr>
      <w:r w:rsidRPr="006E709F">
        <w:tab/>
        <w:t>(1)</w:t>
      </w:r>
      <w:r w:rsidRPr="006E709F">
        <w:tab/>
        <w:t xml:space="preserve">A Product Disclosure Statement for a simple managed investment scheme to which Subdivision 4.2C of Division 4 of Part 7.9 of the </w:t>
      </w:r>
      <w:r w:rsidRPr="006E709F">
        <w:rPr>
          <w:i/>
        </w:rPr>
        <w:t xml:space="preserve">Corporations </w:t>
      </w:r>
      <w:r>
        <w:rPr>
          <w:i/>
        </w:rPr>
        <w:t>Regulations 2</w:t>
      </w:r>
      <w:r w:rsidRPr="006E709F">
        <w:rPr>
          <w:i/>
        </w:rPr>
        <w:t>001</w:t>
      </w:r>
      <w:r w:rsidRPr="006E709F">
        <w:t xml:space="preserve"> applies must:</w:t>
      </w:r>
    </w:p>
    <w:p w14:paraId="7BBFB8BC" w14:textId="77777777" w:rsidR="00E93F58" w:rsidRPr="006E709F" w:rsidRDefault="00E93F58" w:rsidP="00A801D0">
      <w:pPr>
        <w:pStyle w:val="paragraph"/>
      </w:pPr>
      <w:r w:rsidRPr="006E709F">
        <w:tab/>
        <w:t>(a)</w:t>
      </w:r>
      <w:r w:rsidRPr="006E709F">
        <w:tab/>
        <w:t>include the statements and information required by regulations made for this paragraph; and</w:t>
      </w:r>
    </w:p>
    <w:p w14:paraId="051EFCB6" w14:textId="77777777" w:rsidR="00E93F58" w:rsidRPr="006E709F" w:rsidRDefault="00E93F58" w:rsidP="00A801D0">
      <w:pPr>
        <w:pStyle w:val="paragraph"/>
      </w:pPr>
      <w:r w:rsidRPr="006E709F">
        <w:tab/>
        <w:t>(b)</w:t>
      </w:r>
      <w:r w:rsidRPr="006E709F">
        <w:tab/>
        <w:t>be in the form required by regulations made for this paragraph; and</w:t>
      </w:r>
    </w:p>
    <w:p w14:paraId="10D181B3" w14:textId="77777777" w:rsidR="00E93F58" w:rsidRPr="006E709F" w:rsidRDefault="00E93F58" w:rsidP="00A801D0">
      <w:pPr>
        <w:pStyle w:val="paragraph"/>
      </w:pPr>
      <w:r w:rsidRPr="006E709F">
        <w:tab/>
        <w:t>(c)</w:t>
      </w:r>
      <w:r w:rsidRPr="006E709F">
        <w:tab/>
        <w:t>relate only to 1 simple managed investment scheme.</w:t>
      </w:r>
    </w:p>
    <w:p w14:paraId="5069709D" w14:textId="77777777" w:rsidR="00E93F58" w:rsidRPr="006E709F" w:rsidRDefault="00E93F58" w:rsidP="00A801D0">
      <w:pPr>
        <w:pStyle w:val="subsection"/>
      </w:pPr>
      <w:r w:rsidRPr="006E709F">
        <w:tab/>
        <w:t>(1A)</w:t>
      </w:r>
      <w:r w:rsidRPr="006E709F">
        <w:tab/>
        <w:t>If a law other than this Act or regulations under this Act requires the responsible person for the Product Disclosure Statement:</w:t>
      </w:r>
    </w:p>
    <w:p w14:paraId="781226E6" w14:textId="77777777" w:rsidR="00E93F58" w:rsidRPr="006E709F" w:rsidRDefault="00E93F58" w:rsidP="00A801D0">
      <w:pPr>
        <w:pStyle w:val="paragraph"/>
      </w:pPr>
      <w:r w:rsidRPr="006E709F">
        <w:tab/>
        <w:t>(a)</w:t>
      </w:r>
      <w:r w:rsidRPr="006E709F">
        <w:tab/>
        <w:t>to give, disclose or provide a matter; or</w:t>
      </w:r>
    </w:p>
    <w:p w14:paraId="6B6B4D06" w14:textId="77777777" w:rsidR="00E93F58" w:rsidRPr="006E709F" w:rsidRDefault="00E93F58" w:rsidP="00A801D0">
      <w:pPr>
        <w:pStyle w:val="paragraph"/>
      </w:pPr>
      <w:r w:rsidRPr="006E709F">
        <w:tab/>
        <w:t>(b)</w:t>
      </w:r>
      <w:r w:rsidRPr="006E709F">
        <w:tab/>
        <w:t>to include a matter in the Statement;</w:t>
      </w:r>
    </w:p>
    <w:p w14:paraId="0E76C89B" w14:textId="77777777" w:rsidR="00E93F58" w:rsidRPr="006E709F" w:rsidRDefault="00E93F58" w:rsidP="00A801D0">
      <w:pPr>
        <w:pStyle w:val="subsection2"/>
      </w:pPr>
      <w:r w:rsidRPr="006E709F">
        <w:t>the Statement may make provision for the matter by applying, adopting or incorporating the matter as in force at a particular time or as in force from time to time.</w:t>
      </w:r>
    </w:p>
    <w:p w14:paraId="7DFAABA9" w14:textId="77777777" w:rsidR="00E93F58" w:rsidRPr="006E709F" w:rsidRDefault="00E93F58" w:rsidP="00A801D0">
      <w:pPr>
        <w:pStyle w:val="subsection"/>
      </w:pPr>
      <w:r w:rsidRPr="006E709F">
        <w:tab/>
        <w:t>(1B)</w:t>
      </w:r>
      <w:r w:rsidRPr="006E709F">
        <w:tab/>
        <w:t>In addition to subsection (1A), a Product Disclosure Statement may make provision for a matter contained in writing by applying, adopting or incorporating the matter as in force at a particular time or as in force from time to time.</w:t>
      </w:r>
    </w:p>
    <w:p w14:paraId="14986BEE" w14:textId="77777777" w:rsidR="00E93F58" w:rsidRPr="006E709F" w:rsidRDefault="00E93F58" w:rsidP="00A801D0">
      <w:pPr>
        <w:pStyle w:val="subsection"/>
      </w:pPr>
      <w:r w:rsidRPr="006E709F">
        <w:tab/>
        <w:t>(1C)</w:t>
      </w:r>
      <w:r w:rsidRPr="006E709F">
        <w:tab/>
        <w:t>If a Product Disclosure Statement applies, adopts or incorporates a matter contained in writing:</w:t>
      </w:r>
    </w:p>
    <w:p w14:paraId="367154EA" w14:textId="77777777" w:rsidR="00E93F58" w:rsidRPr="006E709F" w:rsidRDefault="00E93F58" w:rsidP="00A801D0">
      <w:pPr>
        <w:pStyle w:val="paragraph"/>
      </w:pPr>
      <w:r w:rsidRPr="006E709F">
        <w:tab/>
        <w:t>(a)</w:t>
      </w:r>
      <w:r w:rsidRPr="006E709F">
        <w:tab/>
        <w:t>the applied, adopted or incorporated matter forms part of the Statement; and</w:t>
      </w:r>
    </w:p>
    <w:p w14:paraId="34D36B7A" w14:textId="77777777" w:rsidR="00E93F58" w:rsidRPr="006E709F" w:rsidRDefault="00E93F58" w:rsidP="00A801D0">
      <w:pPr>
        <w:pStyle w:val="paragraph"/>
      </w:pPr>
      <w:r w:rsidRPr="006E709F">
        <w:tab/>
        <w:t>(b)</w:t>
      </w:r>
      <w:r w:rsidRPr="006E709F">
        <w:tab/>
        <w:t>the responsible person for the Statement is not required to give the document which provides for the matter to a person (as part of giving the Statement or later) if that person has not asked for the document; and</w:t>
      </w:r>
    </w:p>
    <w:p w14:paraId="2DCEF253" w14:textId="77777777" w:rsidR="00E93F58" w:rsidRPr="006E709F" w:rsidRDefault="00E93F58" w:rsidP="00A801D0">
      <w:pPr>
        <w:pStyle w:val="paragraph"/>
      </w:pPr>
      <w:r w:rsidRPr="006E709F">
        <w:tab/>
        <w:t>(c)</w:t>
      </w:r>
      <w:r w:rsidRPr="006E709F">
        <w:tab/>
        <w:t>the responsible person for the Statement must give the document which provides for the matter to a person if that person asks for the document.</w:t>
      </w:r>
    </w:p>
    <w:p w14:paraId="77332D2B" w14:textId="77777777" w:rsidR="00E93F58" w:rsidRPr="006E709F" w:rsidRDefault="00E93F58" w:rsidP="00A801D0">
      <w:pPr>
        <w:pStyle w:val="subsection"/>
      </w:pPr>
      <w:r w:rsidRPr="006E709F">
        <w:tab/>
        <w:t>(1D)</w:t>
      </w:r>
      <w:r w:rsidRPr="006E709F">
        <w:tab/>
        <w:t>The regulations may prescribe requirements for applying, adopting, or incorporating a matter contained in writing in a Product Disclosure Statement.</w:t>
      </w:r>
    </w:p>
    <w:p w14:paraId="0158D4B8" w14:textId="77777777" w:rsidR="00E93F58" w:rsidRPr="006E709F" w:rsidRDefault="00E93F58" w:rsidP="00A801D0">
      <w:pPr>
        <w:pStyle w:val="subsection"/>
      </w:pPr>
      <w:r w:rsidRPr="006E709F">
        <w:tab/>
        <w:t>(1E)</w:t>
      </w:r>
      <w:r w:rsidRPr="006E709F">
        <w:tab/>
        <w:t>A Product Disclosure Statement may refer to information, other than information to which subsection (1A) or (1B) applies, that is set out in another document; and</w:t>
      </w:r>
    </w:p>
    <w:p w14:paraId="47E54154" w14:textId="77777777" w:rsidR="00E93F58" w:rsidRPr="006E709F" w:rsidRDefault="00E93F58" w:rsidP="00A801D0">
      <w:pPr>
        <w:pStyle w:val="subsection"/>
      </w:pPr>
      <w:r w:rsidRPr="006E709F">
        <w:tab/>
        <w:t>(1F)</w:t>
      </w:r>
      <w:r w:rsidRPr="006E709F">
        <w:tab/>
        <w:t>If the Product Disclosure Statement refers to other information as permitted by subsection (1E), that information does not form part of the Statement.</w:t>
      </w:r>
    </w:p>
    <w:p w14:paraId="41080CFB" w14:textId="77777777" w:rsidR="00E93F58" w:rsidRPr="006E709F" w:rsidRDefault="00E93F58" w:rsidP="00A801D0">
      <w:pPr>
        <w:pStyle w:val="notetext"/>
      </w:pPr>
      <w:r w:rsidRPr="006E709F">
        <w:t>Note:</w:t>
      </w:r>
      <w:r w:rsidRPr="006E709F">
        <w:tab/>
        <w:t>Although the information mentioned in subsection (1F) would not form part of the Product Disclosure Statement, it would be subject to requirements imposed by the Act or these Regulations such as the prohibition on making misleading or deceptive statements.</w:t>
      </w:r>
    </w:p>
    <w:p w14:paraId="6CE6D9D7" w14:textId="77777777" w:rsidR="00E93F58" w:rsidRPr="006E709F" w:rsidRDefault="00E93F58" w:rsidP="00C66015">
      <w:pPr>
        <w:pStyle w:val="ItemHead"/>
      </w:pPr>
      <w:r w:rsidRPr="006E709F">
        <w:t>5C.2  Section 1013D</w:t>
      </w:r>
    </w:p>
    <w:p w14:paraId="6F3FF315" w14:textId="77777777" w:rsidR="00E93F58" w:rsidRPr="006E709F" w:rsidRDefault="00E93F58" w:rsidP="007B59B9">
      <w:pPr>
        <w:pStyle w:val="Item"/>
        <w:keepLines w:val="0"/>
        <w:rPr>
          <w:i/>
        </w:rPr>
      </w:pPr>
      <w:r w:rsidRPr="006E709F">
        <w:rPr>
          <w:i/>
        </w:rPr>
        <w:t>omit</w:t>
      </w:r>
    </w:p>
    <w:p w14:paraId="035D4EB7" w14:textId="77777777" w:rsidR="00E93F58" w:rsidRPr="006E709F" w:rsidRDefault="00E93F58" w:rsidP="00C66015">
      <w:pPr>
        <w:pStyle w:val="ItemHead"/>
      </w:pPr>
      <w:r w:rsidRPr="006E709F">
        <w:t>5C.3  Section 1013E</w:t>
      </w:r>
    </w:p>
    <w:p w14:paraId="2DA16D1E" w14:textId="77777777" w:rsidR="00E93F58" w:rsidRPr="006E709F" w:rsidRDefault="00E93F58" w:rsidP="007B59B9">
      <w:pPr>
        <w:pStyle w:val="Item"/>
        <w:keepLines w:val="0"/>
        <w:rPr>
          <w:i/>
        </w:rPr>
      </w:pPr>
      <w:r w:rsidRPr="006E709F">
        <w:rPr>
          <w:i/>
        </w:rPr>
        <w:t>omit</w:t>
      </w:r>
    </w:p>
    <w:p w14:paraId="24E3D8F0" w14:textId="77777777" w:rsidR="00E93F58" w:rsidRPr="006E709F" w:rsidRDefault="00E93F58" w:rsidP="00C66015">
      <w:pPr>
        <w:pStyle w:val="ItemHead"/>
      </w:pPr>
      <w:r w:rsidRPr="006E709F">
        <w:t>5C.4  Section 1013L</w:t>
      </w:r>
    </w:p>
    <w:p w14:paraId="54063C23" w14:textId="77777777" w:rsidR="00E93F58" w:rsidRPr="006E709F" w:rsidRDefault="00E93F58" w:rsidP="00C66015">
      <w:pPr>
        <w:pStyle w:val="Item"/>
        <w:keepLines w:val="0"/>
        <w:rPr>
          <w:i/>
        </w:rPr>
      </w:pPr>
      <w:r w:rsidRPr="006E709F">
        <w:rPr>
          <w:i/>
        </w:rPr>
        <w:t>substitute</w:t>
      </w:r>
    </w:p>
    <w:p w14:paraId="0E3DF976" w14:textId="77777777" w:rsidR="00E93F58" w:rsidRPr="006E709F" w:rsidRDefault="00E93F58" w:rsidP="005A44F5">
      <w:pPr>
        <w:pStyle w:val="Specials"/>
      </w:pPr>
      <w:r w:rsidRPr="006E709F">
        <w:t>1013L  When Product Disclosure Statement may consist of 2 or more documents</w:t>
      </w:r>
    </w:p>
    <w:p w14:paraId="7A97E92C" w14:textId="77777777" w:rsidR="00E93F58" w:rsidRPr="006E709F" w:rsidRDefault="00E93F58" w:rsidP="007B59B9">
      <w:pPr>
        <w:pStyle w:val="subsection"/>
      </w:pPr>
      <w:r w:rsidRPr="006E709F">
        <w:tab/>
      </w:r>
      <w:r w:rsidRPr="006E709F">
        <w:tab/>
        <w:t>A Product Disclosure Statement may consist of 2 or more documents only if:</w:t>
      </w:r>
    </w:p>
    <w:p w14:paraId="30D93DDD" w14:textId="77777777" w:rsidR="00E93F58" w:rsidRPr="006E709F" w:rsidRDefault="00E93F58" w:rsidP="007B59B9">
      <w:pPr>
        <w:pStyle w:val="paragraph"/>
      </w:pPr>
      <w:r w:rsidRPr="006E709F">
        <w:tab/>
        <w:t>(a)</w:t>
      </w:r>
      <w:r w:rsidRPr="006E709F">
        <w:tab/>
        <w:t>one of the documents is a document that complies with the requirements for a Product Disclosure Statement under this Act and the Regulations; and</w:t>
      </w:r>
    </w:p>
    <w:p w14:paraId="19270AF3" w14:textId="77777777" w:rsidR="00E93F58" w:rsidRPr="006E709F" w:rsidRDefault="00E93F58" w:rsidP="007B59B9">
      <w:pPr>
        <w:pStyle w:val="paragraph"/>
      </w:pPr>
      <w:r w:rsidRPr="006E709F">
        <w:tab/>
        <w:t>(b)</w:t>
      </w:r>
      <w:r w:rsidRPr="006E709F">
        <w:tab/>
        <w:t>the other document or documents contain a matter in writing that is applied, adopted or incorporated by the document mentioned in subparagraph (a).</w:t>
      </w:r>
    </w:p>
    <w:p w14:paraId="09DBC095" w14:textId="77777777" w:rsidR="00E93F58" w:rsidRPr="006E709F" w:rsidRDefault="00E93F58" w:rsidP="00C66015">
      <w:pPr>
        <w:pStyle w:val="ItemHead"/>
      </w:pPr>
      <w:r w:rsidRPr="006E709F">
        <w:lastRenderedPageBreak/>
        <w:t>5C.5  Subsection 1015D(3)</w:t>
      </w:r>
    </w:p>
    <w:p w14:paraId="4E77BF5D" w14:textId="77777777" w:rsidR="00E93F58" w:rsidRPr="006E709F" w:rsidRDefault="00E93F58" w:rsidP="00C66015">
      <w:pPr>
        <w:pStyle w:val="Item"/>
        <w:keepLines w:val="0"/>
        <w:rPr>
          <w:i/>
        </w:rPr>
      </w:pPr>
      <w:r w:rsidRPr="006E709F">
        <w:rPr>
          <w:i/>
        </w:rPr>
        <w:t>omit</w:t>
      </w:r>
    </w:p>
    <w:p w14:paraId="62F52534" w14:textId="77777777" w:rsidR="00E93F58" w:rsidRPr="006E709F" w:rsidRDefault="00E93F58" w:rsidP="007D5872">
      <w:pPr>
        <w:pStyle w:val="ActHead2"/>
        <w:pageBreakBefore/>
      </w:pPr>
      <w:bookmarkStart w:id="3486" w:name="_Toc151992491"/>
      <w:bookmarkStart w:id="3487" w:name="_Toc158713528"/>
      <w:r w:rsidRPr="000C4237">
        <w:rPr>
          <w:rStyle w:val="CharPartNo"/>
        </w:rPr>
        <w:lastRenderedPageBreak/>
        <w:t>Part 5D</w:t>
      </w:r>
      <w:r w:rsidRPr="006E709F">
        <w:t>—</w:t>
      </w:r>
      <w:r w:rsidRPr="000C4237">
        <w:rPr>
          <w:rStyle w:val="CharPartText"/>
        </w:rPr>
        <w:t>Modifications for simple sub</w:t>
      </w:r>
      <w:r w:rsidRPr="000C4237">
        <w:rPr>
          <w:rStyle w:val="CharPartText"/>
        </w:rPr>
        <w:noBreakHyphen/>
        <w:t>fund product</w:t>
      </w:r>
      <w:bookmarkEnd w:id="3486"/>
      <w:bookmarkEnd w:id="3487"/>
    </w:p>
    <w:p w14:paraId="71A13499" w14:textId="77777777" w:rsidR="00E93F58" w:rsidRPr="006E709F" w:rsidRDefault="00E93F58" w:rsidP="007D5872">
      <w:pPr>
        <w:pStyle w:val="Header"/>
      </w:pPr>
      <w:r w:rsidRPr="000C4237">
        <w:rPr>
          <w:rStyle w:val="CharDivNo"/>
        </w:rPr>
        <w:t xml:space="preserve"> </w:t>
      </w:r>
      <w:r w:rsidRPr="000C4237">
        <w:rPr>
          <w:rStyle w:val="CharDivText"/>
        </w:rPr>
        <w:t xml:space="preserve"> </w:t>
      </w:r>
    </w:p>
    <w:p w14:paraId="506BC353" w14:textId="77777777" w:rsidR="00E93F58" w:rsidRPr="006E709F" w:rsidRDefault="00E93F58" w:rsidP="007D5872">
      <w:pPr>
        <w:pStyle w:val="Specialih"/>
      </w:pPr>
      <w:r w:rsidRPr="006E709F">
        <w:t>5D.2  Subsection 1013C(1)</w:t>
      </w:r>
    </w:p>
    <w:p w14:paraId="513116CD" w14:textId="77777777" w:rsidR="00E93F58" w:rsidRPr="006E709F" w:rsidRDefault="00E93F58" w:rsidP="007D5872">
      <w:pPr>
        <w:pStyle w:val="Item"/>
        <w:rPr>
          <w:i/>
        </w:rPr>
      </w:pPr>
      <w:r w:rsidRPr="006E709F">
        <w:rPr>
          <w:i/>
        </w:rPr>
        <w:t>substitute</w:t>
      </w:r>
    </w:p>
    <w:p w14:paraId="63449388" w14:textId="77777777" w:rsidR="00E93F58" w:rsidRPr="006E709F" w:rsidRDefault="00E93F58" w:rsidP="007D5872">
      <w:pPr>
        <w:pStyle w:val="subsection"/>
      </w:pPr>
      <w:r w:rsidRPr="006E709F">
        <w:tab/>
        <w:t>(1)</w:t>
      </w:r>
      <w:r w:rsidRPr="006E709F">
        <w:tab/>
        <w:t>A Product Disclosure Statement for a simple sub</w:t>
      </w:r>
      <w:r>
        <w:noBreakHyphen/>
      </w:r>
      <w:r w:rsidRPr="006E709F">
        <w:t>fund product, to which Subdivision 4.2D of Division 4 of Part 7.9 of the Regulations applies, for a retail CCIV must:</w:t>
      </w:r>
    </w:p>
    <w:p w14:paraId="58DCB92C" w14:textId="77777777" w:rsidR="00E93F58" w:rsidRPr="006E709F" w:rsidRDefault="00E93F58" w:rsidP="007D5872">
      <w:pPr>
        <w:pStyle w:val="paragraph"/>
      </w:pPr>
      <w:r w:rsidRPr="006E709F">
        <w:tab/>
        <w:t>(a)</w:t>
      </w:r>
      <w:r w:rsidRPr="006E709F">
        <w:tab/>
        <w:t>include the statements and information required by regulations made for the purposes of this paragraph; and</w:t>
      </w:r>
    </w:p>
    <w:p w14:paraId="26B8B4FD" w14:textId="77777777" w:rsidR="00E93F58" w:rsidRPr="006E709F" w:rsidRDefault="00E93F58" w:rsidP="007D5872">
      <w:pPr>
        <w:pStyle w:val="paragraph"/>
      </w:pPr>
      <w:r w:rsidRPr="006E709F">
        <w:tab/>
        <w:t>(b)</w:t>
      </w:r>
      <w:r w:rsidRPr="006E709F">
        <w:tab/>
        <w:t>be in the form required by regulations made for the purposes of this paragraph; and</w:t>
      </w:r>
    </w:p>
    <w:p w14:paraId="170405E2" w14:textId="77777777" w:rsidR="00E93F58" w:rsidRPr="006E709F" w:rsidRDefault="00E93F58" w:rsidP="007D5872">
      <w:pPr>
        <w:pStyle w:val="paragraph"/>
      </w:pPr>
      <w:r w:rsidRPr="006E709F">
        <w:tab/>
        <w:t>(c)</w:t>
      </w:r>
      <w:r w:rsidRPr="006E709F">
        <w:tab/>
        <w:t>relate only to one sub</w:t>
      </w:r>
      <w:r>
        <w:noBreakHyphen/>
      </w:r>
      <w:r w:rsidRPr="006E709F">
        <w:t>fund of the CCIV.</w:t>
      </w:r>
    </w:p>
    <w:p w14:paraId="10627CE1" w14:textId="77777777" w:rsidR="00E93F58" w:rsidRPr="006E709F" w:rsidRDefault="00E93F58" w:rsidP="007D5872">
      <w:pPr>
        <w:pStyle w:val="subsection"/>
      </w:pPr>
      <w:r w:rsidRPr="006E709F">
        <w:tab/>
        <w:t>(1A)</w:t>
      </w:r>
      <w:r w:rsidRPr="006E709F">
        <w:tab/>
        <w:t>If a law other than this Act or regulations under this Act requires the responsible person for the Product Disclosure Statement:</w:t>
      </w:r>
    </w:p>
    <w:p w14:paraId="2D5D8C0C" w14:textId="77777777" w:rsidR="00E93F58" w:rsidRPr="006E709F" w:rsidRDefault="00E93F58" w:rsidP="007D5872">
      <w:pPr>
        <w:pStyle w:val="paragraph"/>
      </w:pPr>
      <w:r w:rsidRPr="006E709F">
        <w:tab/>
        <w:t>(a)</w:t>
      </w:r>
      <w:r w:rsidRPr="006E709F">
        <w:tab/>
        <w:t>to give, disclose or provide a matter; or</w:t>
      </w:r>
    </w:p>
    <w:p w14:paraId="78D266B2" w14:textId="77777777" w:rsidR="00E93F58" w:rsidRPr="006E709F" w:rsidRDefault="00E93F58" w:rsidP="007D5872">
      <w:pPr>
        <w:pStyle w:val="paragraph"/>
      </w:pPr>
      <w:r w:rsidRPr="006E709F">
        <w:tab/>
        <w:t>(b)</w:t>
      </w:r>
      <w:r w:rsidRPr="006E709F">
        <w:tab/>
        <w:t>to include a matter in the Statement;</w:t>
      </w:r>
    </w:p>
    <w:p w14:paraId="3ABABFAA" w14:textId="77777777" w:rsidR="00E93F58" w:rsidRPr="006E709F" w:rsidRDefault="00E93F58" w:rsidP="007D5872">
      <w:pPr>
        <w:pStyle w:val="subsection2"/>
      </w:pPr>
      <w:r w:rsidRPr="006E709F">
        <w:t>the Statement may make provision for the matter by applying, adopting or incorporating the matter as in force at a particular time or as in force from time to time.</w:t>
      </w:r>
    </w:p>
    <w:p w14:paraId="2957A01F" w14:textId="77777777" w:rsidR="00E93F58" w:rsidRPr="006E709F" w:rsidRDefault="00E93F58" w:rsidP="007D5872">
      <w:pPr>
        <w:pStyle w:val="subsection"/>
      </w:pPr>
      <w:r w:rsidRPr="006E709F">
        <w:tab/>
        <w:t>(1B)</w:t>
      </w:r>
      <w:r w:rsidRPr="006E709F">
        <w:tab/>
        <w:t>In addition to subsection (1A), a Product Disclosure Statement may make provision for a matter contained in writing by applying, adopting or incorporating the matter as in force at a particular time or as in force from time to time.</w:t>
      </w:r>
    </w:p>
    <w:p w14:paraId="21A6840E" w14:textId="77777777" w:rsidR="00E93F58" w:rsidRPr="006E709F" w:rsidRDefault="00E93F58" w:rsidP="007D5872">
      <w:pPr>
        <w:pStyle w:val="subsection"/>
      </w:pPr>
      <w:r w:rsidRPr="006E709F">
        <w:tab/>
        <w:t>(1C)</w:t>
      </w:r>
      <w:r w:rsidRPr="006E709F">
        <w:tab/>
        <w:t>If a Product Disclosure Statement applies, adopts or incorporates a matter contained in writing:</w:t>
      </w:r>
    </w:p>
    <w:p w14:paraId="0C24C8CF" w14:textId="77777777" w:rsidR="00E93F58" w:rsidRPr="006E709F" w:rsidRDefault="00E93F58" w:rsidP="007D5872">
      <w:pPr>
        <w:pStyle w:val="paragraph"/>
      </w:pPr>
      <w:r w:rsidRPr="006E709F">
        <w:tab/>
        <w:t>(a)</w:t>
      </w:r>
      <w:r w:rsidRPr="006E709F">
        <w:tab/>
        <w:t>the applied, adopted or incorporated matter forms part of the Statement; and</w:t>
      </w:r>
    </w:p>
    <w:p w14:paraId="7A3857C1" w14:textId="77777777" w:rsidR="00E93F58" w:rsidRPr="006E709F" w:rsidRDefault="00E93F58" w:rsidP="007D5872">
      <w:pPr>
        <w:pStyle w:val="paragraph"/>
      </w:pPr>
      <w:r w:rsidRPr="006E709F">
        <w:tab/>
        <w:t>(b)</w:t>
      </w:r>
      <w:r w:rsidRPr="006E709F">
        <w:tab/>
        <w:t>the responsible person for the Statement is not required to give the document that provides for the matter to a person (as part of giving the Statement or later) if that person has not asked for the document; and</w:t>
      </w:r>
    </w:p>
    <w:p w14:paraId="5E8B8DE8" w14:textId="77777777" w:rsidR="00E93F58" w:rsidRPr="006E709F" w:rsidRDefault="00E93F58" w:rsidP="007D5872">
      <w:pPr>
        <w:pStyle w:val="paragraph"/>
      </w:pPr>
      <w:r w:rsidRPr="006E709F">
        <w:tab/>
        <w:t>(c)</w:t>
      </w:r>
      <w:r w:rsidRPr="006E709F">
        <w:tab/>
        <w:t>the responsible person for the Statement must give the document that provides for the matter to a person if that person asks for the document.</w:t>
      </w:r>
    </w:p>
    <w:p w14:paraId="2ACFF4CB" w14:textId="77777777" w:rsidR="00E93F58" w:rsidRPr="006E709F" w:rsidRDefault="00E93F58" w:rsidP="007D5872">
      <w:pPr>
        <w:pStyle w:val="subsection"/>
      </w:pPr>
      <w:r w:rsidRPr="006E709F">
        <w:tab/>
        <w:t>(1D)</w:t>
      </w:r>
      <w:r w:rsidRPr="006E709F">
        <w:tab/>
        <w:t>The regulations may prescribe requirements for applying, adopting or incorporating a matter contained in writing in a Product Disclosure Statement.</w:t>
      </w:r>
    </w:p>
    <w:p w14:paraId="06EEDEB9" w14:textId="77777777" w:rsidR="00E93F58" w:rsidRPr="006E709F" w:rsidRDefault="00E93F58" w:rsidP="007D5872">
      <w:pPr>
        <w:pStyle w:val="subsection"/>
      </w:pPr>
      <w:r w:rsidRPr="006E709F">
        <w:tab/>
        <w:t>(1E)</w:t>
      </w:r>
      <w:r w:rsidRPr="006E709F">
        <w:tab/>
        <w:t>A Product Disclosure Statement may refer to information, other than information to which subsection (1A) or (1B) applies, that is set out in another document.</w:t>
      </w:r>
    </w:p>
    <w:p w14:paraId="14E323EB" w14:textId="77777777" w:rsidR="00E93F58" w:rsidRPr="006E709F" w:rsidRDefault="00E93F58" w:rsidP="007D5872">
      <w:pPr>
        <w:pStyle w:val="subsection"/>
      </w:pPr>
      <w:r w:rsidRPr="006E709F">
        <w:tab/>
        <w:t>(1F)</w:t>
      </w:r>
      <w:r w:rsidRPr="006E709F">
        <w:tab/>
        <w:t>If the Product Disclosure Statement refers to other information as permitted by subsection (1E), that information does not form part of the Statement.</w:t>
      </w:r>
    </w:p>
    <w:p w14:paraId="68E5B780" w14:textId="77777777" w:rsidR="00E93F58" w:rsidRPr="006E709F" w:rsidRDefault="00E93F58" w:rsidP="007D5872">
      <w:pPr>
        <w:pStyle w:val="notetext"/>
      </w:pPr>
      <w:r w:rsidRPr="006E709F">
        <w:t>Note:</w:t>
      </w:r>
      <w:r w:rsidRPr="006E709F">
        <w:tab/>
        <w:t>Although the information mentioned in subsection (1F) would not form part of the Product Disclosure Statement, it would be subject to requirements imposed by the Act or the Regulations such as the prohibition on making misleading or deceptive statements.</w:t>
      </w:r>
    </w:p>
    <w:p w14:paraId="4FBD8E21" w14:textId="77777777" w:rsidR="00E93F58" w:rsidRPr="006E709F" w:rsidRDefault="00E93F58" w:rsidP="007D5872">
      <w:pPr>
        <w:pStyle w:val="Specialih"/>
      </w:pPr>
      <w:r w:rsidRPr="006E709F">
        <w:t>5D.3  Section 1013D</w:t>
      </w:r>
    </w:p>
    <w:p w14:paraId="36025FA8" w14:textId="77777777" w:rsidR="00E93F58" w:rsidRPr="006E709F" w:rsidRDefault="00E93F58" w:rsidP="007D5872">
      <w:pPr>
        <w:pStyle w:val="Item"/>
        <w:rPr>
          <w:i/>
        </w:rPr>
      </w:pPr>
      <w:r w:rsidRPr="006E709F">
        <w:rPr>
          <w:i/>
        </w:rPr>
        <w:t>omit</w:t>
      </w:r>
    </w:p>
    <w:p w14:paraId="141C7771" w14:textId="77777777" w:rsidR="00E93F58" w:rsidRPr="006E709F" w:rsidRDefault="00E93F58" w:rsidP="007D5872">
      <w:pPr>
        <w:pStyle w:val="Specialih"/>
      </w:pPr>
      <w:r w:rsidRPr="006E709F">
        <w:t>5D.4  Section 1013E</w:t>
      </w:r>
    </w:p>
    <w:p w14:paraId="231EE180" w14:textId="77777777" w:rsidR="00E93F58" w:rsidRPr="006E709F" w:rsidRDefault="00E93F58" w:rsidP="007D5872">
      <w:pPr>
        <w:pStyle w:val="Item"/>
        <w:rPr>
          <w:i/>
        </w:rPr>
      </w:pPr>
      <w:r w:rsidRPr="006E709F">
        <w:rPr>
          <w:i/>
        </w:rPr>
        <w:t>omit</w:t>
      </w:r>
    </w:p>
    <w:p w14:paraId="72BDAEDC" w14:textId="77777777" w:rsidR="00E93F58" w:rsidRPr="006E709F" w:rsidRDefault="00E93F58" w:rsidP="007D5872">
      <w:pPr>
        <w:pStyle w:val="Specialih"/>
      </w:pPr>
      <w:r w:rsidRPr="006E709F">
        <w:t>5D.5  Section 1013L</w:t>
      </w:r>
    </w:p>
    <w:p w14:paraId="71EA1313" w14:textId="77777777" w:rsidR="00E93F58" w:rsidRPr="006E709F" w:rsidRDefault="00E93F58" w:rsidP="007D5872">
      <w:pPr>
        <w:pStyle w:val="Item"/>
        <w:rPr>
          <w:i/>
        </w:rPr>
      </w:pPr>
      <w:r w:rsidRPr="006E709F">
        <w:rPr>
          <w:i/>
        </w:rPr>
        <w:t>substitute</w:t>
      </w:r>
    </w:p>
    <w:p w14:paraId="3BEAA222" w14:textId="77777777" w:rsidR="00E93F58" w:rsidRPr="006E709F" w:rsidRDefault="00E93F58" w:rsidP="007D5872">
      <w:pPr>
        <w:pStyle w:val="Specials"/>
      </w:pPr>
      <w:r w:rsidRPr="006E709F">
        <w:t>1013L  When Product Disclosure Statement may consist of 2 or more documents</w:t>
      </w:r>
    </w:p>
    <w:p w14:paraId="335AD149" w14:textId="77777777" w:rsidR="00E93F58" w:rsidRPr="006E709F" w:rsidRDefault="00E93F58" w:rsidP="007D5872">
      <w:pPr>
        <w:pStyle w:val="subsection"/>
      </w:pPr>
      <w:r w:rsidRPr="006E709F">
        <w:tab/>
      </w:r>
      <w:r w:rsidRPr="006E709F">
        <w:tab/>
        <w:t>A Product Disclosure Statement may consist of 2 or more documents only if:</w:t>
      </w:r>
    </w:p>
    <w:p w14:paraId="3E1BBCAE" w14:textId="77777777" w:rsidR="00E93F58" w:rsidRPr="006E709F" w:rsidRDefault="00E93F58" w:rsidP="007D5872">
      <w:pPr>
        <w:pStyle w:val="paragraph"/>
      </w:pPr>
      <w:r w:rsidRPr="006E709F">
        <w:tab/>
        <w:t>(a)</w:t>
      </w:r>
      <w:r w:rsidRPr="006E709F">
        <w:tab/>
        <w:t>one of the documents is a document that complies with the requirements for a Product Disclosure Statement under this Act and the Regulations; and</w:t>
      </w:r>
    </w:p>
    <w:p w14:paraId="49222CE9" w14:textId="77777777" w:rsidR="00E93F58" w:rsidRPr="006E709F" w:rsidRDefault="00E93F58" w:rsidP="007D5872">
      <w:pPr>
        <w:pStyle w:val="paragraph"/>
      </w:pPr>
      <w:r w:rsidRPr="006E709F">
        <w:tab/>
        <w:t>(b)</w:t>
      </w:r>
      <w:r w:rsidRPr="006E709F">
        <w:tab/>
        <w:t>the other document or documents contain a matter in writing that is applied, adopted or incorporated by the document mentioned in subparagraph (a).</w:t>
      </w:r>
    </w:p>
    <w:p w14:paraId="3F21CE58" w14:textId="77777777" w:rsidR="00E93F58" w:rsidRPr="006E709F" w:rsidRDefault="00E93F58" w:rsidP="007D5872">
      <w:pPr>
        <w:pStyle w:val="Specialih"/>
      </w:pPr>
      <w:r w:rsidRPr="006E709F">
        <w:lastRenderedPageBreak/>
        <w:t>5D.6  Subsection 1015D(3)</w:t>
      </w:r>
    </w:p>
    <w:p w14:paraId="0EF5EECC" w14:textId="77777777" w:rsidR="00E93F58" w:rsidRPr="006E709F" w:rsidRDefault="00E93F58" w:rsidP="007D5872">
      <w:pPr>
        <w:pStyle w:val="Item"/>
        <w:rPr>
          <w:i/>
        </w:rPr>
      </w:pPr>
      <w:r w:rsidRPr="006E709F">
        <w:rPr>
          <w:i/>
        </w:rPr>
        <w:t>omit</w:t>
      </w:r>
    </w:p>
    <w:p w14:paraId="0BD6C002" w14:textId="77777777" w:rsidR="00E93F58" w:rsidRPr="006E709F" w:rsidRDefault="00E93F58" w:rsidP="00AE08F9">
      <w:pPr>
        <w:pStyle w:val="ActHead2"/>
        <w:pageBreakBefore/>
      </w:pPr>
      <w:bookmarkStart w:id="3488" w:name="_Toc151992492"/>
      <w:bookmarkStart w:id="3489" w:name="_Toc158713529"/>
      <w:r w:rsidRPr="000C4237">
        <w:rPr>
          <w:rStyle w:val="CharPartNo"/>
        </w:rPr>
        <w:lastRenderedPageBreak/>
        <w:t>Part 6</w:t>
      </w:r>
      <w:r w:rsidRPr="006E709F">
        <w:t>—</w:t>
      </w:r>
      <w:r w:rsidRPr="000C4237">
        <w:rPr>
          <w:rStyle w:val="CharPartText"/>
        </w:rPr>
        <w:t>Modifications relating to application forms and Product Disclosure Statements for standard employer</w:t>
      </w:r>
      <w:r w:rsidRPr="000C4237">
        <w:rPr>
          <w:rStyle w:val="CharPartText"/>
        </w:rPr>
        <w:noBreakHyphen/>
        <w:t>sponsor arrangements and successor funds</w:t>
      </w:r>
      <w:bookmarkEnd w:id="3488"/>
      <w:bookmarkEnd w:id="3489"/>
    </w:p>
    <w:p w14:paraId="4890D389"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770FFB31" w14:textId="77777777" w:rsidR="00E93F58" w:rsidRPr="006E709F" w:rsidRDefault="00E93F58" w:rsidP="00C66015">
      <w:pPr>
        <w:pStyle w:val="ItemHead"/>
      </w:pPr>
      <w:r w:rsidRPr="006E709F">
        <w:t>6.1  After subsection 1016A(2)</w:t>
      </w:r>
    </w:p>
    <w:p w14:paraId="3B24917E" w14:textId="77777777" w:rsidR="00E93F58" w:rsidRPr="006E709F" w:rsidRDefault="00E93F58" w:rsidP="00C66015">
      <w:pPr>
        <w:pStyle w:val="Item"/>
        <w:keepLines w:val="0"/>
        <w:rPr>
          <w:i/>
        </w:rPr>
      </w:pPr>
      <w:r w:rsidRPr="006E709F">
        <w:rPr>
          <w:i/>
        </w:rPr>
        <w:t>insert</w:t>
      </w:r>
    </w:p>
    <w:p w14:paraId="04EE7102" w14:textId="77777777" w:rsidR="00E93F58" w:rsidRPr="006E709F" w:rsidRDefault="00E93F58" w:rsidP="00A801D0">
      <w:pPr>
        <w:pStyle w:val="subsection"/>
      </w:pPr>
      <w:r w:rsidRPr="006E709F">
        <w:tab/>
        <w:t>(2A)</w:t>
      </w:r>
      <w:r w:rsidRPr="006E709F">
        <w:tab/>
        <w:t>Subsection (2) does not apply in relation to a member who:</w:t>
      </w:r>
    </w:p>
    <w:p w14:paraId="4A721239" w14:textId="77777777" w:rsidR="00E93F58" w:rsidRPr="006E709F" w:rsidRDefault="00E93F58" w:rsidP="00A801D0">
      <w:pPr>
        <w:pStyle w:val="paragraph"/>
      </w:pPr>
      <w:r w:rsidRPr="006E709F">
        <w:rPr>
          <w:color w:val="000000"/>
        </w:rPr>
        <w:tab/>
        <w:t>(a)</w:t>
      </w:r>
      <w:r w:rsidRPr="006E709F">
        <w:rPr>
          <w:color w:val="000000"/>
        </w:rPr>
        <w:tab/>
        <w:t>held an interest in a superannuation fund as a standard employer</w:t>
      </w:r>
      <w:r>
        <w:rPr>
          <w:color w:val="000000"/>
        </w:rPr>
        <w:noBreakHyphen/>
      </w:r>
      <w:r w:rsidRPr="006E709F">
        <w:rPr>
          <w:color w:val="000000"/>
        </w:rPr>
        <w:t>sponsored member; and</w:t>
      </w:r>
    </w:p>
    <w:p w14:paraId="1531ECE7" w14:textId="77777777" w:rsidR="00E93F58" w:rsidRPr="006E709F" w:rsidRDefault="00E93F58" w:rsidP="00A801D0">
      <w:pPr>
        <w:pStyle w:val="paragraph"/>
      </w:pPr>
      <w:r w:rsidRPr="006E709F">
        <w:tab/>
        <w:t>(b)</w:t>
      </w:r>
      <w:r w:rsidRPr="006E709F">
        <w:tab/>
        <w:t>is issued with an interest in relation to another sub</w:t>
      </w:r>
      <w:r>
        <w:noBreakHyphen/>
      </w:r>
      <w:r w:rsidRPr="006E709F">
        <w:t>plan of the superannuation fund as a result of a transfer related to the cessation of the member’s employment with the employer</w:t>
      </w:r>
      <w:r>
        <w:noBreakHyphen/>
      </w:r>
      <w:r w:rsidRPr="006E709F">
        <w:t>sponsor.</w:t>
      </w:r>
    </w:p>
    <w:p w14:paraId="375A0561" w14:textId="77777777" w:rsidR="00E93F58" w:rsidRPr="006E709F" w:rsidRDefault="00E93F58" w:rsidP="00C66015">
      <w:pPr>
        <w:pStyle w:val="ItemHead"/>
      </w:pPr>
      <w:r w:rsidRPr="006E709F">
        <w:t>6.2  After subsection 1016A(3)</w:t>
      </w:r>
    </w:p>
    <w:p w14:paraId="138D1B34" w14:textId="77777777" w:rsidR="00E93F58" w:rsidRPr="006E709F" w:rsidRDefault="00E93F58" w:rsidP="00C66015">
      <w:pPr>
        <w:pStyle w:val="Item"/>
        <w:keepLines w:val="0"/>
        <w:rPr>
          <w:i/>
        </w:rPr>
      </w:pPr>
      <w:r w:rsidRPr="006E709F">
        <w:rPr>
          <w:i/>
        </w:rPr>
        <w:t>insert</w:t>
      </w:r>
    </w:p>
    <w:p w14:paraId="27595FE0" w14:textId="77777777" w:rsidR="00E93F58" w:rsidRPr="006E709F" w:rsidRDefault="00E93F58" w:rsidP="00A801D0">
      <w:pPr>
        <w:pStyle w:val="subsection"/>
      </w:pPr>
      <w:r w:rsidRPr="006E709F">
        <w:tab/>
        <w:t>(3A)</w:t>
      </w:r>
      <w:r w:rsidRPr="006E709F">
        <w:tab/>
        <w:t>Subsection (3) does not apply in relation to a superannuation product if:</w:t>
      </w:r>
    </w:p>
    <w:p w14:paraId="2ABFE0E1" w14:textId="77777777" w:rsidR="00E93F58" w:rsidRPr="006E709F" w:rsidRDefault="00E93F58" w:rsidP="00A801D0">
      <w:pPr>
        <w:pStyle w:val="paragraph"/>
      </w:pPr>
      <w:r w:rsidRPr="006E709F">
        <w:rPr>
          <w:color w:val="000000"/>
        </w:rPr>
        <w:tab/>
        <w:t>(a)</w:t>
      </w:r>
      <w:r w:rsidRPr="006E709F">
        <w:rPr>
          <w:color w:val="000000"/>
        </w:rPr>
        <w:tab/>
        <w:t>the issuer is a public offer entity that is a successor fund; and</w:t>
      </w:r>
    </w:p>
    <w:p w14:paraId="1E22DCAD" w14:textId="77777777" w:rsidR="00E93F58" w:rsidRPr="006E709F" w:rsidRDefault="00E93F58" w:rsidP="00A801D0">
      <w:pPr>
        <w:pStyle w:val="paragraph"/>
      </w:pPr>
      <w:r w:rsidRPr="006E709F">
        <w:tab/>
        <w:t>(b)</w:t>
      </w:r>
      <w:r w:rsidRPr="006E709F">
        <w:tab/>
        <w:t>an employer became a standard employer</w:t>
      </w:r>
      <w:r>
        <w:noBreakHyphen/>
      </w:r>
      <w:r w:rsidRPr="006E709F">
        <w:t>sponsor of a fund in the following way:</w:t>
      </w:r>
    </w:p>
    <w:p w14:paraId="3A789085" w14:textId="77777777" w:rsidR="00E93F58" w:rsidRPr="006E709F" w:rsidRDefault="00E93F58" w:rsidP="00A801D0">
      <w:pPr>
        <w:pStyle w:val="paragraphsub"/>
        <w:rPr>
          <w:color w:val="000000"/>
        </w:rPr>
      </w:pPr>
      <w:r w:rsidRPr="006E709F">
        <w:rPr>
          <w:color w:val="000000"/>
        </w:rPr>
        <w:tab/>
        <w:t>(i)</w:t>
      </w:r>
      <w:r w:rsidRPr="006E709F">
        <w:rPr>
          <w:color w:val="000000"/>
        </w:rPr>
        <w:tab/>
        <w:t>the employer was a standard employer</w:t>
      </w:r>
      <w:r>
        <w:rPr>
          <w:color w:val="000000"/>
        </w:rPr>
        <w:noBreakHyphen/>
      </w:r>
      <w:r w:rsidRPr="006E709F">
        <w:rPr>
          <w:color w:val="000000"/>
        </w:rPr>
        <w:t>sponsor of a fund (</w:t>
      </w:r>
      <w:r w:rsidRPr="006E709F">
        <w:rPr>
          <w:b/>
          <w:i/>
          <w:color w:val="000000"/>
        </w:rPr>
        <w:t>fund 1</w:t>
      </w:r>
      <w:r w:rsidRPr="006E709F">
        <w:rPr>
          <w:color w:val="000000"/>
        </w:rPr>
        <w:t>);</w:t>
      </w:r>
    </w:p>
    <w:p w14:paraId="3E4D1695" w14:textId="77777777" w:rsidR="00E93F58" w:rsidRPr="006E709F" w:rsidRDefault="00E93F58" w:rsidP="00A801D0">
      <w:pPr>
        <w:pStyle w:val="paragraphsub"/>
      </w:pPr>
      <w:r w:rsidRPr="006E709F">
        <w:tab/>
        <w:t>(ii)</w:t>
      </w:r>
      <w:r w:rsidRPr="006E709F">
        <w:tab/>
        <w:t>the benefits of members in fund 1 were transferred to a successor fund;</w:t>
      </w:r>
    </w:p>
    <w:p w14:paraId="2E682AEC" w14:textId="77777777" w:rsidR="00E93F58" w:rsidRPr="006E709F" w:rsidRDefault="00E93F58" w:rsidP="00A801D0">
      <w:pPr>
        <w:pStyle w:val="paragraphsub"/>
      </w:pPr>
      <w:r w:rsidRPr="006E709F">
        <w:tab/>
        <w:t>(iii)</w:t>
      </w:r>
      <w:r w:rsidRPr="006E709F">
        <w:tab/>
        <w:t>the employer was a standard employer</w:t>
      </w:r>
      <w:r>
        <w:noBreakHyphen/>
      </w:r>
      <w:r w:rsidRPr="006E709F">
        <w:t>sponsor of fund 1 immediately before those benefits were so transferred;</w:t>
      </w:r>
    </w:p>
    <w:p w14:paraId="6D435C93" w14:textId="77777777" w:rsidR="00E93F58" w:rsidRPr="006E709F" w:rsidRDefault="00E93F58" w:rsidP="00A801D0">
      <w:pPr>
        <w:pStyle w:val="paragraphsub"/>
      </w:pPr>
      <w:r w:rsidRPr="006E709F">
        <w:tab/>
        <w:t>(iv)</w:t>
      </w:r>
      <w:r w:rsidRPr="006E709F">
        <w:tab/>
        <w:t>the employer was a standard employer</w:t>
      </w:r>
      <w:r>
        <w:noBreakHyphen/>
      </w:r>
      <w:r w:rsidRPr="006E709F">
        <w:t>sponsor of the successor fund immediately after those benefits were so transferred.</w:t>
      </w:r>
    </w:p>
    <w:p w14:paraId="4C43601F" w14:textId="77777777" w:rsidR="00E93F58" w:rsidRPr="006E709F" w:rsidRDefault="00E93F58" w:rsidP="00C66015">
      <w:pPr>
        <w:pStyle w:val="ItemHead"/>
      </w:pPr>
      <w:r w:rsidRPr="006E709F">
        <w:t>6.3  After subsection 1012D(9)</w:t>
      </w:r>
    </w:p>
    <w:p w14:paraId="4FCB74AE" w14:textId="77777777" w:rsidR="00E93F58" w:rsidRPr="006E709F" w:rsidRDefault="00E93F58" w:rsidP="00C66015">
      <w:pPr>
        <w:pStyle w:val="Item"/>
        <w:keepLines w:val="0"/>
        <w:rPr>
          <w:i/>
        </w:rPr>
      </w:pPr>
      <w:r w:rsidRPr="006E709F">
        <w:rPr>
          <w:i/>
        </w:rPr>
        <w:t>insert</w:t>
      </w:r>
    </w:p>
    <w:p w14:paraId="4B4814DF" w14:textId="77777777" w:rsidR="00E93F58" w:rsidRPr="006E709F" w:rsidRDefault="00E93F58" w:rsidP="00A801D0">
      <w:pPr>
        <w:pStyle w:val="SubsectionHead"/>
      </w:pPr>
      <w:r w:rsidRPr="006E709F">
        <w:t>Recommendation, issue or sale situation—successor fund</w:t>
      </w:r>
    </w:p>
    <w:p w14:paraId="27558ACD" w14:textId="77777777" w:rsidR="00E93F58" w:rsidRPr="006E709F" w:rsidRDefault="00E93F58" w:rsidP="00A801D0">
      <w:pPr>
        <w:pStyle w:val="subsection"/>
      </w:pPr>
      <w:r w:rsidRPr="006E709F">
        <w:tab/>
        <w:t>(9A)</w:t>
      </w:r>
      <w:r w:rsidRPr="006E709F">
        <w:tab/>
        <w:t>In a recommendation situation, issue situation or sale situation, a regulated person does not have to give the client a Product Disclosure Statement if:</w:t>
      </w:r>
    </w:p>
    <w:p w14:paraId="17BAA182" w14:textId="77777777" w:rsidR="00E93F58" w:rsidRPr="006E709F" w:rsidRDefault="00E93F58" w:rsidP="00A801D0">
      <w:pPr>
        <w:pStyle w:val="paragraph"/>
      </w:pPr>
      <w:r w:rsidRPr="006E709F">
        <w:tab/>
        <w:t>(a)</w:t>
      </w:r>
      <w:r w:rsidRPr="006E709F">
        <w:tab/>
        <w:t xml:space="preserve">the financial product is an </w:t>
      </w:r>
      <w:r w:rsidRPr="00BE1284">
        <w:t>RSA</w:t>
      </w:r>
      <w:r w:rsidRPr="006E709F">
        <w:t>; and</w:t>
      </w:r>
    </w:p>
    <w:p w14:paraId="6DD2B331" w14:textId="77777777" w:rsidR="00E93F58" w:rsidRPr="006E709F" w:rsidRDefault="00E93F58" w:rsidP="00A801D0">
      <w:pPr>
        <w:pStyle w:val="paragraph"/>
      </w:pPr>
      <w:r w:rsidRPr="006E709F">
        <w:tab/>
        <w:t>(b)</w:t>
      </w:r>
      <w:r w:rsidRPr="006E709F">
        <w:tab/>
        <w:t>subsection 1012I(2) applies.</w:t>
      </w:r>
    </w:p>
    <w:p w14:paraId="47315D21" w14:textId="77777777" w:rsidR="00E93F58" w:rsidRPr="006E709F" w:rsidRDefault="00E93F58" w:rsidP="00896D83">
      <w:pPr>
        <w:pStyle w:val="ActHead2"/>
        <w:pageBreakBefore/>
      </w:pPr>
      <w:bookmarkStart w:id="3490" w:name="_Toc151992493"/>
      <w:bookmarkStart w:id="3491" w:name="_Toc158713530"/>
      <w:r w:rsidRPr="000C4237">
        <w:rPr>
          <w:rStyle w:val="CharPartNo"/>
        </w:rPr>
        <w:lastRenderedPageBreak/>
        <w:t>Part 6A</w:t>
      </w:r>
      <w:r w:rsidRPr="006E709F">
        <w:t>—</w:t>
      </w:r>
      <w:r w:rsidRPr="000C4237">
        <w:rPr>
          <w:rStyle w:val="CharPartText"/>
        </w:rPr>
        <w:t>Modifications relating to MySuper measures</w:t>
      </w:r>
      <w:bookmarkEnd w:id="3490"/>
      <w:bookmarkEnd w:id="3491"/>
    </w:p>
    <w:p w14:paraId="4BCE9E6B" w14:textId="77777777" w:rsidR="00E93F58" w:rsidRPr="006E709F" w:rsidRDefault="00E93F58" w:rsidP="00C01C82">
      <w:pPr>
        <w:pStyle w:val="Header"/>
      </w:pPr>
      <w:r w:rsidRPr="000C4237">
        <w:rPr>
          <w:rStyle w:val="CharDivNo"/>
        </w:rPr>
        <w:t xml:space="preserve"> </w:t>
      </w:r>
      <w:r w:rsidRPr="000C4237">
        <w:rPr>
          <w:rStyle w:val="CharDivText"/>
        </w:rPr>
        <w:t xml:space="preserve"> </w:t>
      </w:r>
    </w:p>
    <w:p w14:paraId="50A04A22" w14:textId="77777777" w:rsidR="00E93F58" w:rsidRPr="006E709F" w:rsidRDefault="00E93F58" w:rsidP="00C01C82">
      <w:pPr>
        <w:pStyle w:val="ItemHead"/>
      </w:pPr>
      <w:r w:rsidRPr="006E709F">
        <w:t>6A.1  After subsection 1017BA(4)</w:t>
      </w:r>
    </w:p>
    <w:p w14:paraId="3048DD55" w14:textId="77777777" w:rsidR="00E93F58" w:rsidRPr="006E709F" w:rsidRDefault="00E93F58" w:rsidP="00C01C82">
      <w:pPr>
        <w:pStyle w:val="Item"/>
      </w:pPr>
      <w:r w:rsidRPr="006E709F">
        <w:t>Insert:</w:t>
      </w:r>
    </w:p>
    <w:p w14:paraId="765FDDB1" w14:textId="77777777" w:rsidR="00E93F58" w:rsidRPr="006E709F" w:rsidRDefault="00E93F58" w:rsidP="00C01C82">
      <w:pPr>
        <w:pStyle w:val="subsection"/>
      </w:pPr>
      <w:r w:rsidRPr="006E709F">
        <w:tab/>
        <w:t>(4AA)</w:t>
      </w:r>
      <w:r w:rsidRPr="006E709F">
        <w:tab/>
        <w:t>Despite paragraph 1539(a) of the Act, this section applies, to the extent that it relates to MySuper products, on and after 31 December 2013.</w:t>
      </w:r>
    </w:p>
    <w:p w14:paraId="56C8CB02" w14:textId="77777777" w:rsidR="00E93F58" w:rsidRPr="006E709F" w:rsidRDefault="00E93F58" w:rsidP="00A801D0">
      <w:pPr>
        <w:pStyle w:val="ActHead2"/>
        <w:pageBreakBefore/>
      </w:pPr>
      <w:bookmarkStart w:id="3492" w:name="_Toc151992494"/>
      <w:bookmarkStart w:id="3493" w:name="_Toc158713531"/>
      <w:r w:rsidRPr="000C4237">
        <w:rPr>
          <w:rStyle w:val="CharPartNo"/>
        </w:rPr>
        <w:lastRenderedPageBreak/>
        <w:t>Part 7</w:t>
      </w:r>
      <w:r w:rsidRPr="006E709F">
        <w:t>—</w:t>
      </w:r>
      <w:r w:rsidRPr="000C4237">
        <w:rPr>
          <w:rStyle w:val="CharPartText"/>
        </w:rPr>
        <w:t>Modifications relating to life pensioners, members subject to compulsory protection of small amounts and members with small amounts that are expected to grow quickly</w:t>
      </w:r>
      <w:bookmarkEnd w:id="3492"/>
      <w:bookmarkEnd w:id="3493"/>
    </w:p>
    <w:p w14:paraId="7020E15E"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3872C497" w14:textId="77777777" w:rsidR="00E93F58" w:rsidRPr="006E709F" w:rsidRDefault="00E93F58" w:rsidP="00DD3819">
      <w:pPr>
        <w:pStyle w:val="ItemHead"/>
      </w:pPr>
      <w:r w:rsidRPr="006E709F">
        <w:t>7.1  After subsection 1017D(7)</w:t>
      </w:r>
    </w:p>
    <w:p w14:paraId="25ECAEFF" w14:textId="77777777" w:rsidR="00E93F58" w:rsidRPr="006E709F" w:rsidRDefault="00E93F58" w:rsidP="00DD3819">
      <w:pPr>
        <w:pStyle w:val="Item"/>
        <w:rPr>
          <w:i/>
        </w:rPr>
      </w:pPr>
      <w:r w:rsidRPr="006E709F">
        <w:rPr>
          <w:i/>
        </w:rPr>
        <w:t>insert</w:t>
      </w:r>
    </w:p>
    <w:p w14:paraId="040233D3" w14:textId="77777777" w:rsidR="00E93F58" w:rsidRPr="006E709F" w:rsidRDefault="00E93F58" w:rsidP="00A801D0">
      <w:pPr>
        <w:pStyle w:val="subsection"/>
      </w:pPr>
      <w:r w:rsidRPr="006E709F">
        <w:tab/>
        <w:t>(8)</w:t>
      </w:r>
      <w:r w:rsidRPr="006E709F">
        <w:tab/>
        <w:t>The trustee of a fund need not give a periodic statement or other information to a member:</w:t>
      </w:r>
    </w:p>
    <w:p w14:paraId="638AC831" w14:textId="77777777" w:rsidR="00E93F58" w:rsidRPr="006E709F" w:rsidRDefault="00E93F58" w:rsidP="00A801D0">
      <w:pPr>
        <w:pStyle w:val="paragraph"/>
      </w:pPr>
      <w:r w:rsidRPr="006E709F">
        <w:tab/>
        <w:t>(a)</w:t>
      </w:r>
      <w:r w:rsidRPr="006E709F">
        <w:tab/>
        <w:t>in relation to any period during which the member is a life pensioner of the fund; or</w:t>
      </w:r>
    </w:p>
    <w:p w14:paraId="5E2EF5E3" w14:textId="77777777" w:rsidR="00E93F58" w:rsidRPr="006E709F" w:rsidRDefault="00E93F58" w:rsidP="00A801D0">
      <w:pPr>
        <w:pStyle w:val="paragraph"/>
      </w:pPr>
      <w:r w:rsidRPr="006E709F">
        <w:tab/>
        <w:t>(b)</w:t>
      </w:r>
      <w:r w:rsidRPr="006E709F">
        <w:tab/>
        <w:t>if the member is a pensioner of the fund, and has requested that that information not be provided.</w:t>
      </w:r>
    </w:p>
    <w:p w14:paraId="4A9BE97E" w14:textId="77777777" w:rsidR="00E93F58" w:rsidRPr="006E709F" w:rsidRDefault="00E93F58" w:rsidP="00A801D0">
      <w:pPr>
        <w:pStyle w:val="subsection"/>
      </w:pPr>
      <w:r w:rsidRPr="006E709F">
        <w:tab/>
        <w:t>(9)</w:t>
      </w:r>
      <w:r w:rsidRPr="006E709F">
        <w:tab/>
        <w:t xml:space="preserve">Subsection (8) does not apply to information mentioned in subregulation 7.9.21A(1) of the </w:t>
      </w:r>
      <w:r w:rsidRPr="006E709F">
        <w:rPr>
          <w:i/>
        </w:rPr>
        <w:t xml:space="preserve">Corporations </w:t>
      </w:r>
      <w:r>
        <w:rPr>
          <w:i/>
        </w:rPr>
        <w:t>Regulations 2</w:t>
      </w:r>
      <w:r w:rsidRPr="006E709F">
        <w:rPr>
          <w:i/>
        </w:rPr>
        <w:t>001</w:t>
      </w:r>
      <w:r w:rsidRPr="006E709F">
        <w:t>.</w:t>
      </w:r>
    </w:p>
    <w:p w14:paraId="5A59736B" w14:textId="77777777" w:rsidR="00E93F58" w:rsidRPr="006E709F" w:rsidRDefault="00E93F58" w:rsidP="00A801D0">
      <w:pPr>
        <w:pStyle w:val="subsection"/>
      </w:pPr>
      <w:r w:rsidRPr="006E709F">
        <w:tab/>
        <w:t>(10)</w:t>
      </w:r>
      <w:r w:rsidRPr="006E709F">
        <w:tab/>
        <w:t>If, at the end of a reporting period, a member of a regulated superannuation fund is a protected member, the trustee need give the member only the following information in the periodic statement for that reporting period:</w:t>
      </w:r>
    </w:p>
    <w:p w14:paraId="34ADB83F" w14:textId="77777777" w:rsidR="00E93F58" w:rsidRPr="006E709F" w:rsidRDefault="00E93F58" w:rsidP="00A801D0">
      <w:pPr>
        <w:pStyle w:val="paragraph"/>
      </w:pPr>
      <w:r w:rsidRPr="006E709F">
        <w:tab/>
        <w:t>(a)</w:t>
      </w:r>
      <w:r w:rsidRPr="006E709F">
        <w:tab/>
        <w:t>the contact details of the fund;</w:t>
      </w:r>
    </w:p>
    <w:p w14:paraId="078223B4" w14:textId="77777777" w:rsidR="00E93F58" w:rsidRPr="006E709F" w:rsidRDefault="00E93F58" w:rsidP="00A801D0">
      <w:pPr>
        <w:pStyle w:val="paragraph"/>
      </w:pPr>
      <w:r w:rsidRPr="006E709F">
        <w:tab/>
        <w:t>(b)</w:t>
      </w:r>
      <w:r w:rsidRPr="006E709F">
        <w:tab/>
        <w:t>either:</w:t>
      </w:r>
    </w:p>
    <w:p w14:paraId="26A06990" w14:textId="77777777" w:rsidR="00E93F58" w:rsidRPr="006E709F" w:rsidRDefault="00E93F58" w:rsidP="00A801D0">
      <w:pPr>
        <w:pStyle w:val="paragraphsub"/>
      </w:pPr>
      <w:r w:rsidRPr="006E709F">
        <w:tab/>
        <w:t>(i)</w:t>
      </w:r>
      <w:r w:rsidRPr="006E709F">
        <w:tab/>
        <w:t>the amount of the member’s withdrawal benefit at the end of the reporting period; or</w:t>
      </w:r>
    </w:p>
    <w:p w14:paraId="72FE837D" w14:textId="77777777" w:rsidR="00E93F58" w:rsidRPr="006E709F" w:rsidRDefault="00E93F58" w:rsidP="00A801D0">
      <w:pPr>
        <w:pStyle w:val="paragraphsub"/>
      </w:pPr>
      <w:r w:rsidRPr="006E709F">
        <w:tab/>
        <w:t>(ii)</w:t>
      </w:r>
      <w:r w:rsidRPr="006E709F">
        <w:tab/>
        <w:t>the total of the amounts that have been received by the fund in respect of the member;</w:t>
      </w:r>
    </w:p>
    <w:p w14:paraId="29074BDF" w14:textId="77777777" w:rsidR="00E93F58" w:rsidRPr="006E709F" w:rsidRDefault="00E93F58" w:rsidP="00A801D0">
      <w:pPr>
        <w:pStyle w:val="paragraph"/>
      </w:pPr>
      <w:r w:rsidRPr="006E709F">
        <w:tab/>
        <w:t>(c)</w:t>
      </w:r>
      <w:r w:rsidRPr="006E709F">
        <w:tab/>
        <w:t xml:space="preserve">in so far as applicable, the information mentioned in subregulation 7.9.21(1) of the </w:t>
      </w:r>
      <w:r w:rsidRPr="006E709F">
        <w:rPr>
          <w:i/>
        </w:rPr>
        <w:t xml:space="preserve">Corporations </w:t>
      </w:r>
      <w:r>
        <w:rPr>
          <w:i/>
        </w:rPr>
        <w:t>Regulations 2</w:t>
      </w:r>
      <w:r w:rsidRPr="006E709F">
        <w:rPr>
          <w:i/>
        </w:rPr>
        <w:t>001</w:t>
      </w:r>
      <w:r w:rsidRPr="006E709F">
        <w:t>.</w:t>
      </w:r>
    </w:p>
    <w:p w14:paraId="17F66E6D" w14:textId="77777777" w:rsidR="00E93F58" w:rsidRPr="006E709F" w:rsidRDefault="00E93F58" w:rsidP="00A801D0">
      <w:pPr>
        <w:pStyle w:val="subsection"/>
      </w:pPr>
      <w:r w:rsidRPr="006E709F">
        <w:tab/>
        <w:t>(11)</w:t>
      </w:r>
      <w:r w:rsidRPr="006E709F">
        <w:tab/>
        <w:t>If, in relation to a member of a fund, the trustee of the fund takes advantage of subsections (12) to (15), the trustee must not, in relation to that member, take advantage of subsection (10).</w:t>
      </w:r>
    </w:p>
    <w:p w14:paraId="63F6F8DA" w14:textId="77777777" w:rsidR="00E93F58" w:rsidRPr="006E709F" w:rsidRDefault="00E93F58" w:rsidP="00A801D0">
      <w:pPr>
        <w:pStyle w:val="subsection"/>
      </w:pPr>
      <w:r w:rsidRPr="006E709F">
        <w:tab/>
        <w:t>(12)</w:t>
      </w:r>
      <w:r w:rsidRPr="006E709F">
        <w:tab/>
        <w:t>If, at the end of a reporting period, the trustee of a fund has a reasonable expectation that a particular protected member will have a withdrawal benefit of at least $1 500 within 12 months after the end of that reporting period, the trustee need not show, in the periodic statement, the effect of the member</w:t>
      </w:r>
      <w:r>
        <w:noBreakHyphen/>
      </w:r>
      <w:r w:rsidRPr="006E709F">
        <w:t>protection standards.</w:t>
      </w:r>
    </w:p>
    <w:p w14:paraId="14B5B850" w14:textId="77777777" w:rsidR="00E93F58" w:rsidRPr="006E709F" w:rsidRDefault="00E93F58" w:rsidP="00A801D0">
      <w:pPr>
        <w:pStyle w:val="subsection"/>
      </w:pPr>
      <w:r w:rsidRPr="006E709F">
        <w:tab/>
        <w:t>(13)</w:t>
      </w:r>
      <w:r w:rsidRPr="006E709F">
        <w:tab/>
        <w:t>For subsection (12), a trustee is not taken to have a reasonable expectation that a member will have a withdrawal benefit of at least $1 500 within the period of 12 months referred to in that subsection if termination of the member’s employment with a current employer (not being an employer who or that is an associate, within the meaning of paragraph 70(a) of the SIS Act, of the member) would be likely to result in the member’s withdrawal benefit being below $1 500 at the end of that period.</w:t>
      </w:r>
    </w:p>
    <w:p w14:paraId="1A6C84DF" w14:textId="77777777" w:rsidR="00E93F58" w:rsidRPr="006E709F" w:rsidRDefault="00E93F58" w:rsidP="00A801D0">
      <w:pPr>
        <w:pStyle w:val="subsection"/>
      </w:pPr>
      <w:r w:rsidRPr="006E709F">
        <w:tab/>
        <w:t>(14)</w:t>
      </w:r>
      <w:r w:rsidRPr="006E709F">
        <w:tab/>
        <w:t>If, at the end of the 12</w:t>
      </w:r>
      <w:r>
        <w:noBreakHyphen/>
      </w:r>
      <w:r w:rsidRPr="006E709F">
        <w:t>month period, the member’s withdrawal benefit has not reached $1 500, the trustee must show, in the periodic statement provided to the member for each reporting period ending on or after the end of the 12</w:t>
      </w:r>
      <w:r>
        <w:noBreakHyphen/>
      </w:r>
      <w:r w:rsidRPr="006E709F">
        <w:t>month period, the effect of the member</w:t>
      </w:r>
      <w:r>
        <w:noBreakHyphen/>
      </w:r>
      <w:r w:rsidRPr="006E709F">
        <w:t>protection standards.</w:t>
      </w:r>
    </w:p>
    <w:p w14:paraId="50320E24" w14:textId="77777777" w:rsidR="00E93F58" w:rsidRPr="006E709F" w:rsidRDefault="00E93F58" w:rsidP="00A801D0">
      <w:pPr>
        <w:pStyle w:val="subsection"/>
      </w:pPr>
      <w:r w:rsidRPr="006E709F">
        <w:tab/>
        <w:t>(15)</w:t>
      </w:r>
      <w:r w:rsidRPr="006E709F">
        <w:tab/>
        <w:t>The trustee of a fund must not take advantage of subsection (12) in respect of a person more than once unless, after an occasion on which the trustee does so but before the next occasion, the member leaves and rejoins the fund.</w:t>
      </w:r>
    </w:p>
    <w:p w14:paraId="2B555E96" w14:textId="77777777" w:rsidR="00E93F58" w:rsidRPr="006E709F" w:rsidRDefault="00E93F58" w:rsidP="00A801D0">
      <w:pPr>
        <w:pStyle w:val="subsection"/>
      </w:pPr>
      <w:r w:rsidRPr="006E709F">
        <w:tab/>
        <w:t>(16)</w:t>
      </w:r>
      <w:r w:rsidRPr="006E709F">
        <w:tab/>
        <w:t>In this section:</w:t>
      </w:r>
    </w:p>
    <w:p w14:paraId="051A5C5D" w14:textId="77777777" w:rsidR="00E93F58" w:rsidRPr="006E709F" w:rsidRDefault="00E93F58" w:rsidP="00A801D0">
      <w:pPr>
        <w:pStyle w:val="Definition"/>
      </w:pPr>
      <w:r w:rsidRPr="006E709F">
        <w:rPr>
          <w:b/>
          <w:i/>
        </w:rPr>
        <w:t>mandated employer</w:t>
      </w:r>
      <w:r>
        <w:rPr>
          <w:b/>
          <w:i/>
        </w:rPr>
        <w:noBreakHyphen/>
      </w:r>
      <w:r w:rsidRPr="006E709F">
        <w:rPr>
          <w:b/>
          <w:i/>
        </w:rPr>
        <w:t>financed benefits</w:t>
      </w:r>
      <w:r w:rsidRPr="006E709F">
        <w:t xml:space="preserve"> has the same meaning as in subregulation 5.01(1) of the </w:t>
      </w:r>
      <w:r w:rsidRPr="006E709F">
        <w:rPr>
          <w:i/>
        </w:rPr>
        <w:t>Superannuation Industry (Supervision) Regulations 1994</w:t>
      </w:r>
      <w:r w:rsidRPr="006E709F">
        <w:t>.</w:t>
      </w:r>
    </w:p>
    <w:p w14:paraId="5F561448" w14:textId="77777777" w:rsidR="00E93F58" w:rsidRPr="006E709F" w:rsidRDefault="00E93F58" w:rsidP="00A801D0">
      <w:pPr>
        <w:pStyle w:val="Definition"/>
      </w:pPr>
      <w:r w:rsidRPr="006E709F">
        <w:rPr>
          <w:b/>
          <w:i/>
        </w:rPr>
        <w:t>member protection standards</w:t>
      </w:r>
      <w:r w:rsidRPr="006E709F">
        <w:t xml:space="preserve"> has the same meaning as in the </w:t>
      </w:r>
      <w:r w:rsidRPr="006E709F">
        <w:rPr>
          <w:i/>
        </w:rPr>
        <w:t>Superannuation Industry (Supervision) Regulations 1994</w:t>
      </w:r>
      <w:r w:rsidRPr="006E709F">
        <w:t>.</w:t>
      </w:r>
    </w:p>
    <w:p w14:paraId="0454E65A" w14:textId="77777777" w:rsidR="00E93F58" w:rsidRPr="006E709F" w:rsidRDefault="00E93F58" w:rsidP="00A801D0">
      <w:pPr>
        <w:pStyle w:val="Definition"/>
      </w:pPr>
      <w:r w:rsidRPr="006E709F">
        <w:rPr>
          <w:b/>
          <w:i/>
        </w:rPr>
        <w:t>protected member</w:t>
      </w:r>
      <w:r w:rsidRPr="006E709F">
        <w:t xml:space="preserve"> has the same meaning as in the </w:t>
      </w:r>
      <w:r w:rsidRPr="006E709F">
        <w:rPr>
          <w:i/>
        </w:rPr>
        <w:t>Superannuation Industry (Supervision) Regulations 1994</w:t>
      </w:r>
      <w:r w:rsidRPr="006E709F">
        <w:t>.</w:t>
      </w:r>
    </w:p>
    <w:p w14:paraId="4815B627" w14:textId="77777777" w:rsidR="00E93F58" w:rsidRPr="006E709F" w:rsidRDefault="00E93F58" w:rsidP="00A801D0">
      <w:pPr>
        <w:pStyle w:val="subsection"/>
      </w:pPr>
      <w:r w:rsidRPr="006E709F">
        <w:tab/>
        <w:t>(17)</w:t>
      </w:r>
      <w:r w:rsidRPr="006E709F">
        <w:tab/>
        <w:t xml:space="preserve">For the definition of </w:t>
      </w:r>
      <w:r w:rsidRPr="006E709F">
        <w:rPr>
          <w:b/>
          <w:i/>
        </w:rPr>
        <w:t>protected member</w:t>
      </w:r>
      <w:r w:rsidRPr="006E709F">
        <w:t xml:space="preserve"> in subsection (16), a benefit in a fund is taken to contain or to have contained mandated employer</w:t>
      </w:r>
      <w:r>
        <w:noBreakHyphen/>
      </w:r>
      <w:r w:rsidRPr="006E709F">
        <w:t>financed benefits unless:</w:t>
      </w:r>
    </w:p>
    <w:p w14:paraId="03F9DD80" w14:textId="77777777" w:rsidR="00E93F58" w:rsidRPr="006E709F" w:rsidRDefault="00E93F58" w:rsidP="00A801D0">
      <w:pPr>
        <w:pStyle w:val="paragraph"/>
      </w:pPr>
      <w:r w:rsidRPr="006E709F">
        <w:tab/>
        <w:t>(a)</w:t>
      </w:r>
      <w:r w:rsidRPr="006E709F">
        <w:tab/>
        <w:t>if the benefits arose in relation to contributions made before 1 July 1995—the trustee of the fund reasonably believes otherwise; or</w:t>
      </w:r>
    </w:p>
    <w:p w14:paraId="23B3171F" w14:textId="77777777" w:rsidR="00E93F58" w:rsidRPr="006E709F" w:rsidRDefault="00E93F58" w:rsidP="00A801D0">
      <w:pPr>
        <w:pStyle w:val="paragraph"/>
      </w:pPr>
      <w:r w:rsidRPr="006E709F">
        <w:lastRenderedPageBreak/>
        <w:tab/>
        <w:t>(b)</w:t>
      </w:r>
      <w:r w:rsidRPr="006E709F">
        <w:tab/>
        <w:t>if the benefits arose in relation to contributions made on or after 1 July 1995—the trustee of the fund knows otherwise.</w:t>
      </w:r>
    </w:p>
    <w:p w14:paraId="288ACCC4" w14:textId="77777777" w:rsidR="00E93F58" w:rsidRPr="006E709F" w:rsidRDefault="00E93F58" w:rsidP="00E216E5">
      <w:pPr>
        <w:pStyle w:val="ActHead2"/>
        <w:pageBreakBefore/>
      </w:pPr>
      <w:bookmarkStart w:id="3494" w:name="_Toc151992495"/>
      <w:bookmarkStart w:id="3495" w:name="_Toc158713532"/>
      <w:r w:rsidRPr="000C4237">
        <w:rPr>
          <w:rStyle w:val="CharPartNo"/>
        </w:rPr>
        <w:lastRenderedPageBreak/>
        <w:t>Part 8</w:t>
      </w:r>
      <w:r w:rsidRPr="006E709F">
        <w:t>—</w:t>
      </w:r>
      <w:r w:rsidRPr="000C4237">
        <w:rPr>
          <w:rStyle w:val="CharPartText"/>
        </w:rPr>
        <w:t>Modifications relating to periodic statements for RSA providers</w:t>
      </w:r>
      <w:bookmarkEnd w:id="3494"/>
      <w:bookmarkEnd w:id="3495"/>
    </w:p>
    <w:p w14:paraId="6FDE4022"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3C4F5CC0" w14:textId="77777777" w:rsidR="00E93F58" w:rsidRPr="006E709F" w:rsidRDefault="00E93F58" w:rsidP="00DD3819">
      <w:pPr>
        <w:pStyle w:val="ItemHead"/>
      </w:pPr>
      <w:r w:rsidRPr="006E709F">
        <w:t>8.1  After subsection 1017D(7)</w:t>
      </w:r>
    </w:p>
    <w:p w14:paraId="4BA60A17" w14:textId="77777777" w:rsidR="00E93F58" w:rsidRPr="006E709F" w:rsidRDefault="00E93F58" w:rsidP="00DD3819">
      <w:pPr>
        <w:pStyle w:val="Item"/>
        <w:rPr>
          <w:i/>
        </w:rPr>
      </w:pPr>
      <w:r w:rsidRPr="006E709F">
        <w:rPr>
          <w:i/>
        </w:rPr>
        <w:t>insert</w:t>
      </w:r>
    </w:p>
    <w:p w14:paraId="3BDDF41D" w14:textId="77777777" w:rsidR="00E93F58" w:rsidRPr="006E709F" w:rsidRDefault="00E93F58" w:rsidP="00A801D0">
      <w:pPr>
        <w:pStyle w:val="subsection"/>
      </w:pPr>
      <w:r w:rsidRPr="006E709F">
        <w:tab/>
        <w:t>(8)</w:t>
      </w:r>
      <w:r w:rsidRPr="006E709F">
        <w:tab/>
        <w:t>If:</w:t>
      </w:r>
    </w:p>
    <w:p w14:paraId="4CEADB9E" w14:textId="77777777" w:rsidR="00E93F58" w:rsidRPr="006E709F" w:rsidRDefault="00E93F58" w:rsidP="00A801D0">
      <w:pPr>
        <w:pStyle w:val="paragraph"/>
      </w:pPr>
      <w:r w:rsidRPr="006E709F">
        <w:tab/>
        <w:t>(a)</w:t>
      </w:r>
      <w:r w:rsidRPr="006E709F">
        <w:tab/>
        <w:t xml:space="preserve">a person ceases to be an RSA holder before RSA information in respect of a particular reporting period (the </w:t>
      </w:r>
      <w:r w:rsidRPr="006E709F">
        <w:rPr>
          <w:b/>
          <w:i/>
        </w:rPr>
        <w:t>relevant period</w:t>
      </w:r>
      <w:r w:rsidRPr="006E709F">
        <w:t>) is given; and</w:t>
      </w:r>
    </w:p>
    <w:p w14:paraId="68F8297E" w14:textId="77777777" w:rsidR="00E93F58" w:rsidRPr="006E709F" w:rsidRDefault="00E93F58" w:rsidP="00A801D0">
      <w:pPr>
        <w:pStyle w:val="paragraph"/>
      </w:pPr>
      <w:r w:rsidRPr="006E709F">
        <w:tab/>
        <w:t>(b)</w:t>
      </w:r>
      <w:r w:rsidRPr="006E709F">
        <w:tab/>
        <w:t>either:</w:t>
      </w:r>
    </w:p>
    <w:p w14:paraId="135CB299" w14:textId="77777777" w:rsidR="00E93F58" w:rsidRPr="006E709F" w:rsidRDefault="00E93F58" w:rsidP="00A801D0">
      <w:pPr>
        <w:pStyle w:val="paragraphsub"/>
      </w:pPr>
      <w:r w:rsidRPr="006E709F">
        <w:tab/>
        <w:t>(i)</w:t>
      </w:r>
      <w:r w:rsidRPr="006E709F">
        <w:tab/>
        <w:t>the RSA provider gives, or intends to give, information to the person in respect of a reporting period that is the same as, or includes the whole of, the relevant period; or</w:t>
      </w:r>
    </w:p>
    <w:p w14:paraId="663C59AB" w14:textId="77777777" w:rsidR="00E93F58" w:rsidRPr="006E709F" w:rsidRDefault="00E93F58" w:rsidP="00A801D0">
      <w:pPr>
        <w:pStyle w:val="paragraphsub"/>
      </w:pPr>
      <w:r w:rsidRPr="006E709F">
        <w:tab/>
        <w:t>(ii)</w:t>
      </w:r>
      <w:r w:rsidRPr="006E709F">
        <w:tab/>
        <w:t>if the person ceases to be an RSA holder by reason of death—the RSA provider complies in relation to the person with the relevant requirements of this Act and the regulations;</w:t>
      </w:r>
    </w:p>
    <w:p w14:paraId="3448D6E7" w14:textId="77777777" w:rsidR="00E93F58" w:rsidRPr="006E709F" w:rsidRDefault="00E93F58" w:rsidP="00A801D0">
      <w:pPr>
        <w:pStyle w:val="subsection2"/>
      </w:pPr>
      <w:r w:rsidRPr="006E709F">
        <w:t>the RSA provider need not give RSA information, in respect of the relevant period, to or in relation to the person.</w:t>
      </w:r>
    </w:p>
    <w:p w14:paraId="69693754" w14:textId="77777777" w:rsidR="00E93F58" w:rsidRPr="006E709F" w:rsidRDefault="00E93F58" w:rsidP="00A801D0">
      <w:pPr>
        <w:pStyle w:val="subsection"/>
      </w:pPr>
      <w:r w:rsidRPr="006E709F">
        <w:tab/>
        <w:t>(9)</w:t>
      </w:r>
      <w:r w:rsidRPr="006E709F">
        <w:tab/>
        <w:t>If, at the end of a reporting period, an RSA holder is a protected RSA holder, the RSA provider need give the RSA holder only the following information for the reporting period:</w:t>
      </w:r>
    </w:p>
    <w:p w14:paraId="047C8270" w14:textId="77777777" w:rsidR="00E93F58" w:rsidRPr="006E709F" w:rsidRDefault="00E93F58" w:rsidP="00A801D0">
      <w:pPr>
        <w:pStyle w:val="paragraph"/>
      </w:pPr>
      <w:r w:rsidRPr="006E709F">
        <w:tab/>
        <w:t>(a)</w:t>
      </w:r>
      <w:r w:rsidRPr="006E709F">
        <w:tab/>
        <w:t>the contact details of the RSA provider;</w:t>
      </w:r>
    </w:p>
    <w:p w14:paraId="37A4ABE6" w14:textId="77777777" w:rsidR="00E93F58" w:rsidRPr="006E709F" w:rsidRDefault="00E93F58" w:rsidP="00A801D0">
      <w:pPr>
        <w:pStyle w:val="paragraph"/>
      </w:pPr>
      <w:r w:rsidRPr="006E709F">
        <w:tab/>
        <w:t>(b)</w:t>
      </w:r>
      <w:r w:rsidRPr="006E709F">
        <w:tab/>
        <w:t>either:</w:t>
      </w:r>
    </w:p>
    <w:p w14:paraId="43636CA6" w14:textId="77777777" w:rsidR="00E93F58" w:rsidRPr="006E709F" w:rsidRDefault="00E93F58" w:rsidP="00A801D0">
      <w:pPr>
        <w:pStyle w:val="paragraphsub"/>
      </w:pPr>
      <w:r w:rsidRPr="006E709F">
        <w:tab/>
        <w:t>(i)</w:t>
      </w:r>
      <w:r w:rsidRPr="006E709F">
        <w:tab/>
        <w:t>the amount of the RSA holder’s withdrawal benefit at the end of the reporting period; or</w:t>
      </w:r>
    </w:p>
    <w:p w14:paraId="584BEAD4" w14:textId="77777777" w:rsidR="00E93F58" w:rsidRPr="006E709F" w:rsidRDefault="00E93F58" w:rsidP="00A801D0">
      <w:pPr>
        <w:pStyle w:val="paragraphsub"/>
      </w:pPr>
      <w:r w:rsidRPr="006E709F">
        <w:tab/>
        <w:t>(ii)</w:t>
      </w:r>
      <w:r w:rsidRPr="006E709F">
        <w:tab/>
        <w:t>the total of the amounts that have been received by the RSA provider in respect of the RSA holder;</w:t>
      </w:r>
    </w:p>
    <w:p w14:paraId="737CAEA3" w14:textId="77777777" w:rsidR="00E93F58" w:rsidRPr="006E709F" w:rsidRDefault="00E93F58" w:rsidP="00A801D0">
      <w:pPr>
        <w:pStyle w:val="paragraph"/>
      </w:pPr>
      <w:r w:rsidRPr="006E709F">
        <w:tab/>
        <w:t>(c)</w:t>
      </w:r>
      <w:r w:rsidRPr="006E709F">
        <w:tab/>
        <w:t>the effective rate of net interest applied to the RSA for each year of the previous 5 years ending at the end of the reporting period;</w:t>
      </w:r>
    </w:p>
    <w:p w14:paraId="1144AB70" w14:textId="77777777" w:rsidR="00E93F58" w:rsidRPr="006E709F" w:rsidRDefault="00E93F58" w:rsidP="00A801D0">
      <w:pPr>
        <w:pStyle w:val="paragraph"/>
      </w:pPr>
      <w:r w:rsidRPr="006E709F">
        <w:tab/>
        <w:t>(d)</w:t>
      </w:r>
      <w:r w:rsidRPr="006E709F">
        <w:tab/>
        <w:t>the compound average of the annual effective rate of net interest applied to the RSA for each year of the previous 5 years ending at the end of the reporting period;</w:t>
      </w:r>
    </w:p>
    <w:p w14:paraId="1271A3DC" w14:textId="77777777" w:rsidR="00E93F58" w:rsidRPr="006E709F" w:rsidRDefault="00E93F58" w:rsidP="00A801D0">
      <w:pPr>
        <w:pStyle w:val="paragraph"/>
      </w:pPr>
      <w:r w:rsidRPr="006E709F">
        <w:tab/>
        <w:t>(e)</w:t>
      </w:r>
      <w:r w:rsidRPr="006E709F">
        <w:tab/>
        <w:t>details (in summary form) of arrangements that the RSA provider has to deal with inquiries or complaints;</w:t>
      </w:r>
    </w:p>
    <w:p w14:paraId="2CA7DCEE" w14:textId="77777777" w:rsidR="00E93F58" w:rsidRPr="006E709F" w:rsidRDefault="00E93F58" w:rsidP="00A801D0">
      <w:pPr>
        <w:pStyle w:val="paragraph"/>
      </w:pPr>
      <w:r w:rsidRPr="006E709F">
        <w:tab/>
        <w:t>(f)</w:t>
      </w:r>
      <w:r w:rsidRPr="006E709F">
        <w:tab/>
        <w:t>a statement that other information is available on request;</w:t>
      </w:r>
    </w:p>
    <w:p w14:paraId="3ED35E2B" w14:textId="77777777" w:rsidR="00E93F58" w:rsidRPr="006E709F" w:rsidRDefault="00E93F58" w:rsidP="00A801D0">
      <w:pPr>
        <w:pStyle w:val="paragraph"/>
      </w:pPr>
      <w:r w:rsidRPr="006E709F">
        <w:tab/>
        <w:t>(g)</w:t>
      </w:r>
      <w:r w:rsidRPr="006E709F">
        <w:tab/>
        <w:t>a suggestion that the RSA holder may wish to consider:</w:t>
      </w:r>
    </w:p>
    <w:p w14:paraId="4DD06AF1" w14:textId="77777777" w:rsidR="00E93F58" w:rsidRPr="006E709F" w:rsidRDefault="00E93F58" w:rsidP="00A801D0">
      <w:pPr>
        <w:pStyle w:val="paragraphsub"/>
      </w:pPr>
      <w:r w:rsidRPr="006E709F">
        <w:tab/>
        <w:t>(i)</w:t>
      </w:r>
      <w:r w:rsidRPr="006E709F">
        <w:tab/>
        <w:t>other superannuation arrangements that may provide a greater return over the long term; and</w:t>
      </w:r>
    </w:p>
    <w:p w14:paraId="4FA378CA" w14:textId="77777777" w:rsidR="00E93F58" w:rsidRPr="006E709F" w:rsidRDefault="00E93F58" w:rsidP="00A801D0">
      <w:pPr>
        <w:pStyle w:val="paragraphsub"/>
      </w:pPr>
      <w:r w:rsidRPr="006E709F">
        <w:tab/>
        <w:t>(ii)</w:t>
      </w:r>
      <w:r w:rsidRPr="006E709F">
        <w:tab/>
        <w:t>seeking advice on alternative investment strategies that may be more suitable;</w:t>
      </w:r>
    </w:p>
    <w:p w14:paraId="4D5DC409" w14:textId="77777777" w:rsidR="00E93F58" w:rsidRPr="006E709F" w:rsidRDefault="00E93F58" w:rsidP="00A801D0">
      <w:pPr>
        <w:pStyle w:val="paragraph"/>
      </w:pPr>
      <w:r w:rsidRPr="006E709F">
        <w:tab/>
        <w:t>(h)</w:t>
      </w:r>
      <w:r w:rsidRPr="006E709F">
        <w:tab/>
        <w:t>if the RSA provider reduced the RSA holder’s benefits in connection with payment of a superannuation contributions surcharge or an advance instalment of surcharge:</w:t>
      </w:r>
    </w:p>
    <w:p w14:paraId="21366144" w14:textId="77777777" w:rsidR="00E93F58" w:rsidRPr="006E709F" w:rsidRDefault="00E93F58" w:rsidP="00A801D0">
      <w:pPr>
        <w:pStyle w:val="paragraphsub"/>
      </w:pPr>
      <w:r w:rsidRPr="006E709F">
        <w:tab/>
        <w:t>(i)</w:t>
      </w:r>
      <w:r w:rsidRPr="006E709F">
        <w:tab/>
        <w:t>the amount deducted; and</w:t>
      </w:r>
    </w:p>
    <w:p w14:paraId="3E3E38EE" w14:textId="77777777" w:rsidR="00E93F58" w:rsidRPr="006E709F" w:rsidRDefault="00E93F58" w:rsidP="00A801D0">
      <w:pPr>
        <w:pStyle w:val="paragraphsub"/>
      </w:pPr>
      <w:r w:rsidRPr="006E709F">
        <w:tab/>
        <w:t>(ii)</w:t>
      </w:r>
      <w:r w:rsidRPr="006E709F">
        <w:tab/>
        <w:t xml:space="preserve">if there is a difference between the amount deducted and the amount assessed under subsection 15(1) of the </w:t>
      </w:r>
      <w:r w:rsidRPr="006E709F">
        <w:rPr>
          <w:i/>
        </w:rPr>
        <w:t>Superannuation Contributions Tax (Assessment and Collection) Act 1997</w:t>
      </w:r>
      <w:r w:rsidRPr="006E709F">
        <w:t xml:space="preserve"> or between the amount deducted and the amount determined under subsection 15(2) of that Act—a statement explaining the difference.</w:t>
      </w:r>
    </w:p>
    <w:p w14:paraId="741AEA62" w14:textId="77777777" w:rsidR="00E93F58" w:rsidRPr="006E709F" w:rsidRDefault="00E93F58" w:rsidP="00A801D0">
      <w:pPr>
        <w:pStyle w:val="subsection"/>
      </w:pPr>
      <w:r w:rsidRPr="006E709F">
        <w:tab/>
        <w:t>(10)</w:t>
      </w:r>
      <w:r w:rsidRPr="006E709F">
        <w:tab/>
        <w:t>A nil amount need not be disclosed.</w:t>
      </w:r>
    </w:p>
    <w:p w14:paraId="479EAF55" w14:textId="77777777" w:rsidR="00E93F58" w:rsidRPr="006E709F" w:rsidRDefault="00E93F58" w:rsidP="00A801D0">
      <w:pPr>
        <w:pStyle w:val="subsection"/>
      </w:pPr>
      <w:r w:rsidRPr="006E709F">
        <w:tab/>
        <w:t>(11)</w:t>
      </w:r>
      <w:r w:rsidRPr="006E709F">
        <w:tab/>
        <w:t>If, in relation to an RSA holder, the RSA provider takes advantage of subsections (13) to (16), the RSA provider must not, in relation to the RSA holder, take advantage of subsection (9).</w:t>
      </w:r>
    </w:p>
    <w:p w14:paraId="2DB921ED" w14:textId="77777777" w:rsidR="00E93F58" w:rsidRPr="006E709F" w:rsidRDefault="00E93F58" w:rsidP="00A801D0">
      <w:pPr>
        <w:pStyle w:val="subsection"/>
      </w:pPr>
      <w:r w:rsidRPr="006E709F">
        <w:tab/>
        <w:t>(12)</w:t>
      </w:r>
      <w:r w:rsidRPr="006E709F">
        <w:tab/>
        <w:t>If, at the end of a reporting period, an RSA has not been in existence for 5 years, the references in paragraphs (9)(c) and (d) to 5 years are taken to be references to the whole period of existence of the RSA.</w:t>
      </w:r>
    </w:p>
    <w:p w14:paraId="325756F7" w14:textId="77777777" w:rsidR="00E93F58" w:rsidRPr="006E709F" w:rsidRDefault="00E93F58" w:rsidP="00A801D0">
      <w:pPr>
        <w:pStyle w:val="subsection"/>
      </w:pPr>
      <w:r w:rsidRPr="006E709F">
        <w:tab/>
        <w:t>(13)</w:t>
      </w:r>
      <w:r w:rsidRPr="006E709F">
        <w:tab/>
        <w:t>If, at the end of a reporting period, an RSA provider has a reasonable expectation that an RSA holder will have a withdrawal benefit of at least $1 500 within 12 months after the end of the reporting period, the RSA provider need not show, in RSA information provided to the RSA holder, the effect of the RSA holder</w:t>
      </w:r>
      <w:r>
        <w:noBreakHyphen/>
      </w:r>
      <w:r w:rsidRPr="006E709F">
        <w:t>protection standards.</w:t>
      </w:r>
    </w:p>
    <w:p w14:paraId="5BB021B6" w14:textId="77777777" w:rsidR="00E93F58" w:rsidRPr="006E709F" w:rsidRDefault="00E93F58" w:rsidP="00A801D0">
      <w:pPr>
        <w:pStyle w:val="subsection"/>
      </w:pPr>
      <w:r w:rsidRPr="006E709F">
        <w:tab/>
        <w:t>(14)</w:t>
      </w:r>
      <w:r w:rsidRPr="006E709F">
        <w:tab/>
        <w:t>For subsection (12), an RSA provider is not taken to have a reasonable expectation that the RSA holder will have a withdrawal benefit of $1 500 within the period of 12 months mentioned in that subsection if termination of the RSA holder’s employment with a current employer would be likely to result in the RSA holder’s withdrawal benefit being below $1 500 at the end of that period.</w:t>
      </w:r>
    </w:p>
    <w:p w14:paraId="0F0A371C" w14:textId="77777777" w:rsidR="00E93F58" w:rsidRPr="006E709F" w:rsidRDefault="00E93F58" w:rsidP="00A801D0">
      <w:pPr>
        <w:pStyle w:val="subsection"/>
      </w:pPr>
      <w:r w:rsidRPr="006E709F">
        <w:lastRenderedPageBreak/>
        <w:tab/>
        <w:t>(15)</w:t>
      </w:r>
      <w:r w:rsidRPr="006E709F">
        <w:tab/>
        <w:t>If, at the end of the 12</w:t>
      </w:r>
      <w:r>
        <w:noBreakHyphen/>
      </w:r>
      <w:r w:rsidRPr="006E709F">
        <w:t>month period, the RSA holder’s withdrawal benefit has not reached $1 500, the RSA provider must show, in RSA information provided to the RSA holder for each reporting period ending on or after the end of the 12</w:t>
      </w:r>
      <w:r>
        <w:noBreakHyphen/>
      </w:r>
      <w:r w:rsidRPr="006E709F">
        <w:t>month period, the effect of the RSA holder</w:t>
      </w:r>
      <w:r>
        <w:noBreakHyphen/>
      </w:r>
      <w:r w:rsidRPr="006E709F">
        <w:t>protection standards.</w:t>
      </w:r>
    </w:p>
    <w:p w14:paraId="15F0E78B" w14:textId="77777777" w:rsidR="00E93F58" w:rsidRPr="006E709F" w:rsidRDefault="00E93F58" w:rsidP="00A801D0">
      <w:pPr>
        <w:pStyle w:val="subsection"/>
      </w:pPr>
      <w:r w:rsidRPr="006E709F">
        <w:tab/>
        <w:t>(16)</w:t>
      </w:r>
      <w:r w:rsidRPr="006E709F">
        <w:tab/>
        <w:t>An RSA provider must not take advantage of subsection (13) in respect of a person more than once unless, after an occasion on which the RSA provider does so but before the next occasion, the person ceases to be the holder of the RSA and subsequently becomes the holder of an RSA provided by the same RSA provider.</w:t>
      </w:r>
    </w:p>
    <w:p w14:paraId="55EF8614" w14:textId="77777777" w:rsidR="00E93F58" w:rsidRPr="006E709F" w:rsidRDefault="00E93F58" w:rsidP="00A801D0">
      <w:pPr>
        <w:pStyle w:val="subsection"/>
      </w:pPr>
      <w:r w:rsidRPr="006E709F">
        <w:tab/>
        <w:t>(17)</w:t>
      </w:r>
      <w:r w:rsidRPr="006E709F">
        <w:tab/>
        <w:t>In this section:</w:t>
      </w:r>
    </w:p>
    <w:p w14:paraId="60F78B26" w14:textId="77777777" w:rsidR="00E93F58" w:rsidRPr="006E709F" w:rsidRDefault="00E93F58" w:rsidP="00A801D0">
      <w:pPr>
        <w:pStyle w:val="Definition"/>
      </w:pPr>
      <w:r w:rsidRPr="006E709F">
        <w:rPr>
          <w:b/>
          <w:i/>
        </w:rPr>
        <w:t>mandated employer</w:t>
      </w:r>
      <w:r>
        <w:rPr>
          <w:b/>
          <w:i/>
        </w:rPr>
        <w:noBreakHyphen/>
      </w:r>
      <w:r w:rsidRPr="006E709F">
        <w:rPr>
          <w:b/>
          <w:i/>
        </w:rPr>
        <w:t>financed benefits</w:t>
      </w:r>
      <w:r w:rsidRPr="006E709F">
        <w:t xml:space="preserve"> has the same meaning as in the </w:t>
      </w:r>
      <w:r w:rsidRPr="006E709F">
        <w:rPr>
          <w:i/>
        </w:rPr>
        <w:t>Retirement Savings Accounts Regulations 1997</w:t>
      </w:r>
      <w:r w:rsidRPr="006E709F">
        <w:t>.</w:t>
      </w:r>
    </w:p>
    <w:p w14:paraId="13A22180" w14:textId="77777777" w:rsidR="00E93F58" w:rsidRPr="006E709F" w:rsidRDefault="00E93F58" w:rsidP="00A801D0">
      <w:pPr>
        <w:pStyle w:val="Definition"/>
      </w:pPr>
      <w:r w:rsidRPr="006E709F">
        <w:rPr>
          <w:b/>
          <w:i/>
        </w:rPr>
        <w:t>protected member</w:t>
      </w:r>
      <w:r w:rsidRPr="006E709F">
        <w:t xml:space="preserve"> has the same meaning as in the </w:t>
      </w:r>
      <w:r w:rsidRPr="006E709F">
        <w:rPr>
          <w:i/>
        </w:rPr>
        <w:t>Retirement Savings Accounts Regulations 1997</w:t>
      </w:r>
      <w:r w:rsidRPr="006E709F">
        <w:t>.</w:t>
      </w:r>
    </w:p>
    <w:p w14:paraId="4DEBE62B" w14:textId="77777777" w:rsidR="00E93F58" w:rsidRPr="006E709F" w:rsidRDefault="00E93F58" w:rsidP="00A801D0">
      <w:pPr>
        <w:pStyle w:val="Definition"/>
      </w:pPr>
      <w:r w:rsidRPr="006E709F">
        <w:rPr>
          <w:b/>
          <w:i/>
        </w:rPr>
        <w:t>RSA holder</w:t>
      </w:r>
      <w:r>
        <w:rPr>
          <w:b/>
          <w:i/>
        </w:rPr>
        <w:noBreakHyphen/>
      </w:r>
      <w:r w:rsidRPr="006E709F">
        <w:rPr>
          <w:b/>
          <w:i/>
        </w:rPr>
        <w:t>protection standards</w:t>
      </w:r>
      <w:r w:rsidRPr="006E709F">
        <w:t xml:space="preserve"> has the same meaning as in the </w:t>
      </w:r>
      <w:r w:rsidRPr="006E709F">
        <w:rPr>
          <w:i/>
        </w:rPr>
        <w:t>Retirement Savings Accounts Regulations 1997</w:t>
      </w:r>
      <w:r w:rsidRPr="006E709F">
        <w:t>.</w:t>
      </w:r>
    </w:p>
    <w:p w14:paraId="6DE9E213" w14:textId="77777777" w:rsidR="00E93F58" w:rsidRPr="006E709F" w:rsidRDefault="00E93F58" w:rsidP="00A801D0">
      <w:pPr>
        <w:pStyle w:val="ActHead2"/>
        <w:pageBreakBefore/>
      </w:pPr>
      <w:bookmarkStart w:id="3496" w:name="_Toc151992496"/>
      <w:bookmarkStart w:id="3497" w:name="_Toc158713533"/>
      <w:r w:rsidRPr="000C4237">
        <w:rPr>
          <w:rStyle w:val="CharPartNo"/>
        </w:rPr>
        <w:lastRenderedPageBreak/>
        <w:t>Part 9</w:t>
      </w:r>
      <w:r w:rsidRPr="006E709F">
        <w:t>—</w:t>
      </w:r>
      <w:r w:rsidRPr="000C4237">
        <w:rPr>
          <w:rStyle w:val="CharPartText"/>
        </w:rPr>
        <w:t>Modifications relating to periodic statements for superannuation entities and RSA providers</w:t>
      </w:r>
      <w:bookmarkEnd w:id="3496"/>
      <w:bookmarkEnd w:id="3497"/>
    </w:p>
    <w:p w14:paraId="4092E6AB"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5EA7FA06" w14:textId="77777777" w:rsidR="00E93F58" w:rsidRPr="006E709F" w:rsidRDefault="00E93F58" w:rsidP="00DD3819">
      <w:pPr>
        <w:pStyle w:val="ItemHead"/>
      </w:pPr>
      <w:r w:rsidRPr="006E709F">
        <w:t>9.1  After subsection 1017C(7)</w:t>
      </w:r>
    </w:p>
    <w:p w14:paraId="6D2F9217" w14:textId="77777777" w:rsidR="00E93F58" w:rsidRPr="006E709F" w:rsidRDefault="00E93F58" w:rsidP="00DD3819">
      <w:pPr>
        <w:pStyle w:val="Item"/>
        <w:rPr>
          <w:i/>
        </w:rPr>
      </w:pPr>
      <w:r w:rsidRPr="006E709F">
        <w:rPr>
          <w:i/>
        </w:rPr>
        <w:t>insert</w:t>
      </w:r>
    </w:p>
    <w:p w14:paraId="55047B5C" w14:textId="77777777" w:rsidR="00E93F58" w:rsidRPr="006E709F" w:rsidRDefault="00E93F58" w:rsidP="00A801D0">
      <w:pPr>
        <w:pStyle w:val="subsection"/>
      </w:pPr>
      <w:r w:rsidRPr="006E709F">
        <w:tab/>
        <w:t>(7A)</w:t>
      </w:r>
      <w:r w:rsidRPr="006E709F">
        <w:tab/>
        <w:t>If:</w:t>
      </w:r>
    </w:p>
    <w:p w14:paraId="27FD4DC4" w14:textId="77777777" w:rsidR="00E93F58" w:rsidRPr="006E709F" w:rsidRDefault="00E93F58" w:rsidP="00A801D0">
      <w:pPr>
        <w:pStyle w:val="paragraph"/>
      </w:pPr>
      <w:r w:rsidRPr="006E709F">
        <w:tab/>
        <w:t>(a)</w:t>
      </w:r>
      <w:r w:rsidRPr="006E709F">
        <w:tab/>
        <w:t>a concerned person requests information under subsection (2) or (3) in relation to a facility, under the concerned person’s existing holding of a superannuation product, to modify:</w:t>
      </w:r>
    </w:p>
    <w:p w14:paraId="3B9D2DC6" w14:textId="77777777" w:rsidR="00E93F58" w:rsidRPr="006E709F" w:rsidRDefault="00E93F58" w:rsidP="00A801D0">
      <w:pPr>
        <w:pStyle w:val="paragraphsub"/>
      </w:pPr>
      <w:r w:rsidRPr="006E709F">
        <w:tab/>
        <w:t>(i)</w:t>
      </w:r>
      <w:r w:rsidRPr="006E709F">
        <w:tab/>
        <w:t>an investment strategy; or</w:t>
      </w:r>
    </w:p>
    <w:p w14:paraId="17F1C90B" w14:textId="77777777" w:rsidR="00E93F58" w:rsidRPr="006E709F" w:rsidRDefault="00E93F58" w:rsidP="00A801D0">
      <w:pPr>
        <w:pStyle w:val="paragraphsub"/>
      </w:pPr>
      <w:r w:rsidRPr="006E709F">
        <w:tab/>
        <w:t>(ii)</w:t>
      </w:r>
      <w:r w:rsidRPr="006E709F">
        <w:tab/>
        <w:t>a contribution level; or</w:t>
      </w:r>
    </w:p>
    <w:p w14:paraId="31BA62BE" w14:textId="77777777" w:rsidR="00E93F58" w:rsidRPr="006E709F" w:rsidRDefault="00E93F58" w:rsidP="00A801D0">
      <w:pPr>
        <w:pStyle w:val="paragraphsub"/>
      </w:pPr>
      <w:r w:rsidRPr="006E709F">
        <w:tab/>
        <w:t>(iii)</w:t>
      </w:r>
      <w:r w:rsidRPr="006E709F">
        <w:tab/>
        <w:t>insurance coverage; and</w:t>
      </w:r>
    </w:p>
    <w:p w14:paraId="566AF242" w14:textId="77777777" w:rsidR="00E93F58" w:rsidRPr="006E709F" w:rsidRDefault="00E93F58" w:rsidP="00A801D0">
      <w:pPr>
        <w:pStyle w:val="paragraph"/>
      </w:pPr>
      <w:r w:rsidRPr="006E709F">
        <w:tab/>
        <w:t>(b)</w:t>
      </w:r>
      <w:r w:rsidRPr="006E709F">
        <w:tab/>
        <w:t>the information has not already been given in a periodic statement or in accordance with other periodic reporting requirements under Division 3;</w:t>
      </w:r>
    </w:p>
    <w:p w14:paraId="5FDCA2A5" w14:textId="77777777" w:rsidR="00E93F58" w:rsidRPr="006E709F" w:rsidRDefault="00E93F58" w:rsidP="00A801D0">
      <w:pPr>
        <w:pStyle w:val="subsection2"/>
      </w:pPr>
      <w:r w:rsidRPr="006E709F">
        <w:t>it is sufficient compliance with a requirement imposed by this section if the responsible person provides an up to date Product Disclosure Statement that includes information on the ability and effect of making the modification.</w:t>
      </w:r>
    </w:p>
    <w:p w14:paraId="2E587786" w14:textId="77777777" w:rsidR="00E93F58" w:rsidRPr="006E709F" w:rsidRDefault="00E93F58" w:rsidP="00A801D0">
      <w:pPr>
        <w:pStyle w:val="ActHead2"/>
        <w:pageBreakBefore/>
      </w:pPr>
      <w:bookmarkStart w:id="3498" w:name="_Toc151992497"/>
      <w:bookmarkStart w:id="3499" w:name="_Toc158713534"/>
      <w:r w:rsidRPr="000C4237">
        <w:rPr>
          <w:rStyle w:val="CharPartNo"/>
        </w:rPr>
        <w:lastRenderedPageBreak/>
        <w:t>Part 10</w:t>
      </w:r>
      <w:r w:rsidRPr="006E709F">
        <w:t>—</w:t>
      </w:r>
      <w:r w:rsidRPr="000C4237">
        <w:rPr>
          <w:rStyle w:val="CharPartText"/>
        </w:rPr>
        <w:t>Modifications relating to ongoing disclosure of material changes and significant events in relation to superannuation products and RSAs</w:t>
      </w:r>
      <w:bookmarkEnd w:id="3498"/>
      <w:bookmarkEnd w:id="3499"/>
    </w:p>
    <w:p w14:paraId="12EE1285"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52492CB1" w14:textId="77777777" w:rsidR="00E93F58" w:rsidRPr="006E709F" w:rsidRDefault="00E93F58" w:rsidP="00DD3819">
      <w:pPr>
        <w:pStyle w:val="ItemHead"/>
      </w:pPr>
      <w:r w:rsidRPr="006E709F">
        <w:t>10.1  After subsection 1017B(5)</w:t>
      </w:r>
    </w:p>
    <w:p w14:paraId="5C445ADD" w14:textId="77777777" w:rsidR="00E93F58" w:rsidRPr="006E709F" w:rsidRDefault="00E93F58" w:rsidP="00DD3819">
      <w:pPr>
        <w:pStyle w:val="Item"/>
        <w:rPr>
          <w:i/>
        </w:rPr>
      </w:pPr>
      <w:r w:rsidRPr="006E709F">
        <w:rPr>
          <w:i/>
        </w:rPr>
        <w:t>insert</w:t>
      </w:r>
    </w:p>
    <w:p w14:paraId="455EC4F3" w14:textId="77777777" w:rsidR="00E93F58" w:rsidRPr="006E709F" w:rsidRDefault="00E93F58" w:rsidP="00A801D0">
      <w:pPr>
        <w:pStyle w:val="SubsectionHead"/>
      </w:pPr>
      <w:r w:rsidRPr="006E709F">
        <w:t>Provision of advice before event</w:t>
      </w:r>
    </w:p>
    <w:p w14:paraId="5FB670FF" w14:textId="77777777" w:rsidR="00E93F58" w:rsidRPr="006E709F" w:rsidRDefault="00E93F58" w:rsidP="00A801D0">
      <w:pPr>
        <w:pStyle w:val="subsection"/>
      </w:pPr>
      <w:r w:rsidRPr="006E709F">
        <w:tab/>
        <w:t>(5A)</w:t>
      </w:r>
      <w:r w:rsidRPr="006E709F">
        <w:tab/>
        <w:t xml:space="preserve">For a superannuation product or an </w:t>
      </w:r>
      <w:r w:rsidRPr="00BE1284">
        <w:t>RSA</w:t>
      </w:r>
      <w:r w:rsidRPr="006E709F">
        <w:t>, if a product holder would reasonably be expected to be informed of:</w:t>
      </w:r>
    </w:p>
    <w:p w14:paraId="7519D4DA" w14:textId="77777777" w:rsidR="00E93F58" w:rsidRPr="006E709F" w:rsidRDefault="00E93F58" w:rsidP="00A801D0">
      <w:pPr>
        <w:pStyle w:val="paragraph"/>
      </w:pPr>
      <w:r w:rsidRPr="006E709F">
        <w:tab/>
        <w:t>(a)</w:t>
      </w:r>
      <w:r w:rsidRPr="006E709F">
        <w:tab/>
        <w:t>a decision of the issuer; or</w:t>
      </w:r>
    </w:p>
    <w:p w14:paraId="7B07B6D0" w14:textId="77777777" w:rsidR="00E93F58" w:rsidRPr="006E709F" w:rsidRDefault="00E93F58" w:rsidP="00A801D0">
      <w:pPr>
        <w:pStyle w:val="paragraph"/>
      </w:pPr>
      <w:r w:rsidRPr="006E709F">
        <w:tab/>
        <w:t>(b)</w:t>
      </w:r>
      <w:r w:rsidRPr="006E709F">
        <w:tab/>
        <w:t>the winding</w:t>
      </w:r>
      <w:r>
        <w:noBreakHyphen/>
      </w:r>
      <w:r w:rsidRPr="006E709F">
        <w:t>up or termination of the superannuation entity;</w:t>
      </w:r>
    </w:p>
    <w:p w14:paraId="71FD4112" w14:textId="77777777" w:rsidR="00E93F58" w:rsidRPr="006E709F" w:rsidRDefault="00E93F58" w:rsidP="00A801D0">
      <w:pPr>
        <w:pStyle w:val="subsection2"/>
      </w:pPr>
      <w:r w:rsidRPr="006E709F">
        <w:t>before it occurs, the issuer must give the product holder information about the event as soon as practicable after it becomes reasonable for the issuer to expect that the event will happen (except that the information does not need to be given more than 3 months before the expected date of the event).</w:t>
      </w:r>
    </w:p>
    <w:p w14:paraId="1BB644F4" w14:textId="77777777" w:rsidR="00E93F58" w:rsidRPr="006E709F" w:rsidRDefault="00E93F58" w:rsidP="00A801D0">
      <w:pPr>
        <w:pStyle w:val="SubsectionHead"/>
      </w:pPr>
      <w:r w:rsidRPr="006E709F">
        <w:t>Changes to governing rules or terms and conditions</w:t>
      </w:r>
    </w:p>
    <w:p w14:paraId="3A801065" w14:textId="77777777" w:rsidR="00E93F58" w:rsidRPr="006E709F" w:rsidRDefault="00E93F58" w:rsidP="00A801D0">
      <w:pPr>
        <w:pStyle w:val="subsection"/>
      </w:pPr>
      <w:r w:rsidRPr="006E709F">
        <w:tab/>
        <w:t>(5B)</w:t>
      </w:r>
      <w:r w:rsidRPr="006E709F">
        <w:tab/>
        <w:t>For subsections 1017B(5), (6) and (7) a reference to an event includes the following:</w:t>
      </w:r>
    </w:p>
    <w:p w14:paraId="5E01BEAB" w14:textId="77777777" w:rsidR="00E93F58" w:rsidRPr="006E709F" w:rsidRDefault="00E93F58" w:rsidP="00A801D0">
      <w:pPr>
        <w:pStyle w:val="paragraph"/>
      </w:pPr>
      <w:r w:rsidRPr="006E709F">
        <w:tab/>
        <w:t>(a)</w:t>
      </w:r>
      <w:r w:rsidRPr="006E709F">
        <w:tab/>
        <w:t>a change to the governing rules of a superannuation entity (other than a change that gives effect to a payment split) of a kind that has an adverse effect on:</w:t>
      </w:r>
    </w:p>
    <w:p w14:paraId="03FC8702" w14:textId="77777777" w:rsidR="00E93F58" w:rsidRPr="006E709F" w:rsidRDefault="00E93F58" w:rsidP="00A801D0">
      <w:pPr>
        <w:pStyle w:val="paragraphsub"/>
      </w:pPr>
      <w:r w:rsidRPr="006E709F">
        <w:rPr>
          <w:color w:val="000000"/>
        </w:rPr>
        <w:tab/>
        <w:t>(i)</w:t>
      </w:r>
      <w:r w:rsidRPr="006E709F">
        <w:rPr>
          <w:color w:val="000000"/>
        </w:rPr>
        <w:tab/>
        <w:t>the amount of the relevant financial product; or</w:t>
      </w:r>
    </w:p>
    <w:p w14:paraId="09D405E3" w14:textId="77777777" w:rsidR="00E93F58" w:rsidRPr="006E709F" w:rsidRDefault="00E93F58" w:rsidP="00A801D0">
      <w:pPr>
        <w:pStyle w:val="paragraphsub"/>
      </w:pPr>
      <w:r w:rsidRPr="006E709F">
        <w:tab/>
        <w:t>(ii)</w:t>
      </w:r>
      <w:r w:rsidRPr="006E709F">
        <w:tab/>
        <w:t>the benefits to which the holder of the relevant financial product may become entitled; or</w:t>
      </w:r>
    </w:p>
    <w:p w14:paraId="25F284BF" w14:textId="77777777" w:rsidR="00E93F58" w:rsidRPr="006E709F" w:rsidRDefault="00E93F58" w:rsidP="00A801D0">
      <w:pPr>
        <w:pStyle w:val="paragraphsub"/>
      </w:pPr>
      <w:r w:rsidRPr="006E709F">
        <w:tab/>
        <w:t>(iii)</w:t>
      </w:r>
      <w:r w:rsidRPr="006E709F">
        <w:tab/>
        <w:t>the circumstances in which the benefits to which the holder of the relevant financial product may become entitled would become payable;</w:t>
      </w:r>
    </w:p>
    <w:p w14:paraId="63DB5E77" w14:textId="77777777" w:rsidR="00E93F58" w:rsidRPr="006E709F" w:rsidRDefault="00E93F58" w:rsidP="00A801D0">
      <w:pPr>
        <w:pStyle w:val="paragraph"/>
      </w:pPr>
      <w:r w:rsidRPr="006E709F">
        <w:tab/>
        <w:t>(b)</w:t>
      </w:r>
      <w:r w:rsidRPr="006E709F">
        <w:tab/>
        <w:t>a change to the terms and conditions of an RSA (other than a change that gives effect to a payment split) of a kind that has an adverse effect on:</w:t>
      </w:r>
    </w:p>
    <w:p w14:paraId="71C3D537" w14:textId="77777777" w:rsidR="00E93F58" w:rsidRPr="006E709F" w:rsidRDefault="00E93F58" w:rsidP="00A801D0">
      <w:pPr>
        <w:pStyle w:val="paragraphsub"/>
      </w:pPr>
      <w:r w:rsidRPr="006E709F">
        <w:rPr>
          <w:color w:val="000000"/>
        </w:rPr>
        <w:tab/>
        <w:t>(i)</w:t>
      </w:r>
      <w:r w:rsidRPr="006E709F">
        <w:rPr>
          <w:color w:val="000000"/>
        </w:rPr>
        <w:tab/>
        <w:t>the amount of the RSA; or</w:t>
      </w:r>
    </w:p>
    <w:p w14:paraId="00D7A4F5" w14:textId="77777777" w:rsidR="00E93F58" w:rsidRPr="006E709F" w:rsidRDefault="00E93F58" w:rsidP="00A801D0">
      <w:pPr>
        <w:pStyle w:val="paragraphsub"/>
      </w:pPr>
      <w:r w:rsidRPr="006E709F">
        <w:tab/>
        <w:t>(ii)</w:t>
      </w:r>
      <w:r w:rsidRPr="006E709F">
        <w:tab/>
        <w:t>the benefits to which the RSA holder may become entitled; or</w:t>
      </w:r>
    </w:p>
    <w:p w14:paraId="6BDFF5C9" w14:textId="77777777" w:rsidR="00E93F58" w:rsidRPr="006E709F" w:rsidRDefault="00E93F58" w:rsidP="00A801D0">
      <w:pPr>
        <w:pStyle w:val="paragraphsub"/>
      </w:pPr>
      <w:r w:rsidRPr="006E709F">
        <w:tab/>
        <w:t>(iii)</w:t>
      </w:r>
      <w:r w:rsidRPr="006E709F">
        <w:tab/>
        <w:t>the circumstances in which the benefits to which the RSA holder may become entitled would become payable;</w:t>
      </w:r>
    </w:p>
    <w:p w14:paraId="09E5155D" w14:textId="77777777" w:rsidR="00E93F58" w:rsidRPr="006E709F" w:rsidRDefault="00E93F58" w:rsidP="00A801D0">
      <w:pPr>
        <w:pStyle w:val="paragraph"/>
      </w:pPr>
      <w:r w:rsidRPr="006E709F">
        <w:tab/>
        <w:t>(c)</w:t>
      </w:r>
      <w:r w:rsidRPr="006E709F">
        <w:tab/>
        <w:t>any other change in relation to an RSA, caused by any other act carried out or consented to by the issuer, of a kind that has an adverse effect on:</w:t>
      </w:r>
    </w:p>
    <w:p w14:paraId="34713AAC" w14:textId="77777777" w:rsidR="00E93F58" w:rsidRPr="006E709F" w:rsidRDefault="00E93F58" w:rsidP="00A801D0">
      <w:pPr>
        <w:pStyle w:val="paragraphsub"/>
      </w:pPr>
      <w:r w:rsidRPr="006E709F">
        <w:tab/>
        <w:t>(i)</w:t>
      </w:r>
      <w:r w:rsidRPr="006E709F">
        <w:tab/>
        <w:t>the amount of the RSA; or</w:t>
      </w:r>
    </w:p>
    <w:p w14:paraId="76E4A090" w14:textId="77777777" w:rsidR="00E93F58" w:rsidRPr="006E709F" w:rsidRDefault="00E93F58" w:rsidP="00A801D0">
      <w:pPr>
        <w:pStyle w:val="paragraphsub"/>
      </w:pPr>
      <w:r w:rsidRPr="006E709F">
        <w:tab/>
        <w:t>(ii)</w:t>
      </w:r>
      <w:r w:rsidRPr="006E709F">
        <w:tab/>
        <w:t>the benefits to which the RSA holder may become entitled; or</w:t>
      </w:r>
    </w:p>
    <w:p w14:paraId="3BF0AA7A" w14:textId="77777777" w:rsidR="00E93F58" w:rsidRPr="006E709F" w:rsidRDefault="00E93F58" w:rsidP="00A801D0">
      <w:pPr>
        <w:pStyle w:val="paragraphsub"/>
      </w:pPr>
      <w:r w:rsidRPr="006E709F">
        <w:tab/>
        <w:t>(iii)</w:t>
      </w:r>
      <w:r w:rsidRPr="006E709F">
        <w:tab/>
        <w:t>the circumstances in which the benefits to which the RSA holder may become entitled would become payable.</w:t>
      </w:r>
    </w:p>
    <w:p w14:paraId="1AC8CF08" w14:textId="77777777" w:rsidR="00E93F58" w:rsidRPr="006E709F" w:rsidRDefault="00E93F58" w:rsidP="00A801D0">
      <w:pPr>
        <w:pStyle w:val="SubsectionHead"/>
      </w:pPr>
      <w:r w:rsidRPr="006E709F">
        <w:t>Notice of non</w:t>
      </w:r>
      <w:r>
        <w:noBreakHyphen/>
      </w:r>
      <w:r w:rsidRPr="006E709F">
        <w:t>compliance</w:t>
      </w:r>
    </w:p>
    <w:p w14:paraId="24BB2F0A" w14:textId="77777777" w:rsidR="00E93F58" w:rsidRPr="006E709F" w:rsidRDefault="00E93F58" w:rsidP="00A801D0">
      <w:pPr>
        <w:pStyle w:val="subsection"/>
      </w:pPr>
      <w:r w:rsidRPr="006E709F">
        <w:tab/>
        <w:t>(5C)</w:t>
      </w:r>
      <w:r w:rsidRPr="006E709F">
        <w:tab/>
        <w:t>If the issuer of a superannuation product receives a notice of non</w:t>
      </w:r>
      <w:r>
        <w:noBreakHyphen/>
      </w:r>
      <w:r w:rsidRPr="006E709F">
        <w:t>compliance, the issuer must give to each product holder:</w:t>
      </w:r>
    </w:p>
    <w:p w14:paraId="3C0850E6" w14:textId="77777777" w:rsidR="00E93F58" w:rsidRPr="006E709F" w:rsidRDefault="00E93F58" w:rsidP="00A801D0">
      <w:pPr>
        <w:pStyle w:val="paragraph"/>
      </w:pPr>
      <w:r w:rsidRPr="006E709F">
        <w:tab/>
        <w:t>(a)</w:t>
      </w:r>
      <w:r w:rsidRPr="006E709F">
        <w:tab/>
        <w:t>a statement of the circumstances (including details of the non</w:t>
      </w:r>
      <w:r>
        <w:noBreakHyphen/>
      </w:r>
      <w:r w:rsidRPr="006E709F">
        <w:t>compliance) that gave rise to the issue of the notice; and</w:t>
      </w:r>
    </w:p>
    <w:p w14:paraId="26145F39" w14:textId="77777777" w:rsidR="00E93F58" w:rsidRPr="006E709F" w:rsidRDefault="00E93F58" w:rsidP="00A801D0">
      <w:pPr>
        <w:pStyle w:val="paragraph"/>
      </w:pPr>
      <w:r w:rsidRPr="006E709F">
        <w:tab/>
        <w:t>(b)</w:t>
      </w:r>
      <w:r w:rsidRPr="006E709F">
        <w:tab/>
        <w:t>a statement of the effect on the fund of the issue of the notice (including details of the effect on the entity’s taxation position); and</w:t>
      </w:r>
    </w:p>
    <w:p w14:paraId="7695D51C" w14:textId="77777777" w:rsidR="00E93F58" w:rsidRPr="006E709F" w:rsidRDefault="00E93F58" w:rsidP="00A801D0">
      <w:pPr>
        <w:pStyle w:val="paragraph"/>
      </w:pPr>
      <w:r w:rsidRPr="006E709F">
        <w:tab/>
        <w:t>(c)</w:t>
      </w:r>
      <w:r w:rsidRPr="006E709F">
        <w:tab/>
        <w:t>details of action that the issuer has taken, or proposes to take, to have the entity become a complying fund or a pooled superannuation trust for the purposes of Division 2 of Part 5 of the Act.</w:t>
      </w:r>
    </w:p>
    <w:p w14:paraId="6D1D9758" w14:textId="77777777" w:rsidR="00E93F58" w:rsidRPr="006E709F" w:rsidRDefault="00E93F58" w:rsidP="00A801D0">
      <w:pPr>
        <w:pStyle w:val="subsection"/>
      </w:pPr>
      <w:r w:rsidRPr="006E709F">
        <w:tab/>
        <w:t>(5D)</w:t>
      </w:r>
      <w:r w:rsidRPr="006E709F">
        <w:tab/>
        <w:t xml:space="preserve">For subsection (5C), a </w:t>
      </w:r>
      <w:r w:rsidRPr="006E709F">
        <w:rPr>
          <w:b/>
          <w:i/>
        </w:rPr>
        <w:t>notice of non</w:t>
      </w:r>
      <w:r>
        <w:rPr>
          <w:b/>
          <w:i/>
        </w:rPr>
        <w:noBreakHyphen/>
      </w:r>
      <w:r w:rsidRPr="006E709F">
        <w:rPr>
          <w:b/>
          <w:i/>
        </w:rPr>
        <w:t>compliance</w:t>
      </w:r>
      <w:r w:rsidRPr="006E709F">
        <w:t xml:space="preserve"> means a notice issued under section 40 of the SIS Act to the trustee of a fund stating that the fund is not a complying fund or a pooled superannuation trust.</w:t>
      </w:r>
    </w:p>
    <w:p w14:paraId="2343F4B2" w14:textId="77777777" w:rsidR="00E93F58" w:rsidRPr="006E709F" w:rsidRDefault="00E93F58" w:rsidP="00A801D0">
      <w:pPr>
        <w:pStyle w:val="SubsectionHead"/>
      </w:pPr>
      <w:r w:rsidRPr="006E709F">
        <w:t>Fund and RSA transfers</w:t>
      </w:r>
    </w:p>
    <w:p w14:paraId="010F0F88" w14:textId="77777777" w:rsidR="00E93F58" w:rsidRPr="006E709F" w:rsidRDefault="00E93F58" w:rsidP="00A801D0">
      <w:pPr>
        <w:pStyle w:val="subsection"/>
      </w:pPr>
      <w:r w:rsidRPr="006E709F">
        <w:tab/>
        <w:t>(5E)</w:t>
      </w:r>
      <w:r w:rsidRPr="006E709F">
        <w:tab/>
        <w:t>For subsections (5), (6) and (7), a reference to an event includes:</w:t>
      </w:r>
    </w:p>
    <w:p w14:paraId="39D39718" w14:textId="77777777" w:rsidR="00E93F58" w:rsidRPr="006E709F" w:rsidRDefault="00E93F58" w:rsidP="00A801D0">
      <w:pPr>
        <w:pStyle w:val="paragraph"/>
      </w:pPr>
      <w:r w:rsidRPr="006E709F">
        <w:tab/>
        <w:t>(a)</w:t>
      </w:r>
      <w:r w:rsidRPr="006E709F">
        <w:tab/>
        <w:t>in relation to a superannuation product:</w:t>
      </w:r>
    </w:p>
    <w:p w14:paraId="05584086" w14:textId="77777777" w:rsidR="00E93F58" w:rsidRPr="006E709F" w:rsidRDefault="00E93F58" w:rsidP="00A801D0">
      <w:pPr>
        <w:pStyle w:val="paragraphsub"/>
      </w:pPr>
      <w:r w:rsidRPr="006E709F">
        <w:tab/>
        <w:t>(i)</w:t>
      </w:r>
      <w:r w:rsidRPr="006E709F">
        <w:tab/>
        <w:t>the transfer of a member to a different category of membership or to a different fund; and</w:t>
      </w:r>
    </w:p>
    <w:p w14:paraId="25B01A97" w14:textId="77777777" w:rsidR="00E93F58" w:rsidRPr="006E709F" w:rsidRDefault="00E93F58" w:rsidP="00A801D0">
      <w:pPr>
        <w:pStyle w:val="paragraphsub"/>
      </w:pPr>
      <w:r w:rsidRPr="006E709F">
        <w:lastRenderedPageBreak/>
        <w:tab/>
        <w:t>(ii)</w:t>
      </w:r>
      <w:r w:rsidRPr="006E709F">
        <w:tab/>
        <w:t xml:space="preserve">the transfer of the benefits of a member to an RSA or </w:t>
      </w:r>
      <w:r w:rsidRPr="00BE1284">
        <w:t>exempt public sector superannuation scheme</w:t>
      </w:r>
      <w:r w:rsidRPr="006E709F">
        <w:t xml:space="preserve"> (otherwise than under a payment split); and</w:t>
      </w:r>
    </w:p>
    <w:p w14:paraId="6FF8D863" w14:textId="77777777" w:rsidR="00E93F58" w:rsidRPr="006E709F" w:rsidRDefault="00E93F58" w:rsidP="00A801D0">
      <w:pPr>
        <w:pStyle w:val="paragraph"/>
      </w:pPr>
      <w:r w:rsidRPr="006E709F">
        <w:tab/>
        <w:t>(b)</w:t>
      </w:r>
      <w:r w:rsidRPr="006E709F">
        <w:tab/>
        <w:t xml:space="preserve">in relation to an </w:t>
      </w:r>
      <w:r w:rsidRPr="00BE1284">
        <w:t>RSA</w:t>
      </w:r>
      <w:r w:rsidRPr="006E709F">
        <w:t>—the transfer of an amount of an RSA (otherwise than under a payment split) to:</w:t>
      </w:r>
    </w:p>
    <w:p w14:paraId="38923D62" w14:textId="77777777" w:rsidR="00E93F58" w:rsidRPr="006E709F" w:rsidRDefault="00E93F58" w:rsidP="00A801D0">
      <w:pPr>
        <w:pStyle w:val="paragraphsub"/>
      </w:pPr>
      <w:r w:rsidRPr="006E709F">
        <w:tab/>
        <w:t>(i)</w:t>
      </w:r>
      <w:r w:rsidRPr="006E709F">
        <w:tab/>
        <w:t xml:space="preserve">another RSA offered by an </w:t>
      </w:r>
      <w:r w:rsidRPr="00BE1284">
        <w:t>RSA</w:t>
      </w:r>
      <w:r w:rsidRPr="006E709F">
        <w:t xml:space="preserve"> issuer; or</w:t>
      </w:r>
    </w:p>
    <w:p w14:paraId="5D49B656" w14:textId="77777777" w:rsidR="00E93F58" w:rsidRPr="006E709F" w:rsidRDefault="00E93F58" w:rsidP="00A801D0">
      <w:pPr>
        <w:pStyle w:val="paragraphsub"/>
      </w:pPr>
      <w:r w:rsidRPr="006E709F">
        <w:tab/>
        <w:t>(ii)</w:t>
      </w:r>
      <w:r w:rsidRPr="006E709F">
        <w:tab/>
        <w:t>a superannuation entity; or</w:t>
      </w:r>
    </w:p>
    <w:p w14:paraId="6FE4E3FF" w14:textId="77777777" w:rsidR="00E93F58" w:rsidRPr="006E709F" w:rsidRDefault="00E93F58" w:rsidP="00A801D0">
      <w:pPr>
        <w:pStyle w:val="paragraphsub"/>
      </w:pPr>
      <w:r w:rsidRPr="006E709F">
        <w:tab/>
        <w:t>(iii)</w:t>
      </w:r>
      <w:r w:rsidRPr="006E709F">
        <w:tab/>
        <w:t xml:space="preserve">an </w:t>
      </w:r>
      <w:r w:rsidRPr="00BE1284">
        <w:t>exempt public sector superannuation scheme</w:t>
      </w:r>
      <w:r w:rsidRPr="006E709F">
        <w:t>.</w:t>
      </w:r>
    </w:p>
    <w:p w14:paraId="3B0B96E9" w14:textId="77777777" w:rsidR="00E93F58" w:rsidRPr="006E709F" w:rsidRDefault="00E93F58" w:rsidP="00DD3819">
      <w:pPr>
        <w:pStyle w:val="ItemHead"/>
      </w:pPr>
      <w:r w:rsidRPr="006E709F">
        <w:t>10.2  After subsection 1017B(9)</w:t>
      </w:r>
    </w:p>
    <w:p w14:paraId="46A94A6D" w14:textId="77777777" w:rsidR="00E93F58" w:rsidRPr="006E709F" w:rsidRDefault="00E93F58" w:rsidP="00A801D0">
      <w:pPr>
        <w:pStyle w:val="Item"/>
        <w:rPr>
          <w:i/>
        </w:rPr>
      </w:pPr>
      <w:r w:rsidRPr="006E709F">
        <w:rPr>
          <w:i/>
        </w:rPr>
        <w:t>insert</w:t>
      </w:r>
    </w:p>
    <w:p w14:paraId="67991302" w14:textId="77777777" w:rsidR="00E93F58" w:rsidRPr="006E709F" w:rsidRDefault="00E93F58" w:rsidP="00A801D0">
      <w:pPr>
        <w:pStyle w:val="subsection"/>
      </w:pPr>
      <w:r w:rsidRPr="006E709F">
        <w:tab/>
        <w:t>(10)</w:t>
      </w:r>
      <w:r w:rsidRPr="006E709F">
        <w:tab/>
        <w:t xml:space="preserve">This section does not apply to a change or event in relation to a superannuation product or an </w:t>
      </w:r>
      <w:r w:rsidRPr="00BE1284">
        <w:t>RSA</w:t>
      </w:r>
      <w:r w:rsidRPr="006E709F">
        <w:t xml:space="preserve"> that relates to a payment split in respect of the product.</w:t>
      </w:r>
    </w:p>
    <w:p w14:paraId="767B24A4" w14:textId="77777777" w:rsidR="00E93F58" w:rsidRPr="006E709F" w:rsidRDefault="00E93F58" w:rsidP="00A801D0">
      <w:pPr>
        <w:pStyle w:val="subsection"/>
      </w:pPr>
      <w:r w:rsidRPr="006E709F">
        <w:tab/>
        <w:t>(11)</w:t>
      </w:r>
      <w:r w:rsidRPr="006E709F">
        <w:tab/>
        <w:t xml:space="preserve">This section does not apply to a change or event in relation to a superannuation product or an </w:t>
      </w:r>
      <w:r w:rsidRPr="00BE1284">
        <w:t>RSA</w:t>
      </w:r>
      <w:r w:rsidRPr="006E709F">
        <w:t xml:space="preserve"> if the change or event happens because of a transfer in accordance with paragraph 6.29(1)(ba) of the </w:t>
      </w:r>
      <w:r w:rsidRPr="006E709F">
        <w:rPr>
          <w:i/>
        </w:rPr>
        <w:t>Superannuation Industry (Supervision) Regulations 1994</w:t>
      </w:r>
      <w:r w:rsidRPr="006E709F">
        <w:t xml:space="preserve"> in respect of the product.</w:t>
      </w:r>
    </w:p>
    <w:p w14:paraId="6D399D83" w14:textId="77777777" w:rsidR="00E93F58" w:rsidRPr="006E709F" w:rsidRDefault="00E93F58" w:rsidP="00A801D0">
      <w:pPr>
        <w:pStyle w:val="ActHead2"/>
        <w:pageBreakBefore/>
      </w:pPr>
      <w:bookmarkStart w:id="3500" w:name="_Toc151992498"/>
      <w:bookmarkStart w:id="3501" w:name="_Toc158713535"/>
      <w:r w:rsidRPr="000C4237">
        <w:rPr>
          <w:rStyle w:val="CharPartNo"/>
        </w:rPr>
        <w:lastRenderedPageBreak/>
        <w:t>Part 11</w:t>
      </w:r>
      <w:r w:rsidRPr="006E709F">
        <w:t>—</w:t>
      </w:r>
      <w:r w:rsidRPr="000C4237">
        <w:rPr>
          <w:rStyle w:val="CharPartText"/>
        </w:rPr>
        <w:t>Modifications relating to charges for information requested</w:t>
      </w:r>
      <w:bookmarkEnd w:id="3500"/>
      <w:bookmarkEnd w:id="3501"/>
    </w:p>
    <w:p w14:paraId="565CA732"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3B8705B3" w14:textId="77777777" w:rsidR="00E93F58" w:rsidRPr="006E709F" w:rsidRDefault="00E93F58" w:rsidP="00DD3819">
      <w:pPr>
        <w:pStyle w:val="ItemHead"/>
      </w:pPr>
      <w:r w:rsidRPr="006E709F">
        <w:t>11.1  After subsection 1017C(8)</w:t>
      </w:r>
    </w:p>
    <w:p w14:paraId="45F28A61" w14:textId="77777777" w:rsidR="00E93F58" w:rsidRPr="006E709F" w:rsidRDefault="00E93F58" w:rsidP="00DD3819">
      <w:pPr>
        <w:pStyle w:val="Item"/>
        <w:rPr>
          <w:i/>
        </w:rPr>
      </w:pPr>
      <w:r w:rsidRPr="006E709F">
        <w:rPr>
          <w:i/>
        </w:rPr>
        <w:t>insert</w:t>
      </w:r>
    </w:p>
    <w:p w14:paraId="04B389BA" w14:textId="77777777" w:rsidR="00E93F58" w:rsidRPr="006E709F" w:rsidRDefault="00E93F58" w:rsidP="00A801D0">
      <w:pPr>
        <w:pStyle w:val="subsection"/>
      </w:pPr>
      <w:r w:rsidRPr="006E709F">
        <w:tab/>
        <w:t>(8A)</w:t>
      </w:r>
      <w:r w:rsidRPr="006E709F">
        <w:tab/>
        <w:t>The obligation of a responsible person under this section to give information on request by a person arises only if the person pays the amount specified by the responsible person as the charge for giving the information.</w:t>
      </w:r>
    </w:p>
    <w:p w14:paraId="76B759EB" w14:textId="77777777" w:rsidR="00E93F58" w:rsidRPr="006E709F" w:rsidRDefault="00E93F58" w:rsidP="00A801D0">
      <w:pPr>
        <w:pStyle w:val="subsection"/>
      </w:pPr>
      <w:r w:rsidRPr="006E709F">
        <w:tab/>
        <w:t>(8B)</w:t>
      </w:r>
      <w:r w:rsidRPr="006E709F">
        <w:tab/>
        <w:t>The amount of the charge must not exceed the reasonable cost to the responsible person of giving the information (including all reasonably related costs—for example, costs of searching for, obtaining and collating the information).</w:t>
      </w:r>
    </w:p>
    <w:p w14:paraId="730172CC" w14:textId="77777777" w:rsidR="00E93F58" w:rsidRPr="006E709F" w:rsidRDefault="00E93F58" w:rsidP="00A801D0">
      <w:pPr>
        <w:pStyle w:val="subsection"/>
      </w:pPr>
      <w:r w:rsidRPr="006E709F">
        <w:tab/>
        <w:t>(8C)</w:t>
      </w:r>
      <w:r w:rsidRPr="006E709F">
        <w:tab/>
        <w:t>A member who acts as a representative for or on behalf of a policy committee is not liable to any charge for information given to the member in that capacity.</w:t>
      </w:r>
    </w:p>
    <w:p w14:paraId="199DE1A4" w14:textId="77777777" w:rsidR="00E93F58" w:rsidRPr="006E709F" w:rsidRDefault="00E93F58" w:rsidP="00A801D0">
      <w:pPr>
        <w:pStyle w:val="subsection"/>
      </w:pPr>
      <w:r w:rsidRPr="006E709F">
        <w:tab/>
        <w:t>(8D)</w:t>
      </w:r>
      <w:r w:rsidRPr="006E709F">
        <w:tab/>
        <w:t xml:space="preserve">In the case of information to be supplied to a concerned person under Subdivision 5.9 of Part 7.9 of the </w:t>
      </w:r>
      <w:r w:rsidRPr="006E709F">
        <w:rPr>
          <w:i/>
        </w:rPr>
        <w:t xml:space="preserve">Corporations </w:t>
      </w:r>
      <w:r>
        <w:rPr>
          <w:i/>
        </w:rPr>
        <w:t>Regulations 2</w:t>
      </w:r>
      <w:r w:rsidRPr="006E709F">
        <w:rPr>
          <w:i/>
        </w:rPr>
        <w:t>001</w:t>
      </w:r>
      <w:r w:rsidRPr="006E709F">
        <w:t>, a charge may be made only if:</w:t>
      </w:r>
    </w:p>
    <w:p w14:paraId="58E608D9" w14:textId="77777777" w:rsidR="00E93F58" w:rsidRPr="006E709F" w:rsidRDefault="00E93F58" w:rsidP="00A801D0">
      <w:pPr>
        <w:pStyle w:val="paragraph"/>
      </w:pPr>
      <w:r w:rsidRPr="006E709F">
        <w:tab/>
        <w:t>(a)</w:t>
      </w:r>
      <w:r w:rsidRPr="006E709F">
        <w:tab/>
        <w:t>the person to whom the information is to be given has requested the information; and</w:t>
      </w:r>
    </w:p>
    <w:p w14:paraId="0BEE567C" w14:textId="77777777" w:rsidR="00E93F58" w:rsidRPr="006E709F" w:rsidRDefault="00E93F58" w:rsidP="00A801D0">
      <w:pPr>
        <w:pStyle w:val="paragraph"/>
      </w:pPr>
      <w:r w:rsidRPr="006E709F">
        <w:tab/>
        <w:t>(b)</w:t>
      </w:r>
      <w:r w:rsidRPr="006E709F">
        <w:tab/>
        <w:t>the person had been given the same information during the period of 12 months immediately preceding the date on which the request is made.</w:t>
      </w:r>
    </w:p>
    <w:p w14:paraId="51788ADE" w14:textId="77777777" w:rsidR="00E93F58" w:rsidRPr="006E709F" w:rsidRDefault="00E93F58" w:rsidP="00A801D0">
      <w:pPr>
        <w:pStyle w:val="ActHead2"/>
        <w:pageBreakBefore/>
      </w:pPr>
      <w:bookmarkStart w:id="3502" w:name="_Toc151992499"/>
      <w:bookmarkStart w:id="3503" w:name="_Toc158713536"/>
      <w:r w:rsidRPr="000C4237">
        <w:rPr>
          <w:rStyle w:val="CharPartNo"/>
        </w:rPr>
        <w:lastRenderedPageBreak/>
        <w:t>Part 12</w:t>
      </w:r>
      <w:r w:rsidRPr="006E709F">
        <w:t>—</w:t>
      </w:r>
      <w:r w:rsidRPr="000C4237">
        <w:rPr>
          <w:rStyle w:val="CharPartText"/>
        </w:rPr>
        <w:t>Modifications relating to information when member leaves a fund</w:t>
      </w:r>
      <w:bookmarkEnd w:id="3502"/>
      <w:bookmarkEnd w:id="3503"/>
    </w:p>
    <w:p w14:paraId="18744CDA"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40B517BE" w14:textId="77777777" w:rsidR="00E93F58" w:rsidRPr="006E709F" w:rsidRDefault="00E93F58" w:rsidP="00DD3819">
      <w:pPr>
        <w:pStyle w:val="ItemHead"/>
      </w:pPr>
      <w:r w:rsidRPr="006E709F">
        <w:t>12.1  After subsection 1017D(3)</w:t>
      </w:r>
    </w:p>
    <w:p w14:paraId="7E5CB7F9" w14:textId="77777777" w:rsidR="00E93F58" w:rsidRPr="006E709F" w:rsidRDefault="00E93F58" w:rsidP="00DD3819">
      <w:pPr>
        <w:pStyle w:val="Item"/>
        <w:rPr>
          <w:i/>
        </w:rPr>
      </w:pPr>
      <w:r w:rsidRPr="006E709F">
        <w:rPr>
          <w:i/>
        </w:rPr>
        <w:t>insert</w:t>
      </w:r>
    </w:p>
    <w:p w14:paraId="460AD77F" w14:textId="77777777" w:rsidR="00E93F58" w:rsidRPr="006E709F" w:rsidRDefault="00E93F58" w:rsidP="00A801D0">
      <w:pPr>
        <w:pStyle w:val="subsection"/>
      </w:pPr>
      <w:r w:rsidRPr="006E709F">
        <w:tab/>
        <w:t>(3A)</w:t>
      </w:r>
      <w:r w:rsidRPr="006E709F">
        <w:tab/>
        <w:t xml:space="preserve">For a superannuation product or an </w:t>
      </w:r>
      <w:r w:rsidRPr="00BE1284">
        <w:t>RSA</w:t>
      </w:r>
      <w:r w:rsidRPr="006E709F">
        <w:t xml:space="preserve">, the periodic statement in relation to the reporting period mentioned in paragraph 1017D(2)(d) must be given as soon as the issuer becomes aware that that person or another person (the </w:t>
      </w:r>
      <w:r w:rsidRPr="006E709F">
        <w:rPr>
          <w:b/>
          <w:i/>
        </w:rPr>
        <w:t>former product holder</w:t>
      </w:r>
      <w:r w:rsidRPr="006E709F">
        <w:t>) has ceased to hold the product, and, in particular, the issuer must make reasonable efforts to give the information within 1 month after becoming aware that the former product holder has ceased to hold the product.</w:t>
      </w:r>
    </w:p>
    <w:p w14:paraId="28FA0FB6" w14:textId="77777777" w:rsidR="00E93F58" w:rsidRPr="006E709F" w:rsidRDefault="00E93F58" w:rsidP="00A801D0">
      <w:pPr>
        <w:pStyle w:val="subsection"/>
      </w:pPr>
      <w:r w:rsidRPr="006E709F">
        <w:tab/>
        <w:t>(3B)</w:t>
      </w:r>
      <w:r w:rsidRPr="006E709F">
        <w:tab/>
        <w:t xml:space="preserve">The issuer of a superannuation product or an </w:t>
      </w:r>
      <w:r w:rsidRPr="00BE1284">
        <w:t>RSA</w:t>
      </w:r>
      <w:r w:rsidRPr="006E709F">
        <w:t xml:space="preserve"> must make all reasonable efforts:</w:t>
      </w:r>
    </w:p>
    <w:p w14:paraId="1C39742A" w14:textId="77777777" w:rsidR="00E93F58" w:rsidRPr="006E709F" w:rsidRDefault="00E93F58" w:rsidP="00A801D0">
      <w:pPr>
        <w:pStyle w:val="paragraph"/>
      </w:pPr>
      <w:r w:rsidRPr="006E709F">
        <w:tab/>
        <w:t>(a)</w:t>
      </w:r>
      <w:r w:rsidRPr="006E709F">
        <w:tab/>
        <w:t>to give the information about the amount of insured death or disability benefits to which the former product holder may have been entitled; and</w:t>
      </w:r>
    </w:p>
    <w:p w14:paraId="632A27D4" w14:textId="77777777" w:rsidR="00E93F58" w:rsidRPr="006E709F" w:rsidRDefault="00E93F58" w:rsidP="00A801D0">
      <w:pPr>
        <w:pStyle w:val="paragraph"/>
      </w:pPr>
      <w:r w:rsidRPr="006E709F">
        <w:tab/>
        <w:t>(b)</w:t>
      </w:r>
      <w:r w:rsidRPr="006E709F">
        <w:tab/>
        <w:t xml:space="preserve">to give the information about a continuation option (if any) applying to those benefits (as mentioned in either paragraph 7.9.54(b) or 7.9.65(b) of the </w:t>
      </w:r>
      <w:r w:rsidRPr="006E709F">
        <w:rPr>
          <w:i/>
        </w:rPr>
        <w:t xml:space="preserve">Corporations </w:t>
      </w:r>
      <w:r>
        <w:rPr>
          <w:i/>
        </w:rPr>
        <w:t>Regulations 2</w:t>
      </w:r>
      <w:r w:rsidRPr="006E709F">
        <w:rPr>
          <w:i/>
        </w:rPr>
        <w:t>001</w:t>
      </w:r>
      <w:r w:rsidRPr="006E709F">
        <w:t>) in a reasonable time before the option lapses.</w:t>
      </w:r>
    </w:p>
    <w:p w14:paraId="6346CF2C" w14:textId="77777777" w:rsidR="00E93F58" w:rsidRPr="006E709F" w:rsidRDefault="00E93F58" w:rsidP="00A801D0">
      <w:pPr>
        <w:pStyle w:val="subsection"/>
      </w:pPr>
      <w:r w:rsidRPr="006E709F">
        <w:tab/>
        <w:t>(3C)</w:t>
      </w:r>
      <w:r w:rsidRPr="006E709F">
        <w:tab/>
        <w:t xml:space="preserve">Subject to subsection (3D), if a person ceases to hold a superannuation product or </w:t>
      </w:r>
      <w:r>
        <w:t>an RSA</w:t>
      </w:r>
      <w:r w:rsidRPr="006E709F">
        <w:t>:</w:t>
      </w:r>
    </w:p>
    <w:p w14:paraId="2E86BF0D" w14:textId="77777777" w:rsidR="00E93F58" w:rsidRPr="006E709F" w:rsidRDefault="00E93F58" w:rsidP="00A801D0">
      <w:pPr>
        <w:pStyle w:val="paragraph"/>
      </w:pPr>
      <w:r w:rsidRPr="006E709F">
        <w:tab/>
        <w:t>(a)</w:t>
      </w:r>
      <w:r w:rsidRPr="006E709F">
        <w:tab/>
        <w:t xml:space="preserve">after the end of the completed reporting period (the </w:t>
      </w:r>
      <w:r w:rsidRPr="006E709F">
        <w:rPr>
          <w:b/>
          <w:i/>
        </w:rPr>
        <w:t>completed period</w:t>
      </w:r>
      <w:r w:rsidRPr="006E709F">
        <w:t>); and</w:t>
      </w:r>
    </w:p>
    <w:p w14:paraId="025C1710" w14:textId="77777777" w:rsidR="00E93F58" w:rsidRPr="006E709F" w:rsidRDefault="00E93F58" w:rsidP="00A801D0">
      <w:pPr>
        <w:pStyle w:val="paragraph"/>
      </w:pPr>
      <w:r w:rsidRPr="006E709F">
        <w:tab/>
        <w:t>(b)</w:t>
      </w:r>
      <w:r w:rsidRPr="006E709F">
        <w:tab/>
        <w:t>before the periodic report is issued for that period;</w:t>
      </w:r>
    </w:p>
    <w:p w14:paraId="21ED8347" w14:textId="77777777" w:rsidR="00E93F58" w:rsidRPr="006E709F" w:rsidRDefault="00E93F58" w:rsidP="00A801D0">
      <w:pPr>
        <w:pStyle w:val="subsection2"/>
      </w:pPr>
      <w:r w:rsidRPr="006E709F">
        <w:t>the information required by this section to be given to or in relation to the person may be given in respect of the period consisting of the completed period and the period mentioned in paragraph 1017D(2)(d) instead of the period in respect of the person’s periodic statement for the period mentioned in paragraph 1017D(2)(d).</w:t>
      </w:r>
    </w:p>
    <w:p w14:paraId="2FD1F2B1" w14:textId="77777777" w:rsidR="00E93F58" w:rsidRPr="006E709F" w:rsidRDefault="00E93F58" w:rsidP="00A801D0">
      <w:pPr>
        <w:pStyle w:val="subsection"/>
      </w:pPr>
      <w:r w:rsidRPr="006E709F">
        <w:tab/>
        <w:t>(3D)</w:t>
      </w:r>
      <w:r w:rsidRPr="006E709F">
        <w:tab/>
        <w:t>Subsection (3C) does not apply if the period mentioned in paragraph 1017D(2)(d) is greater than:</w:t>
      </w:r>
    </w:p>
    <w:p w14:paraId="24584E1D" w14:textId="77777777" w:rsidR="00E93F58" w:rsidRPr="006E709F" w:rsidRDefault="00E93F58" w:rsidP="00A801D0">
      <w:pPr>
        <w:pStyle w:val="paragraph"/>
      </w:pPr>
      <w:r w:rsidRPr="006E709F">
        <w:tab/>
        <w:t>(a)</w:t>
      </w:r>
      <w:r w:rsidRPr="006E709F">
        <w:tab/>
        <w:t>for a particular superannuation product—6 months; or</w:t>
      </w:r>
    </w:p>
    <w:p w14:paraId="6AB971E5" w14:textId="77777777" w:rsidR="00E93F58" w:rsidRPr="006E709F" w:rsidRDefault="00E93F58" w:rsidP="00A801D0">
      <w:pPr>
        <w:pStyle w:val="paragraph"/>
      </w:pPr>
      <w:r w:rsidRPr="006E709F">
        <w:tab/>
        <w:t>(b)</w:t>
      </w:r>
      <w:r w:rsidRPr="006E709F">
        <w:tab/>
        <w:t xml:space="preserve">for a particular </w:t>
      </w:r>
      <w:r w:rsidRPr="00BE1284">
        <w:t>RSA</w:t>
      </w:r>
      <w:r w:rsidRPr="006E709F">
        <w:t>—3 months.</w:t>
      </w:r>
    </w:p>
    <w:p w14:paraId="67534358" w14:textId="77777777" w:rsidR="00E93F58" w:rsidRPr="006E709F" w:rsidRDefault="00E93F58" w:rsidP="00E216E5">
      <w:pPr>
        <w:pStyle w:val="ActHead2"/>
        <w:pageBreakBefore/>
      </w:pPr>
      <w:bookmarkStart w:id="3504" w:name="_Toc151992500"/>
      <w:bookmarkStart w:id="3505" w:name="_Toc158713537"/>
      <w:r w:rsidRPr="000C4237">
        <w:rPr>
          <w:rStyle w:val="CharPartNo"/>
        </w:rPr>
        <w:lastRenderedPageBreak/>
        <w:t>Part 13</w:t>
      </w:r>
      <w:r w:rsidRPr="006E709F">
        <w:t>—</w:t>
      </w:r>
      <w:r w:rsidRPr="000C4237">
        <w:rPr>
          <w:rStyle w:val="CharPartText"/>
        </w:rPr>
        <w:t>Modifications relating to exceptions to exit reporting period provisions</w:t>
      </w:r>
      <w:bookmarkEnd w:id="3504"/>
      <w:bookmarkEnd w:id="3505"/>
    </w:p>
    <w:p w14:paraId="004B690E"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6809E8A5" w14:textId="77777777" w:rsidR="00E93F58" w:rsidRPr="006E709F" w:rsidRDefault="00E93F58" w:rsidP="00DD3819">
      <w:pPr>
        <w:pStyle w:val="ItemHead"/>
      </w:pPr>
      <w:r w:rsidRPr="006E709F">
        <w:t>13.1  After subsection 1017D(7)</w:t>
      </w:r>
    </w:p>
    <w:p w14:paraId="5F2EE260" w14:textId="77777777" w:rsidR="00E93F58" w:rsidRPr="006E709F" w:rsidRDefault="00E93F58" w:rsidP="00A801D0">
      <w:pPr>
        <w:pStyle w:val="Item"/>
        <w:rPr>
          <w:i/>
        </w:rPr>
      </w:pPr>
      <w:r w:rsidRPr="006E709F">
        <w:rPr>
          <w:i/>
        </w:rPr>
        <w:t>insert</w:t>
      </w:r>
    </w:p>
    <w:p w14:paraId="24AF5C56" w14:textId="77777777" w:rsidR="00E93F58" w:rsidRPr="006E709F" w:rsidRDefault="00E93F58" w:rsidP="00A801D0">
      <w:pPr>
        <w:pStyle w:val="subsection"/>
      </w:pPr>
      <w:r w:rsidRPr="006E709F">
        <w:tab/>
        <w:t>(8)</w:t>
      </w:r>
      <w:r w:rsidRPr="006E709F">
        <w:tab/>
        <w:t xml:space="preserve">An RSA provider need not give information under this section to the holder of an </w:t>
      </w:r>
      <w:r w:rsidRPr="00BE1284">
        <w:t>RSA</w:t>
      </w:r>
      <w:r w:rsidRPr="006E709F">
        <w:t xml:space="preserve"> who is transferring the amount of the </w:t>
      </w:r>
      <w:r w:rsidRPr="00BE1284">
        <w:t>RSA</w:t>
      </w:r>
      <w:r w:rsidRPr="006E709F">
        <w:t xml:space="preserve"> to another RSA, a superannuation entity or an </w:t>
      </w:r>
      <w:r w:rsidRPr="00BE1284">
        <w:t>exempt public sector superannuation scheme</w:t>
      </w:r>
      <w:r w:rsidRPr="006E709F">
        <w:t xml:space="preserve"> if:</w:t>
      </w:r>
    </w:p>
    <w:p w14:paraId="76761273" w14:textId="77777777" w:rsidR="00E93F58" w:rsidRPr="006E709F" w:rsidRDefault="00E93F58" w:rsidP="00A801D0">
      <w:pPr>
        <w:pStyle w:val="paragraph"/>
      </w:pPr>
      <w:r w:rsidRPr="006E709F">
        <w:tab/>
        <w:t>(a)</w:t>
      </w:r>
      <w:r w:rsidRPr="006E709F">
        <w:tab/>
        <w:t xml:space="preserve">the RSA holder has received sufficient information under Subdivision 5.8 of Part 7.9 of the </w:t>
      </w:r>
      <w:r w:rsidRPr="006E709F">
        <w:rPr>
          <w:i/>
        </w:rPr>
        <w:t xml:space="preserve">Corporations </w:t>
      </w:r>
      <w:r>
        <w:rPr>
          <w:i/>
        </w:rPr>
        <w:t>Regulations 2</w:t>
      </w:r>
      <w:r w:rsidRPr="006E709F">
        <w:rPr>
          <w:i/>
        </w:rPr>
        <w:t xml:space="preserve">001 </w:t>
      </w:r>
      <w:r w:rsidRPr="006E709F">
        <w:t>to enable the RSA holder to understand the effect of the transfer; and</w:t>
      </w:r>
    </w:p>
    <w:p w14:paraId="2AAEC35C" w14:textId="77777777" w:rsidR="00E93F58" w:rsidRPr="006E709F" w:rsidRDefault="00E93F58" w:rsidP="00A801D0">
      <w:pPr>
        <w:pStyle w:val="paragraph"/>
      </w:pPr>
      <w:r w:rsidRPr="006E709F">
        <w:tab/>
        <w:t>(b)</w:t>
      </w:r>
      <w:r w:rsidRPr="006E709F">
        <w:tab/>
        <w:t xml:space="preserve">the RSA provider reasonably believes that the RSA holder does not need the information because the RSA holder has received or will receive from the RSA institution, or the trustee of the superannuation entity or </w:t>
      </w:r>
      <w:r w:rsidRPr="00BE1284">
        <w:t>exempt public sector superannuation scheme</w:t>
      </w:r>
      <w:r w:rsidRPr="006E709F">
        <w:t xml:space="preserve"> to which the amount is being transferred, information relevant to the RSA holder in respect of the exit reporting period, to the same general effect as that required under Subdivisions 5.2 and 5.3 of Part 7.9 of the </w:t>
      </w:r>
      <w:r w:rsidRPr="006E709F">
        <w:rPr>
          <w:i/>
        </w:rPr>
        <w:t xml:space="preserve">Corporations </w:t>
      </w:r>
      <w:r>
        <w:rPr>
          <w:i/>
        </w:rPr>
        <w:t>Regulations 2</w:t>
      </w:r>
      <w:r w:rsidRPr="006E709F">
        <w:rPr>
          <w:i/>
        </w:rPr>
        <w:t>001</w:t>
      </w:r>
      <w:r w:rsidRPr="006E709F">
        <w:t>.</w:t>
      </w:r>
    </w:p>
    <w:p w14:paraId="0D896463" w14:textId="77777777" w:rsidR="00E93F58" w:rsidRPr="006E709F" w:rsidRDefault="00E93F58" w:rsidP="00A801D0">
      <w:pPr>
        <w:pStyle w:val="subsection"/>
      </w:pPr>
      <w:r w:rsidRPr="006E709F">
        <w:tab/>
        <w:t>(9)</w:t>
      </w:r>
      <w:r w:rsidRPr="006E709F">
        <w:tab/>
        <w:t xml:space="preserve">A superannuation product provider need not give information under this section to the holder of a superannuation product who is transferring to another superannuation entity or to an </w:t>
      </w:r>
      <w:r w:rsidRPr="00BE1284">
        <w:t>exempt public sector superannuation scheme</w:t>
      </w:r>
      <w:r w:rsidRPr="006E709F">
        <w:t>, or whose benefits are being transferred into an RSA if:</w:t>
      </w:r>
    </w:p>
    <w:p w14:paraId="6ADCD3C6" w14:textId="77777777" w:rsidR="00E93F58" w:rsidRPr="006E709F" w:rsidRDefault="00E93F58" w:rsidP="00A801D0">
      <w:pPr>
        <w:pStyle w:val="paragraph"/>
      </w:pPr>
      <w:r w:rsidRPr="006E709F">
        <w:tab/>
        <w:t>(a)</w:t>
      </w:r>
      <w:r w:rsidRPr="006E709F">
        <w:tab/>
        <w:t xml:space="preserve">the product holder has received sufficient information under Subdivision 5.8 of Part 7.9 of the </w:t>
      </w:r>
      <w:r w:rsidRPr="006E709F">
        <w:rPr>
          <w:i/>
        </w:rPr>
        <w:t xml:space="preserve">Corporations </w:t>
      </w:r>
      <w:r>
        <w:rPr>
          <w:i/>
        </w:rPr>
        <w:t>Regulations 2</w:t>
      </w:r>
      <w:r w:rsidRPr="006E709F">
        <w:rPr>
          <w:i/>
        </w:rPr>
        <w:t>001</w:t>
      </w:r>
      <w:r w:rsidRPr="006E709F">
        <w:t xml:space="preserve"> to enable the product holder to understand the effect of the transfer; and</w:t>
      </w:r>
    </w:p>
    <w:p w14:paraId="34B53A68" w14:textId="77777777" w:rsidR="00E93F58" w:rsidRPr="006E709F" w:rsidRDefault="00E93F58" w:rsidP="00A801D0">
      <w:pPr>
        <w:pStyle w:val="paragraph"/>
      </w:pPr>
      <w:r w:rsidRPr="006E709F">
        <w:tab/>
        <w:t>(b)</w:t>
      </w:r>
      <w:r w:rsidRPr="006E709F">
        <w:tab/>
        <w:t xml:space="preserve">the superannuation product provider reasonably believes that the product holder does not need the information because the product holder has received or will receive, from the RSA institution, or from the trustee of the superannuation entity or </w:t>
      </w:r>
      <w:r w:rsidRPr="00BE1284">
        <w:t>exempt public sector superannuation scheme</w:t>
      </w:r>
      <w:r w:rsidRPr="006E709F">
        <w:t xml:space="preserve"> to which the amount is being transferred, information relevant to the product holder in respect of the exit reporting period, to the same general effect as that required under Subdivision 5.2 of Part 7.9 of the </w:t>
      </w:r>
      <w:r w:rsidRPr="006E709F">
        <w:rPr>
          <w:i/>
        </w:rPr>
        <w:t xml:space="preserve">Corporations </w:t>
      </w:r>
      <w:r>
        <w:rPr>
          <w:i/>
        </w:rPr>
        <w:t>Regulations 2</w:t>
      </w:r>
      <w:r w:rsidRPr="006E709F">
        <w:rPr>
          <w:i/>
        </w:rPr>
        <w:t>001</w:t>
      </w:r>
      <w:r w:rsidRPr="006E709F">
        <w:t>.</w:t>
      </w:r>
    </w:p>
    <w:p w14:paraId="278E7BC7" w14:textId="77777777" w:rsidR="00E93F58" w:rsidRPr="006E709F" w:rsidRDefault="00E93F58" w:rsidP="00E216E5">
      <w:pPr>
        <w:pStyle w:val="ActHead2"/>
        <w:pageBreakBefore/>
      </w:pPr>
      <w:bookmarkStart w:id="3506" w:name="_Toc151992501"/>
      <w:bookmarkStart w:id="3507" w:name="_Toc158713538"/>
      <w:r w:rsidRPr="000C4237">
        <w:rPr>
          <w:rStyle w:val="CharPartNo"/>
        </w:rPr>
        <w:lastRenderedPageBreak/>
        <w:t>Part 14</w:t>
      </w:r>
      <w:r w:rsidRPr="006E709F">
        <w:t>—</w:t>
      </w:r>
      <w:r w:rsidRPr="000C4237">
        <w:rPr>
          <w:rStyle w:val="CharPartText"/>
        </w:rPr>
        <w:t>Modifications relating to obligation to give information about financial products</w:t>
      </w:r>
      <w:bookmarkEnd w:id="3506"/>
      <w:bookmarkEnd w:id="3507"/>
    </w:p>
    <w:p w14:paraId="202F4C86"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5197723E" w14:textId="77777777" w:rsidR="00E93F58" w:rsidRPr="006E709F" w:rsidRDefault="00E93F58" w:rsidP="00DD3819">
      <w:pPr>
        <w:pStyle w:val="ItemHead"/>
      </w:pPr>
      <w:r w:rsidRPr="006E709F">
        <w:t>14.1  After subsection 1017B(7)</w:t>
      </w:r>
    </w:p>
    <w:p w14:paraId="3A068BE4" w14:textId="77777777" w:rsidR="00E93F58" w:rsidRPr="006E709F" w:rsidRDefault="00E93F58" w:rsidP="00DD3819">
      <w:pPr>
        <w:pStyle w:val="Item"/>
        <w:rPr>
          <w:i/>
        </w:rPr>
      </w:pPr>
      <w:r w:rsidRPr="006E709F">
        <w:rPr>
          <w:i/>
        </w:rPr>
        <w:t>insert</w:t>
      </w:r>
    </w:p>
    <w:p w14:paraId="28317BBA" w14:textId="77777777" w:rsidR="00E93F58" w:rsidRPr="006E709F" w:rsidRDefault="00E93F58" w:rsidP="00A801D0">
      <w:pPr>
        <w:pStyle w:val="subsection"/>
      </w:pPr>
      <w:r w:rsidRPr="006E709F">
        <w:tab/>
        <w:t>(7A)</w:t>
      </w:r>
      <w:r w:rsidRPr="006E709F">
        <w:tab/>
        <w:t>Subject to subsections (7B) and (7C), this section does not apply if:</w:t>
      </w:r>
    </w:p>
    <w:p w14:paraId="0D645681" w14:textId="77777777" w:rsidR="00E93F58" w:rsidRPr="006E709F" w:rsidRDefault="00E93F58" w:rsidP="00A801D0">
      <w:pPr>
        <w:pStyle w:val="paragraph"/>
      </w:pPr>
      <w:r w:rsidRPr="006E709F">
        <w:tab/>
        <w:t>(a)</w:t>
      </w:r>
      <w:r w:rsidRPr="006E709F">
        <w:tab/>
        <w:t>the responsible person has an address for a concerned person, and:</w:t>
      </w:r>
    </w:p>
    <w:p w14:paraId="5D5754B9" w14:textId="77777777" w:rsidR="00E93F58" w:rsidRPr="006E709F" w:rsidRDefault="00E93F58" w:rsidP="00A801D0">
      <w:pPr>
        <w:pStyle w:val="paragraphsub"/>
      </w:pPr>
      <w:r w:rsidRPr="006E709F">
        <w:tab/>
        <w:t>(i)</w:t>
      </w:r>
      <w:r w:rsidRPr="006E709F">
        <w:tab/>
        <w:t>is satisfied on reasonable grounds that that address is incorrect; and</w:t>
      </w:r>
    </w:p>
    <w:p w14:paraId="7A5A3072" w14:textId="77777777" w:rsidR="00E93F58" w:rsidRPr="006E709F" w:rsidRDefault="00E93F58" w:rsidP="00A801D0">
      <w:pPr>
        <w:pStyle w:val="paragraphsub"/>
      </w:pPr>
      <w:r w:rsidRPr="006E709F">
        <w:tab/>
        <w:t>(ii)</w:t>
      </w:r>
      <w:r w:rsidRPr="006E709F">
        <w:tab/>
        <w:t>has taken reasonable steps to locate the concerned person but has been unable to do so; or</w:t>
      </w:r>
    </w:p>
    <w:p w14:paraId="71016D30" w14:textId="77777777" w:rsidR="00E93F58" w:rsidRPr="006E709F" w:rsidRDefault="00E93F58" w:rsidP="00A801D0">
      <w:pPr>
        <w:pStyle w:val="paragraph"/>
      </w:pPr>
      <w:r w:rsidRPr="006E709F">
        <w:tab/>
        <w:t>(b)</w:t>
      </w:r>
      <w:r w:rsidRPr="006E709F">
        <w:tab/>
        <w:t>the responsible person has no address for the concerned person, and:</w:t>
      </w:r>
    </w:p>
    <w:p w14:paraId="5EC6BA4E" w14:textId="77777777" w:rsidR="00E93F58" w:rsidRPr="006E709F" w:rsidRDefault="00E93F58" w:rsidP="00A801D0">
      <w:pPr>
        <w:pStyle w:val="paragraphsub"/>
      </w:pPr>
      <w:r w:rsidRPr="006E709F">
        <w:tab/>
        <w:t>(i)</w:t>
      </w:r>
      <w:r w:rsidRPr="006E709F">
        <w:tab/>
        <w:t>has been unable to obtain an address for the concerned person; and</w:t>
      </w:r>
    </w:p>
    <w:p w14:paraId="08E62386" w14:textId="77777777" w:rsidR="00E93F58" w:rsidRPr="006E709F" w:rsidRDefault="00E93F58" w:rsidP="00A801D0">
      <w:pPr>
        <w:pStyle w:val="paragraphsub"/>
      </w:pPr>
      <w:r w:rsidRPr="006E709F">
        <w:tab/>
        <w:t>(ii)</w:t>
      </w:r>
      <w:r w:rsidRPr="006E709F">
        <w:tab/>
        <w:t>has taken reasonable steps to locate the concerned person, but has been unable to do so.</w:t>
      </w:r>
    </w:p>
    <w:p w14:paraId="7FED6F58" w14:textId="77777777" w:rsidR="00E93F58" w:rsidRPr="006E709F" w:rsidRDefault="00E93F58" w:rsidP="00A801D0">
      <w:pPr>
        <w:pStyle w:val="subsection"/>
      </w:pPr>
      <w:r w:rsidRPr="006E709F">
        <w:tab/>
        <w:t>(7B)</w:t>
      </w:r>
      <w:r w:rsidRPr="006E709F">
        <w:tab/>
        <w:t>If the responsible person has refrained, in reliance on subsection (7A), from giving information to a concerned person, the responsible person must give information to the concerned person if the responsible person later becomes aware of the concerned person’s address or location.</w:t>
      </w:r>
    </w:p>
    <w:p w14:paraId="52D56E7D" w14:textId="77777777" w:rsidR="00E93F58" w:rsidRPr="006E709F" w:rsidRDefault="00E93F58" w:rsidP="00A801D0">
      <w:pPr>
        <w:pStyle w:val="subsection"/>
      </w:pPr>
      <w:r w:rsidRPr="006E709F">
        <w:tab/>
        <w:t>(7C)</w:t>
      </w:r>
      <w:r w:rsidRPr="006E709F">
        <w:tab/>
        <w:t>Subsection (7B) applies only in respect of information that the responsible person becomes liable to give to the concerned person after becoming aware of the concerned person’s address or location.</w:t>
      </w:r>
    </w:p>
    <w:p w14:paraId="60FCA46C" w14:textId="77777777" w:rsidR="00E93F58" w:rsidRPr="006E709F" w:rsidRDefault="00E93F58" w:rsidP="00DD3819">
      <w:pPr>
        <w:pStyle w:val="ItemHead"/>
      </w:pPr>
      <w:r w:rsidRPr="006E709F">
        <w:t>14.2  After subsection 1017C(8)</w:t>
      </w:r>
    </w:p>
    <w:p w14:paraId="573CBC78" w14:textId="77777777" w:rsidR="00E93F58" w:rsidRPr="006E709F" w:rsidRDefault="00E93F58" w:rsidP="00DD3819">
      <w:pPr>
        <w:pStyle w:val="Item"/>
        <w:rPr>
          <w:i/>
        </w:rPr>
      </w:pPr>
      <w:r w:rsidRPr="006E709F">
        <w:rPr>
          <w:i/>
        </w:rPr>
        <w:t>insert</w:t>
      </w:r>
    </w:p>
    <w:p w14:paraId="50171D63" w14:textId="77777777" w:rsidR="00E93F58" w:rsidRPr="006E709F" w:rsidRDefault="00E93F58" w:rsidP="00A801D0">
      <w:pPr>
        <w:pStyle w:val="subsection"/>
      </w:pPr>
      <w:r w:rsidRPr="006E709F">
        <w:tab/>
        <w:t>(8A)</w:t>
      </w:r>
      <w:r w:rsidRPr="006E709F">
        <w:tab/>
        <w:t>Subject to subsections (8B) and (8C), this section does not apply if:</w:t>
      </w:r>
    </w:p>
    <w:p w14:paraId="21CF37FB" w14:textId="77777777" w:rsidR="00E93F58" w:rsidRPr="006E709F" w:rsidRDefault="00E93F58" w:rsidP="00A801D0">
      <w:pPr>
        <w:pStyle w:val="paragraph"/>
      </w:pPr>
      <w:r w:rsidRPr="006E709F">
        <w:tab/>
        <w:t>(a)</w:t>
      </w:r>
      <w:r w:rsidRPr="006E709F">
        <w:tab/>
        <w:t>the responsible person has an address for a concerned person, and:</w:t>
      </w:r>
    </w:p>
    <w:p w14:paraId="25A369EF" w14:textId="77777777" w:rsidR="00E93F58" w:rsidRPr="006E709F" w:rsidRDefault="00E93F58" w:rsidP="00A801D0">
      <w:pPr>
        <w:pStyle w:val="paragraphsub"/>
      </w:pPr>
      <w:r w:rsidRPr="006E709F">
        <w:tab/>
        <w:t>(i)</w:t>
      </w:r>
      <w:r w:rsidRPr="006E709F">
        <w:tab/>
        <w:t>is satisfied on reasonable grounds that that address is incorrect; and</w:t>
      </w:r>
    </w:p>
    <w:p w14:paraId="0923AFD3" w14:textId="77777777" w:rsidR="00E93F58" w:rsidRPr="006E709F" w:rsidRDefault="00E93F58" w:rsidP="00A801D0">
      <w:pPr>
        <w:pStyle w:val="paragraphsub"/>
      </w:pPr>
      <w:r w:rsidRPr="006E709F">
        <w:tab/>
        <w:t>(ii)</w:t>
      </w:r>
      <w:r w:rsidRPr="006E709F">
        <w:tab/>
        <w:t>has taken reasonable steps to locate the concerned person but has been unable to do so; or</w:t>
      </w:r>
    </w:p>
    <w:p w14:paraId="391CD565" w14:textId="77777777" w:rsidR="00E93F58" w:rsidRPr="006E709F" w:rsidRDefault="00E93F58" w:rsidP="00A801D0">
      <w:pPr>
        <w:pStyle w:val="paragraph"/>
      </w:pPr>
      <w:r w:rsidRPr="006E709F">
        <w:tab/>
        <w:t>(b)</w:t>
      </w:r>
      <w:r w:rsidRPr="006E709F">
        <w:tab/>
        <w:t>the responsible person has no address for the concerned person, and:</w:t>
      </w:r>
    </w:p>
    <w:p w14:paraId="22334FD2" w14:textId="77777777" w:rsidR="00E93F58" w:rsidRPr="006E709F" w:rsidRDefault="00E93F58" w:rsidP="00A801D0">
      <w:pPr>
        <w:pStyle w:val="paragraphsub"/>
      </w:pPr>
      <w:r w:rsidRPr="006E709F">
        <w:tab/>
        <w:t>(i)</w:t>
      </w:r>
      <w:r w:rsidRPr="006E709F">
        <w:tab/>
        <w:t>has been unable to obtain an address for the concerned person; and</w:t>
      </w:r>
    </w:p>
    <w:p w14:paraId="2589F3BF" w14:textId="77777777" w:rsidR="00E93F58" w:rsidRPr="006E709F" w:rsidRDefault="00E93F58" w:rsidP="00A801D0">
      <w:pPr>
        <w:pStyle w:val="paragraphsub"/>
      </w:pPr>
      <w:r w:rsidRPr="006E709F">
        <w:tab/>
        <w:t>(ii)</w:t>
      </w:r>
      <w:r w:rsidRPr="006E709F">
        <w:tab/>
        <w:t>has taken reasonable steps to locate the concerned person, but has been unable to do so.</w:t>
      </w:r>
    </w:p>
    <w:p w14:paraId="3858B2AA" w14:textId="77777777" w:rsidR="00E93F58" w:rsidRPr="006E709F" w:rsidRDefault="00E93F58" w:rsidP="00A801D0">
      <w:pPr>
        <w:pStyle w:val="subsection"/>
      </w:pPr>
      <w:r w:rsidRPr="006E709F">
        <w:tab/>
        <w:t>(8B)</w:t>
      </w:r>
      <w:r w:rsidRPr="006E709F">
        <w:tab/>
        <w:t>If the responsible person has refrained, in reliance on subsection (8A), from giving information to a concerned person, the responsible person must give information to the concerned person if the responsible person later becomes aware of the concerned person’s address or location.</w:t>
      </w:r>
    </w:p>
    <w:p w14:paraId="3DCAFA27" w14:textId="77777777" w:rsidR="00E93F58" w:rsidRPr="006E709F" w:rsidRDefault="00E93F58" w:rsidP="00A801D0">
      <w:pPr>
        <w:pStyle w:val="subsection"/>
      </w:pPr>
      <w:r w:rsidRPr="006E709F">
        <w:tab/>
        <w:t>(8C)</w:t>
      </w:r>
      <w:r w:rsidRPr="006E709F">
        <w:tab/>
        <w:t>Subsection (8B) applies only in respect of information that the responsible person becomes liable to give to the concerned person after becoming aware of the concerned person’s address or location.</w:t>
      </w:r>
    </w:p>
    <w:p w14:paraId="2EEB6E34" w14:textId="77777777" w:rsidR="00E93F58" w:rsidRPr="006E709F" w:rsidRDefault="00E93F58" w:rsidP="00DD3819">
      <w:pPr>
        <w:pStyle w:val="ItemHead"/>
      </w:pPr>
      <w:r w:rsidRPr="006E709F">
        <w:t>14.3  After subsection 1017D(7)</w:t>
      </w:r>
    </w:p>
    <w:p w14:paraId="18EF9809" w14:textId="77777777" w:rsidR="00E93F58" w:rsidRPr="006E709F" w:rsidRDefault="00E93F58" w:rsidP="00DD3819">
      <w:pPr>
        <w:pStyle w:val="Item"/>
        <w:rPr>
          <w:i/>
        </w:rPr>
      </w:pPr>
      <w:r w:rsidRPr="006E709F">
        <w:rPr>
          <w:i/>
        </w:rPr>
        <w:t>insert</w:t>
      </w:r>
    </w:p>
    <w:p w14:paraId="3AA84E43" w14:textId="77777777" w:rsidR="00E93F58" w:rsidRPr="006E709F" w:rsidRDefault="00E93F58" w:rsidP="00A801D0">
      <w:pPr>
        <w:pStyle w:val="subsection"/>
      </w:pPr>
      <w:r w:rsidRPr="006E709F">
        <w:tab/>
        <w:t>(8)</w:t>
      </w:r>
      <w:r w:rsidRPr="006E709F">
        <w:tab/>
        <w:t>Subject to subsections (9) and (10), this section does not apply if:</w:t>
      </w:r>
    </w:p>
    <w:p w14:paraId="65CF34A2" w14:textId="77777777" w:rsidR="00E93F58" w:rsidRPr="006E709F" w:rsidRDefault="00E93F58" w:rsidP="00A801D0">
      <w:pPr>
        <w:pStyle w:val="paragraph"/>
      </w:pPr>
      <w:r w:rsidRPr="006E709F">
        <w:tab/>
        <w:t>(a)</w:t>
      </w:r>
      <w:r w:rsidRPr="006E709F">
        <w:tab/>
        <w:t>the issuer has an address for a holder, and:</w:t>
      </w:r>
    </w:p>
    <w:p w14:paraId="592311F4" w14:textId="77777777" w:rsidR="00E93F58" w:rsidRPr="006E709F" w:rsidRDefault="00E93F58" w:rsidP="00A801D0">
      <w:pPr>
        <w:pStyle w:val="paragraphsub"/>
      </w:pPr>
      <w:r w:rsidRPr="006E709F">
        <w:tab/>
        <w:t>(i)</w:t>
      </w:r>
      <w:r w:rsidRPr="006E709F">
        <w:tab/>
        <w:t>is satisfied on reasonable grounds that that address is incorrect; and</w:t>
      </w:r>
    </w:p>
    <w:p w14:paraId="31749515" w14:textId="77777777" w:rsidR="00E93F58" w:rsidRPr="006E709F" w:rsidRDefault="00E93F58" w:rsidP="00A801D0">
      <w:pPr>
        <w:pStyle w:val="paragraphsub"/>
      </w:pPr>
      <w:r w:rsidRPr="006E709F">
        <w:tab/>
        <w:t>(ii)</w:t>
      </w:r>
      <w:r w:rsidRPr="006E709F">
        <w:tab/>
        <w:t>has taken reasonable steps to locate the holder but has been unable to do so; or</w:t>
      </w:r>
    </w:p>
    <w:p w14:paraId="60881F7E" w14:textId="77777777" w:rsidR="00E93F58" w:rsidRPr="006E709F" w:rsidRDefault="00E93F58" w:rsidP="00A801D0">
      <w:pPr>
        <w:pStyle w:val="paragraph"/>
      </w:pPr>
      <w:r w:rsidRPr="006E709F">
        <w:tab/>
        <w:t>(b)</w:t>
      </w:r>
      <w:r w:rsidRPr="006E709F">
        <w:tab/>
        <w:t>the issuer has no address for the holder, and:</w:t>
      </w:r>
    </w:p>
    <w:p w14:paraId="612D0EF2" w14:textId="77777777" w:rsidR="00E93F58" w:rsidRPr="006E709F" w:rsidRDefault="00E93F58" w:rsidP="00A801D0">
      <w:pPr>
        <w:pStyle w:val="paragraphsub"/>
      </w:pPr>
      <w:r w:rsidRPr="006E709F">
        <w:tab/>
        <w:t>(i)</w:t>
      </w:r>
      <w:r w:rsidRPr="006E709F">
        <w:tab/>
        <w:t>has been unable to obtain an address for the holder; and</w:t>
      </w:r>
    </w:p>
    <w:p w14:paraId="18A34284" w14:textId="77777777" w:rsidR="00E93F58" w:rsidRPr="006E709F" w:rsidRDefault="00E93F58" w:rsidP="00A801D0">
      <w:pPr>
        <w:pStyle w:val="paragraphsub"/>
      </w:pPr>
      <w:r w:rsidRPr="006E709F">
        <w:tab/>
        <w:t>(ii)</w:t>
      </w:r>
      <w:r w:rsidRPr="006E709F">
        <w:tab/>
        <w:t>has taken reasonable steps to locate the holder, but has been unable to do so.</w:t>
      </w:r>
    </w:p>
    <w:p w14:paraId="4A3B8B4F" w14:textId="77777777" w:rsidR="00E93F58" w:rsidRPr="006E709F" w:rsidRDefault="00E93F58" w:rsidP="00A801D0">
      <w:pPr>
        <w:pStyle w:val="subsection"/>
      </w:pPr>
      <w:r w:rsidRPr="006E709F">
        <w:tab/>
        <w:t>(9)</w:t>
      </w:r>
      <w:r w:rsidRPr="006E709F">
        <w:tab/>
        <w:t>If the issuer has refrained, in reliance on subsection (8), from giving information to a holder, the issuer must give information to the holder if the issuer later becomes aware of the holder’s address or location.</w:t>
      </w:r>
    </w:p>
    <w:p w14:paraId="695C28DE" w14:textId="77777777" w:rsidR="00E93F58" w:rsidRPr="006E709F" w:rsidRDefault="00E93F58" w:rsidP="00A801D0">
      <w:pPr>
        <w:pStyle w:val="subsection"/>
      </w:pPr>
      <w:r w:rsidRPr="006E709F">
        <w:tab/>
        <w:t>(10)</w:t>
      </w:r>
      <w:r w:rsidRPr="006E709F">
        <w:tab/>
        <w:t>Subsection (9) applies only in respect of information that the issuer becomes liable to give to the holder after becoming aware of the holder’s address or location.</w:t>
      </w:r>
    </w:p>
    <w:p w14:paraId="0F98BE51" w14:textId="77777777" w:rsidR="00E93F58" w:rsidRPr="006E709F" w:rsidRDefault="00E93F58" w:rsidP="00DD3819">
      <w:pPr>
        <w:pStyle w:val="ItemHead"/>
      </w:pPr>
      <w:r w:rsidRPr="006E709F">
        <w:t>14.4  After subsection 1017DA(3)</w:t>
      </w:r>
    </w:p>
    <w:p w14:paraId="71C9F1F4" w14:textId="77777777" w:rsidR="00E93F58" w:rsidRPr="006E709F" w:rsidRDefault="00E93F58" w:rsidP="00DD3819">
      <w:pPr>
        <w:pStyle w:val="Item"/>
        <w:rPr>
          <w:i/>
        </w:rPr>
      </w:pPr>
      <w:r w:rsidRPr="006E709F">
        <w:rPr>
          <w:i/>
        </w:rPr>
        <w:t>insert</w:t>
      </w:r>
    </w:p>
    <w:p w14:paraId="6B54173F" w14:textId="77777777" w:rsidR="00E93F58" w:rsidRPr="006E709F" w:rsidRDefault="00E93F58" w:rsidP="00A801D0">
      <w:pPr>
        <w:pStyle w:val="subsection"/>
      </w:pPr>
      <w:r w:rsidRPr="006E709F">
        <w:lastRenderedPageBreak/>
        <w:tab/>
        <w:t>(3A)</w:t>
      </w:r>
      <w:r w:rsidRPr="006E709F">
        <w:tab/>
        <w:t>Subject to subsections (3B) and (3C), this section does not apply if:</w:t>
      </w:r>
    </w:p>
    <w:p w14:paraId="140CC499" w14:textId="77777777" w:rsidR="00E93F58" w:rsidRPr="006E709F" w:rsidRDefault="00E93F58" w:rsidP="00A801D0">
      <w:pPr>
        <w:pStyle w:val="paragraph"/>
      </w:pPr>
      <w:r w:rsidRPr="006E709F">
        <w:tab/>
        <w:t>(a)</w:t>
      </w:r>
      <w:r w:rsidRPr="006E709F">
        <w:tab/>
        <w:t>the trustee has an address for a holder or former holder, and:</w:t>
      </w:r>
    </w:p>
    <w:p w14:paraId="48DEED09" w14:textId="77777777" w:rsidR="00E93F58" w:rsidRPr="006E709F" w:rsidRDefault="00E93F58" w:rsidP="00A801D0">
      <w:pPr>
        <w:pStyle w:val="paragraphsub"/>
      </w:pPr>
      <w:r w:rsidRPr="006E709F">
        <w:tab/>
        <w:t>(i)</w:t>
      </w:r>
      <w:r w:rsidRPr="006E709F">
        <w:tab/>
        <w:t>is satisfied on reasonable grounds that that address is incorrect; and</w:t>
      </w:r>
    </w:p>
    <w:p w14:paraId="2B3848BD" w14:textId="77777777" w:rsidR="00E93F58" w:rsidRPr="006E709F" w:rsidRDefault="00E93F58" w:rsidP="00A801D0">
      <w:pPr>
        <w:pStyle w:val="paragraphsub"/>
      </w:pPr>
      <w:r w:rsidRPr="006E709F">
        <w:tab/>
        <w:t>(ii)</w:t>
      </w:r>
      <w:r w:rsidRPr="006E709F">
        <w:tab/>
        <w:t>has taken reasonable steps to locate the holder or former holder but has been unable to do so; or</w:t>
      </w:r>
    </w:p>
    <w:p w14:paraId="294B45AA" w14:textId="77777777" w:rsidR="00E93F58" w:rsidRPr="006E709F" w:rsidRDefault="00E93F58" w:rsidP="00A801D0">
      <w:pPr>
        <w:pStyle w:val="paragraph"/>
      </w:pPr>
      <w:r w:rsidRPr="006E709F">
        <w:tab/>
        <w:t>(b)</w:t>
      </w:r>
      <w:r w:rsidRPr="006E709F">
        <w:tab/>
        <w:t>the trustee has no address for the holder or former holder, and:</w:t>
      </w:r>
    </w:p>
    <w:p w14:paraId="47BC5DC7" w14:textId="77777777" w:rsidR="00E93F58" w:rsidRPr="006E709F" w:rsidRDefault="00E93F58" w:rsidP="00A801D0">
      <w:pPr>
        <w:pStyle w:val="paragraphsub"/>
      </w:pPr>
      <w:r w:rsidRPr="006E709F">
        <w:tab/>
        <w:t>(i)</w:t>
      </w:r>
      <w:r w:rsidRPr="006E709F">
        <w:tab/>
        <w:t>has been unable to obtain an address for the holder or former holder; and</w:t>
      </w:r>
    </w:p>
    <w:p w14:paraId="20667F06" w14:textId="77777777" w:rsidR="00E93F58" w:rsidRPr="006E709F" w:rsidRDefault="00E93F58" w:rsidP="00A801D0">
      <w:pPr>
        <w:pStyle w:val="paragraphsub"/>
      </w:pPr>
      <w:r w:rsidRPr="006E709F">
        <w:tab/>
        <w:t>(ii)</w:t>
      </w:r>
      <w:r w:rsidRPr="006E709F">
        <w:tab/>
        <w:t>has taken reasonable steps to locate the holder or former holder, but has been unable to do so.</w:t>
      </w:r>
    </w:p>
    <w:p w14:paraId="1723D9F5" w14:textId="77777777" w:rsidR="00E93F58" w:rsidRPr="006E709F" w:rsidRDefault="00E93F58" w:rsidP="00A801D0">
      <w:pPr>
        <w:pStyle w:val="subsection"/>
      </w:pPr>
      <w:r w:rsidRPr="006E709F">
        <w:tab/>
        <w:t>(3B)</w:t>
      </w:r>
      <w:r w:rsidRPr="006E709F">
        <w:tab/>
        <w:t>If the trustee has refrained, in reliance on subsection (3A), from giving information to a holder or former holder, the trustee must give information to the holder or former holder if the trustee later becomes aware of the holder’s or former holder’s address or location.</w:t>
      </w:r>
    </w:p>
    <w:p w14:paraId="556D3823" w14:textId="77777777" w:rsidR="00E93F58" w:rsidRPr="006E709F" w:rsidRDefault="00E93F58" w:rsidP="003811A2">
      <w:pPr>
        <w:pStyle w:val="subsection"/>
        <w:keepNext/>
        <w:keepLines/>
      </w:pPr>
      <w:r w:rsidRPr="006E709F">
        <w:tab/>
        <w:t>(3C)</w:t>
      </w:r>
      <w:r w:rsidRPr="006E709F">
        <w:tab/>
        <w:t>Subsection (3B) applies only in respect of information that the trustee becomes liable to give to the holder or former holder after becoming aware of the holder’s or former holder’s address or location.</w:t>
      </w:r>
    </w:p>
    <w:p w14:paraId="5A0F7007" w14:textId="77777777" w:rsidR="00E93F58" w:rsidRPr="006E709F" w:rsidRDefault="00E93F58" w:rsidP="003528A0">
      <w:pPr>
        <w:pStyle w:val="ActHead2"/>
        <w:pageBreakBefore/>
      </w:pPr>
      <w:bookmarkStart w:id="3508" w:name="_Toc151992502"/>
      <w:bookmarkStart w:id="3509" w:name="_Toc158713539"/>
      <w:r w:rsidRPr="000C4237">
        <w:rPr>
          <w:rStyle w:val="CharPartNo"/>
        </w:rPr>
        <w:lastRenderedPageBreak/>
        <w:t>Part 15</w:t>
      </w:r>
      <w:r w:rsidRPr="006E709F">
        <w:t>—</w:t>
      </w:r>
      <w:r w:rsidRPr="000C4237">
        <w:rPr>
          <w:rStyle w:val="CharPartText"/>
        </w:rPr>
        <w:t>Modifications for confirmation of transactions</w:t>
      </w:r>
      <w:bookmarkEnd w:id="3508"/>
      <w:bookmarkEnd w:id="3509"/>
    </w:p>
    <w:p w14:paraId="1D49AA2A"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2E11DD22" w14:textId="77777777" w:rsidR="00E93F58" w:rsidRPr="006E709F" w:rsidRDefault="00E93F58" w:rsidP="00DD3819">
      <w:pPr>
        <w:pStyle w:val="ItemHead"/>
      </w:pPr>
      <w:r w:rsidRPr="006E709F">
        <w:t>15.1  After subsection 1017F(5A)</w:t>
      </w:r>
    </w:p>
    <w:p w14:paraId="7E5D2CF3" w14:textId="77777777" w:rsidR="00E93F58" w:rsidRPr="006E709F" w:rsidRDefault="00E93F58" w:rsidP="00DD3819">
      <w:pPr>
        <w:pStyle w:val="Item"/>
        <w:rPr>
          <w:i/>
        </w:rPr>
      </w:pPr>
      <w:r w:rsidRPr="006E709F">
        <w:rPr>
          <w:i/>
        </w:rPr>
        <w:t>insert</w:t>
      </w:r>
    </w:p>
    <w:p w14:paraId="5792710B" w14:textId="77777777" w:rsidR="00E93F58" w:rsidRPr="006E709F" w:rsidRDefault="00E93F58" w:rsidP="00A801D0">
      <w:pPr>
        <w:pStyle w:val="subsection"/>
      </w:pPr>
      <w:r w:rsidRPr="006E709F">
        <w:tab/>
        <w:t>(5B)</w:t>
      </w:r>
      <w:r w:rsidRPr="006E709F">
        <w:tab/>
        <w:t>Despite subsection (5), if:</w:t>
      </w:r>
    </w:p>
    <w:p w14:paraId="28079C1F" w14:textId="77777777" w:rsidR="00E93F58" w:rsidRPr="006E709F" w:rsidRDefault="00E93F58" w:rsidP="00A801D0">
      <w:pPr>
        <w:pStyle w:val="paragraph"/>
      </w:pPr>
      <w:r w:rsidRPr="006E709F">
        <w:rPr>
          <w:color w:val="000000"/>
        </w:rPr>
        <w:tab/>
        <w:t>(a)</w:t>
      </w:r>
      <w:r w:rsidRPr="006E709F">
        <w:rPr>
          <w:color w:val="000000"/>
        </w:rPr>
        <w:tab/>
        <w:t>the cost of a transaction (including taxes and charges) is not known at the time at which confirmation of the transaction would be required to be given; and</w:t>
      </w:r>
    </w:p>
    <w:p w14:paraId="46FD2508" w14:textId="77777777" w:rsidR="00E93F58" w:rsidRPr="006E709F" w:rsidRDefault="00E93F58" w:rsidP="00A801D0">
      <w:pPr>
        <w:pStyle w:val="paragraph"/>
      </w:pPr>
      <w:r w:rsidRPr="006E709F">
        <w:tab/>
        <w:t>(b)</w:t>
      </w:r>
      <w:r w:rsidRPr="006E709F">
        <w:tab/>
        <w:t>all of the other information required under subsection (7) in relation to confirmation of the transaction is known at that time;</w:t>
      </w:r>
    </w:p>
    <w:p w14:paraId="78828097" w14:textId="77777777" w:rsidR="00E93F58" w:rsidRPr="006E709F" w:rsidRDefault="00E93F58" w:rsidP="00A801D0">
      <w:pPr>
        <w:pStyle w:val="subsection2"/>
      </w:pPr>
      <w:r w:rsidRPr="006E709F">
        <w:rPr>
          <w:color w:val="000000"/>
        </w:rPr>
        <w:t>the confirmation of the transaction is to be provided in accordance with subsection (5C).</w:t>
      </w:r>
    </w:p>
    <w:p w14:paraId="418C1525" w14:textId="77777777" w:rsidR="00E93F58" w:rsidRPr="006E709F" w:rsidRDefault="00E93F58" w:rsidP="00A801D0">
      <w:pPr>
        <w:pStyle w:val="subsection"/>
      </w:pPr>
      <w:r w:rsidRPr="006E709F">
        <w:tab/>
        <w:t>(5C)</w:t>
      </w:r>
      <w:r w:rsidRPr="006E709F">
        <w:tab/>
        <w:t>Confirmation is to be provided as follows:</w:t>
      </w:r>
    </w:p>
    <w:p w14:paraId="361402AF" w14:textId="77777777" w:rsidR="00E93F58" w:rsidRPr="006E709F" w:rsidRDefault="00E93F58" w:rsidP="00A801D0">
      <w:pPr>
        <w:pStyle w:val="paragraph"/>
      </w:pPr>
      <w:r w:rsidRPr="006E709F">
        <w:rPr>
          <w:color w:val="000000"/>
        </w:rPr>
        <w:tab/>
        <w:t>(a)</w:t>
      </w:r>
      <w:r w:rsidRPr="006E709F">
        <w:rPr>
          <w:color w:val="000000"/>
        </w:rPr>
        <w:tab/>
        <w:t>all of the information required, except for the cost of the transaction, is to be provided as soon as practicable in accordance with subsection (5);</w:t>
      </w:r>
    </w:p>
    <w:p w14:paraId="38B7D009" w14:textId="77777777" w:rsidR="00E93F58" w:rsidRPr="006E709F" w:rsidRDefault="00E93F58" w:rsidP="00A801D0">
      <w:pPr>
        <w:pStyle w:val="paragraph"/>
      </w:pPr>
      <w:r w:rsidRPr="006E709F">
        <w:tab/>
        <w:t>(b)</w:t>
      </w:r>
      <w:r w:rsidRPr="006E709F">
        <w:tab/>
        <w:t>the cost of the transaction may be provided in whichever of the following can be done first:</w:t>
      </w:r>
    </w:p>
    <w:p w14:paraId="7EB4C8A6" w14:textId="77777777" w:rsidR="00E93F58" w:rsidRPr="006E709F" w:rsidRDefault="00E93F58" w:rsidP="00A801D0">
      <w:pPr>
        <w:pStyle w:val="paragraphsub"/>
        <w:rPr>
          <w:color w:val="000000"/>
        </w:rPr>
      </w:pPr>
      <w:r w:rsidRPr="006E709F">
        <w:rPr>
          <w:color w:val="000000"/>
        </w:rPr>
        <w:tab/>
        <w:t>(i)</w:t>
      </w:r>
      <w:r w:rsidRPr="006E709F">
        <w:rPr>
          <w:color w:val="000000"/>
        </w:rPr>
        <w:tab/>
        <w:t>a secondary confirmation notice provided as soon as practicable after the cost is known;</w:t>
      </w:r>
    </w:p>
    <w:p w14:paraId="78829145" w14:textId="77777777" w:rsidR="00E93F58" w:rsidRPr="006E709F" w:rsidRDefault="00E93F58" w:rsidP="00A801D0">
      <w:pPr>
        <w:pStyle w:val="paragraphsub"/>
      </w:pPr>
      <w:r w:rsidRPr="006E709F">
        <w:tab/>
        <w:t>(ii)</w:t>
      </w:r>
      <w:r w:rsidRPr="006E709F">
        <w:tab/>
        <w:t>a standing facility mentioned in paragraph 1017F(5)(b);</w:t>
      </w:r>
    </w:p>
    <w:p w14:paraId="440C05C4" w14:textId="77777777" w:rsidR="00E93F58" w:rsidRPr="006E709F" w:rsidRDefault="00E93F58" w:rsidP="00A801D0">
      <w:pPr>
        <w:pStyle w:val="paragraphsub"/>
      </w:pPr>
      <w:r w:rsidRPr="006E709F">
        <w:tab/>
        <w:t>(iii)</w:t>
      </w:r>
      <w:r w:rsidRPr="006E709F">
        <w:tab/>
        <w:t>the first periodic report under section 1017D after the cost is known.</w:t>
      </w:r>
    </w:p>
    <w:p w14:paraId="1C461A3B" w14:textId="77777777" w:rsidR="00E93F58" w:rsidRPr="006E709F" w:rsidRDefault="00E93F58" w:rsidP="00A801D0">
      <w:pPr>
        <w:pStyle w:val="ActHead2"/>
        <w:pageBreakBefore/>
      </w:pPr>
      <w:bookmarkStart w:id="3510" w:name="_Toc151992503"/>
      <w:bookmarkStart w:id="3511" w:name="_Toc158713540"/>
      <w:r w:rsidRPr="000C4237">
        <w:rPr>
          <w:rStyle w:val="CharPartNo"/>
        </w:rPr>
        <w:lastRenderedPageBreak/>
        <w:t>Part 16</w:t>
      </w:r>
      <w:r w:rsidRPr="006E709F">
        <w:t>—</w:t>
      </w:r>
      <w:r w:rsidRPr="000C4237">
        <w:rPr>
          <w:rStyle w:val="CharPartText"/>
        </w:rPr>
        <w:t>Modifications relating to reporting periods</w:t>
      </w:r>
      <w:bookmarkEnd w:id="3510"/>
      <w:bookmarkEnd w:id="3511"/>
    </w:p>
    <w:p w14:paraId="4868FDBC"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7EDAE6E4" w14:textId="77777777" w:rsidR="00E93F58" w:rsidRPr="006E709F" w:rsidRDefault="00E93F58" w:rsidP="00DD3819">
      <w:pPr>
        <w:pStyle w:val="ItemHead"/>
      </w:pPr>
      <w:r w:rsidRPr="006E709F">
        <w:t>16.1  Paragraph 1017D(2)(a)</w:t>
      </w:r>
    </w:p>
    <w:p w14:paraId="2ED8B19D" w14:textId="77777777" w:rsidR="00E93F58" w:rsidRPr="006E709F" w:rsidRDefault="00E93F58" w:rsidP="00DD3819">
      <w:pPr>
        <w:pStyle w:val="Item"/>
        <w:rPr>
          <w:i/>
        </w:rPr>
      </w:pPr>
      <w:r w:rsidRPr="006E709F">
        <w:rPr>
          <w:i/>
        </w:rPr>
        <w:t>substitute</w:t>
      </w:r>
    </w:p>
    <w:p w14:paraId="4A22A662" w14:textId="77777777" w:rsidR="00E93F58" w:rsidRPr="006E709F" w:rsidRDefault="00E93F58" w:rsidP="00A801D0">
      <w:pPr>
        <w:pStyle w:val="paragraph"/>
      </w:pPr>
      <w:r w:rsidRPr="006E709F">
        <w:tab/>
        <w:t>(a)</w:t>
      </w:r>
      <w:r w:rsidRPr="006E709F">
        <w:tab/>
        <w:t>each reporting period lasts for:</w:t>
      </w:r>
    </w:p>
    <w:p w14:paraId="2E55C8FB" w14:textId="77777777" w:rsidR="00E93F58" w:rsidRPr="006E709F" w:rsidRDefault="00E93F58" w:rsidP="00A801D0">
      <w:pPr>
        <w:pStyle w:val="paragraphsub"/>
      </w:pPr>
      <w:r w:rsidRPr="006E709F">
        <w:tab/>
        <w:t>(i)</w:t>
      </w:r>
      <w:r w:rsidRPr="006E709F">
        <w:tab/>
        <w:t>a period, not exceeding 1 year, fixed by the issuer; or</w:t>
      </w:r>
    </w:p>
    <w:p w14:paraId="2C0C14AF" w14:textId="77777777" w:rsidR="00E93F58" w:rsidRPr="006E709F" w:rsidRDefault="00E93F58" w:rsidP="00A801D0">
      <w:pPr>
        <w:pStyle w:val="paragraphsub"/>
      </w:pPr>
      <w:r w:rsidRPr="006E709F">
        <w:tab/>
        <w:t>(ii)</w:t>
      </w:r>
      <w:r w:rsidRPr="006E709F">
        <w:tab/>
        <w:t>a longer period fixed by ASIC on the application of the issuer to which the period relates;</w:t>
      </w:r>
    </w:p>
    <w:p w14:paraId="66824CB2" w14:textId="77777777" w:rsidR="00E93F58" w:rsidRPr="006E709F" w:rsidRDefault="00E93F58" w:rsidP="00A801D0">
      <w:pPr>
        <w:pStyle w:val="ActHead2"/>
        <w:pageBreakBefore/>
      </w:pPr>
      <w:bookmarkStart w:id="3512" w:name="_Toc151992504"/>
      <w:bookmarkStart w:id="3513" w:name="_Toc158713541"/>
      <w:r w:rsidRPr="000C4237">
        <w:rPr>
          <w:rStyle w:val="CharPartNo"/>
        </w:rPr>
        <w:lastRenderedPageBreak/>
        <w:t>Part 17</w:t>
      </w:r>
      <w:r w:rsidRPr="006E709F">
        <w:t>—</w:t>
      </w:r>
      <w:r w:rsidRPr="000C4237">
        <w:rPr>
          <w:rStyle w:val="CharPartText"/>
        </w:rPr>
        <w:t>Modifications relating to application forms for specified superannuation products</w:t>
      </w:r>
      <w:bookmarkEnd w:id="3512"/>
      <w:bookmarkEnd w:id="3513"/>
    </w:p>
    <w:p w14:paraId="2FC541AD"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3D754ABC" w14:textId="77777777" w:rsidR="00E93F58" w:rsidRPr="006E709F" w:rsidRDefault="00E93F58" w:rsidP="00DD3819">
      <w:pPr>
        <w:pStyle w:val="ItemHead"/>
      </w:pPr>
      <w:r w:rsidRPr="006E709F">
        <w:t>17.1  After subsection 1012B(4)</w:t>
      </w:r>
    </w:p>
    <w:p w14:paraId="57C0F3AC" w14:textId="77777777" w:rsidR="00E93F58" w:rsidRPr="006E709F" w:rsidRDefault="00E93F58" w:rsidP="00DD3819">
      <w:pPr>
        <w:pStyle w:val="Item"/>
        <w:rPr>
          <w:i/>
        </w:rPr>
      </w:pPr>
      <w:r w:rsidRPr="006E709F">
        <w:rPr>
          <w:i/>
        </w:rPr>
        <w:t>insert</w:t>
      </w:r>
    </w:p>
    <w:p w14:paraId="20510479" w14:textId="77777777" w:rsidR="00E93F58" w:rsidRPr="006E709F" w:rsidRDefault="00E93F58" w:rsidP="00A801D0">
      <w:pPr>
        <w:pStyle w:val="subsection"/>
      </w:pPr>
      <w:r w:rsidRPr="006E709F">
        <w:tab/>
        <w:t>(4A)</w:t>
      </w:r>
      <w:r w:rsidRPr="006E709F">
        <w:tab/>
        <w:t>A regulated person:</w:t>
      </w:r>
    </w:p>
    <w:p w14:paraId="5F255A84" w14:textId="77777777" w:rsidR="00E93F58" w:rsidRPr="006E709F" w:rsidRDefault="00E93F58" w:rsidP="00A801D0">
      <w:pPr>
        <w:pStyle w:val="paragraph"/>
      </w:pPr>
      <w:r w:rsidRPr="006E709F">
        <w:tab/>
        <w:t>(a)</w:t>
      </w:r>
      <w:r w:rsidRPr="006E709F">
        <w:tab/>
        <w:t>need not give a client a Product Disclosure Statement for a financial product at or before the time when it would otherwise be required to be given; and</w:t>
      </w:r>
    </w:p>
    <w:p w14:paraId="370E5B83" w14:textId="77777777" w:rsidR="00E93F58" w:rsidRPr="006E709F" w:rsidRDefault="00E93F58" w:rsidP="00A801D0">
      <w:pPr>
        <w:pStyle w:val="paragraph"/>
      </w:pPr>
      <w:r w:rsidRPr="006E709F">
        <w:tab/>
        <w:t>(b)</w:t>
      </w:r>
      <w:r w:rsidRPr="006E709F">
        <w:tab/>
        <w:t>must give the client the Product Disclosure Statement as soon as is reasonably practical and in any event within 3 months after the product is issued to the client; and</w:t>
      </w:r>
    </w:p>
    <w:p w14:paraId="3CD97719" w14:textId="77777777" w:rsidR="00E93F58" w:rsidRPr="006E709F" w:rsidRDefault="00E93F58" w:rsidP="00A801D0">
      <w:pPr>
        <w:pStyle w:val="paragraph"/>
      </w:pPr>
      <w:r w:rsidRPr="006E709F">
        <w:tab/>
        <w:t>(c)</w:t>
      </w:r>
      <w:r w:rsidRPr="006E709F">
        <w:tab/>
        <w:t>need not give the client the Product Disclosure Statement at all if the client ceases to be a member of the superannuation fund concerned before the regulated person is required to give the Product Disclosure Statement under paragraph (b).</w:t>
      </w:r>
    </w:p>
    <w:p w14:paraId="7DBAD0FF" w14:textId="77777777" w:rsidR="00E93F58" w:rsidRPr="006E709F" w:rsidRDefault="00E93F58" w:rsidP="00A801D0">
      <w:pPr>
        <w:pStyle w:val="subsection"/>
      </w:pPr>
      <w:r w:rsidRPr="006E709F">
        <w:tab/>
        <w:t>(4B)</w:t>
      </w:r>
      <w:r w:rsidRPr="006E709F">
        <w:tab/>
        <w:t>Subsections (3), (4) and (4A) apply only in respect of:</w:t>
      </w:r>
    </w:p>
    <w:p w14:paraId="02F0BB74" w14:textId="77777777" w:rsidR="00E93F58" w:rsidRPr="006E709F" w:rsidRDefault="00E93F58" w:rsidP="00A801D0">
      <w:pPr>
        <w:pStyle w:val="paragraph"/>
      </w:pPr>
      <w:r w:rsidRPr="006E709F">
        <w:tab/>
        <w:t>(a)</w:t>
      </w:r>
      <w:r w:rsidRPr="006E709F">
        <w:tab/>
        <w:t>in the case of an eligible rollover fund:</w:t>
      </w:r>
    </w:p>
    <w:p w14:paraId="68540B82" w14:textId="77777777" w:rsidR="00E93F58" w:rsidRPr="006E709F" w:rsidRDefault="00E93F58" w:rsidP="00A801D0">
      <w:pPr>
        <w:pStyle w:val="paragraphsub"/>
      </w:pPr>
      <w:r w:rsidRPr="006E709F">
        <w:tab/>
        <w:t>(i)</w:t>
      </w:r>
      <w:r w:rsidRPr="006E709F">
        <w:tab/>
        <w:t>persons who become members of the fund by being issued with a superannuation interest under section 243 of the SIS Act; and</w:t>
      </w:r>
    </w:p>
    <w:p w14:paraId="7B4A672C" w14:textId="77777777" w:rsidR="00E93F58" w:rsidRPr="006E709F" w:rsidRDefault="00E93F58" w:rsidP="00A801D0">
      <w:pPr>
        <w:pStyle w:val="paragraphsub"/>
      </w:pPr>
      <w:r w:rsidRPr="006E709F">
        <w:tab/>
        <w:t>(ii)</w:t>
      </w:r>
      <w:r w:rsidRPr="006E709F">
        <w:tab/>
        <w:t>persons who become members of the fund in circumstances mentioned in section 89 of the RSA Act; and</w:t>
      </w:r>
    </w:p>
    <w:p w14:paraId="7064F7DF" w14:textId="77777777" w:rsidR="00E93F58" w:rsidRPr="006E709F" w:rsidRDefault="00E93F58" w:rsidP="00A801D0">
      <w:pPr>
        <w:pStyle w:val="paragraph"/>
      </w:pPr>
      <w:r w:rsidRPr="006E709F">
        <w:tab/>
        <w:t>(b)</w:t>
      </w:r>
      <w:r w:rsidRPr="006E709F">
        <w:tab/>
        <w:t>in the case of a public offer superannuation fund that is not a successor fund in relation to the financial product issued to the client:</w:t>
      </w:r>
    </w:p>
    <w:p w14:paraId="6C860DA3" w14:textId="77777777" w:rsidR="00E93F58" w:rsidRPr="006E709F" w:rsidRDefault="00E93F58" w:rsidP="00A801D0">
      <w:pPr>
        <w:pStyle w:val="paragraphsub"/>
      </w:pPr>
      <w:r w:rsidRPr="006E709F">
        <w:tab/>
        <w:t>(i)</w:t>
      </w:r>
      <w:r w:rsidRPr="006E709F">
        <w:tab/>
        <w:t>standard employer</w:t>
      </w:r>
      <w:r>
        <w:noBreakHyphen/>
      </w:r>
      <w:r w:rsidRPr="006E709F">
        <w:t>sponsored members of the fund; and</w:t>
      </w:r>
    </w:p>
    <w:p w14:paraId="6DC60825" w14:textId="77777777" w:rsidR="00E93F58" w:rsidRPr="006E709F" w:rsidRDefault="00E93F58" w:rsidP="00A801D0">
      <w:pPr>
        <w:pStyle w:val="paragraphsub"/>
      </w:pPr>
      <w:r w:rsidRPr="006E709F">
        <w:tab/>
        <w:t>(ii)</w:t>
      </w:r>
      <w:r w:rsidRPr="006E709F">
        <w:tab/>
        <w:t xml:space="preserve">persons who become members of the fund in circumstances mentioned in regulation 7.9.06B of the </w:t>
      </w:r>
      <w:r w:rsidRPr="006E709F">
        <w:rPr>
          <w:i/>
        </w:rPr>
        <w:t xml:space="preserve">Corporations </w:t>
      </w:r>
      <w:r>
        <w:rPr>
          <w:i/>
        </w:rPr>
        <w:t>Regulations 2</w:t>
      </w:r>
      <w:r w:rsidRPr="006E709F">
        <w:rPr>
          <w:i/>
        </w:rPr>
        <w:t>001</w:t>
      </w:r>
      <w:r w:rsidRPr="006E709F">
        <w:t>.</w:t>
      </w:r>
    </w:p>
    <w:p w14:paraId="61335CDD" w14:textId="77777777" w:rsidR="00E93F58" w:rsidRPr="006E709F" w:rsidRDefault="00E93F58" w:rsidP="003C672B">
      <w:pPr>
        <w:pStyle w:val="ItemHead"/>
      </w:pPr>
      <w:r w:rsidRPr="006E709F">
        <w:t>17.2  After subsection 1012I(2B)</w:t>
      </w:r>
    </w:p>
    <w:p w14:paraId="0A7E7A02" w14:textId="77777777" w:rsidR="00E93F58" w:rsidRPr="006E709F" w:rsidRDefault="00E93F58" w:rsidP="003C672B">
      <w:pPr>
        <w:pStyle w:val="Item"/>
        <w:rPr>
          <w:i/>
        </w:rPr>
      </w:pPr>
      <w:r w:rsidRPr="006E709F">
        <w:rPr>
          <w:i/>
        </w:rPr>
        <w:t>insert</w:t>
      </w:r>
    </w:p>
    <w:p w14:paraId="311B4B89" w14:textId="77777777" w:rsidR="00E93F58" w:rsidRPr="006E709F" w:rsidRDefault="00E93F58" w:rsidP="00A801D0">
      <w:pPr>
        <w:pStyle w:val="subsection"/>
      </w:pPr>
      <w:r w:rsidRPr="006E709F">
        <w:tab/>
        <w:t>(2C)</w:t>
      </w:r>
      <w:r w:rsidRPr="006E709F">
        <w:tab/>
        <w:t xml:space="preserve">If a trustee of an </w:t>
      </w:r>
      <w:r w:rsidRPr="00BE1284">
        <w:t>exempt public sector superannuation scheme</w:t>
      </w:r>
      <w:r w:rsidRPr="006E709F">
        <w:t>:</w:t>
      </w:r>
    </w:p>
    <w:p w14:paraId="7F2D9212" w14:textId="77777777" w:rsidR="00E93F58" w:rsidRPr="006E709F" w:rsidRDefault="00E93F58" w:rsidP="00A801D0">
      <w:pPr>
        <w:pStyle w:val="paragraph"/>
      </w:pPr>
      <w:r w:rsidRPr="006E709F">
        <w:tab/>
        <w:t>(a)</w:t>
      </w:r>
      <w:r w:rsidRPr="006E709F">
        <w:tab/>
        <w:t xml:space="preserve">applies, in circumstances mentioned in regulation 7.9.06B of the </w:t>
      </w:r>
      <w:r w:rsidRPr="006E709F">
        <w:rPr>
          <w:i/>
        </w:rPr>
        <w:t xml:space="preserve">Corporations </w:t>
      </w:r>
      <w:r>
        <w:rPr>
          <w:i/>
        </w:rPr>
        <w:t>Regulations 2</w:t>
      </w:r>
      <w:r w:rsidRPr="006E709F">
        <w:rPr>
          <w:i/>
        </w:rPr>
        <w:t>001</w:t>
      </w:r>
      <w:r w:rsidRPr="006E709F">
        <w:t>, on behalf of a person for the issue of an interest in a relevant superannuation entity; and</w:t>
      </w:r>
    </w:p>
    <w:p w14:paraId="1249AB70" w14:textId="77777777" w:rsidR="00E93F58" w:rsidRPr="006E709F" w:rsidRDefault="00E93F58" w:rsidP="00A801D0">
      <w:pPr>
        <w:pStyle w:val="paragraph"/>
      </w:pPr>
      <w:r w:rsidRPr="006E709F">
        <w:tab/>
        <w:t>(b)</w:t>
      </w:r>
      <w:r w:rsidRPr="006E709F">
        <w:tab/>
        <w:t>has not previously applied in those circumstances for the issue of an interest in that entity on behalf of any person;</w:t>
      </w:r>
    </w:p>
    <w:p w14:paraId="2F429492" w14:textId="77777777" w:rsidR="00E93F58" w:rsidRPr="006E709F" w:rsidRDefault="00E93F58" w:rsidP="00A801D0">
      <w:pPr>
        <w:pStyle w:val="subsection2"/>
      </w:pPr>
      <w:r w:rsidRPr="006E709F">
        <w:t xml:space="preserve">the person (the </w:t>
      </w:r>
      <w:r w:rsidRPr="006E709F">
        <w:rPr>
          <w:b/>
          <w:i/>
        </w:rPr>
        <w:t>issuer</w:t>
      </w:r>
      <w:r w:rsidRPr="006E709F">
        <w:t>) who is to issue the interest to the person must, at or before the time when the interest is issued to the person, give the trustee a Product Disclosure Statement in accordance with this Division for the interest.</w:t>
      </w:r>
    </w:p>
    <w:p w14:paraId="284A7750" w14:textId="77777777" w:rsidR="00E93F58" w:rsidRPr="006E709F" w:rsidRDefault="00E93F58" w:rsidP="00A801D0">
      <w:pPr>
        <w:pStyle w:val="ActHead2"/>
        <w:pageBreakBefore/>
      </w:pPr>
      <w:bookmarkStart w:id="3514" w:name="_Toc151992505"/>
      <w:bookmarkStart w:id="3515" w:name="_Toc158713542"/>
      <w:r w:rsidRPr="000C4237">
        <w:rPr>
          <w:rStyle w:val="CharPartNo"/>
        </w:rPr>
        <w:lastRenderedPageBreak/>
        <w:t>Part 18</w:t>
      </w:r>
      <w:r w:rsidRPr="006E709F">
        <w:t>—</w:t>
      </w:r>
      <w:r w:rsidRPr="000C4237">
        <w:rPr>
          <w:rStyle w:val="CharPartText"/>
        </w:rPr>
        <w:t>Modification of Part 7.9 of the Act—New Zealand offer documents replace Product Disclosure Statements where an offer relates to interests in a New Zealand managed investment scheme</w:t>
      </w:r>
      <w:bookmarkEnd w:id="3514"/>
      <w:bookmarkEnd w:id="3515"/>
    </w:p>
    <w:p w14:paraId="4BCFFC79" w14:textId="77777777" w:rsidR="00E93F58" w:rsidRPr="006E709F" w:rsidRDefault="00E93F58" w:rsidP="002406FE">
      <w:pPr>
        <w:pStyle w:val="Header"/>
      </w:pPr>
      <w:r w:rsidRPr="000C4237">
        <w:rPr>
          <w:rStyle w:val="CharDivNo"/>
        </w:rPr>
        <w:t xml:space="preserve"> </w:t>
      </w:r>
      <w:r w:rsidRPr="000C4237">
        <w:rPr>
          <w:rStyle w:val="CharDivText"/>
        </w:rPr>
        <w:t xml:space="preserve"> </w:t>
      </w:r>
    </w:p>
    <w:p w14:paraId="05158195" w14:textId="77777777" w:rsidR="00E93F58" w:rsidRPr="006E709F" w:rsidRDefault="00E93F58" w:rsidP="003C672B">
      <w:pPr>
        <w:pStyle w:val="ItemHead"/>
      </w:pPr>
      <w:r w:rsidRPr="006E709F">
        <w:t>18.1  After subsection 1012D(9D)</w:t>
      </w:r>
    </w:p>
    <w:p w14:paraId="2518D984" w14:textId="77777777" w:rsidR="00E93F58" w:rsidRPr="006E709F" w:rsidRDefault="00E93F58" w:rsidP="00A801D0">
      <w:pPr>
        <w:pStyle w:val="Item"/>
        <w:rPr>
          <w:i/>
        </w:rPr>
      </w:pPr>
      <w:r w:rsidRPr="006E709F">
        <w:rPr>
          <w:i/>
        </w:rPr>
        <w:t>insert</w:t>
      </w:r>
    </w:p>
    <w:p w14:paraId="455D731F" w14:textId="77777777" w:rsidR="00E93F58" w:rsidRPr="006E709F" w:rsidRDefault="00E93F58" w:rsidP="00A801D0">
      <w:pPr>
        <w:pStyle w:val="SubsectionHead"/>
      </w:pPr>
      <w:r w:rsidRPr="006E709F">
        <w:t>Recommendation, issue or sale situation—New Zealand mutual recognition scheme for securities</w:t>
      </w:r>
    </w:p>
    <w:p w14:paraId="2D1641C2" w14:textId="77777777" w:rsidR="00E93F58" w:rsidRPr="006E709F" w:rsidRDefault="00E93F58" w:rsidP="00A801D0">
      <w:pPr>
        <w:pStyle w:val="subsection"/>
      </w:pPr>
      <w:r w:rsidRPr="006E709F">
        <w:tab/>
        <w:t>(9E)</w:t>
      </w:r>
      <w:r w:rsidRPr="006E709F">
        <w:tab/>
        <w:t>In a recommendation situation, issue situation or sale situation, the regulated person does not have to give the client a Product Disclosure Statement for a financial product if:</w:t>
      </w:r>
    </w:p>
    <w:p w14:paraId="49E56C9E" w14:textId="77777777" w:rsidR="00E93F58" w:rsidRPr="006E709F" w:rsidRDefault="00E93F58" w:rsidP="00A801D0">
      <w:pPr>
        <w:pStyle w:val="paragraph"/>
      </w:pPr>
      <w:r w:rsidRPr="006E709F">
        <w:tab/>
        <w:t>(a)</w:t>
      </w:r>
      <w:r w:rsidRPr="006E709F">
        <w:tab/>
        <w:t>the regulated person reasonably believes that there is a recognised offer under Chapter 8 in relation to offer of the financial product; and</w:t>
      </w:r>
    </w:p>
    <w:p w14:paraId="0184CBA2" w14:textId="77777777" w:rsidR="00E93F58" w:rsidRPr="006E709F" w:rsidRDefault="00E93F58" w:rsidP="00A801D0">
      <w:pPr>
        <w:pStyle w:val="paragraph"/>
      </w:pPr>
      <w:r w:rsidRPr="006E709F">
        <w:tab/>
        <w:t>(b)</w:t>
      </w:r>
      <w:r w:rsidRPr="006E709F">
        <w:tab/>
        <w:t>the financial product is an interest in a managed investment scheme governed by the laws of New Zealand; and</w:t>
      </w:r>
    </w:p>
    <w:p w14:paraId="5E84BE59" w14:textId="77777777" w:rsidR="00E93F58" w:rsidRPr="006E709F" w:rsidRDefault="00E93F58" w:rsidP="00400E04">
      <w:pPr>
        <w:pStyle w:val="paragraph"/>
      </w:pPr>
      <w:r w:rsidRPr="006E709F">
        <w:tab/>
        <w:t>(c)</w:t>
      </w:r>
      <w:r w:rsidRPr="006E709F">
        <w:tab/>
        <w:t xml:space="preserve">the regulated person has provided the client the documents and information required to accompany that offer by the Financial Markets Conduct Act 2013 of New Zealand and the Financial Markets Conduct </w:t>
      </w:r>
      <w:r>
        <w:t>Regulations 2</w:t>
      </w:r>
      <w:r w:rsidRPr="006E709F">
        <w:t>014 of New Zealand; and</w:t>
      </w:r>
    </w:p>
    <w:p w14:paraId="25873487" w14:textId="77777777" w:rsidR="00E93F58" w:rsidRPr="006E709F" w:rsidRDefault="00E93F58" w:rsidP="00B241B7">
      <w:pPr>
        <w:pStyle w:val="paragraph"/>
      </w:pPr>
      <w:r w:rsidRPr="006E709F">
        <w:tab/>
        <w:t>(d)</w:t>
      </w:r>
      <w:r w:rsidRPr="006E709F">
        <w:tab/>
        <w:t>the regulated person has provided the client any warning statement or details prescribed under section 1200E in relation to the offer.</w:t>
      </w:r>
    </w:p>
    <w:p w14:paraId="4EF6D5F7" w14:textId="77777777" w:rsidR="00E93F58" w:rsidRPr="006E709F" w:rsidRDefault="00E93F58" w:rsidP="00A801D0">
      <w:pPr>
        <w:pStyle w:val="subsection"/>
      </w:pPr>
      <w:r w:rsidRPr="006E709F">
        <w:tab/>
        <w:t>(9F)</w:t>
      </w:r>
      <w:r w:rsidRPr="006E709F">
        <w:tab/>
        <w:t>For paragraph (9E)(c), section 1015C applies to the providing of documents and information, as if the documents and information were a Statement.</w:t>
      </w:r>
    </w:p>
    <w:p w14:paraId="6E7B4409" w14:textId="77777777" w:rsidR="00E93F58" w:rsidRPr="006E709F" w:rsidRDefault="00E93F58" w:rsidP="00A801D0">
      <w:pPr>
        <w:pStyle w:val="subsection"/>
      </w:pPr>
      <w:r w:rsidRPr="006E709F">
        <w:tab/>
        <w:t>(9G)</w:t>
      </w:r>
      <w:r w:rsidRPr="006E709F">
        <w:tab/>
        <w:t>For paragraph (9E)(d), section 1015C applies to the providing of warning statement or details prescribed under section 1200E, as if the warning statement or details were a Statement.</w:t>
      </w:r>
    </w:p>
    <w:p w14:paraId="09EE0F46" w14:textId="77777777" w:rsidR="00E93F58" w:rsidRPr="006E709F" w:rsidRDefault="00E93F58" w:rsidP="00495B24">
      <w:pPr>
        <w:pStyle w:val="ActHead2"/>
        <w:pageBreakBefore/>
      </w:pPr>
      <w:bookmarkStart w:id="3516" w:name="_Toc151992506"/>
      <w:bookmarkStart w:id="3517" w:name="_Toc158713543"/>
      <w:r w:rsidRPr="000C4237">
        <w:rPr>
          <w:rStyle w:val="CharPartNo"/>
        </w:rPr>
        <w:lastRenderedPageBreak/>
        <w:t>Part 19</w:t>
      </w:r>
      <w:r w:rsidRPr="006E709F">
        <w:t>—</w:t>
      </w:r>
      <w:r w:rsidRPr="000C4237">
        <w:rPr>
          <w:rStyle w:val="CharPartText"/>
        </w:rPr>
        <w:t>Modifications for carbon units, Australian carbon credit units and eligible international emissions units</w:t>
      </w:r>
      <w:bookmarkEnd w:id="3516"/>
      <w:bookmarkEnd w:id="3517"/>
    </w:p>
    <w:p w14:paraId="0CCCA99A" w14:textId="77777777" w:rsidR="00E93F58" w:rsidRPr="006E709F" w:rsidRDefault="00E93F58" w:rsidP="00F011D7">
      <w:pPr>
        <w:pStyle w:val="Header"/>
      </w:pPr>
      <w:r w:rsidRPr="000C4237">
        <w:rPr>
          <w:rStyle w:val="CharDivNo"/>
        </w:rPr>
        <w:t xml:space="preserve"> </w:t>
      </w:r>
      <w:r w:rsidRPr="000C4237">
        <w:rPr>
          <w:rStyle w:val="CharDivText"/>
        </w:rPr>
        <w:t xml:space="preserve"> </w:t>
      </w:r>
    </w:p>
    <w:p w14:paraId="22934320" w14:textId="77777777" w:rsidR="00E93F58" w:rsidRPr="006E709F" w:rsidRDefault="00E93F58" w:rsidP="003C672B">
      <w:pPr>
        <w:pStyle w:val="ItemHead"/>
      </w:pPr>
      <w:r w:rsidRPr="006E709F">
        <w:t>19.1  Subsections 1012D(1) to (3), including the subheadings</w:t>
      </w:r>
    </w:p>
    <w:p w14:paraId="0682F5B9" w14:textId="77777777" w:rsidR="00E93F58" w:rsidRPr="006E709F" w:rsidRDefault="00E93F58" w:rsidP="00A801D0">
      <w:pPr>
        <w:pStyle w:val="Item"/>
        <w:rPr>
          <w:i/>
        </w:rPr>
      </w:pPr>
      <w:r w:rsidRPr="006E709F">
        <w:rPr>
          <w:i/>
        </w:rPr>
        <w:t>substitute</w:t>
      </w:r>
    </w:p>
    <w:p w14:paraId="69197E8A" w14:textId="77777777" w:rsidR="00E93F58" w:rsidRPr="006E709F" w:rsidRDefault="00E93F58" w:rsidP="00F011D7">
      <w:pPr>
        <w:pStyle w:val="SubsectionHead"/>
        <w:rPr>
          <w:iCs/>
          <w:szCs w:val="22"/>
        </w:rPr>
      </w:pPr>
      <w:r w:rsidRPr="006E709F">
        <w:t>Recommendation, issue or sale situation for carbon unit—statements on Clean Energy Regulator’s website</w:t>
      </w:r>
    </w:p>
    <w:p w14:paraId="12186727" w14:textId="77777777" w:rsidR="00E93F58" w:rsidRPr="006E709F" w:rsidRDefault="00E93F58" w:rsidP="00F011D7">
      <w:pPr>
        <w:pStyle w:val="subsection"/>
      </w:pPr>
      <w:r w:rsidRPr="006E709F">
        <w:tab/>
        <w:t>(1)</w:t>
      </w:r>
      <w:r w:rsidRPr="006E709F">
        <w:tab/>
        <w:t>Subject to subsections (2) and (3), in a recommendation situation, issue situation or sale situation for a carbon unit, the regulated person:</w:t>
      </w:r>
    </w:p>
    <w:p w14:paraId="4D39EFAD" w14:textId="77777777" w:rsidR="00E93F58" w:rsidRPr="006E709F" w:rsidRDefault="00E93F58" w:rsidP="00F011D7">
      <w:pPr>
        <w:pStyle w:val="paragraph"/>
      </w:pPr>
      <w:r w:rsidRPr="006E709F">
        <w:tab/>
        <w:t>(a)</w:t>
      </w:r>
      <w:r w:rsidRPr="006E709F">
        <w:tab/>
        <w:t>does not have to give the client a Product Disclosure Statement; and</w:t>
      </w:r>
    </w:p>
    <w:p w14:paraId="42AC95A4" w14:textId="77777777" w:rsidR="00E93F58" w:rsidRPr="006E709F" w:rsidRDefault="00E93F58" w:rsidP="00F011D7">
      <w:pPr>
        <w:pStyle w:val="paragraph"/>
      </w:pPr>
      <w:r w:rsidRPr="006E709F">
        <w:tab/>
        <w:t>(b)</w:t>
      </w:r>
      <w:r w:rsidRPr="006E709F">
        <w:tab/>
        <w:t xml:space="preserve">must inform the client that the client should consider each statement about the carbon unit that is mentioned in section 202 of the </w:t>
      </w:r>
      <w:r w:rsidRPr="006E709F">
        <w:rPr>
          <w:i/>
        </w:rPr>
        <w:t>Clean Energy Act 2011</w:t>
      </w:r>
      <w:r w:rsidRPr="006E709F">
        <w:t>.</w:t>
      </w:r>
    </w:p>
    <w:p w14:paraId="71F58D97" w14:textId="77777777" w:rsidR="00E93F58" w:rsidRPr="006E709F" w:rsidRDefault="00E93F58" w:rsidP="00F011D7">
      <w:pPr>
        <w:pStyle w:val="SubsectionHead"/>
      </w:pPr>
      <w:r w:rsidRPr="006E709F">
        <w:t>Recommendation, issue or sale situation for carbon unit—client has considered statements on Clean Energy Regulator’s website</w:t>
      </w:r>
    </w:p>
    <w:p w14:paraId="7445D1F6" w14:textId="77777777" w:rsidR="00E93F58" w:rsidRPr="006E709F" w:rsidRDefault="00E93F58" w:rsidP="00F011D7">
      <w:pPr>
        <w:pStyle w:val="subsection"/>
      </w:pPr>
      <w:r w:rsidRPr="006E709F">
        <w:tab/>
        <w:t>(2)</w:t>
      </w:r>
      <w:r w:rsidRPr="006E709F">
        <w:tab/>
        <w:t xml:space="preserve">In a recommendation situation, issue situation or sale situation for a carbon unit, the regulated person does not have to inform the client as described in paragraph (1)(b) if the regulated person believes, on reasonable grounds, that the client has already considered each statement about the carbon unit that is published on the website of the Clean Energy Regulator as mentioned in section 202 of the </w:t>
      </w:r>
      <w:r w:rsidRPr="006E709F">
        <w:rPr>
          <w:i/>
        </w:rPr>
        <w:t>Clean Energy Act 2011</w:t>
      </w:r>
      <w:r w:rsidRPr="006E709F">
        <w:t>.</w:t>
      </w:r>
    </w:p>
    <w:p w14:paraId="3594D12A" w14:textId="77777777" w:rsidR="00E93F58" w:rsidRPr="006E709F" w:rsidRDefault="00E93F58" w:rsidP="00F011D7">
      <w:pPr>
        <w:pStyle w:val="SubsectionHead"/>
        <w:rPr>
          <w:iCs/>
          <w:szCs w:val="22"/>
        </w:rPr>
      </w:pPr>
      <w:r w:rsidRPr="006E709F">
        <w:t>Recommendation, issue or sale situation for carbon unit—specified persons</w:t>
      </w:r>
    </w:p>
    <w:p w14:paraId="29290968" w14:textId="77777777" w:rsidR="00E93F58" w:rsidRPr="006E709F" w:rsidRDefault="00E93F58" w:rsidP="00F011D7">
      <w:pPr>
        <w:pStyle w:val="subsection"/>
      </w:pPr>
      <w:r w:rsidRPr="006E709F">
        <w:tab/>
        <w:t>(3)</w:t>
      </w:r>
      <w:r w:rsidRPr="006E709F">
        <w:tab/>
        <w:t>In a recommendation situation, issue situation or sale situation for a carbon unit, the regulated person does not have to inform the client as described in paragraph (1)(b) if the person is:</w:t>
      </w:r>
    </w:p>
    <w:p w14:paraId="265AA9C2" w14:textId="77777777" w:rsidR="00E93F58" w:rsidRPr="006E709F" w:rsidRDefault="00E93F58" w:rsidP="00F011D7">
      <w:pPr>
        <w:pStyle w:val="paragraph"/>
      </w:pPr>
      <w:r w:rsidRPr="006E709F">
        <w:tab/>
        <w:t>(a)</w:t>
      </w:r>
      <w:r w:rsidRPr="006E709F">
        <w:tab/>
        <w:t>the Clean Energy Regulator; or</w:t>
      </w:r>
    </w:p>
    <w:p w14:paraId="7F2F3C2F" w14:textId="77777777" w:rsidR="00E93F58" w:rsidRPr="006E709F" w:rsidRDefault="00E93F58" w:rsidP="00F011D7">
      <w:pPr>
        <w:pStyle w:val="paragraph"/>
      </w:pPr>
      <w:r w:rsidRPr="006E709F">
        <w:tab/>
        <w:t>(b)</w:t>
      </w:r>
      <w:r w:rsidRPr="006E709F">
        <w:tab/>
        <w:t>the Clean Development Mechanism Executive Board; or</w:t>
      </w:r>
    </w:p>
    <w:p w14:paraId="5224C691" w14:textId="77777777" w:rsidR="00E93F58" w:rsidRPr="006E709F" w:rsidRDefault="00E93F58" w:rsidP="00F011D7">
      <w:pPr>
        <w:pStyle w:val="paragraph"/>
      </w:pPr>
      <w:r w:rsidRPr="006E709F">
        <w:tab/>
        <w:t>(c)</w:t>
      </w:r>
      <w:r w:rsidRPr="006E709F">
        <w:tab/>
        <w:t>the government of a country other than Australia; or</w:t>
      </w:r>
    </w:p>
    <w:p w14:paraId="67E28D4D" w14:textId="77777777" w:rsidR="00E93F58" w:rsidRPr="006E709F" w:rsidRDefault="00E93F58" w:rsidP="00F011D7">
      <w:pPr>
        <w:pStyle w:val="paragraph"/>
      </w:pPr>
      <w:r w:rsidRPr="006E709F">
        <w:tab/>
        <w:t>(d)</w:t>
      </w:r>
      <w:r w:rsidRPr="006E709F">
        <w:tab/>
        <w:t>an authority acting on behalf of the government of a country other than Australia.</w:t>
      </w:r>
    </w:p>
    <w:p w14:paraId="7953C100" w14:textId="77777777" w:rsidR="00E93F58" w:rsidRPr="006E709F" w:rsidRDefault="00E93F58" w:rsidP="00F011D7">
      <w:pPr>
        <w:pStyle w:val="SubsectionHead"/>
        <w:rPr>
          <w:iCs/>
          <w:szCs w:val="22"/>
        </w:rPr>
      </w:pPr>
      <w:r w:rsidRPr="006E709F">
        <w:t>Recommendation, issue or sale situation for Australian carbon credit unit—statements on Clean Energy Regulator’s website</w:t>
      </w:r>
    </w:p>
    <w:p w14:paraId="1D200AC6" w14:textId="77777777" w:rsidR="00E93F58" w:rsidRPr="006E709F" w:rsidRDefault="00E93F58" w:rsidP="00F011D7">
      <w:pPr>
        <w:pStyle w:val="subsection"/>
      </w:pPr>
      <w:r w:rsidRPr="006E709F">
        <w:tab/>
        <w:t>(3A)</w:t>
      </w:r>
      <w:r w:rsidRPr="006E709F">
        <w:tab/>
        <w:t>Subject to subsections (3B) and (3C), in a recommendation situation, issue situation or sale situation for an Australian carbon credit unit, the regulated person:</w:t>
      </w:r>
    </w:p>
    <w:p w14:paraId="714A0573" w14:textId="77777777" w:rsidR="00E93F58" w:rsidRPr="006E709F" w:rsidRDefault="00E93F58" w:rsidP="00F011D7">
      <w:pPr>
        <w:pStyle w:val="paragraph"/>
      </w:pPr>
      <w:r w:rsidRPr="006E709F">
        <w:tab/>
        <w:t>(a)</w:t>
      </w:r>
      <w:r w:rsidRPr="006E709F">
        <w:tab/>
        <w:t>does not have to give the client a Product Disclosure Statement; and</w:t>
      </w:r>
    </w:p>
    <w:p w14:paraId="3FBFFD78" w14:textId="77777777" w:rsidR="00E93F58" w:rsidRPr="006E709F" w:rsidRDefault="00E93F58" w:rsidP="00F011D7">
      <w:pPr>
        <w:pStyle w:val="paragraph"/>
      </w:pPr>
      <w:r w:rsidRPr="006E709F">
        <w:tab/>
        <w:t>(b)</w:t>
      </w:r>
      <w:r w:rsidRPr="006E709F">
        <w:tab/>
        <w:t xml:space="preserve">must inform the client that the client should consider each statement about the Australian carbon credit unit that is mentioned in section 162 of the </w:t>
      </w:r>
      <w:r w:rsidRPr="006E709F">
        <w:rPr>
          <w:i/>
        </w:rPr>
        <w:t>Carbon Credits (Carbon Farming Initiative) Act 2011</w:t>
      </w:r>
      <w:r w:rsidRPr="006E709F">
        <w:t>.</w:t>
      </w:r>
    </w:p>
    <w:p w14:paraId="436BC5A0" w14:textId="77777777" w:rsidR="00E93F58" w:rsidRPr="006E709F" w:rsidRDefault="00E93F58" w:rsidP="00F011D7">
      <w:pPr>
        <w:pStyle w:val="SubsectionHead"/>
      </w:pPr>
      <w:r w:rsidRPr="006E709F">
        <w:t>Recommendation, issue or sale situation for Australian carbon credit unit—client has considered statements on Clean Energy Regulator’s website</w:t>
      </w:r>
    </w:p>
    <w:p w14:paraId="18896D95" w14:textId="77777777" w:rsidR="00E93F58" w:rsidRPr="006E709F" w:rsidRDefault="00E93F58" w:rsidP="00F011D7">
      <w:pPr>
        <w:pStyle w:val="subsection"/>
      </w:pPr>
      <w:r w:rsidRPr="006E709F">
        <w:tab/>
        <w:t>(3B)</w:t>
      </w:r>
      <w:r w:rsidRPr="006E709F">
        <w:tab/>
        <w:t xml:space="preserve">In a recommendation situation, issue situation or sale situation for an Australian carbon credit unit, the regulated person does not have to inform the client as described in paragraph (3A)(b) if the regulated person believes, on reasonable grounds, that the client has already considered each statement about the Australian carbon credit unit that is published on the website of the Clean Energy Regulator as mentioned in section 162 of the </w:t>
      </w:r>
      <w:r w:rsidRPr="006E709F">
        <w:rPr>
          <w:i/>
        </w:rPr>
        <w:t>Carbon Credits (Carbon Farming Initiative) Act 2011</w:t>
      </w:r>
      <w:r w:rsidRPr="006E709F">
        <w:t>.</w:t>
      </w:r>
    </w:p>
    <w:p w14:paraId="6B3DBA87" w14:textId="77777777" w:rsidR="00E93F58" w:rsidRPr="006E709F" w:rsidRDefault="00E93F58" w:rsidP="00F011D7">
      <w:pPr>
        <w:pStyle w:val="SubsectionHead"/>
        <w:rPr>
          <w:iCs/>
          <w:szCs w:val="22"/>
        </w:rPr>
      </w:pPr>
      <w:r w:rsidRPr="006E709F">
        <w:t>Recommendation, issue or sale situation for Australian carbon credit unit—specified persons</w:t>
      </w:r>
    </w:p>
    <w:p w14:paraId="3A29BF3C" w14:textId="77777777" w:rsidR="00E93F58" w:rsidRPr="006E709F" w:rsidRDefault="00E93F58" w:rsidP="00F011D7">
      <w:pPr>
        <w:pStyle w:val="subsection"/>
      </w:pPr>
      <w:r w:rsidRPr="006E709F">
        <w:tab/>
        <w:t>(3C)</w:t>
      </w:r>
      <w:r w:rsidRPr="006E709F">
        <w:tab/>
        <w:t>In a recommendation situation, issue situation or sale situation for an Australian carbon credit unit, the regulated person does not have to inform the client as described in paragraph (3A)(b) if the person is:</w:t>
      </w:r>
    </w:p>
    <w:p w14:paraId="6E9A33BD" w14:textId="77777777" w:rsidR="00E93F58" w:rsidRPr="006E709F" w:rsidRDefault="00E93F58" w:rsidP="00F011D7">
      <w:pPr>
        <w:pStyle w:val="paragraph"/>
      </w:pPr>
      <w:r w:rsidRPr="006E709F">
        <w:tab/>
        <w:t>(a)</w:t>
      </w:r>
      <w:r w:rsidRPr="006E709F">
        <w:tab/>
        <w:t>the Clean Energy Regulator; or</w:t>
      </w:r>
    </w:p>
    <w:p w14:paraId="2CBFDCC9" w14:textId="77777777" w:rsidR="00E93F58" w:rsidRPr="006E709F" w:rsidRDefault="00E93F58" w:rsidP="00F011D7">
      <w:pPr>
        <w:pStyle w:val="paragraph"/>
      </w:pPr>
      <w:r w:rsidRPr="006E709F">
        <w:tab/>
        <w:t>(b)</w:t>
      </w:r>
      <w:r w:rsidRPr="006E709F">
        <w:tab/>
        <w:t>the Clean Development Mechanism Executive Board; or</w:t>
      </w:r>
    </w:p>
    <w:p w14:paraId="5785E010" w14:textId="77777777" w:rsidR="00E93F58" w:rsidRPr="006E709F" w:rsidRDefault="00E93F58" w:rsidP="00F011D7">
      <w:pPr>
        <w:pStyle w:val="paragraph"/>
      </w:pPr>
      <w:r w:rsidRPr="006E709F">
        <w:tab/>
        <w:t>(c)</w:t>
      </w:r>
      <w:r w:rsidRPr="006E709F">
        <w:tab/>
        <w:t>the government of a country other than Australia; or</w:t>
      </w:r>
    </w:p>
    <w:p w14:paraId="45F1A5DF" w14:textId="77777777" w:rsidR="00E93F58" w:rsidRPr="006E709F" w:rsidRDefault="00E93F58" w:rsidP="00F011D7">
      <w:pPr>
        <w:pStyle w:val="paragraph"/>
      </w:pPr>
      <w:r w:rsidRPr="006E709F">
        <w:tab/>
        <w:t>(d)</w:t>
      </w:r>
      <w:r w:rsidRPr="006E709F">
        <w:tab/>
        <w:t>an authority acting on behalf of the government of a country other than Australia.</w:t>
      </w:r>
    </w:p>
    <w:p w14:paraId="6275309B" w14:textId="77777777" w:rsidR="00E93F58" w:rsidRPr="006E709F" w:rsidRDefault="00E93F58" w:rsidP="00F011D7">
      <w:pPr>
        <w:pStyle w:val="SubsectionHead"/>
        <w:rPr>
          <w:iCs/>
          <w:szCs w:val="22"/>
        </w:rPr>
      </w:pPr>
      <w:r w:rsidRPr="006E709F">
        <w:lastRenderedPageBreak/>
        <w:t>Recommendation, issue or sale situation for eligible international emissions unit—statements on Clean Energy Regulator’s website</w:t>
      </w:r>
    </w:p>
    <w:p w14:paraId="44D686EC" w14:textId="77777777" w:rsidR="00E93F58" w:rsidRPr="006E709F" w:rsidRDefault="00E93F58" w:rsidP="00F011D7">
      <w:pPr>
        <w:pStyle w:val="subsection"/>
        <w:keepNext/>
      </w:pPr>
      <w:r w:rsidRPr="006E709F">
        <w:tab/>
        <w:t>(3D)</w:t>
      </w:r>
      <w:r w:rsidRPr="006E709F">
        <w:tab/>
        <w:t>Subject to subsections (3E) and (3F), in a recommendation situation, issue situation or sale situation for an eligible international emissions unit, the regulated person:</w:t>
      </w:r>
    </w:p>
    <w:p w14:paraId="7502D2B0" w14:textId="77777777" w:rsidR="00E93F58" w:rsidRPr="006E709F" w:rsidRDefault="00E93F58" w:rsidP="00F011D7">
      <w:pPr>
        <w:pStyle w:val="paragraph"/>
      </w:pPr>
      <w:r w:rsidRPr="006E709F">
        <w:tab/>
        <w:t>(a)</w:t>
      </w:r>
      <w:r w:rsidRPr="006E709F">
        <w:tab/>
        <w:t>does not have to give the client a Product Disclosure Statement; and</w:t>
      </w:r>
    </w:p>
    <w:p w14:paraId="0859AAAB" w14:textId="77777777" w:rsidR="00E93F58" w:rsidRPr="006E709F" w:rsidRDefault="00E93F58" w:rsidP="00F011D7">
      <w:pPr>
        <w:pStyle w:val="paragraph"/>
      </w:pPr>
      <w:r w:rsidRPr="006E709F">
        <w:tab/>
        <w:t>(b)</w:t>
      </w:r>
      <w:r w:rsidRPr="006E709F">
        <w:tab/>
        <w:t xml:space="preserve">must inform the client that the client should consider each statement about the eligible international emissions unit that is mentioned in section 61 of the </w:t>
      </w:r>
      <w:r w:rsidRPr="006E709F">
        <w:rPr>
          <w:i/>
        </w:rPr>
        <w:t>Australian National Registry of Emissions Units Act 2011</w:t>
      </w:r>
      <w:r w:rsidRPr="006E709F">
        <w:t>.</w:t>
      </w:r>
    </w:p>
    <w:p w14:paraId="72F517FE" w14:textId="77777777" w:rsidR="00E93F58" w:rsidRPr="006E709F" w:rsidRDefault="00E93F58" w:rsidP="00F011D7">
      <w:pPr>
        <w:pStyle w:val="SubsectionHead"/>
      </w:pPr>
      <w:r w:rsidRPr="006E709F">
        <w:t>Recommendation, issue or sale situation for eligible international emissions unit—client has considered statements on Clean Energy Regulator’s website</w:t>
      </w:r>
    </w:p>
    <w:p w14:paraId="3FA65C1E" w14:textId="77777777" w:rsidR="00E93F58" w:rsidRPr="006E709F" w:rsidRDefault="00E93F58" w:rsidP="00F011D7">
      <w:pPr>
        <w:pStyle w:val="subsection"/>
      </w:pPr>
      <w:r w:rsidRPr="006E709F">
        <w:tab/>
        <w:t>(3E)</w:t>
      </w:r>
      <w:r w:rsidRPr="006E709F">
        <w:tab/>
        <w:t xml:space="preserve">In a recommendation situation, issue situation or sale situation for an eligible international emissions unit, the regulated person does not have to inform the client as described in paragraph (3D)(b) if the regulated person believes, on reasonable grounds, that the client has already considered each statement about the eligible international emissions unit that is published on the website of the Clean Energy Regulator as mentioned in section 61 of the </w:t>
      </w:r>
      <w:r w:rsidRPr="006E709F">
        <w:rPr>
          <w:i/>
        </w:rPr>
        <w:t>Australian National Registry of Emissions Units Act 2011</w:t>
      </w:r>
      <w:r w:rsidRPr="006E709F">
        <w:t>.</w:t>
      </w:r>
    </w:p>
    <w:p w14:paraId="6C28B3A7" w14:textId="77777777" w:rsidR="00E93F58" w:rsidRPr="006E709F" w:rsidRDefault="00E93F58" w:rsidP="00F011D7">
      <w:pPr>
        <w:pStyle w:val="SubsectionHead"/>
        <w:rPr>
          <w:iCs/>
          <w:szCs w:val="22"/>
        </w:rPr>
      </w:pPr>
      <w:r w:rsidRPr="006E709F">
        <w:t>Recommendation, issue or sale situation for eligible international emissions unit—specified persons</w:t>
      </w:r>
    </w:p>
    <w:p w14:paraId="7080F5D1" w14:textId="77777777" w:rsidR="00E93F58" w:rsidRPr="006E709F" w:rsidRDefault="00E93F58" w:rsidP="00F011D7">
      <w:pPr>
        <w:pStyle w:val="subsection"/>
      </w:pPr>
      <w:r w:rsidRPr="006E709F">
        <w:tab/>
        <w:t>(3F)</w:t>
      </w:r>
      <w:r w:rsidRPr="006E709F">
        <w:tab/>
        <w:t>In a recommendation situation, issue situation or sale situation for an eligible international emissions unit, the regulated person does not have to inform the client as described in paragraph (3D)(b) if the person is:</w:t>
      </w:r>
    </w:p>
    <w:p w14:paraId="1E633F59" w14:textId="77777777" w:rsidR="00E93F58" w:rsidRPr="006E709F" w:rsidRDefault="00E93F58" w:rsidP="00F011D7">
      <w:pPr>
        <w:pStyle w:val="paragraph"/>
      </w:pPr>
      <w:r w:rsidRPr="006E709F">
        <w:tab/>
        <w:t>(a)</w:t>
      </w:r>
      <w:r w:rsidRPr="006E709F">
        <w:tab/>
        <w:t>the Clean Energy Regulator; or</w:t>
      </w:r>
    </w:p>
    <w:p w14:paraId="60820CE0" w14:textId="77777777" w:rsidR="00E93F58" w:rsidRPr="006E709F" w:rsidRDefault="00E93F58" w:rsidP="00F011D7">
      <w:pPr>
        <w:pStyle w:val="paragraph"/>
      </w:pPr>
      <w:r w:rsidRPr="006E709F">
        <w:tab/>
        <w:t>(b)</w:t>
      </w:r>
      <w:r w:rsidRPr="006E709F">
        <w:tab/>
        <w:t>the Clean Development Mechanism Executive Board; or</w:t>
      </w:r>
    </w:p>
    <w:p w14:paraId="7834DB84" w14:textId="77777777" w:rsidR="00E93F58" w:rsidRPr="006E709F" w:rsidRDefault="00E93F58" w:rsidP="00F011D7">
      <w:pPr>
        <w:pStyle w:val="paragraph"/>
      </w:pPr>
      <w:r w:rsidRPr="006E709F">
        <w:tab/>
        <w:t>(c)</w:t>
      </w:r>
      <w:r w:rsidRPr="006E709F">
        <w:tab/>
        <w:t>the government of a country other than Australia; or</w:t>
      </w:r>
    </w:p>
    <w:p w14:paraId="1ED6579B" w14:textId="77777777" w:rsidR="00E93F58" w:rsidRPr="006E709F" w:rsidRDefault="00E93F58" w:rsidP="00F011D7">
      <w:pPr>
        <w:pStyle w:val="paragraph"/>
      </w:pPr>
      <w:r w:rsidRPr="006E709F">
        <w:tab/>
        <w:t>(d)</w:t>
      </w:r>
      <w:r w:rsidRPr="006E709F">
        <w:tab/>
        <w:t>an authority acting on behalf of the government of a country other than Australia.</w:t>
      </w:r>
    </w:p>
    <w:p w14:paraId="1FEBAA81" w14:textId="77777777" w:rsidR="00E93F58" w:rsidRPr="006E709F" w:rsidRDefault="00E93F58" w:rsidP="003C672B">
      <w:pPr>
        <w:pStyle w:val="ItemHead"/>
      </w:pPr>
      <w:r w:rsidRPr="006E709F">
        <w:t>19.2  Subsection 1012D(5)</w:t>
      </w:r>
    </w:p>
    <w:p w14:paraId="2EF8DE7F" w14:textId="77777777" w:rsidR="00E93F58" w:rsidRPr="006E709F" w:rsidRDefault="00E93F58" w:rsidP="00A801D0">
      <w:pPr>
        <w:pStyle w:val="Item"/>
        <w:rPr>
          <w:i/>
        </w:rPr>
      </w:pPr>
      <w:r w:rsidRPr="006E709F">
        <w:rPr>
          <w:i/>
        </w:rPr>
        <w:t>omit</w:t>
      </w:r>
    </w:p>
    <w:p w14:paraId="1C7C7A7E" w14:textId="77777777" w:rsidR="00E93F58" w:rsidRPr="006E709F" w:rsidRDefault="00E93F58" w:rsidP="00A801D0">
      <w:pPr>
        <w:pStyle w:val="Item"/>
      </w:pPr>
      <w:r w:rsidRPr="006E709F">
        <w:t>give the client a Product Disclosure Statement</w:t>
      </w:r>
    </w:p>
    <w:p w14:paraId="6E73EAC5" w14:textId="77777777" w:rsidR="00E93F58" w:rsidRPr="006E709F" w:rsidRDefault="00E93F58" w:rsidP="00A801D0">
      <w:pPr>
        <w:pStyle w:val="Item"/>
        <w:rPr>
          <w:i/>
        </w:rPr>
      </w:pPr>
      <w:r w:rsidRPr="006E709F">
        <w:rPr>
          <w:i/>
        </w:rPr>
        <w:t>insert</w:t>
      </w:r>
    </w:p>
    <w:p w14:paraId="70026DD7" w14:textId="77777777" w:rsidR="00E93F58" w:rsidRPr="006E709F" w:rsidRDefault="00E93F58" w:rsidP="00A801D0">
      <w:pPr>
        <w:pStyle w:val="Item"/>
      </w:pPr>
      <w:r w:rsidRPr="006E709F">
        <w:t>inform the client as described in paragraph (1)(b), (3A)(b) or (3D)(b)</w:t>
      </w:r>
    </w:p>
    <w:p w14:paraId="283CCF10" w14:textId="77777777" w:rsidR="00E93F58" w:rsidRPr="006E709F" w:rsidRDefault="00E93F58" w:rsidP="003C672B">
      <w:pPr>
        <w:pStyle w:val="ItemHead"/>
      </w:pPr>
      <w:r w:rsidRPr="006E709F">
        <w:t>19.3  Subsection 1012D(6)</w:t>
      </w:r>
    </w:p>
    <w:p w14:paraId="3FE05953" w14:textId="77777777" w:rsidR="00E93F58" w:rsidRPr="006E709F" w:rsidRDefault="00E93F58" w:rsidP="00A801D0">
      <w:pPr>
        <w:pStyle w:val="Item"/>
        <w:rPr>
          <w:i/>
        </w:rPr>
      </w:pPr>
      <w:r w:rsidRPr="006E709F">
        <w:rPr>
          <w:i/>
        </w:rPr>
        <w:t>omit</w:t>
      </w:r>
    </w:p>
    <w:p w14:paraId="1CCFAE0E" w14:textId="77777777" w:rsidR="00E93F58" w:rsidRPr="006E709F" w:rsidRDefault="00E93F58" w:rsidP="00A801D0">
      <w:pPr>
        <w:pStyle w:val="Item"/>
      </w:pPr>
      <w:r w:rsidRPr="006E709F">
        <w:t>give the client a Product Disclosure Statement</w:t>
      </w:r>
    </w:p>
    <w:p w14:paraId="66550DF3" w14:textId="77777777" w:rsidR="00E93F58" w:rsidRPr="006E709F" w:rsidRDefault="00E93F58" w:rsidP="00A801D0">
      <w:pPr>
        <w:pStyle w:val="Item"/>
        <w:rPr>
          <w:i/>
        </w:rPr>
      </w:pPr>
      <w:r w:rsidRPr="006E709F">
        <w:rPr>
          <w:i/>
        </w:rPr>
        <w:t>insert</w:t>
      </w:r>
    </w:p>
    <w:p w14:paraId="68050C53" w14:textId="77777777" w:rsidR="00E93F58" w:rsidRPr="006E709F" w:rsidRDefault="00E93F58" w:rsidP="00A801D0">
      <w:pPr>
        <w:pStyle w:val="Item"/>
      </w:pPr>
      <w:r w:rsidRPr="006E709F">
        <w:t>inform the client as described in paragraph (1)(b), (3A)(b) or (3D)(b)</w:t>
      </w:r>
    </w:p>
    <w:p w14:paraId="24B6BF52" w14:textId="77777777" w:rsidR="00E93F58" w:rsidRPr="006E709F" w:rsidRDefault="00E93F58" w:rsidP="003C672B">
      <w:pPr>
        <w:pStyle w:val="ItemHead"/>
      </w:pPr>
      <w:r w:rsidRPr="006E709F">
        <w:t>19.4  Subsections 1012D(7) to (10), including the subheading</w:t>
      </w:r>
    </w:p>
    <w:p w14:paraId="11D6673C" w14:textId="77777777" w:rsidR="00E93F58" w:rsidRPr="006E709F" w:rsidRDefault="00E93F58" w:rsidP="00A801D0">
      <w:pPr>
        <w:pStyle w:val="Item"/>
        <w:rPr>
          <w:i/>
        </w:rPr>
      </w:pPr>
      <w:r w:rsidRPr="006E709F">
        <w:rPr>
          <w:i/>
        </w:rPr>
        <w:t>omit</w:t>
      </w:r>
    </w:p>
    <w:p w14:paraId="69433658" w14:textId="77777777" w:rsidR="00E93F58" w:rsidRPr="006E709F" w:rsidRDefault="00E93F58" w:rsidP="003C672B">
      <w:pPr>
        <w:pStyle w:val="ItemHead"/>
      </w:pPr>
      <w:r w:rsidRPr="006E709F">
        <w:t xml:space="preserve">19.5  Subsection 1012IA(1), definition of </w:t>
      </w:r>
      <w:r w:rsidRPr="006E709F">
        <w:rPr>
          <w:i/>
        </w:rPr>
        <w:t>regulated acquisition</w:t>
      </w:r>
    </w:p>
    <w:p w14:paraId="5288CE18" w14:textId="77777777" w:rsidR="00E93F58" w:rsidRPr="006E709F" w:rsidRDefault="00E93F58" w:rsidP="00A801D0">
      <w:pPr>
        <w:pStyle w:val="Item"/>
        <w:rPr>
          <w:i/>
        </w:rPr>
      </w:pPr>
      <w:r w:rsidRPr="006E709F">
        <w:rPr>
          <w:i/>
        </w:rPr>
        <w:t>substitute</w:t>
      </w:r>
    </w:p>
    <w:p w14:paraId="65575FC9" w14:textId="77777777" w:rsidR="00E93F58" w:rsidRPr="006E709F" w:rsidRDefault="00E93F58" w:rsidP="00F011D7">
      <w:pPr>
        <w:pStyle w:val="Definition"/>
      </w:pPr>
      <w:r w:rsidRPr="006E709F">
        <w:rPr>
          <w:b/>
          <w:i/>
        </w:rPr>
        <w:t xml:space="preserve">regulated acquisition </w:t>
      </w:r>
      <w:r w:rsidRPr="006E709F">
        <w:t>means an acquisition of a financial product pursuant to an instruction by the client under a custodial arrangement, being an acquisition:</w:t>
      </w:r>
    </w:p>
    <w:p w14:paraId="64027F87" w14:textId="77777777" w:rsidR="00E93F58" w:rsidRPr="006E709F" w:rsidRDefault="00E93F58" w:rsidP="00F011D7">
      <w:pPr>
        <w:pStyle w:val="paragraph"/>
      </w:pPr>
      <w:r w:rsidRPr="006E709F">
        <w:tab/>
        <w:t>(a)</w:t>
      </w:r>
      <w:r w:rsidRPr="006E709F">
        <w:tab/>
        <w:t xml:space="preserve">by way of issue by the issuer (the </w:t>
      </w:r>
      <w:r w:rsidRPr="006E709F">
        <w:rPr>
          <w:b/>
          <w:i/>
        </w:rPr>
        <w:t>regulated person</w:t>
      </w:r>
      <w:r w:rsidRPr="006E709F">
        <w:t>); or</w:t>
      </w:r>
    </w:p>
    <w:p w14:paraId="4EE35242" w14:textId="77777777" w:rsidR="00E93F58" w:rsidRPr="006E709F" w:rsidRDefault="00E93F58" w:rsidP="00F011D7">
      <w:pPr>
        <w:pStyle w:val="paragraph"/>
      </w:pPr>
      <w:r w:rsidRPr="006E709F">
        <w:tab/>
        <w:t>(b)</w:t>
      </w:r>
      <w:r w:rsidRPr="006E709F">
        <w:tab/>
        <w:t xml:space="preserve">pursuant to a sale by a person (the </w:t>
      </w:r>
      <w:r w:rsidRPr="006E709F">
        <w:rPr>
          <w:b/>
          <w:i/>
        </w:rPr>
        <w:t>regulated person</w:t>
      </w:r>
      <w:r w:rsidRPr="006E709F">
        <w:t>) in circumstances:</w:t>
      </w:r>
    </w:p>
    <w:p w14:paraId="01D77D41" w14:textId="77777777" w:rsidR="00E93F58" w:rsidRPr="006E709F" w:rsidRDefault="00E93F58" w:rsidP="00F011D7">
      <w:pPr>
        <w:pStyle w:val="paragraphsub"/>
      </w:pPr>
      <w:r w:rsidRPr="006E709F">
        <w:tab/>
        <w:t>(i)</w:t>
      </w:r>
      <w:r w:rsidRPr="006E709F">
        <w:tab/>
        <w:t>described in subsection 1012C(5) or (8); or</w:t>
      </w:r>
    </w:p>
    <w:p w14:paraId="42ECE0D5" w14:textId="77777777" w:rsidR="00E93F58" w:rsidRPr="006E709F" w:rsidRDefault="00E93F58" w:rsidP="00F011D7">
      <w:pPr>
        <w:pStyle w:val="paragraphsub"/>
      </w:pPr>
      <w:r w:rsidRPr="006E709F">
        <w:tab/>
        <w:t>(ii)</w:t>
      </w:r>
      <w:r w:rsidRPr="006E709F">
        <w:tab/>
        <w:t>to which subsection 1012B(3), 1012C(3) or 1012C(6) would apply if those subsections were applicable in relation to a carbon unit, an Australian carbon credit unit or an eligible international emissions unit.</w:t>
      </w:r>
    </w:p>
    <w:p w14:paraId="147A2A65" w14:textId="77777777" w:rsidR="00E93F58" w:rsidRPr="006E709F" w:rsidRDefault="00E93F58" w:rsidP="003C672B">
      <w:pPr>
        <w:pStyle w:val="ItemHead"/>
      </w:pPr>
      <w:r w:rsidRPr="006E709F">
        <w:t>19.6  Subsection 1012IA(2), subheading</w:t>
      </w:r>
    </w:p>
    <w:p w14:paraId="2DB91519" w14:textId="77777777" w:rsidR="00E93F58" w:rsidRPr="006E709F" w:rsidRDefault="00E93F58" w:rsidP="00A801D0">
      <w:pPr>
        <w:pStyle w:val="Item"/>
        <w:rPr>
          <w:i/>
        </w:rPr>
      </w:pPr>
      <w:r w:rsidRPr="006E709F">
        <w:rPr>
          <w:i/>
        </w:rPr>
        <w:t>substitute</w:t>
      </w:r>
    </w:p>
    <w:p w14:paraId="306B2099" w14:textId="77777777" w:rsidR="00E93F58" w:rsidRPr="006E709F" w:rsidRDefault="00E93F58" w:rsidP="00F011D7">
      <w:pPr>
        <w:pStyle w:val="SubsectionHead"/>
      </w:pPr>
      <w:r w:rsidRPr="006E709F">
        <w:lastRenderedPageBreak/>
        <w:t>Obligation on provider to inform client about statements on Clean Energy Regulator’s website</w:t>
      </w:r>
    </w:p>
    <w:p w14:paraId="18CE501F" w14:textId="77777777" w:rsidR="00E93F58" w:rsidRPr="006E709F" w:rsidRDefault="00E93F58" w:rsidP="003C672B">
      <w:pPr>
        <w:pStyle w:val="ItemHead"/>
      </w:pPr>
      <w:r w:rsidRPr="006E709F">
        <w:t>19.7  Subsection 1012IA(2)</w:t>
      </w:r>
    </w:p>
    <w:p w14:paraId="3DE47421" w14:textId="77777777" w:rsidR="00E93F58" w:rsidRPr="006E709F" w:rsidRDefault="00E93F58" w:rsidP="00A801D0">
      <w:pPr>
        <w:pStyle w:val="Item"/>
        <w:rPr>
          <w:i/>
        </w:rPr>
      </w:pPr>
      <w:r w:rsidRPr="006E709F">
        <w:rPr>
          <w:i/>
        </w:rPr>
        <w:t>omit</w:t>
      </w:r>
    </w:p>
    <w:p w14:paraId="0047D8AE" w14:textId="77777777" w:rsidR="00E93F58" w:rsidRPr="006E709F" w:rsidRDefault="00E93F58" w:rsidP="00A801D0">
      <w:pPr>
        <w:pStyle w:val="Item"/>
      </w:pPr>
      <w:r w:rsidRPr="006E709F">
        <w:t>must give the client a Product Disclosure Statement for the product if a Product Disclosure Statement for the product would</w:t>
      </w:r>
    </w:p>
    <w:p w14:paraId="5F5031A6" w14:textId="77777777" w:rsidR="00E93F58" w:rsidRPr="006E709F" w:rsidRDefault="00E93F58" w:rsidP="00A801D0">
      <w:pPr>
        <w:pStyle w:val="Item"/>
        <w:rPr>
          <w:i/>
        </w:rPr>
      </w:pPr>
      <w:r w:rsidRPr="006E709F">
        <w:rPr>
          <w:i/>
        </w:rPr>
        <w:t>insert</w:t>
      </w:r>
    </w:p>
    <w:p w14:paraId="228D8E1E" w14:textId="77777777" w:rsidR="00E93F58" w:rsidRPr="006E709F" w:rsidRDefault="00E93F58" w:rsidP="00A53AD1">
      <w:pPr>
        <w:pStyle w:val="Item"/>
        <w:keepLines w:val="0"/>
      </w:pPr>
      <w:r w:rsidRPr="006E709F">
        <w:t xml:space="preserve">must inform the client that the client should consider each statement about the carbon unit that is published on the website of the Clean Energy Regulator as mentioned in section 202 of the </w:t>
      </w:r>
      <w:r w:rsidRPr="006E709F">
        <w:rPr>
          <w:i/>
        </w:rPr>
        <w:t>Clean Energy Act 2011</w:t>
      </w:r>
      <w:r w:rsidRPr="006E709F">
        <w:t xml:space="preserve">, or each statement about the Australian carbon credit unit that is published on the website of the Clean Energy Regulator as mentioned in section 162 of the </w:t>
      </w:r>
      <w:r w:rsidRPr="006E709F">
        <w:rPr>
          <w:i/>
        </w:rPr>
        <w:t>Carbon Credits (Carbon Farming Initiative) Act 2011</w:t>
      </w:r>
      <w:r w:rsidRPr="006E709F">
        <w:t xml:space="preserve">, or each statement about the eligible international emissions unit that is published on the website of the Clean Energy Regulator as mentioned in section 61 of the </w:t>
      </w:r>
      <w:r w:rsidRPr="006E709F">
        <w:rPr>
          <w:i/>
        </w:rPr>
        <w:t>Australian National Registry of Emissions Units Act 2011</w:t>
      </w:r>
      <w:r w:rsidRPr="006E709F">
        <w:t>, if the statement would</w:t>
      </w:r>
    </w:p>
    <w:p w14:paraId="2B91CA79" w14:textId="77777777" w:rsidR="00E93F58" w:rsidRPr="006E709F" w:rsidRDefault="00E93F58" w:rsidP="003C672B">
      <w:pPr>
        <w:pStyle w:val="ItemHead"/>
      </w:pPr>
      <w:r w:rsidRPr="006E709F">
        <w:t>19.8  Subsection 1012IA(3), subheading</w:t>
      </w:r>
    </w:p>
    <w:p w14:paraId="131158EE" w14:textId="77777777" w:rsidR="00E93F58" w:rsidRPr="006E709F" w:rsidRDefault="00E93F58" w:rsidP="00A801D0">
      <w:pPr>
        <w:pStyle w:val="Item"/>
        <w:rPr>
          <w:i/>
        </w:rPr>
      </w:pPr>
      <w:r w:rsidRPr="006E709F">
        <w:rPr>
          <w:i/>
        </w:rPr>
        <w:t>substitute</w:t>
      </w:r>
    </w:p>
    <w:p w14:paraId="1B8D5531" w14:textId="77777777" w:rsidR="00E93F58" w:rsidRPr="006E709F" w:rsidRDefault="00E93F58" w:rsidP="00F011D7">
      <w:pPr>
        <w:pStyle w:val="SubsectionHead"/>
        <w:keepNext w:val="0"/>
      </w:pPr>
      <w:r w:rsidRPr="006E709F">
        <w:t>Determining whether client should be informed about statements on Clean Energy Regulator’s website for an equivalent direct acquisition</w:t>
      </w:r>
    </w:p>
    <w:p w14:paraId="1809EB28" w14:textId="77777777" w:rsidR="00E93F58" w:rsidRPr="006E709F" w:rsidRDefault="00E93F58" w:rsidP="003C672B">
      <w:pPr>
        <w:pStyle w:val="ItemHead"/>
      </w:pPr>
      <w:r w:rsidRPr="006E709F">
        <w:t>19.9  Subsection 1012IA(3)</w:t>
      </w:r>
    </w:p>
    <w:p w14:paraId="4F8F1367" w14:textId="77777777" w:rsidR="00E93F58" w:rsidRPr="006E709F" w:rsidRDefault="00E93F58" w:rsidP="00A801D0">
      <w:pPr>
        <w:pStyle w:val="Item"/>
        <w:rPr>
          <w:i/>
        </w:rPr>
      </w:pPr>
      <w:r w:rsidRPr="006E709F">
        <w:rPr>
          <w:i/>
        </w:rPr>
        <w:t>omit</w:t>
      </w:r>
    </w:p>
    <w:p w14:paraId="3EE84743" w14:textId="77777777" w:rsidR="00E93F58" w:rsidRPr="006E709F" w:rsidRDefault="00E93F58" w:rsidP="00A801D0">
      <w:pPr>
        <w:pStyle w:val="Item"/>
      </w:pPr>
      <w:r w:rsidRPr="006E709F">
        <w:t>give the client a Product Disclosure Statement for the financial product</w:t>
      </w:r>
    </w:p>
    <w:p w14:paraId="70029DF1" w14:textId="77777777" w:rsidR="00E93F58" w:rsidRPr="006E709F" w:rsidRDefault="00E93F58" w:rsidP="00A801D0">
      <w:pPr>
        <w:pStyle w:val="Item"/>
        <w:rPr>
          <w:i/>
        </w:rPr>
      </w:pPr>
      <w:r w:rsidRPr="006E709F">
        <w:rPr>
          <w:i/>
        </w:rPr>
        <w:t>insert</w:t>
      </w:r>
    </w:p>
    <w:p w14:paraId="2F722721" w14:textId="77777777" w:rsidR="00E93F58" w:rsidRPr="006E709F" w:rsidRDefault="00E93F58" w:rsidP="00A801D0">
      <w:pPr>
        <w:pStyle w:val="Item"/>
      </w:pPr>
      <w:r w:rsidRPr="006E709F">
        <w:t xml:space="preserve">inform the client that the client should consider each statement about the carbon unit that is published on the website of the Clean Energy Regulator as mentioned in section 202 of the </w:t>
      </w:r>
      <w:r w:rsidRPr="006E709F">
        <w:rPr>
          <w:i/>
        </w:rPr>
        <w:t>Clean Energy Act 2011</w:t>
      </w:r>
      <w:r w:rsidRPr="006E709F">
        <w:t xml:space="preserve">, or each statement about the Australian carbon credit unit that is published on the website of the Clean Energy Regulator as mentioned in section 162 of the </w:t>
      </w:r>
      <w:r w:rsidRPr="006E709F">
        <w:rPr>
          <w:i/>
        </w:rPr>
        <w:t>Carbon Credits (Carbon Farming Initiative) Act 2011</w:t>
      </w:r>
      <w:r w:rsidRPr="006E709F">
        <w:t xml:space="preserve">, or each statement about the eligible international emissions unit that is published on the website of the Clean Energy Regulator as mentioned in section 61 of the </w:t>
      </w:r>
      <w:r w:rsidRPr="006E709F">
        <w:rPr>
          <w:i/>
        </w:rPr>
        <w:t>Australian National Registry of Emissions Units Act 2011</w:t>
      </w:r>
    </w:p>
    <w:p w14:paraId="4953EB23" w14:textId="77777777" w:rsidR="00E93F58" w:rsidRPr="006E709F" w:rsidRDefault="00E93F58" w:rsidP="003C672B">
      <w:pPr>
        <w:pStyle w:val="ItemHead"/>
      </w:pPr>
      <w:r w:rsidRPr="006E709F">
        <w:t>19.10  Paragraph 1017E(1)(b)</w:t>
      </w:r>
    </w:p>
    <w:p w14:paraId="337088DD" w14:textId="77777777" w:rsidR="00E93F58" w:rsidRPr="006E709F" w:rsidRDefault="00E93F58" w:rsidP="00A801D0">
      <w:pPr>
        <w:pStyle w:val="Item"/>
        <w:rPr>
          <w:i/>
        </w:rPr>
      </w:pPr>
      <w:r w:rsidRPr="006E709F">
        <w:rPr>
          <w:i/>
        </w:rPr>
        <w:t>substitute</w:t>
      </w:r>
    </w:p>
    <w:p w14:paraId="7F3F5661" w14:textId="77777777" w:rsidR="00E93F58" w:rsidRPr="006E709F" w:rsidRDefault="00E93F58" w:rsidP="00F011D7">
      <w:pPr>
        <w:pStyle w:val="paragraph"/>
      </w:pPr>
      <w:r w:rsidRPr="006E709F">
        <w:tab/>
        <w:t>(b)</w:t>
      </w:r>
      <w:r w:rsidRPr="006E709F">
        <w:tab/>
        <w:t xml:space="preserve">a seller (the </w:t>
      </w:r>
      <w:r w:rsidRPr="006E709F">
        <w:rPr>
          <w:b/>
          <w:i/>
        </w:rPr>
        <w:t>product provider</w:t>
      </w:r>
      <w:r w:rsidRPr="006E709F">
        <w:t xml:space="preserve">) of a carbon unit in relation to which the seller has informed the client that the client should consider each statement about the carbon unit that is published on the website of the Clean Energy Regulator as mentioned in section 202 of the </w:t>
      </w:r>
      <w:r w:rsidRPr="006E709F">
        <w:rPr>
          <w:i/>
        </w:rPr>
        <w:t>Clean Energy Act 2011</w:t>
      </w:r>
      <w:r w:rsidRPr="006E709F">
        <w:t>; or</w:t>
      </w:r>
    </w:p>
    <w:p w14:paraId="3BE1CE1C" w14:textId="77777777" w:rsidR="00E93F58" w:rsidRPr="006E709F" w:rsidRDefault="00E93F58" w:rsidP="00F011D7">
      <w:pPr>
        <w:pStyle w:val="paragraph"/>
      </w:pPr>
      <w:r w:rsidRPr="006E709F">
        <w:tab/>
        <w:t>(ba)</w:t>
      </w:r>
      <w:r w:rsidRPr="006E709F">
        <w:tab/>
        <w:t xml:space="preserve">a seller (the </w:t>
      </w:r>
      <w:r w:rsidRPr="006E709F">
        <w:rPr>
          <w:b/>
          <w:i/>
        </w:rPr>
        <w:t>product provider</w:t>
      </w:r>
      <w:r w:rsidRPr="006E709F">
        <w:t xml:space="preserve">) of an Australian carbon credit unit in relation to which the seller has informed the client that the client should consider each statement about the Australian carbon credit unit that is published on the website of the Clean Energy Regulator as mentioned in section 162 of the </w:t>
      </w:r>
      <w:r w:rsidRPr="006E709F">
        <w:rPr>
          <w:i/>
        </w:rPr>
        <w:t>Carbon Credits (Carbon Farming Initiative) Act 2011</w:t>
      </w:r>
      <w:r w:rsidRPr="006E709F">
        <w:t>; or</w:t>
      </w:r>
    </w:p>
    <w:p w14:paraId="60ACE036" w14:textId="77777777" w:rsidR="00E93F58" w:rsidRPr="006E709F" w:rsidRDefault="00E93F58" w:rsidP="00F011D7">
      <w:pPr>
        <w:pStyle w:val="paragraph"/>
      </w:pPr>
      <w:r w:rsidRPr="006E709F">
        <w:tab/>
        <w:t>(bb)</w:t>
      </w:r>
      <w:r w:rsidRPr="006E709F">
        <w:tab/>
        <w:t xml:space="preserve">a seller (the </w:t>
      </w:r>
      <w:r w:rsidRPr="006E709F">
        <w:rPr>
          <w:b/>
          <w:i/>
        </w:rPr>
        <w:t>product provider</w:t>
      </w:r>
      <w:r w:rsidRPr="006E709F">
        <w:t xml:space="preserve">) of an eligible international emissions unit in relation to which the seller has informed the client that the client should consider each statement about the eligible international emissions unit that is published on the website of the Clean Energy Regulator as mentioned in section 61 of the </w:t>
      </w:r>
      <w:r w:rsidRPr="006E709F">
        <w:rPr>
          <w:i/>
        </w:rPr>
        <w:t>Australian National Registry of Emissions Units Act 2011</w:t>
      </w:r>
      <w:r w:rsidRPr="006E709F">
        <w:t>;</w:t>
      </w:r>
    </w:p>
    <w:p w14:paraId="632261DD" w14:textId="77777777" w:rsidR="00E93F58" w:rsidRPr="006E709F" w:rsidRDefault="00E93F58" w:rsidP="003C672B">
      <w:pPr>
        <w:pStyle w:val="ItemHead"/>
      </w:pPr>
      <w:r w:rsidRPr="006E709F">
        <w:t>19.11  Subsection 1017G(1)</w:t>
      </w:r>
    </w:p>
    <w:p w14:paraId="39114ADB" w14:textId="77777777" w:rsidR="00E93F58" w:rsidRPr="006E709F" w:rsidRDefault="00E93F58" w:rsidP="00A801D0">
      <w:pPr>
        <w:pStyle w:val="Item"/>
        <w:rPr>
          <w:i/>
        </w:rPr>
      </w:pPr>
      <w:r w:rsidRPr="006E709F">
        <w:rPr>
          <w:i/>
        </w:rPr>
        <w:t>substitute</w:t>
      </w:r>
    </w:p>
    <w:p w14:paraId="677178CA" w14:textId="77777777" w:rsidR="00E93F58" w:rsidRPr="006E709F" w:rsidRDefault="00E93F58" w:rsidP="00F011D7">
      <w:pPr>
        <w:pStyle w:val="subsection"/>
      </w:pPr>
      <w:r w:rsidRPr="006E709F">
        <w:tab/>
        <w:t>(1)</w:t>
      </w:r>
      <w:r w:rsidRPr="006E709F">
        <w:tab/>
        <w:t>This section does not apply to:</w:t>
      </w:r>
    </w:p>
    <w:p w14:paraId="0733D74C" w14:textId="77777777" w:rsidR="00E93F58" w:rsidRPr="006E709F" w:rsidRDefault="00E93F58" w:rsidP="00D57CE3">
      <w:pPr>
        <w:pStyle w:val="paragraph"/>
      </w:pPr>
      <w:r w:rsidRPr="006E709F">
        <w:tab/>
        <w:t>(a)</w:t>
      </w:r>
      <w:r w:rsidRPr="006E709F">
        <w:tab/>
        <w:t>the Regulator; or</w:t>
      </w:r>
    </w:p>
    <w:p w14:paraId="6AD72006" w14:textId="77777777" w:rsidR="00E93F58" w:rsidRPr="006E709F" w:rsidRDefault="00E93F58" w:rsidP="00D57CE3">
      <w:pPr>
        <w:pStyle w:val="paragraph"/>
      </w:pPr>
      <w:r w:rsidRPr="006E709F">
        <w:tab/>
        <w:t>(b)</w:t>
      </w:r>
      <w:r w:rsidRPr="006E709F">
        <w:tab/>
        <w:t>the CDM Executive Board; or</w:t>
      </w:r>
    </w:p>
    <w:p w14:paraId="59F486D5" w14:textId="77777777" w:rsidR="00E93F58" w:rsidRPr="006E709F" w:rsidRDefault="00E93F58" w:rsidP="00D57CE3">
      <w:pPr>
        <w:pStyle w:val="paragraph"/>
      </w:pPr>
      <w:r w:rsidRPr="006E709F">
        <w:tab/>
        <w:t>(c)</w:t>
      </w:r>
      <w:r w:rsidRPr="006E709F">
        <w:tab/>
        <w:t>the government of a country other than Australia; or</w:t>
      </w:r>
    </w:p>
    <w:p w14:paraId="14E56E93" w14:textId="77777777" w:rsidR="00E93F58" w:rsidRPr="006E709F" w:rsidRDefault="00E93F58" w:rsidP="00D57CE3">
      <w:pPr>
        <w:pStyle w:val="paragraph"/>
        <w:rPr>
          <w:szCs w:val="22"/>
        </w:rPr>
      </w:pPr>
      <w:r w:rsidRPr="006E709F">
        <w:tab/>
        <w:t>(d)</w:t>
      </w:r>
      <w:r w:rsidRPr="006E709F">
        <w:tab/>
      </w:r>
      <w:r w:rsidRPr="006E709F">
        <w:rPr>
          <w:szCs w:val="22"/>
        </w:rPr>
        <w:t>an authority acting on behalf of the government of a country other than Australia.</w:t>
      </w:r>
    </w:p>
    <w:p w14:paraId="40CFC509" w14:textId="77777777" w:rsidR="00E93F58" w:rsidRPr="006E709F" w:rsidRDefault="00E93F58" w:rsidP="00F011D7">
      <w:pPr>
        <w:pStyle w:val="subsection"/>
      </w:pPr>
      <w:r w:rsidRPr="006E709F">
        <w:tab/>
        <w:t>(1A)</w:t>
      </w:r>
      <w:r w:rsidRPr="006E709F">
        <w:tab/>
        <w:t>If:</w:t>
      </w:r>
    </w:p>
    <w:p w14:paraId="7DC6B69E" w14:textId="77777777" w:rsidR="00E93F58" w:rsidRPr="006E709F" w:rsidRDefault="00E93F58" w:rsidP="00F011D7">
      <w:pPr>
        <w:pStyle w:val="paragraph"/>
      </w:pPr>
      <w:r w:rsidRPr="006E709F">
        <w:tab/>
        <w:t>(a)</w:t>
      </w:r>
      <w:r w:rsidRPr="006E709F">
        <w:tab/>
        <w:t>carbon units are, or have been, available for acquisition (whether by issue or sale) by a person or persons as retail clients; and</w:t>
      </w:r>
    </w:p>
    <w:p w14:paraId="4B58CF1F" w14:textId="77777777" w:rsidR="00E93F58" w:rsidRPr="006E709F" w:rsidRDefault="00E93F58" w:rsidP="00F011D7">
      <w:pPr>
        <w:pStyle w:val="paragraph"/>
      </w:pPr>
      <w:r w:rsidRPr="006E709F">
        <w:tab/>
        <w:t>(b)</w:t>
      </w:r>
      <w:r w:rsidRPr="006E709F">
        <w:tab/>
        <w:t>the issue or sale of the carbon units is not covered by an Australian financial services licence;</w:t>
      </w:r>
    </w:p>
    <w:p w14:paraId="290EBEB1" w14:textId="77777777" w:rsidR="00E93F58" w:rsidRPr="006E709F" w:rsidRDefault="00E93F58" w:rsidP="00F011D7">
      <w:pPr>
        <w:pStyle w:val="subsection"/>
        <w:spacing w:before="0"/>
        <w:rPr>
          <w:szCs w:val="22"/>
        </w:rPr>
      </w:pPr>
      <w:r w:rsidRPr="006E709F">
        <w:rPr>
          <w:szCs w:val="22"/>
        </w:rPr>
        <w:lastRenderedPageBreak/>
        <w:tab/>
      </w:r>
      <w:r w:rsidRPr="006E709F">
        <w:rPr>
          <w:szCs w:val="22"/>
        </w:rPr>
        <w:tab/>
        <w:t xml:space="preserve">the issuer and </w:t>
      </w:r>
      <w:r w:rsidRPr="006E709F">
        <w:t xml:space="preserve">any regulated person who is required, under subsection 1012D(1), to inform a client that the client should consider each statement about the carbon unit that is published on the website of the Clean Energy Regulator as mentioned in section 202 of the </w:t>
      </w:r>
      <w:r w:rsidRPr="006E709F">
        <w:rPr>
          <w:i/>
        </w:rPr>
        <w:t>Clean Energy Act 2011</w:t>
      </w:r>
      <w:r w:rsidRPr="006E709F">
        <w:rPr>
          <w:szCs w:val="22"/>
        </w:rPr>
        <w:t>, must both have a dispute resolution system complying with subsection (2).</w:t>
      </w:r>
    </w:p>
    <w:p w14:paraId="35B64B64" w14:textId="77777777" w:rsidR="00E93F58" w:rsidRPr="006E709F" w:rsidRDefault="00E93F58" w:rsidP="00F011D7">
      <w:pPr>
        <w:pStyle w:val="notetext"/>
      </w:pPr>
      <w:r w:rsidRPr="006E709F">
        <w:t>Note 1:</w:t>
      </w:r>
      <w:r w:rsidRPr="006E709F">
        <w:tab/>
        <w:t>If the issue of the carbon units is covered by an Australian financial services licence, the requirement to have a dispute resolution system relating to the issue of the units is imposed by paragraph 912A(1)(g).</w:t>
      </w:r>
    </w:p>
    <w:p w14:paraId="2D7712EC" w14:textId="77777777" w:rsidR="00E93F58" w:rsidRPr="006E709F" w:rsidRDefault="00E93F58" w:rsidP="00F011D7">
      <w:pPr>
        <w:pStyle w:val="notetext"/>
      </w:pPr>
      <w:r w:rsidRPr="006E709F">
        <w:t>Note 2:</w:t>
      </w:r>
      <w:r w:rsidRPr="006E709F">
        <w:tab/>
        <w:t>Failure to comply with this subsection is an offence (see subsection 1311(1)).</w:t>
      </w:r>
    </w:p>
    <w:p w14:paraId="4C1DA82C" w14:textId="77777777" w:rsidR="00E93F58" w:rsidRPr="006E709F" w:rsidRDefault="00E93F58" w:rsidP="00F011D7">
      <w:pPr>
        <w:pStyle w:val="subsection"/>
        <w:keepNext/>
      </w:pPr>
      <w:r w:rsidRPr="006E709F">
        <w:tab/>
        <w:t>(1B)</w:t>
      </w:r>
      <w:r w:rsidRPr="006E709F">
        <w:tab/>
        <w:t>If:</w:t>
      </w:r>
    </w:p>
    <w:p w14:paraId="28C981EB" w14:textId="77777777" w:rsidR="00E93F58" w:rsidRPr="006E709F" w:rsidRDefault="00E93F58" w:rsidP="00F011D7">
      <w:pPr>
        <w:pStyle w:val="paragraph"/>
      </w:pPr>
      <w:r w:rsidRPr="006E709F">
        <w:tab/>
        <w:t>(a)</w:t>
      </w:r>
      <w:r w:rsidRPr="006E709F">
        <w:tab/>
        <w:t>Australian carbon credit units are, or have been, available for acquisition (whether by issue or sale) by a person or persons as retail clients; and</w:t>
      </w:r>
    </w:p>
    <w:p w14:paraId="5589D75B" w14:textId="77777777" w:rsidR="00E93F58" w:rsidRPr="006E709F" w:rsidRDefault="00E93F58" w:rsidP="00F011D7">
      <w:pPr>
        <w:pStyle w:val="paragraph"/>
      </w:pPr>
      <w:r w:rsidRPr="006E709F">
        <w:tab/>
        <w:t>(b)</w:t>
      </w:r>
      <w:r w:rsidRPr="006E709F">
        <w:tab/>
        <w:t>the issue or sale of the Australian carbon credit units is not covered by an Australian financial services licence;</w:t>
      </w:r>
    </w:p>
    <w:p w14:paraId="2417A6BC" w14:textId="77777777" w:rsidR="00E93F58" w:rsidRPr="006E709F" w:rsidRDefault="00E93F58" w:rsidP="00F011D7">
      <w:pPr>
        <w:pStyle w:val="subsection"/>
        <w:spacing w:before="0"/>
        <w:rPr>
          <w:szCs w:val="22"/>
        </w:rPr>
      </w:pPr>
      <w:r w:rsidRPr="006E709F">
        <w:rPr>
          <w:szCs w:val="22"/>
        </w:rPr>
        <w:tab/>
      </w:r>
      <w:r w:rsidRPr="006E709F">
        <w:rPr>
          <w:szCs w:val="22"/>
        </w:rPr>
        <w:tab/>
        <w:t xml:space="preserve">the issuer and </w:t>
      </w:r>
      <w:r w:rsidRPr="006E709F">
        <w:t xml:space="preserve">any regulated person who is required, under subsection 1012D(3A), to inform a client that the client should consider each statement about the Australian carbon credit unit that is published on the website of the Clean Energy Regulator as mentioned in section 162 of the </w:t>
      </w:r>
      <w:r w:rsidRPr="006E709F">
        <w:rPr>
          <w:i/>
        </w:rPr>
        <w:t>Carbon Credits (Carbon Farming Initiative) Act 2011</w:t>
      </w:r>
      <w:r w:rsidRPr="006E709F">
        <w:rPr>
          <w:szCs w:val="22"/>
        </w:rPr>
        <w:t>, must both have a dispute resolution system complying with subsection (2).</w:t>
      </w:r>
    </w:p>
    <w:p w14:paraId="3A644A9F" w14:textId="77777777" w:rsidR="00E93F58" w:rsidRPr="006E709F" w:rsidRDefault="00E93F58" w:rsidP="00F011D7">
      <w:pPr>
        <w:pStyle w:val="notetext"/>
      </w:pPr>
      <w:r w:rsidRPr="006E709F">
        <w:t>Note 1:</w:t>
      </w:r>
      <w:r w:rsidRPr="006E709F">
        <w:tab/>
        <w:t>If the issue of the Australian carbon credit units is covered by an Australian financial services licence, the requirement to have a dispute resolution system relating to the issue of the units is imposed by paragraph 912A(1)(g).</w:t>
      </w:r>
    </w:p>
    <w:p w14:paraId="348F84D0" w14:textId="77777777" w:rsidR="00E93F58" w:rsidRPr="006E709F" w:rsidRDefault="00E93F58" w:rsidP="00F011D7">
      <w:pPr>
        <w:pStyle w:val="notetext"/>
      </w:pPr>
      <w:r w:rsidRPr="006E709F">
        <w:t>Note 2:</w:t>
      </w:r>
      <w:r w:rsidRPr="006E709F">
        <w:tab/>
        <w:t>Failure to comply with this subsection is an offence (see subsection 1311(1)).</w:t>
      </w:r>
    </w:p>
    <w:p w14:paraId="00E6EB3F" w14:textId="77777777" w:rsidR="00E93F58" w:rsidRPr="006E709F" w:rsidRDefault="00E93F58" w:rsidP="00F011D7">
      <w:pPr>
        <w:pStyle w:val="subsection"/>
        <w:keepNext/>
      </w:pPr>
      <w:r w:rsidRPr="006E709F">
        <w:tab/>
        <w:t>(1C)</w:t>
      </w:r>
      <w:r w:rsidRPr="006E709F">
        <w:tab/>
        <w:t>If:</w:t>
      </w:r>
    </w:p>
    <w:p w14:paraId="35DB6E89" w14:textId="77777777" w:rsidR="00E93F58" w:rsidRPr="006E709F" w:rsidRDefault="00E93F58" w:rsidP="00F011D7">
      <w:pPr>
        <w:pStyle w:val="paragraph"/>
      </w:pPr>
      <w:r w:rsidRPr="006E709F">
        <w:tab/>
        <w:t>(a)</w:t>
      </w:r>
      <w:r w:rsidRPr="006E709F">
        <w:tab/>
        <w:t>eligible international emissions units are, or have been, available for acquisition (whether by issue or sale) by a person or persons as retail clients; and</w:t>
      </w:r>
    </w:p>
    <w:p w14:paraId="3E2C3C69" w14:textId="77777777" w:rsidR="00E93F58" w:rsidRPr="006E709F" w:rsidRDefault="00E93F58" w:rsidP="00F011D7">
      <w:pPr>
        <w:pStyle w:val="paragraph"/>
      </w:pPr>
      <w:r w:rsidRPr="006E709F">
        <w:tab/>
        <w:t>(b)</w:t>
      </w:r>
      <w:r w:rsidRPr="006E709F">
        <w:tab/>
        <w:t>the issue or sale of the eligible international emissions units is not covered by an Australian financial services licence;</w:t>
      </w:r>
    </w:p>
    <w:p w14:paraId="421667C1" w14:textId="77777777" w:rsidR="00E93F58" w:rsidRPr="006E709F" w:rsidRDefault="00E93F58" w:rsidP="00F011D7">
      <w:pPr>
        <w:pStyle w:val="subsection"/>
        <w:spacing w:before="0"/>
        <w:rPr>
          <w:szCs w:val="22"/>
        </w:rPr>
      </w:pPr>
      <w:r w:rsidRPr="006E709F">
        <w:rPr>
          <w:szCs w:val="22"/>
        </w:rPr>
        <w:tab/>
      </w:r>
      <w:r w:rsidRPr="006E709F">
        <w:rPr>
          <w:szCs w:val="22"/>
        </w:rPr>
        <w:tab/>
        <w:t xml:space="preserve">the issuer and </w:t>
      </w:r>
      <w:r w:rsidRPr="006E709F">
        <w:t xml:space="preserve">any regulated person who is required, under subsection 1012D(3D), to inform a client that the client should consider each statement about the eligible international emissions unit that is published on the website of the Clean Energy Regulator as mentioned in section 61 of the </w:t>
      </w:r>
      <w:r w:rsidRPr="006E709F">
        <w:rPr>
          <w:i/>
        </w:rPr>
        <w:t>Australian National Registry of Emissions Units Act 2011</w:t>
      </w:r>
      <w:r w:rsidRPr="006E709F">
        <w:rPr>
          <w:szCs w:val="22"/>
        </w:rPr>
        <w:t>, must both have a dispute resolution system complying with subsection (2).</w:t>
      </w:r>
    </w:p>
    <w:p w14:paraId="70972842" w14:textId="77777777" w:rsidR="00E93F58" w:rsidRPr="006E709F" w:rsidRDefault="00E93F58" w:rsidP="00F011D7">
      <w:pPr>
        <w:pStyle w:val="notetext"/>
        <w:rPr>
          <w:szCs w:val="18"/>
        </w:rPr>
      </w:pPr>
      <w:r w:rsidRPr="006E709F">
        <w:rPr>
          <w:szCs w:val="18"/>
        </w:rPr>
        <w:t>Note 1:</w:t>
      </w:r>
      <w:r w:rsidRPr="006E709F">
        <w:rPr>
          <w:szCs w:val="18"/>
        </w:rPr>
        <w:tab/>
        <w:t>If the issue of the eligible international emissions units is covered by an Australian financial services licence, the requirement to have a dispute resolution system relating to the issue of the units is imposed by paragraph 912A(1)(g).</w:t>
      </w:r>
    </w:p>
    <w:p w14:paraId="71F06150" w14:textId="77777777" w:rsidR="00E93F58" w:rsidRPr="006E709F" w:rsidRDefault="00E93F58" w:rsidP="00F011D7">
      <w:pPr>
        <w:pStyle w:val="notetext"/>
      </w:pPr>
      <w:r w:rsidRPr="006E709F">
        <w:rPr>
          <w:szCs w:val="18"/>
        </w:rPr>
        <w:t>Note 2:</w:t>
      </w:r>
      <w:r w:rsidRPr="006E709F">
        <w:rPr>
          <w:szCs w:val="18"/>
        </w:rPr>
        <w:tab/>
      </w:r>
      <w:r w:rsidRPr="006E709F">
        <w:t>Failure</w:t>
      </w:r>
      <w:r w:rsidRPr="006E709F">
        <w:rPr>
          <w:szCs w:val="18"/>
        </w:rPr>
        <w:t xml:space="preserve"> to comply with this subsection is an offence (see subsection 1311(1)).</w:t>
      </w:r>
    </w:p>
    <w:p w14:paraId="2DD22549" w14:textId="77777777" w:rsidR="00E93F58" w:rsidRPr="006E709F" w:rsidRDefault="00E93F58" w:rsidP="003C672B">
      <w:pPr>
        <w:pStyle w:val="ItemHead"/>
      </w:pPr>
      <w:r w:rsidRPr="006E709F">
        <w:t>19.12  Section 1018A, heading</w:t>
      </w:r>
    </w:p>
    <w:p w14:paraId="71ED38A9" w14:textId="77777777" w:rsidR="00E93F58" w:rsidRPr="006E709F" w:rsidRDefault="00E93F58" w:rsidP="00A801D0">
      <w:pPr>
        <w:pStyle w:val="Item"/>
        <w:rPr>
          <w:i/>
        </w:rPr>
      </w:pPr>
      <w:r w:rsidRPr="006E709F">
        <w:rPr>
          <w:i/>
        </w:rPr>
        <w:t>substitute</w:t>
      </w:r>
    </w:p>
    <w:p w14:paraId="34A38EC0" w14:textId="77777777" w:rsidR="00E93F58" w:rsidRPr="006E709F" w:rsidRDefault="00E93F58" w:rsidP="002D66C6">
      <w:pPr>
        <w:pStyle w:val="Specials"/>
      </w:pPr>
      <w:r w:rsidRPr="006E709F">
        <w:t>1018A  Advertising or other promotional material for financial product must refer to statements on Clean Energy Regulator’s website</w:t>
      </w:r>
    </w:p>
    <w:p w14:paraId="01A83033" w14:textId="77777777" w:rsidR="00E93F58" w:rsidRPr="006E709F" w:rsidRDefault="00E93F58" w:rsidP="003C672B">
      <w:pPr>
        <w:pStyle w:val="ItemHead"/>
      </w:pPr>
      <w:r w:rsidRPr="006E709F">
        <w:t>19.13  Subsection 1018A(1), subheading</w:t>
      </w:r>
    </w:p>
    <w:p w14:paraId="2C4DBCD7" w14:textId="77777777" w:rsidR="00E93F58" w:rsidRPr="006E709F" w:rsidRDefault="00E93F58" w:rsidP="00A801D0">
      <w:pPr>
        <w:pStyle w:val="Item"/>
        <w:rPr>
          <w:i/>
        </w:rPr>
      </w:pPr>
      <w:r w:rsidRPr="006E709F">
        <w:rPr>
          <w:i/>
        </w:rPr>
        <w:t>substitute</w:t>
      </w:r>
    </w:p>
    <w:p w14:paraId="3D52534E" w14:textId="77777777" w:rsidR="00E93F58" w:rsidRPr="006E709F" w:rsidRDefault="00E93F58" w:rsidP="00F011D7">
      <w:pPr>
        <w:pStyle w:val="SubsectionHead"/>
      </w:pPr>
      <w:r w:rsidRPr="006E709F">
        <w:t>Advertisements and promotional material must identify issuer (or issuer and seller) and refer to statements on Clean Energy Regulator’s website</w:t>
      </w:r>
    </w:p>
    <w:p w14:paraId="1A52BC74" w14:textId="77777777" w:rsidR="00E93F58" w:rsidRPr="006E709F" w:rsidRDefault="00E93F58" w:rsidP="003C672B">
      <w:pPr>
        <w:pStyle w:val="ItemHead"/>
      </w:pPr>
      <w:r w:rsidRPr="006E709F">
        <w:t>19.14  Subsection 1018A(1)</w:t>
      </w:r>
    </w:p>
    <w:p w14:paraId="73147984" w14:textId="77777777" w:rsidR="00E93F58" w:rsidRPr="006E709F" w:rsidRDefault="00E93F58" w:rsidP="00A801D0">
      <w:pPr>
        <w:pStyle w:val="Item"/>
        <w:rPr>
          <w:i/>
        </w:rPr>
      </w:pPr>
      <w:r w:rsidRPr="006E709F">
        <w:rPr>
          <w:i/>
        </w:rPr>
        <w:t>omit</w:t>
      </w:r>
    </w:p>
    <w:p w14:paraId="7386B2D0" w14:textId="77777777" w:rsidR="00E93F58" w:rsidRPr="006E709F" w:rsidRDefault="00E93F58" w:rsidP="00A801D0">
      <w:pPr>
        <w:pStyle w:val="Item"/>
      </w:pPr>
      <w:r w:rsidRPr="006E709F">
        <w:t>if a particular financial product is available for acquisition by persons as retail clients (whether or not it is also available for acquisition by persons as wholesale clients) by way of issue, or pursuant to sale offers to which section 1012C applies or will apply,</w:t>
      </w:r>
    </w:p>
    <w:p w14:paraId="1186CB21" w14:textId="77777777" w:rsidR="00E93F58" w:rsidRPr="006E709F" w:rsidRDefault="00E93F58" w:rsidP="00A801D0">
      <w:pPr>
        <w:pStyle w:val="Item"/>
        <w:rPr>
          <w:i/>
        </w:rPr>
      </w:pPr>
      <w:r w:rsidRPr="006E709F">
        <w:rPr>
          <w:i/>
        </w:rPr>
        <w:t>insert</w:t>
      </w:r>
    </w:p>
    <w:p w14:paraId="7B2B6450" w14:textId="77777777" w:rsidR="00E93F58" w:rsidRPr="006E709F" w:rsidRDefault="00E93F58" w:rsidP="00A801D0">
      <w:pPr>
        <w:pStyle w:val="Item"/>
      </w:pPr>
      <w:r w:rsidRPr="006E709F">
        <w:t>in an issue situation or sale situation for a carbon unit, an Australian carbon credit unit or an eligible international emissions unit that is available for acquisition by persons as retail clients (whether or not it is also available for acquisition by persons as wholesale clients),</w:t>
      </w:r>
    </w:p>
    <w:p w14:paraId="4AB43B29" w14:textId="77777777" w:rsidR="00E93F58" w:rsidRPr="006E709F" w:rsidRDefault="00E93F58" w:rsidP="003C672B">
      <w:pPr>
        <w:pStyle w:val="ItemHead"/>
      </w:pPr>
      <w:r w:rsidRPr="006E709F">
        <w:t>19.15  Subparagraph 1018A(1)(c)(ii)</w:t>
      </w:r>
    </w:p>
    <w:p w14:paraId="7F4E7586" w14:textId="77777777" w:rsidR="00E93F58" w:rsidRPr="006E709F" w:rsidRDefault="00E93F58" w:rsidP="00A801D0">
      <w:pPr>
        <w:pStyle w:val="Item"/>
        <w:rPr>
          <w:i/>
        </w:rPr>
      </w:pPr>
      <w:r w:rsidRPr="006E709F">
        <w:rPr>
          <w:i/>
        </w:rPr>
        <w:t>omit</w:t>
      </w:r>
    </w:p>
    <w:p w14:paraId="7FFF8984" w14:textId="77777777" w:rsidR="00E93F58" w:rsidRPr="006E709F" w:rsidRDefault="00E93F58" w:rsidP="00A801D0">
      <w:pPr>
        <w:pStyle w:val="Item"/>
      </w:pPr>
      <w:r w:rsidRPr="006E709F">
        <w:lastRenderedPageBreak/>
        <w:t>to which section 1012C applies or will apply</w:t>
      </w:r>
    </w:p>
    <w:p w14:paraId="094B8644" w14:textId="77777777" w:rsidR="00E93F58" w:rsidRPr="006E709F" w:rsidRDefault="00E93F58" w:rsidP="00A801D0">
      <w:pPr>
        <w:pStyle w:val="Item"/>
        <w:rPr>
          <w:i/>
        </w:rPr>
      </w:pPr>
      <w:r w:rsidRPr="006E709F">
        <w:rPr>
          <w:i/>
        </w:rPr>
        <w:t>insert</w:t>
      </w:r>
    </w:p>
    <w:p w14:paraId="316A952D" w14:textId="77777777" w:rsidR="00E93F58" w:rsidRPr="006E709F" w:rsidRDefault="00E93F58" w:rsidP="00A801D0">
      <w:pPr>
        <w:pStyle w:val="Item"/>
      </w:pPr>
      <w:r w:rsidRPr="006E709F">
        <w:t>to which paragraphs 1012C(3)(b) and (4)(c), and subsection 1012C(6), would apply if section 1012C were applicable in relation to a carbon unit, an Australian carbon credit unit or an eligible international emissions unit</w:t>
      </w:r>
    </w:p>
    <w:p w14:paraId="60E9BB35" w14:textId="77777777" w:rsidR="00E93F58" w:rsidRPr="006E709F" w:rsidRDefault="00E93F58" w:rsidP="003C672B">
      <w:pPr>
        <w:pStyle w:val="ItemHead"/>
      </w:pPr>
      <w:r w:rsidRPr="006E709F">
        <w:t>19.16  Paragraphs 1018A(1)(d) and (e)</w:t>
      </w:r>
    </w:p>
    <w:p w14:paraId="01BFD49F" w14:textId="77777777" w:rsidR="00E93F58" w:rsidRPr="006E709F" w:rsidRDefault="00E93F58" w:rsidP="00A801D0">
      <w:pPr>
        <w:pStyle w:val="Item"/>
        <w:rPr>
          <w:i/>
        </w:rPr>
      </w:pPr>
      <w:r w:rsidRPr="006E709F">
        <w:rPr>
          <w:i/>
        </w:rPr>
        <w:t>substitute</w:t>
      </w:r>
    </w:p>
    <w:p w14:paraId="374C8E9C" w14:textId="77777777" w:rsidR="00E93F58" w:rsidRPr="006E709F" w:rsidRDefault="00E93F58" w:rsidP="00F011D7">
      <w:pPr>
        <w:pStyle w:val="paragraph"/>
      </w:pPr>
      <w:r w:rsidRPr="006E709F">
        <w:tab/>
        <w:t>(d)</w:t>
      </w:r>
      <w:r w:rsidRPr="006E709F">
        <w:tab/>
        <w:t>informs the person that the person should consider:</w:t>
      </w:r>
    </w:p>
    <w:p w14:paraId="0F07CF05" w14:textId="77777777" w:rsidR="00E93F58" w:rsidRPr="006E709F" w:rsidRDefault="00E93F58" w:rsidP="00F011D7">
      <w:pPr>
        <w:pStyle w:val="paragraphsub"/>
      </w:pPr>
      <w:r w:rsidRPr="006E709F">
        <w:tab/>
        <w:t>(i)</w:t>
      </w:r>
      <w:r w:rsidRPr="006E709F">
        <w:tab/>
        <w:t xml:space="preserve">each statement about the carbon unit that is published on the website of the Clean Energy Regulator as mentioned in section 202 of the </w:t>
      </w:r>
      <w:r w:rsidRPr="006E709F">
        <w:rPr>
          <w:i/>
        </w:rPr>
        <w:t>Clean Energy Act 2011</w:t>
      </w:r>
      <w:r w:rsidRPr="006E709F">
        <w:t xml:space="preserve"> in deciding whether to acquire, or to continue to hold, the carbon unit; or</w:t>
      </w:r>
    </w:p>
    <w:p w14:paraId="399D9CDA" w14:textId="77777777" w:rsidR="00E93F58" w:rsidRPr="006E709F" w:rsidRDefault="00E93F58" w:rsidP="00F011D7">
      <w:pPr>
        <w:pStyle w:val="paragraphsub"/>
      </w:pPr>
      <w:r w:rsidRPr="006E709F">
        <w:tab/>
        <w:t>(ii)</w:t>
      </w:r>
      <w:r w:rsidRPr="006E709F">
        <w:tab/>
        <w:t xml:space="preserve">each statement about the Australian carbon credit unit that is published on the website of the Clean Energy Regulator as mentioned in section 162 of the </w:t>
      </w:r>
      <w:r w:rsidRPr="006E709F">
        <w:rPr>
          <w:i/>
        </w:rPr>
        <w:t>Carbon Credits (Carbon Farming Initiative) Act 2011</w:t>
      </w:r>
      <w:r w:rsidRPr="006E709F">
        <w:t xml:space="preserve"> in deciding whether to acquire, or to continue to hold, the Australian carbon credit unit; or</w:t>
      </w:r>
    </w:p>
    <w:p w14:paraId="6E972D36" w14:textId="77777777" w:rsidR="00E93F58" w:rsidRPr="006E709F" w:rsidRDefault="00E93F58" w:rsidP="00F011D7">
      <w:pPr>
        <w:pStyle w:val="paragraphsub"/>
      </w:pPr>
      <w:r w:rsidRPr="006E709F">
        <w:tab/>
        <w:t>(iii)</w:t>
      </w:r>
      <w:r w:rsidRPr="006E709F">
        <w:tab/>
        <w:t xml:space="preserve">each statement about the eligible international emissions unit that is published on the website of the Clean Energy Regulator as mentioned in section 61 of the </w:t>
      </w:r>
      <w:r w:rsidRPr="006E709F">
        <w:rPr>
          <w:i/>
        </w:rPr>
        <w:t>Australian National Registry of Emissions Units Act 2011</w:t>
      </w:r>
      <w:r w:rsidRPr="006E709F">
        <w:t xml:space="preserve"> in deciding whether to acquire, or to continue to hold, the eligible international emissions unit.</w:t>
      </w:r>
    </w:p>
    <w:p w14:paraId="38AE5E8A" w14:textId="77777777" w:rsidR="00E93F58" w:rsidRPr="006E709F" w:rsidRDefault="00E93F58" w:rsidP="003C672B">
      <w:pPr>
        <w:pStyle w:val="ItemHead"/>
      </w:pPr>
      <w:r w:rsidRPr="006E709F">
        <w:t>19.17  Subsection 1018A(2)</w:t>
      </w:r>
    </w:p>
    <w:p w14:paraId="146D9998" w14:textId="77777777" w:rsidR="00E93F58" w:rsidRPr="006E709F" w:rsidRDefault="00E93F58" w:rsidP="00A801D0">
      <w:pPr>
        <w:pStyle w:val="Item"/>
        <w:rPr>
          <w:i/>
        </w:rPr>
      </w:pPr>
      <w:r w:rsidRPr="006E709F">
        <w:rPr>
          <w:i/>
        </w:rPr>
        <w:t>omit</w:t>
      </w:r>
    </w:p>
    <w:p w14:paraId="4BAA1E4E" w14:textId="77777777" w:rsidR="00E93F58" w:rsidRPr="006E709F" w:rsidRDefault="00E93F58" w:rsidP="00A801D0">
      <w:pPr>
        <w:pStyle w:val="Item"/>
      </w:pPr>
      <w:r w:rsidRPr="006E709F">
        <w:t>if a particular financial product, or proposed financial product, is not available for acquisition by persons as retail clients but it is reasonably likely that the product will become so available (whether or not it is, or will also become, available for acquisition by persons as wholesale clients) by way of issue, or pursuant to sale offers to which section 1012C will apply,</w:t>
      </w:r>
    </w:p>
    <w:p w14:paraId="5859781E" w14:textId="77777777" w:rsidR="00E93F58" w:rsidRPr="006E709F" w:rsidRDefault="00E93F58" w:rsidP="00915C51">
      <w:pPr>
        <w:pStyle w:val="Item"/>
        <w:keepNext/>
        <w:rPr>
          <w:i/>
        </w:rPr>
      </w:pPr>
      <w:r w:rsidRPr="006E709F">
        <w:rPr>
          <w:i/>
        </w:rPr>
        <w:t>insert</w:t>
      </w:r>
    </w:p>
    <w:p w14:paraId="7B61F24F" w14:textId="77777777" w:rsidR="00E93F58" w:rsidRPr="006E709F" w:rsidRDefault="00E93F58" w:rsidP="00A801D0">
      <w:pPr>
        <w:pStyle w:val="Item"/>
      </w:pPr>
      <w:r w:rsidRPr="006E709F">
        <w:t>in an issue situation or sale situation for a financial product that is a carbon unit, an Australian carbon credit unit or an eligible international emissions unit and is not available for acquisition by persons as retail clients, but is reasonably likely to become so available (whether or not it is, or will also become, available for acquisition by persons as wholesale clients),</w:t>
      </w:r>
    </w:p>
    <w:p w14:paraId="7799B19D" w14:textId="77777777" w:rsidR="00E93F58" w:rsidRPr="006E709F" w:rsidRDefault="00E93F58" w:rsidP="003C672B">
      <w:pPr>
        <w:pStyle w:val="ItemHead"/>
      </w:pPr>
      <w:r w:rsidRPr="006E709F">
        <w:t>19.18  Subparagraph 1018A(2)(c)(ii)</w:t>
      </w:r>
    </w:p>
    <w:p w14:paraId="5E3FCA0C" w14:textId="77777777" w:rsidR="00E93F58" w:rsidRPr="006E709F" w:rsidRDefault="00E93F58" w:rsidP="00A801D0">
      <w:pPr>
        <w:pStyle w:val="Item"/>
        <w:rPr>
          <w:i/>
        </w:rPr>
      </w:pPr>
      <w:r w:rsidRPr="006E709F">
        <w:rPr>
          <w:i/>
        </w:rPr>
        <w:t>omit</w:t>
      </w:r>
    </w:p>
    <w:p w14:paraId="50370B7F" w14:textId="77777777" w:rsidR="00E93F58" w:rsidRPr="006E709F" w:rsidRDefault="00E93F58" w:rsidP="00A801D0">
      <w:pPr>
        <w:pStyle w:val="Item"/>
      </w:pPr>
      <w:r w:rsidRPr="006E709F">
        <w:t>to which section 1012C will apply</w:t>
      </w:r>
    </w:p>
    <w:p w14:paraId="6AC0D882" w14:textId="77777777" w:rsidR="00E93F58" w:rsidRPr="006E709F" w:rsidRDefault="00E93F58" w:rsidP="00A801D0">
      <w:pPr>
        <w:pStyle w:val="Item"/>
        <w:rPr>
          <w:i/>
        </w:rPr>
      </w:pPr>
      <w:r w:rsidRPr="006E709F">
        <w:rPr>
          <w:i/>
        </w:rPr>
        <w:t>insert</w:t>
      </w:r>
    </w:p>
    <w:p w14:paraId="033ED71C" w14:textId="77777777" w:rsidR="00E93F58" w:rsidRPr="006E709F" w:rsidRDefault="00E93F58" w:rsidP="00A801D0">
      <w:pPr>
        <w:pStyle w:val="Item"/>
      </w:pPr>
      <w:r w:rsidRPr="006E709F">
        <w:t>to which paragraphs 1012C(3)(b) and (4)(c), and subsection 1012C(6), would apply if section 1012C were applicable in relation to a carbon unit, an Australian carbon credit unit or an eligible international emissions unit</w:t>
      </w:r>
    </w:p>
    <w:p w14:paraId="1CCF0585" w14:textId="77777777" w:rsidR="00E93F58" w:rsidRPr="006E709F" w:rsidRDefault="00E93F58" w:rsidP="003C672B">
      <w:pPr>
        <w:pStyle w:val="ItemHead"/>
      </w:pPr>
      <w:r w:rsidRPr="006E709F">
        <w:t>19.19  Paragraphs 1018A(2)(d) to (f)</w:t>
      </w:r>
    </w:p>
    <w:p w14:paraId="4D138992" w14:textId="77777777" w:rsidR="00E93F58" w:rsidRPr="006E709F" w:rsidRDefault="00E93F58" w:rsidP="00A801D0">
      <w:pPr>
        <w:pStyle w:val="Item"/>
        <w:rPr>
          <w:i/>
        </w:rPr>
      </w:pPr>
      <w:r w:rsidRPr="006E709F">
        <w:rPr>
          <w:i/>
        </w:rPr>
        <w:t>substitute</w:t>
      </w:r>
    </w:p>
    <w:p w14:paraId="0191971C" w14:textId="77777777" w:rsidR="00E93F58" w:rsidRPr="006E709F" w:rsidRDefault="00E93F58" w:rsidP="00F011D7">
      <w:pPr>
        <w:pStyle w:val="paragraph"/>
      </w:pPr>
      <w:r w:rsidRPr="006E709F">
        <w:tab/>
        <w:t>(d)</w:t>
      </w:r>
      <w:r w:rsidRPr="006E709F">
        <w:tab/>
        <w:t>informs the person that:</w:t>
      </w:r>
    </w:p>
    <w:p w14:paraId="495EC452" w14:textId="77777777" w:rsidR="00E93F58" w:rsidRPr="006E709F" w:rsidRDefault="00E93F58" w:rsidP="00F011D7">
      <w:pPr>
        <w:pStyle w:val="paragraphsub"/>
      </w:pPr>
      <w:r w:rsidRPr="006E709F">
        <w:tab/>
        <w:t>(i)</w:t>
      </w:r>
      <w:r w:rsidRPr="006E709F">
        <w:tab/>
        <w:t xml:space="preserve">a statement about the carbon unit is published on the website of the Clean Energy Regulator as mentioned in section 202 of the </w:t>
      </w:r>
      <w:r w:rsidRPr="006E709F">
        <w:rPr>
          <w:i/>
        </w:rPr>
        <w:t>Clean Energy Act 2011</w:t>
      </w:r>
      <w:r w:rsidRPr="006E709F">
        <w:t>; or</w:t>
      </w:r>
    </w:p>
    <w:p w14:paraId="539E4BA4" w14:textId="77777777" w:rsidR="00E93F58" w:rsidRPr="006E709F" w:rsidRDefault="00E93F58" w:rsidP="00F011D7">
      <w:pPr>
        <w:pStyle w:val="paragraphsub"/>
      </w:pPr>
      <w:r w:rsidRPr="006E709F">
        <w:tab/>
        <w:t>(ii)</w:t>
      </w:r>
      <w:r w:rsidRPr="006E709F">
        <w:tab/>
        <w:t xml:space="preserve">a statement about the Australian carbon credit unit is published on the website of the Clean Energy Regulator as mentioned in section 162 of the </w:t>
      </w:r>
      <w:r w:rsidRPr="006E709F">
        <w:rPr>
          <w:i/>
        </w:rPr>
        <w:t>Carbon Credits (Carbon Farming Initiative) Act 2011</w:t>
      </w:r>
      <w:r w:rsidRPr="006E709F">
        <w:t>; or</w:t>
      </w:r>
    </w:p>
    <w:p w14:paraId="7AC8AD50" w14:textId="77777777" w:rsidR="00E93F58" w:rsidRPr="006E709F" w:rsidRDefault="00E93F58" w:rsidP="00F011D7">
      <w:pPr>
        <w:pStyle w:val="paragraphsub"/>
      </w:pPr>
      <w:r w:rsidRPr="006E709F">
        <w:tab/>
        <w:t>(iii)</w:t>
      </w:r>
      <w:r w:rsidRPr="006E709F">
        <w:tab/>
        <w:t xml:space="preserve">a statement about the eligible international emissions unit is published on the website of the Clean Energy Regulator as mentioned in section 61 of the </w:t>
      </w:r>
      <w:r w:rsidRPr="006E709F">
        <w:rPr>
          <w:i/>
        </w:rPr>
        <w:t>Australian National Registry of Emissions Units Act 2011</w:t>
      </w:r>
      <w:r w:rsidRPr="006E709F">
        <w:t>; and</w:t>
      </w:r>
    </w:p>
    <w:p w14:paraId="7FADD4FD" w14:textId="77777777" w:rsidR="00E93F58" w:rsidRPr="006E709F" w:rsidRDefault="00E93F58" w:rsidP="00F011D7">
      <w:pPr>
        <w:pStyle w:val="paragraph"/>
      </w:pPr>
      <w:r w:rsidRPr="006E709F">
        <w:tab/>
        <w:t>(e)</w:t>
      </w:r>
      <w:r w:rsidRPr="006E709F">
        <w:tab/>
        <w:t>informs the person that the person should consider each statement about the carbon unit, Australian carbon credit unit or eligible international emissions unit that is published on that website in deciding whether to acquire, or to continue to hold, the carbon unit, Australian carbon credit unit or eligible international emissions unit.</w:t>
      </w:r>
    </w:p>
    <w:p w14:paraId="4AD0E2B9" w14:textId="77777777" w:rsidR="00E93F58" w:rsidRPr="006E709F" w:rsidRDefault="00E93F58" w:rsidP="003C672B">
      <w:pPr>
        <w:pStyle w:val="ItemHead"/>
      </w:pPr>
      <w:r w:rsidRPr="006E709F">
        <w:lastRenderedPageBreak/>
        <w:t>19.20  Subsection 1018A(3)</w:t>
      </w:r>
    </w:p>
    <w:p w14:paraId="4A96B3F0" w14:textId="77777777" w:rsidR="00E93F58" w:rsidRPr="006E709F" w:rsidRDefault="00E93F58" w:rsidP="00A801D0">
      <w:pPr>
        <w:pStyle w:val="Item"/>
        <w:rPr>
          <w:i/>
        </w:rPr>
      </w:pPr>
      <w:r w:rsidRPr="006E709F">
        <w:rPr>
          <w:i/>
        </w:rPr>
        <w:t>omit</w:t>
      </w:r>
    </w:p>
    <w:p w14:paraId="1281EB23" w14:textId="77777777" w:rsidR="00E93F58" w:rsidRPr="006E709F" w:rsidRDefault="00E93F58" w:rsidP="00A801D0">
      <w:pPr>
        <w:pStyle w:val="Item"/>
      </w:pPr>
      <w:r w:rsidRPr="006E709F">
        <w:t>distribute a Product Disclosure Statement</w:t>
      </w:r>
    </w:p>
    <w:p w14:paraId="1D26553D" w14:textId="77777777" w:rsidR="00E93F58" w:rsidRPr="006E709F" w:rsidRDefault="00E93F58" w:rsidP="00A801D0">
      <w:pPr>
        <w:pStyle w:val="Item"/>
        <w:rPr>
          <w:i/>
        </w:rPr>
      </w:pPr>
      <w:r w:rsidRPr="006E709F">
        <w:rPr>
          <w:i/>
        </w:rPr>
        <w:t>insert</w:t>
      </w:r>
    </w:p>
    <w:p w14:paraId="62A0CF7D" w14:textId="77777777" w:rsidR="00E93F58" w:rsidRPr="006E709F" w:rsidRDefault="00E93F58" w:rsidP="00A801D0">
      <w:pPr>
        <w:pStyle w:val="Item"/>
      </w:pPr>
      <w:r w:rsidRPr="006E709F">
        <w:t xml:space="preserve">inform a person that the person should consider each statement about the carbon unit, Australian carbon credit unit or eligible international emissions unit that is published on the website of the Clean Energy Regulator as mentioned in section 202 of the </w:t>
      </w:r>
      <w:r w:rsidRPr="006E709F">
        <w:rPr>
          <w:i/>
        </w:rPr>
        <w:t>Clean Energy Act 2011</w:t>
      </w:r>
      <w:r w:rsidRPr="006E709F">
        <w:t xml:space="preserve">, section 162 of the </w:t>
      </w:r>
      <w:r w:rsidRPr="006E709F">
        <w:rPr>
          <w:i/>
        </w:rPr>
        <w:t>Carbon Credits (Carbon Farming Initiative) Act 2011</w:t>
      </w:r>
      <w:r w:rsidRPr="006E709F">
        <w:t xml:space="preserve"> or section 61 of the </w:t>
      </w:r>
      <w:r w:rsidRPr="006E709F">
        <w:rPr>
          <w:i/>
        </w:rPr>
        <w:t>Australian National Registry of Emissions Units Act 2011</w:t>
      </w:r>
    </w:p>
    <w:p w14:paraId="4E44CF71" w14:textId="77777777" w:rsidR="00E93F58" w:rsidRPr="006E709F" w:rsidRDefault="00E93F58" w:rsidP="003C672B">
      <w:pPr>
        <w:pStyle w:val="ItemHead"/>
      </w:pPr>
      <w:r w:rsidRPr="006E709F">
        <w:t>19.21  Subparagraph 1018A(4)(c)(i)</w:t>
      </w:r>
    </w:p>
    <w:p w14:paraId="40D70482" w14:textId="77777777" w:rsidR="00E93F58" w:rsidRPr="006E709F" w:rsidRDefault="00E93F58" w:rsidP="00A801D0">
      <w:pPr>
        <w:pStyle w:val="Item"/>
        <w:rPr>
          <w:i/>
        </w:rPr>
      </w:pPr>
      <w:r w:rsidRPr="006E709F">
        <w:rPr>
          <w:i/>
        </w:rPr>
        <w:t>substitute</w:t>
      </w:r>
    </w:p>
    <w:p w14:paraId="13D4BCA1" w14:textId="77777777" w:rsidR="00E93F58" w:rsidRPr="006E709F" w:rsidRDefault="00E93F58" w:rsidP="00F011D7">
      <w:pPr>
        <w:pStyle w:val="paragraphsub"/>
      </w:pPr>
      <w:r w:rsidRPr="006E709F">
        <w:tab/>
        <w:t>(i)</w:t>
      </w:r>
      <w:r w:rsidRPr="006E709F">
        <w:tab/>
        <w:t>does not contain information that materially affects affairs of the issuer, other than information about the carbon unit, Australian carbon credit unit or eligible international emissions unit that is published:</w:t>
      </w:r>
    </w:p>
    <w:p w14:paraId="63553850" w14:textId="77777777" w:rsidR="00E93F58" w:rsidRPr="006E709F" w:rsidRDefault="00E93F58" w:rsidP="00F011D7">
      <w:pPr>
        <w:pStyle w:val="paragraphsub"/>
        <w:tabs>
          <w:tab w:val="clear" w:pos="1985"/>
          <w:tab w:val="right" w:pos="2552"/>
        </w:tabs>
        <w:ind w:left="2694" w:hanging="2694"/>
      </w:pPr>
      <w:r w:rsidRPr="006E709F">
        <w:tab/>
        <w:t>(A)</w:t>
      </w:r>
      <w:r w:rsidRPr="006E709F">
        <w:tab/>
        <w:t xml:space="preserve">on the website of the Clean Energy Regulator as mentioned in section 202 of the </w:t>
      </w:r>
      <w:r w:rsidRPr="006E709F">
        <w:rPr>
          <w:i/>
        </w:rPr>
        <w:t>Clean Energy Act 2011</w:t>
      </w:r>
      <w:r w:rsidRPr="006E709F">
        <w:t xml:space="preserve">, section 162 of the </w:t>
      </w:r>
      <w:r w:rsidRPr="006E709F">
        <w:rPr>
          <w:i/>
        </w:rPr>
        <w:t>Carbon Credits (Carbon Farming Initiative) Act 2011</w:t>
      </w:r>
      <w:r w:rsidRPr="006E709F">
        <w:t xml:space="preserve"> or section 61 of the </w:t>
      </w:r>
      <w:r w:rsidRPr="006E709F">
        <w:rPr>
          <w:i/>
        </w:rPr>
        <w:t>Australian National Registry of Emissions Units Act 2011</w:t>
      </w:r>
      <w:r w:rsidRPr="006E709F">
        <w:t>; or</w:t>
      </w:r>
    </w:p>
    <w:p w14:paraId="575E4E5F" w14:textId="77777777" w:rsidR="00E93F58" w:rsidRPr="006E709F" w:rsidRDefault="00E93F58" w:rsidP="00F011D7">
      <w:pPr>
        <w:pStyle w:val="paragraphsub"/>
        <w:tabs>
          <w:tab w:val="clear" w:pos="1985"/>
          <w:tab w:val="right" w:pos="2552"/>
        </w:tabs>
        <w:ind w:left="2694" w:hanging="2694"/>
      </w:pPr>
      <w:r w:rsidRPr="006E709F">
        <w:tab/>
        <w:t>(B)</w:t>
      </w:r>
      <w:r w:rsidRPr="006E709F">
        <w:tab/>
        <w:t>in a disclosure document that has been lodged with ASIC; or</w:t>
      </w:r>
    </w:p>
    <w:p w14:paraId="57F16F46" w14:textId="77777777" w:rsidR="00E93F58" w:rsidRPr="006E709F" w:rsidRDefault="00E93F58" w:rsidP="00F011D7">
      <w:pPr>
        <w:pStyle w:val="paragraphsub"/>
        <w:tabs>
          <w:tab w:val="clear" w:pos="1985"/>
          <w:tab w:val="right" w:pos="2552"/>
        </w:tabs>
        <w:ind w:left="2694" w:hanging="2694"/>
      </w:pPr>
      <w:r w:rsidRPr="006E709F">
        <w:tab/>
        <w:t>(C)</w:t>
      </w:r>
      <w:r w:rsidRPr="006E709F">
        <w:tab/>
        <w:t>in an annual report or in a notice or report referred to in paragraph (a) or (b); and</w:t>
      </w:r>
    </w:p>
    <w:p w14:paraId="6446A552" w14:textId="77777777" w:rsidR="00E93F58" w:rsidRPr="006E709F" w:rsidRDefault="00E93F58" w:rsidP="003C672B">
      <w:pPr>
        <w:pStyle w:val="ItemHead"/>
      </w:pPr>
      <w:r w:rsidRPr="006E709F">
        <w:t>19.22  Subparagraphs 1018A(4)(d)(i) and (ii)</w:t>
      </w:r>
    </w:p>
    <w:p w14:paraId="05413347" w14:textId="77777777" w:rsidR="00E93F58" w:rsidRPr="006E709F" w:rsidRDefault="00E93F58" w:rsidP="00A801D0">
      <w:pPr>
        <w:pStyle w:val="Item"/>
        <w:rPr>
          <w:i/>
        </w:rPr>
      </w:pPr>
      <w:r w:rsidRPr="006E709F">
        <w:rPr>
          <w:i/>
        </w:rPr>
        <w:t>substitute</w:t>
      </w:r>
    </w:p>
    <w:p w14:paraId="3158E144" w14:textId="77777777" w:rsidR="00E93F58" w:rsidRPr="006E709F" w:rsidRDefault="00E93F58" w:rsidP="00F011D7">
      <w:pPr>
        <w:pStyle w:val="paragraphsub"/>
      </w:pPr>
      <w:r w:rsidRPr="006E709F">
        <w:tab/>
        <w:t>(i)</w:t>
      </w:r>
      <w:r w:rsidRPr="006E709F">
        <w:tab/>
        <w:t>information about the carbon unit, Australian carbon credit unit or eligible international emissions unit that is published:</w:t>
      </w:r>
    </w:p>
    <w:p w14:paraId="39C6C991" w14:textId="77777777" w:rsidR="00E93F58" w:rsidRPr="006E709F" w:rsidRDefault="00E93F58" w:rsidP="00F011D7">
      <w:pPr>
        <w:pStyle w:val="paragraphsub"/>
        <w:tabs>
          <w:tab w:val="clear" w:pos="1985"/>
          <w:tab w:val="right" w:pos="2552"/>
        </w:tabs>
        <w:ind w:left="2694" w:hanging="2694"/>
      </w:pPr>
      <w:r w:rsidRPr="006E709F">
        <w:tab/>
        <w:t>(A)</w:t>
      </w:r>
      <w:r w:rsidRPr="006E709F">
        <w:tab/>
        <w:t xml:space="preserve">on the website of the Clean Energy Regulator as mentioned in section 202 of the </w:t>
      </w:r>
      <w:r w:rsidRPr="006E709F">
        <w:rPr>
          <w:i/>
        </w:rPr>
        <w:t>Clean Energy Act 2011</w:t>
      </w:r>
      <w:r w:rsidRPr="006E709F">
        <w:t xml:space="preserve">, section 162 of the </w:t>
      </w:r>
      <w:r w:rsidRPr="006E709F">
        <w:rPr>
          <w:i/>
        </w:rPr>
        <w:t>Carbon Credits (Carbon Farming Initiative) Act 2011</w:t>
      </w:r>
      <w:r w:rsidRPr="006E709F">
        <w:t xml:space="preserve"> or section 61 of the </w:t>
      </w:r>
      <w:r w:rsidRPr="006E709F">
        <w:rPr>
          <w:i/>
        </w:rPr>
        <w:t>Australian National Registry of Emissions Units Act 2011</w:t>
      </w:r>
      <w:r w:rsidRPr="006E709F">
        <w:t>; or</w:t>
      </w:r>
    </w:p>
    <w:p w14:paraId="1A2F8DAE" w14:textId="77777777" w:rsidR="00E93F58" w:rsidRPr="006E709F" w:rsidRDefault="00E93F58" w:rsidP="00F011D7">
      <w:pPr>
        <w:pStyle w:val="paragraphsub"/>
        <w:tabs>
          <w:tab w:val="clear" w:pos="1985"/>
          <w:tab w:val="right" w:pos="2552"/>
        </w:tabs>
        <w:ind w:left="2694" w:hanging="2694"/>
      </w:pPr>
      <w:r w:rsidRPr="006E709F">
        <w:tab/>
        <w:t>(B)</w:t>
      </w:r>
      <w:r w:rsidRPr="006E709F">
        <w:tab/>
        <w:t>in a disclosure document that has been lodged with ASIC; or</w:t>
      </w:r>
    </w:p>
    <w:p w14:paraId="2D5B030F" w14:textId="77777777" w:rsidR="00E93F58" w:rsidRPr="006E709F" w:rsidRDefault="00E93F58" w:rsidP="003C672B">
      <w:pPr>
        <w:pStyle w:val="ItemHead"/>
      </w:pPr>
      <w:r w:rsidRPr="006E709F">
        <w:t>19.23  Paragraph 1020D(b)</w:t>
      </w:r>
    </w:p>
    <w:p w14:paraId="17912ECB" w14:textId="77777777" w:rsidR="00E93F58" w:rsidRPr="006E709F" w:rsidRDefault="00E93F58" w:rsidP="00A801D0">
      <w:pPr>
        <w:pStyle w:val="Item"/>
        <w:rPr>
          <w:i/>
        </w:rPr>
      </w:pPr>
      <w:r w:rsidRPr="006E709F">
        <w:rPr>
          <w:i/>
        </w:rPr>
        <w:t>substitute</w:t>
      </w:r>
    </w:p>
    <w:p w14:paraId="37BCDB24" w14:textId="77777777" w:rsidR="00E93F58" w:rsidRPr="006E709F" w:rsidRDefault="00E93F58" w:rsidP="00F011D7">
      <w:pPr>
        <w:pStyle w:val="paragraph"/>
      </w:pPr>
      <w:r w:rsidRPr="006E709F">
        <w:tab/>
        <w:t>(b)</w:t>
      </w:r>
      <w:r w:rsidRPr="006E709F">
        <w:tab/>
        <w:t xml:space="preserve">if the acquisition occurs in circumstances in which the party is required by a provision of this Part to have been informed that the party should consider each statement about the carbon unit, Australian carbon credit unit or eligible international emissions unit that is published on the website of the Clean Energy Regulator as mentioned in section 202 of the </w:t>
      </w:r>
      <w:r w:rsidRPr="006E709F">
        <w:rPr>
          <w:i/>
        </w:rPr>
        <w:t>Clean Energy Act 2011</w:t>
      </w:r>
      <w:r w:rsidRPr="006E709F">
        <w:t xml:space="preserve">, section 162 of the </w:t>
      </w:r>
      <w:r w:rsidRPr="006E709F">
        <w:rPr>
          <w:i/>
        </w:rPr>
        <w:t>Carbon Credits (Carbon Farming Initiative) Act 2011</w:t>
      </w:r>
      <w:r w:rsidRPr="006E709F">
        <w:t xml:space="preserve"> or section 61 of the </w:t>
      </w:r>
      <w:r w:rsidRPr="006E709F">
        <w:rPr>
          <w:i/>
        </w:rPr>
        <w:t>Australian National Registry of Emissions Units Act 2011</w:t>
      </w:r>
      <w:r w:rsidRPr="006E709F">
        <w:t>—taken to have notice of any contract, document or matter not specifically referred to in those statements.</w:t>
      </w:r>
    </w:p>
    <w:p w14:paraId="632FD329" w14:textId="77777777" w:rsidR="00E93F58" w:rsidRPr="006E709F" w:rsidRDefault="00E93F58" w:rsidP="003C672B">
      <w:pPr>
        <w:pStyle w:val="ItemHead"/>
      </w:pPr>
      <w:r w:rsidRPr="006E709F">
        <w:t>19.24  Paragraph 1020E(7)(b)</w:t>
      </w:r>
    </w:p>
    <w:p w14:paraId="3CC4B8FE" w14:textId="77777777" w:rsidR="00E93F58" w:rsidRPr="006E709F" w:rsidRDefault="00E93F58" w:rsidP="00A801D0">
      <w:pPr>
        <w:pStyle w:val="Item"/>
        <w:rPr>
          <w:i/>
        </w:rPr>
      </w:pPr>
      <w:r w:rsidRPr="006E709F">
        <w:rPr>
          <w:i/>
        </w:rPr>
        <w:t>omit</w:t>
      </w:r>
    </w:p>
    <w:p w14:paraId="61F9ADBB" w14:textId="77777777" w:rsidR="00E93F58" w:rsidRPr="006E709F" w:rsidRDefault="00E93F58" w:rsidP="00A801D0">
      <w:pPr>
        <w:pStyle w:val="Item"/>
      </w:pPr>
      <w:r w:rsidRPr="006E709F">
        <w:t>the document, advertisement or statement</w:t>
      </w:r>
    </w:p>
    <w:p w14:paraId="428AC762" w14:textId="77777777" w:rsidR="00E93F58" w:rsidRPr="006E709F" w:rsidRDefault="00E93F58" w:rsidP="00A801D0">
      <w:pPr>
        <w:pStyle w:val="Item"/>
        <w:rPr>
          <w:i/>
        </w:rPr>
      </w:pPr>
      <w:r w:rsidRPr="006E709F">
        <w:rPr>
          <w:i/>
        </w:rPr>
        <w:t>insert</w:t>
      </w:r>
    </w:p>
    <w:p w14:paraId="610FDC62" w14:textId="77777777" w:rsidR="00E93F58" w:rsidRPr="006E709F" w:rsidRDefault="00E93F58" w:rsidP="00A801D0">
      <w:pPr>
        <w:pStyle w:val="Item"/>
      </w:pPr>
      <w:r w:rsidRPr="006E709F">
        <w:t>the statement or advertisement</w:t>
      </w:r>
    </w:p>
    <w:p w14:paraId="38867704" w14:textId="77777777" w:rsidR="00E93F58" w:rsidRPr="006E709F" w:rsidRDefault="00E93F58" w:rsidP="003811A2">
      <w:pPr>
        <w:pStyle w:val="ItemHead"/>
      </w:pPr>
      <w:r w:rsidRPr="006E709F">
        <w:t>19.25  Section 1021C, heading</w:t>
      </w:r>
    </w:p>
    <w:p w14:paraId="19909F02" w14:textId="77777777" w:rsidR="00E93F58" w:rsidRPr="006E709F" w:rsidRDefault="00E93F58" w:rsidP="003811A2">
      <w:pPr>
        <w:pStyle w:val="Item"/>
        <w:keepNext/>
        <w:rPr>
          <w:i/>
        </w:rPr>
      </w:pPr>
      <w:r w:rsidRPr="006E709F">
        <w:rPr>
          <w:i/>
        </w:rPr>
        <w:t>substitute</w:t>
      </w:r>
    </w:p>
    <w:p w14:paraId="5C30DF4D" w14:textId="77777777" w:rsidR="00E93F58" w:rsidRPr="006E709F" w:rsidRDefault="00E93F58" w:rsidP="002D66C6">
      <w:pPr>
        <w:pStyle w:val="Specials"/>
      </w:pPr>
      <w:r w:rsidRPr="006E709F">
        <w:t>1021C  Offence of failing to refer to statements on Clean Energy Regulator’s website</w:t>
      </w:r>
    </w:p>
    <w:p w14:paraId="59F36310" w14:textId="77777777" w:rsidR="00E93F58" w:rsidRPr="006E709F" w:rsidRDefault="00E93F58" w:rsidP="003C672B">
      <w:pPr>
        <w:pStyle w:val="ItemHead"/>
      </w:pPr>
      <w:r w:rsidRPr="006E709F">
        <w:t>19.26  Subparagraph 1021C(1)(a)(i)</w:t>
      </w:r>
    </w:p>
    <w:p w14:paraId="692C51B3" w14:textId="77777777" w:rsidR="00E93F58" w:rsidRPr="006E709F" w:rsidRDefault="00E93F58" w:rsidP="00A801D0">
      <w:pPr>
        <w:pStyle w:val="Item"/>
        <w:rPr>
          <w:i/>
        </w:rPr>
      </w:pPr>
      <w:r w:rsidRPr="006E709F">
        <w:rPr>
          <w:i/>
        </w:rPr>
        <w:t>substitute</w:t>
      </w:r>
    </w:p>
    <w:p w14:paraId="644727A7" w14:textId="77777777" w:rsidR="00E93F58" w:rsidRPr="006E709F" w:rsidRDefault="00E93F58" w:rsidP="00F011D7">
      <w:pPr>
        <w:pStyle w:val="paragraphsub"/>
      </w:pPr>
      <w:r w:rsidRPr="006E709F">
        <w:tab/>
        <w:t>(i)</w:t>
      </w:r>
      <w:r w:rsidRPr="006E709F">
        <w:tab/>
        <w:t xml:space="preserve">is required by a provision of this Part to inform a person that the person should consider each statement about a carbon unit, an Australian carbon credit unit or an eligible international emissions unit that is published on the website of the Clean Energy Regulator as mentioned in section 202 of the </w:t>
      </w:r>
      <w:r w:rsidRPr="006E709F">
        <w:rPr>
          <w:i/>
        </w:rPr>
        <w:t>Clean Energy Act 2011</w:t>
      </w:r>
      <w:r w:rsidRPr="006E709F">
        <w:t xml:space="preserve">, section 162 of the </w:t>
      </w:r>
      <w:r w:rsidRPr="006E709F">
        <w:rPr>
          <w:i/>
        </w:rPr>
        <w:t xml:space="preserve">Carbon Credits (Carbon Farming </w:t>
      </w:r>
      <w:r w:rsidRPr="006E709F">
        <w:rPr>
          <w:i/>
        </w:rPr>
        <w:lastRenderedPageBreak/>
        <w:t>Initiative) Act 2011</w:t>
      </w:r>
      <w:r w:rsidRPr="006E709F">
        <w:t xml:space="preserve"> or section 61 of the </w:t>
      </w:r>
      <w:r w:rsidRPr="006E709F">
        <w:rPr>
          <w:i/>
        </w:rPr>
        <w:t>Australian National Registry of Emissions Units Act 2011</w:t>
      </w:r>
      <w:r w:rsidRPr="006E709F">
        <w:t xml:space="preserve"> (the </w:t>
      </w:r>
      <w:r w:rsidRPr="006E709F">
        <w:rPr>
          <w:b/>
          <w:bCs/>
          <w:i/>
          <w:iCs/>
        </w:rPr>
        <w:t>required statement</w:t>
      </w:r>
      <w:r w:rsidRPr="006E709F">
        <w:t>); or</w:t>
      </w:r>
    </w:p>
    <w:p w14:paraId="18C91387" w14:textId="77777777" w:rsidR="00E93F58" w:rsidRPr="006E709F" w:rsidRDefault="00E93F58" w:rsidP="003C672B">
      <w:pPr>
        <w:pStyle w:val="ItemHead"/>
      </w:pPr>
      <w:r w:rsidRPr="006E709F">
        <w:t>19.27  Subparagraph 1021C(1)(b)(i)</w:t>
      </w:r>
    </w:p>
    <w:p w14:paraId="74FEDE0F" w14:textId="77777777" w:rsidR="00E93F58" w:rsidRPr="006E709F" w:rsidRDefault="00E93F58" w:rsidP="00A801D0">
      <w:pPr>
        <w:pStyle w:val="Item"/>
        <w:rPr>
          <w:i/>
        </w:rPr>
      </w:pPr>
      <w:r w:rsidRPr="006E709F">
        <w:rPr>
          <w:i/>
        </w:rPr>
        <w:t>substitute</w:t>
      </w:r>
    </w:p>
    <w:p w14:paraId="7099D23E" w14:textId="77777777" w:rsidR="00E93F58" w:rsidRPr="006E709F" w:rsidRDefault="00E93F58" w:rsidP="00F011D7">
      <w:pPr>
        <w:pStyle w:val="paragraphsub"/>
      </w:pPr>
      <w:r w:rsidRPr="006E709F">
        <w:tab/>
        <w:t>(i)</w:t>
      </w:r>
      <w:r w:rsidRPr="006E709F">
        <w:tab/>
        <w:t>if subparagraph (a)(i) applies—inform the person that the person should consider each required statement; or</w:t>
      </w:r>
    </w:p>
    <w:p w14:paraId="58238AD6" w14:textId="77777777" w:rsidR="00E93F58" w:rsidRPr="006E709F" w:rsidRDefault="00E93F58" w:rsidP="003C672B">
      <w:pPr>
        <w:pStyle w:val="ItemHead"/>
      </w:pPr>
      <w:r w:rsidRPr="006E709F">
        <w:t>19.28  Subparagraph 1021C(3)(a)(i)</w:t>
      </w:r>
    </w:p>
    <w:p w14:paraId="66920663" w14:textId="77777777" w:rsidR="00E93F58" w:rsidRPr="006E709F" w:rsidRDefault="00E93F58" w:rsidP="00A801D0">
      <w:pPr>
        <w:pStyle w:val="Item"/>
        <w:rPr>
          <w:i/>
        </w:rPr>
      </w:pPr>
      <w:r w:rsidRPr="006E709F">
        <w:rPr>
          <w:i/>
        </w:rPr>
        <w:t>substitute</w:t>
      </w:r>
    </w:p>
    <w:p w14:paraId="0B0BEB38" w14:textId="77777777" w:rsidR="00E93F58" w:rsidRPr="006E709F" w:rsidRDefault="00E93F58" w:rsidP="00F011D7">
      <w:pPr>
        <w:pStyle w:val="paragraphsub"/>
      </w:pPr>
      <w:r w:rsidRPr="006E709F">
        <w:tab/>
        <w:t>(i)</w:t>
      </w:r>
      <w:r w:rsidRPr="006E709F">
        <w:tab/>
        <w:t xml:space="preserve">is required by a provision of this Part to inform a person that the person should consider each statement about a carbon unit, an Australian carbon credit unit or an eligible international emissions unit that is published on the website of the Clean Energy Regulator as mentioned in section 202 of the </w:t>
      </w:r>
      <w:r w:rsidRPr="006E709F">
        <w:rPr>
          <w:i/>
        </w:rPr>
        <w:t>Clean Energy Act 2011</w:t>
      </w:r>
      <w:r w:rsidRPr="006E709F">
        <w:t xml:space="preserve">, section 162 of the </w:t>
      </w:r>
      <w:r w:rsidRPr="006E709F">
        <w:rPr>
          <w:i/>
        </w:rPr>
        <w:t>Carbon Credits (Carbon Farming Initiative) Act 2011</w:t>
      </w:r>
      <w:r w:rsidRPr="006E709F">
        <w:t xml:space="preserve"> or section 61 of the </w:t>
      </w:r>
      <w:r w:rsidRPr="006E709F">
        <w:rPr>
          <w:i/>
        </w:rPr>
        <w:t>Australian National Registry of Emissions Units Act 2011</w:t>
      </w:r>
      <w:r w:rsidRPr="006E709F">
        <w:t xml:space="preserve"> (the </w:t>
      </w:r>
      <w:r w:rsidRPr="006E709F">
        <w:rPr>
          <w:b/>
          <w:bCs/>
          <w:i/>
          <w:iCs/>
        </w:rPr>
        <w:t>required statement</w:t>
      </w:r>
      <w:r w:rsidRPr="006E709F">
        <w:t>); or</w:t>
      </w:r>
    </w:p>
    <w:p w14:paraId="634B825B" w14:textId="77777777" w:rsidR="00E93F58" w:rsidRPr="006E709F" w:rsidRDefault="00E93F58" w:rsidP="003C672B">
      <w:pPr>
        <w:pStyle w:val="ItemHead"/>
      </w:pPr>
      <w:r w:rsidRPr="006E709F">
        <w:t>19.29  Subparagraph 1021C(3)(b)(i)</w:t>
      </w:r>
    </w:p>
    <w:p w14:paraId="62D4D40B" w14:textId="77777777" w:rsidR="00E93F58" w:rsidRPr="006E709F" w:rsidRDefault="00E93F58" w:rsidP="00A801D0">
      <w:pPr>
        <w:pStyle w:val="Item"/>
        <w:rPr>
          <w:i/>
        </w:rPr>
      </w:pPr>
      <w:r w:rsidRPr="006E709F">
        <w:rPr>
          <w:i/>
        </w:rPr>
        <w:t>substitute</w:t>
      </w:r>
    </w:p>
    <w:p w14:paraId="19D794EC" w14:textId="77777777" w:rsidR="00E93F58" w:rsidRPr="006E709F" w:rsidRDefault="00E93F58" w:rsidP="00F011D7">
      <w:pPr>
        <w:pStyle w:val="paragraphsub"/>
      </w:pPr>
      <w:r w:rsidRPr="006E709F">
        <w:tab/>
        <w:t>(i)</w:t>
      </w:r>
      <w:r w:rsidRPr="006E709F">
        <w:tab/>
        <w:t>if subparagraph (a)(i) applies—inform the person that the person should consider each required statement; or</w:t>
      </w:r>
    </w:p>
    <w:p w14:paraId="7E78DCED" w14:textId="77777777" w:rsidR="00E93F58" w:rsidRPr="006E709F" w:rsidRDefault="00E93F58" w:rsidP="003C672B">
      <w:pPr>
        <w:pStyle w:val="ItemHead"/>
      </w:pPr>
      <w:r w:rsidRPr="006E709F">
        <w:t>19.30  Paragraph 1021C(4)(b)</w:t>
      </w:r>
    </w:p>
    <w:p w14:paraId="7DC05CF7" w14:textId="77777777" w:rsidR="00E93F58" w:rsidRPr="006E709F" w:rsidRDefault="00E93F58" w:rsidP="00A801D0">
      <w:pPr>
        <w:pStyle w:val="Item"/>
        <w:rPr>
          <w:i/>
        </w:rPr>
      </w:pPr>
      <w:r w:rsidRPr="006E709F">
        <w:rPr>
          <w:i/>
        </w:rPr>
        <w:t>substitute</w:t>
      </w:r>
    </w:p>
    <w:p w14:paraId="57BB6D16" w14:textId="77777777" w:rsidR="00E93F58" w:rsidRPr="006E709F" w:rsidRDefault="00E93F58" w:rsidP="00F011D7">
      <w:pPr>
        <w:pStyle w:val="paragraph"/>
      </w:pPr>
      <w:r w:rsidRPr="006E709F">
        <w:tab/>
        <w:t>(b)</w:t>
      </w:r>
      <w:r w:rsidRPr="006E709F">
        <w:tab/>
        <w:t>the representative’s failure to inform the person that the person should consider each required statement occurred because the representative was acting in reliance on that information or those instructions; and</w:t>
      </w:r>
    </w:p>
    <w:p w14:paraId="4C54BA7C" w14:textId="77777777" w:rsidR="00E93F58" w:rsidRPr="006E709F" w:rsidRDefault="00E93F58" w:rsidP="003C672B">
      <w:pPr>
        <w:pStyle w:val="ItemHead"/>
      </w:pPr>
      <w:r w:rsidRPr="006E709F">
        <w:t>19.31  Section 1021G</w:t>
      </w:r>
    </w:p>
    <w:p w14:paraId="69830A8D" w14:textId="77777777" w:rsidR="00E93F58" w:rsidRPr="006E709F" w:rsidRDefault="00E93F58" w:rsidP="00A801D0">
      <w:pPr>
        <w:pStyle w:val="Item"/>
        <w:rPr>
          <w:i/>
        </w:rPr>
      </w:pPr>
      <w:r w:rsidRPr="006E709F">
        <w:rPr>
          <w:i/>
        </w:rPr>
        <w:t>omit</w:t>
      </w:r>
    </w:p>
    <w:p w14:paraId="6338A574" w14:textId="77777777" w:rsidR="00E93F58" w:rsidRPr="006E709F" w:rsidRDefault="00E93F58" w:rsidP="00A801D0">
      <w:pPr>
        <w:pStyle w:val="Item"/>
      </w:pPr>
      <w:r w:rsidRPr="006E709F">
        <w:t>to give or communicate disclosure documents or statements as and when required by this Part.</w:t>
      </w:r>
    </w:p>
    <w:p w14:paraId="0F303201" w14:textId="77777777" w:rsidR="00E93F58" w:rsidRPr="006E709F" w:rsidRDefault="00E93F58" w:rsidP="00A801D0">
      <w:pPr>
        <w:pStyle w:val="Item"/>
        <w:rPr>
          <w:i/>
        </w:rPr>
      </w:pPr>
      <w:r w:rsidRPr="006E709F">
        <w:rPr>
          <w:i/>
        </w:rPr>
        <w:t>insert</w:t>
      </w:r>
    </w:p>
    <w:p w14:paraId="46FB0231" w14:textId="77777777" w:rsidR="00E93F58" w:rsidRPr="006E709F" w:rsidRDefault="00E93F58" w:rsidP="00A801D0">
      <w:pPr>
        <w:pStyle w:val="Item"/>
      </w:pPr>
      <w:r w:rsidRPr="006E709F">
        <w:t xml:space="preserve">to inform a person that the person should consider each statement about a carbon unit, an Australian carbon credit unit or an eligible international emissions unit that is published on the website of the Clean Energy Regulator as mentioned in section 202 of the </w:t>
      </w:r>
      <w:r w:rsidRPr="006E709F">
        <w:rPr>
          <w:i/>
        </w:rPr>
        <w:t>Clean Energy Act 2011</w:t>
      </w:r>
      <w:r w:rsidRPr="006E709F">
        <w:t xml:space="preserve">, section 162 of the </w:t>
      </w:r>
      <w:r w:rsidRPr="006E709F">
        <w:rPr>
          <w:i/>
        </w:rPr>
        <w:t>Carbon Credits (Carbon Farming Initiative) Act 2011</w:t>
      </w:r>
      <w:r w:rsidRPr="006E709F">
        <w:t xml:space="preserve"> or section 61 of the </w:t>
      </w:r>
      <w:r w:rsidRPr="006E709F">
        <w:rPr>
          <w:i/>
        </w:rPr>
        <w:t>Australian National Registry of Emissions Units Act 2011</w:t>
      </w:r>
      <w:r w:rsidRPr="006E709F">
        <w:t xml:space="preserve"> as and when required by this Part.</w:t>
      </w:r>
    </w:p>
    <w:p w14:paraId="268FE3A0" w14:textId="77777777" w:rsidR="00E93F58" w:rsidRPr="006E709F" w:rsidRDefault="00E93F58" w:rsidP="003C672B">
      <w:pPr>
        <w:pStyle w:val="ItemHead"/>
      </w:pPr>
      <w:r w:rsidRPr="006E709F">
        <w:t>19.32  After paragraph 1022B(1)(ac)</w:t>
      </w:r>
    </w:p>
    <w:p w14:paraId="791C3216" w14:textId="77777777" w:rsidR="00E93F58" w:rsidRPr="006E709F" w:rsidRDefault="00E93F58" w:rsidP="00A801D0">
      <w:pPr>
        <w:pStyle w:val="Item"/>
        <w:rPr>
          <w:i/>
        </w:rPr>
      </w:pPr>
      <w:r w:rsidRPr="006E709F">
        <w:rPr>
          <w:i/>
        </w:rPr>
        <w:t>insert</w:t>
      </w:r>
    </w:p>
    <w:p w14:paraId="49BA6257" w14:textId="77777777" w:rsidR="00E93F58" w:rsidRPr="006E709F" w:rsidRDefault="00E93F58" w:rsidP="00F011D7">
      <w:pPr>
        <w:pStyle w:val="paragraph"/>
        <w:rPr>
          <w:szCs w:val="22"/>
        </w:rPr>
      </w:pPr>
      <w:r w:rsidRPr="006E709F">
        <w:rPr>
          <w:szCs w:val="22"/>
        </w:rPr>
        <w:tab/>
        <w:t>(ad)</w:t>
      </w:r>
      <w:r w:rsidRPr="006E709F">
        <w:rPr>
          <w:szCs w:val="22"/>
        </w:rPr>
        <w:tab/>
        <w:t>a person:</w:t>
      </w:r>
    </w:p>
    <w:p w14:paraId="0E5B7043" w14:textId="77777777" w:rsidR="00E93F58" w:rsidRPr="006E709F" w:rsidRDefault="00E93F58" w:rsidP="00F011D7">
      <w:pPr>
        <w:pStyle w:val="paragraphsub"/>
      </w:pPr>
      <w:r w:rsidRPr="006E709F">
        <w:tab/>
        <w:t>(i)</w:t>
      </w:r>
      <w:r w:rsidRPr="006E709F">
        <w:tab/>
        <w:t xml:space="preserve">is required to inform another person (the </w:t>
      </w:r>
      <w:r w:rsidRPr="006E709F">
        <w:rPr>
          <w:b/>
          <w:i/>
        </w:rPr>
        <w:t>client</w:t>
      </w:r>
      <w:r w:rsidRPr="006E709F">
        <w:t xml:space="preserve">) that the client should consider each statement about a carbon unit that is published on the website of the Clean Energy Regulator as mentioned in section 202 of the </w:t>
      </w:r>
      <w:r w:rsidRPr="006E709F">
        <w:rPr>
          <w:i/>
        </w:rPr>
        <w:t>Clean Energy Act 2011</w:t>
      </w:r>
      <w:r w:rsidRPr="006E709F">
        <w:t>; and</w:t>
      </w:r>
    </w:p>
    <w:p w14:paraId="64EE66D8" w14:textId="77777777" w:rsidR="00E93F58" w:rsidRPr="006E709F" w:rsidRDefault="00E93F58" w:rsidP="00F011D7">
      <w:pPr>
        <w:pStyle w:val="paragraphsub"/>
      </w:pPr>
      <w:r w:rsidRPr="006E709F">
        <w:tab/>
        <w:t>(ii)</w:t>
      </w:r>
      <w:r w:rsidRPr="006E709F">
        <w:tab/>
        <w:t>does not inform the client by the time the person is required to do so; or</w:t>
      </w:r>
    </w:p>
    <w:p w14:paraId="28EC68A0" w14:textId="77777777" w:rsidR="00E93F58" w:rsidRPr="006E709F" w:rsidRDefault="00E93F58" w:rsidP="00F011D7">
      <w:pPr>
        <w:pStyle w:val="paragraph"/>
        <w:rPr>
          <w:szCs w:val="22"/>
        </w:rPr>
      </w:pPr>
      <w:r w:rsidRPr="006E709F">
        <w:rPr>
          <w:szCs w:val="22"/>
        </w:rPr>
        <w:tab/>
        <w:t>(ae)</w:t>
      </w:r>
      <w:r w:rsidRPr="006E709F">
        <w:rPr>
          <w:szCs w:val="22"/>
        </w:rPr>
        <w:tab/>
        <w:t>a person:</w:t>
      </w:r>
    </w:p>
    <w:p w14:paraId="10769B25" w14:textId="77777777" w:rsidR="00E93F58" w:rsidRPr="006E709F" w:rsidRDefault="00E93F58" w:rsidP="00F011D7">
      <w:pPr>
        <w:pStyle w:val="paragraphsub"/>
      </w:pPr>
      <w:r w:rsidRPr="006E709F">
        <w:tab/>
        <w:t>(i)</w:t>
      </w:r>
      <w:r w:rsidRPr="006E709F">
        <w:tab/>
        <w:t xml:space="preserve">is required to inform another person (the </w:t>
      </w:r>
      <w:r w:rsidRPr="006E709F">
        <w:rPr>
          <w:b/>
          <w:i/>
        </w:rPr>
        <w:t>client</w:t>
      </w:r>
      <w:r w:rsidRPr="006E709F">
        <w:t xml:space="preserve">) that the client should consider each statement about an Australian carbon credit unit that is published on the website of the Clean Energy Regulator as mentioned in section 162 of the </w:t>
      </w:r>
      <w:r w:rsidRPr="006E709F">
        <w:rPr>
          <w:i/>
        </w:rPr>
        <w:t>Carbon Credits (Carbon Farming Initiative) Act 2011</w:t>
      </w:r>
      <w:r w:rsidRPr="006E709F">
        <w:t>; and</w:t>
      </w:r>
    </w:p>
    <w:p w14:paraId="312A85D3" w14:textId="77777777" w:rsidR="00E93F58" w:rsidRPr="006E709F" w:rsidRDefault="00E93F58" w:rsidP="00F011D7">
      <w:pPr>
        <w:pStyle w:val="paragraphsub"/>
      </w:pPr>
      <w:r w:rsidRPr="006E709F">
        <w:tab/>
        <w:t>(ii)</w:t>
      </w:r>
      <w:r w:rsidRPr="006E709F">
        <w:tab/>
        <w:t>does not inform the client by the time the person is required to do so; or</w:t>
      </w:r>
    </w:p>
    <w:p w14:paraId="475CD003" w14:textId="77777777" w:rsidR="00E93F58" w:rsidRPr="006E709F" w:rsidRDefault="00E93F58" w:rsidP="00A53AD1">
      <w:pPr>
        <w:pStyle w:val="paragraph"/>
        <w:keepNext/>
        <w:keepLines/>
        <w:rPr>
          <w:szCs w:val="22"/>
        </w:rPr>
      </w:pPr>
      <w:r w:rsidRPr="006E709F">
        <w:rPr>
          <w:szCs w:val="22"/>
        </w:rPr>
        <w:tab/>
        <w:t>(af)</w:t>
      </w:r>
      <w:r w:rsidRPr="006E709F">
        <w:rPr>
          <w:szCs w:val="22"/>
        </w:rPr>
        <w:tab/>
        <w:t>a person:</w:t>
      </w:r>
    </w:p>
    <w:p w14:paraId="4EA4CD31" w14:textId="77777777" w:rsidR="00E93F58" w:rsidRPr="006E709F" w:rsidRDefault="00E93F58" w:rsidP="00F011D7">
      <w:pPr>
        <w:pStyle w:val="paragraphsub"/>
      </w:pPr>
      <w:r w:rsidRPr="006E709F">
        <w:tab/>
        <w:t>(i)</w:t>
      </w:r>
      <w:r w:rsidRPr="006E709F">
        <w:tab/>
        <w:t xml:space="preserve">is required to inform another person (the </w:t>
      </w:r>
      <w:r w:rsidRPr="006E709F">
        <w:rPr>
          <w:b/>
          <w:i/>
        </w:rPr>
        <w:t>client</w:t>
      </w:r>
      <w:r w:rsidRPr="006E709F">
        <w:t xml:space="preserve">) that the client should consider each statement about an eligible international emissions unit that is published on the website of the Clean Energy Regulator as mentioned in section 61 of the </w:t>
      </w:r>
      <w:r w:rsidRPr="006E709F">
        <w:rPr>
          <w:i/>
        </w:rPr>
        <w:t>Australian National Registry of Emissions Units Act 2011</w:t>
      </w:r>
      <w:r w:rsidRPr="006E709F">
        <w:t>; and</w:t>
      </w:r>
    </w:p>
    <w:p w14:paraId="2360C34B" w14:textId="77777777" w:rsidR="00E93F58" w:rsidRPr="006E709F" w:rsidRDefault="00E93F58" w:rsidP="00F011D7">
      <w:pPr>
        <w:pStyle w:val="paragraphsub"/>
      </w:pPr>
      <w:r w:rsidRPr="006E709F">
        <w:tab/>
        <w:t>(ii)</w:t>
      </w:r>
      <w:r w:rsidRPr="006E709F">
        <w:tab/>
        <w:t>does not inform the client by the time the person is required to do so; or</w:t>
      </w:r>
    </w:p>
    <w:p w14:paraId="5230DCB3" w14:textId="77777777" w:rsidR="00E93F58" w:rsidRPr="006E709F" w:rsidRDefault="00E93F58" w:rsidP="00A801D0">
      <w:pPr>
        <w:pStyle w:val="ActHead1"/>
        <w:pageBreakBefore/>
      </w:pPr>
      <w:bookmarkStart w:id="3518" w:name="_Toc151992507"/>
      <w:bookmarkStart w:id="3519" w:name="_Toc158713544"/>
      <w:r w:rsidRPr="000C4237">
        <w:rPr>
          <w:rStyle w:val="CharChapNo"/>
        </w:rPr>
        <w:lastRenderedPageBreak/>
        <w:t>Schedule 10AA</w:t>
      </w:r>
      <w:r w:rsidRPr="006E709F">
        <w:t>—</w:t>
      </w:r>
      <w:r w:rsidRPr="000C4237">
        <w:rPr>
          <w:rStyle w:val="CharChapText"/>
        </w:rPr>
        <w:t>Modifications of the Act in relation to their application in respect of a recognised offer or a proposed offer of securities that may become a recognised offer</w:t>
      </w:r>
      <w:bookmarkEnd w:id="3518"/>
      <w:bookmarkEnd w:id="3519"/>
    </w:p>
    <w:p w14:paraId="378FB1AB" w14:textId="77777777" w:rsidR="00E93F58" w:rsidRPr="006E709F" w:rsidRDefault="00E93F58" w:rsidP="00A801D0">
      <w:pPr>
        <w:pStyle w:val="notemargin"/>
      </w:pPr>
      <w:r w:rsidRPr="006E709F">
        <w:t>(regulation 8.4.02)</w:t>
      </w:r>
    </w:p>
    <w:p w14:paraId="1E9FC384" w14:textId="77777777" w:rsidR="00E93F58" w:rsidRPr="006E709F" w:rsidRDefault="00E93F58" w:rsidP="00A801D0">
      <w:pPr>
        <w:pStyle w:val="ActHead2"/>
      </w:pPr>
      <w:bookmarkStart w:id="3520" w:name="_Toc151992508"/>
      <w:bookmarkStart w:id="3521" w:name="_Toc158713545"/>
      <w:r w:rsidRPr="000C4237">
        <w:rPr>
          <w:rStyle w:val="CharPartNo"/>
        </w:rPr>
        <w:t>Part 1</w:t>
      </w:r>
      <w:r w:rsidRPr="006E709F">
        <w:t>—</w:t>
      </w:r>
      <w:r w:rsidRPr="000C4237">
        <w:rPr>
          <w:rStyle w:val="CharPartText"/>
        </w:rPr>
        <w:t>Modification of Part 6D.2 of the Act—disclosure to investors not required for recognised offer under Chapter 8</w:t>
      </w:r>
      <w:bookmarkEnd w:id="3520"/>
      <w:bookmarkEnd w:id="3521"/>
    </w:p>
    <w:p w14:paraId="721C62FC" w14:textId="77777777" w:rsidR="00E93F58" w:rsidRPr="006E709F" w:rsidRDefault="00E93F58" w:rsidP="00E07D2E">
      <w:pPr>
        <w:pStyle w:val="Header"/>
      </w:pPr>
      <w:r w:rsidRPr="000C4237">
        <w:rPr>
          <w:rStyle w:val="CharDivNo"/>
        </w:rPr>
        <w:t xml:space="preserve"> </w:t>
      </w:r>
      <w:r w:rsidRPr="000C4237">
        <w:rPr>
          <w:rStyle w:val="CharDivText"/>
        </w:rPr>
        <w:t xml:space="preserve"> </w:t>
      </w:r>
    </w:p>
    <w:p w14:paraId="460E5B0D" w14:textId="77777777" w:rsidR="00E93F58" w:rsidRPr="006E709F" w:rsidRDefault="00E93F58" w:rsidP="002F4113">
      <w:pPr>
        <w:pStyle w:val="ItemHead"/>
      </w:pPr>
      <w:r w:rsidRPr="006E709F">
        <w:t>1.1  After subsection 707(3)</w:t>
      </w:r>
    </w:p>
    <w:p w14:paraId="2FC7E527" w14:textId="77777777" w:rsidR="00E93F58" w:rsidRPr="006E709F" w:rsidRDefault="00E93F58" w:rsidP="00A801D0">
      <w:pPr>
        <w:pStyle w:val="Item"/>
        <w:rPr>
          <w:i/>
        </w:rPr>
      </w:pPr>
      <w:r w:rsidRPr="006E709F">
        <w:rPr>
          <w:i/>
        </w:rPr>
        <w:t>insert</w:t>
      </w:r>
    </w:p>
    <w:p w14:paraId="22AEE46F" w14:textId="77777777" w:rsidR="00E93F58" w:rsidRPr="006E709F" w:rsidRDefault="00E93F58" w:rsidP="00A801D0">
      <w:pPr>
        <w:pStyle w:val="subsection"/>
      </w:pPr>
      <w:r w:rsidRPr="006E709F">
        <w:tab/>
        <w:t>(3A)</w:t>
      </w:r>
      <w:r w:rsidRPr="006E709F">
        <w:tab/>
        <w:t>Subsection (3) does not apply to an offer of a body’s securities for sale if the body issued the securities as part of a recognised offer under Chapter 8.</w:t>
      </w:r>
    </w:p>
    <w:p w14:paraId="2A7E32F1" w14:textId="77777777" w:rsidR="00E93F58" w:rsidRPr="006E709F" w:rsidRDefault="00E93F58" w:rsidP="00A801D0">
      <w:pPr>
        <w:pStyle w:val="subsection"/>
      </w:pPr>
      <w:r w:rsidRPr="006E709F">
        <w:tab/>
        <w:t>(3B)</w:t>
      </w:r>
      <w:r w:rsidRPr="006E709F">
        <w:tab/>
        <w:t>Subsection (3) does not apply to an offer of a body’s securities for sale if:</w:t>
      </w:r>
    </w:p>
    <w:p w14:paraId="46751F5E" w14:textId="77777777" w:rsidR="00E93F58" w:rsidRPr="006E709F" w:rsidRDefault="00E93F58" w:rsidP="00A801D0">
      <w:pPr>
        <w:pStyle w:val="paragraph"/>
      </w:pPr>
      <w:r w:rsidRPr="006E709F">
        <w:tab/>
        <w:t>(a)</w:t>
      </w:r>
      <w:r w:rsidRPr="006E709F">
        <w:tab/>
        <w:t>the securities were issued by reason of the exercise of options or the conversion of convertible or converting securities; and</w:t>
      </w:r>
    </w:p>
    <w:p w14:paraId="16412E7F" w14:textId="77777777" w:rsidR="00E93F58" w:rsidRPr="006E709F" w:rsidRDefault="00E93F58" w:rsidP="00A801D0">
      <w:pPr>
        <w:pStyle w:val="paragraph"/>
      </w:pPr>
      <w:r w:rsidRPr="006E709F">
        <w:tab/>
        <w:t>(b)</w:t>
      </w:r>
      <w:r w:rsidRPr="006E709F">
        <w:tab/>
        <w:t>the options or other convertible or converting securities were issued as part of a recognised offer under Chapter 8; and</w:t>
      </w:r>
    </w:p>
    <w:p w14:paraId="5DA16D57" w14:textId="77777777" w:rsidR="00E93F58" w:rsidRPr="006E709F" w:rsidRDefault="00E93F58" w:rsidP="00A801D0">
      <w:pPr>
        <w:pStyle w:val="paragraph"/>
      </w:pPr>
      <w:r w:rsidRPr="006E709F">
        <w:tab/>
        <w:t>(c)</w:t>
      </w:r>
      <w:r w:rsidRPr="006E709F">
        <w:tab/>
        <w:t>the exercise of the option, or the conversion of the security, did not involve any further offer.</w:t>
      </w:r>
    </w:p>
    <w:p w14:paraId="14EC8D15" w14:textId="77777777" w:rsidR="00E93F58" w:rsidRPr="006E709F" w:rsidRDefault="00E93F58" w:rsidP="002F4113">
      <w:pPr>
        <w:pStyle w:val="ItemHead"/>
      </w:pPr>
      <w:r w:rsidRPr="006E709F">
        <w:t>1.2  After subsection 707(5)</w:t>
      </w:r>
    </w:p>
    <w:p w14:paraId="51ED1660" w14:textId="77777777" w:rsidR="00E93F58" w:rsidRPr="006E709F" w:rsidRDefault="00E93F58" w:rsidP="00A801D0">
      <w:pPr>
        <w:pStyle w:val="Item"/>
        <w:rPr>
          <w:i/>
        </w:rPr>
      </w:pPr>
      <w:r w:rsidRPr="006E709F">
        <w:rPr>
          <w:i/>
        </w:rPr>
        <w:t>insert</w:t>
      </w:r>
    </w:p>
    <w:p w14:paraId="0F80401D" w14:textId="77777777" w:rsidR="00E93F58" w:rsidRPr="006E709F" w:rsidRDefault="00E93F58" w:rsidP="00A801D0">
      <w:pPr>
        <w:pStyle w:val="subsection"/>
      </w:pPr>
      <w:r w:rsidRPr="006E709F">
        <w:tab/>
        <w:t>(5A)</w:t>
      </w:r>
      <w:r w:rsidRPr="006E709F">
        <w:tab/>
        <w:t>Subsection (5) does not apply to an offer of a body’s securities for sale if the controller sold the securities as part of a recognised offer under Chapter 8.</w:t>
      </w:r>
    </w:p>
    <w:p w14:paraId="462846D7" w14:textId="77777777" w:rsidR="00E93F58" w:rsidRPr="006E709F" w:rsidRDefault="00E93F58" w:rsidP="00495B24">
      <w:pPr>
        <w:pStyle w:val="ActHead2"/>
        <w:pageBreakBefore/>
        <w:spacing w:before="240"/>
      </w:pPr>
      <w:bookmarkStart w:id="3522" w:name="_Toc151992509"/>
      <w:bookmarkStart w:id="3523" w:name="_Toc158713546"/>
      <w:r w:rsidRPr="000C4237">
        <w:rPr>
          <w:rStyle w:val="CharPartNo"/>
        </w:rPr>
        <w:lastRenderedPageBreak/>
        <w:t>Part 2</w:t>
      </w:r>
      <w:r w:rsidRPr="006E709F">
        <w:t>—</w:t>
      </w:r>
      <w:r w:rsidRPr="000C4237">
        <w:rPr>
          <w:rStyle w:val="CharPartText"/>
        </w:rPr>
        <w:t>Modification of Part 7.9 of the Act—disclosure to investors not required for recognised offer under Chapter 8</w:t>
      </w:r>
      <w:bookmarkEnd w:id="3522"/>
      <w:bookmarkEnd w:id="3523"/>
    </w:p>
    <w:p w14:paraId="123289B0" w14:textId="77777777" w:rsidR="00E93F58" w:rsidRPr="006E709F" w:rsidRDefault="00E93F58" w:rsidP="00E07D2E">
      <w:pPr>
        <w:pStyle w:val="Header"/>
      </w:pPr>
      <w:r w:rsidRPr="000C4237">
        <w:rPr>
          <w:rStyle w:val="CharDivNo"/>
        </w:rPr>
        <w:t xml:space="preserve"> </w:t>
      </w:r>
      <w:r w:rsidRPr="000C4237">
        <w:rPr>
          <w:rStyle w:val="CharDivText"/>
        </w:rPr>
        <w:t xml:space="preserve"> </w:t>
      </w:r>
    </w:p>
    <w:p w14:paraId="37D8E7C6" w14:textId="77777777" w:rsidR="00E93F58" w:rsidRPr="006E709F" w:rsidRDefault="00E93F58" w:rsidP="002F4113">
      <w:pPr>
        <w:pStyle w:val="ItemHead"/>
      </w:pPr>
      <w:r w:rsidRPr="006E709F">
        <w:t>2.1  After subsection 1012C(6)</w:t>
      </w:r>
    </w:p>
    <w:p w14:paraId="174071AC" w14:textId="77777777" w:rsidR="00E93F58" w:rsidRPr="006E709F" w:rsidRDefault="00E93F58" w:rsidP="00A801D0">
      <w:pPr>
        <w:pStyle w:val="Item"/>
        <w:rPr>
          <w:i/>
        </w:rPr>
      </w:pPr>
      <w:r w:rsidRPr="006E709F">
        <w:rPr>
          <w:i/>
        </w:rPr>
        <w:t>insert</w:t>
      </w:r>
    </w:p>
    <w:p w14:paraId="1E5585B0" w14:textId="77777777" w:rsidR="00E93F58" w:rsidRPr="006E709F" w:rsidRDefault="00E93F58" w:rsidP="00A801D0">
      <w:pPr>
        <w:pStyle w:val="subsection"/>
      </w:pPr>
      <w:r w:rsidRPr="006E709F">
        <w:tab/>
        <w:t>(6A)</w:t>
      </w:r>
      <w:r w:rsidRPr="006E709F">
        <w:tab/>
        <w:t>Subsection (6) does not apply to an offer of a financial product for sale if the issuer issued the financial product as part of a recognised offer under Chapter 8.</w:t>
      </w:r>
    </w:p>
    <w:p w14:paraId="51F67F3D" w14:textId="77777777" w:rsidR="00E93F58" w:rsidRPr="006E709F" w:rsidRDefault="00E93F58" w:rsidP="00A801D0">
      <w:pPr>
        <w:pStyle w:val="subsection"/>
      </w:pPr>
      <w:r w:rsidRPr="006E709F">
        <w:tab/>
        <w:t>(6B)</w:t>
      </w:r>
      <w:r w:rsidRPr="006E709F">
        <w:tab/>
        <w:t>Subsection (6) does not apply to an offer of a financial product for sale if:</w:t>
      </w:r>
    </w:p>
    <w:p w14:paraId="787C19E1" w14:textId="77777777" w:rsidR="00E93F58" w:rsidRPr="006E709F" w:rsidRDefault="00E93F58" w:rsidP="00A801D0">
      <w:pPr>
        <w:pStyle w:val="paragraph"/>
      </w:pPr>
      <w:r w:rsidRPr="006E709F">
        <w:tab/>
        <w:t>(a)</w:t>
      </w:r>
      <w:r w:rsidRPr="006E709F">
        <w:tab/>
        <w:t>the financial product was issued by reason of the exercise of an option or the conversion of another convertible or converting security; and</w:t>
      </w:r>
    </w:p>
    <w:p w14:paraId="4BF9BAF5" w14:textId="77777777" w:rsidR="00E93F58" w:rsidRPr="006E709F" w:rsidRDefault="00E93F58" w:rsidP="00A801D0">
      <w:pPr>
        <w:pStyle w:val="paragraph"/>
      </w:pPr>
      <w:r w:rsidRPr="006E709F">
        <w:tab/>
        <w:t>(b)</w:t>
      </w:r>
      <w:r w:rsidRPr="006E709F">
        <w:tab/>
        <w:t>the option or convertible or converting security was issued as part of a recognised offer under Chapter 8; and</w:t>
      </w:r>
    </w:p>
    <w:p w14:paraId="46862A56" w14:textId="77777777" w:rsidR="00E93F58" w:rsidRPr="006E709F" w:rsidRDefault="00E93F58" w:rsidP="00A801D0">
      <w:pPr>
        <w:pStyle w:val="paragraph"/>
      </w:pPr>
      <w:r w:rsidRPr="006E709F">
        <w:tab/>
        <w:t>(c)</w:t>
      </w:r>
      <w:r w:rsidRPr="006E709F">
        <w:tab/>
        <w:t>the exercise of the option, or the conversion of the security, did not involve a further offer.</w:t>
      </w:r>
    </w:p>
    <w:p w14:paraId="2412FD36" w14:textId="77777777" w:rsidR="00E93F58" w:rsidRPr="006E709F" w:rsidRDefault="00E93F58" w:rsidP="002F4113">
      <w:pPr>
        <w:pStyle w:val="ItemHead"/>
      </w:pPr>
      <w:r w:rsidRPr="006E709F">
        <w:t>2.2  After subsection 1012C(8)</w:t>
      </w:r>
    </w:p>
    <w:p w14:paraId="0788BD8A" w14:textId="77777777" w:rsidR="00E93F58" w:rsidRPr="006E709F" w:rsidRDefault="00E93F58" w:rsidP="00A801D0">
      <w:pPr>
        <w:pStyle w:val="Item"/>
        <w:rPr>
          <w:i/>
        </w:rPr>
      </w:pPr>
      <w:r w:rsidRPr="006E709F">
        <w:rPr>
          <w:i/>
        </w:rPr>
        <w:t>insert</w:t>
      </w:r>
    </w:p>
    <w:p w14:paraId="23DBFE19" w14:textId="77777777" w:rsidR="00E93F58" w:rsidRPr="006E709F" w:rsidRDefault="00E93F58" w:rsidP="00A801D0">
      <w:pPr>
        <w:pStyle w:val="subsection"/>
      </w:pPr>
      <w:r w:rsidRPr="006E709F">
        <w:tab/>
        <w:t>(8A)</w:t>
      </w:r>
      <w:r w:rsidRPr="006E709F">
        <w:tab/>
        <w:t>Subsection (8) does not apply to the offer of a financial product for sale if the controller sold the financial product as part of a recognised offer under Chapter 8.</w:t>
      </w:r>
    </w:p>
    <w:p w14:paraId="49AFC9F1" w14:textId="77777777" w:rsidR="00E93F58" w:rsidRPr="006E709F" w:rsidRDefault="00E93F58" w:rsidP="002627AC">
      <w:pPr>
        <w:pStyle w:val="ItemHead"/>
      </w:pPr>
      <w:r w:rsidRPr="006E709F">
        <w:t>2.3  After subsection 1012IA(3)</w:t>
      </w:r>
    </w:p>
    <w:p w14:paraId="77E2F99D" w14:textId="77777777" w:rsidR="00E93F58" w:rsidRPr="006E709F" w:rsidRDefault="00E93F58" w:rsidP="00A801D0">
      <w:pPr>
        <w:pStyle w:val="Item"/>
        <w:rPr>
          <w:i/>
        </w:rPr>
      </w:pPr>
      <w:r w:rsidRPr="006E709F">
        <w:rPr>
          <w:i/>
        </w:rPr>
        <w:t>insert</w:t>
      </w:r>
    </w:p>
    <w:p w14:paraId="598EFEC9" w14:textId="77777777" w:rsidR="00E93F58" w:rsidRPr="006E709F" w:rsidRDefault="00E93F58" w:rsidP="00A801D0">
      <w:pPr>
        <w:pStyle w:val="subsection"/>
      </w:pPr>
      <w:r w:rsidRPr="006E709F">
        <w:tab/>
        <w:t>(3A)</w:t>
      </w:r>
      <w:r w:rsidRPr="006E709F">
        <w:tab/>
        <w:t>In determining whether this section requires a provider to give a client a Product Disclosure Statement, Chapter 8 is to be disregarded.</w:t>
      </w:r>
    </w:p>
    <w:p w14:paraId="5DD13D82" w14:textId="77777777" w:rsidR="00E93F58" w:rsidRPr="006E709F" w:rsidRDefault="00E93F58" w:rsidP="00A801D0">
      <w:pPr>
        <w:pStyle w:val="subsection"/>
      </w:pPr>
      <w:r w:rsidRPr="006E709F">
        <w:tab/>
        <w:t>(3B)</w:t>
      </w:r>
      <w:r w:rsidRPr="006E709F">
        <w:tab/>
        <w:t>A provider is not required to give a client a Product Disclosure Statement for a financial product if:</w:t>
      </w:r>
    </w:p>
    <w:p w14:paraId="3F3191EC" w14:textId="77777777" w:rsidR="00E93F58" w:rsidRPr="006E709F" w:rsidRDefault="00E93F58" w:rsidP="00A801D0">
      <w:pPr>
        <w:pStyle w:val="paragraph"/>
      </w:pPr>
      <w:r w:rsidRPr="006E709F">
        <w:tab/>
        <w:t>(a)</w:t>
      </w:r>
      <w:r w:rsidRPr="006E709F">
        <w:tab/>
        <w:t>the provider reasonably believes there is a recognised offer under Chapter 8 in relation to the financial product; and</w:t>
      </w:r>
    </w:p>
    <w:p w14:paraId="6BB7E193" w14:textId="77777777" w:rsidR="00E93F58" w:rsidRPr="006E709F" w:rsidRDefault="00E93F58" w:rsidP="00A801D0">
      <w:pPr>
        <w:pStyle w:val="paragraph"/>
      </w:pPr>
      <w:r w:rsidRPr="006E709F">
        <w:tab/>
        <w:t>(b)</w:t>
      </w:r>
      <w:r w:rsidRPr="006E709F">
        <w:tab/>
        <w:t>the financial product is an interest in a managed investment scheme governed by the laws of New Zealand; and</w:t>
      </w:r>
    </w:p>
    <w:p w14:paraId="0855B240" w14:textId="77777777" w:rsidR="00E93F58" w:rsidRPr="006E709F" w:rsidRDefault="00E93F58" w:rsidP="003A3F2A">
      <w:pPr>
        <w:pStyle w:val="paragraph"/>
      </w:pPr>
      <w:r w:rsidRPr="006E709F">
        <w:tab/>
        <w:t>(c)</w:t>
      </w:r>
      <w:r w:rsidRPr="006E709F">
        <w:tab/>
        <w:t xml:space="preserve">the provider has provided the client the documents and information required to accompany that offer by the Financial Markets Conduct Act 2013 of New Zealand and the Financial Markets Conduct </w:t>
      </w:r>
      <w:r>
        <w:t>Regulations 2</w:t>
      </w:r>
      <w:r w:rsidRPr="006E709F">
        <w:t>014 of New Zealand; and</w:t>
      </w:r>
    </w:p>
    <w:p w14:paraId="5AA3FFD0" w14:textId="77777777" w:rsidR="00E93F58" w:rsidRPr="006E709F" w:rsidRDefault="00E93F58" w:rsidP="003A3F2A">
      <w:pPr>
        <w:pStyle w:val="paragraph"/>
      </w:pPr>
      <w:r w:rsidRPr="006E709F">
        <w:tab/>
        <w:t>(d)</w:t>
      </w:r>
      <w:r w:rsidRPr="006E709F">
        <w:tab/>
        <w:t>the provider has provided the client any warning statement or details prescribed under section 1200E in relation to the offer.</w:t>
      </w:r>
    </w:p>
    <w:p w14:paraId="6099C21A" w14:textId="77777777" w:rsidR="00E93F58" w:rsidRPr="006E709F" w:rsidRDefault="00E93F58" w:rsidP="00A801D0">
      <w:pPr>
        <w:pStyle w:val="subsection"/>
      </w:pPr>
      <w:r w:rsidRPr="006E709F">
        <w:tab/>
        <w:t>(3C)</w:t>
      </w:r>
      <w:r w:rsidRPr="006E709F">
        <w:tab/>
        <w:t>For paragraph (3B)(c), section 1015C applies to the providing of documents and information, as if the documents and information were a Statement.</w:t>
      </w:r>
    </w:p>
    <w:p w14:paraId="05B83CBC" w14:textId="77777777" w:rsidR="00E93F58" w:rsidRPr="006E709F" w:rsidRDefault="00E93F58" w:rsidP="00A801D0">
      <w:pPr>
        <w:pStyle w:val="subsection"/>
      </w:pPr>
      <w:r w:rsidRPr="006E709F">
        <w:tab/>
        <w:t>(3D)</w:t>
      </w:r>
      <w:r w:rsidRPr="006E709F">
        <w:tab/>
        <w:t>For paragraph (3B)(d), section 1015C applies to the providing of warning statement or details prescribed under section 1200E, as if the warning statement or details were a Statement.</w:t>
      </w:r>
    </w:p>
    <w:p w14:paraId="07FEB13F" w14:textId="77777777" w:rsidR="00E93F58" w:rsidRPr="006E709F" w:rsidRDefault="00E93F58" w:rsidP="00A801D0">
      <w:pPr>
        <w:pStyle w:val="notetext"/>
      </w:pPr>
      <w:r w:rsidRPr="006E709F">
        <w:t>Note:</w:t>
      </w:r>
      <w:r w:rsidRPr="006E709F">
        <w:tab/>
        <w:t>Subsection 1012D(9E) of the Act is a modification of the Act that relates to Chapter 8 of the Act. The modification applies by force of:</w:t>
      </w:r>
    </w:p>
    <w:p w14:paraId="50E27329" w14:textId="77777777" w:rsidR="00E93F58" w:rsidRPr="006E709F" w:rsidRDefault="00E93F58" w:rsidP="00A801D0">
      <w:pPr>
        <w:pStyle w:val="notepara"/>
      </w:pPr>
      <w:r w:rsidRPr="006E709F">
        <w:t>(a)</w:t>
      </w:r>
      <w:r w:rsidRPr="006E709F">
        <w:tab/>
        <w:t xml:space="preserve">regulation 8.4.01 of the </w:t>
      </w:r>
      <w:r w:rsidRPr="006E709F">
        <w:rPr>
          <w:i/>
        </w:rPr>
        <w:t xml:space="preserve">Corporations </w:t>
      </w:r>
      <w:r>
        <w:rPr>
          <w:i/>
        </w:rPr>
        <w:t>Regulations 2</w:t>
      </w:r>
      <w:r w:rsidRPr="006E709F">
        <w:rPr>
          <w:i/>
        </w:rPr>
        <w:t>001</w:t>
      </w:r>
      <w:r w:rsidRPr="006E709F">
        <w:t>; and</w:t>
      </w:r>
    </w:p>
    <w:p w14:paraId="1A68CB5B" w14:textId="77777777" w:rsidR="00E93F58" w:rsidRPr="006E709F" w:rsidRDefault="00E93F58" w:rsidP="00A801D0">
      <w:pPr>
        <w:pStyle w:val="notepara"/>
      </w:pPr>
      <w:r w:rsidRPr="006E709F">
        <w:t>(b)</w:t>
      </w:r>
      <w:r w:rsidRPr="006E709F">
        <w:tab/>
        <w:t>item 18.1 of Part 18 of Schedule 10A to those Regulations.</w:t>
      </w:r>
    </w:p>
    <w:p w14:paraId="414E2545" w14:textId="77777777" w:rsidR="00E93F58" w:rsidRPr="006E709F" w:rsidRDefault="00E93F58" w:rsidP="00695CE6">
      <w:pPr>
        <w:pStyle w:val="ActHead1"/>
        <w:pageBreakBefore/>
      </w:pPr>
      <w:bookmarkStart w:id="3524" w:name="_Toc151992510"/>
      <w:bookmarkStart w:id="3525" w:name="_Toc158713547"/>
      <w:r w:rsidRPr="000C4237">
        <w:rPr>
          <w:rStyle w:val="CharChapNo"/>
        </w:rPr>
        <w:lastRenderedPageBreak/>
        <w:t>Schedule 10BA</w:t>
      </w:r>
      <w:r w:rsidRPr="006E709F">
        <w:t>—</w:t>
      </w:r>
      <w:r w:rsidRPr="000C4237">
        <w:rPr>
          <w:rStyle w:val="CharChapText"/>
        </w:rPr>
        <w:t>Modifications of the Act relating to Short</w:t>
      </w:r>
      <w:r w:rsidRPr="000C4237">
        <w:rPr>
          <w:rStyle w:val="CharChapText"/>
        </w:rPr>
        <w:noBreakHyphen/>
        <w:t>Form Product Disclosure Statements</w:t>
      </w:r>
      <w:bookmarkEnd w:id="3524"/>
      <w:bookmarkEnd w:id="3525"/>
    </w:p>
    <w:p w14:paraId="6DF89F48" w14:textId="77777777" w:rsidR="00E93F58" w:rsidRPr="006E709F" w:rsidRDefault="00E93F58" w:rsidP="00695CE6">
      <w:pPr>
        <w:pStyle w:val="notemargin"/>
      </w:pPr>
      <w:r w:rsidRPr="006E709F">
        <w:t>(regulation 7.9.61AA)</w:t>
      </w:r>
    </w:p>
    <w:p w14:paraId="7603777A" w14:textId="77777777" w:rsidR="00E93F58" w:rsidRPr="006E709F" w:rsidRDefault="00E93F58" w:rsidP="002C7812">
      <w:pPr>
        <w:pStyle w:val="ActHead2"/>
      </w:pPr>
      <w:bookmarkStart w:id="3526" w:name="_Toc151992511"/>
      <w:bookmarkStart w:id="3527" w:name="_Toc158713548"/>
      <w:r w:rsidRPr="000C4237">
        <w:rPr>
          <w:rStyle w:val="CharPartNo"/>
        </w:rPr>
        <w:t>Part 1</w:t>
      </w:r>
      <w:r w:rsidRPr="006E709F">
        <w:t>—</w:t>
      </w:r>
      <w:r w:rsidRPr="000C4237">
        <w:rPr>
          <w:rStyle w:val="CharPartText"/>
        </w:rPr>
        <w:t>Modifications of Part 7.7 of the Act</w:t>
      </w:r>
      <w:bookmarkEnd w:id="3526"/>
      <w:bookmarkEnd w:id="3527"/>
    </w:p>
    <w:p w14:paraId="7E0B79EE" w14:textId="77777777" w:rsidR="00E93F58" w:rsidRPr="006E709F" w:rsidRDefault="00E93F58" w:rsidP="00E07D2E">
      <w:pPr>
        <w:pStyle w:val="Header"/>
      </w:pPr>
      <w:r w:rsidRPr="000C4237">
        <w:rPr>
          <w:rStyle w:val="CharDivNo"/>
        </w:rPr>
        <w:t xml:space="preserve"> </w:t>
      </w:r>
      <w:r w:rsidRPr="000C4237">
        <w:rPr>
          <w:rStyle w:val="CharDivText"/>
        </w:rPr>
        <w:t xml:space="preserve"> </w:t>
      </w:r>
    </w:p>
    <w:p w14:paraId="19518DFC" w14:textId="77777777" w:rsidR="00E93F58" w:rsidRPr="006E709F" w:rsidRDefault="00E93F58" w:rsidP="002C7812">
      <w:pPr>
        <w:pStyle w:val="ItemHead"/>
      </w:pPr>
      <w:r w:rsidRPr="006E709F">
        <w:t>1.1  Paragraph 949A(2)(c)</w:t>
      </w:r>
    </w:p>
    <w:p w14:paraId="68C0AD06" w14:textId="77777777" w:rsidR="00E93F58" w:rsidRPr="006E709F" w:rsidRDefault="00E93F58" w:rsidP="00F925D9">
      <w:pPr>
        <w:pStyle w:val="Item"/>
        <w:keepLines w:val="0"/>
        <w:rPr>
          <w:i/>
        </w:rPr>
      </w:pPr>
      <w:r w:rsidRPr="006E709F">
        <w:rPr>
          <w:i/>
        </w:rPr>
        <w:t>after</w:t>
      </w:r>
    </w:p>
    <w:p w14:paraId="42BAAD06" w14:textId="77777777" w:rsidR="00E93F58" w:rsidRPr="006E709F" w:rsidRDefault="00E93F58" w:rsidP="00F925D9">
      <w:pPr>
        <w:pStyle w:val="Item"/>
        <w:keepLines w:val="0"/>
      </w:pPr>
      <w:r w:rsidRPr="006E709F">
        <w:t>Part 7.9)</w:t>
      </w:r>
    </w:p>
    <w:p w14:paraId="0E8CA3F6" w14:textId="77777777" w:rsidR="00E93F58" w:rsidRPr="006E709F" w:rsidRDefault="00E93F58" w:rsidP="00F925D9">
      <w:pPr>
        <w:pStyle w:val="Item"/>
        <w:keepLines w:val="0"/>
        <w:rPr>
          <w:i/>
        </w:rPr>
      </w:pPr>
      <w:r w:rsidRPr="006E709F">
        <w:rPr>
          <w:i/>
        </w:rPr>
        <w:t>insert</w:t>
      </w:r>
    </w:p>
    <w:p w14:paraId="447AD39B" w14:textId="77777777" w:rsidR="00E93F58" w:rsidRPr="006E709F" w:rsidRDefault="00E93F58" w:rsidP="00F925D9">
      <w:pPr>
        <w:pStyle w:val="Item"/>
        <w:keepLines w:val="0"/>
      </w:pPr>
      <w:r w:rsidRPr="006E709F">
        <w:t>or a Short</w:t>
      </w:r>
      <w:r>
        <w:noBreakHyphen/>
      </w:r>
      <w:r w:rsidRPr="006E709F">
        <w:t>Form PDS (see Division 3A of Part 7.9)</w:t>
      </w:r>
    </w:p>
    <w:p w14:paraId="3714C6D6" w14:textId="77777777" w:rsidR="00E93F58" w:rsidRPr="006E709F" w:rsidRDefault="00E93F58" w:rsidP="00695CE6">
      <w:pPr>
        <w:pStyle w:val="ActHead2"/>
        <w:pageBreakBefore/>
      </w:pPr>
      <w:bookmarkStart w:id="3528" w:name="_Toc151992512"/>
      <w:bookmarkStart w:id="3529" w:name="_Toc158713549"/>
      <w:r w:rsidRPr="000C4237">
        <w:rPr>
          <w:rStyle w:val="CharPartNo"/>
        </w:rPr>
        <w:lastRenderedPageBreak/>
        <w:t>Part 3</w:t>
      </w:r>
      <w:r w:rsidRPr="006E709F">
        <w:t>—</w:t>
      </w:r>
      <w:r w:rsidRPr="000C4237">
        <w:rPr>
          <w:rStyle w:val="CharPartText"/>
        </w:rPr>
        <w:t>Modifications of Part 7.9 of the Act</w:t>
      </w:r>
      <w:bookmarkEnd w:id="3528"/>
      <w:bookmarkEnd w:id="3529"/>
    </w:p>
    <w:p w14:paraId="331CDE4E" w14:textId="77777777" w:rsidR="00E93F58" w:rsidRPr="006E709F" w:rsidRDefault="00E93F58" w:rsidP="00E07D2E">
      <w:pPr>
        <w:pStyle w:val="Header"/>
      </w:pPr>
      <w:r w:rsidRPr="000C4237">
        <w:rPr>
          <w:rStyle w:val="CharDivNo"/>
        </w:rPr>
        <w:t xml:space="preserve"> </w:t>
      </w:r>
      <w:r w:rsidRPr="000C4237">
        <w:rPr>
          <w:rStyle w:val="CharDivText"/>
        </w:rPr>
        <w:t xml:space="preserve"> </w:t>
      </w:r>
    </w:p>
    <w:p w14:paraId="758912A6" w14:textId="77777777" w:rsidR="00E93F58" w:rsidRPr="006E709F" w:rsidRDefault="00E93F58" w:rsidP="00DB2E9E">
      <w:pPr>
        <w:pStyle w:val="ItemHead"/>
      </w:pPr>
      <w:r w:rsidRPr="006E709F">
        <w:t>3.1  After Division 3 of Part 7.9</w:t>
      </w:r>
    </w:p>
    <w:p w14:paraId="269D72FA" w14:textId="77777777" w:rsidR="00E93F58" w:rsidRPr="006E709F" w:rsidRDefault="00E93F58" w:rsidP="00DB2E9E">
      <w:pPr>
        <w:pStyle w:val="Item"/>
        <w:keepNext/>
        <w:rPr>
          <w:i/>
        </w:rPr>
      </w:pPr>
      <w:r w:rsidRPr="006E709F">
        <w:rPr>
          <w:i/>
        </w:rPr>
        <w:t>insert</w:t>
      </w:r>
    </w:p>
    <w:p w14:paraId="0150A04A" w14:textId="77777777" w:rsidR="00E93F58" w:rsidRPr="006E709F" w:rsidRDefault="00E93F58" w:rsidP="00DB2E9E">
      <w:pPr>
        <w:pStyle w:val="Speciald"/>
      </w:pPr>
      <w:r w:rsidRPr="006E709F">
        <w:t>Division 3A—Short</w:t>
      </w:r>
      <w:r>
        <w:noBreakHyphen/>
      </w:r>
      <w:r w:rsidRPr="006E709F">
        <w:t>Form Product Disclosure Statements</w:t>
      </w:r>
    </w:p>
    <w:p w14:paraId="0D21E498" w14:textId="77777777" w:rsidR="00E93F58" w:rsidRPr="006E709F" w:rsidRDefault="00E93F58" w:rsidP="00DB2E9E">
      <w:pPr>
        <w:pStyle w:val="Specials"/>
      </w:pPr>
      <w:r w:rsidRPr="006E709F">
        <w:t>1017H  Short</w:t>
      </w:r>
      <w:r>
        <w:noBreakHyphen/>
      </w:r>
      <w:r w:rsidRPr="006E709F">
        <w:t>Form PDS</w:t>
      </w:r>
    </w:p>
    <w:p w14:paraId="684B470D" w14:textId="77777777" w:rsidR="00E93F58" w:rsidRPr="006E709F" w:rsidRDefault="00E93F58" w:rsidP="00DB2E9E">
      <w:pPr>
        <w:pStyle w:val="SubsectionHead"/>
      </w:pPr>
      <w:r w:rsidRPr="006E709F">
        <w:t>Short</w:t>
      </w:r>
      <w:r>
        <w:noBreakHyphen/>
      </w:r>
      <w:r w:rsidRPr="006E709F">
        <w:t>Form PDS may be given instead of a Product Disclosure Statement in most cases</w:t>
      </w:r>
    </w:p>
    <w:p w14:paraId="2AF1AD08" w14:textId="77777777" w:rsidR="00E93F58" w:rsidRPr="006E709F" w:rsidRDefault="00E93F58" w:rsidP="00F925D9">
      <w:pPr>
        <w:pStyle w:val="subsection"/>
      </w:pPr>
      <w:r w:rsidRPr="006E709F">
        <w:tab/>
        <w:t>(1)</w:t>
      </w:r>
      <w:r w:rsidRPr="006E709F">
        <w:tab/>
        <w:t>If a regulated person is required or obliged by this Act to give a Product Disclosure Statement for a financial product (but see subsection (4)) to another person, the regulated person may instead provide a Short</w:t>
      </w:r>
      <w:r>
        <w:noBreakHyphen/>
      </w:r>
      <w:r w:rsidRPr="006E709F">
        <w:t>Form PDS for the product.</w:t>
      </w:r>
    </w:p>
    <w:p w14:paraId="1487CBE6" w14:textId="77777777" w:rsidR="00E93F58" w:rsidRPr="006E709F" w:rsidRDefault="00E93F58" w:rsidP="00DB2E9E">
      <w:pPr>
        <w:pStyle w:val="SubsectionHead"/>
      </w:pPr>
      <w:r w:rsidRPr="006E709F">
        <w:t>Product Disclosure Statement must be given in certain circumstances</w:t>
      </w:r>
    </w:p>
    <w:p w14:paraId="38A5EEAD" w14:textId="77777777" w:rsidR="00E93F58" w:rsidRPr="006E709F" w:rsidRDefault="00E93F58" w:rsidP="00F925D9">
      <w:pPr>
        <w:pStyle w:val="subsection"/>
      </w:pPr>
      <w:r w:rsidRPr="006E709F">
        <w:tab/>
        <w:t>(2)</w:t>
      </w:r>
      <w:r w:rsidRPr="006E709F">
        <w:tab/>
        <w:t>However, if the regulated person is requested by the other person to provide the Product Disclosure Statement the regulated person must provide the Product Disclosure Statement.</w:t>
      </w:r>
    </w:p>
    <w:p w14:paraId="50C23E8F" w14:textId="77777777" w:rsidR="00E93F58" w:rsidRPr="006E709F" w:rsidRDefault="00E93F58" w:rsidP="00DB2E9E">
      <w:pPr>
        <w:pStyle w:val="SubsectionHead"/>
      </w:pPr>
      <w:r w:rsidRPr="006E709F">
        <w:t>Responsible person</w:t>
      </w:r>
    </w:p>
    <w:p w14:paraId="46E6DA60" w14:textId="77777777" w:rsidR="00E93F58" w:rsidRPr="006E709F" w:rsidRDefault="00E93F58" w:rsidP="00F925D9">
      <w:pPr>
        <w:pStyle w:val="subsection"/>
      </w:pPr>
      <w:r w:rsidRPr="006E709F">
        <w:tab/>
        <w:t>(3)</w:t>
      </w:r>
      <w:r w:rsidRPr="006E709F">
        <w:tab/>
        <w:t xml:space="preserve">The </w:t>
      </w:r>
      <w:r w:rsidRPr="006E709F">
        <w:rPr>
          <w:b/>
          <w:i/>
        </w:rPr>
        <w:t>responsible person</w:t>
      </w:r>
      <w:r w:rsidRPr="006E709F">
        <w:t xml:space="preserve"> for a Short</w:t>
      </w:r>
      <w:r>
        <w:noBreakHyphen/>
      </w:r>
      <w:r w:rsidRPr="006E709F">
        <w:t>Form PDS for a financial product is the person who is the responsible person for the Product Disclosure Statement for the product.</w:t>
      </w:r>
    </w:p>
    <w:p w14:paraId="21547A55" w14:textId="77777777" w:rsidR="00E93F58" w:rsidRPr="006E709F" w:rsidRDefault="00E93F58" w:rsidP="00DB2E9E">
      <w:pPr>
        <w:pStyle w:val="SubsectionHead"/>
      </w:pPr>
      <w:r w:rsidRPr="006E709F">
        <w:t>Short</w:t>
      </w:r>
      <w:r>
        <w:noBreakHyphen/>
      </w:r>
      <w:r w:rsidRPr="006E709F">
        <w:t>Form PDS not to be given for certain products</w:t>
      </w:r>
    </w:p>
    <w:p w14:paraId="40E5C01B" w14:textId="77777777" w:rsidR="00E93F58" w:rsidRPr="006E709F" w:rsidRDefault="00E93F58" w:rsidP="00F925D9">
      <w:pPr>
        <w:pStyle w:val="subsection"/>
      </w:pPr>
      <w:r w:rsidRPr="006E709F">
        <w:tab/>
        <w:t>(4)</w:t>
      </w:r>
      <w:r w:rsidRPr="006E709F">
        <w:tab/>
        <w:t>Subsection (1) does not apply in relation to the following:</w:t>
      </w:r>
    </w:p>
    <w:p w14:paraId="4907B29C" w14:textId="77777777" w:rsidR="00E93F58" w:rsidRPr="006E709F" w:rsidRDefault="00E93F58" w:rsidP="00F925D9">
      <w:pPr>
        <w:pStyle w:val="paragraph"/>
      </w:pPr>
      <w:r w:rsidRPr="006E709F">
        <w:tab/>
        <w:t>(a)</w:t>
      </w:r>
      <w:r w:rsidRPr="006E709F">
        <w:tab/>
        <w:t>a general insurance product;</w:t>
      </w:r>
    </w:p>
    <w:p w14:paraId="475BEC9A" w14:textId="77777777" w:rsidR="00E93F58" w:rsidRPr="006E709F" w:rsidRDefault="00E93F58" w:rsidP="00F925D9">
      <w:pPr>
        <w:pStyle w:val="paragraph"/>
      </w:pPr>
      <w:r w:rsidRPr="006E709F">
        <w:tab/>
        <w:t>(b)</w:t>
      </w:r>
      <w:r w:rsidRPr="006E709F">
        <w:tab/>
        <w:t>a managed investment product in relation to an Australian passport fund;</w:t>
      </w:r>
    </w:p>
    <w:p w14:paraId="2C90B94C" w14:textId="77777777" w:rsidR="00E93F58" w:rsidRPr="006E709F" w:rsidRDefault="00E93F58" w:rsidP="00761295">
      <w:pPr>
        <w:pStyle w:val="paragraph"/>
        <w:rPr>
          <w:rFonts w:cs="Arial"/>
          <w:bCs/>
          <w:color w:val="000000"/>
          <w:szCs w:val="24"/>
        </w:rPr>
      </w:pPr>
      <w:r w:rsidRPr="006E709F">
        <w:tab/>
        <w:t>(ba)</w:t>
      </w:r>
      <w:r w:rsidRPr="006E709F">
        <w:tab/>
      </w:r>
      <w:r w:rsidRPr="006E709F">
        <w:rPr>
          <w:rFonts w:cs="Arial"/>
          <w:bCs/>
          <w:color w:val="000000"/>
          <w:szCs w:val="24"/>
        </w:rPr>
        <w:t>a security in a retail CCIV that is referable to a sub</w:t>
      </w:r>
      <w:r>
        <w:rPr>
          <w:rFonts w:cs="Arial"/>
          <w:bCs/>
          <w:color w:val="000000"/>
          <w:szCs w:val="24"/>
        </w:rPr>
        <w:noBreakHyphen/>
      </w:r>
      <w:r w:rsidRPr="006E709F">
        <w:rPr>
          <w:rFonts w:cs="Arial"/>
          <w:bCs/>
          <w:color w:val="000000"/>
          <w:szCs w:val="24"/>
        </w:rPr>
        <w:t>fund of the CCIV that is an Australian passport fund;</w:t>
      </w:r>
    </w:p>
    <w:p w14:paraId="47215AEC" w14:textId="77777777" w:rsidR="00E93F58" w:rsidRPr="006E709F" w:rsidRDefault="00E93F58" w:rsidP="00F925D9">
      <w:pPr>
        <w:pStyle w:val="paragraph"/>
      </w:pPr>
      <w:r w:rsidRPr="006E709F">
        <w:tab/>
        <w:t>(c)</w:t>
      </w:r>
      <w:r w:rsidRPr="006E709F">
        <w:tab/>
        <w:t>a foreign passport fund product.</w:t>
      </w:r>
    </w:p>
    <w:p w14:paraId="65A9E00E" w14:textId="77777777" w:rsidR="00E93F58" w:rsidRPr="006E709F" w:rsidRDefault="00E93F58" w:rsidP="00F925D9">
      <w:pPr>
        <w:pStyle w:val="subsection"/>
      </w:pPr>
      <w:r w:rsidRPr="006E709F">
        <w:tab/>
        <w:t>(5)</w:t>
      </w:r>
      <w:r w:rsidRPr="006E709F">
        <w:tab/>
        <w:t>To avoid doubt, nothing in Division 5AB of Part 7.9 of the regulations or in Part 3 of Schedule 10BA to the regulations permits a regulated person to give a Short</w:t>
      </w:r>
      <w:r>
        <w:noBreakHyphen/>
      </w:r>
      <w:r w:rsidRPr="006E709F">
        <w:t>Form PDS or a Supplementary Short</w:t>
      </w:r>
      <w:r>
        <w:noBreakHyphen/>
      </w:r>
      <w:r w:rsidRPr="006E709F">
        <w:t>Form PDS in relation to a financial product mentioned in subsection (4).</w:t>
      </w:r>
    </w:p>
    <w:p w14:paraId="41056E80" w14:textId="77777777" w:rsidR="00E93F58" w:rsidRPr="006E709F" w:rsidRDefault="00E93F58" w:rsidP="00DB2E9E">
      <w:pPr>
        <w:pStyle w:val="Specials"/>
      </w:pPr>
      <w:r w:rsidRPr="006E709F">
        <w:t>1017I  Contents of a Short</w:t>
      </w:r>
      <w:r>
        <w:noBreakHyphen/>
      </w:r>
      <w:r w:rsidRPr="006E709F">
        <w:t>Form PDS</w:t>
      </w:r>
    </w:p>
    <w:p w14:paraId="086CF02E" w14:textId="77777777" w:rsidR="00E93F58" w:rsidRPr="006E709F" w:rsidRDefault="00E93F58" w:rsidP="00DB2E9E">
      <w:pPr>
        <w:pStyle w:val="SubsectionHead"/>
      </w:pPr>
      <w:r w:rsidRPr="006E709F">
        <w:t>Contents</w:t>
      </w:r>
    </w:p>
    <w:p w14:paraId="5646D9B8" w14:textId="77777777" w:rsidR="00E93F58" w:rsidRPr="006E709F" w:rsidRDefault="00E93F58" w:rsidP="00F925D9">
      <w:pPr>
        <w:pStyle w:val="subsection"/>
      </w:pPr>
      <w:r w:rsidRPr="006E709F">
        <w:tab/>
        <w:t>(1)</w:t>
      </w:r>
      <w:r w:rsidRPr="006E709F">
        <w:tab/>
        <w:t>The Short</w:t>
      </w:r>
      <w:r>
        <w:noBreakHyphen/>
      </w:r>
      <w:r w:rsidRPr="006E709F">
        <w:t>Form PDS for a financial product must contain the following:</w:t>
      </w:r>
    </w:p>
    <w:p w14:paraId="771B4CD8" w14:textId="77777777" w:rsidR="00E93F58" w:rsidRPr="006E709F" w:rsidRDefault="00E93F58" w:rsidP="00F925D9">
      <w:pPr>
        <w:pStyle w:val="paragraph"/>
      </w:pPr>
      <w:r w:rsidRPr="006E709F">
        <w:tab/>
        <w:t>(a)</w:t>
      </w:r>
      <w:r w:rsidRPr="006E709F">
        <w:tab/>
        <w:t>a summary of the statements and information referred to in paragraphs 1013D(1)(a), (b), (c), (d), (e), (g) and (i) that were included in a Product Disclosure Statement for the product;</w:t>
      </w:r>
    </w:p>
    <w:p w14:paraId="6D5FF4F9" w14:textId="77777777" w:rsidR="00E93F58" w:rsidRPr="006E709F" w:rsidRDefault="00E93F58" w:rsidP="00F925D9">
      <w:pPr>
        <w:pStyle w:val="paragraph"/>
      </w:pPr>
      <w:r w:rsidRPr="006E709F">
        <w:tab/>
        <w:t>(b)</w:t>
      </w:r>
      <w:r w:rsidRPr="006E709F">
        <w:tab/>
        <w:t>a statement:</w:t>
      </w:r>
    </w:p>
    <w:p w14:paraId="1545F410" w14:textId="77777777" w:rsidR="00E93F58" w:rsidRPr="006E709F" w:rsidRDefault="00E93F58" w:rsidP="00F925D9">
      <w:pPr>
        <w:pStyle w:val="paragraphsub"/>
      </w:pPr>
      <w:r w:rsidRPr="006E709F">
        <w:tab/>
        <w:t>(i)</w:t>
      </w:r>
      <w:r w:rsidRPr="006E709F">
        <w:tab/>
        <w:t>notifying the retail client in relation to the product that the client may ask for the Product Disclosure Statement for the product; and</w:t>
      </w:r>
    </w:p>
    <w:p w14:paraId="37B0CA2D" w14:textId="77777777" w:rsidR="00E93F58" w:rsidRPr="006E709F" w:rsidRDefault="00E93F58" w:rsidP="00F925D9">
      <w:pPr>
        <w:pStyle w:val="paragraphsub"/>
      </w:pPr>
      <w:r w:rsidRPr="006E709F">
        <w:tab/>
        <w:t>(ii)</w:t>
      </w:r>
      <w:r w:rsidRPr="006E709F">
        <w:tab/>
        <w:t>setting out the means by which the client may ask for the Product Disclosure Statement.</w:t>
      </w:r>
    </w:p>
    <w:p w14:paraId="1448FB50" w14:textId="77777777" w:rsidR="00E93F58" w:rsidRPr="006E709F" w:rsidRDefault="00E93F58" w:rsidP="00DB2E9E">
      <w:pPr>
        <w:pStyle w:val="SubsectionHead"/>
      </w:pPr>
      <w:r w:rsidRPr="006E709F">
        <w:t>Extra contents for certain products</w:t>
      </w:r>
    </w:p>
    <w:p w14:paraId="4EDDF32B" w14:textId="77777777" w:rsidR="00E93F58" w:rsidRPr="006E709F" w:rsidRDefault="00E93F58" w:rsidP="00F925D9">
      <w:pPr>
        <w:pStyle w:val="subsection"/>
      </w:pPr>
      <w:r w:rsidRPr="006E709F">
        <w:tab/>
        <w:t>(2)</w:t>
      </w:r>
      <w:r w:rsidRPr="006E709F">
        <w:tab/>
        <w:t>If the Short</w:t>
      </w:r>
      <w:r>
        <w:noBreakHyphen/>
      </w:r>
      <w:r w:rsidRPr="006E709F">
        <w:t>Form PDS is for a superannuation product, managed investment product or a security in a retail CCIV the Short</w:t>
      </w:r>
      <w:r>
        <w:noBreakHyphen/>
      </w:r>
      <w:r w:rsidRPr="006E709F">
        <w:t>Form PDS must also set out in full the information in:</w:t>
      </w:r>
    </w:p>
    <w:p w14:paraId="33C6A0EC" w14:textId="77777777" w:rsidR="00E93F58" w:rsidRPr="006E709F" w:rsidRDefault="00E93F58" w:rsidP="00F925D9">
      <w:pPr>
        <w:pStyle w:val="paragraph"/>
      </w:pPr>
      <w:r w:rsidRPr="006E709F">
        <w:tab/>
        <w:t>(a)</w:t>
      </w:r>
      <w:r w:rsidRPr="006E709F">
        <w:tab/>
        <w:t>any regulations made for the purposes of paragraph 1013D(4)(c) relating to the details of fees and costs; and</w:t>
      </w:r>
    </w:p>
    <w:p w14:paraId="66185194" w14:textId="77777777" w:rsidR="00E93F58" w:rsidRPr="006E709F" w:rsidRDefault="00E93F58" w:rsidP="00F925D9">
      <w:pPr>
        <w:pStyle w:val="paragraph"/>
      </w:pPr>
      <w:r w:rsidRPr="006E709F">
        <w:tab/>
        <w:t>(b)</w:t>
      </w:r>
      <w:r w:rsidRPr="006E709F">
        <w:tab/>
        <w:t>any regulations made for the purposes of paragraph 1015C(5)(b) that relate to the presentation, structure and format of information required by paragraphs 1013D(1)(d) and (e).</w:t>
      </w:r>
    </w:p>
    <w:p w14:paraId="4DFE7E6B" w14:textId="77777777" w:rsidR="00E93F58" w:rsidRPr="006E709F" w:rsidRDefault="00E93F58" w:rsidP="00DB2E9E">
      <w:pPr>
        <w:pStyle w:val="SubsectionHead"/>
      </w:pPr>
      <w:r w:rsidRPr="006E709F">
        <w:lastRenderedPageBreak/>
        <w:t>Other information may be included in Short</w:t>
      </w:r>
      <w:r>
        <w:noBreakHyphen/>
      </w:r>
      <w:r w:rsidRPr="006E709F">
        <w:t>Form PDS</w:t>
      </w:r>
    </w:p>
    <w:p w14:paraId="3744BF0A" w14:textId="77777777" w:rsidR="00E93F58" w:rsidRPr="006E709F" w:rsidRDefault="00E93F58" w:rsidP="00F925D9">
      <w:pPr>
        <w:pStyle w:val="subsection"/>
      </w:pPr>
      <w:r w:rsidRPr="006E709F">
        <w:tab/>
        <w:t>(3)</w:t>
      </w:r>
      <w:r w:rsidRPr="006E709F">
        <w:tab/>
        <w:t>The Short</w:t>
      </w:r>
      <w:r>
        <w:noBreakHyphen/>
      </w:r>
      <w:r w:rsidRPr="006E709F">
        <w:t>Form PDS may also:</w:t>
      </w:r>
    </w:p>
    <w:p w14:paraId="6361B940" w14:textId="77777777" w:rsidR="00E93F58" w:rsidRPr="006E709F" w:rsidRDefault="00E93F58" w:rsidP="00F925D9">
      <w:pPr>
        <w:pStyle w:val="paragraph"/>
      </w:pPr>
      <w:r w:rsidRPr="006E709F">
        <w:tab/>
        <w:t>(a)</w:t>
      </w:r>
      <w:r w:rsidRPr="006E709F">
        <w:tab/>
        <w:t>include other information; and</w:t>
      </w:r>
    </w:p>
    <w:p w14:paraId="370CA531" w14:textId="77777777" w:rsidR="00E93F58" w:rsidRPr="006E709F" w:rsidRDefault="00E93F58" w:rsidP="00F925D9">
      <w:pPr>
        <w:pStyle w:val="paragraph"/>
      </w:pPr>
      <w:r w:rsidRPr="006E709F">
        <w:tab/>
        <w:t>(b)</w:t>
      </w:r>
      <w:r w:rsidRPr="006E709F">
        <w:tab/>
        <w:t>refer to other information that is set out in the Product Disclosure Statement or Financial Services Guide for the product.</w:t>
      </w:r>
    </w:p>
    <w:p w14:paraId="7B2A1393" w14:textId="77777777" w:rsidR="00E93F58" w:rsidRPr="006E709F" w:rsidRDefault="00E93F58" w:rsidP="00DB2E9E">
      <w:pPr>
        <w:pStyle w:val="SubsectionHead"/>
      </w:pPr>
      <w:r w:rsidRPr="006E709F">
        <w:t>Reference to identify incorporated information</w:t>
      </w:r>
    </w:p>
    <w:p w14:paraId="183DF93F" w14:textId="77777777" w:rsidR="00E93F58" w:rsidRPr="006E709F" w:rsidRDefault="00E93F58" w:rsidP="00F925D9">
      <w:pPr>
        <w:pStyle w:val="subsection"/>
      </w:pPr>
      <w:r w:rsidRPr="006E709F">
        <w:tab/>
        <w:t>(4)</w:t>
      </w:r>
      <w:r w:rsidRPr="006E709F">
        <w:tab/>
        <w:t>If under paragraph (3)(b) information is referred to in the Short</w:t>
      </w:r>
      <w:r>
        <w:noBreakHyphen/>
      </w:r>
      <w:r w:rsidRPr="006E709F">
        <w:t>Form PDS, the reference must identify the document or the part of the document that contains the information.</w:t>
      </w:r>
    </w:p>
    <w:p w14:paraId="1C8FAFB2" w14:textId="77777777" w:rsidR="00E93F58" w:rsidRPr="006E709F" w:rsidRDefault="00E93F58" w:rsidP="00DB2E9E">
      <w:pPr>
        <w:pStyle w:val="SubsectionHead"/>
      </w:pPr>
      <w:r w:rsidRPr="006E709F">
        <w:t>Incorporated document forms part of Short</w:t>
      </w:r>
      <w:r>
        <w:noBreakHyphen/>
      </w:r>
      <w:r w:rsidRPr="006E709F">
        <w:t>Form PDS</w:t>
      </w:r>
    </w:p>
    <w:p w14:paraId="4F53EFEB" w14:textId="77777777" w:rsidR="00E93F58" w:rsidRPr="006E709F" w:rsidRDefault="00E93F58" w:rsidP="00F925D9">
      <w:pPr>
        <w:pStyle w:val="subsection"/>
      </w:pPr>
      <w:r w:rsidRPr="006E709F">
        <w:tab/>
        <w:t>(5)</w:t>
      </w:r>
      <w:r w:rsidRPr="006E709F">
        <w:tab/>
        <w:t>The document or part referred to in subsection (4) is taken to be included in the Short</w:t>
      </w:r>
      <w:r>
        <w:noBreakHyphen/>
      </w:r>
      <w:r w:rsidRPr="006E709F">
        <w:t>Form PDS.</w:t>
      </w:r>
    </w:p>
    <w:p w14:paraId="6227E34F" w14:textId="77777777" w:rsidR="00E93F58" w:rsidRPr="006E709F" w:rsidRDefault="00E93F58" w:rsidP="00DB2E9E">
      <w:pPr>
        <w:pStyle w:val="SubsectionHead"/>
      </w:pPr>
      <w:r w:rsidRPr="006E709F">
        <w:t>Rule as to statements in a Short</w:t>
      </w:r>
      <w:r>
        <w:noBreakHyphen/>
      </w:r>
      <w:r w:rsidRPr="006E709F">
        <w:t>Form PDS</w:t>
      </w:r>
    </w:p>
    <w:p w14:paraId="2F483ED8" w14:textId="77777777" w:rsidR="00E93F58" w:rsidRPr="006E709F" w:rsidRDefault="00E93F58" w:rsidP="00F925D9">
      <w:pPr>
        <w:pStyle w:val="subsection"/>
      </w:pPr>
      <w:r w:rsidRPr="006E709F">
        <w:tab/>
        <w:t>(6)</w:t>
      </w:r>
      <w:r w:rsidRPr="006E709F">
        <w:tab/>
        <w:t>If a Product Disclosure Statement for a financial product may include a statement made by a person (see section 1013K), the statement may also be included in the Short</w:t>
      </w:r>
      <w:r>
        <w:noBreakHyphen/>
      </w:r>
      <w:r w:rsidRPr="006E709F">
        <w:t>Form PDS for the product.</w:t>
      </w:r>
    </w:p>
    <w:p w14:paraId="019FA297" w14:textId="77777777" w:rsidR="00E93F58" w:rsidRPr="006E709F" w:rsidRDefault="00E93F58" w:rsidP="00DB2E9E">
      <w:pPr>
        <w:pStyle w:val="Specials"/>
      </w:pPr>
      <w:r w:rsidRPr="006E709F">
        <w:t>1017J  Title of Short</w:t>
      </w:r>
      <w:r>
        <w:noBreakHyphen/>
      </w:r>
      <w:r w:rsidRPr="006E709F">
        <w:t>Form Product Disclosure Statement</w:t>
      </w:r>
    </w:p>
    <w:p w14:paraId="642D1E38" w14:textId="77777777" w:rsidR="00E93F58" w:rsidRPr="006E709F" w:rsidRDefault="00E93F58" w:rsidP="00F925D9">
      <w:pPr>
        <w:pStyle w:val="subsection"/>
      </w:pPr>
      <w:r w:rsidRPr="006E709F">
        <w:tab/>
        <w:t>(1)</w:t>
      </w:r>
      <w:r w:rsidRPr="006E709F">
        <w:tab/>
        <w:t>The title “Short</w:t>
      </w:r>
      <w:r>
        <w:noBreakHyphen/>
      </w:r>
      <w:r w:rsidRPr="006E709F">
        <w:t>Form Product Disclosure Statement” must be used on the cover of, or at or near the front of, a Short</w:t>
      </w:r>
      <w:r>
        <w:noBreakHyphen/>
      </w:r>
      <w:r w:rsidRPr="006E709F">
        <w:t>Form PDS.</w:t>
      </w:r>
    </w:p>
    <w:p w14:paraId="31ED405C" w14:textId="77777777" w:rsidR="00E93F58" w:rsidRPr="006E709F" w:rsidRDefault="00E93F58" w:rsidP="00F925D9">
      <w:pPr>
        <w:pStyle w:val="subsection"/>
      </w:pPr>
      <w:r w:rsidRPr="006E709F">
        <w:tab/>
        <w:t>(2)</w:t>
      </w:r>
      <w:r w:rsidRPr="006E709F">
        <w:tab/>
        <w:t>In any other part of a Short</w:t>
      </w:r>
      <w:r>
        <w:noBreakHyphen/>
      </w:r>
      <w:r w:rsidRPr="006E709F">
        <w:t>Form PDS, “Short</w:t>
      </w:r>
      <w:r>
        <w:noBreakHyphen/>
      </w:r>
      <w:r w:rsidRPr="006E709F">
        <w:t>Form Product Disclosure Statement” may be abbreviated to “Short</w:t>
      </w:r>
      <w:r>
        <w:noBreakHyphen/>
      </w:r>
      <w:r w:rsidRPr="006E709F">
        <w:t>Form PDS”.</w:t>
      </w:r>
    </w:p>
    <w:p w14:paraId="75CACB95" w14:textId="77777777" w:rsidR="00E93F58" w:rsidRPr="006E709F" w:rsidRDefault="00E93F58" w:rsidP="00DB2E9E">
      <w:pPr>
        <w:pStyle w:val="Specials"/>
      </w:pPr>
      <w:r w:rsidRPr="006E709F">
        <w:t>1017K  References in sections to Product Disclosure Statement to include references to Short</w:t>
      </w:r>
      <w:r>
        <w:noBreakHyphen/>
      </w:r>
      <w:r w:rsidRPr="006E709F">
        <w:t>Form PDS</w:t>
      </w:r>
    </w:p>
    <w:p w14:paraId="7FF0FBE0" w14:textId="77777777" w:rsidR="00E93F58" w:rsidRPr="006E709F" w:rsidRDefault="00E93F58" w:rsidP="00F925D9">
      <w:pPr>
        <w:pStyle w:val="subsection"/>
      </w:pPr>
      <w:r w:rsidRPr="006E709F">
        <w:tab/>
      </w:r>
      <w:r w:rsidRPr="006E709F">
        <w:tab/>
        <w:t>The following provisions apply to a Short</w:t>
      </w:r>
      <w:r>
        <w:noBreakHyphen/>
      </w:r>
      <w:r w:rsidRPr="006E709F">
        <w:t>Form PDS and so apply as if a reference to a Product Disclosure Statement in the provisions included a reference to a Short</w:t>
      </w:r>
      <w:r>
        <w:noBreakHyphen/>
      </w:r>
      <w:r w:rsidRPr="006E709F">
        <w:t>Form PDS:</w:t>
      </w:r>
    </w:p>
    <w:p w14:paraId="5AFBBE2E" w14:textId="77777777" w:rsidR="00E93F58" w:rsidRPr="006E709F" w:rsidRDefault="00E93F58" w:rsidP="00F925D9">
      <w:pPr>
        <w:pStyle w:val="paragraph"/>
      </w:pPr>
      <w:r w:rsidRPr="006E709F">
        <w:tab/>
        <w:t>(a)</w:t>
      </w:r>
      <w:r w:rsidRPr="006E709F">
        <w:tab/>
        <w:t>sections 942DA, 947E, 1012F, 1012G, 1012H, 1012J, 1013A, 1013G, 1013H, 1013I, 1013L 1013M, 1016A, 1016B, 1016C, 1016D, 1016E and 1017A and subsections 1013C(3) and 1013C(4) to (7);</w:t>
      </w:r>
    </w:p>
    <w:p w14:paraId="06BBC3A8" w14:textId="77777777" w:rsidR="00E93F58" w:rsidRPr="006E709F" w:rsidRDefault="00E93F58" w:rsidP="00F925D9">
      <w:pPr>
        <w:pStyle w:val="paragraph"/>
      </w:pPr>
      <w:r w:rsidRPr="006E709F">
        <w:tab/>
        <w:t>(b)</w:t>
      </w:r>
      <w:r w:rsidRPr="006E709F">
        <w:tab/>
        <w:t>any regulations made under those sections or subsections;</w:t>
      </w:r>
    </w:p>
    <w:p w14:paraId="6C4DA872" w14:textId="77777777" w:rsidR="00E93F58" w:rsidRPr="006E709F" w:rsidRDefault="00E93F58" w:rsidP="00F925D9">
      <w:pPr>
        <w:pStyle w:val="paragraph"/>
      </w:pPr>
      <w:r w:rsidRPr="006E709F">
        <w:tab/>
        <w:t>(c)</w:t>
      </w:r>
      <w:r w:rsidRPr="006E709F">
        <w:tab/>
        <w:t>any regulations that modify those sections or subsections.</w:t>
      </w:r>
    </w:p>
    <w:p w14:paraId="7A4401E4" w14:textId="77777777" w:rsidR="00E93F58" w:rsidRPr="006E709F" w:rsidRDefault="00E93F58" w:rsidP="00DB2E9E">
      <w:pPr>
        <w:pStyle w:val="Speciald"/>
      </w:pPr>
      <w:r w:rsidRPr="006E709F">
        <w:t>Division 3B—Supplementary Short</w:t>
      </w:r>
      <w:r>
        <w:noBreakHyphen/>
      </w:r>
      <w:r w:rsidRPr="006E709F">
        <w:t>Form Product Disclosure Statements</w:t>
      </w:r>
    </w:p>
    <w:p w14:paraId="1E097800" w14:textId="77777777" w:rsidR="00E93F58" w:rsidRPr="006E709F" w:rsidRDefault="00E93F58" w:rsidP="00DB2E9E">
      <w:pPr>
        <w:pStyle w:val="Specials"/>
      </w:pPr>
      <w:r w:rsidRPr="006E709F">
        <w:t>1017L  What a Supplementary Short</w:t>
      </w:r>
      <w:r>
        <w:noBreakHyphen/>
      </w:r>
      <w:r w:rsidRPr="006E709F">
        <w:t>Form Product Disclosure Statement is</w:t>
      </w:r>
    </w:p>
    <w:p w14:paraId="6C4D4854" w14:textId="77777777" w:rsidR="00E93F58" w:rsidRPr="006E709F" w:rsidRDefault="00E93F58" w:rsidP="00F925D9">
      <w:pPr>
        <w:pStyle w:val="subsection"/>
      </w:pPr>
      <w:r w:rsidRPr="006E709F">
        <w:tab/>
      </w:r>
      <w:r w:rsidRPr="006E709F">
        <w:tab/>
        <w:t xml:space="preserve">A </w:t>
      </w:r>
      <w:r w:rsidRPr="006E709F">
        <w:rPr>
          <w:b/>
          <w:i/>
          <w:iCs/>
        </w:rPr>
        <w:t>Supplementary Short</w:t>
      </w:r>
      <w:r>
        <w:rPr>
          <w:b/>
          <w:i/>
          <w:iCs/>
        </w:rPr>
        <w:noBreakHyphen/>
      </w:r>
      <w:r w:rsidRPr="006E709F">
        <w:rPr>
          <w:b/>
          <w:i/>
          <w:iCs/>
        </w:rPr>
        <w:t>Form PDS</w:t>
      </w:r>
      <w:r w:rsidRPr="006E709F">
        <w:rPr>
          <w:b/>
          <w:iCs/>
        </w:rPr>
        <w:t xml:space="preserve"> </w:t>
      </w:r>
      <w:r w:rsidRPr="006E709F">
        <w:t>is a document by which a person who has prepared a Short</w:t>
      </w:r>
      <w:r>
        <w:noBreakHyphen/>
      </w:r>
      <w:r w:rsidRPr="006E709F">
        <w:t>Form PDS can:</w:t>
      </w:r>
    </w:p>
    <w:p w14:paraId="6BDC9E6C" w14:textId="77777777" w:rsidR="00E93F58" w:rsidRPr="006E709F" w:rsidRDefault="00E93F58" w:rsidP="00F925D9">
      <w:pPr>
        <w:pStyle w:val="paragraph"/>
      </w:pPr>
      <w:r w:rsidRPr="006E709F">
        <w:tab/>
        <w:t>(a)</w:t>
      </w:r>
      <w:r w:rsidRPr="006E709F">
        <w:tab/>
        <w:t>correct a misleading or deceptive statement in the Short</w:t>
      </w:r>
      <w:r>
        <w:noBreakHyphen/>
      </w:r>
      <w:r w:rsidRPr="006E709F">
        <w:t>Form PDS; or</w:t>
      </w:r>
    </w:p>
    <w:p w14:paraId="09B68242" w14:textId="77777777" w:rsidR="00E93F58" w:rsidRPr="006E709F" w:rsidRDefault="00E93F58" w:rsidP="00F925D9">
      <w:pPr>
        <w:pStyle w:val="paragraph"/>
      </w:pPr>
      <w:r w:rsidRPr="006E709F">
        <w:tab/>
        <w:t>(b)</w:t>
      </w:r>
      <w:r w:rsidRPr="006E709F">
        <w:tab/>
        <w:t>correct an omission from the Short</w:t>
      </w:r>
      <w:r>
        <w:noBreakHyphen/>
      </w:r>
      <w:r w:rsidRPr="006E709F">
        <w:t>Form PDS of information it is required to contain; or</w:t>
      </w:r>
    </w:p>
    <w:p w14:paraId="39AFDC8B" w14:textId="77777777" w:rsidR="00E93F58" w:rsidRPr="006E709F" w:rsidRDefault="00E93F58" w:rsidP="00F925D9">
      <w:pPr>
        <w:pStyle w:val="paragraph"/>
      </w:pPr>
      <w:r w:rsidRPr="006E709F">
        <w:tab/>
        <w:t>(c)</w:t>
      </w:r>
      <w:r w:rsidRPr="006E709F">
        <w:tab/>
        <w:t>update, or add to, the information contained in the Short</w:t>
      </w:r>
      <w:r>
        <w:noBreakHyphen/>
      </w:r>
      <w:r w:rsidRPr="006E709F">
        <w:t>Form PDS; or</w:t>
      </w:r>
    </w:p>
    <w:p w14:paraId="2AAC8DAD" w14:textId="77777777" w:rsidR="00E93F58" w:rsidRPr="006E709F" w:rsidRDefault="00E93F58" w:rsidP="00F925D9">
      <w:pPr>
        <w:pStyle w:val="paragraph"/>
      </w:pPr>
      <w:r w:rsidRPr="006E709F">
        <w:tab/>
        <w:t>(d)</w:t>
      </w:r>
      <w:r w:rsidRPr="006E709F">
        <w:tab/>
        <w:t>change a statement of a kind referred to in paragraph 1016E(1)(a) or (b) (as applied by section 1017K).</w:t>
      </w:r>
    </w:p>
    <w:p w14:paraId="38C3DCC5" w14:textId="77777777" w:rsidR="00E93F58" w:rsidRPr="006E709F" w:rsidRDefault="00E93F58" w:rsidP="00DB2E9E">
      <w:pPr>
        <w:pStyle w:val="Specials"/>
      </w:pPr>
      <w:r w:rsidRPr="006E709F">
        <w:t>1017M  Title of Supplementary Short</w:t>
      </w:r>
      <w:r>
        <w:noBreakHyphen/>
      </w:r>
      <w:r w:rsidRPr="006E709F">
        <w:t>Form Product Disclosure Statement</w:t>
      </w:r>
    </w:p>
    <w:p w14:paraId="4CF950E0" w14:textId="77777777" w:rsidR="00E93F58" w:rsidRPr="006E709F" w:rsidRDefault="00E93F58" w:rsidP="00F925D9">
      <w:pPr>
        <w:pStyle w:val="subsection"/>
      </w:pPr>
      <w:r w:rsidRPr="006E709F">
        <w:tab/>
        <w:t>(1)</w:t>
      </w:r>
      <w:r w:rsidRPr="006E709F">
        <w:tab/>
        <w:t>The title “Supplementary Short</w:t>
      </w:r>
      <w:r>
        <w:noBreakHyphen/>
      </w:r>
      <w:r w:rsidRPr="006E709F">
        <w:t>Form Product Disclosure Statement” must be used on the cover of, or at or near the front of, a Supplementary Short</w:t>
      </w:r>
      <w:r>
        <w:noBreakHyphen/>
      </w:r>
      <w:r w:rsidRPr="006E709F">
        <w:t>Form PDS.</w:t>
      </w:r>
    </w:p>
    <w:p w14:paraId="13A07D04" w14:textId="77777777" w:rsidR="00E93F58" w:rsidRPr="006E709F" w:rsidRDefault="00E93F58" w:rsidP="00F925D9">
      <w:pPr>
        <w:pStyle w:val="subsection"/>
      </w:pPr>
      <w:r w:rsidRPr="006E709F">
        <w:tab/>
        <w:t>(2)</w:t>
      </w:r>
      <w:r w:rsidRPr="006E709F">
        <w:tab/>
        <w:t>In any other part of a Supplementary Short</w:t>
      </w:r>
      <w:r>
        <w:noBreakHyphen/>
      </w:r>
      <w:r w:rsidRPr="006E709F">
        <w:t>Form PDS, “Supplementary Short</w:t>
      </w:r>
      <w:r>
        <w:noBreakHyphen/>
      </w:r>
      <w:r w:rsidRPr="006E709F">
        <w:t>Form Product Disclosure Statement” may be abbreviated to “Supplementary Short</w:t>
      </w:r>
      <w:r>
        <w:noBreakHyphen/>
      </w:r>
      <w:r w:rsidRPr="006E709F">
        <w:t>Form PDS”.</w:t>
      </w:r>
    </w:p>
    <w:p w14:paraId="0EE8BB8D" w14:textId="77777777" w:rsidR="00E93F58" w:rsidRPr="006E709F" w:rsidRDefault="00E93F58" w:rsidP="00DB2E9E">
      <w:pPr>
        <w:pStyle w:val="Specials"/>
      </w:pPr>
      <w:r w:rsidRPr="006E709F">
        <w:t>1017N  Form of Supplementary Short</w:t>
      </w:r>
      <w:r>
        <w:noBreakHyphen/>
      </w:r>
      <w:r w:rsidRPr="006E709F">
        <w:t>Form Product Disclosure Statement</w:t>
      </w:r>
    </w:p>
    <w:p w14:paraId="116FD370" w14:textId="77777777" w:rsidR="00E93F58" w:rsidRPr="006E709F" w:rsidRDefault="00E93F58" w:rsidP="00F925D9">
      <w:pPr>
        <w:pStyle w:val="subsection"/>
      </w:pPr>
      <w:r w:rsidRPr="006E709F">
        <w:tab/>
      </w:r>
      <w:r w:rsidRPr="006E709F">
        <w:tab/>
        <w:t>At the beginning of a Supplementary Short</w:t>
      </w:r>
      <w:r>
        <w:noBreakHyphen/>
      </w:r>
      <w:r w:rsidRPr="006E709F">
        <w:t>Form PDS there must be:</w:t>
      </w:r>
    </w:p>
    <w:p w14:paraId="0A0F208B" w14:textId="77777777" w:rsidR="00E93F58" w:rsidRPr="006E709F" w:rsidRDefault="00E93F58" w:rsidP="00F925D9">
      <w:pPr>
        <w:pStyle w:val="paragraph"/>
      </w:pPr>
      <w:r w:rsidRPr="006E709F">
        <w:tab/>
        <w:t>(a)</w:t>
      </w:r>
      <w:r w:rsidRPr="006E709F">
        <w:tab/>
        <w:t>a statement that it is a Supplementary Short</w:t>
      </w:r>
      <w:r>
        <w:noBreakHyphen/>
      </w:r>
      <w:r w:rsidRPr="006E709F">
        <w:t>Form PDS; and</w:t>
      </w:r>
    </w:p>
    <w:p w14:paraId="01603876" w14:textId="77777777" w:rsidR="00E93F58" w:rsidRPr="006E709F" w:rsidRDefault="00E93F58" w:rsidP="00F925D9">
      <w:pPr>
        <w:pStyle w:val="paragraph"/>
      </w:pPr>
      <w:r w:rsidRPr="006E709F">
        <w:tab/>
        <w:t>(b)</w:t>
      </w:r>
      <w:r w:rsidRPr="006E709F">
        <w:tab/>
        <w:t>an identification of the Short</w:t>
      </w:r>
      <w:r>
        <w:noBreakHyphen/>
      </w:r>
      <w:r w:rsidRPr="006E709F">
        <w:t>Form PDS that it supplements; and</w:t>
      </w:r>
    </w:p>
    <w:p w14:paraId="6362B0AD" w14:textId="77777777" w:rsidR="00E93F58" w:rsidRPr="006E709F" w:rsidRDefault="00E93F58" w:rsidP="00F925D9">
      <w:pPr>
        <w:pStyle w:val="paragraph"/>
      </w:pPr>
      <w:r w:rsidRPr="006E709F">
        <w:lastRenderedPageBreak/>
        <w:tab/>
        <w:t>(c)</w:t>
      </w:r>
      <w:r w:rsidRPr="006E709F">
        <w:tab/>
        <w:t>a statement that it is to be read together with that Short</w:t>
      </w:r>
      <w:r>
        <w:noBreakHyphen/>
      </w:r>
      <w:r w:rsidRPr="006E709F">
        <w:t>Form PDS and any other specified Supplementary Short</w:t>
      </w:r>
      <w:r>
        <w:noBreakHyphen/>
      </w:r>
      <w:r w:rsidRPr="006E709F">
        <w:t>Form PDS.</w:t>
      </w:r>
    </w:p>
    <w:p w14:paraId="5C20C453" w14:textId="77777777" w:rsidR="00E93F58" w:rsidRPr="006E709F" w:rsidRDefault="00E93F58" w:rsidP="00DB2E9E">
      <w:pPr>
        <w:pStyle w:val="Specials"/>
      </w:pPr>
      <w:r w:rsidRPr="006E709F">
        <w:t>1017O  Effect of giving person a Supplementary Short</w:t>
      </w:r>
      <w:r>
        <w:noBreakHyphen/>
      </w:r>
      <w:r w:rsidRPr="006E709F">
        <w:t>Form Product Disclosure Statement</w:t>
      </w:r>
    </w:p>
    <w:p w14:paraId="70188389" w14:textId="77777777" w:rsidR="00E93F58" w:rsidRPr="006E709F" w:rsidRDefault="00E93F58" w:rsidP="00F925D9">
      <w:pPr>
        <w:pStyle w:val="subsection"/>
      </w:pPr>
      <w:r w:rsidRPr="006E709F">
        <w:tab/>
      </w:r>
      <w:r w:rsidRPr="006E709F">
        <w:tab/>
        <w:t>If:</w:t>
      </w:r>
    </w:p>
    <w:p w14:paraId="777B015F" w14:textId="77777777" w:rsidR="00E93F58" w:rsidRPr="006E709F" w:rsidRDefault="00E93F58" w:rsidP="00F925D9">
      <w:pPr>
        <w:pStyle w:val="paragraph"/>
      </w:pPr>
      <w:r w:rsidRPr="006E709F">
        <w:tab/>
        <w:t>(a)</w:t>
      </w:r>
      <w:r w:rsidRPr="006E709F">
        <w:tab/>
        <w:t>a person is given a Short</w:t>
      </w:r>
      <w:r>
        <w:noBreakHyphen/>
      </w:r>
      <w:r w:rsidRPr="006E709F">
        <w:t>Form PDS; and</w:t>
      </w:r>
    </w:p>
    <w:p w14:paraId="44F09B36" w14:textId="77777777" w:rsidR="00E93F58" w:rsidRPr="006E709F" w:rsidRDefault="00E93F58" w:rsidP="00F925D9">
      <w:pPr>
        <w:pStyle w:val="paragraph"/>
      </w:pPr>
      <w:r w:rsidRPr="006E709F">
        <w:tab/>
        <w:t>(b)</w:t>
      </w:r>
      <w:r w:rsidRPr="006E709F">
        <w:tab/>
        <w:t>at the same time, or later, they are given a Supplementary Short</w:t>
      </w:r>
      <w:r>
        <w:noBreakHyphen/>
      </w:r>
      <w:r w:rsidRPr="006E709F">
        <w:t>Form PDS that supplements the Short</w:t>
      </w:r>
      <w:r>
        <w:noBreakHyphen/>
      </w:r>
      <w:r w:rsidRPr="006E709F">
        <w:t>Form PDS;</w:t>
      </w:r>
    </w:p>
    <w:p w14:paraId="5D7F50A4" w14:textId="77777777" w:rsidR="00E93F58" w:rsidRPr="006E709F" w:rsidRDefault="00E93F58" w:rsidP="00F925D9">
      <w:pPr>
        <w:pStyle w:val="subsection2"/>
      </w:pPr>
      <w:r w:rsidRPr="006E709F">
        <w:t>the Short</w:t>
      </w:r>
      <w:r>
        <w:noBreakHyphen/>
      </w:r>
      <w:r w:rsidRPr="006E709F">
        <w:t>Form PDS is taken, from when the Supplementary Short</w:t>
      </w:r>
      <w:r>
        <w:noBreakHyphen/>
      </w:r>
      <w:r w:rsidRPr="006E709F">
        <w:t>Form PDS is given to the person, to include the information and statements contained in the Supplementary Short</w:t>
      </w:r>
      <w:r>
        <w:noBreakHyphen/>
      </w:r>
      <w:r w:rsidRPr="006E709F">
        <w:t>Form PDS.</w:t>
      </w:r>
    </w:p>
    <w:p w14:paraId="78457E3D" w14:textId="77777777" w:rsidR="00E93F58" w:rsidRPr="006E709F" w:rsidRDefault="00E93F58" w:rsidP="00695CE6">
      <w:pPr>
        <w:pStyle w:val="Specials"/>
      </w:pPr>
      <w:r w:rsidRPr="006E709F">
        <w:t>1017P  Situation in which only a Supplementary Short</w:t>
      </w:r>
      <w:r>
        <w:noBreakHyphen/>
      </w:r>
      <w:r w:rsidRPr="006E709F">
        <w:t>Form Product Disclosure Statement need be given</w:t>
      </w:r>
    </w:p>
    <w:p w14:paraId="1D08E21F" w14:textId="77777777" w:rsidR="00E93F58" w:rsidRPr="006E709F" w:rsidRDefault="00E93F58" w:rsidP="002C7812">
      <w:pPr>
        <w:pStyle w:val="subsection"/>
      </w:pPr>
      <w:r w:rsidRPr="006E709F">
        <w:tab/>
      </w:r>
      <w:r w:rsidRPr="006E709F">
        <w:tab/>
        <w:t>If:</w:t>
      </w:r>
    </w:p>
    <w:p w14:paraId="78D791C1" w14:textId="77777777" w:rsidR="00E93F58" w:rsidRPr="006E709F" w:rsidRDefault="00E93F58" w:rsidP="002C7812">
      <w:pPr>
        <w:pStyle w:val="paragraph"/>
      </w:pPr>
      <w:r w:rsidRPr="006E709F">
        <w:tab/>
        <w:t>(a)</w:t>
      </w:r>
      <w:r w:rsidRPr="006E709F">
        <w:tab/>
        <w:t xml:space="preserve">apart from this section, a person would be required to give another person (the </w:t>
      </w:r>
      <w:r w:rsidRPr="006E709F">
        <w:rPr>
          <w:b/>
          <w:i/>
          <w:iCs/>
        </w:rPr>
        <w:t>client</w:t>
      </w:r>
      <w:r w:rsidRPr="006E709F">
        <w:t xml:space="preserve">) a Product Disclosure Statement (the </w:t>
      </w:r>
      <w:r w:rsidRPr="006E709F">
        <w:rPr>
          <w:b/>
          <w:i/>
          <w:iCs/>
        </w:rPr>
        <w:t>new PDS</w:t>
      </w:r>
      <w:r w:rsidRPr="006E709F">
        <w:t>) relating to a financial product; and</w:t>
      </w:r>
    </w:p>
    <w:p w14:paraId="00FF98CC" w14:textId="77777777" w:rsidR="00E93F58" w:rsidRPr="006E709F" w:rsidRDefault="00E93F58" w:rsidP="002C7812">
      <w:pPr>
        <w:pStyle w:val="paragraph"/>
      </w:pPr>
      <w:r w:rsidRPr="006E709F">
        <w:tab/>
        <w:t>(b)</w:t>
      </w:r>
      <w:r w:rsidRPr="006E709F">
        <w:tab/>
        <w:t>the client has, because of some previous conduct, already received a Short</w:t>
      </w:r>
      <w:r>
        <w:noBreakHyphen/>
      </w:r>
      <w:r w:rsidRPr="006E709F">
        <w:t xml:space="preserve">Form PDS (the </w:t>
      </w:r>
      <w:r w:rsidRPr="006E709F">
        <w:rPr>
          <w:b/>
          <w:i/>
          <w:iCs/>
        </w:rPr>
        <w:t>earlier Short</w:t>
      </w:r>
      <w:r>
        <w:rPr>
          <w:b/>
          <w:i/>
          <w:iCs/>
        </w:rPr>
        <w:noBreakHyphen/>
      </w:r>
      <w:r w:rsidRPr="006E709F">
        <w:rPr>
          <w:b/>
          <w:i/>
          <w:iCs/>
        </w:rPr>
        <w:t>Form PDS</w:t>
      </w:r>
      <w:r w:rsidRPr="006E709F">
        <w:t>) relating to the financial product; and</w:t>
      </w:r>
    </w:p>
    <w:p w14:paraId="68956B00" w14:textId="77777777" w:rsidR="00E93F58" w:rsidRPr="006E709F" w:rsidRDefault="00E93F58" w:rsidP="002C7812">
      <w:pPr>
        <w:pStyle w:val="paragraph"/>
      </w:pPr>
      <w:r w:rsidRPr="006E709F">
        <w:tab/>
        <w:t>(c)</w:t>
      </w:r>
      <w:r w:rsidRPr="006E709F">
        <w:tab/>
        <w:t xml:space="preserve">the earlier </w:t>
      </w:r>
      <w:r w:rsidRPr="006E709F">
        <w:rPr>
          <w:iCs/>
        </w:rPr>
        <w:t>Short</w:t>
      </w:r>
      <w:r>
        <w:rPr>
          <w:iCs/>
        </w:rPr>
        <w:noBreakHyphen/>
      </w:r>
      <w:r w:rsidRPr="006E709F">
        <w:rPr>
          <w:iCs/>
        </w:rPr>
        <w:t xml:space="preserve">Form </w:t>
      </w:r>
      <w:r w:rsidRPr="006E709F">
        <w:t>PDS contains summaries of some, but not all, of the information that the new PDS is required to contain (see paragraph 1017I(1)(a));</w:t>
      </w:r>
    </w:p>
    <w:p w14:paraId="4736D53D" w14:textId="77777777" w:rsidR="00E93F58" w:rsidRPr="006E709F" w:rsidRDefault="00E93F58" w:rsidP="002C7812">
      <w:pPr>
        <w:pStyle w:val="subsection2"/>
      </w:pPr>
      <w:r w:rsidRPr="006E709F">
        <w:t xml:space="preserve">the person may, instead of giving the client the new PDS, give the client a Supplementary </w:t>
      </w:r>
      <w:r w:rsidRPr="006E709F">
        <w:rPr>
          <w:iCs/>
        </w:rPr>
        <w:t>Short</w:t>
      </w:r>
      <w:r>
        <w:rPr>
          <w:iCs/>
        </w:rPr>
        <w:noBreakHyphen/>
      </w:r>
      <w:r w:rsidRPr="006E709F">
        <w:rPr>
          <w:iCs/>
        </w:rPr>
        <w:t xml:space="preserve">Form </w:t>
      </w:r>
      <w:r w:rsidRPr="006E709F">
        <w:t>PDS that contains summaries of the additional information.</w:t>
      </w:r>
    </w:p>
    <w:p w14:paraId="1D9F5C3B" w14:textId="77777777" w:rsidR="00E93F58" w:rsidRPr="006E709F" w:rsidRDefault="00E93F58" w:rsidP="00695CE6">
      <w:pPr>
        <w:pStyle w:val="Specials"/>
      </w:pPr>
      <w:r w:rsidRPr="006E709F">
        <w:t>1017Q  Application of other provisions in relation to Supplementary Short</w:t>
      </w:r>
      <w:r>
        <w:noBreakHyphen/>
      </w:r>
      <w:r w:rsidRPr="006E709F">
        <w:t>Form Product Disclosure Statements</w:t>
      </w:r>
    </w:p>
    <w:p w14:paraId="05A1F976" w14:textId="77777777" w:rsidR="00E93F58" w:rsidRPr="006E709F" w:rsidRDefault="00E93F58" w:rsidP="002C7812">
      <w:pPr>
        <w:pStyle w:val="subsection"/>
      </w:pPr>
      <w:r w:rsidRPr="006E709F">
        <w:tab/>
      </w:r>
      <w:r w:rsidRPr="006E709F">
        <w:tab/>
        <w:t>The following provisions apply in relation to a Supplementary Short</w:t>
      </w:r>
      <w:r>
        <w:noBreakHyphen/>
      </w:r>
      <w:r w:rsidRPr="006E709F">
        <w:t>Form PDS in the same way as those provisions apply to a Product Disclosure Statement:</w:t>
      </w:r>
    </w:p>
    <w:p w14:paraId="31EBD5EC" w14:textId="77777777" w:rsidR="00E93F58" w:rsidRPr="006E709F" w:rsidRDefault="00E93F58" w:rsidP="002C7812">
      <w:pPr>
        <w:pStyle w:val="paragraph"/>
      </w:pPr>
      <w:r w:rsidRPr="006E709F">
        <w:tab/>
        <w:t>(a)</w:t>
      </w:r>
      <w:r w:rsidRPr="006E709F">
        <w:tab/>
        <w:t>sections 1013A, 1013G, 1013H, 1013K and subsections 1013C(3) and 1013C(4) to (7);</w:t>
      </w:r>
    </w:p>
    <w:p w14:paraId="3F7A7F19" w14:textId="77777777" w:rsidR="00E93F58" w:rsidRPr="006E709F" w:rsidRDefault="00E93F58" w:rsidP="002C7812">
      <w:pPr>
        <w:pStyle w:val="paragraph"/>
      </w:pPr>
      <w:r w:rsidRPr="006E709F">
        <w:tab/>
        <w:t>(b)</w:t>
      </w:r>
      <w:r w:rsidRPr="006E709F">
        <w:tab/>
        <w:t>any regulations made under those sections or subsections;</w:t>
      </w:r>
    </w:p>
    <w:p w14:paraId="596ABD0B" w14:textId="77777777" w:rsidR="00E93F58" w:rsidRPr="006E709F" w:rsidRDefault="00E93F58" w:rsidP="002C7812">
      <w:pPr>
        <w:pStyle w:val="paragraph"/>
      </w:pPr>
      <w:r w:rsidRPr="006E709F">
        <w:tab/>
        <w:t>(c)</w:t>
      </w:r>
      <w:r w:rsidRPr="006E709F">
        <w:tab/>
        <w:t>any regulations that modify those sections or subsections.</w:t>
      </w:r>
    </w:p>
    <w:p w14:paraId="6EE33C77" w14:textId="77777777" w:rsidR="00E93F58" w:rsidRPr="006E709F" w:rsidRDefault="00E93F58" w:rsidP="002C7812">
      <w:pPr>
        <w:pStyle w:val="ItemHead"/>
      </w:pPr>
      <w:r w:rsidRPr="006E709F">
        <w:t>3.2  Section 1015A</w:t>
      </w:r>
    </w:p>
    <w:p w14:paraId="1E938988" w14:textId="77777777" w:rsidR="00E93F58" w:rsidRPr="006E709F" w:rsidRDefault="00E93F58" w:rsidP="002C7812">
      <w:pPr>
        <w:pStyle w:val="Item"/>
        <w:rPr>
          <w:i/>
        </w:rPr>
      </w:pPr>
      <w:r w:rsidRPr="006E709F">
        <w:rPr>
          <w:i/>
        </w:rPr>
        <w:t>substitute</w:t>
      </w:r>
    </w:p>
    <w:p w14:paraId="1D0FFA41" w14:textId="77777777" w:rsidR="00E93F58" w:rsidRPr="006E709F" w:rsidRDefault="00E93F58" w:rsidP="00695CE6">
      <w:pPr>
        <w:pStyle w:val="Specials"/>
      </w:pPr>
      <w:r w:rsidRPr="006E709F">
        <w:t>1015A  Subdivision applies to certain Disclosure Statements</w:t>
      </w:r>
    </w:p>
    <w:p w14:paraId="09004CE9" w14:textId="77777777" w:rsidR="00E93F58" w:rsidRPr="006E709F" w:rsidRDefault="00E93F58" w:rsidP="002C7812">
      <w:pPr>
        <w:pStyle w:val="subsection"/>
      </w:pPr>
      <w:r w:rsidRPr="006E709F">
        <w:tab/>
        <w:t>(1)</w:t>
      </w:r>
      <w:r w:rsidRPr="006E709F">
        <w:tab/>
        <w:t>Subject to subsection (2):</w:t>
      </w:r>
    </w:p>
    <w:p w14:paraId="6B932A15" w14:textId="77777777" w:rsidR="00E93F58" w:rsidRPr="006E709F" w:rsidRDefault="00E93F58" w:rsidP="002C7812">
      <w:pPr>
        <w:pStyle w:val="paragraph"/>
      </w:pPr>
      <w:r w:rsidRPr="006E709F">
        <w:tab/>
        <w:t>(a)</w:t>
      </w:r>
      <w:r w:rsidRPr="006E709F">
        <w:tab/>
        <w:t>this Subdivision applies to:</w:t>
      </w:r>
    </w:p>
    <w:p w14:paraId="07C2649D" w14:textId="77777777" w:rsidR="00E93F58" w:rsidRPr="006E709F" w:rsidRDefault="00E93F58" w:rsidP="002C7812">
      <w:pPr>
        <w:pStyle w:val="paragraphsub"/>
      </w:pPr>
      <w:r w:rsidRPr="006E709F">
        <w:tab/>
        <w:t>(i)</w:t>
      </w:r>
      <w:r w:rsidRPr="006E709F">
        <w:tab/>
        <w:t>a Product Disclosure Statement; or</w:t>
      </w:r>
    </w:p>
    <w:p w14:paraId="479A8D9D" w14:textId="77777777" w:rsidR="00E93F58" w:rsidRPr="006E709F" w:rsidRDefault="00E93F58" w:rsidP="002C7812">
      <w:pPr>
        <w:pStyle w:val="paragraphsub"/>
      </w:pPr>
      <w:r w:rsidRPr="006E709F">
        <w:tab/>
        <w:t>(ii)</w:t>
      </w:r>
      <w:r w:rsidRPr="006E709F">
        <w:tab/>
        <w:t>a Short</w:t>
      </w:r>
      <w:r>
        <w:noBreakHyphen/>
      </w:r>
      <w:r w:rsidRPr="006E709F">
        <w:t>Form PDS; or</w:t>
      </w:r>
    </w:p>
    <w:p w14:paraId="0F378AD1" w14:textId="77777777" w:rsidR="00E93F58" w:rsidRPr="006E709F" w:rsidRDefault="00E93F58" w:rsidP="002C7812">
      <w:pPr>
        <w:pStyle w:val="paragraphsub"/>
      </w:pPr>
      <w:r w:rsidRPr="006E709F">
        <w:tab/>
        <w:t>(iii)</w:t>
      </w:r>
      <w:r w:rsidRPr="006E709F">
        <w:tab/>
        <w:t>a Supplementary PDS; or</w:t>
      </w:r>
    </w:p>
    <w:p w14:paraId="60D5320A" w14:textId="77777777" w:rsidR="00E93F58" w:rsidRPr="006E709F" w:rsidRDefault="00E93F58" w:rsidP="002C7812">
      <w:pPr>
        <w:pStyle w:val="paragraphsub"/>
      </w:pPr>
      <w:r w:rsidRPr="006E709F">
        <w:tab/>
        <w:t>(iv)</w:t>
      </w:r>
      <w:r w:rsidRPr="006E709F">
        <w:tab/>
        <w:t>a Supplementary Short</w:t>
      </w:r>
      <w:r>
        <w:noBreakHyphen/>
      </w:r>
      <w:r w:rsidRPr="006E709F">
        <w:t>Form PDS; and</w:t>
      </w:r>
    </w:p>
    <w:p w14:paraId="6DED99B9" w14:textId="77777777" w:rsidR="00E93F58" w:rsidRPr="006E709F" w:rsidRDefault="00E93F58" w:rsidP="002C7812">
      <w:pPr>
        <w:pStyle w:val="paragraph"/>
      </w:pPr>
      <w:r w:rsidRPr="006E709F">
        <w:tab/>
        <w:t>(b)</w:t>
      </w:r>
      <w:r w:rsidRPr="006E709F">
        <w:tab/>
        <w:t xml:space="preserve">each of those kinds of documents is referred to in this Subdivision as a </w:t>
      </w:r>
      <w:r w:rsidRPr="006E709F">
        <w:rPr>
          <w:b/>
          <w:i/>
        </w:rPr>
        <w:t>Statement</w:t>
      </w:r>
      <w:r w:rsidRPr="006E709F">
        <w:t>.</w:t>
      </w:r>
    </w:p>
    <w:p w14:paraId="4F2F4438" w14:textId="77777777" w:rsidR="00E93F58" w:rsidRPr="006E709F" w:rsidRDefault="00E93F58" w:rsidP="002C7812">
      <w:pPr>
        <w:pStyle w:val="subsection"/>
      </w:pPr>
      <w:r w:rsidRPr="006E709F">
        <w:tab/>
        <w:t>(2)</w:t>
      </w:r>
      <w:r w:rsidRPr="006E709F">
        <w:tab/>
        <w:t>However:</w:t>
      </w:r>
    </w:p>
    <w:p w14:paraId="6358F57A" w14:textId="77777777" w:rsidR="00E93F58" w:rsidRPr="006E709F" w:rsidRDefault="00E93F58" w:rsidP="002C7812">
      <w:pPr>
        <w:pStyle w:val="paragraph"/>
      </w:pPr>
      <w:r w:rsidRPr="006E709F">
        <w:tab/>
        <w:t>(a)</w:t>
      </w:r>
      <w:r w:rsidRPr="006E709F">
        <w:tab/>
        <w:t>section 1015B does not apply to a Short</w:t>
      </w:r>
      <w:r>
        <w:noBreakHyphen/>
      </w:r>
      <w:r w:rsidRPr="006E709F">
        <w:t>Form PDS or a Supplementary Short</w:t>
      </w:r>
      <w:r>
        <w:noBreakHyphen/>
      </w:r>
      <w:r w:rsidRPr="006E709F">
        <w:t>Form PDS; and</w:t>
      </w:r>
    </w:p>
    <w:p w14:paraId="66CE410E" w14:textId="77777777" w:rsidR="00E93F58" w:rsidRPr="006E709F" w:rsidRDefault="00E93F58" w:rsidP="002C7812">
      <w:pPr>
        <w:pStyle w:val="paragraph"/>
      </w:pPr>
      <w:r w:rsidRPr="006E709F">
        <w:tab/>
        <w:t>(b)</w:t>
      </w:r>
      <w:r w:rsidRPr="006E709F">
        <w:tab/>
        <w:t xml:space="preserve">in that section, </w:t>
      </w:r>
      <w:r w:rsidRPr="006E709F">
        <w:rPr>
          <w:b/>
          <w:i/>
        </w:rPr>
        <w:t xml:space="preserve">Statement </w:t>
      </w:r>
      <w:r w:rsidRPr="006E709F">
        <w:t>does not include a Short</w:t>
      </w:r>
      <w:r>
        <w:noBreakHyphen/>
      </w:r>
      <w:r w:rsidRPr="006E709F">
        <w:t>Form PDS or a Supplementary Short</w:t>
      </w:r>
      <w:r>
        <w:noBreakHyphen/>
      </w:r>
      <w:r w:rsidRPr="006E709F">
        <w:t>Form PDS.</w:t>
      </w:r>
    </w:p>
    <w:p w14:paraId="11A299F8" w14:textId="77777777" w:rsidR="00E93F58" w:rsidRPr="006E709F" w:rsidRDefault="00E93F58" w:rsidP="002C7812">
      <w:pPr>
        <w:pStyle w:val="ItemHead"/>
      </w:pPr>
      <w:r w:rsidRPr="006E709F">
        <w:t>3.3  Subsection 1015B(1) (after the note)</w:t>
      </w:r>
    </w:p>
    <w:p w14:paraId="25F97771" w14:textId="77777777" w:rsidR="00E93F58" w:rsidRPr="006E709F" w:rsidRDefault="00E93F58" w:rsidP="002C7812">
      <w:pPr>
        <w:pStyle w:val="Item"/>
        <w:rPr>
          <w:i/>
        </w:rPr>
      </w:pPr>
      <w:r w:rsidRPr="006E709F">
        <w:rPr>
          <w:i/>
        </w:rPr>
        <w:t>insert</w:t>
      </w:r>
    </w:p>
    <w:p w14:paraId="6E67F44D" w14:textId="77777777" w:rsidR="00E93F58" w:rsidRPr="006E709F" w:rsidRDefault="00E93F58" w:rsidP="002C7812">
      <w:pPr>
        <w:pStyle w:val="notetext"/>
      </w:pPr>
      <w:r w:rsidRPr="006E709F">
        <w:t>Note 2:</w:t>
      </w:r>
      <w:r w:rsidRPr="006E709F">
        <w:tab/>
        <w:t xml:space="preserve">Subsection 1015A(2) provides that </w:t>
      </w:r>
      <w:r w:rsidRPr="006E709F">
        <w:rPr>
          <w:b/>
          <w:i/>
        </w:rPr>
        <w:t>Statement</w:t>
      </w:r>
      <w:r w:rsidRPr="006E709F">
        <w:t xml:space="preserve"> in this section does not include a Short</w:t>
      </w:r>
      <w:r>
        <w:noBreakHyphen/>
      </w:r>
      <w:r w:rsidRPr="006E709F">
        <w:t>Form PDS or a Supplementary Short</w:t>
      </w:r>
      <w:r>
        <w:noBreakHyphen/>
      </w:r>
      <w:r w:rsidRPr="006E709F">
        <w:t>Form PDS.</w:t>
      </w:r>
    </w:p>
    <w:p w14:paraId="25142E67" w14:textId="77777777" w:rsidR="00E93F58" w:rsidRPr="006E709F" w:rsidRDefault="00E93F58" w:rsidP="002C7812">
      <w:pPr>
        <w:pStyle w:val="ItemHead"/>
      </w:pPr>
      <w:r w:rsidRPr="006E709F">
        <w:t>3.4  Paragraph 1018A(1)(e)</w:t>
      </w:r>
    </w:p>
    <w:p w14:paraId="1244E5C9" w14:textId="77777777" w:rsidR="00E93F58" w:rsidRPr="006E709F" w:rsidRDefault="00E93F58" w:rsidP="00F925D9">
      <w:pPr>
        <w:pStyle w:val="Item"/>
        <w:keepLines w:val="0"/>
        <w:rPr>
          <w:i/>
        </w:rPr>
      </w:pPr>
      <w:r w:rsidRPr="006E709F">
        <w:rPr>
          <w:i/>
        </w:rPr>
        <w:t>after</w:t>
      </w:r>
    </w:p>
    <w:p w14:paraId="7830049E" w14:textId="77777777" w:rsidR="00E93F58" w:rsidRPr="006E709F" w:rsidRDefault="00E93F58" w:rsidP="00F925D9">
      <w:pPr>
        <w:pStyle w:val="Item"/>
        <w:keepLines w:val="0"/>
      </w:pPr>
      <w:r w:rsidRPr="006E709F">
        <w:lastRenderedPageBreak/>
        <w:t>Statement</w:t>
      </w:r>
    </w:p>
    <w:p w14:paraId="652E0EDE" w14:textId="77777777" w:rsidR="00E93F58" w:rsidRPr="006E709F" w:rsidRDefault="00E93F58" w:rsidP="00F925D9">
      <w:pPr>
        <w:pStyle w:val="Item"/>
        <w:keepLines w:val="0"/>
        <w:rPr>
          <w:i/>
        </w:rPr>
      </w:pPr>
      <w:r w:rsidRPr="006E709F">
        <w:rPr>
          <w:i/>
        </w:rPr>
        <w:t>insert</w:t>
      </w:r>
    </w:p>
    <w:p w14:paraId="32FD4306" w14:textId="77777777" w:rsidR="00E93F58" w:rsidRPr="006E709F" w:rsidRDefault="00E93F58" w:rsidP="00F925D9">
      <w:pPr>
        <w:pStyle w:val="Item"/>
        <w:keepLines w:val="0"/>
      </w:pPr>
      <w:r w:rsidRPr="006E709F">
        <w:t>or Short</w:t>
      </w:r>
      <w:r>
        <w:noBreakHyphen/>
      </w:r>
      <w:r w:rsidRPr="006E709F">
        <w:t>Form PDS, if available,</w:t>
      </w:r>
    </w:p>
    <w:p w14:paraId="390117FE" w14:textId="77777777" w:rsidR="00E93F58" w:rsidRPr="006E709F" w:rsidRDefault="00E93F58" w:rsidP="002C7812">
      <w:pPr>
        <w:pStyle w:val="ItemHead"/>
      </w:pPr>
      <w:r w:rsidRPr="006E709F">
        <w:t>3.5  Paragraph 1018A(2)(f)</w:t>
      </w:r>
    </w:p>
    <w:p w14:paraId="7A024ACE" w14:textId="77777777" w:rsidR="00E93F58" w:rsidRPr="006E709F" w:rsidRDefault="00E93F58" w:rsidP="00F925D9">
      <w:pPr>
        <w:pStyle w:val="Item"/>
        <w:keepLines w:val="0"/>
        <w:rPr>
          <w:i/>
        </w:rPr>
      </w:pPr>
      <w:r w:rsidRPr="006E709F">
        <w:rPr>
          <w:i/>
        </w:rPr>
        <w:t>after</w:t>
      </w:r>
    </w:p>
    <w:p w14:paraId="44FCB161" w14:textId="77777777" w:rsidR="00E93F58" w:rsidRPr="006E709F" w:rsidRDefault="00E93F58" w:rsidP="00F925D9">
      <w:pPr>
        <w:pStyle w:val="Item"/>
        <w:keepLines w:val="0"/>
      </w:pPr>
      <w:r w:rsidRPr="006E709F">
        <w:t>Statement</w:t>
      </w:r>
    </w:p>
    <w:p w14:paraId="2D2DA97C" w14:textId="77777777" w:rsidR="00E93F58" w:rsidRPr="006E709F" w:rsidRDefault="00E93F58" w:rsidP="00F925D9">
      <w:pPr>
        <w:pStyle w:val="Item"/>
        <w:keepLines w:val="0"/>
        <w:rPr>
          <w:i/>
        </w:rPr>
      </w:pPr>
      <w:r w:rsidRPr="006E709F">
        <w:rPr>
          <w:i/>
        </w:rPr>
        <w:t>insert</w:t>
      </w:r>
    </w:p>
    <w:p w14:paraId="4BCBCC51" w14:textId="77777777" w:rsidR="00E93F58" w:rsidRPr="006E709F" w:rsidRDefault="00E93F58" w:rsidP="00F925D9">
      <w:pPr>
        <w:pStyle w:val="Item"/>
        <w:keepLines w:val="0"/>
      </w:pPr>
      <w:r w:rsidRPr="006E709F">
        <w:t>or Short</w:t>
      </w:r>
      <w:r>
        <w:noBreakHyphen/>
      </w:r>
      <w:r w:rsidRPr="006E709F">
        <w:t>Form PDS, if available,</w:t>
      </w:r>
    </w:p>
    <w:p w14:paraId="646A2A32" w14:textId="77777777" w:rsidR="00E93F58" w:rsidRPr="006E709F" w:rsidRDefault="00E93F58" w:rsidP="002C7812">
      <w:pPr>
        <w:pStyle w:val="ItemHead"/>
      </w:pPr>
      <w:r w:rsidRPr="006E709F">
        <w:t>3.6  Subsection 1018A(3)</w:t>
      </w:r>
    </w:p>
    <w:p w14:paraId="57E1BA25" w14:textId="77777777" w:rsidR="00E93F58" w:rsidRPr="006E709F" w:rsidRDefault="00E93F58" w:rsidP="00F925D9">
      <w:pPr>
        <w:pStyle w:val="Item"/>
        <w:keepLines w:val="0"/>
        <w:rPr>
          <w:i/>
        </w:rPr>
      </w:pPr>
      <w:r w:rsidRPr="006E709F">
        <w:rPr>
          <w:i/>
        </w:rPr>
        <w:t>after</w:t>
      </w:r>
    </w:p>
    <w:p w14:paraId="09AF128F" w14:textId="77777777" w:rsidR="00E93F58" w:rsidRPr="006E709F" w:rsidRDefault="00E93F58" w:rsidP="00F925D9">
      <w:pPr>
        <w:pStyle w:val="Item"/>
        <w:keepLines w:val="0"/>
      </w:pPr>
      <w:r w:rsidRPr="006E709F">
        <w:t>Statement</w:t>
      </w:r>
    </w:p>
    <w:p w14:paraId="1C67A7C2" w14:textId="77777777" w:rsidR="00E93F58" w:rsidRPr="006E709F" w:rsidRDefault="00E93F58" w:rsidP="00F925D9">
      <w:pPr>
        <w:pStyle w:val="Item"/>
        <w:keepLines w:val="0"/>
        <w:rPr>
          <w:i/>
        </w:rPr>
      </w:pPr>
      <w:r w:rsidRPr="006E709F">
        <w:rPr>
          <w:i/>
        </w:rPr>
        <w:t>insert</w:t>
      </w:r>
    </w:p>
    <w:p w14:paraId="4F9B6C9B" w14:textId="77777777" w:rsidR="00E93F58" w:rsidRPr="006E709F" w:rsidRDefault="00E93F58" w:rsidP="00F925D9">
      <w:pPr>
        <w:pStyle w:val="Item"/>
        <w:keepLines w:val="0"/>
      </w:pPr>
      <w:r w:rsidRPr="006E709F">
        <w:t>or Short</w:t>
      </w:r>
      <w:r>
        <w:noBreakHyphen/>
      </w:r>
      <w:r w:rsidRPr="006E709F">
        <w:t>Form PDS</w:t>
      </w:r>
    </w:p>
    <w:p w14:paraId="18A259D1" w14:textId="77777777" w:rsidR="00E93F58" w:rsidRPr="006E709F" w:rsidRDefault="00E93F58" w:rsidP="002C7812">
      <w:pPr>
        <w:pStyle w:val="ItemHead"/>
      </w:pPr>
      <w:r w:rsidRPr="006E709F">
        <w:t>3.7  Subparagraph 1018A(4)(d)(i)</w:t>
      </w:r>
    </w:p>
    <w:p w14:paraId="275C62CC" w14:textId="77777777" w:rsidR="00E93F58" w:rsidRPr="006E709F" w:rsidRDefault="00E93F58" w:rsidP="00F925D9">
      <w:pPr>
        <w:pStyle w:val="Item"/>
        <w:keepLines w:val="0"/>
        <w:rPr>
          <w:i/>
        </w:rPr>
      </w:pPr>
      <w:r w:rsidRPr="006E709F">
        <w:rPr>
          <w:i/>
        </w:rPr>
        <w:t>after</w:t>
      </w:r>
    </w:p>
    <w:p w14:paraId="1E46E49C" w14:textId="77777777" w:rsidR="00E93F58" w:rsidRPr="006E709F" w:rsidRDefault="00E93F58" w:rsidP="00F925D9">
      <w:pPr>
        <w:pStyle w:val="Item"/>
        <w:keepLines w:val="0"/>
      </w:pPr>
      <w:r w:rsidRPr="006E709F">
        <w:t>Statement</w:t>
      </w:r>
    </w:p>
    <w:p w14:paraId="20BCE680" w14:textId="77777777" w:rsidR="00E93F58" w:rsidRPr="006E709F" w:rsidRDefault="00E93F58" w:rsidP="00F925D9">
      <w:pPr>
        <w:pStyle w:val="Item"/>
        <w:keepLines w:val="0"/>
        <w:rPr>
          <w:i/>
        </w:rPr>
      </w:pPr>
      <w:r w:rsidRPr="006E709F">
        <w:rPr>
          <w:i/>
        </w:rPr>
        <w:t>insert</w:t>
      </w:r>
    </w:p>
    <w:p w14:paraId="09E38E53" w14:textId="77777777" w:rsidR="00E93F58" w:rsidRPr="006E709F" w:rsidRDefault="00E93F58" w:rsidP="00F925D9">
      <w:pPr>
        <w:pStyle w:val="Item"/>
        <w:keepLines w:val="0"/>
      </w:pPr>
      <w:r w:rsidRPr="006E709F">
        <w:t>or Short</w:t>
      </w:r>
      <w:r>
        <w:noBreakHyphen/>
      </w:r>
      <w:r w:rsidRPr="006E709F">
        <w:t>Form PDS</w:t>
      </w:r>
    </w:p>
    <w:p w14:paraId="79D7C71D" w14:textId="77777777" w:rsidR="00E93F58" w:rsidRPr="006E709F" w:rsidRDefault="00E93F58" w:rsidP="002C7812">
      <w:pPr>
        <w:pStyle w:val="ItemHead"/>
      </w:pPr>
      <w:r w:rsidRPr="006E709F">
        <w:t>3.8  Paragraph 1020D(b)</w:t>
      </w:r>
    </w:p>
    <w:p w14:paraId="65FE8FE1" w14:textId="77777777" w:rsidR="00E93F58" w:rsidRPr="006E709F" w:rsidRDefault="00E93F58" w:rsidP="00F925D9">
      <w:pPr>
        <w:pStyle w:val="Item"/>
        <w:keepLines w:val="0"/>
        <w:rPr>
          <w:i/>
        </w:rPr>
      </w:pPr>
      <w:r w:rsidRPr="006E709F">
        <w:rPr>
          <w:i/>
        </w:rPr>
        <w:t>omit</w:t>
      </w:r>
    </w:p>
    <w:p w14:paraId="71E29DC0" w14:textId="77777777" w:rsidR="00E93F58" w:rsidRPr="006E709F" w:rsidRDefault="00E93F58" w:rsidP="00F925D9">
      <w:pPr>
        <w:pStyle w:val="Item"/>
        <w:keepLines w:val="0"/>
      </w:pPr>
      <w:r w:rsidRPr="006E709F">
        <w:t>or Supplementary Product Disclosure Statement</w:t>
      </w:r>
    </w:p>
    <w:p w14:paraId="1DCAC7FD" w14:textId="77777777" w:rsidR="00E93F58" w:rsidRPr="006E709F" w:rsidRDefault="00E93F58" w:rsidP="00F925D9">
      <w:pPr>
        <w:pStyle w:val="Item"/>
        <w:keepLines w:val="0"/>
        <w:rPr>
          <w:i/>
        </w:rPr>
      </w:pPr>
      <w:r w:rsidRPr="006E709F">
        <w:rPr>
          <w:i/>
        </w:rPr>
        <w:t>insert</w:t>
      </w:r>
    </w:p>
    <w:p w14:paraId="0766E47E" w14:textId="77777777" w:rsidR="00E93F58" w:rsidRPr="006E709F" w:rsidRDefault="00E93F58" w:rsidP="00F925D9">
      <w:pPr>
        <w:pStyle w:val="Item"/>
        <w:keepLines w:val="0"/>
      </w:pPr>
      <w:r w:rsidRPr="006E709F">
        <w:t>, Supplementary Product Disclosure Statement, Short</w:t>
      </w:r>
      <w:r>
        <w:noBreakHyphen/>
      </w:r>
      <w:r w:rsidRPr="006E709F">
        <w:t>Form PDS or Supplementary Short</w:t>
      </w:r>
      <w:r>
        <w:noBreakHyphen/>
      </w:r>
      <w:r w:rsidRPr="006E709F">
        <w:t>Form PDS</w:t>
      </w:r>
    </w:p>
    <w:p w14:paraId="1158765D" w14:textId="77777777" w:rsidR="00E93F58" w:rsidRPr="006E709F" w:rsidRDefault="00E93F58" w:rsidP="002C7812">
      <w:pPr>
        <w:pStyle w:val="ItemHead"/>
      </w:pPr>
      <w:r w:rsidRPr="006E709F">
        <w:t xml:space="preserve">3.9  After paragraph 1021B(1)(b) (definition of </w:t>
      </w:r>
      <w:r w:rsidRPr="006E709F">
        <w:rPr>
          <w:i/>
        </w:rPr>
        <w:t>defective</w:t>
      </w:r>
      <w:r w:rsidRPr="006E709F">
        <w:t>)</w:t>
      </w:r>
    </w:p>
    <w:p w14:paraId="09C1974B" w14:textId="77777777" w:rsidR="00E93F58" w:rsidRPr="006E709F" w:rsidRDefault="00E93F58" w:rsidP="002C7812">
      <w:pPr>
        <w:pStyle w:val="Item"/>
        <w:rPr>
          <w:i/>
        </w:rPr>
      </w:pPr>
      <w:r w:rsidRPr="006E709F">
        <w:rPr>
          <w:i/>
        </w:rPr>
        <w:t>insert</w:t>
      </w:r>
    </w:p>
    <w:p w14:paraId="62D5D2FD" w14:textId="77777777" w:rsidR="00E93F58" w:rsidRPr="006E709F" w:rsidRDefault="00E93F58" w:rsidP="002C7812">
      <w:pPr>
        <w:pStyle w:val="paragraph"/>
      </w:pPr>
      <w:r w:rsidRPr="006E709F">
        <w:tab/>
        <w:t>(ba)</w:t>
      </w:r>
      <w:r w:rsidRPr="006E709F">
        <w:tab/>
        <w:t>if it is a Short</w:t>
      </w:r>
      <w:r>
        <w:noBreakHyphen/>
      </w:r>
      <w:r w:rsidRPr="006E709F">
        <w:t>Form PDS—there is an omission from the Short</w:t>
      </w:r>
      <w:r>
        <w:noBreakHyphen/>
      </w:r>
      <w:r w:rsidRPr="006E709F">
        <w:t>Form PDS of material required by section 1017I; or</w:t>
      </w:r>
    </w:p>
    <w:p w14:paraId="400C1D56" w14:textId="77777777" w:rsidR="00E93F58" w:rsidRPr="006E709F" w:rsidRDefault="00E93F58" w:rsidP="002C7812">
      <w:pPr>
        <w:pStyle w:val="ItemHead"/>
      </w:pPr>
      <w:r w:rsidRPr="006E709F">
        <w:t xml:space="preserve">3.10  After paragraph 1021B(1)(c) (definition of </w:t>
      </w:r>
      <w:r w:rsidRPr="006E709F">
        <w:rPr>
          <w:i/>
        </w:rPr>
        <w:t>defective</w:t>
      </w:r>
      <w:r w:rsidRPr="006E709F">
        <w:t>)</w:t>
      </w:r>
    </w:p>
    <w:p w14:paraId="2BCE3586" w14:textId="77777777" w:rsidR="00E93F58" w:rsidRPr="006E709F" w:rsidRDefault="00E93F58" w:rsidP="002C7812">
      <w:pPr>
        <w:pStyle w:val="Item"/>
        <w:rPr>
          <w:i/>
        </w:rPr>
      </w:pPr>
      <w:r w:rsidRPr="006E709F">
        <w:rPr>
          <w:i/>
        </w:rPr>
        <w:t>insert</w:t>
      </w:r>
    </w:p>
    <w:p w14:paraId="20E821E2" w14:textId="77777777" w:rsidR="00E93F58" w:rsidRPr="006E709F" w:rsidRDefault="00E93F58" w:rsidP="002C7812">
      <w:pPr>
        <w:pStyle w:val="paragraph"/>
      </w:pPr>
      <w:r w:rsidRPr="006E709F">
        <w:tab/>
        <w:t>(ca)</w:t>
      </w:r>
      <w:r w:rsidRPr="006E709F">
        <w:tab/>
        <w:t>if it is a Supplementary Short</w:t>
      </w:r>
      <w:r>
        <w:noBreakHyphen/>
      </w:r>
      <w:r w:rsidRPr="006E709F">
        <w:t>Form PDS that is given for the purposes of section 1017P—there is an omission from the Short</w:t>
      </w:r>
      <w:r>
        <w:noBreakHyphen/>
      </w:r>
      <w:r w:rsidRPr="006E709F">
        <w:t>Form PDS of material required by that section; or</w:t>
      </w:r>
    </w:p>
    <w:p w14:paraId="0468AA88" w14:textId="77777777" w:rsidR="00E93F58" w:rsidRPr="006E709F" w:rsidRDefault="00E93F58" w:rsidP="002C7812">
      <w:pPr>
        <w:pStyle w:val="ItemHead"/>
      </w:pPr>
      <w:r w:rsidRPr="006E709F">
        <w:t xml:space="preserve">3.11  Subsection 1021B(1), definition of </w:t>
      </w:r>
      <w:r w:rsidRPr="006E709F">
        <w:rPr>
          <w:i/>
        </w:rPr>
        <w:t>disclosure document or statement</w:t>
      </w:r>
      <w:r w:rsidRPr="006E709F">
        <w:t>, after paragraph (b)</w:t>
      </w:r>
    </w:p>
    <w:p w14:paraId="3E62C533" w14:textId="77777777" w:rsidR="00E93F58" w:rsidRPr="006E709F" w:rsidRDefault="00E93F58" w:rsidP="002C7812">
      <w:pPr>
        <w:pStyle w:val="Item"/>
        <w:rPr>
          <w:i/>
        </w:rPr>
      </w:pPr>
      <w:r w:rsidRPr="006E709F">
        <w:rPr>
          <w:i/>
        </w:rPr>
        <w:t>insert</w:t>
      </w:r>
    </w:p>
    <w:p w14:paraId="6E340C4B" w14:textId="77777777" w:rsidR="00E93F58" w:rsidRPr="006E709F" w:rsidRDefault="00E93F58" w:rsidP="002C7812">
      <w:pPr>
        <w:pStyle w:val="paragraph"/>
      </w:pPr>
      <w:r w:rsidRPr="006E709F">
        <w:tab/>
        <w:t>(ba)</w:t>
      </w:r>
      <w:r w:rsidRPr="006E709F">
        <w:tab/>
        <w:t>a Short</w:t>
      </w:r>
      <w:r>
        <w:noBreakHyphen/>
      </w:r>
      <w:r w:rsidRPr="006E709F">
        <w:t>Form PDS; or</w:t>
      </w:r>
    </w:p>
    <w:p w14:paraId="5DC8801F" w14:textId="77777777" w:rsidR="00E93F58" w:rsidRPr="006E709F" w:rsidRDefault="00E93F58" w:rsidP="002C7812">
      <w:pPr>
        <w:pStyle w:val="paragraph"/>
      </w:pPr>
      <w:r w:rsidRPr="006E709F">
        <w:tab/>
        <w:t>(bb)</w:t>
      </w:r>
      <w:r w:rsidRPr="006E709F">
        <w:tab/>
        <w:t>a Supplementary Short</w:t>
      </w:r>
      <w:r>
        <w:noBreakHyphen/>
      </w:r>
      <w:r w:rsidRPr="006E709F">
        <w:t>Form PDS; or</w:t>
      </w:r>
    </w:p>
    <w:p w14:paraId="6FE80E3C" w14:textId="77777777" w:rsidR="00E93F58" w:rsidRPr="006E709F" w:rsidRDefault="00E93F58" w:rsidP="002C7812">
      <w:pPr>
        <w:pStyle w:val="ItemHead"/>
      </w:pPr>
      <w:r w:rsidRPr="006E709F">
        <w:t>3.12  After subsection 1021C(5)</w:t>
      </w:r>
    </w:p>
    <w:p w14:paraId="3476FFFF" w14:textId="77777777" w:rsidR="00E93F58" w:rsidRPr="006E709F" w:rsidRDefault="00E93F58" w:rsidP="002C7812">
      <w:pPr>
        <w:pStyle w:val="Item"/>
        <w:rPr>
          <w:i/>
        </w:rPr>
      </w:pPr>
      <w:r w:rsidRPr="006E709F">
        <w:rPr>
          <w:i/>
        </w:rPr>
        <w:t>insert</w:t>
      </w:r>
    </w:p>
    <w:p w14:paraId="54479833" w14:textId="77777777" w:rsidR="00E93F58" w:rsidRPr="006E709F" w:rsidRDefault="00E93F58" w:rsidP="002C7812">
      <w:pPr>
        <w:pStyle w:val="subsection"/>
      </w:pPr>
      <w:r w:rsidRPr="006E709F">
        <w:tab/>
        <w:t>(6)</w:t>
      </w:r>
      <w:r w:rsidRPr="006E709F">
        <w:tab/>
        <w:t>If a person does not give a Product Disclosure Statement for a financial product because the person has given a Short</w:t>
      </w:r>
      <w:r>
        <w:noBreakHyphen/>
      </w:r>
      <w:r w:rsidRPr="006E709F">
        <w:t>Form PDS for the product, the person is taken not to contravene this section.</w:t>
      </w:r>
    </w:p>
    <w:p w14:paraId="59A6D011" w14:textId="77777777" w:rsidR="00E93F58" w:rsidRPr="006E709F" w:rsidRDefault="00E93F58" w:rsidP="002C7812">
      <w:pPr>
        <w:pStyle w:val="ItemHead"/>
      </w:pPr>
      <w:r w:rsidRPr="006E709F">
        <w:t>3.13  Paragraph 1021H(1)(a)</w:t>
      </w:r>
    </w:p>
    <w:p w14:paraId="6F88F975" w14:textId="77777777" w:rsidR="00E93F58" w:rsidRPr="006E709F" w:rsidRDefault="00E93F58" w:rsidP="00F925D9">
      <w:pPr>
        <w:pStyle w:val="Item"/>
        <w:keepLines w:val="0"/>
        <w:rPr>
          <w:i/>
        </w:rPr>
      </w:pPr>
      <w:r w:rsidRPr="006E709F">
        <w:rPr>
          <w:i/>
        </w:rPr>
        <w:t>omit</w:t>
      </w:r>
    </w:p>
    <w:p w14:paraId="74D7032C" w14:textId="77777777" w:rsidR="00E93F58" w:rsidRPr="006E709F" w:rsidRDefault="00E93F58" w:rsidP="00F925D9">
      <w:pPr>
        <w:pStyle w:val="Item"/>
        <w:keepLines w:val="0"/>
      </w:pPr>
      <w:r w:rsidRPr="006E709F">
        <w:t>or a Supplementary Product Disclosure Statement</w:t>
      </w:r>
    </w:p>
    <w:p w14:paraId="77A1B0FB" w14:textId="77777777" w:rsidR="00E93F58" w:rsidRPr="006E709F" w:rsidRDefault="00E93F58" w:rsidP="00F925D9">
      <w:pPr>
        <w:pStyle w:val="Item"/>
        <w:keepLines w:val="0"/>
        <w:rPr>
          <w:i/>
        </w:rPr>
      </w:pPr>
      <w:r w:rsidRPr="006E709F">
        <w:rPr>
          <w:i/>
        </w:rPr>
        <w:t>insert</w:t>
      </w:r>
    </w:p>
    <w:p w14:paraId="110F9315" w14:textId="77777777" w:rsidR="00E93F58" w:rsidRPr="006E709F" w:rsidRDefault="00E93F58" w:rsidP="00F925D9">
      <w:pPr>
        <w:pStyle w:val="Item"/>
        <w:keepLines w:val="0"/>
      </w:pPr>
      <w:r w:rsidRPr="006E709F">
        <w:lastRenderedPageBreak/>
        <w:t>, a Supplementary Product Disclosure Statement, a Short</w:t>
      </w:r>
      <w:r>
        <w:noBreakHyphen/>
      </w:r>
      <w:r w:rsidRPr="006E709F">
        <w:t>Form PDS or a Supplementary Short</w:t>
      </w:r>
      <w:r>
        <w:noBreakHyphen/>
      </w:r>
      <w:r w:rsidRPr="006E709F">
        <w:t>Form PDS</w:t>
      </w:r>
    </w:p>
    <w:p w14:paraId="1D8A56E3" w14:textId="77777777" w:rsidR="00E93F58" w:rsidRPr="006E709F" w:rsidRDefault="00E93F58" w:rsidP="002C7812">
      <w:pPr>
        <w:pStyle w:val="ItemHead"/>
      </w:pPr>
      <w:r w:rsidRPr="006E709F">
        <w:t>3.14  Subparagraph 1021H(1)(b)(i)</w:t>
      </w:r>
    </w:p>
    <w:p w14:paraId="5F33F62A" w14:textId="77777777" w:rsidR="00E93F58" w:rsidRPr="006E709F" w:rsidRDefault="00E93F58" w:rsidP="00F925D9">
      <w:pPr>
        <w:pStyle w:val="Item"/>
        <w:keepLines w:val="0"/>
        <w:rPr>
          <w:i/>
        </w:rPr>
      </w:pPr>
      <w:r w:rsidRPr="006E709F">
        <w:rPr>
          <w:i/>
        </w:rPr>
        <w:t>after</w:t>
      </w:r>
    </w:p>
    <w:p w14:paraId="67778FD5" w14:textId="77777777" w:rsidR="00E93F58" w:rsidRPr="006E709F" w:rsidRDefault="00E93F58" w:rsidP="00F925D9">
      <w:pPr>
        <w:pStyle w:val="Item"/>
        <w:keepLines w:val="0"/>
      </w:pPr>
      <w:r w:rsidRPr="006E709F">
        <w:t>Product Disclosure Statement</w:t>
      </w:r>
    </w:p>
    <w:p w14:paraId="70D5D1C4" w14:textId="77777777" w:rsidR="00E93F58" w:rsidRPr="006E709F" w:rsidRDefault="00E93F58" w:rsidP="00F925D9">
      <w:pPr>
        <w:pStyle w:val="Item"/>
        <w:keepLines w:val="0"/>
        <w:rPr>
          <w:i/>
        </w:rPr>
      </w:pPr>
      <w:r w:rsidRPr="006E709F">
        <w:rPr>
          <w:i/>
        </w:rPr>
        <w:t>insert</w:t>
      </w:r>
    </w:p>
    <w:p w14:paraId="55DD41EA" w14:textId="77777777" w:rsidR="00E93F58" w:rsidRPr="006E709F" w:rsidRDefault="00E93F58" w:rsidP="00F925D9">
      <w:pPr>
        <w:pStyle w:val="Item"/>
        <w:keepLines w:val="0"/>
      </w:pPr>
      <w:r w:rsidRPr="006E709F">
        <w:t>or Short</w:t>
      </w:r>
      <w:r>
        <w:noBreakHyphen/>
      </w:r>
      <w:r w:rsidRPr="006E709F">
        <w:t>Form PDS</w:t>
      </w:r>
    </w:p>
    <w:p w14:paraId="243695A3" w14:textId="77777777" w:rsidR="00E93F58" w:rsidRPr="006E709F" w:rsidRDefault="00E93F58" w:rsidP="002C7812">
      <w:pPr>
        <w:pStyle w:val="ItemHead"/>
      </w:pPr>
      <w:r w:rsidRPr="006E709F">
        <w:t>3.15  Subparagraph 1021H(1)(b)(ii)</w:t>
      </w:r>
    </w:p>
    <w:p w14:paraId="5D1749B5" w14:textId="77777777" w:rsidR="00E93F58" w:rsidRPr="006E709F" w:rsidRDefault="00E93F58" w:rsidP="00F925D9">
      <w:pPr>
        <w:pStyle w:val="Item"/>
        <w:keepLines w:val="0"/>
        <w:rPr>
          <w:i/>
        </w:rPr>
      </w:pPr>
      <w:r w:rsidRPr="006E709F">
        <w:rPr>
          <w:i/>
        </w:rPr>
        <w:t>omit</w:t>
      </w:r>
    </w:p>
    <w:p w14:paraId="61738722" w14:textId="77777777" w:rsidR="00E93F58" w:rsidRPr="006E709F" w:rsidRDefault="00E93F58" w:rsidP="00F925D9">
      <w:pPr>
        <w:pStyle w:val="Item"/>
        <w:keepLines w:val="0"/>
      </w:pPr>
      <w:r w:rsidRPr="006E709F">
        <w:t>; and</w:t>
      </w:r>
    </w:p>
    <w:p w14:paraId="28141026" w14:textId="77777777" w:rsidR="00E93F58" w:rsidRPr="006E709F" w:rsidRDefault="00E93F58" w:rsidP="00F925D9">
      <w:pPr>
        <w:pStyle w:val="Item"/>
        <w:keepLines w:val="0"/>
        <w:rPr>
          <w:i/>
        </w:rPr>
      </w:pPr>
      <w:r w:rsidRPr="006E709F">
        <w:rPr>
          <w:i/>
        </w:rPr>
        <w:t>insert</w:t>
      </w:r>
    </w:p>
    <w:p w14:paraId="24BC51C1" w14:textId="77777777" w:rsidR="00E93F58" w:rsidRPr="006E709F" w:rsidRDefault="00E93F58" w:rsidP="00F925D9">
      <w:pPr>
        <w:pStyle w:val="Item"/>
        <w:keepLines w:val="0"/>
      </w:pPr>
      <w:r w:rsidRPr="006E709F">
        <w:t>; or</w:t>
      </w:r>
    </w:p>
    <w:p w14:paraId="67992BAF" w14:textId="77777777" w:rsidR="00E93F58" w:rsidRPr="006E709F" w:rsidRDefault="00E93F58" w:rsidP="002C7812">
      <w:pPr>
        <w:pStyle w:val="ItemHead"/>
        <w:rPr>
          <w:rFonts w:cs="Arial"/>
        </w:rPr>
      </w:pPr>
      <w:r w:rsidRPr="006E709F">
        <w:rPr>
          <w:rFonts w:cs="Arial"/>
        </w:rPr>
        <w:t>3.16  After subparagraph 1021H(1)(b)(ii)</w:t>
      </w:r>
    </w:p>
    <w:p w14:paraId="7A2DB8DB" w14:textId="77777777" w:rsidR="00E93F58" w:rsidRPr="006E709F" w:rsidRDefault="00E93F58" w:rsidP="002C7812">
      <w:pPr>
        <w:pStyle w:val="Item"/>
        <w:rPr>
          <w:i/>
        </w:rPr>
      </w:pPr>
      <w:r w:rsidRPr="006E709F">
        <w:rPr>
          <w:i/>
        </w:rPr>
        <w:t>insert</w:t>
      </w:r>
    </w:p>
    <w:p w14:paraId="4719930F" w14:textId="77777777" w:rsidR="00E93F58" w:rsidRPr="006E709F" w:rsidRDefault="00E93F58" w:rsidP="002C7812">
      <w:pPr>
        <w:pStyle w:val="paragraphsub"/>
      </w:pPr>
      <w:r w:rsidRPr="006E709F">
        <w:tab/>
        <w:t>(iii)</w:t>
      </w:r>
      <w:r w:rsidRPr="006E709F">
        <w:tab/>
        <w:t>if it is a Supplementary Short</w:t>
      </w:r>
      <w:r>
        <w:noBreakHyphen/>
      </w:r>
      <w:r w:rsidRPr="006E709F">
        <w:t>Form PDS—section 1013G, 1017M or 1017N; and</w:t>
      </w:r>
    </w:p>
    <w:p w14:paraId="3B2B76B3" w14:textId="77777777" w:rsidR="00E93F58" w:rsidRPr="006E709F" w:rsidRDefault="00E93F58" w:rsidP="002C7812">
      <w:pPr>
        <w:pStyle w:val="ItemHead"/>
      </w:pPr>
      <w:r w:rsidRPr="006E709F">
        <w:t>3.17  After subparagraph 1021J(1)(c)(ii)</w:t>
      </w:r>
    </w:p>
    <w:p w14:paraId="0D75791D" w14:textId="77777777" w:rsidR="00E93F58" w:rsidRPr="006E709F" w:rsidRDefault="00E93F58" w:rsidP="002C7812">
      <w:pPr>
        <w:pStyle w:val="Item"/>
        <w:rPr>
          <w:i/>
        </w:rPr>
      </w:pPr>
      <w:r w:rsidRPr="006E709F">
        <w:rPr>
          <w:i/>
        </w:rPr>
        <w:t>insert</w:t>
      </w:r>
    </w:p>
    <w:p w14:paraId="6EB3F6F8" w14:textId="77777777" w:rsidR="00E93F58" w:rsidRPr="006E709F" w:rsidRDefault="00E93F58" w:rsidP="002C7812">
      <w:pPr>
        <w:pStyle w:val="paragraphsub"/>
      </w:pPr>
      <w:r w:rsidRPr="006E709F">
        <w:tab/>
        <w:t>(iia)</w:t>
      </w:r>
      <w:r w:rsidRPr="006E709F">
        <w:tab/>
        <w:t>if it is a Short</w:t>
      </w:r>
      <w:r>
        <w:noBreakHyphen/>
      </w:r>
      <w:r w:rsidRPr="006E709F">
        <w:t>Form PDS—a direction not to distribute the Short</w:t>
      </w:r>
      <w:r>
        <w:noBreakHyphen/>
      </w:r>
      <w:r w:rsidRPr="006E709F">
        <w:t>Form PDS unless it is accompanied by a Supplementary Short</w:t>
      </w:r>
      <w:r>
        <w:noBreakHyphen/>
      </w:r>
      <w:r w:rsidRPr="006E709F">
        <w:t>Form PDS that corrects the deficiency;</w:t>
      </w:r>
    </w:p>
    <w:p w14:paraId="09167318" w14:textId="77777777" w:rsidR="00E93F58" w:rsidRPr="006E709F" w:rsidRDefault="00E93F58" w:rsidP="002C7812">
      <w:pPr>
        <w:pStyle w:val="ItemHead"/>
      </w:pPr>
      <w:r w:rsidRPr="006E709F">
        <w:t>3.18  After subparagraph 1021J(1)(c)(iii)</w:t>
      </w:r>
    </w:p>
    <w:p w14:paraId="3D4A21E2" w14:textId="77777777" w:rsidR="00E93F58" w:rsidRPr="006E709F" w:rsidRDefault="00E93F58" w:rsidP="002C7812">
      <w:pPr>
        <w:pStyle w:val="Item"/>
        <w:rPr>
          <w:i/>
        </w:rPr>
      </w:pPr>
      <w:r w:rsidRPr="006E709F">
        <w:rPr>
          <w:i/>
        </w:rPr>
        <w:t>insert</w:t>
      </w:r>
    </w:p>
    <w:p w14:paraId="60029D7D" w14:textId="77777777" w:rsidR="00E93F58" w:rsidRPr="006E709F" w:rsidRDefault="00E93F58" w:rsidP="002C7812">
      <w:pPr>
        <w:pStyle w:val="paragraphsub"/>
      </w:pPr>
      <w:r w:rsidRPr="006E709F">
        <w:tab/>
        <w:t>(iiia)</w:t>
      </w:r>
      <w:r w:rsidRPr="006E709F">
        <w:tab/>
        <w:t>if it is a Short</w:t>
      </w:r>
      <w:r>
        <w:noBreakHyphen/>
      </w:r>
      <w:r w:rsidRPr="006E709F">
        <w:t>Form PDS or a Supplementary Short</w:t>
      </w:r>
      <w:r>
        <w:noBreakHyphen/>
      </w:r>
      <w:r w:rsidRPr="006E709F">
        <w:t>Form PDS—a direction not to distribute the Short</w:t>
      </w:r>
      <w:r>
        <w:noBreakHyphen/>
      </w:r>
      <w:r w:rsidRPr="006E709F">
        <w:t>Form PDS or Supplementary Short</w:t>
      </w:r>
      <w:r>
        <w:noBreakHyphen/>
      </w:r>
      <w:r w:rsidRPr="006E709F">
        <w:t>Form PDS without first altering it in a way that is specified in the direction, being a way that corrects the deficiency and that complies with section 1015E.</w:t>
      </w:r>
    </w:p>
    <w:p w14:paraId="5F609BB3" w14:textId="77777777" w:rsidR="00E93F58" w:rsidRPr="006E709F" w:rsidRDefault="00E93F58" w:rsidP="002C7812">
      <w:pPr>
        <w:pStyle w:val="ItemHead"/>
      </w:pPr>
      <w:r w:rsidRPr="006E709F">
        <w:t>3.19  Paragraph 1021K(1)(a)</w:t>
      </w:r>
    </w:p>
    <w:p w14:paraId="18421352" w14:textId="77777777" w:rsidR="00E93F58" w:rsidRPr="006E709F" w:rsidRDefault="00E93F58" w:rsidP="002C7812">
      <w:pPr>
        <w:pStyle w:val="Item"/>
        <w:rPr>
          <w:i/>
        </w:rPr>
      </w:pPr>
      <w:r w:rsidRPr="006E709F">
        <w:rPr>
          <w:i/>
        </w:rPr>
        <w:t>omit</w:t>
      </w:r>
    </w:p>
    <w:p w14:paraId="39EBFCD8" w14:textId="77777777" w:rsidR="00E93F58" w:rsidRPr="006E709F" w:rsidRDefault="00E93F58" w:rsidP="00F925D9">
      <w:pPr>
        <w:pStyle w:val="Item"/>
        <w:keepLines w:val="0"/>
      </w:pPr>
      <w:r w:rsidRPr="006E709F">
        <w:t>or a Supplementary Product Disclosure Statement</w:t>
      </w:r>
    </w:p>
    <w:p w14:paraId="2D4FABF5" w14:textId="77777777" w:rsidR="00E93F58" w:rsidRPr="006E709F" w:rsidRDefault="00E93F58" w:rsidP="00F925D9">
      <w:pPr>
        <w:pStyle w:val="Item"/>
        <w:keepLines w:val="0"/>
        <w:rPr>
          <w:i/>
        </w:rPr>
      </w:pPr>
      <w:r w:rsidRPr="006E709F">
        <w:rPr>
          <w:i/>
        </w:rPr>
        <w:t>insert</w:t>
      </w:r>
    </w:p>
    <w:p w14:paraId="6484A666" w14:textId="77777777" w:rsidR="00E93F58" w:rsidRPr="006E709F" w:rsidRDefault="00E93F58" w:rsidP="00F925D9">
      <w:pPr>
        <w:pStyle w:val="Item"/>
        <w:keepLines w:val="0"/>
      </w:pPr>
      <w:r w:rsidRPr="006E709F">
        <w:t>, a Supplementary Product Disclosure Statement, a Short</w:t>
      </w:r>
      <w:r>
        <w:noBreakHyphen/>
      </w:r>
      <w:r w:rsidRPr="006E709F">
        <w:t>Form PDS or a Supplementary Short</w:t>
      </w:r>
      <w:r>
        <w:noBreakHyphen/>
      </w:r>
      <w:r w:rsidRPr="006E709F">
        <w:t xml:space="preserve">Form PDS (the </w:t>
      </w:r>
      <w:r w:rsidRPr="006E709F">
        <w:rPr>
          <w:b/>
          <w:i/>
        </w:rPr>
        <w:t>disclosure statement</w:t>
      </w:r>
      <w:r w:rsidRPr="006E709F">
        <w:t>)</w:t>
      </w:r>
    </w:p>
    <w:p w14:paraId="4FF0936F" w14:textId="77777777" w:rsidR="00E93F58" w:rsidRPr="006E709F" w:rsidRDefault="00E93F58" w:rsidP="002C7812">
      <w:pPr>
        <w:pStyle w:val="ItemHead"/>
      </w:pPr>
      <w:r w:rsidRPr="006E709F">
        <w:t>3.</w:t>
      </w:r>
      <w:r w:rsidRPr="006E709F">
        <w:rPr>
          <w:rFonts w:cs="Arial"/>
        </w:rPr>
        <w:t>20</w:t>
      </w:r>
      <w:r w:rsidRPr="006E709F">
        <w:t xml:space="preserve">  Paragraph 1021K(1)(b)</w:t>
      </w:r>
    </w:p>
    <w:p w14:paraId="5B54F73E" w14:textId="77777777" w:rsidR="00E93F58" w:rsidRPr="006E709F" w:rsidRDefault="00E93F58" w:rsidP="002C7812">
      <w:pPr>
        <w:pStyle w:val="Item"/>
        <w:rPr>
          <w:i/>
        </w:rPr>
      </w:pPr>
      <w:r w:rsidRPr="006E709F">
        <w:rPr>
          <w:i/>
        </w:rPr>
        <w:t>omit</w:t>
      </w:r>
    </w:p>
    <w:p w14:paraId="659DF145" w14:textId="77777777" w:rsidR="00E93F58" w:rsidRPr="006E709F" w:rsidRDefault="00E93F58" w:rsidP="00F925D9">
      <w:pPr>
        <w:pStyle w:val="Item"/>
        <w:keepLines w:val="0"/>
      </w:pPr>
      <w:r w:rsidRPr="006E709F">
        <w:t>Product Disclosure Statement or Supplementary Product Disclosure Statement</w:t>
      </w:r>
    </w:p>
    <w:p w14:paraId="773DC58C" w14:textId="77777777" w:rsidR="00E93F58" w:rsidRPr="006E709F" w:rsidRDefault="00E93F58" w:rsidP="00F925D9">
      <w:pPr>
        <w:pStyle w:val="Item"/>
        <w:keepLines w:val="0"/>
        <w:rPr>
          <w:i/>
        </w:rPr>
      </w:pPr>
      <w:r w:rsidRPr="006E709F">
        <w:rPr>
          <w:i/>
        </w:rPr>
        <w:t>insert</w:t>
      </w:r>
    </w:p>
    <w:p w14:paraId="17D071C4" w14:textId="77777777" w:rsidR="00E93F58" w:rsidRPr="006E709F" w:rsidRDefault="00E93F58" w:rsidP="00F925D9">
      <w:pPr>
        <w:pStyle w:val="Item"/>
        <w:keepLines w:val="0"/>
      </w:pPr>
      <w:r w:rsidRPr="006E709F">
        <w:t>disclosure statement</w:t>
      </w:r>
    </w:p>
    <w:p w14:paraId="32A920E1" w14:textId="77777777" w:rsidR="00E93F58" w:rsidRPr="006E709F" w:rsidRDefault="00E93F58" w:rsidP="002C7812">
      <w:pPr>
        <w:pStyle w:val="ItemHead"/>
      </w:pPr>
      <w:r w:rsidRPr="006E709F">
        <w:t>3.</w:t>
      </w:r>
      <w:r w:rsidRPr="006E709F">
        <w:rPr>
          <w:rFonts w:cs="Arial"/>
        </w:rPr>
        <w:t>21</w:t>
      </w:r>
      <w:r w:rsidRPr="006E709F">
        <w:t xml:space="preserve">  Subparagraphs 1021K(1)(d)(i), (ii) and (iii)</w:t>
      </w:r>
    </w:p>
    <w:p w14:paraId="1D5F25D1" w14:textId="77777777" w:rsidR="00E93F58" w:rsidRPr="006E709F" w:rsidRDefault="00E93F58" w:rsidP="002C7812">
      <w:pPr>
        <w:pStyle w:val="Item"/>
        <w:rPr>
          <w:i/>
        </w:rPr>
      </w:pPr>
      <w:r w:rsidRPr="006E709F">
        <w:rPr>
          <w:i/>
        </w:rPr>
        <w:t>omit</w:t>
      </w:r>
    </w:p>
    <w:p w14:paraId="663A80BD" w14:textId="77777777" w:rsidR="00E93F58" w:rsidRPr="006E709F" w:rsidRDefault="00E93F58" w:rsidP="00F925D9">
      <w:pPr>
        <w:pStyle w:val="Item"/>
        <w:keepLines w:val="0"/>
      </w:pPr>
      <w:r w:rsidRPr="006E709F">
        <w:t>Product Disclosure Statement or Supplementary Product Disclosure Statement</w:t>
      </w:r>
    </w:p>
    <w:p w14:paraId="6D69CD3E" w14:textId="77777777" w:rsidR="00E93F58" w:rsidRPr="006E709F" w:rsidRDefault="00E93F58" w:rsidP="00F925D9">
      <w:pPr>
        <w:pStyle w:val="Item"/>
        <w:keepLines w:val="0"/>
        <w:rPr>
          <w:i/>
        </w:rPr>
      </w:pPr>
      <w:r w:rsidRPr="006E709F">
        <w:rPr>
          <w:i/>
        </w:rPr>
        <w:t>insert</w:t>
      </w:r>
    </w:p>
    <w:p w14:paraId="0EF3A3A9" w14:textId="77777777" w:rsidR="00E93F58" w:rsidRPr="006E709F" w:rsidRDefault="00E93F58" w:rsidP="00F925D9">
      <w:pPr>
        <w:pStyle w:val="Item"/>
        <w:keepLines w:val="0"/>
      </w:pPr>
      <w:r w:rsidRPr="006E709F">
        <w:t>disclosure statement</w:t>
      </w:r>
    </w:p>
    <w:p w14:paraId="33DA3FAB" w14:textId="77777777" w:rsidR="00E93F58" w:rsidRPr="006E709F" w:rsidRDefault="00E93F58" w:rsidP="002C7812">
      <w:pPr>
        <w:pStyle w:val="ItemHead"/>
      </w:pPr>
      <w:r w:rsidRPr="006E709F">
        <w:t>3.22  Paragraph 1021L(1)(a)</w:t>
      </w:r>
    </w:p>
    <w:p w14:paraId="56C96294" w14:textId="77777777" w:rsidR="00E93F58" w:rsidRPr="006E709F" w:rsidRDefault="00E93F58" w:rsidP="002C7812">
      <w:pPr>
        <w:pStyle w:val="Item"/>
        <w:rPr>
          <w:i/>
        </w:rPr>
      </w:pPr>
      <w:r w:rsidRPr="006E709F">
        <w:rPr>
          <w:i/>
        </w:rPr>
        <w:t>omit</w:t>
      </w:r>
    </w:p>
    <w:p w14:paraId="06D7B158" w14:textId="77777777" w:rsidR="00E93F58" w:rsidRPr="006E709F" w:rsidRDefault="00E93F58" w:rsidP="00F925D9">
      <w:pPr>
        <w:pStyle w:val="Item"/>
        <w:keepLines w:val="0"/>
      </w:pPr>
      <w:r w:rsidRPr="006E709F">
        <w:t>or a Supplementary Product Disclosure Statement</w:t>
      </w:r>
    </w:p>
    <w:p w14:paraId="1BBB2DD3" w14:textId="77777777" w:rsidR="00E93F58" w:rsidRPr="006E709F" w:rsidRDefault="00E93F58" w:rsidP="00F925D9">
      <w:pPr>
        <w:pStyle w:val="Item"/>
        <w:keepLines w:val="0"/>
        <w:rPr>
          <w:i/>
        </w:rPr>
      </w:pPr>
      <w:r w:rsidRPr="006E709F">
        <w:rPr>
          <w:i/>
        </w:rPr>
        <w:t>insert</w:t>
      </w:r>
    </w:p>
    <w:p w14:paraId="76D9BB9C" w14:textId="77777777" w:rsidR="00E93F58" w:rsidRPr="006E709F" w:rsidRDefault="00E93F58" w:rsidP="00F925D9">
      <w:pPr>
        <w:pStyle w:val="Item"/>
        <w:keepLines w:val="0"/>
      </w:pPr>
      <w:r w:rsidRPr="006E709F">
        <w:lastRenderedPageBreak/>
        <w:t>, a Supplementary Product Disclosure Statement, a Short</w:t>
      </w:r>
      <w:r>
        <w:noBreakHyphen/>
      </w:r>
      <w:r w:rsidRPr="006E709F">
        <w:t>Form PDS or a Supplementary Short</w:t>
      </w:r>
      <w:r>
        <w:noBreakHyphen/>
      </w:r>
      <w:r w:rsidRPr="006E709F">
        <w:t>Form PDS</w:t>
      </w:r>
    </w:p>
    <w:p w14:paraId="19FF4636" w14:textId="77777777" w:rsidR="00E93F58" w:rsidRPr="006E709F" w:rsidRDefault="00E93F58" w:rsidP="002C7812">
      <w:pPr>
        <w:pStyle w:val="ItemHead"/>
      </w:pPr>
      <w:r w:rsidRPr="006E709F">
        <w:t>3.23  Paragraph 1021L(2)(a)</w:t>
      </w:r>
    </w:p>
    <w:p w14:paraId="713546E1" w14:textId="77777777" w:rsidR="00E93F58" w:rsidRPr="006E709F" w:rsidRDefault="00E93F58" w:rsidP="002C7812">
      <w:pPr>
        <w:pStyle w:val="Item"/>
        <w:rPr>
          <w:i/>
        </w:rPr>
      </w:pPr>
      <w:r w:rsidRPr="006E709F">
        <w:rPr>
          <w:i/>
        </w:rPr>
        <w:t>omit</w:t>
      </w:r>
    </w:p>
    <w:p w14:paraId="23ED0799" w14:textId="77777777" w:rsidR="00E93F58" w:rsidRPr="006E709F" w:rsidRDefault="00E93F58" w:rsidP="00F925D9">
      <w:pPr>
        <w:pStyle w:val="Item"/>
        <w:keepLines w:val="0"/>
      </w:pPr>
      <w:r w:rsidRPr="006E709F">
        <w:t>or a Supplementary Product Disclosure Statement</w:t>
      </w:r>
    </w:p>
    <w:p w14:paraId="574934C0" w14:textId="77777777" w:rsidR="00E93F58" w:rsidRPr="006E709F" w:rsidRDefault="00E93F58" w:rsidP="00F925D9">
      <w:pPr>
        <w:pStyle w:val="Item"/>
        <w:keepLines w:val="0"/>
        <w:rPr>
          <w:i/>
        </w:rPr>
      </w:pPr>
      <w:r w:rsidRPr="006E709F">
        <w:rPr>
          <w:i/>
        </w:rPr>
        <w:t>insert</w:t>
      </w:r>
    </w:p>
    <w:p w14:paraId="2E797E1F" w14:textId="77777777" w:rsidR="00E93F58" w:rsidRPr="006E709F" w:rsidRDefault="00E93F58" w:rsidP="00F925D9">
      <w:pPr>
        <w:pStyle w:val="Item"/>
        <w:keepLines w:val="0"/>
      </w:pPr>
      <w:r w:rsidRPr="006E709F">
        <w:t>, a Supplementary Product Disclosure Statement, a Short</w:t>
      </w:r>
      <w:r>
        <w:noBreakHyphen/>
      </w:r>
      <w:r w:rsidRPr="006E709F">
        <w:t>Form PDS or a Supplementary Short</w:t>
      </w:r>
      <w:r>
        <w:noBreakHyphen/>
      </w:r>
      <w:r w:rsidRPr="006E709F">
        <w:t xml:space="preserve">Form PDS (the </w:t>
      </w:r>
      <w:r w:rsidRPr="006E709F">
        <w:rPr>
          <w:b/>
          <w:i/>
        </w:rPr>
        <w:t>disclosure statement</w:t>
      </w:r>
      <w:r w:rsidRPr="006E709F">
        <w:t>)</w:t>
      </w:r>
    </w:p>
    <w:p w14:paraId="05E832F9" w14:textId="77777777" w:rsidR="00E93F58" w:rsidRPr="006E709F" w:rsidRDefault="00E93F58" w:rsidP="002C7812">
      <w:pPr>
        <w:pStyle w:val="ItemHead"/>
      </w:pPr>
      <w:r w:rsidRPr="006E709F">
        <w:t>3.24  Subparagraph 1021L(2)(b)(iv)</w:t>
      </w:r>
    </w:p>
    <w:p w14:paraId="37F8276A" w14:textId="77777777" w:rsidR="00E93F58" w:rsidRPr="006E709F" w:rsidRDefault="00E93F58" w:rsidP="002C7812">
      <w:pPr>
        <w:pStyle w:val="Item"/>
        <w:rPr>
          <w:i/>
        </w:rPr>
      </w:pPr>
      <w:r w:rsidRPr="006E709F">
        <w:rPr>
          <w:i/>
        </w:rPr>
        <w:t>omit</w:t>
      </w:r>
    </w:p>
    <w:p w14:paraId="460CE6BF" w14:textId="77777777" w:rsidR="00E93F58" w:rsidRPr="006E709F" w:rsidRDefault="00E93F58" w:rsidP="00F925D9">
      <w:pPr>
        <w:pStyle w:val="Item"/>
        <w:keepLines w:val="0"/>
      </w:pPr>
      <w:r w:rsidRPr="006E709F">
        <w:t>Product Disclosure Statement or Supplementary Product Disclosure Statement</w:t>
      </w:r>
    </w:p>
    <w:p w14:paraId="77FD1409" w14:textId="77777777" w:rsidR="00E93F58" w:rsidRPr="006E709F" w:rsidRDefault="00E93F58" w:rsidP="00F925D9">
      <w:pPr>
        <w:pStyle w:val="Item"/>
        <w:keepLines w:val="0"/>
        <w:rPr>
          <w:i/>
        </w:rPr>
      </w:pPr>
      <w:r w:rsidRPr="006E709F">
        <w:rPr>
          <w:i/>
        </w:rPr>
        <w:t>insert</w:t>
      </w:r>
    </w:p>
    <w:p w14:paraId="42F697A1" w14:textId="77777777" w:rsidR="00E93F58" w:rsidRPr="006E709F" w:rsidRDefault="00E93F58" w:rsidP="00F925D9">
      <w:pPr>
        <w:pStyle w:val="Item"/>
        <w:keepLines w:val="0"/>
      </w:pPr>
      <w:r w:rsidRPr="006E709F">
        <w:t>disclosure statement</w:t>
      </w:r>
    </w:p>
    <w:p w14:paraId="0923C6CB" w14:textId="77777777" w:rsidR="00E93F58" w:rsidRPr="006E709F" w:rsidRDefault="00E93F58" w:rsidP="002C7812">
      <w:pPr>
        <w:pStyle w:val="ItemHead"/>
      </w:pPr>
      <w:r w:rsidRPr="006E709F">
        <w:t>3.25  Subparagraphs 1021M(1)(a)(i), (ii), (iii) and (iv)</w:t>
      </w:r>
    </w:p>
    <w:p w14:paraId="3C8E2247" w14:textId="77777777" w:rsidR="00E93F58" w:rsidRPr="006E709F" w:rsidRDefault="00E93F58" w:rsidP="002C7812">
      <w:pPr>
        <w:pStyle w:val="Item"/>
        <w:rPr>
          <w:i/>
        </w:rPr>
      </w:pPr>
      <w:r w:rsidRPr="006E709F">
        <w:rPr>
          <w:i/>
        </w:rPr>
        <w:t>omit</w:t>
      </w:r>
    </w:p>
    <w:p w14:paraId="33C5D10A" w14:textId="77777777" w:rsidR="00E93F58" w:rsidRPr="006E709F" w:rsidRDefault="00E93F58" w:rsidP="00F925D9">
      <w:pPr>
        <w:pStyle w:val="Item"/>
        <w:keepLines w:val="0"/>
      </w:pPr>
      <w:r w:rsidRPr="006E709F">
        <w:t>or a Supplementary Product Disclosure Statement</w:t>
      </w:r>
    </w:p>
    <w:p w14:paraId="46F13EE7" w14:textId="77777777" w:rsidR="00E93F58" w:rsidRPr="006E709F" w:rsidRDefault="00E93F58" w:rsidP="00F925D9">
      <w:pPr>
        <w:pStyle w:val="Item"/>
        <w:keepLines w:val="0"/>
        <w:rPr>
          <w:i/>
        </w:rPr>
      </w:pPr>
      <w:r w:rsidRPr="006E709F">
        <w:rPr>
          <w:i/>
        </w:rPr>
        <w:t>insert</w:t>
      </w:r>
    </w:p>
    <w:p w14:paraId="30070EB1" w14:textId="77777777" w:rsidR="00E93F58" w:rsidRPr="006E709F" w:rsidRDefault="00E93F58" w:rsidP="00F925D9">
      <w:pPr>
        <w:pStyle w:val="Item"/>
        <w:keepLines w:val="0"/>
      </w:pPr>
      <w:r w:rsidRPr="006E709F">
        <w:t>, a Supplementary Product Disclosure Statement, a Short</w:t>
      </w:r>
      <w:r>
        <w:noBreakHyphen/>
      </w:r>
      <w:r w:rsidRPr="006E709F">
        <w:t>Form PDS or a Supplementary Short</w:t>
      </w:r>
      <w:r>
        <w:noBreakHyphen/>
      </w:r>
      <w:r w:rsidRPr="006E709F">
        <w:t>Form PDS</w:t>
      </w:r>
    </w:p>
    <w:p w14:paraId="19CB6FEC" w14:textId="77777777" w:rsidR="00E93F58" w:rsidRPr="006E709F" w:rsidRDefault="00E93F58" w:rsidP="002C7812">
      <w:pPr>
        <w:pStyle w:val="ItemHead"/>
      </w:pPr>
      <w:r w:rsidRPr="006E709F">
        <w:t>3.26  Subparagraphs 1021M(3)(a)(i), (ii), (iii) and (iv)</w:t>
      </w:r>
    </w:p>
    <w:p w14:paraId="2C917F7C" w14:textId="77777777" w:rsidR="00E93F58" w:rsidRPr="006E709F" w:rsidRDefault="00E93F58" w:rsidP="002C7812">
      <w:pPr>
        <w:pStyle w:val="Item"/>
        <w:rPr>
          <w:i/>
        </w:rPr>
      </w:pPr>
      <w:r w:rsidRPr="006E709F">
        <w:rPr>
          <w:i/>
        </w:rPr>
        <w:t>omit</w:t>
      </w:r>
    </w:p>
    <w:p w14:paraId="64D48E36" w14:textId="77777777" w:rsidR="00E93F58" w:rsidRPr="006E709F" w:rsidRDefault="00E93F58" w:rsidP="00F925D9">
      <w:pPr>
        <w:pStyle w:val="Item"/>
        <w:keepLines w:val="0"/>
      </w:pPr>
      <w:r w:rsidRPr="006E709F">
        <w:t>or a Supplementary Product Disclosure Statement</w:t>
      </w:r>
    </w:p>
    <w:p w14:paraId="4960A979" w14:textId="77777777" w:rsidR="00E93F58" w:rsidRPr="006E709F" w:rsidRDefault="00E93F58" w:rsidP="00F925D9">
      <w:pPr>
        <w:pStyle w:val="Item"/>
        <w:keepLines w:val="0"/>
        <w:rPr>
          <w:i/>
        </w:rPr>
      </w:pPr>
      <w:r w:rsidRPr="006E709F">
        <w:rPr>
          <w:i/>
        </w:rPr>
        <w:t>insert</w:t>
      </w:r>
    </w:p>
    <w:p w14:paraId="1C526A77" w14:textId="77777777" w:rsidR="00E93F58" w:rsidRPr="006E709F" w:rsidRDefault="00E93F58" w:rsidP="00F925D9">
      <w:pPr>
        <w:pStyle w:val="Item"/>
        <w:keepLines w:val="0"/>
      </w:pPr>
      <w:r w:rsidRPr="006E709F">
        <w:t>, a Supplementary Product Disclosure Statement, a Short</w:t>
      </w:r>
      <w:r>
        <w:noBreakHyphen/>
      </w:r>
      <w:r w:rsidRPr="006E709F">
        <w:t>Form PDS or a Supplementary Short</w:t>
      </w:r>
      <w:r>
        <w:noBreakHyphen/>
      </w:r>
      <w:r w:rsidRPr="006E709F">
        <w:t>Form PDS</w:t>
      </w:r>
    </w:p>
    <w:p w14:paraId="20CB131A" w14:textId="77777777" w:rsidR="00E93F58" w:rsidRPr="006E709F" w:rsidRDefault="00E93F58" w:rsidP="002C7812">
      <w:pPr>
        <w:pStyle w:val="ItemHead"/>
        <w:rPr>
          <w:b w:val="0"/>
        </w:rPr>
      </w:pPr>
      <w:r w:rsidRPr="006E709F">
        <w:t xml:space="preserve">3.27  After paragraph 1022A(1)(b) (definition of </w:t>
      </w:r>
      <w:r w:rsidRPr="006E709F">
        <w:rPr>
          <w:i/>
        </w:rPr>
        <w:t>defective</w:t>
      </w:r>
      <w:r w:rsidRPr="006E709F">
        <w:t>)</w:t>
      </w:r>
    </w:p>
    <w:p w14:paraId="29A884F1" w14:textId="77777777" w:rsidR="00E93F58" w:rsidRPr="006E709F" w:rsidRDefault="00E93F58" w:rsidP="002C7812">
      <w:pPr>
        <w:pStyle w:val="Item"/>
        <w:rPr>
          <w:i/>
        </w:rPr>
      </w:pPr>
      <w:r w:rsidRPr="006E709F">
        <w:rPr>
          <w:i/>
        </w:rPr>
        <w:t>insert</w:t>
      </w:r>
    </w:p>
    <w:p w14:paraId="4100E9BE" w14:textId="77777777" w:rsidR="00E93F58" w:rsidRPr="006E709F" w:rsidRDefault="00E93F58" w:rsidP="002C7812">
      <w:pPr>
        <w:pStyle w:val="paragraph"/>
      </w:pPr>
      <w:r w:rsidRPr="006E709F">
        <w:tab/>
        <w:t>(ba)</w:t>
      </w:r>
      <w:r w:rsidRPr="006E709F">
        <w:tab/>
        <w:t>if it is a Short</w:t>
      </w:r>
      <w:r>
        <w:noBreakHyphen/>
      </w:r>
      <w:r w:rsidRPr="006E709F">
        <w:t>Form PDS—there is an omission from the Short</w:t>
      </w:r>
      <w:r>
        <w:noBreakHyphen/>
      </w:r>
      <w:r w:rsidRPr="006E709F">
        <w:t>Form PDS of material required by section 1017I; or</w:t>
      </w:r>
    </w:p>
    <w:p w14:paraId="5B13EFD8" w14:textId="77777777" w:rsidR="00E93F58" w:rsidRPr="006E709F" w:rsidRDefault="00E93F58" w:rsidP="002C7812">
      <w:pPr>
        <w:pStyle w:val="ItemHead"/>
      </w:pPr>
      <w:r w:rsidRPr="006E709F">
        <w:t xml:space="preserve">3.28  After paragraph 1022A(1)(c) (definition of </w:t>
      </w:r>
      <w:r w:rsidRPr="006E709F">
        <w:rPr>
          <w:i/>
        </w:rPr>
        <w:t>defective</w:t>
      </w:r>
      <w:r w:rsidRPr="006E709F">
        <w:t>)</w:t>
      </w:r>
    </w:p>
    <w:p w14:paraId="26E518CC" w14:textId="77777777" w:rsidR="00E93F58" w:rsidRPr="006E709F" w:rsidRDefault="00E93F58" w:rsidP="002C7812">
      <w:pPr>
        <w:pStyle w:val="Item"/>
        <w:rPr>
          <w:i/>
        </w:rPr>
      </w:pPr>
      <w:r w:rsidRPr="006E709F">
        <w:rPr>
          <w:i/>
        </w:rPr>
        <w:t>insert</w:t>
      </w:r>
    </w:p>
    <w:p w14:paraId="3DF51018" w14:textId="77777777" w:rsidR="00E93F58" w:rsidRPr="006E709F" w:rsidRDefault="00E93F58" w:rsidP="002C7812">
      <w:pPr>
        <w:pStyle w:val="paragraph"/>
      </w:pPr>
      <w:r w:rsidRPr="006E709F">
        <w:tab/>
        <w:t>(ca)</w:t>
      </w:r>
      <w:r w:rsidRPr="006E709F">
        <w:tab/>
        <w:t>if it is a Supplementary Short</w:t>
      </w:r>
      <w:r>
        <w:noBreakHyphen/>
      </w:r>
      <w:r w:rsidRPr="006E709F">
        <w:t>Form PDS that is given for the purposes of section 1017P—there is an omission from the Short</w:t>
      </w:r>
      <w:r>
        <w:noBreakHyphen/>
      </w:r>
      <w:r w:rsidRPr="006E709F">
        <w:t>Form PDS of material required by that section; or</w:t>
      </w:r>
    </w:p>
    <w:p w14:paraId="7D773538" w14:textId="77777777" w:rsidR="00E93F58" w:rsidRPr="006E709F" w:rsidRDefault="00E93F58" w:rsidP="002C7812">
      <w:pPr>
        <w:pStyle w:val="ItemHead"/>
      </w:pPr>
      <w:r w:rsidRPr="006E709F">
        <w:t xml:space="preserve">3.29  Subsection 1022A(1), definition of </w:t>
      </w:r>
      <w:r w:rsidRPr="006E709F">
        <w:rPr>
          <w:i/>
        </w:rPr>
        <w:t>disclosure document or statement</w:t>
      </w:r>
      <w:r w:rsidRPr="006E709F">
        <w:t>, after paragraph (b)</w:t>
      </w:r>
    </w:p>
    <w:p w14:paraId="614190A4" w14:textId="77777777" w:rsidR="00E93F58" w:rsidRPr="006E709F" w:rsidRDefault="00E93F58" w:rsidP="002C7812">
      <w:pPr>
        <w:pStyle w:val="Item"/>
        <w:rPr>
          <w:i/>
        </w:rPr>
      </w:pPr>
      <w:r w:rsidRPr="006E709F">
        <w:rPr>
          <w:i/>
        </w:rPr>
        <w:t>insert</w:t>
      </w:r>
    </w:p>
    <w:p w14:paraId="2B56C19D" w14:textId="77777777" w:rsidR="00E93F58" w:rsidRPr="006E709F" w:rsidRDefault="00E93F58" w:rsidP="002C7812">
      <w:pPr>
        <w:pStyle w:val="paragraph"/>
      </w:pPr>
      <w:r w:rsidRPr="006E709F">
        <w:tab/>
        <w:t>(ba)</w:t>
      </w:r>
      <w:r w:rsidRPr="006E709F">
        <w:tab/>
        <w:t>a Short</w:t>
      </w:r>
      <w:r>
        <w:noBreakHyphen/>
      </w:r>
      <w:r w:rsidRPr="006E709F">
        <w:t>Form PDS; or</w:t>
      </w:r>
    </w:p>
    <w:p w14:paraId="3A4E7C4D" w14:textId="77777777" w:rsidR="00E93F58" w:rsidRPr="006E709F" w:rsidRDefault="00E93F58" w:rsidP="002C7812">
      <w:pPr>
        <w:pStyle w:val="paragraph"/>
      </w:pPr>
      <w:r w:rsidRPr="006E709F">
        <w:tab/>
        <w:t>(bb)</w:t>
      </w:r>
      <w:r w:rsidRPr="006E709F">
        <w:tab/>
        <w:t>a Supplementary Short</w:t>
      </w:r>
      <w:r>
        <w:noBreakHyphen/>
      </w:r>
      <w:r w:rsidRPr="006E709F">
        <w:t>Form PDS; or</w:t>
      </w:r>
    </w:p>
    <w:p w14:paraId="70036EC3" w14:textId="77777777" w:rsidR="00E93F58" w:rsidRPr="006E709F" w:rsidRDefault="00E93F58" w:rsidP="002C7812">
      <w:pPr>
        <w:pStyle w:val="ItemHead"/>
      </w:pPr>
      <w:r w:rsidRPr="006E709F">
        <w:t>3.30  Subparagraph 1022B(1)(a)(i)</w:t>
      </w:r>
    </w:p>
    <w:p w14:paraId="4EBD120B" w14:textId="77777777" w:rsidR="00E93F58" w:rsidRPr="006E709F" w:rsidRDefault="00E93F58" w:rsidP="002C7812">
      <w:pPr>
        <w:pStyle w:val="Item"/>
        <w:rPr>
          <w:i/>
        </w:rPr>
      </w:pPr>
      <w:r w:rsidRPr="006E709F">
        <w:rPr>
          <w:i/>
        </w:rPr>
        <w:t>omit</w:t>
      </w:r>
    </w:p>
    <w:p w14:paraId="466A1CB8" w14:textId="77777777" w:rsidR="00E93F58" w:rsidRPr="006E709F" w:rsidRDefault="00E93F58" w:rsidP="00F925D9">
      <w:pPr>
        <w:pStyle w:val="Item"/>
        <w:keepLines w:val="0"/>
      </w:pPr>
      <w:r w:rsidRPr="006E709F">
        <w:t>or a Supplementary Product Disclosure Statement</w:t>
      </w:r>
    </w:p>
    <w:p w14:paraId="6FDC87D2" w14:textId="77777777" w:rsidR="00E93F58" w:rsidRPr="006E709F" w:rsidRDefault="00E93F58" w:rsidP="00F925D9">
      <w:pPr>
        <w:pStyle w:val="Item"/>
        <w:keepLines w:val="0"/>
        <w:rPr>
          <w:i/>
        </w:rPr>
      </w:pPr>
      <w:r w:rsidRPr="006E709F">
        <w:rPr>
          <w:i/>
        </w:rPr>
        <w:t>insert</w:t>
      </w:r>
    </w:p>
    <w:p w14:paraId="7A538057" w14:textId="77777777" w:rsidR="00E93F58" w:rsidRPr="006E709F" w:rsidRDefault="00E93F58" w:rsidP="00F925D9">
      <w:pPr>
        <w:pStyle w:val="Item"/>
        <w:keepLines w:val="0"/>
      </w:pPr>
      <w:r w:rsidRPr="006E709F">
        <w:t>, a Supplementary Product Disclosure Statement, a Short</w:t>
      </w:r>
      <w:r>
        <w:noBreakHyphen/>
      </w:r>
      <w:r w:rsidRPr="006E709F">
        <w:t>Form PDS or a Supplementary Short</w:t>
      </w:r>
      <w:r>
        <w:noBreakHyphen/>
      </w:r>
      <w:r w:rsidRPr="006E709F">
        <w:t>Form PDS</w:t>
      </w:r>
    </w:p>
    <w:p w14:paraId="706F8FF3" w14:textId="77777777" w:rsidR="00E93F58" w:rsidRPr="006E709F" w:rsidRDefault="00E93F58" w:rsidP="002C7812">
      <w:pPr>
        <w:pStyle w:val="ItemHead"/>
      </w:pPr>
      <w:r w:rsidRPr="006E709F">
        <w:t>3.31  Subparagraph 1022B(1)(c)(ii)</w:t>
      </w:r>
    </w:p>
    <w:p w14:paraId="02F25158" w14:textId="77777777" w:rsidR="00E93F58" w:rsidRPr="006E709F" w:rsidRDefault="00E93F58" w:rsidP="002C7812">
      <w:pPr>
        <w:pStyle w:val="Item"/>
        <w:rPr>
          <w:i/>
        </w:rPr>
      </w:pPr>
      <w:r w:rsidRPr="006E709F">
        <w:rPr>
          <w:i/>
        </w:rPr>
        <w:t>omit</w:t>
      </w:r>
    </w:p>
    <w:p w14:paraId="25275E62" w14:textId="77777777" w:rsidR="00E93F58" w:rsidRPr="006E709F" w:rsidRDefault="00E93F58" w:rsidP="002C7812">
      <w:pPr>
        <w:pStyle w:val="Item"/>
      </w:pPr>
      <w:r w:rsidRPr="006E709F">
        <w:t>or a Supplementary Product Disclosure Statement</w:t>
      </w:r>
    </w:p>
    <w:p w14:paraId="725C9F08" w14:textId="77777777" w:rsidR="00E93F58" w:rsidRPr="006E709F" w:rsidRDefault="00E93F58" w:rsidP="002C7812">
      <w:pPr>
        <w:pStyle w:val="Item"/>
        <w:rPr>
          <w:i/>
        </w:rPr>
      </w:pPr>
      <w:r w:rsidRPr="006E709F">
        <w:rPr>
          <w:i/>
        </w:rPr>
        <w:t>insert</w:t>
      </w:r>
    </w:p>
    <w:p w14:paraId="664DE70C" w14:textId="77777777" w:rsidR="00E93F58" w:rsidRPr="006E709F" w:rsidRDefault="00E93F58" w:rsidP="002C7812">
      <w:pPr>
        <w:pStyle w:val="Item"/>
      </w:pPr>
      <w:r w:rsidRPr="006E709F">
        <w:t>, a Supplementary Product Disclosure Statement, a Short</w:t>
      </w:r>
      <w:r>
        <w:noBreakHyphen/>
      </w:r>
      <w:r w:rsidRPr="006E709F">
        <w:t>Form PDS or a Supplementary Short</w:t>
      </w:r>
      <w:r>
        <w:noBreakHyphen/>
      </w:r>
      <w:r w:rsidRPr="006E709F">
        <w:t>Form PDS</w:t>
      </w:r>
    </w:p>
    <w:p w14:paraId="55A59BFD" w14:textId="77777777" w:rsidR="00E93F58" w:rsidRPr="006E709F" w:rsidRDefault="00E93F58" w:rsidP="002C7812">
      <w:pPr>
        <w:pStyle w:val="ItemHead"/>
      </w:pPr>
      <w:r w:rsidRPr="006E709F">
        <w:lastRenderedPageBreak/>
        <w:t>3.32  Subparagraph 1022B(1)(d)(i)</w:t>
      </w:r>
    </w:p>
    <w:p w14:paraId="4D5E1093" w14:textId="77777777" w:rsidR="00E93F58" w:rsidRPr="006E709F" w:rsidRDefault="00E93F58" w:rsidP="002C7812">
      <w:pPr>
        <w:pStyle w:val="Item"/>
        <w:rPr>
          <w:i/>
        </w:rPr>
      </w:pPr>
      <w:r w:rsidRPr="006E709F">
        <w:rPr>
          <w:i/>
        </w:rPr>
        <w:t>omit</w:t>
      </w:r>
    </w:p>
    <w:p w14:paraId="2CAEC52C" w14:textId="77777777" w:rsidR="00E93F58" w:rsidRPr="006E709F" w:rsidRDefault="00E93F58" w:rsidP="002C7812">
      <w:pPr>
        <w:pStyle w:val="Item"/>
      </w:pPr>
      <w:r w:rsidRPr="006E709F">
        <w:t>or a Supplementary Product Disclosure Statement</w:t>
      </w:r>
    </w:p>
    <w:p w14:paraId="47CF06CB" w14:textId="77777777" w:rsidR="00E93F58" w:rsidRPr="006E709F" w:rsidRDefault="00E93F58" w:rsidP="002C7812">
      <w:pPr>
        <w:pStyle w:val="Item"/>
        <w:rPr>
          <w:i/>
        </w:rPr>
      </w:pPr>
      <w:r w:rsidRPr="006E709F">
        <w:rPr>
          <w:i/>
        </w:rPr>
        <w:t>insert</w:t>
      </w:r>
    </w:p>
    <w:p w14:paraId="6C448378" w14:textId="77777777" w:rsidR="00E93F58" w:rsidRPr="006E709F" w:rsidRDefault="00E93F58" w:rsidP="002C7812">
      <w:pPr>
        <w:pStyle w:val="Item"/>
      </w:pPr>
      <w:r w:rsidRPr="006E709F">
        <w:t>, a Supplementary Product Disclosure Statement, a Short</w:t>
      </w:r>
      <w:r>
        <w:noBreakHyphen/>
      </w:r>
      <w:r w:rsidRPr="006E709F">
        <w:t>Form PDS or a Supplementary Short</w:t>
      </w:r>
      <w:r>
        <w:noBreakHyphen/>
      </w:r>
      <w:r w:rsidRPr="006E709F">
        <w:t>Form PDS</w:t>
      </w:r>
    </w:p>
    <w:p w14:paraId="5E22BC9E" w14:textId="77777777" w:rsidR="00E93F58" w:rsidRPr="006E709F" w:rsidRDefault="00E93F58" w:rsidP="002C7812">
      <w:pPr>
        <w:pStyle w:val="ActHead1"/>
        <w:pageBreakBefore/>
        <w:spacing w:before="240"/>
      </w:pPr>
      <w:bookmarkStart w:id="3530" w:name="_Toc151992513"/>
      <w:bookmarkStart w:id="3531" w:name="_Toc158713550"/>
      <w:r w:rsidRPr="000C4237">
        <w:rPr>
          <w:rStyle w:val="CharChapNo"/>
        </w:rPr>
        <w:lastRenderedPageBreak/>
        <w:t>Schedule 10C</w:t>
      </w:r>
      <w:r w:rsidRPr="006E709F">
        <w:t>—</w:t>
      </w:r>
      <w:r w:rsidRPr="000C4237">
        <w:rPr>
          <w:rStyle w:val="CharChapText"/>
        </w:rPr>
        <w:t>Form and content of Product Disclosure Statement—</w:t>
      </w:r>
      <w:r w:rsidRPr="00D0485E">
        <w:rPr>
          <w:rStyle w:val="CharChapText"/>
        </w:rPr>
        <w:t>standard margin lending facility</w:t>
      </w:r>
      <w:bookmarkEnd w:id="3530"/>
      <w:bookmarkEnd w:id="3531"/>
    </w:p>
    <w:p w14:paraId="75AAD841" w14:textId="77777777" w:rsidR="00E93F58" w:rsidRPr="006E709F" w:rsidRDefault="00E93F58" w:rsidP="00A801D0">
      <w:pPr>
        <w:pStyle w:val="notemargin"/>
      </w:pPr>
      <w:r w:rsidRPr="006E709F">
        <w:t>(regulation 7.9.11D)</w:t>
      </w:r>
    </w:p>
    <w:p w14:paraId="3637342B" w14:textId="77777777" w:rsidR="00E93F58" w:rsidRPr="006E709F" w:rsidRDefault="00E93F58" w:rsidP="003638DE">
      <w:pPr>
        <w:pStyle w:val="Header"/>
      </w:pPr>
      <w:r w:rsidRPr="000C4237">
        <w:rPr>
          <w:rStyle w:val="CharPartNo"/>
        </w:rPr>
        <w:t xml:space="preserve"> </w:t>
      </w:r>
      <w:r w:rsidRPr="000C4237">
        <w:rPr>
          <w:rStyle w:val="CharPartText"/>
        </w:rPr>
        <w:t xml:space="preserve"> </w:t>
      </w:r>
    </w:p>
    <w:p w14:paraId="7ED92784" w14:textId="77777777" w:rsidR="00E93F58" w:rsidRPr="006E709F" w:rsidRDefault="00E93F58" w:rsidP="00C93238">
      <w:pPr>
        <w:pStyle w:val="ActHead5"/>
      </w:pPr>
      <w:bookmarkStart w:id="3532" w:name="_Toc151992514"/>
      <w:bookmarkStart w:id="3533" w:name="_Toc158713551"/>
      <w:r w:rsidRPr="000C4237">
        <w:rPr>
          <w:rStyle w:val="CharSectno"/>
        </w:rPr>
        <w:t>1</w:t>
      </w:r>
      <w:r w:rsidRPr="006E709F">
        <w:t xml:space="preserve">  Length and font size for Product Disclosure Statement for </w:t>
      </w:r>
      <w:r w:rsidRPr="000C2CBA">
        <w:t>standard margin lending facility</w:t>
      </w:r>
      <w:bookmarkEnd w:id="3532"/>
      <w:bookmarkEnd w:id="3533"/>
    </w:p>
    <w:p w14:paraId="6BCDE13F" w14:textId="77777777" w:rsidR="00E93F58" w:rsidRPr="006E709F" w:rsidRDefault="00E93F58" w:rsidP="00A801D0">
      <w:pPr>
        <w:pStyle w:val="subsection"/>
      </w:pPr>
      <w:r w:rsidRPr="006E709F">
        <w:tab/>
        <w:t>(1)</w:t>
      </w:r>
      <w:r w:rsidRPr="006E709F">
        <w:tab/>
        <w:t xml:space="preserve">The length of a Product Disclosure Statement for a </w:t>
      </w:r>
      <w:r w:rsidRPr="00BE1284">
        <w:t>standard margin lending facility</w:t>
      </w:r>
      <w:r w:rsidRPr="006E709F">
        <w:t xml:space="preserve"> (not including any title page, table of contents or matter in writing that is applied, adopted or incorporated by the Statement) must not exceed:</w:t>
      </w:r>
    </w:p>
    <w:p w14:paraId="5447161C" w14:textId="77777777" w:rsidR="00E93F58" w:rsidRPr="006E709F" w:rsidRDefault="00E93F58" w:rsidP="00A801D0">
      <w:pPr>
        <w:pStyle w:val="paragraph"/>
      </w:pPr>
      <w:r w:rsidRPr="006E709F">
        <w:tab/>
        <w:t>(a)</w:t>
      </w:r>
      <w:r w:rsidRPr="006E709F">
        <w:tab/>
        <w:t>if it is printed on A4 pages—4 pages; or</w:t>
      </w:r>
    </w:p>
    <w:p w14:paraId="4628237D" w14:textId="77777777" w:rsidR="00E93F58" w:rsidRPr="006E709F" w:rsidRDefault="00E93F58" w:rsidP="00A801D0">
      <w:pPr>
        <w:pStyle w:val="paragraph"/>
      </w:pPr>
      <w:r w:rsidRPr="006E709F">
        <w:tab/>
        <w:t>(b)</w:t>
      </w:r>
      <w:r w:rsidRPr="006E709F">
        <w:tab/>
        <w:t>if it is printed on A5 pages—8 pages; or</w:t>
      </w:r>
    </w:p>
    <w:p w14:paraId="0CE63ACB" w14:textId="77777777" w:rsidR="00E93F58" w:rsidRPr="006E709F" w:rsidRDefault="00E93F58" w:rsidP="00A801D0">
      <w:pPr>
        <w:pStyle w:val="paragraph"/>
      </w:pPr>
      <w:r w:rsidRPr="006E709F">
        <w:tab/>
        <w:t>(c)</w:t>
      </w:r>
      <w:r w:rsidRPr="006E709F">
        <w:tab/>
        <w:t>if it is printed on DL pages—12 pages; or</w:t>
      </w:r>
    </w:p>
    <w:p w14:paraId="776A430D" w14:textId="77777777" w:rsidR="00E93F58" w:rsidRPr="006E709F" w:rsidRDefault="00E93F58" w:rsidP="00A801D0">
      <w:pPr>
        <w:pStyle w:val="paragraph"/>
      </w:pPr>
      <w:r w:rsidRPr="006E709F">
        <w:tab/>
        <w:t>(d)</w:t>
      </w:r>
      <w:r w:rsidRPr="006E709F">
        <w:tab/>
        <w:t>otherwise—if it is formatted to be printed on A4 pages, 4 A4 pages.</w:t>
      </w:r>
    </w:p>
    <w:p w14:paraId="429B4A99" w14:textId="77777777" w:rsidR="00E93F58" w:rsidRPr="006E709F" w:rsidRDefault="00E93F58" w:rsidP="00A801D0">
      <w:pPr>
        <w:pStyle w:val="subsection"/>
      </w:pPr>
      <w:r w:rsidRPr="006E709F">
        <w:tab/>
        <w:t>(2)</w:t>
      </w:r>
      <w:r w:rsidRPr="006E709F">
        <w:tab/>
        <w:t>The minimum font size for text in the Statement is:</w:t>
      </w:r>
    </w:p>
    <w:p w14:paraId="5A89B99B" w14:textId="77777777" w:rsidR="00E93F58" w:rsidRPr="006E709F" w:rsidRDefault="00E93F58" w:rsidP="00A801D0">
      <w:pPr>
        <w:pStyle w:val="paragraph"/>
      </w:pPr>
      <w:r w:rsidRPr="006E709F">
        <w:tab/>
        <w:t>(a)</w:t>
      </w:r>
      <w:r w:rsidRPr="006E709F">
        <w:tab/>
        <w:t>for the name, address, ABN (if applicable), ACN (if applicable) and AFSL (if applicable) of the person giving the Statement—8 points; and</w:t>
      </w:r>
    </w:p>
    <w:p w14:paraId="70A249F8" w14:textId="77777777" w:rsidR="00E93F58" w:rsidRPr="006E709F" w:rsidRDefault="00E93F58" w:rsidP="00A801D0">
      <w:pPr>
        <w:pStyle w:val="paragraph"/>
      </w:pPr>
      <w:r w:rsidRPr="006E709F">
        <w:tab/>
        <w:t>(b)</w:t>
      </w:r>
      <w:r w:rsidRPr="006E709F">
        <w:tab/>
        <w:t>for all other text—9 points.</w:t>
      </w:r>
    </w:p>
    <w:p w14:paraId="1CFCA70E" w14:textId="77777777" w:rsidR="00E93F58" w:rsidRPr="006E709F" w:rsidRDefault="00E93F58" w:rsidP="00A801D0">
      <w:pPr>
        <w:pStyle w:val="notetext"/>
      </w:pPr>
      <w:r w:rsidRPr="006E709F">
        <w:t>Note 1:</w:t>
      </w:r>
      <w:r w:rsidRPr="006E709F">
        <w:tab/>
        <w:t>The Product Disclosure Statement must be worded and presented in a clear, concise and effective manner—see subsection 1013C(3) of the Act.</w:t>
      </w:r>
    </w:p>
    <w:p w14:paraId="23A19696" w14:textId="77777777" w:rsidR="00E93F58" w:rsidRPr="006E709F" w:rsidRDefault="00E93F58" w:rsidP="00A801D0">
      <w:pPr>
        <w:pStyle w:val="notetext"/>
      </w:pPr>
      <w:r w:rsidRPr="006E709F">
        <w:t>Note 2:</w:t>
      </w:r>
      <w:r w:rsidRPr="006E709F">
        <w:tab/>
        <w:t>A person required to a give a Product Disclosure Statement to a vision</w:t>
      </w:r>
      <w:r>
        <w:noBreakHyphen/>
      </w:r>
      <w:r w:rsidRPr="006E709F">
        <w:t xml:space="preserve">impaired person must comply with its obligations under the </w:t>
      </w:r>
      <w:r w:rsidRPr="006E709F">
        <w:rPr>
          <w:i/>
        </w:rPr>
        <w:t>Disability Discrimination Act 1992</w:t>
      </w:r>
      <w:r w:rsidRPr="006E709F">
        <w:t>.</w:t>
      </w:r>
    </w:p>
    <w:p w14:paraId="091AAB72" w14:textId="77777777" w:rsidR="00E93F58" w:rsidRPr="006E709F" w:rsidRDefault="00E93F58" w:rsidP="00C93238">
      <w:pPr>
        <w:pStyle w:val="ActHead5"/>
      </w:pPr>
      <w:bookmarkStart w:id="3534" w:name="_Toc151992515"/>
      <w:bookmarkStart w:id="3535" w:name="_Toc158713552"/>
      <w:r w:rsidRPr="000C4237">
        <w:rPr>
          <w:rStyle w:val="CharSectno"/>
        </w:rPr>
        <w:t>2</w:t>
      </w:r>
      <w:r w:rsidRPr="006E709F">
        <w:t xml:space="preserve">  Minimum content of Product Disclosure Statement for </w:t>
      </w:r>
      <w:r w:rsidRPr="000C2CBA">
        <w:t>standard margin lending facility</w:t>
      </w:r>
      <w:bookmarkEnd w:id="3534"/>
      <w:bookmarkEnd w:id="3535"/>
    </w:p>
    <w:p w14:paraId="5F2FFBAB" w14:textId="77777777" w:rsidR="00E93F58" w:rsidRPr="006E709F" w:rsidRDefault="00E93F58" w:rsidP="00A801D0">
      <w:pPr>
        <w:pStyle w:val="subsection"/>
      </w:pPr>
      <w:r w:rsidRPr="006E709F">
        <w:tab/>
        <w:t>(1)</w:t>
      </w:r>
      <w:r w:rsidRPr="006E709F">
        <w:tab/>
        <w:t>The Product Disclosure Statement must include the following sections, which must be numbered and titled as follows:</w:t>
      </w:r>
    </w:p>
    <w:p w14:paraId="4ED6C55B" w14:textId="77777777" w:rsidR="00E93F58" w:rsidRPr="006E709F" w:rsidRDefault="00E93F58" w:rsidP="00F17AC1">
      <w:pPr>
        <w:pStyle w:val="paragraph"/>
      </w:pPr>
      <w:r w:rsidRPr="006E709F">
        <w:tab/>
        <w:t>1.</w:t>
      </w:r>
      <w:r w:rsidRPr="006E709F">
        <w:tab/>
        <w:t xml:space="preserve">About [name of provider of </w:t>
      </w:r>
      <w:r>
        <w:t xml:space="preserve">the </w:t>
      </w:r>
      <w:r w:rsidRPr="00BE1284">
        <w:t>standard margin lending facility</w:t>
      </w:r>
      <w:r w:rsidRPr="006E709F">
        <w:t xml:space="preserve">] and [name of </w:t>
      </w:r>
      <w:r w:rsidRPr="00BE1284">
        <w:t>standard margin lending facility</w:t>
      </w:r>
      <w:r w:rsidRPr="006E709F">
        <w:t>]</w:t>
      </w:r>
    </w:p>
    <w:p w14:paraId="205E2607" w14:textId="77777777" w:rsidR="00E93F58" w:rsidRPr="006E709F" w:rsidRDefault="00E93F58" w:rsidP="00F17AC1">
      <w:pPr>
        <w:pStyle w:val="paragraph"/>
      </w:pPr>
      <w:r w:rsidRPr="006E709F">
        <w:tab/>
        <w:t>2.</w:t>
      </w:r>
      <w:r w:rsidRPr="006E709F">
        <w:tab/>
        <w:t xml:space="preserve">Benefits of [name of </w:t>
      </w:r>
      <w:r w:rsidRPr="00BE1284">
        <w:t>standard margin lending facility</w:t>
      </w:r>
      <w:r w:rsidRPr="006E709F">
        <w:t>]</w:t>
      </w:r>
    </w:p>
    <w:p w14:paraId="56E59895" w14:textId="77777777" w:rsidR="00E93F58" w:rsidRPr="006E709F" w:rsidRDefault="00E93F58" w:rsidP="00F17AC1">
      <w:pPr>
        <w:pStyle w:val="paragraph"/>
      </w:pPr>
      <w:r w:rsidRPr="006E709F">
        <w:tab/>
        <w:t>3.</w:t>
      </w:r>
      <w:r w:rsidRPr="006E709F">
        <w:tab/>
        <w:t xml:space="preserve">How [name of </w:t>
      </w:r>
      <w:r w:rsidRPr="00BE1284">
        <w:t>standard margin lending facility</w:t>
      </w:r>
      <w:r w:rsidRPr="006E709F">
        <w:t>] works</w:t>
      </w:r>
    </w:p>
    <w:p w14:paraId="411B7541" w14:textId="77777777" w:rsidR="00E93F58" w:rsidRPr="006E709F" w:rsidRDefault="00E93F58" w:rsidP="00F17AC1">
      <w:pPr>
        <w:pStyle w:val="paragraph"/>
      </w:pPr>
      <w:r w:rsidRPr="006E709F">
        <w:tab/>
        <w:t>4.</w:t>
      </w:r>
      <w:r w:rsidRPr="006E709F">
        <w:tab/>
        <w:t>What is a margin call?</w:t>
      </w:r>
    </w:p>
    <w:p w14:paraId="556E1262" w14:textId="77777777" w:rsidR="00E93F58" w:rsidRPr="006E709F" w:rsidRDefault="00E93F58" w:rsidP="00F17AC1">
      <w:pPr>
        <w:pStyle w:val="paragraph"/>
      </w:pPr>
      <w:r w:rsidRPr="006E709F">
        <w:tab/>
        <w:t>5.</w:t>
      </w:r>
      <w:r w:rsidRPr="006E709F">
        <w:tab/>
        <w:t>The risk of losing money</w:t>
      </w:r>
    </w:p>
    <w:p w14:paraId="7AC41649" w14:textId="77777777" w:rsidR="00E93F58" w:rsidRPr="006E709F" w:rsidRDefault="00E93F58" w:rsidP="00F17AC1">
      <w:pPr>
        <w:pStyle w:val="paragraph"/>
      </w:pPr>
      <w:r w:rsidRPr="006E709F">
        <w:tab/>
        <w:t>6.</w:t>
      </w:r>
      <w:r w:rsidRPr="006E709F">
        <w:tab/>
        <w:t>The costs</w:t>
      </w:r>
    </w:p>
    <w:p w14:paraId="4F97E2CF" w14:textId="77777777" w:rsidR="00E93F58" w:rsidRPr="006E709F" w:rsidRDefault="00E93F58" w:rsidP="00F17AC1">
      <w:pPr>
        <w:pStyle w:val="paragraph"/>
      </w:pPr>
      <w:r w:rsidRPr="006E709F">
        <w:tab/>
        <w:t>7.</w:t>
      </w:r>
      <w:r w:rsidRPr="006E709F">
        <w:tab/>
        <w:t>How to apply.</w:t>
      </w:r>
    </w:p>
    <w:p w14:paraId="10E4F572" w14:textId="77777777" w:rsidR="00E93F58" w:rsidRPr="006E709F" w:rsidRDefault="00E93F58" w:rsidP="00A801D0">
      <w:pPr>
        <w:pStyle w:val="subsection"/>
      </w:pPr>
      <w:r w:rsidRPr="006E709F">
        <w:tab/>
        <w:t>(2)</w:t>
      </w:r>
      <w:r w:rsidRPr="006E709F">
        <w:tab/>
        <w:t>The Product Disclosure Statement must include:</w:t>
      </w:r>
    </w:p>
    <w:p w14:paraId="3AA8CC83" w14:textId="77777777" w:rsidR="00E93F58" w:rsidRPr="006E709F" w:rsidRDefault="00E93F58" w:rsidP="00A801D0">
      <w:pPr>
        <w:pStyle w:val="paragraph"/>
      </w:pPr>
      <w:r w:rsidRPr="006E709F">
        <w:tab/>
        <w:t>(a)</w:t>
      </w:r>
      <w:r w:rsidRPr="006E709F">
        <w:tab/>
        <w:t>a table of contents that sets out the titles mentioned in subclause (1); and</w:t>
      </w:r>
    </w:p>
    <w:p w14:paraId="78BA9CF8" w14:textId="77777777" w:rsidR="00E93F58" w:rsidRPr="006E709F" w:rsidRDefault="00E93F58" w:rsidP="00A801D0">
      <w:pPr>
        <w:pStyle w:val="paragraph"/>
      </w:pPr>
      <w:r w:rsidRPr="006E709F">
        <w:tab/>
        <w:t>(b)</w:t>
      </w:r>
      <w:r w:rsidRPr="006E709F">
        <w:tab/>
        <w:t xml:space="preserve">the telephone number of the provider of the </w:t>
      </w:r>
      <w:r w:rsidRPr="00BE1284">
        <w:t>standard margin lending facility</w:t>
      </w:r>
      <w:r w:rsidRPr="006E709F">
        <w:t xml:space="preserve"> to enable a borrower for the </w:t>
      </w:r>
      <w:r w:rsidRPr="00BE1284">
        <w:t>standard margin lending facility</w:t>
      </w:r>
      <w:r w:rsidRPr="006E709F">
        <w:t xml:space="preserve"> to request a copy of the following under regulation 7.9.11G:</w:t>
      </w:r>
    </w:p>
    <w:p w14:paraId="2A24DF10" w14:textId="77777777" w:rsidR="00E93F58" w:rsidRPr="006E709F" w:rsidRDefault="00E93F58" w:rsidP="00A801D0">
      <w:pPr>
        <w:pStyle w:val="paragraphsub"/>
      </w:pPr>
      <w:r w:rsidRPr="006E709F">
        <w:tab/>
        <w:t>(i)</w:t>
      </w:r>
      <w:r w:rsidRPr="006E709F">
        <w:tab/>
        <w:t>a copy of the Statement; and</w:t>
      </w:r>
    </w:p>
    <w:p w14:paraId="638E4426" w14:textId="77777777" w:rsidR="00E93F58" w:rsidRPr="006E709F" w:rsidRDefault="00E93F58" w:rsidP="00A801D0">
      <w:pPr>
        <w:pStyle w:val="paragraphsub"/>
      </w:pPr>
      <w:r w:rsidRPr="006E709F">
        <w:tab/>
        <w:t>(ii)</w:t>
      </w:r>
      <w:r w:rsidRPr="006E709F">
        <w:tab/>
        <w:t>a copy of a matter in writing that is applied, adopted or incorporated by the Statement.</w:t>
      </w:r>
    </w:p>
    <w:p w14:paraId="63D94FC0" w14:textId="77777777" w:rsidR="00E93F58" w:rsidRPr="006E709F" w:rsidRDefault="00E93F58" w:rsidP="00A801D0">
      <w:pPr>
        <w:pStyle w:val="subsection"/>
      </w:pPr>
      <w:r w:rsidRPr="006E709F">
        <w:tab/>
        <w:t>(3)</w:t>
      </w:r>
      <w:r w:rsidRPr="006E709F">
        <w:tab/>
        <w:t>The Product Disclosure Statement must:</w:t>
      </w:r>
    </w:p>
    <w:p w14:paraId="22D572CF" w14:textId="77777777" w:rsidR="00E93F58" w:rsidRPr="006E709F" w:rsidRDefault="00E93F58" w:rsidP="00A801D0">
      <w:pPr>
        <w:pStyle w:val="paragraph"/>
      </w:pPr>
      <w:r w:rsidRPr="006E709F">
        <w:tab/>
        <w:t>(a)</w:t>
      </w:r>
      <w:r w:rsidRPr="006E709F">
        <w:tab/>
        <w:t>advise a person reading the Statement that:</w:t>
      </w:r>
    </w:p>
    <w:p w14:paraId="71A244EA" w14:textId="77777777" w:rsidR="00E93F58" w:rsidRPr="006E709F" w:rsidRDefault="00E93F58" w:rsidP="00A801D0">
      <w:pPr>
        <w:pStyle w:val="paragraphsub"/>
      </w:pPr>
      <w:r w:rsidRPr="006E709F">
        <w:tab/>
        <w:t>(i)</w:t>
      </w:r>
      <w:r w:rsidRPr="006E709F">
        <w:tab/>
        <w:t>it is a summary of significant information and contains a number of references to important information (each of which forms part of the Statement); and</w:t>
      </w:r>
    </w:p>
    <w:p w14:paraId="793ABD6A" w14:textId="77777777" w:rsidR="00E93F58" w:rsidRPr="006E709F" w:rsidRDefault="00E93F58" w:rsidP="00A801D0">
      <w:pPr>
        <w:pStyle w:val="paragraphsub"/>
      </w:pPr>
      <w:r w:rsidRPr="006E709F">
        <w:tab/>
        <w:t>(ii)</w:t>
      </w:r>
      <w:r w:rsidRPr="006E709F">
        <w:tab/>
        <w:t>the person should consider that information before making a decision about the product; and</w:t>
      </w:r>
    </w:p>
    <w:p w14:paraId="5D8187D0" w14:textId="77777777" w:rsidR="00E93F58" w:rsidRPr="006E709F" w:rsidRDefault="00E93F58" w:rsidP="00A801D0">
      <w:pPr>
        <w:pStyle w:val="paragraphsub"/>
      </w:pPr>
      <w:r w:rsidRPr="006E709F">
        <w:tab/>
        <w:t>(iii)</w:t>
      </w:r>
      <w:r w:rsidRPr="006E709F">
        <w:tab/>
        <w:t>the information provided in the Statement is general information only and does not take account of the person’s personal financial situation or needs; and</w:t>
      </w:r>
    </w:p>
    <w:p w14:paraId="4D441D97" w14:textId="77777777" w:rsidR="00E93F58" w:rsidRPr="006E709F" w:rsidRDefault="00E93F58" w:rsidP="00A801D0">
      <w:pPr>
        <w:pStyle w:val="paragraphsub"/>
      </w:pPr>
      <w:r w:rsidRPr="006E709F">
        <w:tab/>
        <w:t>(iv)</w:t>
      </w:r>
      <w:r w:rsidRPr="006E709F">
        <w:tab/>
        <w:t>the person should obtain financial advice tailored to the person’s personal circumstances; and</w:t>
      </w:r>
    </w:p>
    <w:p w14:paraId="492FFA54" w14:textId="77777777" w:rsidR="00E93F58" w:rsidRPr="006E709F" w:rsidRDefault="00E93F58" w:rsidP="00A801D0">
      <w:pPr>
        <w:pStyle w:val="paragraph"/>
      </w:pPr>
      <w:r w:rsidRPr="006E709F">
        <w:tab/>
        <w:t>(b)</w:t>
      </w:r>
      <w:r w:rsidRPr="006E709F">
        <w:tab/>
        <w:t>display the advice:</w:t>
      </w:r>
    </w:p>
    <w:p w14:paraId="50A34580" w14:textId="77777777" w:rsidR="00E93F58" w:rsidRPr="006E709F" w:rsidRDefault="00E93F58" w:rsidP="00A801D0">
      <w:pPr>
        <w:pStyle w:val="paragraphsub"/>
      </w:pPr>
      <w:r w:rsidRPr="006E709F">
        <w:tab/>
        <w:t>(i)</w:t>
      </w:r>
      <w:r w:rsidRPr="006E709F">
        <w:tab/>
        <w:t>at or near the beginning of the document; and</w:t>
      </w:r>
    </w:p>
    <w:p w14:paraId="22AE294D" w14:textId="77777777" w:rsidR="00E93F58" w:rsidRPr="006E709F" w:rsidRDefault="00E93F58" w:rsidP="00A801D0">
      <w:pPr>
        <w:pStyle w:val="paragraphsub"/>
      </w:pPr>
      <w:r w:rsidRPr="006E709F">
        <w:tab/>
        <w:t>(ii)</w:t>
      </w:r>
      <w:r w:rsidRPr="006E709F">
        <w:tab/>
        <w:t>in a prominent position and style.</w:t>
      </w:r>
    </w:p>
    <w:p w14:paraId="0E7334BC" w14:textId="77777777" w:rsidR="00E93F58" w:rsidRPr="006E709F" w:rsidRDefault="00E93F58" w:rsidP="00A801D0">
      <w:pPr>
        <w:pStyle w:val="subsection"/>
      </w:pPr>
      <w:r w:rsidRPr="006E709F">
        <w:tab/>
        <w:t>(4)</w:t>
      </w:r>
      <w:r w:rsidRPr="006E709F">
        <w:tab/>
        <w:t>The Product Disclosure Statement:</w:t>
      </w:r>
    </w:p>
    <w:p w14:paraId="74BAC7E4" w14:textId="77777777" w:rsidR="00E93F58" w:rsidRPr="006E709F" w:rsidRDefault="00E93F58" w:rsidP="00A801D0">
      <w:pPr>
        <w:pStyle w:val="paragraph"/>
      </w:pPr>
      <w:r w:rsidRPr="006E709F">
        <w:lastRenderedPageBreak/>
        <w:tab/>
        <w:t>(a)</w:t>
      </w:r>
      <w:r w:rsidRPr="006E709F">
        <w:tab/>
        <w:t>may include additional sections after sections 1 to 7; and</w:t>
      </w:r>
    </w:p>
    <w:p w14:paraId="3C936D7D" w14:textId="77777777" w:rsidR="00E93F58" w:rsidRPr="006E709F" w:rsidRDefault="00E93F58" w:rsidP="00A801D0">
      <w:pPr>
        <w:pStyle w:val="paragraph"/>
      </w:pPr>
      <w:r w:rsidRPr="006E709F">
        <w:tab/>
        <w:t>(b)</w:t>
      </w:r>
      <w:r w:rsidRPr="006E709F">
        <w:tab/>
        <w:t>may include other information;</w:t>
      </w:r>
    </w:p>
    <w:p w14:paraId="7EDC3165" w14:textId="77777777" w:rsidR="00E93F58" w:rsidRPr="006E709F" w:rsidRDefault="00E93F58" w:rsidP="00A801D0">
      <w:pPr>
        <w:pStyle w:val="subsection2"/>
      </w:pPr>
      <w:r w:rsidRPr="006E709F">
        <w:t>to an extent that does not have the effect of contravening subclause 1(1).</w:t>
      </w:r>
    </w:p>
    <w:p w14:paraId="605FD97D" w14:textId="77777777" w:rsidR="00E93F58" w:rsidRPr="006E709F" w:rsidRDefault="00E93F58" w:rsidP="00A801D0">
      <w:pPr>
        <w:pStyle w:val="subsection"/>
      </w:pPr>
      <w:r w:rsidRPr="006E709F">
        <w:tab/>
        <w:t>(5)</w:t>
      </w:r>
      <w:r w:rsidRPr="006E709F">
        <w:tab/>
        <w:t xml:space="preserve">The Product Disclosure Statement does not need to indicate that a particular requirement is not applicable to the </w:t>
      </w:r>
      <w:r w:rsidRPr="00BE1284">
        <w:t>standard margin lending facility</w:t>
      </w:r>
      <w:r w:rsidRPr="006E709F">
        <w:t>.</w:t>
      </w:r>
    </w:p>
    <w:p w14:paraId="58277C88" w14:textId="77777777" w:rsidR="00E93F58" w:rsidRPr="006E709F" w:rsidRDefault="00E93F58" w:rsidP="00A801D0">
      <w:pPr>
        <w:pStyle w:val="notetext"/>
      </w:pPr>
      <w:r w:rsidRPr="006E709F">
        <w:t>Note:</w:t>
      </w:r>
      <w:r w:rsidRPr="006E709F">
        <w:tab/>
        <w:t xml:space="preserve">The Act, as modified in accordance with Subdivision 4.2A of Division 4 of Part 7.9, requires information to be included in the Product Disclosure Statement only to the extent to which the requirement is applicable to the </w:t>
      </w:r>
      <w:r w:rsidRPr="00BE1284">
        <w:t>standard margin lending facility</w:t>
      </w:r>
      <w:r w:rsidRPr="006E709F">
        <w:t>.</w:t>
      </w:r>
    </w:p>
    <w:p w14:paraId="7DE14B5D" w14:textId="77777777" w:rsidR="00E93F58" w:rsidRPr="006E709F" w:rsidRDefault="00E93F58" w:rsidP="00C93238">
      <w:pPr>
        <w:pStyle w:val="ActHead5"/>
      </w:pPr>
      <w:bookmarkStart w:id="3536" w:name="_Toc151992516"/>
      <w:bookmarkStart w:id="3537" w:name="_Toc158713553"/>
      <w:r w:rsidRPr="000C4237">
        <w:rPr>
          <w:rStyle w:val="CharSectno"/>
        </w:rPr>
        <w:t>3</w:t>
      </w:r>
      <w:r w:rsidRPr="006E709F">
        <w:t xml:space="preserve">  Contents of section 1 (About [name of provider of </w:t>
      </w:r>
      <w:r w:rsidRPr="00D43FEC">
        <w:t>the standard margin lending facility</w:t>
      </w:r>
      <w:r w:rsidRPr="006E709F">
        <w:t xml:space="preserve">] and [name of </w:t>
      </w:r>
      <w:r w:rsidRPr="00D43FEC">
        <w:t>standard margin lending facility</w:t>
      </w:r>
      <w:r w:rsidRPr="006E709F">
        <w:t>])</w:t>
      </w:r>
      <w:bookmarkEnd w:id="3536"/>
      <w:bookmarkEnd w:id="3537"/>
    </w:p>
    <w:p w14:paraId="47152672" w14:textId="77777777" w:rsidR="00E93F58" w:rsidRPr="006E709F" w:rsidRDefault="00E93F58" w:rsidP="00A801D0">
      <w:pPr>
        <w:pStyle w:val="subsection"/>
      </w:pPr>
      <w:r w:rsidRPr="006E709F">
        <w:tab/>
      </w:r>
      <w:r w:rsidRPr="006E709F">
        <w:tab/>
        <w:t>Section 1 of the Product Disclosure Statement must include:</w:t>
      </w:r>
    </w:p>
    <w:p w14:paraId="1170C067" w14:textId="77777777" w:rsidR="00E93F58" w:rsidRPr="006E709F" w:rsidRDefault="00E93F58" w:rsidP="00A801D0">
      <w:pPr>
        <w:pStyle w:val="paragraph"/>
      </w:pPr>
      <w:r w:rsidRPr="006E709F">
        <w:tab/>
        <w:t>(a)</w:t>
      </w:r>
      <w:r w:rsidRPr="006E709F">
        <w:tab/>
        <w:t xml:space="preserve">a short description of the </w:t>
      </w:r>
      <w:r w:rsidRPr="00BE1284">
        <w:t>standard margin lending facility</w:t>
      </w:r>
      <w:r w:rsidRPr="006E709F">
        <w:t xml:space="preserve"> provider and its business; and</w:t>
      </w:r>
    </w:p>
    <w:p w14:paraId="2D91F2DB" w14:textId="77777777" w:rsidR="00E93F58" w:rsidRPr="006E709F" w:rsidRDefault="00E93F58" w:rsidP="00A801D0">
      <w:pPr>
        <w:pStyle w:val="paragraph"/>
      </w:pPr>
      <w:r w:rsidRPr="006E709F">
        <w:tab/>
        <w:t>(b)</w:t>
      </w:r>
      <w:r w:rsidRPr="006E709F">
        <w:tab/>
        <w:t xml:space="preserve">a short summary of what </w:t>
      </w:r>
      <w:r w:rsidRPr="00BE1284">
        <w:t>a standard margin lending facility</w:t>
      </w:r>
      <w:r w:rsidRPr="006E709F">
        <w:t xml:space="preserve"> is; and</w:t>
      </w:r>
    </w:p>
    <w:p w14:paraId="531E8151" w14:textId="77777777" w:rsidR="00E93F58" w:rsidRPr="006E709F" w:rsidRDefault="00E93F58" w:rsidP="00A801D0">
      <w:pPr>
        <w:pStyle w:val="paragraph"/>
      </w:pPr>
      <w:r w:rsidRPr="006E709F">
        <w:tab/>
        <w:t>(c)</w:t>
      </w:r>
      <w:r w:rsidRPr="006E709F">
        <w:tab/>
        <w:t>a statement setting out the possible consequences of borrowing money to invest, including the effect of magnifying both gains and losses; and</w:t>
      </w:r>
    </w:p>
    <w:p w14:paraId="5453DE63" w14:textId="77777777" w:rsidR="00E93F58" w:rsidRPr="006E709F" w:rsidRDefault="00E93F58" w:rsidP="00A801D0">
      <w:pPr>
        <w:pStyle w:val="paragraph"/>
      </w:pPr>
      <w:r w:rsidRPr="006E709F">
        <w:tab/>
        <w:t>(d)</w:t>
      </w:r>
      <w:r w:rsidRPr="006E709F">
        <w:tab/>
        <w:t xml:space="preserve">a statement that the borrower for a </w:t>
      </w:r>
      <w:r w:rsidRPr="00BE1284">
        <w:t>standard margin lending facility</w:t>
      </w:r>
      <w:r w:rsidRPr="006E709F">
        <w:t xml:space="preserve"> should regularly monitor the borrower’s portfolio so that:</w:t>
      </w:r>
    </w:p>
    <w:p w14:paraId="30874D43" w14:textId="77777777" w:rsidR="00E93F58" w:rsidRPr="006E709F" w:rsidRDefault="00E93F58" w:rsidP="00A801D0">
      <w:pPr>
        <w:pStyle w:val="paragraphsub"/>
      </w:pPr>
      <w:r w:rsidRPr="006E709F">
        <w:tab/>
        <w:t>(i)</w:t>
      </w:r>
      <w:r w:rsidRPr="006E709F">
        <w:tab/>
        <w:t xml:space="preserve">the borrower can be aware of changes (if any) to the terms of the </w:t>
      </w:r>
      <w:r w:rsidRPr="00BE1284">
        <w:t>standard margin lending facility</w:t>
      </w:r>
      <w:r w:rsidRPr="006E709F">
        <w:t>; and</w:t>
      </w:r>
    </w:p>
    <w:p w14:paraId="51ABE040" w14:textId="77777777" w:rsidR="00E93F58" w:rsidRPr="006E709F" w:rsidRDefault="00E93F58" w:rsidP="00A801D0">
      <w:pPr>
        <w:pStyle w:val="paragraphsub"/>
      </w:pPr>
      <w:r w:rsidRPr="006E709F">
        <w:tab/>
        <w:t>(ii)</w:t>
      </w:r>
      <w:r w:rsidRPr="006E709F">
        <w:tab/>
        <w:t>the borrower can take timely action to prevent potential losses in relation to the borrower’s portfolio; and</w:t>
      </w:r>
    </w:p>
    <w:p w14:paraId="49C6DA15" w14:textId="77777777" w:rsidR="00E93F58" w:rsidRPr="006E709F" w:rsidRDefault="00E93F58" w:rsidP="00A801D0">
      <w:pPr>
        <w:pStyle w:val="paragraph"/>
      </w:pPr>
      <w:r w:rsidRPr="006E709F">
        <w:tab/>
        <w:t>(e)</w:t>
      </w:r>
      <w:r w:rsidRPr="006E709F">
        <w:tab/>
        <w:t xml:space="preserve">a statement that the borrower for a </w:t>
      </w:r>
      <w:r w:rsidRPr="00BE1284">
        <w:t>standard margin lending facility</w:t>
      </w:r>
      <w:r w:rsidRPr="006E709F">
        <w:t xml:space="preserve"> may need, at short notice, to pay an additional amount into the </w:t>
      </w:r>
      <w:r w:rsidRPr="00BE1284">
        <w:t>standard margin lending facility</w:t>
      </w:r>
      <w:r w:rsidRPr="006E709F">
        <w:t xml:space="preserve"> or sell some of the investments for which the </w:t>
      </w:r>
      <w:r w:rsidRPr="00BE1284">
        <w:t>standard margin lending facility</w:t>
      </w:r>
      <w:r w:rsidRPr="006E709F">
        <w:t xml:space="preserve"> is made; and</w:t>
      </w:r>
    </w:p>
    <w:p w14:paraId="6CA92181" w14:textId="77777777" w:rsidR="00E93F58" w:rsidRPr="006E709F" w:rsidRDefault="00E93F58" w:rsidP="00A801D0">
      <w:pPr>
        <w:pStyle w:val="paragraph"/>
      </w:pPr>
      <w:r w:rsidRPr="006E709F">
        <w:tab/>
        <w:t>(f)</w:t>
      </w:r>
      <w:r w:rsidRPr="006E709F">
        <w:tab/>
        <w:t xml:space="preserve">a statement that the provider of a </w:t>
      </w:r>
      <w:r w:rsidRPr="00BE1284">
        <w:t>standard margin lending facility</w:t>
      </w:r>
      <w:r w:rsidRPr="006E709F">
        <w:t xml:space="preserve"> has the right in certain circumstances to sell all, or part, of the borrower’s portfolio and may not be required under the terms of the </w:t>
      </w:r>
      <w:r w:rsidRPr="00BE1284">
        <w:t>standard margin lending facility</w:t>
      </w:r>
      <w:r w:rsidRPr="006E709F">
        <w:t xml:space="preserve"> to provide notice to the borrower of its intention to sell; and</w:t>
      </w:r>
    </w:p>
    <w:p w14:paraId="2F7755D0" w14:textId="77777777" w:rsidR="00E93F58" w:rsidRPr="006E709F" w:rsidRDefault="00E93F58" w:rsidP="00A801D0">
      <w:pPr>
        <w:pStyle w:val="paragraph"/>
      </w:pPr>
      <w:r w:rsidRPr="006E709F">
        <w:tab/>
        <w:t>(g)</w:t>
      </w:r>
      <w:r w:rsidRPr="006E709F">
        <w:tab/>
        <w:t xml:space="preserve">a statement that if the value of the portfolio for a </w:t>
      </w:r>
      <w:r w:rsidRPr="00BE1284">
        <w:t>standard margin lending facility</w:t>
      </w:r>
      <w:r w:rsidRPr="006E709F">
        <w:t xml:space="preserve"> does not cover the cost of repayments for the </w:t>
      </w:r>
      <w:r w:rsidRPr="00BE1284">
        <w:t>standard margin lending facility</w:t>
      </w:r>
      <w:r w:rsidRPr="006E709F">
        <w:t>:</w:t>
      </w:r>
    </w:p>
    <w:p w14:paraId="1023E176" w14:textId="77777777" w:rsidR="00E93F58" w:rsidRPr="006E709F" w:rsidRDefault="00E93F58" w:rsidP="00A801D0">
      <w:pPr>
        <w:pStyle w:val="paragraphsub"/>
      </w:pPr>
      <w:r w:rsidRPr="006E709F">
        <w:tab/>
        <w:t>(i)</w:t>
      </w:r>
      <w:r w:rsidRPr="006E709F">
        <w:tab/>
        <w:t xml:space="preserve">the borrower for the </w:t>
      </w:r>
      <w:r w:rsidRPr="00BE1284">
        <w:t>standard margin lending facility</w:t>
      </w:r>
      <w:r w:rsidRPr="006E709F">
        <w:t xml:space="preserve"> may need to access other funds to repay the </w:t>
      </w:r>
      <w:r w:rsidRPr="00BE1284">
        <w:t>standard margin lending facility</w:t>
      </w:r>
      <w:r w:rsidRPr="006E709F">
        <w:t>; or</w:t>
      </w:r>
    </w:p>
    <w:p w14:paraId="4B8D17A0" w14:textId="77777777" w:rsidR="00E93F58" w:rsidRPr="006E709F" w:rsidRDefault="00E93F58" w:rsidP="00A801D0">
      <w:pPr>
        <w:pStyle w:val="paragraphsub"/>
      </w:pPr>
      <w:r w:rsidRPr="006E709F">
        <w:tab/>
        <w:t>(ii)</w:t>
      </w:r>
      <w:r w:rsidRPr="006E709F">
        <w:tab/>
        <w:t xml:space="preserve">the provider of the </w:t>
      </w:r>
      <w:r w:rsidRPr="00BE1284">
        <w:t>standard margin lending facility</w:t>
      </w:r>
      <w:r w:rsidRPr="006E709F">
        <w:t xml:space="preserve"> may sell assets provided as security for the </w:t>
      </w:r>
      <w:r w:rsidRPr="00BE1284">
        <w:t>standard margin lending facility</w:t>
      </w:r>
      <w:r w:rsidRPr="006E709F">
        <w:t>, for example, the borrower’s residential property; and</w:t>
      </w:r>
    </w:p>
    <w:p w14:paraId="7ED031F5" w14:textId="77777777" w:rsidR="00E93F58" w:rsidRPr="006E709F" w:rsidRDefault="00E93F58" w:rsidP="00A801D0">
      <w:pPr>
        <w:pStyle w:val="paragraph"/>
      </w:pPr>
      <w:r w:rsidRPr="006E709F">
        <w:tab/>
        <w:t>(h)</w:t>
      </w:r>
      <w:r w:rsidRPr="006E709F">
        <w:tab/>
        <w:t xml:space="preserve">a statement that the law requires the provider of a </w:t>
      </w:r>
      <w:r w:rsidRPr="00BE1284">
        <w:t>standard margin lending facility</w:t>
      </w:r>
      <w:r w:rsidRPr="006E709F">
        <w:t xml:space="preserve"> to:</w:t>
      </w:r>
    </w:p>
    <w:p w14:paraId="1419863B" w14:textId="77777777" w:rsidR="00E93F58" w:rsidRPr="006E709F" w:rsidRDefault="00E93F58" w:rsidP="00A801D0">
      <w:pPr>
        <w:pStyle w:val="paragraphsub"/>
      </w:pPr>
      <w:r w:rsidRPr="006E709F">
        <w:tab/>
        <w:t>(i)</w:t>
      </w:r>
      <w:r w:rsidRPr="006E709F">
        <w:tab/>
        <w:t xml:space="preserve">assess whether the </w:t>
      </w:r>
      <w:r w:rsidRPr="00BE1284">
        <w:t>standard margin lending facility</w:t>
      </w:r>
      <w:r w:rsidRPr="006E709F">
        <w:t xml:space="preserve"> is unsuitable for the potential borrower for the </w:t>
      </w:r>
      <w:r w:rsidRPr="00BE1284">
        <w:t>standard margin lending facility</w:t>
      </w:r>
      <w:r w:rsidRPr="006E709F">
        <w:t>; and</w:t>
      </w:r>
    </w:p>
    <w:p w14:paraId="323F5396" w14:textId="77777777" w:rsidR="00E93F58" w:rsidRPr="006E709F" w:rsidRDefault="00E93F58" w:rsidP="00A801D0">
      <w:pPr>
        <w:pStyle w:val="paragraphsub"/>
      </w:pPr>
      <w:r w:rsidRPr="006E709F">
        <w:tab/>
        <w:t>(ii)</w:t>
      </w:r>
      <w:r w:rsidRPr="006E709F">
        <w:tab/>
        <w:t xml:space="preserve">if the potential borrower for the </w:t>
      </w:r>
      <w:r w:rsidRPr="00BE1284">
        <w:t>standard margin lending facility</w:t>
      </w:r>
      <w:r w:rsidRPr="006E709F">
        <w:t xml:space="preserve"> requests a copy of the assessment—to provide a copy of the assessment to the potential borrower for the </w:t>
      </w:r>
      <w:r w:rsidRPr="00BE1284">
        <w:t>standard margin lending facility</w:t>
      </w:r>
      <w:r w:rsidRPr="006E709F">
        <w:t>.</w:t>
      </w:r>
    </w:p>
    <w:p w14:paraId="42766647" w14:textId="77777777" w:rsidR="00E93F58" w:rsidRPr="006E709F" w:rsidRDefault="00E93F58" w:rsidP="00A801D0">
      <w:pPr>
        <w:pStyle w:val="notetext"/>
      </w:pPr>
      <w:r w:rsidRPr="006E709F">
        <w:t>Note:</w:t>
      </w:r>
      <w:r w:rsidRPr="006E709F">
        <w:tab/>
        <w:t xml:space="preserve">The provider of a </w:t>
      </w:r>
      <w:r w:rsidRPr="00BE1284">
        <w:t>standard margin lending facility</w:t>
      </w:r>
      <w:r w:rsidRPr="006E709F">
        <w:t xml:space="preserve"> is not required to give the borrower or potential borrower for the </w:t>
      </w:r>
      <w:r w:rsidRPr="00BE1284">
        <w:t>standard margin lending facility</w:t>
      </w:r>
      <w:r w:rsidRPr="006E709F">
        <w:t xml:space="preserve"> a copy of the assessment if the </w:t>
      </w:r>
      <w:r w:rsidRPr="00BE1284">
        <w:t>standard margin lending facility</w:t>
      </w:r>
      <w:r w:rsidRPr="006E709F">
        <w:t xml:space="preserve"> is not issued.</w:t>
      </w:r>
    </w:p>
    <w:p w14:paraId="533E81E4" w14:textId="77777777" w:rsidR="00E93F58" w:rsidRPr="006E709F" w:rsidRDefault="00E93F58" w:rsidP="00C93238">
      <w:pPr>
        <w:pStyle w:val="ActHead5"/>
      </w:pPr>
      <w:bookmarkStart w:id="3538" w:name="_Toc151992517"/>
      <w:bookmarkStart w:id="3539" w:name="_Toc158713554"/>
      <w:r w:rsidRPr="000C4237">
        <w:rPr>
          <w:rStyle w:val="CharSectno"/>
        </w:rPr>
        <w:t>4</w:t>
      </w:r>
      <w:r w:rsidRPr="006E709F">
        <w:t xml:space="preserve">  Contents of section 2 (Benefits of [name of </w:t>
      </w:r>
      <w:r w:rsidRPr="00DD0FD6">
        <w:t>standard margin lending facility</w:t>
      </w:r>
      <w:r w:rsidRPr="006E709F">
        <w:t>])</w:t>
      </w:r>
      <w:bookmarkEnd w:id="3538"/>
      <w:bookmarkEnd w:id="3539"/>
    </w:p>
    <w:p w14:paraId="2009E857" w14:textId="77777777" w:rsidR="00E93F58" w:rsidRPr="006E709F" w:rsidRDefault="00E93F58" w:rsidP="00A801D0">
      <w:pPr>
        <w:pStyle w:val="subsection"/>
      </w:pPr>
      <w:r w:rsidRPr="006E709F">
        <w:tab/>
        <w:t>(1)</w:t>
      </w:r>
      <w:r w:rsidRPr="006E709F">
        <w:tab/>
        <w:t xml:space="preserve">Section 2 of the Product Disclosure Statement for a </w:t>
      </w:r>
      <w:r w:rsidRPr="00BE1284">
        <w:t>standard margin lending facility</w:t>
      </w:r>
      <w:r w:rsidRPr="006E709F">
        <w:t xml:space="preserve"> must include a description of the key benefits available to the borrower or potential borrower for the </w:t>
      </w:r>
      <w:r w:rsidRPr="00BE1284">
        <w:t>standard margin lending facility</w:t>
      </w:r>
      <w:r w:rsidRPr="006E709F">
        <w:t>.</w:t>
      </w:r>
    </w:p>
    <w:p w14:paraId="37230349" w14:textId="77777777" w:rsidR="00E93F58" w:rsidRPr="006E709F" w:rsidRDefault="00E93F58" w:rsidP="00A801D0">
      <w:pPr>
        <w:pStyle w:val="subsection"/>
      </w:pPr>
      <w:r w:rsidRPr="006E709F">
        <w:tab/>
        <w:t>(2)</w:t>
      </w:r>
      <w:r w:rsidRPr="006E709F">
        <w:tab/>
        <w:t xml:space="preserve">Section 2 of the Statement may include a description about other benefits available to a borrower or potential borrower for the </w:t>
      </w:r>
      <w:r w:rsidRPr="00BE1284">
        <w:t>standard margin lending facility</w:t>
      </w:r>
      <w:r w:rsidRPr="006E709F">
        <w:t xml:space="preserve"> other than the benefits mentioned in subclause (1).</w:t>
      </w:r>
    </w:p>
    <w:p w14:paraId="5541CB67" w14:textId="77777777" w:rsidR="00E93F58" w:rsidRPr="006E709F" w:rsidRDefault="00E93F58" w:rsidP="00A801D0">
      <w:pPr>
        <w:pStyle w:val="subsection"/>
      </w:pPr>
      <w:r w:rsidRPr="006E709F">
        <w:tab/>
        <w:t>(3)</w:t>
      </w:r>
      <w:r w:rsidRPr="006E709F">
        <w:tab/>
        <w:t>Section 2 of the Statement may provide for the description mentioned in subclause (2) by applying, adopting or incorporating a matter in writing.</w:t>
      </w:r>
    </w:p>
    <w:p w14:paraId="58251DFC" w14:textId="77777777" w:rsidR="00E93F58" w:rsidRPr="006E709F" w:rsidRDefault="00E93F58" w:rsidP="00C93238">
      <w:pPr>
        <w:pStyle w:val="ActHead5"/>
      </w:pPr>
      <w:bookmarkStart w:id="3540" w:name="_Toc151992518"/>
      <w:bookmarkStart w:id="3541" w:name="_Toc158713555"/>
      <w:r w:rsidRPr="000C4237">
        <w:rPr>
          <w:rStyle w:val="CharSectno"/>
        </w:rPr>
        <w:t>5</w:t>
      </w:r>
      <w:r w:rsidRPr="006E709F">
        <w:t xml:space="preserve">  Contents of section 3 (How [name of </w:t>
      </w:r>
      <w:r w:rsidRPr="0051105F">
        <w:t>standard margin lending facility</w:t>
      </w:r>
      <w:r w:rsidRPr="006E709F">
        <w:t>] works)</w:t>
      </w:r>
      <w:bookmarkEnd w:id="3540"/>
      <w:bookmarkEnd w:id="3541"/>
    </w:p>
    <w:p w14:paraId="22FC3825" w14:textId="77777777" w:rsidR="00E93F58" w:rsidRPr="006E709F" w:rsidRDefault="00E93F58" w:rsidP="00A801D0">
      <w:pPr>
        <w:pStyle w:val="subsection"/>
      </w:pPr>
      <w:r w:rsidRPr="006E709F">
        <w:tab/>
        <w:t>(1)</w:t>
      </w:r>
      <w:r w:rsidRPr="006E709F">
        <w:tab/>
        <w:t xml:space="preserve">Section 3 of the Product Disclosure Statement for a </w:t>
      </w:r>
      <w:r w:rsidRPr="00BE1284">
        <w:t>standard margin lending facility</w:t>
      </w:r>
      <w:r w:rsidRPr="006E709F">
        <w:t xml:space="preserve"> must include:</w:t>
      </w:r>
    </w:p>
    <w:p w14:paraId="4102B6FD" w14:textId="77777777" w:rsidR="00E93F58" w:rsidRPr="006E709F" w:rsidRDefault="00E93F58" w:rsidP="00A801D0">
      <w:pPr>
        <w:pStyle w:val="paragraph"/>
      </w:pPr>
      <w:r w:rsidRPr="006E709F">
        <w:lastRenderedPageBreak/>
        <w:tab/>
        <w:t>(a)</w:t>
      </w:r>
      <w:r w:rsidRPr="006E709F">
        <w:tab/>
        <w:t xml:space="preserve">an explanation of how </w:t>
      </w:r>
      <w:r>
        <w:t xml:space="preserve">a </w:t>
      </w:r>
      <w:r w:rsidRPr="00BE1284">
        <w:t>standard margin lending facilit</w:t>
      </w:r>
      <w:r>
        <w:t>y</w:t>
      </w:r>
      <w:r w:rsidRPr="006E709F">
        <w:t xml:space="preserve"> works including information about the following:</w:t>
      </w:r>
    </w:p>
    <w:p w14:paraId="2032CFB2" w14:textId="77777777" w:rsidR="00E93F58" w:rsidRPr="006E709F" w:rsidRDefault="00E93F58" w:rsidP="00A801D0">
      <w:pPr>
        <w:pStyle w:val="paragraphsub"/>
      </w:pPr>
      <w:r w:rsidRPr="006E709F">
        <w:tab/>
        <w:t>(i)</w:t>
      </w:r>
      <w:r w:rsidRPr="006E709F">
        <w:tab/>
        <w:t xml:space="preserve">the maximum loan amount for the </w:t>
      </w:r>
      <w:r w:rsidRPr="00BE1284">
        <w:t>standard margin lending facility</w:t>
      </w:r>
      <w:r w:rsidRPr="006E709F">
        <w:t>;</w:t>
      </w:r>
    </w:p>
    <w:p w14:paraId="58569397" w14:textId="77777777" w:rsidR="00E93F58" w:rsidRPr="006E709F" w:rsidRDefault="00E93F58" w:rsidP="00A801D0">
      <w:pPr>
        <w:pStyle w:val="paragraphsub"/>
      </w:pPr>
      <w:r w:rsidRPr="006E709F">
        <w:tab/>
        <w:t>(ii)</w:t>
      </w:r>
      <w:r w:rsidRPr="006E709F">
        <w:tab/>
        <w:t>the loan</w:t>
      </w:r>
      <w:r>
        <w:noBreakHyphen/>
      </w:r>
      <w:r w:rsidRPr="006E709F">
        <w:t>to</w:t>
      </w:r>
      <w:r>
        <w:noBreakHyphen/>
      </w:r>
      <w:r w:rsidRPr="006E709F">
        <w:t xml:space="preserve">value ratios for the </w:t>
      </w:r>
      <w:r w:rsidRPr="00BE1284">
        <w:t>standard margin lending facility</w:t>
      </w:r>
      <w:r w:rsidRPr="006E709F">
        <w:t>; and</w:t>
      </w:r>
    </w:p>
    <w:p w14:paraId="0C68DCFA" w14:textId="77777777" w:rsidR="00E93F58" w:rsidRPr="006E709F" w:rsidRDefault="00E93F58" w:rsidP="00A801D0">
      <w:pPr>
        <w:pStyle w:val="paragraph"/>
      </w:pPr>
      <w:r w:rsidRPr="006E709F">
        <w:tab/>
        <w:t>(b)</w:t>
      </w:r>
      <w:r w:rsidRPr="006E709F">
        <w:tab/>
        <w:t>at least 1 example that illustrates the matters mentioned in subparagraphs (a)(i) and (ii); and</w:t>
      </w:r>
    </w:p>
    <w:p w14:paraId="2DF2237C" w14:textId="77777777" w:rsidR="00E93F58" w:rsidRPr="006E709F" w:rsidRDefault="00E93F58" w:rsidP="00A801D0">
      <w:pPr>
        <w:pStyle w:val="paragraph"/>
      </w:pPr>
      <w:r w:rsidRPr="006E709F">
        <w:tab/>
        <w:t>(c)</w:t>
      </w:r>
      <w:r w:rsidRPr="006E709F">
        <w:tab/>
        <w:t xml:space="preserve">a description of the financial products that the borrower or potential borrower for the </w:t>
      </w:r>
      <w:r w:rsidRPr="00BE1284">
        <w:t>standard margin lending facility</w:t>
      </w:r>
      <w:r w:rsidRPr="006E709F">
        <w:t xml:space="preserve"> can purchase with the </w:t>
      </w:r>
      <w:r w:rsidRPr="00BE1284">
        <w:t>standard margin lending facility</w:t>
      </w:r>
      <w:r w:rsidRPr="006E709F">
        <w:t xml:space="preserve"> (including the Approved Securities List for the provider or potential provider of the </w:t>
      </w:r>
      <w:r w:rsidRPr="00BE1284">
        <w:t>standard margin lending facility</w:t>
      </w:r>
      <w:r w:rsidRPr="006E709F">
        <w:t>); and</w:t>
      </w:r>
    </w:p>
    <w:p w14:paraId="3D481C85" w14:textId="77777777" w:rsidR="00E93F58" w:rsidRPr="006E709F" w:rsidRDefault="00E93F58" w:rsidP="00A801D0">
      <w:pPr>
        <w:pStyle w:val="paragraph"/>
      </w:pPr>
      <w:r w:rsidRPr="006E709F">
        <w:tab/>
        <w:t>(d)</w:t>
      </w:r>
      <w:r w:rsidRPr="006E709F">
        <w:tab/>
        <w:t xml:space="preserve">an explanation of who owns the investments purchased with the </w:t>
      </w:r>
      <w:r w:rsidRPr="00BE1284">
        <w:t>standard margin lending facility</w:t>
      </w:r>
      <w:r w:rsidRPr="006E709F">
        <w:t>; and</w:t>
      </w:r>
    </w:p>
    <w:p w14:paraId="127AF74E" w14:textId="77777777" w:rsidR="00E93F58" w:rsidRPr="006E709F" w:rsidRDefault="00E93F58" w:rsidP="00A801D0">
      <w:pPr>
        <w:pStyle w:val="paragraph"/>
      </w:pPr>
      <w:r w:rsidRPr="006E709F">
        <w:tab/>
        <w:t>(e)</w:t>
      </w:r>
      <w:r w:rsidRPr="006E709F">
        <w:tab/>
        <w:t>a statement that:</w:t>
      </w:r>
    </w:p>
    <w:p w14:paraId="126E2EC6" w14:textId="77777777" w:rsidR="00E93F58" w:rsidRPr="006E709F" w:rsidRDefault="00E93F58" w:rsidP="00A801D0">
      <w:pPr>
        <w:pStyle w:val="paragraphsub"/>
      </w:pPr>
      <w:r w:rsidRPr="006E709F">
        <w:tab/>
        <w:t>(i)</w:t>
      </w:r>
      <w:r w:rsidRPr="006E709F">
        <w:tab/>
        <w:t xml:space="preserve">details of the rights and obligations of the borrower for a </w:t>
      </w:r>
      <w:r w:rsidRPr="00BE1284">
        <w:t>standard margin lending facility</w:t>
      </w:r>
      <w:r w:rsidRPr="006E709F">
        <w:t xml:space="preserve"> are set out in the terms of the agreement for the </w:t>
      </w:r>
      <w:r w:rsidRPr="00BE1284">
        <w:t>standard margin lending facility</w:t>
      </w:r>
      <w:r w:rsidRPr="006E709F">
        <w:t>; and</w:t>
      </w:r>
    </w:p>
    <w:p w14:paraId="280527B1" w14:textId="77777777" w:rsidR="00E93F58" w:rsidRPr="006E709F" w:rsidRDefault="00E93F58" w:rsidP="00A801D0">
      <w:pPr>
        <w:pStyle w:val="paragraphsub"/>
      </w:pPr>
      <w:r w:rsidRPr="006E709F">
        <w:tab/>
        <w:t>(ii)</w:t>
      </w:r>
      <w:r w:rsidRPr="006E709F">
        <w:tab/>
        <w:t xml:space="preserve">recommends that a potential borrower for a </w:t>
      </w:r>
      <w:r w:rsidRPr="00BE1284">
        <w:t>standard margin lending facility</w:t>
      </w:r>
      <w:r w:rsidRPr="006E709F">
        <w:t xml:space="preserve"> read the loan agreement; and</w:t>
      </w:r>
    </w:p>
    <w:p w14:paraId="68D068E5" w14:textId="77777777" w:rsidR="00E93F58" w:rsidRPr="006E709F" w:rsidRDefault="00E93F58" w:rsidP="00A801D0">
      <w:pPr>
        <w:pStyle w:val="paragraphsub"/>
      </w:pPr>
      <w:r w:rsidRPr="006E709F">
        <w:tab/>
        <w:t>(iii)</w:t>
      </w:r>
      <w:r w:rsidRPr="006E709F">
        <w:tab/>
        <w:t>explains how a potential borrower can obtain a copy of the loan agreement; and</w:t>
      </w:r>
    </w:p>
    <w:p w14:paraId="1E5510DB" w14:textId="77777777" w:rsidR="00E93F58" w:rsidRPr="006E709F" w:rsidRDefault="00E93F58" w:rsidP="00A801D0">
      <w:pPr>
        <w:pStyle w:val="paragraph"/>
      </w:pPr>
      <w:r w:rsidRPr="006E709F">
        <w:tab/>
        <w:t>(f)</w:t>
      </w:r>
      <w:r w:rsidRPr="006E709F">
        <w:tab/>
        <w:t xml:space="preserve">an explanation of any other features of the </w:t>
      </w:r>
      <w:r w:rsidRPr="00BE1284">
        <w:t>standard margin lending facility</w:t>
      </w:r>
      <w:r w:rsidRPr="006E709F">
        <w:t xml:space="preserve"> that:</w:t>
      </w:r>
    </w:p>
    <w:p w14:paraId="4074581B" w14:textId="77777777" w:rsidR="00E93F58" w:rsidRPr="006E709F" w:rsidRDefault="00E93F58" w:rsidP="00A801D0">
      <w:pPr>
        <w:pStyle w:val="paragraphsub"/>
      </w:pPr>
      <w:r w:rsidRPr="006E709F">
        <w:tab/>
        <w:t>(i)</w:t>
      </w:r>
      <w:r w:rsidRPr="006E709F">
        <w:tab/>
        <w:t>are not covered by the matters mentioned in paragraphs (a), (c) and (d); and</w:t>
      </w:r>
    </w:p>
    <w:p w14:paraId="4A64E6A4" w14:textId="77777777" w:rsidR="00E93F58" w:rsidRPr="006E709F" w:rsidRDefault="00E93F58" w:rsidP="00A801D0">
      <w:pPr>
        <w:pStyle w:val="paragraphsub"/>
      </w:pPr>
      <w:r w:rsidRPr="006E709F">
        <w:tab/>
        <w:t>(ii)</w:t>
      </w:r>
      <w:r w:rsidRPr="006E709F">
        <w:tab/>
        <w:t xml:space="preserve">are sufficiently important to be material to a reasonable person’s decision to take out the </w:t>
      </w:r>
      <w:r w:rsidRPr="00BE1284">
        <w:t>standard margin lending facility</w:t>
      </w:r>
      <w:r w:rsidRPr="006E709F">
        <w:t>; and</w:t>
      </w:r>
    </w:p>
    <w:p w14:paraId="1BF0EB76" w14:textId="77777777" w:rsidR="00E93F58" w:rsidRPr="006E709F" w:rsidRDefault="00E93F58" w:rsidP="00A801D0">
      <w:pPr>
        <w:pStyle w:val="paragraph"/>
      </w:pPr>
      <w:r w:rsidRPr="006E709F">
        <w:tab/>
        <w:t>(g)</w:t>
      </w:r>
      <w:r w:rsidRPr="006E709F">
        <w:tab/>
        <w:t>a reference to:</w:t>
      </w:r>
    </w:p>
    <w:p w14:paraId="0485C518" w14:textId="77777777" w:rsidR="00E93F58" w:rsidRPr="006E709F" w:rsidRDefault="00E93F58" w:rsidP="00A801D0">
      <w:pPr>
        <w:pStyle w:val="paragraphsub"/>
      </w:pPr>
      <w:r w:rsidRPr="006E709F">
        <w:tab/>
        <w:t>(i)</w:t>
      </w:r>
      <w:r w:rsidRPr="006E709F">
        <w:tab/>
        <w:t>the calculator provided on a website operated by or on behalf of the Commonwealth and an explanation of the assistance the calculator can provide; or</w:t>
      </w:r>
    </w:p>
    <w:p w14:paraId="1AE6D82D" w14:textId="77777777" w:rsidR="00E93F58" w:rsidRPr="006E709F" w:rsidRDefault="00E93F58" w:rsidP="00A801D0">
      <w:pPr>
        <w:pStyle w:val="paragraphsub"/>
      </w:pPr>
      <w:r w:rsidRPr="006E709F">
        <w:tab/>
        <w:t>(ii)</w:t>
      </w:r>
      <w:r w:rsidRPr="006E709F">
        <w:tab/>
        <w:t xml:space="preserve">if the provider or potential provider of the </w:t>
      </w:r>
      <w:r w:rsidRPr="00BE1284">
        <w:t>standard margin lending facility</w:t>
      </w:r>
      <w:r w:rsidRPr="006E709F">
        <w:t xml:space="preserve"> provides a calculator to borrowers or potential borrowers for the </w:t>
      </w:r>
      <w:r w:rsidRPr="00BE1284">
        <w:t>standard margin lending facility</w:t>
      </w:r>
      <w:r w:rsidRPr="006E709F">
        <w:t>—that calculator and an explanation of the assistance the calculator can provide.</w:t>
      </w:r>
    </w:p>
    <w:p w14:paraId="25000181" w14:textId="77777777" w:rsidR="00E93F58" w:rsidRPr="006E709F" w:rsidRDefault="00E93F58" w:rsidP="00A801D0">
      <w:pPr>
        <w:pStyle w:val="subsection"/>
      </w:pPr>
      <w:r w:rsidRPr="006E709F">
        <w:tab/>
        <w:t>(2)</w:t>
      </w:r>
      <w:r w:rsidRPr="006E709F">
        <w:tab/>
        <w:t>Section 3 of the Statement may provide for the following matters by applying, adopting or incorporating the matter in writing:</w:t>
      </w:r>
    </w:p>
    <w:p w14:paraId="0C466C76" w14:textId="77777777" w:rsidR="00E93F58" w:rsidRPr="006E709F" w:rsidRDefault="00E93F58" w:rsidP="00A801D0">
      <w:pPr>
        <w:pStyle w:val="paragraph"/>
      </w:pPr>
      <w:r w:rsidRPr="006E709F">
        <w:tab/>
        <w:t>(a)</w:t>
      </w:r>
      <w:r w:rsidRPr="006E709F">
        <w:tab/>
        <w:t>the Approved Securities List;</w:t>
      </w:r>
    </w:p>
    <w:p w14:paraId="04BB9FFF" w14:textId="77777777" w:rsidR="00E93F58" w:rsidRPr="006E709F" w:rsidRDefault="00E93F58" w:rsidP="00A801D0">
      <w:pPr>
        <w:pStyle w:val="paragraph"/>
      </w:pPr>
      <w:r w:rsidRPr="006E709F">
        <w:tab/>
        <w:t>(b)</w:t>
      </w:r>
      <w:r w:rsidRPr="006E709F">
        <w:tab/>
        <w:t>the explanation mentioned in paragraph (1)(f).</w:t>
      </w:r>
    </w:p>
    <w:p w14:paraId="2CF5A4CC" w14:textId="77777777" w:rsidR="00E93F58" w:rsidRPr="006E709F" w:rsidRDefault="00E93F58" w:rsidP="00C93238">
      <w:pPr>
        <w:pStyle w:val="ActHead5"/>
      </w:pPr>
      <w:bookmarkStart w:id="3542" w:name="_Toc151992519"/>
      <w:bookmarkStart w:id="3543" w:name="_Toc158713556"/>
      <w:r w:rsidRPr="000C4237">
        <w:rPr>
          <w:rStyle w:val="CharSectno"/>
        </w:rPr>
        <w:t>6</w:t>
      </w:r>
      <w:r w:rsidRPr="006E709F">
        <w:t xml:space="preserve">  Contents of section 4 (What is a margin call?)</w:t>
      </w:r>
      <w:bookmarkEnd w:id="3542"/>
      <w:bookmarkEnd w:id="3543"/>
    </w:p>
    <w:p w14:paraId="66BFF18F" w14:textId="77777777" w:rsidR="00E93F58" w:rsidRPr="006E709F" w:rsidRDefault="00E93F58" w:rsidP="00A801D0">
      <w:pPr>
        <w:pStyle w:val="subsection"/>
      </w:pPr>
      <w:r w:rsidRPr="006E709F">
        <w:tab/>
      </w:r>
      <w:r w:rsidRPr="006E709F">
        <w:tab/>
        <w:t xml:space="preserve">Section 4 of the Product Disclosure Statement for a </w:t>
      </w:r>
      <w:r w:rsidRPr="00BE1284">
        <w:t>standard margin lending facility</w:t>
      </w:r>
      <w:r w:rsidRPr="006E709F">
        <w:t xml:space="preserve"> must include:</w:t>
      </w:r>
    </w:p>
    <w:p w14:paraId="6CA2F7C7" w14:textId="77777777" w:rsidR="00E93F58" w:rsidRPr="006E709F" w:rsidRDefault="00E93F58" w:rsidP="00A801D0">
      <w:pPr>
        <w:pStyle w:val="paragraph"/>
      </w:pPr>
      <w:r w:rsidRPr="006E709F">
        <w:tab/>
        <w:t>(a)</w:t>
      </w:r>
      <w:r w:rsidRPr="006E709F">
        <w:tab/>
        <w:t xml:space="preserve">if the terms of the </w:t>
      </w:r>
      <w:r w:rsidRPr="00BE1284">
        <w:t>standard margin lending facility</w:t>
      </w:r>
      <w:r w:rsidRPr="006E709F">
        <w:t xml:space="preserve"> include a margin call:</w:t>
      </w:r>
    </w:p>
    <w:p w14:paraId="43087EA9" w14:textId="77777777" w:rsidR="00E93F58" w:rsidRPr="006E709F" w:rsidRDefault="00E93F58" w:rsidP="00A801D0">
      <w:pPr>
        <w:pStyle w:val="paragraphsub"/>
      </w:pPr>
      <w:r w:rsidRPr="006E709F">
        <w:tab/>
        <w:t>(i)</w:t>
      </w:r>
      <w:r w:rsidRPr="006E709F">
        <w:tab/>
        <w:t>an explanation of what a margin call is; and</w:t>
      </w:r>
    </w:p>
    <w:p w14:paraId="37EFEC7E" w14:textId="77777777" w:rsidR="00E93F58" w:rsidRPr="006E709F" w:rsidRDefault="00E93F58" w:rsidP="00A801D0">
      <w:pPr>
        <w:pStyle w:val="paragraphsub"/>
      </w:pPr>
      <w:r w:rsidRPr="006E709F">
        <w:tab/>
        <w:t>(ii)</w:t>
      </w:r>
      <w:r w:rsidRPr="006E709F">
        <w:tab/>
        <w:t>an explanation of when there will be a margin call in response to changes in the market; and</w:t>
      </w:r>
    </w:p>
    <w:p w14:paraId="0A50621D" w14:textId="77777777" w:rsidR="00E93F58" w:rsidRPr="006E709F" w:rsidRDefault="00E93F58" w:rsidP="00A801D0">
      <w:pPr>
        <w:pStyle w:val="paragraphsub"/>
      </w:pPr>
      <w:r w:rsidRPr="006E709F">
        <w:tab/>
        <w:t>(iii)</w:t>
      </w:r>
      <w:r w:rsidRPr="006E709F">
        <w:tab/>
        <w:t xml:space="preserve">an explanation of when there will be a margin call at the discretion of the provider of the </w:t>
      </w:r>
      <w:r w:rsidRPr="00BE1284">
        <w:t>standard margin lending facility</w:t>
      </w:r>
      <w:r w:rsidRPr="006E709F">
        <w:t>; and</w:t>
      </w:r>
    </w:p>
    <w:p w14:paraId="48D098D3" w14:textId="77777777" w:rsidR="00E93F58" w:rsidRPr="006E709F" w:rsidRDefault="00E93F58" w:rsidP="00A801D0">
      <w:pPr>
        <w:pStyle w:val="paragraphsub"/>
      </w:pPr>
      <w:r w:rsidRPr="006E709F">
        <w:tab/>
        <w:t>(iv)</w:t>
      </w:r>
      <w:r w:rsidRPr="006E709F">
        <w:tab/>
        <w:t>at least 1 example of how a margin call works, including:</w:t>
      </w:r>
    </w:p>
    <w:p w14:paraId="0583A987" w14:textId="77777777" w:rsidR="00E93F58" w:rsidRPr="006E709F" w:rsidRDefault="00E93F58" w:rsidP="00A801D0">
      <w:pPr>
        <w:pStyle w:val="paragraphsub-sub"/>
      </w:pPr>
      <w:r w:rsidRPr="006E709F">
        <w:tab/>
        <w:t>(A)</w:t>
      </w:r>
      <w:r w:rsidRPr="006E709F">
        <w:tab/>
        <w:t>the impact of breaching the loan</w:t>
      </w:r>
      <w:r>
        <w:noBreakHyphen/>
      </w:r>
      <w:r w:rsidRPr="006E709F">
        <w:t>to</w:t>
      </w:r>
      <w:r>
        <w:noBreakHyphen/>
      </w:r>
      <w:r w:rsidRPr="006E709F">
        <w:t>value ratio (</w:t>
      </w:r>
      <w:r w:rsidRPr="006E709F">
        <w:rPr>
          <w:b/>
          <w:i/>
        </w:rPr>
        <w:t>LVR</w:t>
      </w:r>
      <w:r w:rsidRPr="006E709F">
        <w:t xml:space="preserve">) for the </w:t>
      </w:r>
      <w:r w:rsidRPr="00BE1284">
        <w:t>standard margin lending facility</w:t>
      </w:r>
      <w:r w:rsidRPr="006E709F">
        <w:t>; and</w:t>
      </w:r>
    </w:p>
    <w:p w14:paraId="270B4F79" w14:textId="77777777" w:rsidR="00E93F58" w:rsidRPr="006E709F" w:rsidRDefault="00E93F58" w:rsidP="00A801D0">
      <w:pPr>
        <w:pStyle w:val="paragraphsub-sub"/>
      </w:pPr>
      <w:r w:rsidRPr="006E709F">
        <w:tab/>
        <w:t>(B)</w:t>
      </w:r>
      <w:r w:rsidRPr="006E709F">
        <w:tab/>
        <w:t xml:space="preserve">how to adjust the LVR back to the required level for the </w:t>
      </w:r>
      <w:r w:rsidRPr="00BE1284">
        <w:t>standard margin lending facility</w:t>
      </w:r>
      <w:r w:rsidRPr="006E709F">
        <w:t>; and</w:t>
      </w:r>
    </w:p>
    <w:p w14:paraId="77F4ADF8" w14:textId="77777777" w:rsidR="00E93F58" w:rsidRPr="006E709F" w:rsidRDefault="00E93F58" w:rsidP="00A801D0">
      <w:pPr>
        <w:pStyle w:val="paragraphsub-sub"/>
      </w:pPr>
      <w:r w:rsidRPr="006E709F">
        <w:tab/>
        <w:t>(C)</w:t>
      </w:r>
      <w:r w:rsidRPr="006E709F">
        <w:tab/>
        <w:t xml:space="preserve">how the buffer (if any) for the </w:t>
      </w:r>
      <w:r w:rsidRPr="00BE1284">
        <w:t>standard margin lending facility</w:t>
      </w:r>
      <w:r w:rsidRPr="006E709F">
        <w:t xml:space="preserve"> operates; and</w:t>
      </w:r>
    </w:p>
    <w:p w14:paraId="00C2FB35" w14:textId="77777777" w:rsidR="00E93F58" w:rsidRPr="006E709F" w:rsidRDefault="00E93F58" w:rsidP="00A801D0">
      <w:pPr>
        <w:pStyle w:val="paragraphsub"/>
      </w:pPr>
      <w:r w:rsidRPr="006E709F">
        <w:tab/>
        <w:t>(v)</w:t>
      </w:r>
      <w:r w:rsidRPr="006E709F">
        <w:tab/>
        <w:t xml:space="preserve">a description of how a margin call can be dealt with by the borrower for the </w:t>
      </w:r>
      <w:r w:rsidRPr="00BE1284">
        <w:t>standard margin lending facility</w:t>
      </w:r>
      <w:r w:rsidRPr="006E709F">
        <w:t>; and</w:t>
      </w:r>
    </w:p>
    <w:p w14:paraId="532BDA53" w14:textId="77777777" w:rsidR="00E93F58" w:rsidRPr="006E709F" w:rsidRDefault="00E93F58" w:rsidP="00A801D0">
      <w:pPr>
        <w:pStyle w:val="paragraphsub"/>
      </w:pPr>
      <w:r w:rsidRPr="006E709F">
        <w:tab/>
        <w:t>(vi)</w:t>
      </w:r>
      <w:r w:rsidRPr="006E709F">
        <w:tab/>
        <w:t xml:space="preserve">a statement that if there is a margin call, the provider of the </w:t>
      </w:r>
      <w:r w:rsidRPr="00BE1284">
        <w:t>standard margin lending facility</w:t>
      </w:r>
      <w:r w:rsidRPr="006E709F">
        <w:t xml:space="preserve"> will notify the borrower for the </w:t>
      </w:r>
      <w:r w:rsidRPr="00BE1284">
        <w:t>standard margin lending facility</w:t>
      </w:r>
      <w:r w:rsidRPr="006E709F">
        <w:t>, or the borrower’s financial advisor, that the margin call has occurred; and</w:t>
      </w:r>
    </w:p>
    <w:p w14:paraId="5463733A" w14:textId="77777777" w:rsidR="00E93F58" w:rsidRPr="006E709F" w:rsidRDefault="00E93F58" w:rsidP="00A801D0">
      <w:pPr>
        <w:pStyle w:val="paragraphsub"/>
      </w:pPr>
      <w:r w:rsidRPr="006E709F">
        <w:tab/>
        <w:t>(vii)</w:t>
      </w:r>
      <w:r w:rsidRPr="006E709F">
        <w:tab/>
        <w:t xml:space="preserve">a statement that the borrower for the </w:t>
      </w:r>
      <w:r w:rsidRPr="00BE1284">
        <w:t>standard margin lending facility</w:t>
      </w:r>
      <w:r w:rsidRPr="006E709F">
        <w:t xml:space="preserve"> must be contactable at all times in case of a margin call; and</w:t>
      </w:r>
    </w:p>
    <w:p w14:paraId="06484B8B" w14:textId="77777777" w:rsidR="00E93F58" w:rsidRPr="006E709F" w:rsidRDefault="00E93F58" w:rsidP="00A801D0">
      <w:pPr>
        <w:pStyle w:val="paragraph"/>
      </w:pPr>
      <w:r w:rsidRPr="006E709F">
        <w:tab/>
        <w:t>(b)</w:t>
      </w:r>
      <w:r w:rsidRPr="006E709F">
        <w:tab/>
        <w:t xml:space="preserve">if the terms of the </w:t>
      </w:r>
      <w:r w:rsidRPr="00BE1284">
        <w:t>standard margin lending facility</w:t>
      </w:r>
      <w:r w:rsidRPr="006E709F">
        <w:t xml:space="preserve"> do not include a margin call, a statement to that effect.</w:t>
      </w:r>
    </w:p>
    <w:p w14:paraId="1E86D450" w14:textId="77777777" w:rsidR="00E93F58" w:rsidRPr="006E709F" w:rsidRDefault="00E93F58" w:rsidP="00C93238">
      <w:pPr>
        <w:pStyle w:val="ActHead5"/>
      </w:pPr>
      <w:bookmarkStart w:id="3544" w:name="_Toc151992520"/>
      <w:bookmarkStart w:id="3545" w:name="_Toc158713557"/>
      <w:r w:rsidRPr="000C4237">
        <w:rPr>
          <w:rStyle w:val="CharSectno"/>
        </w:rPr>
        <w:lastRenderedPageBreak/>
        <w:t>7</w:t>
      </w:r>
      <w:r w:rsidRPr="006E709F">
        <w:t xml:space="preserve">  Contents of section 5 (The risk of losing money)</w:t>
      </w:r>
      <w:bookmarkEnd w:id="3544"/>
      <w:bookmarkEnd w:id="3545"/>
    </w:p>
    <w:p w14:paraId="358BB91C" w14:textId="77777777" w:rsidR="00E93F58" w:rsidRPr="006E709F" w:rsidRDefault="00E93F58" w:rsidP="00A801D0">
      <w:pPr>
        <w:pStyle w:val="subsection"/>
      </w:pPr>
      <w:r w:rsidRPr="006E709F">
        <w:tab/>
        <w:t>(1)</w:t>
      </w:r>
      <w:r w:rsidRPr="006E709F">
        <w:tab/>
        <w:t xml:space="preserve">Section 5 of the Product Disclosure Statement for </w:t>
      </w:r>
      <w:r w:rsidRPr="00BE1284">
        <w:t xml:space="preserve">a standard margin lending facility must include a description of the risks associated with </w:t>
      </w:r>
      <w:r>
        <w:t xml:space="preserve">a </w:t>
      </w:r>
      <w:r w:rsidRPr="00BE1284">
        <w:t>standard margin lending facilit</w:t>
      </w:r>
      <w:r>
        <w:t>y</w:t>
      </w:r>
      <w:r w:rsidRPr="00BE1284">
        <w:t xml:space="preserve"> to a borrower for the standard margin lending facility</w:t>
      </w:r>
      <w:r w:rsidRPr="006E709F">
        <w:t>, including a description of any of the following risks, if relevant:</w:t>
      </w:r>
    </w:p>
    <w:p w14:paraId="4C493BEA" w14:textId="77777777" w:rsidR="00E93F58" w:rsidRPr="006E709F" w:rsidRDefault="00E93F58" w:rsidP="00A801D0">
      <w:pPr>
        <w:pStyle w:val="paragraph"/>
      </w:pPr>
      <w:r w:rsidRPr="006E709F">
        <w:tab/>
        <w:t>(a)</w:t>
      </w:r>
      <w:r w:rsidRPr="006E709F">
        <w:tab/>
        <w:t>the risk that the value of the borrower’s investment may fall and the possible consequences to the borrower if this occurs, in particular the risk of a margin call occurring;</w:t>
      </w:r>
    </w:p>
    <w:p w14:paraId="308C6A8F" w14:textId="77777777" w:rsidR="00E93F58" w:rsidRPr="006E709F" w:rsidRDefault="00E93F58" w:rsidP="00A801D0">
      <w:pPr>
        <w:pStyle w:val="paragraph"/>
      </w:pPr>
      <w:r w:rsidRPr="006E709F">
        <w:tab/>
        <w:t>(b)</w:t>
      </w:r>
      <w:r w:rsidRPr="006E709F">
        <w:tab/>
        <w:t xml:space="preserve">the risk that the provider of the </w:t>
      </w:r>
      <w:r w:rsidRPr="00BE1284">
        <w:t>standard margin lending facility</w:t>
      </w:r>
      <w:r w:rsidRPr="006E709F">
        <w:t xml:space="preserve"> may change the loan</w:t>
      </w:r>
      <w:r>
        <w:noBreakHyphen/>
      </w:r>
      <w:r w:rsidRPr="006E709F">
        <w:t>to</w:t>
      </w:r>
      <w:r>
        <w:noBreakHyphen/>
      </w:r>
      <w:r w:rsidRPr="006E709F">
        <w:t>value ratio of an investment at any time and the consequences to the borrower of the change, in particular, the risk of a margin call occurring;</w:t>
      </w:r>
    </w:p>
    <w:p w14:paraId="15E0AEAB" w14:textId="77777777" w:rsidR="00E93F58" w:rsidRPr="006E709F" w:rsidRDefault="00E93F58" w:rsidP="00A801D0">
      <w:pPr>
        <w:pStyle w:val="paragraph"/>
      </w:pPr>
      <w:r w:rsidRPr="006E709F">
        <w:tab/>
        <w:t>(c)</w:t>
      </w:r>
      <w:r w:rsidRPr="006E709F">
        <w:tab/>
        <w:t xml:space="preserve">the risk that the provider of the </w:t>
      </w:r>
      <w:r w:rsidRPr="00BE1284">
        <w:t>standard margin lending facility</w:t>
      </w:r>
      <w:r w:rsidRPr="006E709F">
        <w:t xml:space="preserve"> may remove an investment from the Approved Securities List and the consequences for the borrower if this occurs, in particular, the risk of a margin call occurring;</w:t>
      </w:r>
    </w:p>
    <w:p w14:paraId="67998ADE" w14:textId="77777777" w:rsidR="00E93F58" w:rsidRPr="006E709F" w:rsidRDefault="00E93F58" w:rsidP="00A801D0">
      <w:pPr>
        <w:pStyle w:val="paragraph"/>
      </w:pPr>
      <w:r w:rsidRPr="006E709F">
        <w:tab/>
        <w:t>(d)</w:t>
      </w:r>
      <w:r w:rsidRPr="006E709F">
        <w:tab/>
        <w:t xml:space="preserve">the risk that the interest rate for the </w:t>
      </w:r>
      <w:r w:rsidRPr="00BE1284">
        <w:t>standard margin lending facility</w:t>
      </w:r>
      <w:r w:rsidRPr="006E709F">
        <w:t xml:space="preserve"> may rise and the consequences for the borrower if this occurs, in particular, the possibility that interest payments owed by the borrower may exceed the returns available from the borrower’s portfolio;</w:t>
      </w:r>
    </w:p>
    <w:p w14:paraId="0871620F" w14:textId="77777777" w:rsidR="00E93F58" w:rsidRPr="006E709F" w:rsidRDefault="00E93F58" w:rsidP="00A801D0">
      <w:pPr>
        <w:pStyle w:val="paragraph"/>
      </w:pPr>
      <w:r w:rsidRPr="006E709F">
        <w:tab/>
        <w:t>(e)</w:t>
      </w:r>
      <w:r w:rsidRPr="006E709F">
        <w:tab/>
        <w:t xml:space="preserve">the risk of the loss of property of the borrower if the property has been mortgaged as security for, or in connection with, the </w:t>
      </w:r>
      <w:r w:rsidRPr="00BE1284">
        <w:t>standard margin lending facility</w:t>
      </w:r>
      <w:r w:rsidRPr="006E709F">
        <w:t>;</w:t>
      </w:r>
    </w:p>
    <w:p w14:paraId="00CB9326" w14:textId="77777777" w:rsidR="00E93F58" w:rsidRPr="006E709F" w:rsidRDefault="00E93F58" w:rsidP="00A801D0">
      <w:pPr>
        <w:pStyle w:val="paragraph"/>
      </w:pPr>
      <w:r w:rsidRPr="006E709F">
        <w:tab/>
        <w:t>(f)</w:t>
      </w:r>
      <w:r w:rsidRPr="006E709F">
        <w:tab/>
        <w:t>the risk of a default event under the loan agreement occurring and the potential consequences for the borrower if a default event does occur;</w:t>
      </w:r>
    </w:p>
    <w:p w14:paraId="1CD8C70A" w14:textId="77777777" w:rsidR="00E93F58" w:rsidRPr="006E709F" w:rsidRDefault="00E93F58" w:rsidP="00A801D0">
      <w:pPr>
        <w:pStyle w:val="paragraph"/>
      </w:pPr>
      <w:r w:rsidRPr="006E709F">
        <w:tab/>
        <w:t>(g)</w:t>
      </w:r>
      <w:r w:rsidRPr="006E709F">
        <w:tab/>
        <w:t xml:space="preserve">the risk that the taxation laws may change and that this may have a negative effect on the tax position for the borrower for the </w:t>
      </w:r>
      <w:r w:rsidRPr="00BE1284">
        <w:t>standard margin lending facility</w:t>
      </w:r>
      <w:r w:rsidRPr="006E709F">
        <w:t>;</w:t>
      </w:r>
    </w:p>
    <w:p w14:paraId="435880E2" w14:textId="77777777" w:rsidR="00E93F58" w:rsidRPr="006E709F" w:rsidRDefault="00E93F58" w:rsidP="00A801D0">
      <w:pPr>
        <w:pStyle w:val="paragraph"/>
      </w:pPr>
      <w:r w:rsidRPr="006E709F">
        <w:tab/>
        <w:t>(h)</w:t>
      </w:r>
      <w:r w:rsidRPr="006E709F">
        <w:tab/>
        <w:t xml:space="preserve">any other significant risks that a reasonable person would consider to be relevantly associated with the </w:t>
      </w:r>
      <w:r w:rsidRPr="00BE1284">
        <w:t>standard margin lending facility</w:t>
      </w:r>
      <w:r w:rsidRPr="006E709F">
        <w:t>.</w:t>
      </w:r>
    </w:p>
    <w:p w14:paraId="35553090" w14:textId="77777777" w:rsidR="00E93F58" w:rsidRPr="006E709F" w:rsidRDefault="00E93F58" w:rsidP="00A801D0">
      <w:pPr>
        <w:pStyle w:val="subsection"/>
      </w:pPr>
      <w:r w:rsidRPr="006E709F">
        <w:tab/>
        <w:t>(2)</w:t>
      </w:r>
      <w:r w:rsidRPr="006E709F">
        <w:tab/>
        <w:t xml:space="preserve">Section 5 of the Statement must include a hyperlink to the page on a website operated by or on behalf of the Commonwealth that provides information about </w:t>
      </w:r>
      <w:r w:rsidRPr="00BE1284">
        <w:t>standard margin lending facilities</w:t>
      </w:r>
      <w:r w:rsidRPr="006E709F">
        <w:t>.</w:t>
      </w:r>
    </w:p>
    <w:p w14:paraId="2034C700" w14:textId="77777777" w:rsidR="00E93F58" w:rsidRPr="006E709F" w:rsidRDefault="00E93F58" w:rsidP="00A801D0">
      <w:pPr>
        <w:pStyle w:val="subsection"/>
      </w:pPr>
      <w:r w:rsidRPr="006E709F">
        <w:tab/>
        <w:t>(3)</w:t>
      </w:r>
      <w:r w:rsidRPr="006E709F">
        <w:tab/>
        <w:t xml:space="preserve">Section 5 of the Statement may include information about risks associated with </w:t>
      </w:r>
      <w:r w:rsidRPr="00BE1284">
        <w:t>standard margin lending facilities</w:t>
      </w:r>
      <w:r w:rsidRPr="006E709F">
        <w:t xml:space="preserve"> other than the risks mentioned in subclause (1).</w:t>
      </w:r>
    </w:p>
    <w:p w14:paraId="23C317CE" w14:textId="77777777" w:rsidR="00E93F58" w:rsidRPr="006E709F" w:rsidRDefault="00E93F58" w:rsidP="00A801D0">
      <w:pPr>
        <w:pStyle w:val="subsection"/>
      </w:pPr>
      <w:r w:rsidRPr="006E709F">
        <w:tab/>
        <w:t>(4)</w:t>
      </w:r>
      <w:r w:rsidRPr="006E709F">
        <w:tab/>
        <w:t>Section 5 of the Statement may provide for the information mentioned in subclause (3) by applying, adopting or incorporating a matter in writing.</w:t>
      </w:r>
    </w:p>
    <w:p w14:paraId="0E74F449" w14:textId="77777777" w:rsidR="00E93F58" w:rsidRPr="006E709F" w:rsidRDefault="00E93F58" w:rsidP="00C93238">
      <w:pPr>
        <w:pStyle w:val="ActHead5"/>
      </w:pPr>
      <w:bookmarkStart w:id="3546" w:name="_Toc151992521"/>
      <w:bookmarkStart w:id="3547" w:name="_Toc158713558"/>
      <w:r w:rsidRPr="000C4237">
        <w:rPr>
          <w:rStyle w:val="CharSectno"/>
        </w:rPr>
        <w:t>8</w:t>
      </w:r>
      <w:r w:rsidRPr="006E709F">
        <w:t xml:space="preserve">  Contents of section 6 (The costs)</w:t>
      </w:r>
      <w:bookmarkEnd w:id="3546"/>
      <w:bookmarkEnd w:id="3547"/>
    </w:p>
    <w:p w14:paraId="37CC3BB5" w14:textId="77777777" w:rsidR="00E93F58" w:rsidRPr="006E709F" w:rsidRDefault="00E93F58" w:rsidP="00A801D0">
      <w:pPr>
        <w:pStyle w:val="subsection"/>
      </w:pPr>
      <w:r w:rsidRPr="006E709F">
        <w:tab/>
        <w:t>(1)</w:t>
      </w:r>
      <w:r w:rsidRPr="006E709F">
        <w:tab/>
        <w:t xml:space="preserve">Section 6 of the Product Disclosure Statement for a </w:t>
      </w:r>
      <w:r w:rsidRPr="00BE1284">
        <w:t>standard margin lending facility</w:t>
      </w:r>
      <w:r w:rsidRPr="006E709F">
        <w:t xml:space="preserve"> must include the following:</w:t>
      </w:r>
    </w:p>
    <w:p w14:paraId="311B6885" w14:textId="77777777" w:rsidR="00E93F58" w:rsidRPr="006E709F" w:rsidRDefault="00E93F58" w:rsidP="00A801D0">
      <w:pPr>
        <w:pStyle w:val="paragraph"/>
      </w:pPr>
      <w:r w:rsidRPr="006E709F">
        <w:tab/>
        <w:t>(a)</w:t>
      </w:r>
      <w:r w:rsidRPr="006E709F">
        <w:tab/>
        <w:t xml:space="preserve">a description of the interest rate for the </w:t>
      </w:r>
      <w:r w:rsidRPr="00BE1284">
        <w:t>standard margin lending facility</w:t>
      </w:r>
      <w:r w:rsidRPr="006E709F">
        <w:t>, including how the interest rate is calculated;</w:t>
      </w:r>
    </w:p>
    <w:p w14:paraId="03858106" w14:textId="77777777" w:rsidR="00E93F58" w:rsidRPr="006E709F" w:rsidRDefault="00E93F58" w:rsidP="00A801D0">
      <w:pPr>
        <w:pStyle w:val="paragraph"/>
      </w:pPr>
      <w:r w:rsidRPr="006E709F">
        <w:tab/>
        <w:t>(b)</w:t>
      </w:r>
      <w:r w:rsidRPr="006E709F">
        <w:tab/>
        <w:t xml:space="preserve">a statement about whether a default interest rate will be charged for the </w:t>
      </w:r>
      <w:r w:rsidRPr="00BE1284">
        <w:t>standard margin lending facility</w:t>
      </w:r>
      <w:r w:rsidRPr="006E709F">
        <w:t>;</w:t>
      </w:r>
    </w:p>
    <w:p w14:paraId="33B37A54" w14:textId="77777777" w:rsidR="00E93F58" w:rsidRPr="006E709F" w:rsidRDefault="00E93F58" w:rsidP="00A801D0">
      <w:pPr>
        <w:pStyle w:val="paragraph"/>
      </w:pPr>
      <w:r w:rsidRPr="006E709F">
        <w:tab/>
        <w:t>(c)</w:t>
      </w:r>
      <w:r w:rsidRPr="006E709F">
        <w:tab/>
        <w:t xml:space="preserve">details of any fee or cost to be charged by the provider of the </w:t>
      </w:r>
      <w:r w:rsidRPr="00BE1284">
        <w:t>standard margin lending facility</w:t>
      </w:r>
      <w:r w:rsidRPr="006E709F">
        <w:t>, unless the fee is a minor fee;</w:t>
      </w:r>
    </w:p>
    <w:p w14:paraId="0768B65F" w14:textId="77777777" w:rsidR="00E93F58" w:rsidRPr="006E709F" w:rsidRDefault="00E93F58" w:rsidP="00A801D0">
      <w:pPr>
        <w:pStyle w:val="paragraph"/>
      </w:pPr>
      <w:r w:rsidRPr="006E709F">
        <w:tab/>
        <w:t>(d)</w:t>
      </w:r>
      <w:r w:rsidRPr="006E709F">
        <w:tab/>
        <w:t>a statement about whether a fee or cost to be charged by the provider for the loan can be unilaterally changed by the provider under the loan agreement;</w:t>
      </w:r>
    </w:p>
    <w:p w14:paraId="5729036C" w14:textId="77777777" w:rsidR="00E93F58" w:rsidRPr="006E709F" w:rsidRDefault="00E93F58" w:rsidP="00A801D0">
      <w:pPr>
        <w:pStyle w:val="paragraph"/>
      </w:pPr>
      <w:r w:rsidRPr="006E709F">
        <w:tab/>
        <w:t>(e)</w:t>
      </w:r>
      <w:r w:rsidRPr="006E709F">
        <w:tab/>
        <w:t xml:space="preserve">a list of matters for which the provider of the </w:t>
      </w:r>
      <w:r w:rsidRPr="00BE1284">
        <w:t>standard margin lending facility</w:t>
      </w:r>
      <w:r w:rsidRPr="006E709F">
        <w:t xml:space="preserve"> will charge a minor fee for the </w:t>
      </w:r>
      <w:r w:rsidRPr="00BE1284">
        <w:t>standard margin lending facility</w:t>
      </w:r>
      <w:r w:rsidRPr="006E709F">
        <w:t>;</w:t>
      </w:r>
    </w:p>
    <w:p w14:paraId="5B7526D1" w14:textId="77777777" w:rsidR="00E93F58" w:rsidRPr="006E709F" w:rsidRDefault="00E93F58" w:rsidP="00A801D0">
      <w:pPr>
        <w:pStyle w:val="paragraph"/>
      </w:pPr>
      <w:r w:rsidRPr="006E709F">
        <w:tab/>
        <w:t>(f)</w:t>
      </w:r>
      <w:r w:rsidRPr="006E709F">
        <w:tab/>
        <w:t xml:space="preserve">a statement about whether a commission or fee is payable to a financial advisor or other third party for the </w:t>
      </w:r>
      <w:r w:rsidRPr="00BE1284">
        <w:t>standard margin lending facility</w:t>
      </w:r>
      <w:r w:rsidRPr="006E709F">
        <w:t xml:space="preserve"> and, if a commission or fee is payable:</w:t>
      </w:r>
    </w:p>
    <w:p w14:paraId="385EFEF0" w14:textId="77777777" w:rsidR="00E93F58" w:rsidRPr="006E709F" w:rsidRDefault="00E93F58" w:rsidP="00A801D0">
      <w:pPr>
        <w:pStyle w:val="paragraphsub"/>
      </w:pPr>
      <w:r w:rsidRPr="006E709F">
        <w:tab/>
        <w:t>(i)</w:t>
      </w:r>
      <w:r w:rsidRPr="006E709F">
        <w:tab/>
        <w:t>the circumstances in which the commission or fee will be payable; and</w:t>
      </w:r>
    </w:p>
    <w:p w14:paraId="2F66FCF4" w14:textId="77777777" w:rsidR="00E93F58" w:rsidRPr="006E709F" w:rsidRDefault="00E93F58" w:rsidP="00A801D0">
      <w:pPr>
        <w:pStyle w:val="paragraphsub"/>
      </w:pPr>
      <w:r w:rsidRPr="006E709F">
        <w:tab/>
        <w:t>(ii)</w:t>
      </w:r>
      <w:r w:rsidRPr="006E709F">
        <w:tab/>
        <w:t xml:space="preserve">how the borrower for the </w:t>
      </w:r>
      <w:r w:rsidRPr="00BE1284">
        <w:t>standard margin lending facility</w:t>
      </w:r>
      <w:r w:rsidRPr="006E709F">
        <w:t xml:space="preserve"> can obtain more detailed information about the commission or fee.</w:t>
      </w:r>
    </w:p>
    <w:p w14:paraId="1D02E639" w14:textId="77777777" w:rsidR="00E93F58" w:rsidRPr="006E709F" w:rsidRDefault="00E93F58" w:rsidP="00A801D0">
      <w:pPr>
        <w:pStyle w:val="subsection"/>
      </w:pPr>
      <w:r w:rsidRPr="006E709F">
        <w:tab/>
        <w:t>(2)</w:t>
      </w:r>
      <w:r w:rsidRPr="006E709F">
        <w:tab/>
        <w:t>Section 6 of the Statement must include:</w:t>
      </w:r>
    </w:p>
    <w:p w14:paraId="1346DA6C" w14:textId="77777777" w:rsidR="00E93F58" w:rsidRPr="006E709F" w:rsidRDefault="00E93F58" w:rsidP="00A801D0">
      <w:pPr>
        <w:pStyle w:val="paragraph"/>
      </w:pPr>
      <w:r w:rsidRPr="006E709F">
        <w:tab/>
        <w:t>(a)</w:t>
      </w:r>
      <w:r w:rsidRPr="006E709F">
        <w:tab/>
        <w:t xml:space="preserve">a statement of the interest rate for the </w:t>
      </w:r>
      <w:r w:rsidRPr="00BE1284">
        <w:t>standard margin lending facility</w:t>
      </w:r>
      <w:r w:rsidRPr="006E709F">
        <w:t>; and</w:t>
      </w:r>
    </w:p>
    <w:p w14:paraId="2036202D" w14:textId="77777777" w:rsidR="00E93F58" w:rsidRPr="006E709F" w:rsidRDefault="00E93F58" w:rsidP="00A801D0">
      <w:pPr>
        <w:pStyle w:val="paragraph"/>
      </w:pPr>
      <w:r w:rsidRPr="006E709F">
        <w:tab/>
        <w:t>(b)</w:t>
      </w:r>
      <w:r w:rsidRPr="006E709F">
        <w:tab/>
        <w:t xml:space="preserve">details of any minor fee the provider of the </w:t>
      </w:r>
      <w:r w:rsidRPr="00BE1284">
        <w:t>standard margin lending facility</w:t>
      </w:r>
      <w:r w:rsidRPr="006E709F">
        <w:t xml:space="preserve"> will charge for the </w:t>
      </w:r>
      <w:r w:rsidRPr="00BE1284">
        <w:t>standard margin lending facility</w:t>
      </w:r>
      <w:r w:rsidRPr="006E709F">
        <w:t>.</w:t>
      </w:r>
    </w:p>
    <w:p w14:paraId="577D2800" w14:textId="77777777" w:rsidR="00E93F58" w:rsidRPr="006E709F" w:rsidRDefault="00E93F58" w:rsidP="00A801D0">
      <w:pPr>
        <w:pStyle w:val="subsection"/>
      </w:pPr>
      <w:r w:rsidRPr="006E709F">
        <w:lastRenderedPageBreak/>
        <w:tab/>
        <w:t>(3)</w:t>
      </w:r>
      <w:r w:rsidRPr="006E709F">
        <w:tab/>
        <w:t>Section 6 of the Statement may provide for the statement mentioned in paragraph (2)(a) or the details mentioned in paragraph (2)(b) by applying, adopting or incorporating a matter in writing</w:t>
      </w:r>
    </w:p>
    <w:p w14:paraId="7774770A" w14:textId="77777777" w:rsidR="00E93F58" w:rsidRPr="006E709F" w:rsidRDefault="00E93F58" w:rsidP="00C93238">
      <w:pPr>
        <w:pStyle w:val="ActHead5"/>
      </w:pPr>
      <w:bookmarkStart w:id="3548" w:name="_Toc151992522"/>
      <w:bookmarkStart w:id="3549" w:name="_Toc158713559"/>
      <w:r w:rsidRPr="000C4237">
        <w:rPr>
          <w:rStyle w:val="CharSectno"/>
        </w:rPr>
        <w:t>9</w:t>
      </w:r>
      <w:r w:rsidRPr="006E709F">
        <w:t xml:space="preserve">  Contents of section 7 (How to apply)</w:t>
      </w:r>
      <w:bookmarkEnd w:id="3548"/>
      <w:bookmarkEnd w:id="3549"/>
    </w:p>
    <w:p w14:paraId="4A07C22E" w14:textId="77777777" w:rsidR="00E93F58" w:rsidRPr="006E709F" w:rsidRDefault="00E93F58" w:rsidP="00A801D0">
      <w:pPr>
        <w:pStyle w:val="subsection"/>
      </w:pPr>
      <w:r w:rsidRPr="006E709F">
        <w:tab/>
        <w:t>(1)</w:t>
      </w:r>
      <w:r w:rsidRPr="006E709F">
        <w:tab/>
        <w:t xml:space="preserve">Section 7 of the Product Disclosure Statement for a </w:t>
      </w:r>
      <w:r w:rsidRPr="00BE1284">
        <w:t>standard margin lending facility</w:t>
      </w:r>
      <w:r w:rsidRPr="006E709F">
        <w:t xml:space="preserve"> must include:</w:t>
      </w:r>
    </w:p>
    <w:p w14:paraId="26B128D1" w14:textId="77777777" w:rsidR="00E93F58" w:rsidRPr="006E709F" w:rsidRDefault="00E93F58" w:rsidP="00A801D0">
      <w:pPr>
        <w:pStyle w:val="paragraph"/>
      </w:pPr>
      <w:r w:rsidRPr="006E709F">
        <w:tab/>
        <w:t>(a)</w:t>
      </w:r>
      <w:r w:rsidRPr="006E709F">
        <w:tab/>
        <w:t xml:space="preserve">information about how to apply for the </w:t>
      </w:r>
      <w:r w:rsidRPr="00BE1284">
        <w:t>standard margin lending facility</w:t>
      </w:r>
      <w:r w:rsidRPr="006E709F">
        <w:t>; and</w:t>
      </w:r>
    </w:p>
    <w:p w14:paraId="7577A60D" w14:textId="77777777" w:rsidR="00E93F58" w:rsidRPr="006E709F" w:rsidRDefault="00E93F58" w:rsidP="00A801D0">
      <w:pPr>
        <w:pStyle w:val="paragraph"/>
      </w:pPr>
      <w:r w:rsidRPr="006E709F">
        <w:tab/>
        <w:t>(b)</w:t>
      </w:r>
      <w:r w:rsidRPr="006E709F">
        <w:tab/>
        <w:t xml:space="preserve">a short summary about the dispute resolution system the provider of the </w:t>
      </w:r>
      <w:r w:rsidRPr="00BE1284">
        <w:t>standard margin lending facility</w:t>
      </w:r>
      <w:r w:rsidRPr="006E709F">
        <w:t xml:space="preserve"> has for dealing with disputes or complaints about the loan, including:</w:t>
      </w:r>
    </w:p>
    <w:p w14:paraId="0A2A2F8C" w14:textId="77777777" w:rsidR="00E93F58" w:rsidRPr="006E709F" w:rsidRDefault="00E93F58" w:rsidP="00A801D0">
      <w:pPr>
        <w:pStyle w:val="paragraphsub"/>
      </w:pPr>
      <w:r w:rsidRPr="006E709F">
        <w:tab/>
        <w:t>(i)</w:t>
      </w:r>
      <w:r w:rsidRPr="006E709F">
        <w:tab/>
        <w:t>how a borrower for the loan may make a complaint about the loan; and</w:t>
      </w:r>
    </w:p>
    <w:p w14:paraId="0F6EB3DA" w14:textId="77777777" w:rsidR="00E93F58" w:rsidRPr="006E709F" w:rsidRDefault="00E93F58" w:rsidP="00A801D0">
      <w:pPr>
        <w:pStyle w:val="paragraphsub"/>
      </w:pPr>
      <w:r w:rsidRPr="006E709F">
        <w:tab/>
        <w:t>(ii)</w:t>
      </w:r>
      <w:r w:rsidRPr="006E709F">
        <w:tab/>
        <w:t>contact details for making a complaint about the loan.</w:t>
      </w:r>
    </w:p>
    <w:p w14:paraId="24F66932" w14:textId="77777777" w:rsidR="00E93F58" w:rsidRPr="006E709F" w:rsidRDefault="00E93F58" w:rsidP="00A801D0">
      <w:pPr>
        <w:pStyle w:val="subsection"/>
      </w:pPr>
      <w:r w:rsidRPr="006E709F">
        <w:tab/>
        <w:t>(2)</w:t>
      </w:r>
      <w:r w:rsidRPr="006E709F">
        <w:tab/>
        <w:t xml:space="preserve">The </w:t>
      </w:r>
      <w:r w:rsidRPr="00BE1284">
        <w:t>standard margin lending facility</w:t>
      </w:r>
      <w:r w:rsidRPr="006E709F">
        <w:t xml:space="preserve"> provider:</w:t>
      </w:r>
    </w:p>
    <w:p w14:paraId="1C2E6315" w14:textId="77777777" w:rsidR="00E93F58" w:rsidRPr="006E709F" w:rsidRDefault="00E93F58" w:rsidP="00A801D0">
      <w:pPr>
        <w:pStyle w:val="paragraph"/>
      </w:pPr>
      <w:r w:rsidRPr="006E709F">
        <w:tab/>
        <w:t>(a)</w:t>
      </w:r>
      <w:r w:rsidRPr="006E709F">
        <w:tab/>
        <w:t>may provide more detailed information about cooling</w:t>
      </w:r>
      <w:r>
        <w:noBreakHyphen/>
      </w:r>
      <w:r w:rsidRPr="006E709F">
        <w:t>off periods, complaints and dispute resolution; and</w:t>
      </w:r>
    </w:p>
    <w:p w14:paraId="3A9BCDC8" w14:textId="77777777" w:rsidR="00E93F58" w:rsidRPr="006E709F" w:rsidRDefault="00E93F58" w:rsidP="00A801D0">
      <w:pPr>
        <w:pStyle w:val="paragraph"/>
      </w:pPr>
      <w:r w:rsidRPr="006E709F">
        <w:tab/>
        <w:t>(b)</w:t>
      </w:r>
      <w:r w:rsidRPr="006E709F">
        <w:tab/>
        <w:t>may provide that information by applying, adopting or incorporating a matter in writing.</w:t>
      </w:r>
    </w:p>
    <w:p w14:paraId="0632517E" w14:textId="77777777" w:rsidR="00E93F58" w:rsidRPr="006E709F" w:rsidRDefault="00E93F58" w:rsidP="00C93238">
      <w:pPr>
        <w:pStyle w:val="ActHead1"/>
        <w:pageBreakBefore/>
        <w:spacing w:before="240"/>
      </w:pPr>
      <w:bookmarkStart w:id="3550" w:name="_Toc151992523"/>
      <w:bookmarkStart w:id="3551" w:name="_Toc158713560"/>
      <w:r w:rsidRPr="000C4237">
        <w:rPr>
          <w:rStyle w:val="CharChapNo"/>
        </w:rPr>
        <w:lastRenderedPageBreak/>
        <w:t>Schedule 10D</w:t>
      </w:r>
      <w:r w:rsidRPr="006E709F">
        <w:t>—</w:t>
      </w:r>
      <w:r w:rsidRPr="000C4237">
        <w:rPr>
          <w:rStyle w:val="CharChapText"/>
        </w:rPr>
        <w:t>Form and content of Product Disclosure Statement—superannuation product to which Subdivision 4.2B of Division 4 of Part 7.9 applies</w:t>
      </w:r>
      <w:bookmarkEnd w:id="3550"/>
      <w:bookmarkEnd w:id="3551"/>
    </w:p>
    <w:p w14:paraId="536D0E76" w14:textId="77777777" w:rsidR="00E93F58" w:rsidRPr="006E709F" w:rsidRDefault="00E93F58" w:rsidP="00A801D0">
      <w:pPr>
        <w:pStyle w:val="notemargin"/>
      </w:pPr>
      <w:r w:rsidRPr="006E709F">
        <w:t>(regulation 7.9.11O)</w:t>
      </w:r>
    </w:p>
    <w:p w14:paraId="19D0ADD8" w14:textId="77777777" w:rsidR="00E93F58" w:rsidRPr="006E709F" w:rsidRDefault="00E93F58" w:rsidP="003638DE">
      <w:pPr>
        <w:pStyle w:val="Header"/>
      </w:pPr>
      <w:r w:rsidRPr="000C4237">
        <w:rPr>
          <w:rStyle w:val="CharPartNo"/>
        </w:rPr>
        <w:t xml:space="preserve"> </w:t>
      </w:r>
      <w:r w:rsidRPr="000C4237">
        <w:rPr>
          <w:rStyle w:val="CharPartText"/>
        </w:rPr>
        <w:t xml:space="preserve"> </w:t>
      </w:r>
    </w:p>
    <w:p w14:paraId="75A9FD4D" w14:textId="77777777" w:rsidR="00E93F58" w:rsidRPr="006E709F" w:rsidRDefault="00E93F58" w:rsidP="00A801D0">
      <w:pPr>
        <w:pStyle w:val="ActHead5"/>
      </w:pPr>
      <w:bookmarkStart w:id="3552" w:name="_Toc151992524"/>
      <w:bookmarkStart w:id="3553" w:name="_Toc158713561"/>
      <w:r w:rsidRPr="000C4237">
        <w:rPr>
          <w:rStyle w:val="CharSectno"/>
        </w:rPr>
        <w:t>1</w:t>
      </w:r>
      <w:r w:rsidRPr="006E709F">
        <w:t xml:space="preserve">  Length and font size for Product Disclosure Statement for superannuation product</w:t>
      </w:r>
      <w:bookmarkEnd w:id="3552"/>
      <w:bookmarkEnd w:id="3553"/>
    </w:p>
    <w:p w14:paraId="156757E7" w14:textId="77777777" w:rsidR="00E93F58" w:rsidRPr="006E709F" w:rsidRDefault="00E93F58" w:rsidP="00A801D0">
      <w:pPr>
        <w:pStyle w:val="subsection"/>
      </w:pPr>
      <w:r w:rsidRPr="006E709F">
        <w:tab/>
        <w:t>(1)</w:t>
      </w:r>
      <w:r w:rsidRPr="006E709F">
        <w:tab/>
        <w:t>The length of a Product Disclosure Statement for a superannuation product to which Subdivision 4.2B of Division 4 of Part 7.9 applies (not including any matter in writing that is applied, adopted or incorporated by the Statement) must not exceed:</w:t>
      </w:r>
    </w:p>
    <w:p w14:paraId="38A4062B" w14:textId="77777777" w:rsidR="00E93F58" w:rsidRPr="006E709F" w:rsidRDefault="00E93F58" w:rsidP="00A801D0">
      <w:pPr>
        <w:pStyle w:val="paragraph"/>
      </w:pPr>
      <w:r w:rsidRPr="006E709F">
        <w:tab/>
        <w:t>(a)</w:t>
      </w:r>
      <w:r w:rsidRPr="006E709F">
        <w:tab/>
        <w:t>if it is printed on A4 pages—8 pages; or</w:t>
      </w:r>
    </w:p>
    <w:p w14:paraId="078D83E1" w14:textId="77777777" w:rsidR="00E93F58" w:rsidRPr="006E709F" w:rsidRDefault="00E93F58" w:rsidP="00A801D0">
      <w:pPr>
        <w:pStyle w:val="paragraph"/>
      </w:pPr>
      <w:r w:rsidRPr="006E709F">
        <w:tab/>
        <w:t>(b)</w:t>
      </w:r>
      <w:r w:rsidRPr="006E709F">
        <w:tab/>
        <w:t>if it is printed on A5 pages—16 pages; or</w:t>
      </w:r>
    </w:p>
    <w:p w14:paraId="5B090390" w14:textId="77777777" w:rsidR="00E93F58" w:rsidRPr="006E709F" w:rsidRDefault="00E93F58" w:rsidP="00A801D0">
      <w:pPr>
        <w:pStyle w:val="paragraph"/>
      </w:pPr>
      <w:r w:rsidRPr="006E709F">
        <w:tab/>
        <w:t>(c)</w:t>
      </w:r>
      <w:r w:rsidRPr="006E709F">
        <w:tab/>
        <w:t>if it is printed on DL pages—24 pages; or</w:t>
      </w:r>
    </w:p>
    <w:p w14:paraId="03DA8754" w14:textId="77777777" w:rsidR="00E93F58" w:rsidRPr="006E709F" w:rsidRDefault="00E93F58" w:rsidP="00A801D0">
      <w:pPr>
        <w:pStyle w:val="paragraph"/>
      </w:pPr>
      <w:r w:rsidRPr="006E709F">
        <w:tab/>
        <w:t>(d)</w:t>
      </w:r>
      <w:r w:rsidRPr="006E709F">
        <w:tab/>
        <w:t>otherwise—if it is formatted to be printed on A4 pages, 8 A4 pages.</w:t>
      </w:r>
    </w:p>
    <w:p w14:paraId="71865716" w14:textId="77777777" w:rsidR="00E93F58" w:rsidRPr="006E709F" w:rsidRDefault="00E93F58" w:rsidP="00A801D0">
      <w:pPr>
        <w:pStyle w:val="subsection"/>
      </w:pPr>
      <w:r w:rsidRPr="006E709F">
        <w:tab/>
        <w:t>(2)</w:t>
      </w:r>
      <w:r w:rsidRPr="006E709F">
        <w:tab/>
        <w:t>The minimum font size for text in the Statement is:</w:t>
      </w:r>
    </w:p>
    <w:p w14:paraId="49C7E253" w14:textId="77777777" w:rsidR="00E93F58" w:rsidRPr="006E709F" w:rsidRDefault="00E93F58" w:rsidP="00A801D0">
      <w:pPr>
        <w:pStyle w:val="paragraph"/>
      </w:pPr>
      <w:r w:rsidRPr="006E709F">
        <w:tab/>
        <w:t>(a)</w:t>
      </w:r>
      <w:r w:rsidRPr="006E709F">
        <w:tab/>
        <w:t>for the name, address, ABN (if applicable), ACN (if applicable) and AFSL (if applicable) of the person giving the Statement—8 points; and</w:t>
      </w:r>
    </w:p>
    <w:p w14:paraId="14426365" w14:textId="77777777" w:rsidR="00E93F58" w:rsidRPr="006E709F" w:rsidRDefault="00E93F58" w:rsidP="00A801D0">
      <w:pPr>
        <w:pStyle w:val="paragraph"/>
      </w:pPr>
      <w:r w:rsidRPr="006E709F">
        <w:tab/>
        <w:t>(b)</w:t>
      </w:r>
      <w:r w:rsidRPr="006E709F">
        <w:tab/>
        <w:t>for all other text—9 points.</w:t>
      </w:r>
    </w:p>
    <w:p w14:paraId="51EBD9FB" w14:textId="77777777" w:rsidR="00E93F58" w:rsidRPr="006E709F" w:rsidRDefault="00E93F58" w:rsidP="00A801D0">
      <w:pPr>
        <w:pStyle w:val="notetext"/>
      </w:pPr>
      <w:r w:rsidRPr="006E709F">
        <w:t>Note 1:</w:t>
      </w:r>
      <w:r w:rsidRPr="006E709F">
        <w:tab/>
        <w:t>The Product Disclosure Statement must be worded and presented in a clear, concise and effective manner—see subsection 1013C(3) of the Act.</w:t>
      </w:r>
    </w:p>
    <w:p w14:paraId="6016462D" w14:textId="77777777" w:rsidR="00E93F58" w:rsidRPr="006E709F" w:rsidRDefault="00E93F58" w:rsidP="00A801D0">
      <w:pPr>
        <w:pStyle w:val="notetext"/>
      </w:pPr>
      <w:r w:rsidRPr="006E709F">
        <w:t>Note 2:</w:t>
      </w:r>
      <w:r w:rsidRPr="006E709F">
        <w:tab/>
        <w:t>A person required to a give a Product Disclosure Statement to a vision</w:t>
      </w:r>
      <w:r>
        <w:noBreakHyphen/>
      </w:r>
      <w:r w:rsidRPr="006E709F">
        <w:t xml:space="preserve">impaired person must comply with its obligations under the </w:t>
      </w:r>
      <w:r w:rsidRPr="006E709F">
        <w:rPr>
          <w:i/>
        </w:rPr>
        <w:t>Disability Discrimination Act 1992</w:t>
      </w:r>
      <w:r w:rsidRPr="006E709F">
        <w:t>.</w:t>
      </w:r>
    </w:p>
    <w:p w14:paraId="518F1DF0" w14:textId="77777777" w:rsidR="00E93F58" w:rsidRPr="006E709F" w:rsidRDefault="00E93F58" w:rsidP="00A801D0">
      <w:pPr>
        <w:pStyle w:val="ActHead5"/>
      </w:pPr>
      <w:bookmarkStart w:id="3554" w:name="_Toc151992525"/>
      <w:bookmarkStart w:id="3555" w:name="_Toc158713562"/>
      <w:r w:rsidRPr="000C4237">
        <w:rPr>
          <w:rStyle w:val="CharSectno"/>
        </w:rPr>
        <w:t>2</w:t>
      </w:r>
      <w:r w:rsidRPr="006E709F">
        <w:t xml:space="preserve">  Minimum content of Product Disclosure Statement for superannuation product</w:t>
      </w:r>
      <w:bookmarkEnd w:id="3554"/>
      <w:bookmarkEnd w:id="3555"/>
    </w:p>
    <w:p w14:paraId="7A7C681C" w14:textId="77777777" w:rsidR="00E93F58" w:rsidRPr="006E709F" w:rsidRDefault="00E93F58" w:rsidP="00A801D0">
      <w:pPr>
        <w:pStyle w:val="subsection"/>
      </w:pPr>
      <w:r w:rsidRPr="006E709F">
        <w:tab/>
        <w:t>(1)</w:t>
      </w:r>
      <w:r w:rsidRPr="006E709F">
        <w:tab/>
        <w:t>Subject to subclause 10(1), the Product Disclosure Statement must include sections which must be numbered and titled as follows:</w:t>
      </w:r>
    </w:p>
    <w:p w14:paraId="11B2F7E8" w14:textId="77777777" w:rsidR="00E93F58" w:rsidRPr="006E709F" w:rsidRDefault="00E93F58" w:rsidP="0048795D">
      <w:pPr>
        <w:pStyle w:val="paragraph"/>
      </w:pPr>
      <w:r w:rsidRPr="006E709F">
        <w:tab/>
        <w:t>1.</w:t>
      </w:r>
      <w:r w:rsidRPr="006E709F">
        <w:tab/>
        <w:t>About [name of superannuation product]</w:t>
      </w:r>
    </w:p>
    <w:p w14:paraId="19DD2AF8" w14:textId="77777777" w:rsidR="00E93F58" w:rsidRPr="006E709F" w:rsidRDefault="00E93F58" w:rsidP="0048795D">
      <w:pPr>
        <w:pStyle w:val="paragraph"/>
      </w:pPr>
      <w:r w:rsidRPr="006E709F">
        <w:tab/>
        <w:t>2.</w:t>
      </w:r>
      <w:r w:rsidRPr="006E709F">
        <w:tab/>
        <w:t>How super works</w:t>
      </w:r>
    </w:p>
    <w:p w14:paraId="54C61B99" w14:textId="77777777" w:rsidR="00E93F58" w:rsidRPr="006E709F" w:rsidRDefault="00E93F58" w:rsidP="0048795D">
      <w:pPr>
        <w:pStyle w:val="paragraph"/>
      </w:pPr>
      <w:r w:rsidRPr="006E709F">
        <w:tab/>
        <w:t>3.</w:t>
      </w:r>
      <w:r w:rsidRPr="006E709F">
        <w:tab/>
        <w:t>Benefits of investing with [name of superannuation product]</w:t>
      </w:r>
    </w:p>
    <w:p w14:paraId="4F1D9C91" w14:textId="77777777" w:rsidR="00E93F58" w:rsidRPr="006E709F" w:rsidRDefault="00E93F58" w:rsidP="0048795D">
      <w:pPr>
        <w:pStyle w:val="paragraph"/>
      </w:pPr>
      <w:r w:rsidRPr="006E709F">
        <w:tab/>
        <w:t>4.</w:t>
      </w:r>
      <w:r w:rsidRPr="006E709F">
        <w:tab/>
        <w:t>Risks of super</w:t>
      </w:r>
    </w:p>
    <w:p w14:paraId="3E0C344D" w14:textId="77777777" w:rsidR="00E93F58" w:rsidRPr="006E709F" w:rsidRDefault="00E93F58" w:rsidP="0048795D">
      <w:pPr>
        <w:pStyle w:val="paragraph"/>
      </w:pPr>
      <w:r w:rsidRPr="006E709F">
        <w:tab/>
        <w:t>5.</w:t>
      </w:r>
      <w:r w:rsidRPr="006E709F">
        <w:tab/>
        <w:t>How we invest your money</w:t>
      </w:r>
    </w:p>
    <w:p w14:paraId="753F4EB4" w14:textId="77777777" w:rsidR="00E93F58" w:rsidRPr="006E709F" w:rsidRDefault="00E93F58" w:rsidP="0048795D">
      <w:pPr>
        <w:pStyle w:val="paragraph"/>
      </w:pPr>
      <w:r w:rsidRPr="006E709F">
        <w:tab/>
        <w:t>6.</w:t>
      </w:r>
      <w:r w:rsidRPr="006E709F">
        <w:tab/>
        <w:t>Fees and costs</w:t>
      </w:r>
    </w:p>
    <w:p w14:paraId="18BB3C57" w14:textId="77777777" w:rsidR="00E93F58" w:rsidRPr="006E709F" w:rsidRDefault="00E93F58" w:rsidP="0048795D">
      <w:pPr>
        <w:pStyle w:val="paragraph"/>
      </w:pPr>
      <w:r w:rsidRPr="006E709F">
        <w:tab/>
        <w:t>7.</w:t>
      </w:r>
      <w:r w:rsidRPr="006E709F">
        <w:tab/>
        <w:t>How super is taxed</w:t>
      </w:r>
    </w:p>
    <w:p w14:paraId="62068D47" w14:textId="77777777" w:rsidR="00E93F58" w:rsidRPr="006E709F" w:rsidRDefault="00E93F58" w:rsidP="0048795D">
      <w:pPr>
        <w:pStyle w:val="paragraph"/>
      </w:pPr>
      <w:r w:rsidRPr="006E709F">
        <w:tab/>
        <w:t>8.</w:t>
      </w:r>
      <w:r w:rsidRPr="006E709F">
        <w:tab/>
        <w:t>Insurance in your super</w:t>
      </w:r>
    </w:p>
    <w:p w14:paraId="3066B50F" w14:textId="77777777" w:rsidR="00E93F58" w:rsidRPr="006E709F" w:rsidRDefault="00E93F58" w:rsidP="0048795D">
      <w:pPr>
        <w:pStyle w:val="paragraph"/>
      </w:pPr>
      <w:r w:rsidRPr="006E709F">
        <w:tab/>
        <w:t>9.</w:t>
      </w:r>
      <w:r w:rsidRPr="006E709F">
        <w:tab/>
        <w:t>How to open an account.</w:t>
      </w:r>
    </w:p>
    <w:p w14:paraId="6F3CD93D" w14:textId="77777777" w:rsidR="00E93F58" w:rsidRPr="006E709F" w:rsidRDefault="00E93F58" w:rsidP="00A801D0">
      <w:pPr>
        <w:pStyle w:val="subsection"/>
      </w:pPr>
      <w:r w:rsidRPr="006E709F">
        <w:tab/>
        <w:t>(2)</w:t>
      </w:r>
      <w:r w:rsidRPr="006E709F">
        <w:tab/>
        <w:t>However, if the superannuation product does not offer insurance cover:</w:t>
      </w:r>
    </w:p>
    <w:p w14:paraId="0C66DC5E" w14:textId="77777777" w:rsidR="00E93F58" w:rsidRPr="006E709F" w:rsidRDefault="00E93F58" w:rsidP="00A801D0">
      <w:pPr>
        <w:pStyle w:val="paragraph"/>
      </w:pPr>
      <w:r w:rsidRPr="006E709F">
        <w:tab/>
        <w:t>(a)</w:t>
      </w:r>
      <w:r w:rsidRPr="006E709F">
        <w:tab/>
        <w:t>section 9 may be presented as section 8; and</w:t>
      </w:r>
    </w:p>
    <w:p w14:paraId="6120C881" w14:textId="77777777" w:rsidR="00E93F58" w:rsidRPr="006E709F" w:rsidRDefault="00E93F58" w:rsidP="00A801D0">
      <w:pPr>
        <w:pStyle w:val="paragraph"/>
      </w:pPr>
      <w:r w:rsidRPr="006E709F">
        <w:tab/>
        <w:t>(b)</w:t>
      </w:r>
      <w:r w:rsidRPr="006E709F">
        <w:tab/>
        <w:t>if section 9 is presented as section 8—a reference in clause 11 to section 9 is taken to be a reference to section 8.</w:t>
      </w:r>
    </w:p>
    <w:p w14:paraId="41B8EC35" w14:textId="77777777" w:rsidR="00E93F58" w:rsidRPr="006E709F" w:rsidRDefault="00E93F58" w:rsidP="00A801D0">
      <w:pPr>
        <w:pStyle w:val="subsection"/>
      </w:pPr>
      <w:r w:rsidRPr="006E709F">
        <w:tab/>
        <w:t>(3)</w:t>
      </w:r>
      <w:r w:rsidRPr="006E709F">
        <w:tab/>
        <w:t>The Product Disclosure Statement must include:</w:t>
      </w:r>
    </w:p>
    <w:p w14:paraId="6E4A83F2" w14:textId="77777777" w:rsidR="00E93F58" w:rsidRPr="006E709F" w:rsidRDefault="00E93F58" w:rsidP="00A801D0">
      <w:pPr>
        <w:pStyle w:val="paragraph"/>
      </w:pPr>
      <w:r w:rsidRPr="006E709F">
        <w:tab/>
        <w:t>(a)</w:t>
      </w:r>
      <w:r w:rsidRPr="006E709F">
        <w:tab/>
        <w:t>a table of contents that sets out the titles mentioned in subclause (1); and</w:t>
      </w:r>
    </w:p>
    <w:p w14:paraId="3BB4BAD3" w14:textId="77777777" w:rsidR="00E93F58" w:rsidRPr="006E709F" w:rsidRDefault="00E93F58" w:rsidP="00A801D0">
      <w:pPr>
        <w:pStyle w:val="paragraph"/>
      </w:pPr>
      <w:r w:rsidRPr="006E709F">
        <w:tab/>
        <w:t>(b)</w:t>
      </w:r>
      <w:r w:rsidRPr="006E709F">
        <w:tab/>
        <w:t>the telephone number of the superannuation trustee to enable a person who acquires the superannuation product to request a copy of the following under regulation 7.9.11R:</w:t>
      </w:r>
    </w:p>
    <w:p w14:paraId="1F6FF750" w14:textId="77777777" w:rsidR="00E93F58" w:rsidRPr="006E709F" w:rsidRDefault="00E93F58" w:rsidP="00A801D0">
      <w:pPr>
        <w:pStyle w:val="paragraphsub"/>
      </w:pPr>
      <w:r w:rsidRPr="006E709F">
        <w:tab/>
        <w:t>(i)</w:t>
      </w:r>
      <w:r w:rsidRPr="006E709F">
        <w:tab/>
        <w:t>a copy of the Statement; and</w:t>
      </w:r>
    </w:p>
    <w:p w14:paraId="256F768E" w14:textId="77777777" w:rsidR="00E93F58" w:rsidRPr="006E709F" w:rsidRDefault="00E93F58" w:rsidP="00A801D0">
      <w:pPr>
        <w:pStyle w:val="paragraphsub"/>
      </w:pPr>
      <w:r w:rsidRPr="006E709F">
        <w:tab/>
        <w:t>(ii)</w:t>
      </w:r>
      <w:r w:rsidRPr="006E709F">
        <w:tab/>
        <w:t>a copy of a matter in writing that is applied, adopted or incorporated by the Statement.</w:t>
      </w:r>
    </w:p>
    <w:p w14:paraId="4023EBCB" w14:textId="77777777" w:rsidR="00E93F58" w:rsidRPr="006E709F" w:rsidRDefault="00E93F58" w:rsidP="00A801D0">
      <w:pPr>
        <w:pStyle w:val="subsection"/>
      </w:pPr>
      <w:r w:rsidRPr="006E709F">
        <w:tab/>
        <w:t>(4)</w:t>
      </w:r>
      <w:r w:rsidRPr="006E709F">
        <w:tab/>
        <w:t>The Product Disclosure Statement must:</w:t>
      </w:r>
    </w:p>
    <w:p w14:paraId="3D19AC27" w14:textId="77777777" w:rsidR="00E93F58" w:rsidRPr="006E709F" w:rsidRDefault="00E93F58" w:rsidP="00A801D0">
      <w:pPr>
        <w:pStyle w:val="paragraph"/>
      </w:pPr>
      <w:r w:rsidRPr="006E709F">
        <w:tab/>
        <w:t>(a)</w:t>
      </w:r>
      <w:r w:rsidRPr="006E709F">
        <w:tab/>
        <w:t>advise a person reading the Statement that:</w:t>
      </w:r>
    </w:p>
    <w:p w14:paraId="1CEE331B" w14:textId="77777777" w:rsidR="00E93F58" w:rsidRPr="006E709F" w:rsidRDefault="00E93F58" w:rsidP="00A801D0">
      <w:pPr>
        <w:pStyle w:val="paragraphsub"/>
      </w:pPr>
      <w:r w:rsidRPr="006E709F">
        <w:tab/>
        <w:t>(i)</w:t>
      </w:r>
      <w:r w:rsidRPr="006E709F">
        <w:tab/>
        <w:t>it is a summary of significant information and contains a number of references to important information (each of which forms part of the Statement); and</w:t>
      </w:r>
    </w:p>
    <w:p w14:paraId="792B4B9A" w14:textId="77777777" w:rsidR="00E93F58" w:rsidRPr="006E709F" w:rsidRDefault="00E93F58" w:rsidP="00A801D0">
      <w:pPr>
        <w:pStyle w:val="paragraphsub"/>
      </w:pPr>
      <w:r w:rsidRPr="006E709F">
        <w:tab/>
        <w:t>(ii)</w:t>
      </w:r>
      <w:r w:rsidRPr="006E709F">
        <w:tab/>
        <w:t>the person should consider that information before making a decision about the product; and</w:t>
      </w:r>
    </w:p>
    <w:p w14:paraId="0D004703" w14:textId="77777777" w:rsidR="00E93F58" w:rsidRPr="006E709F" w:rsidRDefault="00E93F58" w:rsidP="00A801D0">
      <w:pPr>
        <w:pStyle w:val="paragraphsub"/>
      </w:pPr>
      <w:r w:rsidRPr="006E709F">
        <w:lastRenderedPageBreak/>
        <w:tab/>
        <w:t>(iii)</w:t>
      </w:r>
      <w:r w:rsidRPr="006E709F">
        <w:tab/>
        <w:t>the information provided in the Statement is general information only and does not take account of the person’s personal financial situation or needs; and</w:t>
      </w:r>
    </w:p>
    <w:p w14:paraId="5EB0FF80" w14:textId="77777777" w:rsidR="00E93F58" w:rsidRPr="006E709F" w:rsidRDefault="00E93F58" w:rsidP="00A801D0">
      <w:pPr>
        <w:pStyle w:val="paragraphsub"/>
      </w:pPr>
      <w:r w:rsidRPr="006E709F">
        <w:tab/>
        <w:t>(iv)</w:t>
      </w:r>
      <w:r w:rsidRPr="006E709F">
        <w:tab/>
        <w:t>the person should obtain financial advice tailored to the person’s personal circumstances; and</w:t>
      </w:r>
    </w:p>
    <w:p w14:paraId="4746C14B" w14:textId="77777777" w:rsidR="00E93F58" w:rsidRPr="006E709F" w:rsidRDefault="00E93F58" w:rsidP="00A801D0">
      <w:pPr>
        <w:pStyle w:val="paragraph"/>
      </w:pPr>
      <w:r w:rsidRPr="006E709F">
        <w:tab/>
        <w:t>(b)</w:t>
      </w:r>
      <w:r w:rsidRPr="006E709F">
        <w:tab/>
        <w:t>display the advice:</w:t>
      </w:r>
    </w:p>
    <w:p w14:paraId="00723464" w14:textId="77777777" w:rsidR="00E93F58" w:rsidRPr="006E709F" w:rsidRDefault="00E93F58" w:rsidP="00A801D0">
      <w:pPr>
        <w:pStyle w:val="paragraphsub"/>
      </w:pPr>
      <w:r w:rsidRPr="006E709F">
        <w:tab/>
        <w:t>(i)</w:t>
      </w:r>
      <w:r w:rsidRPr="006E709F">
        <w:tab/>
        <w:t>at or near the beginning of the document; and</w:t>
      </w:r>
    </w:p>
    <w:p w14:paraId="38508126" w14:textId="77777777" w:rsidR="00E93F58" w:rsidRPr="006E709F" w:rsidRDefault="00E93F58" w:rsidP="00A801D0">
      <w:pPr>
        <w:pStyle w:val="paragraphsub"/>
      </w:pPr>
      <w:r w:rsidRPr="006E709F">
        <w:tab/>
        <w:t>(ii)</w:t>
      </w:r>
      <w:r w:rsidRPr="006E709F">
        <w:tab/>
        <w:t>in a prominent position and style.</w:t>
      </w:r>
    </w:p>
    <w:p w14:paraId="037757B7" w14:textId="77777777" w:rsidR="00E93F58" w:rsidRPr="006E709F" w:rsidRDefault="00E93F58" w:rsidP="00A801D0">
      <w:pPr>
        <w:pStyle w:val="subsection"/>
      </w:pPr>
      <w:r w:rsidRPr="006E709F">
        <w:tab/>
        <w:t>(5)</w:t>
      </w:r>
      <w:r w:rsidRPr="006E709F">
        <w:tab/>
        <w:t>The Product Disclosure Statement:</w:t>
      </w:r>
    </w:p>
    <w:p w14:paraId="146CBC4F" w14:textId="77777777" w:rsidR="00E93F58" w:rsidRPr="006E709F" w:rsidRDefault="00E93F58" w:rsidP="00A801D0">
      <w:pPr>
        <w:pStyle w:val="paragraph"/>
      </w:pPr>
      <w:r w:rsidRPr="006E709F">
        <w:tab/>
        <w:t>(a)</w:t>
      </w:r>
      <w:r w:rsidRPr="006E709F">
        <w:tab/>
        <w:t>may include additional sections after sections 1 to 9; and</w:t>
      </w:r>
    </w:p>
    <w:p w14:paraId="2A80D859" w14:textId="77777777" w:rsidR="00E93F58" w:rsidRPr="006E709F" w:rsidRDefault="00E93F58" w:rsidP="00A801D0">
      <w:pPr>
        <w:pStyle w:val="paragraph"/>
      </w:pPr>
      <w:r w:rsidRPr="006E709F">
        <w:tab/>
        <w:t>(b)</w:t>
      </w:r>
      <w:r w:rsidRPr="006E709F">
        <w:tab/>
        <w:t>may include other information;</w:t>
      </w:r>
    </w:p>
    <w:p w14:paraId="2BF8AA45" w14:textId="77777777" w:rsidR="00E93F58" w:rsidRPr="006E709F" w:rsidRDefault="00E93F58" w:rsidP="00A801D0">
      <w:pPr>
        <w:pStyle w:val="subsection2"/>
      </w:pPr>
      <w:r w:rsidRPr="006E709F">
        <w:t>to an extent that does not have the effect of contravening subclause 1(1).</w:t>
      </w:r>
    </w:p>
    <w:p w14:paraId="7DA8EE08" w14:textId="77777777" w:rsidR="00E93F58" w:rsidRPr="006E709F" w:rsidRDefault="00E93F58" w:rsidP="00A801D0">
      <w:pPr>
        <w:pStyle w:val="subsection"/>
      </w:pPr>
      <w:r w:rsidRPr="006E709F">
        <w:tab/>
        <w:t>(6)</w:t>
      </w:r>
      <w:r w:rsidRPr="006E709F">
        <w:tab/>
        <w:t>The Product Disclosure Statement does not need to indicate that a particular requirement is not applicable to the superannuation product.</w:t>
      </w:r>
    </w:p>
    <w:p w14:paraId="54C0A85C" w14:textId="77777777" w:rsidR="00E93F58" w:rsidRPr="006E709F" w:rsidRDefault="00E93F58" w:rsidP="00A801D0">
      <w:pPr>
        <w:pStyle w:val="notetext"/>
      </w:pPr>
      <w:r w:rsidRPr="006E709F">
        <w:t>Note:</w:t>
      </w:r>
      <w:r w:rsidRPr="006E709F">
        <w:tab/>
        <w:t>The Act, as modified in accordance with Subdivision 4.2B of Division 4 of Part 7.9, requires information to be included in the Product Disclosure Statement only to the extent to which the requirement is applicable to the superannuation product.</w:t>
      </w:r>
    </w:p>
    <w:p w14:paraId="7E07AA35" w14:textId="77777777" w:rsidR="00E93F58" w:rsidRPr="006E709F" w:rsidRDefault="00E93F58" w:rsidP="00C01C82">
      <w:pPr>
        <w:pStyle w:val="ActHead5"/>
      </w:pPr>
      <w:bookmarkStart w:id="3556" w:name="_Toc151992526"/>
      <w:bookmarkStart w:id="3557" w:name="_Toc158713563"/>
      <w:r w:rsidRPr="000C4237">
        <w:rPr>
          <w:rStyle w:val="CharSectno"/>
        </w:rPr>
        <w:t>3</w:t>
      </w:r>
      <w:r w:rsidRPr="006E709F">
        <w:t xml:space="preserve">  Contents of section 1 (About </w:t>
      </w:r>
      <w:r w:rsidRPr="006E709F">
        <w:rPr>
          <w:i/>
        </w:rPr>
        <w:t>[name of superannuation product]</w:t>
      </w:r>
      <w:r w:rsidRPr="006E709F">
        <w:t>)</w:t>
      </w:r>
      <w:bookmarkEnd w:id="3556"/>
      <w:bookmarkEnd w:id="3557"/>
    </w:p>
    <w:p w14:paraId="0719BCD3" w14:textId="77777777" w:rsidR="00E93F58" w:rsidRPr="006E709F" w:rsidRDefault="00E93F58" w:rsidP="00C01C82">
      <w:pPr>
        <w:pStyle w:val="subsection"/>
      </w:pPr>
      <w:r w:rsidRPr="006E709F">
        <w:tab/>
        <w:t>(1)</w:t>
      </w:r>
      <w:r w:rsidRPr="006E709F">
        <w:tab/>
        <w:t>Section 1 of the Product Disclosure Statement must:</w:t>
      </w:r>
    </w:p>
    <w:p w14:paraId="016DB104" w14:textId="77777777" w:rsidR="00E93F58" w:rsidRPr="006E709F" w:rsidRDefault="00E93F58" w:rsidP="00C01C82">
      <w:pPr>
        <w:pStyle w:val="paragraph"/>
      </w:pPr>
      <w:r w:rsidRPr="006E709F">
        <w:tab/>
        <w:t>(a)</w:t>
      </w:r>
      <w:r w:rsidRPr="006E709F">
        <w:tab/>
        <w:t>describe, in the form of a summary, the superannuation entity and the MySuper products and other investment options offered by the entity; and</w:t>
      </w:r>
    </w:p>
    <w:p w14:paraId="682C8911" w14:textId="77777777" w:rsidR="00E93F58" w:rsidRPr="006E709F" w:rsidRDefault="00E93F58" w:rsidP="00C01C82">
      <w:pPr>
        <w:pStyle w:val="paragraph"/>
      </w:pPr>
      <w:r w:rsidRPr="006E709F">
        <w:tab/>
        <w:t>(b)</w:t>
      </w:r>
      <w:r w:rsidRPr="006E709F">
        <w:tab/>
        <w:t>include a statement of where, on the entity’s website, the member can find:</w:t>
      </w:r>
    </w:p>
    <w:p w14:paraId="0F934E3C" w14:textId="77777777" w:rsidR="00E93F58" w:rsidRPr="006E709F" w:rsidRDefault="00E93F58" w:rsidP="00C01C82">
      <w:pPr>
        <w:pStyle w:val="paragraphsub"/>
      </w:pPr>
      <w:r w:rsidRPr="006E709F">
        <w:tab/>
        <w:t>(i)</w:t>
      </w:r>
      <w:r w:rsidRPr="006E709F">
        <w:tab/>
        <w:t>the product dashboard for each MySuper product and choice product in the entity; and</w:t>
      </w:r>
    </w:p>
    <w:p w14:paraId="212D18CF" w14:textId="77777777" w:rsidR="00E93F58" w:rsidRPr="006E709F" w:rsidRDefault="00E93F58" w:rsidP="00C01C82">
      <w:pPr>
        <w:pStyle w:val="paragraphsub"/>
        <w:rPr>
          <w:iCs/>
        </w:rPr>
      </w:pPr>
      <w:r w:rsidRPr="006E709F">
        <w:tab/>
        <w:t>(ii)</w:t>
      </w:r>
      <w:r w:rsidRPr="006E709F">
        <w:tab/>
        <w:t xml:space="preserve">each trustee and executive remuneration disclosure for the entity, and any other document that must be disclosed for the entity under the </w:t>
      </w:r>
      <w:r w:rsidRPr="006E709F">
        <w:rPr>
          <w:i/>
          <w:iCs/>
        </w:rPr>
        <w:t>SIS Regulations</w:t>
      </w:r>
      <w:r w:rsidRPr="006E709F">
        <w:rPr>
          <w:iCs/>
        </w:rPr>
        <w:t>; and</w:t>
      </w:r>
    </w:p>
    <w:p w14:paraId="5A1D7BD7" w14:textId="77777777" w:rsidR="00E93F58" w:rsidRPr="006E709F" w:rsidRDefault="00E93F58" w:rsidP="00C01C82">
      <w:pPr>
        <w:pStyle w:val="paragraph"/>
      </w:pPr>
      <w:r w:rsidRPr="006E709F">
        <w:tab/>
        <w:t>(c)</w:t>
      </w:r>
      <w:r w:rsidRPr="006E709F">
        <w:tab/>
        <w:t>a statement describing the entity’s process for transitioning each member whose interest includes an accrued default amount from an existing default option to a MySuper product by 1 July 2017.</w:t>
      </w:r>
    </w:p>
    <w:p w14:paraId="3824BB40" w14:textId="77777777" w:rsidR="00E93F58" w:rsidRPr="006E709F" w:rsidRDefault="00E93F58" w:rsidP="00C01C82">
      <w:pPr>
        <w:pStyle w:val="subsection"/>
      </w:pPr>
      <w:r w:rsidRPr="006E709F">
        <w:tab/>
        <w:t>(2)</w:t>
      </w:r>
      <w:r w:rsidRPr="006E709F">
        <w:tab/>
        <w:t>Paragraph (1)(c) applies until the earlier of:</w:t>
      </w:r>
    </w:p>
    <w:p w14:paraId="74305F69" w14:textId="77777777" w:rsidR="00E93F58" w:rsidRPr="006E709F" w:rsidRDefault="00E93F58" w:rsidP="00C01C82">
      <w:pPr>
        <w:pStyle w:val="paragraph"/>
      </w:pPr>
      <w:r w:rsidRPr="006E709F">
        <w:tab/>
        <w:t>(a)</w:t>
      </w:r>
      <w:r w:rsidRPr="006E709F">
        <w:tab/>
        <w:t>1 July 2017; and</w:t>
      </w:r>
    </w:p>
    <w:p w14:paraId="7EC94530" w14:textId="77777777" w:rsidR="00E93F58" w:rsidRPr="006E709F" w:rsidRDefault="00E93F58" w:rsidP="00C01C82">
      <w:pPr>
        <w:pStyle w:val="paragraph"/>
      </w:pPr>
      <w:r w:rsidRPr="006E709F">
        <w:tab/>
        <w:t>(b)</w:t>
      </w:r>
      <w:r w:rsidRPr="006E709F">
        <w:tab/>
        <w:t>the day on which the entity has attributed each accrued default amount in the entity to a MySuper product.</w:t>
      </w:r>
    </w:p>
    <w:p w14:paraId="0A7040FF" w14:textId="77777777" w:rsidR="00E93F58" w:rsidRPr="006E709F" w:rsidRDefault="00E93F58" w:rsidP="00C01C82">
      <w:pPr>
        <w:pStyle w:val="notetext"/>
      </w:pPr>
      <w:r w:rsidRPr="006E709F">
        <w:t>Note:</w:t>
      </w:r>
      <w:r w:rsidRPr="006E709F">
        <w:tab/>
        <w:t>Putting the information mentioned in paragraph (1)(b) onto the superannuation fund’s website does not amount to adding the information to the Product Disclosure Statement.</w:t>
      </w:r>
    </w:p>
    <w:p w14:paraId="0F7A222C" w14:textId="77777777" w:rsidR="00E93F58" w:rsidRPr="006E709F" w:rsidRDefault="00E93F58" w:rsidP="00A801D0">
      <w:pPr>
        <w:pStyle w:val="ActHead5"/>
      </w:pPr>
      <w:bookmarkStart w:id="3558" w:name="_Toc151992527"/>
      <w:bookmarkStart w:id="3559" w:name="_Toc158713564"/>
      <w:r w:rsidRPr="000C4237">
        <w:rPr>
          <w:rStyle w:val="CharSectno"/>
        </w:rPr>
        <w:t>4</w:t>
      </w:r>
      <w:r w:rsidRPr="006E709F">
        <w:t xml:space="preserve">  Contents of section 2 (How super works)</w:t>
      </w:r>
      <w:bookmarkEnd w:id="3558"/>
      <w:bookmarkEnd w:id="3559"/>
    </w:p>
    <w:p w14:paraId="5B7DB9EA" w14:textId="77777777" w:rsidR="00E93F58" w:rsidRPr="006E709F" w:rsidRDefault="00E93F58" w:rsidP="00A801D0">
      <w:pPr>
        <w:pStyle w:val="subsection"/>
      </w:pPr>
      <w:r w:rsidRPr="006E709F">
        <w:tab/>
        <w:t>(1)</w:t>
      </w:r>
      <w:r w:rsidRPr="006E709F">
        <w:tab/>
        <w:t>Section 2 of the Product Disclosure Statement must include statements to the effect that:</w:t>
      </w:r>
    </w:p>
    <w:p w14:paraId="01522E3D" w14:textId="77777777" w:rsidR="00E93F58" w:rsidRPr="006E709F" w:rsidRDefault="00E93F58" w:rsidP="00A801D0">
      <w:pPr>
        <w:pStyle w:val="paragraph"/>
      </w:pPr>
      <w:r w:rsidRPr="006E709F">
        <w:tab/>
        <w:t>(a)</w:t>
      </w:r>
      <w:r w:rsidRPr="006E709F">
        <w:tab/>
        <w:t>superannuation is a means of saving for retirement which is, in part, compulsory; and</w:t>
      </w:r>
    </w:p>
    <w:p w14:paraId="48C480AC" w14:textId="77777777" w:rsidR="00E93F58" w:rsidRPr="006E709F" w:rsidRDefault="00E93F58" w:rsidP="00A801D0">
      <w:pPr>
        <w:pStyle w:val="paragraph"/>
      </w:pPr>
      <w:r w:rsidRPr="006E709F">
        <w:tab/>
        <w:t>(b)</w:t>
      </w:r>
      <w:r w:rsidRPr="006E709F">
        <w:tab/>
        <w:t>there are different types of contributions available to a person (for example, employer contributions, voluntary contributions, government co</w:t>
      </w:r>
      <w:r>
        <w:noBreakHyphen/>
      </w:r>
      <w:r w:rsidRPr="006E709F">
        <w:t>contributions); and</w:t>
      </w:r>
    </w:p>
    <w:p w14:paraId="35892E43" w14:textId="77777777" w:rsidR="00E93F58" w:rsidRPr="006E709F" w:rsidRDefault="00E93F58" w:rsidP="00A801D0">
      <w:pPr>
        <w:pStyle w:val="paragraph"/>
      </w:pPr>
      <w:r w:rsidRPr="006E709F">
        <w:tab/>
        <w:t>(c)</w:t>
      </w:r>
      <w:r w:rsidRPr="006E709F">
        <w:tab/>
        <w:t>there are limitations on contributions to, and withdrawals from, superannuation; and</w:t>
      </w:r>
    </w:p>
    <w:p w14:paraId="6AC0953B" w14:textId="77777777" w:rsidR="00E93F58" w:rsidRPr="006E709F" w:rsidRDefault="00E93F58" w:rsidP="00A801D0">
      <w:pPr>
        <w:pStyle w:val="paragraph"/>
      </w:pPr>
      <w:r w:rsidRPr="006E709F">
        <w:tab/>
        <w:t>(d)</w:t>
      </w:r>
      <w:r w:rsidRPr="006E709F">
        <w:tab/>
        <w:t>tax savings are provided by the Government; and</w:t>
      </w:r>
    </w:p>
    <w:p w14:paraId="7929F0EA" w14:textId="77777777" w:rsidR="00E93F58" w:rsidRPr="006E709F" w:rsidRDefault="00E93F58" w:rsidP="00A801D0">
      <w:pPr>
        <w:pStyle w:val="paragraph"/>
      </w:pPr>
      <w:r w:rsidRPr="006E709F">
        <w:tab/>
        <w:t>(e)</w:t>
      </w:r>
      <w:r w:rsidRPr="006E709F">
        <w:tab/>
        <w:t>most people have the right to choose into which superannuation entity the employer should direct their superannuation guarantee contributions.</w:t>
      </w:r>
    </w:p>
    <w:p w14:paraId="590C4435" w14:textId="77777777" w:rsidR="00E93F58" w:rsidRPr="006E709F" w:rsidRDefault="00E93F58" w:rsidP="00A801D0">
      <w:pPr>
        <w:pStyle w:val="subsection"/>
      </w:pPr>
      <w:r w:rsidRPr="006E709F">
        <w:tab/>
        <w:t>(2)</w:t>
      </w:r>
      <w:r w:rsidRPr="006E709F">
        <w:tab/>
        <w:t>The superannuation trustee may provide more detailed information on the matters set out in subclause (1) by:</w:t>
      </w:r>
    </w:p>
    <w:p w14:paraId="46A18131" w14:textId="77777777" w:rsidR="00E93F58" w:rsidRPr="006E709F" w:rsidRDefault="00E93F58" w:rsidP="00A801D0">
      <w:pPr>
        <w:pStyle w:val="paragraph"/>
      </w:pPr>
      <w:r w:rsidRPr="006E709F">
        <w:tab/>
        <w:t>(a)</w:t>
      </w:r>
      <w:r w:rsidRPr="006E709F">
        <w:tab/>
        <w:t>applying, adopting or incorporating a matter in writing; or</w:t>
      </w:r>
    </w:p>
    <w:p w14:paraId="3CE609C5" w14:textId="77777777" w:rsidR="00E93F58" w:rsidRPr="006E709F" w:rsidRDefault="00E93F58" w:rsidP="00A801D0">
      <w:pPr>
        <w:pStyle w:val="paragraph"/>
      </w:pPr>
      <w:r w:rsidRPr="006E709F">
        <w:tab/>
        <w:t>(b)</w:t>
      </w:r>
      <w:r w:rsidRPr="006E709F">
        <w:tab/>
        <w:t>providing a reference to a website, operated by or on behalf of the Commonwealth, that contains the information.</w:t>
      </w:r>
    </w:p>
    <w:p w14:paraId="6011A3A8" w14:textId="77777777" w:rsidR="00E93F58" w:rsidRPr="006E709F" w:rsidRDefault="00E93F58" w:rsidP="00A801D0">
      <w:pPr>
        <w:pStyle w:val="ActHead5"/>
      </w:pPr>
      <w:bookmarkStart w:id="3560" w:name="_Toc151992528"/>
      <w:bookmarkStart w:id="3561" w:name="_Toc158713565"/>
      <w:r w:rsidRPr="000C4237">
        <w:rPr>
          <w:rStyle w:val="CharSectno"/>
        </w:rPr>
        <w:t>5</w:t>
      </w:r>
      <w:r w:rsidRPr="006E709F">
        <w:t xml:space="preserve">  Contents of section 3 (Benefits of investing with [name of superannuation product])</w:t>
      </w:r>
      <w:bookmarkEnd w:id="3560"/>
      <w:bookmarkEnd w:id="3561"/>
    </w:p>
    <w:p w14:paraId="1FC03CC0" w14:textId="77777777" w:rsidR="00E93F58" w:rsidRPr="006E709F" w:rsidRDefault="00E93F58" w:rsidP="00A801D0">
      <w:pPr>
        <w:pStyle w:val="subsection"/>
      </w:pPr>
      <w:r w:rsidRPr="006E709F">
        <w:tab/>
        <w:t>(1)</w:t>
      </w:r>
      <w:r w:rsidRPr="006E709F">
        <w:tab/>
        <w:t>Section 3 of the Product Disclosure Statement must describe the superannuation product covered by the Statement, including a summary of its significant features and the benefits it provides.</w:t>
      </w:r>
    </w:p>
    <w:p w14:paraId="2CE747A0" w14:textId="77777777" w:rsidR="00E93F58" w:rsidRPr="006E709F" w:rsidRDefault="00E93F58" w:rsidP="00A801D0">
      <w:pPr>
        <w:pStyle w:val="subsection"/>
      </w:pPr>
      <w:r w:rsidRPr="006E709F">
        <w:lastRenderedPageBreak/>
        <w:tab/>
        <w:t>(2)</w:t>
      </w:r>
      <w:r w:rsidRPr="006E709F">
        <w:tab/>
        <w:t>The superannuation trustee may provide additional information about significant benefits of superannuation or other significant features of the superannuation product by applying, adopting or incorporating a matter in writing.</w:t>
      </w:r>
    </w:p>
    <w:p w14:paraId="3FB38F9B" w14:textId="77777777" w:rsidR="00E93F58" w:rsidRPr="006E709F" w:rsidRDefault="00E93F58" w:rsidP="00A801D0">
      <w:pPr>
        <w:pStyle w:val="ActHead5"/>
      </w:pPr>
      <w:bookmarkStart w:id="3562" w:name="_Toc151992529"/>
      <w:bookmarkStart w:id="3563" w:name="_Toc158713566"/>
      <w:r w:rsidRPr="000C4237">
        <w:rPr>
          <w:rStyle w:val="CharSectno"/>
        </w:rPr>
        <w:t>6</w:t>
      </w:r>
      <w:r w:rsidRPr="006E709F">
        <w:t xml:space="preserve">  Contents of section 4 (Risks of super)</w:t>
      </w:r>
      <w:bookmarkEnd w:id="3562"/>
      <w:bookmarkEnd w:id="3563"/>
    </w:p>
    <w:p w14:paraId="6698F5E9" w14:textId="77777777" w:rsidR="00E93F58" w:rsidRPr="006E709F" w:rsidRDefault="00E93F58" w:rsidP="00A801D0">
      <w:pPr>
        <w:pStyle w:val="subsection"/>
      </w:pPr>
      <w:r w:rsidRPr="006E709F">
        <w:tab/>
        <w:t>(1)</w:t>
      </w:r>
      <w:r w:rsidRPr="006E709F">
        <w:tab/>
        <w:t>Section 4 of the Product Disclosure Statement must include statements to the following effect:</w:t>
      </w:r>
    </w:p>
    <w:p w14:paraId="151EEC39" w14:textId="77777777" w:rsidR="00E93F58" w:rsidRPr="006E709F" w:rsidRDefault="00E93F58" w:rsidP="00A801D0">
      <w:pPr>
        <w:pStyle w:val="paragraph"/>
      </w:pPr>
      <w:r w:rsidRPr="006E709F">
        <w:tab/>
        <w:t>(a)</w:t>
      </w:r>
      <w:r w:rsidRPr="006E709F">
        <w:tab/>
        <w:t>all investments carry risk;</w:t>
      </w:r>
    </w:p>
    <w:p w14:paraId="5E5914DB" w14:textId="77777777" w:rsidR="00E93F58" w:rsidRPr="006E709F" w:rsidRDefault="00E93F58" w:rsidP="00A801D0">
      <w:pPr>
        <w:pStyle w:val="paragraph"/>
      </w:pPr>
      <w:r w:rsidRPr="006E709F">
        <w:tab/>
        <w:t>(b)</w:t>
      </w:r>
      <w:r w:rsidRPr="006E709F">
        <w:tab/>
        <w:t>different strategies may carry different levels of risk, depending on the assets that make up the strategy;</w:t>
      </w:r>
    </w:p>
    <w:p w14:paraId="1A8200B5" w14:textId="77777777" w:rsidR="00E93F58" w:rsidRPr="006E709F" w:rsidRDefault="00E93F58" w:rsidP="00A801D0">
      <w:pPr>
        <w:pStyle w:val="paragraph"/>
      </w:pPr>
      <w:r w:rsidRPr="006E709F">
        <w:tab/>
        <w:t>(c)</w:t>
      </w:r>
      <w:r w:rsidRPr="006E709F">
        <w:tab/>
        <w:t>assets with the highest long</w:t>
      </w:r>
      <w:r>
        <w:noBreakHyphen/>
      </w:r>
      <w:r w:rsidRPr="006E709F">
        <w:t>term returns may also carry the highest level of short</w:t>
      </w:r>
      <w:r>
        <w:noBreakHyphen/>
      </w:r>
      <w:r w:rsidRPr="006E709F">
        <w:t>term risk.</w:t>
      </w:r>
    </w:p>
    <w:p w14:paraId="0861EFDB" w14:textId="77777777" w:rsidR="00E93F58" w:rsidRPr="006E709F" w:rsidRDefault="00E93F58" w:rsidP="00A801D0">
      <w:pPr>
        <w:pStyle w:val="subsection"/>
      </w:pPr>
      <w:r w:rsidRPr="006E709F">
        <w:tab/>
        <w:t>(2)</w:t>
      </w:r>
      <w:r w:rsidRPr="006E709F">
        <w:tab/>
        <w:t>Section 4 must describe, in the form of a summary, the significant risks of the particular superannuation product.</w:t>
      </w:r>
    </w:p>
    <w:p w14:paraId="303B5EB4" w14:textId="77777777" w:rsidR="00E93F58" w:rsidRPr="006E709F" w:rsidRDefault="00E93F58" w:rsidP="00A801D0">
      <w:pPr>
        <w:pStyle w:val="subsection"/>
      </w:pPr>
      <w:r w:rsidRPr="006E709F">
        <w:tab/>
        <w:t>(3)</w:t>
      </w:r>
      <w:r w:rsidRPr="006E709F">
        <w:tab/>
        <w:t>Section 4 must describe the significant risks of superannuation (to the extent only that the description required by subitem (2) has not already described the risk) by including statements to the following effect:</w:t>
      </w:r>
    </w:p>
    <w:p w14:paraId="70ACF76E" w14:textId="77777777" w:rsidR="00E93F58" w:rsidRPr="006E709F" w:rsidRDefault="00E93F58" w:rsidP="00A801D0">
      <w:pPr>
        <w:pStyle w:val="paragraph"/>
      </w:pPr>
      <w:r w:rsidRPr="006E709F">
        <w:tab/>
        <w:t>(a)</w:t>
      </w:r>
      <w:r w:rsidRPr="006E709F">
        <w:tab/>
        <w:t>the value of investments will vary;</w:t>
      </w:r>
    </w:p>
    <w:p w14:paraId="369D2136" w14:textId="77777777" w:rsidR="00E93F58" w:rsidRPr="006E709F" w:rsidRDefault="00E93F58" w:rsidP="00A801D0">
      <w:pPr>
        <w:pStyle w:val="paragraph"/>
      </w:pPr>
      <w:r w:rsidRPr="006E709F">
        <w:tab/>
        <w:t>(b)</w:t>
      </w:r>
      <w:r w:rsidRPr="006E709F">
        <w:tab/>
        <w:t>the level of returns will vary, and future returns may differ from past returns;</w:t>
      </w:r>
    </w:p>
    <w:p w14:paraId="450FDDF9" w14:textId="77777777" w:rsidR="00E93F58" w:rsidRPr="006E709F" w:rsidRDefault="00E93F58" w:rsidP="00A801D0">
      <w:pPr>
        <w:pStyle w:val="paragraph"/>
      </w:pPr>
      <w:r w:rsidRPr="006E709F">
        <w:tab/>
        <w:t>(c)</w:t>
      </w:r>
      <w:r w:rsidRPr="006E709F">
        <w:tab/>
        <w:t>returns are not guaranteed, and persons may lose some of their money;</w:t>
      </w:r>
    </w:p>
    <w:p w14:paraId="0CC36CA2" w14:textId="77777777" w:rsidR="00E93F58" w:rsidRPr="006E709F" w:rsidRDefault="00E93F58" w:rsidP="00A801D0">
      <w:pPr>
        <w:pStyle w:val="paragraph"/>
      </w:pPr>
      <w:r w:rsidRPr="006E709F">
        <w:tab/>
        <w:t>(d)</w:t>
      </w:r>
      <w:r w:rsidRPr="006E709F">
        <w:tab/>
        <w:t>superannuation laws may change in the future;</w:t>
      </w:r>
    </w:p>
    <w:p w14:paraId="402B27CB" w14:textId="77777777" w:rsidR="00E93F58" w:rsidRPr="006E709F" w:rsidRDefault="00E93F58" w:rsidP="00A801D0">
      <w:pPr>
        <w:pStyle w:val="paragraph"/>
      </w:pPr>
      <w:r w:rsidRPr="006E709F">
        <w:tab/>
        <w:t>(e)</w:t>
      </w:r>
      <w:r w:rsidRPr="006E709F">
        <w:tab/>
        <w:t>the amount of a person’s future superannuation savings (including contributions and returns) may not be enough to provide adequately for the person’s retirement;</w:t>
      </w:r>
    </w:p>
    <w:p w14:paraId="52A25F47" w14:textId="77777777" w:rsidR="00E93F58" w:rsidRPr="006E709F" w:rsidRDefault="00E93F58" w:rsidP="00A801D0">
      <w:pPr>
        <w:pStyle w:val="paragraph"/>
      </w:pPr>
      <w:r w:rsidRPr="006E709F">
        <w:tab/>
        <w:t>(f)</w:t>
      </w:r>
      <w:r w:rsidRPr="006E709F">
        <w:tab/>
        <w:t>the level of risk for each person will vary depending on a range of factors, including:</w:t>
      </w:r>
    </w:p>
    <w:p w14:paraId="3A2DFA0A" w14:textId="77777777" w:rsidR="00E93F58" w:rsidRPr="006E709F" w:rsidRDefault="00E93F58" w:rsidP="00A801D0">
      <w:pPr>
        <w:pStyle w:val="paragraphsub"/>
      </w:pPr>
      <w:r w:rsidRPr="006E709F">
        <w:tab/>
        <w:t>(i)</w:t>
      </w:r>
      <w:r w:rsidRPr="006E709F">
        <w:tab/>
        <w:t>age; and</w:t>
      </w:r>
    </w:p>
    <w:p w14:paraId="10DE23E8" w14:textId="77777777" w:rsidR="00E93F58" w:rsidRPr="006E709F" w:rsidRDefault="00E93F58" w:rsidP="00A801D0">
      <w:pPr>
        <w:pStyle w:val="paragraphsub"/>
      </w:pPr>
      <w:r w:rsidRPr="006E709F">
        <w:tab/>
        <w:t>(ii)</w:t>
      </w:r>
      <w:r w:rsidRPr="006E709F">
        <w:tab/>
        <w:t>investment time frames; and</w:t>
      </w:r>
    </w:p>
    <w:p w14:paraId="35143FB1" w14:textId="77777777" w:rsidR="00E93F58" w:rsidRPr="006E709F" w:rsidRDefault="00E93F58" w:rsidP="00A801D0">
      <w:pPr>
        <w:pStyle w:val="paragraphsub"/>
      </w:pPr>
      <w:r w:rsidRPr="006E709F">
        <w:tab/>
        <w:t>(iii)</w:t>
      </w:r>
      <w:r w:rsidRPr="006E709F">
        <w:tab/>
        <w:t>where other parts of the person’s wealth are invested; and</w:t>
      </w:r>
    </w:p>
    <w:p w14:paraId="64DC3CEB" w14:textId="77777777" w:rsidR="00E93F58" w:rsidRPr="006E709F" w:rsidRDefault="00E93F58" w:rsidP="00A801D0">
      <w:pPr>
        <w:pStyle w:val="paragraphsub"/>
      </w:pPr>
      <w:r w:rsidRPr="006E709F">
        <w:tab/>
        <w:t>(iv)</w:t>
      </w:r>
      <w:r w:rsidRPr="006E709F">
        <w:tab/>
        <w:t>the person’s risk tolerance.</w:t>
      </w:r>
    </w:p>
    <w:p w14:paraId="7019F87B" w14:textId="77777777" w:rsidR="00E93F58" w:rsidRPr="006E709F" w:rsidRDefault="00E93F58" w:rsidP="00A801D0">
      <w:pPr>
        <w:pStyle w:val="subsection"/>
      </w:pPr>
      <w:r w:rsidRPr="006E709F">
        <w:tab/>
        <w:t>(4)</w:t>
      </w:r>
      <w:r w:rsidRPr="006E709F">
        <w:tab/>
        <w:t>The superannuation trustee may provide additional information about significant risks of superannuation by applying, adopting or incorporating a matter in writing.</w:t>
      </w:r>
    </w:p>
    <w:p w14:paraId="2F5E8337" w14:textId="77777777" w:rsidR="00E93F58" w:rsidRPr="006E709F" w:rsidRDefault="00E93F58" w:rsidP="00A801D0">
      <w:pPr>
        <w:pStyle w:val="ActHead5"/>
      </w:pPr>
      <w:bookmarkStart w:id="3564" w:name="_Toc151992530"/>
      <w:bookmarkStart w:id="3565" w:name="_Toc158713567"/>
      <w:r w:rsidRPr="000C4237">
        <w:rPr>
          <w:rStyle w:val="CharSectno"/>
        </w:rPr>
        <w:t>7</w:t>
      </w:r>
      <w:r w:rsidRPr="006E709F">
        <w:t xml:space="preserve">  Contents of section 5 (How we invest your money)</w:t>
      </w:r>
      <w:bookmarkEnd w:id="3564"/>
      <w:bookmarkEnd w:id="3565"/>
    </w:p>
    <w:p w14:paraId="57DCAA9F" w14:textId="77777777" w:rsidR="00E93F58" w:rsidRPr="006E709F" w:rsidRDefault="00E93F58" w:rsidP="00A801D0">
      <w:pPr>
        <w:pStyle w:val="subsection"/>
      </w:pPr>
      <w:r w:rsidRPr="006E709F">
        <w:tab/>
        <w:t>(1)</w:t>
      </w:r>
      <w:r w:rsidRPr="006E709F">
        <w:tab/>
        <w:t>Section 5 of the Product Disclosure Statement must describe, in the form of a summary:</w:t>
      </w:r>
    </w:p>
    <w:p w14:paraId="478A8734" w14:textId="77777777" w:rsidR="00E93F58" w:rsidRPr="006E709F" w:rsidRDefault="00E93F58" w:rsidP="00C01C82">
      <w:pPr>
        <w:pStyle w:val="paragraph"/>
      </w:pPr>
      <w:r w:rsidRPr="006E709F">
        <w:tab/>
        <w:t>(a)</w:t>
      </w:r>
      <w:r w:rsidRPr="006E709F">
        <w:tab/>
        <w:t>the MySuper products and investment options being offered; and</w:t>
      </w:r>
    </w:p>
    <w:p w14:paraId="2871AFE2" w14:textId="77777777" w:rsidR="00E93F58" w:rsidRPr="006E709F" w:rsidRDefault="00E93F58" w:rsidP="00A801D0">
      <w:pPr>
        <w:pStyle w:val="paragraph"/>
      </w:pPr>
      <w:r w:rsidRPr="006E709F">
        <w:tab/>
        <w:t>(b)</w:t>
      </w:r>
      <w:r w:rsidRPr="006E709F">
        <w:tab/>
        <w:t>what happens if the person does not make a choice of where to invest.</w:t>
      </w:r>
    </w:p>
    <w:p w14:paraId="2C752A59" w14:textId="77777777" w:rsidR="00E93F58" w:rsidRPr="006E709F" w:rsidRDefault="00E93F58" w:rsidP="00A801D0">
      <w:pPr>
        <w:pStyle w:val="subsection"/>
      </w:pPr>
      <w:r w:rsidRPr="006E709F">
        <w:tab/>
        <w:t>(2)</w:t>
      </w:r>
      <w:r w:rsidRPr="006E709F">
        <w:tab/>
        <w:t>Section 5 must state, in the form of a warning, that the person must consider:</w:t>
      </w:r>
    </w:p>
    <w:p w14:paraId="25E6697B" w14:textId="77777777" w:rsidR="00E93F58" w:rsidRPr="006E709F" w:rsidRDefault="00E93F58" w:rsidP="00A801D0">
      <w:pPr>
        <w:pStyle w:val="paragraph"/>
      </w:pPr>
      <w:r w:rsidRPr="006E709F">
        <w:tab/>
        <w:t>(a)</w:t>
      </w:r>
      <w:r w:rsidRPr="006E709F">
        <w:tab/>
        <w:t>the likely investment return; and</w:t>
      </w:r>
    </w:p>
    <w:p w14:paraId="136962A9" w14:textId="77777777" w:rsidR="00E93F58" w:rsidRPr="006E709F" w:rsidRDefault="00E93F58" w:rsidP="00A801D0">
      <w:pPr>
        <w:pStyle w:val="paragraph"/>
      </w:pPr>
      <w:r w:rsidRPr="006E709F">
        <w:tab/>
        <w:t>(b)</w:t>
      </w:r>
      <w:r w:rsidRPr="006E709F">
        <w:tab/>
        <w:t>the risk; and</w:t>
      </w:r>
    </w:p>
    <w:p w14:paraId="4CFAB21A" w14:textId="77777777" w:rsidR="00E93F58" w:rsidRPr="006E709F" w:rsidRDefault="00E93F58" w:rsidP="00A801D0">
      <w:pPr>
        <w:pStyle w:val="paragraph"/>
      </w:pPr>
      <w:r w:rsidRPr="006E709F">
        <w:tab/>
        <w:t>(c)</w:t>
      </w:r>
      <w:r w:rsidRPr="006E709F">
        <w:tab/>
        <w:t>the person’s investment timeframe;</w:t>
      </w:r>
    </w:p>
    <w:p w14:paraId="488F7EF0" w14:textId="77777777" w:rsidR="00E93F58" w:rsidRPr="006E709F" w:rsidRDefault="00E93F58" w:rsidP="00A801D0">
      <w:pPr>
        <w:pStyle w:val="subsection2"/>
      </w:pPr>
      <w:r w:rsidRPr="006E709F">
        <w:t>when choosing a MySuper product or an investment option in which to invest.</w:t>
      </w:r>
    </w:p>
    <w:p w14:paraId="4405A1D1" w14:textId="77777777" w:rsidR="00E93F58" w:rsidRPr="006E709F" w:rsidRDefault="00E93F58" w:rsidP="00A801D0">
      <w:pPr>
        <w:pStyle w:val="subsection"/>
      </w:pPr>
      <w:r w:rsidRPr="006E709F">
        <w:tab/>
        <w:t>(3)</w:t>
      </w:r>
      <w:r w:rsidRPr="006E709F">
        <w:tab/>
        <w:t>For at least one MySuper product or investment option, section 5 must:</w:t>
      </w:r>
    </w:p>
    <w:p w14:paraId="271DA698" w14:textId="77777777" w:rsidR="00E93F58" w:rsidRPr="006E709F" w:rsidRDefault="00E93F58" w:rsidP="00A801D0">
      <w:pPr>
        <w:pStyle w:val="paragraph"/>
      </w:pPr>
      <w:r w:rsidRPr="006E709F">
        <w:tab/>
        <w:t>(a)</w:t>
      </w:r>
      <w:r w:rsidRPr="006E709F">
        <w:tab/>
        <w:t>state the name of the MySuper product or investment option and give a short description of it, including the type of investors for whom it is intended to be suitable; and</w:t>
      </w:r>
    </w:p>
    <w:p w14:paraId="378CDCA0" w14:textId="77777777" w:rsidR="00E93F58" w:rsidRPr="006E709F" w:rsidRDefault="00E93F58" w:rsidP="00A801D0">
      <w:pPr>
        <w:pStyle w:val="paragraph"/>
      </w:pPr>
      <w:r w:rsidRPr="006E709F">
        <w:tab/>
        <w:t>(b)</w:t>
      </w:r>
      <w:r w:rsidRPr="006E709F">
        <w:tab/>
        <w:t>list the asset classes in which the MySuper product or investment option invests, and set out, in the form of a range or otherwise, the strategic asset allocation of the asset classes; and</w:t>
      </w:r>
    </w:p>
    <w:p w14:paraId="31F8C3F0" w14:textId="77777777" w:rsidR="00E93F58" w:rsidRPr="006E709F" w:rsidRDefault="00E93F58" w:rsidP="00A801D0">
      <w:pPr>
        <w:pStyle w:val="paragraph"/>
      </w:pPr>
      <w:r w:rsidRPr="006E709F">
        <w:tab/>
        <w:t>(c)</w:t>
      </w:r>
      <w:r w:rsidRPr="006E709F">
        <w:tab/>
        <w:t>describe the investment return objective of the MySuper product or investment option; and</w:t>
      </w:r>
    </w:p>
    <w:p w14:paraId="2F81918D" w14:textId="77777777" w:rsidR="00E93F58" w:rsidRPr="006E709F" w:rsidRDefault="00E93F58" w:rsidP="00A801D0">
      <w:pPr>
        <w:pStyle w:val="paragraph"/>
      </w:pPr>
      <w:r w:rsidRPr="006E709F">
        <w:tab/>
        <w:t>(d)</w:t>
      </w:r>
      <w:r w:rsidRPr="006E709F">
        <w:tab/>
        <w:t>state the minimum suggested time frame for holding the MySuper product or investment option; and</w:t>
      </w:r>
    </w:p>
    <w:p w14:paraId="18B98D04" w14:textId="77777777" w:rsidR="00E93F58" w:rsidRPr="006E709F" w:rsidRDefault="00E93F58" w:rsidP="00A801D0">
      <w:pPr>
        <w:pStyle w:val="paragraph"/>
      </w:pPr>
      <w:r w:rsidRPr="006E709F">
        <w:tab/>
        <w:t>(e)</w:t>
      </w:r>
      <w:r w:rsidRPr="006E709F">
        <w:tab/>
        <w:t>describe, in the form of a summary, the risk level of the MySuper product or investment option.</w:t>
      </w:r>
    </w:p>
    <w:p w14:paraId="21638E2C" w14:textId="77777777" w:rsidR="00E93F58" w:rsidRPr="006E709F" w:rsidRDefault="00E93F58" w:rsidP="00C01C82">
      <w:pPr>
        <w:pStyle w:val="subsection"/>
      </w:pPr>
      <w:r w:rsidRPr="006E709F">
        <w:tab/>
        <w:t>(4)</w:t>
      </w:r>
      <w:r w:rsidRPr="006E709F">
        <w:tab/>
        <w:t>If the superannuation product includes a generic MySuper product, section 5 must give the information mentioned in subclause (3) for the generic MySuper product, whether or not section 5 gives that information for another MySuper product or investment option.</w:t>
      </w:r>
    </w:p>
    <w:p w14:paraId="0351FEE9" w14:textId="77777777" w:rsidR="00E93F58" w:rsidRPr="006E709F" w:rsidRDefault="00E93F58" w:rsidP="00C01C82">
      <w:pPr>
        <w:pStyle w:val="subsection"/>
      </w:pPr>
      <w:r w:rsidRPr="006E709F">
        <w:tab/>
        <w:t>(5)</w:t>
      </w:r>
      <w:r w:rsidRPr="006E709F">
        <w:tab/>
        <w:t xml:space="preserve">If the superannuation product does not include a generic MySuper product, and has a balanced investment option (within the meaning given by clause 101 of Schedule 10), section 5 must give the information mentioned in subclause (3) for the balanced investment option under which most assets of the </w:t>
      </w:r>
      <w:r w:rsidRPr="006E709F">
        <w:lastRenderedPageBreak/>
        <w:t>superannuation entity are invested, whether or not section 5 gives that information for any MySuper product or other investment option.</w:t>
      </w:r>
    </w:p>
    <w:p w14:paraId="7BACEAB6" w14:textId="77777777" w:rsidR="00E93F58" w:rsidRPr="006E709F" w:rsidRDefault="00E93F58" w:rsidP="00C01C82">
      <w:pPr>
        <w:pStyle w:val="subsection"/>
      </w:pPr>
      <w:r w:rsidRPr="006E709F">
        <w:tab/>
        <w:t>(6)</w:t>
      </w:r>
      <w:r w:rsidRPr="006E709F">
        <w:tab/>
        <w:t>If the superannuation product does not include a generic MySuper product or a balanced investment option (within the meaning given by clause 101 of Schedule 10), section 5 must give the information mentioned in subclause (3) for the investment option under which most assets of the superannuation entity are invested, whether or not section 5 gives that information for any MySuper product or other investment option.</w:t>
      </w:r>
    </w:p>
    <w:p w14:paraId="33B53F8E" w14:textId="77777777" w:rsidR="00E93F58" w:rsidRPr="006E709F" w:rsidRDefault="00E93F58" w:rsidP="00A801D0">
      <w:pPr>
        <w:pStyle w:val="subsection"/>
      </w:pPr>
      <w:r w:rsidRPr="006E709F">
        <w:tab/>
        <w:t>(8)</w:t>
      </w:r>
      <w:r w:rsidRPr="006E709F">
        <w:tab/>
        <w:t>Section 5:</w:t>
      </w:r>
    </w:p>
    <w:p w14:paraId="4B5409AB" w14:textId="77777777" w:rsidR="00E93F58" w:rsidRPr="006E709F" w:rsidRDefault="00E93F58" w:rsidP="006937D5">
      <w:pPr>
        <w:pStyle w:val="paragraph"/>
      </w:pPr>
      <w:r w:rsidRPr="006E709F">
        <w:tab/>
        <w:t>(a)</w:t>
      </w:r>
      <w:r w:rsidRPr="006E709F">
        <w:tab/>
        <w:t>must make provision for each MySuper product and investment option which is not presented in section 5 in accordance with subclause (3), (4), (5) or (6); and</w:t>
      </w:r>
    </w:p>
    <w:p w14:paraId="7203D237" w14:textId="77777777" w:rsidR="00E93F58" w:rsidRPr="006E709F" w:rsidRDefault="00E93F58" w:rsidP="00A801D0">
      <w:pPr>
        <w:pStyle w:val="paragraph"/>
      </w:pPr>
      <w:r w:rsidRPr="006E709F">
        <w:tab/>
        <w:t>(b)</w:t>
      </w:r>
      <w:r w:rsidRPr="006E709F">
        <w:tab/>
        <w:t>may make provision for the MySuper product or investment option by applying, adopting or incorporating matter in a document that:</w:t>
      </w:r>
    </w:p>
    <w:p w14:paraId="17A473CE" w14:textId="77777777" w:rsidR="00E93F58" w:rsidRPr="006E709F" w:rsidRDefault="00E93F58" w:rsidP="00A801D0">
      <w:pPr>
        <w:pStyle w:val="paragraphsub"/>
      </w:pPr>
      <w:r w:rsidRPr="006E709F">
        <w:tab/>
        <w:t>(i)</w:t>
      </w:r>
      <w:r w:rsidRPr="006E709F">
        <w:tab/>
        <w:t>includes the information mentioned in subclause (3); and</w:t>
      </w:r>
    </w:p>
    <w:p w14:paraId="1AFB6800" w14:textId="77777777" w:rsidR="00E93F58" w:rsidRPr="006E709F" w:rsidRDefault="00E93F58" w:rsidP="00A801D0">
      <w:pPr>
        <w:pStyle w:val="paragraphsub"/>
      </w:pPr>
      <w:r w:rsidRPr="006E709F">
        <w:tab/>
        <w:t>(ii)</w:t>
      </w:r>
      <w:r w:rsidRPr="006E709F">
        <w:tab/>
        <w:t>presents it in the way mentioned in the subclause.</w:t>
      </w:r>
    </w:p>
    <w:p w14:paraId="39D18A63" w14:textId="77777777" w:rsidR="00E93F58" w:rsidRPr="006E709F" w:rsidRDefault="00E93F58" w:rsidP="00A801D0">
      <w:pPr>
        <w:pStyle w:val="subsection"/>
      </w:pPr>
      <w:r w:rsidRPr="006E709F">
        <w:tab/>
        <w:t>(9)</w:t>
      </w:r>
      <w:r w:rsidRPr="006E709F">
        <w:tab/>
        <w:t>The superannuation trustee:</w:t>
      </w:r>
    </w:p>
    <w:p w14:paraId="36B6CF42" w14:textId="77777777" w:rsidR="00E93F58" w:rsidRPr="006E709F" w:rsidRDefault="00E93F58" w:rsidP="00A801D0">
      <w:pPr>
        <w:pStyle w:val="paragraph"/>
      </w:pPr>
      <w:r w:rsidRPr="006E709F">
        <w:tab/>
        <w:t>(a)</w:t>
      </w:r>
      <w:r w:rsidRPr="006E709F">
        <w:tab/>
        <w:t>must provide information about how a person may switch the person’s investments; and</w:t>
      </w:r>
    </w:p>
    <w:p w14:paraId="1E39E1E8" w14:textId="77777777" w:rsidR="00E93F58" w:rsidRPr="006E709F" w:rsidRDefault="00E93F58" w:rsidP="006937D5">
      <w:pPr>
        <w:pStyle w:val="paragraph"/>
      </w:pPr>
      <w:r w:rsidRPr="006E709F">
        <w:tab/>
        <w:t>(b)</w:t>
      </w:r>
      <w:r w:rsidRPr="006E709F">
        <w:tab/>
        <w:t>whether the superannuation product’s MySuper products and investment options may be changed and, if so, how; and</w:t>
      </w:r>
    </w:p>
    <w:p w14:paraId="2D9C4D56" w14:textId="77777777" w:rsidR="00E93F58" w:rsidRPr="006E709F" w:rsidRDefault="00E93F58" w:rsidP="00A801D0">
      <w:pPr>
        <w:pStyle w:val="paragraph"/>
      </w:pPr>
      <w:r w:rsidRPr="006E709F">
        <w:tab/>
        <w:t>(c)</w:t>
      </w:r>
      <w:r w:rsidRPr="006E709F">
        <w:tab/>
        <w:t>must describe, in the form of a summary, the extent to which labour standards or environmental, social or ethical considerations are taken into account in the selection, retention or realisation of investments relating to the superannuation product; and</w:t>
      </w:r>
    </w:p>
    <w:p w14:paraId="604F9DBA" w14:textId="77777777" w:rsidR="00E93F58" w:rsidRPr="006E709F" w:rsidRDefault="00E93F58" w:rsidP="00A801D0">
      <w:pPr>
        <w:pStyle w:val="paragraph"/>
      </w:pPr>
      <w:r w:rsidRPr="006E709F">
        <w:tab/>
        <w:t>(d)</w:t>
      </w:r>
      <w:r w:rsidRPr="006E709F">
        <w:tab/>
        <w:t>may provide the information in paragraphs (a) to (c), and any additional information about MySuper products or investment options, by applying, adopting or incorporating a matter in writing.</w:t>
      </w:r>
    </w:p>
    <w:p w14:paraId="6962DF54" w14:textId="77777777" w:rsidR="00E93F58" w:rsidRPr="006E709F" w:rsidRDefault="00E93F58" w:rsidP="00A801D0">
      <w:pPr>
        <w:pStyle w:val="ActHead5"/>
      </w:pPr>
      <w:bookmarkStart w:id="3566" w:name="_Toc151992531"/>
      <w:bookmarkStart w:id="3567" w:name="_Toc158713568"/>
      <w:r w:rsidRPr="000C4237">
        <w:rPr>
          <w:rStyle w:val="CharSectno"/>
        </w:rPr>
        <w:t>8</w:t>
      </w:r>
      <w:r w:rsidRPr="006E709F">
        <w:t xml:space="preserve">  Contents of section 6 (Fees and costs)</w:t>
      </w:r>
      <w:bookmarkEnd w:id="3566"/>
      <w:bookmarkEnd w:id="3567"/>
    </w:p>
    <w:p w14:paraId="111E95E6" w14:textId="77777777" w:rsidR="00E93F58" w:rsidRPr="006E709F" w:rsidRDefault="00E93F58" w:rsidP="006937D5">
      <w:pPr>
        <w:pStyle w:val="subsection"/>
      </w:pPr>
      <w:r w:rsidRPr="006E709F">
        <w:tab/>
        <w:t>(1)</w:t>
      </w:r>
      <w:r w:rsidRPr="006E709F">
        <w:tab/>
        <w:t>For each MySuper product or investment option within a superannuation product that is presented in section 5 in detail in accordance with subclause 7(3), section 6 of the Product Disclosure Statement must state:</w:t>
      </w:r>
    </w:p>
    <w:p w14:paraId="5D69601C" w14:textId="77777777" w:rsidR="00E93F58" w:rsidRPr="006E709F" w:rsidRDefault="00E93F58" w:rsidP="006937D5">
      <w:pPr>
        <w:pStyle w:val="paragraph"/>
      </w:pPr>
      <w:r w:rsidRPr="006E709F">
        <w:tab/>
        <w:t>(a)</w:t>
      </w:r>
      <w:r w:rsidRPr="006E709F">
        <w:tab/>
        <w:t>the cost of acquiring the MySuper product or investment option; and</w:t>
      </w:r>
    </w:p>
    <w:p w14:paraId="2E98FDEC" w14:textId="77777777" w:rsidR="00E93F58" w:rsidRPr="006E709F" w:rsidRDefault="00E93F58" w:rsidP="006937D5">
      <w:pPr>
        <w:pStyle w:val="paragraph"/>
      </w:pPr>
      <w:r w:rsidRPr="006E709F">
        <w:tab/>
        <w:t>(b)</w:t>
      </w:r>
      <w:r w:rsidRPr="006E709F">
        <w:tab/>
        <w:t>the fees and costs that are charged in relation to the MySuper product or investment option.</w:t>
      </w:r>
    </w:p>
    <w:p w14:paraId="3E5201DA" w14:textId="77777777" w:rsidR="00E93F58" w:rsidRPr="006E709F" w:rsidRDefault="00E93F58" w:rsidP="006937D5">
      <w:pPr>
        <w:pStyle w:val="notetext"/>
      </w:pPr>
      <w:r w:rsidRPr="006E709F">
        <w:t>Note:</w:t>
      </w:r>
      <w:r w:rsidRPr="006E709F">
        <w:tab/>
        <w:t>The statement will be made using the template set out in subclause (3).</w:t>
      </w:r>
    </w:p>
    <w:p w14:paraId="6B1DEE18" w14:textId="77777777" w:rsidR="00E93F58" w:rsidRPr="006E709F" w:rsidRDefault="00E93F58" w:rsidP="00A801D0">
      <w:pPr>
        <w:pStyle w:val="subsection"/>
      </w:pPr>
      <w:r w:rsidRPr="006E709F">
        <w:tab/>
        <w:t>(2)</w:t>
      </w:r>
      <w:r w:rsidRPr="006E709F">
        <w:tab/>
        <w:t>Before setting out any other substantive material, section 6 must:</w:t>
      </w:r>
    </w:p>
    <w:p w14:paraId="7644101E" w14:textId="77777777" w:rsidR="00E93F58" w:rsidRPr="006E709F" w:rsidRDefault="00E93F58" w:rsidP="00A801D0">
      <w:pPr>
        <w:pStyle w:val="paragraph"/>
      </w:pPr>
      <w:r w:rsidRPr="006E709F">
        <w:tab/>
        <w:t>(a)</w:t>
      </w:r>
      <w:r w:rsidRPr="006E709F">
        <w:tab/>
        <w:t>set out the Consumer Advisory Warning in clause 221 of Schedule 10</w:t>
      </w:r>
      <w:r w:rsidRPr="006E709F">
        <w:rPr>
          <w:szCs w:val="22"/>
        </w:rPr>
        <w:t>; and</w:t>
      </w:r>
    </w:p>
    <w:p w14:paraId="2C2B436A" w14:textId="77777777" w:rsidR="00E93F58" w:rsidRPr="006E709F" w:rsidRDefault="00E93F58" w:rsidP="00A801D0">
      <w:pPr>
        <w:pStyle w:val="paragraph"/>
      </w:pPr>
      <w:r w:rsidRPr="006E709F">
        <w:tab/>
        <w:t>(b)</w:t>
      </w:r>
      <w:r w:rsidRPr="006E709F">
        <w:tab/>
        <w:t>give a concise example in the form set out in the Consumer Advisory Warning in clause 221 of Schedule 10.</w:t>
      </w:r>
    </w:p>
    <w:p w14:paraId="12C5FE5F" w14:textId="77777777" w:rsidR="00E93F58" w:rsidRPr="006E709F" w:rsidRDefault="00E93F58" w:rsidP="006937D5">
      <w:pPr>
        <w:pStyle w:val="subsection"/>
      </w:pPr>
      <w:r w:rsidRPr="006E709F">
        <w:tab/>
        <w:t>(3)</w:t>
      </w:r>
      <w:r w:rsidRPr="006E709F">
        <w:tab/>
        <w:t>Section 6 must set out the fees and costs for each MySuper product or other investment option that is presented in section 5 in detail in accordance with subclause 7(3), using the following templates:</w:t>
      </w:r>
    </w:p>
    <w:p w14:paraId="50BC3337" w14:textId="77777777" w:rsidR="00E93F58" w:rsidRPr="006E709F" w:rsidRDefault="00E93F58" w:rsidP="006937D5">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3591"/>
        <w:gridCol w:w="3592"/>
        <w:gridCol w:w="3590"/>
      </w:tblGrid>
      <w:tr w:rsidR="00E93F58" w:rsidRPr="006E709F" w14:paraId="760C6B90" w14:textId="77777777" w:rsidTr="00E118FA">
        <w:trPr>
          <w:tblHeader/>
        </w:trPr>
        <w:tc>
          <w:tcPr>
            <w:tcW w:w="5000" w:type="pct"/>
            <w:gridSpan w:val="3"/>
            <w:tcBorders>
              <w:top w:val="single" w:sz="12" w:space="0" w:color="auto"/>
              <w:bottom w:val="single" w:sz="6" w:space="0" w:color="auto"/>
            </w:tcBorders>
            <w:shd w:val="clear" w:color="auto" w:fill="auto"/>
          </w:tcPr>
          <w:p w14:paraId="5F05A15E" w14:textId="77777777" w:rsidR="00E93F58" w:rsidRPr="006E709F" w:rsidRDefault="00E93F58" w:rsidP="005133DE">
            <w:pPr>
              <w:pStyle w:val="TableHeading"/>
              <w:rPr>
                <w:i/>
              </w:rPr>
            </w:pPr>
            <w:r w:rsidRPr="006E709F">
              <w:rPr>
                <w:i/>
              </w:rPr>
              <w:t>[Name of superannuation product]</w:t>
            </w:r>
          </w:p>
        </w:tc>
      </w:tr>
      <w:tr w:rsidR="00E93F58" w:rsidRPr="006E709F" w14:paraId="46C98221" w14:textId="77777777" w:rsidTr="00E118FA">
        <w:trPr>
          <w:tblHeader/>
        </w:trPr>
        <w:tc>
          <w:tcPr>
            <w:tcW w:w="1667" w:type="pct"/>
            <w:tcBorders>
              <w:top w:val="single" w:sz="6" w:space="0" w:color="auto"/>
              <w:bottom w:val="single" w:sz="12" w:space="0" w:color="auto"/>
            </w:tcBorders>
            <w:shd w:val="clear" w:color="auto" w:fill="auto"/>
          </w:tcPr>
          <w:p w14:paraId="55875A0A" w14:textId="77777777" w:rsidR="00E93F58" w:rsidRPr="006E709F" w:rsidRDefault="00E93F58" w:rsidP="005133DE">
            <w:pPr>
              <w:pStyle w:val="TableHeading"/>
            </w:pPr>
            <w:r w:rsidRPr="006E709F">
              <w:t>Type of fee</w:t>
            </w:r>
          </w:p>
        </w:tc>
        <w:tc>
          <w:tcPr>
            <w:tcW w:w="1667" w:type="pct"/>
            <w:tcBorders>
              <w:top w:val="single" w:sz="6" w:space="0" w:color="auto"/>
              <w:bottom w:val="single" w:sz="12" w:space="0" w:color="auto"/>
            </w:tcBorders>
            <w:shd w:val="clear" w:color="auto" w:fill="auto"/>
          </w:tcPr>
          <w:p w14:paraId="44960CAC" w14:textId="77777777" w:rsidR="00E93F58" w:rsidRPr="006E709F" w:rsidRDefault="00E93F58" w:rsidP="005133DE">
            <w:pPr>
              <w:pStyle w:val="TableHeading"/>
            </w:pPr>
            <w:r w:rsidRPr="006E709F">
              <w:t>Amount</w:t>
            </w:r>
          </w:p>
        </w:tc>
        <w:tc>
          <w:tcPr>
            <w:tcW w:w="1666" w:type="pct"/>
            <w:tcBorders>
              <w:top w:val="single" w:sz="6" w:space="0" w:color="auto"/>
              <w:bottom w:val="single" w:sz="12" w:space="0" w:color="auto"/>
            </w:tcBorders>
            <w:shd w:val="clear" w:color="auto" w:fill="auto"/>
          </w:tcPr>
          <w:p w14:paraId="4B70F08F" w14:textId="77777777" w:rsidR="00E93F58" w:rsidRPr="006E709F" w:rsidRDefault="00E93F58" w:rsidP="005133DE">
            <w:pPr>
              <w:pStyle w:val="TableHeading"/>
            </w:pPr>
            <w:r w:rsidRPr="006E709F">
              <w:t>How and when paid</w:t>
            </w:r>
          </w:p>
        </w:tc>
      </w:tr>
      <w:tr w:rsidR="00E93F58" w:rsidRPr="006E709F" w14:paraId="5AF579AF" w14:textId="77777777" w:rsidTr="00E118FA">
        <w:tc>
          <w:tcPr>
            <w:tcW w:w="1667" w:type="pct"/>
            <w:tcBorders>
              <w:top w:val="single" w:sz="12" w:space="0" w:color="auto"/>
            </w:tcBorders>
            <w:shd w:val="clear" w:color="auto" w:fill="auto"/>
          </w:tcPr>
          <w:p w14:paraId="3B920035" w14:textId="77777777" w:rsidR="00E93F58" w:rsidRPr="006E709F" w:rsidRDefault="00E93F58" w:rsidP="00A27064">
            <w:pPr>
              <w:pStyle w:val="Tabletext"/>
              <w:rPr>
                <w:i/>
              </w:rPr>
            </w:pPr>
            <w:r w:rsidRPr="006E709F">
              <w:rPr>
                <w:i/>
              </w:rPr>
              <w:t>Investment fee¹</w:t>
            </w:r>
          </w:p>
        </w:tc>
        <w:tc>
          <w:tcPr>
            <w:tcW w:w="1667" w:type="pct"/>
            <w:tcBorders>
              <w:top w:val="single" w:sz="12" w:space="0" w:color="auto"/>
            </w:tcBorders>
            <w:shd w:val="clear" w:color="auto" w:fill="auto"/>
          </w:tcPr>
          <w:p w14:paraId="6B1ED162" w14:textId="77777777" w:rsidR="00E93F58" w:rsidRPr="006E709F" w:rsidRDefault="00E93F58" w:rsidP="00A27064">
            <w:pPr>
              <w:pStyle w:val="Tabletext"/>
            </w:pPr>
          </w:p>
        </w:tc>
        <w:tc>
          <w:tcPr>
            <w:tcW w:w="1666" w:type="pct"/>
            <w:tcBorders>
              <w:top w:val="single" w:sz="12" w:space="0" w:color="auto"/>
            </w:tcBorders>
            <w:shd w:val="clear" w:color="auto" w:fill="auto"/>
          </w:tcPr>
          <w:p w14:paraId="18539E88" w14:textId="77777777" w:rsidR="00E93F58" w:rsidRPr="006E709F" w:rsidRDefault="00E93F58" w:rsidP="00A27064">
            <w:pPr>
              <w:pStyle w:val="Tabletext"/>
            </w:pPr>
          </w:p>
        </w:tc>
      </w:tr>
      <w:tr w:rsidR="00E93F58" w:rsidRPr="006E709F" w14:paraId="3A61194D" w14:textId="77777777" w:rsidTr="00E118FA">
        <w:tc>
          <w:tcPr>
            <w:tcW w:w="1667" w:type="pct"/>
            <w:shd w:val="clear" w:color="auto" w:fill="auto"/>
          </w:tcPr>
          <w:p w14:paraId="164A03D8" w14:textId="77777777" w:rsidR="00E93F58" w:rsidRPr="006E709F" w:rsidRDefault="00E93F58" w:rsidP="00A27064">
            <w:pPr>
              <w:pStyle w:val="Tabletext"/>
              <w:rPr>
                <w:i/>
              </w:rPr>
            </w:pPr>
            <w:r w:rsidRPr="006E709F">
              <w:rPr>
                <w:i/>
              </w:rPr>
              <w:t>Administration fee¹</w:t>
            </w:r>
          </w:p>
        </w:tc>
        <w:tc>
          <w:tcPr>
            <w:tcW w:w="1667" w:type="pct"/>
            <w:shd w:val="clear" w:color="auto" w:fill="auto"/>
          </w:tcPr>
          <w:p w14:paraId="30824412" w14:textId="77777777" w:rsidR="00E93F58" w:rsidRPr="006E709F" w:rsidRDefault="00E93F58" w:rsidP="00A27064">
            <w:pPr>
              <w:pStyle w:val="Tabletext"/>
            </w:pPr>
          </w:p>
        </w:tc>
        <w:tc>
          <w:tcPr>
            <w:tcW w:w="1666" w:type="pct"/>
            <w:shd w:val="clear" w:color="auto" w:fill="auto"/>
          </w:tcPr>
          <w:p w14:paraId="107A2EC6" w14:textId="77777777" w:rsidR="00E93F58" w:rsidRPr="006E709F" w:rsidRDefault="00E93F58" w:rsidP="00A27064">
            <w:pPr>
              <w:pStyle w:val="Tabletext"/>
            </w:pPr>
          </w:p>
        </w:tc>
      </w:tr>
      <w:tr w:rsidR="00E93F58" w:rsidRPr="006E709F" w14:paraId="52DF5FCB" w14:textId="77777777" w:rsidTr="00E118FA">
        <w:tc>
          <w:tcPr>
            <w:tcW w:w="1667" w:type="pct"/>
            <w:shd w:val="clear" w:color="auto" w:fill="auto"/>
          </w:tcPr>
          <w:p w14:paraId="3A1481BB" w14:textId="77777777" w:rsidR="00E93F58" w:rsidRPr="006E709F" w:rsidRDefault="00E93F58" w:rsidP="00A27064">
            <w:pPr>
              <w:pStyle w:val="Tabletext"/>
              <w:rPr>
                <w:i/>
              </w:rPr>
            </w:pPr>
            <w:r w:rsidRPr="006E709F">
              <w:rPr>
                <w:i/>
              </w:rPr>
              <w:t>Buy</w:t>
            </w:r>
            <w:r>
              <w:rPr>
                <w:i/>
              </w:rPr>
              <w:noBreakHyphen/>
            </w:r>
            <w:r w:rsidRPr="006E709F">
              <w:rPr>
                <w:i/>
              </w:rPr>
              <w:t>sell spread</w:t>
            </w:r>
          </w:p>
        </w:tc>
        <w:tc>
          <w:tcPr>
            <w:tcW w:w="1667" w:type="pct"/>
            <w:shd w:val="clear" w:color="auto" w:fill="auto"/>
          </w:tcPr>
          <w:p w14:paraId="3FC1A5D8" w14:textId="77777777" w:rsidR="00E93F58" w:rsidRPr="006E709F" w:rsidRDefault="00E93F58" w:rsidP="00A27064">
            <w:pPr>
              <w:pStyle w:val="Tabletext"/>
            </w:pPr>
          </w:p>
        </w:tc>
        <w:tc>
          <w:tcPr>
            <w:tcW w:w="1666" w:type="pct"/>
            <w:shd w:val="clear" w:color="auto" w:fill="auto"/>
          </w:tcPr>
          <w:p w14:paraId="0304312E" w14:textId="77777777" w:rsidR="00E93F58" w:rsidRPr="006E709F" w:rsidRDefault="00E93F58" w:rsidP="00A27064">
            <w:pPr>
              <w:pStyle w:val="Tabletext"/>
            </w:pPr>
          </w:p>
        </w:tc>
      </w:tr>
      <w:tr w:rsidR="00E93F58" w:rsidRPr="006E709F" w14:paraId="49A0A4C0" w14:textId="77777777" w:rsidTr="00E118FA">
        <w:tc>
          <w:tcPr>
            <w:tcW w:w="1667" w:type="pct"/>
            <w:shd w:val="clear" w:color="auto" w:fill="auto"/>
          </w:tcPr>
          <w:p w14:paraId="5E6ABD6C" w14:textId="77777777" w:rsidR="00E93F58" w:rsidRPr="006E709F" w:rsidRDefault="00E93F58" w:rsidP="00A27064">
            <w:pPr>
              <w:pStyle w:val="Tabletext"/>
              <w:rPr>
                <w:i/>
              </w:rPr>
            </w:pPr>
            <w:r w:rsidRPr="006E709F">
              <w:rPr>
                <w:i/>
              </w:rPr>
              <w:t>Switching fee</w:t>
            </w:r>
          </w:p>
        </w:tc>
        <w:tc>
          <w:tcPr>
            <w:tcW w:w="1667" w:type="pct"/>
            <w:shd w:val="clear" w:color="auto" w:fill="auto"/>
          </w:tcPr>
          <w:p w14:paraId="3FF1BE70" w14:textId="77777777" w:rsidR="00E93F58" w:rsidRPr="006E709F" w:rsidRDefault="00E93F58" w:rsidP="00A27064">
            <w:pPr>
              <w:pStyle w:val="Tabletext"/>
            </w:pPr>
          </w:p>
        </w:tc>
        <w:tc>
          <w:tcPr>
            <w:tcW w:w="1666" w:type="pct"/>
            <w:shd w:val="clear" w:color="auto" w:fill="auto"/>
          </w:tcPr>
          <w:p w14:paraId="38239F3C" w14:textId="77777777" w:rsidR="00E93F58" w:rsidRPr="006E709F" w:rsidRDefault="00E93F58" w:rsidP="00A27064">
            <w:pPr>
              <w:pStyle w:val="Tabletext"/>
            </w:pPr>
          </w:p>
        </w:tc>
      </w:tr>
      <w:tr w:rsidR="00E93F58" w:rsidRPr="006E709F" w14:paraId="2454FA26" w14:textId="77777777" w:rsidTr="00E118FA">
        <w:tc>
          <w:tcPr>
            <w:tcW w:w="1667" w:type="pct"/>
            <w:tcBorders>
              <w:bottom w:val="single" w:sz="4" w:space="0" w:color="auto"/>
            </w:tcBorders>
            <w:shd w:val="clear" w:color="auto" w:fill="auto"/>
          </w:tcPr>
          <w:p w14:paraId="32DD3F6E" w14:textId="77777777" w:rsidR="00E93F58" w:rsidRPr="006E709F" w:rsidRDefault="00E93F58" w:rsidP="00A27064">
            <w:pPr>
              <w:pStyle w:val="Tabletext"/>
              <w:rPr>
                <w:i/>
              </w:rPr>
            </w:pPr>
            <w:r w:rsidRPr="006E709F">
              <w:rPr>
                <w:i/>
              </w:rPr>
              <w:t>Advice fees</w:t>
            </w:r>
          </w:p>
          <w:p w14:paraId="6CD72517" w14:textId="77777777" w:rsidR="00E93F58" w:rsidRPr="006E709F" w:rsidRDefault="00E93F58" w:rsidP="00A27064">
            <w:pPr>
              <w:pStyle w:val="Tabletext"/>
            </w:pPr>
            <w:r w:rsidRPr="006E709F">
              <w:t>relating to all members investing in a particular MySuper product or investment option</w:t>
            </w:r>
          </w:p>
        </w:tc>
        <w:tc>
          <w:tcPr>
            <w:tcW w:w="1667" w:type="pct"/>
            <w:tcBorders>
              <w:bottom w:val="single" w:sz="4" w:space="0" w:color="auto"/>
            </w:tcBorders>
            <w:shd w:val="clear" w:color="auto" w:fill="auto"/>
          </w:tcPr>
          <w:p w14:paraId="14B6E429" w14:textId="77777777" w:rsidR="00E93F58" w:rsidRPr="006E709F" w:rsidRDefault="00E93F58" w:rsidP="00A27064">
            <w:pPr>
              <w:pStyle w:val="Tabletext"/>
            </w:pPr>
          </w:p>
        </w:tc>
        <w:tc>
          <w:tcPr>
            <w:tcW w:w="1666" w:type="pct"/>
            <w:tcBorders>
              <w:bottom w:val="single" w:sz="4" w:space="0" w:color="auto"/>
            </w:tcBorders>
            <w:shd w:val="clear" w:color="auto" w:fill="auto"/>
          </w:tcPr>
          <w:p w14:paraId="475BB5A9" w14:textId="77777777" w:rsidR="00E93F58" w:rsidRPr="006E709F" w:rsidRDefault="00E93F58" w:rsidP="00A27064">
            <w:pPr>
              <w:pStyle w:val="Tabletext"/>
            </w:pPr>
          </w:p>
        </w:tc>
      </w:tr>
      <w:tr w:rsidR="00E93F58" w:rsidRPr="006E709F" w14:paraId="18EAB56E" w14:textId="77777777" w:rsidTr="00E118FA">
        <w:tc>
          <w:tcPr>
            <w:tcW w:w="1667" w:type="pct"/>
            <w:shd w:val="clear" w:color="auto" w:fill="auto"/>
          </w:tcPr>
          <w:p w14:paraId="6B0D50E7" w14:textId="77777777" w:rsidR="00E93F58" w:rsidRPr="006E709F" w:rsidRDefault="00E93F58" w:rsidP="00A27064">
            <w:pPr>
              <w:pStyle w:val="Tabletext"/>
              <w:rPr>
                <w:i/>
              </w:rPr>
            </w:pPr>
            <w:r w:rsidRPr="006E709F">
              <w:rPr>
                <w:i/>
              </w:rPr>
              <w:t>Other fees and costs²</w:t>
            </w:r>
          </w:p>
        </w:tc>
        <w:tc>
          <w:tcPr>
            <w:tcW w:w="1667" w:type="pct"/>
            <w:shd w:val="clear" w:color="auto" w:fill="auto"/>
          </w:tcPr>
          <w:p w14:paraId="78E5AA98" w14:textId="77777777" w:rsidR="00E93F58" w:rsidRPr="006E709F" w:rsidRDefault="00E93F58" w:rsidP="00A27064">
            <w:pPr>
              <w:pStyle w:val="Tabletext"/>
            </w:pPr>
          </w:p>
        </w:tc>
        <w:tc>
          <w:tcPr>
            <w:tcW w:w="1666" w:type="pct"/>
            <w:shd w:val="clear" w:color="auto" w:fill="auto"/>
          </w:tcPr>
          <w:p w14:paraId="1DCE9304" w14:textId="77777777" w:rsidR="00E93F58" w:rsidRPr="006E709F" w:rsidRDefault="00E93F58" w:rsidP="00A27064">
            <w:pPr>
              <w:pStyle w:val="Tabletext"/>
            </w:pPr>
          </w:p>
        </w:tc>
      </w:tr>
      <w:tr w:rsidR="00E93F58" w:rsidRPr="006E709F" w14:paraId="2FA9A941" w14:textId="77777777" w:rsidTr="00E118FA">
        <w:tc>
          <w:tcPr>
            <w:tcW w:w="1667" w:type="pct"/>
            <w:tcBorders>
              <w:bottom w:val="single" w:sz="12" w:space="0" w:color="auto"/>
            </w:tcBorders>
            <w:shd w:val="clear" w:color="auto" w:fill="auto"/>
          </w:tcPr>
          <w:p w14:paraId="7F3F008B" w14:textId="77777777" w:rsidR="00E93F58" w:rsidRPr="006E709F" w:rsidRDefault="00E93F58" w:rsidP="00A27064">
            <w:pPr>
              <w:pStyle w:val="Tabletext"/>
              <w:rPr>
                <w:i/>
              </w:rPr>
            </w:pPr>
            <w:r w:rsidRPr="006E709F">
              <w:rPr>
                <w:i/>
              </w:rPr>
              <w:t>Indirect cost ratio¹</w:t>
            </w:r>
          </w:p>
        </w:tc>
        <w:tc>
          <w:tcPr>
            <w:tcW w:w="1667" w:type="pct"/>
            <w:tcBorders>
              <w:bottom w:val="single" w:sz="12" w:space="0" w:color="auto"/>
            </w:tcBorders>
            <w:shd w:val="clear" w:color="auto" w:fill="auto"/>
          </w:tcPr>
          <w:p w14:paraId="2F04CE8E" w14:textId="77777777" w:rsidR="00E93F58" w:rsidRPr="006E709F" w:rsidRDefault="00E93F58" w:rsidP="00A27064">
            <w:pPr>
              <w:pStyle w:val="Tabletext"/>
            </w:pPr>
          </w:p>
        </w:tc>
        <w:tc>
          <w:tcPr>
            <w:tcW w:w="1666" w:type="pct"/>
            <w:tcBorders>
              <w:bottom w:val="single" w:sz="12" w:space="0" w:color="auto"/>
            </w:tcBorders>
            <w:shd w:val="clear" w:color="auto" w:fill="auto"/>
          </w:tcPr>
          <w:p w14:paraId="6674F360" w14:textId="77777777" w:rsidR="00E93F58" w:rsidRPr="006E709F" w:rsidRDefault="00E93F58" w:rsidP="00A27064">
            <w:pPr>
              <w:pStyle w:val="Tabletext"/>
            </w:pPr>
          </w:p>
        </w:tc>
      </w:tr>
    </w:tbl>
    <w:p w14:paraId="1ACEF45D" w14:textId="77777777" w:rsidR="00E93F58" w:rsidRPr="006E709F" w:rsidRDefault="00E93F58" w:rsidP="00636892">
      <w:pPr>
        <w:pStyle w:val="notemargin"/>
      </w:pPr>
      <w:r w:rsidRPr="006E709F">
        <w:t>1.</w:t>
      </w:r>
      <w:r w:rsidRPr="006E709F">
        <w:tab/>
        <w:t>If your account balance for a product offered by the superannuation entity is less than $6,000 at the end of the entity’s income year, the total combined amount of administration fees, investment fees and indirect costs charged to you is capped at 3% of the account balance. Any amount charged in excess of that cap must be refunded.</w:t>
      </w:r>
    </w:p>
    <w:p w14:paraId="10814DC8" w14:textId="77777777" w:rsidR="00E93F58" w:rsidRPr="006E709F" w:rsidRDefault="00E93F58" w:rsidP="006937D5">
      <w:pPr>
        <w:pStyle w:val="notemargin"/>
      </w:pPr>
      <w:r w:rsidRPr="006E709F">
        <w:lastRenderedPageBreak/>
        <w:t>2.</w:t>
      </w:r>
      <w:r w:rsidRPr="006E709F">
        <w:tab/>
      </w:r>
      <w:r w:rsidRPr="006E709F">
        <w:rPr>
          <w:i/>
        </w:rPr>
        <w:t>[If there are other fees and costs, such as activity fees, advice fees for personal advice or insurance fees, include a cross</w:t>
      </w:r>
      <w:r>
        <w:rPr>
          <w:i/>
        </w:rPr>
        <w:noBreakHyphen/>
      </w:r>
      <w:r w:rsidRPr="006E709F">
        <w:rPr>
          <w:i/>
        </w:rPr>
        <w:t>reference to the “Additional Explanation of Fees and Costs”.]</w:t>
      </w:r>
    </w:p>
    <w:p w14:paraId="4B91BBC3" w14:textId="77777777" w:rsidR="00E93F58" w:rsidRPr="006E709F" w:rsidRDefault="00E93F58" w:rsidP="00A801D0">
      <w:pPr>
        <w:pStyle w:val="subsection"/>
      </w:pPr>
      <w:r w:rsidRPr="006E709F">
        <w:tab/>
        <w:t>(4)</w:t>
      </w:r>
      <w:r w:rsidRPr="006E709F">
        <w:tab/>
        <w:t>The template is to be completed in accordance with Division 3 of Schedule 10 (including definitions applicable to that Division), except that:</w:t>
      </w:r>
    </w:p>
    <w:p w14:paraId="30DCF3F8" w14:textId="77777777" w:rsidR="00E93F58" w:rsidRPr="006E709F" w:rsidRDefault="00E93F58" w:rsidP="00A801D0">
      <w:pPr>
        <w:pStyle w:val="paragraph"/>
      </w:pPr>
      <w:r w:rsidRPr="006E709F">
        <w:tab/>
        <w:t>(a)</w:t>
      </w:r>
      <w:r w:rsidRPr="006E709F">
        <w:tab/>
        <w:t>clauses 203, 205, 206 and 207 and subclause 208(2) do not apply; and</w:t>
      </w:r>
    </w:p>
    <w:p w14:paraId="2788398D" w14:textId="77777777" w:rsidR="00E93F58" w:rsidRPr="006E709F" w:rsidRDefault="00E93F58" w:rsidP="00A801D0">
      <w:pPr>
        <w:pStyle w:val="paragraph"/>
      </w:pPr>
      <w:r w:rsidRPr="006E709F">
        <w:tab/>
        <w:t>(b)</w:t>
      </w:r>
      <w:r w:rsidRPr="006E709F">
        <w:tab/>
        <w:t>the reference in clause 204 to clause 205 and clause 206 does not apply; and</w:t>
      </w:r>
    </w:p>
    <w:p w14:paraId="3014A280" w14:textId="77777777" w:rsidR="00E93F58" w:rsidRPr="006E709F" w:rsidRDefault="00E93F58" w:rsidP="00A801D0">
      <w:pPr>
        <w:pStyle w:val="paragraph"/>
      </w:pPr>
      <w:r w:rsidRPr="006E709F">
        <w:tab/>
        <w:t>(c)</w:t>
      </w:r>
      <w:r w:rsidRPr="006E709F">
        <w:tab/>
        <w:t>the example in subclause 208(1) is to be treated as stating:</w:t>
      </w:r>
    </w:p>
    <w:p w14:paraId="22AADEE5" w14:textId="77777777" w:rsidR="00E93F58" w:rsidRPr="006E709F" w:rsidRDefault="00E93F58" w:rsidP="00A801D0">
      <w:pPr>
        <w:pStyle w:val="paragraph"/>
      </w:pPr>
      <w:r w:rsidRPr="006E709F">
        <w:tab/>
      </w:r>
      <w:r w:rsidRPr="006E709F">
        <w:tab/>
        <w:t>“(for example, by using an asterisk with a footnote stating ‘The amount of this fee can be negotiated’)”.</w:t>
      </w:r>
    </w:p>
    <w:p w14:paraId="1035BB3B" w14:textId="77777777" w:rsidR="00E93F58" w:rsidRPr="006E709F" w:rsidRDefault="00E93F58" w:rsidP="00A801D0">
      <w:pPr>
        <w:pStyle w:val="subsection"/>
      </w:pPr>
      <w:r w:rsidRPr="006E709F">
        <w:tab/>
        <w:t>(5)</w:t>
      </w:r>
      <w:r w:rsidRPr="006E709F">
        <w:tab/>
        <w:t>Section 6 must set out the information about fee changes set out in paragraph 209(k) of Schedule 10.</w:t>
      </w:r>
    </w:p>
    <w:p w14:paraId="785C7735" w14:textId="77777777" w:rsidR="00E93F58" w:rsidRPr="006E709F" w:rsidRDefault="00E93F58" w:rsidP="00A801D0">
      <w:pPr>
        <w:pStyle w:val="subsection"/>
      </w:pPr>
      <w:r w:rsidRPr="006E709F">
        <w:tab/>
        <w:t>(6)</w:t>
      </w:r>
      <w:r w:rsidRPr="006E709F">
        <w:tab/>
        <w:t>Section 6 must:</w:t>
      </w:r>
    </w:p>
    <w:p w14:paraId="0E5635FA" w14:textId="77777777" w:rsidR="00E93F58" w:rsidRPr="006E709F" w:rsidRDefault="00E93F58" w:rsidP="00A801D0">
      <w:pPr>
        <w:pStyle w:val="paragraph"/>
      </w:pPr>
      <w:r w:rsidRPr="006E709F">
        <w:tab/>
        <w:t>(a)</w:t>
      </w:r>
      <w:r w:rsidRPr="006E709F">
        <w:tab/>
        <w:t>state that the information in the template can be used to compare costs between different superannuation products; and</w:t>
      </w:r>
    </w:p>
    <w:p w14:paraId="1C6165E7" w14:textId="77777777" w:rsidR="00E93F58" w:rsidRPr="006E709F" w:rsidRDefault="00E93F58" w:rsidP="00A801D0">
      <w:pPr>
        <w:pStyle w:val="paragraph"/>
      </w:pPr>
      <w:r w:rsidRPr="006E709F">
        <w:tab/>
        <w:t>(b)</w:t>
      </w:r>
      <w:r w:rsidRPr="006E709F">
        <w:tab/>
        <w:t>state concisely, and in general terms, that fees and costs can be paid directly from the person’s account or deducted from investment returns.</w:t>
      </w:r>
    </w:p>
    <w:p w14:paraId="5F8F1D97" w14:textId="77777777" w:rsidR="00E93F58" w:rsidRPr="006E709F" w:rsidRDefault="00E93F58" w:rsidP="006937D5">
      <w:pPr>
        <w:pStyle w:val="subsection"/>
      </w:pPr>
      <w:r w:rsidRPr="006E709F">
        <w:tab/>
        <w:t>(6A)</w:t>
      </w:r>
      <w:r w:rsidRPr="006E709F">
        <w:tab/>
        <w:t>Section 6 must:</w:t>
      </w:r>
    </w:p>
    <w:p w14:paraId="106F1F6C" w14:textId="77777777" w:rsidR="00E93F58" w:rsidRPr="006E709F" w:rsidRDefault="00E93F58" w:rsidP="006937D5">
      <w:pPr>
        <w:pStyle w:val="paragraph"/>
      </w:pPr>
      <w:r w:rsidRPr="006E709F">
        <w:tab/>
        <w:t>(a)</w:t>
      </w:r>
      <w:r w:rsidRPr="006E709F">
        <w:tab/>
        <w:t>apply, adopt or incorporate the definitions in relation to fees mentioned in section 29V or subsection 99BA(2) of the SIS Act; and</w:t>
      </w:r>
    </w:p>
    <w:p w14:paraId="1215257D" w14:textId="77777777" w:rsidR="00E93F58" w:rsidRPr="006E709F" w:rsidRDefault="00E93F58" w:rsidP="006937D5">
      <w:pPr>
        <w:pStyle w:val="paragraph"/>
      </w:pPr>
      <w:r w:rsidRPr="006E709F">
        <w:tab/>
        <w:t>(b)</w:t>
      </w:r>
      <w:r w:rsidRPr="006E709F">
        <w:tab/>
        <w:t>include the address of a link to the definitions maintained on a website.</w:t>
      </w:r>
    </w:p>
    <w:p w14:paraId="504BE92D" w14:textId="77777777" w:rsidR="00E93F58" w:rsidRPr="006E709F" w:rsidRDefault="00E93F58" w:rsidP="006937D5">
      <w:pPr>
        <w:pStyle w:val="subsection"/>
      </w:pPr>
      <w:r w:rsidRPr="006E709F">
        <w:tab/>
        <w:t>(7)</w:t>
      </w:r>
      <w:r w:rsidRPr="006E709F">
        <w:tab/>
        <w:t>Section 6 must give a worked example for each MySuper product or investment option described in section 5.</w:t>
      </w:r>
    </w:p>
    <w:p w14:paraId="0B3D491B" w14:textId="77777777" w:rsidR="00E93F58" w:rsidRPr="006E709F" w:rsidRDefault="00E93F58" w:rsidP="006937D5">
      <w:pPr>
        <w:pStyle w:val="subsection"/>
      </w:pPr>
      <w:r w:rsidRPr="006E709F">
        <w:tab/>
        <w:t>(7A)</w:t>
      </w:r>
      <w:r w:rsidRPr="006E709F">
        <w:tab/>
        <w:t>The example given must be in accordance with Divisions 5 and 6 of Schedule 10 (including the definitions applicable to those Divisions).</w:t>
      </w:r>
    </w:p>
    <w:p w14:paraId="492A378C" w14:textId="77777777" w:rsidR="00E93F58" w:rsidRPr="006E709F" w:rsidRDefault="00E93F58" w:rsidP="00A801D0">
      <w:pPr>
        <w:pStyle w:val="subsection"/>
      </w:pPr>
      <w:r w:rsidRPr="006E709F">
        <w:tab/>
        <w:t>(8)</w:t>
      </w:r>
      <w:r w:rsidRPr="006E709F">
        <w:tab/>
        <w:t>Section 6:</w:t>
      </w:r>
    </w:p>
    <w:p w14:paraId="73A1CC2D" w14:textId="77777777" w:rsidR="00E93F58" w:rsidRPr="006E709F" w:rsidRDefault="00E93F58" w:rsidP="00A801D0">
      <w:pPr>
        <w:pStyle w:val="paragraph"/>
      </w:pPr>
      <w:r w:rsidRPr="006E709F">
        <w:tab/>
        <w:t>(a)</w:t>
      </w:r>
      <w:r w:rsidRPr="006E709F">
        <w:tab/>
        <w:t>must refer to the calculator provided by ASIC on its FIDO website or a similar website operated by or on behalf of ASIC; and</w:t>
      </w:r>
    </w:p>
    <w:p w14:paraId="2122BDC8" w14:textId="77777777" w:rsidR="00E93F58" w:rsidRPr="006E709F" w:rsidRDefault="00E93F58" w:rsidP="00A801D0">
      <w:pPr>
        <w:pStyle w:val="paragraph"/>
      </w:pPr>
      <w:r w:rsidRPr="006E709F">
        <w:tab/>
        <w:t>(b)</w:t>
      </w:r>
      <w:r w:rsidRPr="006E709F">
        <w:tab/>
        <w:t>may also refer to the calculator (if any) provided by the superannuation trustee on its website; and</w:t>
      </w:r>
    </w:p>
    <w:p w14:paraId="4CD756A1" w14:textId="77777777" w:rsidR="00E93F58" w:rsidRPr="006E709F" w:rsidRDefault="00E93F58" w:rsidP="00A801D0">
      <w:pPr>
        <w:pStyle w:val="paragraph"/>
      </w:pPr>
      <w:r w:rsidRPr="006E709F">
        <w:tab/>
        <w:t>(c)</w:t>
      </w:r>
      <w:r w:rsidRPr="006E709F">
        <w:tab/>
        <w:t>must state that each calculator referred to can be used to calculate the effect of fees and costs on account balances.</w:t>
      </w:r>
    </w:p>
    <w:p w14:paraId="7C23486F" w14:textId="77777777" w:rsidR="00E93F58" w:rsidRPr="006E709F" w:rsidRDefault="00E93F58" w:rsidP="00A801D0">
      <w:pPr>
        <w:pStyle w:val="subsection"/>
      </w:pPr>
      <w:r w:rsidRPr="006E709F">
        <w:tab/>
        <w:t>(9)</w:t>
      </w:r>
      <w:r w:rsidRPr="006E709F">
        <w:tab/>
        <w:t>If additional fees may be payable to a financial advisor, section 6 must:</w:t>
      </w:r>
    </w:p>
    <w:p w14:paraId="709EC461" w14:textId="77777777" w:rsidR="00E93F58" w:rsidRPr="006E709F" w:rsidRDefault="00E93F58" w:rsidP="00A801D0">
      <w:pPr>
        <w:pStyle w:val="paragraph"/>
      </w:pPr>
      <w:r w:rsidRPr="006E709F">
        <w:tab/>
        <w:t>(a)</w:t>
      </w:r>
      <w:r w:rsidRPr="006E709F">
        <w:tab/>
        <w:t>state, in the form of a warning, that additional fees may be paid to a financial advisor if a financial advisor is consulted; and</w:t>
      </w:r>
    </w:p>
    <w:p w14:paraId="15E0B966" w14:textId="77777777" w:rsidR="00E93F58" w:rsidRPr="006E709F" w:rsidRDefault="00E93F58" w:rsidP="00A801D0">
      <w:pPr>
        <w:pStyle w:val="paragraph"/>
      </w:pPr>
      <w:r w:rsidRPr="006E709F">
        <w:tab/>
        <w:t>(b)</w:t>
      </w:r>
      <w:r w:rsidRPr="006E709F">
        <w:tab/>
        <w:t>refer to the Statement of Advice in which details of the fees are set out; and</w:t>
      </w:r>
    </w:p>
    <w:p w14:paraId="693530C7" w14:textId="77777777" w:rsidR="00E93F58" w:rsidRPr="006E709F" w:rsidRDefault="00E93F58" w:rsidP="00A801D0">
      <w:pPr>
        <w:pStyle w:val="paragraph"/>
      </w:pPr>
      <w:r w:rsidRPr="006E709F">
        <w:tab/>
        <w:t>(c)</w:t>
      </w:r>
      <w:r w:rsidRPr="006E709F">
        <w:tab/>
        <w:t>if applicable:</w:t>
      </w:r>
    </w:p>
    <w:p w14:paraId="389D415F" w14:textId="77777777" w:rsidR="00E93F58" w:rsidRPr="006E709F" w:rsidRDefault="00E93F58" w:rsidP="00A801D0">
      <w:pPr>
        <w:pStyle w:val="paragraphsub"/>
      </w:pPr>
      <w:r w:rsidRPr="006E709F">
        <w:tab/>
        <w:t>(i)</w:t>
      </w:r>
      <w:r w:rsidRPr="006E709F">
        <w:tab/>
        <w:t>state that fees may be paid to the employer entity’s financial adviser; and</w:t>
      </w:r>
    </w:p>
    <w:p w14:paraId="03E1B5C1" w14:textId="77777777" w:rsidR="00E93F58" w:rsidRPr="006E709F" w:rsidRDefault="00E93F58" w:rsidP="00A801D0">
      <w:pPr>
        <w:pStyle w:val="paragraphsub"/>
      </w:pPr>
      <w:r w:rsidRPr="006E709F">
        <w:tab/>
        <w:t>(ii)</w:t>
      </w:r>
      <w:r w:rsidRPr="006E709F">
        <w:tab/>
        <w:t>explain how the fees are determined.</w:t>
      </w:r>
    </w:p>
    <w:p w14:paraId="0506513C" w14:textId="77777777" w:rsidR="00E93F58" w:rsidRPr="006E709F" w:rsidRDefault="00E93F58" w:rsidP="00A801D0">
      <w:pPr>
        <w:pStyle w:val="subsection"/>
      </w:pPr>
      <w:r w:rsidRPr="006E709F">
        <w:tab/>
        <w:t>(10)</w:t>
      </w:r>
      <w:r w:rsidRPr="006E709F">
        <w:tab/>
        <w:t>The superannuation trustee:</w:t>
      </w:r>
    </w:p>
    <w:p w14:paraId="5E670D0A" w14:textId="77777777" w:rsidR="00E93F58" w:rsidRPr="006E709F" w:rsidRDefault="00E93F58" w:rsidP="00A801D0">
      <w:pPr>
        <w:pStyle w:val="paragraph"/>
      </w:pPr>
      <w:r w:rsidRPr="006E709F">
        <w:tab/>
        <w:t>(a)</w:t>
      </w:r>
      <w:r w:rsidRPr="006E709F">
        <w:tab/>
        <w:t>must provide the fees and costs of each of the MySuper products and investment options in accordance with Schedule 10, and may do so by applying, adopting or incorporating a matter in writing; and</w:t>
      </w:r>
    </w:p>
    <w:p w14:paraId="326C12D9" w14:textId="77777777" w:rsidR="00E93F58" w:rsidRPr="006E709F" w:rsidRDefault="00E93F58" w:rsidP="00A801D0">
      <w:pPr>
        <w:pStyle w:val="paragraph"/>
      </w:pPr>
      <w:r w:rsidRPr="006E709F">
        <w:tab/>
        <w:t>(b)</w:t>
      </w:r>
      <w:r w:rsidRPr="006E709F">
        <w:tab/>
        <w:t>may provide more detailed information about fees and costs by applying, adopting or incorporating a matter in writing.</w:t>
      </w:r>
    </w:p>
    <w:p w14:paraId="771BDCFB" w14:textId="77777777" w:rsidR="00E93F58" w:rsidRPr="006E709F" w:rsidRDefault="00E93F58" w:rsidP="00A801D0">
      <w:pPr>
        <w:pStyle w:val="ActHead5"/>
      </w:pPr>
      <w:bookmarkStart w:id="3568" w:name="_Toc151992532"/>
      <w:bookmarkStart w:id="3569" w:name="_Toc158713569"/>
      <w:r w:rsidRPr="000C4237">
        <w:rPr>
          <w:rStyle w:val="CharSectno"/>
        </w:rPr>
        <w:t>9</w:t>
      </w:r>
      <w:r w:rsidRPr="006E709F">
        <w:t xml:space="preserve">  Contents of section 7 (How super is taxed)</w:t>
      </w:r>
      <w:bookmarkEnd w:id="3568"/>
      <w:bookmarkEnd w:id="3569"/>
    </w:p>
    <w:p w14:paraId="02F97456" w14:textId="77777777" w:rsidR="00E93F58" w:rsidRPr="006E709F" w:rsidRDefault="00E93F58" w:rsidP="00A801D0">
      <w:pPr>
        <w:pStyle w:val="subsection"/>
      </w:pPr>
      <w:r w:rsidRPr="006E709F">
        <w:tab/>
        <w:t>(1)</w:t>
      </w:r>
      <w:r w:rsidRPr="006E709F">
        <w:tab/>
        <w:t>Section 7 of the Product Disclosure Statement must describe, in the form of a summary, the significant tax information relating to superannuation products, including:</w:t>
      </w:r>
    </w:p>
    <w:p w14:paraId="36F0B121" w14:textId="77777777" w:rsidR="00E93F58" w:rsidRPr="006E709F" w:rsidRDefault="00E93F58" w:rsidP="00A801D0">
      <w:pPr>
        <w:pStyle w:val="paragraph"/>
      </w:pPr>
      <w:r w:rsidRPr="006E709F">
        <w:tab/>
        <w:t>(a)</w:t>
      </w:r>
      <w:r w:rsidRPr="006E709F">
        <w:tab/>
        <w:t>how tax amounts due are paid; and</w:t>
      </w:r>
    </w:p>
    <w:p w14:paraId="4AC80712" w14:textId="77777777" w:rsidR="00E93F58" w:rsidRPr="006E709F" w:rsidRDefault="00E93F58" w:rsidP="00A801D0">
      <w:pPr>
        <w:pStyle w:val="paragraph"/>
      </w:pPr>
      <w:r w:rsidRPr="006E709F">
        <w:tab/>
        <w:t>(b)</w:t>
      </w:r>
      <w:r w:rsidRPr="006E709F">
        <w:tab/>
        <w:t>the main taxes that are payable in relation to contributions (if contributions are permitted), fund earnings and withdrawals.</w:t>
      </w:r>
    </w:p>
    <w:p w14:paraId="76C42456" w14:textId="77777777" w:rsidR="00E93F58" w:rsidRPr="006E709F" w:rsidRDefault="00E93F58" w:rsidP="00A801D0">
      <w:pPr>
        <w:pStyle w:val="subsection"/>
      </w:pPr>
      <w:r w:rsidRPr="006E709F">
        <w:tab/>
        <w:t>(2)</w:t>
      </w:r>
      <w:r w:rsidRPr="006E709F">
        <w:tab/>
        <w:t>Section 7 must:</w:t>
      </w:r>
    </w:p>
    <w:p w14:paraId="5DB2FF89" w14:textId="77777777" w:rsidR="00E93F58" w:rsidRPr="006E709F" w:rsidRDefault="00E93F58" w:rsidP="00A801D0">
      <w:pPr>
        <w:pStyle w:val="paragraph"/>
      </w:pPr>
      <w:r w:rsidRPr="006E709F">
        <w:tab/>
        <w:t>(a)</w:t>
      </w:r>
      <w:r w:rsidRPr="006E709F">
        <w:tab/>
        <w:t>state, in the form of a warning, that the person should provide the person’s tax file number as part of acquiring the superannuation product; and</w:t>
      </w:r>
    </w:p>
    <w:p w14:paraId="37021432" w14:textId="77777777" w:rsidR="00E93F58" w:rsidRPr="006E709F" w:rsidRDefault="00E93F58" w:rsidP="00A801D0">
      <w:pPr>
        <w:pStyle w:val="paragraph"/>
      </w:pPr>
      <w:r w:rsidRPr="006E709F">
        <w:lastRenderedPageBreak/>
        <w:tab/>
        <w:t>(b)</w:t>
      </w:r>
      <w:r w:rsidRPr="006E709F">
        <w:tab/>
        <w:t>explain, in the form of a summary, the consequences if the person does not provide the person’s tax file number; and</w:t>
      </w:r>
    </w:p>
    <w:p w14:paraId="65CD8B71" w14:textId="77777777" w:rsidR="00E93F58" w:rsidRPr="006E709F" w:rsidRDefault="00E93F58" w:rsidP="00A801D0">
      <w:pPr>
        <w:pStyle w:val="paragraph"/>
      </w:pPr>
      <w:r w:rsidRPr="006E709F">
        <w:tab/>
        <w:t>(c)</w:t>
      </w:r>
      <w:r w:rsidRPr="006E709F">
        <w:tab/>
        <w:t>if contributions are permitted—set out a warning that there will be taxation consequences if the contribution caps applicable to superannuation are exceeded.</w:t>
      </w:r>
    </w:p>
    <w:p w14:paraId="196B609E" w14:textId="77777777" w:rsidR="00E93F58" w:rsidRPr="006E709F" w:rsidRDefault="00E93F58" w:rsidP="00A801D0">
      <w:pPr>
        <w:pStyle w:val="subsection"/>
      </w:pPr>
      <w:r w:rsidRPr="006E709F">
        <w:tab/>
        <w:t>(3)</w:t>
      </w:r>
      <w:r w:rsidRPr="006E709F">
        <w:tab/>
        <w:t>The superannuation trustee may provide additional information about taxation matters relating to superannuation products by applying, adopting or incorporating a matter in writing.</w:t>
      </w:r>
    </w:p>
    <w:p w14:paraId="47665CD3" w14:textId="77777777" w:rsidR="00E93F58" w:rsidRPr="006E709F" w:rsidRDefault="00E93F58" w:rsidP="00A801D0">
      <w:pPr>
        <w:pStyle w:val="ActHead5"/>
      </w:pPr>
      <w:bookmarkStart w:id="3570" w:name="_Toc151992533"/>
      <w:bookmarkStart w:id="3571" w:name="_Toc158713570"/>
      <w:r w:rsidRPr="000C4237">
        <w:rPr>
          <w:rStyle w:val="CharSectno"/>
        </w:rPr>
        <w:t>10</w:t>
      </w:r>
      <w:r w:rsidRPr="006E709F">
        <w:t xml:space="preserve">  Contents of section 8 (Insurance in your super)</w:t>
      </w:r>
      <w:bookmarkEnd w:id="3570"/>
      <w:bookmarkEnd w:id="3571"/>
    </w:p>
    <w:p w14:paraId="3D03D2CF" w14:textId="77777777" w:rsidR="00E93F58" w:rsidRPr="006E709F" w:rsidRDefault="00E93F58" w:rsidP="00A801D0">
      <w:pPr>
        <w:pStyle w:val="subsection"/>
      </w:pPr>
      <w:r w:rsidRPr="006E709F">
        <w:tab/>
        <w:t>(1)</w:t>
      </w:r>
      <w:r w:rsidRPr="006E709F">
        <w:tab/>
        <w:t>If the superannuation product does not offer insurance cover, the Product Disclosure Statement is not required to include any of the information in this clause.</w:t>
      </w:r>
    </w:p>
    <w:p w14:paraId="56BB25F7" w14:textId="77777777" w:rsidR="00E93F58" w:rsidRPr="006E709F" w:rsidRDefault="00E93F58" w:rsidP="00A801D0">
      <w:pPr>
        <w:pStyle w:val="subsection"/>
      </w:pPr>
      <w:r w:rsidRPr="006E709F">
        <w:tab/>
        <w:t>(2)</w:t>
      </w:r>
      <w:r w:rsidRPr="006E709F">
        <w:tab/>
        <w:t>If the superannuation product offers insurance cover, section 8 must:</w:t>
      </w:r>
    </w:p>
    <w:p w14:paraId="64AC5B9B" w14:textId="77777777" w:rsidR="00E93F58" w:rsidRPr="006E709F" w:rsidRDefault="00E93F58" w:rsidP="00A801D0">
      <w:pPr>
        <w:pStyle w:val="paragraph"/>
      </w:pPr>
      <w:r w:rsidRPr="006E709F">
        <w:tab/>
        <w:t>(a)</w:t>
      </w:r>
      <w:r w:rsidRPr="006E709F">
        <w:tab/>
        <w:t>describe, in the form of a summary, the main types of insurance cover that a person can acquire; and</w:t>
      </w:r>
    </w:p>
    <w:p w14:paraId="43433235" w14:textId="77777777" w:rsidR="00E93F58" w:rsidRPr="006E709F" w:rsidRDefault="00E93F58" w:rsidP="00A801D0">
      <w:pPr>
        <w:pStyle w:val="paragraph"/>
      </w:pPr>
      <w:r w:rsidRPr="006E709F">
        <w:tab/>
        <w:t>(b)</w:t>
      </w:r>
      <w:r w:rsidRPr="006E709F">
        <w:tab/>
        <w:t>describe, in the form of a summary, how to apply for insurance cover; and</w:t>
      </w:r>
    </w:p>
    <w:p w14:paraId="03EA007C" w14:textId="77777777" w:rsidR="00E93F58" w:rsidRPr="006E709F" w:rsidRDefault="00E93F58" w:rsidP="00A801D0">
      <w:pPr>
        <w:pStyle w:val="paragraph"/>
      </w:pPr>
      <w:r w:rsidRPr="006E709F">
        <w:tab/>
        <w:t>(c)</w:t>
      </w:r>
      <w:r w:rsidRPr="006E709F">
        <w:tab/>
        <w:t>include a statement to the effect that there are costs associated with insurance cover; and</w:t>
      </w:r>
    </w:p>
    <w:p w14:paraId="432157BC" w14:textId="77777777" w:rsidR="00E93F58" w:rsidRPr="006E709F" w:rsidRDefault="00E93F58" w:rsidP="00A801D0">
      <w:pPr>
        <w:pStyle w:val="paragraph"/>
      </w:pPr>
      <w:r w:rsidRPr="006E709F">
        <w:tab/>
        <w:t>(d)</w:t>
      </w:r>
      <w:r w:rsidRPr="006E709F">
        <w:tab/>
        <w:t>describe, in the form of a summary, who is responsible for paying the insurance costs and how they are calculated.</w:t>
      </w:r>
    </w:p>
    <w:p w14:paraId="712F9418" w14:textId="77777777" w:rsidR="00E93F58" w:rsidRPr="006E709F" w:rsidRDefault="00E93F58" w:rsidP="00A801D0">
      <w:pPr>
        <w:pStyle w:val="subsection"/>
      </w:pPr>
      <w:r w:rsidRPr="006E709F">
        <w:tab/>
        <w:t>(3)</w:t>
      </w:r>
      <w:r w:rsidRPr="006E709F">
        <w:tab/>
        <w:t>If the superannuation product offers insurance cover by default, section 8 must:</w:t>
      </w:r>
    </w:p>
    <w:p w14:paraId="495163E4" w14:textId="77777777" w:rsidR="00E93F58" w:rsidRPr="006E709F" w:rsidRDefault="00E93F58" w:rsidP="00A801D0">
      <w:pPr>
        <w:pStyle w:val="paragraph"/>
      </w:pPr>
      <w:r w:rsidRPr="006E709F">
        <w:tab/>
        <w:t>(a)</w:t>
      </w:r>
      <w:r w:rsidRPr="006E709F">
        <w:tab/>
        <w:t>describe, in the form of a summary, the level and type of cover; and</w:t>
      </w:r>
    </w:p>
    <w:p w14:paraId="5271EF61" w14:textId="77777777" w:rsidR="00E93F58" w:rsidRPr="006E709F" w:rsidRDefault="00E93F58" w:rsidP="00A801D0">
      <w:pPr>
        <w:pStyle w:val="paragraph"/>
      </w:pPr>
      <w:r w:rsidRPr="006E709F">
        <w:tab/>
        <w:t>(b)</w:t>
      </w:r>
      <w:r w:rsidRPr="006E709F">
        <w:tab/>
        <w:t>state:</w:t>
      </w:r>
    </w:p>
    <w:p w14:paraId="77F93600" w14:textId="77777777" w:rsidR="00E93F58" w:rsidRPr="006E709F" w:rsidRDefault="00E93F58" w:rsidP="00A801D0">
      <w:pPr>
        <w:pStyle w:val="paragraphsub"/>
      </w:pPr>
      <w:r w:rsidRPr="006E709F">
        <w:tab/>
        <w:t>(i)</w:t>
      </w:r>
      <w:r w:rsidRPr="006E709F">
        <w:tab/>
        <w:t>the actual cost of the cover in dollars, or the range of costs that would be payable depending on a person’s circumstances; and</w:t>
      </w:r>
    </w:p>
    <w:p w14:paraId="2E998F11" w14:textId="77777777" w:rsidR="00E93F58" w:rsidRPr="006E709F" w:rsidRDefault="00E93F58" w:rsidP="00A801D0">
      <w:pPr>
        <w:pStyle w:val="paragraphsub"/>
      </w:pPr>
      <w:r w:rsidRPr="006E709F">
        <w:tab/>
        <w:t>(ii)</w:t>
      </w:r>
      <w:r w:rsidRPr="006E709F">
        <w:tab/>
        <w:t>who is responsible for paying the costs; and</w:t>
      </w:r>
    </w:p>
    <w:p w14:paraId="54125CC3" w14:textId="77777777" w:rsidR="00E93F58" w:rsidRPr="006E709F" w:rsidRDefault="00E93F58" w:rsidP="00A801D0">
      <w:pPr>
        <w:pStyle w:val="paragraph"/>
      </w:pPr>
      <w:r w:rsidRPr="006E709F">
        <w:tab/>
        <w:t>(c)</w:t>
      </w:r>
      <w:r w:rsidRPr="006E709F">
        <w:tab/>
        <w:t>state whether a person can:</w:t>
      </w:r>
    </w:p>
    <w:p w14:paraId="5F7D79A8" w14:textId="77777777" w:rsidR="00E93F58" w:rsidRPr="006E709F" w:rsidRDefault="00E93F58" w:rsidP="00A801D0">
      <w:pPr>
        <w:pStyle w:val="paragraphsub"/>
      </w:pPr>
      <w:r w:rsidRPr="006E709F">
        <w:tab/>
        <w:t>(i)</w:t>
      </w:r>
      <w:r w:rsidRPr="006E709F">
        <w:tab/>
        <w:t>decline to acquire the cover; or</w:t>
      </w:r>
    </w:p>
    <w:p w14:paraId="6BB1138C" w14:textId="77777777" w:rsidR="00E93F58" w:rsidRPr="006E709F" w:rsidRDefault="00E93F58" w:rsidP="00A801D0">
      <w:pPr>
        <w:pStyle w:val="paragraphsub"/>
      </w:pPr>
      <w:r w:rsidRPr="006E709F">
        <w:tab/>
        <w:t>(ii)</w:t>
      </w:r>
      <w:r w:rsidRPr="006E709F">
        <w:tab/>
        <w:t>cancel the cover; and</w:t>
      </w:r>
    </w:p>
    <w:p w14:paraId="0347C2D2" w14:textId="77777777" w:rsidR="00E93F58" w:rsidRPr="006E709F" w:rsidRDefault="00E93F58" w:rsidP="00A801D0">
      <w:pPr>
        <w:pStyle w:val="paragraph"/>
      </w:pPr>
      <w:r w:rsidRPr="006E709F">
        <w:tab/>
        <w:t>(d)</w:t>
      </w:r>
      <w:r w:rsidRPr="006E709F">
        <w:tab/>
        <w:t>state how a person can decline to acquire the cover or cancel the cover; and</w:t>
      </w:r>
    </w:p>
    <w:p w14:paraId="7309A78F" w14:textId="77777777" w:rsidR="00E93F58" w:rsidRPr="006E709F" w:rsidRDefault="00E93F58" w:rsidP="00A801D0">
      <w:pPr>
        <w:pStyle w:val="paragraph"/>
      </w:pPr>
      <w:r w:rsidRPr="006E709F">
        <w:tab/>
        <w:t>(e)</w:t>
      </w:r>
      <w:r w:rsidRPr="006E709F">
        <w:tab/>
        <w:t>state whether a person can change the person’s insurance cover; and</w:t>
      </w:r>
    </w:p>
    <w:p w14:paraId="546E1EC6" w14:textId="77777777" w:rsidR="00E93F58" w:rsidRPr="006E709F" w:rsidRDefault="00E93F58" w:rsidP="00A801D0">
      <w:pPr>
        <w:pStyle w:val="paragraph"/>
      </w:pPr>
      <w:r w:rsidRPr="006E709F">
        <w:tab/>
        <w:t>(f)</w:t>
      </w:r>
      <w:r w:rsidRPr="006E709F">
        <w:tab/>
        <w:t>state how a person can change the person’s insurance cover; and</w:t>
      </w:r>
    </w:p>
    <w:p w14:paraId="1F9F6C38" w14:textId="77777777" w:rsidR="00E93F58" w:rsidRPr="006E709F" w:rsidRDefault="00E93F58" w:rsidP="00A801D0">
      <w:pPr>
        <w:pStyle w:val="paragraph"/>
      </w:pPr>
      <w:r w:rsidRPr="006E709F">
        <w:tab/>
        <w:t>(g)</w:t>
      </w:r>
      <w:r w:rsidRPr="006E709F">
        <w:tab/>
        <w:t>state, in the form of a warning, that, unless a person declines to acquire the default insurance cover or cancels it, the cost of the cover will be deducted from the person’s account or from the person’s contributions (as applicable); and</w:t>
      </w:r>
    </w:p>
    <w:p w14:paraId="42077576" w14:textId="77777777" w:rsidR="00E93F58" w:rsidRPr="006E709F" w:rsidRDefault="00E93F58" w:rsidP="00A801D0">
      <w:pPr>
        <w:pStyle w:val="paragraph"/>
      </w:pPr>
      <w:r w:rsidRPr="006E709F">
        <w:tab/>
        <w:t>(h)</w:t>
      </w:r>
      <w:r w:rsidRPr="006E709F">
        <w:tab/>
        <w:t>include information about eligibility for, and the cancellation of, the insurance cover; and</w:t>
      </w:r>
    </w:p>
    <w:p w14:paraId="333216E5" w14:textId="77777777" w:rsidR="00E93F58" w:rsidRPr="006E709F" w:rsidRDefault="00E93F58" w:rsidP="00A801D0">
      <w:pPr>
        <w:pStyle w:val="paragraph"/>
      </w:pPr>
      <w:r w:rsidRPr="006E709F">
        <w:tab/>
        <w:t>(i)</w:t>
      </w:r>
      <w:r w:rsidRPr="006E709F">
        <w:tab/>
        <w:t>include information about any conditions and exclusions that are applicable to the insurance cover.</w:t>
      </w:r>
    </w:p>
    <w:p w14:paraId="23A51FAB" w14:textId="77777777" w:rsidR="00E93F58" w:rsidRPr="006E709F" w:rsidRDefault="00E93F58" w:rsidP="00A801D0">
      <w:pPr>
        <w:pStyle w:val="subsection"/>
      </w:pPr>
      <w:r w:rsidRPr="006E709F">
        <w:tab/>
        <w:t>(4)</w:t>
      </w:r>
      <w:r w:rsidRPr="006E709F">
        <w:tab/>
        <w:t>If the superannuation product does not offer insurance cover by default but offers insurance cover as an option, section 8 must include the following information:</w:t>
      </w:r>
    </w:p>
    <w:p w14:paraId="10BC99BF" w14:textId="77777777" w:rsidR="00E93F58" w:rsidRPr="006E709F" w:rsidRDefault="00E93F58" w:rsidP="00A801D0">
      <w:pPr>
        <w:pStyle w:val="paragraph"/>
      </w:pPr>
      <w:r w:rsidRPr="006E709F">
        <w:tab/>
        <w:t>(a)</w:t>
      </w:r>
      <w:r w:rsidRPr="006E709F">
        <w:tab/>
        <w:t>the level and type of insurance cover available;</w:t>
      </w:r>
    </w:p>
    <w:p w14:paraId="2E62F7D3" w14:textId="77777777" w:rsidR="00E93F58" w:rsidRPr="006E709F" w:rsidRDefault="00E93F58" w:rsidP="00A801D0">
      <w:pPr>
        <w:pStyle w:val="paragraph"/>
      </w:pPr>
      <w:r w:rsidRPr="006E709F">
        <w:tab/>
        <w:t>(b)</w:t>
      </w:r>
      <w:r w:rsidRPr="006E709F">
        <w:tab/>
        <w:t>the actual cost of the cover in dollars, or the range of costs that would be payable depending on a person’s circumstances;</w:t>
      </w:r>
    </w:p>
    <w:p w14:paraId="25CA1F6A" w14:textId="77777777" w:rsidR="00E93F58" w:rsidRPr="006E709F" w:rsidRDefault="00E93F58" w:rsidP="00A801D0">
      <w:pPr>
        <w:pStyle w:val="paragraph"/>
      </w:pPr>
      <w:r w:rsidRPr="006E709F">
        <w:tab/>
        <w:t>(c)</w:t>
      </w:r>
      <w:r w:rsidRPr="006E709F">
        <w:tab/>
        <w:t>eligibility for, and the cancellation of, the insurance cover;</w:t>
      </w:r>
    </w:p>
    <w:p w14:paraId="5623DD1B" w14:textId="77777777" w:rsidR="00E93F58" w:rsidRPr="006E709F" w:rsidRDefault="00E93F58" w:rsidP="00A801D0">
      <w:pPr>
        <w:pStyle w:val="paragraph"/>
      </w:pPr>
      <w:r w:rsidRPr="006E709F">
        <w:tab/>
        <w:t>(d)</w:t>
      </w:r>
      <w:r w:rsidRPr="006E709F">
        <w:tab/>
        <w:t>any conditions and exclusions that are applicable to the insurance cover;</w:t>
      </w:r>
    </w:p>
    <w:p w14:paraId="38E6261B" w14:textId="77777777" w:rsidR="00E93F58" w:rsidRPr="006E709F" w:rsidRDefault="00E93F58" w:rsidP="00A801D0">
      <w:pPr>
        <w:pStyle w:val="paragraph"/>
      </w:pPr>
      <w:r w:rsidRPr="006E709F">
        <w:tab/>
        <w:t>(e)</w:t>
      </w:r>
      <w:r w:rsidRPr="006E709F">
        <w:tab/>
        <w:t>any other significant matter in relation to insurance cover.</w:t>
      </w:r>
    </w:p>
    <w:p w14:paraId="7050B6B8" w14:textId="77777777" w:rsidR="00E93F58" w:rsidRPr="006E709F" w:rsidRDefault="00E93F58" w:rsidP="007A71D2">
      <w:pPr>
        <w:pStyle w:val="notetext"/>
      </w:pPr>
      <w:r w:rsidRPr="006E709F">
        <w:t>Examples for paragraph (e):</w:t>
      </w:r>
    </w:p>
    <w:p w14:paraId="637E93AC" w14:textId="77777777" w:rsidR="00E93F58" w:rsidRPr="006E709F" w:rsidRDefault="00E93F58" w:rsidP="007A71D2">
      <w:pPr>
        <w:pStyle w:val="notetext"/>
      </w:pPr>
      <w:r w:rsidRPr="006E709F">
        <w:t>1</w:t>
      </w:r>
      <w:r w:rsidRPr="006E709F">
        <w:tab/>
        <w:t>Information about how a person can apply for the insurance cover.</w:t>
      </w:r>
    </w:p>
    <w:p w14:paraId="09F41DCE" w14:textId="77777777" w:rsidR="00E93F58" w:rsidRPr="006E709F" w:rsidRDefault="00E93F58" w:rsidP="007A71D2">
      <w:pPr>
        <w:pStyle w:val="notetext"/>
      </w:pPr>
      <w:r w:rsidRPr="006E709F">
        <w:t>2</w:t>
      </w:r>
      <w:r w:rsidRPr="006E709F">
        <w:tab/>
        <w:t>Information about how a person can subsequently change or cancel the insurance cover.</w:t>
      </w:r>
    </w:p>
    <w:p w14:paraId="75282606" w14:textId="77777777" w:rsidR="00E93F58" w:rsidRPr="006E709F" w:rsidRDefault="00E93F58" w:rsidP="00A801D0">
      <w:pPr>
        <w:pStyle w:val="subsection"/>
      </w:pPr>
      <w:r w:rsidRPr="006E709F">
        <w:tab/>
        <w:t>(5)</w:t>
      </w:r>
      <w:r w:rsidRPr="006E709F">
        <w:tab/>
        <w:t>The superannuation trustee:</w:t>
      </w:r>
    </w:p>
    <w:p w14:paraId="2047AB3E" w14:textId="77777777" w:rsidR="00E93F58" w:rsidRPr="006E709F" w:rsidRDefault="00E93F58" w:rsidP="00A801D0">
      <w:pPr>
        <w:pStyle w:val="paragraph"/>
      </w:pPr>
      <w:r w:rsidRPr="006E709F">
        <w:tab/>
        <w:t>(a)</w:t>
      </w:r>
      <w:r w:rsidRPr="006E709F">
        <w:tab/>
        <w:t>may provide the information in paragraphs (3)(h) and (i) and subclause (4); and</w:t>
      </w:r>
    </w:p>
    <w:p w14:paraId="7881351F" w14:textId="77777777" w:rsidR="00E93F58" w:rsidRPr="006E709F" w:rsidRDefault="00E93F58" w:rsidP="00A801D0">
      <w:pPr>
        <w:pStyle w:val="paragraph"/>
      </w:pPr>
      <w:r w:rsidRPr="006E709F">
        <w:tab/>
        <w:t>(b)</w:t>
      </w:r>
      <w:r w:rsidRPr="006E709F">
        <w:tab/>
        <w:t>may provide additional information about insurance cover;</w:t>
      </w:r>
    </w:p>
    <w:p w14:paraId="0FDFF108" w14:textId="77777777" w:rsidR="00E93F58" w:rsidRPr="006E709F" w:rsidRDefault="00E93F58" w:rsidP="00A801D0">
      <w:pPr>
        <w:pStyle w:val="subsection2"/>
      </w:pPr>
      <w:r w:rsidRPr="006E709F">
        <w:t>by applying, adopting or incorporating a matter in writing.</w:t>
      </w:r>
    </w:p>
    <w:p w14:paraId="1D2E82AB" w14:textId="77777777" w:rsidR="00E93F58" w:rsidRPr="006E709F" w:rsidRDefault="00E93F58" w:rsidP="00A801D0">
      <w:pPr>
        <w:pStyle w:val="subsection"/>
      </w:pPr>
      <w:r w:rsidRPr="006E709F">
        <w:tab/>
        <w:t>(6)</w:t>
      </w:r>
      <w:r w:rsidRPr="006E709F">
        <w:tab/>
        <w:t>If information about:</w:t>
      </w:r>
    </w:p>
    <w:p w14:paraId="1C57ADE5" w14:textId="77777777" w:rsidR="00E93F58" w:rsidRPr="006E709F" w:rsidRDefault="00E93F58" w:rsidP="00A801D0">
      <w:pPr>
        <w:pStyle w:val="paragraph"/>
      </w:pPr>
      <w:r w:rsidRPr="006E709F">
        <w:tab/>
        <w:t>(a)</w:t>
      </w:r>
      <w:r w:rsidRPr="006E709F">
        <w:tab/>
        <w:t>eligibility for, or the cancellation of, the insurance cover; or</w:t>
      </w:r>
    </w:p>
    <w:p w14:paraId="6AB6E083" w14:textId="77777777" w:rsidR="00E93F58" w:rsidRPr="006E709F" w:rsidRDefault="00E93F58" w:rsidP="00A801D0">
      <w:pPr>
        <w:pStyle w:val="paragraph"/>
      </w:pPr>
      <w:r w:rsidRPr="006E709F">
        <w:tab/>
        <w:t>(b)</w:t>
      </w:r>
      <w:r w:rsidRPr="006E709F">
        <w:tab/>
        <w:t>any conditions and exclusions that are applicable to the insurance cover;</w:t>
      </w:r>
    </w:p>
    <w:p w14:paraId="04CFF5E2" w14:textId="77777777" w:rsidR="00E93F58" w:rsidRPr="006E709F" w:rsidRDefault="00E93F58" w:rsidP="00A801D0">
      <w:pPr>
        <w:pStyle w:val="subsection2"/>
      </w:pPr>
      <w:r w:rsidRPr="006E709F">
        <w:lastRenderedPageBreak/>
        <w:t>is provided for in accordance with subclause (5), section 8 must include a warning to the effect that the matter may affect a person’s entitlement to insurance cover and that the information should be read before deciding whether the insurance is appropriate.</w:t>
      </w:r>
    </w:p>
    <w:p w14:paraId="39188EFB" w14:textId="77777777" w:rsidR="00E93F58" w:rsidRPr="006E709F" w:rsidRDefault="00E93F58" w:rsidP="00A801D0">
      <w:pPr>
        <w:pStyle w:val="subsection"/>
      </w:pPr>
      <w:r w:rsidRPr="006E709F">
        <w:tab/>
        <w:t>(7)</w:t>
      </w:r>
      <w:r w:rsidRPr="006E709F">
        <w:tab/>
        <w:t>If information about:</w:t>
      </w:r>
    </w:p>
    <w:p w14:paraId="7E320FA4" w14:textId="77777777" w:rsidR="00E93F58" w:rsidRPr="006E709F" w:rsidRDefault="00E93F58" w:rsidP="00A801D0">
      <w:pPr>
        <w:pStyle w:val="paragraph"/>
      </w:pPr>
      <w:r w:rsidRPr="006E709F">
        <w:tab/>
        <w:t>(a)</w:t>
      </w:r>
      <w:r w:rsidRPr="006E709F">
        <w:tab/>
        <w:t>the level and type of optional insurance cover available; or</w:t>
      </w:r>
    </w:p>
    <w:p w14:paraId="618F0C53" w14:textId="77777777" w:rsidR="00E93F58" w:rsidRPr="006E709F" w:rsidRDefault="00E93F58" w:rsidP="00A801D0">
      <w:pPr>
        <w:pStyle w:val="paragraph"/>
      </w:pPr>
      <w:r w:rsidRPr="006E709F">
        <w:tab/>
        <w:t>(b)</w:t>
      </w:r>
      <w:r w:rsidRPr="006E709F">
        <w:tab/>
        <w:t>the actual cost of the optional insurance cover in dollars, or the range of costs that would be payable depending on a person’s circumstances; or</w:t>
      </w:r>
    </w:p>
    <w:p w14:paraId="47D8AED5" w14:textId="77777777" w:rsidR="00E93F58" w:rsidRPr="006E709F" w:rsidRDefault="00E93F58" w:rsidP="00A801D0">
      <w:pPr>
        <w:pStyle w:val="paragraph"/>
      </w:pPr>
      <w:r w:rsidRPr="006E709F">
        <w:tab/>
        <w:t>(c)</w:t>
      </w:r>
      <w:r w:rsidRPr="006E709F">
        <w:tab/>
        <w:t>any other significant matter in relation to insurance cover;</w:t>
      </w:r>
    </w:p>
    <w:p w14:paraId="5EB803AF" w14:textId="77777777" w:rsidR="00E93F58" w:rsidRPr="006E709F" w:rsidRDefault="00E93F58" w:rsidP="00A801D0">
      <w:pPr>
        <w:pStyle w:val="subsection2"/>
      </w:pPr>
      <w:r w:rsidRPr="006E709F">
        <w:t>is provided for in accordance with subclause (5), section 8 must include a warning to the effect that the information should be read before deciding whether the insurance is appropriate.</w:t>
      </w:r>
    </w:p>
    <w:p w14:paraId="54723667" w14:textId="77777777" w:rsidR="00E93F58" w:rsidRPr="006E709F" w:rsidRDefault="00E93F58" w:rsidP="00A801D0">
      <w:pPr>
        <w:pStyle w:val="ActHead5"/>
      </w:pPr>
      <w:bookmarkStart w:id="3572" w:name="_Toc151992534"/>
      <w:bookmarkStart w:id="3573" w:name="_Toc158713571"/>
      <w:r w:rsidRPr="000C4237">
        <w:rPr>
          <w:rStyle w:val="CharSectno"/>
        </w:rPr>
        <w:t>11</w:t>
      </w:r>
      <w:r w:rsidRPr="006E709F">
        <w:t xml:space="preserve">  Contents of section 9 (How to open an account)</w:t>
      </w:r>
      <w:bookmarkEnd w:id="3572"/>
      <w:bookmarkEnd w:id="3573"/>
    </w:p>
    <w:p w14:paraId="3C9DE17D" w14:textId="77777777" w:rsidR="00E93F58" w:rsidRPr="006E709F" w:rsidRDefault="00E93F58" w:rsidP="00A801D0">
      <w:pPr>
        <w:pStyle w:val="subsection"/>
      </w:pPr>
      <w:r w:rsidRPr="006E709F">
        <w:tab/>
        <w:t>(1)</w:t>
      </w:r>
      <w:r w:rsidRPr="006E709F">
        <w:tab/>
        <w:t>Section 9 of the Product Disclosure Statement must, if applicable:</w:t>
      </w:r>
    </w:p>
    <w:p w14:paraId="0FE04A9C" w14:textId="77777777" w:rsidR="00E93F58" w:rsidRPr="006E709F" w:rsidRDefault="00E93F58" w:rsidP="00A801D0">
      <w:pPr>
        <w:pStyle w:val="paragraph"/>
      </w:pPr>
      <w:r w:rsidRPr="006E709F">
        <w:tab/>
        <w:t>(a)</w:t>
      </w:r>
      <w:r w:rsidRPr="006E709F">
        <w:tab/>
        <w:t>describe, in the form of a summary, how to open an account with the superannuation provider; and</w:t>
      </w:r>
    </w:p>
    <w:p w14:paraId="2A9B001D" w14:textId="77777777" w:rsidR="00E93F58" w:rsidRPr="006E709F" w:rsidRDefault="00E93F58" w:rsidP="00A801D0">
      <w:pPr>
        <w:pStyle w:val="paragraph"/>
      </w:pPr>
      <w:r w:rsidRPr="006E709F">
        <w:tab/>
        <w:t>(b)</w:t>
      </w:r>
      <w:r w:rsidRPr="006E709F">
        <w:tab/>
        <w:t>explain the cooling</w:t>
      </w:r>
      <w:r>
        <w:noBreakHyphen/>
      </w:r>
      <w:r w:rsidRPr="006E709F">
        <w:t>off period that applies to the superannuation product; and</w:t>
      </w:r>
    </w:p>
    <w:p w14:paraId="17603047" w14:textId="77777777" w:rsidR="00E93F58" w:rsidRPr="006E709F" w:rsidRDefault="00E93F58" w:rsidP="00A801D0">
      <w:pPr>
        <w:pStyle w:val="paragraph"/>
      </w:pPr>
      <w:r w:rsidRPr="006E709F">
        <w:tab/>
        <w:t>(c)</w:t>
      </w:r>
      <w:r w:rsidRPr="006E709F">
        <w:tab/>
        <w:t>explain how to make a complaint (by means that include the provision of relevant contact details).</w:t>
      </w:r>
    </w:p>
    <w:p w14:paraId="6028E22B" w14:textId="77777777" w:rsidR="00E93F58" w:rsidRPr="006E709F" w:rsidRDefault="00E93F58" w:rsidP="00A801D0">
      <w:pPr>
        <w:pStyle w:val="notetext"/>
      </w:pPr>
      <w:r w:rsidRPr="006E709F">
        <w:t>Note:</w:t>
      </w:r>
      <w:r w:rsidRPr="006E709F">
        <w:tab/>
        <w:t>The effect of subclause 10(1) is that the Product Disclosure Statement is not required to include section 8 (as set out in clause 10) if the superannuation product does not offer insurance cover. In that case, subclause 2(2) allows the Statement to present the information in this clause as “section 8” or “section 9”.</w:t>
      </w:r>
    </w:p>
    <w:p w14:paraId="1B796550" w14:textId="77777777" w:rsidR="00E93F58" w:rsidRPr="006E709F" w:rsidRDefault="00E93F58" w:rsidP="00A801D0">
      <w:pPr>
        <w:pStyle w:val="subsection"/>
      </w:pPr>
      <w:r w:rsidRPr="006E709F">
        <w:tab/>
        <w:t>(2)</w:t>
      </w:r>
      <w:r w:rsidRPr="006E709F">
        <w:tab/>
        <w:t>The superannuation trustee:</w:t>
      </w:r>
    </w:p>
    <w:p w14:paraId="1B3071CD" w14:textId="77777777" w:rsidR="00E93F58" w:rsidRPr="006E709F" w:rsidRDefault="00E93F58" w:rsidP="00A801D0">
      <w:pPr>
        <w:pStyle w:val="paragraph"/>
      </w:pPr>
      <w:r w:rsidRPr="006E709F">
        <w:tab/>
        <w:t>(a)</w:t>
      </w:r>
      <w:r w:rsidRPr="006E709F">
        <w:tab/>
        <w:t>may provide more detailed information about cooling</w:t>
      </w:r>
      <w:r>
        <w:noBreakHyphen/>
      </w:r>
      <w:r w:rsidRPr="006E709F">
        <w:t>off periods, complaints and dispute resolution; and</w:t>
      </w:r>
    </w:p>
    <w:p w14:paraId="2C8A80BE" w14:textId="77777777" w:rsidR="00E93F58" w:rsidRPr="006E709F" w:rsidRDefault="00E93F58" w:rsidP="00A801D0">
      <w:pPr>
        <w:pStyle w:val="paragraph"/>
      </w:pPr>
      <w:r w:rsidRPr="006E709F">
        <w:tab/>
        <w:t>(b)</w:t>
      </w:r>
      <w:r w:rsidRPr="006E709F">
        <w:tab/>
        <w:t>may provide that information by applying, adopting or incorporating a matter in writing.</w:t>
      </w:r>
    </w:p>
    <w:p w14:paraId="5879C680" w14:textId="77777777" w:rsidR="00E93F58" w:rsidRPr="006E709F" w:rsidRDefault="00E93F58" w:rsidP="00A801D0">
      <w:pPr>
        <w:pStyle w:val="ActHead1"/>
        <w:pageBreakBefore/>
      </w:pPr>
      <w:bookmarkStart w:id="3574" w:name="_Toc151992535"/>
      <w:bookmarkStart w:id="3575" w:name="_Toc158713572"/>
      <w:r w:rsidRPr="000C4237">
        <w:rPr>
          <w:rStyle w:val="CharChapNo"/>
        </w:rPr>
        <w:lastRenderedPageBreak/>
        <w:t>Schedule 10E</w:t>
      </w:r>
      <w:r w:rsidRPr="006E709F">
        <w:t>—</w:t>
      </w:r>
      <w:r w:rsidRPr="000C4237">
        <w:rPr>
          <w:rStyle w:val="CharChapText"/>
        </w:rPr>
        <w:t>Form and content of Product Disclosure Statement—simple managed investment scheme</w:t>
      </w:r>
      <w:bookmarkEnd w:id="3574"/>
      <w:bookmarkEnd w:id="3575"/>
    </w:p>
    <w:p w14:paraId="52C0EF4C" w14:textId="77777777" w:rsidR="00E93F58" w:rsidRPr="006E709F" w:rsidRDefault="00E93F58" w:rsidP="00A801D0">
      <w:pPr>
        <w:pStyle w:val="notemargin"/>
      </w:pPr>
      <w:r w:rsidRPr="006E709F">
        <w:t>(regulation 7.9.11W)</w:t>
      </w:r>
    </w:p>
    <w:p w14:paraId="4EA9056F" w14:textId="77777777" w:rsidR="00E93F58" w:rsidRPr="006E709F" w:rsidRDefault="00E93F58" w:rsidP="003638DE">
      <w:pPr>
        <w:pStyle w:val="Header"/>
      </w:pPr>
      <w:r w:rsidRPr="000C4237">
        <w:rPr>
          <w:rStyle w:val="CharPartNo"/>
        </w:rPr>
        <w:t xml:space="preserve"> </w:t>
      </w:r>
      <w:r w:rsidRPr="000C4237">
        <w:rPr>
          <w:rStyle w:val="CharPartText"/>
        </w:rPr>
        <w:t xml:space="preserve"> </w:t>
      </w:r>
    </w:p>
    <w:p w14:paraId="45425076" w14:textId="77777777" w:rsidR="00E93F58" w:rsidRPr="006E709F" w:rsidRDefault="00E93F58" w:rsidP="00A801D0">
      <w:pPr>
        <w:pStyle w:val="ActHead5"/>
      </w:pPr>
      <w:bookmarkStart w:id="3576" w:name="_Toc151992536"/>
      <w:bookmarkStart w:id="3577" w:name="_Toc158713573"/>
      <w:r w:rsidRPr="000C4237">
        <w:rPr>
          <w:rStyle w:val="CharSectno"/>
        </w:rPr>
        <w:t>1</w:t>
      </w:r>
      <w:r w:rsidRPr="006E709F">
        <w:t xml:space="preserve">  Length and font size for Product Disclosure Statement for simple managed investment scheme</w:t>
      </w:r>
      <w:bookmarkEnd w:id="3576"/>
      <w:bookmarkEnd w:id="3577"/>
    </w:p>
    <w:p w14:paraId="1C15903E" w14:textId="77777777" w:rsidR="00E93F58" w:rsidRPr="006E709F" w:rsidRDefault="00E93F58" w:rsidP="00A801D0">
      <w:pPr>
        <w:pStyle w:val="subsection"/>
      </w:pPr>
      <w:r w:rsidRPr="006E709F">
        <w:tab/>
        <w:t>(1)</w:t>
      </w:r>
      <w:r w:rsidRPr="006E709F">
        <w:tab/>
        <w:t>The length of a Product Disclosure Statement for a simple managed investment scheme to which Subdivision 4.2C of Division 4 of Part 7.9 applies (not including any matter in writing that is applied, adopted or incorporated by the Statement) must not exceed:</w:t>
      </w:r>
    </w:p>
    <w:p w14:paraId="024B580B" w14:textId="77777777" w:rsidR="00E93F58" w:rsidRPr="006E709F" w:rsidRDefault="00E93F58" w:rsidP="00A801D0">
      <w:pPr>
        <w:pStyle w:val="paragraph"/>
      </w:pPr>
      <w:r w:rsidRPr="006E709F">
        <w:tab/>
        <w:t>(a)</w:t>
      </w:r>
      <w:r w:rsidRPr="006E709F">
        <w:tab/>
        <w:t>if it is printed on A4 pages—8 pages; or</w:t>
      </w:r>
    </w:p>
    <w:p w14:paraId="1F7D5658" w14:textId="77777777" w:rsidR="00E93F58" w:rsidRPr="006E709F" w:rsidRDefault="00E93F58" w:rsidP="00A801D0">
      <w:pPr>
        <w:pStyle w:val="paragraph"/>
      </w:pPr>
      <w:r w:rsidRPr="006E709F">
        <w:tab/>
        <w:t>(b)</w:t>
      </w:r>
      <w:r w:rsidRPr="006E709F">
        <w:tab/>
        <w:t>if it is printed on A5 pages—16 pages; or</w:t>
      </w:r>
    </w:p>
    <w:p w14:paraId="2666383A" w14:textId="77777777" w:rsidR="00E93F58" w:rsidRPr="006E709F" w:rsidRDefault="00E93F58" w:rsidP="00A801D0">
      <w:pPr>
        <w:pStyle w:val="paragraph"/>
      </w:pPr>
      <w:r w:rsidRPr="006E709F">
        <w:tab/>
        <w:t>(c)</w:t>
      </w:r>
      <w:r w:rsidRPr="006E709F">
        <w:tab/>
        <w:t>if it is printed on DL pages—24 pages; or</w:t>
      </w:r>
    </w:p>
    <w:p w14:paraId="3A87D3C6" w14:textId="77777777" w:rsidR="00E93F58" w:rsidRPr="006E709F" w:rsidRDefault="00E93F58" w:rsidP="00A801D0">
      <w:pPr>
        <w:pStyle w:val="paragraph"/>
      </w:pPr>
      <w:r w:rsidRPr="006E709F">
        <w:tab/>
        <w:t>(d)</w:t>
      </w:r>
      <w:r w:rsidRPr="006E709F">
        <w:tab/>
        <w:t>otherwise—if it is formatted to be printed on A4 pages, 8 A4 pages.</w:t>
      </w:r>
    </w:p>
    <w:p w14:paraId="07D43072" w14:textId="77777777" w:rsidR="00E93F58" w:rsidRPr="006E709F" w:rsidRDefault="00E93F58" w:rsidP="00A801D0">
      <w:pPr>
        <w:pStyle w:val="subsection"/>
      </w:pPr>
      <w:r w:rsidRPr="006E709F">
        <w:tab/>
        <w:t>(2)</w:t>
      </w:r>
      <w:r w:rsidRPr="006E709F">
        <w:tab/>
        <w:t>The minimum font size for text in the Statement is:</w:t>
      </w:r>
    </w:p>
    <w:p w14:paraId="72532CE6" w14:textId="77777777" w:rsidR="00E93F58" w:rsidRPr="006E709F" w:rsidRDefault="00E93F58" w:rsidP="00A801D0">
      <w:pPr>
        <w:pStyle w:val="paragraph"/>
      </w:pPr>
      <w:r w:rsidRPr="006E709F">
        <w:tab/>
        <w:t>(a)</w:t>
      </w:r>
      <w:r w:rsidRPr="006E709F">
        <w:tab/>
        <w:t>for the name, address, ABN (if applicable), ACN (if applicable), ARSN and AFSL (if applicable) of the person giving the Statement—8 points; and</w:t>
      </w:r>
    </w:p>
    <w:p w14:paraId="7BEE6930" w14:textId="77777777" w:rsidR="00E93F58" w:rsidRPr="006E709F" w:rsidRDefault="00E93F58" w:rsidP="00A801D0">
      <w:pPr>
        <w:pStyle w:val="paragraph"/>
      </w:pPr>
      <w:r w:rsidRPr="006E709F">
        <w:tab/>
        <w:t>(b)</w:t>
      </w:r>
      <w:r w:rsidRPr="006E709F">
        <w:tab/>
        <w:t>for all other text—9 points.</w:t>
      </w:r>
    </w:p>
    <w:p w14:paraId="04465D8A" w14:textId="77777777" w:rsidR="00E93F58" w:rsidRPr="006E709F" w:rsidRDefault="00E93F58" w:rsidP="00A801D0">
      <w:pPr>
        <w:pStyle w:val="notetext"/>
      </w:pPr>
      <w:r w:rsidRPr="006E709F">
        <w:t>Note 1:</w:t>
      </w:r>
      <w:r w:rsidRPr="006E709F">
        <w:tab/>
        <w:t>The Product Disclosure Statement must be worded and presented in a clear, concise and effective manner—see subsection 1013C(3) of the Act.</w:t>
      </w:r>
    </w:p>
    <w:p w14:paraId="1A7F176E" w14:textId="77777777" w:rsidR="00E93F58" w:rsidRPr="006E709F" w:rsidRDefault="00E93F58" w:rsidP="00A801D0">
      <w:pPr>
        <w:pStyle w:val="notetext"/>
      </w:pPr>
      <w:r w:rsidRPr="006E709F">
        <w:t>Note 2:</w:t>
      </w:r>
      <w:r w:rsidRPr="006E709F">
        <w:tab/>
        <w:t>A person required to a give a Product Disclosure Statement to a vision</w:t>
      </w:r>
      <w:r>
        <w:noBreakHyphen/>
      </w:r>
      <w:r w:rsidRPr="006E709F">
        <w:t xml:space="preserve">impaired person must comply with its obligations under the </w:t>
      </w:r>
      <w:r w:rsidRPr="006E709F">
        <w:rPr>
          <w:i/>
        </w:rPr>
        <w:t>Disability Discrimination Act 1992</w:t>
      </w:r>
      <w:r w:rsidRPr="006E709F">
        <w:t>.</w:t>
      </w:r>
    </w:p>
    <w:p w14:paraId="18B29574" w14:textId="77777777" w:rsidR="00E93F58" w:rsidRPr="006E709F" w:rsidRDefault="00E93F58" w:rsidP="00A801D0">
      <w:pPr>
        <w:pStyle w:val="ActHead5"/>
      </w:pPr>
      <w:bookmarkStart w:id="3578" w:name="_Toc151992537"/>
      <w:bookmarkStart w:id="3579" w:name="_Toc158713574"/>
      <w:r w:rsidRPr="000C4237">
        <w:rPr>
          <w:rStyle w:val="CharSectno"/>
        </w:rPr>
        <w:t>2</w:t>
      </w:r>
      <w:r w:rsidRPr="006E709F">
        <w:t xml:space="preserve">  Minimum content of Product Disclosure Statement for simple managed investment scheme</w:t>
      </w:r>
      <w:bookmarkEnd w:id="3578"/>
      <w:bookmarkEnd w:id="3579"/>
    </w:p>
    <w:p w14:paraId="161C495A" w14:textId="77777777" w:rsidR="00E93F58" w:rsidRPr="006E709F" w:rsidRDefault="00E93F58" w:rsidP="00A801D0">
      <w:pPr>
        <w:pStyle w:val="subsection"/>
      </w:pPr>
      <w:r w:rsidRPr="006E709F">
        <w:tab/>
        <w:t>(1)</w:t>
      </w:r>
      <w:r w:rsidRPr="006E709F">
        <w:tab/>
        <w:t>The Product Disclosure Statement must include sections which must be numbered and titled as follows:</w:t>
      </w:r>
    </w:p>
    <w:p w14:paraId="5636BCBD" w14:textId="77777777" w:rsidR="00E93F58" w:rsidRPr="006E709F" w:rsidRDefault="00E93F58" w:rsidP="0048795D">
      <w:pPr>
        <w:pStyle w:val="paragraph"/>
      </w:pPr>
      <w:r w:rsidRPr="006E709F">
        <w:tab/>
        <w:t>1.</w:t>
      </w:r>
      <w:r w:rsidRPr="006E709F">
        <w:tab/>
        <w:t>About [name of responsible entity]</w:t>
      </w:r>
    </w:p>
    <w:p w14:paraId="0CF37D99" w14:textId="77777777" w:rsidR="00E93F58" w:rsidRPr="006E709F" w:rsidRDefault="00E93F58" w:rsidP="0048795D">
      <w:pPr>
        <w:pStyle w:val="paragraph"/>
      </w:pPr>
      <w:r w:rsidRPr="006E709F">
        <w:tab/>
        <w:t>2.</w:t>
      </w:r>
      <w:r w:rsidRPr="006E709F">
        <w:tab/>
        <w:t>How [name of simple managed investment scheme] works</w:t>
      </w:r>
    </w:p>
    <w:p w14:paraId="74260F60" w14:textId="77777777" w:rsidR="00E93F58" w:rsidRPr="006E709F" w:rsidRDefault="00E93F58" w:rsidP="0048795D">
      <w:pPr>
        <w:pStyle w:val="paragraph"/>
      </w:pPr>
      <w:r w:rsidRPr="006E709F">
        <w:tab/>
        <w:t>3.</w:t>
      </w:r>
      <w:r w:rsidRPr="006E709F">
        <w:tab/>
        <w:t>Benefits of investing in [name of simple managed investment scheme]</w:t>
      </w:r>
    </w:p>
    <w:p w14:paraId="7328C9F0" w14:textId="77777777" w:rsidR="00E93F58" w:rsidRPr="006E709F" w:rsidRDefault="00E93F58" w:rsidP="0048795D">
      <w:pPr>
        <w:pStyle w:val="paragraph"/>
      </w:pPr>
      <w:r w:rsidRPr="006E709F">
        <w:tab/>
        <w:t>4.</w:t>
      </w:r>
      <w:r w:rsidRPr="006E709F">
        <w:tab/>
        <w:t>Risks of managed investment schemes</w:t>
      </w:r>
    </w:p>
    <w:p w14:paraId="7ED7E3F6" w14:textId="77777777" w:rsidR="00E93F58" w:rsidRPr="006E709F" w:rsidRDefault="00E93F58" w:rsidP="0048795D">
      <w:pPr>
        <w:pStyle w:val="paragraph"/>
      </w:pPr>
      <w:r w:rsidRPr="006E709F">
        <w:tab/>
        <w:t>5.</w:t>
      </w:r>
      <w:r w:rsidRPr="006E709F">
        <w:tab/>
        <w:t>How we invest your money</w:t>
      </w:r>
    </w:p>
    <w:p w14:paraId="3B51443C" w14:textId="77777777" w:rsidR="00E93F58" w:rsidRPr="006E709F" w:rsidRDefault="00E93F58" w:rsidP="0048795D">
      <w:pPr>
        <w:pStyle w:val="paragraph"/>
      </w:pPr>
      <w:r w:rsidRPr="006E709F">
        <w:tab/>
        <w:t>6.</w:t>
      </w:r>
      <w:r w:rsidRPr="006E709F">
        <w:tab/>
        <w:t>Fees and costs</w:t>
      </w:r>
    </w:p>
    <w:p w14:paraId="37B392FB" w14:textId="77777777" w:rsidR="00E93F58" w:rsidRPr="006E709F" w:rsidRDefault="00E93F58" w:rsidP="0048795D">
      <w:pPr>
        <w:pStyle w:val="paragraph"/>
      </w:pPr>
      <w:r w:rsidRPr="006E709F">
        <w:tab/>
        <w:t>7.</w:t>
      </w:r>
      <w:r w:rsidRPr="006E709F">
        <w:tab/>
        <w:t>How managed investment schemes are taxed</w:t>
      </w:r>
    </w:p>
    <w:p w14:paraId="7F1A7136" w14:textId="77777777" w:rsidR="00E93F58" w:rsidRPr="006E709F" w:rsidRDefault="00E93F58" w:rsidP="0048795D">
      <w:pPr>
        <w:pStyle w:val="paragraph"/>
      </w:pPr>
      <w:r w:rsidRPr="006E709F">
        <w:tab/>
        <w:t>8.</w:t>
      </w:r>
      <w:r w:rsidRPr="006E709F">
        <w:tab/>
        <w:t>How to apply.</w:t>
      </w:r>
    </w:p>
    <w:p w14:paraId="34761024" w14:textId="77777777" w:rsidR="00E93F58" w:rsidRPr="006E709F" w:rsidRDefault="00E93F58" w:rsidP="00A801D0">
      <w:pPr>
        <w:pStyle w:val="subsection"/>
      </w:pPr>
      <w:r w:rsidRPr="006E709F">
        <w:tab/>
        <w:t>(2)</w:t>
      </w:r>
      <w:r w:rsidRPr="006E709F">
        <w:tab/>
        <w:t>The Statement must include:</w:t>
      </w:r>
    </w:p>
    <w:p w14:paraId="305601BB" w14:textId="77777777" w:rsidR="00E93F58" w:rsidRPr="006E709F" w:rsidRDefault="00E93F58" w:rsidP="00A801D0">
      <w:pPr>
        <w:pStyle w:val="paragraph"/>
      </w:pPr>
      <w:r w:rsidRPr="006E709F">
        <w:tab/>
        <w:t>(a)</w:t>
      </w:r>
      <w:r w:rsidRPr="006E709F">
        <w:tab/>
        <w:t>a table of contents that sets out the titles mentioned in subclause (1); and</w:t>
      </w:r>
    </w:p>
    <w:p w14:paraId="6E8D35CD" w14:textId="77777777" w:rsidR="00E93F58" w:rsidRPr="006E709F" w:rsidRDefault="00E93F58" w:rsidP="00A801D0">
      <w:pPr>
        <w:pStyle w:val="paragraph"/>
      </w:pPr>
      <w:r w:rsidRPr="006E709F">
        <w:tab/>
        <w:t>(b)</w:t>
      </w:r>
      <w:r w:rsidRPr="006E709F">
        <w:tab/>
        <w:t>the telephone number of the responsible entity for the simple managed investment scheme to enable a person who invests in the simple managed investment scheme to request a copy of the following under regulation 7.9.11Z:</w:t>
      </w:r>
    </w:p>
    <w:p w14:paraId="3A55F5A1" w14:textId="77777777" w:rsidR="00E93F58" w:rsidRPr="006E709F" w:rsidRDefault="00E93F58" w:rsidP="00A801D0">
      <w:pPr>
        <w:pStyle w:val="paragraphsub"/>
      </w:pPr>
      <w:r w:rsidRPr="006E709F">
        <w:tab/>
        <w:t>(i)</w:t>
      </w:r>
      <w:r w:rsidRPr="006E709F">
        <w:tab/>
        <w:t>a copy of the Statement; and</w:t>
      </w:r>
    </w:p>
    <w:p w14:paraId="0EBCFA95" w14:textId="77777777" w:rsidR="00E93F58" w:rsidRPr="006E709F" w:rsidRDefault="00E93F58" w:rsidP="00A801D0">
      <w:pPr>
        <w:pStyle w:val="paragraphsub"/>
      </w:pPr>
      <w:r w:rsidRPr="006E709F">
        <w:tab/>
        <w:t>(ii)</w:t>
      </w:r>
      <w:r w:rsidRPr="006E709F">
        <w:tab/>
        <w:t>a copy of a matter in writing that is applied, adopted or incorporated by the Statement.</w:t>
      </w:r>
    </w:p>
    <w:p w14:paraId="02E5D87C" w14:textId="77777777" w:rsidR="00E93F58" w:rsidRPr="006E709F" w:rsidRDefault="00E93F58" w:rsidP="00A801D0">
      <w:pPr>
        <w:pStyle w:val="subsection"/>
      </w:pPr>
      <w:r w:rsidRPr="006E709F">
        <w:tab/>
        <w:t>(3)</w:t>
      </w:r>
      <w:r w:rsidRPr="006E709F">
        <w:tab/>
        <w:t>The Statement must:</w:t>
      </w:r>
    </w:p>
    <w:p w14:paraId="46AEC2EC" w14:textId="77777777" w:rsidR="00E93F58" w:rsidRPr="006E709F" w:rsidRDefault="00E93F58" w:rsidP="00A801D0">
      <w:pPr>
        <w:pStyle w:val="paragraph"/>
      </w:pPr>
      <w:r w:rsidRPr="006E709F">
        <w:tab/>
        <w:t>(a)</w:t>
      </w:r>
      <w:r w:rsidRPr="006E709F">
        <w:tab/>
        <w:t>advise a person reading the Statement that:</w:t>
      </w:r>
    </w:p>
    <w:p w14:paraId="3978A237" w14:textId="77777777" w:rsidR="00E93F58" w:rsidRPr="006E709F" w:rsidRDefault="00E93F58" w:rsidP="00A801D0">
      <w:pPr>
        <w:pStyle w:val="paragraphsub"/>
      </w:pPr>
      <w:r w:rsidRPr="006E709F">
        <w:tab/>
        <w:t>(i)</w:t>
      </w:r>
      <w:r w:rsidRPr="006E709F">
        <w:tab/>
        <w:t>it is a summary of significant information and contains a number of references to important information (each of which forms part of the Statement); and</w:t>
      </w:r>
    </w:p>
    <w:p w14:paraId="63F3F796" w14:textId="77777777" w:rsidR="00E93F58" w:rsidRPr="006E709F" w:rsidRDefault="00E93F58" w:rsidP="00A801D0">
      <w:pPr>
        <w:pStyle w:val="paragraphsub"/>
      </w:pPr>
      <w:r w:rsidRPr="006E709F">
        <w:tab/>
        <w:t>(ii)</w:t>
      </w:r>
      <w:r w:rsidRPr="006E709F">
        <w:tab/>
        <w:t>persons should consider that information before making a decision about the simple managed investment scheme; and</w:t>
      </w:r>
    </w:p>
    <w:p w14:paraId="216E2D01" w14:textId="77777777" w:rsidR="00E93F58" w:rsidRPr="006E709F" w:rsidRDefault="00E93F58" w:rsidP="00A801D0">
      <w:pPr>
        <w:pStyle w:val="paragraphsub"/>
      </w:pPr>
      <w:r w:rsidRPr="006E709F">
        <w:tab/>
        <w:t>(iii)</w:t>
      </w:r>
      <w:r w:rsidRPr="006E709F">
        <w:tab/>
        <w:t>the information provided in the Statement is general information only and does not take account of the person’s personal financial situation or needs; and</w:t>
      </w:r>
    </w:p>
    <w:p w14:paraId="1AC14E57" w14:textId="77777777" w:rsidR="00E93F58" w:rsidRPr="006E709F" w:rsidRDefault="00E93F58" w:rsidP="00A801D0">
      <w:pPr>
        <w:pStyle w:val="paragraphsub"/>
      </w:pPr>
      <w:r w:rsidRPr="006E709F">
        <w:tab/>
        <w:t>(iv)</w:t>
      </w:r>
      <w:r w:rsidRPr="006E709F">
        <w:tab/>
        <w:t>the person should obtain financial advice tailored to the person’s personal circumstances; and</w:t>
      </w:r>
    </w:p>
    <w:p w14:paraId="04E72452" w14:textId="77777777" w:rsidR="00E93F58" w:rsidRPr="006E709F" w:rsidRDefault="00E93F58" w:rsidP="00A801D0">
      <w:pPr>
        <w:pStyle w:val="paragraph"/>
      </w:pPr>
      <w:r w:rsidRPr="006E709F">
        <w:tab/>
        <w:t>(b)</w:t>
      </w:r>
      <w:r w:rsidRPr="006E709F">
        <w:tab/>
        <w:t>display the advice:</w:t>
      </w:r>
    </w:p>
    <w:p w14:paraId="3269008F" w14:textId="77777777" w:rsidR="00E93F58" w:rsidRPr="006E709F" w:rsidRDefault="00E93F58" w:rsidP="00A801D0">
      <w:pPr>
        <w:pStyle w:val="paragraphsub"/>
      </w:pPr>
      <w:r w:rsidRPr="006E709F">
        <w:tab/>
        <w:t>(i)</w:t>
      </w:r>
      <w:r w:rsidRPr="006E709F">
        <w:tab/>
        <w:t>at or near the beginning of the document; and</w:t>
      </w:r>
    </w:p>
    <w:p w14:paraId="01472C38" w14:textId="77777777" w:rsidR="00E93F58" w:rsidRPr="006E709F" w:rsidRDefault="00E93F58" w:rsidP="00A801D0">
      <w:pPr>
        <w:pStyle w:val="paragraphsub"/>
      </w:pPr>
      <w:r w:rsidRPr="006E709F">
        <w:tab/>
        <w:t>(ii)</w:t>
      </w:r>
      <w:r w:rsidRPr="006E709F">
        <w:tab/>
        <w:t>in a prominent position and style.</w:t>
      </w:r>
    </w:p>
    <w:p w14:paraId="227811A6" w14:textId="77777777" w:rsidR="00E93F58" w:rsidRPr="006E709F" w:rsidRDefault="00E93F58" w:rsidP="00A801D0">
      <w:pPr>
        <w:pStyle w:val="subsection"/>
      </w:pPr>
      <w:r w:rsidRPr="006E709F">
        <w:lastRenderedPageBreak/>
        <w:tab/>
        <w:t>(4)</w:t>
      </w:r>
      <w:r w:rsidRPr="006E709F">
        <w:tab/>
        <w:t>The Statement:</w:t>
      </w:r>
    </w:p>
    <w:p w14:paraId="7349D4B6" w14:textId="77777777" w:rsidR="00E93F58" w:rsidRPr="006E709F" w:rsidRDefault="00E93F58" w:rsidP="00A801D0">
      <w:pPr>
        <w:pStyle w:val="paragraph"/>
      </w:pPr>
      <w:r w:rsidRPr="006E709F">
        <w:tab/>
        <w:t>(a)</w:t>
      </w:r>
      <w:r w:rsidRPr="006E709F">
        <w:tab/>
        <w:t>may include additional sections after sections 1 to 8; and</w:t>
      </w:r>
    </w:p>
    <w:p w14:paraId="7272336D" w14:textId="77777777" w:rsidR="00E93F58" w:rsidRPr="006E709F" w:rsidRDefault="00E93F58" w:rsidP="00A801D0">
      <w:pPr>
        <w:pStyle w:val="paragraph"/>
      </w:pPr>
      <w:r w:rsidRPr="006E709F">
        <w:tab/>
        <w:t>(b)</w:t>
      </w:r>
      <w:r w:rsidRPr="006E709F">
        <w:tab/>
        <w:t>may include other information;</w:t>
      </w:r>
    </w:p>
    <w:p w14:paraId="222BD502" w14:textId="77777777" w:rsidR="00E93F58" w:rsidRPr="006E709F" w:rsidRDefault="00E93F58" w:rsidP="00A801D0">
      <w:pPr>
        <w:pStyle w:val="subsection2"/>
      </w:pPr>
      <w:r w:rsidRPr="006E709F">
        <w:t>to an extent that does not have the effect of contravening subclause 1(1).</w:t>
      </w:r>
    </w:p>
    <w:p w14:paraId="069783AC" w14:textId="77777777" w:rsidR="00E93F58" w:rsidRPr="006E709F" w:rsidRDefault="00E93F58" w:rsidP="00A801D0">
      <w:pPr>
        <w:pStyle w:val="subsection"/>
      </w:pPr>
      <w:r w:rsidRPr="006E709F">
        <w:tab/>
        <w:t>(5)</w:t>
      </w:r>
      <w:r w:rsidRPr="006E709F">
        <w:tab/>
        <w:t>The Product Disclosure Statement does not need to indicate that a particular requirement is not applicable to the simple managed investment scheme.</w:t>
      </w:r>
    </w:p>
    <w:p w14:paraId="7DA31E12" w14:textId="77777777" w:rsidR="00E93F58" w:rsidRPr="006E709F" w:rsidRDefault="00E93F58" w:rsidP="00A801D0">
      <w:pPr>
        <w:pStyle w:val="notetext"/>
      </w:pPr>
      <w:r w:rsidRPr="006E709F">
        <w:t>Note:</w:t>
      </w:r>
      <w:r w:rsidRPr="006E709F">
        <w:tab/>
        <w:t>The Act, as modified in accordance with Subdivision 4.2C of Division 4 of Part 7.9, requires information to be included in the Product Disclosure Statement only to the extent to which the requirement is applicable to the simple managed investment scheme.</w:t>
      </w:r>
    </w:p>
    <w:p w14:paraId="75C58867" w14:textId="77777777" w:rsidR="00E93F58" w:rsidRPr="006E709F" w:rsidRDefault="00E93F58" w:rsidP="00A801D0">
      <w:pPr>
        <w:pStyle w:val="ActHead5"/>
      </w:pPr>
      <w:bookmarkStart w:id="3580" w:name="_Toc151992538"/>
      <w:bookmarkStart w:id="3581" w:name="_Toc158713575"/>
      <w:r w:rsidRPr="000C4237">
        <w:rPr>
          <w:rStyle w:val="CharSectno"/>
        </w:rPr>
        <w:t>3</w:t>
      </w:r>
      <w:r w:rsidRPr="006E709F">
        <w:t xml:space="preserve">  Contents of section 1 (About [name of responsible entity])</w:t>
      </w:r>
      <w:bookmarkEnd w:id="3580"/>
      <w:bookmarkEnd w:id="3581"/>
    </w:p>
    <w:p w14:paraId="360EDEF7" w14:textId="77777777" w:rsidR="00E93F58" w:rsidRPr="006E709F" w:rsidRDefault="00E93F58" w:rsidP="00A801D0">
      <w:pPr>
        <w:pStyle w:val="subsection"/>
      </w:pPr>
      <w:r w:rsidRPr="006E709F">
        <w:tab/>
        <w:t>(1)</w:t>
      </w:r>
      <w:r w:rsidRPr="006E709F">
        <w:tab/>
        <w:t>Section 1 of the Product Disclosure Statement must describe, in the form of a summary:</w:t>
      </w:r>
    </w:p>
    <w:p w14:paraId="738C73D5" w14:textId="77777777" w:rsidR="00E93F58" w:rsidRPr="006E709F" w:rsidRDefault="00E93F58" w:rsidP="00A801D0">
      <w:pPr>
        <w:pStyle w:val="paragraph"/>
      </w:pPr>
      <w:r w:rsidRPr="006E709F">
        <w:tab/>
        <w:t>(a)</w:t>
      </w:r>
      <w:r w:rsidRPr="006E709F">
        <w:tab/>
        <w:t>the responsible entity and its role in operating the simple managed investment scheme; and</w:t>
      </w:r>
    </w:p>
    <w:p w14:paraId="6E44A4DE" w14:textId="77777777" w:rsidR="00E93F58" w:rsidRPr="006E709F" w:rsidRDefault="00E93F58" w:rsidP="00A801D0">
      <w:pPr>
        <w:pStyle w:val="paragraph"/>
      </w:pPr>
      <w:r w:rsidRPr="006E709F">
        <w:tab/>
        <w:t>(b)</w:t>
      </w:r>
      <w:r w:rsidRPr="006E709F">
        <w:tab/>
        <w:t>the investment manager, if the investment manager is different from the responsible entity.</w:t>
      </w:r>
    </w:p>
    <w:p w14:paraId="5A75C777" w14:textId="77777777" w:rsidR="00E93F58" w:rsidRPr="006E709F" w:rsidRDefault="00E93F58" w:rsidP="00A801D0">
      <w:pPr>
        <w:pStyle w:val="subsection"/>
      </w:pPr>
      <w:r w:rsidRPr="006E709F">
        <w:tab/>
        <w:t>(2)</w:t>
      </w:r>
      <w:r w:rsidRPr="006E709F">
        <w:tab/>
        <w:t>If there is more than 1 investment manager, the Statement may describe a particular manager by applying, adopting or incorporating a matter in writing.</w:t>
      </w:r>
    </w:p>
    <w:p w14:paraId="737212F1" w14:textId="77777777" w:rsidR="00E93F58" w:rsidRPr="006E709F" w:rsidRDefault="00E93F58" w:rsidP="00A801D0">
      <w:pPr>
        <w:pStyle w:val="ActHead5"/>
      </w:pPr>
      <w:bookmarkStart w:id="3582" w:name="_Toc151992539"/>
      <w:bookmarkStart w:id="3583" w:name="_Toc158713576"/>
      <w:r w:rsidRPr="000C4237">
        <w:rPr>
          <w:rStyle w:val="CharSectno"/>
        </w:rPr>
        <w:t>4</w:t>
      </w:r>
      <w:r w:rsidRPr="006E709F">
        <w:t xml:space="preserve">  Contents of section 2 (How [name of simple managed investment scheme] works)</w:t>
      </w:r>
      <w:bookmarkEnd w:id="3582"/>
      <w:bookmarkEnd w:id="3583"/>
    </w:p>
    <w:p w14:paraId="7A4DAB46" w14:textId="77777777" w:rsidR="00E93F58" w:rsidRPr="006E709F" w:rsidRDefault="00E93F58" w:rsidP="00A801D0">
      <w:pPr>
        <w:pStyle w:val="subsection"/>
      </w:pPr>
      <w:r w:rsidRPr="006E709F">
        <w:tab/>
        <w:t>(1)</w:t>
      </w:r>
      <w:r w:rsidRPr="006E709F">
        <w:tab/>
        <w:t>Section 2 of the Product Disclosure Statement must describe, in the form of a summary:</w:t>
      </w:r>
    </w:p>
    <w:p w14:paraId="10B082DC" w14:textId="77777777" w:rsidR="00E93F58" w:rsidRPr="006E709F" w:rsidRDefault="00E93F58" w:rsidP="00A801D0">
      <w:pPr>
        <w:pStyle w:val="paragraph"/>
      </w:pPr>
      <w:r w:rsidRPr="006E709F">
        <w:tab/>
        <w:t>(a)</w:t>
      </w:r>
      <w:r w:rsidRPr="006E709F">
        <w:tab/>
        <w:t>how the simple managed investment works; and</w:t>
      </w:r>
    </w:p>
    <w:p w14:paraId="5E98F116" w14:textId="77777777" w:rsidR="00E93F58" w:rsidRPr="006E709F" w:rsidRDefault="00E93F58" w:rsidP="00A801D0">
      <w:pPr>
        <w:pStyle w:val="paragraph"/>
      </w:pPr>
      <w:r w:rsidRPr="006E709F">
        <w:tab/>
        <w:t>(b)</w:t>
      </w:r>
      <w:r w:rsidRPr="006E709F">
        <w:tab/>
        <w:t>the interests that members acquire.</w:t>
      </w:r>
    </w:p>
    <w:p w14:paraId="2C65B78E" w14:textId="77777777" w:rsidR="00E93F58" w:rsidRPr="006E709F" w:rsidRDefault="00E93F58" w:rsidP="00A801D0">
      <w:pPr>
        <w:pStyle w:val="subsection"/>
      </w:pPr>
      <w:r w:rsidRPr="006E709F">
        <w:tab/>
        <w:t>(2)</w:t>
      </w:r>
      <w:r w:rsidRPr="006E709F">
        <w:tab/>
        <w:t>Section 2 must:</w:t>
      </w:r>
    </w:p>
    <w:p w14:paraId="553F7EE7" w14:textId="77777777" w:rsidR="00E93F58" w:rsidRPr="006E709F" w:rsidRDefault="00E93F58" w:rsidP="00A801D0">
      <w:pPr>
        <w:pStyle w:val="paragraph"/>
      </w:pPr>
      <w:r w:rsidRPr="006E709F">
        <w:tab/>
        <w:t>(a)</w:t>
      </w:r>
      <w:r w:rsidRPr="006E709F">
        <w:tab/>
        <w:t>if applicable—describe, in the form of a summary, the minimum investment amounts; and</w:t>
      </w:r>
    </w:p>
    <w:p w14:paraId="7FF44638" w14:textId="77777777" w:rsidR="00E93F58" w:rsidRPr="006E709F" w:rsidRDefault="00E93F58" w:rsidP="00A801D0">
      <w:pPr>
        <w:pStyle w:val="paragraph"/>
      </w:pPr>
      <w:r w:rsidRPr="006E709F">
        <w:tab/>
        <w:t>(b)</w:t>
      </w:r>
      <w:r w:rsidRPr="006E709F">
        <w:tab/>
        <w:t>provide information about the structure of the simple managed investment scheme; and</w:t>
      </w:r>
    </w:p>
    <w:p w14:paraId="5936DE89" w14:textId="77777777" w:rsidR="00E93F58" w:rsidRPr="006E709F" w:rsidRDefault="00E93F58" w:rsidP="00A801D0">
      <w:pPr>
        <w:pStyle w:val="paragraph"/>
      </w:pPr>
      <w:r w:rsidRPr="006E709F">
        <w:tab/>
        <w:t>(c)</w:t>
      </w:r>
      <w:r w:rsidRPr="006E709F">
        <w:tab/>
        <w:t>state, in general terms, that the price of interests will vary as the market value of assets in the simple managed investment scheme rises or falls; and</w:t>
      </w:r>
    </w:p>
    <w:p w14:paraId="290401EA" w14:textId="77777777" w:rsidR="00E93F58" w:rsidRPr="006E709F" w:rsidRDefault="00E93F58" w:rsidP="00A801D0">
      <w:pPr>
        <w:pStyle w:val="paragraph"/>
      </w:pPr>
      <w:r w:rsidRPr="006E709F">
        <w:tab/>
        <w:t>(d)</w:t>
      </w:r>
      <w:r w:rsidRPr="006E709F">
        <w:tab/>
        <w:t>describe, in the form of a summary, how members can increase or decrease their investment by acquiring interests or disposing of interests; and</w:t>
      </w:r>
    </w:p>
    <w:p w14:paraId="19CA472D" w14:textId="77777777" w:rsidR="00E93F58" w:rsidRPr="006E709F" w:rsidRDefault="00E93F58" w:rsidP="00A801D0">
      <w:pPr>
        <w:pStyle w:val="paragraph"/>
      </w:pPr>
      <w:r w:rsidRPr="006E709F">
        <w:tab/>
        <w:t>(e)</w:t>
      </w:r>
      <w:r w:rsidRPr="006E709F">
        <w:tab/>
        <w:t>state, in general terms, that in some circumstances, such as when there is a freeze on withdrawals, members may not be able to withdraw their funds within the usual period upon request; and</w:t>
      </w:r>
    </w:p>
    <w:p w14:paraId="001942AC" w14:textId="77777777" w:rsidR="00E93F58" w:rsidRPr="006E709F" w:rsidRDefault="00E93F58" w:rsidP="00A801D0">
      <w:pPr>
        <w:pStyle w:val="paragraph"/>
      </w:pPr>
      <w:r w:rsidRPr="006E709F">
        <w:tab/>
        <w:t>(f)</w:t>
      </w:r>
      <w:r w:rsidRPr="006E709F">
        <w:tab/>
        <w:t>describe the frequency of distributions and explain how distributions are calculated.</w:t>
      </w:r>
    </w:p>
    <w:p w14:paraId="641F723C" w14:textId="77777777" w:rsidR="00E93F58" w:rsidRPr="006E709F" w:rsidRDefault="00E93F58" w:rsidP="00A801D0">
      <w:pPr>
        <w:pStyle w:val="subsection"/>
      </w:pPr>
      <w:r w:rsidRPr="006E709F">
        <w:tab/>
        <w:t>(3)</w:t>
      </w:r>
      <w:r w:rsidRPr="006E709F">
        <w:tab/>
        <w:t>The responsible entity:</w:t>
      </w:r>
    </w:p>
    <w:p w14:paraId="256E5904" w14:textId="77777777" w:rsidR="00E93F58" w:rsidRPr="006E709F" w:rsidRDefault="00E93F58" w:rsidP="00A801D0">
      <w:pPr>
        <w:pStyle w:val="paragraph"/>
      </w:pPr>
      <w:r w:rsidRPr="006E709F">
        <w:tab/>
        <w:t>(a)</w:t>
      </w:r>
      <w:r w:rsidRPr="006E709F">
        <w:tab/>
        <w:t>may provide more detailed information on the acquisition and disposal of interests; and</w:t>
      </w:r>
    </w:p>
    <w:p w14:paraId="1559C12D" w14:textId="77777777" w:rsidR="00E93F58" w:rsidRPr="006E709F" w:rsidRDefault="00E93F58" w:rsidP="00A801D0">
      <w:pPr>
        <w:pStyle w:val="paragraph"/>
      </w:pPr>
      <w:r w:rsidRPr="006E709F">
        <w:tab/>
        <w:t>(b)</w:t>
      </w:r>
      <w:r w:rsidRPr="006E709F">
        <w:tab/>
        <w:t>may provide the information by applying, adopting or incorporating a matter in writing.</w:t>
      </w:r>
    </w:p>
    <w:p w14:paraId="2F54A335" w14:textId="77777777" w:rsidR="00E93F58" w:rsidRPr="006E709F" w:rsidRDefault="00E93F58" w:rsidP="00A801D0">
      <w:pPr>
        <w:pStyle w:val="ActHead5"/>
      </w:pPr>
      <w:bookmarkStart w:id="3584" w:name="_Toc151992540"/>
      <w:bookmarkStart w:id="3585" w:name="_Toc158713577"/>
      <w:r w:rsidRPr="000C4237">
        <w:rPr>
          <w:rStyle w:val="CharSectno"/>
        </w:rPr>
        <w:t>5</w:t>
      </w:r>
      <w:r w:rsidRPr="006E709F">
        <w:t xml:space="preserve">  Contents of section 3 (Benefits of investing in [name of simple managed investment scheme])</w:t>
      </w:r>
      <w:bookmarkEnd w:id="3584"/>
      <w:bookmarkEnd w:id="3585"/>
    </w:p>
    <w:p w14:paraId="5D05E325" w14:textId="77777777" w:rsidR="00E93F58" w:rsidRPr="006E709F" w:rsidRDefault="00E93F58" w:rsidP="00A801D0">
      <w:pPr>
        <w:pStyle w:val="subsection"/>
      </w:pPr>
      <w:r w:rsidRPr="006E709F">
        <w:tab/>
        <w:t>(1)</w:t>
      </w:r>
      <w:r w:rsidRPr="006E709F">
        <w:tab/>
        <w:t>Section 3 of the Product Disclosure Statement must, before setting out any other information, describe, in the form of a summary:</w:t>
      </w:r>
    </w:p>
    <w:p w14:paraId="45E7F9CD" w14:textId="77777777" w:rsidR="00E93F58" w:rsidRPr="006E709F" w:rsidRDefault="00E93F58" w:rsidP="00A801D0">
      <w:pPr>
        <w:pStyle w:val="paragraph"/>
      </w:pPr>
      <w:r w:rsidRPr="006E709F">
        <w:tab/>
        <w:t>(a)</w:t>
      </w:r>
      <w:r w:rsidRPr="006E709F">
        <w:tab/>
        <w:t>the significant features of the simple managed investment scheme; and</w:t>
      </w:r>
    </w:p>
    <w:p w14:paraId="6F6714DF" w14:textId="77777777" w:rsidR="00E93F58" w:rsidRPr="006E709F" w:rsidRDefault="00E93F58" w:rsidP="00A801D0">
      <w:pPr>
        <w:pStyle w:val="paragraph"/>
      </w:pPr>
      <w:r w:rsidRPr="006E709F">
        <w:tab/>
        <w:t>(b)</w:t>
      </w:r>
      <w:r w:rsidRPr="006E709F">
        <w:tab/>
        <w:t>the significant benefits of the simple managed investment scheme.</w:t>
      </w:r>
    </w:p>
    <w:p w14:paraId="6098A253" w14:textId="77777777" w:rsidR="00E93F58" w:rsidRPr="006E709F" w:rsidRDefault="00E93F58" w:rsidP="00A801D0">
      <w:pPr>
        <w:pStyle w:val="subsection"/>
      </w:pPr>
      <w:r w:rsidRPr="006E709F">
        <w:tab/>
        <w:t>(2)</w:t>
      </w:r>
      <w:r w:rsidRPr="006E709F">
        <w:tab/>
        <w:t>The responsible entity may provide additional information about:</w:t>
      </w:r>
    </w:p>
    <w:p w14:paraId="5A9838F8" w14:textId="77777777" w:rsidR="00E93F58" w:rsidRPr="006E709F" w:rsidRDefault="00E93F58" w:rsidP="00A801D0">
      <w:pPr>
        <w:pStyle w:val="paragraph"/>
      </w:pPr>
      <w:r w:rsidRPr="006E709F">
        <w:tab/>
        <w:t>(a)</w:t>
      </w:r>
      <w:r w:rsidRPr="006E709F">
        <w:tab/>
        <w:t>any feature or benefit of the simple managed investment scheme; or</w:t>
      </w:r>
    </w:p>
    <w:p w14:paraId="1CCE74BD" w14:textId="77777777" w:rsidR="00E93F58" w:rsidRPr="006E709F" w:rsidRDefault="00E93F58" w:rsidP="00A801D0">
      <w:pPr>
        <w:pStyle w:val="paragraph"/>
      </w:pPr>
      <w:r w:rsidRPr="006E709F">
        <w:tab/>
        <w:t>(b)</w:t>
      </w:r>
      <w:r w:rsidRPr="006E709F">
        <w:tab/>
        <w:t>other features and benefits of the simple managed investment scheme; or</w:t>
      </w:r>
    </w:p>
    <w:p w14:paraId="376126B1" w14:textId="77777777" w:rsidR="00E93F58" w:rsidRPr="006E709F" w:rsidRDefault="00E93F58" w:rsidP="00A801D0">
      <w:pPr>
        <w:pStyle w:val="paragraph"/>
      </w:pPr>
      <w:r w:rsidRPr="006E709F">
        <w:tab/>
        <w:t>(c)</w:t>
      </w:r>
      <w:r w:rsidRPr="006E709F">
        <w:tab/>
        <w:t>other features and benefits of simple managed investment schemes;</w:t>
      </w:r>
    </w:p>
    <w:p w14:paraId="25161856" w14:textId="77777777" w:rsidR="00E93F58" w:rsidRPr="006E709F" w:rsidRDefault="00E93F58" w:rsidP="00A801D0">
      <w:pPr>
        <w:pStyle w:val="subsection2"/>
      </w:pPr>
      <w:r w:rsidRPr="006E709F">
        <w:t>by applying, adopting or incorporating a matter in writing.</w:t>
      </w:r>
    </w:p>
    <w:p w14:paraId="5BB07262" w14:textId="77777777" w:rsidR="00E93F58" w:rsidRPr="006E709F" w:rsidRDefault="00E93F58" w:rsidP="00A801D0">
      <w:pPr>
        <w:pStyle w:val="ActHead5"/>
      </w:pPr>
      <w:bookmarkStart w:id="3586" w:name="_Toc151992541"/>
      <w:bookmarkStart w:id="3587" w:name="_Toc158713578"/>
      <w:r w:rsidRPr="000C4237">
        <w:rPr>
          <w:rStyle w:val="CharSectno"/>
        </w:rPr>
        <w:t>6</w:t>
      </w:r>
      <w:r w:rsidRPr="006E709F">
        <w:t xml:space="preserve">  Contents of section 4 (Risks of managed investment schemes)</w:t>
      </w:r>
      <w:bookmarkEnd w:id="3586"/>
      <w:bookmarkEnd w:id="3587"/>
    </w:p>
    <w:p w14:paraId="1B20FCF6" w14:textId="77777777" w:rsidR="00E93F58" w:rsidRPr="006E709F" w:rsidRDefault="00E93F58" w:rsidP="00A801D0">
      <w:pPr>
        <w:pStyle w:val="subsection"/>
      </w:pPr>
      <w:r w:rsidRPr="006E709F">
        <w:tab/>
        <w:t>(1)</w:t>
      </w:r>
      <w:r w:rsidRPr="006E709F">
        <w:tab/>
        <w:t>Section 4 of the Product Disclosure Statement must include statements to the following effect:</w:t>
      </w:r>
    </w:p>
    <w:p w14:paraId="5B95174C" w14:textId="77777777" w:rsidR="00E93F58" w:rsidRPr="006E709F" w:rsidRDefault="00E93F58" w:rsidP="00A801D0">
      <w:pPr>
        <w:pStyle w:val="paragraph"/>
      </w:pPr>
      <w:r w:rsidRPr="006E709F">
        <w:tab/>
        <w:t>(a)</w:t>
      </w:r>
      <w:r w:rsidRPr="006E709F">
        <w:tab/>
        <w:t>all investments carry risk;</w:t>
      </w:r>
    </w:p>
    <w:p w14:paraId="01ABA5B7" w14:textId="77777777" w:rsidR="00E93F58" w:rsidRPr="006E709F" w:rsidRDefault="00E93F58" w:rsidP="00A801D0">
      <w:pPr>
        <w:pStyle w:val="paragraph"/>
      </w:pPr>
      <w:r w:rsidRPr="006E709F">
        <w:tab/>
        <w:t>(b)</w:t>
      </w:r>
      <w:r w:rsidRPr="006E709F">
        <w:tab/>
        <w:t>different strategies may carry different levels of risk, depending on the assets that make up the strategy;</w:t>
      </w:r>
    </w:p>
    <w:p w14:paraId="31010E8F" w14:textId="77777777" w:rsidR="00E93F58" w:rsidRPr="006E709F" w:rsidRDefault="00E93F58" w:rsidP="00A801D0">
      <w:pPr>
        <w:pStyle w:val="paragraph"/>
      </w:pPr>
      <w:r w:rsidRPr="006E709F">
        <w:tab/>
        <w:t>(c)</w:t>
      </w:r>
      <w:r w:rsidRPr="006E709F">
        <w:tab/>
        <w:t>assets with the highest long</w:t>
      </w:r>
      <w:r>
        <w:noBreakHyphen/>
      </w:r>
      <w:r w:rsidRPr="006E709F">
        <w:t>term returns may also carry the highest level of short</w:t>
      </w:r>
      <w:r>
        <w:noBreakHyphen/>
      </w:r>
      <w:r w:rsidRPr="006E709F">
        <w:t>term risk.</w:t>
      </w:r>
    </w:p>
    <w:p w14:paraId="10985CD2" w14:textId="77777777" w:rsidR="00E93F58" w:rsidRPr="006E709F" w:rsidRDefault="00E93F58" w:rsidP="00A801D0">
      <w:pPr>
        <w:pStyle w:val="subsection"/>
      </w:pPr>
      <w:r w:rsidRPr="006E709F">
        <w:lastRenderedPageBreak/>
        <w:tab/>
        <w:t>(2)</w:t>
      </w:r>
      <w:r w:rsidRPr="006E709F">
        <w:tab/>
        <w:t>Section 4 must describe, in the form of a summary, the significant risks of the particular simple managed investment scheme.</w:t>
      </w:r>
    </w:p>
    <w:p w14:paraId="402D98BD" w14:textId="77777777" w:rsidR="00E93F58" w:rsidRPr="006E709F" w:rsidRDefault="00E93F58" w:rsidP="00A801D0">
      <w:pPr>
        <w:pStyle w:val="subsection"/>
      </w:pPr>
      <w:r w:rsidRPr="006E709F">
        <w:tab/>
        <w:t>(3)</w:t>
      </w:r>
      <w:r w:rsidRPr="006E709F">
        <w:tab/>
        <w:t>Section 4 must describe the significant risks of managed investment schemes (to the extent only that the description required by subitem (2) has not already described the risk) by including statements to the following effect:</w:t>
      </w:r>
    </w:p>
    <w:p w14:paraId="30496A32" w14:textId="77777777" w:rsidR="00E93F58" w:rsidRPr="006E709F" w:rsidRDefault="00E93F58" w:rsidP="00A801D0">
      <w:pPr>
        <w:pStyle w:val="paragraph"/>
      </w:pPr>
      <w:r w:rsidRPr="006E709F">
        <w:tab/>
        <w:t>(a)</w:t>
      </w:r>
      <w:r w:rsidRPr="006E709F">
        <w:tab/>
        <w:t>the value of investments will vary;</w:t>
      </w:r>
    </w:p>
    <w:p w14:paraId="0B7BCA59" w14:textId="77777777" w:rsidR="00E93F58" w:rsidRPr="006E709F" w:rsidRDefault="00E93F58" w:rsidP="00A801D0">
      <w:pPr>
        <w:pStyle w:val="paragraph"/>
      </w:pPr>
      <w:r w:rsidRPr="006E709F">
        <w:tab/>
        <w:t>(b)</w:t>
      </w:r>
      <w:r w:rsidRPr="006E709F">
        <w:tab/>
        <w:t>the level of returns will vary, and future returns may differ from past returns;</w:t>
      </w:r>
    </w:p>
    <w:p w14:paraId="270E6511" w14:textId="77777777" w:rsidR="00E93F58" w:rsidRPr="006E709F" w:rsidRDefault="00E93F58" w:rsidP="00A801D0">
      <w:pPr>
        <w:pStyle w:val="paragraph"/>
      </w:pPr>
      <w:r w:rsidRPr="006E709F">
        <w:tab/>
        <w:t>(c)</w:t>
      </w:r>
      <w:r w:rsidRPr="006E709F">
        <w:tab/>
        <w:t>returns are not guaranteed, and members may lose some of their money;</w:t>
      </w:r>
    </w:p>
    <w:p w14:paraId="6E480182" w14:textId="77777777" w:rsidR="00E93F58" w:rsidRPr="006E709F" w:rsidRDefault="00E93F58" w:rsidP="00A801D0">
      <w:pPr>
        <w:pStyle w:val="paragraph"/>
      </w:pPr>
      <w:r w:rsidRPr="006E709F">
        <w:tab/>
        <w:t>(d)</w:t>
      </w:r>
      <w:r w:rsidRPr="006E709F">
        <w:tab/>
        <w:t>laws affecting registered schemes may change in the future;</w:t>
      </w:r>
    </w:p>
    <w:p w14:paraId="5B6ECB3D" w14:textId="77777777" w:rsidR="00E93F58" w:rsidRPr="006E709F" w:rsidRDefault="00E93F58" w:rsidP="00A801D0">
      <w:pPr>
        <w:pStyle w:val="paragraph"/>
      </w:pPr>
      <w:r w:rsidRPr="006E709F">
        <w:tab/>
        <w:t>(e)</w:t>
      </w:r>
      <w:r w:rsidRPr="006E709F">
        <w:tab/>
        <w:t>the level of risk for each person will vary depending on a range of factors, including:</w:t>
      </w:r>
    </w:p>
    <w:p w14:paraId="4477DC78" w14:textId="77777777" w:rsidR="00E93F58" w:rsidRPr="006E709F" w:rsidRDefault="00E93F58" w:rsidP="00A801D0">
      <w:pPr>
        <w:pStyle w:val="paragraphsub"/>
      </w:pPr>
      <w:r w:rsidRPr="006E709F">
        <w:tab/>
        <w:t>(i)</w:t>
      </w:r>
      <w:r w:rsidRPr="006E709F">
        <w:tab/>
        <w:t>age; and</w:t>
      </w:r>
    </w:p>
    <w:p w14:paraId="4551C45B" w14:textId="77777777" w:rsidR="00E93F58" w:rsidRPr="006E709F" w:rsidRDefault="00E93F58" w:rsidP="00A801D0">
      <w:pPr>
        <w:pStyle w:val="paragraphsub"/>
      </w:pPr>
      <w:r w:rsidRPr="006E709F">
        <w:tab/>
        <w:t>(ii)</w:t>
      </w:r>
      <w:r w:rsidRPr="006E709F">
        <w:tab/>
        <w:t>investment time frames; and</w:t>
      </w:r>
    </w:p>
    <w:p w14:paraId="6CE6ABF3" w14:textId="77777777" w:rsidR="00E93F58" w:rsidRPr="006E709F" w:rsidRDefault="00E93F58" w:rsidP="00A801D0">
      <w:pPr>
        <w:pStyle w:val="paragraphsub"/>
      </w:pPr>
      <w:r w:rsidRPr="006E709F">
        <w:tab/>
        <w:t>(iii)</w:t>
      </w:r>
      <w:r w:rsidRPr="006E709F">
        <w:tab/>
        <w:t>where other parts of the member’s wealth are invested; and</w:t>
      </w:r>
    </w:p>
    <w:p w14:paraId="685F81C3" w14:textId="77777777" w:rsidR="00E93F58" w:rsidRPr="006E709F" w:rsidRDefault="00E93F58" w:rsidP="00A801D0">
      <w:pPr>
        <w:pStyle w:val="paragraphsub"/>
      </w:pPr>
      <w:r w:rsidRPr="006E709F">
        <w:tab/>
        <w:t>(iv)</w:t>
      </w:r>
      <w:r w:rsidRPr="006E709F">
        <w:tab/>
        <w:t>the member’s risk tolerance.</w:t>
      </w:r>
    </w:p>
    <w:p w14:paraId="3301F2AD" w14:textId="77777777" w:rsidR="00E93F58" w:rsidRPr="006E709F" w:rsidRDefault="00E93F58" w:rsidP="00A801D0">
      <w:pPr>
        <w:pStyle w:val="subsection"/>
      </w:pPr>
      <w:r w:rsidRPr="006E709F">
        <w:tab/>
        <w:t>(4)</w:t>
      </w:r>
      <w:r w:rsidRPr="006E709F">
        <w:tab/>
        <w:t>The responsible entity may provide additional information about significant risks of managed investment schemes by applying, adopting or incorporating a matter in writing.</w:t>
      </w:r>
    </w:p>
    <w:p w14:paraId="6CC7B2B5" w14:textId="77777777" w:rsidR="00E93F58" w:rsidRPr="006E709F" w:rsidRDefault="00E93F58" w:rsidP="00A801D0">
      <w:pPr>
        <w:pStyle w:val="ActHead5"/>
      </w:pPr>
      <w:bookmarkStart w:id="3588" w:name="_Toc151992542"/>
      <w:bookmarkStart w:id="3589" w:name="_Toc158713579"/>
      <w:r w:rsidRPr="000C4237">
        <w:rPr>
          <w:rStyle w:val="CharSectno"/>
        </w:rPr>
        <w:t>7</w:t>
      </w:r>
      <w:r w:rsidRPr="006E709F">
        <w:t xml:space="preserve">  Contents of section 5 (How we invest your money)</w:t>
      </w:r>
      <w:bookmarkEnd w:id="3588"/>
      <w:bookmarkEnd w:id="3589"/>
    </w:p>
    <w:p w14:paraId="441FBE1E" w14:textId="77777777" w:rsidR="00E93F58" w:rsidRPr="006E709F" w:rsidRDefault="00E93F58" w:rsidP="00A801D0">
      <w:pPr>
        <w:pStyle w:val="subsection"/>
      </w:pPr>
      <w:r w:rsidRPr="006E709F">
        <w:tab/>
        <w:t>(1)</w:t>
      </w:r>
      <w:r w:rsidRPr="006E709F">
        <w:tab/>
        <w:t>Section 5 of the Product Disclosure Statement must describe, in the form of a summary, the investment options offered by the simple managed investment scheme.</w:t>
      </w:r>
    </w:p>
    <w:p w14:paraId="10CD6230" w14:textId="77777777" w:rsidR="00E93F58" w:rsidRPr="006E709F" w:rsidRDefault="00E93F58" w:rsidP="00A801D0">
      <w:pPr>
        <w:pStyle w:val="subsection"/>
      </w:pPr>
      <w:r w:rsidRPr="006E709F">
        <w:tab/>
        <w:t>(2)</w:t>
      </w:r>
      <w:r w:rsidRPr="006E709F">
        <w:tab/>
        <w:t>Section 5 must state, in the form of a warning, that the person should consider:</w:t>
      </w:r>
    </w:p>
    <w:p w14:paraId="323C8462" w14:textId="77777777" w:rsidR="00E93F58" w:rsidRPr="006E709F" w:rsidRDefault="00E93F58" w:rsidP="00A801D0">
      <w:pPr>
        <w:pStyle w:val="paragraph"/>
      </w:pPr>
      <w:r w:rsidRPr="006E709F">
        <w:tab/>
        <w:t>(a)</w:t>
      </w:r>
      <w:r w:rsidRPr="006E709F">
        <w:tab/>
        <w:t>the likely investment return; and</w:t>
      </w:r>
    </w:p>
    <w:p w14:paraId="56AF7F3D" w14:textId="77777777" w:rsidR="00E93F58" w:rsidRPr="006E709F" w:rsidRDefault="00E93F58" w:rsidP="00A801D0">
      <w:pPr>
        <w:pStyle w:val="paragraph"/>
      </w:pPr>
      <w:r w:rsidRPr="006E709F">
        <w:tab/>
        <w:t>(b)</w:t>
      </w:r>
      <w:r w:rsidRPr="006E709F">
        <w:tab/>
        <w:t>the risk; and</w:t>
      </w:r>
    </w:p>
    <w:p w14:paraId="25B1269F" w14:textId="77777777" w:rsidR="00E93F58" w:rsidRPr="006E709F" w:rsidRDefault="00E93F58" w:rsidP="00A801D0">
      <w:pPr>
        <w:pStyle w:val="paragraph"/>
      </w:pPr>
      <w:r w:rsidRPr="006E709F">
        <w:tab/>
        <w:t>(c)</w:t>
      </w:r>
      <w:r w:rsidRPr="006E709F">
        <w:tab/>
        <w:t>the person’s investment timeframe;</w:t>
      </w:r>
    </w:p>
    <w:p w14:paraId="182364FA" w14:textId="77777777" w:rsidR="00E93F58" w:rsidRPr="006E709F" w:rsidRDefault="00E93F58" w:rsidP="00A801D0">
      <w:pPr>
        <w:pStyle w:val="subsection2"/>
      </w:pPr>
      <w:r w:rsidRPr="006E709F">
        <w:t>when choosing an option in which to invest.</w:t>
      </w:r>
    </w:p>
    <w:p w14:paraId="20E57BAD" w14:textId="77777777" w:rsidR="00E93F58" w:rsidRPr="006E709F" w:rsidRDefault="00E93F58" w:rsidP="00A801D0">
      <w:pPr>
        <w:pStyle w:val="SubsectionHead"/>
      </w:pPr>
      <w:r w:rsidRPr="006E709F">
        <w:t>New simple managed investment scheme</w:t>
      </w:r>
    </w:p>
    <w:p w14:paraId="1EC65FCF" w14:textId="77777777" w:rsidR="00E93F58" w:rsidRPr="006E709F" w:rsidRDefault="00E93F58" w:rsidP="00A801D0">
      <w:pPr>
        <w:pStyle w:val="subsection"/>
      </w:pPr>
      <w:r w:rsidRPr="006E709F">
        <w:tab/>
        <w:t>(3)</w:t>
      </w:r>
      <w:r w:rsidRPr="006E709F">
        <w:tab/>
        <w:t>If the simple managed investment scheme has never previously been offered to investors, and does not offer any investment option mentioned in subclauses (4) and (5) about which section 5 can give information, section 5 must give the following information for the investment option that the responsible entity reasonably believes has the least volatile underlying assets (whether or not section 5 gives that information for any other investment option):</w:t>
      </w:r>
    </w:p>
    <w:p w14:paraId="3B565860" w14:textId="77777777" w:rsidR="00E93F58" w:rsidRPr="006E709F" w:rsidRDefault="00E93F58" w:rsidP="00A801D0">
      <w:pPr>
        <w:pStyle w:val="paragraph"/>
      </w:pPr>
      <w:r w:rsidRPr="006E709F">
        <w:tab/>
        <w:t>(a)</w:t>
      </w:r>
      <w:r w:rsidRPr="006E709F">
        <w:tab/>
        <w:t>the name of the option and a short description of it, including the type of investors for whom it is intended to be suitable;</w:t>
      </w:r>
    </w:p>
    <w:p w14:paraId="7A891BFC" w14:textId="77777777" w:rsidR="00E93F58" w:rsidRPr="006E709F" w:rsidRDefault="00E93F58" w:rsidP="00A801D0">
      <w:pPr>
        <w:pStyle w:val="paragraph"/>
      </w:pPr>
      <w:r w:rsidRPr="006E709F">
        <w:tab/>
        <w:t>(b)</w:t>
      </w:r>
      <w:r w:rsidRPr="006E709F">
        <w:tab/>
        <w:t>a list of the asset classes in which the option invests, setting out the strategic asset allocation of the asset classes in the form of a range or otherwise;</w:t>
      </w:r>
    </w:p>
    <w:p w14:paraId="79038CD4" w14:textId="77777777" w:rsidR="00E93F58" w:rsidRPr="006E709F" w:rsidRDefault="00E93F58" w:rsidP="00A801D0">
      <w:pPr>
        <w:pStyle w:val="paragraph"/>
      </w:pPr>
      <w:r w:rsidRPr="006E709F">
        <w:tab/>
        <w:t>(c)</w:t>
      </w:r>
      <w:r w:rsidRPr="006E709F">
        <w:tab/>
        <w:t>a description of the investment return objective of the option;</w:t>
      </w:r>
    </w:p>
    <w:p w14:paraId="183E8BA4" w14:textId="77777777" w:rsidR="00E93F58" w:rsidRPr="006E709F" w:rsidRDefault="00E93F58" w:rsidP="00A801D0">
      <w:pPr>
        <w:pStyle w:val="paragraph"/>
      </w:pPr>
      <w:r w:rsidRPr="006E709F">
        <w:tab/>
        <w:t>(d)</w:t>
      </w:r>
      <w:r w:rsidRPr="006E709F">
        <w:tab/>
        <w:t>the minimum suggested time frame for holding the investment;</w:t>
      </w:r>
    </w:p>
    <w:p w14:paraId="327FD856" w14:textId="77777777" w:rsidR="00E93F58" w:rsidRPr="006E709F" w:rsidRDefault="00E93F58" w:rsidP="00A801D0">
      <w:pPr>
        <w:pStyle w:val="paragraph"/>
      </w:pPr>
      <w:r w:rsidRPr="006E709F">
        <w:tab/>
        <w:t>(e)</w:t>
      </w:r>
      <w:r w:rsidRPr="006E709F">
        <w:tab/>
        <w:t>a description, in the form of a summary, of the risk level of the option.</w:t>
      </w:r>
    </w:p>
    <w:p w14:paraId="6D9B3933" w14:textId="77777777" w:rsidR="00E93F58" w:rsidRPr="006E709F" w:rsidRDefault="00E93F58" w:rsidP="00A801D0">
      <w:pPr>
        <w:pStyle w:val="SubsectionHead"/>
      </w:pPr>
      <w:r w:rsidRPr="006E709F">
        <w:t>Balanced investment option</w:t>
      </w:r>
    </w:p>
    <w:p w14:paraId="76EE512F" w14:textId="77777777" w:rsidR="00E93F58" w:rsidRPr="006E709F" w:rsidRDefault="00E93F58" w:rsidP="00A801D0">
      <w:pPr>
        <w:pStyle w:val="subsection"/>
      </w:pPr>
      <w:r w:rsidRPr="006E709F">
        <w:tab/>
        <w:t>(4)</w:t>
      </w:r>
      <w:r w:rsidRPr="006E709F">
        <w:tab/>
        <w:t>If the simple managed investment scheme has a balanced investment option (within the meaning given by item 101 of Schedule 10), section 5 must give the following information for the balanced investment option (whether or not section 5 gives that information for any other investment option):</w:t>
      </w:r>
    </w:p>
    <w:p w14:paraId="2FAD7B6D" w14:textId="77777777" w:rsidR="00E93F58" w:rsidRPr="006E709F" w:rsidRDefault="00E93F58" w:rsidP="00A801D0">
      <w:pPr>
        <w:pStyle w:val="paragraph"/>
      </w:pPr>
      <w:r w:rsidRPr="006E709F">
        <w:tab/>
        <w:t>(a)</w:t>
      </w:r>
      <w:r w:rsidRPr="006E709F">
        <w:tab/>
        <w:t>the name of the option and a short description of it, including the type of investors for whom it is intended to be suitable;</w:t>
      </w:r>
    </w:p>
    <w:p w14:paraId="2D64C81C" w14:textId="77777777" w:rsidR="00E93F58" w:rsidRPr="006E709F" w:rsidRDefault="00E93F58" w:rsidP="00A801D0">
      <w:pPr>
        <w:pStyle w:val="paragraph"/>
      </w:pPr>
      <w:r w:rsidRPr="006E709F">
        <w:tab/>
        <w:t>(b)</w:t>
      </w:r>
      <w:r w:rsidRPr="006E709F">
        <w:tab/>
        <w:t>a list of the asset classes in which the option invests, setting out the strategic asset allocation of the asset classes in the form of a range or otherwise;</w:t>
      </w:r>
    </w:p>
    <w:p w14:paraId="0E5DA6E7" w14:textId="77777777" w:rsidR="00E93F58" w:rsidRPr="006E709F" w:rsidRDefault="00E93F58" w:rsidP="00A801D0">
      <w:pPr>
        <w:pStyle w:val="paragraph"/>
      </w:pPr>
      <w:r w:rsidRPr="006E709F">
        <w:tab/>
        <w:t>(c)</w:t>
      </w:r>
      <w:r w:rsidRPr="006E709F">
        <w:tab/>
        <w:t>a description of the investment return objective of the option;</w:t>
      </w:r>
    </w:p>
    <w:p w14:paraId="39D89F65" w14:textId="77777777" w:rsidR="00E93F58" w:rsidRPr="006E709F" w:rsidRDefault="00E93F58" w:rsidP="00A801D0">
      <w:pPr>
        <w:pStyle w:val="paragraph"/>
      </w:pPr>
      <w:r w:rsidRPr="006E709F">
        <w:tab/>
        <w:t>(d)</w:t>
      </w:r>
      <w:r w:rsidRPr="006E709F">
        <w:tab/>
        <w:t>the minimum suggested time frame for holding the investment;</w:t>
      </w:r>
    </w:p>
    <w:p w14:paraId="4667B75D" w14:textId="77777777" w:rsidR="00E93F58" w:rsidRPr="006E709F" w:rsidRDefault="00E93F58" w:rsidP="00A801D0">
      <w:pPr>
        <w:pStyle w:val="paragraph"/>
      </w:pPr>
      <w:r w:rsidRPr="006E709F">
        <w:tab/>
        <w:t>(e)</w:t>
      </w:r>
      <w:r w:rsidRPr="006E709F">
        <w:tab/>
        <w:t>a description, in the form of a summary, of the risk level of the option.</w:t>
      </w:r>
    </w:p>
    <w:p w14:paraId="13F2442D" w14:textId="77777777" w:rsidR="00E93F58" w:rsidRPr="006E709F" w:rsidRDefault="00E93F58" w:rsidP="00A801D0">
      <w:pPr>
        <w:pStyle w:val="SubsectionHead"/>
      </w:pPr>
      <w:r w:rsidRPr="006E709F">
        <w:lastRenderedPageBreak/>
        <w:t>No balanced investment option</w:t>
      </w:r>
    </w:p>
    <w:p w14:paraId="502E4092" w14:textId="77777777" w:rsidR="00E93F58" w:rsidRPr="006E709F" w:rsidRDefault="00E93F58" w:rsidP="00A801D0">
      <w:pPr>
        <w:pStyle w:val="subsection"/>
      </w:pPr>
      <w:r w:rsidRPr="006E709F">
        <w:tab/>
        <w:t>(5)</w:t>
      </w:r>
      <w:r w:rsidRPr="006E709F">
        <w:tab/>
        <w:t>If the simple managed investment scheme does not have a balanced investment option (within the meaning given by item 101 of Schedule 10), section 5 must give the following information for the investment option under which the entity has the most funds invested (whether or not section 5 gives that information for any other investment option):</w:t>
      </w:r>
    </w:p>
    <w:p w14:paraId="19701328" w14:textId="77777777" w:rsidR="00E93F58" w:rsidRPr="006E709F" w:rsidRDefault="00E93F58" w:rsidP="00A801D0">
      <w:pPr>
        <w:pStyle w:val="paragraph"/>
      </w:pPr>
      <w:r w:rsidRPr="006E709F">
        <w:tab/>
        <w:t>(a)</w:t>
      </w:r>
      <w:r w:rsidRPr="006E709F">
        <w:tab/>
        <w:t>the name of the option and a short description of it, including the type of investors for whom it is intended to be suitable;</w:t>
      </w:r>
    </w:p>
    <w:p w14:paraId="7B9BB181" w14:textId="77777777" w:rsidR="00E93F58" w:rsidRPr="006E709F" w:rsidRDefault="00E93F58" w:rsidP="00A801D0">
      <w:pPr>
        <w:pStyle w:val="paragraph"/>
      </w:pPr>
      <w:r w:rsidRPr="006E709F">
        <w:tab/>
        <w:t>(b)</w:t>
      </w:r>
      <w:r w:rsidRPr="006E709F">
        <w:tab/>
        <w:t>a list of the asset classes in which the option invests, setting out the strategic asset allocation of the asset classes in the form of a range or otherwise;</w:t>
      </w:r>
    </w:p>
    <w:p w14:paraId="1EF5A91C" w14:textId="77777777" w:rsidR="00E93F58" w:rsidRPr="006E709F" w:rsidRDefault="00E93F58" w:rsidP="00A801D0">
      <w:pPr>
        <w:pStyle w:val="paragraph"/>
      </w:pPr>
      <w:r w:rsidRPr="006E709F">
        <w:tab/>
        <w:t>(c)</w:t>
      </w:r>
      <w:r w:rsidRPr="006E709F">
        <w:tab/>
        <w:t>a description of the investment return objective of the option;</w:t>
      </w:r>
    </w:p>
    <w:p w14:paraId="51656BC4" w14:textId="77777777" w:rsidR="00E93F58" w:rsidRPr="006E709F" w:rsidRDefault="00E93F58" w:rsidP="00A801D0">
      <w:pPr>
        <w:pStyle w:val="paragraph"/>
      </w:pPr>
      <w:r w:rsidRPr="006E709F">
        <w:tab/>
        <w:t>(d)</w:t>
      </w:r>
      <w:r w:rsidRPr="006E709F">
        <w:tab/>
        <w:t>the minimum suggested time frame for holding the investment;</w:t>
      </w:r>
    </w:p>
    <w:p w14:paraId="3AE41AD1" w14:textId="77777777" w:rsidR="00E93F58" w:rsidRPr="006E709F" w:rsidRDefault="00E93F58" w:rsidP="00A801D0">
      <w:pPr>
        <w:pStyle w:val="paragraph"/>
      </w:pPr>
      <w:r w:rsidRPr="006E709F">
        <w:tab/>
        <w:t>(e)</w:t>
      </w:r>
      <w:r w:rsidRPr="006E709F">
        <w:tab/>
        <w:t>a description, in the form of a summary, of the risk level of the option.</w:t>
      </w:r>
    </w:p>
    <w:p w14:paraId="5BE58AE2" w14:textId="77777777" w:rsidR="00E93F58" w:rsidRPr="006E709F" w:rsidRDefault="00E93F58" w:rsidP="00A801D0">
      <w:pPr>
        <w:pStyle w:val="subsection"/>
      </w:pPr>
      <w:r w:rsidRPr="006E709F">
        <w:tab/>
        <w:t>(6)</w:t>
      </w:r>
      <w:r w:rsidRPr="006E709F">
        <w:tab/>
        <w:t>Section 5:</w:t>
      </w:r>
    </w:p>
    <w:p w14:paraId="100DDA78" w14:textId="77777777" w:rsidR="00E93F58" w:rsidRPr="006E709F" w:rsidRDefault="00E93F58" w:rsidP="00A801D0">
      <w:pPr>
        <w:pStyle w:val="paragraph"/>
      </w:pPr>
      <w:r w:rsidRPr="006E709F">
        <w:tab/>
        <w:t>(a)</w:t>
      </w:r>
      <w:r w:rsidRPr="006E709F">
        <w:tab/>
        <w:t>must make provision for each investment option which is not presented in section 5 in accordance with subclause (3), (4) or (5); and</w:t>
      </w:r>
    </w:p>
    <w:p w14:paraId="7E82E350" w14:textId="77777777" w:rsidR="00E93F58" w:rsidRPr="006E709F" w:rsidRDefault="00E93F58" w:rsidP="00A801D0">
      <w:pPr>
        <w:pStyle w:val="paragraph"/>
      </w:pPr>
      <w:r w:rsidRPr="006E709F">
        <w:tab/>
        <w:t>(b)</w:t>
      </w:r>
      <w:r w:rsidRPr="006E709F">
        <w:tab/>
        <w:t>may make provision for the option by applying, adopting or incorporating matter in a document that:</w:t>
      </w:r>
    </w:p>
    <w:p w14:paraId="7E577D54" w14:textId="77777777" w:rsidR="00E93F58" w:rsidRPr="006E709F" w:rsidRDefault="00E93F58" w:rsidP="00A801D0">
      <w:pPr>
        <w:pStyle w:val="paragraphsub"/>
      </w:pPr>
      <w:r w:rsidRPr="006E709F">
        <w:tab/>
        <w:t>(i)</w:t>
      </w:r>
      <w:r w:rsidRPr="006E709F">
        <w:tab/>
        <w:t>includes the information mentioned in subclause (3), (4) or (5); and</w:t>
      </w:r>
    </w:p>
    <w:p w14:paraId="7D6FF6B9" w14:textId="77777777" w:rsidR="00E93F58" w:rsidRPr="006E709F" w:rsidRDefault="00E93F58" w:rsidP="00A801D0">
      <w:pPr>
        <w:pStyle w:val="paragraphsub"/>
      </w:pPr>
      <w:r w:rsidRPr="006E709F">
        <w:tab/>
        <w:t>(ii)</w:t>
      </w:r>
      <w:r w:rsidRPr="006E709F">
        <w:tab/>
        <w:t>presents it in the way mentioned in the subclause.</w:t>
      </w:r>
    </w:p>
    <w:p w14:paraId="4B59171C" w14:textId="77777777" w:rsidR="00E93F58" w:rsidRPr="006E709F" w:rsidRDefault="00E93F58" w:rsidP="00A801D0">
      <w:pPr>
        <w:pStyle w:val="subsection"/>
      </w:pPr>
      <w:r w:rsidRPr="006E709F">
        <w:tab/>
        <w:t>(7)</w:t>
      </w:r>
      <w:r w:rsidRPr="006E709F">
        <w:tab/>
        <w:t>The responsible entity:</w:t>
      </w:r>
    </w:p>
    <w:p w14:paraId="33D86969" w14:textId="77777777" w:rsidR="00E93F58" w:rsidRPr="006E709F" w:rsidRDefault="00E93F58" w:rsidP="00A801D0">
      <w:pPr>
        <w:pStyle w:val="paragraph"/>
      </w:pPr>
      <w:r w:rsidRPr="006E709F">
        <w:tab/>
        <w:t>(a)</w:t>
      </w:r>
      <w:r w:rsidRPr="006E709F">
        <w:tab/>
        <w:t>must provide information about how a member may switch the member’s investments; and</w:t>
      </w:r>
    </w:p>
    <w:p w14:paraId="1050ABA0" w14:textId="77777777" w:rsidR="00E93F58" w:rsidRPr="006E709F" w:rsidRDefault="00E93F58" w:rsidP="00A801D0">
      <w:pPr>
        <w:pStyle w:val="paragraph"/>
      </w:pPr>
      <w:r w:rsidRPr="006E709F">
        <w:tab/>
        <w:t>(b)</w:t>
      </w:r>
      <w:r w:rsidRPr="006E709F">
        <w:tab/>
        <w:t>must provide information about:</w:t>
      </w:r>
    </w:p>
    <w:p w14:paraId="01D4E1BC" w14:textId="77777777" w:rsidR="00E93F58" w:rsidRPr="006E709F" w:rsidRDefault="00E93F58" w:rsidP="00A801D0">
      <w:pPr>
        <w:pStyle w:val="paragraphsub"/>
      </w:pPr>
      <w:r w:rsidRPr="006E709F">
        <w:tab/>
        <w:t>(i)</w:t>
      </w:r>
      <w:r w:rsidRPr="006E709F">
        <w:tab/>
        <w:t>whether the simple managed investment scheme’s investment options may be changed; and</w:t>
      </w:r>
    </w:p>
    <w:p w14:paraId="5EE49D25" w14:textId="77777777" w:rsidR="00E93F58" w:rsidRPr="006E709F" w:rsidRDefault="00E93F58" w:rsidP="00A801D0">
      <w:pPr>
        <w:pStyle w:val="paragraphsub"/>
      </w:pPr>
      <w:r w:rsidRPr="006E709F">
        <w:tab/>
        <w:t>(ii)</w:t>
      </w:r>
      <w:r w:rsidRPr="006E709F">
        <w:tab/>
        <w:t>if so, how the options may be changed; and</w:t>
      </w:r>
    </w:p>
    <w:p w14:paraId="036D88F6" w14:textId="77777777" w:rsidR="00E93F58" w:rsidRPr="006E709F" w:rsidRDefault="00E93F58" w:rsidP="00A801D0">
      <w:pPr>
        <w:pStyle w:val="paragraph"/>
      </w:pPr>
      <w:r w:rsidRPr="006E709F">
        <w:tab/>
        <w:t>(c)</w:t>
      </w:r>
      <w:r w:rsidRPr="006E709F">
        <w:tab/>
        <w:t>must describe, in the form of a summary, the extent to which labour standards or environmental, social or ethical considerations are taken into account in the selection, retention or realisation of investments relating to the simple managed investment scheme; and</w:t>
      </w:r>
    </w:p>
    <w:p w14:paraId="1C2BFACB" w14:textId="77777777" w:rsidR="00E93F58" w:rsidRPr="006E709F" w:rsidRDefault="00E93F58" w:rsidP="00A801D0">
      <w:pPr>
        <w:pStyle w:val="paragraph"/>
      </w:pPr>
      <w:r w:rsidRPr="006E709F">
        <w:tab/>
        <w:t>(d)</w:t>
      </w:r>
      <w:r w:rsidRPr="006E709F">
        <w:tab/>
        <w:t>may provide the information in paragraphs (a) to (c), and any additional information about investment options, by applying, adopting or incorporating a matter in writing.</w:t>
      </w:r>
    </w:p>
    <w:p w14:paraId="5E4104C7" w14:textId="77777777" w:rsidR="00E93F58" w:rsidRPr="006E709F" w:rsidRDefault="00E93F58" w:rsidP="00A801D0">
      <w:pPr>
        <w:pStyle w:val="ActHead5"/>
      </w:pPr>
      <w:bookmarkStart w:id="3590" w:name="_Toc151992543"/>
      <w:bookmarkStart w:id="3591" w:name="_Toc158713580"/>
      <w:r w:rsidRPr="000C4237">
        <w:rPr>
          <w:rStyle w:val="CharSectno"/>
        </w:rPr>
        <w:t>8</w:t>
      </w:r>
      <w:r w:rsidRPr="006E709F">
        <w:t xml:space="preserve">  Contents of section 6 (Fees and costs)</w:t>
      </w:r>
      <w:bookmarkEnd w:id="3590"/>
      <w:bookmarkEnd w:id="3591"/>
    </w:p>
    <w:p w14:paraId="7F61279F" w14:textId="77777777" w:rsidR="00E93F58" w:rsidRPr="006E709F" w:rsidRDefault="00E93F58" w:rsidP="00A801D0">
      <w:pPr>
        <w:pStyle w:val="subsection"/>
      </w:pPr>
      <w:r w:rsidRPr="006E709F">
        <w:tab/>
        <w:t>(1)</w:t>
      </w:r>
      <w:r w:rsidRPr="006E709F">
        <w:tab/>
        <w:t>For each investment option of the simple managed investment scheme that is presented in section 5 in detail in accordance with subclause 7(3), section 6 of the Product Disclosure Statement must state:</w:t>
      </w:r>
    </w:p>
    <w:p w14:paraId="4D39FD17" w14:textId="77777777" w:rsidR="00E93F58" w:rsidRPr="006E709F" w:rsidRDefault="00E93F58" w:rsidP="00A801D0">
      <w:pPr>
        <w:pStyle w:val="paragraph"/>
      </w:pPr>
      <w:r w:rsidRPr="006E709F">
        <w:tab/>
        <w:t>(a)</w:t>
      </w:r>
      <w:r w:rsidRPr="006E709F">
        <w:tab/>
        <w:t>the cost of acquiring the option; and</w:t>
      </w:r>
    </w:p>
    <w:p w14:paraId="44AF3EC9" w14:textId="77777777" w:rsidR="00E93F58" w:rsidRPr="006E709F" w:rsidRDefault="00E93F58" w:rsidP="00A801D0">
      <w:pPr>
        <w:pStyle w:val="paragraph"/>
      </w:pPr>
      <w:r w:rsidRPr="006E709F">
        <w:tab/>
        <w:t>(b)</w:t>
      </w:r>
      <w:r w:rsidRPr="006E709F">
        <w:tab/>
        <w:t>the fees and costs that are charged in relation to the option.</w:t>
      </w:r>
    </w:p>
    <w:p w14:paraId="12088049" w14:textId="77777777" w:rsidR="00E93F58" w:rsidRPr="006E709F" w:rsidRDefault="00E93F58" w:rsidP="00A801D0">
      <w:pPr>
        <w:pStyle w:val="notetext"/>
      </w:pPr>
      <w:r w:rsidRPr="006E709F">
        <w:t>Note:</w:t>
      </w:r>
      <w:r w:rsidRPr="006E709F">
        <w:tab/>
        <w:t>The statement will be made using the template set out in subclause (3).</w:t>
      </w:r>
    </w:p>
    <w:p w14:paraId="6B2E2D22" w14:textId="77777777" w:rsidR="00E93F58" w:rsidRPr="006E709F" w:rsidRDefault="00E93F58" w:rsidP="00A801D0">
      <w:pPr>
        <w:pStyle w:val="subsection"/>
      </w:pPr>
      <w:r w:rsidRPr="006E709F">
        <w:tab/>
        <w:t>(2)</w:t>
      </w:r>
      <w:r w:rsidRPr="006E709F">
        <w:tab/>
        <w:t>Before setting out any other substantive material, section 6 must:</w:t>
      </w:r>
    </w:p>
    <w:p w14:paraId="65866F87" w14:textId="77777777" w:rsidR="00E93F58" w:rsidRPr="006E709F" w:rsidRDefault="00E93F58" w:rsidP="00A801D0">
      <w:pPr>
        <w:pStyle w:val="paragraph"/>
      </w:pPr>
      <w:r w:rsidRPr="006E709F">
        <w:tab/>
        <w:t>(a)</w:t>
      </w:r>
      <w:r w:rsidRPr="006E709F">
        <w:tab/>
        <w:t>set out the Consumer Advisory Warning in clause 221 of Schedule 10</w:t>
      </w:r>
      <w:r w:rsidRPr="006E709F">
        <w:rPr>
          <w:szCs w:val="22"/>
        </w:rPr>
        <w:t>; and</w:t>
      </w:r>
    </w:p>
    <w:p w14:paraId="717189BF" w14:textId="77777777" w:rsidR="00E93F58" w:rsidRPr="006E709F" w:rsidRDefault="00E93F58" w:rsidP="00A801D0">
      <w:pPr>
        <w:pStyle w:val="paragraph"/>
      </w:pPr>
      <w:r w:rsidRPr="006E709F">
        <w:tab/>
        <w:t>(b)</w:t>
      </w:r>
      <w:r w:rsidRPr="006E709F">
        <w:tab/>
        <w:t>give a concise example in the form set out in the Consumer Advisory Warning in clause 221 of Schedule 10.</w:t>
      </w:r>
    </w:p>
    <w:p w14:paraId="2BBE6052" w14:textId="77777777" w:rsidR="00E93F58" w:rsidRPr="006E709F" w:rsidRDefault="00E93F58" w:rsidP="00A801D0">
      <w:pPr>
        <w:pStyle w:val="subsection"/>
      </w:pPr>
      <w:r w:rsidRPr="006E709F">
        <w:tab/>
        <w:t>(3)</w:t>
      </w:r>
      <w:r w:rsidRPr="006E709F">
        <w:tab/>
        <w:t>Section 6 must set out the fees and costs for each investment option that is presented in section 5 in detail in accordance with subclause 7(3), using the following template:</w:t>
      </w:r>
    </w:p>
    <w:p w14:paraId="4181EE0D" w14:textId="77777777" w:rsidR="00E93F58" w:rsidRPr="006E709F" w:rsidRDefault="00E93F58" w:rsidP="00A801D0">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gridCol w:w="2781"/>
        <w:gridCol w:w="17"/>
      </w:tblGrid>
      <w:tr w:rsidR="00E93F58" w:rsidRPr="006E709F" w14:paraId="0465DB5A" w14:textId="77777777" w:rsidTr="00E118FA">
        <w:trPr>
          <w:gridAfter w:val="1"/>
          <w:wAfter w:w="8" w:type="pct"/>
          <w:cantSplit/>
          <w:tblHeader/>
        </w:trPr>
        <w:tc>
          <w:tcPr>
            <w:tcW w:w="3700" w:type="pct"/>
            <w:tcBorders>
              <w:top w:val="single" w:sz="4" w:space="0" w:color="auto"/>
              <w:left w:val="single" w:sz="4" w:space="0" w:color="auto"/>
              <w:bottom w:val="single" w:sz="4" w:space="0" w:color="auto"/>
              <w:right w:val="single" w:sz="4" w:space="0" w:color="auto"/>
            </w:tcBorders>
            <w:shd w:val="clear" w:color="auto" w:fill="C0C0C0"/>
            <w:hideMark/>
          </w:tcPr>
          <w:p w14:paraId="30962E68" w14:textId="77777777" w:rsidR="00E93F58" w:rsidRPr="006E709F" w:rsidRDefault="00E93F58" w:rsidP="00540D7E">
            <w:pPr>
              <w:keepLines/>
              <w:rPr>
                <w:rFonts w:cs="Times New Roman"/>
                <w:szCs w:val="18"/>
              </w:rPr>
            </w:pPr>
            <w:r w:rsidRPr="006E709F">
              <w:rPr>
                <w:rFonts w:cs="Times New Roman"/>
                <w:szCs w:val="18"/>
              </w:rPr>
              <w:t>TYPE OF FEE OR COST</w:t>
            </w:r>
          </w:p>
        </w:tc>
        <w:tc>
          <w:tcPr>
            <w:tcW w:w="1292" w:type="pct"/>
            <w:tcBorders>
              <w:top w:val="single" w:sz="4" w:space="0" w:color="auto"/>
              <w:left w:val="single" w:sz="4" w:space="0" w:color="auto"/>
              <w:bottom w:val="single" w:sz="4" w:space="0" w:color="auto"/>
              <w:right w:val="single" w:sz="4" w:space="0" w:color="auto"/>
            </w:tcBorders>
            <w:shd w:val="clear" w:color="auto" w:fill="C0C0C0"/>
            <w:hideMark/>
          </w:tcPr>
          <w:p w14:paraId="0C7F22C7" w14:textId="77777777" w:rsidR="00E93F58" w:rsidRPr="006E709F" w:rsidRDefault="00E93F58" w:rsidP="00540D7E">
            <w:pPr>
              <w:keepLines/>
              <w:rPr>
                <w:rFonts w:cs="Times New Roman"/>
                <w:szCs w:val="18"/>
              </w:rPr>
            </w:pPr>
            <w:r w:rsidRPr="006E709F">
              <w:rPr>
                <w:rFonts w:cs="Times New Roman"/>
                <w:szCs w:val="18"/>
              </w:rPr>
              <w:t>AMOUNT</w:t>
            </w:r>
          </w:p>
        </w:tc>
      </w:tr>
      <w:tr w:rsidR="00E93F58" w:rsidRPr="006E709F" w14:paraId="6BC5067B" w14:textId="77777777" w:rsidTr="00E118FA">
        <w:trPr>
          <w:gridAfter w:val="1"/>
          <w:wAfter w:w="8" w:type="pct"/>
        </w:trPr>
        <w:tc>
          <w:tcPr>
            <w:tcW w:w="37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29CC1DE" w14:textId="77777777" w:rsidR="00E93F58" w:rsidRPr="006E709F" w:rsidRDefault="00E93F58" w:rsidP="00540D7E">
            <w:pPr>
              <w:keepLines/>
              <w:rPr>
                <w:rFonts w:cs="Times New Roman"/>
                <w:i/>
                <w:sz w:val="16"/>
                <w:szCs w:val="18"/>
              </w:rPr>
            </w:pPr>
            <w:r w:rsidRPr="006E709F">
              <w:rPr>
                <w:rFonts w:cs="Times New Roman"/>
                <w:szCs w:val="18"/>
              </w:rPr>
              <w:t>Fees when your money moves in or out of the fund</w:t>
            </w:r>
          </w:p>
        </w:tc>
        <w:tc>
          <w:tcPr>
            <w:tcW w:w="1292" w:type="pct"/>
            <w:tcBorders>
              <w:top w:val="single" w:sz="4" w:space="0" w:color="auto"/>
              <w:left w:val="single" w:sz="4" w:space="0" w:color="auto"/>
              <w:bottom w:val="single" w:sz="4" w:space="0" w:color="auto"/>
              <w:right w:val="single" w:sz="4" w:space="0" w:color="auto"/>
            </w:tcBorders>
            <w:shd w:val="clear" w:color="auto" w:fill="C0C0C0"/>
          </w:tcPr>
          <w:p w14:paraId="62C64800" w14:textId="77777777" w:rsidR="00E93F58" w:rsidRPr="006E709F" w:rsidRDefault="00E93F58" w:rsidP="00540D7E">
            <w:pPr>
              <w:keepLines/>
              <w:rPr>
                <w:rFonts w:cs="Times New Roman"/>
                <w:b/>
                <w:szCs w:val="18"/>
              </w:rPr>
            </w:pPr>
          </w:p>
        </w:tc>
      </w:tr>
      <w:tr w:rsidR="00E93F58" w:rsidRPr="006E709F" w14:paraId="3F26A95F" w14:textId="77777777" w:rsidTr="00E118FA">
        <w:trPr>
          <w:gridAfter w:val="1"/>
          <w:wAfter w:w="8" w:type="pct"/>
        </w:trPr>
        <w:tc>
          <w:tcPr>
            <w:tcW w:w="3700" w:type="pct"/>
            <w:tcBorders>
              <w:top w:val="single" w:sz="4" w:space="0" w:color="auto"/>
              <w:left w:val="single" w:sz="4" w:space="0" w:color="auto"/>
              <w:bottom w:val="single" w:sz="4" w:space="0" w:color="auto"/>
              <w:right w:val="single" w:sz="4" w:space="0" w:color="auto"/>
            </w:tcBorders>
            <w:hideMark/>
          </w:tcPr>
          <w:p w14:paraId="00969EC3" w14:textId="77777777" w:rsidR="00E93F58" w:rsidRPr="006E709F" w:rsidRDefault="00E93F58" w:rsidP="00D75DE0">
            <w:pPr>
              <w:pStyle w:val="Tabletext"/>
              <w:spacing w:after="120"/>
              <w:rPr>
                <w:i/>
              </w:rPr>
            </w:pPr>
            <w:r w:rsidRPr="006E709F">
              <w:rPr>
                <w:i/>
              </w:rPr>
              <w:t>Establishment fee</w:t>
            </w:r>
          </w:p>
        </w:tc>
        <w:tc>
          <w:tcPr>
            <w:tcW w:w="1292" w:type="pct"/>
            <w:tcBorders>
              <w:top w:val="single" w:sz="4" w:space="0" w:color="auto"/>
              <w:left w:val="single" w:sz="4" w:space="0" w:color="auto"/>
              <w:bottom w:val="single" w:sz="4" w:space="0" w:color="auto"/>
              <w:right w:val="single" w:sz="4" w:space="0" w:color="auto"/>
            </w:tcBorders>
          </w:tcPr>
          <w:p w14:paraId="2D555EE8" w14:textId="77777777" w:rsidR="00E93F58" w:rsidRPr="006E709F" w:rsidRDefault="00E93F58" w:rsidP="00D75DE0">
            <w:pPr>
              <w:pStyle w:val="Tabletext"/>
              <w:spacing w:after="120"/>
            </w:pPr>
          </w:p>
        </w:tc>
      </w:tr>
      <w:tr w:rsidR="00E93F58" w:rsidRPr="006E709F" w14:paraId="7A825DF8" w14:textId="77777777" w:rsidTr="00E118FA">
        <w:trPr>
          <w:gridAfter w:val="1"/>
          <w:wAfter w:w="8" w:type="pct"/>
        </w:trPr>
        <w:tc>
          <w:tcPr>
            <w:tcW w:w="3700" w:type="pct"/>
            <w:tcBorders>
              <w:top w:val="single" w:sz="4" w:space="0" w:color="auto"/>
              <w:left w:val="single" w:sz="4" w:space="0" w:color="auto"/>
              <w:bottom w:val="single" w:sz="4" w:space="0" w:color="auto"/>
              <w:right w:val="single" w:sz="4" w:space="0" w:color="auto"/>
            </w:tcBorders>
            <w:vAlign w:val="center"/>
            <w:hideMark/>
          </w:tcPr>
          <w:p w14:paraId="493C849B" w14:textId="77777777" w:rsidR="00E93F58" w:rsidRPr="006E709F" w:rsidRDefault="00E93F58" w:rsidP="00D75DE0">
            <w:pPr>
              <w:pStyle w:val="Tabletext"/>
              <w:spacing w:after="120"/>
              <w:rPr>
                <w:i/>
              </w:rPr>
            </w:pPr>
            <w:r w:rsidRPr="006E709F">
              <w:rPr>
                <w:i/>
              </w:rPr>
              <w:t>Contribution fee</w:t>
            </w:r>
          </w:p>
        </w:tc>
        <w:tc>
          <w:tcPr>
            <w:tcW w:w="1292" w:type="pct"/>
            <w:tcBorders>
              <w:top w:val="single" w:sz="4" w:space="0" w:color="auto"/>
              <w:left w:val="single" w:sz="4" w:space="0" w:color="auto"/>
              <w:bottom w:val="single" w:sz="4" w:space="0" w:color="auto"/>
              <w:right w:val="single" w:sz="4" w:space="0" w:color="auto"/>
            </w:tcBorders>
          </w:tcPr>
          <w:p w14:paraId="31B7FD6F" w14:textId="77777777" w:rsidR="00E93F58" w:rsidRPr="006E709F" w:rsidRDefault="00E93F58" w:rsidP="00D75DE0">
            <w:pPr>
              <w:pStyle w:val="Tabletext"/>
              <w:spacing w:after="120"/>
            </w:pPr>
          </w:p>
        </w:tc>
      </w:tr>
      <w:tr w:rsidR="00E93F58" w:rsidRPr="006E709F" w14:paraId="36C7B1C6" w14:textId="77777777" w:rsidTr="00E118FA">
        <w:trPr>
          <w:gridAfter w:val="1"/>
          <w:wAfter w:w="8" w:type="pct"/>
        </w:trPr>
        <w:tc>
          <w:tcPr>
            <w:tcW w:w="3700" w:type="pct"/>
            <w:tcBorders>
              <w:top w:val="single" w:sz="4" w:space="0" w:color="auto"/>
              <w:left w:val="single" w:sz="4" w:space="0" w:color="auto"/>
              <w:bottom w:val="single" w:sz="4" w:space="0" w:color="auto"/>
              <w:right w:val="single" w:sz="4" w:space="0" w:color="auto"/>
            </w:tcBorders>
            <w:vAlign w:val="center"/>
            <w:hideMark/>
          </w:tcPr>
          <w:p w14:paraId="765BDA58" w14:textId="77777777" w:rsidR="00E93F58" w:rsidRPr="006E709F" w:rsidRDefault="00E93F58" w:rsidP="00D75DE0">
            <w:pPr>
              <w:pStyle w:val="Tabletext"/>
              <w:spacing w:after="120"/>
              <w:rPr>
                <w:i/>
              </w:rPr>
            </w:pPr>
            <w:r w:rsidRPr="006E709F">
              <w:rPr>
                <w:i/>
              </w:rPr>
              <w:t>Withdrawal fee</w:t>
            </w:r>
          </w:p>
        </w:tc>
        <w:tc>
          <w:tcPr>
            <w:tcW w:w="1292" w:type="pct"/>
            <w:tcBorders>
              <w:top w:val="single" w:sz="4" w:space="0" w:color="auto"/>
              <w:left w:val="single" w:sz="4" w:space="0" w:color="auto"/>
              <w:bottom w:val="single" w:sz="4" w:space="0" w:color="auto"/>
              <w:right w:val="single" w:sz="4" w:space="0" w:color="auto"/>
            </w:tcBorders>
          </w:tcPr>
          <w:p w14:paraId="3CD4477F" w14:textId="77777777" w:rsidR="00E93F58" w:rsidRPr="006E709F" w:rsidRDefault="00E93F58" w:rsidP="00D75DE0">
            <w:pPr>
              <w:pStyle w:val="Tabletext"/>
              <w:spacing w:after="120"/>
            </w:pPr>
          </w:p>
        </w:tc>
      </w:tr>
      <w:tr w:rsidR="00E93F58" w:rsidRPr="006E709F" w14:paraId="0458F977" w14:textId="77777777" w:rsidTr="00E118FA">
        <w:trPr>
          <w:gridAfter w:val="1"/>
          <w:wAfter w:w="8" w:type="pct"/>
        </w:trPr>
        <w:tc>
          <w:tcPr>
            <w:tcW w:w="3700" w:type="pct"/>
            <w:tcBorders>
              <w:top w:val="single" w:sz="4" w:space="0" w:color="auto"/>
              <w:left w:val="single" w:sz="4" w:space="0" w:color="auto"/>
              <w:bottom w:val="single" w:sz="4" w:space="0" w:color="auto"/>
              <w:right w:val="single" w:sz="4" w:space="0" w:color="auto"/>
            </w:tcBorders>
            <w:vAlign w:val="center"/>
            <w:hideMark/>
          </w:tcPr>
          <w:p w14:paraId="25FBBC38" w14:textId="77777777" w:rsidR="00E93F58" w:rsidRPr="006E709F" w:rsidRDefault="00E93F58" w:rsidP="00D75DE0">
            <w:pPr>
              <w:pStyle w:val="Tabletext"/>
              <w:spacing w:after="120"/>
              <w:rPr>
                <w:i/>
              </w:rPr>
            </w:pPr>
            <w:r w:rsidRPr="006E709F">
              <w:rPr>
                <w:i/>
              </w:rPr>
              <w:t>Termination fee</w:t>
            </w:r>
          </w:p>
        </w:tc>
        <w:tc>
          <w:tcPr>
            <w:tcW w:w="1292" w:type="pct"/>
            <w:tcBorders>
              <w:top w:val="single" w:sz="4" w:space="0" w:color="auto"/>
              <w:left w:val="single" w:sz="4" w:space="0" w:color="auto"/>
              <w:bottom w:val="single" w:sz="4" w:space="0" w:color="auto"/>
              <w:right w:val="single" w:sz="4" w:space="0" w:color="auto"/>
            </w:tcBorders>
          </w:tcPr>
          <w:p w14:paraId="4570682A" w14:textId="77777777" w:rsidR="00E93F58" w:rsidRPr="006E709F" w:rsidRDefault="00E93F58" w:rsidP="00D75DE0">
            <w:pPr>
              <w:pStyle w:val="Tabletext"/>
              <w:spacing w:after="120"/>
            </w:pPr>
          </w:p>
        </w:tc>
      </w:tr>
      <w:tr w:rsidR="00E93F58" w:rsidRPr="006E709F" w14:paraId="1CF0168C" w14:textId="77777777" w:rsidTr="00E118FA">
        <w:trPr>
          <w:gridAfter w:val="1"/>
          <w:wAfter w:w="8" w:type="pct"/>
        </w:trPr>
        <w:tc>
          <w:tcPr>
            <w:tcW w:w="37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466F46A" w14:textId="77777777" w:rsidR="00E93F58" w:rsidRPr="006E709F" w:rsidRDefault="00E93F58" w:rsidP="00540D7E">
            <w:pPr>
              <w:keepLines/>
              <w:rPr>
                <w:rFonts w:cs="Times New Roman"/>
                <w:szCs w:val="18"/>
              </w:rPr>
            </w:pPr>
            <w:r w:rsidRPr="006E709F">
              <w:rPr>
                <w:rFonts w:cs="Times New Roman"/>
                <w:szCs w:val="18"/>
              </w:rPr>
              <w:t>Management costs</w:t>
            </w:r>
          </w:p>
        </w:tc>
        <w:tc>
          <w:tcPr>
            <w:tcW w:w="1292" w:type="pct"/>
            <w:tcBorders>
              <w:top w:val="single" w:sz="4" w:space="0" w:color="auto"/>
              <w:left w:val="single" w:sz="4" w:space="0" w:color="auto"/>
              <w:bottom w:val="single" w:sz="4" w:space="0" w:color="auto"/>
              <w:right w:val="single" w:sz="4" w:space="0" w:color="auto"/>
            </w:tcBorders>
            <w:shd w:val="clear" w:color="auto" w:fill="C0C0C0"/>
          </w:tcPr>
          <w:p w14:paraId="5CBB6A76" w14:textId="77777777" w:rsidR="00E93F58" w:rsidRPr="006E709F" w:rsidRDefault="00E93F58" w:rsidP="00540D7E">
            <w:pPr>
              <w:keepLines/>
              <w:rPr>
                <w:rFonts w:cs="Times New Roman"/>
                <w:szCs w:val="18"/>
              </w:rPr>
            </w:pPr>
          </w:p>
        </w:tc>
      </w:tr>
      <w:tr w:rsidR="00E93F58" w:rsidRPr="006E709F" w14:paraId="4783592C" w14:textId="77777777" w:rsidTr="00E118FA">
        <w:tc>
          <w:tcPr>
            <w:tcW w:w="3700" w:type="pct"/>
          </w:tcPr>
          <w:p w14:paraId="419DBEFE" w14:textId="77777777" w:rsidR="00E93F58" w:rsidRPr="006E709F" w:rsidRDefault="00E93F58" w:rsidP="00A801D0">
            <w:pPr>
              <w:pStyle w:val="Tabletext"/>
            </w:pPr>
            <w:r w:rsidRPr="006E709F">
              <w:rPr>
                <w:szCs w:val="18"/>
              </w:rPr>
              <w:t>The fees and costs for managing your investment</w:t>
            </w:r>
          </w:p>
        </w:tc>
        <w:tc>
          <w:tcPr>
            <w:tcW w:w="1300" w:type="pct"/>
            <w:gridSpan w:val="2"/>
          </w:tcPr>
          <w:p w14:paraId="5BB4F0B6" w14:textId="77777777" w:rsidR="00E93F58" w:rsidRPr="006E709F" w:rsidRDefault="00E93F58" w:rsidP="00221306">
            <w:pPr>
              <w:pStyle w:val="Tabletext"/>
            </w:pPr>
          </w:p>
        </w:tc>
      </w:tr>
    </w:tbl>
    <w:p w14:paraId="1500CBC6" w14:textId="77777777" w:rsidR="00E93F58" w:rsidRPr="006E709F" w:rsidRDefault="00E93F58" w:rsidP="00300DC6">
      <w:pPr>
        <w:pStyle w:val="notetext"/>
        <w:spacing w:before="0"/>
        <w:ind w:left="1134" w:firstLine="0"/>
      </w:pPr>
      <w:r w:rsidRPr="006E709F">
        <w:rPr>
          <w:i/>
        </w:rPr>
        <w:lastRenderedPageBreak/>
        <w:t>[If there are other service fees, such as advisor service fees or special request fees, include a cross reference to the document that contains the information mentioned in paragraph (10)(a).]</w:t>
      </w:r>
      <w:r w:rsidRPr="006E709F">
        <w:t>.</w:t>
      </w:r>
    </w:p>
    <w:p w14:paraId="5A9615CA" w14:textId="77777777" w:rsidR="00E93F58" w:rsidRPr="006E709F" w:rsidRDefault="00E93F58" w:rsidP="00A801D0">
      <w:pPr>
        <w:pStyle w:val="subsection"/>
      </w:pPr>
      <w:r w:rsidRPr="006E709F">
        <w:tab/>
        <w:t>(4)</w:t>
      </w:r>
      <w:r w:rsidRPr="006E709F">
        <w:tab/>
        <w:t>The template is to be completed in accordance with Division 3 of Schedule 10 (including definitions applicable to that Division), except that:</w:t>
      </w:r>
    </w:p>
    <w:p w14:paraId="4ACEBC53" w14:textId="77777777" w:rsidR="00E93F58" w:rsidRPr="006E709F" w:rsidRDefault="00E93F58" w:rsidP="00A801D0">
      <w:pPr>
        <w:pStyle w:val="paragraph"/>
      </w:pPr>
      <w:r w:rsidRPr="006E709F">
        <w:tab/>
        <w:t>(a)</w:t>
      </w:r>
      <w:r w:rsidRPr="006E709F">
        <w:tab/>
        <w:t>clauses 203, 205, 206 and 207 and subclause 208(2) do not apply; and</w:t>
      </w:r>
    </w:p>
    <w:p w14:paraId="781BA31A" w14:textId="77777777" w:rsidR="00E93F58" w:rsidRPr="006E709F" w:rsidRDefault="00E93F58" w:rsidP="00A801D0">
      <w:pPr>
        <w:pStyle w:val="paragraph"/>
      </w:pPr>
      <w:r w:rsidRPr="006E709F">
        <w:tab/>
        <w:t>(b)</w:t>
      </w:r>
      <w:r w:rsidRPr="006E709F">
        <w:tab/>
        <w:t>the reference in clause 204 to clause 205 and clause 206 does not apply; and</w:t>
      </w:r>
    </w:p>
    <w:p w14:paraId="574D0C50" w14:textId="77777777" w:rsidR="00E93F58" w:rsidRPr="006E709F" w:rsidRDefault="00E93F58" w:rsidP="00A801D0">
      <w:pPr>
        <w:pStyle w:val="paragraph"/>
      </w:pPr>
      <w:r w:rsidRPr="006E709F">
        <w:tab/>
        <w:t>(c)</w:t>
      </w:r>
      <w:r w:rsidRPr="006E709F">
        <w:tab/>
        <w:t>the example in subclause 208(1) is to be treated as stating:</w:t>
      </w:r>
    </w:p>
    <w:p w14:paraId="41DE3A3F" w14:textId="77777777" w:rsidR="00E93F58" w:rsidRPr="006E709F" w:rsidRDefault="00E93F58" w:rsidP="00A801D0">
      <w:pPr>
        <w:pStyle w:val="paragraph"/>
      </w:pPr>
      <w:r w:rsidRPr="006E709F">
        <w:tab/>
      </w:r>
      <w:r w:rsidRPr="006E709F">
        <w:tab/>
        <w:t>“(for example, by using an asterisk with a footnote stating ‘The amount of this fee can be negotiated’)”.</w:t>
      </w:r>
    </w:p>
    <w:p w14:paraId="056D4CEB" w14:textId="77777777" w:rsidR="00E93F58" w:rsidRPr="006E709F" w:rsidRDefault="00E93F58" w:rsidP="00A801D0">
      <w:pPr>
        <w:pStyle w:val="subsection"/>
      </w:pPr>
      <w:r w:rsidRPr="006E709F">
        <w:tab/>
        <w:t>(5)</w:t>
      </w:r>
      <w:r w:rsidRPr="006E709F">
        <w:tab/>
        <w:t>Section 6 must set out the information about fee changes set out in paragraph 209(k) of Schedule 10.</w:t>
      </w:r>
    </w:p>
    <w:p w14:paraId="4D2C9888" w14:textId="77777777" w:rsidR="00E93F58" w:rsidRPr="006E709F" w:rsidRDefault="00E93F58" w:rsidP="00A801D0">
      <w:pPr>
        <w:pStyle w:val="subsection"/>
      </w:pPr>
      <w:r w:rsidRPr="006E709F">
        <w:tab/>
        <w:t>(6)</w:t>
      </w:r>
      <w:r w:rsidRPr="006E709F">
        <w:tab/>
        <w:t>Section 6 must:</w:t>
      </w:r>
    </w:p>
    <w:p w14:paraId="42E465FC" w14:textId="77777777" w:rsidR="00E93F58" w:rsidRPr="006E709F" w:rsidRDefault="00E93F58" w:rsidP="00A801D0">
      <w:pPr>
        <w:pStyle w:val="paragraph"/>
      </w:pPr>
      <w:r w:rsidRPr="006E709F">
        <w:tab/>
        <w:t>(a)</w:t>
      </w:r>
      <w:r w:rsidRPr="006E709F">
        <w:tab/>
        <w:t>state that the information in the template can be used to compare costs between different simple managed investment schemes; and</w:t>
      </w:r>
    </w:p>
    <w:p w14:paraId="4F294073" w14:textId="77777777" w:rsidR="00E93F58" w:rsidRPr="006E709F" w:rsidRDefault="00E93F58" w:rsidP="00A801D0">
      <w:pPr>
        <w:pStyle w:val="paragraph"/>
      </w:pPr>
      <w:r w:rsidRPr="006E709F">
        <w:tab/>
        <w:t>(b)</w:t>
      </w:r>
      <w:r w:rsidRPr="006E709F">
        <w:tab/>
        <w:t>state concisely, and in general terms, that fees and costs can be paid directly from the person’s account or deducted from investment returns.</w:t>
      </w:r>
    </w:p>
    <w:p w14:paraId="7C9A55B0" w14:textId="77777777" w:rsidR="00E93F58" w:rsidRPr="006E709F" w:rsidRDefault="00E93F58" w:rsidP="00A801D0">
      <w:pPr>
        <w:pStyle w:val="subsection"/>
      </w:pPr>
      <w:r w:rsidRPr="006E709F">
        <w:tab/>
        <w:t>(7)</w:t>
      </w:r>
      <w:r w:rsidRPr="006E709F">
        <w:tab/>
        <w:t>Section 6 must give a worked example as follows:</w:t>
      </w:r>
    </w:p>
    <w:p w14:paraId="47D63FF1" w14:textId="77777777" w:rsidR="00E93F58" w:rsidRPr="006E709F" w:rsidRDefault="00E93F58" w:rsidP="00A801D0">
      <w:pPr>
        <w:pStyle w:val="paragraph"/>
      </w:pPr>
      <w:r w:rsidRPr="006E709F">
        <w:tab/>
        <w:t>(a)</w:t>
      </w:r>
      <w:r w:rsidRPr="006E709F">
        <w:tab/>
        <w:t>if the simple managed investment scheme does not have a balanced investment option (within the meaning given by item 101 of Schedule 10), section 6 must give a worked example for the default investment option;</w:t>
      </w:r>
    </w:p>
    <w:p w14:paraId="015FD5E6" w14:textId="77777777" w:rsidR="00E93F58" w:rsidRPr="006E709F" w:rsidRDefault="00E93F58" w:rsidP="00A801D0">
      <w:pPr>
        <w:pStyle w:val="paragraph"/>
      </w:pPr>
      <w:r w:rsidRPr="006E709F">
        <w:tab/>
        <w:t>(b)</w:t>
      </w:r>
      <w:r w:rsidRPr="006E709F">
        <w:tab/>
        <w:t>if the simple managed investment scheme does not have a default option, and does not have a balanced investment option, section 6 must give a worked example for the investment option under which the entity has the most funds invested;</w:t>
      </w:r>
    </w:p>
    <w:p w14:paraId="549D87C2" w14:textId="77777777" w:rsidR="00E93F58" w:rsidRPr="006E709F" w:rsidRDefault="00E93F58" w:rsidP="00A801D0">
      <w:pPr>
        <w:pStyle w:val="subsection2"/>
      </w:pPr>
      <w:r w:rsidRPr="006E709F">
        <w:t>in accordance with Divisions 5 and 6 of Schedule 10 (including definitions applicable to those Divisions), except that clauses 211 and 220 do not apply.</w:t>
      </w:r>
    </w:p>
    <w:p w14:paraId="3A6E07F4" w14:textId="77777777" w:rsidR="00E93F58" w:rsidRPr="006E709F" w:rsidRDefault="00E93F58" w:rsidP="00A801D0">
      <w:pPr>
        <w:pStyle w:val="subsection"/>
      </w:pPr>
      <w:r w:rsidRPr="006E709F">
        <w:tab/>
        <w:t>(8)</w:t>
      </w:r>
      <w:r w:rsidRPr="006E709F">
        <w:tab/>
        <w:t>Section 6:</w:t>
      </w:r>
    </w:p>
    <w:p w14:paraId="2A33DEDA" w14:textId="77777777" w:rsidR="00E93F58" w:rsidRPr="006E709F" w:rsidRDefault="00E93F58" w:rsidP="00A801D0">
      <w:pPr>
        <w:pStyle w:val="paragraph"/>
      </w:pPr>
      <w:r w:rsidRPr="006E709F">
        <w:tab/>
        <w:t>(a)</w:t>
      </w:r>
      <w:r w:rsidRPr="006E709F">
        <w:tab/>
        <w:t>must refer to the calculator provided by ASIC on its FIDO website or a similar website operated by or on behalf of ASIC; and</w:t>
      </w:r>
    </w:p>
    <w:p w14:paraId="22F9286A" w14:textId="77777777" w:rsidR="00E93F58" w:rsidRPr="006E709F" w:rsidRDefault="00E93F58" w:rsidP="00A801D0">
      <w:pPr>
        <w:pStyle w:val="paragraph"/>
      </w:pPr>
      <w:r w:rsidRPr="006E709F">
        <w:tab/>
        <w:t>(b)</w:t>
      </w:r>
      <w:r w:rsidRPr="006E709F">
        <w:tab/>
        <w:t>may also refer to the calculator (if any) provided by the responsible entity on its website; and</w:t>
      </w:r>
    </w:p>
    <w:p w14:paraId="4B902E78" w14:textId="77777777" w:rsidR="00E93F58" w:rsidRPr="006E709F" w:rsidRDefault="00E93F58" w:rsidP="00A801D0">
      <w:pPr>
        <w:pStyle w:val="paragraph"/>
      </w:pPr>
      <w:r w:rsidRPr="006E709F">
        <w:tab/>
        <w:t>(c)</w:t>
      </w:r>
      <w:r w:rsidRPr="006E709F">
        <w:tab/>
        <w:t>must state that each calculator referred to can be used to calculate the effect of fees and costs on account balances.</w:t>
      </w:r>
    </w:p>
    <w:p w14:paraId="755381C4" w14:textId="77777777" w:rsidR="00E93F58" w:rsidRPr="006E709F" w:rsidRDefault="00E93F58" w:rsidP="00A801D0">
      <w:pPr>
        <w:pStyle w:val="subsection"/>
      </w:pPr>
      <w:r w:rsidRPr="006E709F">
        <w:tab/>
        <w:t>(9)</w:t>
      </w:r>
      <w:r w:rsidRPr="006E709F">
        <w:tab/>
        <w:t>If additional fees may be payable to a financial advisor, section 6 must:</w:t>
      </w:r>
    </w:p>
    <w:p w14:paraId="1FA623AE" w14:textId="77777777" w:rsidR="00E93F58" w:rsidRPr="006E709F" w:rsidRDefault="00E93F58" w:rsidP="00A801D0">
      <w:pPr>
        <w:pStyle w:val="paragraph"/>
      </w:pPr>
      <w:r w:rsidRPr="006E709F">
        <w:tab/>
        <w:t>(a)</w:t>
      </w:r>
      <w:r w:rsidRPr="006E709F">
        <w:tab/>
        <w:t>state, in the form of a warning, that additional fees may be paid to a financial advisor if a financial advisor is consulted; and</w:t>
      </w:r>
    </w:p>
    <w:p w14:paraId="43B39E35" w14:textId="77777777" w:rsidR="00E93F58" w:rsidRPr="006E709F" w:rsidRDefault="00E93F58" w:rsidP="00A801D0">
      <w:pPr>
        <w:pStyle w:val="paragraph"/>
      </w:pPr>
      <w:r w:rsidRPr="006E709F">
        <w:tab/>
        <w:t>(b)</w:t>
      </w:r>
      <w:r w:rsidRPr="006E709F">
        <w:tab/>
        <w:t>refer to the Statement of Advice in which details of the fees are set out.</w:t>
      </w:r>
    </w:p>
    <w:p w14:paraId="5CC9227B" w14:textId="77777777" w:rsidR="00E93F58" w:rsidRPr="006E709F" w:rsidRDefault="00E93F58" w:rsidP="00A801D0">
      <w:pPr>
        <w:pStyle w:val="subsection"/>
      </w:pPr>
      <w:r w:rsidRPr="006E709F">
        <w:tab/>
        <w:t>(10)</w:t>
      </w:r>
      <w:r w:rsidRPr="006E709F">
        <w:tab/>
        <w:t>The responsible entity:</w:t>
      </w:r>
    </w:p>
    <w:p w14:paraId="2B3CB09C" w14:textId="77777777" w:rsidR="00E93F58" w:rsidRPr="006E709F" w:rsidRDefault="00E93F58" w:rsidP="00A801D0">
      <w:pPr>
        <w:pStyle w:val="paragraph"/>
      </w:pPr>
      <w:r w:rsidRPr="006E709F">
        <w:tab/>
        <w:t>(a)</w:t>
      </w:r>
      <w:r w:rsidRPr="006E709F">
        <w:tab/>
        <w:t>must provide the fees and costs of each of the investment options in accordance with Schedule 10, and may do so by applying, adopting or incorporating a matter in writing; and</w:t>
      </w:r>
    </w:p>
    <w:p w14:paraId="5250280A" w14:textId="77777777" w:rsidR="00E93F58" w:rsidRPr="006E709F" w:rsidRDefault="00E93F58" w:rsidP="00A801D0">
      <w:pPr>
        <w:pStyle w:val="paragraph"/>
      </w:pPr>
      <w:r w:rsidRPr="006E709F">
        <w:tab/>
        <w:t>(b)</w:t>
      </w:r>
      <w:r w:rsidRPr="006E709F">
        <w:tab/>
        <w:t>may provide more detailed information about fees and costs by applying, adopting or incorporating a matter in writing.</w:t>
      </w:r>
    </w:p>
    <w:p w14:paraId="681CD987" w14:textId="77777777" w:rsidR="00E93F58" w:rsidRPr="006E709F" w:rsidRDefault="00E93F58" w:rsidP="00A801D0">
      <w:pPr>
        <w:pStyle w:val="ActHead5"/>
      </w:pPr>
      <w:bookmarkStart w:id="3592" w:name="_Toc151992544"/>
      <w:bookmarkStart w:id="3593" w:name="_Toc158713581"/>
      <w:r w:rsidRPr="000C4237">
        <w:rPr>
          <w:rStyle w:val="CharSectno"/>
        </w:rPr>
        <w:t>9</w:t>
      </w:r>
      <w:r w:rsidRPr="006E709F">
        <w:t xml:space="preserve">  Contents of section 7 (How managed investment schemes are taxed)</w:t>
      </w:r>
      <w:bookmarkEnd w:id="3592"/>
      <w:bookmarkEnd w:id="3593"/>
    </w:p>
    <w:p w14:paraId="35D1FE57" w14:textId="77777777" w:rsidR="00E93F58" w:rsidRPr="006E709F" w:rsidRDefault="00E93F58" w:rsidP="00A801D0">
      <w:pPr>
        <w:pStyle w:val="subsection"/>
      </w:pPr>
      <w:r w:rsidRPr="006E709F">
        <w:tab/>
        <w:t>(1)</w:t>
      </w:r>
      <w:r w:rsidRPr="006E709F">
        <w:tab/>
        <w:t>Section 7 of the Product Disclosure Statement must state, in the form of a warning, that:</w:t>
      </w:r>
    </w:p>
    <w:p w14:paraId="54171177" w14:textId="77777777" w:rsidR="00E93F58" w:rsidRPr="006E709F" w:rsidRDefault="00E93F58" w:rsidP="00A801D0">
      <w:pPr>
        <w:pStyle w:val="paragraph"/>
      </w:pPr>
      <w:r w:rsidRPr="006E709F">
        <w:tab/>
        <w:t>(a)</w:t>
      </w:r>
      <w:r w:rsidRPr="006E709F">
        <w:tab/>
        <w:t>investing in a registered scheme is likely to have tax consequences; and</w:t>
      </w:r>
    </w:p>
    <w:p w14:paraId="1405F579" w14:textId="77777777" w:rsidR="00E93F58" w:rsidRPr="006E709F" w:rsidRDefault="00E93F58" w:rsidP="00A801D0">
      <w:pPr>
        <w:pStyle w:val="paragraph"/>
      </w:pPr>
      <w:r w:rsidRPr="006E709F">
        <w:tab/>
        <w:t>(b)</w:t>
      </w:r>
      <w:r w:rsidRPr="006E709F">
        <w:tab/>
        <w:t>persons are strongly advised to seek professional tax advice.</w:t>
      </w:r>
    </w:p>
    <w:p w14:paraId="43A6E45F" w14:textId="77777777" w:rsidR="00E93F58" w:rsidRPr="006E709F" w:rsidRDefault="00E93F58" w:rsidP="00A801D0">
      <w:pPr>
        <w:pStyle w:val="subsection"/>
      </w:pPr>
      <w:r w:rsidRPr="006E709F">
        <w:tab/>
        <w:t>(2)</w:t>
      </w:r>
      <w:r w:rsidRPr="006E709F">
        <w:tab/>
        <w:t>Section 7 must also include statements to the following effect:</w:t>
      </w:r>
    </w:p>
    <w:p w14:paraId="7493D9F0" w14:textId="77777777" w:rsidR="00E93F58" w:rsidRPr="006E709F" w:rsidRDefault="00E93F58" w:rsidP="00A801D0">
      <w:pPr>
        <w:pStyle w:val="paragraph"/>
      </w:pPr>
      <w:r w:rsidRPr="006E709F">
        <w:tab/>
        <w:t>(a)</w:t>
      </w:r>
      <w:r w:rsidRPr="006E709F">
        <w:tab/>
        <w:t>registered schemes do not pay tax on behalf of members;</w:t>
      </w:r>
    </w:p>
    <w:p w14:paraId="671CCCB0" w14:textId="77777777" w:rsidR="00E93F58" w:rsidRPr="006E709F" w:rsidRDefault="00E93F58" w:rsidP="00A801D0">
      <w:pPr>
        <w:pStyle w:val="paragraph"/>
      </w:pPr>
      <w:r w:rsidRPr="006E709F">
        <w:tab/>
        <w:t>(b)</w:t>
      </w:r>
      <w:r w:rsidRPr="006E709F">
        <w:tab/>
        <w:t>members are assessed for tax on any income and capital gains generated by the registered scheme.</w:t>
      </w:r>
    </w:p>
    <w:p w14:paraId="56E5698E" w14:textId="77777777" w:rsidR="00E93F58" w:rsidRPr="006E709F" w:rsidRDefault="00E93F58" w:rsidP="00A801D0">
      <w:pPr>
        <w:pStyle w:val="subsection"/>
      </w:pPr>
      <w:r w:rsidRPr="006E709F">
        <w:tab/>
        <w:t>(3)</w:t>
      </w:r>
      <w:r w:rsidRPr="006E709F">
        <w:tab/>
        <w:t>The responsible entity may provide additional information about:</w:t>
      </w:r>
    </w:p>
    <w:p w14:paraId="3A0F62D3" w14:textId="77777777" w:rsidR="00E93F58" w:rsidRPr="006E709F" w:rsidRDefault="00E93F58" w:rsidP="00A801D0">
      <w:pPr>
        <w:pStyle w:val="paragraph"/>
      </w:pPr>
      <w:r w:rsidRPr="006E709F">
        <w:tab/>
        <w:t>(a)</w:t>
      </w:r>
      <w:r w:rsidRPr="006E709F">
        <w:tab/>
        <w:t>taxation matters relating to the registered scheme; or</w:t>
      </w:r>
    </w:p>
    <w:p w14:paraId="7B4F0440" w14:textId="77777777" w:rsidR="00E93F58" w:rsidRPr="006E709F" w:rsidRDefault="00E93F58" w:rsidP="00A801D0">
      <w:pPr>
        <w:pStyle w:val="paragraph"/>
      </w:pPr>
      <w:r w:rsidRPr="006E709F">
        <w:tab/>
        <w:t>(b)</w:t>
      </w:r>
      <w:r w:rsidRPr="006E709F">
        <w:tab/>
        <w:t>taxation matters relating to registered schemes;</w:t>
      </w:r>
    </w:p>
    <w:p w14:paraId="21631605" w14:textId="77777777" w:rsidR="00E93F58" w:rsidRPr="006E709F" w:rsidRDefault="00E93F58" w:rsidP="00A801D0">
      <w:pPr>
        <w:pStyle w:val="subsection2"/>
      </w:pPr>
      <w:r w:rsidRPr="006E709F">
        <w:t>by applying, adopting or incorporating a matter in writing.</w:t>
      </w:r>
    </w:p>
    <w:p w14:paraId="71508093" w14:textId="77777777" w:rsidR="00E93F58" w:rsidRPr="006E709F" w:rsidRDefault="00E93F58" w:rsidP="00A801D0">
      <w:pPr>
        <w:pStyle w:val="ActHead5"/>
      </w:pPr>
      <w:bookmarkStart w:id="3594" w:name="_Toc151992545"/>
      <w:bookmarkStart w:id="3595" w:name="_Toc158713582"/>
      <w:r w:rsidRPr="000C4237">
        <w:rPr>
          <w:rStyle w:val="CharSectno"/>
        </w:rPr>
        <w:lastRenderedPageBreak/>
        <w:t>10</w:t>
      </w:r>
      <w:r w:rsidRPr="006E709F">
        <w:t xml:space="preserve">  Contents of section 8 (How to apply)</w:t>
      </w:r>
      <w:bookmarkEnd w:id="3594"/>
      <w:bookmarkEnd w:id="3595"/>
    </w:p>
    <w:p w14:paraId="38618189" w14:textId="77777777" w:rsidR="00E93F58" w:rsidRPr="006E709F" w:rsidRDefault="00E93F58" w:rsidP="00A801D0">
      <w:pPr>
        <w:pStyle w:val="subsection"/>
      </w:pPr>
      <w:r w:rsidRPr="006E709F">
        <w:tab/>
        <w:t>(1)</w:t>
      </w:r>
      <w:r w:rsidRPr="006E709F">
        <w:tab/>
        <w:t>Section 8 of the Product Disclosure Statement must:</w:t>
      </w:r>
    </w:p>
    <w:p w14:paraId="0FB3419C" w14:textId="77777777" w:rsidR="00E93F58" w:rsidRPr="006E709F" w:rsidRDefault="00E93F58" w:rsidP="00A801D0">
      <w:pPr>
        <w:pStyle w:val="paragraph"/>
      </w:pPr>
      <w:r w:rsidRPr="006E709F">
        <w:tab/>
        <w:t>(a)</w:t>
      </w:r>
      <w:r w:rsidRPr="006E709F">
        <w:tab/>
        <w:t>describe, in the form of a summary, how to invest in the simple managed investment scheme; and</w:t>
      </w:r>
    </w:p>
    <w:p w14:paraId="6AE8B32B" w14:textId="77777777" w:rsidR="00E93F58" w:rsidRPr="006E709F" w:rsidRDefault="00E93F58" w:rsidP="00A801D0">
      <w:pPr>
        <w:pStyle w:val="paragraph"/>
      </w:pPr>
      <w:r w:rsidRPr="006E709F">
        <w:tab/>
        <w:t>(b)</w:t>
      </w:r>
      <w:r w:rsidRPr="006E709F">
        <w:tab/>
        <w:t>explain the cooling</w:t>
      </w:r>
      <w:r>
        <w:noBreakHyphen/>
      </w:r>
      <w:r w:rsidRPr="006E709F">
        <w:t>off period that applies to the simple managed investment scheme; and</w:t>
      </w:r>
    </w:p>
    <w:p w14:paraId="7C2E6CFB" w14:textId="77777777" w:rsidR="00E93F58" w:rsidRPr="006E709F" w:rsidRDefault="00E93F58" w:rsidP="00A801D0">
      <w:pPr>
        <w:pStyle w:val="paragraph"/>
      </w:pPr>
      <w:r w:rsidRPr="006E709F">
        <w:tab/>
        <w:t>(c)</w:t>
      </w:r>
      <w:r w:rsidRPr="006E709F">
        <w:tab/>
        <w:t>explain how to make a complaint (by means that include the provision of relevant contact details).</w:t>
      </w:r>
    </w:p>
    <w:p w14:paraId="1C17DCD6" w14:textId="77777777" w:rsidR="00E93F58" w:rsidRPr="006E709F" w:rsidRDefault="00E93F58" w:rsidP="00A801D0">
      <w:pPr>
        <w:pStyle w:val="subsection"/>
      </w:pPr>
      <w:r w:rsidRPr="006E709F">
        <w:tab/>
        <w:t>(2)</w:t>
      </w:r>
      <w:r w:rsidRPr="006E709F">
        <w:tab/>
        <w:t>The responsible entity:</w:t>
      </w:r>
    </w:p>
    <w:p w14:paraId="5A7FB6C3" w14:textId="77777777" w:rsidR="00E93F58" w:rsidRPr="006E709F" w:rsidRDefault="00E93F58" w:rsidP="00A801D0">
      <w:pPr>
        <w:pStyle w:val="paragraph"/>
      </w:pPr>
      <w:r w:rsidRPr="006E709F">
        <w:tab/>
        <w:t>(a)</w:t>
      </w:r>
      <w:r w:rsidRPr="006E709F">
        <w:tab/>
        <w:t>may provide more detailed information about cooling</w:t>
      </w:r>
      <w:r>
        <w:noBreakHyphen/>
      </w:r>
      <w:r w:rsidRPr="006E709F">
        <w:t>off periods, complaints and dispute resolution; and</w:t>
      </w:r>
    </w:p>
    <w:p w14:paraId="70933971" w14:textId="77777777" w:rsidR="00E93F58" w:rsidRPr="006E709F" w:rsidRDefault="00E93F58" w:rsidP="00A801D0">
      <w:pPr>
        <w:pStyle w:val="paragraph"/>
      </w:pPr>
      <w:r w:rsidRPr="006E709F">
        <w:tab/>
        <w:t>(b)</w:t>
      </w:r>
      <w:r w:rsidRPr="006E709F">
        <w:tab/>
        <w:t>may provide that information by applying, adopting or incorporating a matter in writing.</w:t>
      </w:r>
    </w:p>
    <w:p w14:paraId="5B0FA5C0" w14:textId="77777777" w:rsidR="00E93F58" w:rsidRPr="006E709F" w:rsidRDefault="00E93F58" w:rsidP="00953984">
      <w:pPr>
        <w:pStyle w:val="ActHead1"/>
        <w:pageBreakBefore/>
      </w:pPr>
      <w:bookmarkStart w:id="3596" w:name="_Toc151992546"/>
      <w:bookmarkStart w:id="3597" w:name="_Toc158713583"/>
      <w:r w:rsidRPr="000C4237">
        <w:rPr>
          <w:rStyle w:val="CharChapNo"/>
        </w:rPr>
        <w:lastRenderedPageBreak/>
        <w:t>Schedule 10F</w:t>
      </w:r>
      <w:r w:rsidRPr="006E709F">
        <w:t>—</w:t>
      </w:r>
      <w:r w:rsidRPr="000C4237">
        <w:rPr>
          <w:rStyle w:val="CharChapText"/>
        </w:rPr>
        <w:t>Form and content of Product Disclosure Statement—simple sub</w:t>
      </w:r>
      <w:r w:rsidRPr="000C4237">
        <w:rPr>
          <w:rStyle w:val="CharChapText"/>
        </w:rPr>
        <w:noBreakHyphen/>
        <w:t>fund products</w:t>
      </w:r>
      <w:bookmarkEnd w:id="3596"/>
      <w:bookmarkEnd w:id="3597"/>
    </w:p>
    <w:p w14:paraId="0256A0C7" w14:textId="77777777" w:rsidR="00E93F58" w:rsidRPr="006E709F" w:rsidRDefault="00E93F58" w:rsidP="00953984">
      <w:pPr>
        <w:pStyle w:val="notemargin"/>
      </w:pPr>
      <w:r w:rsidRPr="006E709F">
        <w:t>(regulation 7.9.11ZE)</w:t>
      </w:r>
    </w:p>
    <w:p w14:paraId="5062A698" w14:textId="77777777" w:rsidR="00E93F58" w:rsidRPr="006E709F" w:rsidRDefault="00E93F58" w:rsidP="00953984">
      <w:pPr>
        <w:pStyle w:val="Header"/>
      </w:pPr>
      <w:r w:rsidRPr="000C4237">
        <w:rPr>
          <w:rStyle w:val="CharPartNo"/>
        </w:rPr>
        <w:t xml:space="preserve"> </w:t>
      </w:r>
      <w:r w:rsidRPr="000C4237">
        <w:rPr>
          <w:rStyle w:val="CharPartText"/>
        </w:rPr>
        <w:t xml:space="preserve"> </w:t>
      </w:r>
    </w:p>
    <w:p w14:paraId="739DE6D1" w14:textId="77777777" w:rsidR="00E93F58" w:rsidRPr="006E709F" w:rsidRDefault="00E93F58" w:rsidP="00953984">
      <w:pPr>
        <w:pStyle w:val="ActHead5"/>
      </w:pPr>
      <w:bookmarkStart w:id="3598" w:name="_Toc151992547"/>
      <w:bookmarkStart w:id="3599" w:name="_Toc158713584"/>
      <w:r w:rsidRPr="000C4237">
        <w:rPr>
          <w:rStyle w:val="CharSectno"/>
        </w:rPr>
        <w:t>1</w:t>
      </w:r>
      <w:r w:rsidRPr="006E709F">
        <w:t xml:space="preserve">  Length and font size for Product Disclosure Statement for simple sub</w:t>
      </w:r>
      <w:r>
        <w:noBreakHyphen/>
      </w:r>
      <w:r w:rsidRPr="006E709F">
        <w:t>fund product</w:t>
      </w:r>
      <w:bookmarkEnd w:id="3598"/>
      <w:bookmarkEnd w:id="3599"/>
    </w:p>
    <w:p w14:paraId="0BACC95A" w14:textId="77777777" w:rsidR="00E93F58" w:rsidRPr="006E709F" w:rsidRDefault="00E93F58" w:rsidP="00953984">
      <w:pPr>
        <w:pStyle w:val="subsection"/>
      </w:pPr>
      <w:r w:rsidRPr="006E709F">
        <w:tab/>
        <w:t>(1)</w:t>
      </w:r>
      <w:r w:rsidRPr="006E709F">
        <w:tab/>
        <w:t>The length of a Product Disclosure Statement for a simple sub</w:t>
      </w:r>
      <w:r>
        <w:noBreakHyphen/>
      </w:r>
      <w:r w:rsidRPr="006E709F">
        <w:t>fund product:</w:t>
      </w:r>
    </w:p>
    <w:p w14:paraId="7EB54B0C" w14:textId="77777777" w:rsidR="00E93F58" w:rsidRPr="006E709F" w:rsidRDefault="00E93F58" w:rsidP="00953984">
      <w:pPr>
        <w:pStyle w:val="paragraph"/>
      </w:pPr>
      <w:r w:rsidRPr="006E709F">
        <w:tab/>
        <w:t>(a)</w:t>
      </w:r>
      <w:r w:rsidRPr="006E709F">
        <w:tab/>
        <w:t>to which Subdivision 4.2D of Division 4 of Part 7.9 applies; and</w:t>
      </w:r>
    </w:p>
    <w:p w14:paraId="0C0D04E6" w14:textId="77777777" w:rsidR="00E93F58" w:rsidRPr="006E709F" w:rsidRDefault="00E93F58" w:rsidP="00953984">
      <w:pPr>
        <w:pStyle w:val="paragraph"/>
      </w:pPr>
      <w:r w:rsidRPr="006E709F">
        <w:tab/>
        <w:t>(b)</w:t>
      </w:r>
      <w:r w:rsidRPr="006E709F">
        <w:tab/>
        <w:t>that is referable to a sub</w:t>
      </w:r>
      <w:r>
        <w:noBreakHyphen/>
      </w:r>
      <w:r w:rsidRPr="006E709F">
        <w:t>fund of a CCIV;</w:t>
      </w:r>
    </w:p>
    <w:p w14:paraId="6A8190A4" w14:textId="77777777" w:rsidR="00E93F58" w:rsidRPr="006E709F" w:rsidRDefault="00E93F58" w:rsidP="00953984">
      <w:pPr>
        <w:pStyle w:val="subsection2"/>
      </w:pPr>
      <w:r w:rsidRPr="006E709F">
        <w:t>must not exceed:</w:t>
      </w:r>
    </w:p>
    <w:p w14:paraId="0796E06A" w14:textId="77777777" w:rsidR="00E93F58" w:rsidRPr="006E709F" w:rsidRDefault="00E93F58" w:rsidP="00953984">
      <w:pPr>
        <w:pStyle w:val="paragraph"/>
      </w:pPr>
      <w:r w:rsidRPr="006E709F">
        <w:tab/>
        <w:t>(c)</w:t>
      </w:r>
      <w:r w:rsidRPr="006E709F">
        <w:tab/>
        <w:t>if it is printed on A4 pages—8 pages; or</w:t>
      </w:r>
    </w:p>
    <w:p w14:paraId="422BE726" w14:textId="77777777" w:rsidR="00E93F58" w:rsidRPr="006E709F" w:rsidRDefault="00E93F58" w:rsidP="00953984">
      <w:pPr>
        <w:pStyle w:val="paragraph"/>
      </w:pPr>
      <w:r w:rsidRPr="006E709F">
        <w:tab/>
        <w:t>(d)</w:t>
      </w:r>
      <w:r w:rsidRPr="006E709F">
        <w:tab/>
        <w:t>if it is printed on A5 pages—16 pages; or</w:t>
      </w:r>
    </w:p>
    <w:p w14:paraId="294F6FD4" w14:textId="77777777" w:rsidR="00E93F58" w:rsidRPr="006E709F" w:rsidRDefault="00E93F58" w:rsidP="00953984">
      <w:pPr>
        <w:pStyle w:val="paragraph"/>
      </w:pPr>
      <w:r w:rsidRPr="006E709F">
        <w:tab/>
        <w:t>(e)</w:t>
      </w:r>
      <w:r w:rsidRPr="006E709F">
        <w:tab/>
        <w:t>if it is printed on DL pages—24 pages; or</w:t>
      </w:r>
    </w:p>
    <w:p w14:paraId="6781D561" w14:textId="77777777" w:rsidR="00E93F58" w:rsidRPr="006E709F" w:rsidRDefault="00E93F58" w:rsidP="00953984">
      <w:pPr>
        <w:pStyle w:val="paragraph"/>
      </w:pPr>
      <w:r w:rsidRPr="006E709F">
        <w:tab/>
        <w:t>(f)</w:t>
      </w:r>
      <w:r w:rsidRPr="006E709F">
        <w:tab/>
        <w:t>otherwise—if it is formatted to be printed on A4 pages, 8 A4 pages.</w:t>
      </w:r>
    </w:p>
    <w:p w14:paraId="7AE3E15F" w14:textId="77777777" w:rsidR="00E93F58" w:rsidRPr="006E709F" w:rsidRDefault="00E93F58" w:rsidP="00953984">
      <w:pPr>
        <w:pStyle w:val="subsection2"/>
      </w:pPr>
      <w:r w:rsidRPr="006E709F">
        <w:t>This requirement does not apply to any matter in writing that is applied, adopted or incorporated by the Statement.</w:t>
      </w:r>
    </w:p>
    <w:p w14:paraId="1349F260" w14:textId="77777777" w:rsidR="00E93F58" w:rsidRPr="006E709F" w:rsidRDefault="00E93F58" w:rsidP="00953984">
      <w:pPr>
        <w:pStyle w:val="subsection"/>
      </w:pPr>
      <w:r w:rsidRPr="006E709F">
        <w:tab/>
        <w:t>(2)</w:t>
      </w:r>
      <w:r w:rsidRPr="006E709F">
        <w:tab/>
        <w:t>The minimum font size for text in the Statement is:</w:t>
      </w:r>
    </w:p>
    <w:p w14:paraId="16E3FFE7" w14:textId="77777777" w:rsidR="00E93F58" w:rsidRPr="006E709F" w:rsidRDefault="00E93F58" w:rsidP="00953984">
      <w:pPr>
        <w:pStyle w:val="paragraph"/>
      </w:pPr>
      <w:r w:rsidRPr="006E709F">
        <w:tab/>
        <w:t>(a)</w:t>
      </w:r>
      <w:r w:rsidRPr="006E709F">
        <w:tab/>
        <w:t>for the name, address, ABN (if applicable), ACN (if applicable) and AFSL (if applicable) of the corporate director of the CCIV—8 points; and</w:t>
      </w:r>
    </w:p>
    <w:p w14:paraId="43DD0F25" w14:textId="77777777" w:rsidR="00E93F58" w:rsidRPr="006E709F" w:rsidRDefault="00E93F58" w:rsidP="00953984">
      <w:pPr>
        <w:pStyle w:val="paragraph"/>
      </w:pPr>
      <w:r w:rsidRPr="006E709F">
        <w:tab/>
        <w:t>(b)</w:t>
      </w:r>
      <w:r w:rsidRPr="006E709F">
        <w:tab/>
        <w:t>for the name, address, ABN (if applicable) and ACN (if applicable) of the CCIV—8 points; and</w:t>
      </w:r>
    </w:p>
    <w:p w14:paraId="129ACA32" w14:textId="77777777" w:rsidR="00E93F58" w:rsidRPr="006E709F" w:rsidRDefault="00E93F58" w:rsidP="00953984">
      <w:pPr>
        <w:pStyle w:val="paragraph"/>
      </w:pPr>
      <w:r w:rsidRPr="006E709F">
        <w:tab/>
        <w:t>(c)</w:t>
      </w:r>
      <w:r w:rsidRPr="006E709F">
        <w:tab/>
        <w:t>for the name, ABN (if applicable) and ARFN (if applicable) of the sub</w:t>
      </w:r>
      <w:r>
        <w:noBreakHyphen/>
      </w:r>
      <w:r w:rsidRPr="006E709F">
        <w:t>fund of the CCIV—8 points; and</w:t>
      </w:r>
    </w:p>
    <w:p w14:paraId="574BAC24" w14:textId="77777777" w:rsidR="00E93F58" w:rsidRPr="006E709F" w:rsidRDefault="00E93F58" w:rsidP="00953984">
      <w:pPr>
        <w:pStyle w:val="paragraph"/>
      </w:pPr>
      <w:r w:rsidRPr="006E709F">
        <w:tab/>
        <w:t>(d)</w:t>
      </w:r>
      <w:r w:rsidRPr="006E709F">
        <w:tab/>
        <w:t>for all other text—9 points.</w:t>
      </w:r>
    </w:p>
    <w:p w14:paraId="0D17C1F7" w14:textId="77777777" w:rsidR="00E93F58" w:rsidRPr="006E709F" w:rsidRDefault="00E93F58" w:rsidP="00953984">
      <w:pPr>
        <w:pStyle w:val="notetext"/>
      </w:pPr>
      <w:r w:rsidRPr="006E709F">
        <w:t>Note 1:</w:t>
      </w:r>
      <w:r w:rsidRPr="006E709F">
        <w:tab/>
        <w:t>The Product Disclosure Statement must be worded and presented in a clear, concise and effective manner—see subsection 1013C(3) of the Act.</w:t>
      </w:r>
    </w:p>
    <w:p w14:paraId="6378CEE2" w14:textId="77777777" w:rsidR="00E93F58" w:rsidRPr="006E709F" w:rsidRDefault="00E93F58" w:rsidP="00953984">
      <w:pPr>
        <w:pStyle w:val="notetext"/>
      </w:pPr>
      <w:r w:rsidRPr="006E709F">
        <w:t>Note 2:</w:t>
      </w:r>
      <w:r w:rsidRPr="006E709F">
        <w:tab/>
        <w:t>A person required to a give a Product Disclosure Statement to a vision</w:t>
      </w:r>
      <w:r>
        <w:noBreakHyphen/>
      </w:r>
      <w:r w:rsidRPr="006E709F">
        <w:t xml:space="preserve">impaired person must comply with its obligations under the </w:t>
      </w:r>
      <w:r w:rsidRPr="006E709F">
        <w:rPr>
          <w:i/>
        </w:rPr>
        <w:t>Disability Discrimination Act 1992</w:t>
      </w:r>
      <w:r w:rsidRPr="006E709F">
        <w:t>.</w:t>
      </w:r>
    </w:p>
    <w:p w14:paraId="2CA5B01C" w14:textId="77777777" w:rsidR="00E93F58" w:rsidRPr="006E709F" w:rsidRDefault="00E93F58" w:rsidP="00953984">
      <w:pPr>
        <w:pStyle w:val="ActHead5"/>
      </w:pPr>
      <w:bookmarkStart w:id="3600" w:name="_Toc151992548"/>
      <w:bookmarkStart w:id="3601" w:name="_Toc158713585"/>
      <w:r w:rsidRPr="000C4237">
        <w:rPr>
          <w:rStyle w:val="CharSectno"/>
        </w:rPr>
        <w:t>2</w:t>
      </w:r>
      <w:r w:rsidRPr="006E709F">
        <w:t xml:space="preserve">  Minimum content of Product Disclosure Statement for simple sub</w:t>
      </w:r>
      <w:r>
        <w:noBreakHyphen/>
      </w:r>
      <w:r w:rsidRPr="006E709F">
        <w:t>fund product</w:t>
      </w:r>
      <w:bookmarkEnd w:id="3600"/>
      <w:bookmarkEnd w:id="3601"/>
    </w:p>
    <w:p w14:paraId="6B61ED3F" w14:textId="77777777" w:rsidR="00E93F58" w:rsidRPr="006E709F" w:rsidRDefault="00E93F58" w:rsidP="00953984">
      <w:pPr>
        <w:pStyle w:val="subsection"/>
      </w:pPr>
      <w:r w:rsidRPr="006E709F">
        <w:tab/>
        <w:t>(1)</w:t>
      </w:r>
      <w:r w:rsidRPr="006E709F">
        <w:tab/>
        <w:t>The Product Disclosure Statement for the simple sub</w:t>
      </w:r>
      <w:r>
        <w:noBreakHyphen/>
      </w:r>
      <w:r w:rsidRPr="006E709F">
        <w:t>fund product must include sections that are numbered and titled as follows:</w:t>
      </w:r>
    </w:p>
    <w:p w14:paraId="26D78A3E" w14:textId="77777777" w:rsidR="00E93F58" w:rsidRPr="006E709F" w:rsidRDefault="00E93F58" w:rsidP="00953984">
      <w:pPr>
        <w:pStyle w:val="paragraph"/>
      </w:pPr>
      <w:r w:rsidRPr="006E709F">
        <w:tab/>
        <w:t>1.</w:t>
      </w:r>
      <w:r w:rsidRPr="006E709F">
        <w:tab/>
        <w:t>About [name of corporate director]</w:t>
      </w:r>
    </w:p>
    <w:p w14:paraId="35DF25D8" w14:textId="77777777" w:rsidR="00E93F58" w:rsidRPr="006E709F" w:rsidRDefault="00E93F58" w:rsidP="00953984">
      <w:pPr>
        <w:pStyle w:val="paragraph"/>
      </w:pPr>
      <w:r w:rsidRPr="006E709F">
        <w:tab/>
        <w:t>2.</w:t>
      </w:r>
      <w:r w:rsidRPr="006E709F">
        <w:tab/>
        <w:t>How [name of CCIV and sub</w:t>
      </w:r>
      <w:r>
        <w:noBreakHyphen/>
      </w:r>
      <w:r w:rsidRPr="006E709F">
        <w:t>fund] work</w:t>
      </w:r>
    </w:p>
    <w:p w14:paraId="4CBBA795" w14:textId="77777777" w:rsidR="00E93F58" w:rsidRPr="006E709F" w:rsidRDefault="00E93F58" w:rsidP="00953984">
      <w:pPr>
        <w:pStyle w:val="paragraph"/>
      </w:pPr>
      <w:r w:rsidRPr="006E709F">
        <w:tab/>
        <w:t>3.</w:t>
      </w:r>
      <w:r w:rsidRPr="006E709F">
        <w:tab/>
        <w:t>Benefits of investing in [name of simple sub</w:t>
      </w:r>
      <w:r>
        <w:noBreakHyphen/>
      </w:r>
      <w:r w:rsidRPr="006E709F">
        <w:t>fund product]</w:t>
      </w:r>
    </w:p>
    <w:p w14:paraId="5618F058" w14:textId="77777777" w:rsidR="00E93F58" w:rsidRPr="006E709F" w:rsidRDefault="00E93F58" w:rsidP="00953984">
      <w:pPr>
        <w:pStyle w:val="paragraph"/>
      </w:pPr>
      <w:r w:rsidRPr="006E709F">
        <w:tab/>
        <w:t>4.</w:t>
      </w:r>
      <w:r w:rsidRPr="006E709F">
        <w:tab/>
        <w:t>Risks of simple sub</w:t>
      </w:r>
      <w:r>
        <w:noBreakHyphen/>
      </w:r>
      <w:r w:rsidRPr="006E709F">
        <w:t>fund products</w:t>
      </w:r>
    </w:p>
    <w:p w14:paraId="15C94B6B" w14:textId="77777777" w:rsidR="00E93F58" w:rsidRPr="006E709F" w:rsidRDefault="00E93F58" w:rsidP="00953984">
      <w:pPr>
        <w:pStyle w:val="paragraph"/>
      </w:pPr>
      <w:r w:rsidRPr="006E709F">
        <w:tab/>
        <w:t>5.</w:t>
      </w:r>
      <w:r w:rsidRPr="006E709F">
        <w:tab/>
        <w:t>How we invest your money</w:t>
      </w:r>
    </w:p>
    <w:p w14:paraId="665F0D7A" w14:textId="77777777" w:rsidR="00E93F58" w:rsidRPr="006E709F" w:rsidRDefault="00E93F58" w:rsidP="00953984">
      <w:pPr>
        <w:pStyle w:val="paragraph"/>
      </w:pPr>
      <w:r w:rsidRPr="006E709F">
        <w:tab/>
        <w:t>6.</w:t>
      </w:r>
      <w:r w:rsidRPr="006E709F">
        <w:tab/>
        <w:t>Fees and costs</w:t>
      </w:r>
    </w:p>
    <w:p w14:paraId="6794F7B4" w14:textId="77777777" w:rsidR="00E93F58" w:rsidRPr="006E709F" w:rsidRDefault="00E93F58" w:rsidP="00953984">
      <w:pPr>
        <w:pStyle w:val="paragraph"/>
      </w:pPr>
      <w:r w:rsidRPr="006E709F">
        <w:tab/>
        <w:t>7.</w:t>
      </w:r>
      <w:r w:rsidRPr="006E709F">
        <w:tab/>
        <w:t>How sub</w:t>
      </w:r>
      <w:r>
        <w:noBreakHyphen/>
      </w:r>
      <w:r w:rsidRPr="006E709F">
        <w:t>funds of CCIVs are taxed</w:t>
      </w:r>
    </w:p>
    <w:p w14:paraId="58EFB44B" w14:textId="77777777" w:rsidR="00E93F58" w:rsidRPr="006E709F" w:rsidRDefault="00E93F58" w:rsidP="00953984">
      <w:pPr>
        <w:pStyle w:val="paragraph"/>
      </w:pPr>
      <w:r w:rsidRPr="006E709F">
        <w:tab/>
        <w:t>8.</w:t>
      </w:r>
      <w:r w:rsidRPr="006E709F">
        <w:tab/>
        <w:t>How to apply.</w:t>
      </w:r>
    </w:p>
    <w:p w14:paraId="7EE47D68" w14:textId="77777777" w:rsidR="00E93F58" w:rsidRPr="006E709F" w:rsidRDefault="00E93F58" w:rsidP="00953984">
      <w:pPr>
        <w:pStyle w:val="subsection"/>
      </w:pPr>
      <w:r w:rsidRPr="006E709F">
        <w:tab/>
        <w:t>(2)</w:t>
      </w:r>
      <w:r w:rsidRPr="006E709F">
        <w:tab/>
        <w:t>The Statement must include:</w:t>
      </w:r>
    </w:p>
    <w:p w14:paraId="1EABE8A8" w14:textId="77777777" w:rsidR="00E93F58" w:rsidRPr="006E709F" w:rsidRDefault="00E93F58" w:rsidP="00953984">
      <w:pPr>
        <w:pStyle w:val="paragraph"/>
      </w:pPr>
      <w:r w:rsidRPr="006E709F">
        <w:tab/>
        <w:t>(a)</w:t>
      </w:r>
      <w:r w:rsidRPr="006E709F">
        <w:tab/>
        <w:t>a table of contents that sets out the titles mentioned in subclause (1); and</w:t>
      </w:r>
    </w:p>
    <w:p w14:paraId="440941D5" w14:textId="77777777" w:rsidR="00E93F58" w:rsidRPr="006E709F" w:rsidRDefault="00E93F58" w:rsidP="00953984">
      <w:pPr>
        <w:pStyle w:val="paragraph"/>
      </w:pPr>
      <w:r w:rsidRPr="006E709F">
        <w:tab/>
        <w:t>(b)</w:t>
      </w:r>
      <w:r w:rsidRPr="006E709F">
        <w:tab/>
        <w:t>the telephone number of the corporate director of the CCIV to enable a person who invests in the simple sub</w:t>
      </w:r>
      <w:r>
        <w:noBreakHyphen/>
      </w:r>
      <w:r w:rsidRPr="006E709F">
        <w:t>fund product to request a copy of the following under regulation 7.9.11ZH:</w:t>
      </w:r>
    </w:p>
    <w:p w14:paraId="322F6930" w14:textId="77777777" w:rsidR="00E93F58" w:rsidRPr="006E709F" w:rsidRDefault="00E93F58" w:rsidP="00953984">
      <w:pPr>
        <w:pStyle w:val="paragraphsub"/>
      </w:pPr>
      <w:r w:rsidRPr="006E709F">
        <w:tab/>
        <w:t>(i)</w:t>
      </w:r>
      <w:r w:rsidRPr="006E709F">
        <w:tab/>
        <w:t>a copy of the Statement;</w:t>
      </w:r>
    </w:p>
    <w:p w14:paraId="5FE323FD" w14:textId="77777777" w:rsidR="00E93F58" w:rsidRPr="006E709F" w:rsidRDefault="00E93F58" w:rsidP="00953984">
      <w:pPr>
        <w:pStyle w:val="paragraphsub"/>
      </w:pPr>
      <w:r w:rsidRPr="006E709F">
        <w:tab/>
        <w:t>(ii)</w:t>
      </w:r>
      <w:r w:rsidRPr="006E709F">
        <w:tab/>
        <w:t>a copy of a matter in writing that is applied, adopted or incorporated by the Statement.</w:t>
      </w:r>
    </w:p>
    <w:p w14:paraId="27E87AAD" w14:textId="77777777" w:rsidR="00E93F58" w:rsidRPr="006E709F" w:rsidRDefault="00E93F58" w:rsidP="00953984">
      <w:pPr>
        <w:pStyle w:val="subsection"/>
      </w:pPr>
      <w:r w:rsidRPr="006E709F">
        <w:tab/>
        <w:t>(3)</w:t>
      </w:r>
      <w:r w:rsidRPr="006E709F">
        <w:tab/>
        <w:t>The Statement must:</w:t>
      </w:r>
    </w:p>
    <w:p w14:paraId="1CB7098E" w14:textId="77777777" w:rsidR="00E93F58" w:rsidRPr="006E709F" w:rsidRDefault="00E93F58" w:rsidP="00953984">
      <w:pPr>
        <w:pStyle w:val="paragraph"/>
      </w:pPr>
      <w:r w:rsidRPr="006E709F">
        <w:tab/>
        <w:t>(a)</w:t>
      </w:r>
      <w:r w:rsidRPr="006E709F">
        <w:tab/>
        <w:t>advise a person reading the Statement that:</w:t>
      </w:r>
    </w:p>
    <w:p w14:paraId="34F643BC" w14:textId="77777777" w:rsidR="00E93F58" w:rsidRPr="006E709F" w:rsidRDefault="00E93F58" w:rsidP="00953984">
      <w:pPr>
        <w:pStyle w:val="paragraphsub"/>
      </w:pPr>
      <w:r w:rsidRPr="006E709F">
        <w:tab/>
        <w:t>(i)</w:t>
      </w:r>
      <w:r w:rsidRPr="006E709F">
        <w:tab/>
        <w:t>it is a summary of significant information and contains a number of references to important information (each of which forms part of the Statement); and</w:t>
      </w:r>
    </w:p>
    <w:p w14:paraId="66915125" w14:textId="77777777" w:rsidR="00E93F58" w:rsidRPr="006E709F" w:rsidRDefault="00E93F58" w:rsidP="00953984">
      <w:pPr>
        <w:pStyle w:val="paragraphsub"/>
      </w:pPr>
      <w:r w:rsidRPr="006E709F">
        <w:tab/>
        <w:t>(ii)</w:t>
      </w:r>
      <w:r w:rsidRPr="006E709F">
        <w:tab/>
        <w:t>persons should consider that information before making a decision about the simple sub</w:t>
      </w:r>
      <w:r>
        <w:noBreakHyphen/>
      </w:r>
      <w:r w:rsidRPr="006E709F">
        <w:t>fund product; and</w:t>
      </w:r>
    </w:p>
    <w:p w14:paraId="6FE2EE14" w14:textId="77777777" w:rsidR="00E93F58" w:rsidRPr="006E709F" w:rsidRDefault="00E93F58" w:rsidP="00953984">
      <w:pPr>
        <w:pStyle w:val="paragraphsub"/>
      </w:pPr>
      <w:r w:rsidRPr="006E709F">
        <w:lastRenderedPageBreak/>
        <w:tab/>
        <w:t>(iii)</w:t>
      </w:r>
      <w:r w:rsidRPr="006E709F">
        <w:tab/>
        <w:t>the information provided in the Statement is general information only and does not take account of the person’s personal financial situation or needs; and</w:t>
      </w:r>
    </w:p>
    <w:p w14:paraId="6FD455D8" w14:textId="77777777" w:rsidR="00E93F58" w:rsidRPr="006E709F" w:rsidRDefault="00E93F58" w:rsidP="00953984">
      <w:pPr>
        <w:pStyle w:val="paragraphsub"/>
      </w:pPr>
      <w:r w:rsidRPr="006E709F">
        <w:tab/>
        <w:t>(iv)</w:t>
      </w:r>
      <w:r w:rsidRPr="006E709F">
        <w:tab/>
        <w:t>the person should obtain financial advice tailored to the person’s personal circumstances; and</w:t>
      </w:r>
    </w:p>
    <w:p w14:paraId="3FEE44EB" w14:textId="77777777" w:rsidR="00E93F58" w:rsidRPr="006E709F" w:rsidRDefault="00E93F58" w:rsidP="00953984">
      <w:pPr>
        <w:pStyle w:val="paragraph"/>
      </w:pPr>
      <w:r w:rsidRPr="006E709F">
        <w:tab/>
        <w:t>(b)</w:t>
      </w:r>
      <w:r w:rsidRPr="006E709F">
        <w:tab/>
        <w:t>display the advice:</w:t>
      </w:r>
    </w:p>
    <w:p w14:paraId="32D6B22E" w14:textId="77777777" w:rsidR="00E93F58" w:rsidRPr="006E709F" w:rsidRDefault="00E93F58" w:rsidP="00953984">
      <w:pPr>
        <w:pStyle w:val="paragraphsub"/>
      </w:pPr>
      <w:r w:rsidRPr="006E709F">
        <w:tab/>
        <w:t>(i)</w:t>
      </w:r>
      <w:r w:rsidRPr="006E709F">
        <w:tab/>
        <w:t>at or near the beginning of the document; and</w:t>
      </w:r>
    </w:p>
    <w:p w14:paraId="717E5B23" w14:textId="77777777" w:rsidR="00E93F58" w:rsidRPr="006E709F" w:rsidRDefault="00E93F58" w:rsidP="00953984">
      <w:pPr>
        <w:pStyle w:val="paragraphsub"/>
      </w:pPr>
      <w:r w:rsidRPr="006E709F">
        <w:tab/>
        <w:t>(ii)</w:t>
      </w:r>
      <w:r w:rsidRPr="006E709F">
        <w:tab/>
        <w:t>in a prominent position and style.</w:t>
      </w:r>
    </w:p>
    <w:p w14:paraId="177B320C" w14:textId="77777777" w:rsidR="00E93F58" w:rsidRPr="006E709F" w:rsidRDefault="00E93F58" w:rsidP="00953984">
      <w:pPr>
        <w:pStyle w:val="subsection"/>
      </w:pPr>
      <w:r w:rsidRPr="006E709F">
        <w:tab/>
        <w:t>(4)</w:t>
      </w:r>
      <w:r w:rsidRPr="006E709F">
        <w:tab/>
        <w:t>The Statement:</w:t>
      </w:r>
    </w:p>
    <w:p w14:paraId="6C3BB23A" w14:textId="77777777" w:rsidR="00E93F58" w:rsidRPr="006E709F" w:rsidRDefault="00E93F58" w:rsidP="00953984">
      <w:pPr>
        <w:pStyle w:val="paragraph"/>
      </w:pPr>
      <w:r w:rsidRPr="006E709F">
        <w:tab/>
        <w:t>(a)</w:t>
      </w:r>
      <w:r w:rsidRPr="006E709F">
        <w:tab/>
        <w:t>may include additional sections after sections 1 to 8; and</w:t>
      </w:r>
    </w:p>
    <w:p w14:paraId="493139EE" w14:textId="77777777" w:rsidR="00E93F58" w:rsidRPr="006E709F" w:rsidRDefault="00E93F58" w:rsidP="00953984">
      <w:pPr>
        <w:pStyle w:val="paragraph"/>
      </w:pPr>
      <w:r w:rsidRPr="006E709F">
        <w:tab/>
        <w:t>(b)</w:t>
      </w:r>
      <w:r w:rsidRPr="006E709F">
        <w:tab/>
        <w:t>may include other information;</w:t>
      </w:r>
    </w:p>
    <w:p w14:paraId="008837CE" w14:textId="77777777" w:rsidR="00E93F58" w:rsidRPr="006E709F" w:rsidRDefault="00E93F58" w:rsidP="00953984">
      <w:pPr>
        <w:pStyle w:val="subsection2"/>
      </w:pPr>
      <w:r w:rsidRPr="006E709F">
        <w:t>to an extent that does not have the effect of contravening subclause 1(1).</w:t>
      </w:r>
    </w:p>
    <w:p w14:paraId="04D1933C" w14:textId="77777777" w:rsidR="00E93F58" w:rsidRPr="006E709F" w:rsidRDefault="00E93F58" w:rsidP="00953984">
      <w:pPr>
        <w:pStyle w:val="subsection"/>
      </w:pPr>
      <w:r w:rsidRPr="006E709F">
        <w:tab/>
        <w:t>(5)</w:t>
      </w:r>
      <w:r w:rsidRPr="006E709F">
        <w:tab/>
        <w:t>The Product Disclosure Statement does not need to indicate that a particular requirement is not applicable to the simple sub</w:t>
      </w:r>
      <w:r>
        <w:noBreakHyphen/>
      </w:r>
      <w:r w:rsidRPr="006E709F">
        <w:t>fund product.</w:t>
      </w:r>
    </w:p>
    <w:p w14:paraId="770A1D84" w14:textId="77777777" w:rsidR="00E93F58" w:rsidRPr="006E709F" w:rsidRDefault="00E93F58" w:rsidP="00953984">
      <w:pPr>
        <w:pStyle w:val="notetext"/>
      </w:pPr>
      <w:r w:rsidRPr="006E709F">
        <w:t>Note:</w:t>
      </w:r>
      <w:r w:rsidRPr="006E709F">
        <w:tab/>
        <w:t>The Act, as modified in accordance with Subdivision 4.2D of Division 4 of Part 7.9, requires information to be included in the Product Disclosure Statement only to the extent to which the requirement is applicable to the simple sub</w:t>
      </w:r>
      <w:r>
        <w:noBreakHyphen/>
      </w:r>
      <w:r w:rsidRPr="006E709F">
        <w:t>fund product.</w:t>
      </w:r>
    </w:p>
    <w:p w14:paraId="5A1B498B" w14:textId="77777777" w:rsidR="00E93F58" w:rsidRPr="006E709F" w:rsidRDefault="00E93F58" w:rsidP="00953984">
      <w:pPr>
        <w:pStyle w:val="ActHead5"/>
      </w:pPr>
      <w:bookmarkStart w:id="3602" w:name="_Toc151992549"/>
      <w:bookmarkStart w:id="3603" w:name="_Toc158713586"/>
      <w:r w:rsidRPr="000C4237">
        <w:rPr>
          <w:rStyle w:val="CharSectno"/>
        </w:rPr>
        <w:t>3</w:t>
      </w:r>
      <w:r w:rsidRPr="006E709F">
        <w:t xml:space="preserve">  Contents of section 1 (About [name of corporate director])</w:t>
      </w:r>
      <w:bookmarkEnd w:id="3602"/>
      <w:bookmarkEnd w:id="3603"/>
    </w:p>
    <w:p w14:paraId="63E14C5C" w14:textId="77777777" w:rsidR="00E93F58" w:rsidRPr="006E709F" w:rsidRDefault="00E93F58" w:rsidP="00953984">
      <w:pPr>
        <w:pStyle w:val="subsection"/>
      </w:pPr>
      <w:r w:rsidRPr="006E709F">
        <w:tab/>
        <w:t>(1)</w:t>
      </w:r>
      <w:r w:rsidRPr="006E709F">
        <w:tab/>
        <w:t>Section 1 of the Product Disclosure Statement for the simple sub</w:t>
      </w:r>
      <w:r>
        <w:noBreakHyphen/>
      </w:r>
      <w:r w:rsidRPr="006E709F">
        <w:t>fund product must describe, in the form of a summary:</w:t>
      </w:r>
    </w:p>
    <w:p w14:paraId="553B50B8" w14:textId="77777777" w:rsidR="00E93F58" w:rsidRPr="006E709F" w:rsidRDefault="00E93F58" w:rsidP="00953984">
      <w:pPr>
        <w:pStyle w:val="paragraph"/>
      </w:pPr>
      <w:r w:rsidRPr="006E709F">
        <w:tab/>
        <w:t>(a)</w:t>
      </w:r>
      <w:r w:rsidRPr="006E709F">
        <w:tab/>
        <w:t>the corporate director of the CCIV and the corporate director’s role in operating the CCIV in relation to the sub</w:t>
      </w:r>
      <w:r>
        <w:noBreakHyphen/>
      </w:r>
      <w:r w:rsidRPr="006E709F">
        <w:t>fund; and</w:t>
      </w:r>
    </w:p>
    <w:p w14:paraId="5F9480E1" w14:textId="77777777" w:rsidR="00E93F58" w:rsidRPr="006E709F" w:rsidRDefault="00E93F58" w:rsidP="00953984">
      <w:pPr>
        <w:pStyle w:val="paragraph"/>
      </w:pPr>
      <w:r w:rsidRPr="006E709F">
        <w:tab/>
        <w:t>(b)</w:t>
      </w:r>
      <w:r w:rsidRPr="006E709F">
        <w:tab/>
        <w:t>the investment manager for the sub</w:t>
      </w:r>
      <w:r>
        <w:noBreakHyphen/>
      </w:r>
      <w:r w:rsidRPr="006E709F">
        <w:t>fund, if the investment manager for the sub</w:t>
      </w:r>
      <w:r>
        <w:noBreakHyphen/>
      </w:r>
      <w:r w:rsidRPr="006E709F">
        <w:t>fund is different from the corporate director of the CCIV.</w:t>
      </w:r>
    </w:p>
    <w:p w14:paraId="5F211001" w14:textId="77777777" w:rsidR="00E93F58" w:rsidRPr="006E709F" w:rsidRDefault="00E93F58" w:rsidP="00953984">
      <w:pPr>
        <w:pStyle w:val="subsection"/>
      </w:pPr>
      <w:r w:rsidRPr="006E709F">
        <w:tab/>
        <w:t>(2)</w:t>
      </w:r>
      <w:r w:rsidRPr="006E709F">
        <w:tab/>
        <w:t>If there is more than one investment manager for the sub</w:t>
      </w:r>
      <w:r>
        <w:noBreakHyphen/>
      </w:r>
      <w:r w:rsidRPr="006E709F">
        <w:t>fund, the Statement may describe a particular manager by applying, adopting or incorporating a matter in writing.</w:t>
      </w:r>
    </w:p>
    <w:p w14:paraId="126FCF28" w14:textId="77777777" w:rsidR="00E93F58" w:rsidRPr="006E709F" w:rsidRDefault="00E93F58" w:rsidP="00953984">
      <w:pPr>
        <w:pStyle w:val="ActHead5"/>
      </w:pPr>
      <w:bookmarkStart w:id="3604" w:name="_Toc151992550"/>
      <w:bookmarkStart w:id="3605" w:name="_Toc158713587"/>
      <w:r w:rsidRPr="000C4237">
        <w:rPr>
          <w:rStyle w:val="CharSectno"/>
        </w:rPr>
        <w:t>4</w:t>
      </w:r>
      <w:r w:rsidRPr="006E709F">
        <w:t xml:space="preserve">  Contents of section 2 (How [name of CCIV and sub</w:t>
      </w:r>
      <w:r>
        <w:noBreakHyphen/>
      </w:r>
      <w:r w:rsidRPr="006E709F">
        <w:t>fund] work)</w:t>
      </w:r>
      <w:bookmarkEnd w:id="3604"/>
      <w:bookmarkEnd w:id="3605"/>
    </w:p>
    <w:p w14:paraId="666AEE5F" w14:textId="77777777" w:rsidR="00E93F58" w:rsidRPr="006E709F" w:rsidRDefault="00E93F58" w:rsidP="00953984">
      <w:pPr>
        <w:pStyle w:val="subsection"/>
      </w:pPr>
      <w:r w:rsidRPr="006E709F">
        <w:tab/>
        <w:t>(1)</w:t>
      </w:r>
      <w:r w:rsidRPr="006E709F">
        <w:tab/>
        <w:t>Section 2 of the Product Disclosure Statement for the simple sub</w:t>
      </w:r>
      <w:r>
        <w:noBreakHyphen/>
      </w:r>
      <w:r w:rsidRPr="006E709F">
        <w:t>fund product must describe, in the form of a summary:</w:t>
      </w:r>
    </w:p>
    <w:p w14:paraId="2F479F3C" w14:textId="77777777" w:rsidR="00E93F58" w:rsidRPr="006E709F" w:rsidRDefault="00E93F58" w:rsidP="00953984">
      <w:pPr>
        <w:pStyle w:val="paragraph"/>
      </w:pPr>
      <w:r w:rsidRPr="006E709F">
        <w:tab/>
        <w:t>(a)</w:t>
      </w:r>
      <w:r w:rsidRPr="006E709F">
        <w:tab/>
        <w:t>how the CCIV and the sub</w:t>
      </w:r>
      <w:r>
        <w:noBreakHyphen/>
      </w:r>
      <w:r w:rsidRPr="006E709F">
        <w:t>fund of the CCIV work; and</w:t>
      </w:r>
    </w:p>
    <w:p w14:paraId="69B489C6" w14:textId="77777777" w:rsidR="00E93F58" w:rsidRPr="006E709F" w:rsidRDefault="00E93F58" w:rsidP="00953984">
      <w:pPr>
        <w:pStyle w:val="paragraph"/>
      </w:pPr>
      <w:r w:rsidRPr="006E709F">
        <w:tab/>
        <w:t>(b)</w:t>
      </w:r>
      <w:r w:rsidRPr="006E709F">
        <w:tab/>
        <w:t>the rights and interests that members of the sub</w:t>
      </w:r>
      <w:r>
        <w:noBreakHyphen/>
      </w:r>
      <w:r w:rsidRPr="006E709F">
        <w:t>fund of the CCIV acquire.</w:t>
      </w:r>
    </w:p>
    <w:p w14:paraId="4E166DFC" w14:textId="77777777" w:rsidR="00E93F58" w:rsidRPr="006E709F" w:rsidRDefault="00E93F58" w:rsidP="00953984">
      <w:pPr>
        <w:pStyle w:val="subsection"/>
      </w:pPr>
      <w:r w:rsidRPr="006E709F">
        <w:tab/>
        <w:t>(2)</w:t>
      </w:r>
      <w:r w:rsidRPr="006E709F">
        <w:tab/>
        <w:t>Section 2 must:</w:t>
      </w:r>
    </w:p>
    <w:p w14:paraId="4D863C74" w14:textId="77777777" w:rsidR="00E93F58" w:rsidRPr="006E709F" w:rsidRDefault="00E93F58" w:rsidP="00953984">
      <w:pPr>
        <w:pStyle w:val="paragraph"/>
      </w:pPr>
      <w:r w:rsidRPr="006E709F">
        <w:tab/>
        <w:t>(a)</w:t>
      </w:r>
      <w:r w:rsidRPr="006E709F">
        <w:tab/>
        <w:t>if applicable—describe, in the form of a summary, the minimum investment amounts; and</w:t>
      </w:r>
    </w:p>
    <w:p w14:paraId="31CA1B2A" w14:textId="77777777" w:rsidR="00E93F58" w:rsidRPr="006E709F" w:rsidRDefault="00E93F58" w:rsidP="00953984">
      <w:pPr>
        <w:pStyle w:val="paragraph"/>
      </w:pPr>
      <w:r w:rsidRPr="006E709F">
        <w:tab/>
        <w:t>(b)</w:t>
      </w:r>
      <w:r w:rsidRPr="006E709F">
        <w:tab/>
        <w:t>provide information about the structure of the CCIV and the sub</w:t>
      </w:r>
      <w:r>
        <w:noBreakHyphen/>
      </w:r>
      <w:r w:rsidRPr="006E709F">
        <w:t>fund of the CCIV; and</w:t>
      </w:r>
    </w:p>
    <w:p w14:paraId="3180D8C0" w14:textId="77777777" w:rsidR="00E93F58" w:rsidRPr="006E709F" w:rsidRDefault="00E93F58" w:rsidP="00953984">
      <w:pPr>
        <w:pStyle w:val="paragraph"/>
      </w:pPr>
      <w:r w:rsidRPr="006E709F">
        <w:tab/>
        <w:t>(c)</w:t>
      </w:r>
      <w:r w:rsidRPr="006E709F">
        <w:tab/>
        <w:t>state, in general terms, that the value of securities will vary as the market value of the assets of the sub</w:t>
      </w:r>
      <w:r>
        <w:noBreakHyphen/>
      </w:r>
      <w:r w:rsidRPr="006E709F">
        <w:t>fund of the CCIV rise or fall; and</w:t>
      </w:r>
    </w:p>
    <w:p w14:paraId="370803F5" w14:textId="77777777" w:rsidR="00E93F58" w:rsidRPr="006E709F" w:rsidRDefault="00E93F58" w:rsidP="00953984">
      <w:pPr>
        <w:pStyle w:val="paragraph"/>
      </w:pPr>
      <w:r w:rsidRPr="006E709F">
        <w:tab/>
        <w:t>(d)</w:t>
      </w:r>
      <w:r w:rsidRPr="006E709F">
        <w:tab/>
        <w:t>describe, in the form of a summary, how members of the sub</w:t>
      </w:r>
      <w:r>
        <w:noBreakHyphen/>
      </w:r>
      <w:r w:rsidRPr="006E709F">
        <w:t>fund can increase or decrease their investment by acquiring securities or disposing of securities; and</w:t>
      </w:r>
    </w:p>
    <w:p w14:paraId="498CAF69" w14:textId="77777777" w:rsidR="00E93F58" w:rsidRPr="006E709F" w:rsidRDefault="00E93F58" w:rsidP="00953984">
      <w:pPr>
        <w:pStyle w:val="paragraph"/>
      </w:pPr>
      <w:r w:rsidRPr="006E709F">
        <w:tab/>
        <w:t>(e)</w:t>
      </w:r>
      <w:r w:rsidRPr="006E709F">
        <w:tab/>
        <w:t>state, in general terms, that in some circumstances, such as when there is a freeze on redemptions, members of the sub</w:t>
      </w:r>
      <w:r>
        <w:noBreakHyphen/>
      </w:r>
      <w:r w:rsidRPr="006E709F">
        <w:t>fund may not be able to redeem shares or dispose of securities within the usual period upon request; and</w:t>
      </w:r>
    </w:p>
    <w:p w14:paraId="35322E14" w14:textId="77777777" w:rsidR="00E93F58" w:rsidRPr="006E709F" w:rsidRDefault="00E93F58" w:rsidP="00953984">
      <w:pPr>
        <w:pStyle w:val="paragraph"/>
      </w:pPr>
      <w:r w:rsidRPr="006E709F">
        <w:tab/>
        <w:t>(f)</w:t>
      </w:r>
      <w:r w:rsidRPr="006E709F">
        <w:tab/>
        <w:t>describe the frequency of distributions and explain how distributions are calculated.</w:t>
      </w:r>
    </w:p>
    <w:p w14:paraId="611E946C" w14:textId="77777777" w:rsidR="00E93F58" w:rsidRPr="006E709F" w:rsidRDefault="00E93F58" w:rsidP="00953984">
      <w:pPr>
        <w:pStyle w:val="subsection"/>
      </w:pPr>
      <w:r w:rsidRPr="006E709F">
        <w:tab/>
        <w:t>(3)</w:t>
      </w:r>
      <w:r w:rsidRPr="006E709F">
        <w:tab/>
        <w:t>The CCIV:</w:t>
      </w:r>
    </w:p>
    <w:p w14:paraId="6D30E74C" w14:textId="77777777" w:rsidR="00E93F58" w:rsidRPr="006E709F" w:rsidRDefault="00E93F58" w:rsidP="00953984">
      <w:pPr>
        <w:pStyle w:val="paragraph"/>
      </w:pPr>
      <w:r w:rsidRPr="006E709F">
        <w:tab/>
        <w:t>(a)</w:t>
      </w:r>
      <w:r w:rsidRPr="006E709F">
        <w:tab/>
        <w:t>may provide more detailed information on the acquisition and disposal of securities; and</w:t>
      </w:r>
    </w:p>
    <w:p w14:paraId="08263650" w14:textId="77777777" w:rsidR="00E93F58" w:rsidRPr="006E709F" w:rsidRDefault="00E93F58" w:rsidP="00953984">
      <w:pPr>
        <w:pStyle w:val="paragraph"/>
      </w:pPr>
      <w:r w:rsidRPr="006E709F">
        <w:tab/>
        <w:t>(b)</w:t>
      </w:r>
      <w:r w:rsidRPr="006E709F">
        <w:tab/>
        <w:t>may provide the information by applying, adopting or incorporating a matter in writing.</w:t>
      </w:r>
    </w:p>
    <w:p w14:paraId="3CFE5D86" w14:textId="77777777" w:rsidR="00E93F58" w:rsidRPr="006E709F" w:rsidRDefault="00E93F58" w:rsidP="00953984">
      <w:pPr>
        <w:pStyle w:val="ActHead5"/>
      </w:pPr>
      <w:bookmarkStart w:id="3606" w:name="_Toc151992551"/>
      <w:bookmarkStart w:id="3607" w:name="_Toc158713588"/>
      <w:r w:rsidRPr="000C4237">
        <w:rPr>
          <w:rStyle w:val="CharSectno"/>
        </w:rPr>
        <w:t>5</w:t>
      </w:r>
      <w:r w:rsidRPr="006E709F">
        <w:t xml:space="preserve">  Contents of section 3 (Benefits of investing in [name of simple sub</w:t>
      </w:r>
      <w:r>
        <w:noBreakHyphen/>
      </w:r>
      <w:r w:rsidRPr="006E709F">
        <w:t>fund product])</w:t>
      </w:r>
      <w:bookmarkEnd w:id="3606"/>
      <w:bookmarkEnd w:id="3607"/>
    </w:p>
    <w:p w14:paraId="0556BBF2" w14:textId="77777777" w:rsidR="00E93F58" w:rsidRPr="006E709F" w:rsidRDefault="00E93F58" w:rsidP="00953984">
      <w:pPr>
        <w:pStyle w:val="subsection"/>
      </w:pPr>
      <w:r w:rsidRPr="006E709F">
        <w:tab/>
        <w:t>(1)</w:t>
      </w:r>
      <w:r w:rsidRPr="006E709F">
        <w:tab/>
        <w:t>Section 3 of the Product Disclosure Statement for the simple sub</w:t>
      </w:r>
      <w:r>
        <w:noBreakHyphen/>
      </w:r>
      <w:r w:rsidRPr="006E709F">
        <w:t>fund product must, before setting out any other information, describe, in the form of a summary:</w:t>
      </w:r>
    </w:p>
    <w:p w14:paraId="6B74D35B" w14:textId="77777777" w:rsidR="00E93F58" w:rsidRPr="006E709F" w:rsidRDefault="00E93F58" w:rsidP="00953984">
      <w:pPr>
        <w:pStyle w:val="paragraph"/>
      </w:pPr>
      <w:r w:rsidRPr="006E709F">
        <w:tab/>
        <w:t>(a)</w:t>
      </w:r>
      <w:r w:rsidRPr="006E709F">
        <w:tab/>
        <w:t>the significant features of the simple sub</w:t>
      </w:r>
      <w:r>
        <w:noBreakHyphen/>
      </w:r>
      <w:r w:rsidRPr="006E709F">
        <w:t>fund product; and</w:t>
      </w:r>
    </w:p>
    <w:p w14:paraId="7BDD3CD8" w14:textId="77777777" w:rsidR="00E93F58" w:rsidRPr="006E709F" w:rsidRDefault="00E93F58" w:rsidP="00953984">
      <w:pPr>
        <w:pStyle w:val="paragraph"/>
      </w:pPr>
      <w:r w:rsidRPr="006E709F">
        <w:tab/>
        <w:t>(b)</w:t>
      </w:r>
      <w:r w:rsidRPr="006E709F">
        <w:tab/>
        <w:t>the significant benefits of the simple sub</w:t>
      </w:r>
      <w:r>
        <w:noBreakHyphen/>
      </w:r>
      <w:r w:rsidRPr="006E709F">
        <w:t>fund product.</w:t>
      </w:r>
    </w:p>
    <w:p w14:paraId="71743529" w14:textId="77777777" w:rsidR="00E93F58" w:rsidRPr="006E709F" w:rsidRDefault="00E93F58" w:rsidP="00953984">
      <w:pPr>
        <w:pStyle w:val="subsection"/>
      </w:pPr>
      <w:r w:rsidRPr="006E709F">
        <w:lastRenderedPageBreak/>
        <w:tab/>
        <w:t>(2)</w:t>
      </w:r>
      <w:r w:rsidRPr="006E709F">
        <w:tab/>
        <w:t>The CCIV may provide additional information about:</w:t>
      </w:r>
    </w:p>
    <w:p w14:paraId="12284821" w14:textId="77777777" w:rsidR="00E93F58" w:rsidRPr="006E709F" w:rsidRDefault="00E93F58" w:rsidP="00953984">
      <w:pPr>
        <w:pStyle w:val="paragraph"/>
      </w:pPr>
      <w:r w:rsidRPr="006E709F">
        <w:tab/>
        <w:t>(a)</w:t>
      </w:r>
      <w:r w:rsidRPr="006E709F">
        <w:tab/>
        <w:t>any feature or benefit of the simple sub</w:t>
      </w:r>
      <w:r>
        <w:noBreakHyphen/>
      </w:r>
      <w:r w:rsidRPr="006E709F">
        <w:t>fund product; or</w:t>
      </w:r>
    </w:p>
    <w:p w14:paraId="2E63D28F" w14:textId="77777777" w:rsidR="00E93F58" w:rsidRPr="006E709F" w:rsidRDefault="00E93F58" w:rsidP="00953984">
      <w:pPr>
        <w:pStyle w:val="paragraph"/>
      </w:pPr>
      <w:r w:rsidRPr="006E709F">
        <w:tab/>
        <w:t>(b)</w:t>
      </w:r>
      <w:r w:rsidRPr="006E709F">
        <w:tab/>
        <w:t>other features and benefits of the simple sub</w:t>
      </w:r>
      <w:r>
        <w:noBreakHyphen/>
      </w:r>
      <w:r w:rsidRPr="006E709F">
        <w:t>fund product; or</w:t>
      </w:r>
    </w:p>
    <w:p w14:paraId="4691971C" w14:textId="77777777" w:rsidR="00E93F58" w:rsidRPr="006E709F" w:rsidRDefault="00E93F58" w:rsidP="00953984">
      <w:pPr>
        <w:pStyle w:val="paragraph"/>
      </w:pPr>
      <w:r w:rsidRPr="006E709F">
        <w:tab/>
        <w:t>(c)</w:t>
      </w:r>
      <w:r w:rsidRPr="006E709F">
        <w:tab/>
        <w:t>other features and benefits of simple sub</w:t>
      </w:r>
      <w:r>
        <w:noBreakHyphen/>
      </w:r>
      <w:r w:rsidRPr="006E709F">
        <w:t>fund products;</w:t>
      </w:r>
    </w:p>
    <w:p w14:paraId="5A5EDADF" w14:textId="77777777" w:rsidR="00E93F58" w:rsidRPr="006E709F" w:rsidRDefault="00E93F58" w:rsidP="00953984">
      <w:pPr>
        <w:pStyle w:val="subsection2"/>
      </w:pPr>
      <w:r w:rsidRPr="006E709F">
        <w:t>by applying, adopting or incorporating a matter in writing.</w:t>
      </w:r>
    </w:p>
    <w:p w14:paraId="03FF84B7" w14:textId="77777777" w:rsidR="00E93F58" w:rsidRPr="006E709F" w:rsidRDefault="00E93F58" w:rsidP="00953984">
      <w:pPr>
        <w:pStyle w:val="ActHead5"/>
      </w:pPr>
      <w:bookmarkStart w:id="3608" w:name="_Toc151992552"/>
      <w:bookmarkStart w:id="3609" w:name="_Toc158713589"/>
      <w:r w:rsidRPr="000C4237">
        <w:rPr>
          <w:rStyle w:val="CharSectno"/>
        </w:rPr>
        <w:t>6</w:t>
      </w:r>
      <w:r w:rsidRPr="006E709F">
        <w:t xml:space="preserve">  Contents of section 4 (Risks of simple sub</w:t>
      </w:r>
      <w:r>
        <w:noBreakHyphen/>
      </w:r>
      <w:r w:rsidRPr="006E709F">
        <w:t>fund products)</w:t>
      </w:r>
      <w:bookmarkEnd w:id="3608"/>
      <w:bookmarkEnd w:id="3609"/>
    </w:p>
    <w:p w14:paraId="7C9322F0" w14:textId="77777777" w:rsidR="00E93F58" w:rsidRPr="006E709F" w:rsidRDefault="00E93F58" w:rsidP="00953984">
      <w:pPr>
        <w:pStyle w:val="subsection"/>
      </w:pPr>
      <w:r w:rsidRPr="006E709F">
        <w:tab/>
        <w:t>(1)</w:t>
      </w:r>
      <w:r w:rsidRPr="006E709F">
        <w:tab/>
        <w:t>Section 4 of the Product Disclosure Statement for the simple sub</w:t>
      </w:r>
      <w:r>
        <w:noBreakHyphen/>
      </w:r>
      <w:r w:rsidRPr="006E709F">
        <w:t>fund product must include statements to the following effect:</w:t>
      </w:r>
    </w:p>
    <w:p w14:paraId="33B055D0" w14:textId="77777777" w:rsidR="00E93F58" w:rsidRPr="006E709F" w:rsidRDefault="00E93F58" w:rsidP="00953984">
      <w:pPr>
        <w:pStyle w:val="paragraph"/>
      </w:pPr>
      <w:r w:rsidRPr="006E709F">
        <w:tab/>
        <w:t>(a)</w:t>
      </w:r>
      <w:r w:rsidRPr="006E709F">
        <w:tab/>
        <w:t>all investments carry risk;</w:t>
      </w:r>
    </w:p>
    <w:p w14:paraId="0ED8D386" w14:textId="77777777" w:rsidR="00E93F58" w:rsidRPr="006E709F" w:rsidRDefault="00E93F58" w:rsidP="00953984">
      <w:pPr>
        <w:pStyle w:val="paragraph"/>
      </w:pPr>
      <w:r w:rsidRPr="006E709F">
        <w:tab/>
        <w:t>(b)</w:t>
      </w:r>
      <w:r w:rsidRPr="006E709F">
        <w:tab/>
        <w:t>different strategies may carry different levels of risk, depending on the assets that make up the strategy;</w:t>
      </w:r>
    </w:p>
    <w:p w14:paraId="2F376FAE" w14:textId="77777777" w:rsidR="00E93F58" w:rsidRPr="006E709F" w:rsidRDefault="00E93F58" w:rsidP="00953984">
      <w:pPr>
        <w:pStyle w:val="paragraph"/>
      </w:pPr>
      <w:r w:rsidRPr="006E709F">
        <w:tab/>
        <w:t>(c)</w:t>
      </w:r>
      <w:r w:rsidRPr="006E709F">
        <w:tab/>
        <w:t>assets with the highest long</w:t>
      </w:r>
      <w:r>
        <w:noBreakHyphen/>
      </w:r>
      <w:r w:rsidRPr="006E709F">
        <w:t>term returns may also carry the highest level of short</w:t>
      </w:r>
      <w:r>
        <w:noBreakHyphen/>
      </w:r>
      <w:r w:rsidRPr="006E709F">
        <w:t>term risk.</w:t>
      </w:r>
    </w:p>
    <w:p w14:paraId="7CC4424B" w14:textId="77777777" w:rsidR="00E93F58" w:rsidRPr="006E709F" w:rsidRDefault="00E93F58" w:rsidP="00953984">
      <w:pPr>
        <w:pStyle w:val="subsection"/>
      </w:pPr>
      <w:r w:rsidRPr="006E709F">
        <w:tab/>
        <w:t>(2)</w:t>
      </w:r>
      <w:r w:rsidRPr="006E709F">
        <w:tab/>
        <w:t>Section 4 must describe, in the form of a summary, the significant risks of the particular simple sub</w:t>
      </w:r>
      <w:r>
        <w:noBreakHyphen/>
      </w:r>
      <w:r w:rsidRPr="006E709F">
        <w:t>fund product.</w:t>
      </w:r>
    </w:p>
    <w:p w14:paraId="10304085" w14:textId="77777777" w:rsidR="00E93F58" w:rsidRPr="006E709F" w:rsidRDefault="00E93F58" w:rsidP="00953984">
      <w:pPr>
        <w:pStyle w:val="subsection"/>
      </w:pPr>
      <w:r w:rsidRPr="006E709F">
        <w:tab/>
        <w:t>(3)</w:t>
      </w:r>
      <w:r w:rsidRPr="006E709F">
        <w:tab/>
        <w:t>Section 4 must describe the significant risks of simple sub</w:t>
      </w:r>
      <w:r>
        <w:noBreakHyphen/>
      </w:r>
      <w:r w:rsidRPr="006E709F">
        <w:t>fund products (to the extent only that the description required by subclause (2) has not already described the risk) by including statements to the following effect:</w:t>
      </w:r>
    </w:p>
    <w:p w14:paraId="2627D8CD" w14:textId="77777777" w:rsidR="00E93F58" w:rsidRPr="006E709F" w:rsidRDefault="00E93F58" w:rsidP="00953984">
      <w:pPr>
        <w:pStyle w:val="paragraph"/>
      </w:pPr>
      <w:r w:rsidRPr="006E709F">
        <w:tab/>
        <w:t>(a)</w:t>
      </w:r>
      <w:r w:rsidRPr="006E709F">
        <w:tab/>
        <w:t>the value of investments will vary;</w:t>
      </w:r>
    </w:p>
    <w:p w14:paraId="61B509EF" w14:textId="77777777" w:rsidR="00E93F58" w:rsidRPr="006E709F" w:rsidRDefault="00E93F58" w:rsidP="00953984">
      <w:pPr>
        <w:pStyle w:val="paragraph"/>
      </w:pPr>
      <w:r w:rsidRPr="006E709F">
        <w:tab/>
        <w:t>(b)</w:t>
      </w:r>
      <w:r w:rsidRPr="006E709F">
        <w:tab/>
        <w:t>the level of returns will vary, and future returns may differ from past returns;</w:t>
      </w:r>
    </w:p>
    <w:p w14:paraId="794B1161" w14:textId="77777777" w:rsidR="00E93F58" w:rsidRPr="006E709F" w:rsidRDefault="00E93F58" w:rsidP="00953984">
      <w:pPr>
        <w:pStyle w:val="paragraph"/>
      </w:pPr>
      <w:r w:rsidRPr="006E709F">
        <w:tab/>
        <w:t>(c)</w:t>
      </w:r>
      <w:r w:rsidRPr="006E709F">
        <w:tab/>
        <w:t>returns are not guaranteed, and members may lose some of their money;</w:t>
      </w:r>
    </w:p>
    <w:p w14:paraId="4FE6A43B" w14:textId="77777777" w:rsidR="00E93F58" w:rsidRPr="006E709F" w:rsidRDefault="00E93F58" w:rsidP="00953984">
      <w:pPr>
        <w:pStyle w:val="paragraph"/>
      </w:pPr>
      <w:r w:rsidRPr="006E709F">
        <w:tab/>
        <w:t>(d)</w:t>
      </w:r>
      <w:r w:rsidRPr="006E709F">
        <w:tab/>
        <w:t>laws affecting CCIVs may change in the future;</w:t>
      </w:r>
    </w:p>
    <w:p w14:paraId="5E375E26" w14:textId="77777777" w:rsidR="00E93F58" w:rsidRPr="006E709F" w:rsidRDefault="00E93F58" w:rsidP="00953984">
      <w:pPr>
        <w:pStyle w:val="paragraph"/>
      </w:pPr>
      <w:r w:rsidRPr="006E709F">
        <w:tab/>
        <w:t>(e)</w:t>
      </w:r>
      <w:r w:rsidRPr="006E709F">
        <w:tab/>
        <w:t>the level of risk for each person will vary depending on a range of factors, including:</w:t>
      </w:r>
    </w:p>
    <w:p w14:paraId="0D23B52B" w14:textId="77777777" w:rsidR="00E93F58" w:rsidRPr="006E709F" w:rsidRDefault="00E93F58" w:rsidP="00953984">
      <w:pPr>
        <w:pStyle w:val="paragraphsub"/>
      </w:pPr>
      <w:r w:rsidRPr="006E709F">
        <w:tab/>
        <w:t>(i)</w:t>
      </w:r>
      <w:r w:rsidRPr="006E709F">
        <w:tab/>
        <w:t>age; and</w:t>
      </w:r>
    </w:p>
    <w:p w14:paraId="2DE9F289" w14:textId="77777777" w:rsidR="00E93F58" w:rsidRPr="006E709F" w:rsidRDefault="00E93F58" w:rsidP="00953984">
      <w:pPr>
        <w:pStyle w:val="paragraphsub"/>
      </w:pPr>
      <w:r w:rsidRPr="006E709F">
        <w:tab/>
        <w:t>(ii)</w:t>
      </w:r>
      <w:r w:rsidRPr="006E709F">
        <w:tab/>
        <w:t>investment time frames; and</w:t>
      </w:r>
    </w:p>
    <w:p w14:paraId="030A494A" w14:textId="77777777" w:rsidR="00E93F58" w:rsidRPr="006E709F" w:rsidRDefault="00E93F58" w:rsidP="00953984">
      <w:pPr>
        <w:pStyle w:val="paragraphsub"/>
      </w:pPr>
      <w:r w:rsidRPr="006E709F">
        <w:tab/>
        <w:t>(iii)</w:t>
      </w:r>
      <w:r w:rsidRPr="006E709F">
        <w:tab/>
        <w:t>where other parts of the person’s wealth are invested; and</w:t>
      </w:r>
    </w:p>
    <w:p w14:paraId="3CAA555A" w14:textId="77777777" w:rsidR="00E93F58" w:rsidRPr="006E709F" w:rsidRDefault="00E93F58" w:rsidP="00953984">
      <w:pPr>
        <w:pStyle w:val="paragraphsub"/>
      </w:pPr>
      <w:r w:rsidRPr="006E709F">
        <w:tab/>
        <w:t>(iv)</w:t>
      </w:r>
      <w:r w:rsidRPr="006E709F">
        <w:tab/>
        <w:t>the person’s risk tolerance.</w:t>
      </w:r>
    </w:p>
    <w:p w14:paraId="6D9943BF" w14:textId="77777777" w:rsidR="00E93F58" w:rsidRPr="006E709F" w:rsidRDefault="00E93F58" w:rsidP="00953984">
      <w:pPr>
        <w:pStyle w:val="subsection"/>
      </w:pPr>
      <w:r w:rsidRPr="006E709F">
        <w:tab/>
        <w:t>(4)</w:t>
      </w:r>
      <w:r w:rsidRPr="006E709F">
        <w:tab/>
        <w:t>The CCIV may provide additional information about significant risks of simple sub</w:t>
      </w:r>
      <w:r>
        <w:noBreakHyphen/>
      </w:r>
      <w:r w:rsidRPr="006E709F">
        <w:t>fund products by applying, adopting or incorporating a matter in writing.</w:t>
      </w:r>
    </w:p>
    <w:p w14:paraId="2BC8F65E" w14:textId="77777777" w:rsidR="00E93F58" w:rsidRPr="006E709F" w:rsidRDefault="00E93F58" w:rsidP="00953984">
      <w:pPr>
        <w:pStyle w:val="ActHead5"/>
      </w:pPr>
      <w:bookmarkStart w:id="3610" w:name="_Toc151992553"/>
      <w:bookmarkStart w:id="3611" w:name="_Toc158713590"/>
      <w:r w:rsidRPr="000C4237">
        <w:rPr>
          <w:rStyle w:val="CharSectno"/>
        </w:rPr>
        <w:t>7</w:t>
      </w:r>
      <w:r w:rsidRPr="006E709F">
        <w:t xml:space="preserve">  Contents of section 5 (How we invest your money)</w:t>
      </w:r>
      <w:bookmarkEnd w:id="3610"/>
      <w:bookmarkEnd w:id="3611"/>
    </w:p>
    <w:p w14:paraId="57A030EA" w14:textId="77777777" w:rsidR="00E93F58" w:rsidRPr="006E709F" w:rsidRDefault="00E93F58" w:rsidP="00953984">
      <w:pPr>
        <w:pStyle w:val="subsection"/>
      </w:pPr>
      <w:r w:rsidRPr="006E709F">
        <w:tab/>
        <w:t>(1)</w:t>
      </w:r>
      <w:r w:rsidRPr="006E709F">
        <w:tab/>
        <w:t>Section 5 of the Product Disclosure Statement for the simple sub</w:t>
      </w:r>
      <w:r>
        <w:noBreakHyphen/>
      </w:r>
      <w:r w:rsidRPr="006E709F">
        <w:t>fund product must describe, in the form of a summary, the investment options offered by the CCIV.</w:t>
      </w:r>
    </w:p>
    <w:p w14:paraId="378166C3" w14:textId="77777777" w:rsidR="00E93F58" w:rsidRPr="006E709F" w:rsidRDefault="00E93F58" w:rsidP="00953984">
      <w:pPr>
        <w:pStyle w:val="subsection"/>
      </w:pPr>
      <w:r w:rsidRPr="006E709F">
        <w:tab/>
        <w:t>(2)</w:t>
      </w:r>
      <w:r w:rsidRPr="006E709F">
        <w:tab/>
        <w:t>Section 5 must state, in the form of a warning, that the person should consider:</w:t>
      </w:r>
    </w:p>
    <w:p w14:paraId="7A5013F0" w14:textId="77777777" w:rsidR="00E93F58" w:rsidRPr="006E709F" w:rsidRDefault="00E93F58" w:rsidP="00953984">
      <w:pPr>
        <w:pStyle w:val="paragraph"/>
      </w:pPr>
      <w:r w:rsidRPr="006E709F">
        <w:tab/>
        <w:t>(a)</w:t>
      </w:r>
      <w:r w:rsidRPr="006E709F">
        <w:tab/>
        <w:t>the likely investment return; and</w:t>
      </w:r>
    </w:p>
    <w:p w14:paraId="6D19DADE" w14:textId="77777777" w:rsidR="00E93F58" w:rsidRPr="006E709F" w:rsidRDefault="00E93F58" w:rsidP="00953984">
      <w:pPr>
        <w:pStyle w:val="paragraph"/>
      </w:pPr>
      <w:r w:rsidRPr="006E709F">
        <w:tab/>
        <w:t>(b)</w:t>
      </w:r>
      <w:r w:rsidRPr="006E709F">
        <w:tab/>
        <w:t>the risk; and</w:t>
      </w:r>
    </w:p>
    <w:p w14:paraId="13EE5A15" w14:textId="77777777" w:rsidR="00E93F58" w:rsidRPr="006E709F" w:rsidRDefault="00E93F58" w:rsidP="00953984">
      <w:pPr>
        <w:pStyle w:val="paragraph"/>
      </w:pPr>
      <w:r w:rsidRPr="006E709F">
        <w:tab/>
        <w:t>(c)</w:t>
      </w:r>
      <w:r w:rsidRPr="006E709F">
        <w:tab/>
        <w:t>the person’s investment time frame;</w:t>
      </w:r>
    </w:p>
    <w:p w14:paraId="3A028C9B" w14:textId="77777777" w:rsidR="00E93F58" w:rsidRPr="006E709F" w:rsidRDefault="00E93F58" w:rsidP="00953984">
      <w:pPr>
        <w:pStyle w:val="subsection2"/>
      </w:pPr>
      <w:r w:rsidRPr="006E709F">
        <w:t>when choosing an option in which to invest.</w:t>
      </w:r>
    </w:p>
    <w:p w14:paraId="0ED8D9E6" w14:textId="77777777" w:rsidR="00E93F58" w:rsidRPr="006E709F" w:rsidRDefault="00E93F58" w:rsidP="00953984">
      <w:pPr>
        <w:pStyle w:val="SubsectionHead"/>
      </w:pPr>
      <w:r w:rsidRPr="006E709F">
        <w:t>New simple sub</w:t>
      </w:r>
      <w:r>
        <w:noBreakHyphen/>
      </w:r>
      <w:r w:rsidRPr="006E709F">
        <w:t>fund product</w:t>
      </w:r>
    </w:p>
    <w:p w14:paraId="302BF9E3" w14:textId="77777777" w:rsidR="00E93F58" w:rsidRPr="006E709F" w:rsidRDefault="00E93F58" w:rsidP="00953984">
      <w:pPr>
        <w:pStyle w:val="subsection"/>
      </w:pPr>
      <w:r w:rsidRPr="006E709F">
        <w:tab/>
        <w:t>(3)</w:t>
      </w:r>
      <w:r w:rsidRPr="006E709F">
        <w:tab/>
        <w:t>If the simple sub</w:t>
      </w:r>
      <w:r>
        <w:noBreakHyphen/>
      </w:r>
      <w:r w:rsidRPr="006E709F">
        <w:t>fund product has never previously been offered to investors, and the CCIV does not offer any investment option mentioned in subclauses (4) and (5), section 5 must give the following information for the investment option for the CCIV that the corporate director reasonably believes has the least volatile underlying assets (whether or not section 5 gives that information for any other investment option):</w:t>
      </w:r>
    </w:p>
    <w:p w14:paraId="221E4F2F" w14:textId="77777777" w:rsidR="00E93F58" w:rsidRPr="006E709F" w:rsidRDefault="00E93F58" w:rsidP="00953984">
      <w:pPr>
        <w:pStyle w:val="paragraph"/>
      </w:pPr>
      <w:r w:rsidRPr="006E709F">
        <w:tab/>
        <w:t>(a)</w:t>
      </w:r>
      <w:r w:rsidRPr="006E709F">
        <w:tab/>
        <w:t>the name of the option and a short description of it, including the type of investors for whom it is intended to be suitable;</w:t>
      </w:r>
    </w:p>
    <w:p w14:paraId="7FD0901E" w14:textId="77777777" w:rsidR="00E93F58" w:rsidRPr="006E709F" w:rsidRDefault="00E93F58" w:rsidP="00953984">
      <w:pPr>
        <w:pStyle w:val="paragraph"/>
      </w:pPr>
      <w:r w:rsidRPr="006E709F">
        <w:tab/>
        <w:t>(b)</w:t>
      </w:r>
      <w:r w:rsidRPr="006E709F">
        <w:tab/>
        <w:t>a list of the asset classes in which the option invests, setting out the strategic asset allocation of the asset classes in the form of a range or otherwise;</w:t>
      </w:r>
    </w:p>
    <w:p w14:paraId="7F35CB20" w14:textId="77777777" w:rsidR="00E93F58" w:rsidRPr="006E709F" w:rsidRDefault="00E93F58" w:rsidP="00953984">
      <w:pPr>
        <w:pStyle w:val="paragraph"/>
      </w:pPr>
      <w:r w:rsidRPr="006E709F">
        <w:tab/>
        <w:t>(c)</w:t>
      </w:r>
      <w:r w:rsidRPr="006E709F">
        <w:tab/>
        <w:t>a description of the investment return objective of the option;</w:t>
      </w:r>
    </w:p>
    <w:p w14:paraId="4DBE911F" w14:textId="77777777" w:rsidR="00E93F58" w:rsidRPr="006E709F" w:rsidRDefault="00E93F58" w:rsidP="00953984">
      <w:pPr>
        <w:pStyle w:val="paragraph"/>
      </w:pPr>
      <w:r w:rsidRPr="006E709F">
        <w:tab/>
        <w:t>(d)</w:t>
      </w:r>
      <w:r w:rsidRPr="006E709F">
        <w:tab/>
        <w:t>the minimum suggested time frame for holding the investment;</w:t>
      </w:r>
    </w:p>
    <w:p w14:paraId="22D22DE7" w14:textId="77777777" w:rsidR="00E93F58" w:rsidRPr="006E709F" w:rsidRDefault="00E93F58" w:rsidP="00953984">
      <w:pPr>
        <w:pStyle w:val="paragraph"/>
      </w:pPr>
      <w:r w:rsidRPr="006E709F">
        <w:tab/>
        <w:t>(e)</w:t>
      </w:r>
      <w:r w:rsidRPr="006E709F">
        <w:tab/>
        <w:t>a description, in the form of a summary, of the risk level of the option.</w:t>
      </w:r>
    </w:p>
    <w:p w14:paraId="7437B003" w14:textId="77777777" w:rsidR="00E93F58" w:rsidRPr="006E709F" w:rsidRDefault="00E93F58" w:rsidP="00953984">
      <w:pPr>
        <w:pStyle w:val="SubsectionHead"/>
      </w:pPr>
      <w:r w:rsidRPr="006E709F">
        <w:lastRenderedPageBreak/>
        <w:t>Balanced investment option</w:t>
      </w:r>
    </w:p>
    <w:p w14:paraId="17684CAB" w14:textId="77777777" w:rsidR="00E93F58" w:rsidRPr="006E709F" w:rsidRDefault="00E93F58" w:rsidP="00953984">
      <w:pPr>
        <w:pStyle w:val="subsection"/>
      </w:pPr>
      <w:r w:rsidRPr="006E709F">
        <w:tab/>
        <w:t>(4)</w:t>
      </w:r>
      <w:r w:rsidRPr="006E709F">
        <w:tab/>
        <w:t>If the CCIV has a balanced investment option (within the meaning given by clause 101 of Schedule 10), section 5 must give the following information for the balanced investment option (whether or not section 5 gives that information for any other investment option):</w:t>
      </w:r>
    </w:p>
    <w:p w14:paraId="1751ED0D" w14:textId="77777777" w:rsidR="00E93F58" w:rsidRPr="006E709F" w:rsidRDefault="00E93F58" w:rsidP="00953984">
      <w:pPr>
        <w:pStyle w:val="paragraph"/>
      </w:pPr>
      <w:r w:rsidRPr="006E709F">
        <w:tab/>
        <w:t>(a)</w:t>
      </w:r>
      <w:r w:rsidRPr="006E709F">
        <w:tab/>
        <w:t>the name of the option and a short description of it, including the type of investors for whom it is intended to be suitable;</w:t>
      </w:r>
    </w:p>
    <w:p w14:paraId="3CFFD6A7" w14:textId="77777777" w:rsidR="00E93F58" w:rsidRPr="006E709F" w:rsidRDefault="00E93F58" w:rsidP="00953984">
      <w:pPr>
        <w:pStyle w:val="paragraph"/>
      </w:pPr>
      <w:r w:rsidRPr="006E709F">
        <w:tab/>
        <w:t>(b)</w:t>
      </w:r>
      <w:r w:rsidRPr="006E709F">
        <w:tab/>
        <w:t>a list of the asset classes in which the option invests, setting out the strategic asset allocation of the asset classes in the form of a range or otherwise;</w:t>
      </w:r>
    </w:p>
    <w:p w14:paraId="3DDA90B8" w14:textId="77777777" w:rsidR="00E93F58" w:rsidRPr="006E709F" w:rsidRDefault="00E93F58" w:rsidP="00953984">
      <w:pPr>
        <w:pStyle w:val="paragraph"/>
      </w:pPr>
      <w:r w:rsidRPr="006E709F">
        <w:tab/>
        <w:t>(c)</w:t>
      </w:r>
      <w:r w:rsidRPr="006E709F">
        <w:tab/>
        <w:t>a description of the investment return objective of the option;</w:t>
      </w:r>
    </w:p>
    <w:p w14:paraId="04EECAB3" w14:textId="77777777" w:rsidR="00E93F58" w:rsidRPr="006E709F" w:rsidRDefault="00E93F58" w:rsidP="00953984">
      <w:pPr>
        <w:pStyle w:val="paragraph"/>
      </w:pPr>
      <w:r w:rsidRPr="006E709F">
        <w:tab/>
        <w:t>(d)</w:t>
      </w:r>
      <w:r w:rsidRPr="006E709F">
        <w:tab/>
        <w:t>the minimum suggested time frame for holding the investment;</w:t>
      </w:r>
    </w:p>
    <w:p w14:paraId="57E2DF10" w14:textId="77777777" w:rsidR="00E93F58" w:rsidRPr="006E709F" w:rsidRDefault="00E93F58" w:rsidP="00953984">
      <w:pPr>
        <w:pStyle w:val="paragraph"/>
      </w:pPr>
      <w:r w:rsidRPr="006E709F">
        <w:tab/>
        <w:t>(e)</w:t>
      </w:r>
      <w:r w:rsidRPr="006E709F">
        <w:tab/>
        <w:t>a description, in the form of a summary, of the risk level of the option.</w:t>
      </w:r>
    </w:p>
    <w:p w14:paraId="35943ED5" w14:textId="77777777" w:rsidR="00E93F58" w:rsidRPr="006E709F" w:rsidRDefault="00E93F58" w:rsidP="00953984">
      <w:pPr>
        <w:pStyle w:val="SubsectionHead"/>
      </w:pPr>
      <w:r w:rsidRPr="006E709F">
        <w:t>No balanced investment option</w:t>
      </w:r>
    </w:p>
    <w:p w14:paraId="133B38F0" w14:textId="77777777" w:rsidR="00E93F58" w:rsidRPr="006E709F" w:rsidRDefault="00E93F58" w:rsidP="00953984">
      <w:pPr>
        <w:pStyle w:val="subsection"/>
      </w:pPr>
      <w:r w:rsidRPr="006E709F">
        <w:tab/>
        <w:t>(5)</w:t>
      </w:r>
      <w:r w:rsidRPr="006E709F">
        <w:tab/>
        <w:t>If the CCIV does not have a balanced investment option (within the meaning given by clause 101 of Schedule 10), section 5 must give the following information for the investment option under which the CCIV has the most funds invested</w:t>
      </w:r>
      <w:r w:rsidRPr="006E709F">
        <w:rPr>
          <w:i/>
        </w:rPr>
        <w:t xml:space="preserve"> </w:t>
      </w:r>
      <w:r w:rsidRPr="006E709F">
        <w:t>(whether or not section 5 gives that information for any other investment option):</w:t>
      </w:r>
    </w:p>
    <w:p w14:paraId="62041492" w14:textId="77777777" w:rsidR="00E93F58" w:rsidRPr="006E709F" w:rsidRDefault="00E93F58" w:rsidP="00953984">
      <w:pPr>
        <w:pStyle w:val="paragraph"/>
      </w:pPr>
      <w:r w:rsidRPr="006E709F">
        <w:tab/>
        <w:t>(a)</w:t>
      </w:r>
      <w:r w:rsidRPr="006E709F">
        <w:tab/>
        <w:t>the name of the option and a short description of it, including the type of investors for whom it is intended to be suitable;</w:t>
      </w:r>
    </w:p>
    <w:p w14:paraId="51960685" w14:textId="77777777" w:rsidR="00E93F58" w:rsidRPr="006E709F" w:rsidRDefault="00E93F58" w:rsidP="00953984">
      <w:pPr>
        <w:pStyle w:val="paragraph"/>
      </w:pPr>
      <w:r w:rsidRPr="006E709F">
        <w:tab/>
        <w:t>(b)</w:t>
      </w:r>
      <w:r w:rsidRPr="006E709F">
        <w:tab/>
        <w:t>a list of the asset classes in which the option invests, setting out the strategic asset allocation of the asset classes in the form of a range or otherwise;</w:t>
      </w:r>
    </w:p>
    <w:p w14:paraId="03850239" w14:textId="77777777" w:rsidR="00E93F58" w:rsidRPr="006E709F" w:rsidRDefault="00E93F58" w:rsidP="00953984">
      <w:pPr>
        <w:pStyle w:val="paragraph"/>
      </w:pPr>
      <w:r w:rsidRPr="006E709F">
        <w:tab/>
        <w:t>(c)</w:t>
      </w:r>
      <w:r w:rsidRPr="006E709F">
        <w:tab/>
        <w:t>a description of the investment return objective of the option;</w:t>
      </w:r>
    </w:p>
    <w:p w14:paraId="20B2F962" w14:textId="77777777" w:rsidR="00E93F58" w:rsidRPr="006E709F" w:rsidRDefault="00E93F58" w:rsidP="00953984">
      <w:pPr>
        <w:pStyle w:val="paragraph"/>
      </w:pPr>
      <w:r w:rsidRPr="006E709F">
        <w:tab/>
        <w:t>(d)</w:t>
      </w:r>
      <w:r w:rsidRPr="006E709F">
        <w:tab/>
        <w:t>the minimum suggested time frame for holding the investment;</w:t>
      </w:r>
    </w:p>
    <w:p w14:paraId="0D15F2AE" w14:textId="77777777" w:rsidR="00E93F58" w:rsidRPr="006E709F" w:rsidRDefault="00E93F58" w:rsidP="00953984">
      <w:pPr>
        <w:pStyle w:val="paragraph"/>
      </w:pPr>
      <w:r w:rsidRPr="006E709F">
        <w:tab/>
        <w:t>(e)</w:t>
      </w:r>
      <w:r w:rsidRPr="006E709F">
        <w:tab/>
        <w:t>a description, in the form of a summary, of the risk level of the option.</w:t>
      </w:r>
    </w:p>
    <w:p w14:paraId="1E0BBB07" w14:textId="77777777" w:rsidR="00E93F58" w:rsidRPr="006E709F" w:rsidRDefault="00E93F58" w:rsidP="00953984">
      <w:pPr>
        <w:pStyle w:val="SubsectionHead"/>
      </w:pPr>
      <w:r w:rsidRPr="006E709F">
        <w:t>Additional information</w:t>
      </w:r>
    </w:p>
    <w:p w14:paraId="4312CFC3" w14:textId="77777777" w:rsidR="00E93F58" w:rsidRPr="006E709F" w:rsidRDefault="00E93F58" w:rsidP="00953984">
      <w:pPr>
        <w:pStyle w:val="subsection"/>
      </w:pPr>
      <w:r w:rsidRPr="006E709F">
        <w:tab/>
        <w:t>(6)</w:t>
      </w:r>
      <w:r w:rsidRPr="006E709F">
        <w:tab/>
        <w:t>Section 5:</w:t>
      </w:r>
    </w:p>
    <w:p w14:paraId="43B94BF9" w14:textId="77777777" w:rsidR="00E93F58" w:rsidRPr="006E709F" w:rsidRDefault="00E93F58" w:rsidP="00953984">
      <w:pPr>
        <w:pStyle w:val="paragraph"/>
      </w:pPr>
      <w:r w:rsidRPr="006E709F">
        <w:tab/>
        <w:t>(a)</w:t>
      </w:r>
      <w:r w:rsidRPr="006E709F">
        <w:tab/>
        <w:t>must make provision for each investment option that is not presented in section 5 in accordance with subclause (3), (4) or (5); and</w:t>
      </w:r>
    </w:p>
    <w:p w14:paraId="36A46B05" w14:textId="77777777" w:rsidR="00E93F58" w:rsidRPr="006E709F" w:rsidRDefault="00E93F58" w:rsidP="00953984">
      <w:pPr>
        <w:pStyle w:val="paragraph"/>
      </w:pPr>
      <w:r w:rsidRPr="006E709F">
        <w:tab/>
        <w:t>(b)</w:t>
      </w:r>
      <w:r w:rsidRPr="006E709F">
        <w:tab/>
        <w:t>may make provision for the option by applying, adopting or incorporating a matter in a document that:</w:t>
      </w:r>
    </w:p>
    <w:p w14:paraId="5CAA774E" w14:textId="77777777" w:rsidR="00E93F58" w:rsidRPr="006E709F" w:rsidRDefault="00E93F58" w:rsidP="00953984">
      <w:pPr>
        <w:pStyle w:val="paragraphsub"/>
      </w:pPr>
      <w:r w:rsidRPr="006E709F">
        <w:tab/>
        <w:t>(i)</w:t>
      </w:r>
      <w:r w:rsidRPr="006E709F">
        <w:tab/>
        <w:t>includes the information mentioned in subclause (3), (4) or (5); and</w:t>
      </w:r>
    </w:p>
    <w:p w14:paraId="12AFD909" w14:textId="77777777" w:rsidR="00E93F58" w:rsidRPr="006E709F" w:rsidRDefault="00E93F58" w:rsidP="00953984">
      <w:pPr>
        <w:pStyle w:val="paragraphsub"/>
      </w:pPr>
      <w:r w:rsidRPr="006E709F">
        <w:tab/>
        <w:t>(ii)</w:t>
      </w:r>
      <w:r w:rsidRPr="006E709F">
        <w:tab/>
        <w:t>presents it in the way mentioned in the subclause.</w:t>
      </w:r>
    </w:p>
    <w:p w14:paraId="7F25DEBF" w14:textId="77777777" w:rsidR="00E93F58" w:rsidRPr="006E709F" w:rsidRDefault="00E93F58" w:rsidP="00953984">
      <w:pPr>
        <w:pStyle w:val="subsection"/>
      </w:pPr>
      <w:r w:rsidRPr="006E709F">
        <w:tab/>
        <w:t>(7)</w:t>
      </w:r>
      <w:r w:rsidRPr="006E709F">
        <w:tab/>
        <w:t>The CCIV:</w:t>
      </w:r>
    </w:p>
    <w:p w14:paraId="6ADF333B" w14:textId="77777777" w:rsidR="00E93F58" w:rsidRPr="006E709F" w:rsidRDefault="00E93F58" w:rsidP="00953984">
      <w:pPr>
        <w:pStyle w:val="paragraph"/>
      </w:pPr>
      <w:r w:rsidRPr="006E709F">
        <w:tab/>
        <w:t>(a)</w:t>
      </w:r>
      <w:r w:rsidRPr="006E709F">
        <w:tab/>
        <w:t>must provide information about how a member of the sub</w:t>
      </w:r>
      <w:r>
        <w:noBreakHyphen/>
      </w:r>
      <w:r w:rsidRPr="006E709F">
        <w:t>fund of the CCIV may switch the member’s investments; and</w:t>
      </w:r>
    </w:p>
    <w:p w14:paraId="0FBD435E" w14:textId="77777777" w:rsidR="00E93F58" w:rsidRPr="006E709F" w:rsidRDefault="00E93F58" w:rsidP="00953984">
      <w:pPr>
        <w:pStyle w:val="paragraph"/>
      </w:pPr>
      <w:r w:rsidRPr="006E709F">
        <w:tab/>
        <w:t>(b)</w:t>
      </w:r>
      <w:r w:rsidRPr="006E709F">
        <w:tab/>
        <w:t>must provide information about:</w:t>
      </w:r>
    </w:p>
    <w:p w14:paraId="6ACE1409" w14:textId="77777777" w:rsidR="00E93F58" w:rsidRPr="006E709F" w:rsidRDefault="00E93F58" w:rsidP="00953984">
      <w:pPr>
        <w:pStyle w:val="paragraphsub"/>
      </w:pPr>
      <w:r w:rsidRPr="006E709F">
        <w:tab/>
        <w:t>(i)</w:t>
      </w:r>
      <w:r w:rsidRPr="006E709F">
        <w:tab/>
        <w:t>whether the CCIV’s investment options may be changed; and</w:t>
      </w:r>
    </w:p>
    <w:p w14:paraId="7EE38185" w14:textId="77777777" w:rsidR="00E93F58" w:rsidRPr="006E709F" w:rsidRDefault="00E93F58" w:rsidP="00953984">
      <w:pPr>
        <w:pStyle w:val="paragraphsub"/>
      </w:pPr>
      <w:r w:rsidRPr="006E709F">
        <w:tab/>
        <w:t>(ii)</w:t>
      </w:r>
      <w:r w:rsidRPr="006E709F">
        <w:tab/>
        <w:t>if so, how the options may be changed; and</w:t>
      </w:r>
    </w:p>
    <w:p w14:paraId="78ECCD04" w14:textId="77777777" w:rsidR="00E93F58" w:rsidRPr="006E709F" w:rsidRDefault="00E93F58" w:rsidP="00953984">
      <w:pPr>
        <w:pStyle w:val="paragraph"/>
      </w:pPr>
      <w:r w:rsidRPr="006E709F">
        <w:tab/>
        <w:t>(c)</w:t>
      </w:r>
      <w:r w:rsidRPr="006E709F">
        <w:tab/>
        <w:t>must describe, in the form of a summary, the extent to which labour standards or environmental, social or ethical considerations are taken into account in the selection, retention or realisation of investments relating to the CCIV; and</w:t>
      </w:r>
    </w:p>
    <w:p w14:paraId="2F81FC7A" w14:textId="77777777" w:rsidR="00E93F58" w:rsidRPr="006E709F" w:rsidRDefault="00E93F58" w:rsidP="00953984">
      <w:pPr>
        <w:pStyle w:val="paragraph"/>
      </w:pPr>
      <w:r w:rsidRPr="006E709F">
        <w:tab/>
        <w:t>(d)</w:t>
      </w:r>
      <w:r w:rsidRPr="006E709F">
        <w:tab/>
        <w:t>may provide the information in paragraphs (a) to (c), and any additional information about investment options, by applying, adopting or incorporating a matter in writing.</w:t>
      </w:r>
    </w:p>
    <w:p w14:paraId="28BFAF0F" w14:textId="77777777" w:rsidR="00E93F58" w:rsidRPr="006E709F" w:rsidRDefault="00E93F58" w:rsidP="00953984">
      <w:pPr>
        <w:pStyle w:val="ActHead5"/>
      </w:pPr>
      <w:bookmarkStart w:id="3612" w:name="_Toc151992554"/>
      <w:bookmarkStart w:id="3613" w:name="_Toc158713591"/>
      <w:r w:rsidRPr="000C4237">
        <w:rPr>
          <w:rStyle w:val="CharSectno"/>
        </w:rPr>
        <w:t>8</w:t>
      </w:r>
      <w:r w:rsidRPr="006E709F">
        <w:t xml:space="preserve">  Contents of section 6 (Fees and costs)</w:t>
      </w:r>
      <w:bookmarkEnd w:id="3612"/>
      <w:bookmarkEnd w:id="3613"/>
    </w:p>
    <w:p w14:paraId="5CABAB03" w14:textId="77777777" w:rsidR="00E93F58" w:rsidRPr="006E709F" w:rsidRDefault="00E93F58" w:rsidP="00953984">
      <w:pPr>
        <w:pStyle w:val="subsection"/>
      </w:pPr>
      <w:r w:rsidRPr="006E709F">
        <w:tab/>
        <w:t>(1)</w:t>
      </w:r>
      <w:r w:rsidRPr="006E709F">
        <w:tab/>
        <w:t>For each investment option of the CCIV that is presented in section 5 in detail in accordance with subclause 7(3), section 6 of the Product Disclosure Statement must state:</w:t>
      </w:r>
    </w:p>
    <w:p w14:paraId="40CC86C1" w14:textId="77777777" w:rsidR="00E93F58" w:rsidRPr="006E709F" w:rsidRDefault="00E93F58" w:rsidP="00953984">
      <w:pPr>
        <w:pStyle w:val="paragraph"/>
      </w:pPr>
      <w:r w:rsidRPr="006E709F">
        <w:tab/>
        <w:t>(a)</w:t>
      </w:r>
      <w:r w:rsidRPr="006E709F">
        <w:tab/>
        <w:t>the cost of acquiring the option; and</w:t>
      </w:r>
    </w:p>
    <w:p w14:paraId="015A6CD7" w14:textId="77777777" w:rsidR="00E93F58" w:rsidRPr="006E709F" w:rsidRDefault="00E93F58" w:rsidP="00953984">
      <w:pPr>
        <w:pStyle w:val="paragraph"/>
      </w:pPr>
      <w:r w:rsidRPr="006E709F">
        <w:tab/>
        <w:t>(b)</w:t>
      </w:r>
      <w:r w:rsidRPr="006E709F">
        <w:tab/>
        <w:t>the fees and costs that are charged in relation to the option.</w:t>
      </w:r>
    </w:p>
    <w:p w14:paraId="050E159A" w14:textId="77777777" w:rsidR="00E93F58" w:rsidRPr="006E709F" w:rsidRDefault="00E93F58" w:rsidP="00953984">
      <w:pPr>
        <w:pStyle w:val="notetext"/>
      </w:pPr>
      <w:r w:rsidRPr="006E709F">
        <w:t>Note:</w:t>
      </w:r>
      <w:r w:rsidRPr="006E709F">
        <w:tab/>
        <w:t>The statement will be made using the template set out in subclause (3).</w:t>
      </w:r>
    </w:p>
    <w:p w14:paraId="085F6FD8" w14:textId="77777777" w:rsidR="00E93F58" w:rsidRPr="006E709F" w:rsidRDefault="00E93F58" w:rsidP="00953984">
      <w:pPr>
        <w:pStyle w:val="subsection"/>
      </w:pPr>
      <w:r w:rsidRPr="006E709F">
        <w:tab/>
        <w:t>(2)</w:t>
      </w:r>
      <w:r w:rsidRPr="006E709F">
        <w:tab/>
        <w:t>Before setting out any other substantive material, section 6 must:</w:t>
      </w:r>
    </w:p>
    <w:p w14:paraId="50526799" w14:textId="77777777" w:rsidR="00E93F58" w:rsidRPr="006E709F" w:rsidRDefault="00E93F58" w:rsidP="00953984">
      <w:pPr>
        <w:pStyle w:val="paragraph"/>
      </w:pPr>
      <w:r w:rsidRPr="006E709F">
        <w:tab/>
        <w:t>(a)</w:t>
      </w:r>
      <w:r w:rsidRPr="006E709F">
        <w:tab/>
        <w:t>set out the Consumer Advisory Warning in clause 221 of Schedule 10</w:t>
      </w:r>
      <w:r w:rsidRPr="006E709F">
        <w:rPr>
          <w:szCs w:val="22"/>
        </w:rPr>
        <w:t>; and</w:t>
      </w:r>
    </w:p>
    <w:p w14:paraId="045D4703" w14:textId="77777777" w:rsidR="00E93F58" w:rsidRPr="006E709F" w:rsidRDefault="00E93F58" w:rsidP="00953984">
      <w:pPr>
        <w:pStyle w:val="paragraph"/>
      </w:pPr>
      <w:r w:rsidRPr="006E709F">
        <w:lastRenderedPageBreak/>
        <w:tab/>
        <w:t>(b)</w:t>
      </w:r>
      <w:r w:rsidRPr="006E709F">
        <w:tab/>
        <w:t>give a concise example in the form set out in the Consumer Advisory Warning in clause 221 of Schedule 10.</w:t>
      </w:r>
    </w:p>
    <w:p w14:paraId="0979EF65" w14:textId="77777777" w:rsidR="00E93F58" w:rsidRPr="006E709F" w:rsidRDefault="00E93F58" w:rsidP="00953984">
      <w:pPr>
        <w:pStyle w:val="subsection"/>
      </w:pPr>
      <w:r w:rsidRPr="006E709F">
        <w:tab/>
        <w:t>(3)</w:t>
      </w:r>
      <w:r w:rsidRPr="006E709F">
        <w:tab/>
        <w:t>Section 6 must set out the fees and costs for each investment option that is presented in section 5 in detail in accordance with subclause 7(3), using the following template:</w:t>
      </w:r>
    </w:p>
    <w:p w14:paraId="25E1BD1A" w14:textId="77777777" w:rsidR="00E93F58" w:rsidRPr="006E709F" w:rsidRDefault="00E93F58" w:rsidP="00953984">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gridCol w:w="2781"/>
        <w:gridCol w:w="17"/>
      </w:tblGrid>
      <w:tr w:rsidR="00E93F58" w:rsidRPr="006E709F" w14:paraId="3F7B7760" w14:textId="77777777" w:rsidTr="00BC2B6B">
        <w:trPr>
          <w:gridAfter w:val="1"/>
          <w:wAfter w:w="8" w:type="pct"/>
          <w:cantSplit/>
          <w:tblHeader/>
        </w:trPr>
        <w:tc>
          <w:tcPr>
            <w:tcW w:w="3700" w:type="pct"/>
            <w:tcBorders>
              <w:top w:val="single" w:sz="4" w:space="0" w:color="auto"/>
              <w:left w:val="single" w:sz="4" w:space="0" w:color="auto"/>
              <w:bottom w:val="single" w:sz="4" w:space="0" w:color="auto"/>
              <w:right w:val="single" w:sz="4" w:space="0" w:color="auto"/>
            </w:tcBorders>
            <w:shd w:val="clear" w:color="auto" w:fill="C0C0C0"/>
            <w:hideMark/>
          </w:tcPr>
          <w:p w14:paraId="602045E4" w14:textId="77777777" w:rsidR="00E93F58" w:rsidRPr="006E709F" w:rsidRDefault="00E93F58" w:rsidP="00BC2B6B">
            <w:pPr>
              <w:keepLines/>
              <w:rPr>
                <w:szCs w:val="18"/>
              </w:rPr>
            </w:pPr>
            <w:r w:rsidRPr="006E709F">
              <w:rPr>
                <w:szCs w:val="18"/>
              </w:rPr>
              <w:t>TYPE OF FEE OR COST</w:t>
            </w:r>
          </w:p>
        </w:tc>
        <w:tc>
          <w:tcPr>
            <w:tcW w:w="1292" w:type="pct"/>
            <w:tcBorders>
              <w:top w:val="single" w:sz="4" w:space="0" w:color="auto"/>
              <w:left w:val="single" w:sz="4" w:space="0" w:color="auto"/>
              <w:bottom w:val="single" w:sz="4" w:space="0" w:color="auto"/>
              <w:right w:val="single" w:sz="4" w:space="0" w:color="auto"/>
            </w:tcBorders>
            <w:shd w:val="clear" w:color="auto" w:fill="C0C0C0"/>
            <w:hideMark/>
          </w:tcPr>
          <w:p w14:paraId="5126258D" w14:textId="77777777" w:rsidR="00E93F58" w:rsidRPr="006E709F" w:rsidRDefault="00E93F58" w:rsidP="00BC2B6B">
            <w:pPr>
              <w:keepLines/>
              <w:rPr>
                <w:szCs w:val="18"/>
              </w:rPr>
            </w:pPr>
            <w:r w:rsidRPr="006E709F">
              <w:rPr>
                <w:szCs w:val="18"/>
              </w:rPr>
              <w:t>AMOUNT</w:t>
            </w:r>
          </w:p>
        </w:tc>
      </w:tr>
      <w:tr w:rsidR="00E93F58" w:rsidRPr="006E709F" w14:paraId="43362688" w14:textId="77777777" w:rsidTr="00BC2B6B">
        <w:trPr>
          <w:gridAfter w:val="1"/>
          <w:wAfter w:w="8" w:type="pct"/>
        </w:trPr>
        <w:tc>
          <w:tcPr>
            <w:tcW w:w="37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E9F7FF4" w14:textId="77777777" w:rsidR="00E93F58" w:rsidRPr="006E709F" w:rsidRDefault="00E93F58" w:rsidP="00BC2B6B">
            <w:pPr>
              <w:keepLines/>
              <w:rPr>
                <w:i/>
                <w:sz w:val="16"/>
                <w:szCs w:val="18"/>
              </w:rPr>
            </w:pPr>
            <w:r w:rsidRPr="006E709F">
              <w:rPr>
                <w:szCs w:val="18"/>
              </w:rPr>
              <w:t>Fees when your money moves in or out of investment options of the CCIV</w:t>
            </w:r>
          </w:p>
        </w:tc>
        <w:tc>
          <w:tcPr>
            <w:tcW w:w="1292" w:type="pct"/>
            <w:tcBorders>
              <w:top w:val="single" w:sz="4" w:space="0" w:color="auto"/>
              <w:left w:val="single" w:sz="4" w:space="0" w:color="auto"/>
              <w:bottom w:val="single" w:sz="4" w:space="0" w:color="auto"/>
              <w:right w:val="single" w:sz="4" w:space="0" w:color="auto"/>
            </w:tcBorders>
            <w:shd w:val="clear" w:color="auto" w:fill="C0C0C0"/>
          </w:tcPr>
          <w:p w14:paraId="47FCAAED" w14:textId="77777777" w:rsidR="00E93F58" w:rsidRPr="006E709F" w:rsidRDefault="00E93F58" w:rsidP="00BC2B6B">
            <w:pPr>
              <w:keepLines/>
              <w:rPr>
                <w:b/>
                <w:szCs w:val="18"/>
              </w:rPr>
            </w:pPr>
          </w:p>
        </w:tc>
      </w:tr>
      <w:tr w:rsidR="00E93F58" w:rsidRPr="006E709F" w14:paraId="243AED22" w14:textId="77777777" w:rsidTr="00BC2B6B">
        <w:trPr>
          <w:gridAfter w:val="1"/>
          <w:wAfter w:w="8" w:type="pct"/>
        </w:trPr>
        <w:tc>
          <w:tcPr>
            <w:tcW w:w="3700" w:type="pct"/>
            <w:tcBorders>
              <w:top w:val="single" w:sz="4" w:space="0" w:color="auto"/>
              <w:left w:val="single" w:sz="4" w:space="0" w:color="auto"/>
              <w:bottom w:val="single" w:sz="4" w:space="0" w:color="auto"/>
              <w:right w:val="single" w:sz="4" w:space="0" w:color="auto"/>
            </w:tcBorders>
            <w:hideMark/>
          </w:tcPr>
          <w:p w14:paraId="0F71007B" w14:textId="77777777" w:rsidR="00E93F58" w:rsidRPr="006E709F" w:rsidRDefault="00E93F58" w:rsidP="00BC2B6B">
            <w:pPr>
              <w:pStyle w:val="Tabletext"/>
              <w:spacing w:after="120"/>
              <w:rPr>
                <w:i/>
              </w:rPr>
            </w:pPr>
            <w:r w:rsidRPr="006E709F">
              <w:rPr>
                <w:i/>
              </w:rPr>
              <w:t>Establishment fee</w:t>
            </w:r>
          </w:p>
        </w:tc>
        <w:tc>
          <w:tcPr>
            <w:tcW w:w="1292" w:type="pct"/>
            <w:tcBorders>
              <w:top w:val="single" w:sz="4" w:space="0" w:color="auto"/>
              <w:left w:val="single" w:sz="4" w:space="0" w:color="auto"/>
              <w:bottom w:val="single" w:sz="4" w:space="0" w:color="auto"/>
              <w:right w:val="single" w:sz="4" w:space="0" w:color="auto"/>
            </w:tcBorders>
          </w:tcPr>
          <w:p w14:paraId="7D2C36B0" w14:textId="77777777" w:rsidR="00E93F58" w:rsidRPr="006E709F" w:rsidRDefault="00E93F58" w:rsidP="00BC2B6B">
            <w:pPr>
              <w:pStyle w:val="Tabletext"/>
              <w:spacing w:after="120"/>
            </w:pPr>
          </w:p>
        </w:tc>
      </w:tr>
      <w:tr w:rsidR="00E93F58" w:rsidRPr="006E709F" w14:paraId="5CE13446" w14:textId="77777777" w:rsidTr="00BC2B6B">
        <w:trPr>
          <w:gridAfter w:val="1"/>
          <w:wAfter w:w="8" w:type="pct"/>
        </w:trPr>
        <w:tc>
          <w:tcPr>
            <w:tcW w:w="3700" w:type="pct"/>
            <w:tcBorders>
              <w:top w:val="single" w:sz="4" w:space="0" w:color="auto"/>
              <w:left w:val="single" w:sz="4" w:space="0" w:color="auto"/>
              <w:bottom w:val="single" w:sz="4" w:space="0" w:color="auto"/>
              <w:right w:val="single" w:sz="4" w:space="0" w:color="auto"/>
            </w:tcBorders>
            <w:vAlign w:val="center"/>
            <w:hideMark/>
          </w:tcPr>
          <w:p w14:paraId="03A7FA1C" w14:textId="77777777" w:rsidR="00E93F58" w:rsidRPr="006E709F" w:rsidRDefault="00E93F58" w:rsidP="00BC2B6B">
            <w:pPr>
              <w:pStyle w:val="Tabletext"/>
              <w:spacing w:after="120"/>
              <w:rPr>
                <w:i/>
              </w:rPr>
            </w:pPr>
            <w:r w:rsidRPr="006E709F">
              <w:rPr>
                <w:i/>
              </w:rPr>
              <w:t>Contribution fee</w:t>
            </w:r>
          </w:p>
        </w:tc>
        <w:tc>
          <w:tcPr>
            <w:tcW w:w="1292" w:type="pct"/>
            <w:tcBorders>
              <w:top w:val="single" w:sz="4" w:space="0" w:color="auto"/>
              <w:left w:val="single" w:sz="4" w:space="0" w:color="auto"/>
              <w:bottom w:val="single" w:sz="4" w:space="0" w:color="auto"/>
              <w:right w:val="single" w:sz="4" w:space="0" w:color="auto"/>
            </w:tcBorders>
          </w:tcPr>
          <w:p w14:paraId="5E32C5F5" w14:textId="77777777" w:rsidR="00E93F58" w:rsidRPr="006E709F" w:rsidRDefault="00E93F58" w:rsidP="00BC2B6B">
            <w:pPr>
              <w:pStyle w:val="Tabletext"/>
              <w:spacing w:after="120"/>
            </w:pPr>
          </w:p>
        </w:tc>
      </w:tr>
      <w:tr w:rsidR="00E93F58" w:rsidRPr="006E709F" w14:paraId="3960B6B3" w14:textId="77777777" w:rsidTr="00BC2B6B">
        <w:trPr>
          <w:gridAfter w:val="1"/>
          <w:wAfter w:w="8" w:type="pct"/>
        </w:trPr>
        <w:tc>
          <w:tcPr>
            <w:tcW w:w="3700" w:type="pct"/>
            <w:tcBorders>
              <w:top w:val="single" w:sz="4" w:space="0" w:color="auto"/>
              <w:left w:val="single" w:sz="4" w:space="0" w:color="auto"/>
              <w:bottom w:val="single" w:sz="4" w:space="0" w:color="auto"/>
              <w:right w:val="single" w:sz="4" w:space="0" w:color="auto"/>
            </w:tcBorders>
            <w:vAlign w:val="center"/>
            <w:hideMark/>
          </w:tcPr>
          <w:p w14:paraId="469F4D54" w14:textId="77777777" w:rsidR="00E93F58" w:rsidRPr="006E709F" w:rsidRDefault="00E93F58" w:rsidP="00BC2B6B">
            <w:pPr>
              <w:pStyle w:val="Tabletext"/>
              <w:spacing w:after="120"/>
              <w:rPr>
                <w:i/>
              </w:rPr>
            </w:pPr>
            <w:r w:rsidRPr="006E709F">
              <w:rPr>
                <w:i/>
              </w:rPr>
              <w:t>Withdrawal fee</w:t>
            </w:r>
          </w:p>
        </w:tc>
        <w:tc>
          <w:tcPr>
            <w:tcW w:w="1292" w:type="pct"/>
            <w:tcBorders>
              <w:top w:val="single" w:sz="4" w:space="0" w:color="auto"/>
              <w:left w:val="single" w:sz="4" w:space="0" w:color="auto"/>
              <w:bottom w:val="single" w:sz="4" w:space="0" w:color="auto"/>
              <w:right w:val="single" w:sz="4" w:space="0" w:color="auto"/>
            </w:tcBorders>
          </w:tcPr>
          <w:p w14:paraId="68665892" w14:textId="77777777" w:rsidR="00E93F58" w:rsidRPr="006E709F" w:rsidRDefault="00E93F58" w:rsidP="00BC2B6B">
            <w:pPr>
              <w:pStyle w:val="Tabletext"/>
              <w:spacing w:after="120"/>
            </w:pPr>
          </w:p>
        </w:tc>
      </w:tr>
      <w:tr w:rsidR="00E93F58" w:rsidRPr="006E709F" w14:paraId="24777C56" w14:textId="77777777" w:rsidTr="00BC2B6B">
        <w:trPr>
          <w:gridAfter w:val="1"/>
          <w:wAfter w:w="8" w:type="pct"/>
        </w:trPr>
        <w:tc>
          <w:tcPr>
            <w:tcW w:w="3700" w:type="pct"/>
            <w:tcBorders>
              <w:top w:val="single" w:sz="4" w:space="0" w:color="auto"/>
              <w:left w:val="single" w:sz="4" w:space="0" w:color="auto"/>
              <w:bottom w:val="single" w:sz="4" w:space="0" w:color="auto"/>
              <w:right w:val="single" w:sz="4" w:space="0" w:color="auto"/>
            </w:tcBorders>
            <w:vAlign w:val="center"/>
            <w:hideMark/>
          </w:tcPr>
          <w:p w14:paraId="4E4DCCD0" w14:textId="77777777" w:rsidR="00E93F58" w:rsidRPr="006E709F" w:rsidRDefault="00E93F58" w:rsidP="00BC2B6B">
            <w:pPr>
              <w:pStyle w:val="Tabletext"/>
              <w:spacing w:after="120"/>
              <w:rPr>
                <w:i/>
              </w:rPr>
            </w:pPr>
            <w:r w:rsidRPr="006E709F">
              <w:rPr>
                <w:i/>
              </w:rPr>
              <w:t>Termination fee</w:t>
            </w:r>
          </w:p>
        </w:tc>
        <w:tc>
          <w:tcPr>
            <w:tcW w:w="1292" w:type="pct"/>
            <w:tcBorders>
              <w:top w:val="single" w:sz="4" w:space="0" w:color="auto"/>
              <w:left w:val="single" w:sz="4" w:space="0" w:color="auto"/>
              <w:bottom w:val="single" w:sz="4" w:space="0" w:color="auto"/>
              <w:right w:val="single" w:sz="4" w:space="0" w:color="auto"/>
            </w:tcBorders>
          </w:tcPr>
          <w:p w14:paraId="19B734F6" w14:textId="77777777" w:rsidR="00E93F58" w:rsidRPr="006E709F" w:rsidRDefault="00E93F58" w:rsidP="00BC2B6B">
            <w:pPr>
              <w:pStyle w:val="Tabletext"/>
              <w:spacing w:after="120"/>
            </w:pPr>
          </w:p>
        </w:tc>
      </w:tr>
      <w:tr w:rsidR="00E93F58" w:rsidRPr="006E709F" w14:paraId="17A29819" w14:textId="77777777" w:rsidTr="00BC2B6B">
        <w:trPr>
          <w:gridAfter w:val="1"/>
          <w:wAfter w:w="8" w:type="pct"/>
        </w:trPr>
        <w:tc>
          <w:tcPr>
            <w:tcW w:w="37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E9C736" w14:textId="77777777" w:rsidR="00E93F58" w:rsidRPr="006E709F" w:rsidRDefault="00E93F58" w:rsidP="00BC2B6B">
            <w:pPr>
              <w:keepLines/>
              <w:rPr>
                <w:szCs w:val="18"/>
              </w:rPr>
            </w:pPr>
            <w:r w:rsidRPr="006E709F">
              <w:rPr>
                <w:szCs w:val="18"/>
              </w:rPr>
              <w:t>Management costs</w:t>
            </w:r>
          </w:p>
        </w:tc>
        <w:tc>
          <w:tcPr>
            <w:tcW w:w="1292" w:type="pct"/>
            <w:tcBorders>
              <w:top w:val="single" w:sz="4" w:space="0" w:color="auto"/>
              <w:left w:val="single" w:sz="4" w:space="0" w:color="auto"/>
              <w:bottom w:val="single" w:sz="4" w:space="0" w:color="auto"/>
              <w:right w:val="single" w:sz="4" w:space="0" w:color="auto"/>
            </w:tcBorders>
            <w:shd w:val="clear" w:color="auto" w:fill="C0C0C0"/>
          </w:tcPr>
          <w:p w14:paraId="218C1F89" w14:textId="77777777" w:rsidR="00E93F58" w:rsidRPr="006E709F" w:rsidRDefault="00E93F58" w:rsidP="00BC2B6B">
            <w:pPr>
              <w:keepLines/>
              <w:rPr>
                <w:szCs w:val="18"/>
              </w:rPr>
            </w:pPr>
          </w:p>
        </w:tc>
      </w:tr>
      <w:tr w:rsidR="00E93F58" w:rsidRPr="006E709F" w14:paraId="32C000C9" w14:textId="77777777" w:rsidTr="00BC2B6B">
        <w:tc>
          <w:tcPr>
            <w:tcW w:w="3700" w:type="pct"/>
          </w:tcPr>
          <w:p w14:paraId="53B1BBF1" w14:textId="77777777" w:rsidR="00E93F58" w:rsidRPr="006E709F" w:rsidRDefault="00E93F58" w:rsidP="00BC2B6B">
            <w:pPr>
              <w:pStyle w:val="Tabletext"/>
            </w:pPr>
            <w:r w:rsidRPr="006E709F">
              <w:rPr>
                <w:szCs w:val="18"/>
              </w:rPr>
              <w:t>The fees and costs for managing your investment</w:t>
            </w:r>
          </w:p>
        </w:tc>
        <w:tc>
          <w:tcPr>
            <w:tcW w:w="1300" w:type="pct"/>
            <w:gridSpan w:val="2"/>
          </w:tcPr>
          <w:p w14:paraId="6483E39E" w14:textId="77777777" w:rsidR="00E93F58" w:rsidRPr="006E709F" w:rsidRDefault="00E93F58" w:rsidP="00BC2B6B">
            <w:pPr>
              <w:pStyle w:val="Tabletext"/>
            </w:pPr>
          </w:p>
        </w:tc>
      </w:tr>
    </w:tbl>
    <w:p w14:paraId="0AEAF770" w14:textId="77777777" w:rsidR="00E93F58" w:rsidRPr="006E709F" w:rsidRDefault="00E93F58" w:rsidP="00953984">
      <w:pPr>
        <w:pStyle w:val="notetext"/>
        <w:spacing w:before="0"/>
        <w:ind w:left="1134" w:firstLine="0"/>
      </w:pPr>
      <w:r w:rsidRPr="006E709F">
        <w:rPr>
          <w:i/>
        </w:rPr>
        <w:t>[If there are other service fees, such as advisor service fees or special request fees, include a cross</w:t>
      </w:r>
      <w:r>
        <w:rPr>
          <w:i/>
        </w:rPr>
        <w:noBreakHyphen/>
      </w:r>
      <w:r w:rsidRPr="006E709F">
        <w:rPr>
          <w:i/>
        </w:rPr>
        <w:t>reference to the document that contains the information mentioned in paragraph (10)(a).]</w:t>
      </w:r>
      <w:r w:rsidRPr="006E709F">
        <w:t>.</w:t>
      </w:r>
    </w:p>
    <w:p w14:paraId="7323440C" w14:textId="77777777" w:rsidR="00E93F58" w:rsidRPr="006E709F" w:rsidRDefault="00E93F58" w:rsidP="00953984">
      <w:pPr>
        <w:pStyle w:val="subsection"/>
      </w:pPr>
      <w:r w:rsidRPr="006E709F">
        <w:tab/>
        <w:t>(4)</w:t>
      </w:r>
      <w:r w:rsidRPr="006E709F">
        <w:tab/>
        <w:t>The template is to be completed in accordance with Division 3 of Part 2 of Schedule 10 (including definitions applicable to that Division), except that:</w:t>
      </w:r>
    </w:p>
    <w:p w14:paraId="2AF681B0" w14:textId="77777777" w:rsidR="00E93F58" w:rsidRPr="006E709F" w:rsidRDefault="00E93F58" w:rsidP="00953984">
      <w:pPr>
        <w:pStyle w:val="paragraph"/>
      </w:pPr>
      <w:r w:rsidRPr="006E709F">
        <w:tab/>
        <w:t>(a)</w:t>
      </w:r>
      <w:r w:rsidRPr="006E709F">
        <w:tab/>
        <w:t>clauses 203, 205, 206 and 207 and subclause 208(2) do not apply; and</w:t>
      </w:r>
    </w:p>
    <w:p w14:paraId="4DDA0432" w14:textId="77777777" w:rsidR="00E93F58" w:rsidRPr="006E709F" w:rsidRDefault="00E93F58" w:rsidP="00953984">
      <w:pPr>
        <w:pStyle w:val="paragraph"/>
      </w:pPr>
      <w:r w:rsidRPr="006E709F">
        <w:tab/>
        <w:t>(b)</w:t>
      </w:r>
      <w:r w:rsidRPr="006E709F">
        <w:tab/>
        <w:t>the reference in clause 204 to clauses 205 and 206 does not apply; and</w:t>
      </w:r>
    </w:p>
    <w:p w14:paraId="3FDFC20A" w14:textId="77777777" w:rsidR="00E93F58" w:rsidRPr="006E709F" w:rsidRDefault="00E93F58" w:rsidP="00953984">
      <w:pPr>
        <w:pStyle w:val="paragraph"/>
      </w:pPr>
      <w:r w:rsidRPr="006E709F">
        <w:tab/>
        <w:t>(c)</w:t>
      </w:r>
      <w:r w:rsidRPr="006E709F">
        <w:tab/>
        <w:t>the example in subclause 208(1) is to be treated as stating:</w:t>
      </w:r>
    </w:p>
    <w:p w14:paraId="0623C53D" w14:textId="77777777" w:rsidR="00E93F58" w:rsidRPr="006E709F" w:rsidRDefault="00E93F58" w:rsidP="00953984">
      <w:pPr>
        <w:pStyle w:val="paragraph"/>
      </w:pPr>
      <w:r w:rsidRPr="006E709F">
        <w:tab/>
      </w:r>
      <w:r w:rsidRPr="006E709F">
        <w:tab/>
        <w:t>“(for example, by using an asterisk with a footnote stating ‘The amount of this fee can be negotiated.’)”.</w:t>
      </w:r>
    </w:p>
    <w:p w14:paraId="25527334" w14:textId="77777777" w:rsidR="00E93F58" w:rsidRPr="006E709F" w:rsidRDefault="00E93F58" w:rsidP="00953984">
      <w:pPr>
        <w:pStyle w:val="subsection"/>
      </w:pPr>
      <w:r w:rsidRPr="006E709F">
        <w:tab/>
        <w:t>(5)</w:t>
      </w:r>
      <w:r w:rsidRPr="006E709F">
        <w:tab/>
        <w:t>Section 6 must set out the information about fee changes set out in paragraph 209(k) of Schedule 10.</w:t>
      </w:r>
    </w:p>
    <w:p w14:paraId="671A54A6" w14:textId="77777777" w:rsidR="00E93F58" w:rsidRPr="006E709F" w:rsidRDefault="00E93F58" w:rsidP="00953984">
      <w:pPr>
        <w:pStyle w:val="subsection"/>
      </w:pPr>
      <w:r w:rsidRPr="006E709F">
        <w:tab/>
        <w:t>(6)</w:t>
      </w:r>
      <w:r w:rsidRPr="006E709F">
        <w:tab/>
        <w:t>Section 6 must:</w:t>
      </w:r>
    </w:p>
    <w:p w14:paraId="782E5E6F" w14:textId="77777777" w:rsidR="00E93F58" w:rsidRPr="006E709F" w:rsidRDefault="00E93F58" w:rsidP="00953984">
      <w:pPr>
        <w:pStyle w:val="paragraph"/>
      </w:pPr>
      <w:r w:rsidRPr="006E709F">
        <w:tab/>
        <w:t>(a)</w:t>
      </w:r>
      <w:r w:rsidRPr="006E709F">
        <w:tab/>
        <w:t>state that the information in the template can be used to compare costs between different simple sub</w:t>
      </w:r>
      <w:r>
        <w:noBreakHyphen/>
      </w:r>
      <w:r w:rsidRPr="006E709F">
        <w:t>fund products; and</w:t>
      </w:r>
    </w:p>
    <w:p w14:paraId="25E9CB60" w14:textId="77777777" w:rsidR="00E93F58" w:rsidRPr="006E709F" w:rsidRDefault="00E93F58" w:rsidP="00953984">
      <w:pPr>
        <w:pStyle w:val="paragraph"/>
      </w:pPr>
      <w:r w:rsidRPr="006E709F">
        <w:tab/>
        <w:t>(b)</w:t>
      </w:r>
      <w:r w:rsidRPr="006E709F">
        <w:tab/>
        <w:t>state concisely, and in general terms, that fees and costs can be paid directly from the person’s account or deducted from investment returns.</w:t>
      </w:r>
    </w:p>
    <w:p w14:paraId="152BEFE1" w14:textId="77777777" w:rsidR="00E93F58" w:rsidRPr="006E709F" w:rsidRDefault="00E93F58" w:rsidP="00953984">
      <w:pPr>
        <w:pStyle w:val="subsection"/>
      </w:pPr>
      <w:r w:rsidRPr="006E709F">
        <w:tab/>
        <w:t>(7)</w:t>
      </w:r>
      <w:r w:rsidRPr="006E709F">
        <w:tab/>
        <w:t>Section 6 must give a worked example as follows:</w:t>
      </w:r>
    </w:p>
    <w:p w14:paraId="519E4196" w14:textId="77777777" w:rsidR="00E93F58" w:rsidRPr="006E709F" w:rsidRDefault="00E93F58" w:rsidP="00953984">
      <w:pPr>
        <w:pStyle w:val="paragraph"/>
      </w:pPr>
      <w:r w:rsidRPr="006E709F">
        <w:tab/>
        <w:t>(a)</w:t>
      </w:r>
      <w:r w:rsidRPr="006E709F">
        <w:tab/>
        <w:t>if the CCIV does not have a balanced investment option (within the meaning given by clause 101 of Schedule 10), section 6 must give a worked example for the default investment option;</w:t>
      </w:r>
    </w:p>
    <w:p w14:paraId="3F46EFD5" w14:textId="77777777" w:rsidR="00E93F58" w:rsidRPr="006E709F" w:rsidRDefault="00E93F58" w:rsidP="00953984">
      <w:pPr>
        <w:pStyle w:val="paragraph"/>
      </w:pPr>
      <w:r w:rsidRPr="006E709F">
        <w:tab/>
        <w:t>(b)</w:t>
      </w:r>
      <w:r w:rsidRPr="006E709F">
        <w:tab/>
        <w:t>if the CCIV does not have a default option, and does not have a balanced investment option, section 6 must give a worked example for the investment option under which the CCIV has the most funds invested;</w:t>
      </w:r>
    </w:p>
    <w:p w14:paraId="1F6B9E24" w14:textId="77777777" w:rsidR="00E93F58" w:rsidRPr="006E709F" w:rsidRDefault="00E93F58" w:rsidP="00953984">
      <w:pPr>
        <w:pStyle w:val="subsection2"/>
      </w:pPr>
      <w:r w:rsidRPr="006E709F">
        <w:t>in accordance with Divisions 5 and 6 of Part 2 of Schedule 10 (including definitions applicable to those Divisions), except that clauses 211 and 220 do not apply.</w:t>
      </w:r>
    </w:p>
    <w:p w14:paraId="7E9E83CC" w14:textId="77777777" w:rsidR="00E93F58" w:rsidRPr="006E709F" w:rsidRDefault="00E93F58" w:rsidP="00953984">
      <w:pPr>
        <w:pStyle w:val="subsection"/>
      </w:pPr>
      <w:r w:rsidRPr="006E709F">
        <w:tab/>
        <w:t>(8)</w:t>
      </w:r>
      <w:r w:rsidRPr="006E709F">
        <w:tab/>
        <w:t>Section 6:</w:t>
      </w:r>
    </w:p>
    <w:p w14:paraId="22331635" w14:textId="77777777" w:rsidR="00E93F58" w:rsidRPr="006E709F" w:rsidRDefault="00E93F58" w:rsidP="00953984">
      <w:pPr>
        <w:pStyle w:val="paragraph"/>
      </w:pPr>
      <w:r w:rsidRPr="006E709F">
        <w:tab/>
        <w:t>(a)</w:t>
      </w:r>
      <w:r w:rsidRPr="006E709F">
        <w:tab/>
        <w:t>must refer to the calculator (if any) provided by ASIC on a website operated by or on behalf of ASIC; and</w:t>
      </w:r>
    </w:p>
    <w:p w14:paraId="1CE7B4B7" w14:textId="77777777" w:rsidR="00E93F58" w:rsidRPr="006E709F" w:rsidRDefault="00E93F58" w:rsidP="00953984">
      <w:pPr>
        <w:pStyle w:val="paragraph"/>
      </w:pPr>
      <w:r w:rsidRPr="006E709F">
        <w:tab/>
        <w:t>(b)</w:t>
      </w:r>
      <w:r w:rsidRPr="006E709F">
        <w:tab/>
        <w:t>may also refer to the calculator (if any) provided by the CCIV on its website; and</w:t>
      </w:r>
    </w:p>
    <w:p w14:paraId="000C9292" w14:textId="77777777" w:rsidR="00E93F58" w:rsidRPr="006E709F" w:rsidRDefault="00E93F58" w:rsidP="00953984">
      <w:pPr>
        <w:pStyle w:val="paragraph"/>
      </w:pPr>
      <w:r w:rsidRPr="006E709F">
        <w:tab/>
        <w:t>(c)</w:t>
      </w:r>
      <w:r w:rsidRPr="006E709F">
        <w:tab/>
        <w:t>must state that each calculator referred to can be used to calculate the effect of fees and costs on account balances.</w:t>
      </w:r>
    </w:p>
    <w:p w14:paraId="7D5FA674" w14:textId="77777777" w:rsidR="00E93F58" w:rsidRPr="006E709F" w:rsidRDefault="00E93F58" w:rsidP="00953984">
      <w:pPr>
        <w:pStyle w:val="subsection"/>
      </w:pPr>
      <w:r w:rsidRPr="006E709F">
        <w:tab/>
        <w:t>(9)</w:t>
      </w:r>
      <w:r w:rsidRPr="006E709F">
        <w:tab/>
        <w:t>If additional fees may be payable to a financial advisor, section 6 must:</w:t>
      </w:r>
    </w:p>
    <w:p w14:paraId="5981B1EB" w14:textId="77777777" w:rsidR="00E93F58" w:rsidRPr="006E709F" w:rsidRDefault="00E93F58" w:rsidP="00953984">
      <w:pPr>
        <w:pStyle w:val="paragraph"/>
      </w:pPr>
      <w:r w:rsidRPr="006E709F">
        <w:tab/>
        <w:t>(a)</w:t>
      </w:r>
      <w:r w:rsidRPr="006E709F">
        <w:tab/>
        <w:t>state, in the form of a warning, that additional fees may be paid to a financial advisor if a financial advisor is consulted; and</w:t>
      </w:r>
    </w:p>
    <w:p w14:paraId="5F935CB6" w14:textId="77777777" w:rsidR="00E93F58" w:rsidRPr="006E709F" w:rsidRDefault="00E93F58" w:rsidP="00953984">
      <w:pPr>
        <w:pStyle w:val="paragraph"/>
      </w:pPr>
      <w:r w:rsidRPr="006E709F">
        <w:tab/>
        <w:t>(b)</w:t>
      </w:r>
      <w:r w:rsidRPr="006E709F">
        <w:tab/>
        <w:t>refer to the Statement of Advice in which details of the fees are set out.</w:t>
      </w:r>
    </w:p>
    <w:p w14:paraId="335891E0" w14:textId="77777777" w:rsidR="00E93F58" w:rsidRPr="006E709F" w:rsidRDefault="00E93F58" w:rsidP="00953984">
      <w:pPr>
        <w:pStyle w:val="subsection"/>
      </w:pPr>
      <w:r w:rsidRPr="006E709F">
        <w:tab/>
        <w:t>(10)</w:t>
      </w:r>
      <w:r w:rsidRPr="006E709F">
        <w:tab/>
        <w:t>The CCIV:</w:t>
      </w:r>
    </w:p>
    <w:p w14:paraId="67E11D75" w14:textId="77777777" w:rsidR="00E93F58" w:rsidRPr="006E709F" w:rsidRDefault="00E93F58" w:rsidP="00953984">
      <w:pPr>
        <w:pStyle w:val="paragraph"/>
      </w:pPr>
      <w:r w:rsidRPr="006E709F">
        <w:tab/>
        <w:t>(a)</w:t>
      </w:r>
      <w:r w:rsidRPr="006E709F">
        <w:tab/>
        <w:t>must provide the fees and costs of each of the investment options in accordance with Schedule 10, and may do so by applying, adopting or incorporating a matter in writing; and</w:t>
      </w:r>
    </w:p>
    <w:p w14:paraId="4233FE9A" w14:textId="77777777" w:rsidR="00E93F58" w:rsidRPr="006E709F" w:rsidRDefault="00E93F58" w:rsidP="00953984">
      <w:pPr>
        <w:pStyle w:val="paragraph"/>
      </w:pPr>
      <w:r w:rsidRPr="006E709F">
        <w:lastRenderedPageBreak/>
        <w:tab/>
        <w:t>(b)</w:t>
      </w:r>
      <w:r w:rsidRPr="006E709F">
        <w:tab/>
        <w:t>may provide more detailed information about fees and costs by applying, adopting or incorporating a matter in writing.</w:t>
      </w:r>
    </w:p>
    <w:p w14:paraId="5FBB1F67" w14:textId="77777777" w:rsidR="00E93F58" w:rsidRPr="006E709F" w:rsidRDefault="00E93F58" w:rsidP="00953984">
      <w:pPr>
        <w:pStyle w:val="ActHead5"/>
      </w:pPr>
      <w:bookmarkStart w:id="3614" w:name="_Toc151992555"/>
      <w:bookmarkStart w:id="3615" w:name="_Toc158713592"/>
      <w:r w:rsidRPr="000C4237">
        <w:rPr>
          <w:rStyle w:val="CharSectno"/>
        </w:rPr>
        <w:t>9</w:t>
      </w:r>
      <w:r w:rsidRPr="006E709F">
        <w:t xml:space="preserve">  Contents of section 7 (How sub</w:t>
      </w:r>
      <w:r>
        <w:noBreakHyphen/>
      </w:r>
      <w:r w:rsidRPr="006E709F">
        <w:t>funds of CCIVs are taxed)</w:t>
      </w:r>
      <w:bookmarkEnd w:id="3614"/>
      <w:bookmarkEnd w:id="3615"/>
    </w:p>
    <w:p w14:paraId="28B09ADF" w14:textId="77777777" w:rsidR="00E93F58" w:rsidRPr="006E709F" w:rsidRDefault="00E93F58" w:rsidP="00953984">
      <w:pPr>
        <w:pStyle w:val="subsection"/>
      </w:pPr>
      <w:r w:rsidRPr="006E709F">
        <w:tab/>
        <w:t>(1)</w:t>
      </w:r>
      <w:r w:rsidRPr="006E709F">
        <w:tab/>
        <w:t>Section 7 of the Product Disclosure Statement for the simple sub</w:t>
      </w:r>
      <w:r>
        <w:noBreakHyphen/>
      </w:r>
      <w:r w:rsidRPr="006E709F">
        <w:t>fund product must state, in the form of a warning, that:</w:t>
      </w:r>
    </w:p>
    <w:p w14:paraId="1A32186F" w14:textId="77777777" w:rsidR="00E93F58" w:rsidRPr="006E709F" w:rsidRDefault="00E93F58" w:rsidP="00953984">
      <w:pPr>
        <w:pStyle w:val="paragraph"/>
      </w:pPr>
      <w:r w:rsidRPr="006E709F">
        <w:tab/>
        <w:t>(a)</w:t>
      </w:r>
      <w:r w:rsidRPr="006E709F">
        <w:tab/>
        <w:t>investing in a simple sub</w:t>
      </w:r>
      <w:r>
        <w:noBreakHyphen/>
      </w:r>
      <w:r w:rsidRPr="006E709F">
        <w:t>fund product is likely to have tax consequences; and</w:t>
      </w:r>
    </w:p>
    <w:p w14:paraId="0EE00F60" w14:textId="77777777" w:rsidR="00E93F58" w:rsidRPr="006E709F" w:rsidRDefault="00E93F58" w:rsidP="00953984">
      <w:pPr>
        <w:pStyle w:val="paragraph"/>
      </w:pPr>
      <w:r w:rsidRPr="006E709F">
        <w:tab/>
        <w:t>(b)</w:t>
      </w:r>
      <w:r w:rsidRPr="006E709F">
        <w:tab/>
        <w:t>persons are strongly advised to seek professional tax advice.</w:t>
      </w:r>
    </w:p>
    <w:p w14:paraId="44BAA06E" w14:textId="77777777" w:rsidR="00E93F58" w:rsidRPr="006E709F" w:rsidRDefault="00E93F58" w:rsidP="00953984">
      <w:pPr>
        <w:pStyle w:val="subsection"/>
      </w:pPr>
      <w:r w:rsidRPr="006E709F">
        <w:tab/>
        <w:t>(2)</w:t>
      </w:r>
      <w:r w:rsidRPr="006E709F">
        <w:tab/>
        <w:t>Section 7 must also include statements to the following effect:</w:t>
      </w:r>
    </w:p>
    <w:p w14:paraId="46A96B89" w14:textId="77777777" w:rsidR="00E93F58" w:rsidRPr="006E709F" w:rsidRDefault="00E93F58" w:rsidP="00953984">
      <w:pPr>
        <w:pStyle w:val="paragraph"/>
      </w:pPr>
      <w:r w:rsidRPr="006E709F">
        <w:tab/>
        <w:t>(a)</w:t>
      </w:r>
      <w:r w:rsidRPr="006E709F">
        <w:tab/>
        <w:t>CCIVs and sub</w:t>
      </w:r>
      <w:r>
        <w:noBreakHyphen/>
      </w:r>
      <w:r w:rsidRPr="006E709F">
        <w:t>funds do not pay tax on behalf of members;</w:t>
      </w:r>
    </w:p>
    <w:p w14:paraId="6C8F3CDC" w14:textId="77777777" w:rsidR="00E93F58" w:rsidRPr="006E709F" w:rsidRDefault="00E93F58" w:rsidP="00953984">
      <w:pPr>
        <w:pStyle w:val="paragraph"/>
      </w:pPr>
      <w:r w:rsidRPr="006E709F">
        <w:tab/>
        <w:t>(b)</w:t>
      </w:r>
      <w:r w:rsidRPr="006E709F">
        <w:tab/>
        <w:t>members of the sub</w:t>
      </w:r>
      <w:r>
        <w:noBreakHyphen/>
      </w:r>
      <w:r w:rsidRPr="006E709F">
        <w:t>fund are assessed for tax on any income and capital gains generated by the sub</w:t>
      </w:r>
      <w:r>
        <w:noBreakHyphen/>
      </w:r>
      <w:r w:rsidRPr="006E709F">
        <w:t>fund.</w:t>
      </w:r>
    </w:p>
    <w:p w14:paraId="4E1EB8CF" w14:textId="77777777" w:rsidR="00E93F58" w:rsidRPr="006E709F" w:rsidRDefault="00E93F58" w:rsidP="00953984">
      <w:pPr>
        <w:pStyle w:val="subsection"/>
      </w:pPr>
      <w:r w:rsidRPr="006E709F">
        <w:tab/>
        <w:t>(3)</w:t>
      </w:r>
      <w:r w:rsidRPr="006E709F">
        <w:tab/>
        <w:t>The CCIV may provide additional information about:</w:t>
      </w:r>
    </w:p>
    <w:p w14:paraId="0BA4C4D4" w14:textId="77777777" w:rsidR="00E93F58" w:rsidRPr="006E709F" w:rsidRDefault="00E93F58" w:rsidP="00953984">
      <w:pPr>
        <w:pStyle w:val="paragraph"/>
      </w:pPr>
      <w:r w:rsidRPr="006E709F">
        <w:tab/>
        <w:t>(a)</w:t>
      </w:r>
      <w:r w:rsidRPr="006E709F">
        <w:tab/>
        <w:t>taxation matters relating to the sub</w:t>
      </w:r>
      <w:r>
        <w:noBreakHyphen/>
      </w:r>
      <w:r w:rsidRPr="006E709F">
        <w:t>fund of the CCIV; or</w:t>
      </w:r>
    </w:p>
    <w:p w14:paraId="4B1FB482" w14:textId="77777777" w:rsidR="00E93F58" w:rsidRPr="006E709F" w:rsidRDefault="00E93F58" w:rsidP="00953984">
      <w:pPr>
        <w:pStyle w:val="paragraph"/>
      </w:pPr>
      <w:r w:rsidRPr="006E709F">
        <w:tab/>
        <w:t>(b)</w:t>
      </w:r>
      <w:r w:rsidRPr="006E709F">
        <w:tab/>
        <w:t>taxation matters relating to sub</w:t>
      </w:r>
      <w:r>
        <w:noBreakHyphen/>
      </w:r>
      <w:r w:rsidRPr="006E709F">
        <w:t>funds of CCIVs;</w:t>
      </w:r>
    </w:p>
    <w:p w14:paraId="1A5CC19C" w14:textId="77777777" w:rsidR="00E93F58" w:rsidRPr="006E709F" w:rsidRDefault="00E93F58" w:rsidP="00953984">
      <w:pPr>
        <w:pStyle w:val="subsection2"/>
      </w:pPr>
      <w:r w:rsidRPr="006E709F">
        <w:t>by applying, adopting or incorporating a matter in writing.</w:t>
      </w:r>
    </w:p>
    <w:p w14:paraId="737C441A" w14:textId="77777777" w:rsidR="00E93F58" w:rsidRPr="006E709F" w:rsidRDefault="00E93F58" w:rsidP="00953984">
      <w:pPr>
        <w:pStyle w:val="notetext"/>
      </w:pPr>
      <w:r w:rsidRPr="006E709F">
        <w:t>Note:</w:t>
      </w:r>
      <w:r w:rsidRPr="006E709F">
        <w:tab/>
        <w:t>For taxation matters relating to sub</w:t>
      </w:r>
      <w:r>
        <w:noBreakHyphen/>
      </w:r>
      <w:r w:rsidRPr="006E709F">
        <w:t>funds of CCIVs, see Subdivision 195</w:t>
      </w:r>
      <w:r>
        <w:noBreakHyphen/>
      </w:r>
      <w:r w:rsidRPr="006E709F">
        <w:t xml:space="preserve">C of the </w:t>
      </w:r>
      <w:r w:rsidRPr="006E709F">
        <w:rPr>
          <w:i/>
        </w:rPr>
        <w:t>Income Tax Assessment Act 1997</w:t>
      </w:r>
      <w:r w:rsidRPr="006E709F">
        <w:t>.</w:t>
      </w:r>
    </w:p>
    <w:p w14:paraId="014D8FC3" w14:textId="77777777" w:rsidR="00E93F58" w:rsidRPr="006E709F" w:rsidRDefault="00E93F58" w:rsidP="00953984">
      <w:pPr>
        <w:pStyle w:val="ActHead5"/>
      </w:pPr>
      <w:bookmarkStart w:id="3616" w:name="_Toc151992556"/>
      <w:bookmarkStart w:id="3617" w:name="_Toc158713593"/>
      <w:r w:rsidRPr="000C4237">
        <w:rPr>
          <w:rStyle w:val="CharSectno"/>
        </w:rPr>
        <w:t>10</w:t>
      </w:r>
      <w:r w:rsidRPr="006E709F">
        <w:t xml:space="preserve">  Contents of section 8 (How to apply)</w:t>
      </w:r>
      <w:bookmarkEnd w:id="3616"/>
      <w:bookmarkEnd w:id="3617"/>
    </w:p>
    <w:p w14:paraId="1790D820" w14:textId="77777777" w:rsidR="00E93F58" w:rsidRPr="006E709F" w:rsidRDefault="00E93F58" w:rsidP="00953984">
      <w:pPr>
        <w:pStyle w:val="subsection"/>
      </w:pPr>
      <w:r w:rsidRPr="006E709F">
        <w:tab/>
        <w:t>(1)</w:t>
      </w:r>
      <w:r w:rsidRPr="006E709F">
        <w:tab/>
        <w:t>Section 8 of the Product Disclosure Statement for the simple sub</w:t>
      </w:r>
      <w:r>
        <w:noBreakHyphen/>
      </w:r>
      <w:r w:rsidRPr="006E709F">
        <w:t>fund product must:</w:t>
      </w:r>
    </w:p>
    <w:p w14:paraId="2AC00484" w14:textId="77777777" w:rsidR="00E93F58" w:rsidRPr="006E709F" w:rsidRDefault="00E93F58" w:rsidP="00953984">
      <w:pPr>
        <w:pStyle w:val="paragraph"/>
      </w:pPr>
      <w:r w:rsidRPr="006E709F">
        <w:tab/>
        <w:t>(a)</w:t>
      </w:r>
      <w:r w:rsidRPr="006E709F">
        <w:tab/>
        <w:t>describe, in the form of a summary, how to invest in the simple sub</w:t>
      </w:r>
      <w:r>
        <w:noBreakHyphen/>
      </w:r>
      <w:r w:rsidRPr="006E709F">
        <w:t>fund product; and</w:t>
      </w:r>
    </w:p>
    <w:p w14:paraId="237A0679" w14:textId="77777777" w:rsidR="00E93F58" w:rsidRPr="006E709F" w:rsidRDefault="00E93F58" w:rsidP="00953984">
      <w:pPr>
        <w:pStyle w:val="paragraph"/>
      </w:pPr>
      <w:r w:rsidRPr="006E709F">
        <w:tab/>
        <w:t>(b)</w:t>
      </w:r>
      <w:r w:rsidRPr="006E709F">
        <w:tab/>
        <w:t>explain the cooling</w:t>
      </w:r>
      <w:r>
        <w:noBreakHyphen/>
      </w:r>
      <w:r w:rsidRPr="006E709F">
        <w:t>off period that applies to the simple sub</w:t>
      </w:r>
      <w:r>
        <w:noBreakHyphen/>
      </w:r>
      <w:r w:rsidRPr="006E709F">
        <w:t>fund product; and</w:t>
      </w:r>
    </w:p>
    <w:p w14:paraId="1B5708DE" w14:textId="77777777" w:rsidR="00E93F58" w:rsidRPr="006E709F" w:rsidRDefault="00E93F58" w:rsidP="00953984">
      <w:pPr>
        <w:pStyle w:val="paragraph"/>
      </w:pPr>
      <w:r w:rsidRPr="006E709F">
        <w:tab/>
        <w:t>(c)</w:t>
      </w:r>
      <w:r w:rsidRPr="006E709F">
        <w:tab/>
        <w:t>explain how to make a complaint (by means that include the provision of relevant contact details).</w:t>
      </w:r>
    </w:p>
    <w:p w14:paraId="74FBF19E" w14:textId="77777777" w:rsidR="00E93F58" w:rsidRPr="006E709F" w:rsidRDefault="00E93F58" w:rsidP="00953984">
      <w:pPr>
        <w:pStyle w:val="subsection"/>
      </w:pPr>
      <w:r w:rsidRPr="006E709F">
        <w:tab/>
        <w:t>(2)</w:t>
      </w:r>
      <w:r w:rsidRPr="006E709F">
        <w:tab/>
        <w:t>The CCIV:</w:t>
      </w:r>
    </w:p>
    <w:p w14:paraId="00712F1A" w14:textId="77777777" w:rsidR="00E93F58" w:rsidRPr="006E709F" w:rsidRDefault="00E93F58" w:rsidP="00953984">
      <w:pPr>
        <w:pStyle w:val="paragraph"/>
      </w:pPr>
      <w:r w:rsidRPr="006E709F">
        <w:tab/>
        <w:t>(a)</w:t>
      </w:r>
      <w:r w:rsidRPr="006E709F">
        <w:tab/>
        <w:t>may provide more detailed information about cooling</w:t>
      </w:r>
      <w:r>
        <w:noBreakHyphen/>
      </w:r>
      <w:r w:rsidRPr="006E709F">
        <w:t>off periods, complaints and dispute resolution; and</w:t>
      </w:r>
    </w:p>
    <w:p w14:paraId="1128BB82" w14:textId="77777777" w:rsidR="00E93F58" w:rsidRPr="006E709F" w:rsidRDefault="00E93F58" w:rsidP="00953984">
      <w:pPr>
        <w:pStyle w:val="paragraph"/>
      </w:pPr>
      <w:r w:rsidRPr="006E709F">
        <w:tab/>
        <w:t>(b)</w:t>
      </w:r>
      <w:r w:rsidRPr="006E709F">
        <w:tab/>
        <w:t>may provide that information by applying, adopting or incorporating a matter in writing.</w:t>
      </w:r>
    </w:p>
    <w:p w14:paraId="4FFAD9EE" w14:textId="77777777" w:rsidR="00E93F58" w:rsidRPr="006E709F" w:rsidRDefault="00E93F58" w:rsidP="009244F1">
      <w:pPr>
        <w:pStyle w:val="ActHead1"/>
        <w:pageBreakBefore/>
      </w:pPr>
      <w:bookmarkStart w:id="3618" w:name="_Toc151992557"/>
      <w:bookmarkStart w:id="3619" w:name="_Toc158713594"/>
      <w:r w:rsidRPr="000C4237">
        <w:rPr>
          <w:rStyle w:val="CharChapNo"/>
        </w:rPr>
        <w:lastRenderedPageBreak/>
        <w:t>Schedule 11</w:t>
      </w:r>
      <w:r w:rsidRPr="006E709F">
        <w:t>—</w:t>
      </w:r>
      <w:r w:rsidRPr="000C4237">
        <w:rPr>
          <w:rStyle w:val="CharChapText"/>
        </w:rPr>
        <w:t>Persons who are not covered by section 1433 of the Act</w:t>
      </w:r>
      <w:bookmarkEnd w:id="3618"/>
      <w:bookmarkEnd w:id="3619"/>
    </w:p>
    <w:p w14:paraId="65875D92" w14:textId="77777777" w:rsidR="00E93F58" w:rsidRPr="006E709F" w:rsidRDefault="00E93F58" w:rsidP="00A801D0">
      <w:pPr>
        <w:pStyle w:val="notemargin"/>
      </w:pPr>
      <w:r w:rsidRPr="006E709F">
        <w:t>(regulation 10.2.36)</w:t>
      </w:r>
    </w:p>
    <w:p w14:paraId="151D8947"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2928171A" w14:textId="77777777" w:rsidR="00E93F58" w:rsidRPr="006E709F" w:rsidRDefault="00E93F58" w:rsidP="00A801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996"/>
        <w:gridCol w:w="6065"/>
        <w:gridCol w:w="3712"/>
      </w:tblGrid>
      <w:tr w:rsidR="00E93F58" w:rsidRPr="006E709F" w14:paraId="37393093" w14:textId="77777777" w:rsidTr="00E118FA">
        <w:trPr>
          <w:tblHeader/>
        </w:trPr>
        <w:tc>
          <w:tcPr>
            <w:tcW w:w="462" w:type="pct"/>
            <w:tcBorders>
              <w:top w:val="single" w:sz="12" w:space="0" w:color="auto"/>
              <w:bottom w:val="single" w:sz="12" w:space="0" w:color="auto"/>
            </w:tcBorders>
            <w:shd w:val="clear" w:color="auto" w:fill="auto"/>
          </w:tcPr>
          <w:p w14:paraId="020AFDAA" w14:textId="77777777" w:rsidR="00E93F58" w:rsidRPr="006E709F" w:rsidRDefault="00E93F58" w:rsidP="00C44525">
            <w:pPr>
              <w:pStyle w:val="TableHeading"/>
            </w:pPr>
            <w:r w:rsidRPr="006E709F">
              <w:t>Item</w:t>
            </w:r>
          </w:p>
        </w:tc>
        <w:tc>
          <w:tcPr>
            <w:tcW w:w="2815" w:type="pct"/>
            <w:tcBorders>
              <w:top w:val="single" w:sz="12" w:space="0" w:color="auto"/>
              <w:bottom w:val="single" w:sz="12" w:space="0" w:color="auto"/>
            </w:tcBorders>
            <w:shd w:val="clear" w:color="auto" w:fill="auto"/>
          </w:tcPr>
          <w:p w14:paraId="7AB22597" w14:textId="77777777" w:rsidR="00E93F58" w:rsidRPr="006E709F" w:rsidRDefault="00E93F58" w:rsidP="00C44525">
            <w:pPr>
              <w:pStyle w:val="TableHeading"/>
            </w:pPr>
            <w:r w:rsidRPr="006E709F">
              <w:t>Person</w:t>
            </w:r>
          </w:p>
        </w:tc>
        <w:tc>
          <w:tcPr>
            <w:tcW w:w="1723" w:type="pct"/>
            <w:tcBorders>
              <w:top w:val="single" w:sz="12" w:space="0" w:color="auto"/>
              <w:bottom w:val="single" w:sz="12" w:space="0" w:color="auto"/>
            </w:tcBorders>
            <w:shd w:val="clear" w:color="auto" w:fill="auto"/>
          </w:tcPr>
          <w:p w14:paraId="1F5912F6" w14:textId="77777777" w:rsidR="00E93F58" w:rsidRPr="006E709F" w:rsidRDefault="00E93F58" w:rsidP="00C44525">
            <w:pPr>
              <w:pStyle w:val="TableHeading"/>
            </w:pPr>
            <w:r w:rsidRPr="006E709F">
              <w:t>Period</w:t>
            </w:r>
          </w:p>
        </w:tc>
      </w:tr>
      <w:tr w:rsidR="00E93F58" w:rsidRPr="006E709F" w14:paraId="38F41A0D" w14:textId="77777777" w:rsidTr="00E118FA">
        <w:tc>
          <w:tcPr>
            <w:tcW w:w="462" w:type="pct"/>
            <w:tcBorders>
              <w:top w:val="single" w:sz="12" w:space="0" w:color="auto"/>
            </w:tcBorders>
            <w:shd w:val="clear" w:color="auto" w:fill="auto"/>
          </w:tcPr>
          <w:p w14:paraId="28093CA3" w14:textId="77777777" w:rsidR="00E93F58" w:rsidRPr="006E709F" w:rsidRDefault="00E93F58" w:rsidP="00A801D0">
            <w:pPr>
              <w:pStyle w:val="Tabletext"/>
            </w:pPr>
            <w:r w:rsidRPr="006E709F">
              <w:rPr>
                <w:szCs w:val="22"/>
              </w:rPr>
              <w:t>1</w:t>
            </w:r>
          </w:p>
        </w:tc>
        <w:tc>
          <w:tcPr>
            <w:tcW w:w="2815" w:type="pct"/>
            <w:tcBorders>
              <w:top w:val="single" w:sz="12" w:space="0" w:color="auto"/>
            </w:tcBorders>
            <w:shd w:val="clear" w:color="auto" w:fill="auto"/>
          </w:tcPr>
          <w:p w14:paraId="05680CC4" w14:textId="77777777" w:rsidR="00E93F58" w:rsidRPr="006E709F" w:rsidRDefault="00E93F58" w:rsidP="00A801D0">
            <w:pPr>
              <w:pStyle w:val="Tabletext"/>
            </w:pPr>
            <w:r w:rsidRPr="006E709F">
              <w:rPr>
                <w:szCs w:val="22"/>
              </w:rPr>
              <w:t>A person who is or has been an insolvent under administration</w:t>
            </w:r>
          </w:p>
        </w:tc>
        <w:tc>
          <w:tcPr>
            <w:tcW w:w="1723" w:type="pct"/>
            <w:tcBorders>
              <w:top w:val="single" w:sz="12" w:space="0" w:color="auto"/>
            </w:tcBorders>
            <w:shd w:val="clear" w:color="auto" w:fill="auto"/>
          </w:tcPr>
          <w:p w14:paraId="03BE5CA0" w14:textId="77777777" w:rsidR="00E93F58" w:rsidRPr="006E709F" w:rsidRDefault="00E93F58" w:rsidP="00A801D0">
            <w:pPr>
              <w:pStyle w:val="Tabletext"/>
            </w:pPr>
            <w:r w:rsidRPr="006E709F">
              <w:rPr>
                <w:szCs w:val="22"/>
              </w:rPr>
              <w:t>5 years after the start of the administration</w:t>
            </w:r>
          </w:p>
        </w:tc>
      </w:tr>
      <w:tr w:rsidR="00E93F58" w:rsidRPr="006E709F" w14:paraId="6DEF37C9" w14:textId="77777777" w:rsidTr="00E118FA">
        <w:tc>
          <w:tcPr>
            <w:tcW w:w="462" w:type="pct"/>
            <w:shd w:val="clear" w:color="auto" w:fill="auto"/>
          </w:tcPr>
          <w:p w14:paraId="079839D8" w14:textId="77777777" w:rsidR="00E93F58" w:rsidRPr="006E709F" w:rsidRDefault="00E93F58" w:rsidP="00A801D0">
            <w:pPr>
              <w:pStyle w:val="Tabletext"/>
            </w:pPr>
            <w:r w:rsidRPr="006E709F">
              <w:rPr>
                <w:szCs w:val="22"/>
              </w:rPr>
              <w:t>2</w:t>
            </w:r>
          </w:p>
        </w:tc>
        <w:tc>
          <w:tcPr>
            <w:tcW w:w="2815" w:type="pct"/>
            <w:shd w:val="clear" w:color="auto" w:fill="auto"/>
          </w:tcPr>
          <w:p w14:paraId="75EFD421" w14:textId="77777777" w:rsidR="00E93F58" w:rsidRPr="006E709F" w:rsidRDefault="00E93F58" w:rsidP="009244F1">
            <w:pPr>
              <w:pStyle w:val="Tabletext"/>
            </w:pPr>
            <w:r w:rsidRPr="006E709F">
              <w:rPr>
                <w:szCs w:val="22"/>
              </w:rPr>
              <w:t xml:space="preserve">A body corporate that has been </w:t>
            </w:r>
            <w:r w:rsidRPr="006E709F">
              <w:t>a Chapter 5 body corporate</w:t>
            </w:r>
          </w:p>
        </w:tc>
        <w:tc>
          <w:tcPr>
            <w:tcW w:w="1723" w:type="pct"/>
            <w:shd w:val="clear" w:color="auto" w:fill="auto"/>
          </w:tcPr>
          <w:p w14:paraId="0CA9ECD4" w14:textId="77777777" w:rsidR="00E93F58" w:rsidRPr="006E709F" w:rsidRDefault="00E93F58" w:rsidP="00A801D0">
            <w:pPr>
              <w:pStyle w:val="Tabletext"/>
            </w:pPr>
            <w:r w:rsidRPr="006E709F">
              <w:rPr>
                <w:szCs w:val="22"/>
              </w:rPr>
              <w:t>5 years after the start of the administration</w:t>
            </w:r>
          </w:p>
        </w:tc>
      </w:tr>
      <w:tr w:rsidR="00E93F58" w:rsidRPr="006E709F" w14:paraId="3DAEB395" w14:textId="77777777" w:rsidTr="00E118FA">
        <w:tc>
          <w:tcPr>
            <w:tcW w:w="462" w:type="pct"/>
            <w:shd w:val="clear" w:color="auto" w:fill="auto"/>
          </w:tcPr>
          <w:p w14:paraId="0D3C11C2" w14:textId="77777777" w:rsidR="00E93F58" w:rsidRPr="006E709F" w:rsidRDefault="00E93F58" w:rsidP="00A801D0">
            <w:pPr>
              <w:pStyle w:val="Tabletext"/>
            </w:pPr>
            <w:r w:rsidRPr="006E709F">
              <w:rPr>
                <w:szCs w:val="22"/>
              </w:rPr>
              <w:t>3</w:t>
            </w:r>
          </w:p>
        </w:tc>
        <w:tc>
          <w:tcPr>
            <w:tcW w:w="2815" w:type="pct"/>
            <w:shd w:val="clear" w:color="auto" w:fill="auto"/>
          </w:tcPr>
          <w:p w14:paraId="5481FD24" w14:textId="77777777" w:rsidR="00E93F58" w:rsidRPr="006E709F" w:rsidRDefault="00E93F58" w:rsidP="00A801D0">
            <w:pPr>
              <w:pStyle w:val="Tabletext"/>
            </w:pPr>
            <w:r w:rsidRPr="006E709F">
              <w:rPr>
                <w:szCs w:val="22"/>
              </w:rPr>
              <w:t>A person who has been convicted of fraud</w:t>
            </w:r>
          </w:p>
        </w:tc>
        <w:tc>
          <w:tcPr>
            <w:tcW w:w="1723" w:type="pct"/>
            <w:shd w:val="clear" w:color="auto" w:fill="auto"/>
          </w:tcPr>
          <w:p w14:paraId="19D93ABA" w14:textId="77777777" w:rsidR="00E93F58" w:rsidRPr="006E709F" w:rsidRDefault="00E93F58" w:rsidP="00A801D0">
            <w:pPr>
              <w:pStyle w:val="Tabletext"/>
            </w:pPr>
            <w:r w:rsidRPr="006E709F">
              <w:rPr>
                <w:szCs w:val="22"/>
              </w:rPr>
              <w:t>10 years after the conviction</w:t>
            </w:r>
          </w:p>
        </w:tc>
      </w:tr>
      <w:tr w:rsidR="00E93F58" w:rsidRPr="006E709F" w14:paraId="28B44DD8" w14:textId="77777777" w:rsidTr="00E118FA">
        <w:tc>
          <w:tcPr>
            <w:tcW w:w="462" w:type="pct"/>
            <w:shd w:val="clear" w:color="auto" w:fill="auto"/>
          </w:tcPr>
          <w:p w14:paraId="722C35F0" w14:textId="77777777" w:rsidR="00E93F58" w:rsidRPr="006E709F" w:rsidRDefault="00E93F58" w:rsidP="00A801D0">
            <w:pPr>
              <w:pStyle w:val="Tabletext"/>
            </w:pPr>
            <w:r w:rsidRPr="006E709F">
              <w:rPr>
                <w:szCs w:val="22"/>
              </w:rPr>
              <w:t>4</w:t>
            </w:r>
          </w:p>
        </w:tc>
        <w:tc>
          <w:tcPr>
            <w:tcW w:w="2815" w:type="pct"/>
            <w:shd w:val="clear" w:color="auto" w:fill="auto"/>
          </w:tcPr>
          <w:p w14:paraId="251E3E16" w14:textId="77777777" w:rsidR="00E93F58" w:rsidRPr="006E709F" w:rsidRDefault="00E93F58" w:rsidP="00A801D0">
            <w:pPr>
              <w:pStyle w:val="Tabletext"/>
            </w:pPr>
            <w:r w:rsidRPr="006E709F">
              <w:rPr>
                <w:szCs w:val="22"/>
              </w:rPr>
              <w:t>A person to whom the following circumstances apply:</w:t>
            </w:r>
          </w:p>
          <w:p w14:paraId="14409C40" w14:textId="77777777" w:rsidR="00E93F58" w:rsidRPr="006E709F" w:rsidRDefault="00E93F58" w:rsidP="00A801D0">
            <w:pPr>
              <w:pStyle w:val="Tablea"/>
            </w:pPr>
            <w:r w:rsidRPr="006E709F">
              <w:rPr>
                <w:szCs w:val="22"/>
              </w:rPr>
              <w:t>(a) the person is the subject of legal proceedings for criminal fraud;</w:t>
            </w:r>
          </w:p>
          <w:p w14:paraId="0DB6F6F4" w14:textId="77777777" w:rsidR="00E93F58" w:rsidRPr="006E709F" w:rsidRDefault="00E93F58" w:rsidP="00A801D0">
            <w:pPr>
              <w:pStyle w:val="Tablea"/>
            </w:pPr>
            <w:r w:rsidRPr="006E709F">
              <w:t>(b) the proceedings could, because of the content or nature of the relevant originating process, result in a judgment being made that would cause a person to be someone to whom item 3 applies;</w:t>
            </w:r>
          </w:p>
          <w:p w14:paraId="3F2CAEDB" w14:textId="77777777" w:rsidR="00E93F58" w:rsidRPr="006E709F" w:rsidRDefault="00E93F58" w:rsidP="00A801D0">
            <w:pPr>
              <w:pStyle w:val="Tablea"/>
            </w:pPr>
            <w:r w:rsidRPr="006E709F">
              <w:t>(c) the court has not delivered a judgment in relation to the issue of the fraud</w:t>
            </w:r>
          </w:p>
        </w:tc>
        <w:tc>
          <w:tcPr>
            <w:tcW w:w="1723" w:type="pct"/>
            <w:shd w:val="clear" w:color="auto" w:fill="auto"/>
          </w:tcPr>
          <w:p w14:paraId="303CD496" w14:textId="77777777" w:rsidR="00E93F58" w:rsidRPr="006E709F" w:rsidRDefault="00E93F58" w:rsidP="00A801D0">
            <w:pPr>
              <w:pStyle w:val="Tabletext"/>
            </w:pPr>
          </w:p>
        </w:tc>
      </w:tr>
      <w:tr w:rsidR="00E93F58" w:rsidRPr="006E709F" w14:paraId="16606E51" w14:textId="77777777" w:rsidTr="00E118FA">
        <w:tc>
          <w:tcPr>
            <w:tcW w:w="462" w:type="pct"/>
            <w:tcBorders>
              <w:bottom w:val="single" w:sz="4" w:space="0" w:color="auto"/>
            </w:tcBorders>
            <w:shd w:val="clear" w:color="auto" w:fill="auto"/>
          </w:tcPr>
          <w:p w14:paraId="281B18A8" w14:textId="77777777" w:rsidR="00E93F58" w:rsidRPr="006E709F" w:rsidRDefault="00E93F58" w:rsidP="00A801D0">
            <w:pPr>
              <w:pStyle w:val="Tabletext"/>
            </w:pPr>
            <w:r w:rsidRPr="006E709F">
              <w:rPr>
                <w:szCs w:val="22"/>
              </w:rPr>
              <w:t>5</w:t>
            </w:r>
          </w:p>
        </w:tc>
        <w:tc>
          <w:tcPr>
            <w:tcW w:w="2815" w:type="pct"/>
            <w:tcBorders>
              <w:bottom w:val="single" w:sz="4" w:space="0" w:color="auto"/>
            </w:tcBorders>
            <w:shd w:val="clear" w:color="auto" w:fill="auto"/>
          </w:tcPr>
          <w:p w14:paraId="328DBFEC" w14:textId="77777777" w:rsidR="00E93F58" w:rsidRPr="006E709F" w:rsidRDefault="00E93F58" w:rsidP="00A801D0">
            <w:pPr>
              <w:pStyle w:val="Tabletext"/>
            </w:pPr>
            <w:r w:rsidRPr="006E709F">
              <w:rPr>
                <w:szCs w:val="22"/>
              </w:rPr>
              <w:t>A person to whom the following circumstances apply:</w:t>
            </w:r>
          </w:p>
          <w:p w14:paraId="030880E1" w14:textId="77777777" w:rsidR="00E93F58" w:rsidRPr="006E709F" w:rsidRDefault="00E93F58" w:rsidP="00A801D0">
            <w:pPr>
              <w:pStyle w:val="Tablea"/>
            </w:pPr>
            <w:r w:rsidRPr="006E709F">
              <w:rPr>
                <w:szCs w:val="22"/>
              </w:rPr>
              <w:t>(a) the person has been found liable by a court for a contravention of a law relating to financial services activities;</w:t>
            </w:r>
          </w:p>
          <w:p w14:paraId="7844D76E" w14:textId="77777777" w:rsidR="00E93F58" w:rsidRPr="006E709F" w:rsidRDefault="00E93F58" w:rsidP="00A801D0">
            <w:pPr>
              <w:pStyle w:val="Tablea"/>
            </w:pPr>
            <w:r w:rsidRPr="006E709F">
              <w:t>(b) the proceedings were brought by a regulator;</w:t>
            </w:r>
          </w:p>
          <w:p w14:paraId="040990CD" w14:textId="77777777" w:rsidR="00E93F58" w:rsidRPr="006E709F" w:rsidRDefault="00E93F58" w:rsidP="00750EE3">
            <w:pPr>
              <w:pStyle w:val="Tablea"/>
            </w:pPr>
            <w:r w:rsidRPr="006E709F">
              <w:rPr>
                <w:szCs w:val="22"/>
              </w:rPr>
              <w:t>(c) the proceedings related to conduct that occurred in the course of the person’s engaging in financial services activities, and was related to that person’s activities</w:t>
            </w:r>
          </w:p>
        </w:tc>
        <w:tc>
          <w:tcPr>
            <w:tcW w:w="1723" w:type="pct"/>
            <w:tcBorders>
              <w:bottom w:val="single" w:sz="4" w:space="0" w:color="auto"/>
            </w:tcBorders>
            <w:shd w:val="clear" w:color="auto" w:fill="auto"/>
          </w:tcPr>
          <w:p w14:paraId="7E04B9FF" w14:textId="77777777" w:rsidR="00E93F58" w:rsidRPr="006E709F" w:rsidRDefault="00E93F58" w:rsidP="00A801D0">
            <w:pPr>
              <w:pStyle w:val="Tabletext"/>
            </w:pPr>
            <w:r w:rsidRPr="006E709F">
              <w:rPr>
                <w:szCs w:val="22"/>
              </w:rPr>
              <w:t>10 years after the conduct first occurred</w:t>
            </w:r>
          </w:p>
        </w:tc>
      </w:tr>
      <w:tr w:rsidR="00E93F58" w:rsidRPr="006E709F" w14:paraId="59854F19" w14:textId="77777777" w:rsidTr="00E118FA">
        <w:tc>
          <w:tcPr>
            <w:tcW w:w="462" w:type="pct"/>
            <w:tcBorders>
              <w:bottom w:val="nil"/>
            </w:tcBorders>
            <w:shd w:val="clear" w:color="auto" w:fill="auto"/>
          </w:tcPr>
          <w:p w14:paraId="0C74C483" w14:textId="77777777" w:rsidR="00E93F58" w:rsidRPr="006E709F" w:rsidRDefault="00E93F58" w:rsidP="00A801D0">
            <w:pPr>
              <w:pStyle w:val="Tabletext"/>
            </w:pPr>
            <w:r w:rsidRPr="006E709F">
              <w:rPr>
                <w:szCs w:val="22"/>
              </w:rPr>
              <w:t>6</w:t>
            </w:r>
          </w:p>
        </w:tc>
        <w:tc>
          <w:tcPr>
            <w:tcW w:w="2815" w:type="pct"/>
            <w:tcBorders>
              <w:bottom w:val="nil"/>
            </w:tcBorders>
            <w:shd w:val="clear" w:color="auto" w:fill="auto"/>
          </w:tcPr>
          <w:p w14:paraId="76A39A12" w14:textId="77777777" w:rsidR="00E93F58" w:rsidRPr="006E709F" w:rsidRDefault="00E93F58" w:rsidP="00A801D0">
            <w:pPr>
              <w:pStyle w:val="Tabletext"/>
            </w:pPr>
            <w:r w:rsidRPr="006E709F">
              <w:rPr>
                <w:szCs w:val="22"/>
              </w:rPr>
              <w:t>A person to whom the following circumstances apply:</w:t>
            </w:r>
          </w:p>
          <w:p w14:paraId="7D5AA57D" w14:textId="77777777" w:rsidR="00E93F58" w:rsidRPr="006E709F" w:rsidRDefault="00E93F58" w:rsidP="00A801D0">
            <w:pPr>
              <w:pStyle w:val="Tablea"/>
            </w:pPr>
            <w:r w:rsidRPr="006E709F">
              <w:rPr>
                <w:szCs w:val="22"/>
              </w:rPr>
              <w:t>(a) the person is the subject of legal proceedings for a contravention of a law relating to financial services activities;</w:t>
            </w:r>
          </w:p>
          <w:p w14:paraId="198B9D7B" w14:textId="77777777" w:rsidR="00E93F58" w:rsidRPr="006E709F" w:rsidRDefault="00E93F58" w:rsidP="00A801D0">
            <w:pPr>
              <w:pStyle w:val="Tablea"/>
            </w:pPr>
            <w:r w:rsidRPr="006E709F">
              <w:t>(b) the proceedings were brought by a regulator;</w:t>
            </w:r>
          </w:p>
        </w:tc>
        <w:tc>
          <w:tcPr>
            <w:tcW w:w="1723" w:type="pct"/>
            <w:tcBorders>
              <w:bottom w:val="nil"/>
            </w:tcBorders>
            <w:shd w:val="clear" w:color="auto" w:fill="auto"/>
          </w:tcPr>
          <w:p w14:paraId="1C252EE9" w14:textId="77777777" w:rsidR="00E93F58" w:rsidRPr="006E709F" w:rsidRDefault="00E93F58" w:rsidP="00A801D0">
            <w:pPr>
              <w:pStyle w:val="Tabletext"/>
            </w:pPr>
          </w:p>
        </w:tc>
      </w:tr>
      <w:tr w:rsidR="00E93F58" w:rsidRPr="006E709F" w14:paraId="40E016F9" w14:textId="77777777" w:rsidTr="00E118FA">
        <w:trPr>
          <w:trHeight w:val="255"/>
        </w:trPr>
        <w:tc>
          <w:tcPr>
            <w:tcW w:w="462" w:type="pct"/>
            <w:tcBorders>
              <w:top w:val="nil"/>
            </w:tcBorders>
            <w:shd w:val="clear" w:color="auto" w:fill="auto"/>
          </w:tcPr>
          <w:p w14:paraId="6A386399" w14:textId="77777777" w:rsidR="00E93F58" w:rsidRPr="006E709F" w:rsidRDefault="00E93F58" w:rsidP="00497EC9">
            <w:pPr>
              <w:pStyle w:val="Tabletext"/>
              <w:rPr>
                <w:szCs w:val="22"/>
              </w:rPr>
            </w:pPr>
          </w:p>
        </w:tc>
        <w:tc>
          <w:tcPr>
            <w:tcW w:w="2815" w:type="pct"/>
            <w:tcBorders>
              <w:top w:val="nil"/>
            </w:tcBorders>
            <w:shd w:val="clear" w:color="auto" w:fill="auto"/>
          </w:tcPr>
          <w:p w14:paraId="1051C58B" w14:textId="77777777" w:rsidR="00E93F58" w:rsidRPr="006E709F" w:rsidRDefault="00E93F58" w:rsidP="00497EC9">
            <w:pPr>
              <w:pStyle w:val="Tablea"/>
            </w:pPr>
            <w:r w:rsidRPr="006E709F">
              <w:t>(c) the proceedings relate to conduct that occurred in the course of the person’s engaging in financial services activities, and was related to that person’s activities;</w:t>
            </w:r>
          </w:p>
          <w:p w14:paraId="2C141A9F" w14:textId="77777777" w:rsidR="00E93F58" w:rsidRPr="006E709F" w:rsidRDefault="00E93F58" w:rsidP="00873E94">
            <w:pPr>
              <w:pStyle w:val="Tablea"/>
              <w:keepNext/>
              <w:keepLines/>
              <w:rPr>
                <w:szCs w:val="22"/>
              </w:rPr>
            </w:pPr>
            <w:r w:rsidRPr="006E709F">
              <w:t>(d) the court has not delivered a judgment in relation to the contravention</w:t>
            </w:r>
          </w:p>
        </w:tc>
        <w:tc>
          <w:tcPr>
            <w:tcW w:w="1723" w:type="pct"/>
            <w:tcBorders>
              <w:top w:val="nil"/>
            </w:tcBorders>
            <w:shd w:val="clear" w:color="auto" w:fill="auto"/>
          </w:tcPr>
          <w:p w14:paraId="1A4E1749" w14:textId="77777777" w:rsidR="00E93F58" w:rsidRPr="006E709F" w:rsidRDefault="00E93F58" w:rsidP="00873E94">
            <w:pPr>
              <w:pStyle w:val="Tabletext"/>
              <w:keepNext/>
              <w:keepLines/>
            </w:pPr>
          </w:p>
        </w:tc>
      </w:tr>
      <w:tr w:rsidR="00E93F58" w:rsidRPr="006E709F" w14:paraId="23EE977A" w14:textId="77777777" w:rsidTr="00E118FA">
        <w:trPr>
          <w:cantSplit/>
        </w:trPr>
        <w:tc>
          <w:tcPr>
            <w:tcW w:w="462" w:type="pct"/>
            <w:shd w:val="clear" w:color="auto" w:fill="auto"/>
          </w:tcPr>
          <w:p w14:paraId="6FDE24EC" w14:textId="77777777" w:rsidR="00E93F58" w:rsidRPr="006E709F" w:rsidRDefault="00E93F58" w:rsidP="00A801D0">
            <w:pPr>
              <w:pStyle w:val="Tabletext"/>
            </w:pPr>
            <w:r w:rsidRPr="006E709F">
              <w:rPr>
                <w:szCs w:val="22"/>
              </w:rPr>
              <w:t>7</w:t>
            </w:r>
          </w:p>
        </w:tc>
        <w:tc>
          <w:tcPr>
            <w:tcW w:w="2815" w:type="pct"/>
            <w:shd w:val="clear" w:color="auto" w:fill="auto"/>
          </w:tcPr>
          <w:p w14:paraId="383B631A" w14:textId="77777777" w:rsidR="00E93F58" w:rsidRPr="006E709F" w:rsidRDefault="00E93F58" w:rsidP="00A801D0">
            <w:pPr>
              <w:pStyle w:val="Tabletext"/>
            </w:pPr>
            <w:r w:rsidRPr="006E709F">
              <w:rPr>
                <w:szCs w:val="22"/>
              </w:rPr>
              <w:t>A person who has had:</w:t>
            </w:r>
          </w:p>
          <w:p w14:paraId="5955AF8A" w14:textId="77777777" w:rsidR="00E93F58" w:rsidRPr="006E709F" w:rsidRDefault="00E93F58" w:rsidP="00A801D0">
            <w:pPr>
              <w:pStyle w:val="Tablea"/>
            </w:pPr>
            <w:r w:rsidRPr="006E709F">
              <w:rPr>
                <w:szCs w:val="22"/>
              </w:rPr>
              <w:t>(a) an authorisation; or</w:t>
            </w:r>
          </w:p>
          <w:p w14:paraId="473C2BD5" w14:textId="77777777" w:rsidR="00E93F58" w:rsidRPr="006E709F" w:rsidRDefault="00E93F58" w:rsidP="00A801D0">
            <w:pPr>
              <w:pStyle w:val="Tablea"/>
            </w:pPr>
            <w:r w:rsidRPr="006E709F">
              <w:t>(b) a registration; or</w:t>
            </w:r>
          </w:p>
          <w:p w14:paraId="6A6A5707" w14:textId="77777777" w:rsidR="00E93F58" w:rsidRPr="006E709F" w:rsidRDefault="00E93F58" w:rsidP="00A801D0">
            <w:pPr>
              <w:pStyle w:val="Tablea"/>
            </w:pPr>
            <w:r w:rsidRPr="006E709F">
              <w:t>(c) a licence; or</w:t>
            </w:r>
          </w:p>
          <w:p w14:paraId="0C99A0C8" w14:textId="77777777" w:rsidR="00E93F58" w:rsidRPr="006E709F" w:rsidRDefault="00E93F58" w:rsidP="00A801D0">
            <w:pPr>
              <w:pStyle w:val="Tablea"/>
            </w:pPr>
            <w:r w:rsidRPr="006E709F">
              <w:t>(d) the ability to engage in financial services activities;</w:t>
            </w:r>
          </w:p>
          <w:p w14:paraId="7CB9C815" w14:textId="77777777" w:rsidR="00E93F58" w:rsidRPr="006E709F" w:rsidRDefault="00E93F58" w:rsidP="00A801D0">
            <w:pPr>
              <w:pStyle w:val="Tabletext"/>
            </w:pPr>
            <w:r w:rsidRPr="006E709F">
              <w:rPr>
                <w:szCs w:val="22"/>
              </w:rPr>
              <w:t>cancelled, suspended or revoked by, or as a direct result of the actions of, a regulator</w:t>
            </w:r>
          </w:p>
        </w:tc>
        <w:tc>
          <w:tcPr>
            <w:tcW w:w="1723" w:type="pct"/>
            <w:shd w:val="clear" w:color="auto" w:fill="auto"/>
          </w:tcPr>
          <w:p w14:paraId="7E3DCD01" w14:textId="77777777" w:rsidR="00E93F58" w:rsidRPr="006E709F" w:rsidRDefault="00E93F58" w:rsidP="00A801D0">
            <w:pPr>
              <w:pStyle w:val="Tabletext"/>
            </w:pPr>
            <w:r w:rsidRPr="006E709F">
              <w:rPr>
                <w:szCs w:val="22"/>
              </w:rPr>
              <w:t>5 years after the cancellation, suspension or revocation</w:t>
            </w:r>
          </w:p>
        </w:tc>
      </w:tr>
      <w:tr w:rsidR="00E93F58" w:rsidRPr="006E709F" w14:paraId="02695F6F" w14:textId="77777777" w:rsidTr="00E118FA">
        <w:tc>
          <w:tcPr>
            <w:tcW w:w="462" w:type="pct"/>
            <w:shd w:val="clear" w:color="auto" w:fill="auto"/>
          </w:tcPr>
          <w:p w14:paraId="1335DD65" w14:textId="77777777" w:rsidR="00E93F58" w:rsidRPr="006E709F" w:rsidRDefault="00E93F58" w:rsidP="00A801D0">
            <w:pPr>
              <w:pStyle w:val="Tabletext"/>
            </w:pPr>
            <w:r w:rsidRPr="006E709F">
              <w:t>8</w:t>
            </w:r>
          </w:p>
        </w:tc>
        <w:tc>
          <w:tcPr>
            <w:tcW w:w="2815" w:type="pct"/>
            <w:shd w:val="clear" w:color="auto" w:fill="auto"/>
          </w:tcPr>
          <w:p w14:paraId="147B1667" w14:textId="77777777" w:rsidR="00E93F58" w:rsidRPr="006E709F" w:rsidRDefault="00E93F58" w:rsidP="00A801D0">
            <w:pPr>
              <w:pStyle w:val="Tabletext"/>
            </w:pPr>
            <w:r w:rsidRPr="006E709F">
              <w:t>A person who is a responsible officer of a person mentioned in item 1</w:t>
            </w:r>
          </w:p>
        </w:tc>
        <w:tc>
          <w:tcPr>
            <w:tcW w:w="1723" w:type="pct"/>
            <w:shd w:val="clear" w:color="auto" w:fill="auto"/>
          </w:tcPr>
          <w:p w14:paraId="5117356C" w14:textId="77777777" w:rsidR="00E93F58" w:rsidRPr="006E709F" w:rsidRDefault="00E93F58" w:rsidP="00A801D0">
            <w:pPr>
              <w:pStyle w:val="Tabletext"/>
            </w:pPr>
          </w:p>
        </w:tc>
      </w:tr>
      <w:tr w:rsidR="00E93F58" w:rsidRPr="006E709F" w14:paraId="6D79A9AB" w14:textId="77777777" w:rsidTr="00E118FA">
        <w:tc>
          <w:tcPr>
            <w:tcW w:w="462" w:type="pct"/>
            <w:shd w:val="clear" w:color="auto" w:fill="auto"/>
          </w:tcPr>
          <w:p w14:paraId="1F7EC7B8" w14:textId="77777777" w:rsidR="00E93F58" w:rsidRPr="006E709F" w:rsidRDefault="00E93F58" w:rsidP="00A801D0">
            <w:pPr>
              <w:pStyle w:val="Tabletext"/>
            </w:pPr>
            <w:r w:rsidRPr="006E709F">
              <w:t>8A</w:t>
            </w:r>
          </w:p>
        </w:tc>
        <w:tc>
          <w:tcPr>
            <w:tcW w:w="2815" w:type="pct"/>
            <w:shd w:val="clear" w:color="auto" w:fill="auto"/>
          </w:tcPr>
          <w:p w14:paraId="5DC09FA2" w14:textId="77777777" w:rsidR="00E93F58" w:rsidRPr="006E709F" w:rsidRDefault="00E93F58" w:rsidP="00A801D0">
            <w:pPr>
              <w:pStyle w:val="Tabletext"/>
            </w:pPr>
            <w:r w:rsidRPr="006E709F">
              <w:t>A person who is a subsidiary of a body corporate mentioned in item 2</w:t>
            </w:r>
          </w:p>
        </w:tc>
        <w:tc>
          <w:tcPr>
            <w:tcW w:w="1723" w:type="pct"/>
            <w:shd w:val="clear" w:color="auto" w:fill="auto"/>
          </w:tcPr>
          <w:p w14:paraId="41B8E6C3" w14:textId="77777777" w:rsidR="00E93F58" w:rsidRPr="006E709F" w:rsidRDefault="00E93F58" w:rsidP="00A801D0">
            <w:pPr>
              <w:pStyle w:val="Tabletext"/>
            </w:pPr>
          </w:p>
        </w:tc>
      </w:tr>
      <w:tr w:rsidR="00E93F58" w:rsidRPr="006E709F" w14:paraId="24FB26B0" w14:textId="77777777" w:rsidTr="00E118FA">
        <w:tc>
          <w:tcPr>
            <w:tcW w:w="462" w:type="pct"/>
            <w:shd w:val="clear" w:color="auto" w:fill="auto"/>
          </w:tcPr>
          <w:p w14:paraId="6F6EF55C" w14:textId="77777777" w:rsidR="00E93F58" w:rsidRPr="006E709F" w:rsidRDefault="00E93F58" w:rsidP="00A801D0">
            <w:pPr>
              <w:pStyle w:val="Tabletext"/>
            </w:pPr>
            <w:r w:rsidRPr="006E709F">
              <w:t>8B</w:t>
            </w:r>
          </w:p>
        </w:tc>
        <w:tc>
          <w:tcPr>
            <w:tcW w:w="2815" w:type="pct"/>
            <w:shd w:val="clear" w:color="auto" w:fill="auto"/>
          </w:tcPr>
          <w:p w14:paraId="0EC7CE86" w14:textId="77777777" w:rsidR="00E93F58" w:rsidRPr="006E709F" w:rsidRDefault="00E93F58" w:rsidP="00A801D0">
            <w:pPr>
              <w:pStyle w:val="Tabletext"/>
            </w:pPr>
            <w:r w:rsidRPr="006E709F">
              <w:t>A person (</w:t>
            </w:r>
            <w:r w:rsidRPr="006E709F">
              <w:rPr>
                <w:b/>
                <w:i/>
              </w:rPr>
              <w:t>person 1</w:t>
            </w:r>
            <w:r w:rsidRPr="006E709F">
              <w:t>) who is related body corporate of a body corporate that is mentioned in item 2 (</w:t>
            </w:r>
            <w:r w:rsidRPr="006E709F">
              <w:rPr>
                <w:b/>
                <w:i/>
              </w:rPr>
              <w:t>person 2</w:t>
            </w:r>
            <w:r w:rsidRPr="006E709F">
              <w:t xml:space="preserve">), if person 2 has previously held a licence, registration or authorisation granted by a regulator mentioned in paragraphs (a) to (d) of the definition of </w:t>
            </w:r>
            <w:r w:rsidRPr="006E709F">
              <w:rPr>
                <w:b/>
                <w:i/>
              </w:rPr>
              <w:t>regulator</w:t>
            </w:r>
            <w:r w:rsidRPr="006E709F">
              <w:t xml:space="preserve"> in regulation 10.2.35</w:t>
            </w:r>
          </w:p>
        </w:tc>
        <w:tc>
          <w:tcPr>
            <w:tcW w:w="1723" w:type="pct"/>
            <w:shd w:val="clear" w:color="auto" w:fill="auto"/>
          </w:tcPr>
          <w:p w14:paraId="224AA726" w14:textId="77777777" w:rsidR="00E93F58" w:rsidRPr="006E709F" w:rsidRDefault="00E93F58" w:rsidP="00A801D0">
            <w:pPr>
              <w:pStyle w:val="Tabletext"/>
            </w:pPr>
          </w:p>
        </w:tc>
      </w:tr>
      <w:tr w:rsidR="00E93F58" w:rsidRPr="006E709F" w14:paraId="7FB51CCE" w14:textId="77777777" w:rsidTr="00E118FA">
        <w:tc>
          <w:tcPr>
            <w:tcW w:w="462" w:type="pct"/>
            <w:tcBorders>
              <w:bottom w:val="single" w:sz="4" w:space="0" w:color="auto"/>
            </w:tcBorders>
            <w:shd w:val="clear" w:color="auto" w:fill="auto"/>
          </w:tcPr>
          <w:p w14:paraId="5207E529" w14:textId="77777777" w:rsidR="00E93F58" w:rsidRPr="006E709F" w:rsidRDefault="00E93F58" w:rsidP="00A801D0">
            <w:pPr>
              <w:pStyle w:val="Tabletext"/>
            </w:pPr>
            <w:r w:rsidRPr="006E709F">
              <w:rPr>
                <w:szCs w:val="22"/>
              </w:rPr>
              <w:t>9</w:t>
            </w:r>
          </w:p>
        </w:tc>
        <w:tc>
          <w:tcPr>
            <w:tcW w:w="2815" w:type="pct"/>
            <w:tcBorders>
              <w:bottom w:val="single" w:sz="4" w:space="0" w:color="auto"/>
            </w:tcBorders>
            <w:shd w:val="clear" w:color="auto" w:fill="auto"/>
          </w:tcPr>
          <w:p w14:paraId="13EF2AB7" w14:textId="77777777" w:rsidR="00E93F58" w:rsidRPr="006E709F" w:rsidRDefault="00E93F58" w:rsidP="00A801D0">
            <w:pPr>
              <w:pStyle w:val="Tabletext"/>
            </w:pPr>
            <w:r w:rsidRPr="006E709F">
              <w:rPr>
                <w:szCs w:val="22"/>
              </w:rPr>
              <w:t>A person an associate of whom is a person mentioned in any of items 3 to 7</w:t>
            </w:r>
          </w:p>
        </w:tc>
        <w:tc>
          <w:tcPr>
            <w:tcW w:w="1723" w:type="pct"/>
            <w:tcBorders>
              <w:bottom w:val="single" w:sz="4" w:space="0" w:color="auto"/>
            </w:tcBorders>
            <w:shd w:val="clear" w:color="auto" w:fill="auto"/>
          </w:tcPr>
          <w:p w14:paraId="594679A2" w14:textId="77777777" w:rsidR="00E93F58" w:rsidRPr="006E709F" w:rsidRDefault="00E93F58" w:rsidP="00A801D0">
            <w:pPr>
              <w:pStyle w:val="Tabletext"/>
            </w:pPr>
          </w:p>
        </w:tc>
      </w:tr>
      <w:tr w:rsidR="00E93F58" w:rsidRPr="006E709F" w14:paraId="247C2A2F" w14:textId="77777777" w:rsidTr="00E118FA">
        <w:tc>
          <w:tcPr>
            <w:tcW w:w="462" w:type="pct"/>
            <w:tcBorders>
              <w:bottom w:val="single" w:sz="12" w:space="0" w:color="auto"/>
            </w:tcBorders>
            <w:shd w:val="clear" w:color="auto" w:fill="auto"/>
          </w:tcPr>
          <w:p w14:paraId="621F0CAF" w14:textId="77777777" w:rsidR="00E93F58" w:rsidRPr="006E709F" w:rsidRDefault="00E93F58" w:rsidP="00A801D0">
            <w:pPr>
              <w:pStyle w:val="Tabletext"/>
            </w:pPr>
            <w:r w:rsidRPr="006E709F">
              <w:rPr>
                <w:szCs w:val="22"/>
              </w:rPr>
              <w:t>10</w:t>
            </w:r>
          </w:p>
        </w:tc>
        <w:tc>
          <w:tcPr>
            <w:tcW w:w="2815" w:type="pct"/>
            <w:tcBorders>
              <w:bottom w:val="single" w:sz="12" w:space="0" w:color="auto"/>
            </w:tcBorders>
            <w:shd w:val="clear" w:color="auto" w:fill="auto"/>
          </w:tcPr>
          <w:p w14:paraId="5C368D88" w14:textId="77777777" w:rsidR="00E93F58" w:rsidRPr="006E709F" w:rsidRDefault="00E93F58" w:rsidP="00A801D0">
            <w:pPr>
              <w:pStyle w:val="Tabletext"/>
            </w:pPr>
            <w:r w:rsidRPr="006E709F">
              <w:rPr>
                <w:szCs w:val="22"/>
              </w:rPr>
              <w:t xml:space="preserve">A person who is deemed to be a registered insurance broker under subsection 24(2) of the </w:t>
            </w:r>
            <w:r w:rsidRPr="006E709F">
              <w:rPr>
                <w:i/>
                <w:szCs w:val="22"/>
              </w:rPr>
              <w:t>Insurance (Agents and Brokers) Act 1984</w:t>
            </w:r>
          </w:p>
          <w:p w14:paraId="33E09331" w14:textId="77777777" w:rsidR="00E93F58" w:rsidRPr="006E709F" w:rsidRDefault="00E93F58" w:rsidP="00A801D0">
            <w:pPr>
              <w:pStyle w:val="Tabletext"/>
            </w:pPr>
            <w:r w:rsidRPr="006E709F">
              <w:t>This item applies to the person only to the extent that the person operates insurance broking activities that are described in that Act</w:t>
            </w:r>
          </w:p>
        </w:tc>
        <w:tc>
          <w:tcPr>
            <w:tcW w:w="1723" w:type="pct"/>
            <w:tcBorders>
              <w:bottom w:val="single" w:sz="12" w:space="0" w:color="auto"/>
            </w:tcBorders>
            <w:shd w:val="clear" w:color="auto" w:fill="auto"/>
          </w:tcPr>
          <w:p w14:paraId="497B9126" w14:textId="77777777" w:rsidR="00E93F58" w:rsidRPr="006E709F" w:rsidRDefault="00E93F58" w:rsidP="00A801D0">
            <w:pPr>
              <w:pStyle w:val="Tabletext"/>
            </w:pPr>
          </w:p>
        </w:tc>
      </w:tr>
    </w:tbl>
    <w:p w14:paraId="4A6B1C93" w14:textId="77777777" w:rsidR="00E93F58" w:rsidRPr="006E709F" w:rsidRDefault="00E93F58" w:rsidP="00C2336D">
      <w:pPr>
        <w:pStyle w:val="ActHead1"/>
        <w:pageBreakBefore/>
      </w:pPr>
      <w:bookmarkStart w:id="3620" w:name="_Toc151992558"/>
      <w:bookmarkStart w:id="3621" w:name="_Toc158713595"/>
      <w:r w:rsidRPr="000C4237">
        <w:rPr>
          <w:rStyle w:val="CharChapNo"/>
        </w:rPr>
        <w:lastRenderedPageBreak/>
        <w:t>Schedule 12</w:t>
      </w:r>
      <w:r w:rsidRPr="006E709F">
        <w:t>—</w:t>
      </w:r>
      <w:r w:rsidRPr="000C4237">
        <w:rPr>
          <w:rStyle w:val="CharChapText"/>
        </w:rPr>
        <w:t>ASIC transitional standards</w:t>
      </w:r>
      <w:bookmarkEnd w:id="3620"/>
      <w:bookmarkEnd w:id="3621"/>
    </w:p>
    <w:p w14:paraId="0A340288" w14:textId="77777777" w:rsidR="00E93F58" w:rsidRPr="006E709F" w:rsidRDefault="00E93F58" w:rsidP="00A801D0">
      <w:pPr>
        <w:pStyle w:val="notemargin"/>
      </w:pPr>
      <w:r w:rsidRPr="006E709F">
        <w:t>(regulation 12.7.01)</w:t>
      </w:r>
    </w:p>
    <w:p w14:paraId="0851C7B1" w14:textId="77777777" w:rsidR="00E93F58" w:rsidRPr="006E709F" w:rsidRDefault="00E93F58" w:rsidP="002A22A4">
      <w:pPr>
        <w:pStyle w:val="Header"/>
      </w:pPr>
      <w:r w:rsidRPr="000C4237">
        <w:rPr>
          <w:rStyle w:val="CharPartNo"/>
        </w:rPr>
        <w:t xml:space="preserve"> </w:t>
      </w:r>
      <w:r w:rsidRPr="000C4237">
        <w:rPr>
          <w:rStyle w:val="CharPartText"/>
        </w:rPr>
        <w:t xml:space="preserve"> </w:t>
      </w:r>
    </w:p>
    <w:p w14:paraId="44669230" w14:textId="77777777" w:rsidR="00E93F58" w:rsidRPr="006E709F" w:rsidRDefault="00E93F58" w:rsidP="00A801D0">
      <w:pPr>
        <w:pStyle w:val="subsection"/>
      </w:pPr>
      <w:r w:rsidRPr="006E709F">
        <w:rPr>
          <w:color w:val="000000"/>
        </w:rPr>
        <w:t>1.</w:t>
      </w:r>
      <w:r w:rsidRPr="006E709F">
        <w:rPr>
          <w:color w:val="000000"/>
        </w:rPr>
        <w:tab/>
      </w:r>
      <w:r w:rsidRPr="006E709F">
        <w:rPr>
          <w:color w:val="000000"/>
        </w:rPr>
        <w:tab/>
        <w:t>The following provisions of Book 3 of the Prudential Notes and Prudential Standards issued by AFIC under Part 4 of the AFIC Code of a State or Territory, as in force immediately before the transfer date:</w:t>
      </w:r>
    </w:p>
    <w:p w14:paraId="2E0320D1" w14:textId="77777777" w:rsidR="00E93F58" w:rsidRPr="006E709F" w:rsidRDefault="00E93F58" w:rsidP="00A801D0">
      <w:pPr>
        <w:pStyle w:val="paragraph"/>
      </w:pPr>
      <w:r w:rsidRPr="006E709F">
        <w:rPr>
          <w:color w:val="000000"/>
        </w:rPr>
        <w:tab/>
        <w:t>(a)</w:t>
      </w:r>
      <w:r w:rsidRPr="006E709F">
        <w:rPr>
          <w:color w:val="000000"/>
        </w:rPr>
        <w:tab/>
        <w:t xml:space="preserve">the modification of the accounting standard known as Accounting Standard AASB 1032 (published in the </w:t>
      </w:r>
      <w:r w:rsidRPr="006E709F">
        <w:rPr>
          <w:i/>
          <w:color w:val="000000"/>
        </w:rPr>
        <w:t>Gazette</w:t>
      </w:r>
      <w:r w:rsidRPr="006E709F">
        <w:rPr>
          <w:color w:val="000000"/>
        </w:rPr>
        <w:t xml:space="preserve"> on 12 December 1996) by Prudential Standard 3.3.1, except the definition of </w:t>
      </w:r>
      <w:r w:rsidRPr="006E709F">
        <w:rPr>
          <w:b/>
          <w:i/>
          <w:color w:val="000000"/>
        </w:rPr>
        <w:t>deposits</w:t>
      </w:r>
      <w:r w:rsidRPr="006E709F">
        <w:rPr>
          <w:b/>
          <w:color w:val="000000"/>
        </w:rPr>
        <w:t xml:space="preserve"> </w:t>
      </w:r>
      <w:r w:rsidRPr="006E709F">
        <w:rPr>
          <w:color w:val="000000"/>
        </w:rPr>
        <w:t>added to the accounting standard by the Prudential Standard;</w:t>
      </w:r>
    </w:p>
    <w:p w14:paraId="490EC28C" w14:textId="77777777" w:rsidR="00E93F58" w:rsidRPr="006E709F" w:rsidRDefault="00E93F58" w:rsidP="00A801D0">
      <w:pPr>
        <w:pStyle w:val="paragraph"/>
      </w:pPr>
      <w:r w:rsidRPr="006E709F">
        <w:tab/>
        <w:t>(b)</w:t>
      </w:r>
      <w:r w:rsidRPr="006E709F">
        <w:tab/>
        <w:t>Prudential Standard 3.5.4;</w:t>
      </w:r>
    </w:p>
    <w:p w14:paraId="564A5FC8" w14:textId="77777777" w:rsidR="00E93F58" w:rsidRPr="006E709F" w:rsidRDefault="00E93F58" w:rsidP="00A801D0">
      <w:pPr>
        <w:pStyle w:val="paragraph"/>
      </w:pPr>
      <w:r w:rsidRPr="006E709F">
        <w:tab/>
        <w:t>(c)</w:t>
      </w:r>
      <w:r w:rsidRPr="006E709F">
        <w:tab/>
        <w:t>Prudential Standard 3.5.5;</w:t>
      </w:r>
    </w:p>
    <w:p w14:paraId="7E495D36" w14:textId="77777777" w:rsidR="00E93F58" w:rsidRPr="006E709F" w:rsidRDefault="00E93F58" w:rsidP="00A801D0">
      <w:pPr>
        <w:pStyle w:val="paragraph"/>
      </w:pPr>
      <w:r w:rsidRPr="006E709F">
        <w:tab/>
        <w:t>(d)</w:t>
      </w:r>
      <w:r w:rsidRPr="006E709F">
        <w:tab/>
        <w:t>Prudential Standard 3.7.1;</w:t>
      </w:r>
    </w:p>
    <w:p w14:paraId="5F89CD7D" w14:textId="77777777" w:rsidR="00E93F58" w:rsidRPr="006E709F" w:rsidRDefault="00E93F58" w:rsidP="00A801D0">
      <w:pPr>
        <w:pStyle w:val="paragraph"/>
      </w:pPr>
      <w:r w:rsidRPr="006E709F">
        <w:tab/>
        <w:t>(e)</w:t>
      </w:r>
      <w:r w:rsidRPr="006E709F">
        <w:tab/>
        <w:t>Prudential Standard 3.7.4;</w:t>
      </w:r>
    </w:p>
    <w:p w14:paraId="449D0B67" w14:textId="77777777" w:rsidR="00E93F58" w:rsidRPr="006E709F" w:rsidRDefault="00E93F58" w:rsidP="00A801D0">
      <w:pPr>
        <w:pStyle w:val="paragraph"/>
      </w:pPr>
      <w:r w:rsidRPr="006E709F">
        <w:tab/>
        <w:t>(f)</w:t>
      </w:r>
      <w:r w:rsidRPr="006E709F">
        <w:tab/>
        <w:t>Prudential Standard 3.7.5.</w:t>
      </w:r>
    </w:p>
    <w:p w14:paraId="57CB43D6" w14:textId="77777777" w:rsidR="00E93F58" w:rsidRPr="006E709F" w:rsidRDefault="00E93F58" w:rsidP="00A801D0">
      <w:pPr>
        <w:pStyle w:val="subsection"/>
      </w:pPr>
      <w:r w:rsidRPr="006E709F">
        <w:rPr>
          <w:color w:val="000000"/>
        </w:rPr>
        <w:t>2.</w:t>
      </w:r>
      <w:r w:rsidRPr="006E709F">
        <w:rPr>
          <w:color w:val="000000"/>
        </w:rPr>
        <w:tab/>
      </w:r>
      <w:r w:rsidRPr="006E709F">
        <w:rPr>
          <w:color w:val="000000"/>
        </w:rPr>
        <w:tab/>
        <w:t>The following provisions of Book 4 of the Prudential Notes and Prudential Standards issued by AFIC under Part 4 of the AFIC Code of a State or Territory, as in force immediately before the transfer date:</w:t>
      </w:r>
    </w:p>
    <w:p w14:paraId="2BF64548" w14:textId="77777777" w:rsidR="00E93F58" w:rsidRPr="006E709F" w:rsidRDefault="00E93F58" w:rsidP="00A801D0">
      <w:pPr>
        <w:pStyle w:val="paragraph"/>
      </w:pPr>
      <w:r w:rsidRPr="006E709F">
        <w:rPr>
          <w:color w:val="000000"/>
        </w:rPr>
        <w:tab/>
        <w:t>(a)</w:t>
      </w:r>
      <w:r w:rsidRPr="006E709F">
        <w:rPr>
          <w:color w:val="000000"/>
        </w:rPr>
        <w:tab/>
        <w:t xml:space="preserve">the modification of the accounting standard known Accounting Standard AASB 1032 (published in the </w:t>
      </w:r>
      <w:r w:rsidRPr="006E709F">
        <w:rPr>
          <w:i/>
          <w:color w:val="000000"/>
        </w:rPr>
        <w:t>Gazette</w:t>
      </w:r>
      <w:r w:rsidRPr="006E709F">
        <w:rPr>
          <w:color w:val="000000"/>
        </w:rPr>
        <w:t xml:space="preserve"> on 12 December 1996) by Prudential Standard 4.3.1, except the definition of </w:t>
      </w:r>
      <w:r w:rsidRPr="006E709F">
        <w:rPr>
          <w:b/>
          <w:i/>
          <w:color w:val="000000"/>
        </w:rPr>
        <w:t>deposits</w:t>
      </w:r>
      <w:r w:rsidRPr="006E709F">
        <w:rPr>
          <w:b/>
          <w:color w:val="000000"/>
        </w:rPr>
        <w:t xml:space="preserve"> </w:t>
      </w:r>
      <w:r w:rsidRPr="006E709F">
        <w:rPr>
          <w:color w:val="000000"/>
        </w:rPr>
        <w:t>added to the accounting standard by the Prudential Standard;</w:t>
      </w:r>
    </w:p>
    <w:p w14:paraId="21CC9B26" w14:textId="77777777" w:rsidR="00E93F58" w:rsidRPr="006E709F" w:rsidRDefault="00E93F58" w:rsidP="00A801D0">
      <w:pPr>
        <w:pStyle w:val="paragraph"/>
      </w:pPr>
      <w:r w:rsidRPr="006E709F">
        <w:tab/>
        <w:t>(b)</w:t>
      </w:r>
      <w:r w:rsidRPr="006E709F">
        <w:tab/>
        <w:t>Prudential Standard 4.7.1;</w:t>
      </w:r>
    </w:p>
    <w:p w14:paraId="4168B8ED" w14:textId="77777777" w:rsidR="00E93F58" w:rsidRPr="006E709F" w:rsidRDefault="00E93F58" w:rsidP="00A801D0">
      <w:pPr>
        <w:pStyle w:val="paragraph"/>
      </w:pPr>
      <w:r w:rsidRPr="006E709F">
        <w:tab/>
        <w:t>(c)</w:t>
      </w:r>
      <w:r w:rsidRPr="006E709F">
        <w:tab/>
        <w:t>Prudential Standard 4.7.4;</w:t>
      </w:r>
    </w:p>
    <w:p w14:paraId="698B37CF" w14:textId="77777777" w:rsidR="00E93F58" w:rsidRPr="006E709F" w:rsidRDefault="00E93F58" w:rsidP="00A801D0">
      <w:pPr>
        <w:pStyle w:val="paragraph"/>
      </w:pPr>
      <w:r w:rsidRPr="006E709F">
        <w:tab/>
        <w:t>(d)</w:t>
      </w:r>
      <w:r w:rsidRPr="006E709F">
        <w:tab/>
        <w:t>Prudential Standard 4.7.5.</w:t>
      </w:r>
    </w:p>
    <w:p w14:paraId="1CE8E6A1" w14:textId="77777777" w:rsidR="00E93F58" w:rsidRPr="006E709F" w:rsidRDefault="00E93F58" w:rsidP="00A801D0">
      <w:pPr>
        <w:pStyle w:val="subsection"/>
      </w:pPr>
      <w:r w:rsidRPr="006E709F">
        <w:rPr>
          <w:color w:val="000000"/>
        </w:rPr>
        <w:t>3.</w:t>
      </w:r>
      <w:r w:rsidRPr="006E709F">
        <w:rPr>
          <w:color w:val="000000"/>
        </w:rPr>
        <w:tab/>
      </w:r>
      <w:r w:rsidRPr="006E709F">
        <w:rPr>
          <w:color w:val="000000"/>
        </w:rPr>
        <w:tab/>
        <w:t>The following provisions of Book 5 of the Prudential Notes and Prudential Standards issued by AFIC under Part 4 of the AFIC Code of a State or Territory, as in force immediately before the transfer date:</w:t>
      </w:r>
    </w:p>
    <w:p w14:paraId="2DE46D94" w14:textId="77777777" w:rsidR="00E93F58" w:rsidRPr="006E709F" w:rsidRDefault="00E93F58" w:rsidP="00A801D0">
      <w:pPr>
        <w:pStyle w:val="paragraph"/>
      </w:pPr>
      <w:r w:rsidRPr="006E709F">
        <w:rPr>
          <w:color w:val="000000"/>
        </w:rPr>
        <w:tab/>
        <w:t>(a)</w:t>
      </w:r>
      <w:r w:rsidRPr="006E709F">
        <w:rPr>
          <w:color w:val="000000"/>
        </w:rPr>
        <w:tab/>
        <w:t>Prudential Standard 5.5.1;</w:t>
      </w:r>
    </w:p>
    <w:p w14:paraId="2F4C9E5C" w14:textId="77777777" w:rsidR="00E93F58" w:rsidRPr="006E709F" w:rsidRDefault="00E93F58" w:rsidP="00A801D0">
      <w:pPr>
        <w:pStyle w:val="paragraph"/>
      </w:pPr>
      <w:r w:rsidRPr="006E709F">
        <w:tab/>
        <w:t>(b)</w:t>
      </w:r>
      <w:r w:rsidRPr="006E709F">
        <w:tab/>
        <w:t>Prudential Standard 5.5.3;</w:t>
      </w:r>
    </w:p>
    <w:p w14:paraId="2963EFDD" w14:textId="77777777" w:rsidR="00E93F58" w:rsidRPr="006E709F" w:rsidRDefault="00E93F58" w:rsidP="00A801D0">
      <w:pPr>
        <w:pStyle w:val="paragraph"/>
      </w:pPr>
      <w:r w:rsidRPr="006E709F">
        <w:tab/>
        <w:t>(c)</w:t>
      </w:r>
      <w:r w:rsidRPr="006E709F">
        <w:tab/>
        <w:t>Prudential Standard 5.5.4.</w:t>
      </w:r>
    </w:p>
    <w:p w14:paraId="79F5ACDA" w14:textId="77777777" w:rsidR="00E93F58" w:rsidRPr="006E709F" w:rsidRDefault="00E93F58" w:rsidP="00A801D0">
      <w:pPr>
        <w:pStyle w:val="subsection"/>
      </w:pPr>
      <w:r w:rsidRPr="006E709F">
        <w:rPr>
          <w:color w:val="000000"/>
        </w:rPr>
        <w:t>4.</w:t>
      </w:r>
      <w:r w:rsidRPr="006E709F">
        <w:rPr>
          <w:color w:val="000000"/>
        </w:rPr>
        <w:tab/>
      </w:r>
      <w:r w:rsidRPr="006E709F">
        <w:rPr>
          <w:color w:val="000000"/>
        </w:rPr>
        <w:tab/>
        <w:t>The following provisions of Book 6 of the Prudential Notes and Prudential Standards issued by AFIC under Part 4 of the AFIC Code of a State or Territory, as in force immediately before the transfer date:</w:t>
      </w:r>
    </w:p>
    <w:p w14:paraId="60F5108B" w14:textId="77777777" w:rsidR="00E93F58" w:rsidRPr="006E709F" w:rsidRDefault="00E93F58" w:rsidP="00A801D0">
      <w:pPr>
        <w:pStyle w:val="paragraph"/>
      </w:pPr>
      <w:r w:rsidRPr="006E709F">
        <w:rPr>
          <w:color w:val="000000"/>
        </w:rPr>
        <w:tab/>
        <w:t>(a)</w:t>
      </w:r>
      <w:r w:rsidRPr="006E709F">
        <w:rPr>
          <w:color w:val="000000"/>
        </w:rPr>
        <w:tab/>
        <w:t>Prudential Standard 6.7.2;</w:t>
      </w:r>
    </w:p>
    <w:p w14:paraId="34888D52" w14:textId="77777777" w:rsidR="00E93F58" w:rsidRPr="006E709F" w:rsidRDefault="00E93F58" w:rsidP="00A801D0">
      <w:pPr>
        <w:pStyle w:val="paragraph"/>
      </w:pPr>
      <w:r w:rsidRPr="006E709F">
        <w:tab/>
        <w:t>(b)</w:t>
      </w:r>
      <w:r w:rsidRPr="006E709F">
        <w:tab/>
        <w:t>Prudential Standard 6.7.4;</w:t>
      </w:r>
    </w:p>
    <w:p w14:paraId="75A2610C" w14:textId="77777777" w:rsidR="00E93F58" w:rsidRPr="006E709F" w:rsidRDefault="00E93F58" w:rsidP="00A801D0">
      <w:pPr>
        <w:pStyle w:val="paragraph"/>
      </w:pPr>
      <w:r w:rsidRPr="006E709F">
        <w:tab/>
        <w:t>(c)</w:t>
      </w:r>
      <w:r w:rsidRPr="006E709F">
        <w:tab/>
        <w:t>Prudential Standard 6.7.5;</w:t>
      </w:r>
    </w:p>
    <w:p w14:paraId="7171F687" w14:textId="77777777" w:rsidR="00E93F58" w:rsidRPr="006E709F" w:rsidRDefault="00E93F58" w:rsidP="00A801D0">
      <w:pPr>
        <w:pStyle w:val="paragraph"/>
      </w:pPr>
      <w:r w:rsidRPr="006E709F">
        <w:tab/>
        <w:t>(d)</w:t>
      </w:r>
      <w:r w:rsidRPr="006E709F">
        <w:tab/>
        <w:t>Prudential Standard 6.8.3.</w:t>
      </w:r>
    </w:p>
    <w:p w14:paraId="3C0B8BE9" w14:textId="77777777" w:rsidR="00E93F58" w:rsidRPr="006E709F" w:rsidRDefault="00E93F58" w:rsidP="00A52BA3">
      <w:pPr>
        <w:pStyle w:val="ActHead1"/>
        <w:pageBreakBefore/>
      </w:pPr>
      <w:bookmarkStart w:id="3622" w:name="_Toc151992559"/>
      <w:bookmarkStart w:id="3623" w:name="_Toc158713596"/>
      <w:r w:rsidRPr="000C4237">
        <w:rPr>
          <w:rStyle w:val="CharChapNo"/>
        </w:rPr>
        <w:lastRenderedPageBreak/>
        <w:t>Schedule 13</w:t>
      </w:r>
      <w:r w:rsidRPr="006E709F">
        <w:t>—</w:t>
      </w:r>
      <w:r w:rsidRPr="000C4237">
        <w:rPr>
          <w:rStyle w:val="CharChapText"/>
        </w:rPr>
        <w:t>Transition to Part 3 of the Insolvency Practice Schedule (Corporations)</w:t>
      </w:r>
      <w:bookmarkEnd w:id="3622"/>
      <w:bookmarkEnd w:id="3623"/>
    </w:p>
    <w:p w14:paraId="22032EA8" w14:textId="77777777" w:rsidR="00E93F58" w:rsidRPr="006E709F" w:rsidRDefault="00E93F58" w:rsidP="009244F1">
      <w:pPr>
        <w:pStyle w:val="notemargin"/>
      </w:pPr>
      <w:r w:rsidRPr="006E709F">
        <w:t>Note:</w:t>
      </w:r>
      <w:r w:rsidRPr="006E709F">
        <w:tab/>
        <w:t>See subregulation 10.25.01(3).</w:t>
      </w:r>
    </w:p>
    <w:p w14:paraId="6F21A1AB" w14:textId="77777777" w:rsidR="00E93F58" w:rsidRPr="006E709F" w:rsidRDefault="00E93F58" w:rsidP="00E8131B">
      <w:pPr>
        <w:pStyle w:val="Header"/>
      </w:pPr>
      <w:r w:rsidRPr="000C4237">
        <w:rPr>
          <w:rStyle w:val="CharPartNo"/>
        </w:rPr>
        <w:t xml:space="preserve"> </w:t>
      </w:r>
      <w:r w:rsidRPr="000C4237">
        <w:rPr>
          <w:rStyle w:val="CharPartText"/>
        </w:rPr>
        <w:t xml:space="preserve"> </w:t>
      </w:r>
    </w:p>
    <w:p w14:paraId="784417A0" w14:textId="77777777" w:rsidR="00E93F58" w:rsidRPr="006E709F" w:rsidRDefault="00E93F58" w:rsidP="00E8131B">
      <w:pPr>
        <w:pStyle w:val="Header"/>
      </w:pPr>
      <w:r w:rsidRPr="000C4237">
        <w:rPr>
          <w:rStyle w:val="CharDivNo"/>
        </w:rPr>
        <w:t xml:space="preserve"> </w:t>
      </w:r>
      <w:r w:rsidRPr="000C4237">
        <w:rPr>
          <w:rStyle w:val="CharDivText"/>
        </w:rPr>
        <w:t xml:space="preserve"> </w:t>
      </w:r>
    </w:p>
    <w:p w14:paraId="674B54BA" w14:textId="77777777" w:rsidR="00E93F58" w:rsidRPr="006E709F" w:rsidRDefault="00E93F58" w:rsidP="00F00C89">
      <w:pPr>
        <w:pStyle w:val="Specialaat"/>
      </w:pPr>
      <w:r w:rsidRPr="006E709F">
        <w:t>Corporations Act 2001</w:t>
      </w:r>
    </w:p>
    <w:p w14:paraId="4FFE4A4C" w14:textId="77777777" w:rsidR="00E93F58" w:rsidRPr="006E709F" w:rsidRDefault="00E93F58" w:rsidP="00A52BA3">
      <w:pPr>
        <w:pStyle w:val="ItemHead"/>
      </w:pPr>
      <w:r w:rsidRPr="006E709F">
        <w:t>1  Section 1550 (paragraph relating to Part 3)</w:t>
      </w:r>
    </w:p>
    <w:p w14:paraId="69752092" w14:textId="77777777" w:rsidR="00E93F58" w:rsidRPr="006E709F" w:rsidRDefault="00E93F58" w:rsidP="00F925D9">
      <w:pPr>
        <w:pStyle w:val="Item"/>
        <w:keepLines w:val="0"/>
      </w:pPr>
      <w:r w:rsidRPr="006E709F">
        <w:t xml:space="preserve">Omit “that starts on or after the commencement of Part 1 of Schedule 2 to the </w:t>
      </w:r>
      <w:r w:rsidRPr="006E709F">
        <w:rPr>
          <w:i/>
        </w:rPr>
        <w:t>Insolvency Law Reform Act 2016</w:t>
      </w:r>
      <w:r w:rsidRPr="006E709F">
        <w:t>”, substitute “that starts on or after 1 September 2017”.</w:t>
      </w:r>
    </w:p>
    <w:p w14:paraId="4D6F6E82" w14:textId="77777777" w:rsidR="00E93F58" w:rsidRPr="006E709F" w:rsidRDefault="00E93F58" w:rsidP="00A52BA3">
      <w:pPr>
        <w:pStyle w:val="ItemHead"/>
      </w:pPr>
      <w:r w:rsidRPr="006E709F">
        <w:t>2  After section 1554</w:t>
      </w:r>
    </w:p>
    <w:p w14:paraId="46EF5987" w14:textId="77777777" w:rsidR="00E93F58" w:rsidRPr="006E709F" w:rsidRDefault="00E93F58" w:rsidP="00E8131B">
      <w:pPr>
        <w:pStyle w:val="Item"/>
      </w:pPr>
      <w:r w:rsidRPr="006E709F">
        <w:t>Insert:</w:t>
      </w:r>
    </w:p>
    <w:p w14:paraId="674A63E3" w14:textId="77777777" w:rsidR="00E93F58" w:rsidRPr="006E709F" w:rsidRDefault="00E93F58" w:rsidP="00A52BA3">
      <w:pPr>
        <w:pStyle w:val="Specials"/>
      </w:pPr>
      <w:r w:rsidRPr="006E709F">
        <w:t>1554A  Saving of Register of Official Liquidators</w:t>
      </w:r>
    </w:p>
    <w:p w14:paraId="2BE6DF1F" w14:textId="77777777" w:rsidR="00E93F58" w:rsidRPr="006E709F" w:rsidRDefault="00E93F58" w:rsidP="00E8131B">
      <w:pPr>
        <w:pStyle w:val="subsection"/>
      </w:pPr>
      <w:r w:rsidRPr="006E709F">
        <w:tab/>
        <w:t>(1)</w:t>
      </w:r>
      <w:r w:rsidRPr="006E709F">
        <w:tab/>
        <w:t>This section applies to the Register of Official Liquidators kept in accordance with subsection 1286(2) of the old Act.</w:t>
      </w:r>
    </w:p>
    <w:p w14:paraId="530A7211" w14:textId="77777777" w:rsidR="00E93F58" w:rsidRPr="006E709F" w:rsidRDefault="00E93F58" w:rsidP="00E8131B">
      <w:pPr>
        <w:pStyle w:val="subsection"/>
      </w:pPr>
      <w:r w:rsidRPr="006E709F">
        <w:tab/>
        <w:t>(2)</w:t>
      </w:r>
      <w:r w:rsidRPr="006E709F">
        <w:tab/>
        <w:t xml:space="preserve">Despite the repeal of sections 1283 and 1286 by Schedule 2 to the </w:t>
      </w:r>
      <w:r w:rsidRPr="006E709F">
        <w:rPr>
          <w:i/>
        </w:rPr>
        <w:t>Insolvency Law Reform Act 2016</w:t>
      </w:r>
      <w:r w:rsidRPr="006E709F">
        <w:t>, the Register of Official Liquidators continues in existence, and may be dealt with, as if those repeals had not happened.</w:t>
      </w:r>
    </w:p>
    <w:p w14:paraId="52C6CCCB" w14:textId="77777777" w:rsidR="00E93F58" w:rsidRPr="006E709F" w:rsidRDefault="00E93F58" w:rsidP="00A52BA3">
      <w:pPr>
        <w:pStyle w:val="ItemHead"/>
      </w:pPr>
      <w:r w:rsidRPr="006E709F">
        <w:t>3  Section 1578 (paragraph relating to new external administrations)</w:t>
      </w:r>
    </w:p>
    <w:p w14:paraId="2FAB60B0" w14:textId="77777777" w:rsidR="00E93F58" w:rsidRPr="006E709F" w:rsidRDefault="00E93F58" w:rsidP="00F925D9">
      <w:pPr>
        <w:pStyle w:val="Item"/>
        <w:keepLines w:val="0"/>
      </w:pPr>
      <w:r w:rsidRPr="006E709F">
        <w:t xml:space="preserve">Omit “the commencement of the </w:t>
      </w:r>
      <w:r w:rsidRPr="006E709F">
        <w:rPr>
          <w:i/>
        </w:rPr>
        <w:t>Insolvency Law Reform Act 2016</w:t>
      </w:r>
      <w:r w:rsidRPr="006E709F">
        <w:t xml:space="preserve"> (called new external administrations)”, substitute “1 September 2017”.</w:t>
      </w:r>
    </w:p>
    <w:p w14:paraId="5CA90AB7" w14:textId="77777777" w:rsidR="00E93F58" w:rsidRPr="006E709F" w:rsidRDefault="00E93F58" w:rsidP="00A52BA3">
      <w:pPr>
        <w:pStyle w:val="ItemHead"/>
      </w:pPr>
      <w:r w:rsidRPr="006E709F">
        <w:t>4  Section 1579</w:t>
      </w:r>
    </w:p>
    <w:p w14:paraId="5C0CF2F5" w14:textId="77777777" w:rsidR="00E93F58" w:rsidRPr="006E709F" w:rsidRDefault="00E93F58" w:rsidP="00F925D9">
      <w:pPr>
        <w:pStyle w:val="Item"/>
        <w:keepLines w:val="0"/>
      </w:pPr>
      <w:r w:rsidRPr="006E709F">
        <w:t>Repeal the section, substitute:</w:t>
      </w:r>
    </w:p>
    <w:p w14:paraId="77D19118" w14:textId="77777777" w:rsidR="00E93F58" w:rsidRPr="006E709F" w:rsidRDefault="00E93F58" w:rsidP="00A52BA3">
      <w:pPr>
        <w:pStyle w:val="Specials"/>
      </w:pPr>
      <w:r w:rsidRPr="006E709F">
        <w:t>1579  Application of Part 3 of the Insolvency Practice Schedule (Corporations)—general rules</w:t>
      </w:r>
    </w:p>
    <w:p w14:paraId="3DB83BBB" w14:textId="77777777" w:rsidR="00E93F58" w:rsidRPr="006E709F" w:rsidRDefault="00E93F58" w:rsidP="00E8131B">
      <w:pPr>
        <w:pStyle w:val="subsection"/>
      </w:pPr>
      <w:r w:rsidRPr="006E709F">
        <w:tab/>
        <w:t>(1)</w:t>
      </w:r>
      <w:r w:rsidRPr="006E709F">
        <w:tab/>
        <w:t>Part 3 of the Insolvency Practice Schedule (Corporations) applies in relation to an external administration of a company that starts on or after 1 September 2017.</w:t>
      </w:r>
    </w:p>
    <w:p w14:paraId="5FD85211" w14:textId="77777777" w:rsidR="00E93F58" w:rsidRPr="006E709F" w:rsidRDefault="00E93F58" w:rsidP="00E8131B">
      <w:pPr>
        <w:pStyle w:val="subsection"/>
      </w:pPr>
      <w:r w:rsidRPr="006E709F">
        <w:tab/>
        <w:t>(2)</w:t>
      </w:r>
      <w:r w:rsidRPr="006E709F">
        <w:tab/>
        <w:t>Part 3 of the Insolvency Practice Schedule (Corporations) applies in relation to an ongoing external administration of a company in accordance with this Division.</w:t>
      </w:r>
    </w:p>
    <w:p w14:paraId="08D14DEA" w14:textId="77777777" w:rsidR="00E93F58" w:rsidRPr="006E709F" w:rsidRDefault="00E93F58" w:rsidP="00A52BA3">
      <w:pPr>
        <w:pStyle w:val="ItemHead"/>
      </w:pPr>
      <w:r w:rsidRPr="006E709F">
        <w:t>5  Sections 1581 and 1582</w:t>
      </w:r>
    </w:p>
    <w:p w14:paraId="60A6C786" w14:textId="77777777" w:rsidR="00E93F58" w:rsidRPr="006E709F" w:rsidRDefault="00E93F58" w:rsidP="00E8131B">
      <w:pPr>
        <w:pStyle w:val="Item"/>
      </w:pPr>
      <w:r w:rsidRPr="006E709F">
        <w:t>Repeal the sections, substitute:</w:t>
      </w:r>
    </w:p>
    <w:p w14:paraId="79413E63" w14:textId="77777777" w:rsidR="00E93F58" w:rsidRPr="006E709F" w:rsidRDefault="00E93F58" w:rsidP="00A52BA3">
      <w:pPr>
        <w:pStyle w:val="Specials"/>
      </w:pPr>
      <w:r w:rsidRPr="006E709F">
        <w:t>1581  Old Act continues to apply in relation to remuneration for administrators already appointed or appointed during transition period</w:t>
      </w:r>
    </w:p>
    <w:p w14:paraId="57034C95" w14:textId="77777777" w:rsidR="00E93F58" w:rsidRPr="006E709F" w:rsidRDefault="00E93F58" w:rsidP="00E8131B">
      <w:pPr>
        <w:pStyle w:val="subsection"/>
      </w:pPr>
      <w:r w:rsidRPr="006E709F">
        <w:tab/>
        <w:t>(1)</w:t>
      </w:r>
      <w:r w:rsidRPr="006E709F">
        <w:tab/>
        <w:t xml:space="preserve">Despite the repeal of sections 449E and 473 and the repeal and substitution of subsections 499(3) to (7) of the old Act by Schedule 2 to the </w:t>
      </w:r>
      <w:r w:rsidRPr="006E709F">
        <w:rPr>
          <w:i/>
        </w:rPr>
        <w:t>Insolvency Law Reform Act 2016</w:t>
      </w:r>
      <w:r w:rsidRPr="006E709F">
        <w:t>, the old Act continues to apply in relation to the remuneration of an external administrator of a company who is appointed:</w:t>
      </w:r>
    </w:p>
    <w:p w14:paraId="349DCA45" w14:textId="77777777" w:rsidR="00E93F58" w:rsidRPr="006E709F" w:rsidRDefault="00E93F58" w:rsidP="00E8131B">
      <w:pPr>
        <w:pStyle w:val="paragraph"/>
      </w:pPr>
      <w:r w:rsidRPr="006E709F">
        <w:tab/>
        <w:t>(a)</w:t>
      </w:r>
      <w:r w:rsidRPr="006E709F">
        <w:tab/>
        <w:t>before the start time; or</w:t>
      </w:r>
    </w:p>
    <w:p w14:paraId="24658040" w14:textId="77777777" w:rsidR="00E93F58" w:rsidRPr="006E709F" w:rsidRDefault="00E93F58" w:rsidP="00E8131B">
      <w:pPr>
        <w:pStyle w:val="paragraph"/>
      </w:pPr>
      <w:r w:rsidRPr="006E709F">
        <w:tab/>
        <w:t>(b)</w:t>
      </w:r>
      <w:r w:rsidRPr="006E709F">
        <w:tab/>
        <w:t>during the transition period.</w:t>
      </w:r>
    </w:p>
    <w:p w14:paraId="64F5E027" w14:textId="77777777" w:rsidR="00E93F58" w:rsidRPr="006E709F" w:rsidRDefault="00E93F58" w:rsidP="00E8131B">
      <w:pPr>
        <w:pStyle w:val="subsection"/>
      </w:pPr>
      <w:r w:rsidRPr="006E709F">
        <w:tab/>
        <w:t>(2)</w:t>
      </w:r>
      <w:r w:rsidRPr="006E709F">
        <w:tab/>
        <w:t>Despite subsection (1), if, under Subdivision F of this Division, Division 75 of the Insolvency Practice Schedule (Corporations) rather than the old Act would apply to a meeting that deals with the remuneration of an external administrator of a company who is appointed before the start time or during the transition period, Division 75 of the Insolvency Practice Schedule (Corporations) applies to that meeting.</w:t>
      </w:r>
    </w:p>
    <w:p w14:paraId="47A52E41" w14:textId="77777777" w:rsidR="00E93F58" w:rsidRPr="006E709F" w:rsidRDefault="00E93F58" w:rsidP="00E8131B">
      <w:pPr>
        <w:pStyle w:val="subsection"/>
      </w:pPr>
      <w:r w:rsidRPr="006E709F">
        <w:tab/>
        <w:t>(3)</w:t>
      </w:r>
      <w:r w:rsidRPr="006E709F">
        <w:tab/>
        <w:t>In this section:</w:t>
      </w:r>
    </w:p>
    <w:p w14:paraId="26EC57A5" w14:textId="77777777" w:rsidR="00E93F58" w:rsidRPr="006E709F" w:rsidRDefault="00E93F58" w:rsidP="00E8131B">
      <w:pPr>
        <w:pStyle w:val="Definition"/>
      </w:pPr>
      <w:r w:rsidRPr="006E709F">
        <w:rPr>
          <w:b/>
          <w:i/>
        </w:rPr>
        <w:t>start time</w:t>
      </w:r>
      <w:r w:rsidRPr="006E709F">
        <w:t xml:space="preserve"> means the commencement of Schedule 1 to the </w:t>
      </w:r>
      <w:r w:rsidRPr="006E709F">
        <w:rPr>
          <w:i/>
        </w:rPr>
        <w:t>Insolvency Law Reform Act 2016</w:t>
      </w:r>
      <w:r w:rsidRPr="006E709F">
        <w:t>.</w:t>
      </w:r>
    </w:p>
    <w:p w14:paraId="53EB1B39" w14:textId="77777777" w:rsidR="00E93F58" w:rsidRPr="006E709F" w:rsidRDefault="00E93F58" w:rsidP="00E8131B">
      <w:pPr>
        <w:pStyle w:val="Definition"/>
      </w:pPr>
      <w:r w:rsidRPr="006E709F">
        <w:rPr>
          <w:b/>
          <w:i/>
        </w:rPr>
        <w:t>transition period</w:t>
      </w:r>
      <w:r w:rsidRPr="006E709F">
        <w:t xml:space="preserve"> means the period:</w:t>
      </w:r>
    </w:p>
    <w:p w14:paraId="7D804214" w14:textId="77777777" w:rsidR="00E93F58" w:rsidRPr="006E709F" w:rsidRDefault="00E93F58" w:rsidP="00E8131B">
      <w:pPr>
        <w:pStyle w:val="paragraph"/>
      </w:pPr>
      <w:r w:rsidRPr="006E709F">
        <w:lastRenderedPageBreak/>
        <w:tab/>
        <w:t>(a)</w:t>
      </w:r>
      <w:r w:rsidRPr="006E709F">
        <w:tab/>
        <w:t>starting immediately after the start time; and</w:t>
      </w:r>
    </w:p>
    <w:p w14:paraId="3C73FA71" w14:textId="77777777" w:rsidR="00E93F58" w:rsidRPr="006E709F" w:rsidRDefault="00E93F58" w:rsidP="00E8131B">
      <w:pPr>
        <w:pStyle w:val="paragraph"/>
      </w:pPr>
      <w:r w:rsidRPr="006E709F">
        <w:tab/>
        <w:t>(b)</w:t>
      </w:r>
      <w:r w:rsidRPr="006E709F">
        <w:tab/>
        <w:t>ending at the end of 31 August 2017.</w:t>
      </w:r>
    </w:p>
    <w:p w14:paraId="485BA096" w14:textId="77777777" w:rsidR="00E93F58" w:rsidRPr="006E709F" w:rsidRDefault="00E93F58" w:rsidP="00A52BA3">
      <w:pPr>
        <w:pStyle w:val="Specials"/>
      </w:pPr>
      <w:r w:rsidRPr="006E709F">
        <w:t>1582  Duties of administrators relating to remuneration and other benefits</w:t>
      </w:r>
    </w:p>
    <w:p w14:paraId="7E2C64AB" w14:textId="77777777" w:rsidR="00E93F58" w:rsidRPr="006E709F" w:rsidRDefault="00E93F58" w:rsidP="00E8131B">
      <w:pPr>
        <w:pStyle w:val="subsection"/>
      </w:pPr>
      <w:r w:rsidRPr="006E709F">
        <w:tab/>
        <w:t>(1)</w:t>
      </w:r>
      <w:r w:rsidRPr="006E709F">
        <w:tab/>
        <w:t>Section 60</w:t>
      </w:r>
      <w:r>
        <w:noBreakHyphen/>
      </w:r>
      <w:r w:rsidRPr="006E709F">
        <w:t>20 of the Insolvency Practice Schedule (Corporations) applies on and after 1 September 2017 in relation to an external administrator of an ongoing external administration of a company regardless of when the administrator was appointed.</w:t>
      </w:r>
    </w:p>
    <w:p w14:paraId="081EED95" w14:textId="77777777" w:rsidR="00E93F58" w:rsidRPr="006E709F" w:rsidRDefault="00E93F58" w:rsidP="00E8131B">
      <w:pPr>
        <w:pStyle w:val="subsection"/>
      </w:pPr>
      <w:r w:rsidRPr="006E709F">
        <w:tab/>
        <w:t>(2)</w:t>
      </w:r>
      <w:r w:rsidRPr="006E709F">
        <w:tab/>
        <w:t>However, that section does not apply in relation to arrangements made before 1 September 2017.</w:t>
      </w:r>
    </w:p>
    <w:p w14:paraId="258D318A" w14:textId="77777777" w:rsidR="00E93F58" w:rsidRPr="006E709F" w:rsidRDefault="00E93F58" w:rsidP="00A52BA3">
      <w:pPr>
        <w:pStyle w:val="ItemHead"/>
      </w:pPr>
      <w:r w:rsidRPr="006E709F">
        <w:t>6  Subsection 1582(1)</w:t>
      </w:r>
    </w:p>
    <w:p w14:paraId="34B24EC1" w14:textId="77777777" w:rsidR="00E93F58" w:rsidRPr="006E709F" w:rsidRDefault="00E93F58" w:rsidP="00F925D9">
      <w:pPr>
        <w:pStyle w:val="Item"/>
        <w:keepLines w:val="0"/>
      </w:pPr>
      <w:r w:rsidRPr="006E709F">
        <w:t>After “applies”, insert “on and after 1 September 2017”.</w:t>
      </w:r>
    </w:p>
    <w:p w14:paraId="378410DD" w14:textId="77777777" w:rsidR="00E93F58" w:rsidRPr="006E709F" w:rsidRDefault="00E93F58" w:rsidP="00A52BA3">
      <w:pPr>
        <w:pStyle w:val="ItemHead"/>
      </w:pPr>
      <w:r w:rsidRPr="006E709F">
        <w:t>7  Section 1584</w:t>
      </w:r>
    </w:p>
    <w:p w14:paraId="6087C473" w14:textId="77777777" w:rsidR="00E93F58" w:rsidRPr="006E709F" w:rsidRDefault="00E93F58" w:rsidP="00F925D9">
      <w:pPr>
        <w:pStyle w:val="Item"/>
        <w:keepLines w:val="0"/>
      </w:pPr>
      <w:r w:rsidRPr="006E709F">
        <w:t>Omit all the words after “applies”, substitute “on and after 1 September 2017 regardless of when the vacancy in the office of the liquidator arose”.</w:t>
      </w:r>
    </w:p>
    <w:p w14:paraId="53886BA2" w14:textId="77777777" w:rsidR="00E93F58" w:rsidRPr="006E709F" w:rsidRDefault="00E93F58" w:rsidP="00A52BA3">
      <w:pPr>
        <w:pStyle w:val="ItemHead"/>
      </w:pPr>
      <w:r w:rsidRPr="006E709F">
        <w:t>8  At the end of section 1586</w:t>
      </w:r>
    </w:p>
    <w:p w14:paraId="3396095B" w14:textId="77777777" w:rsidR="00E93F58" w:rsidRPr="006E709F" w:rsidRDefault="00E93F58" w:rsidP="00F925D9">
      <w:pPr>
        <w:pStyle w:val="Item"/>
        <w:keepLines w:val="0"/>
      </w:pPr>
      <w:r w:rsidRPr="006E709F">
        <w:t>Add “on and after 1 September 2017”.</w:t>
      </w:r>
    </w:p>
    <w:p w14:paraId="1DF1CA4B" w14:textId="77777777" w:rsidR="00E93F58" w:rsidRPr="006E709F" w:rsidRDefault="00E93F58" w:rsidP="00A52BA3">
      <w:pPr>
        <w:pStyle w:val="ItemHead"/>
      </w:pPr>
      <w:r w:rsidRPr="006E709F">
        <w:t>9  Subsection 1588(2) (heading)</w:t>
      </w:r>
    </w:p>
    <w:p w14:paraId="5FEA57BE" w14:textId="77777777" w:rsidR="00E93F58" w:rsidRPr="006E709F" w:rsidRDefault="00E93F58" w:rsidP="00E8131B">
      <w:pPr>
        <w:pStyle w:val="Item"/>
      </w:pPr>
      <w:r w:rsidRPr="006E709F">
        <w:t>Repeal the heading, substitute:</w:t>
      </w:r>
    </w:p>
    <w:p w14:paraId="3C34EC37" w14:textId="77777777" w:rsidR="00E93F58" w:rsidRPr="006E709F" w:rsidRDefault="00E93F58" w:rsidP="00E8131B">
      <w:pPr>
        <w:pStyle w:val="SubsectionHead"/>
      </w:pPr>
      <w:r w:rsidRPr="006E709F">
        <w:t>Old regulations continue to apply to money received before 1 September 2017</w:t>
      </w:r>
    </w:p>
    <w:p w14:paraId="5556CBCD" w14:textId="77777777" w:rsidR="00E93F58" w:rsidRPr="006E709F" w:rsidRDefault="00E93F58" w:rsidP="00A52BA3">
      <w:pPr>
        <w:pStyle w:val="ItemHead"/>
      </w:pPr>
      <w:r w:rsidRPr="006E709F">
        <w:t>10  Subsection 1590(2) (heading)</w:t>
      </w:r>
    </w:p>
    <w:p w14:paraId="7DD55ECC" w14:textId="77777777" w:rsidR="00E93F58" w:rsidRPr="006E709F" w:rsidRDefault="00E93F58" w:rsidP="00E8131B">
      <w:pPr>
        <w:pStyle w:val="Item"/>
      </w:pPr>
      <w:r w:rsidRPr="006E709F">
        <w:t>Repeal the heading, substitute:</w:t>
      </w:r>
    </w:p>
    <w:p w14:paraId="7DA2A474" w14:textId="77777777" w:rsidR="00E93F58" w:rsidRPr="006E709F" w:rsidRDefault="00E93F58" w:rsidP="00E8131B">
      <w:pPr>
        <w:pStyle w:val="SubsectionHead"/>
      </w:pPr>
      <w:r w:rsidRPr="006E709F">
        <w:t>Old regulations continue to apply to securities received before 1 September 2017</w:t>
      </w:r>
    </w:p>
    <w:p w14:paraId="638BE927" w14:textId="77777777" w:rsidR="00E93F58" w:rsidRPr="006E709F" w:rsidRDefault="00E93F58" w:rsidP="00A52BA3">
      <w:pPr>
        <w:pStyle w:val="ItemHead"/>
      </w:pPr>
      <w:r w:rsidRPr="006E709F">
        <w:t>11  At the end of section 1591</w:t>
      </w:r>
    </w:p>
    <w:p w14:paraId="097C767B" w14:textId="77777777" w:rsidR="00E93F58" w:rsidRPr="006E709F" w:rsidRDefault="00E93F58" w:rsidP="00F925D9">
      <w:pPr>
        <w:pStyle w:val="Item"/>
        <w:keepLines w:val="0"/>
      </w:pPr>
      <w:r w:rsidRPr="006E709F">
        <w:t>Add “on and after 1 September 2017”.</w:t>
      </w:r>
    </w:p>
    <w:p w14:paraId="06DA0316" w14:textId="77777777" w:rsidR="00E93F58" w:rsidRPr="006E709F" w:rsidRDefault="00E93F58" w:rsidP="00A52BA3">
      <w:pPr>
        <w:pStyle w:val="ItemHead"/>
      </w:pPr>
      <w:r w:rsidRPr="006E709F">
        <w:t>12  Section 1592</w:t>
      </w:r>
    </w:p>
    <w:p w14:paraId="74B51185" w14:textId="77777777" w:rsidR="00E93F58" w:rsidRPr="006E709F" w:rsidRDefault="00E93F58" w:rsidP="00F925D9">
      <w:pPr>
        <w:pStyle w:val="Item"/>
        <w:keepLines w:val="0"/>
      </w:pPr>
      <w:r w:rsidRPr="006E709F">
        <w:t>Repeal the section, substitute:</w:t>
      </w:r>
    </w:p>
    <w:p w14:paraId="616E13CD" w14:textId="77777777" w:rsidR="00E93F58" w:rsidRPr="006E709F" w:rsidRDefault="00E93F58" w:rsidP="00A52BA3">
      <w:pPr>
        <w:pStyle w:val="Specials"/>
      </w:pPr>
      <w:r w:rsidRPr="006E709F">
        <w:t>1592  Transitional rules for annual administration returns</w:t>
      </w:r>
    </w:p>
    <w:p w14:paraId="56FA7C4F" w14:textId="77777777" w:rsidR="00E93F58" w:rsidRPr="006E709F" w:rsidRDefault="00E93F58" w:rsidP="00E8131B">
      <w:pPr>
        <w:pStyle w:val="subsection"/>
      </w:pPr>
      <w:r w:rsidRPr="006E709F">
        <w:tab/>
        <w:t>(1)</w:t>
      </w:r>
      <w:r w:rsidRPr="006E709F">
        <w:tab/>
        <w:t>Section 70</w:t>
      </w:r>
      <w:r>
        <w:noBreakHyphen/>
      </w:r>
      <w:r w:rsidRPr="006E709F">
        <w:t>5 of the Insolvency Practice Schedule (Corporations) applies in relation to a person if the person first began to be an external administrator of a company on or after 1 September 2017.</w:t>
      </w:r>
    </w:p>
    <w:p w14:paraId="627FBE8F" w14:textId="77777777" w:rsidR="00E93F58" w:rsidRPr="006E709F" w:rsidRDefault="00E93F58" w:rsidP="00E8131B">
      <w:pPr>
        <w:pStyle w:val="subsection"/>
      </w:pPr>
      <w:r w:rsidRPr="006E709F">
        <w:tab/>
        <w:t>(2)</w:t>
      </w:r>
      <w:r w:rsidRPr="006E709F">
        <w:tab/>
        <w:t>Section 70</w:t>
      </w:r>
      <w:r>
        <w:noBreakHyphen/>
      </w:r>
      <w:r w:rsidRPr="006E709F">
        <w:t>5 of the Insolvency Practice Schedule (Corporations) also applies in relation to a person if the person first began to be an external administrator of a company before 1 September 2017 as if the reference in that section to an administration return year for the administrator were a reference to:</w:t>
      </w:r>
    </w:p>
    <w:p w14:paraId="59BE6850" w14:textId="77777777" w:rsidR="00E93F58" w:rsidRPr="006E709F" w:rsidRDefault="00E93F58" w:rsidP="00E8131B">
      <w:pPr>
        <w:pStyle w:val="paragraph"/>
      </w:pPr>
      <w:r w:rsidRPr="006E709F">
        <w:tab/>
        <w:t>(a)</w:t>
      </w:r>
      <w:r w:rsidRPr="006E709F">
        <w:tab/>
        <w:t>the first full year starting on or after 1 September 2017 that is an anniversary of when the person first began to be the external administrator of the company; and</w:t>
      </w:r>
    </w:p>
    <w:p w14:paraId="78B4A245" w14:textId="77777777" w:rsidR="00E93F58" w:rsidRPr="006E709F" w:rsidRDefault="00E93F58" w:rsidP="00E8131B">
      <w:pPr>
        <w:pStyle w:val="paragraph"/>
      </w:pPr>
      <w:r w:rsidRPr="006E709F">
        <w:tab/>
        <w:t>(b)</w:t>
      </w:r>
      <w:r w:rsidRPr="006E709F">
        <w:tab/>
        <w:t>each subsequent period of 12 months.</w:t>
      </w:r>
    </w:p>
    <w:p w14:paraId="44C22FC5" w14:textId="77777777" w:rsidR="00E93F58" w:rsidRPr="006E709F" w:rsidRDefault="00E93F58" w:rsidP="00E8131B">
      <w:pPr>
        <w:pStyle w:val="subsection"/>
      </w:pPr>
      <w:r w:rsidRPr="006E709F">
        <w:tab/>
        <w:t>(3)</w:t>
      </w:r>
      <w:r w:rsidRPr="006E709F">
        <w:tab/>
        <w:t xml:space="preserve">Despite the repeal of the old return provisions by Schedule 2 to the </w:t>
      </w:r>
      <w:r w:rsidRPr="006E709F">
        <w:rPr>
          <w:i/>
        </w:rPr>
        <w:t>Insolvency Law Reform Act 2016</w:t>
      </w:r>
      <w:r w:rsidRPr="006E709F">
        <w:t>, those provisions continue to apply to an external administrator of a company appointed before 1 September 2017:</w:t>
      </w:r>
    </w:p>
    <w:p w14:paraId="68AF7866" w14:textId="77777777" w:rsidR="00E93F58" w:rsidRPr="006E709F" w:rsidRDefault="00E93F58" w:rsidP="00E8131B">
      <w:pPr>
        <w:pStyle w:val="paragraph"/>
      </w:pPr>
      <w:r w:rsidRPr="006E709F">
        <w:tab/>
        <w:t>(a)</w:t>
      </w:r>
      <w:r w:rsidRPr="006E709F">
        <w:tab/>
        <w:t>if the end of the 6</w:t>
      </w:r>
      <w:r>
        <w:noBreakHyphen/>
      </w:r>
      <w:r w:rsidRPr="006E709F">
        <w:t>month period referred to in the old return provisions occurs before 1 March 2018—in relation to that period; and</w:t>
      </w:r>
    </w:p>
    <w:p w14:paraId="2EAAC71C" w14:textId="77777777" w:rsidR="00E93F58" w:rsidRPr="006E709F" w:rsidRDefault="00E93F58" w:rsidP="00E8131B">
      <w:pPr>
        <w:pStyle w:val="paragraph"/>
      </w:pPr>
      <w:r w:rsidRPr="006E709F">
        <w:tab/>
        <w:t>(b)</w:t>
      </w:r>
      <w:r w:rsidRPr="006E709F">
        <w:tab/>
        <w:t>if the end of that period is not an anniversary of the administrator’s appointment—in relation to the subsequent 6</w:t>
      </w:r>
      <w:r>
        <w:noBreakHyphen/>
      </w:r>
      <w:r w:rsidRPr="006E709F">
        <w:t>month period.</w:t>
      </w:r>
    </w:p>
    <w:p w14:paraId="68A53FC8" w14:textId="77777777" w:rsidR="00E93F58" w:rsidRPr="006E709F" w:rsidRDefault="00E93F58" w:rsidP="00E8131B">
      <w:pPr>
        <w:pStyle w:val="subsection"/>
      </w:pPr>
      <w:r w:rsidRPr="006E709F">
        <w:tab/>
        <w:t>(4)</w:t>
      </w:r>
      <w:r w:rsidRPr="006E709F">
        <w:tab/>
        <w:t>To avoid doubt, despite the repeal of the old return provisions by Schedule 2 to the</w:t>
      </w:r>
      <w:r w:rsidRPr="006E709F">
        <w:rPr>
          <w:i/>
        </w:rPr>
        <w:t xml:space="preserve"> Insolvency Law Reform Act 2016</w:t>
      </w:r>
      <w:r w:rsidRPr="006E709F">
        <w:t>, audits may be continued in relation to accounts lodged under those provisions as if the old Act continued to apply.</w:t>
      </w:r>
    </w:p>
    <w:p w14:paraId="268CC7DB" w14:textId="77777777" w:rsidR="00E93F58" w:rsidRPr="006E709F" w:rsidRDefault="00E93F58" w:rsidP="00E8131B">
      <w:pPr>
        <w:pStyle w:val="subsection"/>
      </w:pPr>
      <w:r w:rsidRPr="006E709F">
        <w:tab/>
        <w:t>(5)</w:t>
      </w:r>
      <w:r w:rsidRPr="006E709F">
        <w:tab/>
        <w:t>In this section:</w:t>
      </w:r>
    </w:p>
    <w:p w14:paraId="01DBDB21" w14:textId="77777777" w:rsidR="00E93F58" w:rsidRPr="006E709F" w:rsidRDefault="00E93F58" w:rsidP="00E8131B">
      <w:pPr>
        <w:pStyle w:val="Definition"/>
      </w:pPr>
      <w:r w:rsidRPr="006E709F">
        <w:rPr>
          <w:b/>
          <w:i/>
        </w:rPr>
        <w:lastRenderedPageBreak/>
        <w:t>old return provisions</w:t>
      </w:r>
      <w:r w:rsidRPr="006E709F">
        <w:t xml:space="preserve"> means the following provisions of the old Act:</w:t>
      </w:r>
    </w:p>
    <w:p w14:paraId="6A7227CD" w14:textId="77777777" w:rsidR="00E93F58" w:rsidRPr="006E709F" w:rsidRDefault="00E93F58" w:rsidP="00E8131B">
      <w:pPr>
        <w:pStyle w:val="paragraph"/>
      </w:pPr>
      <w:r w:rsidRPr="006E709F">
        <w:tab/>
        <w:t>(a)</w:t>
      </w:r>
      <w:r w:rsidRPr="006E709F">
        <w:tab/>
        <w:t>subsection 438E(1);</w:t>
      </w:r>
    </w:p>
    <w:p w14:paraId="386DC0C3" w14:textId="77777777" w:rsidR="00E93F58" w:rsidRPr="006E709F" w:rsidRDefault="00E93F58" w:rsidP="00E8131B">
      <w:pPr>
        <w:pStyle w:val="paragraph"/>
      </w:pPr>
      <w:r w:rsidRPr="006E709F">
        <w:tab/>
        <w:t>(b)</w:t>
      </w:r>
      <w:r w:rsidRPr="006E709F">
        <w:tab/>
        <w:t>subsection 445J(1);</w:t>
      </w:r>
    </w:p>
    <w:p w14:paraId="6588C8C9" w14:textId="77777777" w:rsidR="00E93F58" w:rsidRPr="006E709F" w:rsidRDefault="00E93F58" w:rsidP="00E8131B">
      <w:pPr>
        <w:pStyle w:val="paragraph"/>
      </w:pPr>
      <w:r w:rsidRPr="006E709F">
        <w:tab/>
        <w:t>(c)</w:t>
      </w:r>
      <w:r w:rsidRPr="006E709F">
        <w:tab/>
        <w:t>subsection 539(1), other than the extent to which it relates to a liquidator ceasing to act as liquidator.</w:t>
      </w:r>
    </w:p>
    <w:p w14:paraId="4B8BBFF4" w14:textId="77777777" w:rsidR="00E93F58" w:rsidRPr="006E709F" w:rsidRDefault="00E93F58" w:rsidP="00A52BA3">
      <w:pPr>
        <w:pStyle w:val="Specials"/>
      </w:pPr>
      <w:r w:rsidRPr="006E709F">
        <w:t>1592A  Transitional rules for end of administration returns</w:t>
      </w:r>
    </w:p>
    <w:p w14:paraId="4B4FD3EC" w14:textId="77777777" w:rsidR="00E93F58" w:rsidRPr="006E709F" w:rsidRDefault="00E93F58" w:rsidP="00E8131B">
      <w:pPr>
        <w:pStyle w:val="subsection"/>
      </w:pPr>
      <w:r w:rsidRPr="006E709F">
        <w:tab/>
        <w:t>(1)</w:t>
      </w:r>
      <w:r w:rsidRPr="006E709F">
        <w:tab/>
        <w:t>Section 70</w:t>
      </w:r>
      <w:r>
        <w:noBreakHyphen/>
      </w:r>
      <w:r w:rsidRPr="006E709F">
        <w:t>6 of the Insolvency Practice Schedule (Corporations) applies in relation to external administrations that end on or after 1 September 2017.</w:t>
      </w:r>
    </w:p>
    <w:p w14:paraId="5081EE3C" w14:textId="77777777" w:rsidR="00E93F58" w:rsidRPr="006E709F" w:rsidRDefault="00E93F58" w:rsidP="00E8131B">
      <w:pPr>
        <w:pStyle w:val="subsection"/>
      </w:pPr>
      <w:r w:rsidRPr="006E709F">
        <w:tab/>
        <w:t>(2)</w:t>
      </w:r>
      <w:r w:rsidRPr="006E709F">
        <w:tab/>
        <w:t xml:space="preserve">Despite the repeal of the old return provisions by Schedule 2 to the </w:t>
      </w:r>
      <w:r w:rsidRPr="006E709F">
        <w:rPr>
          <w:i/>
        </w:rPr>
        <w:t>Insolvency Law Reform Act 2016</w:t>
      </w:r>
      <w:r w:rsidRPr="006E709F">
        <w:t>, those provisions continue to apply, in relation to an external administrator of a company, if the external administrator ceases to act as an external administrator for the company before 1 September 2017.</w:t>
      </w:r>
    </w:p>
    <w:p w14:paraId="239D440C" w14:textId="77777777" w:rsidR="00E93F58" w:rsidRPr="006E709F" w:rsidRDefault="00E93F58" w:rsidP="00E8131B">
      <w:pPr>
        <w:pStyle w:val="subsection"/>
      </w:pPr>
      <w:r w:rsidRPr="006E709F">
        <w:tab/>
        <w:t>(3)</w:t>
      </w:r>
      <w:r w:rsidRPr="006E709F">
        <w:tab/>
        <w:t>To avoid doubt, despite the repeal of the old return provisions by Schedule 2 to the</w:t>
      </w:r>
      <w:r w:rsidRPr="006E709F">
        <w:rPr>
          <w:i/>
        </w:rPr>
        <w:t xml:space="preserve"> Insolvency Law Reform Act 2016</w:t>
      </w:r>
      <w:r w:rsidRPr="006E709F">
        <w:t>, audits may be continued in relation to accounts lodged under those provisions as if the old Act continued to apply.</w:t>
      </w:r>
    </w:p>
    <w:p w14:paraId="63484870" w14:textId="77777777" w:rsidR="00E93F58" w:rsidRPr="006E709F" w:rsidRDefault="00E93F58" w:rsidP="00E8131B">
      <w:pPr>
        <w:pStyle w:val="subsection"/>
      </w:pPr>
      <w:r w:rsidRPr="006E709F">
        <w:tab/>
        <w:t>(4)</w:t>
      </w:r>
      <w:r w:rsidRPr="006E709F">
        <w:tab/>
        <w:t>In this section:</w:t>
      </w:r>
    </w:p>
    <w:p w14:paraId="670FE6D9" w14:textId="77777777" w:rsidR="00E93F58" w:rsidRPr="006E709F" w:rsidRDefault="00E93F58" w:rsidP="00E8131B">
      <w:pPr>
        <w:pStyle w:val="Definition"/>
      </w:pPr>
      <w:r w:rsidRPr="006E709F">
        <w:rPr>
          <w:b/>
          <w:i/>
        </w:rPr>
        <w:t>old return provisions</w:t>
      </w:r>
      <w:r w:rsidRPr="006E709F">
        <w:t xml:space="preserve"> means the following provisions of the old Act, as in force before their repeal by Schedule 2 to the </w:t>
      </w:r>
      <w:r w:rsidRPr="006E709F">
        <w:rPr>
          <w:i/>
        </w:rPr>
        <w:t>Insolvency Law Reform Act 2016</w:t>
      </w:r>
      <w:r w:rsidRPr="006E709F">
        <w:t>:</w:t>
      </w:r>
    </w:p>
    <w:p w14:paraId="6817FDD4" w14:textId="77777777" w:rsidR="00E93F58" w:rsidRPr="006E709F" w:rsidRDefault="00E93F58" w:rsidP="00E8131B">
      <w:pPr>
        <w:pStyle w:val="paragraph"/>
      </w:pPr>
      <w:r w:rsidRPr="006E709F">
        <w:tab/>
        <w:t>(a)</w:t>
      </w:r>
      <w:r w:rsidRPr="006E709F">
        <w:tab/>
        <w:t>subsection 438E(2);</w:t>
      </w:r>
    </w:p>
    <w:p w14:paraId="7B71968A" w14:textId="77777777" w:rsidR="00E93F58" w:rsidRPr="006E709F" w:rsidRDefault="00E93F58" w:rsidP="00E8131B">
      <w:pPr>
        <w:pStyle w:val="paragraph"/>
      </w:pPr>
      <w:r w:rsidRPr="006E709F">
        <w:tab/>
        <w:t>(b)</w:t>
      </w:r>
      <w:r w:rsidRPr="006E709F">
        <w:tab/>
        <w:t>subsection 445J(2);</w:t>
      </w:r>
    </w:p>
    <w:p w14:paraId="4FA914E2" w14:textId="77777777" w:rsidR="00E93F58" w:rsidRPr="006E709F" w:rsidRDefault="00E93F58" w:rsidP="00E8131B">
      <w:pPr>
        <w:pStyle w:val="paragraph"/>
      </w:pPr>
      <w:r w:rsidRPr="006E709F">
        <w:tab/>
        <w:t>(c)</w:t>
      </w:r>
      <w:r w:rsidRPr="006E709F">
        <w:tab/>
        <w:t>subsection 539(1), to the extent to which it relates to a liquidator ceasing to act as liquidator.</w:t>
      </w:r>
    </w:p>
    <w:p w14:paraId="2492F98B" w14:textId="77777777" w:rsidR="00E93F58" w:rsidRPr="006E709F" w:rsidRDefault="00E93F58" w:rsidP="00A52BA3">
      <w:pPr>
        <w:pStyle w:val="ItemHead"/>
      </w:pPr>
      <w:r w:rsidRPr="006E709F">
        <w:t>13  Section 1594</w:t>
      </w:r>
    </w:p>
    <w:p w14:paraId="357C225D" w14:textId="77777777" w:rsidR="00E93F58" w:rsidRPr="006E709F" w:rsidRDefault="00E93F58" w:rsidP="00F925D9">
      <w:pPr>
        <w:pStyle w:val="Item"/>
        <w:keepLines w:val="0"/>
      </w:pPr>
      <w:r w:rsidRPr="006E709F">
        <w:t>After “apply”, insert “on and after 1 September 2017”.</w:t>
      </w:r>
    </w:p>
    <w:p w14:paraId="763F0D98" w14:textId="77777777" w:rsidR="00E93F58" w:rsidRPr="006E709F" w:rsidRDefault="00E93F58" w:rsidP="00A52BA3">
      <w:pPr>
        <w:pStyle w:val="ItemHead"/>
      </w:pPr>
      <w:r w:rsidRPr="006E709F">
        <w:t>14  Subsection 1596(1)</w:t>
      </w:r>
    </w:p>
    <w:p w14:paraId="6BF968D1" w14:textId="77777777" w:rsidR="00E93F58" w:rsidRPr="006E709F" w:rsidRDefault="00E93F58" w:rsidP="00F925D9">
      <w:pPr>
        <w:pStyle w:val="Item"/>
        <w:keepLines w:val="0"/>
      </w:pPr>
      <w:r w:rsidRPr="006E709F">
        <w:t>After “applies”, insert “on and after 1 September 2017”.</w:t>
      </w:r>
    </w:p>
    <w:p w14:paraId="5A3709A5" w14:textId="77777777" w:rsidR="00E93F58" w:rsidRPr="006E709F" w:rsidRDefault="00E93F58" w:rsidP="00A52BA3">
      <w:pPr>
        <w:pStyle w:val="ItemHead"/>
      </w:pPr>
      <w:r w:rsidRPr="006E709F">
        <w:t>15  Sections 1597, 1598 and 1599</w:t>
      </w:r>
    </w:p>
    <w:p w14:paraId="0C79D231" w14:textId="77777777" w:rsidR="00E93F58" w:rsidRPr="006E709F" w:rsidRDefault="00E93F58" w:rsidP="00F925D9">
      <w:pPr>
        <w:pStyle w:val="Item"/>
        <w:keepLines w:val="0"/>
      </w:pPr>
      <w:r w:rsidRPr="006E709F">
        <w:t>After “applies”, insert “on and after 1 September 2017”.</w:t>
      </w:r>
    </w:p>
    <w:p w14:paraId="38814DB6" w14:textId="77777777" w:rsidR="00E93F58" w:rsidRPr="006E709F" w:rsidRDefault="00E93F58" w:rsidP="00A52BA3">
      <w:pPr>
        <w:pStyle w:val="ItemHead"/>
      </w:pPr>
      <w:r w:rsidRPr="006E709F">
        <w:t>16  At the end of section 1601</w:t>
      </w:r>
    </w:p>
    <w:p w14:paraId="538F0387" w14:textId="77777777" w:rsidR="00E93F58" w:rsidRPr="006E709F" w:rsidRDefault="00E93F58" w:rsidP="00F925D9">
      <w:pPr>
        <w:pStyle w:val="Item"/>
        <w:keepLines w:val="0"/>
      </w:pPr>
      <w:r w:rsidRPr="006E709F">
        <w:t>Add “on and after 1 September 2017”.</w:t>
      </w:r>
    </w:p>
    <w:p w14:paraId="308725AA" w14:textId="77777777" w:rsidR="00E93F58" w:rsidRPr="006E709F" w:rsidRDefault="00E93F58" w:rsidP="00A52BA3">
      <w:pPr>
        <w:pStyle w:val="ItemHead"/>
      </w:pPr>
      <w:r w:rsidRPr="006E709F">
        <w:t>17  Section 1604</w:t>
      </w:r>
    </w:p>
    <w:p w14:paraId="4BBCB982" w14:textId="77777777" w:rsidR="00E93F58" w:rsidRPr="006E709F" w:rsidRDefault="00E93F58" w:rsidP="00F925D9">
      <w:pPr>
        <w:pStyle w:val="Item"/>
        <w:keepLines w:val="0"/>
      </w:pPr>
      <w:r w:rsidRPr="006E709F">
        <w:t>Omit “2017”, insert “2018”.</w:t>
      </w:r>
    </w:p>
    <w:p w14:paraId="22258665" w14:textId="77777777" w:rsidR="00E93F58" w:rsidRPr="006E709F" w:rsidRDefault="00E93F58" w:rsidP="00A52BA3">
      <w:pPr>
        <w:pStyle w:val="ItemHead"/>
      </w:pPr>
      <w:r w:rsidRPr="006E709F">
        <w:t>18  Section 1606</w:t>
      </w:r>
    </w:p>
    <w:p w14:paraId="14A1A630" w14:textId="77777777" w:rsidR="00E93F58" w:rsidRPr="006E709F" w:rsidRDefault="00E93F58" w:rsidP="00F925D9">
      <w:pPr>
        <w:pStyle w:val="Item"/>
        <w:keepLines w:val="0"/>
      </w:pPr>
      <w:r w:rsidRPr="006E709F">
        <w:t>After “apply”, insert “on and after 1 September 2017”.</w:t>
      </w:r>
    </w:p>
    <w:p w14:paraId="18713C95" w14:textId="77777777" w:rsidR="00E93F58" w:rsidRPr="006E709F" w:rsidRDefault="00E93F58" w:rsidP="00A52BA3">
      <w:pPr>
        <w:pStyle w:val="ItemHead"/>
      </w:pPr>
      <w:r w:rsidRPr="006E709F">
        <w:t>19  Section 1606</w:t>
      </w:r>
    </w:p>
    <w:p w14:paraId="4B2DDBFF" w14:textId="77777777" w:rsidR="00E93F58" w:rsidRPr="006E709F" w:rsidRDefault="00E93F58" w:rsidP="00F925D9">
      <w:pPr>
        <w:pStyle w:val="Item"/>
        <w:keepLines w:val="0"/>
      </w:pPr>
      <w:r w:rsidRPr="006E709F">
        <w:t>Omit “the commencement day”, substitute “that day”.</w:t>
      </w:r>
    </w:p>
    <w:p w14:paraId="395DA47F" w14:textId="77777777" w:rsidR="00E93F58" w:rsidRPr="006E709F" w:rsidRDefault="00E93F58" w:rsidP="00A52BA3">
      <w:pPr>
        <w:pStyle w:val="ItemHead"/>
      </w:pPr>
      <w:r w:rsidRPr="006E709F">
        <w:t>20  Section 1612</w:t>
      </w:r>
    </w:p>
    <w:p w14:paraId="587C7453" w14:textId="77777777" w:rsidR="00E93F58" w:rsidRPr="006E709F" w:rsidRDefault="00E93F58" w:rsidP="00F925D9">
      <w:pPr>
        <w:pStyle w:val="Item"/>
        <w:keepLines w:val="0"/>
      </w:pPr>
      <w:r w:rsidRPr="006E709F">
        <w:t>After “apply”, insert “on and after 1 September 2017”.</w:t>
      </w:r>
    </w:p>
    <w:p w14:paraId="39878C57" w14:textId="77777777" w:rsidR="00E93F58" w:rsidRPr="006E709F" w:rsidRDefault="00E93F58" w:rsidP="00A52BA3">
      <w:pPr>
        <w:pStyle w:val="ItemHead"/>
      </w:pPr>
      <w:r w:rsidRPr="006E709F">
        <w:t>21  Section 1612</w:t>
      </w:r>
    </w:p>
    <w:p w14:paraId="201FA692" w14:textId="77777777" w:rsidR="00E93F58" w:rsidRPr="006E709F" w:rsidRDefault="00E93F58" w:rsidP="00F925D9">
      <w:pPr>
        <w:pStyle w:val="Item"/>
        <w:keepLines w:val="0"/>
      </w:pPr>
      <w:r w:rsidRPr="006E709F">
        <w:t>Omit “the commencement day”, substitute “that day”.</w:t>
      </w:r>
    </w:p>
    <w:p w14:paraId="7945F505" w14:textId="77777777" w:rsidR="00E93F58" w:rsidRPr="006E709F" w:rsidRDefault="00E93F58" w:rsidP="00A52BA3">
      <w:pPr>
        <w:pStyle w:val="ItemHead"/>
      </w:pPr>
      <w:r w:rsidRPr="006E709F">
        <w:t>22  Section 1613</w:t>
      </w:r>
    </w:p>
    <w:p w14:paraId="0BD5B3AF" w14:textId="77777777" w:rsidR="00E93F58" w:rsidRPr="006E709F" w:rsidRDefault="00E93F58" w:rsidP="00F925D9">
      <w:pPr>
        <w:pStyle w:val="Item"/>
        <w:keepLines w:val="0"/>
      </w:pPr>
      <w:r w:rsidRPr="006E709F">
        <w:t>After “applies”, insert “on and after 1 September 2017”.</w:t>
      </w:r>
    </w:p>
    <w:p w14:paraId="205B0596" w14:textId="77777777" w:rsidR="00E93F58" w:rsidRPr="006E709F" w:rsidRDefault="00E93F58" w:rsidP="00A52BA3">
      <w:pPr>
        <w:pStyle w:val="ItemHead"/>
      </w:pPr>
      <w:r w:rsidRPr="006E709F">
        <w:t>23  Section 1615</w:t>
      </w:r>
    </w:p>
    <w:p w14:paraId="5EF20A21" w14:textId="77777777" w:rsidR="00E93F58" w:rsidRPr="006E709F" w:rsidRDefault="00E93F58" w:rsidP="00F925D9">
      <w:pPr>
        <w:pStyle w:val="Item"/>
        <w:keepLines w:val="0"/>
      </w:pPr>
      <w:r w:rsidRPr="006E709F">
        <w:t>After “applies”, insert “on and after 1 September 2017”.</w:t>
      </w:r>
    </w:p>
    <w:p w14:paraId="067B8E80" w14:textId="77777777" w:rsidR="00E93F58" w:rsidRPr="006E709F" w:rsidRDefault="00E93F58" w:rsidP="00A52BA3">
      <w:pPr>
        <w:pStyle w:val="ItemHead"/>
      </w:pPr>
      <w:r w:rsidRPr="006E709F">
        <w:lastRenderedPageBreak/>
        <w:t>24  Section 1615</w:t>
      </w:r>
    </w:p>
    <w:p w14:paraId="4D16774D" w14:textId="77777777" w:rsidR="00E93F58" w:rsidRPr="006E709F" w:rsidRDefault="00E93F58" w:rsidP="00F925D9">
      <w:pPr>
        <w:pStyle w:val="Item"/>
        <w:keepLines w:val="0"/>
      </w:pPr>
      <w:r w:rsidRPr="006E709F">
        <w:t>Omit “the commencement day”, substitute “that day”.</w:t>
      </w:r>
    </w:p>
    <w:p w14:paraId="71EBA4A7" w14:textId="77777777" w:rsidR="00E93F58" w:rsidRPr="006E709F" w:rsidRDefault="00E93F58" w:rsidP="00A52BA3">
      <w:pPr>
        <w:pStyle w:val="ItemHead"/>
      </w:pPr>
      <w:r w:rsidRPr="006E709F">
        <w:t>25  Subsection 1618(2)</w:t>
      </w:r>
    </w:p>
    <w:p w14:paraId="78189925" w14:textId="77777777" w:rsidR="00E93F58" w:rsidRPr="006E709F" w:rsidRDefault="00E93F58" w:rsidP="00F925D9">
      <w:pPr>
        <w:pStyle w:val="Item"/>
        <w:keepLines w:val="0"/>
      </w:pPr>
      <w:r w:rsidRPr="006E709F">
        <w:t>After “apply”, insert “on and after 1 September 2017”.</w:t>
      </w:r>
    </w:p>
    <w:p w14:paraId="62B811A8" w14:textId="77777777" w:rsidR="00E93F58" w:rsidRPr="006E709F" w:rsidRDefault="00E93F58" w:rsidP="00A52BA3">
      <w:pPr>
        <w:pStyle w:val="ItemHead"/>
      </w:pPr>
      <w:r w:rsidRPr="006E709F">
        <w:t>26  Subsection 1618(2)</w:t>
      </w:r>
    </w:p>
    <w:p w14:paraId="4A8A458E" w14:textId="77777777" w:rsidR="00E93F58" w:rsidRPr="006E709F" w:rsidRDefault="00E93F58" w:rsidP="00F925D9">
      <w:pPr>
        <w:pStyle w:val="Item"/>
        <w:keepLines w:val="0"/>
      </w:pPr>
      <w:r w:rsidRPr="006E709F">
        <w:t>Omit “the commencement day”, substitute “that day”.</w:t>
      </w:r>
    </w:p>
    <w:p w14:paraId="359B252A" w14:textId="77777777" w:rsidR="00E93F58" w:rsidRPr="006E709F" w:rsidRDefault="00E93F58" w:rsidP="00A52BA3">
      <w:pPr>
        <w:pStyle w:val="ItemHead"/>
      </w:pPr>
      <w:r w:rsidRPr="006E709F">
        <w:t>27  Subsection 1618(3)</w:t>
      </w:r>
    </w:p>
    <w:p w14:paraId="1BED882A" w14:textId="77777777" w:rsidR="00E93F58" w:rsidRPr="006E709F" w:rsidRDefault="00E93F58" w:rsidP="00F925D9">
      <w:pPr>
        <w:pStyle w:val="Item"/>
        <w:keepLines w:val="0"/>
      </w:pPr>
      <w:r w:rsidRPr="006E709F">
        <w:t>After “applies”, insert “on and after 1 September 2017”.</w:t>
      </w:r>
    </w:p>
    <w:p w14:paraId="028D66D0" w14:textId="77777777" w:rsidR="00E93F58" w:rsidRPr="006E709F" w:rsidRDefault="00E93F58" w:rsidP="00A52BA3">
      <w:pPr>
        <w:pStyle w:val="ItemHead"/>
      </w:pPr>
      <w:r w:rsidRPr="006E709F">
        <w:t>28  Subsection 1618(3)</w:t>
      </w:r>
    </w:p>
    <w:p w14:paraId="05ADEBD8" w14:textId="77777777" w:rsidR="00E93F58" w:rsidRPr="006E709F" w:rsidRDefault="00E93F58" w:rsidP="00F925D9">
      <w:pPr>
        <w:pStyle w:val="Item"/>
        <w:keepLines w:val="0"/>
      </w:pPr>
      <w:r w:rsidRPr="006E709F">
        <w:t>Omit “the commencement day”, substitute “that day”.</w:t>
      </w:r>
    </w:p>
    <w:p w14:paraId="7C3D6C5F" w14:textId="77777777" w:rsidR="00E93F58" w:rsidRPr="006E709F" w:rsidRDefault="00E93F58" w:rsidP="00A52BA3">
      <w:pPr>
        <w:pStyle w:val="ItemHead"/>
      </w:pPr>
      <w:r w:rsidRPr="006E709F">
        <w:t>29  Subsection 1618(4)</w:t>
      </w:r>
    </w:p>
    <w:p w14:paraId="5B738478" w14:textId="77777777" w:rsidR="00E93F58" w:rsidRPr="006E709F" w:rsidRDefault="00E93F58" w:rsidP="00F925D9">
      <w:pPr>
        <w:pStyle w:val="Item"/>
        <w:keepLines w:val="0"/>
      </w:pPr>
      <w:r w:rsidRPr="006E709F">
        <w:t>After “applies”, insert “on and after 1 September 2017”.</w:t>
      </w:r>
    </w:p>
    <w:p w14:paraId="79ADC5FC" w14:textId="77777777" w:rsidR="00E93F58" w:rsidRPr="006E709F" w:rsidRDefault="00E93F58" w:rsidP="00A52BA3">
      <w:pPr>
        <w:pStyle w:val="ItemHead"/>
      </w:pPr>
      <w:r w:rsidRPr="006E709F">
        <w:t>30  Subsection 1618(4)</w:t>
      </w:r>
    </w:p>
    <w:p w14:paraId="1A913EF3" w14:textId="77777777" w:rsidR="00E93F58" w:rsidRPr="006E709F" w:rsidRDefault="00E93F58" w:rsidP="00F925D9">
      <w:pPr>
        <w:pStyle w:val="Item"/>
        <w:keepLines w:val="0"/>
      </w:pPr>
      <w:r w:rsidRPr="006E709F">
        <w:t>Omit “the commencement day”, substitute “that day”.</w:t>
      </w:r>
    </w:p>
    <w:p w14:paraId="5128A10E" w14:textId="77777777" w:rsidR="00E93F58" w:rsidRPr="006E709F" w:rsidRDefault="00E93F58" w:rsidP="00A52BA3">
      <w:pPr>
        <w:pStyle w:val="ItemHead"/>
      </w:pPr>
      <w:r w:rsidRPr="006E709F">
        <w:t>31  Subsection 1618(6)</w:t>
      </w:r>
    </w:p>
    <w:p w14:paraId="1EB77971" w14:textId="77777777" w:rsidR="00E93F58" w:rsidRPr="006E709F" w:rsidRDefault="00E93F58" w:rsidP="00F925D9">
      <w:pPr>
        <w:pStyle w:val="Item"/>
        <w:keepLines w:val="0"/>
      </w:pPr>
      <w:r w:rsidRPr="006E709F">
        <w:t>After “applies”, insert “on and after 1 September 2017”.</w:t>
      </w:r>
    </w:p>
    <w:p w14:paraId="7FBAB857" w14:textId="77777777" w:rsidR="00E93F58" w:rsidRPr="006E709F" w:rsidRDefault="00E93F58" w:rsidP="00A52BA3">
      <w:pPr>
        <w:pStyle w:val="ItemHead"/>
      </w:pPr>
      <w:r w:rsidRPr="006E709F">
        <w:t>32  Subsection 1618(6)</w:t>
      </w:r>
    </w:p>
    <w:p w14:paraId="393EEF12" w14:textId="77777777" w:rsidR="00E93F58" w:rsidRPr="006E709F" w:rsidRDefault="00E93F58" w:rsidP="00F925D9">
      <w:pPr>
        <w:pStyle w:val="Item"/>
        <w:keepLines w:val="0"/>
      </w:pPr>
      <w:r w:rsidRPr="006E709F">
        <w:t>Omit “the commencement day”, substitute “that day”.</w:t>
      </w:r>
    </w:p>
    <w:p w14:paraId="3E665CFB" w14:textId="77777777" w:rsidR="00E93F58" w:rsidRPr="006E709F" w:rsidRDefault="00E93F58" w:rsidP="00A52BA3">
      <w:pPr>
        <w:pStyle w:val="ItemHead"/>
      </w:pPr>
      <w:r w:rsidRPr="006E709F">
        <w:t>33  Subsection 1619(2)</w:t>
      </w:r>
    </w:p>
    <w:p w14:paraId="7809E20C" w14:textId="77777777" w:rsidR="00E93F58" w:rsidRPr="006E709F" w:rsidRDefault="00E93F58" w:rsidP="00F925D9">
      <w:pPr>
        <w:pStyle w:val="Item"/>
        <w:keepLines w:val="0"/>
      </w:pPr>
      <w:r w:rsidRPr="006E709F">
        <w:t>After “apply”, insert “on and after 1 September 2017”.</w:t>
      </w:r>
    </w:p>
    <w:p w14:paraId="2E31D089" w14:textId="77777777" w:rsidR="00E93F58" w:rsidRPr="006E709F" w:rsidRDefault="00E93F58" w:rsidP="00A52BA3">
      <w:pPr>
        <w:pStyle w:val="ItemHead"/>
      </w:pPr>
      <w:r w:rsidRPr="006E709F">
        <w:t>34  Subsection 1619(2)</w:t>
      </w:r>
    </w:p>
    <w:p w14:paraId="4819DA15" w14:textId="77777777" w:rsidR="00E93F58" w:rsidRPr="006E709F" w:rsidRDefault="00E93F58" w:rsidP="00F925D9">
      <w:pPr>
        <w:pStyle w:val="Item"/>
        <w:keepLines w:val="0"/>
      </w:pPr>
      <w:r w:rsidRPr="006E709F">
        <w:t>Omit “the commencement day”, substitute “that day”.</w:t>
      </w:r>
    </w:p>
    <w:p w14:paraId="22D027F4" w14:textId="77777777" w:rsidR="00E93F58" w:rsidRPr="006E709F" w:rsidRDefault="00E93F58" w:rsidP="00A52BA3">
      <w:pPr>
        <w:pStyle w:val="ItemHead"/>
      </w:pPr>
      <w:r w:rsidRPr="006E709F">
        <w:t>35  Subsection 1619(4)</w:t>
      </w:r>
    </w:p>
    <w:p w14:paraId="26998AB1" w14:textId="77777777" w:rsidR="00E93F58" w:rsidRPr="006E709F" w:rsidRDefault="00E93F58" w:rsidP="00F925D9">
      <w:pPr>
        <w:pStyle w:val="Item"/>
        <w:keepLines w:val="0"/>
      </w:pPr>
      <w:r w:rsidRPr="006E709F">
        <w:t>After “applies”, insert “on and after 1 September 2017”.</w:t>
      </w:r>
    </w:p>
    <w:p w14:paraId="6B6A73FA" w14:textId="77777777" w:rsidR="00E93F58" w:rsidRPr="006E709F" w:rsidRDefault="00E93F58" w:rsidP="00A52BA3">
      <w:pPr>
        <w:pStyle w:val="ItemHead"/>
      </w:pPr>
      <w:r w:rsidRPr="006E709F">
        <w:t>36  Subsection 1619(4)</w:t>
      </w:r>
    </w:p>
    <w:p w14:paraId="6DF02931" w14:textId="77777777" w:rsidR="00E93F58" w:rsidRPr="006E709F" w:rsidRDefault="00E93F58" w:rsidP="00F925D9">
      <w:pPr>
        <w:pStyle w:val="Item"/>
        <w:keepLines w:val="0"/>
      </w:pPr>
      <w:r w:rsidRPr="006E709F">
        <w:t>Omit “the commencement day”, substitute “that day”.</w:t>
      </w:r>
    </w:p>
    <w:p w14:paraId="316921E1" w14:textId="77777777" w:rsidR="00E93F58" w:rsidRPr="006E709F" w:rsidRDefault="00E93F58" w:rsidP="00A52BA3">
      <w:pPr>
        <w:pStyle w:val="ItemHead"/>
      </w:pPr>
      <w:r w:rsidRPr="006E709F">
        <w:t>37  Section 1620</w:t>
      </w:r>
    </w:p>
    <w:p w14:paraId="29458FED" w14:textId="77777777" w:rsidR="00E93F58" w:rsidRPr="006E709F" w:rsidRDefault="00E93F58" w:rsidP="00F925D9">
      <w:pPr>
        <w:pStyle w:val="Item"/>
        <w:keepLines w:val="0"/>
      </w:pPr>
      <w:r w:rsidRPr="006E709F">
        <w:t>After “applies”, insert “on and after 1 September 2017”.</w:t>
      </w:r>
    </w:p>
    <w:p w14:paraId="6CAF531B" w14:textId="77777777" w:rsidR="00E93F58" w:rsidRPr="006E709F" w:rsidRDefault="00E93F58" w:rsidP="00A52BA3">
      <w:pPr>
        <w:pStyle w:val="ItemHead"/>
      </w:pPr>
      <w:r w:rsidRPr="006E709F">
        <w:t>38  Section 1620</w:t>
      </w:r>
    </w:p>
    <w:p w14:paraId="1D14351D" w14:textId="77777777" w:rsidR="00E93F58" w:rsidRPr="006E709F" w:rsidRDefault="00E93F58" w:rsidP="00F925D9">
      <w:pPr>
        <w:pStyle w:val="Item"/>
        <w:keepLines w:val="0"/>
      </w:pPr>
      <w:r w:rsidRPr="006E709F">
        <w:t>Omit “the commencement day”, substitute “that day”.</w:t>
      </w:r>
    </w:p>
    <w:p w14:paraId="2B464838" w14:textId="77777777" w:rsidR="00E93F58" w:rsidRPr="006E709F" w:rsidRDefault="00E93F58" w:rsidP="00A52BA3">
      <w:pPr>
        <w:pStyle w:val="ItemHead"/>
      </w:pPr>
      <w:r w:rsidRPr="006E709F">
        <w:t>39  Section 1623</w:t>
      </w:r>
    </w:p>
    <w:p w14:paraId="424D460A" w14:textId="77777777" w:rsidR="00E93F58" w:rsidRPr="006E709F" w:rsidRDefault="00E93F58" w:rsidP="00F925D9">
      <w:pPr>
        <w:pStyle w:val="Item"/>
        <w:keepLines w:val="0"/>
      </w:pPr>
      <w:r w:rsidRPr="006E709F">
        <w:t>Repeal the section, substitute:</w:t>
      </w:r>
    </w:p>
    <w:p w14:paraId="2984C23B" w14:textId="77777777" w:rsidR="00E93F58" w:rsidRPr="006E709F" w:rsidRDefault="00E93F58" w:rsidP="00A52BA3">
      <w:pPr>
        <w:pStyle w:val="Specials"/>
      </w:pPr>
      <w:r w:rsidRPr="006E709F">
        <w:t>1623  Transitional rules for controller returns</w:t>
      </w:r>
    </w:p>
    <w:p w14:paraId="651C07AE" w14:textId="77777777" w:rsidR="00E93F58" w:rsidRPr="006E709F" w:rsidRDefault="00E93F58" w:rsidP="00E8131B">
      <w:pPr>
        <w:pStyle w:val="subsection"/>
      </w:pPr>
      <w:r w:rsidRPr="006E709F">
        <w:tab/>
        <w:t>(1)</w:t>
      </w:r>
      <w:r w:rsidRPr="006E709F">
        <w:tab/>
        <w:t xml:space="preserve">Section 422A, as inserted by Schedule 2 to the </w:t>
      </w:r>
      <w:r w:rsidRPr="006E709F">
        <w:rPr>
          <w:i/>
        </w:rPr>
        <w:t>Insolvency Law Reform Act 2016</w:t>
      </w:r>
      <w:r w:rsidRPr="006E709F">
        <w:t>, applies in relation to a person if the person first began to be a controller of the property of a corporation on or after 1 September 2017.</w:t>
      </w:r>
    </w:p>
    <w:p w14:paraId="7F5F8B87" w14:textId="77777777" w:rsidR="00E93F58" w:rsidRPr="006E709F" w:rsidRDefault="00E93F58" w:rsidP="00E8131B">
      <w:pPr>
        <w:pStyle w:val="subsection"/>
      </w:pPr>
      <w:r w:rsidRPr="006E709F">
        <w:tab/>
        <w:t>(2)</w:t>
      </w:r>
      <w:r w:rsidRPr="006E709F">
        <w:tab/>
        <w:t xml:space="preserve">Section 422A, as inserted by Schedule 2 to the </w:t>
      </w:r>
      <w:r w:rsidRPr="006E709F">
        <w:rPr>
          <w:i/>
        </w:rPr>
        <w:t>Insolvency Law Reform Act 2016</w:t>
      </w:r>
      <w:r w:rsidRPr="006E709F">
        <w:t>, also applies in relation to a person if the person first began to be the controller of the property of a corporation before 1 September 2017 as if the reference in that section to a control return year for the controller were a reference to:</w:t>
      </w:r>
    </w:p>
    <w:p w14:paraId="0F78BAC6" w14:textId="77777777" w:rsidR="00E93F58" w:rsidRPr="006E709F" w:rsidRDefault="00E93F58" w:rsidP="00E8131B">
      <w:pPr>
        <w:pStyle w:val="paragraph"/>
      </w:pPr>
      <w:r w:rsidRPr="006E709F">
        <w:lastRenderedPageBreak/>
        <w:tab/>
        <w:t>(a)</w:t>
      </w:r>
      <w:r w:rsidRPr="006E709F">
        <w:tab/>
        <w:t>the first full year starting on or after 1 September 2017 that is an anniversary of when the person first began to be the controller of the property of a corporation; and</w:t>
      </w:r>
    </w:p>
    <w:p w14:paraId="25A1F3CE" w14:textId="77777777" w:rsidR="00E93F58" w:rsidRPr="006E709F" w:rsidRDefault="00E93F58" w:rsidP="00E8131B">
      <w:pPr>
        <w:pStyle w:val="paragraph"/>
      </w:pPr>
      <w:r w:rsidRPr="006E709F">
        <w:tab/>
        <w:t>(b)</w:t>
      </w:r>
      <w:r w:rsidRPr="006E709F">
        <w:tab/>
        <w:t>each subsequent period of 12 months.</w:t>
      </w:r>
    </w:p>
    <w:p w14:paraId="5112F050" w14:textId="77777777" w:rsidR="00E93F58" w:rsidRPr="006E709F" w:rsidRDefault="00E93F58" w:rsidP="00E8131B">
      <w:pPr>
        <w:pStyle w:val="subsection"/>
      </w:pPr>
      <w:r w:rsidRPr="006E709F">
        <w:tab/>
        <w:t>(3)</w:t>
      </w:r>
      <w:r w:rsidRPr="006E709F">
        <w:tab/>
        <w:t xml:space="preserve">Despite the repeal of subsections 432(1) and (1A) of the old Act by Schedule 2 to the </w:t>
      </w:r>
      <w:r w:rsidRPr="006E709F">
        <w:rPr>
          <w:i/>
        </w:rPr>
        <w:t>Insolvency Law Reform Act 2016</w:t>
      </w:r>
      <w:r w:rsidRPr="006E709F">
        <w:t>, those subsections continue to apply, in relation to a controller of a corporation appointed before 1 September 2017:</w:t>
      </w:r>
    </w:p>
    <w:p w14:paraId="5E9A1C08" w14:textId="77777777" w:rsidR="00E93F58" w:rsidRPr="006E709F" w:rsidRDefault="00E93F58" w:rsidP="00E8131B">
      <w:pPr>
        <w:pStyle w:val="paragraph"/>
      </w:pPr>
      <w:r w:rsidRPr="006E709F">
        <w:tab/>
        <w:t>(a)</w:t>
      </w:r>
      <w:r w:rsidRPr="006E709F">
        <w:tab/>
        <w:t>if the end of the 6</w:t>
      </w:r>
      <w:r>
        <w:noBreakHyphen/>
      </w:r>
      <w:r w:rsidRPr="006E709F">
        <w:t>month period referred to in paragraph 432(1)(a) occurs before 1 March 2018—in relation to that period; and</w:t>
      </w:r>
    </w:p>
    <w:p w14:paraId="5932391E" w14:textId="77777777" w:rsidR="00E93F58" w:rsidRPr="006E709F" w:rsidRDefault="00E93F58" w:rsidP="00E8131B">
      <w:pPr>
        <w:pStyle w:val="paragraph"/>
      </w:pPr>
      <w:r w:rsidRPr="006E709F">
        <w:tab/>
        <w:t>(b)</w:t>
      </w:r>
      <w:r w:rsidRPr="006E709F">
        <w:tab/>
        <w:t>if the end of that period is not an anniversary of the administrator’s appointment—in relation to the subsequent 6</w:t>
      </w:r>
      <w:r>
        <w:noBreakHyphen/>
      </w:r>
      <w:r w:rsidRPr="006E709F">
        <w:t>month period.</w:t>
      </w:r>
    </w:p>
    <w:p w14:paraId="76C62869" w14:textId="77777777" w:rsidR="00E93F58" w:rsidRPr="006E709F" w:rsidRDefault="00E93F58" w:rsidP="00E8131B">
      <w:pPr>
        <w:pStyle w:val="subsection"/>
      </w:pPr>
      <w:r w:rsidRPr="006E709F">
        <w:tab/>
        <w:t>(4)</w:t>
      </w:r>
      <w:r w:rsidRPr="006E709F">
        <w:tab/>
        <w:t>To avoid doubt, despite the repeal of subsections 432(1) and (1A) of the old Act by Schedule 2 to the</w:t>
      </w:r>
      <w:r w:rsidRPr="006E709F">
        <w:rPr>
          <w:i/>
        </w:rPr>
        <w:t xml:space="preserve"> Insolvency Law Reform Act 2016</w:t>
      </w:r>
      <w:r w:rsidRPr="006E709F">
        <w:t>, audits may be continued in relation to accounts lodged under those provisions as if the old Act continued to apply.</w:t>
      </w:r>
    </w:p>
    <w:p w14:paraId="2B092F4B" w14:textId="77777777" w:rsidR="00E93F58" w:rsidRPr="006E709F" w:rsidRDefault="00E93F58" w:rsidP="00A52BA3">
      <w:pPr>
        <w:pStyle w:val="Specials"/>
      </w:pPr>
      <w:r w:rsidRPr="006E709F">
        <w:t>1623A  Transitional rules for end of control returns</w:t>
      </w:r>
    </w:p>
    <w:p w14:paraId="1A68207F" w14:textId="77777777" w:rsidR="00E93F58" w:rsidRPr="006E709F" w:rsidRDefault="00E93F58" w:rsidP="00E8131B">
      <w:pPr>
        <w:pStyle w:val="subsection"/>
      </w:pPr>
      <w:r w:rsidRPr="006E709F">
        <w:tab/>
        <w:t>(1)</w:t>
      </w:r>
      <w:r w:rsidRPr="006E709F">
        <w:tab/>
        <w:t xml:space="preserve">Section 422B, as inserted by Schedule 2 to the </w:t>
      </w:r>
      <w:r w:rsidRPr="006E709F">
        <w:rPr>
          <w:i/>
        </w:rPr>
        <w:t>Insolvency Law Reform Act 2016</w:t>
      </w:r>
      <w:r w:rsidRPr="006E709F">
        <w:t>, applies in relation to a control of the property of a corporation that ends on or after 1 September 2017.</w:t>
      </w:r>
    </w:p>
    <w:p w14:paraId="27B37038" w14:textId="77777777" w:rsidR="00E93F58" w:rsidRPr="006E709F" w:rsidRDefault="00E93F58" w:rsidP="00E8131B">
      <w:pPr>
        <w:pStyle w:val="subsection"/>
      </w:pPr>
      <w:r w:rsidRPr="006E709F">
        <w:tab/>
        <w:t>(2)</w:t>
      </w:r>
      <w:r w:rsidRPr="006E709F">
        <w:tab/>
        <w:t xml:space="preserve">Despite the repeal of subsections 432(1) and (1A) of the old Act by Schedule 2 to the </w:t>
      </w:r>
      <w:r w:rsidRPr="006E709F">
        <w:rPr>
          <w:i/>
        </w:rPr>
        <w:t>Insolvency Law Reform Act 2016</w:t>
      </w:r>
      <w:r w:rsidRPr="006E709F">
        <w:t>, those subsections continue to apply, in relation to controllers that cease to be a controller of property of a corporation, if the cessation occurs before 1 September 2017.</w:t>
      </w:r>
    </w:p>
    <w:p w14:paraId="29E4E425" w14:textId="77777777" w:rsidR="00E93F58" w:rsidRPr="006E709F" w:rsidRDefault="00E93F58" w:rsidP="00A52BA3">
      <w:pPr>
        <w:pStyle w:val="ItemHead"/>
      </w:pPr>
      <w:r w:rsidRPr="006E709F">
        <w:t>40  Subsection 1627(3)</w:t>
      </w:r>
    </w:p>
    <w:p w14:paraId="4D112413" w14:textId="77777777" w:rsidR="00E93F58" w:rsidRPr="006E709F" w:rsidRDefault="00E93F58" w:rsidP="00A52BA3">
      <w:pPr>
        <w:pStyle w:val="Item"/>
      </w:pPr>
      <w:r w:rsidRPr="006E709F">
        <w:t>After “apply”, insert “on and after 1 September 2017”.</w:t>
      </w:r>
    </w:p>
    <w:p w14:paraId="4C859F59" w14:textId="77777777" w:rsidR="00E93F58" w:rsidRPr="006E709F" w:rsidRDefault="00E93F58" w:rsidP="00492787"/>
    <w:p w14:paraId="532F5640" w14:textId="77777777" w:rsidR="00E93F58" w:rsidRPr="00576D60" w:rsidRDefault="00E93F58" w:rsidP="00C223D0">
      <w:pPr>
        <w:pStyle w:val="ENotesHeading1"/>
        <w:pageBreakBefore/>
        <w:spacing w:line="240" w:lineRule="auto"/>
        <w:outlineLvl w:val="9"/>
      </w:pPr>
      <w:bookmarkStart w:id="3624" w:name="_Toc151992047"/>
      <w:bookmarkStart w:id="3625" w:name="_Toc158713597"/>
      <w:r w:rsidRPr="00576D60">
        <w:lastRenderedPageBreak/>
        <w:t>Endnotes</w:t>
      </w:r>
      <w:bookmarkEnd w:id="3624"/>
      <w:bookmarkEnd w:id="3625"/>
    </w:p>
    <w:p w14:paraId="5A0CA45F" w14:textId="77777777" w:rsidR="00E93F58" w:rsidRPr="007A36FC" w:rsidRDefault="00E93F58" w:rsidP="000B35C4">
      <w:pPr>
        <w:pStyle w:val="ENotesHeading2"/>
        <w:spacing w:line="240" w:lineRule="auto"/>
        <w:outlineLvl w:val="9"/>
      </w:pPr>
      <w:bookmarkStart w:id="3626" w:name="_Toc151992048"/>
      <w:bookmarkStart w:id="3627" w:name="_Hlk125193452"/>
      <w:bookmarkStart w:id="3628" w:name="_Toc158713598"/>
      <w:r w:rsidRPr="007A36FC">
        <w:t>Endnote 1—About the endnotes</w:t>
      </w:r>
      <w:bookmarkEnd w:id="3626"/>
      <w:bookmarkEnd w:id="3628"/>
    </w:p>
    <w:p w14:paraId="320AC986" w14:textId="77777777" w:rsidR="00E93F58" w:rsidRDefault="00E93F58" w:rsidP="000B35C4">
      <w:pPr>
        <w:spacing w:after="120"/>
      </w:pPr>
      <w:r w:rsidRPr="00BC57F4">
        <w:t xml:space="preserve">The endnotes provide </w:t>
      </w:r>
      <w:r>
        <w:t>information about this compilation and the compiled law.</w:t>
      </w:r>
    </w:p>
    <w:p w14:paraId="62E1DA91" w14:textId="77777777" w:rsidR="00E93F58" w:rsidRPr="00BC57F4" w:rsidRDefault="00E93F58" w:rsidP="000B35C4">
      <w:pPr>
        <w:spacing w:after="120"/>
      </w:pPr>
      <w:r w:rsidRPr="00BC57F4">
        <w:t>The followi</w:t>
      </w:r>
      <w:r>
        <w:t>ng endnotes are included in every</w:t>
      </w:r>
      <w:r w:rsidRPr="00BC57F4">
        <w:t xml:space="preserve"> compilation:</w:t>
      </w:r>
    </w:p>
    <w:p w14:paraId="0D8AD20F" w14:textId="77777777" w:rsidR="00E93F58" w:rsidRPr="00BC57F4" w:rsidRDefault="00E93F58" w:rsidP="000B35C4">
      <w:r w:rsidRPr="00BC57F4">
        <w:t>Endnote 1—About the endnotes</w:t>
      </w:r>
    </w:p>
    <w:p w14:paraId="21A933B6" w14:textId="77777777" w:rsidR="00E93F58" w:rsidRPr="00BC57F4" w:rsidRDefault="00E93F58" w:rsidP="000B35C4">
      <w:r w:rsidRPr="00BC57F4">
        <w:t>Endnote 2—Abbreviation key</w:t>
      </w:r>
    </w:p>
    <w:p w14:paraId="733191AC" w14:textId="77777777" w:rsidR="00E93F58" w:rsidRPr="00BC57F4" w:rsidRDefault="00E93F58" w:rsidP="000B35C4">
      <w:r w:rsidRPr="00BC57F4">
        <w:t>Endnote 3—Legislation history</w:t>
      </w:r>
    </w:p>
    <w:p w14:paraId="4FAE7B67" w14:textId="77777777" w:rsidR="00E93F58" w:rsidRDefault="00E93F58" w:rsidP="000B35C4">
      <w:pPr>
        <w:spacing w:after="120"/>
      </w:pPr>
      <w:r w:rsidRPr="00BC57F4">
        <w:t>Endnote 4—Amendment history</w:t>
      </w:r>
    </w:p>
    <w:p w14:paraId="73C10B70" w14:textId="77777777" w:rsidR="00E93F58" w:rsidRPr="00BC57F4" w:rsidRDefault="00E93F58" w:rsidP="000B35C4">
      <w:r w:rsidRPr="00BC57F4">
        <w:rPr>
          <w:b/>
        </w:rPr>
        <w:t>Abbreviation key—</w:t>
      </w:r>
      <w:r>
        <w:rPr>
          <w:b/>
        </w:rPr>
        <w:t>E</w:t>
      </w:r>
      <w:r w:rsidRPr="00BC57F4">
        <w:rPr>
          <w:b/>
        </w:rPr>
        <w:t>ndnote 2</w:t>
      </w:r>
    </w:p>
    <w:p w14:paraId="4FE0AC8A" w14:textId="77777777" w:rsidR="00E93F58" w:rsidRPr="00BC57F4" w:rsidRDefault="00E93F58" w:rsidP="000B35C4">
      <w:pPr>
        <w:spacing w:after="120"/>
      </w:pPr>
      <w:r w:rsidRPr="00BC57F4">
        <w:t xml:space="preserve">The abbreviation key sets out abbreviations </w:t>
      </w:r>
      <w:r>
        <w:t xml:space="preserve">that may be </w:t>
      </w:r>
      <w:r w:rsidRPr="00BC57F4">
        <w:t>used in the endnotes.</w:t>
      </w:r>
    </w:p>
    <w:p w14:paraId="794816DA" w14:textId="77777777" w:rsidR="00E93F58" w:rsidRPr="00BC57F4" w:rsidRDefault="00E93F58" w:rsidP="000B35C4">
      <w:pPr>
        <w:rPr>
          <w:b/>
        </w:rPr>
      </w:pPr>
      <w:r w:rsidRPr="00BC57F4">
        <w:rPr>
          <w:b/>
        </w:rPr>
        <w:t>Legislation history and amendment history—</w:t>
      </w:r>
      <w:r>
        <w:rPr>
          <w:b/>
        </w:rPr>
        <w:t>E</w:t>
      </w:r>
      <w:r w:rsidRPr="00BC57F4">
        <w:rPr>
          <w:b/>
        </w:rPr>
        <w:t>ndnotes 3 and 4</w:t>
      </w:r>
    </w:p>
    <w:p w14:paraId="5DA1988A" w14:textId="77777777" w:rsidR="00E93F58" w:rsidRPr="00BC57F4" w:rsidRDefault="00E93F58" w:rsidP="000B35C4">
      <w:pPr>
        <w:spacing w:after="120"/>
      </w:pPr>
      <w:r w:rsidRPr="00BC57F4">
        <w:t>Amending laws are annotated in the legislation history and amendment history.</w:t>
      </w:r>
    </w:p>
    <w:p w14:paraId="1B65BCFA" w14:textId="77777777" w:rsidR="00E93F58" w:rsidRPr="00BC57F4" w:rsidRDefault="00E93F58" w:rsidP="000B35C4">
      <w:pPr>
        <w:spacing w:after="120"/>
      </w:pPr>
      <w:r w:rsidRPr="00BC57F4">
        <w:t>The legislation history in endnote 3 provides inf</w:t>
      </w:r>
      <w:r>
        <w:t>ormation about each law that has</w:t>
      </w:r>
      <w:r w:rsidRPr="00BC57F4">
        <w:t xml:space="preserve"> amended </w:t>
      </w:r>
      <w:r>
        <w:t xml:space="preserve">(or will amend) </w:t>
      </w:r>
      <w:r w:rsidRPr="00BC57F4">
        <w:t>the compiled law</w:t>
      </w:r>
      <w:r>
        <w:t xml:space="preserve">. </w:t>
      </w:r>
      <w:r w:rsidRPr="00BC57F4">
        <w:t xml:space="preserve">The information includes commencement </w:t>
      </w:r>
      <w:r>
        <w:t>details</w:t>
      </w:r>
      <w:r w:rsidRPr="00BC57F4">
        <w:t xml:space="preserve"> for amending laws and details of </w:t>
      </w:r>
      <w:r>
        <w:t xml:space="preserve">any </w:t>
      </w:r>
      <w:r w:rsidRPr="00BC57F4">
        <w:t xml:space="preserve">application, saving </w:t>
      </w:r>
      <w:r>
        <w:t>or</w:t>
      </w:r>
      <w:r w:rsidRPr="00BC57F4">
        <w:t xml:space="preserve"> transitional provisions that are not</w:t>
      </w:r>
      <w:r>
        <w:t xml:space="preserve"> included in this compilation.</w:t>
      </w:r>
    </w:p>
    <w:p w14:paraId="290F8A4E" w14:textId="77777777" w:rsidR="00E93F58" w:rsidRDefault="00E93F58" w:rsidP="000B35C4">
      <w:pPr>
        <w:spacing w:after="120"/>
      </w:pPr>
      <w:r w:rsidRPr="00BC57F4">
        <w:t>The amendment history in endnote 4 provid</w:t>
      </w:r>
      <w:r>
        <w:t xml:space="preserve">es information about amendments </w:t>
      </w:r>
      <w:r w:rsidRPr="00BC57F4">
        <w:t xml:space="preserve">at the provision </w:t>
      </w:r>
      <w:r>
        <w:t xml:space="preserve">(generally section or equivalent) </w:t>
      </w:r>
      <w:r w:rsidRPr="00BC57F4">
        <w:t xml:space="preserve">level. It also includes </w:t>
      </w:r>
      <w:r>
        <w:t>information about any provision</w:t>
      </w:r>
      <w:r w:rsidRPr="00BC57F4">
        <w:t xml:space="preserve"> </w:t>
      </w:r>
      <w:r>
        <w:t xml:space="preserve">of the compiled law </w:t>
      </w:r>
      <w:r w:rsidRPr="00BC57F4">
        <w:t xml:space="preserve">that </w:t>
      </w:r>
      <w:r>
        <w:t xml:space="preserve">has been repealed </w:t>
      </w:r>
      <w:r w:rsidRPr="00BC57F4">
        <w:t>in accordance with a</w:t>
      </w:r>
      <w:r>
        <w:t xml:space="preserve"> provision of the law.</w:t>
      </w:r>
    </w:p>
    <w:p w14:paraId="543990C0" w14:textId="77777777" w:rsidR="00E93F58" w:rsidRPr="00FB4AD4" w:rsidRDefault="00E93F58" w:rsidP="000B35C4">
      <w:pPr>
        <w:rPr>
          <w:b/>
        </w:rPr>
      </w:pPr>
      <w:r w:rsidRPr="00FB4AD4">
        <w:rPr>
          <w:b/>
        </w:rPr>
        <w:t>Editorial changes</w:t>
      </w:r>
    </w:p>
    <w:p w14:paraId="3F72FB5A" w14:textId="77777777" w:rsidR="00E93F58" w:rsidRDefault="00E93F58" w:rsidP="000B35C4">
      <w:pPr>
        <w:spacing w:after="120"/>
      </w:pPr>
      <w:r>
        <w:t xml:space="preserve">The </w:t>
      </w:r>
      <w:r w:rsidRPr="00C07893">
        <w:rPr>
          <w:i/>
        </w:rPr>
        <w:t>Legislation Act 2003</w:t>
      </w:r>
      <w:r>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39219139" w14:textId="77777777" w:rsidR="00E93F58" w:rsidRDefault="00E93F58" w:rsidP="000B35C4">
      <w:pPr>
        <w:spacing w:after="120"/>
      </w:pPr>
      <w:r>
        <w:t>If the compilation includes editorial changes, the endnotes include a brief outline of the changes in general terms. Full details of any changes can be obtained from the Office of Parliamentary Counsel.</w:t>
      </w:r>
    </w:p>
    <w:p w14:paraId="57CD1644" w14:textId="77777777" w:rsidR="00E93F58" w:rsidRPr="00BC57F4" w:rsidRDefault="00E93F58" w:rsidP="000B35C4">
      <w:pPr>
        <w:keepNext/>
      </w:pPr>
      <w:r>
        <w:rPr>
          <w:b/>
        </w:rPr>
        <w:t>Misdescribed amendments</w:t>
      </w:r>
    </w:p>
    <w:p w14:paraId="71DC1162" w14:textId="77777777" w:rsidR="00E93F58" w:rsidRDefault="00E93F58" w:rsidP="000B35C4">
      <w:pPr>
        <w:spacing w:after="120"/>
      </w:pPr>
      <w:r>
        <w:t xml:space="preserve">A misdescribed amendment is an amendment that does not accurately describe how an amendment is to be made. If, despite the misdescription, the amendment can be given effect as intended, then the misdescribed amendment can be incorporated through an editorial change made under section 15V of the </w:t>
      </w:r>
      <w:r w:rsidRPr="001B7B32">
        <w:rPr>
          <w:i/>
        </w:rPr>
        <w:t>Legislation Act 2003</w:t>
      </w:r>
      <w:r>
        <w:t>.</w:t>
      </w:r>
    </w:p>
    <w:p w14:paraId="2293BEE9" w14:textId="77777777" w:rsidR="00E93F58" w:rsidRDefault="00E93F58" w:rsidP="000B35C4">
      <w:pPr>
        <w:spacing w:before="120" w:after="240"/>
      </w:pPr>
      <w:r>
        <w:t>If a misdescribed amendment cannot be given effect as intended, the amendment is not incorporated and “(md not incorp)” is added to the amendment history</w:t>
      </w:r>
      <w:r w:rsidRPr="00E466D8">
        <w:t>.</w:t>
      </w:r>
    </w:p>
    <w:p w14:paraId="190FB01D" w14:textId="77777777" w:rsidR="00E93F58" w:rsidRPr="00576D60" w:rsidRDefault="00E93F58" w:rsidP="00C223D0"/>
    <w:p w14:paraId="09E3F63F" w14:textId="77777777" w:rsidR="00E93F58" w:rsidRPr="00576D60" w:rsidRDefault="00E93F58" w:rsidP="00C223D0">
      <w:pPr>
        <w:pStyle w:val="ENotesHeading2"/>
        <w:pageBreakBefore/>
        <w:outlineLvl w:val="9"/>
      </w:pPr>
      <w:bookmarkStart w:id="3629" w:name="_Toc151992049"/>
      <w:bookmarkStart w:id="3630" w:name="_Toc158713599"/>
      <w:r w:rsidRPr="00576D60">
        <w:lastRenderedPageBreak/>
        <w:t>Endnote 2—Abbreviation key</w:t>
      </w:r>
      <w:bookmarkEnd w:id="3629"/>
      <w:bookmarkEnd w:id="3630"/>
    </w:p>
    <w:p w14:paraId="096A7AB9" w14:textId="77777777" w:rsidR="00E93F58" w:rsidRPr="00576D60" w:rsidRDefault="00E93F58" w:rsidP="00C223D0">
      <w:pPr>
        <w:pStyle w:val="Tabletext"/>
      </w:pPr>
    </w:p>
    <w:tbl>
      <w:tblPr>
        <w:tblW w:w="5000" w:type="pct"/>
        <w:tblLook w:val="0000" w:firstRow="0" w:lastRow="0" w:firstColumn="0" w:lastColumn="0" w:noHBand="0" w:noVBand="0"/>
      </w:tblPr>
      <w:tblGrid>
        <w:gridCol w:w="5772"/>
        <w:gridCol w:w="5001"/>
      </w:tblGrid>
      <w:tr w:rsidR="00E93F58" w:rsidRPr="00576D60" w14:paraId="39597ABC" w14:textId="77777777" w:rsidTr="002F32E3">
        <w:tc>
          <w:tcPr>
            <w:tcW w:w="2679" w:type="pct"/>
            <w:shd w:val="clear" w:color="auto" w:fill="auto"/>
          </w:tcPr>
          <w:p w14:paraId="54F2C8A6" w14:textId="77777777" w:rsidR="00E93F58" w:rsidRPr="00576D60" w:rsidRDefault="00E93F58" w:rsidP="002F32E3">
            <w:pPr>
              <w:spacing w:before="60"/>
              <w:ind w:left="34"/>
              <w:rPr>
                <w:sz w:val="20"/>
              </w:rPr>
            </w:pPr>
            <w:r w:rsidRPr="00576D60">
              <w:rPr>
                <w:sz w:val="20"/>
              </w:rPr>
              <w:t>ad = added or inserted</w:t>
            </w:r>
          </w:p>
        </w:tc>
        <w:tc>
          <w:tcPr>
            <w:tcW w:w="2321" w:type="pct"/>
            <w:shd w:val="clear" w:color="auto" w:fill="auto"/>
          </w:tcPr>
          <w:p w14:paraId="0108600D" w14:textId="77777777" w:rsidR="00E93F58" w:rsidRPr="00576D60" w:rsidRDefault="00E93F58" w:rsidP="002F32E3">
            <w:pPr>
              <w:spacing w:before="60"/>
              <w:ind w:left="34"/>
              <w:rPr>
                <w:sz w:val="20"/>
              </w:rPr>
            </w:pPr>
            <w:r w:rsidRPr="00576D60">
              <w:rPr>
                <w:sz w:val="20"/>
              </w:rPr>
              <w:t>o = order(s)</w:t>
            </w:r>
          </w:p>
        </w:tc>
      </w:tr>
      <w:tr w:rsidR="00E93F58" w:rsidRPr="00576D60" w14:paraId="6EE98FC9" w14:textId="77777777" w:rsidTr="002F32E3">
        <w:tc>
          <w:tcPr>
            <w:tcW w:w="2679" w:type="pct"/>
            <w:shd w:val="clear" w:color="auto" w:fill="auto"/>
          </w:tcPr>
          <w:p w14:paraId="38C657FD" w14:textId="77777777" w:rsidR="00E93F58" w:rsidRPr="00576D60" w:rsidRDefault="00E93F58" w:rsidP="002F32E3">
            <w:pPr>
              <w:spacing w:before="60"/>
              <w:ind w:left="34"/>
              <w:rPr>
                <w:sz w:val="20"/>
              </w:rPr>
            </w:pPr>
            <w:r w:rsidRPr="00576D60">
              <w:rPr>
                <w:sz w:val="20"/>
              </w:rPr>
              <w:t>am = amended</w:t>
            </w:r>
          </w:p>
        </w:tc>
        <w:tc>
          <w:tcPr>
            <w:tcW w:w="2321" w:type="pct"/>
            <w:shd w:val="clear" w:color="auto" w:fill="auto"/>
          </w:tcPr>
          <w:p w14:paraId="2C2A541C" w14:textId="77777777" w:rsidR="00E93F58" w:rsidRPr="00576D60" w:rsidRDefault="00E93F58" w:rsidP="002F32E3">
            <w:pPr>
              <w:spacing w:before="60"/>
              <w:ind w:left="34"/>
              <w:rPr>
                <w:sz w:val="20"/>
              </w:rPr>
            </w:pPr>
            <w:r w:rsidRPr="00576D60">
              <w:rPr>
                <w:sz w:val="20"/>
              </w:rPr>
              <w:t>Ord = Ordinance</w:t>
            </w:r>
          </w:p>
        </w:tc>
      </w:tr>
      <w:tr w:rsidR="00E93F58" w:rsidRPr="00576D60" w14:paraId="45D652EC" w14:textId="77777777" w:rsidTr="002F32E3">
        <w:tc>
          <w:tcPr>
            <w:tcW w:w="2679" w:type="pct"/>
            <w:shd w:val="clear" w:color="auto" w:fill="auto"/>
          </w:tcPr>
          <w:p w14:paraId="113DF527" w14:textId="77777777" w:rsidR="00E93F58" w:rsidRPr="00576D60" w:rsidRDefault="00E93F58" w:rsidP="002F32E3">
            <w:pPr>
              <w:spacing w:before="60"/>
              <w:ind w:left="34"/>
              <w:rPr>
                <w:sz w:val="20"/>
              </w:rPr>
            </w:pPr>
            <w:r w:rsidRPr="00576D60">
              <w:rPr>
                <w:sz w:val="20"/>
              </w:rPr>
              <w:t>amdt = amendment</w:t>
            </w:r>
          </w:p>
        </w:tc>
        <w:tc>
          <w:tcPr>
            <w:tcW w:w="2321" w:type="pct"/>
            <w:shd w:val="clear" w:color="auto" w:fill="auto"/>
          </w:tcPr>
          <w:p w14:paraId="10F298A3" w14:textId="77777777" w:rsidR="00E93F58" w:rsidRPr="00576D60" w:rsidRDefault="00E93F58" w:rsidP="002F32E3">
            <w:pPr>
              <w:spacing w:before="60"/>
              <w:ind w:left="34"/>
              <w:rPr>
                <w:sz w:val="20"/>
              </w:rPr>
            </w:pPr>
            <w:r w:rsidRPr="00576D60">
              <w:rPr>
                <w:sz w:val="20"/>
              </w:rPr>
              <w:t>orig = original</w:t>
            </w:r>
          </w:p>
        </w:tc>
      </w:tr>
      <w:tr w:rsidR="00E93F58" w:rsidRPr="00576D60" w14:paraId="10961F73" w14:textId="77777777" w:rsidTr="002F32E3">
        <w:tc>
          <w:tcPr>
            <w:tcW w:w="2679" w:type="pct"/>
            <w:shd w:val="clear" w:color="auto" w:fill="auto"/>
          </w:tcPr>
          <w:p w14:paraId="4A37F9EE" w14:textId="77777777" w:rsidR="00E93F58" w:rsidRPr="00576D60" w:rsidRDefault="00E93F58" w:rsidP="002F32E3">
            <w:pPr>
              <w:spacing w:before="60"/>
              <w:ind w:left="34"/>
              <w:rPr>
                <w:sz w:val="20"/>
              </w:rPr>
            </w:pPr>
            <w:r w:rsidRPr="00576D60">
              <w:rPr>
                <w:sz w:val="20"/>
              </w:rPr>
              <w:t>c = clause(s)</w:t>
            </w:r>
          </w:p>
        </w:tc>
        <w:tc>
          <w:tcPr>
            <w:tcW w:w="2321" w:type="pct"/>
            <w:shd w:val="clear" w:color="auto" w:fill="auto"/>
          </w:tcPr>
          <w:p w14:paraId="607C0344" w14:textId="77777777" w:rsidR="00E93F58" w:rsidRPr="00576D60" w:rsidRDefault="00E93F58" w:rsidP="002F32E3">
            <w:pPr>
              <w:spacing w:before="60"/>
              <w:ind w:left="34"/>
              <w:rPr>
                <w:sz w:val="20"/>
              </w:rPr>
            </w:pPr>
            <w:r w:rsidRPr="00576D60">
              <w:rPr>
                <w:sz w:val="20"/>
              </w:rPr>
              <w:t>par = paragraph(s)/subparagraph(s)</w:t>
            </w:r>
          </w:p>
        </w:tc>
      </w:tr>
      <w:tr w:rsidR="00E93F58" w:rsidRPr="00576D60" w14:paraId="4088B5A3" w14:textId="77777777" w:rsidTr="002F32E3">
        <w:tc>
          <w:tcPr>
            <w:tcW w:w="2679" w:type="pct"/>
            <w:shd w:val="clear" w:color="auto" w:fill="auto"/>
          </w:tcPr>
          <w:p w14:paraId="6A4126C9" w14:textId="77777777" w:rsidR="00E93F58" w:rsidRPr="00576D60" w:rsidRDefault="00E93F58" w:rsidP="002F32E3">
            <w:pPr>
              <w:spacing w:before="60"/>
              <w:ind w:left="34"/>
              <w:rPr>
                <w:sz w:val="20"/>
              </w:rPr>
            </w:pPr>
            <w:r w:rsidRPr="00576D60">
              <w:rPr>
                <w:sz w:val="20"/>
              </w:rPr>
              <w:t>C[x] = Compilation No. x</w:t>
            </w:r>
          </w:p>
        </w:tc>
        <w:tc>
          <w:tcPr>
            <w:tcW w:w="2321" w:type="pct"/>
            <w:shd w:val="clear" w:color="auto" w:fill="auto"/>
          </w:tcPr>
          <w:p w14:paraId="6079ED12" w14:textId="77777777" w:rsidR="00E93F58" w:rsidRPr="00576D60" w:rsidRDefault="00E93F58" w:rsidP="0034765B">
            <w:pPr>
              <w:ind w:left="34" w:firstLine="249"/>
              <w:rPr>
                <w:sz w:val="20"/>
              </w:rPr>
            </w:pPr>
            <w:r w:rsidRPr="00576D60">
              <w:rPr>
                <w:sz w:val="20"/>
              </w:rPr>
              <w:t>/sub</w:t>
            </w:r>
            <w:r>
              <w:rPr>
                <w:sz w:val="20"/>
              </w:rPr>
              <w:noBreakHyphen/>
            </w:r>
            <w:r w:rsidRPr="00576D60">
              <w:rPr>
                <w:sz w:val="20"/>
              </w:rPr>
              <w:t>subparagraph(s)</w:t>
            </w:r>
          </w:p>
        </w:tc>
      </w:tr>
      <w:tr w:rsidR="00E93F58" w:rsidRPr="00576D60" w14:paraId="00AF3A80" w14:textId="77777777" w:rsidTr="002F32E3">
        <w:tc>
          <w:tcPr>
            <w:tcW w:w="2679" w:type="pct"/>
            <w:shd w:val="clear" w:color="auto" w:fill="auto"/>
          </w:tcPr>
          <w:p w14:paraId="57AD0FD8" w14:textId="77777777" w:rsidR="00E93F58" w:rsidRPr="00576D60" w:rsidRDefault="00E93F58" w:rsidP="002F32E3">
            <w:pPr>
              <w:spacing w:before="60"/>
              <w:ind w:left="34"/>
              <w:rPr>
                <w:sz w:val="20"/>
              </w:rPr>
            </w:pPr>
            <w:r w:rsidRPr="00576D60">
              <w:rPr>
                <w:sz w:val="20"/>
              </w:rPr>
              <w:t>Ch = Chapter(s)</w:t>
            </w:r>
          </w:p>
        </w:tc>
        <w:tc>
          <w:tcPr>
            <w:tcW w:w="2321" w:type="pct"/>
            <w:shd w:val="clear" w:color="auto" w:fill="auto"/>
          </w:tcPr>
          <w:p w14:paraId="2545C54F" w14:textId="77777777" w:rsidR="00E93F58" w:rsidRPr="00576D60" w:rsidRDefault="00E93F58" w:rsidP="002F32E3">
            <w:pPr>
              <w:spacing w:before="60"/>
              <w:ind w:left="34"/>
              <w:rPr>
                <w:sz w:val="20"/>
              </w:rPr>
            </w:pPr>
            <w:r w:rsidRPr="00576D60">
              <w:rPr>
                <w:sz w:val="20"/>
              </w:rPr>
              <w:t>pres = present</w:t>
            </w:r>
          </w:p>
        </w:tc>
      </w:tr>
      <w:tr w:rsidR="00E93F58" w:rsidRPr="00576D60" w14:paraId="0B85EBB4" w14:textId="77777777" w:rsidTr="002F32E3">
        <w:tc>
          <w:tcPr>
            <w:tcW w:w="2679" w:type="pct"/>
            <w:shd w:val="clear" w:color="auto" w:fill="auto"/>
          </w:tcPr>
          <w:p w14:paraId="5D63E8F6" w14:textId="77777777" w:rsidR="00E93F58" w:rsidRPr="00576D60" w:rsidRDefault="00E93F58" w:rsidP="002F32E3">
            <w:pPr>
              <w:spacing w:before="60"/>
              <w:ind w:left="34"/>
              <w:rPr>
                <w:sz w:val="20"/>
              </w:rPr>
            </w:pPr>
            <w:r w:rsidRPr="00576D60">
              <w:rPr>
                <w:sz w:val="20"/>
              </w:rPr>
              <w:t>def = definition(s)</w:t>
            </w:r>
          </w:p>
        </w:tc>
        <w:tc>
          <w:tcPr>
            <w:tcW w:w="2321" w:type="pct"/>
            <w:shd w:val="clear" w:color="auto" w:fill="auto"/>
          </w:tcPr>
          <w:p w14:paraId="5CED0281" w14:textId="77777777" w:rsidR="00E93F58" w:rsidRPr="00576D60" w:rsidRDefault="00E93F58" w:rsidP="002F32E3">
            <w:pPr>
              <w:spacing w:before="60"/>
              <w:ind w:left="34"/>
              <w:rPr>
                <w:sz w:val="20"/>
              </w:rPr>
            </w:pPr>
            <w:r w:rsidRPr="00576D60">
              <w:rPr>
                <w:sz w:val="20"/>
              </w:rPr>
              <w:t>prev = previous</w:t>
            </w:r>
          </w:p>
        </w:tc>
      </w:tr>
      <w:tr w:rsidR="00E93F58" w:rsidRPr="00576D60" w14:paraId="6DDFEF39" w14:textId="77777777" w:rsidTr="002F32E3">
        <w:tc>
          <w:tcPr>
            <w:tcW w:w="2679" w:type="pct"/>
            <w:shd w:val="clear" w:color="auto" w:fill="auto"/>
          </w:tcPr>
          <w:p w14:paraId="2BB00DE4" w14:textId="77777777" w:rsidR="00E93F58" w:rsidRPr="00576D60" w:rsidRDefault="00E93F58" w:rsidP="002F32E3">
            <w:pPr>
              <w:spacing w:before="60"/>
              <w:ind w:left="34"/>
              <w:rPr>
                <w:sz w:val="20"/>
              </w:rPr>
            </w:pPr>
            <w:r w:rsidRPr="00576D60">
              <w:rPr>
                <w:sz w:val="20"/>
              </w:rPr>
              <w:t>Dict = Dictionary</w:t>
            </w:r>
          </w:p>
        </w:tc>
        <w:tc>
          <w:tcPr>
            <w:tcW w:w="2321" w:type="pct"/>
            <w:shd w:val="clear" w:color="auto" w:fill="auto"/>
          </w:tcPr>
          <w:p w14:paraId="1C11B1D5" w14:textId="77777777" w:rsidR="00E93F58" w:rsidRPr="00576D60" w:rsidRDefault="00E93F58" w:rsidP="002F32E3">
            <w:pPr>
              <w:spacing w:before="60"/>
              <w:ind w:left="34"/>
              <w:rPr>
                <w:sz w:val="20"/>
              </w:rPr>
            </w:pPr>
            <w:r w:rsidRPr="00576D60">
              <w:rPr>
                <w:sz w:val="20"/>
              </w:rPr>
              <w:t>(prev…) = previously</w:t>
            </w:r>
          </w:p>
        </w:tc>
      </w:tr>
      <w:tr w:rsidR="00E93F58" w:rsidRPr="00576D60" w14:paraId="29BDE7E0" w14:textId="77777777" w:rsidTr="002F32E3">
        <w:tc>
          <w:tcPr>
            <w:tcW w:w="2679" w:type="pct"/>
            <w:shd w:val="clear" w:color="auto" w:fill="auto"/>
          </w:tcPr>
          <w:p w14:paraId="42E95C69" w14:textId="77777777" w:rsidR="00E93F58" w:rsidRPr="00576D60" w:rsidRDefault="00E93F58" w:rsidP="002F32E3">
            <w:pPr>
              <w:spacing w:before="60"/>
              <w:ind w:left="34"/>
              <w:rPr>
                <w:sz w:val="20"/>
              </w:rPr>
            </w:pPr>
            <w:r w:rsidRPr="00576D60">
              <w:rPr>
                <w:sz w:val="20"/>
              </w:rPr>
              <w:t>disallowed = disallowed by Parliament</w:t>
            </w:r>
          </w:p>
        </w:tc>
        <w:tc>
          <w:tcPr>
            <w:tcW w:w="2321" w:type="pct"/>
            <w:shd w:val="clear" w:color="auto" w:fill="auto"/>
          </w:tcPr>
          <w:p w14:paraId="0D8B07FB" w14:textId="77777777" w:rsidR="00E93F58" w:rsidRPr="00576D60" w:rsidRDefault="00E93F58" w:rsidP="002F32E3">
            <w:pPr>
              <w:spacing w:before="60"/>
              <w:ind w:left="34"/>
              <w:rPr>
                <w:sz w:val="20"/>
              </w:rPr>
            </w:pPr>
            <w:r w:rsidRPr="00576D60">
              <w:rPr>
                <w:sz w:val="20"/>
              </w:rPr>
              <w:t>Pt = Part(s)</w:t>
            </w:r>
          </w:p>
        </w:tc>
      </w:tr>
      <w:tr w:rsidR="00E93F58" w:rsidRPr="00576D60" w14:paraId="0C609EF5" w14:textId="77777777" w:rsidTr="002F32E3">
        <w:tc>
          <w:tcPr>
            <w:tcW w:w="2679" w:type="pct"/>
            <w:shd w:val="clear" w:color="auto" w:fill="auto"/>
          </w:tcPr>
          <w:p w14:paraId="75753EFC" w14:textId="77777777" w:rsidR="00E93F58" w:rsidRPr="00576D60" w:rsidRDefault="00E93F58" w:rsidP="002F32E3">
            <w:pPr>
              <w:spacing w:before="60"/>
              <w:ind w:left="34"/>
              <w:rPr>
                <w:sz w:val="20"/>
              </w:rPr>
            </w:pPr>
            <w:r w:rsidRPr="00576D60">
              <w:rPr>
                <w:sz w:val="20"/>
              </w:rPr>
              <w:t>Div = Division(s)</w:t>
            </w:r>
          </w:p>
        </w:tc>
        <w:tc>
          <w:tcPr>
            <w:tcW w:w="2321" w:type="pct"/>
            <w:shd w:val="clear" w:color="auto" w:fill="auto"/>
          </w:tcPr>
          <w:p w14:paraId="2DFE35BF" w14:textId="77777777" w:rsidR="00E93F58" w:rsidRPr="00576D60" w:rsidRDefault="00E93F58" w:rsidP="002F32E3">
            <w:pPr>
              <w:spacing w:before="60"/>
              <w:ind w:left="34"/>
              <w:rPr>
                <w:sz w:val="20"/>
              </w:rPr>
            </w:pPr>
            <w:r w:rsidRPr="00576D60">
              <w:rPr>
                <w:sz w:val="20"/>
              </w:rPr>
              <w:t>r = regulation(s)/rule(s)</w:t>
            </w:r>
          </w:p>
        </w:tc>
      </w:tr>
      <w:tr w:rsidR="00E93F58" w:rsidRPr="00576D60" w14:paraId="2ADA2501" w14:textId="77777777" w:rsidTr="002F32E3">
        <w:tc>
          <w:tcPr>
            <w:tcW w:w="2679" w:type="pct"/>
            <w:shd w:val="clear" w:color="auto" w:fill="auto"/>
          </w:tcPr>
          <w:p w14:paraId="71BEC3D0" w14:textId="77777777" w:rsidR="00E93F58" w:rsidRPr="00576D60" w:rsidRDefault="00E93F58" w:rsidP="002F32E3">
            <w:pPr>
              <w:spacing w:before="60"/>
              <w:ind w:left="34"/>
              <w:rPr>
                <w:sz w:val="20"/>
              </w:rPr>
            </w:pPr>
            <w:r w:rsidRPr="00576D60">
              <w:rPr>
                <w:sz w:val="20"/>
              </w:rPr>
              <w:t>ed = editorial change</w:t>
            </w:r>
          </w:p>
        </w:tc>
        <w:tc>
          <w:tcPr>
            <w:tcW w:w="2321" w:type="pct"/>
            <w:shd w:val="clear" w:color="auto" w:fill="auto"/>
          </w:tcPr>
          <w:p w14:paraId="3E6B0636" w14:textId="77777777" w:rsidR="00E93F58" w:rsidRPr="00576D60" w:rsidRDefault="00E93F58" w:rsidP="002F32E3">
            <w:pPr>
              <w:spacing w:before="60"/>
              <w:ind w:left="34"/>
              <w:rPr>
                <w:sz w:val="20"/>
              </w:rPr>
            </w:pPr>
            <w:r w:rsidRPr="00576D60">
              <w:rPr>
                <w:sz w:val="20"/>
              </w:rPr>
              <w:t>reloc = relocated</w:t>
            </w:r>
          </w:p>
        </w:tc>
      </w:tr>
      <w:tr w:rsidR="00E93F58" w:rsidRPr="00576D60" w14:paraId="72816FE3" w14:textId="77777777" w:rsidTr="002F32E3">
        <w:tc>
          <w:tcPr>
            <w:tcW w:w="2679" w:type="pct"/>
            <w:shd w:val="clear" w:color="auto" w:fill="auto"/>
          </w:tcPr>
          <w:p w14:paraId="0DCA539C" w14:textId="77777777" w:rsidR="00E93F58" w:rsidRPr="00576D60" w:rsidRDefault="00E93F58" w:rsidP="002F32E3">
            <w:pPr>
              <w:spacing w:before="60"/>
              <w:ind w:left="34"/>
              <w:rPr>
                <w:sz w:val="20"/>
              </w:rPr>
            </w:pPr>
            <w:r w:rsidRPr="00576D60">
              <w:rPr>
                <w:sz w:val="20"/>
              </w:rPr>
              <w:t>exp = expires/expired or ceases/ceased to have</w:t>
            </w:r>
          </w:p>
        </w:tc>
        <w:tc>
          <w:tcPr>
            <w:tcW w:w="2321" w:type="pct"/>
            <w:shd w:val="clear" w:color="auto" w:fill="auto"/>
          </w:tcPr>
          <w:p w14:paraId="25F63CA6" w14:textId="77777777" w:rsidR="00E93F58" w:rsidRPr="00576D60" w:rsidRDefault="00E93F58" w:rsidP="002F32E3">
            <w:pPr>
              <w:spacing w:before="60"/>
              <w:ind w:left="34"/>
              <w:rPr>
                <w:sz w:val="20"/>
              </w:rPr>
            </w:pPr>
            <w:r w:rsidRPr="00576D60">
              <w:rPr>
                <w:sz w:val="20"/>
              </w:rPr>
              <w:t>renum = renumbered</w:t>
            </w:r>
          </w:p>
        </w:tc>
      </w:tr>
      <w:tr w:rsidR="00E93F58" w:rsidRPr="00576D60" w14:paraId="3C7A95F9" w14:textId="77777777" w:rsidTr="002F32E3">
        <w:tc>
          <w:tcPr>
            <w:tcW w:w="2679" w:type="pct"/>
            <w:shd w:val="clear" w:color="auto" w:fill="auto"/>
          </w:tcPr>
          <w:p w14:paraId="6AAE5185" w14:textId="77777777" w:rsidR="00E93F58" w:rsidRPr="00576D60" w:rsidRDefault="00E93F58" w:rsidP="0034765B">
            <w:pPr>
              <w:ind w:left="34" w:firstLine="249"/>
              <w:rPr>
                <w:sz w:val="20"/>
              </w:rPr>
            </w:pPr>
            <w:r w:rsidRPr="00576D60">
              <w:rPr>
                <w:sz w:val="20"/>
              </w:rPr>
              <w:t>effect</w:t>
            </w:r>
          </w:p>
        </w:tc>
        <w:tc>
          <w:tcPr>
            <w:tcW w:w="2321" w:type="pct"/>
            <w:shd w:val="clear" w:color="auto" w:fill="auto"/>
          </w:tcPr>
          <w:p w14:paraId="3C7A5779" w14:textId="77777777" w:rsidR="00E93F58" w:rsidRPr="00576D60" w:rsidRDefault="00E93F58" w:rsidP="002F32E3">
            <w:pPr>
              <w:spacing w:before="60"/>
              <w:ind w:left="34"/>
              <w:rPr>
                <w:sz w:val="20"/>
              </w:rPr>
            </w:pPr>
            <w:r w:rsidRPr="00576D60">
              <w:rPr>
                <w:sz w:val="20"/>
              </w:rPr>
              <w:t>rep = repealed</w:t>
            </w:r>
          </w:p>
        </w:tc>
      </w:tr>
      <w:tr w:rsidR="00E93F58" w:rsidRPr="00576D60" w14:paraId="003E1B5C" w14:textId="77777777" w:rsidTr="002F32E3">
        <w:tc>
          <w:tcPr>
            <w:tcW w:w="2679" w:type="pct"/>
            <w:shd w:val="clear" w:color="auto" w:fill="auto"/>
          </w:tcPr>
          <w:p w14:paraId="45D84334" w14:textId="77777777" w:rsidR="00E93F58" w:rsidRPr="00576D60" w:rsidRDefault="00E93F58" w:rsidP="002F32E3">
            <w:pPr>
              <w:spacing w:before="60"/>
              <w:ind w:left="34"/>
              <w:rPr>
                <w:sz w:val="20"/>
              </w:rPr>
            </w:pPr>
            <w:r w:rsidRPr="00576D60">
              <w:rPr>
                <w:sz w:val="20"/>
              </w:rPr>
              <w:t>F = Federal Register of Legislation</w:t>
            </w:r>
          </w:p>
        </w:tc>
        <w:tc>
          <w:tcPr>
            <w:tcW w:w="2321" w:type="pct"/>
            <w:shd w:val="clear" w:color="auto" w:fill="auto"/>
          </w:tcPr>
          <w:p w14:paraId="14970240" w14:textId="77777777" w:rsidR="00E93F58" w:rsidRPr="00576D60" w:rsidRDefault="00E93F58" w:rsidP="002F32E3">
            <w:pPr>
              <w:spacing w:before="60"/>
              <w:ind w:left="34"/>
              <w:rPr>
                <w:sz w:val="20"/>
              </w:rPr>
            </w:pPr>
            <w:r w:rsidRPr="00576D60">
              <w:rPr>
                <w:sz w:val="20"/>
              </w:rPr>
              <w:t>rs = repealed and substituted</w:t>
            </w:r>
          </w:p>
        </w:tc>
      </w:tr>
      <w:tr w:rsidR="00E93F58" w:rsidRPr="00576D60" w14:paraId="4C694EDB" w14:textId="77777777" w:rsidTr="002F32E3">
        <w:tc>
          <w:tcPr>
            <w:tcW w:w="2679" w:type="pct"/>
            <w:shd w:val="clear" w:color="auto" w:fill="auto"/>
          </w:tcPr>
          <w:p w14:paraId="69AC3E2F" w14:textId="77777777" w:rsidR="00E93F58" w:rsidRPr="00576D60" w:rsidRDefault="00E93F58" w:rsidP="002F32E3">
            <w:pPr>
              <w:spacing w:before="60"/>
              <w:ind w:left="34"/>
              <w:rPr>
                <w:sz w:val="20"/>
              </w:rPr>
            </w:pPr>
            <w:r w:rsidRPr="00576D60">
              <w:rPr>
                <w:sz w:val="20"/>
              </w:rPr>
              <w:t>gaz = gazette</w:t>
            </w:r>
          </w:p>
        </w:tc>
        <w:tc>
          <w:tcPr>
            <w:tcW w:w="2321" w:type="pct"/>
            <w:shd w:val="clear" w:color="auto" w:fill="auto"/>
          </w:tcPr>
          <w:p w14:paraId="0FDA7FE6" w14:textId="77777777" w:rsidR="00E93F58" w:rsidRPr="00576D60" w:rsidRDefault="00E93F58" w:rsidP="002F32E3">
            <w:pPr>
              <w:spacing w:before="60"/>
              <w:ind w:left="34"/>
              <w:rPr>
                <w:sz w:val="20"/>
              </w:rPr>
            </w:pPr>
            <w:r w:rsidRPr="00576D60">
              <w:rPr>
                <w:sz w:val="20"/>
              </w:rPr>
              <w:t>s = section(s)/subsection(s)</w:t>
            </w:r>
          </w:p>
        </w:tc>
      </w:tr>
      <w:tr w:rsidR="00E93F58" w:rsidRPr="00576D60" w14:paraId="6E1173FC" w14:textId="77777777" w:rsidTr="002F32E3">
        <w:tc>
          <w:tcPr>
            <w:tcW w:w="2679" w:type="pct"/>
            <w:shd w:val="clear" w:color="auto" w:fill="auto"/>
          </w:tcPr>
          <w:p w14:paraId="7F02F927" w14:textId="77777777" w:rsidR="00E93F58" w:rsidRPr="00576D60" w:rsidRDefault="00E93F58" w:rsidP="002F32E3">
            <w:pPr>
              <w:spacing w:before="60"/>
              <w:ind w:left="34"/>
              <w:rPr>
                <w:sz w:val="20"/>
              </w:rPr>
            </w:pPr>
            <w:r w:rsidRPr="00576D60">
              <w:rPr>
                <w:sz w:val="20"/>
              </w:rPr>
              <w:t xml:space="preserve">LA = </w:t>
            </w:r>
            <w:r w:rsidRPr="00576D60">
              <w:rPr>
                <w:i/>
                <w:sz w:val="20"/>
              </w:rPr>
              <w:t>Legislation Act 2003</w:t>
            </w:r>
          </w:p>
        </w:tc>
        <w:tc>
          <w:tcPr>
            <w:tcW w:w="2321" w:type="pct"/>
            <w:shd w:val="clear" w:color="auto" w:fill="auto"/>
          </w:tcPr>
          <w:p w14:paraId="301D45F4" w14:textId="77777777" w:rsidR="00E93F58" w:rsidRPr="00576D60" w:rsidRDefault="00E93F58" w:rsidP="002F32E3">
            <w:pPr>
              <w:spacing w:before="60"/>
              <w:ind w:left="34"/>
              <w:rPr>
                <w:sz w:val="20"/>
              </w:rPr>
            </w:pPr>
            <w:r w:rsidRPr="00576D60">
              <w:rPr>
                <w:sz w:val="20"/>
              </w:rPr>
              <w:t>Sch = Schedule(s)</w:t>
            </w:r>
          </w:p>
        </w:tc>
      </w:tr>
      <w:tr w:rsidR="00E93F58" w:rsidRPr="00576D60" w14:paraId="65942877" w14:textId="77777777" w:rsidTr="002F32E3">
        <w:tc>
          <w:tcPr>
            <w:tcW w:w="2679" w:type="pct"/>
            <w:shd w:val="clear" w:color="auto" w:fill="auto"/>
          </w:tcPr>
          <w:p w14:paraId="2E9B7C4A" w14:textId="77777777" w:rsidR="00E93F58" w:rsidRPr="00576D60" w:rsidRDefault="00E93F58" w:rsidP="002F32E3">
            <w:pPr>
              <w:spacing w:before="60"/>
              <w:ind w:left="34"/>
              <w:rPr>
                <w:sz w:val="20"/>
              </w:rPr>
            </w:pPr>
            <w:r w:rsidRPr="00576D60">
              <w:rPr>
                <w:sz w:val="20"/>
              </w:rPr>
              <w:t xml:space="preserve">LIA = </w:t>
            </w:r>
            <w:r w:rsidRPr="00576D60">
              <w:rPr>
                <w:i/>
                <w:sz w:val="20"/>
              </w:rPr>
              <w:t>Legislative Instruments Act 2003</w:t>
            </w:r>
          </w:p>
        </w:tc>
        <w:tc>
          <w:tcPr>
            <w:tcW w:w="2321" w:type="pct"/>
            <w:shd w:val="clear" w:color="auto" w:fill="auto"/>
          </w:tcPr>
          <w:p w14:paraId="1DFBF289" w14:textId="77777777" w:rsidR="00E93F58" w:rsidRPr="00576D60" w:rsidRDefault="00E93F58" w:rsidP="002F32E3">
            <w:pPr>
              <w:spacing w:before="60"/>
              <w:ind w:left="34"/>
              <w:rPr>
                <w:sz w:val="20"/>
              </w:rPr>
            </w:pPr>
            <w:r w:rsidRPr="00576D60">
              <w:rPr>
                <w:sz w:val="20"/>
              </w:rPr>
              <w:t>Sdiv = Subdivision(s)</w:t>
            </w:r>
          </w:p>
        </w:tc>
      </w:tr>
      <w:tr w:rsidR="00E93F58" w:rsidRPr="00576D60" w14:paraId="43E9A68D" w14:textId="77777777" w:rsidTr="002F32E3">
        <w:tc>
          <w:tcPr>
            <w:tcW w:w="2679" w:type="pct"/>
            <w:shd w:val="clear" w:color="auto" w:fill="auto"/>
          </w:tcPr>
          <w:p w14:paraId="7FE14DFE" w14:textId="77777777" w:rsidR="00E93F58" w:rsidRPr="00576D60" w:rsidRDefault="00E93F58" w:rsidP="002F32E3">
            <w:pPr>
              <w:spacing w:before="60"/>
              <w:ind w:left="34"/>
              <w:rPr>
                <w:sz w:val="20"/>
              </w:rPr>
            </w:pPr>
            <w:r w:rsidRPr="00576D60">
              <w:rPr>
                <w:sz w:val="20"/>
              </w:rPr>
              <w:t>(md) = misdescribed amendment can be given</w:t>
            </w:r>
          </w:p>
        </w:tc>
        <w:tc>
          <w:tcPr>
            <w:tcW w:w="2321" w:type="pct"/>
            <w:shd w:val="clear" w:color="auto" w:fill="auto"/>
          </w:tcPr>
          <w:p w14:paraId="017A17A4" w14:textId="77777777" w:rsidR="00E93F58" w:rsidRPr="00576D60" w:rsidRDefault="00E93F58" w:rsidP="002F32E3">
            <w:pPr>
              <w:spacing w:before="60"/>
              <w:ind w:left="34"/>
              <w:rPr>
                <w:sz w:val="20"/>
              </w:rPr>
            </w:pPr>
            <w:r w:rsidRPr="00576D60">
              <w:rPr>
                <w:sz w:val="20"/>
              </w:rPr>
              <w:t>SLI = Select Legislative Instrument</w:t>
            </w:r>
          </w:p>
        </w:tc>
      </w:tr>
      <w:tr w:rsidR="00E93F58" w:rsidRPr="00576D60" w14:paraId="317CEE67" w14:textId="77777777" w:rsidTr="002F32E3">
        <w:tc>
          <w:tcPr>
            <w:tcW w:w="2679" w:type="pct"/>
            <w:shd w:val="clear" w:color="auto" w:fill="auto"/>
          </w:tcPr>
          <w:p w14:paraId="75A73CFF" w14:textId="77777777" w:rsidR="00E93F58" w:rsidRPr="00576D60" w:rsidRDefault="00E93F58" w:rsidP="0034765B">
            <w:pPr>
              <w:ind w:left="34" w:firstLine="249"/>
              <w:rPr>
                <w:sz w:val="20"/>
              </w:rPr>
            </w:pPr>
            <w:r w:rsidRPr="00576D60">
              <w:rPr>
                <w:sz w:val="20"/>
              </w:rPr>
              <w:t>effect</w:t>
            </w:r>
          </w:p>
        </w:tc>
        <w:tc>
          <w:tcPr>
            <w:tcW w:w="2321" w:type="pct"/>
            <w:shd w:val="clear" w:color="auto" w:fill="auto"/>
          </w:tcPr>
          <w:p w14:paraId="2BDBFCC5" w14:textId="77777777" w:rsidR="00E93F58" w:rsidRPr="00576D60" w:rsidRDefault="00E93F58" w:rsidP="002F32E3">
            <w:pPr>
              <w:spacing w:before="60"/>
              <w:ind w:left="34"/>
              <w:rPr>
                <w:sz w:val="20"/>
              </w:rPr>
            </w:pPr>
            <w:r w:rsidRPr="00576D60">
              <w:rPr>
                <w:sz w:val="20"/>
              </w:rPr>
              <w:t>SR = Statutory Rules</w:t>
            </w:r>
          </w:p>
        </w:tc>
      </w:tr>
      <w:tr w:rsidR="00E93F58" w:rsidRPr="00576D60" w14:paraId="502B9CBE" w14:textId="77777777" w:rsidTr="002F32E3">
        <w:tc>
          <w:tcPr>
            <w:tcW w:w="2679" w:type="pct"/>
            <w:shd w:val="clear" w:color="auto" w:fill="auto"/>
          </w:tcPr>
          <w:p w14:paraId="20D2C148" w14:textId="77777777" w:rsidR="00E93F58" w:rsidRPr="00576D60" w:rsidRDefault="00E93F58" w:rsidP="002F32E3">
            <w:pPr>
              <w:spacing w:before="60"/>
              <w:ind w:left="34"/>
              <w:rPr>
                <w:sz w:val="20"/>
              </w:rPr>
            </w:pPr>
            <w:r w:rsidRPr="00576D60">
              <w:rPr>
                <w:sz w:val="20"/>
              </w:rPr>
              <w:t>(md not incorp) = misdescribed amendment</w:t>
            </w:r>
          </w:p>
        </w:tc>
        <w:tc>
          <w:tcPr>
            <w:tcW w:w="2321" w:type="pct"/>
            <w:shd w:val="clear" w:color="auto" w:fill="auto"/>
          </w:tcPr>
          <w:p w14:paraId="504DB528" w14:textId="77777777" w:rsidR="00E93F58" w:rsidRPr="00576D60" w:rsidRDefault="00E93F58" w:rsidP="002F32E3">
            <w:pPr>
              <w:spacing w:before="60"/>
              <w:ind w:left="34"/>
              <w:rPr>
                <w:sz w:val="20"/>
              </w:rPr>
            </w:pPr>
            <w:r w:rsidRPr="00576D60">
              <w:rPr>
                <w:sz w:val="20"/>
              </w:rPr>
              <w:t>Sub</w:t>
            </w:r>
            <w:r>
              <w:rPr>
                <w:sz w:val="20"/>
              </w:rPr>
              <w:noBreakHyphen/>
            </w:r>
            <w:r w:rsidRPr="00576D60">
              <w:rPr>
                <w:sz w:val="20"/>
              </w:rPr>
              <w:t>Ch = Sub</w:t>
            </w:r>
            <w:r>
              <w:rPr>
                <w:sz w:val="20"/>
              </w:rPr>
              <w:noBreakHyphen/>
            </w:r>
            <w:r w:rsidRPr="00576D60">
              <w:rPr>
                <w:sz w:val="20"/>
              </w:rPr>
              <w:t>Chapter(s)</w:t>
            </w:r>
          </w:p>
        </w:tc>
      </w:tr>
      <w:tr w:rsidR="00E93F58" w:rsidRPr="00576D60" w14:paraId="68908B94" w14:textId="77777777" w:rsidTr="002F32E3">
        <w:tc>
          <w:tcPr>
            <w:tcW w:w="2679" w:type="pct"/>
            <w:shd w:val="clear" w:color="auto" w:fill="auto"/>
          </w:tcPr>
          <w:p w14:paraId="3428FD5D" w14:textId="77777777" w:rsidR="00E93F58" w:rsidRPr="00576D60" w:rsidRDefault="00E93F58" w:rsidP="0034765B">
            <w:pPr>
              <w:ind w:left="34" w:firstLine="249"/>
              <w:rPr>
                <w:sz w:val="20"/>
              </w:rPr>
            </w:pPr>
            <w:r w:rsidRPr="00576D60">
              <w:rPr>
                <w:sz w:val="20"/>
              </w:rPr>
              <w:t>cannot be given effect</w:t>
            </w:r>
          </w:p>
        </w:tc>
        <w:tc>
          <w:tcPr>
            <w:tcW w:w="2321" w:type="pct"/>
            <w:shd w:val="clear" w:color="auto" w:fill="auto"/>
          </w:tcPr>
          <w:p w14:paraId="238CB88C" w14:textId="77777777" w:rsidR="00E93F58" w:rsidRPr="00576D60" w:rsidRDefault="00E93F58" w:rsidP="002F32E3">
            <w:pPr>
              <w:spacing w:before="60"/>
              <w:ind w:left="34"/>
              <w:rPr>
                <w:sz w:val="20"/>
              </w:rPr>
            </w:pPr>
            <w:r w:rsidRPr="00576D60">
              <w:rPr>
                <w:sz w:val="20"/>
              </w:rPr>
              <w:t>SubPt = Subpart(s)</w:t>
            </w:r>
          </w:p>
        </w:tc>
      </w:tr>
      <w:tr w:rsidR="00E93F58" w:rsidRPr="00576D60" w14:paraId="71B2F979" w14:textId="77777777" w:rsidTr="002F32E3">
        <w:tc>
          <w:tcPr>
            <w:tcW w:w="2679" w:type="pct"/>
            <w:shd w:val="clear" w:color="auto" w:fill="auto"/>
          </w:tcPr>
          <w:p w14:paraId="0C4799DD" w14:textId="77777777" w:rsidR="00E93F58" w:rsidRPr="00576D60" w:rsidRDefault="00E93F58" w:rsidP="002F32E3">
            <w:pPr>
              <w:spacing w:before="60"/>
              <w:ind w:left="34"/>
              <w:rPr>
                <w:sz w:val="20"/>
              </w:rPr>
            </w:pPr>
            <w:r w:rsidRPr="00576D60">
              <w:rPr>
                <w:sz w:val="20"/>
              </w:rPr>
              <w:t>mod = modified/modification</w:t>
            </w:r>
          </w:p>
        </w:tc>
        <w:tc>
          <w:tcPr>
            <w:tcW w:w="2321" w:type="pct"/>
            <w:shd w:val="clear" w:color="auto" w:fill="auto"/>
          </w:tcPr>
          <w:p w14:paraId="31E678BF" w14:textId="77777777" w:rsidR="00E93F58" w:rsidRPr="00576D60" w:rsidRDefault="00E93F58" w:rsidP="002F32E3">
            <w:pPr>
              <w:spacing w:before="60"/>
              <w:ind w:left="34"/>
              <w:rPr>
                <w:sz w:val="20"/>
              </w:rPr>
            </w:pPr>
            <w:r w:rsidRPr="00576D60">
              <w:rPr>
                <w:sz w:val="20"/>
                <w:u w:val="single"/>
              </w:rPr>
              <w:t>underlining</w:t>
            </w:r>
            <w:r w:rsidRPr="00576D60">
              <w:rPr>
                <w:sz w:val="20"/>
              </w:rPr>
              <w:t xml:space="preserve"> = whole or part not</w:t>
            </w:r>
          </w:p>
        </w:tc>
      </w:tr>
      <w:tr w:rsidR="00E93F58" w:rsidRPr="00576D60" w14:paraId="49737167" w14:textId="77777777" w:rsidTr="002F32E3">
        <w:tc>
          <w:tcPr>
            <w:tcW w:w="2679" w:type="pct"/>
            <w:shd w:val="clear" w:color="auto" w:fill="auto"/>
          </w:tcPr>
          <w:p w14:paraId="7A1978BC" w14:textId="77777777" w:rsidR="00E93F58" w:rsidRPr="00576D60" w:rsidRDefault="00E93F58" w:rsidP="002F32E3">
            <w:pPr>
              <w:spacing w:before="60"/>
              <w:ind w:left="34"/>
              <w:rPr>
                <w:sz w:val="20"/>
              </w:rPr>
            </w:pPr>
            <w:r w:rsidRPr="00576D60">
              <w:rPr>
                <w:sz w:val="20"/>
              </w:rPr>
              <w:t>No. = Number(s)</w:t>
            </w:r>
          </w:p>
        </w:tc>
        <w:tc>
          <w:tcPr>
            <w:tcW w:w="2321" w:type="pct"/>
            <w:shd w:val="clear" w:color="auto" w:fill="auto"/>
          </w:tcPr>
          <w:p w14:paraId="3E39C626" w14:textId="77777777" w:rsidR="00E93F58" w:rsidRPr="00576D60" w:rsidRDefault="00E93F58" w:rsidP="0034765B">
            <w:pPr>
              <w:ind w:left="34" w:firstLine="249"/>
              <w:rPr>
                <w:sz w:val="20"/>
              </w:rPr>
            </w:pPr>
            <w:r w:rsidRPr="00576D60">
              <w:rPr>
                <w:sz w:val="20"/>
              </w:rPr>
              <w:t>commenced or to be commenced</w:t>
            </w:r>
          </w:p>
        </w:tc>
      </w:tr>
      <w:bookmarkEnd w:id="3627"/>
    </w:tbl>
    <w:p w14:paraId="6CD24ED6" w14:textId="77777777" w:rsidR="00E93F58" w:rsidRPr="00576D60" w:rsidRDefault="00E93F58" w:rsidP="00C223D0">
      <w:pPr>
        <w:pStyle w:val="Tabletext"/>
      </w:pPr>
    </w:p>
    <w:p w14:paraId="5B276073" w14:textId="77777777" w:rsidR="00E93F58" w:rsidRPr="00576D60" w:rsidRDefault="00E93F58" w:rsidP="00C223D0">
      <w:pPr>
        <w:pStyle w:val="ENotesHeading2"/>
        <w:pageBreakBefore/>
        <w:outlineLvl w:val="9"/>
      </w:pPr>
      <w:bookmarkStart w:id="3631" w:name="_Toc151992050"/>
      <w:bookmarkStart w:id="3632" w:name="_Toc158713600"/>
      <w:r w:rsidRPr="00576D60">
        <w:lastRenderedPageBreak/>
        <w:t>Endnote 3—Legislation history</w:t>
      </w:r>
      <w:bookmarkEnd w:id="3631"/>
      <w:bookmarkEnd w:id="3632"/>
    </w:p>
    <w:p w14:paraId="10AC0D99" w14:textId="77777777" w:rsidR="00E93F58" w:rsidRPr="00576D60" w:rsidRDefault="00E93F58" w:rsidP="00C223D0">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748"/>
        <w:gridCol w:w="2402"/>
        <w:gridCol w:w="3251"/>
        <w:gridCol w:w="2372"/>
      </w:tblGrid>
      <w:tr w:rsidR="00E93F58" w:rsidRPr="00576D60" w14:paraId="2426026B" w14:textId="77777777" w:rsidTr="002F32E3">
        <w:trPr>
          <w:cantSplit/>
          <w:tblHeader/>
        </w:trPr>
        <w:tc>
          <w:tcPr>
            <w:tcW w:w="1275" w:type="pct"/>
            <w:tcBorders>
              <w:top w:val="single" w:sz="12" w:space="0" w:color="auto"/>
              <w:bottom w:val="single" w:sz="12" w:space="0" w:color="auto"/>
            </w:tcBorders>
            <w:shd w:val="clear" w:color="auto" w:fill="auto"/>
          </w:tcPr>
          <w:p w14:paraId="339256B0" w14:textId="77777777" w:rsidR="00E93F58" w:rsidRPr="00576D60" w:rsidRDefault="00E93F58" w:rsidP="002F32E3">
            <w:pPr>
              <w:pStyle w:val="ENoteTableHeading"/>
            </w:pPr>
            <w:r w:rsidRPr="00576D60">
              <w:t>Number and year</w:t>
            </w:r>
          </w:p>
        </w:tc>
        <w:tc>
          <w:tcPr>
            <w:tcW w:w="1115" w:type="pct"/>
            <w:tcBorders>
              <w:top w:val="single" w:sz="12" w:space="0" w:color="auto"/>
              <w:bottom w:val="single" w:sz="12" w:space="0" w:color="auto"/>
            </w:tcBorders>
            <w:shd w:val="clear" w:color="auto" w:fill="auto"/>
          </w:tcPr>
          <w:p w14:paraId="101468F2" w14:textId="77777777" w:rsidR="00E93F58" w:rsidRPr="00576D60" w:rsidRDefault="00E93F58" w:rsidP="002F32E3">
            <w:pPr>
              <w:pStyle w:val="ENoteTableHeading"/>
            </w:pPr>
            <w:r w:rsidRPr="00576D60">
              <w:t>FRLI registration or gazettal</w:t>
            </w:r>
          </w:p>
        </w:tc>
        <w:tc>
          <w:tcPr>
            <w:tcW w:w="1509" w:type="pct"/>
            <w:tcBorders>
              <w:top w:val="single" w:sz="12" w:space="0" w:color="auto"/>
              <w:bottom w:val="single" w:sz="12" w:space="0" w:color="auto"/>
            </w:tcBorders>
            <w:shd w:val="clear" w:color="auto" w:fill="auto"/>
          </w:tcPr>
          <w:p w14:paraId="7A0AB891" w14:textId="77777777" w:rsidR="00E93F58" w:rsidRPr="00576D60" w:rsidRDefault="00E93F58" w:rsidP="002F32E3">
            <w:pPr>
              <w:pStyle w:val="ENoteTableHeading"/>
            </w:pPr>
            <w:r w:rsidRPr="00576D60">
              <w:t>Commencement</w:t>
            </w:r>
          </w:p>
        </w:tc>
        <w:tc>
          <w:tcPr>
            <w:tcW w:w="1101" w:type="pct"/>
            <w:tcBorders>
              <w:top w:val="single" w:sz="12" w:space="0" w:color="auto"/>
              <w:bottom w:val="single" w:sz="12" w:space="0" w:color="auto"/>
            </w:tcBorders>
            <w:shd w:val="clear" w:color="auto" w:fill="auto"/>
          </w:tcPr>
          <w:p w14:paraId="08579CC6" w14:textId="77777777" w:rsidR="00E93F58" w:rsidRPr="00576D60" w:rsidRDefault="00E93F58" w:rsidP="002F32E3">
            <w:pPr>
              <w:pStyle w:val="ENoteTableHeading"/>
            </w:pPr>
            <w:r w:rsidRPr="00576D60">
              <w:t>Application, saving and transitional provisions</w:t>
            </w:r>
          </w:p>
        </w:tc>
      </w:tr>
      <w:tr w:rsidR="00E93F58" w:rsidRPr="00576D60" w14:paraId="7DB58796" w14:textId="77777777" w:rsidTr="002F32E3">
        <w:trPr>
          <w:cantSplit/>
        </w:trPr>
        <w:tc>
          <w:tcPr>
            <w:tcW w:w="1275" w:type="pct"/>
            <w:tcBorders>
              <w:top w:val="single" w:sz="12" w:space="0" w:color="auto"/>
              <w:bottom w:val="single" w:sz="4" w:space="0" w:color="auto"/>
            </w:tcBorders>
            <w:shd w:val="clear" w:color="auto" w:fill="auto"/>
          </w:tcPr>
          <w:p w14:paraId="613775F8" w14:textId="77777777" w:rsidR="00E93F58" w:rsidRPr="00576D60" w:rsidRDefault="00E93F58" w:rsidP="002F32E3">
            <w:pPr>
              <w:pStyle w:val="ENoteTableText"/>
            </w:pPr>
            <w:r w:rsidRPr="00576D60">
              <w:t>193, 2001</w:t>
            </w:r>
          </w:p>
        </w:tc>
        <w:tc>
          <w:tcPr>
            <w:tcW w:w="1115" w:type="pct"/>
            <w:tcBorders>
              <w:top w:val="single" w:sz="12" w:space="0" w:color="auto"/>
              <w:bottom w:val="single" w:sz="4" w:space="0" w:color="auto"/>
            </w:tcBorders>
            <w:shd w:val="clear" w:color="auto" w:fill="auto"/>
          </w:tcPr>
          <w:p w14:paraId="27B5A6A7" w14:textId="77777777" w:rsidR="00E93F58" w:rsidRPr="00576D60" w:rsidRDefault="00E93F58" w:rsidP="002F32E3">
            <w:pPr>
              <w:pStyle w:val="ENoteTableText"/>
            </w:pPr>
            <w:r w:rsidRPr="00576D60">
              <w:t>13 July 2001</w:t>
            </w:r>
          </w:p>
        </w:tc>
        <w:tc>
          <w:tcPr>
            <w:tcW w:w="1509" w:type="pct"/>
            <w:tcBorders>
              <w:top w:val="single" w:sz="12" w:space="0" w:color="auto"/>
              <w:bottom w:val="single" w:sz="4" w:space="0" w:color="auto"/>
            </w:tcBorders>
            <w:shd w:val="clear" w:color="auto" w:fill="auto"/>
          </w:tcPr>
          <w:p w14:paraId="7EC71C4C" w14:textId="77777777" w:rsidR="00E93F58" w:rsidRPr="00576D60" w:rsidRDefault="00E93F58" w:rsidP="002F32E3">
            <w:pPr>
              <w:pStyle w:val="ENoteTableText"/>
            </w:pPr>
            <w:r w:rsidRPr="00576D60">
              <w:t>15 July 2001 (r 1.0.01A)</w:t>
            </w:r>
          </w:p>
        </w:tc>
        <w:tc>
          <w:tcPr>
            <w:tcW w:w="1101" w:type="pct"/>
            <w:tcBorders>
              <w:top w:val="single" w:sz="12" w:space="0" w:color="auto"/>
              <w:bottom w:val="single" w:sz="4" w:space="0" w:color="auto"/>
            </w:tcBorders>
            <w:shd w:val="clear" w:color="auto" w:fill="auto"/>
          </w:tcPr>
          <w:p w14:paraId="37958253" w14:textId="77777777" w:rsidR="00E93F58" w:rsidRPr="00576D60" w:rsidRDefault="00E93F58" w:rsidP="002F32E3">
            <w:pPr>
              <w:pStyle w:val="ENoteTableText"/>
            </w:pPr>
          </w:p>
        </w:tc>
      </w:tr>
      <w:tr w:rsidR="00E93F58" w:rsidRPr="00576D60" w14:paraId="59BEDB11" w14:textId="77777777" w:rsidTr="002F32E3">
        <w:trPr>
          <w:cantSplit/>
        </w:trPr>
        <w:tc>
          <w:tcPr>
            <w:tcW w:w="1275" w:type="pct"/>
            <w:tcBorders>
              <w:top w:val="single" w:sz="4" w:space="0" w:color="auto"/>
              <w:bottom w:val="single" w:sz="4" w:space="0" w:color="auto"/>
            </w:tcBorders>
            <w:shd w:val="clear" w:color="auto" w:fill="auto"/>
          </w:tcPr>
          <w:p w14:paraId="381F72BD" w14:textId="77777777" w:rsidR="00E93F58" w:rsidRPr="00576D60" w:rsidRDefault="00E93F58" w:rsidP="002F32E3">
            <w:pPr>
              <w:pStyle w:val="ENoteTableText"/>
            </w:pPr>
            <w:r w:rsidRPr="00576D60">
              <w:t>208, 2001</w:t>
            </w:r>
          </w:p>
        </w:tc>
        <w:tc>
          <w:tcPr>
            <w:tcW w:w="1115" w:type="pct"/>
            <w:tcBorders>
              <w:top w:val="single" w:sz="4" w:space="0" w:color="auto"/>
              <w:bottom w:val="single" w:sz="4" w:space="0" w:color="auto"/>
            </w:tcBorders>
            <w:shd w:val="clear" w:color="auto" w:fill="auto"/>
          </w:tcPr>
          <w:p w14:paraId="29819035" w14:textId="77777777" w:rsidR="00E93F58" w:rsidRPr="00576D60" w:rsidRDefault="00E93F58" w:rsidP="002F32E3">
            <w:pPr>
              <w:pStyle w:val="ENoteTableText"/>
            </w:pPr>
            <w:r w:rsidRPr="00576D60">
              <w:t>2 Aug 2001</w:t>
            </w:r>
          </w:p>
        </w:tc>
        <w:tc>
          <w:tcPr>
            <w:tcW w:w="1509" w:type="pct"/>
            <w:tcBorders>
              <w:top w:val="single" w:sz="4" w:space="0" w:color="auto"/>
              <w:bottom w:val="single" w:sz="4" w:space="0" w:color="auto"/>
            </w:tcBorders>
            <w:shd w:val="clear" w:color="auto" w:fill="auto"/>
          </w:tcPr>
          <w:p w14:paraId="6A860908" w14:textId="77777777" w:rsidR="00E93F58" w:rsidRPr="00576D60" w:rsidRDefault="00E93F58" w:rsidP="002F32E3">
            <w:pPr>
              <w:pStyle w:val="ENoteTableText"/>
            </w:pPr>
            <w:r w:rsidRPr="00576D60">
              <w:t>15 July 2001</w:t>
            </w:r>
          </w:p>
        </w:tc>
        <w:tc>
          <w:tcPr>
            <w:tcW w:w="1101" w:type="pct"/>
            <w:tcBorders>
              <w:top w:val="single" w:sz="4" w:space="0" w:color="auto"/>
              <w:bottom w:val="single" w:sz="4" w:space="0" w:color="auto"/>
            </w:tcBorders>
            <w:shd w:val="clear" w:color="auto" w:fill="auto"/>
          </w:tcPr>
          <w:p w14:paraId="3315788F" w14:textId="77777777" w:rsidR="00E93F58" w:rsidRPr="00576D60" w:rsidRDefault="00E93F58" w:rsidP="002F32E3">
            <w:pPr>
              <w:pStyle w:val="ENoteTableText"/>
            </w:pPr>
            <w:r w:rsidRPr="00576D60">
              <w:t>—</w:t>
            </w:r>
          </w:p>
        </w:tc>
      </w:tr>
      <w:tr w:rsidR="00E93F58" w:rsidRPr="00576D60" w14:paraId="338DE3C7" w14:textId="77777777" w:rsidTr="002F32E3">
        <w:trPr>
          <w:cantSplit/>
        </w:trPr>
        <w:tc>
          <w:tcPr>
            <w:tcW w:w="1275" w:type="pct"/>
            <w:tcBorders>
              <w:top w:val="single" w:sz="4" w:space="0" w:color="auto"/>
              <w:bottom w:val="single" w:sz="4" w:space="0" w:color="auto"/>
            </w:tcBorders>
            <w:shd w:val="clear" w:color="auto" w:fill="auto"/>
          </w:tcPr>
          <w:p w14:paraId="09E70235" w14:textId="77777777" w:rsidR="00E93F58" w:rsidRPr="00576D60" w:rsidRDefault="00E93F58" w:rsidP="002F32E3">
            <w:pPr>
              <w:pStyle w:val="ENoteTableText"/>
            </w:pPr>
            <w:r w:rsidRPr="00576D60">
              <w:t>318, 2001</w:t>
            </w:r>
          </w:p>
        </w:tc>
        <w:tc>
          <w:tcPr>
            <w:tcW w:w="1115" w:type="pct"/>
            <w:tcBorders>
              <w:top w:val="single" w:sz="4" w:space="0" w:color="auto"/>
              <w:bottom w:val="single" w:sz="4" w:space="0" w:color="auto"/>
            </w:tcBorders>
            <w:shd w:val="clear" w:color="auto" w:fill="auto"/>
          </w:tcPr>
          <w:p w14:paraId="7E4C555C" w14:textId="77777777" w:rsidR="00E93F58" w:rsidRPr="00576D60" w:rsidRDefault="00E93F58" w:rsidP="002F32E3">
            <w:pPr>
              <w:pStyle w:val="ENoteTableText"/>
            </w:pPr>
            <w:r w:rsidRPr="00576D60">
              <w:t>15 Oct 2001</w:t>
            </w:r>
          </w:p>
        </w:tc>
        <w:tc>
          <w:tcPr>
            <w:tcW w:w="1509" w:type="pct"/>
            <w:tcBorders>
              <w:top w:val="single" w:sz="4" w:space="0" w:color="auto"/>
              <w:bottom w:val="single" w:sz="4" w:space="0" w:color="auto"/>
            </w:tcBorders>
            <w:shd w:val="clear" w:color="auto" w:fill="auto"/>
          </w:tcPr>
          <w:p w14:paraId="5173ADC5" w14:textId="77777777" w:rsidR="00E93F58" w:rsidRPr="00576D60" w:rsidRDefault="00E93F58" w:rsidP="002F32E3">
            <w:pPr>
              <w:pStyle w:val="ENoteTableText"/>
            </w:pPr>
            <w:r w:rsidRPr="00576D60">
              <w:t>15 Oct 2001</w:t>
            </w:r>
          </w:p>
        </w:tc>
        <w:tc>
          <w:tcPr>
            <w:tcW w:w="1101" w:type="pct"/>
            <w:tcBorders>
              <w:top w:val="single" w:sz="4" w:space="0" w:color="auto"/>
              <w:bottom w:val="single" w:sz="4" w:space="0" w:color="auto"/>
            </w:tcBorders>
            <w:shd w:val="clear" w:color="auto" w:fill="auto"/>
          </w:tcPr>
          <w:p w14:paraId="5DDE4870" w14:textId="77777777" w:rsidR="00E93F58" w:rsidRPr="00576D60" w:rsidRDefault="00E93F58" w:rsidP="002F32E3">
            <w:pPr>
              <w:pStyle w:val="ENoteTableText"/>
            </w:pPr>
            <w:r w:rsidRPr="00576D60">
              <w:t>—</w:t>
            </w:r>
          </w:p>
        </w:tc>
      </w:tr>
      <w:tr w:rsidR="00E93F58" w:rsidRPr="00576D60" w14:paraId="75BBAB74" w14:textId="77777777" w:rsidTr="002F32E3">
        <w:trPr>
          <w:cantSplit/>
        </w:trPr>
        <w:tc>
          <w:tcPr>
            <w:tcW w:w="1275" w:type="pct"/>
            <w:tcBorders>
              <w:top w:val="single" w:sz="4" w:space="0" w:color="auto"/>
              <w:bottom w:val="single" w:sz="4" w:space="0" w:color="auto"/>
            </w:tcBorders>
            <w:shd w:val="clear" w:color="auto" w:fill="auto"/>
          </w:tcPr>
          <w:p w14:paraId="65682321" w14:textId="77777777" w:rsidR="00E93F58" w:rsidRPr="00576D60" w:rsidRDefault="00E93F58" w:rsidP="002F32E3">
            <w:pPr>
              <w:pStyle w:val="ENoteTableText"/>
            </w:pPr>
            <w:r w:rsidRPr="00576D60">
              <w:t>319, 2001</w:t>
            </w:r>
          </w:p>
        </w:tc>
        <w:tc>
          <w:tcPr>
            <w:tcW w:w="1115" w:type="pct"/>
            <w:tcBorders>
              <w:top w:val="single" w:sz="4" w:space="0" w:color="auto"/>
              <w:bottom w:val="single" w:sz="4" w:space="0" w:color="auto"/>
            </w:tcBorders>
            <w:shd w:val="clear" w:color="auto" w:fill="auto"/>
          </w:tcPr>
          <w:p w14:paraId="6718A105" w14:textId="77777777" w:rsidR="00E93F58" w:rsidRPr="00576D60" w:rsidRDefault="00E93F58" w:rsidP="002F32E3">
            <w:pPr>
              <w:pStyle w:val="ENoteTableText"/>
            </w:pPr>
            <w:r w:rsidRPr="00576D60">
              <w:t>15 Oct 2001</w:t>
            </w:r>
          </w:p>
        </w:tc>
        <w:tc>
          <w:tcPr>
            <w:tcW w:w="1509" w:type="pct"/>
            <w:tcBorders>
              <w:top w:val="single" w:sz="4" w:space="0" w:color="auto"/>
              <w:bottom w:val="single" w:sz="4" w:space="0" w:color="auto"/>
            </w:tcBorders>
            <w:shd w:val="clear" w:color="auto" w:fill="auto"/>
          </w:tcPr>
          <w:p w14:paraId="36E63C92" w14:textId="77777777" w:rsidR="00E93F58" w:rsidRPr="00576D60" w:rsidRDefault="00E93F58" w:rsidP="002F32E3">
            <w:pPr>
              <w:pStyle w:val="ENoteTableText"/>
            </w:pPr>
            <w:r w:rsidRPr="00576D60">
              <w:t>11 Mar 2002 (r 2)</w:t>
            </w:r>
            <w:r w:rsidRPr="00576D60">
              <w:br/>
              <w:t>Note: r 7.9.10 and 7.9.11 of Sch 1 (</w:t>
            </w:r>
            <w:r>
              <w:t>item 1</w:t>
            </w:r>
            <w:r w:rsidRPr="00576D60">
              <w:t>5) were disallowed by the Senate on 16 Sept 2002</w:t>
            </w:r>
          </w:p>
        </w:tc>
        <w:tc>
          <w:tcPr>
            <w:tcW w:w="1101" w:type="pct"/>
            <w:tcBorders>
              <w:top w:val="single" w:sz="4" w:space="0" w:color="auto"/>
              <w:bottom w:val="single" w:sz="4" w:space="0" w:color="auto"/>
            </w:tcBorders>
            <w:shd w:val="clear" w:color="auto" w:fill="auto"/>
          </w:tcPr>
          <w:p w14:paraId="39AE7B44" w14:textId="77777777" w:rsidR="00E93F58" w:rsidRPr="00576D60" w:rsidRDefault="00E93F58" w:rsidP="002F32E3">
            <w:pPr>
              <w:pStyle w:val="ENoteTableText"/>
            </w:pPr>
            <w:r w:rsidRPr="00576D60">
              <w:t>—</w:t>
            </w:r>
          </w:p>
        </w:tc>
      </w:tr>
      <w:tr w:rsidR="00E93F58" w:rsidRPr="00576D60" w14:paraId="7B624CAE" w14:textId="77777777" w:rsidTr="002F32E3">
        <w:trPr>
          <w:cantSplit/>
        </w:trPr>
        <w:tc>
          <w:tcPr>
            <w:tcW w:w="1275" w:type="pct"/>
            <w:tcBorders>
              <w:top w:val="single" w:sz="4" w:space="0" w:color="auto"/>
              <w:bottom w:val="single" w:sz="4" w:space="0" w:color="auto"/>
            </w:tcBorders>
            <w:shd w:val="clear" w:color="auto" w:fill="auto"/>
          </w:tcPr>
          <w:p w14:paraId="3BAD737B" w14:textId="77777777" w:rsidR="00E93F58" w:rsidRPr="00576D60" w:rsidRDefault="00E93F58" w:rsidP="002F32E3">
            <w:pPr>
              <w:pStyle w:val="ENoteTableText"/>
            </w:pPr>
            <w:r w:rsidRPr="00576D60">
              <w:t>15, 2002</w:t>
            </w:r>
          </w:p>
        </w:tc>
        <w:tc>
          <w:tcPr>
            <w:tcW w:w="1115" w:type="pct"/>
            <w:tcBorders>
              <w:top w:val="single" w:sz="4" w:space="0" w:color="auto"/>
              <w:bottom w:val="single" w:sz="4" w:space="0" w:color="auto"/>
            </w:tcBorders>
            <w:shd w:val="clear" w:color="auto" w:fill="auto"/>
          </w:tcPr>
          <w:p w14:paraId="083416B8" w14:textId="77777777" w:rsidR="00E93F58" w:rsidRPr="00576D60" w:rsidRDefault="00E93F58" w:rsidP="002F32E3">
            <w:pPr>
              <w:pStyle w:val="ENoteTableText"/>
            </w:pPr>
            <w:r w:rsidRPr="00576D60">
              <w:t>21 Feb 2002</w:t>
            </w:r>
          </w:p>
        </w:tc>
        <w:tc>
          <w:tcPr>
            <w:tcW w:w="1509" w:type="pct"/>
            <w:tcBorders>
              <w:top w:val="single" w:sz="4" w:space="0" w:color="auto"/>
              <w:bottom w:val="single" w:sz="4" w:space="0" w:color="auto"/>
            </w:tcBorders>
            <w:shd w:val="clear" w:color="auto" w:fill="auto"/>
          </w:tcPr>
          <w:p w14:paraId="51584CEF" w14:textId="77777777" w:rsidR="00E93F58" w:rsidRPr="00576D60" w:rsidRDefault="00E93F58" w:rsidP="002F32E3">
            <w:pPr>
              <w:pStyle w:val="ENoteTableText"/>
            </w:pPr>
            <w:r w:rsidRPr="00576D60">
              <w:t>21 Feb 2002</w:t>
            </w:r>
          </w:p>
        </w:tc>
        <w:tc>
          <w:tcPr>
            <w:tcW w:w="1101" w:type="pct"/>
            <w:tcBorders>
              <w:top w:val="single" w:sz="4" w:space="0" w:color="auto"/>
              <w:bottom w:val="single" w:sz="4" w:space="0" w:color="auto"/>
            </w:tcBorders>
            <w:shd w:val="clear" w:color="auto" w:fill="auto"/>
          </w:tcPr>
          <w:p w14:paraId="438C6097" w14:textId="77777777" w:rsidR="00E93F58" w:rsidRPr="00576D60" w:rsidRDefault="00E93F58" w:rsidP="002F32E3">
            <w:pPr>
              <w:pStyle w:val="ENoteTableText"/>
            </w:pPr>
            <w:r w:rsidRPr="00576D60">
              <w:t>—</w:t>
            </w:r>
          </w:p>
        </w:tc>
      </w:tr>
      <w:tr w:rsidR="00E93F58" w:rsidRPr="00576D60" w14:paraId="499A147E" w14:textId="77777777" w:rsidTr="002F32E3">
        <w:trPr>
          <w:cantSplit/>
        </w:trPr>
        <w:tc>
          <w:tcPr>
            <w:tcW w:w="1275" w:type="pct"/>
            <w:tcBorders>
              <w:top w:val="single" w:sz="4" w:space="0" w:color="auto"/>
              <w:bottom w:val="single" w:sz="4" w:space="0" w:color="auto"/>
            </w:tcBorders>
            <w:shd w:val="clear" w:color="auto" w:fill="auto"/>
          </w:tcPr>
          <w:p w14:paraId="0524A886" w14:textId="77777777" w:rsidR="00E93F58" w:rsidRPr="00576D60" w:rsidRDefault="00E93F58" w:rsidP="002F32E3">
            <w:pPr>
              <w:pStyle w:val="ENoteTableText"/>
            </w:pPr>
            <w:r w:rsidRPr="00576D60">
              <w:t>16, 2002</w:t>
            </w:r>
          </w:p>
        </w:tc>
        <w:tc>
          <w:tcPr>
            <w:tcW w:w="1115" w:type="pct"/>
            <w:tcBorders>
              <w:top w:val="single" w:sz="4" w:space="0" w:color="auto"/>
              <w:bottom w:val="single" w:sz="4" w:space="0" w:color="auto"/>
            </w:tcBorders>
            <w:shd w:val="clear" w:color="auto" w:fill="auto"/>
          </w:tcPr>
          <w:p w14:paraId="6A61D326" w14:textId="77777777" w:rsidR="00E93F58" w:rsidRPr="00576D60" w:rsidRDefault="00E93F58" w:rsidP="002F32E3">
            <w:pPr>
              <w:pStyle w:val="ENoteTableText"/>
            </w:pPr>
            <w:r w:rsidRPr="00576D60">
              <w:t>21 Feb 2002</w:t>
            </w:r>
          </w:p>
        </w:tc>
        <w:tc>
          <w:tcPr>
            <w:tcW w:w="1509" w:type="pct"/>
            <w:tcBorders>
              <w:top w:val="single" w:sz="4" w:space="0" w:color="auto"/>
              <w:bottom w:val="single" w:sz="4" w:space="0" w:color="auto"/>
            </w:tcBorders>
            <w:shd w:val="clear" w:color="auto" w:fill="auto"/>
          </w:tcPr>
          <w:p w14:paraId="45EE5B08" w14:textId="77777777" w:rsidR="00E93F58" w:rsidRPr="00576D60" w:rsidRDefault="00E93F58" w:rsidP="002F32E3">
            <w:pPr>
              <w:pStyle w:val="ENoteTableText"/>
            </w:pPr>
            <w:r w:rsidRPr="00576D60">
              <w:t>r 1–3 and Sch 1: 12:01 am (A.C.T.) 11 Mar 2002 (r 2(1))</w:t>
            </w:r>
            <w:r w:rsidRPr="00576D60">
              <w:br/>
              <w:t>Remainder: 28 Dec 2002 (r 2(2))</w:t>
            </w:r>
            <w:r w:rsidRPr="00576D60">
              <w:br/>
              <w:t>Note: r 7.9.10, 7.9.11(1), 7.9.11(1)(a), 7.9.11(1)(b) and 7.9.11(2) of Sch 1 (items 78–82) were disallowed by the Senate on 16 Sept 2002</w:t>
            </w:r>
          </w:p>
        </w:tc>
        <w:tc>
          <w:tcPr>
            <w:tcW w:w="1101" w:type="pct"/>
            <w:tcBorders>
              <w:top w:val="single" w:sz="4" w:space="0" w:color="auto"/>
              <w:bottom w:val="single" w:sz="4" w:space="0" w:color="auto"/>
            </w:tcBorders>
            <w:shd w:val="clear" w:color="auto" w:fill="auto"/>
          </w:tcPr>
          <w:p w14:paraId="64270FE8" w14:textId="77777777" w:rsidR="00E93F58" w:rsidRPr="00576D60" w:rsidRDefault="00E93F58" w:rsidP="002F32E3">
            <w:pPr>
              <w:pStyle w:val="ENoteTableText"/>
            </w:pPr>
            <w:r w:rsidRPr="00576D60">
              <w:t>—</w:t>
            </w:r>
          </w:p>
        </w:tc>
      </w:tr>
      <w:tr w:rsidR="00E93F58" w:rsidRPr="00576D60" w14:paraId="619C557E" w14:textId="77777777" w:rsidTr="002F32E3">
        <w:trPr>
          <w:cantSplit/>
        </w:trPr>
        <w:tc>
          <w:tcPr>
            <w:tcW w:w="1275" w:type="pct"/>
            <w:tcBorders>
              <w:top w:val="single" w:sz="4" w:space="0" w:color="auto"/>
              <w:bottom w:val="single" w:sz="4" w:space="0" w:color="auto"/>
            </w:tcBorders>
            <w:shd w:val="clear" w:color="auto" w:fill="auto"/>
          </w:tcPr>
          <w:p w14:paraId="3710FE1D" w14:textId="77777777" w:rsidR="00E93F58" w:rsidRPr="00576D60" w:rsidRDefault="00E93F58" w:rsidP="002F32E3">
            <w:pPr>
              <w:pStyle w:val="ENoteTableText"/>
            </w:pPr>
            <w:r w:rsidRPr="00576D60">
              <w:t>41, 2002</w:t>
            </w:r>
          </w:p>
        </w:tc>
        <w:tc>
          <w:tcPr>
            <w:tcW w:w="1115" w:type="pct"/>
            <w:tcBorders>
              <w:top w:val="single" w:sz="4" w:space="0" w:color="auto"/>
              <w:bottom w:val="single" w:sz="4" w:space="0" w:color="auto"/>
            </w:tcBorders>
            <w:shd w:val="clear" w:color="auto" w:fill="auto"/>
          </w:tcPr>
          <w:p w14:paraId="21F17E4C" w14:textId="77777777" w:rsidR="00E93F58" w:rsidRPr="00576D60" w:rsidRDefault="00E93F58" w:rsidP="002F32E3">
            <w:pPr>
              <w:pStyle w:val="ENoteTableText"/>
            </w:pPr>
            <w:r w:rsidRPr="00576D60">
              <w:t>7 Mar 2002</w:t>
            </w:r>
          </w:p>
        </w:tc>
        <w:tc>
          <w:tcPr>
            <w:tcW w:w="1509" w:type="pct"/>
            <w:tcBorders>
              <w:top w:val="single" w:sz="4" w:space="0" w:color="auto"/>
              <w:bottom w:val="single" w:sz="4" w:space="0" w:color="auto"/>
            </w:tcBorders>
            <w:shd w:val="clear" w:color="auto" w:fill="auto"/>
          </w:tcPr>
          <w:p w14:paraId="4886E254" w14:textId="77777777" w:rsidR="00E93F58" w:rsidRPr="00576D60" w:rsidRDefault="00E93F58" w:rsidP="002F32E3">
            <w:pPr>
              <w:pStyle w:val="ENoteTableText"/>
            </w:pPr>
            <w:r w:rsidRPr="00576D60">
              <w:t>r 1–3 and Sch 1: 12:02 am (A.C.T.) 11 Mar 2002 (r 2(1))</w:t>
            </w:r>
            <w:r w:rsidRPr="00576D60">
              <w:br/>
              <w:t>Remainder: 12:01 am (A.C.T.) 28 Dec 2002 (r 2(2))</w:t>
            </w:r>
          </w:p>
        </w:tc>
        <w:tc>
          <w:tcPr>
            <w:tcW w:w="1101" w:type="pct"/>
            <w:tcBorders>
              <w:top w:val="single" w:sz="4" w:space="0" w:color="auto"/>
              <w:bottom w:val="single" w:sz="4" w:space="0" w:color="auto"/>
            </w:tcBorders>
            <w:shd w:val="clear" w:color="auto" w:fill="auto"/>
          </w:tcPr>
          <w:p w14:paraId="79A59D9C" w14:textId="77777777" w:rsidR="00E93F58" w:rsidRPr="00576D60" w:rsidRDefault="00E93F58" w:rsidP="002F32E3">
            <w:pPr>
              <w:pStyle w:val="ENoteTableText"/>
            </w:pPr>
            <w:r w:rsidRPr="00576D60">
              <w:t>—</w:t>
            </w:r>
          </w:p>
        </w:tc>
      </w:tr>
      <w:tr w:rsidR="00E93F58" w:rsidRPr="00576D60" w14:paraId="09243A33" w14:textId="77777777" w:rsidTr="002F32E3">
        <w:trPr>
          <w:cantSplit/>
        </w:trPr>
        <w:tc>
          <w:tcPr>
            <w:tcW w:w="1275" w:type="pct"/>
            <w:tcBorders>
              <w:top w:val="single" w:sz="4" w:space="0" w:color="auto"/>
              <w:bottom w:val="single" w:sz="4" w:space="0" w:color="auto"/>
            </w:tcBorders>
            <w:shd w:val="clear" w:color="auto" w:fill="auto"/>
          </w:tcPr>
          <w:p w14:paraId="4588AB4C" w14:textId="77777777" w:rsidR="00E93F58" w:rsidRPr="00576D60" w:rsidRDefault="00E93F58" w:rsidP="002F32E3">
            <w:pPr>
              <w:pStyle w:val="ENoteTableText"/>
            </w:pPr>
            <w:r w:rsidRPr="00576D60">
              <w:t>53, 2002</w:t>
            </w:r>
          </w:p>
        </w:tc>
        <w:tc>
          <w:tcPr>
            <w:tcW w:w="1115" w:type="pct"/>
            <w:tcBorders>
              <w:top w:val="single" w:sz="4" w:space="0" w:color="auto"/>
              <w:bottom w:val="single" w:sz="4" w:space="0" w:color="auto"/>
            </w:tcBorders>
            <w:shd w:val="clear" w:color="auto" w:fill="auto"/>
          </w:tcPr>
          <w:p w14:paraId="27206B5C" w14:textId="77777777" w:rsidR="00E93F58" w:rsidRPr="00576D60" w:rsidRDefault="00E93F58" w:rsidP="002F32E3">
            <w:pPr>
              <w:pStyle w:val="ENoteTableText"/>
            </w:pPr>
            <w:r w:rsidRPr="00576D60">
              <w:t>22 Mar 2002</w:t>
            </w:r>
          </w:p>
        </w:tc>
        <w:tc>
          <w:tcPr>
            <w:tcW w:w="1509" w:type="pct"/>
            <w:tcBorders>
              <w:top w:val="single" w:sz="4" w:space="0" w:color="auto"/>
              <w:bottom w:val="single" w:sz="4" w:space="0" w:color="auto"/>
            </w:tcBorders>
            <w:shd w:val="clear" w:color="auto" w:fill="auto"/>
          </w:tcPr>
          <w:p w14:paraId="21C37FB7" w14:textId="77777777" w:rsidR="00E93F58" w:rsidRPr="00576D60" w:rsidRDefault="00E93F58" w:rsidP="002F32E3">
            <w:pPr>
              <w:pStyle w:val="ENoteTableText"/>
              <w:rPr>
                <w:i/>
              </w:rPr>
            </w:pPr>
            <w:r w:rsidRPr="00576D60">
              <w:t>r 1–3 and Sch 1: 12:01 am (A.C.T.) 11 Mar 2002 (r 2(a))</w:t>
            </w:r>
            <w:r w:rsidRPr="00576D60">
              <w:br/>
              <w:t>Remainder: 12:03 am (A.C.T.) 11 Mar 2002 (r 2(b))</w:t>
            </w:r>
          </w:p>
        </w:tc>
        <w:tc>
          <w:tcPr>
            <w:tcW w:w="1101" w:type="pct"/>
            <w:tcBorders>
              <w:top w:val="single" w:sz="4" w:space="0" w:color="auto"/>
              <w:bottom w:val="single" w:sz="4" w:space="0" w:color="auto"/>
            </w:tcBorders>
            <w:shd w:val="clear" w:color="auto" w:fill="auto"/>
          </w:tcPr>
          <w:p w14:paraId="64075A68" w14:textId="77777777" w:rsidR="00E93F58" w:rsidRPr="00576D60" w:rsidRDefault="00E93F58" w:rsidP="002F32E3">
            <w:pPr>
              <w:pStyle w:val="ENoteTableText"/>
            </w:pPr>
            <w:r w:rsidRPr="00576D60">
              <w:t>—</w:t>
            </w:r>
          </w:p>
        </w:tc>
      </w:tr>
      <w:tr w:rsidR="00E93F58" w:rsidRPr="00576D60" w14:paraId="58979284" w14:textId="77777777" w:rsidTr="002F32E3">
        <w:trPr>
          <w:cantSplit/>
        </w:trPr>
        <w:tc>
          <w:tcPr>
            <w:tcW w:w="1275" w:type="pct"/>
            <w:tcBorders>
              <w:top w:val="single" w:sz="4" w:space="0" w:color="auto"/>
              <w:bottom w:val="single" w:sz="4" w:space="0" w:color="auto"/>
            </w:tcBorders>
            <w:shd w:val="clear" w:color="auto" w:fill="auto"/>
          </w:tcPr>
          <w:p w14:paraId="4DD97804" w14:textId="77777777" w:rsidR="00E93F58" w:rsidRPr="00576D60" w:rsidRDefault="00E93F58" w:rsidP="002F32E3">
            <w:pPr>
              <w:pStyle w:val="ENoteTableText"/>
            </w:pPr>
            <w:r w:rsidRPr="00576D60">
              <w:t>126, 2002</w:t>
            </w:r>
          </w:p>
        </w:tc>
        <w:tc>
          <w:tcPr>
            <w:tcW w:w="1115" w:type="pct"/>
            <w:tcBorders>
              <w:top w:val="single" w:sz="4" w:space="0" w:color="auto"/>
              <w:bottom w:val="single" w:sz="4" w:space="0" w:color="auto"/>
            </w:tcBorders>
            <w:shd w:val="clear" w:color="auto" w:fill="auto"/>
          </w:tcPr>
          <w:p w14:paraId="2ADE01DA" w14:textId="77777777" w:rsidR="00E93F58" w:rsidRPr="00576D60" w:rsidRDefault="00E93F58" w:rsidP="002F32E3">
            <w:pPr>
              <w:pStyle w:val="ENoteTableText"/>
            </w:pPr>
            <w:r w:rsidRPr="00576D60">
              <w:t>14 June 2002</w:t>
            </w:r>
          </w:p>
        </w:tc>
        <w:tc>
          <w:tcPr>
            <w:tcW w:w="1509" w:type="pct"/>
            <w:tcBorders>
              <w:top w:val="single" w:sz="4" w:space="0" w:color="auto"/>
              <w:bottom w:val="single" w:sz="4" w:space="0" w:color="auto"/>
            </w:tcBorders>
            <w:shd w:val="clear" w:color="auto" w:fill="auto"/>
          </w:tcPr>
          <w:p w14:paraId="21F9DE37" w14:textId="77777777" w:rsidR="00E93F58" w:rsidRPr="00576D60" w:rsidRDefault="00E93F58" w:rsidP="002F32E3">
            <w:pPr>
              <w:pStyle w:val="ENoteTableText"/>
            </w:pPr>
            <w:r w:rsidRPr="00576D60">
              <w:t>r 1–3 and Sch 1: 12:02 am 11 Mar 2002 (r 2(a))</w:t>
            </w:r>
            <w:r w:rsidRPr="00576D60">
              <w:br/>
              <w:t>Sch 2: 12:03 am 11 Mar 2002 (r 2(b))</w:t>
            </w:r>
            <w:r w:rsidRPr="00576D60">
              <w:br/>
              <w:t>Remainder: 14 June 2002 (r 2(c))</w:t>
            </w:r>
          </w:p>
        </w:tc>
        <w:tc>
          <w:tcPr>
            <w:tcW w:w="1101" w:type="pct"/>
            <w:tcBorders>
              <w:top w:val="single" w:sz="4" w:space="0" w:color="auto"/>
              <w:bottom w:val="single" w:sz="4" w:space="0" w:color="auto"/>
            </w:tcBorders>
            <w:shd w:val="clear" w:color="auto" w:fill="auto"/>
          </w:tcPr>
          <w:p w14:paraId="09CEAB8A" w14:textId="77777777" w:rsidR="00E93F58" w:rsidRPr="00576D60" w:rsidRDefault="00E93F58" w:rsidP="002F32E3">
            <w:pPr>
              <w:pStyle w:val="ENoteTableText"/>
            </w:pPr>
            <w:r w:rsidRPr="00576D60">
              <w:t>—</w:t>
            </w:r>
          </w:p>
        </w:tc>
      </w:tr>
      <w:tr w:rsidR="00E93F58" w:rsidRPr="00576D60" w14:paraId="41910C11" w14:textId="77777777" w:rsidTr="002F32E3">
        <w:trPr>
          <w:cantSplit/>
        </w:trPr>
        <w:tc>
          <w:tcPr>
            <w:tcW w:w="1275" w:type="pct"/>
            <w:tcBorders>
              <w:top w:val="single" w:sz="4" w:space="0" w:color="auto"/>
              <w:bottom w:val="single" w:sz="4" w:space="0" w:color="auto"/>
            </w:tcBorders>
            <w:shd w:val="clear" w:color="auto" w:fill="auto"/>
          </w:tcPr>
          <w:p w14:paraId="49DCB36F" w14:textId="77777777" w:rsidR="00E93F58" w:rsidRPr="00576D60" w:rsidRDefault="00E93F58" w:rsidP="002F32E3">
            <w:pPr>
              <w:pStyle w:val="ENoteTableText"/>
            </w:pPr>
            <w:r w:rsidRPr="00576D60">
              <w:t>145, 2002</w:t>
            </w:r>
          </w:p>
        </w:tc>
        <w:tc>
          <w:tcPr>
            <w:tcW w:w="1115" w:type="pct"/>
            <w:tcBorders>
              <w:top w:val="single" w:sz="4" w:space="0" w:color="auto"/>
              <w:bottom w:val="single" w:sz="4" w:space="0" w:color="auto"/>
            </w:tcBorders>
            <w:shd w:val="clear" w:color="auto" w:fill="auto"/>
          </w:tcPr>
          <w:p w14:paraId="32DC8F3A" w14:textId="77777777" w:rsidR="00E93F58" w:rsidRPr="00576D60" w:rsidRDefault="00E93F58" w:rsidP="002F32E3">
            <w:pPr>
              <w:pStyle w:val="ENoteTableText"/>
            </w:pPr>
            <w:r w:rsidRPr="00576D60">
              <w:t>27 June 2002</w:t>
            </w:r>
          </w:p>
        </w:tc>
        <w:tc>
          <w:tcPr>
            <w:tcW w:w="1509" w:type="pct"/>
            <w:tcBorders>
              <w:top w:val="single" w:sz="4" w:space="0" w:color="auto"/>
              <w:bottom w:val="single" w:sz="4" w:space="0" w:color="auto"/>
            </w:tcBorders>
            <w:shd w:val="clear" w:color="auto" w:fill="auto"/>
          </w:tcPr>
          <w:p w14:paraId="526F7F1B" w14:textId="77777777" w:rsidR="00E93F58" w:rsidRPr="00576D60" w:rsidRDefault="00E93F58" w:rsidP="002F32E3">
            <w:pPr>
              <w:pStyle w:val="ENoteTableText"/>
            </w:pPr>
            <w:r w:rsidRPr="00576D60">
              <w:t>r 1–3 and Sch 1: 27 June 2002</w:t>
            </w:r>
            <w:r w:rsidRPr="00576D60">
              <w:br/>
              <w:t>Remainder: 1 July 2002</w:t>
            </w:r>
          </w:p>
        </w:tc>
        <w:tc>
          <w:tcPr>
            <w:tcW w:w="1101" w:type="pct"/>
            <w:tcBorders>
              <w:top w:val="single" w:sz="4" w:space="0" w:color="auto"/>
              <w:bottom w:val="single" w:sz="4" w:space="0" w:color="auto"/>
            </w:tcBorders>
            <w:shd w:val="clear" w:color="auto" w:fill="auto"/>
          </w:tcPr>
          <w:p w14:paraId="1A6C2340" w14:textId="77777777" w:rsidR="00E93F58" w:rsidRPr="00576D60" w:rsidRDefault="00E93F58" w:rsidP="002F32E3">
            <w:pPr>
              <w:pStyle w:val="ENoteTableText"/>
            </w:pPr>
            <w:r w:rsidRPr="00576D60">
              <w:t>—</w:t>
            </w:r>
          </w:p>
        </w:tc>
      </w:tr>
      <w:tr w:rsidR="00E93F58" w:rsidRPr="00576D60" w14:paraId="69B1A12D" w14:textId="77777777" w:rsidTr="002F32E3">
        <w:trPr>
          <w:cantSplit/>
        </w:trPr>
        <w:tc>
          <w:tcPr>
            <w:tcW w:w="1275" w:type="pct"/>
            <w:tcBorders>
              <w:top w:val="single" w:sz="4" w:space="0" w:color="auto"/>
              <w:bottom w:val="single" w:sz="4" w:space="0" w:color="auto"/>
            </w:tcBorders>
            <w:shd w:val="clear" w:color="auto" w:fill="auto"/>
          </w:tcPr>
          <w:p w14:paraId="7488BC64" w14:textId="77777777" w:rsidR="00E93F58" w:rsidRPr="00576D60" w:rsidRDefault="00E93F58" w:rsidP="002F32E3">
            <w:pPr>
              <w:pStyle w:val="ENoteTableText"/>
            </w:pPr>
            <w:r w:rsidRPr="00576D60">
              <w:t>182, 2002</w:t>
            </w:r>
          </w:p>
        </w:tc>
        <w:tc>
          <w:tcPr>
            <w:tcW w:w="1115" w:type="pct"/>
            <w:tcBorders>
              <w:top w:val="single" w:sz="4" w:space="0" w:color="auto"/>
              <w:bottom w:val="single" w:sz="4" w:space="0" w:color="auto"/>
            </w:tcBorders>
            <w:shd w:val="clear" w:color="auto" w:fill="auto"/>
          </w:tcPr>
          <w:p w14:paraId="3CB04ED3" w14:textId="77777777" w:rsidR="00E93F58" w:rsidRPr="00576D60" w:rsidRDefault="00E93F58" w:rsidP="002F32E3">
            <w:pPr>
              <w:pStyle w:val="ENoteTableText"/>
            </w:pPr>
            <w:r w:rsidRPr="00576D60">
              <w:t>1 Aug 2002</w:t>
            </w:r>
          </w:p>
        </w:tc>
        <w:tc>
          <w:tcPr>
            <w:tcW w:w="1509" w:type="pct"/>
            <w:tcBorders>
              <w:top w:val="single" w:sz="4" w:space="0" w:color="auto"/>
              <w:bottom w:val="single" w:sz="4" w:space="0" w:color="auto"/>
            </w:tcBorders>
            <w:shd w:val="clear" w:color="auto" w:fill="auto"/>
          </w:tcPr>
          <w:p w14:paraId="52CCD04A" w14:textId="77777777" w:rsidR="00E93F58" w:rsidRPr="00576D60" w:rsidRDefault="00E93F58" w:rsidP="002F32E3">
            <w:pPr>
              <w:pStyle w:val="ENoteTableText"/>
            </w:pPr>
            <w:r w:rsidRPr="00576D60">
              <w:t>1 Aug 2002</w:t>
            </w:r>
          </w:p>
        </w:tc>
        <w:tc>
          <w:tcPr>
            <w:tcW w:w="1101" w:type="pct"/>
            <w:tcBorders>
              <w:top w:val="single" w:sz="4" w:space="0" w:color="auto"/>
              <w:bottom w:val="single" w:sz="4" w:space="0" w:color="auto"/>
            </w:tcBorders>
            <w:shd w:val="clear" w:color="auto" w:fill="auto"/>
          </w:tcPr>
          <w:p w14:paraId="165F8658" w14:textId="77777777" w:rsidR="00E93F58" w:rsidRPr="00576D60" w:rsidRDefault="00E93F58" w:rsidP="002F32E3">
            <w:pPr>
              <w:pStyle w:val="ENoteTableText"/>
            </w:pPr>
            <w:r w:rsidRPr="00576D60">
              <w:t>—</w:t>
            </w:r>
          </w:p>
        </w:tc>
      </w:tr>
      <w:tr w:rsidR="00E93F58" w:rsidRPr="00576D60" w14:paraId="4EEE35E5" w14:textId="77777777" w:rsidTr="002F32E3">
        <w:trPr>
          <w:cantSplit/>
        </w:trPr>
        <w:tc>
          <w:tcPr>
            <w:tcW w:w="1275" w:type="pct"/>
            <w:tcBorders>
              <w:top w:val="single" w:sz="4" w:space="0" w:color="auto"/>
              <w:bottom w:val="single" w:sz="4" w:space="0" w:color="auto"/>
            </w:tcBorders>
            <w:shd w:val="clear" w:color="auto" w:fill="auto"/>
          </w:tcPr>
          <w:p w14:paraId="5E8138ED" w14:textId="77777777" w:rsidR="00E93F58" w:rsidRPr="00576D60" w:rsidRDefault="00E93F58" w:rsidP="002F32E3">
            <w:pPr>
              <w:pStyle w:val="ENoteTableText"/>
            </w:pPr>
            <w:r w:rsidRPr="00576D60">
              <w:t>265, 2002</w:t>
            </w:r>
          </w:p>
        </w:tc>
        <w:tc>
          <w:tcPr>
            <w:tcW w:w="1115" w:type="pct"/>
            <w:tcBorders>
              <w:top w:val="single" w:sz="4" w:space="0" w:color="auto"/>
              <w:bottom w:val="single" w:sz="4" w:space="0" w:color="auto"/>
            </w:tcBorders>
            <w:shd w:val="clear" w:color="auto" w:fill="auto"/>
          </w:tcPr>
          <w:p w14:paraId="1E71C66C" w14:textId="77777777" w:rsidR="00E93F58" w:rsidRPr="00576D60" w:rsidRDefault="00E93F58" w:rsidP="002F32E3">
            <w:pPr>
              <w:pStyle w:val="ENoteTableText"/>
            </w:pPr>
            <w:r w:rsidRPr="00576D60">
              <w:t>6 Nov 2002</w:t>
            </w:r>
          </w:p>
        </w:tc>
        <w:tc>
          <w:tcPr>
            <w:tcW w:w="1509" w:type="pct"/>
            <w:tcBorders>
              <w:top w:val="single" w:sz="4" w:space="0" w:color="auto"/>
              <w:bottom w:val="single" w:sz="4" w:space="0" w:color="auto"/>
            </w:tcBorders>
            <w:shd w:val="clear" w:color="auto" w:fill="auto"/>
          </w:tcPr>
          <w:p w14:paraId="0DD5ED69" w14:textId="77777777" w:rsidR="00E93F58" w:rsidRPr="00576D60" w:rsidRDefault="00E93F58" w:rsidP="002F32E3">
            <w:pPr>
              <w:pStyle w:val="ENoteTableText"/>
            </w:pPr>
            <w:r w:rsidRPr="00576D60">
              <w:t>6 Nov 2002</w:t>
            </w:r>
          </w:p>
        </w:tc>
        <w:tc>
          <w:tcPr>
            <w:tcW w:w="1101" w:type="pct"/>
            <w:tcBorders>
              <w:top w:val="single" w:sz="4" w:space="0" w:color="auto"/>
              <w:bottom w:val="single" w:sz="4" w:space="0" w:color="auto"/>
            </w:tcBorders>
            <w:shd w:val="clear" w:color="auto" w:fill="auto"/>
          </w:tcPr>
          <w:p w14:paraId="63019641" w14:textId="77777777" w:rsidR="00E93F58" w:rsidRPr="00576D60" w:rsidRDefault="00E93F58" w:rsidP="002F32E3">
            <w:pPr>
              <w:pStyle w:val="ENoteTableText"/>
            </w:pPr>
            <w:r w:rsidRPr="00576D60">
              <w:t>—</w:t>
            </w:r>
          </w:p>
        </w:tc>
      </w:tr>
      <w:tr w:rsidR="00E93F58" w:rsidRPr="00576D60" w14:paraId="45562BE2" w14:textId="77777777" w:rsidTr="002F32E3">
        <w:trPr>
          <w:cantSplit/>
        </w:trPr>
        <w:tc>
          <w:tcPr>
            <w:tcW w:w="1275" w:type="pct"/>
            <w:tcBorders>
              <w:top w:val="single" w:sz="4" w:space="0" w:color="auto"/>
              <w:bottom w:val="single" w:sz="4" w:space="0" w:color="auto"/>
            </w:tcBorders>
            <w:shd w:val="clear" w:color="auto" w:fill="auto"/>
          </w:tcPr>
          <w:p w14:paraId="23967CD1" w14:textId="77777777" w:rsidR="00E93F58" w:rsidRPr="00576D60" w:rsidRDefault="00E93F58" w:rsidP="002F32E3">
            <w:pPr>
              <w:pStyle w:val="ENoteTableText"/>
            </w:pPr>
            <w:r w:rsidRPr="00576D60">
              <w:t>282, 2002</w:t>
            </w:r>
          </w:p>
        </w:tc>
        <w:tc>
          <w:tcPr>
            <w:tcW w:w="1115" w:type="pct"/>
            <w:tcBorders>
              <w:top w:val="single" w:sz="4" w:space="0" w:color="auto"/>
              <w:bottom w:val="single" w:sz="4" w:space="0" w:color="auto"/>
            </w:tcBorders>
            <w:shd w:val="clear" w:color="auto" w:fill="auto"/>
          </w:tcPr>
          <w:p w14:paraId="5F3F239C" w14:textId="77777777" w:rsidR="00E93F58" w:rsidRPr="00576D60" w:rsidRDefault="00E93F58" w:rsidP="002F32E3">
            <w:pPr>
              <w:pStyle w:val="ENoteTableText"/>
            </w:pPr>
            <w:r w:rsidRPr="00576D60">
              <w:t>28 Nov 2002</w:t>
            </w:r>
          </w:p>
        </w:tc>
        <w:tc>
          <w:tcPr>
            <w:tcW w:w="1509" w:type="pct"/>
            <w:tcBorders>
              <w:top w:val="single" w:sz="4" w:space="0" w:color="auto"/>
              <w:bottom w:val="single" w:sz="4" w:space="0" w:color="auto"/>
            </w:tcBorders>
            <w:shd w:val="clear" w:color="auto" w:fill="auto"/>
          </w:tcPr>
          <w:p w14:paraId="1445EEAB" w14:textId="77777777" w:rsidR="00E93F58" w:rsidRPr="00576D60" w:rsidRDefault="00E93F58" w:rsidP="002F32E3">
            <w:pPr>
              <w:pStyle w:val="ENoteTableText"/>
            </w:pPr>
            <w:r w:rsidRPr="00576D60">
              <w:t>1 Dec 2002</w:t>
            </w:r>
          </w:p>
        </w:tc>
        <w:tc>
          <w:tcPr>
            <w:tcW w:w="1101" w:type="pct"/>
            <w:tcBorders>
              <w:top w:val="single" w:sz="4" w:space="0" w:color="auto"/>
              <w:bottom w:val="single" w:sz="4" w:space="0" w:color="auto"/>
            </w:tcBorders>
            <w:shd w:val="clear" w:color="auto" w:fill="auto"/>
          </w:tcPr>
          <w:p w14:paraId="59E1C52D" w14:textId="77777777" w:rsidR="00E93F58" w:rsidRPr="00576D60" w:rsidRDefault="00E93F58" w:rsidP="002F32E3">
            <w:pPr>
              <w:pStyle w:val="ENoteTableText"/>
            </w:pPr>
            <w:r w:rsidRPr="00576D60">
              <w:t>—</w:t>
            </w:r>
          </w:p>
        </w:tc>
      </w:tr>
      <w:tr w:rsidR="00E93F58" w:rsidRPr="00576D60" w14:paraId="3160BF13" w14:textId="77777777" w:rsidTr="002F32E3">
        <w:trPr>
          <w:cantSplit/>
        </w:trPr>
        <w:tc>
          <w:tcPr>
            <w:tcW w:w="1275" w:type="pct"/>
            <w:tcBorders>
              <w:top w:val="single" w:sz="4" w:space="0" w:color="auto"/>
              <w:bottom w:val="single" w:sz="4" w:space="0" w:color="auto"/>
            </w:tcBorders>
            <w:shd w:val="clear" w:color="auto" w:fill="auto"/>
          </w:tcPr>
          <w:p w14:paraId="15DE6375" w14:textId="77777777" w:rsidR="00E93F58" w:rsidRPr="00576D60" w:rsidRDefault="00E93F58" w:rsidP="002F32E3">
            <w:pPr>
              <w:pStyle w:val="ENoteTableText"/>
            </w:pPr>
            <w:r w:rsidRPr="00576D60">
              <w:t>31, 2003</w:t>
            </w:r>
          </w:p>
        </w:tc>
        <w:tc>
          <w:tcPr>
            <w:tcW w:w="1115" w:type="pct"/>
            <w:tcBorders>
              <w:top w:val="single" w:sz="4" w:space="0" w:color="auto"/>
              <w:bottom w:val="single" w:sz="4" w:space="0" w:color="auto"/>
            </w:tcBorders>
            <w:shd w:val="clear" w:color="auto" w:fill="auto"/>
          </w:tcPr>
          <w:p w14:paraId="0F9A37A1" w14:textId="77777777" w:rsidR="00E93F58" w:rsidRPr="00576D60" w:rsidRDefault="00E93F58" w:rsidP="002F32E3">
            <w:pPr>
              <w:pStyle w:val="ENoteTableText"/>
            </w:pPr>
            <w:r w:rsidRPr="00576D60">
              <w:t>11 Mar 2003</w:t>
            </w:r>
          </w:p>
        </w:tc>
        <w:tc>
          <w:tcPr>
            <w:tcW w:w="1509" w:type="pct"/>
            <w:tcBorders>
              <w:top w:val="single" w:sz="4" w:space="0" w:color="auto"/>
              <w:bottom w:val="single" w:sz="4" w:space="0" w:color="auto"/>
            </w:tcBorders>
            <w:shd w:val="clear" w:color="auto" w:fill="auto"/>
          </w:tcPr>
          <w:p w14:paraId="2A54D0D7" w14:textId="77777777" w:rsidR="00E93F58" w:rsidRPr="00576D60" w:rsidRDefault="00E93F58" w:rsidP="002F32E3">
            <w:pPr>
              <w:pStyle w:val="ENoteTableText"/>
            </w:pPr>
            <w:r w:rsidRPr="00576D60">
              <w:t>11 Mar 2003</w:t>
            </w:r>
          </w:p>
        </w:tc>
        <w:tc>
          <w:tcPr>
            <w:tcW w:w="1101" w:type="pct"/>
            <w:tcBorders>
              <w:top w:val="single" w:sz="4" w:space="0" w:color="auto"/>
              <w:bottom w:val="single" w:sz="4" w:space="0" w:color="auto"/>
            </w:tcBorders>
            <w:shd w:val="clear" w:color="auto" w:fill="auto"/>
          </w:tcPr>
          <w:p w14:paraId="12DC882C" w14:textId="77777777" w:rsidR="00E93F58" w:rsidRPr="00576D60" w:rsidRDefault="00E93F58" w:rsidP="002F32E3">
            <w:pPr>
              <w:pStyle w:val="ENoteTableText"/>
            </w:pPr>
            <w:r w:rsidRPr="00576D60">
              <w:t>—</w:t>
            </w:r>
          </w:p>
        </w:tc>
      </w:tr>
      <w:tr w:rsidR="00E93F58" w:rsidRPr="00576D60" w14:paraId="5DCE239D" w14:textId="77777777" w:rsidTr="002F32E3">
        <w:trPr>
          <w:cantSplit/>
        </w:trPr>
        <w:tc>
          <w:tcPr>
            <w:tcW w:w="1275" w:type="pct"/>
            <w:tcBorders>
              <w:top w:val="single" w:sz="4" w:space="0" w:color="auto"/>
              <w:bottom w:val="single" w:sz="4" w:space="0" w:color="auto"/>
            </w:tcBorders>
            <w:shd w:val="clear" w:color="auto" w:fill="auto"/>
          </w:tcPr>
          <w:p w14:paraId="678F137E" w14:textId="77777777" w:rsidR="00E93F58" w:rsidRPr="00576D60" w:rsidRDefault="00E93F58" w:rsidP="002F32E3">
            <w:pPr>
              <w:pStyle w:val="ENoteTableText"/>
            </w:pPr>
            <w:r w:rsidRPr="00576D60">
              <w:t>48, 2003</w:t>
            </w:r>
          </w:p>
        </w:tc>
        <w:tc>
          <w:tcPr>
            <w:tcW w:w="1115" w:type="pct"/>
            <w:tcBorders>
              <w:top w:val="single" w:sz="4" w:space="0" w:color="auto"/>
              <w:bottom w:val="single" w:sz="4" w:space="0" w:color="auto"/>
            </w:tcBorders>
            <w:shd w:val="clear" w:color="auto" w:fill="auto"/>
          </w:tcPr>
          <w:p w14:paraId="76EBAF92" w14:textId="77777777" w:rsidR="00E93F58" w:rsidRPr="00576D60" w:rsidRDefault="00E93F58" w:rsidP="002F32E3">
            <w:pPr>
              <w:pStyle w:val="ENoteTableText"/>
            </w:pPr>
            <w:r w:rsidRPr="00576D60">
              <w:t>8 Apr 2003</w:t>
            </w:r>
          </w:p>
        </w:tc>
        <w:tc>
          <w:tcPr>
            <w:tcW w:w="1509" w:type="pct"/>
            <w:tcBorders>
              <w:top w:val="single" w:sz="4" w:space="0" w:color="auto"/>
              <w:bottom w:val="single" w:sz="4" w:space="0" w:color="auto"/>
            </w:tcBorders>
            <w:shd w:val="clear" w:color="auto" w:fill="auto"/>
          </w:tcPr>
          <w:p w14:paraId="4ABB7C55" w14:textId="77777777" w:rsidR="00E93F58" w:rsidRPr="00576D60" w:rsidRDefault="00E93F58" w:rsidP="002F32E3">
            <w:pPr>
              <w:pStyle w:val="ENoteTableText"/>
            </w:pPr>
            <w:r w:rsidRPr="00576D60">
              <w:t>8 Apr 2003</w:t>
            </w:r>
          </w:p>
        </w:tc>
        <w:tc>
          <w:tcPr>
            <w:tcW w:w="1101" w:type="pct"/>
            <w:tcBorders>
              <w:top w:val="single" w:sz="4" w:space="0" w:color="auto"/>
              <w:bottom w:val="single" w:sz="4" w:space="0" w:color="auto"/>
            </w:tcBorders>
            <w:shd w:val="clear" w:color="auto" w:fill="auto"/>
          </w:tcPr>
          <w:p w14:paraId="159DB24E" w14:textId="77777777" w:rsidR="00E93F58" w:rsidRPr="00576D60" w:rsidRDefault="00E93F58" w:rsidP="002F32E3">
            <w:pPr>
              <w:pStyle w:val="ENoteTableText"/>
            </w:pPr>
            <w:r w:rsidRPr="00576D60">
              <w:t>—</w:t>
            </w:r>
          </w:p>
        </w:tc>
      </w:tr>
      <w:tr w:rsidR="00E93F58" w:rsidRPr="00576D60" w14:paraId="06E18C58" w14:textId="77777777" w:rsidTr="002F32E3">
        <w:trPr>
          <w:cantSplit/>
        </w:trPr>
        <w:tc>
          <w:tcPr>
            <w:tcW w:w="1275" w:type="pct"/>
            <w:tcBorders>
              <w:top w:val="single" w:sz="4" w:space="0" w:color="auto"/>
              <w:bottom w:val="single" w:sz="4" w:space="0" w:color="auto"/>
            </w:tcBorders>
            <w:shd w:val="clear" w:color="auto" w:fill="auto"/>
          </w:tcPr>
          <w:p w14:paraId="4839309A" w14:textId="77777777" w:rsidR="00E93F58" w:rsidRPr="00576D60" w:rsidRDefault="00E93F58" w:rsidP="002F32E3">
            <w:pPr>
              <w:pStyle w:val="ENoteTableText"/>
            </w:pPr>
            <w:r w:rsidRPr="00576D60">
              <w:t>85, 2003</w:t>
            </w:r>
          </w:p>
        </w:tc>
        <w:tc>
          <w:tcPr>
            <w:tcW w:w="1115" w:type="pct"/>
            <w:tcBorders>
              <w:top w:val="single" w:sz="4" w:space="0" w:color="auto"/>
              <w:bottom w:val="single" w:sz="4" w:space="0" w:color="auto"/>
            </w:tcBorders>
            <w:shd w:val="clear" w:color="auto" w:fill="auto"/>
          </w:tcPr>
          <w:p w14:paraId="550A535E" w14:textId="77777777" w:rsidR="00E93F58" w:rsidRPr="00576D60" w:rsidRDefault="00E93F58" w:rsidP="002F32E3">
            <w:pPr>
              <w:pStyle w:val="ENoteTableText"/>
            </w:pPr>
            <w:r w:rsidRPr="00576D60">
              <w:t>8 May 2003</w:t>
            </w:r>
          </w:p>
        </w:tc>
        <w:tc>
          <w:tcPr>
            <w:tcW w:w="1509" w:type="pct"/>
            <w:tcBorders>
              <w:top w:val="single" w:sz="4" w:space="0" w:color="auto"/>
              <w:bottom w:val="single" w:sz="4" w:space="0" w:color="auto"/>
            </w:tcBorders>
            <w:shd w:val="clear" w:color="auto" w:fill="auto"/>
          </w:tcPr>
          <w:p w14:paraId="082D2BAC" w14:textId="77777777" w:rsidR="00E93F58" w:rsidRPr="00576D60" w:rsidRDefault="00E93F58" w:rsidP="002F32E3">
            <w:pPr>
              <w:pStyle w:val="ENoteTableText"/>
            </w:pPr>
            <w:r w:rsidRPr="00576D60">
              <w:t>8 May 2003</w:t>
            </w:r>
          </w:p>
        </w:tc>
        <w:tc>
          <w:tcPr>
            <w:tcW w:w="1101" w:type="pct"/>
            <w:tcBorders>
              <w:top w:val="single" w:sz="4" w:space="0" w:color="auto"/>
              <w:bottom w:val="single" w:sz="4" w:space="0" w:color="auto"/>
            </w:tcBorders>
            <w:shd w:val="clear" w:color="auto" w:fill="auto"/>
          </w:tcPr>
          <w:p w14:paraId="47F115E3" w14:textId="77777777" w:rsidR="00E93F58" w:rsidRPr="00576D60" w:rsidRDefault="00E93F58" w:rsidP="002F32E3">
            <w:pPr>
              <w:pStyle w:val="ENoteTableText"/>
            </w:pPr>
            <w:r w:rsidRPr="00576D60">
              <w:t>—</w:t>
            </w:r>
          </w:p>
        </w:tc>
      </w:tr>
      <w:tr w:rsidR="00E93F58" w:rsidRPr="00576D60" w14:paraId="60219202" w14:textId="77777777" w:rsidTr="002F32E3">
        <w:trPr>
          <w:cantSplit/>
        </w:trPr>
        <w:tc>
          <w:tcPr>
            <w:tcW w:w="1275" w:type="pct"/>
            <w:tcBorders>
              <w:top w:val="single" w:sz="4" w:space="0" w:color="auto"/>
              <w:bottom w:val="single" w:sz="4" w:space="0" w:color="auto"/>
            </w:tcBorders>
            <w:shd w:val="clear" w:color="auto" w:fill="auto"/>
          </w:tcPr>
          <w:p w14:paraId="15D1CE82" w14:textId="77777777" w:rsidR="00E93F58" w:rsidRPr="00576D60" w:rsidRDefault="00E93F58" w:rsidP="002F32E3">
            <w:pPr>
              <w:pStyle w:val="ENoteTableText"/>
            </w:pPr>
            <w:r w:rsidRPr="00576D60">
              <w:t>126, 2003</w:t>
            </w:r>
          </w:p>
        </w:tc>
        <w:tc>
          <w:tcPr>
            <w:tcW w:w="1115" w:type="pct"/>
            <w:tcBorders>
              <w:top w:val="single" w:sz="4" w:space="0" w:color="auto"/>
              <w:bottom w:val="single" w:sz="4" w:space="0" w:color="auto"/>
            </w:tcBorders>
            <w:shd w:val="clear" w:color="auto" w:fill="auto"/>
          </w:tcPr>
          <w:p w14:paraId="2CEC1018" w14:textId="77777777" w:rsidR="00E93F58" w:rsidRPr="00576D60" w:rsidRDefault="00E93F58" w:rsidP="002F32E3">
            <w:pPr>
              <w:pStyle w:val="ENoteTableText"/>
            </w:pPr>
            <w:r w:rsidRPr="00576D60">
              <w:t>19 June 2003</w:t>
            </w:r>
          </w:p>
        </w:tc>
        <w:tc>
          <w:tcPr>
            <w:tcW w:w="1509" w:type="pct"/>
            <w:tcBorders>
              <w:top w:val="single" w:sz="4" w:space="0" w:color="auto"/>
              <w:bottom w:val="single" w:sz="4" w:space="0" w:color="auto"/>
            </w:tcBorders>
            <w:shd w:val="clear" w:color="auto" w:fill="auto"/>
          </w:tcPr>
          <w:p w14:paraId="77322B67" w14:textId="77777777" w:rsidR="00E93F58" w:rsidRPr="00576D60" w:rsidRDefault="00E93F58" w:rsidP="002F32E3">
            <w:pPr>
              <w:pStyle w:val="ENoteTableText"/>
            </w:pPr>
            <w:r w:rsidRPr="00576D60">
              <w:t>19 June 2003</w:t>
            </w:r>
          </w:p>
        </w:tc>
        <w:tc>
          <w:tcPr>
            <w:tcW w:w="1101" w:type="pct"/>
            <w:tcBorders>
              <w:top w:val="single" w:sz="4" w:space="0" w:color="auto"/>
              <w:bottom w:val="single" w:sz="4" w:space="0" w:color="auto"/>
            </w:tcBorders>
            <w:shd w:val="clear" w:color="auto" w:fill="auto"/>
          </w:tcPr>
          <w:p w14:paraId="5AB80195" w14:textId="77777777" w:rsidR="00E93F58" w:rsidRPr="00576D60" w:rsidRDefault="00E93F58" w:rsidP="002F32E3">
            <w:pPr>
              <w:pStyle w:val="ENoteTableText"/>
            </w:pPr>
            <w:r w:rsidRPr="00576D60">
              <w:t>—</w:t>
            </w:r>
          </w:p>
        </w:tc>
      </w:tr>
      <w:tr w:rsidR="00E93F58" w:rsidRPr="00576D60" w14:paraId="0406C61B" w14:textId="77777777" w:rsidTr="002F32E3">
        <w:trPr>
          <w:cantSplit/>
        </w:trPr>
        <w:tc>
          <w:tcPr>
            <w:tcW w:w="1275" w:type="pct"/>
            <w:tcBorders>
              <w:top w:val="single" w:sz="4" w:space="0" w:color="auto"/>
              <w:bottom w:val="single" w:sz="4" w:space="0" w:color="auto"/>
            </w:tcBorders>
            <w:shd w:val="clear" w:color="auto" w:fill="auto"/>
          </w:tcPr>
          <w:p w14:paraId="02EB519D" w14:textId="77777777" w:rsidR="00E93F58" w:rsidRPr="00576D60" w:rsidRDefault="00E93F58" w:rsidP="002F32E3">
            <w:pPr>
              <w:pStyle w:val="ENoteTableText"/>
            </w:pPr>
            <w:r w:rsidRPr="00576D60">
              <w:t>127, 2003</w:t>
            </w:r>
          </w:p>
        </w:tc>
        <w:tc>
          <w:tcPr>
            <w:tcW w:w="1115" w:type="pct"/>
            <w:tcBorders>
              <w:top w:val="single" w:sz="4" w:space="0" w:color="auto"/>
              <w:bottom w:val="single" w:sz="4" w:space="0" w:color="auto"/>
            </w:tcBorders>
            <w:shd w:val="clear" w:color="auto" w:fill="auto"/>
          </w:tcPr>
          <w:p w14:paraId="18A6A351" w14:textId="77777777" w:rsidR="00E93F58" w:rsidRPr="00576D60" w:rsidRDefault="00E93F58" w:rsidP="002F32E3">
            <w:pPr>
              <w:pStyle w:val="ENoteTableText"/>
            </w:pPr>
            <w:r w:rsidRPr="00576D60">
              <w:t>19 June 2003</w:t>
            </w:r>
          </w:p>
        </w:tc>
        <w:tc>
          <w:tcPr>
            <w:tcW w:w="1509" w:type="pct"/>
            <w:tcBorders>
              <w:top w:val="single" w:sz="4" w:space="0" w:color="auto"/>
              <w:bottom w:val="single" w:sz="4" w:space="0" w:color="auto"/>
            </w:tcBorders>
            <w:shd w:val="clear" w:color="auto" w:fill="auto"/>
          </w:tcPr>
          <w:p w14:paraId="4BD42582" w14:textId="77777777" w:rsidR="00E93F58" w:rsidRPr="00576D60" w:rsidRDefault="00E93F58" w:rsidP="002F32E3">
            <w:pPr>
              <w:pStyle w:val="ENoteTableText"/>
            </w:pPr>
            <w:r w:rsidRPr="00576D60">
              <w:t>1 July 2003</w:t>
            </w:r>
          </w:p>
        </w:tc>
        <w:tc>
          <w:tcPr>
            <w:tcW w:w="1101" w:type="pct"/>
            <w:tcBorders>
              <w:top w:val="single" w:sz="4" w:space="0" w:color="auto"/>
              <w:bottom w:val="single" w:sz="4" w:space="0" w:color="auto"/>
            </w:tcBorders>
            <w:shd w:val="clear" w:color="auto" w:fill="auto"/>
          </w:tcPr>
          <w:p w14:paraId="24AFB6DB" w14:textId="77777777" w:rsidR="00E93F58" w:rsidRPr="00576D60" w:rsidRDefault="00E93F58" w:rsidP="002F32E3">
            <w:pPr>
              <w:pStyle w:val="ENoteTableText"/>
            </w:pPr>
            <w:r w:rsidRPr="00576D60">
              <w:t>—</w:t>
            </w:r>
          </w:p>
        </w:tc>
      </w:tr>
      <w:tr w:rsidR="00E93F58" w:rsidRPr="00576D60" w14:paraId="6B4BD0A0" w14:textId="77777777" w:rsidTr="002F32E3">
        <w:trPr>
          <w:cantSplit/>
        </w:trPr>
        <w:tc>
          <w:tcPr>
            <w:tcW w:w="1275" w:type="pct"/>
            <w:tcBorders>
              <w:top w:val="single" w:sz="4" w:space="0" w:color="auto"/>
              <w:bottom w:val="single" w:sz="4" w:space="0" w:color="auto"/>
            </w:tcBorders>
            <w:shd w:val="clear" w:color="auto" w:fill="auto"/>
          </w:tcPr>
          <w:p w14:paraId="12EAA56C" w14:textId="77777777" w:rsidR="00E93F58" w:rsidRPr="00576D60" w:rsidRDefault="00E93F58" w:rsidP="002F32E3">
            <w:pPr>
              <w:pStyle w:val="ENoteTableText"/>
            </w:pPr>
            <w:r w:rsidRPr="00576D60">
              <w:t>194, 2003</w:t>
            </w:r>
          </w:p>
        </w:tc>
        <w:tc>
          <w:tcPr>
            <w:tcW w:w="1115" w:type="pct"/>
            <w:tcBorders>
              <w:top w:val="single" w:sz="4" w:space="0" w:color="auto"/>
              <w:bottom w:val="single" w:sz="4" w:space="0" w:color="auto"/>
            </w:tcBorders>
            <w:shd w:val="clear" w:color="auto" w:fill="auto"/>
          </w:tcPr>
          <w:p w14:paraId="4ED8C8C5" w14:textId="77777777" w:rsidR="00E93F58" w:rsidRPr="00576D60" w:rsidRDefault="00E93F58" w:rsidP="002F32E3">
            <w:pPr>
              <w:pStyle w:val="ENoteTableText"/>
            </w:pPr>
            <w:r w:rsidRPr="00576D60">
              <w:t>31 July 2003</w:t>
            </w:r>
          </w:p>
        </w:tc>
        <w:tc>
          <w:tcPr>
            <w:tcW w:w="1509" w:type="pct"/>
            <w:tcBorders>
              <w:top w:val="single" w:sz="4" w:space="0" w:color="auto"/>
              <w:bottom w:val="single" w:sz="4" w:space="0" w:color="auto"/>
            </w:tcBorders>
            <w:shd w:val="clear" w:color="auto" w:fill="auto"/>
          </w:tcPr>
          <w:p w14:paraId="6D9B11AB" w14:textId="77777777" w:rsidR="00E93F58" w:rsidRPr="00576D60" w:rsidRDefault="00E93F58" w:rsidP="002F32E3">
            <w:pPr>
              <w:pStyle w:val="ENoteTableText"/>
            </w:pPr>
            <w:r w:rsidRPr="00576D60">
              <w:t>1 Aug 2003</w:t>
            </w:r>
          </w:p>
        </w:tc>
        <w:tc>
          <w:tcPr>
            <w:tcW w:w="1101" w:type="pct"/>
            <w:tcBorders>
              <w:top w:val="single" w:sz="4" w:space="0" w:color="auto"/>
              <w:bottom w:val="single" w:sz="4" w:space="0" w:color="auto"/>
            </w:tcBorders>
            <w:shd w:val="clear" w:color="auto" w:fill="auto"/>
          </w:tcPr>
          <w:p w14:paraId="7101C0BC" w14:textId="77777777" w:rsidR="00E93F58" w:rsidRPr="00576D60" w:rsidRDefault="00E93F58" w:rsidP="002F32E3">
            <w:pPr>
              <w:pStyle w:val="ENoteTableText"/>
            </w:pPr>
            <w:r w:rsidRPr="00576D60">
              <w:t>—</w:t>
            </w:r>
          </w:p>
        </w:tc>
      </w:tr>
      <w:tr w:rsidR="00E93F58" w:rsidRPr="00576D60" w14:paraId="08A7D5E2" w14:textId="77777777" w:rsidTr="002F32E3">
        <w:trPr>
          <w:cantSplit/>
        </w:trPr>
        <w:tc>
          <w:tcPr>
            <w:tcW w:w="1275" w:type="pct"/>
            <w:tcBorders>
              <w:top w:val="single" w:sz="4" w:space="0" w:color="auto"/>
              <w:bottom w:val="single" w:sz="4" w:space="0" w:color="auto"/>
            </w:tcBorders>
            <w:shd w:val="clear" w:color="auto" w:fill="auto"/>
          </w:tcPr>
          <w:p w14:paraId="568F6C5B" w14:textId="77777777" w:rsidR="00E93F58" w:rsidRPr="00576D60" w:rsidRDefault="00E93F58" w:rsidP="002F32E3">
            <w:pPr>
              <w:pStyle w:val="ENoteTableText"/>
            </w:pPr>
            <w:r w:rsidRPr="00576D60">
              <w:t>202, 2003</w:t>
            </w:r>
          </w:p>
        </w:tc>
        <w:tc>
          <w:tcPr>
            <w:tcW w:w="1115" w:type="pct"/>
            <w:tcBorders>
              <w:top w:val="single" w:sz="4" w:space="0" w:color="auto"/>
              <w:bottom w:val="single" w:sz="4" w:space="0" w:color="auto"/>
            </w:tcBorders>
            <w:shd w:val="clear" w:color="auto" w:fill="auto"/>
          </w:tcPr>
          <w:p w14:paraId="573CBDFE" w14:textId="77777777" w:rsidR="00E93F58" w:rsidRPr="00576D60" w:rsidRDefault="00E93F58" w:rsidP="002F32E3">
            <w:pPr>
              <w:pStyle w:val="ENoteTableText"/>
            </w:pPr>
            <w:r w:rsidRPr="00576D60">
              <w:t>6 Aug 2003</w:t>
            </w:r>
          </w:p>
        </w:tc>
        <w:tc>
          <w:tcPr>
            <w:tcW w:w="1509" w:type="pct"/>
            <w:tcBorders>
              <w:top w:val="single" w:sz="4" w:space="0" w:color="auto"/>
              <w:bottom w:val="single" w:sz="4" w:space="0" w:color="auto"/>
            </w:tcBorders>
            <w:shd w:val="clear" w:color="auto" w:fill="auto"/>
          </w:tcPr>
          <w:p w14:paraId="5051986F" w14:textId="77777777" w:rsidR="00E93F58" w:rsidRPr="00576D60" w:rsidRDefault="00E93F58" w:rsidP="002F32E3">
            <w:pPr>
              <w:pStyle w:val="ENoteTableText"/>
            </w:pPr>
            <w:r w:rsidRPr="00576D60">
              <w:t>r 1–3 and Sch 1: 6 Aug 2003</w:t>
            </w:r>
            <w:r w:rsidRPr="00576D60">
              <w:br/>
              <w:t>Remainder: 11 Mar 2004</w:t>
            </w:r>
          </w:p>
        </w:tc>
        <w:tc>
          <w:tcPr>
            <w:tcW w:w="1101" w:type="pct"/>
            <w:tcBorders>
              <w:top w:val="single" w:sz="4" w:space="0" w:color="auto"/>
              <w:bottom w:val="single" w:sz="4" w:space="0" w:color="auto"/>
            </w:tcBorders>
            <w:shd w:val="clear" w:color="auto" w:fill="auto"/>
          </w:tcPr>
          <w:p w14:paraId="6551A806" w14:textId="77777777" w:rsidR="00E93F58" w:rsidRPr="00576D60" w:rsidRDefault="00E93F58" w:rsidP="002F32E3">
            <w:pPr>
              <w:pStyle w:val="ENoteTableText"/>
            </w:pPr>
            <w:r w:rsidRPr="00576D60">
              <w:t>—</w:t>
            </w:r>
          </w:p>
        </w:tc>
      </w:tr>
      <w:tr w:rsidR="00E93F58" w:rsidRPr="00576D60" w14:paraId="21E02754" w14:textId="77777777" w:rsidTr="002F32E3">
        <w:trPr>
          <w:cantSplit/>
        </w:trPr>
        <w:tc>
          <w:tcPr>
            <w:tcW w:w="1275" w:type="pct"/>
            <w:tcBorders>
              <w:top w:val="single" w:sz="4" w:space="0" w:color="auto"/>
              <w:bottom w:val="single" w:sz="4" w:space="0" w:color="auto"/>
            </w:tcBorders>
            <w:shd w:val="clear" w:color="auto" w:fill="auto"/>
          </w:tcPr>
          <w:p w14:paraId="29C50191" w14:textId="77777777" w:rsidR="00E93F58" w:rsidRPr="00576D60" w:rsidRDefault="00E93F58" w:rsidP="002F32E3">
            <w:pPr>
              <w:pStyle w:val="ENoteTableText"/>
            </w:pPr>
            <w:r w:rsidRPr="00576D60">
              <w:t>282, 2003</w:t>
            </w:r>
          </w:p>
        </w:tc>
        <w:tc>
          <w:tcPr>
            <w:tcW w:w="1115" w:type="pct"/>
            <w:tcBorders>
              <w:top w:val="single" w:sz="4" w:space="0" w:color="auto"/>
              <w:bottom w:val="single" w:sz="4" w:space="0" w:color="auto"/>
            </w:tcBorders>
            <w:shd w:val="clear" w:color="auto" w:fill="auto"/>
          </w:tcPr>
          <w:p w14:paraId="05D9CF93" w14:textId="77777777" w:rsidR="00E93F58" w:rsidRPr="00576D60" w:rsidRDefault="00E93F58" w:rsidP="002F32E3">
            <w:pPr>
              <w:pStyle w:val="ENoteTableText"/>
            </w:pPr>
            <w:r w:rsidRPr="00576D60">
              <w:t>13 Nov 2003</w:t>
            </w:r>
          </w:p>
        </w:tc>
        <w:tc>
          <w:tcPr>
            <w:tcW w:w="1509" w:type="pct"/>
            <w:tcBorders>
              <w:top w:val="single" w:sz="4" w:space="0" w:color="auto"/>
              <w:bottom w:val="single" w:sz="4" w:space="0" w:color="auto"/>
            </w:tcBorders>
            <w:shd w:val="clear" w:color="auto" w:fill="auto"/>
          </w:tcPr>
          <w:p w14:paraId="0FFD0136" w14:textId="77777777" w:rsidR="00E93F58" w:rsidRPr="00576D60" w:rsidRDefault="00E93F58" w:rsidP="002F32E3">
            <w:pPr>
              <w:pStyle w:val="ENoteTableText"/>
            </w:pPr>
            <w:r w:rsidRPr="00576D60">
              <w:t>r 1–3 and Sch 1: 13 Nov 2003 (r 2(a))</w:t>
            </w:r>
            <w:r w:rsidRPr="00576D60">
              <w:br/>
              <w:t>Sch 2: 11 Mar 2004 (r 2(b))</w:t>
            </w:r>
            <w:r w:rsidRPr="00576D60">
              <w:br/>
              <w:t>Remainder: 1 July 2004 (r 2(c))</w:t>
            </w:r>
            <w:r w:rsidRPr="00576D60">
              <w:br/>
              <w:t>Note: Sch 3 (</w:t>
            </w:r>
            <w:r>
              <w:t>items 1</w:t>
            </w:r>
            <w:r w:rsidRPr="00576D60">
              <w:t>–4, 6, 8, 9) were disallowed by the Senate on 24 Mar 2004; rescinded 13 May 2004</w:t>
            </w:r>
          </w:p>
        </w:tc>
        <w:tc>
          <w:tcPr>
            <w:tcW w:w="1101" w:type="pct"/>
            <w:tcBorders>
              <w:top w:val="single" w:sz="4" w:space="0" w:color="auto"/>
              <w:bottom w:val="single" w:sz="4" w:space="0" w:color="auto"/>
            </w:tcBorders>
            <w:shd w:val="clear" w:color="auto" w:fill="auto"/>
          </w:tcPr>
          <w:p w14:paraId="7824410A" w14:textId="77777777" w:rsidR="00E93F58" w:rsidRPr="00576D60" w:rsidRDefault="00E93F58" w:rsidP="002F32E3">
            <w:pPr>
              <w:pStyle w:val="ENoteTableText"/>
            </w:pPr>
            <w:r w:rsidRPr="00576D60">
              <w:t>r 4</w:t>
            </w:r>
          </w:p>
        </w:tc>
      </w:tr>
      <w:tr w:rsidR="00E93F58" w:rsidRPr="00576D60" w14:paraId="5D053D64" w14:textId="77777777" w:rsidTr="002F32E3">
        <w:trPr>
          <w:cantSplit/>
        </w:trPr>
        <w:tc>
          <w:tcPr>
            <w:tcW w:w="1275" w:type="pct"/>
            <w:tcBorders>
              <w:top w:val="single" w:sz="4" w:space="0" w:color="auto"/>
              <w:bottom w:val="single" w:sz="4" w:space="0" w:color="auto"/>
            </w:tcBorders>
            <w:shd w:val="clear" w:color="auto" w:fill="auto"/>
          </w:tcPr>
          <w:p w14:paraId="2F517D62" w14:textId="77777777" w:rsidR="00E93F58" w:rsidRPr="00576D60" w:rsidRDefault="00E93F58" w:rsidP="002F32E3">
            <w:pPr>
              <w:pStyle w:val="ENoteTableText"/>
            </w:pPr>
            <w:r w:rsidRPr="00576D60">
              <w:t>367, 2003</w:t>
            </w:r>
          </w:p>
        </w:tc>
        <w:tc>
          <w:tcPr>
            <w:tcW w:w="1115" w:type="pct"/>
            <w:tcBorders>
              <w:top w:val="single" w:sz="4" w:space="0" w:color="auto"/>
              <w:bottom w:val="single" w:sz="4" w:space="0" w:color="auto"/>
            </w:tcBorders>
            <w:shd w:val="clear" w:color="auto" w:fill="auto"/>
          </w:tcPr>
          <w:p w14:paraId="6443F775" w14:textId="77777777" w:rsidR="00E93F58" w:rsidRPr="00576D60" w:rsidRDefault="00E93F58" w:rsidP="002F32E3">
            <w:pPr>
              <w:pStyle w:val="ENoteTableText"/>
            </w:pPr>
            <w:r w:rsidRPr="00576D60">
              <w:t>23 Dec 2003</w:t>
            </w:r>
          </w:p>
        </w:tc>
        <w:tc>
          <w:tcPr>
            <w:tcW w:w="1509" w:type="pct"/>
            <w:tcBorders>
              <w:top w:val="single" w:sz="4" w:space="0" w:color="auto"/>
              <w:bottom w:val="single" w:sz="4" w:space="0" w:color="auto"/>
            </w:tcBorders>
            <w:shd w:val="clear" w:color="auto" w:fill="auto"/>
          </w:tcPr>
          <w:p w14:paraId="1E79420F" w14:textId="77777777" w:rsidR="00E93F58" w:rsidRPr="00576D60" w:rsidRDefault="00E93F58" w:rsidP="002F32E3">
            <w:pPr>
              <w:pStyle w:val="ENoteTableText"/>
            </w:pPr>
            <w:r w:rsidRPr="00576D60">
              <w:t>23 Dec 2003</w:t>
            </w:r>
          </w:p>
        </w:tc>
        <w:tc>
          <w:tcPr>
            <w:tcW w:w="1101" w:type="pct"/>
            <w:tcBorders>
              <w:top w:val="single" w:sz="4" w:space="0" w:color="auto"/>
              <w:bottom w:val="single" w:sz="4" w:space="0" w:color="auto"/>
            </w:tcBorders>
            <w:shd w:val="clear" w:color="auto" w:fill="auto"/>
          </w:tcPr>
          <w:p w14:paraId="2CE80B46" w14:textId="77777777" w:rsidR="00E93F58" w:rsidRPr="00576D60" w:rsidRDefault="00E93F58" w:rsidP="002F32E3">
            <w:pPr>
              <w:pStyle w:val="ENoteTableText"/>
            </w:pPr>
            <w:r w:rsidRPr="00576D60">
              <w:t>—</w:t>
            </w:r>
          </w:p>
        </w:tc>
      </w:tr>
      <w:tr w:rsidR="00E93F58" w:rsidRPr="00576D60" w14:paraId="29EED0F3" w14:textId="77777777" w:rsidTr="002F32E3">
        <w:trPr>
          <w:cantSplit/>
        </w:trPr>
        <w:tc>
          <w:tcPr>
            <w:tcW w:w="1275" w:type="pct"/>
            <w:tcBorders>
              <w:top w:val="single" w:sz="4" w:space="0" w:color="auto"/>
              <w:bottom w:val="single" w:sz="4" w:space="0" w:color="auto"/>
            </w:tcBorders>
            <w:shd w:val="clear" w:color="auto" w:fill="auto"/>
          </w:tcPr>
          <w:p w14:paraId="2D1111AD" w14:textId="77777777" w:rsidR="00E93F58" w:rsidRPr="00576D60" w:rsidRDefault="00E93F58" w:rsidP="002F32E3">
            <w:pPr>
              <w:pStyle w:val="ENoteTableText"/>
            </w:pPr>
            <w:r w:rsidRPr="00576D60">
              <w:t>368, 2003</w:t>
            </w:r>
          </w:p>
        </w:tc>
        <w:tc>
          <w:tcPr>
            <w:tcW w:w="1115" w:type="pct"/>
            <w:tcBorders>
              <w:top w:val="single" w:sz="4" w:space="0" w:color="auto"/>
              <w:bottom w:val="single" w:sz="4" w:space="0" w:color="auto"/>
            </w:tcBorders>
            <w:shd w:val="clear" w:color="auto" w:fill="auto"/>
          </w:tcPr>
          <w:p w14:paraId="02DFE65A" w14:textId="77777777" w:rsidR="00E93F58" w:rsidRPr="00576D60" w:rsidRDefault="00E93F58" w:rsidP="002F32E3">
            <w:pPr>
              <w:pStyle w:val="ENoteTableText"/>
            </w:pPr>
            <w:r w:rsidRPr="00576D60">
              <w:t>23 Dec 2003</w:t>
            </w:r>
          </w:p>
        </w:tc>
        <w:tc>
          <w:tcPr>
            <w:tcW w:w="1509" w:type="pct"/>
            <w:tcBorders>
              <w:top w:val="single" w:sz="4" w:space="0" w:color="auto"/>
              <w:bottom w:val="single" w:sz="4" w:space="0" w:color="auto"/>
            </w:tcBorders>
            <w:shd w:val="clear" w:color="auto" w:fill="auto"/>
          </w:tcPr>
          <w:p w14:paraId="6294CFA1" w14:textId="77777777" w:rsidR="00E93F58" w:rsidRPr="00576D60" w:rsidRDefault="00E93F58" w:rsidP="002F32E3">
            <w:pPr>
              <w:pStyle w:val="ENoteTableText"/>
            </w:pPr>
            <w:r w:rsidRPr="00576D60">
              <w:t>r 1–3 and Sch 1: 23 Dec 2003</w:t>
            </w:r>
            <w:r w:rsidRPr="00576D60">
              <w:br/>
              <w:t>Remainder: 11 Mar 2004</w:t>
            </w:r>
          </w:p>
        </w:tc>
        <w:tc>
          <w:tcPr>
            <w:tcW w:w="1101" w:type="pct"/>
            <w:tcBorders>
              <w:top w:val="single" w:sz="4" w:space="0" w:color="auto"/>
              <w:bottom w:val="single" w:sz="4" w:space="0" w:color="auto"/>
            </w:tcBorders>
            <w:shd w:val="clear" w:color="auto" w:fill="auto"/>
          </w:tcPr>
          <w:p w14:paraId="01EE3188" w14:textId="77777777" w:rsidR="00E93F58" w:rsidRPr="00576D60" w:rsidRDefault="00E93F58" w:rsidP="002F32E3">
            <w:pPr>
              <w:pStyle w:val="ENoteTableText"/>
            </w:pPr>
            <w:r w:rsidRPr="00576D60">
              <w:t>—</w:t>
            </w:r>
          </w:p>
        </w:tc>
      </w:tr>
      <w:tr w:rsidR="00E93F58" w:rsidRPr="00576D60" w14:paraId="113E28A1" w14:textId="77777777" w:rsidTr="002F32E3">
        <w:trPr>
          <w:cantSplit/>
        </w:trPr>
        <w:tc>
          <w:tcPr>
            <w:tcW w:w="1275" w:type="pct"/>
            <w:tcBorders>
              <w:top w:val="single" w:sz="4" w:space="0" w:color="auto"/>
              <w:bottom w:val="single" w:sz="4" w:space="0" w:color="auto"/>
            </w:tcBorders>
            <w:shd w:val="clear" w:color="auto" w:fill="auto"/>
          </w:tcPr>
          <w:p w14:paraId="49D2CA01" w14:textId="77777777" w:rsidR="00E93F58" w:rsidRPr="00576D60" w:rsidRDefault="00E93F58" w:rsidP="002F32E3">
            <w:pPr>
              <w:pStyle w:val="ENoteTableText"/>
            </w:pPr>
            <w:r w:rsidRPr="00576D60">
              <w:t>369, 2003</w:t>
            </w:r>
          </w:p>
        </w:tc>
        <w:tc>
          <w:tcPr>
            <w:tcW w:w="1115" w:type="pct"/>
            <w:tcBorders>
              <w:top w:val="single" w:sz="4" w:space="0" w:color="auto"/>
              <w:bottom w:val="single" w:sz="4" w:space="0" w:color="auto"/>
            </w:tcBorders>
            <w:shd w:val="clear" w:color="auto" w:fill="auto"/>
          </w:tcPr>
          <w:p w14:paraId="369C5D08" w14:textId="77777777" w:rsidR="00E93F58" w:rsidRPr="00576D60" w:rsidRDefault="00E93F58" w:rsidP="002F32E3">
            <w:pPr>
              <w:pStyle w:val="ENoteTableText"/>
            </w:pPr>
            <w:r w:rsidRPr="00576D60">
              <w:t>23 Dec 2003</w:t>
            </w:r>
          </w:p>
        </w:tc>
        <w:tc>
          <w:tcPr>
            <w:tcW w:w="1509" w:type="pct"/>
            <w:tcBorders>
              <w:top w:val="single" w:sz="4" w:space="0" w:color="auto"/>
              <w:bottom w:val="single" w:sz="4" w:space="0" w:color="auto"/>
            </w:tcBorders>
            <w:shd w:val="clear" w:color="auto" w:fill="auto"/>
          </w:tcPr>
          <w:p w14:paraId="27A9DF7D" w14:textId="77777777" w:rsidR="00E93F58" w:rsidRPr="00576D60" w:rsidRDefault="00E93F58" w:rsidP="002F32E3">
            <w:pPr>
              <w:pStyle w:val="ENoteTableText"/>
            </w:pPr>
            <w:r w:rsidRPr="00576D60">
              <w:t>r 1–3 and Sch 1: 23 Dec 2003</w:t>
            </w:r>
            <w:r w:rsidRPr="00576D60">
              <w:br/>
              <w:t>Remainder: 14 Jan 2004 (</w:t>
            </w:r>
            <w:r w:rsidRPr="00576D60">
              <w:rPr>
                <w:i/>
              </w:rPr>
              <w:t>see</w:t>
            </w:r>
            <w:r w:rsidRPr="00576D60">
              <w:t xml:space="preserve"> r. 2)</w:t>
            </w:r>
          </w:p>
        </w:tc>
        <w:tc>
          <w:tcPr>
            <w:tcW w:w="1101" w:type="pct"/>
            <w:tcBorders>
              <w:top w:val="single" w:sz="4" w:space="0" w:color="auto"/>
              <w:bottom w:val="single" w:sz="4" w:space="0" w:color="auto"/>
            </w:tcBorders>
            <w:shd w:val="clear" w:color="auto" w:fill="auto"/>
          </w:tcPr>
          <w:p w14:paraId="3AEF813F" w14:textId="77777777" w:rsidR="00E93F58" w:rsidRPr="00576D60" w:rsidRDefault="00E93F58" w:rsidP="002F32E3">
            <w:pPr>
              <w:pStyle w:val="ENoteTableText"/>
            </w:pPr>
            <w:r w:rsidRPr="00576D60">
              <w:t>—</w:t>
            </w:r>
          </w:p>
        </w:tc>
      </w:tr>
      <w:tr w:rsidR="00E93F58" w:rsidRPr="00576D60" w14:paraId="184A7714" w14:textId="77777777" w:rsidTr="002F32E3">
        <w:trPr>
          <w:cantSplit/>
        </w:trPr>
        <w:tc>
          <w:tcPr>
            <w:tcW w:w="1275" w:type="pct"/>
            <w:tcBorders>
              <w:top w:val="single" w:sz="4" w:space="0" w:color="auto"/>
              <w:bottom w:val="single" w:sz="4" w:space="0" w:color="auto"/>
            </w:tcBorders>
            <w:shd w:val="clear" w:color="auto" w:fill="auto"/>
          </w:tcPr>
          <w:p w14:paraId="18A95AB1" w14:textId="77777777" w:rsidR="00E93F58" w:rsidRPr="00576D60" w:rsidRDefault="00E93F58" w:rsidP="002F32E3">
            <w:pPr>
              <w:pStyle w:val="ENoteTableText"/>
            </w:pPr>
            <w:r w:rsidRPr="00576D60">
              <w:t>10, 2004</w:t>
            </w:r>
          </w:p>
        </w:tc>
        <w:tc>
          <w:tcPr>
            <w:tcW w:w="1115" w:type="pct"/>
            <w:tcBorders>
              <w:top w:val="single" w:sz="4" w:space="0" w:color="auto"/>
              <w:bottom w:val="single" w:sz="4" w:space="0" w:color="auto"/>
            </w:tcBorders>
            <w:shd w:val="clear" w:color="auto" w:fill="auto"/>
          </w:tcPr>
          <w:p w14:paraId="3409069A" w14:textId="77777777" w:rsidR="00E93F58" w:rsidRPr="00576D60" w:rsidRDefault="00E93F58" w:rsidP="002F32E3">
            <w:pPr>
              <w:pStyle w:val="ENoteTableText"/>
            </w:pPr>
            <w:r w:rsidRPr="00576D60">
              <w:t>20 Feb 2004</w:t>
            </w:r>
          </w:p>
        </w:tc>
        <w:tc>
          <w:tcPr>
            <w:tcW w:w="1509" w:type="pct"/>
            <w:tcBorders>
              <w:top w:val="single" w:sz="4" w:space="0" w:color="auto"/>
              <w:bottom w:val="single" w:sz="4" w:space="0" w:color="auto"/>
            </w:tcBorders>
            <w:shd w:val="clear" w:color="auto" w:fill="auto"/>
          </w:tcPr>
          <w:p w14:paraId="594F14AA" w14:textId="77777777" w:rsidR="00E93F58" w:rsidRPr="00576D60" w:rsidRDefault="00E93F58" w:rsidP="002F32E3">
            <w:pPr>
              <w:pStyle w:val="ENoteTableText"/>
            </w:pPr>
            <w:r w:rsidRPr="00576D60">
              <w:t>1 July 2004</w:t>
            </w:r>
          </w:p>
        </w:tc>
        <w:tc>
          <w:tcPr>
            <w:tcW w:w="1101" w:type="pct"/>
            <w:tcBorders>
              <w:top w:val="single" w:sz="4" w:space="0" w:color="auto"/>
              <w:bottom w:val="single" w:sz="4" w:space="0" w:color="auto"/>
            </w:tcBorders>
            <w:shd w:val="clear" w:color="auto" w:fill="auto"/>
          </w:tcPr>
          <w:p w14:paraId="49D8ABFA" w14:textId="77777777" w:rsidR="00E93F58" w:rsidRPr="00576D60" w:rsidRDefault="00E93F58" w:rsidP="002F32E3">
            <w:pPr>
              <w:pStyle w:val="ENoteTableText"/>
            </w:pPr>
            <w:r w:rsidRPr="00576D60">
              <w:t>—</w:t>
            </w:r>
          </w:p>
        </w:tc>
      </w:tr>
      <w:tr w:rsidR="00E93F58" w:rsidRPr="00576D60" w14:paraId="51AF5033" w14:textId="77777777" w:rsidTr="002F32E3">
        <w:trPr>
          <w:cantSplit/>
        </w:trPr>
        <w:tc>
          <w:tcPr>
            <w:tcW w:w="1275" w:type="pct"/>
            <w:tcBorders>
              <w:top w:val="single" w:sz="4" w:space="0" w:color="auto"/>
              <w:bottom w:val="single" w:sz="4" w:space="0" w:color="auto"/>
            </w:tcBorders>
            <w:shd w:val="clear" w:color="auto" w:fill="auto"/>
          </w:tcPr>
          <w:p w14:paraId="7BC70B43" w14:textId="77777777" w:rsidR="00E93F58" w:rsidRPr="00576D60" w:rsidRDefault="00E93F58" w:rsidP="002F32E3">
            <w:pPr>
              <w:pStyle w:val="ENoteTableText"/>
            </w:pPr>
            <w:r w:rsidRPr="00576D60">
              <w:t>25, 2004</w:t>
            </w:r>
          </w:p>
        </w:tc>
        <w:tc>
          <w:tcPr>
            <w:tcW w:w="1115" w:type="pct"/>
            <w:tcBorders>
              <w:top w:val="single" w:sz="4" w:space="0" w:color="auto"/>
              <w:bottom w:val="single" w:sz="4" w:space="0" w:color="auto"/>
            </w:tcBorders>
            <w:shd w:val="clear" w:color="auto" w:fill="auto"/>
          </w:tcPr>
          <w:p w14:paraId="1E07F0BE" w14:textId="77777777" w:rsidR="00E93F58" w:rsidRPr="00576D60" w:rsidRDefault="00E93F58" w:rsidP="002F32E3">
            <w:pPr>
              <w:pStyle w:val="ENoteTableText"/>
            </w:pPr>
            <w:r w:rsidRPr="00576D60">
              <w:t>26 Feb 2004</w:t>
            </w:r>
          </w:p>
        </w:tc>
        <w:tc>
          <w:tcPr>
            <w:tcW w:w="1509" w:type="pct"/>
            <w:tcBorders>
              <w:top w:val="single" w:sz="4" w:space="0" w:color="auto"/>
              <w:bottom w:val="single" w:sz="4" w:space="0" w:color="auto"/>
            </w:tcBorders>
            <w:shd w:val="clear" w:color="auto" w:fill="auto"/>
          </w:tcPr>
          <w:p w14:paraId="31AB75FA" w14:textId="77777777" w:rsidR="00E93F58" w:rsidRPr="00576D60" w:rsidRDefault="00E93F58" w:rsidP="002F32E3">
            <w:pPr>
              <w:pStyle w:val="ENoteTableText"/>
            </w:pPr>
            <w:r w:rsidRPr="00576D60">
              <w:t>26 Feb 2004</w:t>
            </w:r>
          </w:p>
        </w:tc>
        <w:tc>
          <w:tcPr>
            <w:tcW w:w="1101" w:type="pct"/>
            <w:tcBorders>
              <w:top w:val="single" w:sz="4" w:space="0" w:color="auto"/>
              <w:bottom w:val="single" w:sz="4" w:space="0" w:color="auto"/>
            </w:tcBorders>
            <w:shd w:val="clear" w:color="auto" w:fill="auto"/>
          </w:tcPr>
          <w:p w14:paraId="19D9C034" w14:textId="77777777" w:rsidR="00E93F58" w:rsidRPr="00576D60" w:rsidRDefault="00E93F58" w:rsidP="002F32E3">
            <w:pPr>
              <w:pStyle w:val="ENoteTableText"/>
            </w:pPr>
            <w:r w:rsidRPr="00576D60">
              <w:t>—</w:t>
            </w:r>
          </w:p>
        </w:tc>
      </w:tr>
      <w:tr w:rsidR="00E93F58" w:rsidRPr="00576D60" w14:paraId="3F5BEDC3" w14:textId="77777777" w:rsidTr="002F32E3">
        <w:trPr>
          <w:cantSplit/>
        </w:trPr>
        <w:tc>
          <w:tcPr>
            <w:tcW w:w="1275" w:type="pct"/>
            <w:tcBorders>
              <w:top w:val="single" w:sz="4" w:space="0" w:color="auto"/>
              <w:bottom w:val="single" w:sz="4" w:space="0" w:color="auto"/>
            </w:tcBorders>
            <w:shd w:val="clear" w:color="auto" w:fill="auto"/>
          </w:tcPr>
          <w:p w14:paraId="4DA48F0A" w14:textId="77777777" w:rsidR="00E93F58" w:rsidRPr="00576D60" w:rsidRDefault="00E93F58" w:rsidP="002F32E3">
            <w:pPr>
              <w:pStyle w:val="ENoteTableText"/>
            </w:pPr>
            <w:r w:rsidRPr="00576D60">
              <w:lastRenderedPageBreak/>
              <w:t>26, 2004</w:t>
            </w:r>
          </w:p>
        </w:tc>
        <w:tc>
          <w:tcPr>
            <w:tcW w:w="1115" w:type="pct"/>
            <w:tcBorders>
              <w:top w:val="single" w:sz="4" w:space="0" w:color="auto"/>
              <w:bottom w:val="single" w:sz="4" w:space="0" w:color="auto"/>
            </w:tcBorders>
            <w:shd w:val="clear" w:color="auto" w:fill="auto"/>
          </w:tcPr>
          <w:p w14:paraId="3D105CA8" w14:textId="77777777" w:rsidR="00E93F58" w:rsidRPr="00576D60" w:rsidRDefault="00E93F58" w:rsidP="002F32E3">
            <w:pPr>
              <w:pStyle w:val="ENoteTableText"/>
            </w:pPr>
            <w:r w:rsidRPr="00576D60">
              <w:t>26 Feb 2004</w:t>
            </w:r>
          </w:p>
        </w:tc>
        <w:tc>
          <w:tcPr>
            <w:tcW w:w="1509" w:type="pct"/>
            <w:tcBorders>
              <w:top w:val="single" w:sz="4" w:space="0" w:color="auto"/>
              <w:bottom w:val="single" w:sz="4" w:space="0" w:color="auto"/>
            </w:tcBorders>
            <w:shd w:val="clear" w:color="auto" w:fill="auto"/>
          </w:tcPr>
          <w:p w14:paraId="37BF73B2" w14:textId="77777777" w:rsidR="00E93F58" w:rsidRPr="00576D60" w:rsidRDefault="00E93F58" w:rsidP="002F32E3">
            <w:pPr>
              <w:pStyle w:val="ENoteTableText"/>
            </w:pPr>
            <w:r w:rsidRPr="00576D60">
              <w:t>r 1–3 and Sch 1: 26 Feb 2004</w:t>
            </w:r>
            <w:r w:rsidRPr="00576D60">
              <w:br/>
              <w:t>Remainder: 11 Mar 2004</w:t>
            </w:r>
          </w:p>
        </w:tc>
        <w:tc>
          <w:tcPr>
            <w:tcW w:w="1101" w:type="pct"/>
            <w:tcBorders>
              <w:top w:val="single" w:sz="4" w:space="0" w:color="auto"/>
              <w:bottom w:val="single" w:sz="4" w:space="0" w:color="auto"/>
            </w:tcBorders>
            <w:shd w:val="clear" w:color="auto" w:fill="auto"/>
          </w:tcPr>
          <w:p w14:paraId="46C64543" w14:textId="77777777" w:rsidR="00E93F58" w:rsidRPr="00576D60" w:rsidRDefault="00E93F58" w:rsidP="002F32E3">
            <w:pPr>
              <w:pStyle w:val="ENoteTableText"/>
            </w:pPr>
            <w:r w:rsidRPr="00576D60">
              <w:t>—</w:t>
            </w:r>
          </w:p>
        </w:tc>
      </w:tr>
      <w:tr w:rsidR="00E93F58" w:rsidRPr="00576D60" w14:paraId="6143D8DA" w14:textId="77777777" w:rsidTr="002F32E3">
        <w:trPr>
          <w:cantSplit/>
        </w:trPr>
        <w:tc>
          <w:tcPr>
            <w:tcW w:w="1275" w:type="pct"/>
            <w:tcBorders>
              <w:top w:val="single" w:sz="4" w:space="0" w:color="auto"/>
              <w:bottom w:val="single" w:sz="4" w:space="0" w:color="auto"/>
            </w:tcBorders>
            <w:shd w:val="clear" w:color="auto" w:fill="auto"/>
          </w:tcPr>
          <w:p w14:paraId="44BD2430" w14:textId="77777777" w:rsidR="00E93F58" w:rsidRPr="00576D60" w:rsidRDefault="00E93F58" w:rsidP="002F32E3">
            <w:pPr>
              <w:pStyle w:val="ENoteTableText"/>
            </w:pPr>
            <w:r w:rsidRPr="00576D60">
              <w:t>36, 2004</w:t>
            </w:r>
          </w:p>
        </w:tc>
        <w:tc>
          <w:tcPr>
            <w:tcW w:w="1115" w:type="pct"/>
            <w:tcBorders>
              <w:top w:val="single" w:sz="4" w:space="0" w:color="auto"/>
              <w:bottom w:val="single" w:sz="4" w:space="0" w:color="auto"/>
            </w:tcBorders>
            <w:shd w:val="clear" w:color="auto" w:fill="auto"/>
          </w:tcPr>
          <w:p w14:paraId="272210D1" w14:textId="77777777" w:rsidR="00E93F58" w:rsidRPr="00576D60" w:rsidRDefault="00E93F58" w:rsidP="002F32E3">
            <w:pPr>
              <w:pStyle w:val="ENoteTableText"/>
            </w:pPr>
            <w:r w:rsidRPr="00576D60">
              <w:t>18 Mar 2004</w:t>
            </w:r>
          </w:p>
        </w:tc>
        <w:tc>
          <w:tcPr>
            <w:tcW w:w="1509" w:type="pct"/>
            <w:tcBorders>
              <w:top w:val="single" w:sz="4" w:space="0" w:color="auto"/>
              <w:bottom w:val="single" w:sz="4" w:space="0" w:color="auto"/>
            </w:tcBorders>
            <w:shd w:val="clear" w:color="auto" w:fill="auto"/>
          </w:tcPr>
          <w:p w14:paraId="60EBF16C" w14:textId="77777777" w:rsidR="00E93F58" w:rsidRPr="00576D60" w:rsidRDefault="00E93F58" w:rsidP="002F32E3">
            <w:pPr>
              <w:pStyle w:val="ENoteTableText"/>
            </w:pPr>
            <w:r w:rsidRPr="00576D60">
              <w:t>18 Mar 2004</w:t>
            </w:r>
          </w:p>
        </w:tc>
        <w:tc>
          <w:tcPr>
            <w:tcW w:w="1101" w:type="pct"/>
            <w:tcBorders>
              <w:top w:val="single" w:sz="4" w:space="0" w:color="auto"/>
              <w:bottom w:val="single" w:sz="4" w:space="0" w:color="auto"/>
            </w:tcBorders>
            <w:shd w:val="clear" w:color="auto" w:fill="auto"/>
          </w:tcPr>
          <w:p w14:paraId="5699B1B9" w14:textId="77777777" w:rsidR="00E93F58" w:rsidRPr="00576D60" w:rsidRDefault="00E93F58" w:rsidP="002F32E3">
            <w:pPr>
              <w:pStyle w:val="ENoteTableText"/>
            </w:pPr>
            <w:r w:rsidRPr="00576D60">
              <w:t>—</w:t>
            </w:r>
          </w:p>
        </w:tc>
      </w:tr>
      <w:tr w:rsidR="00E93F58" w:rsidRPr="00576D60" w14:paraId="72FC9164" w14:textId="77777777" w:rsidTr="002F32E3">
        <w:trPr>
          <w:cantSplit/>
        </w:trPr>
        <w:tc>
          <w:tcPr>
            <w:tcW w:w="1275" w:type="pct"/>
            <w:tcBorders>
              <w:top w:val="single" w:sz="4" w:space="0" w:color="auto"/>
              <w:bottom w:val="single" w:sz="4" w:space="0" w:color="auto"/>
            </w:tcBorders>
            <w:shd w:val="clear" w:color="auto" w:fill="auto"/>
          </w:tcPr>
          <w:p w14:paraId="02E30A73" w14:textId="77777777" w:rsidR="00E93F58" w:rsidRPr="00576D60" w:rsidRDefault="00E93F58" w:rsidP="002F32E3">
            <w:pPr>
              <w:pStyle w:val="ENoteTableText"/>
            </w:pPr>
            <w:r w:rsidRPr="00576D60">
              <w:t>145, 2004</w:t>
            </w:r>
          </w:p>
        </w:tc>
        <w:tc>
          <w:tcPr>
            <w:tcW w:w="1115" w:type="pct"/>
            <w:tcBorders>
              <w:top w:val="single" w:sz="4" w:space="0" w:color="auto"/>
              <w:bottom w:val="single" w:sz="4" w:space="0" w:color="auto"/>
            </w:tcBorders>
            <w:shd w:val="clear" w:color="auto" w:fill="auto"/>
          </w:tcPr>
          <w:p w14:paraId="5B149CCA" w14:textId="77777777" w:rsidR="00E93F58" w:rsidRPr="00576D60" w:rsidRDefault="00E93F58" w:rsidP="002F32E3">
            <w:pPr>
              <w:pStyle w:val="ENoteTableText"/>
            </w:pPr>
            <w:r w:rsidRPr="00576D60">
              <w:t>25 June 2004</w:t>
            </w:r>
          </w:p>
        </w:tc>
        <w:tc>
          <w:tcPr>
            <w:tcW w:w="1509" w:type="pct"/>
            <w:tcBorders>
              <w:top w:val="single" w:sz="4" w:space="0" w:color="auto"/>
              <w:bottom w:val="single" w:sz="4" w:space="0" w:color="auto"/>
            </w:tcBorders>
            <w:shd w:val="clear" w:color="auto" w:fill="auto"/>
          </w:tcPr>
          <w:p w14:paraId="40CFE85F" w14:textId="77777777" w:rsidR="00E93F58" w:rsidRPr="00576D60" w:rsidRDefault="00E93F58" w:rsidP="002F32E3">
            <w:pPr>
              <w:pStyle w:val="ENoteTableText"/>
            </w:pPr>
            <w:r w:rsidRPr="00576D60">
              <w:t>r 1–3 and Sch 1: 1 July 2004</w:t>
            </w:r>
            <w:r w:rsidRPr="00576D60">
              <w:br/>
              <w:t>Remainder: 1 Oct 2004</w:t>
            </w:r>
          </w:p>
        </w:tc>
        <w:tc>
          <w:tcPr>
            <w:tcW w:w="1101" w:type="pct"/>
            <w:tcBorders>
              <w:top w:val="single" w:sz="4" w:space="0" w:color="auto"/>
              <w:bottom w:val="single" w:sz="4" w:space="0" w:color="auto"/>
            </w:tcBorders>
            <w:shd w:val="clear" w:color="auto" w:fill="auto"/>
          </w:tcPr>
          <w:p w14:paraId="03126014" w14:textId="77777777" w:rsidR="00E93F58" w:rsidRPr="00576D60" w:rsidRDefault="00E93F58" w:rsidP="002F32E3">
            <w:pPr>
              <w:pStyle w:val="ENoteTableText"/>
            </w:pPr>
            <w:r w:rsidRPr="00576D60">
              <w:t>r 4</w:t>
            </w:r>
          </w:p>
        </w:tc>
      </w:tr>
      <w:tr w:rsidR="00E93F58" w:rsidRPr="00576D60" w14:paraId="28B7210A" w14:textId="77777777" w:rsidTr="002F32E3">
        <w:trPr>
          <w:cantSplit/>
        </w:trPr>
        <w:tc>
          <w:tcPr>
            <w:tcW w:w="1275" w:type="pct"/>
            <w:tcBorders>
              <w:top w:val="single" w:sz="4" w:space="0" w:color="auto"/>
              <w:bottom w:val="single" w:sz="4" w:space="0" w:color="auto"/>
            </w:tcBorders>
            <w:shd w:val="clear" w:color="auto" w:fill="auto"/>
          </w:tcPr>
          <w:p w14:paraId="5E629706" w14:textId="77777777" w:rsidR="00E93F58" w:rsidRPr="00576D60" w:rsidRDefault="00E93F58" w:rsidP="002F32E3">
            <w:pPr>
              <w:pStyle w:val="ENoteTableText"/>
            </w:pPr>
            <w:r w:rsidRPr="00576D60">
              <w:t>149, 2004</w:t>
            </w:r>
          </w:p>
        </w:tc>
        <w:tc>
          <w:tcPr>
            <w:tcW w:w="1115" w:type="pct"/>
            <w:tcBorders>
              <w:top w:val="single" w:sz="4" w:space="0" w:color="auto"/>
              <w:bottom w:val="single" w:sz="4" w:space="0" w:color="auto"/>
            </w:tcBorders>
            <w:shd w:val="clear" w:color="auto" w:fill="auto"/>
          </w:tcPr>
          <w:p w14:paraId="0748AF1A" w14:textId="77777777" w:rsidR="00E93F58" w:rsidRPr="00576D60" w:rsidRDefault="00E93F58" w:rsidP="002F32E3">
            <w:pPr>
              <w:pStyle w:val="ENoteTableText"/>
            </w:pPr>
            <w:r w:rsidRPr="00576D60">
              <w:t>25 June 2004</w:t>
            </w:r>
          </w:p>
        </w:tc>
        <w:tc>
          <w:tcPr>
            <w:tcW w:w="1509" w:type="pct"/>
            <w:tcBorders>
              <w:top w:val="single" w:sz="4" w:space="0" w:color="auto"/>
              <w:bottom w:val="single" w:sz="4" w:space="0" w:color="auto"/>
            </w:tcBorders>
            <w:shd w:val="clear" w:color="auto" w:fill="auto"/>
          </w:tcPr>
          <w:p w14:paraId="0A723DD5" w14:textId="77777777" w:rsidR="00E93F58" w:rsidRPr="00576D60" w:rsidRDefault="00E93F58" w:rsidP="002F32E3">
            <w:pPr>
              <w:pStyle w:val="ENoteTableText"/>
            </w:pPr>
            <w:r w:rsidRPr="00576D60">
              <w:t>r 1–3 and Sch 1: 1 July 2004</w:t>
            </w:r>
            <w:r w:rsidRPr="00576D60">
              <w:br/>
              <w:t xml:space="preserve">Remainder: 1 Jan 2005 </w:t>
            </w:r>
          </w:p>
        </w:tc>
        <w:tc>
          <w:tcPr>
            <w:tcW w:w="1101" w:type="pct"/>
            <w:tcBorders>
              <w:top w:val="single" w:sz="4" w:space="0" w:color="auto"/>
              <w:bottom w:val="single" w:sz="4" w:space="0" w:color="auto"/>
            </w:tcBorders>
            <w:shd w:val="clear" w:color="auto" w:fill="auto"/>
          </w:tcPr>
          <w:p w14:paraId="5BBACF7F" w14:textId="77777777" w:rsidR="00E93F58" w:rsidRPr="00576D60" w:rsidRDefault="00E93F58" w:rsidP="002F32E3">
            <w:pPr>
              <w:pStyle w:val="ENoteTableText"/>
            </w:pPr>
            <w:r w:rsidRPr="00576D60">
              <w:t>—</w:t>
            </w:r>
          </w:p>
        </w:tc>
      </w:tr>
      <w:tr w:rsidR="00E93F58" w:rsidRPr="00576D60" w14:paraId="467E0C63" w14:textId="77777777" w:rsidTr="002F32E3">
        <w:trPr>
          <w:cantSplit/>
        </w:trPr>
        <w:tc>
          <w:tcPr>
            <w:tcW w:w="1275" w:type="pct"/>
            <w:tcBorders>
              <w:top w:val="single" w:sz="4" w:space="0" w:color="auto"/>
              <w:bottom w:val="single" w:sz="4" w:space="0" w:color="auto"/>
            </w:tcBorders>
            <w:shd w:val="clear" w:color="auto" w:fill="auto"/>
          </w:tcPr>
          <w:p w14:paraId="147B57AC" w14:textId="77777777" w:rsidR="00E93F58" w:rsidRPr="00576D60" w:rsidRDefault="00E93F58" w:rsidP="002F32E3">
            <w:pPr>
              <w:pStyle w:val="ENoteTableText"/>
            </w:pPr>
            <w:r w:rsidRPr="00576D60">
              <w:t>208, 2004</w:t>
            </w:r>
          </w:p>
        </w:tc>
        <w:tc>
          <w:tcPr>
            <w:tcW w:w="1115" w:type="pct"/>
            <w:tcBorders>
              <w:top w:val="single" w:sz="4" w:space="0" w:color="auto"/>
              <w:bottom w:val="single" w:sz="4" w:space="0" w:color="auto"/>
            </w:tcBorders>
            <w:shd w:val="clear" w:color="auto" w:fill="auto"/>
          </w:tcPr>
          <w:p w14:paraId="5ADF2F8F" w14:textId="77777777" w:rsidR="00E93F58" w:rsidRPr="00576D60" w:rsidRDefault="00E93F58" w:rsidP="002F32E3">
            <w:pPr>
              <w:pStyle w:val="ENoteTableText"/>
            </w:pPr>
            <w:r w:rsidRPr="00576D60">
              <w:t>9 July 2004</w:t>
            </w:r>
          </w:p>
        </w:tc>
        <w:tc>
          <w:tcPr>
            <w:tcW w:w="1509" w:type="pct"/>
            <w:tcBorders>
              <w:top w:val="single" w:sz="4" w:space="0" w:color="auto"/>
              <w:bottom w:val="single" w:sz="4" w:space="0" w:color="auto"/>
            </w:tcBorders>
            <w:shd w:val="clear" w:color="auto" w:fill="auto"/>
          </w:tcPr>
          <w:p w14:paraId="3F306521" w14:textId="77777777" w:rsidR="00E93F58" w:rsidRPr="00576D60" w:rsidRDefault="00E93F58" w:rsidP="002F32E3">
            <w:pPr>
              <w:pStyle w:val="ENoteTableText"/>
            </w:pPr>
            <w:r w:rsidRPr="00576D60">
              <w:t>9 July 2004</w:t>
            </w:r>
          </w:p>
        </w:tc>
        <w:tc>
          <w:tcPr>
            <w:tcW w:w="1101" w:type="pct"/>
            <w:tcBorders>
              <w:top w:val="single" w:sz="4" w:space="0" w:color="auto"/>
              <w:bottom w:val="single" w:sz="4" w:space="0" w:color="auto"/>
            </w:tcBorders>
            <w:shd w:val="clear" w:color="auto" w:fill="auto"/>
          </w:tcPr>
          <w:p w14:paraId="3EA47735" w14:textId="77777777" w:rsidR="00E93F58" w:rsidRPr="00576D60" w:rsidRDefault="00E93F58" w:rsidP="002F32E3">
            <w:pPr>
              <w:pStyle w:val="ENoteTableText"/>
            </w:pPr>
            <w:r w:rsidRPr="00576D60">
              <w:t>—</w:t>
            </w:r>
          </w:p>
        </w:tc>
      </w:tr>
      <w:tr w:rsidR="00E93F58" w:rsidRPr="00576D60" w14:paraId="18A87721" w14:textId="77777777" w:rsidTr="002F32E3">
        <w:trPr>
          <w:cantSplit/>
        </w:trPr>
        <w:tc>
          <w:tcPr>
            <w:tcW w:w="1275" w:type="pct"/>
            <w:tcBorders>
              <w:top w:val="single" w:sz="4" w:space="0" w:color="auto"/>
              <w:bottom w:val="single" w:sz="4" w:space="0" w:color="auto"/>
            </w:tcBorders>
            <w:shd w:val="clear" w:color="auto" w:fill="auto"/>
          </w:tcPr>
          <w:p w14:paraId="6CAE0D86" w14:textId="77777777" w:rsidR="00E93F58" w:rsidRPr="00576D60" w:rsidRDefault="00E93F58" w:rsidP="002F32E3">
            <w:pPr>
              <w:pStyle w:val="ENoteTableText"/>
            </w:pPr>
            <w:r w:rsidRPr="00576D60">
              <w:t>398, 2004</w:t>
            </w:r>
          </w:p>
        </w:tc>
        <w:tc>
          <w:tcPr>
            <w:tcW w:w="1115" w:type="pct"/>
            <w:tcBorders>
              <w:top w:val="single" w:sz="4" w:space="0" w:color="auto"/>
              <w:bottom w:val="single" w:sz="4" w:space="0" w:color="auto"/>
            </w:tcBorders>
            <w:shd w:val="clear" w:color="auto" w:fill="auto"/>
          </w:tcPr>
          <w:p w14:paraId="6C49CC88" w14:textId="77777777" w:rsidR="00E93F58" w:rsidRPr="00576D60" w:rsidRDefault="00E93F58" w:rsidP="002F32E3">
            <w:pPr>
              <w:pStyle w:val="ENoteTableText"/>
            </w:pPr>
            <w:r w:rsidRPr="00576D60">
              <w:t>23 Dec 2004</w:t>
            </w:r>
          </w:p>
        </w:tc>
        <w:tc>
          <w:tcPr>
            <w:tcW w:w="1509" w:type="pct"/>
            <w:tcBorders>
              <w:top w:val="single" w:sz="4" w:space="0" w:color="auto"/>
              <w:bottom w:val="single" w:sz="4" w:space="0" w:color="auto"/>
            </w:tcBorders>
            <w:shd w:val="clear" w:color="auto" w:fill="auto"/>
          </w:tcPr>
          <w:p w14:paraId="66386B2D" w14:textId="77777777" w:rsidR="00E93F58" w:rsidRPr="00576D60" w:rsidRDefault="00E93F58" w:rsidP="002F32E3">
            <w:pPr>
              <w:pStyle w:val="ENoteTableText"/>
            </w:pPr>
            <w:r w:rsidRPr="00576D60">
              <w:t>23 Dec 2004</w:t>
            </w:r>
          </w:p>
        </w:tc>
        <w:tc>
          <w:tcPr>
            <w:tcW w:w="1101" w:type="pct"/>
            <w:tcBorders>
              <w:top w:val="single" w:sz="4" w:space="0" w:color="auto"/>
              <w:bottom w:val="single" w:sz="4" w:space="0" w:color="auto"/>
            </w:tcBorders>
            <w:shd w:val="clear" w:color="auto" w:fill="auto"/>
          </w:tcPr>
          <w:p w14:paraId="1D747B3C" w14:textId="77777777" w:rsidR="00E93F58" w:rsidRPr="00576D60" w:rsidRDefault="00E93F58" w:rsidP="002F32E3">
            <w:pPr>
              <w:pStyle w:val="ENoteTableText"/>
            </w:pPr>
            <w:r w:rsidRPr="00576D60">
              <w:t>—</w:t>
            </w:r>
          </w:p>
        </w:tc>
      </w:tr>
      <w:tr w:rsidR="00E93F58" w:rsidRPr="00576D60" w14:paraId="4F5A3446" w14:textId="77777777" w:rsidTr="002F32E3">
        <w:trPr>
          <w:cantSplit/>
        </w:trPr>
        <w:tc>
          <w:tcPr>
            <w:tcW w:w="1275" w:type="pct"/>
            <w:tcBorders>
              <w:top w:val="single" w:sz="4" w:space="0" w:color="auto"/>
              <w:bottom w:val="single" w:sz="4" w:space="0" w:color="auto"/>
            </w:tcBorders>
            <w:shd w:val="clear" w:color="auto" w:fill="auto"/>
          </w:tcPr>
          <w:p w14:paraId="11EEE7A9" w14:textId="77777777" w:rsidR="00E93F58" w:rsidRPr="00576D60" w:rsidRDefault="00E93F58" w:rsidP="002F32E3">
            <w:pPr>
              <w:pStyle w:val="ENoteTableText"/>
            </w:pPr>
            <w:r w:rsidRPr="00576D60">
              <w:t>399, 2004</w:t>
            </w:r>
          </w:p>
        </w:tc>
        <w:tc>
          <w:tcPr>
            <w:tcW w:w="1115" w:type="pct"/>
            <w:tcBorders>
              <w:top w:val="single" w:sz="4" w:space="0" w:color="auto"/>
              <w:bottom w:val="single" w:sz="4" w:space="0" w:color="auto"/>
            </w:tcBorders>
            <w:shd w:val="clear" w:color="auto" w:fill="auto"/>
          </w:tcPr>
          <w:p w14:paraId="1539FA7D" w14:textId="77777777" w:rsidR="00E93F58" w:rsidRPr="00576D60" w:rsidRDefault="00E93F58" w:rsidP="002F32E3">
            <w:pPr>
              <w:pStyle w:val="ENoteTableText"/>
            </w:pPr>
            <w:r w:rsidRPr="00576D60">
              <w:t>23 Dec 2004</w:t>
            </w:r>
          </w:p>
        </w:tc>
        <w:tc>
          <w:tcPr>
            <w:tcW w:w="1509" w:type="pct"/>
            <w:tcBorders>
              <w:top w:val="single" w:sz="4" w:space="0" w:color="auto"/>
              <w:bottom w:val="single" w:sz="4" w:space="0" w:color="auto"/>
            </w:tcBorders>
            <w:shd w:val="clear" w:color="auto" w:fill="auto"/>
          </w:tcPr>
          <w:p w14:paraId="6C4B5ACF" w14:textId="77777777" w:rsidR="00E93F58" w:rsidRPr="00576D60" w:rsidRDefault="00E93F58" w:rsidP="002F32E3">
            <w:pPr>
              <w:pStyle w:val="ENoteTableText"/>
            </w:pPr>
            <w:r w:rsidRPr="00576D60">
              <w:t>r 1–3 and Sch 1: 23 Dec 2004</w:t>
            </w:r>
            <w:r w:rsidRPr="00576D60">
              <w:br/>
              <w:t>Remainder: 1 Jan 2005</w:t>
            </w:r>
          </w:p>
        </w:tc>
        <w:tc>
          <w:tcPr>
            <w:tcW w:w="1101" w:type="pct"/>
            <w:tcBorders>
              <w:top w:val="single" w:sz="4" w:space="0" w:color="auto"/>
              <w:bottom w:val="single" w:sz="4" w:space="0" w:color="auto"/>
            </w:tcBorders>
            <w:shd w:val="clear" w:color="auto" w:fill="auto"/>
          </w:tcPr>
          <w:p w14:paraId="21E7A964" w14:textId="77777777" w:rsidR="00E93F58" w:rsidRPr="00576D60" w:rsidRDefault="00E93F58" w:rsidP="002F32E3">
            <w:pPr>
              <w:pStyle w:val="ENoteTableText"/>
            </w:pPr>
            <w:r w:rsidRPr="00576D60">
              <w:t>—</w:t>
            </w:r>
          </w:p>
        </w:tc>
      </w:tr>
      <w:tr w:rsidR="00E93F58" w:rsidRPr="00576D60" w14:paraId="34D2447F" w14:textId="77777777" w:rsidTr="002F32E3">
        <w:trPr>
          <w:cantSplit/>
        </w:trPr>
        <w:tc>
          <w:tcPr>
            <w:tcW w:w="1275" w:type="pct"/>
            <w:tcBorders>
              <w:top w:val="single" w:sz="4" w:space="0" w:color="auto"/>
              <w:bottom w:val="single" w:sz="4" w:space="0" w:color="auto"/>
            </w:tcBorders>
            <w:shd w:val="clear" w:color="auto" w:fill="auto"/>
          </w:tcPr>
          <w:p w14:paraId="52943E31" w14:textId="77777777" w:rsidR="00E93F58" w:rsidRPr="00576D60" w:rsidRDefault="00E93F58" w:rsidP="002F32E3">
            <w:pPr>
              <w:pStyle w:val="ENoteTableText"/>
            </w:pPr>
            <w:r w:rsidRPr="00576D60">
              <w:t>31, 2005</w:t>
            </w:r>
          </w:p>
        </w:tc>
        <w:tc>
          <w:tcPr>
            <w:tcW w:w="1115" w:type="pct"/>
            <w:tcBorders>
              <w:top w:val="single" w:sz="4" w:space="0" w:color="auto"/>
              <w:bottom w:val="single" w:sz="4" w:space="0" w:color="auto"/>
            </w:tcBorders>
            <w:shd w:val="clear" w:color="auto" w:fill="auto"/>
          </w:tcPr>
          <w:p w14:paraId="1C22B2B2" w14:textId="77777777" w:rsidR="00E93F58" w:rsidRPr="00576D60" w:rsidRDefault="00E93F58" w:rsidP="002F32E3">
            <w:pPr>
              <w:pStyle w:val="ENoteTableText"/>
            </w:pPr>
            <w:r w:rsidRPr="00576D60">
              <w:t>10 Mar 2005 (F2005L00539)</w:t>
            </w:r>
          </w:p>
        </w:tc>
        <w:tc>
          <w:tcPr>
            <w:tcW w:w="1509" w:type="pct"/>
            <w:tcBorders>
              <w:top w:val="single" w:sz="4" w:space="0" w:color="auto"/>
              <w:bottom w:val="single" w:sz="4" w:space="0" w:color="auto"/>
            </w:tcBorders>
            <w:shd w:val="clear" w:color="auto" w:fill="auto"/>
          </w:tcPr>
          <w:p w14:paraId="7A2E28C8" w14:textId="77777777" w:rsidR="00E93F58" w:rsidRPr="00576D60" w:rsidRDefault="00E93F58" w:rsidP="002F32E3">
            <w:pPr>
              <w:pStyle w:val="ENoteTableText"/>
            </w:pPr>
            <w:r w:rsidRPr="00576D60">
              <w:t>r 1–3 and Sch 1 and 2: 11 Mar 2005</w:t>
            </w:r>
            <w:r w:rsidRPr="00576D60">
              <w:br/>
              <w:t>Remainder: 1 July 2005</w:t>
            </w:r>
          </w:p>
        </w:tc>
        <w:tc>
          <w:tcPr>
            <w:tcW w:w="1101" w:type="pct"/>
            <w:tcBorders>
              <w:top w:val="single" w:sz="4" w:space="0" w:color="auto"/>
              <w:bottom w:val="single" w:sz="4" w:space="0" w:color="auto"/>
            </w:tcBorders>
            <w:shd w:val="clear" w:color="auto" w:fill="auto"/>
          </w:tcPr>
          <w:p w14:paraId="57DF83DB" w14:textId="77777777" w:rsidR="00E93F58" w:rsidRPr="00576D60" w:rsidRDefault="00E93F58" w:rsidP="002F32E3">
            <w:pPr>
              <w:pStyle w:val="ENoteTableText"/>
            </w:pPr>
            <w:r w:rsidRPr="00576D60">
              <w:t>—</w:t>
            </w:r>
          </w:p>
        </w:tc>
      </w:tr>
      <w:tr w:rsidR="00E93F58" w:rsidRPr="00576D60" w14:paraId="2102E2F7" w14:textId="77777777" w:rsidTr="002F32E3">
        <w:trPr>
          <w:cantSplit/>
        </w:trPr>
        <w:tc>
          <w:tcPr>
            <w:tcW w:w="1275" w:type="pct"/>
            <w:tcBorders>
              <w:top w:val="single" w:sz="4" w:space="0" w:color="auto"/>
              <w:bottom w:val="single" w:sz="4" w:space="0" w:color="auto"/>
            </w:tcBorders>
            <w:shd w:val="clear" w:color="auto" w:fill="auto"/>
          </w:tcPr>
          <w:p w14:paraId="019A911C" w14:textId="77777777" w:rsidR="00E93F58" w:rsidRPr="00576D60" w:rsidRDefault="00E93F58" w:rsidP="002F32E3">
            <w:pPr>
              <w:pStyle w:val="ENoteTableText"/>
            </w:pPr>
            <w:r w:rsidRPr="00576D60">
              <w:t>38, 2005</w:t>
            </w:r>
          </w:p>
        </w:tc>
        <w:tc>
          <w:tcPr>
            <w:tcW w:w="1115" w:type="pct"/>
            <w:tcBorders>
              <w:top w:val="single" w:sz="4" w:space="0" w:color="auto"/>
              <w:bottom w:val="single" w:sz="4" w:space="0" w:color="auto"/>
            </w:tcBorders>
            <w:shd w:val="clear" w:color="auto" w:fill="auto"/>
          </w:tcPr>
          <w:p w14:paraId="21BD91E7" w14:textId="77777777" w:rsidR="00E93F58" w:rsidRPr="00576D60" w:rsidRDefault="00E93F58" w:rsidP="002F32E3">
            <w:pPr>
              <w:pStyle w:val="ENoteTableText"/>
            </w:pPr>
            <w:r w:rsidRPr="00576D60">
              <w:t>24 Mar 2005 (F2005L00717)</w:t>
            </w:r>
          </w:p>
        </w:tc>
        <w:tc>
          <w:tcPr>
            <w:tcW w:w="1509" w:type="pct"/>
            <w:tcBorders>
              <w:top w:val="single" w:sz="4" w:space="0" w:color="auto"/>
              <w:bottom w:val="single" w:sz="4" w:space="0" w:color="auto"/>
            </w:tcBorders>
            <w:shd w:val="clear" w:color="auto" w:fill="auto"/>
          </w:tcPr>
          <w:p w14:paraId="0092FD46" w14:textId="77777777" w:rsidR="00E93F58" w:rsidRPr="00576D60" w:rsidRDefault="00E93F58" w:rsidP="002F32E3">
            <w:pPr>
              <w:pStyle w:val="ENoteTableText"/>
            </w:pPr>
            <w:r w:rsidRPr="00576D60">
              <w:t>31 Mar 2005</w:t>
            </w:r>
          </w:p>
        </w:tc>
        <w:tc>
          <w:tcPr>
            <w:tcW w:w="1101" w:type="pct"/>
            <w:tcBorders>
              <w:top w:val="single" w:sz="4" w:space="0" w:color="auto"/>
              <w:bottom w:val="single" w:sz="4" w:space="0" w:color="auto"/>
            </w:tcBorders>
            <w:shd w:val="clear" w:color="auto" w:fill="auto"/>
          </w:tcPr>
          <w:p w14:paraId="220B27CF" w14:textId="77777777" w:rsidR="00E93F58" w:rsidRPr="00576D60" w:rsidRDefault="00E93F58" w:rsidP="002F32E3">
            <w:pPr>
              <w:pStyle w:val="ENoteTableText"/>
            </w:pPr>
            <w:r w:rsidRPr="00576D60">
              <w:t>r 4</w:t>
            </w:r>
          </w:p>
        </w:tc>
      </w:tr>
      <w:tr w:rsidR="00E93F58" w:rsidRPr="00576D60" w14:paraId="02776FB3" w14:textId="77777777" w:rsidTr="002F32E3">
        <w:trPr>
          <w:cantSplit/>
        </w:trPr>
        <w:tc>
          <w:tcPr>
            <w:tcW w:w="1275" w:type="pct"/>
            <w:tcBorders>
              <w:top w:val="single" w:sz="4" w:space="0" w:color="auto"/>
              <w:bottom w:val="single" w:sz="4" w:space="0" w:color="auto"/>
            </w:tcBorders>
            <w:shd w:val="clear" w:color="auto" w:fill="auto"/>
          </w:tcPr>
          <w:p w14:paraId="06C9F241" w14:textId="77777777" w:rsidR="00E93F58" w:rsidRPr="00576D60" w:rsidRDefault="00E93F58" w:rsidP="002F32E3">
            <w:pPr>
              <w:pStyle w:val="ENoteTableText"/>
            </w:pPr>
            <w:r w:rsidRPr="00576D60">
              <w:t>139, 2005</w:t>
            </w:r>
          </w:p>
        </w:tc>
        <w:tc>
          <w:tcPr>
            <w:tcW w:w="1115" w:type="pct"/>
            <w:tcBorders>
              <w:top w:val="single" w:sz="4" w:space="0" w:color="auto"/>
              <w:bottom w:val="single" w:sz="4" w:space="0" w:color="auto"/>
            </w:tcBorders>
            <w:shd w:val="clear" w:color="auto" w:fill="auto"/>
          </w:tcPr>
          <w:p w14:paraId="0C5F56E6" w14:textId="77777777" w:rsidR="00E93F58" w:rsidRPr="00576D60" w:rsidRDefault="00E93F58" w:rsidP="002F32E3">
            <w:pPr>
              <w:pStyle w:val="ENoteTableText"/>
            </w:pPr>
            <w:r w:rsidRPr="00576D60">
              <w:t>17 June 2005 (F2005L01453)</w:t>
            </w:r>
          </w:p>
        </w:tc>
        <w:tc>
          <w:tcPr>
            <w:tcW w:w="1509" w:type="pct"/>
            <w:tcBorders>
              <w:top w:val="single" w:sz="4" w:space="0" w:color="auto"/>
              <w:bottom w:val="single" w:sz="4" w:space="0" w:color="auto"/>
            </w:tcBorders>
            <w:shd w:val="clear" w:color="auto" w:fill="auto"/>
          </w:tcPr>
          <w:p w14:paraId="40955A45" w14:textId="77777777" w:rsidR="00E93F58" w:rsidRPr="00576D60" w:rsidRDefault="00E93F58" w:rsidP="002F32E3">
            <w:pPr>
              <w:pStyle w:val="ENoteTableText"/>
            </w:pPr>
            <w:r w:rsidRPr="00576D60">
              <w:t>18 June 2005</w:t>
            </w:r>
          </w:p>
        </w:tc>
        <w:tc>
          <w:tcPr>
            <w:tcW w:w="1101" w:type="pct"/>
            <w:tcBorders>
              <w:top w:val="single" w:sz="4" w:space="0" w:color="auto"/>
              <w:bottom w:val="single" w:sz="4" w:space="0" w:color="auto"/>
            </w:tcBorders>
            <w:shd w:val="clear" w:color="auto" w:fill="auto"/>
          </w:tcPr>
          <w:p w14:paraId="3CB4E30E" w14:textId="77777777" w:rsidR="00E93F58" w:rsidRPr="00576D60" w:rsidRDefault="00E93F58" w:rsidP="002F32E3">
            <w:pPr>
              <w:pStyle w:val="ENoteTableText"/>
            </w:pPr>
            <w:r w:rsidRPr="00576D60">
              <w:t>—</w:t>
            </w:r>
          </w:p>
        </w:tc>
      </w:tr>
      <w:tr w:rsidR="00E93F58" w:rsidRPr="00576D60" w14:paraId="08FC2DA6" w14:textId="77777777" w:rsidTr="002F32E3">
        <w:trPr>
          <w:cantSplit/>
        </w:trPr>
        <w:tc>
          <w:tcPr>
            <w:tcW w:w="1275" w:type="pct"/>
            <w:tcBorders>
              <w:top w:val="single" w:sz="4" w:space="0" w:color="auto"/>
              <w:bottom w:val="single" w:sz="4" w:space="0" w:color="auto"/>
            </w:tcBorders>
            <w:shd w:val="clear" w:color="auto" w:fill="auto"/>
          </w:tcPr>
          <w:p w14:paraId="3B04D0D0" w14:textId="77777777" w:rsidR="00E93F58" w:rsidRPr="00576D60" w:rsidRDefault="00E93F58" w:rsidP="002F32E3">
            <w:pPr>
              <w:pStyle w:val="ENoteTableText"/>
            </w:pPr>
            <w:r w:rsidRPr="00576D60">
              <w:t>160, 2005</w:t>
            </w:r>
          </w:p>
        </w:tc>
        <w:tc>
          <w:tcPr>
            <w:tcW w:w="1115" w:type="pct"/>
            <w:tcBorders>
              <w:top w:val="single" w:sz="4" w:space="0" w:color="auto"/>
              <w:bottom w:val="single" w:sz="4" w:space="0" w:color="auto"/>
            </w:tcBorders>
            <w:shd w:val="clear" w:color="auto" w:fill="auto"/>
          </w:tcPr>
          <w:p w14:paraId="42CB8A8A" w14:textId="77777777" w:rsidR="00E93F58" w:rsidRPr="00576D60" w:rsidRDefault="00E93F58" w:rsidP="002F32E3">
            <w:pPr>
              <w:pStyle w:val="ENoteTableText"/>
            </w:pPr>
            <w:r w:rsidRPr="00576D60">
              <w:t>8 July 2005 (F2005L01926)</w:t>
            </w:r>
          </w:p>
        </w:tc>
        <w:tc>
          <w:tcPr>
            <w:tcW w:w="1509" w:type="pct"/>
            <w:tcBorders>
              <w:top w:val="single" w:sz="4" w:space="0" w:color="auto"/>
              <w:bottom w:val="single" w:sz="4" w:space="0" w:color="auto"/>
            </w:tcBorders>
            <w:shd w:val="clear" w:color="auto" w:fill="auto"/>
          </w:tcPr>
          <w:p w14:paraId="158EABD9" w14:textId="77777777" w:rsidR="00E93F58" w:rsidRPr="00576D60" w:rsidRDefault="00E93F58" w:rsidP="002F32E3">
            <w:pPr>
              <w:pStyle w:val="ENoteTableText"/>
            </w:pPr>
            <w:r w:rsidRPr="00576D60">
              <w:t xml:space="preserve">9 July 2005 </w:t>
            </w:r>
          </w:p>
        </w:tc>
        <w:tc>
          <w:tcPr>
            <w:tcW w:w="1101" w:type="pct"/>
            <w:tcBorders>
              <w:top w:val="single" w:sz="4" w:space="0" w:color="auto"/>
              <w:bottom w:val="single" w:sz="4" w:space="0" w:color="auto"/>
            </w:tcBorders>
            <w:shd w:val="clear" w:color="auto" w:fill="auto"/>
          </w:tcPr>
          <w:p w14:paraId="1D6363E6" w14:textId="77777777" w:rsidR="00E93F58" w:rsidRPr="00576D60" w:rsidRDefault="00E93F58" w:rsidP="002F32E3">
            <w:pPr>
              <w:pStyle w:val="ENoteTableText"/>
            </w:pPr>
            <w:r w:rsidRPr="00576D60">
              <w:t>—</w:t>
            </w:r>
          </w:p>
        </w:tc>
      </w:tr>
      <w:tr w:rsidR="00E93F58" w:rsidRPr="00576D60" w14:paraId="571FD8E8" w14:textId="77777777" w:rsidTr="002F32E3">
        <w:trPr>
          <w:cantSplit/>
        </w:trPr>
        <w:tc>
          <w:tcPr>
            <w:tcW w:w="1275" w:type="pct"/>
            <w:tcBorders>
              <w:top w:val="single" w:sz="4" w:space="0" w:color="auto"/>
              <w:bottom w:val="single" w:sz="4" w:space="0" w:color="auto"/>
            </w:tcBorders>
            <w:shd w:val="clear" w:color="auto" w:fill="auto"/>
          </w:tcPr>
          <w:p w14:paraId="4D6FEA88" w14:textId="77777777" w:rsidR="00E93F58" w:rsidRPr="00576D60" w:rsidRDefault="00E93F58" w:rsidP="002F32E3">
            <w:pPr>
              <w:pStyle w:val="ENoteTableText"/>
            </w:pPr>
            <w:r w:rsidRPr="00576D60">
              <w:t>324, 2005</w:t>
            </w:r>
          </w:p>
        </w:tc>
        <w:tc>
          <w:tcPr>
            <w:tcW w:w="1115" w:type="pct"/>
            <w:tcBorders>
              <w:top w:val="single" w:sz="4" w:space="0" w:color="auto"/>
              <w:bottom w:val="single" w:sz="4" w:space="0" w:color="auto"/>
            </w:tcBorders>
            <w:shd w:val="clear" w:color="auto" w:fill="auto"/>
          </w:tcPr>
          <w:p w14:paraId="59854A35" w14:textId="77777777" w:rsidR="00E93F58" w:rsidRPr="00576D60" w:rsidRDefault="00E93F58" w:rsidP="002F32E3">
            <w:pPr>
              <w:pStyle w:val="ENoteTableText"/>
            </w:pPr>
            <w:r w:rsidRPr="00576D60">
              <w:t>19 Dec 2005 (F2005L04022)</w:t>
            </w:r>
          </w:p>
        </w:tc>
        <w:tc>
          <w:tcPr>
            <w:tcW w:w="1509" w:type="pct"/>
            <w:tcBorders>
              <w:top w:val="single" w:sz="4" w:space="0" w:color="auto"/>
              <w:bottom w:val="single" w:sz="4" w:space="0" w:color="auto"/>
            </w:tcBorders>
            <w:shd w:val="clear" w:color="auto" w:fill="auto"/>
          </w:tcPr>
          <w:p w14:paraId="697CB52F" w14:textId="77777777" w:rsidR="00E93F58" w:rsidRPr="00576D60" w:rsidRDefault="00E93F58" w:rsidP="002F32E3">
            <w:pPr>
              <w:pStyle w:val="ENoteTableText"/>
            </w:pPr>
            <w:r w:rsidRPr="00576D60">
              <w:t>20 Dec 2005 (r 2)</w:t>
            </w:r>
          </w:p>
        </w:tc>
        <w:tc>
          <w:tcPr>
            <w:tcW w:w="1101" w:type="pct"/>
            <w:tcBorders>
              <w:top w:val="single" w:sz="4" w:space="0" w:color="auto"/>
              <w:bottom w:val="single" w:sz="4" w:space="0" w:color="auto"/>
            </w:tcBorders>
            <w:shd w:val="clear" w:color="auto" w:fill="auto"/>
          </w:tcPr>
          <w:p w14:paraId="703FB56C" w14:textId="77777777" w:rsidR="00E93F58" w:rsidRPr="00576D60" w:rsidRDefault="00E93F58" w:rsidP="002F32E3">
            <w:pPr>
              <w:pStyle w:val="ENoteTableText"/>
            </w:pPr>
            <w:r w:rsidRPr="00576D60">
              <w:t>Sch 2 (item 5), Sch 5 (</w:t>
            </w:r>
            <w:r>
              <w:t>item 2</w:t>
            </w:r>
            <w:r w:rsidRPr="00576D60">
              <w:t>) and Sch 10 (item 8)</w:t>
            </w:r>
          </w:p>
        </w:tc>
      </w:tr>
      <w:tr w:rsidR="00E93F58" w:rsidRPr="00576D60" w14:paraId="0FD29371" w14:textId="77777777" w:rsidTr="002F32E3">
        <w:trPr>
          <w:cantSplit/>
        </w:trPr>
        <w:tc>
          <w:tcPr>
            <w:tcW w:w="1275" w:type="pct"/>
            <w:tcBorders>
              <w:top w:val="single" w:sz="4" w:space="0" w:color="auto"/>
              <w:bottom w:val="single" w:sz="4" w:space="0" w:color="auto"/>
            </w:tcBorders>
            <w:shd w:val="clear" w:color="auto" w:fill="auto"/>
          </w:tcPr>
          <w:p w14:paraId="7BD1330A" w14:textId="77777777" w:rsidR="00E93F58" w:rsidRPr="00576D60" w:rsidRDefault="00E93F58" w:rsidP="002F32E3">
            <w:pPr>
              <w:pStyle w:val="ENoteTableText"/>
            </w:pPr>
            <w:r w:rsidRPr="00576D60">
              <w:t>41, 2006</w:t>
            </w:r>
          </w:p>
        </w:tc>
        <w:tc>
          <w:tcPr>
            <w:tcW w:w="1115" w:type="pct"/>
            <w:tcBorders>
              <w:top w:val="single" w:sz="4" w:space="0" w:color="auto"/>
              <w:bottom w:val="single" w:sz="4" w:space="0" w:color="auto"/>
            </w:tcBorders>
            <w:shd w:val="clear" w:color="auto" w:fill="auto"/>
          </w:tcPr>
          <w:p w14:paraId="23A00304" w14:textId="77777777" w:rsidR="00E93F58" w:rsidRPr="00576D60" w:rsidRDefault="00E93F58" w:rsidP="002F32E3">
            <w:pPr>
              <w:pStyle w:val="ENoteTableText"/>
            </w:pPr>
            <w:r w:rsidRPr="00576D60">
              <w:t>16 Feb 2006 (F2006L00547)</w:t>
            </w:r>
          </w:p>
        </w:tc>
        <w:tc>
          <w:tcPr>
            <w:tcW w:w="1509" w:type="pct"/>
            <w:tcBorders>
              <w:top w:val="single" w:sz="4" w:space="0" w:color="auto"/>
              <w:bottom w:val="single" w:sz="4" w:space="0" w:color="auto"/>
            </w:tcBorders>
            <w:shd w:val="clear" w:color="auto" w:fill="auto"/>
          </w:tcPr>
          <w:p w14:paraId="4CA07802" w14:textId="77777777" w:rsidR="00E93F58" w:rsidRPr="00576D60" w:rsidRDefault="00E93F58" w:rsidP="002F32E3">
            <w:pPr>
              <w:pStyle w:val="ENoteTableText"/>
            </w:pPr>
            <w:r w:rsidRPr="00576D60">
              <w:t>17 Feb 2006</w:t>
            </w:r>
          </w:p>
        </w:tc>
        <w:tc>
          <w:tcPr>
            <w:tcW w:w="1101" w:type="pct"/>
            <w:tcBorders>
              <w:top w:val="single" w:sz="4" w:space="0" w:color="auto"/>
              <w:bottom w:val="single" w:sz="4" w:space="0" w:color="auto"/>
            </w:tcBorders>
            <w:shd w:val="clear" w:color="auto" w:fill="auto"/>
          </w:tcPr>
          <w:p w14:paraId="4328D079" w14:textId="77777777" w:rsidR="00E93F58" w:rsidRPr="00576D60" w:rsidRDefault="00E93F58" w:rsidP="002F32E3">
            <w:pPr>
              <w:pStyle w:val="ENoteTableText"/>
            </w:pPr>
            <w:r w:rsidRPr="00576D60">
              <w:t>—</w:t>
            </w:r>
          </w:p>
        </w:tc>
      </w:tr>
      <w:tr w:rsidR="00E93F58" w:rsidRPr="00576D60" w14:paraId="4B5D9910" w14:textId="77777777" w:rsidTr="002F32E3">
        <w:trPr>
          <w:cantSplit/>
        </w:trPr>
        <w:tc>
          <w:tcPr>
            <w:tcW w:w="1275" w:type="pct"/>
            <w:tcBorders>
              <w:top w:val="single" w:sz="4" w:space="0" w:color="auto"/>
              <w:bottom w:val="single" w:sz="4" w:space="0" w:color="auto"/>
            </w:tcBorders>
            <w:shd w:val="clear" w:color="auto" w:fill="auto"/>
          </w:tcPr>
          <w:p w14:paraId="1C6F1598" w14:textId="77777777" w:rsidR="00E93F58" w:rsidRPr="00576D60" w:rsidRDefault="00E93F58" w:rsidP="002F32E3">
            <w:pPr>
              <w:pStyle w:val="ENoteTableText"/>
            </w:pPr>
            <w:r w:rsidRPr="00576D60">
              <w:t>57, 2006</w:t>
            </w:r>
          </w:p>
        </w:tc>
        <w:tc>
          <w:tcPr>
            <w:tcW w:w="1115" w:type="pct"/>
            <w:tcBorders>
              <w:top w:val="single" w:sz="4" w:space="0" w:color="auto"/>
              <w:bottom w:val="single" w:sz="4" w:space="0" w:color="auto"/>
            </w:tcBorders>
            <w:shd w:val="clear" w:color="auto" w:fill="auto"/>
          </w:tcPr>
          <w:p w14:paraId="6C9C1CE4" w14:textId="77777777" w:rsidR="00E93F58" w:rsidRPr="00576D60" w:rsidRDefault="00E93F58" w:rsidP="002F32E3">
            <w:pPr>
              <w:pStyle w:val="ENoteTableText"/>
            </w:pPr>
            <w:r w:rsidRPr="00576D60">
              <w:t>22 Mar 2006 (F2006L00802)</w:t>
            </w:r>
          </w:p>
        </w:tc>
        <w:tc>
          <w:tcPr>
            <w:tcW w:w="1509" w:type="pct"/>
            <w:tcBorders>
              <w:top w:val="single" w:sz="4" w:space="0" w:color="auto"/>
              <w:bottom w:val="single" w:sz="4" w:space="0" w:color="auto"/>
            </w:tcBorders>
            <w:shd w:val="clear" w:color="auto" w:fill="auto"/>
          </w:tcPr>
          <w:p w14:paraId="3C0D4B44" w14:textId="77777777" w:rsidR="00E93F58" w:rsidRPr="00576D60" w:rsidRDefault="00E93F58" w:rsidP="002F32E3">
            <w:pPr>
              <w:pStyle w:val="ENoteTableText"/>
            </w:pPr>
            <w:r w:rsidRPr="00576D60">
              <w:t>23 Mar 2006</w:t>
            </w:r>
          </w:p>
        </w:tc>
        <w:tc>
          <w:tcPr>
            <w:tcW w:w="1101" w:type="pct"/>
            <w:tcBorders>
              <w:top w:val="single" w:sz="4" w:space="0" w:color="auto"/>
              <w:bottom w:val="single" w:sz="4" w:space="0" w:color="auto"/>
            </w:tcBorders>
            <w:shd w:val="clear" w:color="auto" w:fill="auto"/>
          </w:tcPr>
          <w:p w14:paraId="650D5408" w14:textId="77777777" w:rsidR="00E93F58" w:rsidRPr="00576D60" w:rsidRDefault="00E93F58" w:rsidP="002F32E3">
            <w:pPr>
              <w:pStyle w:val="ENoteTableText"/>
            </w:pPr>
            <w:r w:rsidRPr="00576D60">
              <w:t>—</w:t>
            </w:r>
          </w:p>
        </w:tc>
      </w:tr>
      <w:tr w:rsidR="00E93F58" w:rsidRPr="00576D60" w14:paraId="1E703C72" w14:textId="77777777" w:rsidTr="002F32E3">
        <w:trPr>
          <w:cantSplit/>
        </w:trPr>
        <w:tc>
          <w:tcPr>
            <w:tcW w:w="1275" w:type="pct"/>
            <w:tcBorders>
              <w:top w:val="single" w:sz="4" w:space="0" w:color="auto"/>
              <w:bottom w:val="single" w:sz="4" w:space="0" w:color="auto"/>
            </w:tcBorders>
            <w:shd w:val="clear" w:color="auto" w:fill="auto"/>
          </w:tcPr>
          <w:p w14:paraId="60C5D2B4" w14:textId="77777777" w:rsidR="00E93F58" w:rsidRPr="00576D60" w:rsidRDefault="00E93F58" w:rsidP="002F32E3">
            <w:pPr>
              <w:pStyle w:val="ENoteTableText"/>
            </w:pPr>
            <w:r w:rsidRPr="00576D60">
              <w:t>102, 2006</w:t>
            </w:r>
          </w:p>
        </w:tc>
        <w:tc>
          <w:tcPr>
            <w:tcW w:w="1115" w:type="pct"/>
            <w:tcBorders>
              <w:top w:val="single" w:sz="4" w:space="0" w:color="auto"/>
              <w:bottom w:val="single" w:sz="4" w:space="0" w:color="auto"/>
            </w:tcBorders>
            <w:shd w:val="clear" w:color="auto" w:fill="auto"/>
          </w:tcPr>
          <w:p w14:paraId="20311FB4" w14:textId="77777777" w:rsidR="00E93F58" w:rsidRPr="00576D60" w:rsidRDefault="00E93F58" w:rsidP="002F32E3">
            <w:pPr>
              <w:pStyle w:val="ENoteTableText"/>
            </w:pPr>
            <w:r w:rsidRPr="00576D60">
              <w:t>10 May 2006 (F2006L01444)</w:t>
            </w:r>
          </w:p>
        </w:tc>
        <w:tc>
          <w:tcPr>
            <w:tcW w:w="1509" w:type="pct"/>
            <w:tcBorders>
              <w:top w:val="single" w:sz="4" w:space="0" w:color="auto"/>
              <w:bottom w:val="single" w:sz="4" w:space="0" w:color="auto"/>
            </w:tcBorders>
            <w:shd w:val="clear" w:color="auto" w:fill="auto"/>
          </w:tcPr>
          <w:p w14:paraId="179A0DD7" w14:textId="77777777" w:rsidR="00E93F58" w:rsidRPr="00576D60" w:rsidRDefault="00E93F58" w:rsidP="002F32E3">
            <w:pPr>
              <w:pStyle w:val="ENoteTableText"/>
            </w:pPr>
            <w:r w:rsidRPr="00576D60">
              <w:t>11 May 2006</w:t>
            </w:r>
          </w:p>
        </w:tc>
        <w:tc>
          <w:tcPr>
            <w:tcW w:w="1101" w:type="pct"/>
            <w:tcBorders>
              <w:top w:val="single" w:sz="4" w:space="0" w:color="auto"/>
              <w:bottom w:val="single" w:sz="4" w:space="0" w:color="auto"/>
            </w:tcBorders>
            <w:shd w:val="clear" w:color="auto" w:fill="auto"/>
          </w:tcPr>
          <w:p w14:paraId="0C11B598" w14:textId="77777777" w:rsidR="00E93F58" w:rsidRPr="00576D60" w:rsidRDefault="00E93F58" w:rsidP="002F32E3">
            <w:pPr>
              <w:pStyle w:val="ENoteTableText"/>
            </w:pPr>
            <w:r w:rsidRPr="00576D60">
              <w:t>—</w:t>
            </w:r>
          </w:p>
        </w:tc>
      </w:tr>
      <w:tr w:rsidR="00E93F58" w:rsidRPr="00576D60" w14:paraId="10148DDD" w14:textId="77777777" w:rsidTr="002F32E3">
        <w:trPr>
          <w:cantSplit/>
        </w:trPr>
        <w:tc>
          <w:tcPr>
            <w:tcW w:w="1275" w:type="pct"/>
            <w:tcBorders>
              <w:top w:val="single" w:sz="4" w:space="0" w:color="auto"/>
              <w:bottom w:val="single" w:sz="4" w:space="0" w:color="auto"/>
            </w:tcBorders>
            <w:shd w:val="clear" w:color="auto" w:fill="auto"/>
          </w:tcPr>
          <w:p w14:paraId="52CBAC0B" w14:textId="77777777" w:rsidR="00E93F58" w:rsidRPr="00576D60" w:rsidRDefault="00E93F58" w:rsidP="002F32E3">
            <w:pPr>
              <w:pStyle w:val="ENoteTableText"/>
            </w:pPr>
            <w:r w:rsidRPr="00576D60">
              <w:t>126, 2006</w:t>
            </w:r>
          </w:p>
        </w:tc>
        <w:tc>
          <w:tcPr>
            <w:tcW w:w="1115" w:type="pct"/>
            <w:tcBorders>
              <w:top w:val="single" w:sz="4" w:space="0" w:color="auto"/>
              <w:bottom w:val="single" w:sz="4" w:space="0" w:color="auto"/>
            </w:tcBorders>
            <w:shd w:val="clear" w:color="auto" w:fill="auto"/>
          </w:tcPr>
          <w:p w14:paraId="6A93F889" w14:textId="77777777" w:rsidR="00E93F58" w:rsidRPr="00576D60" w:rsidRDefault="00E93F58" w:rsidP="002F32E3">
            <w:pPr>
              <w:pStyle w:val="ENoteTableText"/>
            </w:pPr>
            <w:r w:rsidRPr="00576D60">
              <w:t>2 June 2006 (F2006L01617)</w:t>
            </w:r>
          </w:p>
        </w:tc>
        <w:tc>
          <w:tcPr>
            <w:tcW w:w="1509" w:type="pct"/>
            <w:tcBorders>
              <w:top w:val="single" w:sz="4" w:space="0" w:color="auto"/>
              <w:bottom w:val="single" w:sz="4" w:space="0" w:color="auto"/>
            </w:tcBorders>
            <w:shd w:val="clear" w:color="auto" w:fill="auto"/>
          </w:tcPr>
          <w:p w14:paraId="49B2981B" w14:textId="77777777" w:rsidR="00E93F58" w:rsidRPr="00576D60" w:rsidRDefault="00E93F58" w:rsidP="002F32E3">
            <w:pPr>
              <w:pStyle w:val="ENoteTableText"/>
            </w:pPr>
            <w:r w:rsidRPr="00576D60">
              <w:t>3 June 2006</w:t>
            </w:r>
          </w:p>
        </w:tc>
        <w:tc>
          <w:tcPr>
            <w:tcW w:w="1101" w:type="pct"/>
            <w:tcBorders>
              <w:top w:val="single" w:sz="4" w:space="0" w:color="auto"/>
              <w:bottom w:val="single" w:sz="4" w:space="0" w:color="auto"/>
            </w:tcBorders>
            <w:shd w:val="clear" w:color="auto" w:fill="auto"/>
          </w:tcPr>
          <w:p w14:paraId="638212B5" w14:textId="77777777" w:rsidR="00E93F58" w:rsidRPr="00576D60" w:rsidRDefault="00E93F58" w:rsidP="002F32E3">
            <w:pPr>
              <w:pStyle w:val="ENoteTableText"/>
            </w:pPr>
            <w:r w:rsidRPr="00576D60">
              <w:t>—</w:t>
            </w:r>
          </w:p>
        </w:tc>
      </w:tr>
      <w:tr w:rsidR="00E93F58" w:rsidRPr="00576D60" w14:paraId="75940AAF" w14:textId="77777777" w:rsidTr="002F32E3">
        <w:trPr>
          <w:cantSplit/>
        </w:trPr>
        <w:tc>
          <w:tcPr>
            <w:tcW w:w="1275" w:type="pct"/>
            <w:tcBorders>
              <w:top w:val="single" w:sz="4" w:space="0" w:color="auto"/>
              <w:bottom w:val="single" w:sz="4" w:space="0" w:color="auto"/>
            </w:tcBorders>
            <w:shd w:val="clear" w:color="auto" w:fill="auto"/>
          </w:tcPr>
          <w:p w14:paraId="7F92FE2B" w14:textId="77777777" w:rsidR="00E93F58" w:rsidRPr="00576D60" w:rsidRDefault="00E93F58" w:rsidP="002F32E3">
            <w:pPr>
              <w:pStyle w:val="ENoteTableText"/>
            </w:pPr>
            <w:r w:rsidRPr="00576D60">
              <w:t>362, 2006</w:t>
            </w:r>
          </w:p>
        </w:tc>
        <w:tc>
          <w:tcPr>
            <w:tcW w:w="1115" w:type="pct"/>
            <w:tcBorders>
              <w:top w:val="single" w:sz="4" w:space="0" w:color="auto"/>
              <w:bottom w:val="single" w:sz="4" w:space="0" w:color="auto"/>
            </w:tcBorders>
            <w:shd w:val="clear" w:color="auto" w:fill="auto"/>
          </w:tcPr>
          <w:p w14:paraId="452DC23D" w14:textId="77777777" w:rsidR="00E93F58" w:rsidRPr="00576D60" w:rsidRDefault="00E93F58" w:rsidP="002F32E3">
            <w:pPr>
              <w:pStyle w:val="ENoteTableText"/>
            </w:pPr>
            <w:r w:rsidRPr="00576D60">
              <w:t>14 Dec 2006 (F2006L03961)</w:t>
            </w:r>
          </w:p>
        </w:tc>
        <w:tc>
          <w:tcPr>
            <w:tcW w:w="1509" w:type="pct"/>
            <w:tcBorders>
              <w:top w:val="single" w:sz="4" w:space="0" w:color="auto"/>
              <w:bottom w:val="single" w:sz="4" w:space="0" w:color="auto"/>
            </w:tcBorders>
            <w:shd w:val="clear" w:color="auto" w:fill="auto"/>
          </w:tcPr>
          <w:p w14:paraId="07817980" w14:textId="77777777" w:rsidR="00E93F58" w:rsidRPr="00576D60" w:rsidRDefault="00E93F58" w:rsidP="002F32E3">
            <w:pPr>
              <w:pStyle w:val="ENoteTableText"/>
            </w:pPr>
            <w:r w:rsidRPr="00576D60">
              <w:t>15 Dec 2006</w:t>
            </w:r>
          </w:p>
        </w:tc>
        <w:tc>
          <w:tcPr>
            <w:tcW w:w="1101" w:type="pct"/>
            <w:tcBorders>
              <w:top w:val="single" w:sz="4" w:space="0" w:color="auto"/>
              <w:bottom w:val="single" w:sz="4" w:space="0" w:color="auto"/>
            </w:tcBorders>
            <w:shd w:val="clear" w:color="auto" w:fill="auto"/>
          </w:tcPr>
          <w:p w14:paraId="0D1EE717" w14:textId="77777777" w:rsidR="00E93F58" w:rsidRPr="00576D60" w:rsidRDefault="00E93F58" w:rsidP="002F32E3">
            <w:pPr>
              <w:pStyle w:val="ENoteTableText"/>
            </w:pPr>
            <w:r w:rsidRPr="00576D60">
              <w:t>—</w:t>
            </w:r>
          </w:p>
        </w:tc>
      </w:tr>
      <w:tr w:rsidR="00E93F58" w:rsidRPr="00576D60" w14:paraId="48D087DE" w14:textId="77777777" w:rsidTr="002F32E3">
        <w:trPr>
          <w:cantSplit/>
        </w:trPr>
        <w:tc>
          <w:tcPr>
            <w:tcW w:w="1275" w:type="pct"/>
            <w:tcBorders>
              <w:top w:val="single" w:sz="4" w:space="0" w:color="auto"/>
              <w:bottom w:val="single" w:sz="4" w:space="0" w:color="auto"/>
            </w:tcBorders>
            <w:shd w:val="clear" w:color="auto" w:fill="auto"/>
          </w:tcPr>
          <w:p w14:paraId="4B6AD7A8" w14:textId="77777777" w:rsidR="00E93F58" w:rsidRPr="00576D60" w:rsidRDefault="00E93F58" w:rsidP="002F32E3">
            <w:pPr>
              <w:pStyle w:val="ENoteTableText"/>
            </w:pPr>
            <w:r w:rsidRPr="00576D60">
              <w:t>102, 2007</w:t>
            </w:r>
          </w:p>
        </w:tc>
        <w:tc>
          <w:tcPr>
            <w:tcW w:w="1115" w:type="pct"/>
            <w:tcBorders>
              <w:top w:val="single" w:sz="4" w:space="0" w:color="auto"/>
              <w:bottom w:val="single" w:sz="4" w:space="0" w:color="auto"/>
            </w:tcBorders>
            <w:shd w:val="clear" w:color="auto" w:fill="auto"/>
          </w:tcPr>
          <w:p w14:paraId="5CE01A14" w14:textId="77777777" w:rsidR="00E93F58" w:rsidRPr="00576D60" w:rsidRDefault="00E93F58" w:rsidP="002F32E3">
            <w:pPr>
              <w:pStyle w:val="ENoteTableText"/>
            </w:pPr>
            <w:r w:rsidRPr="00576D60">
              <w:t>27 Apr 2007 (F2007L01122)</w:t>
            </w:r>
          </w:p>
        </w:tc>
        <w:tc>
          <w:tcPr>
            <w:tcW w:w="1509" w:type="pct"/>
            <w:tcBorders>
              <w:top w:val="single" w:sz="4" w:space="0" w:color="auto"/>
              <w:bottom w:val="single" w:sz="4" w:space="0" w:color="auto"/>
            </w:tcBorders>
            <w:shd w:val="clear" w:color="auto" w:fill="auto"/>
          </w:tcPr>
          <w:p w14:paraId="1C554723" w14:textId="77777777" w:rsidR="00E93F58" w:rsidRPr="00576D60" w:rsidRDefault="00E93F58" w:rsidP="002F32E3">
            <w:pPr>
              <w:pStyle w:val="ENoteTableText"/>
            </w:pPr>
            <w:r w:rsidRPr="00576D60">
              <w:t>1 July 2007</w:t>
            </w:r>
          </w:p>
        </w:tc>
        <w:tc>
          <w:tcPr>
            <w:tcW w:w="1101" w:type="pct"/>
            <w:tcBorders>
              <w:top w:val="single" w:sz="4" w:space="0" w:color="auto"/>
              <w:bottom w:val="single" w:sz="4" w:space="0" w:color="auto"/>
            </w:tcBorders>
            <w:shd w:val="clear" w:color="auto" w:fill="auto"/>
          </w:tcPr>
          <w:p w14:paraId="0E96C357" w14:textId="77777777" w:rsidR="00E93F58" w:rsidRPr="00576D60" w:rsidRDefault="00E93F58" w:rsidP="002F32E3">
            <w:pPr>
              <w:pStyle w:val="ENoteTableText"/>
            </w:pPr>
            <w:r w:rsidRPr="00576D60">
              <w:t>—</w:t>
            </w:r>
          </w:p>
        </w:tc>
      </w:tr>
      <w:tr w:rsidR="00E93F58" w:rsidRPr="00576D60" w14:paraId="58D056FE" w14:textId="77777777" w:rsidTr="002F32E3">
        <w:trPr>
          <w:cantSplit/>
        </w:trPr>
        <w:tc>
          <w:tcPr>
            <w:tcW w:w="1275" w:type="pct"/>
            <w:tcBorders>
              <w:top w:val="single" w:sz="4" w:space="0" w:color="auto"/>
              <w:bottom w:val="single" w:sz="4" w:space="0" w:color="auto"/>
            </w:tcBorders>
            <w:shd w:val="clear" w:color="auto" w:fill="auto"/>
          </w:tcPr>
          <w:p w14:paraId="02F93063" w14:textId="77777777" w:rsidR="00E93F58" w:rsidRPr="00576D60" w:rsidRDefault="00E93F58" w:rsidP="002F32E3">
            <w:pPr>
              <w:pStyle w:val="ENoteTableText"/>
            </w:pPr>
            <w:r w:rsidRPr="00576D60">
              <w:t>193, 2007</w:t>
            </w:r>
          </w:p>
        </w:tc>
        <w:tc>
          <w:tcPr>
            <w:tcW w:w="1115" w:type="pct"/>
            <w:tcBorders>
              <w:top w:val="single" w:sz="4" w:space="0" w:color="auto"/>
              <w:bottom w:val="single" w:sz="4" w:space="0" w:color="auto"/>
            </w:tcBorders>
            <w:shd w:val="clear" w:color="auto" w:fill="auto"/>
          </w:tcPr>
          <w:p w14:paraId="2CC1E62F" w14:textId="77777777" w:rsidR="00E93F58" w:rsidRPr="00576D60" w:rsidRDefault="00E93F58" w:rsidP="002F32E3">
            <w:pPr>
              <w:pStyle w:val="ENoteTableText"/>
            </w:pPr>
            <w:r w:rsidRPr="00576D60">
              <w:t>29 June 2007 (F2007L01900)</w:t>
            </w:r>
          </w:p>
        </w:tc>
        <w:tc>
          <w:tcPr>
            <w:tcW w:w="1509" w:type="pct"/>
            <w:tcBorders>
              <w:top w:val="single" w:sz="4" w:space="0" w:color="auto"/>
              <w:bottom w:val="single" w:sz="4" w:space="0" w:color="auto"/>
            </w:tcBorders>
            <w:shd w:val="clear" w:color="auto" w:fill="auto"/>
          </w:tcPr>
          <w:p w14:paraId="25A876F7" w14:textId="77777777" w:rsidR="00E93F58" w:rsidRPr="00576D60" w:rsidRDefault="00E93F58" w:rsidP="002F32E3">
            <w:pPr>
              <w:pStyle w:val="ENoteTableText"/>
            </w:pPr>
            <w:r w:rsidRPr="00576D60">
              <w:t>30 June 2007</w:t>
            </w:r>
          </w:p>
        </w:tc>
        <w:tc>
          <w:tcPr>
            <w:tcW w:w="1101" w:type="pct"/>
            <w:tcBorders>
              <w:top w:val="single" w:sz="4" w:space="0" w:color="auto"/>
              <w:bottom w:val="single" w:sz="4" w:space="0" w:color="auto"/>
            </w:tcBorders>
            <w:shd w:val="clear" w:color="auto" w:fill="auto"/>
          </w:tcPr>
          <w:p w14:paraId="4AE89CB3" w14:textId="77777777" w:rsidR="00E93F58" w:rsidRPr="00576D60" w:rsidRDefault="00E93F58" w:rsidP="002F32E3">
            <w:pPr>
              <w:pStyle w:val="ENoteTableText"/>
            </w:pPr>
            <w:r w:rsidRPr="00576D60">
              <w:t>r 3</w:t>
            </w:r>
          </w:p>
        </w:tc>
      </w:tr>
      <w:tr w:rsidR="00E93F58" w:rsidRPr="00576D60" w14:paraId="4A68B9DE" w14:textId="77777777" w:rsidTr="002F32E3">
        <w:trPr>
          <w:cantSplit/>
        </w:trPr>
        <w:tc>
          <w:tcPr>
            <w:tcW w:w="1275" w:type="pct"/>
            <w:tcBorders>
              <w:top w:val="single" w:sz="4" w:space="0" w:color="auto"/>
              <w:bottom w:val="single" w:sz="4" w:space="0" w:color="auto"/>
            </w:tcBorders>
            <w:shd w:val="clear" w:color="auto" w:fill="auto"/>
          </w:tcPr>
          <w:p w14:paraId="4BA6318E" w14:textId="77777777" w:rsidR="00E93F58" w:rsidRPr="00576D60" w:rsidRDefault="00E93F58" w:rsidP="002F32E3">
            <w:pPr>
              <w:pStyle w:val="ENoteTableText"/>
            </w:pPr>
            <w:r w:rsidRPr="00576D60">
              <w:t>194, 2007</w:t>
            </w:r>
          </w:p>
        </w:tc>
        <w:tc>
          <w:tcPr>
            <w:tcW w:w="1115" w:type="pct"/>
            <w:tcBorders>
              <w:top w:val="single" w:sz="4" w:space="0" w:color="auto"/>
              <w:bottom w:val="single" w:sz="4" w:space="0" w:color="auto"/>
            </w:tcBorders>
            <w:shd w:val="clear" w:color="auto" w:fill="auto"/>
          </w:tcPr>
          <w:p w14:paraId="41C7E1EA" w14:textId="77777777" w:rsidR="00E93F58" w:rsidRPr="00576D60" w:rsidRDefault="00E93F58" w:rsidP="002F32E3">
            <w:pPr>
              <w:pStyle w:val="ENoteTableText"/>
            </w:pPr>
            <w:r w:rsidRPr="00576D60">
              <w:t>29 June 2007 (F2007L01904)</w:t>
            </w:r>
          </w:p>
        </w:tc>
        <w:tc>
          <w:tcPr>
            <w:tcW w:w="1509" w:type="pct"/>
            <w:tcBorders>
              <w:top w:val="single" w:sz="4" w:space="0" w:color="auto"/>
              <w:bottom w:val="single" w:sz="4" w:space="0" w:color="auto"/>
            </w:tcBorders>
            <w:shd w:val="clear" w:color="auto" w:fill="auto"/>
          </w:tcPr>
          <w:p w14:paraId="2C3292DE" w14:textId="77777777" w:rsidR="00E93F58" w:rsidRPr="00576D60" w:rsidRDefault="00E93F58" w:rsidP="002F32E3">
            <w:pPr>
              <w:pStyle w:val="ENoteTableText"/>
            </w:pPr>
            <w:r w:rsidRPr="00576D60">
              <w:t>30 June 2007</w:t>
            </w:r>
          </w:p>
        </w:tc>
        <w:tc>
          <w:tcPr>
            <w:tcW w:w="1101" w:type="pct"/>
            <w:tcBorders>
              <w:top w:val="single" w:sz="4" w:space="0" w:color="auto"/>
              <w:bottom w:val="single" w:sz="4" w:space="0" w:color="auto"/>
            </w:tcBorders>
            <w:shd w:val="clear" w:color="auto" w:fill="auto"/>
          </w:tcPr>
          <w:p w14:paraId="2B3925B7" w14:textId="77777777" w:rsidR="00E93F58" w:rsidRPr="00576D60" w:rsidRDefault="00E93F58" w:rsidP="002F32E3">
            <w:pPr>
              <w:pStyle w:val="ENoteTableText"/>
            </w:pPr>
            <w:r w:rsidRPr="00576D60">
              <w:t>—</w:t>
            </w:r>
          </w:p>
        </w:tc>
      </w:tr>
      <w:tr w:rsidR="00E93F58" w:rsidRPr="00576D60" w14:paraId="303EC6D0" w14:textId="77777777" w:rsidTr="002F32E3">
        <w:trPr>
          <w:cantSplit/>
        </w:trPr>
        <w:tc>
          <w:tcPr>
            <w:tcW w:w="1275" w:type="pct"/>
            <w:tcBorders>
              <w:top w:val="single" w:sz="4" w:space="0" w:color="auto"/>
              <w:bottom w:val="single" w:sz="4" w:space="0" w:color="auto"/>
            </w:tcBorders>
            <w:shd w:val="clear" w:color="auto" w:fill="auto"/>
          </w:tcPr>
          <w:p w14:paraId="2EAF5211" w14:textId="77777777" w:rsidR="00E93F58" w:rsidRPr="00576D60" w:rsidRDefault="00E93F58" w:rsidP="002F32E3">
            <w:pPr>
              <w:pStyle w:val="ENoteTableText"/>
            </w:pPr>
            <w:r w:rsidRPr="00576D60">
              <w:t>195, 2007</w:t>
            </w:r>
          </w:p>
        </w:tc>
        <w:tc>
          <w:tcPr>
            <w:tcW w:w="1115" w:type="pct"/>
            <w:tcBorders>
              <w:top w:val="single" w:sz="4" w:space="0" w:color="auto"/>
              <w:bottom w:val="single" w:sz="4" w:space="0" w:color="auto"/>
            </w:tcBorders>
            <w:shd w:val="clear" w:color="auto" w:fill="auto"/>
          </w:tcPr>
          <w:p w14:paraId="16EC168B" w14:textId="77777777" w:rsidR="00E93F58" w:rsidRPr="00576D60" w:rsidRDefault="00E93F58" w:rsidP="002F32E3">
            <w:pPr>
              <w:pStyle w:val="ENoteTableText"/>
            </w:pPr>
            <w:r w:rsidRPr="00576D60">
              <w:t>29 June 2007 (F2007L01901)</w:t>
            </w:r>
          </w:p>
        </w:tc>
        <w:tc>
          <w:tcPr>
            <w:tcW w:w="1509" w:type="pct"/>
            <w:tcBorders>
              <w:top w:val="single" w:sz="4" w:space="0" w:color="auto"/>
              <w:bottom w:val="single" w:sz="4" w:space="0" w:color="auto"/>
            </w:tcBorders>
            <w:shd w:val="clear" w:color="auto" w:fill="auto"/>
          </w:tcPr>
          <w:p w14:paraId="7A298718" w14:textId="77777777" w:rsidR="00E93F58" w:rsidRPr="00576D60" w:rsidRDefault="00E93F58" w:rsidP="002F32E3">
            <w:pPr>
              <w:pStyle w:val="ENoteTableText"/>
            </w:pPr>
            <w:r w:rsidRPr="00576D60">
              <w:t>1 July 2007</w:t>
            </w:r>
          </w:p>
        </w:tc>
        <w:tc>
          <w:tcPr>
            <w:tcW w:w="1101" w:type="pct"/>
            <w:tcBorders>
              <w:top w:val="single" w:sz="4" w:space="0" w:color="auto"/>
              <w:bottom w:val="single" w:sz="4" w:space="0" w:color="auto"/>
            </w:tcBorders>
            <w:shd w:val="clear" w:color="auto" w:fill="auto"/>
          </w:tcPr>
          <w:p w14:paraId="26309131" w14:textId="77777777" w:rsidR="00E93F58" w:rsidRPr="00576D60" w:rsidRDefault="00E93F58" w:rsidP="002F32E3">
            <w:pPr>
              <w:pStyle w:val="ENoteTableText"/>
            </w:pPr>
            <w:r w:rsidRPr="00576D60">
              <w:t>—</w:t>
            </w:r>
          </w:p>
        </w:tc>
      </w:tr>
      <w:tr w:rsidR="00E93F58" w:rsidRPr="00576D60" w14:paraId="29CAB06C" w14:textId="77777777" w:rsidTr="002F32E3">
        <w:trPr>
          <w:cantSplit/>
        </w:trPr>
        <w:tc>
          <w:tcPr>
            <w:tcW w:w="1275" w:type="pct"/>
            <w:tcBorders>
              <w:top w:val="single" w:sz="4" w:space="0" w:color="auto"/>
              <w:bottom w:val="single" w:sz="4" w:space="0" w:color="auto"/>
            </w:tcBorders>
            <w:shd w:val="clear" w:color="auto" w:fill="auto"/>
          </w:tcPr>
          <w:p w14:paraId="735DF45F" w14:textId="77777777" w:rsidR="00E93F58" w:rsidRPr="00576D60" w:rsidRDefault="00E93F58" w:rsidP="002F32E3">
            <w:pPr>
              <w:pStyle w:val="ENoteTableText"/>
            </w:pPr>
            <w:r w:rsidRPr="00576D60">
              <w:t>196, 2007</w:t>
            </w:r>
          </w:p>
        </w:tc>
        <w:tc>
          <w:tcPr>
            <w:tcW w:w="1115" w:type="pct"/>
            <w:tcBorders>
              <w:top w:val="single" w:sz="4" w:space="0" w:color="auto"/>
              <w:bottom w:val="single" w:sz="4" w:space="0" w:color="auto"/>
            </w:tcBorders>
            <w:shd w:val="clear" w:color="auto" w:fill="auto"/>
          </w:tcPr>
          <w:p w14:paraId="7674E668" w14:textId="77777777" w:rsidR="00E93F58" w:rsidRPr="00576D60" w:rsidRDefault="00E93F58" w:rsidP="002F32E3">
            <w:pPr>
              <w:pStyle w:val="ENoteTableText"/>
            </w:pPr>
            <w:r w:rsidRPr="00576D60">
              <w:t>29 June 2007 (F2007L01903)</w:t>
            </w:r>
          </w:p>
        </w:tc>
        <w:tc>
          <w:tcPr>
            <w:tcW w:w="1509" w:type="pct"/>
            <w:tcBorders>
              <w:top w:val="single" w:sz="4" w:space="0" w:color="auto"/>
              <w:bottom w:val="single" w:sz="4" w:space="0" w:color="auto"/>
            </w:tcBorders>
            <w:shd w:val="clear" w:color="auto" w:fill="auto"/>
          </w:tcPr>
          <w:p w14:paraId="7DB81465" w14:textId="77777777" w:rsidR="00E93F58" w:rsidRPr="00576D60" w:rsidRDefault="00E93F58" w:rsidP="002F32E3">
            <w:pPr>
              <w:pStyle w:val="ENoteTableText"/>
            </w:pPr>
            <w:r w:rsidRPr="00576D60">
              <w:t>1 July 2007</w:t>
            </w:r>
          </w:p>
        </w:tc>
        <w:tc>
          <w:tcPr>
            <w:tcW w:w="1101" w:type="pct"/>
            <w:tcBorders>
              <w:top w:val="single" w:sz="4" w:space="0" w:color="auto"/>
              <w:bottom w:val="single" w:sz="4" w:space="0" w:color="auto"/>
            </w:tcBorders>
            <w:shd w:val="clear" w:color="auto" w:fill="auto"/>
          </w:tcPr>
          <w:p w14:paraId="19F36732" w14:textId="77777777" w:rsidR="00E93F58" w:rsidRPr="00576D60" w:rsidRDefault="00E93F58" w:rsidP="002F32E3">
            <w:pPr>
              <w:pStyle w:val="ENoteTableText"/>
            </w:pPr>
            <w:r w:rsidRPr="00576D60">
              <w:t>—</w:t>
            </w:r>
          </w:p>
        </w:tc>
      </w:tr>
      <w:tr w:rsidR="00E93F58" w:rsidRPr="00576D60" w14:paraId="1DE46823" w14:textId="77777777" w:rsidTr="002F32E3">
        <w:trPr>
          <w:cantSplit/>
        </w:trPr>
        <w:tc>
          <w:tcPr>
            <w:tcW w:w="1275" w:type="pct"/>
            <w:tcBorders>
              <w:top w:val="single" w:sz="4" w:space="0" w:color="auto"/>
              <w:bottom w:val="single" w:sz="4" w:space="0" w:color="auto"/>
            </w:tcBorders>
            <w:shd w:val="clear" w:color="auto" w:fill="auto"/>
          </w:tcPr>
          <w:p w14:paraId="5FDEEF1B" w14:textId="77777777" w:rsidR="00E93F58" w:rsidRPr="00576D60" w:rsidRDefault="00E93F58" w:rsidP="002F32E3">
            <w:pPr>
              <w:pStyle w:val="ENoteTableText"/>
            </w:pPr>
            <w:r w:rsidRPr="00576D60">
              <w:t>197, 2007</w:t>
            </w:r>
          </w:p>
        </w:tc>
        <w:tc>
          <w:tcPr>
            <w:tcW w:w="1115" w:type="pct"/>
            <w:tcBorders>
              <w:top w:val="single" w:sz="4" w:space="0" w:color="auto"/>
              <w:bottom w:val="single" w:sz="4" w:space="0" w:color="auto"/>
            </w:tcBorders>
            <w:shd w:val="clear" w:color="auto" w:fill="auto"/>
          </w:tcPr>
          <w:p w14:paraId="0687D0C7" w14:textId="77777777" w:rsidR="00E93F58" w:rsidRPr="00576D60" w:rsidRDefault="00E93F58" w:rsidP="002F32E3">
            <w:pPr>
              <w:pStyle w:val="ENoteTableText"/>
            </w:pPr>
            <w:r w:rsidRPr="00576D60">
              <w:t>29 June 2007 (F2007L01889)</w:t>
            </w:r>
          </w:p>
        </w:tc>
        <w:tc>
          <w:tcPr>
            <w:tcW w:w="1509" w:type="pct"/>
            <w:tcBorders>
              <w:top w:val="single" w:sz="4" w:space="0" w:color="auto"/>
              <w:bottom w:val="single" w:sz="4" w:space="0" w:color="auto"/>
            </w:tcBorders>
            <w:shd w:val="clear" w:color="auto" w:fill="auto"/>
          </w:tcPr>
          <w:p w14:paraId="23612056" w14:textId="77777777" w:rsidR="00E93F58" w:rsidRPr="00576D60" w:rsidRDefault="00E93F58" w:rsidP="002F32E3">
            <w:pPr>
              <w:pStyle w:val="ENoteTableText"/>
            </w:pPr>
            <w:r w:rsidRPr="00576D60">
              <w:t>1 July 2007</w:t>
            </w:r>
          </w:p>
        </w:tc>
        <w:tc>
          <w:tcPr>
            <w:tcW w:w="1101" w:type="pct"/>
            <w:tcBorders>
              <w:top w:val="single" w:sz="4" w:space="0" w:color="auto"/>
              <w:bottom w:val="single" w:sz="4" w:space="0" w:color="auto"/>
            </w:tcBorders>
            <w:shd w:val="clear" w:color="auto" w:fill="auto"/>
          </w:tcPr>
          <w:p w14:paraId="60224600" w14:textId="77777777" w:rsidR="00E93F58" w:rsidRPr="00576D60" w:rsidRDefault="00E93F58" w:rsidP="002F32E3">
            <w:pPr>
              <w:pStyle w:val="ENoteTableText"/>
            </w:pPr>
            <w:r w:rsidRPr="00576D60">
              <w:t>—</w:t>
            </w:r>
          </w:p>
        </w:tc>
      </w:tr>
      <w:tr w:rsidR="00E93F58" w:rsidRPr="00576D60" w14:paraId="7DC0FFB8" w14:textId="77777777" w:rsidTr="002F32E3">
        <w:trPr>
          <w:cantSplit/>
        </w:trPr>
        <w:tc>
          <w:tcPr>
            <w:tcW w:w="1275" w:type="pct"/>
            <w:tcBorders>
              <w:top w:val="single" w:sz="4" w:space="0" w:color="auto"/>
              <w:bottom w:val="single" w:sz="4" w:space="0" w:color="auto"/>
            </w:tcBorders>
            <w:shd w:val="clear" w:color="auto" w:fill="auto"/>
          </w:tcPr>
          <w:p w14:paraId="5E7BBD09" w14:textId="77777777" w:rsidR="00E93F58" w:rsidRPr="00576D60" w:rsidRDefault="00E93F58" w:rsidP="002F32E3">
            <w:pPr>
              <w:pStyle w:val="ENoteTableText"/>
            </w:pPr>
            <w:r w:rsidRPr="00576D60">
              <w:t>198, 2007</w:t>
            </w:r>
          </w:p>
        </w:tc>
        <w:tc>
          <w:tcPr>
            <w:tcW w:w="1115" w:type="pct"/>
            <w:tcBorders>
              <w:top w:val="single" w:sz="4" w:space="0" w:color="auto"/>
              <w:bottom w:val="single" w:sz="4" w:space="0" w:color="auto"/>
            </w:tcBorders>
            <w:shd w:val="clear" w:color="auto" w:fill="auto"/>
          </w:tcPr>
          <w:p w14:paraId="4C0FF68F" w14:textId="77777777" w:rsidR="00E93F58" w:rsidRPr="00576D60" w:rsidRDefault="00E93F58" w:rsidP="002F32E3">
            <w:pPr>
              <w:pStyle w:val="ENoteTableText"/>
            </w:pPr>
            <w:r w:rsidRPr="00576D60">
              <w:t>29 June 2007 (F2007L01899)</w:t>
            </w:r>
          </w:p>
        </w:tc>
        <w:tc>
          <w:tcPr>
            <w:tcW w:w="1509" w:type="pct"/>
            <w:tcBorders>
              <w:top w:val="single" w:sz="4" w:space="0" w:color="auto"/>
              <w:bottom w:val="single" w:sz="4" w:space="0" w:color="auto"/>
            </w:tcBorders>
            <w:shd w:val="clear" w:color="auto" w:fill="auto"/>
          </w:tcPr>
          <w:p w14:paraId="1B72A232" w14:textId="77777777" w:rsidR="00E93F58" w:rsidRPr="00576D60" w:rsidRDefault="00E93F58" w:rsidP="002F32E3">
            <w:pPr>
              <w:pStyle w:val="ENoteTableText"/>
            </w:pPr>
            <w:r w:rsidRPr="00576D60">
              <w:t>r 1–3 and Sch 1: 1 July 2007</w:t>
            </w:r>
            <w:r w:rsidRPr="00576D60">
              <w:br/>
              <w:t>Remainder: 1 Sept 2007 (r 2(b))</w:t>
            </w:r>
          </w:p>
        </w:tc>
        <w:tc>
          <w:tcPr>
            <w:tcW w:w="1101" w:type="pct"/>
            <w:tcBorders>
              <w:top w:val="single" w:sz="4" w:space="0" w:color="auto"/>
              <w:bottom w:val="single" w:sz="4" w:space="0" w:color="auto"/>
            </w:tcBorders>
            <w:shd w:val="clear" w:color="auto" w:fill="auto"/>
          </w:tcPr>
          <w:p w14:paraId="17C50E44" w14:textId="77777777" w:rsidR="00E93F58" w:rsidRPr="00576D60" w:rsidRDefault="00E93F58" w:rsidP="002F32E3">
            <w:pPr>
              <w:pStyle w:val="ENoteTableText"/>
            </w:pPr>
            <w:r w:rsidRPr="00576D60">
              <w:t>—</w:t>
            </w:r>
          </w:p>
        </w:tc>
      </w:tr>
      <w:tr w:rsidR="00E93F58" w:rsidRPr="00576D60" w14:paraId="15D9FA6E" w14:textId="77777777" w:rsidTr="002F32E3">
        <w:trPr>
          <w:cantSplit/>
        </w:trPr>
        <w:tc>
          <w:tcPr>
            <w:tcW w:w="1275" w:type="pct"/>
            <w:tcBorders>
              <w:top w:val="single" w:sz="4" w:space="0" w:color="auto"/>
              <w:bottom w:val="single" w:sz="4" w:space="0" w:color="auto"/>
            </w:tcBorders>
            <w:shd w:val="clear" w:color="auto" w:fill="auto"/>
          </w:tcPr>
          <w:p w14:paraId="701F3ECF" w14:textId="77777777" w:rsidR="00E93F58" w:rsidRPr="00576D60" w:rsidRDefault="00E93F58" w:rsidP="002F32E3">
            <w:pPr>
              <w:pStyle w:val="ENoteTableText"/>
            </w:pPr>
            <w:r w:rsidRPr="00576D60">
              <w:t>199, 2007</w:t>
            </w:r>
          </w:p>
        </w:tc>
        <w:tc>
          <w:tcPr>
            <w:tcW w:w="1115" w:type="pct"/>
            <w:tcBorders>
              <w:top w:val="single" w:sz="4" w:space="0" w:color="auto"/>
              <w:bottom w:val="single" w:sz="4" w:space="0" w:color="auto"/>
            </w:tcBorders>
            <w:shd w:val="clear" w:color="auto" w:fill="auto"/>
          </w:tcPr>
          <w:p w14:paraId="79B98CE6" w14:textId="77777777" w:rsidR="00E93F58" w:rsidRPr="00576D60" w:rsidRDefault="00E93F58" w:rsidP="002F32E3">
            <w:pPr>
              <w:pStyle w:val="ENoteTableText"/>
            </w:pPr>
            <w:r w:rsidRPr="00576D60">
              <w:t>29 June 2007 (F2007L01898)</w:t>
            </w:r>
          </w:p>
        </w:tc>
        <w:tc>
          <w:tcPr>
            <w:tcW w:w="1509" w:type="pct"/>
            <w:tcBorders>
              <w:top w:val="single" w:sz="4" w:space="0" w:color="auto"/>
              <w:bottom w:val="single" w:sz="4" w:space="0" w:color="auto"/>
            </w:tcBorders>
            <w:shd w:val="clear" w:color="auto" w:fill="auto"/>
          </w:tcPr>
          <w:p w14:paraId="5E5F3D94" w14:textId="77777777" w:rsidR="00E93F58" w:rsidRPr="00576D60" w:rsidRDefault="00E93F58" w:rsidP="002F32E3">
            <w:pPr>
              <w:pStyle w:val="ENoteTableText"/>
            </w:pPr>
            <w:r w:rsidRPr="00576D60">
              <w:t>1 Sept 2007 (r 2)</w:t>
            </w:r>
          </w:p>
        </w:tc>
        <w:tc>
          <w:tcPr>
            <w:tcW w:w="1101" w:type="pct"/>
            <w:tcBorders>
              <w:top w:val="single" w:sz="4" w:space="0" w:color="auto"/>
              <w:bottom w:val="single" w:sz="4" w:space="0" w:color="auto"/>
            </w:tcBorders>
            <w:shd w:val="clear" w:color="auto" w:fill="auto"/>
          </w:tcPr>
          <w:p w14:paraId="06CA3182" w14:textId="77777777" w:rsidR="00E93F58" w:rsidRPr="00576D60" w:rsidRDefault="00E93F58" w:rsidP="002F32E3">
            <w:pPr>
              <w:pStyle w:val="ENoteTableText"/>
            </w:pPr>
            <w:r w:rsidRPr="00576D60">
              <w:t>—</w:t>
            </w:r>
          </w:p>
        </w:tc>
      </w:tr>
      <w:tr w:rsidR="00E93F58" w:rsidRPr="00576D60" w14:paraId="268FB93D" w14:textId="77777777" w:rsidTr="002F32E3">
        <w:trPr>
          <w:cantSplit/>
        </w:trPr>
        <w:tc>
          <w:tcPr>
            <w:tcW w:w="1275" w:type="pct"/>
            <w:tcBorders>
              <w:top w:val="single" w:sz="4" w:space="0" w:color="auto"/>
              <w:bottom w:val="single" w:sz="4" w:space="0" w:color="auto"/>
            </w:tcBorders>
            <w:shd w:val="clear" w:color="auto" w:fill="auto"/>
          </w:tcPr>
          <w:p w14:paraId="66691C42" w14:textId="77777777" w:rsidR="00E93F58" w:rsidRPr="00576D60" w:rsidRDefault="00E93F58" w:rsidP="002F32E3">
            <w:pPr>
              <w:pStyle w:val="ENoteTableText"/>
            </w:pPr>
            <w:r w:rsidRPr="00576D60">
              <w:t>227, 2007</w:t>
            </w:r>
          </w:p>
        </w:tc>
        <w:tc>
          <w:tcPr>
            <w:tcW w:w="1115" w:type="pct"/>
            <w:tcBorders>
              <w:top w:val="single" w:sz="4" w:space="0" w:color="auto"/>
              <w:bottom w:val="single" w:sz="4" w:space="0" w:color="auto"/>
            </w:tcBorders>
            <w:shd w:val="clear" w:color="auto" w:fill="auto"/>
          </w:tcPr>
          <w:p w14:paraId="696E090F" w14:textId="77777777" w:rsidR="00E93F58" w:rsidRPr="00576D60" w:rsidRDefault="00E93F58" w:rsidP="002F32E3">
            <w:pPr>
              <w:pStyle w:val="ENoteTableText"/>
            </w:pPr>
            <w:r w:rsidRPr="00576D60">
              <w:t>24 July 2007 (F2007L02255)</w:t>
            </w:r>
          </w:p>
        </w:tc>
        <w:tc>
          <w:tcPr>
            <w:tcW w:w="1509" w:type="pct"/>
            <w:tcBorders>
              <w:top w:val="single" w:sz="4" w:space="0" w:color="auto"/>
              <w:bottom w:val="single" w:sz="4" w:space="0" w:color="auto"/>
            </w:tcBorders>
            <w:shd w:val="clear" w:color="auto" w:fill="auto"/>
          </w:tcPr>
          <w:p w14:paraId="3D5E72AB" w14:textId="77777777" w:rsidR="00E93F58" w:rsidRPr="00576D60" w:rsidRDefault="00E93F58" w:rsidP="002F32E3">
            <w:pPr>
              <w:pStyle w:val="ENoteTableText"/>
            </w:pPr>
            <w:r w:rsidRPr="00576D60">
              <w:t>25 July 2007 (r 2)</w:t>
            </w:r>
          </w:p>
        </w:tc>
        <w:tc>
          <w:tcPr>
            <w:tcW w:w="1101" w:type="pct"/>
            <w:tcBorders>
              <w:top w:val="single" w:sz="4" w:space="0" w:color="auto"/>
              <w:bottom w:val="single" w:sz="4" w:space="0" w:color="auto"/>
            </w:tcBorders>
            <w:shd w:val="clear" w:color="auto" w:fill="auto"/>
          </w:tcPr>
          <w:p w14:paraId="6B61EB60" w14:textId="77777777" w:rsidR="00E93F58" w:rsidRPr="00576D60" w:rsidRDefault="00E93F58" w:rsidP="002F32E3">
            <w:pPr>
              <w:pStyle w:val="ENoteTableText"/>
            </w:pPr>
            <w:r w:rsidRPr="00576D60">
              <w:t>—</w:t>
            </w:r>
          </w:p>
        </w:tc>
      </w:tr>
      <w:tr w:rsidR="00E93F58" w:rsidRPr="00576D60" w14:paraId="480F51EE" w14:textId="77777777" w:rsidTr="002F32E3">
        <w:trPr>
          <w:cantSplit/>
        </w:trPr>
        <w:tc>
          <w:tcPr>
            <w:tcW w:w="1275" w:type="pct"/>
            <w:tcBorders>
              <w:top w:val="single" w:sz="4" w:space="0" w:color="auto"/>
              <w:bottom w:val="single" w:sz="4" w:space="0" w:color="auto"/>
            </w:tcBorders>
            <w:shd w:val="clear" w:color="auto" w:fill="auto"/>
          </w:tcPr>
          <w:p w14:paraId="72C21A45" w14:textId="77777777" w:rsidR="00E93F58" w:rsidRPr="00576D60" w:rsidRDefault="00E93F58" w:rsidP="002F32E3">
            <w:pPr>
              <w:pStyle w:val="ENoteTableText"/>
            </w:pPr>
            <w:r w:rsidRPr="00576D60">
              <w:t>259, 2007</w:t>
            </w:r>
          </w:p>
        </w:tc>
        <w:tc>
          <w:tcPr>
            <w:tcW w:w="1115" w:type="pct"/>
            <w:tcBorders>
              <w:top w:val="single" w:sz="4" w:space="0" w:color="auto"/>
              <w:bottom w:val="single" w:sz="4" w:space="0" w:color="auto"/>
            </w:tcBorders>
            <w:shd w:val="clear" w:color="auto" w:fill="auto"/>
          </w:tcPr>
          <w:p w14:paraId="1B76C35A" w14:textId="77777777" w:rsidR="00E93F58" w:rsidRPr="00576D60" w:rsidRDefault="00E93F58" w:rsidP="002F32E3">
            <w:pPr>
              <w:pStyle w:val="ENoteTableText"/>
            </w:pPr>
            <w:r w:rsidRPr="00576D60">
              <w:t>24 Aug 2007 (F2007L02637)</w:t>
            </w:r>
          </w:p>
        </w:tc>
        <w:tc>
          <w:tcPr>
            <w:tcW w:w="1509" w:type="pct"/>
            <w:tcBorders>
              <w:top w:val="single" w:sz="4" w:space="0" w:color="auto"/>
              <w:bottom w:val="single" w:sz="4" w:space="0" w:color="auto"/>
            </w:tcBorders>
            <w:shd w:val="clear" w:color="auto" w:fill="auto"/>
          </w:tcPr>
          <w:p w14:paraId="363117F5" w14:textId="77777777" w:rsidR="00E93F58" w:rsidRPr="00576D60" w:rsidRDefault="00E93F58" w:rsidP="002F32E3">
            <w:pPr>
              <w:pStyle w:val="ENoteTableText"/>
            </w:pPr>
            <w:r w:rsidRPr="00576D60">
              <w:t>25 Aug 2007</w:t>
            </w:r>
          </w:p>
        </w:tc>
        <w:tc>
          <w:tcPr>
            <w:tcW w:w="1101" w:type="pct"/>
            <w:tcBorders>
              <w:top w:val="single" w:sz="4" w:space="0" w:color="auto"/>
              <w:bottom w:val="single" w:sz="4" w:space="0" w:color="auto"/>
            </w:tcBorders>
            <w:shd w:val="clear" w:color="auto" w:fill="auto"/>
          </w:tcPr>
          <w:p w14:paraId="1470D7B1" w14:textId="77777777" w:rsidR="00E93F58" w:rsidRPr="00576D60" w:rsidRDefault="00E93F58" w:rsidP="002F32E3">
            <w:pPr>
              <w:pStyle w:val="ENoteTableText"/>
            </w:pPr>
            <w:r w:rsidRPr="00576D60">
              <w:t>—</w:t>
            </w:r>
          </w:p>
        </w:tc>
      </w:tr>
      <w:tr w:rsidR="00E93F58" w:rsidRPr="00576D60" w14:paraId="3CE3B268" w14:textId="77777777" w:rsidTr="002F32E3">
        <w:trPr>
          <w:cantSplit/>
        </w:trPr>
        <w:tc>
          <w:tcPr>
            <w:tcW w:w="1275" w:type="pct"/>
            <w:tcBorders>
              <w:top w:val="single" w:sz="4" w:space="0" w:color="auto"/>
              <w:bottom w:val="single" w:sz="4" w:space="0" w:color="auto"/>
            </w:tcBorders>
            <w:shd w:val="clear" w:color="auto" w:fill="auto"/>
          </w:tcPr>
          <w:p w14:paraId="0EC6ECE2" w14:textId="77777777" w:rsidR="00E93F58" w:rsidRPr="00576D60" w:rsidRDefault="00E93F58" w:rsidP="002F32E3">
            <w:pPr>
              <w:pStyle w:val="ENoteTableText"/>
            </w:pPr>
            <w:r w:rsidRPr="00576D60">
              <w:t>323, 2007</w:t>
            </w:r>
          </w:p>
        </w:tc>
        <w:tc>
          <w:tcPr>
            <w:tcW w:w="1115" w:type="pct"/>
            <w:tcBorders>
              <w:top w:val="single" w:sz="4" w:space="0" w:color="auto"/>
              <w:bottom w:val="single" w:sz="4" w:space="0" w:color="auto"/>
            </w:tcBorders>
            <w:shd w:val="clear" w:color="auto" w:fill="auto"/>
          </w:tcPr>
          <w:p w14:paraId="007A5047" w14:textId="77777777" w:rsidR="00E93F58" w:rsidRPr="00576D60" w:rsidRDefault="00E93F58" w:rsidP="002F32E3">
            <w:pPr>
              <w:pStyle w:val="ENoteTableText"/>
            </w:pPr>
            <w:r w:rsidRPr="00576D60">
              <w:t>28 Sept 2007 (F2007L03801)</w:t>
            </w:r>
          </w:p>
        </w:tc>
        <w:tc>
          <w:tcPr>
            <w:tcW w:w="1509" w:type="pct"/>
            <w:tcBorders>
              <w:top w:val="single" w:sz="4" w:space="0" w:color="auto"/>
              <w:bottom w:val="single" w:sz="4" w:space="0" w:color="auto"/>
            </w:tcBorders>
            <w:shd w:val="clear" w:color="auto" w:fill="auto"/>
          </w:tcPr>
          <w:p w14:paraId="6F6673C7" w14:textId="77777777" w:rsidR="00E93F58" w:rsidRPr="00576D60" w:rsidRDefault="00E93F58" w:rsidP="002F32E3">
            <w:pPr>
              <w:pStyle w:val="ENoteTableText"/>
            </w:pPr>
            <w:r w:rsidRPr="00576D60">
              <w:t>29 Sept 2007</w:t>
            </w:r>
          </w:p>
        </w:tc>
        <w:tc>
          <w:tcPr>
            <w:tcW w:w="1101" w:type="pct"/>
            <w:tcBorders>
              <w:top w:val="single" w:sz="4" w:space="0" w:color="auto"/>
              <w:bottom w:val="single" w:sz="4" w:space="0" w:color="auto"/>
            </w:tcBorders>
            <w:shd w:val="clear" w:color="auto" w:fill="auto"/>
          </w:tcPr>
          <w:p w14:paraId="48749E24" w14:textId="77777777" w:rsidR="00E93F58" w:rsidRPr="00576D60" w:rsidRDefault="00E93F58" w:rsidP="002F32E3">
            <w:pPr>
              <w:pStyle w:val="ENoteTableText"/>
            </w:pPr>
            <w:r w:rsidRPr="00576D60">
              <w:t>—</w:t>
            </w:r>
          </w:p>
        </w:tc>
      </w:tr>
      <w:tr w:rsidR="00E93F58" w:rsidRPr="00576D60" w14:paraId="13D941BA" w14:textId="77777777" w:rsidTr="002F32E3">
        <w:trPr>
          <w:cantSplit/>
        </w:trPr>
        <w:tc>
          <w:tcPr>
            <w:tcW w:w="1275" w:type="pct"/>
            <w:tcBorders>
              <w:top w:val="single" w:sz="4" w:space="0" w:color="auto"/>
              <w:bottom w:val="single" w:sz="4" w:space="0" w:color="auto"/>
            </w:tcBorders>
            <w:shd w:val="clear" w:color="auto" w:fill="auto"/>
          </w:tcPr>
          <w:p w14:paraId="064005C5" w14:textId="77777777" w:rsidR="00E93F58" w:rsidRPr="00576D60" w:rsidRDefault="00E93F58" w:rsidP="002F32E3">
            <w:pPr>
              <w:pStyle w:val="ENoteTableText"/>
            </w:pPr>
            <w:r w:rsidRPr="00576D60">
              <w:t>324, 2007</w:t>
            </w:r>
          </w:p>
        </w:tc>
        <w:tc>
          <w:tcPr>
            <w:tcW w:w="1115" w:type="pct"/>
            <w:tcBorders>
              <w:top w:val="single" w:sz="4" w:space="0" w:color="auto"/>
              <w:bottom w:val="single" w:sz="4" w:space="0" w:color="auto"/>
            </w:tcBorders>
            <w:shd w:val="clear" w:color="auto" w:fill="auto"/>
          </w:tcPr>
          <w:p w14:paraId="6129FCB4" w14:textId="77777777" w:rsidR="00E93F58" w:rsidRPr="00576D60" w:rsidRDefault="00E93F58" w:rsidP="002F32E3">
            <w:pPr>
              <w:pStyle w:val="ENoteTableText"/>
            </w:pPr>
            <w:r w:rsidRPr="00576D60">
              <w:t>28 Sept 2007 (F2007L03804)</w:t>
            </w:r>
          </w:p>
        </w:tc>
        <w:tc>
          <w:tcPr>
            <w:tcW w:w="1509" w:type="pct"/>
            <w:tcBorders>
              <w:top w:val="single" w:sz="4" w:space="0" w:color="auto"/>
              <w:bottom w:val="single" w:sz="4" w:space="0" w:color="auto"/>
            </w:tcBorders>
            <w:shd w:val="clear" w:color="auto" w:fill="auto"/>
          </w:tcPr>
          <w:p w14:paraId="22D070B1" w14:textId="77777777" w:rsidR="00E93F58" w:rsidRPr="00576D60" w:rsidRDefault="00E93F58" w:rsidP="002F32E3">
            <w:pPr>
              <w:pStyle w:val="ENoteTableText"/>
            </w:pPr>
            <w:r w:rsidRPr="00576D60">
              <w:t>r 1–3 and Sch 1: 29 Sept 2007</w:t>
            </w:r>
            <w:r w:rsidRPr="00576D60">
              <w:br/>
              <w:t xml:space="preserve">Schedule 2: 28 Dec 2007 (r. 2(b)) </w:t>
            </w:r>
            <w:r w:rsidRPr="00576D60">
              <w:br/>
              <w:t>Remainder: 1 July 2008 (r. 2(c))</w:t>
            </w:r>
          </w:p>
        </w:tc>
        <w:tc>
          <w:tcPr>
            <w:tcW w:w="1101" w:type="pct"/>
            <w:tcBorders>
              <w:top w:val="single" w:sz="4" w:space="0" w:color="auto"/>
              <w:bottom w:val="single" w:sz="4" w:space="0" w:color="auto"/>
            </w:tcBorders>
            <w:shd w:val="clear" w:color="auto" w:fill="auto"/>
          </w:tcPr>
          <w:p w14:paraId="317FEDF9" w14:textId="77777777" w:rsidR="00E93F58" w:rsidRPr="00576D60" w:rsidRDefault="00E93F58" w:rsidP="002F32E3">
            <w:pPr>
              <w:pStyle w:val="ENoteTableText"/>
            </w:pPr>
            <w:r w:rsidRPr="00576D60">
              <w:t>—</w:t>
            </w:r>
          </w:p>
        </w:tc>
      </w:tr>
      <w:tr w:rsidR="00E93F58" w:rsidRPr="00576D60" w14:paraId="64327533" w14:textId="77777777" w:rsidTr="002F32E3">
        <w:trPr>
          <w:cantSplit/>
        </w:trPr>
        <w:tc>
          <w:tcPr>
            <w:tcW w:w="1275" w:type="pct"/>
            <w:tcBorders>
              <w:top w:val="single" w:sz="4" w:space="0" w:color="auto"/>
              <w:bottom w:val="single" w:sz="4" w:space="0" w:color="auto"/>
            </w:tcBorders>
            <w:shd w:val="clear" w:color="auto" w:fill="auto"/>
          </w:tcPr>
          <w:p w14:paraId="10BB2F00" w14:textId="77777777" w:rsidR="00E93F58" w:rsidRPr="00576D60" w:rsidRDefault="00E93F58" w:rsidP="002F32E3">
            <w:pPr>
              <w:pStyle w:val="ENoteTableText"/>
            </w:pPr>
            <w:r w:rsidRPr="00576D60">
              <w:t>325, 2007</w:t>
            </w:r>
          </w:p>
        </w:tc>
        <w:tc>
          <w:tcPr>
            <w:tcW w:w="1115" w:type="pct"/>
            <w:tcBorders>
              <w:top w:val="single" w:sz="4" w:space="0" w:color="auto"/>
              <w:bottom w:val="single" w:sz="4" w:space="0" w:color="auto"/>
            </w:tcBorders>
            <w:shd w:val="clear" w:color="auto" w:fill="auto"/>
          </w:tcPr>
          <w:p w14:paraId="7806CFD7" w14:textId="77777777" w:rsidR="00E93F58" w:rsidRPr="00576D60" w:rsidRDefault="00E93F58" w:rsidP="002F32E3">
            <w:pPr>
              <w:pStyle w:val="ENoteTableText"/>
            </w:pPr>
            <w:r w:rsidRPr="00576D60">
              <w:t>28 Sept 2007 (F2007L03851)</w:t>
            </w:r>
          </w:p>
        </w:tc>
        <w:tc>
          <w:tcPr>
            <w:tcW w:w="1509" w:type="pct"/>
            <w:tcBorders>
              <w:top w:val="single" w:sz="4" w:space="0" w:color="auto"/>
              <w:bottom w:val="single" w:sz="4" w:space="0" w:color="auto"/>
            </w:tcBorders>
            <w:shd w:val="clear" w:color="auto" w:fill="auto"/>
          </w:tcPr>
          <w:p w14:paraId="386057D4" w14:textId="77777777" w:rsidR="00E93F58" w:rsidRPr="00576D60" w:rsidRDefault="00E93F58" w:rsidP="002F32E3">
            <w:pPr>
              <w:pStyle w:val="ENoteTableText"/>
            </w:pPr>
            <w:r w:rsidRPr="00576D60">
              <w:t xml:space="preserve">31 Dec 2007 (. 2) </w:t>
            </w:r>
          </w:p>
        </w:tc>
        <w:tc>
          <w:tcPr>
            <w:tcW w:w="1101" w:type="pct"/>
            <w:tcBorders>
              <w:top w:val="single" w:sz="4" w:space="0" w:color="auto"/>
              <w:bottom w:val="single" w:sz="4" w:space="0" w:color="auto"/>
            </w:tcBorders>
            <w:shd w:val="clear" w:color="auto" w:fill="auto"/>
          </w:tcPr>
          <w:p w14:paraId="63162912" w14:textId="77777777" w:rsidR="00E93F58" w:rsidRPr="00576D60" w:rsidRDefault="00E93F58" w:rsidP="002F32E3">
            <w:pPr>
              <w:pStyle w:val="ENoteTableText"/>
            </w:pPr>
            <w:r w:rsidRPr="00576D60">
              <w:t>r 4</w:t>
            </w:r>
          </w:p>
        </w:tc>
      </w:tr>
      <w:tr w:rsidR="00E93F58" w:rsidRPr="00576D60" w14:paraId="489F7C09" w14:textId="77777777" w:rsidTr="002F32E3">
        <w:trPr>
          <w:cantSplit/>
        </w:trPr>
        <w:tc>
          <w:tcPr>
            <w:tcW w:w="1275" w:type="pct"/>
            <w:tcBorders>
              <w:top w:val="single" w:sz="4" w:space="0" w:color="auto"/>
              <w:bottom w:val="single" w:sz="4" w:space="0" w:color="auto"/>
            </w:tcBorders>
            <w:shd w:val="clear" w:color="auto" w:fill="auto"/>
          </w:tcPr>
          <w:p w14:paraId="7EC70150" w14:textId="77777777" w:rsidR="00E93F58" w:rsidRPr="00576D60" w:rsidRDefault="00E93F58" w:rsidP="002F32E3">
            <w:pPr>
              <w:pStyle w:val="ENoteTableText"/>
            </w:pPr>
            <w:r w:rsidRPr="00576D60">
              <w:t>364, 2007</w:t>
            </w:r>
          </w:p>
        </w:tc>
        <w:tc>
          <w:tcPr>
            <w:tcW w:w="1115" w:type="pct"/>
            <w:tcBorders>
              <w:top w:val="single" w:sz="4" w:space="0" w:color="auto"/>
              <w:bottom w:val="single" w:sz="4" w:space="0" w:color="auto"/>
            </w:tcBorders>
            <w:shd w:val="clear" w:color="auto" w:fill="auto"/>
          </w:tcPr>
          <w:p w14:paraId="338A4775" w14:textId="77777777" w:rsidR="00E93F58" w:rsidRPr="00576D60" w:rsidRDefault="00E93F58" w:rsidP="002F32E3">
            <w:pPr>
              <w:pStyle w:val="ENoteTableText"/>
            </w:pPr>
            <w:r w:rsidRPr="00576D60">
              <w:t>18 Dec 2007 (F2007L04728)</w:t>
            </w:r>
          </w:p>
        </w:tc>
        <w:tc>
          <w:tcPr>
            <w:tcW w:w="1509" w:type="pct"/>
            <w:tcBorders>
              <w:top w:val="single" w:sz="4" w:space="0" w:color="auto"/>
              <w:bottom w:val="single" w:sz="4" w:space="0" w:color="auto"/>
            </w:tcBorders>
            <w:shd w:val="clear" w:color="auto" w:fill="auto"/>
          </w:tcPr>
          <w:p w14:paraId="5AE434D6" w14:textId="77777777" w:rsidR="00E93F58" w:rsidRPr="00576D60" w:rsidRDefault="00E93F58" w:rsidP="002F32E3">
            <w:pPr>
              <w:pStyle w:val="ENoteTableText"/>
            </w:pPr>
            <w:r w:rsidRPr="00576D60">
              <w:t>19 Dec 2007</w:t>
            </w:r>
          </w:p>
        </w:tc>
        <w:tc>
          <w:tcPr>
            <w:tcW w:w="1101" w:type="pct"/>
            <w:tcBorders>
              <w:top w:val="single" w:sz="4" w:space="0" w:color="auto"/>
              <w:bottom w:val="single" w:sz="4" w:space="0" w:color="auto"/>
            </w:tcBorders>
            <w:shd w:val="clear" w:color="auto" w:fill="auto"/>
          </w:tcPr>
          <w:p w14:paraId="7FCBCDB4" w14:textId="77777777" w:rsidR="00E93F58" w:rsidRPr="00576D60" w:rsidRDefault="00E93F58" w:rsidP="002F32E3">
            <w:pPr>
              <w:pStyle w:val="ENoteTableText"/>
            </w:pPr>
            <w:r w:rsidRPr="00576D60">
              <w:t>—</w:t>
            </w:r>
          </w:p>
        </w:tc>
      </w:tr>
      <w:tr w:rsidR="00E93F58" w:rsidRPr="00576D60" w14:paraId="55667174" w14:textId="77777777" w:rsidTr="002F32E3">
        <w:trPr>
          <w:cantSplit/>
        </w:trPr>
        <w:tc>
          <w:tcPr>
            <w:tcW w:w="1275" w:type="pct"/>
            <w:tcBorders>
              <w:top w:val="single" w:sz="4" w:space="0" w:color="auto"/>
              <w:bottom w:val="single" w:sz="4" w:space="0" w:color="auto"/>
            </w:tcBorders>
            <w:shd w:val="clear" w:color="auto" w:fill="auto"/>
          </w:tcPr>
          <w:p w14:paraId="296632AC" w14:textId="77777777" w:rsidR="00E93F58" w:rsidRPr="00576D60" w:rsidRDefault="00E93F58" w:rsidP="002F32E3">
            <w:pPr>
              <w:pStyle w:val="ENoteTableText"/>
            </w:pPr>
            <w:r w:rsidRPr="00576D60">
              <w:t>93, 2008</w:t>
            </w:r>
          </w:p>
        </w:tc>
        <w:tc>
          <w:tcPr>
            <w:tcW w:w="1115" w:type="pct"/>
            <w:tcBorders>
              <w:top w:val="single" w:sz="4" w:space="0" w:color="auto"/>
              <w:bottom w:val="single" w:sz="4" w:space="0" w:color="auto"/>
            </w:tcBorders>
            <w:shd w:val="clear" w:color="auto" w:fill="auto"/>
          </w:tcPr>
          <w:p w14:paraId="50B2BC50" w14:textId="77777777" w:rsidR="00E93F58" w:rsidRPr="00576D60" w:rsidRDefault="00E93F58" w:rsidP="002F32E3">
            <w:pPr>
              <w:pStyle w:val="ENoteTableText"/>
            </w:pPr>
            <w:r w:rsidRPr="00576D60">
              <w:t>3 June 2008 (F2008L01830)</w:t>
            </w:r>
          </w:p>
        </w:tc>
        <w:tc>
          <w:tcPr>
            <w:tcW w:w="1509" w:type="pct"/>
            <w:tcBorders>
              <w:top w:val="single" w:sz="4" w:space="0" w:color="auto"/>
              <w:bottom w:val="single" w:sz="4" w:space="0" w:color="auto"/>
            </w:tcBorders>
            <w:shd w:val="clear" w:color="auto" w:fill="auto"/>
          </w:tcPr>
          <w:p w14:paraId="73EF1C01" w14:textId="77777777" w:rsidR="00E93F58" w:rsidRPr="00576D60" w:rsidRDefault="00E93F58" w:rsidP="002F32E3">
            <w:pPr>
              <w:pStyle w:val="ENoteTableText"/>
            </w:pPr>
            <w:r w:rsidRPr="00576D60">
              <w:t>4 June 2008</w:t>
            </w:r>
          </w:p>
        </w:tc>
        <w:tc>
          <w:tcPr>
            <w:tcW w:w="1101" w:type="pct"/>
            <w:tcBorders>
              <w:top w:val="single" w:sz="4" w:space="0" w:color="auto"/>
              <w:bottom w:val="single" w:sz="4" w:space="0" w:color="auto"/>
            </w:tcBorders>
            <w:shd w:val="clear" w:color="auto" w:fill="auto"/>
          </w:tcPr>
          <w:p w14:paraId="3712557D" w14:textId="77777777" w:rsidR="00E93F58" w:rsidRPr="00576D60" w:rsidRDefault="00E93F58" w:rsidP="002F32E3">
            <w:pPr>
              <w:pStyle w:val="ENoteTableText"/>
            </w:pPr>
            <w:r w:rsidRPr="00576D60">
              <w:t>—</w:t>
            </w:r>
          </w:p>
        </w:tc>
      </w:tr>
      <w:tr w:rsidR="00E93F58" w:rsidRPr="00576D60" w14:paraId="31FDB43E" w14:textId="77777777" w:rsidTr="002F32E3">
        <w:trPr>
          <w:cantSplit/>
        </w:trPr>
        <w:tc>
          <w:tcPr>
            <w:tcW w:w="1275" w:type="pct"/>
            <w:tcBorders>
              <w:top w:val="single" w:sz="4" w:space="0" w:color="auto"/>
              <w:bottom w:val="single" w:sz="4" w:space="0" w:color="auto"/>
            </w:tcBorders>
            <w:shd w:val="clear" w:color="auto" w:fill="auto"/>
          </w:tcPr>
          <w:p w14:paraId="561B4F33" w14:textId="77777777" w:rsidR="00E93F58" w:rsidRPr="00576D60" w:rsidRDefault="00E93F58" w:rsidP="002F32E3">
            <w:pPr>
              <w:pStyle w:val="ENoteTableText"/>
            </w:pPr>
            <w:r w:rsidRPr="00576D60">
              <w:t>94, 2008</w:t>
            </w:r>
          </w:p>
        </w:tc>
        <w:tc>
          <w:tcPr>
            <w:tcW w:w="1115" w:type="pct"/>
            <w:tcBorders>
              <w:top w:val="single" w:sz="4" w:space="0" w:color="auto"/>
              <w:bottom w:val="single" w:sz="4" w:space="0" w:color="auto"/>
            </w:tcBorders>
            <w:shd w:val="clear" w:color="auto" w:fill="auto"/>
          </w:tcPr>
          <w:p w14:paraId="70BA2C1E" w14:textId="77777777" w:rsidR="00E93F58" w:rsidRPr="00576D60" w:rsidRDefault="00E93F58" w:rsidP="002F32E3">
            <w:pPr>
              <w:pStyle w:val="ENoteTableText"/>
            </w:pPr>
            <w:r w:rsidRPr="00576D60">
              <w:t>3 June 2008 (F2008L01827)</w:t>
            </w:r>
          </w:p>
        </w:tc>
        <w:tc>
          <w:tcPr>
            <w:tcW w:w="1509" w:type="pct"/>
            <w:tcBorders>
              <w:top w:val="single" w:sz="4" w:space="0" w:color="auto"/>
              <w:bottom w:val="single" w:sz="4" w:space="0" w:color="auto"/>
            </w:tcBorders>
            <w:shd w:val="clear" w:color="auto" w:fill="auto"/>
          </w:tcPr>
          <w:p w14:paraId="313B7DE0" w14:textId="77777777" w:rsidR="00E93F58" w:rsidRPr="00576D60" w:rsidRDefault="00E93F58" w:rsidP="002F32E3">
            <w:pPr>
              <w:pStyle w:val="ENoteTableText"/>
            </w:pPr>
            <w:r w:rsidRPr="00576D60">
              <w:t>13 June 2008 (r 2)</w:t>
            </w:r>
          </w:p>
        </w:tc>
        <w:tc>
          <w:tcPr>
            <w:tcW w:w="1101" w:type="pct"/>
            <w:tcBorders>
              <w:top w:val="single" w:sz="4" w:space="0" w:color="auto"/>
              <w:bottom w:val="single" w:sz="4" w:space="0" w:color="auto"/>
            </w:tcBorders>
            <w:shd w:val="clear" w:color="auto" w:fill="auto"/>
          </w:tcPr>
          <w:p w14:paraId="5258C155" w14:textId="77777777" w:rsidR="00E93F58" w:rsidRPr="00576D60" w:rsidRDefault="00E93F58" w:rsidP="002F32E3">
            <w:pPr>
              <w:pStyle w:val="ENoteTableText"/>
            </w:pPr>
            <w:r w:rsidRPr="00576D60">
              <w:t>—</w:t>
            </w:r>
          </w:p>
        </w:tc>
      </w:tr>
      <w:tr w:rsidR="00E93F58" w:rsidRPr="00576D60" w14:paraId="4F124AB1" w14:textId="77777777" w:rsidTr="002F32E3">
        <w:trPr>
          <w:cantSplit/>
        </w:trPr>
        <w:tc>
          <w:tcPr>
            <w:tcW w:w="1275" w:type="pct"/>
            <w:tcBorders>
              <w:top w:val="single" w:sz="4" w:space="0" w:color="auto"/>
              <w:bottom w:val="single" w:sz="4" w:space="0" w:color="auto"/>
            </w:tcBorders>
            <w:shd w:val="clear" w:color="auto" w:fill="auto"/>
          </w:tcPr>
          <w:p w14:paraId="6CF88A9C" w14:textId="77777777" w:rsidR="00E93F58" w:rsidRPr="00576D60" w:rsidRDefault="00E93F58" w:rsidP="002F32E3">
            <w:pPr>
              <w:pStyle w:val="ENoteTableText"/>
            </w:pPr>
            <w:r w:rsidRPr="00576D60">
              <w:t>130, 2008</w:t>
            </w:r>
          </w:p>
        </w:tc>
        <w:tc>
          <w:tcPr>
            <w:tcW w:w="1115" w:type="pct"/>
            <w:tcBorders>
              <w:top w:val="single" w:sz="4" w:space="0" w:color="auto"/>
              <w:bottom w:val="single" w:sz="4" w:space="0" w:color="auto"/>
            </w:tcBorders>
            <w:shd w:val="clear" w:color="auto" w:fill="auto"/>
          </w:tcPr>
          <w:p w14:paraId="15EA6595" w14:textId="77777777" w:rsidR="00E93F58" w:rsidRPr="00576D60" w:rsidRDefault="00E93F58" w:rsidP="002F32E3">
            <w:pPr>
              <w:pStyle w:val="ENoteTableText"/>
            </w:pPr>
            <w:r w:rsidRPr="00576D60">
              <w:t>26 June 2008 (F2008L02184)</w:t>
            </w:r>
          </w:p>
        </w:tc>
        <w:tc>
          <w:tcPr>
            <w:tcW w:w="1509" w:type="pct"/>
            <w:tcBorders>
              <w:top w:val="single" w:sz="4" w:space="0" w:color="auto"/>
              <w:bottom w:val="single" w:sz="4" w:space="0" w:color="auto"/>
            </w:tcBorders>
            <w:shd w:val="clear" w:color="auto" w:fill="auto"/>
          </w:tcPr>
          <w:p w14:paraId="5C47AF9D" w14:textId="77777777" w:rsidR="00E93F58" w:rsidRPr="00576D60" w:rsidRDefault="00E93F58" w:rsidP="002F32E3">
            <w:pPr>
              <w:pStyle w:val="ENoteTableText"/>
            </w:pPr>
            <w:r w:rsidRPr="00576D60">
              <w:t>1 July 2008</w:t>
            </w:r>
          </w:p>
        </w:tc>
        <w:tc>
          <w:tcPr>
            <w:tcW w:w="1101" w:type="pct"/>
            <w:tcBorders>
              <w:top w:val="single" w:sz="4" w:space="0" w:color="auto"/>
              <w:bottom w:val="single" w:sz="4" w:space="0" w:color="auto"/>
            </w:tcBorders>
            <w:shd w:val="clear" w:color="auto" w:fill="auto"/>
          </w:tcPr>
          <w:p w14:paraId="4528F380" w14:textId="77777777" w:rsidR="00E93F58" w:rsidRPr="00576D60" w:rsidRDefault="00E93F58" w:rsidP="002F32E3">
            <w:pPr>
              <w:pStyle w:val="ENoteTableText"/>
            </w:pPr>
            <w:r w:rsidRPr="00576D60">
              <w:t>—</w:t>
            </w:r>
          </w:p>
        </w:tc>
      </w:tr>
      <w:tr w:rsidR="00E93F58" w:rsidRPr="00576D60" w14:paraId="7EF11858" w14:textId="77777777" w:rsidTr="002F32E3">
        <w:trPr>
          <w:cantSplit/>
        </w:trPr>
        <w:tc>
          <w:tcPr>
            <w:tcW w:w="1275" w:type="pct"/>
            <w:tcBorders>
              <w:top w:val="single" w:sz="4" w:space="0" w:color="auto"/>
              <w:bottom w:val="single" w:sz="4" w:space="0" w:color="auto"/>
            </w:tcBorders>
            <w:shd w:val="clear" w:color="auto" w:fill="auto"/>
          </w:tcPr>
          <w:p w14:paraId="0BC8564D" w14:textId="77777777" w:rsidR="00E93F58" w:rsidRPr="00576D60" w:rsidRDefault="00E93F58" w:rsidP="002F32E3">
            <w:pPr>
              <w:pStyle w:val="ENoteTableText"/>
            </w:pPr>
            <w:r w:rsidRPr="00576D60">
              <w:t>158, 2008</w:t>
            </w:r>
          </w:p>
        </w:tc>
        <w:tc>
          <w:tcPr>
            <w:tcW w:w="1115" w:type="pct"/>
            <w:tcBorders>
              <w:top w:val="single" w:sz="4" w:space="0" w:color="auto"/>
              <w:bottom w:val="single" w:sz="4" w:space="0" w:color="auto"/>
            </w:tcBorders>
            <w:shd w:val="clear" w:color="auto" w:fill="auto"/>
          </w:tcPr>
          <w:p w14:paraId="1FA36DF7" w14:textId="77777777" w:rsidR="00E93F58" w:rsidRPr="00576D60" w:rsidRDefault="00E93F58" w:rsidP="002F32E3">
            <w:pPr>
              <w:pStyle w:val="ENoteTableText"/>
            </w:pPr>
            <w:r w:rsidRPr="00576D60">
              <w:t>18 July 2008 (F2008L02510)</w:t>
            </w:r>
          </w:p>
        </w:tc>
        <w:tc>
          <w:tcPr>
            <w:tcW w:w="1509" w:type="pct"/>
            <w:tcBorders>
              <w:top w:val="single" w:sz="4" w:space="0" w:color="auto"/>
              <w:bottom w:val="single" w:sz="4" w:space="0" w:color="auto"/>
            </w:tcBorders>
            <w:shd w:val="clear" w:color="auto" w:fill="auto"/>
          </w:tcPr>
          <w:p w14:paraId="5BBE53BA" w14:textId="77777777" w:rsidR="00E93F58" w:rsidRPr="00576D60" w:rsidRDefault="00E93F58" w:rsidP="002F32E3">
            <w:pPr>
              <w:pStyle w:val="ENoteTableText"/>
            </w:pPr>
            <w:r w:rsidRPr="00576D60">
              <w:t>19 July 2008</w:t>
            </w:r>
          </w:p>
        </w:tc>
        <w:tc>
          <w:tcPr>
            <w:tcW w:w="1101" w:type="pct"/>
            <w:tcBorders>
              <w:top w:val="single" w:sz="4" w:space="0" w:color="auto"/>
              <w:bottom w:val="single" w:sz="4" w:space="0" w:color="auto"/>
            </w:tcBorders>
            <w:shd w:val="clear" w:color="auto" w:fill="auto"/>
          </w:tcPr>
          <w:p w14:paraId="2F9EECD9" w14:textId="77777777" w:rsidR="00E93F58" w:rsidRPr="00576D60" w:rsidRDefault="00E93F58" w:rsidP="002F32E3">
            <w:pPr>
              <w:pStyle w:val="ENoteTableText"/>
            </w:pPr>
            <w:r w:rsidRPr="00576D60">
              <w:t>—</w:t>
            </w:r>
          </w:p>
        </w:tc>
      </w:tr>
      <w:tr w:rsidR="00E93F58" w:rsidRPr="00576D60" w14:paraId="016CA4A5" w14:textId="77777777" w:rsidTr="002F32E3">
        <w:trPr>
          <w:cantSplit/>
        </w:trPr>
        <w:tc>
          <w:tcPr>
            <w:tcW w:w="1275" w:type="pct"/>
            <w:tcBorders>
              <w:top w:val="single" w:sz="4" w:space="0" w:color="auto"/>
              <w:bottom w:val="single" w:sz="4" w:space="0" w:color="auto"/>
            </w:tcBorders>
            <w:shd w:val="clear" w:color="auto" w:fill="auto"/>
          </w:tcPr>
          <w:p w14:paraId="023FEE2B" w14:textId="77777777" w:rsidR="00E93F58" w:rsidRPr="00576D60" w:rsidRDefault="00E93F58" w:rsidP="002F32E3">
            <w:pPr>
              <w:pStyle w:val="ENoteTableText"/>
            </w:pPr>
            <w:r w:rsidRPr="00576D60">
              <w:t>194, 2008</w:t>
            </w:r>
          </w:p>
        </w:tc>
        <w:tc>
          <w:tcPr>
            <w:tcW w:w="1115" w:type="pct"/>
            <w:tcBorders>
              <w:top w:val="single" w:sz="4" w:space="0" w:color="auto"/>
              <w:bottom w:val="single" w:sz="4" w:space="0" w:color="auto"/>
            </w:tcBorders>
            <w:shd w:val="clear" w:color="auto" w:fill="auto"/>
          </w:tcPr>
          <w:p w14:paraId="69A0A762" w14:textId="77777777" w:rsidR="00E93F58" w:rsidRPr="00576D60" w:rsidRDefault="00E93F58" w:rsidP="002F32E3">
            <w:pPr>
              <w:pStyle w:val="ENoteTableText"/>
            </w:pPr>
            <w:r w:rsidRPr="00576D60">
              <w:t>19 Sept 2008 (F2008L03458)</w:t>
            </w:r>
          </w:p>
        </w:tc>
        <w:tc>
          <w:tcPr>
            <w:tcW w:w="1509" w:type="pct"/>
            <w:tcBorders>
              <w:top w:val="single" w:sz="4" w:space="0" w:color="auto"/>
              <w:bottom w:val="single" w:sz="4" w:space="0" w:color="auto"/>
            </w:tcBorders>
            <w:shd w:val="clear" w:color="auto" w:fill="auto"/>
          </w:tcPr>
          <w:p w14:paraId="53424A8C" w14:textId="77777777" w:rsidR="00E93F58" w:rsidRPr="00576D60" w:rsidRDefault="00E93F58" w:rsidP="002F32E3">
            <w:pPr>
              <w:pStyle w:val="ENoteTableText"/>
            </w:pPr>
            <w:r w:rsidRPr="00576D60">
              <w:t>20 Sept 2008</w:t>
            </w:r>
          </w:p>
        </w:tc>
        <w:tc>
          <w:tcPr>
            <w:tcW w:w="1101" w:type="pct"/>
            <w:tcBorders>
              <w:top w:val="single" w:sz="4" w:space="0" w:color="auto"/>
              <w:bottom w:val="single" w:sz="4" w:space="0" w:color="auto"/>
            </w:tcBorders>
            <w:shd w:val="clear" w:color="auto" w:fill="auto"/>
          </w:tcPr>
          <w:p w14:paraId="3132B593" w14:textId="77777777" w:rsidR="00E93F58" w:rsidRPr="00576D60" w:rsidRDefault="00E93F58" w:rsidP="002F32E3">
            <w:pPr>
              <w:pStyle w:val="ENoteTableText"/>
            </w:pPr>
            <w:r w:rsidRPr="00576D60">
              <w:t>—</w:t>
            </w:r>
          </w:p>
        </w:tc>
      </w:tr>
      <w:tr w:rsidR="00E93F58" w:rsidRPr="00576D60" w14:paraId="6F1556AE" w14:textId="77777777" w:rsidTr="002F32E3">
        <w:trPr>
          <w:cantSplit/>
        </w:trPr>
        <w:tc>
          <w:tcPr>
            <w:tcW w:w="1275" w:type="pct"/>
            <w:tcBorders>
              <w:top w:val="single" w:sz="4" w:space="0" w:color="auto"/>
              <w:bottom w:val="single" w:sz="4" w:space="0" w:color="auto"/>
            </w:tcBorders>
            <w:shd w:val="clear" w:color="auto" w:fill="auto"/>
          </w:tcPr>
          <w:p w14:paraId="3FF4F20F" w14:textId="77777777" w:rsidR="00E93F58" w:rsidRPr="00576D60" w:rsidRDefault="00E93F58" w:rsidP="002F32E3">
            <w:pPr>
              <w:pStyle w:val="ENoteTableText"/>
            </w:pPr>
            <w:r w:rsidRPr="00576D60">
              <w:t>12, 2009</w:t>
            </w:r>
          </w:p>
        </w:tc>
        <w:tc>
          <w:tcPr>
            <w:tcW w:w="1115" w:type="pct"/>
            <w:tcBorders>
              <w:top w:val="single" w:sz="4" w:space="0" w:color="auto"/>
              <w:bottom w:val="single" w:sz="4" w:space="0" w:color="auto"/>
            </w:tcBorders>
            <w:shd w:val="clear" w:color="auto" w:fill="auto"/>
          </w:tcPr>
          <w:p w14:paraId="32F6F20F" w14:textId="77777777" w:rsidR="00E93F58" w:rsidRPr="00576D60" w:rsidRDefault="00E93F58" w:rsidP="002F32E3">
            <w:pPr>
              <w:pStyle w:val="ENoteTableText"/>
            </w:pPr>
            <w:r w:rsidRPr="00576D60">
              <w:t>6 Feb 2009 (F2009L00288)</w:t>
            </w:r>
          </w:p>
        </w:tc>
        <w:tc>
          <w:tcPr>
            <w:tcW w:w="1509" w:type="pct"/>
            <w:tcBorders>
              <w:top w:val="single" w:sz="4" w:space="0" w:color="auto"/>
              <w:bottom w:val="single" w:sz="4" w:space="0" w:color="auto"/>
            </w:tcBorders>
            <w:shd w:val="clear" w:color="auto" w:fill="auto"/>
          </w:tcPr>
          <w:p w14:paraId="46B0E8C3" w14:textId="77777777" w:rsidR="00E93F58" w:rsidRPr="00576D60" w:rsidRDefault="00E93F58" w:rsidP="002F32E3">
            <w:pPr>
              <w:pStyle w:val="ENoteTableText"/>
            </w:pPr>
            <w:r w:rsidRPr="00576D60">
              <w:t>7 Feb 2009</w:t>
            </w:r>
          </w:p>
        </w:tc>
        <w:tc>
          <w:tcPr>
            <w:tcW w:w="1101" w:type="pct"/>
            <w:tcBorders>
              <w:top w:val="single" w:sz="4" w:space="0" w:color="auto"/>
              <w:bottom w:val="single" w:sz="4" w:space="0" w:color="auto"/>
            </w:tcBorders>
            <w:shd w:val="clear" w:color="auto" w:fill="auto"/>
          </w:tcPr>
          <w:p w14:paraId="0BDE6D57" w14:textId="77777777" w:rsidR="00E93F58" w:rsidRPr="00576D60" w:rsidRDefault="00E93F58" w:rsidP="002F32E3">
            <w:pPr>
              <w:pStyle w:val="ENoteTableText"/>
            </w:pPr>
            <w:r w:rsidRPr="00576D60">
              <w:t>—</w:t>
            </w:r>
          </w:p>
        </w:tc>
      </w:tr>
      <w:tr w:rsidR="00E93F58" w:rsidRPr="00576D60" w14:paraId="0064CA1B" w14:textId="77777777" w:rsidTr="002F32E3">
        <w:trPr>
          <w:cantSplit/>
        </w:trPr>
        <w:tc>
          <w:tcPr>
            <w:tcW w:w="1275" w:type="pct"/>
            <w:tcBorders>
              <w:top w:val="single" w:sz="4" w:space="0" w:color="auto"/>
              <w:bottom w:val="single" w:sz="4" w:space="0" w:color="auto"/>
            </w:tcBorders>
            <w:shd w:val="clear" w:color="auto" w:fill="auto"/>
          </w:tcPr>
          <w:p w14:paraId="20AB3445" w14:textId="77777777" w:rsidR="00E93F58" w:rsidRPr="00576D60" w:rsidRDefault="00E93F58" w:rsidP="002F32E3">
            <w:pPr>
              <w:pStyle w:val="ENoteTableText"/>
            </w:pPr>
            <w:r w:rsidRPr="00576D60">
              <w:t>51, 2009</w:t>
            </w:r>
          </w:p>
        </w:tc>
        <w:tc>
          <w:tcPr>
            <w:tcW w:w="1115" w:type="pct"/>
            <w:tcBorders>
              <w:top w:val="single" w:sz="4" w:space="0" w:color="auto"/>
              <w:bottom w:val="single" w:sz="4" w:space="0" w:color="auto"/>
            </w:tcBorders>
            <w:shd w:val="clear" w:color="auto" w:fill="auto"/>
          </w:tcPr>
          <w:p w14:paraId="6300F3A3" w14:textId="77777777" w:rsidR="00E93F58" w:rsidRPr="00576D60" w:rsidRDefault="00E93F58" w:rsidP="002F32E3">
            <w:pPr>
              <w:pStyle w:val="ENoteTableText"/>
            </w:pPr>
            <w:r w:rsidRPr="00576D60">
              <w:t>30 Mar 2009 (F2009L01178)</w:t>
            </w:r>
          </w:p>
        </w:tc>
        <w:tc>
          <w:tcPr>
            <w:tcW w:w="1509" w:type="pct"/>
            <w:tcBorders>
              <w:top w:val="single" w:sz="4" w:space="0" w:color="auto"/>
              <w:bottom w:val="single" w:sz="4" w:space="0" w:color="auto"/>
            </w:tcBorders>
            <w:shd w:val="clear" w:color="auto" w:fill="auto"/>
          </w:tcPr>
          <w:p w14:paraId="368F9360" w14:textId="77777777" w:rsidR="00E93F58" w:rsidRPr="00576D60" w:rsidRDefault="00E93F58" w:rsidP="002F32E3">
            <w:pPr>
              <w:pStyle w:val="ENoteTableText"/>
            </w:pPr>
            <w:r w:rsidRPr="00576D60">
              <w:t>31 Mar 2009</w:t>
            </w:r>
          </w:p>
        </w:tc>
        <w:tc>
          <w:tcPr>
            <w:tcW w:w="1101" w:type="pct"/>
            <w:tcBorders>
              <w:top w:val="single" w:sz="4" w:space="0" w:color="auto"/>
              <w:bottom w:val="single" w:sz="4" w:space="0" w:color="auto"/>
            </w:tcBorders>
            <w:shd w:val="clear" w:color="auto" w:fill="auto"/>
          </w:tcPr>
          <w:p w14:paraId="3D159793" w14:textId="77777777" w:rsidR="00E93F58" w:rsidRPr="00576D60" w:rsidRDefault="00E93F58" w:rsidP="002F32E3">
            <w:pPr>
              <w:pStyle w:val="ENoteTableText"/>
            </w:pPr>
            <w:r w:rsidRPr="00576D60">
              <w:t>—</w:t>
            </w:r>
          </w:p>
        </w:tc>
      </w:tr>
      <w:tr w:rsidR="00E93F58" w:rsidRPr="00576D60" w14:paraId="6BB58719" w14:textId="77777777" w:rsidTr="002F32E3">
        <w:trPr>
          <w:cantSplit/>
        </w:trPr>
        <w:tc>
          <w:tcPr>
            <w:tcW w:w="1275" w:type="pct"/>
            <w:tcBorders>
              <w:top w:val="single" w:sz="4" w:space="0" w:color="auto"/>
              <w:bottom w:val="single" w:sz="4" w:space="0" w:color="auto"/>
            </w:tcBorders>
            <w:shd w:val="clear" w:color="auto" w:fill="auto"/>
          </w:tcPr>
          <w:p w14:paraId="35AA3045" w14:textId="77777777" w:rsidR="00E93F58" w:rsidRPr="00576D60" w:rsidRDefault="00E93F58" w:rsidP="002F32E3">
            <w:pPr>
              <w:pStyle w:val="ENoteTableText"/>
            </w:pPr>
            <w:r w:rsidRPr="00576D60">
              <w:t>52, 2009</w:t>
            </w:r>
          </w:p>
        </w:tc>
        <w:tc>
          <w:tcPr>
            <w:tcW w:w="1115" w:type="pct"/>
            <w:tcBorders>
              <w:top w:val="single" w:sz="4" w:space="0" w:color="auto"/>
              <w:bottom w:val="single" w:sz="4" w:space="0" w:color="auto"/>
            </w:tcBorders>
            <w:shd w:val="clear" w:color="auto" w:fill="auto"/>
          </w:tcPr>
          <w:p w14:paraId="5D0AA554" w14:textId="77777777" w:rsidR="00E93F58" w:rsidRPr="00576D60" w:rsidRDefault="00E93F58" w:rsidP="002F32E3">
            <w:pPr>
              <w:pStyle w:val="ENoteTableText"/>
            </w:pPr>
            <w:r w:rsidRPr="00576D60">
              <w:t>30 Mar 2009 (F2009L01169)</w:t>
            </w:r>
          </w:p>
        </w:tc>
        <w:tc>
          <w:tcPr>
            <w:tcW w:w="1509" w:type="pct"/>
            <w:tcBorders>
              <w:top w:val="single" w:sz="4" w:space="0" w:color="auto"/>
              <w:bottom w:val="single" w:sz="4" w:space="0" w:color="auto"/>
            </w:tcBorders>
            <w:shd w:val="clear" w:color="auto" w:fill="auto"/>
          </w:tcPr>
          <w:p w14:paraId="7C755CB5" w14:textId="77777777" w:rsidR="00E93F58" w:rsidRPr="00576D60" w:rsidRDefault="00E93F58" w:rsidP="002F32E3">
            <w:pPr>
              <w:pStyle w:val="ENoteTableText"/>
            </w:pPr>
            <w:r w:rsidRPr="00576D60">
              <w:t>1 July 2009</w:t>
            </w:r>
          </w:p>
        </w:tc>
        <w:tc>
          <w:tcPr>
            <w:tcW w:w="1101" w:type="pct"/>
            <w:tcBorders>
              <w:top w:val="single" w:sz="4" w:space="0" w:color="auto"/>
              <w:bottom w:val="single" w:sz="4" w:space="0" w:color="auto"/>
            </w:tcBorders>
            <w:shd w:val="clear" w:color="auto" w:fill="auto"/>
          </w:tcPr>
          <w:p w14:paraId="3D7279C0" w14:textId="77777777" w:rsidR="00E93F58" w:rsidRPr="00576D60" w:rsidRDefault="00E93F58" w:rsidP="002F32E3">
            <w:pPr>
              <w:pStyle w:val="ENoteTableText"/>
            </w:pPr>
            <w:r w:rsidRPr="00576D60">
              <w:t>—</w:t>
            </w:r>
          </w:p>
        </w:tc>
      </w:tr>
      <w:tr w:rsidR="00E93F58" w:rsidRPr="00576D60" w14:paraId="61E8FE0B" w14:textId="77777777" w:rsidTr="002F32E3">
        <w:trPr>
          <w:cantSplit/>
        </w:trPr>
        <w:tc>
          <w:tcPr>
            <w:tcW w:w="1275" w:type="pct"/>
            <w:tcBorders>
              <w:top w:val="single" w:sz="4" w:space="0" w:color="auto"/>
              <w:bottom w:val="single" w:sz="4" w:space="0" w:color="auto"/>
            </w:tcBorders>
            <w:shd w:val="clear" w:color="auto" w:fill="auto"/>
          </w:tcPr>
          <w:p w14:paraId="2E0CCDCF" w14:textId="77777777" w:rsidR="00E93F58" w:rsidRPr="00576D60" w:rsidRDefault="00E93F58" w:rsidP="002F32E3">
            <w:pPr>
              <w:pStyle w:val="ENoteTableText"/>
            </w:pPr>
            <w:r w:rsidRPr="00576D60">
              <w:t>70, 2009</w:t>
            </w:r>
          </w:p>
        </w:tc>
        <w:tc>
          <w:tcPr>
            <w:tcW w:w="1115" w:type="pct"/>
            <w:tcBorders>
              <w:top w:val="single" w:sz="4" w:space="0" w:color="auto"/>
              <w:bottom w:val="single" w:sz="4" w:space="0" w:color="auto"/>
            </w:tcBorders>
            <w:shd w:val="clear" w:color="auto" w:fill="auto"/>
          </w:tcPr>
          <w:p w14:paraId="3C403E43" w14:textId="77777777" w:rsidR="00E93F58" w:rsidRPr="00576D60" w:rsidRDefault="00E93F58" w:rsidP="002F32E3">
            <w:pPr>
              <w:pStyle w:val="ENoteTableText"/>
            </w:pPr>
            <w:r w:rsidRPr="00576D60">
              <w:t>1 May 2009 (F2009L01627)</w:t>
            </w:r>
          </w:p>
        </w:tc>
        <w:tc>
          <w:tcPr>
            <w:tcW w:w="1509" w:type="pct"/>
            <w:tcBorders>
              <w:top w:val="single" w:sz="4" w:space="0" w:color="auto"/>
              <w:bottom w:val="single" w:sz="4" w:space="0" w:color="auto"/>
            </w:tcBorders>
            <w:shd w:val="clear" w:color="auto" w:fill="auto"/>
          </w:tcPr>
          <w:p w14:paraId="07A175CC" w14:textId="77777777" w:rsidR="00E93F58" w:rsidRPr="00576D60" w:rsidRDefault="00E93F58" w:rsidP="002F32E3">
            <w:pPr>
              <w:pStyle w:val="ENoteTableText"/>
            </w:pPr>
            <w:r w:rsidRPr="00576D60">
              <w:t>2 May 2009</w:t>
            </w:r>
          </w:p>
        </w:tc>
        <w:tc>
          <w:tcPr>
            <w:tcW w:w="1101" w:type="pct"/>
            <w:tcBorders>
              <w:top w:val="single" w:sz="4" w:space="0" w:color="auto"/>
              <w:bottom w:val="single" w:sz="4" w:space="0" w:color="auto"/>
            </w:tcBorders>
            <w:shd w:val="clear" w:color="auto" w:fill="auto"/>
          </w:tcPr>
          <w:p w14:paraId="5830C456" w14:textId="77777777" w:rsidR="00E93F58" w:rsidRPr="00576D60" w:rsidRDefault="00E93F58" w:rsidP="002F32E3">
            <w:pPr>
              <w:pStyle w:val="ENoteTableText"/>
            </w:pPr>
            <w:r w:rsidRPr="00576D60">
              <w:t>—</w:t>
            </w:r>
          </w:p>
        </w:tc>
      </w:tr>
      <w:tr w:rsidR="00E93F58" w:rsidRPr="00576D60" w14:paraId="3172A822" w14:textId="77777777" w:rsidTr="002F32E3">
        <w:trPr>
          <w:cantSplit/>
        </w:trPr>
        <w:tc>
          <w:tcPr>
            <w:tcW w:w="1275" w:type="pct"/>
            <w:tcBorders>
              <w:top w:val="single" w:sz="4" w:space="0" w:color="auto"/>
              <w:bottom w:val="single" w:sz="4" w:space="0" w:color="auto"/>
            </w:tcBorders>
            <w:shd w:val="clear" w:color="auto" w:fill="auto"/>
          </w:tcPr>
          <w:p w14:paraId="4266CDED" w14:textId="77777777" w:rsidR="00E93F58" w:rsidRPr="00576D60" w:rsidRDefault="00E93F58" w:rsidP="002F32E3">
            <w:pPr>
              <w:pStyle w:val="ENoteTableText"/>
            </w:pPr>
            <w:r w:rsidRPr="00576D60">
              <w:t>103, 2009</w:t>
            </w:r>
          </w:p>
        </w:tc>
        <w:tc>
          <w:tcPr>
            <w:tcW w:w="1115" w:type="pct"/>
            <w:tcBorders>
              <w:top w:val="single" w:sz="4" w:space="0" w:color="auto"/>
              <w:bottom w:val="single" w:sz="4" w:space="0" w:color="auto"/>
            </w:tcBorders>
            <w:shd w:val="clear" w:color="auto" w:fill="auto"/>
          </w:tcPr>
          <w:p w14:paraId="7CF6E672" w14:textId="77777777" w:rsidR="00E93F58" w:rsidRPr="00576D60" w:rsidRDefault="00E93F58" w:rsidP="002F32E3">
            <w:pPr>
              <w:pStyle w:val="ENoteTableText"/>
            </w:pPr>
            <w:r w:rsidRPr="00576D60">
              <w:t>5 June 2009 (F2009L02167)</w:t>
            </w:r>
          </w:p>
        </w:tc>
        <w:tc>
          <w:tcPr>
            <w:tcW w:w="1509" w:type="pct"/>
            <w:tcBorders>
              <w:top w:val="single" w:sz="4" w:space="0" w:color="auto"/>
              <w:bottom w:val="single" w:sz="4" w:space="0" w:color="auto"/>
            </w:tcBorders>
            <w:shd w:val="clear" w:color="auto" w:fill="auto"/>
          </w:tcPr>
          <w:p w14:paraId="26F38C17" w14:textId="77777777" w:rsidR="00E93F58" w:rsidRPr="00576D60" w:rsidRDefault="00E93F58" w:rsidP="002F32E3">
            <w:pPr>
              <w:pStyle w:val="ENoteTableText"/>
            </w:pPr>
            <w:r w:rsidRPr="00576D60">
              <w:t>6 June 2009</w:t>
            </w:r>
          </w:p>
        </w:tc>
        <w:tc>
          <w:tcPr>
            <w:tcW w:w="1101" w:type="pct"/>
            <w:tcBorders>
              <w:top w:val="single" w:sz="4" w:space="0" w:color="auto"/>
              <w:bottom w:val="single" w:sz="4" w:space="0" w:color="auto"/>
            </w:tcBorders>
            <w:shd w:val="clear" w:color="auto" w:fill="auto"/>
          </w:tcPr>
          <w:p w14:paraId="68521EC0" w14:textId="77777777" w:rsidR="00E93F58" w:rsidRPr="00576D60" w:rsidRDefault="00E93F58" w:rsidP="002F32E3">
            <w:pPr>
              <w:pStyle w:val="ENoteTableText"/>
            </w:pPr>
            <w:r w:rsidRPr="00576D60">
              <w:t>—</w:t>
            </w:r>
          </w:p>
        </w:tc>
      </w:tr>
      <w:tr w:rsidR="00E93F58" w:rsidRPr="00576D60" w14:paraId="424501AB" w14:textId="77777777" w:rsidTr="002F32E3">
        <w:trPr>
          <w:cantSplit/>
        </w:trPr>
        <w:tc>
          <w:tcPr>
            <w:tcW w:w="1275" w:type="pct"/>
            <w:tcBorders>
              <w:top w:val="single" w:sz="4" w:space="0" w:color="auto"/>
              <w:bottom w:val="single" w:sz="4" w:space="0" w:color="auto"/>
            </w:tcBorders>
            <w:shd w:val="clear" w:color="auto" w:fill="auto"/>
          </w:tcPr>
          <w:p w14:paraId="16A8E7E9" w14:textId="77777777" w:rsidR="00E93F58" w:rsidRPr="00576D60" w:rsidRDefault="00E93F58" w:rsidP="002F32E3">
            <w:pPr>
              <w:pStyle w:val="ENoteTableText"/>
            </w:pPr>
            <w:r w:rsidRPr="00576D60">
              <w:lastRenderedPageBreak/>
              <w:t>175, 2009</w:t>
            </w:r>
          </w:p>
        </w:tc>
        <w:tc>
          <w:tcPr>
            <w:tcW w:w="1115" w:type="pct"/>
            <w:tcBorders>
              <w:top w:val="single" w:sz="4" w:space="0" w:color="auto"/>
              <w:bottom w:val="single" w:sz="4" w:space="0" w:color="auto"/>
            </w:tcBorders>
            <w:shd w:val="clear" w:color="auto" w:fill="auto"/>
          </w:tcPr>
          <w:p w14:paraId="68D59B07" w14:textId="77777777" w:rsidR="00E93F58" w:rsidRPr="00576D60" w:rsidRDefault="00E93F58" w:rsidP="002F32E3">
            <w:pPr>
              <w:pStyle w:val="ENoteTableText"/>
            </w:pPr>
            <w:r w:rsidRPr="00576D60">
              <w:t>10 July 2009 (F2009L02719)</w:t>
            </w:r>
          </w:p>
        </w:tc>
        <w:tc>
          <w:tcPr>
            <w:tcW w:w="1509" w:type="pct"/>
            <w:tcBorders>
              <w:top w:val="single" w:sz="4" w:space="0" w:color="auto"/>
              <w:bottom w:val="single" w:sz="4" w:space="0" w:color="auto"/>
            </w:tcBorders>
            <w:shd w:val="clear" w:color="auto" w:fill="auto"/>
          </w:tcPr>
          <w:p w14:paraId="65A93D06" w14:textId="77777777" w:rsidR="00E93F58" w:rsidRPr="00576D60" w:rsidRDefault="00E93F58" w:rsidP="002F32E3">
            <w:pPr>
              <w:pStyle w:val="ENoteTableText"/>
            </w:pPr>
            <w:r w:rsidRPr="00576D60">
              <w:t>11 July 2009</w:t>
            </w:r>
          </w:p>
        </w:tc>
        <w:tc>
          <w:tcPr>
            <w:tcW w:w="1101" w:type="pct"/>
            <w:tcBorders>
              <w:top w:val="single" w:sz="4" w:space="0" w:color="auto"/>
              <w:bottom w:val="single" w:sz="4" w:space="0" w:color="auto"/>
            </w:tcBorders>
            <w:shd w:val="clear" w:color="auto" w:fill="auto"/>
          </w:tcPr>
          <w:p w14:paraId="2896F515" w14:textId="77777777" w:rsidR="00E93F58" w:rsidRPr="00576D60" w:rsidRDefault="00E93F58" w:rsidP="002F32E3">
            <w:pPr>
              <w:pStyle w:val="ENoteTableText"/>
            </w:pPr>
            <w:r w:rsidRPr="00576D60">
              <w:t>—</w:t>
            </w:r>
          </w:p>
        </w:tc>
      </w:tr>
      <w:tr w:rsidR="00E93F58" w:rsidRPr="00576D60" w14:paraId="21D01C7F" w14:textId="77777777" w:rsidTr="002F32E3">
        <w:trPr>
          <w:cantSplit/>
        </w:trPr>
        <w:tc>
          <w:tcPr>
            <w:tcW w:w="1275" w:type="pct"/>
            <w:tcBorders>
              <w:top w:val="single" w:sz="4" w:space="0" w:color="auto"/>
              <w:bottom w:val="single" w:sz="4" w:space="0" w:color="auto"/>
            </w:tcBorders>
            <w:shd w:val="clear" w:color="auto" w:fill="auto"/>
          </w:tcPr>
          <w:p w14:paraId="6C5DCB32" w14:textId="77777777" w:rsidR="00E93F58" w:rsidRPr="00576D60" w:rsidRDefault="00E93F58" w:rsidP="002F32E3">
            <w:pPr>
              <w:pStyle w:val="ENoteTableText"/>
            </w:pPr>
            <w:r w:rsidRPr="00576D60">
              <w:t>198, 2009</w:t>
            </w:r>
          </w:p>
        </w:tc>
        <w:tc>
          <w:tcPr>
            <w:tcW w:w="1115" w:type="pct"/>
            <w:tcBorders>
              <w:top w:val="single" w:sz="4" w:space="0" w:color="auto"/>
              <w:bottom w:val="single" w:sz="4" w:space="0" w:color="auto"/>
            </w:tcBorders>
            <w:shd w:val="clear" w:color="auto" w:fill="auto"/>
          </w:tcPr>
          <w:p w14:paraId="65492157" w14:textId="77777777" w:rsidR="00E93F58" w:rsidRPr="00576D60" w:rsidRDefault="00E93F58" w:rsidP="002F32E3">
            <w:pPr>
              <w:pStyle w:val="ENoteTableText"/>
            </w:pPr>
            <w:r w:rsidRPr="00576D60">
              <w:t>3 Aug 2009 (F2009L02988)</w:t>
            </w:r>
          </w:p>
        </w:tc>
        <w:tc>
          <w:tcPr>
            <w:tcW w:w="1509" w:type="pct"/>
            <w:tcBorders>
              <w:top w:val="single" w:sz="4" w:space="0" w:color="auto"/>
              <w:bottom w:val="single" w:sz="4" w:space="0" w:color="auto"/>
            </w:tcBorders>
            <w:shd w:val="clear" w:color="auto" w:fill="auto"/>
          </w:tcPr>
          <w:p w14:paraId="41910143" w14:textId="77777777" w:rsidR="00E93F58" w:rsidRPr="00576D60" w:rsidRDefault="00E93F58" w:rsidP="002F32E3">
            <w:pPr>
              <w:pStyle w:val="ENoteTableText"/>
            </w:pPr>
            <w:r w:rsidRPr="00576D60">
              <w:t>4 Aug 2009</w:t>
            </w:r>
          </w:p>
        </w:tc>
        <w:tc>
          <w:tcPr>
            <w:tcW w:w="1101" w:type="pct"/>
            <w:tcBorders>
              <w:top w:val="single" w:sz="4" w:space="0" w:color="auto"/>
              <w:bottom w:val="single" w:sz="4" w:space="0" w:color="auto"/>
            </w:tcBorders>
            <w:shd w:val="clear" w:color="auto" w:fill="auto"/>
          </w:tcPr>
          <w:p w14:paraId="72EA4E70" w14:textId="77777777" w:rsidR="00E93F58" w:rsidRPr="00576D60" w:rsidRDefault="00E93F58" w:rsidP="002F32E3">
            <w:pPr>
              <w:pStyle w:val="ENoteTableText"/>
            </w:pPr>
            <w:r w:rsidRPr="00576D60">
              <w:t>—</w:t>
            </w:r>
          </w:p>
        </w:tc>
      </w:tr>
      <w:tr w:rsidR="00E93F58" w:rsidRPr="00576D60" w14:paraId="5E887872" w14:textId="77777777" w:rsidTr="002F32E3">
        <w:trPr>
          <w:cantSplit/>
        </w:trPr>
        <w:tc>
          <w:tcPr>
            <w:tcW w:w="1275" w:type="pct"/>
            <w:tcBorders>
              <w:top w:val="single" w:sz="4" w:space="0" w:color="auto"/>
              <w:bottom w:val="single" w:sz="4" w:space="0" w:color="auto"/>
            </w:tcBorders>
            <w:shd w:val="clear" w:color="auto" w:fill="auto"/>
          </w:tcPr>
          <w:p w14:paraId="47E1E6B7" w14:textId="77777777" w:rsidR="00E93F58" w:rsidRPr="00576D60" w:rsidRDefault="00E93F58" w:rsidP="002F32E3">
            <w:pPr>
              <w:pStyle w:val="ENoteTableText"/>
            </w:pPr>
            <w:r w:rsidRPr="00576D60">
              <w:t>327, 2009</w:t>
            </w:r>
          </w:p>
        </w:tc>
        <w:tc>
          <w:tcPr>
            <w:tcW w:w="1115" w:type="pct"/>
            <w:tcBorders>
              <w:top w:val="single" w:sz="4" w:space="0" w:color="auto"/>
              <w:bottom w:val="single" w:sz="4" w:space="0" w:color="auto"/>
            </w:tcBorders>
            <w:shd w:val="clear" w:color="auto" w:fill="auto"/>
          </w:tcPr>
          <w:p w14:paraId="405CC542" w14:textId="77777777" w:rsidR="00E93F58" w:rsidRPr="00576D60" w:rsidRDefault="00E93F58" w:rsidP="002F32E3">
            <w:pPr>
              <w:pStyle w:val="ENoteTableText"/>
            </w:pPr>
            <w:r w:rsidRPr="00576D60">
              <w:t>27 Nov 2009 (F2009L04316)</w:t>
            </w:r>
          </w:p>
        </w:tc>
        <w:tc>
          <w:tcPr>
            <w:tcW w:w="1509" w:type="pct"/>
            <w:tcBorders>
              <w:top w:val="single" w:sz="4" w:space="0" w:color="auto"/>
              <w:bottom w:val="single" w:sz="4" w:space="0" w:color="auto"/>
            </w:tcBorders>
            <w:shd w:val="clear" w:color="auto" w:fill="auto"/>
          </w:tcPr>
          <w:p w14:paraId="42085975" w14:textId="77777777" w:rsidR="00E93F58" w:rsidRPr="00576D60" w:rsidRDefault="00E93F58" w:rsidP="002F32E3">
            <w:pPr>
              <w:pStyle w:val="ENoteTableText"/>
            </w:pPr>
            <w:r w:rsidRPr="00576D60">
              <w:t>r 4 and Sch 2: 1 Apr 2010 (r 2(1)(b))</w:t>
            </w:r>
            <w:r w:rsidRPr="00576D60">
              <w:br/>
              <w:t>Remainder: 11 Dec 2009 (r 2(1)(a))</w:t>
            </w:r>
          </w:p>
        </w:tc>
        <w:tc>
          <w:tcPr>
            <w:tcW w:w="1101" w:type="pct"/>
            <w:tcBorders>
              <w:top w:val="single" w:sz="4" w:space="0" w:color="auto"/>
              <w:bottom w:val="single" w:sz="4" w:space="0" w:color="auto"/>
            </w:tcBorders>
            <w:shd w:val="clear" w:color="auto" w:fill="auto"/>
          </w:tcPr>
          <w:p w14:paraId="555CA73B" w14:textId="77777777" w:rsidR="00E93F58" w:rsidRPr="00576D60" w:rsidRDefault="00E93F58" w:rsidP="002F32E3">
            <w:pPr>
              <w:pStyle w:val="ENoteTableText"/>
            </w:pPr>
            <w:r w:rsidRPr="00576D60">
              <w:t>—</w:t>
            </w:r>
          </w:p>
        </w:tc>
      </w:tr>
      <w:tr w:rsidR="00E93F58" w:rsidRPr="00576D60" w14:paraId="59230EA1" w14:textId="77777777" w:rsidTr="002F32E3">
        <w:trPr>
          <w:cantSplit/>
        </w:trPr>
        <w:tc>
          <w:tcPr>
            <w:tcW w:w="1275" w:type="pct"/>
            <w:tcBorders>
              <w:top w:val="single" w:sz="4" w:space="0" w:color="auto"/>
              <w:bottom w:val="single" w:sz="4" w:space="0" w:color="auto"/>
            </w:tcBorders>
            <w:shd w:val="clear" w:color="auto" w:fill="auto"/>
          </w:tcPr>
          <w:p w14:paraId="34818A7A" w14:textId="77777777" w:rsidR="00E93F58" w:rsidRPr="00576D60" w:rsidRDefault="00E93F58" w:rsidP="002F32E3">
            <w:pPr>
              <w:pStyle w:val="ENoteTableText"/>
            </w:pPr>
            <w:r w:rsidRPr="00576D60">
              <w:t>328, 2009</w:t>
            </w:r>
          </w:p>
        </w:tc>
        <w:tc>
          <w:tcPr>
            <w:tcW w:w="1115" w:type="pct"/>
            <w:tcBorders>
              <w:top w:val="single" w:sz="4" w:space="0" w:color="auto"/>
              <w:bottom w:val="single" w:sz="4" w:space="0" w:color="auto"/>
            </w:tcBorders>
            <w:shd w:val="clear" w:color="auto" w:fill="auto"/>
          </w:tcPr>
          <w:p w14:paraId="68AA34B9" w14:textId="77777777" w:rsidR="00E93F58" w:rsidRPr="00576D60" w:rsidRDefault="00E93F58" w:rsidP="002F32E3">
            <w:pPr>
              <w:pStyle w:val="ENoteTableText"/>
            </w:pPr>
            <w:r w:rsidRPr="00576D60">
              <w:t>27 Nov 2009 (F2009L04307)</w:t>
            </w:r>
          </w:p>
        </w:tc>
        <w:tc>
          <w:tcPr>
            <w:tcW w:w="1509" w:type="pct"/>
            <w:tcBorders>
              <w:top w:val="single" w:sz="4" w:space="0" w:color="auto"/>
              <w:bottom w:val="single" w:sz="4" w:space="0" w:color="auto"/>
            </w:tcBorders>
            <w:shd w:val="clear" w:color="auto" w:fill="auto"/>
          </w:tcPr>
          <w:p w14:paraId="64B58535" w14:textId="77777777" w:rsidR="00E93F58" w:rsidRPr="00576D60" w:rsidRDefault="00E93F58" w:rsidP="002F32E3">
            <w:pPr>
              <w:pStyle w:val="ENoteTableText"/>
            </w:pPr>
            <w:r w:rsidRPr="00576D60">
              <w:t>28 Nov 2009 (r 2)</w:t>
            </w:r>
          </w:p>
        </w:tc>
        <w:tc>
          <w:tcPr>
            <w:tcW w:w="1101" w:type="pct"/>
            <w:tcBorders>
              <w:top w:val="single" w:sz="4" w:space="0" w:color="auto"/>
              <w:bottom w:val="single" w:sz="4" w:space="0" w:color="auto"/>
            </w:tcBorders>
            <w:shd w:val="clear" w:color="auto" w:fill="auto"/>
          </w:tcPr>
          <w:p w14:paraId="22C42097" w14:textId="77777777" w:rsidR="00E93F58" w:rsidRPr="00576D60" w:rsidRDefault="00E93F58" w:rsidP="002F32E3">
            <w:pPr>
              <w:pStyle w:val="ENoteTableText"/>
            </w:pPr>
            <w:r w:rsidRPr="00576D60">
              <w:t>—</w:t>
            </w:r>
          </w:p>
        </w:tc>
      </w:tr>
      <w:tr w:rsidR="00E93F58" w:rsidRPr="00576D60" w14:paraId="79224FDB" w14:textId="77777777" w:rsidTr="002F32E3">
        <w:trPr>
          <w:cantSplit/>
        </w:trPr>
        <w:tc>
          <w:tcPr>
            <w:tcW w:w="1275" w:type="pct"/>
            <w:tcBorders>
              <w:top w:val="single" w:sz="4" w:space="0" w:color="auto"/>
              <w:bottom w:val="single" w:sz="4" w:space="0" w:color="auto"/>
            </w:tcBorders>
            <w:shd w:val="clear" w:color="auto" w:fill="auto"/>
          </w:tcPr>
          <w:p w14:paraId="30F52529" w14:textId="77777777" w:rsidR="00E93F58" w:rsidRPr="00576D60" w:rsidRDefault="00E93F58" w:rsidP="002F32E3">
            <w:pPr>
              <w:pStyle w:val="ENoteTableText"/>
            </w:pPr>
            <w:r w:rsidRPr="00576D60">
              <w:t>386, 2009</w:t>
            </w:r>
          </w:p>
        </w:tc>
        <w:tc>
          <w:tcPr>
            <w:tcW w:w="1115" w:type="pct"/>
            <w:tcBorders>
              <w:top w:val="single" w:sz="4" w:space="0" w:color="auto"/>
              <w:bottom w:val="single" w:sz="4" w:space="0" w:color="auto"/>
            </w:tcBorders>
            <w:shd w:val="clear" w:color="auto" w:fill="auto"/>
          </w:tcPr>
          <w:p w14:paraId="479F543C" w14:textId="77777777" w:rsidR="00E93F58" w:rsidRPr="00576D60" w:rsidRDefault="00E93F58" w:rsidP="002F32E3">
            <w:pPr>
              <w:pStyle w:val="ENoteTableText"/>
            </w:pPr>
            <w:r w:rsidRPr="00576D60">
              <w:t>16 Dec 2009 (F2009L04494)</w:t>
            </w:r>
          </w:p>
        </w:tc>
        <w:tc>
          <w:tcPr>
            <w:tcW w:w="1509" w:type="pct"/>
            <w:tcBorders>
              <w:top w:val="single" w:sz="4" w:space="0" w:color="auto"/>
              <w:bottom w:val="single" w:sz="4" w:space="0" w:color="auto"/>
            </w:tcBorders>
            <w:shd w:val="clear" w:color="auto" w:fill="auto"/>
          </w:tcPr>
          <w:p w14:paraId="466F606E" w14:textId="77777777" w:rsidR="00E93F58" w:rsidRPr="00576D60" w:rsidRDefault="00E93F58" w:rsidP="002F32E3">
            <w:pPr>
              <w:pStyle w:val="ENoteTableText"/>
            </w:pPr>
            <w:r w:rsidRPr="00576D60">
              <w:t>17 Dec 2009 (r 2)</w:t>
            </w:r>
          </w:p>
        </w:tc>
        <w:tc>
          <w:tcPr>
            <w:tcW w:w="1101" w:type="pct"/>
            <w:tcBorders>
              <w:top w:val="single" w:sz="4" w:space="0" w:color="auto"/>
              <w:bottom w:val="single" w:sz="4" w:space="0" w:color="auto"/>
            </w:tcBorders>
            <w:shd w:val="clear" w:color="auto" w:fill="auto"/>
          </w:tcPr>
          <w:p w14:paraId="39D3459C" w14:textId="77777777" w:rsidR="00E93F58" w:rsidRPr="00576D60" w:rsidRDefault="00E93F58" w:rsidP="002F32E3">
            <w:pPr>
              <w:pStyle w:val="ENoteTableText"/>
            </w:pPr>
            <w:r w:rsidRPr="00576D60">
              <w:t>—</w:t>
            </w:r>
          </w:p>
        </w:tc>
      </w:tr>
      <w:tr w:rsidR="00E93F58" w:rsidRPr="00576D60" w14:paraId="2EC539DB" w14:textId="77777777" w:rsidTr="002F32E3">
        <w:trPr>
          <w:cantSplit/>
        </w:trPr>
        <w:tc>
          <w:tcPr>
            <w:tcW w:w="1275" w:type="pct"/>
            <w:tcBorders>
              <w:top w:val="single" w:sz="4" w:space="0" w:color="auto"/>
              <w:bottom w:val="single" w:sz="4" w:space="0" w:color="auto"/>
            </w:tcBorders>
            <w:shd w:val="clear" w:color="auto" w:fill="auto"/>
          </w:tcPr>
          <w:p w14:paraId="345E6AC3" w14:textId="77777777" w:rsidR="00E93F58" w:rsidRPr="00576D60" w:rsidRDefault="00E93F58" w:rsidP="002F32E3">
            <w:pPr>
              <w:pStyle w:val="ENoteTableText"/>
            </w:pPr>
            <w:r w:rsidRPr="00576D60">
              <w:t>387, 2009</w:t>
            </w:r>
          </w:p>
        </w:tc>
        <w:tc>
          <w:tcPr>
            <w:tcW w:w="1115" w:type="pct"/>
            <w:tcBorders>
              <w:top w:val="single" w:sz="4" w:space="0" w:color="auto"/>
              <w:bottom w:val="single" w:sz="4" w:space="0" w:color="auto"/>
            </w:tcBorders>
            <w:shd w:val="clear" w:color="auto" w:fill="auto"/>
          </w:tcPr>
          <w:p w14:paraId="25328B64" w14:textId="77777777" w:rsidR="00E93F58" w:rsidRPr="00576D60" w:rsidRDefault="00E93F58" w:rsidP="002F32E3">
            <w:pPr>
              <w:pStyle w:val="ENoteTableText"/>
            </w:pPr>
            <w:r w:rsidRPr="00576D60">
              <w:t>16 Dec 2009 (F2009L04516)</w:t>
            </w:r>
          </w:p>
        </w:tc>
        <w:tc>
          <w:tcPr>
            <w:tcW w:w="1509" w:type="pct"/>
            <w:tcBorders>
              <w:top w:val="single" w:sz="4" w:space="0" w:color="auto"/>
              <w:bottom w:val="single" w:sz="4" w:space="0" w:color="auto"/>
            </w:tcBorders>
            <w:shd w:val="clear" w:color="auto" w:fill="auto"/>
          </w:tcPr>
          <w:p w14:paraId="1F1A38EC" w14:textId="77777777" w:rsidR="00E93F58" w:rsidRPr="00576D60" w:rsidRDefault="00E93F58" w:rsidP="002F32E3">
            <w:pPr>
              <w:pStyle w:val="ENoteTableText"/>
            </w:pPr>
            <w:r w:rsidRPr="00576D60">
              <w:t>17 Dec 2009 (r 2)</w:t>
            </w:r>
          </w:p>
        </w:tc>
        <w:tc>
          <w:tcPr>
            <w:tcW w:w="1101" w:type="pct"/>
            <w:tcBorders>
              <w:top w:val="single" w:sz="4" w:space="0" w:color="auto"/>
              <w:bottom w:val="single" w:sz="4" w:space="0" w:color="auto"/>
            </w:tcBorders>
            <w:shd w:val="clear" w:color="auto" w:fill="auto"/>
          </w:tcPr>
          <w:p w14:paraId="4C06750C" w14:textId="77777777" w:rsidR="00E93F58" w:rsidRPr="00576D60" w:rsidRDefault="00E93F58" w:rsidP="002F32E3">
            <w:pPr>
              <w:pStyle w:val="ENoteTableText"/>
            </w:pPr>
            <w:r w:rsidRPr="00576D60">
              <w:t>—</w:t>
            </w:r>
          </w:p>
        </w:tc>
      </w:tr>
      <w:tr w:rsidR="00E93F58" w:rsidRPr="00576D60" w14:paraId="75CBC6EC" w14:textId="77777777" w:rsidTr="002F32E3">
        <w:trPr>
          <w:cantSplit/>
        </w:trPr>
        <w:tc>
          <w:tcPr>
            <w:tcW w:w="1275" w:type="pct"/>
            <w:tcBorders>
              <w:top w:val="single" w:sz="4" w:space="0" w:color="auto"/>
              <w:bottom w:val="single" w:sz="4" w:space="0" w:color="auto"/>
            </w:tcBorders>
            <w:shd w:val="clear" w:color="auto" w:fill="auto"/>
          </w:tcPr>
          <w:p w14:paraId="5F4960FF" w14:textId="77777777" w:rsidR="00E93F58" w:rsidRPr="00576D60" w:rsidRDefault="00E93F58" w:rsidP="002F32E3">
            <w:pPr>
              <w:pStyle w:val="ENoteTableText"/>
            </w:pPr>
            <w:r w:rsidRPr="00576D60">
              <w:t>54, 2010</w:t>
            </w:r>
          </w:p>
        </w:tc>
        <w:tc>
          <w:tcPr>
            <w:tcW w:w="1115" w:type="pct"/>
            <w:tcBorders>
              <w:top w:val="single" w:sz="4" w:space="0" w:color="auto"/>
              <w:bottom w:val="single" w:sz="4" w:space="0" w:color="auto"/>
            </w:tcBorders>
            <w:shd w:val="clear" w:color="auto" w:fill="auto"/>
          </w:tcPr>
          <w:p w14:paraId="1D1AF9B2" w14:textId="77777777" w:rsidR="00E93F58" w:rsidRPr="00576D60" w:rsidRDefault="00E93F58" w:rsidP="002F32E3">
            <w:pPr>
              <w:pStyle w:val="ENoteTableText"/>
            </w:pPr>
            <w:r w:rsidRPr="00576D60">
              <w:t>25 Mar 2010 (F2010L00737)</w:t>
            </w:r>
          </w:p>
        </w:tc>
        <w:tc>
          <w:tcPr>
            <w:tcW w:w="1509" w:type="pct"/>
            <w:tcBorders>
              <w:top w:val="single" w:sz="4" w:space="0" w:color="auto"/>
              <w:bottom w:val="single" w:sz="4" w:space="0" w:color="auto"/>
            </w:tcBorders>
            <w:shd w:val="clear" w:color="auto" w:fill="auto"/>
          </w:tcPr>
          <w:p w14:paraId="2EE9DA16" w14:textId="77777777" w:rsidR="00E93F58" w:rsidRPr="00576D60" w:rsidRDefault="00E93F58" w:rsidP="002F32E3">
            <w:pPr>
              <w:pStyle w:val="ENoteTableText"/>
            </w:pPr>
            <w:r w:rsidRPr="00576D60">
              <w:t>26 Mar 2010 (r 2)</w:t>
            </w:r>
          </w:p>
        </w:tc>
        <w:tc>
          <w:tcPr>
            <w:tcW w:w="1101" w:type="pct"/>
            <w:tcBorders>
              <w:top w:val="single" w:sz="4" w:space="0" w:color="auto"/>
              <w:bottom w:val="single" w:sz="4" w:space="0" w:color="auto"/>
            </w:tcBorders>
            <w:shd w:val="clear" w:color="auto" w:fill="auto"/>
          </w:tcPr>
          <w:p w14:paraId="5C604F37" w14:textId="77777777" w:rsidR="00E93F58" w:rsidRPr="00576D60" w:rsidRDefault="00E93F58" w:rsidP="002F32E3">
            <w:pPr>
              <w:pStyle w:val="ENoteTableText"/>
            </w:pPr>
            <w:r w:rsidRPr="00576D60">
              <w:t>—</w:t>
            </w:r>
          </w:p>
        </w:tc>
      </w:tr>
      <w:tr w:rsidR="00E93F58" w:rsidRPr="00576D60" w14:paraId="1287FAB1" w14:textId="77777777" w:rsidTr="002F32E3">
        <w:trPr>
          <w:cantSplit/>
        </w:trPr>
        <w:tc>
          <w:tcPr>
            <w:tcW w:w="1275" w:type="pct"/>
            <w:tcBorders>
              <w:top w:val="single" w:sz="4" w:space="0" w:color="auto"/>
              <w:bottom w:val="single" w:sz="4" w:space="0" w:color="auto"/>
            </w:tcBorders>
            <w:shd w:val="clear" w:color="auto" w:fill="auto"/>
          </w:tcPr>
          <w:p w14:paraId="259B32B0" w14:textId="77777777" w:rsidR="00E93F58" w:rsidRPr="00576D60" w:rsidRDefault="00E93F58" w:rsidP="002F32E3">
            <w:pPr>
              <w:pStyle w:val="ENoteTableText"/>
            </w:pPr>
            <w:r w:rsidRPr="00576D60">
              <w:t>55, 2010</w:t>
            </w:r>
          </w:p>
        </w:tc>
        <w:tc>
          <w:tcPr>
            <w:tcW w:w="1115" w:type="pct"/>
            <w:tcBorders>
              <w:top w:val="single" w:sz="4" w:space="0" w:color="auto"/>
              <w:bottom w:val="single" w:sz="4" w:space="0" w:color="auto"/>
            </w:tcBorders>
            <w:shd w:val="clear" w:color="auto" w:fill="auto"/>
          </w:tcPr>
          <w:p w14:paraId="4DF45397" w14:textId="77777777" w:rsidR="00E93F58" w:rsidRPr="00576D60" w:rsidRDefault="00E93F58" w:rsidP="002F32E3">
            <w:pPr>
              <w:pStyle w:val="ENoteTableText"/>
            </w:pPr>
            <w:r w:rsidRPr="00576D60">
              <w:t>25 Mar 2010 (F2010L00738)</w:t>
            </w:r>
          </w:p>
        </w:tc>
        <w:tc>
          <w:tcPr>
            <w:tcW w:w="1509" w:type="pct"/>
            <w:tcBorders>
              <w:top w:val="single" w:sz="4" w:space="0" w:color="auto"/>
              <w:bottom w:val="single" w:sz="4" w:space="0" w:color="auto"/>
            </w:tcBorders>
            <w:shd w:val="clear" w:color="auto" w:fill="auto"/>
          </w:tcPr>
          <w:p w14:paraId="3137B6E7" w14:textId="77777777" w:rsidR="00E93F58" w:rsidRPr="00576D60" w:rsidRDefault="00E93F58" w:rsidP="002F32E3">
            <w:pPr>
              <w:pStyle w:val="ENoteTableText"/>
            </w:pPr>
            <w:r w:rsidRPr="00576D60">
              <w:t>Sch 2: 12 Oct 2011 (r 2(b))</w:t>
            </w:r>
            <w:r w:rsidRPr="00576D60">
              <w:br/>
              <w:t xml:space="preserve">Remainder: 18 Apr 2010 (r 2(a)) </w:t>
            </w:r>
          </w:p>
        </w:tc>
        <w:tc>
          <w:tcPr>
            <w:tcW w:w="1101" w:type="pct"/>
            <w:tcBorders>
              <w:top w:val="single" w:sz="4" w:space="0" w:color="auto"/>
              <w:bottom w:val="single" w:sz="4" w:space="0" w:color="auto"/>
            </w:tcBorders>
            <w:shd w:val="clear" w:color="auto" w:fill="auto"/>
          </w:tcPr>
          <w:p w14:paraId="417076BD" w14:textId="77777777" w:rsidR="00E93F58" w:rsidRPr="00576D60" w:rsidRDefault="00E93F58" w:rsidP="002F32E3">
            <w:pPr>
              <w:pStyle w:val="ENoteTableText"/>
            </w:pPr>
            <w:r w:rsidRPr="00576D60">
              <w:t>—</w:t>
            </w:r>
          </w:p>
        </w:tc>
      </w:tr>
      <w:tr w:rsidR="00E93F58" w:rsidRPr="00576D60" w14:paraId="63BA883E" w14:textId="77777777" w:rsidTr="002F32E3">
        <w:trPr>
          <w:cantSplit/>
        </w:trPr>
        <w:tc>
          <w:tcPr>
            <w:tcW w:w="1275" w:type="pct"/>
            <w:tcBorders>
              <w:top w:val="single" w:sz="4" w:space="0" w:color="auto"/>
              <w:bottom w:val="nil"/>
            </w:tcBorders>
            <w:shd w:val="clear" w:color="auto" w:fill="auto"/>
          </w:tcPr>
          <w:p w14:paraId="05A91D77" w14:textId="77777777" w:rsidR="00E93F58" w:rsidRPr="00576D60" w:rsidRDefault="00E93F58" w:rsidP="002F32E3">
            <w:pPr>
              <w:pStyle w:val="ENoteTableText"/>
            </w:pPr>
            <w:r w:rsidRPr="00576D60">
              <w:t>88, 2010</w:t>
            </w:r>
          </w:p>
        </w:tc>
        <w:tc>
          <w:tcPr>
            <w:tcW w:w="1115" w:type="pct"/>
            <w:tcBorders>
              <w:top w:val="single" w:sz="4" w:space="0" w:color="auto"/>
              <w:bottom w:val="nil"/>
            </w:tcBorders>
            <w:shd w:val="clear" w:color="auto" w:fill="auto"/>
          </w:tcPr>
          <w:p w14:paraId="43DC0472" w14:textId="77777777" w:rsidR="00E93F58" w:rsidRPr="00576D60" w:rsidRDefault="00E93F58" w:rsidP="002F32E3">
            <w:pPr>
              <w:pStyle w:val="ENoteTableText"/>
            </w:pPr>
            <w:r w:rsidRPr="00576D60">
              <w:t>6 May 2010 (F2010L01097)</w:t>
            </w:r>
          </w:p>
        </w:tc>
        <w:tc>
          <w:tcPr>
            <w:tcW w:w="1509" w:type="pct"/>
            <w:tcBorders>
              <w:top w:val="single" w:sz="4" w:space="0" w:color="auto"/>
              <w:bottom w:val="nil"/>
            </w:tcBorders>
            <w:shd w:val="clear" w:color="auto" w:fill="auto"/>
          </w:tcPr>
          <w:p w14:paraId="6AA35550" w14:textId="77777777" w:rsidR="00E93F58" w:rsidRPr="00576D60" w:rsidRDefault="00E93F58" w:rsidP="002F32E3">
            <w:pPr>
              <w:pStyle w:val="ENoteTableText"/>
            </w:pPr>
            <w:r w:rsidRPr="00576D60">
              <w:t>r 7 and Sch 2: 1 July 2010 (r 2(b))</w:t>
            </w:r>
            <w:r w:rsidRPr="00576D60">
              <w:br/>
              <w:t>Remainder: 6 May 2010 (r 2(a))</w:t>
            </w:r>
          </w:p>
        </w:tc>
        <w:tc>
          <w:tcPr>
            <w:tcW w:w="1101" w:type="pct"/>
            <w:tcBorders>
              <w:top w:val="single" w:sz="4" w:space="0" w:color="auto"/>
              <w:bottom w:val="nil"/>
            </w:tcBorders>
            <w:shd w:val="clear" w:color="auto" w:fill="auto"/>
          </w:tcPr>
          <w:p w14:paraId="170CDE58" w14:textId="77777777" w:rsidR="00E93F58" w:rsidRPr="00576D60" w:rsidRDefault="00E93F58" w:rsidP="002F32E3">
            <w:pPr>
              <w:pStyle w:val="ENoteTableText"/>
            </w:pPr>
            <w:r w:rsidRPr="00576D60">
              <w:t>r 4–7</w:t>
            </w:r>
          </w:p>
        </w:tc>
      </w:tr>
      <w:tr w:rsidR="00E93F58" w:rsidRPr="00576D60" w14:paraId="0514BD1F" w14:textId="77777777" w:rsidTr="002F32E3">
        <w:trPr>
          <w:cantSplit/>
        </w:trPr>
        <w:tc>
          <w:tcPr>
            <w:tcW w:w="1275" w:type="pct"/>
            <w:tcBorders>
              <w:top w:val="nil"/>
              <w:bottom w:val="nil"/>
            </w:tcBorders>
            <w:shd w:val="clear" w:color="auto" w:fill="auto"/>
          </w:tcPr>
          <w:p w14:paraId="0609AE29" w14:textId="77777777" w:rsidR="00E93F58" w:rsidRPr="00576D60" w:rsidRDefault="00E93F58" w:rsidP="002F32E3">
            <w:pPr>
              <w:pStyle w:val="ENoteTTIndentHeading"/>
            </w:pPr>
            <w:r w:rsidRPr="00576D60">
              <w:t>as amended by</w:t>
            </w:r>
          </w:p>
        </w:tc>
        <w:tc>
          <w:tcPr>
            <w:tcW w:w="1115" w:type="pct"/>
            <w:tcBorders>
              <w:top w:val="nil"/>
              <w:bottom w:val="nil"/>
            </w:tcBorders>
            <w:shd w:val="clear" w:color="auto" w:fill="auto"/>
          </w:tcPr>
          <w:p w14:paraId="3C6B0322" w14:textId="77777777" w:rsidR="00E93F58" w:rsidRPr="00576D60" w:rsidRDefault="00E93F58" w:rsidP="002F32E3">
            <w:pPr>
              <w:pStyle w:val="ENoteTableText"/>
            </w:pPr>
          </w:p>
        </w:tc>
        <w:tc>
          <w:tcPr>
            <w:tcW w:w="1509" w:type="pct"/>
            <w:tcBorders>
              <w:top w:val="nil"/>
              <w:bottom w:val="nil"/>
            </w:tcBorders>
            <w:shd w:val="clear" w:color="auto" w:fill="auto"/>
          </w:tcPr>
          <w:p w14:paraId="7063F794" w14:textId="77777777" w:rsidR="00E93F58" w:rsidRPr="00576D60" w:rsidRDefault="00E93F58" w:rsidP="002F32E3">
            <w:pPr>
              <w:pStyle w:val="ENoteTableText"/>
            </w:pPr>
          </w:p>
        </w:tc>
        <w:tc>
          <w:tcPr>
            <w:tcW w:w="1101" w:type="pct"/>
            <w:tcBorders>
              <w:top w:val="nil"/>
              <w:bottom w:val="nil"/>
            </w:tcBorders>
            <w:shd w:val="clear" w:color="auto" w:fill="auto"/>
          </w:tcPr>
          <w:p w14:paraId="461DECDD" w14:textId="77777777" w:rsidR="00E93F58" w:rsidRPr="00576D60" w:rsidRDefault="00E93F58" w:rsidP="002F32E3">
            <w:pPr>
              <w:pStyle w:val="ENoteTableText"/>
            </w:pPr>
          </w:p>
        </w:tc>
      </w:tr>
      <w:tr w:rsidR="00E93F58" w:rsidRPr="00576D60" w14:paraId="437D9367" w14:textId="77777777" w:rsidTr="002F32E3">
        <w:trPr>
          <w:cantSplit/>
        </w:trPr>
        <w:tc>
          <w:tcPr>
            <w:tcW w:w="1275" w:type="pct"/>
            <w:tcBorders>
              <w:top w:val="nil"/>
              <w:bottom w:val="nil"/>
            </w:tcBorders>
            <w:shd w:val="clear" w:color="auto" w:fill="auto"/>
          </w:tcPr>
          <w:p w14:paraId="07A7F1C8" w14:textId="77777777" w:rsidR="00E93F58" w:rsidRPr="00576D60" w:rsidRDefault="00E93F58" w:rsidP="002F32E3">
            <w:pPr>
              <w:pStyle w:val="ENoteTTi"/>
            </w:pPr>
            <w:r w:rsidRPr="00576D60">
              <w:t>41, 2012</w:t>
            </w:r>
          </w:p>
        </w:tc>
        <w:tc>
          <w:tcPr>
            <w:tcW w:w="1115" w:type="pct"/>
            <w:tcBorders>
              <w:top w:val="nil"/>
              <w:bottom w:val="nil"/>
            </w:tcBorders>
            <w:shd w:val="clear" w:color="auto" w:fill="auto"/>
          </w:tcPr>
          <w:p w14:paraId="50F33CE1" w14:textId="77777777" w:rsidR="00E93F58" w:rsidRPr="00576D60" w:rsidRDefault="00E93F58" w:rsidP="002F32E3">
            <w:pPr>
              <w:pStyle w:val="ENoteTableText"/>
            </w:pPr>
            <w:r w:rsidRPr="00576D60">
              <w:t>12 Apr 2012 (F2012L00836)</w:t>
            </w:r>
          </w:p>
        </w:tc>
        <w:tc>
          <w:tcPr>
            <w:tcW w:w="1509" w:type="pct"/>
            <w:tcBorders>
              <w:top w:val="nil"/>
              <w:bottom w:val="nil"/>
            </w:tcBorders>
            <w:shd w:val="clear" w:color="auto" w:fill="auto"/>
          </w:tcPr>
          <w:p w14:paraId="1E73588F" w14:textId="77777777" w:rsidR="00E93F58" w:rsidRPr="00576D60" w:rsidRDefault="00E93F58" w:rsidP="002F32E3">
            <w:pPr>
              <w:pStyle w:val="ENoteTableText"/>
            </w:pPr>
            <w:r w:rsidRPr="00576D60">
              <w:t>6 May 2010 (r 2)</w:t>
            </w:r>
          </w:p>
        </w:tc>
        <w:tc>
          <w:tcPr>
            <w:tcW w:w="1101" w:type="pct"/>
            <w:tcBorders>
              <w:top w:val="nil"/>
              <w:bottom w:val="nil"/>
            </w:tcBorders>
            <w:shd w:val="clear" w:color="auto" w:fill="auto"/>
          </w:tcPr>
          <w:p w14:paraId="4A19311A" w14:textId="77777777" w:rsidR="00E93F58" w:rsidRPr="00576D60" w:rsidRDefault="00E93F58" w:rsidP="002F32E3">
            <w:pPr>
              <w:pStyle w:val="ENoteTableText"/>
            </w:pPr>
            <w:r w:rsidRPr="00576D60">
              <w:t>—</w:t>
            </w:r>
          </w:p>
        </w:tc>
      </w:tr>
      <w:tr w:rsidR="00E93F58" w:rsidRPr="00576D60" w14:paraId="4C2D44B3" w14:textId="77777777" w:rsidTr="002F32E3">
        <w:trPr>
          <w:cantSplit/>
        </w:trPr>
        <w:tc>
          <w:tcPr>
            <w:tcW w:w="1275" w:type="pct"/>
            <w:tcBorders>
              <w:top w:val="nil"/>
              <w:bottom w:val="single" w:sz="4" w:space="0" w:color="auto"/>
            </w:tcBorders>
            <w:shd w:val="clear" w:color="auto" w:fill="auto"/>
          </w:tcPr>
          <w:p w14:paraId="438CB1E8" w14:textId="77777777" w:rsidR="00E93F58" w:rsidRPr="00576D60" w:rsidRDefault="00E93F58" w:rsidP="002F32E3">
            <w:pPr>
              <w:pStyle w:val="ENoteTTi"/>
            </w:pPr>
            <w:r w:rsidRPr="00576D60">
              <w:t>266, 2012</w:t>
            </w:r>
          </w:p>
        </w:tc>
        <w:tc>
          <w:tcPr>
            <w:tcW w:w="1115" w:type="pct"/>
            <w:tcBorders>
              <w:top w:val="nil"/>
              <w:bottom w:val="single" w:sz="4" w:space="0" w:color="auto"/>
            </w:tcBorders>
            <w:shd w:val="clear" w:color="auto" w:fill="auto"/>
          </w:tcPr>
          <w:p w14:paraId="0791E2CF" w14:textId="77777777" w:rsidR="00E93F58" w:rsidRPr="00576D60" w:rsidRDefault="00E93F58" w:rsidP="002F32E3">
            <w:pPr>
              <w:pStyle w:val="ENoteTableText"/>
            </w:pPr>
            <w:r w:rsidRPr="00576D60">
              <w:t>23 Nov 2012 (F2012L02245)</w:t>
            </w:r>
          </w:p>
        </w:tc>
        <w:tc>
          <w:tcPr>
            <w:tcW w:w="1509" w:type="pct"/>
            <w:tcBorders>
              <w:top w:val="nil"/>
              <w:bottom w:val="single" w:sz="4" w:space="0" w:color="auto"/>
            </w:tcBorders>
            <w:shd w:val="clear" w:color="auto" w:fill="auto"/>
          </w:tcPr>
          <w:p w14:paraId="02B6C44B" w14:textId="77777777" w:rsidR="00E93F58" w:rsidRPr="00576D60" w:rsidRDefault="00E93F58" w:rsidP="002F32E3">
            <w:pPr>
              <w:pStyle w:val="ENoteTableText"/>
            </w:pPr>
            <w:r w:rsidRPr="00576D60">
              <w:t>24 Nov 2012 (r 2)</w:t>
            </w:r>
          </w:p>
        </w:tc>
        <w:tc>
          <w:tcPr>
            <w:tcW w:w="1101" w:type="pct"/>
            <w:tcBorders>
              <w:top w:val="nil"/>
              <w:bottom w:val="single" w:sz="4" w:space="0" w:color="auto"/>
            </w:tcBorders>
            <w:shd w:val="clear" w:color="auto" w:fill="auto"/>
          </w:tcPr>
          <w:p w14:paraId="3895215A" w14:textId="77777777" w:rsidR="00E93F58" w:rsidRPr="00576D60" w:rsidRDefault="00E93F58" w:rsidP="002F32E3">
            <w:pPr>
              <w:pStyle w:val="ENoteTableText"/>
            </w:pPr>
            <w:r w:rsidRPr="00576D60">
              <w:t>—</w:t>
            </w:r>
          </w:p>
        </w:tc>
      </w:tr>
      <w:tr w:rsidR="00E93F58" w:rsidRPr="00576D60" w14:paraId="0D20416E" w14:textId="77777777" w:rsidTr="002F32E3">
        <w:trPr>
          <w:cantSplit/>
        </w:trPr>
        <w:tc>
          <w:tcPr>
            <w:tcW w:w="1275" w:type="pct"/>
            <w:tcBorders>
              <w:top w:val="single" w:sz="4" w:space="0" w:color="auto"/>
              <w:bottom w:val="single" w:sz="4" w:space="0" w:color="auto"/>
            </w:tcBorders>
            <w:shd w:val="clear" w:color="auto" w:fill="auto"/>
          </w:tcPr>
          <w:p w14:paraId="7FB1710C" w14:textId="77777777" w:rsidR="00E93F58" w:rsidRPr="00576D60" w:rsidRDefault="00E93F58" w:rsidP="002F32E3">
            <w:pPr>
              <w:pStyle w:val="ENoteTableText"/>
            </w:pPr>
            <w:r w:rsidRPr="00576D60">
              <w:t>89, 2010</w:t>
            </w:r>
          </w:p>
        </w:tc>
        <w:tc>
          <w:tcPr>
            <w:tcW w:w="1115" w:type="pct"/>
            <w:tcBorders>
              <w:top w:val="single" w:sz="4" w:space="0" w:color="auto"/>
              <w:bottom w:val="single" w:sz="4" w:space="0" w:color="auto"/>
            </w:tcBorders>
            <w:shd w:val="clear" w:color="auto" w:fill="auto"/>
          </w:tcPr>
          <w:p w14:paraId="554ADA63" w14:textId="77777777" w:rsidR="00E93F58" w:rsidRPr="00576D60" w:rsidRDefault="00E93F58" w:rsidP="002F32E3">
            <w:pPr>
              <w:pStyle w:val="ENoteTableText"/>
            </w:pPr>
            <w:r w:rsidRPr="00576D60">
              <w:t>10 May 2010 (F2010L01198)</w:t>
            </w:r>
          </w:p>
        </w:tc>
        <w:tc>
          <w:tcPr>
            <w:tcW w:w="1509" w:type="pct"/>
            <w:tcBorders>
              <w:top w:val="single" w:sz="4" w:space="0" w:color="auto"/>
              <w:bottom w:val="single" w:sz="4" w:space="0" w:color="auto"/>
            </w:tcBorders>
            <w:shd w:val="clear" w:color="auto" w:fill="auto"/>
          </w:tcPr>
          <w:p w14:paraId="33A8D9B6" w14:textId="77777777" w:rsidR="00E93F58" w:rsidRPr="00576D60" w:rsidRDefault="00E93F58" w:rsidP="002F32E3">
            <w:pPr>
              <w:pStyle w:val="ENoteTableText"/>
            </w:pPr>
            <w:r w:rsidRPr="00576D60">
              <w:t>1 Jan 2011 (r 2)</w:t>
            </w:r>
          </w:p>
        </w:tc>
        <w:tc>
          <w:tcPr>
            <w:tcW w:w="1101" w:type="pct"/>
            <w:tcBorders>
              <w:top w:val="single" w:sz="4" w:space="0" w:color="auto"/>
              <w:bottom w:val="single" w:sz="4" w:space="0" w:color="auto"/>
            </w:tcBorders>
            <w:shd w:val="clear" w:color="auto" w:fill="auto"/>
          </w:tcPr>
          <w:p w14:paraId="6FB4FB79" w14:textId="77777777" w:rsidR="00E93F58" w:rsidRPr="00576D60" w:rsidRDefault="00E93F58" w:rsidP="002F32E3">
            <w:pPr>
              <w:pStyle w:val="ENoteTableText"/>
            </w:pPr>
            <w:r w:rsidRPr="00576D60">
              <w:t>—</w:t>
            </w:r>
          </w:p>
        </w:tc>
      </w:tr>
      <w:tr w:rsidR="00E93F58" w:rsidRPr="00576D60" w14:paraId="757D28FA" w14:textId="77777777" w:rsidTr="002F32E3">
        <w:trPr>
          <w:cantSplit/>
        </w:trPr>
        <w:tc>
          <w:tcPr>
            <w:tcW w:w="1275" w:type="pct"/>
            <w:tcBorders>
              <w:top w:val="single" w:sz="4" w:space="0" w:color="auto"/>
              <w:bottom w:val="nil"/>
            </w:tcBorders>
            <w:shd w:val="clear" w:color="auto" w:fill="auto"/>
          </w:tcPr>
          <w:p w14:paraId="297ABECD" w14:textId="77777777" w:rsidR="00E93F58" w:rsidRPr="00576D60" w:rsidRDefault="00E93F58" w:rsidP="002F32E3">
            <w:pPr>
              <w:pStyle w:val="ENoteTableText"/>
            </w:pPr>
            <w:r w:rsidRPr="00576D60">
              <w:t>135, 2010</w:t>
            </w:r>
          </w:p>
        </w:tc>
        <w:tc>
          <w:tcPr>
            <w:tcW w:w="1115" w:type="pct"/>
            <w:tcBorders>
              <w:top w:val="single" w:sz="4" w:space="0" w:color="auto"/>
              <w:bottom w:val="nil"/>
            </w:tcBorders>
            <w:shd w:val="clear" w:color="auto" w:fill="auto"/>
          </w:tcPr>
          <w:p w14:paraId="64F68DE5" w14:textId="77777777" w:rsidR="00E93F58" w:rsidRPr="00576D60" w:rsidRDefault="00E93F58" w:rsidP="002F32E3">
            <w:pPr>
              <w:pStyle w:val="ENoteTableText"/>
            </w:pPr>
            <w:r w:rsidRPr="00576D60">
              <w:t>21 June 2010 (F2010L01585)</w:t>
            </w:r>
          </w:p>
        </w:tc>
        <w:tc>
          <w:tcPr>
            <w:tcW w:w="1509" w:type="pct"/>
            <w:tcBorders>
              <w:top w:val="single" w:sz="4" w:space="0" w:color="auto"/>
              <w:bottom w:val="nil"/>
            </w:tcBorders>
            <w:shd w:val="clear" w:color="auto" w:fill="auto"/>
          </w:tcPr>
          <w:p w14:paraId="61AE78B5" w14:textId="77777777" w:rsidR="00E93F58" w:rsidRPr="00576D60" w:rsidRDefault="00E93F58" w:rsidP="002F32E3">
            <w:pPr>
              <w:pStyle w:val="ENoteTableText"/>
            </w:pPr>
            <w:r w:rsidRPr="00576D60">
              <w:t>22 June 2010 (r 2)</w:t>
            </w:r>
          </w:p>
        </w:tc>
        <w:tc>
          <w:tcPr>
            <w:tcW w:w="1101" w:type="pct"/>
            <w:tcBorders>
              <w:top w:val="single" w:sz="4" w:space="0" w:color="auto"/>
              <w:bottom w:val="nil"/>
            </w:tcBorders>
            <w:shd w:val="clear" w:color="auto" w:fill="auto"/>
          </w:tcPr>
          <w:p w14:paraId="7D59B4E1" w14:textId="77777777" w:rsidR="00E93F58" w:rsidRPr="00576D60" w:rsidRDefault="00E93F58" w:rsidP="002F32E3">
            <w:pPr>
              <w:pStyle w:val="ENoteTableText"/>
            </w:pPr>
            <w:r w:rsidRPr="00576D60">
              <w:t>r 4</w:t>
            </w:r>
          </w:p>
        </w:tc>
      </w:tr>
      <w:tr w:rsidR="00E93F58" w:rsidRPr="00576D60" w14:paraId="70F07068" w14:textId="77777777" w:rsidTr="002F32E3">
        <w:trPr>
          <w:cantSplit/>
        </w:trPr>
        <w:tc>
          <w:tcPr>
            <w:tcW w:w="1275" w:type="pct"/>
            <w:tcBorders>
              <w:top w:val="nil"/>
              <w:bottom w:val="nil"/>
            </w:tcBorders>
            <w:shd w:val="clear" w:color="auto" w:fill="auto"/>
          </w:tcPr>
          <w:p w14:paraId="5D99E7CB" w14:textId="77777777" w:rsidR="00E93F58" w:rsidRPr="00576D60" w:rsidRDefault="00E93F58" w:rsidP="002F32E3">
            <w:pPr>
              <w:pStyle w:val="ENoteTTIndentHeading"/>
            </w:pPr>
            <w:r w:rsidRPr="00576D60">
              <w:t>as amended by</w:t>
            </w:r>
          </w:p>
        </w:tc>
        <w:tc>
          <w:tcPr>
            <w:tcW w:w="1115" w:type="pct"/>
            <w:tcBorders>
              <w:top w:val="nil"/>
              <w:bottom w:val="nil"/>
            </w:tcBorders>
            <w:shd w:val="clear" w:color="auto" w:fill="auto"/>
          </w:tcPr>
          <w:p w14:paraId="745E4304" w14:textId="77777777" w:rsidR="00E93F58" w:rsidRPr="00576D60" w:rsidRDefault="00E93F58" w:rsidP="002F32E3">
            <w:pPr>
              <w:pStyle w:val="ENoteTableText"/>
            </w:pPr>
          </w:p>
        </w:tc>
        <w:tc>
          <w:tcPr>
            <w:tcW w:w="1509" w:type="pct"/>
            <w:tcBorders>
              <w:top w:val="nil"/>
              <w:bottom w:val="nil"/>
            </w:tcBorders>
            <w:shd w:val="clear" w:color="auto" w:fill="auto"/>
          </w:tcPr>
          <w:p w14:paraId="5F3DDC59" w14:textId="77777777" w:rsidR="00E93F58" w:rsidRPr="00576D60" w:rsidRDefault="00E93F58" w:rsidP="002F32E3">
            <w:pPr>
              <w:pStyle w:val="ENoteTableText"/>
            </w:pPr>
          </w:p>
        </w:tc>
        <w:tc>
          <w:tcPr>
            <w:tcW w:w="1101" w:type="pct"/>
            <w:tcBorders>
              <w:top w:val="nil"/>
              <w:bottom w:val="nil"/>
            </w:tcBorders>
            <w:shd w:val="clear" w:color="auto" w:fill="auto"/>
          </w:tcPr>
          <w:p w14:paraId="633B31C0" w14:textId="77777777" w:rsidR="00E93F58" w:rsidRPr="00576D60" w:rsidRDefault="00E93F58" w:rsidP="002F32E3">
            <w:pPr>
              <w:pStyle w:val="ENoteTableText"/>
            </w:pPr>
          </w:p>
        </w:tc>
      </w:tr>
      <w:tr w:rsidR="00E93F58" w:rsidRPr="00576D60" w14:paraId="10FD053B" w14:textId="77777777" w:rsidTr="002F32E3">
        <w:trPr>
          <w:cantSplit/>
        </w:trPr>
        <w:tc>
          <w:tcPr>
            <w:tcW w:w="1275" w:type="pct"/>
            <w:tcBorders>
              <w:top w:val="nil"/>
              <w:bottom w:val="single" w:sz="4" w:space="0" w:color="auto"/>
            </w:tcBorders>
            <w:shd w:val="clear" w:color="auto" w:fill="auto"/>
          </w:tcPr>
          <w:p w14:paraId="531547EE" w14:textId="77777777" w:rsidR="00E93F58" w:rsidRPr="00576D60" w:rsidRDefault="00E93F58" w:rsidP="002F32E3">
            <w:pPr>
              <w:pStyle w:val="ENoteTTi"/>
            </w:pPr>
            <w:r w:rsidRPr="00576D60">
              <w:t>274, 2011</w:t>
            </w:r>
          </w:p>
        </w:tc>
        <w:tc>
          <w:tcPr>
            <w:tcW w:w="1115" w:type="pct"/>
            <w:tcBorders>
              <w:top w:val="nil"/>
              <w:bottom w:val="single" w:sz="4" w:space="0" w:color="auto"/>
            </w:tcBorders>
            <w:shd w:val="clear" w:color="auto" w:fill="auto"/>
          </w:tcPr>
          <w:p w14:paraId="727562EE" w14:textId="77777777" w:rsidR="00E93F58" w:rsidRPr="00576D60" w:rsidRDefault="00E93F58" w:rsidP="002F32E3">
            <w:pPr>
              <w:pStyle w:val="ENoteTableText"/>
            </w:pPr>
            <w:r w:rsidRPr="00576D60">
              <w:t>9 Dec 2011 (F2011L02616)</w:t>
            </w:r>
          </w:p>
        </w:tc>
        <w:tc>
          <w:tcPr>
            <w:tcW w:w="1509" w:type="pct"/>
            <w:tcBorders>
              <w:top w:val="nil"/>
              <w:bottom w:val="single" w:sz="4" w:space="0" w:color="auto"/>
            </w:tcBorders>
            <w:shd w:val="clear" w:color="auto" w:fill="auto"/>
          </w:tcPr>
          <w:p w14:paraId="1C612CC3" w14:textId="77777777" w:rsidR="00E93F58" w:rsidRPr="00576D60" w:rsidRDefault="00E93F58" w:rsidP="002F32E3">
            <w:pPr>
              <w:pStyle w:val="ENoteTableText"/>
            </w:pPr>
            <w:r w:rsidRPr="00576D60">
              <w:t>10 Dec 2011 (r 2)</w:t>
            </w:r>
          </w:p>
        </w:tc>
        <w:tc>
          <w:tcPr>
            <w:tcW w:w="1101" w:type="pct"/>
            <w:tcBorders>
              <w:top w:val="nil"/>
              <w:bottom w:val="single" w:sz="4" w:space="0" w:color="auto"/>
            </w:tcBorders>
            <w:shd w:val="clear" w:color="auto" w:fill="auto"/>
          </w:tcPr>
          <w:p w14:paraId="56FF08AF" w14:textId="77777777" w:rsidR="00E93F58" w:rsidRPr="00576D60" w:rsidRDefault="00E93F58" w:rsidP="002F32E3">
            <w:pPr>
              <w:pStyle w:val="ENoteTableText"/>
            </w:pPr>
            <w:r w:rsidRPr="00576D60">
              <w:t>—</w:t>
            </w:r>
          </w:p>
        </w:tc>
      </w:tr>
      <w:tr w:rsidR="00E93F58" w:rsidRPr="00576D60" w14:paraId="3892CAE2" w14:textId="77777777" w:rsidTr="002F32E3">
        <w:trPr>
          <w:cantSplit/>
        </w:trPr>
        <w:tc>
          <w:tcPr>
            <w:tcW w:w="1275" w:type="pct"/>
            <w:tcBorders>
              <w:top w:val="single" w:sz="4" w:space="0" w:color="auto"/>
              <w:bottom w:val="single" w:sz="4" w:space="0" w:color="auto"/>
            </w:tcBorders>
            <w:shd w:val="clear" w:color="auto" w:fill="auto"/>
          </w:tcPr>
          <w:p w14:paraId="55BE723D" w14:textId="77777777" w:rsidR="00E93F58" w:rsidRPr="00576D60" w:rsidRDefault="00E93F58" w:rsidP="002F32E3">
            <w:pPr>
              <w:pStyle w:val="ENoteTableText"/>
            </w:pPr>
            <w:r w:rsidRPr="00576D60">
              <w:t>184, 2010</w:t>
            </w:r>
          </w:p>
        </w:tc>
        <w:tc>
          <w:tcPr>
            <w:tcW w:w="1115" w:type="pct"/>
            <w:tcBorders>
              <w:top w:val="single" w:sz="4" w:space="0" w:color="auto"/>
              <w:bottom w:val="single" w:sz="4" w:space="0" w:color="auto"/>
            </w:tcBorders>
            <w:shd w:val="clear" w:color="auto" w:fill="auto"/>
          </w:tcPr>
          <w:p w14:paraId="063164C8" w14:textId="77777777" w:rsidR="00E93F58" w:rsidRPr="00576D60" w:rsidRDefault="00E93F58" w:rsidP="002F32E3">
            <w:pPr>
              <w:pStyle w:val="ENoteTableText"/>
            </w:pPr>
            <w:r w:rsidRPr="00576D60">
              <w:t>30 June 2010 (F2010L01799)</w:t>
            </w:r>
          </w:p>
        </w:tc>
        <w:tc>
          <w:tcPr>
            <w:tcW w:w="1509" w:type="pct"/>
            <w:tcBorders>
              <w:top w:val="single" w:sz="4" w:space="0" w:color="auto"/>
              <w:bottom w:val="single" w:sz="4" w:space="0" w:color="auto"/>
            </w:tcBorders>
            <w:shd w:val="clear" w:color="auto" w:fill="auto"/>
          </w:tcPr>
          <w:p w14:paraId="2FF3FF3C" w14:textId="77777777" w:rsidR="00E93F58" w:rsidRPr="00576D60" w:rsidRDefault="00E93F58" w:rsidP="002F32E3">
            <w:pPr>
              <w:pStyle w:val="ENoteTableText"/>
            </w:pPr>
            <w:r w:rsidRPr="00576D60">
              <w:t>28 June 2010 (r 2)</w:t>
            </w:r>
          </w:p>
        </w:tc>
        <w:tc>
          <w:tcPr>
            <w:tcW w:w="1101" w:type="pct"/>
            <w:tcBorders>
              <w:top w:val="single" w:sz="4" w:space="0" w:color="auto"/>
              <w:bottom w:val="single" w:sz="4" w:space="0" w:color="auto"/>
            </w:tcBorders>
            <w:shd w:val="clear" w:color="auto" w:fill="auto"/>
          </w:tcPr>
          <w:p w14:paraId="3E936B93" w14:textId="77777777" w:rsidR="00E93F58" w:rsidRPr="00576D60" w:rsidRDefault="00E93F58" w:rsidP="002F32E3">
            <w:pPr>
              <w:pStyle w:val="ENoteTableText"/>
            </w:pPr>
            <w:r w:rsidRPr="00576D60">
              <w:t>—</w:t>
            </w:r>
          </w:p>
        </w:tc>
      </w:tr>
      <w:tr w:rsidR="00E93F58" w:rsidRPr="00576D60" w14:paraId="0188FD03" w14:textId="77777777" w:rsidTr="002F32E3">
        <w:trPr>
          <w:cantSplit/>
        </w:trPr>
        <w:tc>
          <w:tcPr>
            <w:tcW w:w="1275" w:type="pct"/>
            <w:tcBorders>
              <w:top w:val="single" w:sz="4" w:space="0" w:color="auto"/>
              <w:bottom w:val="single" w:sz="4" w:space="0" w:color="auto"/>
            </w:tcBorders>
            <w:shd w:val="clear" w:color="auto" w:fill="auto"/>
          </w:tcPr>
          <w:p w14:paraId="727E09D4" w14:textId="77777777" w:rsidR="00E93F58" w:rsidRPr="00576D60" w:rsidRDefault="00E93F58" w:rsidP="002F32E3">
            <w:pPr>
              <w:pStyle w:val="ENoteTableText"/>
            </w:pPr>
            <w:r w:rsidRPr="00576D60">
              <w:t>210, 2010</w:t>
            </w:r>
          </w:p>
        </w:tc>
        <w:tc>
          <w:tcPr>
            <w:tcW w:w="1115" w:type="pct"/>
            <w:tcBorders>
              <w:top w:val="single" w:sz="4" w:space="0" w:color="auto"/>
              <w:bottom w:val="single" w:sz="4" w:space="0" w:color="auto"/>
            </w:tcBorders>
            <w:shd w:val="clear" w:color="auto" w:fill="auto"/>
          </w:tcPr>
          <w:p w14:paraId="684C0007" w14:textId="77777777" w:rsidR="00E93F58" w:rsidRPr="00576D60" w:rsidRDefault="00E93F58" w:rsidP="002F32E3">
            <w:pPr>
              <w:pStyle w:val="ENoteTableText"/>
            </w:pPr>
            <w:r w:rsidRPr="00576D60">
              <w:t>12 July 2010 (F2010L01941)</w:t>
            </w:r>
          </w:p>
        </w:tc>
        <w:tc>
          <w:tcPr>
            <w:tcW w:w="1509" w:type="pct"/>
            <w:tcBorders>
              <w:top w:val="single" w:sz="4" w:space="0" w:color="auto"/>
              <w:bottom w:val="single" w:sz="4" w:space="0" w:color="auto"/>
            </w:tcBorders>
            <w:shd w:val="clear" w:color="auto" w:fill="auto"/>
          </w:tcPr>
          <w:p w14:paraId="46A9E9AE" w14:textId="77777777" w:rsidR="00E93F58" w:rsidRPr="00576D60" w:rsidRDefault="00E93F58" w:rsidP="002F32E3">
            <w:pPr>
              <w:pStyle w:val="ENoteTableText"/>
            </w:pPr>
            <w:r w:rsidRPr="00576D60">
              <w:t>1 Aug 2010 (r 2)</w:t>
            </w:r>
          </w:p>
        </w:tc>
        <w:tc>
          <w:tcPr>
            <w:tcW w:w="1101" w:type="pct"/>
            <w:tcBorders>
              <w:top w:val="single" w:sz="4" w:space="0" w:color="auto"/>
              <w:bottom w:val="single" w:sz="4" w:space="0" w:color="auto"/>
            </w:tcBorders>
            <w:shd w:val="clear" w:color="auto" w:fill="auto"/>
          </w:tcPr>
          <w:p w14:paraId="7F768994" w14:textId="77777777" w:rsidR="00E93F58" w:rsidRPr="00576D60" w:rsidRDefault="00E93F58" w:rsidP="002F32E3">
            <w:pPr>
              <w:pStyle w:val="ENoteTableText"/>
            </w:pPr>
            <w:r w:rsidRPr="00576D60">
              <w:t>—</w:t>
            </w:r>
          </w:p>
        </w:tc>
      </w:tr>
      <w:tr w:rsidR="00E93F58" w:rsidRPr="00576D60" w14:paraId="3AA97477" w14:textId="77777777" w:rsidTr="002F32E3">
        <w:trPr>
          <w:cantSplit/>
        </w:trPr>
        <w:tc>
          <w:tcPr>
            <w:tcW w:w="1275" w:type="pct"/>
            <w:tcBorders>
              <w:top w:val="single" w:sz="4" w:space="0" w:color="auto"/>
              <w:bottom w:val="single" w:sz="4" w:space="0" w:color="auto"/>
            </w:tcBorders>
            <w:shd w:val="clear" w:color="auto" w:fill="auto"/>
          </w:tcPr>
          <w:p w14:paraId="7F5F1482" w14:textId="77777777" w:rsidR="00E93F58" w:rsidRPr="00576D60" w:rsidRDefault="00E93F58" w:rsidP="002F32E3">
            <w:pPr>
              <w:pStyle w:val="ENoteTableText"/>
            </w:pPr>
            <w:r w:rsidRPr="00576D60">
              <w:t>272, 2010</w:t>
            </w:r>
          </w:p>
        </w:tc>
        <w:tc>
          <w:tcPr>
            <w:tcW w:w="1115" w:type="pct"/>
            <w:tcBorders>
              <w:top w:val="single" w:sz="4" w:space="0" w:color="auto"/>
              <w:bottom w:val="single" w:sz="4" w:space="0" w:color="auto"/>
            </w:tcBorders>
            <w:shd w:val="clear" w:color="auto" w:fill="auto"/>
          </w:tcPr>
          <w:p w14:paraId="7DA2B6CF" w14:textId="77777777" w:rsidR="00E93F58" w:rsidRPr="00576D60" w:rsidRDefault="00E93F58" w:rsidP="002F32E3">
            <w:pPr>
              <w:pStyle w:val="ENoteTableText"/>
            </w:pPr>
            <w:r w:rsidRPr="00576D60">
              <w:t>27 Oct 2010 (F2010L02820)</w:t>
            </w:r>
          </w:p>
        </w:tc>
        <w:tc>
          <w:tcPr>
            <w:tcW w:w="1509" w:type="pct"/>
            <w:tcBorders>
              <w:top w:val="single" w:sz="4" w:space="0" w:color="auto"/>
              <w:bottom w:val="single" w:sz="4" w:space="0" w:color="auto"/>
            </w:tcBorders>
            <w:shd w:val="clear" w:color="auto" w:fill="auto"/>
          </w:tcPr>
          <w:p w14:paraId="664C2B0B" w14:textId="77777777" w:rsidR="00E93F58" w:rsidRPr="00576D60" w:rsidRDefault="00E93F58" w:rsidP="002F32E3">
            <w:pPr>
              <w:pStyle w:val="ENoteTableText"/>
            </w:pPr>
            <w:r w:rsidRPr="00576D60">
              <w:t>28 Oct 2010 (r 2)</w:t>
            </w:r>
          </w:p>
        </w:tc>
        <w:tc>
          <w:tcPr>
            <w:tcW w:w="1101" w:type="pct"/>
            <w:tcBorders>
              <w:top w:val="single" w:sz="4" w:space="0" w:color="auto"/>
              <w:bottom w:val="single" w:sz="4" w:space="0" w:color="auto"/>
            </w:tcBorders>
            <w:shd w:val="clear" w:color="auto" w:fill="auto"/>
          </w:tcPr>
          <w:p w14:paraId="131C2AFA" w14:textId="77777777" w:rsidR="00E93F58" w:rsidRPr="00576D60" w:rsidRDefault="00E93F58" w:rsidP="002F32E3">
            <w:pPr>
              <w:pStyle w:val="ENoteTableText"/>
            </w:pPr>
            <w:r w:rsidRPr="00576D60">
              <w:t>—</w:t>
            </w:r>
          </w:p>
        </w:tc>
      </w:tr>
      <w:tr w:rsidR="00E93F58" w:rsidRPr="00576D60" w14:paraId="52EF842A" w14:textId="77777777" w:rsidTr="002F32E3">
        <w:trPr>
          <w:cantSplit/>
        </w:trPr>
        <w:tc>
          <w:tcPr>
            <w:tcW w:w="1275" w:type="pct"/>
            <w:tcBorders>
              <w:top w:val="single" w:sz="4" w:space="0" w:color="auto"/>
              <w:bottom w:val="single" w:sz="4" w:space="0" w:color="auto"/>
            </w:tcBorders>
            <w:shd w:val="clear" w:color="auto" w:fill="auto"/>
          </w:tcPr>
          <w:p w14:paraId="11E5C330" w14:textId="77777777" w:rsidR="00E93F58" w:rsidRPr="00576D60" w:rsidRDefault="00E93F58" w:rsidP="002F32E3">
            <w:pPr>
              <w:pStyle w:val="ENoteTableText"/>
            </w:pPr>
            <w:r w:rsidRPr="00576D60">
              <w:t>301, 2010</w:t>
            </w:r>
          </w:p>
        </w:tc>
        <w:tc>
          <w:tcPr>
            <w:tcW w:w="1115" w:type="pct"/>
            <w:tcBorders>
              <w:top w:val="single" w:sz="4" w:space="0" w:color="auto"/>
              <w:bottom w:val="single" w:sz="4" w:space="0" w:color="auto"/>
            </w:tcBorders>
            <w:shd w:val="clear" w:color="auto" w:fill="auto"/>
          </w:tcPr>
          <w:p w14:paraId="367DC6A1" w14:textId="77777777" w:rsidR="00E93F58" w:rsidRPr="00576D60" w:rsidRDefault="00E93F58" w:rsidP="002F32E3">
            <w:pPr>
              <w:pStyle w:val="ENoteTableText"/>
            </w:pPr>
            <w:r w:rsidRPr="00576D60">
              <w:t>25 Nov 2010 (F2010L03094)</w:t>
            </w:r>
          </w:p>
        </w:tc>
        <w:tc>
          <w:tcPr>
            <w:tcW w:w="1509" w:type="pct"/>
            <w:tcBorders>
              <w:top w:val="single" w:sz="4" w:space="0" w:color="auto"/>
              <w:bottom w:val="single" w:sz="4" w:space="0" w:color="auto"/>
            </w:tcBorders>
            <w:shd w:val="clear" w:color="auto" w:fill="auto"/>
          </w:tcPr>
          <w:p w14:paraId="1239DF30" w14:textId="77777777" w:rsidR="00E93F58" w:rsidRPr="00576D60" w:rsidRDefault="00E93F58" w:rsidP="002F32E3">
            <w:pPr>
              <w:pStyle w:val="ENoteTableText"/>
            </w:pPr>
            <w:r w:rsidRPr="00576D60">
              <w:t>26 Nov 2010 (r 2)</w:t>
            </w:r>
          </w:p>
        </w:tc>
        <w:tc>
          <w:tcPr>
            <w:tcW w:w="1101" w:type="pct"/>
            <w:tcBorders>
              <w:top w:val="single" w:sz="4" w:space="0" w:color="auto"/>
              <w:bottom w:val="single" w:sz="4" w:space="0" w:color="auto"/>
            </w:tcBorders>
            <w:shd w:val="clear" w:color="auto" w:fill="auto"/>
          </w:tcPr>
          <w:p w14:paraId="5133FFF7" w14:textId="77777777" w:rsidR="00E93F58" w:rsidRPr="00576D60" w:rsidRDefault="00E93F58" w:rsidP="002F32E3">
            <w:pPr>
              <w:pStyle w:val="ENoteTableText"/>
            </w:pPr>
            <w:r w:rsidRPr="00576D60">
              <w:t>—</w:t>
            </w:r>
          </w:p>
        </w:tc>
      </w:tr>
      <w:tr w:rsidR="00E93F58" w:rsidRPr="00576D60" w14:paraId="0FE9BFC2" w14:textId="77777777" w:rsidTr="002F32E3">
        <w:trPr>
          <w:cantSplit/>
        </w:trPr>
        <w:tc>
          <w:tcPr>
            <w:tcW w:w="1275" w:type="pct"/>
            <w:tcBorders>
              <w:top w:val="single" w:sz="4" w:space="0" w:color="auto"/>
              <w:bottom w:val="single" w:sz="4" w:space="0" w:color="auto"/>
            </w:tcBorders>
            <w:shd w:val="clear" w:color="auto" w:fill="auto"/>
          </w:tcPr>
          <w:p w14:paraId="49AE2C81" w14:textId="77777777" w:rsidR="00E93F58" w:rsidRPr="00576D60" w:rsidRDefault="00E93F58" w:rsidP="002F32E3">
            <w:pPr>
              <w:pStyle w:val="ENoteTableText"/>
            </w:pPr>
            <w:r w:rsidRPr="00576D60">
              <w:t>332, 2010</w:t>
            </w:r>
          </w:p>
        </w:tc>
        <w:tc>
          <w:tcPr>
            <w:tcW w:w="1115" w:type="pct"/>
            <w:tcBorders>
              <w:top w:val="single" w:sz="4" w:space="0" w:color="auto"/>
              <w:bottom w:val="single" w:sz="4" w:space="0" w:color="auto"/>
            </w:tcBorders>
            <w:shd w:val="clear" w:color="auto" w:fill="auto"/>
          </w:tcPr>
          <w:p w14:paraId="39EE2442" w14:textId="77777777" w:rsidR="00E93F58" w:rsidRPr="00576D60" w:rsidRDefault="00E93F58" w:rsidP="002F32E3">
            <w:pPr>
              <w:pStyle w:val="ENoteTableText"/>
            </w:pPr>
            <w:r w:rsidRPr="00576D60">
              <w:t>10 Dec 2010 (F2010L03186)</w:t>
            </w:r>
          </w:p>
        </w:tc>
        <w:tc>
          <w:tcPr>
            <w:tcW w:w="1509" w:type="pct"/>
            <w:tcBorders>
              <w:top w:val="single" w:sz="4" w:space="0" w:color="auto"/>
              <w:bottom w:val="single" w:sz="4" w:space="0" w:color="auto"/>
            </w:tcBorders>
            <w:shd w:val="clear" w:color="auto" w:fill="auto"/>
          </w:tcPr>
          <w:p w14:paraId="7FF1D82E" w14:textId="77777777" w:rsidR="00E93F58" w:rsidRPr="00576D60" w:rsidRDefault="00E93F58" w:rsidP="002F32E3">
            <w:pPr>
              <w:pStyle w:val="ENoteTableText"/>
            </w:pPr>
            <w:r w:rsidRPr="00576D60">
              <w:t>13 Dec 2010 (r 2 and F2010L03188)</w:t>
            </w:r>
          </w:p>
        </w:tc>
        <w:tc>
          <w:tcPr>
            <w:tcW w:w="1101" w:type="pct"/>
            <w:tcBorders>
              <w:top w:val="single" w:sz="4" w:space="0" w:color="auto"/>
              <w:bottom w:val="single" w:sz="4" w:space="0" w:color="auto"/>
            </w:tcBorders>
            <w:shd w:val="clear" w:color="auto" w:fill="auto"/>
          </w:tcPr>
          <w:p w14:paraId="7BFF659A" w14:textId="77777777" w:rsidR="00E93F58" w:rsidRPr="00576D60" w:rsidRDefault="00E93F58" w:rsidP="002F32E3">
            <w:pPr>
              <w:pStyle w:val="ENoteTableText"/>
            </w:pPr>
            <w:r w:rsidRPr="00576D60">
              <w:t>—</w:t>
            </w:r>
          </w:p>
        </w:tc>
      </w:tr>
      <w:tr w:rsidR="00E93F58" w:rsidRPr="00576D60" w14:paraId="1541674B" w14:textId="77777777" w:rsidTr="002F32E3">
        <w:trPr>
          <w:cantSplit/>
        </w:trPr>
        <w:tc>
          <w:tcPr>
            <w:tcW w:w="1275" w:type="pct"/>
            <w:tcBorders>
              <w:top w:val="single" w:sz="4" w:space="0" w:color="auto"/>
              <w:bottom w:val="single" w:sz="4" w:space="0" w:color="auto"/>
            </w:tcBorders>
            <w:shd w:val="clear" w:color="auto" w:fill="auto"/>
          </w:tcPr>
          <w:p w14:paraId="156E1DDE" w14:textId="77777777" w:rsidR="00E93F58" w:rsidRPr="00576D60" w:rsidRDefault="00E93F58" w:rsidP="002F32E3">
            <w:pPr>
              <w:pStyle w:val="ENoteTableText"/>
            </w:pPr>
            <w:r w:rsidRPr="00576D60">
              <w:t>66, 2011</w:t>
            </w:r>
          </w:p>
        </w:tc>
        <w:tc>
          <w:tcPr>
            <w:tcW w:w="1115" w:type="pct"/>
            <w:tcBorders>
              <w:top w:val="single" w:sz="4" w:space="0" w:color="auto"/>
              <w:bottom w:val="single" w:sz="4" w:space="0" w:color="auto"/>
            </w:tcBorders>
            <w:shd w:val="clear" w:color="auto" w:fill="auto"/>
          </w:tcPr>
          <w:p w14:paraId="3C7C7D74" w14:textId="77777777" w:rsidR="00E93F58" w:rsidRPr="00576D60" w:rsidRDefault="00E93F58" w:rsidP="002F32E3">
            <w:pPr>
              <w:pStyle w:val="ENoteTableText"/>
            </w:pPr>
            <w:r w:rsidRPr="00576D60">
              <w:t>13 May 2011 (F2011L00753)</w:t>
            </w:r>
          </w:p>
        </w:tc>
        <w:tc>
          <w:tcPr>
            <w:tcW w:w="1509" w:type="pct"/>
            <w:tcBorders>
              <w:top w:val="single" w:sz="4" w:space="0" w:color="auto"/>
              <w:bottom w:val="single" w:sz="4" w:space="0" w:color="auto"/>
            </w:tcBorders>
            <w:shd w:val="clear" w:color="auto" w:fill="auto"/>
          </w:tcPr>
          <w:p w14:paraId="0EE5A0A3" w14:textId="77777777" w:rsidR="00E93F58" w:rsidRPr="00576D60" w:rsidRDefault="00E93F58" w:rsidP="002F32E3">
            <w:pPr>
              <w:pStyle w:val="ENoteTableText"/>
            </w:pPr>
            <w:r w:rsidRPr="00576D60">
              <w:t>26 May 2011 (r 2)</w:t>
            </w:r>
          </w:p>
        </w:tc>
        <w:tc>
          <w:tcPr>
            <w:tcW w:w="1101" w:type="pct"/>
            <w:tcBorders>
              <w:top w:val="single" w:sz="4" w:space="0" w:color="auto"/>
              <w:bottom w:val="single" w:sz="4" w:space="0" w:color="auto"/>
            </w:tcBorders>
            <w:shd w:val="clear" w:color="auto" w:fill="auto"/>
          </w:tcPr>
          <w:p w14:paraId="1A504A5C" w14:textId="77777777" w:rsidR="00E93F58" w:rsidRPr="00576D60" w:rsidRDefault="00E93F58" w:rsidP="002F32E3">
            <w:pPr>
              <w:pStyle w:val="ENoteTableText"/>
            </w:pPr>
            <w:r w:rsidRPr="00576D60">
              <w:t>r 4</w:t>
            </w:r>
          </w:p>
        </w:tc>
      </w:tr>
      <w:tr w:rsidR="00E93F58" w:rsidRPr="00576D60" w14:paraId="1FA2FD75" w14:textId="77777777" w:rsidTr="002F32E3">
        <w:trPr>
          <w:cantSplit/>
        </w:trPr>
        <w:tc>
          <w:tcPr>
            <w:tcW w:w="1275" w:type="pct"/>
            <w:tcBorders>
              <w:top w:val="single" w:sz="4" w:space="0" w:color="auto"/>
              <w:bottom w:val="single" w:sz="4" w:space="0" w:color="auto"/>
            </w:tcBorders>
            <w:shd w:val="clear" w:color="auto" w:fill="auto"/>
          </w:tcPr>
          <w:p w14:paraId="092460BF" w14:textId="77777777" w:rsidR="00E93F58" w:rsidRPr="00576D60" w:rsidRDefault="00E93F58" w:rsidP="002F32E3">
            <w:pPr>
              <w:pStyle w:val="ENoteTableText"/>
            </w:pPr>
            <w:r w:rsidRPr="00576D60">
              <w:t>128, 2011</w:t>
            </w:r>
          </w:p>
        </w:tc>
        <w:tc>
          <w:tcPr>
            <w:tcW w:w="1115" w:type="pct"/>
            <w:tcBorders>
              <w:top w:val="single" w:sz="4" w:space="0" w:color="auto"/>
              <w:bottom w:val="single" w:sz="4" w:space="0" w:color="auto"/>
            </w:tcBorders>
            <w:shd w:val="clear" w:color="auto" w:fill="auto"/>
          </w:tcPr>
          <w:p w14:paraId="53A03137" w14:textId="77777777" w:rsidR="00E93F58" w:rsidRPr="00576D60" w:rsidRDefault="00E93F58" w:rsidP="002F32E3">
            <w:pPr>
              <w:pStyle w:val="ENoteTableText"/>
            </w:pPr>
            <w:r w:rsidRPr="00576D60">
              <w:t>30 June 2011 (F2011L01368)</w:t>
            </w:r>
          </w:p>
        </w:tc>
        <w:tc>
          <w:tcPr>
            <w:tcW w:w="1509" w:type="pct"/>
            <w:tcBorders>
              <w:top w:val="single" w:sz="4" w:space="0" w:color="auto"/>
              <w:bottom w:val="single" w:sz="4" w:space="0" w:color="auto"/>
            </w:tcBorders>
            <w:shd w:val="clear" w:color="auto" w:fill="auto"/>
          </w:tcPr>
          <w:p w14:paraId="438CDCCD" w14:textId="77777777" w:rsidR="00E93F58" w:rsidRPr="00576D60" w:rsidRDefault="00E93F58" w:rsidP="002F32E3">
            <w:pPr>
              <w:pStyle w:val="ENoteTableText"/>
            </w:pPr>
            <w:r w:rsidRPr="00576D60">
              <w:t>1 July 2011 (r 2)</w:t>
            </w:r>
          </w:p>
        </w:tc>
        <w:tc>
          <w:tcPr>
            <w:tcW w:w="1101" w:type="pct"/>
            <w:tcBorders>
              <w:top w:val="single" w:sz="4" w:space="0" w:color="auto"/>
              <w:bottom w:val="single" w:sz="4" w:space="0" w:color="auto"/>
            </w:tcBorders>
            <w:shd w:val="clear" w:color="auto" w:fill="auto"/>
          </w:tcPr>
          <w:p w14:paraId="0DFF8BCD" w14:textId="77777777" w:rsidR="00E93F58" w:rsidRPr="00576D60" w:rsidRDefault="00E93F58" w:rsidP="002F32E3">
            <w:pPr>
              <w:pStyle w:val="ENoteTableText"/>
            </w:pPr>
            <w:r w:rsidRPr="00576D60">
              <w:t>—</w:t>
            </w:r>
          </w:p>
        </w:tc>
      </w:tr>
      <w:tr w:rsidR="00E93F58" w:rsidRPr="00576D60" w14:paraId="0A8E7A04" w14:textId="77777777" w:rsidTr="002F32E3">
        <w:trPr>
          <w:cantSplit/>
        </w:trPr>
        <w:tc>
          <w:tcPr>
            <w:tcW w:w="1275" w:type="pct"/>
            <w:tcBorders>
              <w:top w:val="single" w:sz="4" w:space="0" w:color="auto"/>
              <w:bottom w:val="single" w:sz="4" w:space="0" w:color="auto"/>
            </w:tcBorders>
            <w:shd w:val="clear" w:color="auto" w:fill="auto"/>
          </w:tcPr>
          <w:p w14:paraId="4AE23E01" w14:textId="77777777" w:rsidR="00E93F58" w:rsidRPr="00576D60" w:rsidRDefault="00E93F58" w:rsidP="002F32E3">
            <w:pPr>
              <w:pStyle w:val="ENoteTableText"/>
            </w:pPr>
            <w:r w:rsidRPr="00576D60">
              <w:t>142, 2011</w:t>
            </w:r>
          </w:p>
        </w:tc>
        <w:tc>
          <w:tcPr>
            <w:tcW w:w="1115" w:type="pct"/>
            <w:tcBorders>
              <w:top w:val="single" w:sz="4" w:space="0" w:color="auto"/>
              <w:bottom w:val="single" w:sz="4" w:space="0" w:color="auto"/>
            </w:tcBorders>
            <w:shd w:val="clear" w:color="auto" w:fill="auto"/>
          </w:tcPr>
          <w:p w14:paraId="647197A9" w14:textId="77777777" w:rsidR="00E93F58" w:rsidRPr="00576D60" w:rsidRDefault="00E93F58" w:rsidP="002F32E3">
            <w:pPr>
              <w:pStyle w:val="ENoteTableText"/>
            </w:pPr>
            <w:r w:rsidRPr="00576D60">
              <w:t>1 Aug 2011 (F2011L01577)</w:t>
            </w:r>
          </w:p>
        </w:tc>
        <w:tc>
          <w:tcPr>
            <w:tcW w:w="1509" w:type="pct"/>
            <w:tcBorders>
              <w:top w:val="single" w:sz="4" w:space="0" w:color="auto"/>
              <w:bottom w:val="single" w:sz="4" w:space="0" w:color="auto"/>
            </w:tcBorders>
            <w:shd w:val="clear" w:color="auto" w:fill="auto"/>
          </w:tcPr>
          <w:p w14:paraId="74D40C6D" w14:textId="77777777" w:rsidR="00E93F58" w:rsidRPr="00576D60" w:rsidRDefault="00E93F58" w:rsidP="002F32E3">
            <w:pPr>
              <w:pStyle w:val="ENoteTableText"/>
            </w:pPr>
            <w:r w:rsidRPr="00576D60">
              <w:t>2 Aug 2011 (r 2)</w:t>
            </w:r>
          </w:p>
        </w:tc>
        <w:tc>
          <w:tcPr>
            <w:tcW w:w="1101" w:type="pct"/>
            <w:tcBorders>
              <w:top w:val="single" w:sz="4" w:space="0" w:color="auto"/>
              <w:bottom w:val="single" w:sz="4" w:space="0" w:color="auto"/>
            </w:tcBorders>
            <w:shd w:val="clear" w:color="auto" w:fill="auto"/>
          </w:tcPr>
          <w:p w14:paraId="05EDB03B" w14:textId="77777777" w:rsidR="00E93F58" w:rsidRPr="00576D60" w:rsidRDefault="00E93F58" w:rsidP="002F32E3">
            <w:pPr>
              <w:pStyle w:val="ENoteTableText"/>
            </w:pPr>
            <w:r w:rsidRPr="00576D60">
              <w:t>—</w:t>
            </w:r>
          </w:p>
        </w:tc>
      </w:tr>
      <w:tr w:rsidR="00E93F58" w:rsidRPr="00576D60" w14:paraId="1419B7EA" w14:textId="77777777" w:rsidTr="002F32E3">
        <w:trPr>
          <w:cantSplit/>
        </w:trPr>
        <w:tc>
          <w:tcPr>
            <w:tcW w:w="1275" w:type="pct"/>
            <w:tcBorders>
              <w:top w:val="single" w:sz="4" w:space="0" w:color="auto"/>
              <w:bottom w:val="single" w:sz="4" w:space="0" w:color="auto"/>
            </w:tcBorders>
            <w:shd w:val="clear" w:color="auto" w:fill="auto"/>
          </w:tcPr>
          <w:p w14:paraId="16EB8FDF" w14:textId="77777777" w:rsidR="00E93F58" w:rsidRPr="00576D60" w:rsidRDefault="00E93F58" w:rsidP="002F32E3">
            <w:pPr>
              <w:pStyle w:val="ENoteTableText"/>
            </w:pPr>
            <w:r w:rsidRPr="00576D60">
              <w:t>193, 2011</w:t>
            </w:r>
          </w:p>
        </w:tc>
        <w:tc>
          <w:tcPr>
            <w:tcW w:w="1115" w:type="pct"/>
            <w:tcBorders>
              <w:top w:val="single" w:sz="4" w:space="0" w:color="auto"/>
              <w:bottom w:val="single" w:sz="4" w:space="0" w:color="auto"/>
            </w:tcBorders>
            <w:shd w:val="clear" w:color="auto" w:fill="auto"/>
          </w:tcPr>
          <w:p w14:paraId="65FB1C20" w14:textId="77777777" w:rsidR="00E93F58" w:rsidRPr="00576D60" w:rsidRDefault="00E93F58" w:rsidP="002F32E3">
            <w:pPr>
              <w:pStyle w:val="ENoteTableText"/>
            </w:pPr>
            <w:r w:rsidRPr="00576D60">
              <w:t>21 Oct 2011 (F2011L02103)</w:t>
            </w:r>
          </w:p>
        </w:tc>
        <w:tc>
          <w:tcPr>
            <w:tcW w:w="1509" w:type="pct"/>
            <w:tcBorders>
              <w:top w:val="single" w:sz="4" w:space="0" w:color="auto"/>
              <w:bottom w:val="single" w:sz="4" w:space="0" w:color="auto"/>
            </w:tcBorders>
            <w:shd w:val="clear" w:color="auto" w:fill="auto"/>
          </w:tcPr>
          <w:p w14:paraId="6D72E7B7" w14:textId="77777777" w:rsidR="00E93F58" w:rsidRPr="00576D60" w:rsidRDefault="00E93F58" w:rsidP="002F32E3">
            <w:pPr>
              <w:pStyle w:val="ENoteTableText"/>
            </w:pPr>
            <w:r w:rsidRPr="00576D60">
              <w:t>Sch 1: 31 Oct 2011 (r 2)</w:t>
            </w:r>
          </w:p>
        </w:tc>
        <w:tc>
          <w:tcPr>
            <w:tcW w:w="1101" w:type="pct"/>
            <w:tcBorders>
              <w:top w:val="single" w:sz="4" w:space="0" w:color="auto"/>
              <w:bottom w:val="single" w:sz="4" w:space="0" w:color="auto"/>
            </w:tcBorders>
            <w:shd w:val="clear" w:color="auto" w:fill="auto"/>
          </w:tcPr>
          <w:p w14:paraId="6C304D7D" w14:textId="77777777" w:rsidR="00E93F58" w:rsidRPr="00576D60" w:rsidRDefault="00E93F58" w:rsidP="002F32E3">
            <w:pPr>
              <w:pStyle w:val="ENoteTableText"/>
            </w:pPr>
            <w:r w:rsidRPr="00576D60">
              <w:t>—</w:t>
            </w:r>
          </w:p>
        </w:tc>
      </w:tr>
      <w:tr w:rsidR="00E93F58" w:rsidRPr="00576D60" w14:paraId="71B5CD9A" w14:textId="77777777" w:rsidTr="002F32E3">
        <w:trPr>
          <w:cantSplit/>
        </w:trPr>
        <w:tc>
          <w:tcPr>
            <w:tcW w:w="1275" w:type="pct"/>
            <w:tcBorders>
              <w:top w:val="single" w:sz="4" w:space="0" w:color="auto"/>
              <w:bottom w:val="single" w:sz="4" w:space="0" w:color="auto"/>
            </w:tcBorders>
            <w:shd w:val="clear" w:color="auto" w:fill="auto"/>
          </w:tcPr>
          <w:p w14:paraId="39B13718" w14:textId="77777777" w:rsidR="00E93F58" w:rsidRPr="00576D60" w:rsidRDefault="00E93F58" w:rsidP="002F32E3">
            <w:pPr>
              <w:pStyle w:val="ENoteTableText"/>
            </w:pPr>
            <w:r w:rsidRPr="00576D60">
              <w:t>272, 2011</w:t>
            </w:r>
          </w:p>
        </w:tc>
        <w:tc>
          <w:tcPr>
            <w:tcW w:w="1115" w:type="pct"/>
            <w:tcBorders>
              <w:top w:val="single" w:sz="4" w:space="0" w:color="auto"/>
              <w:bottom w:val="single" w:sz="4" w:space="0" w:color="auto"/>
            </w:tcBorders>
            <w:shd w:val="clear" w:color="auto" w:fill="auto"/>
          </w:tcPr>
          <w:p w14:paraId="5E9B5834" w14:textId="77777777" w:rsidR="00E93F58" w:rsidRPr="00576D60" w:rsidRDefault="00E93F58" w:rsidP="002F32E3">
            <w:pPr>
              <w:pStyle w:val="ENoteTableText"/>
            </w:pPr>
            <w:r w:rsidRPr="00576D60">
              <w:t>9 Dec 2011 (F2011L02621)</w:t>
            </w:r>
          </w:p>
        </w:tc>
        <w:tc>
          <w:tcPr>
            <w:tcW w:w="1509" w:type="pct"/>
            <w:tcBorders>
              <w:top w:val="single" w:sz="4" w:space="0" w:color="auto"/>
              <w:bottom w:val="single" w:sz="4" w:space="0" w:color="auto"/>
            </w:tcBorders>
            <w:shd w:val="clear" w:color="auto" w:fill="auto"/>
          </w:tcPr>
          <w:p w14:paraId="08939D7C" w14:textId="77777777" w:rsidR="00E93F58" w:rsidRPr="00576D60" w:rsidRDefault="00E93F58" w:rsidP="002F32E3">
            <w:pPr>
              <w:pStyle w:val="ENoteTableText"/>
            </w:pPr>
            <w:r w:rsidRPr="00576D60">
              <w:t>10 Dec 2011 (r 2)</w:t>
            </w:r>
          </w:p>
        </w:tc>
        <w:tc>
          <w:tcPr>
            <w:tcW w:w="1101" w:type="pct"/>
            <w:tcBorders>
              <w:top w:val="single" w:sz="4" w:space="0" w:color="auto"/>
              <w:bottom w:val="single" w:sz="4" w:space="0" w:color="auto"/>
            </w:tcBorders>
            <w:shd w:val="clear" w:color="auto" w:fill="auto"/>
          </w:tcPr>
          <w:p w14:paraId="220D4250" w14:textId="77777777" w:rsidR="00E93F58" w:rsidRPr="00576D60" w:rsidRDefault="00E93F58" w:rsidP="002F32E3">
            <w:pPr>
              <w:pStyle w:val="ENoteTableText"/>
            </w:pPr>
            <w:r w:rsidRPr="00576D60">
              <w:t>r 4</w:t>
            </w:r>
          </w:p>
        </w:tc>
      </w:tr>
      <w:tr w:rsidR="00E93F58" w:rsidRPr="00576D60" w14:paraId="611F1F61" w14:textId="77777777" w:rsidTr="002F32E3">
        <w:trPr>
          <w:cantSplit/>
        </w:trPr>
        <w:tc>
          <w:tcPr>
            <w:tcW w:w="1275" w:type="pct"/>
            <w:tcBorders>
              <w:top w:val="single" w:sz="4" w:space="0" w:color="auto"/>
              <w:bottom w:val="single" w:sz="4" w:space="0" w:color="auto"/>
            </w:tcBorders>
            <w:shd w:val="clear" w:color="auto" w:fill="auto"/>
          </w:tcPr>
          <w:p w14:paraId="669D8547" w14:textId="77777777" w:rsidR="00E93F58" w:rsidRPr="00576D60" w:rsidRDefault="00E93F58" w:rsidP="002F32E3">
            <w:pPr>
              <w:pStyle w:val="ENoteTableText"/>
            </w:pPr>
            <w:r w:rsidRPr="00576D60">
              <w:t>274, 2011</w:t>
            </w:r>
          </w:p>
        </w:tc>
        <w:tc>
          <w:tcPr>
            <w:tcW w:w="1115" w:type="pct"/>
            <w:tcBorders>
              <w:top w:val="single" w:sz="4" w:space="0" w:color="auto"/>
              <w:bottom w:val="single" w:sz="4" w:space="0" w:color="auto"/>
            </w:tcBorders>
            <w:shd w:val="clear" w:color="auto" w:fill="auto"/>
          </w:tcPr>
          <w:p w14:paraId="440EEA35" w14:textId="77777777" w:rsidR="00E93F58" w:rsidRPr="00576D60" w:rsidRDefault="00E93F58" w:rsidP="002F32E3">
            <w:pPr>
              <w:pStyle w:val="ENoteTableText"/>
            </w:pPr>
            <w:r w:rsidRPr="00576D60">
              <w:t>9 Dec 2011 (F2011L02616)</w:t>
            </w:r>
          </w:p>
        </w:tc>
        <w:tc>
          <w:tcPr>
            <w:tcW w:w="1509" w:type="pct"/>
            <w:tcBorders>
              <w:top w:val="single" w:sz="4" w:space="0" w:color="auto"/>
              <w:bottom w:val="single" w:sz="4" w:space="0" w:color="auto"/>
            </w:tcBorders>
            <w:shd w:val="clear" w:color="auto" w:fill="auto"/>
          </w:tcPr>
          <w:p w14:paraId="0B3BBEEF" w14:textId="77777777" w:rsidR="00E93F58" w:rsidRPr="00576D60" w:rsidRDefault="00E93F58" w:rsidP="002F32E3">
            <w:pPr>
              <w:pStyle w:val="ENoteTableText"/>
            </w:pPr>
            <w:r w:rsidRPr="00576D60">
              <w:t>Sch 2: 10 Dec 2011 (r 2)</w:t>
            </w:r>
          </w:p>
        </w:tc>
        <w:tc>
          <w:tcPr>
            <w:tcW w:w="1101" w:type="pct"/>
            <w:tcBorders>
              <w:top w:val="single" w:sz="4" w:space="0" w:color="auto"/>
              <w:bottom w:val="single" w:sz="4" w:space="0" w:color="auto"/>
            </w:tcBorders>
            <w:shd w:val="clear" w:color="auto" w:fill="auto"/>
          </w:tcPr>
          <w:p w14:paraId="0E189BD6" w14:textId="77777777" w:rsidR="00E93F58" w:rsidRPr="00576D60" w:rsidRDefault="00E93F58" w:rsidP="002F32E3">
            <w:pPr>
              <w:pStyle w:val="ENoteTableText"/>
            </w:pPr>
            <w:r w:rsidRPr="00576D60">
              <w:t>—</w:t>
            </w:r>
          </w:p>
        </w:tc>
      </w:tr>
      <w:tr w:rsidR="00E93F58" w:rsidRPr="00576D60" w14:paraId="37023635" w14:textId="77777777" w:rsidTr="002F32E3">
        <w:trPr>
          <w:cantSplit/>
        </w:trPr>
        <w:tc>
          <w:tcPr>
            <w:tcW w:w="1275" w:type="pct"/>
            <w:tcBorders>
              <w:top w:val="single" w:sz="4" w:space="0" w:color="auto"/>
              <w:bottom w:val="single" w:sz="4" w:space="0" w:color="auto"/>
            </w:tcBorders>
            <w:shd w:val="clear" w:color="auto" w:fill="auto"/>
          </w:tcPr>
          <w:p w14:paraId="0203C6C0" w14:textId="77777777" w:rsidR="00E93F58" w:rsidRPr="00576D60" w:rsidRDefault="00E93F58" w:rsidP="002F32E3">
            <w:pPr>
              <w:pStyle w:val="ENoteTableText"/>
            </w:pPr>
            <w:r w:rsidRPr="00576D60">
              <w:t>42, 2012</w:t>
            </w:r>
          </w:p>
        </w:tc>
        <w:tc>
          <w:tcPr>
            <w:tcW w:w="1115" w:type="pct"/>
            <w:tcBorders>
              <w:top w:val="single" w:sz="4" w:space="0" w:color="auto"/>
              <w:bottom w:val="single" w:sz="4" w:space="0" w:color="auto"/>
            </w:tcBorders>
            <w:shd w:val="clear" w:color="auto" w:fill="auto"/>
          </w:tcPr>
          <w:p w14:paraId="65EC668D" w14:textId="77777777" w:rsidR="00E93F58" w:rsidRPr="00576D60" w:rsidRDefault="00E93F58" w:rsidP="002F32E3">
            <w:pPr>
              <w:pStyle w:val="ENoteTableText"/>
            </w:pPr>
            <w:r w:rsidRPr="00576D60">
              <w:t>11 Apr 2012 (F2012L00826)</w:t>
            </w:r>
          </w:p>
        </w:tc>
        <w:tc>
          <w:tcPr>
            <w:tcW w:w="1509" w:type="pct"/>
            <w:tcBorders>
              <w:top w:val="single" w:sz="4" w:space="0" w:color="auto"/>
              <w:bottom w:val="single" w:sz="4" w:space="0" w:color="auto"/>
            </w:tcBorders>
            <w:shd w:val="clear" w:color="auto" w:fill="auto"/>
          </w:tcPr>
          <w:p w14:paraId="39270EE9" w14:textId="77777777" w:rsidR="00E93F58" w:rsidRPr="00576D60" w:rsidRDefault="00E93F58" w:rsidP="002F32E3">
            <w:pPr>
              <w:pStyle w:val="ENoteTableText"/>
            </w:pPr>
            <w:r w:rsidRPr="00576D60">
              <w:t>12 Apr 2012 (s 2)</w:t>
            </w:r>
          </w:p>
        </w:tc>
        <w:tc>
          <w:tcPr>
            <w:tcW w:w="1101" w:type="pct"/>
            <w:tcBorders>
              <w:top w:val="single" w:sz="4" w:space="0" w:color="auto"/>
              <w:bottom w:val="single" w:sz="4" w:space="0" w:color="auto"/>
            </w:tcBorders>
            <w:shd w:val="clear" w:color="auto" w:fill="auto"/>
          </w:tcPr>
          <w:p w14:paraId="2A73C967" w14:textId="77777777" w:rsidR="00E93F58" w:rsidRPr="00576D60" w:rsidRDefault="00E93F58" w:rsidP="002F32E3">
            <w:pPr>
              <w:pStyle w:val="ENoteTableText"/>
            </w:pPr>
            <w:r w:rsidRPr="00576D60">
              <w:t>—</w:t>
            </w:r>
          </w:p>
        </w:tc>
      </w:tr>
      <w:tr w:rsidR="00E93F58" w:rsidRPr="00576D60" w14:paraId="2698FB24" w14:textId="77777777" w:rsidTr="002F32E3">
        <w:trPr>
          <w:cantSplit/>
        </w:trPr>
        <w:tc>
          <w:tcPr>
            <w:tcW w:w="1275" w:type="pct"/>
            <w:tcBorders>
              <w:top w:val="single" w:sz="4" w:space="0" w:color="auto"/>
              <w:bottom w:val="single" w:sz="4" w:space="0" w:color="auto"/>
            </w:tcBorders>
            <w:shd w:val="clear" w:color="auto" w:fill="auto"/>
          </w:tcPr>
          <w:p w14:paraId="6AE65529" w14:textId="77777777" w:rsidR="00E93F58" w:rsidRPr="00576D60" w:rsidRDefault="00E93F58" w:rsidP="002F32E3">
            <w:pPr>
              <w:pStyle w:val="ENoteTableText"/>
            </w:pPr>
            <w:r w:rsidRPr="00576D60">
              <w:t>43, 2012</w:t>
            </w:r>
          </w:p>
        </w:tc>
        <w:tc>
          <w:tcPr>
            <w:tcW w:w="1115" w:type="pct"/>
            <w:tcBorders>
              <w:top w:val="single" w:sz="4" w:space="0" w:color="auto"/>
              <w:bottom w:val="single" w:sz="4" w:space="0" w:color="auto"/>
            </w:tcBorders>
            <w:shd w:val="clear" w:color="auto" w:fill="auto"/>
          </w:tcPr>
          <w:p w14:paraId="215DF1CB" w14:textId="77777777" w:rsidR="00E93F58" w:rsidRPr="00576D60" w:rsidRDefault="00E93F58" w:rsidP="002F32E3">
            <w:pPr>
              <w:pStyle w:val="ENoteTableText"/>
            </w:pPr>
            <w:r w:rsidRPr="00576D60">
              <w:t>11 Apr 2012 (F2012L00829)</w:t>
            </w:r>
          </w:p>
        </w:tc>
        <w:tc>
          <w:tcPr>
            <w:tcW w:w="1509" w:type="pct"/>
            <w:tcBorders>
              <w:top w:val="single" w:sz="4" w:space="0" w:color="auto"/>
              <w:bottom w:val="single" w:sz="4" w:space="0" w:color="auto"/>
            </w:tcBorders>
            <w:shd w:val="clear" w:color="auto" w:fill="auto"/>
          </w:tcPr>
          <w:p w14:paraId="2C11C1CD" w14:textId="77777777" w:rsidR="00E93F58" w:rsidRPr="00576D60" w:rsidRDefault="00E93F58" w:rsidP="002F32E3">
            <w:pPr>
              <w:pStyle w:val="ENoteTableText"/>
            </w:pPr>
            <w:r w:rsidRPr="00576D60">
              <w:t>Sch 2: 12 Apr 2012</w:t>
            </w:r>
            <w:r w:rsidRPr="00576D60">
              <w:br/>
              <w:t>Remainder: 13 Apr 2011 (s 2(a))</w:t>
            </w:r>
          </w:p>
        </w:tc>
        <w:tc>
          <w:tcPr>
            <w:tcW w:w="1101" w:type="pct"/>
            <w:tcBorders>
              <w:top w:val="single" w:sz="4" w:space="0" w:color="auto"/>
              <w:bottom w:val="single" w:sz="4" w:space="0" w:color="auto"/>
            </w:tcBorders>
            <w:shd w:val="clear" w:color="auto" w:fill="auto"/>
          </w:tcPr>
          <w:p w14:paraId="4044B322" w14:textId="77777777" w:rsidR="00E93F58" w:rsidRPr="00576D60" w:rsidRDefault="00E93F58" w:rsidP="002F32E3">
            <w:pPr>
              <w:pStyle w:val="ENoteTableText"/>
            </w:pPr>
            <w:r w:rsidRPr="00576D60">
              <w:t>—</w:t>
            </w:r>
          </w:p>
        </w:tc>
      </w:tr>
      <w:tr w:rsidR="00E93F58" w:rsidRPr="00576D60" w14:paraId="1AAB6EF0" w14:textId="77777777" w:rsidTr="002F32E3">
        <w:trPr>
          <w:cantSplit/>
        </w:trPr>
        <w:tc>
          <w:tcPr>
            <w:tcW w:w="1275" w:type="pct"/>
            <w:tcBorders>
              <w:top w:val="single" w:sz="4" w:space="0" w:color="auto"/>
              <w:bottom w:val="single" w:sz="4" w:space="0" w:color="auto"/>
            </w:tcBorders>
            <w:shd w:val="clear" w:color="auto" w:fill="auto"/>
          </w:tcPr>
          <w:p w14:paraId="55E75B1C" w14:textId="77777777" w:rsidR="00E93F58" w:rsidRPr="00576D60" w:rsidRDefault="00E93F58" w:rsidP="002F32E3">
            <w:pPr>
              <w:pStyle w:val="ENoteTableText"/>
            </w:pPr>
            <w:r w:rsidRPr="00576D60">
              <w:t>46, 2012</w:t>
            </w:r>
          </w:p>
        </w:tc>
        <w:tc>
          <w:tcPr>
            <w:tcW w:w="1115" w:type="pct"/>
            <w:tcBorders>
              <w:top w:val="single" w:sz="4" w:space="0" w:color="auto"/>
              <w:bottom w:val="single" w:sz="4" w:space="0" w:color="auto"/>
            </w:tcBorders>
            <w:shd w:val="clear" w:color="auto" w:fill="auto"/>
          </w:tcPr>
          <w:p w14:paraId="279F2281" w14:textId="77777777" w:rsidR="00E93F58" w:rsidRPr="00576D60" w:rsidRDefault="00E93F58" w:rsidP="002F32E3">
            <w:pPr>
              <w:pStyle w:val="ENoteTableText"/>
            </w:pPr>
            <w:r w:rsidRPr="00576D60">
              <w:t>11 Apr 2012 (F2012L00831)</w:t>
            </w:r>
          </w:p>
        </w:tc>
        <w:tc>
          <w:tcPr>
            <w:tcW w:w="1509" w:type="pct"/>
            <w:tcBorders>
              <w:top w:val="single" w:sz="4" w:space="0" w:color="auto"/>
              <w:bottom w:val="single" w:sz="4" w:space="0" w:color="auto"/>
            </w:tcBorders>
            <w:shd w:val="clear" w:color="auto" w:fill="auto"/>
          </w:tcPr>
          <w:p w14:paraId="1EFB86D5" w14:textId="77777777" w:rsidR="00E93F58" w:rsidRPr="00576D60" w:rsidRDefault="00E93F58" w:rsidP="002F32E3">
            <w:pPr>
              <w:pStyle w:val="ENoteTableText"/>
            </w:pPr>
            <w:r w:rsidRPr="00576D60">
              <w:t>12 Apr 2012 (s 2)</w:t>
            </w:r>
          </w:p>
        </w:tc>
        <w:tc>
          <w:tcPr>
            <w:tcW w:w="1101" w:type="pct"/>
            <w:tcBorders>
              <w:top w:val="single" w:sz="4" w:space="0" w:color="auto"/>
              <w:bottom w:val="single" w:sz="4" w:space="0" w:color="auto"/>
            </w:tcBorders>
            <w:shd w:val="clear" w:color="auto" w:fill="auto"/>
          </w:tcPr>
          <w:p w14:paraId="3270564C" w14:textId="77777777" w:rsidR="00E93F58" w:rsidRPr="00576D60" w:rsidRDefault="00E93F58" w:rsidP="002F32E3">
            <w:pPr>
              <w:pStyle w:val="ENoteTableText"/>
            </w:pPr>
            <w:r w:rsidRPr="00576D60">
              <w:t>—</w:t>
            </w:r>
          </w:p>
        </w:tc>
      </w:tr>
      <w:tr w:rsidR="00E93F58" w:rsidRPr="00576D60" w14:paraId="5D3A0D18" w14:textId="77777777" w:rsidTr="002F32E3">
        <w:trPr>
          <w:cantSplit/>
        </w:trPr>
        <w:tc>
          <w:tcPr>
            <w:tcW w:w="1275" w:type="pct"/>
            <w:tcBorders>
              <w:top w:val="single" w:sz="4" w:space="0" w:color="auto"/>
              <w:bottom w:val="single" w:sz="4" w:space="0" w:color="auto"/>
            </w:tcBorders>
            <w:shd w:val="clear" w:color="auto" w:fill="auto"/>
          </w:tcPr>
          <w:p w14:paraId="3DCBB20C" w14:textId="77777777" w:rsidR="00E93F58" w:rsidRPr="00576D60" w:rsidRDefault="00E93F58" w:rsidP="002F32E3">
            <w:pPr>
              <w:pStyle w:val="ENoteTableText"/>
            </w:pPr>
            <w:r w:rsidRPr="00576D60">
              <w:t>114, 2012</w:t>
            </w:r>
          </w:p>
        </w:tc>
        <w:tc>
          <w:tcPr>
            <w:tcW w:w="1115" w:type="pct"/>
            <w:tcBorders>
              <w:top w:val="single" w:sz="4" w:space="0" w:color="auto"/>
              <w:bottom w:val="single" w:sz="4" w:space="0" w:color="auto"/>
            </w:tcBorders>
            <w:shd w:val="clear" w:color="auto" w:fill="auto"/>
          </w:tcPr>
          <w:p w14:paraId="4A7A4D6D" w14:textId="77777777" w:rsidR="00E93F58" w:rsidRPr="00576D60" w:rsidRDefault="00E93F58" w:rsidP="002F32E3">
            <w:pPr>
              <w:pStyle w:val="ENoteTableText"/>
            </w:pPr>
            <w:r w:rsidRPr="00576D60">
              <w:t>20 June 2012 (F2012L01272)</w:t>
            </w:r>
          </w:p>
        </w:tc>
        <w:tc>
          <w:tcPr>
            <w:tcW w:w="1509" w:type="pct"/>
            <w:tcBorders>
              <w:top w:val="single" w:sz="4" w:space="0" w:color="auto"/>
              <w:bottom w:val="single" w:sz="4" w:space="0" w:color="auto"/>
            </w:tcBorders>
            <w:shd w:val="clear" w:color="auto" w:fill="auto"/>
          </w:tcPr>
          <w:p w14:paraId="50F92AFC" w14:textId="77777777" w:rsidR="00E93F58" w:rsidRPr="00576D60" w:rsidRDefault="00E93F58" w:rsidP="002F32E3">
            <w:pPr>
              <w:pStyle w:val="ENoteTableText"/>
            </w:pPr>
            <w:r w:rsidRPr="00576D60">
              <w:t>Sch 1: 1 July 2012 (s 2(b) and F2012L01239)</w:t>
            </w:r>
          </w:p>
        </w:tc>
        <w:tc>
          <w:tcPr>
            <w:tcW w:w="1101" w:type="pct"/>
            <w:tcBorders>
              <w:top w:val="single" w:sz="4" w:space="0" w:color="auto"/>
              <w:bottom w:val="single" w:sz="4" w:space="0" w:color="auto"/>
            </w:tcBorders>
            <w:shd w:val="clear" w:color="auto" w:fill="auto"/>
          </w:tcPr>
          <w:p w14:paraId="01F2DDF7" w14:textId="77777777" w:rsidR="00E93F58" w:rsidRPr="00576D60" w:rsidRDefault="00E93F58" w:rsidP="002F32E3">
            <w:pPr>
              <w:pStyle w:val="ENoteTableText"/>
            </w:pPr>
            <w:r w:rsidRPr="00576D60">
              <w:t>—</w:t>
            </w:r>
          </w:p>
        </w:tc>
      </w:tr>
      <w:tr w:rsidR="00E93F58" w:rsidRPr="00576D60" w14:paraId="7674343A" w14:textId="77777777" w:rsidTr="002F32E3">
        <w:trPr>
          <w:cantSplit/>
        </w:trPr>
        <w:tc>
          <w:tcPr>
            <w:tcW w:w="1275" w:type="pct"/>
            <w:tcBorders>
              <w:top w:val="single" w:sz="4" w:space="0" w:color="auto"/>
              <w:bottom w:val="single" w:sz="4" w:space="0" w:color="auto"/>
            </w:tcBorders>
            <w:shd w:val="clear" w:color="auto" w:fill="auto"/>
          </w:tcPr>
          <w:p w14:paraId="17152CB0" w14:textId="77777777" w:rsidR="00E93F58" w:rsidRPr="00576D60" w:rsidRDefault="00E93F58" w:rsidP="002F32E3">
            <w:pPr>
              <w:pStyle w:val="ENoteTableText"/>
            </w:pPr>
            <w:r w:rsidRPr="00576D60">
              <w:t>170, 2012</w:t>
            </w:r>
          </w:p>
        </w:tc>
        <w:tc>
          <w:tcPr>
            <w:tcW w:w="1115" w:type="pct"/>
            <w:tcBorders>
              <w:top w:val="single" w:sz="4" w:space="0" w:color="auto"/>
              <w:bottom w:val="single" w:sz="4" w:space="0" w:color="auto"/>
            </w:tcBorders>
            <w:shd w:val="clear" w:color="auto" w:fill="auto"/>
          </w:tcPr>
          <w:p w14:paraId="226013B0" w14:textId="77777777" w:rsidR="00E93F58" w:rsidRPr="00576D60" w:rsidRDefault="00E93F58" w:rsidP="002F32E3">
            <w:pPr>
              <w:pStyle w:val="ENoteTableText"/>
            </w:pPr>
            <w:r w:rsidRPr="00576D60">
              <w:t>12 July 2012 (F2012L01545)</w:t>
            </w:r>
          </w:p>
        </w:tc>
        <w:tc>
          <w:tcPr>
            <w:tcW w:w="1509" w:type="pct"/>
            <w:tcBorders>
              <w:top w:val="single" w:sz="4" w:space="0" w:color="auto"/>
              <w:bottom w:val="single" w:sz="4" w:space="0" w:color="auto"/>
            </w:tcBorders>
            <w:shd w:val="clear" w:color="auto" w:fill="auto"/>
          </w:tcPr>
          <w:p w14:paraId="5ADFFFCF" w14:textId="77777777" w:rsidR="00E93F58" w:rsidRPr="00576D60" w:rsidRDefault="00E93F58" w:rsidP="002F32E3">
            <w:pPr>
              <w:pStyle w:val="ENoteTableText"/>
            </w:pPr>
            <w:r w:rsidRPr="00576D60">
              <w:t>13 July 2012 (s 2)</w:t>
            </w:r>
          </w:p>
        </w:tc>
        <w:tc>
          <w:tcPr>
            <w:tcW w:w="1101" w:type="pct"/>
            <w:tcBorders>
              <w:top w:val="single" w:sz="4" w:space="0" w:color="auto"/>
              <w:bottom w:val="single" w:sz="4" w:space="0" w:color="auto"/>
            </w:tcBorders>
            <w:shd w:val="clear" w:color="auto" w:fill="auto"/>
          </w:tcPr>
          <w:p w14:paraId="5E657CDE" w14:textId="77777777" w:rsidR="00E93F58" w:rsidRPr="00576D60" w:rsidRDefault="00E93F58" w:rsidP="002F32E3">
            <w:pPr>
              <w:pStyle w:val="ENoteTableText"/>
            </w:pPr>
            <w:r w:rsidRPr="00576D60">
              <w:t>—</w:t>
            </w:r>
          </w:p>
        </w:tc>
      </w:tr>
      <w:tr w:rsidR="00E93F58" w:rsidRPr="00576D60" w14:paraId="37FF10A4" w14:textId="77777777" w:rsidTr="002F32E3">
        <w:trPr>
          <w:cantSplit/>
        </w:trPr>
        <w:tc>
          <w:tcPr>
            <w:tcW w:w="1275" w:type="pct"/>
            <w:tcBorders>
              <w:top w:val="single" w:sz="4" w:space="0" w:color="auto"/>
              <w:bottom w:val="single" w:sz="4" w:space="0" w:color="auto"/>
            </w:tcBorders>
            <w:shd w:val="clear" w:color="auto" w:fill="auto"/>
          </w:tcPr>
          <w:p w14:paraId="63047E45" w14:textId="77777777" w:rsidR="00E93F58" w:rsidRPr="00576D60" w:rsidRDefault="00E93F58" w:rsidP="002F32E3">
            <w:pPr>
              <w:pStyle w:val="ENoteTableText"/>
            </w:pPr>
            <w:r w:rsidRPr="00576D60">
              <w:t>171, 2012</w:t>
            </w:r>
          </w:p>
        </w:tc>
        <w:tc>
          <w:tcPr>
            <w:tcW w:w="1115" w:type="pct"/>
            <w:tcBorders>
              <w:top w:val="single" w:sz="4" w:space="0" w:color="auto"/>
              <w:bottom w:val="single" w:sz="4" w:space="0" w:color="auto"/>
            </w:tcBorders>
            <w:shd w:val="clear" w:color="auto" w:fill="auto"/>
          </w:tcPr>
          <w:p w14:paraId="3E6CF7CE" w14:textId="77777777" w:rsidR="00E93F58" w:rsidRPr="00576D60" w:rsidRDefault="00E93F58" w:rsidP="002F32E3">
            <w:pPr>
              <w:pStyle w:val="ENoteTableText"/>
            </w:pPr>
            <w:r w:rsidRPr="00576D60">
              <w:t>13 July 2012 (F2012L01548)</w:t>
            </w:r>
          </w:p>
        </w:tc>
        <w:tc>
          <w:tcPr>
            <w:tcW w:w="1509" w:type="pct"/>
            <w:tcBorders>
              <w:top w:val="single" w:sz="4" w:space="0" w:color="auto"/>
              <w:bottom w:val="single" w:sz="4" w:space="0" w:color="auto"/>
            </w:tcBorders>
            <w:shd w:val="clear" w:color="auto" w:fill="auto"/>
          </w:tcPr>
          <w:p w14:paraId="756B7266" w14:textId="77777777" w:rsidR="00E93F58" w:rsidRPr="00576D60" w:rsidRDefault="00E93F58" w:rsidP="002F32E3">
            <w:pPr>
              <w:pStyle w:val="ENoteTableText"/>
            </w:pPr>
            <w:r w:rsidRPr="00576D60">
              <w:t>25 July 2012 (s 2)</w:t>
            </w:r>
          </w:p>
        </w:tc>
        <w:tc>
          <w:tcPr>
            <w:tcW w:w="1101" w:type="pct"/>
            <w:tcBorders>
              <w:top w:val="single" w:sz="4" w:space="0" w:color="auto"/>
              <w:bottom w:val="single" w:sz="4" w:space="0" w:color="auto"/>
            </w:tcBorders>
            <w:shd w:val="clear" w:color="auto" w:fill="auto"/>
          </w:tcPr>
          <w:p w14:paraId="3610A7B8" w14:textId="77777777" w:rsidR="00E93F58" w:rsidRPr="00576D60" w:rsidRDefault="00E93F58" w:rsidP="002F32E3">
            <w:pPr>
              <w:pStyle w:val="ENoteTableText"/>
            </w:pPr>
            <w:r w:rsidRPr="00576D60">
              <w:t>—</w:t>
            </w:r>
          </w:p>
        </w:tc>
      </w:tr>
      <w:tr w:rsidR="00E93F58" w:rsidRPr="00576D60" w14:paraId="7C4ED4CF" w14:textId="77777777" w:rsidTr="002F32E3">
        <w:trPr>
          <w:cantSplit/>
        </w:trPr>
        <w:tc>
          <w:tcPr>
            <w:tcW w:w="1275" w:type="pct"/>
            <w:tcBorders>
              <w:top w:val="single" w:sz="4" w:space="0" w:color="auto"/>
              <w:bottom w:val="nil"/>
            </w:tcBorders>
            <w:shd w:val="clear" w:color="auto" w:fill="auto"/>
          </w:tcPr>
          <w:p w14:paraId="4F2E3267" w14:textId="77777777" w:rsidR="00E93F58" w:rsidRPr="00576D60" w:rsidRDefault="00E93F58" w:rsidP="002F32E3">
            <w:pPr>
              <w:pStyle w:val="ENoteTableText"/>
              <w:keepNext/>
              <w:keepLines/>
            </w:pPr>
            <w:r w:rsidRPr="00576D60">
              <w:t>172, 2012</w:t>
            </w:r>
          </w:p>
        </w:tc>
        <w:tc>
          <w:tcPr>
            <w:tcW w:w="1115" w:type="pct"/>
            <w:tcBorders>
              <w:top w:val="single" w:sz="4" w:space="0" w:color="auto"/>
              <w:bottom w:val="nil"/>
            </w:tcBorders>
            <w:shd w:val="clear" w:color="auto" w:fill="auto"/>
          </w:tcPr>
          <w:p w14:paraId="3A50768E" w14:textId="77777777" w:rsidR="00E93F58" w:rsidRPr="00576D60" w:rsidRDefault="00E93F58" w:rsidP="002F32E3">
            <w:pPr>
              <w:pStyle w:val="ENoteTableText"/>
              <w:keepNext/>
              <w:keepLines/>
            </w:pPr>
            <w:r w:rsidRPr="00576D60">
              <w:t>13 July 2012 (F2012L01549)</w:t>
            </w:r>
          </w:p>
        </w:tc>
        <w:tc>
          <w:tcPr>
            <w:tcW w:w="1509" w:type="pct"/>
            <w:tcBorders>
              <w:top w:val="single" w:sz="4" w:space="0" w:color="auto"/>
              <w:bottom w:val="nil"/>
            </w:tcBorders>
            <w:shd w:val="clear" w:color="auto" w:fill="auto"/>
          </w:tcPr>
          <w:p w14:paraId="3BE0F6F5" w14:textId="77777777" w:rsidR="00E93F58" w:rsidRPr="00576D60" w:rsidRDefault="00E93F58" w:rsidP="002F32E3">
            <w:pPr>
              <w:pStyle w:val="ENoteTableText"/>
              <w:keepNext/>
              <w:keepLines/>
            </w:pPr>
            <w:r w:rsidRPr="00576D60">
              <w:t>12 July 2013 (s 2)</w:t>
            </w:r>
          </w:p>
        </w:tc>
        <w:tc>
          <w:tcPr>
            <w:tcW w:w="1101" w:type="pct"/>
            <w:tcBorders>
              <w:top w:val="single" w:sz="4" w:space="0" w:color="auto"/>
              <w:bottom w:val="nil"/>
            </w:tcBorders>
            <w:shd w:val="clear" w:color="auto" w:fill="auto"/>
          </w:tcPr>
          <w:p w14:paraId="406EF8E2" w14:textId="77777777" w:rsidR="00E93F58" w:rsidRPr="00576D60" w:rsidRDefault="00E93F58" w:rsidP="002F32E3">
            <w:pPr>
              <w:pStyle w:val="ENoteTableText"/>
              <w:keepNext/>
              <w:keepLines/>
            </w:pPr>
          </w:p>
        </w:tc>
      </w:tr>
      <w:tr w:rsidR="00E93F58" w:rsidRPr="00576D60" w14:paraId="2D620A01" w14:textId="77777777" w:rsidTr="002F32E3">
        <w:trPr>
          <w:cantSplit/>
        </w:trPr>
        <w:tc>
          <w:tcPr>
            <w:tcW w:w="1275" w:type="pct"/>
            <w:tcBorders>
              <w:top w:val="nil"/>
              <w:bottom w:val="nil"/>
            </w:tcBorders>
            <w:shd w:val="clear" w:color="auto" w:fill="auto"/>
          </w:tcPr>
          <w:p w14:paraId="7746F9D0" w14:textId="77777777" w:rsidR="00E93F58" w:rsidRPr="00576D60" w:rsidRDefault="00E93F58" w:rsidP="002F32E3">
            <w:pPr>
              <w:pStyle w:val="ENoteTTIndentHeading"/>
            </w:pPr>
            <w:r w:rsidRPr="00576D60">
              <w:t>as amended by</w:t>
            </w:r>
          </w:p>
        </w:tc>
        <w:tc>
          <w:tcPr>
            <w:tcW w:w="1115" w:type="pct"/>
            <w:tcBorders>
              <w:top w:val="nil"/>
              <w:bottom w:val="nil"/>
            </w:tcBorders>
            <w:shd w:val="clear" w:color="auto" w:fill="auto"/>
          </w:tcPr>
          <w:p w14:paraId="78EAA110" w14:textId="77777777" w:rsidR="00E93F58" w:rsidRPr="00576D60" w:rsidRDefault="00E93F58" w:rsidP="002F32E3">
            <w:pPr>
              <w:pStyle w:val="ENoteTableText"/>
            </w:pPr>
          </w:p>
        </w:tc>
        <w:tc>
          <w:tcPr>
            <w:tcW w:w="1509" w:type="pct"/>
            <w:tcBorders>
              <w:top w:val="nil"/>
              <w:bottom w:val="nil"/>
            </w:tcBorders>
            <w:shd w:val="clear" w:color="auto" w:fill="auto"/>
          </w:tcPr>
          <w:p w14:paraId="5C31D06E" w14:textId="77777777" w:rsidR="00E93F58" w:rsidRPr="00576D60" w:rsidRDefault="00E93F58" w:rsidP="002F32E3">
            <w:pPr>
              <w:pStyle w:val="ENoteTableText"/>
            </w:pPr>
          </w:p>
        </w:tc>
        <w:tc>
          <w:tcPr>
            <w:tcW w:w="1101" w:type="pct"/>
            <w:tcBorders>
              <w:top w:val="nil"/>
              <w:bottom w:val="nil"/>
            </w:tcBorders>
            <w:shd w:val="clear" w:color="auto" w:fill="auto"/>
          </w:tcPr>
          <w:p w14:paraId="7E160245" w14:textId="77777777" w:rsidR="00E93F58" w:rsidRPr="00576D60" w:rsidRDefault="00E93F58" w:rsidP="002F32E3">
            <w:pPr>
              <w:pStyle w:val="ENoteTableText"/>
            </w:pPr>
          </w:p>
        </w:tc>
      </w:tr>
      <w:tr w:rsidR="00E93F58" w:rsidRPr="00576D60" w14:paraId="463CF2B2" w14:textId="77777777" w:rsidTr="002F32E3">
        <w:trPr>
          <w:cantSplit/>
        </w:trPr>
        <w:tc>
          <w:tcPr>
            <w:tcW w:w="1275" w:type="pct"/>
            <w:tcBorders>
              <w:top w:val="nil"/>
              <w:bottom w:val="single" w:sz="4" w:space="0" w:color="auto"/>
            </w:tcBorders>
            <w:shd w:val="clear" w:color="auto" w:fill="auto"/>
          </w:tcPr>
          <w:p w14:paraId="2526826F" w14:textId="77777777" w:rsidR="00E93F58" w:rsidRPr="00576D60" w:rsidRDefault="00E93F58" w:rsidP="002F32E3">
            <w:pPr>
              <w:pStyle w:val="ENoteTTi"/>
            </w:pPr>
            <w:r w:rsidRPr="00576D60">
              <w:t>308, 2012</w:t>
            </w:r>
          </w:p>
        </w:tc>
        <w:tc>
          <w:tcPr>
            <w:tcW w:w="1115" w:type="pct"/>
            <w:tcBorders>
              <w:top w:val="nil"/>
              <w:bottom w:val="single" w:sz="4" w:space="0" w:color="auto"/>
            </w:tcBorders>
            <w:shd w:val="clear" w:color="auto" w:fill="auto"/>
          </w:tcPr>
          <w:p w14:paraId="5166AD65" w14:textId="77777777" w:rsidR="00E93F58" w:rsidRPr="00576D60" w:rsidRDefault="00E93F58" w:rsidP="002F32E3">
            <w:pPr>
              <w:pStyle w:val="ENoteTableText"/>
            </w:pPr>
            <w:r w:rsidRPr="00576D60">
              <w:t>11 Dec 2012 (F2012L02414)</w:t>
            </w:r>
          </w:p>
        </w:tc>
        <w:tc>
          <w:tcPr>
            <w:tcW w:w="1509" w:type="pct"/>
            <w:tcBorders>
              <w:top w:val="nil"/>
              <w:bottom w:val="single" w:sz="4" w:space="0" w:color="auto"/>
            </w:tcBorders>
            <w:shd w:val="clear" w:color="auto" w:fill="auto"/>
          </w:tcPr>
          <w:p w14:paraId="6B16EA0F" w14:textId="77777777" w:rsidR="00E93F58" w:rsidRPr="00576D60" w:rsidRDefault="00E93F58" w:rsidP="002F32E3">
            <w:pPr>
              <w:pStyle w:val="ENoteTableText"/>
            </w:pPr>
            <w:r w:rsidRPr="00576D60">
              <w:t>12 Dec 2012 (s 2)</w:t>
            </w:r>
          </w:p>
        </w:tc>
        <w:tc>
          <w:tcPr>
            <w:tcW w:w="1101" w:type="pct"/>
            <w:tcBorders>
              <w:top w:val="nil"/>
              <w:bottom w:val="single" w:sz="4" w:space="0" w:color="auto"/>
            </w:tcBorders>
            <w:shd w:val="clear" w:color="auto" w:fill="auto"/>
          </w:tcPr>
          <w:p w14:paraId="691E30A4" w14:textId="77777777" w:rsidR="00E93F58" w:rsidRPr="00576D60" w:rsidRDefault="00E93F58" w:rsidP="002F32E3">
            <w:pPr>
              <w:pStyle w:val="ENoteTableText"/>
            </w:pPr>
            <w:r w:rsidRPr="00576D60">
              <w:t>—</w:t>
            </w:r>
          </w:p>
        </w:tc>
      </w:tr>
      <w:tr w:rsidR="00E93F58" w:rsidRPr="00576D60" w14:paraId="117BBE92" w14:textId="77777777" w:rsidTr="002F32E3">
        <w:trPr>
          <w:cantSplit/>
        </w:trPr>
        <w:tc>
          <w:tcPr>
            <w:tcW w:w="1275" w:type="pct"/>
            <w:tcBorders>
              <w:top w:val="single" w:sz="4" w:space="0" w:color="auto"/>
              <w:bottom w:val="single" w:sz="4" w:space="0" w:color="auto"/>
            </w:tcBorders>
            <w:shd w:val="clear" w:color="auto" w:fill="auto"/>
          </w:tcPr>
          <w:p w14:paraId="2B377ED1" w14:textId="77777777" w:rsidR="00E93F58" w:rsidRPr="00576D60" w:rsidRDefault="00E93F58" w:rsidP="002F32E3">
            <w:pPr>
              <w:pStyle w:val="ENoteTableText"/>
            </w:pPr>
            <w:r w:rsidRPr="00576D60">
              <w:t>233, 2012</w:t>
            </w:r>
          </w:p>
        </w:tc>
        <w:tc>
          <w:tcPr>
            <w:tcW w:w="1115" w:type="pct"/>
            <w:tcBorders>
              <w:top w:val="single" w:sz="4" w:space="0" w:color="auto"/>
              <w:bottom w:val="single" w:sz="4" w:space="0" w:color="auto"/>
            </w:tcBorders>
            <w:shd w:val="clear" w:color="auto" w:fill="auto"/>
          </w:tcPr>
          <w:p w14:paraId="0B08DDD6" w14:textId="77777777" w:rsidR="00E93F58" w:rsidRPr="00576D60" w:rsidRDefault="00E93F58" w:rsidP="002F32E3">
            <w:pPr>
              <w:pStyle w:val="ENoteTableText"/>
            </w:pPr>
            <w:r w:rsidRPr="00576D60">
              <w:t>28 Sept (F2012L01981)</w:t>
            </w:r>
          </w:p>
        </w:tc>
        <w:tc>
          <w:tcPr>
            <w:tcW w:w="1509" w:type="pct"/>
            <w:tcBorders>
              <w:top w:val="single" w:sz="4" w:space="0" w:color="auto"/>
              <w:bottom w:val="single" w:sz="4" w:space="0" w:color="auto"/>
            </w:tcBorders>
            <w:shd w:val="clear" w:color="auto" w:fill="auto"/>
          </w:tcPr>
          <w:p w14:paraId="6E332046" w14:textId="77777777" w:rsidR="00E93F58" w:rsidRPr="00576D60" w:rsidRDefault="00E93F58" w:rsidP="002F32E3">
            <w:pPr>
              <w:pStyle w:val="ENoteTableText"/>
            </w:pPr>
            <w:r w:rsidRPr="00576D60">
              <w:t>29 Sept 2012 (s 2)</w:t>
            </w:r>
          </w:p>
        </w:tc>
        <w:tc>
          <w:tcPr>
            <w:tcW w:w="1101" w:type="pct"/>
            <w:tcBorders>
              <w:top w:val="single" w:sz="4" w:space="0" w:color="auto"/>
              <w:bottom w:val="single" w:sz="4" w:space="0" w:color="auto"/>
            </w:tcBorders>
            <w:shd w:val="clear" w:color="auto" w:fill="auto"/>
          </w:tcPr>
          <w:p w14:paraId="3A6A0CD9" w14:textId="77777777" w:rsidR="00E93F58" w:rsidRPr="00576D60" w:rsidRDefault="00E93F58" w:rsidP="002F32E3">
            <w:pPr>
              <w:pStyle w:val="ENoteTableText"/>
            </w:pPr>
            <w:r w:rsidRPr="00576D60">
              <w:t>—</w:t>
            </w:r>
          </w:p>
        </w:tc>
      </w:tr>
      <w:tr w:rsidR="00E93F58" w:rsidRPr="00576D60" w14:paraId="2BABAD73" w14:textId="77777777" w:rsidTr="002F32E3">
        <w:trPr>
          <w:cantSplit/>
        </w:trPr>
        <w:tc>
          <w:tcPr>
            <w:tcW w:w="1275" w:type="pct"/>
            <w:tcBorders>
              <w:top w:val="single" w:sz="4" w:space="0" w:color="auto"/>
              <w:bottom w:val="single" w:sz="4" w:space="0" w:color="auto"/>
            </w:tcBorders>
            <w:shd w:val="clear" w:color="auto" w:fill="auto"/>
          </w:tcPr>
          <w:p w14:paraId="534AA36E" w14:textId="77777777" w:rsidR="00E93F58" w:rsidRPr="00576D60" w:rsidRDefault="00E93F58" w:rsidP="002F32E3">
            <w:pPr>
              <w:pStyle w:val="ENoteTableText"/>
            </w:pPr>
            <w:r w:rsidRPr="00576D60">
              <w:t>234, 2012</w:t>
            </w:r>
          </w:p>
        </w:tc>
        <w:tc>
          <w:tcPr>
            <w:tcW w:w="1115" w:type="pct"/>
            <w:tcBorders>
              <w:top w:val="single" w:sz="4" w:space="0" w:color="auto"/>
              <w:bottom w:val="single" w:sz="4" w:space="0" w:color="auto"/>
            </w:tcBorders>
            <w:shd w:val="clear" w:color="auto" w:fill="auto"/>
          </w:tcPr>
          <w:p w14:paraId="716C9C3C" w14:textId="77777777" w:rsidR="00E93F58" w:rsidRPr="00576D60" w:rsidRDefault="00E93F58" w:rsidP="002F32E3">
            <w:pPr>
              <w:pStyle w:val="ENoteTableText"/>
            </w:pPr>
            <w:r w:rsidRPr="00576D60">
              <w:t>2 Oct 2012 (F2012L01989)</w:t>
            </w:r>
          </w:p>
        </w:tc>
        <w:tc>
          <w:tcPr>
            <w:tcW w:w="1509" w:type="pct"/>
            <w:tcBorders>
              <w:top w:val="single" w:sz="4" w:space="0" w:color="auto"/>
              <w:bottom w:val="single" w:sz="4" w:space="0" w:color="auto"/>
            </w:tcBorders>
            <w:shd w:val="clear" w:color="auto" w:fill="auto"/>
          </w:tcPr>
          <w:p w14:paraId="6EB28B80" w14:textId="77777777" w:rsidR="00E93F58" w:rsidRPr="00576D60" w:rsidRDefault="00E93F58" w:rsidP="002F32E3">
            <w:pPr>
              <w:pStyle w:val="ENoteTableText"/>
            </w:pPr>
            <w:r w:rsidRPr="00576D60">
              <w:t>3 Oct 2012 (s 2)</w:t>
            </w:r>
          </w:p>
        </w:tc>
        <w:tc>
          <w:tcPr>
            <w:tcW w:w="1101" w:type="pct"/>
            <w:tcBorders>
              <w:top w:val="single" w:sz="4" w:space="0" w:color="auto"/>
              <w:bottom w:val="single" w:sz="4" w:space="0" w:color="auto"/>
            </w:tcBorders>
            <w:shd w:val="clear" w:color="auto" w:fill="auto"/>
          </w:tcPr>
          <w:p w14:paraId="529EA84F" w14:textId="77777777" w:rsidR="00E93F58" w:rsidRPr="00576D60" w:rsidRDefault="00E93F58" w:rsidP="002F32E3">
            <w:pPr>
              <w:pStyle w:val="ENoteTableText"/>
            </w:pPr>
            <w:r w:rsidRPr="00576D60">
              <w:t>—</w:t>
            </w:r>
          </w:p>
        </w:tc>
      </w:tr>
      <w:tr w:rsidR="00E93F58" w:rsidRPr="00576D60" w14:paraId="71CEE080" w14:textId="77777777" w:rsidTr="002F32E3">
        <w:trPr>
          <w:cantSplit/>
        </w:trPr>
        <w:tc>
          <w:tcPr>
            <w:tcW w:w="1275" w:type="pct"/>
            <w:tcBorders>
              <w:top w:val="single" w:sz="4" w:space="0" w:color="auto"/>
              <w:bottom w:val="single" w:sz="4" w:space="0" w:color="auto"/>
            </w:tcBorders>
            <w:shd w:val="clear" w:color="auto" w:fill="auto"/>
          </w:tcPr>
          <w:p w14:paraId="7429EAF1" w14:textId="77777777" w:rsidR="00E93F58" w:rsidRPr="00576D60" w:rsidRDefault="00E93F58" w:rsidP="002F32E3">
            <w:pPr>
              <w:pStyle w:val="ENoteTableText"/>
            </w:pPr>
            <w:r w:rsidRPr="00576D60">
              <w:t>247, 2012</w:t>
            </w:r>
          </w:p>
        </w:tc>
        <w:tc>
          <w:tcPr>
            <w:tcW w:w="1115" w:type="pct"/>
            <w:tcBorders>
              <w:top w:val="single" w:sz="4" w:space="0" w:color="auto"/>
              <w:bottom w:val="single" w:sz="4" w:space="0" w:color="auto"/>
            </w:tcBorders>
            <w:shd w:val="clear" w:color="auto" w:fill="auto"/>
          </w:tcPr>
          <w:p w14:paraId="07271B69" w14:textId="77777777" w:rsidR="00E93F58" w:rsidRPr="00576D60" w:rsidRDefault="00E93F58" w:rsidP="002F32E3">
            <w:pPr>
              <w:pStyle w:val="ENoteTableText"/>
            </w:pPr>
            <w:r w:rsidRPr="00576D60">
              <w:t>30 Oct 2012 (F2012L02102)</w:t>
            </w:r>
          </w:p>
        </w:tc>
        <w:tc>
          <w:tcPr>
            <w:tcW w:w="1509" w:type="pct"/>
            <w:tcBorders>
              <w:top w:val="single" w:sz="4" w:space="0" w:color="auto"/>
              <w:bottom w:val="single" w:sz="4" w:space="0" w:color="auto"/>
            </w:tcBorders>
            <w:shd w:val="clear" w:color="auto" w:fill="auto"/>
          </w:tcPr>
          <w:p w14:paraId="0253485D" w14:textId="77777777" w:rsidR="00E93F58" w:rsidRPr="00576D60" w:rsidRDefault="00E93F58" w:rsidP="002F32E3">
            <w:pPr>
              <w:pStyle w:val="ENoteTableText"/>
            </w:pPr>
            <w:r w:rsidRPr="00576D60">
              <w:t>1 Nov 2012 (s 2)</w:t>
            </w:r>
          </w:p>
        </w:tc>
        <w:tc>
          <w:tcPr>
            <w:tcW w:w="1101" w:type="pct"/>
            <w:tcBorders>
              <w:top w:val="single" w:sz="4" w:space="0" w:color="auto"/>
              <w:bottom w:val="single" w:sz="4" w:space="0" w:color="auto"/>
            </w:tcBorders>
            <w:shd w:val="clear" w:color="auto" w:fill="auto"/>
          </w:tcPr>
          <w:p w14:paraId="500BDA9F" w14:textId="77777777" w:rsidR="00E93F58" w:rsidRPr="00576D60" w:rsidRDefault="00E93F58" w:rsidP="002F32E3">
            <w:pPr>
              <w:pStyle w:val="ENoteTableText"/>
            </w:pPr>
            <w:r w:rsidRPr="00576D60">
              <w:t>—</w:t>
            </w:r>
          </w:p>
        </w:tc>
      </w:tr>
      <w:tr w:rsidR="00E93F58" w:rsidRPr="00576D60" w14:paraId="15BBC7F1" w14:textId="77777777" w:rsidTr="002F32E3">
        <w:trPr>
          <w:cantSplit/>
        </w:trPr>
        <w:tc>
          <w:tcPr>
            <w:tcW w:w="1275" w:type="pct"/>
            <w:tcBorders>
              <w:top w:val="single" w:sz="4" w:space="0" w:color="auto"/>
              <w:bottom w:val="single" w:sz="4" w:space="0" w:color="auto"/>
            </w:tcBorders>
            <w:shd w:val="clear" w:color="auto" w:fill="auto"/>
          </w:tcPr>
          <w:p w14:paraId="28877E12" w14:textId="77777777" w:rsidR="00E93F58" w:rsidRPr="00576D60" w:rsidRDefault="00E93F58" w:rsidP="002F32E3">
            <w:pPr>
              <w:pStyle w:val="ENoteTableText"/>
            </w:pPr>
            <w:r w:rsidRPr="00576D60">
              <w:t>267, 2012</w:t>
            </w:r>
          </w:p>
        </w:tc>
        <w:tc>
          <w:tcPr>
            <w:tcW w:w="1115" w:type="pct"/>
            <w:tcBorders>
              <w:top w:val="single" w:sz="4" w:space="0" w:color="auto"/>
              <w:bottom w:val="single" w:sz="4" w:space="0" w:color="auto"/>
            </w:tcBorders>
            <w:shd w:val="clear" w:color="auto" w:fill="auto"/>
          </w:tcPr>
          <w:p w14:paraId="70FC3DD8" w14:textId="77777777" w:rsidR="00E93F58" w:rsidRPr="00576D60" w:rsidRDefault="00E93F58" w:rsidP="002F32E3">
            <w:pPr>
              <w:pStyle w:val="ENoteTableText"/>
            </w:pPr>
            <w:r w:rsidRPr="00576D60">
              <w:t>23 Nov 2012 (F2012L02235)</w:t>
            </w:r>
          </w:p>
        </w:tc>
        <w:tc>
          <w:tcPr>
            <w:tcW w:w="1509" w:type="pct"/>
            <w:tcBorders>
              <w:top w:val="single" w:sz="4" w:space="0" w:color="auto"/>
              <w:bottom w:val="single" w:sz="4" w:space="0" w:color="auto"/>
            </w:tcBorders>
            <w:shd w:val="clear" w:color="auto" w:fill="auto"/>
          </w:tcPr>
          <w:p w14:paraId="17DD8859" w14:textId="77777777" w:rsidR="00E93F58" w:rsidRPr="00576D60" w:rsidRDefault="00E93F58" w:rsidP="002F32E3">
            <w:pPr>
              <w:pStyle w:val="ENoteTableText"/>
            </w:pPr>
            <w:r w:rsidRPr="00576D60">
              <w:t>24 Nov 2012 (s 2)</w:t>
            </w:r>
          </w:p>
        </w:tc>
        <w:tc>
          <w:tcPr>
            <w:tcW w:w="1101" w:type="pct"/>
            <w:tcBorders>
              <w:top w:val="single" w:sz="4" w:space="0" w:color="auto"/>
              <w:bottom w:val="single" w:sz="4" w:space="0" w:color="auto"/>
            </w:tcBorders>
            <w:shd w:val="clear" w:color="auto" w:fill="auto"/>
          </w:tcPr>
          <w:p w14:paraId="28C481FE" w14:textId="77777777" w:rsidR="00E93F58" w:rsidRPr="00576D60" w:rsidRDefault="00E93F58" w:rsidP="002F32E3">
            <w:pPr>
              <w:pStyle w:val="ENoteTableText"/>
            </w:pPr>
            <w:r w:rsidRPr="00576D60">
              <w:t>—</w:t>
            </w:r>
          </w:p>
        </w:tc>
      </w:tr>
      <w:tr w:rsidR="00E93F58" w:rsidRPr="00576D60" w14:paraId="318776D3" w14:textId="77777777" w:rsidTr="002F32E3">
        <w:trPr>
          <w:cantSplit/>
        </w:trPr>
        <w:tc>
          <w:tcPr>
            <w:tcW w:w="1275" w:type="pct"/>
            <w:tcBorders>
              <w:top w:val="single" w:sz="4" w:space="0" w:color="auto"/>
              <w:bottom w:val="single" w:sz="4" w:space="0" w:color="auto"/>
            </w:tcBorders>
            <w:shd w:val="clear" w:color="auto" w:fill="auto"/>
          </w:tcPr>
          <w:p w14:paraId="5FF213C8" w14:textId="77777777" w:rsidR="00E93F58" w:rsidRPr="00576D60" w:rsidRDefault="00E93F58" w:rsidP="002F32E3">
            <w:pPr>
              <w:pStyle w:val="ENoteTableText"/>
            </w:pPr>
            <w:r w:rsidRPr="00576D60">
              <w:t>268, 2012</w:t>
            </w:r>
          </w:p>
        </w:tc>
        <w:tc>
          <w:tcPr>
            <w:tcW w:w="1115" w:type="pct"/>
            <w:tcBorders>
              <w:top w:val="single" w:sz="4" w:space="0" w:color="auto"/>
              <w:bottom w:val="single" w:sz="4" w:space="0" w:color="auto"/>
            </w:tcBorders>
            <w:shd w:val="clear" w:color="auto" w:fill="auto"/>
          </w:tcPr>
          <w:p w14:paraId="64EDD870" w14:textId="77777777" w:rsidR="00E93F58" w:rsidRPr="00576D60" w:rsidRDefault="00E93F58" w:rsidP="002F32E3">
            <w:pPr>
              <w:pStyle w:val="ENoteTableText"/>
            </w:pPr>
            <w:r w:rsidRPr="00576D60">
              <w:t>26 Nov 2012 (F2012L02261)</w:t>
            </w:r>
          </w:p>
        </w:tc>
        <w:tc>
          <w:tcPr>
            <w:tcW w:w="1509" w:type="pct"/>
            <w:tcBorders>
              <w:top w:val="single" w:sz="4" w:space="0" w:color="auto"/>
              <w:bottom w:val="single" w:sz="4" w:space="0" w:color="auto"/>
            </w:tcBorders>
            <w:shd w:val="clear" w:color="auto" w:fill="auto"/>
          </w:tcPr>
          <w:p w14:paraId="13953966" w14:textId="77777777" w:rsidR="00E93F58" w:rsidRPr="00576D60" w:rsidRDefault="00E93F58" w:rsidP="002F32E3">
            <w:pPr>
              <w:pStyle w:val="ENoteTableText"/>
            </w:pPr>
            <w:r w:rsidRPr="00576D60">
              <w:t>Sch 2: 1 July 2013 (s 2(b))</w:t>
            </w:r>
            <w:r w:rsidRPr="00576D60">
              <w:br/>
              <w:t>Remainder: 27 Nov 2012 (s 2(a))</w:t>
            </w:r>
          </w:p>
        </w:tc>
        <w:tc>
          <w:tcPr>
            <w:tcW w:w="1101" w:type="pct"/>
            <w:tcBorders>
              <w:top w:val="single" w:sz="4" w:space="0" w:color="auto"/>
              <w:bottom w:val="single" w:sz="4" w:space="0" w:color="auto"/>
            </w:tcBorders>
            <w:shd w:val="clear" w:color="auto" w:fill="auto"/>
          </w:tcPr>
          <w:p w14:paraId="5EC7C96E" w14:textId="77777777" w:rsidR="00E93F58" w:rsidRPr="00576D60" w:rsidRDefault="00E93F58" w:rsidP="002F32E3">
            <w:pPr>
              <w:pStyle w:val="ENoteTableText"/>
            </w:pPr>
            <w:r w:rsidRPr="00576D60">
              <w:t>—</w:t>
            </w:r>
          </w:p>
        </w:tc>
      </w:tr>
      <w:tr w:rsidR="00E93F58" w:rsidRPr="00576D60" w14:paraId="281566CE" w14:textId="77777777" w:rsidTr="002F32E3">
        <w:trPr>
          <w:cantSplit/>
        </w:trPr>
        <w:tc>
          <w:tcPr>
            <w:tcW w:w="1275" w:type="pct"/>
            <w:tcBorders>
              <w:top w:val="single" w:sz="4" w:space="0" w:color="auto"/>
              <w:bottom w:val="single" w:sz="4" w:space="0" w:color="auto"/>
            </w:tcBorders>
            <w:shd w:val="clear" w:color="auto" w:fill="auto"/>
          </w:tcPr>
          <w:p w14:paraId="34E64BC7" w14:textId="77777777" w:rsidR="00E93F58" w:rsidRPr="00576D60" w:rsidRDefault="00E93F58" w:rsidP="002F32E3">
            <w:pPr>
              <w:pStyle w:val="ENoteTableText"/>
            </w:pPr>
            <w:r w:rsidRPr="00576D60">
              <w:t>25, 2013</w:t>
            </w:r>
          </w:p>
        </w:tc>
        <w:tc>
          <w:tcPr>
            <w:tcW w:w="1115" w:type="pct"/>
            <w:tcBorders>
              <w:top w:val="single" w:sz="4" w:space="0" w:color="auto"/>
              <w:bottom w:val="single" w:sz="4" w:space="0" w:color="auto"/>
            </w:tcBorders>
            <w:shd w:val="clear" w:color="auto" w:fill="auto"/>
          </w:tcPr>
          <w:p w14:paraId="01F5E3F1" w14:textId="77777777" w:rsidR="00E93F58" w:rsidRPr="00576D60" w:rsidRDefault="00E93F58" w:rsidP="002F32E3">
            <w:pPr>
              <w:pStyle w:val="ENoteTableText"/>
            </w:pPr>
            <w:r w:rsidRPr="00576D60">
              <w:t>1 Mar 2013 (F2013L00385)</w:t>
            </w:r>
          </w:p>
        </w:tc>
        <w:tc>
          <w:tcPr>
            <w:tcW w:w="1509" w:type="pct"/>
            <w:tcBorders>
              <w:top w:val="single" w:sz="4" w:space="0" w:color="auto"/>
              <w:bottom w:val="single" w:sz="4" w:space="0" w:color="auto"/>
            </w:tcBorders>
            <w:shd w:val="clear" w:color="auto" w:fill="auto"/>
          </w:tcPr>
          <w:p w14:paraId="51365570" w14:textId="77777777" w:rsidR="00E93F58" w:rsidRPr="00576D60" w:rsidRDefault="00E93F58" w:rsidP="002F32E3">
            <w:pPr>
              <w:pStyle w:val="ENoteTableText"/>
            </w:pPr>
            <w:r w:rsidRPr="00576D60">
              <w:t>Sch 2: 1 Mar 2013 (s 2)</w:t>
            </w:r>
          </w:p>
        </w:tc>
        <w:tc>
          <w:tcPr>
            <w:tcW w:w="1101" w:type="pct"/>
            <w:tcBorders>
              <w:top w:val="single" w:sz="4" w:space="0" w:color="auto"/>
              <w:bottom w:val="single" w:sz="4" w:space="0" w:color="auto"/>
            </w:tcBorders>
            <w:shd w:val="clear" w:color="auto" w:fill="auto"/>
          </w:tcPr>
          <w:p w14:paraId="2C788F12" w14:textId="77777777" w:rsidR="00E93F58" w:rsidRPr="00576D60" w:rsidRDefault="00E93F58" w:rsidP="002F32E3">
            <w:pPr>
              <w:pStyle w:val="ENoteTableText"/>
            </w:pPr>
            <w:r w:rsidRPr="00576D60">
              <w:t>—</w:t>
            </w:r>
          </w:p>
        </w:tc>
      </w:tr>
      <w:tr w:rsidR="00E93F58" w:rsidRPr="00576D60" w14:paraId="34B6647E" w14:textId="77777777" w:rsidTr="002F32E3">
        <w:trPr>
          <w:cantSplit/>
        </w:trPr>
        <w:tc>
          <w:tcPr>
            <w:tcW w:w="1275" w:type="pct"/>
            <w:tcBorders>
              <w:top w:val="single" w:sz="4" w:space="0" w:color="auto"/>
              <w:bottom w:val="single" w:sz="4" w:space="0" w:color="auto"/>
            </w:tcBorders>
            <w:shd w:val="clear" w:color="auto" w:fill="auto"/>
          </w:tcPr>
          <w:p w14:paraId="5815A854" w14:textId="77777777" w:rsidR="00E93F58" w:rsidRPr="00576D60" w:rsidRDefault="00E93F58" w:rsidP="002F32E3">
            <w:pPr>
              <w:pStyle w:val="ENoteTableText"/>
            </w:pPr>
            <w:r w:rsidRPr="00576D60">
              <w:t>26, 2013</w:t>
            </w:r>
          </w:p>
        </w:tc>
        <w:tc>
          <w:tcPr>
            <w:tcW w:w="1115" w:type="pct"/>
            <w:tcBorders>
              <w:top w:val="single" w:sz="4" w:space="0" w:color="auto"/>
              <w:bottom w:val="single" w:sz="4" w:space="0" w:color="auto"/>
            </w:tcBorders>
            <w:shd w:val="clear" w:color="auto" w:fill="auto"/>
          </w:tcPr>
          <w:p w14:paraId="51E780E5" w14:textId="77777777" w:rsidR="00E93F58" w:rsidRPr="00576D60" w:rsidRDefault="00E93F58" w:rsidP="002F32E3">
            <w:pPr>
              <w:pStyle w:val="ENoteTableText"/>
            </w:pPr>
            <w:r w:rsidRPr="00576D60">
              <w:t>21 Mar 2013 (F2013L00395)</w:t>
            </w:r>
          </w:p>
        </w:tc>
        <w:tc>
          <w:tcPr>
            <w:tcW w:w="1509" w:type="pct"/>
            <w:tcBorders>
              <w:top w:val="single" w:sz="4" w:space="0" w:color="auto"/>
              <w:bottom w:val="single" w:sz="4" w:space="0" w:color="auto"/>
            </w:tcBorders>
            <w:shd w:val="clear" w:color="auto" w:fill="auto"/>
          </w:tcPr>
          <w:p w14:paraId="3948BDFD" w14:textId="77777777" w:rsidR="00E93F58" w:rsidRPr="00576D60" w:rsidRDefault="00E93F58" w:rsidP="002F32E3">
            <w:pPr>
              <w:pStyle w:val="ENoteTableText"/>
            </w:pPr>
            <w:r w:rsidRPr="00576D60">
              <w:t xml:space="preserve">Sch 1: 1 July 2013 (s 2(1) </w:t>
            </w:r>
            <w:r>
              <w:t>item 2</w:t>
            </w:r>
            <w:r w:rsidRPr="00576D60">
              <w:t>)</w:t>
            </w:r>
          </w:p>
        </w:tc>
        <w:tc>
          <w:tcPr>
            <w:tcW w:w="1101" w:type="pct"/>
            <w:tcBorders>
              <w:top w:val="single" w:sz="4" w:space="0" w:color="auto"/>
              <w:bottom w:val="single" w:sz="4" w:space="0" w:color="auto"/>
            </w:tcBorders>
            <w:shd w:val="clear" w:color="auto" w:fill="auto"/>
          </w:tcPr>
          <w:p w14:paraId="36AD62DC" w14:textId="77777777" w:rsidR="00E93F58" w:rsidRPr="00576D60" w:rsidRDefault="00E93F58" w:rsidP="002F32E3">
            <w:pPr>
              <w:pStyle w:val="ENoteTableText"/>
            </w:pPr>
            <w:r w:rsidRPr="00576D60">
              <w:t>—</w:t>
            </w:r>
          </w:p>
        </w:tc>
      </w:tr>
      <w:tr w:rsidR="00E93F58" w:rsidRPr="00576D60" w14:paraId="742B929B" w14:textId="77777777" w:rsidTr="002F32E3">
        <w:trPr>
          <w:cantSplit/>
        </w:trPr>
        <w:tc>
          <w:tcPr>
            <w:tcW w:w="1275" w:type="pct"/>
            <w:tcBorders>
              <w:top w:val="single" w:sz="4" w:space="0" w:color="auto"/>
              <w:bottom w:val="single" w:sz="4" w:space="0" w:color="auto"/>
            </w:tcBorders>
            <w:shd w:val="clear" w:color="auto" w:fill="auto"/>
          </w:tcPr>
          <w:p w14:paraId="543A160E" w14:textId="77777777" w:rsidR="00E93F58" w:rsidRPr="00576D60" w:rsidRDefault="00E93F58" w:rsidP="002F32E3">
            <w:pPr>
              <w:pStyle w:val="ENoteTableText"/>
            </w:pPr>
            <w:r w:rsidRPr="00576D60">
              <w:t>59, 2013</w:t>
            </w:r>
          </w:p>
        </w:tc>
        <w:tc>
          <w:tcPr>
            <w:tcW w:w="1115" w:type="pct"/>
            <w:tcBorders>
              <w:top w:val="single" w:sz="4" w:space="0" w:color="auto"/>
              <w:bottom w:val="single" w:sz="4" w:space="0" w:color="auto"/>
            </w:tcBorders>
            <w:shd w:val="clear" w:color="auto" w:fill="auto"/>
          </w:tcPr>
          <w:p w14:paraId="536D0096" w14:textId="77777777" w:rsidR="00E93F58" w:rsidRPr="00576D60" w:rsidRDefault="00E93F58" w:rsidP="002F32E3">
            <w:pPr>
              <w:pStyle w:val="ENoteTableText"/>
            </w:pPr>
            <w:r w:rsidRPr="00576D60">
              <w:t>29 Apr 2013 (F2013L00696)</w:t>
            </w:r>
          </w:p>
        </w:tc>
        <w:tc>
          <w:tcPr>
            <w:tcW w:w="1509" w:type="pct"/>
            <w:tcBorders>
              <w:top w:val="single" w:sz="4" w:space="0" w:color="auto"/>
              <w:bottom w:val="single" w:sz="4" w:space="0" w:color="auto"/>
            </w:tcBorders>
            <w:shd w:val="clear" w:color="auto" w:fill="auto"/>
          </w:tcPr>
          <w:p w14:paraId="17BC4ABE" w14:textId="77777777" w:rsidR="00E93F58" w:rsidRPr="00576D60" w:rsidRDefault="00E93F58" w:rsidP="002F32E3">
            <w:pPr>
              <w:pStyle w:val="ENoteTableText"/>
            </w:pPr>
            <w:r w:rsidRPr="00576D60">
              <w:t>30 Apr 2013 (s 2)</w:t>
            </w:r>
          </w:p>
        </w:tc>
        <w:tc>
          <w:tcPr>
            <w:tcW w:w="1101" w:type="pct"/>
            <w:tcBorders>
              <w:top w:val="single" w:sz="4" w:space="0" w:color="auto"/>
              <w:bottom w:val="single" w:sz="4" w:space="0" w:color="auto"/>
            </w:tcBorders>
            <w:shd w:val="clear" w:color="auto" w:fill="auto"/>
          </w:tcPr>
          <w:p w14:paraId="2D8C231B" w14:textId="77777777" w:rsidR="00E93F58" w:rsidRPr="00576D60" w:rsidRDefault="00E93F58" w:rsidP="002F32E3">
            <w:pPr>
              <w:pStyle w:val="ENoteTableText"/>
            </w:pPr>
            <w:r w:rsidRPr="00576D60">
              <w:t>—</w:t>
            </w:r>
          </w:p>
        </w:tc>
      </w:tr>
      <w:tr w:rsidR="00E93F58" w:rsidRPr="00576D60" w14:paraId="2A12DD39" w14:textId="77777777" w:rsidTr="002F32E3">
        <w:trPr>
          <w:cantSplit/>
        </w:trPr>
        <w:tc>
          <w:tcPr>
            <w:tcW w:w="1275" w:type="pct"/>
            <w:tcBorders>
              <w:top w:val="single" w:sz="4" w:space="0" w:color="auto"/>
              <w:bottom w:val="single" w:sz="4" w:space="0" w:color="auto"/>
            </w:tcBorders>
            <w:shd w:val="clear" w:color="auto" w:fill="auto"/>
          </w:tcPr>
          <w:p w14:paraId="46A42F4E" w14:textId="77777777" w:rsidR="00E93F58" w:rsidRPr="00576D60" w:rsidRDefault="00E93F58" w:rsidP="002F32E3">
            <w:pPr>
              <w:pStyle w:val="ENoteTableText"/>
            </w:pPr>
            <w:r w:rsidRPr="00576D60">
              <w:t>83, 2013</w:t>
            </w:r>
          </w:p>
        </w:tc>
        <w:tc>
          <w:tcPr>
            <w:tcW w:w="1115" w:type="pct"/>
            <w:tcBorders>
              <w:top w:val="single" w:sz="4" w:space="0" w:color="auto"/>
              <w:bottom w:val="single" w:sz="4" w:space="0" w:color="auto"/>
            </w:tcBorders>
            <w:shd w:val="clear" w:color="auto" w:fill="auto"/>
          </w:tcPr>
          <w:p w14:paraId="23B7ABDD" w14:textId="77777777" w:rsidR="00E93F58" w:rsidRPr="00576D60" w:rsidRDefault="00E93F58" w:rsidP="002F32E3">
            <w:pPr>
              <w:pStyle w:val="ENoteTableText"/>
            </w:pPr>
            <w:r w:rsidRPr="00576D60">
              <w:t>16 May 2013 (F2013L00780)</w:t>
            </w:r>
          </w:p>
        </w:tc>
        <w:tc>
          <w:tcPr>
            <w:tcW w:w="1509" w:type="pct"/>
            <w:tcBorders>
              <w:top w:val="single" w:sz="4" w:space="0" w:color="auto"/>
              <w:bottom w:val="single" w:sz="4" w:space="0" w:color="auto"/>
            </w:tcBorders>
            <w:shd w:val="clear" w:color="auto" w:fill="auto"/>
          </w:tcPr>
          <w:p w14:paraId="5848FFAC" w14:textId="77777777" w:rsidR="00E93F58" w:rsidRPr="00576D60" w:rsidRDefault="00E93F58" w:rsidP="002F32E3">
            <w:pPr>
              <w:pStyle w:val="ENoteTableText"/>
            </w:pPr>
            <w:r w:rsidRPr="00576D60">
              <w:t>1 July 2013 (s 2)</w:t>
            </w:r>
          </w:p>
        </w:tc>
        <w:tc>
          <w:tcPr>
            <w:tcW w:w="1101" w:type="pct"/>
            <w:tcBorders>
              <w:top w:val="single" w:sz="4" w:space="0" w:color="auto"/>
              <w:bottom w:val="single" w:sz="4" w:space="0" w:color="auto"/>
            </w:tcBorders>
            <w:shd w:val="clear" w:color="auto" w:fill="auto"/>
          </w:tcPr>
          <w:p w14:paraId="038540C8" w14:textId="77777777" w:rsidR="00E93F58" w:rsidRPr="00576D60" w:rsidRDefault="00E93F58" w:rsidP="002F32E3">
            <w:pPr>
              <w:pStyle w:val="ENoteTableText"/>
            </w:pPr>
            <w:r w:rsidRPr="00576D60">
              <w:t>—</w:t>
            </w:r>
          </w:p>
        </w:tc>
      </w:tr>
      <w:tr w:rsidR="00E93F58" w:rsidRPr="00576D60" w14:paraId="0FEA65F9" w14:textId="77777777" w:rsidTr="002F32E3">
        <w:trPr>
          <w:cantSplit/>
        </w:trPr>
        <w:tc>
          <w:tcPr>
            <w:tcW w:w="1275" w:type="pct"/>
            <w:tcBorders>
              <w:top w:val="single" w:sz="4" w:space="0" w:color="auto"/>
              <w:bottom w:val="single" w:sz="4" w:space="0" w:color="auto"/>
            </w:tcBorders>
            <w:shd w:val="clear" w:color="auto" w:fill="auto"/>
          </w:tcPr>
          <w:p w14:paraId="30BD9FC3" w14:textId="77777777" w:rsidR="00E93F58" w:rsidRPr="00576D60" w:rsidRDefault="00E93F58" w:rsidP="002F32E3">
            <w:pPr>
              <w:pStyle w:val="ENoteTableText"/>
            </w:pPr>
            <w:r w:rsidRPr="00576D60">
              <w:lastRenderedPageBreak/>
              <w:t>101, 2013</w:t>
            </w:r>
          </w:p>
        </w:tc>
        <w:tc>
          <w:tcPr>
            <w:tcW w:w="1115" w:type="pct"/>
            <w:tcBorders>
              <w:top w:val="single" w:sz="4" w:space="0" w:color="auto"/>
              <w:bottom w:val="single" w:sz="4" w:space="0" w:color="auto"/>
            </w:tcBorders>
            <w:shd w:val="clear" w:color="auto" w:fill="auto"/>
          </w:tcPr>
          <w:p w14:paraId="75A6BD53" w14:textId="77777777" w:rsidR="00E93F58" w:rsidRPr="00576D60" w:rsidRDefault="00E93F58" w:rsidP="002F32E3">
            <w:pPr>
              <w:pStyle w:val="ENoteTableText"/>
            </w:pPr>
            <w:r w:rsidRPr="00576D60">
              <w:t>4 June 2013 (F2013L00905)</w:t>
            </w:r>
          </w:p>
        </w:tc>
        <w:tc>
          <w:tcPr>
            <w:tcW w:w="1509" w:type="pct"/>
            <w:tcBorders>
              <w:top w:val="single" w:sz="4" w:space="0" w:color="auto"/>
              <w:bottom w:val="single" w:sz="4" w:space="0" w:color="auto"/>
            </w:tcBorders>
            <w:shd w:val="clear" w:color="auto" w:fill="auto"/>
          </w:tcPr>
          <w:p w14:paraId="18BA0FEB" w14:textId="77777777" w:rsidR="00E93F58" w:rsidRPr="00576D60" w:rsidRDefault="00E93F58" w:rsidP="002F32E3">
            <w:pPr>
              <w:pStyle w:val="ENoteTableText"/>
            </w:pPr>
            <w:r w:rsidRPr="00576D60">
              <w:t xml:space="preserve">Sch 2: 1 July 2016 (s 2 </w:t>
            </w:r>
            <w:r>
              <w:t>item 3</w:t>
            </w:r>
            <w:r w:rsidRPr="00576D60">
              <w:t>)</w:t>
            </w:r>
            <w:r w:rsidRPr="00576D60">
              <w:br/>
              <w:t xml:space="preserve">Sch 3: 1 July 2019 (s 2 </w:t>
            </w:r>
            <w:r>
              <w:t>item 4</w:t>
            </w:r>
            <w:r w:rsidRPr="00576D60">
              <w:t>)</w:t>
            </w:r>
            <w:r w:rsidRPr="00576D60">
              <w:br/>
              <w:t xml:space="preserve">Remainder: 1 July 2013 (s 2 </w:t>
            </w:r>
            <w:r>
              <w:t>items 1</w:t>
            </w:r>
            <w:r w:rsidRPr="00576D60">
              <w:t>, 2)</w:t>
            </w:r>
          </w:p>
        </w:tc>
        <w:tc>
          <w:tcPr>
            <w:tcW w:w="1101" w:type="pct"/>
            <w:tcBorders>
              <w:top w:val="single" w:sz="4" w:space="0" w:color="auto"/>
              <w:bottom w:val="single" w:sz="4" w:space="0" w:color="auto"/>
            </w:tcBorders>
            <w:shd w:val="clear" w:color="auto" w:fill="auto"/>
          </w:tcPr>
          <w:p w14:paraId="35015A1A" w14:textId="77777777" w:rsidR="00E93F58" w:rsidRPr="00576D60" w:rsidRDefault="00E93F58" w:rsidP="002F32E3">
            <w:pPr>
              <w:pStyle w:val="ENoteTableText"/>
            </w:pPr>
            <w:r w:rsidRPr="00576D60">
              <w:t>—</w:t>
            </w:r>
          </w:p>
        </w:tc>
      </w:tr>
      <w:tr w:rsidR="00E93F58" w:rsidRPr="00576D60" w14:paraId="18E4FAB8" w14:textId="77777777" w:rsidTr="002F32E3">
        <w:trPr>
          <w:cantSplit/>
        </w:trPr>
        <w:tc>
          <w:tcPr>
            <w:tcW w:w="1275" w:type="pct"/>
            <w:tcBorders>
              <w:top w:val="single" w:sz="4" w:space="0" w:color="auto"/>
              <w:bottom w:val="single" w:sz="4" w:space="0" w:color="auto"/>
            </w:tcBorders>
            <w:shd w:val="clear" w:color="auto" w:fill="auto"/>
          </w:tcPr>
          <w:p w14:paraId="2E56C2B9" w14:textId="77777777" w:rsidR="00E93F58" w:rsidRPr="00576D60" w:rsidRDefault="00E93F58" w:rsidP="002F32E3">
            <w:pPr>
              <w:pStyle w:val="ENoteTableText"/>
            </w:pPr>
            <w:r w:rsidRPr="00576D60">
              <w:t>102, 2013</w:t>
            </w:r>
          </w:p>
        </w:tc>
        <w:tc>
          <w:tcPr>
            <w:tcW w:w="1115" w:type="pct"/>
            <w:tcBorders>
              <w:top w:val="single" w:sz="4" w:space="0" w:color="auto"/>
              <w:bottom w:val="single" w:sz="4" w:space="0" w:color="auto"/>
            </w:tcBorders>
            <w:shd w:val="clear" w:color="auto" w:fill="auto"/>
          </w:tcPr>
          <w:p w14:paraId="5178EEB3" w14:textId="77777777" w:rsidR="00E93F58" w:rsidRPr="00576D60" w:rsidRDefault="00E93F58" w:rsidP="002F32E3">
            <w:pPr>
              <w:pStyle w:val="ENoteTableText"/>
            </w:pPr>
            <w:r w:rsidRPr="00576D60">
              <w:t>4 June 2013 (F2013L00906)</w:t>
            </w:r>
          </w:p>
        </w:tc>
        <w:tc>
          <w:tcPr>
            <w:tcW w:w="1509" w:type="pct"/>
            <w:tcBorders>
              <w:top w:val="single" w:sz="4" w:space="0" w:color="auto"/>
              <w:bottom w:val="single" w:sz="4" w:space="0" w:color="auto"/>
            </w:tcBorders>
            <w:shd w:val="clear" w:color="auto" w:fill="auto"/>
          </w:tcPr>
          <w:p w14:paraId="276A2B69" w14:textId="77777777" w:rsidR="00E93F58" w:rsidRPr="00576D60" w:rsidRDefault="00E93F58" w:rsidP="002F32E3">
            <w:pPr>
              <w:pStyle w:val="ENoteTableText"/>
            </w:pPr>
            <w:r w:rsidRPr="00576D60">
              <w:t>5 June 2013 (s 2)</w:t>
            </w:r>
          </w:p>
        </w:tc>
        <w:tc>
          <w:tcPr>
            <w:tcW w:w="1101" w:type="pct"/>
            <w:tcBorders>
              <w:top w:val="single" w:sz="4" w:space="0" w:color="auto"/>
              <w:bottom w:val="single" w:sz="4" w:space="0" w:color="auto"/>
            </w:tcBorders>
            <w:shd w:val="clear" w:color="auto" w:fill="auto"/>
          </w:tcPr>
          <w:p w14:paraId="2F102194" w14:textId="77777777" w:rsidR="00E93F58" w:rsidRPr="00576D60" w:rsidRDefault="00E93F58" w:rsidP="002F32E3">
            <w:pPr>
              <w:pStyle w:val="ENoteTableText"/>
            </w:pPr>
            <w:r w:rsidRPr="00576D60">
              <w:t>—</w:t>
            </w:r>
          </w:p>
        </w:tc>
      </w:tr>
      <w:tr w:rsidR="00E93F58" w:rsidRPr="00576D60" w14:paraId="40628CDA" w14:textId="77777777" w:rsidTr="002F32E3">
        <w:trPr>
          <w:cantSplit/>
        </w:trPr>
        <w:tc>
          <w:tcPr>
            <w:tcW w:w="1275" w:type="pct"/>
            <w:tcBorders>
              <w:top w:val="single" w:sz="4" w:space="0" w:color="auto"/>
              <w:bottom w:val="single" w:sz="4" w:space="0" w:color="auto"/>
            </w:tcBorders>
            <w:shd w:val="clear" w:color="auto" w:fill="auto"/>
          </w:tcPr>
          <w:p w14:paraId="2373110E" w14:textId="77777777" w:rsidR="00E93F58" w:rsidRPr="00576D60" w:rsidRDefault="00E93F58" w:rsidP="002F32E3">
            <w:pPr>
              <w:pStyle w:val="ENoteTableText"/>
            </w:pPr>
            <w:r w:rsidRPr="00576D60">
              <w:t>115, 2013</w:t>
            </w:r>
          </w:p>
        </w:tc>
        <w:tc>
          <w:tcPr>
            <w:tcW w:w="1115" w:type="pct"/>
            <w:tcBorders>
              <w:top w:val="single" w:sz="4" w:space="0" w:color="auto"/>
              <w:bottom w:val="single" w:sz="4" w:space="0" w:color="auto"/>
            </w:tcBorders>
            <w:shd w:val="clear" w:color="auto" w:fill="auto"/>
          </w:tcPr>
          <w:p w14:paraId="10620002" w14:textId="77777777" w:rsidR="00E93F58" w:rsidRPr="00576D60" w:rsidRDefault="00E93F58" w:rsidP="002F32E3">
            <w:pPr>
              <w:pStyle w:val="ENoteTableText"/>
            </w:pPr>
            <w:r w:rsidRPr="00576D60">
              <w:t>17 June 2013 (F2013L01013)</w:t>
            </w:r>
          </w:p>
        </w:tc>
        <w:tc>
          <w:tcPr>
            <w:tcW w:w="1509" w:type="pct"/>
            <w:tcBorders>
              <w:top w:val="single" w:sz="4" w:space="0" w:color="auto"/>
              <w:bottom w:val="single" w:sz="4" w:space="0" w:color="auto"/>
            </w:tcBorders>
            <w:shd w:val="clear" w:color="auto" w:fill="auto"/>
          </w:tcPr>
          <w:p w14:paraId="1AA70FDD" w14:textId="77777777" w:rsidR="00E93F58" w:rsidRPr="00576D60" w:rsidRDefault="00E93F58" w:rsidP="002F32E3">
            <w:pPr>
              <w:pStyle w:val="ENoteTableText"/>
            </w:pPr>
            <w:r w:rsidRPr="00576D60">
              <w:t>18 June 2013 (s 2)</w:t>
            </w:r>
          </w:p>
        </w:tc>
        <w:tc>
          <w:tcPr>
            <w:tcW w:w="1101" w:type="pct"/>
            <w:tcBorders>
              <w:top w:val="single" w:sz="4" w:space="0" w:color="auto"/>
              <w:bottom w:val="single" w:sz="4" w:space="0" w:color="auto"/>
            </w:tcBorders>
            <w:shd w:val="clear" w:color="auto" w:fill="auto"/>
          </w:tcPr>
          <w:p w14:paraId="16186189" w14:textId="77777777" w:rsidR="00E93F58" w:rsidRPr="00576D60" w:rsidRDefault="00E93F58" w:rsidP="002F32E3">
            <w:pPr>
              <w:pStyle w:val="ENoteTableText"/>
            </w:pPr>
            <w:r w:rsidRPr="00576D60">
              <w:t>—</w:t>
            </w:r>
          </w:p>
        </w:tc>
      </w:tr>
      <w:tr w:rsidR="00E93F58" w:rsidRPr="00576D60" w14:paraId="48824A78" w14:textId="77777777" w:rsidTr="002F32E3">
        <w:trPr>
          <w:cantSplit/>
        </w:trPr>
        <w:tc>
          <w:tcPr>
            <w:tcW w:w="1275" w:type="pct"/>
            <w:tcBorders>
              <w:top w:val="single" w:sz="4" w:space="0" w:color="auto"/>
              <w:bottom w:val="single" w:sz="4" w:space="0" w:color="auto"/>
            </w:tcBorders>
            <w:shd w:val="clear" w:color="auto" w:fill="auto"/>
          </w:tcPr>
          <w:p w14:paraId="1FC256FF" w14:textId="77777777" w:rsidR="00E93F58" w:rsidRPr="00576D60" w:rsidRDefault="00E93F58" w:rsidP="002F32E3">
            <w:pPr>
              <w:pStyle w:val="ENoteTableText"/>
            </w:pPr>
            <w:r w:rsidRPr="00576D60">
              <w:t>117, 2013</w:t>
            </w:r>
          </w:p>
        </w:tc>
        <w:tc>
          <w:tcPr>
            <w:tcW w:w="1115" w:type="pct"/>
            <w:tcBorders>
              <w:top w:val="single" w:sz="4" w:space="0" w:color="auto"/>
              <w:bottom w:val="single" w:sz="4" w:space="0" w:color="auto"/>
            </w:tcBorders>
            <w:shd w:val="clear" w:color="auto" w:fill="auto"/>
          </w:tcPr>
          <w:p w14:paraId="7D903945" w14:textId="77777777" w:rsidR="00E93F58" w:rsidRPr="00576D60" w:rsidRDefault="00E93F58" w:rsidP="002F32E3">
            <w:pPr>
              <w:pStyle w:val="ENoteTableText"/>
            </w:pPr>
            <w:r w:rsidRPr="00576D60">
              <w:t>17 June 2013 (F2013L01010)</w:t>
            </w:r>
          </w:p>
        </w:tc>
        <w:tc>
          <w:tcPr>
            <w:tcW w:w="1509" w:type="pct"/>
            <w:tcBorders>
              <w:top w:val="single" w:sz="4" w:space="0" w:color="auto"/>
              <w:bottom w:val="single" w:sz="4" w:space="0" w:color="auto"/>
            </w:tcBorders>
            <w:shd w:val="clear" w:color="auto" w:fill="auto"/>
          </w:tcPr>
          <w:p w14:paraId="20F1F498" w14:textId="77777777" w:rsidR="00E93F58" w:rsidRPr="00576D60" w:rsidRDefault="00E93F58" w:rsidP="002F32E3">
            <w:pPr>
              <w:pStyle w:val="ENoteTableText"/>
            </w:pPr>
            <w:r w:rsidRPr="00576D60">
              <w:t>Sch 1 (</w:t>
            </w:r>
            <w:r>
              <w:t>items 3</w:t>
            </w:r>
            <w:r w:rsidRPr="00576D60">
              <w:t>, 4): 18 June 2013 (s 2)</w:t>
            </w:r>
          </w:p>
        </w:tc>
        <w:tc>
          <w:tcPr>
            <w:tcW w:w="1101" w:type="pct"/>
            <w:tcBorders>
              <w:top w:val="single" w:sz="4" w:space="0" w:color="auto"/>
              <w:bottom w:val="single" w:sz="4" w:space="0" w:color="auto"/>
            </w:tcBorders>
            <w:shd w:val="clear" w:color="auto" w:fill="auto"/>
          </w:tcPr>
          <w:p w14:paraId="7D412DAD" w14:textId="77777777" w:rsidR="00E93F58" w:rsidRPr="00576D60" w:rsidRDefault="00E93F58" w:rsidP="002F32E3">
            <w:pPr>
              <w:pStyle w:val="ENoteTableText"/>
            </w:pPr>
            <w:r w:rsidRPr="00576D60">
              <w:t>—</w:t>
            </w:r>
          </w:p>
        </w:tc>
      </w:tr>
      <w:tr w:rsidR="00E93F58" w:rsidRPr="00576D60" w14:paraId="50117542" w14:textId="77777777" w:rsidTr="002F32E3">
        <w:trPr>
          <w:cantSplit/>
        </w:trPr>
        <w:tc>
          <w:tcPr>
            <w:tcW w:w="1275" w:type="pct"/>
            <w:tcBorders>
              <w:top w:val="single" w:sz="4" w:space="0" w:color="auto"/>
              <w:bottom w:val="single" w:sz="4" w:space="0" w:color="auto"/>
            </w:tcBorders>
            <w:shd w:val="clear" w:color="auto" w:fill="auto"/>
          </w:tcPr>
          <w:p w14:paraId="496FCAEA" w14:textId="77777777" w:rsidR="00E93F58" w:rsidRPr="00576D60" w:rsidRDefault="00E93F58" w:rsidP="002F32E3">
            <w:pPr>
              <w:pStyle w:val="ENoteTableText"/>
            </w:pPr>
            <w:r w:rsidRPr="00576D60">
              <w:t>125, 2013</w:t>
            </w:r>
          </w:p>
        </w:tc>
        <w:tc>
          <w:tcPr>
            <w:tcW w:w="1115" w:type="pct"/>
            <w:tcBorders>
              <w:top w:val="single" w:sz="4" w:space="0" w:color="auto"/>
              <w:bottom w:val="single" w:sz="4" w:space="0" w:color="auto"/>
            </w:tcBorders>
            <w:shd w:val="clear" w:color="auto" w:fill="auto"/>
          </w:tcPr>
          <w:p w14:paraId="60C84D5F" w14:textId="77777777" w:rsidR="00E93F58" w:rsidRPr="00576D60" w:rsidRDefault="00E93F58" w:rsidP="002F32E3">
            <w:pPr>
              <w:pStyle w:val="ENoteTableText"/>
            </w:pPr>
            <w:r w:rsidRPr="00576D60">
              <w:t>14 June 2013 (F2013L00993)</w:t>
            </w:r>
          </w:p>
        </w:tc>
        <w:tc>
          <w:tcPr>
            <w:tcW w:w="1509" w:type="pct"/>
            <w:tcBorders>
              <w:top w:val="single" w:sz="4" w:space="0" w:color="auto"/>
              <w:bottom w:val="single" w:sz="4" w:space="0" w:color="auto"/>
            </w:tcBorders>
            <w:shd w:val="clear" w:color="auto" w:fill="auto"/>
          </w:tcPr>
          <w:p w14:paraId="7F4D1198" w14:textId="77777777" w:rsidR="00E93F58" w:rsidRPr="00576D60" w:rsidRDefault="00E93F58" w:rsidP="002F32E3">
            <w:pPr>
              <w:pStyle w:val="ENoteTableText"/>
            </w:pPr>
            <w:r w:rsidRPr="00576D60">
              <w:t>Sch 1 (</w:t>
            </w:r>
            <w:r>
              <w:t>item 1</w:t>
            </w:r>
            <w:r w:rsidRPr="00576D60">
              <w:t>): 1 July 2013 (s 2)</w:t>
            </w:r>
          </w:p>
        </w:tc>
        <w:tc>
          <w:tcPr>
            <w:tcW w:w="1101" w:type="pct"/>
            <w:tcBorders>
              <w:top w:val="single" w:sz="4" w:space="0" w:color="auto"/>
              <w:bottom w:val="single" w:sz="4" w:space="0" w:color="auto"/>
            </w:tcBorders>
            <w:shd w:val="clear" w:color="auto" w:fill="auto"/>
          </w:tcPr>
          <w:p w14:paraId="4AA8FD7D" w14:textId="77777777" w:rsidR="00E93F58" w:rsidRPr="00576D60" w:rsidRDefault="00E93F58" w:rsidP="002F32E3">
            <w:pPr>
              <w:pStyle w:val="ENoteTableText"/>
            </w:pPr>
            <w:r w:rsidRPr="00576D60">
              <w:t>—</w:t>
            </w:r>
          </w:p>
        </w:tc>
      </w:tr>
      <w:tr w:rsidR="00E93F58" w:rsidRPr="00576D60" w14:paraId="75D5797B" w14:textId="77777777" w:rsidTr="002F32E3">
        <w:trPr>
          <w:cantSplit/>
        </w:trPr>
        <w:tc>
          <w:tcPr>
            <w:tcW w:w="1275" w:type="pct"/>
            <w:tcBorders>
              <w:top w:val="single" w:sz="4" w:space="0" w:color="auto"/>
              <w:bottom w:val="single" w:sz="4" w:space="0" w:color="auto"/>
            </w:tcBorders>
            <w:shd w:val="clear" w:color="auto" w:fill="auto"/>
          </w:tcPr>
          <w:p w14:paraId="48CC3E71" w14:textId="77777777" w:rsidR="00E93F58" w:rsidRPr="00576D60" w:rsidRDefault="00E93F58" w:rsidP="002F32E3">
            <w:pPr>
              <w:pStyle w:val="ENoteTableText"/>
            </w:pPr>
            <w:r w:rsidRPr="00576D60">
              <w:t>150, 2013</w:t>
            </w:r>
          </w:p>
        </w:tc>
        <w:tc>
          <w:tcPr>
            <w:tcW w:w="1115" w:type="pct"/>
            <w:tcBorders>
              <w:top w:val="single" w:sz="4" w:space="0" w:color="auto"/>
              <w:bottom w:val="single" w:sz="4" w:space="0" w:color="auto"/>
            </w:tcBorders>
            <w:shd w:val="clear" w:color="auto" w:fill="auto"/>
          </w:tcPr>
          <w:p w14:paraId="5E844A3E" w14:textId="77777777" w:rsidR="00E93F58" w:rsidRPr="00576D60" w:rsidRDefault="00E93F58" w:rsidP="002F32E3">
            <w:pPr>
              <w:pStyle w:val="ENoteTableText"/>
            </w:pPr>
            <w:r w:rsidRPr="00576D60">
              <w:t>29 June 2013 (F2013L01279)</w:t>
            </w:r>
          </w:p>
        </w:tc>
        <w:tc>
          <w:tcPr>
            <w:tcW w:w="1509" w:type="pct"/>
            <w:tcBorders>
              <w:top w:val="single" w:sz="4" w:space="0" w:color="auto"/>
              <w:bottom w:val="single" w:sz="4" w:space="0" w:color="auto"/>
            </w:tcBorders>
            <w:shd w:val="clear" w:color="auto" w:fill="auto"/>
          </w:tcPr>
          <w:p w14:paraId="14211A85" w14:textId="77777777" w:rsidR="00E93F58" w:rsidRPr="00576D60" w:rsidRDefault="00E93F58" w:rsidP="002F32E3">
            <w:pPr>
              <w:pStyle w:val="ENoteTableText"/>
            </w:pPr>
            <w:r w:rsidRPr="00576D60">
              <w:t>30 June 2013 (s 2)</w:t>
            </w:r>
          </w:p>
        </w:tc>
        <w:tc>
          <w:tcPr>
            <w:tcW w:w="1101" w:type="pct"/>
            <w:tcBorders>
              <w:top w:val="single" w:sz="4" w:space="0" w:color="auto"/>
              <w:bottom w:val="single" w:sz="4" w:space="0" w:color="auto"/>
            </w:tcBorders>
            <w:shd w:val="clear" w:color="auto" w:fill="auto"/>
          </w:tcPr>
          <w:p w14:paraId="55032CAB" w14:textId="77777777" w:rsidR="00E93F58" w:rsidRPr="00576D60" w:rsidRDefault="00E93F58" w:rsidP="002F32E3">
            <w:pPr>
              <w:pStyle w:val="ENoteTableText"/>
            </w:pPr>
            <w:r w:rsidRPr="00576D60">
              <w:t>—</w:t>
            </w:r>
          </w:p>
        </w:tc>
      </w:tr>
      <w:tr w:rsidR="00E93F58" w:rsidRPr="00576D60" w14:paraId="27E1818F" w14:textId="77777777" w:rsidTr="002F32E3">
        <w:trPr>
          <w:cantSplit/>
        </w:trPr>
        <w:tc>
          <w:tcPr>
            <w:tcW w:w="1275" w:type="pct"/>
            <w:tcBorders>
              <w:top w:val="single" w:sz="4" w:space="0" w:color="auto"/>
              <w:bottom w:val="single" w:sz="4" w:space="0" w:color="auto"/>
            </w:tcBorders>
            <w:shd w:val="clear" w:color="auto" w:fill="auto"/>
          </w:tcPr>
          <w:p w14:paraId="19A249F7" w14:textId="77777777" w:rsidR="00E93F58" w:rsidRPr="00576D60" w:rsidRDefault="00E93F58" w:rsidP="002F32E3">
            <w:pPr>
              <w:pStyle w:val="ENoteTableText"/>
            </w:pPr>
            <w:r w:rsidRPr="00576D60">
              <w:t>151, 2013</w:t>
            </w:r>
          </w:p>
        </w:tc>
        <w:tc>
          <w:tcPr>
            <w:tcW w:w="1115" w:type="pct"/>
            <w:tcBorders>
              <w:top w:val="single" w:sz="4" w:space="0" w:color="auto"/>
              <w:bottom w:val="single" w:sz="4" w:space="0" w:color="auto"/>
            </w:tcBorders>
            <w:shd w:val="clear" w:color="auto" w:fill="auto"/>
          </w:tcPr>
          <w:p w14:paraId="01FC39F6" w14:textId="77777777" w:rsidR="00E93F58" w:rsidRPr="00576D60" w:rsidRDefault="00E93F58" w:rsidP="002F32E3">
            <w:pPr>
              <w:pStyle w:val="ENoteTableText"/>
            </w:pPr>
            <w:r w:rsidRPr="00576D60">
              <w:t>28 June 2013 (F2013L01227)</w:t>
            </w:r>
          </w:p>
        </w:tc>
        <w:tc>
          <w:tcPr>
            <w:tcW w:w="1509" w:type="pct"/>
            <w:tcBorders>
              <w:top w:val="single" w:sz="4" w:space="0" w:color="auto"/>
              <w:bottom w:val="single" w:sz="4" w:space="0" w:color="auto"/>
            </w:tcBorders>
            <w:shd w:val="clear" w:color="auto" w:fill="auto"/>
          </w:tcPr>
          <w:p w14:paraId="444852CE" w14:textId="77777777" w:rsidR="00E93F58" w:rsidRPr="00576D60" w:rsidRDefault="00E93F58" w:rsidP="002F32E3">
            <w:pPr>
              <w:pStyle w:val="ENoteTableText"/>
            </w:pPr>
            <w:r w:rsidRPr="00576D60">
              <w:t>1 July 2013 (s 2)</w:t>
            </w:r>
          </w:p>
        </w:tc>
        <w:tc>
          <w:tcPr>
            <w:tcW w:w="1101" w:type="pct"/>
            <w:tcBorders>
              <w:top w:val="single" w:sz="4" w:space="0" w:color="auto"/>
              <w:bottom w:val="single" w:sz="4" w:space="0" w:color="auto"/>
            </w:tcBorders>
            <w:shd w:val="clear" w:color="auto" w:fill="auto"/>
          </w:tcPr>
          <w:p w14:paraId="259D8AC6" w14:textId="77777777" w:rsidR="00E93F58" w:rsidRPr="00576D60" w:rsidRDefault="00E93F58" w:rsidP="002F32E3">
            <w:pPr>
              <w:pStyle w:val="ENoteTableText"/>
            </w:pPr>
            <w:r w:rsidRPr="00576D60">
              <w:t>—</w:t>
            </w:r>
          </w:p>
        </w:tc>
      </w:tr>
      <w:tr w:rsidR="00E93F58" w:rsidRPr="00576D60" w14:paraId="51A5A819" w14:textId="77777777" w:rsidTr="002F32E3">
        <w:trPr>
          <w:cantSplit/>
        </w:trPr>
        <w:tc>
          <w:tcPr>
            <w:tcW w:w="1275" w:type="pct"/>
            <w:tcBorders>
              <w:top w:val="single" w:sz="4" w:space="0" w:color="auto"/>
              <w:bottom w:val="single" w:sz="4" w:space="0" w:color="auto"/>
            </w:tcBorders>
            <w:shd w:val="clear" w:color="auto" w:fill="auto"/>
          </w:tcPr>
          <w:p w14:paraId="11340433" w14:textId="77777777" w:rsidR="00E93F58" w:rsidRPr="00576D60" w:rsidRDefault="00E93F58" w:rsidP="002F32E3">
            <w:pPr>
              <w:pStyle w:val="ENoteTableText"/>
            </w:pPr>
            <w:r w:rsidRPr="00576D60">
              <w:t>152, 2013</w:t>
            </w:r>
          </w:p>
        </w:tc>
        <w:tc>
          <w:tcPr>
            <w:tcW w:w="1115" w:type="pct"/>
            <w:tcBorders>
              <w:top w:val="single" w:sz="4" w:space="0" w:color="auto"/>
              <w:bottom w:val="single" w:sz="4" w:space="0" w:color="auto"/>
            </w:tcBorders>
            <w:shd w:val="clear" w:color="auto" w:fill="auto"/>
          </w:tcPr>
          <w:p w14:paraId="1391C350" w14:textId="77777777" w:rsidR="00E93F58" w:rsidRPr="00576D60" w:rsidRDefault="00E93F58" w:rsidP="002F32E3">
            <w:pPr>
              <w:pStyle w:val="ENoteTableText"/>
            </w:pPr>
            <w:r w:rsidRPr="00576D60">
              <w:t>28 June 2013 (F2013L01264)</w:t>
            </w:r>
          </w:p>
        </w:tc>
        <w:tc>
          <w:tcPr>
            <w:tcW w:w="1509" w:type="pct"/>
            <w:tcBorders>
              <w:top w:val="single" w:sz="4" w:space="0" w:color="auto"/>
              <w:bottom w:val="single" w:sz="4" w:space="0" w:color="auto"/>
            </w:tcBorders>
            <w:shd w:val="clear" w:color="auto" w:fill="auto"/>
          </w:tcPr>
          <w:p w14:paraId="59FEA309" w14:textId="77777777" w:rsidR="00E93F58" w:rsidRPr="00576D60" w:rsidRDefault="00E93F58" w:rsidP="002F32E3">
            <w:pPr>
              <w:pStyle w:val="ENoteTableText"/>
            </w:pPr>
            <w:r w:rsidRPr="00576D60">
              <w:t>Sch 1 (</w:t>
            </w:r>
            <w:r>
              <w:t>items 1</w:t>
            </w:r>
            <w:r w:rsidRPr="00576D60">
              <w:t>1–17): 1 July 2013 (s 2)</w:t>
            </w:r>
          </w:p>
        </w:tc>
        <w:tc>
          <w:tcPr>
            <w:tcW w:w="1101" w:type="pct"/>
            <w:tcBorders>
              <w:top w:val="single" w:sz="4" w:space="0" w:color="auto"/>
              <w:bottom w:val="single" w:sz="4" w:space="0" w:color="auto"/>
            </w:tcBorders>
            <w:shd w:val="clear" w:color="auto" w:fill="auto"/>
          </w:tcPr>
          <w:p w14:paraId="18C17B58" w14:textId="77777777" w:rsidR="00E93F58" w:rsidRPr="00576D60" w:rsidRDefault="00E93F58" w:rsidP="002F32E3">
            <w:pPr>
              <w:pStyle w:val="ENoteTableText"/>
            </w:pPr>
            <w:r w:rsidRPr="00576D60">
              <w:t>—</w:t>
            </w:r>
          </w:p>
        </w:tc>
      </w:tr>
      <w:tr w:rsidR="00E93F58" w:rsidRPr="00576D60" w14:paraId="421DC881" w14:textId="77777777" w:rsidTr="002F32E3">
        <w:trPr>
          <w:cantSplit/>
        </w:trPr>
        <w:tc>
          <w:tcPr>
            <w:tcW w:w="1275" w:type="pct"/>
            <w:tcBorders>
              <w:top w:val="single" w:sz="4" w:space="0" w:color="auto"/>
              <w:bottom w:val="single" w:sz="4" w:space="0" w:color="auto"/>
            </w:tcBorders>
            <w:shd w:val="clear" w:color="auto" w:fill="auto"/>
          </w:tcPr>
          <w:p w14:paraId="5B2EABB6" w14:textId="77777777" w:rsidR="00E93F58" w:rsidRPr="00576D60" w:rsidRDefault="00E93F58" w:rsidP="002F32E3">
            <w:pPr>
              <w:pStyle w:val="ENoteTableText"/>
            </w:pPr>
            <w:r w:rsidRPr="00576D60">
              <w:t>155, 2013</w:t>
            </w:r>
          </w:p>
        </w:tc>
        <w:tc>
          <w:tcPr>
            <w:tcW w:w="1115" w:type="pct"/>
            <w:tcBorders>
              <w:top w:val="single" w:sz="4" w:space="0" w:color="auto"/>
              <w:bottom w:val="single" w:sz="4" w:space="0" w:color="auto"/>
            </w:tcBorders>
            <w:shd w:val="clear" w:color="auto" w:fill="auto"/>
          </w:tcPr>
          <w:p w14:paraId="287E3CC9" w14:textId="77777777" w:rsidR="00E93F58" w:rsidRPr="00576D60" w:rsidRDefault="00E93F58" w:rsidP="002F32E3">
            <w:pPr>
              <w:pStyle w:val="ENoteTableText"/>
            </w:pPr>
            <w:r w:rsidRPr="00576D60">
              <w:t>28 June 2013 (F2013L01246)</w:t>
            </w:r>
          </w:p>
        </w:tc>
        <w:tc>
          <w:tcPr>
            <w:tcW w:w="1509" w:type="pct"/>
            <w:tcBorders>
              <w:top w:val="single" w:sz="4" w:space="0" w:color="auto"/>
              <w:bottom w:val="single" w:sz="4" w:space="0" w:color="auto"/>
            </w:tcBorders>
            <w:shd w:val="clear" w:color="auto" w:fill="auto"/>
          </w:tcPr>
          <w:p w14:paraId="0DEEB26E" w14:textId="77777777" w:rsidR="00E93F58" w:rsidRPr="00576D60" w:rsidRDefault="00E93F58" w:rsidP="002F32E3">
            <w:pPr>
              <w:pStyle w:val="ENoteTableText"/>
            </w:pPr>
            <w:r w:rsidRPr="00576D60">
              <w:t>Sch 1 (</w:t>
            </w:r>
            <w:r>
              <w:t>items 1</w:t>
            </w:r>
            <w:r w:rsidRPr="00576D60">
              <w:t>–86) and Sch 2 (</w:t>
            </w:r>
            <w:r>
              <w:t>items 3</w:t>
            </w:r>
            <w:r w:rsidRPr="00576D60">
              <w:t>, 4): 1 July 2013 (s 2 items 2, 6)</w:t>
            </w:r>
            <w:r w:rsidRPr="00576D60">
              <w:br/>
              <w:t>Sch 2 (</w:t>
            </w:r>
            <w:r>
              <w:t>items 1</w:t>
            </w:r>
            <w:r w:rsidRPr="00576D60">
              <w:t>, 2): 1 July 2015 (s 2 item 5)</w:t>
            </w:r>
            <w:r w:rsidRPr="00576D60">
              <w:br/>
              <w:t>Sch 3: never commenced (s 2 items 7, 8)</w:t>
            </w:r>
          </w:p>
        </w:tc>
        <w:tc>
          <w:tcPr>
            <w:tcW w:w="1101" w:type="pct"/>
            <w:tcBorders>
              <w:top w:val="single" w:sz="4" w:space="0" w:color="auto"/>
              <w:bottom w:val="single" w:sz="4" w:space="0" w:color="auto"/>
            </w:tcBorders>
            <w:shd w:val="clear" w:color="auto" w:fill="auto"/>
          </w:tcPr>
          <w:p w14:paraId="193FDD69" w14:textId="77777777" w:rsidR="00E93F58" w:rsidRPr="00576D60" w:rsidRDefault="00E93F58" w:rsidP="002F32E3">
            <w:pPr>
              <w:pStyle w:val="ENoteTableText"/>
            </w:pPr>
            <w:r w:rsidRPr="00576D60">
              <w:t>—</w:t>
            </w:r>
          </w:p>
        </w:tc>
      </w:tr>
      <w:tr w:rsidR="00E93F58" w:rsidRPr="00576D60" w14:paraId="36360C5F" w14:textId="77777777" w:rsidTr="002F32E3">
        <w:trPr>
          <w:cantSplit/>
        </w:trPr>
        <w:tc>
          <w:tcPr>
            <w:tcW w:w="1275" w:type="pct"/>
            <w:tcBorders>
              <w:top w:val="single" w:sz="4" w:space="0" w:color="auto"/>
              <w:bottom w:val="single" w:sz="4" w:space="0" w:color="auto"/>
            </w:tcBorders>
            <w:shd w:val="clear" w:color="auto" w:fill="auto"/>
          </w:tcPr>
          <w:p w14:paraId="0BA1E205" w14:textId="77777777" w:rsidR="00E93F58" w:rsidRPr="00576D60" w:rsidRDefault="00E93F58" w:rsidP="002F32E3">
            <w:pPr>
              <w:pStyle w:val="ENoteTableText"/>
            </w:pPr>
            <w:r w:rsidRPr="00576D60">
              <w:t>190, 2013</w:t>
            </w:r>
          </w:p>
        </w:tc>
        <w:tc>
          <w:tcPr>
            <w:tcW w:w="1115" w:type="pct"/>
            <w:tcBorders>
              <w:top w:val="single" w:sz="4" w:space="0" w:color="auto"/>
              <w:bottom w:val="single" w:sz="4" w:space="0" w:color="auto"/>
            </w:tcBorders>
            <w:shd w:val="clear" w:color="auto" w:fill="auto"/>
          </w:tcPr>
          <w:p w14:paraId="5C689588" w14:textId="77777777" w:rsidR="00E93F58" w:rsidRPr="00576D60" w:rsidRDefault="00E93F58" w:rsidP="002F32E3">
            <w:pPr>
              <w:pStyle w:val="ENoteTableText"/>
            </w:pPr>
            <w:r w:rsidRPr="00576D60">
              <w:t>26 July 2013 (F2013L01436)</w:t>
            </w:r>
          </w:p>
        </w:tc>
        <w:tc>
          <w:tcPr>
            <w:tcW w:w="1509" w:type="pct"/>
            <w:tcBorders>
              <w:top w:val="single" w:sz="4" w:space="0" w:color="auto"/>
              <w:bottom w:val="single" w:sz="4" w:space="0" w:color="auto"/>
            </w:tcBorders>
            <w:shd w:val="clear" w:color="auto" w:fill="auto"/>
          </w:tcPr>
          <w:p w14:paraId="333D79B1" w14:textId="77777777" w:rsidR="00E93F58" w:rsidRPr="00576D60" w:rsidRDefault="00E93F58" w:rsidP="002F32E3">
            <w:pPr>
              <w:pStyle w:val="ENoteTableText"/>
            </w:pPr>
            <w:r w:rsidRPr="00576D60">
              <w:t>Sch 1: 27 July 2013 (s 2)</w:t>
            </w:r>
          </w:p>
        </w:tc>
        <w:tc>
          <w:tcPr>
            <w:tcW w:w="1101" w:type="pct"/>
            <w:tcBorders>
              <w:top w:val="single" w:sz="4" w:space="0" w:color="auto"/>
              <w:bottom w:val="single" w:sz="4" w:space="0" w:color="auto"/>
            </w:tcBorders>
            <w:shd w:val="clear" w:color="auto" w:fill="auto"/>
          </w:tcPr>
          <w:p w14:paraId="58725BBB" w14:textId="77777777" w:rsidR="00E93F58" w:rsidRPr="00576D60" w:rsidRDefault="00E93F58" w:rsidP="002F32E3">
            <w:pPr>
              <w:pStyle w:val="ENoteTableText"/>
            </w:pPr>
            <w:r w:rsidRPr="00576D60">
              <w:t>—</w:t>
            </w:r>
          </w:p>
        </w:tc>
      </w:tr>
      <w:tr w:rsidR="00E93F58" w:rsidRPr="00576D60" w14:paraId="6F00A65A" w14:textId="77777777" w:rsidTr="002F32E3">
        <w:trPr>
          <w:cantSplit/>
        </w:trPr>
        <w:tc>
          <w:tcPr>
            <w:tcW w:w="1275" w:type="pct"/>
            <w:tcBorders>
              <w:top w:val="single" w:sz="4" w:space="0" w:color="auto"/>
              <w:bottom w:val="single" w:sz="4" w:space="0" w:color="auto"/>
            </w:tcBorders>
            <w:shd w:val="clear" w:color="auto" w:fill="auto"/>
          </w:tcPr>
          <w:p w14:paraId="52856084" w14:textId="77777777" w:rsidR="00E93F58" w:rsidRPr="00576D60" w:rsidRDefault="00E93F58" w:rsidP="002F32E3">
            <w:pPr>
              <w:pStyle w:val="ENoteTableText"/>
            </w:pPr>
            <w:r w:rsidRPr="00576D60">
              <w:t>191, 2013</w:t>
            </w:r>
          </w:p>
        </w:tc>
        <w:tc>
          <w:tcPr>
            <w:tcW w:w="1115" w:type="pct"/>
            <w:tcBorders>
              <w:top w:val="single" w:sz="4" w:space="0" w:color="auto"/>
              <w:bottom w:val="single" w:sz="4" w:space="0" w:color="auto"/>
            </w:tcBorders>
            <w:shd w:val="clear" w:color="auto" w:fill="auto"/>
          </w:tcPr>
          <w:p w14:paraId="61D49725" w14:textId="77777777" w:rsidR="00E93F58" w:rsidRPr="00576D60" w:rsidRDefault="00E93F58" w:rsidP="002F32E3">
            <w:pPr>
              <w:pStyle w:val="ENoteTableText"/>
            </w:pPr>
            <w:r w:rsidRPr="00576D60">
              <w:t>26 July 2013 (F2013L01440)</w:t>
            </w:r>
          </w:p>
        </w:tc>
        <w:tc>
          <w:tcPr>
            <w:tcW w:w="1509" w:type="pct"/>
            <w:tcBorders>
              <w:top w:val="single" w:sz="4" w:space="0" w:color="auto"/>
              <w:bottom w:val="single" w:sz="4" w:space="0" w:color="auto"/>
            </w:tcBorders>
            <w:shd w:val="clear" w:color="auto" w:fill="auto"/>
          </w:tcPr>
          <w:p w14:paraId="33B75590" w14:textId="77777777" w:rsidR="00E93F58" w:rsidRPr="00576D60" w:rsidRDefault="00E93F58" w:rsidP="002F32E3">
            <w:pPr>
              <w:pStyle w:val="ENoteTableText"/>
            </w:pPr>
            <w:r w:rsidRPr="00576D60">
              <w:t>Sch 1: 27 July 2013 (s 2)</w:t>
            </w:r>
          </w:p>
        </w:tc>
        <w:tc>
          <w:tcPr>
            <w:tcW w:w="1101" w:type="pct"/>
            <w:tcBorders>
              <w:top w:val="single" w:sz="4" w:space="0" w:color="auto"/>
              <w:bottom w:val="single" w:sz="4" w:space="0" w:color="auto"/>
            </w:tcBorders>
            <w:shd w:val="clear" w:color="auto" w:fill="auto"/>
          </w:tcPr>
          <w:p w14:paraId="1B5A371A" w14:textId="77777777" w:rsidR="00E93F58" w:rsidRPr="00576D60" w:rsidRDefault="00E93F58" w:rsidP="002F32E3">
            <w:pPr>
              <w:pStyle w:val="ENoteTableText"/>
            </w:pPr>
            <w:r w:rsidRPr="00576D60">
              <w:t>—</w:t>
            </w:r>
          </w:p>
        </w:tc>
      </w:tr>
      <w:tr w:rsidR="00E93F58" w:rsidRPr="00576D60" w14:paraId="1632817A" w14:textId="77777777" w:rsidTr="002F32E3">
        <w:trPr>
          <w:cantSplit/>
        </w:trPr>
        <w:tc>
          <w:tcPr>
            <w:tcW w:w="1275" w:type="pct"/>
            <w:tcBorders>
              <w:top w:val="single" w:sz="4" w:space="0" w:color="auto"/>
              <w:bottom w:val="single" w:sz="4" w:space="0" w:color="auto"/>
            </w:tcBorders>
            <w:shd w:val="clear" w:color="auto" w:fill="auto"/>
          </w:tcPr>
          <w:p w14:paraId="06FAB699" w14:textId="77777777" w:rsidR="00E93F58" w:rsidRPr="00576D60" w:rsidRDefault="00E93F58" w:rsidP="002F32E3">
            <w:pPr>
              <w:pStyle w:val="ENoteTableText"/>
            </w:pPr>
            <w:r w:rsidRPr="00576D60">
              <w:t>192, 2013</w:t>
            </w:r>
          </w:p>
        </w:tc>
        <w:tc>
          <w:tcPr>
            <w:tcW w:w="1115" w:type="pct"/>
            <w:tcBorders>
              <w:top w:val="single" w:sz="4" w:space="0" w:color="auto"/>
              <w:bottom w:val="single" w:sz="4" w:space="0" w:color="auto"/>
            </w:tcBorders>
            <w:shd w:val="clear" w:color="auto" w:fill="auto"/>
          </w:tcPr>
          <w:p w14:paraId="5B3BAE46" w14:textId="77777777" w:rsidR="00E93F58" w:rsidRPr="00576D60" w:rsidRDefault="00E93F58" w:rsidP="002F32E3">
            <w:pPr>
              <w:pStyle w:val="ENoteTableText"/>
            </w:pPr>
            <w:r w:rsidRPr="00576D60">
              <w:t>25 July 2013 (F2013L01431)</w:t>
            </w:r>
          </w:p>
        </w:tc>
        <w:tc>
          <w:tcPr>
            <w:tcW w:w="1509" w:type="pct"/>
            <w:tcBorders>
              <w:top w:val="single" w:sz="4" w:space="0" w:color="auto"/>
              <w:bottom w:val="single" w:sz="4" w:space="0" w:color="auto"/>
            </w:tcBorders>
            <w:shd w:val="clear" w:color="auto" w:fill="auto"/>
          </w:tcPr>
          <w:p w14:paraId="1B999118" w14:textId="77777777" w:rsidR="00E93F58" w:rsidRPr="00576D60" w:rsidRDefault="00E93F58" w:rsidP="002F32E3">
            <w:pPr>
              <w:pStyle w:val="ENoteTableText"/>
            </w:pPr>
            <w:r w:rsidRPr="00576D60">
              <w:t>Sch 1 (item 6): 26 July 2013 (s 2)</w:t>
            </w:r>
          </w:p>
        </w:tc>
        <w:tc>
          <w:tcPr>
            <w:tcW w:w="1101" w:type="pct"/>
            <w:tcBorders>
              <w:top w:val="single" w:sz="4" w:space="0" w:color="auto"/>
              <w:bottom w:val="single" w:sz="4" w:space="0" w:color="auto"/>
            </w:tcBorders>
            <w:shd w:val="clear" w:color="auto" w:fill="auto"/>
          </w:tcPr>
          <w:p w14:paraId="6D5FFB24" w14:textId="77777777" w:rsidR="00E93F58" w:rsidRPr="00576D60" w:rsidRDefault="00E93F58" w:rsidP="002F32E3">
            <w:pPr>
              <w:pStyle w:val="ENoteTableText"/>
            </w:pPr>
            <w:r w:rsidRPr="00576D60">
              <w:t>—</w:t>
            </w:r>
          </w:p>
        </w:tc>
      </w:tr>
      <w:tr w:rsidR="00E93F58" w:rsidRPr="00576D60" w14:paraId="23C08225" w14:textId="77777777" w:rsidTr="002F32E3">
        <w:trPr>
          <w:cantSplit/>
        </w:trPr>
        <w:tc>
          <w:tcPr>
            <w:tcW w:w="1275" w:type="pct"/>
            <w:tcBorders>
              <w:top w:val="single" w:sz="4" w:space="0" w:color="auto"/>
              <w:bottom w:val="single" w:sz="4" w:space="0" w:color="auto"/>
            </w:tcBorders>
            <w:shd w:val="clear" w:color="auto" w:fill="auto"/>
          </w:tcPr>
          <w:p w14:paraId="2A9DE04A" w14:textId="77777777" w:rsidR="00E93F58" w:rsidRPr="00576D60" w:rsidRDefault="00E93F58" w:rsidP="002F32E3">
            <w:pPr>
              <w:pStyle w:val="ENoteTableText"/>
            </w:pPr>
            <w:r w:rsidRPr="00576D60">
              <w:t>202, 2013</w:t>
            </w:r>
          </w:p>
        </w:tc>
        <w:tc>
          <w:tcPr>
            <w:tcW w:w="1115" w:type="pct"/>
            <w:tcBorders>
              <w:top w:val="single" w:sz="4" w:space="0" w:color="auto"/>
              <w:bottom w:val="single" w:sz="4" w:space="0" w:color="auto"/>
            </w:tcBorders>
            <w:shd w:val="clear" w:color="auto" w:fill="auto"/>
          </w:tcPr>
          <w:p w14:paraId="05B24EDA" w14:textId="77777777" w:rsidR="00E93F58" w:rsidRPr="00576D60" w:rsidRDefault="00E93F58" w:rsidP="002F32E3">
            <w:pPr>
              <w:pStyle w:val="ENoteTableText"/>
            </w:pPr>
            <w:r w:rsidRPr="00576D60">
              <w:t>6 Aug 2013 (F2013L01523)</w:t>
            </w:r>
          </w:p>
        </w:tc>
        <w:tc>
          <w:tcPr>
            <w:tcW w:w="1509" w:type="pct"/>
            <w:tcBorders>
              <w:top w:val="single" w:sz="4" w:space="0" w:color="auto"/>
              <w:bottom w:val="single" w:sz="4" w:space="0" w:color="auto"/>
            </w:tcBorders>
            <w:shd w:val="clear" w:color="auto" w:fill="auto"/>
          </w:tcPr>
          <w:p w14:paraId="2487BE1D" w14:textId="77777777" w:rsidR="00E93F58" w:rsidRPr="00576D60" w:rsidRDefault="00E93F58" w:rsidP="002F32E3">
            <w:pPr>
              <w:pStyle w:val="ENoteTableText"/>
            </w:pPr>
            <w:r w:rsidRPr="00576D60">
              <w:t>Sch 2: 7 Aug 2013 (s 2)</w:t>
            </w:r>
          </w:p>
        </w:tc>
        <w:tc>
          <w:tcPr>
            <w:tcW w:w="1101" w:type="pct"/>
            <w:tcBorders>
              <w:top w:val="single" w:sz="4" w:space="0" w:color="auto"/>
              <w:bottom w:val="single" w:sz="4" w:space="0" w:color="auto"/>
            </w:tcBorders>
            <w:shd w:val="clear" w:color="auto" w:fill="auto"/>
          </w:tcPr>
          <w:p w14:paraId="06952BDD" w14:textId="77777777" w:rsidR="00E93F58" w:rsidRPr="00576D60" w:rsidRDefault="00E93F58" w:rsidP="002F32E3">
            <w:pPr>
              <w:pStyle w:val="ENoteTableText"/>
            </w:pPr>
            <w:r w:rsidRPr="00576D60">
              <w:t>—</w:t>
            </w:r>
          </w:p>
        </w:tc>
      </w:tr>
      <w:tr w:rsidR="00E93F58" w:rsidRPr="00576D60" w14:paraId="0D8A2FE8" w14:textId="77777777" w:rsidTr="002F32E3">
        <w:trPr>
          <w:cantSplit/>
        </w:trPr>
        <w:tc>
          <w:tcPr>
            <w:tcW w:w="1275" w:type="pct"/>
            <w:tcBorders>
              <w:top w:val="single" w:sz="4" w:space="0" w:color="auto"/>
              <w:bottom w:val="single" w:sz="4" w:space="0" w:color="auto"/>
            </w:tcBorders>
            <w:shd w:val="clear" w:color="auto" w:fill="auto"/>
          </w:tcPr>
          <w:p w14:paraId="2B4D9C82" w14:textId="77777777" w:rsidR="00E93F58" w:rsidRPr="00576D60" w:rsidRDefault="00E93F58" w:rsidP="002F32E3">
            <w:pPr>
              <w:pStyle w:val="ENoteTableText"/>
            </w:pPr>
            <w:r w:rsidRPr="00576D60">
              <w:t>33, 2014</w:t>
            </w:r>
          </w:p>
        </w:tc>
        <w:tc>
          <w:tcPr>
            <w:tcW w:w="1115" w:type="pct"/>
            <w:tcBorders>
              <w:top w:val="single" w:sz="4" w:space="0" w:color="auto"/>
              <w:bottom w:val="single" w:sz="4" w:space="0" w:color="auto"/>
            </w:tcBorders>
            <w:shd w:val="clear" w:color="auto" w:fill="auto"/>
          </w:tcPr>
          <w:p w14:paraId="5B7A039D" w14:textId="77777777" w:rsidR="00E93F58" w:rsidRPr="00576D60" w:rsidRDefault="00E93F58" w:rsidP="002F32E3">
            <w:pPr>
              <w:pStyle w:val="ENoteTableText"/>
            </w:pPr>
            <w:r w:rsidRPr="00576D60">
              <w:t>14 Mar 2014 (F2014L00261)</w:t>
            </w:r>
          </w:p>
        </w:tc>
        <w:tc>
          <w:tcPr>
            <w:tcW w:w="1509" w:type="pct"/>
            <w:tcBorders>
              <w:top w:val="single" w:sz="4" w:space="0" w:color="auto"/>
              <w:bottom w:val="single" w:sz="4" w:space="0" w:color="auto"/>
            </w:tcBorders>
            <w:shd w:val="clear" w:color="auto" w:fill="auto"/>
          </w:tcPr>
          <w:p w14:paraId="72E97673" w14:textId="77777777" w:rsidR="00E93F58" w:rsidRPr="00576D60" w:rsidRDefault="00E93F58" w:rsidP="002F32E3">
            <w:pPr>
              <w:pStyle w:val="ENoteTableText"/>
            </w:pPr>
            <w:r w:rsidRPr="00576D60">
              <w:t>Sch 1 (</w:t>
            </w:r>
            <w:r>
              <w:t>item 2</w:t>
            </w:r>
            <w:r w:rsidRPr="00576D60">
              <w:t>), Sch 2 (</w:t>
            </w:r>
            <w:r>
              <w:t>items 1</w:t>
            </w:r>
            <w:r w:rsidRPr="00576D60">
              <w:t>–4) and Sch 3 (</w:t>
            </w:r>
            <w:r>
              <w:t>item 3</w:t>
            </w:r>
            <w:r w:rsidRPr="00576D60">
              <w:t>): 15 Mar 2014 (s 2)</w:t>
            </w:r>
          </w:p>
        </w:tc>
        <w:tc>
          <w:tcPr>
            <w:tcW w:w="1101" w:type="pct"/>
            <w:tcBorders>
              <w:top w:val="single" w:sz="4" w:space="0" w:color="auto"/>
              <w:bottom w:val="single" w:sz="4" w:space="0" w:color="auto"/>
            </w:tcBorders>
            <w:shd w:val="clear" w:color="auto" w:fill="auto"/>
          </w:tcPr>
          <w:p w14:paraId="01720082" w14:textId="77777777" w:rsidR="00E93F58" w:rsidRPr="00576D60" w:rsidRDefault="00E93F58" w:rsidP="002F32E3">
            <w:pPr>
              <w:pStyle w:val="ENoteTableText"/>
            </w:pPr>
            <w:r w:rsidRPr="00576D60">
              <w:t>—</w:t>
            </w:r>
          </w:p>
        </w:tc>
      </w:tr>
      <w:tr w:rsidR="00E93F58" w:rsidRPr="00576D60" w14:paraId="13923757" w14:textId="77777777" w:rsidTr="002F32E3">
        <w:trPr>
          <w:cantSplit/>
        </w:trPr>
        <w:tc>
          <w:tcPr>
            <w:tcW w:w="1275" w:type="pct"/>
            <w:tcBorders>
              <w:top w:val="single" w:sz="4" w:space="0" w:color="auto"/>
              <w:bottom w:val="single" w:sz="4" w:space="0" w:color="auto"/>
            </w:tcBorders>
            <w:shd w:val="clear" w:color="auto" w:fill="auto"/>
          </w:tcPr>
          <w:p w14:paraId="095C7F00" w14:textId="77777777" w:rsidR="00E93F58" w:rsidRPr="00576D60" w:rsidRDefault="00E93F58" w:rsidP="002F32E3">
            <w:pPr>
              <w:pStyle w:val="ENoteTableText"/>
            </w:pPr>
            <w:r w:rsidRPr="00576D60">
              <w:t>88, 2014</w:t>
            </w:r>
          </w:p>
        </w:tc>
        <w:tc>
          <w:tcPr>
            <w:tcW w:w="1115" w:type="pct"/>
            <w:tcBorders>
              <w:top w:val="single" w:sz="4" w:space="0" w:color="auto"/>
              <w:bottom w:val="single" w:sz="4" w:space="0" w:color="auto"/>
            </w:tcBorders>
            <w:shd w:val="clear" w:color="auto" w:fill="auto"/>
          </w:tcPr>
          <w:p w14:paraId="3C80C5F4" w14:textId="77777777" w:rsidR="00E93F58" w:rsidRPr="00576D60" w:rsidRDefault="00E93F58" w:rsidP="002F32E3">
            <w:pPr>
              <w:pStyle w:val="ENoteTableText"/>
            </w:pPr>
            <w:r w:rsidRPr="00576D60">
              <w:t>13 June 2014 (F2014L00711)</w:t>
            </w:r>
          </w:p>
        </w:tc>
        <w:tc>
          <w:tcPr>
            <w:tcW w:w="1509" w:type="pct"/>
            <w:tcBorders>
              <w:top w:val="single" w:sz="4" w:space="0" w:color="auto"/>
              <w:bottom w:val="single" w:sz="4" w:space="0" w:color="auto"/>
            </w:tcBorders>
            <w:shd w:val="clear" w:color="auto" w:fill="auto"/>
          </w:tcPr>
          <w:p w14:paraId="33370482" w14:textId="77777777" w:rsidR="00E93F58" w:rsidRPr="00576D60" w:rsidRDefault="00E93F58" w:rsidP="002F32E3">
            <w:pPr>
              <w:pStyle w:val="ENoteTableText"/>
            </w:pPr>
            <w:r w:rsidRPr="00576D60">
              <w:t>Sch 1, 2 and Sch 3 (items 5, 6): 14 June 2014 (s 2)</w:t>
            </w:r>
          </w:p>
        </w:tc>
        <w:tc>
          <w:tcPr>
            <w:tcW w:w="1101" w:type="pct"/>
            <w:tcBorders>
              <w:top w:val="single" w:sz="4" w:space="0" w:color="auto"/>
              <w:bottom w:val="single" w:sz="4" w:space="0" w:color="auto"/>
            </w:tcBorders>
            <w:shd w:val="clear" w:color="auto" w:fill="auto"/>
          </w:tcPr>
          <w:p w14:paraId="60B4CFBC" w14:textId="77777777" w:rsidR="00E93F58" w:rsidRPr="00576D60" w:rsidRDefault="00E93F58" w:rsidP="002F32E3">
            <w:pPr>
              <w:pStyle w:val="ENoteTableText"/>
            </w:pPr>
            <w:r w:rsidRPr="00576D60">
              <w:t>—</w:t>
            </w:r>
          </w:p>
        </w:tc>
      </w:tr>
      <w:tr w:rsidR="00E93F58" w:rsidRPr="00576D60" w14:paraId="3B2AB28B" w14:textId="77777777" w:rsidTr="002F32E3">
        <w:trPr>
          <w:cantSplit/>
        </w:trPr>
        <w:tc>
          <w:tcPr>
            <w:tcW w:w="1275" w:type="pct"/>
            <w:tcBorders>
              <w:top w:val="single" w:sz="4" w:space="0" w:color="auto"/>
              <w:bottom w:val="single" w:sz="4" w:space="0" w:color="auto"/>
            </w:tcBorders>
            <w:shd w:val="clear" w:color="auto" w:fill="auto"/>
          </w:tcPr>
          <w:p w14:paraId="6B61C87D" w14:textId="77777777" w:rsidR="00E93F58" w:rsidRPr="00576D60" w:rsidRDefault="00E93F58" w:rsidP="002F32E3">
            <w:pPr>
              <w:pStyle w:val="ENoteTableText"/>
            </w:pPr>
            <w:r w:rsidRPr="00576D60">
              <w:t>102, 2014</w:t>
            </w:r>
          </w:p>
        </w:tc>
        <w:tc>
          <w:tcPr>
            <w:tcW w:w="1115" w:type="pct"/>
            <w:tcBorders>
              <w:top w:val="single" w:sz="4" w:space="0" w:color="auto"/>
              <w:bottom w:val="single" w:sz="4" w:space="0" w:color="auto"/>
            </w:tcBorders>
            <w:shd w:val="clear" w:color="auto" w:fill="auto"/>
          </w:tcPr>
          <w:p w14:paraId="215552FB" w14:textId="77777777" w:rsidR="00E93F58" w:rsidRPr="00576D60" w:rsidRDefault="00E93F58" w:rsidP="002F32E3">
            <w:pPr>
              <w:pStyle w:val="ENoteTableText"/>
            </w:pPr>
            <w:r w:rsidRPr="00576D60">
              <w:t>30 June 2014 (F2014L00891)</w:t>
            </w:r>
          </w:p>
        </w:tc>
        <w:tc>
          <w:tcPr>
            <w:tcW w:w="1509" w:type="pct"/>
            <w:tcBorders>
              <w:top w:val="single" w:sz="4" w:space="0" w:color="auto"/>
              <w:bottom w:val="single" w:sz="4" w:space="0" w:color="auto"/>
            </w:tcBorders>
            <w:shd w:val="clear" w:color="auto" w:fill="auto"/>
          </w:tcPr>
          <w:p w14:paraId="615D2C7E" w14:textId="77777777" w:rsidR="00E93F58" w:rsidRPr="00576D60" w:rsidRDefault="00E93F58" w:rsidP="002F32E3">
            <w:pPr>
              <w:pStyle w:val="ENoteTableText"/>
            </w:pPr>
            <w:r w:rsidRPr="00576D60">
              <w:t>1 July 2014 (s 2)</w:t>
            </w:r>
            <w:r w:rsidRPr="00576D60">
              <w:br/>
              <w:t xml:space="preserve">Note: disallowed by the Senate </w:t>
            </w:r>
            <w:r>
              <w:t xml:space="preserve">at 7.39 pm </w:t>
            </w:r>
            <w:r w:rsidRPr="00576D60">
              <w:t>on 19 Nov 2014; rescinded 27 Nov 2014</w:t>
            </w:r>
          </w:p>
        </w:tc>
        <w:tc>
          <w:tcPr>
            <w:tcW w:w="1101" w:type="pct"/>
            <w:tcBorders>
              <w:top w:val="single" w:sz="4" w:space="0" w:color="auto"/>
              <w:bottom w:val="single" w:sz="4" w:space="0" w:color="auto"/>
            </w:tcBorders>
            <w:shd w:val="clear" w:color="auto" w:fill="auto"/>
          </w:tcPr>
          <w:p w14:paraId="4E80B849" w14:textId="77777777" w:rsidR="00E93F58" w:rsidRPr="00576D60" w:rsidRDefault="00E93F58" w:rsidP="002F32E3">
            <w:pPr>
              <w:pStyle w:val="ENoteTableText"/>
            </w:pPr>
            <w:r w:rsidRPr="00576D60">
              <w:t>—</w:t>
            </w:r>
          </w:p>
        </w:tc>
      </w:tr>
      <w:tr w:rsidR="00E93F58" w:rsidRPr="00576D60" w14:paraId="2E26B1DC" w14:textId="77777777" w:rsidTr="002F32E3">
        <w:trPr>
          <w:cantSplit/>
        </w:trPr>
        <w:tc>
          <w:tcPr>
            <w:tcW w:w="1275" w:type="pct"/>
            <w:tcBorders>
              <w:top w:val="single" w:sz="4" w:space="0" w:color="auto"/>
              <w:bottom w:val="nil"/>
            </w:tcBorders>
            <w:shd w:val="clear" w:color="auto" w:fill="auto"/>
          </w:tcPr>
          <w:p w14:paraId="70105928" w14:textId="77777777" w:rsidR="00E93F58" w:rsidRPr="00576D60" w:rsidRDefault="00E93F58" w:rsidP="002F32E3">
            <w:pPr>
              <w:pStyle w:val="ENoteTableText"/>
            </w:pPr>
            <w:r w:rsidRPr="00576D60">
              <w:t>134, 2014</w:t>
            </w:r>
          </w:p>
        </w:tc>
        <w:tc>
          <w:tcPr>
            <w:tcW w:w="1115" w:type="pct"/>
            <w:tcBorders>
              <w:top w:val="single" w:sz="4" w:space="0" w:color="auto"/>
              <w:bottom w:val="nil"/>
            </w:tcBorders>
            <w:shd w:val="clear" w:color="auto" w:fill="auto"/>
          </w:tcPr>
          <w:p w14:paraId="3E394B7E" w14:textId="77777777" w:rsidR="00E93F58" w:rsidRPr="00576D60" w:rsidRDefault="00E93F58" w:rsidP="002F32E3">
            <w:pPr>
              <w:pStyle w:val="ENoteTableText"/>
            </w:pPr>
            <w:r w:rsidRPr="00576D60">
              <w:t>8 Sept 2014 (F2014L01199)</w:t>
            </w:r>
          </w:p>
        </w:tc>
        <w:tc>
          <w:tcPr>
            <w:tcW w:w="1509" w:type="pct"/>
            <w:tcBorders>
              <w:top w:val="single" w:sz="4" w:space="0" w:color="auto"/>
              <w:bottom w:val="nil"/>
            </w:tcBorders>
            <w:shd w:val="clear" w:color="auto" w:fill="auto"/>
          </w:tcPr>
          <w:p w14:paraId="3711F345" w14:textId="77777777" w:rsidR="00E93F58" w:rsidRPr="00576D60" w:rsidRDefault="00E93F58" w:rsidP="002F32E3">
            <w:pPr>
              <w:pStyle w:val="ENoteTableText"/>
              <w:rPr>
                <w:u w:val="single"/>
              </w:rPr>
            </w:pPr>
            <w:r w:rsidRPr="00576D60">
              <w:t>Repealed before commencing (s 2)</w:t>
            </w:r>
          </w:p>
        </w:tc>
        <w:tc>
          <w:tcPr>
            <w:tcW w:w="1101" w:type="pct"/>
            <w:tcBorders>
              <w:top w:val="single" w:sz="4" w:space="0" w:color="auto"/>
              <w:bottom w:val="nil"/>
            </w:tcBorders>
            <w:shd w:val="clear" w:color="auto" w:fill="auto"/>
          </w:tcPr>
          <w:p w14:paraId="46AE7761" w14:textId="77777777" w:rsidR="00E93F58" w:rsidRPr="00576D60" w:rsidRDefault="00E93F58" w:rsidP="002F32E3">
            <w:pPr>
              <w:pStyle w:val="ENoteTableText"/>
            </w:pPr>
            <w:r w:rsidRPr="00576D60">
              <w:t>—</w:t>
            </w:r>
          </w:p>
        </w:tc>
      </w:tr>
      <w:tr w:rsidR="00E93F58" w:rsidRPr="00576D60" w14:paraId="223FFCD3" w14:textId="77777777" w:rsidTr="002F32E3">
        <w:trPr>
          <w:cantSplit/>
        </w:trPr>
        <w:tc>
          <w:tcPr>
            <w:tcW w:w="1275" w:type="pct"/>
            <w:tcBorders>
              <w:top w:val="nil"/>
              <w:bottom w:val="nil"/>
            </w:tcBorders>
            <w:shd w:val="clear" w:color="auto" w:fill="auto"/>
          </w:tcPr>
          <w:p w14:paraId="1D8214CC" w14:textId="77777777" w:rsidR="00E93F58" w:rsidRPr="00576D60" w:rsidRDefault="00E93F58" w:rsidP="002F32E3">
            <w:pPr>
              <w:pStyle w:val="ENoteTTIndentHeading"/>
            </w:pPr>
            <w:r w:rsidRPr="00576D60">
              <w:t>as repealed by</w:t>
            </w:r>
          </w:p>
        </w:tc>
        <w:tc>
          <w:tcPr>
            <w:tcW w:w="1115" w:type="pct"/>
            <w:tcBorders>
              <w:top w:val="nil"/>
              <w:bottom w:val="nil"/>
            </w:tcBorders>
            <w:shd w:val="clear" w:color="auto" w:fill="auto"/>
          </w:tcPr>
          <w:p w14:paraId="2264A1B7" w14:textId="77777777" w:rsidR="00E93F58" w:rsidRPr="00576D60" w:rsidRDefault="00E93F58" w:rsidP="002F32E3">
            <w:pPr>
              <w:pStyle w:val="ENoteTableText"/>
            </w:pPr>
          </w:p>
        </w:tc>
        <w:tc>
          <w:tcPr>
            <w:tcW w:w="1509" w:type="pct"/>
            <w:tcBorders>
              <w:top w:val="nil"/>
              <w:bottom w:val="nil"/>
            </w:tcBorders>
            <w:shd w:val="clear" w:color="auto" w:fill="auto"/>
          </w:tcPr>
          <w:p w14:paraId="099CA786" w14:textId="77777777" w:rsidR="00E93F58" w:rsidRPr="00576D60" w:rsidRDefault="00E93F58" w:rsidP="002F32E3">
            <w:pPr>
              <w:pStyle w:val="ENoteTableText"/>
            </w:pPr>
          </w:p>
        </w:tc>
        <w:tc>
          <w:tcPr>
            <w:tcW w:w="1101" w:type="pct"/>
            <w:tcBorders>
              <w:top w:val="nil"/>
              <w:bottom w:val="nil"/>
            </w:tcBorders>
            <w:shd w:val="clear" w:color="auto" w:fill="auto"/>
          </w:tcPr>
          <w:p w14:paraId="59D38271" w14:textId="77777777" w:rsidR="00E93F58" w:rsidRPr="00576D60" w:rsidRDefault="00E93F58" w:rsidP="002F32E3">
            <w:pPr>
              <w:pStyle w:val="ENoteTableText"/>
            </w:pPr>
          </w:p>
        </w:tc>
      </w:tr>
      <w:tr w:rsidR="00E93F58" w:rsidRPr="00576D60" w14:paraId="075AE6AA" w14:textId="77777777" w:rsidTr="002F32E3">
        <w:trPr>
          <w:cantSplit/>
        </w:trPr>
        <w:tc>
          <w:tcPr>
            <w:tcW w:w="1275" w:type="pct"/>
            <w:tcBorders>
              <w:top w:val="nil"/>
              <w:bottom w:val="single" w:sz="4" w:space="0" w:color="auto"/>
            </w:tcBorders>
            <w:shd w:val="clear" w:color="auto" w:fill="auto"/>
          </w:tcPr>
          <w:p w14:paraId="0BD2E0FB" w14:textId="77777777" w:rsidR="00E93F58" w:rsidRPr="00576D60" w:rsidRDefault="00E93F58" w:rsidP="002F32E3">
            <w:pPr>
              <w:pStyle w:val="ENoteTTi"/>
            </w:pPr>
            <w:r w:rsidRPr="00576D60">
              <w:t>210, 2014</w:t>
            </w:r>
          </w:p>
        </w:tc>
        <w:tc>
          <w:tcPr>
            <w:tcW w:w="1115" w:type="pct"/>
            <w:tcBorders>
              <w:top w:val="nil"/>
              <w:bottom w:val="single" w:sz="4" w:space="0" w:color="auto"/>
            </w:tcBorders>
            <w:shd w:val="clear" w:color="auto" w:fill="auto"/>
          </w:tcPr>
          <w:p w14:paraId="340DA4BF" w14:textId="77777777" w:rsidR="00E93F58" w:rsidRPr="00576D60" w:rsidRDefault="00E93F58" w:rsidP="002F32E3">
            <w:pPr>
              <w:pStyle w:val="ENoteTableText"/>
            </w:pPr>
            <w:r w:rsidRPr="00576D60">
              <w:t>15 Dec 2014 (F2014L01704)</w:t>
            </w:r>
          </w:p>
        </w:tc>
        <w:tc>
          <w:tcPr>
            <w:tcW w:w="1509" w:type="pct"/>
            <w:tcBorders>
              <w:top w:val="nil"/>
              <w:bottom w:val="single" w:sz="4" w:space="0" w:color="auto"/>
            </w:tcBorders>
            <w:shd w:val="clear" w:color="auto" w:fill="auto"/>
          </w:tcPr>
          <w:p w14:paraId="0A7609A2" w14:textId="77777777" w:rsidR="00E93F58" w:rsidRPr="00576D60" w:rsidRDefault="00E93F58" w:rsidP="002F32E3">
            <w:pPr>
              <w:pStyle w:val="ENoteTableText"/>
            </w:pPr>
            <w:r w:rsidRPr="00576D60">
              <w:t>16 Dec 2014 (s 2)</w:t>
            </w:r>
          </w:p>
        </w:tc>
        <w:tc>
          <w:tcPr>
            <w:tcW w:w="1101" w:type="pct"/>
            <w:tcBorders>
              <w:top w:val="nil"/>
              <w:bottom w:val="single" w:sz="4" w:space="0" w:color="auto"/>
            </w:tcBorders>
            <w:shd w:val="clear" w:color="auto" w:fill="auto"/>
          </w:tcPr>
          <w:p w14:paraId="6D5C41F3" w14:textId="77777777" w:rsidR="00E93F58" w:rsidRPr="00576D60" w:rsidRDefault="00E93F58" w:rsidP="002F32E3">
            <w:pPr>
              <w:pStyle w:val="ENoteTableText"/>
            </w:pPr>
            <w:r w:rsidRPr="00576D60">
              <w:t>—</w:t>
            </w:r>
          </w:p>
        </w:tc>
      </w:tr>
      <w:tr w:rsidR="00E93F58" w:rsidRPr="00576D60" w14:paraId="7E649438" w14:textId="77777777" w:rsidTr="002F32E3">
        <w:trPr>
          <w:cantSplit/>
        </w:trPr>
        <w:tc>
          <w:tcPr>
            <w:tcW w:w="1275" w:type="pct"/>
            <w:tcBorders>
              <w:top w:val="single" w:sz="4" w:space="0" w:color="auto"/>
              <w:bottom w:val="single" w:sz="4" w:space="0" w:color="auto"/>
            </w:tcBorders>
            <w:shd w:val="clear" w:color="auto" w:fill="auto"/>
          </w:tcPr>
          <w:p w14:paraId="454FC413" w14:textId="77777777" w:rsidR="00E93F58" w:rsidRPr="00576D60" w:rsidRDefault="00E93F58" w:rsidP="002F32E3">
            <w:pPr>
              <w:pStyle w:val="ENoteTableText"/>
            </w:pPr>
            <w:r w:rsidRPr="00576D60">
              <w:t>175, 2014</w:t>
            </w:r>
          </w:p>
        </w:tc>
        <w:tc>
          <w:tcPr>
            <w:tcW w:w="1115" w:type="pct"/>
            <w:tcBorders>
              <w:top w:val="single" w:sz="4" w:space="0" w:color="auto"/>
              <w:bottom w:val="single" w:sz="4" w:space="0" w:color="auto"/>
            </w:tcBorders>
            <w:shd w:val="clear" w:color="auto" w:fill="auto"/>
          </w:tcPr>
          <w:p w14:paraId="2021EF36" w14:textId="77777777" w:rsidR="00E93F58" w:rsidRPr="00576D60" w:rsidRDefault="00E93F58" w:rsidP="002F32E3">
            <w:pPr>
              <w:pStyle w:val="ENoteTableText"/>
            </w:pPr>
            <w:r w:rsidRPr="00576D60">
              <w:t>17 Nov 2014 (F2014L01526)</w:t>
            </w:r>
          </w:p>
        </w:tc>
        <w:tc>
          <w:tcPr>
            <w:tcW w:w="1509" w:type="pct"/>
            <w:tcBorders>
              <w:top w:val="single" w:sz="4" w:space="0" w:color="auto"/>
              <w:bottom w:val="single" w:sz="4" w:space="0" w:color="auto"/>
            </w:tcBorders>
            <w:shd w:val="clear" w:color="auto" w:fill="auto"/>
          </w:tcPr>
          <w:p w14:paraId="50E2AA15" w14:textId="77777777" w:rsidR="00E93F58" w:rsidRPr="00576D60" w:rsidRDefault="00E93F58" w:rsidP="002F32E3">
            <w:pPr>
              <w:pStyle w:val="ENoteTableText"/>
            </w:pPr>
            <w:r w:rsidRPr="00576D60">
              <w:t xml:space="preserve">Sch 1: 1 Dec 2014 (s 2 </w:t>
            </w:r>
            <w:r>
              <w:t>item 2</w:t>
            </w:r>
            <w:r w:rsidRPr="00576D60">
              <w:t>)</w:t>
            </w:r>
            <w:r w:rsidRPr="00576D60">
              <w:br/>
              <w:t xml:space="preserve">Sch 2: 1 Dec 2016 (s 2 </w:t>
            </w:r>
            <w:r>
              <w:t>item 3</w:t>
            </w:r>
            <w:r w:rsidRPr="00576D60">
              <w:t>)</w:t>
            </w:r>
            <w:r w:rsidRPr="00576D60">
              <w:br/>
              <w:t xml:space="preserve">Remainder: 18 Nov 2014 (s 2 </w:t>
            </w:r>
            <w:r>
              <w:t>item 1</w:t>
            </w:r>
            <w:r w:rsidRPr="00576D60">
              <w:t>)</w:t>
            </w:r>
          </w:p>
        </w:tc>
        <w:tc>
          <w:tcPr>
            <w:tcW w:w="1101" w:type="pct"/>
            <w:tcBorders>
              <w:top w:val="single" w:sz="4" w:space="0" w:color="auto"/>
              <w:bottom w:val="single" w:sz="4" w:space="0" w:color="auto"/>
            </w:tcBorders>
            <w:shd w:val="clear" w:color="auto" w:fill="auto"/>
          </w:tcPr>
          <w:p w14:paraId="22A3BBB3" w14:textId="77777777" w:rsidR="00E93F58" w:rsidRPr="00576D60" w:rsidRDefault="00E93F58" w:rsidP="002F32E3">
            <w:pPr>
              <w:pStyle w:val="ENoteTableText"/>
            </w:pPr>
            <w:r w:rsidRPr="00576D60">
              <w:t>—</w:t>
            </w:r>
          </w:p>
        </w:tc>
      </w:tr>
      <w:tr w:rsidR="00E93F58" w:rsidRPr="00576D60" w14:paraId="27630B1D" w14:textId="77777777" w:rsidTr="002F32E3">
        <w:trPr>
          <w:cantSplit/>
        </w:trPr>
        <w:tc>
          <w:tcPr>
            <w:tcW w:w="1275" w:type="pct"/>
            <w:tcBorders>
              <w:top w:val="single" w:sz="4" w:space="0" w:color="auto"/>
              <w:bottom w:val="single" w:sz="4" w:space="0" w:color="auto"/>
            </w:tcBorders>
            <w:shd w:val="clear" w:color="auto" w:fill="auto"/>
          </w:tcPr>
          <w:p w14:paraId="73973282" w14:textId="77777777" w:rsidR="00E93F58" w:rsidRPr="00576D60" w:rsidRDefault="00E93F58" w:rsidP="002F32E3">
            <w:pPr>
              <w:pStyle w:val="ENoteTableText"/>
            </w:pPr>
            <w:r w:rsidRPr="00576D60">
              <w:t>185, 2014</w:t>
            </w:r>
          </w:p>
        </w:tc>
        <w:tc>
          <w:tcPr>
            <w:tcW w:w="1115" w:type="pct"/>
            <w:tcBorders>
              <w:top w:val="single" w:sz="4" w:space="0" w:color="auto"/>
              <w:bottom w:val="single" w:sz="4" w:space="0" w:color="auto"/>
            </w:tcBorders>
            <w:shd w:val="clear" w:color="auto" w:fill="auto"/>
          </w:tcPr>
          <w:p w14:paraId="0A79A356" w14:textId="77777777" w:rsidR="00E93F58" w:rsidRPr="00576D60" w:rsidRDefault="00E93F58" w:rsidP="002F32E3">
            <w:pPr>
              <w:pStyle w:val="ENoteTableText"/>
            </w:pPr>
            <w:r w:rsidRPr="00576D60">
              <w:t>1 Dec 2014 (F2014L01612)</w:t>
            </w:r>
          </w:p>
        </w:tc>
        <w:tc>
          <w:tcPr>
            <w:tcW w:w="1509" w:type="pct"/>
            <w:tcBorders>
              <w:top w:val="single" w:sz="4" w:space="0" w:color="auto"/>
              <w:bottom w:val="single" w:sz="4" w:space="0" w:color="auto"/>
            </w:tcBorders>
            <w:shd w:val="clear" w:color="auto" w:fill="auto"/>
          </w:tcPr>
          <w:p w14:paraId="777BC253" w14:textId="77777777" w:rsidR="00E93F58" w:rsidRPr="00576D60" w:rsidRDefault="00E93F58" w:rsidP="002F32E3">
            <w:pPr>
              <w:pStyle w:val="ENoteTableText"/>
            </w:pPr>
            <w:r w:rsidRPr="00576D60">
              <w:t>Sch 1 (</w:t>
            </w:r>
            <w:r>
              <w:t>item 3</w:t>
            </w:r>
            <w:r w:rsidRPr="00576D60">
              <w:t xml:space="preserve">): 1 Dec 2014 (s 2(1) </w:t>
            </w:r>
            <w:r>
              <w:t>item 2</w:t>
            </w:r>
            <w:r w:rsidRPr="00576D60">
              <w:t>)</w:t>
            </w:r>
            <w:r w:rsidRPr="00576D60">
              <w:br/>
              <w:t xml:space="preserve">Sch 2: 2 Dec 2014 (s 2(1) </w:t>
            </w:r>
            <w:r>
              <w:t>item 3</w:t>
            </w:r>
            <w:r w:rsidRPr="00576D60">
              <w:t>)</w:t>
            </w:r>
          </w:p>
        </w:tc>
        <w:tc>
          <w:tcPr>
            <w:tcW w:w="1101" w:type="pct"/>
            <w:tcBorders>
              <w:top w:val="single" w:sz="4" w:space="0" w:color="auto"/>
              <w:bottom w:val="single" w:sz="4" w:space="0" w:color="auto"/>
            </w:tcBorders>
            <w:shd w:val="clear" w:color="auto" w:fill="auto"/>
          </w:tcPr>
          <w:p w14:paraId="61DAF12C" w14:textId="77777777" w:rsidR="00E93F58" w:rsidRPr="00576D60" w:rsidRDefault="00E93F58" w:rsidP="002F32E3">
            <w:pPr>
              <w:pStyle w:val="ENoteTableText"/>
            </w:pPr>
            <w:r w:rsidRPr="00576D60">
              <w:t>—</w:t>
            </w:r>
          </w:p>
        </w:tc>
      </w:tr>
      <w:tr w:rsidR="00E93F58" w:rsidRPr="00576D60" w14:paraId="2F11AF14" w14:textId="77777777" w:rsidTr="002F32E3">
        <w:trPr>
          <w:cantSplit/>
        </w:trPr>
        <w:tc>
          <w:tcPr>
            <w:tcW w:w="1275" w:type="pct"/>
            <w:tcBorders>
              <w:top w:val="single" w:sz="4" w:space="0" w:color="auto"/>
              <w:bottom w:val="single" w:sz="4" w:space="0" w:color="auto"/>
            </w:tcBorders>
            <w:shd w:val="clear" w:color="auto" w:fill="auto"/>
          </w:tcPr>
          <w:p w14:paraId="1DAE211E" w14:textId="77777777" w:rsidR="00E93F58" w:rsidRPr="00576D60" w:rsidRDefault="00E93F58" w:rsidP="002F32E3">
            <w:pPr>
              <w:pStyle w:val="ENoteTableText"/>
            </w:pPr>
            <w:r w:rsidRPr="00576D60">
              <w:t>208, 2014</w:t>
            </w:r>
          </w:p>
        </w:tc>
        <w:tc>
          <w:tcPr>
            <w:tcW w:w="1115" w:type="pct"/>
            <w:tcBorders>
              <w:top w:val="single" w:sz="4" w:space="0" w:color="auto"/>
              <w:bottom w:val="single" w:sz="4" w:space="0" w:color="auto"/>
            </w:tcBorders>
            <w:shd w:val="clear" w:color="auto" w:fill="auto"/>
          </w:tcPr>
          <w:p w14:paraId="3C393D9C" w14:textId="77777777" w:rsidR="00E93F58" w:rsidRPr="00576D60" w:rsidRDefault="00E93F58" w:rsidP="002F32E3">
            <w:pPr>
              <w:pStyle w:val="ENoteTableText"/>
            </w:pPr>
            <w:r w:rsidRPr="00576D60">
              <w:t>15 Dec 2014 (F2014L01707)</w:t>
            </w:r>
          </w:p>
        </w:tc>
        <w:tc>
          <w:tcPr>
            <w:tcW w:w="1509" w:type="pct"/>
            <w:tcBorders>
              <w:top w:val="single" w:sz="4" w:space="0" w:color="auto"/>
              <w:bottom w:val="single" w:sz="4" w:space="0" w:color="auto"/>
            </w:tcBorders>
            <w:shd w:val="clear" w:color="auto" w:fill="auto"/>
          </w:tcPr>
          <w:p w14:paraId="7AFD6EF9" w14:textId="77777777" w:rsidR="00E93F58" w:rsidRPr="00576D60" w:rsidRDefault="00E93F58" w:rsidP="002F32E3">
            <w:pPr>
              <w:pStyle w:val="ENoteTableText"/>
            </w:pPr>
            <w:r w:rsidRPr="00576D60">
              <w:t>16 Dec 2014 (s 2)</w:t>
            </w:r>
          </w:p>
        </w:tc>
        <w:tc>
          <w:tcPr>
            <w:tcW w:w="1101" w:type="pct"/>
            <w:tcBorders>
              <w:top w:val="single" w:sz="4" w:space="0" w:color="auto"/>
              <w:bottom w:val="single" w:sz="4" w:space="0" w:color="auto"/>
            </w:tcBorders>
            <w:shd w:val="clear" w:color="auto" w:fill="auto"/>
          </w:tcPr>
          <w:p w14:paraId="67973679" w14:textId="77777777" w:rsidR="00E93F58" w:rsidRPr="00576D60" w:rsidRDefault="00E93F58" w:rsidP="002F32E3">
            <w:pPr>
              <w:pStyle w:val="ENoteTableText"/>
            </w:pPr>
            <w:r w:rsidRPr="00576D60">
              <w:t>—</w:t>
            </w:r>
          </w:p>
        </w:tc>
      </w:tr>
      <w:tr w:rsidR="00E93F58" w:rsidRPr="00576D60" w14:paraId="03B3605F" w14:textId="77777777" w:rsidTr="002F32E3">
        <w:trPr>
          <w:cantSplit/>
        </w:trPr>
        <w:tc>
          <w:tcPr>
            <w:tcW w:w="1275" w:type="pct"/>
            <w:tcBorders>
              <w:top w:val="single" w:sz="4" w:space="0" w:color="auto"/>
              <w:bottom w:val="single" w:sz="4" w:space="0" w:color="auto"/>
            </w:tcBorders>
            <w:shd w:val="clear" w:color="auto" w:fill="auto"/>
          </w:tcPr>
          <w:p w14:paraId="5476540D" w14:textId="77777777" w:rsidR="00E93F58" w:rsidRPr="00576D60" w:rsidRDefault="00E93F58" w:rsidP="002F32E3">
            <w:pPr>
              <w:pStyle w:val="ENoteTableText"/>
            </w:pPr>
            <w:r w:rsidRPr="00576D60">
              <w:t>209, 2014</w:t>
            </w:r>
          </w:p>
        </w:tc>
        <w:tc>
          <w:tcPr>
            <w:tcW w:w="1115" w:type="pct"/>
            <w:tcBorders>
              <w:top w:val="single" w:sz="4" w:space="0" w:color="auto"/>
              <w:bottom w:val="single" w:sz="4" w:space="0" w:color="auto"/>
            </w:tcBorders>
            <w:shd w:val="clear" w:color="auto" w:fill="auto"/>
          </w:tcPr>
          <w:p w14:paraId="5A8362FE" w14:textId="77777777" w:rsidR="00E93F58" w:rsidRPr="00576D60" w:rsidRDefault="00E93F58" w:rsidP="002F32E3">
            <w:pPr>
              <w:pStyle w:val="ENoteTableText"/>
            </w:pPr>
            <w:r w:rsidRPr="00576D60">
              <w:t>16 Dec 2014 (F2014L01728)</w:t>
            </w:r>
          </w:p>
        </w:tc>
        <w:tc>
          <w:tcPr>
            <w:tcW w:w="1509" w:type="pct"/>
            <w:tcBorders>
              <w:top w:val="single" w:sz="4" w:space="0" w:color="auto"/>
              <w:bottom w:val="single" w:sz="4" w:space="0" w:color="auto"/>
            </w:tcBorders>
            <w:shd w:val="clear" w:color="auto" w:fill="auto"/>
          </w:tcPr>
          <w:p w14:paraId="7D79962B" w14:textId="77777777" w:rsidR="00E93F58" w:rsidRPr="00576D60" w:rsidRDefault="00E93F58" w:rsidP="002F32E3">
            <w:pPr>
              <w:pStyle w:val="ENoteTableText"/>
            </w:pPr>
            <w:r w:rsidRPr="00576D60">
              <w:t>19 Dec 2014 (s 2)</w:t>
            </w:r>
          </w:p>
        </w:tc>
        <w:tc>
          <w:tcPr>
            <w:tcW w:w="1101" w:type="pct"/>
            <w:tcBorders>
              <w:top w:val="single" w:sz="4" w:space="0" w:color="auto"/>
              <w:bottom w:val="single" w:sz="4" w:space="0" w:color="auto"/>
            </w:tcBorders>
            <w:shd w:val="clear" w:color="auto" w:fill="auto"/>
          </w:tcPr>
          <w:p w14:paraId="3C82DF0A" w14:textId="77777777" w:rsidR="00E93F58" w:rsidRPr="00576D60" w:rsidRDefault="00E93F58" w:rsidP="002F32E3">
            <w:pPr>
              <w:pStyle w:val="ENoteTableText"/>
            </w:pPr>
            <w:r w:rsidRPr="00576D60">
              <w:t>—</w:t>
            </w:r>
          </w:p>
        </w:tc>
      </w:tr>
      <w:tr w:rsidR="00E93F58" w:rsidRPr="00576D60" w14:paraId="4A550429" w14:textId="77777777" w:rsidTr="002F32E3">
        <w:trPr>
          <w:cantSplit/>
        </w:trPr>
        <w:tc>
          <w:tcPr>
            <w:tcW w:w="1275" w:type="pct"/>
            <w:tcBorders>
              <w:top w:val="single" w:sz="4" w:space="0" w:color="auto"/>
              <w:bottom w:val="single" w:sz="4" w:space="0" w:color="auto"/>
            </w:tcBorders>
            <w:shd w:val="clear" w:color="auto" w:fill="auto"/>
          </w:tcPr>
          <w:p w14:paraId="1384D8E8" w14:textId="77777777" w:rsidR="00E93F58" w:rsidRPr="00576D60" w:rsidRDefault="00E93F58" w:rsidP="002F32E3">
            <w:pPr>
              <w:pStyle w:val="ENoteTableText"/>
            </w:pPr>
            <w:r w:rsidRPr="00576D60">
              <w:t>3, 2015</w:t>
            </w:r>
          </w:p>
        </w:tc>
        <w:tc>
          <w:tcPr>
            <w:tcW w:w="1115" w:type="pct"/>
            <w:tcBorders>
              <w:top w:val="single" w:sz="4" w:space="0" w:color="auto"/>
              <w:bottom w:val="single" w:sz="4" w:space="0" w:color="auto"/>
            </w:tcBorders>
            <w:shd w:val="clear" w:color="auto" w:fill="auto"/>
          </w:tcPr>
          <w:p w14:paraId="6A81FF31" w14:textId="77777777" w:rsidR="00E93F58" w:rsidRPr="00576D60" w:rsidRDefault="00E93F58" w:rsidP="002F32E3">
            <w:pPr>
              <w:pStyle w:val="ENoteTableText"/>
            </w:pPr>
            <w:r w:rsidRPr="00576D60">
              <w:rPr>
                <w:bCs/>
              </w:rPr>
              <w:t>16 Feb 2015 (</w:t>
            </w:r>
            <w:r w:rsidRPr="00576D60">
              <w:t>F2015L00152</w:t>
            </w:r>
            <w:r w:rsidRPr="00576D60">
              <w:rPr>
                <w:bCs/>
              </w:rPr>
              <w:t>)</w:t>
            </w:r>
          </w:p>
        </w:tc>
        <w:tc>
          <w:tcPr>
            <w:tcW w:w="1509" w:type="pct"/>
            <w:tcBorders>
              <w:top w:val="single" w:sz="4" w:space="0" w:color="auto"/>
              <w:bottom w:val="single" w:sz="4" w:space="0" w:color="auto"/>
            </w:tcBorders>
            <w:shd w:val="clear" w:color="auto" w:fill="auto"/>
          </w:tcPr>
          <w:p w14:paraId="1827DC83" w14:textId="77777777" w:rsidR="00E93F58" w:rsidRPr="00576D60" w:rsidRDefault="00E93F58" w:rsidP="002F32E3">
            <w:pPr>
              <w:pStyle w:val="ENoteTableText"/>
            </w:pPr>
            <w:r w:rsidRPr="00576D60">
              <w:t>17 Feb 2015 (s 2)</w:t>
            </w:r>
          </w:p>
        </w:tc>
        <w:tc>
          <w:tcPr>
            <w:tcW w:w="1101" w:type="pct"/>
            <w:tcBorders>
              <w:top w:val="single" w:sz="4" w:space="0" w:color="auto"/>
              <w:bottom w:val="single" w:sz="4" w:space="0" w:color="auto"/>
            </w:tcBorders>
            <w:shd w:val="clear" w:color="auto" w:fill="auto"/>
          </w:tcPr>
          <w:p w14:paraId="4C433BAC" w14:textId="77777777" w:rsidR="00E93F58" w:rsidRPr="00576D60" w:rsidRDefault="00E93F58" w:rsidP="002F32E3">
            <w:pPr>
              <w:pStyle w:val="ENoteTableText"/>
            </w:pPr>
            <w:r w:rsidRPr="00576D60">
              <w:t>—</w:t>
            </w:r>
          </w:p>
        </w:tc>
      </w:tr>
      <w:tr w:rsidR="00E93F58" w:rsidRPr="00576D60" w14:paraId="7F4127C8" w14:textId="77777777" w:rsidTr="002F32E3">
        <w:trPr>
          <w:cantSplit/>
        </w:trPr>
        <w:tc>
          <w:tcPr>
            <w:tcW w:w="1275" w:type="pct"/>
            <w:tcBorders>
              <w:top w:val="single" w:sz="4" w:space="0" w:color="auto"/>
              <w:bottom w:val="single" w:sz="4" w:space="0" w:color="auto"/>
            </w:tcBorders>
            <w:shd w:val="clear" w:color="auto" w:fill="auto"/>
          </w:tcPr>
          <w:p w14:paraId="3A8D6818" w14:textId="77777777" w:rsidR="00E93F58" w:rsidRPr="00576D60" w:rsidRDefault="00E93F58" w:rsidP="002F32E3">
            <w:pPr>
              <w:pStyle w:val="ENoteTableText"/>
            </w:pPr>
            <w:r w:rsidRPr="00576D60">
              <w:t>24, 2015</w:t>
            </w:r>
          </w:p>
        </w:tc>
        <w:tc>
          <w:tcPr>
            <w:tcW w:w="1115" w:type="pct"/>
            <w:tcBorders>
              <w:top w:val="single" w:sz="4" w:space="0" w:color="auto"/>
              <w:bottom w:val="single" w:sz="4" w:space="0" w:color="auto"/>
            </w:tcBorders>
            <w:shd w:val="clear" w:color="auto" w:fill="auto"/>
          </w:tcPr>
          <w:p w14:paraId="5DDF3A55" w14:textId="77777777" w:rsidR="00E93F58" w:rsidRPr="00576D60" w:rsidRDefault="00E93F58" w:rsidP="002F32E3">
            <w:pPr>
              <w:pStyle w:val="ENoteTableText"/>
              <w:rPr>
                <w:bCs/>
              </w:rPr>
            </w:pPr>
            <w:r w:rsidRPr="00576D60">
              <w:rPr>
                <w:bCs/>
              </w:rPr>
              <w:t>12 Mar 2015 (</w:t>
            </w:r>
            <w:r w:rsidRPr="00576D60">
              <w:t>F2015L00287</w:t>
            </w:r>
            <w:r w:rsidRPr="00576D60">
              <w:rPr>
                <w:bCs/>
              </w:rPr>
              <w:t>)</w:t>
            </w:r>
          </w:p>
        </w:tc>
        <w:tc>
          <w:tcPr>
            <w:tcW w:w="1509" w:type="pct"/>
            <w:tcBorders>
              <w:top w:val="single" w:sz="4" w:space="0" w:color="auto"/>
              <w:bottom w:val="single" w:sz="4" w:space="0" w:color="auto"/>
            </w:tcBorders>
            <w:shd w:val="clear" w:color="auto" w:fill="auto"/>
          </w:tcPr>
          <w:p w14:paraId="57CDB202" w14:textId="77777777" w:rsidR="00E93F58" w:rsidRPr="00576D60" w:rsidRDefault="00E93F58" w:rsidP="002F32E3">
            <w:pPr>
              <w:pStyle w:val="ENoteTableText"/>
            </w:pPr>
            <w:r w:rsidRPr="00576D60">
              <w:t>13 Mar 2015 (s 2)</w:t>
            </w:r>
          </w:p>
        </w:tc>
        <w:tc>
          <w:tcPr>
            <w:tcW w:w="1101" w:type="pct"/>
            <w:tcBorders>
              <w:top w:val="single" w:sz="4" w:space="0" w:color="auto"/>
              <w:bottom w:val="single" w:sz="4" w:space="0" w:color="auto"/>
            </w:tcBorders>
            <w:shd w:val="clear" w:color="auto" w:fill="auto"/>
          </w:tcPr>
          <w:p w14:paraId="0932DC7C" w14:textId="77777777" w:rsidR="00E93F58" w:rsidRPr="00576D60" w:rsidRDefault="00E93F58" w:rsidP="002F32E3">
            <w:pPr>
              <w:pStyle w:val="ENoteTableText"/>
            </w:pPr>
            <w:r w:rsidRPr="00576D60">
              <w:t>—</w:t>
            </w:r>
          </w:p>
        </w:tc>
      </w:tr>
      <w:tr w:rsidR="00E93F58" w:rsidRPr="00576D60" w14:paraId="36323B0D" w14:textId="77777777" w:rsidTr="002F32E3">
        <w:trPr>
          <w:cantSplit/>
        </w:trPr>
        <w:tc>
          <w:tcPr>
            <w:tcW w:w="1275" w:type="pct"/>
            <w:tcBorders>
              <w:top w:val="single" w:sz="4" w:space="0" w:color="auto"/>
              <w:bottom w:val="single" w:sz="4" w:space="0" w:color="auto"/>
            </w:tcBorders>
            <w:shd w:val="clear" w:color="auto" w:fill="auto"/>
          </w:tcPr>
          <w:p w14:paraId="01A02057" w14:textId="77777777" w:rsidR="00E93F58" w:rsidRPr="00576D60" w:rsidRDefault="00E93F58" w:rsidP="002F32E3">
            <w:pPr>
              <w:pStyle w:val="ENoteTableText"/>
            </w:pPr>
            <w:r w:rsidRPr="00576D60">
              <w:t>39, 2015</w:t>
            </w:r>
          </w:p>
        </w:tc>
        <w:tc>
          <w:tcPr>
            <w:tcW w:w="1115" w:type="pct"/>
            <w:tcBorders>
              <w:top w:val="single" w:sz="4" w:space="0" w:color="auto"/>
              <w:bottom w:val="single" w:sz="4" w:space="0" w:color="auto"/>
            </w:tcBorders>
            <w:shd w:val="clear" w:color="auto" w:fill="auto"/>
          </w:tcPr>
          <w:p w14:paraId="770566AB" w14:textId="77777777" w:rsidR="00E93F58" w:rsidRPr="00576D60" w:rsidRDefault="00E93F58" w:rsidP="002F32E3">
            <w:pPr>
              <w:pStyle w:val="ENoteTableText"/>
              <w:rPr>
                <w:bCs/>
              </w:rPr>
            </w:pPr>
            <w:r w:rsidRPr="00576D60">
              <w:rPr>
                <w:bCs/>
              </w:rPr>
              <w:t>30 Mar 2015 (F2015L00367)</w:t>
            </w:r>
          </w:p>
        </w:tc>
        <w:tc>
          <w:tcPr>
            <w:tcW w:w="1509" w:type="pct"/>
            <w:tcBorders>
              <w:top w:val="single" w:sz="4" w:space="0" w:color="auto"/>
              <w:bottom w:val="single" w:sz="4" w:space="0" w:color="auto"/>
            </w:tcBorders>
            <w:shd w:val="clear" w:color="auto" w:fill="auto"/>
          </w:tcPr>
          <w:p w14:paraId="2540AFC0" w14:textId="77777777" w:rsidR="00E93F58" w:rsidRPr="00576D60" w:rsidRDefault="00E93F58" w:rsidP="002F32E3">
            <w:pPr>
              <w:pStyle w:val="ENoteTableText"/>
            </w:pPr>
            <w:r w:rsidRPr="00576D60">
              <w:t>Sch 3 (</w:t>
            </w:r>
            <w:r>
              <w:t>item 1</w:t>
            </w:r>
            <w:r w:rsidRPr="00576D60">
              <w:t xml:space="preserve">): 31 Mar 2015 (s 2 </w:t>
            </w:r>
            <w:r>
              <w:t>item 4</w:t>
            </w:r>
            <w:r w:rsidRPr="00576D60">
              <w:t>)</w:t>
            </w:r>
          </w:p>
        </w:tc>
        <w:tc>
          <w:tcPr>
            <w:tcW w:w="1101" w:type="pct"/>
            <w:tcBorders>
              <w:top w:val="single" w:sz="4" w:space="0" w:color="auto"/>
              <w:bottom w:val="single" w:sz="4" w:space="0" w:color="auto"/>
            </w:tcBorders>
            <w:shd w:val="clear" w:color="auto" w:fill="auto"/>
          </w:tcPr>
          <w:p w14:paraId="3DA320E8" w14:textId="77777777" w:rsidR="00E93F58" w:rsidRPr="00576D60" w:rsidRDefault="00E93F58" w:rsidP="002F32E3">
            <w:pPr>
              <w:pStyle w:val="ENoteTableText"/>
            </w:pPr>
            <w:r w:rsidRPr="00576D60">
              <w:t>—</w:t>
            </w:r>
          </w:p>
        </w:tc>
      </w:tr>
      <w:tr w:rsidR="00E93F58" w:rsidRPr="00576D60" w14:paraId="6F2F848A" w14:textId="77777777" w:rsidTr="002F32E3">
        <w:trPr>
          <w:cantSplit/>
        </w:trPr>
        <w:tc>
          <w:tcPr>
            <w:tcW w:w="1275" w:type="pct"/>
            <w:tcBorders>
              <w:top w:val="single" w:sz="4" w:space="0" w:color="auto"/>
              <w:bottom w:val="single" w:sz="4" w:space="0" w:color="auto"/>
            </w:tcBorders>
            <w:shd w:val="clear" w:color="auto" w:fill="auto"/>
          </w:tcPr>
          <w:p w14:paraId="4010223C" w14:textId="77777777" w:rsidR="00E93F58" w:rsidRPr="00576D60" w:rsidRDefault="00E93F58" w:rsidP="002F32E3">
            <w:pPr>
              <w:pStyle w:val="ENoteTableText"/>
            </w:pPr>
            <w:r w:rsidRPr="00576D60">
              <w:t>91, 2015</w:t>
            </w:r>
          </w:p>
        </w:tc>
        <w:tc>
          <w:tcPr>
            <w:tcW w:w="1115" w:type="pct"/>
            <w:tcBorders>
              <w:top w:val="single" w:sz="4" w:space="0" w:color="auto"/>
              <w:bottom w:val="single" w:sz="4" w:space="0" w:color="auto"/>
            </w:tcBorders>
            <w:shd w:val="clear" w:color="auto" w:fill="auto"/>
          </w:tcPr>
          <w:p w14:paraId="45FE40B2" w14:textId="77777777" w:rsidR="00E93F58" w:rsidRPr="00576D60" w:rsidRDefault="00E93F58" w:rsidP="002F32E3">
            <w:pPr>
              <w:pStyle w:val="ENoteTableText"/>
              <w:rPr>
                <w:bCs/>
              </w:rPr>
            </w:pPr>
            <w:r w:rsidRPr="00576D60">
              <w:rPr>
                <w:bCs/>
              </w:rPr>
              <w:t>18 June 2015 (F2015L00840)</w:t>
            </w:r>
          </w:p>
        </w:tc>
        <w:tc>
          <w:tcPr>
            <w:tcW w:w="1509" w:type="pct"/>
            <w:tcBorders>
              <w:top w:val="single" w:sz="4" w:space="0" w:color="auto"/>
              <w:bottom w:val="single" w:sz="4" w:space="0" w:color="auto"/>
            </w:tcBorders>
            <w:shd w:val="clear" w:color="auto" w:fill="auto"/>
          </w:tcPr>
          <w:p w14:paraId="4604D1E4" w14:textId="77777777" w:rsidR="00E93F58" w:rsidRPr="00576D60" w:rsidRDefault="00E93F58" w:rsidP="002F32E3">
            <w:pPr>
              <w:pStyle w:val="ENoteTableText"/>
            </w:pPr>
            <w:r w:rsidRPr="00576D60">
              <w:t>Sch 1 (</w:t>
            </w:r>
            <w:r>
              <w:t>items 1</w:t>
            </w:r>
            <w:r w:rsidRPr="00576D60">
              <w:t xml:space="preserve">1–29, 40–45): 1 July 2015 (s 2(1) </w:t>
            </w:r>
            <w:r>
              <w:t>item 2</w:t>
            </w:r>
            <w:r w:rsidRPr="00576D60">
              <w:t>)</w:t>
            </w:r>
          </w:p>
        </w:tc>
        <w:tc>
          <w:tcPr>
            <w:tcW w:w="1101" w:type="pct"/>
            <w:tcBorders>
              <w:top w:val="single" w:sz="4" w:space="0" w:color="auto"/>
              <w:bottom w:val="single" w:sz="4" w:space="0" w:color="auto"/>
            </w:tcBorders>
            <w:shd w:val="clear" w:color="auto" w:fill="auto"/>
          </w:tcPr>
          <w:p w14:paraId="41F500E1" w14:textId="77777777" w:rsidR="00E93F58" w:rsidRPr="00576D60" w:rsidRDefault="00E93F58" w:rsidP="002F32E3">
            <w:pPr>
              <w:pStyle w:val="ENoteTableText"/>
            </w:pPr>
            <w:r w:rsidRPr="00576D60">
              <w:t>Sch 1 (items 40–45)</w:t>
            </w:r>
          </w:p>
        </w:tc>
      </w:tr>
      <w:tr w:rsidR="00E93F58" w:rsidRPr="00576D60" w14:paraId="0C64F14E" w14:textId="77777777" w:rsidTr="002F32E3">
        <w:trPr>
          <w:cantSplit/>
        </w:trPr>
        <w:tc>
          <w:tcPr>
            <w:tcW w:w="1275" w:type="pct"/>
            <w:tcBorders>
              <w:top w:val="single" w:sz="4" w:space="0" w:color="auto"/>
              <w:bottom w:val="single" w:sz="4" w:space="0" w:color="auto"/>
            </w:tcBorders>
            <w:shd w:val="clear" w:color="auto" w:fill="auto"/>
          </w:tcPr>
          <w:p w14:paraId="0CFC82F2" w14:textId="77777777" w:rsidR="00E93F58" w:rsidRPr="00576D60" w:rsidRDefault="00E93F58" w:rsidP="002F32E3">
            <w:pPr>
              <w:pStyle w:val="ENoteTableText"/>
            </w:pPr>
            <w:r w:rsidRPr="00576D60">
              <w:t>92, 2015</w:t>
            </w:r>
          </w:p>
        </w:tc>
        <w:tc>
          <w:tcPr>
            <w:tcW w:w="1115" w:type="pct"/>
            <w:tcBorders>
              <w:top w:val="single" w:sz="4" w:space="0" w:color="auto"/>
              <w:bottom w:val="single" w:sz="4" w:space="0" w:color="auto"/>
            </w:tcBorders>
            <w:shd w:val="clear" w:color="auto" w:fill="auto"/>
          </w:tcPr>
          <w:p w14:paraId="4E38251A" w14:textId="77777777" w:rsidR="00E93F58" w:rsidRPr="00576D60" w:rsidRDefault="00E93F58" w:rsidP="002F32E3">
            <w:pPr>
              <w:pStyle w:val="ENoteTableText"/>
              <w:rPr>
                <w:bCs/>
              </w:rPr>
            </w:pPr>
            <w:r w:rsidRPr="00576D60">
              <w:rPr>
                <w:bCs/>
              </w:rPr>
              <w:t>18 June 2015 (F2015L00841)</w:t>
            </w:r>
          </w:p>
        </w:tc>
        <w:tc>
          <w:tcPr>
            <w:tcW w:w="1509" w:type="pct"/>
            <w:tcBorders>
              <w:top w:val="single" w:sz="4" w:space="0" w:color="auto"/>
              <w:bottom w:val="single" w:sz="4" w:space="0" w:color="auto"/>
            </w:tcBorders>
            <w:shd w:val="clear" w:color="auto" w:fill="auto"/>
          </w:tcPr>
          <w:p w14:paraId="5AF43035" w14:textId="77777777" w:rsidR="00E93F58" w:rsidRPr="00576D60" w:rsidRDefault="00E93F58" w:rsidP="002F32E3">
            <w:pPr>
              <w:pStyle w:val="ENoteTableText"/>
            </w:pPr>
            <w:r w:rsidRPr="00576D60">
              <w:t>Sch 1 (</w:t>
            </w:r>
            <w:r>
              <w:t>item 3</w:t>
            </w:r>
            <w:r w:rsidRPr="00576D60">
              <w:t xml:space="preserve">): 19 June 2015 (s 2(1) </w:t>
            </w:r>
            <w:r>
              <w:t>item 1</w:t>
            </w:r>
            <w:r w:rsidRPr="00576D60">
              <w:t>)</w:t>
            </w:r>
          </w:p>
        </w:tc>
        <w:tc>
          <w:tcPr>
            <w:tcW w:w="1101" w:type="pct"/>
            <w:tcBorders>
              <w:top w:val="single" w:sz="4" w:space="0" w:color="auto"/>
              <w:bottom w:val="single" w:sz="4" w:space="0" w:color="auto"/>
            </w:tcBorders>
            <w:shd w:val="clear" w:color="auto" w:fill="auto"/>
          </w:tcPr>
          <w:p w14:paraId="64EA5252" w14:textId="77777777" w:rsidR="00E93F58" w:rsidRPr="00576D60" w:rsidRDefault="00E93F58" w:rsidP="002F32E3">
            <w:pPr>
              <w:pStyle w:val="ENoteTableText"/>
            </w:pPr>
            <w:r w:rsidRPr="00576D60">
              <w:t>—</w:t>
            </w:r>
          </w:p>
        </w:tc>
      </w:tr>
      <w:tr w:rsidR="00E93F58" w:rsidRPr="00576D60" w14:paraId="354EFD79" w14:textId="77777777" w:rsidTr="002F32E3">
        <w:trPr>
          <w:cantSplit/>
        </w:trPr>
        <w:tc>
          <w:tcPr>
            <w:tcW w:w="1275" w:type="pct"/>
            <w:tcBorders>
              <w:top w:val="single" w:sz="4" w:space="0" w:color="auto"/>
              <w:bottom w:val="single" w:sz="4" w:space="0" w:color="auto"/>
            </w:tcBorders>
            <w:shd w:val="clear" w:color="auto" w:fill="auto"/>
          </w:tcPr>
          <w:p w14:paraId="1789E4D3" w14:textId="77777777" w:rsidR="00E93F58" w:rsidRPr="00576D60" w:rsidRDefault="00E93F58" w:rsidP="002F32E3">
            <w:pPr>
              <w:pStyle w:val="ENoteTableText"/>
            </w:pPr>
            <w:r w:rsidRPr="00576D60">
              <w:t>108, 2015</w:t>
            </w:r>
          </w:p>
        </w:tc>
        <w:tc>
          <w:tcPr>
            <w:tcW w:w="1115" w:type="pct"/>
            <w:tcBorders>
              <w:top w:val="single" w:sz="4" w:space="0" w:color="auto"/>
              <w:bottom w:val="single" w:sz="4" w:space="0" w:color="auto"/>
            </w:tcBorders>
            <w:shd w:val="clear" w:color="auto" w:fill="auto"/>
          </w:tcPr>
          <w:p w14:paraId="201C41EE" w14:textId="77777777" w:rsidR="00E93F58" w:rsidRPr="00576D60" w:rsidRDefault="00E93F58" w:rsidP="002F32E3">
            <w:pPr>
              <w:pStyle w:val="ENoteTableText"/>
              <w:rPr>
                <w:bCs/>
              </w:rPr>
            </w:pPr>
            <w:r w:rsidRPr="00576D60">
              <w:rPr>
                <w:bCs/>
              </w:rPr>
              <w:t>29 June 2015 (</w:t>
            </w:r>
            <w:r w:rsidRPr="00576D60">
              <w:t>F2015L00969)</w:t>
            </w:r>
          </w:p>
        </w:tc>
        <w:tc>
          <w:tcPr>
            <w:tcW w:w="1509" w:type="pct"/>
            <w:tcBorders>
              <w:top w:val="single" w:sz="4" w:space="0" w:color="auto"/>
              <w:bottom w:val="single" w:sz="4" w:space="0" w:color="auto"/>
            </w:tcBorders>
            <w:shd w:val="clear" w:color="auto" w:fill="auto"/>
          </w:tcPr>
          <w:p w14:paraId="771A01AD" w14:textId="77777777" w:rsidR="00E93F58" w:rsidRPr="00576D60" w:rsidRDefault="00E93F58" w:rsidP="002F32E3">
            <w:pPr>
              <w:pStyle w:val="ENoteTableText"/>
            </w:pPr>
            <w:r w:rsidRPr="00576D60">
              <w:t xml:space="preserve">1 July 2015 (s 2(1) </w:t>
            </w:r>
            <w:r>
              <w:t>item 1</w:t>
            </w:r>
            <w:r w:rsidRPr="00576D60">
              <w:t>)</w:t>
            </w:r>
          </w:p>
        </w:tc>
        <w:tc>
          <w:tcPr>
            <w:tcW w:w="1101" w:type="pct"/>
            <w:tcBorders>
              <w:top w:val="single" w:sz="4" w:space="0" w:color="auto"/>
              <w:bottom w:val="single" w:sz="4" w:space="0" w:color="auto"/>
            </w:tcBorders>
            <w:shd w:val="clear" w:color="auto" w:fill="auto"/>
          </w:tcPr>
          <w:p w14:paraId="3BBF4F38" w14:textId="77777777" w:rsidR="00E93F58" w:rsidRPr="00576D60" w:rsidRDefault="00E93F58" w:rsidP="002F32E3">
            <w:pPr>
              <w:pStyle w:val="ENoteTableText"/>
            </w:pPr>
            <w:r w:rsidRPr="00576D60">
              <w:t>—</w:t>
            </w:r>
          </w:p>
        </w:tc>
      </w:tr>
      <w:tr w:rsidR="00E93F58" w:rsidRPr="00576D60" w14:paraId="6F049E2C" w14:textId="77777777" w:rsidTr="002F32E3">
        <w:trPr>
          <w:cantSplit/>
        </w:trPr>
        <w:tc>
          <w:tcPr>
            <w:tcW w:w="1275" w:type="pct"/>
            <w:tcBorders>
              <w:top w:val="single" w:sz="4" w:space="0" w:color="auto"/>
              <w:bottom w:val="single" w:sz="4" w:space="0" w:color="auto"/>
            </w:tcBorders>
            <w:shd w:val="clear" w:color="auto" w:fill="auto"/>
          </w:tcPr>
          <w:p w14:paraId="325ED48A" w14:textId="77777777" w:rsidR="00E93F58" w:rsidRPr="00576D60" w:rsidRDefault="00E93F58" w:rsidP="002F32E3">
            <w:pPr>
              <w:pStyle w:val="ENoteTableText"/>
            </w:pPr>
            <w:r w:rsidRPr="00576D60">
              <w:t>134, 2015</w:t>
            </w:r>
          </w:p>
        </w:tc>
        <w:tc>
          <w:tcPr>
            <w:tcW w:w="1115" w:type="pct"/>
            <w:tcBorders>
              <w:top w:val="single" w:sz="4" w:space="0" w:color="auto"/>
              <w:bottom w:val="single" w:sz="4" w:space="0" w:color="auto"/>
            </w:tcBorders>
            <w:shd w:val="clear" w:color="auto" w:fill="auto"/>
          </w:tcPr>
          <w:p w14:paraId="7B0C73D7" w14:textId="77777777" w:rsidR="00E93F58" w:rsidRPr="00576D60" w:rsidRDefault="00E93F58" w:rsidP="002F32E3">
            <w:pPr>
              <w:pStyle w:val="ENoteTableText"/>
              <w:rPr>
                <w:bCs/>
              </w:rPr>
            </w:pPr>
            <w:r w:rsidRPr="00576D60">
              <w:rPr>
                <w:bCs/>
              </w:rPr>
              <w:t>12 Aug 2015 (F2015L01262)</w:t>
            </w:r>
          </w:p>
        </w:tc>
        <w:tc>
          <w:tcPr>
            <w:tcW w:w="1509" w:type="pct"/>
            <w:tcBorders>
              <w:top w:val="single" w:sz="4" w:space="0" w:color="auto"/>
              <w:bottom w:val="single" w:sz="4" w:space="0" w:color="auto"/>
            </w:tcBorders>
            <w:shd w:val="clear" w:color="auto" w:fill="auto"/>
          </w:tcPr>
          <w:p w14:paraId="27C50AC6" w14:textId="77777777" w:rsidR="00E93F58" w:rsidRPr="00576D60" w:rsidRDefault="00E93F58" w:rsidP="002F32E3">
            <w:pPr>
              <w:pStyle w:val="ENoteTableText"/>
            </w:pPr>
            <w:r w:rsidRPr="00576D60">
              <w:t>Sch 1 (</w:t>
            </w:r>
            <w:r>
              <w:t>item 3</w:t>
            </w:r>
            <w:r w:rsidRPr="00576D60">
              <w:t xml:space="preserve">): 13 Aug 2015 (s 2 (1) </w:t>
            </w:r>
            <w:r>
              <w:t>item 1</w:t>
            </w:r>
            <w:r w:rsidRPr="00576D60">
              <w:t>)</w:t>
            </w:r>
          </w:p>
        </w:tc>
        <w:tc>
          <w:tcPr>
            <w:tcW w:w="1101" w:type="pct"/>
            <w:tcBorders>
              <w:top w:val="single" w:sz="4" w:space="0" w:color="auto"/>
              <w:bottom w:val="single" w:sz="4" w:space="0" w:color="auto"/>
            </w:tcBorders>
            <w:shd w:val="clear" w:color="auto" w:fill="auto"/>
          </w:tcPr>
          <w:p w14:paraId="4D3B1795" w14:textId="77777777" w:rsidR="00E93F58" w:rsidRPr="00576D60" w:rsidRDefault="00E93F58" w:rsidP="002F32E3">
            <w:pPr>
              <w:pStyle w:val="ENoteTableText"/>
            </w:pPr>
            <w:r w:rsidRPr="00576D60">
              <w:t>—</w:t>
            </w:r>
          </w:p>
        </w:tc>
      </w:tr>
      <w:tr w:rsidR="00E93F58" w:rsidRPr="00576D60" w14:paraId="160D2954" w14:textId="77777777" w:rsidTr="002F32E3">
        <w:trPr>
          <w:cantSplit/>
        </w:trPr>
        <w:tc>
          <w:tcPr>
            <w:tcW w:w="1275" w:type="pct"/>
            <w:tcBorders>
              <w:top w:val="single" w:sz="4" w:space="0" w:color="auto"/>
              <w:bottom w:val="single" w:sz="4" w:space="0" w:color="auto"/>
            </w:tcBorders>
            <w:shd w:val="clear" w:color="auto" w:fill="auto"/>
          </w:tcPr>
          <w:p w14:paraId="1F34DF2B" w14:textId="77777777" w:rsidR="00E93F58" w:rsidRPr="00576D60" w:rsidRDefault="00E93F58" w:rsidP="002F32E3">
            <w:pPr>
              <w:pStyle w:val="ENoteTableText"/>
            </w:pPr>
            <w:r w:rsidRPr="00576D60">
              <w:t>135, 2015</w:t>
            </w:r>
          </w:p>
        </w:tc>
        <w:tc>
          <w:tcPr>
            <w:tcW w:w="1115" w:type="pct"/>
            <w:tcBorders>
              <w:top w:val="single" w:sz="4" w:space="0" w:color="auto"/>
              <w:bottom w:val="single" w:sz="4" w:space="0" w:color="auto"/>
            </w:tcBorders>
            <w:shd w:val="clear" w:color="auto" w:fill="auto"/>
          </w:tcPr>
          <w:p w14:paraId="4A623EBA" w14:textId="77777777" w:rsidR="00E93F58" w:rsidRPr="00576D60" w:rsidRDefault="00E93F58" w:rsidP="002F32E3">
            <w:pPr>
              <w:pStyle w:val="ENoteTableText"/>
              <w:rPr>
                <w:bCs/>
              </w:rPr>
            </w:pPr>
            <w:r w:rsidRPr="00576D60">
              <w:rPr>
                <w:bCs/>
              </w:rPr>
              <w:t>13 Aug 2015 (F2015L01270)</w:t>
            </w:r>
          </w:p>
        </w:tc>
        <w:tc>
          <w:tcPr>
            <w:tcW w:w="1509" w:type="pct"/>
            <w:tcBorders>
              <w:top w:val="single" w:sz="4" w:space="0" w:color="auto"/>
              <w:bottom w:val="single" w:sz="4" w:space="0" w:color="auto"/>
            </w:tcBorders>
            <w:shd w:val="clear" w:color="auto" w:fill="auto"/>
          </w:tcPr>
          <w:p w14:paraId="360D31B3" w14:textId="77777777" w:rsidR="00E93F58" w:rsidRPr="00576D60" w:rsidRDefault="00E93F58" w:rsidP="002F32E3">
            <w:pPr>
              <w:pStyle w:val="ENoteTableText"/>
            </w:pPr>
            <w:r w:rsidRPr="00576D60">
              <w:t xml:space="preserve">14 Aug 2015 (s 2(1) </w:t>
            </w:r>
            <w:r>
              <w:t>item 1</w:t>
            </w:r>
            <w:r w:rsidRPr="00576D60">
              <w:t>)</w:t>
            </w:r>
          </w:p>
        </w:tc>
        <w:tc>
          <w:tcPr>
            <w:tcW w:w="1101" w:type="pct"/>
            <w:tcBorders>
              <w:top w:val="single" w:sz="4" w:space="0" w:color="auto"/>
              <w:bottom w:val="single" w:sz="4" w:space="0" w:color="auto"/>
            </w:tcBorders>
            <w:shd w:val="clear" w:color="auto" w:fill="auto"/>
          </w:tcPr>
          <w:p w14:paraId="3338687C" w14:textId="77777777" w:rsidR="00E93F58" w:rsidRPr="00576D60" w:rsidRDefault="00E93F58" w:rsidP="002F32E3">
            <w:pPr>
              <w:pStyle w:val="ENoteTableText"/>
            </w:pPr>
            <w:r w:rsidRPr="00576D60">
              <w:t>—</w:t>
            </w:r>
          </w:p>
        </w:tc>
      </w:tr>
      <w:tr w:rsidR="00E93F58" w:rsidRPr="00576D60" w14:paraId="3CE32B17" w14:textId="77777777" w:rsidTr="002F32E3">
        <w:trPr>
          <w:cantSplit/>
        </w:trPr>
        <w:tc>
          <w:tcPr>
            <w:tcW w:w="1275" w:type="pct"/>
            <w:tcBorders>
              <w:top w:val="single" w:sz="4" w:space="0" w:color="auto"/>
              <w:bottom w:val="single" w:sz="12" w:space="0" w:color="auto"/>
            </w:tcBorders>
            <w:shd w:val="clear" w:color="auto" w:fill="auto"/>
          </w:tcPr>
          <w:p w14:paraId="11F72B8C" w14:textId="77777777" w:rsidR="00E93F58" w:rsidRPr="00576D60" w:rsidRDefault="00E93F58" w:rsidP="002F32E3">
            <w:pPr>
              <w:pStyle w:val="ENoteTableText"/>
            </w:pPr>
            <w:r w:rsidRPr="00576D60">
              <w:t>157, 2015</w:t>
            </w:r>
          </w:p>
        </w:tc>
        <w:tc>
          <w:tcPr>
            <w:tcW w:w="1115" w:type="pct"/>
            <w:tcBorders>
              <w:top w:val="single" w:sz="4" w:space="0" w:color="auto"/>
              <w:bottom w:val="single" w:sz="12" w:space="0" w:color="auto"/>
            </w:tcBorders>
            <w:shd w:val="clear" w:color="auto" w:fill="auto"/>
          </w:tcPr>
          <w:p w14:paraId="524E5DE5" w14:textId="77777777" w:rsidR="00E93F58" w:rsidRPr="00576D60" w:rsidRDefault="00E93F58" w:rsidP="002F32E3">
            <w:pPr>
              <w:pStyle w:val="ENoteTableText"/>
              <w:rPr>
                <w:bCs/>
              </w:rPr>
            </w:pPr>
            <w:r w:rsidRPr="00576D60">
              <w:rPr>
                <w:bCs/>
              </w:rPr>
              <w:t>8 Sept 2015 (F2015L01411)</w:t>
            </w:r>
          </w:p>
        </w:tc>
        <w:tc>
          <w:tcPr>
            <w:tcW w:w="1509" w:type="pct"/>
            <w:tcBorders>
              <w:top w:val="single" w:sz="4" w:space="0" w:color="auto"/>
              <w:bottom w:val="single" w:sz="12" w:space="0" w:color="auto"/>
            </w:tcBorders>
            <w:shd w:val="clear" w:color="auto" w:fill="auto"/>
          </w:tcPr>
          <w:p w14:paraId="2374F156" w14:textId="77777777" w:rsidR="00E93F58" w:rsidRPr="00576D60" w:rsidRDefault="00E93F58" w:rsidP="002F32E3">
            <w:pPr>
              <w:pStyle w:val="ENoteTableText"/>
            </w:pPr>
            <w:r w:rsidRPr="00576D60">
              <w:t xml:space="preserve">Sch 1 (items 6, 7): 1 Oct 2015 (s 2(1) </w:t>
            </w:r>
            <w:r>
              <w:t>item 3</w:t>
            </w:r>
            <w:r w:rsidRPr="00576D60">
              <w:t>)</w:t>
            </w:r>
            <w:r w:rsidRPr="00576D60">
              <w:br/>
              <w:t xml:space="preserve">Sch 1 (items 8, 9): 5 Mar 2016 (s 2(1) </w:t>
            </w:r>
            <w:r>
              <w:t>item 4</w:t>
            </w:r>
            <w:r w:rsidRPr="00576D60">
              <w:t>)</w:t>
            </w:r>
            <w:r w:rsidRPr="00576D60">
              <w:br/>
              <w:t xml:space="preserve">Remainder: 9 Sept 2015 (s 2(1) </w:t>
            </w:r>
            <w:r>
              <w:t>items 1</w:t>
            </w:r>
            <w:r w:rsidRPr="00576D60">
              <w:t>, 2)</w:t>
            </w:r>
          </w:p>
        </w:tc>
        <w:tc>
          <w:tcPr>
            <w:tcW w:w="1101" w:type="pct"/>
            <w:tcBorders>
              <w:top w:val="single" w:sz="4" w:space="0" w:color="auto"/>
              <w:bottom w:val="single" w:sz="12" w:space="0" w:color="auto"/>
            </w:tcBorders>
            <w:shd w:val="clear" w:color="auto" w:fill="auto"/>
          </w:tcPr>
          <w:p w14:paraId="585B2D3C" w14:textId="77777777" w:rsidR="00E93F58" w:rsidRPr="00576D60" w:rsidRDefault="00E93F58" w:rsidP="002F32E3">
            <w:pPr>
              <w:pStyle w:val="ENoteTableText"/>
            </w:pPr>
            <w:r w:rsidRPr="00576D60">
              <w:t>—</w:t>
            </w:r>
          </w:p>
        </w:tc>
      </w:tr>
    </w:tbl>
    <w:p w14:paraId="71F8F874" w14:textId="77777777" w:rsidR="00E93F58" w:rsidRPr="00576D60" w:rsidRDefault="00E93F58" w:rsidP="00C223D0">
      <w:pPr>
        <w:pStyle w:val="Tabletext"/>
        <w:spacing w:before="0"/>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736"/>
        <w:gridCol w:w="2424"/>
        <w:gridCol w:w="3221"/>
        <w:gridCol w:w="2392"/>
      </w:tblGrid>
      <w:tr w:rsidR="00E93F58" w:rsidRPr="00576D60" w14:paraId="3BC966D4" w14:textId="77777777" w:rsidTr="003D209B">
        <w:trPr>
          <w:cantSplit/>
          <w:tblHeader/>
        </w:trPr>
        <w:tc>
          <w:tcPr>
            <w:tcW w:w="1270" w:type="pct"/>
            <w:tcBorders>
              <w:top w:val="single" w:sz="12" w:space="0" w:color="auto"/>
              <w:bottom w:val="single" w:sz="12" w:space="0" w:color="auto"/>
            </w:tcBorders>
            <w:shd w:val="clear" w:color="auto" w:fill="auto"/>
          </w:tcPr>
          <w:p w14:paraId="776077F1" w14:textId="77777777" w:rsidR="00E93F58" w:rsidRPr="00576D60" w:rsidRDefault="00E93F58" w:rsidP="002F32E3">
            <w:pPr>
              <w:pStyle w:val="ENoteTableHeading"/>
            </w:pPr>
            <w:r w:rsidRPr="00576D60">
              <w:t>Name</w:t>
            </w:r>
          </w:p>
        </w:tc>
        <w:tc>
          <w:tcPr>
            <w:tcW w:w="1125" w:type="pct"/>
            <w:tcBorders>
              <w:top w:val="single" w:sz="12" w:space="0" w:color="auto"/>
              <w:bottom w:val="single" w:sz="12" w:space="0" w:color="auto"/>
            </w:tcBorders>
            <w:shd w:val="clear" w:color="auto" w:fill="auto"/>
          </w:tcPr>
          <w:p w14:paraId="4AE657DB" w14:textId="77777777" w:rsidR="00E93F58" w:rsidRPr="00576D60" w:rsidRDefault="00E93F58" w:rsidP="002F32E3">
            <w:pPr>
              <w:pStyle w:val="ENoteTableHeading"/>
            </w:pPr>
            <w:r w:rsidRPr="00576D60">
              <w:t>Registration</w:t>
            </w:r>
          </w:p>
        </w:tc>
        <w:tc>
          <w:tcPr>
            <w:tcW w:w="1495" w:type="pct"/>
            <w:tcBorders>
              <w:top w:val="single" w:sz="12" w:space="0" w:color="auto"/>
              <w:bottom w:val="single" w:sz="12" w:space="0" w:color="auto"/>
            </w:tcBorders>
            <w:shd w:val="clear" w:color="auto" w:fill="auto"/>
          </w:tcPr>
          <w:p w14:paraId="01C5376B" w14:textId="77777777" w:rsidR="00E93F58" w:rsidRPr="00576D60" w:rsidRDefault="00E93F58" w:rsidP="002F32E3">
            <w:pPr>
              <w:pStyle w:val="ENoteTableHeading"/>
            </w:pPr>
            <w:r w:rsidRPr="00576D60">
              <w:t>Commencement</w:t>
            </w:r>
          </w:p>
        </w:tc>
        <w:tc>
          <w:tcPr>
            <w:tcW w:w="1110" w:type="pct"/>
            <w:tcBorders>
              <w:top w:val="single" w:sz="12" w:space="0" w:color="auto"/>
              <w:bottom w:val="single" w:sz="12" w:space="0" w:color="auto"/>
            </w:tcBorders>
            <w:shd w:val="clear" w:color="auto" w:fill="auto"/>
          </w:tcPr>
          <w:p w14:paraId="05EBA298" w14:textId="77777777" w:rsidR="00E93F58" w:rsidRPr="00576D60" w:rsidRDefault="00E93F58" w:rsidP="002F32E3">
            <w:pPr>
              <w:pStyle w:val="ENoteTableHeading"/>
            </w:pPr>
            <w:r w:rsidRPr="00576D60">
              <w:t>Application, saving and transitional provisions</w:t>
            </w:r>
          </w:p>
        </w:tc>
      </w:tr>
      <w:tr w:rsidR="00E93F58" w:rsidRPr="00576D60" w14:paraId="656AE26F" w14:textId="77777777" w:rsidTr="003D209B">
        <w:trPr>
          <w:cantSplit/>
        </w:trPr>
        <w:tc>
          <w:tcPr>
            <w:tcW w:w="1270" w:type="pct"/>
            <w:tcBorders>
              <w:top w:val="single" w:sz="12" w:space="0" w:color="auto"/>
              <w:bottom w:val="single" w:sz="4" w:space="0" w:color="auto"/>
            </w:tcBorders>
            <w:shd w:val="clear" w:color="auto" w:fill="auto"/>
          </w:tcPr>
          <w:p w14:paraId="387ABA09" w14:textId="77777777" w:rsidR="00E93F58" w:rsidRPr="00576D60" w:rsidRDefault="00E93F58" w:rsidP="002F32E3">
            <w:pPr>
              <w:pStyle w:val="ENoteTableText"/>
            </w:pPr>
            <w:r w:rsidRPr="00576D60">
              <w:rPr>
                <w:noProof/>
              </w:rPr>
              <w:t>Treasury Laws Amendment (2016 Measures No. 1) Regulation 2016</w:t>
            </w:r>
          </w:p>
        </w:tc>
        <w:tc>
          <w:tcPr>
            <w:tcW w:w="1125" w:type="pct"/>
            <w:tcBorders>
              <w:top w:val="single" w:sz="12" w:space="0" w:color="auto"/>
              <w:bottom w:val="single" w:sz="4" w:space="0" w:color="auto"/>
            </w:tcBorders>
            <w:shd w:val="clear" w:color="auto" w:fill="auto"/>
          </w:tcPr>
          <w:p w14:paraId="573FAC75" w14:textId="77777777" w:rsidR="00E93F58" w:rsidRPr="00576D60" w:rsidRDefault="00E93F58" w:rsidP="002F32E3">
            <w:pPr>
              <w:pStyle w:val="ENoteTableText"/>
            </w:pPr>
            <w:r w:rsidRPr="00576D60">
              <w:t>26 Feb 2016 (F2016L00156)</w:t>
            </w:r>
          </w:p>
        </w:tc>
        <w:tc>
          <w:tcPr>
            <w:tcW w:w="1495" w:type="pct"/>
            <w:tcBorders>
              <w:top w:val="single" w:sz="12" w:space="0" w:color="auto"/>
              <w:bottom w:val="single" w:sz="4" w:space="0" w:color="auto"/>
            </w:tcBorders>
            <w:shd w:val="clear" w:color="auto" w:fill="auto"/>
          </w:tcPr>
          <w:p w14:paraId="40C7DF64" w14:textId="77777777" w:rsidR="00E93F58" w:rsidRPr="00576D60" w:rsidRDefault="00E93F58" w:rsidP="002F32E3">
            <w:pPr>
              <w:pStyle w:val="ENoteTableText"/>
            </w:pPr>
            <w:r w:rsidRPr="00576D60">
              <w:t>Sch 2 (</w:t>
            </w:r>
            <w:r>
              <w:t>items 1</w:t>
            </w:r>
            <w:r w:rsidRPr="00576D60">
              <w:t xml:space="preserve">9–25): 27 Feb 2016 (s 2(1) </w:t>
            </w:r>
            <w:r>
              <w:t>item 1</w:t>
            </w:r>
            <w:r w:rsidRPr="00576D60">
              <w:t>)</w:t>
            </w:r>
          </w:p>
        </w:tc>
        <w:tc>
          <w:tcPr>
            <w:tcW w:w="1110" w:type="pct"/>
            <w:tcBorders>
              <w:top w:val="single" w:sz="12" w:space="0" w:color="auto"/>
              <w:bottom w:val="single" w:sz="4" w:space="0" w:color="auto"/>
            </w:tcBorders>
            <w:shd w:val="clear" w:color="auto" w:fill="auto"/>
          </w:tcPr>
          <w:p w14:paraId="4ED1E5D4" w14:textId="77777777" w:rsidR="00E93F58" w:rsidRPr="00576D60" w:rsidRDefault="00E93F58" w:rsidP="002F32E3">
            <w:pPr>
              <w:pStyle w:val="ENoteTableText"/>
            </w:pPr>
            <w:r w:rsidRPr="00576D60">
              <w:t>—</w:t>
            </w:r>
          </w:p>
        </w:tc>
      </w:tr>
      <w:tr w:rsidR="00E93F58" w:rsidRPr="00576D60" w14:paraId="36CE1E8B" w14:textId="77777777" w:rsidTr="003D209B">
        <w:trPr>
          <w:cantSplit/>
        </w:trPr>
        <w:tc>
          <w:tcPr>
            <w:tcW w:w="1270" w:type="pct"/>
            <w:tcBorders>
              <w:top w:val="single" w:sz="4" w:space="0" w:color="auto"/>
              <w:bottom w:val="single" w:sz="4" w:space="0" w:color="auto"/>
            </w:tcBorders>
            <w:shd w:val="clear" w:color="auto" w:fill="auto"/>
          </w:tcPr>
          <w:p w14:paraId="507DB628" w14:textId="77777777" w:rsidR="00E93F58" w:rsidRPr="00576D60" w:rsidRDefault="00E93F58" w:rsidP="002F32E3">
            <w:pPr>
              <w:pStyle w:val="ENoteTableText"/>
              <w:rPr>
                <w:noProof/>
              </w:rPr>
            </w:pPr>
            <w:r w:rsidRPr="00576D60">
              <w:lastRenderedPageBreak/>
              <w:t>Corporations Amendment (Remuneration Disclosures) Regulation 2016</w:t>
            </w:r>
          </w:p>
        </w:tc>
        <w:tc>
          <w:tcPr>
            <w:tcW w:w="1125" w:type="pct"/>
            <w:tcBorders>
              <w:top w:val="single" w:sz="4" w:space="0" w:color="auto"/>
              <w:bottom w:val="single" w:sz="4" w:space="0" w:color="auto"/>
            </w:tcBorders>
            <w:shd w:val="clear" w:color="auto" w:fill="auto"/>
          </w:tcPr>
          <w:p w14:paraId="01C203B6" w14:textId="77777777" w:rsidR="00E93F58" w:rsidRPr="00576D60" w:rsidRDefault="00E93F58" w:rsidP="002F32E3">
            <w:pPr>
              <w:pStyle w:val="ENoteTableText"/>
            </w:pPr>
            <w:r w:rsidRPr="00576D60">
              <w:t>15 Apr 2016 (F2016L00514)</w:t>
            </w:r>
          </w:p>
        </w:tc>
        <w:tc>
          <w:tcPr>
            <w:tcW w:w="1495" w:type="pct"/>
            <w:tcBorders>
              <w:top w:val="single" w:sz="4" w:space="0" w:color="auto"/>
              <w:bottom w:val="single" w:sz="4" w:space="0" w:color="auto"/>
            </w:tcBorders>
            <w:shd w:val="clear" w:color="auto" w:fill="auto"/>
          </w:tcPr>
          <w:p w14:paraId="0B15152B" w14:textId="77777777" w:rsidR="00E93F58" w:rsidRPr="00576D60" w:rsidRDefault="00E93F58" w:rsidP="002F32E3">
            <w:pPr>
              <w:pStyle w:val="ENoteTableText"/>
            </w:pPr>
            <w:r w:rsidRPr="00576D60">
              <w:t xml:space="preserve">16 Apr 2016 (s 2(1) </w:t>
            </w:r>
            <w:r>
              <w:t>item 1</w:t>
            </w:r>
            <w:r w:rsidRPr="00576D60">
              <w:t>)</w:t>
            </w:r>
          </w:p>
        </w:tc>
        <w:tc>
          <w:tcPr>
            <w:tcW w:w="1110" w:type="pct"/>
            <w:tcBorders>
              <w:top w:val="single" w:sz="4" w:space="0" w:color="auto"/>
              <w:bottom w:val="single" w:sz="4" w:space="0" w:color="auto"/>
            </w:tcBorders>
            <w:shd w:val="clear" w:color="auto" w:fill="auto"/>
          </w:tcPr>
          <w:p w14:paraId="42D9C101" w14:textId="77777777" w:rsidR="00E93F58" w:rsidRPr="00576D60" w:rsidRDefault="00E93F58" w:rsidP="002F32E3">
            <w:pPr>
              <w:pStyle w:val="ENoteTableText"/>
            </w:pPr>
            <w:r w:rsidRPr="00576D60">
              <w:t>—</w:t>
            </w:r>
          </w:p>
        </w:tc>
      </w:tr>
      <w:tr w:rsidR="00E93F58" w:rsidRPr="00576D60" w14:paraId="509EC955" w14:textId="77777777" w:rsidTr="003D209B">
        <w:trPr>
          <w:cantSplit/>
        </w:trPr>
        <w:tc>
          <w:tcPr>
            <w:tcW w:w="1270" w:type="pct"/>
            <w:tcBorders>
              <w:top w:val="single" w:sz="4" w:space="0" w:color="auto"/>
              <w:bottom w:val="single" w:sz="4" w:space="0" w:color="auto"/>
            </w:tcBorders>
            <w:shd w:val="clear" w:color="auto" w:fill="auto"/>
          </w:tcPr>
          <w:p w14:paraId="1C76873A" w14:textId="77777777" w:rsidR="00E93F58" w:rsidRPr="00576D60" w:rsidRDefault="00E93F58" w:rsidP="002F32E3">
            <w:pPr>
              <w:pStyle w:val="ENoteTableText"/>
            </w:pPr>
            <w:r w:rsidRPr="00576D60">
              <w:t>Tax and Superannuation Laws Amendment (2016 Measures No. 2) Regulation 2016</w:t>
            </w:r>
          </w:p>
        </w:tc>
        <w:tc>
          <w:tcPr>
            <w:tcW w:w="1125" w:type="pct"/>
            <w:tcBorders>
              <w:top w:val="single" w:sz="4" w:space="0" w:color="auto"/>
              <w:bottom w:val="single" w:sz="4" w:space="0" w:color="auto"/>
            </w:tcBorders>
            <w:shd w:val="clear" w:color="auto" w:fill="auto"/>
          </w:tcPr>
          <w:p w14:paraId="0A2E6F8D" w14:textId="77777777" w:rsidR="00E93F58" w:rsidRPr="00576D60" w:rsidRDefault="00E93F58" w:rsidP="002F32E3">
            <w:pPr>
              <w:pStyle w:val="ENoteTableText"/>
            </w:pPr>
            <w:r w:rsidRPr="00576D60">
              <w:t>9 May 2016 (F2016L00710)</w:t>
            </w:r>
          </w:p>
        </w:tc>
        <w:tc>
          <w:tcPr>
            <w:tcW w:w="1495" w:type="pct"/>
            <w:tcBorders>
              <w:top w:val="single" w:sz="4" w:space="0" w:color="auto"/>
              <w:bottom w:val="single" w:sz="4" w:space="0" w:color="auto"/>
            </w:tcBorders>
            <w:shd w:val="clear" w:color="auto" w:fill="auto"/>
          </w:tcPr>
          <w:p w14:paraId="327A1F88" w14:textId="77777777" w:rsidR="00E93F58" w:rsidRPr="00576D60" w:rsidRDefault="00E93F58" w:rsidP="002F32E3">
            <w:pPr>
              <w:pStyle w:val="ENoteTableText"/>
            </w:pPr>
            <w:r w:rsidRPr="00576D60">
              <w:t>Sch 1 (</w:t>
            </w:r>
            <w:r>
              <w:t>item 1</w:t>
            </w:r>
            <w:r w:rsidRPr="00576D60">
              <w:t xml:space="preserve">): 10 May 2016 (s 2(1) </w:t>
            </w:r>
            <w:r>
              <w:t>item 2</w:t>
            </w:r>
            <w:r w:rsidRPr="00576D60">
              <w:t>)</w:t>
            </w:r>
          </w:p>
        </w:tc>
        <w:tc>
          <w:tcPr>
            <w:tcW w:w="1110" w:type="pct"/>
            <w:tcBorders>
              <w:top w:val="single" w:sz="4" w:space="0" w:color="auto"/>
              <w:bottom w:val="single" w:sz="4" w:space="0" w:color="auto"/>
            </w:tcBorders>
            <w:shd w:val="clear" w:color="auto" w:fill="auto"/>
          </w:tcPr>
          <w:p w14:paraId="12187DCD" w14:textId="77777777" w:rsidR="00E93F58" w:rsidRPr="00576D60" w:rsidRDefault="00E93F58" w:rsidP="002F32E3">
            <w:pPr>
              <w:pStyle w:val="ENoteTableText"/>
            </w:pPr>
            <w:r w:rsidRPr="00576D60">
              <w:t>—</w:t>
            </w:r>
          </w:p>
        </w:tc>
      </w:tr>
      <w:tr w:rsidR="00E93F58" w:rsidRPr="00576D60" w14:paraId="1B95DF41" w14:textId="77777777" w:rsidTr="003D209B">
        <w:trPr>
          <w:cantSplit/>
        </w:trPr>
        <w:tc>
          <w:tcPr>
            <w:tcW w:w="1270" w:type="pct"/>
            <w:tcBorders>
              <w:top w:val="single" w:sz="4" w:space="0" w:color="auto"/>
              <w:bottom w:val="single" w:sz="4" w:space="0" w:color="auto"/>
            </w:tcBorders>
            <w:shd w:val="clear" w:color="auto" w:fill="auto"/>
          </w:tcPr>
          <w:p w14:paraId="769EB3FE" w14:textId="77777777" w:rsidR="00E93F58" w:rsidRPr="00576D60" w:rsidRDefault="00E93F58" w:rsidP="002F32E3">
            <w:pPr>
              <w:pStyle w:val="ENoteTableText"/>
            </w:pPr>
            <w:r w:rsidRPr="00576D60">
              <w:t>Financial Services Legislation Amendment (Wholesale Margining) Regulation 2016</w:t>
            </w:r>
          </w:p>
        </w:tc>
        <w:tc>
          <w:tcPr>
            <w:tcW w:w="1125" w:type="pct"/>
            <w:tcBorders>
              <w:top w:val="single" w:sz="4" w:space="0" w:color="auto"/>
              <w:bottom w:val="single" w:sz="4" w:space="0" w:color="auto"/>
            </w:tcBorders>
            <w:shd w:val="clear" w:color="auto" w:fill="auto"/>
          </w:tcPr>
          <w:p w14:paraId="416C099D" w14:textId="77777777" w:rsidR="00E93F58" w:rsidRPr="00576D60" w:rsidRDefault="00E93F58" w:rsidP="002F32E3">
            <w:pPr>
              <w:pStyle w:val="ENoteTableText"/>
            </w:pPr>
            <w:r w:rsidRPr="00576D60">
              <w:t>28 Oct 2016 (F2016L01657)</w:t>
            </w:r>
          </w:p>
        </w:tc>
        <w:tc>
          <w:tcPr>
            <w:tcW w:w="1495" w:type="pct"/>
            <w:tcBorders>
              <w:top w:val="single" w:sz="4" w:space="0" w:color="auto"/>
              <w:bottom w:val="single" w:sz="4" w:space="0" w:color="auto"/>
            </w:tcBorders>
            <w:shd w:val="clear" w:color="auto" w:fill="auto"/>
          </w:tcPr>
          <w:p w14:paraId="68B9AD11" w14:textId="77777777" w:rsidR="00E93F58" w:rsidRPr="00576D60" w:rsidRDefault="00E93F58" w:rsidP="002F32E3">
            <w:pPr>
              <w:pStyle w:val="ENoteTableText"/>
            </w:pPr>
            <w:r w:rsidRPr="00576D60">
              <w:t xml:space="preserve">Sch 1: 29 Oct 2016 (s 2(1) </w:t>
            </w:r>
            <w:r>
              <w:t>item 1</w:t>
            </w:r>
            <w:r w:rsidRPr="00576D60">
              <w:t>)</w:t>
            </w:r>
          </w:p>
        </w:tc>
        <w:tc>
          <w:tcPr>
            <w:tcW w:w="1110" w:type="pct"/>
            <w:tcBorders>
              <w:top w:val="single" w:sz="4" w:space="0" w:color="auto"/>
              <w:bottom w:val="single" w:sz="4" w:space="0" w:color="auto"/>
            </w:tcBorders>
            <w:shd w:val="clear" w:color="auto" w:fill="auto"/>
          </w:tcPr>
          <w:p w14:paraId="363147A2" w14:textId="77777777" w:rsidR="00E93F58" w:rsidRPr="00576D60" w:rsidRDefault="00E93F58" w:rsidP="002F32E3">
            <w:pPr>
              <w:pStyle w:val="ENoteTableText"/>
            </w:pPr>
            <w:r w:rsidRPr="00576D60">
              <w:t>—</w:t>
            </w:r>
          </w:p>
        </w:tc>
      </w:tr>
      <w:tr w:rsidR="00E93F58" w:rsidRPr="00576D60" w14:paraId="31418137" w14:textId="77777777" w:rsidTr="003D209B">
        <w:trPr>
          <w:cantSplit/>
        </w:trPr>
        <w:tc>
          <w:tcPr>
            <w:tcW w:w="1270" w:type="pct"/>
            <w:tcBorders>
              <w:top w:val="single" w:sz="4" w:space="0" w:color="auto"/>
              <w:bottom w:val="single" w:sz="4" w:space="0" w:color="auto"/>
            </w:tcBorders>
            <w:shd w:val="clear" w:color="auto" w:fill="auto"/>
          </w:tcPr>
          <w:p w14:paraId="5FA28C70" w14:textId="77777777" w:rsidR="00E93F58" w:rsidRPr="00576D60" w:rsidRDefault="00E93F58" w:rsidP="002F32E3">
            <w:pPr>
              <w:pStyle w:val="ENoteTableText"/>
            </w:pPr>
            <w:r w:rsidRPr="00576D60">
              <w:t>Corporations Amendment (Trustee Companies) Regulation 2016</w:t>
            </w:r>
          </w:p>
        </w:tc>
        <w:tc>
          <w:tcPr>
            <w:tcW w:w="1125" w:type="pct"/>
            <w:tcBorders>
              <w:top w:val="single" w:sz="4" w:space="0" w:color="auto"/>
              <w:bottom w:val="single" w:sz="4" w:space="0" w:color="auto"/>
            </w:tcBorders>
            <w:shd w:val="clear" w:color="auto" w:fill="auto"/>
          </w:tcPr>
          <w:p w14:paraId="79F29DFE" w14:textId="77777777" w:rsidR="00E93F58" w:rsidRPr="00576D60" w:rsidRDefault="00E93F58" w:rsidP="002F32E3">
            <w:pPr>
              <w:pStyle w:val="ENoteTableText"/>
            </w:pPr>
            <w:r w:rsidRPr="00576D60">
              <w:t>12 Dec 2016 (F2016L01902)</w:t>
            </w:r>
          </w:p>
        </w:tc>
        <w:tc>
          <w:tcPr>
            <w:tcW w:w="1495" w:type="pct"/>
            <w:tcBorders>
              <w:top w:val="single" w:sz="4" w:space="0" w:color="auto"/>
              <w:bottom w:val="single" w:sz="4" w:space="0" w:color="auto"/>
            </w:tcBorders>
            <w:shd w:val="clear" w:color="auto" w:fill="auto"/>
          </w:tcPr>
          <w:p w14:paraId="6BA41C65" w14:textId="77777777" w:rsidR="00E93F58" w:rsidRPr="00576D60" w:rsidRDefault="00E93F58" w:rsidP="002F32E3">
            <w:pPr>
              <w:pStyle w:val="ENoteTableText"/>
            </w:pPr>
            <w:r w:rsidRPr="00576D60">
              <w:t xml:space="preserve">13 Dec 2016 (s 2(1) </w:t>
            </w:r>
            <w:r>
              <w:t>item 1</w:t>
            </w:r>
            <w:r w:rsidRPr="00576D60">
              <w:t>)</w:t>
            </w:r>
          </w:p>
        </w:tc>
        <w:tc>
          <w:tcPr>
            <w:tcW w:w="1110" w:type="pct"/>
            <w:tcBorders>
              <w:top w:val="single" w:sz="4" w:space="0" w:color="auto"/>
              <w:bottom w:val="single" w:sz="4" w:space="0" w:color="auto"/>
            </w:tcBorders>
            <w:shd w:val="clear" w:color="auto" w:fill="auto"/>
          </w:tcPr>
          <w:p w14:paraId="11E24A1A" w14:textId="77777777" w:rsidR="00E93F58" w:rsidRPr="00576D60" w:rsidRDefault="00E93F58" w:rsidP="002F32E3">
            <w:pPr>
              <w:pStyle w:val="ENoteTableText"/>
            </w:pPr>
            <w:r w:rsidRPr="00576D60">
              <w:t>—</w:t>
            </w:r>
          </w:p>
        </w:tc>
      </w:tr>
      <w:tr w:rsidR="00E93F58" w:rsidRPr="00576D60" w14:paraId="473605A1" w14:textId="77777777" w:rsidTr="003D209B">
        <w:trPr>
          <w:cantSplit/>
        </w:trPr>
        <w:tc>
          <w:tcPr>
            <w:tcW w:w="1270" w:type="pct"/>
            <w:tcBorders>
              <w:top w:val="single" w:sz="4" w:space="0" w:color="auto"/>
              <w:bottom w:val="single" w:sz="4" w:space="0" w:color="auto"/>
            </w:tcBorders>
            <w:shd w:val="clear" w:color="auto" w:fill="auto"/>
          </w:tcPr>
          <w:p w14:paraId="3906F68B" w14:textId="77777777" w:rsidR="00E93F58" w:rsidRPr="00576D60" w:rsidRDefault="00E93F58" w:rsidP="002F32E3">
            <w:pPr>
              <w:pStyle w:val="ENoteTableText"/>
            </w:pPr>
            <w:r w:rsidRPr="00576D60">
              <w:t>Corporations and Other Legislation Amendment (Insolvency Law Reform) Regulation 2016</w:t>
            </w:r>
          </w:p>
        </w:tc>
        <w:tc>
          <w:tcPr>
            <w:tcW w:w="1125" w:type="pct"/>
            <w:tcBorders>
              <w:top w:val="single" w:sz="4" w:space="0" w:color="auto"/>
              <w:bottom w:val="single" w:sz="4" w:space="0" w:color="auto"/>
            </w:tcBorders>
            <w:shd w:val="clear" w:color="auto" w:fill="auto"/>
          </w:tcPr>
          <w:p w14:paraId="5B2D0AFC" w14:textId="77777777" w:rsidR="00E93F58" w:rsidRPr="00576D60" w:rsidRDefault="00E93F58" w:rsidP="002F32E3">
            <w:pPr>
              <w:pStyle w:val="ENoteTableText"/>
            </w:pPr>
            <w:r w:rsidRPr="00576D60">
              <w:t>13 Dec 2016 (F2016L01926)</w:t>
            </w:r>
          </w:p>
        </w:tc>
        <w:tc>
          <w:tcPr>
            <w:tcW w:w="1495" w:type="pct"/>
            <w:tcBorders>
              <w:top w:val="single" w:sz="4" w:space="0" w:color="auto"/>
              <w:bottom w:val="single" w:sz="4" w:space="0" w:color="auto"/>
            </w:tcBorders>
            <w:shd w:val="clear" w:color="auto" w:fill="auto"/>
          </w:tcPr>
          <w:p w14:paraId="6A0B533D" w14:textId="77777777" w:rsidR="00E93F58" w:rsidRPr="00576D60" w:rsidRDefault="00E93F58" w:rsidP="002F32E3">
            <w:pPr>
              <w:pStyle w:val="ENoteTableText"/>
            </w:pPr>
            <w:r w:rsidRPr="00576D60">
              <w:t>Sch 1 (</w:t>
            </w:r>
            <w:r>
              <w:t>items 3</w:t>
            </w:r>
            <w:r w:rsidRPr="00576D60">
              <w:t>0–45) and Sch 2: 1 Mar 2017 (s 2(1) items 2, 4)</w:t>
            </w:r>
            <w:r w:rsidRPr="00576D60">
              <w:br/>
              <w:t xml:space="preserve">Sch 1 (items 77–102): 1 Sept 2017 (s 2(1) </w:t>
            </w:r>
            <w:r>
              <w:t>item 3</w:t>
            </w:r>
            <w:r w:rsidRPr="00576D60">
              <w:t>)</w:t>
            </w:r>
          </w:p>
        </w:tc>
        <w:tc>
          <w:tcPr>
            <w:tcW w:w="1110" w:type="pct"/>
            <w:tcBorders>
              <w:top w:val="single" w:sz="4" w:space="0" w:color="auto"/>
              <w:bottom w:val="single" w:sz="4" w:space="0" w:color="auto"/>
            </w:tcBorders>
            <w:shd w:val="clear" w:color="auto" w:fill="auto"/>
          </w:tcPr>
          <w:p w14:paraId="4F85485D" w14:textId="77777777" w:rsidR="00E93F58" w:rsidRPr="00576D60" w:rsidRDefault="00E93F58" w:rsidP="002F32E3">
            <w:pPr>
              <w:pStyle w:val="ENoteTableText"/>
            </w:pPr>
            <w:r w:rsidRPr="00576D60">
              <w:t>—</w:t>
            </w:r>
          </w:p>
        </w:tc>
      </w:tr>
      <w:tr w:rsidR="00E93F58" w:rsidRPr="00576D60" w14:paraId="4528CE18" w14:textId="77777777" w:rsidTr="003D209B">
        <w:trPr>
          <w:cantSplit/>
        </w:trPr>
        <w:tc>
          <w:tcPr>
            <w:tcW w:w="1270" w:type="pct"/>
            <w:tcBorders>
              <w:top w:val="single" w:sz="4" w:space="0" w:color="auto"/>
              <w:bottom w:val="single" w:sz="4" w:space="0" w:color="auto"/>
            </w:tcBorders>
            <w:shd w:val="clear" w:color="auto" w:fill="auto"/>
          </w:tcPr>
          <w:p w14:paraId="7E82D643" w14:textId="77777777" w:rsidR="00E93F58" w:rsidRPr="00576D60" w:rsidRDefault="00E93F58" w:rsidP="002F32E3">
            <w:pPr>
              <w:pStyle w:val="ENoteTableText"/>
            </w:pPr>
            <w:r w:rsidRPr="00576D60">
              <w:t xml:space="preserve">Corporations Legislation Amendment (Professional Standards of Financial Advisers) </w:t>
            </w:r>
            <w:r>
              <w:t>Regulations 2</w:t>
            </w:r>
            <w:r w:rsidRPr="00576D60">
              <w:t>017</w:t>
            </w:r>
          </w:p>
        </w:tc>
        <w:tc>
          <w:tcPr>
            <w:tcW w:w="1125" w:type="pct"/>
            <w:tcBorders>
              <w:top w:val="single" w:sz="4" w:space="0" w:color="auto"/>
              <w:bottom w:val="single" w:sz="4" w:space="0" w:color="auto"/>
            </w:tcBorders>
            <w:shd w:val="clear" w:color="auto" w:fill="auto"/>
          </w:tcPr>
          <w:p w14:paraId="7C62D44D" w14:textId="77777777" w:rsidR="00E93F58" w:rsidRPr="00576D60" w:rsidRDefault="00E93F58" w:rsidP="002F32E3">
            <w:pPr>
              <w:pStyle w:val="ENoteTableText"/>
            </w:pPr>
            <w:r w:rsidRPr="00576D60">
              <w:t>13 Feb 2017 (F2017L00117)</w:t>
            </w:r>
          </w:p>
        </w:tc>
        <w:tc>
          <w:tcPr>
            <w:tcW w:w="1495" w:type="pct"/>
            <w:tcBorders>
              <w:top w:val="single" w:sz="4" w:space="0" w:color="auto"/>
              <w:bottom w:val="single" w:sz="4" w:space="0" w:color="auto"/>
            </w:tcBorders>
            <w:shd w:val="clear" w:color="auto" w:fill="auto"/>
          </w:tcPr>
          <w:p w14:paraId="767799DC" w14:textId="77777777" w:rsidR="00E93F58" w:rsidRPr="00576D60" w:rsidRDefault="00E93F58" w:rsidP="002F32E3">
            <w:pPr>
              <w:pStyle w:val="ENoteTableText"/>
              <w:rPr>
                <w:u w:val="single"/>
              </w:rPr>
            </w:pPr>
            <w:r w:rsidRPr="00576D60">
              <w:t>Sch 1 (</w:t>
            </w:r>
            <w:r>
              <w:t>items 1</w:t>
            </w:r>
            <w:r w:rsidRPr="00576D60">
              <w:t xml:space="preserve">5–20): 15 Mar 2017 (s 2(1) </w:t>
            </w:r>
            <w:r>
              <w:t>item 1</w:t>
            </w:r>
            <w:r w:rsidRPr="00576D60">
              <w:t>)</w:t>
            </w:r>
          </w:p>
        </w:tc>
        <w:tc>
          <w:tcPr>
            <w:tcW w:w="1110" w:type="pct"/>
            <w:tcBorders>
              <w:top w:val="single" w:sz="4" w:space="0" w:color="auto"/>
              <w:bottom w:val="single" w:sz="4" w:space="0" w:color="auto"/>
            </w:tcBorders>
            <w:shd w:val="clear" w:color="auto" w:fill="auto"/>
          </w:tcPr>
          <w:p w14:paraId="655691EB" w14:textId="77777777" w:rsidR="00E93F58" w:rsidRPr="00576D60" w:rsidRDefault="00E93F58" w:rsidP="002F32E3">
            <w:pPr>
              <w:pStyle w:val="ENoteTableText"/>
            </w:pPr>
            <w:r w:rsidRPr="00576D60">
              <w:t>—</w:t>
            </w:r>
          </w:p>
        </w:tc>
      </w:tr>
      <w:tr w:rsidR="00E93F58" w:rsidRPr="00576D60" w14:paraId="4327342A" w14:textId="77777777" w:rsidTr="003D209B">
        <w:trPr>
          <w:cantSplit/>
        </w:trPr>
        <w:tc>
          <w:tcPr>
            <w:tcW w:w="1270" w:type="pct"/>
            <w:tcBorders>
              <w:top w:val="single" w:sz="4" w:space="0" w:color="auto"/>
              <w:bottom w:val="single" w:sz="4" w:space="0" w:color="auto"/>
            </w:tcBorders>
            <w:shd w:val="clear" w:color="auto" w:fill="auto"/>
          </w:tcPr>
          <w:p w14:paraId="497753DF" w14:textId="77777777" w:rsidR="00E93F58" w:rsidRPr="00576D60" w:rsidRDefault="00E93F58" w:rsidP="002F32E3">
            <w:pPr>
              <w:pStyle w:val="ENoteTableText"/>
            </w:pPr>
            <w:r w:rsidRPr="00576D60">
              <w:t xml:space="preserve">Corporations Amendment (Life Insurance Remuneration Arrangements) </w:t>
            </w:r>
            <w:r>
              <w:t>Regulations 2</w:t>
            </w:r>
            <w:r w:rsidRPr="00576D60">
              <w:t>017</w:t>
            </w:r>
          </w:p>
        </w:tc>
        <w:tc>
          <w:tcPr>
            <w:tcW w:w="1125" w:type="pct"/>
            <w:tcBorders>
              <w:top w:val="single" w:sz="4" w:space="0" w:color="auto"/>
              <w:bottom w:val="single" w:sz="4" w:space="0" w:color="auto"/>
            </w:tcBorders>
            <w:shd w:val="clear" w:color="auto" w:fill="auto"/>
          </w:tcPr>
          <w:p w14:paraId="01D97419" w14:textId="77777777" w:rsidR="00E93F58" w:rsidRPr="00576D60" w:rsidRDefault="00E93F58" w:rsidP="002F32E3">
            <w:pPr>
              <w:pStyle w:val="ENoteTableText"/>
            </w:pPr>
            <w:r w:rsidRPr="00576D60">
              <w:t>14 Mar 2017 (F2017L00212)</w:t>
            </w:r>
          </w:p>
        </w:tc>
        <w:tc>
          <w:tcPr>
            <w:tcW w:w="1495" w:type="pct"/>
            <w:tcBorders>
              <w:top w:val="single" w:sz="4" w:space="0" w:color="auto"/>
              <w:bottom w:val="single" w:sz="4" w:space="0" w:color="auto"/>
            </w:tcBorders>
            <w:shd w:val="clear" w:color="auto" w:fill="auto"/>
          </w:tcPr>
          <w:p w14:paraId="0E478DA5" w14:textId="77777777" w:rsidR="00E93F58" w:rsidRPr="00576D60" w:rsidRDefault="00E93F58" w:rsidP="002F32E3">
            <w:pPr>
              <w:pStyle w:val="ENoteTableText"/>
            </w:pPr>
            <w:r w:rsidRPr="00576D60">
              <w:t xml:space="preserve">1 Jan 2018 (s 2(1) </w:t>
            </w:r>
            <w:r>
              <w:t>item 1</w:t>
            </w:r>
            <w:r w:rsidRPr="00576D60">
              <w:t>)</w:t>
            </w:r>
          </w:p>
        </w:tc>
        <w:tc>
          <w:tcPr>
            <w:tcW w:w="1110" w:type="pct"/>
            <w:tcBorders>
              <w:top w:val="single" w:sz="4" w:space="0" w:color="auto"/>
              <w:bottom w:val="single" w:sz="4" w:space="0" w:color="auto"/>
            </w:tcBorders>
            <w:shd w:val="clear" w:color="auto" w:fill="auto"/>
          </w:tcPr>
          <w:p w14:paraId="6A11AD03" w14:textId="77777777" w:rsidR="00E93F58" w:rsidRPr="00576D60" w:rsidRDefault="00E93F58" w:rsidP="002F32E3">
            <w:pPr>
              <w:pStyle w:val="ENoteTableText"/>
            </w:pPr>
            <w:r w:rsidRPr="00576D60">
              <w:t>—</w:t>
            </w:r>
          </w:p>
        </w:tc>
      </w:tr>
      <w:tr w:rsidR="00E93F58" w:rsidRPr="00576D60" w14:paraId="3A1E8291" w14:textId="77777777" w:rsidTr="003D209B">
        <w:trPr>
          <w:cantSplit/>
        </w:trPr>
        <w:tc>
          <w:tcPr>
            <w:tcW w:w="1270" w:type="pct"/>
            <w:tcBorders>
              <w:top w:val="single" w:sz="4" w:space="0" w:color="auto"/>
              <w:bottom w:val="single" w:sz="4" w:space="0" w:color="auto"/>
            </w:tcBorders>
            <w:shd w:val="clear" w:color="auto" w:fill="auto"/>
          </w:tcPr>
          <w:p w14:paraId="5209148F" w14:textId="77777777" w:rsidR="00E93F58" w:rsidRPr="00576D60" w:rsidRDefault="00E93F58" w:rsidP="002F32E3">
            <w:pPr>
              <w:pStyle w:val="ENoteTableText"/>
            </w:pPr>
            <w:r w:rsidRPr="00576D60">
              <w:t xml:space="preserve">Treasury Laws Amendment (Fair and Sustainable Superannuation) </w:t>
            </w:r>
            <w:r>
              <w:t>Regulations 2</w:t>
            </w:r>
            <w:r w:rsidRPr="00576D60">
              <w:t>017</w:t>
            </w:r>
          </w:p>
        </w:tc>
        <w:tc>
          <w:tcPr>
            <w:tcW w:w="1125" w:type="pct"/>
            <w:tcBorders>
              <w:top w:val="single" w:sz="4" w:space="0" w:color="auto"/>
              <w:bottom w:val="single" w:sz="4" w:space="0" w:color="auto"/>
            </w:tcBorders>
            <w:shd w:val="clear" w:color="auto" w:fill="auto"/>
          </w:tcPr>
          <w:p w14:paraId="4166A1F8" w14:textId="77777777" w:rsidR="00E93F58" w:rsidRPr="00576D60" w:rsidRDefault="00E93F58" w:rsidP="002F32E3">
            <w:pPr>
              <w:pStyle w:val="ENoteTableText"/>
            </w:pPr>
            <w:r w:rsidRPr="00576D60">
              <w:t>27 Mar 2017 (F2017L00321)</w:t>
            </w:r>
          </w:p>
        </w:tc>
        <w:tc>
          <w:tcPr>
            <w:tcW w:w="1495" w:type="pct"/>
            <w:tcBorders>
              <w:top w:val="single" w:sz="4" w:space="0" w:color="auto"/>
              <w:bottom w:val="single" w:sz="4" w:space="0" w:color="auto"/>
            </w:tcBorders>
            <w:shd w:val="clear" w:color="auto" w:fill="auto"/>
          </w:tcPr>
          <w:p w14:paraId="19606FC7" w14:textId="77777777" w:rsidR="00E93F58" w:rsidRPr="00576D60" w:rsidRDefault="00E93F58" w:rsidP="002F32E3">
            <w:pPr>
              <w:pStyle w:val="ENoteTableText"/>
            </w:pPr>
            <w:r w:rsidRPr="00576D60">
              <w:t>Sch 1 (</w:t>
            </w:r>
            <w:r>
              <w:t>item 1</w:t>
            </w:r>
            <w:r w:rsidRPr="00576D60">
              <w:t>) and Sch 10 (</w:t>
            </w:r>
            <w:r>
              <w:t>item 1</w:t>
            </w:r>
            <w:r w:rsidRPr="00576D60">
              <w:t>): 28 Mar 2017 (s 2(1) items 2, 7)</w:t>
            </w:r>
            <w:r w:rsidRPr="00576D60">
              <w:br/>
              <w:t>Sch 4 (</w:t>
            </w:r>
            <w:r>
              <w:t>items 1</w:t>
            </w:r>
            <w:r w:rsidRPr="00576D60">
              <w:t xml:space="preserve">, 2): 2 July 2017 (s 2(1) </w:t>
            </w:r>
            <w:r>
              <w:t>item 3</w:t>
            </w:r>
            <w:r w:rsidRPr="00576D60">
              <w:t>)</w:t>
            </w:r>
          </w:p>
        </w:tc>
        <w:tc>
          <w:tcPr>
            <w:tcW w:w="1110" w:type="pct"/>
            <w:tcBorders>
              <w:top w:val="single" w:sz="4" w:space="0" w:color="auto"/>
              <w:bottom w:val="single" w:sz="4" w:space="0" w:color="auto"/>
            </w:tcBorders>
            <w:shd w:val="clear" w:color="auto" w:fill="auto"/>
          </w:tcPr>
          <w:p w14:paraId="23ACE01D" w14:textId="77777777" w:rsidR="00E93F58" w:rsidRPr="00576D60" w:rsidRDefault="00E93F58" w:rsidP="002F32E3">
            <w:pPr>
              <w:pStyle w:val="ENoteTableText"/>
            </w:pPr>
            <w:r w:rsidRPr="00576D60">
              <w:t>—</w:t>
            </w:r>
          </w:p>
        </w:tc>
      </w:tr>
      <w:tr w:rsidR="00E93F58" w:rsidRPr="00576D60" w14:paraId="501ED29F" w14:textId="77777777" w:rsidTr="003D209B">
        <w:trPr>
          <w:cantSplit/>
        </w:trPr>
        <w:tc>
          <w:tcPr>
            <w:tcW w:w="1270" w:type="pct"/>
            <w:tcBorders>
              <w:top w:val="single" w:sz="4" w:space="0" w:color="auto"/>
              <w:bottom w:val="single" w:sz="4" w:space="0" w:color="auto"/>
            </w:tcBorders>
            <w:shd w:val="clear" w:color="auto" w:fill="auto"/>
          </w:tcPr>
          <w:p w14:paraId="3F83B9D6" w14:textId="77777777" w:rsidR="00E93F58" w:rsidRPr="00576D60" w:rsidRDefault="00E93F58" w:rsidP="002F32E3">
            <w:pPr>
              <w:pStyle w:val="ENoteTableText"/>
            </w:pPr>
            <w:r w:rsidRPr="00576D60">
              <w:t xml:space="preserve">Corporations Amendment (Client Money) </w:t>
            </w:r>
            <w:r>
              <w:t>Regulations 2</w:t>
            </w:r>
            <w:r w:rsidRPr="00576D60">
              <w:t>017</w:t>
            </w:r>
          </w:p>
        </w:tc>
        <w:tc>
          <w:tcPr>
            <w:tcW w:w="1125" w:type="pct"/>
            <w:tcBorders>
              <w:top w:val="single" w:sz="4" w:space="0" w:color="auto"/>
              <w:bottom w:val="single" w:sz="4" w:space="0" w:color="auto"/>
            </w:tcBorders>
            <w:shd w:val="clear" w:color="auto" w:fill="auto"/>
          </w:tcPr>
          <w:p w14:paraId="3B7D1352" w14:textId="77777777" w:rsidR="00E93F58" w:rsidRPr="00576D60" w:rsidRDefault="00E93F58" w:rsidP="002F32E3">
            <w:pPr>
              <w:pStyle w:val="ENoteTableText"/>
            </w:pPr>
            <w:r w:rsidRPr="00576D60">
              <w:t>20 Apr 2017 (F2017L00455)</w:t>
            </w:r>
          </w:p>
        </w:tc>
        <w:tc>
          <w:tcPr>
            <w:tcW w:w="1495" w:type="pct"/>
            <w:tcBorders>
              <w:top w:val="single" w:sz="4" w:space="0" w:color="auto"/>
              <w:bottom w:val="single" w:sz="4" w:space="0" w:color="auto"/>
            </w:tcBorders>
            <w:shd w:val="clear" w:color="auto" w:fill="auto"/>
          </w:tcPr>
          <w:p w14:paraId="485AFCB1" w14:textId="77777777" w:rsidR="00E93F58" w:rsidRPr="00576D60" w:rsidRDefault="00E93F58" w:rsidP="002F32E3">
            <w:pPr>
              <w:pStyle w:val="ENoteTableText"/>
            </w:pPr>
            <w:r w:rsidRPr="00576D60">
              <w:t xml:space="preserve">4 Apr 2018 (s 2(1) </w:t>
            </w:r>
            <w:r>
              <w:t>item 1</w:t>
            </w:r>
            <w:r w:rsidRPr="00576D60">
              <w:t>)</w:t>
            </w:r>
          </w:p>
        </w:tc>
        <w:tc>
          <w:tcPr>
            <w:tcW w:w="1110" w:type="pct"/>
            <w:tcBorders>
              <w:top w:val="single" w:sz="4" w:space="0" w:color="auto"/>
              <w:bottom w:val="single" w:sz="4" w:space="0" w:color="auto"/>
            </w:tcBorders>
            <w:shd w:val="clear" w:color="auto" w:fill="auto"/>
          </w:tcPr>
          <w:p w14:paraId="659CEC36" w14:textId="77777777" w:rsidR="00E93F58" w:rsidRPr="00576D60" w:rsidRDefault="00E93F58" w:rsidP="002F32E3">
            <w:pPr>
              <w:pStyle w:val="ENoteTableText"/>
            </w:pPr>
            <w:r w:rsidRPr="00576D60">
              <w:t>—</w:t>
            </w:r>
          </w:p>
        </w:tc>
      </w:tr>
      <w:tr w:rsidR="00E93F58" w:rsidRPr="00576D60" w14:paraId="71CC17EA" w14:textId="77777777" w:rsidTr="003D209B">
        <w:trPr>
          <w:cantSplit/>
        </w:trPr>
        <w:tc>
          <w:tcPr>
            <w:tcW w:w="1270" w:type="pct"/>
            <w:tcBorders>
              <w:top w:val="single" w:sz="4" w:space="0" w:color="auto"/>
              <w:bottom w:val="single" w:sz="4" w:space="0" w:color="auto"/>
            </w:tcBorders>
            <w:shd w:val="clear" w:color="auto" w:fill="auto"/>
          </w:tcPr>
          <w:p w14:paraId="4982F308" w14:textId="77777777" w:rsidR="00E93F58" w:rsidRPr="00576D60" w:rsidRDefault="00E93F58" w:rsidP="002F32E3">
            <w:pPr>
              <w:pStyle w:val="ENoteTableText"/>
            </w:pPr>
            <w:r w:rsidRPr="00576D60">
              <w:t xml:space="preserve">Treasury Laws Amendment (Professional Standards Schemes) </w:t>
            </w:r>
            <w:r>
              <w:t>Regulations 2</w:t>
            </w:r>
            <w:r w:rsidRPr="00576D60">
              <w:t>017</w:t>
            </w:r>
          </w:p>
        </w:tc>
        <w:tc>
          <w:tcPr>
            <w:tcW w:w="1125" w:type="pct"/>
            <w:tcBorders>
              <w:top w:val="single" w:sz="4" w:space="0" w:color="auto"/>
              <w:bottom w:val="single" w:sz="4" w:space="0" w:color="auto"/>
            </w:tcBorders>
            <w:shd w:val="clear" w:color="auto" w:fill="auto"/>
          </w:tcPr>
          <w:p w14:paraId="3FB24882" w14:textId="77777777" w:rsidR="00E93F58" w:rsidRPr="00576D60" w:rsidRDefault="00E93F58" w:rsidP="002F32E3">
            <w:pPr>
              <w:pStyle w:val="ENoteTableText"/>
            </w:pPr>
            <w:r w:rsidRPr="00576D60">
              <w:t>24 May 2017 (F2017L00595)</w:t>
            </w:r>
          </w:p>
        </w:tc>
        <w:tc>
          <w:tcPr>
            <w:tcW w:w="1495" w:type="pct"/>
            <w:tcBorders>
              <w:top w:val="single" w:sz="4" w:space="0" w:color="auto"/>
              <w:bottom w:val="single" w:sz="4" w:space="0" w:color="auto"/>
            </w:tcBorders>
            <w:shd w:val="clear" w:color="auto" w:fill="auto"/>
          </w:tcPr>
          <w:p w14:paraId="35946B75" w14:textId="77777777" w:rsidR="00E93F58" w:rsidRPr="00576D60" w:rsidRDefault="00E93F58" w:rsidP="002F32E3">
            <w:pPr>
              <w:pStyle w:val="ENoteTableText"/>
            </w:pPr>
            <w:r w:rsidRPr="00576D60">
              <w:t xml:space="preserve">Sch 1 (items 29–39): 25 May 2017 (s 2(1) </w:t>
            </w:r>
            <w:r>
              <w:t>item 1</w:t>
            </w:r>
            <w:r w:rsidRPr="00576D60">
              <w:t>)</w:t>
            </w:r>
          </w:p>
        </w:tc>
        <w:tc>
          <w:tcPr>
            <w:tcW w:w="1110" w:type="pct"/>
            <w:tcBorders>
              <w:top w:val="single" w:sz="4" w:space="0" w:color="auto"/>
              <w:bottom w:val="single" w:sz="4" w:space="0" w:color="auto"/>
            </w:tcBorders>
            <w:shd w:val="clear" w:color="auto" w:fill="auto"/>
          </w:tcPr>
          <w:p w14:paraId="19EB453E" w14:textId="77777777" w:rsidR="00E93F58" w:rsidRPr="00576D60" w:rsidRDefault="00E93F58" w:rsidP="002F32E3">
            <w:pPr>
              <w:pStyle w:val="ENoteTableText"/>
            </w:pPr>
            <w:r w:rsidRPr="00576D60">
              <w:t>—</w:t>
            </w:r>
          </w:p>
        </w:tc>
      </w:tr>
      <w:tr w:rsidR="00E93F58" w:rsidRPr="00576D60" w14:paraId="6F1F4212" w14:textId="77777777" w:rsidTr="003D209B">
        <w:trPr>
          <w:cantSplit/>
        </w:trPr>
        <w:tc>
          <w:tcPr>
            <w:tcW w:w="1270" w:type="pct"/>
            <w:tcBorders>
              <w:top w:val="single" w:sz="4" w:space="0" w:color="auto"/>
              <w:bottom w:val="single" w:sz="4" w:space="0" w:color="auto"/>
            </w:tcBorders>
            <w:shd w:val="clear" w:color="auto" w:fill="auto"/>
          </w:tcPr>
          <w:p w14:paraId="3DBE5548" w14:textId="77777777" w:rsidR="00E93F58" w:rsidRPr="00576D60" w:rsidRDefault="00E93F58" w:rsidP="002F32E3">
            <w:pPr>
              <w:pStyle w:val="ENoteTableText"/>
            </w:pPr>
            <w:r w:rsidRPr="00576D60">
              <w:t>Corporations Amendment (Crowd</w:t>
            </w:r>
            <w:r>
              <w:noBreakHyphen/>
            </w:r>
            <w:r w:rsidRPr="00576D60">
              <w:t xml:space="preserve">sourced Funding) </w:t>
            </w:r>
            <w:r>
              <w:t>Regulations 2</w:t>
            </w:r>
            <w:r w:rsidRPr="00576D60">
              <w:t>017</w:t>
            </w:r>
          </w:p>
        </w:tc>
        <w:tc>
          <w:tcPr>
            <w:tcW w:w="1125" w:type="pct"/>
            <w:tcBorders>
              <w:top w:val="single" w:sz="4" w:space="0" w:color="auto"/>
              <w:bottom w:val="single" w:sz="4" w:space="0" w:color="auto"/>
            </w:tcBorders>
            <w:shd w:val="clear" w:color="auto" w:fill="auto"/>
          </w:tcPr>
          <w:p w14:paraId="49DA8CF0" w14:textId="77777777" w:rsidR="00E93F58" w:rsidRPr="00576D60" w:rsidRDefault="00E93F58" w:rsidP="002F32E3">
            <w:pPr>
              <w:pStyle w:val="ENoteTableText"/>
            </w:pPr>
            <w:r w:rsidRPr="00576D60">
              <w:t>21 June 2017 (F2017L00710)</w:t>
            </w:r>
          </w:p>
        </w:tc>
        <w:tc>
          <w:tcPr>
            <w:tcW w:w="1495" w:type="pct"/>
            <w:tcBorders>
              <w:top w:val="single" w:sz="4" w:space="0" w:color="auto"/>
              <w:bottom w:val="single" w:sz="4" w:space="0" w:color="auto"/>
            </w:tcBorders>
            <w:shd w:val="clear" w:color="auto" w:fill="auto"/>
          </w:tcPr>
          <w:p w14:paraId="605DAE99" w14:textId="77777777" w:rsidR="00E93F58" w:rsidRPr="00576D60" w:rsidRDefault="00E93F58" w:rsidP="002F32E3">
            <w:pPr>
              <w:pStyle w:val="ENoteTableText"/>
            </w:pPr>
            <w:r w:rsidRPr="00576D60">
              <w:t xml:space="preserve">28 Sept 2017 (s 2(1) </w:t>
            </w:r>
            <w:r>
              <w:t>item 1</w:t>
            </w:r>
            <w:r w:rsidRPr="00576D60">
              <w:t>)</w:t>
            </w:r>
          </w:p>
        </w:tc>
        <w:tc>
          <w:tcPr>
            <w:tcW w:w="1110" w:type="pct"/>
            <w:tcBorders>
              <w:top w:val="single" w:sz="4" w:space="0" w:color="auto"/>
              <w:bottom w:val="single" w:sz="4" w:space="0" w:color="auto"/>
            </w:tcBorders>
            <w:shd w:val="clear" w:color="auto" w:fill="auto"/>
          </w:tcPr>
          <w:p w14:paraId="05001481" w14:textId="77777777" w:rsidR="00E93F58" w:rsidRPr="00576D60" w:rsidRDefault="00E93F58" w:rsidP="002F32E3">
            <w:pPr>
              <w:pStyle w:val="ENoteTableText"/>
            </w:pPr>
            <w:r w:rsidRPr="00576D60">
              <w:t>—</w:t>
            </w:r>
          </w:p>
        </w:tc>
      </w:tr>
      <w:tr w:rsidR="00E93F58" w:rsidRPr="00576D60" w14:paraId="781A0791" w14:textId="77777777" w:rsidTr="003D209B">
        <w:trPr>
          <w:cantSplit/>
        </w:trPr>
        <w:tc>
          <w:tcPr>
            <w:tcW w:w="1270" w:type="pct"/>
            <w:tcBorders>
              <w:top w:val="single" w:sz="4" w:space="0" w:color="auto"/>
              <w:bottom w:val="single" w:sz="4" w:space="0" w:color="auto"/>
            </w:tcBorders>
            <w:shd w:val="clear" w:color="auto" w:fill="auto"/>
          </w:tcPr>
          <w:p w14:paraId="1D36A8FF" w14:textId="77777777" w:rsidR="00E93F58" w:rsidRPr="00576D60" w:rsidRDefault="00E93F58" w:rsidP="002F32E3">
            <w:pPr>
              <w:pStyle w:val="ENoteTableText"/>
            </w:pPr>
            <w:r w:rsidRPr="00576D60">
              <w:t xml:space="preserve">Treasury Laws Amendment (Professional Standards Schemes) </w:t>
            </w:r>
            <w:r>
              <w:t>Regulations 2</w:t>
            </w:r>
            <w:r w:rsidRPr="00576D60">
              <w:t>018</w:t>
            </w:r>
          </w:p>
        </w:tc>
        <w:tc>
          <w:tcPr>
            <w:tcW w:w="1125" w:type="pct"/>
            <w:tcBorders>
              <w:top w:val="single" w:sz="4" w:space="0" w:color="auto"/>
              <w:bottom w:val="single" w:sz="4" w:space="0" w:color="auto"/>
            </w:tcBorders>
            <w:shd w:val="clear" w:color="auto" w:fill="auto"/>
          </w:tcPr>
          <w:p w14:paraId="54FE0D3C" w14:textId="77777777" w:rsidR="00E93F58" w:rsidRPr="00576D60" w:rsidRDefault="00E93F58" w:rsidP="002F32E3">
            <w:pPr>
              <w:pStyle w:val="ENoteTableText"/>
            </w:pPr>
            <w:r w:rsidRPr="00576D60">
              <w:t>9 Feb 2018 (F2018L00096)</w:t>
            </w:r>
          </w:p>
        </w:tc>
        <w:tc>
          <w:tcPr>
            <w:tcW w:w="1495" w:type="pct"/>
            <w:tcBorders>
              <w:top w:val="single" w:sz="4" w:space="0" w:color="auto"/>
              <w:bottom w:val="single" w:sz="4" w:space="0" w:color="auto"/>
            </w:tcBorders>
            <w:shd w:val="clear" w:color="auto" w:fill="auto"/>
          </w:tcPr>
          <w:p w14:paraId="314EA564" w14:textId="77777777" w:rsidR="00E93F58" w:rsidRPr="00576D60" w:rsidRDefault="00E93F58" w:rsidP="002F32E3">
            <w:pPr>
              <w:pStyle w:val="ENoteTableText"/>
            </w:pPr>
            <w:r w:rsidRPr="00576D60">
              <w:t>Sch 1 (</w:t>
            </w:r>
            <w:r>
              <w:t>items 1</w:t>
            </w:r>
            <w:r w:rsidRPr="00576D60">
              <w:t xml:space="preserve">0–12): 10 Feb 2018 (s 2(1) </w:t>
            </w:r>
            <w:r>
              <w:t>item 1</w:t>
            </w:r>
            <w:r w:rsidRPr="00576D60">
              <w:t>)</w:t>
            </w:r>
          </w:p>
        </w:tc>
        <w:tc>
          <w:tcPr>
            <w:tcW w:w="1110" w:type="pct"/>
            <w:tcBorders>
              <w:top w:val="single" w:sz="4" w:space="0" w:color="auto"/>
              <w:bottom w:val="single" w:sz="4" w:space="0" w:color="auto"/>
            </w:tcBorders>
            <w:shd w:val="clear" w:color="auto" w:fill="auto"/>
          </w:tcPr>
          <w:p w14:paraId="312BCB11" w14:textId="77777777" w:rsidR="00E93F58" w:rsidRPr="00576D60" w:rsidRDefault="00E93F58" w:rsidP="002F32E3">
            <w:pPr>
              <w:pStyle w:val="ENoteTableText"/>
            </w:pPr>
            <w:r w:rsidRPr="00576D60">
              <w:t>—</w:t>
            </w:r>
          </w:p>
        </w:tc>
      </w:tr>
      <w:tr w:rsidR="00E93F58" w:rsidRPr="00576D60" w14:paraId="4BC6C3AE" w14:textId="77777777" w:rsidTr="003D209B">
        <w:trPr>
          <w:cantSplit/>
        </w:trPr>
        <w:tc>
          <w:tcPr>
            <w:tcW w:w="1270" w:type="pct"/>
            <w:tcBorders>
              <w:top w:val="single" w:sz="4" w:space="0" w:color="auto"/>
              <w:bottom w:val="single" w:sz="4" w:space="0" w:color="auto"/>
            </w:tcBorders>
            <w:shd w:val="clear" w:color="auto" w:fill="auto"/>
          </w:tcPr>
          <w:p w14:paraId="19A12EF4" w14:textId="77777777" w:rsidR="00E93F58" w:rsidRPr="00576D60" w:rsidRDefault="00E93F58" w:rsidP="002F32E3">
            <w:pPr>
              <w:pStyle w:val="ENoteTableText"/>
            </w:pPr>
            <w:r w:rsidRPr="00576D60">
              <w:t xml:space="preserve">Treasury Laws Amendment (Putting Consumers First—Establishment of the Australian Financial Complaints Authority) </w:t>
            </w:r>
            <w:r>
              <w:t>Regulations 2</w:t>
            </w:r>
            <w:r w:rsidRPr="00576D60">
              <w:t>018</w:t>
            </w:r>
          </w:p>
        </w:tc>
        <w:tc>
          <w:tcPr>
            <w:tcW w:w="1125" w:type="pct"/>
            <w:tcBorders>
              <w:top w:val="single" w:sz="4" w:space="0" w:color="auto"/>
              <w:bottom w:val="single" w:sz="4" w:space="0" w:color="auto"/>
            </w:tcBorders>
            <w:shd w:val="clear" w:color="auto" w:fill="auto"/>
          </w:tcPr>
          <w:p w14:paraId="5793020F" w14:textId="77777777" w:rsidR="00E93F58" w:rsidRPr="00576D60" w:rsidRDefault="00E93F58" w:rsidP="002F32E3">
            <w:pPr>
              <w:pStyle w:val="ENoteTableText"/>
            </w:pPr>
            <w:r w:rsidRPr="00576D60">
              <w:t>24 Apr 2018 (F2018L00515)</w:t>
            </w:r>
          </w:p>
        </w:tc>
        <w:tc>
          <w:tcPr>
            <w:tcW w:w="1495" w:type="pct"/>
            <w:tcBorders>
              <w:top w:val="single" w:sz="4" w:space="0" w:color="auto"/>
              <w:bottom w:val="single" w:sz="4" w:space="0" w:color="auto"/>
            </w:tcBorders>
            <w:shd w:val="clear" w:color="auto" w:fill="auto"/>
          </w:tcPr>
          <w:p w14:paraId="3DC2D4DD" w14:textId="77777777" w:rsidR="00E93F58" w:rsidRPr="00576D60" w:rsidRDefault="00E93F58" w:rsidP="002F32E3">
            <w:pPr>
              <w:pStyle w:val="ENoteTableText"/>
            </w:pPr>
            <w:r w:rsidRPr="00576D60">
              <w:t>Sch 1 (</w:t>
            </w:r>
            <w:r>
              <w:t>items 1</w:t>
            </w:r>
            <w:r w:rsidRPr="00576D60">
              <w:t>–3, 36–42) and Sch 2 (</w:t>
            </w:r>
            <w:r>
              <w:t>items 1</w:t>
            </w:r>
            <w:r w:rsidRPr="00576D60">
              <w:t>, 2, 4, 5): 25 Apr 2018 (s 2(1) items 2, 4, 5, 8, 9)</w:t>
            </w:r>
            <w:r w:rsidRPr="00576D60">
              <w:br/>
              <w:t>Sch 3 (</w:t>
            </w:r>
            <w:r>
              <w:t>items 3</w:t>
            </w:r>
            <w:r w:rsidRPr="00576D60">
              <w:t xml:space="preserve">–5): 5 Mar 2022 (s 2(1) </w:t>
            </w:r>
            <w:r>
              <w:t>item 1</w:t>
            </w:r>
            <w:r w:rsidRPr="00576D60">
              <w:t>0)</w:t>
            </w:r>
          </w:p>
        </w:tc>
        <w:tc>
          <w:tcPr>
            <w:tcW w:w="1110" w:type="pct"/>
            <w:tcBorders>
              <w:top w:val="single" w:sz="4" w:space="0" w:color="auto"/>
              <w:bottom w:val="single" w:sz="4" w:space="0" w:color="auto"/>
            </w:tcBorders>
            <w:shd w:val="clear" w:color="auto" w:fill="auto"/>
          </w:tcPr>
          <w:p w14:paraId="766CECD6" w14:textId="77777777" w:rsidR="00E93F58" w:rsidRPr="00576D60" w:rsidRDefault="00E93F58" w:rsidP="002F32E3">
            <w:pPr>
              <w:pStyle w:val="ENoteTableText"/>
            </w:pPr>
            <w:r w:rsidRPr="00576D60">
              <w:t>—</w:t>
            </w:r>
          </w:p>
        </w:tc>
      </w:tr>
      <w:tr w:rsidR="00E93F58" w:rsidRPr="00576D60" w14:paraId="3EAD1678" w14:textId="77777777" w:rsidTr="003D209B">
        <w:trPr>
          <w:cantSplit/>
        </w:trPr>
        <w:tc>
          <w:tcPr>
            <w:tcW w:w="1270" w:type="pct"/>
            <w:tcBorders>
              <w:top w:val="single" w:sz="4" w:space="0" w:color="auto"/>
              <w:bottom w:val="single" w:sz="4" w:space="0" w:color="auto"/>
            </w:tcBorders>
            <w:shd w:val="clear" w:color="auto" w:fill="auto"/>
          </w:tcPr>
          <w:p w14:paraId="234DC075" w14:textId="77777777" w:rsidR="00E93F58" w:rsidRPr="00576D60" w:rsidRDefault="00E93F58" w:rsidP="002F32E3">
            <w:pPr>
              <w:pStyle w:val="ENoteTableText"/>
            </w:pPr>
            <w:r w:rsidRPr="00576D60">
              <w:t xml:space="preserve">Corporations Amendment (Client Money Reporting Rules Enforcement Powers) </w:t>
            </w:r>
            <w:r>
              <w:t>Regulations 2</w:t>
            </w:r>
            <w:r w:rsidRPr="00576D60">
              <w:t>018</w:t>
            </w:r>
          </w:p>
        </w:tc>
        <w:tc>
          <w:tcPr>
            <w:tcW w:w="1125" w:type="pct"/>
            <w:tcBorders>
              <w:top w:val="single" w:sz="4" w:space="0" w:color="auto"/>
              <w:bottom w:val="single" w:sz="4" w:space="0" w:color="auto"/>
            </w:tcBorders>
            <w:shd w:val="clear" w:color="auto" w:fill="auto"/>
          </w:tcPr>
          <w:p w14:paraId="78DCFE99" w14:textId="77777777" w:rsidR="00E93F58" w:rsidRPr="00576D60" w:rsidRDefault="00E93F58" w:rsidP="002F32E3">
            <w:pPr>
              <w:pStyle w:val="ENoteTableText"/>
            </w:pPr>
            <w:r w:rsidRPr="00576D60">
              <w:t>8 June 2018 (F2018L00743)</w:t>
            </w:r>
          </w:p>
        </w:tc>
        <w:tc>
          <w:tcPr>
            <w:tcW w:w="1495" w:type="pct"/>
            <w:tcBorders>
              <w:top w:val="single" w:sz="4" w:space="0" w:color="auto"/>
              <w:bottom w:val="single" w:sz="4" w:space="0" w:color="auto"/>
            </w:tcBorders>
            <w:shd w:val="clear" w:color="auto" w:fill="auto"/>
          </w:tcPr>
          <w:p w14:paraId="51203954" w14:textId="77777777" w:rsidR="00E93F58" w:rsidRPr="00576D60" w:rsidRDefault="00E93F58" w:rsidP="002F32E3">
            <w:pPr>
              <w:pStyle w:val="ENoteTableText"/>
            </w:pPr>
            <w:r w:rsidRPr="00576D60">
              <w:t xml:space="preserve">9 June 2018 (s 2(1) </w:t>
            </w:r>
            <w:r>
              <w:t>item 1</w:t>
            </w:r>
            <w:r w:rsidRPr="00576D60">
              <w:t>)</w:t>
            </w:r>
          </w:p>
        </w:tc>
        <w:tc>
          <w:tcPr>
            <w:tcW w:w="1110" w:type="pct"/>
            <w:tcBorders>
              <w:top w:val="single" w:sz="4" w:space="0" w:color="auto"/>
              <w:bottom w:val="single" w:sz="4" w:space="0" w:color="auto"/>
            </w:tcBorders>
            <w:shd w:val="clear" w:color="auto" w:fill="auto"/>
          </w:tcPr>
          <w:p w14:paraId="5C442E32" w14:textId="77777777" w:rsidR="00E93F58" w:rsidRPr="00576D60" w:rsidRDefault="00E93F58" w:rsidP="002F32E3">
            <w:pPr>
              <w:pStyle w:val="ENoteTableText"/>
            </w:pPr>
            <w:r w:rsidRPr="00576D60">
              <w:t>—</w:t>
            </w:r>
          </w:p>
        </w:tc>
      </w:tr>
      <w:tr w:rsidR="00E93F58" w:rsidRPr="00576D60" w14:paraId="34AF103B" w14:textId="77777777" w:rsidTr="003D209B">
        <w:trPr>
          <w:cantSplit/>
        </w:trPr>
        <w:tc>
          <w:tcPr>
            <w:tcW w:w="1270" w:type="pct"/>
            <w:tcBorders>
              <w:top w:val="single" w:sz="4" w:space="0" w:color="auto"/>
              <w:bottom w:val="single" w:sz="4" w:space="0" w:color="auto"/>
            </w:tcBorders>
            <w:shd w:val="clear" w:color="auto" w:fill="auto"/>
          </w:tcPr>
          <w:p w14:paraId="1143DF6D" w14:textId="77777777" w:rsidR="00E93F58" w:rsidRPr="00576D60" w:rsidRDefault="00E93F58" w:rsidP="002F32E3">
            <w:pPr>
              <w:pStyle w:val="ENoteTableText"/>
            </w:pPr>
            <w:r w:rsidRPr="00576D60">
              <w:t xml:space="preserve">Corporations Amendment (Stay on Enforcing Certain Rights) </w:t>
            </w:r>
            <w:r>
              <w:t>Regulations 2</w:t>
            </w:r>
            <w:r w:rsidRPr="00576D60">
              <w:t>018</w:t>
            </w:r>
          </w:p>
        </w:tc>
        <w:tc>
          <w:tcPr>
            <w:tcW w:w="1125" w:type="pct"/>
            <w:tcBorders>
              <w:top w:val="single" w:sz="4" w:space="0" w:color="auto"/>
              <w:bottom w:val="single" w:sz="4" w:space="0" w:color="auto"/>
            </w:tcBorders>
            <w:shd w:val="clear" w:color="auto" w:fill="auto"/>
          </w:tcPr>
          <w:p w14:paraId="73DF064D" w14:textId="77777777" w:rsidR="00E93F58" w:rsidRPr="00576D60" w:rsidRDefault="00E93F58" w:rsidP="002F32E3">
            <w:pPr>
              <w:pStyle w:val="ENoteTableText"/>
            </w:pPr>
            <w:r w:rsidRPr="00576D60">
              <w:t>22 June 2018 (F2018L00835)</w:t>
            </w:r>
          </w:p>
        </w:tc>
        <w:tc>
          <w:tcPr>
            <w:tcW w:w="1495" w:type="pct"/>
            <w:tcBorders>
              <w:top w:val="single" w:sz="4" w:space="0" w:color="auto"/>
              <w:bottom w:val="single" w:sz="4" w:space="0" w:color="auto"/>
            </w:tcBorders>
            <w:shd w:val="clear" w:color="auto" w:fill="auto"/>
          </w:tcPr>
          <w:p w14:paraId="4E01B088" w14:textId="77777777" w:rsidR="00E93F58" w:rsidRPr="00576D60" w:rsidRDefault="00E93F58" w:rsidP="002F32E3">
            <w:pPr>
              <w:pStyle w:val="ENoteTableText"/>
            </w:pPr>
            <w:r w:rsidRPr="00576D60">
              <w:t xml:space="preserve">1 July 2018 (s 2(1) </w:t>
            </w:r>
            <w:r>
              <w:t>item 1</w:t>
            </w:r>
            <w:r w:rsidRPr="00576D60">
              <w:t>)</w:t>
            </w:r>
          </w:p>
        </w:tc>
        <w:tc>
          <w:tcPr>
            <w:tcW w:w="1110" w:type="pct"/>
            <w:tcBorders>
              <w:top w:val="single" w:sz="4" w:space="0" w:color="auto"/>
              <w:bottom w:val="single" w:sz="4" w:space="0" w:color="auto"/>
            </w:tcBorders>
            <w:shd w:val="clear" w:color="auto" w:fill="auto"/>
          </w:tcPr>
          <w:p w14:paraId="31DE3549" w14:textId="77777777" w:rsidR="00E93F58" w:rsidRPr="00576D60" w:rsidRDefault="00E93F58" w:rsidP="002F32E3">
            <w:pPr>
              <w:pStyle w:val="ENoteTableText"/>
            </w:pPr>
            <w:r w:rsidRPr="00576D60">
              <w:t>—</w:t>
            </w:r>
          </w:p>
        </w:tc>
      </w:tr>
      <w:tr w:rsidR="00E93F58" w:rsidRPr="00576D60" w14:paraId="26400619" w14:textId="77777777" w:rsidTr="003D209B">
        <w:trPr>
          <w:cantSplit/>
        </w:trPr>
        <w:tc>
          <w:tcPr>
            <w:tcW w:w="1270" w:type="pct"/>
            <w:tcBorders>
              <w:top w:val="single" w:sz="4" w:space="0" w:color="auto"/>
              <w:bottom w:val="single" w:sz="4" w:space="0" w:color="auto"/>
            </w:tcBorders>
            <w:shd w:val="clear" w:color="auto" w:fill="auto"/>
          </w:tcPr>
          <w:p w14:paraId="3B0E71B0" w14:textId="77777777" w:rsidR="00E93F58" w:rsidRPr="00576D60" w:rsidRDefault="00E93F58" w:rsidP="002F32E3">
            <w:pPr>
              <w:pStyle w:val="ENoteTableText"/>
            </w:pPr>
            <w:r w:rsidRPr="00576D60">
              <w:t>Corporations Amendment (Stay on Enforcing Certain Rights) Regulations (No. 2) 2018</w:t>
            </w:r>
          </w:p>
        </w:tc>
        <w:tc>
          <w:tcPr>
            <w:tcW w:w="1125" w:type="pct"/>
            <w:tcBorders>
              <w:top w:val="single" w:sz="4" w:space="0" w:color="auto"/>
              <w:bottom w:val="single" w:sz="4" w:space="0" w:color="auto"/>
            </w:tcBorders>
            <w:shd w:val="clear" w:color="auto" w:fill="auto"/>
          </w:tcPr>
          <w:p w14:paraId="342C4701" w14:textId="77777777" w:rsidR="00E93F58" w:rsidRPr="00576D60" w:rsidRDefault="00E93F58" w:rsidP="002F32E3">
            <w:pPr>
              <w:pStyle w:val="ENoteTableText"/>
            </w:pPr>
            <w:r w:rsidRPr="00576D60">
              <w:t>29 June 2018 (F2018L00966)</w:t>
            </w:r>
          </w:p>
        </w:tc>
        <w:tc>
          <w:tcPr>
            <w:tcW w:w="1495" w:type="pct"/>
            <w:tcBorders>
              <w:top w:val="single" w:sz="4" w:space="0" w:color="auto"/>
              <w:bottom w:val="single" w:sz="4" w:space="0" w:color="auto"/>
            </w:tcBorders>
            <w:shd w:val="clear" w:color="auto" w:fill="auto"/>
          </w:tcPr>
          <w:p w14:paraId="21ACB194" w14:textId="77777777" w:rsidR="00E93F58" w:rsidRPr="00576D60" w:rsidRDefault="00E93F58" w:rsidP="002F32E3">
            <w:pPr>
              <w:pStyle w:val="ENoteTableText"/>
            </w:pPr>
            <w:r w:rsidRPr="00576D60">
              <w:t xml:space="preserve">1 July 2018 (s 2(1) </w:t>
            </w:r>
            <w:r>
              <w:t>item 1</w:t>
            </w:r>
            <w:r w:rsidRPr="00576D60">
              <w:t>)</w:t>
            </w:r>
          </w:p>
        </w:tc>
        <w:tc>
          <w:tcPr>
            <w:tcW w:w="1110" w:type="pct"/>
            <w:tcBorders>
              <w:top w:val="single" w:sz="4" w:space="0" w:color="auto"/>
              <w:bottom w:val="single" w:sz="4" w:space="0" w:color="auto"/>
            </w:tcBorders>
            <w:shd w:val="clear" w:color="auto" w:fill="auto"/>
          </w:tcPr>
          <w:p w14:paraId="792547CA" w14:textId="77777777" w:rsidR="00E93F58" w:rsidRPr="00576D60" w:rsidRDefault="00E93F58" w:rsidP="002F32E3">
            <w:pPr>
              <w:pStyle w:val="ENoteTableText"/>
            </w:pPr>
            <w:r w:rsidRPr="00576D60">
              <w:t>—</w:t>
            </w:r>
          </w:p>
        </w:tc>
      </w:tr>
      <w:tr w:rsidR="00E93F58" w:rsidRPr="00576D60" w14:paraId="1F3AF487" w14:textId="77777777" w:rsidTr="003D209B">
        <w:trPr>
          <w:cantSplit/>
        </w:trPr>
        <w:tc>
          <w:tcPr>
            <w:tcW w:w="1270" w:type="pct"/>
            <w:tcBorders>
              <w:top w:val="single" w:sz="4" w:space="0" w:color="auto"/>
              <w:bottom w:val="single" w:sz="4" w:space="0" w:color="auto"/>
            </w:tcBorders>
            <w:shd w:val="clear" w:color="auto" w:fill="auto"/>
          </w:tcPr>
          <w:p w14:paraId="0136AE59" w14:textId="77777777" w:rsidR="00E93F58" w:rsidRPr="00576D60" w:rsidRDefault="00E93F58" w:rsidP="002F32E3">
            <w:pPr>
              <w:pStyle w:val="ENoteTableText"/>
            </w:pPr>
            <w:r w:rsidRPr="00576D60">
              <w:t xml:space="preserve">Corporations Amendment (Asia Region Funds Passport) </w:t>
            </w:r>
            <w:r>
              <w:t>Regulations 2</w:t>
            </w:r>
            <w:r w:rsidRPr="00576D60">
              <w:t>018</w:t>
            </w:r>
          </w:p>
        </w:tc>
        <w:tc>
          <w:tcPr>
            <w:tcW w:w="1125" w:type="pct"/>
            <w:tcBorders>
              <w:top w:val="single" w:sz="4" w:space="0" w:color="auto"/>
              <w:bottom w:val="single" w:sz="4" w:space="0" w:color="auto"/>
            </w:tcBorders>
            <w:shd w:val="clear" w:color="auto" w:fill="auto"/>
          </w:tcPr>
          <w:p w14:paraId="29CB47D4" w14:textId="77777777" w:rsidR="00E93F58" w:rsidRPr="00576D60" w:rsidRDefault="00E93F58" w:rsidP="002F32E3">
            <w:pPr>
              <w:pStyle w:val="ENoteTableText"/>
            </w:pPr>
            <w:r w:rsidRPr="00576D60">
              <w:t>20 Aug 2018 (F2018L01144)</w:t>
            </w:r>
          </w:p>
        </w:tc>
        <w:tc>
          <w:tcPr>
            <w:tcW w:w="1495" w:type="pct"/>
            <w:tcBorders>
              <w:top w:val="single" w:sz="4" w:space="0" w:color="auto"/>
              <w:bottom w:val="single" w:sz="4" w:space="0" w:color="auto"/>
            </w:tcBorders>
            <w:shd w:val="clear" w:color="auto" w:fill="auto"/>
          </w:tcPr>
          <w:p w14:paraId="768F4C08" w14:textId="77777777" w:rsidR="00E93F58" w:rsidRPr="00576D60" w:rsidRDefault="00E93F58" w:rsidP="002F32E3">
            <w:pPr>
              <w:pStyle w:val="ENoteTableText"/>
            </w:pPr>
            <w:r w:rsidRPr="00576D60">
              <w:t xml:space="preserve">Sch 1 and 3: 18 Sept 2018 (s 2(1) </w:t>
            </w:r>
            <w:r>
              <w:t>item 2</w:t>
            </w:r>
            <w:r w:rsidRPr="00576D60">
              <w:t>)</w:t>
            </w:r>
          </w:p>
        </w:tc>
        <w:tc>
          <w:tcPr>
            <w:tcW w:w="1110" w:type="pct"/>
            <w:tcBorders>
              <w:top w:val="single" w:sz="4" w:space="0" w:color="auto"/>
              <w:bottom w:val="single" w:sz="4" w:space="0" w:color="auto"/>
            </w:tcBorders>
            <w:shd w:val="clear" w:color="auto" w:fill="auto"/>
          </w:tcPr>
          <w:p w14:paraId="7264C733" w14:textId="77777777" w:rsidR="00E93F58" w:rsidRPr="00576D60" w:rsidRDefault="00E93F58" w:rsidP="002F32E3">
            <w:pPr>
              <w:pStyle w:val="ENoteTableText"/>
            </w:pPr>
            <w:r w:rsidRPr="00576D60">
              <w:t>—</w:t>
            </w:r>
          </w:p>
        </w:tc>
      </w:tr>
      <w:tr w:rsidR="00E93F58" w:rsidRPr="00576D60" w14:paraId="1B47AA61" w14:textId="77777777" w:rsidTr="003D209B">
        <w:trPr>
          <w:cantSplit/>
        </w:trPr>
        <w:tc>
          <w:tcPr>
            <w:tcW w:w="1270" w:type="pct"/>
            <w:tcBorders>
              <w:top w:val="single" w:sz="4" w:space="0" w:color="auto"/>
              <w:bottom w:val="single" w:sz="4" w:space="0" w:color="auto"/>
            </w:tcBorders>
            <w:shd w:val="clear" w:color="auto" w:fill="auto"/>
          </w:tcPr>
          <w:p w14:paraId="33C3A268" w14:textId="77777777" w:rsidR="00E93F58" w:rsidRPr="00576D60" w:rsidRDefault="00E93F58" w:rsidP="002F32E3">
            <w:pPr>
              <w:pStyle w:val="ENoteTableText"/>
            </w:pPr>
            <w:r w:rsidRPr="00576D60">
              <w:t>Corporations Amendment (Crowd</w:t>
            </w:r>
            <w:r>
              <w:noBreakHyphen/>
            </w:r>
            <w:r w:rsidRPr="00576D60">
              <w:t xml:space="preserve">sourced Funding) </w:t>
            </w:r>
            <w:r>
              <w:t>Regulations 2</w:t>
            </w:r>
            <w:r w:rsidRPr="00576D60">
              <w:t>018</w:t>
            </w:r>
          </w:p>
        </w:tc>
        <w:tc>
          <w:tcPr>
            <w:tcW w:w="1125" w:type="pct"/>
            <w:tcBorders>
              <w:top w:val="single" w:sz="4" w:space="0" w:color="auto"/>
              <w:bottom w:val="single" w:sz="4" w:space="0" w:color="auto"/>
            </w:tcBorders>
            <w:shd w:val="clear" w:color="auto" w:fill="auto"/>
          </w:tcPr>
          <w:p w14:paraId="733A2E92" w14:textId="77777777" w:rsidR="00E93F58" w:rsidRPr="00576D60" w:rsidRDefault="00E93F58" w:rsidP="002F32E3">
            <w:pPr>
              <w:pStyle w:val="ENoteTableText"/>
            </w:pPr>
            <w:r w:rsidRPr="00576D60">
              <w:t>28 Sept 2018 (F2018L01379)</w:t>
            </w:r>
          </w:p>
        </w:tc>
        <w:tc>
          <w:tcPr>
            <w:tcW w:w="1495" w:type="pct"/>
            <w:tcBorders>
              <w:top w:val="single" w:sz="4" w:space="0" w:color="auto"/>
              <w:bottom w:val="single" w:sz="4" w:space="0" w:color="auto"/>
            </w:tcBorders>
            <w:shd w:val="clear" w:color="auto" w:fill="auto"/>
          </w:tcPr>
          <w:p w14:paraId="1A19791F" w14:textId="77777777" w:rsidR="00E93F58" w:rsidRPr="00576D60" w:rsidRDefault="00E93F58" w:rsidP="002F32E3">
            <w:pPr>
              <w:pStyle w:val="ENoteTableText"/>
            </w:pPr>
            <w:r w:rsidRPr="00576D60">
              <w:t xml:space="preserve">19 Oct 2018 (s 2(1) </w:t>
            </w:r>
            <w:r>
              <w:t>item 1</w:t>
            </w:r>
            <w:r w:rsidRPr="00576D60">
              <w:t>)</w:t>
            </w:r>
          </w:p>
        </w:tc>
        <w:tc>
          <w:tcPr>
            <w:tcW w:w="1110" w:type="pct"/>
            <w:tcBorders>
              <w:top w:val="single" w:sz="4" w:space="0" w:color="auto"/>
              <w:bottom w:val="single" w:sz="4" w:space="0" w:color="auto"/>
            </w:tcBorders>
            <w:shd w:val="clear" w:color="auto" w:fill="auto"/>
          </w:tcPr>
          <w:p w14:paraId="5E486B42" w14:textId="77777777" w:rsidR="00E93F58" w:rsidRPr="00576D60" w:rsidRDefault="00E93F58" w:rsidP="002F32E3">
            <w:pPr>
              <w:pStyle w:val="ENoteTableText"/>
            </w:pPr>
            <w:r w:rsidRPr="00576D60">
              <w:t>—</w:t>
            </w:r>
          </w:p>
        </w:tc>
      </w:tr>
      <w:tr w:rsidR="00E93F58" w:rsidRPr="00576D60" w14:paraId="0D2CEC90" w14:textId="77777777" w:rsidTr="003D209B">
        <w:trPr>
          <w:cantSplit/>
        </w:trPr>
        <w:tc>
          <w:tcPr>
            <w:tcW w:w="1270" w:type="pct"/>
            <w:tcBorders>
              <w:top w:val="single" w:sz="4" w:space="0" w:color="auto"/>
              <w:bottom w:val="single" w:sz="4" w:space="0" w:color="auto"/>
            </w:tcBorders>
            <w:shd w:val="clear" w:color="auto" w:fill="auto"/>
          </w:tcPr>
          <w:p w14:paraId="27601831" w14:textId="77777777" w:rsidR="00E93F58" w:rsidRPr="00576D60" w:rsidRDefault="00E93F58" w:rsidP="002F32E3">
            <w:pPr>
              <w:pStyle w:val="ENoteTableText"/>
            </w:pPr>
            <w:r w:rsidRPr="00576D60">
              <w:rPr>
                <w:color w:val="000000"/>
              </w:rPr>
              <w:t xml:space="preserve">Treasury Laws Amendment (Professional Standards Schemes No. 2) </w:t>
            </w:r>
            <w:r>
              <w:rPr>
                <w:color w:val="000000"/>
              </w:rPr>
              <w:t>Regulations 2</w:t>
            </w:r>
            <w:r w:rsidRPr="00576D60">
              <w:rPr>
                <w:color w:val="000000"/>
              </w:rPr>
              <w:t>018</w:t>
            </w:r>
          </w:p>
        </w:tc>
        <w:tc>
          <w:tcPr>
            <w:tcW w:w="1125" w:type="pct"/>
            <w:tcBorders>
              <w:top w:val="single" w:sz="4" w:space="0" w:color="auto"/>
              <w:bottom w:val="single" w:sz="4" w:space="0" w:color="auto"/>
            </w:tcBorders>
            <w:shd w:val="clear" w:color="auto" w:fill="auto"/>
          </w:tcPr>
          <w:p w14:paraId="2C8CD82F" w14:textId="77777777" w:rsidR="00E93F58" w:rsidRPr="00576D60" w:rsidRDefault="00E93F58" w:rsidP="002F32E3">
            <w:pPr>
              <w:pStyle w:val="ENoteTableText"/>
            </w:pPr>
            <w:r w:rsidRPr="00576D60">
              <w:t>2 Oct 2018 (F2018L01393)</w:t>
            </w:r>
          </w:p>
        </w:tc>
        <w:tc>
          <w:tcPr>
            <w:tcW w:w="1495" w:type="pct"/>
            <w:tcBorders>
              <w:top w:val="single" w:sz="4" w:space="0" w:color="auto"/>
              <w:bottom w:val="single" w:sz="4" w:space="0" w:color="auto"/>
            </w:tcBorders>
            <w:shd w:val="clear" w:color="auto" w:fill="auto"/>
          </w:tcPr>
          <w:p w14:paraId="324E4862" w14:textId="77777777" w:rsidR="00E93F58" w:rsidRPr="00576D60" w:rsidRDefault="00E93F58" w:rsidP="002F32E3">
            <w:pPr>
              <w:pStyle w:val="ENoteTableText"/>
            </w:pPr>
            <w:r w:rsidRPr="00576D60">
              <w:t>Sch 1 (</w:t>
            </w:r>
            <w:r>
              <w:t>items 1</w:t>
            </w:r>
            <w:r w:rsidRPr="00576D60">
              <w:t xml:space="preserve">6–21): 3 Oct 2018 (s 2(1) </w:t>
            </w:r>
            <w:r>
              <w:t>item 1</w:t>
            </w:r>
            <w:r w:rsidRPr="00576D60">
              <w:t>)</w:t>
            </w:r>
          </w:p>
        </w:tc>
        <w:tc>
          <w:tcPr>
            <w:tcW w:w="1110" w:type="pct"/>
            <w:tcBorders>
              <w:top w:val="single" w:sz="4" w:space="0" w:color="auto"/>
              <w:bottom w:val="single" w:sz="4" w:space="0" w:color="auto"/>
            </w:tcBorders>
            <w:shd w:val="clear" w:color="auto" w:fill="auto"/>
          </w:tcPr>
          <w:p w14:paraId="003BB21F" w14:textId="77777777" w:rsidR="00E93F58" w:rsidRPr="00576D60" w:rsidRDefault="00E93F58" w:rsidP="002F32E3">
            <w:pPr>
              <w:pStyle w:val="ENoteTableText"/>
            </w:pPr>
            <w:r w:rsidRPr="00576D60">
              <w:t>—</w:t>
            </w:r>
          </w:p>
        </w:tc>
      </w:tr>
      <w:tr w:rsidR="00E93F58" w:rsidRPr="00576D60" w14:paraId="77DE57CF" w14:textId="77777777" w:rsidTr="003D209B">
        <w:trPr>
          <w:cantSplit/>
        </w:trPr>
        <w:tc>
          <w:tcPr>
            <w:tcW w:w="1270" w:type="pct"/>
            <w:tcBorders>
              <w:top w:val="single" w:sz="4" w:space="0" w:color="auto"/>
              <w:bottom w:val="single" w:sz="4" w:space="0" w:color="auto"/>
            </w:tcBorders>
            <w:shd w:val="clear" w:color="auto" w:fill="auto"/>
          </w:tcPr>
          <w:p w14:paraId="0F7C049E" w14:textId="77777777" w:rsidR="00E93F58" w:rsidRPr="00576D60" w:rsidRDefault="00E93F58" w:rsidP="002F32E3">
            <w:pPr>
              <w:pStyle w:val="ENoteTableText"/>
              <w:rPr>
                <w:color w:val="000000"/>
              </w:rPr>
            </w:pPr>
            <w:r w:rsidRPr="00576D60">
              <w:rPr>
                <w:color w:val="000000"/>
              </w:rPr>
              <w:lastRenderedPageBreak/>
              <w:t xml:space="preserve">Treasury Laws Amendment (Miscellaneous Amendments) </w:t>
            </w:r>
            <w:r>
              <w:rPr>
                <w:color w:val="000000"/>
              </w:rPr>
              <w:t>Regulations 2</w:t>
            </w:r>
            <w:r w:rsidRPr="00576D60">
              <w:rPr>
                <w:color w:val="000000"/>
              </w:rPr>
              <w:t>018</w:t>
            </w:r>
          </w:p>
        </w:tc>
        <w:tc>
          <w:tcPr>
            <w:tcW w:w="1125" w:type="pct"/>
            <w:tcBorders>
              <w:top w:val="single" w:sz="4" w:space="0" w:color="auto"/>
              <w:bottom w:val="single" w:sz="4" w:space="0" w:color="auto"/>
            </w:tcBorders>
            <w:shd w:val="clear" w:color="auto" w:fill="auto"/>
          </w:tcPr>
          <w:p w14:paraId="23C9DB03" w14:textId="77777777" w:rsidR="00E93F58" w:rsidRPr="00576D60" w:rsidRDefault="00E93F58" w:rsidP="002F32E3">
            <w:pPr>
              <w:pStyle w:val="ENoteTableText"/>
            </w:pPr>
            <w:r w:rsidRPr="00576D60">
              <w:t>7 Dec 2018 (F2018L01691)</w:t>
            </w:r>
          </w:p>
        </w:tc>
        <w:tc>
          <w:tcPr>
            <w:tcW w:w="1495" w:type="pct"/>
            <w:tcBorders>
              <w:top w:val="single" w:sz="4" w:space="0" w:color="auto"/>
              <w:bottom w:val="single" w:sz="4" w:space="0" w:color="auto"/>
            </w:tcBorders>
            <w:shd w:val="clear" w:color="auto" w:fill="auto"/>
          </w:tcPr>
          <w:p w14:paraId="11E3C079" w14:textId="77777777" w:rsidR="00E93F58" w:rsidRPr="00576D60" w:rsidRDefault="00E93F58" w:rsidP="002F32E3">
            <w:pPr>
              <w:pStyle w:val="ENoteTableText"/>
            </w:pPr>
            <w:r w:rsidRPr="00576D60">
              <w:t>Sch 1 (</w:t>
            </w:r>
            <w:r>
              <w:t>items 1</w:t>
            </w:r>
            <w:r w:rsidRPr="00576D60">
              <w:t xml:space="preserve">0, 11): 8 Dec 2018 (s 2(1) </w:t>
            </w:r>
            <w:r>
              <w:t>item 4</w:t>
            </w:r>
            <w:r w:rsidRPr="00576D60">
              <w:t>)</w:t>
            </w:r>
          </w:p>
        </w:tc>
        <w:tc>
          <w:tcPr>
            <w:tcW w:w="1110" w:type="pct"/>
            <w:tcBorders>
              <w:top w:val="single" w:sz="4" w:space="0" w:color="auto"/>
              <w:bottom w:val="single" w:sz="4" w:space="0" w:color="auto"/>
            </w:tcBorders>
            <w:shd w:val="clear" w:color="auto" w:fill="auto"/>
          </w:tcPr>
          <w:p w14:paraId="695B8A87" w14:textId="77777777" w:rsidR="00E93F58" w:rsidRPr="00576D60" w:rsidRDefault="00E93F58" w:rsidP="002F32E3">
            <w:pPr>
              <w:pStyle w:val="ENoteTableText"/>
            </w:pPr>
            <w:r w:rsidRPr="00576D60">
              <w:t>—</w:t>
            </w:r>
          </w:p>
        </w:tc>
      </w:tr>
      <w:tr w:rsidR="00E93F58" w:rsidRPr="00576D60" w14:paraId="04DF054D" w14:textId="77777777" w:rsidTr="003D209B">
        <w:trPr>
          <w:cantSplit/>
        </w:trPr>
        <w:tc>
          <w:tcPr>
            <w:tcW w:w="1270" w:type="pct"/>
            <w:tcBorders>
              <w:top w:val="single" w:sz="4" w:space="0" w:color="auto"/>
              <w:bottom w:val="single" w:sz="4" w:space="0" w:color="auto"/>
            </w:tcBorders>
            <w:shd w:val="clear" w:color="auto" w:fill="auto"/>
          </w:tcPr>
          <w:p w14:paraId="27DBA4F9" w14:textId="77777777" w:rsidR="00E93F58" w:rsidRPr="00576D60" w:rsidRDefault="00E93F58" w:rsidP="002F32E3">
            <w:pPr>
              <w:pStyle w:val="ENoteTableText"/>
              <w:rPr>
                <w:color w:val="000000"/>
              </w:rPr>
            </w:pPr>
            <w:r w:rsidRPr="00576D60">
              <w:rPr>
                <w:color w:val="000000"/>
              </w:rPr>
              <w:t xml:space="preserve">Corporations Amendment (Name Exemption)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3054B934" w14:textId="77777777" w:rsidR="00E93F58" w:rsidRPr="00576D60" w:rsidRDefault="00E93F58" w:rsidP="002F32E3">
            <w:pPr>
              <w:pStyle w:val="ENoteTableText"/>
            </w:pPr>
            <w:r w:rsidRPr="00576D60">
              <w:t>8 Mar 2019 (F2019L00271)</w:t>
            </w:r>
          </w:p>
        </w:tc>
        <w:tc>
          <w:tcPr>
            <w:tcW w:w="1495" w:type="pct"/>
            <w:tcBorders>
              <w:top w:val="single" w:sz="4" w:space="0" w:color="auto"/>
              <w:bottom w:val="single" w:sz="4" w:space="0" w:color="auto"/>
            </w:tcBorders>
            <w:shd w:val="clear" w:color="auto" w:fill="auto"/>
          </w:tcPr>
          <w:p w14:paraId="3D51C413" w14:textId="77777777" w:rsidR="00E93F58" w:rsidRPr="00576D60" w:rsidRDefault="00E93F58" w:rsidP="002F32E3">
            <w:pPr>
              <w:pStyle w:val="ENoteTableText"/>
            </w:pPr>
            <w:r w:rsidRPr="00576D60">
              <w:t xml:space="preserve">Sch 1: 9 Mar 2019 (s 2(1) </w:t>
            </w:r>
            <w:r>
              <w:t>item 1</w:t>
            </w:r>
            <w:r w:rsidRPr="00576D60">
              <w:t>)</w:t>
            </w:r>
          </w:p>
        </w:tc>
        <w:tc>
          <w:tcPr>
            <w:tcW w:w="1110" w:type="pct"/>
            <w:tcBorders>
              <w:top w:val="single" w:sz="4" w:space="0" w:color="auto"/>
              <w:bottom w:val="single" w:sz="4" w:space="0" w:color="auto"/>
            </w:tcBorders>
            <w:shd w:val="clear" w:color="auto" w:fill="auto"/>
          </w:tcPr>
          <w:p w14:paraId="04DBF1FC" w14:textId="77777777" w:rsidR="00E93F58" w:rsidRPr="00576D60" w:rsidRDefault="00E93F58" w:rsidP="002F32E3">
            <w:pPr>
              <w:pStyle w:val="ENoteTableText"/>
            </w:pPr>
            <w:r w:rsidRPr="00576D60">
              <w:t>—</w:t>
            </w:r>
          </w:p>
        </w:tc>
      </w:tr>
      <w:tr w:rsidR="00E93F58" w:rsidRPr="00576D60" w14:paraId="14325BE7" w14:textId="77777777" w:rsidTr="003D209B">
        <w:trPr>
          <w:cantSplit/>
        </w:trPr>
        <w:tc>
          <w:tcPr>
            <w:tcW w:w="1270" w:type="pct"/>
            <w:tcBorders>
              <w:top w:val="single" w:sz="4" w:space="0" w:color="auto"/>
              <w:bottom w:val="single" w:sz="4" w:space="0" w:color="auto"/>
            </w:tcBorders>
            <w:shd w:val="clear" w:color="auto" w:fill="auto"/>
          </w:tcPr>
          <w:p w14:paraId="7ADB09A6" w14:textId="77777777" w:rsidR="00E93F58" w:rsidRPr="00576D60" w:rsidRDefault="00E93F58" w:rsidP="002F32E3">
            <w:pPr>
              <w:pStyle w:val="ENoteTableText"/>
              <w:rPr>
                <w:color w:val="000000"/>
              </w:rPr>
            </w:pPr>
            <w:r w:rsidRPr="00576D60">
              <w:rPr>
                <w:color w:val="000000"/>
              </w:rPr>
              <w:t xml:space="preserve">Treasury Laws Amendment (Professional Standards Schemes)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400E2BBA" w14:textId="77777777" w:rsidR="00E93F58" w:rsidRPr="00576D60" w:rsidRDefault="00E93F58" w:rsidP="002F32E3">
            <w:pPr>
              <w:pStyle w:val="ENoteTableText"/>
            </w:pPr>
            <w:r w:rsidRPr="00576D60">
              <w:t>25 Mar 2019 (F2019L00368)</w:t>
            </w:r>
          </w:p>
        </w:tc>
        <w:tc>
          <w:tcPr>
            <w:tcW w:w="1495" w:type="pct"/>
            <w:tcBorders>
              <w:top w:val="single" w:sz="4" w:space="0" w:color="auto"/>
              <w:bottom w:val="single" w:sz="4" w:space="0" w:color="auto"/>
            </w:tcBorders>
            <w:shd w:val="clear" w:color="auto" w:fill="auto"/>
          </w:tcPr>
          <w:p w14:paraId="7AB05350" w14:textId="77777777" w:rsidR="00E93F58" w:rsidRPr="00576D60" w:rsidRDefault="00E93F58" w:rsidP="002F32E3">
            <w:pPr>
              <w:pStyle w:val="ENoteTableText"/>
            </w:pPr>
            <w:r w:rsidRPr="00576D60">
              <w:t xml:space="preserve">Sch 1 (items 21–27): 26 Mar 2019 (s 2(1) </w:t>
            </w:r>
            <w:r>
              <w:t>item 1</w:t>
            </w:r>
            <w:r w:rsidRPr="00576D60">
              <w:t>)</w:t>
            </w:r>
          </w:p>
        </w:tc>
        <w:tc>
          <w:tcPr>
            <w:tcW w:w="1110" w:type="pct"/>
            <w:tcBorders>
              <w:top w:val="single" w:sz="4" w:space="0" w:color="auto"/>
              <w:bottom w:val="single" w:sz="4" w:space="0" w:color="auto"/>
            </w:tcBorders>
            <w:shd w:val="clear" w:color="auto" w:fill="auto"/>
          </w:tcPr>
          <w:p w14:paraId="59790E9C" w14:textId="77777777" w:rsidR="00E93F58" w:rsidRPr="00576D60" w:rsidRDefault="00E93F58" w:rsidP="002F32E3">
            <w:pPr>
              <w:pStyle w:val="ENoteTableText"/>
            </w:pPr>
            <w:r w:rsidRPr="00576D60">
              <w:t>—</w:t>
            </w:r>
          </w:p>
        </w:tc>
      </w:tr>
      <w:tr w:rsidR="00E93F58" w:rsidRPr="00576D60" w14:paraId="6A1BB5E5" w14:textId="77777777" w:rsidTr="003D209B">
        <w:trPr>
          <w:cantSplit/>
        </w:trPr>
        <w:tc>
          <w:tcPr>
            <w:tcW w:w="1270" w:type="pct"/>
            <w:tcBorders>
              <w:top w:val="single" w:sz="4" w:space="0" w:color="auto"/>
              <w:bottom w:val="single" w:sz="4" w:space="0" w:color="auto"/>
            </w:tcBorders>
            <w:shd w:val="clear" w:color="auto" w:fill="auto"/>
          </w:tcPr>
          <w:p w14:paraId="6AFC6F9A" w14:textId="77777777" w:rsidR="00E93F58" w:rsidRPr="00576D60" w:rsidRDefault="00E93F58" w:rsidP="002F32E3">
            <w:pPr>
              <w:pStyle w:val="ENoteTableText"/>
              <w:rPr>
                <w:color w:val="000000"/>
              </w:rPr>
            </w:pPr>
            <w:r w:rsidRPr="00576D60">
              <w:rPr>
                <w:color w:val="000000"/>
              </w:rPr>
              <w:t xml:space="preserve">Treasury Laws Amendment (Transition of Chi–X to National Guarantee Fund)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71525A1B" w14:textId="77777777" w:rsidR="00E93F58" w:rsidRPr="00576D60" w:rsidRDefault="00E93F58" w:rsidP="002F32E3">
            <w:pPr>
              <w:pStyle w:val="ENoteTableText"/>
            </w:pPr>
            <w:r w:rsidRPr="00576D60">
              <w:t>25 Mar 2019 (F2019L00374)</w:t>
            </w:r>
          </w:p>
        </w:tc>
        <w:tc>
          <w:tcPr>
            <w:tcW w:w="1495" w:type="pct"/>
            <w:tcBorders>
              <w:top w:val="single" w:sz="4" w:space="0" w:color="auto"/>
              <w:bottom w:val="single" w:sz="4" w:space="0" w:color="auto"/>
            </w:tcBorders>
            <w:shd w:val="clear" w:color="auto" w:fill="auto"/>
          </w:tcPr>
          <w:p w14:paraId="7F57C50D" w14:textId="77777777" w:rsidR="00E93F58" w:rsidRPr="00576D60" w:rsidRDefault="00E93F58" w:rsidP="002F32E3">
            <w:pPr>
              <w:pStyle w:val="ENoteTableText"/>
            </w:pPr>
            <w:r w:rsidRPr="00576D60">
              <w:t xml:space="preserve">26 Mar 2019 (s 2(1) </w:t>
            </w:r>
            <w:r>
              <w:t>item 1</w:t>
            </w:r>
            <w:r w:rsidRPr="00576D60">
              <w:t>)</w:t>
            </w:r>
          </w:p>
        </w:tc>
        <w:tc>
          <w:tcPr>
            <w:tcW w:w="1110" w:type="pct"/>
            <w:tcBorders>
              <w:top w:val="single" w:sz="4" w:space="0" w:color="auto"/>
              <w:bottom w:val="single" w:sz="4" w:space="0" w:color="auto"/>
            </w:tcBorders>
            <w:shd w:val="clear" w:color="auto" w:fill="auto"/>
          </w:tcPr>
          <w:p w14:paraId="652F7EAE" w14:textId="77777777" w:rsidR="00E93F58" w:rsidRPr="00576D60" w:rsidRDefault="00E93F58" w:rsidP="002F32E3">
            <w:pPr>
              <w:pStyle w:val="ENoteTableText"/>
            </w:pPr>
            <w:r w:rsidRPr="00576D60">
              <w:t>—</w:t>
            </w:r>
          </w:p>
        </w:tc>
      </w:tr>
      <w:tr w:rsidR="00E93F58" w:rsidRPr="00576D60" w14:paraId="2F82327C" w14:textId="77777777" w:rsidTr="003D209B">
        <w:trPr>
          <w:cantSplit/>
        </w:trPr>
        <w:tc>
          <w:tcPr>
            <w:tcW w:w="1270" w:type="pct"/>
            <w:tcBorders>
              <w:top w:val="single" w:sz="4" w:space="0" w:color="auto"/>
              <w:bottom w:val="single" w:sz="4" w:space="0" w:color="auto"/>
            </w:tcBorders>
            <w:shd w:val="clear" w:color="auto" w:fill="auto"/>
          </w:tcPr>
          <w:p w14:paraId="441E067B" w14:textId="77777777" w:rsidR="00E93F58" w:rsidRPr="00576D60" w:rsidRDefault="00E93F58" w:rsidP="002F32E3">
            <w:pPr>
              <w:pStyle w:val="ENoteTableText"/>
              <w:rPr>
                <w:color w:val="000000"/>
              </w:rPr>
            </w:pPr>
            <w:r w:rsidRPr="00576D60">
              <w:rPr>
                <w:color w:val="000000"/>
              </w:rPr>
              <w:t xml:space="preserve">Treasury Laws Amendment (Strengthening Corporate and Financial Sector Penalties)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4EEB72ED" w14:textId="77777777" w:rsidR="00E93F58" w:rsidRPr="00576D60" w:rsidRDefault="00E93F58" w:rsidP="002F32E3">
            <w:pPr>
              <w:pStyle w:val="ENoteTableText"/>
            </w:pPr>
            <w:r w:rsidRPr="00576D60">
              <w:t>25 Mar 2019 (F2019L00392)</w:t>
            </w:r>
          </w:p>
        </w:tc>
        <w:tc>
          <w:tcPr>
            <w:tcW w:w="1495" w:type="pct"/>
            <w:tcBorders>
              <w:top w:val="single" w:sz="4" w:space="0" w:color="auto"/>
              <w:bottom w:val="single" w:sz="4" w:space="0" w:color="auto"/>
            </w:tcBorders>
            <w:shd w:val="clear" w:color="auto" w:fill="auto"/>
          </w:tcPr>
          <w:p w14:paraId="39A4CA8F" w14:textId="77777777" w:rsidR="00E93F58" w:rsidRPr="00576D60" w:rsidRDefault="00E93F58" w:rsidP="002F32E3">
            <w:pPr>
              <w:pStyle w:val="ENoteTableText"/>
            </w:pPr>
            <w:r w:rsidRPr="00576D60">
              <w:t>Sch 1 (</w:t>
            </w:r>
            <w:r>
              <w:t>items 1</w:t>
            </w:r>
            <w:r w:rsidRPr="00576D60">
              <w:t xml:space="preserve">–40): 26 Mar 2019 (s 2(1) </w:t>
            </w:r>
            <w:r>
              <w:t>item 2</w:t>
            </w:r>
            <w:r w:rsidRPr="00576D60">
              <w:t>)</w:t>
            </w:r>
          </w:p>
        </w:tc>
        <w:tc>
          <w:tcPr>
            <w:tcW w:w="1110" w:type="pct"/>
            <w:tcBorders>
              <w:top w:val="single" w:sz="4" w:space="0" w:color="auto"/>
              <w:bottom w:val="single" w:sz="4" w:space="0" w:color="auto"/>
            </w:tcBorders>
            <w:shd w:val="clear" w:color="auto" w:fill="auto"/>
          </w:tcPr>
          <w:p w14:paraId="01FBAF56" w14:textId="77777777" w:rsidR="00E93F58" w:rsidRPr="00576D60" w:rsidRDefault="00E93F58" w:rsidP="002F32E3">
            <w:pPr>
              <w:pStyle w:val="ENoteTableText"/>
            </w:pPr>
            <w:r w:rsidRPr="00576D60">
              <w:t>—</w:t>
            </w:r>
          </w:p>
        </w:tc>
      </w:tr>
      <w:tr w:rsidR="00E93F58" w:rsidRPr="00576D60" w14:paraId="0DD076BB" w14:textId="77777777" w:rsidTr="003D209B">
        <w:trPr>
          <w:cantSplit/>
        </w:trPr>
        <w:tc>
          <w:tcPr>
            <w:tcW w:w="1270" w:type="pct"/>
            <w:tcBorders>
              <w:top w:val="single" w:sz="4" w:space="0" w:color="auto"/>
              <w:bottom w:val="single" w:sz="4" w:space="0" w:color="auto"/>
            </w:tcBorders>
            <w:shd w:val="clear" w:color="auto" w:fill="auto"/>
          </w:tcPr>
          <w:p w14:paraId="30D79A63" w14:textId="77777777" w:rsidR="00E93F58" w:rsidRPr="00576D60" w:rsidRDefault="00E93F58" w:rsidP="002F32E3">
            <w:pPr>
              <w:pStyle w:val="ENoteTableText"/>
              <w:rPr>
                <w:color w:val="000000"/>
              </w:rPr>
            </w:pPr>
            <w:r w:rsidRPr="00576D60">
              <w:rPr>
                <w:color w:val="000000"/>
              </w:rPr>
              <w:t xml:space="preserve">Treasury Laws Amendment (AFCA Cooperation)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5A4AA28D" w14:textId="77777777" w:rsidR="00E93F58" w:rsidRPr="00576D60" w:rsidRDefault="00E93F58" w:rsidP="002F32E3">
            <w:pPr>
              <w:pStyle w:val="ENoteTableText"/>
            </w:pPr>
            <w:r w:rsidRPr="00576D60">
              <w:t>5 Apr 2019 (F2019L00537)</w:t>
            </w:r>
          </w:p>
        </w:tc>
        <w:tc>
          <w:tcPr>
            <w:tcW w:w="1495" w:type="pct"/>
            <w:tcBorders>
              <w:top w:val="single" w:sz="4" w:space="0" w:color="auto"/>
              <w:bottom w:val="single" w:sz="4" w:space="0" w:color="auto"/>
            </w:tcBorders>
            <w:shd w:val="clear" w:color="auto" w:fill="auto"/>
          </w:tcPr>
          <w:p w14:paraId="7C4AEC36" w14:textId="77777777" w:rsidR="00E93F58" w:rsidRPr="00576D60" w:rsidRDefault="00E93F58" w:rsidP="002F32E3">
            <w:pPr>
              <w:pStyle w:val="ENoteTableText"/>
            </w:pPr>
            <w:r w:rsidRPr="00576D60">
              <w:t>Sch 1 (</w:t>
            </w:r>
            <w:r>
              <w:t>items 1</w:t>
            </w:r>
            <w:r w:rsidRPr="00576D60">
              <w:t xml:space="preserve">–3): 6 Apr 2019 (s 2(1) </w:t>
            </w:r>
            <w:r>
              <w:t>item 1</w:t>
            </w:r>
            <w:r w:rsidRPr="00576D60">
              <w:t>)</w:t>
            </w:r>
          </w:p>
        </w:tc>
        <w:tc>
          <w:tcPr>
            <w:tcW w:w="1110" w:type="pct"/>
            <w:tcBorders>
              <w:top w:val="single" w:sz="4" w:space="0" w:color="auto"/>
              <w:bottom w:val="single" w:sz="4" w:space="0" w:color="auto"/>
            </w:tcBorders>
            <w:shd w:val="clear" w:color="auto" w:fill="auto"/>
          </w:tcPr>
          <w:p w14:paraId="6154D085" w14:textId="77777777" w:rsidR="00E93F58" w:rsidRPr="00576D60" w:rsidRDefault="00E93F58" w:rsidP="002F32E3">
            <w:pPr>
              <w:pStyle w:val="ENoteTableText"/>
            </w:pPr>
            <w:r w:rsidRPr="00576D60">
              <w:t>—</w:t>
            </w:r>
          </w:p>
        </w:tc>
      </w:tr>
      <w:tr w:rsidR="00E93F58" w:rsidRPr="00576D60" w14:paraId="1E2593DE" w14:textId="77777777" w:rsidTr="003D209B">
        <w:trPr>
          <w:cantSplit/>
        </w:trPr>
        <w:tc>
          <w:tcPr>
            <w:tcW w:w="1270" w:type="pct"/>
            <w:tcBorders>
              <w:top w:val="single" w:sz="4" w:space="0" w:color="auto"/>
              <w:bottom w:val="single" w:sz="4" w:space="0" w:color="auto"/>
            </w:tcBorders>
            <w:shd w:val="clear" w:color="auto" w:fill="auto"/>
          </w:tcPr>
          <w:p w14:paraId="11679371" w14:textId="77777777" w:rsidR="00E93F58" w:rsidRPr="00576D60" w:rsidRDefault="00E93F58" w:rsidP="002F32E3">
            <w:pPr>
              <w:pStyle w:val="ENoteTableText"/>
              <w:rPr>
                <w:color w:val="000000"/>
              </w:rPr>
            </w:pPr>
            <w:r w:rsidRPr="00576D60">
              <w:rPr>
                <w:color w:val="000000"/>
              </w:rPr>
              <w:t xml:space="preserve">Corporations Amendment (Proprietary Company Thresholds)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4D900FAC" w14:textId="77777777" w:rsidR="00E93F58" w:rsidRPr="00576D60" w:rsidRDefault="00E93F58" w:rsidP="002F32E3">
            <w:pPr>
              <w:pStyle w:val="ENoteTableText"/>
            </w:pPr>
            <w:r w:rsidRPr="00576D60">
              <w:t>5 Apr 2019 (F2019L00538)</w:t>
            </w:r>
          </w:p>
        </w:tc>
        <w:tc>
          <w:tcPr>
            <w:tcW w:w="1495" w:type="pct"/>
            <w:tcBorders>
              <w:top w:val="single" w:sz="4" w:space="0" w:color="auto"/>
              <w:bottom w:val="single" w:sz="4" w:space="0" w:color="auto"/>
            </w:tcBorders>
            <w:shd w:val="clear" w:color="auto" w:fill="auto"/>
          </w:tcPr>
          <w:p w14:paraId="2AB6071D" w14:textId="77777777" w:rsidR="00E93F58" w:rsidRPr="00576D60" w:rsidRDefault="00E93F58" w:rsidP="002F32E3">
            <w:pPr>
              <w:pStyle w:val="ENoteTableText"/>
            </w:pPr>
            <w:r w:rsidRPr="00576D60">
              <w:t xml:space="preserve">1 July 2019 (s 2(1) </w:t>
            </w:r>
            <w:r>
              <w:t>item 1</w:t>
            </w:r>
            <w:r w:rsidRPr="00576D60">
              <w:t>)</w:t>
            </w:r>
          </w:p>
        </w:tc>
        <w:tc>
          <w:tcPr>
            <w:tcW w:w="1110" w:type="pct"/>
            <w:tcBorders>
              <w:top w:val="single" w:sz="4" w:space="0" w:color="auto"/>
              <w:bottom w:val="single" w:sz="4" w:space="0" w:color="auto"/>
            </w:tcBorders>
            <w:shd w:val="clear" w:color="auto" w:fill="auto"/>
          </w:tcPr>
          <w:p w14:paraId="243B9DE8" w14:textId="77777777" w:rsidR="00E93F58" w:rsidRPr="00576D60" w:rsidRDefault="00E93F58" w:rsidP="002F32E3">
            <w:pPr>
              <w:pStyle w:val="ENoteTableText"/>
            </w:pPr>
            <w:r w:rsidRPr="00576D60">
              <w:t>—</w:t>
            </w:r>
          </w:p>
        </w:tc>
      </w:tr>
      <w:tr w:rsidR="00E93F58" w:rsidRPr="00576D60" w14:paraId="345B45C0" w14:textId="77777777" w:rsidTr="003D209B">
        <w:trPr>
          <w:cantSplit/>
        </w:trPr>
        <w:tc>
          <w:tcPr>
            <w:tcW w:w="1270" w:type="pct"/>
            <w:tcBorders>
              <w:top w:val="single" w:sz="4" w:space="0" w:color="auto"/>
              <w:bottom w:val="single" w:sz="4" w:space="0" w:color="auto"/>
            </w:tcBorders>
            <w:shd w:val="clear" w:color="auto" w:fill="auto"/>
          </w:tcPr>
          <w:p w14:paraId="22A6632C" w14:textId="77777777" w:rsidR="00E93F58" w:rsidRPr="00576D60" w:rsidRDefault="00E93F58" w:rsidP="002F32E3">
            <w:pPr>
              <w:pStyle w:val="ENoteTableText"/>
              <w:rPr>
                <w:color w:val="000000"/>
              </w:rPr>
            </w:pPr>
            <w:r w:rsidRPr="00576D60">
              <w:rPr>
                <w:color w:val="000000"/>
              </w:rPr>
              <w:t xml:space="preserve">Treasury Laws Amendment (Protecting Your Superannuation Package) </w:t>
            </w:r>
            <w:r>
              <w:rPr>
                <w:color w:val="000000"/>
              </w:rPr>
              <w:t>Regulations 2</w:t>
            </w:r>
            <w:r w:rsidRPr="00576D60">
              <w:rPr>
                <w:color w:val="000000"/>
              </w:rPr>
              <w:t>019</w:t>
            </w:r>
          </w:p>
        </w:tc>
        <w:tc>
          <w:tcPr>
            <w:tcW w:w="1125" w:type="pct"/>
            <w:tcBorders>
              <w:top w:val="single" w:sz="4" w:space="0" w:color="auto"/>
              <w:bottom w:val="single" w:sz="4" w:space="0" w:color="auto"/>
            </w:tcBorders>
            <w:shd w:val="clear" w:color="auto" w:fill="auto"/>
          </w:tcPr>
          <w:p w14:paraId="64375950" w14:textId="77777777" w:rsidR="00E93F58" w:rsidRPr="00576D60" w:rsidRDefault="00E93F58" w:rsidP="002F32E3">
            <w:pPr>
              <w:pStyle w:val="ENoteTableText"/>
            </w:pPr>
            <w:r w:rsidRPr="00576D60">
              <w:t>5 Apr 2019 (F2019L00539)</w:t>
            </w:r>
          </w:p>
        </w:tc>
        <w:tc>
          <w:tcPr>
            <w:tcW w:w="1495" w:type="pct"/>
            <w:tcBorders>
              <w:top w:val="single" w:sz="4" w:space="0" w:color="auto"/>
              <w:bottom w:val="single" w:sz="4" w:space="0" w:color="auto"/>
            </w:tcBorders>
            <w:shd w:val="clear" w:color="auto" w:fill="auto"/>
          </w:tcPr>
          <w:p w14:paraId="3A6A3318" w14:textId="77777777" w:rsidR="00E93F58" w:rsidRPr="00576D60" w:rsidRDefault="00E93F58" w:rsidP="002F32E3">
            <w:pPr>
              <w:pStyle w:val="ENoteTableText"/>
            </w:pPr>
            <w:r w:rsidRPr="00576D60">
              <w:t>Sch 1 (</w:t>
            </w:r>
            <w:r>
              <w:t>items 1</w:t>
            </w:r>
            <w:r w:rsidRPr="00576D60">
              <w:t xml:space="preserve">–28): 6 Apr 2019 (s 2(1) </w:t>
            </w:r>
            <w:r>
              <w:t>item 1</w:t>
            </w:r>
            <w:r w:rsidRPr="00576D60">
              <w:t>)</w:t>
            </w:r>
          </w:p>
        </w:tc>
        <w:tc>
          <w:tcPr>
            <w:tcW w:w="1110" w:type="pct"/>
            <w:tcBorders>
              <w:top w:val="single" w:sz="4" w:space="0" w:color="auto"/>
              <w:bottom w:val="single" w:sz="4" w:space="0" w:color="auto"/>
            </w:tcBorders>
            <w:shd w:val="clear" w:color="auto" w:fill="auto"/>
          </w:tcPr>
          <w:p w14:paraId="1737022D" w14:textId="77777777" w:rsidR="00E93F58" w:rsidRPr="00576D60" w:rsidRDefault="00E93F58" w:rsidP="002F32E3">
            <w:pPr>
              <w:pStyle w:val="ENoteTableText"/>
            </w:pPr>
            <w:r w:rsidRPr="00576D60">
              <w:t>—</w:t>
            </w:r>
          </w:p>
        </w:tc>
      </w:tr>
      <w:tr w:rsidR="00E93F58" w:rsidRPr="00576D60" w14:paraId="0092E8FA" w14:textId="77777777" w:rsidTr="003D209B">
        <w:trPr>
          <w:cantSplit/>
        </w:trPr>
        <w:tc>
          <w:tcPr>
            <w:tcW w:w="1270" w:type="pct"/>
            <w:tcBorders>
              <w:top w:val="single" w:sz="4" w:space="0" w:color="auto"/>
              <w:bottom w:val="single" w:sz="4" w:space="0" w:color="auto"/>
            </w:tcBorders>
            <w:shd w:val="clear" w:color="auto" w:fill="auto"/>
          </w:tcPr>
          <w:p w14:paraId="2C8FA294" w14:textId="77777777" w:rsidR="00E93F58" w:rsidRPr="00576D60" w:rsidRDefault="00E93F58" w:rsidP="002F32E3">
            <w:pPr>
              <w:pStyle w:val="ENoteTableText"/>
              <w:rPr>
                <w:color w:val="000000"/>
              </w:rPr>
            </w:pPr>
            <w:r w:rsidRPr="00576D60">
              <w:rPr>
                <w:noProof/>
              </w:rPr>
              <w:t xml:space="preserve">Treasury Laws Amendment (Professional Standards Schemes No. 2) </w:t>
            </w:r>
            <w:r>
              <w:rPr>
                <w:noProof/>
              </w:rPr>
              <w:t>Regulations 2</w:t>
            </w:r>
            <w:r w:rsidRPr="00576D60">
              <w:rPr>
                <w:noProof/>
              </w:rPr>
              <w:t>019</w:t>
            </w:r>
          </w:p>
        </w:tc>
        <w:tc>
          <w:tcPr>
            <w:tcW w:w="1125" w:type="pct"/>
            <w:tcBorders>
              <w:top w:val="single" w:sz="4" w:space="0" w:color="auto"/>
              <w:bottom w:val="single" w:sz="4" w:space="0" w:color="auto"/>
            </w:tcBorders>
            <w:shd w:val="clear" w:color="auto" w:fill="auto"/>
          </w:tcPr>
          <w:p w14:paraId="1D5CDAB7" w14:textId="77777777" w:rsidR="00E93F58" w:rsidRPr="00576D60" w:rsidRDefault="00E93F58" w:rsidP="002F32E3">
            <w:pPr>
              <w:pStyle w:val="ENoteTableText"/>
            </w:pPr>
            <w:r w:rsidRPr="00576D60">
              <w:t>21 Oct 2019 (F2019L01351)</w:t>
            </w:r>
          </w:p>
        </w:tc>
        <w:tc>
          <w:tcPr>
            <w:tcW w:w="1495" w:type="pct"/>
            <w:tcBorders>
              <w:top w:val="single" w:sz="4" w:space="0" w:color="auto"/>
              <w:bottom w:val="single" w:sz="4" w:space="0" w:color="auto"/>
            </w:tcBorders>
            <w:shd w:val="clear" w:color="auto" w:fill="auto"/>
          </w:tcPr>
          <w:p w14:paraId="0E3F54E2" w14:textId="77777777" w:rsidR="00E93F58" w:rsidRPr="00576D60" w:rsidRDefault="00E93F58" w:rsidP="002F32E3">
            <w:pPr>
              <w:pStyle w:val="ENoteTableText"/>
            </w:pPr>
            <w:r w:rsidRPr="00576D60">
              <w:t xml:space="preserve">Sch 1 (items 26–36): 22 Oct 2019 (s 2(1) </w:t>
            </w:r>
            <w:r>
              <w:t>item 1</w:t>
            </w:r>
            <w:r w:rsidRPr="00576D60">
              <w:t>)</w:t>
            </w:r>
          </w:p>
        </w:tc>
        <w:tc>
          <w:tcPr>
            <w:tcW w:w="1110" w:type="pct"/>
            <w:tcBorders>
              <w:top w:val="single" w:sz="4" w:space="0" w:color="auto"/>
              <w:bottom w:val="single" w:sz="4" w:space="0" w:color="auto"/>
            </w:tcBorders>
            <w:shd w:val="clear" w:color="auto" w:fill="auto"/>
          </w:tcPr>
          <w:p w14:paraId="2EA810A2" w14:textId="77777777" w:rsidR="00E93F58" w:rsidRPr="00576D60" w:rsidRDefault="00E93F58" w:rsidP="002F32E3">
            <w:pPr>
              <w:pStyle w:val="ENoteTableText"/>
            </w:pPr>
            <w:r w:rsidRPr="00576D60">
              <w:t>—</w:t>
            </w:r>
          </w:p>
        </w:tc>
      </w:tr>
      <w:tr w:rsidR="00E93F58" w:rsidRPr="00576D60" w14:paraId="558CA79A" w14:textId="77777777" w:rsidTr="003D209B">
        <w:trPr>
          <w:cantSplit/>
        </w:trPr>
        <w:tc>
          <w:tcPr>
            <w:tcW w:w="1270" w:type="pct"/>
            <w:tcBorders>
              <w:top w:val="single" w:sz="4" w:space="0" w:color="auto"/>
              <w:bottom w:val="single" w:sz="4" w:space="0" w:color="auto"/>
            </w:tcBorders>
            <w:shd w:val="clear" w:color="auto" w:fill="auto"/>
          </w:tcPr>
          <w:p w14:paraId="1F00754C" w14:textId="77777777" w:rsidR="00E93F58" w:rsidRPr="00576D60" w:rsidRDefault="00E93F58" w:rsidP="002F32E3">
            <w:pPr>
              <w:pStyle w:val="ENoteTableText"/>
              <w:rPr>
                <w:noProof/>
              </w:rPr>
            </w:pPr>
            <w:r w:rsidRPr="00576D60">
              <w:rPr>
                <w:noProof/>
              </w:rPr>
              <w:t xml:space="preserve">Corporations Amendment (National Guarantee Fund Payments) </w:t>
            </w:r>
            <w:r>
              <w:rPr>
                <w:noProof/>
              </w:rPr>
              <w:t>Regulations 2</w:t>
            </w:r>
            <w:r w:rsidRPr="00576D60">
              <w:rPr>
                <w:noProof/>
              </w:rPr>
              <w:t>019</w:t>
            </w:r>
          </w:p>
        </w:tc>
        <w:tc>
          <w:tcPr>
            <w:tcW w:w="1125" w:type="pct"/>
            <w:tcBorders>
              <w:top w:val="single" w:sz="4" w:space="0" w:color="auto"/>
              <w:bottom w:val="single" w:sz="4" w:space="0" w:color="auto"/>
            </w:tcBorders>
            <w:shd w:val="clear" w:color="auto" w:fill="auto"/>
          </w:tcPr>
          <w:p w14:paraId="6FA09A1B" w14:textId="77777777" w:rsidR="00E93F58" w:rsidRPr="00576D60" w:rsidRDefault="00E93F58" w:rsidP="002F32E3">
            <w:pPr>
              <w:pStyle w:val="ENoteTableText"/>
            </w:pPr>
            <w:r w:rsidRPr="00576D60">
              <w:t>18 Nov 2019 (F2019L01474)</w:t>
            </w:r>
          </w:p>
        </w:tc>
        <w:tc>
          <w:tcPr>
            <w:tcW w:w="1495" w:type="pct"/>
            <w:tcBorders>
              <w:top w:val="single" w:sz="4" w:space="0" w:color="auto"/>
              <w:bottom w:val="single" w:sz="4" w:space="0" w:color="auto"/>
            </w:tcBorders>
            <w:shd w:val="clear" w:color="auto" w:fill="auto"/>
          </w:tcPr>
          <w:p w14:paraId="7F44FDAC" w14:textId="77777777" w:rsidR="00E93F58" w:rsidRPr="00576D60" w:rsidRDefault="00E93F58" w:rsidP="002F32E3">
            <w:pPr>
              <w:pStyle w:val="ENoteTableText"/>
            </w:pPr>
            <w:r w:rsidRPr="00576D60">
              <w:t xml:space="preserve">19 Nov 2019 (s 2(1) </w:t>
            </w:r>
            <w:r>
              <w:t>item 1</w:t>
            </w:r>
            <w:r w:rsidRPr="00576D60">
              <w:t>)</w:t>
            </w:r>
          </w:p>
        </w:tc>
        <w:tc>
          <w:tcPr>
            <w:tcW w:w="1110" w:type="pct"/>
            <w:tcBorders>
              <w:top w:val="single" w:sz="4" w:space="0" w:color="auto"/>
              <w:bottom w:val="single" w:sz="4" w:space="0" w:color="auto"/>
            </w:tcBorders>
            <w:shd w:val="clear" w:color="auto" w:fill="auto"/>
          </w:tcPr>
          <w:p w14:paraId="14C49B76" w14:textId="77777777" w:rsidR="00E93F58" w:rsidRPr="00576D60" w:rsidRDefault="00E93F58" w:rsidP="002F32E3">
            <w:pPr>
              <w:pStyle w:val="ENoteTableText"/>
            </w:pPr>
            <w:r w:rsidRPr="00576D60">
              <w:t>—</w:t>
            </w:r>
          </w:p>
        </w:tc>
      </w:tr>
      <w:tr w:rsidR="00E93F58" w:rsidRPr="00576D60" w14:paraId="00BAC9A4" w14:textId="77777777" w:rsidTr="003D209B">
        <w:trPr>
          <w:cantSplit/>
        </w:trPr>
        <w:tc>
          <w:tcPr>
            <w:tcW w:w="1270" w:type="pct"/>
            <w:tcBorders>
              <w:top w:val="single" w:sz="4" w:space="0" w:color="auto"/>
              <w:bottom w:val="single" w:sz="4" w:space="0" w:color="auto"/>
            </w:tcBorders>
            <w:shd w:val="clear" w:color="auto" w:fill="auto"/>
          </w:tcPr>
          <w:p w14:paraId="10069F75" w14:textId="77777777" w:rsidR="00E93F58" w:rsidRPr="00576D60" w:rsidRDefault="00E93F58" w:rsidP="002F32E3">
            <w:pPr>
              <w:pStyle w:val="ENoteTableText"/>
              <w:rPr>
                <w:noProof/>
              </w:rPr>
            </w:pPr>
            <w:r w:rsidRPr="00576D60">
              <w:rPr>
                <w:noProof/>
              </w:rPr>
              <w:t xml:space="preserve">Treasury Laws Amendment (Ending Grandfathered Conflicted Remuneration) </w:t>
            </w:r>
            <w:r>
              <w:rPr>
                <w:noProof/>
              </w:rPr>
              <w:t>Regulations 2</w:t>
            </w:r>
            <w:r w:rsidRPr="00576D60">
              <w:rPr>
                <w:noProof/>
              </w:rPr>
              <w:t>019</w:t>
            </w:r>
          </w:p>
        </w:tc>
        <w:tc>
          <w:tcPr>
            <w:tcW w:w="1125" w:type="pct"/>
            <w:tcBorders>
              <w:top w:val="single" w:sz="4" w:space="0" w:color="auto"/>
              <w:bottom w:val="single" w:sz="4" w:space="0" w:color="auto"/>
            </w:tcBorders>
            <w:shd w:val="clear" w:color="auto" w:fill="auto"/>
          </w:tcPr>
          <w:p w14:paraId="691FFD2E" w14:textId="77777777" w:rsidR="00E93F58" w:rsidRPr="00576D60" w:rsidRDefault="00E93F58" w:rsidP="002F32E3">
            <w:pPr>
              <w:pStyle w:val="ENoteTableText"/>
            </w:pPr>
            <w:r w:rsidRPr="00576D60">
              <w:t>29 Nov 2019 (F2019L01526)</w:t>
            </w:r>
          </w:p>
        </w:tc>
        <w:tc>
          <w:tcPr>
            <w:tcW w:w="1495" w:type="pct"/>
            <w:tcBorders>
              <w:top w:val="single" w:sz="4" w:space="0" w:color="auto"/>
              <w:bottom w:val="single" w:sz="4" w:space="0" w:color="auto"/>
            </w:tcBorders>
            <w:shd w:val="clear" w:color="auto" w:fill="auto"/>
          </w:tcPr>
          <w:p w14:paraId="0B40B7F6" w14:textId="77777777" w:rsidR="00E93F58" w:rsidRPr="00576D60" w:rsidRDefault="00E93F58" w:rsidP="002F32E3">
            <w:pPr>
              <w:pStyle w:val="ENoteTableText"/>
            </w:pPr>
            <w:r w:rsidRPr="00576D60">
              <w:t xml:space="preserve">1 Jan 2021 (s 2(1) </w:t>
            </w:r>
            <w:r>
              <w:t>item 1</w:t>
            </w:r>
            <w:r w:rsidRPr="00576D60">
              <w:t>)</w:t>
            </w:r>
          </w:p>
        </w:tc>
        <w:tc>
          <w:tcPr>
            <w:tcW w:w="1110" w:type="pct"/>
            <w:tcBorders>
              <w:top w:val="single" w:sz="4" w:space="0" w:color="auto"/>
              <w:bottom w:val="single" w:sz="4" w:space="0" w:color="auto"/>
            </w:tcBorders>
            <w:shd w:val="clear" w:color="auto" w:fill="auto"/>
          </w:tcPr>
          <w:p w14:paraId="4CDE2192" w14:textId="77777777" w:rsidR="00E93F58" w:rsidRPr="00576D60" w:rsidRDefault="00E93F58" w:rsidP="002F32E3">
            <w:pPr>
              <w:pStyle w:val="ENoteTableText"/>
            </w:pPr>
            <w:r w:rsidRPr="00576D60">
              <w:t>—</w:t>
            </w:r>
          </w:p>
        </w:tc>
      </w:tr>
      <w:tr w:rsidR="00E93F58" w:rsidRPr="00576D60" w14:paraId="6B182B27" w14:textId="77777777" w:rsidTr="003D209B">
        <w:trPr>
          <w:cantSplit/>
        </w:trPr>
        <w:tc>
          <w:tcPr>
            <w:tcW w:w="1270" w:type="pct"/>
            <w:tcBorders>
              <w:top w:val="single" w:sz="4" w:space="0" w:color="auto"/>
              <w:bottom w:val="single" w:sz="4" w:space="0" w:color="auto"/>
            </w:tcBorders>
            <w:shd w:val="clear" w:color="auto" w:fill="auto"/>
          </w:tcPr>
          <w:p w14:paraId="18D645C3" w14:textId="77777777" w:rsidR="00E93F58" w:rsidRPr="00576D60" w:rsidRDefault="00E93F58" w:rsidP="002F32E3">
            <w:pPr>
              <w:pStyle w:val="ENoteTableText"/>
              <w:rPr>
                <w:noProof/>
              </w:rPr>
            </w:pPr>
            <w:r w:rsidRPr="00576D60">
              <w:t xml:space="preserve">Treasury Laws Amendment (Financial Services Improved Consumer Protection) (Funeral Expenses Facilities) </w:t>
            </w:r>
            <w:r>
              <w:t>Regulations 2</w:t>
            </w:r>
            <w:r w:rsidRPr="00576D60">
              <w:t>019</w:t>
            </w:r>
          </w:p>
        </w:tc>
        <w:tc>
          <w:tcPr>
            <w:tcW w:w="1125" w:type="pct"/>
            <w:tcBorders>
              <w:top w:val="single" w:sz="4" w:space="0" w:color="auto"/>
              <w:bottom w:val="single" w:sz="4" w:space="0" w:color="auto"/>
            </w:tcBorders>
            <w:shd w:val="clear" w:color="auto" w:fill="auto"/>
          </w:tcPr>
          <w:p w14:paraId="6F3F119F" w14:textId="77777777" w:rsidR="00E93F58" w:rsidRPr="00576D60" w:rsidRDefault="00E93F58" w:rsidP="002F32E3">
            <w:pPr>
              <w:pStyle w:val="ENoteTableText"/>
            </w:pPr>
            <w:r w:rsidRPr="00576D60">
              <w:t>29 Nov 2019 (F2019L01533)</w:t>
            </w:r>
          </w:p>
        </w:tc>
        <w:tc>
          <w:tcPr>
            <w:tcW w:w="1495" w:type="pct"/>
            <w:tcBorders>
              <w:top w:val="single" w:sz="4" w:space="0" w:color="auto"/>
              <w:bottom w:val="single" w:sz="4" w:space="0" w:color="auto"/>
            </w:tcBorders>
            <w:shd w:val="clear" w:color="auto" w:fill="auto"/>
          </w:tcPr>
          <w:p w14:paraId="6193E68D" w14:textId="77777777" w:rsidR="00E93F58" w:rsidRPr="00576D60" w:rsidRDefault="00E93F58" w:rsidP="002F32E3">
            <w:pPr>
              <w:pStyle w:val="ENoteTableText"/>
            </w:pPr>
            <w:r w:rsidRPr="00576D60">
              <w:t xml:space="preserve">1 Apr 2020 (s 2(1) </w:t>
            </w:r>
            <w:r>
              <w:t>item 1</w:t>
            </w:r>
            <w:r w:rsidRPr="00576D60">
              <w:t>)</w:t>
            </w:r>
          </w:p>
        </w:tc>
        <w:tc>
          <w:tcPr>
            <w:tcW w:w="1110" w:type="pct"/>
            <w:tcBorders>
              <w:top w:val="single" w:sz="4" w:space="0" w:color="auto"/>
              <w:bottom w:val="single" w:sz="4" w:space="0" w:color="auto"/>
            </w:tcBorders>
            <w:shd w:val="clear" w:color="auto" w:fill="auto"/>
          </w:tcPr>
          <w:p w14:paraId="0200931B" w14:textId="77777777" w:rsidR="00E93F58" w:rsidRPr="00576D60" w:rsidRDefault="00E93F58" w:rsidP="002F32E3">
            <w:pPr>
              <w:pStyle w:val="ENoteTableText"/>
            </w:pPr>
            <w:r w:rsidRPr="00576D60">
              <w:t>—</w:t>
            </w:r>
          </w:p>
        </w:tc>
      </w:tr>
      <w:tr w:rsidR="00E93F58" w:rsidRPr="00576D60" w14:paraId="23EE2DC2" w14:textId="77777777" w:rsidTr="003D209B">
        <w:trPr>
          <w:cantSplit/>
        </w:trPr>
        <w:tc>
          <w:tcPr>
            <w:tcW w:w="1270" w:type="pct"/>
            <w:tcBorders>
              <w:top w:val="single" w:sz="4" w:space="0" w:color="auto"/>
              <w:bottom w:val="single" w:sz="4" w:space="0" w:color="auto"/>
            </w:tcBorders>
            <w:shd w:val="clear" w:color="auto" w:fill="auto"/>
          </w:tcPr>
          <w:p w14:paraId="193C67CA" w14:textId="77777777" w:rsidR="00E93F58" w:rsidRPr="00576D60" w:rsidRDefault="00E93F58" w:rsidP="002F32E3">
            <w:pPr>
              <w:pStyle w:val="ENoteTableText"/>
            </w:pPr>
            <w:r w:rsidRPr="00576D60">
              <w:t xml:space="preserve">Corporations Amendment (Design and Distribution Obligations) </w:t>
            </w:r>
            <w:r>
              <w:t>Regulations 2</w:t>
            </w:r>
            <w:r w:rsidRPr="00576D60">
              <w:t>019</w:t>
            </w:r>
          </w:p>
        </w:tc>
        <w:tc>
          <w:tcPr>
            <w:tcW w:w="1125" w:type="pct"/>
            <w:tcBorders>
              <w:top w:val="single" w:sz="4" w:space="0" w:color="auto"/>
              <w:bottom w:val="single" w:sz="4" w:space="0" w:color="auto"/>
            </w:tcBorders>
            <w:shd w:val="clear" w:color="auto" w:fill="auto"/>
          </w:tcPr>
          <w:p w14:paraId="3D667B16" w14:textId="77777777" w:rsidR="00E93F58" w:rsidRPr="00576D60" w:rsidRDefault="00E93F58" w:rsidP="002F32E3">
            <w:pPr>
              <w:pStyle w:val="ENoteTableText"/>
            </w:pPr>
            <w:r w:rsidRPr="00576D60">
              <w:t>16 Dec 2019 (F2019L01626)</w:t>
            </w:r>
          </w:p>
        </w:tc>
        <w:tc>
          <w:tcPr>
            <w:tcW w:w="1495" w:type="pct"/>
            <w:tcBorders>
              <w:top w:val="single" w:sz="4" w:space="0" w:color="auto"/>
              <w:bottom w:val="single" w:sz="4" w:space="0" w:color="auto"/>
            </w:tcBorders>
            <w:shd w:val="clear" w:color="auto" w:fill="auto"/>
          </w:tcPr>
          <w:p w14:paraId="1F8CD881" w14:textId="77777777" w:rsidR="00E93F58" w:rsidRPr="00576D60" w:rsidRDefault="00E93F58" w:rsidP="002F32E3">
            <w:pPr>
              <w:pStyle w:val="ENoteTableText"/>
            </w:pPr>
            <w:r w:rsidRPr="00576D60">
              <w:t xml:space="preserve">5 Apr 2021 (s 2(1) </w:t>
            </w:r>
            <w:r>
              <w:t>item 1</w:t>
            </w:r>
            <w:r w:rsidRPr="00576D60">
              <w:t>)</w:t>
            </w:r>
          </w:p>
        </w:tc>
        <w:tc>
          <w:tcPr>
            <w:tcW w:w="1110" w:type="pct"/>
            <w:tcBorders>
              <w:top w:val="single" w:sz="4" w:space="0" w:color="auto"/>
              <w:bottom w:val="single" w:sz="4" w:space="0" w:color="auto"/>
            </w:tcBorders>
            <w:shd w:val="clear" w:color="auto" w:fill="auto"/>
          </w:tcPr>
          <w:p w14:paraId="795A9AB6" w14:textId="77777777" w:rsidR="00E93F58" w:rsidRPr="00576D60" w:rsidRDefault="00E93F58" w:rsidP="002F32E3">
            <w:pPr>
              <w:pStyle w:val="ENoteTableText"/>
            </w:pPr>
            <w:r w:rsidRPr="00576D60">
              <w:t>—</w:t>
            </w:r>
          </w:p>
        </w:tc>
      </w:tr>
      <w:tr w:rsidR="00E93F58" w:rsidRPr="00576D60" w14:paraId="58ED25D9" w14:textId="77777777" w:rsidTr="003D209B">
        <w:trPr>
          <w:cantSplit/>
        </w:trPr>
        <w:tc>
          <w:tcPr>
            <w:tcW w:w="1270" w:type="pct"/>
            <w:tcBorders>
              <w:top w:val="single" w:sz="4" w:space="0" w:color="auto"/>
              <w:bottom w:val="single" w:sz="4" w:space="0" w:color="auto"/>
            </w:tcBorders>
            <w:shd w:val="clear" w:color="auto" w:fill="auto"/>
          </w:tcPr>
          <w:p w14:paraId="035E25DA" w14:textId="77777777" w:rsidR="00E93F58" w:rsidRPr="00576D60" w:rsidRDefault="00E93F58" w:rsidP="002F32E3">
            <w:pPr>
              <w:pStyle w:val="ENoteTableText"/>
              <w:rPr>
                <w:noProof/>
              </w:rPr>
            </w:pPr>
            <w:r w:rsidRPr="00576D60">
              <w:rPr>
                <w:noProof/>
              </w:rPr>
              <w:t xml:space="preserve">Treasury Laws Amendment (Miscellaneous Amendments) </w:t>
            </w:r>
            <w:r>
              <w:rPr>
                <w:noProof/>
              </w:rPr>
              <w:t>Regulations 2</w:t>
            </w:r>
            <w:r w:rsidRPr="00576D60">
              <w:rPr>
                <w:noProof/>
              </w:rPr>
              <w:t>019</w:t>
            </w:r>
          </w:p>
        </w:tc>
        <w:tc>
          <w:tcPr>
            <w:tcW w:w="1125" w:type="pct"/>
            <w:tcBorders>
              <w:top w:val="single" w:sz="4" w:space="0" w:color="auto"/>
              <w:bottom w:val="single" w:sz="4" w:space="0" w:color="auto"/>
            </w:tcBorders>
            <w:shd w:val="clear" w:color="auto" w:fill="auto"/>
          </w:tcPr>
          <w:p w14:paraId="4DDEBC6A" w14:textId="77777777" w:rsidR="00E93F58" w:rsidRPr="00576D60" w:rsidRDefault="00E93F58" w:rsidP="002F32E3">
            <w:pPr>
              <w:pStyle w:val="ENoteTableText"/>
            </w:pPr>
            <w:r w:rsidRPr="00576D60">
              <w:t>17 Dec 2019 (F2019L01641)</w:t>
            </w:r>
          </w:p>
        </w:tc>
        <w:tc>
          <w:tcPr>
            <w:tcW w:w="1495" w:type="pct"/>
            <w:tcBorders>
              <w:top w:val="single" w:sz="4" w:space="0" w:color="auto"/>
              <w:bottom w:val="single" w:sz="4" w:space="0" w:color="auto"/>
            </w:tcBorders>
            <w:shd w:val="clear" w:color="auto" w:fill="auto"/>
          </w:tcPr>
          <w:p w14:paraId="74EF0C64" w14:textId="77777777" w:rsidR="00E93F58" w:rsidRPr="00576D60" w:rsidRDefault="00E93F58" w:rsidP="002F32E3">
            <w:pPr>
              <w:pStyle w:val="ENoteTableText"/>
            </w:pPr>
            <w:r w:rsidRPr="00576D60">
              <w:t xml:space="preserve">Sch 1 (items 2–24): 18 Dec 2019 (s 2(1) </w:t>
            </w:r>
            <w:r>
              <w:t>item 2</w:t>
            </w:r>
            <w:r w:rsidRPr="00576D60">
              <w:t>)</w:t>
            </w:r>
          </w:p>
        </w:tc>
        <w:tc>
          <w:tcPr>
            <w:tcW w:w="1110" w:type="pct"/>
            <w:tcBorders>
              <w:top w:val="single" w:sz="4" w:space="0" w:color="auto"/>
              <w:bottom w:val="single" w:sz="4" w:space="0" w:color="auto"/>
            </w:tcBorders>
            <w:shd w:val="clear" w:color="auto" w:fill="auto"/>
          </w:tcPr>
          <w:p w14:paraId="11BB4906" w14:textId="77777777" w:rsidR="00E93F58" w:rsidRPr="00576D60" w:rsidRDefault="00E93F58" w:rsidP="002F32E3">
            <w:pPr>
              <w:pStyle w:val="ENoteTableText"/>
            </w:pPr>
            <w:r w:rsidRPr="00576D60">
              <w:t>—</w:t>
            </w:r>
          </w:p>
        </w:tc>
      </w:tr>
      <w:tr w:rsidR="00E93F58" w:rsidRPr="00576D60" w14:paraId="77EDCD8D" w14:textId="77777777" w:rsidTr="003D209B">
        <w:trPr>
          <w:cantSplit/>
        </w:trPr>
        <w:tc>
          <w:tcPr>
            <w:tcW w:w="1270" w:type="pct"/>
            <w:tcBorders>
              <w:top w:val="single" w:sz="4" w:space="0" w:color="auto"/>
              <w:bottom w:val="single" w:sz="4" w:space="0" w:color="auto"/>
            </w:tcBorders>
            <w:shd w:val="clear" w:color="auto" w:fill="auto"/>
          </w:tcPr>
          <w:p w14:paraId="1CD1D84A" w14:textId="77777777" w:rsidR="00E93F58" w:rsidRPr="00576D60" w:rsidRDefault="00E93F58" w:rsidP="002F32E3">
            <w:pPr>
              <w:pStyle w:val="ENoteTableText"/>
              <w:rPr>
                <w:noProof/>
              </w:rPr>
            </w:pPr>
            <w:r w:rsidRPr="00576D60">
              <w:t xml:space="preserve">Treasury Laws Amendment (Professional Standards Schemes) </w:t>
            </w:r>
            <w:r>
              <w:t>Regulations 2</w:t>
            </w:r>
            <w:r w:rsidRPr="00576D60">
              <w:t>020</w:t>
            </w:r>
          </w:p>
        </w:tc>
        <w:tc>
          <w:tcPr>
            <w:tcW w:w="1125" w:type="pct"/>
            <w:tcBorders>
              <w:top w:val="single" w:sz="4" w:space="0" w:color="auto"/>
              <w:bottom w:val="single" w:sz="4" w:space="0" w:color="auto"/>
            </w:tcBorders>
            <w:shd w:val="clear" w:color="auto" w:fill="auto"/>
          </w:tcPr>
          <w:p w14:paraId="39635C49" w14:textId="77777777" w:rsidR="00E93F58" w:rsidRPr="00576D60" w:rsidRDefault="00E93F58" w:rsidP="002F32E3">
            <w:pPr>
              <w:pStyle w:val="ENoteTableText"/>
            </w:pPr>
            <w:r w:rsidRPr="00576D60">
              <w:t>12 June 2020 (F2020L00699)</w:t>
            </w:r>
          </w:p>
        </w:tc>
        <w:tc>
          <w:tcPr>
            <w:tcW w:w="1495" w:type="pct"/>
            <w:tcBorders>
              <w:top w:val="single" w:sz="4" w:space="0" w:color="auto"/>
              <w:bottom w:val="single" w:sz="4" w:space="0" w:color="auto"/>
            </w:tcBorders>
            <w:shd w:val="clear" w:color="auto" w:fill="auto"/>
          </w:tcPr>
          <w:p w14:paraId="33D82859" w14:textId="77777777" w:rsidR="00E93F58" w:rsidRPr="00576D60" w:rsidRDefault="00E93F58" w:rsidP="002F32E3">
            <w:pPr>
              <w:pStyle w:val="ENoteTableText"/>
            </w:pPr>
            <w:r w:rsidRPr="00576D60">
              <w:t>Sch 1 (</w:t>
            </w:r>
            <w:r>
              <w:t>items 1</w:t>
            </w:r>
            <w:r w:rsidRPr="00576D60">
              <w:t xml:space="preserve">2–16): 1 July 2020 (s 2(1) </w:t>
            </w:r>
            <w:r>
              <w:t>item 1</w:t>
            </w:r>
            <w:r w:rsidRPr="00576D60">
              <w:t>)</w:t>
            </w:r>
          </w:p>
        </w:tc>
        <w:tc>
          <w:tcPr>
            <w:tcW w:w="1110" w:type="pct"/>
            <w:tcBorders>
              <w:top w:val="single" w:sz="4" w:space="0" w:color="auto"/>
              <w:bottom w:val="single" w:sz="4" w:space="0" w:color="auto"/>
            </w:tcBorders>
            <w:shd w:val="clear" w:color="auto" w:fill="auto"/>
          </w:tcPr>
          <w:p w14:paraId="0690B148" w14:textId="77777777" w:rsidR="00E93F58" w:rsidRPr="00576D60" w:rsidRDefault="00E93F58" w:rsidP="002F32E3">
            <w:pPr>
              <w:pStyle w:val="ENoteTableText"/>
            </w:pPr>
            <w:r w:rsidRPr="00576D60">
              <w:t>—</w:t>
            </w:r>
          </w:p>
        </w:tc>
      </w:tr>
      <w:tr w:rsidR="00E93F58" w:rsidRPr="00576D60" w14:paraId="5A92706D" w14:textId="77777777" w:rsidTr="003D209B">
        <w:trPr>
          <w:cantSplit/>
        </w:trPr>
        <w:tc>
          <w:tcPr>
            <w:tcW w:w="1270" w:type="pct"/>
            <w:tcBorders>
              <w:top w:val="single" w:sz="4" w:space="0" w:color="auto"/>
              <w:bottom w:val="single" w:sz="4" w:space="0" w:color="auto"/>
            </w:tcBorders>
            <w:shd w:val="clear" w:color="auto" w:fill="auto"/>
          </w:tcPr>
          <w:p w14:paraId="78F3957A" w14:textId="77777777" w:rsidR="00E93F58" w:rsidRPr="00576D60" w:rsidRDefault="00E93F58" w:rsidP="002F32E3">
            <w:pPr>
              <w:pStyle w:val="ENoteTableText"/>
              <w:rPr>
                <w:noProof/>
              </w:rPr>
            </w:pPr>
            <w:r w:rsidRPr="00576D60">
              <w:t xml:space="preserve">Corporations Amendment (Stamping Fee Exemption) </w:t>
            </w:r>
            <w:r>
              <w:t>Regulations 2</w:t>
            </w:r>
            <w:r w:rsidRPr="00576D60">
              <w:t>020</w:t>
            </w:r>
          </w:p>
        </w:tc>
        <w:tc>
          <w:tcPr>
            <w:tcW w:w="1125" w:type="pct"/>
            <w:tcBorders>
              <w:top w:val="single" w:sz="4" w:space="0" w:color="auto"/>
              <w:bottom w:val="single" w:sz="4" w:space="0" w:color="auto"/>
            </w:tcBorders>
            <w:shd w:val="clear" w:color="auto" w:fill="auto"/>
          </w:tcPr>
          <w:p w14:paraId="33BA61E2" w14:textId="77777777" w:rsidR="00E93F58" w:rsidRPr="00576D60" w:rsidRDefault="00E93F58" w:rsidP="002F32E3">
            <w:pPr>
              <w:pStyle w:val="ENoteTableText"/>
            </w:pPr>
            <w:r w:rsidRPr="00576D60">
              <w:t>29 June 2020 (F2020L00834)</w:t>
            </w:r>
          </w:p>
        </w:tc>
        <w:tc>
          <w:tcPr>
            <w:tcW w:w="1495" w:type="pct"/>
            <w:tcBorders>
              <w:top w:val="single" w:sz="4" w:space="0" w:color="auto"/>
              <w:bottom w:val="single" w:sz="4" w:space="0" w:color="auto"/>
            </w:tcBorders>
            <w:shd w:val="clear" w:color="auto" w:fill="auto"/>
          </w:tcPr>
          <w:p w14:paraId="1049D89F" w14:textId="77777777" w:rsidR="00E93F58" w:rsidRPr="00576D60" w:rsidRDefault="00E93F58" w:rsidP="002F32E3">
            <w:pPr>
              <w:pStyle w:val="ENoteTableText"/>
            </w:pPr>
            <w:r w:rsidRPr="00576D60">
              <w:t xml:space="preserve">30 June 2020 (s 2(1) </w:t>
            </w:r>
            <w:r>
              <w:t>item 1</w:t>
            </w:r>
            <w:r w:rsidRPr="00576D60">
              <w:t>)</w:t>
            </w:r>
          </w:p>
        </w:tc>
        <w:tc>
          <w:tcPr>
            <w:tcW w:w="1110" w:type="pct"/>
            <w:tcBorders>
              <w:top w:val="single" w:sz="4" w:space="0" w:color="auto"/>
              <w:bottom w:val="single" w:sz="4" w:space="0" w:color="auto"/>
            </w:tcBorders>
            <w:shd w:val="clear" w:color="auto" w:fill="auto"/>
          </w:tcPr>
          <w:p w14:paraId="7C08041B" w14:textId="77777777" w:rsidR="00E93F58" w:rsidRPr="00576D60" w:rsidRDefault="00E93F58" w:rsidP="002F32E3">
            <w:pPr>
              <w:pStyle w:val="ENoteTableText"/>
            </w:pPr>
            <w:r w:rsidRPr="00576D60">
              <w:t>—</w:t>
            </w:r>
          </w:p>
        </w:tc>
      </w:tr>
      <w:tr w:rsidR="00E93F58" w:rsidRPr="00576D60" w14:paraId="4593269C" w14:textId="77777777" w:rsidTr="003D209B">
        <w:trPr>
          <w:cantSplit/>
        </w:trPr>
        <w:tc>
          <w:tcPr>
            <w:tcW w:w="1270" w:type="pct"/>
            <w:tcBorders>
              <w:top w:val="single" w:sz="4" w:space="0" w:color="auto"/>
              <w:bottom w:val="single" w:sz="4" w:space="0" w:color="auto"/>
            </w:tcBorders>
            <w:shd w:val="clear" w:color="auto" w:fill="auto"/>
          </w:tcPr>
          <w:p w14:paraId="3EEFDFBD" w14:textId="77777777" w:rsidR="00E93F58" w:rsidRPr="00576D60" w:rsidRDefault="00E93F58" w:rsidP="002F32E3">
            <w:pPr>
              <w:pStyle w:val="ENoteTableText"/>
            </w:pPr>
            <w:r w:rsidRPr="00576D60">
              <w:t xml:space="preserve">Corporations Amendment (Litigation Funding) </w:t>
            </w:r>
            <w:r>
              <w:t>Regulations 2</w:t>
            </w:r>
            <w:r w:rsidRPr="00576D60">
              <w:t>020</w:t>
            </w:r>
          </w:p>
        </w:tc>
        <w:tc>
          <w:tcPr>
            <w:tcW w:w="1125" w:type="pct"/>
            <w:tcBorders>
              <w:top w:val="single" w:sz="4" w:space="0" w:color="auto"/>
              <w:bottom w:val="single" w:sz="4" w:space="0" w:color="auto"/>
            </w:tcBorders>
            <w:shd w:val="clear" w:color="auto" w:fill="auto"/>
          </w:tcPr>
          <w:p w14:paraId="13671CD8" w14:textId="77777777" w:rsidR="00E93F58" w:rsidRPr="00576D60" w:rsidRDefault="00E93F58" w:rsidP="002F32E3">
            <w:pPr>
              <w:pStyle w:val="ENoteTableText"/>
            </w:pPr>
            <w:r w:rsidRPr="00576D60">
              <w:t>23 July 2020 (F2020L00942)</w:t>
            </w:r>
          </w:p>
        </w:tc>
        <w:tc>
          <w:tcPr>
            <w:tcW w:w="1495" w:type="pct"/>
            <w:tcBorders>
              <w:top w:val="single" w:sz="4" w:space="0" w:color="auto"/>
              <w:bottom w:val="single" w:sz="4" w:space="0" w:color="auto"/>
            </w:tcBorders>
            <w:shd w:val="clear" w:color="auto" w:fill="auto"/>
          </w:tcPr>
          <w:p w14:paraId="75CA535F" w14:textId="77777777" w:rsidR="00E93F58" w:rsidRPr="00576D60" w:rsidRDefault="00E93F58" w:rsidP="002F32E3">
            <w:pPr>
              <w:pStyle w:val="ENoteTableText"/>
            </w:pPr>
            <w:r w:rsidRPr="00576D60">
              <w:t xml:space="preserve">24 July 2020 (s 2(1) </w:t>
            </w:r>
            <w:r>
              <w:t>item 1</w:t>
            </w:r>
            <w:r w:rsidRPr="00576D60">
              <w:t>)</w:t>
            </w:r>
          </w:p>
        </w:tc>
        <w:tc>
          <w:tcPr>
            <w:tcW w:w="1110" w:type="pct"/>
            <w:tcBorders>
              <w:top w:val="single" w:sz="4" w:space="0" w:color="auto"/>
              <w:bottom w:val="single" w:sz="4" w:space="0" w:color="auto"/>
            </w:tcBorders>
            <w:shd w:val="clear" w:color="auto" w:fill="auto"/>
          </w:tcPr>
          <w:p w14:paraId="6DED5999" w14:textId="77777777" w:rsidR="00E93F58" w:rsidRPr="00576D60" w:rsidRDefault="00E93F58" w:rsidP="002F32E3">
            <w:pPr>
              <w:pStyle w:val="ENoteTableText"/>
            </w:pPr>
            <w:r w:rsidRPr="00576D60">
              <w:t>—</w:t>
            </w:r>
          </w:p>
        </w:tc>
      </w:tr>
      <w:tr w:rsidR="00E93F58" w:rsidRPr="00576D60" w14:paraId="09CBD782" w14:textId="77777777" w:rsidTr="003D209B">
        <w:trPr>
          <w:cantSplit/>
        </w:trPr>
        <w:tc>
          <w:tcPr>
            <w:tcW w:w="1270" w:type="pct"/>
            <w:tcBorders>
              <w:top w:val="single" w:sz="4" w:space="0" w:color="auto"/>
              <w:bottom w:val="single" w:sz="4" w:space="0" w:color="auto"/>
            </w:tcBorders>
            <w:shd w:val="clear" w:color="auto" w:fill="auto"/>
          </w:tcPr>
          <w:p w14:paraId="393D1B65" w14:textId="77777777" w:rsidR="00E93F58" w:rsidRPr="00576D60" w:rsidRDefault="00E93F58" w:rsidP="002F32E3">
            <w:pPr>
              <w:pStyle w:val="ENoteTableText"/>
            </w:pPr>
            <w:r w:rsidRPr="00576D60">
              <w:t xml:space="preserve">Corporations and Bankruptcy Legislation Amendment (Extending Temporary Relief for Financially Distressed Businesses and Individuals) </w:t>
            </w:r>
            <w:r>
              <w:t>Regulations 2</w:t>
            </w:r>
            <w:r w:rsidRPr="00576D60">
              <w:t>020</w:t>
            </w:r>
          </w:p>
        </w:tc>
        <w:tc>
          <w:tcPr>
            <w:tcW w:w="1125" w:type="pct"/>
            <w:tcBorders>
              <w:top w:val="single" w:sz="4" w:space="0" w:color="auto"/>
              <w:bottom w:val="single" w:sz="4" w:space="0" w:color="auto"/>
            </w:tcBorders>
            <w:shd w:val="clear" w:color="auto" w:fill="auto"/>
          </w:tcPr>
          <w:p w14:paraId="7850BAAB" w14:textId="77777777" w:rsidR="00E93F58" w:rsidRPr="00576D60" w:rsidRDefault="00E93F58">
            <w:pPr>
              <w:pStyle w:val="ENoteTableText"/>
            </w:pPr>
            <w:r w:rsidRPr="00576D60">
              <w:t>21 Sept 2020 (F2020L01191)</w:t>
            </w:r>
          </w:p>
        </w:tc>
        <w:tc>
          <w:tcPr>
            <w:tcW w:w="1495" w:type="pct"/>
            <w:tcBorders>
              <w:top w:val="single" w:sz="4" w:space="0" w:color="auto"/>
              <w:bottom w:val="single" w:sz="4" w:space="0" w:color="auto"/>
            </w:tcBorders>
            <w:shd w:val="clear" w:color="auto" w:fill="auto"/>
          </w:tcPr>
          <w:p w14:paraId="4C162F2D" w14:textId="77777777" w:rsidR="00E93F58" w:rsidRPr="00576D60" w:rsidRDefault="00E93F58" w:rsidP="002F32E3">
            <w:pPr>
              <w:pStyle w:val="ENoteTableText"/>
            </w:pPr>
            <w:r w:rsidRPr="00576D60">
              <w:t>Sch 1 (</w:t>
            </w:r>
            <w:r>
              <w:t>items 3</w:t>
            </w:r>
            <w:r w:rsidRPr="00576D60">
              <w:t xml:space="preserve">, 4): 22 Sept 2020 (s 2(1) </w:t>
            </w:r>
            <w:r>
              <w:t>item 1</w:t>
            </w:r>
            <w:r w:rsidRPr="00576D60">
              <w:t>)</w:t>
            </w:r>
          </w:p>
        </w:tc>
        <w:tc>
          <w:tcPr>
            <w:tcW w:w="1110" w:type="pct"/>
            <w:tcBorders>
              <w:top w:val="single" w:sz="4" w:space="0" w:color="auto"/>
              <w:bottom w:val="single" w:sz="4" w:space="0" w:color="auto"/>
            </w:tcBorders>
            <w:shd w:val="clear" w:color="auto" w:fill="auto"/>
          </w:tcPr>
          <w:p w14:paraId="0A1CB156" w14:textId="77777777" w:rsidR="00E93F58" w:rsidRPr="00576D60" w:rsidRDefault="00E93F58" w:rsidP="002F32E3">
            <w:pPr>
              <w:pStyle w:val="ENoteTableText"/>
            </w:pPr>
            <w:r w:rsidRPr="00576D60">
              <w:t>—</w:t>
            </w:r>
          </w:p>
        </w:tc>
      </w:tr>
      <w:tr w:rsidR="00E93F58" w:rsidRPr="00576D60" w14:paraId="6CD92061" w14:textId="77777777" w:rsidTr="003D209B">
        <w:trPr>
          <w:cantSplit/>
        </w:trPr>
        <w:tc>
          <w:tcPr>
            <w:tcW w:w="1270" w:type="pct"/>
            <w:tcBorders>
              <w:top w:val="single" w:sz="4" w:space="0" w:color="auto"/>
              <w:bottom w:val="single" w:sz="4" w:space="0" w:color="auto"/>
            </w:tcBorders>
            <w:shd w:val="clear" w:color="auto" w:fill="auto"/>
          </w:tcPr>
          <w:p w14:paraId="6C175098" w14:textId="77777777" w:rsidR="00E93F58" w:rsidRPr="00576D60" w:rsidRDefault="00E93F58" w:rsidP="002F32E3">
            <w:pPr>
              <w:pStyle w:val="ENoteTableText"/>
            </w:pPr>
            <w:r w:rsidRPr="00576D60">
              <w:t xml:space="preserve">Financial Sector Reform (Hayne Royal Commission Response) (Regulation of Superannuation) </w:t>
            </w:r>
            <w:r>
              <w:t>Regulations 2</w:t>
            </w:r>
            <w:r w:rsidRPr="00576D60">
              <w:t>020</w:t>
            </w:r>
          </w:p>
        </w:tc>
        <w:tc>
          <w:tcPr>
            <w:tcW w:w="1125" w:type="pct"/>
            <w:tcBorders>
              <w:top w:val="single" w:sz="4" w:space="0" w:color="auto"/>
              <w:bottom w:val="single" w:sz="4" w:space="0" w:color="auto"/>
            </w:tcBorders>
            <w:shd w:val="clear" w:color="auto" w:fill="auto"/>
          </w:tcPr>
          <w:p w14:paraId="557BC42A" w14:textId="77777777" w:rsidR="00E93F58" w:rsidRPr="00576D60" w:rsidRDefault="00E93F58">
            <w:pPr>
              <w:pStyle w:val="ENoteTableText"/>
            </w:pPr>
            <w:r w:rsidRPr="00576D60">
              <w:t>11 Dec 2020 (F2020L01586)</w:t>
            </w:r>
          </w:p>
        </w:tc>
        <w:tc>
          <w:tcPr>
            <w:tcW w:w="1495" w:type="pct"/>
            <w:tcBorders>
              <w:top w:val="single" w:sz="4" w:space="0" w:color="auto"/>
              <w:bottom w:val="single" w:sz="4" w:space="0" w:color="auto"/>
            </w:tcBorders>
            <w:shd w:val="clear" w:color="auto" w:fill="auto"/>
          </w:tcPr>
          <w:p w14:paraId="08215D4C" w14:textId="77777777" w:rsidR="00E93F58" w:rsidRPr="00576D60" w:rsidRDefault="00E93F58" w:rsidP="002F32E3">
            <w:pPr>
              <w:pStyle w:val="ENoteTableText"/>
            </w:pPr>
            <w:r w:rsidRPr="00576D60">
              <w:t>Sch 1 (</w:t>
            </w:r>
            <w:r>
              <w:t>items 1</w:t>
            </w:r>
            <w:r w:rsidRPr="00576D60">
              <w:t xml:space="preserve">–6): 1 Jan 2021 (s 2(1) </w:t>
            </w:r>
            <w:r>
              <w:t>item 2</w:t>
            </w:r>
            <w:r w:rsidRPr="00576D60">
              <w:t>)</w:t>
            </w:r>
            <w:r w:rsidRPr="00576D60">
              <w:br/>
              <w:t xml:space="preserve">Sch 1 (items 8–10): 1 July 2021 (s 2(1) </w:t>
            </w:r>
            <w:r>
              <w:t>item 3</w:t>
            </w:r>
            <w:r w:rsidRPr="00576D60">
              <w:t>)</w:t>
            </w:r>
          </w:p>
        </w:tc>
        <w:tc>
          <w:tcPr>
            <w:tcW w:w="1110" w:type="pct"/>
            <w:tcBorders>
              <w:top w:val="single" w:sz="4" w:space="0" w:color="auto"/>
              <w:bottom w:val="single" w:sz="4" w:space="0" w:color="auto"/>
            </w:tcBorders>
            <w:shd w:val="clear" w:color="auto" w:fill="auto"/>
          </w:tcPr>
          <w:p w14:paraId="0304DE84" w14:textId="77777777" w:rsidR="00E93F58" w:rsidRPr="00576D60" w:rsidRDefault="00E93F58" w:rsidP="002F32E3">
            <w:pPr>
              <w:pStyle w:val="ENoteTableText"/>
            </w:pPr>
            <w:r w:rsidRPr="00576D60">
              <w:t>—</w:t>
            </w:r>
          </w:p>
        </w:tc>
      </w:tr>
      <w:tr w:rsidR="00E93F58" w:rsidRPr="00576D60" w14:paraId="3FE9859A" w14:textId="77777777" w:rsidTr="00262E8A">
        <w:trPr>
          <w:cantSplit/>
        </w:trPr>
        <w:tc>
          <w:tcPr>
            <w:tcW w:w="1270" w:type="pct"/>
            <w:tcBorders>
              <w:top w:val="single" w:sz="4" w:space="0" w:color="auto"/>
              <w:bottom w:val="single" w:sz="4" w:space="0" w:color="auto"/>
            </w:tcBorders>
            <w:shd w:val="clear" w:color="auto" w:fill="auto"/>
          </w:tcPr>
          <w:p w14:paraId="60BC0C72" w14:textId="77777777" w:rsidR="00E93F58" w:rsidRPr="00576D60" w:rsidRDefault="00E93F58" w:rsidP="002F32E3">
            <w:pPr>
              <w:pStyle w:val="ENoteTableText"/>
            </w:pPr>
            <w:r w:rsidRPr="00576D60">
              <w:lastRenderedPageBreak/>
              <w:t xml:space="preserve">Treasury Laws Amendment (Miscellaneous and Technical Amendments) </w:t>
            </w:r>
            <w:r>
              <w:t>Regulations 2</w:t>
            </w:r>
            <w:r w:rsidRPr="00576D60">
              <w:t>020</w:t>
            </w:r>
          </w:p>
        </w:tc>
        <w:tc>
          <w:tcPr>
            <w:tcW w:w="1125" w:type="pct"/>
            <w:tcBorders>
              <w:top w:val="single" w:sz="4" w:space="0" w:color="auto"/>
              <w:bottom w:val="single" w:sz="4" w:space="0" w:color="auto"/>
            </w:tcBorders>
            <w:shd w:val="clear" w:color="auto" w:fill="auto"/>
          </w:tcPr>
          <w:p w14:paraId="29364EDA" w14:textId="77777777" w:rsidR="00E93F58" w:rsidRPr="00576D60" w:rsidRDefault="00E93F58">
            <w:pPr>
              <w:pStyle w:val="ENoteTableText"/>
            </w:pPr>
            <w:r w:rsidRPr="00576D60">
              <w:t>14 Dec 2020 (F2020L01610)</w:t>
            </w:r>
          </w:p>
        </w:tc>
        <w:tc>
          <w:tcPr>
            <w:tcW w:w="1495" w:type="pct"/>
            <w:tcBorders>
              <w:top w:val="single" w:sz="4" w:space="0" w:color="auto"/>
              <w:bottom w:val="single" w:sz="4" w:space="0" w:color="auto"/>
            </w:tcBorders>
            <w:shd w:val="clear" w:color="auto" w:fill="auto"/>
          </w:tcPr>
          <w:p w14:paraId="237BC814" w14:textId="77777777" w:rsidR="00E93F58" w:rsidRPr="00576D60" w:rsidRDefault="00E93F58" w:rsidP="00A90E44">
            <w:pPr>
              <w:pStyle w:val="ENoteTableText"/>
            </w:pPr>
            <w:r w:rsidRPr="00576D60">
              <w:t xml:space="preserve">Sch 1 (items 7–16): 15 Dec 2020 (s 2(1) </w:t>
            </w:r>
            <w:r>
              <w:t>item 2</w:t>
            </w:r>
            <w:r w:rsidRPr="00576D60">
              <w:t>)</w:t>
            </w:r>
            <w:r w:rsidRPr="00576D60">
              <w:br/>
              <w:t>Sch 2 (</w:t>
            </w:r>
            <w:r>
              <w:t>items 1</w:t>
            </w:r>
            <w:r w:rsidRPr="00576D60">
              <w:t xml:space="preserve">–11): 28 Sept 2022 (s 2(1) </w:t>
            </w:r>
            <w:r>
              <w:t>item 3</w:t>
            </w:r>
            <w:r w:rsidRPr="00576D60">
              <w:t>)</w:t>
            </w:r>
          </w:p>
        </w:tc>
        <w:tc>
          <w:tcPr>
            <w:tcW w:w="1110" w:type="pct"/>
            <w:tcBorders>
              <w:top w:val="single" w:sz="4" w:space="0" w:color="auto"/>
              <w:bottom w:val="single" w:sz="4" w:space="0" w:color="auto"/>
            </w:tcBorders>
            <w:shd w:val="clear" w:color="auto" w:fill="auto"/>
          </w:tcPr>
          <w:p w14:paraId="5EB77AA9" w14:textId="77777777" w:rsidR="00E93F58" w:rsidRPr="00576D60" w:rsidRDefault="00E93F58" w:rsidP="002F32E3">
            <w:pPr>
              <w:pStyle w:val="ENoteTableText"/>
            </w:pPr>
            <w:r w:rsidRPr="00576D60">
              <w:t>—</w:t>
            </w:r>
          </w:p>
        </w:tc>
      </w:tr>
      <w:tr w:rsidR="00E93F58" w:rsidRPr="00576D60" w14:paraId="1F3FDA62" w14:textId="77777777" w:rsidTr="00FB521C">
        <w:trPr>
          <w:cantSplit/>
        </w:trPr>
        <w:tc>
          <w:tcPr>
            <w:tcW w:w="1270" w:type="pct"/>
            <w:tcBorders>
              <w:top w:val="single" w:sz="4" w:space="0" w:color="auto"/>
              <w:bottom w:val="single" w:sz="4" w:space="0" w:color="auto"/>
            </w:tcBorders>
            <w:shd w:val="clear" w:color="auto" w:fill="auto"/>
          </w:tcPr>
          <w:p w14:paraId="7CB74779" w14:textId="77777777" w:rsidR="00E93F58" w:rsidRPr="00576D60" w:rsidRDefault="00E93F58" w:rsidP="002F32E3">
            <w:pPr>
              <w:pStyle w:val="ENoteTableText"/>
            </w:pPr>
            <w:r w:rsidRPr="00576D60">
              <w:t xml:space="preserve">Corporations Amendment (Corporate Insolvency Reforms) </w:t>
            </w:r>
            <w:r>
              <w:t>Regulations 2</w:t>
            </w:r>
            <w:r w:rsidRPr="00576D60">
              <w:t>020</w:t>
            </w:r>
          </w:p>
        </w:tc>
        <w:tc>
          <w:tcPr>
            <w:tcW w:w="1125" w:type="pct"/>
            <w:tcBorders>
              <w:top w:val="single" w:sz="4" w:space="0" w:color="auto"/>
              <w:bottom w:val="single" w:sz="4" w:space="0" w:color="auto"/>
            </w:tcBorders>
            <w:shd w:val="clear" w:color="auto" w:fill="auto"/>
          </w:tcPr>
          <w:p w14:paraId="1E3DE7B1" w14:textId="77777777" w:rsidR="00E93F58" w:rsidRPr="00576D60" w:rsidRDefault="00E93F58">
            <w:pPr>
              <w:pStyle w:val="ENoteTableText"/>
            </w:pPr>
            <w:r w:rsidRPr="00576D60">
              <w:t>21 Dec 2020 (F2020L01654)</w:t>
            </w:r>
          </w:p>
        </w:tc>
        <w:tc>
          <w:tcPr>
            <w:tcW w:w="1495" w:type="pct"/>
            <w:tcBorders>
              <w:top w:val="single" w:sz="4" w:space="0" w:color="auto"/>
              <w:bottom w:val="single" w:sz="4" w:space="0" w:color="auto"/>
            </w:tcBorders>
            <w:shd w:val="clear" w:color="auto" w:fill="auto"/>
          </w:tcPr>
          <w:p w14:paraId="47EE3928" w14:textId="77777777" w:rsidR="00E93F58" w:rsidRPr="00576D60" w:rsidRDefault="00E93F58" w:rsidP="00363F04">
            <w:pPr>
              <w:pStyle w:val="ENoteTableText"/>
            </w:pPr>
            <w:r w:rsidRPr="00576D60">
              <w:t>Sch 1, 2 and 3: 1 Jan 2021 (s 2(1) items 2–4)</w:t>
            </w:r>
            <w:r w:rsidRPr="00576D60">
              <w:br/>
              <w:t>Sch 4: 22 Dec 2020 (s 2(1) item 5)</w:t>
            </w:r>
          </w:p>
        </w:tc>
        <w:tc>
          <w:tcPr>
            <w:tcW w:w="1110" w:type="pct"/>
            <w:tcBorders>
              <w:top w:val="single" w:sz="4" w:space="0" w:color="auto"/>
              <w:bottom w:val="single" w:sz="4" w:space="0" w:color="auto"/>
            </w:tcBorders>
            <w:shd w:val="clear" w:color="auto" w:fill="auto"/>
          </w:tcPr>
          <w:p w14:paraId="191394CA" w14:textId="77777777" w:rsidR="00E93F58" w:rsidRPr="00576D60" w:rsidRDefault="00E93F58" w:rsidP="002F32E3">
            <w:pPr>
              <w:pStyle w:val="ENoteTableText"/>
            </w:pPr>
            <w:r w:rsidRPr="00576D60">
              <w:t>—</w:t>
            </w:r>
          </w:p>
        </w:tc>
      </w:tr>
      <w:tr w:rsidR="00E93F58" w:rsidRPr="00576D60" w14:paraId="2F40BFB5" w14:textId="77777777" w:rsidTr="009F03CC">
        <w:trPr>
          <w:cantSplit/>
        </w:trPr>
        <w:tc>
          <w:tcPr>
            <w:tcW w:w="1270" w:type="pct"/>
            <w:tcBorders>
              <w:top w:val="single" w:sz="4" w:space="0" w:color="auto"/>
              <w:bottom w:val="single" w:sz="4" w:space="0" w:color="auto"/>
            </w:tcBorders>
            <w:shd w:val="clear" w:color="auto" w:fill="auto"/>
          </w:tcPr>
          <w:p w14:paraId="6FA9A2A3" w14:textId="77777777" w:rsidR="00E93F58" w:rsidRPr="00576D60" w:rsidRDefault="00E93F58" w:rsidP="002F32E3">
            <w:pPr>
              <w:pStyle w:val="ENoteTableText"/>
            </w:pPr>
            <w:r w:rsidRPr="00576D60">
              <w:t xml:space="preserve">Financial Sector Reform (Hayne Royal Commission Response) (2021 Measures No. 1) </w:t>
            </w:r>
            <w:r>
              <w:t>Regulations 2</w:t>
            </w:r>
            <w:r w:rsidRPr="00576D60">
              <w:t>021</w:t>
            </w:r>
          </w:p>
        </w:tc>
        <w:tc>
          <w:tcPr>
            <w:tcW w:w="1125" w:type="pct"/>
            <w:tcBorders>
              <w:top w:val="single" w:sz="4" w:space="0" w:color="auto"/>
              <w:bottom w:val="single" w:sz="4" w:space="0" w:color="auto"/>
            </w:tcBorders>
            <w:shd w:val="clear" w:color="auto" w:fill="auto"/>
          </w:tcPr>
          <w:p w14:paraId="59D13A87" w14:textId="77777777" w:rsidR="00E93F58" w:rsidRPr="00576D60" w:rsidRDefault="00E93F58">
            <w:pPr>
              <w:pStyle w:val="ENoteTableText"/>
            </w:pPr>
            <w:r w:rsidRPr="00576D60">
              <w:t>18 Feb 2021 (F2021L00127)</w:t>
            </w:r>
          </w:p>
        </w:tc>
        <w:tc>
          <w:tcPr>
            <w:tcW w:w="1495" w:type="pct"/>
            <w:tcBorders>
              <w:top w:val="single" w:sz="4" w:space="0" w:color="auto"/>
              <w:bottom w:val="single" w:sz="4" w:space="0" w:color="auto"/>
            </w:tcBorders>
            <w:shd w:val="clear" w:color="auto" w:fill="auto"/>
          </w:tcPr>
          <w:p w14:paraId="4ABF3BDD" w14:textId="77777777" w:rsidR="00E93F58" w:rsidRPr="00576D60" w:rsidRDefault="00E93F58">
            <w:pPr>
              <w:pStyle w:val="ENoteTableText"/>
            </w:pPr>
            <w:r w:rsidRPr="00576D60">
              <w:t xml:space="preserve">Sch 2: 19 Feb 2021 (s 2(1) </w:t>
            </w:r>
            <w:r>
              <w:t>item 1</w:t>
            </w:r>
            <w:r w:rsidRPr="00576D60">
              <w:t>)</w:t>
            </w:r>
          </w:p>
        </w:tc>
        <w:tc>
          <w:tcPr>
            <w:tcW w:w="1110" w:type="pct"/>
            <w:tcBorders>
              <w:top w:val="single" w:sz="4" w:space="0" w:color="auto"/>
              <w:bottom w:val="single" w:sz="4" w:space="0" w:color="auto"/>
            </w:tcBorders>
            <w:shd w:val="clear" w:color="auto" w:fill="auto"/>
          </w:tcPr>
          <w:p w14:paraId="25685990" w14:textId="77777777" w:rsidR="00E93F58" w:rsidRPr="00576D60" w:rsidRDefault="00E93F58" w:rsidP="002F32E3">
            <w:pPr>
              <w:pStyle w:val="ENoteTableText"/>
            </w:pPr>
            <w:r w:rsidRPr="00576D60">
              <w:t>—</w:t>
            </w:r>
          </w:p>
        </w:tc>
      </w:tr>
      <w:tr w:rsidR="00E93F58" w:rsidRPr="00576D60" w14:paraId="34C33E7D" w14:textId="77777777" w:rsidTr="009F03CC">
        <w:trPr>
          <w:cantSplit/>
        </w:trPr>
        <w:tc>
          <w:tcPr>
            <w:tcW w:w="1270" w:type="pct"/>
            <w:tcBorders>
              <w:top w:val="single" w:sz="4" w:space="0" w:color="auto"/>
              <w:bottom w:val="single" w:sz="4" w:space="0" w:color="auto"/>
            </w:tcBorders>
            <w:shd w:val="clear" w:color="auto" w:fill="auto"/>
          </w:tcPr>
          <w:p w14:paraId="620746C9" w14:textId="77777777" w:rsidR="00E93F58" w:rsidRPr="00576D60" w:rsidRDefault="00E93F58" w:rsidP="002F32E3">
            <w:pPr>
              <w:pStyle w:val="ENoteTableText"/>
            </w:pPr>
            <w:r w:rsidRPr="00576D60">
              <w:t xml:space="preserve">Financial Sector Reform (Hayne Royal Commission Response) (Claimant Intermediaries) </w:t>
            </w:r>
            <w:r>
              <w:t>Regulations 2</w:t>
            </w:r>
            <w:r w:rsidRPr="00576D60">
              <w:t>021</w:t>
            </w:r>
          </w:p>
        </w:tc>
        <w:tc>
          <w:tcPr>
            <w:tcW w:w="1125" w:type="pct"/>
            <w:tcBorders>
              <w:top w:val="single" w:sz="4" w:space="0" w:color="auto"/>
              <w:bottom w:val="single" w:sz="4" w:space="0" w:color="auto"/>
            </w:tcBorders>
            <w:shd w:val="clear" w:color="auto" w:fill="auto"/>
          </w:tcPr>
          <w:p w14:paraId="4C338A86" w14:textId="77777777" w:rsidR="00E93F58" w:rsidRPr="00576D60" w:rsidRDefault="00E93F58">
            <w:pPr>
              <w:pStyle w:val="ENoteTableText"/>
            </w:pPr>
            <w:r w:rsidRPr="00576D60">
              <w:t>16 Apr 2021 (F2021L00453)</w:t>
            </w:r>
          </w:p>
        </w:tc>
        <w:tc>
          <w:tcPr>
            <w:tcW w:w="1495" w:type="pct"/>
            <w:tcBorders>
              <w:top w:val="single" w:sz="4" w:space="0" w:color="auto"/>
              <w:bottom w:val="single" w:sz="4" w:space="0" w:color="auto"/>
            </w:tcBorders>
            <w:shd w:val="clear" w:color="auto" w:fill="auto"/>
          </w:tcPr>
          <w:p w14:paraId="70561A08" w14:textId="77777777" w:rsidR="00E93F58" w:rsidRPr="00576D60" w:rsidRDefault="00E93F58">
            <w:pPr>
              <w:pStyle w:val="ENoteTableText"/>
            </w:pPr>
            <w:r w:rsidRPr="00576D60">
              <w:t xml:space="preserve">17 Apr 2021 (s 2(1) </w:t>
            </w:r>
            <w:r>
              <w:t>item 1</w:t>
            </w:r>
            <w:r w:rsidRPr="00576D60">
              <w:t>)</w:t>
            </w:r>
          </w:p>
        </w:tc>
        <w:tc>
          <w:tcPr>
            <w:tcW w:w="1110" w:type="pct"/>
            <w:tcBorders>
              <w:top w:val="single" w:sz="4" w:space="0" w:color="auto"/>
              <w:bottom w:val="single" w:sz="4" w:space="0" w:color="auto"/>
            </w:tcBorders>
            <w:shd w:val="clear" w:color="auto" w:fill="auto"/>
          </w:tcPr>
          <w:p w14:paraId="32319F91" w14:textId="77777777" w:rsidR="00E93F58" w:rsidRPr="00576D60" w:rsidRDefault="00E93F58" w:rsidP="002F32E3">
            <w:pPr>
              <w:pStyle w:val="ENoteTableText"/>
            </w:pPr>
            <w:r w:rsidRPr="00576D60">
              <w:t>—</w:t>
            </w:r>
          </w:p>
        </w:tc>
      </w:tr>
      <w:tr w:rsidR="00E93F58" w:rsidRPr="00576D60" w14:paraId="34CB5F46" w14:textId="77777777" w:rsidTr="009468EA">
        <w:trPr>
          <w:cantSplit/>
        </w:trPr>
        <w:tc>
          <w:tcPr>
            <w:tcW w:w="1270" w:type="pct"/>
            <w:tcBorders>
              <w:top w:val="single" w:sz="4" w:space="0" w:color="auto"/>
              <w:bottom w:val="single" w:sz="4" w:space="0" w:color="auto"/>
            </w:tcBorders>
            <w:shd w:val="clear" w:color="auto" w:fill="auto"/>
          </w:tcPr>
          <w:p w14:paraId="41411FD2" w14:textId="77777777" w:rsidR="00E93F58" w:rsidRPr="00576D60" w:rsidRDefault="00E93F58" w:rsidP="002F32E3">
            <w:pPr>
              <w:pStyle w:val="ENoteTableText"/>
            </w:pPr>
            <w:r w:rsidRPr="00576D60">
              <w:t xml:space="preserve">Treasury Laws Amendment (Professional Standards Schemes) </w:t>
            </w:r>
            <w:r>
              <w:t>Regulations 2</w:t>
            </w:r>
            <w:r w:rsidRPr="00576D60">
              <w:t>021</w:t>
            </w:r>
          </w:p>
        </w:tc>
        <w:tc>
          <w:tcPr>
            <w:tcW w:w="1125" w:type="pct"/>
            <w:tcBorders>
              <w:top w:val="single" w:sz="4" w:space="0" w:color="auto"/>
              <w:bottom w:val="single" w:sz="4" w:space="0" w:color="auto"/>
            </w:tcBorders>
            <w:shd w:val="clear" w:color="auto" w:fill="auto"/>
          </w:tcPr>
          <w:p w14:paraId="7A6E9008" w14:textId="77777777" w:rsidR="00E93F58" w:rsidRPr="00576D60" w:rsidRDefault="00E93F58">
            <w:pPr>
              <w:pStyle w:val="ENoteTableText"/>
            </w:pPr>
            <w:r w:rsidRPr="00576D60">
              <w:t>30 Apr 2021 (F2021L00520)</w:t>
            </w:r>
          </w:p>
        </w:tc>
        <w:tc>
          <w:tcPr>
            <w:tcW w:w="1495" w:type="pct"/>
            <w:tcBorders>
              <w:top w:val="single" w:sz="4" w:space="0" w:color="auto"/>
              <w:bottom w:val="single" w:sz="4" w:space="0" w:color="auto"/>
            </w:tcBorders>
            <w:shd w:val="clear" w:color="auto" w:fill="auto"/>
          </w:tcPr>
          <w:p w14:paraId="7E986D73" w14:textId="77777777" w:rsidR="00E93F58" w:rsidRPr="00576D60" w:rsidRDefault="00E93F58">
            <w:pPr>
              <w:pStyle w:val="ENoteTableText"/>
            </w:pPr>
            <w:r w:rsidRPr="00576D60">
              <w:t xml:space="preserve">Sch 1 (items 6, 7): 1 May 2021 (s 2(1) </w:t>
            </w:r>
            <w:r>
              <w:t>item 1</w:t>
            </w:r>
            <w:r w:rsidRPr="00576D60">
              <w:t>)</w:t>
            </w:r>
          </w:p>
        </w:tc>
        <w:tc>
          <w:tcPr>
            <w:tcW w:w="1110" w:type="pct"/>
            <w:tcBorders>
              <w:top w:val="single" w:sz="4" w:space="0" w:color="auto"/>
              <w:bottom w:val="single" w:sz="4" w:space="0" w:color="auto"/>
            </w:tcBorders>
            <w:shd w:val="clear" w:color="auto" w:fill="auto"/>
          </w:tcPr>
          <w:p w14:paraId="38ABE05F" w14:textId="77777777" w:rsidR="00E93F58" w:rsidRPr="00576D60" w:rsidRDefault="00E93F58" w:rsidP="002F32E3">
            <w:pPr>
              <w:pStyle w:val="ENoteTableText"/>
            </w:pPr>
            <w:r w:rsidRPr="00576D60">
              <w:t>—</w:t>
            </w:r>
          </w:p>
        </w:tc>
      </w:tr>
      <w:tr w:rsidR="00E93F58" w:rsidRPr="00576D60" w14:paraId="470C8908" w14:textId="77777777" w:rsidTr="00811785">
        <w:trPr>
          <w:cantSplit/>
        </w:trPr>
        <w:tc>
          <w:tcPr>
            <w:tcW w:w="1270" w:type="pct"/>
            <w:tcBorders>
              <w:top w:val="single" w:sz="4" w:space="0" w:color="auto"/>
              <w:bottom w:val="single" w:sz="4" w:space="0" w:color="auto"/>
            </w:tcBorders>
            <w:shd w:val="clear" w:color="auto" w:fill="auto"/>
          </w:tcPr>
          <w:p w14:paraId="7912D432" w14:textId="77777777" w:rsidR="00E93F58" w:rsidRPr="00576D60" w:rsidRDefault="00E93F58" w:rsidP="002F32E3">
            <w:pPr>
              <w:pStyle w:val="ENoteTableText"/>
            </w:pPr>
            <w:r w:rsidRPr="00576D60">
              <w:t xml:space="preserve">Financial Sector Reform (Hayne Royal Commission Response—Advice Fees) </w:t>
            </w:r>
            <w:r>
              <w:t>Regulations 2</w:t>
            </w:r>
            <w:r w:rsidRPr="00576D60">
              <w:t>021</w:t>
            </w:r>
          </w:p>
        </w:tc>
        <w:tc>
          <w:tcPr>
            <w:tcW w:w="1125" w:type="pct"/>
            <w:tcBorders>
              <w:top w:val="single" w:sz="4" w:space="0" w:color="auto"/>
              <w:bottom w:val="single" w:sz="4" w:space="0" w:color="auto"/>
            </w:tcBorders>
            <w:shd w:val="clear" w:color="auto" w:fill="auto"/>
          </w:tcPr>
          <w:p w14:paraId="62638536" w14:textId="77777777" w:rsidR="00E93F58" w:rsidRPr="00576D60" w:rsidRDefault="00E93F58">
            <w:pPr>
              <w:pStyle w:val="ENoteTableText"/>
            </w:pPr>
            <w:r w:rsidRPr="00576D60">
              <w:t>14 May 2021 (F2021L00581)</w:t>
            </w:r>
          </w:p>
        </w:tc>
        <w:tc>
          <w:tcPr>
            <w:tcW w:w="1495" w:type="pct"/>
            <w:tcBorders>
              <w:top w:val="single" w:sz="4" w:space="0" w:color="auto"/>
              <w:bottom w:val="single" w:sz="4" w:space="0" w:color="auto"/>
            </w:tcBorders>
            <w:shd w:val="clear" w:color="auto" w:fill="auto"/>
          </w:tcPr>
          <w:p w14:paraId="1EFA5CFC" w14:textId="77777777" w:rsidR="00E93F58" w:rsidRPr="00576D60" w:rsidRDefault="00E93F58">
            <w:pPr>
              <w:pStyle w:val="ENoteTableText"/>
            </w:pPr>
            <w:r w:rsidRPr="00576D60">
              <w:t xml:space="preserve">Sch 1: 1 July 2021 (s 2(1) </w:t>
            </w:r>
            <w:r>
              <w:t>item 2</w:t>
            </w:r>
            <w:r w:rsidRPr="00576D60">
              <w:t>)</w:t>
            </w:r>
          </w:p>
        </w:tc>
        <w:tc>
          <w:tcPr>
            <w:tcW w:w="1110" w:type="pct"/>
            <w:tcBorders>
              <w:top w:val="single" w:sz="4" w:space="0" w:color="auto"/>
              <w:bottom w:val="single" w:sz="4" w:space="0" w:color="auto"/>
            </w:tcBorders>
            <w:shd w:val="clear" w:color="auto" w:fill="auto"/>
          </w:tcPr>
          <w:p w14:paraId="05CDE666" w14:textId="77777777" w:rsidR="00E93F58" w:rsidRPr="00576D60" w:rsidRDefault="00E93F58" w:rsidP="002F32E3">
            <w:pPr>
              <w:pStyle w:val="ENoteTableText"/>
            </w:pPr>
            <w:r w:rsidRPr="00576D60">
              <w:t>—</w:t>
            </w:r>
          </w:p>
        </w:tc>
      </w:tr>
      <w:tr w:rsidR="00E93F58" w:rsidRPr="00576D60" w14:paraId="6226DAC8" w14:textId="77777777" w:rsidTr="00811785">
        <w:trPr>
          <w:cantSplit/>
        </w:trPr>
        <w:tc>
          <w:tcPr>
            <w:tcW w:w="1270" w:type="pct"/>
            <w:tcBorders>
              <w:top w:val="single" w:sz="4" w:space="0" w:color="auto"/>
              <w:bottom w:val="single" w:sz="4" w:space="0" w:color="auto"/>
            </w:tcBorders>
            <w:shd w:val="clear" w:color="auto" w:fill="auto"/>
          </w:tcPr>
          <w:p w14:paraId="46F1D7AA" w14:textId="77777777" w:rsidR="00E93F58" w:rsidRPr="00576D60" w:rsidRDefault="00E93F58" w:rsidP="002F32E3">
            <w:pPr>
              <w:pStyle w:val="ENoteTableText"/>
            </w:pPr>
            <w:r w:rsidRPr="00576D60">
              <w:t xml:space="preserve">Corporations Amendment (Statutory Minimum) </w:t>
            </w:r>
            <w:r>
              <w:t>Regulations 2</w:t>
            </w:r>
            <w:r w:rsidRPr="00576D60">
              <w:t>021</w:t>
            </w:r>
          </w:p>
        </w:tc>
        <w:tc>
          <w:tcPr>
            <w:tcW w:w="1125" w:type="pct"/>
            <w:tcBorders>
              <w:top w:val="single" w:sz="4" w:space="0" w:color="auto"/>
              <w:bottom w:val="single" w:sz="4" w:space="0" w:color="auto"/>
            </w:tcBorders>
            <w:shd w:val="clear" w:color="auto" w:fill="auto"/>
          </w:tcPr>
          <w:p w14:paraId="46EB73D7" w14:textId="77777777" w:rsidR="00E93F58" w:rsidRPr="00576D60" w:rsidRDefault="00E93F58">
            <w:pPr>
              <w:pStyle w:val="ENoteTableText"/>
            </w:pPr>
            <w:r w:rsidRPr="00576D60">
              <w:t>28 May 2021 (F2021L00660)</w:t>
            </w:r>
          </w:p>
        </w:tc>
        <w:tc>
          <w:tcPr>
            <w:tcW w:w="1495" w:type="pct"/>
            <w:tcBorders>
              <w:top w:val="single" w:sz="4" w:space="0" w:color="auto"/>
              <w:bottom w:val="single" w:sz="4" w:space="0" w:color="auto"/>
            </w:tcBorders>
            <w:shd w:val="clear" w:color="auto" w:fill="auto"/>
          </w:tcPr>
          <w:p w14:paraId="51C7EC33" w14:textId="77777777" w:rsidR="00E93F58" w:rsidRPr="00576D60" w:rsidRDefault="00E93F58">
            <w:pPr>
              <w:pStyle w:val="ENoteTableText"/>
            </w:pPr>
            <w:r w:rsidRPr="00576D60">
              <w:t xml:space="preserve">Sch 1: 1 July 2021 (s 2(1) </w:t>
            </w:r>
            <w:r>
              <w:t>item 2</w:t>
            </w:r>
            <w:r w:rsidRPr="00576D60">
              <w:t>)</w:t>
            </w:r>
          </w:p>
        </w:tc>
        <w:tc>
          <w:tcPr>
            <w:tcW w:w="1110" w:type="pct"/>
            <w:tcBorders>
              <w:top w:val="single" w:sz="4" w:space="0" w:color="auto"/>
              <w:bottom w:val="single" w:sz="4" w:space="0" w:color="auto"/>
            </w:tcBorders>
            <w:shd w:val="clear" w:color="auto" w:fill="auto"/>
          </w:tcPr>
          <w:p w14:paraId="7DBD4C59" w14:textId="77777777" w:rsidR="00E93F58" w:rsidRPr="00576D60" w:rsidRDefault="00E93F58" w:rsidP="002F32E3">
            <w:pPr>
              <w:pStyle w:val="ENoteTableText"/>
            </w:pPr>
            <w:r w:rsidRPr="00576D60">
              <w:t>—</w:t>
            </w:r>
          </w:p>
        </w:tc>
      </w:tr>
      <w:tr w:rsidR="00E93F58" w:rsidRPr="00576D60" w14:paraId="5E45EF3B" w14:textId="77777777" w:rsidTr="00AC3AE9">
        <w:trPr>
          <w:cantSplit/>
        </w:trPr>
        <w:tc>
          <w:tcPr>
            <w:tcW w:w="1270" w:type="pct"/>
            <w:tcBorders>
              <w:top w:val="single" w:sz="4" w:space="0" w:color="auto"/>
              <w:bottom w:val="single" w:sz="4" w:space="0" w:color="auto"/>
            </w:tcBorders>
            <w:shd w:val="clear" w:color="auto" w:fill="auto"/>
          </w:tcPr>
          <w:p w14:paraId="07A40C97" w14:textId="77777777" w:rsidR="00E93F58" w:rsidRPr="00576D60" w:rsidRDefault="00E93F58" w:rsidP="002F32E3">
            <w:pPr>
              <w:pStyle w:val="ENoteTableText"/>
            </w:pPr>
            <w:r w:rsidRPr="00576D60">
              <w:t xml:space="preserve">Treasury Laws Amendment (Miscellaneous and Technical Amendments) </w:t>
            </w:r>
            <w:r>
              <w:t>Regulations 2</w:t>
            </w:r>
            <w:r w:rsidRPr="00576D60">
              <w:t>021</w:t>
            </w:r>
          </w:p>
        </w:tc>
        <w:tc>
          <w:tcPr>
            <w:tcW w:w="1125" w:type="pct"/>
            <w:tcBorders>
              <w:top w:val="single" w:sz="4" w:space="0" w:color="auto"/>
              <w:bottom w:val="single" w:sz="4" w:space="0" w:color="auto"/>
            </w:tcBorders>
            <w:shd w:val="clear" w:color="auto" w:fill="auto"/>
          </w:tcPr>
          <w:p w14:paraId="3B83BFD8" w14:textId="77777777" w:rsidR="00E93F58" w:rsidRPr="00576D60" w:rsidRDefault="00E93F58">
            <w:pPr>
              <w:pStyle w:val="ENoteTableText"/>
            </w:pPr>
            <w:r w:rsidRPr="00576D60">
              <w:t>25 June 2021 (F2021L00848)</w:t>
            </w:r>
          </w:p>
        </w:tc>
        <w:tc>
          <w:tcPr>
            <w:tcW w:w="1495" w:type="pct"/>
            <w:tcBorders>
              <w:top w:val="single" w:sz="4" w:space="0" w:color="auto"/>
              <w:bottom w:val="single" w:sz="4" w:space="0" w:color="auto"/>
            </w:tcBorders>
            <w:shd w:val="clear" w:color="auto" w:fill="auto"/>
          </w:tcPr>
          <w:p w14:paraId="486383C8" w14:textId="77777777" w:rsidR="00E93F58" w:rsidRPr="00576D60" w:rsidRDefault="00E93F58">
            <w:pPr>
              <w:pStyle w:val="ENoteTableText"/>
            </w:pPr>
            <w:r w:rsidRPr="00576D60">
              <w:t>Sch 1 (</w:t>
            </w:r>
            <w:r>
              <w:t>item 1</w:t>
            </w:r>
            <w:r w:rsidRPr="00576D60">
              <w:t xml:space="preserve">3): 26 June 2021 (s 2(1) </w:t>
            </w:r>
            <w:r>
              <w:t>item 2</w:t>
            </w:r>
            <w:r w:rsidRPr="00576D60">
              <w:t>)</w:t>
            </w:r>
            <w:r w:rsidRPr="00576D60">
              <w:br/>
              <w:t>Sch 1 (</w:t>
            </w:r>
            <w:r>
              <w:t>item 2</w:t>
            </w:r>
            <w:r w:rsidRPr="00576D60">
              <w:t>0): 1 July 2021 (s 2(1) item 6)</w:t>
            </w:r>
          </w:p>
        </w:tc>
        <w:tc>
          <w:tcPr>
            <w:tcW w:w="1110" w:type="pct"/>
            <w:tcBorders>
              <w:top w:val="single" w:sz="4" w:space="0" w:color="auto"/>
              <w:bottom w:val="single" w:sz="4" w:space="0" w:color="auto"/>
            </w:tcBorders>
            <w:shd w:val="clear" w:color="auto" w:fill="auto"/>
          </w:tcPr>
          <w:p w14:paraId="2CC35FFB" w14:textId="77777777" w:rsidR="00E93F58" w:rsidRPr="00576D60" w:rsidRDefault="00E93F58" w:rsidP="002F32E3">
            <w:pPr>
              <w:pStyle w:val="ENoteTableText"/>
            </w:pPr>
            <w:r w:rsidRPr="00576D60">
              <w:t>—</w:t>
            </w:r>
          </w:p>
        </w:tc>
      </w:tr>
      <w:tr w:rsidR="00E93F58" w:rsidRPr="00576D60" w14:paraId="444F3208" w14:textId="77777777" w:rsidTr="00AC3AE9">
        <w:trPr>
          <w:cantSplit/>
        </w:trPr>
        <w:tc>
          <w:tcPr>
            <w:tcW w:w="1270" w:type="pct"/>
            <w:tcBorders>
              <w:top w:val="single" w:sz="4" w:space="0" w:color="auto"/>
              <w:bottom w:val="single" w:sz="4" w:space="0" w:color="auto"/>
            </w:tcBorders>
            <w:shd w:val="clear" w:color="auto" w:fill="auto"/>
          </w:tcPr>
          <w:p w14:paraId="3BF79C7A" w14:textId="77777777" w:rsidR="00E93F58" w:rsidRPr="00576D60" w:rsidRDefault="00E93F58" w:rsidP="002F32E3">
            <w:pPr>
              <w:pStyle w:val="ENoteTableText"/>
            </w:pPr>
            <w:r w:rsidRPr="00576D60">
              <w:t xml:space="preserve">Financial Sector Reform (Hayne Royal Commission Response—Breach Reporting and Remediation) </w:t>
            </w:r>
            <w:r>
              <w:t>Regulations 2</w:t>
            </w:r>
            <w:r w:rsidRPr="00576D60">
              <w:t>021</w:t>
            </w:r>
          </w:p>
        </w:tc>
        <w:tc>
          <w:tcPr>
            <w:tcW w:w="1125" w:type="pct"/>
            <w:tcBorders>
              <w:top w:val="single" w:sz="4" w:space="0" w:color="auto"/>
              <w:bottom w:val="single" w:sz="4" w:space="0" w:color="auto"/>
            </w:tcBorders>
            <w:shd w:val="clear" w:color="auto" w:fill="auto"/>
          </w:tcPr>
          <w:p w14:paraId="253AB955" w14:textId="77777777" w:rsidR="00E93F58" w:rsidRPr="00576D60" w:rsidRDefault="00E93F58">
            <w:pPr>
              <w:pStyle w:val="ENoteTableText"/>
            </w:pPr>
            <w:r w:rsidRPr="00576D60">
              <w:t>5 Aug 2021 (F2021L01072)</w:t>
            </w:r>
          </w:p>
        </w:tc>
        <w:tc>
          <w:tcPr>
            <w:tcW w:w="1495" w:type="pct"/>
            <w:tcBorders>
              <w:top w:val="single" w:sz="4" w:space="0" w:color="auto"/>
              <w:bottom w:val="single" w:sz="4" w:space="0" w:color="auto"/>
            </w:tcBorders>
            <w:shd w:val="clear" w:color="auto" w:fill="auto"/>
          </w:tcPr>
          <w:p w14:paraId="58E4B085" w14:textId="77777777" w:rsidR="00E93F58" w:rsidRPr="00576D60" w:rsidRDefault="00E93F58">
            <w:pPr>
              <w:pStyle w:val="ENoteTableText"/>
            </w:pPr>
            <w:r w:rsidRPr="00576D60">
              <w:t>Sch 1 (</w:t>
            </w:r>
            <w:r>
              <w:t>items 3</w:t>
            </w:r>
            <w:r w:rsidRPr="00576D60">
              <w:t xml:space="preserve">–11): 1 Oct 2021 (s 2(1) </w:t>
            </w:r>
            <w:r>
              <w:t>item 1</w:t>
            </w:r>
            <w:r w:rsidRPr="00576D60">
              <w:t>)</w:t>
            </w:r>
          </w:p>
        </w:tc>
        <w:tc>
          <w:tcPr>
            <w:tcW w:w="1110" w:type="pct"/>
            <w:tcBorders>
              <w:top w:val="single" w:sz="4" w:space="0" w:color="auto"/>
              <w:bottom w:val="single" w:sz="4" w:space="0" w:color="auto"/>
            </w:tcBorders>
            <w:shd w:val="clear" w:color="auto" w:fill="auto"/>
          </w:tcPr>
          <w:p w14:paraId="5854B276" w14:textId="77777777" w:rsidR="00E93F58" w:rsidRPr="00576D60" w:rsidRDefault="00E93F58" w:rsidP="002F32E3">
            <w:pPr>
              <w:pStyle w:val="ENoteTableText"/>
            </w:pPr>
            <w:r w:rsidRPr="00576D60">
              <w:t>—</w:t>
            </w:r>
          </w:p>
        </w:tc>
      </w:tr>
      <w:tr w:rsidR="00E93F58" w:rsidRPr="00576D60" w14:paraId="245B5849" w14:textId="77777777" w:rsidTr="00AC3AE9">
        <w:trPr>
          <w:cantSplit/>
        </w:trPr>
        <w:tc>
          <w:tcPr>
            <w:tcW w:w="1270" w:type="pct"/>
            <w:tcBorders>
              <w:top w:val="single" w:sz="4" w:space="0" w:color="auto"/>
              <w:bottom w:val="single" w:sz="4" w:space="0" w:color="auto"/>
            </w:tcBorders>
            <w:shd w:val="clear" w:color="auto" w:fill="auto"/>
          </w:tcPr>
          <w:p w14:paraId="2D3F3C97" w14:textId="77777777" w:rsidR="00E93F58" w:rsidRPr="00576D60" w:rsidRDefault="00E93F58" w:rsidP="002F32E3">
            <w:pPr>
              <w:pStyle w:val="ENoteTableText"/>
            </w:pPr>
            <w:r w:rsidRPr="00576D60">
              <w:t xml:space="preserve">Financial Sector Reform (Hayne Royal Commission Response) (Hawking of Financial Products) </w:t>
            </w:r>
            <w:r>
              <w:t>Regulations 2</w:t>
            </w:r>
            <w:r w:rsidRPr="00576D60">
              <w:t>021</w:t>
            </w:r>
          </w:p>
        </w:tc>
        <w:tc>
          <w:tcPr>
            <w:tcW w:w="1125" w:type="pct"/>
            <w:tcBorders>
              <w:top w:val="single" w:sz="4" w:space="0" w:color="auto"/>
              <w:bottom w:val="single" w:sz="4" w:space="0" w:color="auto"/>
            </w:tcBorders>
            <w:shd w:val="clear" w:color="auto" w:fill="auto"/>
          </w:tcPr>
          <w:p w14:paraId="6E0444F8" w14:textId="77777777" w:rsidR="00E93F58" w:rsidRPr="00576D60" w:rsidRDefault="00E93F58">
            <w:pPr>
              <w:pStyle w:val="ENoteTableText"/>
            </w:pPr>
            <w:r w:rsidRPr="00576D60">
              <w:t>6 Aug 2021 (F2021L01080)</w:t>
            </w:r>
          </w:p>
        </w:tc>
        <w:tc>
          <w:tcPr>
            <w:tcW w:w="1495" w:type="pct"/>
            <w:tcBorders>
              <w:top w:val="single" w:sz="4" w:space="0" w:color="auto"/>
              <w:bottom w:val="single" w:sz="4" w:space="0" w:color="auto"/>
            </w:tcBorders>
            <w:shd w:val="clear" w:color="auto" w:fill="auto"/>
          </w:tcPr>
          <w:p w14:paraId="34D6CF50" w14:textId="77777777" w:rsidR="00E93F58" w:rsidRPr="00576D60" w:rsidRDefault="00E93F58">
            <w:pPr>
              <w:pStyle w:val="ENoteTableText"/>
            </w:pPr>
            <w:r w:rsidRPr="00576D60">
              <w:t xml:space="preserve">5 Oct 2021 (s 2(1) </w:t>
            </w:r>
            <w:r>
              <w:t>item 1</w:t>
            </w:r>
            <w:r w:rsidRPr="00576D60">
              <w:t>)</w:t>
            </w:r>
          </w:p>
        </w:tc>
        <w:tc>
          <w:tcPr>
            <w:tcW w:w="1110" w:type="pct"/>
            <w:tcBorders>
              <w:top w:val="single" w:sz="4" w:space="0" w:color="auto"/>
              <w:bottom w:val="single" w:sz="4" w:space="0" w:color="auto"/>
            </w:tcBorders>
            <w:shd w:val="clear" w:color="auto" w:fill="auto"/>
          </w:tcPr>
          <w:p w14:paraId="2FDBF539" w14:textId="77777777" w:rsidR="00E93F58" w:rsidRPr="00576D60" w:rsidRDefault="00E93F58" w:rsidP="002F32E3">
            <w:pPr>
              <w:pStyle w:val="ENoteTableText"/>
            </w:pPr>
            <w:r w:rsidRPr="00576D60">
              <w:t>—</w:t>
            </w:r>
          </w:p>
        </w:tc>
      </w:tr>
      <w:tr w:rsidR="00E93F58" w:rsidRPr="00576D60" w14:paraId="26FF8553" w14:textId="77777777" w:rsidTr="007E3618">
        <w:trPr>
          <w:cantSplit/>
        </w:trPr>
        <w:tc>
          <w:tcPr>
            <w:tcW w:w="1270" w:type="pct"/>
            <w:tcBorders>
              <w:top w:val="single" w:sz="4" w:space="0" w:color="auto"/>
              <w:bottom w:val="single" w:sz="4" w:space="0" w:color="auto"/>
            </w:tcBorders>
            <w:shd w:val="clear" w:color="auto" w:fill="auto"/>
          </w:tcPr>
          <w:p w14:paraId="5F56B46C" w14:textId="77777777" w:rsidR="00E93F58" w:rsidRPr="00576D60" w:rsidRDefault="00E93F58" w:rsidP="002F32E3">
            <w:pPr>
              <w:pStyle w:val="ENoteTableText"/>
            </w:pPr>
            <w:r w:rsidRPr="00576D60">
              <w:t xml:space="preserve">Treasury Laws Amendment (Professional Standards Schemes No. 2) </w:t>
            </w:r>
            <w:r>
              <w:t>Regulations 2</w:t>
            </w:r>
            <w:r w:rsidRPr="00576D60">
              <w:t>021</w:t>
            </w:r>
          </w:p>
        </w:tc>
        <w:tc>
          <w:tcPr>
            <w:tcW w:w="1125" w:type="pct"/>
            <w:tcBorders>
              <w:top w:val="single" w:sz="4" w:space="0" w:color="auto"/>
              <w:bottom w:val="single" w:sz="4" w:space="0" w:color="auto"/>
            </w:tcBorders>
            <w:shd w:val="clear" w:color="auto" w:fill="auto"/>
          </w:tcPr>
          <w:p w14:paraId="1C546D27" w14:textId="77777777" w:rsidR="00E93F58" w:rsidRPr="00576D60" w:rsidRDefault="00E93F58">
            <w:pPr>
              <w:pStyle w:val="ENoteTableText"/>
            </w:pPr>
            <w:r w:rsidRPr="00576D60">
              <w:t>24 Aug 2021 (F2021L01186)</w:t>
            </w:r>
          </w:p>
        </w:tc>
        <w:tc>
          <w:tcPr>
            <w:tcW w:w="1495" w:type="pct"/>
            <w:tcBorders>
              <w:top w:val="single" w:sz="4" w:space="0" w:color="auto"/>
              <w:bottom w:val="single" w:sz="4" w:space="0" w:color="auto"/>
            </w:tcBorders>
            <w:shd w:val="clear" w:color="auto" w:fill="auto"/>
          </w:tcPr>
          <w:p w14:paraId="6DEC2371" w14:textId="77777777" w:rsidR="00E93F58" w:rsidRPr="00576D60" w:rsidRDefault="00E93F58">
            <w:pPr>
              <w:pStyle w:val="ENoteTableText"/>
            </w:pPr>
            <w:r w:rsidRPr="00576D60">
              <w:t>Sch 1 (</w:t>
            </w:r>
            <w:r>
              <w:t>items 1</w:t>
            </w:r>
            <w:r w:rsidRPr="00576D60">
              <w:t xml:space="preserve">1–14): 25 Aug 2021 (s 2(1) </w:t>
            </w:r>
            <w:r>
              <w:t>item 1</w:t>
            </w:r>
            <w:r w:rsidRPr="00576D60">
              <w:t>)</w:t>
            </w:r>
          </w:p>
        </w:tc>
        <w:tc>
          <w:tcPr>
            <w:tcW w:w="1110" w:type="pct"/>
            <w:tcBorders>
              <w:top w:val="single" w:sz="4" w:space="0" w:color="auto"/>
              <w:bottom w:val="single" w:sz="4" w:space="0" w:color="auto"/>
            </w:tcBorders>
            <w:shd w:val="clear" w:color="auto" w:fill="auto"/>
          </w:tcPr>
          <w:p w14:paraId="1718A1AF" w14:textId="77777777" w:rsidR="00E93F58" w:rsidRPr="00576D60" w:rsidRDefault="00E93F58" w:rsidP="002F32E3">
            <w:pPr>
              <w:pStyle w:val="ENoteTableText"/>
            </w:pPr>
            <w:r w:rsidRPr="00576D60">
              <w:t>—</w:t>
            </w:r>
          </w:p>
        </w:tc>
      </w:tr>
      <w:tr w:rsidR="00E93F58" w:rsidRPr="00576D60" w14:paraId="5CEFD0FC" w14:textId="77777777" w:rsidTr="00351F03">
        <w:trPr>
          <w:cantSplit/>
        </w:trPr>
        <w:tc>
          <w:tcPr>
            <w:tcW w:w="1270" w:type="pct"/>
            <w:tcBorders>
              <w:top w:val="single" w:sz="4" w:space="0" w:color="auto"/>
              <w:bottom w:val="single" w:sz="4" w:space="0" w:color="auto"/>
            </w:tcBorders>
            <w:shd w:val="clear" w:color="auto" w:fill="auto"/>
          </w:tcPr>
          <w:p w14:paraId="33AA9752" w14:textId="77777777" w:rsidR="00E93F58" w:rsidRPr="00576D60" w:rsidRDefault="00E93F58" w:rsidP="002F32E3">
            <w:pPr>
              <w:pStyle w:val="ENoteTableText"/>
            </w:pPr>
            <w:r w:rsidRPr="00576D60">
              <w:t xml:space="preserve">Corporations Amendment (Portfolio Holdings Disclosure) </w:t>
            </w:r>
            <w:r>
              <w:t>Regulations 2</w:t>
            </w:r>
            <w:r w:rsidRPr="00576D60">
              <w:t>021</w:t>
            </w:r>
          </w:p>
        </w:tc>
        <w:tc>
          <w:tcPr>
            <w:tcW w:w="1125" w:type="pct"/>
            <w:tcBorders>
              <w:top w:val="single" w:sz="4" w:space="0" w:color="auto"/>
              <w:bottom w:val="single" w:sz="4" w:space="0" w:color="auto"/>
            </w:tcBorders>
            <w:shd w:val="clear" w:color="auto" w:fill="auto"/>
          </w:tcPr>
          <w:p w14:paraId="327BFA49" w14:textId="77777777" w:rsidR="00E93F58" w:rsidRPr="00576D60" w:rsidRDefault="00E93F58">
            <w:pPr>
              <w:pStyle w:val="ENoteTableText"/>
            </w:pPr>
            <w:r w:rsidRPr="00576D60">
              <w:t>11 Nov 2021 (F2021L01531)</w:t>
            </w:r>
          </w:p>
        </w:tc>
        <w:tc>
          <w:tcPr>
            <w:tcW w:w="1495" w:type="pct"/>
            <w:tcBorders>
              <w:top w:val="single" w:sz="4" w:space="0" w:color="auto"/>
              <w:bottom w:val="single" w:sz="4" w:space="0" w:color="auto"/>
            </w:tcBorders>
            <w:shd w:val="clear" w:color="auto" w:fill="auto"/>
          </w:tcPr>
          <w:p w14:paraId="593D7FA9" w14:textId="77777777" w:rsidR="00E93F58" w:rsidRPr="00576D60" w:rsidRDefault="00E93F58">
            <w:pPr>
              <w:pStyle w:val="ENoteTableText"/>
            </w:pPr>
            <w:r w:rsidRPr="00576D60">
              <w:t xml:space="preserve">12 Nov 2021 (s 2(1) </w:t>
            </w:r>
            <w:r>
              <w:t>item 1</w:t>
            </w:r>
            <w:r w:rsidRPr="00576D60">
              <w:t>)</w:t>
            </w:r>
          </w:p>
        </w:tc>
        <w:tc>
          <w:tcPr>
            <w:tcW w:w="1110" w:type="pct"/>
            <w:tcBorders>
              <w:top w:val="single" w:sz="4" w:space="0" w:color="auto"/>
              <w:bottom w:val="single" w:sz="4" w:space="0" w:color="auto"/>
            </w:tcBorders>
            <w:shd w:val="clear" w:color="auto" w:fill="auto"/>
          </w:tcPr>
          <w:p w14:paraId="275758A1" w14:textId="77777777" w:rsidR="00E93F58" w:rsidRPr="00576D60" w:rsidRDefault="00E93F58" w:rsidP="002F32E3">
            <w:pPr>
              <w:pStyle w:val="ENoteTableText"/>
            </w:pPr>
            <w:r w:rsidRPr="00576D60">
              <w:t>—</w:t>
            </w:r>
          </w:p>
        </w:tc>
      </w:tr>
      <w:tr w:rsidR="00E93F58" w:rsidRPr="00576D60" w14:paraId="4CCAAF67" w14:textId="77777777" w:rsidTr="00A42D0F">
        <w:trPr>
          <w:cantSplit/>
        </w:trPr>
        <w:tc>
          <w:tcPr>
            <w:tcW w:w="1270" w:type="pct"/>
            <w:tcBorders>
              <w:top w:val="single" w:sz="4" w:space="0" w:color="auto"/>
              <w:bottom w:val="single" w:sz="4" w:space="0" w:color="auto"/>
            </w:tcBorders>
            <w:shd w:val="clear" w:color="auto" w:fill="auto"/>
          </w:tcPr>
          <w:p w14:paraId="77312BBC" w14:textId="77777777" w:rsidR="00E93F58" w:rsidRPr="00576D60" w:rsidRDefault="00E93F58" w:rsidP="002F32E3">
            <w:pPr>
              <w:pStyle w:val="ENoteTableText"/>
            </w:pPr>
            <w:r w:rsidRPr="00576D60">
              <w:t xml:space="preserve">Corporations Amendment (Litigation Funding) </w:t>
            </w:r>
            <w:r>
              <w:t>Regulations 2</w:t>
            </w:r>
            <w:r w:rsidRPr="00576D60">
              <w:t>021</w:t>
            </w:r>
          </w:p>
        </w:tc>
        <w:tc>
          <w:tcPr>
            <w:tcW w:w="1125" w:type="pct"/>
            <w:tcBorders>
              <w:top w:val="single" w:sz="4" w:space="0" w:color="auto"/>
              <w:bottom w:val="single" w:sz="4" w:space="0" w:color="auto"/>
            </w:tcBorders>
            <w:shd w:val="clear" w:color="auto" w:fill="auto"/>
          </w:tcPr>
          <w:p w14:paraId="3467C37C" w14:textId="77777777" w:rsidR="00E93F58" w:rsidRPr="00576D60" w:rsidRDefault="00E93F58">
            <w:pPr>
              <w:pStyle w:val="ENoteTableText"/>
            </w:pPr>
            <w:r w:rsidRPr="00576D60">
              <w:t>25 Nov 2021 (F2021L01608)</w:t>
            </w:r>
          </w:p>
        </w:tc>
        <w:tc>
          <w:tcPr>
            <w:tcW w:w="1495" w:type="pct"/>
            <w:tcBorders>
              <w:top w:val="single" w:sz="4" w:space="0" w:color="auto"/>
              <w:bottom w:val="single" w:sz="4" w:space="0" w:color="auto"/>
            </w:tcBorders>
            <w:shd w:val="clear" w:color="auto" w:fill="auto"/>
          </w:tcPr>
          <w:p w14:paraId="0BC32D03" w14:textId="77777777" w:rsidR="00E93F58" w:rsidRPr="00576D60" w:rsidRDefault="00E93F58">
            <w:pPr>
              <w:pStyle w:val="ENoteTableText"/>
              <w:rPr>
                <w:u w:val="single"/>
              </w:rPr>
            </w:pPr>
            <w:r w:rsidRPr="00576D60">
              <w:t xml:space="preserve">Sch 1 (items 5–11): never commenced (s 2(1) </w:t>
            </w:r>
            <w:r>
              <w:t>items 3</w:t>
            </w:r>
            <w:r w:rsidRPr="00576D60">
              <w:t>, 4)</w:t>
            </w:r>
            <w:r w:rsidRPr="00576D60">
              <w:br/>
              <w:t xml:space="preserve">Remainder: 26 Nov 2021 (s 2(1) </w:t>
            </w:r>
            <w:r>
              <w:t>items 1</w:t>
            </w:r>
            <w:r w:rsidRPr="00576D60">
              <w:t>, 2)</w:t>
            </w:r>
          </w:p>
        </w:tc>
        <w:tc>
          <w:tcPr>
            <w:tcW w:w="1110" w:type="pct"/>
            <w:tcBorders>
              <w:top w:val="single" w:sz="4" w:space="0" w:color="auto"/>
              <w:bottom w:val="single" w:sz="4" w:space="0" w:color="auto"/>
            </w:tcBorders>
            <w:shd w:val="clear" w:color="auto" w:fill="auto"/>
          </w:tcPr>
          <w:p w14:paraId="59A29212" w14:textId="77777777" w:rsidR="00E93F58" w:rsidRPr="00576D60" w:rsidRDefault="00E93F58" w:rsidP="002F32E3">
            <w:pPr>
              <w:pStyle w:val="ENoteTableText"/>
            </w:pPr>
            <w:bookmarkStart w:id="3633" w:name="_Hlk90298959"/>
            <w:r w:rsidRPr="00576D60">
              <w:t>—</w:t>
            </w:r>
            <w:bookmarkEnd w:id="3633"/>
          </w:p>
        </w:tc>
      </w:tr>
      <w:tr w:rsidR="00E93F58" w:rsidRPr="00576D60" w14:paraId="07B1B38F" w14:textId="77777777" w:rsidTr="00A42D0F">
        <w:trPr>
          <w:cantSplit/>
        </w:trPr>
        <w:tc>
          <w:tcPr>
            <w:tcW w:w="1270" w:type="pct"/>
            <w:tcBorders>
              <w:top w:val="single" w:sz="4" w:space="0" w:color="auto"/>
              <w:bottom w:val="single" w:sz="4" w:space="0" w:color="auto"/>
            </w:tcBorders>
            <w:shd w:val="clear" w:color="auto" w:fill="auto"/>
          </w:tcPr>
          <w:p w14:paraId="16B7EDB8" w14:textId="77777777" w:rsidR="00E93F58" w:rsidRPr="00576D60" w:rsidRDefault="00E93F58" w:rsidP="002F32E3">
            <w:pPr>
              <w:pStyle w:val="ENoteTableText"/>
            </w:pPr>
            <w:r w:rsidRPr="00576D60">
              <w:t xml:space="preserve">Treasury Laws Amendment (Greater Transparency of Proxy Advice) </w:t>
            </w:r>
            <w:r>
              <w:t>Regulations 2</w:t>
            </w:r>
            <w:r w:rsidRPr="00576D60">
              <w:t>021</w:t>
            </w:r>
          </w:p>
        </w:tc>
        <w:tc>
          <w:tcPr>
            <w:tcW w:w="1125" w:type="pct"/>
            <w:tcBorders>
              <w:top w:val="single" w:sz="4" w:space="0" w:color="auto"/>
              <w:bottom w:val="single" w:sz="4" w:space="0" w:color="auto"/>
            </w:tcBorders>
            <w:shd w:val="clear" w:color="auto" w:fill="auto"/>
          </w:tcPr>
          <w:p w14:paraId="29276384" w14:textId="77777777" w:rsidR="00E93F58" w:rsidRPr="00576D60" w:rsidRDefault="00E93F58">
            <w:pPr>
              <w:pStyle w:val="ENoteTableText"/>
            </w:pPr>
            <w:r w:rsidRPr="00576D60">
              <w:t>17 Dec 2021 (F2021L01801)</w:t>
            </w:r>
          </w:p>
        </w:tc>
        <w:tc>
          <w:tcPr>
            <w:tcW w:w="1495" w:type="pct"/>
            <w:tcBorders>
              <w:top w:val="single" w:sz="4" w:space="0" w:color="auto"/>
              <w:bottom w:val="single" w:sz="4" w:space="0" w:color="auto"/>
            </w:tcBorders>
            <w:shd w:val="clear" w:color="auto" w:fill="auto"/>
          </w:tcPr>
          <w:p w14:paraId="67219737" w14:textId="77777777" w:rsidR="00E93F58" w:rsidRPr="00576D60" w:rsidRDefault="00E93F58">
            <w:pPr>
              <w:pStyle w:val="ENoteTableText"/>
            </w:pPr>
            <w:r w:rsidRPr="00576D60">
              <w:t>Sch 1 (</w:t>
            </w:r>
            <w:r>
              <w:t>items 1</w:t>
            </w:r>
            <w:r w:rsidRPr="00576D60">
              <w:t xml:space="preserve">–5): 18 Dec 2021 (s 2(1) </w:t>
            </w:r>
            <w:r>
              <w:t>item 1</w:t>
            </w:r>
            <w:r w:rsidRPr="00576D60">
              <w:t>)</w:t>
            </w:r>
            <w:r w:rsidRPr="00576D60">
              <w:br/>
              <w:t>Note: disallowed by the Senate at 11.59 am on 10 Feb 2022</w:t>
            </w:r>
          </w:p>
        </w:tc>
        <w:tc>
          <w:tcPr>
            <w:tcW w:w="1110" w:type="pct"/>
            <w:tcBorders>
              <w:top w:val="single" w:sz="4" w:space="0" w:color="auto"/>
              <w:bottom w:val="single" w:sz="4" w:space="0" w:color="auto"/>
            </w:tcBorders>
            <w:shd w:val="clear" w:color="auto" w:fill="auto"/>
          </w:tcPr>
          <w:p w14:paraId="0EB31823" w14:textId="77777777" w:rsidR="00E93F58" w:rsidRPr="00576D60" w:rsidRDefault="00E93F58" w:rsidP="002F32E3">
            <w:pPr>
              <w:pStyle w:val="ENoteTableText"/>
            </w:pPr>
            <w:r w:rsidRPr="00576D60">
              <w:t>—</w:t>
            </w:r>
          </w:p>
        </w:tc>
      </w:tr>
      <w:tr w:rsidR="00E93F58" w:rsidRPr="00576D60" w14:paraId="6E0F2BAC" w14:textId="77777777" w:rsidTr="008879B0">
        <w:trPr>
          <w:cantSplit/>
        </w:trPr>
        <w:tc>
          <w:tcPr>
            <w:tcW w:w="1270" w:type="pct"/>
            <w:tcBorders>
              <w:top w:val="single" w:sz="4" w:space="0" w:color="auto"/>
              <w:bottom w:val="single" w:sz="4" w:space="0" w:color="auto"/>
            </w:tcBorders>
            <w:shd w:val="clear" w:color="auto" w:fill="auto"/>
          </w:tcPr>
          <w:p w14:paraId="47423B4F" w14:textId="77777777" w:rsidR="00E93F58" w:rsidRPr="00576D60" w:rsidRDefault="00E93F58" w:rsidP="002F32E3">
            <w:pPr>
              <w:pStyle w:val="ENoteTableText"/>
            </w:pPr>
            <w:r w:rsidRPr="00576D60">
              <w:t xml:space="preserve">Treasury Laws Amendment (Miscellaneous and Technical Amendments No. 2) </w:t>
            </w:r>
            <w:r>
              <w:t>Regulations 2</w:t>
            </w:r>
            <w:r w:rsidRPr="00576D60">
              <w:t>021</w:t>
            </w:r>
          </w:p>
        </w:tc>
        <w:tc>
          <w:tcPr>
            <w:tcW w:w="1125" w:type="pct"/>
            <w:tcBorders>
              <w:top w:val="single" w:sz="4" w:space="0" w:color="auto"/>
              <w:bottom w:val="single" w:sz="4" w:space="0" w:color="auto"/>
            </w:tcBorders>
            <w:shd w:val="clear" w:color="auto" w:fill="auto"/>
          </w:tcPr>
          <w:p w14:paraId="52EA0EAE" w14:textId="77777777" w:rsidR="00E93F58" w:rsidRPr="00576D60" w:rsidRDefault="00E93F58">
            <w:pPr>
              <w:pStyle w:val="ENoteTableText"/>
            </w:pPr>
            <w:r w:rsidRPr="00576D60">
              <w:t>17 Dec 2021 (F2021L01841)</w:t>
            </w:r>
          </w:p>
        </w:tc>
        <w:tc>
          <w:tcPr>
            <w:tcW w:w="1495" w:type="pct"/>
            <w:tcBorders>
              <w:top w:val="single" w:sz="4" w:space="0" w:color="auto"/>
              <w:bottom w:val="single" w:sz="4" w:space="0" w:color="auto"/>
            </w:tcBorders>
            <w:shd w:val="clear" w:color="auto" w:fill="auto"/>
          </w:tcPr>
          <w:p w14:paraId="7841FFE6" w14:textId="77777777" w:rsidR="00E93F58" w:rsidRPr="00576D60" w:rsidRDefault="00E93F58">
            <w:pPr>
              <w:pStyle w:val="ENoteTableText"/>
            </w:pPr>
            <w:r w:rsidRPr="00576D60">
              <w:t>Sch 1 (</w:t>
            </w:r>
            <w:r>
              <w:t>items 1</w:t>
            </w:r>
            <w:r w:rsidRPr="00576D60">
              <w:t xml:space="preserve">–9): 18 Dec 2021 (s 2(1) </w:t>
            </w:r>
            <w:r>
              <w:t>item 2</w:t>
            </w:r>
            <w:r w:rsidRPr="00576D60">
              <w:t>)</w:t>
            </w:r>
            <w:r w:rsidRPr="00576D60">
              <w:br/>
              <w:t>Sch 1 (</w:t>
            </w:r>
            <w:r>
              <w:t>items 1</w:t>
            </w:r>
            <w:r w:rsidRPr="00576D60">
              <w:t xml:space="preserve">6–18): 23 Feb 2022 (s 2(1) </w:t>
            </w:r>
            <w:r>
              <w:t>item 3</w:t>
            </w:r>
            <w:r w:rsidRPr="00576D60">
              <w:t>)</w:t>
            </w:r>
            <w:r w:rsidRPr="00576D60">
              <w:br/>
              <w:t>Note: This amending title was affected by an editorial change (see F2022C00319)</w:t>
            </w:r>
          </w:p>
        </w:tc>
        <w:tc>
          <w:tcPr>
            <w:tcW w:w="1110" w:type="pct"/>
            <w:tcBorders>
              <w:top w:val="single" w:sz="4" w:space="0" w:color="auto"/>
              <w:bottom w:val="single" w:sz="4" w:space="0" w:color="auto"/>
            </w:tcBorders>
            <w:shd w:val="clear" w:color="auto" w:fill="auto"/>
          </w:tcPr>
          <w:p w14:paraId="170320D4" w14:textId="77777777" w:rsidR="00E93F58" w:rsidRPr="00576D60" w:rsidRDefault="00E93F58" w:rsidP="002F32E3">
            <w:pPr>
              <w:pStyle w:val="ENoteTableText"/>
            </w:pPr>
            <w:r w:rsidRPr="00576D60">
              <w:t>—</w:t>
            </w:r>
          </w:p>
        </w:tc>
      </w:tr>
      <w:tr w:rsidR="00E93F58" w:rsidRPr="00576D60" w14:paraId="67D1B21B" w14:textId="77777777" w:rsidTr="007C3245">
        <w:trPr>
          <w:cantSplit/>
        </w:trPr>
        <w:tc>
          <w:tcPr>
            <w:tcW w:w="1270" w:type="pct"/>
            <w:tcBorders>
              <w:top w:val="single" w:sz="4" w:space="0" w:color="auto"/>
              <w:bottom w:val="single" w:sz="4" w:space="0" w:color="auto"/>
            </w:tcBorders>
            <w:shd w:val="clear" w:color="auto" w:fill="auto"/>
          </w:tcPr>
          <w:p w14:paraId="570B4A56" w14:textId="77777777" w:rsidR="00E93F58" w:rsidRPr="00576D60" w:rsidRDefault="00E93F58" w:rsidP="002F32E3">
            <w:pPr>
              <w:pStyle w:val="ENoteTableText"/>
            </w:pPr>
            <w:r w:rsidRPr="00576D60">
              <w:t xml:space="preserve">Treasury Laws Amendment (Corporate Insolvency Reforms Consequential Amendments) </w:t>
            </w:r>
            <w:r>
              <w:t>Regulations 2</w:t>
            </w:r>
            <w:r w:rsidRPr="00576D60">
              <w:t>021</w:t>
            </w:r>
          </w:p>
        </w:tc>
        <w:tc>
          <w:tcPr>
            <w:tcW w:w="1125" w:type="pct"/>
            <w:tcBorders>
              <w:top w:val="single" w:sz="4" w:space="0" w:color="auto"/>
              <w:bottom w:val="single" w:sz="4" w:space="0" w:color="auto"/>
            </w:tcBorders>
            <w:shd w:val="clear" w:color="auto" w:fill="auto"/>
          </w:tcPr>
          <w:p w14:paraId="672FB1F6" w14:textId="77777777" w:rsidR="00E93F58" w:rsidRPr="00576D60" w:rsidRDefault="00E93F58">
            <w:pPr>
              <w:pStyle w:val="ENoteTableText"/>
            </w:pPr>
            <w:r w:rsidRPr="00576D60">
              <w:t>20 Dec 2021 (F2021L01847)</w:t>
            </w:r>
          </w:p>
        </w:tc>
        <w:tc>
          <w:tcPr>
            <w:tcW w:w="1495" w:type="pct"/>
            <w:tcBorders>
              <w:top w:val="single" w:sz="4" w:space="0" w:color="auto"/>
              <w:bottom w:val="single" w:sz="4" w:space="0" w:color="auto"/>
            </w:tcBorders>
            <w:shd w:val="clear" w:color="auto" w:fill="auto"/>
          </w:tcPr>
          <w:p w14:paraId="2BCB19B6" w14:textId="77777777" w:rsidR="00E93F58" w:rsidRPr="00576D60" w:rsidRDefault="00E93F58">
            <w:pPr>
              <w:pStyle w:val="ENoteTableText"/>
            </w:pPr>
            <w:r w:rsidRPr="00576D60">
              <w:t>Sch 1 (</w:t>
            </w:r>
            <w:r>
              <w:t>items 1</w:t>
            </w:r>
            <w:r w:rsidRPr="00576D60">
              <w:t xml:space="preserve">0–13): 21 Dec 2021 (s 2(1) </w:t>
            </w:r>
            <w:r>
              <w:t>item 1</w:t>
            </w:r>
            <w:r w:rsidRPr="00576D60">
              <w:t>)</w:t>
            </w:r>
          </w:p>
        </w:tc>
        <w:tc>
          <w:tcPr>
            <w:tcW w:w="1110" w:type="pct"/>
            <w:tcBorders>
              <w:top w:val="single" w:sz="4" w:space="0" w:color="auto"/>
              <w:bottom w:val="single" w:sz="4" w:space="0" w:color="auto"/>
            </w:tcBorders>
            <w:shd w:val="clear" w:color="auto" w:fill="auto"/>
          </w:tcPr>
          <w:p w14:paraId="29A631D0" w14:textId="77777777" w:rsidR="00E93F58" w:rsidRPr="00576D60" w:rsidRDefault="00E93F58" w:rsidP="002F32E3">
            <w:pPr>
              <w:pStyle w:val="ENoteTableText"/>
            </w:pPr>
            <w:r w:rsidRPr="00576D60">
              <w:t>—</w:t>
            </w:r>
          </w:p>
        </w:tc>
      </w:tr>
      <w:tr w:rsidR="00E93F58" w:rsidRPr="00576D60" w14:paraId="3283919E" w14:textId="77777777" w:rsidTr="009062E0">
        <w:trPr>
          <w:cantSplit/>
        </w:trPr>
        <w:tc>
          <w:tcPr>
            <w:tcW w:w="1270" w:type="pct"/>
            <w:tcBorders>
              <w:top w:val="single" w:sz="4" w:space="0" w:color="auto"/>
              <w:bottom w:val="single" w:sz="4" w:space="0" w:color="auto"/>
            </w:tcBorders>
            <w:shd w:val="clear" w:color="auto" w:fill="auto"/>
          </w:tcPr>
          <w:p w14:paraId="72AAA2D4" w14:textId="77777777" w:rsidR="00E93F58" w:rsidRPr="00576D60" w:rsidRDefault="00E93F58" w:rsidP="00E26752">
            <w:pPr>
              <w:pStyle w:val="ENoteTableText"/>
            </w:pPr>
            <w:r w:rsidRPr="00576D60">
              <w:t xml:space="preserve">Financial Sector Reform Amendment (Hayne Royal Commission Response—Better Advice) </w:t>
            </w:r>
            <w:r>
              <w:t>Regulations 2</w:t>
            </w:r>
            <w:r w:rsidRPr="00576D60">
              <w:t>021</w:t>
            </w:r>
          </w:p>
        </w:tc>
        <w:tc>
          <w:tcPr>
            <w:tcW w:w="1125" w:type="pct"/>
            <w:tcBorders>
              <w:top w:val="single" w:sz="4" w:space="0" w:color="auto"/>
              <w:bottom w:val="single" w:sz="4" w:space="0" w:color="auto"/>
            </w:tcBorders>
            <w:shd w:val="clear" w:color="auto" w:fill="auto"/>
          </w:tcPr>
          <w:p w14:paraId="173583DF" w14:textId="77777777" w:rsidR="00E93F58" w:rsidRPr="00576D60" w:rsidRDefault="00E93F58" w:rsidP="00E26752">
            <w:pPr>
              <w:pStyle w:val="ENoteTableText"/>
            </w:pPr>
            <w:r w:rsidRPr="00576D60">
              <w:t>20 Dec 2021 (F2021L01854)</w:t>
            </w:r>
          </w:p>
        </w:tc>
        <w:tc>
          <w:tcPr>
            <w:tcW w:w="1495" w:type="pct"/>
            <w:tcBorders>
              <w:top w:val="single" w:sz="4" w:space="0" w:color="auto"/>
              <w:bottom w:val="single" w:sz="4" w:space="0" w:color="auto"/>
            </w:tcBorders>
            <w:shd w:val="clear" w:color="auto" w:fill="auto"/>
          </w:tcPr>
          <w:p w14:paraId="7B10C85E" w14:textId="77777777" w:rsidR="00E93F58" w:rsidRPr="00576D60" w:rsidRDefault="00E93F58" w:rsidP="00E26752">
            <w:pPr>
              <w:pStyle w:val="ENoteTableText"/>
            </w:pPr>
            <w:r w:rsidRPr="00576D60">
              <w:t xml:space="preserve">Sch 1 (items 4–7): 1 Jan 2022 (s 2(1) </w:t>
            </w:r>
            <w:r>
              <w:t>item 1</w:t>
            </w:r>
            <w:r w:rsidRPr="00576D60">
              <w:t>)</w:t>
            </w:r>
          </w:p>
        </w:tc>
        <w:tc>
          <w:tcPr>
            <w:tcW w:w="1110" w:type="pct"/>
            <w:tcBorders>
              <w:top w:val="single" w:sz="4" w:space="0" w:color="auto"/>
              <w:bottom w:val="single" w:sz="4" w:space="0" w:color="auto"/>
            </w:tcBorders>
            <w:shd w:val="clear" w:color="auto" w:fill="auto"/>
          </w:tcPr>
          <w:p w14:paraId="4DE3AD7E" w14:textId="77777777" w:rsidR="00E93F58" w:rsidRPr="00576D60" w:rsidRDefault="00E93F58" w:rsidP="00E26752">
            <w:pPr>
              <w:pStyle w:val="ENoteTableText"/>
            </w:pPr>
            <w:r w:rsidRPr="00576D60">
              <w:t>—</w:t>
            </w:r>
          </w:p>
        </w:tc>
      </w:tr>
      <w:tr w:rsidR="00E93F58" w:rsidRPr="00576D60" w14:paraId="4051CBFC" w14:textId="77777777" w:rsidTr="00D42FA2">
        <w:trPr>
          <w:cantSplit/>
        </w:trPr>
        <w:tc>
          <w:tcPr>
            <w:tcW w:w="1270" w:type="pct"/>
            <w:tcBorders>
              <w:top w:val="single" w:sz="4" w:space="0" w:color="auto"/>
              <w:bottom w:val="single" w:sz="4" w:space="0" w:color="auto"/>
            </w:tcBorders>
            <w:shd w:val="clear" w:color="auto" w:fill="auto"/>
          </w:tcPr>
          <w:p w14:paraId="7C7621E0" w14:textId="77777777" w:rsidR="00E93F58" w:rsidRPr="00576D60" w:rsidRDefault="00E93F58" w:rsidP="00E26752">
            <w:pPr>
              <w:pStyle w:val="ENoteTableText"/>
            </w:pPr>
            <w:r w:rsidRPr="00576D60">
              <w:t xml:space="preserve">Treasury Laws Amendment (Professional Standards Schemes) </w:t>
            </w:r>
            <w:r>
              <w:t>Regulations 2</w:t>
            </w:r>
            <w:r w:rsidRPr="00576D60">
              <w:t>022</w:t>
            </w:r>
          </w:p>
        </w:tc>
        <w:tc>
          <w:tcPr>
            <w:tcW w:w="1125" w:type="pct"/>
            <w:tcBorders>
              <w:top w:val="single" w:sz="4" w:space="0" w:color="auto"/>
              <w:bottom w:val="single" w:sz="4" w:space="0" w:color="auto"/>
            </w:tcBorders>
            <w:shd w:val="clear" w:color="auto" w:fill="auto"/>
          </w:tcPr>
          <w:p w14:paraId="5AFE9984" w14:textId="77777777" w:rsidR="00E93F58" w:rsidRPr="00576D60" w:rsidRDefault="00E93F58" w:rsidP="00E26752">
            <w:pPr>
              <w:pStyle w:val="ENoteTableText"/>
            </w:pPr>
            <w:r w:rsidRPr="00576D60">
              <w:t>21 Mar 2022 (F2022L00350)</w:t>
            </w:r>
          </w:p>
        </w:tc>
        <w:tc>
          <w:tcPr>
            <w:tcW w:w="1495" w:type="pct"/>
            <w:tcBorders>
              <w:top w:val="single" w:sz="4" w:space="0" w:color="auto"/>
              <w:bottom w:val="single" w:sz="4" w:space="0" w:color="auto"/>
            </w:tcBorders>
            <w:shd w:val="clear" w:color="auto" w:fill="auto"/>
          </w:tcPr>
          <w:p w14:paraId="745442A1" w14:textId="77777777" w:rsidR="00E93F58" w:rsidRPr="00576D60" w:rsidRDefault="00E93F58" w:rsidP="00E26752">
            <w:pPr>
              <w:pStyle w:val="ENoteTableText"/>
            </w:pPr>
            <w:r w:rsidRPr="00576D60">
              <w:t xml:space="preserve">Sch 1 (items 9–11): 22 Mar 2022 (s 2(1) </w:t>
            </w:r>
            <w:r>
              <w:t>item 2</w:t>
            </w:r>
            <w:r w:rsidRPr="00576D60">
              <w:t>)</w:t>
            </w:r>
            <w:r w:rsidRPr="00576D60">
              <w:br/>
              <w:t>Sch 1 (</w:t>
            </w:r>
            <w:r>
              <w:t>items 1</w:t>
            </w:r>
            <w:r w:rsidRPr="00576D60">
              <w:t xml:space="preserve">6, 17): 1 July 2022 (s 2(1) </w:t>
            </w:r>
            <w:r>
              <w:t>item 3</w:t>
            </w:r>
            <w:r w:rsidRPr="00576D60">
              <w:t>)</w:t>
            </w:r>
          </w:p>
        </w:tc>
        <w:tc>
          <w:tcPr>
            <w:tcW w:w="1110" w:type="pct"/>
            <w:tcBorders>
              <w:top w:val="single" w:sz="4" w:space="0" w:color="auto"/>
              <w:bottom w:val="single" w:sz="4" w:space="0" w:color="auto"/>
            </w:tcBorders>
            <w:shd w:val="clear" w:color="auto" w:fill="auto"/>
          </w:tcPr>
          <w:p w14:paraId="5F8D06FC" w14:textId="77777777" w:rsidR="00E93F58" w:rsidRPr="00576D60" w:rsidRDefault="00E93F58" w:rsidP="00E26752">
            <w:pPr>
              <w:pStyle w:val="ENoteTableText"/>
            </w:pPr>
            <w:r w:rsidRPr="00576D60">
              <w:t>—</w:t>
            </w:r>
          </w:p>
        </w:tc>
      </w:tr>
      <w:tr w:rsidR="00E93F58" w:rsidRPr="00576D60" w14:paraId="1DEE0AE9" w14:textId="77777777" w:rsidTr="00D42FA2">
        <w:trPr>
          <w:cantSplit/>
        </w:trPr>
        <w:tc>
          <w:tcPr>
            <w:tcW w:w="1270" w:type="pct"/>
            <w:tcBorders>
              <w:top w:val="single" w:sz="4" w:space="0" w:color="auto"/>
              <w:bottom w:val="single" w:sz="4" w:space="0" w:color="auto"/>
            </w:tcBorders>
            <w:shd w:val="clear" w:color="auto" w:fill="auto"/>
          </w:tcPr>
          <w:p w14:paraId="1D0B659B" w14:textId="77777777" w:rsidR="00E93F58" w:rsidRPr="00576D60" w:rsidRDefault="00E93F58" w:rsidP="00E26752">
            <w:pPr>
              <w:pStyle w:val="ENoteTableText"/>
            </w:pPr>
            <w:bookmarkStart w:id="3634" w:name="_Hlk95820263"/>
            <w:r w:rsidRPr="00576D60">
              <w:lastRenderedPageBreak/>
              <w:t xml:space="preserve">Corporations and Other Legislation Amendment (Corporate Collective Investment Vehicle Framework) </w:t>
            </w:r>
            <w:r>
              <w:t>Regulations 2</w:t>
            </w:r>
            <w:r w:rsidRPr="00576D60">
              <w:t>022</w:t>
            </w:r>
            <w:bookmarkEnd w:id="3634"/>
          </w:p>
        </w:tc>
        <w:tc>
          <w:tcPr>
            <w:tcW w:w="1125" w:type="pct"/>
            <w:tcBorders>
              <w:top w:val="single" w:sz="4" w:space="0" w:color="auto"/>
              <w:bottom w:val="single" w:sz="4" w:space="0" w:color="auto"/>
            </w:tcBorders>
            <w:shd w:val="clear" w:color="auto" w:fill="auto"/>
          </w:tcPr>
          <w:p w14:paraId="5945A3BA" w14:textId="77777777" w:rsidR="00E93F58" w:rsidRPr="00576D60" w:rsidRDefault="00E93F58" w:rsidP="00E26752">
            <w:pPr>
              <w:pStyle w:val="ENoteTableText"/>
            </w:pPr>
            <w:r w:rsidRPr="00576D60">
              <w:t>31 Mar 2022 (F2022L00469)</w:t>
            </w:r>
          </w:p>
        </w:tc>
        <w:tc>
          <w:tcPr>
            <w:tcW w:w="1495" w:type="pct"/>
            <w:tcBorders>
              <w:top w:val="single" w:sz="4" w:space="0" w:color="auto"/>
              <w:bottom w:val="single" w:sz="4" w:space="0" w:color="auto"/>
            </w:tcBorders>
            <w:shd w:val="clear" w:color="auto" w:fill="auto"/>
          </w:tcPr>
          <w:p w14:paraId="5FA70E27" w14:textId="77777777" w:rsidR="00E93F58" w:rsidRPr="00576D60" w:rsidRDefault="00E93F58" w:rsidP="00E26752">
            <w:pPr>
              <w:pStyle w:val="ENoteTableText"/>
            </w:pPr>
            <w:r w:rsidRPr="00576D60">
              <w:t>Sch 1 (items 2–30), Sch 2 and Sch 3 (</w:t>
            </w:r>
            <w:r>
              <w:t>items 1</w:t>
            </w:r>
            <w:r w:rsidRPr="00576D60">
              <w:t xml:space="preserve">–43): 1 July 2022 (s 2(1) </w:t>
            </w:r>
            <w:r>
              <w:t>item 1</w:t>
            </w:r>
            <w:r w:rsidRPr="00576D60">
              <w:t>)</w:t>
            </w:r>
          </w:p>
        </w:tc>
        <w:tc>
          <w:tcPr>
            <w:tcW w:w="1110" w:type="pct"/>
            <w:tcBorders>
              <w:top w:val="single" w:sz="4" w:space="0" w:color="auto"/>
              <w:bottom w:val="single" w:sz="4" w:space="0" w:color="auto"/>
            </w:tcBorders>
            <w:shd w:val="clear" w:color="auto" w:fill="auto"/>
          </w:tcPr>
          <w:p w14:paraId="26D6EA7A" w14:textId="77777777" w:rsidR="00E93F58" w:rsidRPr="00576D60" w:rsidRDefault="00E93F58" w:rsidP="00E26752">
            <w:pPr>
              <w:pStyle w:val="ENoteTableText"/>
            </w:pPr>
            <w:r w:rsidRPr="00576D60">
              <w:t>—</w:t>
            </w:r>
          </w:p>
        </w:tc>
      </w:tr>
      <w:tr w:rsidR="00E93F58" w:rsidRPr="00576D60" w14:paraId="23A1777E" w14:textId="77777777" w:rsidTr="00505974">
        <w:trPr>
          <w:cantSplit/>
        </w:trPr>
        <w:tc>
          <w:tcPr>
            <w:tcW w:w="1270" w:type="pct"/>
            <w:tcBorders>
              <w:top w:val="single" w:sz="4" w:space="0" w:color="auto"/>
              <w:bottom w:val="single" w:sz="4" w:space="0" w:color="auto"/>
            </w:tcBorders>
            <w:shd w:val="clear" w:color="auto" w:fill="auto"/>
          </w:tcPr>
          <w:p w14:paraId="50255626" w14:textId="77777777" w:rsidR="00E93F58" w:rsidRPr="00576D60" w:rsidRDefault="00E93F58" w:rsidP="00E26752">
            <w:pPr>
              <w:pStyle w:val="ENoteTableText"/>
            </w:pPr>
            <w:r w:rsidRPr="00576D60">
              <w:t xml:space="preserve">Treasury Laws Amendment (Professional Standards Schemes No. 2) </w:t>
            </w:r>
            <w:r>
              <w:t>Regulations 2</w:t>
            </w:r>
            <w:r w:rsidRPr="00576D60">
              <w:t>022</w:t>
            </w:r>
          </w:p>
        </w:tc>
        <w:tc>
          <w:tcPr>
            <w:tcW w:w="1125" w:type="pct"/>
            <w:tcBorders>
              <w:top w:val="single" w:sz="4" w:space="0" w:color="auto"/>
              <w:bottom w:val="single" w:sz="4" w:space="0" w:color="auto"/>
            </w:tcBorders>
            <w:shd w:val="clear" w:color="auto" w:fill="auto"/>
          </w:tcPr>
          <w:p w14:paraId="4366D0E9" w14:textId="77777777" w:rsidR="00E93F58" w:rsidRPr="00576D60" w:rsidRDefault="00E93F58" w:rsidP="00E26752">
            <w:pPr>
              <w:pStyle w:val="ENoteTableText"/>
            </w:pPr>
            <w:r w:rsidRPr="00576D60">
              <w:t>24 June 2022 (F2022L00831)</w:t>
            </w:r>
          </w:p>
        </w:tc>
        <w:tc>
          <w:tcPr>
            <w:tcW w:w="1495" w:type="pct"/>
            <w:tcBorders>
              <w:top w:val="single" w:sz="4" w:space="0" w:color="auto"/>
              <w:bottom w:val="single" w:sz="4" w:space="0" w:color="auto"/>
            </w:tcBorders>
            <w:shd w:val="clear" w:color="auto" w:fill="auto"/>
          </w:tcPr>
          <w:p w14:paraId="5A696411" w14:textId="77777777" w:rsidR="00E93F58" w:rsidRPr="00576D60" w:rsidRDefault="00E93F58" w:rsidP="00E26752">
            <w:pPr>
              <w:pStyle w:val="ENoteTableText"/>
            </w:pPr>
            <w:r w:rsidRPr="00576D60">
              <w:t xml:space="preserve">Sch 1 (items 7–9): 1 July 2022 (s 2(1) </w:t>
            </w:r>
            <w:r>
              <w:t>item 1</w:t>
            </w:r>
            <w:r w:rsidRPr="00576D60">
              <w:t>)</w:t>
            </w:r>
          </w:p>
        </w:tc>
        <w:tc>
          <w:tcPr>
            <w:tcW w:w="1110" w:type="pct"/>
            <w:tcBorders>
              <w:top w:val="single" w:sz="4" w:space="0" w:color="auto"/>
              <w:bottom w:val="single" w:sz="4" w:space="0" w:color="auto"/>
            </w:tcBorders>
            <w:shd w:val="clear" w:color="auto" w:fill="auto"/>
          </w:tcPr>
          <w:p w14:paraId="1830CFD2" w14:textId="77777777" w:rsidR="00E93F58" w:rsidRPr="00576D60" w:rsidRDefault="00E93F58" w:rsidP="00E26752">
            <w:pPr>
              <w:pStyle w:val="ENoteTableText"/>
            </w:pPr>
            <w:r w:rsidRPr="00576D60">
              <w:t>—</w:t>
            </w:r>
          </w:p>
        </w:tc>
      </w:tr>
      <w:tr w:rsidR="00E93F58" w:rsidRPr="00576D60" w14:paraId="5C62DF95" w14:textId="77777777" w:rsidTr="006656D1">
        <w:trPr>
          <w:cantSplit/>
        </w:trPr>
        <w:tc>
          <w:tcPr>
            <w:tcW w:w="1270" w:type="pct"/>
            <w:tcBorders>
              <w:top w:val="single" w:sz="4" w:space="0" w:color="auto"/>
              <w:bottom w:val="single" w:sz="4" w:space="0" w:color="auto"/>
            </w:tcBorders>
            <w:shd w:val="clear" w:color="auto" w:fill="auto"/>
          </w:tcPr>
          <w:p w14:paraId="0471EC34" w14:textId="77777777" w:rsidR="00E93F58" w:rsidRPr="00576D60" w:rsidRDefault="00E93F58" w:rsidP="00E26752">
            <w:pPr>
              <w:pStyle w:val="ENoteTableText"/>
            </w:pPr>
            <w:r w:rsidRPr="00576D60">
              <w:t xml:space="preserve">Corporations Amendment (Litigation Funding) </w:t>
            </w:r>
            <w:r>
              <w:t>Regulations 2</w:t>
            </w:r>
            <w:r w:rsidRPr="00576D60">
              <w:t>022</w:t>
            </w:r>
          </w:p>
        </w:tc>
        <w:tc>
          <w:tcPr>
            <w:tcW w:w="1125" w:type="pct"/>
            <w:tcBorders>
              <w:top w:val="single" w:sz="4" w:space="0" w:color="auto"/>
              <w:bottom w:val="single" w:sz="4" w:space="0" w:color="auto"/>
            </w:tcBorders>
            <w:shd w:val="clear" w:color="auto" w:fill="auto"/>
          </w:tcPr>
          <w:p w14:paraId="217F28AF" w14:textId="77777777" w:rsidR="00E93F58" w:rsidRPr="00576D60" w:rsidRDefault="00E93F58" w:rsidP="00E26752">
            <w:pPr>
              <w:pStyle w:val="ENoteTableText"/>
            </w:pPr>
            <w:r w:rsidRPr="00576D60">
              <w:t>9 Dec 2022 (F2022L01614)</w:t>
            </w:r>
          </w:p>
        </w:tc>
        <w:tc>
          <w:tcPr>
            <w:tcW w:w="1495" w:type="pct"/>
            <w:tcBorders>
              <w:top w:val="single" w:sz="4" w:space="0" w:color="auto"/>
              <w:bottom w:val="single" w:sz="4" w:space="0" w:color="auto"/>
            </w:tcBorders>
            <w:shd w:val="clear" w:color="auto" w:fill="auto"/>
          </w:tcPr>
          <w:p w14:paraId="26489858" w14:textId="77777777" w:rsidR="00E93F58" w:rsidRPr="00576D60" w:rsidRDefault="00E93F58" w:rsidP="00E26752">
            <w:pPr>
              <w:pStyle w:val="ENoteTableText"/>
            </w:pPr>
            <w:r w:rsidRPr="00576D60">
              <w:t xml:space="preserve">10 Dec 2022 (s 2(1) </w:t>
            </w:r>
            <w:r>
              <w:t>item 1</w:t>
            </w:r>
            <w:r w:rsidRPr="00576D60">
              <w:t>)</w:t>
            </w:r>
          </w:p>
        </w:tc>
        <w:tc>
          <w:tcPr>
            <w:tcW w:w="1110" w:type="pct"/>
            <w:tcBorders>
              <w:top w:val="single" w:sz="4" w:space="0" w:color="auto"/>
              <w:bottom w:val="single" w:sz="4" w:space="0" w:color="auto"/>
            </w:tcBorders>
            <w:shd w:val="clear" w:color="auto" w:fill="auto"/>
          </w:tcPr>
          <w:p w14:paraId="4A09287B" w14:textId="77777777" w:rsidR="00E93F58" w:rsidRPr="00576D60" w:rsidRDefault="00E93F58" w:rsidP="00E26752">
            <w:pPr>
              <w:pStyle w:val="ENoteTableText"/>
            </w:pPr>
            <w:r w:rsidRPr="00576D60">
              <w:t>—</w:t>
            </w:r>
          </w:p>
        </w:tc>
      </w:tr>
      <w:tr w:rsidR="00E93F58" w:rsidRPr="00576D60" w14:paraId="0F57F142" w14:textId="77777777" w:rsidTr="006656D1">
        <w:trPr>
          <w:cantSplit/>
        </w:trPr>
        <w:tc>
          <w:tcPr>
            <w:tcW w:w="1270" w:type="pct"/>
            <w:tcBorders>
              <w:top w:val="single" w:sz="4" w:space="0" w:color="auto"/>
              <w:bottom w:val="single" w:sz="4" w:space="0" w:color="auto"/>
            </w:tcBorders>
            <w:shd w:val="clear" w:color="auto" w:fill="auto"/>
          </w:tcPr>
          <w:p w14:paraId="58283C5B" w14:textId="77777777" w:rsidR="00E93F58" w:rsidRPr="00576D60" w:rsidRDefault="00E93F58" w:rsidP="00E26752">
            <w:pPr>
              <w:pStyle w:val="ENoteTableText"/>
            </w:pPr>
            <w:r w:rsidRPr="00576D60">
              <w:t xml:space="preserve">Treasury Laws Amendment (Miscellaneous and Technical Amendments) </w:t>
            </w:r>
            <w:r>
              <w:t>Regulations 2</w:t>
            </w:r>
            <w:r w:rsidRPr="00576D60">
              <w:t>022</w:t>
            </w:r>
          </w:p>
        </w:tc>
        <w:tc>
          <w:tcPr>
            <w:tcW w:w="1125" w:type="pct"/>
            <w:tcBorders>
              <w:top w:val="single" w:sz="4" w:space="0" w:color="auto"/>
              <w:bottom w:val="single" w:sz="4" w:space="0" w:color="auto"/>
            </w:tcBorders>
            <w:shd w:val="clear" w:color="auto" w:fill="auto"/>
          </w:tcPr>
          <w:p w14:paraId="1AA0581C" w14:textId="77777777" w:rsidR="00E93F58" w:rsidRPr="00576D60" w:rsidRDefault="00E93F58" w:rsidP="00E26752">
            <w:pPr>
              <w:pStyle w:val="ENoteTableText"/>
            </w:pPr>
            <w:r w:rsidRPr="00576D60">
              <w:t>12 Dec 2022 (F2022L01627)</w:t>
            </w:r>
          </w:p>
        </w:tc>
        <w:tc>
          <w:tcPr>
            <w:tcW w:w="1495" w:type="pct"/>
            <w:tcBorders>
              <w:top w:val="single" w:sz="4" w:space="0" w:color="auto"/>
              <w:bottom w:val="single" w:sz="4" w:space="0" w:color="auto"/>
            </w:tcBorders>
            <w:shd w:val="clear" w:color="auto" w:fill="auto"/>
          </w:tcPr>
          <w:p w14:paraId="1460F6FA" w14:textId="77777777" w:rsidR="00E93F58" w:rsidRPr="00576D60" w:rsidRDefault="00E93F58" w:rsidP="00E26752">
            <w:pPr>
              <w:pStyle w:val="ENoteTableText"/>
            </w:pPr>
            <w:r w:rsidRPr="00576D60">
              <w:t>Sch 1 (</w:t>
            </w:r>
            <w:r>
              <w:t>items 1</w:t>
            </w:r>
            <w:r w:rsidRPr="00576D60">
              <w:t xml:space="preserve">–3, 10, 14–16, 20): 13 Dec 2022 (s 2(1) </w:t>
            </w:r>
            <w:r>
              <w:t>item 2</w:t>
            </w:r>
            <w:r w:rsidRPr="00576D60">
              <w:t>)</w:t>
            </w:r>
          </w:p>
        </w:tc>
        <w:tc>
          <w:tcPr>
            <w:tcW w:w="1110" w:type="pct"/>
            <w:tcBorders>
              <w:top w:val="single" w:sz="4" w:space="0" w:color="auto"/>
              <w:bottom w:val="single" w:sz="4" w:space="0" w:color="auto"/>
            </w:tcBorders>
            <w:shd w:val="clear" w:color="auto" w:fill="auto"/>
          </w:tcPr>
          <w:p w14:paraId="66EF8F43" w14:textId="77777777" w:rsidR="00E93F58" w:rsidRPr="00576D60" w:rsidRDefault="00E93F58" w:rsidP="00E26752">
            <w:pPr>
              <w:pStyle w:val="ENoteTableText"/>
            </w:pPr>
            <w:r w:rsidRPr="00576D60">
              <w:t>—</w:t>
            </w:r>
          </w:p>
        </w:tc>
      </w:tr>
      <w:tr w:rsidR="00E93F58" w:rsidRPr="00576D60" w14:paraId="6DFAE608" w14:textId="77777777" w:rsidTr="009B3B54">
        <w:trPr>
          <w:cantSplit/>
        </w:trPr>
        <w:tc>
          <w:tcPr>
            <w:tcW w:w="1270" w:type="pct"/>
            <w:tcBorders>
              <w:top w:val="single" w:sz="4" w:space="0" w:color="auto"/>
              <w:bottom w:val="single" w:sz="4" w:space="0" w:color="auto"/>
            </w:tcBorders>
            <w:shd w:val="clear" w:color="auto" w:fill="auto"/>
          </w:tcPr>
          <w:p w14:paraId="3BCF2461" w14:textId="77777777" w:rsidR="00E93F58" w:rsidRPr="00576D60" w:rsidRDefault="00E93F58" w:rsidP="00FB465E">
            <w:pPr>
              <w:pStyle w:val="ENoteTableText"/>
            </w:pPr>
            <w:r w:rsidRPr="00576D60">
              <w:t xml:space="preserve">Treasury Laws Amendment (Rationalising ASIC Instruments) </w:t>
            </w:r>
            <w:r>
              <w:t>Regulations 2</w:t>
            </w:r>
            <w:r w:rsidRPr="00576D60">
              <w:t>022</w:t>
            </w:r>
          </w:p>
        </w:tc>
        <w:tc>
          <w:tcPr>
            <w:tcW w:w="1125" w:type="pct"/>
            <w:tcBorders>
              <w:top w:val="single" w:sz="4" w:space="0" w:color="auto"/>
              <w:bottom w:val="single" w:sz="4" w:space="0" w:color="auto"/>
            </w:tcBorders>
            <w:shd w:val="clear" w:color="auto" w:fill="auto"/>
          </w:tcPr>
          <w:p w14:paraId="14B367F2" w14:textId="77777777" w:rsidR="00E93F58" w:rsidRPr="00576D60" w:rsidRDefault="00E93F58" w:rsidP="00FB465E">
            <w:pPr>
              <w:pStyle w:val="ENoteTableText"/>
            </w:pPr>
            <w:r w:rsidRPr="00576D60">
              <w:t>12 Dec 2022 (F2022L01629)</w:t>
            </w:r>
          </w:p>
        </w:tc>
        <w:tc>
          <w:tcPr>
            <w:tcW w:w="1495" w:type="pct"/>
            <w:tcBorders>
              <w:top w:val="single" w:sz="4" w:space="0" w:color="auto"/>
              <w:bottom w:val="single" w:sz="4" w:space="0" w:color="auto"/>
            </w:tcBorders>
            <w:shd w:val="clear" w:color="auto" w:fill="auto"/>
          </w:tcPr>
          <w:p w14:paraId="41A76610" w14:textId="77777777" w:rsidR="00E93F58" w:rsidRPr="00576D60" w:rsidRDefault="00E93F58" w:rsidP="00FB465E">
            <w:pPr>
              <w:pStyle w:val="ENoteTableText"/>
            </w:pPr>
            <w:r w:rsidRPr="00576D60">
              <w:t>Sch 1 (</w:t>
            </w:r>
            <w:r>
              <w:t>items 1</w:t>
            </w:r>
            <w:r w:rsidRPr="00576D60">
              <w:t xml:space="preserve">, 2): 13 Dec 2022 (s 2(1) </w:t>
            </w:r>
            <w:r>
              <w:t>item 2</w:t>
            </w:r>
            <w:r w:rsidRPr="00576D60">
              <w:t>)</w:t>
            </w:r>
            <w:r w:rsidRPr="00576D60">
              <w:br/>
              <w:t xml:space="preserve">Sch 2: 1 Jan 2023 (s 2(1) </w:t>
            </w:r>
            <w:r>
              <w:t>item 3</w:t>
            </w:r>
            <w:r w:rsidRPr="00576D60">
              <w:t>)</w:t>
            </w:r>
          </w:p>
        </w:tc>
        <w:tc>
          <w:tcPr>
            <w:tcW w:w="1110" w:type="pct"/>
            <w:tcBorders>
              <w:top w:val="single" w:sz="4" w:space="0" w:color="auto"/>
              <w:bottom w:val="single" w:sz="4" w:space="0" w:color="auto"/>
            </w:tcBorders>
            <w:shd w:val="clear" w:color="auto" w:fill="auto"/>
          </w:tcPr>
          <w:p w14:paraId="4E0341AA" w14:textId="77777777" w:rsidR="00E93F58" w:rsidRPr="00576D60" w:rsidRDefault="00E93F58" w:rsidP="00FB465E">
            <w:pPr>
              <w:pStyle w:val="ENoteTableText"/>
            </w:pPr>
            <w:r w:rsidRPr="00576D60">
              <w:t>—</w:t>
            </w:r>
          </w:p>
        </w:tc>
      </w:tr>
      <w:tr w:rsidR="00E93F58" w:rsidRPr="00576D60" w14:paraId="7B54850A" w14:textId="77777777" w:rsidTr="00A13D9C">
        <w:trPr>
          <w:cantSplit/>
        </w:trPr>
        <w:tc>
          <w:tcPr>
            <w:tcW w:w="1270" w:type="pct"/>
            <w:tcBorders>
              <w:top w:val="single" w:sz="4" w:space="0" w:color="auto"/>
              <w:bottom w:val="single" w:sz="4" w:space="0" w:color="auto"/>
            </w:tcBorders>
            <w:shd w:val="clear" w:color="auto" w:fill="auto"/>
          </w:tcPr>
          <w:p w14:paraId="4D57A17D" w14:textId="77777777" w:rsidR="00E93F58" w:rsidRPr="00576D60" w:rsidRDefault="00E93F58" w:rsidP="00A4208E">
            <w:pPr>
              <w:pStyle w:val="ENoteTableText"/>
            </w:pPr>
            <w:r w:rsidRPr="00576D60">
              <w:t xml:space="preserve">Corporations Amendment (Registration of Relevant Providers) </w:t>
            </w:r>
            <w:r>
              <w:t>Regulations 2</w:t>
            </w:r>
            <w:r w:rsidRPr="00576D60">
              <w:t>022</w:t>
            </w:r>
          </w:p>
        </w:tc>
        <w:tc>
          <w:tcPr>
            <w:tcW w:w="1125" w:type="pct"/>
            <w:tcBorders>
              <w:top w:val="single" w:sz="4" w:space="0" w:color="auto"/>
              <w:bottom w:val="single" w:sz="4" w:space="0" w:color="auto"/>
            </w:tcBorders>
            <w:shd w:val="clear" w:color="auto" w:fill="auto"/>
          </w:tcPr>
          <w:p w14:paraId="35DB177F" w14:textId="77777777" w:rsidR="00E93F58" w:rsidRPr="00576D60" w:rsidRDefault="00E93F58" w:rsidP="00A4208E">
            <w:pPr>
              <w:pStyle w:val="ENoteTableText"/>
            </w:pPr>
            <w:r w:rsidRPr="00576D60">
              <w:t>16 Dec 2022 (F2022L01668)</w:t>
            </w:r>
          </w:p>
        </w:tc>
        <w:tc>
          <w:tcPr>
            <w:tcW w:w="1495" w:type="pct"/>
            <w:tcBorders>
              <w:top w:val="single" w:sz="4" w:space="0" w:color="auto"/>
              <w:bottom w:val="single" w:sz="4" w:space="0" w:color="auto"/>
            </w:tcBorders>
            <w:shd w:val="clear" w:color="auto" w:fill="auto"/>
          </w:tcPr>
          <w:p w14:paraId="312129DF" w14:textId="77777777" w:rsidR="00E93F58" w:rsidRPr="00576D60" w:rsidRDefault="00E93F58" w:rsidP="00A4208E">
            <w:pPr>
              <w:pStyle w:val="ENoteTableText"/>
            </w:pPr>
            <w:r w:rsidRPr="00576D60">
              <w:t xml:space="preserve">17 Dec 2022 (s 2(1) </w:t>
            </w:r>
            <w:r>
              <w:t>item 1</w:t>
            </w:r>
            <w:r w:rsidRPr="00576D60">
              <w:t>)</w:t>
            </w:r>
          </w:p>
        </w:tc>
        <w:tc>
          <w:tcPr>
            <w:tcW w:w="1110" w:type="pct"/>
            <w:tcBorders>
              <w:top w:val="single" w:sz="4" w:space="0" w:color="auto"/>
              <w:bottom w:val="single" w:sz="4" w:space="0" w:color="auto"/>
            </w:tcBorders>
            <w:shd w:val="clear" w:color="auto" w:fill="auto"/>
          </w:tcPr>
          <w:p w14:paraId="60501578" w14:textId="77777777" w:rsidR="00E93F58" w:rsidRPr="00576D60" w:rsidRDefault="00E93F58" w:rsidP="00A4208E">
            <w:pPr>
              <w:pStyle w:val="ENoteTableText"/>
            </w:pPr>
            <w:r w:rsidRPr="00576D60">
              <w:t>—</w:t>
            </w:r>
          </w:p>
        </w:tc>
      </w:tr>
      <w:tr w:rsidR="00E93F58" w:rsidRPr="00576D60" w14:paraId="5770CE9D" w14:textId="77777777" w:rsidTr="00C03824">
        <w:trPr>
          <w:cantSplit/>
        </w:trPr>
        <w:tc>
          <w:tcPr>
            <w:tcW w:w="1270" w:type="pct"/>
            <w:tcBorders>
              <w:top w:val="single" w:sz="4" w:space="0" w:color="auto"/>
              <w:bottom w:val="single" w:sz="4" w:space="0" w:color="auto"/>
            </w:tcBorders>
            <w:shd w:val="clear" w:color="auto" w:fill="auto"/>
          </w:tcPr>
          <w:p w14:paraId="7480D8C6" w14:textId="77777777" w:rsidR="00E93F58" w:rsidRPr="00576D60" w:rsidRDefault="00E93F58" w:rsidP="00A4208E">
            <w:pPr>
              <w:pStyle w:val="ENoteTableText"/>
            </w:pPr>
            <w:r w:rsidRPr="00576D60">
              <w:t xml:space="preserve">Treasury Laws Amendment (Modernising Business Communications and Other Measures) </w:t>
            </w:r>
            <w:r>
              <w:t>Regulations 2</w:t>
            </w:r>
            <w:r w:rsidRPr="00576D60">
              <w:t>022</w:t>
            </w:r>
          </w:p>
        </w:tc>
        <w:tc>
          <w:tcPr>
            <w:tcW w:w="1125" w:type="pct"/>
            <w:tcBorders>
              <w:top w:val="single" w:sz="4" w:space="0" w:color="auto"/>
              <w:bottom w:val="single" w:sz="4" w:space="0" w:color="auto"/>
            </w:tcBorders>
            <w:shd w:val="clear" w:color="auto" w:fill="auto"/>
          </w:tcPr>
          <w:p w14:paraId="0E0925C9" w14:textId="77777777" w:rsidR="00E93F58" w:rsidRPr="00576D60" w:rsidRDefault="00E93F58" w:rsidP="00A4208E">
            <w:pPr>
              <w:pStyle w:val="ENoteTableText"/>
            </w:pPr>
            <w:r w:rsidRPr="00576D60">
              <w:t>19 Dec 2022 (F2022L01689)</w:t>
            </w:r>
          </w:p>
        </w:tc>
        <w:tc>
          <w:tcPr>
            <w:tcW w:w="1495" w:type="pct"/>
            <w:tcBorders>
              <w:top w:val="single" w:sz="4" w:space="0" w:color="auto"/>
              <w:bottom w:val="single" w:sz="4" w:space="0" w:color="auto"/>
            </w:tcBorders>
            <w:shd w:val="clear" w:color="auto" w:fill="auto"/>
          </w:tcPr>
          <w:p w14:paraId="0FFB3B42" w14:textId="77777777" w:rsidR="00E93F58" w:rsidRPr="00576D60" w:rsidRDefault="00E93F58" w:rsidP="00A4208E">
            <w:pPr>
              <w:pStyle w:val="ENoteTableText"/>
            </w:pPr>
            <w:r w:rsidRPr="00576D60">
              <w:t>Sch 1 and Sch 2 (items 2–5): 15 Sept 2023 (s 2(1) items 2, 3)</w:t>
            </w:r>
          </w:p>
        </w:tc>
        <w:tc>
          <w:tcPr>
            <w:tcW w:w="1110" w:type="pct"/>
            <w:tcBorders>
              <w:top w:val="single" w:sz="4" w:space="0" w:color="auto"/>
              <w:bottom w:val="single" w:sz="4" w:space="0" w:color="auto"/>
            </w:tcBorders>
            <w:shd w:val="clear" w:color="auto" w:fill="auto"/>
          </w:tcPr>
          <w:p w14:paraId="341CFF09" w14:textId="77777777" w:rsidR="00E93F58" w:rsidRPr="00576D60" w:rsidRDefault="00E93F58" w:rsidP="00A4208E">
            <w:pPr>
              <w:pStyle w:val="ENoteTableText"/>
            </w:pPr>
            <w:r w:rsidRPr="00576D60">
              <w:t>—</w:t>
            </w:r>
          </w:p>
        </w:tc>
      </w:tr>
      <w:tr w:rsidR="00E93F58" w:rsidRPr="00576D60" w14:paraId="0924B14A" w14:textId="77777777" w:rsidTr="00675182">
        <w:trPr>
          <w:cantSplit/>
        </w:trPr>
        <w:tc>
          <w:tcPr>
            <w:tcW w:w="1270" w:type="pct"/>
            <w:tcBorders>
              <w:top w:val="single" w:sz="4" w:space="0" w:color="auto"/>
              <w:bottom w:val="single" w:sz="4" w:space="0" w:color="auto"/>
            </w:tcBorders>
            <w:shd w:val="clear" w:color="auto" w:fill="auto"/>
          </w:tcPr>
          <w:p w14:paraId="1DB34EC7" w14:textId="77777777" w:rsidR="00E93F58" w:rsidRPr="00576D60" w:rsidRDefault="00E93F58" w:rsidP="00A4208E">
            <w:pPr>
              <w:pStyle w:val="ENoteTableText"/>
            </w:pPr>
            <w:r w:rsidRPr="00576D60">
              <w:t xml:space="preserve">Corporations Amendment (Design and Distribution Obligations—Income Management Regimes) </w:t>
            </w:r>
            <w:r>
              <w:t>Regulations 2</w:t>
            </w:r>
            <w:r w:rsidRPr="00576D60">
              <w:t>023</w:t>
            </w:r>
          </w:p>
        </w:tc>
        <w:tc>
          <w:tcPr>
            <w:tcW w:w="1125" w:type="pct"/>
            <w:tcBorders>
              <w:top w:val="single" w:sz="4" w:space="0" w:color="auto"/>
              <w:bottom w:val="single" w:sz="4" w:space="0" w:color="auto"/>
            </w:tcBorders>
            <w:shd w:val="clear" w:color="auto" w:fill="auto"/>
          </w:tcPr>
          <w:p w14:paraId="02E1F7CC" w14:textId="77777777" w:rsidR="00E93F58" w:rsidRPr="00576D60" w:rsidRDefault="00E93F58" w:rsidP="00A4208E">
            <w:pPr>
              <w:pStyle w:val="ENoteTableText"/>
            </w:pPr>
            <w:r w:rsidRPr="00576D60">
              <w:t>3 Mar 2023 (F2023L00193)</w:t>
            </w:r>
          </w:p>
        </w:tc>
        <w:tc>
          <w:tcPr>
            <w:tcW w:w="1495" w:type="pct"/>
            <w:tcBorders>
              <w:top w:val="single" w:sz="4" w:space="0" w:color="auto"/>
              <w:bottom w:val="single" w:sz="4" w:space="0" w:color="auto"/>
            </w:tcBorders>
            <w:shd w:val="clear" w:color="auto" w:fill="auto"/>
          </w:tcPr>
          <w:p w14:paraId="31EBF5DF" w14:textId="77777777" w:rsidR="00E93F58" w:rsidRPr="00576D60" w:rsidRDefault="00E93F58" w:rsidP="00A4208E">
            <w:pPr>
              <w:pStyle w:val="ENoteTableText"/>
            </w:pPr>
            <w:r w:rsidRPr="00576D60">
              <w:t xml:space="preserve">4 Mar 2023 (s 2(1) </w:t>
            </w:r>
            <w:r>
              <w:t>item 1</w:t>
            </w:r>
            <w:r w:rsidRPr="00576D60">
              <w:t>)</w:t>
            </w:r>
          </w:p>
        </w:tc>
        <w:tc>
          <w:tcPr>
            <w:tcW w:w="1110" w:type="pct"/>
            <w:tcBorders>
              <w:top w:val="single" w:sz="4" w:space="0" w:color="auto"/>
              <w:bottom w:val="single" w:sz="4" w:space="0" w:color="auto"/>
            </w:tcBorders>
            <w:shd w:val="clear" w:color="auto" w:fill="auto"/>
          </w:tcPr>
          <w:p w14:paraId="44443EA9" w14:textId="77777777" w:rsidR="00E93F58" w:rsidRPr="00576D60" w:rsidRDefault="00E93F58" w:rsidP="00A4208E">
            <w:pPr>
              <w:pStyle w:val="ENoteTableText"/>
            </w:pPr>
            <w:r w:rsidRPr="00576D60">
              <w:t>—</w:t>
            </w:r>
          </w:p>
        </w:tc>
      </w:tr>
      <w:tr w:rsidR="00E93F58" w:rsidRPr="00576D60" w14:paraId="7C5B27FB" w14:textId="77777777" w:rsidTr="00DB59EA">
        <w:trPr>
          <w:cantSplit/>
        </w:trPr>
        <w:tc>
          <w:tcPr>
            <w:tcW w:w="1270" w:type="pct"/>
            <w:tcBorders>
              <w:top w:val="single" w:sz="4" w:space="0" w:color="auto"/>
              <w:bottom w:val="single" w:sz="4" w:space="0" w:color="auto"/>
            </w:tcBorders>
            <w:shd w:val="clear" w:color="auto" w:fill="auto"/>
          </w:tcPr>
          <w:p w14:paraId="5FB219D4" w14:textId="77777777" w:rsidR="00E93F58" w:rsidRPr="00576D60" w:rsidRDefault="00E93F58" w:rsidP="00A4208E">
            <w:pPr>
              <w:pStyle w:val="ENoteTableText"/>
            </w:pPr>
            <w:r w:rsidRPr="00576D60">
              <w:t xml:space="preserve">Fair Work and Other Legislation Amendment (Secure Jobs, Better Pay) </w:t>
            </w:r>
            <w:r>
              <w:t>Regulations 2</w:t>
            </w:r>
            <w:r w:rsidRPr="00576D60">
              <w:t>023</w:t>
            </w:r>
          </w:p>
        </w:tc>
        <w:tc>
          <w:tcPr>
            <w:tcW w:w="1125" w:type="pct"/>
            <w:tcBorders>
              <w:top w:val="single" w:sz="4" w:space="0" w:color="auto"/>
              <w:bottom w:val="single" w:sz="4" w:space="0" w:color="auto"/>
            </w:tcBorders>
            <w:shd w:val="clear" w:color="auto" w:fill="auto"/>
          </w:tcPr>
          <w:p w14:paraId="4E95D1D3" w14:textId="77777777" w:rsidR="00E93F58" w:rsidRPr="00576D60" w:rsidRDefault="00E93F58" w:rsidP="00A4208E">
            <w:pPr>
              <w:pStyle w:val="ENoteTableText"/>
            </w:pPr>
            <w:r w:rsidRPr="00576D60">
              <w:t>30 May 2023 (F2023L00625)</w:t>
            </w:r>
          </w:p>
        </w:tc>
        <w:tc>
          <w:tcPr>
            <w:tcW w:w="1495" w:type="pct"/>
            <w:tcBorders>
              <w:top w:val="single" w:sz="4" w:space="0" w:color="auto"/>
              <w:bottom w:val="single" w:sz="4" w:space="0" w:color="auto"/>
            </w:tcBorders>
            <w:shd w:val="clear" w:color="auto" w:fill="auto"/>
          </w:tcPr>
          <w:p w14:paraId="649F7680" w14:textId="77777777" w:rsidR="00E93F58" w:rsidRPr="00576D60" w:rsidRDefault="00E93F58" w:rsidP="00A4208E">
            <w:pPr>
              <w:pStyle w:val="ENoteTableText"/>
            </w:pPr>
            <w:r w:rsidRPr="00576D60">
              <w:t>Sch 1 (</w:t>
            </w:r>
            <w:r>
              <w:t>item 4</w:t>
            </w:r>
            <w:r w:rsidRPr="00576D60">
              <w:t>1): 31 May 2023 (s 2(1) item 6)</w:t>
            </w:r>
          </w:p>
        </w:tc>
        <w:tc>
          <w:tcPr>
            <w:tcW w:w="1110" w:type="pct"/>
            <w:tcBorders>
              <w:top w:val="single" w:sz="4" w:space="0" w:color="auto"/>
              <w:bottom w:val="single" w:sz="4" w:space="0" w:color="auto"/>
            </w:tcBorders>
            <w:shd w:val="clear" w:color="auto" w:fill="auto"/>
          </w:tcPr>
          <w:p w14:paraId="5491E716" w14:textId="77777777" w:rsidR="00E93F58" w:rsidRPr="00576D60" w:rsidRDefault="00E93F58" w:rsidP="00A4208E">
            <w:pPr>
              <w:pStyle w:val="ENoteTableText"/>
            </w:pPr>
            <w:r w:rsidRPr="00576D60">
              <w:t>—</w:t>
            </w:r>
          </w:p>
        </w:tc>
      </w:tr>
      <w:tr w:rsidR="00E93F58" w:rsidRPr="00576D60" w14:paraId="4A88087D" w14:textId="77777777" w:rsidTr="00DB59EA">
        <w:trPr>
          <w:cantSplit/>
        </w:trPr>
        <w:tc>
          <w:tcPr>
            <w:tcW w:w="1270" w:type="pct"/>
            <w:tcBorders>
              <w:top w:val="single" w:sz="4" w:space="0" w:color="auto"/>
              <w:bottom w:val="single" w:sz="4" w:space="0" w:color="auto"/>
            </w:tcBorders>
            <w:shd w:val="clear" w:color="auto" w:fill="auto"/>
          </w:tcPr>
          <w:p w14:paraId="5019C517" w14:textId="77777777" w:rsidR="00E93F58" w:rsidRPr="00576D60" w:rsidRDefault="00E93F58" w:rsidP="00A4208E">
            <w:pPr>
              <w:pStyle w:val="ENoteTableText"/>
            </w:pPr>
            <w:r w:rsidRPr="00576D60">
              <w:t xml:space="preserve">Corporations Amendment (Financial Services Compensation Scheme of Last Resort) </w:t>
            </w:r>
            <w:r>
              <w:t>Regulations 2</w:t>
            </w:r>
            <w:r w:rsidRPr="00576D60">
              <w:t>023</w:t>
            </w:r>
          </w:p>
        </w:tc>
        <w:tc>
          <w:tcPr>
            <w:tcW w:w="1125" w:type="pct"/>
            <w:tcBorders>
              <w:top w:val="single" w:sz="4" w:space="0" w:color="auto"/>
              <w:bottom w:val="single" w:sz="4" w:space="0" w:color="auto"/>
            </w:tcBorders>
            <w:shd w:val="clear" w:color="auto" w:fill="auto"/>
          </w:tcPr>
          <w:p w14:paraId="07AAD568" w14:textId="77777777" w:rsidR="00E93F58" w:rsidRPr="00576D60" w:rsidRDefault="00E93F58" w:rsidP="00A4208E">
            <w:pPr>
              <w:pStyle w:val="ENoteTableText"/>
            </w:pPr>
            <w:r w:rsidRPr="00576D60">
              <w:t>6 July 2023 (F2023L00988)</w:t>
            </w:r>
          </w:p>
        </w:tc>
        <w:tc>
          <w:tcPr>
            <w:tcW w:w="1495" w:type="pct"/>
            <w:tcBorders>
              <w:top w:val="single" w:sz="4" w:space="0" w:color="auto"/>
              <w:bottom w:val="single" w:sz="4" w:space="0" w:color="auto"/>
            </w:tcBorders>
            <w:shd w:val="clear" w:color="auto" w:fill="auto"/>
          </w:tcPr>
          <w:p w14:paraId="3FC9A649" w14:textId="77777777" w:rsidR="00E93F58" w:rsidRPr="00576D60" w:rsidRDefault="00E93F58" w:rsidP="00A4208E">
            <w:pPr>
              <w:pStyle w:val="ENoteTableText"/>
            </w:pPr>
            <w:r w:rsidRPr="00576D60">
              <w:t xml:space="preserve">7 July 2023 (s 2(1) </w:t>
            </w:r>
            <w:r>
              <w:t>item 1</w:t>
            </w:r>
            <w:r w:rsidRPr="00576D60">
              <w:t>)</w:t>
            </w:r>
          </w:p>
        </w:tc>
        <w:tc>
          <w:tcPr>
            <w:tcW w:w="1110" w:type="pct"/>
            <w:tcBorders>
              <w:top w:val="single" w:sz="4" w:space="0" w:color="auto"/>
              <w:bottom w:val="single" w:sz="4" w:space="0" w:color="auto"/>
            </w:tcBorders>
            <w:shd w:val="clear" w:color="auto" w:fill="auto"/>
          </w:tcPr>
          <w:p w14:paraId="35FD1E81" w14:textId="77777777" w:rsidR="00E93F58" w:rsidRPr="00576D60" w:rsidRDefault="00E93F58" w:rsidP="00A4208E">
            <w:pPr>
              <w:pStyle w:val="ENoteTableText"/>
            </w:pPr>
            <w:r w:rsidRPr="00576D60">
              <w:t>—</w:t>
            </w:r>
          </w:p>
        </w:tc>
      </w:tr>
      <w:tr w:rsidR="00E93F58" w:rsidRPr="00576D60" w14:paraId="79C6B5E5" w14:textId="77777777" w:rsidTr="00196075">
        <w:trPr>
          <w:cantSplit/>
        </w:trPr>
        <w:tc>
          <w:tcPr>
            <w:tcW w:w="1270" w:type="pct"/>
            <w:tcBorders>
              <w:top w:val="single" w:sz="4" w:space="0" w:color="auto"/>
              <w:bottom w:val="single" w:sz="4" w:space="0" w:color="auto"/>
            </w:tcBorders>
            <w:shd w:val="clear" w:color="auto" w:fill="auto"/>
          </w:tcPr>
          <w:p w14:paraId="5FBA8424" w14:textId="77777777" w:rsidR="00E93F58" w:rsidRPr="00576D60" w:rsidRDefault="00E93F58" w:rsidP="00A4208E">
            <w:pPr>
              <w:pStyle w:val="ENoteTableText"/>
            </w:pPr>
            <w:r w:rsidRPr="00576D60">
              <w:t xml:space="preserve">Treasury Laws Amendment (Financial Reporting and Auditing of Registrable Superannuation Entities) </w:t>
            </w:r>
            <w:r>
              <w:t>Regulations 2</w:t>
            </w:r>
            <w:r w:rsidRPr="00576D60">
              <w:t>023</w:t>
            </w:r>
          </w:p>
        </w:tc>
        <w:tc>
          <w:tcPr>
            <w:tcW w:w="1125" w:type="pct"/>
            <w:tcBorders>
              <w:top w:val="single" w:sz="4" w:space="0" w:color="auto"/>
              <w:bottom w:val="single" w:sz="4" w:space="0" w:color="auto"/>
            </w:tcBorders>
            <w:shd w:val="clear" w:color="auto" w:fill="auto"/>
          </w:tcPr>
          <w:p w14:paraId="116C4607" w14:textId="77777777" w:rsidR="00E93F58" w:rsidRPr="00576D60" w:rsidRDefault="00E93F58" w:rsidP="00A4208E">
            <w:pPr>
              <w:pStyle w:val="ENoteTableText"/>
            </w:pPr>
            <w:r w:rsidRPr="00576D60">
              <w:t>7 July 2023 (F2023L00990)</w:t>
            </w:r>
          </w:p>
        </w:tc>
        <w:tc>
          <w:tcPr>
            <w:tcW w:w="1495" w:type="pct"/>
            <w:tcBorders>
              <w:top w:val="single" w:sz="4" w:space="0" w:color="auto"/>
              <w:bottom w:val="single" w:sz="4" w:space="0" w:color="auto"/>
            </w:tcBorders>
            <w:shd w:val="clear" w:color="auto" w:fill="auto"/>
          </w:tcPr>
          <w:p w14:paraId="01C73212" w14:textId="77777777" w:rsidR="00E93F58" w:rsidRPr="00576D60" w:rsidRDefault="00E93F58" w:rsidP="00A4208E">
            <w:pPr>
              <w:pStyle w:val="ENoteTableText"/>
            </w:pPr>
            <w:r w:rsidRPr="00576D60">
              <w:t>Sch 1 (</w:t>
            </w:r>
            <w:r>
              <w:t>items 1</w:t>
            </w:r>
            <w:r w:rsidRPr="00576D60">
              <w:t xml:space="preserve">–29): 8 July 2023 (s 2(1) </w:t>
            </w:r>
            <w:r>
              <w:t>item 1</w:t>
            </w:r>
            <w:r w:rsidRPr="00576D60">
              <w:t>)</w:t>
            </w:r>
          </w:p>
        </w:tc>
        <w:tc>
          <w:tcPr>
            <w:tcW w:w="1110" w:type="pct"/>
            <w:tcBorders>
              <w:top w:val="single" w:sz="4" w:space="0" w:color="auto"/>
              <w:bottom w:val="single" w:sz="4" w:space="0" w:color="auto"/>
            </w:tcBorders>
            <w:shd w:val="clear" w:color="auto" w:fill="auto"/>
          </w:tcPr>
          <w:p w14:paraId="51D88081" w14:textId="77777777" w:rsidR="00E93F58" w:rsidRPr="00576D60" w:rsidRDefault="00E93F58" w:rsidP="00A4208E">
            <w:pPr>
              <w:pStyle w:val="ENoteTableText"/>
            </w:pPr>
            <w:r w:rsidRPr="00576D60">
              <w:t>—</w:t>
            </w:r>
          </w:p>
        </w:tc>
      </w:tr>
      <w:tr w:rsidR="00E93F58" w:rsidRPr="00576D60" w14:paraId="11778F27" w14:textId="77777777" w:rsidTr="0039486F">
        <w:trPr>
          <w:cantSplit/>
        </w:trPr>
        <w:tc>
          <w:tcPr>
            <w:tcW w:w="1270" w:type="pct"/>
            <w:tcBorders>
              <w:top w:val="single" w:sz="4" w:space="0" w:color="auto"/>
              <w:bottom w:val="single" w:sz="4" w:space="0" w:color="auto"/>
            </w:tcBorders>
            <w:shd w:val="clear" w:color="auto" w:fill="auto"/>
          </w:tcPr>
          <w:p w14:paraId="573D0BA6" w14:textId="77777777" w:rsidR="00E93F58" w:rsidRPr="00576D60" w:rsidRDefault="00E93F58" w:rsidP="00A4208E">
            <w:pPr>
              <w:pStyle w:val="ENoteTableText"/>
            </w:pPr>
            <w:r w:rsidRPr="00576D60">
              <w:t xml:space="preserve">Treasury Laws Amendment (Professional Standards Schemes) </w:t>
            </w:r>
            <w:r>
              <w:t>Regulations 2</w:t>
            </w:r>
            <w:r w:rsidRPr="00576D60">
              <w:t>023</w:t>
            </w:r>
          </w:p>
        </w:tc>
        <w:tc>
          <w:tcPr>
            <w:tcW w:w="1125" w:type="pct"/>
            <w:tcBorders>
              <w:top w:val="single" w:sz="4" w:space="0" w:color="auto"/>
              <w:bottom w:val="single" w:sz="4" w:space="0" w:color="auto"/>
            </w:tcBorders>
            <w:shd w:val="clear" w:color="auto" w:fill="auto"/>
          </w:tcPr>
          <w:p w14:paraId="5BF4CA13" w14:textId="77777777" w:rsidR="00E93F58" w:rsidRPr="00576D60" w:rsidRDefault="00E93F58" w:rsidP="00A4208E">
            <w:pPr>
              <w:pStyle w:val="ENoteTableText"/>
            </w:pPr>
            <w:r w:rsidRPr="00576D60">
              <w:t>18 Oct 2023 (F2023L01394)</w:t>
            </w:r>
          </w:p>
        </w:tc>
        <w:tc>
          <w:tcPr>
            <w:tcW w:w="1495" w:type="pct"/>
            <w:tcBorders>
              <w:top w:val="single" w:sz="4" w:space="0" w:color="auto"/>
              <w:bottom w:val="single" w:sz="4" w:space="0" w:color="auto"/>
            </w:tcBorders>
            <w:shd w:val="clear" w:color="auto" w:fill="auto"/>
          </w:tcPr>
          <w:p w14:paraId="58F934E2" w14:textId="77777777" w:rsidR="00E93F58" w:rsidRPr="00576D60" w:rsidRDefault="00E93F58" w:rsidP="00A4208E">
            <w:pPr>
              <w:pStyle w:val="ENoteTableText"/>
            </w:pPr>
            <w:r w:rsidRPr="00576D60">
              <w:t>Sch 1 (</w:t>
            </w:r>
            <w:r>
              <w:t>item 4</w:t>
            </w:r>
            <w:r w:rsidRPr="00576D60">
              <w:t xml:space="preserve">): 19 Oct 2023 (s 2(1) </w:t>
            </w:r>
            <w:r>
              <w:t>item 1</w:t>
            </w:r>
            <w:r w:rsidRPr="00576D60">
              <w:t>)</w:t>
            </w:r>
          </w:p>
        </w:tc>
        <w:tc>
          <w:tcPr>
            <w:tcW w:w="1110" w:type="pct"/>
            <w:tcBorders>
              <w:top w:val="single" w:sz="4" w:space="0" w:color="auto"/>
              <w:bottom w:val="single" w:sz="4" w:space="0" w:color="auto"/>
            </w:tcBorders>
            <w:shd w:val="clear" w:color="auto" w:fill="auto"/>
          </w:tcPr>
          <w:p w14:paraId="6B6EB736" w14:textId="77777777" w:rsidR="00E93F58" w:rsidRPr="00576D60" w:rsidRDefault="00E93F58" w:rsidP="00A4208E">
            <w:pPr>
              <w:pStyle w:val="ENoteTableText"/>
            </w:pPr>
            <w:r w:rsidRPr="00576D60">
              <w:t>—</w:t>
            </w:r>
          </w:p>
        </w:tc>
      </w:tr>
      <w:tr w:rsidR="00E93F58" w:rsidRPr="00576D60" w14:paraId="274BF9BE" w14:textId="77777777" w:rsidTr="00D02502">
        <w:trPr>
          <w:cantSplit/>
        </w:trPr>
        <w:tc>
          <w:tcPr>
            <w:tcW w:w="1270" w:type="pct"/>
            <w:tcBorders>
              <w:top w:val="single" w:sz="4" w:space="0" w:color="auto"/>
              <w:bottom w:val="single" w:sz="4" w:space="0" w:color="auto"/>
            </w:tcBorders>
            <w:shd w:val="clear" w:color="auto" w:fill="auto"/>
          </w:tcPr>
          <w:p w14:paraId="32BB7A73" w14:textId="77777777" w:rsidR="00E93F58" w:rsidRPr="00576D60" w:rsidRDefault="00E93F58" w:rsidP="00A4208E">
            <w:pPr>
              <w:pStyle w:val="ENoteTableText"/>
            </w:pPr>
            <w:r w:rsidRPr="009A485E">
              <w:t xml:space="preserve">Treasury Laws Amendment (Modernising Business Communications) </w:t>
            </w:r>
            <w:r>
              <w:t>Regulations 2</w:t>
            </w:r>
            <w:r w:rsidRPr="009A485E">
              <w:t>023</w:t>
            </w:r>
          </w:p>
        </w:tc>
        <w:tc>
          <w:tcPr>
            <w:tcW w:w="1125" w:type="pct"/>
            <w:tcBorders>
              <w:top w:val="single" w:sz="4" w:space="0" w:color="auto"/>
              <w:bottom w:val="single" w:sz="4" w:space="0" w:color="auto"/>
            </w:tcBorders>
            <w:shd w:val="clear" w:color="auto" w:fill="auto"/>
          </w:tcPr>
          <w:p w14:paraId="5D5558DB" w14:textId="77777777" w:rsidR="00E93F58" w:rsidRPr="00576D60" w:rsidRDefault="00E93F58" w:rsidP="00A4208E">
            <w:pPr>
              <w:pStyle w:val="ENoteTableText"/>
            </w:pPr>
            <w:r>
              <w:t>27 Oct 2023 (</w:t>
            </w:r>
            <w:r w:rsidRPr="00073855">
              <w:t>F2023L01423</w:t>
            </w:r>
            <w:r>
              <w:t>)</w:t>
            </w:r>
          </w:p>
        </w:tc>
        <w:tc>
          <w:tcPr>
            <w:tcW w:w="1495" w:type="pct"/>
            <w:tcBorders>
              <w:top w:val="single" w:sz="4" w:space="0" w:color="auto"/>
              <w:bottom w:val="single" w:sz="4" w:space="0" w:color="auto"/>
            </w:tcBorders>
            <w:shd w:val="clear" w:color="auto" w:fill="auto"/>
          </w:tcPr>
          <w:p w14:paraId="2E3EA38D" w14:textId="77777777" w:rsidR="00E93F58" w:rsidRPr="00576D60" w:rsidRDefault="00E93F58" w:rsidP="005702C3">
            <w:pPr>
              <w:pStyle w:val="ENoteTableText"/>
            </w:pPr>
            <w:r>
              <w:t>Sch 1: 28 Oct 2023 (s 2(1) item 2)</w:t>
            </w:r>
            <w:r>
              <w:br/>
              <w:t xml:space="preserve">Sch 2 (items 1–19): </w:t>
            </w:r>
            <w:r w:rsidRPr="009A485E">
              <w:rPr>
                <w:u w:val="single"/>
              </w:rPr>
              <w:t>1 Jan 202</w:t>
            </w:r>
            <w:r>
              <w:rPr>
                <w:u w:val="single"/>
              </w:rPr>
              <w:t>4</w:t>
            </w:r>
            <w:r w:rsidRPr="00AF3EAC">
              <w:rPr>
                <w:u w:val="single"/>
              </w:rPr>
              <w:t xml:space="preserve"> (s 2(1) </w:t>
            </w:r>
            <w:r>
              <w:rPr>
                <w:u w:val="single"/>
              </w:rPr>
              <w:t>item 3</w:t>
            </w:r>
            <w:r w:rsidRPr="00AF3EAC">
              <w:rPr>
                <w:u w:val="single"/>
              </w:rPr>
              <w:t>)</w:t>
            </w:r>
          </w:p>
        </w:tc>
        <w:tc>
          <w:tcPr>
            <w:tcW w:w="1110" w:type="pct"/>
            <w:tcBorders>
              <w:top w:val="single" w:sz="4" w:space="0" w:color="auto"/>
              <w:bottom w:val="single" w:sz="4" w:space="0" w:color="auto"/>
            </w:tcBorders>
            <w:shd w:val="clear" w:color="auto" w:fill="auto"/>
          </w:tcPr>
          <w:p w14:paraId="34151178" w14:textId="77777777" w:rsidR="00E93F58" w:rsidRPr="00576D60" w:rsidRDefault="00E93F58" w:rsidP="00A4208E">
            <w:pPr>
              <w:pStyle w:val="ENoteTableText"/>
            </w:pPr>
            <w:r>
              <w:t>—</w:t>
            </w:r>
          </w:p>
        </w:tc>
      </w:tr>
      <w:tr w:rsidR="00E93F58" w:rsidRPr="00576D60" w14:paraId="189F689F" w14:textId="77777777" w:rsidTr="003D209B">
        <w:trPr>
          <w:cantSplit/>
        </w:trPr>
        <w:tc>
          <w:tcPr>
            <w:tcW w:w="1270" w:type="pct"/>
            <w:tcBorders>
              <w:top w:val="single" w:sz="4" w:space="0" w:color="auto"/>
              <w:bottom w:val="single" w:sz="12" w:space="0" w:color="auto"/>
            </w:tcBorders>
            <w:shd w:val="clear" w:color="auto" w:fill="auto"/>
          </w:tcPr>
          <w:p w14:paraId="28B8BD00" w14:textId="77777777" w:rsidR="00E93F58" w:rsidRPr="009A485E" w:rsidRDefault="00E93F58" w:rsidP="00A4208E">
            <w:pPr>
              <w:pStyle w:val="ENoteTableText"/>
            </w:pPr>
            <w:r w:rsidRPr="000B35C4">
              <w:t xml:space="preserve">Treasury Laws Amendment (ALRC Financial Services Interim Report) </w:t>
            </w:r>
            <w:r>
              <w:t>Regulations 2</w:t>
            </w:r>
            <w:r w:rsidRPr="000B35C4">
              <w:t>023</w:t>
            </w:r>
          </w:p>
        </w:tc>
        <w:tc>
          <w:tcPr>
            <w:tcW w:w="1125" w:type="pct"/>
            <w:tcBorders>
              <w:top w:val="single" w:sz="4" w:space="0" w:color="auto"/>
              <w:bottom w:val="single" w:sz="12" w:space="0" w:color="auto"/>
            </w:tcBorders>
            <w:shd w:val="clear" w:color="auto" w:fill="auto"/>
          </w:tcPr>
          <w:p w14:paraId="52376DB5" w14:textId="77777777" w:rsidR="00E93F58" w:rsidRDefault="00E93F58" w:rsidP="00A4208E">
            <w:pPr>
              <w:pStyle w:val="ENoteTableText"/>
            </w:pPr>
            <w:r>
              <w:t>31 Oct 2023 (F2023L01458)</w:t>
            </w:r>
          </w:p>
        </w:tc>
        <w:tc>
          <w:tcPr>
            <w:tcW w:w="1495" w:type="pct"/>
            <w:tcBorders>
              <w:top w:val="single" w:sz="4" w:space="0" w:color="auto"/>
              <w:bottom w:val="single" w:sz="12" w:space="0" w:color="auto"/>
            </w:tcBorders>
            <w:shd w:val="clear" w:color="auto" w:fill="auto"/>
          </w:tcPr>
          <w:p w14:paraId="3378A840" w14:textId="77777777" w:rsidR="00E93F58" w:rsidRDefault="00E93F58" w:rsidP="005702C3">
            <w:pPr>
              <w:pStyle w:val="ENoteTableText"/>
            </w:pPr>
            <w:r>
              <w:t>Sch 1 (items 3–87, 112, 113, 124–309): 1 Nov 2023 (s 2(1) item 1)</w:t>
            </w:r>
          </w:p>
        </w:tc>
        <w:tc>
          <w:tcPr>
            <w:tcW w:w="1110" w:type="pct"/>
            <w:tcBorders>
              <w:top w:val="single" w:sz="4" w:space="0" w:color="auto"/>
              <w:bottom w:val="single" w:sz="12" w:space="0" w:color="auto"/>
            </w:tcBorders>
            <w:shd w:val="clear" w:color="auto" w:fill="auto"/>
          </w:tcPr>
          <w:p w14:paraId="36DB5D84" w14:textId="77777777" w:rsidR="00E93F58" w:rsidRDefault="00E93F58" w:rsidP="00A4208E">
            <w:pPr>
              <w:pStyle w:val="ENoteTableText"/>
            </w:pPr>
            <w:r>
              <w:t>—</w:t>
            </w:r>
          </w:p>
        </w:tc>
      </w:tr>
    </w:tbl>
    <w:p w14:paraId="367D632B" w14:textId="77777777" w:rsidR="00E93F58" w:rsidRPr="00576D60" w:rsidRDefault="00E93F58" w:rsidP="00C223D0">
      <w:pPr>
        <w:pStyle w:val="Tabletext"/>
      </w:pPr>
    </w:p>
    <w:tbl>
      <w:tblPr>
        <w:tblW w:w="8511" w:type="dxa"/>
        <w:tblInd w:w="-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31"/>
        <w:gridCol w:w="988"/>
        <w:gridCol w:w="1695"/>
        <w:gridCol w:w="1978"/>
        <w:gridCol w:w="2019"/>
      </w:tblGrid>
      <w:tr w:rsidR="00E93F58" w:rsidRPr="00576D60" w14:paraId="29591989" w14:textId="77777777" w:rsidTr="002F32E3">
        <w:trPr>
          <w:cantSplit/>
          <w:tblHeader/>
        </w:trPr>
        <w:tc>
          <w:tcPr>
            <w:tcW w:w="1831" w:type="dxa"/>
            <w:tcBorders>
              <w:top w:val="single" w:sz="12" w:space="0" w:color="auto"/>
              <w:bottom w:val="single" w:sz="12" w:space="0" w:color="auto"/>
            </w:tcBorders>
            <w:shd w:val="clear" w:color="auto" w:fill="auto"/>
          </w:tcPr>
          <w:p w14:paraId="0352466F" w14:textId="77777777" w:rsidR="00E93F58" w:rsidRPr="00576D60" w:rsidRDefault="00E93F58">
            <w:pPr>
              <w:pStyle w:val="ENoteTableHeading"/>
            </w:pPr>
            <w:r w:rsidRPr="00576D60">
              <w:t>Act</w:t>
            </w:r>
          </w:p>
        </w:tc>
        <w:tc>
          <w:tcPr>
            <w:tcW w:w="988" w:type="dxa"/>
            <w:tcBorders>
              <w:top w:val="single" w:sz="12" w:space="0" w:color="auto"/>
              <w:bottom w:val="single" w:sz="12" w:space="0" w:color="auto"/>
            </w:tcBorders>
            <w:shd w:val="clear" w:color="auto" w:fill="auto"/>
          </w:tcPr>
          <w:p w14:paraId="0664D3B0" w14:textId="77777777" w:rsidR="00E93F58" w:rsidRPr="00576D60" w:rsidRDefault="00E93F58">
            <w:pPr>
              <w:pStyle w:val="ENoteTableHeading"/>
            </w:pPr>
            <w:r w:rsidRPr="00576D60">
              <w:t>Number and year</w:t>
            </w:r>
          </w:p>
        </w:tc>
        <w:tc>
          <w:tcPr>
            <w:tcW w:w="1695" w:type="dxa"/>
            <w:tcBorders>
              <w:top w:val="single" w:sz="12" w:space="0" w:color="auto"/>
              <w:bottom w:val="single" w:sz="12" w:space="0" w:color="auto"/>
            </w:tcBorders>
            <w:shd w:val="clear" w:color="auto" w:fill="auto"/>
          </w:tcPr>
          <w:p w14:paraId="6519C5BA" w14:textId="77777777" w:rsidR="00E93F58" w:rsidRPr="00576D60" w:rsidRDefault="00E93F58">
            <w:pPr>
              <w:pStyle w:val="ENoteTableHeading"/>
            </w:pPr>
            <w:r w:rsidRPr="00576D60">
              <w:t>Assent</w:t>
            </w:r>
          </w:p>
        </w:tc>
        <w:tc>
          <w:tcPr>
            <w:tcW w:w="1978" w:type="dxa"/>
            <w:tcBorders>
              <w:top w:val="single" w:sz="12" w:space="0" w:color="auto"/>
              <w:bottom w:val="single" w:sz="12" w:space="0" w:color="auto"/>
            </w:tcBorders>
            <w:shd w:val="clear" w:color="auto" w:fill="auto"/>
          </w:tcPr>
          <w:p w14:paraId="28C369A6" w14:textId="77777777" w:rsidR="00E93F58" w:rsidRPr="00576D60" w:rsidRDefault="00E93F58">
            <w:pPr>
              <w:pStyle w:val="ENoteTableHeading"/>
            </w:pPr>
            <w:r w:rsidRPr="00576D60">
              <w:t>Commencement</w:t>
            </w:r>
          </w:p>
        </w:tc>
        <w:tc>
          <w:tcPr>
            <w:tcW w:w="2019" w:type="dxa"/>
            <w:tcBorders>
              <w:top w:val="single" w:sz="12" w:space="0" w:color="auto"/>
              <w:bottom w:val="single" w:sz="12" w:space="0" w:color="auto"/>
            </w:tcBorders>
            <w:shd w:val="clear" w:color="auto" w:fill="auto"/>
          </w:tcPr>
          <w:p w14:paraId="6BB8BDE0" w14:textId="77777777" w:rsidR="00E93F58" w:rsidRPr="00576D60" w:rsidRDefault="00E93F58">
            <w:pPr>
              <w:pStyle w:val="ENoteTableHeading"/>
            </w:pPr>
            <w:r w:rsidRPr="00576D60">
              <w:t>Application, saving and transitional provisions</w:t>
            </w:r>
          </w:p>
        </w:tc>
      </w:tr>
      <w:tr w:rsidR="00E93F58" w:rsidRPr="00576D60" w14:paraId="1E138266" w14:textId="77777777" w:rsidTr="002F32E3">
        <w:trPr>
          <w:cantSplit/>
        </w:trPr>
        <w:tc>
          <w:tcPr>
            <w:tcW w:w="1831" w:type="dxa"/>
            <w:tcBorders>
              <w:top w:val="single" w:sz="12" w:space="0" w:color="auto"/>
              <w:bottom w:val="single" w:sz="12" w:space="0" w:color="auto"/>
            </w:tcBorders>
            <w:shd w:val="clear" w:color="auto" w:fill="auto"/>
          </w:tcPr>
          <w:p w14:paraId="5A356A9E" w14:textId="77777777" w:rsidR="00E93F58" w:rsidRPr="00576D60" w:rsidRDefault="00E93F58" w:rsidP="00505974">
            <w:pPr>
              <w:pStyle w:val="ENoteTableText"/>
              <w:keepNext/>
            </w:pPr>
            <w:r w:rsidRPr="00576D60">
              <w:t>Coronavirus Economic Response Package Omnibus Act 2020</w:t>
            </w:r>
          </w:p>
        </w:tc>
        <w:tc>
          <w:tcPr>
            <w:tcW w:w="988" w:type="dxa"/>
            <w:tcBorders>
              <w:top w:val="single" w:sz="12" w:space="0" w:color="auto"/>
              <w:bottom w:val="single" w:sz="12" w:space="0" w:color="auto"/>
            </w:tcBorders>
            <w:shd w:val="clear" w:color="auto" w:fill="auto"/>
          </w:tcPr>
          <w:p w14:paraId="4E482509" w14:textId="77777777" w:rsidR="00E93F58" w:rsidRPr="00576D60" w:rsidRDefault="00E93F58" w:rsidP="00505974">
            <w:pPr>
              <w:pStyle w:val="ENoteTableText"/>
              <w:keepNext/>
            </w:pPr>
            <w:r w:rsidRPr="00576D60">
              <w:t>22, 2020</w:t>
            </w:r>
          </w:p>
        </w:tc>
        <w:tc>
          <w:tcPr>
            <w:tcW w:w="1695" w:type="dxa"/>
            <w:tcBorders>
              <w:top w:val="single" w:sz="12" w:space="0" w:color="auto"/>
              <w:bottom w:val="single" w:sz="12" w:space="0" w:color="auto"/>
            </w:tcBorders>
            <w:shd w:val="clear" w:color="auto" w:fill="auto"/>
          </w:tcPr>
          <w:p w14:paraId="40C1AADA" w14:textId="77777777" w:rsidR="00E93F58" w:rsidRPr="00576D60" w:rsidRDefault="00E93F58" w:rsidP="00505974">
            <w:pPr>
              <w:pStyle w:val="ENoteTableText"/>
              <w:keepNext/>
            </w:pPr>
            <w:r w:rsidRPr="00576D60">
              <w:t>24 Mar 2020</w:t>
            </w:r>
          </w:p>
        </w:tc>
        <w:tc>
          <w:tcPr>
            <w:tcW w:w="1978" w:type="dxa"/>
            <w:tcBorders>
              <w:top w:val="single" w:sz="12" w:space="0" w:color="auto"/>
              <w:bottom w:val="single" w:sz="12" w:space="0" w:color="auto"/>
            </w:tcBorders>
            <w:shd w:val="clear" w:color="auto" w:fill="auto"/>
          </w:tcPr>
          <w:p w14:paraId="60C44C34" w14:textId="77777777" w:rsidR="00E93F58" w:rsidRPr="00576D60" w:rsidRDefault="00E93F58" w:rsidP="00505974">
            <w:pPr>
              <w:pStyle w:val="ENoteTableText"/>
              <w:keepNext/>
            </w:pPr>
            <w:r w:rsidRPr="00576D60">
              <w:t>Sch 12 (items 26–29): 25 Mar 2020 (s 2(1) item 8)</w:t>
            </w:r>
          </w:p>
        </w:tc>
        <w:tc>
          <w:tcPr>
            <w:tcW w:w="2019" w:type="dxa"/>
            <w:tcBorders>
              <w:top w:val="single" w:sz="12" w:space="0" w:color="auto"/>
              <w:bottom w:val="single" w:sz="12" w:space="0" w:color="auto"/>
            </w:tcBorders>
            <w:shd w:val="clear" w:color="auto" w:fill="auto"/>
          </w:tcPr>
          <w:p w14:paraId="65AC4D04" w14:textId="77777777" w:rsidR="00E93F58" w:rsidRPr="00576D60" w:rsidRDefault="00E93F58" w:rsidP="00505974">
            <w:pPr>
              <w:pStyle w:val="ENoteTableText"/>
              <w:keepNext/>
            </w:pPr>
            <w:r w:rsidRPr="00576D60">
              <w:t>—</w:t>
            </w:r>
          </w:p>
        </w:tc>
      </w:tr>
    </w:tbl>
    <w:p w14:paraId="6D7E44C4" w14:textId="77777777" w:rsidR="00E93F58" w:rsidRPr="00576D60" w:rsidRDefault="00E93F58" w:rsidP="00C223D0">
      <w:pPr>
        <w:pStyle w:val="Tabletext"/>
      </w:pPr>
    </w:p>
    <w:p w14:paraId="2020F882" w14:textId="77777777" w:rsidR="00E93F58" w:rsidRPr="00576D60" w:rsidRDefault="00E93F58" w:rsidP="00C223D0">
      <w:pPr>
        <w:pStyle w:val="ENotesHeading2"/>
        <w:pageBreakBefore/>
        <w:outlineLvl w:val="9"/>
      </w:pPr>
      <w:bookmarkStart w:id="3635" w:name="_Toc151992051"/>
      <w:bookmarkStart w:id="3636" w:name="_Toc158713601"/>
      <w:r w:rsidRPr="00576D60">
        <w:lastRenderedPageBreak/>
        <w:t>Endnote 4—Amendment history</w:t>
      </w:r>
      <w:bookmarkEnd w:id="3635"/>
      <w:bookmarkEnd w:id="3636"/>
    </w:p>
    <w:p w14:paraId="2BEA5CE2" w14:textId="77777777" w:rsidR="00E93F58" w:rsidRPr="00576D60" w:rsidRDefault="00E93F58" w:rsidP="00C223D0">
      <w:pPr>
        <w:pStyle w:val="Tabletext"/>
      </w:pPr>
    </w:p>
    <w:tbl>
      <w:tblPr>
        <w:tblW w:w="5000" w:type="pct"/>
        <w:tblLook w:val="0000" w:firstRow="0" w:lastRow="0" w:firstColumn="0" w:lastColumn="0" w:noHBand="0" w:noVBand="0"/>
      </w:tblPr>
      <w:tblGrid>
        <w:gridCol w:w="3232"/>
        <w:gridCol w:w="7541"/>
      </w:tblGrid>
      <w:tr w:rsidR="00E93F58" w:rsidRPr="00576D60" w14:paraId="3F95F923" w14:textId="77777777" w:rsidTr="002F32E3">
        <w:trPr>
          <w:cantSplit/>
          <w:tblHeader/>
        </w:trPr>
        <w:tc>
          <w:tcPr>
            <w:tcW w:w="1500" w:type="pct"/>
            <w:tcBorders>
              <w:top w:val="single" w:sz="12" w:space="0" w:color="auto"/>
              <w:bottom w:val="single" w:sz="12" w:space="0" w:color="auto"/>
            </w:tcBorders>
            <w:shd w:val="clear" w:color="auto" w:fill="auto"/>
          </w:tcPr>
          <w:p w14:paraId="58FA12C8" w14:textId="77777777" w:rsidR="00E93F58" w:rsidRPr="00576D60" w:rsidRDefault="00E93F58" w:rsidP="002F32E3">
            <w:pPr>
              <w:pStyle w:val="ENoteTableHeading"/>
            </w:pPr>
            <w:r w:rsidRPr="00576D60">
              <w:t>Provision affected</w:t>
            </w:r>
          </w:p>
        </w:tc>
        <w:tc>
          <w:tcPr>
            <w:tcW w:w="3500" w:type="pct"/>
            <w:tcBorders>
              <w:top w:val="single" w:sz="12" w:space="0" w:color="auto"/>
              <w:bottom w:val="single" w:sz="12" w:space="0" w:color="auto"/>
            </w:tcBorders>
            <w:shd w:val="clear" w:color="auto" w:fill="auto"/>
          </w:tcPr>
          <w:p w14:paraId="0CAF63D7" w14:textId="77777777" w:rsidR="00E93F58" w:rsidRPr="00576D60" w:rsidRDefault="00E93F58" w:rsidP="002F32E3">
            <w:pPr>
              <w:pStyle w:val="ENoteTableHeading"/>
            </w:pPr>
            <w:r w:rsidRPr="00576D60">
              <w:t>How affected</w:t>
            </w:r>
          </w:p>
        </w:tc>
      </w:tr>
      <w:tr w:rsidR="00E93F58" w:rsidRPr="00576D60" w14:paraId="4AA85DB1" w14:textId="77777777" w:rsidTr="002F32E3">
        <w:trPr>
          <w:cantSplit/>
        </w:trPr>
        <w:tc>
          <w:tcPr>
            <w:tcW w:w="1500" w:type="pct"/>
            <w:tcBorders>
              <w:top w:val="single" w:sz="12" w:space="0" w:color="auto"/>
            </w:tcBorders>
            <w:shd w:val="clear" w:color="auto" w:fill="auto"/>
          </w:tcPr>
          <w:p w14:paraId="778378DF" w14:textId="77777777" w:rsidR="00E93F58" w:rsidRPr="00576D60" w:rsidRDefault="00E93F58" w:rsidP="002F32E3">
            <w:pPr>
              <w:pStyle w:val="ENoteTableText"/>
              <w:tabs>
                <w:tab w:val="left" w:leader="dot" w:pos="2268"/>
              </w:tabs>
              <w:rPr>
                <w:b/>
              </w:rPr>
            </w:pPr>
            <w:r w:rsidRPr="00576D60">
              <w:rPr>
                <w:b/>
              </w:rPr>
              <w:t>Chapter 1</w:t>
            </w:r>
          </w:p>
        </w:tc>
        <w:tc>
          <w:tcPr>
            <w:tcW w:w="3500" w:type="pct"/>
            <w:tcBorders>
              <w:top w:val="single" w:sz="12" w:space="0" w:color="auto"/>
            </w:tcBorders>
            <w:shd w:val="clear" w:color="auto" w:fill="auto"/>
          </w:tcPr>
          <w:p w14:paraId="09C0F5F5" w14:textId="77777777" w:rsidR="00E93F58" w:rsidRPr="00576D60" w:rsidRDefault="00E93F58" w:rsidP="002F32E3">
            <w:pPr>
              <w:pStyle w:val="ENoteTableText"/>
            </w:pPr>
          </w:p>
        </w:tc>
      </w:tr>
      <w:tr w:rsidR="00E93F58" w:rsidRPr="00576D60" w14:paraId="5AF6C7B1" w14:textId="77777777" w:rsidTr="002F32E3">
        <w:trPr>
          <w:cantSplit/>
        </w:trPr>
        <w:tc>
          <w:tcPr>
            <w:tcW w:w="1500" w:type="pct"/>
            <w:shd w:val="clear" w:color="auto" w:fill="auto"/>
          </w:tcPr>
          <w:p w14:paraId="381F3727" w14:textId="77777777" w:rsidR="00E93F58" w:rsidRPr="00576D60" w:rsidRDefault="00E93F58" w:rsidP="002F32E3">
            <w:pPr>
              <w:pStyle w:val="ENoteTableText"/>
              <w:tabs>
                <w:tab w:val="left" w:leader="dot" w:pos="2268"/>
              </w:tabs>
              <w:rPr>
                <w:b/>
              </w:rPr>
            </w:pPr>
            <w:r>
              <w:rPr>
                <w:b/>
              </w:rPr>
              <w:t>Part 1</w:t>
            </w:r>
            <w:r w:rsidRPr="00576D60">
              <w:rPr>
                <w:b/>
              </w:rPr>
              <w:t>.0</w:t>
            </w:r>
          </w:p>
        </w:tc>
        <w:tc>
          <w:tcPr>
            <w:tcW w:w="3500" w:type="pct"/>
            <w:shd w:val="clear" w:color="auto" w:fill="auto"/>
          </w:tcPr>
          <w:p w14:paraId="2093A391" w14:textId="77777777" w:rsidR="00E93F58" w:rsidRPr="00576D60" w:rsidRDefault="00E93F58" w:rsidP="002F32E3">
            <w:pPr>
              <w:pStyle w:val="ENoteTableText"/>
            </w:pPr>
          </w:p>
        </w:tc>
      </w:tr>
      <w:tr w:rsidR="00E93F58" w:rsidRPr="00576D60" w14:paraId="31965AD7" w14:textId="77777777" w:rsidTr="002F32E3">
        <w:trPr>
          <w:cantSplit/>
        </w:trPr>
        <w:tc>
          <w:tcPr>
            <w:tcW w:w="1500" w:type="pct"/>
            <w:shd w:val="clear" w:color="auto" w:fill="auto"/>
          </w:tcPr>
          <w:p w14:paraId="4857BF38" w14:textId="77777777" w:rsidR="00E93F58" w:rsidRPr="00576D60" w:rsidRDefault="00E93F58" w:rsidP="002F32E3">
            <w:pPr>
              <w:pStyle w:val="ENoteTableText"/>
              <w:tabs>
                <w:tab w:val="left" w:leader="dot" w:pos="2268"/>
              </w:tabs>
            </w:pPr>
            <w:r w:rsidRPr="00576D60">
              <w:t>r 1.0.01A</w:t>
            </w:r>
            <w:r w:rsidRPr="00576D60">
              <w:tab/>
            </w:r>
          </w:p>
        </w:tc>
        <w:tc>
          <w:tcPr>
            <w:tcW w:w="3500" w:type="pct"/>
            <w:shd w:val="clear" w:color="auto" w:fill="auto"/>
          </w:tcPr>
          <w:p w14:paraId="694FB317" w14:textId="77777777" w:rsidR="00E93F58" w:rsidRPr="00576D60" w:rsidRDefault="00E93F58" w:rsidP="002F32E3">
            <w:pPr>
              <w:pStyle w:val="ENoteTableText"/>
            </w:pPr>
            <w:r w:rsidRPr="00576D60">
              <w:t>rep LA s 48D</w:t>
            </w:r>
          </w:p>
        </w:tc>
      </w:tr>
      <w:tr w:rsidR="00E93F58" w:rsidRPr="00576D60" w14:paraId="79B9E055" w14:textId="77777777" w:rsidTr="002F32E3">
        <w:trPr>
          <w:cantSplit/>
        </w:trPr>
        <w:tc>
          <w:tcPr>
            <w:tcW w:w="1500" w:type="pct"/>
            <w:shd w:val="clear" w:color="auto" w:fill="auto"/>
          </w:tcPr>
          <w:p w14:paraId="7027A9A4" w14:textId="77777777" w:rsidR="00E93F58" w:rsidRPr="00576D60" w:rsidRDefault="00E93F58" w:rsidP="002F32E3">
            <w:pPr>
              <w:pStyle w:val="ENoteTableText"/>
              <w:tabs>
                <w:tab w:val="left" w:leader="dot" w:pos="2268"/>
              </w:tabs>
            </w:pPr>
            <w:r w:rsidRPr="00576D60">
              <w:t>r 1.0.02</w:t>
            </w:r>
            <w:r w:rsidRPr="00576D60">
              <w:tab/>
            </w:r>
          </w:p>
        </w:tc>
        <w:tc>
          <w:tcPr>
            <w:tcW w:w="3500" w:type="pct"/>
            <w:shd w:val="clear" w:color="auto" w:fill="auto"/>
          </w:tcPr>
          <w:p w14:paraId="3CA3F9FB" w14:textId="77777777" w:rsidR="00E93F58" w:rsidRPr="00576D60" w:rsidRDefault="00E93F58" w:rsidP="002F32E3">
            <w:pPr>
              <w:pStyle w:val="ENoteTableText"/>
            </w:pPr>
            <w:r w:rsidRPr="00576D60">
              <w:t xml:space="preserve">rs </w:t>
            </w:r>
            <w:r>
              <w:t>No 319, 2001</w:t>
            </w:r>
          </w:p>
        </w:tc>
      </w:tr>
      <w:tr w:rsidR="00E93F58" w:rsidRPr="00576D60" w14:paraId="45AA67E7" w14:textId="77777777" w:rsidTr="002F32E3">
        <w:trPr>
          <w:cantSplit/>
        </w:trPr>
        <w:tc>
          <w:tcPr>
            <w:tcW w:w="1500" w:type="pct"/>
            <w:shd w:val="clear" w:color="auto" w:fill="auto"/>
          </w:tcPr>
          <w:p w14:paraId="6AE00806" w14:textId="77777777" w:rsidR="00E93F58" w:rsidRPr="00576D60" w:rsidRDefault="00E93F58" w:rsidP="002F32E3">
            <w:pPr>
              <w:pStyle w:val="ENoteTableText"/>
              <w:tabs>
                <w:tab w:val="left" w:leader="dot" w:pos="2268"/>
              </w:tabs>
            </w:pPr>
          </w:p>
        </w:tc>
        <w:tc>
          <w:tcPr>
            <w:tcW w:w="3500" w:type="pct"/>
            <w:shd w:val="clear" w:color="auto" w:fill="auto"/>
          </w:tcPr>
          <w:p w14:paraId="2FA0C4CB" w14:textId="77777777" w:rsidR="00E93F58" w:rsidRPr="00576D60" w:rsidRDefault="00E93F58" w:rsidP="002F32E3">
            <w:pPr>
              <w:pStyle w:val="ENoteTableText"/>
            </w:pPr>
            <w:r w:rsidRPr="00576D60">
              <w:t>am No 16, 2002; No 41, 2002; No 282, 2002; No 31, 2003; No 127, 2003; No 368, 2003; No 26, 2004; No 398, 2004; No 31, 2005; No 38, 2005; No 102, 2007; No 158, 2008; No 135, 2010; No 210, 2010; No 42, 2012; No 267, 2012; No 117, 2013; No 155, 2013; No 33, 2014; No 24, 2015; No 91, 2015; F2016L01926; F2018L00743; F2018L01144; F2019L01533; F2020L01610; F2021L01801 (disallowed); F2022L00469; F2022L01689</w:t>
            </w:r>
            <w:r>
              <w:t>; F2023L01458</w:t>
            </w:r>
          </w:p>
        </w:tc>
      </w:tr>
      <w:tr w:rsidR="00E93F58" w:rsidRPr="00576D60" w14:paraId="15C6DBAE" w14:textId="77777777" w:rsidTr="002F32E3">
        <w:trPr>
          <w:cantSplit/>
        </w:trPr>
        <w:tc>
          <w:tcPr>
            <w:tcW w:w="1500" w:type="pct"/>
            <w:shd w:val="clear" w:color="auto" w:fill="auto"/>
          </w:tcPr>
          <w:p w14:paraId="3560DFB0" w14:textId="77777777" w:rsidR="00E93F58" w:rsidRPr="00576D60" w:rsidRDefault="00E93F58" w:rsidP="002F32E3">
            <w:pPr>
              <w:pStyle w:val="ENoteTableText"/>
              <w:tabs>
                <w:tab w:val="left" w:leader="dot" w:pos="2268"/>
              </w:tabs>
            </w:pPr>
            <w:r>
              <w:t>r 1.0.02AA</w:t>
            </w:r>
            <w:r>
              <w:tab/>
            </w:r>
          </w:p>
        </w:tc>
        <w:tc>
          <w:tcPr>
            <w:tcW w:w="3500" w:type="pct"/>
            <w:shd w:val="clear" w:color="auto" w:fill="auto"/>
          </w:tcPr>
          <w:p w14:paraId="60722373" w14:textId="77777777" w:rsidR="00E93F58" w:rsidRPr="00576D60" w:rsidRDefault="00E93F58" w:rsidP="002F32E3">
            <w:pPr>
              <w:pStyle w:val="ENoteTableText"/>
            </w:pPr>
            <w:r>
              <w:t>ad F2023L01458</w:t>
            </w:r>
          </w:p>
        </w:tc>
      </w:tr>
      <w:tr w:rsidR="00E93F58" w:rsidRPr="00576D60" w14:paraId="380FA371" w14:textId="77777777" w:rsidTr="002F32E3">
        <w:trPr>
          <w:cantSplit/>
        </w:trPr>
        <w:tc>
          <w:tcPr>
            <w:tcW w:w="1500" w:type="pct"/>
            <w:shd w:val="clear" w:color="auto" w:fill="auto"/>
          </w:tcPr>
          <w:p w14:paraId="08E66114" w14:textId="77777777" w:rsidR="00E93F58" w:rsidRPr="00576D60" w:rsidRDefault="00E93F58" w:rsidP="002F32E3">
            <w:pPr>
              <w:pStyle w:val="ENoteTableText"/>
              <w:tabs>
                <w:tab w:val="left" w:leader="dot" w:pos="2268"/>
              </w:tabs>
            </w:pPr>
            <w:r>
              <w:t>r 1.0.02AB</w:t>
            </w:r>
            <w:r>
              <w:tab/>
            </w:r>
          </w:p>
        </w:tc>
        <w:tc>
          <w:tcPr>
            <w:tcW w:w="3500" w:type="pct"/>
            <w:shd w:val="clear" w:color="auto" w:fill="auto"/>
          </w:tcPr>
          <w:p w14:paraId="0926FEF5" w14:textId="77777777" w:rsidR="00E93F58" w:rsidRPr="00576D60" w:rsidRDefault="00E93F58" w:rsidP="002F32E3">
            <w:pPr>
              <w:pStyle w:val="ENoteTableText"/>
            </w:pPr>
            <w:r>
              <w:t>ad F2023L01458</w:t>
            </w:r>
          </w:p>
        </w:tc>
      </w:tr>
      <w:tr w:rsidR="00E93F58" w:rsidRPr="00576D60" w14:paraId="2BDE42B9" w14:textId="77777777" w:rsidTr="002F32E3">
        <w:trPr>
          <w:cantSplit/>
        </w:trPr>
        <w:tc>
          <w:tcPr>
            <w:tcW w:w="1500" w:type="pct"/>
            <w:shd w:val="clear" w:color="auto" w:fill="auto"/>
          </w:tcPr>
          <w:p w14:paraId="4AFE06DC" w14:textId="77777777" w:rsidR="00E93F58" w:rsidRPr="00576D60" w:rsidRDefault="00E93F58" w:rsidP="002F32E3">
            <w:pPr>
              <w:pStyle w:val="ENoteTableText"/>
              <w:tabs>
                <w:tab w:val="left" w:leader="dot" w:pos="2268"/>
              </w:tabs>
            </w:pPr>
            <w:r w:rsidRPr="00576D60">
              <w:t>r 1.0.02A</w:t>
            </w:r>
            <w:r w:rsidRPr="00576D60">
              <w:tab/>
            </w:r>
          </w:p>
        </w:tc>
        <w:tc>
          <w:tcPr>
            <w:tcW w:w="3500" w:type="pct"/>
            <w:shd w:val="clear" w:color="auto" w:fill="auto"/>
          </w:tcPr>
          <w:p w14:paraId="0E59F37A" w14:textId="77777777" w:rsidR="00E93F58" w:rsidRPr="00576D60" w:rsidRDefault="00E93F58" w:rsidP="002F32E3">
            <w:pPr>
              <w:pStyle w:val="ENoteTableText"/>
            </w:pPr>
            <w:r w:rsidRPr="00576D60">
              <w:t>ad No 332, 2010</w:t>
            </w:r>
          </w:p>
        </w:tc>
      </w:tr>
      <w:tr w:rsidR="00E93F58" w:rsidRPr="00576D60" w14:paraId="708B9961" w14:textId="77777777" w:rsidTr="002F32E3">
        <w:trPr>
          <w:cantSplit/>
        </w:trPr>
        <w:tc>
          <w:tcPr>
            <w:tcW w:w="1500" w:type="pct"/>
            <w:shd w:val="clear" w:color="auto" w:fill="auto"/>
          </w:tcPr>
          <w:p w14:paraId="08B27DEA" w14:textId="77777777" w:rsidR="00E93F58" w:rsidRPr="00576D60" w:rsidRDefault="00E93F58" w:rsidP="002F32E3">
            <w:pPr>
              <w:pStyle w:val="ENoteTableText"/>
            </w:pPr>
          </w:p>
        </w:tc>
        <w:tc>
          <w:tcPr>
            <w:tcW w:w="3500" w:type="pct"/>
            <w:shd w:val="clear" w:color="auto" w:fill="auto"/>
          </w:tcPr>
          <w:p w14:paraId="42953128" w14:textId="77777777" w:rsidR="00E93F58" w:rsidRPr="00576D60" w:rsidRDefault="00E93F58" w:rsidP="002F32E3">
            <w:pPr>
              <w:pStyle w:val="ENoteTableText"/>
            </w:pPr>
            <w:r w:rsidRPr="00576D60">
              <w:t>rs No 193, 2011</w:t>
            </w:r>
          </w:p>
        </w:tc>
      </w:tr>
      <w:tr w:rsidR="00E93F58" w:rsidRPr="00576D60" w14:paraId="53BA4DC1" w14:textId="77777777" w:rsidTr="002F32E3">
        <w:trPr>
          <w:cantSplit/>
        </w:trPr>
        <w:tc>
          <w:tcPr>
            <w:tcW w:w="1500" w:type="pct"/>
            <w:shd w:val="clear" w:color="auto" w:fill="auto"/>
          </w:tcPr>
          <w:p w14:paraId="368813E0" w14:textId="77777777" w:rsidR="00E93F58" w:rsidRPr="00576D60" w:rsidRDefault="00E93F58" w:rsidP="00975BDA">
            <w:pPr>
              <w:pStyle w:val="ENoteTableText"/>
              <w:tabs>
                <w:tab w:val="left" w:leader="dot" w:pos="2268"/>
              </w:tabs>
            </w:pPr>
          </w:p>
        </w:tc>
        <w:tc>
          <w:tcPr>
            <w:tcW w:w="3500" w:type="pct"/>
            <w:shd w:val="clear" w:color="auto" w:fill="auto"/>
          </w:tcPr>
          <w:p w14:paraId="1D6F591C" w14:textId="77777777" w:rsidR="00E93F58" w:rsidRPr="00576D60" w:rsidRDefault="00E93F58" w:rsidP="00975BDA">
            <w:pPr>
              <w:pStyle w:val="ENoteTableText"/>
            </w:pPr>
            <w:r w:rsidRPr="00576D60">
              <w:t>am F2022L01689</w:t>
            </w:r>
          </w:p>
        </w:tc>
      </w:tr>
      <w:tr w:rsidR="00E93F58" w:rsidRPr="00576D60" w14:paraId="5E77F48C" w14:textId="77777777" w:rsidTr="002F32E3">
        <w:trPr>
          <w:cantSplit/>
        </w:trPr>
        <w:tc>
          <w:tcPr>
            <w:tcW w:w="1500" w:type="pct"/>
            <w:shd w:val="clear" w:color="auto" w:fill="auto"/>
          </w:tcPr>
          <w:p w14:paraId="2D45C300" w14:textId="77777777" w:rsidR="00E93F58" w:rsidRPr="00576D60" w:rsidRDefault="00E93F58" w:rsidP="002F32E3">
            <w:pPr>
              <w:pStyle w:val="ENoteTableText"/>
              <w:tabs>
                <w:tab w:val="center" w:leader="dot" w:pos="2268"/>
              </w:tabs>
            </w:pPr>
            <w:r w:rsidRPr="00576D60">
              <w:t>r 1.0.02B</w:t>
            </w:r>
            <w:r w:rsidRPr="00576D60">
              <w:tab/>
            </w:r>
          </w:p>
        </w:tc>
        <w:tc>
          <w:tcPr>
            <w:tcW w:w="3500" w:type="pct"/>
            <w:shd w:val="clear" w:color="auto" w:fill="auto"/>
          </w:tcPr>
          <w:p w14:paraId="6856A154" w14:textId="77777777" w:rsidR="00E93F58" w:rsidRPr="00576D60" w:rsidRDefault="00E93F58" w:rsidP="002F32E3">
            <w:pPr>
              <w:pStyle w:val="ENoteTableText"/>
            </w:pPr>
            <w:r w:rsidRPr="00576D60">
              <w:t>ad F2019L00538</w:t>
            </w:r>
          </w:p>
        </w:tc>
      </w:tr>
      <w:tr w:rsidR="00E93F58" w:rsidRPr="00576D60" w14:paraId="029309D9" w14:textId="77777777" w:rsidTr="002F32E3">
        <w:trPr>
          <w:cantSplit/>
        </w:trPr>
        <w:tc>
          <w:tcPr>
            <w:tcW w:w="1500" w:type="pct"/>
            <w:shd w:val="clear" w:color="auto" w:fill="auto"/>
          </w:tcPr>
          <w:p w14:paraId="3AED8151" w14:textId="77777777" w:rsidR="00E93F58" w:rsidRPr="00576D60" w:rsidRDefault="00E93F58" w:rsidP="002F32E3">
            <w:pPr>
              <w:pStyle w:val="ENoteTableText"/>
              <w:tabs>
                <w:tab w:val="left" w:leader="dot" w:pos="2268"/>
              </w:tabs>
            </w:pPr>
            <w:r w:rsidRPr="00576D60">
              <w:t>r. 1.0.03</w:t>
            </w:r>
            <w:r w:rsidRPr="00576D60">
              <w:tab/>
            </w:r>
          </w:p>
        </w:tc>
        <w:tc>
          <w:tcPr>
            <w:tcW w:w="3500" w:type="pct"/>
            <w:shd w:val="clear" w:color="auto" w:fill="auto"/>
          </w:tcPr>
          <w:p w14:paraId="4486CDD4" w14:textId="77777777" w:rsidR="00E93F58" w:rsidRPr="00576D60" w:rsidRDefault="00E93F58" w:rsidP="002F32E3">
            <w:pPr>
              <w:pStyle w:val="ENoteTableText"/>
            </w:pPr>
            <w:r w:rsidRPr="00576D60">
              <w:t>am 2004 No. 399</w:t>
            </w:r>
          </w:p>
        </w:tc>
      </w:tr>
      <w:tr w:rsidR="00E93F58" w:rsidRPr="00576D60" w14:paraId="52724BF6" w14:textId="77777777" w:rsidTr="002F32E3">
        <w:trPr>
          <w:cantSplit/>
        </w:trPr>
        <w:tc>
          <w:tcPr>
            <w:tcW w:w="1500" w:type="pct"/>
            <w:shd w:val="clear" w:color="auto" w:fill="auto"/>
          </w:tcPr>
          <w:p w14:paraId="5DED766A" w14:textId="77777777" w:rsidR="00E93F58" w:rsidRPr="00576D60" w:rsidRDefault="00E93F58" w:rsidP="002F32E3">
            <w:pPr>
              <w:pStyle w:val="ENoteTableText"/>
              <w:tabs>
                <w:tab w:val="left" w:leader="dot" w:pos="2268"/>
              </w:tabs>
            </w:pPr>
            <w:r w:rsidRPr="00576D60">
              <w:t>r 1.0.03A</w:t>
            </w:r>
            <w:r w:rsidRPr="00576D60">
              <w:tab/>
            </w:r>
          </w:p>
        </w:tc>
        <w:tc>
          <w:tcPr>
            <w:tcW w:w="3500" w:type="pct"/>
            <w:shd w:val="clear" w:color="auto" w:fill="auto"/>
          </w:tcPr>
          <w:p w14:paraId="79E49D45" w14:textId="77777777" w:rsidR="00E93F58" w:rsidRPr="00576D60" w:rsidRDefault="00E93F58" w:rsidP="002F32E3">
            <w:pPr>
              <w:pStyle w:val="ENoteTableText"/>
            </w:pPr>
            <w:r w:rsidRPr="00576D60">
              <w:t>ad 2004 No 399</w:t>
            </w:r>
          </w:p>
        </w:tc>
      </w:tr>
      <w:tr w:rsidR="00E93F58" w:rsidRPr="00576D60" w14:paraId="64B51DFF" w14:textId="77777777" w:rsidTr="002F32E3">
        <w:trPr>
          <w:cantSplit/>
        </w:trPr>
        <w:tc>
          <w:tcPr>
            <w:tcW w:w="1500" w:type="pct"/>
            <w:shd w:val="clear" w:color="auto" w:fill="auto"/>
          </w:tcPr>
          <w:p w14:paraId="05D90BCA" w14:textId="77777777" w:rsidR="00E93F58" w:rsidRPr="00576D60" w:rsidRDefault="00E93F58" w:rsidP="002F32E3">
            <w:pPr>
              <w:pStyle w:val="ENoteTableText"/>
            </w:pPr>
          </w:p>
        </w:tc>
        <w:tc>
          <w:tcPr>
            <w:tcW w:w="3500" w:type="pct"/>
            <w:shd w:val="clear" w:color="auto" w:fill="auto"/>
          </w:tcPr>
          <w:p w14:paraId="72A5FBAD" w14:textId="77777777" w:rsidR="00E93F58" w:rsidRPr="00576D60" w:rsidRDefault="00E93F58" w:rsidP="002F32E3">
            <w:pPr>
              <w:pStyle w:val="ENoteTableText"/>
            </w:pPr>
            <w:r w:rsidRPr="00576D60">
              <w:t>am 2007 No 195; F2016L01926; F2018L01144</w:t>
            </w:r>
          </w:p>
        </w:tc>
      </w:tr>
      <w:tr w:rsidR="00E93F58" w:rsidRPr="00576D60" w14:paraId="4A5E7F04" w14:textId="77777777" w:rsidTr="002F32E3">
        <w:trPr>
          <w:cantSplit/>
        </w:trPr>
        <w:tc>
          <w:tcPr>
            <w:tcW w:w="1500" w:type="pct"/>
            <w:shd w:val="clear" w:color="auto" w:fill="auto"/>
          </w:tcPr>
          <w:p w14:paraId="134CAD1C" w14:textId="77777777" w:rsidR="00E93F58" w:rsidRPr="00576D60" w:rsidRDefault="00E93F58" w:rsidP="002F32E3">
            <w:pPr>
              <w:pStyle w:val="ENoteTableText"/>
              <w:tabs>
                <w:tab w:val="left" w:leader="dot" w:pos="2268"/>
              </w:tabs>
            </w:pPr>
            <w:r w:rsidRPr="00576D60">
              <w:t>r. 1.0.03B</w:t>
            </w:r>
            <w:r w:rsidRPr="00576D60">
              <w:tab/>
            </w:r>
          </w:p>
        </w:tc>
        <w:tc>
          <w:tcPr>
            <w:tcW w:w="3500" w:type="pct"/>
            <w:shd w:val="clear" w:color="auto" w:fill="auto"/>
          </w:tcPr>
          <w:p w14:paraId="7F99CD1B" w14:textId="77777777" w:rsidR="00E93F58" w:rsidRPr="00576D60" w:rsidRDefault="00E93F58" w:rsidP="002F32E3">
            <w:pPr>
              <w:pStyle w:val="ENoteTableText"/>
            </w:pPr>
            <w:r w:rsidRPr="00576D60">
              <w:t>ad. 2004 No. 399</w:t>
            </w:r>
          </w:p>
        </w:tc>
      </w:tr>
      <w:tr w:rsidR="00E93F58" w:rsidRPr="00576D60" w14:paraId="4DD68654" w14:textId="77777777" w:rsidTr="002F32E3">
        <w:trPr>
          <w:cantSplit/>
        </w:trPr>
        <w:tc>
          <w:tcPr>
            <w:tcW w:w="1500" w:type="pct"/>
            <w:shd w:val="clear" w:color="auto" w:fill="auto"/>
          </w:tcPr>
          <w:p w14:paraId="263BA02F" w14:textId="77777777" w:rsidR="00E93F58" w:rsidRPr="00576D60" w:rsidRDefault="00E93F58" w:rsidP="002F32E3">
            <w:pPr>
              <w:pStyle w:val="ENoteTableText"/>
              <w:tabs>
                <w:tab w:val="left" w:leader="dot" w:pos="2268"/>
              </w:tabs>
            </w:pPr>
            <w:r w:rsidRPr="00576D60">
              <w:t>r 1.0.03C</w:t>
            </w:r>
            <w:r w:rsidRPr="00576D60">
              <w:tab/>
            </w:r>
          </w:p>
        </w:tc>
        <w:tc>
          <w:tcPr>
            <w:tcW w:w="3500" w:type="pct"/>
            <w:shd w:val="clear" w:color="auto" w:fill="auto"/>
          </w:tcPr>
          <w:p w14:paraId="587CFBD9" w14:textId="77777777" w:rsidR="00E93F58" w:rsidRPr="00576D60" w:rsidRDefault="00E93F58" w:rsidP="002F32E3">
            <w:pPr>
              <w:pStyle w:val="ENoteTableText"/>
            </w:pPr>
            <w:r w:rsidRPr="00576D60">
              <w:t>ad 2004 No 399</w:t>
            </w:r>
          </w:p>
        </w:tc>
      </w:tr>
      <w:tr w:rsidR="00E93F58" w:rsidRPr="00576D60" w14:paraId="0B99AC18" w14:textId="77777777" w:rsidTr="002F32E3">
        <w:trPr>
          <w:cantSplit/>
        </w:trPr>
        <w:tc>
          <w:tcPr>
            <w:tcW w:w="1500" w:type="pct"/>
            <w:shd w:val="clear" w:color="auto" w:fill="auto"/>
          </w:tcPr>
          <w:p w14:paraId="39EC1DD5" w14:textId="77777777" w:rsidR="00E93F58" w:rsidRPr="00576D60" w:rsidRDefault="00E93F58" w:rsidP="002F32E3">
            <w:pPr>
              <w:pStyle w:val="ENoteTableText"/>
              <w:tabs>
                <w:tab w:val="left" w:leader="dot" w:pos="2268"/>
              </w:tabs>
            </w:pPr>
          </w:p>
        </w:tc>
        <w:tc>
          <w:tcPr>
            <w:tcW w:w="3500" w:type="pct"/>
            <w:shd w:val="clear" w:color="auto" w:fill="auto"/>
          </w:tcPr>
          <w:p w14:paraId="32413BA3" w14:textId="77777777" w:rsidR="00E93F58" w:rsidRPr="00576D60" w:rsidRDefault="00E93F58" w:rsidP="002F32E3">
            <w:pPr>
              <w:pStyle w:val="ENoteTableText"/>
              <w:rPr>
                <w:u w:val="single"/>
              </w:rPr>
            </w:pPr>
            <w:r w:rsidRPr="00576D60">
              <w:t>am F2016L01926</w:t>
            </w:r>
          </w:p>
        </w:tc>
      </w:tr>
      <w:tr w:rsidR="00E93F58" w:rsidRPr="00576D60" w14:paraId="254D0EE8" w14:textId="77777777" w:rsidTr="002F32E3">
        <w:trPr>
          <w:cantSplit/>
        </w:trPr>
        <w:tc>
          <w:tcPr>
            <w:tcW w:w="1500" w:type="pct"/>
            <w:shd w:val="clear" w:color="auto" w:fill="auto"/>
          </w:tcPr>
          <w:p w14:paraId="216BB9F6" w14:textId="77777777" w:rsidR="00E93F58" w:rsidRPr="00576D60" w:rsidRDefault="00E93F58" w:rsidP="002F32E3">
            <w:pPr>
              <w:pStyle w:val="ENoteTableText"/>
              <w:tabs>
                <w:tab w:val="left" w:leader="dot" w:pos="2268"/>
              </w:tabs>
            </w:pPr>
            <w:r w:rsidRPr="00576D60">
              <w:t>r. 1.0.05</w:t>
            </w:r>
            <w:r w:rsidRPr="00576D60">
              <w:tab/>
            </w:r>
          </w:p>
        </w:tc>
        <w:tc>
          <w:tcPr>
            <w:tcW w:w="3500" w:type="pct"/>
            <w:shd w:val="clear" w:color="auto" w:fill="auto"/>
          </w:tcPr>
          <w:p w14:paraId="3CC9D069" w14:textId="77777777" w:rsidR="00E93F58" w:rsidRPr="00576D60" w:rsidRDefault="00E93F58" w:rsidP="002F32E3">
            <w:pPr>
              <w:pStyle w:val="ENoteTableText"/>
            </w:pPr>
            <w:r w:rsidRPr="00576D60">
              <w:t>am. 2001 No. 319; 2003 No. 194</w:t>
            </w:r>
          </w:p>
        </w:tc>
      </w:tr>
      <w:tr w:rsidR="00E93F58" w:rsidRPr="00576D60" w14:paraId="7D3F5B11" w14:textId="77777777" w:rsidTr="002F32E3">
        <w:trPr>
          <w:cantSplit/>
        </w:trPr>
        <w:tc>
          <w:tcPr>
            <w:tcW w:w="1500" w:type="pct"/>
            <w:shd w:val="clear" w:color="auto" w:fill="auto"/>
          </w:tcPr>
          <w:p w14:paraId="1841AE0E" w14:textId="77777777" w:rsidR="00E93F58" w:rsidRPr="00576D60" w:rsidRDefault="00E93F58" w:rsidP="002F32E3">
            <w:pPr>
              <w:pStyle w:val="ENoteTableText"/>
              <w:tabs>
                <w:tab w:val="left" w:leader="dot" w:pos="2268"/>
              </w:tabs>
            </w:pPr>
            <w:r w:rsidRPr="00576D60">
              <w:t>r 1.0.05A</w:t>
            </w:r>
            <w:r w:rsidRPr="00576D60">
              <w:tab/>
            </w:r>
          </w:p>
        </w:tc>
        <w:tc>
          <w:tcPr>
            <w:tcW w:w="3500" w:type="pct"/>
            <w:shd w:val="clear" w:color="auto" w:fill="auto"/>
          </w:tcPr>
          <w:p w14:paraId="2ABF0569" w14:textId="77777777" w:rsidR="00E93F58" w:rsidRPr="00576D60" w:rsidRDefault="00E93F58" w:rsidP="002F32E3">
            <w:pPr>
              <w:pStyle w:val="ENoteTableText"/>
            </w:pPr>
            <w:r w:rsidRPr="00576D60">
              <w:t>ad No 319, 2001</w:t>
            </w:r>
          </w:p>
        </w:tc>
      </w:tr>
      <w:tr w:rsidR="00E93F58" w:rsidRPr="00576D60" w14:paraId="76302E27" w14:textId="77777777" w:rsidTr="002F32E3">
        <w:trPr>
          <w:cantSplit/>
        </w:trPr>
        <w:tc>
          <w:tcPr>
            <w:tcW w:w="1500" w:type="pct"/>
            <w:shd w:val="clear" w:color="auto" w:fill="auto"/>
          </w:tcPr>
          <w:p w14:paraId="029597C9" w14:textId="77777777" w:rsidR="00E93F58" w:rsidRPr="00576D60" w:rsidRDefault="00E93F58" w:rsidP="002F32E3">
            <w:pPr>
              <w:pStyle w:val="ENoteTableText"/>
            </w:pPr>
          </w:p>
        </w:tc>
        <w:tc>
          <w:tcPr>
            <w:tcW w:w="3500" w:type="pct"/>
            <w:shd w:val="clear" w:color="auto" w:fill="auto"/>
          </w:tcPr>
          <w:p w14:paraId="3FECB031" w14:textId="77777777" w:rsidR="00E93F58" w:rsidRPr="00576D60" w:rsidRDefault="00E93F58" w:rsidP="002F32E3">
            <w:pPr>
              <w:pStyle w:val="ENoteTableText"/>
              <w:rPr>
                <w:u w:val="single"/>
              </w:rPr>
            </w:pPr>
            <w:r w:rsidRPr="00576D60">
              <w:t>am No 16, 2002; No 41, 2002; F2021L01072</w:t>
            </w:r>
          </w:p>
        </w:tc>
      </w:tr>
      <w:tr w:rsidR="00E93F58" w:rsidRPr="00576D60" w14:paraId="0ECB521A" w14:textId="77777777" w:rsidTr="002F32E3">
        <w:trPr>
          <w:cantSplit/>
        </w:trPr>
        <w:tc>
          <w:tcPr>
            <w:tcW w:w="1500" w:type="pct"/>
            <w:shd w:val="clear" w:color="auto" w:fill="auto"/>
          </w:tcPr>
          <w:p w14:paraId="316783A8" w14:textId="77777777" w:rsidR="00E93F58" w:rsidRPr="00576D60" w:rsidRDefault="00E93F58" w:rsidP="002F32E3">
            <w:pPr>
              <w:pStyle w:val="ENoteTableText"/>
            </w:pPr>
          </w:p>
        </w:tc>
        <w:tc>
          <w:tcPr>
            <w:tcW w:w="3500" w:type="pct"/>
            <w:shd w:val="clear" w:color="auto" w:fill="auto"/>
          </w:tcPr>
          <w:p w14:paraId="6B3296AD" w14:textId="77777777" w:rsidR="00E93F58" w:rsidRPr="00576D60" w:rsidRDefault="00E93F58" w:rsidP="002F32E3">
            <w:pPr>
              <w:pStyle w:val="ENoteTableText"/>
            </w:pPr>
            <w:r>
              <w:t>rep F2023L01458</w:t>
            </w:r>
          </w:p>
        </w:tc>
      </w:tr>
      <w:tr w:rsidR="00E93F58" w:rsidRPr="00576D60" w14:paraId="75C7FB1C" w14:textId="77777777" w:rsidTr="002F32E3">
        <w:trPr>
          <w:cantSplit/>
        </w:trPr>
        <w:tc>
          <w:tcPr>
            <w:tcW w:w="1500" w:type="pct"/>
            <w:shd w:val="clear" w:color="auto" w:fill="auto"/>
          </w:tcPr>
          <w:p w14:paraId="29196E9D" w14:textId="77777777" w:rsidR="00E93F58" w:rsidRPr="00576D60" w:rsidRDefault="00E93F58" w:rsidP="002F32E3">
            <w:pPr>
              <w:pStyle w:val="ENoteTableText"/>
              <w:tabs>
                <w:tab w:val="left" w:leader="dot" w:pos="2268"/>
              </w:tabs>
            </w:pPr>
            <w:r w:rsidRPr="00576D60">
              <w:t>r 1.0.07</w:t>
            </w:r>
            <w:r w:rsidRPr="00576D60">
              <w:tab/>
            </w:r>
          </w:p>
        </w:tc>
        <w:tc>
          <w:tcPr>
            <w:tcW w:w="3500" w:type="pct"/>
            <w:shd w:val="clear" w:color="auto" w:fill="auto"/>
          </w:tcPr>
          <w:p w14:paraId="4FB5353B" w14:textId="77777777" w:rsidR="00E93F58" w:rsidRPr="00576D60" w:rsidRDefault="00E93F58" w:rsidP="002F32E3">
            <w:pPr>
              <w:pStyle w:val="ENoteTableText"/>
            </w:pPr>
            <w:r w:rsidRPr="00576D60">
              <w:t>am No 319, 2001; F2018L01144; F2022L00469</w:t>
            </w:r>
          </w:p>
        </w:tc>
      </w:tr>
      <w:tr w:rsidR="00E93F58" w:rsidRPr="00576D60" w14:paraId="553A9EE5" w14:textId="77777777" w:rsidTr="002F32E3">
        <w:trPr>
          <w:cantSplit/>
        </w:trPr>
        <w:tc>
          <w:tcPr>
            <w:tcW w:w="1500" w:type="pct"/>
            <w:shd w:val="clear" w:color="auto" w:fill="auto"/>
          </w:tcPr>
          <w:p w14:paraId="13F969D8" w14:textId="77777777" w:rsidR="00E93F58" w:rsidRPr="00576D60" w:rsidRDefault="00E93F58" w:rsidP="002F32E3">
            <w:pPr>
              <w:pStyle w:val="ENoteTableText"/>
              <w:tabs>
                <w:tab w:val="left" w:leader="dot" w:pos="2268"/>
              </w:tabs>
            </w:pPr>
            <w:r w:rsidRPr="00576D60">
              <w:t>r 1.0.08</w:t>
            </w:r>
            <w:r w:rsidRPr="00576D60">
              <w:tab/>
            </w:r>
          </w:p>
        </w:tc>
        <w:tc>
          <w:tcPr>
            <w:tcW w:w="3500" w:type="pct"/>
            <w:shd w:val="clear" w:color="auto" w:fill="auto"/>
          </w:tcPr>
          <w:p w14:paraId="625E42EE" w14:textId="77777777" w:rsidR="00E93F58" w:rsidRPr="00576D60" w:rsidRDefault="00E93F58" w:rsidP="002F32E3">
            <w:pPr>
              <w:pStyle w:val="ENoteTableText"/>
            </w:pPr>
            <w:r w:rsidRPr="00576D60">
              <w:t>am F2018L01144; F2022L00469; F2023L00990</w:t>
            </w:r>
          </w:p>
        </w:tc>
      </w:tr>
      <w:tr w:rsidR="00E93F58" w:rsidRPr="00576D60" w14:paraId="03212350" w14:textId="77777777" w:rsidTr="002F32E3">
        <w:trPr>
          <w:cantSplit/>
        </w:trPr>
        <w:tc>
          <w:tcPr>
            <w:tcW w:w="1500" w:type="pct"/>
            <w:shd w:val="clear" w:color="auto" w:fill="auto"/>
          </w:tcPr>
          <w:p w14:paraId="44EE8963" w14:textId="77777777" w:rsidR="00E93F58" w:rsidRPr="00576D60" w:rsidRDefault="00E93F58" w:rsidP="002F32E3">
            <w:pPr>
              <w:pStyle w:val="ENoteTableText"/>
              <w:tabs>
                <w:tab w:val="left" w:leader="dot" w:pos="2268"/>
              </w:tabs>
            </w:pPr>
            <w:r w:rsidRPr="00576D60">
              <w:t>r 1.0.09</w:t>
            </w:r>
            <w:r w:rsidRPr="00576D60">
              <w:tab/>
            </w:r>
          </w:p>
        </w:tc>
        <w:tc>
          <w:tcPr>
            <w:tcW w:w="3500" w:type="pct"/>
            <w:shd w:val="clear" w:color="auto" w:fill="auto"/>
          </w:tcPr>
          <w:p w14:paraId="0E197EC6" w14:textId="77777777" w:rsidR="00E93F58" w:rsidRPr="00576D60" w:rsidRDefault="00E93F58" w:rsidP="002F32E3">
            <w:pPr>
              <w:pStyle w:val="ENoteTableText"/>
            </w:pPr>
            <w:r w:rsidRPr="00576D60">
              <w:t>am F2022L00469</w:t>
            </w:r>
          </w:p>
        </w:tc>
      </w:tr>
      <w:tr w:rsidR="00E93F58" w:rsidRPr="00576D60" w14:paraId="236B87F5" w14:textId="77777777" w:rsidTr="002F32E3">
        <w:trPr>
          <w:cantSplit/>
        </w:trPr>
        <w:tc>
          <w:tcPr>
            <w:tcW w:w="1500" w:type="pct"/>
            <w:shd w:val="clear" w:color="auto" w:fill="auto"/>
          </w:tcPr>
          <w:p w14:paraId="29545C13" w14:textId="77777777" w:rsidR="00E93F58" w:rsidRPr="00576D60" w:rsidRDefault="00E93F58" w:rsidP="002F32E3">
            <w:pPr>
              <w:pStyle w:val="ENoteTableText"/>
              <w:tabs>
                <w:tab w:val="left" w:leader="dot" w:pos="2268"/>
              </w:tabs>
            </w:pPr>
            <w:r w:rsidRPr="00576D60">
              <w:t>r 1.0.10</w:t>
            </w:r>
            <w:r w:rsidRPr="00576D60">
              <w:tab/>
            </w:r>
          </w:p>
        </w:tc>
        <w:tc>
          <w:tcPr>
            <w:tcW w:w="3500" w:type="pct"/>
            <w:shd w:val="clear" w:color="auto" w:fill="auto"/>
          </w:tcPr>
          <w:p w14:paraId="245D1E99" w14:textId="77777777" w:rsidR="00E93F58" w:rsidRPr="00576D60" w:rsidRDefault="00E93F58" w:rsidP="002F32E3">
            <w:pPr>
              <w:pStyle w:val="ENoteTableText"/>
            </w:pPr>
            <w:r w:rsidRPr="00576D60">
              <w:t>am F2022L01627</w:t>
            </w:r>
          </w:p>
        </w:tc>
      </w:tr>
      <w:tr w:rsidR="00E93F58" w:rsidRPr="00576D60" w14:paraId="35BB5967" w14:textId="77777777" w:rsidTr="002F32E3">
        <w:trPr>
          <w:cantSplit/>
        </w:trPr>
        <w:tc>
          <w:tcPr>
            <w:tcW w:w="1500" w:type="pct"/>
            <w:shd w:val="clear" w:color="auto" w:fill="auto"/>
          </w:tcPr>
          <w:p w14:paraId="6F4B9A91" w14:textId="77777777" w:rsidR="00E93F58" w:rsidRPr="00576D60" w:rsidRDefault="00E93F58" w:rsidP="002F32E3">
            <w:pPr>
              <w:pStyle w:val="ENoteTableText"/>
              <w:tabs>
                <w:tab w:val="left" w:leader="dot" w:pos="2268"/>
              </w:tabs>
            </w:pPr>
            <w:r w:rsidRPr="00576D60">
              <w:t>r 1.0.12</w:t>
            </w:r>
            <w:r w:rsidRPr="00576D60">
              <w:tab/>
            </w:r>
          </w:p>
        </w:tc>
        <w:tc>
          <w:tcPr>
            <w:tcW w:w="3500" w:type="pct"/>
            <w:shd w:val="clear" w:color="auto" w:fill="auto"/>
          </w:tcPr>
          <w:p w14:paraId="4275A157" w14:textId="77777777" w:rsidR="00E93F58" w:rsidRPr="00576D60" w:rsidRDefault="00E93F58" w:rsidP="002F32E3">
            <w:pPr>
              <w:pStyle w:val="ENoteTableText"/>
            </w:pPr>
            <w:r w:rsidRPr="00576D60">
              <w:t>am F2016L01926</w:t>
            </w:r>
          </w:p>
        </w:tc>
      </w:tr>
      <w:tr w:rsidR="00E93F58" w:rsidRPr="00576D60" w14:paraId="661FBAD7" w14:textId="77777777" w:rsidTr="002F32E3">
        <w:trPr>
          <w:cantSplit/>
        </w:trPr>
        <w:tc>
          <w:tcPr>
            <w:tcW w:w="1500" w:type="pct"/>
            <w:shd w:val="clear" w:color="auto" w:fill="auto"/>
          </w:tcPr>
          <w:p w14:paraId="6F61933D" w14:textId="77777777" w:rsidR="00E93F58" w:rsidRPr="00576D60" w:rsidRDefault="00E93F58" w:rsidP="002F32E3">
            <w:pPr>
              <w:pStyle w:val="ENoteTableText"/>
              <w:tabs>
                <w:tab w:val="left" w:leader="dot" w:pos="2268"/>
              </w:tabs>
            </w:pPr>
            <w:r w:rsidRPr="00576D60">
              <w:t>r 1.0.16</w:t>
            </w:r>
            <w:r w:rsidRPr="00576D60">
              <w:tab/>
            </w:r>
          </w:p>
        </w:tc>
        <w:tc>
          <w:tcPr>
            <w:tcW w:w="3500" w:type="pct"/>
            <w:shd w:val="clear" w:color="auto" w:fill="auto"/>
          </w:tcPr>
          <w:p w14:paraId="0D5A8EAA" w14:textId="77777777" w:rsidR="00E93F58" w:rsidRPr="00576D60" w:rsidRDefault="00E93F58" w:rsidP="002F32E3">
            <w:pPr>
              <w:pStyle w:val="ENoteTableText"/>
            </w:pPr>
            <w:r w:rsidRPr="00576D60">
              <w:t>am F2018L01144; F2023L00990</w:t>
            </w:r>
            <w:r>
              <w:t>; F2023L01458</w:t>
            </w:r>
          </w:p>
        </w:tc>
      </w:tr>
      <w:tr w:rsidR="00E93F58" w:rsidRPr="00576D60" w14:paraId="6E63D50F" w14:textId="77777777" w:rsidTr="002F32E3">
        <w:trPr>
          <w:cantSplit/>
        </w:trPr>
        <w:tc>
          <w:tcPr>
            <w:tcW w:w="1500" w:type="pct"/>
            <w:shd w:val="clear" w:color="auto" w:fill="auto"/>
          </w:tcPr>
          <w:p w14:paraId="6A4FB4F3" w14:textId="77777777" w:rsidR="00E93F58" w:rsidRPr="00576D60" w:rsidRDefault="00E93F58" w:rsidP="002F32E3">
            <w:pPr>
              <w:pStyle w:val="ENoteTableText"/>
              <w:tabs>
                <w:tab w:val="left" w:leader="dot" w:pos="2268"/>
              </w:tabs>
            </w:pPr>
            <w:r w:rsidRPr="00576D60">
              <w:t>r 1.0.17</w:t>
            </w:r>
            <w:r w:rsidRPr="00576D60">
              <w:tab/>
            </w:r>
          </w:p>
        </w:tc>
        <w:tc>
          <w:tcPr>
            <w:tcW w:w="3500" w:type="pct"/>
            <w:shd w:val="clear" w:color="auto" w:fill="auto"/>
          </w:tcPr>
          <w:p w14:paraId="0EDDCF3B" w14:textId="77777777" w:rsidR="00E93F58" w:rsidRPr="00576D60" w:rsidRDefault="00E93F58" w:rsidP="002F32E3">
            <w:pPr>
              <w:pStyle w:val="ENoteTableText"/>
            </w:pPr>
            <w:r w:rsidRPr="00576D60">
              <w:t>am F2022L01689</w:t>
            </w:r>
          </w:p>
        </w:tc>
      </w:tr>
      <w:tr w:rsidR="00E93F58" w:rsidRPr="00576D60" w14:paraId="58A8A7AD" w14:textId="77777777" w:rsidTr="002F32E3">
        <w:trPr>
          <w:cantSplit/>
        </w:trPr>
        <w:tc>
          <w:tcPr>
            <w:tcW w:w="1500" w:type="pct"/>
            <w:shd w:val="clear" w:color="auto" w:fill="auto"/>
          </w:tcPr>
          <w:p w14:paraId="06F19D5C" w14:textId="77777777" w:rsidR="00E93F58" w:rsidRPr="00576D60" w:rsidRDefault="00E93F58" w:rsidP="002F32E3">
            <w:pPr>
              <w:pStyle w:val="ENoteTableText"/>
              <w:tabs>
                <w:tab w:val="left" w:leader="dot" w:pos="2268"/>
              </w:tabs>
            </w:pPr>
            <w:r w:rsidRPr="00576D60">
              <w:t>r. 1.0.18</w:t>
            </w:r>
            <w:r w:rsidRPr="00576D60">
              <w:tab/>
            </w:r>
          </w:p>
        </w:tc>
        <w:tc>
          <w:tcPr>
            <w:tcW w:w="3500" w:type="pct"/>
            <w:shd w:val="clear" w:color="auto" w:fill="auto"/>
          </w:tcPr>
          <w:p w14:paraId="7E2E7E1A" w14:textId="77777777" w:rsidR="00E93F58" w:rsidRPr="00576D60" w:rsidRDefault="00E93F58" w:rsidP="002F32E3">
            <w:pPr>
              <w:pStyle w:val="ENoteTableText"/>
            </w:pPr>
            <w:r w:rsidRPr="00576D60">
              <w:t>am. 2001 No. 319</w:t>
            </w:r>
          </w:p>
        </w:tc>
      </w:tr>
      <w:tr w:rsidR="00E93F58" w:rsidRPr="00576D60" w14:paraId="47247EE0" w14:textId="77777777" w:rsidTr="002F32E3">
        <w:trPr>
          <w:cantSplit/>
        </w:trPr>
        <w:tc>
          <w:tcPr>
            <w:tcW w:w="1500" w:type="pct"/>
            <w:shd w:val="clear" w:color="auto" w:fill="auto"/>
          </w:tcPr>
          <w:p w14:paraId="593577FB" w14:textId="77777777" w:rsidR="00E93F58" w:rsidRPr="00576D60" w:rsidRDefault="00E93F58" w:rsidP="002F32E3">
            <w:pPr>
              <w:pStyle w:val="ENoteTableText"/>
              <w:tabs>
                <w:tab w:val="left" w:leader="dot" w:pos="2268"/>
              </w:tabs>
            </w:pPr>
            <w:r w:rsidRPr="00576D60">
              <w:t>r 1.0.20</w:t>
            </w:r>
            <w:r w:rsidRPr="00576D60">
              <w:tab/>
            </w:r>
          </w:p>
        </w:tc>
        <w:tc>
          <w:tcPr>
            <w:tcW w:w="3500" w:type="pct"/>
            <w:shd w:val="clear" w:color="auto" w:fill="auto"/>
          </w:tcPr>
          <w:p w14:paraId="7348B3BE" w14:textId="77777777" w:rsidR="00E93F58" w:rsidRPr="00576D60" w:rsidRDefault="00E93F58" w:rsidP="002F32E3">
            <w:pPr>
              <w:pStyle w:val="ENoteTableText"/>
            </w:pPr>
            <w:r w:rsidRPr="00576D60">
              <w:t>am No 198, 2009; F2022L01627</w:t>
            </w:r>
          </w:p>
        </w:tc>
      </w:tr>
      <w:tr w:rsidR="00E93F58" w:rsidRPr="00576D60" w14:paraId="58C7D2F9" w14:textId="77777777" w:rsidTr="002F32E3">
        <w:trPr>
          <w:cantSplit/>
        </w:trPr>
        <w:tc>
          <w:tcPr>
            <w:tcW w:w="1500" w:type="pct"/>
            <w:shd w:val="clear" w:color="auto" w:fill="auto"/>
          </w:tcPr>
          <w:p w14:paraId="5E244525" w14:textId="77777777" w:rsidR="00E93F58" w:rsidRPr="00576D60" w:rsidRDefault="00E93F58" w:rsidP="002F32E3">
            <w:pPr>
              <w:pStyle w:val="ENoteTableText"/>
              <w:tabs>
                <w:tab w:val="left" w:leader="dot" w:pos="2268"/>
              </w:tabs>
            </w:pPr>
            <w:r w:rsidRPr="00576D60">
              <w:t>r 1.0.22</w:t>
            </w:r>
            <w:r w:rsidRPr="00576D60">
              <w:tab/>
            </w:r>
          </w:p>
        </w:tc>
        <w:tc>
          <w:tcPr>
            <w:tcW w:w="3500" w:type="pct"/>
            <w:shd w:val="clear" w:color="auto" w:fill="auto"/>
          </w:tcPr>
          <w:p w14:paraId="307D7A41" w14:textId="77777777" w:rsidR="00E93F58" w:rsidRPr="00576D60" w:rsidRDefault="00E93F58" w:rsidP="002F32E3">
            <w:pPr>
              <w:pStyle w:val="ENoteTableText"/>
            </w:pPr>
            <w:r w:rsidRPr="00576D60">
              <w:t>ad</w:t>
            </w:r>
            <w:r>
              <w:t xml:space="preserve"> No 319, 2001</w:t>
            </w:r>
          </w:p>
        </w:tc>
      </w:tr>
      <w:tr w:rsidR="00E93F58" w:rsidRPr="00576D60" w14:paraId="3DA56E09" w14:textId="77777777" w:rsidTr="002F32E3">
        <w:trPr>
          <w:cantSplit/>
        </w:trPr>
        <w:tc>
          <w:tcPr>
            <w:tcW w:w="1500" w:type="pct"/>
            <w:shd w:val="clear" w:color="auto" w:fill="auto"/>
          </w:tcPr>
          <w:p w14:paraId="04F57F9D" w14:textId="77777777" w:rsidR="00E93F58" w:rsidRPr="00576D60" w:rsidRDefault="00E93F58" w:rsidP="002F32E3">
            <w:pPr>
              <w:pStyle w:val="ENoteTableText"/>
              <w:tabs>
                <w:tab w:val="left" w:leader="dot" w:pos="2268"/>
              </w:tabs>
            </w:pPr>
          </w:p>
        </w:tc>
        <w:tc>
          <w:tcPr>
            <w:tcW w:w="3500" w:type="pct"/>
            <w:shd w:val="clear" w:color="auto" w:fill="auto"/>
          </w:tcPr>
          <w:p w14:paraId="592D65C0" w14:textId="77777777" w:rsidR="00E93F58" w:rsidRPr="00576D60" w:rsidRDefault="00E93F58" w:rsidP="002F32E3">
            <w:pPr>
              <w:pStyle w:val="ENoteTableText"/>
            </w:pPr>
            <w:r>
              <w:t>rs F2023L01458</w:t>
            </w:r>
          </w:p>
        </w:tc>
      </w:tr>
      <w:tr w:rsidR="00E93F58" w:rsidRPr="00576D60" w14:paraId="41F9E63D" w14:textId="77777777" w:rsidTr="002F32E3">
        <w:trPr>
          <w:cantSplit/>
        </w:trPr>
        <w:tc>
          <w:tcPr>
            <w:tcW w:w="1500" w:type="pct"/>
            <w:shd w:val="clear" w:color="auto" w:fill="auto"/>
          </w:tcPr>
          <w:p w14:paraId="0E7B2FB5" w14:textId="77777777" w:rsidR="00E93F58" w:rsidRPr="00576D60" w:rsidRDefault="00E93F58" w:rsidP="002F32E3">
            <w:pPr>
              <w:pStyle w:val="ENoteTableText"/>
              <w:tabs>
                <w:tab w:val="left" w:leader="dot" w:pos="2268"/>
              </w:tabs>
              <w:rPr>
                <w:b/>
              </w:rPr>
            </w:pPr>
            <w:r>
              <w:rPr>
                <w:b/>
              </w:rPr>
              <w:t>Part 1</w:t>
            </w:r>
            <w:r w:rsidRPr="00576D60">
              <w:rPr>
                <w:b/>
              </w:rPr>
              <w:t>.2</w:t>
            </w:r>
          </w:p>
        </w:tc>
        <w:tc>
          <w:tcPr>
            <w:tcW w:w="3500" w:type="pct"/>
            <w:shd w:val="clear" w:color="auto" w:fill="auto"/>
          </w:tcPr>
          <w:p w14:paraId="26E1DD77" w14:textId="77777777" w:rsidR="00E93F58" w:rsidRPr="00576D60" w:rsidRDefault="00E93F58" w:rsidP="002F32E3">
            <w:pPr>
              <w:pStyle w:val="ENoteTableText"/>
            </w:pPr>
          </w:p>
        </w:tc>
      </w:tr>
      <w:tr w:rsidR="00E93F58" w:rsidRPr="00576D60" w14:paraId="27C093B2" w14:textId="77777777" w:rsidTr="002F32E3">
        <w:trPr>
          <w:cantSplit/>
        </w:trPr>
        <w:tc>
          <w:tcPr>
            <w:tcW w:w="1500" w:type="pct"/>
            <w:shd w:val="clear" w:color="auto" w:fill="auto"/>
          </w:tcPr>
          <w:p w14:paraId="2B027AFE" w14:textId="77777777" w:rsidR="00E93F58" w:rsidRPr="00576D60" w:rsidRDefault="00E93F58" w:rsidP="002F32E3">
            <w:pPr>
              <w:pStyle w:val="ENoteTableText"/>
              <w:tabs>
                <w:tab w:val="left" w:leader="dot" w:pos="2268"/>
              </w:tabs>
            </w:pPr>
            <w:r>
              <w:t>Part 1</w:t>
            </w:r>
            <w:r w:rsidRPr="00576D60">
              <w:t>.2</w:t>
            </w:r>
            <w:r w:rsidRPr="00576D60">
              <w:tab/>
            </w:r>
          </w:p>
        </w:tc>
        <w:tc>
          <w:tcPr>
            <w:tcW w:w="3500" w:type="pct"/>
            <w:shd w:val="clear" w:color="auto" w:fill="auto"/>
          </w:tcPr>
          <w:p w14:paraId="19352B08" w14:textId="77777777" w:rsidR="00E93F58" w:rsidRPr="00576D60" w:rsidRDefault="00E93F58" w:rsidP="002F32E3">
            <w:pPr>
              <w:pStyle w:val="ENoteTableText"/>
            </w:pPr>
            <w:r w:rsidRPr="00576D60">
              <w:t>rep. 2001 No. 319</w:t>
            </w:r>
          </w:p>
        </w:tc>
      </w:tr>
      <w:tr w:rsidR="00E93F58" w:rsidRPr="00576D60" w14:paraId="02DA3D3F" w14:textId="77777777" w:rsidTr="002F32E3">
        <w:trPr>
          <w:cantSplit/>
        </w:trPr>
        <w:tc>
          <w:tcPr>
            <w:tcW w:w="1500" w:type="pct"/>
            <w:shd w:val="clear" w:color="auto" w:fill="auto"/>
          </w:tcPr>
          <w:p w14:paraId="21EED993" w14:textId="77777777" w:rsidR="00E93F58" w:rsidRPr="00576D60" w:rsidRDefault="00E93F58" w:rsidP="002F32E3">
            <w:pPr>
              <w:pStyle w:val="ENoteTableText"/>
            </w:pPr>
          </w:p>
        </w:tc>
        <w:tc>
          <w:tcPr>
            <w:tcW w:w="3500" w:type="pct"/>
            <w:shd w:val="clear" w:color="auto" w:fill="auto"/>
          </w:tcPr>
          <w:p w14:paraId="631DA1EF" w14:textId="77777777" w:rsidR="00E93F58" w:rsidRPr="00576D60" w:rsidRDefault="00E93F58" w:rsidP="002F32E3">
            <w:pPr>
              <w:pStyle w:val="ENoteTableText"/>
            </w:pPr>
            <w:r w:rsidRPr="00576D60">
              <w:t>ad. 2011 No. 128</w:t>
            </w:r>
          </w:p>
        </w:tc>
      </w:tr>
      <w:tr w:rsidR="00E93F58" w:rsidRPr="00576D60" w14:paraId="32652350" w14:textId="77777777" w:rsidTr="002F32E3">
        <w:trPr>
          <w:cantSplit/>
        </w:trPr>
        <w:tc>
          <w:tcPr>
            <w:tcW w:w="1500" w:type="pct"/>
            <w:shd w:val="clear" w:color="auto" w:fill="auto"/>
          </w:tcPr>
          <w:p w14:paraId="096C5130"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1B7353DE" w14:textId="77777777" w:rsidR="00E93F58" w:rsidRPr="00576D60" w:rsidRDefault="00E93F58" w:rsidP="002F32E3">
            <w:pPr>
              <w:pStyle w:val="ENoteTableText"/>
            </w:pPr>
          </w:p>
        </w:tc>
      </w:tr>
      <w:tr w:rsidR="00E93F58" w:rsidRPr="00576D60" w14:paraId="6FE8A5D3" w14:textId="77777777" w:rsidTr="002F32E3">
        <w:trPr>
          <w:cantSplit/>
        </w:trPr>
        <w:tc>
          <w:tcPr>
            <w:tcW w:w="1500" w:type="pct"/>
            <w:shd w:val="clear" w:color="auto" w:fill="auto"/>
          </w:tcPr>
          <w:p w14:paraId="6D087D14" w14:textId="77777777" w:rsidR="00E93F58" w:rsidRPr="00576D60" w:rsidRDefault="00E93F58" w:rsidP="002F32E3">
            <w:pPr>
              <w:pStyle w:val="ENoteTableText"/>
              <w:tabs>
                <w:tab w:val="left" w:leader="dot" w:pos="2268"/>
              </w:tabs>
            </w:pPr>
            <w:r w:rsidRPr="00576D60">
              <w:t>r. 1.2.01</w:t>
            </w:r>
            <w:r w:rsidRPr="00576D60">
              <w:tab/>
            </w:r>
          </w:p>
        </w:tc>
        <w:tc>
          <w:tcPr>
            <w:tcW w:w="3500" w:type="pct"/>
            <w:shd w:val="clear" w:color="auto" w:fill="auto"/>
          </w:tcPr>
          <w:p w14:paraId="79B3559F" w14:textId="77777777" w:rsidR="00E93F58" w:rsidRPr="00576D60" w:rsidRDefault="00E93F58" w:rsidP="002F32E3">
            <w:pPr>
              <w:pStyle w:val="ENoteTableText"/>
            </w:pPr>
            <w:r w:rsidRPr="00576D60">
              <w:t>rep. 2001 No. 319</w:t>
            </w:r>
          </w:p>
        </w:tc>
      </w:tr>
      <w:tr w:rsidR="00E93F58" w:rsidRPr="00576D60" w14:paraId="62C0BD3A" w14:textId="77777777" w:rsidTr="002F32E3">
        <w:trPr>
          <w:cantSplit/>
        </w:trPr>
        <w:tc>
          <w:tcPr>
            <w:tcW w:w="1500" w:type="pct"/>
            <w:shd w:val="clear" w:color="auto" w:fill="auto"/>
          </w:tcPr>
          <w:p w14:paraId="4B2E939A" w14:textId="77777777" w:rsidR="00E93F58" w:rsidRPr="00576D60" w:rsidRDefault="00E93F58" w:rsidP="002F32E3">
            <w:pPr>
              <w:pStyle w:val="ENoteTableText"/>
            </w:pPr>
          </w:p>
        </w:tc>
        <w:tc>
          <w:tcPr>
            <w:tcW w:w="3500" w:type="pct"/>
            <w:shd w:val="clear" w:color="auto" w:fill="auto"/>
          </w:tcPr>
          <w:p w14:paraId="54E14FD7" w14:textId="77777777" w:rsidR="00E93F58" w:rsidRPr="00576D60" w:rsidRDefault="00E93F58" w:rsidP="002F32E3">
            <w:pPr>
              <w:pStyle w:val="ENoteTableText"/>
            </w:pPr>
            <w:r w:rsidRPr="00576D60">
              <w:t>ad. 2011 No. 128</w:t>
            </w:r>
          </w:p>
        </w:tc>
      </w:tr>
      <w:tr w:rsidR="00E93F58" w:rsidRPr="00576D60" w14:paraId="358FDF71" w14:textId="77777777" w:rsidTr="002F32E3">
        <w:trPr>
          <w:cantSplit/>
        </w:trPr>
        <w:tc>
          <w:tcPr>
            <w:tcW w:w="1500" w:type="pct"/>
            <w:shd w:val="clear" w:color="auto" w:fill="auto"/>
          </w:tcPr>
          <w:p w14:paraId="172836E9" w14:textId="77777777" w:rsidR="00E93F58" w:rsidRPr="00576D60" w:rsidRDefault="00E93F58" w:rsidP="002F32E3">
            <w:pPr>
              <w:pStyle w:val="ENoteTableText"/>
              <w:tabs>
                <w:tab w:val="left" w:leader="dot" w:pos="2268"/>
              </w:tabs>
            </w:pPr>
            <w:r w:rsidRPr="00576D60">
              <w:t>rr. 1.2.02–1.2.32</w:t>
            </w:r>
            <w:r w:rsidRPr="00576D60">
              <w:tab/>
            </w:r>
          </w:p>
        </w:tc>
        <w:tc>
          <w:tcPr>
            <w:tcW w:w="3500" w:type="pct"/>
            <w:shd w:val="clear" w:color="auto" w:fill="auto"/>
          </w:tcPr>
          <w:p w14:paraId="7CCF3E24" w14:textId="77777777" w:rsidR="00E93F58" w:rsidRPr="00576D60" w:rsidRDefault="00E93F58" w:rsidP="002F32E3">
            <w:pPr>
              <w:pStyle w:val="ENoteTableText"/>
            </w:pPr>
            <w:r w:rsidRPr="00576D60">
              <w:t>rep. 2001 No. 319</w:t>
            </w:r>
          </w:p>
        </w:tc>
      </w:tr>
      <w:tr w:rsidR="00E93F58" w:rsidRPr="00576D60" w14:paraId="0351FDDD" w14:textId="77777777" w:rsidTr="002F32E3">
        <w:trPr>
          <w:cantSplit/>
        </w:trPr>
        <w:tc>
          <w:tcPr>
            <w:tcW w:w="1500" w:type="pct"/>
            <w:shd w:val="clear" w:color="auto" w:fill="auto"/>
          </w:tcPr>
          <w:p w14:paraId="6B7BCF56" w14:textId="77777777" w:rsidR="00E93F58" w:rsidRPr="00576D60" w:rsidRDefault="00E93F58" w:rsidP="00E942B6">
            <w:pPr>
              <w:pStyle w:val="ENoteTableText"/>
              <w:keepNext/>
              <w:keepLines/>
              <w:tabs>
                <w:tab w:val="left" w:leader="dot" w:pos="2268"/>
              </w:tabs>
              <w:rPr>
                <w:b/>
              </w:rPr>
            </w:pPr>
            <w:r w:rsidRPr="00576D60">
              <w:rPr>
                <w:b/>
              </w:rPr>
              <w:t>Chapter 2A</w:t>
            </w:r>
          </w:p>
        </w:tc>
        <w:tc>
          <w:tcPr>
            <w:tcW w:w="3500" w:type="pct"/>
            <w:shd w:val="clear" w:color="auto" w:fill="auto"/>
          </w:tcPr>
          <w:p w14:paraId="07CDF58E" w14:textId="77777777" w:rsidR="00E93F58" w:rsidRPr="00576D60" w:rsidRDefault="00E93F58" w:rsidP="002F32E3">
            <w:pPr>
              <w:pStyle w:val="ENoteTableText"/>
              <w:keepNext/>
              <w:keepLines/>
            </w:pPr>
          </w:p>
        </w:tc>
      </w:tr>
      <w:tr w:rsidR="00E93F58" w:rsidRPr="00576D60" w14:paraId="440B43C8" w14:textId="77777777" w:rsidTr="002F32E3">
        <w:trPr>
          <w:cantSplit/>
        </w:trPr>
        <w:tc>
          <w:tcPr>
            <w:tcW w:w="1500" w:type="pct"/>
            <w:shd w:val="clear" w:color="auto" w:fill="auto"/>
          </w:tcPr>
          <w:p w14:paraId="7B84C061" w14:textId="77777777" w:rsidR="00E93F58" w:rsidRPr="00576D60" w:rsidRDefault="00E93F58" w:rsidP="00E942B6">
            <w:pPr>
              <w:pStyle w:val="ENoteTableText"/>
              <w:keepNext/>
              <w:keepLines/>
              <w:tabs>
                <w:tab w:val="left" w:leader="dot" w:pos="2268"/>
              </w:tabs>
              <w:rPr>
                <w:b/>
              </w:rPr>
            </w:pPr>
            <w:r w:rsidRPr="00576D60">
              <w:rPr>
                <w:b/>
              </w:rPr>
              <w:t>Part 2A.1</w:t>
            </w:r>
          </w:p>
        </w:tc>
        <w:tc>
          <w:tcPr>
            <w:tcW w:w="3500" w:type="pct"/>
            <w:shd w:val="clear" w:color="auto" w:fill="auto"/>
          </w:tcPr>
          <w:p w14:paraId="2ED532D1" w14:textId="77777777" w:rsidR="00E93F58" w:rsidRPr="00576D60" w:rsidRDefault="00E93F58" w:rsidP="002F32E3">
            <w:pPr>
              <w:pStyle w:val="ENoteTableText"/>
            </w:pPr>
          </w:p>
        </w:tc>
      </w:tr>
      <w:tr w:rsidR="00E93F58" w:rsidRPr="00576D60" w14:paraId="4E67D7D7" w14:textId="77777777" w:rsidTr="002F32E3">
        <w:trPr>
          <w:cantSplit/>
        </w:trPr>
        <w:tc>
          <w:tcPr>
            <w:tcW w:w="1500" w:type="pct"/>
            <w:shd w:val="clear" w:color="auto" w:fill="auto"/>
          </w:tcPr>
          <w:p w14:paraId="7F3430E9" w14:textId="77777777" w:rsidR="00E93F58" w:rsidRPr="00576D60" w:rsidRDefault="00E93F58" w:rsidP="002F32E3">
            <w:pPr>
              <w:pStyle w:val="ENoteTableText"/>
              <w:tabs>
                <w:tab w:val="left" w:leader="dot" w:pos="2268"/>
              </w:tabs>
            </w:pPr>
            <w:r w:rsidRPr="00576D60">
              <w:t>r. 2A.1.01</w:t>
            </w:r>
            <w:r w:rsidRPr="00576D60">
              <w:tab/>
            </w:r>
          </w:p>
        </w:tc>
        <w:tc>
          <w:tcPr>
            <w:tcW w:w="3500" w:type="pct"/>
            <w:shd w:val="clear" w:color="auto" w:fill="auto"/>
          </w:tcPr>
          <w:p w14:paraId="10455202" w14:textId="77777777" w:rsidR="00E93F58" w:rsidRPr="00576D60" w:rsidRDefault="00E93F58" w:rsidP="002F32E3">
            <w:pPr>
              <w:pStyle w:val="ENoteTableText"/>
            </w:pPr>
            <w:r w:rsidRPr="00576D60">
              <w:t>am. 2003 No. 85</w:t>
            </w:r>
          </w:p>
        </w:tc>
      </w:tr>
      <w:tr w:rsidR="00E93F58" w:rsidRPr="00576D60" w14:paraId="6549D385" w14:textId="77777777" w:rsidTr="002F32E3">
        <w:trPr>
          <w:cantSplit/>
        </w:trPr>
        <w:tc>
          <w:tcPr>
            <w:tcW w:w="1500" w:type="pct"/>
            <w:shd w:val="clear" w:color="auto" w:fill="auto"/>
          </w:tcPr>
          <w:p w14:paraId="00D02708" w14:textId="77777777" w:rsidR="00E93F58" w:rsidRPr="00576D60" w:rsidRDefault="00E93F58" w:rsidP="002F32E3">
            <w:pPr>
              <w:pStyle w:val="ENoteTableText"/>
            </w:pPr>
          </w:p>
        </w:tc>
        <w:tc>
          <w:tcPr>
            <w:tcW w:w="3500" w:type="pct"/>
            <w:shd w:val="clear" w:color="auto" w:fill="auto"/>
          </w:tcPr>
          <w:p w14:paraId="4C75FBCD" w14:textId="77777777" w:rsidR="00E93F58" w:rsidRPr="00576D60" w:rsidRDefault="00E93F58" w:rsidP="002F32E3">
            <w:pPr>
              <w:pStyle w:val="ENoteTableText"/>
            </w:pPr>
            <w:r w:rsidRPr="00576D60">
              <w:t>rs. 2006 No. 41</w:t>
            </w:r>
          </w:p>
        </w:tc>
      </w:tr>
      <w:tr w:rsidR="00E93F58" w:rsidRPr="00576D60" w14:paraId="0E19ECB6" w14:textId="77777777" w:rsidTr="002F32E3">
        <w:trPr>
          <w:cantSplit/>
        </w:trPr>
        <w:tc>
          <w:tcPr>
            <w:tcW w:w="1500" w:type="pct"/>
            <w:shd w:val="clear" w:color="auto" w:fill="auto"/>
          </w:tcPr>
          <w:p w14:paraId="5C4477C5" w14:textId="77777777" w:rsidR="00E93F58" w:rsidRPr="00576D60" w:rsidRDefault="00E93F58" w:rsidP="002F32E3">
            <w:pPr>
              <w:pStyle w:val="ENoteTableText"/>
              <w:keepNext/>
              <w:rPr>
                <w:b/>
              </w:rPr>
            </w:pPr>
            <w:r w:rsidRPr="00576D60">
              <w:rPr>
                <w:b/>
              </w:rPr>
              <w:t>Chapter 2B</w:t>
            </w:r>
          </w:p>
        </w:tc>
        <w:tc>
          <w:tcPr>
            <w:tcW w:w="3500" w:type="pct"/>
            <w:shd w:val="clear" w:color="auto" w:fill="auto"/>
          </w:tcPr>
          <w:p w14:paraId="49B3B455" w14:textId="77777777" w:rsidR="00E93F58" w:rsidRPr="00576D60" w:rsidRDefault="00E93F58" w:rsidP="002F32E3">
            <w:pPr>
              <w:pStyle w:val="ENoteTableText"/>
            </w:pPr>
          </w:p>
        </w:tc>
      </w:tr>
      <w:tr w:rsidR="00E93F58" w:rsidRPr="00576D60" w14:paraId="45784B47" w14:textId="77777777" w:rsidTr="002F32E3">
        <w:trPr>
          <w:cantSplit/>
        </w:trPr>
        <w:tc>
          <w:tcPr>
            <w:tcW w:w="1500" w:type="pct"/>
            <w:shd w:val="clear" w:color="auto" w:fill="auto"/>
          </w:tcPr>
          <w:p w14:paraId="139AAEB4" w14:textId="77777777" w:rsidR="00E93F58" w:rsidRPr="00576D60" w:rsidRDefault="00E93F58" w:rsidP="002F32E3">
            <w:pPr>
              <w:pStyle w:val="ENoteTableText"/>
              <w:rPr>
                <w:b/>
              </w:rPr>
            </w:pPr>
            <w:r w:rsidRPr="00576D60">
              <w:rPr>
                <w:b/>
              </w:rPr>
              <w:t>Part 2B.6</w:t>
            </w:r>
          </w:p>
        </w:tc>
        <w:tc>
          <w:tcPr>
            <w:tcW w:w="3500" w:type="pct"/>
            <w:shd w:val="clear" w:color="auto" w:fill="auto"/>
          </w:tcPr>
          <w:p w14:paraId="302CE5CA" w14:textId="77777777" w:rsidR="00E93F58" w:rsidRPr="00576D60" w:rsidRDefault="00E93F58" w:rsidP="002F32E3">
            <w:pPr>
              <w:pStyle w:val="ENoteTableText"/>
            </w:pPr>
          </w:p>
        </w:tc>
      </w:tr>
      <w:tr w:rsidR="00E93F58" w:rsidRPr="00576D60" w14:paraId="2181A755" w14:textId="77777777" w:rsidTr="002F32E3">
        <w:trPr>
          <w:cantSplit/>
        </w:trPr>
        <w:tc>
          <w:tcPr>
            <w:tcW w:w="1500" w:type="pct"/>
            <w:shd w:val="clear" w:color="auto" w:fill="auto"/>
          </w:tcPr>
          <w:p w14:paraId="32ECB4EA" w14:textId="77777777" w:rsidR="00E93F58" w:rsidRPr="00576D60" w:rsidRDefault="00E93F58" w:rsidP="002F32E3">
            <w:pPr>
              <w:pStyle w:val="ENoteTableText"/>
              <w:tabs>
                <w:tab w:val="left" w:leader="dot" w:pos="2268"/>
              </w:tabs>
            </w:pPr>
            <w:r w:rsidRPr="00576D60">
              <w:lastRenderedPageBreak/>
              <w:t>r 2B.6.02A</w:t>
            </w:r>
            <w:r w:rsidRPr="00576D60">
              <w:tab/>
            </w:r>
          </w:p>
        </w:tc>
        <w:tc>
          <w:tcPr>
            <w:tcW w:w="3500" w:type="pct"/>
            <w:shd w:val="clear" w:color="auto" w:fill="auto"/>
          </w:tcPr>
          <w:p w14:paraId="3DE551D8" w14:textId="77777777" w:rsidR="00E93F58" w:rsidRPr="00576D60" w:rsidRDefault="00E93F58" w:rsidP="002F32E3">
            <w:pPr>
              <w:pStyle w:val="ENoteTableText"/>
            </w:pPr>
            <w:r w:rsidRPr="00576D60">
              <w:t>ad F2019L00271</w:t>
            </w:r>
          </w:p>
        </w:tc>
      </w:tr>
      <w:tr w:rsidR="00E93F58" w:rsidRPr="00576D60" w14:paraId="1404A39F" w14:textId="77777777" w:rsidTr="002F32E3">
        <w:trPr>
          <w:cantSplit/>
        </w:trPr>
        <w:tc>
          <w:tcPr>
            <w:tcW w:w="1500" w:type="pct"/>
            <w:shd w:val="clear" w:color="auto" w:fill="auto"/>
          </w:tcPr>
          <w:p w14:paraId="05FD35E2" w14:textId="77777777" w:rsidR="00E93F58" w:rsidRPr="00576D60" w:rsidRDefault="00E93F58" w:rsidP="002F32E3">
            <w:pPr>
              <w:pStyle w:val="ENoteTableText"/>
              <w:keepNext/>
              <w:tabs>
                <w:tab w:val="left" w:leader="dot" w:pos="2268"/>
              </w:tabs>
              <w:rPr>
                <w:b/>
              </w:rPr>
            </w:pPr>
            <w:r w:rsidRPr="00576D60">
              <w:rPr>
                <w:b/>
              </w:rPr>
              <w:t>Chapter 2C</w:t>
            </w:r>
          </w:p>
        </w:tc>
        <w:tc>
          <w:tcPr>
            <w:tcW w:w="3500" w:type="pct"/>
            <w:shd w:val="clear" w:color="auto" w:fill="auto"/>
          </w:tcPr>
          <w:p w14:paraId="5E08D5F3" w14:textId="77777777" w:rsidR="00E93F58" w:rsidRPr="00576D60" w:rsidRDefault="00E93F58" w:rsidP="002F32E3">
            <w:pPr>
              <w:pStyle w:val="ENoteTableText"/>
            </w:pPr>
          </w:p>
        </w:tc>
      </w:tr>
      <w:tr w:rsidR="00E93F58" w:rsidRPr="00576D60" w14:paraId="1907A122" w14:textId="77777777" w:rsidTr="002F32E3">
        <w:trPr>
          <w:cantSplit/>
        </w:trPr>
        <w:tc>
          <w:tcPr>
            <w:tcW w:w="1500" w:type="pct"/>
            <w:shd w:val="clear" w:color="auto" w:fill="auto"/>
          </w:tcPr>
          <w:p w14:paraId="1105C429" w14:textId="77777777" w:rsidR="00E93F58" w:rsidRPr="00576D60" w:rsidRDefault="00E93F58" w:rsidP="002F32E3">
            <w:pPr>
              <w:pStyle w:val="ENoteTableText"/>
              <w:tabs>
                <w:tab w:val="left" w:leader="dot" w:pos="2268"/>
              </w:tabs>
              <w:rPr>
                <w:b/>
              </w:rPr>
            </w:pPr>
            <w:r w:rsidRPr="00576D60">
              <w:rPr>
                <w:b/>
              </w:rPr>
              <w:t>Part 2C.1</w:t>
            </w:r>
          </w:p>
        </w:tc>
        <w:tc>
          <w:tcPr>
            <w:tcW w:w="3500" w:type="pct"/>
            <w:shd w:val="clear" w:color="auto" w:fill="auto"/>
          </w:tcPr>
          <w:p w14:paraId="2543119E" w14:textId="77777777" w:rsidR="00E93F58" w:rsidRPr="00576D60" w:rsidRDefault="00E93F58" w:rsidP="002F32E3">
            <w:pPr>
              <w:pStyle w:val="ENoteTableText"/>
            </w:pPr>
          </w:p>
        </w:tc>
      </w:tr>
      <w:tr w:rsidR="00E93F58" w:rsidRPr="00576D60" w14:paraId="79668515" w14:textId="77777777" w:rsidTr="002F32E3">
        <w:trPr>
          <w:cantSplit/>
        </w:trPr>
        <w:tc>
          <w:tcPr>
            <w:tcW w:w="1500" w:type="pct"/>
            <w:shd w:val="clear" w:color="auto" w:fill="auto"/>
          </w:tcPr>
          <w:p w14:paraId="54BD5ACF" w14:textId="77777777" w:rsidR="00E93F58" w:rsidRPr="00576D60" w:rsidRDefault="00E93F58" w:rsidP="002F32E3">
            <w:pPr>
              <w:pStyle w:val="ENoteTableText"/>
              <w:tabs>
                <w:tab w:val="left" w:leader="dot" w:pos="2268"/>
              </w:tabs>
            </w:pPr>
            <w:r w:rsidRPr="00576D60">
              <w:t>Part 2C.1 heading</w:t>
            </w:r>
            <w:r w:rsidRPr="00576D60">
              <w:tab/>
            </w:r>
          </w:p>
        </w:tc>
        <w:tc>
          <w:tcPr>
            <w:tcW w:w="3500" w:type="pct"/>
            <w:shd w:val="clear" w:color="auto" w:fill="auto"/>
          </w:tcPr>
          <w:p w14:paraId="7F519FA5" w14:textId="77777777" w:rsidR="00E93F58" w:rsidRPr="00576D60" w:rsidRDefault="00E93F58" w:rsidP="002F32E3">
            <w:pPr>
              <w:pStyle w:val="ENoteTableText"/>
            </w:pPr>
            <w:r w:rsidRPr="00576D60">
              <w:t>ad. 2007 No. 227</w:t>
            </w:r>
          </w:p>
        </w:tc>
      </w:tr>
      <w:tr w:rsidR="00E93F58" w:rsidRPr="00576D60" w14:paraId="745414A6" w14:textId="77777777" w:rsidTr="002F32E3">
        <w:trPr>
          <w:cantSplit/>
        </w:trPr>
        <w:tc>
          <w:tcPr>
            <w:tcW w:w="1500" w:type="pct"/>
            <w:shd w:val="clear" w:color="auto" w:fill="auto"/>
          </w:tcPr>
          <w:p w14:paraId="6D0C787A" w14:textId="77777777" w:rsidR="00E93F58" w:rsidRPr="00576D60" w:rsidRDefault="00E93F58" w:rsidP="002F32E3">
            <w:pPr>
              <w:pStyle w:val="ENoteTableText"/>
            </w:pPr>
          </w:p>
        </w:tc>
        <w:tc>
          <w:tcPr>
            <w:tcW w:w="3500" w:type="pct"/>
            <w:shd w:val="clear" w:color="auto" w:fill="auto"/>
          </w:tcPr>
          <w:p w14:paraId="1276D849" w14:textId="77777777" w:rsidR="00E93F58" w:rsidRPr="00576D60" w:rsidRDefault="00E93F58" w:rsidP="002F32E3">
            <w:pPr>
              <w:pStyle w:val="ENoteTableText"/>
            </w:pPr>
            <w:r w:rsidRPr="00576D60">
              <w:t>rs. 2010 No. 332</w:t>
            </w:r>
          </w:p>
        </w:tc>
      </w:tr>
      <w:tr w:rsidR="00E93F58" w:rsidRPr="00576D60" w14:paraId="15A74BB6" w14:textId="77777777" w:rsidTr="002F32E3">
        <w:trPr>
          <w:cantSplit/>
        </w:trPr>
        <w:tc>
          <w:tcPr>
            <w:tcW w:w="1500" w:type="pct"/>
            <w:shd w:val="clear" w:color="auto" w:fill="auto"/>
          </w:tcPr>
          <w:p w14:paraId="58A923FB" w14:textId="77777777" w:rsidR="00E93F58" w:rsidRPr="00576D60" w:rsidRDefault="00E93F58" w:rsidP="002F32E3">
            <w:pPr>
              <w:pStyle w:val="ENoteTableText"/>
              <w:tabs>
                <w:tab w:val="left" w:leader="dot" w:pos="2268"/>
              </w:tabs>
            </w:pPr>
            <w:r w:rsidRPr="00576D60">
              <w:t>Part 2C.1</w:t>
            </w:r>
            <w:r w:rsidRPr="00576D60">
              <w:tab/>
            </w:r>
          </w:p>
        </w:tc>
        <w:tc>
          <w:tcPr>
            <w:tcW w:w="3500" w:type="pct"/>
            <w:shd w:val="clear" w:color="auto" w:fill="auto"/>
          </w:tcPr>
          <w:p w14:paraId="6BD641CD" w14:textId="77777777" w:rsidR="00E93F58" w:rsidRPr="00576D60" w:rsidRDefault="00E93F58" w:rsidP="002F32E3">
            <w:pPr>
              <w:pStyle w:val="ENoteTableText"/>
            </w:pPr>
            <w:r w:rsidRPr="00576D60">
              <w:t>rs. 2010 No. 332</w:t>
            </w:r>
          </w:p>
        </w:tc>
      </w:tr>
      <w:tr w:rsidR="00E93F58" w:rsidRPr="00576D60" w14:paraId="5CDF38CA" w14:textId="77777777" w:rsidTr="002F32E3">
        <w:trPr>
          <w:cantSplit/>
        </w:trPr>
        <w:tc>
          <w:tcPr>
            <w:tcW w:w="1500" w:type="pct"/>
            <w:shd w:val="clear" w:color="auto" w:fill="auto"/>
          </w:tcPr>
          <w:p w14:paraId="4E1050DF" w14:textId="77777777" w:rsidR="00E93F58" w:rsidRPr="00576D60" w:rsidRDefault="00E93F58" w:rsidP="002F32E3">
            <w:pPr>
              <w:pStyle w:val="ENoteTableText"/>
              <w:tabs>
                <w:tab w:val="left" w:leader="dot" w:pos="2268"/>
              </w:tabs>
              <w:rPr>
                <w:b/>
              </w:rPr>
            </w:pPr>
            <w:r>
              <w:rPr>
                <w:b/>
              </w:rPr>
              <w:t>Division 2</w:t>
            </w:r>
            <w:r w:rsidRPr="00576D60">
              <w:rPr>
                <w:b/>
              </w:rPr>
              <w:t>C.1.1</w:t>
            </w:r>
          </w:p>
        </w:tc>
        <w:tc>
          <w:tcPr>
            <w:tcW w:w="3500" w:type="pct"/>
            <w:shd w:val="clear" w:color="auto" w:fill="auto"/>
          </w:tcPr>
          <w:p w14:paraId="62FB46FD" w14:textId="77777777" w:rsidR="00E93F58" w:rsidRPr="00576D60" w:rsidRDefault="00E93F58" w:rsidP="002F32E3">
            <w:pPr>
              <w:pStyle w:val="ENoteTableText"/>
            </w:pPr>
          </w:p>
        </w:tc>
      </w:tr>
      <w:tr w:rsidR="00E93F58" w:rsidRPr="00576D60" w14:paraId="3CACA77C" w14:textId="77777777" w:rsidTr="002F32E3">
        <w:trPr>
          <w:cantSplit/>
        </w:trPr>
        <w:tc>
          <w:tcPr>
            <w:tcW w:w="1500" w:type="pct"/>
            <w:shd w:val="clear" w:color="auto" w:fill="auto"/>
          </w:tcPr>
          <w:p w14:paraId="7A929843" w14:textId="77777777" w:rsidR="00E93F58" w:rsidRPr="00576D60" w:rsidRDefault="00E93F58" w:rsidP="002F32E3">
            <w:pPr>
              <w:pStyle w:val="ENoteTableText"/>
              <w:tabs>
                <w:tab w:val="left" w:leader="dot" w:pos="2268"/>
              </w:tabs>
            </w:pPr>
            <w:r w:rsidRPr="00576D60">
              <w:t>r. 2C.1.01</w:t>
            </w:r>
            <w:r w:rsidRPr="00576D60">
              <w:tab/>
            </w:r>
          </w:p>
        </w:tc>
        <w:tc>
          <w:tcPr>
            <w:tcW w:w="3500" w:type="pct"/>
            <w:shd w:val="clear" w:color="auto" w:fill="auto"/>
          </w:tcPr>
          <w:p w14:paraId="64E83E58" w14:textId="77777777" w:rsidR="00E93F58" w:rsidRPr="00576D60" w:rsidRDefault="00E93F58" w:rsidP="002F32E3">
            <w:pPr>
              <w:pStyle w:val="ENoteTableText"/>
            </w:pPr>
            <w:r w:rsidRPr="00576D60">
              <w:t>rs. 2001 No. 319</w:t>
            </w:r>
          </w:p>
        </w:tc>
      </w:tr>
      <w:tr w:rsidR="00E93F58" w:rsidRPr="00576D60" w14:paraId="23B5C2B8" w14:textId="77777777" w:rsidTr="002F32E3">
        <w:trPr>
          <w:cantSplit/>
        </w:trPr>
        <w:tc>
          <w:tcPr>
            <w:tcW w:w="1500" w:type="pct"/>
            <w:shd w:val="clear" w:color="auto" w:fill="auto"/>
          </w:tcPr>
          <w:p w14:paraId="46A22101" w14:textId="77777777" w:rsidR="00E93F58" w:rsidRPr="00576D60" w:rsidRDefault="00E93F58" w:rsidP="002F32E3">
            <w:pPr>
              <w:pStyle w:val="ENoteTableText"/>
            </w:pPr>
          </w:p>
        </w:tc>
        <w:tc>
          <w:tcPr>
            <w:tcW w:w="3500" w:type="pct"/>
            <w:shd w:val="clear" w:color="auto" w:fill="auto"/>
          </w:tcPr>
          <w:p w14:paraId="54D8FEDA" w14:textId="77777777" w:rsidR="00E93F58" w:rsidRPr="00576D60" w:rsidRDefault="00E93F58" w:rsidP="002F32E3">
            <w:pPr>
              <w:pStyle w:val="ENoteTableText"/>
            </w:pPr>
            <w:r w:rsidRPr="00576D60">
              <w:t>am. 2007 No. 323</w:t>
            </w:r>
          </w:p>
        </w:tc>
      </w:tr>
      <w:tr w:rsidR="00E93F58" w:rsidRPr="00576D60" w14:paraId="65AD7444" w14:textId="77777777" w:rsidTr="002F32E3">
        <w:trPr>
          <w:cantSplit/>
        </w:trPr>
        <w:tc>
          <w:tcPr>
            <w:tcW w:w="1500" w:type="pct"/>
            <w:shd w:val="clear" w:color="auto" w:fill="auto"/>
          </w:tcPr>
          <w:p w14:paraId="0EFBD84D" w14:textId="77777777" w:rsidR="00E93F58" w:rsidRPr="00576D60" w:rsidRDefault="00E93F58" w:rsidP="002F32E3">
            <w:pPr>
              <w:pStyle w:val="ENoteTableText"/>
            </w:pPr>
          </w:p>
        </w:tc>
        <w:tc>
          <w:tcPr>
            <w:tcW w:w="3500" w:type="pct"/>
            <w:shd w:val="clear" w:color="auto" w:fill="auto"/>
          </w:tcPr>
          <w:p w14:paraId="6EA5B213" w14:textId="77777777" w:rsidR="00E93F58" w:rsidRPr="00576D60" w:rsidRDefault="00E93F58" w:rsidP="002F32E3">
            <w:pPr>
              <w:pStyle w:val="ENoteTableText"/>
            </w:pPr>
            <w:r w:rsidRPr="00576D60">
              <w:t>rs. 2010 No. 332</w:t>
            </w:r>
          </w:p>
        </w:tc>
      </w:tr>
      <w:tr w:rsidR="00E93F58" w:rsidRPr="00576D60" w14:paraId="157F44E0" w14:textId="77777777" w:rsidTr="002F32E3">
        <w:trPr>
          <w:cantSplit/>
        </w:trPr>
        <w:tc>
          <w:tcPr>
            <w:tcW w:w="1500" w:type="pct"/>
            <w:shd w:val="clear" w:color="auto" w:fill="auto"/>
          </w:tcPr>
          <w:p w14:paraId="4A524E29" w14:textId="77777777" w:rsidR="00E93F58" w:rsidRPr="00576D60" w:rsidRDefault="00E93F58" w:rsidP="002F32E3">
            <w:pPr>
              <w:pStyle w:val="ENoteTableText"/>
              <w:tabs>
                <w:tab w:val="left" w:leader="dot" w:pos="2268"/>
              </w:tabs>
            </w:pPr>
            <w:r w:rsidRPr="00576D60">
              <w:t>Part 2C.2 heading</w:t>
            </w:r>
            <w:r w:rsidRPr="00576D60">
              <w:tab/>
            </w:r>
          </w:p>
        </w:tc>
        <w:tc>
          <w:tcPr>
            <w:tcW w:w="3500" w:type="pct"/>
            <w:shd w:val="clear" w:color="auto" w:fill="auto"/>
          </w:tcPr>
          <w:p w14:paraId="528D6597" w14:textId="77777777" w:rsidR="00E93F58" w:rsidRPr="00576D60" w:rsidRDefault="00E93F58" w:rsidP="002F32E3">
            <w:pPr>
              <w:pStyle w:val="ENoteTableText"/>
            </w:pPr>
            <w:r w:rsidRPr="00576D60">
              <w:t>ad. 2007 No. 227</w:t>
            </w:r>
          </w:p>
        </w:tc>
      </w:tr>
      <w:tr w:rsidR="00E93F58" w:rsidRPr="00576D60" w14:paraId="4BAB6A35" w14:textId="77777777" w:rsidTr="002F32E3">
        <w:trPr>
          <w:cantSplit/>
        </w:trPr>
        <w:tc>
          <w:tcPr>
            <w:tcW w:w="1500" w:type="pct"/>
            <w:shd w:val="clear" w:color="auto" w:fill="auto"/>
          </w:tcPr>
          <w:p w14:paraId="4E81F1E2" w14:textId="77777777" w:rsidR="00E93F58" w:rsidRPr="00576D60" w:rsidRDefault="00E93F58" w:rsidP="002F32E3">
            <w:pPr>
              <w:pStyle w:val="ENoteTableText"/>
            </w:pPr>
          </w:p>
        </w:tc>
        <w:tc>
          <w:tcPr>
            <w:tcW w:w="3500" w:type="pct"/>
            <w:shd w:val="clear" w:color="auto" w:fill="auto"/>
          </w:tcPr>
          <w:p w14:paraId="6A2940E4" w14:textId="77777777" w:rsidR="00E93F58" w:rsidRPr="00576D60" w:rsidRDefault="00E93F58" w:rsidP="002F32E3">
            <w:pPr>
              <w:pStyle w:val="ENoteTableText"/>
            </w:pPr>
            <w:r w:rsidRPr="00576D60">
              <w:t>rep. 2010 No. 332</w:t>
            </w:r>
          </w:p>
        </w:tc>
      </w:tr>
      <w:tr w:rsidR="00E93F58" w:rsidRPr="00576D60" w14:paraId="2F752087" w14:textId="77777777" w:rsidTr="002F32E3">
        <w:trPr>
          <w:cantSplit/>
        </w:trPr>
        <w:tc>
          <w:tcPr>
            <w:tcW w:w="1500" w:type="pct"/>
            <w:shd w:val="clear" w:color="auto" w:fill="auto"/>
          </w:tcPr>
          <w:p w14:paraId="0A164501" w14:textId="77777777" w:rsidR="00E93F58" w:rsidRPr="00576D60" w:rsidRDefault="00E93F58" w:rsidP="002F32E3">
            <w:pPr>
              <w:pStyle w:val="ENoteTableText"/>
              <w:tabs>
                <w:tab w:val="left" w:leader="dot" w:pos="2268"/>
              </w:tabs>
            </w:pPr>
            <w:r w:rsidRPr="00576D60">
              <w:t>Part 2C.2</w:t>
            </w:r>
            <w:r w:rsidRPr="00576D60">
              <w:tab/>
            </w:r>
          </w:p>
        </w:tc>
        <w:tc>
          <w:tcPr>
            <w:tcW w:w="3500" w:type="pct"/>
            <w:shd w:val="clear" w:color="auto" w:fill="auto"/>
          </w:tcPr>
          <w:p w14:paraId="1361F15C" w14:textId="77777777" w:rsidR="00E93F58" w:rsidRPr="00576D60" w:rsidRDefault="00E93F58" w:rsidP="002F32E3">
            <w:pPr>
              <w:pStyle w:val="ENoteTableText"/>
            </w:pPr>
            <w:r w:rsidRPr="00576D60">
              <w:t>rep. 2010 No. 332</w:t>
            </w:r>
          </w:p>
        </w:tc>
      </w:tr>
      <w:tr w:rsidR="00E93F58" w:rsidRPr="00576D60" w14:paraId="07CABA55" w14:textId="77777777" w:rsidTr="002F32E3">
        <w:trPr>
          <w:cantSplit/>
        </w:trPr>
        <w:tc>
          <w:tcPr>
            <w:tcW w:w="1500" w:type="pct"/>
            <w:shd w:val="clear" w:color="auto" w:fill="auto"/>
          </w:tcPr>
          <w:p w14:paraId="3B6DA72C" w14:textId="77777777" w:rsidR="00E93F58" w:rsidRPr="00576D60" w:rsidRDefault="00E93F58" w:rsidP="002F32E3">
            <w:pPr>
              <w:pStyle w:val="ENoteTableText"/>
              <w:tabs>
                <w:tab w:val="left" w:leader="dot" w:pos="2268"/>
              </w:tabs>
            </w:pPr>
            <w:r w:rsidRPr="00576D60">
              <w:t>r. 2C.1.02</w:t>
            </w:r>
          </w:p>
        </w:tc>
        <w:tc>
          <w:tcPr>
            <w:tcW w:w="3500" w:type="pct"/>
            <w:shd w:val="clear" w:color="auto" w:fill="auto"/>
          </w:tcPr>
          <w:p w14:paraId="78B30B70" w14:textId="77777777" w:rsidR="00E93F58" w:rsidRPr="00576D60" w:rsidRDefault="00E93F58" w:rsidP="002F32E3">
            <w:pPr>
              <w:pStyle w:val="ENoteTableText"/>
            </w:pPr>
          </w:p>
        </w:tc>
      </w:tr>
      <w:tr w:rsidR="00E93F58" w:rsidRPr="00576D60" w14:paraId="61D16222" w14:textId="77777777" w:rsidTr="002F32E3">
        <w:trPr>
          <w:cantSplit/>
        </w:trPr>
        <w:tc>
          <w:tcPr>
            <w:tcW w:w="1500" w:type="pct"/>
            <w:shd w:val="clear" w:color="auto" w:fill="auto"/>
          </w:tcPr>
          <w:p w14:paraId="075AFF10" w14:textId="77777777" w:rsidR="00E93F58" w:rsidRPr="00576D60" w:rsidRDefault="00E93F58" w:rsidP="002F32E3">
            <w:pPr>
              <w:pStyle w:val="ENoteTableText"/>
              <w:tabs>
                <w:tab w:val="left" w:leader="dot" w:pos="2268"/>
              </w:tabs>
            </w:pPr>
            <w:r w:rsidRPr="00576D60">
              <w:t>renumbered r. 2C.2.01</w:t>
            </w:r>
            <w:r w:rsidRPr="00576D60">
              <w:tab/>
            </w:r>
          </w:p>
        </w:tc>
        <w:tc>
          <w:tcPr>
            <w:tcW w:w="3500" w:type="pct"/>
            <w:shd w:val="clear" w:color="auto" w:fill="auto"/>
          </w:tcPr>
          <w:p w14:paraId="48F7B46C" w14:textId="77777777" w:rsidR="00E93F58" w:rsidRPr="00576D60" w:rsidRDefault="00E93F58" w:rsidP="002F32E3">
            <w:pPr>
              <w:pStyle w:val="ENoteTableText"/>
            </w:pPr>
            <w:r w:rsidRPr="00576D60">
              <w:t>2007 No. 227</w:t>
            </w:r>
          </w:p>
        </w:tc>
      </w:tr>
      <w:tr w:rsidR="00E93F58" w:rsidRPr="00576D60" w14:paraId="459E775E" w14:textId="77777777" w:rsidTr="002F32E3">
        <w:trPr>
          <w:cantSplit/>
        </w:trPr>
        <w:tc>
          <w:tcPr>
            <w:tcW w:w="1500" w:type="pct"/>
            <w:shd w:val="clear" w:color="auto" w:fill="auto"/>
          </w:tcPr>
          <w:p w14:paraId="38AE9675" w14:textId="77777777" w:rsidR="00E93F58" w:rsidRPr="00576D60" w:rsidRDefault="00E93F58" w:rsidP="002F32E3">
            <w:pPr>
              <w:pStyle w:val="ENoteTableText"/>
              <w:tabs>
                <w:tab w:val="left" w:leader="dot" w:pos="2268"/>
              </w:tabs>
            </w:pPr>
            <w:r w:rsidRPr="00576D60">
              <w:t>r. 2C.2.01</w:t>
            </w:r>
            <w:r w:rsidRPr="00576D60">
              <w:tab/>
            </w:r>
          </w:p>
        </w:tc>
        <w:tc>
          <w:tcPr>
            <w:tcW w:w="3500" w:type="pct"/>
            <w:shd w:val="clear" w:color="auto" w:fill="auto"/>
          </w:tcPr>
          <w:p w14:paraId="1CCED3C2" w14:textId="77777777" w:rsidR="00E93F58" w:rsidRPr="00576D60" w:rsidRDefault="00E93F58" w:rsidP="002F32E3">
            <w:pPr>
              <w:pStyle w:val="ENoteTableText"/>
            </w:pPr>
            <w:r w:rsidRPr="00576D60">
              <w:t>rep. 2010 No. 332</w:t>
            </w:r>
          </w:p>
        </w:tc>
      </w:tr>
      <w:tr w:rsidR="00E93F58" w:rsidRPr="00576D60" w14:paraId="7EEF888C" w14:textId="77777777" w:rsidTr="002F32E3">
        <w:trPr>
          <w:cantSplit/>
        </w:trPr>
        <w:tc>
          <w:tcPr>
            <w:tcW w:w="1500" w:type="pct"/>
            <w:shd w:val="clear" w:color="auto" w:fill="auto"/>
          </w:tcPr>
          <w:p w14:paraId="6B562C55" w14:textId="77777777" w:rsidR="00E93F58" w:rsidRPr="00576D60" w:rsidRDefault="00E93F58" w:rsidP="002F32E3">
            <w:pPr>
              <w:pStyle w:val="ENoteTableText"/>
              <w:tabs>
                <w:tab w:val="left" w:leader="dot" w:pos="2268"/>
              </w:tabs>
              <w:rPr>
                <w:b/>
              </w:rPr>
            </w:pPr>
            <w:r>
              <w:rPr>
                <w:b/>
              </w:rPr>
              <w:t>Division 2</w:t>
            </w:r>
            <w:r w:rsidRPr="00576D60">
              <w:rPr>
                <w:b/>
              </w:rPr>
              <w:t>C.1.2</w:t>
            </w:r>
          </w:p>
        </w:tc>
        <w:tc>
          <w:tcPr>
            <w:tcW w:w="3500" w:type="pct"/>
            <w:shd w:val="clear" w:color="auto" w:fill="auto"/>
          </w:tcPr>
          <w:p w14:paraId="63EFBB41" w14:textId="77777777" w:rsidR="00E93F58" w:rsidRPr="00576D60" w:rsidRDefault="00E93F58" w:rsidP="002F32E3">
            <w:pPr>
              <w:pStyle w:val="ENoteTableText"/>
            </w:pPr>
          </w:p>
        </w:tc>
      </w:tr>
      <w:tr w:rsidR="00E93F58" w:rsidRPr="00576D60" w14:paraId="0FE0014A" w14:textId="77777777" w:rsidTr="002F32E3">
        <w:trPr>
          <w:cantSplit/>
        </w:trPr>
        <w:tc>
          <w:tcPr>
            <w:tcW w:w="1500" w:type="pct"/>
            <w:shd w:val="clear" w:color="auto" w:fill="auto"/>
          </w:tcPr>
          <w:p w14:paraId="46565E31" w14:textId="77777777" w:rsidR="00E93F58" w:rsidRPr="00576D60" w:rsidRDefault="00E93F58" w:rsidP="002F32E3">
            <w:pPr>
              <w:pStyle w:val="ENoteTableText"/>
              <w:tabs>
                <w:tab w:val="left" w:leader="dot" w:pos="2268"/>
              </w:tabs>
            </w:pPr>
            <w:r w:rsidRPr="00576D60">
              <w:t>r. 2C.1.02</w:t>
            </w:r>
            <w:r w:rsidRPr="00576D60">
              <w:tab/>
            </w:r>
          </w:p>
        </w:tc>
        <w:tc>
          <w:tcPr>
            <w:tcW w:w="3500" w:type="pct"/>
            <w:shd w:val="clear" w:color="auto" w:fill="auto"/>
          </w:tcPr>
          <w:p w14:paraId="7A68570A" w14:textId="77777777" w:rsidR="00E93F58" w:rsidRPr="00576D60" w:rsidRDefault="00E93F58" w:rsidP="002F32E3">
            <w:pPr>
              <w:pStyle w:val="ENoteTableText"/>
            </w:pPr>
            <w:r w:rsidRPr="00576D60">
              <w:t>ad. 2010 No. 332</w:t>
            </w:r>
          </w:p>
        </w:tc>
      </w:tr>
      <w:tr w:rsidR="00E93F58" w:rsidRPr="00576D60" w14:paraId="58CCF06B" w14:textId="77777777" w:rsidTr="002F32E3">
        <w:trPr>
          <w:cantSplit/>
        </w:trPr>
        <w:tc>
          <w:tcPr>
            <w:tcW w:w="1500" w:type="pct"/>
            <w:shd w:val="clear" w:color="auto" w:fill="auto"/>
          </w:tcPr>
          <w:p w14:paraId="1F9E21AB" w14:textId="77777777" w:rsidR="00E93F58" w:rsidRPr="00576D60" w:rsidRDefault="00E93F58" w:rsidP="002F32E3">
            <w:pPr>
              <w:pStyle w:val="ENoteTableText"/>
              <w:tabs>
                <w:tab w:val="left" w:leader="dot" w:pos="2268"/>
              </w:tabs>
            </w:pPr>
            <w:r w:rsidRPr="00576D60">
              <w:t>r. 2C.1.03</w:t>
            </w:r>
            <w:r w:rsidRPr="00576D60">
              <w:tab/>
            </w:r>
          </w:p>
        </w:tc>
        <w:tc>
          <w:tcPr>
            <w:tcW w:w="3500" w:type="pct"/>
            <w:shd w:val="clear" w:color="auto" w:fill="auto"/>
          </w:tcPr>
          <w:p w14:paraId="107E4FED" w14:textId="77777777" w:rsidR="00E93F58" w:rsidRPr="00576D60" w:rsidRDefault="00E93F58" w:rsidP="002F32E3">
            <w:pPr>
              <w:pStyle w:val="ENoteTableText"/>
            </w:pPr>
            <w:r w:rsidRPr="00576D60">
              <w:t>ad. 2010 No. 332</w:t>
            </w:r>
          </w:p>
        </w:tc>
      </w:tr>
      <w:tr w:rsidR="00E93F58" w:rsidRPr="00576D60" w14:paraId="65DA1849" w14:textId="77777777" w:rsidTr="002F32E3">
        <w:trPr>
          <w:cantSplit/>
        </w:trPr>
        <w:tc>
          <w:tcPr>
            <w:tcW w:w="1500" w:type="pct"/>
            <w:shd w:val="clear" w:color="auto" w:fill="auto"/>
          </w:tcPr>
          <w:p w14:paraId="493010FD" w14:textId="77777777" w:rsidR="00E93F58" w:rsidRPr="00576D60" w:rsidRDefault="00E93F58" w:rsidP="002F32E3">
            <w:pPr>
              <w:pStyle w:val="ENoteTableText"/>
            </w:pPr>
          </w:p>
        </w:tc>
        <w:tc>
          <w:tcPr>
            <w:tcW w:w="3500" w:type="pct"/>
            <w:shd w:val="clear" w:color="auto" w:fill="auto"/>
          </w:tcPr>
          <w:p w14:paraId="540884C3" w14:textId="77777777" w:rsidR="00E93F58" w:rsidRPr="00576D60" w:rsidRDefault="00E93F58" w:rsidP="002F32E3">
            <w:pPr>
              <w:pStyle w:val="ENoteTableText"/>
            </w:pPr>
            <w:r w:rsidRPr="00576D60">
              <w:t>am. 2012 No. 233</w:t>
            </w:r>
          </w:p>
        </w:tc>
      </w:tr>
      <w:tr w:rsidR="00E93F58" w:rsidRPr="00576D60" w14:paraId="591EECA6" w14:textId="77777777" w:rsidTr="002F32E3">
        <w:trPr>
          <w:cantSplit/>
        </w:trPr>
        <w:tc>
          <w:tcPr>
            <w:tcW w:w="1500" w:type="pct"/>
            <w:shd w:val="clear" w:color="auto" w:fill="auto"/>
          </w:tcPr>
          <w:p w14:paraId="7AE2947D" w14:textId="77777777" w:rsidR="00E93F58" w:rsidRPr="00576D60" w:rsidRDefault="00E93F58" w:rsidP="002F32E3">
            <w:pPr>
              <w:pStyle w:val="ENoteTableText"/>
              <w:tabs>
                <w:tab w:val="left" w:leader="dot" w:pos="2268"/>
              </w:tabs>
            </w:pPr>
            <w:r w:rsidRPr="00576D60">
              <w:t>r. 2C.1.04</w:t>
            </w:r>
            <w:r w:rsidRPr="00576D60">
              <w:tab/>
            </w:r>
          </w:p>
        </w:tc>
        <w:tc>
          <w:tcPr>
            <w:tcW w:w="3500" w:type="pct"/>
            <w:shd w:val="clear" w:color="auto" w:fill="auto"/>
          </w:tcPr>
          <w:p w14:paraId="616775CC" w14:textId="77777777" w:rsidR="00E93F58" w:rsidRPr="00576D60" w:rsidRDefault="00E93F58" w:rsidP="002F32E3">
            <w:pPr>
              <w:pStyle w:val="ENoteTableText"/>
            </w:pPr>
            <w:r w:rsidRPr="00576D60">
              <w:t>ad. 2010 No. 332</w:t>
            </w:r>
          </w:p>
        </w:tc>
      </w:tr>
      <w:tr w:rsidR="00E93F58" w:rsidRPr="00576D60" w14:paraId="5FFD7389" w14:textId="77777777" w:rsidTr="002F32E3">
        <w:trPr>
          <w:cantSplit/>
        </w:trPr>
        <w:tc>
          <w:tcPr>
            <w:tcW w:w="1500" w:type="pct"/>
            <w:shd w:val="clear" w:color="auto" w:fill="auto"/>
          </w:tcPr>
          <w:p w14:paraId="12697878" w14:textId="77777777" w:rsidR="00E93F58" w:rsidRPr="00576D60" w:rsidRDefault="00E93F58" w:rsidP="002F32E3">
            <w:pPr>
              <w:pStyle w:val="ENoteTableText"/>
              <w:tabs>
                <w:tab w:val="left" w:leader="dot" w:pos="2268"/>
              </w:tabs>
              <w:rPr>
                <w:b/>
              </w:rPr>
            </w:pPr>
            <w:r>
              <w:rPr>
                <w:b/>
              </w:rPr>
              <w:t>Division 2</w:t>
            </w:r>
            <w:r w:rsidRPr="00576D60">
              <w:rPr>
                <w:b/>
              </w:rPr>
              <w:t>C.1.3</w:t>
            </w:r>
          </w:p>
        </w:tc>
        <w:tc>
          <w:tcPr>
            <w:tcW w:w="3500" w:type="pct"/>
            <w:shd w:val="clear" w:color="auto" w:fill="auto"/>
          </w:tcPr>
          <w:p w14:paraId="733F571A" w14:textId="77777777" w:rsidR="00E93F58" w:rsidRPr="00576D60" w:rsidRDefault="00E93F58" w:rsidP="002F32E3">
            <w:pPr>
              <w:pStyle w:val="ENoteTableText"/>
            </w:pPr>
          </w:p>
        </w:tc>
      </w:tr>
      <w:tr w:rsidR="00E93F58" w:rsidRPr="00576D60" w14:paraId="52499B5B" w14:textId="77777777" w:rsidTr="002F32E3">
        <w:trPr>
          <w:cantSplit/>
        </w:trPr>
        <w:tc>
          <w:tcPr>
            <w:tcW w:w="1500" w:type="pct"/>
            <w:shd w:val="clear" w:color="auto" w:fill="auto"/>
          </w:tcPr>
          <w:p w14:paraId="1946289C" w14:textId="77777777" w:rsidR="00E93F58" w:rsidRPr="00576D60" w:rsidRDefault="00E93F58" w:rsidP="002F32E3">
            <w:pPr>
              <w:pStyle w:val="ENoteTableText"/>
              <w:tabs>
                <w:tab w:val="left" w:leader="dot" w:pos="2268"/>
              </w:tabs>
            </w:pPr>
            <w:r w:rsidRPr="00576D60">
              <w:t>Part 2C.3 heading</w:t>
            </w:r>
            <w:r w:rsidRPr="00576D60">
              <w:tab/>
            </w:r>
          </w:p>
        </w:tc>
        <w:tc>
          <w:tcPr>
            <w:tcW w:w="3500" w:type="pct"/>
            <w:shd w:val="clear" w:color="auto" w:fill="auto"/>
          </w:tcPr>
          <w:p w14:paraId="3390BA58" w14:textId="77777777" w:rsidR="00E93F58" w:rsidRPr="00576D60" w:rsidRDefault="00E93F58" w:rsidP="002F32E3">
            <w:pPr>
              <w:pStyle w:val="ENoteTableText"/>
            </w:pPr>
            <w:r w:rsidRPr="00576D60">
              <w:t>rep. 2010 No. 332</w:t>
            </w:r>
          </w:p>
        </w:tc>
      </w:tr>
      <w:tr w:rsidR="00E93F58" w:rsidRPr="00576D60" w14:paraId="7F2A1D7F" w14:textId="77777777" w:rsidTr="002F32E3">
        <w:trPr>
          <w:cantSplit/>
        </w:trPr>
        <w:tc>
          <w:tcPr>
            <w:tcW w:w="1500" w:type="pct"/>
            <w:shd w:val="clear" w:color="auto" w:fill="auto"/>
          </w:tcPr>
          <w:p w14:paraId="6CD9E6A5" w14:textId="77777777" w:rsidR="00E93F58" w:rsidRPr="00576D60" w:rsidRDefault="00E93F58" w:rsidP="002F32E3">
            <w:pPr>
              <w:pStyle w:val="ENoteTableText"/>
              <w:tabs>
                <w:tab w:val="left" w:leader="dot" w:pos="2268"/>
              </w:tabs>
            </w:pPr>
            <w:r>
              <w:t>Division 2</w:t>
            </w:r>
            <w:r w:rsidRPr="00576D60">
              <w:t>C.1.3 heading</w:t>
            </w:r>
            <w:r w:rsidRPr="00576D60">
              <w:tab/>
            </w:r>
          </w:p>
        </w:tc>
        <w:tc>
          <w:tcPr>
            <w:tcW w:w="3500" w:type="pct"/>
            <w:shd w:val="clear" w:color="auto" w:fill="auto"/>
          </w:tcPr>
          <w:p w14:paraId="7E723A0E" w14:textId="77777777" w:rsidR="00E93F58" w:rsidRPr="00576D60" w:rsidRDefault="00E93F58" w:rsidP="002F32E3">
            <w:pPr>
              <w:pStyle w:val="ENoteTableText"/>
            </w:pPr>
            <w:r w:rsidRPr="00576D60">
              <w:t>ad. 2010 No. 332</w:t>
            </w:r>
          </w:p>
        </w:tc>
      </w:tr>
      <w:tr w:rsidR="00E93F58" w:rsidRPr="00576D60" w14:paraId="793F887F" w14:textId="77777777" w:rsidTr="002F32E3">
        <w:trPr>
          <w:cantSplit/>
        </w:trPr>
        <w:tc>
          <w:tcPr>
            <w:tcW w:w="1500" w:type="pct"/>
            <w:shd w:val="clear" w:color="auto" w:fill="auto"/>
          </w:tcPr>
          <w:p w14:paraId="0DBA9F6E" w14:textId="77777777" w:rsidR="00E93F58" w:rsidRPr="00576D60" w:rsidRDefault="00E93F58" w:rsidP="002F32E3">
            <w:pPr>
              <w:pStyle w:val="ENoteTableText"/>
              <w:tabs>
                <w:tab w:val="left" w:leader="dot" w:pos="2268"/>
              </w:tabs>
            </w:pPr>
            <w:r w:rsidRPr="00576D60">
              <w:t>r. 2C.3.01</w:t>
            </w:r>
            <w:r w:rsidRPr="00576D60">
              <w:tab/>
            </w:r>
          </w:p>
        </w:tc>
        <w:tc>
          <w:tcPr>
            <w:tcW w:w="3500" w:type="pct"/>
            <w:shd w:val="clear" w:color="auto" w:fill="auto"/>
          </w:tcPr>
          <w:p w14:paraId="4B82F00A" w14:textId="77777777" w:rsidR="00E93F58" w:rsidRPr="00576D60" w:rsidRDefault="00E93F58" w:rsidP="002F32E3">
            <w:pPr>
              <w:pStyle w:val="ENoteTableText"/>
            </w:pPr>
            <w:r w:rsidRPr="00576D60">
              <w:t>ad. 2007 No. 227</w:t>
            </w:r>
          </w:p>
        </w:tc>
      </w:tr>
      <w:tr w:rsidR="00E93F58" w:rsidRPr="00576D60" w14:paraId="27AF4033" w14:textId="77777777" w:rsidTr="002F32E3">
        <w:trPr>
          <w:cantSplit/>
        </w:trPr>
        <w:tc>
          <w:tcPr>
            <w:tcW w:w="1500" w:type="pct"/>
            <w:shd w:val="clear" w:color="auto" w:fill="auto"/>
          </w:tcPr>
          <w:p w14:paraId="15645A50" w14:textId="77777777" w:rsidR="00E93F58" w:rsidRPr="00576D60" w:rsidRDefault="00E93F58" w:rsidP="002F32E3">
            <w:pPr>
              <w:pStyle w:val="ENoteTableText"/>
              <w:tabs>
                <w:tab w:val="left" w:leader="dot" w:pos="2268"/>
              </w:tabs>
            </w:pPr>
            <w:r w:rsidRPr="00576D60">
              <w:t>renumbered r. 2C.1.05</w:t>
            </w:r>
            <w:r w:rsidRPr="00576D60">
              <w:tab/>
            </w:r>
          </w:p>
        </w:tc>
        <w:tc>
          <w:tcPr>
            <w:tcW w:w="3500" w:type="pct"/>
            <w:shd w:val="clear" w:color="auto" w:fill="auto"/>
          </w:tcPr>
          <w:p w14:paraId="45E97160" w14:textId="77777777" w:rsidR="00E93F58" w:rsidRPr="00576D60" w:rsidRDefault="00E93F58" w:rsidP="002F32E3">
            <w:pPr>
              <w:pStyle w:val="ENoteTableText"/>
            </w:pPr>
            <w:r w:rsidRPr="00576D60">
              <w:t>2010 No. 332</w:t>
            </w:r>
          </w:p>
        </w:tc>
      </w:tr>
      <w:tr w:rsidR="00E93F58" w:rsidRPr="00576D60" w14:paraId="4129DA6C" w14:textId="77777777" w:rsidTr="002F32E3">
        <w:trPr>
          <w:cantSplit/>
        </w:trPr>
        <w:tc>
          <w:tcPr>
            <w:tcW w:w="1500" w:type="pct"/>
            <w:shd w:val="clear" w:color="auto" w:fill="auto"/>
          </w:tcPr>
          <w:p w14:paraId="093EB395" w14:textId="77777777" w:rsidR="00E93F58" w:rsidRPr="00576D60" w:rsidRDefault="00E93F58" w:rsidP="002F32E3">
            <w:pPr>
              <w:pStyle w:val="ENoteTableText"/>
              <w:keepNext/>
              <w:keepLines/>
              <w:tabs>
                <w:tab w:val="left" w:leader="dot" w:pos="2268"/>
              </w:tabs>
              <w:rPr>
                <w:b/>
              </w:rPr>
            </w:pPr>
            <w:r w:rsidRPr="00576D60">
              <w:rPr>
                <w:b/>
              </w:rPr>
              <w:t>Chapter 2D</w:t>
            </w:r>
          </w:p>
        </w:tc>
        <w:tc>
          <w:tcPr>
            <w:tcW w:w="3500" w:type="pct"/>
            <w:shd w:val="clear" w:color="auto" w:fill="auto"/>
          </w:tcPr>
          <w:p w14:paraId="457C0071" w14:textId="77777777" w:rsidR="00E93F58" w:rsidRPr="00576D60" w:rsidRDefault="00E93F58" w:rsidP="002F32E3">
            <w:pPr>
              <w:pStyle w:val="ENoteTableText"/>
              <w:keepNext/>
              <w:keepLines/>
            </w:pPr>
          </w:p>
        </w:tc>
      </w:tr>
      <w:tr w:rsidR="00E93F58" w:rsidRPr="00576D60" w14:paraId="089D9794" w14:textId="77777777" w:rsidTr="002F32E3">
        <w:trPr>
          <w:cantSplit/>
        </w:trPr>
        <w:tc>
          <w:tcPr>
            <w:tcW w:w="1500" w:type="pct"/>
            <w:shd w:val="clear" w:color="auto" w:fill="auto"/>
          </w:tcPr>
          <w:p w14:paraId="7DAD463C" w14:textId="77777777" w:rsidR="00E93F58" w:rsidRPr="00576D60" w:rsidRDefault="00E93F58" w:rsidP="002F32E3">
            <w:pPr>
              <w:pStyle w:val="ENoteTableText"/>
              <w:tabs>
                <w:tab w:val="left" w:leader="dot" w:pos="2268"/>
              </w:tabs>
            </w:pPr>
            <w:r w:rsidRPr="00576D60">
              <w:t>Chapter 2D</w:t>
            </w:r>
            <w:r w:rsidRPr="00576D60">
              <w:tab/>
            </w:r>
          </w:p>
        </w:tc>
        <w:tc>
          <w:tcPr>
            <w:tcW w:w="3500" w:type="pct"/>
            <w:shd w:val="clear" w:color="auto" w:fill="auto"/>
          </w:tcPr>
          <w:p w14:paraId="7B6C664D" w14:textId="77777777" w:rsidR="00E93F58" w:rsidRPr="00576D60" w:rsidRDefault="00E93F58" w:rsidP="002F32E3">
            <w:pPr>
              <w:pStyle w:val="ENoteTableText"/>
            </w:pPr>
            <w:r w:rsidRPr="00576D60">
              <w:t>rep. 2001 No. 319</w:t>
            </w:r>
          </w:p>
        </w:tc>
      </w:tr>
      <w:tr w:rsidR="00E93F58" w:rsidRPr="00576D60" w14:paraId="7D1F44BF" w14:textId="77777777" w:rsidTr="002F32E3">
        <w:trPr>
          <w:cantSplit/>
        </w:trPr>
        <w:tc>
          <w:tcPr>
            <w:tcW w:w="1500" w:type="pct"/>
            <w:shd w:val="clear" w:color="auto" w:fill="auto"/>
          </w:tcPr>
          <w:p w14:paraId="20CCC922" w14:textId="77777777" w:rsidR="00E93F58" w:rsidRPr="00576D60" w:rsidRDefault="00E93F58" w:rsidP="002F32E3">
            <w:pPr>
              <w:pStyle w:val="ENoteTableText"/>
            </w:pPr>
          </w:p>
        </w:tc>
        <w:tc>
          <w:tcPr>
            <w:tcW w:w="3500" w:type="pct"/>
            <w:shd w:val="clear" w:color="auto" w:fill="auto"/>
          </w:tcPr>
          <w:p w14:paraId="6B4CD1F3" w14:textId="77777777" w:rsidR="00E93F58" w:rsidRPr="00576D60" w:rsidRDefault="00E93F58" w:rsidP="002F32E3">
            <w:pPr>
              <w:pStyle w:val="ENoteTableText"/>
            </w:pPr>
            <w:r w:rsidRPr="00576D60">
              <w:t>ad. 2009 No. 51</w:t>
            </w:r>
          </w:p>
        </w:tc>
      </w:tr>
      <w:tr w:rsidR="00E93F58" w:rsidRPr="00576D60" w14:paraId="58460012" w14:textId="77777777" w:rsidTr="002F32E3">
        <w:trPr>
          <w:cantSplit/>
        </w:trPr>
        <w:tc>
          <w:tcPr>
            <w:tcW w:w="1500" w:type="pct"/>
            <w:shd w:val="clear" w:color="auto" w:fill="auto"/>
          </w:tcPr>
          <w:p w14:paraId="339D3BC3" w14:textId="77777777" w:rsidR="00E93F58" w:rsidRPr="00576D60" w:rsidRDefault="00E93F58" w:rsidP="002F32E3">
            <w:pPr>
              <w:pStyle w:val="ENoteTableText"/>
              <w:tabs>
                <w:tab w:val="left" w:leader="dot" w:pos="2268"/>
              </w:tabs>
            </w:pPr>
            <w:r w:rsidRPr="00576D60">
              <w:t>r. 2D.1.02</w:t>
            </w:r>
            <w:r w:rsidRPr="00576D60">
              <w:tab/>
            </w:r>
          </w:p>
        </w:tc>
        <w:tc>
          <w:tcPr>
            <w:tcW w:w="3500" w:type="pct"/>
            <w:shd w:val="clear" w:color="auto" w:fill="auto"/>
          </w:tcPr>
          <w:p w14:paraId="320A82BB" w14:textId="77777777" w:rsidR="00E93F58" w:rsidRPr="00576D60" w:rsidRDefault="00E93F58" w:rsidP="002F32E3">
            <w:pPr>
              <w:pStyle w:val="ENoteTableText"/>
            </w:pPr>
            <w:r w:rsidRPr="00576D60">
              <w:t>rep. 2001 No. 319</w:t>
            </w:r>
          </w:p>
        </w:tc>
      </w:tr>
      <w:tr w:rsidR="00E93F58" w:rsidRPr="00576D60" w14:paraId="6EA0F6EA" w14:textId="77777777" w:rsidTr="002F32E3">
        <w:trPr>
          <w:cantSplit/>
        </w:trPr>
        <w:tc>
          <w:tcPr>
            <w:tcW w:w="1500" w:type="pct"/>
            <w:shd w:val="clear" w:color="auto" w:fill="auto"/>
          </w:tcPr>
          <w:p w14:paraId="107D9EF7" w14:textId="77777777" w:rsidR="00E93F58" w:rsidRPr="00576D60" w:rsidRDefault="00E93F58" w:rsidP="002F32E3">
            <w:pPr>
              <w:pStyle w:val="ENoteTableText"/>
              <w:tabs>
                <w:tab w:val="left" w:leader="dot" w:pos="2268"/>
              </w:tabs>
              <w:rPr>
                <w:b/>
              </w:rPr>
            </w:pPr>
            <w:r w:rsidRPr="00576D60">
              <w:rPr>
                <w:b/>
              </w:rPr>
              <w:t>Part 2D.2</w:t>
            </w:r>
          </w:p>
        </w:tc>
        <w:tc>
          <w:tcPr>
            <w:tcW w:w="3500" w:type="pct"/>
            <w:shd w:val="clear" w:color="auto" w:fill="auto"/>
          </w:tcPr>
          <w:p w14:paraId="3E4816D6" w14:textId="77777777" w:rsidR="00E93F58" w:rsidRPr="00576D60" w:rsidRDefault="00E93F58" w:rsidP="002F32E3">
            <w:pPr>
              <w:pStyle w:val="ENoteTableText"/>
            </w:pPr>
          </w:p>
        </w:tc>
      </w:tr>
      <w:tr w:rsidR="00E93F58" w:rsidRPr="00576D60" w14:paraId="02ACF79B" w14:textId="77777777" w:rsidTr="002F32E3">
        <w:trPr>
          <w:cantSplit/>
        </w:trPr>
        <w:tc>
          <w:tcPr>
            <w:tcW w:w="1500" w:type="pct"/>
            <w:shd w:val="clear" w:color="auto" w:fill="auto"/>
          </w:tcPr>
          <w:p w14:paraId="302D73C8" w14:textId="77777777" w:rsidR="00E93F58" w:rsidRPr="00576D60" w:rsidRDefault="00E93F58" w:rsidP="002F32E3">
            <w:pPr>
              <w:pStyle w:val="ENoteTableText"/>
              <w:tabs>
                <w:tab w:val="left" w:leader="dot" w:pos="2268"/>
              </w:tabs>
            </w:pPr>
            <w:r w:rsidRPr="00576D60">
              <w:t>Part 2D.2</w:t>
            </w:r>
            <w:r w:rsidRPr="00576D60">
              <w:tab/>
            </w:r>
          </w:p>
        </w:tc>
        <w:tc>
          <w:tcPr>
            <w:tcW w:w="3500" w:type="pct"/>
            <w:shd w:val="clear" w:color="auto" w:fill="auto"/>
          </w:tcPr>
          <w:p w14:paraId="5ABF9466" w14:textId="77777777" w:rsidR="00E93F58" w:rsidRPr="00576D60" w:rsidRDefault="00E93F58" w:rsidP="002F32E3">
            <w:pPr>
              <w:pStyle w:val="ENoteTableText"/>
            </w:pPr>
            <w:r w:rsidRPr="00576D60">
              <w:t>ad. 2009 No. 328</w:t>
            </w:r>
          </w:p>
        </w:tc>
      </w:tr>
      <w:tr w:rsidR="00E93F58" w:rsidRPr="00576D60" w14:paraId="62299A4A" w14:textId="77777777" w:rsidTr="002F32E3">
        <w:trPr>
          <w:cantSplit/>
        </w:trPr>
        <w:tc>
          <w:tcPr>
            <w:tcW w:w="1500" w:type="pct"/>
            <w:shd w:val="clear" w:color="auto" w:fill="auto"/>
          </w:tcPr>
          <w:p w14:paraId="40A3B406" w14:textId="77777777" w:rsidR="00E93F58" w:rsidRPr="00576D60" w:rsidRDefault="00E93F58" w:rsidP="00704E0B">
            <w:pPr>
              <w:pStyle w:val="ENoteTableText"/>
              <w:keepNext/>
              <w:tabs>
                <w:tab w:val="left" w:leader="dot" w:pos="2268"/>
              </w:tabs>
              <w:rPr>
                <w:b/>
              </w:rPr>
            </w:pPr>
            <w:r>
              <w:rPr>
                <w:b/>
              </w:rPr>
              <w:t>Division 2</w:t>
            </w:r>
            <w:r w:rsidRPr="00576D60">
              <w:rPr>
                <w:b/>
              </w:rPr>
              <w:t>D.2.2</w:t>
            </w:r>
          </w:p>
        </w:tc>
        <w:tc>
          <w:tcPr>
            <w:tcW w:w="3500" w:type="pct"/>
            <w:shd w:val="clear" w:color="auto" w:fill="auto"/>
          </w:tcPr>
          <w:p w14:paraId="633E254B" w14:textId="77777777" w:rsidR="00E93F58" w:rsidRPr="00576D60" w:rsidRDefault="00E93F58" w:rsidP="002F32E3">
            <w:pPr>
              <w:pStyle w:val="ENoteTableText"/>
            </w:pPr>
          </w:p>
        </w:tc>
      </w:tr>
      <w:tr w:rsidR="00E93F58" w:rsidRPr="00576D60" w14:paraId="06E0354E" w14:textId="77777777" w:rsidTr="002F32E3">
        <w:trPr>
          <w:cantSplit/>
        </w:trPr>
        <w:tc>
          <w:tcPr>
            <w:tcW w:w="1500" w:type="pct"/>
            <w:shd w:val="clear" w:color="auto" w:fill="auto"/>
          </w:tcPr>
          <w:p w14:paraId="7111063C" w14:textId="77777777" w:rsidR="00E93F58" w:rsidRPr="00576D60" w:rsidRDefault="00E93F58" w:rsidP="002F32E3">
            <w:pPr>
              <w:pStyle w:val="ENoteTableText"/>
              <w:tabs>
                <w:tab w:val="left" w:leader="dot" w:pos="2268"/>
              </w:tabs>
            </w:pPr>
            <w:r w:rsidRPr="00576D60">
              <w:t>r. 2D.2.01</w:t>
            </w:r>
            <w:r w:rsidRPr="00576D60">
              <w:tab/>
            </w:r>
          </w:p>
        </w:tc>
        <w:tc>
          <w:tcPr>
            <w:tcW w:w="3500" w:type="pct"/>
            <w:shd w:val="clear" w:color="auto" w:fill="auto"/>
          </w:tcPr>
          <w:p w14:paraId="35292794" w14:textId="77777777" w:rsidR="00E93F58" w:rsidRPr="00576D60" w:rsidRDefault="00E93F58" w:rsidP="002F32E3">
            <w:pPr>
              <w:pStyle w:val="ENoteTableText"/>
            </w:pPr>
            <w:r w:rsidRPr="00576D60">
              <w:t>ad. 2009 No. 328</w:t>
            </w:r>
          </w:p>
        </w:tc>
      </w:tr>
      <w:tr w:rsidR="00E93F58" w:rsidRPr="00576D60" w14:paraId="109397EE" w14:textId="77777777" w:rsidTr="002F32E3">
        <w:trPr>
          <w:cantSplit/>
        </w:trPr>
        <w:tc>
          <w:tcPr>
            <w:tcW w:w="1500" w:type="pct"/>
            <w:shd w:val="clear" w:color="auto" w:fill="auto"/>
          </w:tcPr>
          <w:p w14:paraId="6269B153" w14:textId="77777777" w:rsidR="00E93F58" w:rsidRPr="00576D60" w:rsidRDefault="00E93F58" w:rsidP="002F32E3">
            <w:pPr>
              <w:pStyle w:val="ENoteTableText"/>
              <w:tabs>
                <w:tab w:val="left" w:leader="dot" w:pos="2268"/>
              </w:tabs>
            </w:pPr>
            <w:r w:rsidRPr="00576D60">
              <w:t>r. 2D.2.02</w:t>
            </w:r>
            <w:r w:rsidRPr="00576D60">
              <w:tab/>
            </w:r>
          </w:p>
        </w:tc>
        <w:tc>
          <w:tcPr>
            <w:tcW w:w="3500" w:type="pct"/>
            <w:shd w:val="clear" w:color="auto" w:fill="auto"/>
          </w:tcPr>
          <w:p w14:paraId="0BC49BA4" w14:textId="77777777" w:rsidR="00E93F58" w:rsidRPr="00576D60" w:rsidRDefault="00E93F58" w:rsidP="002F32E3">
            <w:pPr>
              <w:pStyle w:val="ENoteTableText"/>
            </w:pPr>
            <w:r w:rsidRPr="00576D60">
              <w:t>ad. 2009 No. 328</w:t>
            </w:r>
          </w:p>
        </w:tc>
      </w:tr>
      <w:tr w:rsidR="00E93F58" w:rsidRPr="00576D60" w14:paraId="1E47EEF2" w14:textId="77777777" w:rsidTr="002F32E3">
        <w:trPr>
          <w:cantSplit/>
        </w:trPr>
        <w:tc>
          <w:tcPr>
            <w:tcW w:w="1500" w:type="pct"/>
            <w:shd w:val="clear" w:color="auto" w:fill="auto"/>
          </w:tcPr>
          <w:p w14:paraId="09384587" w14:textId="77777777" w:rsidR="00E93F58" w:rsidRPr="00576D60" w:rsidRDefault="00E93F58" w:rsidP="002F32E3">
            <w:pPr>
              <w:pStyle w:val="ENoteTableText"/>
              <w:tabs>
                <w:tab w:val="left" w:leader="dot" w:pos="2268"/>
              </w:tabs>
            </w:pPr>
            <w:r w:rsidRPr="00576D60">
              <w:t>r. 2D.2.03</w:t>
            </w:r>
            <w:r w:rsidRPr="00576D60">
              <w:tab/>
            </w:r>
          </w:p>
        </w:tc>
        <w:tc>
          <w:tcPr>
            <w:tcW w:w="3500" w:type="pct"/>
            <w:shd w:val="clear" w:color="auto" w:fill="auto"/>
          </w:tcPr>
          <w:p w14:paraId="4ED00B22" w14:textId="77777777" w:rsidR="00E93F58" w:rsidRPr="00576D60" w:rsidRDefault="00E93F58" w:rsidP="002F32E3">
            <w:pPr>
              <w:pStyle w:val="ENoteTableText"/>
            </w:pPr>
            <w:r w:rsidRPr="00576D60">
              <w:t>ad. 2009 No. 328</w:t>
            </w:r>
          </w:p>
        </w:tc>
      </w:tr>
      <w:tr w:rsidR="00E93F58" w:rsidRPr="00576D60" w14:paraId="5674D379" w14:textId="77777777" w:rsidTr="002F32E3">
        <w:trPr>
          <w:cantSplit/>
        </w:trPr>
        <w:tc>
          <w:tcPr>
            <w:tcW w:w="1500" w:type="pct"/>
            <w:shd w:val="clear" w:color="auto" w:fill="auto"/>
          </w:tcPr>
          <w:p w14:paraId="48A67A5A" w14:textId="77777777" w:rsidR="00E93F58" w:rsidRPr="00576D60" w:rsidRDefault="00E93F58" w:rsidP="002F32E3">
            <w:pPr>
              <w:pStyle w:val="ENoteTableText"/>
              <w:keepNext/>
              <w:tabs>
                <w:tab w:val="left" w:leader="dot" w:pos="2268"/>
              </w:tabs>
              <w:rPr>
                <w:b/>
              </w:rPr>
            </w:pPr>
            <w:r w:rsidRPr="00576D60">
              <w:rPr>
                <w:b/>
              </w:rPr>
              <w:t>Part 2D.6</w:t>
            </w:r>
          </w:p>
        </w:tc>
        <w:tc>
          <w:tcPr>
            <w:tcW w:w="3500" w:type="pct"/>
            <w:shd w:val="clear" w:color="auto" w:fill="auto"/>
          </w:tcPr>
          <w:p w14:paraId="35B0B0A1" w14:textId="77777777" w:rsidR="00E93F58" w:rsidRPr="00576D60" w:rsidRDefault="00E93F58" w:rsidP="002F32E3">
            <w:pPr>
              <w:pStyle w:val="ENoteTableText"/>
            </w:pPr>
          </w:p>
        </w:tc>
      </w:tr>
      <w:tr w:rsidR="00E93F58" w:rsidRPr="00576D60" w14:paraId="02D7E167" w14:textId="77777777" w:rsidTr="002F32E3">
        <w:trPr>
          <w:cantSplit/>
        </w:trPr>
        <w:tc>
          <w:tcPr>
            <w:tcW w:w="1500" w:type="pct"/>
            <w:shd w:val="clear" w:color="auto" w:fill="auto"/>
          </w:tcPr>
          <w:p w14:paraId="5AE1B1A1" w14:textId="77777777" w:rsidR="00E93F58" w:rsidRPr="00576D60" w:rsidRDefault="00E93F58" w:rsidP="002F32E3">
            <w:pPr>
              <w:pStyle w:val="ENoteTableText"/>
              <w:keepNext/>
              <w:tabs>
                <w:tab w:val="left" w:leader="dot" w:pos="2268"/>
              </w:tabs>
              <w:rPr>
                <w:b/>
              </w:rPr>
            </w:pPr>
            <w:r>
              <w:rPr>
                <w:b/>
              </w:rPr>
              <w:t>Division 2</w:t>
            </w:r>
            <w:r w:rsidRPr="00576D60">
              <w:rPr>
                <w:b/>
              </w:rPr>
              <w:t>D.6.1</w:t>
            </w:r>
          </w:p>
        </w:tc>
        <w:tc>
          <w:tcPr>
            <w:tcW w:w="3500" w:type="pct"/>
            <w:shd w:val="clear" w:color="auto" w:fill="auto"/>
          </w:tcPr>
          <w:p w14:paraId="1F68642D" w14:textId="77777777" w:rsidR="00E93F58" w:rsidRPr="00576D60" w:rsidRDefault="00E93F58" w:rsidP="002F32E3">
            <w:pPr>
              <w:pStyle w:val="ENoteTableText"/>
            </w:pPr>
          </w:p>
        </w:tc>
      </w:tr>
      <w:tr w:rsidR="00E93F58" w:rsidRPr="00576D60" w14:paraId="258D5258" w14:textId="77777777" w:rsidTr="002F32E3">
        <w:trPr>
          <w:cantSplit/>
        </w:trPr>
        <w:tc>
          <w:tcPr>
            <w:tcW w:w="1500" w:type="pct"/>
            <w:shd w:val="clear" w:color="auto" w:fill="auto"/>
          </w:tcPr>
          <w:p w14:paraId="2EEED1BC" w14:textId="77777777" w:rsidR="00E93F58" w:rsidRPr="00576D60" w:rsidRDefault="00E93F58" w:rsidP="002F32E3">
            <w:pPr>
              <w:pStyle w:val="ENoteTableText"/>
              <w:tabs>
                <w:tab w:val="left" w:leader="dot" w:pos="2268"/>
              </w:tabs>
            </w:pPr>
            <w:r w:rsidRPr="00576D60">
              <w:t>r. 2D.6.01</w:t>
            </w:r>
            <w:r w:rsidRPr="00576D60">
              <w:tab/>
            </w:r>
          </w:p>
        </w:tc>
        <w:tc>
          <w:tcPr>
            <w:tcW w:w="3500" w:type="pct"/>
            <w:shd w:val="clear" w:color="auto" w:fill="auto"/>
          </w:tcPr>
          <w:p w14:paraId="1AF0DE50" w14:textId="77777777" w:rsidR="00E93F58" w:rsidRPr="00576D60" w:rsidRDefault="00E93F58" w:rsidP="002F32E3">
            <w:pPr>
              <w:pStyle w:val="ENoteTableText"/>
            </w:pPr>
            <w:r w:rsidRPr="00576D60">
              <w:t>ad. 2009 No. 51</w:t>
            </w:r>
          </w:p>
        </w:tc>
      </w:tr>
      <w:tr w:rsidR="00E93F58" w:rsidRPr="00576D60" w14:paraId="109830F2" w14:textId="77777777" w:rsidTr="002F32E3">
        <w:trPr>
          <w:cantSplit/>
        </w:trPr>
        <w:tc>
          <w:tcPr>
            <w:tcW w:w="1500" w:type="pct"/>
            <w:shd w:val="clear" w:color="auto" w:fill="auto"/>
          </w:tcPr>
          <w:p w14:paraId="399CC50C" w14:textId="77777777" w:rsidR="00E93F58" w:rsidRPr="00576D60" w:rsidRDefault="00E93F58" w:rsidP="002F32E3">
            <w:pPr>
              <w:pStyle w:val="ENoteTableText"/>
              <w:tabs>
                <w:tab w:val="left" w:leader="dot" w:pos="2268"/>
              </w:tabs>
              <w:rPr>
                <w:b/>
              </w:rPr>
            </w:pPr>
            <w:r w:rsidRPr="00576D60">
              <w:rPr>
                <w:b/>
              </w:rPr>
              <w:t>Part 2D.7</w:t>
            </w:r>
          </w:p>
        </w:tc>
        <w:tc>
          <w:tcPr>
            <w:tcW w:w="3500" w:type="pct"/>
            <w:shd w:val="clear" w:color="auto" w:fill="auto"/>
          </w:tcPr>
          <w:p w14:paraId="4E403759" w14:textId="77777777" w:rsidR="00E93F58" w:rsidRPr="00576D60" w:rsidRDefault="00E93F58" w:rsidP="002F32E3">
            <w:pPr>
              <w:pStyle w:val="ENoteTableText"/>
            </w:pPr>
          </w:p>
        </w:tc>
      </w:tr>
      <w:tr w:rsidR="00E93F58" w:rsidRPr="00576D60" w14:paraId="2E189313" w14:textId="77777777" w:rsidTr="002F32E3">
        <w:trPr>
          <w:cantSplit/>
        </w:trPr>
        <w:tc>
          <w:tcPr>
            <w:tcW w:w="1500" w:type="pct"/>
            <w:shd w:val="clear" w:color="auto" w:fill="auto"/>
          </w:tcPr>
          <w:p w14:paraId="399A5EB3" w14:textId="77777777" w:rsidR="00E93F58" w:rsidRPr="00576D60" w:rsidRDefault="00E93F58" w:rsidP="002F32E3">
            <w:pPr>
              <w:pStyle w:val="ENoteTableText"/>
              <w:tabs>
                <w:tab w:val="left" w:leader="dot" w:pos="2268"/>
              </w:tabs>
            </w:pPr>
            <w:r w:rsidRPr="00576D60">
              <w:t>Part 2D.7</w:t>
            </w:r>
            <w:r w:rsidRPr="00576D60">
              <w:tab/>
            </w:r>
          </w:p>
        </w:tc>
        <w:tc>
          <w:tcPr>
            <w:tcW w:w="3500" w:type="pct"/>
            <w:shd w:val="clear" w:color="auto" w:fill="auto"/>
          </w:tcPr>
          <w:p w14:paraId="722FC800" w14:textId="77777777" w:rsidR="00E93F58" w:rsidRPr="00576D60" w:rsidRDefault="00E93F58" w:rsidP="002F32E3">
            <w:pPr>
              <w:pStyle w:val="ENoteTableText"/>
            </w:pPr>
            <w:r w:rsidRPr="00576D60">
              <w:t>ad. 2011 No. 128</w:t>
            </w:r>
          </w:p>
        </w:tc>
      </w:tr>
      <w:tr w:rsidR="00E93F58" w:rsidRPr="00576D60" w14:paraId="5F233553" w14:textId="77777777" w:rsidTr="002F32E3">
        <w:trPr>
          <w:cantSplit/>
        </w:trPr>
        <w:tc>
          <w:tcPr>
            <w:tcW w:w="1500" w:type="pct"/>
            <w:shd w:val="clear" w:color="auto" w:fill="auto"/>
          </w:tcPr>
          <w:p w14:paraId="7FCF091B" w14:textId="77777777" w:rsidR="00E93F58" w:rsidRPr="00576D60" w:rsidRDefault="00E93F58" w:rsidP="002F32E3">
            <w:pPr>
              <w:pStyle w:val="ENoteTableText"/>
              <w:tabs>
                <w:tab w:val="left" w:leader="dot" w:pos="2268"/>
              </w:tabs>
            </w:pPr>
            <w:r w:rsidRPr="00576D60">
              <w:t>r. 2D.7.01</w:t>
            </w:r>
            <w:r w:rsidRPr="00576D60">
              <w:tab/>
            </w:r>
          </w:p>
        </w:tc>
        <w:tc>
          <w:tcPr>
            <w:tcW w:w="3500" w:type="pct"/>
            <w:shd w:val="clear" w:color="auto" w:fill="auto"/>
          </w:tcPr>
          <w:p w14:paraId="449D3C68" w14:textId="77777777" w:rsidR="00E93F58" w:rsidRPr="00576D60" w:rsidRDefault="00E93F58" w:rsidP="002F32E3">
            <w:pPr>
              <w:pStyle w:val="ENoteTableText"/>
            </w:pPr>
            <w:r w:rsidRPr="00576D60">
              <w:t>ad. 2011 No. 128</w:t>
            </w:r>
          </w:p>
        </w:tc>
      </w:tr>
      <w:tr w:rsidR="00E93F58" w:rsidRPr="00576D60" w14:paraId="3B744CAD" w14:textId="77777777" w:rsidTr="002F32E3">
        <w:trPr>
          <w:cantSplit/>
        </w:trPr>
        <w:tc>
          <w:tcPr>
            <w:tcW w:w="1500" w:type="pct"/>
            <w:shd w:val="clear" w:color="auto" w:fill="auto"/>
          </w:tcPr>
          <w:p w14:paraId="64C19F4C" w14:textId="77777777" w:rsidR="00E93F58" w:rsidRPr="00576D60" w:rsidRDefault="00E93F58" w:rsidP="002F32E3">
            <w:pPr>
              <w:pStyle w:val="ENoteTableText"/>
              <w:tabs>
                <w:tab w:val="left" w:leader="dot" w:pos="2268"/>
              </w:tabs>
              <w:rPr>
                <w:b/>
              </w:rPr>
            </w:pPr>
            <w:r w:rsidRPr="00576D60">
              <w:rPr>
                <w:b/>
              </w:rPr>
              <w:t>Chapter 2E</w:t>
            </w:r>
          </w:p>
        </w:tc>
        <w:tc>
          <w:tcPr>
            <w:tcW w:w="3500" w:type="pct"/>
            <w:shd w:val="clear" w:color="auto" w:fill="auto"/>
          </w:tcPr>
          <w:p w14:paraId="730900E5" w14:textId="77777777" w:rsidR="00E93F58" w:rsidRPr="00576D60" w:rsidRDefault="00E93F58" w:rsidP="002F32E3">
            <w:pPr>
              <w:pStyle w:val="ENoteTableText"/>
            </w:pPr>
          </w:p>
        </w:tc>
      </w:tr>
      <w:tr w:rsidR="00E93F58" w:rsidRPr="00576D60" w14:paraId="6180FDF2" w14:textId="77777777" w:rsidTr="002F32E3">
        <w:trPr>
          <w:cantSplit/>
        </w:trPr>
        <w:tc>
          <w:tcPr>
            <w:tcW w:w="1500" w:type="pct"/>
            <w:shd w:val="clear" w:color="auto" w:fill="auto"/>
          </w:tcPr>
          <w:p w14:paraId="77AE4982" w14:textId="77777777" w:rsidR="00E93F58" w:rsidRPr="00576D60" w:rsidRDefault="00E93F58" w:rsidP="002F32E3">
            <w:pPr>
              <w:pStyle w:val="ENoteTableText"/>
              <w:tabs>
                <w:tab w:val="left" w:leader="dot" w:pos="2268"/>
              </w:tabs>
            </w:pPr>
            <w:r w:rsidRPr="00576D60">
              <w:t>Chapter 2E</w:t>
            </w:r>
            <w:r w:rsidRPr="00576D60">
              <w:tab/>
            </w:r>
          </w:p>
        </w:tc>
        <w:tc>
          <w:tcPr>
            <w:tcW w:w="3500" w:type="pct"/>
            <w:shd w:val="clear" w:color="auto" w:fill="auto"/>
          </w:tcPr>
          <w:p w14:paraId="7446F70F" w14:textId="77777777" w:rsidR="00E93F58" w:rsidRPr="00576D60" w:rsidRDefault="00E93F58" w:rsidP="002F32E3">
            <w:pPr>
              <w:pStyle w:val="ENoteTableText"/>
            </w:pPr>
            <w:r w:rsidRPr="00576D60">
              <w:t>ad. 2007 No. 198</w:t>
            </w:r>
          </w:p>
        </w:tc>
      </w:tr>
      <w:tr w:rsidR="00E93F58" w:rsidRPr="00576D60" w14:paraId="6C8DCBAC" w14:textId="77777777" w:rsidTr="002F32E3">
        <w:trPr>
          <w:cantSplit/>
        </w:trPr>
        <w:tc>
          <w:tcPr>
            <w:tcW w:w="1500" w:type="pct"/>
            <w:shd w:val="clear" w:color="auto" w:fill="auto"/>
          </w:tcPr>
          <w:p w14:paraId="2C9B24BA" w14:textId="77777777" w:rsidR="00E93F58" w:rsidRPr="00576D60" w:rsidRDefault="00E93F58" w:rsidP="002F32E3">
            <w:pPr>
              <w:pStyle w:val="ENoteTableText"/>
              <w:tabs>
                <w:tab w:val="left" w:leader="dot" w:pos="2268"/>
              </w:tabs>
            </w:pPr>
            <w:r w:rsidRPr="00576D60">
              <w:t>r. 2E 1.01</w:t>
            </w:r>
            <w:r w:rsidRPr="00576D60">
              <w:tab/>
            </w:r>
          </w:p>
        </w:tc>
        <w:tc>
          <w:tcPr>
            <w:tcW w:w="3500" w:type="pct"/>
            <w:shd w:val="clear" w:color="auto" w:fill="auto"/>
          </w:tcPr>
          <w:p w14:paraId="56DCB80E" w14:textId="77777777" w:rsidR="00E93F58" w:rsidRPr="00576D60" w:rsidRDefault="00E93F58" w:rsidP="002F32E3">
            <w:pPr>
              <w:pStyle w:val="ENoteTableText"/>
            </w:pPr>
            <w:r w:rsidRPr="00576D60">
              <w:t>ad. 2007 No. 198</w:t>
            </w:r>
          </w:p>
        </w:tc>
      </w:tr>
      <w:tr w:rsidR="00E93F58" w:rsidRPr="00576D60" w14:paraId="39CD7C42" w14:textId="77777777" w:rsidTr="002F32E3">
        <w:trPr>
          <w:cantSplit/>
        </w:trPr>
        <w:tc>
          <w:tcPr>
            <w:tcW w:w="1500" w:type="pct"/>
            <w:shd w:val="clear" w:color="auto" w:fill="auto"/>
          </w:tcPr>
          <w:p w14:paraId="16CB767B" w14:textId="77777777" w:rsidR="00E93F58" w:rsidRPr="00576D60" w:rsidRDefault="00E93F58" w:rsidP="002F32E3">
            <w:pPr>
              <w:pStyle w:val="ENoteTableText"/>
              <w:tabs>
                <w:tab w:val="left" w:leader="dot" w:pos="2268"/>
              </w:tabs>
              <w:rPr>
                <w:b/>
              </w:rPr>
            </w:pPr>
            <w:r w:rsidRPr="00576D60">
              <w:rPr>
                <w:b/>
              </w:rPr>
              <w:t>Chapter 2G</w:t>
            </w:r>
          </w:p>
        </w:tc>
        <w:tc>
          <w:tcPr>
            <w:tcW w:w="3500" w:type="pct"/>
            <w:shd w:val="clear" w:color="auto" w:fill="auto"/>
          </w:tcPr>
          <w:p w14:paraId="168CFCDE" w14:textId="77777777" w:rsidR="00E93F58" w:rsidRPr="00576D60" w:rsidRDefault="00E93F58" w:rsidP="002F32E3">
            <w:pPr>
              <w:pStyle w:val="ENoteTableText"/>
            </w:pPr>
          </w:p>
        </w:tc>
      </w:tr>
      <w:tr w:rsidR="00E93F58" w:rsidRPr="00576D60" w14:paraId="127CEAF0" w14:textId="77777777" w:rsidTr="002F32E3">
        <w:trPr>
          <w:cantSplit/>
        </w:trPr>
        <w:tc>
          <w:tcPr>
            <w:tcW w:w="1500" w:type="pct"/>
            <w:shd w:val="clear" w:color="auto" w:fill="auto"/>
          </w:tcPr>
          <w:p w14:paraId="1B24BEE1" w14:textId="77777777" w:rsidR="00E93F58" w:rsidRPr="00576D60" w:rsidRDefault="00E93F58" w:rsidP="002F32E3">
            <w:pPr>
              <w:pStyle w:val="ENoteTableText"/>
              <w:tabs>
                <w:tab w:val="left" w:leader="dot" w:pos="2268"/>
              </w:tabs>
            </w:pPr>
            <w:r w:rsidRPr="00576D60">
              <w:t>Chapter 2G</w:t>
            </w:r>
            <w:r w:rsidRPr="00576D60">
              <w:tab/>
            </w:r>
          </w:p>
        </w:tc>
        <w:tc>
          <w:tcPr>
            <w:tcW w:w="3500" w:type="pct"/>
            <w:shd w:val="clear" w:color="auto" w:fill="auto"/>
          </w:tcPr>
          <w:p w14:paraId="6BBB7B7A" w14:textId="77777777" w:rsidR="00E93F58" w:rsidRPr="00576D60" w:rsidRDefault="00E93F58" w:rsidP="002F32E3">
            <w:pPr>
              <w:pStyle w:val="ENoteTableText"/>
            </w:pPr>
            <w:r w:rsidRPr="00576D60">
              <w:t>ad. 2004 No. 208</w:t>
            </w:r>
          </w:p>
        </w:tc>
      </w:tr>
      <w:tr w:rsidR="00E93F58" w:rsidRPr="00576D60" w14:paraId="63A2890B" w14:textId="77777777" w:rsidTr="002F32E3">
        <w:trPr>
          <w:cantSplit/>
        </w:trPr>
        <w:tc>
          <w:tcPr>
            <w:tcW w:w="1500" w:type="pct"/>
            <w:shd w:val="clear" w:color="auto" w:fill="auto"/>
          </w:tcPr>
          <w:p w14:paraId="5D4DB727" w14:textId="77777777" w:rsidR="00E93F58" w:rsidRPr="00576D60" w:rsidRDefault="00E93F58" w:rsidP="002F32E3">
            <w:pPr>
              <w:pStyle w:val="ENoteTableText"/>
              <w:tabs>
                <w:tab w:val="left" w:leader="dot" w:pos="2268"/>
              </w:tabs>
              <w:rPr>
                <w:b/>
              </w:rPr>
            </w:pPr>
            <w:r w:rsidRPr="00576D60">
              <w:rPr>
                <w:b/>
              </w:rPr>
              <w:t>Part 2G.2</w:t>
            </w:r>
          </w:p>
        </w:tc>
        <w:tc>
          <w:tcPr>
            <w:tcW w:w="3500" w:type="pct"/>
            <w:shd w:val="clear" w:color="auto" w:fill="auto"/>
          </w:tcPr>
          <w:p w14:paraId="09783554" w14:textId="77777777" w:rsidR="00E93F58" w:rsidRPr="00576D60" w:rsidRDefault="00E93F58" w:rsidP="002F32E3">
            <w:pPr>
              <w:pStyle w:val="ENoteTableText"/>
            </w:pPr>
          </w:p>
        </w:tc>
      </w:tr>
      <w:tr w:rsidR="00E93F58" w:rsidRPr="00576D60" w14:paraId="668A3D5D" w14:textId="77777777" w:rsidTr="002F32E3">
        <w:trPr>
          <w:cantSplit/>
        </w:trPr>
        <w:tc>
          <w:tcPr>
            <w:tcW w:w="1500" w:type="pct"/>
            <w:shd w:val="clear" w:color="auto" w:fill="auto"/>
          </w:tcPr>
          <w:p w14:paraId="6D70474E" w14:textId="77777777" w:rsidR="00E93F58" w:rsidRPr="00576D60" w:rsidRDefault="00E93F58" w:rsidP="002F32E3">
            <w:pPr>
              <w:pStyle w:val="ENoteTableText"/>
              <w:tabs>
                <w:tab w:val="left" w:leader="dot" w:pos="2268"/>
              </w:tabs>
              <w:rPr>
                <w:b/>
              </w:rPr>
            </w:pPr>
            <w:r w:rsidRPr="00576D60">
              <w:rPr>
                <w:b/>
              </w:rPr>
              <w:t>Division 6</w:t>
            </w:r>
          </w:p>
        </w:tc>
        <w:tc>
          <w:tcPr>
            <w:tcW w:w="3500" w:type="pct"/>
            <w:shd w:val="clear" w:color="auto" w:fill="auto"/>
          </w:tcPr>
          <w:p w14:paraId="076C7326" w14:textId="77777777" w:rsidR="00E93F58" w:rsidRPr="00576D60" w:rsidRDefault="00E93F58" w:rsidP="002F32E3">
            <w:pPr>
              <w:pStyle w:val="ENoteTableText"/>
            </w:pPr>
          </w:p>
        </w:tc>
      </w:tr>
      <w:tr w:rsidR="00E93F58" w:rsidRPr="00576D60" w14:paraId="18C7C73D" w14:textId="77777777" w:rsidTr="002F32E3">
        <w:trPr>
          <w:cantSplit/>
        </w:trPr>
        <w:tc>
          <w:tcPr>
            <w:tcW w:w="1500" w:type="pct"/>
            <w:shd w:val="clear" w:color="auto" w:fill="auto"/>
          </w:tcPr>
          <w:p w14:paraId="6060FA57" w14:textId="77777777" w:rsidR="00E93F58" w:rsidRPr="00576D60" w:rsidRDefault="00E93F58" w:rsidP="002F32E3">
            <w:pPr>
              <w:pStyle w:val="ENoteTableText"/>
              <w:tabs>
                <w:tab w:val="left" w:leader="dot" w:pos="2268"/>
              </w:tabs>
            </w:pPr>
            <w:r w:rsidRPr="00576D60">
              <w:t>r. 2G.2.01</w:t>
            </w:r>
            <w:r w:rsidRPr="00576D60">
              <w:tab/>
            </w:r>
          </w:p>
        </w:tc>
        <w:tc>
          <w:tcPr>
            <w:tcW w:w="3500" w:type="pct"/>
            <w:shd w:val="clear" w:color="auto" w:fill="auto"/>
          </w:tcPr>
          <w:p w14:paraId="0370C87B" w14:textId="77777777" w:rsidR="00E93F58" w:rsidRPr="00576D60" w:rsidRDefault="00E93F58" w:rsidP="002F32E3">
            <w:pPr>
              <w:pStyle w:val="ENoteTableText"/>
            </w:pPr>
            <w:r w:rsidRPr="00576D60">
              <w:t>ad. 2004 No. 208</w:t>
            </w:r>
          </w:p>
        </w:tc>
      </w:tr>
      <w:tr w:rsidR="00E93F58" w:rsidRPr="00576D60" w14:paraId="732EFE7D" w14:textId="77777777" w:rsidTr="002F32E3">
        <w:trPr>
          <w:cantSplit/>
        </w:trPr>
        <w:tc>
          <w:tcPr>
            <w:tcW w:w="1500" w:type="pct"/>
            <w:shd w:val="clear" w:color="auto" w:fill="auto"/>
          </w:tcPr>
          <w:p w14:paraId="43333D9C" w14:textId="77777777" w:rsidR="00E93F58" w:rsidRPr="00576D60" w:rsidRDefault="00E93F58" w:rsidP="002F32E3">
            <w:pPr>
              <w:pStyle w:val="ENoteTableText"/>
              <w:tabs>
                <w:tab w:val="left" w:leader="dot" w:pos="2268"/>
              </w:tabs>
              <w:rPr>
                <w:b/>
              </w:rPr>
            </w:pPr>
            <w:r w:rsidRPr="00576D60">
              <w:rPr>
                <w:b/>
              </w:rPr>
              <w:t>Chapter 2K</w:t>
            </w:r>
          </w:p>
        </w:tc>
        <w:tc>
          <w:tcPr>
            <w:tcW w:w="3500" w:type="pct"/>
            <w:shd w:val="clear" w:color="auto" w:fill="auto"/>
          </w:tcPr>
          <w:p w14:paraId="1FCF6A55" w14:textId="77777777" w:rsidR="00E93F58" w:rsidRPr="00576D60" w:rsidRDefault="00E93F58" w:rsidP="002F32E3">
            <w:pPr>
              <w:pStyle w:val="ENoteTableText"/>
            </w:pPr>
          </w:p>
        </w:tc>
      </w:tr>
      <w:tr w:rsidR="00E93F58" w:rsidRPr="00576D60" w14:paraId="5EBAD04D" w14:textId="77777777" w:rsidTr="002F32E3">
        <w:trPr>
          <w:cantSplit/>
        </w:trPr>
        <w:tc>
          <w:tcPr>
            <w:tcW w:w="1500" w:type="pct"/>
            <w:shd w:val="clear" w:color="auto" w:fill="auto"/>
          </w:tcPr>
          <w:p w14:paraId="6CE609C7" w14:textId="77777777" w:rsidR="00E93F58" w:rsidRPr="00576D60" w:rsidRDefault="00E93F58" w:rsidP="002F32E3">
            <w:pPr>
              <w:pStyle w:val="ENoteTableText"/>
              <w:tabs>
                <w:tab w:val="left" w:leader="dot" w:pos="2268"/>
              </w:tabs>
            </w:pPr>
            <w:r w:rsidRPr="00576D60">
              <w:lastRenderedPageBreak/>
              <w:t>r. 2K.2.01</w:t>
            </w:r>
            <w:r w:rsidRPr="00576D60">
              <w:tab/>
            </w:r>
          </w:p>
        </w:tc>
        <w:tc>
          <w:tcPr>
            <w:tcW w:w="3500" w:type="pct"/>
            <w:shd w:val="clear" w:color="auto" w:fill="auto"/>
          </w:tcPr>
          <w:p w14:paraId="5012079C" w14:textId="77777777" w:rsidR="00E93F58" w:rsidRPr="00576D60" w:rsidRDefault="00E93F58" w:rsidP="002F32E3">
            <w:pPr>
              <w:pStyle w:val="ENoteTableText"/>
            </w:pPr>
            <w:r w:rsidRPr="00576D60">
              <w:t>am. 2006 No. 57</w:t>
            </w:r>
          </w:p>
        </w:tc>
      </w:tr>
      <w:tr w:rsidR="00E93F58" w:rsidRPr="00576D60" w14:paraId="64078C5B" w14:textId="77777777" w:rsidTr="002F32E3">
        <w:trPr>
          <w:cantSplit/>
        </w:trPr>
        <w:tc>
          <w:tcPr>
            <w:tcW w:w="1500" w:type="pct"/>
            <w:shd w:val="clear" w:color="auto" w:fill="auto"/>
          </w:tcPr>
          <w:p w14:paraId="3FD5F1A4" w14:textId="77777777" w:rsidR="00E93F58" w:rsidRPr="00576D60" w:rsidRDefault="00E93F58" w:rsidP="002F32E3">
            <w:pPr>
              <w:pStyle w:val="ENoteTableText"/>
              <w:tabs>
                <w:tab w:val="left" w:leader="dot" w:pos="2268"/>
              </w:tabs>
            </w:pPr>
            <w:r w:rsidRPr="00576D60">
              <w:t>r. 2K.2.03</w:t>
            </w:r>
            <w:r w:rsidRPr="00576D60">
              <w:tab/>
            </w:r>
          </w:p>
        </w:tc>
        <w:tc>
          <w:tcPr>
            <w:tcW w:w="3500" w:type="pct"/>
            <w:shd w:val="clear" w:color="auto" w:fill="auto"/>
          </w:tcPr>
          <w:p w14:paraId="0DA3E7FD" w14:textId="77777777" w:rsidR="00E93F58" w:rsidRPr="00576D60" w:rsidRDefault="00E93F58" w:rsidP="002F32E3">
            <w:pPr>
              <w:pStyle w:val="ENoteTableText"/>
            </w:pPr>
            <w:r w:rsidRPr="00576D60">
              <w:t>ad. 2006 No. 57</w:t>
            </w:r>
          </w:p>
        </w:tc>
      </w:tr>
      <w:tr w:rsidR="00E93F58" w:rsidRPr="00576D60" w14:paraId="6945D847" w14:textId="77777777" w:rsidTr="002F32E3">
        <w:trPr>
          <w:cantSplit/>
        </w:trPr>
        <w:tc>
          <w:tcPr>
            <w:tcW w:w="1500" w:type="pct"/>
            <w:shd w:val="clear" w:color="auto" w:fill="auto"/>
          </w:tcPr>
          <w:p w14:paraId="10A068C9" w14:textId="77777777" w:rsidR="00E93F58" w:rsidRPr="00576D60" w:rsidRDefault="00E93F58" w:rsidP="002F32E3">
            <w:pPr>
              <w:pStyle w:val="ENoteTableText"/>
              <w:tabs>
                <w:tab w:val="left" w:leader="dot" w:pos="2268"/>
              </w:tabs>
              <w:rPr>
                <w:b/>
              </w:rPr>
            </w:pPr>
            <w:r w:rsidRPr="00576D60">
              <w:rPr>
                <w:b/>
              </w:rPr>
              <w:t>Chapter 2L</w:t>
            </w:r>
          </w:p>
        </w:tc>
        <w:tc>
          <w:tcPr>
            <w:tcW w:w="3500" w:type="pct"/>
            <w:shd w:val="clear" w:color="auto" w:fill="auto"/>
          </w:tcPr>
          <w:p w14:paraId="74E0A5CE" w14:textId="77777777" w:rsidR="00E93F58" w:rsidRPr="00576D60" w:rsidRDefault="00E93F58" w:rsidP="002F32E3">
            <w:pPr>
              <w:pStyle w:val="ENoteTableText"/>
            </w:pPr>
          </w:p>
        </w:tc>
      </w:tr>
      <w:tr w:rsidR="00E93F58" w:rsidRPr="00576D60" w14:paraId="3860FBFE" w14:textId="77777777" w:rsidTr="002F32E3">
        <w:trPr>
          <w:cantSplit/>
        </w:trPr>
        <w:tc>
          <w:tcPr>
            <w:tcW w:w="1500" w:type="pct"/>
            <w:shd w:val="clear" w:color="auto" w:fill="auto"/>
          </w:tcPr>
          <w:p w14:paraId="37871328" w14:textId="77777777" w:rsidR="00E93F58" w:rsidRPr="00576D60" w:rsidRDefault="00E93F58" w:rsidP="002F32E3">
            <w:pPr>
              <w:pStyle w:val="ENoteTableText"/>
              <w:tabs>
                <w:tab w:val="left" w:leader="dot" w:pos="2268"/>
              </w:tabs>
            </w:pPr>
            <w:r w:rsidRPr="00576D60">
              <w:t>Chapter 2L</w:t>
            </w:r>
            <w:r w:rsidRPr="00576D60">
              <w:tab/>
            </w:r>
          </w:p>
        </w:tc>
        <w:tc>
          <w:tcPr>
            <w:tcW w:w="3500" w:type="pct"/>
            <w:shd w:val="clear" w:color="auto" w:fill="auto"/>
          </w:tcPr>
          <w:p w14:paraId="53F6A691" w14:textId="77777777" w:rsidR="00E93F58" w:rsidRPr="00576D60" w:rsidRDefault="00E93F58" w:rsidP="002F32E3">
            <w:pPr>
              <w:pStyle w:val="ENoteTableText"/>
            </w:pPr>
            <w:r w:rsidRPr="00576D60">
              <w:t>ad. 2010 No. 54</w:t>
            </w:r>
          </w:p>
        </w:tc>
      </w:tr>
      <w:tr w:rsidR="00E93F58" w:rsidRPr="00576D60" w14:paraId="652F4D31" w14:textId="77777777" w:rsidTr="002F32E3">
        <w:trPr>
          <w:cantSplit/>
        </w:trPr>
        <w:tc>
          <w:tcPr>
            <w:tcW w:w="1500" w:type="pct"/>
            <w:shd w:val="clear" w:color="auto" w:fill="auto"/>
          </w:tcPr>
          <w:p w14:paraId="7BB007A7" w14:textId="77777777" w:rsidR="00E93F58" w:rsidRPr="00576D60" w:rsidRDefault="00E93F58" w:rsidP="002F32E3">
            <w:pPr>
              <w:pStyle w:val="ENoteTableText"/>
              <w:tabs>
                <w:tab w:val="left" w:leader="dot" w:pos="2268"/>
              </w:tabs>
              <w:rPr>
                <w:b/>
              </w:rPr>
            </w:pPr>
            <w:r w:rsidRPr="00576D60">
              <w:rPr>
                <w:b/>
              </w:rPr>
              <w:t>Part 2L.2</w:t>
            </w:r>
          </w:p>
        </w:tc>
        <w:tc>
          <w:tcPr>
            <w:tcW w:w="3500" w:type="pct"/>
            <w:shd w:val="clear" w:color="auto" w:fill="auto"/>
          </w:tcPr>
          <w:p w14:paraId="2B227D57" w14:textId="77777777" w:rsidR="00E93F58" w:rsidRPr="00576D60" w:rsidRDefault="00E93F58" w:rsidP="002F32E3">
            <w:pPr>
              <w:pStyle w:val="ENoteTableText"/>
              <w:keepNext/>
              <w:keepLines/>
            </w:pPr>
          </w:p>
        </w:tc>
      </w:tr>
      <w:tr w:rsidR="00E93F58" w:rsidRPr="00576D60" w14:paraId="3EC3EBDB" w14:textId="77777777" w:rsidTr="002F32E3">
        <w:trPr>
          <w:cantSplit/>
        </w:trPr>
        <w:tc>
          <w:tcPr>
            <w:tcW w:w="1500" w:type="pct"/>
            <w:shd w:val="clear" w:color="auto" w:fill="auto"/>
          </w:tcPr>
          <w:p w14:paraId="62B141CA" w14:textId="77777777" w:rsidR="00E93F58" w:rsidRPr="00576D60" w:rsidRDefault="00E93F58" w:rsidP="002F32E3">
            <w:pPr>
              <w:pStyle w:val="ENoteTableText"/>
              <w:tabs>
                <w:tab w:val="left" w:leader="dot" w:pos="2268"/>
              </w:tabs>
            </w:pPr>
            <w:r w:rsidRPr="00576D60">
              <w:t>r. 2L.2.01</w:t>
            </w:r>
            <w:r w:rsidRPr="00576D60">
              <w:tab/>
            </w:r>
          </w:p>
        </w:tc>
        <w:tc>
          <w:tcPr>
            <w:tcW w:w="3500" w:type="pct"/>
            <w:shd w:val="clear" w:color="auto" w:fill="auto"/>
          </w:tcPr>
          <w:p w14:paraId="4535DF4A" w14:textId="77777777" w:rsidR="00E93F58" w:rsidRPr="00576D60" w:rsidRDefault="00E93F58" w:rsidP="002F32E3">
            <w:pPr>
              <w:pStyle w:val="ENoteTableText"/>
            </w:pPr>
            <w:r w:rsidRPr="00576D60">
              <w:t>ad. 2010 No. 54</w:t>
            </w:r>
          </w:p>
        </w:tc>
      </w:tr>
      <w:tr w:rsidR="00E93F58" w:rsidRPr="00576D60" w14:paraId="5997A0EC" w14:textId="77777777" w:rsidTr="002F32E3">
        <w:trPr>
          <w:cantSplit/>
        </w:trPr>
        <w:tc>
          <w:tcPr>
            <w:tcW w:w="1500" w:type="pct"/>
            <w:shd w:val="clear" w:color="auto" w:fill="auto"/>
          </w:tcPr>
          <w:p w14:paraId="7D3BFF74" w14:textId="77777777" w:rsidR="00E93F58" w:rsidRPr="00576D60" w:rsidRDefault="00E93F58" w:rsidP="002F32E3">
            <w:pPr>
              <w:pStyle w:val="ENoteTableText"/>
              <w:keepNext/>
              <w:keepLines/>
              <w:tabs>
                <w:tab w:val="left" w:leader="dot" w:pos="2268"/>
              </w:tabs>
              <w:rPr>
                <w:b/>
              </w:rPr>
            </w:pPr>
            <w:r w:rsidRPr="00576D60">
              <w:rPr>
                <w:b/>
              </w:rPr>
              <w:t>Chapter 2M</w:t>
            </w:r>
          </w:p>
        </w:tc>
        <w:tc>
          <w:tcPr>
            <w:tcW w:w="3500" w:type="pct"/>
            <w:shd w:val="clear" w:color="auto" w:fill="auto"/>
          </w:tcPr>
          <w:p w14:paraId="01C40F9D" w14:textId="77777777" w:rsidR="00E93F58" w:rsidRPr="00576D60" w:rsidRDefault="00E93F58" w:rsidP="002F32E3">
            <w:pPr>
              <w:pStyle w:val="ENoteTableText"/>
              <w:keepNext/>
              <w:keepLines/>
            </w:pPr>
          </w:p>
        </w:tc>
      </w:tr>
      <w:tr w:rsidR="00E93F58" w:rsidRPr="00576D60" w14:paraId="1608CD65" w14:textId="77777777" w:rsidTr="002F32E3">
        <w:trPr>
          <w:cantSplit/>
        </w:trPr>
        <w:tc>
          <w:tcPr>
            <w:tcW w:w="1500" w:type="pct"/>
            <w:shd w:val="clear" w:color="auto" w:fill="auto"/>
          </w:tcPr>
          <w:p w14:paraId="290561FE" w14:textId="77777777" w:rsidR="00E93F58" w:rsidRPr="00576D60" w:rsidRDefault="00E93F58" w:rsidP="002F32E3">
            <w:pPr>
              <w:pStyle w:val="ENoteTableText"/>
              <w:keepNext/>
              <w:keepLines/>
              <w:tabs>
                <w:tab w:val="left" w:leader="dot" w:pos="2268"/>
              </w:tabs>
              <w:rPr>
                <w:b/>
              </w:rPr>
            </w:pPr>
            <w:r w:rsidRPr="00576D60">
              <w:rPr>
                <w:b/>
              </w:rPr>
              <w:t>Part 2M.3</w:t>
            </w:r>
          </w:p>
        </w:tc>
        <w:tc>
          <w:tcPr>
            <w:tcW w:w="3500" w:type="pct"/>
            <w:shd w:val="clear" w:color="auto" w:fill="auto"/>
          </w:tcPr>
          <w:p w14:paraId="4E8D191A" w14:textId="77777777" w:rsidR="00E93F58" w:rsidRPr="00576D60" w:rsidRDefault="00E93F58" w:rsidP="002F32E3">
            <w:pPr>
              <w:pStyle w:val="ENoteTableText"/>
              <w:keepNext/>
              <w:keepLines/>
            </w:pPr>
          </w:p>
        </w:tc>
      </w:tr>
      <w:tr w:rsidR="00E93F58" w:rsidRPr="00576D60" w14:paraId="5EF0965F" w14:textId="77777777" w:rsidTr="002F32E3">
        <w:trPr>
          <w:cantSplit/>
        </w:trPr>
        <w:tc>
          <w:tcPr>
            <w:tcW w:w="1500" w:type="pct"/>
            <w:shd w:val="clear" w:color="auto" w:fill="auto"/>
          </w:tcPr>
          <w:p w14:paraId="6ABC5216" w14:textId="77777777" w:rsidR="00E93F58" w:rsidRPr="00576D60" w:rsidRDefault="00E93F58" w:rsidP="002F32E3">
            <w:pPr>
              <w:pStyle w:val="ENoteTableText"/>
              <w:tabs>
                <w:tab w:val="left" w:leader="dot" w:pos="2268"/>
              </w:tabs>
            </w:pPr>
            <w:r w:rsidRPr="00576D60">
              <w:t>Part 2M.3</w:t>
            </w:r>
            <w:r w:rsidRPr="00576D60">
              <w:tab/>
            </w:r>
          </w:p>
        </w:tc>
        <w:tc>
          <w:tcPr>
            <w:tcW w:w="3500" w:type="pct"/>
            <w:shd w:val="clear" w:color="auto" w:fill="auto"/>
          </w:tcPr>
          <w:p w14:paraId="55A61140" w14:textId="77777777" w:rsidR="00E93F58" w:rsidRPr="00576D60" w:rsidRDefault="00E93F58" w:rsidP="002F32E3">
            <w:pPr>
              <w:pStyle w:val="ENoteTableText"/>
            </w:pPr>
            <w:r w:rsidRPr="00576D60">
              <w:t>ad. 2004 No. 208</w:t>
            </w:r>
          </w:p>
        </w:tc>
      </w:tr>
      <w:tr w:rsidR="00E93F58" w:rsidRPr="00576D60" w14:paraId="39A3052A" w14:textId="77777777" w:rsidTr="002F32E3">
        <w:trPr>
          <w:cantSplit/>
        </w:trPr>
        <w:tc>
          <w:tcPr>
            <w:tcW w:w="1500" w:type="pct"/>
            <w:shd w:val="clear" w:color="auto" w:fill="auto"/>
          </w:tcPr>
          <w:p w14:paraId="4EC59759"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0D4C0D33" w14:textId="77777777" w:rsidR="00E93F58" w:rsidRPr="00576D60" w:rsidRDefault="00E93F58" w:rsidP="002F32E3">
            <w:pPr>
              <w:pStyle w:val="ENoteTableText"/>
            </w:pPr>
          </w:p>
        </w:tc>
      </w:tr>
      <w:tr w:rsidR="00E93F58" w:rsidRPr="00576D60" w14:paraId="625ED895" w14:textId="77777777" w:rsidTr="002F32E3">
        <w:trPr>
          <w:cantSplit/>
        </w:trPr>
        <w:tc>
          <w:tcPr>
            <w:tcW w:w="1500" w:type="pct"/>
            <w:shd w:val="clear" w:color="auto" w:fill="auto"/>
          </w:tcPr>
          <w:p w14:paraId="3E09F978" w14:textId="77777777" w:rsidR="00E93F58" w:rsidRPr="00576D60" w:rsidRDefault="00E93F58" w:rsidP="002F32E3">
            <w:pPr>
              <w:pStyle w:val="ENoteTableText"/>
              <w:tabs>
                <w:tab w:val="left" w:leader="dot" w:pos="2268"/>
              </w:tabs>
            </w:pPr>
            <w:r w:rsidRPr="00576D60">
              <w:t>r 2M.3.01</w:t>
            </w:r>
            <w:r w:rsidRPr="00576D60">
              <w:tab/>
            </w:r>
          </w:p>
        </w:tc>
        <w:tc>
          <w:tcPr>
            <w:tcW w:w="3500" w:type="pct"/>
            <w:shd w:val="clear" w:color="auto" w:fill="auto"/>
          </w:tcPr>
          <w:p w14:paraId="1FB448F0" w14:textId="77777777" w:rsidR="00E93F58" w:rsidRPr="00576D60" w:rsidRDefault="00E93F58" w:rsidP="002F32E3">
            <w:pPr>
              <w:pStyle w:val="ENoteTableText"/>
            </w:pPr>
            <w:r w:rsidRPr="00576D60">
              <w:t>ad No 184, 2010</w:t>
            </w:r>
          </w:p>
        </w:tc>
      </w:tr>
      <w:tr w:rsidR="00E93F58" w:rsidRPr="00576D60" w14:paraId="7546E8F0" w14:textId="77777777" w:rsidTr="002F32E3">
        <w:trPr>
          <w:cantSplit/>
        </w:trPr>
        <w:tc>
          <w:tcPr>
            <w:tcW w:w="1500" w:type="pct"/>
            <w:shd w:val="clear" w:color="auto" w:fill="auto"/>
          </w:tcPr>
          <w:p w14:paraId="6BA7AB36" w14:textId="77777777" w:rsidR="00E93F58" w:rsidRPr="00576D60" w:rsidRDefault="00E93F58" w:rsidP="002F32E3">
            <w:pPr>
              <w:pStyle w:val="ENoteTableText"/>
              <w:tabs>
                <w:tab w:val="left" w:leader="dot" w:pos="2268"/>
              </w:tabs>
            </w:pPr>
          </w:p>
        </w:tc>
        <w:tc>
          <w:tcPr>
            <w:tcW w:w="3500" w:type="pct"/>
            <w:shd w:val="clear" w:color="auto" w:fill="auto"/>
          </w:tcPr>
          <w:p w14:paraId="1A6023B7" w14:textId="77777777" w:rsidR="00E93F58" w:rsidRPr="00576D60" w:rsidRDefault="00E93F58" w:rsidP="002F32E3">
            <w:pPr>
              <w:pStyle w:val="ENoteTableText"/>
            </w:pPr>
            <w:r w:rsidRPr="00576D60">
              <w:t>am F2023L00990</w:t>
            </w:r>
          </w:p>
        </w:tc>
      </w:tr>
      <w:tr w:rsidR="00E93F58" w:rsidRPr="00576D60" w14:paraId="37FEC6CB" w14:textId="77777777" w:rsidTr="002F32E3">
        <w:trPr>
          <w:cantSplit/>
        </w:trPr>
        <w:tc>
          <w:tcPr>
            <w:tcW w:w="1500" w:type="pct"/>
            <w:shd w:val="clear" w:color="auto" w:fill="auto"/>
          </w:tcPr>
          <w:p w14:paraId="3C6327A3" w14:textId="77777777" w:rsidR="00E93F58" w:rsidRPr="00576D60" w:rsidRDefault="00E93F58" w:rsidP="002F32E3">
            <w:pPr>
              <w:pStyle w:val="ENoteTableText"/>
              <w:tabs>
                <w:tab w:val="left" w:leader="dot" w:pos="2268"/>
              </w:tabs>
            </w:pPr>
            <w:r w:rsidRPr="00576D60">
              <w:t>r. 2M.3.03</w:t>
            </w:r>
            <w:r w:rsidRPr="00576D60">
              <w:tab/>
            </w:r>
          </w:p>
        </w:tc>
        <w:tc>
          <w:tcPr>
            <w:tcW w:w="3500" w:type="pct"/>
            <w:shd w:val="clear" w:color="auto" w:fill="auto"/>
          </w:tcPr>
          <w:p w14:paraId="42F47A25" w14:textId="77777777" w:rsidR="00E93F58" w:rsidRPr="00576D60" w:rsidRDefault="00E93F58" w:rsidP="002F32E3">
            <w:pPr>
              <w:pStyle w:val="ENoteTableText"/>
            </w:pPr>
            <w:r w:rsidRPr="00576D60">
              <w:t>ad. 2004 No. 208</w:t>
            </w:r>
          </w:p>
        </w:tc>
      </w:tr>
      <w:tr w:rsidR="00E93F58" w:rsidRPr="00576D60" w14:paraId="0863E9FC" w14:textId="77777777" w:rsidTr="002F32E3">
        <w:trPr>
          <w:cantSplit/>
        </w:trPr>
        <w:tc>
          <w:tcPr>
            <w:tcW w:w="1500" w:type="pct"/>
            <w:shd w:val="clear" w:color="auto" w:fill="auto"/>
          </w:tcPr>
          <w:p w14:paraId="441D1C0F" w14:textId="77777777" w:rsidR="00E93F58" w:rsidRPr="00576D60" w:rsidRDefault="00E93F58" w:rsidP="002F32E3">
            <w:pPr>
              <w:pStyle w:val="ENoteTableText"/>
            </w:pPr>
          </w:p>
        </w:tc>
        <w:tc>
          <w:tcPr>
            <w:tcW w:w="3500" w:type="pct"/>
            <w:shd w:val="clear" w:color="auto" w:fill="auto"/>
          </w:tcPr>
          <w:p w14:paraId="2BCA3BC6" w14:textId="77777777" w:rsidR="00E93F58" w:rsidRPr="00576D60" w:rsidRDefault="00E93F58" w:rsidP="002F32E3">
            <w:pPr>
              <w:pStyle w:val="ENoteTableText"/>
            </w:pPr>
            <w:r w:rsidRPr="00576D60">
              <w:t>am. 2006 No. 126</w:t>
            </w:r>
          </w:p>
        </w:tc>
      </w:tr>
      <w:tr w:rsidR="00E93F58" w:rsidRPr="00576D60" w14:paraId="36CCCE53" w14:textId="77777777" w:rsidTr="002F32E3">
        <w:trPr>
          <w:cantSplit/>
        </w:trPr>
        <w:tc>
          <w:tcPr>
            <w:tcW w:w="1500" w:type="pct"/>
            <w:shd w:val="clear" w:color="auto" w:fill="auto"/>
          </w:tcPr>
          <w:p w14:paraId="7C140DDC" w14:textId="77777777" w:rsidR="00E93F58" w:rsidRPr="00576D60" w:rsidRDefault="00E93F58" w:rsidP="002F32E3">
            <w:pPr>
              <w:pStyle w:val="ENoteTableText"/>
            </w:pPr>
          </w:p>
        </w:tc>
        <w:tc>
          <w:tcPr>
            <w:tcW w:w="3500" w:type="pct"/>
            <w:shd w:val="clear" w:color="auto" w:fill="auto"/>
          </w:tcPr>
          <w:p w14:paraId="28649C4C" w14:textId="77777777" w:rsidR="00E93F58" w:rsidRPr="00576D60" w:rsidRDefault="00E93F58" w:rsidP="002F32E3">
            <w:pPr>
              <w:pStyle w:val="ENoteTableText"/>
            </w:pPr>
            <w:r w:rsidRPr="00576D60">
              <w:t>rs. 2007 No. 193</w:t>
            </w:r>
          </w:p>
        </w:tc>
      </w:tr>
      <w:tr w:rsidR="00E93F58" w:rsidRPr="00576D60" w14:paraId="226F3972" w14:textId="77777777" w:rsidTr="002F32E3">
        <w:trPr>
          <w:cantSplit/>
        </w:trPr>
        <w:tc>
          <w:tcPr>
            <w:tcW w:w="1500" w:type="pct"/>
            <w:shd w:val="clear" w:color="auto" w:fill="auto"/>
          </w:tcPr>
          <w:p w14:paraId="6A142143" w14:textId="77777777" w:rsidR="00E93F58" w:rsidRPr="00576D60" w:rsidRDefault="00E93F58" w:rsidP="002F32E3">
            <w:pPr>
              <w:pStyle w:val="ENoteTableText"/>
            </w:pPr>
          </w:p>
        </w:tc>
        <w:tc>
          <w:tcPr>
            <w:tcW w:w="3500" w:type="pct"/>
            <w:shd w:val="clear" w:color="auto" w:fill="auto"/>
          </w:tcPr>
          <w:p w14:paraId="214D02C0" w14:textId="77777777" w:rsidR="00E93F58" w:rsidRPr="00576D60" w:rsidRDefault="00E93F58" w:rsidP="002F32E3">
            <w:pPr>
              <w:pStyle w:val="ENoteTableText"/>
            </w:pPr>
            <w:r w:rsidRPr="00576D60">
              <w:t>am. No 152 and 192, 2013; F2016L00514</w:t>
            </w:r>
          </w:p>
        </w:tc>
      </w:tr>
      <w:tr w:rsidR="00E93F58" w:rsidRPr="00576D60" w14:paraId="64EA8C90" w14:textId="77777777" w:rsidTr="002236A1">
        <w:trPr>
          <w:cantSplit/>
        </w:trPr>
        <w:tc>
          <w:tcPr>
            <w:tcW w:w="1500" w:type="pct"/>
            <w:shd w:val="clear" w:color="auto" w:fill="auto"/>
          </w:tcPr>
          <w:p w14:paraId="1FFB9F03" w14:textId="77777777" w:rsidR="00E93F58" w:rsidRPr="00576D60" w:rsidRDefault="00E93F58" w:rsidP="002236A1">
            <w:pPr>
              <w:pStyle w:val="ENoteTableText"/>
              <w:tabs>
                <w:tab w:val="left" w:leader="dot" w:pos="2268"/>
              </w:tabs>
            </w:pPr>
            <w:r w:rsidRPr="00576D60">
              <w:t>r 2M.3.04</w:t>
            </w:r>
            <w:r w:rsidRPr="00576D60">
              <w:tab/>
            </w:r>
          </w:p>
        </w:tc>
        <w:tc>
          <w:tcPr>
            <w:tcW w:w="3500" w:type="pct"/>
            <w:shd w:val="clear" w:color="auto" w:fill="auto"/>
          </w:tcPr>
          <w:p w14:paraId="130FEC57" w14:textId="77777777" w:rsidR="00E93F58" w:rsidRPr="00576D60" w:rsidRDefault="00E93F58" w:rsidP="002236A1">
            <w:pPr>
              <w:pStyle w:val="ENoteTableText"/>
            </w:pPr>
            <w:r w:rsidRPr="00576D60">
              <w:t>ad F2023L00990</w:t>
            </w:r>
          </w:p>
        </w:tc>
      </w:tr>
      <w:tr w:rsidR="00E93F58" w:rsidRPr="00576D60" w14:paraId="1F2A75BB" w14:textId="77777777" w:rsidTr="002F32E3">
        <w:trPr>
          <w:cantSplit/>
        </w:trPr>
        <w:tc>
          <w:tcPr>
            <w:tcW w:w="1500" w:type="pct"/>
            <w:shd w:val="clear" w:color="auto" w:fill="auto"/>
          </w:tcPr>
          <w:p w14:paraId="151F4AAE" w14:textId="77777777" w:rsidR="00E93F58" w:rsidRPr="00576D60" w:rsidRDefault="00E93F58" w:rsidP="002F32E3">
            <w:pPr>
              <w:pStyle w:val="ENoteTableText"/>
              <w:tabs>
                <w:tab w:val="left" w:leader="dot" w:pos="2268"/>
              </w:tabs>
            </w:pPr>
            <w:r w:rsidRPr="00576D60">
              <w:t>Division 9</w:t>
            </w:r>
            <w:r w:rsidRPr="00576D60">
              <w:tab/>
            </w:r>
          </w:p>
        </w:tc>
        <w:tc>
          <w:tcPr>
            <w:tcW w:w="3500" w:type="pct"/>
            <w:shd w:val="clear" w:color="auto" w:fill="auto"/>
          </w:tcPr>
          <w:p w14:paraId="6C80AAEF" w14:textId="77777777" w:rsidR="00E93F58" w:rsidRPr="00576D60" w:rsidRDefault="00E93F58" w:rsidP="002F32E3">
            <w:pPr>
              <w:pStyle w:val="ENoteTableText"/>
            </w:pPr>
            <w:r w:rsidRPr="00576D60">
              <w:t>ad. 2004 No. 399</w:t>
            </w:r>
          </w:p>
        </w:tc>
      </w:tr>
      <w:tr w:rsidR="00E93F58" w:rsidRPr="00576D60" w14:paraId="2E161375" w14:textId="77777777" w:rsidTr="002F32E3">
        <w:trPr>
          <w:cantSplit/>
        </w:trPr>
        <w:tc>
          <w:tcPr>
            <w:tcW w:w="1500" w:type="pct"/>
            <w:shd w:val="clear" w:color="auto" w:fill="auto"/>
          </w:tcPr>
          <w:p w14:paraId="3AF357C8" w14:textId="77777777" w:rsidR="00E93F58" w:rsidRPr="00576D60" w:rsidRDefault="00E93F58" w:rsidP="002F32E3">
            <w:pPr>
              <w:pStyle w:val="ENoteTableText"/>
              <w:tabs>
                <w:tab w:val="left" w:leader="dot" w:pos="2268"/>
              </w:tabs>
            </w:pPr>
          </w:p>
        </w:tc>
        <w:tc>
          <w:tcPr>
            <w:tcW w:w="3500" w:type="pct"/>
            <w:shd w:val="clear" w:color="auto" w:fill="auto"/>
          </w:tcPr>
          <w:p w14:paraId="247B6D1F" w14:textId="77777777" w:rsidR="00E93F58" w:rsidRPr="00576D60" w:rsidRDefault="00E93F58" w:rsidP="002F32E3">
            <w:pPr>
              <w:pStyle w:val="ENoteTableText"/>
            </w:pPr>
            <w:r w:rsidRPr="00576D60">
              <w:t>rep. No. 152, 2013</w:t>
            </w:r>
          </w:p>
        </w:tc>
      </w:tr>
      <w:tr w:rsidR="00E93F58" w:rsidRPr="00576D60" w14:paraId="48629789" w14:textId="77777777" w:rsidTr="002F32E3">
        <w:trPr>
          <w:cantSplit/>
        </w:trPr>
        <w:tc>
          <w:tcPr>
            <w:tcW w:w="1500" w:type="pct"/>
            <w:shd w:val="clear" w:color="auto" w:fill="auto"/>
          </w:tcPr>
          <w:p w14:paraId="1FF53723" w14:textId="77777777" w:rsidR="00E93F58" w:rsidRPr="00576D60" w:rsidRDefault="00E93F58" w:rsidP="002F32E3">
            <w:pPr>
              <w:pStyle w:val="ENoteTableText"/>
              <w:tabs>
                <w:tab w:val="left" w:leader="dot" w:pos="2268"/>
              </w:tabs>
            </w:pPr>
            <w:r w:rsidRPr="00576D60">
              <w:t>r. 2M.3.30</w:t>
            </w:r>
            <w:r w:rsidRPr="00576D60">
              <w:tab/>
            </w:r>
          </w:p>
        </w:tc>
        <w:tc>
          <w:tcPr>
            <w:tcW w:w="3500" w:type="pct"/>
            <w:shd w:val="clear" w:color="auto" w:fill="auto"/>
          </w:tcPr>
          <w:p w14:paraId="1D510612" w14:textId="77777777" w:rsidR="00E93F58" w:rsidRPr="00576D60" w:rsidRDefault="00E93F58" w:rsidP="002F32E3">
            <w:pPr>
              <w:pStyle w:val="ENoteTableText"/>
            </w:pPr>
            <w:r w:rsidRPr="00576D60">
              <w:t>ad. 2004 No. 399</w:t>
            </w:r>
          </w:p>
        </w:tc>
      </w:tr>
      <w:tr w:rsidR="00E93F58" w:rsidRPr="00576D60" w14:paraId="0E0BF936" w14:textId="77777777" w:rsidTr="002F32E3">
        <w:trPr>
          <w:cantSplit/>
        </w:trPr>
        <w:tc>
          <w:tcPr>
            <w:tcW w:w="1500" w:type="pct"/>
            <w:shd w:val="clear" w:color="auto" w:fill="auto"/>
          </w:tcPr>
          <w:p w14:paraId="095C490D" w14:textId="77777777" w:rsidR="00E93F58" w:rsidRPr="00576D60" w:rsidRDefault="00E93F58" w:rsidP="002F32E3">
            <w:pPr>
              <w:pStyle w:val="ENoteTableText"/>
              <w:tabs>
                <w:tab w:val="left" w:leader="dot" w:pos="2268"/>
              </w:tabs>
            </w:pPr>
          </w:p>
        </w:tc>
        <w:tc>
          <w:tcPr>
            <w:tcW w:w="3500" w:type="pct"/>
            <w:shd w:val="clear" w:color="auto" w:fill="auto"/>
          </w:tcPr>
          <w:p w14:paraId="346B28E0" w14:textId="77777777" w:rsidR="00E93F58" w:rsidRPr="00576D60" w:rsidRDefault="00E93F58" w:rsidP="002F32E3">
            <w:pPr>
              <w:pStyle w:val="ENoteTableText"/>
            </w:pPr>
            <w:r w:rsidRPr="00576D60">
              <w:t>rep. No. 152, 2013</w:t>
            </w:r>
          </w:p>
        </w:tc>
      </w:tr>
      <w:tr w:rsidR="00E93F58" w:rsidRPr="00576D60" w14:paraId="049A03F9" w14:textId="77777777" w:rsidTr="002F32E3">
        <w:trPr>
          <w:cantSplit/>
        </w:trPr>
        <w:tc>
          <w:tcPr>
            <w:tcW w:w="1500" w:type="pct"/>
            <w:shd w:val="clear" w:color="auto" w:fill="auto"/>
          </w:tcPr>
          <w:p w14:paraId="7C644C4E" w14:textId="77777777" w:rsidR="00E93F58" w:rsidRPr="00576D60" w:rsidRDefault="00E93F58" w:rsidP="002F32E3">
            <w:pPr>
              <w:pStyle w:val="ENoteTableText"/>
              <w:tabs>
                <w:tab w:val="left" w:leader="dot" w:pos="2268"/>
              </w:tabs>
            </w:pPr>
            <w:r w:rsidRPr="00576D60">
              <w:t>r. 2M.3.31</w:t>
            </w:r>
            <w:r w:rsidRPr="00576D60">
              <w:tab/>
            </w:r>
          </w:p>
        </w:tc>
        <w:tc>
          <w:tcPr>
            <w:tcW w:w="3500" w:type="pct"/>
            <w:shd w:val="clear" w:color="auto" w:fill="auto"/>
          </w:tcPr>
          <w:p w14:paraId="2ED03550" w14:textId="77777777" w:rsidR="00E93F58" w:rsidRPr="00576D60" w:rsidRDefault="00E93F58" w:rsidP="002F32E3">
            <w:pPr>
              <w:pStyle w:val="ENoteTableText"/>
            </w:pPr>
            <w:r w:rsidRPr="00576D60">
              <w:t>ad. 2004 No. 399</w:t>
            </w:r>
          </w:p>
        </w:tc>
      </w:tr>
      <w:tr w:rsidR="00E93F58" w:rsidRPr="00576D60" w14:paraId="69F5D52C" w14:textId="77777777" w:rsidTr="002F32E3">
        <w:trPr>
          <w:cantSplit/>
        </w:trPr>
        <w:tc>
          <w:tcPr>
            <w:tcW w:w="1500" w:type="pct"/>
            <w:shd w:val="clear" w:color="auto" w:fill="auto"/>
          </w:tcPr>
          <w:p w14:paraId="23972CFE" w14:textId="77777777" w:rsidR="00E93F58" w:rsidRPr="00576D60" w:rsidRDefault="00E93F58" w:rsidP="002F32E3">
            <w:pPr>
              <w:pStyle w:val="ENoteTableText"/>
              <w:tabs>
                <w:tab w:val="left" w:leader="dot" w:pos="2268"/>
              </w:tabs>
            </w:pPr>
          </w:p>
        </w:tc>
        <w:tc>
          <w:tcPr>
            <w:tcW w:w="3500" w:type="pct"/>
            <w:shd w:val="clear" w:color="auto" w:fill="auto"/>
          </w:tcPr>
          <w:p w14:paraId="79A5D553" w14:textId="77777777" w:rsidR="00E93F58" w:rsidRPr="00576D60" w:rsidRDefault="00E93F58" w:rsidP="002F32E3">
            <w:pPr>
              <w:pStyle w:val="ENoteTableText"/>
            </w:pPr>
            <w:r w:rsidRPr="00576D60">
              <w:t>rep. No. 152, 2013</w:t>
            </w:r>
          </w:p>
        </w:tc>
      </w:tr>
      <w:tr w:rsidR="00E93F58" w:rsidRPr="00576D60" w14:paraId="4A4B3880" w14:textId="77777777" w:rsidTr="002F32E3">
        <w:trPr>
          <w:cantSplit/>
        </w:trPr>
        <w:tc>
          <w:tcPr>
            <w:tcW w:w="1500" w:type="pct"/>
            <w:shd w:val="clear" w:color="auto" w:fill="auto"/>
          </w:tcPr>
          <w:p w14:paraId="16FFFB4A" w14:textId="77777777" w:rsidR="00E93F58" w:rsidRPr="00576D60" w:rsidRDefault="00E93F58" w:rsidP="002F32E3">
            <w:pPr>
              <w:pStyle w:val="ENoteTableText"/>
              <w:tabs>
                <w:tab w:val="left" w:leader="dot" w:pos="2268"/>
              </w:tabs>
            </w:pPr>
            <w:r w:rsidRPr="00576D60">
              <w:t>r. 2M.3.32</w:t>
            </w:r>
            <w:r w:rsidRPr="00576D60">
              <w:tab/>
            </w:r>
          </w:p>
        </w:tc>
        <w:tc>
          <w:tcPr>
            <w:tcW w:w="3500" w:type="pct"/>
            <w:shd w:val="clear" w:color="auto" w:fill="auto"/>
          </w:tcPr>
          <w:p w14:paraId="7557F47C" w14:textId="77777777" w:rsidR="00E93F58" w:rsidRPr="00576D60" w:rsidRDefault="00E93F58" w:rsidP="002F32E3">
            <w:pPr>
              <w:pStyle w:val="ENoteTableText"/>
            </w:pPr>
            <w:r w:rsidRPr="00576D60">
              <w:t>ad. 2004 No. 399</w:t>
            </w:r>
          </w:p>
        </w:tc>
      </w:tr>
      <w:tr w:rsidR="00E93F58" w:rsidRPr="00576D60" w14:paraId="0B6AA1B7" w14:textId="77777777" w:rsidTr="002F32E3">
        <w:trPr>
          <w:cantSplit/>
        </w:trPr>
        <w:tc>
          <w:tcPr>
            <w:tcW w:w="1500" w:type="pct"/>
            <w:shd w:val="clear" w:color="auto" w:fill="auto"/>
          </w:tcPr>
          <w:p w14:paraId="42C35F4A" w14:textId="77777777" w:rsidR="00E93F58" w:rsidRPr="00576D60" w:rsidRDefault="00E93F58" w:rsidP="002F32E3">
            <w:pPr>
              <w:pStyle w:val="ENoteTableText"/>
              <w:tabs>
                <w:tab w:val="left" w:leader="dot" w:pos="2268"/>
              </w:tabs>
            </w:pPr>
          </w:p>
        </w:tc>
        <w:tc>
          <w:tcPr>
            <w:tcW w:w="3500" w:type="pct"/>
            <w:shd w:val="clear" w:color="auto" w:fill="auto"/>
          </w:tcPr>
          <w:p w14:paraId="5C2B7D16" w14:textId="77777777" w:rsidR="00E93F58" w:rsidRPr="00576D60" w:rsidRDefault="00E93F58" w:rsidP="002F32E3">
            <w:pPr>
              <w:pStyle w:val="ENoteTableText"/>
            </w:pPr>
            <w:r w:rsidRPr="00576D60">
              <w:t>rep. No. 152, 2013</w:t>
            </w:r>
          </w:p>
        </w:tc>
      </w:tr>
      <w:tr w:rsidR="00E93F58" w:rsidRPr="00576D60" w14:paraId="438660DC" w14:textId="77777777" w:rsidTr="002F32E3">
        <w:trPr>
          <w:cantSplit/>
        </w:trPr>
        <w:tc>
          <w:tcPr>
            <w:tcW w:w="1500" w:type="pct"/>
            <w:shd w:val="clear" w:color="auto" w:fill="auto"/>
          </w:tcPr>
          <w:p w14:paraId="14CAB277" w14:textId="77777777" w:rsidR="00E93F58" w:rsidRPr="00576D60" w:rsidRDefault="00E93F58" w:rsidP="002F32E3">
            <w:pPr>
              <w:pStyle w:val="ENoteTableText"/>
              <w:tabs>
                <w:tab w:val="left" w:leader="dot" w:pos="2268"/>
              </w:tabs>
              <w:rPr>
                <w:b/>
              </w:rPr>
            </w:pPr>
            <w:r w:rsidRPr="00576D60">
              <w:rPr>
                <w:b/>
              </w:rPr>
              <w:t>Part 2M.4</w:t>
            </w:r>
          </w:p>
        </w:tc>
        <w:tc>
          <w:tcPr>
            <w:tcW w:w="3500" w:type="pct"/>
            <w:shd w:val="clear" w:color="auto" w:fill="auto"/>
          </w:tcPr>
          <w:p w14:paraId="3F2D2F8F" w14:textId="77777777" w:rsidR="00E93F58" w:rsidRPr="00576D60" w:rsidRDefault="00E93F58" w:rsidP="002F32E3">
            <w:pPr>
              <w:pStyle w:val="ENoteTableText"/>
            </w:pPr>
          </w:p>
        </w:tc>
      </w:tr>
      <w:tr w:rsidR="00E93F58" w:rsidRPr="00576D60" w14:paraId="765E31F7" w14:textId="77777777" w:rsidTr="002F32E3">
        <w:trPr>
          <w:cantSplit/>
        </w:trPr>
        <w:tc>
          <w:tcPr>
            <w:tcW w:w="1500" w:type="pct"/>
            <w:shd w:val="clear" w:color="auto" w:fill="auto"/>
          </w:tcPr>
          <w:p w14:paraId="153E9E95" w14:textId="77777777" w:rsidR="00E93F58" w:rsidRPr="00576D60" w:rsidRDefault="00E93F58" w:rsidP="002F32E3">
            <w:pPr>
              <w:pStyle w:val="ENoteTableText"/>
              <w:tabs>
                <w:tab w:val="left" w:leader="dot" w:pos="2268"/>
              </w:tabs>
            </w:pPr>
            <w:r w:rsidRPr="00576D60">
              <w:t>r. 2M.4.01A</w:t>
            </w:r>
            <w:r w:rsidRPr="00576D60">
              <w:tab/>
            </w:r>
          </w:p>
        </w:tc>
        <w:tc>
          <w:tcPr>
            <w:tcW w:w="3500" w:type="pct"/>
            <w:shd w:val="clear" w:color="auto" w:fill="auto"/>
          </w:tcPr>
          <w:p w14:paraId="1E56789F" w14:textId="77777777" w:rsidR="00E93F58" w:rsidRPr="00576D60" w:rsidRDefault="00E93F58" w:rsidP="002F32E3">
            <w:pPr>
              <w:pStyle w:val="ENoteTableText"/>
            </w:pPr>
            <w:r w:rsidRPr="00576D60">
              <w:t>ad. 2010 No. 184</w:t>
            </w:r>
          </w:p>
        </w:tc>
      </w:tr>
      <w:tr w:rsidR="00E93F58" w:rsidRPr="00576D60" w14:paraId="0238D27D" w14:textId="77777777" w:rsidTr="002F32E3">
        <w:trPr>
          <w:cantSplit/>
        </w:trPr>
        <w:tc>
          <w:tcPr>
            <w:tcW w:w="1500" w:type="pct"/>
            <w:shd w:val="clear" w:color="auto" w:fill="auto"/>
          </w:tcPr>
          <w:p w14:paraId="16AFD881" w14:textId="77777777" w:rsidR="00E93F58" w:rsidRPr="00576D60" w:rsidRDefault="00E93F58" w:rsidP="002F32E3">
            <w:pPr>
              <w:pStyle w:val="ENoteTableText"/>
              <w:tabs>
                <w:tab w:val="left" w:leader="dot" w:pos="2268"/>
              </w:tabs>
            </w:pPr>
          </w:p>
        </w:tc>
        <w:tc>
          <w:tcPr>
            <w:tcW w:w="3500" w:type="pct"/>
            <w:shd w:val="clear" w:color="auto" w:fill="auto"/>
          </w:tcPr>
          <w:p w14:paraId="7311856E" w14:textId="77777777" w:rsidR="00E93F58" w:rsidRPr="00576D60" w:rsidRDefault="00E93F58" w:rsidP="002F32E3">
            <w:pPr>
              <w:pStyle w:val="ENoteTableText"/>
            </w:pPr>
            <w:r w:rsidRPr="00576D60">
              <w:t>rs. No. 125, 2013</w:t>
            </w:r>
          </w:p>
        </w:tc>
      </w:tr>
      <w:tr w:rsidR="00E93F58" w:rsidRPr="00576D60" w14:paraId="19E7369B" w14:textId="77777777" w:rsidTr="002F32E3">
        <w:trPr>
          <w:cantSplit/>
        </w:trPr>
        <w:tc>
          <w:tcPr>
            <w:tcW w:w="1500" w:type="pct"/>
            <w:shd w:val="clear" w:color="auto" w:fill="auto"/>
          </w:tcPr>
          <w:p w14:paraId="58EFACE5" w14:textId="77777777" w:rsidR="00E93F58" w:rsidRPr="00576D60" w:rsidRDefault="00E93F58" w:rsidP="002F32E3">
            <w:pPr>
              <w:pStyle w:val="ENoteTableText"/>
              <w:tabs>
                <w:tab w:val="left" w:leader="dot" w:pos="2268"/>
              </w:tabs>
              <w:rPr>
                <w:b/>
              </w:rPr>
            </w:pPr>
            <w:r w:rsidRPr="00576D60">
              <w:rPr>
                <w:b/>
              </w:rPr>
              <w:t>Part 2M.4A</w:t>
            </w:r>
          </w:p>
        </w:tc>
        <w:tc>
          <w:tcPr>
            <w:tcW w:w="3500" w:type="pct"/>
            <w:shd w:val="clear" w:color="auto" w:fill="auto"/>
          </w:tcPr>
          <w:p w14:paraId="7DC8C2D4" w14:textId="77777777" w:rsidR="00E93F58" w:rsidRPr="00576D60" w:rsidRDefault="00E93F58" w:rsidP="002F32E3">
            <w:pPr>
              <w:pStyle w:val="ENoteTableText"/>
            </w:pPr>
          </w:p>
        </w:tc>
      </w:tr>
      <w:tr w:rsidR="00E93F58" w:rsidRPr="00576D60" w14:paraId="40F53060" w14:textId="77777777" w:rsidTr="002F32E3">
        <w:trPr>
          <w:cantSplit/>
        </w:trPr>
        <w:tc>
          <w:tcPr>
            <w:tcW w:w="1500" w:type="pct"/>
            <w:shd w:val="clear" w:color="auto" w:fill="auto"/>
          </w:tcPr>
          <w:p w14:paraId="562687E3" w14:textId="77777777" w:rsidR="00E93F58" w:rsidRPr="00576D60" w:rsidRDefault="00E93F58" w:rsidP="002F32E3">
            <w:pPr>
              <w:pStyle w:val="ENoteTableText"/>
              <w:tabs>
                <w:tab w:val="left" w:leader="dot" w:pos="2268"/>
              </w:tabs>
            </w:pPr>
            <w:r w:rsidRPr="00576D60">
              <w:t>Part 2M.4A</w:t>
            </w:r>
            <w:r w:rsidRPr="00576D60">
              <w:tab/>
            </w:r>
          </w:p>
        </w:tc>
        <w:tc>
          <w:tcPr>
            <w:tcW w:w="3500" w:type="pct"/>
            <w:shd w:val="clear" w:color="auto" w:fill="auto"/>
          </w:tcPr>
          <w:p w14:paraId="1F37F66B" w14:textId="77777777" w:rsidR="00E93F58" w:rsidRPr="00576D60" w:rsidRDefault="00E93F58" w:rsidP="002F32E3">
            <w:pPr>
              <w:pStyle w:val="ENoteTableText"/>
            </w:pPr>
            <w:r w:rsidRPr="00576D60">
              <w:t>ad. 2012 No. 171</w:t>
            </w:r>
          </w:p>
        </w:tc>
      </w:tr>
      <w:tr w:rsidR="00E93F58" w:rsidRPr="00576D60" w14:paraId="448B62F4" w14:textId="77777777" w:rsidTr="002F32E3">
        <w:trPr>
          <w:cantSplit/>
        </w:trPr>
        <w:tc>
          <w:tcPr>
            <w:tcW w:w="1500" w:type="pct"/>
            <w:shd w:val="clear" w:color="auto" w:fill="auto"/>
          </w:tcPr>
          <w:p w14:paraId="194DB3FC" w14:textId="77777777" w:rsidR="00E93F58" w:rsidRPr="00576D60" w:rsidRDefault="00E93F58" w:rsidP="002F32E3">
            <w:pPr>
              <w:pStyle w:val="ENoteTableText"/>
              <w:tabs>
                <w:tab w:val="left" w:leader="dot" w:pos="2268"/>
              </w:tabs>
            </w:pPr>
            <w:r w:rsidRPr="00576D60">
              <w:t>r. 2M.4A.01</w:t>
            </w:r>
            <w:r w:rsidRPr="00576D60">
              <w:tab/>
            </w:r>
          </w:p>
        </w:tc>
        <w:tc>
          <w:tcPr>
            <w:tcW w:w="3500" w:type="pct"/>
            <w:shd w:val="clear" w:color="auto" w:fill="auto"/>
          </w:tcPr>
          <w:p w14:paraId="54FE8D9B" w14:textId="77777777" w:rsidR="00E93F58" w:rsidRPr="00576D60" w:rsidRDefault="00E93F58" w:rsidP="002F32E3">
            <w:pPr>
              <w:pStyle w:val="ENoteTableText"/>
            </w:pPr>
            <w:r w:rsidRPr="00576D60">
              <w:t>ad. 2012 No. 171</w:t>
            </w:r>
          </w:p>
        </w:tc>
      </w:tr>
      <w:tr w:rsidR="00E93F58" w:rsidRPr="00576D60" w14:paraId="1F3C985A" w14:textId="77777777" w:rsidTr="002F32E3">
        <w:trPr>
          <w:cantSplit/>
        </w:trPr>
        <w:tc>
          <w:tcPr>
            <w:tcW w:w="1500" w:type="pct"/>
            <w:shd w:val="clear" w:color="auto" w:fill="auto"/>
          </w:tcPr>
          <w:p w14:paraId="325FF6D8" w14:textId="77777777" w:rsidR="00E93F58" w:rsidRPr="00576D60" w:rsidRDefault="00E93F58" w:rsidP="002F32E3">
            <w:pPr>
              <w:pStyle w:val="ENoteTableText"/>
              <w:tabs>
                <w:tab w:val="left" w:leader="dot" w:pos="2268"/>
              </w:tabs>
            </w:pPr>
            <w:r w:rsidRPr="00576D60">
              <w:t>r. 2M.4A.02</w:t>
            </w:r>
            <w:r w:rsidRPr="00576D60">
              <w:tab/>
            </w:r>
          </w:p>
        </w:tc>
        <w:tc>
          <w:tcPr>
            <w:tcW w:w="3500" w:type="pct"/>
            <w:shd w:val="clear" w:color="auto" w:fill="auto"/>
          </w:tcPr>
          <w:p w14:paraId="268D8BE5" w14:textId="77777777" w:rsidR="00E93F58" w:rsidRPr="00576D60" w:rsidRDefault="00E93F58" w:rsidP="002F32E3">
            <w:pPr>
              <w:pStyle w:val="ENoteTableText"/>
            </w:pPr>
            <w:r w:rsidRPr="00576D60">
              <w:t>ad. 2012 No. 171</w:t>
            </w:r>
          </w:p>
        </w:tc>
      </w:tr>
      <w:tr w:rsidR="00E93F58" w:rsidRPr="00576D60" w14:paraId="5170DDFA" w14:textId="77777777" w:rsidTr="002F32E3">
        <w:trPr>
          <w:cantSplit/>
        </w:trPr>
        <w:tc>
          <w:tcPr>
            <w:tcW w:w="1500" w:type="pct"/>
            <w:shd w:val="clear" w:color="auto" w:fill="auto"/>
          </w:tcPr>
          <w:p w14:paraId="72AD6519" w14:textId="77777777" w:rsidR="00E93F58" w:rsidRPr="00576D60" w:rsidRDefault="00E93F58" w:rsidP="002F32E3">
            <w:pPr>
              <w:pStyle w:val="ENoteTableText"/>
              <w:tabs>
                <w:tab w:val="left" w:leader="dot" w:pos="2268"/>
              </w:tabs>
              <w:rPr>
                <w:b/>
              </w:rPr>
            </w:pPr>
            <w:r w:rsidRPr="00576D60">
              <w:rPr>
                <w:b/>
              </w:rPr>
              <w:t>Part 2M.6</w:t>
            </w:r>
          </w:p>
        </w:tc>
        <w:tc>
          <w:tcPr>
            <w:tcW w:w="3500" w:type="pct"/>
            <w:shd w:val="clear" w:color="auto" w:fill="auto"/>
          </w:tcPr>
          <w:p w14:paraId="010C56F6" w14:textId="77777777" w:rsidR="00E93F58" w:rsidRPr="00576D60" w:rsidRDefault="00E93F58" w:rsidP="002F32E3">
            <w:pPr>
              <w:pStyle w:val="ENoteTableText"/>
            </w:pPr>
          </w:p>
        </w:tc>
      </w:tr>
      <w:tr w:rsidR="00E93F58" w:rsidRPr="00576D60" w14:paraId="46F11AFE" w14:textId="77777777" w:rsidTr="002F32E3">
        <w:trPr>
          <w:cantSplit/>
        </w:trPr>
        <w:tc>
          <w:tcPr>
            <w:tcW w:w="1500" w:type="pct"/>
            <w:shd w:val="clear" w:color="auto" w:fill="auto"/>
          </w:tcPr>
          <w:p w14:paraId="7200AC04" w14:textId="77777777" w:rsidR="00E93F58" w:rsidRPr="00576D60" w:rsidRDefault="00E93F58" w:rsidP="002F32E3">
            <w:pPr>
              <w:pStyle w:val="ENoteTableText"/>
              <w:tabs>
                <w:tab w:val="left" w:leader="dot" w:pos="2268"/>
              </w:tabs>
            </w:pPr>
            <w:r w:rsidRPr="00576D60">
              <w:t>r. 2M.6.03</w:t>
            </w:r>
            <w:r w:rsidRPr="00576D60">
              <w:tab/>
            </w:r>
          </w:p>
        </w:tc>
        <w:tc>
          <w:tcPr>
            <w:tcW w:w="3500" w:type="pct"/>
            <w:shd w:val="clear" w:color="auto" w:fill="auto"/>
          </w:tcPr>
          <w:p w14:paraId="1ED405D9" w14:textId="77777777" w:rsidR="00E93F58" w:rsidRPr="00576D60" w:rsidRDefault="00E93F58" w:rsidP="002F32E3">
            <w:pPr>
              <w:pStyle w:val="ENoteTableText"/>
            </w:pPr>
            <w:r w:rsidRPr="00576D60">
              <w:t>rep. 2007 No. 194</w:t>
            </w:r>
          </w:p>
        </w:tc>
      </w:tr>
      <w:tr w:rsidR="00E93F58" w:rsidRPr="00576D60" w14:paraId="729F11FE" w14:textId="77777777" w:rsidTr="002F32E3">
        <w:trPr>
          <w:cantSplit/>
        </w:trPr>
        <w:tc>
          <w:tcPr>
            <w:tcW w:w="1500" w:type="pct"/>
            <w:shd w:val="clear" w:color="auto" w:fill="auto"/>
          </w:tcPr>
          <w:p w14:paraId="2AA54EDA" w14:textId="77777777" w:rsidR="00E93F58" w:rsidRPr="00576D60" w:rsidRDefault="00E93F58" w:rsidP="002F32E3">
            <w:pPr>
              <w:pStyle w:val="ENoteTableText"/>
              <w:tabs>
                <w:tab w:val="left" w:leader="dot" w:pos="2268"/>
              </w:tabs>
            </w:pPr>
            <w:r w:rsidRPr="00576D60">
              <w:t>r. 2M.6.04</w:t>
            </w:r>
            <w:r w:rsidRPr="00576D60">
              <w:tab/>
            </w:r>
          </w:p>
        </w:tc>
        <w:tc>
          <w:tcPr>
            <w:tcW w:w="3500" w:type="pct"/>
            <w:shd w:val="clear" w:color="auto" w:fill="auto"/>
          </w:tcPr>
          <w:p w14:paraId="22CECD1A" w14:textId="77777777" w:rsidR="00E93F58" w:rsidRPr="00576D60" w:rsidRDefault="00E93F58" w:rsidP="002F32E3">
            <w:pPr>
              <w:pStyle w:val="ENoteTableText"/>
            </w:pPr>
            <w:r w:rsidRPr="00576D60">
              <w:t>ad. 2005 No. 160</w:t>
            </w:r>
          </w:p>
        </w:tc>
      </w:tr>
      <w:tr w:rsidR="00E93F58" w:rsidRPr="00576D60" w14:paraId="321C2549" w14:textId="77777777" w:rsidTr="002F32E3">
        <w:trPr>
          <w:cantSplit/>
        </w:trPr>
        <w:tc>
          <w:tcPr>
            <w:tcW w:w="1500" w:type="pct"/>
            <w:shd w:val="clear" w:color="auto" w:fill="auto"/>
          </w:tcPr>
          <w:p w14:paraId="5B823C47" w14:textId="77777777" w:rsidR="00E93F58" w:rsidRPr="00576D60" w:rsidRDefault="00E93F58" w:rsidP="002F32E3">
            <w:pPr>
              <w:pStyle w:val="ENoteTableText"/>
            </w:pPr>
          </w:p>
        </w:tc>
        <w:tc>
          <w:tcPr>
            <w:tcW w:w="3500" w:type="pct"/>
            <w:shd w:val="clear" w:color="auto" w:fill="auto"/>
          </w:tcPr>
          <w:p w14:paraId="2E4F4523" w14:textId="77777777" w:rsidR="00E93F58" w:rsidRPr="00576D60" w:rsidRDefault="00E93F58" w:rsidP="002F32E3">
            <w:pPr>
              <w:pStyle w:val="ENoteTableText"/>
            </w:pPr>
            <w:r w:rsidRPr="00576D60">
              <w:t>rep. 2007 No. 193</w:t>
            </w:r>
          </w:p>
        </w:tc>
      </w:tr>
      <w:tr w:rsidR="00E93F58" w:rsidRPr="00576D60" w14:paraId="7D3D1FD0" w14:textId="77777777" w:rsidTr="002F32E3">
        <w:trPr>
          <w:cantSplit/>
        </w:trPr>
        <w:tc>
          <w:tcPr>
            <w:tcW w:w="1500" w:type="pct"/>
            <w:shd w:val="clear" w:color="auto" w:fill="auto"/>
          </w:tcPr>
          <w:p w14:paraId="7CCF25A0" w14:textId="77777777" w:rsidR="00E93F58" w:rsidRPr="00576D60" w:rsidRDefault="00E93F58" w:rsidP="002F32E3">
            <w:pPr>
              <w:pStyle w:val="ENoteTableText"/>
              <w:tabs>
                <w:tab w:val="left" w:leader="dot" w:pos="2268"/>
              </w:tabs>
            </w:pPr>
            <w:r w:rsidRPr="00576D60">
              <w:t>r. 2M.6.05</w:t>
            </w:r>
            <w:r w:rsidRPr="00576D60">
              <w:tab/>
            </w:r>
          </w:p>
        </w:tc>
        <w:tc>
          <w:tcPr>
            <w:tcW w:w="3500" w:type="pct"/>
            <w:shd w:val="clear" w:color="auto" w:fill="auto"/>
          </w:tcPr>
          <w:p w14:paraId="31E36F99" w14:textId="77777777" w:rsidR="00E93F58" w:rsidRPr="00576D60" w:rsidRDefault="00E93F58" w:rsidP="002F32E3">
            <w:pPr>
              <w:pStyle w:val="ENoteTableText"/>
            </w:pPr>
            <w:r w:rsidRPr="00576D60">
              <w:t>ad. 2006 No. 126</w:t>
            </w:r>
          </w:p>
        </w:tc>
      </w:tr>
      <w:tr w:rsidR="00E93F58" w:rsidRPr="00576D60" w14:paraId="49836E0D" w14:textId="77777777" w:rsidTr="002F32E3">
        <w:trPr>
          <w:cantSplit/>
        </w:trPr>
        <w:tc>
          <w:tcPr>
            <w:tcW w:w="1500" w:type="pct"/>
            <w:shd w:val="clear" w:color="auto" w:fill="auto"/>
          </w:tcPr>
          <w:p w14:paraId="2CFA6999" w14:textId="77777777" w:rsidR="00E93F58" w:rsidRPr="00576D60" w:rsidRDefault="00E93F58" w:rsidP="002F32E3">
            <w:pPr>
              <w:pStyle w:val="ENoteTableText"/>
              <w:tabs>
                <w:tab w:val="left" w:leader="dot" w:pos="2268"/>
              </w:tabs>
              <w:rPr>
                <w:b/>
              </w:rPr>
            </w:pPr>
            <w:r w:rsidRPr="00576D60">
              <w:rPr>
                <w:b/>
              </w:rPr>
              <w:t>Chapter 2N</w:t>
            </w:r>
          </w:p>
        </w:tc>
        <w:tc>
          <w:tcPr>
            <w:tcW w:w="3500" w:type="pct"/>
            <w:shd w:val="clear" w:color="auto" w:fill="auto"/>
          </w:tcPr>
          <w:p w14:paraId="1DB1CFF3" w14:textId="77777777" w:rsidR="00E93F58" w:rsidRPr="00576D60" w:rsidRDefault="00E93F58" w:rsidP="002F32E3">
            <w:pPr>
              <w:pStyle w:val="ENoteTableText"/>
            </w:pPr>
          </w:p>
        </w:tc>
      </w:tr>
      <w:tr w:rsidR="00E93F58" w:rsidRPr="00576D60" w14:paraId="017616A8" w14:textId="77777777" w:rsidTr="002F32E3">
        <w:trPr>
          <w:cantSplit/>
        </w:trPr>
        <w:tc>
          <w:tcPr>
            <w:tcW w:w="1500" w:type="pct"/>
            <w:shd w:val="clear" w:color="auto" w:fill="auto"/>
          </w:tcPr>
          <w:p w14:paraId="5221BB38" w14:textId="77777777" w:rsidR="00E93F58" w:rsidRPr="00576D60" w:rsidRDefault="00E93F58" w:rsidP="002F32E3">
            <w:pPr>
              <w:pStyle w:val="ENoteTableText"/>
              <w:tabs>
                <w:tab w:val="left" w:leader="dot" w:pos="2268"/>
              </w:tabs>
            </w:pPr>
            <w:r w:rsidRPr="00576D60">
              <w:t>Chapter 2N</w:t>
            </w:r>
            <w:r w:rsidRPr="00576D60">
              <w:tab/>
            </w:r>
          </w:p>
        </w:tc>
        <w:tc>
          <w:tcPr>
            <w:tcW w:w="3500" w:type="pct"/>
            <w:shd w:val="clear" w:color="auto" w:fill="auto"/>
          </w:tcPr>
          <w:p w14:paraId="73182CA8" w14:textId="77777777" w:rsidR="00E93F58" w:rsidRPr="00576D60" w:rsidRDefault="00E93F58" w:rsidP="002F32E3">
            <w:pPr>
              <w:pStyle w:val="ENoteTableText"/>
            </w:pPr>
            <w:r w:rsidRPr="00576D60">
              <w:t>ad. 2003 No. 194</w:t>
            </w:r>
          </w:p>
        </w:tc>
      </w:tr>
      <w:tr w:rsidR="00E93F58" w:rsidRPr="00576D60" w14:paraId="367FACE1" w14:textId="77777777" w:rsidTr="002F32E3">
        <w:trPr>
          <w:cantSplit/>
        </w:trPr>
        <w:tc>
          <w:tcPr>
            <w:tcW w:w="1500" w:type="pct"/>
            <w:shd w:val="clear" w:color="auto" w:fill="auto"/>
          </w:tcPr>
          <w:p w14:paraId="2A4FD49E" w14:textId="77777777" w:rsidR="00E93F58" w:rsidRPr="00576D60" w:rsidRDefault="00E93F58" w:rsidP="002F32E3">
            <w:pPr>
              <w:pStyle w:val="ENoteTableText"/>
              <w:tabs>
                <w:tab w:val="left" w:leader="dot" w:pos="2268"/>
              </w:tabs>
              <w:rPr>
                <w:b/>
              </w:rPr>
            </w:pPr>
            <w:r w:rsidRPr="00576D60">
              <w:rPr>
                <w:b/>
              </w:rPr>
              <w:t>Part 2N.2</w:t>
            </w:r>
          </w:p>
        </w:tc>
        <w:tc>
          <w:tcPr>
            <w:tcW w:w="3500" w:type="pct"/>
            <w:shd w:val="clear" w:color="auto" w:fill="auto"/>
          </w:tcPr>
          <w:p w14:paraId="539C83F8" w14:textId="77777777" w:rsidR="00E93F58" w:rsidRPr="00576D60" w:rsidRDefault="00E93F58" w:rsidP="002F32E3">
            <w:pPr>
              <w:pStyle w:val="ENoteTableText"/>
            </w:pPr>
          </w:p>
        </w:tc>
      </w:tr>
      <w:tr w:rsidR="00E93F58" w:rsidRPr="00576D60" w14:paraId="0BBB37C8" w14:textId="77777777" w:rsidTr="002F32E3">
        <w:trPr>
          <w:cantSplit/>
        </w:trPr>
        <w:tc>
          <w:tcPr>
            <w:tcW w:w="1500" w:type="pct"/>
            <w:shd w:val="clear" w:color="auto" w:fill="auto"/>
          </w:tcPr>
          <w:p w14:paraId="5B18058F" w14:textId="77777777" w:rsidR="00E93F58" w:rsidRPr="00576D60" w:rsidRDefault="00E93F58" w:rsidP="002F32E3">
            <w:pPr>
              <w:pStyle w:val="ENoteTableText"/>
              <w:tabs>
                <w:tab w:val="left" w:leader="dot" w:pos="2268"/>
              </w:tabs>
            </w:pPr>
            <w:r w:rsidRPr="00576D60">
              <w:t>r 2N.2.01</w:t>
            </w:r>
            <w:r w:rsidRPr="00576D60">
              <w:tab/>
            </w:r>
          </w:p>
        </w:tc>
        <w:tc>
          <w:tcPr>
            <w:tcW w:w="3500" w:type="pct"/>
            <w:shd w:val="clear" w:color="auto" w:fill="auto"/>
          </w:tcPr>
          <w:p w14:paraId="439A2647" w14:textId="77777777" w:rsidR="00E93F58" w:rsidRPr="00576D60" w:rsidRDefault="00E93F58" w:rsidP="002F32E3">
            <w:pPr>
              <w:pStyle w:val="ENoteTableText"/>
            </w:pPr>
            <w:r w:rsidRPr="00576D60">
              <w:t>ad No 194, 2003</w:t>
            </w:r>
          </w:p>
        </w:tc>
      </w:tr>
      <w:tr w:rsidR="00E93F58" w:rsidRPr="00576D60" w14:paraId="68734007" w14:textId="77777777" w:rsidTr="002F32E3">
        <w:trPr>
          <w:cantSplit/>
        </w:trPr>
        <w:tc>
          <w:tcPr>
            <w:tcW w:w="1500" w:type="pct"/>
            <w:shd w:val="clear" w:color="auto" w:fill="auto"/>
          </w:tcPr>
          <w:p w14:paraId="285799CC" w14:textId="77777777" w:rsidR="00E93F58" w:rsidRPr="00576D60" w:rsidRDefault="00E93F58" w:rsidP="002F32E3">
            <w:pPr>
              <w:pStyle w:val="ENoteTableText"/>
            </w:pPr>
          </w:p>
        </w:tc>
        <w:tc>
          <w:tcPr>
            <w:tcW w:w="3500" w:type="pct"/>
            <w:shd w:val="clear" w:color="auto" w:fill="auto"/>
          </w:tcPr>
          <w:p w14:paraId="43B3EC0B" w14:textId="77777777" w:rsidR="00E93F58" w:rsidRPr="00576D60" w:rsidRDefault="00E93F58" w:rsidP="002F32E3">
            <w:pPr>
              <w:pStyle w:val="ENoteTableText"/>
            </w:pPr>
            <w:r w:rsidRPr="00576D60">
              <w:t>am No 196, 2007; No 93, 2008</w:t>
            </w:r>
          </w:p>
        </w:tc>
      </w:tr>
      <w:tr w:rsidR="00E93F58" w:rsidRPr="00576D60" w14:paraId="79402222" w14:textId="77777777" w:rsidTr="002F32E3">
        <w:trPr>
          <w:cantSplit/>
        </w:trPr>
        <w:tc>
          <w:tcPr>
            <w:tcW w:w="1500" w:type="pct"/>
            <w:shd w:val="clear" w:color="auto" w:fill="auto"/>
          </w:tcPr>
          <w:p w14:paraId="286C4B2C" w14:textId="77777777" w:rsidR="00E93F58" w:rsidRPr="00576D60" w:rsidRDefault="00E93F58" w:rsidP="002F32E3">
            <w:pPr>
              <w:pStyle w:val="ENoteTableText"/>
            </w:pPr>
          </w:p>
        </w:tc>
        <w:tc>
          <w:tcPr>
            <w:tcW w:w="3500" w:type="pct"/>
            <w:shd w:val="clear" w:color="auto" w:fill="auto"/>
          </w:tcPr>
          <w:p w14:paraId="5D8CAFC6" w14:textId="77777777" w:rsidR="00E93F58" w:rsidRPr="00576D60" w:rsidRDefault="00E93F58" w:rsidP="002F32E3">
            <w:pPr>
              <w:pStyle w:val="ENoteTableText"/>
            </w:pPr>
            <w:r w:rsidRPr="00576D60">
              <w:t>rs F2018L01144</w:t>
            </w:r>
          </w:p>
        </w:tc>
      </w:tr>
      <w:tr w:rsidR="00E93F58" w:rsidRPr="00576D60" w14:paraId="0A6CA8AB" w14:textId="77777777" w:rsidTr="002F32E3">
        <w:trPr>
          <w:cantSplit/>
        </w:trPr>
        <w:tc>
          <w:tcPr>
            <w:tcW w:w="1500" w:type="pct"/>
            <w:shd w:val="clear" w:color="auto" w:fill="auto"/>
          </w:tcPr>
          <w:p w14:paraId="2C6A5F13" w14:textId="77777777" w:rsidR="00E93F58" w:rsidRPr="00576D60" w:rsidRDefault="00E93F58" w:rsidP="002F32E3">
            <w:pPr>
              <w:pStyle w:val="ENoteTableText"/>
            </w:pPr>
          </w:p>
        </w:tc>
        <w:tc>
          <w:tcPr>
            <w:tcW w:w="3500" w:type="pct"/>
            <w:shd w:val="clear" w:color="auto" w:fill="auto"/>
          </w:tcPr>
          <w:p w14:paraId="07CE24F6" w14:textId="77777777" w:rsidR="00E93F58" w:rsidRPr="00576D60" w:rsidRDefault="00E93F58" w:rsidP="002F32E3">
            <w:pPr>
              <w:pStyle w:val="ENoteTableText"/>
            </w:pPr>
            <w:r w:rsidRPr="00576D60">
              <w:t>am F2022L00469</w:t>
            </w:r>
            <w:r>
              <w:t>; F2023L01458</w:t>
            </w:r>
          </w:p>
        </w:tc>
      </w:tr>
      <w:tr w:rsidR="00E93F58" w:rsidRPr="00576D60" w14:paraId="11512E2A" w14:textId="77777777" w:rsidTr="002F32E3">
        <w:trPr>
          <w:cantSplit/>
        </w:trPr>
        <w:tc>
          <w:tcPr>
            <w:tcW w:w="1500" w:type="pct"/>
            <w:shd w:val="clear" w:color="auto" w:fill="auto"/>
          </w:tcPr>
          <w:p w14:paraId="058F5D8D" w14:textId="77777777" w:rsidR="00E93F58" w:rsidRPr="00576D60" w:rsidRDefault="00E93F58" w:rsidP="002F32E3">
            <w:pPr>
              <w:pStyle w:val="ENoteTableText"/>
              <w:tabs>
                <w:tab w:val="left" w:leader="dot" w:pos="2268"/>
              </w:tabs>
              <w:rPr>
                <w:b/>
              </w:rPr>
            </w:pPr>
            <w:r w:rsidRPr="00576D60">
              <w:rPr>
                <w:b/>
              </w:rPr>
              <w:t>Part 2N.4</w:t>
            </w:r>
          </w:p>
        </w:tc>
        <w:tc>
          <w:tcPr>
            <w:tcW w:w="3500" w:type="pct"/>
            <w:shd w:val="clear" w:color="auto" w:fill="auto"/>
          </w:tcPr>
          <w:p w14:paraId="68048AE4" w14:textId="77777777" w:rsidR="00E93F58" w:rsidRPr="00576D60" w:rsidRDefault="00E93F58" w:rsidP="002F32E3">
            <w:pPr>
              <w:pStyle w:val="ENoteTableText"/>
              <w:keepNext/>
              <w:keepLines/>
            </w:pPr>
          </w:p>
        </w:tc>
      </w:tr>
      <w:tr w:rsidR="00E93F58" w:rsidRPr="00576D60" w14:paraId="3FB8E94B" w14:textId="77777777" w:rsidTr="002F32E3">
        <w:trPr>
          <w:cantSplit/>
        </w:trPr>
        <w:tc>
          <w:tcPr>
            <w:tcW w:w="1500" w:type="pct"/>
            <w:shd w:val="clear" w:color="auto" w:fill="auto"/>
          </w:tcPr>
          <w:p w14:paraId="7264B2DC" w14:textId="77777777" w:rsidR="00E93F58" w:rsidRPr="00576D60" w:rsidRDefault="00E93F58" w:rsidP="002F32E3">
            <w:pPr>
              <w:pStyle w:val="ENoteTableText"/>
              <w:tabs>
                <w:tab w:val="left" w:leader="dot" w:pos="2268"/>
              </w:tabs>
            </w:pPr>
            <w:r w:rsidRPr="00576D60">
              <w:t>r 2N.4.01</w:t>
            </w:r>
            <w:r w:rsidRPr="00576D60">
              <w:tab/>
            </w:r>
          </w:p>
        </w:tc>
        <w:tc>
          <w:tcPr>
            <w:tcW w:w="3500" w:type="pct"/>
            <w:shd w:val="clear" w:color="auto" w:fill="auto"/>
          </w:tcPr>
          <w:p w14:paraId="1C2E8534" w14:textId="77777777" w:rsidR="00E93F58" w:rsidRPr="00576D60" w:rsidRDefault="00E93F58" w:rsidP="002F32E3">
            <w:pPr>
              <w:pStyle w:val="ENoteTableText"/>
            </w:pPr>
            <w:r w:rsidRPr="00576D60">
              <w:t>ad No 194, 2003</w:t>
            </w:r>
          </w:p>
        </w:tc>
      </w:tr>
      <w:tr w:rsidR="00E93F58" w:rsidRPr="00576D60" w14:paraId="3E691E98" w14:textId="77777777" w:rsidTr="002F32E3">
        <w:trPr>
          <w:cantSplit/>
        </w:trPr>
        <w:tc>
          <w:tcPr>
            <w:tcW w:w="1500" w:type="pct"/>
            <w:shd w:val="clear" w:color="auto" w:fill="auto"/>
          </w:tcPr>
          <w:p w14:paraId="33DAAE13" w14:textId="77777777" w:rsidR="00E93F58" w:rsidRPr="00576D60" w:rsidRDefault="00E93F58" w:rsidP="002F32E3">
            <w:pPr>
              <w:pStyle w:val="ENoteTableText"/>
              <w:tabs>
                <w:tab w:val="left" w:leader="dot" w:pos="2268"/>
              </w:tabs>
            </w:pPr>
          </w:p>
        </w:tc>
        <w:tc>
          <w:tcPr>
            <w:tcW w:w="3500" w:type="pct"/>
            <w:shd w:val="clear" w:color="auto" w:fill="auto"/>
          </w:tcPr>
          <w:p w14:paraId="6754E1D9" w14:textId="77777777" w:rsidR="00E93F58" w:rsidRPr="00576D60" w:rsidRDefault="00E93F58" w:rsidP="002F32E3">
            <w:pPr>
              <w:pStyle w:val="ENoteTableText"/>
            </w:pPr>
            <w:r w:rsidRPr="00576D60">
              <w:t>rs F2018L01144</w:t>
            </w:r>
          </w:p>
        </w:tc>
      </w:tr>
      <w:tr w:rsidR="00E93F58" w:rsidRPr="00576D60" w14:paraId="0B3D5DDF" w14:textId="77777777" w:rsidTr="002F32E3">
        <w:trPr>
          <w:cantSplit/>
        </w:trPr>
        <w:tc>
          <w:tcPr>
            <w:tcW w:w="1500" w:type="pct"/>
            <w:shd w:val="clear" w:color="auto" w:fill="auto"/>
          </w:tcPr>
          <w:p w14:paraId="61C7821C" w14:textId="77777777" w:rsidR="00E93F58" w:rsidRPr="00576D60" w:rsidRDefault="00E93F58" w:rsidP="002F32E3">
            <w:pPr>
              <w:pStyle w:val="ENoteTableText"/>
              <w:tabs>
                <w:tab w:val="left" w:leader="dot" w:pos="2268"/>
              </w:tabs>
            </w:pPr>
          </w:p>
        </w:tc>
        <w:tc>
          <w:tcPr>
            <w:tcW w:w="3500" w:type="pct"/>
            <w:shd w:val="clear" w:color="auto" w:fill="auto"/>
          </w:tcPr>
          <w:p w14:paraId="3DD764A8" w14:textId="77777777" w:rsidR="00E93F58" w:rsidRPr="00576D60" w:rsidRDefault="00E93F58" w:rsidP="002F32E3">
            <w:pPr>
              <w:pStyle w:val="ENoteTableText"/>
            </w:pPr>
            <w:r w:rsidRPr="00576D60">
              <w:t>am F2022L00469</w:t>
            </w:r>
          </w:p>
        </w:tc>
      </w:tr>
      <w:tr w:rsidR="00E93F58" w:rsidRPr="00576D60" w14:paraId="5B17C211" w14:textId="77777777" w:rsidTr="002F32E3">
        <w:trPr>
          <w:cantSplit/>
        </w:trPr>
        <w:tc>
          <w:tcPr>
            <w:tcW w:w="1500" w:type="pct"/>
            <w:shd w:val="clear" w:color="auto" w:fill="auto"/>
          </w:tcPr>
          <w:p w14:paraId="4C46E983" w14:textId="77777777" w:rsidR="00E93F58" w:rsidRPr="00576D60" w:rsidRDefault="00E93F58" w:rsidP="002F32E3">
            <w:pPr>
              <w:pStyle w:val="ENoteTableText"/>
              <w:tabs>
                <w:tab w:val="left" w:leader="dot" w:pos="2268"/>
              </w:tabs>
              <w:rPr>
                <w:b/>
              </w:rPr>
            </w:pPr>
            <w:r w:rsidRPr="00576D60">
              <w:rPr>
                <w:b/>
              </w:rPr>
              <w:t>Chapter 5</w:t>
            </w:r>
          </w:p>
        </w:tc>
        <w:tc>
          <w:tcPr>
            <w:tcW w:w="3500" w:type="pct"/>
            <w:shd w:val="clear" w:color="auto" w:fill="auto"/>
          </w:tcPr>
          <w:p w14:paraId="57791497" w14:textId="77777777" w:rsidR="00E93F58" w:rsidRPr="00576D60" w:rsidRDefault="00E93F58" w:rsidP="002F32E3">
            <w:pPr>
              <w:pStyle w:val="ENoteTableText"/>
            </w:pPr>
          </w:p>
        </w:tc>
      </w:tr>
      <w:tr w:rsidR="00E93F58" w:rsidRPr="00576D60" w14:paraId="43BF1E34" w14:textId="77777777" w:rsidTr="002F32E3">
        <w:trPr>
          <w:cantSplit/>
        </w:trPr>
        <w:tc>
          <w:tcPr>
            <w:tcW w:w="1500" w:type="pct"/>
            <w:shd w:val="clear" w:color="auto" w:fill="auto"/>
          </w:tcPr>
          <w:p w14:paraId="397CDE84" w14:textId="77777777" w:rsidR="00E93F58" w:rsidRPr="00576D60" w:rsidRDefault="00E93F58" w:rsidP="002F32E3">
            <w:pPr>
              <w:pStyle w:val="ENoteTableText"/>
              <w:tabs>
                <w:tab w:val="left" w:leader="dot" w:pos="2268"/>
              </w:tabs>
              <w:rPr>
                <w:b/>
              </w:rPr>
            </w:pPr>
            <w:r>
              <w:rPr>
                <w:b/>
              </w:rPr>
              <w:t>Part 5</w:t>
            </w:r>
            <w:r w:rsidRPr="00576D60">
              <w:rPr>
                <w:b/>
              </w:rPr>
              <w:t>.1</w:t>
            </w:r>
          </w:p>
        </w:tc>
        <w:tc>
          <w:tcPr>
            <w:tcW w:w="3500" w:type="pct"/>
            <w:shd w:val="clear" w:color="auto" w:fill="auto"/>
          </w:tcPr>
          <w:p w14:paraId="06714DB7" w14:textId="77777777" w:rsidR="00E93F58" w:rsidRPr="00576D60" w:rsidRDefault="00E93F58" w:rsidP="002F32E3">
            <w:pPr>
              <w:pStyle w:val="ENoteTableText"/>
            </w:pPr>
          </w:p>
        </w:tc>
      </w:tr>
      <w:tr w:rsidR="00E93F58" w:rsidRPr="00576D60" w14:paraId="69350E94" w14:textId="77777777" w:rsidTr="002F32E3">
        <w:trPr>
          <w:cantSplit/>
        </w:trPr>
        <w:tc>
          <w:tcPr>
            <w:tcW w:w="1500" w:type="pct"/>
            <w:shd w:val="clear" w:color="auto" w:fill="auto"/>
          </w:tcPr>
          <w:p w14:paraId="15F677A0" w14:textId="77777777" w:rsidR="00E93F58" w:rsidRPr="00576D60" w:rsidRDefault="00E93F58" w:rsidP="002F32E3">
            <w:pPr>
              <w:pStyle w:val="ENoteTableText"/>
              <w:tabs>
                <w:tab w:val="center" w:leader="dot" w:pos="2268"/>
              </w:tabs>
            </w:pPr>
            <w:r>
              <w:t>r 5.1.02</w:t>
            </w:r>
            <w:r>
              <w:tab/>
            </w:r>
          </w:p>
        </w:tc>
        <w:tc>
          <w:tcPr>
            <w:tcW w:w="3500" w:type="pct"/>
            <w:shd w:val="clear" w:color="auto" w:fill="auto"/>
          </w:tcPr>
          <w:p w14:paraId="2B57FA96" w14:textId="77777777" w:rsidR="00E93F58" w:rsidRPr="00576D60" w:rsidRDefault="00E93F58" w:rsidP="002F32E3">
            <w:pPr>
              <w:pStyle w:val="ENoteTableText"/>
            </w:pPr>
            <w:r>
              <w:t xml:space="preserve">rep </w:t>
            </w:r>
            <w:r w:rsidRPr="00B833DC">
              <w:rPr>
                <w:u w:val="single"/>
              </w:rPr>
              <w:t>F2023L01423</w:t>
            </w:r>
          </w:p>
        </w:tc>
      </w:tr>
      <w:tr w:rsidR="00E93F58" w:rsidRPr="00576D60" w14:paraId="68B912FB" w14:textId="77777777" w:rsidTr="002F32E3">
        <w:trPr>
          <w:cantSplit/>
        </w:trPr>
        <w:tc>
          <w:tcPr>
            <w:tcW w:w="1500" w:type="pct"/>
            <w:shd w:val="clear" w:color="auto" w:fill="auto"/>
          </w:tcPr>
          <w:p w14:paraId="337D258C" w14:textId="77777777" w:rsidR="00E93F58" w:rsidRPr="00576D60" w:rsidRDefault="00E93F58" w:rsidP="002F32E3">
            <w:pPr>
              <w:pStyle w:val="ENoteTableText"/>
              <w:tabs>
                <w:tab w:val="center" w:leader="dot" w:pos="2268"/>
              </w:tabs>
            </w:pPr>
            <w:r w:rsidRPr="00576D60">
              <w:lastRenderedPageBreak/>
              <w:t>r 5.1.50</w:t>
            </w:r>
            <w:r w:rsidRPr="00576D60">
              <w:tab/>
            </w:r>
          </w:p>
        </w:tc>
        <w:tc>
          <w:tcPr>
            <w:tcW w:w="3500" w:type="pct"/>
            <w:shd w:val="clear" w:color="auto" w:fill="auto"/>
          </w:tcPr>
          <w:p w14:paraId="63164745" w14:textId="77777777" w:rsidR="00E93F58" w:rsidRPr="00576D60" w:rsidRDefault="00E93F58" w:rsidP="002F32E3">
            <w:pPr>
              <w:pStyle w:val="ENoteTableText"/>
            </w:pPr>
            <w:r w:rsidRPr="00576D60">
              <w:t>ad F2018L00835</w:t>
            </w:r>
          </w:p>
        </w:tc>
      </w:tr>
      <w:tr w:rsidR="00E93F58" w:rsidRPr="00576D60" w14:paraId="5E9FE595" w14:textId="77777777" w:rsidTr="002F32E3">
        <w:trPr>
          <w:cantSplit/>
        </w:trPr>
        <w:tc>
          <w:tcPr>
            <w:tcW w:w="1500" w:type="pct"/>
            <w:shd w:val="clear" w:color="auto" w:fill="auto"/>
          </w:tcPr>
          <w:p w14:paraId="1F1A1D20" w14:textId="77777777" w:rsidR="00E93F58" w:rsidRPr="00576D60" w:rsidRDefault="00E93F58" w:rsidP="002F32E3">
            <w:pPr>
              <w:pStyle w:val="ENoteTableText"/>
              <w:tabs>
                <w:tab w:val="left" w:leader="dot" w:pos="2268"/>
              </w:tabs>
              <w:rPr>
                <w:b/>
              </w:rPr>
            </w:pPr>
            <w:r>
              <w:rPr>
                <w:b/>
              </w:rPr>
              <w:t>Part 5</w:t>
            </w:r>
            <w:r w:rsidRPr="00576D60">
              <w:rPr>
                <w:b/>
              </w:rPr>
              <w:t>.2</w:t>
            </w:r>
          </w:p>
        </w:tc>
        <w:tc>
          <w:tcPr>
            <w:tcW w:w="3500" w:type="pct"/>
            <w:shd w:val="clear" w:color="auto" w:fill="auto"/>
          </w:tcPr>
          <w:p w14:paraId="47DC045B" w14:textId="77777777" w:rsidR="00E93F58" w:rsidRPr="00576D60" w:rsidRDefault="00E93F58" w:rsidP="002F32E3">
            <w:pPr>
              <w:pStyle w:val="ENoteTableText"/>
            </w:pPr>
          </w:p>
        </w:tc>
      </w:tr>
      <w:tr w:rsidR="00E93F58" w:rsidRPr="00576D60" w14:paraId="070F517A" w14:textId="77777777" w:rsidTr="002F32E3">
        <w:trPr>
          <w:cantSplit/>
        </w:trPr>
        <w:tc>
          <w:tcPr>
            <w:tcW w:w="1500" w:type="pct"/>
            <w:shd w:val="clear" w:color="auto" w:fill="auto"/>
          </w:tcPr>
          <w:p w14:paraId="37376CC1" w14:textId="77777777" w:rsidR="00E93F58" w:rsidRPr="00576D60" w:rsidRDefault="00E93F58" w:rsidP="002F32E3">
            <w:pPr>
              <w:pStyle w:val="ENoteTableText"/>
              <w:tabs>
                <w:tab w:val="left" w:leader="dot" w:pos="2268"/>
              </w:tabs>
            </w:pPr>
            <w:r w:rsidRPr="00576D60">
              <w:t>r 5.2.01 (second occurring)</w:t>
            </w:r>
            <w:r w:rsidRPr="00576D60">
              <w:tab/>
            </w:r>
          </w:p>
        </w:tc>
        <w:tc>
          <w:tcPr>
            <w:tcW w:w="3500" w:type="pct"/>
            <w:shd w:val="clear" w:color="auto" w:fill="auto"/>
          </w:tcPr>
          <w:p w14:paraId="645409F8" w14:textId="77777777" w:rsidR="00E93F58" w:rsidRPr="00576D60" w:rsidRDefault="00E93F58" w:rsidP="002F32E3">
            <w:pPr>
              <w:pStyle w:val="ENoteTableText"/>
            </w:pPr>
            <w:r w:rsidRPr="00576D60">
              <w:t>renum F2016L01926</w:t>
            </w:r>
          </w:p>
        </w:tc>
      </w:tr>
      <w:tr w:rsidR="00E93F58" w:rsidRPr="00576D60" w14:paraId="336D1776" w14:textId="77777777" w:rsidTr="002F32E3">
        <w:trPr>
          <w:cantSplit/>
        </w:trPr>
        <w:tc>
          <w:tcPr>
            <w:tcW w:w="1500" w:type="pct"/>
            <w:shd w:val="clear" w:color="auto" w:fill="auto"/>
          </w:tcPr>
          <w:p w14:paraId="71B57BC0" w14:textId="77777777" w:rsidR="00E93F58" w:rsidRPr="00576D60" w:rsidRDefault="00E93F58" w:rsidP="002F32E3">
            <w:pPr>
              <w:pStyle w:val="ENoteTableText"/>
              <w:tabs>
                <w:tab w:val="left" w:leader="dot" w:pos="2268"/>
              </w:tabs>
            </w:pPr>
            <w:r w:rsidRPr="00576D60">
              <w:t>r 5.2.02 (prev r 5.2.01 second</w:t>
            </w:r>
            <w:r w:rsidRPr="00576D60">
              <w:br/>
              <w:t>occurring)</w:t>
            </w:r>
          </w:p>
        </w:tc>
        <w:tc>
          <w:tcPr>
            <w:tcW w:w="3500" w:type="pct"/>
            <w:shd w:val="clear" w:color="auto" w:fill="auto"/>
          </w:tcPr>
          <w:p w14:paraId="5A596B0F" w14:textId="77777777" w:rsidR="00E93F58" w:rsidRPr="00576D60" w:rsidRDefault="00E93F58" w:rsidP="002F32E3">
            <w:pPr>
              <w:pStyle w:val="ENoteTableText"/>
            </w:pPr>
          </w:p>
        </w:tc>
      </w:tr>
      <w:tr w:rsidR="00E93F58" w:rsidRPr="00576D60" w14:paraId="72483978" w14:textId="77777777" w:rsidTr="002F32E3">
        <w:trPr>
          <w:cantSplit/>
        </w:trPr>
        <w:tc>
          <w:tcPr>
            <w:tcW w:w="1500" w:type="pct"/>
            <w:shd w:val="clear" w:color="auto" w:fill="auto"/>
          </w:tcPr>
          <w:p w14:paraId="7B29CAC0" w14:textId="77777777" w:rsidR="00E93F58" w:rsidRPr="00576D60" w:rsidRDefault="00E93F58" w:rsidP="002F32E3">
            <w:pPr>
              <w:pStyle w:val="ENoteTableText"/>
              <w:tabs>
                <w:tab w:val="left" w:leader="dot" w:pos="2268"/>
              </w:tabs>
            </w:pPr>
            <w:r w:rsidRPr="00576D60">
              <w:t>r 5.2.50</w:t>
            </w:r>
            <w:r w:rsidRPr="00576D60">
              <w:tab/>
            </w:r>
          </w:p>
        </w:tc>
        <w:tc>
          <w:tcPr>
            <w:tcW w:w="3500" w:type="pct"/>
            <w:shd w:val="clear" w:color="auto" w:fill="auto"/>
          </w:tcPr>
          <w:p w14:paraId="0D54337F" w14:textId="77777777" w:rsidR="00E93F58" w:rsidRPr="00576D60" w:rsidRDefault="00E93F58" w:rsidP="002F32E3">
            <w:pPr>
              <w:pStyle w:val="ENoteTableText"/>
            </w:pPr>
            <w:r w:rsidRPr="00576D60">
              <w:t>ad F2018L00835</w:t>
            </w:r>
          </w:p>
        </w:tc>
      </w:tr>
      <w:tr w:rsidR="00E93F58" w:rsidRPr="00576D60" w14:paraId="36A9F7EE" w14:textId="77777777" w:rsidTr="002F32E3">
        <w:trPr>
          <w:cantSplit/>
        </w:trPr>
        <w:tc>
          <w:tcPr>
            <w:tcW w:w="1500" w:type="pct"/>
            <w:shd w:val="clear" w:color="auto" w:fill="auto"/>
          </w:tcPr>
          <w:p w14:paraId="57D1A27C" w14:textId="77777777" w:rsidR="00E93F58" w:rsidRPr="00576D60" w:rsidRDefault="00E93F58" w:rsidP="002F32E3">
            <w:pPr>
              <w:pStyle w:val="ENoteTableText"/>
              <w:tabs>
                <w:tab w:val="left" w:leader="dot" w:pos="2268"/>
              </w:tabs>
            </w:pPr>
            <w:r>
              <w:rPr>
                <w:b/>
              </w:rPr>
              <w:t>Part 5</w:t>
            </w:r>
            <w:r w:rsidRPr="00576D60">
              <w:rPr>
                <w:b/>
              </w:rPr>
              <w:t>.3A</w:t>
            </w:r>
          </w:p>
        </w:tc>
        <w:tc>
          <w:tcPr>
            <w:tcW w:w="3500" w:type="pct"/>
            <w:shd w:val="clear" w:color="auto" w:fill="auto"/>
          </w:tcPr>
          <w:p w14:paraId="20534C7C" w14:textId="77777777" w:rsidR="00E93F58" w:rsidRPr="00576D60" w:rsidRDefault="00E93F58" w:rsidP="002F32E3">
            <w:pPr>
              <w:pStyle w:val="ENoteTableText"/>
            </w:pPr>
          </w:p>
        </w:tc>
      </w:tr>
      <w:tr w:rsidR="00E93F58" w:rsidRPr="00576D60" w14:paraId="1AAE86BD" w14:textId="77777777" w:rsidTr="002F32E3">
        <w:trPr>
          <w:cantSplit/>
        </w:trPr>
        <w:tc>
          <w:tcPr>
            <w:tcW w:w="1500" w:type="pct"/>
            <w:shd w:val="clear" w:color="auto" w:fill="auto"/>
          </w:tcPr>
          <w:p w14:paraId="319938DB" w14:textId="77777777" w:rsidR="00E93F58" w:rsidRPr="00576D60" w:rsidRDefault="00E93F58" w:rsidP="002F32E3">
            <w:pPr>
              <w:pStyle w:val="ENoteTableText"/>
              <w:tabs>
                <w:tab w:val="left" w:leader="dot" w:pos="2268"/>
              </w:tabs>
            </w:pPr>
            <w:r w:rsidRPr="00576D60">
              <w:t>r 5.3A.01</w:t>
            </w:r>
            <w:r w:rsidRPr="00576D60">
              <w:tab/>
            </w:r>
          </w:p>
        </w:tc>
        <w:tc>
          <w:tcPr>
            <w:tcW w:w="3500" w:type="pct"/>
            <w:shd w:val="clear" w:color="auto" w:fill="auto"/>
          </w:tcPr>
          <w:p w14:paraId="5E2709C4" w14:textId="77777777" w:rsidR="00E93F58" w:rsidRPr="00576D60" w:rsidRDefault="00E93F58" w:rsidP="002F32E3">
            <w:pPr>
              <w:pStyle w:val="ENoteTableText"/>
            </w:pPr>
            <w:r w:rsidRPr="00576D60">
              <w:t>rep F2016L01926</w:t>
            </w:r>
          </w:p>
        </w:tc>
      </w:tr>
      <w:tr w:rsidR="00E93F58" w:rsidRPr="00576D60" w14:paraId="13B3A157" w14:textId="77777777" w:rsidTr="002F32E3">
        <w:trPr>
          <w:cantSplit/>
        </w:trPr>
        <w:tc>
          <w:tcPr>
            <w:tcW w:w="1500" w:type="pct"/>
            <w:shd w:val="clear" w:color="auto" w:fill="auto"/>
          </w:tcPr>
          <w:p w14:paraId="3473AEAB" w14:textId="77777777" w:rsidR="00E93F58" w:rsidRPr="00576D60" w:rsidRDefault="00E93F58" w:rsidP="002F32E3">
            <w:pPr>
              <w:pStyle w:val="ENoteTableText"/>
              <w:tabs>
                <w:tab w:val="left" w:leader="dot" w:pos="2268"/>
              </w:tabs>
            </w:pPr>
            <w:r w:rsidRPr="00576D60">
              <w:t>r 5.3A.02</w:t>
            </w:r>
            <w:r w:rsidRPr="00576D60">
              <w:tab/>
            </w:r>
          </w:p>
        </w:tc>
        <w:tc>
          <w:tcPr>
            <w:tcW w:w="3500" w:type="pct"/>
            <w:shd w:val="clear" w:color="auto" w:fill="auto"/>
          </w:tcPr>
          <w:p w14:paraId="55009DD4" w14:textId="77777777" w:rsidR="00E93F58" w:rsidRPr="00576D60" w:rsidRDefault="00E93F58" w:rsidP="002F32E3">
            <w:pPr>
              <w:pStyle w:val="ENoteTableText"/>
            </w:pPr>
            <w:r w:rsidRPr="00576D60">
              <w:t>rep F2016L01926</w:t>
            </w:r>
          </w:p>
        </w:tc>
      </w:tr>
      <w:tr w:rsidR="00E93F58" w:rsidRPr="00576D60" w14:paraId="12645964" w14:textId="77777777" w:rsidTr="002F32E3">
        <w:trPr>
          <w:cantSplit/>
        </w:trPr>
        <w:tc>
          <w:tcPr>
            <w:tcW w:w="1500" w:type="pct"/>
            <w:shd w:val="clear" w:color="auto" w:fill="auto"/>
          </w:tcPr>
          <w:p w14:paraId="6D41397B" w14:textId="77777777" w:rsidR="00E93F58" w:rsidRPr="00576D60" w:rsidRDefault="00E93F58" w:rsidP="002F32E3">
            <w:pPr>
              <w:pStyle w:val="ENoteTableText"/>
              <w:tabs>
                <w:tab w:val="left" w:leader="dot" w:pos="2268"/>
              </w:tabs>
            </w:pPr>
            <w:r w:rsidRPr="00576D60">
              <w:t>r 5.3A.03</w:t>
            </w:r>
            <w:r w:rsidRPr="00576D60">
              <w:tab/>
            </w:r>
          </w:p>
        </w:tc>
        <w:tc>
          <w:tcPr>
            <w:tcW w:w="3500" w:type="pct"/>
            <w:shd w:val="clear" w:color="auto" w:fill="auto"/>
          </w:tcPr>
          <w:p w14:paraId="7A470A55" w14:textId="77777777" w:rsidR="00E93F58" w:rsidRPr="00576D60" w:rsidRDefault="00E93F58" w:rsidP="002F32E3">
            <w:pPr>
              <w:pStyle w:val="ENoteTableText"/>
            </w:pPr>
            <w:r w:rsidRPr="00576D60">
              <w:t>am No 399, 2004</w:t>
            </w:r>
          </w:p>
        </w:tc>
      </w:tr>
      <w:tr w:rsidR="00E93F58" w:rsidRPr="00576D60" w14:paraId="6A59197D" w14:textId="77777777" w:rsidTr="002F32E3">
        <w:trPr>
          <w:cantSplit/>
        </w:trPr>
        <w:tc>
          <w:tcPr>
            <w:tcW w:w="1500" w:type="pct"/>
            <w:shd w:val="clear" w:color="auto" w:fill="auto"/>
          </w:tcPr>
          <w:p w14:paraId="2EC60435" w14:textId="77777777" w:rsidR="00E93F58" w:rsidRPr="00576D60" w:rsidRDefault="00E93F58" w:rsidP="002F32E3">
            <w:pPr>
              <w:pStyle w:val="ENoteTableText"/>
              <w:tabs>
                <w:tab w:val="left" w:leader="dot" w:pos="2268"/>
              </w:tabs>
            </w:pPr>
          </w:p>
        </w:tc>
        <w:tc>
          <w:tcPr>
            <w:tcW w:w="3500" w:type="pct"/>
            <w:shd w:val="clear" w:color="auto" w:fill="auto"/>
          </w:tcPr>
          <w:p w14:paraId="7D9C258A" w14:textId="77777777" w:rsidR="00E93F58" w:rsidRPr="00576D60" w:rsidRDefault="00E93F58" w:rsidP="002F32E3">
            <w:pPr>
              <w:pStyle w:val="ENoteTableText"/>
            </w:pPr>
            <w:r w:rsidRPr="00576D60">
              <w:t>rep F2016L01926</w:t>
            </w:r>
          </w:p>
        </w:tc>
      </w:tr>
      <w:tr w:rsidR="00E93F58" w:rsidRPr="00576D60" w14:paraId="534E025B" w14:textId="77777777" w:rsidTr="002F32E3">
        <w:trPr>
          <w:cantSplit/>
        </w:trPr>
        <w:tc>
          <w:tcPr>
            <w:tcW w:w="1500" w:type="pct"/>
            <w:shd w:val="clear" w:color="auto" w:fill="auto"/>
          </w:tcPr>
          <w:p w14:paraId="7733C213" w14:textId="77777777" w:rsidR="00E93F58" w:rsidRPr="00576D60" w:rsidRDefault="00E93F58" w:rsidP="002F32E3">
            <w:pPr>
              <w:pStyle w:val="ENoteTableText"/>
              <w:tabs>
                <w:tab w:val="left" w:leader="dot" w:pos="2268"/>
              </w:tabs>
            </w:pPr>
            <w:r w:rsidRPr="00576D60">
              <w:t>r 5.3A.03A</w:t>
            </w:r>
            <w:r w:rsidRPr="00576D60">
              <w:tab/>
            </w:r>
          </w:p>
        </w:tc>
        <w:tc>
          <w:tcPr>
            <w:tcW w:w="3500" w:type="pct"/>
            <w:shd w:val="clear" w:color="auto" w:fill="auto"/>
          </w:tcPr>
          <w:p w14:paraId="17A941CD" w14:textId="77777777" w:rsidR="00E93F58" w:rsidRPr="00576D60" w:rsidRDefault="00E93F58" w:rsidP="002F32E3">
            <w:pPr>
              <w:pStyle w:val="ENoteTableText"/>
            </w:pPr>
            <w:r w:rsidRPr="00576D60">
              <w:t>ad No 114, 2012</w:t>
            </w:r>
          </w:p>
        </w:tc>
      </w:tr>
      <w:tr w:rsidR="00E93F58" w:rsidRPr="00576D60" w14:paraId="0FBEAE95" w14:textId="77777777" w:rsidTr="002F32E3">
        <w:trPr>
          <w:cantSplit/>
        </w:trPr>
        <w:tc>
          <w:tcPr>
            <w:tcW w:w="1500" w:type="pct"/>
            <w:shd w:val="clear" w:color="auto" w:fill="auto"/>
          </w:tcPr>
          <w:p w14:paraId="72BD2F54" w14:textId="77777777" w:rsidR="00E93F58" w:rsidRPr="00576D60" w:rsidRDefault="00E93F58" w:rsidP="002F32E3">
            <w:pPr>
              <w:pStyle w:val="ENoteTableText"/>
              <w:tabs>
                <w:tab w:val="left" w:leader="dot" w:pos="2268"/>
              </w:tabs>
            </w:pPr>
          </w:p>
        </w:tc>
        <w:tc>
          <w:tcPr>
            <w:tcW w:w="3500" w:type="pct"/>
            <w:shd w:val="clear" w:color="auto" w:fill="auto"/>
          </w:tcPr>
          <w:p w14:paraId="5ECD9449" w14:textId="77777777" w:rsidR="00E93F58" w:rsidRPr="00576D60" w:rsidRDefault="00E93F58" w:rsidP="002F32E3">
            <w:pPr>
              <w:pStyle w:val="ENoteTableText"/>
            </w:pPr>
            <w:r w:rsidRPr="00576D60">
              <w:t>am F2016L01926</w:t>
            </w:r>
          </w:p>
        </w:tc>
      </w:tr>
      <w:tr w:rsidR="00E93F58" w:rsidRPr="00576D60" w14:paraId="34209A96" w14:textId="77777777" w:rsidTr="002F32E3">
        <w:trPr>
          <w:cantSplit/>
        </w:trPr>
        <w:tc>
          <w:tcPr>
            <w:tcW w:w="1500" w:type="pct"/>
            <w:shd w:val="clear" w:color="auto" w:fill="auto"/>
          </w:tcPr>
          <w:p w14:paraId="213C397C" w14:textId="77777777" w:rsidR="00E93F58" w:rsidRPr="00576D60" w:rsidRDefault="00E93F58" w:rsidP="002F32E3">
            <w:pPr>
              <w:pStyle w:val="ENoteTableText"/>
              <w:tabs>
                <w:tab w:val="left" w:leader="dot" w:pos="2268"/>
              </w:tabs>
            </w:pPr>
            <w:r w:rsidRPr="00576D60">
              <w:t>r 5.3A.03AB</w:t>
            </w:r>
            <w:r w:rsidRPr="00576D60">
              <w:tab/>
            </w:r>
          </w:p>
        </w:tc>
        <w:tc>
          <w:tcPr>
            <w:tcW w:w="3500" w:type="pct"/>
            <w:shd w:val="clear" w:color="auto" w:fill="auto"/>
          </w:tcPr>
          <w:p w14:paraId="1E761C19" w14:textId="77777777" w:rsidR="00E93F58" w:rsidRPr="00576D60" w:rsidRDefault="00E93F58" w:rsidP="002F32E3">
            <w:pPr>
              <w:pStyle w:val="ENoteTableText"/>
            </w:pPr>
            <w:r w:rsidRPr="00576D60">
              <w:t>ad No 114, 2012</w:t>
            </w:r>
          </w:p>
        </w:tc>
      </w:tr>
      <w:tr w:rsidR="00E93F58" w:rsidRPr="00576D60" w14:paraId="0BC071A6" w14:textId="77777777" w:rsidTr="002F32E3">
        <w:trPr>
          <w:cantSplit/>
        </w:trPr>
        <w:tc>
          <w:tcPr>
            <w:tcW w:w="1500" w:type="pct"/>
            <w:shd w:val="clear" w:color="auto" w:fill="auto"/>
          </w:tcPr>
          <w:p w14:paraId="61D74C79" w14:textId="77777777" w:rsidR="00E93F58" w:rsidRPr="00576D60" w:rsidRDefault="00E93F58" w:rsidP="002F32E3">
            <w:pPr>
              <w:pStyle w:val="ENoteTableText"/>
              <w:tabs>
                <w:tab w:val="left" w:leader="dot" w:pos="2268"/>
              </w:tabs>
            </w:pPr>
          </w:p>
        </w:tc>
        <w:tc>
          <w:tcPr>
            <w:tcW w:w="3500" w:type="pct"/>
            <w:shd w:val="clear" w:color="auto" w:fill="auto"/>
          </w:tcPr>
          <w:p w14:paraId="1B9DB1F3" w14:textId="77777777" w:rsidR="00E93F58" w:rsidRPr="00576D60" w:rsidRDefault="00E93F58" w:rsidP="002F32E3">
            <w:pPr>
              <w:pStyle w:val="ENoteTableText"/>
            </w:pPr>
            <w:r w:rsidRPr="00576D60">
              <w:t>rep F2016L01926</w:t>
            </w:r>
          </w:p>
        </w:tc>
      </w:tr>
      <w:tr w:rsidR="00E93F58" w:rsidRPr="00576D60" w14:paraId="1CD5EC1A" w14:textId="77777777" w:rsidTr="002F32E3">
        <w:trPr>
          <w:cantSplit/>
        </w:trPr>
        <w:tc>
          <w:tcPr>
            <w:tcW w:w="1500" w:type="pct"/>
            <w:shd w:val="clear" w:color="auto" w:fill="auto"/>
          </w:tcPr>
          <w:p w14:paraId="70D4B3E2" w14:textId="77777777" w:rsidR="00E93F58" w:rsidRPr="00576D60" w:rsidRDefault="00E93F58" w:rsidP="002F32E3">
            <w:pPr>
              <w:pStyle w:val="ENoteTableText"/>
              <w:tabs>
                <w:tab w:val="left" w:leader="dot" w:pos="2268"/>
              </w:tabs>
            </w:pPr>
            <w:r w:rsidRPr="00576D60">
              <w:t>r 5.3A.04</w:t>
            </w:r>
            <w:r w:rsidRPr="00576D60">
              <w:tab/>
            </w:r>
          </w:p>
        </w:tc>
        <w:tc>
          <w:tcPr>
            <w:tcW w:w="3500" w:type="pct"/>
            <w:shd w:val="clear" w:color="auto" w:fill="auto"/>
          </w:tcPr>
          <w:p w14:paraId="2B05E95A" w14:textId="77777777" w:rsidR="00E93F58" w:rsidRPr="00576D60" w:rsidRDefault="00E93F58" w:rsidP="002F32E3">
            <w:pPr>
              <w:pStyle w:val="ENoteTableText"/>
            </w:pPr>
            <w:r w:rsidRPr="00576D60">
              <w:t>am No 399, 2004; No 325, 2007</w:t>
            </w:r>
          </w:p>
        </w:tc>
      </w:tr>
      <w:tr w:rsidR="00E93F58" w:rsidRPr="00576D60" w14:paraId="2960A382" w14:textId="77777777" w:rsidTr="002F32E3">
        <w:trPr>
          <w:cantSplit/>
        </w:trPr>
        <w:tc>
          <w:tcPr>
            <w:tcW w:w="1500" w:type="pct"/>
            <w:shd w:val="clear" w:color="auto" w:fill="auto"/>
          </w:tcPr>
          <w:p w14:paraId="55CF6315" w14:textId="77777777" w:rsidR="00E93F58" w:rsidRPr="00576D60" w:rsidRDefault="00E93F58" w:rsidP="002F32E3">
            <w:pPr>
              <w:pStyle w:val="ENoteTableText"/>
              <w:tabs>
                <w:tab w:val="left" w:leader="dot" w:pos="2268"/>
              </w:tabs>
            </w:pPr>
          </w:p>
        </w:tc>
        <w:tc>
          <w:tcPr>
            <w:tcW w:w="3500" w:type="pct"/>
            <w:shd w:val="clear" w:color="auto" w:fill="auto"/>
          </w:tcPr>
          <w:p w14:paraId="1018FAF8" w14:textId="77777777" w:rsidR="00E93F58" w:rsidRPr="00576D60" w:rsidRDefault="00E93F58" w:rsidP="002F32E3">
            <w:pPr>
              <w:pStyle w:val="ENoteTableText"/>
            </w:pPr>
            <w:r w:rsidRPr="00576D60">
              <w:t>rep F2016L01926</w:t>
            </w:r>
          </w:p>
        </w:tc>
      </w:tr>
      <w:tr w:rsidR="00E93F58" w:rsidRPr="00576D60" w14:paraId="289248CF" w14:textId="77777777" w:rsidTr="002F32E3">
        <w:trPr>
          <w:cantSplit/>
        </w:trPr>
        <w:tc>
          <w:tcPr>
            <w:tcW w:w="1500" w:type="pct"/>
            <w:shd w:val="clear" w:color="auto" w:fill="auto"/>
          </w:tcPr>
          <w:p w14:paraId="7B6D7A87" w14:textId="77777777" w:rsidR="00E93F58" w:rsidRPr="00576D60" w:rsidRDefault="00E93F58" w:rsidP="002F32E3">
            <w:pPr>
              <w:pStyle w:val="ENoteTableText"/>
              <w:tabs>
                <w:tab w:val="left" w:leader="dot" w:pos="2268"/>
              </w:tabs>
            </w:pPr>
            <w:r w:rsidRPr="00576D60">
              <w:t>r 5.3A.06A</w:t>
            </w:r>
            <w:r w:rsidRPr="00576D60">
              <w:tab/>
            </w:r>
          </w:p>
        </w:tc>
        <w:tc>
          <w:tcPr>
            <w:tcW w:w="3500" w:type="pct"/>
            <w:shd w:val="clear" w:color="auto" w:fill="auto"/>
          </w:tcPr>
          <w:p w14:paraId="3202981C" w14:textId="77777777" w:rsidR="00E93F58" w:rsidRPr="00576D60" w:rsidRDefault="00E93F58" w:rsidP="002F32E3">
            <w:pPr>
              <w:pStyle w:val="ENoteTableText"/>
            </w:pPr>
            <w:r w:rsidRPr="00576D60">
              <w:t>ad No 114, 2012</w:t>
            </w:r>
          </w:p>
        </w:tc>
      </w:tr>
      <w:tr w:rsidR="00E93F58" w:rsidRPr="00576D60" w14:paraId="6BB7F4A2" w14:textId="77777777" w:rsidTr="002F32E3">
        <w:trPr>
          <w:cantSplit/>
        </w:trPr>
        <w:tc>
          <w:tcPr>
            <w:tcW w:w="1500" w:type="pct"/>
            <w:shd w:val="clear" w:color="auto" w:fill="auto"/>
          </w:tcPr>
          <w:p w14:paraId="0EFFF07D" w14:textId="77777777" w:rsidR="00E93F58" w:rsidRPr="00576D60" w:rsidRDefault="00E93F58" w:rsidP="002F32E3">
            <w:pPr>
              <w:pStyle w:val="ENoteTableText"/>
              <w:tabs>
                <w:tab w:val="left" w:leader="dot" w:pos="2268"/>
              </w:tabs>
            </w:pPr>
          </w:p>
        </w:tc>
        <w:tc>
          <w:tcPr>
            <w:tcW w:w="3500" w:type="pct"/>
            <w:shd w:val="clear" w:color="auto" w:fill="auto"/>
          </w:tcPr>
          <w:p w14:paraId="0BB9A33C" w14:textId="77777777" w:rsidR="00E93F58" w:rsidRPr="00576D60" w:rsidRDefault="00E93F58" w:rsidP="002F32E3">
            <w:pPr>
              <w:pStyle w:val="ENoteTableText"/>
            </w:pPr>
            <w:r w:rsidRPr="00576D60">
              <w:t>am F2016L01926</w:t>
            </w:r>
          </w:p>
        </w:tc>
      </w:tr>
      <w:tr w:rsidR="00E93F58" w:rsidRPr="00576D60" w14:paraId="7820064B" w14:textId="77777777" w:rsidTr="002F32E3">
        <w:trPr>
          <w:cantSplit/>
        </w:trPr>
        <w:tc>
          <w:tcPr>
            <w:tcW w:w="1500" w:type="pct"/>
            <w:shd w:val="clear" w:color="auto" w:fill="auto"/>
          </w:tcPr>
          <w:p w14:paraId="0B30E1C4" w14:textId="77777777" w:rsidR="00E93F58" w:rsidRPr="00576D60" w:rsidRDefault="00E93F58" w:rsidP="002F32E3">
            <w:pPr>
              <w:pStyle w:val="ENoteTableText"/>
              <w:tabs>
                <w:tab w:val="left" w:leader="dot" w:pos="2268"/>
              </w:tabs>
            </w:pPr>
            <w:r w:rsidRPr="00576D60">
              <w:t>r 5.3A.06AB</w:t>
            </w:r>
            <w:r w:rsidRPr="00576D60">
              <w:tab/>
            </w:r>
          </w:p>
        </w:tc>
        <w:tc>
          <w:tcPr>
            <w:tcW w:w="3500" w:type="pct"/>
            <w:shd w:val="clear" w:color="auto" w:fill="auto"/>
          </w:tcPr>
          <w:p w14:paraId="6D51D9DE" w14:textId="77777777" w:rsidR="00E93F58" w:rsidRPr="00576D60" w:rsidRDefault="00E93F58" w:rsidP="002F32E3">
            <w:pPr>
              <w:pStyle w:val="ENoteTableText"/>
            </w:pPr>
            <w:r w:rsidRPr="00576D60">
              <w:t>ad No 114, 2012</w:t>
            </w:r>
          </w:p>
        </w:tc>
      </w:tr>
      <w:tr w:rsidR="00E93F58" w:rsidRPr="00576D60" w14:paraId="496FFBAA" w14:textId="77777777" w:rsidTr="002F32E3">
        <w:trPr>
          <w:cantSplit/>
        </w:trPr>
        <w:tc>
          <w:tcPr>
            <w:tcW w:w="1500" w:type="pct"/>
            <w:shd w:val="clear" w:color="auto" w:fill="auto"/>
          </w:tcPr>
          <w:p w14:paraId="7F9E53C4" w14:textId="77777777" w:rsidR="00E93F58" w:rsidRPr="00576D60" w:rsidRDefault="00E93F58" w:rsidP="002F32E3">
            <w:pPr>
              <w:pStyle w:val="ENoteTableText"/>
              <w:tabs>
                <w:tab w:val="left" w:leader="dot" w:pos="2268"/>
              </w:tabs>
            </w:pPr>
          </w:p>
        </w:tc>
        <w:tc>
          <w:tcPr>
            <w:tcW w:w="3500" w:type="pct"/>
            <w:shd w:val="clear" w:color="auto" w:fill="auto"/>
          </w:tcPr>
          <w:p w14:paraId="78009563" w14:textId="77777777" w:rsidR="00E93F58" w:rsidRPr="00576D60" w:rsidRDefault="00E93F58" w:rsidP="002F32E3">
            <w:pPr>
              <w:pStyle w:val="ENoteTableText"/>
            </w:pPr>
            <w:r w:rsidRPr="00576D60">
              <w:t>rep F2016L01926</w:t>
            </w:r>
          </w:p>
        </w:tc>
      </w:tr>
      <w:tr w:rsidR="00E93F58" w:rsidRPr="00576D60" w14:paraId="2F10DD7F" w14:textId="77777777" w:rsidTr="002F32E3">
        <w:trPr>
          <w:cantSplit/>
        </w:trPr>
        <w:tc>
          <w:tcPr>
            <w:tcW w:w="1500" w:type="pct"/>
            <w:shd w:val="clear" w:color="auto" w:fill="auto"/>
          </w:tcPr>
          <w:p w14:paraId="6816769B" w14:textId="77777777" w:rsidR="00E93F58" w:rsidRPr="00576D60" w:rsidRDefault="00E93F58" w:rsidP="002F32E3">
            <w:pPr>
              <w:pStyle w:val="ENoteTableText"/>
              <w:tabs>
                <w:tab w:val="left" w:leader="dot" w:pos="2268"/>
              </w:tabs>
            </w:pPr>
            <w:r w:rsidRPr="00576D60">
              <w:t>r 5.3A.07</w:t>
            </w:r>
            <w:r w:rsidRPr="00576D60">
              <w:tab/>
            </w:r>
          </w:p>
        </w:tc>
        <w:tc>
          <w:tcPr>
            <w:tcW w:w="3500" w:type="pct"/>
            <w:shd w:val="clear" w:color="auto" w:fill="auto"/>
          </w:tcPr>
          <w:p w14:paraId="40D10DF2" w14:textId="77777777" w:rsidR="00E93F58" w:rsidRPr="00576D60" w:rsidRDefault="00E93F58" w:rsidP="002F32E3">
            <w:pPr>
              <w:pStyle w:val="ENoteTableText"/>
            </w:pPr>
            <w:r w:rsidRPr="00576D60">
              <w:t>am No 399, 2004; No 325, 2007; No 114, 2012</w:t>
            </w:r>
          </w:p>
        </w:tc>
      </w:tr>
      <w:tr w:rsidR="00E93F58" w:rsidRPr="00576D60" w14:paraId="1F2F679F" w14:textId="77777777" w:rsidTr="002F32E3">
        <w:trPr>
          <w:cantSplit/>
        </w:trPr>
        <w:tc>
          <w:tcPr>
            <w:tcW w:w="1500" w:type="pct"/>
            <w:shd w:val="clear" w:color="auto" w:fill="auto"/>
          </w:tcPr>
          <w:p w14:paraId="350E3026" w14:textId="77777777" w:rsidR="00E93F58" w:rsidRPr="00576D60" w:rsidRDefault="00E93F58" w:rsidP="002F32E3">
            <w:pPr>
              <w:pStyle w:val="ENoteTableText"/>
              <w:tabs>
                <w:tab w:val="left" w:leader="dot" w:pos="2268"/>
              </w:tabs>
            </w:pPr>
          </w:p>
        </w:tc>
        <w:tc>
          <w:tcPr>
            <w:tcW w:w="3500" w:type="pct"/>
            <w:shd w:val="clear" w:color="auto" w:fill="auto"/>
          </w:tcPr>
          <w:p w14:paraId="7C59E191" w14:textId="77777777" w:rsidR="00E93F58" w:rsidRPr="00576D60" w:rsidRDefault="00E93F58" w:rsidP="002F32E3">
            <w:pPr>
              <w:pStyle w:val="ENoteTableText"/>
            </w:pPr>
            <w:r w:rsidRPr="00576D60">
              <w:t>rep F2016L01926</w:t>
            </w:r>
          </w:p>
        </w:tc>
      </w:tr>
      <w:tr w:rsidR="00E93F58" w:rsidRPr="00576D60" w14:paraId="731232EC" w14:textId="77777777" w:rsidTr="002F32E3">
        <w:trPr>
          <w:cantSplit/>
        </w:trPr>
        <w:tc>
          <w:tcPr>
            <w:tcW w:w="1500" w:type="pct"/>
            <w:shd w:val="clear" w:color="auto" w:fill="auto"/>
          </w:tcPr>
          <w:p w14:paraId="78A7009F" w14:textId="77777777" w:rsidR="00E93F58" w:rsidRPr="00576D60" w:rsidRDefault="00E93F58" w:rsidP="002F32E3">
            <w:pPr>
              <w:pStyle w:val="ENoteTableText"/>
              <w:tabs>
                <w:tab w:val="left" w:leader="dot" w:pos="2268"/>
              </w:tabs>
            </w:pPr>
            <w:r w:rsidRPr="00576D60">
              <w:t>r 5.3A.07A</w:t>
            </w:r>
            <w:r w:rsidRPr="00576D60">
              <w:tab/>
            </w:r>
          </w:p>
        </w:tc>
        <w:tc>
          <w:tcPr>
            <w:tcW w:w="3500" w:type="pct"/>
            <w:shd w:val="clear" w:color="auto" w:fill="auto"/>
          </w:tcPr>
          <w:p w14:paraId="39CFC701" w14:textId="77777777" w:rsidR="00E93F58" w:rsidRPr="00576D60" w:rsidRDefault="00E93F58" w:rsidP="002F32E3">
            <w:pPr>
              <w:pStyle w:val="ENoteTableText"/>
            </w:pPr>
            <w:r w:rsidRPr="00576D60">
              <w:t>ad No 114, 2012</w:t>
            </w:r>
          </w:p>
        </w:tc>
      </w:tr>
      <w:tr w:rsidR="00E93F58" w:rsidRPr="00576D60" w14:paraId="1F9591AA" w14:textId="77777777" w:rsidTr="002F32E3">
        <w:trPr>
          <w:cantSplit/>
        </w:trPr>
        <w:tc>
          <w:tcPr>
            <w:tcW w:w="1500" w:type="pct"/>
            <w:shd w:val="clear" w:color="auto" w:fill="auto"/>
          </w:tcPr>
          <w:p w14:paraId="1C388577" w14:textId="77777777" w:rsidR="00E93F58" w:rsidRPr="00576D60" w:rsidRDefault="00E93F58" w:rsidP="002F32E3">
            <w:pPr>
              <w:pStyle w:val="ENoteTableText"/>
              <w:tabs>
                <w:tab w:val="left" w:leader="dot" w:pos="2268"/>
              </w:tabs>
            </w:pPr>
          </w:p>
        </w:tc>
        <w:tc>
          <w:tcPr>
            <w:tcW w:w="3500" w:type="pct"/>
            <w:shd w:val="clear" w:color="auto" w:fill="auto"/>
          </w:tcPr>
          <w:p w14:paraId="3F64F847" w14:textId="77777777" w:rsidR="00E93F58" w:rsidRPr="00576D60" w:rsidRDefault="00E93F58" w:rsidP="002F32E3">
            <w:pPr>
              <w:pStyle w:val="ENoteTableText"/>
            </w:pPr>
            <w:r w:rsidRPr="00576D60">
              <w:t>am F2016L01926</w:t>
            </w:r>
          </w:p>
        </w:tc>
      </w:tr>
      <w:tr w:rsidR="00E93F58" w:rsidRPr="00576D60" w14:paraId="0EB91D05" w14:textId="77777777" w:rsidTr="002F32E3">
        <w:trPr>
          <w:cantSplit/>
        </w:trPr>
        <w:tc>
          <w:tcPr>
            <w:tcW w:w="1500" w:type="pct"/>
            <w:shd w:val="clear" w:color="auto" w:fill="auto"/>
          </w:tcPr>
          <w:p w14:paraId="4801E061" w14:textId="77777777" w:rsidR="00E93F58" w:rsidRPr="00576D60" w:rsidRDefault="00E93F58" w:rsidP="002F32E3">
            <w:pPr>
              <w:pStyle w:val="ENoteTableText"/>
              <w:tabs>
                <w:tab w:val="left" w:leader="dot" w:pos="2268"/>
              </w:tabs>
            </w:pPr>
            <w:r w:rsidRPr="00576D60">
              <w:t>r. 5.3A.08</w:t>
            </w:r>
            <w:r w:rsidRPr="00576D60">
              <w:tab/>
            </w:r>
          </w:p>
        </w:tc>
        <w:tc>
          <w:tcPr>
            <w:tcW w:w="3500" w:type="pct"/>
            <w:shd w:val="clear" w:color="auto" w:fill="auto"/>
          </w:tcPr>
          <w:p w14:paraId="0B09B6DE" w14:textId="77777777" w:rsidR="00E93F58" w:rsidRPr="00576D60" w:rsidRDefault="00E93F58" w:rsidP="002F32E3">
            <w:pPr>
              <w:pStyle w:val="ENoteTableText"/>
            </w:pPr>
            <w:r w:rsidRPr="00576D60">
              <w:t>rep. 2007 No. 325</w:t>
            </w:r>
          </w:p>
        </w:tc>
      </w:tr>
      <w:tr w:rsidR="00E93F58" w:rsidRPr="00576D60" w14:paraId="24E07CF5" w14:textId="77777777" w:rsidTr="002F32E3">
        <w:trPr>
          <w:cantSplit/>
        </w:trPr>
        <w:tc>
          <w:tcPr>
            <w:tcW w:w="1500" w:type="pct"/>
            <w:shd w:val="clear" w:color="auto" w:fill="auto"/>
          </w:tcPr>
          <w:p w14:paraId="6E9B0F65" w14:textId="77777777" w:rsidR="00E93F58" w:rsidRPr="00576D60" w:rsidRDefault="00E93F58" w:rsidP="002F32E3">
            <w:pPr>
              <w:pStyle w:val="ENoteTableText"/>
              <w:tabs>
                <w:tab w:val="left" w:leader="dot" w:pos="2268"/>
              </w:tabs>
            </w:pPr>
            <w:r w:rsidRPr="00576D60">
              <w:t>r. 5.3A.09</w:t>
            </w:r>
            <w:r w:rsidRPr="00576D60">
              <w:tab/>
            </w:r>
          </w:p>
        </w:tc>
        <w:tc>
          <w:tcPr>
            <w:tcW w:w="3500" w:type="pct"/>
            <w:shd w:val="clear" w:color="auto" w:fill="auto"/>
          </w:tcPr>
          <w:p w14:paraId="4DAA99F0" w14:textId="77777777" w:rsidR="00E93F58" w:rsidRPr="00576D60" w:rsidRDefault="00E93F58" w:rsidP="002F32E3">
            <w:pPr>
              <w:pStyle w:val="ENoteTableText"/>
            </w:pPr>
            <w:r w:rsidRPr="00576D60">
              <w:t>rep. 2007 No. 325</w:t>
            </w:r>
          </w:p>
        </w:tc>
      </w:tr>
      <w:tr w:rsidR="00E93F58" w:rsidRPr="00576D60" w14:paraId="3B418FC9" w14:textId="77777777" w:rsidTr="002F32E3">
        <w:trPr>
          <w:cantSplit/>
        </w:trPr>
        <w:tc>
          <w:tcPr>
            <w:tcW w:w="1500" w:type="pct"/>
            <w:shd w:val="clear" w:color="auto" w:fill="auto"/>
          </w:tcPr>
          <w:p w14:paraId="532684A4" w14:textId="77777777" w:rsidR="00E93F58" w:rsidRPr="00576D60" w:rsidRDefault="00E93F58" w:rsidP="002F32E3">
            <w:pPr>
              <w:pStyle w:val="ENoteTableText"/>
              <w:tabs>
                <w:tab w:val="left" w:leader="dot" w:pos="2268"/>
              </w:tabs>
            </w:pPr>
            <w:r w:rsidRPr="00576D60">
              <w:t>r 5.3A.50</w:t>
            </w:r>
            <w:r w:rsidRPr="00576D60">
              <w:tab/>
            </w:r>
          </w:p>
        </w:tc>
        <w:tc>
          <w:tcPr>
            <w:tcW w:w="3500" w:type="pct"/>
            <w:shd w:val="clear" w:color="auto" w:fill="auto"/>
          </w:tcPr>
          <w:p w14:paraId="07BB65EB" w14:textId="77777777" w:rsidR="00E93F58" w:rsidRPr="00576D60" w:rsidRDefault="00E93F58" w:rsidP="002F32E3">
            <w:pPr>
              <w:pStyle w:val="ENoteTableText"/>
            </w:pPr>
            <w:r w:rsidRPr="00576D60">
              <w:t>ad F2018L00835</w:t>
            </w:r>
          </w:p>
        </w:tc>
      </w:tr>
      <w:tr w:rsidR="00E93F58" w:rsidRPr="00576D60" w14:paraId="4D135E31" w14:textId="77777777" w:rsidTr="002F32E3">
        <w:trPr>
          <w:cantSplit/>
        </w:trPr>
        <w:tc>
          <w:tcPr>
            <w:tcW w:w="1500" w:type="pct"/>
            <w:shd w:val="clear" w:color="auto" w:fill="auto"/>
          </w:tcPr>
          <w:p w14:paraId="5D35DA53" w14:textId="77777777" w:rsidR="00E93F58" w:rsidRPr="00576D60" w:rsidRDefault="00E93F58" w:rsidP="002F32E3">
            <w:pPr>
              <w:pStyle w:val="ENoteTableText"/>
              <w:tabs>
                <w:tab w:val="left" w:leader="dot" w:pos="2268"/>
              </w:tabs>
            </w:pPr>
          </w:p>
        </w:tc>
        <w:tc>
          <w:tcPr>
            <w:tcW w:w="3500" w:type="pct"/>
            <w:shd w:val="clear" w:color="auto" w:fill="auto"/>
          </w:tcPr>
          <w:p w14:paraId="760586DA" w14:textId="77777777" w:rsidR="00E93F58" w:rsidRPr="00576D60" w:rsidRDefault="00E93F58" w:rsidP="002F32E3">
            <w:pPr>
              <w:pStyle w:val="ENoteTableText"/>
            </w:pPr>
            <w:r w:rsidRPr="00576D60">
              <w:t>am F2018L00966; F2020L01610; F2023L00625</w:t>
            </w:r>
            <w:r>
              <w:t>; F2023L01458</w:t>
            </w:r>
          </w:p>
        </w:tc>
      </w:tr>
      <w:tr w:rsidR="00E93F58" w:rsidRPr="00576D60" w14:paraId="2DD2219D" w14:textId="77777777" w:rsidTr="002F32E3">
        <w:trPr>
          <w:cantSplit/>
        </w:trPr>
        <w:tc>
          <w:tcPr>
            <w:tcW w:w="1500" w:type="pct"/>
            <w:shd w:val="clear" w:color="auto" w:fill="auto"/>
          </w:tcPr>
          <w:p w14:paraId="7B116785" w14:textId="77777777" w:rsidR="00E93F58" w:rsidRPr="00576D60" w:rsidRDefault="00E93F58" w:rsidP="002F32E3">
            <w:pPr>
              <w:pStyle w:val="ENoteTableText"/>
              <w:tabs>
                <w:tab w:val="left" w:leader="dot" w:pos="2268"/>
              </w:tabs>
              <w:rPr>
                <w:b/>
              </w:rPr>
            </w:pPr>
            <w:r>
              <w:rPr>
                <w:b/>
              </w:rPr>
              <w:t>Part 5</w:t>
            </w:r>
            <w:r w:rsidRPr="00576D60">
              <w:rPr>
                <w:b/>
              </w:rPr>
              <w:t>.3B</w:t>
            </w:r>
          </w:p>
        </w:tc>
        <w:tc>
          <w:tcPr>
            <w:tcW w:w="3500" w:type="pct"/>
            <w:shd w:val="clear" w:color="auto" w:fill="auto"/>
          </w:tcPr>
          <w:p w14:paraId="65BD64D5" w14:textId="77777777" w:rsidR="00E93F58" w:rsidRPr="00576D60" w:rsidRDefault="00E93F58" w:rsidP="002F32E3">
            <w:pPr>
              <w:pStyle w:val="ENoteTableText"/>
            </w:pPr>
          </w:p>
        </w:tc>
      </w:tr>
      <w:tr w:rsidR="00E93F58" w:rsidRPr="00576D60" w14:paraId="3986907B" w14:textId="77777777" w:rsidTr="002F32E3">
        <w:trPr>
          <w:cantSplit/>
        </w:trPr>
        <w:tc>
          <w:tcPr>
            <w:tcW w:w="1500" w:type="pct"/>
            <w:shd w:val="clear" w:color="auto" w:fill="auto"/>
          </w:tcPr>
          <w:p w14:paraId="71603C87" w14:textId="77777777" w:rsidR="00E93F58" w:rsidRPr="00576D60" w:rsidRDefault="00E93F58" w:rsidP="002F32E3">
            <w:pPr>
              <w:pStyle w:val="ENoteTableText"/>
              <w:tabs>
                <w:tab w:val="left" w:leader="dot" w:pos="2268"/>
              </w:tabs>
            </w:pPr>
            <w:r>
              <w:t>Part 5</w:t>
            </w:r>
            <w:r w:rsidRPr="00576D60">
              <w:t>.3B</w:t>
            </w:r>
            <w:r w:rsidRPr="00576D60">
              <w:tab/>
            </w:r>
          </w:p>
        </w:tc>
        <w:tc>
          <w:tcPr>
            <w:tcW w:w="3500" w:type="pct"/>
            <w:shd w:val="clear" w:color="auto" w:fill="auto"/>
          </w:tcPr>
          <w:p w14:paraId="13FF059A" w14:textId="77777777" w:rsidR="00E93F58" w:rsidRPr="00576D60" w:rsidRDefault="00E93F58" w:rsidP="002F32E3">
            <w:pPr>
              <w:pStyle w:val="ENoteTableText"/>
            </w:pPr>
            <w:r w:rsidRPr="00576D60">
              <w:t>ad F2020L01654</w:t>
            </w:r>
          </w:p>
        </w:tc>
      </w:tr>
      <w:tr w:rsidR="00E93F58" w:rsidRPr="00576D60" w14:paraId="704D604A" w14:textId="77777777" w:rsidTr="002F32E3">
        <w:trPr>
          <w:cantSplit/>
        </w:trPr>
        <w:tc>
          <w:tcPr>
            <w:tcW w:w="1500" w:type="pct"/>
            <w:shd w:val="clear" w:color="auto" w:fill="auto"/>
          </w:tcPr>
          <w:p w14:paraId="7A61869D"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0A761D44" w14:textId="77777777" w:rsidR="00E93F58" w:rsidRPr="00576D60" w:rsidRDefault="00E93F58" w:rsidP="002F32E3">
            <w:pPr>
              <w:pStyle w:val="ENoteTableText"/>
            </w:pPr>
          </w:p>
        </w:tc>
      </w:tr>
      <w:tr w:rsidR="00E93F58" w:rsidRPr="00576D60" w14:paraId="72A62A5D" w14:textId="77777777" w:rsidTr="002F32E3">
        <w:trPr>
          <w:cantSplit/>
        </w:trPr>
        <w:tc>
          <w:tcPr>
            <w:tcW w:w="1500" w:type="pct"/>
            <w:shd w:val="clear" w:color="auto" w:fill="auto"/>
          </w:tcPr>
          <w:p w14:paraId="6373E5A0" w14:textId="77777777" w:rsidR="00E93F58" w:rsidRPr="00576D60" w:rsidRDefault="00E93F58" w:rsidP="002F32E3">
            <w:pPr>
              <w:pStyle w:val="ENoteTableText"/>
              <w:tabs>
                <w:tab w:val="left" w:leader="dot" w:pos="2268"/>
              </w:tabs>
            </w:pPr>
            <w:r w:rsidRPr="00576D60">
              <w:t>r 5.3B.01</w:t>
            </w:r>
            <w:r w:rsidRPr="00576D60">
              <w:tab/>
            </w:r>
          </w:p>
        </w:tc>
        <w:tc>
          <w:tcPr>
            <w:tcW w:w="3500" w:type="pct"/>
            <w:shd w:val="clear" w:color="auto" w:fill="auto"/>
          </w:tcPr>
          <w:p w14:paraId="703D16F2" w14:textId="77777777" w:rsidR="00E93F58" w:rsidRPr="00576D60" w:rsidRDefault="00E93F58" w:rsidP="002F32E3">
            <w:pPr>
              <w:pStyle w:val="ENoteTableText"/>
            </w:pPr>
            <w:r w:rsidRPr="00576D60">
              <w:t>ad F2020L01654</w:t>
            </w:r>
          </w:p>
        </w:tc>
      </w:tr>
      <w:tr w:rsidR="00E93F58" w:rsidRPr="00576D60" w14:paraId="24DE59A3" w14:textId="77777777" w:rsidTr="002F32E3">
        <w:trPr>
          <w:cantSplit/>
        </w:trPr>
        <w:tc>
          <w:tcPr>
            <w:tcW w:w="1500" w:type="pct"/>
            <w:shd w:val="clear" w:color="auto" w:fill="auto"/>
          </w:tcPr>
          <w:p w14:paraId="6BB413B7"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76653CE7" w14:textId="77777777" w:rsidR="00E93F58" w:rsidRPr="00576D60" w:rsidRDefault="00E93F58" w:rsidP="002F32E3">
            <w:pPr>
              <w:pStyle w:val="ENoteTableText"/>
            </w:pPr>
          </w:p>
        </w:tc>
      </w:tr>
      <w:tr w:rsidR="00E93F58" w:rsidRPr="00576D60" w14:paraId="55AC037D" w14:textId="77777777" w:rsidTr="002F32E3">
        <w:trPr>
          <w:cantSplit/>
        </w:trPr>
        <w:tc>
          <w:tcPr>
            <w:tcW w:w="1500" w:type="pct"/>
            <w:shd w:val="clear" w:color="auto" w:fill="auto"/>
          </w:tcPr>
          <w:p w14:paraId="01219577" w14:textId="77777777" w:rsidR="00E93F58" w:rsidRPr="00576D60" w:rsidRDefault="00E93F58" w:rsidP="002F32E3">
            <w:pPr>
              <w:pStyle w:val="ENoteTableText"/>
              <w:tabs>
                <w:tab w:val="left" w:leader="dot" w:pos="2268"/>
              </w:tabs>
              <w:rPr>
                <w:b/>
              </w:rPr>
            </w:pPr>
            <w:r w:rsidRPr="00576D60">
              <w:rPr>
                <w:b/>
              </w:rPr>
              <w:t>Subdivision A</w:t>
            </w:r>
          </w:p>
        </w:tc>
        <w:tc>
          <w:tcPr>
            <w:tcW w:w="3500" w:type="pct"/>
            <w:shd w:val="clear" w:color="auto" w:fill="auto"/>
          </w:tcPr>
          <w:p w14:paraId="006FA225" w14:textId="77777777" w:rsidR="00E93F58" w:rsidRPr="00576D60" w:rsidRDefault="00E93F58" w:rsidP="002F32E3">
            <w:pPr>
              <w:pStyle w:val="ENoteTableText"/>
            </w:pPr>
          </w:p>
        </w:tc>
      </w:tr>
      <w:tr w:rsidR="00E93F58" w:rsidRPr="00576D60" w14:paraId="70382C0D" w14:textId="77777777" w:rsidTr="002F32E3">
        <w:trPr>
          <w:cantSplit/>
        </w:trPr>
        <w:tc>
          <w:tcPr>
            <w:tcW w:w="1500" w:type="pct"/>
            <w:shd w:val="clear" w:color="auto" w:fill="auto"/>
          </w:tcPr>
          <w:p w14:paraId="430EB188" w14:textId="77777777" w:rsidR="00E93F58" w:rsidRPr="00576D60" w:rsidRDefault="00E93F58" w:rsidP="002F32E3">
            <w:pPr>
              <w:pStyle w:val="ENoteTableText"/>
              <w:tabs>
                <w:tab w:val="left" w:leader="dot" w:pos="2268"/>
              </w:tabs>
            </w:pPr>
            <w:r w:rsidRPr="00576D60">
              <w:t>r 5.3B.02</w:t>
            </w:r>
            <w:r w:rsidRPr="00576D60">
              <w:tab/>
            </w:r>
          </w:p>
        </w:tc>
        <w:tc>
          <w:tcPr>
            <w:tcW w:w="3500" w:type="pct"/>
            <w:shd w:val="clear" w:color="auto" w:fill="auto"/>
          </w:tcPr>
          <w:p w14:paraId="25BD74D7" w14:textId="77777777" w:rsidR="00E93F58" w:rsidRPr="00576D60" w:rsidRDefault="00E93F58" w:rsidP="002F32E3">
            <w:pPr>
              <w:pStyle w:val="ENoteTableText"/>
            </w:pPr>
            <w:r w:rsidRPr="00576D60">
              <w:t>ad F2020L01654</w:t>
            </w:r>
          </w:p>
        </w:tc>
      </w:tr>
      <w:tr w:rsidR="00E93F58" w:rsidRPr="00576D60" w14:paraId="0C8DBE4E" w14:textId="77777777" w:rsidTr="002F32E3">
        <w:trPr>
          <w:cantSplit/>
        </w:trPr>
        <w:tc>
          <w:tcPr>
            <w:tcW w:w="1500" w:type="pct"/>
            <w:shd w:val="clear" w:color="auto" w:fill="auto"/>
          </w:tcPr>
          <w:p w14:paraId="35FEE7A8" w14:textId="77777777" w:rsidR="00E93F58" w:rsidRPr="00576D60" w:rsidRDefault="00E93F58" w:rsidP="002F32E3">
            <w:pPr>
              <w:pStyle w:val="ENoteTableText"/>
              <w:tabs>
                <w:tab w:val="left" w:leader="dot" w:pos="2268"/>
              </w:tabs>
            </w:pPr>
          </w:p>
        </w:tc>
        <w:tc>
          <w:tcPr>
            <w:tcW w:w="3500" w:type="pct"/>
            <w:shd w:val="clear" w:color="auto" w:fill="auto"/>
          </w:tcPr>
          <w:p w14:paraId="0F09F878" w14:textId="77777777" w:rsidR="00E93F58" w:rsidRPr="00576D60" w:rsidRDefault="00E93F58" w:rsidP="002F32E3">
            <w:pPr>
              <w:pStyle w:val="ENoteTableText"/>
            </w:pPr>
            <w:r w:rsidRPr="00576D60">
              <w:t>am F2021L01847</w:t>
            </w:r>
          </w:p>
        </w:tc>
      </w:tr>
      <w:tr w:rsidR="00E93F58" w:rsidRPr="00576D60" w14:paraId="426D873A" w14:textId="77777777" w:rsidTr="002F32E3">
        <w:trPr>
          <w:cantSplit/>
        </w:trPr>
        <w:tc>
          <w:tcPr>
            <w:tcW w:w="1500" w:type="pct"/>
            <w:shd w:val="clear" w:color="auto" w:fill="auto"/>
          </w:tcPr>
          <w:p w14:paraId="34CA7E58" w14:textId="77777777" w:rsidR="00E93F58" w:rsidRPr="00576D60" w:rsidRDefault="00E93F58" w:rsidP="002F32E3">
            <w:pPr>
              <w:pStyle w:val="ENoteTableText"/>
              <w:tabs>
                <w:tab w:val="left" w:leader="dot" w:pos="2268"/>
              </w:tabs>
            </w:pPr>
            <w:r w:rsidRPr="00576D60">
              <w:t>r 5.3B.03</w:t>
            </w:r>
            <w:r w:rsidRPr="00576D60">
              <w:tab/>
            </w:r>
          </w:p>
        </w:tc>
        <w:tc>
          <w:tcPr>
            <w:tcW w:w="3500" w:type="pct"/>
            <w:shd w:val="clear" w:color="auto" w:fill="auto"/>
          </w:tcPr>
          <w:p w14:paraId="575DBECC" w14:textId="77777777" w:rsidR="00E93F58" w:rsidRPr="00576D60" w:rsidRDefault="00E93F58" w:rsidP="002F32E3">
            <w:pPr>
              <w:pStyle w:val="ENoteTableText"/>
            </w:pPr>
            <w:r w:rsidRPr="00576D60">
              <w:t>ad F2020L01654</w:t>
            </w:r>
          </w:p>
        </w:tc>
      </w:tr>
      <w:tr w:rsidR="00E93F58" w:rsidRPr="00576D60" w14:paraId="1B484702" w14:textId="77777777" w:rsidTr="002F32E3">
        <w:trPr>
          <w:cantSplit/>
        </w:trPr>
        <w:tc>
          <w:tcPr>
            <w:tcW w:w="1500" w:type="pct"/>
            <w:shd w:val="clear" w:color="auto" w:fill="auto"/>
          </w:tcPr>
          <w:p w14:paraId="7EE9A438" w14:textId="77777777" w:rsidR="00E93F58" w:rsidRPr="00576D60" w:rsidRDefault="00E93F58" w:rsidP="002F32E3">
            <w:pPr>
              <w:pStyle w:val="ENoteTableText"/>
              <w:tabs>
                <w:tab w:val="left" w:leader="dot" w:pos="2268"/>
              </w:tabs>
            </w:pPr>
          </w:p>
        </w:tc>
        <w:tc>
          <w:tcPr>
            <w:tcW w:w="3500" w:type="pct"/>
            <w:shd w:val="clear" w:color="auto" w:fill="auto"/>
          </w:tcPr>
          <w:p w14:paraId="644DE49D" w14:textId="77777777" w:rsidR="00E93F58" w:rsidRPr="00576D60" w:rsidRDefault="00E93F58" w:rsidP="002F32E3">
            <w:pPr>
              <w:pStyle w:val="ENoteTableText"/>
            </w:pPr>
            <w:r>
              <w:t>am F2023L01458</w:t>
            </w:r>
          </w:p>
        </w:tc>
      </w:tr>
      <w:tr w:rsidR="00E93F58" w:rsidRPr="00576D60" w14:paraId="7AA9150B" w14:textId="77777777" w:rsidTr="002F32E3">
        <w:trPr>
          <w:cantSplit/>
        </w:trPr>
        <w:tc>
          <w:tcPr>
            <w:tcW w:w="1500" w:type="pct"/>
            <w:shd w:val="clear" w:color="auto" w:fill="auto"/>
          </w:tcPr>
          <w:p w14:paraId="3ED8E7C0" w14:textId="77777777" w:rsidR="00E93F58" w:rsidRPr="00576D60" w:rsidRDefault="00E93F58" w:rsidP="002F32E3">
            <w:pPr>
              <w:pStyle w:val="ENoteTableText"/>
              <w:tabs>
                <w:tab w:val="left" w:leader="dot" w:pos="2268"/>
              </w:tabs>
            </w:pPr>
            <w:r w:rsidRPr="00576D60">
              <w:t>r 5.3B.04</w:t>
            </w:r>
            <w:r w:rsidRPr="00576D60">
              <w:tab/>
            </w:r>
          </w:p>
        </w:tc>
        <w:tc>
          <w:tcPr>
            <w:tcW w:w="3500" w:type="pct"/>
            <w:shd w:val="clear" w:color="auto" w:fill="auto"/>
          </w:tcPr>
          <w:p w14:paraId="223F8A4B" w14:textId="77777777" w:rsidR="00E93F58" w:rsidRPr="00576D60" w:rsidRDefault="00E93F58" w:rsidP="002F32E3">
            <w:pPr>
              <w:pStyle w:val="ENoteTableText"/>
            </w:pPr>
            <w:r w:rsidRPr="00576D60">
              <w:t>ad F2020L01654</w:t>
            </w:r>
          </w:p>
        </w:tc>
      </w:tr>
      <w:tr w:rsidR="00E93F58" w:rsidRPr="00576D60" w14:paraId="52D6B75E" w14:textId="77777777" w:rsidTr="002F32E3">
        <w:trPr>
          <w:cantSplit/>
        </w:trPr>
        <w:tc>
          <w:tcPr>
            <w:tcW w:w="1500" w:type="pct"/>
            <w:shd w:val="clear" w:color="auto" w:fill="auto"/>
          </w:tcPr>
          <w:p w14:paraId="439930DF" w14:textId="77777777" w:rsidR="00E93F58" w:rsidRPr="00576D60" w:rsidRDefault="00E93F58" w:rsidP="002F32E3">
            <w:pPr>
              <w:pStyle w:val="ENoteTableText"/>
              <w:tabs>
                <w:tab w:val="left" w:leader="dot" w:pos="2268"/>
              </w:tabs>
            </w:pPr>
            <w:r w:rsidRPr="00576D60">
              <w:t>r 5.3B.05</w:t>
            </w:r>
            <w:r w:rsidRPr="00576D60">
              <w:tab/>
            </w:r>
          </w:p>
        </w:tc>
        <w:tc>
          <w:tcPr>
            <w:tcW w:w="3500" w:type="pct"/>
            <w:shd w:val="clear" w:color="auto" w:fill="auto"/>
          </w:tcPr>
          <w:p w14:paraId="66F4A7D0" w14:textId="77777777" w:rsidR="00E93F58" w:rsidRPr="00576D60" w:rsidRDefault="00E93F58" w:rsidP="002F32E3">
            <w:pPr>
              <w:pStyle w:val="ENoteTableText"/>
            </w:pPr>
            <w:r w:rsidRPr="00576D60">
              <w:t>ad F2020L01654</w:t>
            </w:r>
          </w:p>
        </w:tc>
      </w:tr>
      <w:tr w:rsidR="00E93F58" w:rsidRPr="00576D60" w14:paraId="19CD4879" w14:textId="77777777" w:rsidTr="002F32E3">
        <w:trPr>
          <w:cantSplit/>
        </w:trPr>
        <w:tc>
          <w:tcPr>
            <w:tcW w:w="1500" w:type="pct"/>
            <w:shd w:val="clear" w:color="auto" w:fill="auto"/>
          </w:tcPr>
          <w:p w14:paraId="12458511" w14:textId="77777777" w:rsidR="00E93F58" w:rsidRPr="00576D60" w:rsidRDefault="00E93F58" w:rsidP="002F32E3">
            <w:pPr>
              <w:pStyle w:val="ENoteTableText"/>
              <w:tabs>
                <w:tab w:val="left" w:leader="dot" w:pos="2268"/>
              </w:tabs>
            </w:pPr>
            <w:r w:rsidRPr="00576D60">
              <w:t>r 5.3B.06</w:t>
            </w:r>
            <w:r w:rsidRPr="00576D60">
              <w:tab/>
            </w:r>
          </w:p>
        </w:tc>
        <w:tc>
          <w:tcPr>
            <w:tcW w:w="3500" w:type="pct"/>
            <w:shd w:val="clear" w:color="auto" w:fill="auto"/>
          </w:tcPr>
          <w:p w14:paraId="100E9094" w14:textId="77777777" w:rsidR="00E93F58" w:rsidRPr="00576D60" w:rsidRDefault="00E93F58" w:rsidP="002F32E3">
            <w:pPr>
              <w:pStyle w:val="ENoteTableText"/>
            </w:pPr>
            <w:r w:rsidRPr="00576D60">
              <w:t>ad F2020L01654</w:t>
            </w:r>
          </w:p>
        </w:tc>
      </w:tr>
      <w:tr w:rsidR="00E93F58" w:rsidRPr="00576D60" w14:paraId="222AC0BF" w14:textId="77777777" w:rsidTr="002F32E3">
        <w:trPr>
          <w:cantSplit/>
        </w:trPr>
        <w:tc>
          <w:tcPr>
            <w:tcW w:w="1500" w:type="pct"/>
            <w:shd w:val="clear" w:color="auto" w:fill="auto"/>
          </w:tcPr>
          <w:p w14:paraId="7362011A" w14:textId="77777777" w:rsidR="00E93F58" w:rsidRPr="00576D60" w:rsidRDefault="00E93F58" w:rsidP="002F32E3">
            <w:pPr>
              <w:pStyle w:val="ENoteTableText"/>
              <w:tabs>
                <w:tab w:val="left" w:leader="dot" w:pos="2268"/>
              </w:tabs>
              <w:rPr>
                <w:b/>
              </w:rPr>
            </w:pPr>
            <w:r w:rsidRPr="00576D60">
              <w:rPr>
                <w:b/>
              </w:rPr>
              <w:t>Subdivision B</w:t>
            </w:r>
          </w:p>
        </w:tc>
        <w:tc>
          <w:tcPr>
            <w:tcW w:w="3500" w:type="pct"/>
            <w:shd w:val="clear" w:color="auto" w:fill="auto"/>
          </w:tcPr>
          <w:p w14:paraId="11D136AA" w14:textId="77777777" w:rsidR="00E93F58" w:rsidRPr="00576D60" w:rsidRDefault="00E93F58" w:rsidP="002F32E3">
            <w:pPr>
              <w:pStyle w:val="ENoteTableText"/>
            </w:pPr>
          </w:p>
        </w:tc>
      </w:tr>
      <w:tr w:rsidR="00E93F58" w:rsidRPr="00576D60" w14:paraId="74823762" w14:textId="77777777" w:rsidTr="002F32E3">
        <w:trPr>
          <w:cantSplit/>
        </w:trPr>
        <w:tc>
          <w:tcPr>
            <w:tcW w:w="1500" w:type="pct"/>
            <w:shd w:val="clear" w:color="auto" w:fill="auto"/>
          </w:tcPr>
          <w:p w14:paraId="5D312093" w14:textId="77777777" w:rsidR="00E93F58" w:rsidRPr="00576D60" w:rsidRDefault="00E93F58" w:rsidP="002F32E3">
            <w:pPr>
              <w:pStyle w:val="ENoteTableText"/>
              <w:tabs>
                <w:tab w:val="left" w:leader="dot" w:pos="2268"/>
              </w:tabs>
            </w:pPr>
            <w:r w:rsidRPr="00576D60">
              <w:t>r 5.3B.07</w:t>
            </w:r>
            <w:r w:rsidRPr="00576D60">
              <w:tab/>
            </w:r>
          </w:p>
        </w:tc>
        <w:tc>
          <w:tcPr>
            <w:tcW w:w="3500" w:type="pct"/>
            <w:shd w:val="clear" w:color="auto" w:fill="auto"/>
          </w:tcPr>
          <w:p w14:paraId="40BB824A" w14:textId="77777777" w:rsidR="00E93F58" w:rsidRPr="00576D60" w:rsidRDefault="00E93F58" w:rsidP="002F32E3">
            <w:pPr>
              <w:pStyle w:val="ENoteTableText"/>
            </w:pPr>
            <w:r w:rsidRPr="00576D60">
              <w:t>ad F2020L01654</w:t>
            </w:r>
          </w:p>
        </w:tc>
      </w:tr>
      <w:tr w:rsidR="00E93F58" w:rsidRPr="00576D60" w14:paraId="5DF76B5A" w14:textId="77777777" w:rsidTr="002F32E3">
        <w:trPr>
          <w:cantSplit/>
        </w:trPr>
        <w:tc>
          <w:tcPr>
            <w:tcW w:w="1500" w:type="pct"/>
            <w:shd w:val="clear" w:color="auto" w:fill="auto"/>
          </w:tcPr>
          <w:p w14:paraId="42939706" w14:textId="77777777" w:rsidR="00E93F58" w:rsidRPr="00576D60" w:rsidRDefault="00E93F58" w:rsidP="002F32E3">
            <w:pPr>
              <w:pStyle w:val="ENoteTableText"/>
              <w:tabs>
                <w:tab w:val="left" w:leader="dot" w:pos="2268"/>
              </w:tabs>
            </w:pPr>
            <w:r w:rsidRPr="00576D60">
              <w:t>r 5.3B.08</w:t>
            </w:r>
            <w:r w:rsidRPr="00576D60">
              <w:tab/>
            </w:r>
          </w:p>
        </w:tc>
        <w:tc>
          <w:tcPr>
            <w:tcW w:w="3500" w:type="pct"/>
            <w:shd w:val="clear" w:color="auto" w:fill="auto"/>
          </w:tcPr>
          <w:p w14:paraId="331594BA" w14:textId="77777777" w:rsidR="00E93F58" w:rsidRPr="00576D60" w:rsidRDefault="00E93F58" w:rsidP="002F32E3">
            <w:pPr>
              <w:pStyle w:val="ENoteTableText"/>
            </w:pPr>
            <w:r w:rsidRPr="00576D60">
              <w:t>ad F2020L01654</w:t>
            </w:r>
          </w:p>
        </w:tc>
      </w:tr>
      <w:tr w:rsidR="00E93F58" w:rsidRPr="00576D60" w14:paraId="34B035C9" w14:textId="77777777" w:rsidTr="002F32E3">
        <w:trPr>
          <w:cantSplit/>
        </w:trPr>
        <w:tc>
          <w:tcPr>
            <w:tcW w:w="1500" w:type="pct"/>
            <w:shd w:val="clear" w:color="auto" w:fill="auto"/>
          </w:tcPr>
          <w:p w14:paraId="77DE35FB" w14:textId="77777777" w:rsidR="00E93F58" w:rsidRPr="00576D60" w:rsidRDefault="00E93F58" w:rsidP="002F32E3">
            <w:pPr>
              <w:pStyle w:val="ENoteTableText"/>
              <w:tabs>
                <w:tab w:val="left" w:leader="dot" w:pos="2268"/>
              </w:tabs>
            </w:pPr>
            <w:r w:rsidRPr="00576D60">
              <w:t>r 5.3B.09</w:t>
            </w:r>
            <w:r w:rsidRPr="00576D60">
              <w:tab/>
            </w:r>
          </w:p>
        </w:tc>
        <w:tc>
          <w:tcPr>
            <w:tcW w:w="3500" w:type="pct"/>
            <w:shd w:val="clear" w:color="auto" w:fill="auto"/>
          </w:tcPr>
          <w:p w14:paraId="22C9D9AB" w14:textId="77777777" w:rsidR="00E93F58" w:rsidRPr="00576D60" w:rsidRDefault="00E93F58" w:rsidP="002F32E3">
            <w:pPr>
              <w:pStyle w:val="ENoteTableText"/>
            </w:pPr>
            <w:r w:rsidRPr="00576D60">
              <w:t>ad F2020L01654</w:t>
            </w:r>
          </w:p>
        </w:tc>
      </w:tr>
      <w:tr w:rsidR="00E93F58" w:rsidRPr="00576D60" w14:paraId="63E7B246" w14:textId="77777777" w:rsidTr="002F32E3">
        <w:trPr>
          <w:cantSplit/>
        </w:trPr>
        <w:tc>
          <w:tcPr>
            <w:tcW w:w="1500" w:type="pct"/>
            <w:shd w:val="clear" w:color="auto" w:fill="auto"/>
          </w:tcPr>
          <w:p w14:paraId="670C307E" w14:textId="77777777" w:rsidR="00E93F58" w:rsidRPr="00576D60" w:rsidRDefault="00E93F58" w:rsidP="002F32E3">
            <w:pPr>
              <w:pStyle w:val="ENoteTableText"/>
              <w:tabs>
                <w:tab w:val="left" w:leader="dot" w:pos="2268"/>
              </w:tabs>
            </w:pPr>
            <w:r w:rsidRPr="00576D60">
              <w:t>r 5.3B.10</w:t>
            </w:r>
            <w:r w:rsidRPr="00576D60">
              <w:tab/>
            </w:r>
          </w:p>
        </w:tc>
        <w:tc>
          <w:tcPr>
            <w:tcW w:w="3500" w:type="pct"/>
            <w:shd w:val="clear" w:color="auto" w:fill="auto"/>
          </w:tcPr>
          <w:p w14:paraId="59AD2EC2" w14:textId="77777777" w:rsidR="00E93F58" w:rsidRPr="00576D60" w:rsidRDefault="00E93F58" w:rsidP="002F32E3">
            <w:pPr>
              <w:pStyle w:val="ENoteTableText"/>
            </w:pPr>
            <w:r w:rsidRPr="00576D60">
              <w:t>ad F2020L01654</w:t>
            </w:r>
          </w:p>
        </w:tc>
      </w:tr>
      <w:tr w:rsidR="00E93F58" w:rsidRPr="00576D60" w14:paraId="13C46A60" w14:textId="77777777" w:rsidTr="002F32E3">
        <w:trPr>
          <w:cantSplit/>
        </w:trPr>
        <w:tc>
          <w:tcPr>
            <w:tcW w:w="1500" w:type="pct"/>
            <w:shd w:val="clear" w:color="auto" w:fill="auto"/>
          </w:tcPr>
          <w:p w14:paraId="4AAF138D" w14:textId="77777777" w:rsidR="00E93F58" w:rsidRPr="00576D60" w:rsidRDefault="00E93F58" w:rsidP="002F32E3">
            <w:pPr>
              <w:pStyle w:val="ENoteTableText"/>
              <w:tabs>
                <w:tab w:val="left" w:leader="dot" w:pos="2268"/>
              </w:tabs>
            </w:pPr>
          </w:p>
        </w:tc>
        <w:tc>
          <w:tcPr>
            <w:tcW w:w="3500" w:type="pct"/>
            <w:shd w:val="clear" w:color="auto" w:fill="auto"/>
          </w:tcPr>
          <w:p w14:paraId="398DE62F" w14:textId="77777777" w:rsidR="00E93F58" w:rsidRPr="00576D60" w:rsidRDefault="00E93F58" w:rsidP="002F32E3">
            <w:pPr>
              <w:pStyle w:val="ENoteTableText"/>
            </w:pPr>
            <w:r w:rsidRPr="00576D60">
              <w:t>rep F2021L01847</w:t>
            </w:r>
          </w:p>
        </w:tc>
      </w:tr>
      <w:tr w:rsidR="00E93F58" w:rsidRPr="00576D60" w14:paraId="69AC9321" w14:textId="77777777" w:rsidTr="002B7F75">
        <w:trPr>
          <w:cantSplit/>
        </w:trPr>
        <w:tc>
          <w:tcPr>
            <w:tcW w:w="1500" w:type="pct"/>
            <w:shd w:val="clear" w:color="auto" w:fill="auto"/>
          </w:tcPr>
          <w:p w14:paraId="71319B6C" w14:textId="77777777" w:rsidR="00E93F58" w:rsidRPr="00576D60" w:rsidRDefault="00E93F58" w:rsidP="008871AE">
            <w:pPr>
              <w:pStyle w:val="ENoteTableText"/>
              <w:tabs>
                <w:tab w:val="left" w:leader="dot" w:pos="2268"/>
              </w:tabs>
            </w:pPr>
            <w:r w:rsidRPr="00576D60">
              <w:t>r 5.3B.11</w:t>
            </w:r>
            <w:r w:rsidRPr="00576D60">
              <w:tab/>
            </w:r>
          </w:p>
        </w:tc>
        <w:tc>
          <w:tcPr>
            <w:tcW w:w="3500" w:type="pct"/>
            <w:shd w:val="clear" w:color="auto" w:fill="auto"/>
          </w:tcPr>
          <w:p w14:paraId="17246111" w14:textId="77777777" w:rsidR="00E93F58" w:rsidRPr="00576D60" w:rsidRDefault="00E93F58" w:rsidP="002B7F75">
            <w:pPr>
              <w:pStyle w:val="ENoteTableText"/>
            </w:pPr>
            <w:r w:rsidRPr="00576D60">
              <w:t>ad F2020L01654</w:t>
            </w:r>
          </w:p>
        </w:tc>
      </w:tr>
      <w:tr w:rsidR="00E93F58" w:rsidRPr="00576D60" w14:paraId="17011FB2" w14:textId="77777777" w:rsidTr="002F32E3">
        <w:trPr>
          <w:cantSplit/>
        </w:trPr>
        <w:tc>
          <w:tcPr>
            <w:tcW w:w="1500" w:type="pct"/>
            <w:shd w:val="clear" w:color="auto" w:fill="auto"/>
          </w:tcPr>
          <w:p w14:paraId="1C953D8B" w14:textId="77777777" w:rsidR="00E93F58" w:rsidRPr="00576D60" w:rsidRDefault="00E93F58" w:rsidP="002F32E3">
            <w:pPr>
              <w:pStyle w:val="ENoteTableText"/>
              <w:tabs>
                <w:tab w:val="left" w:leader="dot" w:pos="2268"/>
              </w:tabs>
              <w:rPr>
                <w:b/>
              </w:rPr>
            </w:pPr>
            <w:r w:rsidRPr="00576D60">
              <w:rPr>
                <w:b/>
              </w:rPr>
              <w:t>Subdivision C</w:t>
            </w:r>
          </w:p>
        </w:tc>
        <w:tc>
          <w:tcPr>
            <w:tcW w:w="3500" w:type="pct"/>
            <w:shd w:val="clear" w:color="auto" w:fill="auto"/>
          </w:tcPr>
          <w:p w14:paraId="2466CE32" w14:textId="77777777" w:rsidR="00E93F58" w:rsidRPr="00576D60" w:rsidRDefault="00E93F58" w:rsidP="002F32E3">
            <w:pPr>
              <w:pStyle w:val="ENoteTableText"/>
            </w:pPr>
          </w:p>
        </w:tc>
      </w:tr>
      <w:tr w:rsidR="00E93F58" w:rsidRPr="00576D60" w14:paraId="360712E4" w14:textId="77777777" w:rsidTr="002B7F75">
        <w:trPr>
          <w:cantSplit/>
        </w:trPr>
        <w:tc>
          <w:tcPr>
            <w:tcW w:w="1500" w:type="pct"/>
            <w:shd w:val="clear" w:color="auto" w:fill="auto"/>
          </w:tcPr>
          <w:p w14:paraId="2129A6BD" w14:textId="77777777" w:rsidR="00E93F58" w:rsidRPr="00576D60" w:rsidRDefault="00E93F58" w:rsidP="008871AE">
            <w:pPr>
              <w:pStyle w:val="ENoteTableText"/>
              <w:tabs>
                <w:tab w:val="left" w:leader="dot" w:pos="2268"/>
              </w:tabs>
            </w:pPr>
            <w:r w:rsidRPr="00576D60">
              <w:t>r 5.3B.12</w:t>
            </w:r>
            <w:r w:rsidRPr="00576D60">
              <w:tab/>
            </w:r>
          </w:p>
        </w:tc>
        <w:tc>
          <w:tcPr>
            <w:tcW w:w="3500" w:type="pct"/>
            <w:shd w:val="clear" w:color="auto" w:fill="auto"/>
          </w:tcPr>
          <w:p w14:paraId="55EE678B" w14:textId="77777777" w:rsidR="00E93F58" w:rsidRPr="00576D60" w:rsidRDefault="00E93F58" w:rsidP="002B7F75">
            <w:pPr>
              <w:pStyle w:val="ENoteTableText"/>
            </w:pPr>
            <w:r w:rsidRPr="00576D60">
              <w:t>ad F2020L01654</w:t>
            </w:r>
          </w:p>
        </w:tc>
      </w:tr>
      <w:tr w:rsidR="00E93F58" w:rsidRPr="00576D60" w14:paraId="3E5AF8D8" w14:textId="77777777" w:rsidTr="002F32E3">
        <w:trPr>
          <w:cantSplit/>
        </w:trPr>
        <w:tc>
          <w:tcPr>
            <w:tcW w:w="1500" w:type="pct"/>
            <w:shd w:val="clear" w:color="auto" w:fill="auto"/>
          </w:tcPr>
          <w:p w14:paraId="486C9509" w14:textId="77777777" w:rsidR="00E93F58" w:rsidRPr="00576D60" w:rsidRDefault="00E93F58" w:rsidP="00704E0B">
            <w:pPr>
              <w:pStyle w:val="ENoteTableText"/>
              <w:keepNext/>
              <w:tabs>
                <w:tab w:val="left" w:leader="dot" w:pos="2268"/>
              </w:tabs>
              <w:rPr>
                <w:b/>
              </w:rPr>
            </w:pPr>
            <w:r w:rsidRPr="00576D60">
              <w:rPr>
                <w:b/>
              </w:rPr>
              <w:lastRenderedPageBreak/>
              <w:t>Division 3</w:t>
            </w:r>
          </w:p>
        </w:tc>
        <w:tc>
          <w:tcPr>
            <w:tcW w:w="3500" w:type="pct"/>
            <w:shd w:val="clear" w:color="auto" w:fill="auto"/>
          </w:tcPr>
          <w:p w14:paraId="089E5CCE" w14:textId="77777777" w:rsidR="00E93F58" w:rsidRPr="00576D60" w:rsidRDefault="00E93F58" w:rsidP="002F32E3">
            <w:pPr>
              <w:pStyle w:val="ENoteTableText"/>
            </w:pPr>
          </w:p>
        </w:tc>
      </w:tr>
      <w:tr w:rsidR="00E93F58" w:rsidRPr="00576D60" w14:paraId="0FCFD45D" w14:textId="77777777" w:rsidTr="002F32E3">
        <w:trPr>
          <w:cantSplit/>
        </w:trPr>
        <w:tc>
          <w:tcPr>
            <w:tcW w:w="1500" w:type="pct"/>
            <w:shd w:val="clear" w:color="auto" w:fill="auto"/>
          </w:tcPr>
          <w:p w14:paraId="43093E2D" w14:textId="77777777" w:rsidR="00E93F58" w:rsidRPr="00576D60" w:rsidRDefault="00E93F58" w:rsidP="002F32E3">
            <w:pPr>
              <w:pStyle w:val="ENoteTableText"/>
              <w:tabs>
                <w:tab w:val="left" w:leader="dot" w:pos="2268"/>
              </w:tabs>
              <w:rPr>
                <w:b/>
              </w:rPr>
            </w:pPr>
            <w:r w:rsidRPr="00576D60">
              <w:rPr>
                <w:b/>
              </w:rPr>
              <w:t>Subdivision A</w:t>
            </w:r>
          </w:p>
        </w:tc>
        <w:tc>
          <w:tcPr>
            <w:tcW w:w="3500" w:type="pct"/>
            <w:shd w:val="clear" w:color="auto" w:fill="auto"/>
          </w:tcPr>
          <w:p w14:paraId="54A317AB" w14:textId="77777777" w:rsidR="00E93F58" w:rsidRPr="00576D60" w:rsidRDefault="00E93F58" w:rsidP="002F32E3">
            <w:pPr>
              <w:pStyle w:val="ENoteTableText"/>
            </w:pPr>
          </w:p>
        </w:tc>
      </w:tr>
      <w:tr w:rsidR="00E93F58" w:rsidRPr="00576D60" w14:paraId="77FC12C8" w14:textId="77777777" w:rsidTr="002B7F75">
        <w:trPr>
          <w:cantSplit/>
        </w:trPr>
        <w:tc>
          <w:tcPr>
            <w:tcW w:w="1500" w:type="pct"/>
            <w:shd w:val="clear" w:color="auto" w:fill="auto"/>
          </w:tcPr>
          <w:p w14:paraId="3312B413" w14:textId="77777777" w:rsidR="00E93F58" w:rsidRPr="00576D60" w:rsidRDefault="00E93F58" w:rsidP="008871AE">
            <w:pPr>
              <w:pStyle w:val="ENoteTableText"/>
              <w:tabs>
                <w:tab w:val="left" w:leader="dot" w:pos="2268"/>
              </w:tabs>
            </w:pPr>
            <w:r w:rsidRPr="00576D60">
              <w:t>r 5.3B.13</w:t>
            </w:r>
            <w:r w:rsidRPr="00576D60">
              <w:tab/>
            </w:r>
          </w:p>
        </w:tc>
        <w:tc>
          <w:tcPr>
            <w:tcW w:w="3500" w:type="pct"/>
            <w:shd w:val="clear" w:color="auto" w:fill="auto"/>
          </w:tcPr>
          <w:p w14:paraId="6F9310E5" w14:textId="77777777" w:rsidR="00E93F58" w:rsidRPr="00576D60" w:rsidRDefault="00E93F58" w:rsidP="002B7F75">
            <w:pPr>
              <w:pStyle w:val="ENoteTableText"/>
            </w:pPr>
            <w:r w:rsidRPr="00576D60">
              <w:t>ad F2020L01654</w:t>
            </w:r>
          </w:p>
        </w:tc>
      </w:tr>
      <w:tr w:rsidR="00E93F58" w:rsidRPr="00576D60" w14:paraId="675192E7" w14:textId="77777777" w:rsidTr="002F32E3">
        <w:trPr>
          <w:cantSplit/>
        </w:trPr>
        <w:tc>
          <w:tcPr>
            <w:tcW w:w="1500" w:type="pct"/>
            <w:shd w:val="clear" w:color="auto" w:fill="auto"/>
          </w:tcPr>
          <w:p w14:paraId="1C696A96" w14:textId="77777777" w:rsidR="00E93F58" w:rsidRPr="00576D60" w:rsidRDefault="00E93F58" w:rsidP="002F32E3">
            <w:pPr>
              <w:pStyle w:val="ENoteTableText"/>
              <w:tabs>
                <w:tab w:val="left" w:leader="dot" w:pos="2268"/>
              </w:tabs>
              <w:rPr>
                <w:b/>
              </w:rPr>
            </w:pPr>
            <w:r w:rsidRPr="00576D60">
              <w:rPr>
                <w:b/>
              </w:rPr>
              <w:t>Subdivision B</w:t>
            </w:r>
          </w:p>
        </w:tc>
        <w:tc>
          <w:tcPr>
            <w:tcW w:w="3500" w:type="pct"/>
            <w:shd w:val="clear" w:color="auto" w:fill="auto"/>
          </w:tcPr>
          <w:p w14:paraId="132AAD93" w14:textId="77777777" w:rsidR="00E93F58" w:rsidRPr="00576D60" w:rsidRDefault="00E93F58" w:rsidP="002F32E3">
            <w:pPr>
              <w:pStyle w:val="ENoteTableText"/>
            </w:pPr>
          </w:p>
        </w:tc>
      </w:tr>
      <w:tr w:rsidR="00E93F58" w:rsidRPr="00576D60" w14:paraId="59DFD45C" w14:textId="77777777" w:rsidTr="002B7F75">
        <w:trPr>
          <w:cantSplit/>
        </w:trPr>
        <w:tc>
          <w:tcPr>
            <w:tcW w:w="1500" w:type="pct"/>
            <w:shd w:val="clear" w:color="auto" w:fill="auto"/>
          </w:tcPr>
          <w:p w14:paraId="3F7D9217" w14:textId="77777777" w:rsidR="00E93F58" w:rsidRPr="00576D60" w:rsidRDefault="00E93F58" w:rsidP="008871AE">
            <w:pPr>
              <w:pStyle w:val="ENoteTableText"/>
              <w:tabs>
                <w:tab w:val="left" w:leader="dot" w:pos="2268"/>
              </w:tabs>
            </w:pPr>
            <w:r w:rsidRPr="00576D60">
              <w:t>r 5.3B.14</w:t>
            </w:r>
            <w:r w:rsidRPr="00576D60">
              <w:tab/>
            </w:r>
          </w:p>
        </w:tc>
        <w:tc>
          <w:tcPr>
            <w:tcW w:w="3500" w:type="pct"/>
            <w:shd w:val="clear" w:color="auto" w:fill="auto"/>
          </w:tcPr>
          <w:p w14:paraId="4F5A64F4" w14:textId="77777777" w:rsidR="00E93F58" w:rsidRPr="00576D60" w:rsidRDefault="00E93F58" w:rsidP="002B7F75">
            <w:pPr>
              <w:pStyle w:val="ENoteTableText"/>
            </w:pPr>
            <w:r w:rsidRPr="00576D60">
              <w:t>ad F2020L01654</w:t>
            </w:r>
          </w:p>
        </w:tc>
      </w:tr>
      <w:tr w:rsidR="00E93F58" w:rsidRPr="00576D60" w14:paraId="6AC88748" w14:textId="77777777" w:rsidTr="002B7F75">
        <w:trPr>
          <w:cantSplit/>
        </w:trPr>
        <w:tc>
          <w:tcPr>
            <w:tcW w:w="1500" w:type="pct"/>
            <w:shd w:val="clear" w:color="auto" w:fill="auto"/>
          </w:tcPr>
          <w:p w14:paraId="7AE2A097" w14:textId="77777777" w:rsidR="00E93F58" w:rsidRPr="00576D60" w:rsidRDefault="00E93F58" w:rsidP="008871AE">
            <w:pPr>
              <w:pStyle w:val="ENoteTableText"/>
              <w:tabs>
                <w:tab w:val="left" w:leader="dot" w:pos="2268"/>
              </w:tabs>
            </w:pPr>
            <w:r w:rsidRPr="00576D60">
              <w:t>r 5.3B.15</w:t>
            </w:r>
            <w:r w:rsidRPr="00576D60">
              <w:tab/>
            </w:r>
          </w:p>
        </w:tc>
        <w:tc>
          <w:tcPr>
            <w:tcW w:w="3500" w:type="pct"/>
            <w:shd w:val="clear" w:color="auto" w:fill="auto"/>
          </w:tcPr>
          <w:p w14:paraId="6337B285" w14:textId="77777777" w:rsidR="00E93F58" w:rsidRPr="00576D60" w:rsidRDefault="00E93F58" w:rsidP="002B7F75">
            <w:pPr>
              <w:pStyle w:val="ENoteTableText"/>
            </w:pPr>
            <w:r w:rsidRPr="00576D60">
              <w:t>ad F2020L01654</w:t>
            </w:r>
          </w:p>
        </w:tc>
      </w:tr>
      <w:tr w:rsidR="00E93F58" w:rsidRPr="00576D60" w14:paraId="1E4F0F90" w14:textId="77777777" w:rsidTr="002B7F75">
        <w:trPr>
          <w:cantSplit/>
        </w:trPr>
        <w:tc>
          <w:tcPr>
            <w:tcW w:w="1500" w:type="pct"/>
            <w:shd w:val="clear" w:color="auto" w:fill="auto"/>
          </w:tcPr>
          <w:p w14:paraId="29FAD5BC" w14:textId="77777777" w:rsidR="00E93F58" w:rsidRPr="00576D60" w:rsidRDefault="00E93F58" w:rsidP="008871AE">
            <w:pPr>
              <w:pStyle w:val="ENoteTableText"/>
              <w:tabs>
                <w:tab w:val="left" w:leader="dot" w:pos="2268"/>
              </w:tabs>
            </w:pPr>
          </w:p>
        </w:tc>
        <w:tc>
          <w:tcPr>
            <w:tcW w:w="3500" w:type="pct"/>
            <w:shd w:val="clear" w:color="auto" w:fill="auto"/>
          </w:tcPr>
          <w:p w14:paraId="16E65B73" w14:textId="77777777" w:rsidR="00E93F58" w:rsidRPr="00576D60" w:rsidRDefault="00E93F58" w:rsidP="002B7F75">
            <w:pPr>
              <w:pStyle w:val="ENoteTableText"/>
            </w:pPr>
            <w:r w:rsidRPr="00576D60">
              <w:t>am F2021L01847</w:t>
            </w:r>
          </w:p>
        </w:tc>
      </w:tr>
      <w:tr w:rsidR="00E93F58" w:rsidRPr="00576D60" w14:paraId="39CA59B6" w14:textId="77777777" w:rsidTr="002B7F75">
        <w:trPr>
          <w:cantSplit/>
        </w:trPr>
        <w:tc>
          <w:tcPr>
            <w:tcW w:w="1500" w:type="pct"/>
            <w:shd w:val="clear" w:color="auto" w:fill="auto"/>
          </w:tcPr>
          <w:p w14:paraId="5A14D769" w14:textId="77777777" w:rsidR="00E93F58" w:rsidRPr="00576D60" w:rsidRDefault="00E93F58" w:rsidP="008871AE">
            <w:pPr>
              <w:pStyle w:val="ENoteTableText"/>
              <w:tabs>
                <w:tab w:val="left" w:leader="dot" w:pos="2268"/>
              </w:tabs>
            </w:pPr>
            <w:r w:rsidRPr="00576D60">
              <w:t>r 5.3B.16</w:t>
            </w:r>
            <w:r w:rsidRPr="00576D60">
              <w:tab/>
            </w:r>
          </w:p>
        </w:tc>
        <w:tc>
          <w:tcPr>
            <w:tcW w:w="3500" w:type="pct"/>
            <w:shd w:val="clear" w:color="auto" w:fill="auto"/>
          </w:tcPr>
          <w:p w14:paraId="6C98B7A6" w14:textId="77777777" w:rsidR="00E93F58" w:rsidRPr="00576D60" w:rsidRDefault="00E93F58" w:rsidP="002B7F75">
            <w:pPr>
              <w:pStyle w:val="ENoteTableText"/>
            </w:pPr>
            <w:r w:rsidRPr="00576D60">
              <w:t>ad F2020L01654</w:t>
            </w:r>
          </w:p>
        </w:tc>
      </w:tr>
      <w:tr w:rsidR="00E93F58" w:rsidRPr="00576D60" w14:paraId="31E37A2A" w14:textId="77777777" w:rsidTr="002B7F75">
        <w:trPr>
          <w:cantSplit/>
        </w:trPr>
        <w:tc>
          <w:tcPr>
            <w:tcW w:w="1500" w:type="pct"/>
            <w:shd w:val="clear" w:color="auto" w:fill="auto"/>
          </w:tcPr>
          <w:p w14:paraId="22E05F14" w14:textId="77777777" w:rsidR="00E93F58" w:rsidRPr="00576D60" w:rsidRDefault="00E93F58" w:rsidP="008871AE">
            <w:pPr>
              <w:pStyle w:val="ENoteTableText"/>
              <w:tabs>
                <w:tab w:val="left" w:leader="dot" w:pos="2268"/>
              </w:tabs>
            </w:pPr>
            <w:r w:rsidRPr="00576D60">
              <w:t>r 5.3B.17</w:t>
            </w:r>
            <w:r w:rsidRPr="00576D60">
              <w:tab/>
            </w:r>
          </w:p>
        </w:tc>
        <w:tc>
          <w:tcPr>
            <w:tcW w:w="3500" w:type="pct"/>
            <w:shd w:val="clear" w:color="auto" w:fill="auto"/>
          </w:tcPr>
          <w:p w14:paraId="14AC5271" w14:textId="77777777" w:rsidR="00E93F58" w:rsidRPr="00576D60" w:rsidRDefault="00E93F58" w:rsidP="002B7F75">
            <w:pPr>
              <w:pStyle w:val="ENoteTableText"/>
            </w:pPr>
            <w:r w:rsidRPr="00576D60">
              <w:t>ad F2020L01654</w:t>
            </w:r>
          </w:p>
        </w:tc>
      </w:tr>
      <w:tr w:rsidR="00E93F58" w:rsidRPr="00576D60" w14:paraId="1BEDD738" w14:textId="77777777" w:rsidTr="002B7F75">
        <w:trPr>
          <w:cantSplit/>
        </w:trPr>
        <w:tc>
          <w:tcPr>
            <w:tcW w:w="1500" w:type="pct"/>
            <w:shd w:val="clear" w:color="auto" w:fill="auto"/>
          </w:tcPr>
          <w:p w14:paraId="7ED2712D" w14:textId="77777777" w:rsidR="00E93F58" w:rsidRPr="00576D60" w:rsidRDefault="00E93F58" w:rsidP="008871AE">
            <w:pPr>
              <w:pStyle w:val="ENoteTableText"/>
              <w:tabs>
                <w:tab w:val="left" w:leader="dot" w:pos="2268"/>
              </w:tabs>
            </w:pPr>
            <w:r w:rsidRPr="00576D60">
              <w:t>r 5.3B.18</w:t>
            </w:r>
            <w:r w:rsidRPr="00576D60">
              <w:tab/>
            </w:r>
          </w:p>
        </w:tc>
        <w:tc>
          <w:tcPr>
            <w:tcW w:w="3500" w:type="pct"/>
            <w:shd w:val="clear" w:color="auto" w:fill="auto"/>
          </w:tcPr>
          <w:p w14:paraId="6A4CB5F8" w14:textId="77777777" w:rsidR="00E93F58" w:rsidRPr="00576D60" w:rsidRDefault="00E93F58" w:rsidP="002B7F75">
            <w:pPr>
              <w:pStyle w:val="ENoteTableText"/>
            </w:pPr>
            <w:r w:rsidRPr="00576D60">
              <w:t>ad F2020L01654</w:t>
            </w:r>
          </w:p>
        </w:tc>
      </w:tr>
      <w:tr w:rsidR="00E93F58" w:rsidRPr="00576D60" w14:paraId="4D663DBE" w14:textId="77777777" w:rsidTr="002B7F75">
        <w:trPr>
          <w:cantSplit/>
        </w:trPr>
        <w:tc>
          <w:tcPr>
            <w:tcW w:w="1500" w:type="pct"/>
            <w:shd w:val="clear" w:color="auto" w:fill="auto"/>
          </w:tcPr>
          <w:p w14:paraId="0E6636F2" w14:textId="77777777" w:rsidR="00E93F58" w:rsidRPr="00576D60" w:rsidRDefault="00E93F58" w:rsidP="008871AE">
            <w:pPr>
              <w:pStyle w:val="ENoteTableText"/>
              <w:tabs>
                <w:tab w:val="left" w:leader="dot" w:pos="2268"/>
              </w:tabs>
            </w:pPr>
            <w:r w:rsidRPr="00576D60">
              <w:t>r 5.3B.19</w:t>
            </w:r>
            <w:r w:rsidRPr="00576D60">
              <w:tab/>
            </w:r>
          </w:p>
        </w:tc>
        <w:tc>
          <w:tcPr>
            <w:tcW w:w="3500" w:type="pct"/>
            <w:shd w:val="clear" w:color="auto" w:fill="auto"/>
          </w:tcPr>
          <w:p w14:paraId="02568CDA" w14:textId="77777777" w:rsidR="00E93F58" w:rsidRPr="00576D60" w:rsidRDefault="00E93F58" w:rsidP="002B7F75">
            <w:pPr>
              <w:pStyle w:val="ENoteTableText"/>
            </w:pPr>
            <w:r w:rsidRPr="00576D60">
              <w:t>ad F2020L01654</w:t>
            </w:r>
          </w:p>
        </w:tc>
      </w:tr>
      <w:tr w:rsidR="00E93F58" w:rsidRPr="00576D60" w14:paraId="2D721192" w14:textId="77777777" w:rsidTr="002B7F75">
        <w:trPr>
          <w:cantSplit/>
        </w:trPr>
        <w:tc>
          <w:tcPr>
            <w:tcW w:w="1500" w:type="pct"/>
            <w:shd w:val="clear" w:color="auto" w:fill="auto"/>
          </w:tcPr>
          <w:p w14:paraId="665B84DB" w14:textId="77777777" w:rsidR="00E93F58" w:rsidRPr="00576D60" w:rsidRDefault="00E93F58" w:rsidP="008871AE">
            <w:pPr>
              <w:pStyle w:val="ENoteTableText"/>
              <w:tabs>
                <w:tab w:val="left" w:leader="dot" w:pos="2268"/>
              </w:tabs>
            </w:pPr>
            <w:r w:rsidRPr="00576D60">
              <w:t>r 5.3B.20</w:t>
            </w:r>
            <w:r w:rsidRPr="00576D60">
              <w:tab/>
            </w:r>
          </w:p>
        </w:tc>
        <w:tc>
          <w:tcPr>
            <w:tcW w:w="3500" w:type="pct"/>
            <w:shd w:val="clear" w:color="auto" w:fill="auto"/>
          </w:tcPr>
          <w:p w14:paraId="6004A670" w14:textId="77777777" w:rsidR="00E93F58" w:rsidRPr="00576D60" w:rsidRDefault="00E93F58" w:rsidP="002B7F75">
            <w:pPr>
              <w:pStyle w:val="ENoteTableText"/>
            </w:pPr>
            <w:r w:rsidRPr="00576D60">
              <w:t>ad F2020L01654</w:t>
            </w:r>
          </w:p>
        </w:tc>
      </w:tr>
      <w:tr w:rsidR="00E93F58" w:rsidRPr="00576D60" w14:paraId="7F0B8FA7" w14:textId="77777777" w:rsidTr="002B7F75">
        <w:trPr>
          <w:cantSplit/>
        </w:trPr>
        <w:tc>
          <w:tcPr>
            <w:tcW w:w="1500" w:type="pct"/>
            <w:shd w:val="clear" w:color="auto" w:fill="auto"/>
          </w:tcPr>
          <w:p w14:paraId="0C18E3B0" w14:textId="77777777" w:rsidR="00E93F58" w:rsidRPr="00576D60" w:rsidRDefault="00E93F58" w:rsidP="008871AE">
            <w:pPr>
              <w:pStyle w:val="ENoteTableText"/>
              <w:tabs>
                <w:tab w:val="left" w:leader="dot" w:pos="2268"/>
              </w:tabs>
            </w:pPr>
            <w:r w:rsidRPr="00576D60">
              <w:t>r 5.3B.21</w:t>
            </w:r>
            <w:r w:rsidRPr="00576D60">
              <w:tab/>
            </w:r>
          </w:p>
        </w:tc>
        <w:tc>
          <w:tcPr>
            <w:tcW w:w="3500" w:type="pct"/>
            <w:shd w:val="clear" w:color="auto" w:fill="auto"/>
          </w:tcPr>
          <w:p w14:paraId="31E37BA7" w14:textId="77777777" w:rsidR="00E93F58" w:rsidRPr="00576D60" w:rsidRDefault="00E93F58" w:rsidP="002B7F75">
            <w:pPr>
              <w:pStyle w:val="ENoteTableText"/>
            </w:pPr>
            <w:r w:rsidRPr="00576D60">
              <w:t>ad F2020L01654</w:t>
            </w:r>
          </w:p>
        </w:tc>
      </w:tr>
      <w:tr w:rsidR="00E93F58" w:rsidRPr="00576D60" w14:paraId="4043399F" w14:textId="77777777" w:rsidTr="002B7F75">
        <w:trPr>
          <w:cantSplit/>
        </w:trPr>
        <w:tc>
          <w:tcPr>
            <w:tcW w:w="1500" w:type="pct"/>
            <w:shd w:val="clear" w:color="auto" w:fill="auto"/>
          </w:tcPr>
          <w:p w14:paraId="7992FFA3" w14:textId="77777777" w:rsidR="00E93F58" w:rsidRPr="00576D60" w:rsidRDefault="00E93F58" w:rsidP="008871AE">
            <w:pPr>
              <w:pStyle w:val="ENoteTableText"/>
              <w:tabs>
                <w:tab w:val="left" w:leader="dot" w:pos="2268"/>
              </w:tabs>
            </w:pPr>
            <w:r w:rsidRPr="00576D60">
              <w:t>r 5.3B.22</w:t>
            </w:r>
            <w:r w:rsidRPr="00576D60">
              <w:tab/>
            </w:r>
          </w:p>
        </w:tc>
        <w:tc>
          <w:tcPr>
            <w:tcW w:w="3500" w:type="pct"/>
            <w:shd w:val="clear" w:color="auto" w:fill="auto"/>
          </w:tcPr>
          <w:p w14:paraId="176607BA" w14:textId="77777777" w:rsidR="00E93F58" w:rsidRPr="00576D60" w:rsidRDefault="00E93F58" w:rsidP="002B7F75">
            <w:pPr>
              <w:pStyle w:val="ENoteTableText"/>
            </w:pPr>
            <w:r w:rsidRPr="00576D60">
              <w:t>ad F2020L01654</w:t>
            </w:r>
          </w:p>
        </w:tc>
      </w:tr>
      <w:tr w:rsidR="00E93F58" w:rsidRPr="00576D60" w14:paraId="188D7C88" w14:textId="77777777" w:rsidTr="002B7F75">
        <w:trPr>
          <w:cantSplit/>
        </w:trPr>
        <w:tc>
          <w:tcPr>
            <w:tcW w:w="1500" w:type="pct"/>
            <w:shd w:val="clear" w:color="auto" w:fill="auto"/>
          </w:tcPr>
          <w:p w14:paraId="6E065470" w14:textId="77777777" w:rsidR="00E93F58" w:rsidRPr="00576D60" w:rsidRDefault="00E93F58" w:rsidP="008871AE">
            <w:pPr>
              <w:pStyle w:val="ENoteTableText"/>
              <w:tabs>
                <w:tab w:val="left" w:leader="dot" w:pos="2268"/>
              </w:tabs>
            </w:pPr>
            <w:r w:rsidRPr="00576D60">
              <w:t>r 5.3B.23</w:t>
            </w:r>
            <w:r w:rsidRPr="00576D60">
              <w:tab/>
            </w:r>
          </w:p>
        </w:tc>
        <w:tc>
          <w:tcPr>
            <w:tcW w:w="3500" w:type="pct"/>
            <w:shd w:val="clear" w:color="auto" w:fill="auto"/>
          </w:tcPr>
          <w:p w14:paraId="03E23810" w14:textId="77777777" w:rsidR="00E93F58" w:rsidRPr="00576D60" w:rsidRDefault="00E93F58" w:rsidP="002B7F75">
            <w:pPr>
              <w:pStyle w:val="ENoteTableText"/>
            </w:pPr>
            <w:r w:rsidRPr="00576D60">
              <w:t>ad F2020L01654</w:t>
            </w:r>
          </w:p>
        </w:tc>
      </w:tr>
      <w:tr w:rsidR="00E93F58" w:rsidRPr="00576D60" w14:paraId="18274077" w14:textId="77777777" w:rsidTr="002B7F75">
        <w:trPr>
          <w:cantSplit/>
        </w:trPr>
        <w:tc>
          <w:tcPr>
            <w:tcW w:w="1500" w:type="pct"/>
            <w:shd w:val="clear" w:color="auto" w:fill="auto"/>
          </w:tcPr>
          <w:p w14:paraId="06EF2229" w14:textId="77777777" w:rsidR="00E93F58" w:rsidRPr="00576D60" w:rsidRDefault="00E93F58" w:rsidP="008871AE">
            <w:pPr>
              <w:pStyle w:val="ENoteTableText"/>
              <w:tabs>
                <w:tab w:val="left" w:leader="dot" w:pos="2268"/>
              </w:tabs>
            </w:pPr>
            <w:r w:rsidRPr="00576D60">
              <w:t>r 5.3B.24</w:t>
            </w:r>
            <w:r w:rsidRPr="00576D60">
              <w:tab/>
            </w:r>
          </w:p>
        </w:tc>
        <w:tc>
          <w:tcPr>
            <w:tcW w:w="3500" w:type="pct"/>
            <w:shd w:val="clear" w:color="auto" w:fill="auto"/>
          </w:tcPr>
          <w:p w14:paraId="1EFE2D94" w14:textId="77777777" w:rsidR="00E93F58" w:rsidRPr="00576D60" w:rsidRDefault="00E93F58" w:rsidP="002B7F75">
            <w:pPr>
              <w:pStyle w:val="ENoteTableText"/>
            </w:pPr>
            <w:r w:rsidRPr="00576D60">
              <w:t>ad F2020L01654</w:t>
            </w:r>
          </w:p>
        </w:tc>
      </w:tr>
      <w:tr w:rsidR="00E93F58" w:rsidRPr="00576D60" w14:paraId="6F49CFA3" w14:textId="77777777" w:rsidTr="002F32E3">
        <w:trPr>
          <w:cantSplit/>
        </w:trPr>
        <w:tc>
          <w:tcPr>
            <w:tcW w:w="1500" w:type="pct"/>
            <w:shd w:val="clear" w:color="auto" w:fill="auto"/>
          </w:tcPr>
          <w:p w14:paraId="34E0C376" w14:textId="77777777" w:rsidR="00E93F58" w:rsidRPr="00576D60" w:rsidRDefault="00E93F58" w:rsidP="002F32E3">
            <w:pPr>
              <w:pStyle w:val="ENoteTableText"/>
              <w:tabs>
                <w:tab w:val="left" w:leader="dot" w:pos="2268"/>
              </w:tabs>
              <w:rPr>
                <w:b/>
              </w:rPr>
            </w:pPr>
            <w:r w:rsidRPr="00576D60">
              <w:rPr>
                <w:b/>
              </w:rPr>
              <w:t>Subdivision C</w:t>
            </w:r>
          </w:p>
        </w:tc>
        <w:tc>
          <w:tcPr>
            <w:tcW w:w="3500" w:type="pct"/>
            <w:shd w:val="clear" w:color="auto" w:fill="auto"/>
          </w:tcPr>
          <w:p w14:paraId="2DB7627B" w14:textId="77777777" w:rsidR="00E93F58" w:rsidRPr="00576D60" w:rsidRDefault="00E93F58" w:rsidP="002F32E3">
            <w:pPr>
              <w:pStyle w:val="ENoteTableText"/>
            </w:pPr>
          </w:p>
        </w:tc>
      </w:tr>
      <w:tr w:rsidR="00E93F58" w:rsidRPr="00576D60" w14:paraId="78F024EF" w14:textId="77777777" w:rsidTr="002B7F75">
        <w:trPr>
          <w:cantSplit/>
        </w:trPr>
        <w:tc>
          <w:tcPr>
            <w:tcW w:w="1500" w:type="pct"/>
            <w:shd w:val="clear" w:color="auto" w:fill="auto"/>
          </w:tcPr>
          <w:p w14:paraId="7DAFA0F0" w14:textId="77777777" w:rsidR="00E93F58" w:rsidRPr="00576D60" w:rsidRDefault="00E93F58" w:rsidP="008871AE">
            <w:pPr>
              <w:pStyle w:val="ENoteTableText"/>
              <w:tabs>
                <w:tab w:val="left" w:leader="dot" w:pos="2268"/>
              </w:tabs>
            </w:pPr>
            <w:r w:rsidRPr="00576D60">
              <w:t>r 5.3B.25</w:t>
            </w:r>
            <w:r w:rsidRPr="00576D60">
              <w:tab/>
            </w:r>
          </w:p>
        </w:tc>
        <w:tc>
          <w:tcPr>
            <w:tcW w:w="3500" w:type="pct"/>
            <w:shd w:val="clear" w:color="auto" w:fill="auto"/>
          </w:tcPr>
          <w:p w14:paraId="55BE19C9" w14:textId="77777777" w:rsidR="00E93F58" w:rsidRPr="00576D60" w:rsidRDefault="00E93F58" w:rsidP="002B7F75">
            <w:pPr>
              <w:pStyle w:val="ENoteTableText"/>
            </w:pPr>
            <w:r w:rsidRPr="00576D60">
              <w:t>ad F2020L01654</w:t>
            </w:r>
          </w:p>
        </w:tc>
      </w:tr>
      <w:tr w:rsidR="00E93F58" w:rsidRPr="00576D60" w14:paraId="71DB9F16" w14:textId="77777777" w:rsidTr="002B7F75">
        <w:trPr>
          <w:cantSplit/>
        </w:trPr>
        <w:tc>
          <w:tcPr>
            <w:tcW w:w="1500" w:type="pct"/>
            <w:shd w:val="clear" w:color="auto" w:fill="auto"/>
          </w:tcPr>
          <w:p w14:paraId="2FC5DAC3" w14:textId="77777777" w:rsidR="00E93F58" w:rsidRPr="00576D60" w:rsidRDefault="00E93F58" w:rsidP="008871AE">
            <w:pPr>
              <w:pStyle w:val="ENoteTableText"/>
              <w:tabs>
                <w:tab w:val="left" w:leader="dot" w:pos="2268"/>
              </w:tabs>
            </w:pPr>
          </w:p>
        </w:tc>
        <w:tc>
          <w:tcPr>
            <w:tcW w:w="3500" w:type="pct"/>
            <w:shd w:val="clear" w:color="auto" w:fill="auto"/>
          </w:tcPr>
          <w:p w14:paraId="54664115" w14:textId="77777777" w:rsidR="00E93F58" w:rsidRPr="00576D60" w:rsidRDefault="00E93F58" w:rsidP="002B7F75">
            <w:pPr>
              <w:pStyle w:val="ENoteTableText"/>
            </w:pPr>
            <w:r w:rsidRPr="00576D60">
              <w:t>am F2022L01627</w:t>
            </w:r>
          </w:p>
        </w:tc>
      </w:tr>
      <w:tr w:rsidR="00E93F58" w:rsidRPr="00576D60" w14:paraId="2C0EE0EA" w14:textId="77777777" w:rsidTr="002B7F75">
        <w:trPr>
          <w:cantSplit/>
        </w:trPr>
        <w:tc>
          <w:tcPr>
            <w:tcW w:w="1500" w:type="pct"/>
            <w:shd w:val="clear" w:color="auto" w:fill="auto"/>
          </w:tcPr>
          <w:p w14:paraId="117314BE" w14:textId="77777777" w:rsidR="00E93F58" w:rsidRPr="00576D60" w:rsidRDefault="00E93F58" w:rsidP="008871AE">
            <w:pPr>
              <w:pStyle w:val="ENoteTableText"/>
              <w:tabs>
                <w:tab w:val="left" w:leader="dot" w:pos="2268"/>
              </w:tabs>
            </w:pPr>
            <w:r w:rsidRPr="00576D60">
              <w:t>r 5.3B.26</w:t>
            </w:r>
            <w:r w:rsidRPr="00576D60">
              <w:tab/>
            </w:r>
          </w:p>
        </w:tc>
        <w:tc>
          <w:tcPr>
            <w:tcW w:w="3500" w:type="pct"/>
            <w:shd w:val="clear" w:color="auto" w:fill="auto"/>
          </w:tcPr>
          <w:p w14:paraId="06EF7958" w14:textId="77777777" w:rsidR="00E93F58" w:rsidRPr="00576D60" w:rsidRDefault="00E93F58" w:rsidP="002B7F75">
            <w:pPr>
              <w:pStyle w:val="ENoteTableText"/>
            </w:pPr>
            <w:r w:rsidRPr="00576D60">
              <w:t>ad F2020L01654</w:t>
            </w:r>
          </w:p>
        </w:tc>
      </w:tr>
      <w:tr w:rsidR="00E93F58" w:rsidRPr="00576D60" w14:paraId="7E35ECBC" w14:textId="77777777" w:rsidTr="002B7F75">
        <w:trPr>
          <w:cantSplit/>
        </w:trPr>
        <w:tc>
          <w:tcPr>
            <w:tcW w:w="1500" w:type="pct"/>
            <w:shd w:val="clear" w:color="auto" w:fill="auto"/>
          </w:tcPr>
          <w:p w14:paraId="51D73079" w14:textId="77777777" w:rsidR="00E93F58" w:rsidRPr="00576D60" w:rsidRDefault="00E93F58" w:rsidP="008871AE">
            <w:pPr>
              <w:pStyle w:val="ENoteTableText"/>
              <w:tabs>
                <w:tab w:val="left" w:leader="dot" w:pos="2268"/>
              </w:tabs>
            </w:pPr>
            <w:r w:rsidRPr="00576D60">
              <w:t>r 5.3B.27</w:t>
            </w:r>
            <w:r w:rsidRPr="00576D60">
              <w:tab/>
            </w:r>
          </w:p>
        </w:tc>
        <w:tc>
          <w:tcPr>
            <w:tcW w:w="3500" w:type="pct"/>
            <w:shd w:val="clear" w:color="auto" w:fill="auto"/>
          </w:tcPr>
          <w:p w14:paraId="476B6607" w14:textId="77777777" w:rsidR="00E93F58" w:rsidRPr="00576D60" w:rsidRDefault="00E93F58" w:rsidP="002B7F75">
            <w:pPr>
              <w:pStyle w:val="ENoteTableText"/>
            </w:pPr>
            <w:r w:rsidRPr="00576D60">
              <w:t>ad F2020L01654</w:t>
            </w:r>
          </w:p>
        </w:tc>
      </w:tr>
      <w:tr w:rsidR="00E93F58" w:rsidRPr="00576D60" w14:paraId="28859CE9" w14:textId="77777777" w:rsidTr="002B7F75">
        <w:trPr>
          <w:cantSplit/>
        </w:trPr>
        <w:tc>
          <w:tcPr>
            <w:tcW w:w="1500" w:type="pct"/>
            <w:shd w:val="clear" w:color="auto" w:fill="auto"/>
          </w:tcPr>
          <w:p w14:paraId="75C7F276" w14:textId="77777777" w:rsidR="00E93F58" w:rsidRPr="00576D60" w:rsidRDefault="00E93F58" w:rsidP="008871AE">
            <w:pPr>
              <w:pStyle w:val="ENoteTableText"/>
              <w:tabs>
                <w:tab w:val="left" w:leader="dot" w:pos="2268"/>
              </w:tabs>
            </w:pPr>
            <w:r w:rsidRPr="00576D60">
              <w:t>r 5.3B.28</w:t>
            </w:r>
            <w:r w:rsidRPr="00576D60">
              <w:tab/>
            </w:r>
          </w:p>
        </w:tc>
        <w:tc>
          <w:tcPr>
            <w:tcW w:w="3500" w:type="pct"/>
            <w:shd w:val="clear" w:color="auto" w:fill="auto"/>
          </w:tcPr>
          <w:p w14:paraId="12AD96F9" w14:textId="77777777" w:rsidR="00E93F58" w:rsidRPr="00576D60" w:rsidRDefault="00E93F58" w:rsidP="002B7F75">
            <w:pPr>
              <w:pStyle w:val="ENoteTableText"/>
            </w:pPr>
            <w:r w:rsidRPr="00576D60">
              <w:t>ad F2020L01654</w:t>
            </w:r>
          </w:p>
        </w:tc>
      </w:tr>
      <w:tr w:rsidR="00E93F58" w:rsidRPr="00576D60" w14:paraId="5D994643" w14:textId="77777777" w:rsidTr="002B7F75">
        <w:trPr>
          <w:cantSplit/>
        </w:trPr>
        <w:tc>
          <w:tcPr>
            <w:tcW w:w="1500" w:type="pct"/>
            <w:shd w:val="clear" w:color="auto" w:fill="auto"/>
          </w:tcPr>
          <w:p w14:paraId="28E150F1" w14:textId="77777777" w:rsidR="00E93F58" w:rsidRPr="00576D60" w:rsidRDefault="00E93F58" w:rsidP="008871AE">
            <w:pPr>
              <w:pStyle w:val="ENoteTableText"/>
              <w:tabs>
                <w:tab w:val="left" w:leader="dot" w:pos="2268"/>
              </w:tabs>
            </w:pPr>
            <w:r w:rsidRPr="00576D60">
              <w:t>r 5.3B.29</w:t>
            </w:r>
            <w:r w:rsidRPr="00576D60">
              <w:tab/>
            </w:r>
          </w:p>
        </w:tc>
        <w:tc>
          <w:tcPr>
            <w:tcW w:w="3500" w:type="pct"/>
            <w:shd w:val="clear" w:color="auto" w:fill="auto"/>
          </w:tcPr>
          <w:p w14:paraId="66EAED2A" w14:textId="77777777" w:rsidR="00E93F58" w:rsidRPr="00576D60" w:rsidRDefault="00E93F58" w:rsidP="002B7F75">
            <w:pPr>
              <w:pStyle w:val="ENoteTableText"/>
            </w:pPr>
            <w:r w:rsidRPr="00576D60">
              <w:t>ad F2020L01654</w:t>
            </w:r>
          </w:p>
        </w:tc>
      </w:tr>
      <w:tr w:rsidR="00E93F58" w:rsidRPr="00576D60" w14:paraId="24C82031" w14:textId="77777777" w:rsidTr="002B7F75">
        <w:trPr>
          <w:cantSplit/>
        </w:trPr>
        <w:tc>
          <w:tcPr>
            <w:tcW w:w="1500" w:type="pct"/>
            <w:shd w:val="clear" w:color="auto" w:fill="auto"/>
          </w:tcPr>
          <w:p w14:paraId="5C2968A8" w14:textId="77777777" w:rsidR="00E93F58" w:rsidRPr="00576D60" w:rsidRDefault="00E93F58" w:rsidP="008871AE">
            <w:pPr>
              <w:pStyle w:val="ENoteTableText"/>
              <w:tabs>
                <w:tab w:val="left" w:leader="dot" w:pos="2268"/>
              </w:tabs>
            </w:pPr>
            <w:r w:rsidRPr="00576D60">
              <w:t>r 5.3B.30</w:t>
            </w:r>
            <w:r w:rsidRPr="00576D60">
              <w:tab/>
            </w:r>
          </w:p>
        </w:tc>
        <w:tc>
          <w:tcPr>
            <w:tcW w:w="3500" w:type="pct"/>
            <w:shd w:val="clear" w:color="auto" w:fill="auto"/>
          </w:tcPr>
          <w:p w14:paraId="3BA0D996" w14:textId="77777777" w:rsidR="00E93F58" w:rsidRPr="00576D60" w:rsidRDefault="00E93F58" w:rsidP="002B7F75">
            <w:pPr>
              <w:pStyle w:val="ENoteTableText"/>
            </w:pPr>
            <w:r w:rsidRPr="00576D60">
              <w:t>ad F2020L01654</w:t>
            </w:r>
          </w:p>
        </w:tc>
      </w:tr>
      <w:tr w:rsidR="00E93F58" w:rsidRPr="00576D60" w14:paraId="69113985" w14:textId="77777777" w:rsidTr="002B7F75">
        <w:trPr>
          <w:cantSplit/>
        </w:trPr>
        <w:tc>
          <w:tcPr>
            <w:tcW w:w="1500" w:type="pct"/>
            <w:shd w:val="clear" w:color="auto" w:fill="auto"/>
          </w:tcPr>
          <w:p w14:paraId="2C87C354" w14:textId="77777777" w:rsidR="00E93F58" w:rsidRPr="00576D60" w:rsidRDefault="00E93F58" w:rsidP="008871AE">
            <w:pPr>
              <w:pStyle w:val="ENoteTableText"/>
              <w:tabs>
                <w:tab w:val="left" w:leader="dot" w:pos="2268"/>
              </w:tabs>
            </w:pPr>
          </w:p>
        </w:tc>
        <w:tc>
          <w:tcPr>
            <w:tcW w:w="3500" w:type="pct"/>
            <w:shd w:val="clear" w:color="auto" w:fill="auto"/>
          </w:tcPr>
          <w:p w14:paraId="6F5D4AF3" w14:textId="77777777" w:rsidR="00E93F58" w:rsidRPr="00576D60" w:rsidRDefault="00E93F58" w:rsidP="002B7F75">
            <w:pPr>
              <w:pStyle w:val="ENoteTableText"/>
            </w:pPr>
            <w:r>
              <w:t>am F2023L01458</w:t>
            </w:r>
          </w:p>
        </w:tc>
      </w:tr>
      <w:tr w:rsidR="00E93F58" w:rsidRPr="00576D60" w14:paraId="4EC6627C" w14:textId="77777777" w:rsidTr="002B7F75">
        <w:trPr>
          <w:cantSplit/>
        </w:trPr>
        <w:tc>
          <w:tcPr>
            <w:tcW w:w="1500" w:type="pct"/>
            <w:shd w:val="clear" w:color="auto" w:fill="auto"/>
          </w:tcPr>
          <w:p w14:paraId="54D89D39" w14:textId="77777777" w:rsidR="00E93F58" w:rsidRPr="00576D60" w:rsidRDefault="00E93F58" w:rsidP="008871AE">
            <w:pPr>
              <w:pStyle w:val="ENoteTableText"/>
              <w:tabs>
                <w:tab w:val="left" w:leader="dot" w:pos="2268"/>
              </w:tabs>
            </w:pPr>
            <w:r w:rsidRPr="00576D60">
              <w:t>r 5.3B.31</w:t>
            </w:r>
            <w:r w:rsidRPr="00576D60">
              <w:tab/>
            </w:r>
          </w:p>
        </w:tc>
        <w:tc>
          <w:tcPr>
            <w:tcW w:w="3500" w:type="pct"/>
            <w:shd w:val="clear" w:color="auto" w:fill="auto"/>
          </w:tcPr>
          <w:p w14:paraId="151481DB" w14:textId="77777777" w:rsidR="00E93F58" w:rsidRPr="00576D60" w:rsidRDefault="00E93F58" w:rsidP="002B7F75">
            <w:pPr>
              <w:pStyle w:val="ENoteTableText"/>
            </w:pPr>
            <w:r w:rsidRPr="00576D60">
              <w:t>ad F2020L01654</w:t>
            </w:r>
          </w:p>
        </w:tc>
      </w:tr>
      <w:tr w:rsidR="00E93F58" w:rsidRPr="00576D60" w14:paraId="29D90EFF" w14:textId="77777777" w:rsidTr="002B7F75">
        <w:trPr>
          <w:cantSplit/>
        </w:trPr>
        <w:tc>
          <w:tcPr>
            <w:tcW w:w="1500" w:type="pct"/>
            <w:shd w:val="clear" w:color="auto" w:fill="auto"/>
          </w:tcPr>
          <w:p w14:paraId="2BBD042B" w14:textId="77777777" w:rsidR="00E93F58" w:rsidRPr="00576D60" w:rsidRDefault="00E93F58" w:rsidP="008871AE">
            <w:pPr>
              <w:pStyle w:val="ENoteTableText"/>
              <w:tabs>
                <w:tab w:val="left" w:leader="dot" w:pos="2268"/>
              </w:tabs>
            </w:pPr>
            <w:r w:rsidRPr="00576D60">
              <w:t>r 5.3B.32</w:t>
            </w:r>
            <w:r w:rsidRPr="00576D60">
              <w:tab/>
            </w:r>
          </w:p>
        </w:tc>
        <w:tc>
          <w:tcPr>
            <w:tcW w:w="3500" w:type="pct"/>
            <w:shd w:val="clear" w:color="auto" w:fill="auto"/>
          </w:tcPr>
          <w:p w14:paraId="0D55A64A" w14:textId="77777777" w:rsidR="00E93F58" w:rsidRPr="00576D60" w:rsidRDefault="00E93F58" w:rsidP="002B7F75">
            <w:pPr>
              <w:pStyle w:val="ENoteTableText"/>
            </w:pPr>
            <w:r w:rsidRPr="00576D60">
              <w:t>ad F2020L01654</w:t>
            </w:r>
          </w:p>
        </w:tc>
      </w:tr>
      <w:tr w:rsidR="00E93F58" w:rsidRPr="00576D60" w14:paraId="0A036C0E" w14:textId="77777777" w:rsidTr="002F32E3">
        <w:trPr>
          <w:cantSplit/>
        </w:trPr>
        <w:tc>
          <w:tcPr>
            <w:tcW w:w="1500" w:type="pct"/>
            <w:shd w:val="clear" w:color="auto" w:fill="auto"/>
          </w:tcPr>
          <w:p w14:paraId="07210343" w14:textId="77777777" w:rsidR="00E93F58" w:rsidRPr="00576D60" w:rsidRDefault="00E93F58" w:rsidP="002F32E3">
            <w:pPr>
              <w:pStyle w:val="ENoteTableText"/>
              <w:tabs>
                <w:tab w:val="left" w:leader="dot" w:pos="2268"/>
              </w:tabs>
              <w:rPr>
                <w:b/>
              </w:rPr>
            </w:pPr>
            <w:r w:rsidRPr="00576D60">
              <w:rPr>
                <w:b/>
              </w:rPr>
              <w:t>Subdivision D</w:t>
            </w:r>
          </w:p>
        </w:tc>
        <w:tc>
          <w:tcPr>
            <w:tcW w:w="3500" w:type="pct"/>
            <w:shd w:val="clear" w:color="auto" w:fill="auto"/>
          </w:tcPr>
          <w:p w14:paraId="1886E4C7" w14:textId="77777777" w:rsidR="00E93F58" w:rsidRPr="00576D60" w:rsidRDefault="00E93F58" w:rsidP="002F32E3">
            <w:pPr>
              <w:pStyle w:val="ENoteTableText"/>
            </w:pPr>
          </w:p>
        </w:tc>
      </w:tr>
      <w:tr w:rsidR="00E93F58" w:rsidRPr="00576D60" w14:paraId="047B55ED" w14:textId="77777777" w:rsidTr="002B7F75">
        <w:trPr>
          <w:cantSplit/>
        </w:trPr>
        <w:tc>
          <w:tcPr>
            <w:tcW w:w="1500" w:type="pct"/>
            <w:shd w:val="clear" w:color="auto" w:fill="auto"/>
          </w:tcPr>
          <w:p w14:paraId="40550CAF" w14:textId="77777777" w:rsidR="00E93F58" w:rsidRPr="00576D60" w:rsidRDefault="00E93F58" w:rsidP="008871AE">
            <w:pPr>
              <w:pStyle w:val="ENoteTableText"/>
              <w:tabs>
                <w:tab w:val="left" w:leader="dot" w:pos="2268"/>
              </w:tabs>
            </w:pPr>
            <w:r w:rsidRPr="00576D60">
              <w:t>r 5.3B.33</w:t>
            </w:r>
            <w:r w:rsidRPr="00576D60">
              <w:tab/>
            </w:r>
          </w:p>
        </w:tc>
        <w:tc>
          <w:tcPr>
            <w:tcW w:w="3500" w:type="pct"/>
            <w:shd w:val="clear" w:color="auto" w:fill="auto"/>
          </w:tcPr>
          <w:p w14:paraId="19D466E0" w14:textId="77777777" w:rsidR="00E93F58" w:rsidRPr="00576D60" w:rsidRDefault="00E93F58" w:rsidP="002B7F75">
            <w:pPr>
              <w:pStyle w:val="ENoteTableText"/>
            </w:pPr>
            <w:r w:rsidRPr="00576D60">
              <w:t>ad F2020L01654</w:t>
            </w:r>
          </w:p>
        </w:tc>
      </w:tr>
      <w:tr w:rsidR="00E93F58" w:rsidRPr="00576D60" w14:paraId="4E37022C" w14:textId="77777777" w:rsidTr="00363F04">
        <w:trPr>
          <w:cantSplit/>
        </w:trPr>
        <w:tc>
          <w:tcPr>
            <w:tcW w:w="1500" w:type="pct"/>
            <w:shd w:val="clear" w:color="auto" w:fill="auto"/>
          </w:tcPr>
          <w:p w14:paraId="0A9C2192" w14:textId="77777777" w:rsidR="00E93F58" w:rsidRPr="00576D60" w:rsidRDefault="00E93F58" w:rsidP="008871AE">
            <w:pPr>
              <w:pStyle w:val="ENoteTableText"/>
              <w:tabs>
                <w:tab w:val="left" w:leader="dot" w:pos="2268"/>
              </w:tabs>
            </w:pPr>
            <w:r w:rsidRPr="00576D60">
              <w:t>r 5.3B.34</w:t>
            </w:r>
            <w:r w:rsidRPr="00576D60">
              <w:tab/>
            </w:r>
          </w:p>
        </w:tc>
        <w:tc>
          <w:tcPr>
            <w:tcW w:w="3500" w:type="pct"/>
            <w:shd w:val="clear" w:color="auto" w:fill="auto"/>
          </w:tcPr>
          <w:p w14:paraId="22C0818F" w14:textId="77777777" w:rsidR="00E93F58" w:rsidRPr="00576D60" w:rsidRDefault="00E93F58" w:rsidP="00363F04">
            <w:pPr>
              <w:pStyle w:val="ENoteTableText"/>
            </w:pPr>
            <w:r w:rsidRPr="00576D60">
              <w:t>ad F2020L01654</w:t>
            </w:r>
          </w:p>
        </w:tc>
      </w:tr>
      <w:tr w:rsidR="00E93F58" w:rsidRPr="00576D60" w14:paraId="48C405DE" w14:textId="77777777" w:rsidTr="00363F04">
        <w:trPr>
          <w:cantSplit/>
        </w:trPr>
        <w:tc>
          <w:tcPr>
            <w:tcW w:w="1500" w:type="pct"/>
            <w:shd w:val="clear" w:color="auto" w:fill="auto"/>
          </w:tcPr>
          <w:p w14:paraId="2F5B26CE" w14:textId="77777777" w:rsidR="00E93F58" w:rsidRPr="00576D60" w:rsidRDefault="00E93F58" w:rsidP="008871AE">
            <w:pPr>
              <w:pStyle w:val="ENoteTableText"/>
              <w:tabs>
                <w:tab w:val="left" w:leader="dot" w:pos="2268"/>
              </w:tabs>
            </w:pPr>
            <w:r w:rsidRPr="00576D60">
              <w:t>r 5.3B.35</w:t>
            </w:r>
            <w:r w:rsidRPr="00576D60">
              <w:tab/>
            </w:r>
          </w:p>
        </w:tc>
        <w:tc>
          <w:tcPr>
            <w:tcW w:w="3500" w:type="pct"/>
            <w:shd w:val="clear" w:color="auto" w:fill="auto"/>
          </w:tcPr>
          <w:p w14:paraId="56EC77FD" w14:textId="77777777" w:rsidR="00E93F58" w:rsidRPr="00576D60" w:rsidRDefault="00E93F58" w:rsidP="00363F04">
            <w:pPr>
              <w:pStyle w:val="ENoteTableText"/>
            </w:pPr>
            <w:r w:rsidRPr="00576D60">
              <w:t>ad F2020L01654</w:t>
            </w:r>
          </w:p>
        </w:tc>
      </w:tr>
      <w:tr w:rsidR="00E93F58" w:rsidRPr="00576D60" w14:paraId="1298F89E" w14:textId="77777777" w:rsidTr="00363F04">
        <w:trPr>
          <w:cantSplit/>
        </w:trPr>
        <w:tc>
          <w:tcPr>
            <w:tcW w:w="1500" w:type="pct"/>
            <w:shd w:val="clear" w:color="auto" w:fill="auto"/>
          </w:tcPr>
          <w:p w14:paraId="2321F123" w14:textId="77777777" w:rsidR="00E93F58" w:rsidRPr="00576D60" w:rsidRDefault="00E93F58" w:rsidP="008871AE">
            <w:pPr>
              <w:pStyle w:val="ENoteTableText"/>
              <w:tabs>
                <w:tab w:val="left" w:leader="dot" w:pos="2268"/>
              </w:tabs>
            </w:pPr>
            <w:r w:rsidRPr="00576D60">
              <w:t>r 5.3B.36</w:t>
            </w:r>
            <w:r w:rsidRPr="00576D60">
              <w:tab/>
            </w:r>
          </w:p>
        </w:tc>
        <w:tc>
          <w:tcPr>
            <w:tcW w:w="3500" w:type="pct"/>
            <w:shd w:val="clear" w:color="auto" w:fill="auto"/>
          </w:tcPr>
          <w:p w14:paraId="682C9D3C" w14:textId="77777777" w:rsidR="00E93F58" w:rsidRPr="00576D60" w:rsidRDefault="00E93F58" w:rsidP="00363F04">
            <w:pPr>
              <w:pStyle w:val="ENoteTableText"/>
            </w:pPr>
            <w:r w:rsidRPr="00576D60">
              <w:t>ad F2020L01654</w:t>
            </w:r>
          </w:p>
        </w:tc>
      </w:tr>
      <w:tr w:rsidR="00E93F58" w:rsidRPr="00576D60" w14:paraId="0C6637AC" w14:textId="77777777" w:rsidTr="00363F04">
        <w:trPr>
          <w:cantSplit/>
        </w:trPr>
        <w:tc>
          <w:tcPr>
            <w:tcW w:w="1500" w:type="pct"/>
            <w:shd w:val="clear" w:color="auto" w:fill="auto"/>
          </w:tcPr>
          <w:p w14:paraId="11867581" w14:textId="77777777" w:rsidR="00E93F58" w:rsidRPr="00576D60" w:rsidRDefault="00E93F58" w:rsidP="008871AE">
            <w:pPr>
              <w:pStyle w:val="ENoteTableText"/>
              <w:tabs>
                <w:tab w:val="left" w:leader="dot" w:pos="2268"/>
              </w:tabs>
            </w:pPr>
            <w:r w:rsidRPr="00576D60">
              <w:t>r 5.3B.37</w:t>
            </w:r>
            <w:r w:rsidRPr="00576D60">
              <w:tab/>
            </w:r>
          </w:p>
        </w:tc>
        <w:tc>
          <w:tcPr>
            <w:tcW w:w="3500" w:type="pct"/>
            <w:shd w:val="clear" w:color="auto" w:fill="auto"/>
          </w:tcPr>
          <w:p w14:paraId="6E56A0DD" w14:textId="77777777" w:rsidR="00E93F58" w:rsidRPr="00576D60" w:rsidRDefault="00E93F58" w:rsidP="00363F04">
            <w:pPr>
              <w:pStyle w:val="ENoteTableText"/>
            </w:pPr>
            <w:r w:rsidRPr="00576D60">
              <w:t>ad F2020L01654</w:t>
            </w:r>
          </w:p>
        </w:tc>
      </w:tr>
      <w:tr w:rsidR="00E93F58" w:rsidRPr="00576D60" w14:paraId="25E49997" w14:textId="77777777" w:rsidTr="00363F04">
        <w:trPr>
          <w:cantSplit/>
        </w:trPr>
        <w:tc>
          <w:tcPr>
            <w:tcW w:w="1500" w:type="pct"/>
            <w:shd w:val="clear" w:color="auto" w:fill="auto"/>
          </w:tcPr>
          <w:p w14:paraId="48727EDA" w14:textId="77777777" w:rsidR="00E93F58" w:rsidRPr="00576D60" w:rsidRDefault="00E93F58" w:rsidP="008871AE">
            <w:pPr>
              <w:pStyle w:val="ENoteTableText"/>
              <w:tabs>
                <w:tab w:val="left" w:leader="dot" w:pos="2268"/>
              </w:tabs>
            </w:pPr>
            <w:r w:rsidRPr="00576D60">
              <w:t>r 5.3B.38</w:t>
            </w:r>
            <w:r w:rsidRPr="00576D60">
              <w:tab/>
            </w:r>
          </w:p>
        </w:tc>
        <w:tc>
          <w:tcPr>
            <w:tcW w:w="3500" w:type="pct"/>
            <w:shd w:val="clear" w:color="auto" w:fill="auto"/>
          </w:tcPr>
          <w:p w14:paraId="6B7941F7" w14:textId="77777777" w:rsidR="00E93F58" w:rsidRPr="00576D60" w:rsidRDefault="00E93F58" w:rsidP="00363F04">
            <w:pPr>
              <w:pStyle w:val="ENoteTableText"/>
            </w:pPr>
            <w:r w:rsidRPr="00576D60">
              <w:t>ad F2020L01654</w:t>
            </w:r>
          </w:p>
        </w:tc>
      </w:tr>
      <w:tr w:rsidR="00E93F58" w:rsidRPr="00576D60" w14:paraId="356BCE4A" w14:textId="77777777" w:rsidTr="00363F04">
        <w:trPr>
          <w:cantSplit/>
        </w:trPr>
        <w:tc>
          <w:tcPr>
            <w:tcW w:w="1500" w:type="pct"/>
            <w:shd w:val="clear" w:color="auto" w:fill="auto"/>
          </w:tcPr>
          <w:p w14:paraId="4DE50F3F" w14:textId="77777777" w:rsidR="00E93F58" w:rsidRPr="00576D60" w:rsidRDefault="00E93F58" w:rsidP="008871AE">
            <w:pPr>
              <w:pStyle w:val="ENoteTableText"/>
              <w:tabs>
                <w:tab w:val="left" w:leader="dot" w:pos="2268"/>
              </w:tabs>
            </w:pPr>
            <w:r w:rsidRPr="00576D60">
              <w:t>r 5.3B.39</w:t>
            </w:r>
            <w:r w:rsidRPr="00576D60">
              <w:tab/>
            </w:r>
          </w:p>
        </w:tc>
        <w:tc>
          <w:tcPr>
            <w:tcW w:w="3500" w:type="pct"/>
            <w:shd w:val="clear" w:color="auto" w:fill="auto"/>
          </w:tcPr>
          <w:p w14:paraId="6786B21C" w14:textId="77777777" w:rsidR="00E93F58" w:rsidRPr="00576D60" w:rsidRDefault="00E93F58" w:rsidP="00363F04">
            <w:pPr>
              <w:pStyle w:val="ENoteTableText"/>
            </w:pPr>
            <w:r w:rsidRPr="00576D60">
              <w:t>ad F2020L01654</w:t>
            </w:r>
          </w:p>
        </w:tc>
      </w:tr>
      <w:tr w:rsidR="00E93F58" w:rsidRPr="00576D60" w14:paraId="5C88A35B" w14:textId="77777777" w:rsidTr="00363F04">
        <w:trPr>
          <w:cantSplit/>
        </w:trPr>
        <w:tc>
          <w:tcPr>
            <w:tcW w:w="1500" w:type="pct"/>
            <w:shd w:val="clear" w:color="auto" w:fill="auto"/>
          </w:tcPr>
          <w:p w14:paraId="03D5B8DD" w14:textId="77777777" w:rsidR="00E93F58" w:rsidRPr="00576D60" w:rsidRDefault="00E93F58" w:rsidP="008871AE">
            <w:pPr>
              <w:pStyle w:val="ENoteTableText"/>
              <w:tabs>
                <w:tab w:val="left" w:leader="dot" w:pos="2268"/>
              </w:tabs>
            </w:pPr>
            <w:r w:rsidRPr="00576D60">
              <w:t>r 5.3B.40</w:t>
            </w:r>
            <w:r w:rsidRPr="00576D60">
              <w:tab/>
            </w:r>
          </w:p>
        </w:tc>
        <w:tc>
          <w:tcPr>
            <w:tcW w:w="3500" w:type="pct"/>
            <w:shd w:val="clear" w:color="auto" w:fill="auto"/>
          </w:tcPr>
          <w:p w14:paraId="3921B0CE" w14:textId="77777777" w:rsidR="00E93F58" w:rsidRPr="00576D60" w:rsidRDefault="00E93F58" w:rsidP="00363F04">
            <w:pPr>
              <w:pStyle w:val="ENoteTableText"/>
            </w:pPr>
            <w:r w:rsidRPr="00576D60">
              <w:t>ad F2020L01654</w:t>
            </w:r>
          </w:p>
        </w:tc>
      </w:tr>
      <w:tr w:rsidR="00E93F58" w:rsidRPr="00576D60" w14:paraId="210C7096" w14:textId="77777777" w:rsidTr="00363F04">
        <w:trPr>
          <w:cantSplit/>
        </w:trPr>
        <w:tc>
          <w:tcPr>
            <w:tcW w:w="1500" w:type="pct"/>
            <w:shd w:val="clear" w:color="auto" w:fill="auto"/>
          </w:tcPr>
          <w:p w14:paraId="00EFAFB5" w14:textId="77777777" w:rsidR="00E93F58" w:rsidRPr="00576D60" w:rsidRDefault="00E93F58" w:rsidP="008871AE">
            <w:pPr>
              <w:pStyle w:val="ENoteTableText"/>
              <w:tabs>
                <w:tab w:val="left" w:leader="dot" w:pos="2268"/>
              </w:tabs>
            </w:pPr>
          </w:p>
        </w:tc>
        <w:tc>
          <w:tcPr>
            <w:tcW w:w="3500" w:type="pct"/>
            <w:shd w:val="clear" w:color="auto" w:fill="auto"/>
          </w:tcPr>
          <w:p w14:paraId="06345779" w14:textId="77777777" w:rsidR="00E93F58" w:rsidRPr="00576D60" w:rsidRDefault="00E93F58" w:rsidP="00363F04">
            <w:pPr>
              <w:pStyle w:val="ENoteTableText"/>
            </w:pPr>
            <w:r w:rsidRPr="00576D60">
              <w:t>rep F2021L01847</w:t>
            </w:r>
          </w:p>
        </w:tc>
      </w:tr>
      <w:tr w:rsidR="00E93F58" w:rsidRPr="00576D60" w14:paraId="31AB53E9" w14:textId="77777777" w:rsidTr="00363F04">
        <w:trPr>
          <w:cantSplit/>
        </w:trPr>
        <w:tc>
          <w:tcPr>
            <w:tcW w:w="1500" w:type="pct"/>
            <w:shd w:val="clear" w:color="auto" w:fill="auto"/>
          </w:tcPr>
          <w:p w14:paraId="7547EF3B" w14:textId="77777777" w:rsidR="00E93F58" w:rsidRPr="00576D60" w:rsidRDefault="00E93F58" w:rsidP="008871AE">
            <w:pPr>
              <w:pStyle w:val="ENoteTableText"/>
              <w:tabs>
                <w:tab w:val="left" w:leader="dot" w:pos="2268"/>
              </w:tabs>
            </w:pPr>
            <w:r w:rsidRPr="00576D60">
              <w:t>r 5.3B.41</w:t>
            </w:r>
            <w:r w:rsidRPr="00576D60">
              <w:tab/>
            </w:r>
          </w:p>
        </w:tc>
        <w:tc>
          <w:tcPr>
            <w:tcW w:w="3500" w:type="pct"/>
            <w:shd w:val="clear" w:color="auto" w:fill="auto"/>
          </w:tcPr>
          <w:p w14:paraId="63B1A8F3" w14:textId="77777777" w:rsidR="00E93F58" w:rsidRPr="00576D60" w:rsidRDefault="00E93F58" w:rsidP="00363F04">
            <w:pPr>
              <w:pStyle w:val="ENoteTableText"/>
            </w:pPr>
            <w:r w:rsidRPr="00576D60">
              <w:t>ad F2020L01654</w:t>
            </w:r>
          </w:p>
        </w:tc>
      </w:tr>
      <w:tr w:rsidR="00E93F58" w:rsidRPr="00576D60" w14:paraId="1DB7BD47" w14:textId="77777777" w:rsidTr="00363F04">
        <w:trPr>
          <w:cantSplit/>
        </w:trPr>
        <w:tc>
          <w:tcPr>
            <w:tcW w:w="1500" w:type="pct"/>
            <w:shd w:val="clear" w:color="auto" w:fill="auto"/>
          </w:tcPr>
          <w:p w14:paraId="14BEDF20" w14:textId="77777777" w:rsidR="00E93F58" w:rsidRPr="00576D60" w:rsidRDefault="00E93F58" w:rsidP="008871AE">
            <w:pPr>
              <w:pStyle w:val="ENoteTableText"/>
              <w:tabs>
                <w:tab w:val="left" w:leader="dot" w:pos="2268"/>
              </w:tabs>
            </w:pPr>
          </w:p>
        </w:tc>
        <w:tc>
          <w:tcPr>
            <w:tcW w:w="3500" w:type="pct"/>
            <w:shd w:val="clear" w:color="auto" w:fill="auto"/>
          </w:tcPr>
          <w:p w14:paraId="79827B0E" w14:textId="77777777" w:rsidR="00E93F58" w:rsidRPr="00576D60" w:rsidRDefault="00E93F58" w:rsidP="00363F04">
            <w:pPr>
              <w:pStyle w:val="ENoteTableText"/>
            </w:pPr>
            <w:r w:rsidRPr="00576D60">
              <w:t>rep F2021L01847</w:t>
            </w:r>
          </w:p>
        </w:tc>
      </w:tr>
      <w:tr w:rsidR="00E93F58" w:rsidRPr="00576D60" w14:paraId="2769E73E" w14:textId="77777777" w:rsidTr="00363F04">
        <w:trPr>
          <w:cantSplit/>
        </w:trPr>
        <w:tc>
          <w:tcPr>
            <w:tcW w:w="1500" w:type="pct"/>
            <w:shd w:val="clear" w:color="auto" w:fill="auto"/>
          </w:tcPr>
          <w:p w14:paraId="2CE50391" w14:textId="77777777" w:rsidR="00E93F58" w:rsidRPr="00576D60" w:rsidRDefault="00E93F58" w:rsidP="008871AE">
            <w:pPr>
              <w:pStyle w:val="ENoteTableText"/>
              <w:tabs>
                <w:tab w:val="left" w:leader="dot" w:pos="2268"/>
              </w:tabs>
            </w:pPr>
            <w:r w:rsidRPr="00576D60">
              <w:t>r 5.3B.42</w:t>
            </w:r>
            <w:r w:rsidRPr="00576D60">
              <w:tab/>
            </w:r>
          </w:p>
        </w:tc>
        <w:tc>
          <w:tcPr>
            <w:tcW w:w="3500" w:type="pct"/>
            <w:shd w:val="clear" w:color="auto" w:fill="auto"/>
          </w:tcPr>
          <w:p w14:paraId="68C6A30C" w14:textId="77777777" w:rsidR="00E93F58" w:rsidRPr="00576D60" w:rsidRDefault="00E93F58" w:rsidP="00363F04">
            <w:pPr>
              <w:pStyle w:val="ENoteTableText"/>
            </w:pPr>
            <w:r w:rsidRPr="00576D60">
              <w:t>ad F2020L01654</w:t>
            </w:r>
          </w:p>
        </w:tc>
      </w:tr>
      <w:tr w:rsidR="00E93F58" w:rsidRPr="00576D60" w14:paraId="3F0960C4" w14:textId="77777777" w:rsidTr="00363F04">
        <w:trPr>
          <w:cantSplit/>
        </w:trPr>
        <w:tc>
          <w:tcPr>
            <w:tcW w:w="1500" w:type="pct"/>
            <w:shd w:val="clear" w:color="auto" w:fill="auto"/>
          </w:tcPr>
          <w:p w14:paraId="24D8EDDF" w14:textId="77777777" w:rsidR="00E93F58" w:rsidRPr="00576D60" w:rsidRDefault="00E93F58" w:rsidP="008871AE">
            <w:pPr>
              <w:pStyle w:val="ENoteTableText"/>
              <w:tabs>
                <w:tab w:val="left" w:leader="dot" w:pos="2268"/>
              </w:tabs>
            </w:pPr>
            <w:r w:rsidRPr="00576D60">
              <w:t>r 5.3B.43</w:t>
            </w:r>
            <w:r w:rsidRPr="00576D60">
              <w:tab/>
            </w:r>
          </w:p>
        </w:tc>
        <w:tc>
          <w:tcPr>
            <w:tcW w:w="3500" w:type="pct"/>
            <w:shd w:val="clear" w:color="auto" w:fill="auto"/>
          </w:tcPr>
          <w:p w14:paraId="312A4E44" w14:textId="77777777" w:rsidR="00E93F58" w:rsidRPr="00576D60" w:rsidRDefault="00E93F58" w:rsidP="00363F04">
            <w:pPr>
              <w:pStyle w:val="ENoteTableText"/>
            </w:pPr>
            <w:r w:rsidRPr="00576D60">
              <w:t>ad F2020L01654</w:t>
            </w:r>
          </w:p>
        </w:tc>
      </w:tr>
      <w:tr w:rsidR="00E93F58" w:rsidRPr="00576D60" w14:paraId="053EA6ED" w14:textId="77777777" w:rsidTr="00363F04">
        <w:trPr>
          <w:cantSplit/>
        </w:trPr>
        <w:tc>
          <w:tcPr>
            <w:tcW w:w="1500" w:type="pct"/>
            <w:shd w:val="clear" w:color="auto" w:fill="auto"/>
          </w:tcPr>
          <w:p w14:paraId="65D225C7" w14:textId="77777777" w:rsidR="00E93F58" w:rsidRPr="00576D60" w:rsidRDefault="00E93F58" w:rsidP="008871AE">
            <w:pPr>
              <w:pStyle w:val="ENoteTableText"/>
              <w:tabs>
                <w:tab w:val="left" w:leader="dot" w:pos="2268"/>
              </w:tabs>
            </w:pPr>
            <w:r w:rsidRPr="00576D60">
              <w:t>r 5.3B.44</w:t>
            </w:r>
            <w:r w:rsidRPr="00576D60">
              <w:tab/>
            </w:r>
          </w:p>
        </w:tc>
        <w:tc>
          <w:tcPr>
            <w:tcW w:w="3500" w:type="pct"/>
            <w:shd w:val="clear" w:color="auto" w:fill="auto"/>
          </w:tcPr>
          <w:p w14:paraId="4A0036AF" w14:textId="77777777" w:rsidR="00E93F58" w:rsidRPr="00576D60" w:rsidRDefault="00E93F58" w:rsidP="00363F04">
            <w:pPr>
              <w:pStyle w:val="ENoteTableText"/>
            </w:pPr>
            <w:r w:rsidRPr="00576D60">
              <w:t>ad F2020L01654</w:t>
            </w:r>
          </w:p>
        </w:tc>
      </w:tr>
      <w:tr w:rsidR="00E93F58" w:rsidRPr="00576D60" w14:paraId="4FA3A648" w14:textId="77777777" w:rsidTr="00363F04">
        <w:trPr>
          <w:cantSplit/>
        </w:trPr>
        <w:tc>
          <w:tcPr>
            <w:tcW w:w="1500" w:type="pct"/>
            <w:shd w:val="clear" w:color="auto" w:fill="auto"/>
          </w:tcPr>
          <w:p w14:paraId="4F969349" w14:textId="77777777" w:rsidR="00E93F58" w:rsidRPr="00576D60" w:rsidRDefault="00E93F58" w:rsidP="008871AE">
            <w:pPr>
              <w:pStyle w:val="ENoteTableText"/>
              <w:tabs>
                <w:tab w:val="left" w:leader="dot" w:pos="2268"/>
              </w:tabs>
            </w:pPr>
            <w:r w:rsidRPr="00576D60">
              <w:t>r 5.3B.45</w:t>
            </w:r>
            <w:r w:rsidRPr="00576D60">
              <w:tab/>
            </w:r>
          </w:p>
        </w:tc>
        <w:tc>
          <w:tcPr>
            <w:tcW w:w="3500" w:type="pct"/>
            <w:shd w:val="clear" w:color="auto" w:fill="auto"/>
          </w:tcPr>
          <w:p w14:paraId="5E9D3268" w14:textId="77777777" w:rsidR="00E93F58" w:rsidRPr="00576D60" w:rsidRDefault="00E93F58" w:rsidP="00363F04">
            <w:pPr>
              <w:pStyle w:val="ENoteTableText"/>
            </w:pPr>
            <w:r w:rsidRPr="00576D60">
              <w:t>ad F2020L01654</w:t>
            </w:r>
          </w:p>
        </w:tc>
      </w:tr>
      <w:tr w:rsidR="00E93F58" w:rsidRPr="00576D60" w14:paraId="73D165F8" w14:textId="77777777" w:rsidTr="002F32E3">
        <w:trPr>
          <w:cantSplit/>
        </w:trPr>
        <w:tc>
          <w:tcPr>
            <w:tcW w:w="1500" w:type="pct"/>
            <w:shd w:val="clear" w:color="auto" w:fill="auto"/>
          </w:tcPr>
          <w:p w14:paraId="542F0494" w14:textId="77777777" w:rsidR="00E93F58" w:rsidRPr="00576D60" w:rsidRDefault="00E93F58" w:rsidP="002F32E3">
            <w:pPr>
              <w:pStyle w:val="ENoteTableText"/>
              <w:tabs>
                <w:tab w:val="left" w:leader="dot" w:pos="2268"/>
              </w:tabs>
              <w:rPr>
                <w:b/>
              </w:rPr>
            </w:pPr>
            <w:r w:rsidRPr="00576D60">
              <w:rPr>
                <w:b/>
              </w:rPr>
              <w:t>Division 4</w:t>
            </w:r>
          </w:p>
        </w:tc>
        <w:tc>
          <w:tcPr>
            <w:tcW w:w="3500" w:type="pct"/>
            <w:shd w:val="clear" w:color="auto" w:fill="auto"/>
          </w:tcPr>
          <w:p w14:paraId="2ACF753D" w14:textId="77777777" w:rsidR="00E93F58" w:rsidRPr="00576D60" w:rsidRDefault="00E93F58" w:rsidP="002F32E3">
            <w:pPr>
              <w:pStyle w:val="ENoteTableText"/>
            </w:pPr>
          </w:p>
        </w:tc>
      </w:tr>
      <w:tr w:rsidR="00E93F58" w:rsidRPr="00576D60" w14:paraId="23EC12E1" w14:textId="77777777" w:rsidTr="00363F04">
        <w:trPr>
          <w:cantSplit/>
        </w:trPr>
        <w:tc>
          <w:tcPr>
            <w:tcW w:w="1500" w:type="pct"/>
            <w:shd w:val="clear" w:color="auto" w:fill="auto"/>
          </w:tcPr>
          <w:p w14:paraId="4341DFDE" w14:textId="77777777" w:rsidR="00E93F58" w:rsidRPr="00576D60" w:rsidRDefault="00E93F58" w:rsidP="008871AE">
            <w:pPr>
              <w:pStyle w:val="ENoteTableText"/>
              <w:tabs>
                <w:tab w:val="left" w:leader="dot" w:pos="2268"/>
              </w:tabs>
            </w:pPr>
            <w:r w:rsidRPr="00576D60">
              <w:t>r 5.3B.46</w:t>
            </w:r>
            <w:r w:rsidRPr="00576D60">
              <w:tab/>
            </w:r>
          </w:p>
        </w:tc>
        <w:tc>
          <w:tcPr>
            <w:tcW w:w="3500" w:type="pct"/>
            <w:shd w:val="clear" w:color="auto" w:fill="auto"/>
          </w:tcPr>
          <w:p w14:paraId="51361C64" w14:textId="77777777" w:rsidR="00E93F58" w:rsidRPr="00576D60" w:rsidRDefault="00E93F58" w:rsidP="00363F04">
            <w:pPr>
              <w:pStyle w:val="ENoteTableText"/>
            </w:pPr>
            <w:r w:rsidRPr="00576D60">
              <w:t>ad F2020L01654</w:t>
            </w:r>
          </w:p>
        </w:tc>
      </w:tr>
      <w:tr w:rsidR="00E93F58" w:rsidRPr="00576D60" w14:paraId="1865BBA9" w14:textId="77777777" w:rsidTr="00363F04">
        <w:trPr>
          <w:cantSplit/>
        </w:trPr>
        <w:tc>
          <w:tcPr>
            <w:tcW w:w="1500" w:type="pct"/>
            <w:shd w:val="clear" w:color="auto" w:fill="auto"/>
          </w:tcPr>
          <w:p w14:paraId="329D0074" w14:textId="77777777" w:rsidR="00E93F58" w:rsidRPr="00576D60" w:rsidRDefault="00E93F58" w:rsidP="008871AE">
            <w:pPr>
              <w:pStyle w:val="ENoteTableText"/>
              <w:tabs>
                <w:tab w:val="left" w:leader="dot" w:pos="2268"/>
              </w:tabs>
            </w:pPr>
            <w:r w:rsidRPr="00576D60">
              <w:t>r 5.3B.47</w:t>
            </w:r>
            <w:r w:rsidRPr="00576D60">
              <w:tab/>
            </w:r>
          </w:p>
        </w:tc>
        <w:tc>
          <w:tcPr>
            <w:tcW w:w="3500" w:type="pct"/>
            <w:shd w:val="clear" w:color="auto" w:fill="auto"/>
          </w:tcPr>
          <w:p w14:paraId="4C273D41" w14:textId="77777777" w:rsidR="00E93F58" w:rsidRPr="00576D60" w:rsidRDefault="00E93F58" w:rsidP="00363F04">
            <w:pPr>
              <w:pStyle w:val="ENoteTableText"/>
            </w:pPr>
            <w:r w:rsidRPr="00576D60">
              <w:t>ad F2020L01654</w:t>
            </w:r>
          </w:p>
        </w:tc>
      </w:tr>
      <w:tr w:rsidR="00E93F58" w:rsidRPr="00576D60" w14:paraId="0B0C90E4" w14:textId="77777777" w:rsidTr="002F32E3">
        <w:trPr>
          <w:cantSplit/>
        </w:trPr>
        <w:tc>
          <w:tcPr>
            <w:tcW w:w="1500" w:type="pct"/>
            <w:shd w:val="clear" w:color="auto" w:fill="auto"/>
          </w:tcPr>
          <w:p w14:paraId="11DCFC18" w14:textId="77777777" w:rsidR="00E93F58" w:rsidRPr="00576D60" w:rsidRDefault="00E93F58" w:rsidP="00E942B6">
            <w:pPr>
              <w:pStyle w:val="ENoteTableText"/>
              <w:keepNext/>
              <w:tabs>
                <w:tab w:val="left" w:leader="dot" w:pos="2268"/>
              </w:tabs>
              <w:rPr>
                <w:b/>
              </w:rPr>
            </w:pPr>
            <w:r w:rsidRPr="00576D60">
              <w:rPr>
                <w:b/>
              </w:rPr>
              <w:t>Division 5</w:t>
            </w:r>
          </w:p>
        </w:tc>
        <w:tc>
          <w:tcPr>
            <w:tcW w:w="3500" w:type="pct"/>
            <w:shd w:val="clear" w:color="auto" w:fill="auto"/>
          </w:tcPr>
          <w:p w14:paraId="65BFD2F3" w14:textId="77777777" w:rsidR="00E93F58" w:rsidRPr="00576D60" w:rsidRDefault="00E93F58" w:rsidP="002F32E3">
            <w:pPr>
              <w:pStyle w:val="ENoteTableText"/>
            </w:pPr>
          </w:p>
        </w:tc>
      </w:tr>
      <w:tr w:rsidR="00E93F58" w:rsidRPr="00576D60" w14:paraId="613509D6" w14:textId="77777777" w:rsidTr="002F32E3">
        <w:trPr>
          <w:cantSplit/>
        </w:trPr>
        <w:tc>
          <w:tcPr>
            <w:tcW w:w="1500" w:type="pct"/>
            <w:shd w:val="clear" w:color="auto" w:fill="auto"/>
          </w:tcPr>
          <w:p w14:paraId="7C1F41C8" w14:textId="77777777" w:rsidR="00E93F58" w:rsidRPr="00576D60" w:rsidRDefault="00E93F58" w:rsidP="002F32E3">
            <w:pPr>
              <w:pStyle w:val="ENoteTableText"/>
              <w:tabs>
                <w:tab w:val="left" w:leader="dot" w:pos="2268"/>
              </w:tabs>
              <w:rPr>
                <w:b/>
              </w:rPr>
            </w:pPr>
            <w:r w:rsidRPr="00576D60">
              <w:rPr>
                <w:b/>
              </w:rPr>
              <w:t>Subdivision A</w:t>
            </w:r>
          </w:p>
        </w:tc>
        <w:tc>
          <w:tcPr>
            <w:tcW w:w="3500" w:type="pct"/>
            <w:shd w:val="clear" w:color="auto" w:fill="auto"/>
          </w:tcPr>
          <w:p w14:paraId="562B9662" w14:textId="77777777" w:rsidR="00E93F58" w:rsidRPr="00576D60" w:rsidRDefault="00E93F58" w:rsidP="002F32E3">
            <w:pPr>
              <w:pStyle w:val="ENoteTableText"/>
            </w:pPr>
          </w:p>
        </w:tc>
      </w:tr>
      <w:tr w:rsidR="00E93F58" w:rsidRPr="00576D60" w14:paraId="01B3AF4D" w14:textId="77777777" w:rsidTr="00363F04">
        <w:trPr>
          <w:cantSplit/>
        </w:trPr>
        <w:tc>
          <w:tcPr>
            <w:tcW w:w="1500" w:type="pct"/>
            <w:shd w:val="clear" w:color="auto" w:fill="auto"/>
          </w:tcPr>
          <w:p w14:paraId="4AC74795" w14:textId="77777777" w:rsidR="00E93F58" w:rsidRPr="00576D60" w:rsidRDefault="00E93F58" w:rsidP="008871AE">
            <w:pPr>
              <w:pStyle w:val="ENoteTableText"/>
              <w:tabs>
                <w:tab w:val="left" w:leader="dot" w:pos="2268"/>
              </w:tabs>
            </w:pPr>
            <w:r w:rsidRPr="00576D60">
              <w:t>r 5.3B.48</w:t>
            </w:r>
            <w:r w:rsidRPr="00576D60">
              <w:tab/>
            </w:r>
          </w:p>
        </w:tc>
        <w:tc>
          <w:tcPr>
            <w:tcW w:w="3500" w:type="pct"/>
            <w:shd w:val="clear" w:color="auto" w:fill="auto"/>
          </w:tcPr>
          <w:p w14:paraId="5A120E19" w14:textId="77777777" w:rsidR="00E93F58" w:rsidRPr="00576D60" w:rsidRDefault="00E93F58" w:rsidP="00363F04">
            <w:pPr>
              <w:pStyle w:val="ENoteTableText"/>
            </w:pPr>
            <w:r w:rsidRPr="00576D60">
              <w:t>ad F2020L01654</w:t>
            </w:r>
          </w:p>
        </w:tc>
      </w:tr>
      <w:tr w:rsidR="00E93F58" w:rsidRPr="00576D60" w14:paraId="0C59AE3B" w14:textId="77777777" w:rsidTr="002F32E3">
        <w:trPr>
          <w:cantSplit/>
        </w:trPr>
        <w:tc>
          <w:tcPr>
            <w:tcW w:w="1500" w:type="pct"/>
            <w:shd w:val="clear" w:color="auto" w:fill="auto"/>
          </w:tcPr>
          <w:p w14:paraId="6558C4C2" w14:textId="77777777" w:rsidR="00E93F58" w:rsidRPr="00576D60" w:rsidRDefault="00E93F58" w:rsidP="002F32E3">
            <w:pPr>
              <w:pStyle w:val="ENoteTableText"/>
              <w:tabs>
                <w:tab w:val="left" w:leader="dot" w:pos="2268"/>
              </w:tabs>
              <w:rPr>
                <w:b/>
              </w:rPr>
            </w:pPr>
            <w:r w:rsidRPr="00576D60">
              <w:rPr>
                <w:b/>
              </w:rPr>
              <w:t>Subdivision B</w:t>
            </w:r>
          </w:p>
        </w:tc>
        <w:tc>
          <w:tcPr>
            <w:tcW w:w="3500" w:type="pct"/>
            <w:shd w:val="clear" w:color="auto" w:fill="auto"/>
          </w:tcPr>
          <w:p w14:paraId="198131A1" w14:textId="77777777" w:rsidR="00E93F58" w:rsidRPr="00576D60" w:rsidRDefault="00E93F58" w:rsidP="002F32E3">
            <w:pPr>
              <w:pStyle w:val="ENoteTableText"/>
            </w:pPr>
          </w:p>
        </w:tc>
      </w:tr>
      <w:tr w:rsidR="00E93F58" w:rsidRPr="00576D60" w14:paraId="2106CC51" w14:textId="77777777" w:rsidTr="00363F04">
        <w:trPr>
          <w:cantSplit/>
        </w:trPr>
        <w:tc>
          <w:tcPr>
            <w:tcW w:w="1500" w:type="pct"/>
            <w:shd w:val="clear" w:color="auto" w:fill="auto"/>
          </w:tcPr>
          <w:p w14:paraId="677DBE82" w14:textId="77777777" w:rsidR="00E93F58" w:rsidRPr="00576D60" w:rsidRDefault="00E93F58" w:rsidP="008871AE">
            <w:pPr>
              <w:pStyle w:val="ENoteTableText"/>
              <w:tabs>
                <w:tab w:val="left" w:leader="dot" w:pos="2268"/>
              </w:tabs>
            </w:pPr>
            <w:r w:rsidRPr="00576D60">
              <w:t>r 5.3B.49</w:t>
            </w:r>
            <w:r w:rsidRPr="00576D60">
              <w:tab/>
            </w:r>
          </w:p>
        </w:tc>
        <w:tc>
          <w:tcPr>
            <w:tcW w:w="3500" w:type="pct"/>
            <w:shd w:val="clear" w:color="auto" w:fill="auto"/>
          </w:tcPr>
          <w:p w14:paraId="5E028074" w14:textId="77777777" w:rsidR="00E93F58" w:rsidRPr="00576D60" w:rsidRDefault="00E93F58" w:rsidP="00363F04">
            <w:pPr>
              <w:pStyle w:val="ENoteTableText"/>
            </w:pPr>
            <w:r w:rsidRPr="00576D60">
              <w:t>ad F2020L01654</w:t>
            </w:r>
          </w:p>
        </w:tc>
      </w:tr>
      <w:tr w:rsidR="00E93F58" w:rsidRPr="00576D60" w14:paraId="41084BB5" w14:textId="77777777" w:rsidTr="00363F04">
        <w:trPr>
          <w:cantSplit/>
        </w:trPr>
        <w:tc>
          <w:tcPr>
            <w:tcW w:w="1500" w:type="pct"/>
            <w:shd w:val="clear" w:color="auto" w:fill="auto"/>
          </w:tcPr>
          <w:p w14:paraId="1CD901AA" w14:textId="77777777" w:rsidR="00E93F58" w:rsidRPr="00576D60" w:rsidRDefault="00E93F58" w:rsidP="008871AE">
            <w:pPr>
              <w:pStyle w:val="ENoteTableText"/>
              <w:tabs>
                <w:tab w:val="left" w:leader="dot" w:pos="2268"/>
              </w:tabs>
            </w:pPr>
            <w:r w:rsidRPr="00576D60">
              <w:lastRenderedPageBreak/>
              <w:t>r 5.3B.50</w:t>
            </w:r>
            <w:r w:rsidRPr="00576D60">
              <w:tab/>
            </w:r>
          </w:p>
        </w:tc>
        <w:tc>
          <w:tcPr>
            <w:tcW w:w="3500" w:type="pct"/>
            <w:shd w:val="clear" w:color="auto" w:fill="auto"/>
          </w:tcPr>
          <w:p w14:paraId="4C21A01D" w14:textId="77777777" w:rsidR="00E93F58" w:rsidRPr="00576D60" w:rsidRDefault="00E93F58" w:rsidP="00363F04">
            <w:pPr>
              <w:pStyle w:val="ENoteTableText"/>
            </w:pPr>
            <w:r w:rsidRPr="00576D60">
              <w:t>ad F2020L01654</w:t>
            </w:r>
          </w:p>
        </w:tc>
      </w:tr>
      <w:tr w:rsidR="00E93F58" w:rsidRPr="00576D60" w14:paraId="5B49F56D" w14:textId="77777777" w:rsidTr="00363F04">
        <w:trPr>
          <w:cantSplit/>
        </w:trPr>
        <w:tc>
          <w:tcPr>
            <w:tcW w:w="1500" w:type="pct"/>
            <w:shd w:val="clear" w:color="auto" w:fill="auto"/>
          </w:tcPr>
          <w:p w14:paraId="764D2A0E" w14:textId="77777777" w:rsidR="00E93F58" w:rsidRPr="00576D60" w:rsidRDefault="00E93F58" w:rsidP="008871AE">
            <w:pPr>
              <w:pStyle w:val="ENoteTableText"/>
              <w:tabs>
                <w:tab w:val="left" w:leader="dot" w:pos="2268"/>
              </w:tabs>
            </w:pPr>
            <w:r w:rsidRPr="00576D60">
              <w:t>r 5.3B.51</w:t>
            </w:r>
            <w:r w:rsidRPr="00576D60">
              <w:tab/>
            </w:r>
          </w:p>
        </w:tc>
        <w:tc>
          <w:tcPr>
            <w:tcW w:w="3500" w:type="pct"/>
            <w:shd w:val="clear" w:color="auto" w:fill="auto"/>
          </w:tcPr>
          <w:p w14:paraId="095349FC" w14:textId="77777777" w:rsidR="00E93F58" w:rsidRPr="00576D60" w:rsidRDefault="00E93F58" w:rsidP="00363F04">
            <w:pPr>
              <w:pStyle w:val="ENoteTableText"/>
            </w:pPr>
            <w:r w:rsidRPr="00576D60">
              <w:t>ad F2020L01654</w:t>
            </w:r>
          </w:p>
        </w:tc>
      </w:tr>
      <w:tr w:rsidR="00E93F58" w:rsidRPr="00576D60" w14:paraId="4A3A45E0" w14:textId="77777777" w:rsidTr="00363F04">
        <w:trPr>
          <w:cantSplit/>
        </w:trPr>
        <w:tc>
          <w:tcPr>
            <w:tcW w:w="1500" w:type="pct"/>
            <w:shd w:val="clear" w:color="auto" w:fill="auto"/>
          </w:tcPr>
          <w:p w14:paraId="3F594F3C" w14:textId="77777777" w:rsidR="00E93F58" w:rsidRPr="00576D60" w:rsidRDefault="00E93F58" w:rsidP="008871AE">
            <w:pPr>
              <w:pStyle w:val="ENoteTableText"/>
              <w:tabs>
                <w:tab w:val="left" w:leader="dot" w:pos="2268"/>
              </w:tabs>
            </w:pPr>
            <w:r w:rsidRPr="00576D60">
              <w:t>r 5.3B.52</w:t>
            </w:r>
            <w:r w:rsidRPr="00576D60">
              <w:tab/>
            </w:r>
          </w:p>
        </w:tc>
        <w:tc>
          <w:tcPr>
            <w:tcW w:w="3500" w:type="pct"/>
            <w:shd w:val="clear" w:color="auto" w:fill="auto"/>
          </w:tcPr>
          <w:p w14:paraId="60417534" w14:textId="77777777" w:rsidR="00E93F58" w:rsidRPr="00576D60" w:rsidRDefault="00E93F58" w:rsidP="00363F04">
            <w:pPr>
              <w:pStyle w:val="ENoteTableText"/>
            </w:pPr>
            <w:r w:rsidRPr="00576D60">
              <w:t>ad F2020L01654</w:t>
            </w:r>
          </w:p>
        </w:tc>
      </w:tr>
      <w:tr w:rsidR="00E93F58" w:rsidRPr="00576D60" w14:paraId="1ACD773E" w14:textId="77777777" w:rsidTr="00363F04">
        <w:trPr>
          <w:cantSplit/>
        </w:trPr>
        <w:tc>
          <w:tcPr>
            <w:tcW w:w="1500" w:type="pct"/>
            <w:shd w:val="clear" w:color="auto" w:fill="auto"/>
          </w:tcPr>
          <w:p w14:paraId="38977120" w14:textId="77777777" w:rsidR="00E93F58" w:rsidRPr="00576D60" w:rsidRDefault="00E93F58" w:rsidP="008871AE">
            <w:pPr>
              <w:pStyle w:val="ENoteTableText"/>
              <w:tabs>
                <w:tab w:val="left" w:leader="dot" w:pos="2268"/>
              </w:tabs>
            </w:pPr>
            <w:r w:rsidRPr="00576D60">
              <w:t>r 5.3B.53</w:t>
            </w:r>
            <w:r w:rsidRPr="00576D60">
              <w:tab/>
            </w:r>
          </w:p>
        </w:tc>
        <w:tc>
          <w:tcPr>
            <w:tcW w:w="3500" w:type="pct"/>
            <w:shd w:val="clear" w:color="auto" w:fill="auto"/>
          </w:tcPr>
          <w:p w14:paraId="24DBAECB" w14:textId="77777777" w:rsidR="00E93F58" w:rsidRPr="00576D60" w:rsidRDefault="00E93F58" w:rsidP="00363F04">
            <w:pPr>
              <w:pStyle w:val="ENoteTableText"/>
            </w:pPr>
            <w:r w:rsidRPr="00576D60">
              <w:t>ad F2020L01654</w:t>
            </w:r>
          </w:p>
        </w:tc>
      </w:tr>
      <w:tr w:rsidR="00E93F58" w:rsidRPr="00576D60" w14:paraId="0A15A9C6" w14:textId="77777777" w:rsidTr="002F32E3">
        <w:trPr>
          <w:cantSplit/>
        </w:trPr>
        <w:tc>
          <w:tcPr>
            <w:tcW w:w="1500" w:type="pct"/>
            <w:shd w:val="clear" w:color="auto" w:fill="auto"/>
          </w:tcPr>
          <w:p w14:paraId="576442AA" w14:textId="77777777" w:rsidR="00E93F58" w:rsidRPr="00576D60" w:rsidRDefault="00E93F58" w:rsidP="006F2815">
            <w:pPr>
              <w:pStyle w:val="ENoteTableText"/>
              <w:keepNext/>
              <w:tabs>
                <w:tab w:val="left" w:leader="dot" w:pos="2268"/>
              </w:tabs>
              <w:rPr>
                <w:b/>
              </w:rPr>
            </w:pPr>
            <w:r w:rsidRPr="00576D60">
              <w:rPr>
                <w:b/>
              </w:rPr>
              <w:t>Subdivision C</w:t>
            </w:r>
          </w:p>
        </w:tc>
        <w:tc>
          <w:tcPr>
            <w:tcW w:w="3500" w:type="pct"/>
            <w:shd w:val="clear" w:color="auto" w:fill="auto"/>
          </w:tcPr>
          <w:p w14:paraId="3C5E55FD" w14:textId="77777777" w:rsidR="00E93F58" w:rsidRPr="00576D60" w:rsidRDefault="00E93F58" w:rsidP="002F32E3">
            <w:pPr>
              <w:pStyle w:val="ENoteTableText"/>
            </w:pPr>
          </w:p>
        </w:tc>
      </w:tr>
      <w:tr w:rsidR="00E93F58" w:rsidRPr="00576D60" w14:paraId="188870F0" w14:textId="77777777" w:rsidTr="00363F04">
        <w:trPr>
          <w:cantSplit/>
        </w:trPr>
        <w:tc>
          <w:tcPr>
            <w:tcW w:w="1500" w:type="pct"/>
            <w:shd w:val="clear" w:color="auto" w:fill="auto"/>
          </w:tcPr>
          <w:p w14:paraId="7C1EC2C1" w14:textId="77777777" w:rsidR="00E93F58" w:rsidRPr="00576D60" w:rsidRDefault="00E93F58" w:rsidP="008871AE">
            <w:pPr>
              <w:pStyle w:val="ENoteTableText"/>
              <w:tabs>
                <w:tab w:val="left" w:leader="dot" w:pos="2268"/>
              </w:tabs>
            </w:pPr>
            <w:r w:rsidRPr="00576D60">
              <w:t>r 5.3B.54</w:t>
            </w:r>
            <w:r w:rsidRPr="00576D60">
              <w:tab/>
            </w:r>
          </w:p>
        </w:tc>
        <w:tc>
          <w:tcPr>
            <w:tcW w:w="3500" w:type="pct"/>
            <w:shd w:val="clear" w:color="auto" w:fill="auto"/>
          </w:tcPr>
          <w:p w14:paraId="43225E4C" w14:textId="77777777" w:rsidR="00E93F58" w:rsidRPr="00576D60" w:rsidRDefault="00E93F58" w:rsidP="00363F04">
            <w:pPr>
              <w:pStyle w:val="ENoteTableText"/>
            </w:pPr>
            <w:r w:rsidRPr="00576D60">
              <w:t>ad F2020L01654</w:t>
            </w:r>
          </w:p>
        </w:tc>
      </w:tr>
      <w:tr w:rsidR="00E93F58" w:rsidRPr="00576D60" w14:paraId="0BFA6959" w14:textId="77777777" w:rsidTr="00363F04">
        <w:trPr>
          <w:cantSplit/>
        </w:trPr>
        <w:tc>
          <w:tcPr>
            <w:tcW w:w="1500" w:type="pct"/>
            <w:shd w:val="clear" w:color="auto" w:fill="auto"/>
          </w:tcPr>
          <w:p w14:paraId="45616D2C" w14:textId="77777777" w:rsidR="00E93F58" w:rsidRPr="00576D60" w:rsidRDefault="00E93F58" w:rsidP="008871AE">
            <w:pPr>
              <w:pStyle w:val="ENoteTableText"/>
              <w:tabs>
                <w:tab w:val="left" w:leader="dot" w:pos="2268"/>
              </w:tabs>
            </w:pPr>
            <w:r w:rsidRPr="00576D60">
              <w:t>r 5.3B.55</w:t>
            </w:r>
            <w:r w:rsidRPr="00576D60">
              <w:tab/>
            </w:r>
          </w:p>
        </w:tc>
        <w:tc>
          <w:tcPr>
            <w:tcW w:w="3500" w:type="pct"/>
            <w:shd w:val="clear" w:color="auto" w:fill="auto"/>
          </w:tcPr>
          <w:p w14:paraId="45A5FD7C" w14:textId="77777777" w:rsidR="00E93F58" w:rsidRPr="00576D60" w:rsidRDefault="00E93F58" w:rsidP="00363F04">
            <w:pPr>
              <w:pStyle w:val="ENoteTableText"/>
            </w:pPr>
            <w:r w:rsidRPr="00576D60">
              <w:t>ad F2020L01654</w:t>
            </w:r>
          </w:p>
        </w:tc>
      </w:tr>
      <w:tr w:rsidR="00E93F58" w:rsidRPr="00576D60" w14:paraId="3B484A47" w14:textId="77777777" w:rsidTr="00363F04">
        <w:trPr>
          <w:cantSplit/>
        </w:trPr>
        <w:tc>
          <w:tcPr>
            <w:tcW w:w="1500" w:type="pct"/>
            <w:shd w:val="clear" w:color="auto" w:fill="auto"/>
          </w:tcPr>
          <w:p w14:paraId="20A83302" w14:textId="77777777" w:rsidR="00E93F58" w:rsidRPr="00576D60" w:rsidRDefault="00E93F58" w:rsidP="008871AE">
            <w:pPr>
              <w:pStyle w:val="ENoteTableText"/>
              <w:tabs>
                <w:tab w:val="left" w:leader="dot" w:pos="2268"/>
              </w:tabs>
            </w:pPr>
            <w:r w:rsidRPr="00576D60">
              <w:t>r 5.3B.56</w:t>
            </w:r>
            <w:r w:rsidRPr="00576D60">
              <w:tab/>
            </w:r>
          </w:p>
        </w:tc>
        <w:tc>
          <w:tcPr>
            <w:tcW w:w="3500" w:type="pct"/>
            <w:shd w:val="clear" w:color="auto" w:fill="auto"/>
          </w:tcPr>
          <w:p w14:paraId="6FB985A0" w14:textId="77777777" w:rsidR="00E93F58" w:rsidRPr="00576D60" w:rsidRDefault="00E93F58" w:rsidP="00363F04">
            <w:pPr>
              <w:pStyle w:val="ENoteTableText"/>
            </w:pPr>
            <w:r w:rsidRPr="00576D60">
              <w:t>ad F2020L01654</w:t>
            </w:r>
          </w:p>
        </w:tc>
      </w:tr>
      <w:tr w:rsidR="00E93F58" w:rsidRPr="00576D60" w14:paraId="3FC65B4B" w14:textId="77777777" w:rsidTr="00363F04">
        <w:trPr>
          <w:cantSplit/>
        </w:trPr>
        <w:tc>
          <w:tcPr>
            <w:tcW w:w="1500" w:type="pct"/>
            <w:shd w:val="clear" w:color="auto" w:fill="auto"/>
          </w:tcPr>
          <w:p w14:paraId="5F566912" w14:textId="77777777" w:rsidR="00E93F58" w:rsidRPr="00576D60" w:rsidRDefault="00E93F58" w:rsidP="008871AE">
            <w:pPr>
              <w:pStyle w:val="ENoteTableText"/>
              <w:tabs>
                <w:tab w:val="left" w:leader="dot" w:pos="2268"/>
              </w:tabs>
            </w:pPr>
            <w:r w:rsidRPr="00576D60">
              <w:t>r 5.3B.57</w:t>
            </w:r>
            <w:r w:rsidRPr="00576D60">
              <w:tab/>
            </w:r>
          </w:p>
        </w:tc>
        <w:tc>
          <w:tcPr>
            <w:tcW w:w="3500" w:type="pct"/>
            <w:shd w:val="clear" w:color="auto" w:fill="auto"/>
          </w:tcPr>
          <w:p w14:paraId="1109CB3B" w14:textId="77777777" w:rsidR="00E93F58" w:rsidRPr="00576D60" w:rsidRDefault="00E93F58" w:rsidP="00363F04">
            <w:pPr>
              <w:pStyle w:val="ENoteTableText"/>
            </w:pPr>
            <w:r w:rsidRPr="00576D60">
              <w:t>ad F2020L01654</w:t>
            </w:r>
          </w:p>
        </w:tc>
      </w:tr>
      <w:tr w:rsidR="00E93F58" w:rsidRPr="00576D60" w14:paraId="52FE6431" w14:textId="77777777" w:rsidTr="00363F04">
        <w:trPr>
          <w:cantSplit/>
        </w:trPr>
        <w:tc>
          <w:tcPr>
            <w:tcW w:w="1500" w:type="pct"/>
            <w:shd w:val="clear" w:color="auto" w:fill="auto"/>
          </w:tcPr>
          <w:p w14:paraId="37A92350" w14:textId="77777777" w:rsidR="00E93F58" w:rsidRPr="00576D60" w:rsidRDefault="00E93F58" w:rsidP="008871AE">
            <w:pPr>
              <w:pStyle w:val="ENoteTableText"/>
              <w:tabs>
                <w:tab w:val="left" w:leader="dot" w:pos="2268"/>
              </w:tabs>
            </w:pPr>
            <w:r w:rsidRPr="00576D60">
              <w:t>r 5.3B.58</w:t>
            </w:r>
            <w:r w:rsidRPr="00576D60">
              <w:tab/>
            </w:r>
          </w:p>
        </w:tc>
        <w:tc>
          <w:tcPr>
            <w:tcW w:w="3500" w:type="pct"/>
            <w:shd w:val="clear" w:color="auto" w:fill="auto"/>
          </w:tcPr>
          <w:p w14:paraId="6EBC9072" w14:textId="77777777" w:rsidR="00E93F58" w:rsidRPr="00576D60" w:rsidRDefault="00E93F58" w:rsidP="00363F04">
            <w:pPr>
              <w:pStyle w:val="ENoteTableText"/>
            </w:pPr>
            <w:r w:rsidRPr="00576D60">
              <w:t>ad F2020L01654</w:t>
            </w:r>
          </w:p>
        </w:tc>
      </w:tr>
      <w:tr w:rsidR="00E93F58" w:rsidRPr="00576D60" w14:paraId="1F18B3D6" w14:textId="77777777" w:rsidTr="002F32E3">
        <w:trPr>
          <w:cantSplit/>
        </w:trPr>
        <w:tc>
          <w:tcPr>
            <w:tcW w:w="1500" w:type="pct"/>
            <w:shd w:val="clear" w:color="auto" w:fill="auto"/>
          </w:tcPr>
          <w:p w14:paraId="04569288" w14:textId="77777777" w:rsidR="00E93F58" w:rsidRPr="00576D60" w:rsidRDefault="00E93F58" w:rsidP="002F32E3">
            <w:pPr>
              <w:pStyle w:val="ENoteTableText"/>
              <w:tabs>
                <w:tab w:val="left" w:leader="dot" w:pos="2268"/>
              </w:tabs>
              <w:rPr>
                <w:b/>
              </w:rPr>
            </w:pPr>
            <w:r w:rsidRPr="00576D60">
              <w:rPr>
                <w:b/>
              </w:rPr>
              <w:t>Division 6</w:t>
            </w:r>
          </w:p>
        </w:tc>
        <w:tc>
          <w:tcPr>
            <w:tcW w:w="3500" w:type="pct"/>
            <w:shd w:val="clear" w:color="auto" w:fill="auto"/>
          </w:tcPr>
          <w:p w14:paraId="08402002" w14:textId="77777777" w:rsidR="00E93F58" w:rsidRPr="00576D60" w:rsidRDefault="00E93F58" w:rsidP="002F32E3">
            <w:pPr>
              <w:pStyle w:val="ENoteTableText"/>
            </w:pPr>
          </w:p>
        </w:tc>
      </w:tr>
      <w:tr w:rsidR="00E93F58" w:rsidRPr="00576D60" w14:paraId="09C711BF" w14:textId="77777777" w:rsidTr="00363F04">
        <w:trPr>
          <w:cantSplit/>
        </w:trPr>
        <w:tc>
          <w:tcPr>
            <w:tcW w:w="1500" w:type="pct"/>
            <w:shd w:val="clear" w:color="auto" w:fill="auto"/>
          </w:tcPr>
          <w:p w14:paraId="11B7DAAF" w14:textId="77777777" w:rsidR="00E93F58" w:rsidRPr="00576D60" w:rsidRDefault="00E93F58" w:rsidP="008871AE">
            <w:pPr>
              <w:pStyle w:val="ENoteTableText"/>
              <w:tabs>
                <w:tab w:val="left" w:leader="dot" w:pos="2268"/>
              </w:tabs>
            </w:pPr>
            <w:r w:rsidRPr="00576D60">
              <w:t>r 5.3B.59</w:t>
            </w:r>
            <w:r w:rsidRPr="00576D60">
              <w:tab/>
            </w:r>
          </w:p>
        </w:tc>
        <w:tc>
          <w:tcPr>
            <w:tcW w:w="3500" w:type="pct"/>
            <w:shd w:val="clear" w:color="auto" w:fill="auto"/>
          </w:tcPr>
          <w:p w14:paraId="554D190E" w14:textId="77777777" w:rsidR="00E93F58" w:rsidRPr="00576D60" w:rsidRDefault="00E93F58" w:rsidP="00363F04">
            <w:pPr>
              <w:pStyle w:val="ENoteTableText"/>
            </w:pPr>
            <w:r w:rsidRPr="00576D60">
              <w:t>ad F2020L01654</w:t>
            </w:r>
          </w:p>
        </w:tc>
      </w:tr>
      <w:tr w:rsidR="00E93F58" w:rsidRPr="00576D60" w14:paraId="59A595CA" w14:textId="77777777" w:rsidTr="00363F04">
        <w:trPr>
          <w:cantSplit/>
        </w:trPr>
        <w:tc>
          <w:tcPr>
            <w:tcW w:w="1500" w:type="pct"/>
            <w:shd w:val="clear" w:color="auto" w:fill="auto"/>
          </w:tcPr>
          <w:p w14:paraId="35006FD4" w14:textId="77777777" w:rsidR="00E93F58" w:rsidRPr="00576D60" w:rsidRDefault="00E93F58" w:rsidP="008871AE">
            <w:pPr>
              <w:pStyle w:val="ENoteTableText"/>
              <w:tabs>
                <w:tab w:val="left" w:leader="dot" w:pos="2268"/>
              </w:tabs>
            </w:pPr>
            <w:r w:rsidRPr="00576D60">
              <w:t>r 5.3B.60</w:t>
            </w:r>
            <w:r w:rsidRPr="00576D60">
              <w:tab/>
            </w:r>
          </w:p>
        </w:tc>
        <w:tc>
          <w:tcPr>
            <w:tcW w:w="3500" w:type="pct"/>
            <w:shd w:val="clear" w:color="auto" w:fill="auto"/>
          </w:tcPr>
          <w:p w14:paraId="6CCEEEA1" w14:textId="77777777" w:rsidR="00E93F58" w:rsidRPr="00576D60" w:rsidRDefault="00E93F58" w:rsidP="00363F04">
            <w:pPr>
              <w:pStyle w:val="ENoteTableText"/>
            </w:pPr>
            <w:r w:rsidRPr="00576D60">
              <w:t>ad F2020L01654</w:t>
            </w:r>
          </w:p>
        </w:tc>
      </w:tr>
      <w:tr w:rsidR="00E93F58" w:rsidRPr="00576D60" w14:paraId="3AB91C84" w14:textId="77777777" w:rsidTr="00363F04">
        <w:trPr>
          <w:cantSplit/>
        </w:trPr>
        <w:tc>
          <w:tcPr>
            <w:tcW w:w="1500" w:type="pct"/>
            <w:shd w:val="clear" w:color="auto" w:fill="auto"/>
          </w:tcPr>
          <w:p w14:paraId="4070579A" w14:textId="77777777" w:rsidR="00E93F58" w:rsidRPr="00576D60" w:rsidRDefault="00E93F58" w:rsidP="008871AE">
            <w:pPr>
              <w:pStyle w:val="ENoteTableText"/>
              <w:tabs>
                <w:tab w:val="left" w:leader="dot" w:pos="2268"/>
              </w:tabs>
            </w:pPr>
            <w:r w:rsidRPr="00576D60">
              <w:t>r 5.3B.61</w:t>
            </w:r>
            <w:r w:rsidRPr="00576D60">
              <w:tab/>
            </w:r>
          </w:p>
        </w:tc>
        <w:tc>
          <w:tcPr>
            <w:tcW w:w="3500" w:type="pct"/>
            <w:shd w:val="clear" w:color="auto" w:fill="auto"/>
          </w:tcPr>
          <w:p w14:paraId="30DD7408" w14:textId="77777777" w:rsidR="00E93F58" w:rsidRPr="00576D60" w:rsidRDefault="00E93F58" w:rsidP="00363F04">
            <w:pPr>
              <w:pStyle w:val="ENoteTableText"/>
            </w:pPr>
            <w:r w:rsidRPr="00576D60">
              <w:t>ad F2020L01654</w:t>
            </w:r>
          </w:p>
        </w:tc>
      </w:tr>
      <w:tr w:rsidR="00E93F58" w:rsidRPr="00576D60" w14:paraId="50D0D095" w14:textId="77777777" w:rsidTr="00363F04">
        <w:trPr>
          <w:cantSplit/>
        </w:trPr>
        <w:tc>
          <w:tcPr>
            <w:tcW w:w="1500" w:type="pct"/>
            <w:shd w:val="clear" w:color="auto" w:fill="auto"/>
          </w:tcPr>
          <w:p w14:paraId="6A87C3F9" w14:textId="77777777" w:rsidR="00E93F58" w:rsidRPr="00576D60" w:rsidRDefault="00E93F58" w:rsidP="008871AE">
            <w:pPr>
              <w:pStyle w:val="ENoteTableText"/>
              <w:tabs>
                <w:tab w:val="left" w:leader="dot" w:pos="2268"/>
              </w:tabs>
            </w:pPr>
            <w:r w:rsidRPr="00576D60">
              <w:t>r 5.3B.62</w:t>
            </w:r>
            <w:r w:rsidRPr="00576D60">
              <w:tab/>
            </w:r>
          </w:p>
        </w:tc>
        <w:tc>
          <w:tcPr>
            <w:tcW w:w="3500" w:type="pct"/>
            <w:shd w:val="clear" w:color="auto" w:fill="auto"/>
          </w:tcPr>
          <w:p w14:paraId="7576275B" w14:textId="77777777" w:rsidR="00E93F58" w:rsidRPr="00576D60" w:rsidRDefault="00E93F58" w:rsidP="00363F04">
            <w:pPr>
              <w:pStyle w:val="ENoteTableText"/>
            </w:pPr>
            <w:r w:rsidRPr="00576D60">
              <w:t>ad F2020L01654</w:t>
            </w:r>
          </w:p>
        </w:tc>
      </w:tr>
      <w:tr w:rsidR="00E93F58" w:rsidRPr="00576D60" w14:paraId="7369251F" w14:textId="77777777" w:rsidTr="00363F04">
        <w:trPr>
          <w:cantSplit/>
        </w:trPr>
        <w:tc>
          <w:tcPr>
            <w:tcW w:w="1500" w:type="pct"/>
            <w:shd w:val="clear" w:color="auto" w:fill="auto"/>
          </w:tcPr>
          <w:p w14:paraId="75DECE26" w14:textId="77777777" w:rsidR="00E93F58" w:rsidRPr="00576D60" w:rsidRDefault="00E93F58" w:rsidP="008871AE">
            <w:pPr>
              <w:pStyle w:val="ENoteTableText"/>
              <w:tabs>
                <w:tab w:val="left" w:leader="dot" w:pos="2268"/>
              </w:tabs>
            </w:pPr>
            <w:r w:rsidRPr="00576D60">
              <w:t>r 5.3B.63</w:t>
            </w:r>
            <w:r w:rsidRPr="00576D60">
              <w:tab/>
            </w:r>
          </w:p>
        </w:tc>
        <w:tc>
          <w:tcPr>
            <w:tcW w:w="3500" w:type="pct"/>
            <w:shd w:val="clear" w:color="auto" w:fill="auto"/>
          </w:tcPr>
          <w:p w14:paraId="7F9788D4" w14:textId="77777777" w:rsidR="00E93F58" w:rsidRPr="00576D60" w:rsidRDefault="00E93F58" w:rsidP="00363F04">
            <w:pPr>
              <w:pStyle w:val="ENoteTableText"/>
            </w:pPr>
            <w:r w:rsidRPr="00576D60">
              <w:t>ad F2020L01654</w:t>
            </w:r>
          </w:p>
        </w:tc>
      </w:tr>
      <w:tr w:rsidR="00E93F58" w:rsidRPr="00576D60" w14:paraId="31CE518F" w14:textId="77777777" w:rsidTr="00363F04">
        <w:trPr>
          <w:cantSplit/>
        </w:trPr>
        <w:tc>
          <w:tcPr>
            <w:tcW w:w="1500" w:type="pct"/>
            <w:shd w:val="clear" w:color="auto" w:fill="auto"/>
          </w:tcPr>
          <w:p w14:paraId="23C21D0F" w14:textId="77777777" w:rsidR="00E93F58" w:rsidRPr="00576D60" w:rsidRDefault="00E93F58" w:rsidP="008871AE">
            <w:pPr>
              <w:pStyle w:val="ENoteTableText"/>
              <w:tabs>
                <w:tab w:val="left" w:leader="dot" w:pos="2268"/>
              </w:tabs>
            </w:pPr>
            <w:r w:rsidRPr="00576D60">
              <w:t>r 5.3B.64</w:t>
            </w:r>
            <w:r w:rsidRPr="00576D60">
              <w:tab/>
            </w:r>
          </w:p>
        </w:tc>
        <w:tc>
          <w:tcPr>
            <w:tcW w:w="3500" w:type="pct"/>
            <w:shd w:val="clear" w:color="auto" w:fill="auto"/>
          </w:tcPr>
          <w:p w14:paraId="68E19998" w14:textId="77777777" w:rsidR="00E93F58" w:rsidRPr="00576D60" w:rsidRDefault="00E93F58" w:rsidP="00363F04">
            <w:pPr>
              <w:pStyle w:val="ENoteTableText"/>
            </w:pPr>
            <w:r w:rsidRPr="00576D60">
              <w:t>ad F2020L01654</w:t>
            </w:r>
          </w:p>
        </w:tc>
      </w:tr>
      <w:tr w:rsidR="00E93F58" w:rsidRPr="00576D60" w14:paraId="6633FC4E" w14:textId="77777777" w:rsidTr="002F32E3">
        <w:trPr>
          <w:cantSplit/>
        </w:trPr>
        <w:tc>
          <w:tcPr>
            <w:tcW w:w="1500" w:type="pct"/>
            <w:shd w:val="clear" w:color="auto" w:fill="auto"/>
          </w:tcPr>
          <w:p w14:paraId="531B9FA8" w14:textId="77777777" w:rsidR="00E93F58" w:rsidRPr="00576D60" w:rsidRDefault="00E93F58" w:rsidP="002F32E3">
            <w:pPr>
              <w:pStyle w:val="ENoteTableText"/>
              <w:tabs>
                <w:tab w:val="left" w:leader="dot" w:pos="2268"/>
              </w:tabs>
              <w:rPr>
                <w:b/>
              </w:rPr>
            </w:pPr>
            <w:r w:rsidRPr="00576D60">
              <w:rPr>
                <w:b/>
              </w:rPr>
              <w:t>Division 7</w:t>
            </w:r>
          </w:p>
        </w:tc>
        <w:tc>
          <w:tcPr>
            <w:tcW w:w="3500" w:type="pct"/>
            <w:shd w:val="clear" w:color="auto" w:fill="auto"/>
          </w:tcPr>
          <w:p w14:paraId="65C8DF86" w14:textId="77777777" w:rsidR="00E93F58" w:rsidRPr="00576D60" w:rsidRDefault="00E93F58" w:rsidP="002F32E3">
            <w:pPr>
              <w:pStyle w:val="ENoteTableText"/>
            </w:pPr>
          </w:p>
        </w:tc>
      </w:tr>
      <w:tr w:rsidR="00E93F58" w:rsidRPr="00576D60" w14:paraId="116CF879" w14:textId="77777777" w:rsidTr="00363F04">
        <w:trPr>
          <w:cantSplit/>
        </w:trPr>
        <w:tc>
          <w:tcPr>
            <w:tcW w:w="1500" w:type="pct"/>
            <w:shd w:val="clear" w:color="auto" w:fill="auto"/>
          </w:tcPr>
          <w:p w14:paraId="73633A5D" w14:textId="77777777" w:rsidR="00E93F58" w:rsidRPr="00576D60" w:rsidRDefault="00E93F58" w:rsidP="008871AE">
            <w:pPr>
              <w:pStyle w:val="ENoteTableText"/>
              <w:tabs>
                <w:tab w:val="left" w:leader="dot" w:pos="2268"/>
              </w:tabs>
            </w:pPr>
            <w:r w:rsidRPr="00576D60">
              <w:t>r 5.3B.65</w:t>
            </w:r>
            <w:r w:rsidRPr="00576D60">
              <w:tab/>
            </w:r>
          </w:p>
        </w:tc>
        <w:tc>
          <w:tcPr>
            <w:tcW w:w="3500" w:type="pct"/>
            <w:shd w:val="clear" w:color="auto" w:fill="auto"/>
          </w:tcPr>
          <w:p w14:paraId="40C2EF8E" w14:textId="77777777" w:rsidR="00E93F58" w:rsidRPr="00576D60" w:rsidRDefault="00E93F58" w:rsidP="00363F04">
            <w:pPr>
              <w:pStyle w:val="ENoteTableText"/>
            </w:pPr>
            <w:r w:rsidRPr="00576D60">
              <w:t>ad F2020L01654</w:t>
            </w:r>
          </w:p>
        </w:tc>
      </w:tr>
      <w:tr w:rsidR="00E93F58" w:rsidRPr="00576D60" w14:paraId="103314AF" w14:textId="77777777" w:rsidTr="002F32E3">
        <w:trPr>
          <w:cantSplit/>
        </w:trPr>
        <w:tc>
          <w:tcPr>
            <w:tcW w:w="1500" w:type="pct"/>
            <w:shd w:val="clear" w:color="auto" w:fill="auto"/>
          </w:tcPr>
          <w:p w14:paraId="1C85044A" w14:textId="77777777" w:rsidR="00E93F58" w:rsidRPr="00576D60" w:rsidRDefault="00E93F58" w:rsidP="002F32E3">
            <w:pPr>
              <w:pStyle w:val="ENoteTableText"/>
              <w:tabs>
                <w:tab w:val="left" w:leader="dot" w:pos="2268"/>
              </w:tabs>
              <w:rPr>
                <w:b/>
              </w:rPr>
            </w:pPr>
            <w:r>
              <w:rPr>
                <w:b/>
              </w:rPr>
              <w:t>Part 5</w:t>
            </w:r>
            <w:r w:rsidRPr="00576D60">
              <w:rPr>
                <w:b/>
              </w:rPr>
              <w:t>.4</w:t>
            </w:r>
          </w:p>
        </w:tc>
        <w:tc>
          <w:tcPr>
            <w:tcW w:w="3500" w:type="pct"/>
            <w:shd w:val="clear" w:color="auto" w:fill="auto"/>
          </w:tcPr>
          <w:p w14:paraId="3602458D" w14:textId="77777777" w:rsidR="00E93F58" w:rsidRPr="00576D60" w:rsidRDefault="00E93F58" w:rsidP="002F32E3">
            <w:pPr>
              <w:pStyle w:val="ENoteTableText"/>
            </w:pPr>
          </w:p>
        </w:tc>
      </w:tr>
      <w:tr w:rsidR="00E93F58" w:rsidRPr="00576D60" w14:paraId="3510FF3B" w14:textId="77777777" w:rsidTr="002F32E3">
        <w:trPr>
          <w:cantSplit/>
        </w:trPr>
        <w:tc>
          <w:tcPr>
            <w:tcW w:w="1500" w:type="pct"/>
            <w:shd w:val="clear" w:color="auto" w:fill="auto"/>
          </w:tcPr>
          <w:p w14:paraId="12AD249D" w14:textId="77777777" w:rsidR="00E93F58" w:rsidRPr="00576D60" w:rsidRDefault="00E93F58" w:rsidP="002F32E3">
            <w:pPr>
              <w:pStyle w:val="ENoteTableText"/>
              <w:tabs>
                <w:tab w:val="left" w:leader="dot" w:pos="2268"/>
              </w:tabs>
            </w:pPr>
            <w:r w:rsidRPr="00576D60">
              <w:t>r 5.4.01AA</w:t>
            </w:r>
            <w:r w:rsidRPr="00576D60">
              <w:tab/>
            </w:r>
          </w:p>
        </w:tc>
        <w:tc>
          <w:tcPr>
            <w:tcW w:w="3500" w:type="pct"/>
            <w:shd w:val="clear" w:color="auto" w:fill="auto"/>
          </w:tcPr>
          <w:p w14:paraId="176266DE" w14:textId="77777777" w:rsidR="00E93F58" w:rsidRPr="00576D60" w:rsidRDefault="00E93F58">
            <w:pPr>
              <w:pStyle w:val="ENoteTableText"/>
            </w:pPr>
            <w:r w:rsidRPr="00576D60">
              <w:t>ad Act No 22, 2020</w:t>
            </w:r>
          </w:p>
        </w:tc>
      </w:tr>
      <w:tr w:rsidR="00E93F58" w:rsidRPr="00576D60" w14:paraId="093E8793" w14:textId="77777777" w:rsidTr="002F32E3">
        <w:trPr>
          <w:cantSplit/>
        </w:trPr>
        <w:tc>
          <w:tcPr>
            <w:tcW w:w="1500" w:type="pct"/>
            <w:shd w:val="clear" w:color="auto" w:fill="auto"/>
          </w:tcPr>
          <w:p w14:paraId="681C5731" w14:textId="77777777" w:rsidR="00E93F58" w:rsidRPr="00576D60" w:rsidRDefault="00E93F58" w:rsidP="002F32E3">
            <w:pPr>
              <w:pStyle w:val="ENoteTableText"/>
              <w:tabs>
                <w:tab w:val="left" w:leader="dot" w:pos="2268"/>
              </w:tabs>
            </w:pPr>
          </w:p>
        </w:tc>
        <w:tc>
          <w:tcPr>
            <w:tcW w:w="3500" w:type="pct"/>
            <w:shd w:val="clear" w:color="auto" w:fill="auto"/>
          </w:tcPr>
          <w:p w14:paraId="2249EE0F" w14:textId="77777777" w:rsidR="00E93F58" w:rsidRPr="00576D60" w:rsidRDefault="00E93F58" w:rsidP="002F32E3">
            <w:pPr>
              <w:pStyle w:val="ENoteTableText"/>
            </w:pPr>
            <w:r w:rsidRPr="00576D60">
              <w:t>am F2020L01191</w:t>
            </w:r>
          </w:p>
        </w:tc>
      </w:tr>
      <w:tr w:rsidR="00E93F58" w:rsidRPr="00576D60" w14:paraId="22A1932A" w14:textId="77777777" w:rsidTr="002F32E3">
        <w:trPr>
          <w:cantSplit/>
        </w:trPr>
        <w:tc>
          <w:tcPr>
            <w:tcW w:w="1500" w:type="pct"/>
            <w:shd w:val="clear" w:color="auto" w:fill="auto"/>
          </w:tcPr>
          <w:p w14:paraId="3EE3C8E0" w14:textId="77777777" w:rsidR="00E93F58" w:rsidRPr="00576D60" w:rsidRDefault="00E93F58" w:rsidP="002F32E3">
            <w:pPr>
              <w:pStyle w:val="ENoteTableText"/>
              <w:tabs>
                <w:tab w:val="left" w:leader="dot" w:pos="2268"/>
              </w:tabs>
            </w:pPr>
          </w:p>
        </w:tc>
        <w:tc>
          <w:tcPr>
            <w:tcW w:w="3500" w:type="pct"/>
            <w:shd w:val="clear" w:color="auto" w:fill="auto"/>
          </w:tcPr>
          <w:p w14:paraId="439E153D" w14:textId="77777777" w:rsidR="00E93F58" w:rsidRPr="00576D60" w:rsidRDefault="00E93F58" w:rsidP="00E07F63">
            <w:pPr>
              <w:pStyle w:val="ENoteTableText"/>
            </w:pPr>
            <w:r w:rsidRPr="00576D60">
              <w:t>rep end of 31 Dec 2020 (r 5.4.01AA(3))</w:t>
            </w:r>
          </w:p>
        </w:tc>
      </w:tr>
      <w:tr w:rsidR="00E93F58" w:rsidRPr="00576D60" w14:paraId="4B73D690" w14:textId="77777777" w:rsidTr="002F32E3">
        <w:trPr>
          <w:cantSplit/>
        </w:trPr>
        <w:tc>
          <w:tcPr>
            <w:tcW w:w="1500" w:type="pct"/>
            <w:shd w:val="clear" w:color="auto" w:fill="auto"/>
          </w:tcPr>
          <w:p w14:paraId="2B97691B" w14:textId="77777777" w:rsidR="00E93F58" w:rsidRPr="00576D60" w:rsidRDefault="00E93F58" w:rsidP="002F32E3">
            <w:pPr>
              <w:pStyle w:val="ENoteTableText"/>
              <w:tabs>
                <w:tab w:val="left" w:leader="dot" w:pos="2268"/>
              </w:tabs>
            </w:pPr>
            <w:r w:rsidRPr="00576D60">
              <w:t>r 5.4.01AAA</w:t>
            </w:r>
            <w:r w:rsidRPr="00576D60">
              <w:tab/>
            </w:r>
          </w:p>
        </w:tc>
        <w:tc>
          <w:tcPr>
            <w:tcW w:w="3500" w:type="pct"/>
            <w:shd w:val="clear" w:color="auto" w:fill="auto"/>
          </w:tcPr>
          <w:p w14:paraId="6AA80926" w14:textId="77777777" w:rsidR="00E93F58" w:rsidRPr="00576D60" w:rsidRDefault="00E93F58" w:rsidP="00E07F63">
            <w:pPr>
              <w:pStyle w:val="ENoteTableText"/>
            </w:pPr>
            <w:r w:rsidRPr="00576D60">
              <w:t>ad F2020L01654</w:t>
            </w:r>
          </w:p>
        </w:tc>
      </w:tr>
      <w:tr w:rsidR="00E93F58" w:rsidRPr="00576D60" w14:paraId="02FCF6D8" w14:textId="77777777" w:rsidTr="002F32E3">
        <w:trPr>
          <w:cantSplit/>
        </w:trPr>
        <w:tc>
          <w:tcPr>
            <w:tcW w:w="1500" w:type="pct"/>
            <w:shd w:val="clear" w:color="auto" w:fill="auto"/>
          </w:tcPr>
          <w:p w14:paraId="35FB3166" w14:textId="77777777" w:rsidR="00E93F58" w:rsidRPr="00576D60" w:rsidRDefault="00E93F58" w:rsidP="002F32E3">
            <w:pPr>
              <w:pStyle w:val="ENoteTableText"/>
              <w:tabs>
                <w:tab w:val="left" w:leader="dot" w:pos="2268"/>
              </w:tabs>
            </w:pPr>
          </w:p>
        </w:tc>
        <w:tc>
          <w:tcPr>
            <w:tcW w:w="3500" w:type="pct"/>
            <w:shd w:val="clear" w:color="auto" w:fill="auto"/>
          </w:tcPr>
          <w:p w14:paraId="00A2DCCB" w14:textId="77777777" w:rsidR="00E93F58" w:rsidRPr="00576D60" w:rsidRDefault="00E93F58" w:rsidP="00E07F63">
            <w:pPr>
              <w:pStyle w:val="ENoteTableText"/>
            </w:pPr>
            <w:r w:rsidRPr="00576D60">
              <w:t>am F2021L00660; F2022L01689</w:t>
            </w:r>
          </w:p>
        </w:tc>
      </w:tr>
      <w:tr w:rsidR="00E93F58" w:rsidRPr="00576D60" w14:paraId="0281E9BF" w14:textId="77777777" w:rsidTr="002F32E3">
        <w:trPr>
          <w:cantSplit/>
        </w:trPr>
        <w:tc>
          <w:tcPr>
            <w:tcW w:w="1500" w:type="pct"/>
            <w:shd w:val="clear" w:color="auto" w:fill="auto"/>
          </w:tcPr>
          <w:p w14:paraId="3D967E8F" w14:textId="77777777" w:rsidR="00E93F58" w:rsidRPr="00576D60" w:rsidRDefault="00E93F58" w:rsidP="002F32E3">
            <w:pPr>
              <w:pStyle w:val="ENoteTableText"/>
              <w:tabs>
                <w:tab w:val="left" w:leader="dot" w:pos="2268"/>
              </w:tabs>
            </w:pPr>
            <w:r w:rsidRPr="00576D60">
              <w:t>r 5.4.01A</w:t>
            </w:r>
            <w:r w:rsidRPr="00576D60">
              <w:tab/>
            </w:r>
          </w:p>
        </w:tc>
        <w:tc>
          <w:tcPr>
            <w:tcW w:w="3500" w:type="pct"/>
            <w:shd w:val="clear" w:color="auto" w:fill="auto"/>
          </w:tcPr>
          <w:p w14:paraId="5181FADE" w14:textId="77777777" w:rsidR="00E93F58" w:rsidRPr="00576D60" w:rsidRDefault="00E93F58" w:rsidP="002F32E3">
            <w:pPr>
              <w:pStyle w:val="ENoteTableText"/>
            </w:pPr>
            <w:r w:rsidRPr="00576D60">
              <w:t>ad No 114, 2012</w:t>
            </w:r>
          </w:p>
        </w:tc>
      </w:tr>
      <w:tr w:rsidR="00E93F58" w:rsidRPr="00576D60" w14:paraId="50CB7ACB" w14:textId="77777777" w:rsidTr="002F32E3">
        <w:trPr>
          <w:cantSplit/>
        </w:trPr>
        <w:tc>
          <w:tcPr>
            <w:tcW w:w="1500" w:type="pct"/>
            <w:shd w:val="clear" w:color="auto" w:fill="auto"/>
          </w:tcPr>
          <w:p w14:paraId="4CF108B9" w14:textId="77777777" w:rsidR="00E93F58" w:rsidRPr="00576D60" w:rsidRDefault="00E93F58" w:rsidP="002F32E3">
            <w:pPr>
              <w:pStyle w:val="ENoteTableText"/>
              <w:tabs>
                <w:tab w:val="left" w:leader="dot" w:pos="2268"/>
              </w:tabs>
            </w:pPr>
          </w:p>
        </w:tc>
        <w:tc>
          <w:tcPr>
            <w:tcW w:w="3500" w:type="pct"/>
            <w:shd w:val="clear" w:color="auto" w:fill="auto"/>
          </w:tcPr>
          <w:p w14:paraId="55E86DDC" w14:textId="77777777" w:rsidR="00E93F58" w:rsidRPr="00576D60" w:rsidRDefault="00E93F58" w:rsidP="002F32E3">
            <w:pPr>
              <w:pStyle w:val="ENoteTableText"/>
            </w:pPr>
            <w:r w:rsidRPr="00576D60">
              <w:t>am F2016L01926; F2022L00469; F2022L01689</w:t>
            </w:r>
          </w:p>
        </w:tc>
      </w:tr>
      <w:tr w:rsidR="00E93F58" w:rsidRPr="00576D60" w14:paraId="3A12B4CD" w14:textId="77777777" w:rsidTr="002F32E3">
        <w:trPr>
          <w:cantSplit/>
        </w:trPr>
        <w:tc>
          <w:tcPr>
            <w:tcW w:w="1500" w:type="pct"/>
            <w:shd w:val="clear" w:color="auto" w:fill="auto"/>
          </w:tcPr>
          <w:p w14:paraId="2932B0D6" w14:textId="77777777" w:rsidR="00E93F58" w:rsidRPr="00576D60" w:rsidRDefault="00E93F58" w:rsidP="002F32E3">
            <w:pPr>
              <w:pStyle w:val="ENoteTableText"/>
              <w:tabs>
                <w:tab w:val="left" w:leader="dot" w:pos="2268"/>
              </w:tabs>
            </w:pPr>
            <w:r w:rsidRPr="00576D60">
              <w:t>r 5.4.01B</w:t>
            </w:r>
            <w:r w:rsidRPr="00576D60">
              <w:tab/>
            </w:r>
          </w:p>
        </w:tc>
        <w:tc>
          <w:tcPr>
            <w:tcW w:w="3500" w:type="pct"/>
            <w:shd w:val="clear" w:color="auto" w:fill="auto"/>
          </w:tcPr>
          <w:p w14:paraId="18B6DB95" w14:textId="77777777" w:rsidR="00E93F58" w:rsidRPr="00576D60" w:rsidRDefault="00E93F58" w:rsidP="002F32E3">
            <w:pPr>
              <w:pStyle w:val="ENoteTableText"/>
            </w:pPr>
            <w:r w:rsidRPr="00576D60">
              <w:t>ad F2016L01926</w:t>
            </w:r>
          </w:p>
        </w:tc>
      </w:tr>
      <w:tr w:rsidR="00E93F58" w:rsidRPr="00576D60" w14:paraId="15168658" w14:textId="77777777" w:rsidTr="002F32E3">
        <w:trPr>
          <w:cantSplit/>
        </w:trPr>
        <w:tc>
          <w:tcPr>
            <w:tcW w:w="1500" w:type="pct"/>
            <w:shd w:val="clear" w:color="auto" w:fill="auto"/>
          </w:tcPr>
          <w:p w14:paraId="7AAEF5DC" w14:textId="77777777" w:rsidR="00E93F58" w:rsidRPr="00576D60" w:rsidRDefault="00E93F58" w:rsidP="002F32E3">
            <w:pPr>
              <w:pStyle w:val="ENoteTableText"/>
              <w:tabs>
                <w:tab w:val="left" w:leader="dot" w:pos="2268"/>
              </w:tabs>
            </w:pPr>
          </w:p>
        </w:tc>
        <w:tc>
          <w:tcPr>
            <w:tcW w:w="3500" w:type="pct"/>
            <w:shd w:val="clear" w:color="auto" w:fill="auto"/>
          </w:tcPr>
          <w:p w14:paraId="251AED83" w14:textId="77777777" w:rsidR="00E93F58" w:rsidRPr="00576D60" w:rsidRDefault="00E93F58" w:rsidP="002F32E3">
            <w:pPr>
              <w:pStyle w:val="ENoteTableText"/>
            </w:pPr>
            <w:r w:rsidRPr="00576D60">
              <w:t>am F2022L00469</w:t>
            </w:r>
          </w:p>
        </w:tc>
      </w:tr>
      <w:tr w:rsidR="00E93F58" w:rsidRPr="00576D60" w14:paraId="76332BA0" w14:textId="77777777" w:rsidTr="002F32E3">
        <w:trPr>
          <w:cantSplit/>
        </w:trPr>
        <w:tc>
          <w:tcPr>
            <w:tcW w:w="1500" w:type="pct"/>
            <w:shd w:val="clear" w:color="auto" w:fill="auto"/>
          </w:tcPr>
          <w:p w14:paraId="1C2CA9F3" w14:textId="77777777" w:rsidR="00E93F58" w:rsidRPr="00576D60" w:rsidRDefault="00E93F58" w:rsidP="002F32E3">
            <w:pPr>
              <w:pStyle w:val="ENoteTableText"/>
              <w:tabs>
                <w:tab w:val="left" w:leader="dot" w:pos="2268"/>
              </w:tabs>
            </w:pPr>
            <w:r w:rsidRPr="00576D60">
              <w:t>r. 5.4.02</w:t>
            </w:r>
            <w:r w:rsidRPr="00576D60">
              <w:tab/>
            </w:r>
          </w:p>
        </w:tc>
        <w:tc>
          <w:tcPr>
            <w:tcW w:w="3500" w:type="pct"/>
            <w:shd w:val="clear" w:color="auto" w:fill="auto"/>
          </w:tcPr>
          <w:p w14:paraId="788089CB" w14:textId="77777777" w:rsidR="00E93F58" w:rsidRPr="00576D60" w:rsidRDefault="00E93F58" w:rsidP="002F32E3">
            <w:pPr>
              <w:pStyle w:val="ENoteTableText"/>
            </w:pPr>
            <w:r w:rsidRPr="00576D60">
              <w:t>ad. 2007 No. 325</w:t>
            </w:r>
          </w:p>
        </w:tc>
      </w:tr>
      <w:tr w:rsidR="00E93F58" w:rsidRPr="00576D60" w14:paraId="758CA9D1" w14:textId="77777777" w:rsidTr="002F32E3">
        <w:trPr>
          <w:cantSplit/>
        </w:trPr>
        <w:tc>
          <w:tcPr>
            <w:tcW w:w="1500" w:type="pct"/>
            <w:shd w:val="clear" w:color="auto" w:fill="auto"/>
          </w:tcPr>
          <w:p w14:paraId="241D9522" w14:textId="77777777" w:rsidR="00E93F58" w:rsidRPr="00576D60" w:rsidRDefault="00E93F58" w:rsidP="002F32E3">
            <w:pPr>
              <w:pStyle w:val="ENoteTableText"/>
              <w:keepNext/>
              <w:keepLines/>
              <w:tabs>
                <w:tab w:val="left" w:leader="dot" w:pos="2268"/>
              </w:tabs>
              <w:rPr>
                <w:b/>
              </w:rPr>
            </w:pPr>
            <w:r>
              <w:rPr>
                <w:b/>
              </w:rPr>
              <w:t>Part 5</w:t>
            </w:r>
            <w:r w:rsidRPr="00576D60">
              <w:rPr>
                <w:b/>
              </w:rPr>
              <w:t>.4C</w:t>
            </w:r>
          </w:p>
        </w:tc>
        <w:tc>
          <w:tcPr>
            <w:tcW w:w="3500" w:type="pct"/>
            <w:shd w:val="clear" w:color="auto" w:fill="auto"/>
          </w:tcPr>
          <w:p w14:paraId="1DEF0482" w14:textId="77777777" w:rsidR="00E93F58" w:rsidRPr="00576D60" w:rsidRDefault="00E93F58" w:rsidP="002F32E3">
            <w:pPr>
              <w:pStyle w:val="ENoteTableText"/>
              <w:keepNext/>
              <w:keepLines/>
            </w:pPr>
          </w:p>
        </w:tc>
      </w:tr>
      <w:tr w:rsidR="00E93F58" w:rsidRPr="00576D60" w14:paraId="44B9AC40" w14:textId="77777777" w:rsidTr="002F32E3">
        <w:trPr>
          <w:cantSplit/>
        </w:trPr>
        <w:tc>
          <w:tcPr>
            <w:tcW w:w="1500" w:type="pct"/>
            <w:shd w:val="clear" w:color="auto" w:fill="auto"/>
          </w:tcPr>
          <w:p w14:paraId="305BB8C7" w14:textId="77777777" w:rsidR="00E93F58" w:rsidRPr="00576D60" w:rsidRDefault="00E93F58" w:rsidP="002F32E3">
            <w:pPr>
              <w:pStyle w:val="ENoteTableText"/>
              <w:tabs>
                <w:tab w:val="left" w:leader="dot" w:pos="2268"/>
              </w:tabs>
            </w:pPr>
            <w:r>
              <w:t>Part 5</w:t>
            </w:r>
            <w:r w:rsidRPr="00576D60">
              <w:t>.4C</w:t>
            </w:r>
            <w:r w:rsidRPr="00576D60">
              <w:tab/>
            </w:r>
          </w:p>
        </w:tc>
        <w:tc>
          <w:tcPr>
            <w:tcW w:w="3500" w:type="pct"/>
            <w:shd w:val="clear" w:color="auto" w:fill="auto"/>
          </w:tcPr>
          <w:p w14:paraId="49CC7BE4" w14:textId="77777777" w:rsidR="00E93F58" w:rsidRPr="00576D60" w:rsidRDefault="00E93F58" w:rsidP="002F32E3">
            <w:pPr>
              <w:pStyle w:val="ENoteTableText"/>
            </w:pPr>
            <w:r w:rsidRPr="00576D60">
              <w:t>ad. 2012 No. 114</w:t>
            </w:r>
          </w:p>
        </w:tc>
      </w:tr>
      <w:tr w:rsidR="00E93F58" w:rsidRPr="00576D60" w14:paraId="159951DE" w14:textId="77777777" w:rsidTr="002F32E3">
        <w:trPr>
          <w:cantSplit/>
        </w:trPr>
        <w:tc>
          <w:tcPr>
            <w:tcW w:w="1500" w:type="pct"/>
            <w:shd w:val="clear" w:color="auto" w:fill="auto"/>
          </w:tcPr>
          <w:p w14:paraId="2211E599" w14:textId="77777777" w:rsidR="00E93F58" w:rsidRPr="00576D60" w:rsidRDefault="00E93F58" w:rsidP="002F32E3">
            <w:pPr>
              <w:pStyle w:val="ENoteTableText"/>
              <w:tabs>
                <w:tab w:val="left" w:leader="dot" w:pos="2268"/>
              </w:tabs>
            </w:pPr>
            <w:r w:rsidRPr="00576D60">
              <w:t>r. 5.4C.01</w:t>
            </w:r>
            <w:r w:rsidRPr="00576D60">
              <w:tab/>
            </w:r>
          </w:p>
        </w:tc>
        <w:tc>
          <w:tcPr>
            <w:tcW w:w="3500" w:type="pct"/>
            <w:shd w:val="clear" w:color="auto" w:fill="auto"/>
          </w:tcPr>
          <w:p w14:paraId="23A1E9F6" w14:textId="77777777" w:rsidR="00E93F58" w:rsidRPr="00576D60" w:rsidRDefault="00E93F58" w:rsidP="002F32E3">
            <w:pPr>
              <w:pStyle w:val="ENoteTableText"/>
            </w:pPr>
            <w:r w:rsidRPr="00576D60">
              <w:t>ad. 2012 No. 114</w:t>
            </w:r>
          </w:p>
        </w:tc>
      </w:tr>
      <w:tr w:rsidR="00E93F58" w:rsidRPr="00576D60" w14:paraId="46C134A7" w14:textId="77777777" w:rsidTr="002F32E3">
        <w:trPr>
          <w:cantSplit/>
        </w:trPr>
        <w:tc>
          <w:tcPr>
            <w:tcW w:w="1500" w:type="pct"/>
            <w:shd w:val="clear" w:color="auto" w:fill="auto"/>
          </w:tcPr>
          <w:p w14:paraId="35E680C6" w14:textId="77777777" w:rsidR="00E93F58" w:rsidRPr="00576D60" w:rsidRDefault="00E93F58" w:rsidP="002F32E3">
            <w:pPr>
              <w:pStyle w:val="ENoteTableText"/>
              <w:tabs>
                <w:tab w:val="left" w:leader="dot" w:pos="2268"/>
              </w:tabs>
              <w:rPr>
                <w:b/>
              </w:rPr>
            </w:pPr>
            <w:r>
              <w:rPr>
                <w:b/>
              </w:rPr>
              <w:t>Part 5</w:t>
            </w:r>
            <w:r w:rsidRPr="00576D60">
              <w:rPr>
                <w:b/>
              </w:rPr>
              <w:t>.5</w:t>
            </w:r>
          </w:p>
        </w:tc>
        <w:tc>
          <w:tcPr>
            <w:tcW w:w="3500" w:type="pct"/>
            <w:shd w:val="clear" w:color="auto" w:fill="auto"/>
          </w:tcPr>
          <w:p w14:paraId="66E6FE93" w14:textId="77777777" w:rsidR="00E93F58" w:rsidRPr="00576D60" w:rsidRDefault="00E93F58" w:rsidP="002F32E3">
            <w:pPr>
              <w:pStyle w:val="ENoteTableText"/>
            </w:pPr>
          </w:p>
        </w:tc>
      </w:tr>
      <w:tr w:rsidR="00E93F58" w:rsidRPr="00576D60" w14:paraId="2D11841C" w14:textId="77777777" w:rsidTr="002F32E3">
        <w:trPr>
          <w:cantSplit/>
        </w:trPr>
        <w:tc>
          <w:tcPr>
            <w:tcW w:w="1500" w:type="pct"/>
            <w:shd w:val="clear" w:color="auto" w:fill="auto"/>
          </w:tcPr>
          <w:p w14:paraId="7D0DD00B" w14:textId="77777777" w:rsidR="00E93F58" w:rsidRPr="00576D60" w:rsidRDefault="00E93F58" w:rsidP="002F32E3">
            <w:pPr>
              <w:pStyle w:val="ENoteTableText"/>
              <w:tabs>
                <w:tab w:val="left" w:leader="dot" w:pos="2268"/>
              </w:tabs>
            </w:pPr>
            <w:r>
              <w:t>Part 5</w:t>
            </w:r>
            <w:r w:rsidRPr="00576D60">
              <w:t>.5</w:t>
            </w:r>
            <w:r w:rsidRPr="00576D60">
              <w:tab/>
            </w:r>
          </w:p>
        </w:tc>
        <w:tc>
          <w:tcPr>
            <w:tcW w:w="3500" w:type="pct"/>
            <w:shd w:val="clear" w:color="auto" w:fill="auto"/>
          </w:tcPr>
          <w:p w14:paraId="15F32CFC" w14:textId="77777777" w:rsidR="00E93F58" w:rsidRPr="00576D60" w:rsidRDefault="00E93F58" w:rsidP="002F32E3">
            <w:pPr>
              <w:pStyle w:val="ENoteTableText"/>
            </w:pPr>
            <w:r w:rsidRPr="00576D60">
              <w:t>ad. 2012 No. 114</w:t>
            </w:r>
          </w:p>
        </w:tc>
      </w:tr>
      <w:tr w:rsidR="00E93F58" w:rsidRPr="00576D60" w14:paraId="5F4A98F2" w14:textId="77777777" w:rsidTr="002F32E3">
        <w:trPr>
          <w:cantSplit/>
        </w:trPr>
        <w:tc>
          <w:tcPr>
            <w:tcW w:w="1500" w:type="pct"/>
            <w:shd w:val="clear" w:color="auto" w:fill="auto"/>
          </w:tcPr>
          <w:p w14:paraId="1405E15E"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40A399A8" w14:textId="77777777" w:rsidR="00E93F58" w:rsidRPr="00576D60" w:rsidRDefault="00E93F58" w:rsidP="002F32E3">
            <w:pPr>
              <w:pStyle w:val="ENoteTableText"/>
            </w:pPr>
          </w:p>
        </w:tc>
      </w:tr>
      <w:tr w:rsidR="00E93F58" w:rsidRPr="00576D60" w14:paraId="6895470C" w14:textId="77777777" w:rsidTr="002F32E3">
        <w:trPr>
          <w:cantSplit/>
        </w:trPr>
        <w:tc>
          <w:tcPr>
            <w:tcW w:w="1500" w:type="pct"/>
            <w:shd w:val="clear" w:color="auto" w:fill="auto"/>
          </w:tcPr>
          <w:p w14:paraId="4BDA70BA" w14:textId="77777777" w:rsidR="00E93F58" w:rsidRPr="00576D60" w:rsidRDefault="00E93F58" w:rsidP="002F32E3">
            <w:pPr>
              <w:pStyle w:val="ENoteTableText"/>
              <w:tabs>
                <w:tab w:val="left" w:leader="dot" w:pos="2268"/>
              </w:tabs>
            </w:pPr>
            <w:r w:rsidRPr="00576D60">
              <w:t>Division 1 heading</w:t>
            </w:r>
            <w:r w:rsidRPr="00576D60">
              <w:tab/>
            </w:r>
          </w:p>
        </w:tc>
        <w:tc>
          <w:tcPr>
            <w:tcW w:w="3500" w:type="pct"/>
            <w:shd w:val="clear" w:color="auto" w:fill="auto"/>
          </w:tcPr>
          <w:p w14:paraId="1623703B" w14:textId="77777777" w:rsidR="00E93F58" w:rsidRPr="00576D60" w:rsidRDefault="00E93F58" w:rsidP="002F32E3">
            <w:pPr>
              <w:pStyle w:val="ENoteTableText"/>
            </w:pPr>
            <w:r w:rsidRPr="00576D60">
              <w:t>ad F2020L01654</w:t>
            </w:r>
          </w:p>
        </w:tc>
      </w:tr>
      <w:tr w:rsidR="00E93F58" w:rsidRPr="00576D60" w14:paraId="07732B01" w14:textId="77777777" w:rsidTr="002F32E3">
        <w:trPr>
          <w:cantSplit/>
        </w:trPr>
        <w:tc>
          <w:tcPr>
            <w:tcW w:w="1500" w:type="pct"/>
            <w:shd w:val="clear" w:color="auto" w:fill="auto"/>
          </w:tcPr>
          <w:p w14:paraId="41D3795E" w14:textId="77777777" w:rsidR="00E93F58" w:rsidRPr="00576D60" w:rsidRDefault="00E93F58" w:rsidP="002F32E3">
            <w:pPr>
              <w:pStyle w:val="ENoteTableText"/>
              <w:tabs>
                <w:tab w:val="left" w:leader="dot" w:pos="2268"/>
              </w:tabs>
            </w:pPr>
            <w:r w:rsidRPr="00576D60">
              <w:t>r 5.5.01</w:t>
            </w:r>
            <w:r w:rsidRPr="00576D60">
              <w:tab/>
            </w:r>
          </w:p>
        </w:tc>
        <w:tc>
          <w:tcPr>
            <w:tcW w:w="3500" w:type="pct"/>
            <w:shd w:val="clear" w:color="auto" w:fill="auto"/>
          </w:tcPr>
          <w:p w14:paraId="68E3D51A" w14:textId="77777777" w:rsidR="00E93F58" w:rsidRPr="00576D60" w:rsidRDefault="00E93F58" w:rsidP="002F32E3">
            <w:pPr>
              <w:pStyle w:val="ENoteTableText"/>
            </w:pPr>
            <w:r w:rsidRPr="00576D60">
              <w:t>ad No 114, 2012</w:t>
            </w:r>
          </w:p>
        </w:tc>
      </w:tr>
      <w:tr w:rsidR="00E93F58" w:rsidRPr="00576D60" w14:paraId="4C71B205" w14:textId="77777777" w:rsidTr="002F32E3">
        <w:trPr>
          <w:cantSplit/>
        </w:trPr>
        <w:tc>
          <w:tcPr>
            <w:tcW w:w="1500" w:type="pct"/>
            <w:shd w:val="clear" w:color="auto" w:fill="auto"/>
          </w:tcPr>
          <w:p w14:paraId="68456FB2" w14:textId="77777777" w:rsidR="00E93F58" w:rsidRPr="00576D60" w:rsidRDefault="00E93F58" w:rsidP="002F32E3">
            <w:pPr>
              <w:pStyle w:val="ENoteTableText"/>
              <w:tabs>
                <w:tab w:val="left" w:leader="dot" w:pos="2268"/>
              </w:tabs>
            </w:pPr>
          </w:p>
        </w:tc>
        <w:tc>
          <w:tcPr>
            <w:tcW w:w="3500" w:type="pct"/>
            <w:shd w:val="clear" w:color="auto" w:fill="auto"/>
          </w:tcPr>
          <w:p w14:paraId="4ADAF18E" w14:textId="77777777" w:rsidR="00E93F58" w:rsidRPr="00576D60" w:rsidRDefault="00E93F58" w:rsidP="002F32E3">
            <w:pPr>
              <w:pStyle w:val="ENoteTableText"/>
            </w:pPr>
            <w:r w:rsidRPr="00576D60">
              <w:t>am F2016L01926; F2020L01610; F2022L00469</w:t>
            </w:r>
          </w:p>
        </w:tc>
      </w:tr>
      <w:tr w:rsidR="00E93F58" w:rsidRPr="00576D60" w14:paraId="22D0D577" w14:textId="77777777" w:rsidTr="00363F04">
        <w:trPr>
          <w:cantSplit/>
        </w:trPr>
        <w:tc>
          <w:tcPr>
            <w:tcW w:w="1500" w:type="pct"/>
            <w:shd w:val="clear" w:color="auto" w:fill="auto"/>
          </w:tcPr>
          <w:p w14:paraId="40C75710" w14:textId="77777777" w:rsidR="00E93F58" w:rsidRPr="00576D60" w:rsidRDefault="00E93F58" w:rsidP="00363F04">
            <w:pPr>
              <w:pStyle w:val="ENoteTableText"/>
              <w:tabs>
                <w:tab w:val="left" w:leader="dot" w:pos="2268"/>
              </w:tabs>
              <w:rPr>
                <w:b/>
              </w:rPr>
            </w:pPr>
            <w:r>
              <w:rPr>
                <w:b/>
              </w:rPr>
              <w:t>Division 2</w:t>
            </w:r>
          </w:p>
        </w:tc>
        <w:tc>
          <w:tcPr>
            <w:tcW w:w="3500" w:type="pct"/>
            <w:shd w:val="clear" w:color="auto" w:fill="auto"/>
          </w:tcPr>
          <w:p w14:paraId="3A63D435" w14:textId="77777777" w:rsidR="00E93F58" w:rsidRPr="00576D60" w:rsidRDefault="00E93F58" w:rsidP="00363F04">
            <w:pPr>
              <w:pStyle w:val="ENoteTableText"/>
            </w:pPr>
          </w:p>
        </w:tc>
      </w:tr>
      <w:tr w:rsidR="00E93F58" w:rsidRPr="00576D60" w14:paraId="0F2AA84F" w14:textId="77777777" w:rsidTr="00363F04">
        <w:trPr>
          <w:cantSplit/>
        </w:trPr>
        <w:tc>
          <w:tcPr>
            <w:tcW w:w="1500" w:type="pct"/>
            <w:shd w:val="clear" w:color="auto" w:fill="auto"/>
          </w:tcPr>
          <w:p w14:paraId="4099F266" w14:textId="77777777" w:rsidR="00E93F58" w:rsidRPr="00576D60" w:rsidRDefault="00E93F58" w:rsidP="00363F04">
            <w:pPr>
              <w:pStyle w:val="ENoteTableText"/>
              <w:tabs>
                <w:tab w:val="left" w:leader="dot" w:pos="2268"/>
              </w:tabs>
            </w:pPr>
            <w:r>
              <w:t>Division 2</w:t>
            </w:r>
            <w:r w:rsidRPr="00576D60">
              <w:tab/>
            </w:r>
          </w:p>
        </w:tc>
        <w:tc>
          <w:tcPr>
            <w:tcW w:w="3500" w:type="pct"/>
            <w:shd w:val="clear" w:color="auto" w:fill="auto"/>
          </w:tcPr>
          <w:p w14:paraId="6CF5076C" w14:textId="77777777" w:rsidR="00E93F58" w:rsidRPr="00576D60" w:rsidRDefault="00E93F58" w:rsidP="00363F04">
            <w:pPr>
              <w:pStyle w:val="ENoteTableText"/>
            </w:pPr>
            <w:r w:rsidRPr="00576D60">
              <w:t>ad F2020L01654</w:t>
            </w:r>
          </w:p>
        </w:tc>
      </w:tr>
      <w:tr w:rsidR="00E93F58" w:rsidRPr="00576D60" w14:paraId="3E1CF89C" w14:textId="77777777" w:rsidTr="00363F04">
        <w:trPr>
          <w:cantSplit/>
        </w:trPr>
        <w:tc>
          <w:tcPr>
            <w:tcW w:w="1500" w:type="pct"/>
            <w:shd w:val="clear" w:color="auto" w:fill="auto"/>
          </w:tcPr>
          <w:p w14:paraId="72878BBA" w14:textId="77777777" w:rsidR="00E93F58" w:rsidRPr="00576D60" w:rsidRDefault="00E93F58" w:rsidP="007638AE">
            <w:pPr>
              <w:pStyle w:val="ENoteTableText"/>
              <w:tabs>
                <w:tab w:val="left" w:leader="dot" w:pos="2268"/>
              </w:tabs>
              <w:rPr>
                <w:b/>
              </w:rPr>
            </w:pPr>
            <w:r w:rsidRPr="00576D60">
              <w:rPr>
                <w:b/>
              </w:rPr>
              <w:t>Subdivision A</w:t>
            </w:r>
          </w:p>
        </w:tc>
        <w:tc>
          <w:tcPr>
            <w:tcW w:w="3500" w:type="pct"/>
            <w:shd w:val="clear" w:color="auto" w:fill="auto"/>
          </w:tcPr>
          <w:p w14:paraId="55086524" w14:textId="77777777" w:rsidR="00E93F58" w:rsidRPr="00576D60" w:rsidRDefault="00E93F58" w:rsidP="00363F04">
            <w:pPr>
              <w:pStyle w:val="ENoteTableText"/>
            </w:pPr>
          </w:p>
        </w:tc>
      </w:tr>
      <w:tr w:rsidR="00E93F58" w:rsidRPr="00576D60" w14:paraId="6972DAC9" w14:textId="77777777" w:rsidTr="002F32E3">
        <w:trPr>
          <w:cantSplit/>
        </w:trPr>
        <w:tc>
          <w:tcPr>
            <w:tcW w:w="1500" w:type="pct"/>
            <w:shd w:val="clear" w:color="auto" w:fill="auto"/>
          </w:tcPr>
          <w:p w14:paraId="787A4D0A" w14:textId="77777777" w:rsidR="00E93F58" w:rsidRPr="00576D60" w:rsidRDefault="00E93F58" w:rsidP="002F32E3">
            <w:pPr>
              <w:pStyle w:val="ENoteTableText"/>
              <w:tabs>
                <w:tab w:val="left" w:leader="dot" w:pos="2268"/>
              </w:tabs>
            </w:pPr>
            <w:r w:rsidRPr="00576D60">
              <w:t>r 5.5.02</w:t>
            </w:r>
            <w:r w:rsidRPr="00576D60">
              <w:tab/>
            </w:r>
          </w:p>
        </w:tc>
        <w:tc>
          <w:tcPr>
            <w:tcW w:w="3500" w:type="pct"/>
            <w:shd w:val="clear" w:color="auto" w:fill="auto"/>
          </w:tcPr>
          <w:p w14:paraId="06EA66B5" w14:textId="77777777" w:rsidR="00E93F58" w:rsidRPr="00576D60" w:rsidRDefault="00E93F58" w:rsidP="002F32E3">
            <w:pPr>
              <w:pStyle w:val="ENoteTableText"/>
            </w:pPr>
            <w:r w:rsidRPr="00576D60">
              <w:t>ad No 114, 2012</w:t>
            </w:r>
          </w:p>
        </w:tc>
      </w:tr>
      <w:tr w:rsidR="00E93F58" w:rsidRPr="00576D60" w14:paraId="715FC863" w14:textId="77777777" w:rsidTr="002F32E3">
        <w:trPr>
          <w:cantSplit/>
        </w:trPr>
        <w:tc>
          <w:tcPr>
            <w:tcW w:w="1500" w:type="pct"/>
            <w:shd w:val="clear" w:color="auto" w:fill="auto"/>
          </w:tcPr>
          <w:p w14:paraId="76403139" w14:textId="77777777" w:rsidR="00E93F58" w:rsidRPr="00576D60" w:rsidRDefault="00E93F58" w:rsidP="002F32E3">
            <w:pPr>
              <w:pStyle w:val="ENoteTableText"/>
              <w:tabs>
                <w:tab w:val="left" w:leader="dot" w:pos="2268"/>
              </w:tabs>
            </w:pPr>
          </w:p>
        </w:tc>
        <w:tc>
          <w:tcPr>
            <w:tcW w:w="3500" w:type="pct"/>
            <w:shd w:val="clear" w:color="auto" w:fill="auto"/>
          </w:tcPr>
          <w:p w14:paraId="17AD609B" w14:textId="77777777" w:rsidR="00E93F58" w:rsidRPr="00576D60" w:rsidDel="006729D7" w:rsidRDefault="00E93F58" w:rsidP="002F32E3">
            <w:pPr>
              <w:pStyle w:val="ENoteTableText"/>
            </w:pPr>
            <w:r w:rsidRPr="00576D60">
              <w:t>rep F2016L01926</w:t>
            </w:r>
          </w:p>
        </w:tc>
      </w:tr>
      <w:tr w:rsidR="00E93F58" w:rsidRPr="00576D60" w14:paraId="010B79AD" w14:textId="77777777" w:rsidTr="002F32E3">
        <w:trPr>
          <w:cantSplit/>
        </w:trPr>
        <w:tc>
          <w:tcPr>
            <w:tcW w:w="1500" w:type="pct"/>
            <w:shd w:val="clear" w:color="auto" w:fill="auto"/>
          </w:tcPr>
          <w:p w14:paraId="02977302" w14:textId="77777777" w:rsidR="00E93F58" w:rsidRPr="00576D60" w:rsidRDefault="00E93F58" w:rsidP="007638AE">
            <w:pPr>
              <w:pStyle w:val="ENoteTableText"/>
              <w:tabs>
                <w:tab w:val="left" w:leader="dot" w:pos="2268"/>
              </w:tabs>
            </w:pPr>
          </w:p>
        </w:tc>
        <w:tc>
          <w:tcPr>
            <w:tcW w:w="3500" w:type="pct"/>
            <w:shd w:val="clear" w:color="auto" w:fill="auto"/>
          </w:tcPr>
          <w:p w14:paraId="0723BCB7" w14:textId="77777777" w:rsidR="00E93F58" w:rsidRPr="00576D60" w:rsidRDefault="00E93F58" w:rsidP="002F32E3">
            <w:pPr>
              <w:pStyle w:val="ENoteTableText"/>
            </w:pPr>
            <w:r w:rsidRPr="00576D60">
              <w:t>ad F2020L01654</w:t>
            </w:r>
          </w:p>
        </w:tc>
      </w:tr>
      <w:tr w:rsidR="00E93F58" w:rsidRPr="00576D60" w14:paraId="4AE24F33" w14:textId="77777777" w:rsidTr="002F32E3">
        <w:trPr>
          <w:cantSplit/>
        </w:trPr>
        <w:tc>
          <w:tcPr>
            <w:tcW w:w="1500" w:type="pct"/>
            <w:shd w:val="clear" w:color="auto" w:fill="auto"/>
          </w:tcPr>
          <w:p w14:paraId="30478701" w14:textId="77777777" w:rsidR="00E93F58" w:rsidRPr="00576D60" w:rsidRDefault="00E93F58" w:rsidP="007638AE">
            <w:pPr>
              <w:pStyle w:val="ENoteTableText"/>
              <w:tabs>
                <w:tab w:val="left" w:leader="dot" w:pos="2268"/>
              </w:tabs>
            </w:pPr>
            <w:r w:rsidRPr="00576D60">
              <w:t>r 5.5.03</w:t>
            </w:r>
            <w:r w:rsidRPr="00576D60">
              <w:tab/>
            </w:r>
          </w:p>
        </w:tc>
        <w:tc>
          <w:tcPr>
            <w:tcW w:w="3500" w:type="pct"/>
            <w:shd w:val="clear" w:color="auto" w:fill="auto"/>
          </w:tcPr>
          <w:p w14:paraId="4312FF8B" w14:textId="77777777" w:rsidR="00E93F58" w:rsidRPr="00576D60" w:rsidRDefault="00E93F58" w:rsidP="002F32E3">
            <w:pPr>
              <w:pStyle w:val="ENoteTableText"/>
            </w:pPr>
            <w:r w:rsidRPr="00576D60">
              <w:t>ad F2020L01654</w:t>
            </w:r>
          </w:p>
        </w:tc>
      </w:tr>
      <w:tr w:rsidR="00E93F58" w:rsidRPr="00576D60" w14:paraId="472A4972" w14:textId="77777777" w:rsidTr="002F32E3">
        <w:trPr>
          <w:cantSplit/>
        </w:trPr>
        <w:tc>
          <w:tcPr>
            <w:tcW w:w="1500" w:type="pct"/>
            <w:shd w:val="clear" w:color="auto" w:fill="auto"/>
          </w:tcPr>
          <w:p w14:paraId="670535A3" w14:textId="77777777" w:rsidR="00E93F58" w:rsidRPr="00576D60" w:rsidRDefault="00E93F58" w:rsidP="007638AE">
            <w:pPr>
              <w:pStyle w:val="ENoteTableText"/>
              <w:tabs>
                <w:tab w:val="left" w:leader="dot" w:pos="2268"/>
              </w:tabs>
            </w:pPr>
          </w:p>
        </w:tc>
        <w:tc>
          <w:tcPr>
            <w:tcW w:w="3500" w:type="pct"/>
            <w:shd w:val="clear" w:color="auto" w:fill="auto"/>
          </w:tcPr>
          <w:p w14:paraId="4DE78D73" w14:textId="77777777" w:rsidR="00E93F58" w:rsidRPr="00576D60" w:rsidRDefault="00E93F58" w:rsidP="002F32E3">
            <w:pPr>
              <w:pStyle w:val="ENoteTableText"/>
            </w:pPr>
            <w:r>
              <w:t>am F2023L01458</w:t>
            </w:r>
          </w:p>
        </w:tc>
      </w:tr>
      <w:tr w:rsidR="00E93F58" w:rsidRPr="00576D60" w14:paraId="181496B3" w14:textId="77777777" w:rsidTr="002F32E3">
        <w:trPr>
          <w:cantSplit/>
        </w:trPr>
        <w:tc>
          <w:tcPr>
            <w:tcW w:w="1500" w:type="pct"/>
            <w:shd w:val="clear" w:color="auto" w:fill="auto"/>
          </w:tcPr>
          <w:p w14:paraId="3C507DFF" w14:textId="77777777" w:rsidR="00E93F58" w:rsidRPr="00576D60" w:rsidRDefault="00E93F58" w:rsidP="007638AE">
            <w:pPr>
              <w:pStyle w:val="ENoteTableText"/>
              <w:tabs>
                <w:tab w:val="left" w:leader="dot" w:pos="2268"/>
              </w:tabs>
              <w:rPr>
                <w:b/>
              </w:rPr>
            </w:pPr>
            <w:r w:rsidRPr="00576D60">
              <w:rPr>
                <w:b/>
              </w:rPr>
              <w:t>Subdivision B</w:t>
            </w:r>
          </w:p>
        </w:tc>
        <w:tc>
          <w:tcPr>
            <w:tcW w:w="3500" w:type="pct"/>
            <w:shd w:val="clear" w:color="auto" w:fill="auto"/>
          </w:tcPr>
          <w:p w14:paraId="76FE6278" w14:textId="77777777" w:rsidR="00E93F58" w:rsidRPr="00576D60" w:rsidRDefault="00E93F58" w:rsidP="002F32E3">
            <w:pPr>
              <w:pStyle w:val="ENoteTableText"/>
            </w:pPr>
          </w:p>
        </w:tc>
      </w:tr>
      <w:tr w:rsidR="00E93F58" w:rsidRPr="00576D60" w14:paraId="0099B4EA" w14:textId="77777777" w:rsidTr="002F32E3">
        <w:trPr>
          <w:cantSplit/>
        </w:trPr>
        <w:tc>
          <w:tcPr>
            <w:tcW w:w="1500" w:type="pct"/>
            <w:shd w:val="clear" w:color="auto" w:fill="auto"/>
          </w:tcPr>
          <w:p w14:paraId="68E6034D" w14:textId="77777777" w:rsidR="00E93F58" w:rsidRPr="00576D60" w:rsidRDefault="00E93F58" w:rsidP="007638AE">
            <w:pPr>
              <w:pStyle w:val="ENoteTableText"/>
              <w:tabs>
                <w:tab w:val="left" w:leader="dot" w:pos="2268"/>
              </w:tabs>
            </w:pPr>
            <w:r w:rsidRPr="00576D60">
              <w:t>r 5.5.04</w:t>
            </w:r>
            <w:r w:rsidRPr="00576D60">
              <w:tab/>
            </w:r>
          </w:p>
        </w:tc>
        <w:tc>
          <w:tcPr>
            <w:tcW w:w="3500" w:type="pct"/>
            <w:shd w:val="clear" w:color="auto" w:fill="auto"/>
          </w:tcPr>
          <w:p w14:paraId="5B199C9A" w14:textId="77777777" w:rsidR="00E93F58" w:rsidRPr="00576D60" w:rsidRDefault="00E93F58" w:rsidP="002F32E3">
            <w:pPr>
              <w:pStyle w:val="ENoteTableText"/>
            </w:pPr>
            <w:r w:rsidRPr="00576D60">
              <w:t>ad F2020L01654</w:t>
            </w:r>
          </w:p>
        </w:tc>
      </w:tr>
      <w:tr w:rsidR="00E93F58" w:rsidRPr="00576D60" w14:paraId="2FE6B96E" w14:textId="77777777" w:rsidTr="002F32E3">
        <w:trPr>
          <w:cantSplit/>
        </w:trPr>
        <w:tc>
          <w:tcPr>
            <w:tcW w:w="1500" w:type="pct"/>
            <w:shd w:val="clear" w:color="auto" w:fill="auto"/>
          </w:tcPr>
          <w:p w14:paraId="23BE16E1" w14:textId="77777777" w:rsidR="00E93F58" w:rsidRPr="00576D60" w:rsidRDefault="00E93F58" w:rsidP="007638AE">
            <w:pPr>
              <w:pStyle w:val="ENoteTableText"/>
              <w:tabs>
                <w:tab w:val="left" w:leader="dot" w:pos="2268"/>
              </w:tabs>
            </w:pPr>
            <w:r w:rsidRPr="00576D60">
              <w:t>r 5.5.05</w:t>
            </w:r>
            <w:r w:rsidRPr="00576D60">
              <w:tab/>
            </w:r>
          </w:p>
        </w:tc>
        <w:tc>
          <w:tcPr>
            <w:tcW w:w="3500" w:type="pct"/>
            <w:shd w:val="clear" w:color="auto" w:fill="auto"/>
          </w:tcPr>
          <w:p w14:paraId="4E806D1C" w14:textId="77777777" w:rsidR="00E93F58" w:rsidRPr="00576D60" w:rsidRDefault="00E93F58" w:rsidP="002F32E3">
            <w:pPr>
              <w:pStyle w:val="ENoteTableText"/>
            </w:pPr>
            <w:r w:rsidRPr="00576D60">
              <w:t>ad F2020L01654</w:t>
            </w:r>
          </w:p>
        </w:tc>
      </w:tr>
      <w:tr w:rsidR="00E93F58" w:rsidRPr="00576D60" w14:paraId="27A9F6F8" w14:textId="77777777" w:rsidTr="002F32E3">
        <w:trPr>
          <w:cantSplit/>
        </w:trPr>
        <w:tc>
          <w:tcPr>
            <w:tcW w:w="1500" w:type="pct"/>
            <w:shd w:val="clear" w:color="auto" w:fill="auto"/>
          </w:tcPr>
          <w:p w14:paraId="4164827C" w14:textId="77777777" w:rsidR="00E93F58" w:rsidRPr="00576D60" w:rsidRDefault="00E93F58" w:rsidP="007638AE">
            <w:pPr>
              <w:pStyle w:val="ENoteTableText"/>
              <w:tabs>
                <w:tab w:val="left" w:leader="dot" w:pos="2268"/>
              </w:tabs>
            </w:pPr>
            <w:r w:rsidRPr="00576D60">
              <w:t>r 5.5.06</w:t>
            </w:r>
            <w:r w:rsidRPr="00576D60">
              <w:tab/>
            </w:r>
          </w:p>
        </w:tc>
        <w:tc>
          <w:tcPr>
            <w:tcW w:w="3500" w:type="pct"/>
            <w:shd w:val="clear" w:color="auto" w:fill="auto"/>
          </w:tcPr>
          <w:p w14:paraId="47EE9A80" w14:textId="77777777" w:rsidR="00E93F58" w:rsidRPr="00576D60" w:rsidRDefault="00E93F58" w:rsidP="002F32E3">
            <w:pPr>
              <w:pStyle w:val="ENoteTableText"/>
            </w:pPr>
            <w:r w:rsidRPr="00576D60">
              <w:t>ad F2020L01654</w:t>
            </w:r>
          </w:p>
        </w:tc>
      </w:tr>
      <w:tr w:rsidR="00E93F58" w:rsidRPr="00576D60" w14:paraId="3D5DFE2D" w14:textId="77777777" w:rsidTr="002F32E3">
        <w:trPr>
          <w:cantSplit/>
        </w:trPr>
        <w:tc>
          <w:tcPr>
            <w:tcW w:w="1500" w:type="pct"/>
            <w:shd w:val="clear" w:color="auto" w:fill="auto"/>
          </w:tcPr>
          <w:p w14:paraId="3E745319" w14:textId="77777777" w:rsidR="00E93F58" w:rsidRPr="00576D60" w:rsidRDefault="00E93F58" w:rsidP="007638AE">
            <w:pPr>
              <w:pStyle w:val="ENoteTableText"/>
              <w:tabs>
                <w:tab w:val="left" w:leader="dot" w:pos="2268"/>
              </w:tabs>
              <w:rPr>
                <w:b/>
              </w:rPr>
            </w:pPr>
            <w:r w:rsidRPr="00576D60">
              <w:rPr>
                <w:b/>
              </w:rPr>
              <w:lastRenderedPageBreak/>
              <w:t>Subdivision C</w:t>
            </w:r>
          </w:p>
        </w:tc>
        <w:tc>
          <w:tcPr>
            <w:tcW w:w="3500" w:type="pct"/>
            <w:shd w:val="clear" w:color="auto" w:fill="auto"/>
          </w:tcPr>
          <w:p w14:paraId="0FA4B91B" w14:textId="77777777" w:rsidR="00E93F58" w:rsidRPr="00576D60" w:rsidRDefault="00E93F58" w:rsidP="002F32E3">
            <w:pPr>
              <w:pStyle w:val="ENoteTableText"/>
            </w:pPr>
          </w:p>
        </w:tc>
      </w:tr>
      <w:tr w:rsidR="00E93F58" w:rsidRPr="00576D60" w14:paraId="676063CA" w14:textId="77777777" w:rsidTr="002F32E3">
        <w:trPr>
          <w:cantSplit/>
        </w:trPr>
        <w:tc>
          <w:tcPr>
            <w:tcW w:w="1500" w:type="pct"/>
            <w:shd w:val="clear" w:color="auto" w:fill="auto"/>
          </w:tcPr>
          <w:p w14:paraId="59ECD51E" w14:textId="77777777" w:rsidR="00E93F58" w:rsidRPr="00576D60" w:rsidRDefault="00E93F58" w:rsidP="007638AE">
            <w:pPr>
              <w:pStyle w:val="ENoteTableText"/>
              <w:tabs>
                <w:tab w:val="left" w:leader="dot" w:pos="2268"/>
              </w:tabs>
            </w:pPr>
            <w:r w:rsidRPr="00576D60">
              <w:t>r 5.5.07</w:t>
            </w:r>
            <w:r w:rsidRPr="00576D60">
              <w:tab/>
            </w:r>
          </w:p>
        </w:tc>
        <w:tc>
          <w:tcPr>
            <w:tcW w:w="3500" w:type="pct"/>
            <w:shd w:val="clear" w:color="auto" w:fill="auto"/>
          </w:tcPr>
          <w:p w14:paraId="6DB8D8C1" w14:textId="77777777" w:rsidR="00E93F58" w:rsidRPr="00576D60" w:rsidRDefault="00E93F58" w:rsidP="002F32E3">
            <w:pPr>
              <w:pStyle w:val="ENoteTableText"/>
            </w:pPr>
            <w:r w:rsidRPr="00576D60">
              <w:t>ad F2020L01654</w:t>
            </w:r>
          </w:p>
        </w:tc>
      </w:tr>
      <w:tr w:rsidR="00E93F58" w:rsidRPr="00576D60" w14:paraId="0D1B47EB" w14:textId="77777777" w:rsidTr="002F32E3">
        <w:trPr>
          <w:cantSplit/>
        </w:trPr>
        <w:tc>
          <w:tcPr>
            <w:tcW w:w="1500" w:type="pct"/>
            <w:shd w:val="clear" w:color="auto" w:fill="auto"/>
          </w:tcPr>
          <w:p w14:paraId="77E12A00" w14:textId="77777777" w:rsidR="00E93F58" w:rsidRPr="00576D60" w:rsidRDefault="00E93F58" w:rsidP="007638AE">
            <w:pPr>
              <w:pStyle w:val="ENoteTableText"/>
              <w:tabs>
                <w:tab w:val="left" w:leader="dot" w:pos="2268"/>
              </w:tabs>
            </w:pPr>
            <w:r w:rsidRPr="00576D60">
              <w:t>r 5.5.08</w:t>
            </w:r>
            <w:r w:rsidRPr="00576D60">
              <w:tab/>
            </w:r>
          </w:p>
        </w:tc>
        <w:tc>
          <w:tcPr>
            <w:tcW w:w="3500" w:type="pct"/>
            <w:shd w:val="clear" w:color="auto" w:fill="auto"/>
          </w:tcPr>
          <w:p w14:paraId="1415383D" w14:textId="77777777" w:rsidR="00E93F58" w:rsidRPr="00576D60" w:rsidRDefault="00E93F58" w:rsidP="002F32E3">
            <w:pPr>
              <w:pStyle w:val="ENoteTableText"/>
            </w:pPr>
            <w:r w:rsidRPr="00576D60">
              <w:t>ad F2020L01654</w:t>
            </w:r>
          </w:p>
        </w:tc>
      </w:tr>
      <w:tr w:rsidR="00E93F58" w:rsidRPr="00576D60" w14:paraId="68DB037A" w14:textId="77777777" w:rsidTr="002F32E3">
        <w:trPr>
          <w:cantSplit/>
        </w:trPr>
        <w:tc>
          <w:tcPr>
            <w:tcW w:w="1500" w:type="pct"/>
            <w:shd w:val="clear" w:color="auto" w:fill="auto"/>
          </w:tcPr>
          <w:p w14:paraId="6AA2A7FC" w14:textId="77777777" w:rsidR="00E93F58" w:rsidRPr="00576D60" w:rsidRDefault="00E93F58" w:rsidP="007638AE">
            <w:pPr>
              <w:pStyle w:val="ENoteTableText"/>
              <w:tabs>
                <w:tab w:val="left" w:leader="dot" w:pos="2268"/>
              </w:tabs>
            </w:pPr>
            <w:r w:rsidRPr="00576D60">
              <w:t>r 5.5.09</w:t>
            </w:r>
            <w:r w:rsidRPr="00576D60">
              <w:tab/>
            </w:r>
          </w:p>
        </w:tc>
        <w:tc>
          <w:tcPr>
            <w:tcW w:w="3500" w:type="pct"/>
            <w:shd w:val="clear" w:color="auto" w:fill="auto"/>
          </w:tcPr>
          <w:p w14:paraId="7D134F6D" w14:textId="77777777" w:rsidR="00E93F58" w:rsidRPr="00576D60" w:rsidRDefault="00E93F58" w:rsidP="002F32E3">
            <w:pPr>
              <w:pStyle w:val="ENoteTableText"/>
            </w:pPr>
            <w:r w:rsidRPr="00576D60">
              <w:t>ad F2020L01654</w:t>
            </w:r>
          </w:p>
        </w:tc>
      </w:tr>
      <w:tr w:rsidR="00E93F58" w:rsidRPr="00576D60" w14:paraId="74215134" w14:textId="77777777" w:rsidTr="002F32E3">
        <w:trPr>
          <w:cantSplit/>
        </w:trPr>
        <w:tc>
          <w:tcPr>
            <w:tcW w:w="1500" w:type="pct"/>
            <w:shd w:val="clear" w:color="auto" w:fill="auto"/>
          </w:tcPr>
          <w:p w14:paraId="35215B54" w14:textId="77777777" w:rsidR="00E93F58" w:rsidRPr="00576D60" w:rsidRDefault="00E93F58" w:rsidP="002F32E3">
            <w:pPr>
              <w:pStyle w:val="ENoteTableText"/>
              <w:tabs>
                <w:tab w:val="left" w:leader="dot" w:pos="2268"/>
              </w:tabs>
              <w:rPr>
                <w:b/>
              </w:rPr>
            </w:pPr>
            <w:r>
              <w:rPr>
                <w:b/>
              </w:rPr>
              <w:t>Part 5</w:t>
            </w:r>
            <w:r w:rsidRPr="00576D60">
              <w:rPr>
                <w:b/>
              </w:rPr>
              <w:t>.6</w:t>
            </w:r>
          </w:p>
        </w:tc>
        <w:tc>
          <w:tcPr>
            <w:tcW w:w="3500" w:type="pct"/>
            <w:shd w:val="clear" w:color="auto" w:fill="auto"/>
          </w:tcPr>
          <w:p w14:paraId="5BB97098" w14:textId="77777777" w:rsidR="00E93F58" w:rsidRPr="00576D60" w:rsidRDefault="00E93F58" w:rsidP="002F32E3">
            <w:pPr>
              <w:pStyle w:val="ENoteTableText"/>
              <w:keepNext/>
              <w:keepLines/>
            </w:pPr>
          </w:p>
        </w:tc>
      </w:tr>
      <w:tr w:rsidR="00E93F58" w:rsidRPr="00576D60" w14:paraId="2C1D294D" w14:textId="77777777" w:rsidTr="002F32E3">
        <w:trPr>
          <w:cantSplit/>
        </w:trPr>
        <w:tc>
          <w:tcPr>
            <w:tcW w:w="1500" w:type="pct"/>
            <w:shd w:val="clear" w:color="auto" w:fill="auto"/>
          </w:tcPr>
          <w:p w14:paraId="3D353DDD" w14:textId="77777777" w:rsidR="00E93F58" w:rsidRPr="00576D60" w:rsidRDefault="00E93F58" w:rsidP="002F32E3">
            <w:pPr>
              <w:pStyle w:val="ENoteTableText"/>
              <w:tabs>
                <w:tab w:val="left" w:leader="dot" w:pos="2268"/>
              </w:tabs>
            </w:pPr>
            <w:r w:rsidRPr="00576D60">
              <w:t>r 5.6.01</w:t>
            </w:r>
            <w:r w:rsidRPr="00576D60">
              <w:tab/>
            </w:r>
          </w:p>
        </w:tc>
        <w:tc>
          <w:tcPr>
            <w:tcW w:w="3500" w:type="pct"/>
            <w:shd w:val="clear" w:color="auto" w:fill="auto"/>
          </w:tcPr>
          <w:p w14:paraId="3E93186F" w14:textId="77777777" w:rsidR="00E93F58" w:rsidRPr="00576D60" w:rsidRDefault="00E93F58" w:rsidP="002F32E3">
            <w:pPr>
              <w:pStyle w:val="ENoteTableText"/>
            </w:pPr>
            <w:r w:rsidRPr="00576D60">
              <w:t>rep F2016L01926</w:t>
            </w:r>
          </w:p>
        </w:tc>
      </w:tr>
      <w:tr w:rsidR="00E93F58" w:rsidRPr="00576D60" w14:paraId="1BE4A306" w14:textId="77777777" w:rsidTr="002F32E3">
        <w:trPr>
          <w:cantSplit/>
        </w:trPr>
        <w:tc>
          <w:tcPr>
            <w:tcW w:w="1500" w:type="pct"/>
            <w:shd w:val="clear" w:color="auto" w:fill="auto"/>
          </w:tcPr>
          <w:p w14:paraId="75C633AE" w14:textId="77777777" w:rsidR="00E93F58" w:rsidRPr="00576D60" w:rsidRDefault="00E93F58" w:rsidP="002F32E3">
            <w:pPr>
              <w:pStyle w:val="ENoteTableText"/>
              <w:tabs>
                <w:tab w:val="left" w:leader="dot" w:pos="2268"/>
              </w:tabs>
            </w:pPr>
            <w:r w:rsidRPr="00576D60">
              <w:t>r 5.6.02</w:t>
            </w:r>
            <w:r w:rsidRPr="00576D60">
              <w:tab/>
            </w:r>
          </w:p>
        </w:tc>
        <w:tc>
          <w:tcPr>
            <w:tcW w:w="3500" w:type="pct"/>
            <w:shd w:val="clear" w:color="auto" w:fill="auto"/>
          </w:tcPr>
          <w:p w14:paraId="4FB989B4" w14:textId="77777777" w:rsidR="00E93F58" w:rsidRPr="00576D60" w:rsidRDefault="00E93F58" w:rsidP="002F32E3">
            <w:pPr>
              <w:pStyle w:val="ENoteTableText"/>
            </w:pPr>
            <w:r w:rsidRPr="00576D60">
              <w:t>rep F2016L01926</w:t>
            </w:r>
          </w:p>
        </w:tc>
      </w:tr>
      <w:tr w:rsidR="00E93F58" w:rsidRPr="00576D60" w14:paraId="102069F4" w14:textId="77777777" w:rsidTr="002F32E3">
        <w:trPr>
          <w:cantSplit/>
        </w:trPr>
        <w:tc>
          <w:tcPr>
            <w:tcW w:w="1500" w:type="pct"/>
            <w:shd w:val="clear" w:color="auto" w:fill="auto"/>
          </w:tcPr>
          <w:p w14:paraId="2D4ECE7C" w14:textId="77777777" w:rsidR="00E93F58" w:rsidRPr="00576D60" w:rsidRDefault="00E93F58" w:rsidP="002F32E3">
            <w:pPr>
              <w:pStyle w:val="ENoteTableText"/>
              <w:tabs>
                <w:tab w:val="left" w:leader="dot" w:pos="2268"/>
              </w:tabs>
            </w:pPr>
            <w:r w:rsidRPr="00576D60">
              <w:t>r 5.6.06</w:t>
            </w:r>
            <w:r w:rsidRPr="00576D60">
              <w:tab/>
            </w:r>
          </w:p>
        </w:tc>
        <w:tc>
          <w:tcPr>
            <w:tcW w:w="3500" w:type="pct"/>
            <w:shd w:val="clear" w:color="auto" w:fill="auto"/>
          </w:tcPr>
          <w:p w14:paraId="43543274" w14:textId="77777777" w:rsidR="00E93F58" w:rsidRPr="00576D60" w:rsidRDefault="00E93F58" w:rsidP="002F32E3">
            <w:pPr>
              <w:pStyle w:val="ENoteTableText"/>
            </w:pPr>
            <w:r w:rsidRPr="00576D60">
              <w:t>am No 325, 2007</w:t>
            </w:r>
          </w:p>
        </w:tc>
      </w:tr>
      <w:tr w:rsidR="00E93F58" w:rsidRPr="00576D60" w14:paraId="7728EC3F" w14:textId="77777777" w:rsidTr="002F32E3">
        <w:trPr>
          <w:cantSplit/>
        </w:trPr>
        <w:tc>
          <w:tcPr>
            <w:tcW w:w="1500" w:type="pct"/>
            <w:shd w:val="clear" w:color="auto" w:fill="auto"/>
          </w:tcPr>
          <w:p w14:paraId="468D7900" w14:textId="77777777" w:rsidR="00E93F58" w:rsidRPr="00576D60" w:rsidRDefault="00E93F58" w:rsidP="002F32E3">
            <w:pPr>
              <w:pStyle w:val="ENoteTableText"/>
              <w:tabs>
                <w:tab w:val="left" w:leader="dot" w:pos="2268"/>
              </w:tabs>
            </w:pPr>
          </w:p>
        </w:tc>
        <w:tc>
          <w:tcPr>
            <w:tcW w:w="3500" w:type="pct"/>
            <w:shd w:val="clear" w:color="auto" w:fill="auto"/>
          </w:tcPr>
          <w:p w14:paraId="3C67DA27" w14:textId="77777777" w:rsidR="00E93F58" w:rsidRPr="00576D60" w:rsidDel="006729D7" w:rsidRDefault="00E93F58" w:rsidP="002F32E3">
            <w:pPr>
              <w:pStyle w:val="ENoteTableText"/>
            </w:pPr>
            <w:r w:rsidRPr="00576D60">
              <w:t>rep F2016L01926</w:t>
            </w:r>
          </w:p>
        </w:tc>
      </w:tr>
      <w:tr w:rsidR="00E93F58" w:rsidRPr="00576D60" w14:paraId="0C8BB606" w14:textId="77777777" w:rsidTr="002F32E3">
        <w:trPr>
          <w:cantSplit/>
        </w:trPr>
        <w:tc>
          <w:tcPr>
            <w:tcW w:w="1500" w:type="pct"/>
            <w:shd w:val="clear" w:color="auto" w:fill="auto"/>
          </w:tcPr>
          <w:p w14:paraId="77FC242B" w14:textId="77777777" w:rsidR="00E93F58" w:rsidRPr="00576D60" w:rsidRDefault="00E93F58" w:rsidP="002F32E3">
            <w:pPr>
              <w:pStyle w:val="ENoteTableText"/>
              <w:tabs>
                <w:tab w:val="left" w:leader="dot" w:pos="2268"/>
              </w:tabs>
            </w:pPr>
            <w:r w:rsidRPr="00576D60">
              <w:t>r 5.6.07</w:t>
            </w:r>
            <w:r w:rsidRPr="00576D60">
              <w:tab/>
            </w:r>
          </w:p>
        </w:tc>
        <w:tc>
          <w:tcPr>
            <w:tcW w:w="3500" w:type="pct"/>
            <w:shd w:val="clear" w:color="auto" w:fill="auto"/>
          </w:tcPr>
          <w:p w14:paraId="1F048C6B" w14:textId="77777777" w:rsidR="00E93F58" w:rsidRPr="00576D60" w:rsidRDefault="00E93F58" w:rsidP="002F32E3">
            <w:pPr>
              <w:pStyle w:val="ENoteTableText"/>
            </w:pPr>
            <w:r w:rsidRPr="00576D60">
              <w:t>am No 325, 2007</w:t>
            </w:r>
          </w:p>
        </w:tc>
      </w:tr>
      <w:tr w:rsidR="00E93F58" w:rsidRPr="00576D60" w14:paraId="7B53CDA1" w14:textId="77777777" w:rsidTr="002F32E3">
        <w:trPr>
          <w:cantSplit/>
        </w:trPr>
        <w:tc>
          <w:tcPr>
            <w:tcW w:w="1500" w:type="pct"/>
            <w:shd w:val="clear" w:color="auto" w:fill="auto"/>
          </w:tcPr>
          <w:p w14:paraId="66D2ACCA" w14:textId="77777777" w:rsidR="00E93F58" w:rsidRPr="00576D60" w:rsidRDefault="00E93F58" w:rsidP="002F32E3">
            <w:pPr>
              <w:pStyle w:val="ENoteTableText"/>
              <w:tabs>
                <w:tab w:val="left" w:leader="dot" w:pos="2268"/>
              </w:tabs>
            </w:pPr>
          </w:p>
        </w:tc>
        <w:tc>
          <w:tcPr>
            <w:tcW w:w="3500" w:type="pct"/>
            <w:shd w:val="clear" w:color="auto" w:fill="auto"/>
          </w:tcPr>
          <w:p w14:paraId="3B3BAC75" w14:textId="77777777" w:rsidR="00E93F58" w:rsidRPr="00576D60" w:rsidDel="006729D7" w:rsidRDefault="00E93F58" w:rsidP="002F32E3">
            <w:pPr>
              <w:pStyle w:val="ENoteTableText"/>
            </w:pPr>
            <w:r w:rsidRPr="00576D60">
              <w:t>rep F2016L01926</w:t>
            </w:r>
          </w:p>
        </w:tc>
      </w:tr>
      <w:tr w:rsidR="00E93F58" w:rsidRPr="00576D60" w14:paraId="479655F9" w14:textId="77777777" w:rsidTr="002F32E3">
        <w:trPr>
          <w:cantSplit/>
        </w:trPr>
        <w:tc>
          <w:tcPr>
            <w:tcW w:w="1500" w:type="pct"/>
            <w:shd w:val="clear" w:color="auto" w:fill="auto"/>
          </w:tcPr>
          <w:p w14:paraId="5904A47B" w14:textId="77777777" w:rsidR="00E93F58" w:rsidRPr="00576D60" w:rsidRDefault="00E93F58" w:rsidP="002F32E3">
            <w:pPr>
              <w:pStyle w:val="ENoteTableText"/>
              <w:tabs>
                <w:tab w:val="left" w:leader="dot" w:pos="2268"/>
              </w:tabs>
            </w:pPr>
            <w:r w:rsidRPr="00576D60">
              <w:t>r 5.6.08</w:t>
            </w:r>
            <w:r w:rsidRPr="00576D60">
              <w:tab/>
            </w:r>
          </w:p>
        </w:tc>
        <w:tc>
          <w:tcPr>
            <w:tcW w:w="3500" w:type="pct"/>
            <w:shd w:val="clear" w:color="auto" w:fill="auto"/>
          </w:tcPr>
          <w:p w14:paraId="2226DA6D" w14:textId="77777777" w:rsidR="00E93F58" w:rsidRPr="00576D60" w:rsidRDefault="00E93F58" w:rsidP="002F32E3">
            <w:pPr>
              <w:pStyle w:val="ENoteTableText"/>
            </w:pPr>
            <w:r w:rsidRPr="00576D60">
              <w:t>rep F2016L01926</w:t>
            </w:r>
          </w:p>
        </w:tc>
      </w:tr>
      <w:tr w:rsidR="00E93F58" w:rsidRPr="00576D60" w14:paraId="4EF0B3C4" w14:textId="77777777" w:rsidTr="002F32E3">
        <w:trPr>
          <w:cantSplit/>
        </w:trPr>
        <w:tc>
          <w:tcPr>
            <w:tcW w:w="1500" w:type="pct"/>
            <w:shd w:val="clear" w:color="auto" w:fill="auto"/>
          </w:tcPr>
          <w:p w14:paraId="6D6D0B25" w14:textId="77777777" w:rsidR="00E93F58" w:rsidRPr="00576D60" w:rsidRDefault="00E93F58" w:rsidP="002F32E3">
            <w:pPr>
              <w:pStyle w:val="ENoteTableText"/>
              <w:tabs>
                <w:tab w:val="left" w:leader="dot" w:pos="2268"/>
              </w:tabs>
            </w:pPr>
            <w:r w:rsidRPr="00576D60">
              <w:t>r 5.6.09</w:t>
            </w:r>
            <w:r w:rsidRPr="00576D60">
              <w:tab/>
            </w:r>
          </w:p>
        </w:tc>
        <w:tc>
          <w:tcPr>
            <w:tcW w:w="3500" w:type="pct"/>
            <w:shd w:val="clear" w:color="auto" w:fill="auto"/>
          </w:tcPr>
          <w:p w14:paraId="0B51748B" w14:textId="77777777" w:rsidR="00E93F58" w:rsidRPr="00576D60" w:rsidRDefault="00E93F58" w:rsidP="002F32E3">
            <w:pPr>
              <w:pStyle w:val="ENoteTableText"/>
            </w:pPr>
            <w:r w:rsidRPr="00576D60">
              <w:t>rep F2016L01926</w:t>
            </w:r>
          </w:p>
        </w:tc>
      </w:tr>
      <w:tr w:rsidR="00E93F58" w:rsidRPr="00576D60" w14:paraId="2876B48E" w14:textId="77777777" w:rsidTr="002F32E3">
        <w:trPr>
          <w:cantSplit/>
        </w:trPr>
        <w:tc>
          <w:tcPr>
            <w:tcW w:w="1500" w:type="pct"/>
            <w:shd w:val="clear" w:color="auto" w:fill="auto"/>
          </w:tcPr>
          <w:p w14:paraId="032D33AF" w14:textId="77777777" w:rsidR="00E93F58" w:rsidRPr="00576D60" w:rsidRDefault="00E93F58" w:rsidP="002F32E3">
            <w:pPr>
              <w:pStyle w:val="ENoteTableText"/>
              <w:tabs>
                <w:tab w:val="left" w:leader="dot" w:pos="2268"/>
              </w:tabs>
            </w:pPr>
            <w:r w:rsidRPr="00576D60">
              <w:t>r 5.6.10</w:t>
            </w:r>
            <w:r w:rsidRPr="00576D60">
              <w:tab/>
            </w:r>
          </w:p>
        </w:tc>
        <w:tc>
          <w:tcPr>
            <w:tcW w:w="3500" w:type="pct"/>
            <w:shd w:val="clear" w:color="auto" w:fill="auto"/>
          </w:tcPr>
          <w:p w14:paraId="78246D01" w14:textId="77777777" w:rsidR="00E93F58" w:rsidRPr="00576D60" w:rsidRDefault="00E93F58" w:rsidP="002F32E3">
            <w:pPr>
              <w:pStyle w:val="ENoteTableText"/>
            </w:pPr>
            <w:r w:rsidRPr="00576D60">
              <w:t>am No 325, 2007</w:t>
            </w:r>
          </w:p>
        </w:tc>
      </w:tr>
      <w:tr w:rsidR="00E93F58" w:rsidRPr="00576D60" w14:paraId="5E909A19" w14:textId="77777777" w:rsidTr="002F32E3">
        <w:trPr>
          <w:cantSplit/>
        </w:trPr>
        <w:tc>
          <w:tcPr>
            <w:tcW w:w="1500" w:type="pct"/>
            <w:shd w:val="clear" w:color="auto" w:fill="auto"/>
          </w:tcPr>
          <w:p w14:paraId="6CF9796F" w14:textId="77777777" w:rsidR="00E93F58" w:rsidRPr="00576D60" w:rsidRDefault="00E93F58" w:rsidP="002F32E3">
            <w:pPr>
              <w:pStyle w:val="ENoteTableText"/>
              <w:tabs>
                <w:tab w:val="left" w:leader="dot" w:pos="2268"/>
              </w:tabs>
            </w:pPr>
          </w:p>
        </w:tc>
        <w:tc>
          <w:tcPr>
            <w:tcW w:w="3500" w:type="pct"/>
            <w:shd w:val="clear" w:color="auto" w:fill="auto"/>
          </w:tcPr>
          <w:p w14:paraId="39B48CF6" w14:textId="77777777" w:rsidR="00E93F58" w:rsidRPr="00576D60" w:rsidDel="006729D7" w:rsidRDefault="00E93F58" w:rsidP="002F32E3">
            <w:pPr>
              <w:pStyle w:val="ENoteTableText"/>
            </w:pPr>
            <w:r w:rsidRPr="00576D60">
              <w:t>rep F2016L01926</w:t>
            </w:r>
          </w:p>
        </w:tc>
      </w:tr>
      <w:tr w:rsidR="00E93F58" w:rsidRPr="00576D60" w14:paraId="221D565E" w14:textId="77777777" w:rsidTr="002F32E3">
        <w:trPr>
          <w:cantSplit/>
        </w:trPr>
        <w:tc>
          <w:tcPr>
            <w:tcW w:w="1500" w:type="pct"/>
            <w:shd w:val="clear" w:color="auto" w:fill="auto"/>
          </w:tcPr>
          <w:p w14:paraId="6C749E06" w14:textId="77777777" w:rsidR="00E93F58" w:rsidRPr="00576D60" w:rsidRDefault="00E93F58" w:rsidP="002F32E3">
            <w:pPr>
              <w:pStyle w:val="ENoteTableText"/>
              <w:tabs>
                <w:tab w:val="left" w:leader="dot" w:pos="2268"/>
              </w:tabs>
            </w:pPr>
            <w:r w:rsidRPr="00576D60">
              <w:t>r 5.6.11</w:t>
            </w:r>
            <w:r w:rsidRPr="00576D60">
              <w:tab/>
            </w:r>
          </w:p>
        </w:tc>
        <w:tc>
          <w:tcPr>
            <w:tcW w:w="3500" w:type="pct"/>
            <w:shd w:val="clear" w:color="auto" w:fill="auto"/>
          </w:tcPr>
          <w:p w14:paraId="50DF506D" w14:textId="77777777" w:rsidR="00E93F58" w:rsidRPr="00576D60" w:rsidRDefault="00E93F58" w:rsidP="002F32E3">
            <w:pPr>
              <w:pStyle w:val="ENoteTableText"/>
            </w:pPr>
            <w:r w:rsidRPr="00576D60">
              <w:t>am No 325, 2007; F2016L01926; F2022L01689</w:t>
            </w:r>
          </w:p>
        </w:tc>
      </w:tr>
      <w:tr w:rsidR="00E93F58" w:rsidRPr="00576D60" w14:paraId="54D6D6D5" w14:textId="77777777" w:rsidTr="002F32E3">
        <w:trPr>
          <w:cantSplit/>
        </w:trPr>
        <w:tc>
          <w:tcPr>
            <w:tcW w:w="1500" w:type="pct"/>
            <w:shd w:val="clear" w:color="auto" w:fill="auto"/>
          </w:tcPr>
          <w:p w14:paraId="5A8715C9" w14:textId="77777777" w:rsidR="00E93F58" w:rsidRPr="00576D60" w:rsidRDefault="00E93F58" w:rsidP="00A1421B">
            <w:pPr>
              <w:pStyle w:val="ENoteTableText"/>
              <w:keepNext/>
              <w:tabs>
                <w:tab w:val="left" w:leader="dot" w:pos="2268"/>
              </w:tabs>
            </w:pPr>
            <w:r w:rsidRPr="00576D60">
              <w:t>r 5.6.11A</w:t>
            </w:r>
            <w:r w:rsidRPr="00576D60">
              <w:tab/>
            </w:r>
          </w:p>
        </w:tc>
        <w:tc>
          <w:tcPr>
            <w:tcW w:w="3500" w:type="pct"/>
            <w:shd w:val="clear" w:color="auto" w:fill="auto"/>
          </w:tcPr>
          <w:p w14:paraId="0B5B9E5C" w14:textId="77777777" w:rsidR="00E93F58" w:rsidRPr="00576D60" w:rsidRDefault="00E93F58" w:rsidP="002F32E3">
            <w:pPr>
              <w:pStyle w:val="ENoteTableText"/>
            </w:pPr>
            <w:r w:rsidRPr="00576D60">
              <w:t>ad No 325, 2007</w:t>
            </w:r>
          </w:p>
        </w:tc>
      </w:tr>
      <w:tr w:rsidR="00E93F58" w:rsidRPr="00576D60" w14:paraId="1836E973" w14:textId="77777777" w:rsidTr="002F32E3">
        <w:trPr>
          <w:cantSplit/>
        </w:trPr>
        <w:tc>
          <w:tcPr>
            <w:tcW w:w="1500" w:type="pct"/>
            <w:shd w:val="clear" w:color="auto" w:fill="auto"/>
          </w:tcPr>
          <w:p w14:paraId="50FC980C" w14:textId="77777777" w:rsidR="00E93F58" w:rsidRPr="00576D60" w:rsidRDefault="00E93F58" w:rsidP="002F32E3">
            <w:pPr>
              <w:pStyle w:val="ENoteTableText"/>
              <w:tabs>
                <w:tab w:val="left" w:leader="dot" w:pos="2268"/>
              </w:tabs>
            </w:pPr>
          </w:p>
        </w:tc>
        <w:tc>
          <w:tcPr>
            <w:tcW w:w="3500" w:type="pct"/>
            <w:shd w:val="clear" w:color="auto" w:fill="auto"/>
          </w:tcPr>
          <w:p w14:paraId="0561E911" w14:textId="77777777" w:rsidR="00E93F58" w:rsidRPr="00576D60" w:rsidRDefault="00E93F58" w:rsidP="002F32E3">
            <w:pPr>
              <w:pStyle w:val="ENoteTableText"/>
            </w:pPr>
            <w:r w:rsidRPr="00576D60">
              <w:t>am F2016L01926</w:t>
            </w:r>
          </w:p>
        </w:tc>
      </w:tr>
      <w:tr w:rsidR="00E93F58" w:rsidRPr="00576D60" w14:paraId="4E9B37D7" w14:textId="77777777" w:rsidTr="002F32E3">
        <w:trPr>
          <w:cantSplit/>
        </w:trPr>
        <w:tc>
          <w:tcPr>
            <w:tcW w:w="1500" w:type="pct"/>
            <w:shd w:val="clear" w:color="auto" w:fill="auto"/>
          </w:tcPr>
          <w:p w14:paraId="0DA6A411" w14:textId="77777777" w:rsidR="00E93F58" w:rsidRPr="00576D60" w:rsidRDefault="00E93F58" w:rsidP="002F32E3">
            <w:pPr>
              <w:pStyle w:val="ENoteTableText"/>
              <w:tabs>
                <w:tab w:val="left" w:leader="dot" w:pos="2268"/>
              </w:tabs>
            </w:pPr>
          </w:p>
        </w:tc>
        <w:tc>
          <w:tcPr>
            <w:tcW w:w="3500" w:type="pct"/>
            <w:shd w:val="clear" w:color="auto" w:fill="auto"/>
          </w:tcPr>
          <w:p w14:paraId="4CF0D7FF" w14:textId="77777777" w:rsidR="00E93F58" w:rsidRPr="00576D60" w:rsidRDefault="00E93F58" w:rsidP="002F32E3">
            <w:pPr>
              <w:pStyle w:val="ENoteTableText"/>
            </w:pPr>
            <w:r w:rsidRPr="00576D60">
              <w:t>rep F2020L01654</w:t>
            </w:r>
          </w:p>
        </w:tc>
      </w:tr>
      <w:tr w:rsidR="00E93F58" w:rsidRPr="00576D60" w14:paraId="46EA1670" w14:textId="77777777" w:rsidTr="002F32E3">
        <w:trPr>
          <w:cantSplit/>
        </w:trPr>
        <w:tc>
          <w:tcPr>
            <w:tcW w:w="1500" w:type="pct"/>
            <w:shd w:val="clear" w:color="auto" w:fill="auto"/>
          </w:tcPr>
          <w:p w14:paraId="33BA03A8" w14:textId="77777777" w:rsidR="00E93F58" w:rsidRPr="00576D60" w:rsidRDefault="00E93F58" w:rsidP="002F32E3">
            <w:pPr>
              <w:pStyle w:val="ENoteTableText"/>
              <w:tabs>
                <w:tab w:val="left" w:leader="dot" w:pos="2268"/>
              </w:tabs>
            </w:pPr>
            <w:r w:rsidRPr="00576D60">
              <w:t>r 5.6.12</w:t>
            </w:r>
            <w:r w:rsidRPr="00576D60">
              <w:tab/>
            </w:r>
          </w:p>
        </w:tc>
        <w:tc>
          <w:tcPr>
            <w:tcW w:w="3500" w:type="pct"/>
            <w:shd w:val="clear" w:color="auto" w:fill="auto"/>
          </w:tcPr>
          <w:p w14:paraId="022B01A0" w14:textId="77777777" w:rsidR="00E93F58" w:rsidRPr="00576D60" w:rsidRDefault="00E93F58" w:rsidP="002F32E3">
            <w:pPr>
              <w:pStyle w:val="ENoteTableText"/>
            </w:pPr>
            <w:r w:rsidRPr="00576D60">
              <w:t>am No 325, 2007</w:t>
            </w:r>
          </w:p>
        </w:tc>
      </w:tr>
      <w:tr w:rsidR="00E93F58" w:rsidRPr="00576D60" w14:paraId="1281B8F2" w14:textId="77777777" w:rsidTr="002F32E3">
        <w:trPr>
          <w:cantSplit/>
        </w:trPr>
        <w:tc>
          <w:tcPr>
            <w:tcW w:w="1500" w:type="pct"/>
            <w:shd w:val="clear" w:color="auto" w:fill="auto"/>
          </w:tcPr>
          <w:p w14:paraId="1D6BB330" w14:textId="77777777" w:rsidR="00E93F58" w:rsidRPr="00576D60" w:rsidRDefault="00E93F58" w:rsidP="002F32E3">
            <w:pPr>
              <w:pStyle w:val="ENoteTableText"/>
              <w:tabs>
                <w:tab w:val="left" w:leader="dot" w:pos="2268"/>
              </w:tabs>
            </w:pPr>
          </w:p>
        </w:tc>
        <w:tc>
          <w:tcPr>
            <w:tcW w:w="3500" w:type="pct"/>
            <w:shd w:val="clear" w:color="auto" w:fill="auto"/>
          </w:tcPr>
          <w:p w14:paraId="47C60384" w14:textId="77777777" w:rsidR="00E93F58" w:rsidRPr="00576D60" w:rsidDel="0009394B" w:rsidRDefault="00E93F58" w:rsidP="002F32E3">
            <w:pPr>
              <w:pStyle w:val="ENoteTableText"/>
            </w:pPr>
            <w:r w:rsidRPr="00576D60">
              <w:t>rep F2016L01926</w:t>
            </w:r>
          </w:p>
        </w:tc>
      </w:tr>
      <w:tr w:rsidR="00E93F58" w:rsidRPr="00576D60" w14:paraId="64FE0FF8" w14:textId="77777777" w:rsidTr="002F32E3">
        <w:trPr>
          <w:cantSplit/>
        </w:trPr>
        <w:tc>
          <w:tcPr>
            <w:tcW w:w="1500" w:type="pct"/>
            <w:shd w:val="clear" w:color="auto" w:fill="auto"/>
          </w:tcPr>
          <w:p w14:paraId="15A0D52A" w14:textId="77777777" w:rsidR="00E93F58" w:rsidRPr="00576D60" w:rsidRDefault="00E93F58" w:rsidP="002F32E3">
            <w:pPr>
              <w:pStyle w:val="ENoteTableText"/>
              <w:tabs>
                <w:tab w:val="left" w:leader="dot" w:pos="2268"/>
              </w:tabs>
            </w:pPr>
            <w:r w:rsidRPr="00576D60">
              <w:t>r 5.6.13</w:t>
            </w:r>
            <w:r w:rsidRPr="00576D60">
              <w:tab/>
            </w:r>
          </w:p>
        </w:tc>
        <w:tc>
          <w:tcPr>
            <w:tcW w:w="3500" w:type="pct"/>
            <w:shd w:val="clear" w:color="auto" w:fill="auto"/>
          </w:tcPr>
          <w:p w14:paraId="561E570A" w14:textId="77777777" w:rsidR="00E93F58" w:rsidRPr="00576D60" w:rsidRDefault="00E93F58" w:rsidP="002F32E3">
            <w:pPr>
              <w:pStyle w:val="ENoteTableText"/>
            </w:pPr>
            <w:r w:rsidRPr="00576D60">
              <w:t>rep F2016L01926</w:t>
            </w:r>
          </w:p>
        </w:tc>
      </w:tr>
      <w:tr w:rsidR="00E93F58" w:rsidRPr="00576D60" w14:paraId="1C438462" w14:textId="77777777" w:rsidTr="002F32E3">
        <w:trPr>
          <w:cantSplit/>
        </w:trPr>
        <w:tc>
          <w:tcPr>
            <w:tcW w:w="1500" w:type="pct"/>
            <w:shd w:val="clear" w:color="auto" w:fill="auto"/>
          </w:tcPr>
          <w:p w14:paraId="01B7882C" w14:textId="77777777" w:rsidR="00E93F58" w:rsidRPr="00576D60" w:rsidRDefault="00E93F58" w:rsidP="002F32E3">
            <w:pPr>
              <w:pStyle w:val="ENoteTableText"/>
              <w:tabs>
                <w:tab w:val="left" w:leader="dot" w:pos="2268"/>
              </w:tabs>
            </w:pPr>
            <w:r w:rsidRPr="00576D60">
              <w:t>r 5.6.13A</w:t>
            </w:r>
            <w:r w:rsidRPr="00576D60">
              <w:tab/>
            </w:r>
          </w:p>
        </w:tc>
        <w:tc>
          <w:tcPr>
            <w:tcW w:w="3500" w:type="pct"/>
            <w:shd w:val="clear" w:color="auto" w:fill="auto"/>
          </w:tcPr>
          <w:p w14:paraId="78EFA2BF" w14:textId="77777777" w:rsidR="00E93F58" w:rsidRPr="00576D60" w:rsidRDefault="00E93F58" w:rsidP="002F32E3">
            <w:pPr>
              <w:pStyle w:val="ENoteTableText"/>
            </w:pPr>
            <w:r w:rsidRPr="00576D60">
              <w:t>rep F2016L01926</w:t>
            </w:r>
          </w:p>
        </w:tc>
      </w:tr>
      <w:tr w:rsidR="00E93F58" w:rsidRPr="00576D60" w14:paraId="7F4FAD2E" w14:textId="77777777" w:rsidTr="002F32E3">
        <w:trPr>
          <w:cantSplit/>
        </w:trPr>
        <w:tc>
          <w:tcPr>
            <w:tcW w:w="1500" w:type="pct"/>
            <w:shd w:val="clear" w:color="auto" w:fill="auto"/>
          </w:tcPr>
          <w:p w14:paraId="653A6BE8" w14:textId="77777777" w:rsidR="00E93F58" w:rsidRPr="00576D60" w:rsidRDefault="00E93F58" w:rsidP="002F32E3">
            <w:pPr>
              <w:pStyle w:val="ENoteTableText"/>
              <w:tabs>
                <w:tab w:val="left" w:leader="dot" w:pos="2268"/>
              </w:tabs>
            </w:pPr>
            <w:r w:rsidRPr="00576D60">
              <w:t>r 5.6.13B</w:t>
            </w:r>
            <w:r w:rsidRPr="00576D60">
              <w:tab/>
            </w:r>
          </w:p>
        </w:tc>
        <w:tc>
          <w:tcPr>
            <w:tcW w:w="3500" w:type="pct"/>
            <w:shd w:val="clear" w:color="auto" w:fill="auto"/>
          </w:tcPr>
          <w:p w14:paraId="0D4A87FD" w14:textId="77777777" w:rsidR="00E93F58" w:rsidRPr="00576D60" w:rsidRDefault="00E93F58" w:rsidP="002F32E3">
            <w:pPr>
              <w:pStyle w:val="ENoteTableText"/>
            </w:pPr>
            <w:r w:rsidRPr="00576D60">
              <w:t>rep F2016L01926</w:t>
            </w:r>
          </w:p>
        </w:tc>
      </w:tr>
      <w:tr w:rsidR="00E93F58" w:rsidRPr="00576D60" w14:paraId="4EFBAA40" w14:textId="77777777" w:rsidTr="002F32E3">
        <w:trPr>
          <w:cantSplit/>
        </w:trPr>
        <w:tc>
          <w:tcPr>
            <w:tcW w:w="1500" w:type="pct"/>
            <w:shd w:val="clear" w:color="auto" w:fill="auto"/>
          </w:tcPr>
          <w:p w14:paraId="2EB3A75C" w14:textId="77777777" w:rsidR="00E93F58" w:rsidRPr="00576D60" w:rsidRDefault="00E93F58" w:rsidP="002F32E3">
            <w:pPr>
              <w:pStyle w:val="ENoteTableText"/>
              <w:tabs>
                <w:tab w:val="left" w:leader="dot" w:pos="2268"/>
              </w:tabs>
            </w:pPr>
            <w:r w:rsidRPr="00576D60">
              <w:t>r 5.6.14</w:t>
            </w:r>
            <w:r w:rsidRPr="00576D60">
              <w:tab/>
            </w:r>
          </w:p>
        </w:tc>
        <w:tc>
          <w:tcPr>
            <w:tcW w:w="3500" w:type="pct"/>
            <w:shd w:val="clear" w:color="auto" w:fill="auto"/>
          </w:tcPr>
          <w:p w14:paraId="3D2852C2" w14:textId="77777777" w:rsidR="00E93F58" w:rsidRPr="00576D60" w:rsidRDefault="00E93F58" w:rsidP="002F32E3">
            <w:pPr>
              <w:pStyle w:val="ENoteTableText"/>
            </w:pPr>
            <w:r w:rsidRPr="00576D60">
              <w:t>am No 325, 2007</w:t>
            </w:r>
          </w:p>
        </w:tc>
      </w:tr>
      <w:tr w:rsidR="00E93F58" w:rsidRPr="00576D60" w14:paraId="054BA28A" w14:textId="77777777" w:rsidTr="002F32E3">
        <w:trPr>
          <w:cantSplit/>
        </w:trPr>
        <w:tc>
          <w:tcPr>
            <w:tcW w:w="1500" w:type="pct"/>
            <w:shd w:val="clear" w:color="auto" w:fill="auto"/>
          </w:tcPr>
          <w:p w14:paraId="27BF47EC" w14:textId="77777777" w:rsidR="00E93F58" w:rsidRPr="00576D60" w:rsidRDefault="00E93F58" w:rsidP="002F32E3">
            <w:pPr>
              <w:pStyle w:val="ENoteTableText"/>
              <w:tabs>
                <w:tab w:val="left" w:leader="dot" w:pos="2268"/>
              </w:tabs>
            </w:pPr>
          </w:p>
        </w:tc>
        <w:tc>
          <w:tcPr>
            <w:tcW w:w="3500" w:type="pct"/>
            <w:shd w:val="clear" w:color="auto" w:fill="auto"/>
          </w:tcPr>
          <w:p w14:paraId="7036E712" w14:textId="77777777" w:rsidR="00E93F58" w:rsidRPr="00576D60" w:rsidDel="0009394B" w:rsidRDefault="00E93F58" w:rsidP="002F32E3">
            <w:pPr>
              <w:pStyle w:val="ENoteTableText"/>
            </w:pPr>
            <w:r w:rsidRPr="00576D60">
              <w:t>rep F2016L01926</w:t>
            </w:r>
          </w:p>
        </w:tc>
      </w:tr>
      <w:tr w:rsidR="00E93F58" w:rsidRPr="00576D60" w14:paraId="30D8372E" w14:textId="77777777" w:rsidTr="002F32E3">
        <w:trPr>
          <w:cantSplit/>
        </w:trPr>
        <w:tc>
          <w:tcPr>
            <w:tcW w:w="1500" w:type="pct"/>
            <w:shd w:val="clear" w:color="auto" w:fill="auto"/>
          </w:tcPr>
          <w:p w14:paraId="41A74B7E" w14:textId="77777777" w:rsidR="00E93F58" w:rsidRPr="00576D60" w:rsidRDefault="00E93F58" w:rsidP="002F32E3">
            <w:pPr>
              <w:pStyle w:val="ENoteTableText"/>
              <w:tabs>
                <w:tab w:val="left" w:leader="dot" w:pos="2268"/>
              </w:tabs>
            </w:pPr>
            <w:r w:rsidRPr="00576D60">
              <w:t>r 5.6.14A</w:t>
            </w:r>
            <w:r w:rsidRPr="00576D60">
              <w:tab/>
            </w:r>
          </w:p>
        </w:tc>
        <w:tc>
          <w:tcPr>
            <w:tcW w:w="3500" w:type="pct"/>
            <w:shd w:val="clear" w:color="auto" w:fill="auto"/>
          </w:tcPr>
          <w:p w14:paraId="4A0805ED" w14:textId="77777777" w:rsidR="00E93F58" w:rsidRPr="00576D60" w:rsidRDefault="00E93F58" w:rsidP="002F32E3">
            <w:pPr>
              <w:pStyle w:val="ENoteTableText"/>
            </w:pPr>
            <w:r w:rsidRPr="00576D60">
              <w:t>rs No 325, 2007</w:t>
            </w:r>
          </w:p>
        </w:tc>
      </w:tr>
      <w:tr w:rsidR="00E93F58" w:rsidRPr="00576D60" w14:paraId="09AC1CAC" w14:textId="77777777" w:rsidTr="002F32E3">
        <w:trPr>
          <w:cantSplit/>
        </w:trPr>
        <w:tc>
          <w:tcPr>
            <w:tcW w:w="1500" w:type="pct"/>
            <w:shd w:val="clear" w:color="auto" w:fill="auto"/>
          </w:tcPr>
          <w:p w14:paraId="71C9B0A1" w14:textId="77777777" w:rsidR="00E93F58" w:rsidRPr="00576D60" w:rsidRDefault="00E93F58" w:rsidP="002F32E3">
            <w:pPr>
              <w:pStyle w:val="ENoteTableText"/>
            </w:pPr>
          </w:p>
        </w:tc>
        <w:tc>
          <w:tcPr>
            <w:tcW w:w="3500" w:type="pct"/>
            <w:shd w:val="clear" w:color="auto" w:fill="auto"/>
          </w:tcPr>
          <w:p w14:paraId="618A1748" w14:textId="77777777" w:rsidR="00E93F58" w:rsidRPr="00576D60" w:rsidRDefault="00E93F58" w:rsidP="002F32E3">
            <w:pPr>
              <w:pStyle w:val="ENoteTableText"/>
            </w:pPr>
            <w:r w:rsidRPr="00576D60">
              <w:t>am No 114, 2012</w:t>
            </w:r>
          </w:p>
        </w:tc>
      </w:tr>
      <w:tr w:rsidR="00E93F58" w:rsidRPr="00576D60" w14:paraId="1FF97EE1" w14:textId="77777777" w:rsidTr="002F32E3">
        <w:trPr>
          <w:cantSplit/>
        </w:trPr>
        <w:tc>
          <w:tcPr>
            <w:tcW w:w="1500" w:type="pct"/>
            <w:shd w:val="clear" w:color="auto" w:fill="auto"/>
          </w:tcPr>
          <w:p w14:paraId="2AD49B19" w14:textId="77777777" w:rsidR="00E93F58" w:rsidRPr="00576D60" w:rsidRDefault="00E93F58" w:rsidP="002F32E3">
            <w:pPr>
              <w:pStyle w:val="ENoteTableText"/>
            </w:pPr>
          </w:p>
        </w:tc>
        <w:tc>
          <w:tcPr>
            <w:tcW w:w="3500" w:type="pct"/>
            <w:shd w:val="clear" w:color="auto" w:fill="auto"/>
          </w:tcPr>
          <w:p w14:paraId="394ED2CB" w14:textId="77777777" w:rsidR="00E93F58" w:rsidRPr="00576D60" w:rsidDel="0009394B" w:rsidRDefault="00E93F58" w:rsidP="002F32E3">
            <w:pPr>
              <w:pStyle w:val="ENoteTableText"/>
            </w:pPr>
            <w:r w:rsidRPr="00576D60">
              <w:t>rep F2016L01926</w:t>
            </w:r>
          </w:p>
        </w:tc>
      </w:tr>
      <w:tr w:rsidR="00E93F58" w:rsidRPr="00576D60" w14:paraId="6F625C4F" w14:textId="77777777" w:rsidTr="002F32E3">
        <w:trPr>
          <w:cantSplit/>
        </w:trPr>
        <w:tc>
          <w:tcPr>
            <w:tcW w:w="1500" w:type="pct"/>
            <w:shd w:val="clear" w:color="auto" w:fill="auto"/>
          </w:tcPr>
          <w:p w14:paraId="41853C01" w14:textId="77777777" w:rsidR="00E93F58" w:rsidRPr="00576D60" w:rsidRDefault="00E93F58" w:rsidP="002F32E3">
            <w:pPr>
              <w:pStyle w:val="ENoteTableText"/>
              <w:tabs>
                <w:tab w:val="left" w:leader="dot" w:pos="2268"/>
              </w:tabs>
            </w:pPr>
            <w:r w:rsidRPr="00576D60">
              <w:t>r 5.6.14B</w:t>
            </w:r>
            <w:r w:rsidRPr="00576D60">
              <w:tab/>
            </w:r>
          </w:p>
        </w:tc>
        <w:tc>
          <w:tcPr>
            <w:tcW w:w="3500" w:type="pct"/>
            <w:shd w:val="clear" w:color="auto" w:fill="auto"/>
          </w:tcPr>
          <w:p w14:paraId="2F5BCA08" w14:textId="77777777" w:rsidR="00E93F58" w:rsidRPr="00576D60" w:rsidRDefault="00E93F58" w:rsidP="002F32E3">
            <w:pPr>
              <w:pStyle w:val="ENoteTableText"/>
            </w:pPr>
            <w:r w:rsidRPr="00576D60">
              <w:t>rep F2016L01926</w:t>
            </w:r>
          </w:p>
        </w:tc>
      </w:tr>
      <w:tr w:rsidR="00E93F58" w:rsidRPr="00576D60" w14:paraId="79B68B72" w14:textId="77777777" w:rsidTr="002F32E3">
        <w:trPr>
          <w:cantSplit/>
        </w:trPr>
        <w:tc>
          <w:tcPr>
            <w:tcW w:w="1500" w:type="pct"/>
            <w:shd w:val="clear" w:color="auto" w:fill="auto"/>
          </w:tcPr>
          <w:p w14:paraId="2B7C46E0" w14:textId="77777777" w:rsidR="00E93F58" w:rsidRPr="00576D60" w:rsidRDefault="00E93F58" w:rsidP="002F32E3">
            <w:pPr>
              <w:pStyle w:val="ENoteTableText"/>
              <w:tabs>
                <w:tab w:val="left" w:leader="dot" w:pos="2268"/>
              </w:tabs>
            </w:pPr>
            <w:r w:rsidRPr="00576D60">
              <w:t>r 5.6.15</w:t>
            </w:r>
            <w:r w:rsidRPr="00576D60">
              <w:tab/>
            </w:r>
          </w:p>
        </w:tc>
        <w:tc>
          <w:tcPr>
            <w:tcW w:w="3500" w:type="pct"/>
            <w:shd w:val="clear" w:color="auto" w:fill="auto"/>
          </w:tcPr>
          <w:p w14:paraId="59B7C2BC" w14:textId="77777777" w:rsidR="00E93F58" w:rsidRPr="00576D60" w:rsidRDefault="00E93F58" w:rsidP="002F32E3">
            <w:pPr>
              <w:pStyle w:val="ENoteTableText"/>
            </w:pPr>
            <w:r w:rsidRPr="00576D60">
              <w:t>rep F2016L01926</w:t>
            </w:r>
          </w:p>
        </w:tc>
      </w:tr>
      <w:tr w:rsidR="00E93F58" w:rsidRPr="00576D60" w14:paraId="7DB842D8" w14:textId="77777777" w:rsidTr="002F32E3">
        <w:trPr>
          <w:cantSplit/>
        </w:trPr>
        <w:tc>
          <w:tcPr>
            <w:tcW w:w="1500" w:type="pct"/>
            <w:shd w:val="clear" w:color="auto" w:fill="auto"/>
          </w:tcPr>
          <w:p w14:paraId="6B109CDB" w14:textId="77777777" w:rsidR="00E93F58" w:rsidRPr="00576D60" w:rsidRDefault="00E93F58" w:rsidP="002F32E3">
            <w:pPr>
              <w:pStyle w:val="ENoteTableText"/>
              <w:tabs>
                <w:tab w:val="left" w:leader="dot" w:pos="2268"/>
              </w:tabs>
            </w:pPr>
            <w:r w:rsidRPr="00576D60">
              <w:t>r 5.6.16</w:t>
            </w:r>
            <w:r w:rsidRPr="00576D60">
              <w:tab/>
            </w:r>
          </w:p>
        </w:tc>
        <w:tc>
          <w:tcPr>
            <w:tcW w:w="3500" w:type="pct"/>
            <w:shd w:val="clear" w:color="auto" w:fill="auto"/>
          </w:tcPr>
          <w:p w14:paraId="775E74EB" w14:textId="77777777" w:rsidR="00E93F58" w:rsidRPr="00576D60" w:rsidRDefault="00E93F58" w:rsidP="002F32E3">
            <w:pPr>
              <w:pStyle w:val="ENoteTableText"/>
            </w:pPr>
            <w:r w:rsidRPr="00576D60">
              <w:t>am No 325, 2007</w:t>
            </w:r>
          </w:p>
        </w:tc>
      </w:tr>
      <w:tr w:rsidR="00E93F58" w:rsidRPr="00576D60" w14:paraId="5E64C451" w14:textId="77777777" w:rsidTr="002F32E3">
        <w:trPr>
          <w:cantSplit/>
        </w:trPr>
        <w:tc>
          <w:tcPr>
            <w:tcW w:w="1500" w:type="pct"/>
            <w:shd w:val="clear" w:color="auto" w:fill="auto"/>
          </w:tcPr>
          <w:p w14:paraId="20E952D4" w14:textId="77777777" w:rsidR="00E93F58" w:rsidRPr="00576D60" w:rsidRDefault="00E93F58" w:rsidP="002F32E3">
            <w:pPr>
              <w:pStyle w:val="ENoteTableText"/>
              <w:tabs>
                <w:tab w:val="left" w:leader="dot" w:pos="2268"/>
              </w:tabs>
            </w:pPr>
          </w:p>
        </w:tc>
        <w:tc>
          <w:tcPr>
            <w:tcW w:w="3500" w:type="pct"/>
            <w:shd w:val="clear" w:color="auto" w:fill="auto"/>
          </w:tcPr>
          <w:p w14:paraId="321B5A52" w14:textId="77777777" w:rsidR="00E93F58" w:rsidRPr="00576D60" w:rsidDel="0009394B" w:rsidRDefault="00E93F58" w:rsidP="002F32E3">
            <w:pPr>
              <w:pStyle w:val="ENoteTableText"/>
            </w:pPr>
            <w:r w:rsidRPr="00576D60">
              <w:t>rep F2016L01926</w:t>
            </w:r>
          </w:p>
        </w:tc>
      </w:tr>
      <w:tr w:rsidR="00E93F58" w:rsidRPr="00576D60" w14:paraId="1AE1D0E9" w14:textId="77777777" w:rsidTr="002F32E3">
        <w:trPr>
          <w:cantSplit/>
        </w:trPr>
        <w:tc>
          <w:tcPr>
            <w:tcW w:w="1500" w:type="pct"/>
            <w:shd w:val="clear" w:color="auto" w:fill="auto"/>
          </w:tcPr>
          <w:p w14:paraId="5ACC5108" w14:textId="77777777" w:rsidR="00E93F58" w:rsidRPr="00576D60" w:rsidRDefault="00E93F58" w:rsidP="002F32E3">
            <w:pPr>
              <w:pStyle w:val="ENoteTableText"/>
              <w:tabs>
                <w:tab w:val="left" w:leader="dot" w:pos="2268"/>
              </w:tabs>
            </w:pPr>
            <w:r w:rsidRPr="00576D60">
              <w:t>r 5.6.17</w:t>
            </w:r>
            <w:r w:rsidRPr="00576D60">
              <w:tab/>
            </w:r>
          </w:p>
        </w:tc>
        <w:tc>
          <w:tcPr>
            <w:tcW w:w="3500" w:type="pct"/>
            <w:shd w:val="clear" w:color="auto" w:fill="auto"/>
          </w:tcPr>
          <w:p w14:paraId="6B4D988A" w14:textId="77777777" w:rsidR="00E93F58" w:rsidRPr="00576D60" w:rsidRDefault="00E93F58" w:rsidP="002F32E3">
            <w:pPr>
              <w:pStyle w:val="ENoteTableText"/>
            </w:pPr>
            <w:r w:rsidRPr="00576D60">
              <w:t>am No 325, 2007</w:t>
            </w:r>
          </w:p>
        </w:tc>
      </w:tr>
      <w:tr w:rsidR="00E93F58" w:rsidRPr="00576D60" w14:paraId="7870BB2D" w14:textId="77777777" w:rsidTr="002F32E3">
        <w:trPr>
          <w:cantSplit/>
        </w:trPr>
        <w:tc>
          <w:tcPr>
            <w:tcW w:w="1500" w:type="pct"/>
            <w:shd w:val="clear" w:color="auto" w:fill="auto"/>
          </w:tcPr>
          <w:p w14:paraId="641827F9" w14:textId="77777777" w:rsidR="00E93F58" w:rsidRPr="00576D60" w:rsidRDefault="00E93F58" w:rsidP="002F32E3">
            <w:pPr>
              <w:pStyle w:val="ENoteTableText"/>
              <w:tabs>
                <w:tab w:val="left" w:leader="dot" w:pos="2268"/>
              </w:tabs>
            </w:pPr>
          </w:p>
        </w:tc>
        <w:tc>
          <w:tcPr>
            <w:tcW w:w="3500" w:type="pct"/>
            <w:shd w:val="clear" w:color="auto" w:fill="auto"/>
          </w:tcPr>
          <w:p w14:paraId="0DC2778B" w14:textId="77777777" w:rsidR="00E93F58" w:rsidRPr="00576D60" w:rsidDel="0009394B" w:rsidRDefault="00E93F58" w:rsidP="002F32E3">
            <w:pPr>
              <w:pStyle w:val="ENoteTableText"/>
            </w:pPr>
            <w:r w:rsidRPr="00576D60">
              <w:t>rep F2016L01926</w:t>
            </w:r>
          </w:p>
        </w:tc>
      </w:tr>
      <w:tr w:rsidR="00E93F58" w:rsidRPr="00576D60" w14:paraId="50F3BD1E" w14:textId="77777777" w:rsidTr="002F32E3">
        <w:trPr>
          <w:cantSplit/>
        </w:trPr>
        <w:tc>
          <w:tcPr>
            <w:tcW w:w="1500" w:type="pct"/>
            <w:shd w:val="clear" w:color="auto" w:fill="auto"/>
          </w:tcPr>
          <w:p w14:paraId="17C9A995" w14:textId="77777777" w:rsidR="00E93F58" w:rsidRPr="00576D60" w:rsidRDefault="00E93F58" w:rsidP="002F32E3">
            <w:pPr>
              <w:pStyle w:val="ENoteTableText"/>
              <w:tabs>
                <w:tab w:val="left" w:leader="dot" w:pos="2268"/>
              </w:tabs>
            </w:pPr>
            <w:r w:rsidRPr="00576D60">
              <w:t>r 5.6.18</w:t>
            </w:r>
            <w:r w:rsidRPr="00576D60">
              <w:tab/>
            </w:r>
          </w:p>
        </w:tc>
        <w:tc>
          <w:tcPr>
            <w:tcW w:w="3500" w:type="pct"/>
            <w:shd w:val="clear" w:color="auto" w:fill="auto"/>
          </w:tcPr>
          <w:p w14:paraId="2E7B72E6" w14:textId="77777777" w:rsidR="00E93F58" w:rsidRPr="00576D60" w:rsidRDefault="00E93F58" w:rsidP="002F32E3">
            <w:pPr>
              <w:pStyle w:val="ENoteTableText"/>
            </w:pPr>
            <w:r w:rsidRPr="00576D60">
              <w:t>am No 325, 2007</w:t>
            </w:r>
          </w:p>
        </w:tc>
      </w:tr>
      <w:tr w:rsidR="00E93F58" w:rsidRPr="00576D60" w14:paraId="5171013C" w14:textId="77777777" w:rsidTr="002F32E3">
        <w:trPr>
          <w:cantSplit/>
        </w:trPr>
        <w:tc>
          <w:tcPr>
            <w:tcW w:w="1500" w:type="pct"/>
            <w:shd w:val="clear" w:color="auto" w:fill="auto"/>
          </w:tcPr>
          <w:p w14:paraId="31AB0064" w14:textId="77777777" w:rsidR="00E93F58" w:rsidRPr="00576D60" w:rsidRDefault="00E93F58" w:rsidP="002F32E3">
            <w:pPr>
              <w:pStyle w:val="ENoteTableText"/>
              <w:tabs>
                <w:tab w:val="left" w:leader="dot" w:pos="2268"/>
              </w:tabs>
            </w:pPr>
          </w:p>
        </w:tc>
        <w:tc>
          <w:tcPr>
            <w:tcW w:w="3500" w:type="pct"/>
            <w:shd w:val="clear" w:color="auto" w:fill="auto"/>
          </w:tcPr>
          <w:p w14:paraId="083AC3AA" w14:textId="77777777" w:rsidR="00E93F58" w:rsidRPr="00576D60" w:rsidDel="0009394B" w:rsidRDefault="00E93F58" w:rsidP="002F32E3">
            <w:pPr>
              <w:pStyle w:val="ENoteTableText"/>
            </w:pPr>
            <w:r w:rsidRPr="00576D60">
              <w:t>rep F2016L01926</w:t>
            </w:r>
          </w:p>
        </w:tc>
      </w:tr>
      <w:tr w:rsidR="00E93F58" w:rsidRPr="00576D60" w14:paraId="0238A8BE" w14:textId="77777777" w:rsidTr="002F32E3">
        <w:trPr>
          <w:cantSplit/>
        </w:trPr>
        <w:tc>
          <w:tcPr>
            <w:tcW w:w="1500" w:type="pct"/>
            <w:shd w:val="clear" w:color="auto" w:fill="auto"/>
          </w:tcPr>
          <w:p w14:paraId="774948A4" w14:textId="77777777" w:rsidR="00E93F58" w:rsidRPr="00576D60" w:rsidRDefault="00E93F58" w:rsidP="002F32E3">
            <w:pPr>
              <w:pStyle w:val="ENoteTableText"/>
              <w:tabs>
                <w:tab w:val="left" w:leader="dot" w:pos="2268"/>
              </w:tabs>
            </w:pPr>
            <w:r w:rsidRPr="00576D60">
              <w:t>r 5.6.19</w:t>
            </w:r>
            <w:r w:rsidRPr="00576D60">
              <w:tab/>
            </w:r>
          </w:p>
        </w:tc>
        <w:tc>
          <w:tcPr>
            <w:tcW w:w="3500" w:type="pct"/>
            <w:shd w:val="clear" w:color="auto" w:fill="auto"/>
          </w:tcPr>
          <w:p w14:paraId="5174A05B" w14:textId="77777777" w:rsidR="00E93F58" w:rsidRPr="00576D60" w:rsidRDefault="00E93F58" w:rsidP="002F32E3">
            <w:pPr>
              <w:pStyle w:val="ENoteTableText"/>
            </w:pPr>
            <w:r w:rsidRPr="00576D60">
              <w:t>rep F2016L01926</w:t>
            </w:r>
          </w:p>
        </w:tc>
      </w:tr>
      <w:tr w:rsidR="00E93F58" w:rsidRPr="00576D60" w14:paraId="3E879322" w14:textId="77777777" w:rsidTr="002F32E3">
        <w:trPr>
          <w:cantSplit/>
        </w:trPr>
        <w:tc>
          <w:tcPr>
            <w:tcW w:w="1500" w:type="pct"/>
            <w:shd w:val="clear" w:color="auto" w:fill="auto"/>
          </w:tcPr>
          <w:p w14:paraId="52AE20CB" w14:textId="77777777" w:rsidR="00E93F58" w:rsidRPr="00576D60" w:rsidRDefault="00E93F58" w:rsidP="002F32E3">
            <w:pPr>
              <w:pStyle w:val="ENoteTableText"/>
              <w:tabs>
                <w:tab w:val="left" w:leader="dot" w:pos="2268"/>
              </w:tabs>
            </w:pPr>
            <w:r w:rsidRPr="00576D60">
              <w:t>r 5.6.20</w:t>
            </w:r>
            <w:r w:rsidRPr="00576D60">
              <w:tab/>
            </w:r>
          </w:p>
        </w:tc>
        <w:tc>
          <w:tcPr>
            <w:tcW w:w="3500" w:type="pct"/>
            <w:shd w:val="clear" w:color="auto" w:fill="auto"/>
          </w:tcPr>
          <w:p w14:paraId="7D2CE62F" w14:textId="77777777" w:rsidR="00E93F58" w:rsidRPr="00576D60" w:rsidRDefault="00E93F58" w:rsidP="002F32E3">
            <w:pPr>
              <w:pStyle w:val="ENoteTableText"/>
            </w:pPr>
            <w:r w:rsidRPr="00576D60">
              <w:t>rep F2016L01926</w:t>
            </w:r>
          </w:p>
        </w:tc>
      </w:tr>
      <w:tr w:rsidR="00E93F58" w:rsidRPr="00576D60" w14:paraId="07EC6B41" w14:textId="77777777" w:rsidTr="002F32E3">
        <w:trPr>
          <w:cantSplit/>
        </w:trPr>
        <w:tc>
          <w:tcPr>
            <w:tcW w:w="1500" w:type="pct"/>
            <w:shd w:val="clear" w:color="auto" w:fill="auto"/>
          </w:tcPr>
          <w:p w14:paraId="72245524" w14:textId="77777777" w:rsidR="00E93F58" w:rsidRPr="00576D60" w:rsidRDefault="00E93F58" w:rsidP="002F32E3">
            <w:pPr>
              <w:pStyle w:val="ENoteTableText"/>
              <w:tabs>
                <w:tab w:val="left" w:leader="dot" w:pos="2268"/>
              </w:tabs>
            </w:pPr>
            <w:r w:rsidRPr="00576D60">
              <w:t>r 5.6.21</w:t>
            </w:r>
            <w:r w:rsidRPr="00576D60">
              <w:tab/>
            </w:r>
          </w:p>
        </w:tc>
        <w:tc>
          <w:tcPr>
            <w:tcW w:w="3500" w:type="pct"/>
            <w:shd w:val="clear" w:color="auto" w:fill="auto"/>
          </w:tcPr>
          <w:p w14:paraId="76E34574" w14:textId="77777777" w:rsidR="00E93F58" w:rsidRPr="00576D60" w:rsidRDefault="00E93F58" w:rsidP="002F32E3">
            <w:pPr>
              <w:pStyle w:val="ENoteTableText"/>
            </w:pPr>
            <w:r w:rsidRPr="00576D60">
              <w:t>am No 325, 2007</w:t>
            </w:r>
          </w:p>
        </w:tc>
      </w:tr>
      <w:tr w:rsidR="00E93F58" w:rsidRPr="00576D60" w14:paraId="7384D04F" w14:textId="77777777" w:rsidTr="002F32E3">
        <w:trPr>
          <w:cantSplit/>
        </w:trPr>
        <w:tc>
          <w:tcPr>
            <w:tcW w:w="1500" w:type="pct"/>
            <w:shd w:val="clear" w:color="auto" w:fill="auto"/>
          </w:tcPr>
          <w:p w14:paraId="13DB56B0" w14:textId="77777777" w:rsidR="00E93F58" w:rsidRPr="00576D60" w:rsidRDefault="00E93F58" w:rsidP="002F32E3">
            <w:pPr>
              <w:pStyle w:val="ENoteTableText"/>
              <w:tabs>
                <w:tab w:val="left" w:leader="dot" w:pos="2268"/>
              </w:tabs>
            </w:pPr>
          </w:p>
        </w:tc>
        <w:tc>
          <w:tcPr>
            <w:tcW w:w="3500" w:type="pct"/>
            <w:shd w:val="clear" w:color="auto" w:fill="auto"/>
          </w:tcPr>
          <w:p w14:paraId="609948A5" w14:textId="77777777" w:rsidR="00E93F58" w:rsidRPr="00576D60" w:rsidDel="0009394B" w:rsidRDefault="00E93F58" w:rsidP="002F32E3">
            <w:pPr>
              <w:pStyle w:val="ENoteTableText"/>
            </w:pPr>
            <w:r w:rsidRPr="00576D60">
              <w:t>rep F2016L01926</w:t>
            </w:r>
          </w:p>
        </w:tc>
      </w:tr>
      <w:tr w:rsidR="00E93F58" w:rsidRPr="00576D60" w14:paraId="77FEFE10" w14:textId="77777777" w:rsidTr="002F32E3">
        <w:trPr>
          <w:cantSplit/>
        </w:trPr>
        <w:tc>
          <w:tcPr>
            <w:tcW w:w="1500" w:type="pct"/>
            <w:shd w:val="clear" w:color="auto" w:fill="auto"/>
          </w:tcPr>
          <w:p w14:paraId="493855E4" w14:textId="77777777" w:rsidR="00E93F58" w:rsidRPr="00576D60" w:rsidRDefault="00E93F58" w:rsidP="002F32E3">
            <w:pPr>
              <w:pStyle w:val="ENoteTableText"/>
              <w:tabs>
                <w:tab w:val="left" w:leader="dot" w:pos="2268"/>
              </w:tabs>
            </w:pPr>
            <w:r w:rsidRPr="00576D60">
              <w:t>r 5.6.22</w:t>
            </w:r>
            <w:r w:rsidRPr="00576D60">
              <w:tab/>
            </w:r>
          </w:p>
        </w:tc>
        <w:tc>
          <w:tcPr>
            <w:tcW w:w="3500" w:type="pct"/>
            <w:shd w:val="clear" w:color="auto" w:fill="auto"/>
          </w:tcPr>
          <w:p w14:paraId="1143FAF3" w14:textId="77777777" w:rsidR="00E93F58" w:rsidRPr="00576D60" w:rsidRDefault="00E93F58" w:rsidP="002F32E3">
            <w:pPr>
              <w:pStyle w:val="ENoteTableText"/>
            </w:pPr>
            <w:r w:rsidRPr="00576D60">
              <w:t>rep F2016L01926</w:t>
            </w:r>
          </w:p>
        </w:tc>
      </w:tr>
      <w:tr w:rsidR="00E93F58" w:rsidRPr="00576D60" w14:paraId="777C68F7" w14:textId="77777777" w:rsidTr="002F32E3">
        <w:trPr>
          <w:cantSplit/>
        </w:trPr>
        <w:tc>
          <w:tcPr>
            <w:tcW w:w="1500" w:type="pct"/>
            <w:shd w:val="clear" w:color="auto" w:fill="auto"/>
          </w:tcPr>
          <w:p w14:paraId="0C659816" w14:textId="77777777" w:rsidR="00E93F58" w:rsidRPr="00576D60" w:rsidRDefault="00E93F58" w:rsidP="002F32E3">
            <w:pPr>
              <w:pStyle w:val="ENoteTableText"/>
              <w:tabs>
                <w:tab w:val="left" w:leader="dot" w:pos="2268"/>
              </w:tabs>
            </w:pPr>
            <w:r w:rsidRPr="00576D60">
              <w:t>r 5.6.23</w:t>
            </w:r>
            <w:r w:rsidRPr="00576D60">
              <w:tab/>
            </w:r>
          </w:p>
        </w:tc>
        <w:tc>
          <w:tcPr>
            <w:tcW w:w="3500" w:type="pct"/>
            <w:shd w:val="clear" w:color="auto" w:fill="auto"/>
          </w:tcPr>
          <w:p w14:paraId="3088499A" w14:textId="77777777" w:rsidR="00E93F58" w:rsidRPr="00576D60" w:rsidRDefault="00E93F58" w:rsidP="002F32E3">
            <w:pPr>
              <w:pStyle w:val="ENoteTableText"/>
            </w:pPr>
            <w:r w:rsidRPr="00576D60">
              <w:t>rep F2016L01926</w:t>
            </w:r>
          </w:p>
        </w:tc>
      </w:tr>
      <w:tr w:rsidR="00E93F58" w:rsidRPr="00576D60" w14:paraId="3CE956E9" w14:textId="77777777" w:rsidTr="002F32E3">
        <w:trPr>
          <w:cantSplit/>
        </w:trPr>
        <w:tc>
          <w:tcPr>
            <w:tcW w:w="1500" w:type="pct"/>
            <w:shd w:val="clear" w:color="auto" w:fill="auto"/>
          </w:tcPr>
          <w:p w14:paraId="7AD3CBA1" w14:textId="77777777" w:rsidR="00E93F58" w:rsidRPr="00576D60" w:rsidRDefault="00E93F58" w:rsidP="002F32E3">
            <w:pPr>
              <w:pStyle w:val="ENoteTableText"/>
              <w:tabs>
                <w:tab w:val="left" w:leader="dot" w:pos="2268"/>
              </w:tabs>
            </w:pPr>
            <w:r w:rsidRPr="00576D60">
              <w:t>r 5.6.23A</w:t>
            </w:r>
            <w:r w:rsidRPr="00576D60">
              <w:tab/>
            </w:r>
          </w:p>
        </w:tc>
        <w:tc>
          <w:tcPr>
            <w:tcW w:w="3500" w:type="pct"/>
            <w:shd w:val="clear" w:color="auto" w:fill="auto"/>
          </w:tcPr>
          <w:p w14:paraId="2A37E217" w14:textId="77777777" w:rsidR="00E93F58" w:rsidRPr="00576D60" w:rsidRDefault="00E93F58" w:rsidP="002F32E3">
            <w:pPr>
              <w:pStyle w:val="ENoteTableText"/>
            </w:pPr>
            <w:r w:rsidRPr="00576D60">
              <w:t>ad No 325, 2007</w:t>
            </w:r>
          </w:p>
        </w:tc>
      </w:tr>
      <w:tr w:rsidR="00E93F58" w:rsidRPr="00576D60" w14:paraId="50F96136" w14:textId="77777777" w:rsidTr="002F32E3">
        <w:trPr>
          <w:cantSplit/>
        </w:trPr>
        <w:tc>
          <w:tcPr>
            <w:tcW w:w="1500" w:type="pct"/>
            <w:shd w:val="clear" w:color="auto" w:fill="auto"/>
          </w:tcPr>
          <w:p w14:paraId="5EB7F838" w14:textId="77777777" w:rsidR="00E93F58" w:rsidRPr="00576D60" w:rsidRDefault="00E93F58" w:rsidP="002F32E3">
            <w:pPr>
              <w:pStyle w:val="ENoteTableText"/>
              <w:tabs>
                <w:tab w:val="left" w:leader="dot" w:pos="2268"/>
              </w:tabs>
            </w:pPr>
          </w:p>
        </w:tc>
        <w:tc>
          <w:tcPr>
            <w:tcW w:w="3500" w:type="pct"/>
            <w:shd w:val="clear" w:color="auto" w:fill="auto"/>
          </w:tcPr>
          <w:p w14:paraId="52BA526F" w14:textId="77777777" w:rsidR="00E93F58" w:rsidRPr="00576D60" w:rsidDel="0009394B" w:rsidRDefault="00E93F58" w:rsidP="002F32E3">
            <w:pPr>
              <w:pStyle w:val="ENoteTableText"/>
            </w:pPr>
            <w:r w:rsidRPr="00576D60">
              <w:t>rep F2016L01926</w:t>
            </w:r>
          </w:p>
        </w:tc>
      </w:tr>
      <w:tr w:rsidR="00E93F58" w:rsidRPr="00576D60" w14:paraId="1D17839F" w14:textId="77777777" w:rsidTr="002F32E3">
        <w:trPr>
          <w:cantSplit/>
        </w:trPr>
        <w:tc>
          <w:tcPr>
            <w:tcW w:w="1500" w:type="pct"/>
            <w:shd w:val="clear" w:color="auto" w:fill="auto"/>
          </w:tcPr>
          <w:p w14:paraId="0A133C3F" w14:textId="77777777" w:rsidR="00E93F58" w:rsidRPr="00576D60" w:rsidRDefault="00E93F58" w:rsidP="002F32E3">
            <w:pPr>
              <w:pStyle w:val="ENoteTableText"/>
              <w:tabs>
                <w:tab w:val="left" w:leader="dot" w:pos="2268"/>
              </w:tabs>
            </w:pPr>
            <w:r w:rsidRPr="00576D60">
              <w:t>r 5.6.24</w:t>
            </w:r>
            <w:r w:rsidRPr="00576D60">
              <w:tab/>
            </w:r>
          </w:p>
        </w:tc>
        <w:tc>
          <w:tcPr>
            <w:tcW w:w="3500" w:type="pct"/>
            <w:shd w:val="clear" w:color="auto" w:fill="auto"/>
          </w:tcPr>
          <w:p w14:paraId="1EFAF862" w14:textId="77777777" w:rsidR="00E93F58" w:rsidRPr="00576D60" w:rsidRDefault="00E93F58" w:rsidP="002F32E3">
            <w:pPr>
              <w:pStyle w:val="ENoteTableText"/>
            </w:pPr>
            <w:r w:rsidRPr="00576D60">
              <w:t>am No 325, 2007</w:t>
            </w:r>
          </w:p>
        </w:tc>
      </w:tr>
      <w:tr w:rsidR="00E93F58" w:rsidRPr="00576D60" w14:paraId="1941FA1C" w14:textId="77777777" w:rsidTr="002F32E3">
        <w:trPr>
          <w:cantSplit/>
        </w:trPr>
        <w:tc>
          <w:tcPr>
            <w:tcW w:w="1500" w:type="pct"/>
            <w:shd w:val="clear" w:color="auto" w:fill="auto"/>
          </w:tcPr>
          <w:p w14:paraId="2A213132" w14:textId="77777777" w:rsidR="00E93F58" w:rsidRPr="00576D60" w:rsidRDefault="00E93F58" w:rsidP="002F32E3">
            <w:pPr>
              <w:pStyle w:val="ENoteTableText"/>
              <w:tabs>
                <w:tab w:val="left" w:leader="dot" w:pos="2268"/>
              </w:tabs>
            </w:pPr>
          </w:p>
        </w:tc>
        <w:tc>
          <w:tcPr>
            <w:tcW w:w="3500" w:type="pct"/>
            <w:shd w:val="clear" w:color="auto" w:fill="auto"/>
          </w:tcPr>
          <w:p w14:paraId="56691B1D" w14:textId="77777777" w:rsidR="00E93F58" w:rsidRPr="00576D60" w:rsidDel="0009394B" w:rsidRDefault="00E93F58" w:rsidP="002F32E3">
            <w:pPr>
              <w:pStyle w:val="ENoteTableText"/>
            </w:pPr>
            <w:r w:rsidRPr="00576D60">
              <w:t>rep F2016L01926</w:t>
            </w:r>
          </w:p>
        </w:tc>
      </w:tr>
      <w:tr w:rsidR="00E93F58" w:rsidRPr="00576D60" w14:paraId="47BFDECF" w14:textId="77777777" w:rsidTr="002F32E3">
        <w:trPr>
          <w:cantSplit/>
        </w:trPr>
        <w:tc>
          <w:tcPr>
            <w:tcW w:w="1500" w:type="pct"/>
            <w:shd w:val="clear" w:color="auto" w:fill="auto"/>
          </w:tcPr>
          <w:p w14:paraId="1324BE18" w14:textId="77777777" w:rsidR="00E93F58" w:rsidRPr="00576D60" w:rsidRDefault="00E93F58" w:rsidP="002F32E3">
            <w:pPr>
              <w:pStyle w:val="ENoteTableText"/>
              <w:tabs>
                <w:tab w:val="left" w:leader="dot" w:pos="2268"/>
              </w:tabs>
            </w:pPr>
            <w:r w:rsidRPr="00576D60">
              <w:t>r 5.6.26</w:t>
            </w:r>
            <w:r w:rsidRPr="00576D60">
              <w:tab/>
            </w:r>
          </w:p>
        </w:tc>
        <w:tc>
          <w:tcPr>
            <w:tcW w:w="3500" w:type="pct"/>
            <w:shd w:val="clear" w:color="auto" w:fill="auto"/>
          </w:tcPr>
          <w:p w14:paraId="039D61DC" w14:textId="77777777" w:rsidR="00E93F58" w:rsidRPr="00576D60" w:rsidRDefault="00E93F58" w:rsidP="002F32E3">
            <w:pPr>
              <w:pStyle w:val="ENoteTableText"/>
            </w:pPr>
            <w:r w:rsidRPr="00576D60">
              <w:t>am No 325, 2007</w:t>
            </w:r>
          </w:p>
        </w:tc>
      </w:tr>
      <w:tr w:rsidR="00E93F58" w:rsidRPr="00576D60" w14:paraId="58665BA3" w14:textId="77777777" w:rsidTr="002F32E3">
        <w:trPr>
          <w:cantSplit/>
        </w:trPr>
        <w:tc>
          <w:tcPr>
            <w:tcW w:w="1500" w:type="pct"/>
            <w:shd w:val="clear" w:color="auto" w:fill="auto"/>
          </w:tcPr>
          <w:p w14:paraId="26D37348" w14:textId="77777777" w:rsidR="00E93F58" w:rsidRPr="00576D60" w:rsidRDefault="00E93F58" w:rsidP="002F32E3">
            <w:pPr>
              <w:pStyle w:val="ENoteTableText"/>
              <w:tabs>
                <w:tab w:val="left" w:leader="dot" w:pos="2268"/>
              </w:tabs>
            </w:pPr>
          </w:p>
        </w:tc>
        <w:tc>
          <w:tcPr>
            <w:tcW w:w="3500" w:type="pct"/>
            <w:shd w:val="clear" w:color="auto" w:fill="auto"/>
          </w:tcPr>
          <w:p w14:paraId="18FA60F5" w14:textId="77777777" w:rsidR="00E93F58" w:rsidRPr="00576D60" w:rsidDel="0009394B" w:rsidRDefault="00E93F58" w:rsidP="002F32E3">
            <w:pPr>
              <w:pStyle w:val="ENoteTableText"/>
            </w:pPr>
            <w:r w:rsidRPr="00576D60">
              <w:t>rep F2016L01926</w:t>
            </w:r>
          </w:p>
        </w:tc>
      </w:tr>
      <w:tr w:rsidR="00E93F58" w:rsidRPr="00576D60" w14:paraId="15018670" w14:textId="77777777" w:rsidTr="002F32E3">
        <w:trPr>
          <w:cantSplit/>
        </w:trPr>
        <w:tc>
          <w:tcPr>
            <w:tcW w:w="1500" w:type="pct"/>
            <w:shd w:val="clear" w:color="auto" w:fill="auto"/>
          </w:tcPr>
          <w:p w14:paraId="69D664BD" w14:textId="77777777" w:rsidR="00E93F58" w:rsidRPr="00576D60" w:rsidRDefault="00E93F58" w:rsidP="002F32E3">
            <w:pPr>
              <w:pStyle w:val="ENoteTableText"/>
              <w:tabs>
                <w:tab w:val="left" w:leader="dot" w:pos="2268"/>
              </w:tabs>
            </w:pPr>
            <w:r w:rsidRPr="00576D60">
              <w:t>r 5.6.27</w:t>
            </w:r>
            <w:r w:rsidRPr="00576D60">
              <w:tab/>
            </w:r>
          </w:p>
        </w:tc>
        <w:tc>
          <w:tcPr>
            <w:tcW w:w="3500" w:type="pct"/>
            <w:shd w:val="clear" w:color="auto" w:fill="auto"/>
          </w:tcPr>
          <w:p w14:paraId="60E38F69" w14:textId="77777777" w:rsidR="00E93F58" w:rsidRPr="00576D60" w:rsidRDefault="00E93F58" w:rsidP="002F32E3">
            <w:pPr>
              <w:pStyle w:val="ENoteTableText"/>
            </w:pPr>
            <w:r w:rsidRPr="00576D60">
              <w:t>am No 325, 2007</w:t>
            </w:r>
          </w:p>
        </w:tc>
      </w:tr>
      <w:tr w:rsidR="00E93F58" w:rsidRPr="00576D60" w14:paraId="39CB21B4" w14:textId="77777777" w:rsidTr="002F32E3">
        <w:trPr>
          <w:cantSplit/>
        </w:trPr>
        <w:tc>
          <w:tcPr>
            <w:tcW w:w="1500" w:type="pct"/>
            <w:shd w:val="clear" w:color="auto" w:fill="auto"/>
          </w:tcPr>
          <w:p w14:paraId="768F419D" w14:textId="77777777" w:rsidR="00E93F58" w:rsidRPr="00576D60" w:rsidRDefault="00E93F58" w:rsidP="002F32E3">
            <w:pPr>
              <w:pStyle w:val="ENoteTableText"/>
              <w:tabs>
                <w:tab w:val="left" w:leader="dot" w:pos="2268"/>
              </w:tabs>
            </w:pPr>
          </w:p>
        </w:tc>
        <w:tc>
          <w:tcPr>
            <w:tcW w:w="3500" w:type="pct"/>
            <w:shd w:val="clear" w:color="auto" w:fill="auto"/>
          </w:tcPr>
          <w:p w14:paraId="70D51673" w14:textId="77777777" w:rsidR="00E93F58" w:rsidRPr="00576D60" w:rsidDel="0009394B" w:rsidRDefault="00E93F58" w:rsidP="002F32E3">
            <w:pPr>
              <w:pStyle w:val="ENoteTableText"/>
            </w:pPr>
            <w:r w:rsidRPr="00576D60">
              <w:t>rep F2016L01926</w:t>
            </w:r>
          </w:p>
        </w:tc>
      </w:tr>
      <w:tr w:rsidR="00E93F58" w:rsidRPr="00576D60" w14:paraId="0C035DB3" w14:textId="77777777" w:rsidTr="002F32E3">
        <w:trPr>
          <w:cantSplit/>
        </w:trPr>
        <w:tc>
          <w:tcPr>
            <w:tcW w:w="1500" w:type="pct"/>
            <w:shd w:val="clear" w:color="auto" w:fill="auto"/>
          </w:tcPr>
          <w:p w14:paraId="40D8CDD5" w14:textId="77777777" w:rsidR="00E93F58" w:rsidRPr="00576D60" w:rsidRDefault="00E93F58" w:rsidP="002F32E3">
            <w:pPr>
              <w:pStyle w:val="ENoteTableText"/>
              <w:tabs>
                <w:tab w:val="left" w:leader="dot" w:pos="2268"/>
              </w:tabs>
            </w:pPr>
            <w:r w:rsidRPr="00576D60">
              <w:lastRenderedPageBreak/>
              <w:t>r 5.6.28</w:t>
            </w:r>
            <w:r w:rsidRPr="00576D60">
              <w:tab/>
            </w:r>
          </w:p>
        </w:tc>
        <w:tc>
          <w:tcPr>
            <w:tcW w:w="3500" w:type="pct"/>
            <w:shd w:val="clear" w:color="auto" w:fill="auto"/>
          </w:tcPr>
          <w:p w14:paraId="585D3D3E" w14:textId="77777777" w:rsidR="00E93F58" w:rsidRPr="00576D60" w:rsidRDefault="00E93F58" w:rsidP="002F32E3">
            <w:pPr>
              <w:pStyle w:val="ENoteTableText"/>
            </w:pPr>
            <w:r w:rsidRPr="00576D60">
              <w:t>am No 325, 2007</w:t>
            </w:r>
          </w:p>
        </w:tc>
      </w:tr>
      <w:tr w:rsidR="00E93F58" w:rsidRPr="00576D60" w14:paraId="1551B2B3" w14:textId="77777777" w:rsidTr="002F32E3">
        <w:trPr>
          <w:cantSplit/>
        </w:trPr>
        <w:tc>
          <w:tcPr>
            <w:tcW w:w="1500" w:type="pct"/>
            <w:shd w:val="clear" w:color="auto" w:fill="auto"/>
          </w:tcPr>
          <w:p w14:paraId="782E5E43" w14:textId="77777777" w:rsidR="00E93F58" w:rsidRPr="00576D60" w:rsidRDefault="00E93F58" w:rsidP="002F32E3">
            <w:pPr>
              <w:pStyle w:val="ENoteTableText"/>
              <w:tabs>
                <w:tab w:val="left" w:leader="dot" w:pos="2268"/>
              </w:tabs>
            </w:pPr>
          </w:p>
        </w:tc>
        <w:tc>
          <w:tcPr>
            <w:tcW w:w="3500" w:type="pct"/>
            <w:shd w:val="clear" w:color="auto" w:fill="auto"/>
          </w:tcPr>
          <w:p w14:paraId="25E3200F" w14:textId="77777777" w:rsidR="00E93F58" w:rsidRPr="00576D60" w:rsidDel="0009394B" w:rsidRDefault="00E93F58" w:rsidP="002F32E3">
            <w:pPr>
              <w:pStyle w:val="ENoteTableText"/>
            </w:pPr>
            <w:r w:rsidRPr="00576D60">
              <w:t>rep F2016L01926</w:t>
            </w:r>
          </w:p>
        </w:tc>
      </w:tr>
      <w:tr w:rsidR="00E93F58" w:rsidRPr="00576D60" w14:paraId="274A1847" w14:textId="77777777" w:rsidTr="002F32E3">
        <w:trPr>
          <w:cantSplit/>
        </w:trPr>
        <w:tc>
          <w:tcPr>
            <w:tcW w:w="1500" w:type="pct"/>
            <w:shd w:val="clear" w:color="auto" w:fill="auto"/>
          </w:tcPr>
          <w:p w14:paraId="7A4128EF" w14:textId="77777777" w:rsidR="00E93F58" w:rsidRPr="00576D60" w:rsidRDefault="00E93F58" w:rsidP="002F32E3">
            <w:pPr>
              <w:pStyle w:val="ENoteTableText"/>
              <w:tabs>
                <w:tab w:val="left" w:leader="dot" w:pos="2268"/>
              </w:tabs>
            </w:pPr>
            <w:r w:rsidRPr="00576D60">
              <w:t>r 5.6.29</w:t>
            </w:r>
            <w:r w:rsidRPr="00576D60">
              <w:tab/>
            </w:r>
          </w:p>
        </w:tc>
        <w:tc>
          <w:tcPr>
            <w:tcW w:w="3500" w:type="pct"/>
            <w:shd w:val="clear" w:color="auto" w:fill="auto"/>
          </w:tcPr>
          <w:p w14:paraId="30CC4399" w14:textId="77777777" w:rsidR="00E93F58" w:rsidRPr="00576D60" w:rsidRDefault="00E93F58" w:rsidP="002F32E3">
            <w:pPr>
              <w:pStyle w:val="ENoteTableText"/>
            </w:pPr>
            <w:r w:rsidRPr="00576D60">
              <w:t>rs No 325, 2007</w:t>
            </w:r>
          </w:p>
        </w:tc>
      </w:tr>
      <w:tr w:rsidR="00E93F58" w:rsidRPr="00576D60" w14:paraId="16F68316" w14:textId="77777777" w:rsidTr="002F32E3">
        <w:trPr>
          <w:cantSplit/>
        </w:trPr>
        <w:tc>
          <w:tcPr>
            <w:tcW w:w="1500" w:type="pct"/>
            <w:shd w:val="clear" w:color="auto" w:fill="auto"/>
          </w:tcPr>
          <w:p w14:paraId="60923182" w14:textId="77777777" w:rsidR="00E93F58" w:rsidRPr="00576D60" w:rsidRDefault="00E93F58" w:rsidP="002F32E3">
            <w:pPr>
              <w:pStyle w:val="ENoteTableText"/>
              <w:tabs>
                <w:tab w:val="left" w:leader="dot" w:pos="2268"/>
              </w:tabs>
            </w:pPr>
          </w:p>
        </w:tc>
        <w:tc>
          <w:tcPr>
            <w:tcW w:w="3500" w:type="pct"/>
            <w:shd w:val="clear" w:color="auto" w:fill="auto"/>
          </w:tcPr>
          <w:p w14:paraId="638240A2" w14:textId="77777777" w:rsidR="00E93F58" w:rsidRPr="00576D60" w:rsidDel="0009394B" w:rsidRDefault="00E93F58" w:rsidP="002F32E3">
            <w:pPr>
              <w:pStyle w:val="ENoteTableText"/>
            </w:pPr>
            <w:r w:rsidRPr="00576D60">
              <w:t>rep F2016L01926</w:t>
            </w:r>
          </w:p>
        </w:tc>
      </w:tr>
      <w:tr w:rsidR="00E93F58" w:rsidRPr="00576D60" w14:paraId="2C3E3421" w14:textId="77777777" w:rsidTr="002F32E3">
        <w:trPr>
          <w:cantSplit/>
        </w:trPr>
        <w:tc>
          <w:tcPr>
            <w:tcW w:w="1500" w:type="pct"/>
            <w:shd w:val="clear" w:color="auto" w:fill="auto"/>
          </w:tcPr>
          <w:p w14:paraId="0A0F9C9E" w14:textId="77777777" w:rsidR="00E93F58" w:rsidRPr="00576D60" w:rsidRDefault="00E93F58" w:rsidP="002F32E3">
            <w:pPr>
              <w:pStyle w:val="ENoteTableText"/>
              <w:tabs>
                <w:tab w:val="left" w:leader="dot" w:pos="2268"/>
              </w:tabs>
            </w:pPr>
            <w:r w:rsidRPr="00576D60">
              <w:t>r 5.6.30</w:t>
            </w:r>
            <w:r w:rsidRPr="00576D60">
              <w:tab/>
            </w:r>
          </w:p>
        </w:tc>
        <w:tc>
          <w:tcPr>
            <w:tcW w:w="3500" w:type="pct"/>
            <w:shd w:val="clear" w:color="auto" w:fill="auto"/>
          </w:tcPr>
          <w:p w14:paraId="13F800AA" w14:textId="77777777" w:rsidR="00E93F58" w:rsidRPr="00576D60" w:rsidRDefault="00E93F58" w:rsidP="002F32E3">
            <w:pPr>
              <w:pStyle w:val="ENoteTableText"/>
            </w:pPr>
            <w:r w:rsidRPr="00576D60">
              <w:t>rep F2016L01926</w:t>
            </w:r>
          </w:p>
        </w:tc>
      </w:tr>
      <w:tr w:rsidR="00E93F58" w:rsidRPr="00576D60" w14:paraId="0E9BD06E" w14:textId="77777777" w:rsidTr="002F32E3">
        <w:trPr>
          <w:cantSplit/>
        </w:trPr>
        <w:tc>
          <w:tcPr>
            <w:tcW w:w="1500" w:type="pct"/>
            <w:shd w:val="clear" w:color="auto" w:fill="auto"/>
          </w:tcPr>
          <w:p w14:paraId="69629C92" w14:textId="77777777" w:rsidR="00E93F58" w:rsidRPr="00576D60" w:rsidRDefault="00E93F58" w:rsidP="0009217A">
            <w:pPr>
              <w:pStyle w:val="ENoteTableText"/>
              <w:tabs>
                <w:tab w:val="left" w:leader="dot" w:pos="2268"/>
              </w:tabs>
            </w:pPr>
            <w:r w:rsidRPr="00576D60">
              <w:t>r 5.6.31</w:t>
            </w:r>
            <w:r w:rsidRPr="00576D60">
              <w:tab/>
            </w:r>
          </w:p>
        </w:tc>
        <w:tc>
          <w:tcPr>
            <w:tcW w:w="3500" w:type="pct"/>
            <w:shd w:val="clear" w:color="auto" w:fill="auto"/>
          </w:tcPr>
          <w:p w14:paraId="071D6AEE" w14:textId="77777777" w:rsidR="00E93F58" w:rsidRPr="00576D60" w:rsidRDefault="00E93F58" w:rsidP="002F32E3">
            <w:pPr>
              <w:pStyle w:val="ENoteTableText"/>
            </w:pPr>
            <w:r w:rsidRPr="00576D60">
              <w:t>am No 325, 2007</w:t>
            </w:r>
          </w:p>
        </w:tc>
      </w:tr>
      <w:tr w:rsidR="00E93F58" w:rsidRPr="00576D60" w14:paraId="0E474151" w14:textId="77777777" w:rsidTr="002F32E3">
        <w:trPr>
          <w:cantSplit/>
        </w:trPr>
        <w:tc>
          <w:tcPr>
            <w:tcW w:w="1500" w:type="pct"/>
            <w:shd w:val="clear" w:color="auto" w:fill="auto"/>
          </w:tcPr>
          <w:p w14:paraId="0A97C6A2" w14:textId="77777777" w:rsidR="00E93F58" w:rsidRPr="00576D60" w:rsidRDefault="00E93F58" w:rsidP="002F32E3">
            <w:pPr>
              <w:pStyle w:val="ENoteTableText"/>
              <w:tabs>
                <w:tab w:val="left" w:leader="dot" w:pos="2268"/>
              </w:tabs>
            </w:pPr>
          </w:p>
        </w:tc>
        <w:tc>
          <w:tcPr>
            <w:tcW w:w="3500" w:type="pct"/>
            <w:shd w:val="clear" w:color="auto" w:fill="auto"/>
          </w:tcPr>
          <w:p w14:paraId="7BABF0F1" w14:textId="77777777" w:rsidR="00E93F58" w:rsidRPr="00576D60" w:rsidDel="0009394B" w:rsidRDefault="00E93F58" w:rsidP="002F32E3">
            <w:pPr>
              <w:pStyle w:val="ENoteTableText"/>
            </w:pPr>
            <w:r w:rsidRPr="00576D60">
              <w:t>rep F2016L01926</w:t>
            </w:r>
          </w:p>
        </w:tc>
      </w:tr>
      <w:tr w:rsidR="00E93F58" w:rsidRPr="00576D60" w14:paraId="3F2DF09A" w14:textId="77777777" w:rsidTr="002F32E3">
        <w:trPr>
          <w:cantSplit/>
        </w:trPr>
        <w:tc>
          <w:tcPr>
            <w:tcW w:w="1500" w:type="pct"/>
            <w:shd w:val="clear" w:color="auto" w:fill="auto"/>
          </w:tcPr>
          <w:p w14:paraId="5EA18C54" w14:textId="77777777" w:rsidR="00E93F58" w:rsidRPr="00576D60" w:rsidRDefault="00E93F58" w:rsidP="002F32E3">
            <w:pPr>
              <w:pStyle w:val="ENoteTableText"/>
              <w:tabs>
                <w:tab w:val="left" w:leader="dot" w:pos="2268"/>
              </w:tabs>
            </w:pPr>
            <w:r w:rsidRPr="00576D60">
              <w:t>r 5.6.31A</w:t>
            </w:r>
            <w:r w:rsidRPr="00576D60">
              <w:tab/>
            </w:r>
          </w:p>
        </w:tc>
        <w:tc>
          <w:tcPr>
            <w:tcW w:w="3500" w:type="pct"/>
            <w:shd w:val="clear" w:color="auto" w:fill="auto"/>
          </w:tcPr>
          <w:p w14:paraId="76914C6D" w14:textId="77777777" w:rsidR="00E93F58" w:rsidRPr="00576D60" w:rsidRDefault="00E93F58" w:rsidP="002F32E3">
            <w:pPr>
              <w:pStyle w:val="ENoteTableText"/>
            </w:pPr>
            <w:r w:rsidRPr="00576D60">
              <w:t>rep F2016L01926</w:t>
            </w:r>
          </w:p>
        </w:tc>
      </w:tr>
      <w:tr w:rsidR="00E93F58" w:rsidRPr="00576D60" w14:paraId="18738341" w14:textId="77777777" w:rsidTr="002F32E3">
        <w:trPr>
          <w:cantSplit/>
        </w:trPr>
        <w:tc>
          <w:tcPr>
            <w:tcW w:w="1500" w:type="pct"/>
            <w:shd w:val="clear" w:color="auto" w:fill="auto"/>
          </w:tcPr>
          <w:p w14:paraId="60741949" w14:textId="77777777" w:rsidR="00E93F58" w:rsidRPr="00576D60" w:rsidRDefault="00E93F58" w:rsidP="002F32E3">
            <w:pPr>
              <w:pStyle w:val="ENoteTableText"/>
              <w:tabs>
                <w:tab w:val="left" w:leader="dot" w:pos="2268"/>
              </w:tabs>
            </w:pPr>
            <w:r w:rsidRPr="00576D60">
              <w:t>r 5.6.32</w:t>
            </w:r>
            <w:r w:rsidRPr="00576D60">
              <w:tab/>
            </w:r>
          </w:p>
        </w:tc>
        <w:tc>
          <w:tcPr>
            <w:tcW w:w="3500" w:type="pct"/>
            <w:shd w:val="clear" w:color="auto" w:fill="auto"/>
          </w:tcPr>
          <w:p w14:paraId="60FB0173" w14:textId="77777777" w:rsidR="00E93F58" w:rsidRPr="00576D60" w:rsidRDefault="00E93F58" w:rsidP="002F32E3">
            <w:pPr>
              <w:pStyle w:val="ENoteTableText"/>
            </w:pPr>
            <w:r w:rsidRPr="00576D60">
              <w:t>rep F2016L01926</w:t>
            </w:r>
          </w:p>
        </w:tc>
      </w:tr>
      <w:tr w:rsidR="00E93F58" w:rsidRPr="00576D60" w14:paraId="3E6175B3" w14:textId="77777777" w:rsidTr="002F32E3">
        <w:trPr>
          <w:cantSplit/>
        </w:trPr>
        <w:tc>
          <w:tcPr>
            <w:tcW w:w="1500" w:type="pct"/>
            <w:shd w:val="clear" w:color="auto" w:fill="auto"/>
          </w:tcPr>
          <w:p w14:paraId="227F0C5D" w14:textId="77777777" w:rsidR="00E93F58" w:rsidRPr="00576D60" w:rsidRDefault="00E93F58" w:rsidP="002F32E3">
            <w:pPr>
              <w:pStyle w:val="ENoteTableText"/>
              <w:tabs>
                <w:tab w:val="left" w:leader="dot" w:pos="2268"/>
              </w:tabs>
            </w:pPr>
            <w:r w:rsidRPr="00576D60">
              <w:t>r 5.6.33</w:t>
            </w:r>
            <w:r w:rsidRPr="00576D60">
              <w:tab/>
            </w:r>
          </w:p>
        </w:tc>
        <w:tc>
          <w:tcPr>
            <w:tcW w:w="3500" w:type="pct"/>
            <w:shd w:val="clear" w:color="auto" w:fill="auto"/>
          </w:tcPr>
          <w:p w14:paraId="7F0A04A7" w14:textId="77777777" w:rsidR="00E93F58" w:rsidRPr="00576D60" w:rsidRDefault="00E93F58" w:rsidP="002F32E3">
            <w:pPr>
              <w:pStyle w:val="ENoteTableText"/>
            </w:pPr>
            <w:r w:rsidRPr="00576D60">
              <w:t>rs No 325, 2007</w:t>
            </w:r>
          </w:p>
        </w:tc>
      </w:tr>
      <w:tr w:rsidR="00E93F58" w:rsidRPr="00576D60" w14:paraId="68DB0FBE" w14:textId="77777777" w:rsidTr="002F32E3">
        <w:trPr>
          <w:cantSplit/>
        </w:trPr>
        <w:tc>
          <w:tcPr>
            <w:tcW w:w="1500" w:type="pct"/>
            <w:shd w:val="clear" w:color="auto" w:fill="auto"/>
          </w:tcPr>
          <w:p w14:paraId="3BED37C2" w14:textId="77777777" w:rsidR="00E93F58" w:rsidRPr="00576D60" w:rsidRDefault="00E93F58" w:rsidP="002F32E3">
            <w:pPr>
              <w:pStyle w:val="ENoteTableText"/>
              <w:tabs>
                <w:tab w:val="left" w:leader="dot" w:pos="2268"/>
              </w:tabs>
            </w:pPr>
          </w:p>
        </w:tc>
        <w:tc>
          <w:tcPr>
            <w:tcW w:w="3500" w:type="pct"/>
            <w:shd w:val="clear" w:color="auto" w:fill="auto"/>
          </w:tcPr>
          <w:p w14:paraId="1680DE41" w14:textId="77777777" w:rsidR="00E93F58" w:rsidRPr="00576D60" w:rsidDel="0009394B" w:rsidRDefault="00E93F58" w:rsidP="002F32E3">
            <w:pPr>
              <w:pStyle w:val="ENoteTableText"/>
            </w:pPr>
            <w:r w:rsidRPr="00576D60">
              <w:t>rep F2016L01926</w:t>
            </w:r>
          </w:p>
        </w:tc>
      </w:tr>
      <w:tr w:rsidR="00E93F58" w:rsidRPr="00576D60" w14:paraId="653CF32D" w14:textId="77777777" w:rsidTr="002F32E3">
        <w:trPr>
          <w:cantSplit/>
        </w:trPr>
        <w:tc>
          <w:tcPr>
            <w:tcW w:w="1500" w:type="pct"/>
            <w:shd w:val="clear" w:color="auto" w:fill="auto"/>
          </w:tcPr>
          <w:p w14:paraId="36F7EBB4" w14:textId="77777777" w:rsidR="00E93F58" w:rsidRPr="00576D60" w:rsidRDefault="00E93F58" w:rsidP="002F32E3">
            <w:pPr>
              <w:pStyle w:val="ENoteTableText"/>
              <w:tabs>
                <w:tab w:val="left" w:leader="dot" w:pos="2268"/>
              </w:tabs>
            </w:pPr>
            <w:r w:rsidRPr="00576D60">
              <w:t>r 5.6.34</w:t>
            </w:r>
            <w:r w:rsidRPr="00576D60">
              <w:tab/>
            </w:r>
          </w:p>
        </w:tc>
        <w:tc>
          <w:tcPr>
            <w:tcW w:w="3500" w:type="pct"/>
            <w:shd w:val="clear" w:color="auto" w:fill="auto"/>
          </w:tcPr>
          <w:p w14:paraId="601A1FA5" w14:textId="77777777" w:rsidR="00E93F58" w:rsidRPr="00576D60" w:rsidRDefault="00E93F58" w:rsidP="002F32E3">
            <w:pPr>
              <w:pStyle w:val="ENoteTableText"/>
            </w:pPr>
            <w:r w:rsidRPr="00576D60">
              <w:t>rep F2016L01926</w:t>
            </w:r>
          </w:p>
        </w:tc>
      </w:tr>
      <w:tr w:rsidR="00E93F58" w:rsidRPr="00576D60" w14:paraId="20FC6A5B" w14:textId="77777777" w:rsidTr="002F32E3">
        <w:trPr>
          <w:cantSplit/>
        </w:trPr>
        <w:tc>
          <w:tcPr>
            <w:tcW w:w="1500" w:type="pct"/>
            <w:shd w:val="clear" w:color="auto" w:fill="auto"/>
          </w:tcPr>
          <w:p w14:paraId="6E49F750" w14:textId="77777777" w:rsidR="00E93F58" w:rsidRPr="00576D60" w:rsidRDefault="00E93F58" w:rsidP="002F32E3">
            <w:pPr>
              <w:pStyle w:val="ENoteTableText"/>
              <w:tabs>
                <w:tab w:val="left" w:leader="dot" w:pos="2268"/>
              </w:tabs>
            </w:pPr>
            <w:r w:rsidRPr="00576D60">
              <w:t>r 5.6.36</w:t>
            </w:r>
            <w:r w:rsidRPr="00576D60">
              <w:tab/>
            </w:r>
          </w:p>
        </w:tc>
        <w:tc>
          <w:tcPr>
            <w:tcW w:w="3500" w:type="pct"/>
            <w:shd w:val="clear" w:color="auto" w:fill="auto"/>
          </w:tcPr>
          <w:p w14:paraId="26A19C78" w14:textId="77777777" w:rsidR="00E93F58" w:rsidRPr="00576D60" w:rsidRDefault="00E93F58" w:rsidP="002F32E3">
            <w:pPr>
              <w:pStyle w:val="ENoteTableText"/>
            </w:pPr>
            <w:r w:rsidRPr="00576D60">
              <w:t>rep F2016L01926</w:t>
            </w:r>
          </w:p>
        </w:tc>
      </w:tr>
      <w:tr w:rsidR="00E93F58" w:rsidRPr="00576D60" w14:paraId="2AE6FC51" w14:textId="77777777" w:rsidTr="002F32E3">
        <w:trPr>
          <w:cantSplit/>
        </w:trPr>
        <w:tc>
          <w:tcPr>
            <w:tcW w:w="1500" w:type="pct"/>
            <w:shd w:val="clear" w:color="auto" w:fill="auto"/>
          </w:tcPr>
          <w:p w14:paraId="0E88F8D5" w14:textId="77777777" w:rsidR="00E93F58" w:rsidRPr="00576D60" w:rsidRDefault="00E93F58" w:rsidP="002F32E3">
            <w:pPr>
              <w:pStyle w:val="ENoteTableText"/>
              <w:tabs>
                <w:tab w:val="left" w:leader="dot" w:pos="2268"/>
              </w:tabs>
            </w:pPr>
            <w:r w:rsidRPr="00576D60">
              <w:t>r 5.6.36A</w:t>
            </w:r>
            <w:r w:rsidRPr="00576D60">
              <w:tab/>
            </w:r>
          </w:p>
        </w:tc>
        <w:tc>
          <w:tcPr>
            <w:tcW w:w="3500" w:type="pct"/>
            <w:shd w:val="clear" w:color="auto" w:fill="auto"/>
          </w:tcPr>
          <w:p w14:paraId="37BEB9B4" w14:textId="77777777" w:rsidR="00E93F58" w:rsidRPr="00576D60" w:rsidRDefault="00E93F58" w:rsidP="002F32E3">
            <w:pPr>
              <w:pStyle w:val="ENoteTableText"/>
            </w:pPr>
            <w:r w:rsidRPr="00576D60">
              <w:t>rep F2016L01926</w:t>
            </w:r>
          </w:p>
        </w:tc>
      </w:tr>
      <w:tr w:rsidR="00E93F58" w:rsidRPr="00576D60" w14:paraId="2B59ACAA" w14:textId="77777777" w:rsidTr="002F32E3">
        <w:trPr>
          <w:cantSplit/>
        </w:trPr>
        <w:tc>
          <w:tcPr>
            <w:tcW w:w="1500" w:type="pct"/>
            <w:shd w:val="clear" w:color="auto" w:fill="auto"/>
          </w:tcPr>
          <w:p w14:paraId="7A6A85AA" w14:textId="77777777" w:rsidR="00E93F58" w:rsidRPr="00576D60" w:rsidRDefault="00E93F58" w:rsidP="0041146A">
            <w:pPr>
              <w:pStyle w:val="ENoteTableText"/>
              <w:tabs>
                <w:tab w:val="left" w:leader="dot" w:pos="2268"/>
              </w:tabs>
            </w:pPr>
            <w:r w:rsidRPr="00576D60">
              <w:t>r 5.6.39</w:t>
            </w:r>
            <w:r w:rsidRPr="00576D60">
              <w:tab/>
            </w:r>
          </w:p>
        </w:tc>
        <w:tc>
          <w:tcPr>
            <w:tcW w:w="3500" w:type="pct"/>
            <w:shd w:val="clear" w:color="auto" w:fill="auto"/>
          </w:tcPr>
          <w:p w14:paraId="6396CD95" w14:textId="77777777" w:rsidR="00E93F58" w:rsidRPr="00576D60" w:rsidRDefault="00E93F58" w:rsidP="0041146A">
            <w:pPr>
              <w:pStyle w:val="ENoteTableText"/>
            </w:pPr>
            <w:r w:rsidRPr="00576D60">
              <w:t>am No 114, 2012; F2020L01654; F2022L00469</w:t>
            </w:r>
          </w:p>
        </w:tc>
      </w:tr>
      <w:tr w:rsidR="00E93F58" w:rsidRPr="00576D60" w14:paraId="726F0DDA" w14:textId="77777777" w:rsidTr="002F32E3">
        <w:trPr>
          <w:cantSplit/>
        </w:trPr>
        <w:tc>
          <w:tcPr>
            <w:tcW w:w="1500" w:type="pct"/>
            <w:shd w:val="clear" w:color="auto" w:fill="auto"/>
          </w:tcPr>
          <w:p w14:paraId="2A41BFF0" w14:textId="77777777" w:rsidR="00E93F58" w:rsidRPr="00576D60" w:rsidRDefault="00E93F58" w:rsidP="0041146A">
            <w:pPr>
              <w:pStyle w:val="ENoteTableText"/>
              <w:tabs>
                <w:tab w:val="left" w:leader="dot" w:pos="2268"/>
              </w:tabs>
            </w:pPr>
            <w:r w:rsidRPr="00576D60">
              <w:t>r 5.6.43A</w:t>
            </w:r>
            <w:r w:rsidRPr="00576D60">
              <w:tab/>
            </w:r>
          </w:p>
        </w:tc>
        <w:tc>
          <w:tcPr>
            <w:tcW w:w="3500" w:type="pct"/>
            <w:shd w:val="clear" w:color="auto" w:fill="auto"/>
          </w:tcPr>
          <w:p w14:paraId="376D2D49" w14:textId="77777777" w:rsidR="00E93F58" w:rsidRPr="00576D60" w:rsidRDefault="00E93F58" w:rsidP="0041146A">
            <w:pPr>
              <w:pStyle w:val="ENoteTableText"/>
            </w:pPr>
            <w:r w:rsidRPr="00576D60">
              <w:t>am F2022L01689</w:t>
            </w:r>
          </w:p>
        </w:tc>
      </w:tr>
      <w:tr w:rsidR="00E93F58" w:rsidRPr="00576D60" w14:paraId="2841C213" w14:textId="77777777" w:rsidTr="002F32E3">
        <w:trPr>
          <w:cantSplit/>
        </w:trPr>
        <w:tc>
          <w:tcPr>
            <w:tcW w:w="1500" w:type="pct"/>
            <w:shd w:val="clear" w:color="auto" w:fill="auto"/>
          </w:tcPr>
          <w:p w14:paraId="29735736" w14:textId="77777777" w:rsidR="00E93F58" w:rsidRPr="00576D60" w:rsidRDefault="00E93F58" w:rsidP="00F971F3">
            <w:pPr>
              <w:pStyle w:val="ENoteTableText"/>
              <w:tabs>
                <w:tab w:val="left" w:leader="dot" w:pos="2268"/>
              </w:tabs>
            </w:pPr>
            <w:r w:rsidRPr="00576D60">
              <w:t>r 5.6.48</w:t>
            </w:r>
            <w:r w:rsidRPr="00576D60">
              <w:tab/>
            </w:r>
          </w:p>
        </w:tc>
        <w:tc>
          <w:tcPr>
            <w:tcW w:w="3500" w:type="pct"/>
            <w:shd w:val="clear" w:color="auto" w:fill="auto"/>
          </w:tcPr>
          <w:p w14:paraId="48E58590" w14:textId="77777777" w:rsidR="00E93F58" w:rsidRPr="00576D60" w:rsidRDefault="00E93F58" w:rsidP="00460E6C">
            <w:pPr>
              <w:pStyle w:val="ENoteTableText"/>
              <w:rPr>
                <w:u w:val="single"/>
              </w:rPr>
            </w:pPr>
            <w:r w:rsidRPr="00576D60">
              <w:t>am No 325, 2007; No 114, 2012; F2020L01654; F2022L00469</w:t>
            </w:r>
          </w:p>
        </w:tc>
      </w:tr>
      <w:tr w:rsidR="00E93F58" w:rsidRPr="00576D60" w14:paraId="5E91A745" w14:textId="77777777" w:rsidTr="002F32E3">
        <w:trPr>
          <w:cantSplit/>
        </w:trPr>
        <w:tc>
          <w:tcPr>
            <w:tcW w:w="1500" w:type="pct"/>
            <w:shd w:val="clear" w:color="auto" w:fill="auto"/>
          </w:tcPr>
          <w:p w14:paraId="7DBF27CB" w14:textId="77777777" w:rsidR="00E93F58" w:rsidRPr="00576D60" w:rsidRDefault="00E93F58" w:rsidP="002F32E3">
            <w:pPr>
              <w:pStyle w:val="ENoteTableText"/>
              <w:tabs>
                <w:tab w:val="left" w:leader="dot" w:pos="2268"/>
              </w:tabs>
            </w:pPr>
            <w:r w:rsidRPr="00576D60">
              <w:t>r 5.6.53</w:t>
            </w:r>
            <w:r w:rsidRPr="00576D60">
              <w:tab/>
            </w:r>
          </w:p>
        </w:tc>
        <w:tc>
          <w:tcPr>
            <w:tcW w:w="3500" w:type="pct"/>
            <w:shd w:val="clear" w:color="auto" w:fill="auto"/>
          </w:tcPr>
          <w:p w14:paraId="29668F3C" w14:textId="77777777" w:rsidR="00E93F58" w:rsidRPr="00576D60" w:rsidRDefault="00E93F58" w:rsidP="000704DA">
            <w:pPr>
              <w:pStyle w:val="ENoteTableText"/>
            </w:pPr>
            <w:r w:rsidRPr="00576D60">
              <w:t>am No 325, 2007; F2020L01654</w:t>
            </w:r>
          </w:p>
        </w:tc>
      </w:tr>
      <w:tr w:rsidR="00E93F58" w:rsidRPr="00576D60" w14:paraId="28FAA914" w14:textId="77777777" w:rsidTr="002F32E3">
        <w:trPr>
          <w:cantSplit/>
        </w:trPr>
        <w:tc>
          <w:tcPr>
            <w:tcW w:w="1500" w:type="pct"/>
            <w:shd w:val="clear" w:color="auto" w:fill="auto"/>
          </w:tcPr>
          <w:p w14:paraId="14CADDEE" w14:textId="77777777" w:rsidR="00E93F58" w:rsidRPr="00576D60" w:rsidRDefault="00E93F58" w:rsidP="002C78A0">
            <w:pPr>
              <w:pStyle w:val="ENoteTableText"/>
              <w:tabs>
                <w:tab w:val="left" w:leader="dot" w:pos="2268"/>
              </w:tabs>
            </w:pPr>
            <w:r w:rsidRPr="00576D60">
              <w:t>r 5.6.54</w:t>
            </w:r>
            <w:r w:rsidRPr="00576D60">
              <w:tab/>
            </w:r>
          </w:p>
        </w:tc>
        <w:tc>
          <w:tcPr>
            <w:tcW w:w="3500" w:type="pct"/>
            <w:shd w:val="clear" w:color="auto" w:fill="auto"/>
          </w:tcPr>
          <w:p w14:paraId="45B0C176" w14:textId="77777777" w:rsidR="00E93F58" w:rsidRPr="00576D60" w:rsidRDefault="00E93F58" w:rsidP="002C78A0">
            <w:pPr>
              <w:pStyle w:val="ENoteTableText"/>
            </w:pPr>
            <w:r w:rsidRPr="00576D60">
              <w:t>am No 325, 2007; F2020L01654</w:t>
            </w:r>
          </w:p>
        </w:tc>
      </w:tr>
      <w:tr w:rsidR="00E93F58" w:rsidRPr="00576D60" w14:paraId="1920F943" w14:textId="77777777" w:rsidTr="002F32E3">
        <w:trPr>
          <w:cantSplit/>
        </w:trPr>
        <w:tc>
          <w:tcPr>
            <w:tcW w:w="1500" w:type="pct"/>
            <w:shd w:val="clear" w:color="auto" w:fill="auto"/>
          </w:tcPr>
          <w:p w14:paraId="33353C9B" w14:textId="77777777" w:rsidR="00E93F58" w:rsidRPr="00576D60" w:rsidRDefault="00E93F58" w:rsidP="002C78A0">
            <w:pPr>
              <w:pStyle w:val="ENoteTableText"/>
              <w:tabs>
                <w:tab w:val="left" w:leader="dot" w:pos="2268"/>
              </w:tabs>
            </w:pPr>
            <w:r w:rsidRPr="00576D60">
              <w:t>r 5.6.55</w:t>
            </w:r>
            <w:r w:rsidRPr="00576D60">
              <w:tab/>
            </w:r>
          </w:p>
        </w:tc>
        <w:tc>
          <w:tcPr>
            <w:tcW w:w="3500" w:type="pct"/>
            <w:shd w:val="clear" w:color="auto" w:fill="auto"/>
          </w:tcPr>
          <w:p w14:paraId="1C62E612" w14:textId="77777777" w:rsidR="00E93F58" w:rsidRPr="00576D60" w:rsidRDefault="00E93F58" w:rsidP="002C78A0">
            <w:pPr>
              <w:pStyle w:val="ENoteTableText"/>
            </w:pPr>
            <w:r w:rsidRPr="00576D60">
              <w:t>am No 325, 2007; F2020L01654</w:t>
            </w:r>
          </w:p>
        </w:tc>
      </w:tr>
      <w:tr w:rsidR="00E93F58" w:rsidRPr="00576D60" w14:paraId="489F0DDF" w14:textId="77777777" w:rsidTr="002F32E3">
        <w:trPr>
          <w:cantSplit/>
        </w:trPr>
        <w:tc>
          <w:tcPr>
            <w:tcW w:w="1500" w:type="pct"/>
            <w:shd w:val="clear" w:color="auto" w:fill="auto"/>
          </w:tcPr>
          <w:p w14:paraId="21074613" w14:textId="77777777" w:rsidR="00E93F58" w:rsidRPr="00576D60" w:rsidRDefault="00E93F58" w:rsidP="002C78A0">
            <w:pPr>
              <w:pStyle w:val="ENoteTableText"/>
              <w:tabs>
                <w:tab w:val="left" w:leader="dot" w:pos="2268"/>
              </w:tabs>
            </w:pPr>
            <w:r w:rsidRPr="00576D60">
              <w:t>r 5.6.59</w:t>
            </w:r>
            <w:r w:rsidRPr="00576D60">
              <w:tab/>
            </w:r>
          </w:p>
        </w:tc>
        <w:tc>
          <w:tcPr>
            <w:tcW w:w="3500" w:type="pct"/>
            <w:shd w:val="clear" w:color="auto" w:fill="auto"/>
          </w:tcPr>
          <w:p w14:paraId="2F180C5D" w14:textId="77777777" w:rsidR="00E93F58" w:rsidRPr="00576D60" w:rsidRDefault="00E93F58" w:rsidP="002C78A0">
            <w:pPr>
              <w:pStyle w:val="ENoteTableText"/>
            </w:pPr>
            <w:r w:rsidRPr="00576D60">
              <w:t>am No 399, 2004; No 325, 2007; F2020L01654</w:t>
            </w:r>
          </w:p>
        </w:tc>
      </w:tr>
      <w:tr w:rsidR="00E93F58" w:rsidRPr="00576D60" w14:paraId="040EA774" w14:textId="77777777" w:rsidTr="002F32E3">
        <w:trPr>
          <w:cantSplit/>
        </w:trPr>
        <w:tc>
          <w:tcPr>
            <w:tcW w:w="1500" w:type="pct"/>
            <w:shd w:val="clear" w:color="auto" w:fill="auto"/>
          </w:tcPr>
          <w:p w14:paraId="18E405CC" w14:textId="77777777" w:rsidR="00E93F58" w:rsidRPr="00576D60" w:rsidRDefault="00E93F58" w:rsidP="002C78A0">
            <w:pPr>
              <w:pStyle w:val="ENoteTableText"/>
              <w:tabs>
                <w:tab w:val="left" w:leader="dot" w:pos="2268"/>
              </w:tabs>
            </w:pPr>
            <w:r w:rsidRPr="00576D60">
              <w:t>r 5.6.62</w:t>
            </w:r>
            <w:r w:rsidRPr="00576D60">
              <w:tab/>
            </w:r>
          </w:p>
        </w:tc>
        <w:tc>
          <w:tcPr>
            <w:tcW w:w="3500" w:type="pct"/>
            <w:shd w:val="clear" w:color="auto" w:fill="auto"/>
          </w:tcPr>
          <w:p w14:paraId="7EBF1828" w14:textId="77777777" w:rsidR="00E93F58" w:rsidRPr="00576D60" w:rsidRDefault="00E93F58" w:rsidP="002C78A0">
            <w:pPr>
              <w:pStyle w:val="ENoteTableText"/>
            </w:pPr>
            <w:r w:rsidRPr="00576D60">
              <w:t>am No 399, 2004; F2020L01654</w:t>
            </w:r>
          </w:p>
        </w:tc>
      </w:tr>
      <w:tr w:rsidR="00E93F58" w:rsidRPr="00576D60" w14:paraId="23A42DCD" w14:textId="77777777" w:rsidTr="002F32E3">
        <w:trPr>
          <w:cantSplit/>
        </w:trPr>
        <w:tc>
          <w:tcPr>
            <w:tcW w:w="1500" w:type="pct"/>
            <w:shd w:val="clear" w:color="auto" w:fill="auto"/>
          </w:tcPr>
          <w:p w14:paraId="413AB66D" w14:textId="77777777" w:rsidR="00E93F58" w:rsidRPr="00576D60" w:rsidRDefault="00E93F58" w:rsidP="002F32E3">
            <w:pPr>
              <w:pStyle w:val="ENoteTableText"/>
              <w:tabs>
                <w:tab w:val="left" w:leader="dot" w:pos="2268"/>
              </w:tabs>
            </w:pPr>
            <w:r w:rsidRPr="00576D60">
              <w:t>r 5.6.65</w:t>
            </w:r>
            <w:r w:rsidRPr="00576D60">
              <w:tab/>
            </w:r>
          </w:p>
        </w:tc>
        <w:tc>
          <w:tcPr>
            <w:tcW w:w="3500" w:type="pct"/>
            <w:shd w:val="clear" w:color="auto" w:fill="auto"/>
          </w:tcPr>
          <w:p w14:paraId="047550AA" w14:textId="77777777" w:rsidR="00E93F58" w:rsidRPr="00576D60" w:rsidRDefault="00E93F58" w:rsidP="00460E6C">
            <w:pPr>
              <w:pStyle w:val="ENoteTableText"/>
              <w:rPr>
                <w:u w:val="single"/>
              </w:rPr>
            </w:pPr>
            <w:r w:rsidRPr="00576D60">
              <w:t>am No 325, 2007; No 114, 2012; F2016L01926; F2020L01654; F2022L00469</w:t>
            </w:r>
          </w:p>
        </w:tc>
      </w:tr>
      <w:tr w:rsidR="00E93F58" w:rsidRPr="00576D60" w14:paraId="7944C413" w14:textId="77777777" w:rsidTr="002F32E3">
        <w:trPr>
          <w:cantSplit/>
        </w:trPr>
        <w:tc>
          <w:tcPr>
            <w:tcW w:w="1500" w:type="pct"/>
            <w:shd w:val="clear" w:color="auto" w:fill="auto"/>
          </w:tcPr>
          <w:p w14:paraId="6C7DD31C" w14:textId="77777777" w:rsidR="00E93F58" w:rsidRPr="00576D60" w:rsidRDefault="00E93F58" w:rsidP="002F32E3">
            <w:pPr>
              <w:pStyle w:val="ENoteTableText"/>
              <w:tabs>
                <w:tab w:val="left" w:leader="dot" w:pos="2268"/>
              </w:tabs>
            </w:pPr>
            <w:r w:rsidRPr="00576D60">
              <w:t>r 5.6.66</w:t>
            </w:r>
            <w:r w:rsidRPr="00576D60">
              <w:tab/>
            </w:r>
          </w:p>
        </w:tc>
        <w:tc>
          <w:tcPr>
            <w:tcW w:w="3500" w:type="pct"/>
            <w:shd w:val="clear" w:color="auto" w:fill="auto"/>
          </w:tcPr>
          <w:p w14:paraId="3218B782" w14:textId="77777777" w:rsidR="00E93F58" w:rsidRPr="00576D60" w:rsidRDefault="00E93F58" w:rsidP="002C78A0">
            <w:pPr>
              <w:pStyle w:val="ENoteTableText"/>
            </w:pPr>
            <w:r w:rsidRPr="00576D60">
              <w:t>am No 325, 2007; F2020L01654</w:t>
            </w:r>
          </w:p>
        </w:tc>
      </w:tr>
      <w:tr w:rsidR="00E93F58" w:rsidRPr="00576D60" w14:paraId="3169333B" w14:textId="77777777" w:rsidTr="002F32E3">
        <w:trPr>
          <w:cantSplit/>
        </w:trPr>
        <w:tc>
          <w:tcPr>
            <w:tcW w:w="1500" w:type="pct"/>
            <w:shd w:val="clear" w:color="auto" w:fill="auto"/>
          </w:tcPr>
          <w:p w14:paraId="5E23028A" w14:textId="77777777" w:rsidR="00E93F58" w:rsidRPr="00576D60" w:rsidRDefault="00E93F58" w:rsidP="002F32E3">
            <w:pPr>
              <w:pStyle w:val="ENoteTableText"/>
              <w:tabs>
                <w:tab w:val="left" w:leader="dot" w:pos="2268"/>
              </w:tabs>
            </w:pPr>
            <w:r w:rsidRPr="00576D60">
              <w:t>r 5.6.67A</w:t>
            </w:r>
            <w:r w:rsidRPr="00576D60">
              <w:tab/>
            </w:r>
          </w:p>
        </w:tc>
        <w:tc>
          <w:tcPr>
            <w:tcW w:w="3500" w:type="pct"/>
            <w:shd w:val="clear" w:color="auto" w:fill="auto"/>
          </w:tcPr>
          <w:p w14:paraId="002548DF" w14:textId="77777777" w:rsidR="00E93F58" w:rsidRPr="00576D60" w:rsidRDefault="00E93F58" w:rsidP="002F32E3">
            <w:pPr>
              <w:pStyle w:val="ENoteTableText"/>
            </w:pPr>
            <w:r w:rsidRPr="00576D60">
              <w:t>ad F2020L01654</w:t>
            </w:r>
          </w:p>
        </w:tc>
      </w:tr>
      <w:tr w:rsidR="00E93F58" w:rsidRPr="00576D60" w14:paraId="33DFA71A" w14:textId="77777777" w:rsidTr="002F32E3">
        <w:trPr>
          <w:cantSplit/>
        </w:trPr>
        <w:tc>
          <w:tcPr>
            <w:tcW w:w="1500" w:type="pct"/>
            <w:shd w:val="clear" w:color="auto" w:fill="auto"/>
          </w:tcPr>
          <w:p w14:paraId="2BDF3C52" w14:textId="77777777" w:rsidR="00E93F58" w:rsidRPr="00576D60" w:rsidRDefault="00E93F58" w:rsidP="002F32E3">
            <w:pPr>
              <w:pStyle w:val="ENoteTableText"/>
              <w:tabs>
                <w:tab w:val="left" w:leader="dot" w:pos="2268"/>
              </w:tabs>
            </w:pPr>
            <w:r w:rsidRPr="00576D60">
              <w:t>r 5.6.68</w:t>
            </w:r>
            <w:r w:rsidRPr="00576D60">
              <w:tab/>
            </w:r>
          </w:p>
        </w:tc>
        <w:tc>
          <w:tcPr>
            <w:tcW w:w="3500" w:type="pct"/>
            <w:shd w:val="clear" w:color="auto" w:fill="auto"/>
          </w:tcPr>
          <w:p w14:paraId="2E19EE81" w14:textId="77777777" w:rsidR="00E93F58" w:rsidRPr="00576D60" w:rsidRDefault="00E93F58" w:rsidP="002F32E3">
            <w:pPr>
              <w:pStyle w:val="ENoteTableText"/>
            </w:pPr>
            <w:r w:rsidRPr="00576D60">
              <w:t>am F2020L01654</w:t>
            </w:r>
          </w:p>
        </w:tc>
      </w:tr>
      <w:tr w:rsidR="00E93F58" w:rsidRPr="00576D60" w14:paraId="2C1E199B" w14:textId="77777777" w:rsidTr="002F32E3">
        <w:trPr>
          <w:cantSplit/>
        </w:trPr>
        <w:tc>
          <w:tcPr>
            <w:tcW w:w="1500" w:type="pct"/>
            <w:shd w:val="clear" w:color="auto" w:fill="auto"/>
          </w:tcPr>
          <w:p w14:paraId="261A5AED" w14:textId="77777777" w:rsidR="00E93F58" w:rsidRPr="00576D60" w:rsidRDefault="00E93F58" w:rsidP="002F32E3">
            <w:pPr>
              <w:pStyle w:val="ENoteTableText"/>
              <w:tabs>
                <w:tab w:val="left" w:leader="dot" w:pos="2268"/>
              </w:tabs>
            </w:pPr>
            <w:r w:rsidRPr="00576D60">
              <w:t>r. 5.6.69</w:t>
            </w:r>
            <w:r w:rsidRPr="00576D60">
              <w:tab/>
            </w:r>
          </w:p>
        </w:tc>
        <w:tc>
          <w:tcPr>
            <w:tcW w:w="3500" w:type="pct"/>
            <w:shd w:val="clear" w:color="auto" w:fill="auto"/>
          </w:tcPr>
          <w:p w14:paraId="5C1EFEB4" w14:textId="77777777" w:rsidR="00E93F58" w:rsidRPr="00576D60" w:rsidRDefault="00E93F58" w:rsidP="002F32E3">
            <w:pPr>
              <w:pStyle w:val="ENoteTableText"/>
            </w:pPr>
            <w:r w:rsidRPr="00576D60">
              <w:t>am. 2012 No. 114</w:t>
            </w:r>
          </w:p>
        </w:tc>
      </w:tr>
      <w:tr w:rsidR="00E93F58" w:rsidRPr="00576D60" w14:paraId="569862C4" w14:textId="77777777" w:rsidTr="002F32E3">
        <w:trPr>
          <w:cantSplit/>
        </w:trPr>
        <w:tc>
          <w:tcPr>
            <w:tcW w:w="1500" w:type="pct"/>
            <w:shd w:val="clear" w:color="auto" w:fill="auto"/>
          </w:tcPr>
          <w:p w14:paraId="19C91D76" w14:textId="77777777" w:rsidR="00E93F58" w:rsidRPr="00576D60" w:rsidRDefault="00E93F58" w:rsidP="002F32E3">
            <w:pPr>
              <w:pStyle w:val="ENoteTableText"/>
              <w:tabs>
                <w:tab w:val="left" w:leader="dot" w:pos="2268"/>
              </w:tabs>
            </w:pPr>
            <w:r w:rsidRPr="00576D60">
              <w:t>r 5.6.70B</w:t>
            </w:r>
            <w:r w:rsidRPr="00576D60">
              <w:tab/>
            </w:r>
          </w:p>
        </w:tc>
        <w:tc>
          <w:tcPr>
            <w:tcW w:w="3500" w:type="pct"/>
            <w:shd w:val="clear" w:color="auto" w:fill="auto"/>
          </w:tcPr>
          <w:p w14:paraId="537BFCA7" w14:textId="77777777" w:rsidR="00E93F58" w:rsidRPr="00576D60" w:rsidRDefault="00E93F58" w:rsidP="002F32E3">
            <w:pPr>
              <w:pStyle w:val="ENoteTableText"/>
            </w:pPr>
            <w:r w:rsidRPr="00576D60">
              <w:t>ad 2012 No 114</w:t>
            </w:r>
          </w:p>
        </w:tc>
      </w:tr>
      <w:tr w:rsidR="00E93F58" w:rsidRPr="00576D60" w14:paraId="76522FC7" w14:textId="77777777" w:rsidTr="002F32E3">
        <w:trPr>
          <w:cantSplit/>
        </w:trPr>
        <w:tc>
          <w:tcPr>
            <w:tcW w:w="1500" w:type="pct"/>
            <w:shd w:val="clear" w:color="auto" w:fill="auto"/>
          </w:tcPr>
          <w:p w14:paraId="2F11D9B6" w14:textId="77777777" w:rsidR="00E93F58" w:rsidRPr="00576D60" w:rsidRDefault="00E93F58" w:rsidP="002F32E3">
            <w:pPr>
              <w:pStyle w:val="ENoteTableText"/>
              <w:tabs>
                <w:tab w:val="left" w:leader="dot" w:pos="2268"/>
              </w:tabs>
            </w:pPr>
          </w:p>
        </w:tc>
        <w:tc>
          <w:tcPr>
            <w:tcW w:w="3500" w:type="pct"/>
            <w:shd w:val="clear" w:color="auto" w:fill="auto"/>
          </w:tcPr>
          <w:p w14:paraId="5AD9F328" w14:textId="77777777" w:rsidR="00E93F58" w:rsidRPr="00576D60" w:rsidRDefault="00E93F58" w:rsidP="002F32E3">
            <w:pPr>
              <w:pStyle w:val="ENoteTableText"/>
            </w:pPr>
            <w:r w:rsidRPr="00576D60">
              <w:t>am F2022L00469</w:t>
            </w:r>
          </w:p>
        </w:tc>
      </w:tr>
      <w:tr w:rsidR="00E93F58" w:rsidRPr="00576D60" w14:paraId="6FE28CBB" w14:textId="77777777" w:rsidTr="002F32E3">
        <w:trPr>
          <w:cantSplit/>
        </w:trPr>
        <w:tc>
          <w:tcPr>
            <w:tcW w:w="1500" w:type="pct"/>
            <w:shd w:val="clear" w:color="auto" w:fill="auto"/>
          </w:tcPr>
          <w:p w14:paraId="49FFD4DC" w14:textId="77777777" w:rsidR="00E93F58" w:rsidRPr="00576D60" w:rsidRDefault="00E93F58" w:rsidP="002F32E3">
            <w:pPr>
              <w:pStyle w:val="ENoteTableText"/>
              <w:tabs>
                <w:tab w:val="left" w:leader="dot" w:pos="2268"/>
              </w:tabs>
            </w:pPr>
            <w:r w:rsidRPr="00576D60">
              <w:t>r. 5.6.73</w:t>
            </w:r>
            <w:r w:rsidRPr="00576D60">
              <w:tab/>
            </w:r>
          </w:p>
        </w:tc>
        <w:tc>
          <w:tcPr>
            <w:tcW w:w="3500" w:type="pct"/>
            <w:shd w:val="clear" w:color="auto" w:fill="auto"/>
          </w:tcPr>
          <w:p w14:paraId="7695E797" w14:textId="77777777" w:rsidR="00E93F58" w:rsidRPr="00576D60" w:rsidRDefault="00E93F58" w:rsidP="002F32E3">
            <w:pPr>
              <w:pStyle w:val="ENoteTableText"/>
            </w:pPr>
            <w:r w:rsidRPr="00576D60">
              <w:t>ad. 2007 No. 325</w:t>
            </w:r>
          </w:p>
        </w:tc>
      </w:tr>
      <w:tr w:rsidR="00E93F58" w:rsidRPr="00576D60" w14:paraId="45146197" w14:textId="77777777" w:rsidTr="002F32E3">
        <w:trPr>
          <w:cantSplit/>
        </w:trPr>
        <w:tc>
          <w:tcPr>
            <w:tcW w:w="1500" w:type="pct"/>
            <w:shd w:val="clear" w:color="auto" w:fill="auto"/>
          </w:tcPr>
          <w:p w14:paraId="613DCBF5" w14:textId="77777777" w:rsidR="00E93F58" w:rsidRPr="00576D60" w:rsidRDefault="00E93F58" w:rsidP="002F32E3">
            <w:pPr>
              <w:pStyle w:val="ENoteTableText"/>
              <w:tabs>
                <w:tab w:val="left" w:leader="dot" w:pos="2268"/>
              </w:tabs>
            </w:pPr>
            <w:r>
              <w:t>r 5.6.74</w:t>
            </w:r>
            <w:r>
              <w:tab/>
            </w:r>
          </w:p>
        </w:tc>
        <w:tc>
          <w:tcPr>
            <w:tcW w:w="3500" w:type="pct"/>
            <w:shd w:val="clear" w:color="auto" w:fill="auto"/>
          </w:tcPr>
          <w:p w14:paraId="1AC650BF" w14:textId="77777777" w:rsidR="00E93F58" w:rsidRPr="00576D60" w:rsidRDefault="00E93F58" w:rsidP="002F32E3">
            <w:pPr>
              <w:pStyle w:val="ENoteTableText"/>
            </w:pPr>
            <w:r>
              <w:t>rs F2023L01458</w:t>
            </w:r>
          </w:p>
        </w:tc>
      </w:tr>
      <w:tr w:rsidR="00E93F58" w:rsidRPr="00576D60" w14:paraId="3CE57E78" w14:textId="77777777" w:rsidTr="002F32E3">
        <w:trPr>
          <w:cantSplit/>
        </w:trPr>
        <w:tc>
          <w:tcPr>
            <w:tcW w:w="1500" w:type="pct"/>
            <w:shd w:val="clear" w:color="auto" w:fill="auto"/>
          </w:tcPr>
          <w:p w14:paraId="39F0AC28" w14:textId="77777777" w:rsidR="00E93F58" w:rsidRPr="00576D60" w:rsidRDefault="00E93F58" w:rsidP="002C78A0">
            <w:pPr>
              <w:pStyle w:val="ENoteTableText"/>
              <w:tabs>
                <w:tab w:val="left" w:leader="dot" w:pos="2268"/>
              </w:tabs>
            </w:pPr>
            <w:r w:rsidRPr="00576D60">
              <w:t>r 5.6.75</w:t>
            </w:r>
            <w:r w:rsidRPr="00576D60">
              <w:tab/>
            </w:r>
          </w:p>
        </w:tc>
        <w:tc>
          <w:tcPr>
            <w:tcW w:w="3500" w:type="pct"/>
            <w:shd w:val="clear" w:color="auto" w:fill="auto"/>
          </w:tcPr>
          <w:p w14:paraId="61094D40" w14:textId="77777777" w:rsidR="00E93F58" w:rsidRPr="00576D60" w:rsidRDefault="00E93F58" w:rsidP="002C78A0">
            <w:pPr>
              <w:pStyle w:val="ENoteTableText"/>
            </w:pPr>
            <w:r w:rsidRPr="00576D60">
              <w:t>ad No 114, 2012</w:t>
            </w:r>
          </w:p>
        </w:tc>
      </w:tr>
      <w:tr w:rsidR="00E93F58" w:rsidRPr="00576D60" w14:paraId="47947D34" w14:textId="77777777" w:rsidTr="002F32E3">
        <w:trPr>
          <w:cantSplit/>
        </w:trPr>
        <w:tc>
          <w:tcPr>
            <w:tcW w:w="1500" w:type="pct"/>
            <w:shd w:val="clear" w:color="auto" w:fill="auto"/>
          </w:tcPr>
          <w:p w14:paraId="4B31A2DA" w14:textId="77777777" w:rsidR="00E93F58" w:rsidRPr="00576D60" w:rsidRDefault="00E93F58" w:rsidP="002F32E3">
            <w:pPr>
              <w:pStyle w:val="ENoteTableText"/>
              <w:tabs>
                <w:tab w:val="left" w:leader="dot" w:pos="2268"/>
              </w:tabs>
            </w:pPr>
          </w:p>
        </w:tc>
        <w:tc>
          <w:tcPr>
            <w:tcW w:w="3500" w:type="pct"/>
            <w:shd w:val="clear" w:color="auto" w:fill="auto"/>
          </w:tcPr>
          <w:p w14:paraId="4A415631" w14:textId="77777777" w:rsidR="00E93F58" w:rsidRPr="00576D60" w:rsidRDefault="00E93F58" w:rsidP="00460E6C">
            <w:pPr>
              <w:pStyle w:val="ENoteTableText"/>
              <w:rPr>
                <w:u w:val="single"/>
              </w:rPr>
            </w:pPr>
            <w:r w:rsidRPr="00576D60">
              <w:t>am F2020L01654</w:t>
            </w:r>
            <w:r>
              <w:t xml:space="preserve">; </w:t>
            </w:r>
            <w:r w:rsidRPr="00AF3EAC">
              <w:rPr>
                <w:u w:val="single"/>
              </w:rPr>
              <w:t>F2023L01423</w:t>
            </w:r>
          </w:p>
        </w:tc>
      </w:tr>
      <w:tr w:rsidR="00E93F58" w:rsidRPr="00576D60" w14:paraId="3C6C3E81" w14:textId="77777777" w:rsidTr="002F32E3">
        <w:trPr>
          <w:cantSplit/>
        </w:trPr>
        <w:tc>
          <w:tcPr>
            <w:tcW w:w="1500" w:type="pct"/>
            <w:shd w:val="clear" w:color="auto" w:fill="auto"/>
          </w:tcPr>
          <w:p w14:paraId="269400D8" w14:textId="77777777" w:rsidR="00E93F58" w:rsidRPr="00576D60" w:rsidRDefault="00E93F58" w:rsidP="002F32E3">
            <w:pPr>
              <w:pStyle w:val="ENoteTableText"/>
              <w:tabs>
                <w:tab w:val="left" w:leader="dot" w:pos="2268"/>
              </w:tabs>
              <w:rPr>
                <w:b/>
              </w:rPr>
            </w:pPr>
            <w:r>
              <w:rPr>
                <w:b/>
              </w:rPr>
              <w:t>Part 5</w:t>
            </w:r>
            <w:r w:rsidRPr="00576D60">
              <w:rPr>
                <w:b/>
              </w:rPr>
              <w:t>.7B</w:t>
            </w:r>
          </w:p>
        </w:tc>
        <w:tc>
          <w:tcPr>
            <w:tcW w:w="3500" w:type="pct"/>
            <w:shd w:val="clear" w:color="auto" w:fill="auto"/>
          </w:tcPr>
          <w:p w14:paraId="16F126DA" w14:textId="77777777" w:rsidR="00E93F58" w:rsidRPr="00576D60" w:rsidRDefault="00E93F58" w:rsidP="002F32E3">
            <w:pPr>
              <w:pStyle w:val="ENoteTableText"/>
            </w:pPr>
          </w:p>
        </w:tc>
      </w:tr>
      <w:tr w:rsidR="00E93F58" w:rsidRPr="00576D60" w14:paraId="79E70B37" w14:textId="77777777" w:rsidTr="002F32E3">
        <w:trPr>
          <w:cantSplit/>
        </w:trPr>
        <w:tc>
          <w:tcPr>
            <w:tcW w:w="1500" w:type="pct"/>
            <w:shd w:val="clear" w:color="auto" w:fill="auto"/>
          </w:tcPr>
          <w:p w14:paraId="1FA6B561" w14:textId="77777777" w:rsidR="00E93F58" w:rsidRPr="00576D60" w:rsidRDefault="00E93F58" w:rsidP="002F32E3">
            <w:pPr>
              <w:pStyle w:val="ENoteTableText"/>
              <w:tabs>
                <w:tab w:val="left" w:leader="dot" w:pos="2268"/>
              </w:tabs>
            </w:pPr>
            <w:r>
              <w:t>Part 5</w:t>
            </w:r>
            <w:r w:rsidRPr="00576D60">
              <w:t>.7B</w:t>
            </w:r>
            <w:r w:rsidRPr="00576D60">
              <w:tab/>
            </w:r>
          </w:p>
        </w:tc>
        <w:tc>
          <w:tcPr>
            <w:tcW w:w="3500" w:type="pct"/>
            <w:shd w:val="clear" w:color="auto" w:fill="auto"/>
          </w:tcPr>
          <w:p w14:paraId="59890DE6" w14:textId="77777777" w:rsidR="00E93F58" w:rsidRPr="00576D60" w:rsidRDefault="00E93F58" w:rsidP="002F32E3">
            <w:pPr>
              <w:pStyle w:val="ENoteTableText"/>
            </w:pPr>
            <w:r w:rsidRPr="00576D60">
              <w:t>ad F2020L01191</w:t>
            </w:r>
          </w:p>
        </w:tc>
      </w:tr>
      <w:tr w:rsidR="00E93F58" w:rsidRPr="00576D60" w14:paraId="2958A9AD" w14:textId="77777777" w:rsidTr="002F32E3">
        <w:trPr>
          <w:cantSplit/>
        </w:trPr>
        <w:tc>
          <w:tcPr>
            <w:tcW w:w="1500" w:type="pct"/>
            <w:shd w:val="clear" w:color="auto" w:fill="auto"/>
          </w:tcPr>
          <w:p w14:paraId="2FA634F1" w14:textId="77777777" w:rsidR="00E93F58" w:rsidRPr="00576D60" w:rsidRDefault="00E93F58" w:rsidP="002F32E3">
            <w:pPr>
              <w:pStyle w:val="ENoteTableText"/>
              <w:tabs>
                <w:tab w:val="left" w:leader="dot" w:pos="2268"/>
              </w:tabs>
            </w:pPr>
            <w:r w:rsidRPr="00576D60">
              <w:t>r 5.7B.01</w:t>
            </w:r>
            <w:r w:rsidRPr="00576D60">
              <w:tab/>
            </w:r>
          </w:p>
        </w:tc>
        <w:tc>
          <w:tcPr>
            <w:tcW w:w="3500" w:type="pct"/>
            <w:shd w:val="clear" w:color="auto" w:fill="auto"/>
          </w:tcPr>
          <w:p w14:paraId="1649D40D" w14:textId="77777777" w:rsidR="00E93F58" w:rsidRPr="00576D60" w:rsidRDefault="00E93F58" w:rsidP="002F32E3">
            <w:pPr>
              <w:pStyle w:val="ENoteTableText"/>
            </w:pPr>
            <w:r w:rsidRPr="00576D60">
              <w:t>ad F2020L01191</w:t>
            </w:r>
          </w:p>
        </w:tc>
      </w:tr>
      <w:tr w:rsidR="00E93F58" w:rsidRPr="00576D60" w14:paraId="7ED3352C" w14:textId="77777777" w:rsidTr="002F32E3">
        <w:trPr>
          <w:cantSplit/>
        </w:trPr>
        <w:tc>
          <w:tcPr>
            <w:tcW w:w="1500" w:type="pct"/>
            <w:shd w:val="clear" w:color="auto" w:fill="auto"/>
          </w:tcPr>
          <w:p w14:paraId="4972191B" w14:textId="77777777" w:rsidR="00E93F58" w:rsidRPr="00576D60" w:rsidRDefault="00E93F58" w:rsidP="002F32E3">
            <w:pPr>
              <w:pStyle w:val="ENoteTableText"/>
              <w:tabs>
                <w:tab w:val="left" w:leader="dot" w:pos="2268"/>
              </w:tabs>
              <w:rPr>
                <w:b/>
              </w:rPr>
            </w:pPr>
            <w:r w:rsidRPr="00576D60">
              <w:rPr>
                <w:b/>
              </w:rPr>
              <w:t>Chapter 5B</w:t>
            </w:r>
          </w:p>
        </w:tc>
        <w:tc>
          <w:tcPr>
            <w:tcW w:w="3500" w:type="pct"/>
            <w:shd w:val="clear" w:color="auto" w:fill="auto"/>
          </w:tcPr>
          <w:p w14:paraId="3939F0AF" w14:textId="77777777" w:rsidR="00E93F58" w:rsidRPr="00576D60" w:rsidRDefault="00E93F58" w:rsidP="002F32E3">
            <w:pPr>
              <w:pStyle w:val="ENoteTableText"/>
            </w:pPr>
          </w:p>
        </w:tc>
      </w:tr>
      <w:tr w:rsidR="00E93F58" w:rsidRPr="00576D60" w14:paraId="72B2D624" w14:textId="77777777" w:rsidTr="002F32E3">
        <w:trPr>
          <w:cantSplit/>
        </w:trPr>
        <w:tc>
          <w:tcPr>
            <w:tcW w:w="1500" w:type="pct"/>
            <w:shd w:val="clear" w:color="auto" w:fill="auto"/>
          </w:tcPr>
          <w:p w14:paraId="07ABE3C1" w14:textId="77777777" w:rsidR="00E93F58" w:rsidRPr="00576D60" w:rsidRDefault="00E93F58" w:rsidP="002F32E3">
            <w:pPr>
              <w:pStyle w:val="ENoteTableText"/>
              <w:tabs>
                <w:tab w:val="left" w:leader="dot" w:pos="2268"/>
              </w:tabs>
              <w:rPr>
                <w:b/>
              </w:rPr>
            </w:pPr>
            <w:r>
              <w:rPr>
                <w:b/>
              </w:rPr>
              <w:t>Part 5</w:t>
            </w:r>
            <w:r w:rsidRPr="00576D60">
              <w:rPr>
                <w:b/>
              </w:rPr>
              <w:t>B.2</w:t>
            </w:r>
          </w:p>
        </w:tc>
        <w:tc>
          <w:tcPr>
            <w:tcW w:w="3500" w:type="pct"/>
            <w:shd w:val="clear" w:color="auto" w:fill="auto"/>
          </w:tcPr>
          <w:p w14:paraId="684D25DF" w14:textId="77777777" w:rsidR="00E93F58" w:rsidRPr="00576D60" w:rsidRDefault="00E93F58" w:rsidP="002F32E3">
            <w:pPr>
              <w:pStyle w:val="ENoteTableText"/>
            </w:pPr>
          </w:p>
        </w:tc>
      </w:tr>
      <w:tr w:rsidR="00E93F58" w:rsidRPr="00576D60" w14:paraId="59E9001F" w14:textId="77777777" w:rsidTr="002F32E3">
        <w:trPr>
          <w:cantSplit/>
        </w:trPr>
        <w:tc>
          <w:tcPr>
            <w:tcW w:w="1500" w:type="pct"/>
            <w:shd w:val="clear" w:color="auto" w:fill="auto"/>
          </w:tcPr>
          <w:p w14:paraId="51CE2620" w14:textId="77777777" w:rsidR="00E93F58" w:rsidRPr="00576D60" w:rsidRDefault="00E93F58" w:rsidP="002F32E3">
            <w:pPr>
              <w:pStyle w:val="ENoteTableText"/>
              <w:tabs>
                <w:tab w:val="left" w:leader="dot" w:pos="2268"/>
              </w:tabs>
            </w:pPr>
            <w:r w:rsidRPr="00576D60">
              <w:t>r. 5B.2.05</w:t>
            </w:r>
            <w:r w:rsidRPr="00576D60">
              <w:tab/>
            </w:r>
          </w:p>
        </w:tc>
        <w:tc>
          <w:tcPr>
            <w:tcW w:w="3500" w:type="pct"/>
            <w:shd w:val="clear" w:color="auto" w:fill="auto"/>
          </w:tcPr>
          <w:p w14:paraId="6C998DFC" w14:textId="77777777" w:rsidR="00E93F58" w:rsidRPr="00576D60" w:rsidRDefault="00E93F58" w:rsidP="002F32E3">
            <w:pPr>
              <w:pStyle w:val="ENoteTableText"/>
            </w:pPr>
            <w:r w:rsidRPr="00576D60">
              <w:t>ad. 2007 No. 199</w:t>
            </w:r>
          </w:p>
        </w:tc>
      </w:tr>
      <w:tr w:rsidR="00E93F58" w:rsidRPr="00576D60" w14:paraId="03DA447B" w14:textId="77777777" w:rsidTr="002F32E3">
        <w:trPr>
          <w:cantSplit/>
        </w:trPr>
        <w:tc>
          <w:tcPr>
            <w:tcW w:w="1500" w:type="pct"/>
            <w:shd w:val="clear" w:color="auto" w:fill="auto"/>
          </w:tcPr>
          <w:p w14:paraId="5AB67D9A" w14:textId="77777777" w:rsidR="00E93F58" w:rsidRPr="00576D60" w:rsidRDefault="00E93F58" w:rsidP="002F32E3">
            <w:pPr>
              <w:pStyle w:val="ENoteTableText"/>
              <w:tabs>
                <w:tab w:val="left" w:leader="dot" w:pos="2268"/>
              </w:tabs>
              <w:rPr>
                <w:b/>
              </w:rPr>
            </w:pPr>
            <w:r>
              <w:rPr>
                <w:b/>
              </w:rPr>
              <w:t>Part 5</w:t>
            </w:r>
            <w:r w:rsidRPr="00576D60">
              <w:rPr>
                <w:b/>
              </w:rPr>
              <w:t>B.3</w:t>
            </w:r>
          </w:p>
        </w:tc>
        <w:tc>
          <w:tcPr>
            <w:tcW w:w="3500" w:type="pct"/>
            <w:shd w:val="clear" w:color="auto" w:fill="auto"/>
          </w:tcPr>
          <w:p w14:paraId="25FD5CB5" w14:textId="77777777" w:rsidR="00E93F58" w:rsidRPr="00576D60" w:rsidRDefault="00E93F58" w:rsidP="002F32E3">
            <w:pPr>
              <w:pStyle w:val="ENoteTableText"/>
            </w:pPr>
          </w:p>
        </w:tc>
      </w:tr>
      <w:tr w:rsidR="00E93F58" w:rsidRPr="00576D60" w14:paraId="33557DF2" w14:textId="77777777" w:rsidTr="002F32E3">
        <w:trPr>
          <w:cantSplit/>
        </w:trPr>
        <w:tc>
          <w:tcPr>
            <w:tcW w:w="1500" w:type="pct"/>
            <w:shd w:val="clear" w:color="auto" w:fill="auto"/>
          </w:tcPr>
          <w:p w14:paraId="6781C30D" w14:textId="77777777" w:rsidR="00E93F58" w:rsidRPr="00576D60" w:rsidRDefault="00E93F58" w:rsidP="002F32E3">
            <w:pPr>
              <w:pStyle w:val="ENoteTableText"/>
              <w:tabs>
                <w:tab w:val="left" w:leader="dot" w:pos="2268"/>
              </w:tabs>
            </w:pPr>
            <w:r w:rsidRPr="00576D60">
              <w:t>r. 5B.3.04</w:t>
            </w:r>
            <w:r w:rsidRPr="00576D60">
              <w:tab/>
            </w:r>
          </w:p>
        </w:tc>
        <w:tc>
          <w:tcPr>
            <w:tcW w:w="3500" w:type="pct"/>
            <w:shd w:val="clear" w:color="auto" w:fill="auto"/>
          </w:tcPr>
          <w:p w14:paraId="7824B58B" w14:textId="77777777" w:rsidR="00E93F58" w:rsidRPr="00576D60" w:rsidRDefault="00E93F58" w:rsidP="002F32E3">
            <w:pPr>
              <w:pStyle w:val="ENoteTableText"/>
            </w:pPr>
            <w:r w:rsidRPr="00576D60">
              <w:t>am. 2001 No. 319</w:t>
            </w:r>
          </w:p>
        </w:tc>
      </w:tr>
      <w:tr w:rsidR="00E93F58" w:rsidRPr="00576D60" w14:paraId="416383C0" w14:textId="77777777" w:rsidTr="002F32E3">
        <w:trPr>
          <w:cantSplit/>
        </w:trPr>
        <w:tc>
          <w:tcPr>
            <w:tcW w:w="1500" w:type="pct"/>
            <w:shd w:val="clear" w:color="auto" w:fill="auto"/>
          </w:tcPr>
          <w:p w14:paraId="71CD8ED8" w14:textId="77777777" w:rsidR="00E93F58" w:rsidRPr="00576D60" w:rsidRDefault="00E93F58" w:rsidP="002F32E3">
            <w:pPr>
              <w:pStyle w:val="ENoteTableText"/>
              <w:tabs>
                <w:tab w:val="left" w:leader="dot" w:pos="2268"/>
              </w:tabs>
              <w:rPr>
                <w:b/>
              </w:rPr>
            </w:pPr>
            <w:r w:rsidRPr="00576D60">
              <w:rPr>
                <w:b/>
              </w:rPr>
              <w:t>Chapter 5C</w:t>
            </w:r>
          </w:p>
        </w:tc>
        <w:tc>
          <w:tcPr>
            <w:tcW w:w="3500" w:type="pct"/>
            <w:shd w:val="clear" w:color="auto" w:fill="auto"/>
          </w:tcPr>
          <w:p w14:paraId="75EDDDD1" w14:textId="77777777" w:rsidR="00E93F58" w:rsidRPr="00576D60" w:rsidRDefault="00E93F58" w:rsidP="002F32E3">
            <w:pPr>
              <w:pStyle w:val="ENoteTableText"/>
            </w:pPr>
          </w:p>
        </w:tc>
      </w:tr>
      <w:tr w:rsidR="00E93F58" w:rsidRPr="00576D60" w14:paraId="3FC8B5DF" w14:textId="77777777" w:rsidTr="002F32E3">
        <w:trPr>
          <w:cantSplit/>
        </w:trPr>
        <w:tc>
          <w:tcPr>
            <w:tcW w:w="1500" w:type="pct"/>
            <w:shd w:val="clear" w:color="auto" w:fill="auto"/>
          </w:tcPr>
          <w:p w14:paraId="21C23B16" w14:textId="77777777" w:rsidR="00E93F58" w:rsidRPr="00576D60" w:rsidRDefault="00E93F58" w:rsidP="002F32E3">
            <w:pPr>
              <w:pStyle w:val="ENoteTableText"/>
              <w:tabs>
                <w:tab w:val="left" w:leader="dot" w:pos="2268"/>
              </w:tabs>
              <w:rPr>
                <w:b/>
              </w:rPr>
            </w:pPr>
            <w:r>
              <w:rPr>
                <w:b/>
              </w:rPr>
              <w:t>Part 5</w:t>
            </w:r>
            <w:r w:rsidRPr="00576D60">
              <w:rPr>
                <w:b/>
              </w:rPr>
              <w:t>C.1</w:t>
            </w:r>
          </w:p>
        </w:tc>
        <w:tc>
          <w:tcPr>
            <w:tcW w:w="3500" w:type="pct"/>
            <w:shd w:val="clear" w:color="auto" w:fill="auto"/>
          </w:tcPr>
          <w:p w14:paraId="336188C5" w14:textId="77777777" w:rsidR="00E93F58" w:rsidRPr="00576D60" w:rsidRDefault="00E93F58" w:rsidP="002F32E3">
            <w:pPr>
              <w:pStyle w:val="ENoteTableText"/>
            </w:pPr>
          </w:p>
        </w:tc>
      </w:tr>
      <w:tr w:rsidR="00E93F58" w:rsidRPr="00576D60" w14:paraId="27D91130" w14:textId="77777777" w:rsidTr="002F32E3">
        <w:trPr>
          <w:cantSplit/>
        </w:trPr>
        <w:tc>
          <w:tcPr>
            <w:tcW w:w="1500" w:type="pct"/>
            <w:shd w:val="clear" w:color="auto" w:fill="auto"/>
          </w:tcPr>
          <w:p w14:paraId="11F610B8" w14:textId="77777777" w:rsidR="00E93F58" w:rsidRPr="00576D60" w:rsidRDefault="00E93F58" w:rsidP="002F32E3">
            <w:pPr>
              <w:pStyle w:val="ENoteTableText"/>
              <w:tabs>
                <w:tab w:val="left" w:leader="dot" w:pos="2268"/>
              </w:tabs>
            </w:pPr>
            <w:r w:rsidRPr="00576D60">
              <w:t>r 5C.1.01</w:t>
            </w:r>
            <w:r w:rsidRPr="00576D60">
              <w:tab/>
            </w:r>
          </w:p>
        </w:tc>
        <w:tc>
          <w:tcPr>
            <w:tcW w:w="3500" w:type="pct"/>
            <w:shd w:val="clear" w:color="auto" w:fill="auto"/>
          </w:tcPr>
          <w:p w14:paraId="27EC1B1E" w14:textId="77777777" w:rsidR="00E93F58" w:rsidRPr="00576D60" w:rsidRDefault="00E93F58" w:rsidP="002F32E3">
            <w:pPr>
              <w:pStyle w:val="ENoteTableText"/>
            </w:pPr>
            <w:r w:rsidRPr="00576D60">
              <w:t>am F2018L01144</w:t>
            </w:r>
          </w:p>
        </w:tc>
      </w:tr>
      <w:tr w:rsidR="00E93F58" w:rsidRPr="00576D60" w14:paraId="00835D43" w14:textId="77777777" w:rsidTr="002F32E3">
        <w:trPr>
          <w:cantSplit/>
        </w:trPr>
        <w:tc>
          <w:tcPr>
            <w:tcW w:w="1500" w:type="pct"/>
            <w:shd w:val="clear" w:color="auto" w:fill="auto"/>
          </w:tcPr>
          <w:p w14:paraId="4D751642" w14:textId="77777777" w:rsidR="00E93F58" w:rsidRPr="00576D60" w:rsidRDefault="00E93F58" w:rsidP="002F32E3">
            <w:pPr>
              <w:pStyle w:val="ENoteTableText"/>
              <w:tabs>
                <w:tab w:val="left" w:leader="dot" w:pos="2268"/>
              </w:tabs>
            </w:pPr>
            <w:r w:rsidRPr="00576D60">
              <w:t>r 5C.1.02</w:t>
            </w:r>
            <w:r w:rsidRPr="00576D60">
              <w:tab/>
            </w:r>
          </w:p>
        </w:tc>
        <w:tc>
          <w:tcPr>
            <w:tcW w:w="3500" w:type="pct"/>
            <w:shd w:val="clear" w:color="auto" w:fill="auto"/>
          </w:tcPr>
          <w:p w14:paraId="1FE3C82E" w14:textId="77777777" w:rsidR="00E93F58" w:rsidRPr="00576D60" w:rsidRDefault="00E93F58" w:rsidP="002F32E3">
            <w:pPr>
              <w:pStyle w:val="ENoteTableText"/>
            </w:pPr>
            <w:r w:rsidRPr="00576D60">
              <w:t>am F2018L01144</w:t>
            </w:r>
          </w:p>
        </w:tc>
      </w:tr>
      <w:tr w:rsidR="00E93F58" w:rsidRPr="00576D60" w14:paraId="0A1C96AE" w14:textId="77777777" w:rsidTr="002F32E3">
        <w:trPr>
          <w:cantSplit/>
        </w:trPr>
        <w:tc>
          <w:tcPr>
            <w:tcW w:w="1500" w:type="pct"/>
            <w:shd w:val="clear" w:color="auto" w:fill="auto"/>
          </w:tcPr>
          <w:p w14:paraId="4A9D90EE" w14:textId="77777777" w:rsidR="00E93F58" w:rsidRPr="00576D60" w:rsidRDefault="00E93F58" w:rsidP="002F32E3">
            <w:pPr>
              <w:pStyle w:val="ENoteTableText"/>
              <w:tabs>
                <w:tab w:val="left" w:leader="dot" w:pos="2268"/>
              </w:tabs>
              <w:rPr>
                <w:b/>
              </w:rPr>
            </w:pPr>
            <w:r>
              <w:rPr>
                <w:b/>
              </w:rPr>
              <w:t>Part 5</w:t>
            </w:r>
            <w:r w:rsidRPr="00576D60">
              <w:rPr>
                <w:b/>
              </w:rPr>
              <w:t>C.11</w:t>
            </w:r>
          </w:p>
        </w:tc>
        <w:tc>
          <w:tcPr>
            <w:tcW w:w="3500" w:type="pct"/>
            <w:shd w:val="clear" w:color="auto" w:fill="auto"/>
          </w:tcPr>
          <w:p w14:paraId="19CDE024" w14:textId="77777777" w:rsidR="00E93F58" w:rsidRPr="00576D60" w:rsidRDefault="00E93F58" w:rsidP="002F32E3">
            <w:pPr>
              <w:pStyle w:val="ENoteTableText"/>
            </w:pPr>
          </w:p>
        </w:tc>
      </w:tr>
      <w:tr w:rsidR="00E93F58" w:rsidRPr="00576D60" w14:paraId="79CA77E2" w14:textId="77777777" w:rsidTr="002F32E3">
        <w:trPr>
          <w:cantSplit/>
        </w:trPr>
        <w:tc>
          <w:tcPr>
            <w:tcW w:w="1500" w:type="pct"/>
            <w:shd w:val="clear" w:color="auto" w:fill="auto"/>
          </w:tcPr>
          <w:p w14:paraId="05CD3D46"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2DB4526A" w14:textId="77777777" w:rsidR="00E93F58" w:rsidRPr="00576D60" w:rsidRDefault="00E93F58" w:rsidP="002F32E3">
            <w:pPr>
              <w:pStyle w:val="ENoteTableText"/>
            </w:pPr>
          </w:p>
        </w:tc>
      </w:tr>
      <w:tr w:rsidR="00E93F58" w:rsidRPr="00576D60" w14:paraId="5AECCC13" w14:textId="77777777" w:rsidTr="002F32E3">
        <w:trPr>
          <w:cantSplit/>
        </w:trPr>
        <w:tc>
          <w:tcPr>
            <w:tcW w:w="1500" w:type="pct"/>
            <w:shd w:val="clear" w:color="auto" w:fill="auto"/>
          </w:tcPr>
          <w:p w14:paraId="67660EF6" w14:textId="77777777" w:rsidR="00E93F58" w:rsidRPr="00576D60" w:rsidRDefault="00E93F58" w:rsidP="002F32E3">
            <w:pPr>
              <w:pStyle w:val="ENoteTableText"/>
              <w:tabs>
                <w:tab w:val="left" w:leader="dot" w:pos="2268"/>
              </w:tabs>
            </w:pPr>
            <w:r w:rsidRPr="00576D60">
              <w:t>r 5C.11.01</w:t>
            </w:r>
            <w:r w:rsidRPr="00576D60">
              <w:tab/>
            </w:r>
          </w:p>
        </w:tc>
        <w:tc>
          <w:tcPr>
            <w:tcW w:w="3500" w:type="pct"/>
            <w:shd w:val="clear" w:color="auto" w:fill="auto"/>
          </w:tcPr>
          <w:p w14:paraId="5158E8EE" w14:textId="77777777" w:rsidR="00E93F58" w:rsidRPr="00576D60" w:rsidRDefault="00E93F58" w:rsidP="002F32E3">
            <w:pPr>
              <w:pStyle w:val="ENoteTableText"/>
            </w:pPr>
            <w:r w:rsidRPr="00576D60">
              <w:t>rs No 172, 2012</w:t>
            </w:r>
          </w:p>
        </w:tc>
      </w:tr>
      <w:tr w:rsidR="00E93F58" w:rsidRPr="00576D60" w14:paraId="11FB7080" w14:textId="77777777" w:rsidTr="002F32E3">
        <w:trPr>
          <w:cantSplit/>
        </w:trPr>
        <w:tc>
          <w:tcPr>
            <w:tcW w:w="1500" w:type="pct"/>
            <w:shd w:val="clear" w:color="auto" w:fill="auto"/>
          </w:tcPr>
          <w:p w14:paraId="495DD808" w14:textId="77777777" w:rsidR="00E93F58" w:rsidRPr="00576D60" w:rsidRDefault="00E93F58" w:rsidP="002F32E3">
            <w:pPr>
              <w:pStyle w:val="ENoteTableText"/>
              <w:tabs>
                <w:tab w:val="left" w:leader="dot" w:pos="2268"/>
              </w:tabs>
            </w:pPr>
          </w:p>
        </w:tc>
        <w:tc>
          <w:tcPr>
            <w:tcW w:w="3500" w:type="pct"/>
            <w:shd w:val="clear" w:color="auto" w:fill="auto"/>
          </w:tcPr>
          <w:p w14:paraId="303590A9" w14:textId="77777777" w:rsidR="00E93F58" w:rsidRPr="00576D60" w:rsidRDefault="00E93F58" w:rsidP="002F32E3">
            <w:pPr>
              <w:pStyle w:val="ENoteTableText"/>
            </w:pPr>
            <w:r w:rsidRPr="00576D60">
              <w:t>am F2016L01926</w:t>
            </w:r>
          </w:p>
        </w:tc>
      </w:tr>
      <w:tr w:rsidR="00E93F58" w:rsidRPr="00576D60" w14:paraId="01B44B61" w14:textId="77777777" w:rsidTr="002F32E3">
        <w:trPr>
          <w:cantSplit/>
        </w:trPr>
        <w:tc>
          <w:tcPr>
            <w:tcW w:w="1500" w:type="pct"/>
            <w:shd w:val="clear" w:color="auto" w:fill="auto"/>
          </w:tcPr>
          <w:p w14:paraId="76178E73" w14:textId="77777777" w:rsidR="00E93F58" w:rsidRPr="00576D60" w:rsidRDefault="00E93F58" w:rsidP="002F32E3">
            <w:pPr>
              <w:pStyle w:val="ENoteTableText"/>
              <w:tabs>
                <w:tab w:val="left" w:leader="dot" w:pos="2268"/>
              </w:tabs>
            </w:pPr>
          </w:p>
        </w:tc>
        <w:tc>
          <w:tcPr>
            <w:tcW w:w="3500" w:type="pct"/>
            <w:shd w:val="clear" w:color="auto" w:fill="auto"/>
          </w:tcPr>
          <w:p w14:paraId="00C0DB93" w14:textId="77777777" w:rsidR="00E93F58" w:rsidRPr="00576D60" w:rsidRDefault="00E93F58" w:rsidP="002F32E3">
            <w:pPr>
              <w:pStyle w:val="ENoteTableText"/>
            </w:pPr>
            <w:r w:rsidRPr="00576D60">
              <w:t>rs F2020L00942</w:t>
            </w:r>
          </w:p>
        </w:tc>
      </w:tr>
      <w:tr w:rsidR="00E93F58" w:rsidRPr="00576D60" w14:paraId="6C8CDE3B" w14:textId="77777777" w:rsidTr="002F32E3">
        <w:trPr>
          <w:cantSplit/>
        </w:trPr>
        <w:tc>
          <w:tcPr>
            <w:tcW w:w="1500" w:type="pct"/>
            <w:shd w:val="clear" w:color="auto" w:fill="auto"/>
          </w:tcPr>
          <w:p w14:paraId="7CBC8BD2" w14:textId="77777777" w:rsidR="00E93F58" w:rsidRPr="00576D60" w:rsidRDefault="00E93F58" w:rsidP="002F32E3">
            <w:pPr>
              <w:pStyle w:val="ENoteTableText"/>
              <w:tabs>
                <w:tab w:val="left" w:leader="dot" w:pos="2268"/>
              </w:tabs>
            </w:pPr>
          </w:p>
        </w:tc>
        <w:tc>
          <w:tcPr>
            <w:tcW w:w="3500" w:type="pct"/>
            <w:shd w:val="clear" w:color="auto" w:fill="auto"/>
          </w:tcPr>
          <w:p w14:paraId="684CFCD8" w14:textId="77777777" w:rsidR="00E93F58" w:rsidRPr="00576D60" w:rsidRDefault="00E93F58" w:rsidP="002F32E3">
            <w:pPr>
              <w:pStyle w:val="ENoteTableText"/>
            </w:pPr>
            <w:r w:rsidRPr="00576D60">
              <w:t>am F2022L01614</w:t>
            </w:r>
          </w:p>
        </w:tc>
      </w:tr>
      <w:tr w:rsidR="00E93F58" w:rsidRPr="00576D60" w14:paraId="648C2F60" w14:textId="77777777" w:rsidTr="002F32E3">
        <w:trPr>
          <w:cantSplit/>
        </w:trPr>
        <w:tc>
          <w:tcPr>
            <w:tcW w:w="1500" w:type="pct"/>
            <w:shd w:val="clear" w:color="auto" w:fill="auto"/>
          </w:tcPr>
          <w:p w14:paraId="73366F9F" w14:textId="77777777" w:rsidR="00E93F58" w:rsidRPr="00576D60" w:rsidRDefault="00E93F58" w:rsidP="002F32E3">
            <w:pPr>
              <w:pStyle w:val="ENoteTableText"/>
              <w:tabs>
                <w:tab w:val="left" w:leader="dot" w:pos="2268"/>
              </w:tabs>
              <w:rPr>
                <w:b/>
              </w:rPr>
            </w:pPr>
            <w:r>
              <w:rPr>
                <w:b/>
              </w:rPr>
              <w:lastRenderedPageBreak/>
              <w:t>Division 2</w:t>
            </w:r>
          </w:p>
        </w:tc>
        <w:tc>
          <w:tcPr>
            <w:tcW w:w="3500" w:type="pct"/>
            <w:shd w:val="clear" w:color="auto" w:fill="auto"/>
          </w:tcPr>
          <w:p w14:paraId="0A652013" w14:textId="77777777" w:rsidR="00E93F58" w:rsidRPr="00576D60" w:rsidRDefault="00E93F58" w:rsidP="002F32E3">
            <w:pPr>
              <w:pStyle w:val="ENoteTableText"/>
            </w:pPr>
          </w:p>
        </w:tc>
      </w:tr>
      <w:tr w:rsidR="00E93F58" w:rsidRPr="00576D60" w14:paraId="737569AD" w14:textId="77777777" w:rsidTr="002F32E3">
        <w:trPr>
          <w:cantSplit/>
        </w:trPr>
        <w:tc>
          <w:tcPr>
            <w:tcW w:w="1500" w:type="pct"/>
            <w:shd w:val="clear" w:color="auto" w:fill="auto"/>
          </w:tcPr>
          <w:p w14:paraId="710251BC" w14:textId="77777777" w:rsidR="00E93F58" w:rsidRPr="00576D60" w:rsidRDefault="00E93F58" w:rsidP="002F32E3">
            <w:pPr>
              <w:pStyle w:val="ENoteTableText"/>
              <w:tabs>
                <w:tab w:val="left" w:leader="dot" w:pos="2268"/>
              </w:tabs>
            </w:pPr>
            <w:r w:rsidRPr="00576D60">
              <w:t>r. 5C.11.03A</w:t>
            </w:r>
            <w:r w:rsidRPr="00576D60">
              <w:tab/>
            </w:r>
          </w:p>
        </w:tc>
        <w:tc>
          <w:tcPr>
            <w:tcW w:w="3500" w:type="pct"/>
            <w:shd w:val="clear" w:color="auto" w:fill="auto"/>
          </w:tcPr>
          <w:p w14:paraId="01068DAA" w14:textId="77777777" w:rsidR="00E93F58" w:rsidRPr="00576D60" w:rsidRDefault="00E93F58" w:rsidP="002F32E3">
            <w:pPr>
              <w:pStyle w:val="ENoteTableText"/>
            </w:pPr>
            <w:r w:rsidRPr="00576D60">
              <w:t>ad. 2011 No. 193</w:t>
            </w:r>
          </w:p>
        </w:tc>
      </w:tr>
      <w:tr w:rsidR="00E93F58" w:rsidRPr="00576D60" w14:paraId="7C3C3041" w14:textId="77777777" w:rsidTr="002F32E3">
        <w:trPr>
          <w:cantSplit/>
        </w:trPr>
        <w:tc>
          <w:tcPr>
            <w:tcW w:w="1500" w:type="pct"/>
            <w:shd w:val="clear" w:color="auto" w:fill="auto"/>
          </w:tcPr>
          <w:p w14:paraId="7A641785" w14:textId="77777777" w:rsidR="00E93F58" w:rsidRPr="00576D60" w:rsidRDefault="00E93F58" w:rsidP="002F32E3">
            <w:pPr>
              <w:pStyle w:val="ENoteTableText"/>
              <w:tabs>
                <w:tab w:val="left" w:leader="dot" w:pos="2268"/>
              </w:tabs>
            </w:pPr>
            <w:r w:rsidRPr="00576D60">
              <w:t>r 5C.11.04</w:t>
            </w:r>
            <w:r w:rsidRPr="00576D60">
              <w:tab/>
            </w:r>
          </w:p>
        </w:tc>
        <w:tc>
          <w:tcPr>
            <w:tcW w:w="3500" w:type="pct"/>
            <w:shd w:val="clear" w:color="auto" w:fill="auto"/>
          </w:tcPr>
          <w:p w14:paraId="6CE7307E" w14:textId="77777777" w:rsidR="00E93F58" w:rsidRPr="00576D60" w:rsidRDefault="00E93F58" w:rsidP="002F32E3">
            <w:pPr>
              <w:pStyle w:val="ENoteTableText"/>
            </w:pPr>
            <w:r w:rsidRPr="00576D60">
              <w:t>am F2018L01144</w:t>
            </w:r>
          </w:p>
        </w:tc>
      </w:tr>
      <w:tr w:rsidR="00E93F58" w:rsidRPr="00576D60" w14:paraId="4E987400" w14:textId="77777777" w:rsidTr="002F32E3">
        <w:trPr>
          <w:cantSplit/>
        </w:trPr>
        <w:tc>
          <w:tcPr>
            <w:tcW w:w="1500" w:type="pct"/>
            <w:shd w:val="clear" w:color="auto" w:fill="auto"/>
          </w:tcPr>
          <w:p w14:paraId="2C142FC4" w14:textId="77777777" w:rsidR="00E93F58" w:rsidRPr="00576D60" w:rsidRDefault="00E93F58" w:rsidP="002F32E3">
            <w:pPr>
              <w:pStyle w:val="ENoteTableText"/>
              <w:tabs>
                <w:tab w:val="left" w:leader="dot" w:pos="2268"/>
              </w:tabs>
            </w:pPr>
            <w:r w:rsidRPr="00576D60">
              <w:t>r. 5C.11.05A</w:t>
            </w:r>
            <w:r w:rsidRPr="00576D60">
              <w:tab/>
            </w:r>
          </w:p>
        </w:tc>
        <w:tc>
          <w:tcPr>
            <w:tcW w:w="3500" w:type="pct"/>
            <w:shd w:val="clear" w:color="auto" w:fill="auto"/>
          </w:tcPr>
          <w:p w14:paraId="1D793950" w14:textId="77777777" w:rsidR="00E93F58" w:rsidRPr="00576D60" w:rsidRDefault="00E93F58" w:rsidP="002F32E3">
            <w:pPr>
              <w:pStyle w:val="ENoteTableText"/>
            </w:pPr>
            <w:r w:rsidRPr="00576D60">
              <w:t>rs. 2003 No. 31</w:t>
            </w:r>
          </w:p>
        </w:tc>
      </w:tr>
      <w:tr w:rsidR="00E93F58" w:rsidRPr="00576D60" w14:paraId="13C17E6F" w14:textId="77777777" w:rsidTr="002F32E3">
        <w:trPr>
          <w:cantSplit/>
        </w:trPr>
        <w:tc>
          <w:tcPr>
            <w:tcW w:w="1500" w:type="pct"/>
            <w:shd w:val="clear" w:color="auto" w:fill="auto"/>
          </w:tcPr>
          <w:p w14:paraId="49A6F7D8" w14:textId="77777777" w:rsidR="00E93F58" w:rsidRPr="00576D60" w:rsidRDefault="00E93F58" w:rsidP="00A1421B">
            <w:pPr>
              <w:pStyle w:val="ENoteTableText"/>
              <w:keepNext/>
              <w:keepLines/>
              <w:tabs>
                <w:tab w:val="left" w:leader="dot" w:pos="2268"/>
              </w:tabs>
              <w:rPr>
                <w:b/>
              </w:rPr>
            </w:pPr>
            <w:r w:rsidRPr="00576D60">
              <w:rPr>
                <w:b/>
              </w:rPr>
              <w:t>Chapter 5D</w:t>
            </w:r>
          </w:p>
        </w:tc>
        <w:tc>
          <w:tcPr>
            <w:tcW w:w="3500" w:type="pct"/>
            <w:shd w:val="clear" w:color="auto" w:fill="auto"/>
          </w:tcPr>
          <w:p w14:paraId="257EFD20" w14:textId="77777777" w:rsidR="00E93F58" w:rsidRPr="00576D60" w:rsidRDefault="00E93F58" w:rsidP="002F32E3">
            <w:pPr>
              <w:pStyle w:val="ENoteTableText"/>
            </w:pPr>
          </w:p>
        </w:tc>
      </w:tr>
      <w:tr w:rsidR="00E93F58" w:rsidRPr="00576D60" w14:paraId="2E8BF089" w14:textId="77777777" w:rsidTr="002F32E3">
        <w:trPr>
          <w:cantSplit/>
        </w:trPr>
        <w:tc>
          <w:tcPr>
            <w:tcW w:w="1500" w:type="pct"/>
            <w:shd w:val="clear" w:color="auto" w:fill="auto"/>
          </w:tcPr>
          <w:p w14:paraId="011C1895" w14:textId="77777777" w:rsidR="00E93F58" w:rsidRPr="00576D60" w:rsidRDefault="00E93F58" w:rsidP="00A1421B">
            <w:pPr>
              <w:pStyle w:val="ENoteTableText"/>
              <w:keepNext/>
              <w:keepLines/>
              <w:tabs>
                <w:tab w:val="left" w:leader="dot" w:pos="2268"/>
              </w:tabs>
              <w:rPr>
                <w:b/>
              </w:rPr>
            </w:pPr>
            <w:r>
              <w:rPr>
                <w:b/>
              </w:rPr>
              <w:t>Part 5</w:t>
            </w:r>
            <w:r w:rsidRPr="00576D60">
              <w:rPr>
                <w:b/>
              </w:rPr>
              <w:t>D.1</w:t>
            </w:r>
          </w:p>
        </w:tc>
        <w:tc>
          <w:tcPr>
            <w:tcW w:w="3500" w:type="pct"/>
            <w:shd w:val="clear" w:color="auto" w:fill="auto"/>
          </w:tcPr>
          <w:p w14:paraId="2DE7BEB5" w14:textId="77777777" w:rsidR="00E93F58" w:rsidRPr="00576D60" w:rsidRDefault="00E93F58" w:rsidP="002F32E3">
            <w:pPr>
              <w:pStyle w:val="ENoteTableText"/>
            </w:pPr>
          </w:p>
        </w:tc>
      </w:tr>
      <w:tr w:rsidR="00E93F58" w:rsidRPr="00576D60" w14:paraId="712D7EFD" w14:textId="77777777" w:rsidTr="002F32E3">
        <w:trPr>
          <w:cantSplit/>
        </w:trPr>
        <w:tc>
          <w:tcPr>
            <w:tcW w:w="1500" w:type="pct"/>
            <w:shd w:val="clear" w:color="auto" w:fill="auto"/>
          </w:tcPr>
          <w:p w14:paraId="49978163" w14:textId="77777777" w:rsidR="00E93F58" w:rsidRPr="00576D60" w:rsidRDefault="00E93F58" w:rsidP="002F32E3">
            <w:pPr>
              <w:pStyle w:val="ENoteTableText"/>
              <w:tabs>
                <w:tab w:val="left" w:leader="dot" w:pos="2268"/>
              </w:tabs>
            </w:pPr>
            <w:r>
              <w:t>Part 5</w:t>
            </w:r>
            <w:r w:rsidRPr="00576D60">
              <w:t>D.1</w:t>
            </w:r>
            <w:r w:rsidRPr="00576D60">
              <w:tab/>
            </w:r>
          </w:p>
        </w:tc>
        <w:tc>
          <w:tcPr>
            <w:tcW w:w="3500" w:type="pct"/>
            <w:shd w:val="clear" w:color="auto" w:fill="auto"/>
          </w:tcPr>
          <w:p w14:paraId="544B8B58" w14:textId="77777777" w:rsidR="00E93F58" w:rsidRPr="00576D60" w:rsidRDefault="00E93F58" w:rsidP="002F32E3">
            <w:pPr>
              <w:pStyle w:val="ENoteTableText"/>
            </w:pPr>
            <w:r w:rsidRPr="00576D60">
              <w:t>ad. 2010 No. 88</w:t>
            </w:r>
          </w:p>
        </w:tc>
      </w:tr>
      <w:tr w:rsidR="00E93F58" w:rsidRPr="00576D60" w14:paraId="65857506" w14:textId="77777777" w:rsidTr="002F32E3">
        <w:trPr>
          <w:cantSplit/>
        </w:trPr>
        <w:tc>
          <w:tcPr>
            <w:tcW w:w="1500" w:type="pct"/>
            <w:shd w:val="clear" w:color="auto" w:fill="auto"/>
          </w:tcPr>
          <w:p w14:paraId="796DAFCF" w14:textId="77777777" w:rsidR="00E93F58" w:rsidRPr="00576D60" w:rsidRDefault="00E93F58" w:rsidP="002F32E3">
            <w:pPr>
              <w:pStyle w:val="ENoteTableText"/>
              <w:tabs>
                <w:tab w:val="left" w:leader="dot" w:pos="2268"/>
              </w:tabs>
            </w:pPr>
            <w:r w:rsidRPr="00576D60">
              <w:t>r 5D.1.01</w:t>
            </w:r>
            <w:r w:rsidRPr="00576D60">
              <w:tab/>
            </w:r>
          </w:p>
        </w:tc>
        <w:tc>
          <w:tcPr>
            <w:tcW w:w="3500" w:type="pct"/>
            <w:shd w:val="clear" w:color="auto" w:fill="auto"/>
          </w:tcPr>
          <w:p w14:paraId="7FFE9ACC" w14:textId="77777777" w:rsidR="00E93F58" w:rsidRPr="00576D60" w:rsidRDefault="00E93F58" w:rsidP="002F32E3">
            <w:pPr>
              <w:pStyle w:val="ENoteTableText"/>
            </w:pPr>
            <w:r w:rsidRPr="00576D60">
              <w:t>ad</w:t>
            </w:r>
            <w:r>
              <w:t xml:space="preserve"> No 88, 2010</w:t>
            </w:r>
          </w:p>
        </w:tc>
      </w:tr>
      <w:tr w:rsidR="00E93F58" w:rsidRPr="00576D60" w14:paraId="3C8DD1B1" w14:textId="77777777" w:rsidTr="002F32E3">
        <w:trPr>
          <w:cantSplit/>
        </w:trPr>
        <w:tc>
          <w:tcPr>
            <w:tcW w:w="1500" w:type="pct"/>
            <w:shd w:val="clear" w:color="auto" w:fill="auto"/>
          </w:tcPr>
          <w:p w14:paraId="4BE75D31" w14:textId="77777777" w:rsidR="00E93F58" w:rsidRPr="00576D60" w:rsidRDefault="00E93F58" w:rsidP="002F32E3">
            <w:pPr>
              <w:pStyle w:val="ENoteTableText"/>
            </w:pPr>
          </w:p>
        </w:tc>
        <w:tc>
          <w:tcPr>
            <w:tcW w:w="3500" w:type="pct"/>
            <w:shd w:val="clear" w:color="auto" w:fill="auto"/>
          </w:tcPr>
          <w:p w14:paraId="05EEFDDE" w14:textId="77777777" w:rsidR="00E93F58" w:rsidRPr="00576D60" w:rsidRDefault="00E93F58" w:rsidP="002F32E3">
            <w:pPr>
              <w:pStyle w:val="ENoteTableText"/>
            </w:pPr>
            <w:r w:rsidRPr="00576D60">
              <w:t>rs</w:t>
            </w:r>
            <w:r>
              <w:t xml:space="preserve"> No 43, 2012</w:t>
            </w:r>
          </w:p>
        </w:tc>
      </w:tr>
      <w:tr w:rsidR="00E93F58" w:rsidRPr="00576D60" w14:paraId="42CB1775" w14:textId="77777777" w:rsidTr="002F32E3">
        <w:trPr>
          <w:cantSplit/>
        </w:trPr>
        <w:tc>
          <w:tcPr>
            <w:tcW w:w="1500" w:type="pct"/>
            <w:shd w:val="clear" w:color="auto" w:fill="auto"/>
          </w:tcPr>
          <w:p w14:paraId="27B234F1" w14:textId="77777777" w:rsidR="00E93F58" w:rsidRPr="00576D60" w:rsidRDefault="00E93F58" w:rsidP="002F32E3">
            <w:pPr>
              <w:pStyle w:val="ENoteTableText"/>
            </w:pPr>
          </w:p>
        </w:tc>
        <w:tc>
          <w:tcPr>
            <w:tcW w:w="3500" w:type="pct"/>
            <w:shd w:val="clear" w:color="auto" w:fill="auto"/>
          </w:tcPr>
          <w:p w14:paraId="7AA5B985" w14:textId="77777777" w:rsidR="00E93F58" w:rsidRPr="00576D60" w:rsidRDefault="00E93F58" w:rsidP="002F32E3">
            <w:pPr>
              <w:pStyle w:val="ENoteTableText"/>
            </w:pPr>
            <w:r>
              <w:t xml:space="preserve">rep </w:t>
            </w:r>
            <w:r w:rsidRPr="00C42170">
              <w:rPr>
                <w:u w:val="single"/>
              </w:rPr>
              <w:t>F2023L01423</w:t>
            </w:r>
          </w:p>
        </w:tc>
      </w:tr>
      <w:tr w:rsidR="00E93F58" w:rsidRPr="00576D60" w14:paraId="24123856" w14:textId="77777777" w:rsidTr="002F32E3">
        <w:trPr>
          <w:cantSplit/>
        </w:trPr>
        <w:tc>
          <w:tcPr>
            <w:tcW w:w="1500" w:type="pct"/>
            <w:shd w:val="clear" w:color="auto" w:fill="auto"/>
          </w:tcPr>
          <w:p w14:paraId="044FABF7" w14:textId="77777777" w:rsidR="00E93F58" w:rsidRPr="00576D60" w:rsidRDefault="00E93F58" w:rsidP="002F32E3">
            <w:pPr>
              <w:pStyle w:val="ENoteTableText"/>
              <w:tabs>
                <w:tab w:val="left" w:leader="dot" w:pos="2268"/>
              </w:tabs>
            </w:pPr>
            <w:r w:rsidRPr="00576D60">
              <w:t>r. 5D.1.01A</w:t>
            </w:r>
            <w:r w:rsidRPr="00576D60">
              <w:tab/>
            </w:r>
          </w:p>
        </w:tc>
        <w:tc>
          <w:tcPr>
            <w:tcW w:w="3500" w:type="pct"/>
            <w:shd w:val="clear" w:color="auto" w:fill="auto"/>
          </w:tcPr>
          <w:p w14:paraId="7F84C8A4" w14:textId="77777777" w:rsidR="00E93F58" w:rsidRPr="00576D60" w:rsidRDefault="00E93F58" w:rsidP="002F32E3">
            <w:pPr>
              <w:pStyle w:val="ENoteTableText"/>
            </w:pPr>
            <w:r w:rsidRPr="00576D60">
              <w:t>ad. 2012 No. 43</w:t>
            </w:r>
          </w:p>
        </w:tc>
      </w:tr>
      <w:tr w:rsidR="00E93F58" w:rsidRPr="00576D60" w14:paraId="45A4A712" w14:textId="77777777" w:rsidTr="002F32E3">
        <w:trPr>
          <w:cantSplit/>
        </w:trPr>
        <w:tc>
          <w:tcPr>
            <w:tcW w:w="1500" w:type="pct"/>
            <w:shd w:val="clear" w:color="auto" w:fill="auto"/>
          </w:tcPr>
          <w:p w14:paraId="6A07FF5A" w14:textId="77777777" w:rsidR="00E93F58" w:rsidRPr="00576D60" w:rsidRDefault="00E93F58" w:rsidP="002F32E3">
            <w:pPr>
              <w:pStyle w:val="ENoteTableText"/>
              <w:tabs>
                <w:tab w:val="left" w:leader="dot" w:pos="2268"/>
              </w:tabs>
            </w:pPr>
            <w:r w:rsidRPr="00576D60">
              <w:t>r 5D.1.02</w:t>
            </w:r>
            <w:r w:rsidRPr="00576D60">
              <w:tab/>
            </w:r>
          </w:p>
        </w:tc>
        <w:tc>
          <w:tcPr>
            <w:tcW w:w="3500" w:type="pct"/>
            <w:shd w:val="clear" w:color="auto" w:fill="auto"/>
          </w:tcPr>
          <w:p w14:paraId="4FDBFDCE" w14:textId="77777777" w:rsidR="00E93F58" w:rsidRPr="00576D60" w:rsidRDefault="00E93F58" w:rsidP="002F32E3">
            <w:pPr>
              <w:pStyle w:val="ENoteTableText"/>
            </w:pPr>
            <w:r w:rsidRPr="00576D60">
              <w:t>ad</w:t>
            </w:r>
            <w:r>
              <w:t xml:space="preserve"> No 88, 2010</w:t>
            </w:r>
          </w:p>
        </w:tc>
      </w:tr>
      <w:tr w:rsidR="00E93F58" w:rsidRPr="00576D60" w14:paraId="1BC11A95" w14:textId="77777777" w:rsidTr="002F32E3">
        <w:trPr>
          <w:cantSplit/>
        </w:trPr>
        <w:tc>
          <w:tcPr>
            <w:tcW w:w="1500" w:type="pct"/>
            <w:shd w:val="clear" w:color="auto" w:fill="auto"/>
          </w:tcPr>
          <w:p w14:paraId="58AA3235" w14:textId="77777777" w:rsidR="00E93F58" w:rsidRPr="00576D60" w:rsidRDefault="00E93F58" w:rsidP="002F32E3">
            <w:pPr>
              <w:pStyle w:val="ENoteTableText"/>
              <w:tabs>
                <w:tab w:val="left" w:leader="dot" w:pos="2268"/>
              </w:tabs>
            </w:pPr>
          </w:p>
        </w:tc>
        <w:tc>
          <w:tcPr>
            <w:tcW w:w="3500" w:type="pct"/>
            <w:shd w:val="clear" w:color="auto" w:fill="auto"/>
          </w:tcPr>
          <w:p w14:paraId="1454FED6" w14:textId="77777777" w:rsidR="00E93F58" w:rsidRPr="00576D60" w:rsidRDefault="00E93F58" w:rsidP="002F32E3">
            <w:pPr>
              <w:pStyle w:val="ENoteTableText"/>
            </w:pPr>
            <w:r>
              <w:t>am F2023L01458</w:t>
            </w:r>
          </w:p>
        </w:tc>
      </w:tr>
      <w:tr w:rsidR="00E93F58" w:rsidRPr="00576D60" w14:paraId="34FA6D43" w14:textId="77777777" w:rsidTr="002F32E3">
        <w:trPr>
          <w:cantSplit/>
        </w:trPr>
        <w:tc>
          <w:tcPr>
            <w:tcW w:w="1500" w:type="pct"/>
            <w:shd w:val="clear" w:color="auto" w:fill="auto"/>
          </w:tcPr>
          <w:p w14:paraId="5A257A81" w14:textId="77777777" w:rsidR="00E93F58" w:rsidRPr="00576D60" w:rsidRDefault="00E93F58" w:rsidP="002F32E3">
            <w:pPr>
              <w:pStyle w:val="ENoteTableText"/>
              <w:tabs>
                <w:tab w:val="left" w:leader="dot" w:pos="2268"/>
              </w:tabs>
            </w:pPr>
            <w:r w:rsidRPr="00576D60">
              <w:t>r. 5D.1.03</w:t>
            </w:r>
            <w:r w:rsidRPr="00576D60">
              <w:tab/>
            </w:r>
          </w:p>
        </w:tc>
        <w:tc>
          <w:tcPr>
            <w:tcW w:w="3500" w:type="pct"/>
            <w:shd w:val="clear" w:color="auto" w:fill="auto"/>
          </w:tcPr>
          <w:p w14:paraId="6AD97F6D" w14:textId="77777777" w:rsidR="00E93F58" w:rsidRPr="00576D60" w:rsidRDefault="00E93F58" w:rsidP="002F32E3">
            <w:pPr>
              <w:pStyle w:val="ENoteTableText"/>
            </w:pPr>
            <w:r w:rsidRPr="00576D60">
              <w:t>ad. 2010 No. 88</w:t>
            </w:r>
          </w:p>
        </w:tc>
      </w:tr>
      <w:tr w:rsidR="00E93F58" w:rsidRPr="00576D60" w14:paraId="2CC6EA45" w14:textId="77777777" w:rsidTr="002F32E3">
        <w:trPr>
          <w:cantSplit/>
        </w:trPr>
        <w:tc>
          <w:tcPr>
            <w:tcW w:w="1500" w:type="pct"/>
            <w:shd w:val="clear" w:color="auto" w:fill="auto"/>
          </w:tcPr>
          <w:p w14:paraId="063E7624" w14:textId="77777777" w:rsidR="00E93F58" w:rsidRPr="00576D60" w:rsidRDefault="00E93F58" w:rsidP="002F32E3">
            <w:pPr>
              <w:pStyle w:val="ENoteTableText"/>
              <w:tabs>
                <w:tab w:val="left" w:leader="dot" w:pos="2268"/>
              </w:tabs>
            </w:pPr>
            <w:r w:rsidRPr="00576D60">
              <w:t>r. 5D.1.04</w:t>
            </w:r>
            <w:r w:rsidRPr="00576D60">
              <w:tab/>
            </w:r>
          </w:p>
        </w:tc>
        <w:tc>
          <w:tcPr>
            <w:tcW w:w="3500" w:type="pct"/>
            <w:shd w:val="clear" w:color="auto" w:fill="auto"/>
          </w:tcPr>
          <w:p w14:paraId="2546EB8B" w14:textId="77777777" w:rsidR="00E93F58" w:rsidRPr="00576D60" w:rsidRDefault="00E93F58" w:rsidP="002F32E3">
            <w:pPr>
              <w:pStyle w:val="ENoteTableText"/>
            </w:pPr>
            <w:r w:rsidRPr="00576D60">
              <w:t>ad. 2010 No. 88</w:t>
            </w:r>
          </w:p>
        </w:tc>
      </w:tr>
      <w:tr w:rsidR="00E93F58" w:rsidRPr="00576D60" w14:paraId="36DB0F63" w14:textId="77777777" w:rsidTr="002F32E3">
        <w:trPr>
          <w:cantSplit/>
        </w:trPr>
        <w:tc>
          <w:tcPr>
            <w:tcW w:w="1500" w:type="pct"/>
            <w:shd w:val="clear" w:color="auto" w:fill="auto"/>
          </w:tcPr>
          <w:p w14:paraId="66162A70" w14:textId="77777777" w:rsidR="00E93F58" w:rsidRPr="00576D60" w:rsidRDefault="00E93F58" w:rsidP="002F32E3">
            <w:pPr>
              <w:pStyle w:val="ENoteTableText"/>
              <w:keepNext/>
              <w:tabs>
                <w:tab w:val="left" w:leader="dot" w:pos="2268"/>
              </w:tabs>
              <w:rPr>
                <w:b/>
              </w:rPr>
            </w:pPr>
            <w:r>
              <w:rPr>
                <w:b/>
              </w:rPr>
              <w:t>Part 5</w:t>
            </w:r>
            <w:r w:rsidRPr="00576D60">
              <w:rPr>
                <w:b/>
              </w:rPr>
              <w:t>D.2</w:t>
            </w:r>
          </w:p>
        </w:tc>
        <w:tc>
          <w:tcPr>
            <w:tcW w:w="3500" w:type="pct"/>
            <w:shd w:val="clear" w:color="auto" w:fill="auto"/>
          </w:tcPr>
          <w:p w14:paraId="7B66EE90" w14:textId="77777777" w:rsidR="00E93F58" w:rsidRPr="00576D60" w:rsidRDefault="00E93F58" w:rsidP="002F32E3">
            <w:pPr>
              <w:pStyle w:val="ENoteTableText"/>
            </w:pPr>
          </w:p>
        </w:tc>
      </w:tr>
      <w:tr w:rsidR="00E93F58" w:rsidRPr="00576D60" w14:paraId="39D7ED5C" w14:textId="77777777" w:rsidTr="002F32E3">
        <w:trPr>
          <w:cantSplit/>
        </w:trPr>
        <w:tc>
          <w:tcPr>
            <w:tcW w:w="1500" w:type="pct"/>
            <w:shd w:val="clear" w:color="auto" w:fill="auto"/>
          </w:tcPr>
          <w:p w14:paraId="0CEA1339" w14:textId="77777777" w:rsidR="00E93F58" w:rsidRPr="00576D60" w:rsidRDefault="00E93F58" w:rsidP="002F32E3">
            <w:pPr>
              <w:pStyle w:val="ENoteTableText"/>
              <w:tabs>
                <w:tab w:val="left" w:leader="dot" w:pos="2268"/>
              </w:tabs>
            </w:pPr>
            <w:r>
              <w:t>Part 5</w:t>
            </w:r>
            <w:r w:rsidRPr="00576D60">
              <w:t>D.2</w:t>
            </w:r>
            <w:r w:rsidRPr="00576D60">
              <w:tab/>
            </w:r>
          </w:p>
        </w:tc>
        <w:tc>
          <w:tcPr>
            <w:tcW w:w="3500" w:type="pct"/>
            <w:shd w:val="clear" w:color="auto" w:fill="auto"/>
          </w:tcPr>
          <w:p w14:paraId="0AF02569" w14:textId="77777777" w:rsidR="00E93F58" w:rsidRPr="00576D60" w:rsidRDefault="00E93F58" w:rsidP="002F32E3">
            <w:pPr>
              <w:pStyle w:val="ENoteTableText"/>
            </w:pPr>
            <w:r w:rsidRPr="00576D60">
              <w:t>ad. 2010 No. 88</w:t>
            </w:r>
          </w:p>
        </w:tc>
      </w:tr>
      <w:tr w:rsidR="00E93F58" w:rsidRPr="00576D60" w14:paraId="669B192D" w14:textId="77777777" w:rsidTr="002F32E3">
        <w:trPr>
          <w:cantSplit/>
        </w:trPr>
        <w:tc>
          <w:tcPr>
            <w:tcW w:w="1500" w:type="pct"/>
            <w:shd w:val="clear" w:color="auto" w:fill="auto"/>
          </w:tcPr>
          <w:p w14:paraId="2BB9AF73" w14:textId="77777777" w:rsidR="00E93F58" w:rsidRPr="00576D60" w:rsidRDefault="00E93F58" w:rsidP="008F49D7">
            <w:pPr>
              <w:pStyle w:val="ENoteTableText"/>
              <w:keepNext/>
              <w:tabs>
                <w:tab w:val="left" w:leader="dot" w:pos="2268"/>
              </w:tabs>
              <w:rPr>
                <w:b/>
              </w:rPr>
            </w:pPr>
            <w:r>
              <w:rPr>
                <w:b/>
              </w:rPr>
              <w:t>Division 2</w:t>
            </w:r>
            <w:r w:rsidRPr="00576D60">
              <w:rPr>
                <w:b/>
              </w:rPr>
              <w:t>.1</w:t>
            </w:r>
          </w:p>
        </w:tc>
        <w:tc>
          <w:tcPr>
            <w:tcW w:w="3500" w:type="pct"/>
            <w:shd w:val="clear" w:color="auto" w:fill="auto"/>
          </w:tcPr>
          <w:p w14:paraId="0D8C9E21" w14:textId="77777777" w:rsidR="00E93F58" w:rsidRPr="00576D60" w:rsidRDefault="00E93F58" w:rsidP="002F32E3">
            <w:pPr>
              <w:pStyle w:val="ENoteTableText"/>
            </w:pPr>
          </w:p>
        </w:tc>
      </w:tr>
      <w:tr w:rsidR="00E93F58" w:rsidRPr="00576D60" w14:paraId="5ACBC208" w14:textId="77777777" w:rsidTr="002F32E3">
        <w:trPr>
          <w:cantSplit/>
        </w:trPr>
        <w:tc>
          <w:tcPr>
            <w:tcW w:w="1500" w:type="pct"/>
            <w:shd w:val="clear" w:color="auto" w:fill="auto"/>
          </w:tcPr>
          <w:p w14:paraId="6721AE3C" w14:textId="77777777" w:rsidR="00E93F58" w:rsidRPr="00576D60" w:rsidRDefault="00E93F58" w:rsidP="002F32E3">
            <w:pPr>
              <w:pStyle w:val="ENoteTableText"/>
              <w:tabs>
                <w:tab w:val="left" w:leader="dot" w:pos="2268"/>
              </w:tabs>
            </w:pPr>
            <w:r w:rsidRPr="00576D60">
              <w:t>r 5D.2.01</w:t>
            </w:r>
            <w:r w:rsidRPr="00576D60">
              <w:tab/>
            </w:r>
          </w:p>
        </w:tc>
        <w:tc>
          <w:tcPr>
            <w:tcW w:w="3500" w:type="pct"/>
            <w:shd w:val="clear" w:color="auto" w:fill="auto"/>
          </w:tcPr>
          <w:p w14:paraId="12261A4D" w14:textId="77777777" w:rsidR="00E93F58" w:rsidRPr="00576D60" w:rsidRDefault="00E93F58" w:rsidP="002F32E3">
            <w:pPr>
              <w:pStyle w:val="ENoteTableText"/>
            </w:pPr>
            <w:r w:rsidRPr="00576D60">
              <w:t>ad No 88, 2010</w:t>
            </w:r>
          </w:p>
        </w:tc>
      </w:tr>
      <w:tr w:rsidR="00E93F58" w:rsidRPr="00576D60" w14:paraId="6EF03321" w14:textId="77777777" w:rsidTr="002F32E3">
        <w:trPr>
          <w:cantSplit/>
        </w:trPr>
        <w:tc>
          <w:tcPr>
            <w:tcW w:w="1500" w:type="pct"/>
            <w:shd w:val="clear" w:color="auto" w:fill="auto"/>
          </w:tcPr>
          <w:p w14:paraId="55DF8060" w14:textId="77777777" w:rsidR="00E93F58" w:rsidRPr="00576D60" w:rsidRDefault="00E93F58" w:rsidP="002F32E3">
            <w:pPr>
              <w:pStyle w:val="ENoteTableText"/>
              <w:tabs>
                <w:tab w:val="left" w:leader="dot" w:pos="2268"/>
              </w:tabs>
            </w:pPr>
          </w:p>
        </w:tc>
        <w:tc>
          <w:tcPr>
            <w:tcW w:w="3500" w:type="pct"/>
            <w:shd w:val="clear" w:color="auto" w:fill="auto"/>
          </w:tcPr>
          <w:p w14:paraId="7A4CCA0C" w14:textId="77777777" w:rsidR="00E93F58" w:rsidRPr="00576D60" w:rsidRDefault="00E93F58" w:rsidP="002F32E3">
            <w:pPr>
              <w:pStyle w:val="ENoteTableText"/>
            </w:pPr>
            <w:r w:rsidRPr="00576D60">
              <w:t>am F2019L00392</w:t>
            </w:r>
          </w:p>
        </w:tc>
      </w:tr>
      <w:tr w:rsidR="00E93F58" w:rsidRPr="00576D60" w14:paraId="0F20A0A8" w14:textId="77777777" w:rsidTr="002F32E3">
        <w:trPr>
          <w:cantSplit/>
        </w:trPr>
        <w:tc>
          <w:tcPr>
            <w:tcW w:w="1500" w:type="pct"/>
            <w:shd w:val="clear" w:color="auto" w:fill="auto"/>
          </w:tcPr>
          <w:p w14:paraId="0FE67419" w14:textId="77777777" w:rsidR="00E93F58" w:rsidRPr="00576D60" w:rsidRDefault="00E93F58" w:rsidP="002F32E3">
            <w:pPr>
              <w:pStyle w:val="ENoteTableText"/>
              <w:tabs>
                <w:tab w:val="left" w:leader="dot" w:pos="2268"/>
              </w:tabs>
            </w:pPr>
            <w:r w:rsidRPr="00576D60">
              <w:t>r. 5D.2.02</w:t>
            </w:r>
            <w:r w:rsidRPr="00576D60">
              <w:tab/>
            </w:r>
          </w:p>
        </w:tc>
        <w:tc>
          <w:tcPr>
            <w:tcW w:w="3500" w:type="pct"/>
            <w:shd w:val="clear" w:color="auto" w:fill="auto"/>
          </w:tcPr>
          <w:p w14:paraId="1700A758" w14:textId="77777777" w:rsidR="00E93F58" w:rsidRPr="00576D60" w:rsidRDefault="00E93F58" w:rsidP="002F32E3">
            <w:pPr>
              <w:pStyle w:val="ENoteTableText"/>
            </w:pPr>
            <w:r w:rsidRPr="00576D60">
              <w:t>ad. 2010 No. 88</w:t>
            </w:r>
          </w:p>
        </w:tc>
      </w:tr>
      <w:tr w:rsidR="00E93F58" w:rsidRPr="00576D60" w14:paraId="727F3519" w14:textId="77777777" w:rsidTr="002F32E3">
        <w:trPr>
          <w:cantSplit/>
        </w:trPr>
        <w:tc>
          <w:tcPr>
            <w:tcW w:w="1500" w:type="pct"/>
            <w:shd w:val="clear" w:color="auto" w:fill="auto"/>
          </w:tcPr>
          <w:p w14:paraId="71BFFDA8" w14:textId="77777777" w:rsidR="00E93F58" w:rsidRPr="00576D60" w:rsidRDefault="00E93F58" w:rsidP="002F32E3">
            <w:pPr>
              <w:pStyle w:val="ENoteTableText"/>
              <w:tabs>
                <w:tab w:val="left" w:leader="dot" w:pos="2268"/>
              </w:tabs>
              <w:rPr>
                <w:b/>
              </w:rPr>
            </w:pPr>
            <w:r>
              <w:rPr>
                <w:b/>
              </w:rPr>
              <w:t>Division 2</w:t>
            </w:r>
            <w:r w:rsidRPr="00576D60">
              <w:rPr>
                <w:b/>
              </w:rPr>
              <w:t>.2</w:t>
            </w:r>
          </w:p>
        </w:tc>
        <w:tc>
          <w:tcPr>
            <w:tcW w:w="3500" w:type="pct"/>
            <w:shd w:val="clear" w:color="auto" w:fill="auto"/>
          </w:tcPr>
          <w:p w14:paraId="6D7311CF" w14:textId="77777777" w:rsidR="00E93F58" w:rsidRPr="00576D60" w:rsidRDefault="00E93F58" w:rsidP="002F32E3">
            <w:pPr>
              <w:pStyle w:val="ENoteTableText"/>
            </w:pPr>
          </w:p>
        </w:tc>
      </w:tr>
      <w:tr w:rsidR="00E93F58" w:rsidRPr="00576D60" w14:paraId="35F340AC" w14:textId="77777777" w:rsidTr="002F32E3">
        <w:trPr>
          <w:cantSplit/>
        </w:trPr>
        <w:tc>
          <w:tcPr>
            <w:tcW w:w="1500" w:type="pct"/>
            <w:shd w:val="clear" w:color="auto" w:fill="auto"/>
          </w:tcPr>
          <w:p w14:paraId="1524E683" w14:textId="77777777" w:rsidR="00E93F58" w:rsidRPr="00576D60" w:rsidRDefault="00E93F58" w:rsidP="002F32E3">
            <w:pPr>
              <w:pStyle w:val="ENoteTableText"/>
              <w:tabs>
                <w:tab w:val="left" w:leader="dot" w:pos="2268"/>
              </w:tabs>
            </w:pPr>
            <w:r>
              <w:t>Division 2</w:t>
            </w:r>
            <w:r w:rsidRPr="00576D60">
              <w:t>.2</w:t>
            </w:r>
            <w:r w:rsidRPr="00576D60">
              <w:tab/>
            </w:r>
          </w:p>
        </w:tc>
        <w:tc>
          <w:tcPr>
            <w:tcW w:w="3500" w:type="pct"/>
            <w:shd w:val="clear" w:color="auto" w:fill="auto"/>
          </w:tcPr>
          <w:p w14:paraId="43ABEEC1" w14:textId="77777777" w:rsidR="00E93F58" w:rsidRPr="00576D60" w:rsidRDefault="00E93F58" w:rsidP="002F32E3">
            <w:pPr>
              <w:pStyle w:val="ENoteTableText"/>
            </w:pPr>
            <w:r w:rsidRPr="00576D60">
              <w:t>ad. 2010 No 88</w:t>
            </w:r>
          </w:p>
        </w:tc>
      </w:tr>
      <w:tr w:rsidR="00E93F58" w:rsidRPr="00576D60" w14:paraId="14A7C425" w14:textId="77777777" w:rsidTr="002F32E3">
        <w:trPr>
          <w:cantSplit/>
        </w:trPr>
        <w:tc>
          <w:tcPr>
            <w:tcW w:w="1500" w:type="pct"/>
            <w:shd w:val="clear" w:color="auto" w:fill="auto"/>
          </w:tcPr>
          <w:p w14:paraId="5004E92A" w14:textId="77777777" w:rsidR="00E93F58" w:rsidRPr="00576D60" w:rsidRDefault="00E93F58" w:rsidP="002F32E3">
            <w:pPr>
              <w:pStyle w:val="ENoteTableText"/>
              <w:tabs>
                <w:tab w:val="left" w:leader="dot" w:pos="2268"/>
              </w:tabs>
            </w:pPr>
            <w:r w:rsidRPr="00576D60">
              <w:t>r. 5D.2.03</w:t>
            </w:r>
            <w:r w:rsidRPr="00576D60">
              <w:tab/>
            </w:r>
          </w:p>
        </w:tc>
        <w:tc>
          <w:tcPr>
            <w:tcW w:w="3500" w:type="pct"/>
            <w:shd w:val="clear" w:color="auto" w:fill="auto"/>
          </w:tcPr>
          <w:p w14:paraId="6771D290" w14:textId="77777777" w:rsidR="00E93F58" w:rsidRPr="00576D60" w:rsidRDefault="00E93F58" w:rsidP="002F32E3">
            <w:pPr>
              <w:pStyle w:val="ENoteTableText"/>
            </w:pPr>
            <w:r w:rsidRPr="00576D60">
              <w:t>ad. 2010 No. 88</w:t>
            </w:r>
          </w:p>
        </w:tc>
      </w:tr>
      <w:tr w:rsidR="00E93F58" w:rsidRPr="00576D60" w14:paraId="71296CCE" w14:textId="77777777" w:rsidTr="002F32E3">
        <w:trPr>
          <w:cantSplit/>
        </w:trPr>
        <w:tc>
          <w:tcPr>
            <w:tcW w:w="1500" w:type="pct"/>
            <w:shd w:val="clear" w:color="auto" w:fill="auto"/>
          </w:tcPr>
          <w:p w14:paraId="031C6D27" w14:textId="77777777" w:rsidR="00E93F58" w:rsidRPr="00576D60" w:rsidRDefault="00E93F58" w:rsidP="002F32E3">
            <w:pPr>
              <w:pStyle w:val="ENoteTableText"/>
              <w:tabs>
                <w:tab w:val="left" w:leader="dot" w:pos="2268"/>
              </w:tabs>
            </w:pPr>
            <w:r w:rsidRPr="00576D60">
              <w:t>r. 5D.2.04</w:t>
            </w:r>
            <w:r w:rsidRPr="00576D60">
              <w:tab/>
            </w:r>
          </w:p>
        </w:tc>
        <w:tc>
          <w:tcPr>
            <w:tcW w:w="3500" w:type="pct"/>
            <w:shd w:val="clear" w:color="auto" w:fill="auto"/>
          </w:tcPr>
          <w:p w14:paraId="74941D00" w14:textId="77777777" w:rsidR="00E93F58" w:rsidRPr="00576D60" w:rsidRDefault="00E93F58" w:rsidP="002F32E3">
            <w:pPr>
              <w:pStyle w:val="ENoteTableText"/>
            </w:pPr>
            <w:r w:rsidRPr="00576D60">
              <w:t>ad. 2010 No. 88</w:t>
            </w:r>
          </w:p>
        </w:tc>
      </w:tr>
      <w:tr w:rsidR="00E93F58" w:rsidRPr="00576D60" w14:paraId="4FC912F6" w14:textId="77777777" w:rsidTr="002F32E3">
        <w:trPr>
          <w:cantSplit/>
        </w:trPr>
        <w:tc>
          <w:tcPr>
            <w:tcW w:w="1500" w:type="pct"/>
            <w:shd w:val="clear" w:color="auto" w:fill="auto"/>
          </w:tcPr>
          <w:p w14:paraId="5D4009A7" w14:textId="77777777" w:rsidR="00E93F58" w:rsidRPr="00576D60" w:rsidRDefault="00E93F58" w:rsidP="002F32E3">
            <w:pPr>
              <w:pStyle w:val="ENoteTableText"/>
              <w:tabs>
                <w:tab w:val="left" w:leader="dot" w:pos="2268"/>
              </w:tabs>
            </w:pPr>
            <w:r w:rsidRPr="00576D60">
              <w:t>r 5D.2.05</w:t>
            </w:r>
            <w:r w:rsidRPr="00576D60">
              <w:tab/>
            </w:r>
          </w:p>
        </w:tc>
        <w:tc>
          <w:tcPr>
            <w:tcW w:w="3500" w:type="pct"/>
            <w:shd w:val="clear" w:color="auto" w:fill="auto"/>
          </w:tcPr>
          <w:p w14:paraId="7CBF3E61" w14:textId="77777777" w:rsidR="00E93F58" w:rsidRPr="00576D60" w:rsidRDefault="00E93F58" w:rsidP="002F32E3">
            <w:pPr>
              <w:pStyle w:val="ENoteTableText"/>
            </w:pPr>
            <w:r w:rsidRPr="00576D60">
              <w:t>ad No 88, 2010</w:t>
            </w:r>
          </w:p>
        </w:tc>
      </w:tr>
      <w:tr w:rsidR="00E93F58" w:rsidRPr="00576D60" w14:paraId="76DD5E44" w14:textId="77777777" w:rsidTr="002F32E3">
        <w:trPr>
          <w:cantSplit/>
        </w:trPr>
        <w:tc>
          <w:tcPr>
            <w:tcW w:w="1500" w:type="pct"/>
            <w:shd w:val="clear" w:color="auto" w:fill="auto"/>
          </w:tcPr>
          <w:p w14:paraId="6FE94DCB" w14:textId="77777777" w:rsidR="00E93F58" w:rsidRPr="00576D60" w:rsidRDefault="00E93F58" w:rsidP="002F32E3">
            <w:pPr>
              <w:pStyle w:val="ENoteTableText"/>
              <w:tabs>
                <w:tab w:val="left" w:leader="dot" w:pos="2268"/>
              </w:tabs>
            </w:pPr>
          </w:p>
        </w:tc>
        <w:tc>
          <w:tcPr>
            <w:tcW w:w="3500" w:type="pct"/>
            <w:shd w:val="clear" w:color="auto" w:fill="auto"/>
          </w:tcPr>
          <w:p w14:paraId="645A4A32" w14:textId="77777777" w:rsidR="00E93F58" w:rsidRPr="00576D60" w:rsidRDefault="00E93F58" w:rsidP="002F32E3">
            <w:pPr>
              <w:pStyle w:val="ENoteTableText"/>
            </w:pPr>
            <w:r w:rsidRPr="00576D60">
              <w:t>am F2019L00392</w:t>
            </w:r>
          </w:p>
        </w:tc>
      </w:tr>
      <w:tr w:rsidR="00E93F58" w:rsidRPr="00576D60" w14:paraId="14F08781" w14:textId="77777777" w:rsidTr="002F32E3">
        <w:trPr>
          <w:cantSplit/>
        </w:trPr>
        <w:tc>
          <w:tcPr>
            <w:tcW w:w="1500" w:type="pct"/>
            <w:shd w:val="clear" w:color="auto" w:fill="auto"/>
          </w:tcPr>
          <w:p w14:paraId="25764B72" w14:textId="77777777" w:rsidR="00E93F58" w:rsidRPr="00576D60" w:rsidRDefault="00E93F58" w:rsidP="002F32E3">
            <w:pPr>
              <w:pStyle w:val="ENoteTableText"/>
              <w:tabs>
                <w:tab w:val="left" w:leader="dot" w:pos="2268"/>
              </w:tabs>
            </w:pPr>
            <w:r w:rsidRPr="00576D60">
              <w:t>r 5D.2.06</w:t>
            </w:r>
            <w:r w:rsidRPr="00576D60">
              <w:tab/>
            </w:r>
          </w:p>
        </w:tc>
        <w:tc>
          <w:tcPr>
            <w:tcW w:w="3500" w:type="pct"/>
            <w:shd w:val="clear" w:color="auto" w:fill="auto"/>
          </w:tcPr>
          <w:p w14:paraId="463907E4" w14:textId="77777777" w:rsidR="00E93F58" w:rsidRPr="00576D60" w:rsidRDefault="00E93F58" w:rsidP="002F32E3">
            <w:pPr>
              <w:pStyle w:val="ENoteTableText"/>
            </w:pPr>
            <w:r w:rsidRPr="00576D60">
              <w:t>ad No. 88, 2010</w:t>
            </w:r>
          </w:p>
        </w:tc>
      </w:tr>
      <w:tr w:rsidR="00E93F58" w:rsidRPr="00576D60" w14:paraId="35907BD7" w14:textId="77777777" w:rsidTr="002F32E3">
        <w:trPr>
          <w:cantSplit/>
        </w:trPr>
        <w:tc>
          <w:tcPr>
            <w:tcW w:w="1500" w:type="pct"/>
            <w:shd w:val="clear" w:color="auto" w:fill="auto"/>
          </w:tcPr>
          <w:p w14:paraId="6A8B12E3" w14:textId="77777777" w:rsidR="00E93F58" w:rsidRPr="00576D60" w:rsidRDefault="00E93F58" w:rsidP="002F32E3">
            <w:pPr>
              <w:pStyle w:val="ENoteTableText"/>
            </w:pPr>
          </w:p>
        </w:tc>
        <w:tc>
          <w:tcPr>
            <w:tcW w:w="3500" w:type="pct"/>
            <w:shd w:val="clear" w:color="auto" w:fill="auto"/>
          </w:tcPr>
          <w:p w14:paraId="7460830D" w14:textId="77777777" w:rsidR="00E93F58" w:rsidRPr="00576D60" w:rsidRDefault="00E93F58" w:rsidP="002F32E3">
            <w:pPr>
              <w:pStyle w:val="ENoteTableText"/>
            </w:pPr>
            <w:r w:rsidRPr="00576D60">
              <w:t>am No 43, 2012; F2019L00392</w:t>
            </w:r>
          </w:p>
        </w:tc>
      </w:tr>
      <w:tr w:rsidR="00E93F58" w:rsidRPr="00576D60" w14:paraId="1A539901" w14:textId="77777777" w:rsidTr="002F32E3">
        <w:trPr>
          <w:cantSplit/>
        </w:trPr>
        <w:tc>
          <w:tcPr>
            <w:tcW w:w="1500" w:type="pct"/>
            <w:shd w:val="clear" w:color="auto" w:fill="auto"/>
          </w:tcPr>
          <w:p w14:paraId="02EBB329" w14:textId="77777777" w:rsidR="00E93F58" w:rsidRPr="00576D60" w:rsidRDefault="00E93F58" w:rsidP="002F32E3">
            <w:pPr>
              <w:pStyle w:val="ENoteTableText"/>
              <w:tabs>
                <w:tab w:val="left" w:leader="dot" w:pos="2268"/>
              </w:tabs>
            </w:pPr>
            <w:r w:rsidRPr="00576D60">
              <w:t>r 5D.2.07</w:t>
            </w:r>
            <w:r w:rsidRPr="00576D60">
              <w:tab/>
            </w:r>
          </w:p>
        </w:tc>
        <w:tc>
          <w:tcPr>
            <w:tcW w:w="3500" w:type="pct"/>
            <w:shd w:val="clear" w:color="auto" w:fill="auto"/>
          </w:tcPr>
          <w:p w14:paraId="2744ED62" w14:textId="77777777" w:rsidR="00E93F58" w:rsidRPr="00576D60" w:rsidRDefault="00E93F58" w:rsidP="002F32E3">
            <w:pPr>
              <w:pStyle w:val="ENoteTableText"/>
            </w:pPr>
            <w:r w:rsidRPr="00576D60">
              <w:t>ad No 88, 2010</w:t>
            </w:r>
          </w:p>
        </w:tc>
      </w:tr>
      <w:tr w:rsidR="00E93F58" w:rsidRPr="00576D60" w14:paraId="7EBC32B0" w14:textId="77777777" w:rsidTr="002F32E3">
        <w:trPr>
          <w:cantSplit/>
        </w:trPr>
        <w:tc>
          <w:tcPr>
            <w:tcW w:w="1500" w:type="pct"/>
            <w:shd w:val="clear" w:color="auto" w:fill="auto"/>
          </w:tcPr>
          <w:p w14:paraId="14218206" w14:textId="77777777" w:rsidR="00E93F58" w:rsidRPr="00576D60" w:rsidRDefault="00E93F58" w:rsidP="002F32E3">
            <w:pPr>
              <w:pStyle w:val="ENoteTableText"/>
              <w:tabs>
                <w:tab w:val="left" w:leader="dot" w:pos="2268"/>
              </w:tabs>
            </w:pPr>
          </w:p>
        </w:tc>
        <w:tc>
          <w:tcPr>
            <w:tcW w:w="3500" w:type="pct"/>
            <w:shd w:val="clear" w:color="auto" w:fill="auto"/>
          </w:tcPr>
          <w:p w14:paraId="6485DEAB" w14:textId="77777777" w:rsidR="00E93F58" w:rsidRPr="00576D60" w:rsidRDefault="00E93F58" w:rsidP="002F32E3">
            <w:pPr>
              <w:pStyle w:val="ENoteTableText"/>
            </w:pPr>
            <w:r w:rsidRPr="00576D60">
              <w:t>am F2019L00392</w:t>
            </w:r>
          </w:p>
        </w:tc>
      </w:tr>
      <w:tr w:rsidR="00E93F58" w:rsidRPr="00576D60" w14:paraId="611A5E18" w14:textId="77777777" w:rsidTr="002F32E3">
        <w:trPr>
          <w:cantSplit/>
        </w:trPr>
        <w:tc>
          <w:tcPr>
            <w:tcW w:w="1500" w:type="pct"/>
            <w:shd w:val="clear" w:color="auto" w:fill="auto"/>
          </w:tcPr>
          <w:p w14:paraId="14F191B6" w14:textId="77777777" w:rsidR="00E93F58" w:rsidRPr="00576D60" w:rsidRDefault="00E93F58" w:rsidP="002F32E3">
            <w:pPr>
              <w:pStyle w:val="ENoteTableText"/>
              <w:tabs>
                <w:tab w:val="left" w:leader="dot" w:pos="2268"/>
              </w:tabs>
            </w:pPr>
            <w:r w:rsidRPr="00576D60">
              <w:t>r 5D.2.08</w:t>
            </w:r>
            <w:r w:rsidRPr="00576D60">
              <w:tab/>
            </w:r>
          </w:p>
        </w:tc>
        <w:tc>
          <w:tcPr>
            <w:tcW w:w="3500" w:type="pct"/>
            <w:shd w:val="clear" w:color="auto" w:fill="auto"/>
          </w:tcPr>
          <w:p w14:paraId="126FABB1" w14:textId="77777777" w:rsidR="00E93F58" w:rsidRPr="00576D60" w:rsidRDefault="00E93F58" w:rsidP="002F32E3">
            <w:pPr>
              <w:pStyle w:val="ENoteTableText"/>
            </w:pPr>
            <w:r w:rsidRPr="00576D60">
              <w:t>ad No 88, 2010</w:t>
            </w:r>
          </w:p>
        </w:tc>
      </w:tr>
      <w:tr w:rsidR="00E93F58" w:rsidRPr="00576D60" w14:paraId="3B3BADE2" w14:textId="77777777" w:rsidTr="002F32E3">
        <w:trPr>
          <w:cantSplit/>
        </w:trPr>
        <w:tc>
          <w:tcPr>
            <w:tcW w:w="1500" w:type="pct"/>
            <w:shd w:val="clear" w:color="auto" w:fill="auto"/>
          </w:tcPr>
          <w:p w14:paraId="4B98B2C8" w14:textId="77777777" w:rsidR="00E93F58" w:rsidRPr="00576D60" w:rsidRDefault="00E93F58" w:rsidP="002F32E3">
            <w:pPr>
              <w:pStyle w:val="ENoteTableText"/>
              <w:tabs>
                <w:tab w:val="left" w:leader="dot" w:pos="2268"/>
              </w:tabs>
            </w:pPr>
          </w:p>
        </w:tc>
        <w:tc>
          <w:tcPr>
            <w:tcW w:w="3500" w:type="pct"/>
            <w:shd w:val="clear" w:color="auto" w:fill="auto"/>
          </w:tcPr>
          <w:p w14:paraId="3C0F8A5C" w14:textId="77777777" w:rsidR="00E93F58" w:rsidRPr="00576D60" w:rsidRDefault="00E93F58" w:rsidP="002F32E3">
            <w:pPr>
              <w:pStyle w:val="ENoteTableText"/>
            </w:pPr>
            <w:r w:rsidRPr="00576D60">
              <w:t>am F2019L00392</w:t>
            </w:r>
          </w:p>
        </w:tc>
      </w:tr>
      <w:tr w:rsidR="00E93F58" w:rsidRPr="00576D60" w14:paraId="65ABAEB8" w14:textId="77777777" w:rsidTr="002F32E3">
        <w:trPr>
          <w:cantSplit/>
        </w:trPr>
        <w:tc>
          <w:tcPr>
            <w:tcW w:w="1500" w:type="pct"/>
            <w:shd w:val="clear" w:color="auto" w:fill="auto"/>
          </w:tcPr>
          <w:p w14:paraId="7B8A955C" w14:textId="77777777" w:rsidR="00E93F58" w:rsidRPr="00576D60" w:rsidRDefault="00E93F58" w:rsidP="002F32E3">
            <w:pPr>
              <w:pStyle w:val="ENoteTableText"/>
              <w:tabs>
                <w:tab w:val="left" w:leader="dot" w:pos="2268"/>
              </w:tabs>
            </w:pPr>
            <w:r w:rsidRPr="00576D60">
              <w:t>r. 5D.2.09</w:t>
            </w:r>
            <w:r w:rsidRPr="00576D60">
              <w:tab/>
            </w:r>
          </w:p>
        </w:tc>
        <w:tc>
          <w:tcPr>
            <w:tcW w:w="3500" w:type="pct"/>
            <w:shd w:val="clear" w:color="auto" w:fill="auto"/>
          </w:tcPr>
          <w:p w14:paraId="0E90D799" w14:textId="77777777" w:rsidR="00E93F58" w:rsidRPr="00576D60" w:rsidRDefault="00E93F58" w:rsidP="002F32E3">
            <w:pPr>
              <w:pStyle w:val="ENoteTableText"/>
            </w:pPr>
            <w:r w:rsidRPr="00576D60">
              <w:t>ad. 2010 No. 88</w:t>
            </w:r>
          </w:p>
        </w:tc>
      </w:tr>
      <w:tr w:rsidR="00E93F58" w:rsidRPr="00576D60" w14:paraId="66C0DBCC" w14:textId="77777777" w:rsidTr="002F32E3">
        <w:trPr>
          <w:cantSplit/>
        </w:trPr>
        <w:tc>
          <w:tcPr>
            <w:tcW w:w="1500" w:type="pct"/>
            <w:shd w:val="clear" w:color="auto" w:fill="auto"/>
          </w:tcPr>
          <w:p w14:paraId="065AB425" w14:textId="77777777" w:rsidR="00E93F58" w:rsidRPr="00576D60" w:rsidRDefault="00E93F58" w:rsidP="002F32E3">
            <w:pPr>
              <w:pStyle w:val="ENoteTableText"/>
            </w:pPr>
          </w:p>
        </w:tc>
        <w:tc>
          <w:tcPr>
            <w:tcW w:w="3500" w:type="pct"/>
            <w:shd w:val="clear" w:color="auto" w:fill="auto"/>
          </w:tcPr>
          <w:p w14:paraId="60BDA71D" w14:textId="77777777" w:rsidR="00E93F58" w:rsidRPr="00576D60" w:rsidRDefault="00E93F58" w:rsidP="002F32E3">
            <w:pPr>
              <w:pStyle w:val="ENoteTableText"/>
            </w:pPr>
            <w:r w:rsidRPr="00576D60">
              <w:t>rep. 2012 No. 43</w:t>
            </w:r>
          </w:p>
        </w:tc>
      </w:tr>
      <w:tr w:rsidR="00E93F58" w:rsidRPr="00576D60" w14:paraId="35C1FA38" w14:textId="77777777" w:rsidTr="002F32E3">
        <w:trPr>
          <w:cantSplit/>
        </w:trPr>
        <w:tc>
          <w:tcPr>
            <w:tcW w:w="1500" w:type="pct"/>
            <w:shd w:val="clear" w:color="auto" w:fill="auto"/>
          </w:tcPr>
          <w:p w14:paraId="0FBD2044" w14:textId="77777777" w:rsidR="00E93F58" w:rsidRPr="00576D60" w:rsidRDefault="00E93F58" w:rsidP="002F32E3">
            <w:pPr>
              <w:pStyle w:val="ENoteTableText"/>
              <w:tabs>
                <w:tab w:val="left" w:leader="dot" w:pos="2268"/>
              </w:tabs>
              <w:rPr>
                <w:b/>
              </w:rPr>
            </w:pPr>
            <w:r>
              <w:rPr>
                <w:b/>
              </w:rPr>
              <w:t>Part 5</w:t>
            </w:r>
            <w:r w:rsidRPr="00576D60">
              <w:rPr>
                <w:b/>
              </w:rPr>
              <w:t>D.3</w:t>
            </w:r>
          </w:p>
        </w:tc>
        <w:tc>
          <w:tcPr>
            <w:tcW w:w="3500" w:type="pct"/>
            <w:shd w:val="clear" w:color="auto" w:fill="auto"/>
          </w:tcPr>
          <w:p w14:paraId="658B8D8B" w14:textId="77777777" w:rsidR="00E93F58" w:rsidRPr="00576D60" w:rsidRDefault="00E93F58" w:rsidP="002F32E3">
            <w:pPr>
              <w:pStyle w:val="ENoteTableText"/>
            </w:pPr>
          </w:p>
        </w:tc>
      </w:tr>
      <w:tr w:rsidR="00E93F58" w:rsidRPr="00576D60" w14:paraId="52B2E373" w14:textId="77777777" w:rsidTr="002F32E3">
        <w:trPr>
          <w:cantSplit/>
        </w:trPr>
        <w:tc>
          <w:tcPr>
            <w:tcW w:w="1500" w:type="pct"/>
            <w:shd w:val="clear" w:color="auto" w:fill="auto"/>
          </w:tcPr>
          <w:p w14:paraId="6DA8FF52" w14:textId="77777777" w:rsidR="00E93F58" w:rsidRPr="00576D60" w:rsidRDefault="00E93F58" w:rsidP="002F32E3">
            <w:pPr>
              <w:pStyle w:val="ENoteTableText"/>
              <w:tabs>
                <w:tab w:val="left" w:leader="dot" w:pos="2268"/>
              </w:tabs>
            </w:pPr>
            <w:r>
              <w:t>Part 5</w:t>
            </w:r>
            <w:r w:rsidRPr="00576D60">
              <w:t>D.3</w:t>
            </w:r>
            <w:r w:rsidRPr="00576D60">
              <w:tab/>
            </w:r>
          </w:p>
        </w:tc>
        <w:tc>
          <w:tcPr>
            <w:tcW w:w="3500" w:type="pct"/>
            <w:shd w:val="clear" w:color="auto" w:fill="auto"/>
          </w:tcPr>
          <w:p w14:paraId="0757E9D9" w14:textId="77777777" w:rsidR="00E93F58" w:rsidRPr="00576D60" w:rsidRDefault="00E93F58" w:rsidP="002F32E3">
            <w:pPr>
              <w:pStyle w:val="ENoteTableText"/>
            </w:pPr>
            <w:r w:rsidRPr="00576D60">
              <w:t>ad. 2010 No. 88</w:t>
            </w:r>
          </w:p>
        </w:tc>
      </w:tr>
      <w:tr w:rsidR="00E93F58" w:rsidRPr="00576D60" w14:paraId="5B1FF6C5" w14:textId="77777777" w:rsidTr="002F32E3">
        <w:trPr>
          <w:cantSplit/>
        </w:trPr>
        <w:tc>
          <w:tcPr>
            <w:tcW w:w="1500" w:type="pct"/>
            <w:shd w:val="clear" w:color="auto" w:fill="auto"/>
          </w:tcPr>
          <w:p w14:paraId="33CCA6C4" w14:textId="77777777" w:rsidR="00E93F58" w:rsidRPr="00576D60" w:rsidRDefault="00E93F58" w:rsidP="002F32E3">
            <w:pPr>
              <w:pStyle w:val="ENoteTableText"/>
              <w:tabs>
                <w:tab w:val="left" w:leader="dot" w:pos="2268"/>
              </w:tabs>
            </w:pPr>
            <w:r w:rsidRPr="00576D60">
              <w:t>r. 5D.3.01</w:t>
            </w:r>
            <w:r w:rsidRPr="00576D60">
              <w:tab/>
            </w:r>
          </w:p>
        </w:tc>
        <w:tc>
          <w:tcPr>
            <w:tcW w:w="3500" w:type="pct"/>
            <w:shd w:val="clear" w:color="auto" w:fill="auto"/>
          </w:tcPr>
          <w:p w14:paraId="4D268DEF" w14:textId="77777777" w:rsidR="00E93F58" w:rsidRPr="00576D60" w:rsidRDefault="00E93F58" w:rsidP="002F32E3">
            <w:pPr>
              <w:pStyle w:val="ENoteTableText"/>
            </w:pPr>
            <w:r w:rsidRPr="00576D60">
              <w:t>ad. 2010 No. 88</w:t>
            </w:r>
          </w:p>
        </w:tc>
      </w:tr>
      <w:tr w:rsidR="00E93F58" w:rsidRPr="00576D60" w14:paraId="6DCB61A0" w14:textId="77777777" w:rsidTr="002F32E3">
        <w:trPr>
          <w:cantSplit/>
        </w:trPr>
        <w:tc>
          <w:tcPr>
            <w:tcW w:w="1500" w:type="pct"/>
            <w:shd w:val="clear" w:color="auto" w:fill="auto"/>
          </w:tcPr>
          <w:p w14:paraId="744AC173" w14:textId="77777777" w:rsidR="00E93F58" w:rsidRPr="00576D60" w:rsidRDefault="00E93F58" w:rsidP="002F32E3">
            <w:pPr>
              <w:pStyle w:val="ENoteTableText"/>
              <w:tabs>
                <w:tab w:val="left" w:leader="dot" w:pos="2268"/>
              </w:tabs>
              <w:rPr>
                <w:b/>
              </w:rPr>
            </w:pPr>
            <w:r>
              <w:rPr>
                <w:b/>
              </w:rPr>
              <w:t>Part 5</w:t>
            </w:r>
            <w:r w:rsidRPr="00576D60">
              <w:rPr>
                <w:b/>
              </w:rPr>
              <w:t>D.4</w:t>
            </w:r>
          </w:p>
        </w:tc>
        <w:tc>
          <w:tcPr>
            <w:tcW w:w="3500" w:type="pct"/>
            <w:shd w:val="clear" w:color="auto" w:fill="auto"/>
          </w:tcPr>
          <w:p w14:paraId="72EC4977" w14:textId="77777777" w:rsidR="00E93F58" w:rsidRPr="00576D60" w:rsidRDefault="00E93F58" w:rsidP="002F32E3">
            <w:pPr>
              <w:pStyle w:val="ENoteTableText"/>
            </w:pPr>
          </w:p>
        </w:tc>
      </w:tr>
      <w:tr w:rsidR="00E93F58" w:rsidRPr="00576D60" w14:paraId="423114FF" w14:textId="77777777" w:rsidTr="002F32E3">
        <w:trPr>
          <w:cantSplit/>
        </w:trPr>
        <w:tc>
          <w:tcPr>
            <w:tcW w:w="1500" w:type="pct"/>
            <w:shd w:val="clear" w:color="auto" w:fill="auto"/>
          </w:tcPr>
          <w:p w14:paraId="2E6D19A8" w14:textId="77777777" w:rsidR="00E93F58" w:rsidRPr="00576D60" w:rsidRDefault="00E93F58" w:rsidP="002F32E3">
            <w:pPr>
              <w:pStyle w:val="ENoteTableText"/>
              <w:tabs>
                <w:tab w:val="left" w:leader="dot" w:pos="2268"/>
              </w:tabs>
            </w:pPr>
            <w:r>
              <w:t>Part 5</w:t>
            </w:r>
            <w:r w:rsidRPr="00576D60">
              <w:t>D.4</w:t>
            </w:r>
            <w:r w:rsidRPr="00576D60">
              <w:tab/>
            </w:r>
          </w:p>
        </w:tc>
        <w:tc>
          <w:tcPr>
            <w:tcW w:w="3500" w:type="pct"/>
            <w:shd w:val="clear" w:color="auto" w:fill="auto"/>
          </w:tcPr>
          <w:p w14:paraId="2A7E167A" w14:textId="77777777" w:rsidR="00E93F58" w:rsidRPr="00576D60" w:rsidRDefault="00E93F58" w:rsidP="002F32E3">
            <w:pPr>
              <w:pStyle w:val="ENoteTableText"/>
            </w:pPr>
            <w:r w:rsidRPr="00576D60">
              <w:t>ad. 2012 No. 43</w:t>
            </w:r>
          </w:p>
        </w:tc>
      </w:tr>
      <w:tr w:rsidR="00E93F58" w:rsidRPr="00576D60" w14:paraId="04A33631" w14:textId="77777777" w:rsidTr="002F32E3">
        <w:trPr>
          <w:cantSplit/>
        </w:trPr>
        <w:tc>
          <w:tcPr>
            <w:tcW w:w="1500" w:type="pct"/>
            <w:shd w:val="clear" w:color="auto" w:fill="auto"/>
          </w:tcPr>
          <w:p w14:paraId="6FFF49D5" w14:textId="77777777" w:rsidR="00E93F58" w:rsidRPr="00576D60" w:rsidRDefault="00E93F58" w:rsidP="002F32E3">
            <w:pPr>
              <w:pStyle w:val="ENoteTableText"/>
              <w:tabs>
                <w:tab w:val="left" w:leader="dot" w:pos="2268"/>
              </w:tabs>
            </w:pPr>
            <w:r w:rsidRPr="00576D60">
              <w:t>r 5D.4.01</w:t>
            </w:r>
            <w:r w:rsidRPr="00576D60">
              <w:tab/>
            </w:r>
          </w:p>
        </w:tc>
        <w:tc>
          <w:tcPr>
            <w:tcW w:w="3500" w:type="pct"/>
            <w:shd w:val="clear" w:color="auto" w:fill="auto"/>
          </w:tcPr>
          <w:p w14:paraId="2FC0705C" w14:textId="77777777" w:rsidR="00E93F58" w:rsidRPr="00576D60" w:rsidRDefault="00E93F58" w:rsidP="002F32E3">
            <w:pPr>
              <w:pStyle w:val="ENoteTableText"/>
            </w:pPr>
            <w:r w:rsidRPr="00576D60">
              <w:t>ad</w:t>
            </w:r>
            <w:r>
              <w:t xml:space="preserve"> No 43, 2012</w:t>
            </w:r>
          </w:p>
        </w:tc>
      </w:tr>
      <w:tr w:rsidR="00E93F58" w:rsidRPr="00576D60" w14:paraId="4AF9A53C" w14:textId="77777777" w:rsidTr="002F32E3">
        <w:trPr>
          <w:cantSplit/>
        </w:trPr>
        <w:tc>
          <w:tcPr>
            <w:tcW w:w="1500" w:type="pct"/>
            <w:shd w:val="clear" w:color="auto" w:fill="auto"/>
          </w:tcPr>
          <w:p w14:paraId="0462B532" w14:textId="77777777" w:rsidR="00E93F58" w:rsidRPr="00576D60" w:rsidRDefault="00E93F58" w:rsidP="002F32E3">
            <w:pPr>
              <w:pStyle w:val="ENoteTableText"/>
              <w:tabs>
                <w:tab w:val="left" w:leader="dot" w:pos="2268"/>
              </w:tabs>
            </w:pPr>
          </w:p>
        </w:tc>
        <w:tc>
          <w:tcPr>
            <w:tcW w:w="3500" w:type="pct"/>
            <w:shd w:val="clear" w:color="auto" w:fill="auto"/>
          </w:tcPr>
          <w:p w14:paraId="59CDE5E7" w14:textId="77777777" w:rsidR="00E93F58" w:rsidRPr="00576D60" w:rsidRDefault="00E93F58" w:rsidP="002F32E3">
            <w:pPr>
              <w:pStyle w:val="ENoteTableText"/>
            </w:pPr>
            <w:r>
              <w:t>am F2023L01458</w:t>
            </w:r>
          </w:p>
        </w:tc>
      </w:tr>
      <w:tr w:rsidR="00E93F58" w:rsidRPr="00576D60" w14:paraId="6DC85DDB" w14:textId="77777777" w:rsidTr="002F32E3">
        <w:trPr>
          <w:cantSplit/>
        </w:trPr>
        <w:tc>
          <w:tcPr>
            <w:tcW w:w="1500" w:type="pct"/>
            <w:shd w:val="clear" w:color="auto" w:fill="auto"/>
          </w:tcPr>
          <w:p w14:paraId="6644D23A" w14:textId="77777777" w:rsidR="00E93F58" w:rsidRPr="00E142A4" w:rsidRDefault="00E93F58" w:rsidP="002F32E3">
            <w:pPr>
              <w:pStyle w:val="ENoteTableText"/>
              <w:tabs>
                <w:tab w:val="left" w:leader="dot" w:pos="2268"/>
              </w:tabs>
              <w:rPr>
                <w:b/>
              </w:rPr>
            </w:pPr>
            <w:r>
              <w:rPr>
                <w:b/>
              </w:rPr>
              <w:t>Part 5D.5</w:t>
            </w:r>
          </w:p>
        </w:tc>
        <w:tc>
          <w:tcPr>
            <w:tcW w:w="3500" w:type="pct"/>
            <w:shd w:val="clear" w:color="auto" w:fill="auto"/>
          </w:tcPr>
          <w:p w14:paraId="7941D654" w14:textId="77777777" w:rsidR="00E93F58" w:rsidRPr="00576D60" w:rsidRDefault="00E93F58" w:rsidP="002F32E3">
            <w:pPr>
              <w:pStyle w:val="ENoteTableText"/>
            </w:pPr>
          </w:p>
        </w:tc>
      </w:tr>
      <w:tr w:rsidR="00E93F58" w:rsidRPr="00576D60" w14:paraId="719625B1" w14:textId="77777777" w:rsidTr="002F32E3">
        <w:trPr>
          <w:cantSplit/>
        </w:trPr>
        <w:tc>
          <w:tcPr>
            <w:tcW w:w="1500" w:type="pct"/>
            <w:shd w:val="clear" w:color="auto" w:fill="auto"/>
          </w:tcPr>
          <w:p w14:paraId="3AC598D0" w14:textId="77777777" w:rsidR="00E93F58" w:rsidRPr="00576D60" w:rsidRDefault="00E93F58" w:rsidP="002F32E3">
            <w:pPr>
              <w:pStyle w:val="ENoteTableText"/>
              <w:tabs>
                <w:tab w:val="left" w:leader="dot" w:pos="2268"/>
              </w:tabs>
            </w:pPr>
            <w:r>
              <w:t>Part 5D.5</w:t>
            </w:r>
            <w:r>
              <w:tab/>
            </w:r>
          </w:p>
        </w:tc>
        <w:tc>
          <w:tcPr>
            <w:tcW w:w="3500" w:type="pct"/>
            <w:shd w:val="clear" w:color="auto" w:fill="auto"/>
          </w:tcPr>
          <w:p w14:paraId="49843FF3" w14:textId="77777777" w:rsidR="00E93F58" w:rsidRPr="00576D60" w:rsidRDefault="00E93F58" w:rsidP="002F32E3">
            <w:pPr>
              <w:pStyle w:val="ENoteTableText"/>
            </w:pPr>
            <w:r>
              <w:t xml:space="preserve">ad </w:t>
            </w:r>
            <w:r w:rsidRPr="00C42170">
              <w:rPr>
                <w:u w:val="single"/>
              </w:rPr>
              <w:t>F2023L01423</w:t>
            </w:r>
          </w:p>
        </w:tc>
      </w:tr>
      <w:tr w:rsidR="00E93F58" w:rsidRPr="00576D60" w14:paraId="43BE5B34" w14:textId="77777777" w:rsidTr="002F32E3">
        <w:trPr>
          <w:cantSplit/>
        </w:trPr>
        <w:tc>
          <w:tcPr>
            <w:tcW w:w="1500" w:type="pct"/>
            <w:shd w:val="clear" w:color="auto" w:fill="auto"/>
          </w:tcPr>
          <w:p w14:paraId="2830DE07" w14:textId="77777777" w:rsidR="00E93F58" w:rsidRPr="00576D60" w:rsidRDefault="00E93F58" w:rsidP="002F32E3">
            <w:pPr>
              <w:pStyle w:val="ENoteTableText"/>
              <w:tabs>
                <w:tab w:val="left" w:leader="dot" w:pos="2268"/>
              </w:tabs>
            </w:pPr>
            <w:r>
              <w:t>r 5D.5.01</w:t>
            </w:r>
            <w:r>
              <w:tab/>
            </w:r>
          </w:p>
        </w:tc>
        <w:tc>
          <w:tcPr>
            <w:tcW w:w="3500" w:type="pct"/>
            <w:shd w:val="clear" w:color="auto" w:fill="auto"/>
          </w:tcPr>
          <w:p w14:paraId="75C28D94" w14:textId="77777777" w:rsidR="00E93F58" w:rsidRPr="00576D60" w:rsidRDefault="00E93F58" w:rsidP="002F32E3">
            <w:pPr>
              <w:pStyle w:val="ENoteTableText"/>
            </w:pPr>
            <w:r>
              <w:t xml:space="preserve">ad </w:t>
            </w:r>
            <w:r w:rsidRPr="00C42170">
              <w:rPr>
                <w:u w:val="single"/>
              </w:rPr>
              <w:t>F2023L01423</w:t>
            </w:r>
          </w:p>
        </w:tc>
      </w:tr>
      <w:tr w:rsidR="00E93F58" w:rsidRPr="00576D60" w14:paraId="3E7EA28B" w14:textId="77777777" w:rsidTr="002F32E3">
        <w:trPr>
          <w:cantSplit/>
        </w:trPr>
        <w:tc>
          <w:tcPr>
            <w:tcW w:w="1500" w:type="pct"/>
            <w:shd w:val="clear" w:color="auto" w:fill="auto"/>
          </w:tcPr>
          <w:p w14:paraId="78BDBE37" w14:textId="77777777" w:rsidR="00E93F58" w:rsidRPr="00576D60" w:rsidRDefault="00E93F58" w:rsidP="002F32E3">
            <w:pPr>
              <w:pStyle w:val="ENoteTableText"/>
              <w:tabs>
                <w:tab w:val="left" w:leader="dot" w:pos="2268"/>
              </w:tabs>
              <w:rPr>
                <w:b/>
              </w:rPr>
            </w:pPr>
            <w:r w:rsidRPr="00576D60">
              <w:rPr>
                <w:b/>
              </w:rPr>
              <w:t>Chapter 6</w:t>
            </w:r>
          </w:p>
        </w:tc>
        <w:tc>
          <w:tcPr>
            <w:tcW w:w="3500" w:type="pct"/>
            <w:shd w:val="clear" w:color="auto" w:fill="auto"/>
          </w:tcPr>
          <w:p w14:paraId="22374C81" w14:textId="77777777" w:rsidR="00E93F58" w:rsidRPr="00576D60" w:rsidRDefault="00E93F58" w:rsidP="002F32E3">
            <w:pPr>
              <w:pStyle w:val="ENoteTableText"/>
            </w:pPr>
          </w:p>
        </w:tc>
      </w:tr>
      <w:tr w:rsidR="00E93F58" w:rsidRPr="00576D60" w14:paraId="3797E46F" w14:textId="77777777" w:rsidTr="002F32E3">
        <w:trPr>
          <w:cantSplit/>
        </w:trPr>
        <w:tc>
          <w:tcPr>
            <w:tcW w:w="1500" w:type="pct"/>
            <w:shd w:val="clear" w:color="auto" w:fill="auto"/>
          </w:tcPr>
          <w:p w14:paraId="1B2E7262" w14:textId="77777777" w:rsidR="00E93F58" w:rsidRPr="00576D60" w:rsidRDefault="00E93F58" w:rsidP="002F32E3">
            <w:pPr>
              <w:pStyle w:val="ENoteTableText"/>
              <w:tabs>
                <w:tab w:val="left" w:leader="dot" w:pos="2268"/>
              </w:tabs>
              <w:rPr>
                <w:b/>
              </w:rPr>
            </w:pPr>
            <w:r>
              <w:rPr>
                <w:b/>
              </w:rPr>
              <w:t>Part 6</w:t>
            </w:r>
            <w:r w:rsidRPr="00576D60">
              <w:rPr>
                <w:b/>
              </w:rPr>
              <w:t>.2</w:t>
            </w:r>
          </w:p>
        </w:tc>
        <w:tc>
          <w:tcPr>
            <w:tcW w:w="3500" w:type="pct"/>
            <w:shd w:val="clear" w:color="auto" w:fill="auto"/>
          </w:tcPr>
          <w:p w14:paraId="5FE6E2CE" w14:textId="77777777" w:rsidR="00E93F58" w:rsidRPr="00576D60" w:rsidRDefault="00E93F58" w:rsidP="002F32E3">
            <w:pPr>
              <w:pStyle w:val="ENoteTableText"/>
            </w:pPr>
          </w:p>
        </w:tc>
      </w:tr>
      <w:tr w:rsidR="00E93F58" w:rsidRPr="00576D60" w14:paraId="56F8C109" w14:textId="77777777" w:rsidTr="002F32E3">
        <w:trPr>
          <w:cantSplit/>
        </w:trPr>
        <w:tc>
          <w:tcPr>
            <w:tcW w:w="1500" w:type="pct"/>
            <w:shd w:val="clear" w:color="auto" w:fill="auto"/>
          </w:tcPr>
          <w:p w14:paraId="592349DE" w14:textId="77777777" w:rsidR="00E93F58" w:rsidRPr="00576D60" w:rsidRDefault="00E93F58" w:rsidP="002F32E3">
            <w:pPr>
              <w:pStyle w:val="ENoteTableText"/>
              <w:tabs>
                <w:tab w:val="left" w:leader="dot" w:pos="2268"/>
              </w:tabs>
            </w:pPr>
            <w:r w:rsidRPr="00576D60">
              <w:t>r 6.2.01A</w:t>
            </w:r>
            <w:r w:rsidRPr="00576D60">
              <w:tab/>
            </w:r>
          </w:p>
        </w:tc>
        <w:tc>
          <w:tcPr>
            <w:tcW w:w="3500" w:type="pct"/>
            <w:shd w:val="clear" w:color="auto" w:fill="auto"/>
          </w:tcPr>
          <w:p w14:paraId="39D5B7CB" w14:textId="77777777" w:rsidR="00E93F58" w:rsidRPr="00576D60" w:rsidRDefault="00E93F58" w:rsidP="002F32E3">
            <w:pPr>
              <w:pStyle w:val="ENoteTableText"/>
            </w:pPr>
            <w:r w:rsidRPr="00576D60">
              <w:t>ad F2018L01379</w:t>
            </w:r>
          </w:p>
        </w:tc>
      </w:tr>
      <w:tr w:rsidR="00E93F58" w:rsidRPr="00576D60" w14:paraId="36EA0FBF" w14:textId="77777777" w:rsidTr="002F32E3">
        <w:trPr>
          <w:cantSplit/>
        </w:trPr>
        <w:tc>
          <w:tcPr>
            <w:tcW w:w="1500" w:type="pct"/>
            <w:shd w:val="clear" w:color="auto" w:fill="auto"/>
          </w:tcPr>
          <w:p w14:paraId="20124B64" w14:textId="77777777" w:rsidR="00E93F58" w:rsidRPr="00576D60" w:rsidRDefault="00E93F58" w:rsidP="002F32E3">
            <w:pPr>
              <w:pStyle w:val="ENoteTableText"/>
              <w:tabs>
                <w:tab w:val="left" w:leader="dot" w:pos="2268"/>
              </w:tabs>
            </w:pPr>
            <w:r>
              <w:t>Part 6</w:t>
            </w:r>
            <w:r w:rsidRPr="00576D60">
              <w:t>.5</w:t>
            </w:r>
            <w:r w:rsidRPr="00576D60">
              <w:tab/>
            </w:r>
          </w:p>
        </w:tc>
        <w:tc>
          <w:tcPr>
            <w:tcW w:w="3500" w:type="pct"/>
            <w:shd w:val="clear" w:color="auto" w:fill="auto"/>
          </w:tcPr>
          <w:p w14:paraId="78E2FBFD" w14:textId="77777777" w:rsidR="00E93F58" w:rsidRPr="00576D60" w:rsidRDefault="00E93F58" w:rsidP="002F32E3">
            <w:pPr>
              <w:pStyle w:val="ENoteTableText"/>
            </w:pPr>
            <w:r w:rsidRPr="00576D60">
              <w:t>ad No 319, 2001</w:t>
            </w:r>
          </w:p>
        </w:tc>
      </w:tr>
      <w:tr w:rsidR="00E93F58" w:rsidRPr="00576D60" w14:paraId="1B8F0B9B" w14:textId="77777777" w:rsidTr="002F32E3">
        <w:trPr>
          <w:cantSplit/>
        </w:trPr>
        <w:tc>
          <w:tcPr>
            <w:tcW w:w="1500" w:type="pct"/>
            <w:shd w:val="clear" w:color="auto" w:fill="auto"/>
          </w:tcPr>
          <w:p w14:paraId="4C6AEF86" w14:textId="77777777" w:rsidR="00E93F58" w:rsidRPr="00576D60" w:rsidRDefault="00E93F58" w:rsidP="002F32E3">
            <w:pPr>
              <w:pStyle w:val="ENoteTableText"/>
            </w:pPr>
          </w:p>
        </w:tc>
        <w:tc>
          <w:tcPr>
            <w:tcW w:w="3500" w:type="pct"/>
            <w:shd w:val="clear" w:color="auto" w:fill="auto"/>
          </w:tcPr>
          <w:p w14:paraId="3D73B90D" w14:textId="77777777" w:rsidR="00E93F58" w:rsidRPr="00576D60" w:rsidRDefault="00E93F58" w:rsidP="002F32E3">
            <w:pPr>
              <w:pStyle w:val="ENoteTableText"/>
            </w:pPr>
            <w:r w:rsidRPr="00576D60">
              <w:t>rs No 16, 2002</w:t>
            </w:r>
          </w:p>
        </w:tc>
      </w:tr>
      <w:tr w:rsidR="00E93F58" w:rsidRPr="00576D60" w14:paraId="5CD2BE95" w14:textId="77777777" w:rsidTr="002F32E3">
        <w:trPr>
          <w:cantSplit/>
        </w:trPr>
        <w:tc>
          <w:tcPr>
            <w:tcW w:w="1500" w:type="pct"/>
            <w:shd w:val="clear" w:color="auto" w:fill="auto"/>
          </w:tcPr>
          <w:p w14:paraId="59BCF1A7" w14:textId="77777777" w:rsidR="00E93F58" w:rsidRPr="00576D60" w:rsidRDefault="00E93F58" w:rsidP="002F32E3">
            <w:pPr>
              <w:pStyle w:val="ENoteTableText"/>
            </w:pPr>
          </w:p>
        </w:tc>
        <w:tc>
          <w:tcPr>
            <w:tcW w:w="3500" w:type="pct"/>
            <w:shd w:val="clear" w:color="auto" w:fill="auto"/>
          </w:tcPr>
          <w:p w14:paraId="408F8449" w14:textId="77777777" w:rsidR="00E93F58" w:rsidRPr="00576D60" w:rsidRDefault="00E93F58" w:rsidP="002F32E3">
            <w:pPr>
              <w:pStyle w:val="ENoteTableText"/>
            </w:pPr>
            <w:r w:rsidRPr="00576D60">
              <w:t>rep F2022L01627</w:t>
            </w:r>
          </w:p>
        </w:tc>
      </w:tr>
      <w:tr w:rsidR="00E93F58" w:rsidRPr="00576D60" w14:paraId="0ABBC402" w14:textId="77777777" w:rsidTr="002F32E3">
        <w:trPr>
          <w:cantSplit/>
        </w:trPr>
        <w:tc>
          <w:tcPr>
            <w:tcW w:w="1500" w:type="pct"/>
            <w:shd w:val="clear" w:color="auto" w:fill="auto"/>
          </w:tcPr>
          <w:p w14:paraId="1BE640B5" w14:textId="77777777" w:rsidR="00E93F58" w:rsidRPr="00576D60" w:rsidRDefault="00E93F58" w:rsidP="002F32E3">
            <w:pPr>
              <w:pStyle w:val="ENoteTableText"/>
              <w:tabs>
                <w:tab w:val="left" w:leader="dot" w:pos="2268"/>
              </w:tabs>
            </w:pPr>
            <w:r w:rsidRPr="00576D60">
              <w:lastRenderedPageBreak/>
              <w:t>r 6.5.01</w:t>
            </w:r>
            <w:r w:rsidRPr="00576D60">
              <w:tab/>
            </w:r>
          </w:p>
        </w:tc>
        <w:tc>
          <w:tcPr>
            <w:tcW w:w="3500" w:type="pct"/>
            <w:shd w:val="clear" w:color="auto" w:fill="auto"/>
          </w:tcPr>
          <w:p w14:paraId="6B4D2CC7" w14:textId="77777777" w:rsidR="00E93F58" w:rsidRPr="00576D60" w:rsidRDefault="00E93F58" w:rsidP="002F32E3">
            <w:pPr>
              <w:pStyle w:val="ENoteTableText"/>
            </w:pPr>
            <w:r w:rsidRPr="00576D60">
              <w:t>ad No 319, 2001</w:t>
            </w:r>
          </w:p>
        </w:tc>
      </w:tr>
      <w:tr w:rsidR="00E93F58" w:rsidRPr="00576D60" w14:paraId="0C630996" w14:textId="77777777" w:rsidTr="002F32E3">
        <w:trPr>
          <w:cantSplit/>
        </w:trPr>
        <w:tc>
          <w:tcPr>
            <w:tcW w:w="1500" w:type="pct"/>
            <w:shd w:val="clear" w:color="auto" w:fill="auto"/>
          </w:tcPr>
          <w:p w14:paraId="605B41FD" w14:textId="77777777" w:rsidR="00E93F58" w:rsidRPr="00576D60" w:rsidRDefault="00E93F58" w:rsidP="002F32E3">
            <w:pPr>
              <w:pStyle w:val="ENoteTableText"/>
            </w:pPr>
          </w:p>
        </w:tc>
        <w:tc>
          <w:tcPr>
            <w:tcW w:w="3500" w:type="pct"/>
            <w:shd w:val="clear" w:color="auto" w:fill="auto"/>
          </w:tcPr>
          <w:p w14:paraId="27FF68C5" w14:textId="77777777" w:rsidR="00E93F58" w:rsidRPr="00576D60" w:rsidRDefault="00E93F58" w:rsidP="002F32E3">
            <w:pPr>
              <w:pStyle w:val="ENoteTableText"/>
            </w:pPr>
            <w:r w:rsidRPr="00576D60">
              <w:t>rs No 16, 2002; No 41, 2002</w:t>
            </w:r>
          </w:p>
        </w:tc>
      </w:tr>
      <w:tr w:rsidR="00E93F58" w:rsidRPr="00576D60" w14:paraId="44F98FEE" w14:textId="77777777" w:rsidTr="002F32E3">
        <w:trPr>
          <w:cantSplit/>
        </w:trPr>
        <w:tc>
          <w:tcPr>
            <w:tcW w:w="1500" w:type="pct"/>
            <w:shd w:val="clear" w:color="auto" w:fill="auto"/>
          </w:tcPr>
          <w:p w14:paraId="4E7385ED" w14:textId="77777777" w:rsidR="00E93F58" w:rsidRPr="00576D60" w:rsidRDefault="00E93F58" w:rsidP="002F32E3">
            <w:pPr>
              <w:pStyle w:val="ENoteTableText"/>
            </w:pPr>
          </w:p>
        </w:tc>
        <w:tc>
          <w:tcPr>
            <w:tcW w:w="3500" w:type="pct"/>
            <w:shd w:val="clear" w:color="auto" w:fill="auto"/>
          </w:tcPr>
          <w:p w14:paraId="40E5A50C" w14:textId="77777777" w:rsidR="00E93F58" w:rsidRPr="00576D60" w:rsidRDefault="00E93F58" w:rsidP="002F32E3">
            <w:pPr>
              <w:pStyle w:val="ENoteTableText"/>
            </w:pPr>
            <w:r w:rsidRPr="00576D60">
              <w:t>am No 126, 2002</w:t>
            </w:r>
          </w:p>
        </w:tc>
      </w:tr>
      <w:tr w:rsidR="00E93F58" w:rsidRPr="00576D60" w14:paraId="704BA3ED" w14:textId="77777777" w:rsidTr="002F32E3">
        <w:trPr>
          <w:cantSplit/>
        </w:trPr>
        <w:tc>
          <w:tcPr>
            <w:tcW w:w="1500" w:type="pct"/>
            <w:shd w:val="clear" w:color="auto" w:fill="auto"/>
          </w:tcPr>
          <w:p w14:paraId="35137DBF" w14:textId="77777777" w:rsidR="00E93F58" w:rsidRPr="00576D60" w:rsidRDefault="00E93F58" w:rsidP="002F32E3">
            <w:pPr>
              <w:pStyle w:val="ENoteTableText"/>
            </w:pPr>
          </w:p>
        </w:tc>
        <w:tc>
          <w:tcPr>
            <w:tcW w:w="3500" w:type="pct"/>
            <w:shd w:val="clear" w:color="auto" w:fill="auto"/>
          </w:tcPr>
          <w:p w14:paraId="47CBCB86" w14:textId="77777777" w:rsidR="00E93F58" w:rsidRPr="00576D60" w:rsidRDefault="00E93F58" w:rsidP="002F32E3">
            <w:pPr>
              <w:pStyle w:val="ENoteTableText"/>
            </w:pPr>
            <w:r w:rsidRPr="00576D60">
              <w:t>rep F2022L01627</w:t>
            </w:r>
          </w:p>
        </w:tc>
      </w:tr>
      <w:tr w:rsidR="00E93F58" w:rsidRPr="00576D60" w14:paraId="41B42CFC" w14:textId="77777777" w:rsidTr="002F32E3">
        <w:trPr>
          <w:cantSplit/>
        </w:trPr>
        <w:tc>
          <w:tcPr>
            <w:tcW w:w="1500" w:type="pct"/>
            <w:shd w:val="clear" w:color="auto" w:fill="auto"/>
          </w:tcPr>
          <w:p w14:paraId="20DCA98B" w14:textId="77777777" w:rsidR="00E93F58" w:rsidRPr="00576D60" w:rsidRDefault="00E93F58" w:rsidP="002F32E3">
            <w:pPr>
              <w:pStyle w:val="ENoteTableText"/>
              <w:keepNext/>
              <w:tabs>
                <w:tab w:val="left" w:leader="dot" w:pos="2268"/>
              </w:tabs>
              <w:rPr>
                <w:b/>
              </w:rPr>
            </w:pPr>
            <w:r>
              <w:rPr>
                <w:b/>
              </w:rPr>
              <w:t>Part 6</w:t>
            </w:r>
            <w:r w:rsidRPr="00576D60">
              <w:rPr>
                <w:b/>
              </w:rPr>
              <w:t>.6</w:t>
            </w:r>
          </w:p>
        </w:tc>
        <w:tc>
          <w:tcPr>
            <w:tcW w:w="3500" w:type="pct"/>
            <w:shd w:val="clear" w:color="auto" w:fill="auto"/>
          </w:tcPr>
          <w:p w14:paraId="4C610972" w14:textId="77777777" w:rsidR="00E93F58" w:rsidRPr="00576D60" w:rsidRDefault="00E93F58" w:rsidP="002F32E3">
            <w:pPr>
              <w:pStyle w:val="ENoteTableText"/>
              <w:keepNext/>
            </w:pPr>
          </w:p>
        </w:tc>
      </w:tr>
      <w:tr w:rsidR="00E93F58" w:rsidRPr="00576D60" w14:paraId="452DA534" w14:textId="77777777" w:rsidTr="002F32E3">
        <w:trPr>
          <w:cantSplit/>
        </w:trPr>
        <w:tc>
          <w:tcPr>
            <w:tcW w:w="1500" w:type="pct"/>
            <w:shd w:val="clear" w:color="auto" w:fill="auto"/>
          </w:tcPr>
          <w:p w14:paraId="382E9FD5" w14:textId="77777777" w:rsidR="00E93F58" w:rsidRPr="00576D60" w:rsidRDefault="00E93F58" w:rsidP="002F32E3">
            <w:pPr>
              <w:pStyle w:val="ENoteTableText"/>
              <w:tabs>
                <w:tab w:val="left" w:leader="dot" w:pos="2268"/>
              </w:tabs>
            </w:pPr>
            <w:r>
              <w:t>Part 6</w:t>
            </w:r>
            <w:r w:rsidRPr="00576D60">
              <w:t>.6</w:t>
            </w:r>
            <w:r w:rsidRPr="00576D60">
              <w:tab/>
            </w:r>
          </w:p>
        </w:tc>
        <w:tc>
          <w:tcPr>
            <w:tcW w:w="3500" w:type="pct"/>
            <w:shd w:val="clear" w:color="auto" w:fill="auto"/>
          </w:tcPr>
          <w:p w14:paraId="6FB67183" w14:textId="77777777" w:rsidR="00E93F58" w:rsidRPr="00576D60" w:rsidRDefault="00E93F58" w:rsidP="002F32E3">
            <w:pPr>
              <w:pStyle w:val="ENoteTableText"/>
            </w:pPr>
            <w:r w:rsidRPr="00576D60">
              <w:t>ad. 2001 No. 319</w:t>
            </w:r>
          </w:p>
        </w:tc>
      </w:tr>
      <w:tr w:rsidR="00E93F58" w:rsidRPr="00576D60" w14:paraId="3E0F8D81" w14:textId="77777777" w:rsidTr="002F32E3">
        <w:trPr>
          <w:cantSplit/>
        </w:trPr>
        <w:tc>
          <w:tcPr>
            <w:tcW w:w="1500" w:type="pct"/>
            <w:shd w:val="clear" w:color="auto" w:fill="auto"/>
          </w:tcPr>
          <w:p w14:paraId="0327840D" w14:textId="77777777" w:rsidR="00E93F58" w:rsidRPr="00576D60" w:rsidRDefault="00E93F58" w:rsidP="002F32E3">
            <w:pPr>
              <w:pStyle w:val="ENoteTableText"/>
              <w:tabs>
                <w:tab w:val="left" w:leader="dot" w:pos="2268"/>
              </w:tabs>
            </w:pPr>
            <w:r w:rsidRPr="00576D60">
              <w:t>r. 6.6.01</w:t>
            </w:r>
            <w:r w:rsidRPr="00576D60">
              <w:tab/>
            </w:r>
          </w:p>
        </w:tc>
        <w:tc>
          <w:tcPr>
            <w:tcW w:w="3500" w:type="pct"/>
            <w:shd w:val="clear" w:color="auto" w:fill="auto"/>
          </w:tcPr>
          <w:p w14:paraId="1E019721" w14:textId="77777777" w:rsidR="00E93F58" w:rsidRPr="00576D60" w:rsidRDefault="00E93F58" w:rsidP="002F32E3">
            <w:pPr>
              <w:pStyle w:val="ENoteTableText"/>
            </w:pPr>
            <w:r w:rsidRPr="00576D60">
              <w:t>ad. 2001 No. 319</w:t>
            </w:r>
          </w:p>
        </w:tc>
      </w:tr>
      <w:tr w:rsidR="00E93F58" w:rsidRPr="00576D60" w14:paraId="1B3C35CB" w14:textId="77777777" w:rsidTr="002F32E3">
        <w:trPr>
          <w:cantSplit/>
        </w:trPr>
        <w:tc>
          <w:tcPr>
            <w:tcW w:w="1500" w:type="pct"/>
            <w:shd w:val="clear" w:color="auto" w:fill="auto"/>
          </w:tcPr>
          <w:p w14:paraId="75B46766" w14:textId="77777777" w:rsidR="00E93F58" w:rsidRPr="00576D60" w:rsidRDefault="00E93F58" w:rsidP="002F32E3">
            <w:pPr>
              <w:pStyle w:val="ENoteTableText"/>
              <w:tabs>
                <w:tab w:val="left" w:leader="dot" w:pos="2268"/>
              </w:tabs>
              <w:rPr>
                <w:b/>
              </w:rPr>
            </w:pPr>
            <w:r>
              <w:rPr>
                <w:b/>
              </w:rPr>
              <w:t>Part 6</w:t>
            </w:r>
            <w:r w:rsidRPr="00576D60">
              <w:rPr>
                <w:b/>
              </w:rPr>
              <w:t>.8</w:t>
            </w:r>
          </w:p>
        </w:tc>
        <w:tc>
          <w:tcPr>
            <w:tcW w:w="3500" w:type="pct"/>
            <w:shd w:val="clear" w:color="auto" w:fill="auto"/>
          </w:tcPr>
          <w:p w14:paraId="24EFB695" w14:textId="77777777" w:rsidR="00E93F58" w:rsidRPr="00576D60" w:rsidRDefault="00E93F58" w:rsidP="002F32E3">
            <w:pPr>
              <w:pStyle w:val="ENoteTableText"/>
            </w:pPr>
          </w:p>
        </w:tc>
      </w:tr>
      <w:tr w:rsidR="00E93F58" w:rsidRPr="00576D60" w14:paraId="66DFBB7F" w14:textId="77777777" w:rsidTr="002F32E3">
        <w:trPr>
          <w:cantSplit/>
        </w:trPr>
        <w:tc>
          <w:tcPr>
            <w:tcW w:w="1500" w:type="pct"/>
            <w:shd w:val="clear" w:color="auto" w:fill="auto"/>
          </w:tcPr>
          <w:p w14:paraId="6FE8610B" w14:textId="77777777" w:rsidR="00E93F58" w:rsidRPr="00576D60" w:rsidRDefault="00E93F58" w:rsidP="002F32E3">
            <w:pPr>
              <w:pStyle w:val="ENoteTableText"/>
              <w:tabs>
                <w:tab w:val="left" w:leader="dot" w:pos="2268"/>
              </w:tabs>
            </w:pPr>
            <w:r>
              <w:t>Part 6</w:t>
            </w:r>
            <w:r w:rsidRPr="00576D60">
              <w:t>.8</w:t>
            </w:r>
            <w:r w:rsidRPr="00576D60">
              <w:tab/>
            </w:r>
          </w:p>
        </w:tc>
        <w:tc>
          <w:tcPr>
            <w:tcW w:w="3500" w:type="pct"/>
            <w:shd w:val="clear" w:color="auto" w:fill="auto"/>
          </w:tcPr>
          <w:p w14:paraId="40DFDAF5" w14:textId="77777777" w:rsidR="00E93F58" w:rsidRPr="00576D60" w:rsidRDefault="00E93F58" w:rsidP="002F32E3">
            <w:pPr>
              <w:pStyle w:val="ENoteTableText"/>
            </w:pPr>
            <w:r w:rsidRPr="00576D60">
              <w:t>ad. 2001 No. 319</w:t>
            </w:r>
          </w:p>
        </w:tc>
      </w:tr>
      <w:tr w:rsidR="00E93F58" w:rsidRPr="00576D60" w14:paraId="1D9615F3" w14:textId="77777777" w:rsidTr="002F32E3">
        <w:trPr>
          <w:cantSplit/>
        </w:trPr>
        <w:tc>
          <w:tcPr>
            <w:tcW w:w="1500" w:type="pct"/>
            <w:shd w:val="clear" w:color="auto" w:fill="auto"/>
          </w:tcPr>
          <w:p w14:paraId="3028F6D1" w14:textId="77777777" w:rsidR="00E93F58" w:rsidRPr="00576D60" w:rsidRDefault="00E93F58" w:rsidP="002F32E3">
            <w:pPr>
              <w:pStyle w:val="ENoteTableText"/>
              <w:tabs>
                <w:tab w:val="left" w:leader="dot" w:pos="2268"/>
              </w:tabs>
            </w:pPr>
            <w:r w:rsidRPr="00576D60">
              <w:t>r. 6.8.01</w:t>
            </w:r>
            <w:r w:rsidRPr="00576D60">
              <w:tab/>
            </w:r>
          </w:p>
        </w:tc>
        <w:tc>
          <w:tcPr>
            <w:tcW w:w="3500" w:type="pct"/>
            <w:shd w:val="clear" w:color="auto" w:fill="auto"/>
          </w:tcPr>
          <w:p w14:paraId="2E91772F" w14:textId="77777777" w:rsidR="00E93F58" w:rsidRPr="00576D60" w:rsidRDefault="00E93F58" w:rsidP="002F32E3">
            <w:pPr>
              <w:pStyle w:val="ENoteTableText"/>
            </w:pPr>
            <w:r w:rsidRPr="00576D60">
              <w:t>ad. 2001 No. 319</w:t>
            </w:r>
          </w:p>
        </w:tc>
      </w:tr>
      <w:tr w:rsidR="00E93F58" w:rsidRPr="00576D60" w14:paraId="42430034" w14:textId="77777777" w:rsidTr="002F32E3">
        <w:trPr>
          <w:cantSplit/>
        </w:trPr>
        <w:tc>
          <w:tcPr>
            <w:tcW w:w="1500" w:type="pct"/>
            <w:shd w:val="clear" w:color="auto" w:fill="auto"/>
          </w:tcPr>
          <w:p w14:paraId="21D4D6E2" w14:textId="77777777" w:rsidR="00E93F58" w:rsidRPr="00576D60" w:rsidRDefault="00E93F58" w:rsidP="002F32E3">
            <w:pPr>
              <w:pStyle w:val="ENoteTableText"/>
              <w:tabs>
                <w:tab w:val="left" w:leader="dot" w:pos="2268"/>
              </w:tabs>
            </w:pPr>
            <w:r w:rsidRPr="00576D60">
              <w:t>r. 6.8.02</w:t>
            </w:r>
            <w:r w:rsidRPr="00576D60">
              <w:tab/>
            </w:r>
          </w:p>
        </w:tc>
        <w:tc>
          <w:tcPr>
            <w:tcW w:w="3500" w:type="pct"/>
            <w:shd w:val="clear" w:color="auto" w:fill="auto"/>
          </w:tcPr>
          <w:p w14:paraId="7D445A24" w14:textId="77777777" w:rsidR="00E93F58" w:rsidRPr="00576D60" w:rsidRDefault="00E93F58" w:rsidP="002F32E3">
            <w:pPr>
              <w:pStyle w:val="ENoteTableText"/>
            </w:pPr>
            <w:r w:rsidRPr="00576D60">
              <w:t>ad. 2001 No. 319</w:t>
            </w:r>
          </w:p>
        </w:tc>
      </w:tr>
      <w:tr w:rsidR="00E93F58" w:rsidRPr="00576D60" w14:paraId="127ADB73" w14:textId="77777777" w:rsidTr="002F32E3">
        <w:trPr>
          <w:cantSplit/>
        </w:trPr>
        <w:tc>
          <w:tcPr>
            <w:tcW w:w="1500" w:type="pct"/>
            <w:shd w:val="clear" w:color="auto" w:fill="auto"/>
          </w:tcPr>
          <w:p w14:paraId="1F6B9EBD" w14:textId="77777777" w:rsidR="00E93F58" w:rsidRPr="00C84DF7" w:rsidRDefault="00E93F58" w:rsidP="002F32E3">
            <w:pPr>
              <w:pStyle w:val="ENoteTableText"/>
              <w:tabs>
                <w:tab w:val="left" w:leader="dot" w:pos="2268"/>
              </w:tabs>
              <w:rPr>
                <w:b/>
              </w:rPr>
            </w:pPr>
            <w:r>
              <w:rPr>
                <w:b/>
              </w:rPr>
              <w:t>Part 6</w:t>
            </w:r>
            <w:r w:rsidRPr="00C84DF7">
              <w:rPr>
                <w:b/>
              </w:rPr>
              <w:t>.10</w:t>
            </w:r>
          </w:p>
        </w:tc>
        <w:tc>
          <w:tcPr>
            <w:tcW w:w="3500" w:type="pct"/>
            <w:shd w:val="clear" w:color="auto" w:fill="auto"/>
          </w:tcPr>
          <w:p w14:paraId="7EB575F3" w14:textId="77777777" w:rsidR="00E93F58" w:rsidRPr="00576D60" w:rsidRDefault="00E93F58" w:rsidP="002F32E3">
            <w:pPr>
              <w:pStyle w:val="ENoteTableText"/>
            </w:pPr>
          </w:p>
        </w:tc>
      </w:tr>
      <w:tr w:rsidR="00E93F58" w:rsidRPr="00576D60" w14:paraId="41684B80" w14:textId="77777777" w:rsidTr="002F32E3">
        <w:trPr>
          <w:cantSplit/>
        </w:trPr>
        <w:tc>
          <w:tcPr>
            <w:tcW w:w="1500" w:type="pct"/>
            <w:shd w:val="clear" w:color="auto" w:fill="auto"/>
          </w:tcPr>
          <w:p w14:paraId="0E417B1C" w14:textId="77777777" w:rsidR="00E93F58" w:rsidRPr="00576D60" w:rsidRDefault="00E93F58" w:rsidP="002F32E3">
            <w:pPr>
              <w:pStyle w:val="ENoteTableText"/>
              <w:tabs>
                <w:tab w:val="left" w:leader="dot" w:pos="2268"/>
              </w:tabs>
            </w:pPr>
            <w:r>
              <w:t>r 6.10.01</w:t>
            </w:r>
            <w:r>
              <w:tab/>
            </w:r>
          </w:p>
        </w:tc>
        <w:tc>
          <w:tcPr>
            <w:tcW w:w="3500" w:type="pct"/>
            <w:shd w:val="clear" w:color="auto" w:fill="auto"/>
          </w:tcPr>
          <w:p w14:paraId="011C9AB9" w14:textId="77777777" w:rsidR="00E93F58" w:rsidRPr="00576D60" w:rsidRDefault="00E93F58" w:rsidP="002F32E3">
            <w:pPr>
              <w:pStyle w:val="ENoteTableText"/>
            </w:pPr>
            <w:r>
              <w:t>am F2023L01458</w:t>
            </w:r>
          </w:p>
        </w:tc>
      </w:tr>
      <w:tr w:rsidR="00E93F58" w:rsidRPr="00576D60" w14:paraId="1AD46553" w14:textId="77777777" w:rsidTr="002F32E3">
        <w:trPr>
          <w:cantSplit/>
        </w:trPr>
        <w:tc>
          <w:tcPr>
            <w:tcW w:w="1500" w:type="pct"/>
            <w:shd w:val="clear" w:color="auto" w:fill="auto"/>
          </w:tcPr>
          <w:p w14:paraId="5925525A" w14:textId="77777777" w:rsidR="00E93F58" w:rsidRPr="00576D60" w:rsidRDefault="00E93F58" w:rsidP="002F32E3">
            <w:pPr>
              <w:pStyle w:val="ENoteTableText"/>
              <w:tabs>
                <w:tab w:val="left" w:leader="dot" w:pos="2268"/>
              </w:tabs>
              <w:rPr>
                <w:b/>
              </w:rPr>
            </w:pPr>
            <w:r w:rsidRPr="00576D60">
              <w:rPr>
                <w:b/>
              </w:rPr>
              <w:t>Chapter 6A</w:t>
            </w:r>
          </w:p>
        </w:tc>
        <w:tc>
          <w:tcPr>
            <w:tcW w:w="3500" w:type="pct"/>
            <w:shd w:val="clear" w:color="auto" w:fill="auto"/>
          </w:tcPr>
          <w:p w14:paraId="07D53EBC" w14:textId="77777777" w:rsidR="00E93F58" w:rsidRPr="00576D60" w:rsidRDefault="00E93F58" w:rsidP="002F32E3">
            <w:pPr>
              <w:pStyle w:val="ENoteTableText"/>
            </w:pPr>
          </w:p>
        </w:tc>
      </w:tr>
      <w:tr w:rsidR="00E93F58" w:rsidRPr="00576D60" w14:paraId="623E0740" w14:textId="77777777" w:rsidTr="002F32E3">
        <w:trPr>
          <w:cantSplit/>
        </w:trPr>
        <w:tc>
          <w:tcPr>
            <w:tcW w:w="1500" w:type="pct"/>
            <w:shd w:val="clear" w:color="auto" w:fill="auto"/>
          </w:tcPr>
          <w:p w14:paraId="613FEF60" w14:textId="77777777" w:rsidR="00E93F58" w:rsidRPr="00576D60" w:rsidRDefault="00E93F58" w:rsidP="002F32E3">
            <w:pPr>
              <w:pStyle w:val="ENoteTableText"/>
              <w:tabs>
                <w:tab w:val="left" w:leader="dot" w:pos="2268"/>
              </w:tabs>
            </w:pPr>
            <w:r w:rsidRPr="00576D60">
              <w:t>Chapter 6A</w:t>
            </w:r>
            <w:r w:rsidRPr="00576D60">
              <w:tab/>
            </w:r>
          </w:p>
        </w:tc>
        <w:tc>
          <w:tcPr>
            <w:tcW w:w="3500" w:type="pct"/>
            <w:shd w:val="clear" w:color="auto" w:fill="auto"/>
          </w:tcPr>
          <w:p w14:paraId="6CCF27FD" w14:textId="77777777" w:rsidR="00E93F58" w:rsidRPr="00576D60" w:rsidRDefault="00E93F58" w:rsidP="002F32E3">
            <w:pPr>
              <w:pStyle w:val="ENoteTableText"/>
            </w:pPr>
            <w:r w:rsidRPr="00576D60">
              <w:t>ad. 2001 No. 319</w:t>
            </w:r>
          </w:p>
        </w:tc>
      </w:tr>
      <w:tr w:rsidR="00E93F58" w:rsidRPr="00576D60" w14:paraId="7F302B6F" w14:textId="77777777" w:rsidTr="002F32E3">
        <w:trPr>
          <w:cantSplit/>
        </w:trPr>
        <w:tc>
          <w:tcPr>
            <w:tcW w:w="1500" w:type="pct"/>
            <w:shd w:val="clear" w:color="auto" w:fill="auto"/>
          </w:tcPr>
          <w:p w14:paraId="00A90349" w14:textId="77777777" w:rsidR="00E93F58" w:rsidRPr="00576D60" w:rsidRDefault="00E93F58" w:rsidP="002F32E3">
            <w:pPr>
              <w:pStyle w:val="ENoteTableText"/>
              <w:tabs>
                <w:tab w:val="left" w:leader="dot" w:pos="2268"/>
              </w:tabs>
              <w:rPr>
                <w:b/>
              </w:rPr>
            </w:pPr>
            <w:r>
              <w:rPr>
                <w:b/>
              </w:rPr>
              <w:t>Part 6</w:t>
            </w:r>
            <w:r w:rsidRPr="00576D60">
              <w:rPr>
                <w:b/>
              </w:rPr>
              <w:t>A.1</w:t>
            </w:r>
          </w:p>
        </w:tc>
        <w:tc>
          <w:tcPr>
            <w:tcW w:w="3500" w:type="pct"/>
            <w:shd w:val="clear" w:color="auto" w:fill="auto"/>
          </w:tcPr>
          <w:p w14:paraId="6EEFC39C" w14:textId="77777777" w:rsidR="00E93F58" w:rsidRPr="00576D60" w:rsidRDefault="00E93F58" w:rsidP="002F32E3">
            <w:pPr>
              <w:pStyle w:val="ENoteTableText"/>
            </w:pPr>
          </w:p>
        </w:tc>
      </w:tr>
      <w:tr w:rsidR="00E93F58" w:rsidRPr="00576D60" w14:paraId="2C8E4E51" w14:textId="77777777" w:rsidTr="002F32E3">
        <w:trPr>
          <w:cantSplit/>
        </w:trPr>
        <w:tc>
          <w:tcPr>
            <w:tcW w:w="1500" w:type="pct"/>
            <w:shd w:val="clear" w:color="auto" w:fill="auto"/>
          </w:tcPr>
          <w:p w14:paraId="75FF3F20" w14:textId="77777777" w:rsidR="00E93F58" w:rsidRPr="00576D60" w:rsidRDefault="00E93F58" w:rsidP="002F32E3">
            <w:pPr>
              <w:pStyle w:val="ENoteTableText"/>
              <w:tabs>
                <w:tab w:val="left" w:leader="dot" w:pos="2268"/>
              </w:tabs>
            </w:pPr>
            <w:r w:rsidRPr="00576D60">
              <w:t>r. 6A.1.01</w:t>
            </w:r>
            <w:r w:rsidRPr="00576D60">
              <w:tab/>
            </w:r>
          </w:p>
        </w:tc>
        <w:tc>
          <w:tcPr>
            <w:tcW w:w="3500" w:type="pct"/>
            <w:shd w:val="clear" w:color="auto" w:fill="auto"/>
          </w:tcPr>
          <w:p w14:paraId="5C25ADED" w14:textId="77777777" w:rsidR="00E93F58" w:rsidRPr="00576D60" w:rsidRDefault="00E93F58" w:rsidP="002F32E3">
            <w:pPr>
              <w:pStyle w:val="ENoteTableText"/>
            </w:pPr>
            <w:r w:rsidRPr="00576D60">
              <w:t>ad. 2001 No. 319</w:t>
            </w:r>
          </w:p>
        </w:tc>
      </w:tr>
      <w:tr w:rsidR="00E93F58" w:rsidRPr="00576D60" w14:paraId="5CB18D8D" w14:textId="77777777" w:rsidTr="002F32E3">
        <w:trPr>
          <w:cantSplit/>
        </w:trPr>
        <w:tc>
          <w:tcPr>
            <w:tcW w:w="1500" w:type="pct"/>
            <w:shd w:val="clear" w:color="auto" w:fill="auto"/>
          </w:tcPr>
          <w:p w14:paraId="6A5F3E82" w14:textId="77777777" w:rsidR="00E93F58" w:rsidRPr="00576D60" w:rsidRDefault="00E93F58" w:rsidP="002F32E3">
            <w:pPr>
              <w:pStyle w:val="ENoteTableText"/>
              <w:keepNext/>
              <w:keepLines/>
              <w:tabs>
                <w:tab w:val="left" w:leader="dot" w:pos="2268"/>
              </w:tabs>
              <w:rPr>
                <w:b/>
              </w:rPr>
            </w:pPr>
            <w:r w:rsidRPr="00576D60">
              <w:rPr>
                <w:b/>
              </w:rPr>
              <w:t>Chapter 6CA</w:t>
            </w:r>
          </w:p>
        </w:tc>
        <w:tc>
          <w:tcPr>
            <w:tcW w:w="3500" w:type="pct"/>
            <w:shd w:val="clear" w:color="auto" w:fill="auto"/>
          </w:tcPr>
          <w:p w14:paraId="62EDED32" w14:textId="77777777" w:rsidR="00E93F58" w:rsidRPr="00576D60" w:rsidRDefault="00E93F58" w:rsidP="002F32E3">
            <w:pPr>
              <w:pStyle w:val="ENoteTableText"/>
              <w:keepNext/>
              <w:keepLines/>
            </w:pPr>
          </w:p>
        </w:tc>
      </w:tr>
      <w:tr w:rsidR="00E93F58" w:rsidRPr="00576D60" w14:paraId="5E5395DF" w14:textId="77777777" w:rsidTr="002F32E3">
        <w:trPr>
          <w:cantSplit/>
        </w:trPr>
        <w:tc>
          <w:tcPr>
            <w:tcW w:w="1500" w:type="pct"/>
            <w:shd w:val="clear" w:color="auto" w:fill="auto"/>
          </w:tcPr>
          <w:p w14:paraId="229033C4" w14:textId="77777777" w:rsidR="00E93F58" w:rsidRPr="00576D60" w:rsidRDefault="00E93F58" w:rsidP="002F32E3">
            <w:pPr>
              <w:pStyle w:val="ENoteTableText"/>
              <w:tabs>
                <w:tab w:val="left" w:leader="dot" w:pos="2268"/>
              </w:tabs>
            </w:pPr>
            <w:r w:rsidRPr="00576D60">
              <w:t>Chapter 6CA</w:t>
            </w:r>
            <w:r w:rsidRPr="00576D60">
              <w:tab/>
            </w:r>
          </w:p>
        </w:tc>
        <w:tc>
          <w:tcPr>
            <w:tcW w:w="3500" w:type="pct"/>
            <w:shd w:val="clear" w:color="auto" w:fill="auto"/>
          </w:tcPr>
          <w:p w14:paraId="111E9C01" w14:textId="77777777" w:rsidR="00E93F58" w:rsidRPr="00576D60" w:rsidRDefault="00E93F58" w:rsidP="002F32E3">
            <w:pPr>
              <w:pStyle w:val="ENoteTableText"/>
            </w:pPr>
            <w:r w:rsidRPr="00576D60">
              <w:t>ad. 2001 No. 319</w:t>
            </w:r>
          </w:p>
        </w:tc>
      </w:tr>
      <w:tr w:rsidR="00E93F58" w:rsidRPr="00576D60" w14:paraId="145EDC32" w14:textId="77777777" w:rsidTr="002F32E3">
        <w:trPr>
          <w:cantSplit/>
        </w:trPr>
        <w:tc>
          <w:tcPr>
            <w:tcW w:w="1500" w:type="pct"/>
            <w:shd w:val="clear" w:color="auto" w:fill="auto"/>
          </w:tcPr>
          <w:p w14:paraId="47A97F1A" w14:textId="77777777" w:rsidR="00E93F58" w:rsidRPr="00576D60" w:rsidRDefault="00E93F58" w:rsidP="002F32E3">
            <w:pPr>
              <w:pStyle w:val="ENoteTableText"/>
              <w:tabs>
                <w:tab w:val="left" w:leader="dot" w:pos="2268"/>
              </w:tabs>
            </w:pPr>
            <w:r w:rsidRPr="00576D60">
              <w:t>r. 6CA.1.01</w:t>
            </w:r>
            <w:r w:rsidRPr="00576D60">
              <w:tab/>
            </w:r>
          </w:p>
        </w:tc>
        <w:tc>
          <w:tcPr>
            <w:tcW w:w="3500" w:type="pct"/>
            <w:shd w:val="clear" w:color="auto" w:fill="auto"/>
          </w:tcPr>
          <w:p w14:paraId="4C7DE249" w14:textId="77777777" w:rsidR="00E93F58" w:rsidRPr="00576D60" w:rsidRDefault="00E93F58" w:rsidP="002F32E3">
            <w:pPr>
              <w:pStyle w:val="ENoteTableText"/>
            </w:pPr>
            <w:r w:rsidRPr="00576D60">
              <w:t>ad. 2001 No. 319</w:t>
            </w:r>
          </w:p>
        </w:tc>
      </w:tr>
      <w:tr w:rsidR="00E93F58" w:rsidRPr="00576D60" w14:paraId="7EC56B4B" w14:textId="77777777" w:rsidTr="002F32E3">
        <w:trPr>
          <w:cantSplit/>
        </w:trPr>
        <w:tc>
          <w:tcPr>
            <w:tcW w:w="1500" w:type="pct"/>
            <w:shd w:val="clear" w:color="auto" w:fill="auto"/>
          </w:tcPr>
          <w:p w14:paraId="16321D31" w14:textId="77777777" w:rsidR="00E93F58" w:rsidRPr="00576D60" w:rsidRDefault="00E93F58" w:rsidP="002F32E3">
            <w:pPr>
              <w:pStyle w:val="ENoteTableText"/>
            </w:pPr>
          </w:p>
        </w:tc>
        <w:tc>
          <w:tcPr>
            <w:tcW w:w="3500" w:type="pct"/>
            <w:shd w:val="clear" w:color="auto" w:fill="auto"/>
          </w:tcPr>
          <w:p w14:paraId="1B96AF07" w14:textId="77777777" w:rsidR="00E93F58" w:rsidRPr="00576D60" w:rsidRDefault="00E93F58" w:rsidP="002F32E3">
            <w:pPr>
              <w:pStyle w:val="ENoteTableText"/>
            </w:pPr>
            <w:r w:rsidRPr="00576D60">
              <w:t>rs. 2002 No. 41</w:t>
            </w:r>
          </w:p>
        </w:tc>
      </w:tr>
      <w:tr w:rsidR="00E93F58" w:rsidRPr="00576D60" w14:paraId="4E9E0436" w14:textId="77777777" w:rsidTr="002F32E3">
        <w:trPr>
          <w:cantSplit/>
        </w:trPr>
        <w:tc>
          <w:tcPr>
            <w:tcW w:w="1500" w:type="pct"/>
            <w:shd w:val="clear" w:color="auto" w:fill="auto"/>
          </w:tcPr>
          <w:p w14:paraId="76B20E95" w14:textId="77777777" w:rsidR="00E93F58" w:rsidRPr="00576D60" w:rsidRDefault="00E93F58" w:rsidP="002F32E3">
            <w:pPr>
              <w:pStyle w:val="ENoteTableText"/>
              <w:tabs>
                <w:tab w:val="left" w:leader="dot" w:pos="2268"/>
              </w:tabs>
              <w:rPr>
                <w:b/>
              </w:rPr>
            </w:pPr>
            <w:r w:rsidRPr="00576D60">
              <w:rPr>
                <w:b/>
              </w:rPr>
              <w:t>Chapter 6D</w:t>
            </w:r>
          </w:p>
        </w:tc>
        <w:tc>
          <w:tcPr>
            <w:tcW w:w="3500" w:type="pct"/>
            <w:shd w:val="clear" w:color="auto" w:fill="auto"/>
          </w:tcPr>
          <w:p w14:paraId="27E67187" w14:textId="77777777" w:rsidR="00E93F58" w:rsidRPr="00576D60" w:rsidRDefault="00E93F58" w:rsidP="002F32E3">
            <w:pPr>
              <w:pStyle w:val="ENoteTableText"/>
            </w:pPr>
          </w:p>
        </w:tc>
      </w:tr>
      <w:tr w:rsidR="00E93F58" w:rsidRPr="00576D60" w14:paraId="54F664B8" w14:textId="77777777" w:rsidTr="002F32E3">
        <w:trPr>
          <w:cantSplit/>
        </w:trPr>
        <w:tc>
          <w:tcPr>
            <w:tcW w:w="1500" w:type="pct"/>
            <w:shd w:val="clear" w:color="auto" w:fill="auto"/>
          </w:tcPr>
          <w:p w14:paraId="1F145FFD" w14:textId="77777777" w:rsidR="00E93F58" w:rsidRPr="00576D60" w:rsidRDefault="00E93F58" w:rsidP="002F32E3">
            <w:pPr>
              <w:pStyle w:val="ENoteTableText"/>
              <w:tabs>
                <w:tab w:val="left" w:leader="dot" w:pos="2268"/>
              </w:tabs>
              <w:rPr>
                <w:b/>
              </w:rPr>
            </w:pPr>
            <w:r>
              <w:rPr>
                <w:b/>
              </w:rPr>
              <w:t>Part 6</w:t>
            </w:r>
            <w:r w:rsidRPr="00576D60">
              <w:rPr>
                <w:b/>
              </w:rPr>
              <w:t>D.2</w:t>
            </w:r>
          </w:p>
        </w:tc>
        <w:tc>
          <w:tcPr>
            <w:tcW w:w="3500" w:type="pct"/>
            <w:shd w:val="clear" w:color="auto" w:fill="auto"/>
          </w:tcPr>
          <w:p w14:paraId="6BB3349D" w14:textId="77777777" w:rsidR="00E93F58" w:rsidRPr="00576D60" w:rsidRDefault="00E93F58" w:rsidP="002F32E3">
            <w:pPr>
              <w:pStyle w:val="ENoteTableText"/>
            </w:pPr>
          </w:p>
        </w:tc>
      </w:tr>
      <w:tr w:rsidR="00E93F58" w:rsidRPr="00576D60" w14:paraId="231CBA27" w14:textId="77777777" w:rsidTr="002F32E3">
        <w:trPr>
          <w:cantSplit/>
        </w:trPr>
        <w:tc>
          <w:tcPr>
            <w:tcW w:w="1500" w:type="pct"/>
            <w:shd w:val="clear" w:color="auto" w:fill="auto"/>
          </w:tcPr>
          <w:p w14:paraId="0B82C016" w14:textId="77777777" w:rsidR="00E93F58" w:rsidRPr="00576D60" w:rsidRDefault="00E93F58" w:rsidP="002F32E3">
            <w:pPr>
              <w:pStyle w:val="ENoteTableText"/>
              <w:tabs>
                <w:tab w:val="left" w:leader="dot" w:pos="2268"/>
              </w:tabs>
            </w:pPr>
            <w:r w:rsidRPr="00576D60">
              <w:t>r. 6D.2.03</w:t>
            </w:r>
            <w:r w:rsidRPr="00576D60">
              <w:tab/>
            </w:r>
          </w:p>
        </w:tc>
        <w:tc>
          <w:tcPr>
            <w:tcW w:w="3500" w:type="pct"/>
            <w:shd w:val="clear" w:color="auto" w:fill="auto"/>
          </w:tcPr>
          <w:p w14:paraId="320FCC48" w14:textId="77777777" w:rsidR="00E93F58" w:rsidRPr="00576D60" w:rsidRDefault="00E93F58" w:rsidP="002F32E3">
            <w:pPr>
              <w:pStyle w:val="ENoteTableText"/>
            </w:pPr>
            <w:r w:rsidRPr="00576D60">
              <w:t>ad. 2001 No. 319</w:t>
            </w:r>
          </w:p>
        </w:tc>
      </w:tr>
      <w:tr w:rsidR="00E93F58" w:rsidRPr="00576D60" w14:paraId="2DA8C3C4" w14:textId="77777777" w:rsidTr="002F32E3">
        <w:trPr>
          <w:cantSplit/>
        </w:trPr>
        <w:tc>
          <w:tcPr>
            <w:tcW w:w="1500" w:type="pct"/>
            <w:shd w:val="clear" w:color="auto" w:fill="auto"/>
          </w:tcPr>
          <w:p w14:paraId="201E3566" w14:textId="77777777" w:rsidR="00E93F58" w:rsidRPr="00576D60" w:rsidRDefault="00E93F58" w:rsidP="002F32E3">
            <w:pPr>
              <w:pStyle w:val="ENoteTableText"/>
              <w:tabs>
                <w:tab w:val="left" w:leader="dot" w:pos="2268"/>
              </w:tabs>
            </w:pPr>
            <w:r w:rsidRPr="00576D60">
              <w:t>r 6D.2.04</w:t>
            </w:r>
            <w:r w:rsidRPr="00576D60">
              <w:tab/>
            </w:r>
          </w:p>
        </w:tc>
        <w:tc>
          <w:tcPr>
            <w:tcW w:w="3500" w:type="pct"/>
            <w:shd w:val="clear" w:color="auto" w:fill="auto"/>
          </w:tcPr>
          <w:p w14:paraId="41F34B9E" w14:textId="77777777" w:rsidR="00E93F58" w:rsidRPr="00576D60" w:rsidRDefault="00E93F58" w:rsidP="002F32E3">
            <w:pPr>
              <w:pStyle w:val="ENoteTableText"/>
            </w:pPr>
            <w:r w:rsidRPr="00576D60">
              <w:t>ad No 209, 2014</w:t>
            </w:r>
          </w:p>
        </w:tc>
      </w:tr>
      <w:tr w:rsidR="00E93F58" w:rsidRPr="00576D60" w14:paraId="68C96C19" w14:textId="77777777" w:rsidTr="002F32E3">
        <w:trPr>
          <w:cantSplit/>
        </w:trPr>
        <w:tc>
          <w:tcPr>
            <w:tcW w:w="1500" w:type="pct"/>
            <w:shd w:val="clear" w:color="auto" w:fill="auto"/>
          </w:tcPr>
          <w:p w14:paraId="3E6B081A" w14:textId="77777777" w:rsidR="00E93F58" w:rsidRPr="00576D60" w:rsidRDefault="00E93F58" w:rsidP="002F32E3">
            <w:pPr>
              <w:pStyle w:val="ENoteTableText"/>
              <w:tabs>
                <w:tab w:val="left" w:leader="dot" w:pos="2268"/>
              </w:tabs>
            </w:pPr>
            <w:r w:rsidRPr="00576D60">
              <w:t>r 6D.2.05</w:t>
            </w:r>
            <w:r w:rsidRPr="00576D60">
              <w:tab/>
            </w:r>
          </w:p>
        </w:tc>
        <w:tc>
          <w:tcPr>
            <w:tcW w:w="3500" w:type="pct"/>
            <w:shd w:val="clear" w:color="auto" w:fill="auto"/>
          </w:tcPr>
          <w:p w14:paraId="2B229561" w14:textId="77777777" w:rsidR="00E93F58" w:rsidRPr="00576D60" w:rsidRDefault="00E93F58" w:rsidP="002F32E3">
            <w:pPr>
              <w:pStyle w:val="ENoteTableText"/>
            </w:pPr>
            <w:r w:rsidRPr="00576D60">
              <w:t>ad No 209, 2014</w:t>
            </w:r>
          </w:p>
        </w:tc>
      </w:tr>
      <w:tr w:rsidR="00E93F58" w:rsidRPr="00576D60" w14:paraId="7E642F1A" w14:textId="77777777" w:rsidTr="002F32E3">
        <w:trPr>
          <w:cantSplit/>
        </w:trPr>
        <w:tc>
          <w:tcPr>
            <w:tcW w:w="1500" w:type="pct"/>
            <w:shd w:val="clear" w:color="auto" w:fill="auto"/>
          </w:tcPr>
          <w:p w14:paraId="1244EE53" w14:textId="77777777" w:rsidR="00E93F58" w:rsidRPr="00576D60" w:rsidRDefault="00E93F58" w:rsidP="002F32E3">
            <w:pPr>
              <w:pStyle w:val="ENoteTableText"/>
              <w:tabs>
                <w:tab w:val="left" w:leader="dot" w:pos="2268"/>
              </w:tabs>
            </w:pPr>
            <w:r w:rsidRPr="00576D60">
              <w:t>r 6D.2.06</w:t>
            </w:r>
            <w:r w:rsidRPr="00576D60">
              <w:tab/>
            </w:r>
          </w:p>
        </w:tc>
        <w:tc>
          <w:tcPr>
            <w:tcW w:w="3500" w:type="pct"/>
            <w:shd w:val="clear" w:color="auto" w:fill="auto"/>
          </w:tcPr>
          <w:p w14:paraId="7977A790" w14:textId="77777777" w:rsidR="00E93F58" w:rsidRPr="00576D60" w:rsidRDefault="00E93F58" w:rsidP="002F32E3">
            <w:pPr>
              <w:pStyle w:val="ENoteTableText"/>
            </w:pPr>
            <w:r w:rsidRPr="00576D60">
              <w:t>ad No 209, 2014</w:t>
            </w:r>
          </w:p>
        </w:tc>
      </w:tr>
      <w:tr w:rsidR="00E93F58" w:rsidRPr="00576D60" w14:paraId="5747DCA4" w14:textId="77777777" w:rsidTr="002F32E3">
        <w:trPr>
          <w:cantSplit/>
        </w:trPr>
        <w:tc>
          <w:tcPr>
            <w:tcW w:w="1500" w:type="pct"/>
            <w:shd w:val="clear" w:color="auto" w:fill="auto"/>
          </w:tcPr>
          <w:p w14:paraId="646FF8F2" w14:textId="77777777" w:rsidR="00E93F58" w:rsidRPr="00576D60" w:rsidRDefault="00E93F58" w:rsidP="002F32E3">
            <w:pPr>
              <w:pStyle w:val="ENoteTableText"/>
              <w:tabs>
                <w:tab w:val="left" w:leader="dot" w:pos="2268"/>
              </w:tabs>
              <w:rPr>
                <w:b/>
              </w:rPr>
            </w:pPr>
            <w:r>
              <w:rPr>
                <w:b/>
              </w:rPr>
              <w:t>Part 6</w:t>
            </w:r>
            <w:r w:rsidRPr="00576D60">
              <w:rPr>
                <w:b/>
              </w:rPr>
              <w:t>D.3A</w:t>
            </w:r>
          </w:p>
        </w:tc>
        <w:tc>
          <w:tcPr>
            <w:tcW w:w="3500" w:type="pct"/>
            <w:shd w:val="clear" w:color="auto" w:fill="auto"/>
          </w:tcPr>
          <w:p w14:paraId="36AE4989" w14:textId="77777777" w:rsidR="00E93F58" w:rsidRPr="00576D60" w:rsidRDefault="00E93F58" w:rsidP="002F32E3">
            <w:pPr>
              <w:pStyle w:val="ENoteTableText"/>
            </w:pPr>
          </w:p>
        </w:tc>
      </w:tr>
      <w:tr w:rsidR="00E93F58" w:rsidRPr="00576D60" w14:paraId="62ACF1AD" w14:textId="77777777" w:rsidTr="002F32E3">
        <w:trPr>
          <w:cantSplit/>
        </w:trPr>
        <w:tc>
          <w:tcPr>
            <w:tcW w:w="1500" w:type="pct"/>
            <w:shd w:val="clear" w:color="auto" w:fill="auto"/>
          </w:tcPr>
          <w:p w14:paraId="7AE8718A" w14:textId="77777777" w:rsidR="00E93F58" w:rsidRPr="00576D60" w:rsidRDefault="00E93F58" w:rsidP="002F32E3">
            <w:pPr>
              <w:pStyle w:val="ENoteTableText"/>
              <w:tabs>
                <w:tab w:val="left" w:leader="dot" w:pos="2268"/>
              </w:tabs>
            </w:pPr>
            <w:r>
              <w:t>Part 6</w:t>
            </w:r>
            <w:r w:rsidRPr="00576D60">
              <w:t>D.3A</w:t>
            </w:r>
            <w:r w:rsidRPr="00576D60">
              <w:tab/>
            </w:r>
          </w:p>
        </w:tc>
        <w:tc>
          <w:tcPr>
            <w:tcW w:w="3500" w:type="pct"/>
            <w:shd w:val="clear" w:color="auto" w:fill="auto"/>
          </w:tcPr>
          <w:p w14:paraId="4258C5E6" w14:textId="77777777" w:rsidR="00E93F58" w:rsidRPr="00576D60" w:rsidRDefault="00E93F58" w:rsidP="002F32E3">
            <w:pPr>
              <w:pStyle w:val="ENoteTableText"/>
              <w:rPr>
                <w:u w:val="single"/>
              </w:rPr>
            </w:pPr>
            <w:r w:rsidRPr="00576D60">
              <w:t>ad F2017L00710</w:t>
            </w:r>
          </w:p>
        </w:tc>
      </w:tr>
      <w:tr w:rsidR="00E93F58" w:rsidRPr="00576D60" w14:paraId="4A7B78F0" w14:textId="77777777" w:rsidTr="002F32E3">
        <w:trPr>
          <w:cantSplit/>
        </w:trPr>
        <w:tc>
          <w:tcPr>
            <w:tcW w:w="1500" w:type="pct"/>
            <w:shd w:val="clear" w:color="auto" w:fill="auto"/>
          </w:tcPr>
          <w:p w14:paraId="1FC073FC" w14:textId="77777777" w:rsidR="00E93F58" w:rsidRPr="00576D60" w:rsidRDefault="00E93F58" w:rsidP="002F32E3">
            <w:pPr>
              <w:pStyle w:val="ENoteTableText"/>
              <w:tabs>
                <w:tab w:val="left" w:leader="dot" w:pos="2268"/>
              </w:tabs>
            </w:pPr>
            <w:r w:rsidRPr="00576D60">
              <w:t>r 6D.3A.01</w:t>
            </w:r>
            <w:r w:rsidRPr="00576D60">
              <w:tab/>
            </w:r>
          </w:p>
        </w:tc>
        <w:tc>
          <w:tcPr>
            <w:tcW w:w="3500" w:type="pct"/>
            <w:shd w:val="clear" w:color="auto" w:fill="auto"/>
          </w:tcPr>
          <w:p w14:paraId="352E40DF" w14:textId="77777777" w:rsidR="00E93F58" w:rsidRPr="00576D60" w:rsidRDefault="00E93F58" w:rsidP="002F32E3">
            <w:pPr>
              <w:pStyle w:val="ENoteTableText"/>
            </w:pPr>
            <w:r w:rsidRPr="00576D60">
              <w:t>ad F2017L00710</w:t>
            </w:r>
          </w:p>
        </w:tc>
      </w:tr>
      <w:tr w:rsidR="00E93F58" w:rsidRPr="00576D60" w14:paraId="75A953C4" w14:textId="77777777" w:rsidTr="002F32E3">
        <w:trPr>
          <w:cantSplit/>
        </w:trPr>
        <w:tc>
          <w:tcPr>
            <w:tcW w:w="1500" w:type="pct"/>
            <w:shd w:val="clear" w:color="auto" w:fill="auto"/>
          </w:tcPr>
          <w:p w14:paraId="7DDB656D" w14:textId="77777777" w:rsidR="00E93F58" w:rsidRPr="00576D60" w:rsidRDefault="00E93F58" w:rsidP="002F32E3">
            <w:pPr>
              <w:pStyle w:val="ENoteTableText"/>
              <w:tabs>
                <w:tab w:val="left" w:leader="dot" w:pos="2268"/>
              </w:tabs>
            </w:pPr>
          </w:p>
        </w:tc>
        <w:tc>
          <w:tcPr>
            <w:tcW w:w="3500" w:type="pct"/>
            <w:shd w:val="clear" w:color="auto" w:fill="auto"/>
          </w:tcPr>
          <w:p w14:paraId="64CF096C" w14:textId="77777777" w:rsidR="00E93F58" w:rsidRPr="00576D60" w:rsidRDefault="00E93F58" w:rsidP="002F32E3">
            <w:pPr>
              <w:pStyle w:val="ENoteTableText"/>
            </w:pPr>
            <w:r w:rsidRPr="00576D60">
              <w:t>am F2018L01379</w:t>
            </w:r>
          </w:p>
        </w:tc>
      </w:tr>
      <w:tr w:rsidR="00E93F58" w:rsidRPr="00576D60" w14:paraId="1FD12933" w14:textId="77777777" w:rsidTr="002F32E3">
        <w:trPr>
          <w:cantSplit/>
        </w:trPr>
        <w:tc>
          <w:tcPr>
            <w:tcW w:w="1500" w:type="pct"/>
            <w:shd w:val="clear" w:color="auto" w:fill="auto"/>
          </w:tcPr>
          <w:p w14:paraId="7BFF76BE" w14:textId="77777777" w:rsidR="00E93F58" w:rsidRPr="00576D60" w:rsidRDefault="00E93F58" w:rsidP="002F32E3">
            <w:pPr>
              <w:pStyle w:val="ENoteTableText"/>
              <w:tabs>
                <w:tab w:val="left" w:leader="dot" w:pos="2268"/>
              </w:tabs>
            </w:pPr>
            <w:r w:rsidRPr="00576D60">
              <w:t>r 6D.3A.02</w:t>
            </w:r>
            <w:r w:rsidRPr="00576D60">
              <w:tab/>
            </w:r>
          </w:p>
        </w:tc>
        <w:tc>
          <w:tcPr>
            <w:tcW w:w="3500" w:type="pct"/>
            <w:shd w:val="clear" w:color="auto" w:fill="auto"/>
          </w:tcPr>
          <w:p w14:paraId="127B50A3" w14:textId="77777777" w:rsidR="00E93F58" w:rsidRPr="00576D60" w:rsidRDefault="00E93F58" w:rsidP="002F32E3">
            <w:pPr>
              <w:pStyle w:val="ENoteTableText"/>
            </w:pPr>
            <w:r w:rsidRPr="00576D60">
              <w:t>ad F2017L00710</w:t>
            </w:r>
          </w:p>
        </w:tc>
      </w:tr>
      <w:tr w:rsidR="00E93F58" w:rsidRPr="00576D60" w14:paraId="076122C9" w14:textId="77777777" w:rsidTr="002F32E3">
        <w:trPr>
          <w:cantSplit/>
        </w:trPr>
        <w:tc>
          <w:tcPr>
            <w:tcW w:w="1500" w:type="pct"/>
            <w:shd w:val="clear" w:color="auto" w:fill="auto"/>
          </w:tcPr>
          <w:p w14:paraId="362654E8" w14:textId="77777777" w:rsidR="00E93F58" w:rsidRPr="00576D60" w:rsidRDefault="00E93F58" w:rsidP="002F32E3">
            <w:pPr>
              <w:pStyle w:val="ENoteTableText"/>
              <w:tabs>
                <w:tab w:val="left" w:leader="dot" w:pos="2268"/>
              </w:tabs>
            </w:pPr>
          </w:p>
        </w:tc>
        <w:tc>
          <w:tcPr>
            <w:tcW w:w="3500" w:type="pct"/>
            <w:shd w:val="clear" w:color="auto" w:fill="auto"/>
          </w:tcPr>
          <w:p w14:paraId="779417C7" w14:textId="77777777" w:rsidR="00E93F58" w:rsidRPr="00576D60" w:rsidRDefault="00E93F58" w:rsidP="002F32E3">
            <w:pPr>
              <w:pStyle w:val="ENoteTableText"/>
            </w:pPr>
            <w:r w:rsidRPr="00576D60">
              <w:t>am F2018L01379</w:t>
            </w:r>
          </w:p>
        </w:tc>
      </w:tr>
      <w:tr w:rsidR="00E93F58" w:rsidRPr="00576D60" w14:paraId="02AA8A17" w14:textId="77777777" w:rsidTr="002F32E3">
        <w:trPr>
          <w:cantSplit/>
        </w:trPr>
        <w:tc>
          <w:tcPr>
            <w:tcW w:w="1500" w:type="pct"/>
            <w:shd w:val="clear" w:color="auto" w:fill="auto"/>
          </w:tcPr>
          <w:p w14:paraId="3480254E" w14:textId="77777777" w:rsidR="00E93F58" w:rsidRPr="00576D60" w:rsidRDefault="00E93F58" w:rsidP="002F32E3">
            <w:pPr>
              <w:pStyle w:val="ENoteTableText"/>
              <w:tabs>
                <w:tab w:val="left" w:leader="dot" w:pos="2268"/>
              </w:tabs>
            </w:pPr>
            <w:r w:rsidRPr="00576D60">
              <w:t>r 6D.3A.03</w:t>
            </w:r>
            <w:r w:rsidRPr="00576D60">
              <w:tab/>
            </w:r>
          </w:p>
        </w:tc>
        <w:tc>
          <w:tcPr>
            <w:tcW w:w="3500" w:type="pct"/>
            <w:shd w:val="clear" w:color="auto" w:fill="auto"/>
          </w:tcPr>
          <w:p w14:paraId="3323E23A" w14:textId="77777777" w:rsidR="00E93F58" w:rsidRPr="00576D60" w:rsidRDefault="00E93F58" w:rsidP="002F32E3">
            <w:pPr>
              <w:pStyle w:val="ENoteTableText"/>
            </w:pPr>
            <w:r w:rsidRPr="00576D60">
              <w:t>ad F2017L00710</w:t>
            </w:r>
          </w:p>
        </w:tc>
      </w:tr>
      <w:tr w:rsidR="00E93F58" w:rsidRPr="00576D60" w14:paraId="6FAB6A90" w14:textId="77777777" w:rsidTr="002F32E3">
        <w:trPr>
          <w:cantSplit/>
        </w:trPr>
        <w:tc>
          <w:tcPr>
            <w:tcW w:w="1500" w:type="pct"/>
            <w:shd w:val="clear" w:color="auto" w:fill="auto"/>
          </w:tcPr>
          <w:p w14:paraId="63803E9D" w14:textId="77777777" w:rsidR="00E93F58" w:rsidRPr="00576D60" w:rsidRDefault="00E93F58" w:rsidP="002F32E3">
            <w:pPr>
              <w:pStyle w:val="ENoteTableText"/>
              <w:tabs>
                <w:tab w:val="left" w:leader="dot" w:pos="2268"/>
              </w:tabs>
            </w:pPr>
            <w:r w:rsidRPr="00576D60">
              <w:t>r 6D.3A.04</w:t>
            </w:r>
            <w:r w:rsidRPr="00576D60">
              <w:tab/>
            </w:r>
          </w:p>
        </w:tc>
        <w:tc>
          <w:tcPr>
            <w:tcW w:w="3500" w:type="pct"/>
            <w:shd w:val="clear" w:color="auto" w:fill="auto"/>
          </w:tcPr>
          <w:p w14:paraId="49EEF7F6" w14:textId="77777777" w:rsidR="00E93F58" w:rsidRPr="00576D60" w:rsidRDefault="00E93F58" w:rsidP="002F32E3">
            <w:pPr>
              <w:pStyle w:val="ENoteTableText"/>
            </w:pPr>
            <w:r w:rsidRPr="00576D60">
              <w:t>ad F2017L00710</w:t>
            </w:r>
          </w:p>
        </w:tc>
      </w:tr>
      <w:tr w:rsidR="00E93F58" w:rsidRPr="00576D60" w14:paraId="4306E9F4" w14:textId="77777777" w:rsidTr="002F32E3">
        <w:trPr>
          <w:cantSplit/>
        </w:trPr>
        <w:tc>
          <w:tcPr>
            <w:tcW w:w="1500" w:type="pct"/>
            <w:shd w:val="clear" w:color="auto" w:fill="auto"/>
          </w:tcPr>
          <w:p w14:paraId="1E23FA1F" w14:textId="77777777" w:rsidR="00E93F58" w:rsidRPr="00576D60" w:rsidRDefault="00E93F58" w:rsidP="002F32E3">
            <w:pPr>
              <w:pStyle w:val="ENoteTableText"/>
              <w:tabs>
                <w:tab w:val="left" w:leader="dot" w:pos="2268"/>
              </w:tabs>
            </w:pPr>
          </w:p>
        </w:tc>
        <w:tc>
          <w:tcPr>
            <w:tcW w:w="3500" w:type="pct"/>
            <w:shd w:val="clear" w:color="auto" w:fill="auto"/>
          </w:tcPr>
          <w:p w14:paraId="653F28A3" w14:textId="77777777" w:rsidR="00E93F58" w:rsidRPr="00576D60" w:rsidRDefault="00E93F58" w:rsidP="002F32E3">
            <w:pPr>
              <w:pStyle w:val="ENoteTableText"/>
            </w:pPr>
            <w:r w:rsidRPr="00576D60">
              <w:t>am F2018L01379</w:t>
            </w:r>
          </w:p>
        </w:tc>
      </w:tr>
      <w:tr w:rsidR="00E93F58" w:rsidRPr="00576D60" w14:paraId="67A0AFAA" w14:textId="77777777" w:rsidTr="002F32E3">
        <w:trPr>
          <w:cantSplit/>
        </w:trPr>
        <w:tc>
          <w:tcPr>
            <w:tcW w:w="1500" w:type="pct"/>
            <w:shd w:val="clear" w:color="auto" w:fill="auto"/>
          </w:tcPr>
          <w:p w14:paraId="7B4A0F54" w14:textId="77777777" w:rsidR="00E93F58" w:rsidRPr="00576D60" w:rsidRDefault="00E93F58" w:rsidP="002F32E3">
            <w:pPr>
              <w:pStyle w:val="ENoteTableText"/>
              <w:tabs>
                <w:tab w:val="left" w:leader="dot" w:pos="2268"/>
              </w:tabs>
            </w:pPr>
            <w:r w:rsidRPr="00576D60">
              <w:t>r 6D.3A.05</w:t>
            </w:r>
            <w:r w:rsidRPr="00576D60">
              <w:tab/>
            </w:r>
          </w:p>
        </w:tc>
        <w:tc>
          <w:tcPr>
            <w:tcW w:w="3500" w:type="pct"/>
            <w:shd w:val="clear" w:color="auto" w:fill="auto"/>
          </w:tcPr>
          <w:p w14:paraId="633AF39D" w14:textId="77777777" w:rsidR="00E93F58" w:rsidRPr="00576D60" w:rsidRDefault="00E93F58" w:rsidP="002F32E3">
            <w:pPr>
              <w:pStyle w:val="ENoteTableText"/>
            </w:pPr>
            <w:r w:rsidRPr="00576D60">
              <w:t>ad F2017L00710</w:t>
            </w:r>
          </w:p>
        </w:tc>
      </w:tr>
      <w:tr w:rsidR="00E93F58" w:rsidRPr="00576D60" w14:paraId="14181811" w14:textId="77777777" w:rsidTr="002F32E3">
        <w:trPr>
          <w:cantSplit/>
        </w:trPr>
        <w:tc>
          <w:tcPr>
            <w:tcW w:w="1500" w:type="pct"/>
            <w:shd w:val="clear" w:color="auto" w:fill="auto"/>
          </w:tcPr>
          <w:p w14:paraId="1A800099" w14:textId="77777777" w:rsidR="00E93F58" w:rsidRPr="00576D60" w:rsidRDefault="00E93F58" w:rsidP="002F32E3">
            <w:pPr>
              <w:pStyle w:val="ENoteTableText"/>
              <w:tabs>
                <w:tab w:val="left" w:leader="dot" w:pos="2268"/>
              </w:tabs>
            </w:pPr>
          </w:p>
        </w:tc>
        <w:tc>
          <w:tcPr>
            <w:tcW w:w="3500" w:type="pct"/>
            <w:shd w:val="clear" w:color="auto" w:fill="auto"/>
          </w:tcPr>
          <w:p w14:paraId="3BA3C061" w14:textId="77777777" w:rsidR="00E93F58" w:rsidRPr="00576D60" w:rsidRDefault="00E93F58" w:rsidP="002F32E3">
            <w:pPr>
              <w:pStyle w:val="ENoteTableText"/>
            </w:pPr>
            <w:r w:rsidRPr="00576D60">
              <w:t>am F2018L01379</w:t>
            </w:r>
          </w:p>
        </w:tc>
      </w:tr>
      <w:tr w:rsidR="00E93F58" w:rsidRPr="00576D60" w14:paraId="0AB77D56" w14:textId="77777777" w:rsidTr="002F32E3">
        <w:trPr>
          <w:cantSplit/>
        </w:trPr>
        <w:tc>
          <w:tcPr>
            <w:tcW w:w="1500" w:type="pct"/>
            <w:shd w:val="clear" w:color="auto" w:fill="auto"/>
          </w:tcPr>
          <w:p w14:paraId="7B5FFAF2" w14:textId="77777777" w:rsidR="00E93F58" w:rsidRPr="00576D60" w:rsidRDefault="00E93F58" w:rsidP="002F32E3">
            <w:pPr>
              <w:pStyle w:val="ENoteTableText"/>
              <w:tabs>
                <w:tab w:val="left" w:leader="dot" w:pos="2268"/>
              </w:tabs>
            </w:pPr>
            <w:r w:rsidRPr="00576D60">
              <w:t>r 6D.3A.06</w:t>
            </w:r>
            <w:r w:rsidRPr="00576D60">
              <w:tab/>
            </w:r>
          </w:p>
        </w:tc>
        <w:tc>
          <w:tcPr>
            <w:tcW w:w="3500" w:type="pct"/>
            <w:shd w:val="clear" w:color="auto" w:fill="auto"/>
          </w:tcPr>
          <w:p w14:paraId="2C2B0DA7" w14:textId="77777777" w:rsidR="00E93F58" w:rsidRPr="00576D60" w:rsidRDefault="00E93F58" w:rsidP="002F32E3">
            <w:pPr>
              <w:pStyle w:val="ENoteTableText"/>
            </w:pPr>
            <w:r w:rsidRPr="00576D60">
              <w:t>ad F2017L00710</w:t>
            </w:r>
          </w:p>
        </w:tc>
      </w:tr>
      <w:tr w:rsidR="00E93F58" w:rsidRPr="00576D60" w14:paraId="41C0FEE6" w14:textId="77777777" w:rsidTr="002F32E3">
        <w:trPr>
          <w:cantSplit/>
        </w:trPr>
        <w:tc>
          <w:tcPr>
            <w:tcW w:w="1500" w:type="pct"/>
            <w:shd w:val="clear" w:color="auto" w:fill="auto"/>
          </w:tcPr>
          <w:p w14:paraId="3C501287" w14:textId="77777777" w:rsidR="00E93F58" w:rsidRPr="00576D60" w:rsidRDefault="00E93F58" w:rsidP="002F32E3">
            <w:pPr>
              <w:pStyle w:val="ENoteTableText"/>
              <w:tabs>
                <w:tab w:val="left" w:leader="dot" w:pos="2268"/>
              </w:tabs>
            </w:pPr>
          </w:p>
        </w:tc>
        <w:tc>
          <w:tcPr>
            <w:tcW w:w="3500" w:type="pct"/>
            <w:shd w:val="clear" w:color="auto" w:fill="auto"/>
          </w:tcPr>
          <w:p w14:paraId="66E3870E" w14:textId="77777777" w:rsidR="00E93F58" w:rsidRPr="00576D60" w:rsidRDefault="00E93F58" w:rsidP="002F32E3">
            <w:pPr>
              <w:pStyle w:val="ENoteTableText"/>
            </w:pPr>
            <w:r w:rsidRPr="00576D60">
              <w:t>am F2018L01379</w:t>
            </w:r>
          </w:p>
        </w:tc>
      </w:tr>
      <w:tr w:rsidR="00E93F58" w:rsidRPr="00576D60" w14:paraId="768A6BDD" w14:textId="77777777" w:rsidTr="002F32E3">
        <w:trPr>
          <w:cantSplit/>
        </w:trPr>
        <w:tc>
          <w:tcPr>
            <w:tcW w:w="1500" w:type="pct"/>
            <w:shd w:val="clear" w:color="auto" w:fill="auto"/>
          </w:tcPr>
          <w:p w14:paraId="23FF9D17" w14:textId="77777777" w:rsidR="00E93F58" w:rsidRPr="00576D60" w:rsidRDefault="00E93F58" w:rsidP="002F32E3">
            <w:pPr>
              <w:pStyle w:val="ENoteTableText"/>
              <w:tabs>
                <w:tab w:val="left" w:leader="dot" w:pos="2268"/>
              </w:tabs>
            </w:pPr>
            <w:r w:rsidRPr="00576D60">
              <w:t>r 6D.3A.07</w:t>
            </w:r>
            <w:r w:rsidRPr="00576D60">
              <w:tab/>
            </w:r>
          </w:p>
        </w:tc>
        <w:tc>
          <w:tcPr>
            <w:tcW w:w="3500" w:type="pct"/>
            <w:shd w:val="clear" w:color="auto" w:fill="auto"/>
          </w:tcPr>
          <w:p w14:paraId="203A4589" w14:textId="77777777" w:rsidR="00E93F58" w:rsidRPr="00576D60" w:rsidRDefault="00E93F58" w:rsidP="002F32E3">
            <w:pPr>
              <w:pStyle w:val="ENoteTableText"/>
            </w:pPr>
            <w:r w:rsidRPr="00576D60">
              <w:t>ad F2017L00710</w:t>
            </w:r>
          </w:p>
        </w:tc>
      </w:tr>
      <w:tr w:rsidR="00E93F58" w:rsidRPr="00576D60" w14:paraId="6E2B2665" w14:textId="77777777" w:rsidTr="002F32E3">
        <w:trPr>
          <w:cantSplit/>
        </w:trPr>
        <w:tc>
          <w:tcPr>
            <w:tcW w:w="1500" w:type="pct"/>
            <w:shd w:val="clear" w:color="auto" w:fill="auto"/>
          </w:tcPr>
          <w:p w14:paraId="3758E7FC" w14:textId="77777777" w:rsidR="00E93F58" w:rsidRPr="00576D60" w:rsidRDefault="00E93F58" w:rsidP="002F32E3">
            <w:pPr>
              <w:pStyle w:val="ENoteTableText"/>
              <w:tabs>
                <w:tab w:val="left" w:leader="dot" w:pos="2268"/>
              </w:tabs>
            </w:pPr>
            <w:r w:rsidRPr="00576D60">
              <w:t>r 6D.3A.08</w:t>
            </w:r>
            <w:r w:rsidRPr="00576D60">
              <w:tab/>
            </w:r>
          </w:p>
        </w:tc>
        <w:tc>
          <w:tcPr>
            <w:tcW w:w="3500" w:type="pct"/>
            <w:shd w:val="clear" w:color="auto" w:fill="auto"/>
          </w:tcPr>
          <w:p w14:paraId="68C87B32" w14:textId="77777777" w:rsidR="00E93F58" w:rsidRPr="00576D60" w:rsidRDefault="00E93F58" w:rsidP="002F32E3">
            <w:pPr>
              <w:pStyle w:val="ENoteTableText"/>
            </w:pPr>
            <w:r w:rsidRPr="00576D60">
              <w:t>ad F2017L00710</w:t>
            </w:r>
          </w:p>
        </w:tc>
      </w:tr>
      <w:tr w:rsidR="00E93F58" w:rsidRPr="00576D60" w14:paraId="523A4B73" w14:textId="77777777" w:rsidTr="002F32E3">
        <w:trPr>
          <w:cantSplit/>
        </w:trPr>
        <w:tc>
          <w:tcPr>
            <w:tcW w:w="1500" w:type="pct"/>
            <w:shd w:val="clear" w:color="auto" w:fill="auto"/>
          </w:tcPr>
          <w:p w14:paraId="086CECDA" w14:textId="77777777" w:rsidR="00E93F58" w:rsidRPr="00576D60" w:rsidRDefault="00E93F58" w:rsidP="002F32E3">
            <w:pPr>
              <w:pStyle w:val="ENoteTableText"/>
              <w:tabs>
                <w:tab w:val="left" w:leader="dot" w:pos="2268"/>
              </w:tabs>
            </w:pPr>
            <w:r w:rsidRPr="00576D60">
              <w:t>r 6D.3A.09</w:t>
            </w:r>
            <w:r w:rsidRPr="00576D60">
              <w:tab/>
            </w:r>
          </w:p>
        </w:tc>
        <w:tc>
          <w:tcPr>
            <w:tcW w:w="3500" w:type="pct"/>
            <w:shd w:val="clear" w:color="auto" w:fill="auto"/>
          </w:tcPr>
          <w:p w14:paraId="55C719EC" w14:textId="77777777" w:rsidR="00E93F58" w:rsidRPr="00576D60" w:rsidRDefault="00E93F58" w:rsidP="002F32E3">
            <w:pPr>
              <w:pStyle w:val="ENoteTableText"/>
            </w:pPr>
            <w:r w:rsidRPr="00576D60">
              <w:t>ad F2017L00710</w:t>
            </w:r>
          </w:p>
        </w:tc>
      </w:tr>
      <w:tr w:rsidR="00E93F58" w:rsidRPr="00576D60" w14:paraId="4CD3DF6E" w14:textId="77777777" w:rsidTr="002F32E3">
        <w:trPr>
          <w:cantSplit/>
        </w:trPr>
        <w:tc>
          <w:tcPr>
            <w:tcW w:w="1500" w:type="pct"/>
            <w:shd w:val="clear" w:color="auto" w:fill="auto"/>
          </w:tcPr>
          <w:p w14:paraId="216D5704" w14:textId="77777777" w:rsidR="00E93F58" w:rsidRPr="00576D60" w:rsidRDefault="00E93F58" w:rsidP="002F32E3">
            <w:pPr>
              <w:pStyle w:val="ENoteTableText"/>
              <w:tabs>
                <w:tab w:val="left" w:leader="dot" w:pos="2268"/>
              </w:tabs>
            </w:pPr>
          </w:p>
        </w:tc>
        <w:tc>
          <w:tcPr>
            <w:tcW w:w="3500" w:type="pct"/>
            <w:shd w:val="clear" w:color="auto" w:fill="auto"/>
          </w:tcPr>
          <w:p w14:paraId="7AAFFEEE" w14:textId="77777777" w:rsidR="00E93F58" w:rsidRPr="00576D60" w:rsidRDefault="00E93F58" w:rsidP="002F32E3">
            <w:pPr>
              <w:pStyle w:val="ENoteTableText"/>
            </w:pPr>
            <w:r w:rsidRPr="00576D60">
              <w:t>am F2018L01379</w:t>
            </w:r>
          </w:p>
        </w:tc>
      </w:tr>
      <w:tr w:rsidR="00E93F58" w:rsidRPr="00576D60" w14:paraId="362A1A2D" w14:textId="77777777" w:rsidTr="002F32E3">
        <w:trPr>
          <w:cantSplit/>
        </w:trPr>
        <w:tc>
          <w:tcPr>
            <w:tcW w:w="1500" w:type="pct"/>
            <w:shd w:val="clear" w:color="auto" w:fill="auto"/>
          </w:tcPr>
          <w:p w14:paraId="772F593F" w14:textId="77777777" w:rsidR="00E93F58" w:rsidRPr="00576D60" w:rsidRDefault="00E93F58" w:rsidP="002F32E3">
            <w:pPr>
              <w:pStyle w:val="ENoteTableText"/>
              <w:tabs>
                <w:tab w:val="left" w:leader="dot" w:pos="2268"/>
              </w:tabs>
            </w:pPr>
            <w:r w:rsidRPr="00576D60">
              <w:t>r 6D.3A.10</w:t>
            </w:r>
            <w:r w:rsidRPr="00576D60">
              <w:tab/>
            </w:r>
          </w:p>
        </w:tc>
        <w:tc>
          <w:tcPr>
            <w:tcW w:w="3500" w:type="pct"/>
            <w:shd w:val="clear" w:color="auto" w:fill="auto"/>
          </w:tcPr>
          <w:p w14:paraId="6E7FC15E" w14:textId="77777777" w:rsidR="00E93F58" w:rsidRPr="00576D60" w:rsidRDefault="00E93F58" w:rsidP="002F32E3">
            <w:pPr>
              <w:pStyle w:val="ENoteTableText"/>
            </w:pPr>
            <w:r w:rsidRPr="00576D60">
              <w:t>ad F2017L00710</w:t>
            </w:r>
          </w:p>
        </w:tc>
      </w:tr>
      <w:tr w:rsidR="00E93F58" w:rsidRPr="00576D60" w14:paraId="0269B220" w14:textId="77777777" w:rsidTr="002F32E3">
        <w:trPr>
          <w:cantSplit/>
        </w:trPr>
        <w:tc>
          <w:tcPr>
            <w:tcW w:w="1500" w:type="pct"/>
            <w:shd w:val="clear" w:color="auto" w:fill="auto"/>
          </w:tcPr>
          <w:p w14:paraId="083B00E6" w14:textId="77777777" w:rsidR="00E93F58" w:rsidRPr="00576D60" w:rsidRDefault="00E93F58" w:rsidP="002F32E3">
            <w:pPr>
              <w:pStyle w:val="ENoteTableText"/>
              <w:keepNext/>
              <w:tabs>
                <w:tab w:val="left" w:leader="dot" w:pos="2268"/>
              </w:tabs>
              <w:rPr>
                <w:b/>
              </w:rPr>
            </w:pPr>
            <w:r>
              <w:rPr>
                <w:b/>
              </w:rPr>
              <w:t>Part 6</w:t>
            </w:r>
            <w:r w:rsidRPr="00576D60">
              <w:rPr>
                <w:b/>
              </w:rPr>
              <w:t>D.5</w:t>
            </w:r>
          </w:p>
        </w:tc>
        <w:tc>
          <w:tcPr>
            <w:tcW w:w="3500" w:type="pct"/>
            <w:shd w:val="clear" w:color="auto" w:fill="auto"/>
          </w:tcPr>
          <w:p w14:paraId="5A9E3525" w14:textId="77777777" w:rsidR="00E93F58" w:rsidRPr="00576D60" w:rsidRDefault="00E93F58" w:rsidP="002F32E3">
            <w:pPr>
              <w:pStyle w:val="ENoteTableText"/>
              <w:keepNext/>
            </w:pPr>
          </w:p>
        </w:tc>
      </w:tr>
      <w:tr w:rsidR="00E93F58" w:rsidRPr="00576D60" w14:paraId="6297520B" w14:textId="77777777" w:rsidTr="002F32E3">
        <w:trPr>
          <w:cantSplit/>
        </w:trPr>
        <w:tc>
          <w:tcPr>
            <w:tcW w:w="1500" w:type="pct"/>
            <w:shd w:val="clear" w:color="auto" w:fill="auto"/>
          </w:tcPr>
          <w:p w14:paraId="2BE31565" w14:textId="77777777" w:rsidR="00E93F58" w:rsidRPr="00576D60" w:rsidRDefault="00E93F58" w:rsidP="002F32E3">
            <w:pPr>
              <w:pStyle w:val="ENoteTableText"/>
              <w:tabs>
                <w:tab w:val="left" w:leader="dot" w:pos="2268"/>
              </w:tabs>
            </w:pPr>
            <w:r>
              <w:t>Part 6</w:t>
            </w:r>
            <w:r w:rsidRPr="00576D60">
              <w:t>D.5</w:t>
            </w:r>
            <w:r w:rsidRPr="00576D60">
              <w:tab/>
            </w:r>
          </w:p>
        </w:tc>
        <w:tc>
          <w:tcPr>
            <w:tcW w:w="3500" w:type="pct"/>
            <w:shd w:val="clear" w:color="auto" w:fill="auto"/>
          </w:tcPr>
          <w:p w14:paraId="41B89E22" w14:textId="77777777" w:rsidR="00E93F58" w:rsidRPr="00576D60" w:rsidRDefault="00E93F58" w:rsidP="002F32E3">
            <w:pPr>
              <w:pStyle w:val="ENoteTableText"/>
            </w:pPr>
            <w:r w:rsidRPr="00576D60">
              <w:t>ad. 2002 No. 16</w:t>
            </w:r>
          </w:p>
        </w:tc>
      </w:tr>
      <w:tr w:rsidR="00E93F58" w:rsidRPr="00576D60" w14:paraId="6DF98BEE" w14:textId="77777777" w:rsidTr="002F32E3">
        <w:trPr>
          <w:cantSplit/>
        </w:trPr>
        <w:tc>
          <w:tcPr>
            <w:tcW w:w="1500" w:type="pct"/>
            <w:shd w:val="clear" w:color="auto" w:fill="auto"/>
          </w:tcPr>
          <w:p w14:paraId="62336C13" w14:textId="77777777" w:rsidR="00E93F58" w:rsidRPr="00576D60" w:rsidRDefault="00E93F58" w:rsidP="002F32E3">
            <w:pPr>
              <w:pStyle w:val="ENoteTableText"/>
              <w:tabs>
                <w:tab w:val="left" w:leader="dot" w:pos="2268"/>
              </w:tabs>
            </w:pPr>
            <w:r w:rsidRPr="00576D60">
              <w:t>r. 6D.5.01</w:t>
            </w:r>
            <w:r w:rsidRPr="00576D60">
              <w:tab/>
            </w:r>
          </w:p>
        </w:tc>
        <w:tc>
          <w:tcPr>
            <w:tcW w:w="3500" w:type="pct"/>
            <w:shd w:val="clear" w:color="auto" w:fill="auto"/>
          </w:tcPr>
          <w:p w14:paraId="69C60D4F" w14:textId="77777777" w:rsidR="00E93F58" w:rsidRPr="00576D60" w:rsidRDefault="00E93F58" w:rsidP="002F32E3">
            <w:pPr>
              <w:pStyle w:val="ENoteTableText"/>
            </w:pPr>
            <w:r w:rsidRPr="00576D60">
              <w:t>ad. 2002 No. 16</w:t>
            </w:r>
          </w:p>
        </w:tc>
      </w:tr>
      <w:tr w:rsidR="00E93F58" w:rsidRPr="00576D60" w14:paraId="3514C83D" w14:textId="77777777" w:rsidTr="002F32E3">
        <w:trPr>
          <w:cantSplit/>
        </w:trPr>
        <w:tc>
          <w:tcPr>
            <w:tcW w:w="1500" w:type="pct"/>
            <w:shd w:val="clear" w:color="auto" w:fill="auto"/>
          </w:tcPr>
          <w:p w14:paraId="197A0972" w14:textId="77777777" w:rsidR="00E93F58" w:rsidRPr="00576D60" w:rsidRDefault="00E93F58" w:rsidP="002F32E3">
            <w:pPr>
              <w:pStyle w:val="ENoteTableText"/>
              <w:tabs>
                <w:tab w:val="left" w:leader="dot" w:pos="2268"/>
              </w:tabs>
            </w:pPr>
            <w:r w:rsidRPr="00576D60">
              <w:t>r. 6D.5.02</w:t>
            </w:r>
            <w:r w:rsidRPr="00576D60">
              <w:tab/>
            </w:r>
          </w:p>
        </w:tc>
        <w:tc>
          <w:tcPr>
            <w:tcW w:w="3500" w:type="pct"/>
            <w:shd w:val="clear" w:color="auto" w:fill="auto"/>
          </w:tcPr>
          <w:p w14:paraId="79C9281D" w14:textId="77777777" w:rsidR="00E93F58" w:rsidRPr="00576D60" w:rsidRDefault="00E93F58" w:rsidP="002F32E3">
            <w:pPr>
              <w:pStyle w:val="ENoteTableText"/>
            </w:pPr>
            <w:r w:rsidRPr="00576D60">
              <w:t>ad. 2005 No. 324</w:t>
            </w:r>
          </w:p>
        </w:tc>
      </w:tr>
      <w:tr w:rsidR="00E93F58" w:rsidRPr="00576D60" w14:paraId="1075D524" w14:textId="77777777" w:rsidTr="002F32E3">
        <w:trPr>
          <w:cantSplit/>
        </w:trPr>
        <w:tc>
          <w:tcPr>
            <w:tcW w:w="1500" w:type="pct"/>
            <w:shd w:val="clear" w:color="auto" w:fill="auto"/>
          </w:tcPr>
          <w:p w14:paraId="79528E9E" w14:textId="77777777" w:rsidR="00E93F58" w:rsidRPr="00576D60" w:rsidRDefault="00E93F58" w:rsidP="002F32E3">
            <w:pPr>
              <w:pStyle w:val="ENoteTableText"/>
              <w:tabs>
                <w:tab w:val="left" w:leader="dot" w:pos="2268"/>
              </w:tabs>
            </w:pPr>
            <w:r w:rsidRPr="00576D60">
              <w:t>r 6D.5.03</w:t>
            </w:r>
            <w:r w:rsidRPr="00576D60">
              <w:tab/>
            </w:r>
          </w:p>
        </w:tc>
        <w:tc>
          <w:tcPr>
            <w:tcW w:w="3500" w:type="pct"/>
            <w:shd w:val="clear" w:color="auto" w:fill="auto"/>
          </w:tcPr>
          <w:p w14:paraId="6F364805" w14:textId="77777777" w:rsidR="00E93F58" w:rsidRPr="00576D60" w:rsidRDefault="00E93F58" w:rsidP="002F32E3">
            <w:pPr>
              <w:pStyle w:val="ENoteTableText"/>
            </w:pPr>
            <w:r w:rsidRPr="00576D60">
              <w:t>ad F2018L01379</w:t>
            </w:r>
          </w:p>
        </w:tc>
      </w:tr>
      <w:tr w:rsidR="00E93F58" w:rsidRPr="00576D60" w14:paraId="6D05227D" w14:textId="77777777" w:rsidTr="002F32E3">
        <w:trPr>
          <w:cantSplit/>
        </w:trPr>
        <w:tc>
          <w:tcPr>
            <w:tcW w:w="1500" w:type="pct"/>
            <w:shd w:val="clear" w:color="auto" w:fill="auto"/>
          </w:tcPr>
          <w:p w14:paraId="137E7A28" w14:textId="77777777" w:rsidR="00E93F58" w:rsidRPr="00576D60" w:rsidRDefault="00E93F58" w:rsidP="002F32E3">
            <w:pPr>
              <w:pStyle w:val="ENoteTableText"/>
              <w:keepNext/>
              <w:keepLines/>
              <w:tabs>
                <w:tab w:val="left" w:leader="dot" w:pos="2268"/>
              </w:tabs>
              <w:rPr>
                <w:b/>
              </w:rPr>
            </w:pPr>
            <w:r w:rsidRPr="00576D60">
              <w:rPr>
                <w:b/>
              </w:rPr>
              <w:lastRenderedPageBreak/>
              <w:t>Chapter 7</w:t>
            </w:r>
          </w:p>
        </w:tc>
        <w:tc>
          <w:tcPr>
            <w:tcW w:w="3500" w:type="pct"/>
            <w:shd w:val="clear" w:color="auto" w:fill="auto"/>
          </w:tcPr>
          <w:p w14:paraId="76210D38" w14:textId="77777777" w:rsidR="00E93F58" w:rsidRPr="00576D60" w:rsidRDefault="00E93F58" w:rsidP="002F32E3">
            <w:pPr>
              <w:pStyle w:val="ENoteTableText"/>
              <w:keepNext/>
              <w:keepLines/>
            </w:pPr>
          </w:p>
        </w:tc>
      </w:tr>
      <w:tr w:rsidR="00E93F58" w:rsidRPr="00576D60" w14:paraId="28B6268E" w14:textId="77777777" w:rsidTr="002F32E3">
        <w:trPr>
          <w:cantSplit/>
        </w:trPr>
        <w:tc>
          <w:tcPr>
            <w:tcW w:w="1500" w:type="pct"/>
            <w:shd w:val="clear" w:color="auto" w:fill="auto"/>
          </w:tcPr>
          <w:p w14:paraId="79090D11" w14:textId="77777777" w:rsidR="00E93F58" w:rsidRPr="00576D60" w:rsidRDefault="00E93F58" w:rsidP="002F32E3">
            <w:pPr>
              <w:pStyle w:val="ENoteTableText"/>
              <w:tabs>
                <w:tab w:val="left" w:leader="dot" w:pos="2268"/>
              </w:tabs>
            </w:pPr>
            <w:r w:rsidRPr="00576D60">
              <w:t>Chapter 7</w:t>
            </w:r>
            <w:r w:rsidRPr="00576D60">
              <w:tab/>
            </w:r>
          </w:p>
        </w:tc>
        <w:tc>
          <w:tcPr>
            <w:tcW w:w="3500" w:type="pct"/>
            <w:shd w:val="clear" w:color="auto" w:fill="auto"/>
          </w:tcPr>
          <w:p w14:paraId="6B474886" w14:textId="77777777" w:rsidR="00E93F58" w:rsidRPr="00576D60" w:rsidRDefault="00E93F58" w:rsidP="002F32E3">
            <w:pPr>
              <w:pStyle w:val="ENoteTableText"/>
            </w:pPr>
            <w:r w:rsidRPr="00576D60">
              <w:t>rs. 2001 No. 319</w:t>
            </w:r>
          </w:p>
        </w:tc>
      </w:tr>
      <w:tr w:rsidR="00E93F58" w:rsidRPr="00576D60" w14:paraId="5F04097B" w14:textId="77777777" w:rsidTr="002F32E3">
        <w:trPr>
          <w:cantSplit/>
        </w:trPr>
        <w:tc>
          <w:tcPr>
            <w:tcW w:w="1500" w:type="pct"/>
            <w:shd w:val="clear" w:color="auto" w:fill="auto"/>
          </w:tcPr>
          <w:p w14:paraId="6EF1E263" w14:textId="77777777" w:rsidR="00E93F58" w:rsidRPr="00576D60" w:rsidRDefault="00E93F58" w:rsidP="000F068F">
            <w:pPr>
              <w:pStyle w:val="ENoteTableText"/>
              <w:keepNext/>
              <w:tabs>
                <w:tab w:val="left" w:leader="dot" w:pos="2268"/>
              </w:tabs>
              <w:rPr>
                <w:b/>
              </w:rPr>
            </w:pPr>
            <w:r w:rsidRPr="00576D60">
              <w:rPr>
                <w:b/>
              </w:rPr>
              <w:t>Part 7.1</w:t>
            </w:r>
          </w:p>
        </w:tc>
        <w:tc>
          <w:tcPr>
            <w:tcW w:w="3500" w:type="pct"/>
            <w:shd w:val="clear" w:color="auto" w:fill="auto"/>
          </w:tcPr>
          <w:p w14:paraId="5086D0C6" w14:textId="77777777" w:rsidR="00E93F58" w:rsidRPr="00576D60" w:rsidRDefault="00E93F58" w:rsidP="002F32E3">
            <w:pPr>
              <w:pStyle w:val="ENoteTableText"/>
            </w:pPr>
          </w:p>
        </w:tc>
      </w:tr>
      <w:tr w:rsidR="00E93F58" w:rsidRPr="00576D60" w14:paraId="72BF2F31" w14:textId="77777777" w:rsidTr="002F32E3">
        <w:trPr>
          <w:cantSplit/>
        </w:trPr>
        <w:tc>
          <w:tcPr>
            <w:tcW w:w="1500" w:type="pct"/>
            <w:shd w:val="clear" w:color="auto" w:fill="auto"/>
          </w:tcPr>
          <w:p w14:paraId="38EC8D73"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65FB3F7B" w14:textId="77777777" w:rsidR="00E93F58" w:rsidRPr="00576D60" w:rsidRDefault="00E93F58" w:rsidP="002F32E3">
            <w:pPr>
              <w:pStyle w:val="ENoteTableText"/>
            </w:pPr>
          </w:p>
        </w:tc>
      </w:tr>
      <w:tr w:rsidR="00E93F58" w:rsidRPr="00576D60" w14:paraId="36F9FF06" w14:textId="77777777" w:rsidTr="002F32E3">
        <w:trPr>
          <w:cantSplit/>
        </w:trPr>
        <w:tc>
          <w:tcPr>
            <w:tcW w:w="1500" w:type="pct"/>
            <w:shd w:val="clear" w:color="auto" w:fill="auto"/>
          </w:tcPr>
          <w:p w14:paraId="2B825F04" w14:textId="77777777" w:rsidR="00E93F58" w:rsidRPr="00576D60" w:rsidRDefault="00E93F58" w:rsidP="002F32E3">
            <w:pPr>
              <w:pStyle w:val="ENoteTableText"/>
              <w:tabs>
                <w:tab w:val="left" w:leader="dot" w:pos="2268"/>
              </w:tabs>
            </w:pPr>
            <w:r w:rsidRPr="00576D60">
              <w:t>r. 7.1.01</w:t>
            </w:r>
            <w:r w:rsidRPr="00576D60">
              <w:tab/>
            </w:r>
          </w:p>
        </w:tc>
        <w:tc>
          <w:tcPr>
            <w:tcW w:w="3500" w:type="pct"/>
            <w:shd w:val="clear" w:color="auto" w:fill="auto"/>
          </w:tcPr>
          <w:p w14:paraId="4383EBCD" w14:textId="77777777" w:rsidR="00E93F58" w:rsidRPr="00576D60" w:rsidRDefault="00E93F58" w:rsidP="002F32E3">
            <w:pPr>
              <w:pStyle w:val="ENoteTableText"/>
            </w:pPr>
            <w:r w:rsidRPr="00576D60">
              <w:t>rs. 2001 No. 319</w:t>
            </w:r>
          </w:p>
        </w:tc>
      </w:tr>
      <w:tr w:rsidR="00E93F58" w:rsidRPr="00576D60" w14:paraId="2E12C745" w14:textId="77777777" w:rsidTr="002F32E3">
        <w:trPr>
          <w:cantSplit/>
        </w:trPr>
        <w:tc>
          <w:tcPr>
            <w:tcW w:w="1500" w:type="pct"/>
            <w:shd w:val="clear" w:color="auto" w:fill="auto"/>
          </w:tcPr>
          <w:p w14:paraId="2FB96412" w14:textId="77777777" w:rsidR="00E93F58" w:rsidRPr="00576D60" w:rsidRDefault="00E93F58" w:rsidP="002F32E3">
            <w:pPr>
              <w:pStyle w:val="ENoteTableText"/>
              <w:tabs>
                <w:tab w:val="left" w:leader="dot" w:pos="2268"/>
              </w:tabs>
            </w:pPr>
          </w:p>
        </w:tc>
        <w:tc>
          <w:tcPr>
            <w:tcW w:w="3500" w:type="pct"/>
            <w:shd w:val="clear" w:color="auto" w:fill="auto"/>
          </w:tcPr>
          <w:p w14:paraId="7640C6AD" w14:textId="77777777" w:rsidR="00E93F58" w:rsidRPr="00576D60" w:rsidRDefault="00E93F58" w:rsidP="002F32E3">
            <w:pPr>
              <w:pStyle w:val="ENoteTableText"/>
            </w:pPr>
            <w:r w:rsidRPr="00576D60">
              <w:t>am. 2004 No. 398; 2007 No. 323</w:t>
            </w:r>
          </w:p>
        </w:tc>
      </w:tr>
      <w:tr w:rsidR="00E93F58" w:rsidRPr="00576D60" w14:paraId="26F85F37" w14:textId="77777777" w:rsidTr="002F32E3">
        <w:trPr>
          <w:cantSplit/>
        </w:trPr>
        <w:tc>
          <w:tcPr>
            <w:tcW w:w="1500" w:type="pct"/>
            <w:shd w:val="clear" w:color="auto" w:fill="auto"/>
          </w:tcPr>
          <w:p w14:paraId="2173759D" w14:textId="77777777" w:rsidR="00E93F58" w:rsidRPr="00576D60" w:rsidRDefault="00E93F58" w:rsidP="002F32E3">
            <w:pPr>
              <w:pStyle w:val="ENoteTableText"/>
              <w:tabs>
                <w:tab w:val="left" w:leader="dot" w:pos="2268"/>
              </w:tabs>
            </w:pPr>
          </w:p>
        </w:tc>
        <w:tc>
          <w:tcPr>
            <w:tcW w:w="3500" w:type="pct"/>
            <w:shd w:val="clear" w:color="auto" w:fill="auto"/>
          </w:tcPr>
          <w:p w14:paraId="6573CFD1" w14:textId="77777777" w:rsidR="00E93F58" w:rsidRPr="00576D60" w:rsidRDefault="00E93F58" w:rsidP="002F32E3">
            <w:pPr>
              <w:pStyle w:val="ENoteTableText"/>
            </w:pPr>
            <w:r w:rsidRPr="00576D60">
              <w:t>rep. 2011 No. 193</w:t>
            </w:r>
          </w:p>
        </w:tc>
      </w:tr>
      <w:tr w:rsidR="00E93F58" w:rsidRPr="00576D60" w14:paraId="026616A6" w14:textId="77777777" w:rsidTr="002F32E3">
        <w:trPr>
          <w:cantSplit/>
        </w:trPr>
        <w:tc>
          <w:tcPr>
            <w:tcW w:w="1500" w:type="pct"/>
            <w:shd w:val="clear" w:color="auto" w:fill="auto"/>
          </w:tcPr>
          <w:p w14:paraId="2169961A" w14:textId="77777777" w:rsidR="00E93F58" w:rsidRPr="00576D60" w:rsidRDefault="00E93F58" w:rsidP="002F32E3">
            <w:pPr>
              <w:pStyle w:val="ENoteTableText"/>
              <w:tabs>
                <w:tab w:val="left" w:leader="dot" w:pos="2268"/>
              </w:tabs>
            </w:pPr>
            <w:r w:rsidRPr="00576D60">
              <w:t>r 7.1.02</w:t>
            </w:r>
            <w:r w:rsidRPr="00576D60">
              <w:tab/>
            </w:r>
          </w:p>
        </w:tc>
        <w:tc>
          <w:tcPr>
            <w:tcW w:w="3500" w:type="pct"/>
            <w:shd w:val="clear" w:color="auto" w:fill="auto"/>
          </w:tcPr>
          <w:p w14:paraId="6AB0241B" w14:textId="77777777" w:rsidR="00E93F58" w:rsidRPr="00576D60" w:rsidRDefault="00E93F58" w:rsidP="002F32E3">
            <w:pPr>
              <w:pStyle w:val="ENoteTableText"/>
            </w:pPr>
            <w:r w:rsidRPr="00576D60">
              <w:t>ad No 319, 2001</w:t>
            </w:r>
          </w:p>
        </w:tc>
      </w:tr>
      <w:tr w:rsidR="00E93F58" w:rsidRPr="00576D60" w14:paraId="15642152" w14:textId="77777777" w:rsidTr="002F32E3">
        <w:trPr>
          <w:cantSplit/>
        </w:trPr>
        <w:tc>
          <w:tcPr>
            <w:tcW w:w="1500" w:type="pct"/>
            <w:shd w:val="clear" w:color="auto" w:fill="auto"/>
          </w:tcPr>
          <w:p w14:paraId="217F94EE" w14:textId="77777777" w:rsidR="00E93F58" w:rsidRPr="00576D60" w:rsidRDefault="00E93F58" w:rsidP="002F32E3">
            <w:pPr>
              <w:pStyle w:val="ENoteTableText"/>
              <w:tabs>
                <w:tab w:val="left" w:leader="dot" w:pos="2268"/>
              </w:tabs>
            </w:pPr>
          </w:p>
        </w:tc>
        <w:tc>
          <w:tcPr>
            <w:tcW w:w="3500" w:type="pct"/>
            <w:shd w:val="clear" w:color="auto" w:fill="auto"/>
          </w:tcPr>
          <w:p w14:paraId="368131E6" w14:textId="77777777" w:rsidR="00E93F58" w:rsidRPr="00576D60" w:rsidRDefault="00E93F58" w:rsidP="002F32E3">
            <w:pPr>
              <w:pStyle w:val="ENoteTableText"/>
            </w:pPr>
            <w:r w:rsidRPr="00576D60">
              <w:t>rep F2022L01689</w:t>
            </w:r>
          </w:p>
        </w:tc>
      </w:tr>
      <w:tr w:rsidR="00E93F58" w:rsidRPr="00576D60" w14:paraId="42BFF37B" w14:textId="77777777" w:rsidTr="002F32E3">
        <w:trPr>
          <w:cantSplit/>
        </w:trPr>
        <w:tc>
          <w:tcPr>
            <w:tcW w:w="1500" w:type="pct"/>
            <w:shd w:val="clear" w:color="auto" w:fill="auto"/>
          </w:tcPr>
          <w:p w14:paraId="3D5EF552" w14:textId="77777777" w:rsidR="00E93F58" w:rsidRPr="00576D60" w:rsidRDefault="00E93F58" w:rsidP="002F32E3">
            <w:pPr>
              <w:pStyle w:val="ENoteTableText"/>
              <w:tabs>
                <w:tab w:val="left" w:leader="dot" w:pos="2268"/>
              </w:tabs>
            </w:pPr>
            <w:r w:rsidRPr="00576D60">
              <w:t>r 7.1.03</w:t>
            </w:r>
            <w:r w:rsidRPr="00576D60">
              <w:tab/>
            </w:r>
          </w:p>
        </w:tc>
        <w:tc>
          <w:tcPr>
            <w:tcW w:w="3500" w:type="pct"/>
            <w:shd w:val="clear" w:color="auto" w:fill="auto"/>
          </w:tcPr>
          <w:p w14:paraId="7EF61CE8" w14:textId="77777777" w:rsidR="00E93F58" w:rsidRPr="00576D60" w:rsidRDefault="00E93F58" w:rsidP="002F32E3">
            <w:pPr>
              <w:pStyle w:val="ENoteTableText"/>
            </w:pPr>
            <w:r w:rsidRPr="00576D60">
              <w:t>rs No 319, 2001; No 15, 2002</w:t>
            </w:r>
          </w:p>
        </w:tc>
      </w:tr>
      <w:tr w:rsidR="00E93F58" w:rsidRPr="00576D60" w14:paraId="1034C007" w14:textId="77777777" w:rsidTr="002F32E3">
        <w:trPr>
          <w:cantSplit/>
        </w:trPr>
        <w:tc>
          <w:tcPr>
            <w:tcW w:w="1500" w:type="pct"/>
            <w:shd w:val="clear" w:color="auto" w:fill="auto"/>
          </w:tcPr>
          <w:p w14:paraId="58EC919F" w14:textId="77777777" w:rsidR="00E93F58" w:rsidRPr="00576D60" w:rsidRDefault="00E93F58" w:rsidP="002F32E3">
            <w:pPr>
              <w:pStyle w:val="ENoteTableText"/>
              <w:tabs>
                <w:tab w:val="left" w:leader="dot" w:pos="2268"/>
              </w:tabs>
            </w:pPr>
          </w:p>
        </w:tc>
        <w:tc>
          <w:tcPr>
            <w:tcW w:w="3500" w:type="pct"/>
            <w:shd w:val="clear" w:color="auto" w:fill="auto"/>
          </w:tcPr>
          <w:p w14:paraId="069B55BC" w14:textId="77777777" w:rsidR="00E93F58" w:rsidRPr="00576D60" w:rsidRDefault="00E93F58" w:rsidP="002F32E3">
            <w:pPr>
              <w:pStyle w:val="ENoteTableText"/>
            </w:pPr>
            <w:r w:rsidRPr="00576D60">
              <w:t>am F2022L01689</w:t>
            </w:r>
          </w:p>
        </w:tc>
      </w:tr>
      <w:tr w:rsidR="00E93F58" w:rsidRPr="00576D60" w14:paraId="68068D70" w14:textId="77777777" w:rsidTr="002F32E3">
        <w:trPr>
          <w:cantSplit/>
        </w:trPr>
        <w:tc>
          <w:tcPr>
            <w:tcW w:w="1500" w:type="pct"/>
            <w:shd w:val="clear" w:color="auto" w:fill="auto"/>
          </w:tcPr>
          <w:p w14:paraId="52B77EE5" w14:textId="77777777" w:rsidR="00E93F58" w:rsidRPr="00576D60" w:rsidRDefault="00E93F58" w:rsidP="002F32E3">
            <w:pPr>
              <w:pStyle w:val="ENoteTableText"/>
              <w:tabs>
                <w:tab w:val="left" w:leader="dot" w:pos="2268"/>
              </w:tabs>
            </w:pPr>
          </w:p>
        </w:tc>
        <w:tc>
          <w:tcPr>
            <w:tcW w:w="3500" w:type="pct"/>
            <w:shd w:val="clear" w:color="auto" w:fill="auto"/>
          </w:tcPr>
          <w:p w14:paraId="648BF36D" w14:textId="77777777" w:rsidR="00E93F58" w:rsidRPr="00576D60" w:rsidRDefault="00E93F58" w:rsidP="002F32E3">
            <w:pPr>
              <w:pStyle w:val="ENoteTableText"/>
            </w:pPr>
            <w:r>
              <w:t>rep F2023L01458</w:t>
            </w:r>
          </w:p>
        </w:tc>
      </w:tr>
      <w:tr w:rsidR="00E93F58" w:rsidRPr="00576D60" w14:paraId="3DA93A0A" w14:textId="77777777" w:rsidTr="002F32E3">
        <w:trPr>
          <w:cantSplit/>
        </w:trPr>
        <w:tc>
          <w:tcPr>
            <w:tcW w:w="1500" w:type="pct"/>
            <w:shd w:val="clear" w:color="auto" w:fill="auto"/>
          </w:tcPr>
          <w:p w14:paraId="5E6CF0A8" w14:textId="77777777" w:rsidR="00E93F58" w:rsidRPr="00576D60" w:rsidRDefault="00E93F58" w:rsidP="002F32E3">
            <w:pPr>
              <w:pStyle w:val="ENoteTableText"/>
              <w:tabs>
                <w:tab w:val="left" w:leader="dot" w:pos="2268"/>
              </w:tabs>
            </w:pPr>
            <w:r w:rsidRPr="00576D60">
              <w:t>r 7.1.03A</w:t>
            </w:r>
            <w:r w:rsidRPr="00576D60">
              <w:tab/>
            </w:r>
          </w:p>
        </w:tc>
        <w:tc>
          <w:tcPr>
            <w:tcW w:w="3500" w:type="pct"/>
            <w:shd w:val="clear" w:color="auto" w:fill="auto"/>
          </w:tcPr>
          <w:p w14:paraId="1459373F" w14:textId="77777777" w:rsidR="00E93F58" w:rsidRPr="00576D60" w:rsidRDefault="00E93F58" w:rsidP="002F32E3">
            <w:pPr>
              <w:pStyle w:val="ENoteTableText"/>
            </w:pPr>
            <w:r w:rsidRPr="00576D60">
              <w:t>ad No 16, 2002</w:t>
            </w:r>
          </w:p>
        </w:tc>
      </w:tr>
      <w:tr w:rsidR="00E93F58" w:rsidRPr="00576D60" w14:paraId="76C20899" w14:textId="77777777" w:rsidTr="002F32E3">
        <w:trPr>
          <w:cantSplit/>
        </w:trPr>
        <w:tc>
          <w:tcPr>
            <w:tcW w:w="1500" w:type="pct"/>
            <w:shd w:val="clear" w:color="auto" w:fill="auto"/>
          </w:tcPr>
          <w:p w14:paraId="2024566B" w14:textId="77777777" w:rsidR="00E93F58" w:rsidRPr="00576D60" w:rsidRDefault="00E93F58" w:rsidP="002F32E3">
            <w:pPr>
              <w:pStyle w:val="ENoteTableText"/>
              <w:tabs>
                <w:tab w:val="left" w:leader="dot" w:pos="2268"/>
              </w:tabs>
            </w:pPr>
          </w:p>
        </w:tc>
        <w:tc>
          <w:tcPr>
            <w:tcW w:w="3500" w:type="pct"/>
            <w:shd w:val="clear" w:color="auto" w:fill="auto"/>
          </w:tcPr>
          <w:p w14:paraId="2D1416F9" w14:textId="77777777" w:rsidR="00E93F58" w:rsidRPr="00576D60" w:rsidRDefault="00E93F58" w:rsidP="002F32E3">
            <w:pPr>
              <w:pStyle w:val="ENoteTableText"/>
            </w:pPr>
            <w:r w:rsidRPr="00576D60">
              <w:t>am F2022L01689</w:t>
            </w:r>
          </w:p>
        </w:tc>
      </w:tr>
      <w:tr w:rsidR="00E93F58" w:rsidRPr="00576D60" w14:paraId="2B01BF30" w14:textId="77777777" w:rsidTr="002F32E3">
        <w:trPr>
          <w:cantSplit/>
        </w:trPr>
        <w:tc>
          <w:tcPr>
            <w:tcW w:w="1500" w:type="pct"/>
            <w:shd w:val="clear" w:color="auto" w:fill="auto"/>
          </w:tcPr>
          <w:p w14:paraId="0CD0D3FD" w14:textId="77777777" w:rsidR="00E93F58" w:rsidRPr="00576D60" w:rsidRDefault="00E93F58" w:rsidP="002F32E3">
            <w:pPr>
              <w:pStyle w:val="ENoteTableText"/>
              <w:tabs>
                <w:tab w:val="left" w:leader="dot" w:pos="2268"/>
              </w:tabs>
            </w:pPr>
          </w:p>
        </w:tc>
        <w:tc>
          <w:tcPr>
            <w:tcW w:w="3500" w:type="pct"/>
            <w:shd w:val="clear" w:color="auto" w:fill="auto"/>
          </w:tcPr>
          <w:p w14:paraId="426154DF" w14:textId="77777777" w:rsidR="00E93F58" w:rsidRPr="00576D60" w:rsidRDefault="00E93F58" w:rsidP="002F32E3">
            <w:pPr>
              <w:pStyle w:val="ENoteTableText"/>
            </w:pPr>
            <w:r>
              <w:t>rep F2023L01458</w:t>
            </w:r>
          </w:p>
        </w:tc>
      </w:tr>
      <w:tr w:rsidR="00E93F58" w:rsidRPr="00576D60" w14:paraId="2C5A0DB4" w14:textId="77777777" w:rsidTr="002F32E3">
        <w:trPr>
          <w:cantSplit/>
        </w:trPr>
        <w:tc>
          <w:tcPr>
            <w:tcW w:w="1500" w:type="pct"/>
            <w:shd w:val="clear" w:color="auto" w:fill="auto"/>
          </w:tcPr>
          <w:p w14:paraId="7D10558C" w14:textId="77777777" w:rsidR="00E93F58" w:rsidRPr="00576D60" w:rsidRDefault="00E93F58" w:rsidP="002F32E3">
            <w:pPr>
              <w:pStyle w:val="ENoteTableText"/>
              <w:tabs>
                <w:tab w:val="left" w:leader="dot" w:pos="2268"/>
              </w:tabs>
            </w:pPr>
            <w:r w:rsidRPr="00576D60">
              <w:t>r 7.1.03B</w:t>
            </w:r>
            <w:r w:rsidRPr="00576D60">
              <w:tab/>
            </w:r>
          </w:p>
        </w:tc>
        <w:tc>
          <w:tcPr>
            <w:tcW w:w="3500" w:type="pct"/>
            <w:shd w:val="clear" w:color="auto" w:fill="auto"/>
          </w:tcPr>
          <w:p w14:paraId="76AED624" w14:textId="77777777" w:rsidR="00E93F58" w:rsidRPr="00576D60" w:rsidRDefault="00E93F58" w:rsidP="002F32E3">
            <w:pPr>
              <w:pStyle w:val="ENoteTableText"/>
            </w:pPr>
            <w:r w:rsidRPr="00576D60">
              <w:t>ad</w:t>
            </w:r>
            <w:r>
              <w:t xml:space="preserve"> No 41, 2002</w:t>
            </w:r>
          </w:p>
        </w:tc>
      </w:tr>
      <w:tr w:rsidR="00E93F58" w:rsidRPr="00576D60" w14:paraId="4C445B80" w14:textId="77777777" w:rsidTr="002F32E3">
        <w:trPr>
          <w:cantSplit/>
        </w:trPr>
        <w:tc>
          <w:tcPr>
            <w:tcW w:w="1500" w:type="pct"/>
            <w:shd w:val="clear" w:color="auto" w:fill="auto"/>
          </w:tcPr>
          <w:p w14:paraId="15CC7827" w14:textId="77777777" w:rsidR="00E93F58" w:rsidRPr="00576D60" w:rsidRDefault="00E93F58" w:rsidP="002F32E3">
            <w:pPr>
              <w:pStyle w:val="ENoteTableText"/>
              <w:tabs>
                <w:tab w:val="left" w:leader="dot" w:pos="2268"/>
              </w:tabs>
            </w:pPr>
          </w:p>
        </w:tc>
        <w:tc>
          <w:tcPr>
            <w:tcW w:w="3500" w:type="pct"/>
            <w:shd w:val="clear" w:color="auto" w:fill="auto"/>
          </w:tcPr>
          <w:p w14:paraId="602A27C3" w14:textId="77777777" w:rsidR="00E93F58" w:rsidRPr="00576D60" w:rsidRDefault="00E93F58" w:rsidP="002F32E3">
            <w:pPr>
              <w:pStyle w:val="ENoteTableText"/>
            </w:pPr>
            <w:r>
              <w:t>rep F2023L01458</w:t>
            </w:r>
          </w:p>
        </w:tc>
      </w:tr>
      <w:tr w:rsidR="00E93F58" w:rsidRPr="00576D60" w14:paraId="42C110C6" w14:textId="77777777" w:rsidTr="002F32E3">
        <w:trPr>
          <w:cantSplit/>
        </w:trPr>
        <w:tc>
          <w:tcPr>
            <w:tcW w:w="1500" w:type="pct"/>
            <w:shd w:val="clear" w:color="auto" w:fill="auto"/>
          </w:tcPr>
          <w:p w14:paraId="75771A68" w14:textId="77777777" w:rsidR="00E93F58" w:rsidRPr="00576D60" w:rsidRDefault="00E93F58" w:rsidP="002F32E3">
            <w:pPr>
              <w:pStyle w:val="ENoteTableText"/>
              <w:tabs>
                <w:tab w:val="left" w:leader="dot" w:pos="2268"/>
              </w:tabs>
            </w:pPr>
            <w:r w:rsidRPr="00576D60">
              <w:t>r 7.1.04</w:t>
            </w:r>
            <w:r w:rsidRPr="00576D60">
              <w:tab/>
            </w:r>
          </w:p>
        </w:tc>
        <w:tc>
          <w:tcPr>
            <w:tcW w:w="3500" w:type="pct"/>
            <w:shd w:val="clear" w:color="auto" w:fill="auto"/>
          </w:tcPr>
          <w:p w14:paraId="753D10F9" w14:textId="77777777" w:rsidR="00E93F58" w:rsidRPr="00576D60" w:rsidRDefault="00E93F58" w:rsidP="002F32E3">
            <w:pPr>
              <w:pStyle w:val="ENoteTableText"/>
            </w:pPr>
            <w:r w:rsidRPr="00576D60">
              <w:t>ad No 319, 2001</w:t>
            </w:r>
          </w:p>
        </w:tc>
      </w:tr>
      <w:tr w:rsidR="00E93F58" w:rsidRPr="00576D60" w14:paraId="0FD5E5CF" w14:textId="77777777" w:rsidTr="002F32E3">
        <w:trPr>
          <w:cantSplit/>
        </w:trPr>
        <w:tc>
          <w:tcPr>
            <w:tcW w:w="1500" w:type="pct"/>
            <w:shd w:val="clear" w:color="auto" w:fill="auto"/>
          </w:tcPr>
          <w:p w14:paraId="03AD6090" w14:textId="77777777" w:rsidR="00E93F58" w:rsidRPr="00576D60" w:rsidRDefault="00E93F58" w:rsidP="002F32E3">
            <w:pPr>
              <w:pStyle w:val="ENoteTableText"/>
            </w:pPr>
          </w:p>
        </w:tc>
        <w:tc>
          <w:tcPr>
            <w:tcW w:w="3500" w:type="pct"/>
            <w:shd w:val="clear" w:color="auto" w:fill="auto"/>
          </w:tcPr>
          <w:p w14:paraId="2D5E259E" w14:textId="77777777" w:rsidR="00E93F58" w:rsidRPr="00576D60" w:rsidRDefault="00E93F58" w:rsidP="002F32E3">
            <w:pPr>
              <w:pStyle w:val="ENoteTableText"/>
            </w:pPr>
            <w:r w:rsidRPr="00576D60">
              <w:t>am No 126, 2002; No 126, 2003; No 33, 2014; No 24, 2015; F2022L01689</w:t>
            </w:r>
            <w:r>
              <w:t>; F2023L01458</w:t>
            </w:r>
          </w:p>
        </w:tc>
      </w:tr>
      <w:tr w:rsidR="00E93F58" w:rsidRPr="00576D60" w14:paraId="1A3CAAEA" w14:textId="77777777" w:rsidTr="002F32E3">
        <w:trPr>
          <w:cantSplit/>
        </w:trPr>
        <w:tc>
          <w:tcPr>
            <w:tcW w:w="1500" w:type="pct"/>
            <w:shd w:val="clear" w:color="auto" w:fill="auto"/>
          </w:tcPr>
          <w:p w14:paraId="1BDDEDA6" w14:textId="77777777" w:rsidR="00E93F58" w:rsidRPr="00576D60" w:rsidRDefault="00E93F58" w:rsidP="002F32E3">
            <w:pPr>
              <w:pStyle w:val="ENoteTableText"/>
              <w:tabs>
                <w:tab w:val="left" w:leader="dot" w:pos="2268"/>
              </w:tabs>
            </w:pPr>
            <w:r w:rsidRPr="00576D60">
              <w:t>r. 7.1.04A</w:t>
            </w:r>
            <w:r w:rsidRPr="00576D60">
              <w:tab/>
            </w:r>
          </w:p>
        </w:tc>
        <w:tc>
          <w:tcPr>
            <w:tcW w:w="3500" w:type="pct"/>
            <w:shd w:val="clear" w:color="auto" w:fill="auto"/>
          </w:tcPr>
          <w:p w14:paraId="2BF2BCAB" w14:textId="77777777" w:rsidR="00E93F58" w:rsidRPr="00576D60" w:rsidRDefault="00E93F58" w:rsidP="002F32E3">
            <w:pPr>
              <w:pStyle w:val="ENoteTableText"/>
            </w:pPr>
            <w:r w:rsidRPr="00576D60">
              <w:t>ad. 2002 No. 16</w:t>
            </w:r>
          </w:p>
        </w:tc>
      </w:tr>
      <w:tr w:rsidR="00E93F58" w:rsidRPr="00576D60" w14:paraId="5F2A3034" w14:textId="77777777" w:rsidTr="002F32E3">
        <w:trPr>
          <w:cantSplit/>
        </w:trPr>
        <w:tc>
          <w:tcPr>
            <w:tcW w:w="1500" w:type="pct"/>
            <w:shd w:val="clear" w:color="auto" w:fill="auto"/>
          </w:tcPr>
          <w:p w14:paraId="24758EBA" w14:textId="77777777" w:rsidR="00E93F58" w:rsidRPr="00576D60" w:rsidRDefault="00E93F58" w:rsidP="002F32E3">
            <w:pPr>
              <w:pStyle w:val="ENoteTableText"/>
              <w:tabs>
                <w:tab w:val="left" w:leader="dot" w:pos="2268"/>
              </w:tabs>
            </w:pPr>
          </w:p>
        </w:tc>
        <w:tc>
          <w:tcPr>
            <w:tcW w:w="3500" w:type="pct"/>
            <w:shd w:val="clear" w:color="auto" w:fill="auto"/>
          </w:tcPr>
          <w:p w14:paraId="4CF1467E" w14:textId="77777777" w:rsidR="00E93F58" w:rsidRPr="00576D60" w:rsidRDefault="00E93F58" w:rsidP="002F32E3">
            <w:pPr>
              <w:pStyle w:val="ENoteTableText"/>
            </w:pPr>
            <w:r w:rsidRPr="00576D60">
              <w:t>am 2002 No. 41</w:t>
            </w:r>
          </w:p>
        </w:tc>
      </w:tr>
      <w:tr w:rsidR="00E93F58" w:rsidRPr="00576D60" w14:paraId="6D254595" w14:textId="77777777" w:rsidTr="002F32E3">
        <w:trPr>
          <w:cantSplit/>
        </w:trPr>
        <w:tc>
          <w:tcPr>
            <w:tcW w:w="1500" w:type="pct"/>
            <w:shd w:val="clear" w:color="auto" w:fill="auto"/>
          </w:tcPr>
          <w:p w14:paraId="70883253" w14:textId="77777777" w:rsidR="00E93F58" w:rsidRPr="00576D60" w:rsidRDefault="00E93F58" w:rsidP="002F32E3">
            <w:pPr>
              <w:pStyle w:val="ENoteTableText"/>
              <w:tabs>
                <w:tab w:val="left" w:leader="dot" w:pos="2268"/>
              </w:tabs>
            </w:pPr>
            <w:r w:rsidRPr="00576D60">
              <w:t>r. 7.1.04B</w:t>
            </w:r>
            <w:r w:rsidRPr="00576D60">
              <w:tab/>
            </w:r>
          </w:p>
        </w:tc>
        <w:tc>
          <w:tcPr>
            <w:tcW w:w="3500" w:type="pct"/>
            <w:shd w:val="clear" w:color="auto" w:fill="auto"/>
          </w:tcPr>
          <w:p w14:paraId="33FF8886" w14:textId="77777777" w:rsidR="00E93F58" w:rsidRPr="00576D60" w:rsidRDefault="00E93F58" w:rsidP="002F32E3">
            <w:pPr>
              <w:pStyle w:val="ENoteTableText"/>
            </w:pPr>
            <w:r w:rsidRPr="00576D60">
              <w:t>ad. 2002 No. 41</w:t>
            </w:r>
          </w:p>
        </w:tc>
      </w:tr>
      <w:tr w:rsidR="00E93F58" w:rsidRPr="00576D60" w14:paraId="45C0065F" w14:textId="77777777" w:rsidTr="002F32E3">
        <w:trPr>
          <w:cantSplit/>
        </w:trPr>
        <w:tc>
          <w:tcPr>
            <w:tcW w:w="1500" w:type="pct"/>
            <w:shd w:val="clear" w:color="auto" w:fill="auto"/>
          </w:tcPr>
          <w:p w14:paraId="49EB5B37" w14:textId="77777777" w:rsidR="00E93F58" w:rsidRPr="00576D60" w:rsidRDefault="00E93F58" w:rsidP="002F32E3">
            <w:pPr>
              <w:pStyle w:val="ENoteTableText"/>
              <w:tabs>
                <w:tab w:val="left" w:leader="dot" w:pos="2268"/>
              </w:tabs>
            </w:pPr>
            <w:r w:rsidRPr="00576D60">
              <w:t>r. 7.1.04C</w:t>
            </w:r>
            <w:r w:rsidRPr="00576D60">
              <w:tab/>
            </w:r>
          </w:p>
        </w:tc>
        <w:tc>
          <w:tcPr>
            <w:tcW w:w="3500" w:type="pct"/>
            <w:shd w:val="clear" w:color="auto" w:fill="auto"/>
          </w:tcPr>
          <w:p w14:paraId="65173102" w14:textId="77777777" w:rsidR="00E93F58" w:rsidRPr="00576D60" w:rsidRDefault="00E93F58" w:rsidP="002F32E3">
            <w:pPr>
              <w:pStyle w:val="ENoteTableText"/>
            </w:pPr>
            <w:r w:rsidRPr="00576D60">
              <w:t>ad. 2002 No. 41</w:t>
            </w:r>
          </w:p>
        </w:tc>
      </w:tr>
      <w:tr w:rsidR="00E93F58" w:rsidRPr="00576D60" w14:paraId="718BE853" w14:textId="77777777" w:rsidTr="002F32E3">
        <w:trPr>
          <w:cantSplit/>
        </w:trPr>
        <w:tc>
          <w:tcPr>
            <w:tcW w:w="1500" w:type="pct"/>
            <w:shd w:val="clear" w:color="auto" w:fill="auto"/>
          </w:tcPr>
          <w:p w14:paraId="72C152E2" w14:textId="77777777" w:rsidR="00E93F58" w:rsidRPr="00576D60" w:rsidRDefault="00E93F58" w:rsidP="002F32E3">
            <w:pPr>
              <w:pStyle w:val="ENoteTableText"/>
              <w:tabs>
                <w:tab w:val="left" w:leader="dot" w:pos="2268"/>
              </w:tabs>
            </w:pPr>
            <w:r w:rsidRPr="00576D60">
              <w:t>r 7.1.04CAA</w:t>
            </w:r>
            <w:r w:rsidRPr="00576D60">
              <w:tab/>
            </w:r>
          </w:p>
        </w:tc>
        <w:tc>
          <w:tcPr>
            <w:tcW w:w="3500" w:type="pct"/>
            <w:shd w:val="clear" w:color="auto" w:fill="auto"/>
          </w:tcPr>
          <w:p w14:paraId="7D95A946" w14:textId="77777777" w:rsidR="00E93F58" w:rsidRPr="00576D60" w:rsidRDefault="00E93F58" w:rsidP="002F32E3">
            <w:pPr>
              <w:pStyle w:val="ENoteTableText"/>
            </w:pPr>
            <w:r w:rsidRPr="00576D60">
              <w:t>ad F2021L00453</w:t>
            </w:r>
          </w:p>
        </w:tc>
      </w:tr>
      <w:tr w:rsidR="00E93F58" w:rsidRPr="00576D60" w14:paraId="236E51F0" w14:textId="77777777" w:rsidTr="002F32E3">
        <w:trPr>
          <w:cantSplit/>
        </w:trPr>
        <w:tc>
          <w:tcPr>
            <w:tcW w:w="1500" w:type="pct"/>
            <w:shd w:val="clear" w:color="auto" w:fill="auto"/>
          </w:tcPr>
          <w:p w14:paraId="1F5CA8C6" w14:textId="77777777" w:rsidR="00E93F58" w:rsidRPr="00576D60" w:rsidRDefault="00E93F58" w:rsidP="002F32E3">
            <w:pPr>
              <w:pStyle w:val="ENoteTableText"/>
              <w:tabs>
                <w:tab w:val="left" w:leader="dot" w:pos="2268"/>
              </w:tabs>
            </w:pPr>
            <w:r w:rsidRPr="00576D60">
              <w:t>r. 7.1.04CA</w:t>
            </w:r>
            <w:r w:rsidRPr="00576D60">
              <w:tab/>
            </w:r>
          </w:p>
        </w:tc>
        <w:tc>
          <w:tcPr>
            <w:tcW w:w="3500" w:type="pct"/>
            <w:shd w:val="clear" w:color="auto" w:fill="auto"/>
          </w:tcPr>
          <w:p w14:paraId="40C367B5" w14:textId="77777777" w:rsidR="00E93F58" w:rsidRPr="00576D60" w:rsidRDefault="00E93F58" w:rsidP="002F32E3">
            <w:pPr>
              <w:pStyle w:val="ENoteTableText"/>
            </w:pPr>
            <w:r w:rsidRPr="00576D60">
              <w:t>ad. 2007 No. 324</w:t>
            </w:r>
          </w:p>
        </w:tc>
      </w:tr>
      <w:tr w:rsidR="00E93F58" w:rsidRPr="00576D60" w14:paraId="19F9F015" w14:textId="77777777" w:rsidTr="002F32E3">
        <w:trPr>
          <w:cantSplit/>
        </w:trPr>
        <w:tc>
          <w:tcPr>
            <w:tcW w:w="1500" w:type="pct"/>
            <w:shd w:val="clear" w:color="auto" w:fill="auto"/>
          </w:tcPr>
          <w:p w14:paraId="5A4A2D17" w14:textId="77777777" w:rsidR="00E93F58" w:rsidRPr="00576D60" w:rsidRDefault="00E93F58" w:rsidP="002F32E3">
            <w:pPr>
              <w:pStyle w:val="ENoteTableText"/>
              <w:tabs>
                <w:tab w:val="left" w:leader="dot" w:pos="2268"/>
              </w:tabs>
            </w:pPr>
            <w:r w:rsidRPr="00576D60">
              <w:t>r 7.1.04CB</w:t>
            </w:r>
            <w:r w:rsidRPr="00576D60">
              <w:tab/>
            </w:r>
          </w:p>
        </w:tc>
        <w:tc>
          <w:tcPr>
            <w:tcW w:w="3500" w:type="pct"/>
            <w:shd w:val="clear" w:color="auto" w:fill="auto"/>
          </w:tcPr>
          <w:p w14:paraId="6AB0C171" w14:textId="77777777" w:rsidR="00E93F58" w:rsidRPr="00576D60" w:rsidRDefault="00E93F58" w:rsidP="002F32E3">
            <w:pPr>
              <w:pStyle w:val="ENoteTableText"/>
            </w:pPr>
            <w:r w:rsidRPr="00576D60">
              <w:t>ad F2021L00127</w:t>
            </w:r>
          </w:p>
        </w:tc>
      </w:tr>
      <w:tr w:rsidR="00E93F58" w:rsidRPr="00576D60" w14:paraId="7F1F74A0" w14:textId="77777777" w:rsidTr="002F32E3">
        <w:trPr>
          <w:cantSplit/>
        </w:trPr>
        <w:tc>
          <w:tcPr>
            <w:tcW w:w="1500" w:type="pct"/>
            <w:shd w:val="clear" w:color="auto" w:fill="auto"/>
          </w:tcPr>
          <w:p w14:paraId="247C1BEA" w14:textId="77777777" w:rsidR="00E93F58" w:rsidRPr="00576D60" w:rsidRDefault="00E93F58" w:rsidP="002F32E3">
            <w:pPr>
              <w:pStyle w:val="ENoteTableText"/>
              <w:tabs>
                <w:tab w:val="left" w:leader="dot" w:pos="2268"/>
              </w:tabs>
            </w:pPr>
            <w:r w:rsidRPr="00576D60">
              <w:t>r. 7.1.04D</w:t>
            </w:r>
            <w:r w:rsidRPr="00576D60">
              <w:tab/>
            </w:r>
          </w:p>
        </w:tc>
        <w:tc>
          <w:tcPr>
            <w:tcW w:w="3500" w:type="pct"/>
            <w:shd w:val="clear" w:color="auto" w:fill="auto"/>
          </w:tcPr>
          <w:p w14:paraId="4847A205" w14:textId="77777777" w:rsidR="00E93F58" w:rsidRPr="00576D60" w:rsidRDefault="00E93F58" w:rsidP="002F32E3">
            <w:pPr>
              <w:pStyle w:val="ENoteTableText"/>
            </w:pPr>
            <w:r w:rsidRPr="00576D60">
              <w:t>ad. 2002 No. 41</w:t>
            </w:r>
          </w:p>
        </w:tc>
      </w:tr>
      <w:tr w:rsidR="00E93F58" w:rsidRPr="00576D60" w14:paraId="4280B077" w14:textId="77777777" w:rsidTr="002F32E3">
        <w:trPr>
          <w:cantSplit/>
        </w:trPr>
        <w:tc>
          <w:tcPr>
            <w:tcW w:w="1500" w:type="pct"/>
            <w:shd w:val="clear" w:color="auto" w:fill="auto"/>
          </w:tcPr>
          <w:p w14:paraId="74CA2405" w14:textId="77777777" w:rsidR="00E93F58" w:rsidRPr="00576D60" w:rsidRDefault="00E93F58">
            <w:pPr>
              <w:pStyle w:val="ENoteTableText"/>
              <w:tabs>
                <w:tab w:val="left" w:leader="dot" w:pos="2268"/>
              </w:tabs>
            </w:pPr>
            <w:bookmarkStart w:id="3637" w:name="_Hlk65745499"/>
            <w:r w:rsidRPr="00576D60">
              <w:t>r 7.1.04E</w:t>
            </w:r>
            <w:r w:rsidRPr="00576D60">
              <w:tab/>
            </w:r>
          </w:p>
        </w:tc>
        <w:tc>
          <w:tcPr>
            <w:tcW w:w="3500" w:type="pct"/>
            <w:shd w:val="clear" w:color="auto" w:fill="auto"/>
          </w:tcPr>
          <w:p w14:paraId="09D4C470" w14:textId="77777777" w:rsidR="00E93F58" w:rsidRPr="00576D60" w:rsidRDefault="00E93F58">
            <w:pPr>
              <w:pStyle w:val="ENoteTableText"/>
            </w:pPr>
            <w:r w:rsidRPr="00576D60">
              <w:t>ad No 202, 2003</w:t>
            </w:r>
          </w:p>
        </w:tc>
      </w:tr>
      <w:tr w:rsidR="00E93F58" w:rsidRPr="00576D60" w14:paraId="6420BD3B" w14:textId="77777777" w:rsidTr="002F32E3">
        <w:trPr>
          <w:cantSplit/>
        </w:trPr>
        <w:tc>
          <w:tcPr>
            <w:tcW w:w="1500" w:type="pct"/>
            <w:shd w:val="clear" w:color="auto" w:fill="auto"/>
          </w:tcPr>
          <w:p w14:paraId="5DFE8C69" w14:textId="77777777" w:rsidR="00E93F58" w:rsidRPr="00576D60" w:rsidRDefault="00E93F58">
            <w:pPr>
              <w:pStyle w:val="ENoteTableText"/>
              <w:tabs>
                <w:tab w:val="left" w:leader="dot" w:pos="2268"/>
              </w:tabs>
            </w:pPr>
            <w:r w:rsidRPr="00576D60">
              <w:t>r 7.1.04E (second occurring)</w:t>
            </w:r>
            <w:r w:rsidRPr="00576D60">
              <w:tab/>
            </w:r>
          </w:p>
        </w:tc>
        <w:tc>
          <w:tcPr>
            <w:tcW w:w="3500" w:type="pct"/>
            <w:shd w:val="clear" w:color="auto" w:fill="auto"/>
          </w:tcPr>
          <w:p w14:paraId="095D876B" w14:textId="77777777" w:rsidR="00E93F58" w:rsidRPr="00576D60" w:rsidRDefault="00E93F58">
            <w:pPr>
              <w:pStyle w:val="ENoteTableText"/>
            </w:pPr>
            <w:r w:rsidRPr="00576D60">
              <w:t>ad No 25, 2004</w:t>
            </w:r>
          </w:p>
        </w:tc>
      </w:tr>
      <w:tr w:rsidR="00E93F58" w:rsidRPr="00576D60" w14:paraId="23AB5CF8" w14:textId="77777777" w:rsidTr="002F32E3">
        <w:trPr>
          <w:cantSplit/>
        </w:trPr>
        <w:tc>
          <w:tcPr>
            <w:tcW w:w="1500" w:type="pct"/>
            <w:shd w:val="clear" w:color="auto" w:fill="auto"/>
          </w:tcPr>
          <w:p w14:paraId="57086476" w14:textId="77777777" w:rsidR="00E93F58" w:rsidRPr="00576D60" w:rsidRDefault="00E93F58" w:rsidP="002F32E3">
            <w:pPr>
              <w:pStyle w:val="ENoteTableText"/>
              <w:tabs>
                <w:tab w:val="left" w:leader="dot" w:pos="2268"/>
              </w:tabs>
            </w:pPr>
          </w:p>
        </w:tc>
        <w:tc>
          <w:tcPr>
            <w:tcW w:w="3500" w:type="pct"/>
            <w:shd w:val="clear" w:color="auto" w:fill="auto"/>
          </w:tcPr>
          <w:p w14:paraId="7802EF83" w14:textId="77777777" w:rsidR="00E93F58" w:rsidRPr="00576D60" w:rsidRDefault="00E93F58">
            <w:pPr>
              <w:pStyle w:val="ENoteTableText"/>
            </w:pPr>
            <w:r w:rsidRPr="00576D60">
              <w:t>renum No 36, 2004</w:t>
            </w:r>
          </w:p>
        </w:tc>
      </w:tr>
      <w:tr w:rsidR="00E93F58" w:rsidRPr="00576D60" w14:paraId="1890E4FB" w14:textId="77777777" w:rsidTr="002F32E3">
        <w:trPr>
          <w:cantSplit/>
        </w:trPr>
        <w:tc>
          <w:tcPr>
            <w:tcW w:w="1500" w:type="pct"/>
            <w:shd w:val="clear" w:color="auto" w:fill="auto"/>
          </w:tcPr>
          <w:p w14:paraId="001A4A9F" w14:textId="77777777" w:rsidR="00E93F58" w:rsidRPr="00576D60" w:rsidDel="00865BE6" w:rsidRDefault="00E93F58" w:rsidP="00833C66">
            <w:pPr>
              <w:pStyle w:val="ENoteTableText"/>
              <w:tabs>
                <w:tab w:val="left" w:leader="dot" w:pos="2268"/>
              </w:tabs>
            </w:pPr>
            <w:r w:rsidRPr="00576D60">
              <w:t>r 7.1.04F</w:t>
            </w:r>
            <w:r w:rsidRPr="00576D60">
              <w:tab/>
            </w:r>
            <w:r w:rsidRPr="00576D60">
              <w:br/>
              <w:t>(prev r 7.1.04E second occurring)</w:t>
            </w:r>
          </w:p>
        </w:tc>
        <w:tc>
          <w:tcPr>
            <w:tcW w:w="3500" w:type="pct"/>
            <w:shd w:val="clear" w:color="auto" w:fill="auto"/>
          </w:tcPr>
          <w:p w14:paraId="0BAD75E7" w14:textId="77777777" w:rsidR="00E93F58" w:rsidRPr="00576D60" w:rsidRDefault="00E93F58" w:rsidP="00AD65C3">
            <w:pPr>
              <w:pStyle w:val="ENoteTableText"/>
            </w:pPr>
            <w:r w:rsidRPr="00576D60">
              <w:t>am F2021L00127</w:t>
            </w:r>
          </w:p>
        </w:tc>
      </w:tr>
      <w:bookmarkEnd w:id="3637"/>
      <w:tr w:rsidR="00E93F58" w:rsidRPr="00576D60" w14:paraId="7393EB9C" w14:textId="77777777" w:rsidTr="002F32E3">
        <w:trPr>
          <w:cantSplit/>
        </w:trPr>
        <w:tc>
          <w:tcPr>
            <w:tcW w:w="1500" w:type="pct"/>
            <w:shd w:val="clear" w:color="auto" w:fill="auto"/>
          </w:tcPr>
          <w:p w14:paraId="09AD2CAC" w14:textId="77777777" w:rsidR="00E93F58" w:rsidRPr="00576D60" w:rsidRDefault="00E93F58" w:rsidP="002F32E3">
            <w:pPr>
              <w:pStyle w:val="ENoteTableText"/>
              <w:tabs>
                <w:tab w:val="left" w:leader="dot" w:pos="2268"/>
              </w:tabs>
            </w:pPr>
            <w:r w:rsidRPr="00576D60">
              <w:t>r. 7.1.04G</w:t>
            </w:r>
            <w:r w:rsidRPr="00576D60">
              <w:tab/>
            </w:r>
          </w:p>
        </w:tc>
        <w:tc>
          <w:tcPr>
            <w:tcW w:w="3500" w:type="pct"/>
            <w:shd w:val="clear" w:color="auto" w:fill="auto"/>
          </w:tcPr>
          <w:p w14:paraId="53976F41" w14:textId="77777777" w:rsidR="00E93F58" w:rsidRPr="00576D60" w:rsidRDefault="00E93F58" w:rsidP="002F32E3">
            <w:pPr>
              <w:pStyle w:val="ENoteTableText"/>
            </w:pPr>
            <w:r w:rsidRPr="00576D60">
              <w:t>ad. 2005 No. 31</w:t>
            </w:r>
          </w:p>
        </w:tc>
      </w:tr>
      <w:tr w:rsidR="00E93F58" w:rsidRPr="00576D60" w14:paraId="7F197FF3" w14:textId="77777777" w:rsidTr="002F32E3">
        <w:trPr>
          <w:cantSplit/>
        </w:trPr>
        <w:tc>
          <w:tcPr>
            <w:tcW w:w="1500" w:type="pct"/>
            <w:shd w:val="clear" w:color="auto" w:fill="auto"/>
          </w:tcPr>
          <w:p w14:paraId="0CC2C3D9" w14:textId="77777777" w:rsidR="00E93F58" w:rsidRPr="00576D60" w:rsidRDefault="00E93F58" w:rsidP="00A30297">
            <w:pPr>
              <w:pStyle w:val="ENoteTableText"/>
              <w:tabs>
                <w:tab w:val="left" w:leader="dot" w:pos="2268"/>
              </w:tabs>
            </w:pPr>
            <w:r w:rsidRPr="00576D60">
              <w:t>r 7.1.04N</w:t>
            </w:r>
            <w:r w:rsidRPr="00576D60">
              <w:tab/>
            </w:r>
          </w:p>
        </w:tc>
        <w:tc>
          <w:tcPr>
            <w:tcW w:w="3500" w:type="pct"/>
            <w:shd w:val="clear" w:color="auto" w:fill="auto"/>
          </w:tcPr>
          <w:p w14:paraId="26E01F32" w14:textId="77777777" w:rsidR="00E93F58" w:rsidRPr="00576D60" w:rsidRDefault="00E93F58" w:rsidP="00A30297">
            <w:pPr>
              <w:pStyle w:val="ENoteTableText"/>
            </w:pPr>
            <w:r w:rsidRPr="00576D60">
              <w:t>ad No 172, 2012</w:t>
            </w:r>
          </w:p>
        </w:tc>
      </w:tr>
      <w:tr w:rsidR="00E93F58" w:rsidRPr="00576D60" w14:paraId="79FED14A" w14:textId="77777777" w:rsidTr="002F32E3">
        <w:trPr>
          <w:cantSplit/>
        </w:trPr>
        <w:tc>
          <w:tcPr>
            <w:tcW w:w="1500" w:type="pct"/>
            <w:shd w:val="clear" w:color="auto" w:fill="auto"/>
          </w:tcPr>
          <w:p w14:paraId="104E95BA" w14:textId="77777777" w:rsidR="00E93F58" w:rsidRPr="00576D60" w:rsidRDefault="00E93F58" w:rsidP="002F32E3">
            <w:pPr>
              <w:pStyle w:val="ENoteTableText"/>
              <w:tabs>
                <w:tab w:val="left" w:leader="dot" w:pos="2268"/>
              </w:tabs>
            </w:pPr>
          </w:p>
        </w:tc>
        <w:tc>
          <w:tcPr>
            <w:tcW w:w="3500" w:type="pct"/>
            <w:shd w:val="clear" w:color="auto" w:fill="auto"/>
          </w:tcPr>
          <w:p w14:paraId="31D2AB35" w14:textId="77777777" w:rsidR="00E93F58" w:rsidRPr="00576D60" w:rsidRDefault="00E93F58" w:rsidP="002F32E3">
            <w:pPr>
              <w:pStyle w:val="ENoteTableText"/>
            </w:pPr>
            <w:r w:rsidRPr="00576D60">
              <w:t>rs F2020L00942</w:t>
            </w:r>
          </w:p>
        </w:tc>
      </w:tr>
      <w:tr w:rsidR="00E93F58" w:rsidRPr="00576D60" w14:paraId="2D29BAD3" w14:textId="77777777" w:rsidTr="002F32E3">
        <w:trPr>
          <w:cantSplit/>
        </w:trPr>
        <w:tc>
          <w:tcPr>
            <w:tcW w:w="1500" w:type="pct"/>
            <w:shd w:val="clear" w:color="auto" w:fill="auto"/>
          </w:tcPr>
          <w:p w14:paraId="3FAFF733" w14:textId="77777777" w:rsidR="00E93F58" w:rsidRPr="00576D60" w:rsidRDefault="00E93F58" w:rsidP="002F32E3">
            <w:pPr>
              <w:pStyle w:val="ENoteTableText"/>
              <w:tabs>
                <w:tab w:val="left" w:leader="dot" w:pos="2268"/>
              </w:tabs>
            </w:pPr>
          </w:p>
        </w:tc>
        <w:tc>
          <w:tcPr>
            <w:tcW w:w="3500" w:type="pct"/>
            <w:shd w:val="clear" w:color="auto" w:fill="auto"/>
          </w:tcPr>
          <w:p w14:paraId="5CAB27FB" w14:textId="77777777" w:rsidR="00E93F58" w:rsidRPr="00576D60" w:rsidRDefault="00E93F58" w:rsidP="002F32E3">
            <w:pPr>
              <w:pStyle w:val="ENoteTableText"/>
            </w:pPr>
            <w:r w:rsidRPr="00576D60">
              <w:t>am F2021L00848; F2022L01614</w:t>
            </w:r>
          </w:p>
        </w:tc>
      </w:tr>
      <w:tr w:rsidR="00E93F58" w:rsidRPr="00576D60" w14:paraId="552FC8D5" w14:textId="77777777" w:rsidTr="002F32E3">
        <w:trPr>
          <w:cantSplit/>
        </w:trPr>
        <w:tc>
          <w:tcPr>
            <w:tcW w:w="1500" w:type="pct"/>
            <w:shd w:val="clear" w:color="auto" w:fill="auto"/>
          </w:tcPr>
          <w:p w14:paraId="34F1070C" w14:textId="77777777" w:rsidR="00E93F58" w:rsidRPr="00576D60" w:rsidRDefault="00E93F58" w:rsidP="002F32E3">
            <w:pPr>
              <w:pStyle w:val="ENoteTableText"/>
              <w:tabs>
                <w:tab w:val="left" w:leader="dot" w:pos="2268"/>
              </w:tabs>
            </w:pPr>
            <w:r w:rsidRPr="00576D60">
              <w:t>r 7.1.05</w:t>
            </w:r>
            <w:r w:rsidRPr="00576D60">
              <w:tab/>
            </w:r>
          </w:p>
        </w:tc>
        <w:tc>
          <w:tcPr>
            <w:tcW w:w="3500" w:type="pct"/>
            <w:shd w:val="clear" w:color="auto" w:fill="auto"/>
          </w:tcPr>
          <w:p w14:paraId="1DA81B66" w14:textId="77777777" w:rsidR="00E93F58" w:rsidRPr="00576D60" w:rsidRDefault="00E93F58" w:rsidP="002F32E3">
            <w:pPr>
              <w:pStyle w:val="ENoteTableText"/>
            </w:pPr>
            <w:r w:rsidRPr="00576D60">
              <w:t>ad</w:t>
            </w:r>
            <w:r>
              <w:t xml:space="preserve"> No 319, 2001</w:t>
            </w:r>
          </w:p>
        </w:tc>
      </w:tr>
      <w:tr w:rsidR="00E93F58" w:rsidRPr="00576D60" w14:paraId="017B2DF6" w14:textId="77777777" w:rsidTr="002F32E3">
        <w:trPr>
          <w:cantSplit/>
        </w:trPr>
        <w:tc>
          <w:tcPr>
            <w:tcW w:w="1500" w:type="pct"/>
            <w:shd w:val="clear" w:color="auto" w:fill="auto"/>
          </w:tcPr>
          <w:p w14:paraId="253876BC" w14:textId="77777777" w:rsidR="00E93F58" w:rsidRPr="00576D60" w:rsidRDefault="00E93F58" w:rsidP="002F32E3">
            <w:pPr>
              <w:pStyle w:val="ENoteTableText"/>
              <w:tabs>
                <w:tab w:val="left" w:leader="dot" w:pos="2268"/>
              </w:tabs>
            </w:pPr>
          </w:p>
        </w:tc>
        <w:tc>
          <w:tcPr>
            <w:tcW w:w="3500" w:type="pct"/>
            <w:shd w:val="clear" w:color="auto" w:fill="auto"/>
          </w:tcPr>
          <w:p w14:paraId="022FDE98" w14:textId="77777777" w:rsidR="00E93F58" w:rsidRPr="00576D60" w:rsidRDefault="00E93F58" w:rsidP="002F32E3">
            <w:pPr>
              <w:pStyle w:val="ENoteTableText"/>
            </w:pPr>
            <w:r>
              <w:t>am F2023L01458</w:t>
            </w:r>
          </w:p>
        </w:tc>
      </w:tr>
      <w:tr w:rsidR="00E93F58" w:rsidRPr="00576D60" w14:paraId="250BA1CC" w14:textId="77777777" w:rsidTr="002F32E3">
        <w:trPr>
          <w:cantSplit/>
        </w:trPr>
        <w:tc>
          <w:tcPr>
            <w:tcW w:w="1500" w:type="pct"/>
            <w:shd w:val="clear" w:color="auto" w:fill="auto"/>
          </w:tcPr>
          <w:p w14:paraId="6D9EE772" w14:textId="77777777" w:rsidR="00E93F58" w:rsidRPr="00576D60" w:rsidRDefault="00E93F58" w:rsidP="002F32E3">
            <w:pPr>
              <w:pStyle w:val="ENoteTableText"/>
              <w:tabs>
                <w:tab w:val="left" w:leader="dot" w:pos="2268"/>
              </w:tabs>
            </w:pPr>
            <w:r w:rsidRPr="00576D60">
              <w:t>r 7.1.06</w:t>
            </w:r>
            <w:r w:rsidRPr="00576D60">
              <w:tab/>
            </w:r>
          </w:p>
        </w:tc>
        <w:tc>
          <w:tcPr>
            <w:tcW w:w="3500" w:type="pct"/>
            <w:shd w:val="clear" w:color="auto" w:fill="auto"/>
          </w:tcPr>
          <w:p w14:paraId="0421F048" w14:textId="77777777" w:rsidR="00E93F58" w:rsidRPr="00576D60" w:rsidRDefault="00E93F58" w:rsidP="002F32E3">
            <w:pPr>
              <w:pStyle w:val="ENoteTableText"/>
            </w:pPr>
            <w:r w:rsidRPr="00576D60">
              <w:t>ad No 319, 2001</w:t>
            </w:r>
          </w:p>
        </w:tc>
      </w:tr>
      <w:tr w:rsidR="00E93F58" w:rsidRPr="00576D60" w14:paraId="5A7AAFBA" w14:textId="77777777" w:rsidTr="002F32E3">
        <w:trPr>
          <w:cantSplit/>
        </w:trPr>
        <w:tc>
          <w:tcPr>
            <w:tcW w:w="1500" w:type="pct"/>
            <w:shd w:val="clear" w:color="auto" w:fill="auto"/>
          </w:tcPr>
          <w:p w14:paraId="4A4AC5F5" w14:textId="77777777" w:rsidR="00E93F58" w:rsidRPr="00576D60" w:rsidRDefault="00E93F58" w:rsidP="002F32E3">
            <w:pPr>
              <w:pStyle w:val="ENoteTableText"/>
            </w:pPr>
          </w:p>
        </w:tc>
        <w:tc>
          <w:tcPr>
            <w:tcW w:w="3500" w:type="pct"/>
            <w:shd w:val="clear" w:color="auto" w:fill="auto"/>
          </w:tcPr>
          <w:p w14:paraId="31992058" w14:textId="77777777" w:rsidR="00E93F58" w:rsidRPr="00576D60" w:rsidRDefault="00E93F58" w:rsidP="002F32E3">
            <w:pPr>
              <w:pStyle w:val="ENoteTableText"/>
            </w:pPr>
            <w:r w:rsidRPr="00576D60">
              <w:t>am No 41, 2002; No 368, 2003; No 172, 2012; F2018L01144; F2020L00942; F2022L01614</w:t>
            </w:r>
            <w:r>
              <w:t>; F2023L01458</w:t>
            </w:r>
          </w:p>
        </w:tc>
      </w:tr>
      <w:tr w:rsidR="00E93F58" w:rsidRPr="00576D60" w14:paraId="1D6604AA" w14:textId="77777777" w:rsidTr="002F32E3">
        <w:trPr>
          <w:cantSplit/>
        </w:trPr>
        <w:tc>
          <w:tcPr>
            <w:tcW w:w="1500" w:type="pct"/>
            <w:shd w:val="clear" w:color="auto" w:fill="auto"/>
          </w:tcPr>
          <w:p w14:paraId="2FB451A8" w14:textId="77777777" w:rsidR="00E93F58" w:rsidRPr="00576D60" w:rsidRDefault="00E93F58" w:rsidP="002F32E3">
            <w:pPr>
              <w:pStyle w:val="ENoteTableText"/>
              <w:tabs>
                <w:tab w:val="left" w:leader="dot" w:pos="2268"/>
              </w:tabs>
            </w:pPr>
            <w:r w:rsidRPr="00576D60">
              <w:t>r 7.1.06A</w:t>
            </w:r>
            <w:r w:rsidRPr="00576D60">
              <w:tab/>
            </w:r>
          </w:p>
        </w:tc>
        <w:tc>
          <w:tcPr>
            <w:tcW w:w="3500" w:type="pct"/>
            <w:shd w:val="clear" w:color="auto" w:fill="auto"/>
          </w:tcPr>
          <w:p w14:paraId="33AD60C4" w14:textId="77777777" w:rsidR="00E93F58" w:rsidRPr="00576D60" w:rsidRDefault="00E93F58" w:rsidP="002F32E3">
            <w:pPr>
              <w:pStyle w:val="ENoteTableText"/>
            </w:pPr>
            <w:r w:rsidRPr="00576D60">
              <w:t>ad</w:t>
            </w:r>
            <w:r>
              <w:t xml:space="preserve"> No 41, 2002</w:t>
            </w:r>
          </w:p>
        </w:tc>
      </w:tr>
      <w:tr w:rsidR="00E93F58" w:rsidRPr="00576D60" w14:paraId="53B819BD" w14:textId="77777777" w:rsidTr="002F32E3">
        <w:trPr>
          <w:cantSplit/>
        </w:trPr>
        <w:tc>
          <w:tcPr>
            <w:tcW w:w="1500" w:type="pct"/>
            <w:shd w:val="clear" w:color="auto" w:fill="auto"/>
          </w:tcPr>
          <w:p w14:paraId="6DCDAFD8" w14:textId="77777777" w:rsidR="00E93F58" w:rsidRPr="00576D60" w:rsidRDefault="00E93F58" w:rsidP="002F32E3">
            <w:pPr>
              <w:pStyle w:val="ENoteTableText"/>
            </w:pPr>
          </w:p>
        </w:tc>
        <w:tc>
          <w:tcPr>
            <w:tcW w:w="3500" w:type="pct"/>
            <w:shd w:val="clear" w:color="auto" w:fill="auto"/>
          </w:tcPr>
          <w:p w14:paraId="06DFD341" w14:textId="77777777" w:rsidR="00E93F58" w:rsidRPr="00576D60" w:rsidRDefault="00E93F58" w:rsidP="002F32E3">
            <w:pPr>
              <w:pStyle w:val="ENoteTableText"/>
            </w:pPr>
            <w:r w:rsidRPr="00576D60">
              <w:t>am</w:t>
            </w:r>
            <w:r>
              <w:t xml:space="preserve"> No 368, 2003; F2023L01458</w:t>
            </w:r>
          </w:p>
        </w:tc>
      </w:tr>
      <w:tr w:rsidR="00E93F58" w:rsidRPr="00576D60" w14:paraId="031B9084" w14:textId="77777777" w:rsidTr="002F32E3">
        <w:trPr>
          <w:cantSplit/>
        </w:trPr>
        <w:tc>
          <w:tcPr>
            <w:tcW w:w="1500" w:type="pct"/>
            <w:shd w:val="clear" w:color="auto" w:fill="auto"/>
          </w:tcPr>
          <w:p w14:paraId="58C0392E" w14:textId="77777777" w:rsidR="00E93F58" w:rsidRPr="00576D60" w:rsidRDefault="00E93F58" w:rsidP="002F32E3">
            <w:pPr>
              <w:pStyle w:val="ENoteTableText"/>
              <w:tabs>
                <w:tab w:val="left" w:leader="dot" w:pos="2268"/>
              </w:tabs>
            </w:pPr>
            <w:r w:rsidRPr="00576D60">
              <w:t>r 7.1.06B</w:t>
            </w:r>
            <w:r w:rsidRPr="00576D60">
              <w:tab/>
            </w:r>
          </w:p>
        </w:tc>
        <w:tc>
          <w:tcPr>
            <w:tcW w:w="3500" w:type="pct"/>
            <w:shd w:val="clear" w:color="auto" w:fill="auto"/>
          </w:tcPr>
          <w:p w14:paraId="615E8B86" w14:textId="77777777" w:rsidR="00E93F58" w:rsidRPr="00576D60" w:rsidRDefault="00E93F58" w:rsidP="002F32E3">
            <w:pPr>
              <w:pStyle w:val="ENoteTableText"/>
            </w:pPr>
            <w:r w:rsidRPr="00576D60">
              <w:t>ad No 31, 2003</w:t>
            </w:r>
          </w:p>
        </w:tc>
      </w:tr>
      <w:tr w:rsidR="00E93F58" w:rsidRPr="00576D60" w14:paraId="581BACE4" w14:textId="77777777" w:rsidTr="002F32E3">
        <w:trPr>
          <w:cantSplit/>
        </w:trPr>
        <w:tc>
          <w:tcPr>
            <w:tcW w:w="1500" w:type="pct"/>
            <w:shd w:val="clear" w:color="auto" w:fill="auto"/>
          </w:tcPr>
          <w:p w14:paraId="5383BC98" w14:textId="77777777" w:rsidR="00E93F58" w:rsidRPr="00576D60" w:rsidRDefault="00E93F58" w:rsidP="002F32E3">
            <w:pPr>
              <w:pStyle w:val="ENoteTableText"/>
              <w:tabs>
                <w:tab w:val="left" w:leader="dot" w:pos="2268"/>
              </w:tabs>
            </w:pPr>
          </w:p>
        </w:tc>
        <w:tc>
          <w:tcPr>
            <w:tcW w:w="3500" w:type="pct"/>
            <w:shd w:val="clear" w:color="auto" w:fill="auto"/>
          </w:tcPr>
          <w:p w14:paraId="7FE6E63D" w14:textId="77777777" w:rsidR="00E93F58" w:rsidRPr="00576D60" w:rsidRDefault="00E93F58" w:rsidP="002F32E3">
            <w:pPr>
              <w:pStyle w:val="ENoteTableText"/>
            </w:pPr>
            <w:r w:rsidRPr="00576D60">
              <w:t>rep F2019L01641</w:t>
            </w:r>
          </w:p>
        </w:tc>
      </w:tr>
      <w:tr w:rsidR="00E93F58" w:rsidRPr="00576D60" w14:paraId="7C815464" w14:textId="77777777" w:rsidTr="002F32E3">
        <w:trPr>
          <w:cantSplit/>
        </w:trPr>
        <w:tc>
          <w:tcPr>
            <w:tcW w:w="1500" w:type="pct"/>
            <w:shd w:val="clear" w:color="auto" w:fill="auto"/>
          </w:tcPr>
          <w:p w14:paraId="38C4950C" w14:textId="77777777" w:rsidR="00E93F58" w:rsidRPr="00576D60" w:rsidRDefault="00E93F58" w:rsidP="002F32E3">
            <w:pPr>
              <w:pStyle w:val="ENoteTableText"/>
              <w:tabs>
                <w:tab w:val="left" w:leader="dot" w:pos="2268"/>
              </w:tabs>
            </w:pPr>
            <w:r w:rsidRPr="00576D60">
              <w:t>r. 7.1.07</w:t>
            </w:r>
            <w:r w:rsidRPr="00576D60">
              <w:tab/>
            </w:r>
          </w:p>
        </w:tc>
        <w:tc>
          <w:tcPr>
            <w:tcW w:w="3500" w:type="pct"/>
            <w:shd w:val="clear" w:color="auto" w:fill="auto"/>
          </w:tcPr>
          <w:p w14:paraId="6896CE9D" w14:textId="77777777" w:rsidR="00E93F58" w:rsidRPr="00576D60" w:rsidRDefault="00E93F58" w:rsidP="002F32E3">
            <w:pPr>
              <w:pStyle w:val="ENoteTableText"/>
            </w:pPr>
            <w:r w:rsidRPr="00576D60">
              <w:t>ad. 2001 No. 319</w:t>
            </w:r>
          </w:p>
        </w:tc>
      </w:tr>
      <w:tr w:rsidR="00E93F58" w:rsidRPr="00576D60" w14:paraId="05A5BDDE" w14:textId="77777777" w:rsidTr="002F32E3">
        <w:trPr>
          <w:cantSplit/>
        </w:trPr>
        <w:tc>
          <w:tcPr>
            <w:tcW w:w="1500" w:type="pct"/>
            <w:shd w:val="clear" w:color="auto" w:fill="auto"/>
          </w:tcPr>
          <w:p w14:paraId="088F8E19" w14:textId="77777777" w:rsidR="00E93F58" w:rsidRPr="00576D60" w:rsidRDefault="00E93F58" w:rsidP="002F32E3">
            <w:pPr>
              <w:pStyle w:val="ENoteTableText"/>
            </w:pPr>
          </w:p>
        </w:tc>
        <w:tc>
          <w:tcPr>
            <w:tcW w:w="3500" w:type="pct"/>
            <w:shd w:val="clear" w:color="auto" w:fill="auto"/>
          </w:tcPr>
          <w:p w14:paraId="064AFBAD" w14:textId="77777777" w:rsidR="00E93F58" w:rsidRPr="00576D60" w:rsidRDefault="00E93F58" w:rsidP="002F32E3">
            <w:pPr>
              <w:pStyle w:val="ENoteTableText"/>
            </w:pPr>
            <w:r w:rsidRPr="00576D60">
              <w:t>rs. 2002 No. 16</w:t>
            </w:r>
          </w:p>
        </w:tc>
      </w:tr>
      <w:tr w:rsidR="00E93F58" w:rsidRPr="00576D60" w14:paraId="415720FA" w14:textId="77777777" w:rsidTr="002F32E3">
        <w:trPr>
          <w:cantSplit/>
        </w:trPr>
        <w:tc>
          <w:tcPr>
            <w:tcW w:w="1500" w:type="pct"/>
            <w:shd w:val="clear" w:color="auto" w:fill="auto"/>
          </w:tcPr>
          <w:p w14:paraId="4271B2F5" w14:textId="77777777" w:rsidR="00E93F58" w:rsidRPr="00576D60" w:rsidRDefault="00E93F58" w:rsidP="002F32E3">
            <w:pPr>
              <w:pStyle w:val="ENoteTableText"/>
            </w:pPr>
          </w:p>
        </w:tc>
        <w:tc>
          <w:tcPr>
            <w:tcW w:w="3500" w:type="pct"/>
            <w:shd w:val="clear" w:color="auto" w:fill="auto"/>
          </w:tcPr>
          <w:p w14:paraId="1EEB3B85" w14:textId="77777777" w:rsidR="00E93F58" w:rsidRPr="00576D60" w:rsidRDefault="00E93F58" w:rsidP="002F32E3">
            <w:pPr>
              <w:pStyle w:val="ENoteTableText"/>
            </w:pPr>
            <w:r w:rsidRPr="00576D60">
              <w:t>am. 2003 No. 202</w:t>
            </w:r>
          </w:p>
        </w:tc>
      </w:tr>
      <w:tr w:rsidR="00E93F58" w:rsidRPr="00576D60" w14:paraId="45B3D35D" w14:textId="77777777" w:rsidTr="002F32E3">
        <w:trPr>
          <w:cantSplit/>
        </w:trPr>
        <w:tc>
          <w:tcPr>
            <w:tcW w:w="1500" w:type="pct"/>
            <w:shd w:val="clear" w:color="auto" w:fill="auto"/>
          </w:tcPr>
          <w:p w14:paraId="4698F17C" w14:textId="77777777" w:rsidR="00E93F58" w:rsidRPr="00576D60" w:rsidRDefault="00E93F58" w:rsidP="002F32E3">
            <w:pPr>
              <w:pStyle w:val="ENoteTableText"/>
              <w:tabs>
                <w:tab w:val="left" w:leader="dot" w:pos="2268"/>
              </w:tabs>
            </w:pPr>
            <w:r w:rsidRPr="00576D60">
              <w:t>r. 7.1.07A</w:t>
            </w:r>
            <w:r w:rsidRPr="00576D60">
              <w:tab/>
            </w:r>
          </w:p>
        </w:tc>
        <w:tc>
          <w:tcPr>
            <w:tcW w:w="3500" w:type="pct"/>
            <w:shd w:val="clear" w:color="auto" w:fill="auto"/>
          </w:tcPr>
          <w:p w14:paraId="7474F3A4" w14:textId="77777777" w:rsidR="00E93F58" w:rsidRPr="00576D60" w:rsidRDefault="00E93F58" w:rsidP="002F32E3">
            <w:pPr>
              <w:pStyle w:val="ENoteTableText"/>
            </w:pPr>
            <w:r w:rsidRPr="00576D60">
              <w:t>ad. 2002 No. 16</w:t>
            </w:r>
          </w:p>
        </w:tc>
      </w:tr>
      <w:tr w:rsidR="00E93F58" w:rsidRPr="00576D60" w14:paraId="21F1BD6F" w14:textId="77777777" w:rsidTr="002F32E3">
        <w:trPr>
          <w:cantSplit/>
        </w:trPr>
        <w:tc>
          <w:tcPr>
            <w:tcW w:w="1500" w:type="pct"/>
            <w:shd w:val="clear" w:color="auto" w:fill="auto"/>
          </w:tcPr>
          <w:p w14:paraId="1EC06922" w14:textId="77777777" w:rsidR="00E93F58" w:rsidRPr="00576D60" w:rsidRDefault="00E93F58" w:rsidP="002F32E3">
            <w:pPr>
              <w:pStyle w:val="ENoteTableText"/>
              <w:tabs>
                <w:tab w:val="left" w:leader="dot" w:pos="2268"/>
              </w:tabs>
            </w:pPr>
            <w:r w:rsidRPr="00576D60">
              <w:t>r. 7.1.08</w:t>
            </w:r>
            <w:r w:rsidRPr="00576D60">
              <w:tab/>
            </w:r>
          </w:p>
        </w:tc>
        <w:tc>
          <w:tcPr>
            <w:tcW w:w="3500" w:type="pct"/>
            <w:shd w:val="clear" w:color="auto" w:fill="auto"/>
          </w:tcPr>
          <w:p w14:paraId="568E08BA" w14:textId="77777777" w:rsidR="00E93F58" w:rsidRPr="00576D60" w:rsidRDefault="00E93F58" w:rsidP="002F32E3">
            <w:pPr>
              <w:pStyle w:val="ENoteTableText"/>
            </w:pPr>
            <w:r w:rsidRPr="00576D60">
              <w:t>ad. 2001 No. 319</w:t>
            </w:r>
          </w:p>
        </w:tc>
      </w:tr>
      <w:tr w:rsidR="00E93F58" w:rsidRPr="00576D60" w14:paraId="0D07967D" w14:textId="77777777" w:rsidTr="002F32E3">
        <w:trPr>
          <w:cantSplit/>
        </w:trPr>
        <w:tc>
          <w:tcPr>
            <w:tcW w:w="1500" w:type="pct"/>
            <w:shd w:val="clear" w:color="auto" w:fill="auto"/>
          </w:tcPr>
          <w:p w14:paraId="51FD1A73" w14:textId="77777777" w:rsidR="00E93F58" w:rsidRPr="00576D60" w:rsidRDefault="00E93F58" w:rsidP="002F32E3">
            <w:pPr>
              <w:pStyle w:val="ENoteTableText"/>
              <w:tabs>
                <w:tab w:val="left" w:leader="dot" w:pos="2268"/>
              </w:tabs>
            </w:pPr>
            <w:r w:rsidRPr="00576D60">
              <w:t>Renumbered r. 7.1.07B</w:t>
            </w:r>
            <w:r w:rsidRPr="00576D60">
              <w:tab/>
            </w:r>
          </w:p>
        </w:tc>
        <w:tc>
          <w:tcPr>
            <w:tcW w:w="3500" w:type="pct"/>
            <w:shd w:val="clear" w:color="auto" w:fill="auto"/>
          </w:tcPr>
          <w:p w14:paraId="75EC806C" w14:textId="77777777" w:rsidR="00E93F58" w:rsidRPr="00576D60" w:rsidRDefault="00E93F58" w:rsidP="002F32E3">
            <w:pPr>
              <w:pStyle w:val="ENoteTableText"/>
            </w:pPr>
            <w:r w:rsidRPr="00576D60">
              <w:t>2003 No. 31</w:t>
            </w:r>
          </w:p>
        </w:tc>
      </w:tr>
      <w:tr w:rsidR="00E93F58" w:rsidRPr="00576D60" w14:paraId="03FBA934" w14:textId="77777777" w:rsidTr="002F32E3">
        <w:trPr>
          <w:cantSplit/>
        </w:trPr>
        <w:tc>
          <w:tcPr>
            <w:tcW w:w="1500" w:type="pct"/>
            <w:shd w:val="clear" w:color="auto" w:fill="auto"/>
          </w:tcPr>
          <w:p w14:paraId="7724F892" w14:textId="77777777" w:rsidR="00E93F58" w:rsidRPr="00576D60" w:rsidRDefault="00E93F58" w:rsidP="002F32E3">
            <w:pPr>
              <w:pStyle w:val="ENoteTableText"/>
              <w:tabs>
                <w:tab w:val="left" w:leader="dot" w:pos="2268"/>
              </w:tabs>
            </w:pPr>
            <w:r w:rsidRPr="00576D60">
              <w:t>r 7.1.07C</w:t>
            </w:r>
            <w:r w:rsidRPr="00576D60">
              <w:tab/>
            </w:r>
          </w:p>
        </w:tc>
        <w:tc>
          <w:tcPr>
            <w:tcW w:w="3500" w:type="pct"/>
            <w:shd w:val="clear" w:color="auto" w:fill="auto"/>
          </w:tcPr>
          <w:p w14:paraId="6060FDF6" w14:textId="77777777" w:rsidR="00E93F58" w:rsidRPr="00576D60" w:rsidRDefault="00E93F58" w:rsidP="002F32E3">
            <w:pPr>
              <w:pStyle w:val="ENoteTableText"/>
            </w:pPr>
            <w:r w:rsidRPr="00576D60">
              <w:t>ad No 31, 2003</w:t>
            </w:r>
          </w:p>
        </w:tc>
      </w:tr>
      <w:tr w:rsidR="00E93F58" w:rsidRPr="00576D60" w14:paraId="12B55CF8" w14:textId="77777777" w:rsidTr="002F32E3">
        <w:trPr>
          <w:cantSplit/>
        </w:trPr>
        <w:tc>
          <w:tcPr>
            <w:tcW w:w="1500" w:type="pct"/>
            <w:shd w:val="clear" w:color="auto" w:fill="auto"/>
          </w:tcPr>
          <w:p w14:paraId="6896D368" w14:textId="77777777" w:rsidR="00E93F58" w:rsidRPr="00576D60" w:rsidRDefault="00E93F58" w:rsidP="002F32E3">
            <w:pPr>
              <w:pStyle w:val="ENoteTableText"/>
              <w:tabs>
                <w:tab w:val="left" w:leader="dot" w:pos="2268"/>
              </w:tabs>
            </w:pPr>
          </w:p>
        </w:tc>
        <w:tc>
          <w:tcPr>
            <w:tcW w:w="3500" w:type="pct"/>
            <w:shd w:val="clear" w:color="auto" w:fill="auto"/>
          </w:tcPr>
          <w:p w14:paraId="7D391A5D" w14:textId="77777777" w:rsidR="00E93F58" w:rsidRPr="00576D60" w:rsidRDefault="00E93F58" w:rsidP="002F32E3">
            <w:pPr>
              <w:pStyle w:val="ENoteTableText"/>
            </w:pPr>
            <w:r w:rsidRPr="00576D60">
              <w:t>am F2019L01626</w:t>
            </w:r>
          </w:p>
        </w:tc>
      </w:tr>
      <w:tr w:rsidR="00E93F58" w:rsidRPr="00576D60" w14:paraId="2AD3CFF5" w14:textId="77777777" w:rsidTr="002F32E3">
        <w:trPr>
          <w:cantSplit/>
        </w:trPr>
        <w:tc>
          <w:tcPr>
            <w:tcW w:w="1500" w:type="pct"/>
            <w:shd w:val="clear" w:color="auto" w:fill="auto"/>
          </w:tcPr>
          <w:p w14:paraId="52BC613F" w14:textId="77777777" w:rsidR="00E93F58" w:rsidRPr="00576D60" w:rsidRDefault="00E93F58" w:rsidP="002F32E3">
            <w:pPr>
              <w:pStyle w:val="ENoteTableText"/>
              <w:tabs>
                <w:tab w:val="left" w:leader="dot" w:pos="2268"/>
              </w:tabs>
            </w:pPr>
            <w:r w:rsidRPr="00576D60">
              <w:t>r 7.1.07D</w:t>
            </w:r>
            <w:r w:rsidRPr="00576D60">
              <w:tab/>
            </w:r>
          </w:p>
        </w:tc>
        <w:tc>
          <w:tcPr>
            <w:tcW w:w="3500" w:type="pct"/>
            <w:shd w:val="clear" w:color="auto" w:fill="auto"/>
          </w:tcPr>
          <w:p w14:paraId="1FEB8ED9" w14:textId="77777777" w:rsidR="00E93F58" w:rsidRPr="00576D60" w:rsidRDefault="00E93F58" w:rsidP="002F32E3">
            <w:pPr>
              <w:pStyle w:val="ENoteTableText"/>
            </w:pPr>
            <w:r w:rsidRPr="00576D60">
              <w:t>ad No 31, 2003</w:t>
            </w:r>
          </w:p>
        </w:tc>
      </w:tr>
      <w:tr w:rsidR="00E93F58" w:rsidRPr="00576D60" w14:paraId="2D29DF9B" w14:textId="77777777" w:rsidTr="002F32E3">
        <w:trPr>
          <w:cantSplit/>
        </w:trPr>
        <w:tc>
          <w:tcPr>
            <w:tcW w:w="1500" w:type="pct"/>
            <w:shd w:val="clear" w:color="auto" w:fill="auto"/>
          </w:tcPr>
          <w:p w14:paraId="1ADDBB87" w14:textId="77777777" w:rsidR="00E93F58" w:rsidRPr="00576D60" w:rsidRDefault="00E93F58" w:rsidP="002F32E3">
            <w:pPr>
              <w:pStyle w:val="ENoteTableText"/>
              <w:tabs>
                <w:tab w:val="left" w:leader="dot" w:pos="2268"/>
              </w:tabs>
            </w:pPr>
          </w:p>
        </w:tc>
        <w:tc>
          <w:tcPr>
            <w:tcW w:w="3500" w:type="pct"/>
            <w:shd w:val="clear" w:color="auto" w:fill="auto"/>
          </w:tcPr>
          <w:p w14:paraId="476FF57F" w14:textId="77777777" w:rsidR="00E93F58" w:rsidRPr="00576D60" w:rsidRDefault="00E93F58" w:rsidP="002F32E3">
            <w:pPr>
              <w:pStyle w:val="ENoteTableText"/>
            </w:pPr>
            <w:r w:rsidRPr="00576D60">
              <w:t>rep F2019L01533</w:t>
            </w:r>
          </w:p>
        </w:tc>
      </w:tr>
      <w:tr w:rsidR="00E93F58" w:rsidRPr="00576D60" w14:paraId="28F5E15C" w14:textId="77777777" w:rsidTr="002F32E3">
        <w:trPr>
          <w:cantSplit/>
        </w:trPr>
        <w:tc>
          <w:tcPr>
            <w:tcW w:w="1500" w:type="pct"/>
            <w:shd w:val="clear" w:color="auto" w:fill="auto"/>
          </w:tcPr>
          <w:p w14:paraId="3A740850" w14:textId="77777777" w:rsidR="00E93F58" w:rsidRPr="00576D60" w:rsidRDefault="00E93F58" w:rsidP="002F32E3">
            <w:pPr>
              <w:pStyle w:val="ENoteTableText"/>
              <w:tabs>
                <w:tab w:val="left" w:leader="dot" w:pos="2268"/>
              </w:tabs>
            </w:pPr>
            <w:r w:rsidRPr="00576D60">
              <w:t>r. 7.1.07E</w:t>
            </w:r>
            <w:r w:rsidRPr="00576D60">
              <w:tab/>
            </w:r>
          </w:p>
        </w:tc>
        <w:tc>
          <w:tcPr>
            <w:tcW w:w="3500" w:type="pct"/>
            <w:shd w:val="clear" w:color="auto" w:fill="auto"/>
          </w:tcPr>
          <w:p w14:paraId="106FB816" w14:textId="77777777" w:rsidR="00E93F58" w:rsidRPr="00576D60" w:rsidRDefault="00E93F58" w:rsidP="002F32E3">
            <w:pPr>
              <w:pStyle w:val="ENoteTableText"/>
            </w:pPr>
            <w:r w:rsidRPr="00576D60">
              <w:t>ad. 2003 No. 282</w:t>
            </w:r>
          </w:p>
        </w:tc>
      </w:tr>
      <w:tr w:rsidR="00E93F58" w:rsidRPr="00576D60" w14:paraId="1E918BC9" w14:textId="77777777" w:rsidTr="002F32E3">
        <w:trPr>
          <w:cantSplit/>
        </w:trPr>
        <w:tc>
          <w:tcPr>
            <w:tcW w:w="1500" w:type="pct"/>
            <w:shd w:val="clear" w:color="auto" w:fill="auto"/>
          </w:tcPr>
          <w:p w14:paraId="7BD35731" w14:textId="77777777" w:rsidR="00E93F58" w:rsidRPr="00576D60" w:rsidRDefault="00E93F58" w:rsidP="002F32E3">
            <w:pPr>
              <w:pStyle w:val="ENoteTableText"/>
              <w:tabs>
                <w:tab w:val="left" w:leader="dot" w:pos="2268"/>
              </w:tabs>
            </w:pPr>
            <w:r w:rsidRPr="00576D60">
              <w:t>r. 7.1.07F</w:t>
            </w:r>
            <w:r w:rsidRPr="00576D60">
              <w:tab/>
            </w:r>
          </w:p>
        </w:tc>
        <w:tc>
          <w:tcPr>
            <w:tcW w:w="3500" w:type="pct"/>
            <w:shd w:val="clear" w:color="auto" w:fill="auto"/>
          </w:tcPr>
          <w:p w14:paraId="75C4EBA8" w14:textId="77777777" w:rsidR="00E93F58" w:rsidRPr="00576D60" w:rsidRDefault="00E93F58" w:rsidP="002F32E3">
            <w:pPr>
              <w:pStyle w:val="ENoteTableText"/>
            </w:pPr>
            <w:r w:rsidRPr="00576D60">
              <w:t>ad. 2003 No. 282</w:t>
            </w:r>
          </w:p>
        </w:tc>
      </w:tr>
      <w:tr w:rsidR="00E93F58" w:rsidRPr="00576D60" w14:paraId="64846172" w14:textId="77777777" w:rsidTr="002F32E3">
        <w:trPr>
          <w:cantSplit/>
        </w:trPr>
        <w:tc>
          <w:tcPr>
            <w:tcW w:w="1500" w:type="pct"/>
            <w:shd w:val="clear" w:color="auto" w:fill="auto"/>
          </w:tcPr>
          <w:p w14:paraId="50AC6C52" w14:textId="77777777" w:rsidR="00E93F58" w:rsidRPr="00576D60" w:rsidRDefault="00E93F58" w:rsidP="002F32E3">
            <w:pPr>
              <w:pStyle w:val="ENoteTableText"/>
              <w:tabs>
                <w:tab w:val="left" w:leader="dot" w:pos="2268"/>
              </w:tabs>
            </w:pPr>
            <w:r w:rsidRPr="00576D60">
              <w:t>r. 7.1.07G</w:t>
            </w:r>
            <w:r w:rsidRPr="00576D60">
              <w:tab/>
            </w:r>
          </w:p>
        </w:tc>
        <w:tc>
          <w:tcPr>
            <w:tcW w:w="3500" w:type="pct"/>
            <w:shd w:val="clear" w:color="auto" w:fill="auto"/>
          </w:tcPr>
          <w:p w14:paraId="01C45884" w14:textId="77777777" w:rsidR="00E93F58" w:rsidRPr="00576D60" w:rsidRDefault="00E93F58" w:rsidP="002F32E3">
            <w:pPr>
              <w:pStyle w:val="ENoteTableText"/>
            </w:pPr>
            <w:r w:rsidRPr="00576D60">
              <w:t>ad. 2003 No. 368</w:t>
            </w:r>
          </w:p>
        </w:tc>
      </w:tr>
      <w:tr w:rsidR="00E93F58" w:rsidRPr="00576D60" w14:paraId="7E82B461" w14:textId="77777777" w:rsidTr="002F32E3">
        <w:trPr>
          <w:cantSplit/>
        </w:trPr>
        <w:tc>
          <w:tcPr>
            <w:tcW w:w="1500" w:type="pct"/>
            <w:shd w:val="clear" w:color="auto" w:fill="auto"/>
          </w:tcPr>
          <w:p w14:paraId="459B33AC" w14:textId="77777777" w:rsidR="00E93F58" w:rsidRPr="00576D60" w:rsidRDefault="00E93F58" w:rsidP="002F32E3">
            <w:pPr>
              <w:pStyle w:val="ENoteTableText"/>
              <w:tabs>
                <w:tab w:val="left" w:leader="dot" w:pos="2268"/>
              </w:tabs>
            </w:pPr>
            <w:r w:rsidRPr="00576D60">
              <w:t>r. 7.1.07H</w:t>
            </w:r>
            <w:r w:rsidRPr="00576D60">
              <w:tab/>
            </w:r>
          </w:p>
        </w:tc>
        <w:tc>
          <w:tcPr>
            <w:tcW w:w="3500" w:type="pct"/>
            <w:shd w:val="clear" w:color="auto" w:fill="auto"/>
          </w:tcPr>
          <w:p w14:paraId="6E1A357B" w14:textId="77777777" w:rsidR="00E93F58" w:rsidRPr="00576D60" w:rsidRDefault="00E93F58" w:rsidP="002F32E3">
            <w:pPr>
              <w:pStyle w:val="ENoteTableText"/>
            </w:pPr>
            <w:r w:rsidRPr="00576D60">
              <w:t>ad. 2004 No. 25</w:t>
            </w:r>
          </w:p>
        </w:tc>
      </w:tr>
      <w:tr w:rsidR="00E93F58" w:rsidRPr="00576D60" w14:paraId="38691909" w14:textId="77777777" w:rsidTr="002F32E3">
        <w:trPr>
          <w:cantSplit/>
        </w:trPr>
        <w:tc>
          <w:tcPr>
            <w:tcW w:w="1500" w:type="pct"/>
            <w:shd w:val="clear" w:color="auto" w:fill="auto"/>
          </w:tcPr>
          <w:p w14:paraId="774EE173" w14:textId="77777777" w:rsidR="00E93F58" w:rsidRPr="00576D60" w:rsidRDefault="00E93F58" w:rsidP="002F32E3">
            <w:pPr>
              <w:pStyle w:val="ENoteTableText"/>
              <w:tabs>
                <w:tab w:val="left" w:leader="dot" w:pos="2268"/>
              </w:tabs>
            </w:pPr>
            <w:r w:rsidRPr="00576D60">
              <w:t>r 7.1.07I</w:t>
            </w:r>
            <w:r w:rsidRPr="00576D60">
              <w:tab/>
            </w:r>
          </w:p>
        </w:tc>
        <w:tc>
          <w:tcPr>
            <w:tcW w:w="3500" w:type="pct"/>
            <w:shd w:val="clear" w:color="auto" w:fill="auto"/>
          </w:tcPr>
          <w:p w14:paraId="282BEE7E" w14:textId="77777777" w:rsidR="00E93F58" w:rsidRPr="00576D60" w:rsidRDefault="00E93F58" w:rsidP="002F32E3">
            <w:pPr>
              <w:pStyle w:val="ENoteTableText"/>
            </w:pPr>
            <w:r w:rsidRPr="00576D60">
              <w:t>ad No 42, 2012</w:t>
            </w:r>
          </w:p>
        </w:tc>
      </w:tr>
      <w:tr w:rsidR="00E93F58" w:rsidRPr="00576D60" w14:paraId="259E1929" w14:textId="77777777" w:rsidTr="002F32E3">
        <w:trPr>
          <w:cantSplit/>
        </w:trPr>
        <w:tc>
          <w:tcPr>
            <w:tcW w:w="1500" w:type="pct"/>
            <w:shd w:val="clear" w:color="auto" w:fill="auto"/>
          </w:tcPr>
          <w:p w14:paraId="32F25021" w14:textId="77777777" w:rsidR="00E93F58" w:rsidRPr="00576D60" w:rsidRDefault="00E93F58" w:rsidP="002F32E3">
            <w:pPr>
              <w:pStyle w:val="ENoteTableText"/>
              <w:tabs>
                <w:tab w:val="left" w:leader="dot" w:pos="2268"/>
              </w:tabs>
            </w:pPr>
          </w:p>
        </w:tc>
        <w:tc>
          <w:tcPr>
            <w:tcW w:w="3500" w:type="pct"/>
            <w:shd w:val="clear" w:color="auto" w:fill="auto"/>
          </w:tcPr>
          <w:p w14:paraId="14F8BE02" w14:textId="77777777" w:rsidR="00E93F58" w:rsidRPr="00576D60" w:rsidRDefault="00E93F58" w:rsidP="002F32E3">
            <w:pPr>
              <w:pStyle w:val="ENoteTableText"/>
            </w:pPr>
            <w:r w:rsidRPr="00576D60">
              <w:t>(1) exp 1 July 2012 (r 7.1.07I(2)(a))</w:t>
            </w:r>
          </w:p>
        </w:tc>
      </w:tr>
      <w:tr w:rsidR="00E93F58" w:rsidRPr="00576D60" w14:paraId="56633DEA" w14:textId="77777777" w:rsidTr="002F32E3">
        <w:trPr>
          <w:cantSplit/>
        </w:trPr>
        <w:tc>
          <w:tcPr>
            <w:tcW w:w="1500" w:type="pct"/>
            <w:shd w:val="clear" w:color="auto" w:fill="auto"/>
          </w:tcPr>
          <w:p w14:paraId="3D3809D8" w14:textId="77777777" w:rsidR="00E93F58" w:rsidRPr="00576D60" w:rsidRDefault="00E93F58" w:rsidP="002F32E3">
            <w:pPr>
              <w:pStyle w:val="ENoteTableText"/>
              <w:tabs>
                <w:tab w:val="left" w:leader="dot" w:pos="2268"/>
              </w:tabs>
            </w:pPr>
          </w:p>
        </w:tc>
        <w:tc>
          <w:tcPr>
            <w:tcW w:w="3500" w:type="pct"/>
            <w:shd w:val="clear" w:color="auto" w:fill="auto"/>
          </w:tcPr>
          <w:p w14:paraId="29DE760B" w14:textId="77777777" w:rsidR="00E93F58" w:rsidRPr="00576D60" w:rsidRDefault="00E93F58" w:rsidP="002F32E3">
            <w:pPr>
              <w:pStyle w:val="ENoteTableText"/>
            </w:pPr>
            <w:r w:rsidRPr="00576D60">
              <w:t>rep F2022L01689</w:t>
            </w:r>
          </w:p>
        </w:tc>
      </w:tr>
      <w:tr w:rsidR="00E93F58" w:rsidRPr="00576D60" w14:paraId="09D1CA68" w14:textId="77777777" w:rsidTr="002F32E3">
        <w:trPr>
          <w:cantSplit/>
        </w:trPr>
        <w:tc>
          <w:tcPr>
            <w:tcW w:w="1500" w:type="pct"/>
            <w:shd w:val="clear" w:color="auto" w:fill="auto"/>
          </w:tcPr>
          <w:p w14:paraId="384B2382" w14:textId="77777777" w:rsidR="00E93F58" w:rsidRPr="00576D60" w:rsidRDefault="00E93F58" w:rsidP="002F32E3">
            <w:pPr>
              <w:pStyle w:val="ENoteTableText"/>
              <w:tabs>
                <w:tab w:val="left" w:leader="dot" w:pos="2268"/>
              </w:tabs>
            </w:pPr>
            <w:r w:rsidRPr="00576D60">
              <w:t>r 7.1.07J</w:t>
            </w:r>
            <w:r w:rsidRPr="00576D60">
              <w:tab/>
            </w:r>
          </w:p>
        </w:tc>
        <w:tc>
          <w:tcPr>
            <w:tcW w:w="3500" w:type="pct"/>
            <w:shd w:val="clear" w:color="auto" w:fill="auto"/>
          </w:tcPr>
          <w:p w14:paraId="359E027A" w14:textId="77777777" w:rsidR="00E93F58" w:rsidRPr="00576D60" w:rsidRDefault="00E93F58" w:rsidP="002F32E3">
            <w:pPr>
              <w:pStyle w:val="ENoteTableText"/>
            </w:pPr>
            <w:r w:rsidRPr="00576D60">
              <w:t>ad No 24, 2015</w:t>
            </w:r>
          </w:p>
        </w:tc>
      </w:tr>
      <w:tr w:rsidR="00E93F58" w:rsidRPr="00576D60" w14:paraId="4F6B5058" w14:textId="77777777" w:rsidTr="002F32E3">
        <w:trPr>
          <w:cantSplit/>
        </w:trPr>
        <w:tc>
          <w:tcPr>
            <w:tcW w:w="1500" w:type="pct"/>
            <w:shd w:val="clear" w:color="auto" w:fill="auto"/>
          </w:tcPr>
          <w:p w14:paraId="504EA137" w14:textId="77777777" w:rsidR="00E93F58" w:rsidRPr="00576D60" w:rsidRDefault="00E93F58" w:rsidP="002F32E3">
            <w:pPr>
              <w:pStyle w:val="ENoteTableText"/>
              <w:tabs>
                <w:tab w:val="left" w:leader="dot" w:pos="2268"/>
              </w:tabs>
            </w:pPr>
            <w:r w:rsidRPr="00576D60">
              <w:t>r. 7.1.08A</w:t>
            </w:r>
            <w:r w:rsidRPr="00576D60">
              <w:tab/>
            </w:r>
          </w:p>
        </w:tc>
        <w:tc>
          <w:tcPr>
            <w:tcW w:w="3500" w:type="pct"/>
            <w:shd w:val="clear" w:color="auto" w:fill="auto"/>
          </w:tcPr>
          <w:p w14:paraId="738BA5FA" w14:textId="77777777" w:rsidR="00E93F58" w:rsidRPr="00576D60" w:rsidRDefault="00E93F58" w:rsidP="002F32E3">
            <w:pPr>
              <w:pStyle w:val="ENoteTableText"/>
            </w:pPr>
            <w:r w:rsidRPr="00576D60">
              <w:t>ad. 2002 No. 16</w:t>
            </w:r>
          </w:p>
        </w:tc>
      </w:tr>
      <w:tr w:rsidR="00E93F58" w:rsidRPr="00576D60" w14:paraId="2D905D89" w14:textId="77777777" w:rsidTr="002F32E3">
        <w:trPr>
          <w:cantSplit/>
        </w:trPr>
        <w:tc>
          <w:tcPr>
            <w:tcW w:w="1500" w:type="pct"/>
            <w:shd w:val="clear" w:color="auto" w:fill="auto"/>
          </w:tcPr>
          <w:p w14:paraId="62F628CB" w14:textId="77777777" w:rsidR="00E93F58" w:rsidRPr="00576D60" w:rsidRDefault="00E93F58" w:rsidP="002F32E3">
            <w:pPr>
              <w:pStyle w:val="ENoteTableText"/>
            </w:pPr>
          </w:p>
        </w:tc>
        <w:tc>
          <w:tcPr>
            <w:tcW w:w="3500" w:type="pct"/>
            <w:shd w:val="clear" w:color="auto" w:fill="auto"/>
          </w:tcPr>
          <w:p w14:paraId="1887D202" w14:textId="77777777" w:rsidR="00E93F58" w:rsidRPr="00576D60" w:rsidRDefault="00E93F58" w:rsidP="002F32E3">
            <w:pPr>
              <w:pStyle w:val="ENoteTableText"/>
            </w:pPr>
            <w:r w:rsidRPr="00576D60">
              <w:t>am. 2002 No. 41</w:t>
            </w:r>
          </w:p>
        </w:tc>
      </w:tr>
      <w:tr w:rsidR="00E93F58" w:rsidRPr="00576D60" w14:paraId="5FBC22EE" w14:textId="77777777" w:rsidTr="002F32E3">
        <w:trPr>
          <w:cantSplit/>
        </w:trPr>
        <w:tc>
          <w:tcPr>
            <w:tcW w:w="1500" w:type="pct"/>
            <w:shd w:val="clear" w:color="auto" w:fill="auto"/>
          </w:tcPr>
          <w:p w14:paraId="16611D33" w14:textId="77777777" w:rsidR="00E93F58" w:rsidRPr="00576D60" w:rsidRDefault="00E93F58" w:rsidP="002F32E3">
            <w:pPr>
              <w:pStyle w:val="ENoteTableText"/>
            </w:pPr>
          </w:p>
        </w:tc>
        <w:tc>
          <w:tcPr>
            <w:tcW w:w="3500" w:type="pct"/>
            <w:shd w:val="clear" w:color="auto" w:fill="auto"/>
          </w:tcPr>
          <w:p w14:paraId="26A9EB7F" w14:textId="77777777" w:rsidR="00E93F58" w:rsidRPr="00576D60" w:rsidRDefault="00E93F58" w:rsidP="002F32E3">
            <w:pPr>
              <w:pStyle w:val="ENoteTableText"/>
            </w:pPr>
            <w:r w:rsidRPr="00576D60">
              <w:t>rep. 2003 No. 31</w:t>
            </w:r>
          </w:p>
        </w:tc>
      </w:tr>
      <w:tr w:rsidR="00E93F58" w:rsidRPr="00576D60" w14:paraId="63222F2C" w14:textId="77777777" w:rsidTr="002F32E3">
        <w:trPr>
          <w:cantSplit/>
        </w:trPr>
        <w:tc>
          <w:tcPr>
            <w:tcW w:w="1500" w:type="pct"/>
            <w:shd w:val="clear" w:color="auto" w:fill="auto"/>
          </w:tcPr>
          <w:p w14:paraId="4F94DC5A" w14:textId="77777777" w:rsidR="00E93F58" w:rsidRPr="00576D60" w:rsidRDefault="00E93F58" w:rsidP="007C0203">
            <w:pPr>
              <w:pStyle w:val="ENoteTableText"/>
              <w:tabs>
                <w:tab w:val="left" w:leader="dot" w:pos="2268"/>
              </w:tabs>
            </w:pPr>
            <w:r w:rsidRPr="00576D60">
              <w:t>r 7.1.08AA</w:t>
            </w:r>
            <w:r w:rsidRPr="00576D60">
              <w:tab/>
            </w:r>
          </w:p>
        </w:tc>
        <w:tc>
          <w:tcPr>
            <w:tcW w:w="3500" w:type="pct"/>
            <w:shd w:val="clear" w:color="auto" w:fill="auto"/>
          </w:tcPr>
          <w:p w14:paraId="1CD64502" w14:textId="77777777" w:rsidR="00E93F58" w:rsidRPr="00576D60" w:rsidRDefault="00E93F58" w:rsidP="002F32E3">
            <w:pPr>
              <w:pStyle w:val="ENoteTableText"/>
            </w:pPr>
            <w:r w:rsidRPr="00576D60">
              <w:t>ad F2021L00127</w:t>
            </w:r>
          </w:p>
        </w:tc>
      </w:tr>
      <w:tr w:rsidR="00E93F58" w:rsidRPr="00576D60" w14:paraId="286182B9" w14:textId="77777777" w:rsidTr="002F32E3">
        <w:trPr>
          <w:cantSplit/>
        </w:trPr>
        <w:tc>
          <w:tcPr>
            <w:tcW w:w="1500" w:type="pct"/>
            <w:shd w:val="clear" w:color="auto" w:fill="auto"/>
          </w:tcPr>
          <w:p w14:paraId="317895D5" w14:textId="77777777" w:rsidR="00E93F58" w:rsidRPr="00576D60" w:rsidRDefault="00E93F58" w:rsidP="002F32E3">
            <w:pPr>
              <w:pStyle w:val="ENoteTableText"/>
              <w:tabs>
                <w:tab w:val="left" w:leader="dot" w:pos="2268"/>
              </w:tabs>
            </w:pPr>
            <w:r w:rsidRPr="00576D60">
              <w:t>r. 7.1.08</w:t>
            </w:r>
            <w:r w:rsidRPr="00576D60">
              <w:tab/>
            </w:r>
          </w:p>
        </w:tc>
        <w:tc>
          <w:tcPr>
            <w:tcW w:w="3500" w:type="pct"/>
            <w:shd w:val="clear" w:color="auto" w:fill="auto"/>
          </w:tcPr>
          <w:p w14:paraId="7A18E6F7" w14:textId="77777777" w:rsidR="00E93F58" w:rsidRPr="00576D60" w:rsidRDefault="00E93F58" w:rsidP="002F32E3">
            <w:pPr>
              <w:pStyle w:val="ENoteTableText"/>
            </w:pPr>
            <w:r w:rsidRPr="00576D60">
              <w:t>ad. 2003 No. 31</w:t>
            </w:r>
          </w:p>
        </w:tc>
      </w:tr>
      <w:tr w:rsidR="00E93F58" w:rsidRPr="00576D60" w14:paraId="3891341B" w14:textId="77777777" w:rsidTr="002F32E3">
        <w:trPr>
          <w:cantSplit/>
        </w:trPr>
        <w:tc>
          <w:tcPr>
            <w:tcW w:w="1500" w:type="pct"/>
            <w:shd w:val="clear" w:color="auto" w:fill="auto"/>
          </w:tcPr>
          <w:p w14:paraId="3FE0C9C0" w14:textId="77777777" w:rsidR="00E93F58" w:rsidRPr="00576D60" w:rsidRDefault="00E93F58" w:rsidP="002F32E3">
            <w:pPr>
              <w:pStyle w:val="ENoteTableText"/>
            </w:pPr>
          </w:p>
        </w:tc>
        <w:tc>
          <w:tcPr>
            <w:tcW w:w="3500" w:type="pct"/>
            <w:shd w:val="clear" w:color="auto" w:fill="auto"/>
          </w:tcPr>
          <w:p w14:paraId="2DA89CB9" w14:textId="77777777" w:rsidR="00E93F58" w:rsidRPr="00576D60" w:rsidRDefault="00E93F58" w:rsidP="002F32E3">
            <w:pPr>
              <w:pStyle w:val="ENoteTableText"/>
              <w:rPr>
                <w:u w:val="single"/>
              </w:rPr>
            </w:pPr>
            <w:r w:rsidRPr="00576D60">
              <w:t>am. 2010 No. 89; F2017L00710</w:t>
            </w:r>
          </w:p>
        </w:tc>
      </w:tr>
      <w:tr w:rsidR="00E93F58" w:rsidRPr="00576D60" w14:paraId="0FA3193C" w14:textId="77777777" w:rsidTr="002F32E3">
        <w:trPr>
          <w:cantSplit/>
        </w:trPr>
        <w:tc>
          <w:tcPr>
            <w:tcW w:w="1500" w:type="pct"/>
            <w:shd w:val="clear" w:color="auto" w:fill="auto"/>
          </w:tcPr>
          <w:p w14:paraId="3588D3EA" w14:textId="77777777" w:rsidR="00E93F58" w:rsidRPr="00576D60" w:rsidRDefault="00E93F58" w:rsidP="002F32E3">
            <w:pPr>
              <w:pStyle w:val="ENoteTableText"/>
              <w:tabs>
                <w:tab w:val="left" w:leader="dot" w:pos="2268"/>
              </w:tabs>
            </w:pPr>
            <w:r w:rsidRPr="00576D60">
              <w:t>r. 7.1.08A</w:t>
            </w:r>
            <w:r w:rsidRPr="00576D60">
              <w:tab/>
            </w:r>
          </w:p>
        </w:tc>
        <w:tc>
          <w:tcPr>
            <w:tcW w:w="3500" w:type="pct"/>
            <w:shd w:val="clear" w:color="auto" w:fill="auto"/>
          </w:tcPr>
          <w:p w14:paraId="5D368542" w14:textId="77777777" w:rsidR="00E93F58" w:rsidRPr="00576D60" w:rsidRDefault="00E93F58" w:rsidP="002F32E3">
            <w:pPr>
              <w:pStyle w:val="ENoteTableText"/>
            </w:pPr>
            <w:r w:rsidRPr="00576D60">
              <w:t>ad. 2012 No. 42</w:t>
            </w:r>
          </w:p>
        </w:tc>
      </w:tr>
      <w:tr w:rsidR="00E93F58" w:rsidRPr="00576D60" w14:paraId="54A259DE" w14:textId="77777777" w:rsidTr="002F32E3">
        <w:trPr>
          <w:cantSplit/>
        </w:trPr>
        <w:tc>
          <w:tcPr>
            <w:tcW w:w="1500" w:type="pct"/>
            <w:shd w:val="clear" w:color="auto" w:fill="auto"/>
          </w:tcPr>
          <w:p w14:paraId="7F0BC79E" w14:textId="77777777" w:rsidR="00E93F58" w:rsidRPr="00576D60" w:rsidRDefault="00E93F58" w:rsidP="002F32E3">
            <w:pPr>
              <w:pStyle w:val="ENoteTableText"/>
              <w:tabs>
                <w:tab w:val="left" w:leader="dot" w:pos="2268"/>
              </w:tabs>
            </w:pPr>
            <w:r w:rsidRPr="00576D60">
              <w:t>r 7.1.09</w:t>
            </w:r>
            <w:r w:rsidRPr="00576D60">
              <w:tab/>
            </w:r>
          </w:p>
        </w:tc>
        <w:tc>
          <w:tcPr>
            <w:tcW w:w="3500" w:type="pct"/>
            <w:shd w:val="clear" w:color="auto" w:fill="auto"/>
          </w:tcPr>
          <w:p w14:paraId="01F5FAC7" w14:textId="77777777" w:rsidR="00E93F58" w:rsidRPr="00576D60" w:rsidRDefault="00E93F58" w:rsidP="002F32E3">
            <w:pPr>
              <w:pStyle w:val="ENoteTableText"/>
            </w:pPr>
            <w:r w:rsidRPr="00576D60">
              <w:t>ad No 319, 2001</w:t>
            </w:r>
          </w:p>
        </w:tc>
      </w:tr>
      <w:tr w:rsidR="00E93F58" w:rsidRPr="00576D60" w14:paraId="4515186C" w14:textId="77777777" w:rsidTr="002F32E3">
        <w:trPr>
          <w:cantSplit/>
        </w:trPr>
        <w:tc>
          <w:tcPr>
            <w:tcW w:w="1500" w:type="pct"/>
            <w:shd w:val="clear" w:color="auto" w:fill="auto"/>
          </w:tcPr>
          <w:p w14:paraId="735E6E9E" w14:textId="77777777" w:rsidR="00E93F58" w:rsidRPr="00576D60" w:rsidRDefault="00E93F58" w:rsidP="002F32E3">
            <w:pPr>
              <w:pStyle w:val="ENoteTableText"/>
            </w:pPr>
          </w:p>
        </w:tc>
        <w:tc>
          <w:tcPr>
            <w:tcW w:w="3500" w:type="pct"/>
            <w:shd w:val="clear" w:color="auto" w:fill="auto"/>
          </w:tcPr>
          <w:p w14:paraId="08C6937F" w14:textId="77777777" w:rsidR="00E93F58" w:rsidRPr="00576D60" w:rsidRDefault="00E93F58" w:rsidP="002F32E3">
            <w:pPr>
              <w:pStyle w:val="ENoteTableText"/>
            </w:pPr>
            <w:r w:rsidRPr="00576D60">
              <w:t>am No 398, 2004; No 42, 2012; F2018L01144</w:t>
            </w:r>
            <w:r>
              <w:t>; F2023L01458</w:t>
            </w:r>
          </w:p>
        </w:tc>
      </w:tr>
      <w:tr w:rsidR="00E93F58" w:rsidRPr="00576D60" w14:paraId="557DF517" w14:textId="77777777" w:rsidTr="002F32E3">
        <w:trPr>
          <w:cantSplit/>
        </w:trPr>
        <w:tc>
          <w:tcPr>
            <w:tcW w:w="1500" w:type="pct"/>
            <w:shd w:val="clear" w:color="auto" w:fill="auto"/>
          </w:tcPr>
          <w:p w14:paraId="5556C44B" w14:textId="77777777" w:rsidR="00E93F58" w:rsidRPr="00576D60" w:rsidRDefault="00E93F58" w:rsidP="002F32E3">
            <w:pPr>
              <w:pStyle w:val="ENoteTableText"/>
              <w:tabs>
                <w:tab w:val="left" w:leader="dot" w:pos="2268"/>
              </w:tabs>
            </w:pPr>
            <w:r w:rsidRPr="00576D60">
              <w:t>r. 7.1.10</w:t>
            </w:r>
            <w:r w:rsidRPr="00576D60">
              <w:tab/>
            </w:r>
          </w:p>
        </w:tc>
        <w:tc>
          <w:tcPr>
            <w:tcW w:w="3500" w:type="pct"/>
            <w:shd w:val="clear" w:color="auto" w:fill="auto"/>
          </w:tcPr>
          <w:p w14:paraId="7CB56203" w14:textId="77777777" w:rsidR="00E93F58" w:rsidRPr="00576D60" w:rsidRDefault="00E93F58" w:rsidP="002F32E3">
            <w:pPr>
              <w:pStyle w:val="ENoteTableText"/>
            </w:pPr>
            <w:r w:rsidRPr="00576D60">
              <w:t>ad. 2001 No. 319</w:t>
            </w:r>
          </w:p>
        </w:tc>
      </w:tr>
      <w:tr w:rsidR="00E93F58" w:rsidRPr="00576D60" w14:paraId="4B8DE492" w14:textId="77777777" w:rsidTr="002F32E3">
        <w:trPr>
          <w:cantSplit/>
        </w:trPr>
        <w:tc>
          <w:tcPr>
            <w:tcW w:w="1500" w:type="pct"/>
            <w:shd w:val="clear" w:color="auto" w:fill="auto"/>
          </w:tcPr>
          <w:p w14:paraId="5C3051B0" w14:textId="77777777" w:rsidR="00E93F58" w:rsidRPr="00576D60" w:rsidRDefault="00E93F58" w:rsidP="002F32E3">
            <w:pPr>
              <w:pStyle w:val="ENoteTableText"/>
            </w:pPr>
          </w:p>
        </w:tc>
        <w:tc>
          <w:tcPr>
            <w:tcW w:w="3500" w:type="pct"/>
            <w:shd w:val="clear" w:color="auto" w:fill="auto"/>
          </w:tcPr>
          <w:p w14:paraId="44BAC114" w14:textId="77777777" w:rsidR="00E93F58" w:rsidRPr="00576D60" w:rsidRDefault="00E93F58" w:rsidP="002F32E3">
            <w:pPr>
              <w:pStyle w:val="ENoteTableText"/>
            </w:pPr>
            <w:r w:rsidRPr="00576D60">
              <w:t>am. 2002 No. 16; 2007 No. 323</w:t>
            </w:r>
          </w:p>
        </w:tc>
      </w:tr>
      <w:tr w:rsidR="00E93F58" w:rsidRPr="00576D60" w14:paraId="50B7D2AE" w14:textId="77777777" w:rsidTr="002F32E3">
        <w:trPr>
          <w:cantSplit/>
        </w:trPr>
        <w:tc>
          <w:tcPr>
            <w:tcW w:w="1500" w:type="pct"/>
            <w:shd w:val="clear" w:color="auto" w:fill="auto"/>
          </w:tcPr>
          <w:p w14:paraId="1D8699BF"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4FC4ECA8" w14:textId="77777777" w:rsidR="00E93F58" w:rsidRPr="00576D60" w:rsidRDefault="00E93F58" w:rsidP="002F32E3">
            <w:pPr>
              <w:pStyle w:val="ENoteTableText"/>
            </w:pPr>
          </w:p>
        </w:tc>
      </w:tr>
      <w:tr w:rsidR="00E93F58" w:rsidRPr="00576D60" w14:paraId="43B55CBD" w14:textId="77777777" w:rsidTr="002F32E3">
        <w:trPr>
          <w:cantSplit/>
        </w:trPr>
        <w:tc>
          <w:tcPr>
            <w:tcW w:w="1500" w:type="pct"/>
            <w:shd w:val="clear" w:color="auto" w:fill="auto"/>
          </w:tcPr>
          <w:p w14:paraId="371A3B66" w14:textId="77777777" w:rsidR="00E93F58" w:rsidRPr="00576D60" w:rsidRDefault="00E93F58" w:rsidP="002F32E3">
            <w:pPr>
              <w:pStyle w:val="ENoteTableText"/>
              <w:tabs>
                <w:tab w:val="left" w:leader="dot" w:pos="2268"/>
              </w:tabs>
            </w:pPr>
            <w:r w:rsidRPr="00576D60">
              <w:t>r. 7.1.11</w:t>
            </w:r>
            <w:r w:rsidRPr="00576D60">
              <w:tab/>
            </w:r>
          </w:p>
        </w:tc>
        <w:tc>
          <w:tcPr>
            <w:tcW w:w="3500" w:type="pct"/>
            <w:shd w:val="clear" w:color="auto" w:fill="auto"/>
          </w:tcPr>
          <w:p w14:paraId="046577E6" w14:textId="77777777" w:rsidR="00E93F58" w:rsidRPr="00576D60" w:rsidRDefault="00E93F58" w:rsidP="002F32E3">
            <w:pPr>
              <w:pStyle w:val="ENoteTableText"/>
            </w:pPr>
            <w:r w:rsidRPr="00576D60">
              <w:t>ad. 2001 No. 319</w:t>
            </w:r>
          </w:p>
        </w:tc>
      </w:tr>
      <w:tr w:rsidR="00E93F58" w:rsidRPr="00576D60" w14:paraId="400FA09D" w14:textId="77777777" w:rsidTr="002F32E3">
        <w:trPr>
          <w:cantSplit/>
        </w:trPr>
        <w:tc>
          <w:tcPr>
            <w:tcW w:w="1500" w:type="pct"/>
            <w:shd w:val="clear" w:color="auto" w:fill="auto"/>
          </w:tcPr>
          <w:p w14:paraId="1FB3A29E" w14:textId="77777777" w:rsidR="00E93F58" w:rsidRPr="00576D60" w:rsidRDefault="00E93F58" w:rsidP="002F32E3">
            <w:pPr>
              <w:pStyle w:val="ENoteTableText"/>
            </w:pPr>
          </w:p>
        </w:tc>
        <w:tc>
          <w:tcPr>
            <w:tcW w:w="3500" w:type="pct"/>
            <w:shd w:val="clear" w:color="auto" w:fill="auto"/>
          </w:tcPr>
          <w:p w14:paraId="497246B6" w14:textId="77777777" w:rsidR="00E93F58" w:rsidRPr="00576D60" w:rsidRDefault="00E93F58" w:rsidP="002F32E3">
            <w:pPr>
              <w:pStyle w:val="ENoteTableText"/>
            </w:pPr>
            <w:r w:rsidRPr="00576D60">
              <w:t>am. 2003 No. 31</w:t>
            </w:r>
          </w:p>
        </w:tc>
      </w:tr>
      <w:tr w:rsidR="00E93F58" w:rsidRPr="00576D60" w14:paraId="6F8B6BDF" w14:textId="77777777" w:rsidTr="002F32E3">
        <w:trPr>
          <w:cantSplit/>
        </w:trPr>
        <w:tc>
          <w:tcPr>
            <w:tcW w:w="1500" w:type="pct"/>
            <w:shd w:val="clear" w:color="auto" w:fill="auto"/>
          </w:tcPr>
          <w:p w14:paraId="3291817A" w14:textId="77777777" w:rsidR="00E93F58" w:rsidRPr="00576D60" w:rsidRDefault="00E93F58" w:rsidP="002F32E3">
            <w:pPr>
              <w:pStyle w:val="ENoteTableText"/>
              <w:tabs>
                <w:tab w:val="left" w:leader="dot" w:pos="2268"/>
              </w:tabs>
            </w:pPr>
            <w:r w:rsidRPr="00576D60">
              <w:t>r. 7.1.12</w:t>
            </w:r>
            <w:r w:rsidRPr="00576D60">
              <w:tab/>
            </w:r>
          </w:p>
        </w:tc>
        <w:tc>
          <w:tcPr>
            <w:tcW w:w="3500" w:type="pct"/>
            <w:shd w:val="clear" w:color="auto" w:fill="auto"/>
          </w:tcPr>
          <w:p w14:paraId="1320E204" w14:textId="77777777" w:rsidR="00E93F58" w:rsidRPr="00576D60" w:rsidRDefault="00E93F58" w:rsidP="002F32E3">
            <w:pPr>
              <w:pStyle w:val="ENoteTableText"/>
            </w:pPr>
            <w:r w:rsidRPr="00576D60">
              <w:t>ad. 2001 No. 319</w:t>
            </w:r>
          </w:p>
        </w:tc>
      </w:tr>
      <w:tr w:rsidR="00E93F58" w:rsidRPr="00576D60" w14:paraId="4426DBA2" w14:textId="77777777" w:rsidTr="002F32E3">
        <w:trPr>
          <w:cantSplit/>
        </w:trPr>
        <w:tc>
          <w:tcPr>
            <w:tcW w:w="1500" w:type="pct"/>
            <w:shd w:val="clear" w:color="auto" w:fill="auto"/>
          </w:tcPr>
          <w:p w14:paraId="52B64199" w14:textId="77777777" w:rsidR="00E93F58" w:rsidRPr="00576D60" w:rsidRDefault="00E93F58" w:rsidP="002F32E3">
            <w:pPr>
              <w:pStyle w:val="ENoteTableText"/>
            </w:pPr>
          </w:p>
        </w:tc>
        <w:tc>
          <w:tcPr>
            <w:tcW w:w="3500" w:type="pct"/>
            <w:shd w:val="clear" w:color="auto" w:fill="auto"/>
          </w:tcPr>
          <w:p w14:paraId="34FF6087" w14:textId="77777777" w:rsidR="00E93F58" w:rsidRPr="00576D60" w:rsidRDefault="00E93F58" w:rsidP="002F32E3">
            <w:pPr>
              <w:pStyle w:val="ENoteTableText"/>
            </w:pPr>
            <w:r w:rsidRPr="00576D60">
              <w:t>am. 2003 No. 31</w:t>
            </w:r>
          </w:p>
        </w:tc>
      </w:tr>
      <w:tr w:rsidR="00E93F58" w:rsidRPr="00576D60" w14:paraId="3110FFAF" w14:textId="77777777" w:rsidTr="002F32E3">
        <w:trPr>
          <w:cantSplit/>
        </w:trPr>
        <w:tc>
          <w:tcPr>
            <w:tcW w:w="1500" w:type="pct"/>
            <w:shd w:val="clear" w:color="auto" w:fill="auto"/>
          </w:tcPr>
          <w:p w14:paraId="21C49F5C" w14:textId="77777777" w:rsidR="00E93F58" w:rsidRPr="00576D60" w:rsidRDefault="00E93F58" w:rsidP="002F32E3">
            <w:pPr>
              <w:pStyle w:val="ENoteTableText"/>
              <w:tabs>
                <w:tab w:val="left" w:leader="dot" w:pos="2268"/>
              </w:tabs>
            </w:pPr>
            <w:r w:rsidRPr="00576D60">
              <w:t>r. 7.1.13</w:t>
            </w:r>
            <w:r w:rsidRPr="00576D60">
              <w:tab/>
            </w:r>
          </w:p>
        </w:tc>
        <w:tc>
          <w:tcPr>
            <w:tcW w:w="3500" w:type="pct"/>
            <w:shd w:val="clear" w:color="auto" w:fill="auto"/>
          </w:tcPr>
          <w:p w14:paraId="0F22472B" w14:textId="77777777" w:rsidR="00E93F58" w:rsidRPr="00576D60" w:rsidRDefault="00E93F58" w:rsidP="002F32E3">
            <w:pPr>
              <w:pStyle w:val="ENoteTableText"/>
            </w:pPr>
            <w:r w:rsidRPr="00576D60">
              <w:t>ad. 2001 No. 319</w:t>
            </w:r>
          </w:p>
        </w:tc>
      </w:tr>
      <w:tr w:rsidR="00E93F58" w:rsidRPr="00576D60" w14:paraId="45B19E57" w14:textId="77777777" w:rsidTr="002F32E3">
        <w:trPr>
          <w:cantSplit/>
        </w:trPr>
        <w:tc>
          <w:tcPr>
            <w:tcW w:w="1500" w:type="pct"/>
            <w:shd w:val="clear" w:color="auto" w:fill="auto"/>
          </w:tcPr>
          <w:p w14:paraId="742DA5DA" w14:textId="77777777" w:rsidR="00E93F58" w:rsidRPr="00576D60" w:rsidRDefault="00E93F58" w:rsidP="002F32E3">
            <w:pPr>
              <w:pStyle w:val="ENoteTableText"/>
            </w:pPr>
          </w:p>
        </w:tc>
        <w:tc>
          <w:tcPr>
            <w:tcW w:w="3500" w:type="pct"/>
            <w:shd w:val="clear" w:color="auto" w:fill="auto"/>
          </w:tcPr>
          <w:p w14:paraId="16408EC3" w14:textId="77777777" w:rsidR="00E93F58" w:rsidRPr="00576D60" w:rsidRDefault="00E93F58" w:rsidP="002F32E3">
            <w:pPr>
              <w:pStyle w:val="ENoteTableText"/>
            </w:pPr>
            <w:r w:rsidRPr="00576D60">
              <w:t>am. 2003 No. 31</w:t>
            </w:r>
          </w:p>
        </w:tc>
      </w:tr>
      <w:tr w:rsidR="00E93F58" w:rsidRPr="00576D60" w14:paraId="66B43B04" w14:textId="77777777" w:rsidTr="002F32E3">
        <w:trPr>
          <w:cantSplit/>
        </w:trPr>
        <w:tc>
          <w:tcPr>
            <w:tcW w:w="1500" w:type="pct"/>
            <w:shd w:val="clear" w:color="auto" w:fill="auto"/>
          </w:tcPr>
          <w:p w14:paraId="4A143EBB" w14:textId="77777777" w:rsidR="00E93F58" w:rsidRPr="00576D60" w:rsidRDefault="00E93F58" w:rsidP="002F32E3">
            <w:pPr>
              <w:pStyle w:val="ENoteTableText"/>
              <w:tabs>
                <w:tab w:val="left" w:leader="dot" w:pos="2268"/>
              </w:tabs>
            </w:pPr>
            <w:r w:rsidRPr="00576D60">
              <w:t>r. 7.1.14</w:t>
            </w:r>
            <w:r w:rsidRPr="00576D60">
              <w:tab/>
            </w:r>
          </w:p>
        </w:tc>
        <w:tc>
          <w:tcPr>
            <w:tcW w:w="3500" w:type="pct"/>
            <w:shd w:val="clear" w:color="auto" w:fill="auto"/>
          </w:tcPr>
          <w:p w14:paraId="05B75E95" w14:textId="77777777" w:rsidR="00E93F58" w:rsidRPr="00576D60" w:rsidRDefault="00E93F58" w:rsidP="002F32E3">
            <w:pPr>
              <w:pStyle w:val="ENoteTableText"/>
            </w:pPr>
            <w:r w:rsidRPr="00576D60">
              <w:t>ad. 2001 No. 319</w:t>
            </w:r>
          </w:p>
        </w:tc>
      </w:tr>
      <w:tr w:rsidR="00E93F58" w:rsidRPr="00576D60" w14:paraId="44704BEC" w14:textId="77777777" w:rsidTr="002F32E3">
        <w:trPr>
          <w:cantSplit/>
        </w:trPr>
        <w:tc>
          <w:tcPr>
            <w:tcW w:w="1500" w:type="pct"/>
            <w:shd w:val="clear" w:color="auto" w:fill="auto"/>
          </w:tcPr>
          <w:p w14:paraId="2B48EDD5" w14:textId="77777777" w:rsidR="00E93F58" w:rsidRPr="00576D60" w:rsidRDefault="00E93F58" w:rsidP="002F32E3">
            <w:pPr>
              <w:pStyle w:val="ENoteTableText"/>
            </w:pPr>
          </w:p>
        </w:tc>
        <w:tc>
          <w:tcPr>
            <w:tcW w:w="3500" w:type="pct"/>
            <w:shd w:val="clear" w:color="auto" w:fill="auto"/>
          </w:tcPr>
          <w:p w14:paraId="27D8D501" w14:textId="77777777" w:rsidR="00E93F58" w:rsidRPr="00576D60" w:rsidRDefault="00E93F58" w:rsidP="002F32E3">
            <w:pPr>
              <w:pStyle w:val="ENoteTableText"/>
            </w:pPr>
            <w:r w:rsidRPr="00576D60">
              <w:t>am. 2002 No. 16; 2003 No. 31</w:t>
            </w:r>
          </w:p>
        </w:tc>
      </w:tr>
      <w:tr w:rsidR="00E93F58" w:rsidRPr="00576D60" w14:paraId="5D82C807" w14:textId="77777777" w:rsidTr="002F32E3">
        <w:trPr>
          <w:cantSplit/>
        </w:trPr>
        <w:tc>
          <w:tcPr>
            <w:tcW w:w="1500" w:type="pct"/>
            <w:shd w:val="clear" w:color="auto" w:fill="auto"/>
          </w:tcPr>
          <w:p w14:paraId="231D7E4B" w14:textId="77777777" w:rsidR="00E93F58" w:rsidRPr="00576D60" w:rsidRDefault="00E93F58" w:rsidP="002F32E3">
            <w:pPr>
              <w:pStyle w:val="ENoteTableText"/>
              <w:tabs>
                <w:tab w:val="left" w:leader="dot" w:pos="2268"/>
              </w:tabs>
            </w:pPr>
            <w:r w:rsidRPr="00576D60">
              <w:t>r. 7.1.15</w:t>
            </w:r>
            <w:r w:rsidRPr="00576D60">
              <w:tab/>
            </w:r>
          </w:p>
        </w:tc>
        <w:tc>
          <w:tcPr>
            <w:tcW w:w="3500" w:type="pct"/>
            <w:shd w:val="clear" w:color="auto" w:fill="auto"/>
          </w:tcPr>
          <w:p w14:paraId="3D82C9C1" w14:textId="77777777" w:rsidR="00E93F58" w:rsidRPr="00576D60" w:rsidRDefault="00E93F58" w:rsidP="002F32E3">
            <w:pPr>
              <w:pStyle w:val="ENoteTableText"/>
            </w:pPr>
            <w:r w:rsidRPr="00576D60">
              <w:t>ad. 2001 No. 319</w:t>
            </w:r>
          </w:p>
        </w:tc>
      </w:tr>
      <w:tr w:rsidR="00E93F58" w:rsidRPr="00576D60" w14:paraId="0EC59A9C" w14:textId="77777777" w:rsidTr="002F32E3">
        <w:trPr>
          <w:cantSplit/>
        </w:trPr>
        <w:tc>
          <w:tcPr>
            <w:tcW w:w="1500" w:type="pct"/>
            <w:shd w:val="clear" w:color="auto" w:fill="auto"/>
          </w:tcPr>
          <w:p w14:paraId="7D40A95A" w14:textId="77777777" w:rsidR="00E93F58" w:rsidRPr="00576D60" w:rsidRDefault="00E93F58" w:rsidP="002F32E3">
            <w:pPr>
              <w:pStyle w:val="ENoteTableText"/>
            </w:pPr>
          </w:p>
        </w:tc>
        <w:tc>
          <w:tcPr>
            <w:tcW w:w="3500" w:type="pct"/>
            <w:shd w:val="clear" w:color="auto" w:fill="auto"/>
          </w:tcPr>
          <w:p w14:paraId="34ADE8B8" w14:textId="77777777" w:rsidR="00E93F58" w:rsidRPr="00576D60" w:rsidRDefault="00E93F58" w:rsidP="002F32E3">
            <w:pPr>
              <w:pStyle w:val="ENoteTableText"/>
            </w:pPr>
            <w:r w:rsidRPr="00576D60">
              <w:t>am. 2003 No. 31</w:t>
            </w:r>
          </w:p>
        </w:tc>
      </w:tr>
      <w:tr w:rsidR="00E93F58" w:rsidRPr="00576D60" w14:paraId="39B27475" w14:textId="77777777" w:rsidTr="002F32E3">
        <w:trPr>
          <w:cantSplit/>
        </w:trPr>
        <w:tc>
          <w:tcPr>
            <w:tcW w:w="1500" w:type="pct"/>
            <w:shd w:val="clear" w:color="auto" w:fill="auto"/>
          </w:tcPr>
          <w:p w14:paraId="4DC91C40" w14:textId="77777777" w:rsidR="00E93F58" w:rsidRPr="00576D60" w:rsidRDefault="00E93F58" w:rsidP="002F32E3">
            <w:pPr>
              <w:pStyle w:val="ENoteTableText"/>
              <w:tabs>
                <w:tab w:val="left" w:leader="dot" w:pos="2268"/>
              </w:tabs>
            </w:pPr>
            <w:r w:rsidRPr="00576D60">
              <w:t>r. 7.1.16</w:t>
            </w:r>
            <w:r w:rsidRPr="00576D60">
              <w:tab/>
            </w:r>
          </w:p>
        </w:tc>
        <w:tc>
          <w:tcPr>
            <w:tcW w:w="3500" w:type="pct"/>
            <w:shd w:val="clear" w:color="auto" w:fill="auto"/>
          </w:tcPr>
          <w:p w14:paraId="374DAB54" w14:textId="77777777" w:rsidR="00E93F58" w:rsidRPr="00576D60" w:rsidRDefault="00E93F58" w:rsidP="002F32E3">
            <w:pPr>
              <w:pStyle w:val="ENoteTableText"/>
            </w:pPr>
            <w:r w:rsidRPr="00576D60">
              <w:t>ad. 2001 No. 319</w:t>
            </w:r>
          </w:p>
        </w:tc>
      </w:tr>
      <w:tr w:rsidR="00E93F58" w:rsidRPr="00576D60" w14:paraId="42A5A796" w14:textId="77777777" w:rsidTr="002F32E3">
        <w:trPr>
          <w:cantSplit/>
        </w:trPr>
        <w:tc>
          <w:tcPr>
            <w:tcW w:w="1500" w:type="pct"/>
            <w:shd w:val="clear" w:color="auto" w:fill="auto"/>
          </w:tcPr>
          <w:p w14:paraId="0E2A7629" w14:textId="77777777" w:rsidR="00E93F58" w:rsidRPr="00576D60" w:rsidRDefault="00E93F58" w:rsidP="002F32E3">
            <w:pPr>
              <w:pStyle w:val="ENoteTableText"/>
              <w:tabs>
                <w:tab w:val="left" w:leader="dot" w:pos="2268"/>
              </w:tabs>
            </w:pPr>
          </w:p>
        </w:tc>
        <w:tc>
          <w:tcPr>
            <w:tcW w:w="3500" w:type="pct"/>
            <w:shd w:val="clear" w:color="auto" w:fill="auto"/>
          </w:tcPr>
          <w:p w14:paraId="0E03CB94" w14:textId="77777777" w:rsidR="00E93F58" w:rsidRPr="00576D60" w:rsidRDefault="00E93F58" w:rsidP="002F32E3">
            <w:pPr>
              <w:pStyle w:val="ENoteTableText"/>
            </w:pPr>
            <w:r w:rsidRPr="00576D60">
              <w:t>am. 2003 No. 31</w:t>
            </w:r>
          </w:p>
        </w:tc>
      </w:tr>
      <w:tr w:rsidR="00E93F58" w:rsidRPr="00576D60" w14:paraId="46EA80AF" w14:textId="77777777" w:rsidTr="002F32E3">
        <w:trPr>
          <w:cantSplit/>
        </w:trPr>
        <w:tc>
          <w:tcPr>
            <w:tcW w:w="1500" w:type="pct"/>
            <w:shd w:val="clear" w:color="auto" w:fill="auto"/>
          </w:tcPr>
          <w:p w14:paraId="681AEF85" w14:textId="77777777" w:rsidR="00E93F58" w:rsidRPr="00576D60" w:rsidRDefault="00E93F58" w:rsidP="002F32E3">
            <w:pPr>
              <w:pStyle w:val="ENoteTableText"/>
              <w:tabs>
                <w:tab w:val="left" w:leader="dot" w:pos="2268"/>
              </w:tabs>
            </w:pPr>
            <w:r w:rsidRPr="00576D60">
              <w:t>r 7.1.17</w:t>
            </w:r>
            <w:r w:rsidRPr="00576D60">
              <w:tab/>
            </w:r>
          </w:p>
        </w:tc>
        <w:tc>
          <w:tcPr>
            <w:tcW w:w="3500" w:type="pct"/>
            <w:shd w:val="clear" w:color="auto" w:fill="auto"/>
          </w:tcPr>
          <w:p w14:paraId="6C63ACD6" w14:textId="77777777" w:rsidR="00E93F58" w:rsidRPr="00576D60" w:rsidRDefault="00E93F58" w:rsidP="002F32E3">
            <w:pPr>
              <w:pStyle w:val="ENoteTableText"/>
            </w:pPr>
            <w:r w:rsidRPr="00576D60">
              <w:t>ad No 319, 2001</w:t>
            </w:r>
          </w:p>
        </w:tc>
      </w:tr>
      <w:tr w:rsidR="00E93F58" w:rsidRPr="00576D60" w14:paraId="62E67137" w14:textId="77777777" w:rsidTr="002F32E3">
        <w:trPr>
          <w:cantSplit/>
        </w:trPr>
        <w:tc>
          <w:tcPr>
            <w:tcW w:w="1500" w:type="pct"/>
            <w:shd w:val="clear" w:color="auto" w:fill="auto"/>
          </w:tcPr>
          <w:p w14:paraId="2D5785A1" w14:textId="77777777" w:rsidR="00E93F58" w:rsidRPr="00576D60" w:rsidRDefault="00E93F58" w:rsidP="002F32E3">
            <w:pPr>
              <w:pStyle w:val="ENoteTableText"/>
            </w:pPr>
          </w:p>
        </w:tc>
        <w:tc>
          <w:tcPr>
            <w:tcW w:w="3500" w:type="pct"/>
            <w:shd w:val="clear" w:color="auto" w:fill="auto"/>
          </w:tcPr>
          <w:p w14:paraId="11AE32FB" w14:textId="77777777" w:rsidR="00E93F58" w:rsidRPr="00576D60" w:rsidRDefault="00E93F58" w:rsidP="002F32E3">
            <w:pPr>
              <w:pStyle w:val="ENoteTableText"/>
            </w:pPr>
            <w:r w:rsidRPr="00576D60">
              <w:t>am No 16, 2002; No 31, 2003; F2019L01641</w:t>
            </w:r>
          </w:p>
        </w:tc>
      </w:tr>
      <w:tr w:rsidR="00E93F58" w:rsidRPr="00576D60" w14:paraId="3A3D2F5A" w14:textId="77777777" w:rsidTr="002F32E3">
        <w:trPr>
          <w:cantSplit/>
        </w:trPr>
        <w:tc>
          <w:tcPr>
            <w:tcW w:w="1500" w:type="pct"/>
            <w:shd w:val="clear" w:color="auto" w:fill="auto"/>
          </w:tcPr>
          <w:p w14:paraId="3D92475D" w14:textId="77777777" w:rsidR="00E93F58" w:rsidRPr="00576D60" w:rsidRDefault="00E93F58" w:rsidP="002F32E3">
            <w:pPr>
              <w:pStyle w:val="ENoteTableText"/>
              <w:tabs>
                <w:tab w:val="left" w:leader="dot" w:pos="2268"/>
              </w:tabs>
            </w:pPr>
            <w:r w:rsidRPr="00576D60">
              <w:t>r. 7.1.17A</w:t>
            </w:r>
            <w:r w:rsidRPr="00576D60">
              <w:tab/>
            </w:r>
          </w:p>
        </w:tc>
        <w:tc>
          <w:tcPr>
            <w:tcW w:w="3500" w:type="pct"/>
            <w:shd w:val="clear" w:color="auto" w:fill="auto"/>
          </w:tcPr>
          <w:p w14:paraId="2FC88258" w14:textId="77777777" w:rsidR="00E93F58" w:rsidRPr="00576D60" w:rsidRDefault="00E93F58" w:rsidP="002F32E3">
            <w:pPr>
              <w:pStyle w:val="ENoteTableText"/>
            </w:pPr>
            <w:r w:rsidRPr="00576D60">
              <w:t>ad. 2003 No. 127</w:t>
            </w:r>
          </w:p>
        </w:tc>
      </w:tr>
      <w:tr w:rsidR="00E93F58" w:rsidRPr="00576D60" w14:paraId="6994BF49" w14:textId="77777777" w:rsidTr="002F32E3">
        <w:trPr>
          <w:cantSplit/>
        </w:trPr>
        <w:tc>
          <w:tcPr>
            <w:tcW w:w="1500" w:type="pct"/>
            <w:shd w:val="clear" w:color="auto" w:fill="auto"/>
          </w:tcPr>
          <w:p w14:paraId="584E712D" w14:textId="77777777" w:rsidR="00E93F58" w:rsidRPr="00576D60" w:rsidRDefault="00E93F58" w:rsidP="002F32E3">
            <w:pPr>
              <w:pStyle w:val="ENoteTableText"/>
              <w:tabs>
                <w:tab w:val="left" w:leader="dot" w:pos="2268"/>
              </w:tabs>
            </w:pPr>
            <w:r w:rsidRPr="00576D60">
              <w:t>r. 7.1.17B</w:t>
            </w:r>
            <w:r w:rsidRPr="00576D60">
              <w:tab/>
            </w:r>
          </w:p>
        </w:tc>
        <w:tc>
          <w:tcPr>
            <w:tcW w:w="3500" w:type="pct"/>
            <w:shd w:val="clear" w:color="auto" w:fill="auto"/>
          </w:tcPr>
          <w:p w14:paraId="5458B140" w14:textId="77777777" w:rsidR="00E93F58" w:rsidRPr="00576D60" w:rsidRDefault="00E93F58" w:rsidP="002F32E3">
            <w:pPr>
              <w:pStyle w:val="ENoteTableText"/>
            </w:pPr>
            <w:r w:rsidRPr="00576D60">
              <w:t>ad. 2003 No. 368</w:t>
            </w:r>
          </w:p>
        </w:tc>
      </w:tr>
      <w:tr w:rsidR="00E93F58" w:rsidRPr="00576D60" w14:paraId="1050ED4C" w14:textId="77777777" w:rsidTr="002F32E3">
        <w:trPr>
          <w:cantSplit/>
        </w:trPr>
        <w:tc>
          <w:tcPr>
            <w:tcW w:w="1500" w:type="pct"/>
            <w:shd w:val="clear" w:color="auto" w:fill="auto"/>
          </w:tcPr>
          <w:p w14:paraId="0A7B47F6" w14:textId="77777777" w:rsidR="00E93F58" w:rsidRPr="00576D60" w:rsidRDefault="00E93F58" w:rsidP="002F32E3">
            <w:pPr>
              <w:pStyle w:val="ENoteTableText"/>
              <w:tabs>
                <w:tab w:val="left" w:leader="dot" w:pos="2268"/>
              </w:tabs>
            </w:pPr>
            <w:r w:rsidRPr="00576D60">
              <w:t>r. 7.1.17C</w:t>
            </w:r>
            <w:r w:rsidRPr="00576D60">
              <w:tab/>
            </w:r>
          </w:p>
        </w:tc>
        <w:tc>
          <w:tcPr>
            <w:tcW w:w="3500" w:type="pct"/>
            <w:shd w:val="clear" w:color="auto" w:fill="auto"/>
          </w:tcPr>
          <w:p w14:paraId="3684662F" w14:textId="77777777" w:rsidR="00E93F58" w:rsidRPr="00576D60" w:rsidRDefault="00E93F58" w:rsidP="002F32E3">
            <w:pPr>
              <w:pStyle w:val="ENoteTableText"/>
            </w:pPr>
            <w:r w:rsidRPr="00576D60">
              <w:t>ad. 2010 No. 88</w:t>
            </w:r>
          </w:p>
        </w:tc>
      </w:tr>
      <w:tr w:rsidR="00E93F58" w:rsidRPr="00576D60" w14:paraId="1D0B4AF7" w14:textId="77777777" w:rsidTr="002F32E3">
        <w:trPr>
          <w:cantSplit/>
        </w:trPr>
        <w:tc>
          <w:tcPr>
            <w:tcW w:w="1500" w:type="pct"/>
            <w:shd w:val="clear" w:color="auto" w:fill="auto"/>
          </w:tcPr>
          <w:p w14:paraId="0BAC3662" w14:textId="77777777" w:rsidR="00E93F58" w:rsidRPr="00576D60" w:rsidRDefault="00E93F58" w:rsidP="002F32E3">
            <w:pPr>
              <w:pStyle w:val="ENoteTableText"/>
              <w:tabs>
                <w:tab w:val="left" w:leader="dot" w:pos="2268"/>
              </w:tabs>
            </w:pPr>
            <w:r w:rsidRPr="00576D60">
              <w:t>r 7.1.18</w:t>
            </w:r>
            <w:r w:rsidRPr="00576D60">
              <w:tab/>
            </w:r>
          </w:p>
        </w:tc>
        <w:tc>
          <w:tcPr>
            <w:tcW w:w="3500" w:type="pct"/>
            <w:shd w:val="clear" w:color="auto" w:fill="auto"/>
          </w:tcPr>
          <w:p w14:paraId="68AF02CC" w14:textId="77777777" w:rsidR="00E93F58" w:rsidRPr="00576D60" w:rsidRDefault="00E93F58" w:rsidP="002F32E3">
            <w:pPr>
              <w:pStyle w:val="ENoteTableText"/>
            </w:pPr>
            <w:r>
              <w:t>ad No 319, 2001</w:t>
            </w:r>
          </w:p>
        </w:tc>
      </w:tr>
      <w:tr w:rsidR="00E93F58" w:rsidRPr="00576D60" w14:paraId="25969584" w14:textId="77777777" w:rsidTr="002F32E3">
        <w:trPr>
          <w:cantSplit/>
        </w:trPr>
        <w:tc>
          <w:tcPr>
            <w:tcW w:w="1500" w:type="pct"/>
            <w:shd w:val="clear" w:color="auto" w:fill="auto"/>
          </w:tcPr>
          <w:p w14:paraId="5547AD10" w14:textId="77777777" w:rsidR="00E93F58" w:rsidRPr="00576D60" w:rsidRDefault="00E93F58" w:rsidP="002F32E3">
            <w:pPr>
              <w:pStyle w:val="ENoteTableText"/>
              <w:tabs>
                <w:tab w:val="left" w:leader="dot" w:pos="2268"/>
              </w:tabs>
            </w:pPr>
          </w:p>
        </w:tc>
        <w:tc>
          <w:tcPr>
            <w:tcW w:w="3500" w:type="pct"/>
            <w:shd w:val="clear" w:color="auto" w:fill="auto"/>
          </w:tcPr>
          <w:p w14:paraId="39C715A8" w14:textId="77777777" w:rsidR="00E93F58" w:rsidRPr="00576D60" w:rsidRDefault="00E93F58" w:rsidP="002F32E3">
            <w:pPr>
              <w:pStyle w:val="ENoteTableText"/>
            </w:pPr>
            <w:r>
              <w:t>am F2023L01458</w:t>
            </w:r>
          </w:p>
        </w:tc>
      </w:tr>
      <w:tr w:rsidR="00E93F58" w:rsidRPr="00576D60" w14:paraId="6E08F946" w14:textId="77777777" w:rsidTr="002F32E3">
        <w:trPr>
          <w:cantSplit/>
        </w:trPr>
        <w:tc>
          <w:tcPr>
            <w:tcW w:w="1500" w:type="pct"/>
            <w:shd w:val="clear" w:color="auto" w:fill="auto"/>
          </w:tcPr>
          <w:p w14:paraId="1CF2A75F" w14:textId="77777777" w:rsidR="00E93F58" w:rsidRPr="00576D60" w:rsidRDefault="00E93F58" w:rsidP="002F32E3">
            <w:pPr>
              <w:pStyle w:val="ENoteTableText"/>
              <w:tabs>
                <w:tab w:val="left" w:leader="dot" w:pos="2268"/>
              </w:tabs>
            </w:pPr>
            <w:r w:rsidRPr="00576D60">
              <w:t>r 7.1.19</w:t>
            </w:r>
            <w:r w:rsidRPr="00576D60">
              <w:tab/>
            </w:r>
          </w:p>
        </w:tc>
        <w:tc>
          <w:tcPr>
            <w:tcW w:w="3500" w:type="pct"/>
            <w:shd w:val="clear" w:color="auto" w:fill="auto"/>
          </w:tcPr>
          <w:p w14:paraId="240BA6C1" w14:textId="77777777" w:rsidR="00E93F58" w:rsidRPr="00576D60" w:rsidRDefault="00E93F58" w:rsidP="002F32E3">
            <w:pPr>
              <w:pStyle w:val="ENoteTableText"/>
            </w:pPr>
            <w:r>
              <w:t>ad No 319, 2001</w:t>
            </w:r>
          </w:p>
        </w:tc>
      </w:tr>
      <w:tr w:rsidR="00E93F58" w:rsidRPr="00576D60" w14:paraId="5FF376EC" w14:textId="77777777" w:rsidTr="002F32E3">
        <w:trPr>
          <w:cantSplit/>
        </w:trPr>
        <w:tc>
          <w:tcPr>
            <w:tcW w:w="1500" w:type="pct"/>
            <w:shd w:val="clear" w:color="auto" w:fill="auto"/>
          </w:tcPr>
          <w:p w14:paraId="694FF75A" w14:textId="77777777" w:rsidR="00E93F58" w:rsidRPr="00576D60" w:rsidRDefault="00E93F58" w:rsidP="002F32E3">
            <w:pPr>
              <w:pStyle w:val="ENoteTableText"/>
              <w:tabs>
                <w:tab w:val="left" w:leader="dot" w:pos="2268"/>
              </w:tabs>
            </w:pPr>
          </w:p>
        </w:tc>
        <w:tc>
          <w:tcPr>
            <w:tcW w:w="3500" w:type="pct"/>
            <w:shd w:val="clear" w:color="auto" w:fill="auto"/>
          </w:tcPr>
          <w:p w14:paraId="3BD11A87" w14:textId="77777777" w:rsidR="00E93F58" w:rsidRPr="00576D60" w:rsidRDefault="00E93F58" w:rsidP="002F32E3">
            <w:pPr>
              <w:pStyle w:val="ENoteTableText"/>
            </w:pPr>
            <w:r>
              <w:t>am F2023L01458</w:t>
            </w:r>
          </w:p>
        </w:tc>
      </w:tr>
      <w:tr w:rsidR="00E93F58" w:rsidRPr="00576D60" w14:paraId="7D16B2D2" w14:textId="77777777" w:rsidTr="002F32E3">
        <w:trPr>
          <w:cantSplit/>
        </w:trPr>
        <w:tc>
          <w:tcPr>
            <w:tcW w:w="1500" w:type="pct"/>
            <w:shd w:val="clear" w:color="auto" w:fill="auto"/>
          </w:tcPr>
          <w:p w14:paraId="1A261953" w14:textId="77777777" w:rsidR="00E93F58" w:rsidRPr="00576D60" w:rsidRDefault="00E93F58" w:rsidP="002F32E3">
            <w:pPr>
              <w:pStyle w:val="ENoteTableText"/>
              <w:tabs>
                <w:tab w:val="left" w:leader="dot" w:pos="2268"/>
              </w:tabs>
            </w:pPr>
            <w:r w:rsidRPr="00576D60">
              <w:t>r 7.1.19A</w:t>
            </w:r>
            <w:r w:rsidRPr="00576D60">
              <w:tab/>
            </w:r>
          </w:p>
        </w:tc>
        <w:tc>
          <w:tcPr>
            <w:tcW w:w="3500" w:type="pct"/>
            <w:shd w:val="clear" w:color="auto" w:fill="auto"/>
          </w:tcPr>
          <w:p w14:paraId="42A6339C" w14:textId="77777777" w:rsidR="00E93F58" w:rsidRPr="00576D60" w:rsidRDefault="00E93F58" w:rsidP="002F32E3">
            <w:pPr>
              <w:pStyle w:val="ENoteTableText"/>
            </w:pPr>
            <w:r w:rsidRPr="00576D60">
              <w:t>ad</w:t>
            </w:r>
            <w:r>
              <w:t xml:space="preserve"> No 89, 2010</w:t>
            </w:r>
          </w:p>
        </w:tc>
      </w:tr>
      <w:tr w:rsidR="00E93F58" w:rsidRPr="00576D60" w14:paraId="2B5EB33C" w14:textId="77777777" w:rsidTr="002F32E3">
        <w:trPr>
          <w:cantSplit/>
        </w:trPr>
        <w:tc>
          <w:tcPr>
            <w:tcW w:w="1500" w:type="pct"/>
            <w:shd w:val="clear" w:color="auto" w:fill="auto"/>
          </w:tcPr>
          <w:p w14:paraId="6AD7299B" w14:textId="77777777" w:rsidR="00E93F58" w:rsidRPr="00576D60" w:rsidRDefault="00E93F58" w:rsidP="002F32E3">
            <w:pPr>
              <w:pStyle w:val="ENoteTableText"/>
              <w:tabs>
                <w:tab w:val="left" w:leader="dot" w:pos="2268"/>
              </w:tabs>
            </w:pPr>
          </w:p>
        </w:tc>
        <w:tc>
          <w:tcPr>
            <w:tcW w:w="3500" w:type="pct"/>
            <w:shd w:val="clear" w:color="auto" w:fill="auto"/>
          </w:tcPr>
          <w:p w14:paraId="5B64214F" w14:textId="77777777" w:rsidR="00E93F58" w:rsidRPr="00576D60" w:rsidRDefault="00E93F58" w:rsidP="002F32E3">
            <w:pPr>
              <w:pStyle w:val="ENoteTableText"/>
            </w:pPr>
            <w:r>
              <w:t>am F2023L01458</w:t>
            </w:r>
          </w:p>
        </w:tc>
      </w:tr>
      <w:tr w:rsidR="00E93F58" w:rsidRPr="00576D60" w14:paraId="22003EC8" w14:textId="77777777" w:rsidTr="002F32E3">
        <w:trPr>
          <w:cantSplit/>
        </w:trPr>
        <w:tc>
          <w:tcPr>
            <w:tcW w:w="1500" w:type="pct"/>
            <w:shd w:val="clear" w:color="auto" w:fill="auto"/>
          </w:tcPr>
          <w:p w14:paraId="6B0ECEF9" w14:textId="77777777" w:rsidR="00E93F58" w:rsidRPr="00576D60" w:rsidRDefault="00E93F58" w:rsidP="002F32E3">
            <w:pPr>
              <w:pStyle w:val="ENoteTableText"/>
              <w:tabs>
                <w:tab w:val="left" w:leader="dot" w:pos="2268"/>
              </w:tabs>
            </w:pPr>
            <w:r w:rsidRPr="00576D60">
              <w:t>r 7.1.20</w:t>
            </w:r>
            <w:r w:rsidRPr="00576D60">
              <w:tab/>
            </w:r>
          </w:p>
        </w:tc>
        <w:tc>
          <w:tcPr>
            <w:tcW w:w="3500" w:type="pct"/>
            <w:shd w:val="clear" w:color="auto" w:fill="auto"/>
          </w:tcPr>
          <w:p w14:paraId="32271FEB" w14:textId="77777777" w:rsidR="00E93F58" w:rsidRPr="00576D60" w:rsidRDefault="00E93F58" w:rsidP="002F32E3">
            <w:pPr>
              <w:pStyle w:val="ENoteTableText"/>
            </w:pPr>
            <w:r>
              <w:t>ad No 319, 2001</w:t>
            </w:r>
          </w:p>
        </w:tc>
      </w:tr>
      <w:tr w:rsidR="00E93F58" w:rsidRPr="00576D60" w14:paraId="033976BE" w14:textId="77777777" w:rsidTr="002F32E3">
        <w:trPr>
          <w:cantSplit/>
        </w:trPr>
        <w:tc>
          <w:tcPr>
            <w:tcW w:w="1500" w:type="pct"/>
            <w:shd w:val="clear" w:color="auto" w:fill="auto"/>
          </w:tcPr>
          <w:p w14:paraId="7E755246" w14:textId="77777777" w:rsidR="00E93F58" w:rsidRPr="00576D60" w:rsidRDefault="00E93F58" w:rsidP="002F32E3">
            <w:pPr>
              <w:pStyle w:val="ENoteTableText"/>
              <w:tabs>
                <w:tab w:val="left" w:leader="dot" w:pos="2268"/>
              </w:tabs>
            </w:pPr>
          </w:p>
        </w:tc>
        <w:tc>
          <w:tcPr>
            <w:tcW w:w="3500" w:type="pct"/>
            <w:shd w:val="clear" w:color="auto" w:fill="auto"/>
          </w:tcPr>
          <w:p w14:paraId="75E23C8A" w14:textId="77777777" w:rsidR="00E93F58" w:rsidRPr="00576D60" w:rsidRDefault="00E93F58" w:rsidP="002F32E3">
            <w:pPr>
              <w:pStyle w:val="ENoteTableText"/>
            </w:pPr>
            <w:r>
              <w:t>am F2023L01458</w:t>
            </w:r>
          </w:p>
        </w:tc>
      </w:tr>
      <w:tr w:rsidR="00E93F58" w:rsidRPr="00576D60" w14:paraId="7AB94670" w14:textId="77777777" w:rsidTr="002F32E3">
        <w:trPr>
          <w:cantSplit/>
        </w:trPr>
        <w:tc>
          <w:tcPr>
            <w:tcW w:w="1500" w:type="pct"/>
            <w:shd w:val="clear" w:color="auto" w:fill="auto"/>
          </w:tcPr>
          <w:p w14:paraId="4E8D0D32" w14:textId="77777777" w:rsidR="00E93F58" w:rsidRPr="00576D60" w:rsidRDefault="00E93F58" w:rsidP="002F32E3">
            <w:pPr>
              <w:pStyle w:val="ENoteTableText"/>
              <w:tabs>
                <w:tab w:val="left" w:leader="dot" w:pos="2268"/>
              </w:tabs>
            </w:pPr>
            <w:r w:rsidRPr="00576D60">
              <w:t>r 7.1.21</w:t>
            </w:r>
            <w:r w:rsidRPr="00576D60">
              <w:tab/>
            </w:r>
          </w:p>
        </w:tc>
        <w:tc>
          <w:tcPr>
            <w:tcW w:w="3500" w:type="pct"/>
            <w:shd w:val="clear" w:color="auto" w:fill="auto"/>
          </w:tcPr>
          <w:p w14:paraId="14401D85" w14:textId="77777777" w:rsidR="00E93F58" w:rsidRPr="00576D60" w:rsidRDefault="00E93F58" w:rsidP="002F32E3">
            <w:pPr>
              <w:pStyle w:val="ENoteTableText"/>
            </w:pPr>
            <w:r>
              <w:t>ad No 319, 2001</w:t>
            </w:r>
          </w:p>
        </w:tc>
      </w:tr>
      <w:tr w:rsidR="00E93F58" w:rsidRPr="00576D60" w14:paraId="6F8D2441" w14:textId="77777777" w:rsidTr="002F32E3">
        <w:trPr>
          <w:cantSplit/>
        </w:trPr>
        <w:tc>
          <w:tcPr>
            <w:tcW w:w="1500" w:type="pct"/>
            <w:shd w:val="clear" w:color="auto" w:fill="auto"/>
          </w:tcPr>
          <w:p w14:paraId="30D02FB3" w14:textId="77777777" w:rsidR="00E93F58" w:rsidRPr="00576D60" w:rsidRDefault="00E93F58" w:rsidP="002F32E3">
            <w:pPr>
              <w:pStyle w:val="ENoteTableText"/>
              <w:tabs>
                <w:tab w:val="left" w:leader="dot" w:pos="2268"/>
              </w:tabs>
            </w:pPr>
          </w:p>
        </w:tc>
        <w:tc>
          <w:tcPr>
            <w:tcW w:w="3500" w:type="pct"/>
            <w:shd w:val="clear" w:color="auto" w:fill="auto"/>
          </w:tcPr>
          <w:p w14:paraId="3DC2A6FE" w14:textId="77777777" w:rsidR="00E93F58" w:rsidRPr="00576D60" w:rsidRDefault="00E93F58" w:rsidP="002F32E3">
            <w:pPr>
              <w:pStyle w:val="ENoteTableText"/>
            </w:pPr>
            <w:r>
              <w:t>am F2023L01458</w:t>
            </w:r>
          </w:p>
        </w:tc>
      </w:tr>
      <w:tr w:rsidR="00E93F58" w:rsidRPr="00576D60" w14:paraId="09B0D64F" w14:textId="77777777" w:rsidTr="002F32E3">
        <w:trPr>
          <w:cantSplit/>
        </w:trPr>
        <w:tc>
          <w:tcPr>
            <w:tcW w:w="1500" w:type="pct"/>
            <w:shd w:val="clear" w:color="auto" w:fill="auto"/>
          </w:tcPr>
          <w:p w14:paraId="14B4C47B" w14:textId="77777777" w:rsidR="00E93F58" w:rsidRPr="00576D60" w:rsidRDefault="00E93F58" w:rsidP="002F32E3">
            <w:pPr>
              <w:pStyle w:val="ENoteTableText"/>
              <w:tabs>
                <w:tab w:val="left" w:leader="dot" w:pos="2268"/>
              </w:tabs>
            </w:pPr>
            <w:r w:rsidRPr="00576D60">
              <w:t>r 7.1.22</w:t>
            </w:r>
            <w:r w:rsidRPr="00576D60">
              <w:tab/>
            </w:r>
          </w:p>
        </w:tc>
        <w:tc>
          <w:tcPr>
            <w:tcW w:w="3500" w:type="pct"/>
            <w:shd w:val="clear" w:color="auto" w:fill="auto"/>
          </w:tcPr>
          <w:p w14:paraId="75E267B1" w14:textId="77777777" w:rsidR="00E93F58" w:rsidRPr="00576D60" w:rsidRDefault="00E93F58" w:rsidP="002F32E3">
            <w:pPr>
              <w:pStyle w:val="ENoteTableText"/>
            </w:pPr>
            <w:r w:rsidRPr="00576D60">
              <w:t>ad No 319, 2001</w:t>
            </w:r>
          </w:p>
        </w:tc>
      </w:tr>
      <w:tr w:rsidR="00E93F58" w:rsidRPr="00576D60" w14:paraId="2F6C0184" w14:textId="77777777" w:rsidTr="002F32E3">
        <w:trPr>
          <w:cantSplit/>
        </w:trPr>
        <w:tc>
          <w:tcPr>
            <w:tcW w:w="1500" w:type="pct"/>
            <w:shd w:val="clear" w:color="auto" w:fill="auto"/>
          </w:tcPr>
          <w:p w14:paraId="601A427B" w14:textId="77777777" w:rsidR="00E93F58" w:rsidRPr="00576D60" w:rsidRDefault="00E93F58" w:rsidP="002F32E3">
            <w:pPr>
              <w:pStyle w:val="ENoteTableText"/>
              <w:tabs>
                <w:tab w:val="left" w:leader="dot" w:pos="2268"/>
              </w:tabs>
            </w:pPr>
          </w:p>
        </w:tc>
        <w:tc>
          <w:tcPr>
            <w:tcW w:w="3500" w:type="pct"/>
            <w:shd w:val="clear" w:color="auto" w:fill="auto"/>
          </w:tcPr>
          <w:p w14:paraId="6A7541D9" w14:textId="77777777" w:rsidR="00E93F58" w:rsidRPr="00576D60" w:rsidRDefault="00E93F58" w:rsidP="002F32E3">
            <w:pPr>
              <w:pStyle w:val="ENoteTableText"/>
            </w:pPr>
            <w:r w:rsidRPr="00576D60">
              <w:t>am No 16, 2002; F2019L01641</w:t>
            </w:r>
            <w:r>
              <w:t>; F2023L01458</w:t>
            </w:r>
          </w:p>
        </w:tc>
      </w:tr>
      <w:tr w:rsidR="00E93F58" w:rsidRPr="00576D60" w14:paraId="1FEBF5C7" w14:textId="77777777" w:rsidTr="002F32E3">
        <w:trPr>
          <w:cantSplit/>
        </w:trPr>
        <w:tc>
          <w:tcPr>
            <w:tcW w:w="1500" w:type="pct"/>
            <w:shd w:val="clear" w:color="auto" w:fill="auto"/>
          </w:tcPr>
          <w:p w14:paraId="5D82FD11" w14:textId="77777777" w:rsidR="00E93F58" w:rsidRPr="00576D60" w:rsidRDefault="00E93F58" w:rsidP="002F32E3">
            <w:pPr>
              <w:pStyle w:val="ENoteTableText"/>
              <w:tabs>
                <w:tab w:val="left" w:leader="dot" w:pos="2268"/>
              </w:tabs>
            </w:pPr>
            <w:r w:rsidRPr="00576D60">
              <w:t>r 7.1.22AA</w:t>
            </w:r>
            <w:r w:rsidRPr="00576D60">
              <w:tab/>
            </w:r>
          </w:p>
        </w:tc>
        <w:tc>
          <w:tcPr>
            <w:tcW w:w="3500" w:type="pct"/>
            <w:shd w:val="clear" w:color="auto" w:fill="auto"/>
          </w:tcPr>
          <w:p w14:paraId="05336665" w14:textId="77777777" w:rsidR="00E93F58" w:rsidRPr="00576D60" w:rsidRDefault="00E93F58" w:rsidP="002F32E3">
            <w:pPr>
              <w:pStyle w:val="ENoteTableText"/>
            </w:pPr>
            <w:r w:rsidRPr="00576D60">
              <w:t>ad F2019L01641</w:t>
            </w:r>
          </w:p>
        </w:tc>
      </w:tr>
      <w:tr w:rsidR="00E93F58" w:rsidRPr="00576D60" w14:paraId="5A88E817" w14:textId="77777777" w:rsidTr="002F32E3">
        <w:trPr>
          <w:cantSplit/>
        </w:trPr>
        <w:tc>
          <w:tcPr>
            <w:tcW w:w="1500" w:type="pct"/>
            <w:shd w:val="clear" w:color="auto" w:fill="auto"/>
          </w:tcPr>
          <w:p w14:paraId="3A4098E7" w14:textId="77777777" w:rsidR="00E93F58" w:rsidRPr="00576D60" w:rsidRDefault="00E93F58" w:rsidP="002F32E3">
            <w:pPr>
              <w:pStyle w:val="ENoteTableText"/>
              <w:tabs>
                <w:tab w:val="left" w:leader="dot" w:pos="2268"/>
              </w:tabs>
            </w:pPr>
          </w:p>
        </w:tc>
        <w:tc>
          <w:tcPr>
            <w:tcW w:w="3500" w:type="pct"/>
            <w:shd w:val="clear" w:color="auto" w:fill="auto"/>
          </w:tcPr>
          <w:p w14:paraId="5B36A5F1" w14:textId="77777777" w:rsidR="00E93F58" w:rsidRPr="00576D60" w:rsidRDefault="00E93F58" w:rsidP="002F32E3">
            <w:pPr>
              <w:pStyle w:val="ENoteTableText"/>
            </w:pPr>
            <w:r w:rsidRPr="00576D60">
              <w:t>am F2020L01610</w:t>
            </w:r>
          </w:p>
        </w:tc>
      </w:tr>
      <w:tr w:rsidR="00E93F58" w:rsidRPr="00576D60" w14:paraId="3DA2A4BE" w14:textId="77777777" w:rsidTr="002F32E3">
        <w:trPr>
          <w:cantSplit/>
        </w:trPr>
        <w:tc>
          <w:tcPr>
            <w:tcW w:w="1500" w:type="pct"/>
            <w:shd w:val="clear" w:color="auto" w:fill="auto"/>
          </w:tcPr>
          <w:p w14:paraId="513C9684" w14:textId="77777777" w:rsidR="00E93F58" w:rsidRPr="00576D60" w:rsidRDefault="00E93F58" w:rsidP="002F32E3">
            <w:pPr>
              <w:pStyle w:val="ENoteTableText"/>
              <w:tabs>
                <w:tab w:val="left" w:leader="dot" w:pos="2268"/>
              </w:tabs>
            </w:pPr>
            <w:r w:rsidRPr="00576D60">
              <w:t>r. 7.1.22A</w:t>
            </w:r>
            <w:r w:rsidRPr="00576D60">
              <w:tab/>
            </w:r>
          </w:p>
        </w:tc>
        <w:tc>
          <w:tcPr>
            <w:tcW w:w="3500" w:type="pct"/>
            <w:shd w:val="clear" w:color="auto" w:fill="auto"/>
          </w:tcPr>
          <w:p w14:paraId="1C672FD4" w14:textId="77777777" w:rsidR="00E93F58" w:rsidRPr="00576D60" w:rsidRDefault="00E93F58" w:rsidP="002F32E3">
            <w:pPr>
              <w:pStyle w:val="ENoteTableText"/>
            </w:pPr>
            <w:r w:rsidRPr="00576D60">
              <w:t>ad. 2003 No. 202</w:t>
            </w:r>
          </w:p>
        </w:tc>
      </w:tr>
      <w:tr w:rsidR="00E93F58" w:rsidRPr="00576D60" w14:paraId="3FA3F965" w14:textId="77777777" w:rsidTr="002F32E3">
        <w:trPr>
          <w:cantSplit/>
        </w:trPr>
        <w:tc>
          <w:tcPr>
            <w:tcW w:w="1500" w:type="pct"/>
            <w:shd w:val="clear" w:color="auto" w:fill="auto"/>
          </w:tcPr>
          <w:p w14:paraId="2396E6DD" w14:textId="77777777" w:rsidR="00E93F58" w:rsidRPr="00576D60" w:rsidRDefault="00E93F58" w:rsidP="002F32E3">
            <w:pPr>
              <w:pStyle w:val="ENoteTableText"/>
              <w:tabs>
                <w:tab w:val="left" w:leader="dot" w:pos="2268"/>
              </w:tabs>
            </w:pPr>
            <w:r w:rsidRPr="00576D60">
              <w:t>r 7.1.23</w:t>
            </w:r>
            <w:r w:rsidRPr="00576D60">
              <w:tab/>
            </w:r>
          </w:p>
        </w:tc>
        <w:tc>
          <w:tcPr>
            <w:tcW w:w="3500" w:type="pct"/>
            <w:shd w:val="clear" w:color="auto" w:fill="auto"/>
          </w:tcPr>
          <w:p w14:paraId="6F237DF4" w14:textId="77777777" w:rsidR="00E93F58" w:rsidRPr="00576D60" w:rsidRDefault="00E93F58" w:rsidP="002F32E3">
            <w:pPr>
              <w:pStyle w:val="ENoteTableText"/>
            </w:pPr>
            <w:r>
              <w:t>ad No 319, 2001</w:t>
            </w:r>
          </w:p>
        </w:tc>
      </w:tr>
      <w:tr w:rsidR="00E93F58" w:rsidRPr="00576D60" w14:paraId="1716657F" w14:textId="77777777" w:rsidTr="002F32E3">
        <w:trPr>
          <w:cantSplit/>
        </w:trPr>
        <w:tc>
          <w:tcPr>
            <w:tcW w:w="1500" w:type="pct"/>
            <w:shd w:val="clear" w:color="auto" w:fill="auto"/>
          </w:tcPr>
          <w:p w14:paraId="10A365FF" w14:textId="77777777" w:rsidR="00E93F58" w:rsidRPr="00576D60" w:rsidRDefault="00E93F58" w:rsidP="002F32E3">
            <w:pPr>
              <w:pStyle w:val="ENoteTableText"/>
              <w:tabs>
                <w:tab w:val="left" w:leader="dot" w:pos="2268"/>
              </w:tabs>
            </w:pPr>
          </w:p>
        </w:tc>
        <w:tc>
          <w:tcPr>
            <w:tcW w:w="3500" w:type="pct"/>
            <w:shd w:val="clear" w:color="auto" w:fill="auto"/>
          </w:tcPr>
          <w:p w14:paraId="678C93FE" w14:textId="77777777" w:rsidR="00E93F58" w:rsidRPr="00576D60" w:rsidRDefault="00E93F58" w:rsidP="002F32E3">
            <w:pPr>
              <w:pStyle w:val="ENoteTableText"/>
            </w:pPr>
            <w:r>
              <w:t>am F2023L01458</w:t>
            </w:r>
          </w:p>
        </w:tc>
      </w:tr>
      <w:tr w:rsidR="00E93F58" w:rsidRPr="00576D60" w14:paraId="70F7B051" w14:textId="77777777" w:rsidTr="002F32E3">
        <w:trPr>
          <w:cantSplit/>
        </w:trPr>
        <w:tc>
          <w:tcPr>
            <w:tcW w:w="1500" w:type="pct"/>
            <w:shd w:val="clear" w:color="auto" w:fill="auto"/>
          </w:tcPr>
          <w:p w14:paraId="51407408" w14:textId="77777777" w:rsidR="00E93F58" w:rsidRPr="00576D60" w:rsidRDefault="00E93F58" w:rsidP="002F32E3">
            <w:pPr>
              <w:pStyle w:val="ENoteTableText"/>
              <w:tabs>
                <w:tab w:val="left" w:leader="dot" w:pos="2268"/>
              </w:tabs>
            </w:pPr>
            <w:r w:rsidRPr="00576D60">
              <w:t>r 7.1.24</w:t>
            </w:r>
            <w:r w:rsidRPr="00576D60">
              <w:tab/>
            </w:r>
          </w:p>
        </w:tc>
        <w:tc>
          <w:tcPr>
            <w:tcW w:w="3500" w:type="pct"/>
            <w:shd w:val="clear" w:color="auto" w:fill="auto"/>
          </w:tcPr>
          <w:p w14:paraId="30B027E8" w14:textId="77777777" w:rsidR="00E93F58" w:rsidRPr="00576D60" w:rsidRDefault="00E93F58" w:rsidP="002F32E3">
            <w:pPr>
              <w:pStyle w:val="ENoteTableText"/>
            </w:pPr>
            <w:r>
              <w:t>ad No 319, 2001</w:t>
            </w:r>
          </w:p>
        </w:tc>
      </w:tr>
      <w:tr w:rsidR="00E93F58" w:rsidRPr="00576D60" w14:paraId="15088DF7" w14:textId="77777777" w:rsidTr="002F32E3">
        <w:trPr>
          <w:cantSplit/>
        </w:trPr>
        <w:tc>
          <w:tcPr>
            <w:tcW w:w="1500" w:type="pct"/>
            <w:shd w:val="clear" w:color="auto" w:fill="auto"/>
          </w:tcPr>
          <w:p w14:paraId="693406BD" w14:textId="77777777" w:rsidR="00E93F58" w:rsidRPr="00576D60" w:rsidRDefault="00E93F58" w:rsidP="002F32E3">
            <w:pPr>
              <w:pStyle w:val="ENoteTableText"/>
              <w:tabs>
                <w:tab w:val="left" w:leader="dot" w:pos="2268"/>
              </w:tabs>
            </w:pPr>
          </w:p>
        </w:tc>
        <w:tc>
          <w:tcPr>
            <w:tcW w:w="3500" w:type="pct"/>
            <w:shd w:val="clear" w:color="auto" w:fill="auto"/>
          </w:tcPr>
          <w:p w14:paraId="0BF36F7C" w14:textId="77777777" w:rsidR="00E93F58" w:rsidRPr="00576D60" w:rsidRDefault="00E93F58" w:rsidP="002F32E3">
            <w:pPr>
              <w:pStyle w:val="ENoteTableText"/>
            </w:pPr>
            <w:r>
              <w:t>am F2023L01458</w:t>
            </w:r>
          </w:p>
        </w:tc>
      </w:tr>
      <w:tr w:rsidR="00E93F58" w:rsidRPr="00576D60" w14:paraId="1B564085" w14:textId="77777777" w:rsidTr="002F32E3">
        <w:trPr>
          <w:cantSplit/>
        </w:trPr>
        <w:tc>
          <w:tcPr>
            <w:tcW w:w="1500" w:type="pct"/>
            <w:shd w:val="clear" w:color="auto" w:fill="auto"/>
          </w:tcPr>
          <w:p w14:paraId="043AECC3" w14:textId="77777777" w:rsidR="00E93F58" w:rsidRPr="00576D60" w:rsidRDefault="00E93F58" w:rsidP="002F32E3">
            <w:pPr>
              <w:pStyle w:val="ENoteTableText"/>
              <w:tabs>
                <w:tab w:val="left" w:leader="dot" w:pos="2268"/>
              </w:tabs>
            </w:pPr>
            <w:r w:rsidRPr="00576D60">
              <w:t>r 7.1.25</w:t>
            </w:r>
            <w:r w:rsidRPr="00576D60">
              <w:tab/>
            </w:r>
          </w:p>
        </w:tc>
        <w:tc>
          <w:tcPr>
            <w:tcW w:w="3500" w:type="pct"/>
            <w:shd w:val="clear" w:color="auto" w:fill="auto"/>
          </w:tcPr>
          <w:p w14:paraId="6399B8DF" w14:textId="77777777" w:rsidR="00E93F58" w:rsidRPr="00576D60" w:rsidRDefault="00E93F58" w:rsidP="002F32E3">
            <w:pPr>
              <w:pStyle w:val="ENoteTableText"/>
            </w:pPr>
            <w:r>
              <w:t>ad No 319, 2001</w:t>
            </w:r>
          </w:p>
        </w:tc>
      </w:tr>
      <w:tr w:rsidR="00E93F58" w:rsidRPr="00576D60" w14:paraId="46F93C60" w14:textId="77777777" w:rsidTr="002F32E3">
        <w:trPr>
          <w:cantSplit/>
        </w:trPr>
        <w:tc>
          <w:tcPr>
            <w:tcW w:w="1500" w:type="pct"/>
            <w:shd w:val="clear" w:color="auto" w:fill="auto"/>
          </w:tcPr>
          <w:p w14:paraId="56F5EB4F" w14:textId="77777777" w:rsidR="00E93F58" w:rsidRPr="00576D60" w:rsidRDefault="00E93F58" w:rsidP="002F32E3">
            <w:pPr>
              <w:pStyle w:val="ENoteTableText"/>
              <w:tabs>
                <w:tab w:val="left" w:leader="dot" w:pos="2268"/>
              </w:tabs>
            </w:pPr>
          </w:p>
        </w:tc>
        <w:tc>
          <w:tcPr>
            <w:tcW w:w="3500" w:type="pct"/>
            <w:shd w:val="clear" w:color="auto" w:fill="auto"/>
          </w:tcPr>
          <w:p w14:paraId="335109FF" w14:textId="77777777" w:rsidR="00E93F58" w:rsidRPr="00576D60" w:rsidRDefault="00E93F58" w:rsidP="002F32E3">
            <w:pPr>
              <w:pStyle w:val="ENoteTableText"/>
            </w:pPr>
            <w:r>
              <w:t>am F2023L01458</w:t>
            </w:r>
          </w:p>
        </w:tc>
      </w:tr>
      <w:tr w:rsidR="00E93F58" w:rsidRPr="00576D60" w14:paraId="5E84430E" w14:textId="77777777" w:rsidTr="002F32E3">
        <w:trPr>
          <w:cantSplit/>
        </w:trPr>
        <w:tc>
          <w:tcPr>
            <w:tcW w:w="1500" w:type="pct"/>
            <w:shd w:val="clear" w:color="auto" w:fill="auto"/>
          </w:tcPr>
          <w:p w14:paraId="628E0651" w14:textId="77777777" w:rsidR="00E93F58" w:rsidRPr="00576D60" w:rsidRDefault="00E93F58" w:rsidP="002F32E3">
            <w:pPr>
              <w:pStyle w:val="ENoteTableText"/>
              <w:tabs>
                <w:tab w:val="left" w:leader="dot" w:pos="2268"/>
              </w:tabs>
            </w:pPr>
            <w:r w:rsidRPr="00576D60">
              <w:t>r 7.1.26</w:t>
            </w:r>
            <w:r w:rsidRPr="00576D60">
              <w:tab/>
            </w:r>
          </w:p>
        </w:tc>
        <w:tc>
          <w:tcPr>
            <w:tcW w:w="3500" w:type="pct"/>
            <w:shd w:val="clear" w:color="auto" w:fill="auto"/>
          </w:tcPr>
          <w:p w14:paraId="7D952A4A" w14:textId="77777777" w:rsidR="00E93F58" w:rsidRPr="00576D60" w:rsidRDefault="00E93F58" w:rsidP="002F32E3">
            <w:pPr>
              <w:pStyle w:val="ENoteTableText"/>
            </w:pPr>
            <w:r>
              <w:t>ad No 319, 2001</w:t>
            </w:r>
          </w:p>
        </w:tc>
      </w:tr>
      <w:tr w:rsidR="00E93F58" w:rsidRPr="00576D60" w14:paraId="2E20774F" w14:textId="77777777" w:rsidTr="002F32E3">
        <w:trPr>
          <w:cantSplit/>
        </w:trPr>
        <w:tc>
          <w:tcPr>
            <w:tcW w:w="1500" w:type="pct"/>
            <w:shd w:val="clear" w:color="auto" w:fill="auto"/>
          </w:tcPr>
          <w:p w14:paraId="130D58C4" w14:textId="77777777" w:rsidR="00E93F58" w:rsidRPr="00576D60" w:rsidRDefault="00E93F58" w:rsidP="002F32E3">
            <w:pPr>
              <w:pStyle w:val="ENoteTableText"/>
              <w:tabs>
                <w:tab w:val="left" w:leader="dot" w:pos="2268"/>
              </w:tabs>
            </w:pPr>
          </w:p>
        </w:tc>
        <w:tc>
          <w:tcPr>
            <w:tcW w:w="3500" w:type="pct"/>
            <w:shd w:val="clear" w:color="auto" w:fill="auto"/>
          </w:tcPr>
          <w:p w14:paraId="0213012B" w14:textId="77777777" w:rsidR="00E93F58" w:rsidRPr="00576D60" w:rsidRDefault="00E93F58" w:rsidP="002F32E3">
            <w:pPr>
              <w:pStyle w:val="ENoteTableText"/>
            </w:pPr>
            <w:r>
              <w:t>am F2023L01458</w:t>
            </w:r>
          </w:p>
        </w:tc>
      </w:tr>
      <w:tr w:rsidR="00E93F58" w:rsidRPr="00576D60" w14:paraId="3193A930" w14:textId="77777777" w:rsidTr="002F32E3">
        <w:trPr>
          <w:cantSplit/>
        </w:trPr>
        <w:tc>
          <w:tcPr>
            <w:tcW w:w="1500" w:type="pct"/>
            <w:shd w:val="clear" w:color="auto" w:fill="auto"/>
          </w:tcPr>
          <w:p w14:paraId="2E8DDD61" w14:textId="77777777" w:rsidR="00E93F58" w:rsidRPr="00576D60" w:rsidRDefault="00E93F58" w:rsidP="002F32E3">
            <w:pPr>
              <w:pStyle w:val="ENoteTableText"/>
              <w:tabs>
                <w:tab w:val="left" w:leader="dot" w:pos="2268"/>
              </w:tabs>
            </w:pPr>
            <w:r w:rsidRPr="00576D60">
              <w:t>r. 7.1.27</w:t>
            </w:r>
            <w:r w:rsidRPr="00576D60">
              <w:tab/>
            </w:r>
          </w:p>
        </w:tc>
        <w:tc>
          <w:tcPr>
            <w:tcW w:w="3500" w:type="pct"/>
            <w:shd w:val="clear" w:color="auto" w:fill="auto"/>
          </w:tcPr>
          <w:p w14:paraId="1372AE41" w14:textId="77777777" w:rsidR="00E93F58" w:rsidRPr="00576D60" w:rsidRDefault="00E93F58" w:rsidP="002F32E3">
            <w:pPr>
              <w:pStyle w:val="ENoteTableText"/>
            </w:pPr>
            <w:r w:rsidRPr="00576D60">
              <w:t>ad. 2001 No. 319</w:t>
            </w:r>
          </w:p>
        </w:tc>
      </w:tr>
      <w:tr w:rsidR="00E93F58" w:rsidRPr="00576D60" w14:paraId="50E73CBA" w14:textId="77777777" w:rsidTr="002F32E3">
        <w:trPr>
          <w:cantSplit/>
        </w:trPr>
        <w:tc>
          <w:tcPr>
            <w:tcW w:w="1500" w:type="pct"/>
            <w:shd w:val="clear" w:color="auto" w:fill="auto"/>
          </w:tcPr>
          <w:p w14:paraId="08CE6B69" w14:textId="77777777" w:rsidR="00E93F58" w:rsidRPr="00576D60" w:rsidRDefault="00E93F58" w:rsidP="002F32E3">
            <w:pPr>
              <w:pStyle w:val="ENoteTableText"/>
              <w:tabs>
                <w:tab w:val="left" w:leader="dot" w:pos="2268"/>
              </w:tabs>
            </w:pPr>
          </w:p>
        </w:tc>
        <w:tc>
          <w:tcPr>
            <w:tcW w:w="3500" w:type="pct"/>
            <w:shd w:val="clear" w:color="auto" w:fill="auto"/>
          </w:tcPr>
          <w:p w14:paraId="71FB4DDE" w14:textId="77777777" w:rsidR="00E93F58" w:rsidRPr="00576D60" w:rsidRDefault="00E93F58" w:rsidP="002F32E3">
            <w:pPr>
              <w:pStyle w:val="ENoteTableText"/>
            </w:pPr>
            <w:r w:rsidRPr="00576D60">
              <w:t>am. 2003 No. 368</w:t>
            </w:r>
          </w:p>
        </w:tc>
      </w:tr>
      <w:tr w:rsidR="00E93F58" w:rsidRPr="00576D60" w14:paraId="14390DD2" w14:textId="77777777" w:rsidTr="002F32E3">
        <w:trPr>
          <w:cantSplit/>
        </w:trPr>
        <w:tc>
          <w:tcPr>
            <w:tcW w:w="1500" w:type="pct"/>
            <w:shd w:val="clear" w:color="auto" w:fill="auto"/>
          </w:tcPr>
          <w:p w14:paraId="521187CE" w14:textId="77777777" w:rsidR="00E93F58" w:rsidRPr="00576D60" w:rsidRDefault="00E93F58" w:rsidP="002F32E3">
            <w:pPr>
              <w:pStyle w:val="ENoteTableText"/>
              <w:tabs>
                <w:tab w:val="left" w:leader="dot" w:pos="2268"/>
              </w:tabs>
            </w:pPr>
            <w:r w:rsidRPr="00576D60">
              <w:t>r 7.1.28</w:t>
            </w:r>
            <w:r w:rsidRPr="00576D60">
              <w:tab/>
            </w:r>
          </w:p>
        </w:tc>
        <w:tc>
          <w:tcPr>
            <w:tcW w:w="3500" w:type="pct"/>
            <w:shd w:val="clear" w:color="auto" w:fill="auto"/>
          </w:tcPr>
          <w:p w14:paraId="0593DAAF" w14:textId="77777777" w:rsidR="00E93F58" w:rsidRPr="00576D60" w:rsidRDefault="00E93F58" w:rsidP="002F32E3">
            <w:pPr>
              <w:pStyle w:val="ENoteTableText"/>
            </w:pPr>
            <w:r>
              <w:t>ad No 319, 2001</w:t>
            </w:r>
          </w:p>
        </w:tc>
      </w:tr>
      <w:tr w:rsidR="00E93F58" w:rsidRPr="00576D60" w14:paraId="18B3F04C" w14:textId="77777777" w:rsidTr="002F32E3">
        <w:trPr>
          <w:cantSplit/>
        </w:trPr>
        <w:tc>
          <w:tcPr>
            <w:tcW w:w="1500" w:type="pct"/>
            <w:shd w:val="clear" w:color="auto" w:fill="auto"/>
          </w:tcPr>
          <w:p w14:paraId="6BD3E523" w14:textId="77777777" w:rsidR="00E93F58" w:rsidRPr="00576D60" w:rsidRDefault="00E93F58" w:rsidP="002F32E3">
            <w:pPr>
              <w:pStyle w:val="ENoteTableText"/>
              <w:tabs>
                <w:tab w:val="left" w:leader="dot" w:pos="2268"/>
              </w:tabs>
            </w:pPr>
          </w:p>
        </w:tc>
        <w:tc>
          <w:tcPr>
            <w:tcW w:w="3500" w:type="pct"/>
            <w:shd w:val="clear" w:color="auto" w:fill="auto"/>
          </w:tcPr>
          <w:p w14:paraId="3B0A643B" w14:textId="77777777" w:rsidR="00E93F58" w:rsidRPr="00576D60" w:rsidRDefault="00E93F58" w:rsidP="002F32E3">
            <w:pPr>
              <w:pStyle w:val="ENoteTableText"/>
            </w:pPr>
            <w:r>
              <w:t>am F2023L01458</w:t>
            </w:r>
          </w:p>
        </w:tc>
      </w:tr>
      <w:tr w:rsidR="00E93F58" w:rsidRPr="00576D60" w14:paraId="7B0A4D30" w14:textId="77777777" w:rsidTr="002F32E3">
        <w:trPr>
          <w:cantSplit/>
        </w:trPr>
        <w:tc>
          <w:tcPr>
            <w:tcW w:w="1500" w:type="pct"/>
            <w:shd w:val="clear" w:color="auto" w:fill="auto"/>
          </w:tcPr>
          <w:p w14:paraId="4A164450" w14:textId="77777777" w:rsidR="00E93F58" w:rsidRPr="00576D60" w:rsidRDefault="00E93F58" w:rsidP="009174F4">
            <w:pPr>
              <w:pStyle w:val="ENoteTableText"/>
              <w:keepNext/>
              <w:tabs>
                <w:tab w:val="left" w:leader="dot" w:pos="2268"/>
              </w:tabs>
              <w:rPr>
                <w:b/>
              </w:rPr>
            </w:pPr>
            <w:r w:rsidRPr="00576D60">
              <w:rPr>
                <w:b/>
              </w:rPr>
              <w:t>Division 3</w:t>
            </w:r>
          </w:p>
        </w:tc>
        <w:tc>
          <w:tcPr>
            <w:tcW w:w="3500" w:type="pct"/>
            <w:shd w:val="clear" w:color="auto" w:fill="auto"/>
          </w:tcPr>
          <w:p w14:paraId="53478D73" w14:textId="77777777" w:rsidR="00E93F58" w:rsidRPr="00576D60" w:rsidRDefault="00E93F58" w:rsidP="002F32E3">
            <w:pPr>
              <w:pStyle w:val="ENoteTableText"/>
            </w:pPr>
          </w:p>
        </w:tc>
      </w:tr>
      <w:tr w:rsidR="00E93F58" w:rsidRPr="00576D60" w14:paraId="405F20B4" w14:textId="77777777" w:rsidTr="002F32E3">
        <w:trPr>
          <w:cantSplit/>
        </w:trPr>
        <w:tc>
          <w:tcPr>
            <w:tcW w:w="1500" w:type="pct"/>
            <w:shd w:val="clear" w:color="auto" w:fill="auto"/>
          </w:tcPr>
          <w:p w14:paraId="55403787" w14:textId="77777777" w:rsidR="00E93F58" w:rsidRPr="00576D60" w:rsidRDefault="00E93F58" w:rsidP="002F32E3">
            <w:pPr>
              <w:pStyle w:val="ENoteTableText"/>
              <w:tabs>
                <w:tab w:val="left" w:leader="dot" w:pos="2268"/>
              </w:tabs>
            </w:pPr>
            <w:r w:rsidRPr="00576D60">
              <w:t>r 7.1.28AA</w:t>
            </w:r>
            <w:r w:rsidRPr="00576D60">
              <w:tab/>
            </w:r>
          </w:p>
        </w:tc>
        <w:tc>
          <w:tcPr>
            <w:tcW w:w="3500" w:type="pct"/>
            <w:shd w:val="clear" w:color="auto" w:fill="auto"/>
          </w:tcPr>
          <w:p w14:paraId="1B9F1115" w14:textId="77777777" w:rsidR="00E93F58" w:rsidRPr="00576D60" w:rsidRDefault="00E93F58" w:rsidP="002F32E3">
            <w:pPr>
              <w:pStyle w:val="ENoteTableText"/>
            </w:pPr>
            <w:r w:rsidRPr="00576D60">
              <w:t>ad No 108, 2015</w:t>
            </w:r>
          </w:p>
        </w:tc>
      </w:tr>
      <w:tr w:rsidR="00E93F58" w:rsidRPr="00576D60" w14:paraId="33E1AA1C" w14:textId="77777777" w:rsidTr="002F32E3">
        <w:trPr>
          <w:cantSplit/>
        </w:trPr>
        <w:tc>
          <w:tcPr>
            <w:tcW w:w="1500" w:type="pct"/>
            <w:shd w:val="clear" w:color="auto" w:fill="auto"/>
          </w:tcPr>
          <w:p w14:paraId="1C767D92" w14:textId="77777777" w:rsidR="00E93F58" w:rsidRPr="00576D60" w:rsidRDefault="00E93F58" w:rsidP="002F32E3">
            <w:pPr>
              <w:pStyle w:val="ENoteTableText"/>
              <w:tabs>
                <w:tab w:val="left" w:leader="dot" w:pos="2268"/>
              </w:tabs>
            </w:pPr>
            <w:r w:rsidRPr="00576D60">
              <w:t>r 7.1.28AB</w:t>
            </w:r>
            <w:r w:rsidRPr="00576D60">
              <w:tab/>
            </w:r>
          </w:p>
        </w:tc>
        <w:tc>
          <w:tcPr>
            <w:tcW w:w="3500" w:type="pct"/>
            <w:shd w:val="clear" w:color="auto" w:fill="auto"/>
          </w:tcPr>
          <w:p w14:paraId="08BC1E43" w14:textId="77777777" w:rsidR="00E93F58" w:rsidRPr="00576D60" w:rsidRDefault="00E93F58" w:rsidP="002F32E3">
            <w:pPr>
              <w:pStyle w:val="ENoteTableText"/>
            </w:pPr>
            <w:r w:rsidRPr="00576D60">
              <w:t>ad F2021L01801 (disallowed)</w:t>
            </w:r>
          </w:p>
        </w:tc>
      </w:tr>
      <w:tr w:rsidR="00E93F58" w:rsidRPr="00576D60" w14:paraId="07DE07CB" w14:textId="77777777" w:rsidTr="002F32E3">
        <w:trPr>
          <w:cantSplit/>
        </w:trPr>
        <w:tc>
          <w:tcPr>
            <w:tcW w:w="1500" w:type="pct"/>
            <w:shd w:val="clear" w:color="auto" w:fill="auto"/>
          </w:tcPr>
          <w:p w14:paraId="7347CFBB" w14:textId="77777777" w:rsidR="00E93F58" w:rsidRPr="00576D60" w:rsidRDefault="00E93F58" w:rsidP="002F32E3">
            <w:pPr>
              <w:pStyle w:val="ENoteTableText"/>
              <w:tabs>
                <w:tab w:val="left" w:leader="dot" w:pos="2268"/>
              </w:tabs>
            </w:pPr>
            <w:r w:rsidRPr="00576D60">
              <w:t>r. 7.1.28A</w:t>
            </w:r>
            <w:r w:rsidRPr="00576D60">
              <w:tab/>
            </w:r>
          </w:p>
        </w:tc>
        <w:tc>
          <w:tcPr>
            <w:tcW w:w="3500" w:type="pct"/>
            <w:shd w:val="clear" w:color="auto" w:fill="auto"/>
          </w:tcPr>
          <w:p w14:paraId="24F937CA" w14:textId="77777777" w:rsidR="00E93F58" w:rsidRPr="00576D60" w:rsidRDefault="00E93F58" w:rsidP="002F32E3">
            <w:pPr>
              <w:pStyle w:val="ENoteTableText"/>
            </w:pPr>
            <w:r w:rsidRPr="00576D60">
              <w:t>ad. 2010 No. 88</w:t>
            </w:r>
          </w:p>
        </w:tc>
      </w:tr>
      <w:tr w:rsidR="00E93F58" w:rsidRPr="00576D60" w14:paraId="1FA634E9" w14:textId="77777777" w:rsidTr="002F32E3">
        <w:trPr>
          <w:cantSplit/>
        </w:trPr>
        <w:tc>
          <w:tcPr>
            <w:tcW w:w="1500" w:type="pct"/>
            <w:shd w:val="clear" w:color="auto" w:fill="auto"/>
          </w:tcPr>
          <w:p w14:paraId="6BDDAE31" w14:textId="77777777" w:rsidR="00E93F58" w:rsidRPr="00576D60" w:rsidRDefault="00E93F58" w:rsidP="002F32E3">
            <w:pPr>
              <w:pStyle w:val="ENoteTableText"/>
              <w:tabs>
                <w:tab w:val="left" w:leader="dot" w:pos="2268"/>
              </w:tabs>
            </w:pPr>
            <w:r w:rsidRPr="00576D60">
              <w:t>r 7.1.29</w:t>
            </w:r>
            <w:r w:rsidRPr="00576D60">
              <w:tab/>
            </w:r>
          </w:p>
        </w:tc>
        <w:tc>
          <w:tcPr>
            <w:tcW w:w="3500" w:type="pct"/>
            <w:shd w:val="clear" w:color="auto" w:fill="auto"/>
          </w:tcPr>
          <w:p w14:paraId="32707787" w14:textId="77777777" w:rsidR="00E93F58" w:rsidRPr="00576D60" w:rsidRDefault="00E93F58" w:rsidP="002F32E3">
            <w:pPr>
              <w:pStyle w:val="ENoteTableText"/>
            </w:pPr>
            <w:r w:rsidRPr="00576D60">
              <w:t>ad</w:t>
            </w:r>
            <w:r>
              <w:t xml:space="preserve"> No 319, 2001</w:t>
            </w:r>
          </w:p>
        </w:tc>
      </w:tr>
      <w:tr w:rsidR="00E93F58" w:rsidRPr="00576D60" w14:paraId="2ECA9205" w14:textId="77777777" w:rsidTr="002F32E3">
        <w:trPr>
          <w:cantSplit/>
        </w:trPr>
        <w:tc>
          <w:tcPr>
            <w:tcW w:w="1500" w:type="pct"/>
            <w:shd w:val="clear" w:color="auto" w:fill="auto"/>
          </w:tcPr>
          <w:p w14:paraId="46489155" w14:textId="77777777" w:rsidR="00E93F58" w:rsidRPr="00576D60" w:rsidRDefault="00E93F58" w:rsidP="002F32E3">
            <w:pPr>
              <w:pStyle w:val="ENoteTableText"/>
              <w:tabs>
                <w:tab w:val="left" w:leader="dot" w:pos="2268"/>
              </w:tabs>
            </w:pPr>
          </w:p>
        </w:tc>
        <w:tc>
          <w:tcPr>
            <w:tcW w:w="3500" w:type="pct"/>
            <w:shd w:val="clear" w:color="auto" w:fill="auto"/>
          </w:tcPr>
          <w:p w14:paraId="68FC36AE" w14:textId="77777777" w:rsidR="00E93F58" w:rsidRPr="00576D60" w:rsidRDefault="00E93F58" w:rsidP="002F32E3">
            <w:pPr>
              <w:pStyle w:val="ENoteTableText"/>
            </w:pPr>
            <w:r w:rsidRPr="00576D60">
              <w:t>am</w:t>
            </w:r>
            <w:r>
              <w:t xml:space="preserve"> No 41, 2002</w:t>
            </w:r>
          </w:p>
        </w:tc>
      </w:tr>
      <w:tr w:rsidR="00E93F58" w:rsidRPr="00576D60" w14:paraId="67343DB6" w14:textId="77777777" w:rsidTr="002F32E3">
        <w:trPr>
          <w:cantSplit/>
        </w:trPr>
        <w:tc>
          <w:tcPr>
            <w:tcW w:w="1500" w:type="pct"/>
            <w:shd w:val="clear" w:color="auto" w:fill="auto"/>
          </w:tcPr>
          <w:p w14:paraId="2C50975E" w14:textId="77777777" w:rsidR="00E93F58" w:rsidRPr="00576D60" w:rsidRDefault="00E93F58" w:rsidP="002F32E3">
            <w:pPr>
              <w:pStyle w:val="ENoteTableText"/>
              <w:tabs>
                <w:tab w:val="left" w:leader="dot" w:pos="2268"/>
              </w:tabs>
            </w:pPr>
          </w:p>
        </w:tc>
        <w:tc>
          <w:tcPr>
            <w:tcW w:w="3500" w:type="pct"/>
            <w:shd w:val="clear" w:color="auto" w:fill="auto"/>
          </w:tcPr>
          <w:p w14:paraId="2ACBCAEA" w14:textId="77777777" w:rsidR="00E93F58" w:rsidRPr="00576D60" w:rsidRDefault="00E93F58" w:rsidP="002F32E3">
            <w:pPr>
              <w:pStyle w:val="ENoteTableText"/>
            </w:pPr>
            <w:r w:rsidRPr="00576D60">
              <w:t>rs</w:t>
            </w:r>
            <w:r>
              <w:t xml:space="preserve"> No 85, 2003</w:t>
            </w:r>
          </w:p>
        </w:tc>
      </w:tr>
      <w:tr w:rsidR="00E93F58" w:rsidRPr="00576D60" w14:paraId="1EDFFAE2" w14:textId="77777777" w:rsidTr="002F32E3">
        <w:trPr>
          <w:cantSplit/>
        </w:trPr>
        <w:tc>
          <w:tcPr>
            <w:tcW w:w="1500" w:type="pct"/>
            <w:shd w:val="clear" w:color="auto" w:fill="auto"/>
          </w:tcPr>
          <w:p w14:paraId="5A304CA0" w14:textId="77777777" w:rsidR="00E93F58" w:rsidRPr="00576D60" w:rsidRDefault="00E93F58" w:rsidP="002F32E3">
            <w:pPr>
              <w:pStyle w:val="ENoteTableText"/>
              <w:tabs>
                <w:tab w:val="left" w:leader="dot" w:pos="2268"/>
              </w:tabs>
            </w:pPr>
          </w:p>
        </w:tc>
        <w:tc>
          <w:tcPr>
            <w:tcW w:w="3500" w:type="pct"/>
            <w:shd w:val="clear" w:color="auto" w:fill="auto"/>
          </w:tcPr>
          <w:p w14:paraId="09F88A58" w14:textId="77777777" w:rsidR="00E93F58" w:rsidRPr="00576D60" w:rsidRDefault="00E93F58" w:rsidP="002F32E3">
            <w:pPr>
              <w:pStyle w:val="ENoteTableText"/>
            </w:pPr>
            <w:r w:rsidRPr="00576D60">
              <w:t>am No 368, 2003; No 25, 2004; No 46, 2012; F2018L01144</w:t>
            </w:r>
            <w:r>
              <w:t>; F2023L01458</w:t>
            </w:r>
          </w:p>
        </w:tc>
      </w:tr>
      <w:tr w:rsidR="00E93F58" w:rsidRPr="00576D60" w14:paraId="78BC3A3C" w14:textId="77777777" w:rsidTr="002F32E3">
        <w:trPr>
          <w:cantSplit/>
        </w:trPr>
        <w:tc>
          <w:tcPr>
            <w:tcW w:w="1500" w:type="pct"/>
            <w:shd w:val="clear" w:color="auto" w:fill="auto"/>
          </w:tcPr>
          <w:p w14:paraId="11A86A53" w14:textId="77777777" w:rsidR="00E93F58" w:rsidRPr="00576D60" w:rsidRDefault="00E93F58" w:rsidP="002F32E3">
            <w:pPr>
              <w:pStyle w:val="ENoteTableText"/>
              <w:tabs>
                <w:tab w:val="left" w:leader="dot" w:pos="2268"/>
              </w:tabs>
            </w:pPr>
            <w:r w:rsidRPr="00576D60">
              <w:t>r. 7.1.29A</w:t>
            </w:r>
            <w:r w:rsidRPr="00576D60">
              <w:tab/>
            </w:r>
          </w:p>
        </w:tc>
        <w:tc>
          <w:tcPr>
            <w:tcW w:w="3500" w:type="pct"/>
            <w:shd w:val="clear" w:color="auto" w:fill="auto"/>
          </w:tcPr>
          <w:p w14:paraId="0503AACD" w14:textId="77777777" w:rsidR="00E93F58" w:rsidRPr="00576D60" w:rsidRDefault="00E93F58" w:rsidP="002F32E3">
            <w:pPr>
              <w:pStyle w:val="ENoteTableText"/>
            </w:pPr>
            <w:r w:rsidRPr="00576D60">
              <w:t>ad. 2004 No. 25</w:t>
            </w:r>
          </w:p>
        </w:tc>
      </w:tr>
      <w:tr w:rsidR="00E93F58" w:rsidRPr="00576D60" w14:paraId="15F21A58" w14:textId="77777777" w:rsidTr="002F32E3">
        <w:trPr>
          <w:cantSplit/>
        </w:trPr>
        <w:tc>
          <w:tcPr>
            <w:tcW w:w="1500" w:type="pct"/>
            <w:shd w:val="clear" w:color="auto" w:fill="auto"/>
          </w:tcPr>
          <w:p w14:paraId="6812FFBD" w14:textId="77777777" w:rsidR="00E93F58" w:rsidRPr="00576D60" w:rsidRDefault="00E93F58" w:rsidP="002F32E3">
            <w:pPr>
              <w:pStyle w:val="ENoteTableText"/>
              <w:tabs>
                <w:tab w:val="left" w:leader="dot" w:pos="2268"/>
              </w:tabs>
            </w:pPr>
          </w:p>
        </w:tc>
        <w:tc>
          <w:tcPr>
            <w:tcW w:w="3500" w:type="pct"/>
            <w:shd w:val="clear" w:color="auto" w:fill="auto"/>
          </w:tcPr>
          <w:p w14:paraId="3BE9DDE3" w14:textId="77777777" w:rsidR="00E93F58" w:rsidRPr="00576D60" w:rsidRDefault="00E93F58" w:rsidP="002F32E3">
            <w:pPr>
              <w:pStyle w:val="ENoteTableText"/>
            </w:pPr>
            <w:r w:rsidRPr="00576D60">
              <w:t>am. No 101 and 152, 2013</w:t>
            </w:r>
          </w:p>
        </w:tc>
      </w:tr>
      <w:tr w:rsidR="00E93F58" w:rsidRPr="00576D60" w14:paraId="4554BD0C" w14:textId="77777777" w:rsidTr="002F32E3">
        <w:trPr>
          <w:cantSplit/>
        </w:trPr>
        <w:tc>
          <w:tcPr>
            <w:tcW w:w="1500" w:type="pct"/>
            <w:shd w:val="clear" w:color="auto" w:fill="auto"/>
          </w:tcPr>
          <w:p w14:paraId="03E96363" w14:textId="77777777" w:rsidR="00E93F58" w:rsidRPr="00576D60" w:rsidRDefault="00E93F58" w:rsidP="002F32E3">
            <w:pPr>
              <w:pStyle w:val="ENoteTableText"/>
              <w:tabs>
                <w:tab w:val="left" w:leader="dot" w:pos="2268"/>
              </w:tabs>
            </w:pPr>
          </w:p>
        </w:tc>
        <w:tc>
          <w:tcPr>
            <w:tcW w:w="3500" w:type="pct"/>
            <w:shd w:val="clear" w:color="auto" w:fill="auto"/>
          </w:tcPr>
          <w:p w14:paraId="2B967008" w14:textId="77777777" w:rsidR="00E93F58" w:rsidRPr="00576D60" w:rsidRDefault="00E93F58" w:rsidP="002F32E3">
            <w:pPr>
              <w:pStyle w:val="ENoteTableText"/>
              <w:rPr>
                <w:u w:val="single"/>
              </w:rPr>
            </w:pPr>
            <w:r w:rsidRPr="00576D60">
              <w:t>rep No 101, 2013</w:t>
            </w:r>
          </w:p>
        </w:tc>
      </w:tr>
      <w:tr w:rsidR="00E93F58" w:rsidRPr="00576D60" w14:paraId="76E86423" w14:textId="77777777" w:rsidTr="002F32E3">
        <w:trPr>
          <w:cantSplit/>
        </w:trPr>
        <w:tc>
          <w:tcPr>
            <w:tcW w:w="1500" w:type="pct"/>
            <w:shd w:val="clear" w:color="auto" w:fill="auto"/>
          </w:tcPr>
          <w:p w14:paraId="5EE53C8A" w14:textId="77777777" w:rsidR="00E93F58" w:rsidRPr="00576D60" w:rsidRDefault="00E93F58" w:rsidP="002F32E3">
            <w:pPr>
              <w:pStyle w:val="ENoteTableText"/>
              <w:tabs>
                <w:tab w:val="left" w:leader="dot" w:pos="2268"/>
              </w:tabs>
            </w:pPr>
            <w:r w:rsidRPr="00576D60">
              <w:t>r. 7.1.30</w:t>
            </w:r>
            <w:r w:rsidRPr="00576D60">
              <w:tab/>
            </w:r>
          </w:p>
        </w:tc>
        <w:tc>
          <w:tcPr>
            <w:tcW w:w="3500" w:type="pct"/>
            <w:shd w:val="clear" w:color="auto" w:fill="auto"/>
          </w:tcPr>
          <w:p w14:paraId="1B506967" w14:textId="77777777" w:rsidR="00E93F58" w:rsidRPr="00576D60" w:rsidRDefault="00E93F58" w:rsidP="002F32E3">
            <w:pPr>
              <w:pStyle w:val="ENoteTableText"/>
            </w:pPr>
            <w:r w:rsidRPr="00576D60">
              <w:t>ad. 2002 No. 16</w:t>
            </w:r>
          </w:p>
        </w:tc>
      </w:tr>
      <w:tr w:rsidR="00E93F58" w:rsidRPr="00576D60" w14:paraId="7A058762" w14:textId="77777777" w:rsidTr="002F32E3">
        <w:trPr>
          <w:cantSplit/>
        </w:trPr>
        <w:tc>
          <w:tcPr>
            <w:tcW w:w="1500" w:type="pct"/>
            <w:shd w:val="clear" w:color="auto" w:fill="auto"/>
          </w:tcPr>
          <w:p w14:paraId="4C569D1B" w14:textId="77777777" w:rsidR="00E93F58" w:rsidRPr="00576D60" w:rsidRDefault="00E93F58" w:rsidP="002F32E3">
            <w:pPr>
              <w:pStyle w:val="ENoteTableText"/>
              <w:tabs>
                <w:tab w:val="left" w:leader="dot" w:pos="2268"/>
              </w:tabs>
            </w:pPr>
          </w:p>
        </w:tc>
        <w:tc>
          <w:tcPr>
            <w:tcW w:w="3500" w:type="pct"/>
            <w:shd w:val="clear" w:color="auto" w:fill="auto"/>
          </w:tcPr>
          <w:p w14:paraId="31D60188" w14:textId="77777777" w:rsidR="00E93F58" w:rsidRPr="00576D60" w:rsidRDefault="00E93F58" w:rsidP="002F32E3">
            <w:pPr>
              <w:pStyle w:val="ENoteTableText"/>
            </w:pPr>
            <w:r w:rsidRPr="00576D60">
              <w:t>rep F2021L01801 (disallowed)</w:t>
            </w:r>
          </w:p>
        </w:tc>
      </w:tr>
      <w:tr w:rsidR="00E93F58" w:rsidRPr="00576D60" w14:paraId="2117CF15" w14:textId="77777777" w:rsidTr="002F32E3">
        <w:trPr>
          <w:cantSplit/>
        </w:trPr>
        <w:tc>
          <w:tcPr>
            <w:tcW w:w="1500" w:type="pct"/>
            <w:shd w:val="clear" w:color="auto" w:fill="auto"/>
          </w:tcPr>
          <w:p w14:paraId="4127B7A8" w14:textId="77777777" w:rsidR="00E93F58" w:rsidRPr="00576D60" w:rsidRDefault="00E93F58" w:rsidP="002F32E3">
            <w:pPr>
              <w:pStyle w:val="ENoteTableText"/>
              <w:tabs>
                <w:tab w:val="left" w:leader="dot" w:pos="2268"/>
              </w:tabs>
            </w:pPr>
            <w:r w:rsidRPr="00576D60">
              <w:t>r. 7.1.31</w:t>
            </w:r>
            <w:r w:rsidRPr="00576D60">
              <w:tab/>
            </w:r>
          </w:p>
        </w:tc>
        <w:tc>
          <w:tcPr>
            <w:tcW w:w="3500" w:type="pct"/>
            <w:shd w:val="clear" w:color="auto" w:fill="auto"/>
          </w:tcPr>
          <w:p w14:paraId="2BBD8804" w14:textId="77777777" w:rsidR="00E93F58" w:rsidRPr="00576D60" w:rsidRDefault="00E93F58" w:rsidP="002F32E3">
            <w:pPr>
              <w:pStyle w:val="ENoteTableText"/>
            </w:pPr>
            <w:r w:rsidRPr="00576D60">
              <w:t>ad. 2002 No. 16</w:t>
            </w:r>
          </w:p>
        </w:tc>
      </w:tr>
      <w:tr w:rsidR="00E93F58" w:rsidRPr="00576D60" w14:paraId="48310B04" w14:textId="77777777" w:rsidTr="002F32E3">
        <w:trPr>
          <w:cantSplit/>
        </w:trPr>
        <w:tc>
          <w:tcPr>
            <w:tcW w:w="1500" w:type="pct"/>
            <w:shd w:val="clear" w:color="auto" w:fill="auto"/>
          </w:tcPr>
          <w:p w14:paraId="29701300" w14:textId="77777777" w:rsidR="00E93F58" w:rsidRPr="00576D60" w:rsidRDefault="00E93F58" w:rsidP="002F32E3">
            <w:pPr>
              <w:pStyle w:val="ENoteTableText"/>
              <w:tabs>
                <w:tab w:val="left" w:leader="dot" w:pos="2268"/>
              </w:tabs>
            </w:pPr>
            <w:r w:rsidRPr="00576D60">
              <w:t>r. 7.1.32</w:t>
            </w:r>
            <w:r w:rsidRPr="00576D60">
              <w:tab/>
            </w:r>
          </w:p>
        </w:tc>
        <w:tc>
          <w:tcPr>
            <w:tcW w:w="3500" w:type="pct"/>
            <w:shd w:val="clear" w:color="auto" w:fill="auto"/>
          </w:tcPr>
          <w:p w14:paraId="4B95AD95" w14:textId="77777777" w:rsidR="00E93F58" w:rsidRPr="00576D60" w:rsidRDefault="00E93F58" w:rsidP="002F32E3">
            <w:pPr>
              <w:pStyle w:val="ENoteTableText"/>
            </w:pPr>
            <w:r w:rsidRPr="00576D60">
              <w:t>ad. 2002 No. 16</w:t>
            </w:r>
          </w:p>
        </w:tc>
      </w:tr>
      <w:tr w:rsidR="00E93F58" w:rsidRPr="00576D60" w14:paraId="1D150965" w14:textId="77777777" w:rsidTr="002F32E3">
        <w:trPr>
          <w:cantSplit/>
        </w:trPr>
        <w:tc>
          <w:tcPr>
            <w:tcW w:w="1500" w:type="pct"/>
            <w:shd w:val="clear" w:color="auto" w:fill="auto"/>
          </w:tcPr>
          <w:p w14:paraId="1C8062C9" w14:textId="77777777" w:rsidR="00E93F58" w:rsidRPr="00576D60" w:rsidRDefault="00E93F58" w:rsidP="00AD65C3">
            <w:pPr>
              <w:pStyle w:val="ENoteTableText"/>
              <w:tabs>
                <w:tab w:val="left" w:leader="dot" w:pos="2268"/>
              </w:tabs>
            </w:pPr>
            <w:r w:rsidRPr="00576D60">
              <w:t>r 7.1.33</w:t>
            </w:r>
            <w:r w:rsidRPr="00576D60">
              <w:tab/>
            </w:r>
          </w:p>
        </w:tc>
        <w:tc>
          <w:tcPr>
            <w:tcW w:w="3500" w:type="pct"/>
            <w:shd w:val="clear" w:color="auto" w:fill="auto"/>
          </w:tcPr>
          <w:p w14:paraId="045A73B1" w14:textId="77777777" w:rsidR="00E93F58" w:rsidRPr="00576D60" w:rsidRDefault="00E93F58" w:rsidP="00AD65C3">
            <w:pPr>
              <w:pStyle w:val="ENoteTableText"/>
            </w:pPr>
            <w:r w:rsidRPr="00576D60">
              <w:t>ad No 41, 2002</w:t>
            </w:r>
          </w:p>
        </w:tc>
      </w:tr>
      <w:tr w:rsidR="00E93F58" w:rsidRPr="00576D60" w14:paraId="437EBECE" w14:textId="77777777" w:rsidTr="002F32E3">
        <w:trPr>
          <w:cantSplit/>
        </w:trPr>
        <w:tc>
          <w:tcPr>
            <w:tcW w:w="1500" w:type="pct"/>
            <w:shd w:val="clear" w:color="auto" w:fill="auto"/>
          </w:tcPr>
          <w:p w14:paraId="4B163518" w14:textId="77777777" w:rsidR="00E93F58" w:rsidRPr="00576D60" w:rsidRDefault="00E93F58" w:rsidP="002F32E3">
            <w:pPr>
              <w:pStyle w:val="ENoteTableText"/>
              <w:tabs>
                <w:tab w:val="left" w:leader="dot" w:pos="2268"/>
              </w:tabs>
            </w:pPr>
          </w:p>
        </w:tc>
        <w:tc>
          <w:tcPr>
            <w:tcW w:w="3500" w:type="pct"/>
            <w:shd w:val="clear" w:color="auto" w:fill="auto"/>
          </w:tcPr>
          <w:p w14:paraId="2DFFA58C" w14:textId="77777777" w:rsidR="00E93F58" w:rsidRPr="00576D60" w:rsidRDefault="00E93F58" w:rsidP="002F32E3">
            <w:pPr>
              <w:pStyle w:val="ENoteTableText"/>
            </w:pPr>
            <w:r w:rsidRPr="00576D60">
              <w:t>rep F2021L00127</w:t>
            </w:r>
          </w:p>
        </w:tc>
      </w:tr>
      <w:tr w:rsidR="00E93F58" w:rsidRPr="00576D60" w14:paraId="59371D84" w14:textId="77777777" w:rsidTr="002F32E3">
        <w:trPr>
          <w:cantSplit/>
        </w:trPr>
        <w:tc>
          <w:tcPr>
            <w:tcW w:w="1500" w:type="pct"/>
            <w:shd w:val="clear" w:color="auto" w:fill="auto"/>
          </w:tcPr>
          <w:p w14:paraId="706AC198" w14:textId="77777777" w:rsidR="00E93F58" w:rsidRPr="00576D60" w:rsidRDefault="00E93F58" w:rsidP="002F32E3">
            <w:pPr>
              <w:pStyle w:val="ENoteTableText"/>
              <w:tabs>
                <w:tab w:val="left" w:leader="dot" w:pos="2268"/>
              </w:tabs>
            </w:pPr>
            <w:r w:rsidRPr="00576D60">
              <w:t>r 7.1.33A</w:t>
            </w:r>
            <w:r w:rsidRPr="00576D60">
              <w:tab/>
            </w:r>
          </w:p>
        </w:tc>
        <w:tc>
          <w:tcPr>
            <w:tcW w:w="3500" w:type="pct"/>
            <w:shd w:val="clear" w:color="auto" w:fill="auto"/>
          </w:tcPr>
          <w:p w14:paraId="4A91DF7A" w14:textId="77777777" w:rsidR="00E93F58" w:rsidRPr="00576D60" w:rsidRDefault="00E93F58" w:rsidP="002F32E3">
            <w:pPr>
              <w:pStyle w:val="ENoteTableText"/>
            </w:pPr>
            <w:r w:rsidRPr="00576D60">
              <w:t>ad No 41, 2002</w:t>
            </w:r>
          </w:p>
        </w:tc>
      </w:tr>
      <w:tr w:rsidR="00E93F58" w:rsidRPr="00576D60" w14:paraId="65AC08B7" w14:textId="77777777" w:rsidTr="002F32E3">
        <w:trPr>
          <w:cantSplit/>
        </w:trPr>
        <w:tc>
          <w:tcPr>
            <w:tcW w:w="1500" w:type="pct"/>
            <w:shd w:val="clear" w:color="auto" w:fill="auto"/>
          </w:tcPr>
          <w:p w14:paraId="327434C2" w14:textId="77777777" w:rsidR="00E93F58" w:rsidRPr="00576D60" w:rsidRDefault="00E93F58" w:rsidP="002F32E3">
            <w:pPr>
              <w:pStyle w:val="ENoteTableText"/>
              <w:tabs>
                <w:tab w:val="left" w:leader="dot" w:pos="2268"/>
              </w:tabs>
            </w:pPr>
          </w:p>
        </w:tc>
        <w:tc>
          <w:tcPr>
            <w:tcW w:w="3500" w:type="pct"/>
            <w:shd w:val="clear" w:color="auto" w:fill="auto"/>
          </w:tcPr>
          <w:p w14:paraId="2F18CE38" w14:textId="77777777" w:rsidR="00E93F58" w:rsidRPr="00576D60" w:rsidRDefault="00E93F58" w:rsidP="002F32E3">
            <w:pPr>
              <w:pStyle w:val="ENoteTableText"/>
            </w:pPr>
            <w:r w:rsidRPr="00576D60">
              <w:t>am F2018L01144</w:t>
            </w:r>
          </w:p>
        </w:tc>
      </w:tr>
      <w:tr w:rsidR="00E93F58" w:rsidRPr="00576D60" w14:paraId="206F697F" w14:textId="77777777" w:rsidTr="002F32E3">
        <w:trPr>
          <w:cantSplit/>
        </w:trPr>
        <w:tc>
          <w:tcPr>
            <w:tcW w:w="1500" w:type="pct"/>
            <w:shd w:val="clear" w:color="auto" w:fill="auto"/>
          </w:tcPr>
          <w:p w14:paraId="13D75489" w14:textId="77777777" w:rsidR="00E93F58" w:rsidRPr="00576D60" w:rsidRDefault="00E93F58" w:rsidP="002F32E3">
            <w:pPr>
              <w:pStyle w:val="ENoteTableText"/>
              <w:tabs>
                <w:tab w:val="left" w:leader="dot" w:pos="2268"/>
              </w:tabs>
            </w:pPr>
            <w:r w:rsidRPr="00576D60">
              <w:t>r. 7.1.33B</w:t>
            </w:r>
            <w:r w:rsidRPr="00576D60">
              <w:tab/>
            </w:r>
          </w:p>
        </w:tc>
        <w:tc>
          <w:tcPr>
            <w:tcW w:w="3500" w:type="pct"/>
            <w:shd w:val="clear" w:color="auto" w:fill="auto"/>
          </w:tcPr>
          <w:p w14:paraId="46D2CF81" w14:textId="77777777" w:rsidR="00E93F58" w:rsidRPr="00576D60" w:rsidRDefault="00E93F58" w:rsidP="002F32E3">
            <w:pPr>
              <w:pStyle w:val="ENoteTableText"/>
            </w:pPr>
            <w:r w:rsidRPr="00576D60">
              <w:t>ad. 2002 No. 41</w:t>
            </w:r>
          </w:p>
        </w:tc>
      </w:tr>
      <w:tr w:rsidR="00E93F58" w:rsidRPr="00576D60" w14:paraId="4B0B5947" w14:textId="77777777" w:rsidTr="002F32E3">
        <w:trPr>
          <w:cantSplit/>
        </w:trPr>
        <w:tc>
          <w:tcPr>
            <w:tcW w:w="1500" w:type="pct"/>
            <w:shd w:val="clear" w:color="auto" w:fill="auto"/>
          </w:tcPr>
          <w:p w14:paraId="6D2EFA9C" w14:textId="77777777" w:rsidR="00E93F58" w:rsidRPr="00576D60" w:rsidRDefault="00E93F58" w:rsidP="002F32E3">
            <w:pPr>
              <w:pStyle w:val="ENoteTableText"/>
              <w:tabs>
                <w:tab w:val="left" w:leader="dot" w:pos="2268"/>
              </w:tabs>
            </w:pPr>
          </w:p>
        </w:tc>
        <w:tc>
          <w:tcPr>
            <w:tcW w:w="3500" w:type="pct"/>
            <w:shd w:val="clear" w:color="auto" w:fill="auto"/>
          </w:tcPr>
          <w:p w14:paraId="3E512BD5" w14:textId="77777777" w:rsidR="00E93F58" w:rsidRPr="00576D60" w:rsidRDefault="00E93F58" w:rsidP="002F32E3">
            <w:pPr>
              <w:pStyle w:val="ENoteTableText"/>
            </w:pPr>
            <w:r w:rsidRPr="00576D60">
              <w:t>am. 2003 No 126 and 368</w:t>
            </w:r>
          </w:p>
        </w:tc>
      </w:tr>
      <w:tr w:rsidR="00E93F58" w:rsidRPr="00576D60" w14:paraId="0C543318" w14:textId="77777777" w:rsidTr="002F32E3">
        <w:trPr>
          <w:cantSplit/>
        </w:trPr>
        <w:tc>
          <w:tcPr>
            <w:tcW w:w="1500" w:type="pct"/>
            <w:shd w:val="clear" w:color="auto" w:fill="auto"/>
          </w:tcPr>
          <w:p w14:paraId="0D6CDCE7" w14:textId="77777777" w:rsidR="00E93F58" w:rsidRPr="00576D60" w:rsidRDefault="00E93F58" w:rsidP="002F32E3">
            <w:pPr>
              <w:pStyle w:val="ENoteTableText"/>
              <w:tabs>
                <w:tab w:val="left" w:leader="dot" w:pos="2268"/>
              </w:tabs>
            </w:pPr>
            <w:r w:rsidRPr="00576D60">
              <w:t>r. 7.1.33C</w:t>
            </w:r>
            <w:r w:rsidRPr="00576D60">
              <w:tab/>
            </w:r>
          </w:p>
        </w:tc>
        <w:tc>
          <w:tcPr>
            <w:tcW w:w="3500" w:type="pct"/>
            <w:shd w:val="clear" w:color="auto" w:fill="auto"/>
          </w:tcPr>
          <w:p w14:paraId="246330CF" w14:textId="77777777" w:rsidR="00E93F58" w:rsidRPr="00576D60" w:rsidRDefault="00E93F58" w:rsidP="002F32E3">
            <w:pPr>
              <w:pStyle w:val="ENoteTableText"/>
            </w:pPr>
            <w:r w:rsidRPr="00576D60">
              <w:t>ad. 2003 No. 48</w:t>
            </w:r>
          </w:p>
        </w:tc>
      </w:tr>
      <w:tr w:rsidR="00E93F58" w:rsidRPr="00576D60" w14:paraId="409FBB2A" w14:textId="77777777" w:rsidTr="002F32E3">
        <w:trPr>
          <w:cantSplit/>
        </w:trPr>
        <w:tc>
          <w:tcPr>
            <w:tcW w:w="1500" w:type="pct"/>
            <w:shd w:val="clear" w:color="auto" w:fill="auto"/>
          </w:tcPr>
          <w:p w14:paraId="1538D48C" w14:textId="77777777" w:rsidR="00E93F58" w:rsidRPr="00576D60" w:rsidRDefault="00E93F58" w:rsidP="002F32E3">
            <w:pPr>
              <w:pStyle w:val="ENoteTableText"/>
              <w:tabs>
                <w:tab w:val="left" w:leader="dot" w:pos="2268"/>
              </w:tabs>
            </w:pPr>
          </w:p>
        </w:tc>
        <w:tc>
          <w:tcPr>
            <w:tcW w:w="3500" w:type="pct"/>
            <w:shd w:val="clear" w:color="auto" w:fill="auto"/>
          </w:tcPr>
          <w:p w14:paraId="403EB482" w14:textId="77777777" w:rsidR="00E93F58" w:rsidRPr="00576D60" w:rsidRDefault="00E93F58" w:rsidP="002F32E3">
            <w:pPr>
              <w:pStyle w:val="ENoteTableText"/>
            </w:pPr>
            <w:r w:rsidRPr="00576D60">
              <w:t>rep. 2003 No. 369</w:t>
            </w:r>
          </w:p>
        </w:tc>
      </w:tr>
      <w:tr w:rsidR="00E93F58" w:rsidRPr="00576D60" w14:paraId="133CE69D" w14:textId="77777777" w:rsidTr="002F32E3">
        <w:trPr>
          <w:cantSplit/>
        </w:trPr>
        <w:tc>
          <w:tcPr>
            <w:tcW w:w="1500" w:type="pct"/>
            <w:shd w:val="clear" w:color="auto" w:fill="auto"/>
          </w:tcPr>
          <w:p w14:paraId="4ADC0F3A" w14:textId="77777777" w:rsidR="00E93F58" w:rsidRPr="00576D60" w:rsidRDefault="00E93F58" w:rsidP="002F32E3">
            <w:pPr>
              <w:pStyle w:val="ENoteTableText"/>
              <w:tabs>
                <w:tab w:val="left" w:leader="dot" w:pos="2268"/>
              </w:tabs>
            </w:pPr>
            <w:r w:rsidRPr="00576D60">
              <w:t>r 7.1.33D</w:t>
            </w:r>
            <w:r w:rsidRPr="00576D60">
              <w:tab/>
            </w:r>
          </w:p>
        </w:tc>
        <w:tc>
          <w:tcPr>
            <w:tcW w:w="3500" w:type="pct"/>
            <w:shd w:val="clear" w:color="auto" w:fill="auto"/>
          </w:tcPr>
          <w:p w14:paraId="7740FD28" w14:textId="77777777" w:rsidR="00E93F58" w:rsidRPr="00576D60" w:rsidRDefault="00E93F58" w:rsidP="002F32E3">
            <w:pPr>
              <w:pStyle w:val="ENoteTableText"/>
            </w:pPr>
            <w:r w:rsidRPr="00576D60">
              <w:t>ad</w:t>
            </w:r>
            <w:r>
              <w:t xml:space="preserve"> No 85, 2003</w:t>
            </w:r>
          </w:p>
        </w:tc>
      </w:tr>
      <w:tr w:rsidR="00E93F58" w:rsidRPr="00576D60" w14:paraId="69E3EF3A" w14:textId="77777777" w:rsidTr="002F32E3">
        <w:trPr>
          <w:cantSplit/>
        </w:trPr>
        <w:tc>
          <w:tcPr>
            <w:tcW w:w="1500" w:type="pct"/>
            <w:shd w:val="clear" w:color="auto" w:fill="auto"/>
          </w:tcPr>
          <w:p w14:paraId="2267CAE9" w14:textId="77777777" w:rsidR="00E93F58" w:rsidRPr="00576D60" w:rsidRDefault="00E93F58" w:rsidP="002F32E3">
            <w:pPr>
              <w:pStyle w:val="ENoteTableText"/>
              <w:tabs>
                <w:tab w:val="left" w:leader="dot" w:pos="2268"/>
              </w:tabs>
            </w:pPr>
          </w:p>
        </w:tc>
        <w:tc>
          <w:tcPr>
            <w:tcW w:w="3500" w:type="pct"/>
            <w:shd w:val="clear" w:color="auto" w:fill="auto"/>
          </w:tcPr>
          <w:p w14:paraId="02E01721" w14:textId="77777777" w:rsidR="00E93F58" w:rsidRPr="00576D60" w:rsidRDefault="00E93F58" w:rsidP="002F32E3">
            <w:pPr>
              <w:pStyle w:val="ENoteTableText"/>
            </w:pPr>
            <w:r>
              <w:t>am F2023L01458</w:t>
            </w:r>
          </w:p>
        </w:tc>
      </w:tr>
      <w:tr w:rsidR="00E93F58" w:rsidRPr="00576D60" w14:paraId="0AF59F97" w14:textId="77777777" w:rsidTr="002F32E3">
        <w:trPr>
          <w:cantSplit/>
        </w:trPr>
        <w:tc>
          <w:tcPr>
            <w:tcW w:w="1500" w:type="pct"/>
            <w:shd w:val="clear" w:color="auto" w:fill="auto"/>
          </w:tcPr>
          <w:p w14:paraId="685D84A6" w14:textId="77777777" w:rsidR="00E93F58" w:rsidRPr="00576D60" w:rsidRDefault="00E93F58" w:rsidP="002F32E3">
            <w:pPr>
              <w:pStyle w:val="ENoteTableText"/>
              <w:tabs>
                <w:tab w:val="left" w:leader="dot" w:pos="2268"/>
              </w:tabs>
            </w:pPr>
            <w:r w:rsidRPr="00576D60">
              <w:t>r 7.1.33E</w:t>
            </w:r>
            <w:r w:rsidRPr="00576D60">
              <w:tab/>
            </w:r>
          </w:p>
        </w:tc>
        <w:tc>
          <w:tcPr>
            <w:tcW w:w="3500" w:type="pct"/>
            <w:shd w:val="clear" w:color="auto" w:fill="auto"/>
          </w:tcPr>
          <w:p w14:paraId="66B6B975" w14:textId="77777777" w:rsidR="00E93F58" w:rsidRPr="00576D60" w:rsidRDefault="00E93F58" w:rsidP="002F32E3">
            <w:pPr>
              <w:pStyle w:val="ENoteTableText"/>
            </w:pPr>
            <w:r w:rsidRPr="00576D60">
              <w:t>ad No 282, 2003</w:t>
            </w:r>
          </w:p>
        </w:tc>
      </w:tr>
      <w:tr w:rsidR="00E93F58" w:rsidRPr="00576D60" w14:paraId="338866A0" w14:textId="77777777" w:rsidTr="002F32E3">
        <w:trPr>
          <w:cantSplit/>
        </w:trPr>
        <w:tc>
          <w:tcPr>
            <w:tcW w:w="1500" w:type="pct"/>
            <w:shd w:val="clear" w:color="auto" w:fill="auto"/>
          </w:tcPr>
          <w:p w14:paraId="0BF80E6B" w14:textId="77777777" w:rsidR="00E93F58" w:rsidRPr="00576D60" w:rsidRDefault="00E93F58" w:rsidP="002F32E3">
            <w:pPr>
              <w:pStyle w:val="ENoteTableText"/>
              <w:tabs>
                <w:tab w:val="left" w:leader="dot" w:pos="2268"/>
              </w:tabs>
            </w:pPr>
          </w:p>
        </w:tc>
        <w:tc>
          <w:tcPr>
            <w:tcW w:w="3500" w:type="pct"/>
            <w:shd w:val="clear" w:color="auto" w:fill="auto"/>
          </w:tcPr>
          <w:p w14:paraId="464DD8F1" w14:textId="77777777" w:rsidR="00E93F58" w:rsidRPr="00576D60" w:rsidRDefault="00E93F58" w:rsidP="002F32E3">
            <w:pPr>
              <w:pStyle w:val="ENoteTableText"/>
            </w:pPr>
            <w:r w:rsidRPr="00576D60">
              <w:t>am F2018L01144</w:t>
            </w:r>
            <w:r>
              <w:t>; F2023L01458</w:t>
            </w:r>
          </w:p>
        </w:tc>
      </w:tr>
      <w:tr w:rsidR="00E93F58" w:rsidRPr="00576D60" w14:paraId="6C68E0D4" w14:textId="77777777" w:rsidTr="002F32E3">
        <w:trPr>
          <w:cantSplit/>
        </w:trPr>
        <w:tc>
          <w:tcPr>
            <w:tcW w:w="1500" w:type="pct"/>
            <w:shd w:val="clear" w:color="auto" w:fill="auto"/>
          </w:tcPr>
          <w:p w14:paraId="12D5D022" w14:textId="77777777" w:rsidR="00E93F58" w:rsidRPr="00576D60" w:rsidRDefault="00E93F58" w:rsidP="002F32E3">
            <w:pPr>
              <w:pStyle w:val="ENoteTableText"/>
              <w:tabs>
                <w:tab w:val="left" w:leader="dot" w:pos="2268"/>
              </w:tabs>
            </w:pPr>
            <w:r w:rsidRPr="00576D60">
              <w:t>r. 7.1.33F</w:t>
            </w:r>
            <w:r w:rsidRPr="00576D60">
              <w:tab/>
            </w:r>
          </w:p>
        </w:tc>
        <w:tc>
          <w:tcPr>
            <w:tcW w:w="3500" w:type="pct"/>
            <w:shd w:val="clear" w:color="auto" w:fill="auto"/>
          </w:tcPr>
          <w:p w14:paraId="2F9E712F" w14:textId="77777777" w:rsidR="00E93F58" w:rsidRPr="00576D60" w:rsidRDefault="00E93F58" w:rsidP="002F32E3">
            <w:pPr>
              <w:pStyle w:val="ENoteTableText"/>
            </w:pPr>
            <w:r w:rsidRPr="00576D60">
              <w:t>ad. 2003 No. 368</w:t>
            </w:r>
          </w:p>
        </w:tc>
      </w:tr>
      <w:tr w:rsidR="00E93F58" w:rsidRPr="00576D60" w14:paraId="5D2516AE" w14:textId="77777777" w:rsidTr="002F32E3">
        <w:trPr>
          <w:cantSplit/>
        </w:trPr>
        <w:tc>
          <w:tcPr>
            <w:tcW w:w="1500" w:type="pct"/>
            <w:shd w:val="clear" w:color="auto" w:fill="auto"/>
          </w:tcPr>
          <w:p w14:paraId="0E860D2B" w14:textId="77777777" w:rsidR="00E93F58" w:rsidRPr="00576D60" w:rsidRDefault="00E93F58" w:rsidP="002F32E3">
            <w:pPr>
              <w:pStyle w:val="ENoteTableText"/>
              <w:tabs>
                <w:tab w:val="left" w:leader="dot" w:pos="2268"/>
              </w:tabs>
            </w:pPr>
            <w:r w:rsidRPr="00576D60">
              <w:t>r. 7.1.33G</w:t>
            </w:r>
            <w:r w:rsidRPr="00576D60">
              <w:tab/>
            </w:r>
          </w:p>
        </w:tc>
        <w:tc>
          <w:tcPr>
            <w:tcW w:w="3500" w:type="pct"/>
            <w:shd w:val="clear" w:color="auto" w:fill="auto"/>
          </w:tcPr>
          <w:p w14:paraId="47B3F0AE" w14:textId="77777777" w:rsidR="00E93F58" w:rsidRPr="00576D60" w:rsidRDefault="00E93F58" w:rsidP="002F32E3">
            <w:pPr>
              <w:pStyle w:val="ENoteTableText"/>
            </w:pPr>
            <w:r w:rsidRPr="00576D60">
              <w:t>ad. 2005 No. 324</w:t>
            </w:r>
          </w:p>
        </w:tc>
      </w:tr>
      <w:tr w:rsidR="00E93F58" w:rsidRPr="00576D60" w14:paraId="1BF9539F" w14:textId="77777777" w:rsidTr="002F32E3">
        <w:trPr>
          <w:cantSplit/>
        </w:trPr>
        <w:tc>
          <w:tcPr>
            <w:tcW w:w="1500" w:type="pct"/>
            <w:shd w:val="clear" w:color="auto" w:fill="auto"/>
          </w:tcPr>
          <w:p w14:paraId="72E3F862" w14:textId="77777777" w:rsidR="00E93F58" w:rsidRPr="00576D60" w:rsidRDefault="00E93F58" w:rsidP="002F32E3">
            <w:pPr>
              <w:pStyle w:val="ENoteTableText"/>
              <w:tabs>
                <w:tab w:val="left" w:leader="dot" w:pos="2268"/>
              </w:tabs>
            </w:pPr>
            <w:r w:rsidRPr="00576D60">
              <w:t>r. 7.1.33H</w:t>
            </w:r>
            <w:r w:rsidRPr="00576D60">
              <w:tab/>
            </w:r>
          </w:p>
        </w:tc>
        <w:tc>
          <w:tcPr>
            <w:tcW w:w="3500" w:type="pct"/>
            <w:shd w:val="clear" w:color="auto" w:fill="auto"/>
          </w:tcPr>
          <w:p w14:paraId="2EBCCC60" w14:textId="77777777" w:rsidR="00E93F58" w:rsidRPr="00576D60" w:rsidRDefault="00E93F58" w:rsidP="002F32E3">
            <w:pPr>
              <w:pStyle w:val="ENoteTableText"/>
            </w:pPr>
            <w:r w:rsidRPr="00576D60">
              <w:t>ad. 2005 No. 324</w:t>
            </w:r>
          </w:p>
        </w:tc>
      </w:tr>
      <w:tr w:rsidR="00E93F58" w:rsidRPr="00576D60" w14:paraId="01EAA164" w14:textId="77777777" w:rsidTr="002F32E3">
        <w:trPr>
          <w:cantSplit/>
        </w:trPr>
        <w:tc>
          <w:tcPr>
            <w:tcW w:w="1500" w:type="pct"/>
            <w:shd w:val="clear" w:color="auto" w:fill="auto"/>
          </w:tcPr>
          <w:p w14:paraId="4709BEF2" w14:textId="77777777" w:rsidR="00E93F58" w:rsidRPr="00576D60" w:rsidRDefault="00E93F58" w:rsidP="002F32E3">
            <w:pPr>
              <w:pStyle w:val="ENoteTableText"/>
              <w:tabs>
                <w:tab w:val="left" w:leader="dot" w:pos="2268"/>
              </w:tabs>
              <w:rPr>
                <w:b/>
              </w:rPr>
            </w:pPr>
            <w:r w:rsidRPr="00576D60">
              <w:rPr>
                <w:b/>
              </w:rPr>
              <w:t>Division 4</w:t>
            </w:r>
          </w:p>
        </w:tc>
        <w:tc>
          <w:tcPr>
            <w:tcW w:w="3500" w:type="pct"/>
            <w:shd w:val="clear" w:color="auto" w:fill="auto"/>
          </w:tcPr>
          <w:p w14:paraId="5BEF2EFE" w14:textId="77777777" w:rsidR="00E93F58" w:rsidRPr="00576D60" w:rsidRDefault="00E93F58" w:rsidP="002F32E3">
            <w:pPr>
              <w:pStyle w:val="ENoteTableText"/>
            </w:pPr>
          </w:p>
        </w:tc>
      </w:tr>
      <w:tr w:rsidR="00E93F58" w:rsidRPr="00576D60" w14:paraId="38D16E9E" w14:textId="77777777" w:rsidTr="002F32E3">
        <w:trPr>
          <w:cantSplit/>
        </w:trPr>
        <w:tc>
          <w:tcPr>
            <w:tcW w:w="1500" w:type="pct"/>
            <w:shd w:val="clear" w:color="auto" w:fill="auto"/>
          </w:tcPr>
          <w:p w14:paraId="213E2803" w14:textId="77777777" w:rsidR="00E93F58" w:rsidRPr="00576D60" w:rsidRDefault="00E93F58" w:rsidP="002F32E3">
            <w:pPr>
              <w:pStyle w:val="ENoteTableText"/>
              <w:tabs>
                <w:tab w:val="left" w:leader="dot" w:pos="2268"/>
              </w:tabs>
            </w:pPr>
            <w:r w:rsidRPr="00576D60">
              <w:t>Division 4 of Part 7.1</w:t>
            </w:r>
            <w:r w:rsidRPr="00576D60">
              <w:tab/>
            </w:r>
          </w:p>
        </w:tc>
        <w:tc>
          <w:tcPr>
            <w:tcW w:w="3500" w:type="pct"/>
            <w:shd w:val="clear" w:color="auto" w:fill="auto"/>
          </w:tcPr>
          <w:p w14:paraId="6891B4C9" w14:textId="77777777" w:rsidR="00E93F58" w:rsidRPr="00576D60" w:rsidRDefault="00E93F58" w:rsidP="002F32E3">
            <w:pPr>
              <w:pStyle w:val="ENoteTableText"/>
            </w:pPr>
            <w:r w:rsidRPr="00576D60">
              <w:t>ad. 2002 No. 16</w:t>
            </w:r>
          </w:p>
        </w:tc>
      </w:tr>
      <w:tr w:rsidR="00E93F58" w:rsidRPr="00576D60" w14:paraId="69CA2BF3" w14:textId="77777777" w:rsidTr="002F32E3">
        <w:trPr>
          <w:cantSplit/>
        </w:trPr>
        <w:tc>
          <w:tcPr>
            <w:tcW w:w="1500" w:type="pct"/>
            <w:shd w:val="clear" w:color="auto" w:fill="auto"/>
          </w:tcPr>
          <w:p w14:paraId="558D76F1" w14:textId="77777777" w:rsidR="00E93F58" w:rsidRPr="00576D60" w:rsidRDefault="00E93F58" w:rsidP="002F32E3">
            <w:pPr>
              <w:pStyle w:val="ENoteTableText"/>
              <w:tabs>
                <w:tab w:val="left" w:leader="dot" w:pos="2268"/>
              </w:tabs>
            </w:pPr>
            <w:r w:rsidRPr="00576D60">
              <w:t>r. 7.1.34</w:t>
            </w:r>
            <w:r w:rsidRPr="00576D60">
              <w:tab/>
            </w:r>
          </w:p>
        </w:tc>
        <w:tc>
          <w:tcPr>
            <w:tcW w:w="3500" w:type="pct"/>
            <w:shd w:val="clear" w:color="auto" w:fill="auto"/>
          </w:tcPr>
          <w:p w14:paraId="2F18E9B2" w14:textId="77777777" w:rsidR="00E93F58" w:rsidRPr="00576D60" w:rsidRDefault="00E93F58" w:rsidP="002F32E3">
            <w:pPr>
              <w:pStyle w:val="ENoteTableText"/>
            </w:pPr>
            <w:r w:rsidRPr="00576D60">
              <w:t>ad. 2002 No. 16</w:t>
            </w:r>
          </w:p>
        </w:tc>
      </w:tr>
      <w:tr w:rsidR="00E93F58" w:rsidRPr="00576D60" w14:paraId="5439BE56" w14:textId="77777777" w:rsidTr="002F32E3">
        <w:trPr>
          <w:cantSplit/>
        </w:trPr>
        <w:tc>
          <w:tcPr>
            <w:tcW w:w="1500" w:type="pct"/>
            <w:shd w:val="clear" w:color="auto" w:fill="auto"/>
          </w:tcPr>
          <w:p w14:paraId="0C0504C3" w14:textId="77777777" w:rsidR="00E93F58" w:rsidRPr="00576D60" w:rsidRDefault="00E93F58" w:rsidP="002F32E3">
            <w:pPr>
              <w:pStyle w:val="ENoteTableText"/>
              <w:tabs>
                <w:tab w:val="left" w:leader="dot" w:pos="2268"/>
              </w:tabs>
            </w:pPr>
          </w:p>
        </w:tc>
        <w:tc>
          <w:tcPr>
            <w:tcW w:w="3500" w:type="pct"/>
            <w:shd w:val="clear" w:color="auto" w:fill="auto"/>
          </w:tcPr>
          <w:p w14:paraId="37946D81" w14:textId="77777777" w:rsidR="00E93F58" w:rsidRPr="00576D60" w:rsidRDefault="00E93F58" w:rsidP="002F32E3">
            <w:pPr>
              <w:pStyle w:val="ENoteTableText"/>
            </w:pPr>
            <w:r w:rsidRPr="00576D60">
              <w:t>rs. 2003 No. 282</w:t>
            </w:r>
          </w:p>
        </w:tc>
      </w:tr>
      <w:tr w:rsidR="00E93F58" w:rsidRPr="00576D60" w14:paraId="0C6B98C6" w14:textId="77777777" w:rsidTr="002F32E3">
        <w:trPr>
          <w:cantSplit/>
        </w:trPr>
        <w:tc>
          <w:tcPr>
            <w:tcW w:w="1500" w:type="pct"/>
            <w:shd w:val="clear" w:color="auto" w:fill="auto"/>
          </w:tcPr>
          <w:p w14:paraId="4647C63A" w14:textId="77777777" w:rsidR="00E93F58" w:rsidRPr="00576D60" w:rsidRDefault="00E93F58" w:rsidP="002F32E3">
            <w:pPr>
              <w:pStyle w:val="ENoteTableText"/>
              <w:tabs>
                <w:tab w:val="left" w:leader="dot" w:pos="2268"/>
              </w:tabs>
            </w:pPr>
          </w:p>
        </w:tc>
        <w:tc>
          <w:tcPr>
            <w:tcW w:w="3500" w:type="pct"/>
            <w:shd w:val="clear" w:color="auto" w:fill="auto"/>
          </w:tcPr>
          <w:p w14:paraId="4A8C88DE" w14:textId="77777777" w:rsidR="00E93F58" w:rsidRPr="00576D60" w:rsidRDefault="00E93F58" w:rsidP="002F32E3">
            <w:pPr>
              <w:pStyle w:val="ENoteTableText"/>
            </w:pPr>
            <w:r w:rsidRPr="00576D60">
              <w:t>am. 2010 No. 89</w:t>
            </w:r>
          </w:p>
        </w:tc>
      </w:tr>
      <w:tr w:rsidR="00E93F58" w:rsidRPr="00576D60" w14:paraId="6F1BF584" w14:textId="77777777" w:rsidTr="002F32E3">
        <w:trPr>
          <w:cantSplit/>
        </w:trPr>
        <w:tc>
          <w:tcPr>
            <w:tcW w:w="1500" w:type="pct"/>
            <w:shd w:val="clear" w:color="auto" w:fill="auto"/>
          </w:tcPr>
          <w:p w14:paraId="16D09B88" w14:textId="77777777" w:rsidR="00E93F58" w:rsidRPr="00576D60" w:rsidRDefault="00E93F58" w:rsidP="002F32E3">
            <w:pPr>
              <w:pStyle w:val="ENoteTableText"/>
              <w:tabs>
                <w:tab w:val="left" w:leader="dot" w:pos="2268"/>
              </w:tabs>
            </w:pPr>
            <w:r w:rsidRPr="00576D60">
              <w:lastRenderedPageBreak/>
              <w:t>r. 7.1.35</w:t>
            </w:r>
            <w:r w:rsidRPr="00576D60">
              <w:tab/>
            </w:r>
          </w:p>
        </w:tc>
        <w:tc>
          <w:tcPr>
            <w:tcW w:w="3500" w:type="pct"/>
            <w:shd w:val="clear" w:color="auto" w:fill="auto"/>
          </w:tcPr>
          <w:p w14:paraId="5BEB5B57" w14:textId="77777777" w:rsidR="00E93F58" w:rsidRPr="00576D60" w:rsidRDefault="00E93F58" w:rsidP="002F32E3">
            <w:pPr>
              <w:pStyle w:val="ENoteTableText"/>
            </w:pPr>
            <w:r w:rsidRPr="00576D60">
              <w:t>ad. 2003 No. 126</w:t>
            </w:r>
          </w:p>
        </w:tc>
      </w:tr>
      <w:tr w:rsidR="00E93F58" w:rsidRPr="00576D60" w14:paraId="0A53C004" w14:textId="77777777" w:rsidTr="002F32E3">
        <w:trPr>
          <w:cantSplit/>
        </w:trPr>
        <w:tc>
          <w:tcPr>
            <w:tcW w:w="1500" w:type="pct"/>
            <w:shd w:val="clear" w:color="auto" w:fill="auto"/>
          </w:tcPr>
          <w:p w14:paraId="1EA6ABC9" w14:textId="77777777" w:rsidR="00E93F58" w:rsidRPr="00576D60" w:rsidRDefault="00E93F58" w:rsidP="002F32E3">
            <w:pPr>
              <w:pStyle w:val="ENoteTableText"/>
              <w:tabs>
                <w:tab w:val="left" w:leader="dot" w:pos="2268"/>
              </w:tabs>
            </w:pPr>
          </w:p>
        </w:tc>
        <w:tc>
          <w:tcPr>
            <w:tcW w:w="3500" w:type="pct"/>
            <w:shd w:val="clear" w:color="auto" w:fill="auto"/>
          </w:tcPr>
          <w:p w14:paraId="7B1907F8" w14:textId="77777777" w:rsidR="00E93F58" w:rsidRPr="00576D60" w:rsidRDefault="00E93F58" w:rsidP="002F32E3">
            <w:pPr>
              <w:pStyle w:val="ENoteTableText"/>
            </w:pPr>
            <w:r w:rsidRPr="00576D60">
              <w:t>am. 2005 No. 31</w:t>
            </w:r>
          </w:p>
        </w:tc>
      </w:tr>
      <w:tr w:rsidR="00E93F58" w:rsidRPr="00576D60" w14:paraId="2144C6DD" w14:textId="77777777" w:rsidTr="002F32E3">
        <w:trPr>
          <w:cantSplit/>
        </w:trPr>
        <w:tc>
          <w:tcPr>
            <w:tcW w:w="1500" w:type="pct"/>
            <w:shd w:val="clear" w:color="auto" w:fill="auto"/>
          </w:tcPr>
          <w:p w14:paraId="49FA03F0" w14:textId="77777777" w:rsidR="00E93F58" w:rsidRPr="00576D60" w:rsidRDefault="00E93F58" w:rsidP="002F32E3">
            <w:pPr>
              <w:pStyle w:val="ENoteTableText"/>
              <w:tabs>
                <w:tab w:val="left" w:leader="dot" w:pos="2268"/>
              </w:tabs>
            </w:pPr>
            <w:r w:rsidRPr="00576D60">
              <w:t>r. 7.1.35A</w:t>
            </w:r>
            <w:r w:rsidRPr="00576D60">
              <w:tab/>
            </w:r>
          </w:p>
        </w:tc>
        <w:tc>
          <w:tcPr>
            <w:tcW w:w="3500" w:type="pct"/>
            <w:shd w:val="clear" w:color="auto" w:fill="auto"/>
          </w:tcPr>
          <w:p w14:paraId="1775E7A8" w14:textId="77777777" w:rsidR="00E93F58" w:rsidRPr="00576D60" w:rsidRDefault="00E93F58" w:rsidP="002F32E3">
            <w:pPr>
              <w:pStyle w:val="ENoteTableText"/>
            </w:pPr>
            <w:r w:rsidRPr="00576D60">
              <w:t>ad. 2003 No. 368</w:t>
            </w:r>
          </w:p>
        </w:tc>
      </w:tr>
      <w:tr w:rsidR="00E93F58" w:rsidRPr="00576D60" w14:paraId="432D5891" w14:textId="77777777" w:rsidTr="002F32E3">
        <w:trPr>
          <w:cantSplit/>
        </w:trPr>
        <w:tc>
          <w:tcPr>
            <w:tcW w:w="1500" w:type="pct"/>
            <w:shd w:val="clear" w:color="auto" w:fill="auto"/>
          </w:tcPr>
          <w:p w14:paraId="668DD3EA" w14:textId="77777777" w:rsidR="00E93F58" w:rsidRPr="00576D60" w:rsidRDefault="00E93F58" w:rsidP="002F32E3">
            <w:pPr>
              <w:pStyle w:val="ENoteTableText"/>
              <w:tabs>
                <w:tab w:val="left" w:leader="dot" w:pos="2268"/>
              </w:tabs>
            </w:pPr>
            <w:r w:rsidRPr="00576D60">
              <w:t>r. 7.1.35B</w:t>
            </w:r>
            <w:r w:rsidRPr="00576D60">
              <w:tab/>
            </w:r>
          </w:p>
        </w:tc>
        <w:tc>
          <w:tcPr>
            <w:tcW w:w="3500" w:type="pct"/>
            <w:shd w:val="clear" w:color="auto" w:fill="auto"/>
          </w:tcPr>
          <w:p w14:paraId="6A07AAB9" w14:textId="77777777" w:rsidR="00E93F58" w:rsidRPr="00576D60" w:rsidRDefault="00E93F58" w:rsidP="002F32E3">
            <w:pPr>
              <w:pStyle w:val="ENoteTableText"/>
            </w:pPr>
            <w:r w:rsidRPr="00576D60">
              <w:t>ad. 2012 No. 42</w:t>
            </w:r>
          </w:p>
        </w:tc>
      </w:tr>
      <w:tr w:rsidR="00E93F58" w:rsidRPr="00576D60" w14:paraId="5467FE5D" w14:textId="77777777" w:rsidTr="002F32E3">
        <w:trPr>
          <w:cantSplit/>
        </w:trPr>
        <w:tc>
          <w:tcPr>
            <w:tcW w:w="1500" w:type="pct"/>
            <w:shd w:val="clear" w:color="auto" w:fill="auto"/>
          </w:tcPr>
          <w:p w14:paraId="3DAB98F4" w14:textId="77777777" w:rsidR="00E93F58" w:rsidRPr="00576D60" w:rsidRDefault="00E93F58" w:rsidP="002F32E3">
            <w:pPr>
              <w:pStyle w:val="ENoteTableText"/>
              <w:tabs>
                <w:tab w:val="left" w:leader="dot" w:pos="2268"/>
              </w:tabs>
            </w:pPr>
            <w:r w:rsidRPr="00576D60">
              <w:t>r. 7.1.35C</w:t>
            </w:r>
            <w:r w:rsidRPr="00576D60">
              <w:tab/>
            </w:r>
          </w:p>
        </w:tc>
        <w:tc>
          <w:tcPr>
            <w:tcW w:w="3500" w:type="pct"/>
            <w:shd w:val="clear" w:color="auto" w:fill="auto"/>
          </w:tcPr>
          <w:p w14:paraId="7B17A027" w14:textId="77777777" w:rsidR="00E93F58" w:rsidRPr="00576D60" w:rsidRDefault="00E93F58" w:rsidP="002F32E3">
            <w:pPr>
              <w:pStyle w:val="ENoteTableText"/>
            </w:pPr>
            <w:r w:rsidRPr="00576D60">
              <w:t>ad. 2012 No. 42</w:t>
            </w:r>
          </w:p>
        </w:tc>
      </w:tr>
      <w:tr w:rsidR="00E93F58" w:rsidRPr="00576D60" w14:paraId="56ABC791" w14:textId="77777777" w:rsidTr="002F32E3">
        <w:trPr>
          <w:cantSplit/>
        </w:trPr>
        <w:tc>
          <w:tcPr>
            <w:tcW w:w="1500" w:type="pct"/>
            <w:shd w:val="clear" w:color="auto" w:fill="auto"/>
          </w:tcPr>
          <w:p w14:paraId="34961BEA" w14:textId="77777777" w:rsidR="00E93F58" w:rsidRPr="00576D60" w:rsidRDefault="00E93F58" w:rsidP="009174F4">
            <w:pPr>
              <w:pStyle w:val="ENoteTableText"/>
              <w:keepNext/>
              <w:tabs>
                <w:tab w:val="left" w:leader="dot" w:pos="2268"/>
              </w:tabs>
              <w:rPr>
                <w:b/>
              </w:rPr>
            </w:pPr>
            <w:r w:rsidRPr="00576D60">
              <w:rPr>
                <w:b/>
              </w:rPr>
              <w:t>Division 5</w:t>
            </w:r>
          </w:p>
        </w:tc>
        <w:tc>
          <w:tcPr>
            <w:tcW w:w="3500" w:type="pct"/>
            <w:shd w:val="clear" w:color="auto" w:fill="auto"/>
          </w:tcPr>
          <w:p w14:paraId="7DB9A995" w14:textId="77777777" w:rsidR="00E93F58" w:rsidRPr="00576D60" w:rsidRDefault="00E93F58" w:rsidP="002F32E3">
            <w:pPr>
              <w:pStyle w:val="ENoteTableText"/>
            </w:pPr>
          </w:p>
        </w:tc>
      </w:tr>
      <w:tr w:rsidR="00E93F58" w:rsidRPr="00576D60" w14:paraId="4E4B32AD" w14:textId="77777777" w:rsidTr="002F32E3">
        <w:trPr>
          <w:cantSplit/>
        </w:trPr>
        <w:tc>
          <w:tcPr>
            <w:tcW w:w="1500" w:type="pct"/>
            <w:shd w:val="clear" w:color="auto" w:fill="auto"/>
          </w:tcPr>
          <w:p w14:paraId="1713EB0E" w14:textId="77777777" w:rsidR="00E93F58" w:rsidRPr="00576D60" w:rsidRDefault="00E93F58" w:rsidP="002F32E3">
            <w:pPr>
              <w:pStyle w:val="ENoteTableText"/>
              <w:tabs>
                <w:tab w:val="left" w:leader="dot" w:pos="2268"/>
              </w:tabs>
            </w:pPr>
            <w:r w:rsidRPr="00576D60">
              <w:t>Division 5</w:t>
            </w:r>
            <w:r w:rsidRPr="00576D60">
              <w:tab/>
            </w:r>
          </w:p>
        </w:tc>
        <w:tc>
          <w:tcPr>
            <w:tcW w:w="3500" w:type="pct"/>
            <w:shd w:val="clear" w:color="auto" w:fill="auto"/>
          </w:tcPr>
          <w:p w14:paraId="722D48B5" w14:textId="77777777" w:rsidR="00E93F58" w:rsidRPr="00576D60" w:rsidRDefault="00E93F58" w:rsidP="002F32E3">
            <w:pPr>
              <w:pStyle w:val="ENoteTableText"/>
            </w:pPr>
            <w:r w:rsidRPr="00576D60">
              <w:t>ad. 2003 No. 126</w:t>
            </w:r>
          </w:p>
        </w:tc>
      </w:tr>
      <w:tr w:rsidR="00E93F58" w:rsidRPr="00576D60" w14:paraId="3E697BB1" w14:textId="77777777" w:rsidTr="002F32E3">
        <w:trPr>
          <w:cantSplit/>
        </w:trPr>
        <w:tc>
          <w:tcPr>
            <w:tcW w:w="1500" w:type="pct"/>
            <w:shd w:val="clear" w:color="auto" w:fill="auto"/>
          </w:tcPr>
          <w:p w14:paraId="35E3F87B" w14:textId="77777777" w:rsidR="00E93F58" w:rsidRPr="00576D60" w:rsidRDefault="00E93F58" w:rsidP="002F32E3">
            <w:pPr>
              <w:pStyle w:val="ENoteTableText"/>
              <w:tabs>
                <w:tab w:val="left" w:leader="dot" w:pos="2268"/>
              </w:tabs>
            </w:pPr>
            <w:r w:rsidRPr="00576D60">
              <w:t>r 7.1.40</w:t>
            </w:r>
            <w:r w:rsidRPr="00576D60">
              <w:tab/>
            </w:r>
          </w:p>
        </w:tc>
        <w:tc>
          <w:tcPr>
            <w:tcW w:w="3500" w:type="pct"/>
            <w:shd w:val="clear" w:color="auto" w:fill="auto"/>
          </w:tcPr>
          <w:p w14:paraId="05C0542A" w14:textId="77777777" w:rsidR="00E93F58" w:rsidRPr="00576D60" w:rsidRDefault="00E93F58" w:rsidP="002F32E3">
            <w:pPr>
              <w:pStyle w:val="ENoteTableText"/>
            </w:pPr>
            <w:r w:rsidRPr="00576D60">
              <w:t>ad</w:t>
            </w:r>
            <w:r>
              <w:t xml:space="preserve"> No 126, 2003</w:t>
            </w:r>
          </w:p>
        </w:tc>
      </w:tr>
      <w:tr w:rsidR="00E93F58" w:rsidRPr="00576D60" w14:paraId="574E3649" w14:textId="77777777" w:rsidTr="002F32E3">
        <w:trPr>
          <w:cantSplit/>
        </w:trPr>
        <w:tc>
          <w:tcPr>
            <w:tcW w:w="1500" w:type="pct"/>
            <w:shd w:val="clear" w:color="auto" w:fill="auto"/>
          </w:tcPr>
          <w:p w14:paraId="6FBB041F" w14:textId="77777777" w:rsidR="00E93F58" w:rsidRPr="00576D60" w:rsidRDefault="00E93F58" w:rsidP="002F32E3">
            <w:pPr>
              <w:pStyle w:val="ENoteTableText"/>
              <w:tabs>
                <w:tab w:val="left" w:leader="dot" w:pos="2268"/>
              </w:tabs>
            </w:pPr>
          </w:p>
        </w:tc>
        <w:tc>
          <w:tcPr>
            <w:tcW w:w="3500" w:type="pct"/>
            <w:shd w:val="clear" w:color="auto" w:fill="auto"/>
          </w:tcPr>
          <w:p w14:paraId="749A1CC2" w14:textId="77777777" w:rsidR="00E93F58" w:rsidRPr="00576D60" w:rsidRDefault="00E93F58" w:rsidP="002F32E3">
            <w:pPr>
              <w:pStyle w:val="ENoteTableText"/>
            </w:pPr>
            <w:r>
              <w:t>am No 368, 2003; No 31, 2005; No 42, 2012; F2023L01458</w:t>
            </w:r>
          </w:p>
        </w:tc>
      </w:tr>
      <w:tr w:rsidR="00E93F58" w:rsidRPr="00576D60" w14:paraId="79F9B853" w14:textId="77777777" w:rsidTr="002F32E3">
        <w:trPr>
          <w:cantSplit/>
        </w:trPr>
        <w:tc>
          <w:tcPr>
            <w:tcW w:w="1500" w:type="pct"/>
            <w:shd w:val="clear" w:color="auto" w:fill="auto"/>
          </w:tcPr>
          <w:p w14:paraId="6E857971" w14:textId="77777777" w:rsidR="00E93F58" w:rsidRPr="00576D60" w:rsidRDefault="00E93F58" w:rsidP="002F32E3">
            <w:pPr>
              <w:pStyle w:val="ENoteTableText"/>
              <w:tabs>
                <w:tab w:val="left" w:leader="dot" w:pos="2268"/>
              </w:tabs>
              <w:rPr>
                <w:b/>
              </w:rPr>
            </w:pPr>
            <w:r w:rsidRPr="00576D60">
              <w:rPr>
                <w:b/>
              </w:rPr>
              <w:t>Division 6</w:t>
            </w:r>
          </w:p>
        </w:tc>
        <w:tc>
          <w:tcPr>
            <w:tcW w:w="3500" w:type="pct"/>
            <w:shd w:val="clear" w:color="auto" w:fill="auto"/>
          </w:tcPr>
          <w:p w14:paraId="1190C59C" w14:textId="77777777" w:rsidR="00E93F58" w:rsidRPr="00576D60" w:rsidRDefault="00E93F58" w:rsidP="002F32E3">
            <w:pPr>
              <w:pStyle w:val="ENoteTableText"/>
            </w:pPr>
          </w:p>
        </w:tc>
      </w:tr>
      <w:tr w:rsidR="00E93F58" w:rsidRPr="00576D60" w14:paraId="73BB1910" w14:textId="77777777" w:rsidTr="002F32E3">
        <w:trPr>
          <w:cantSplit/>
        </w:trPr>
        <w:tc>
          <w:tcPr>
            <w:tcW w:w="1500" w:type="pct"/>
            <w:shd w:val="clear" w:color="auto" w:fill="auto"/>
          </w:tcPr>
          <w:p w14:paraId="7C21535E" w14:textId="77777777" w:rsidR="00E93F58" w:rsidRPr="00576D60" w:rsidRDefault="00E93F58" w:rsidP="002F32E3">
            <w:pPr>
              <w:pStyle w:val="ENoteTableText"/>
              <w:tabs>
                <w:tab w:val="left" w:leader="dot" w:pos="2268"/>
              </w:tabs>
            </w:pPr>
            <w:r w:rsidRPr="00576D60">
              <w:t>Division 6</w:t>
            </w:r>
            <w:r w:rsidRPr="00576D60">
              <w:tab/>
            </w:r>
          </w:p>
        </w:tc>
        <w:tc>
          <w:tcPr>
            <w:tcW w:w="3500" w:type="pct"/>
            <w:shd w:val="clear" w:color="auto" w:fill="auto"/>
          </w:tcPr>
          <w:p w14:paraId="258829DF" w14:textId="77777777" w:rsidR="00E93F58" w:rsidRPr="00576D60" w:rsidRDefault="00E93F58" w:rsidP="002F32E3">
            <w:pPr>
              <w:pStyle w:val="ENoteTableText"/>
            </w:pPr>
            <w:r w:rsidRPr="00576D60">
              <w:t>ad. No. 59, 2013</w:t>
            </w:r>
          </w:p>
        </w:tc>
      </w:tr>
      <w:tr w:rsidR="00E93F58" w:rsidRPr="00576D60" w14:paraId="2574EF42" w14:textId="77777777" w:rsidTr="002F32E3">
        <w:trPr>
          <w:cantSplit/>
        </w:trPr>
        <w:tc>
          <w:tcPr>
            <w:tcW w:w="1500" w:type="pct"/>
            <w:shd w:val="clear" w:color="auto" w:fill="auto"/>
          </w:tcPr>
          <w:p w14:paraId="6BBD7ED5" w14:textId="77777777" w:rsidR="00E93F58" w:rsidRPr="00576D60" w:rsidRDefault="00E93F58" w:rsidP="002F32E3">
            <w:pPr>
              <w:pStyle w:val="ENoteTableText"/>
              <w:tabs>
                <w:tab w:val="left" w:leader="dot" w:pos="2268"/>
              </w:tabs>
            </w:pPr>
            <w:r w:rsidRPr="00576D60">
              <w:t>r 7.1.50</w:t>
            </w:r>
            <w:r w:rsidRPr="00576D60">
              <w:tab/>
            </w:r>
          </w:p>
        </w:tc>
        <w:tc>
          <w:tcPr>
            <w:tcW w:w="3500" w:type="pct"/>
            <w:shd w:val="clear" w:color="auto" w:fill="auto"/>
          </w:tcPr>
          <w:p w14:paraId="5FB7B3AD" w14:textId="77777777" w:rsidR="00E93F58" w:rsidRPr="00576D60" w:rsidRDefault="00E93F58" w:rsidP="002F32E3">
            <w:pPr>
              <w:pStyle w:val="ENoteTableText"/>
            </w:pPr>
            <w:r w:rsidRPr="00576D60">
              <w:t>ad No 59, 2013</w:t>
            </w:r>
          </w:p>
        </w:tc>
      </w:tr>
      <w:tr w:rsidR="00E93F58" w:rsidRPr="00576D60" w14:paraId="5FC31AE0" w14:textId="77777777" w:rsidTr="002F32E3">
        <w:trPr>
          <w:cantSplit/>
        </w:trPr>
        <w:tc>
          <w:tcPr>
            <w:tcW w:w="1500" w:type="pct"/>
            <w:shd w:val="clear" w:color="auto" w:fill="auto"/>
          </w:tcPr>
          <w:p w14:paraId="120B70AD" w14:textId="77777777" w:rsidR="00E93F58" w:rsidRPr="00576D60" w:rsidRDefault="00E93F58" w:rsidP="002F32E3">
            <w:pPr>
              <w:pStyle w:val="ENoteTableText"/>
              <w:tabs>
                <w:tab w:val="left" w:leader="dot" w:pos="2268"/>
              </w:tabs>
            </w:pPr>
          </w:p>
        </w:tc>
        <w:tc>
          <w:tcPr>
            <w:tcW w:w="3500" w:type="pct"/>
            <w:shd w:val="clear" w:color="auto" w:fill="auto"/>
          </w:tcPr>
          <w:p w14:paraId="5BEE4B14" w14:textId="77777777" w:rsidR="00E93F58" w:rsidRPr="00576D60" w:rsidRDefault="00E93F58" w:rsidP="002F32E3">
            <w:pPr>
              <w:pStyle w:val="ENoteTableText"/>
            </w:pPr>
            <w:r>
              <w:t>am F2023L01458</w:t>
            </w:r>
          </w:p>
        </w:tc>
      </w:tr>
      <w:tr w:rsidR="00E93F58" w:rsidRPr="00576D60" w14:paraId="3C1A63A1" w14:textId="77777777" w:rsidTr="002F32E3">
        <w:trPr>
          <w:cantSplit/>
        </w:trPr>
        <w:tc>
          <w:tcPr>
            <w:tcW w:w="1500" w:type="pct"/>
            <w:shd w:val="clear" w:color="auto" w:fill="auto"/>
          </w:tcPr>
          <w:p w14:paraId="5AEAF0B2" w14:textId="77777777" w:rsidR="00E93F58" w:rsidRPr="00576D60" w:rsidRDefault="00E93F58" w:rsidP="002F32E3">
            <w:pPr>
              <w:pStyle w:val="ENoteTableText"/>
              <w:keepNext/>
              <w:tabs>
                <w:tab w:val="left" w:leader="dot" w:pos="2268"/>
              </w:tabs>
              <w:rPr>
                <w:b/>
              </w:rPr>
            </w:pPr>
            <w:r w:rsidRPr="00576D60">
              <w:rPr>
                <w:b/>
              </w:rPr>
              <w:t>Part 7.2</w:t>
            </w:r>
          </w:p>
        </w:tc>
        <w:tc>
          <w:tcPr>
            <w:tcW w:w="3500" w:type="pct"/>
            <w:shd w:val="clear" w:color="auto" w:fill="auto"/>
          </w:tcPr>
          <w:p w14:paraId="0220B708" w14:textId="77777777" w:rsidR="00E93F58" w:rsidRPr="00576D60" w:rsidRDefault="00E93F58" w:rsidP="002F32E3">
            <w:pPr>
              <w:pStyle w:val="ENoteTableText"/>
              <w:keepNext/>
              <w:keepLines/>
            </w:pPr>
          </w:p>
        </w:tc>
      </w:tr>
      <w:tr w:rsidR="00E93F58" w:rsidRPr="00576D60" w14:paraId="60EF90E4" w14:textId="77777777" w:rsidTr="002F32E3">
        <w:trPr>
          <w:cantSplit/>
        </w:trPr>
        <w:tc>
          <w:tcPr>
            <w:tcW w:w="1500" w:type="pct"/>
            <w:shd w:val="clear" w:color="auto" w:fill="auto"/>
          </w:tcPr>
          <w:p w14:paraId="5B6CFA65" w14:textId="77777777" w:rsidR="00E93F58" w:rsidRPr="00576D60" w:rsidRDefault="00E93F58" w:rsidP="002F32E3">
            <w:pPr>
              <w:pStyle w:val="ENoteTableText"/>
              <w:keepNext/>
              <w:keepLines/>
              <w:tabs>
                <w:tab w:val="left" w:leader="dot" w:pos="2268"/>
              </w:tabs>
              <w:rPr>
                <w:b/>
              </w:rPr>
            </w:pPr>
            <w:r w:rsidRPr="00576D60">
              <w:rPr>
                <w:b/>
              </w:rPr>
              <w:t>Division 1</w:t>
            </w:r>
          </w:p>
        </w:tc>
        <w:tc>
          <w:tcPr>
            <w:tcW w:w="3500" w:type="pct"/>
            <w:shd w:val="clear" w:color="auto" w:fill="auto"/>
          </w:tcPr>
          <w:p w14:paraId="7ECEDC8A" w14:textId="77777777" w:rsidR="00E93F58" w:rsidRPr="00576D60" w:rsidRDefault="00E93F58" w:rsidP="002F32E3">
            <w:pPr>
              <w:pStyle w:val="ENoteTableText"/>
              <w:keepNext/>
              <w:keepLines/>
            </w:pPr>
          </w:p>
        </w:tc>
      </w:tr>
      <w:tr w:rsidR="00E93F58" w:rsidRPr="00576D60" w14:paraId="77075F9E" w14:textId="77777777" w:rsidTr="002F32E3">
        <w:trPr>
          <w:cantSplit/>
        </w:trPr>
        <w:tc>
          <w:tcPr>
            <w:tcW w:w="1500" w:type="pct"/>
            <w:shd w:val="clear" w:color="auto" w:fill="auto"/>
          </w:tcPr>
          <w:p w14:paraId="61967748" w14:textId="77777777" w:rsidR="00E93F58" w:rsidRPr="00576D60" w:rsidRDefault="00E93F58" w:rsidP="002F32E3">
            <w:pPr>
              <w:pStyle w:val="ENoteTableText"/>
              <w:tabs>
                <w:tab w:val="left" w:leader="dot" w:pos="2268"/>
              </w:tabs>
            </w:pPr>
            <w:r w:rsidRPr="00576D60">
              <w:t>r. 7.2.01</w:t>
            </w:r>
            <w:r w:rsidRPr="00576D60">
              <w:tab/>
            </w:r>
          </w:p>
        </w:tc>
        <w:tc>
          <w:tcPr>
            <w:tcW w:w="3500" w:type="pct"/>
            <w:shd w:val="clear" w:color="auto" w:fill="auto"/>
          </w:tcPr>
          <w:p w14:paraId="646AFA0B" w14:textId="77777777" w:rsidR="00E93F58" w:rsidRPr="00576D60" w:rsidRDefault="00E93F58" w:rsidP="002F32E3">
            <w:pPr>
              <w:pStyle w:val="ENoteTableText"/>
            </w:pPr>
            <w:r w:rsidRPr="00576D60">
              <w:t>rs. 2001 No. 319</w:t>
            </w:r>
          </w:p>
        </w:tc>
      </w:tr>
      <w:tr w:rsidR="00E93F58" w:rsidRPr="00576D60" w14:paraId="3B8269E8" w14:textId="77777777" w:rsidTr="002F32E3">
        <w:trPr>
          <w:cantSplit/>
        </w:trPr>
        <w:tc>
          <w:tcPr>
            <w:tcW w:w="1500" w:type="pct"/>
            <w:shd w:val="clear" w:color="auto" w:fill="auto"/>
          </w:tcPr>
          <w:p w14:paraId="70EC389E" w14:textId="77777777" w:rsidR="00E93F58" w:rsidRPr="00576D60" w:rsidRDefault="00E93F58" w:rsidP="002F32E3">
            <w:pPr>
              <w:pStyle w:val="ENoteTableText"/>
              <w:tabs>
                <w:tab w:val="left" w:leader="dot" w:pos="2268"/>
              </w:tabs>
            </w:pPr>
            <w:r w:rsidRPr="00576D60">
              <w:t>r. 7.2.02</w:t>
            </w:r>
            <w:r w:rsidRPr="00576D60">
              <w:tab/>
            </w:r>
          </w:p>
        </w:tc>
        <w:tc>
          <w:tcPr>
            <w:tcW w:w="3500" w:type="pct"/>
            <w:shd w:val="clear" w:color="auto" w:fill="auto"/>
          </w:tcPr>
          <w:p w14:paraId="3144E7EE" w14:textId="77777777" w:rsidR="00E93F58" w:rsidRPr="00576D60" w:rsidRDefault="00E93F58" w:rsidP="002F32E3">
            <w:pPr>
              <w:pStyle w:val="ENoteTableText"/>
            </w:pPr>
            <w:r w:rsidRPr="00576D60">
              <w:t>rs. 2001 No. 319</w:t>
            </w:r>
          </w:p>
        </w:tc>
      </w:tr>
      <w:tr w:rsidR="00E93F58" w:rsidRPr="00576D60" w14:paraId="51AE0181" w14:textId="77777777" w:rsidTr="002F32E3">
        <w:trPr>
          <w:cantSplit/>
        </w:trPr>
        <w:tc>
          <w:tcPr>
            <w:tcW w:w="1500" w:type="pct"/>
            <w:shd w:val="clear" w:color="auto" w:fill="auto"/>
          </w:tcPr>
          <w:p w14:paraId="1525B7F5" w14:textId="77777777" w:rsidR="00E93F58" w:rsidRPr="00576D60" w:rsidRDefault="00E93F58" w:rsidP="002F32E3">
            <w:pPr>
              <w:pStyle w:val="ENoteTableText"/>
              <w:tabs>
                <w:tab w:val="left" w:leader="dot" w:pos="2268"/>
              </w:tabs>
            </w:pPr>
            <w:r w:rsidRPr="00576D60">
              <w:t>r. 7.2.03</w:t>
            </w:r>
            <w:r w:rsidRPr="00576D60">
              <w:tab/>
            </w:r>
          </w:p>
        </w:tc>
        <w:tc>
          <w:tcPr>
            <w:tcW w:w="3500" w:type="pct"/>
            <w:shd w:val="clear" w:color="auto" w:fill="auto"/>
          </w:tcPr>
          <w:p w14:paraId="630F0134" w14:textId="77777777" w:rsidR="00E93F58" w:rsidRPr="00576D60" w:rsidRDefault="00E93F58" w:rsidP="002F32E3">
            <w:pPr>
              <w:pStyle w:val="ENoteTableText"/>
            </w:pPr>
            <w:r w:rsidRPr="00576D60">
              <w:t>ad. 2001 No. 319</w:t>
            </w:r>
          </w:p>
        </w:tc>
      </w:tr>
      <w:tr w:rsidR="00E93F58" w:rsidRPr="00576D60" w14:paraId="07296BA6" w14:textId="77777777" w:rsidTr="002F32E3">
        <w:trPr>
          <w:cantSplit/>
        </w:trPr>
        <w:tc>
          <w:tcPr>
            <w:tcW w:w="1500" w:type="pct"/>
            <w:shd w:val="clear" w:color="auto" w:fill="auto"/>
          </w:tcPr>
          <w:p w14:paraId="1B7C94FF" w14:textId="77777777" w:rsidR="00E93F58" w:rsidRPr="00576D60" w:rsidRDefault="00E93F58" w:rsidP="002F32E3">
            <w:pPr>
              <w:pStyle w:val="ENoteTableText"/>
              <w:tabs>
                <w:tab w:val="left" w:leader="dot" w:pos="2268"/>
              </w:tabs>
            </w:pPr>
            <w:r w:rsidRPr="00576D60">
              <w:t>r. 7.2.04</w:t>
            </w:r>
            <w:r w:rsidRPr="00576D60">
              <w:tab/>
            </w:r>
          </w:p>
        </w:tc>
        <w:tc>
          <w:tcPr>
            <w:tcW w:w="3500" w:type="pct"/>
            <w:shd w:val="clear" w:color="auto" w:fill="auto"/>
          </w:tcPr>
          <w:p w14:paraId="156CBA07" w14:textId="77777777" w:rsidR="00E93F58" w:rsidRPr="00576D60" w:rsidRDefault="00E93F58" w:rsidP="002F32E3">
            <w:pPr>
              <w:pStyle w:val="ENoteTableText"/>
            </w:pPr>
            <w:r w:rsidRPr="00576D60">
              <w:t>ad. 2001 No. 319</w:t>
            </w:r>
          </w:p>
        </w:tc>
      </w:tr>
      <w:tr w:rsidR="00E93F58" w:rsidRPr="00576D60" w14:paraId="0021E30C" w14:textId="77777777" w:rsidTr="002F32E3">
        <w:trPr>
          <w:cantSplit/>
        </w:trPr>
        <w:tc>
          <w:tcPr>
            <w:tcW w:w="1500" w:type="pct"/>
            <w:shd w:val="clear" w:color="auto" w:fill="auto"/>
          </w:tcPr>
          <w:p w14:paraId="5B136F42" w14:textId="77777777" w:rsidR="00E93F58" w:rsidRPr="00576D60" w:rsidRDefault="00E93F58" w:rsidP="002F32E3">
            <w:pPr>
              <w:pStyle w:val="ENoteTableText"/>
              <w:tabs>
                <w:tab w:val="left" w:leader="dot" w:pos="2268"/>
              </w:tabs>
            </w:pPr>
            <w:r w:rsidRPr="00576D60">
              <w:t>r. 7.2.05</w:t>
            </w:r>
            <w:r w:rsidRPr="00576D60">
              <w:tab/>
            </w:r>
          </w:p>
        </w:tc>
        <w:tc>
          <w:tcPr>
            <w:tcW w:w="3500" w:type="pct"/>
            <w:shd w:val="clear" w:color="auto" w:fill="auto"/>
          </w:tcPr>
          <w:p w14:paraId="13A01A69" w14:textId="77777777" w:rsidR="00E93F58" w:rsidRPr="00576D60" w:rsidRDefault="00E93F58" w:rsidP="002F32E3">
            <w:pPr>
              <w:pStyle w:val="ENoteTableText"/>
            </w:pPr>
            <w:r w:rsidRPr="00576D60">
              <w:t>ad. 2001 No. 319</w:t>
            </w:r>
          </w:p>
        </w:tc>
      </w:tr>
      <w:tr w:rsidR="00E93F58" w:rsidRPr="00576D60" w14:paraId="77D1DDF1" w14:textId="77777777" w:rsidTr="002F32E3">
        <w:trPr>
          <w:cantSplit/>
        </w:trPr>
        <w:tc>
          <w:tcPr>
            <w:tcW w:w="1500" w:type="pct"/>
            <w:shd w:val="clear" w:color="auto" w:fill="auto"/>
          </w:tcPr>
          <w:p w14:paraId="2F0FFFFA" w14:textId="77777777" w:rsidR="00E93F58" w:rsidRPr="00576D60" w:rsidRDefault="00E93F58" w:rsidP="002F32E3">
            <w:pPr>
              <w:pStyle w:val="ENoteTableText"/>
              <w:tabs>
                <w:tab w:val="left" w:leader="dot" w:pos="2268"/>
              </w:tabs>
            </w:pPr>
            <w:r w:rsidRPr="00576D60">
              <w:t>r 7.2.06</w:t>
            </w:r>
            <w:r w:rsidRPr="00576D60">
              <w:tab/>
            </w:r>
          </w:p>
        </w:tc>
        <w:tc>
          <w:tcPr>
            <w:tcW w:w="3500" w:type="pct"/>
            <w:shd w:val="clear" w:color="auto" w:fill="auto"/>
          </w:tcPr>
          <w:p w14:paraId="13DBF1A4" w14:textId="77777777" w:rsidR="00E93F58" w:rsidRPr="00576D60" w:rsidRDefault="00E93F58" w:rsidP="002F32E3">
            <w:pPr>
              <w:pStyle w:val="ENoteTableText"/>
            </w:pPr>
            <w:r w:rsidRPr="00576D60">
              <w:t>ad No 319, 2001</w:t>
            </w:r>
          </w:p>
        </w:tc>
      </w:tr>
      <w:tr w:rsidR="00E93F58" w:rsidRPr="00576D60" w14:paraId="3DDA6A61" w14:textId="77777777" w:rsidTr="002F32E3">
        <w:trPr>
          <w:cantSplit/>
        </w:trPr>
        <w:tc>
          <w:tcPr>
            <w:tcW w:w="1500" w:type="pct"/>
            <w:shd w:val="clear" w:color="auto" w:fill="auto"/>
          </w:tcPr>
          <w:p w14:paraId="493C5DB0" w14:textId="77777777" w:rsidR="00E93F58" w:rsidRPr="00576D60" w:rsidRDefault="00E93F58" w:rsidP="002F32E3">
            <w:pPr>
              <w:pStyle w:val="ENoteTableText"/>
              <w:tabs>
                <w:tab w:val="left" w:leader="dot" w:pos="2268"/>
              </w:tabs>
            </w:pPr>
          </w:p>
        </w:tc>
        <w:tc>
          <w:tcPr>
            <w:tcW w:w="3500" w:type="pct"/>
            <w:shd w:val="clear" w:color="auto" w:fill="auto"/>
          </w:tcPr>
          <w:p w14:paraId="2BE2FB96" w14:textId="77777777" w:rsidR="00E93F58" w:rsidRPr="00576D60" w:rsidRDefault="00E93F58" w:rsidP="002F32E3">
            <w:pPr>
              <w:pStyle w:val="ENoteTableText"/>
            </w:pPr>
            <w:r w:rsidRPr="00576D60">
              <w:t>am F2019L00392</w:t>
            </w:r>
          </w:p>
        </w:tc>
      </w:tr>
      <w:tr w:rsidR="00E93F58" w:rsidRPr="00576D60" w14:paraId="32D6E0BD" w14:textId="77777777" w:rsidTr="002F32E3">
        <w:trPr>
          <w:cantSplit/>
        </w:trPr>
        <w:tc>
          <w:tcPr>
            <w:tcW w:w="1500" w:type="pct"/>
            <w:shd w:val="clear" w:color="auto" w:fill="auto"/>
          </w:tcPr>
          <w:p w14:paraId="7F2FF09D"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6D2EAE05" w14:textId="77777777" w:rsidR="00E93F58" w:rsidRPr="00576D60" w:rsidRDefault="00E93F58" w:rsidP="002F32E3">
            <w:pPr>
              <w:pStyle w:val="ENoteTableText"/>
            </w:pPr>
          </w:p>
        </w:tc>
      </w:tr>
      <w:tr w:rsidR="00E93F58" w:rsidRPr="00576D60" w14:paraId="0C506228" w14:textId="77777777" w:rsidTr="002F32E3">
        <w:trPr>
          <w:cantSplit/>
        </w:trPr>
        <w:tc>
          <w:tcPr>
            <w:tcW w:w="1500" w:type="pct"/>
            <w:shd w:val="clear" w:color="auto" w:fill="auto"/>
          </w:tcPr>
          <w:p w14:paraId="7878944A" w14:textId="77777777" w:rsidR="00E93F58" w:rsidRPr="00576D60" w:rsidRDefault="00E93F58" w:rsidP="002F32E3">
            <w:pPr>
              <w:pStyle w:val="ENoteTableText"/>
              <w:tabs>
                <w:tab w:val="left" w:leader="dot" w:pos="2268"/>
              </w:tabs>
            </w:pPr>
            <w:r w:rsidRPr="00576D60">
              <w:t>r 7.2.07</w:t>
            </w:r>
            <w:r w:rsidRPr="00576D60">
              <w:tab/>
            </w:r>
          </w:p>
        </w:tc>
        <w:tc>
          <w:tcPr>
            <w:tcW w:w="3500" w:type="pct"/>
            <w:shd w:val="clear" w:color="auto" w:fill="auto"/>
          </w:tcPr>
          <w:p w14:paraId="44DDCEB9" w14:textId="77777777" w:rsidR="00E93F58" w:rsidRPr="00576D60" w:rsidRDefault="00E93F58" w:rsidP="002F32E3">
            <w:pPr>
              <w:pStyle w:val="ENoteTableText"/>
            </w:pPr>
            <w:r w:rsidRPr="00576D60">
              <w:t>ad No. 319, 2001</w:t>
            </w:r>
          </w:p>
        </w:tc>
      </w:tr>
      <w:tr w:rsidR="00E93F58" w:rsidRPr="00576D60" w14:paraId="5B47D62E" w14:textId="77777777" w:rsidTr="002F32E3">
        <w:trPr>
          <w:cantSplit/>
        </w:trPr>
        <w:tc>
          <w:tcPr>
            <w:tcW w:w="1500" w:type="pct"/>
            <w:shd w:val="clear" w:color="auto" w:fill="auto"/>
          </w:tcPr>
          <w:p w14:paraId="02D24EEF" w14:textId="77777777" w:rsidR="00E93F58" w:rsidRPr="00576D60" w:rsidRDefault="00E93F58" w:rsidP="002F32E3">
            <w:pPr>
              <w:pStyle w:val="ENoteTableText"/>
            </w:pPr>
          </w:p>
        </w:tc>
        <w:tc>
          <w:tcPr>
            <w:tcW w:w="3500" w:type="pct"/>
            <w:shd w:val="clear" w:color="auto" w:fill="auto"/>
          </w:tcPr>
          <w:p w14:paraId="592AD55A" w14:textId="77777777" w:rsidR="00E93F58" w:rsidRPr="00576D60" w:rsidRDefault="00E93F58" w:rsidP="002F32E3">
            <w:pPr>
              <w:pStyle w:val="ENoteTableText"/>
            </w:pPr>
            <w:r w:rsidRPr="00576D60">
              <w:t>am No 26, 2004; No 210, 2010; F2019L00392</w:t>
            </w:r>
          </w:p>
        </w:tc>
      </w:tr>
      <w:tr w:rsidR="00E93F58" w:rsidRPr="00576D60" w14:paraId="5B3EF8B7" w14:textId="77777777" w:rsidTr="002F32E3">
        <w:trPr>
          <w:cantSplit/>
        </w:trPr>
        <w:tc>
          <w:tcPr>
            <w:tcW w:w="1500" w:type="pct"/>
            <w:shd w:val="clear" w:color="auto" w:fill="auto"/>
          </w:tcPr>
          <w:p w14:paraId="6DF0968C" w14:textId="77777777" w:rsidR="00E93F58" w:rsidRPr="00576D60" w:rsidRDefault="00E93F58" w:rsidP="002F32E3">
            <w:pPr>
              <w:pStyle w:val="ENoteTableText"/>
              <w:tabs>
                <w:tab w:val="left" w:leader="dot" w:pos="2268"/>
              </w:tabs>
            </w:pPr>
            <w:r w:rsidRPr="00576D60">
              <w:t>r. 7.2.08</w:t>
            </w:r>
            <w:r w:rsidRPr="00576D60">
              <w:tab/>
            </w:r>
          </w:p>
        </w:tc>
        <w:tc>
          <w:tcPr>
            <w:tcW w:w="3500" w:type="pct"/>
            <w:shd w:val="clear" w:color="auto" w:fill="auto"/>
          </w:tcPr>
          <w:p w14:paraId="41CC7205" w14:textId="77777777" w:rsidR="00E93F58" w:rsidRPr="00576D60" w:rsidRDefault="00E93F58" w:rsidP="002F32E3">
            <w:pPr>
              <w:pStyle w:val="ENoteTableText"/>
            </w:pPr>
            <w:r w:rsidRPr="00576D60">
              <w:t>ad. 2001 No. 319</w:t>
            </w:r>
          </w:p>
        </w:tc>
      </w:tr>
      <w:tr w:rsidR="00E93F58" w:rsidRPr="00576D60" w14:paraId="5B35D047" w14:textId="77777777" w:rsidTr="002F32E3">
        <w:trPr>
          <w:cantSplit/>
        </w:trPr>
        <w:tc>
          <w:tcPr>
            <w:tcW w:w="1500" w:type="pct"/>
            <w:shd w:val="clear" w:color="auto" w:fill="auto"/>
          </w:tcPr>
          <w:p w14:paraId="19D86896" w14:textId="77777777" w:rsidR="00E93F58" w:rsidRPr="00576D60" w:rsidRDefault="00E93F58" w:rsidP="002F32E3">
            <w:pPr>
              <w:pStyle w:val="ENoteTableText"/>
            </w:pPr>
          </w:p>
        </w:tc>
        <w:tc>
          <w:tcPr>
            <w:tcW w:w="3500" w:type="pct"/>
            <w:shd w:val="clear" w:color="auto" w:fill="auto"/>
          </w:tcPr>
          <w:p w14:paraId="1E310FBF" w14:textId="77777777" w:rsidR="00E93F58" w:rsidRPr="00576D60" w:rsidRDefault="00E93F58" w:rsidP="002F32E3">
            <w:pPr>
              <w:pStyle w:val="ENoteTableText"/>
            </w:pPr>
            <w:r w:rsidRPr="00576D60">
              <w:t>am. 2010 No. 210</w:t>
            </w:r>
          </w:p>
        </w:tc>
      </w:tr>
      <w:tr w:rsidR="00E93F58" w:rsidRPr="00576D60" w14:paraId="5C654D1A" w14:textId="77777777" w:rsidTr="002F32E3">
        <w:trPr>
          <w:cantSplit/>
        </w:trPr>
        <w:tc>
          <w:tcPr>
            <w:tcW w:w="1500" w:type="pct"/>
            <w:shd w:val="clear" w:color="auto" w:fill="auto"/>
          </w:tcPr>
          <w:p w14:paraId="3A840EFB" w14:textId="77777777" w:rsidR="00E93F58" w:rsidRPr="00576D60" w:rsidRDefault="00E93F58" w:rsidP="00D56B04">
            <w:pPr>
              <w:pStyle w:val="ENoteTableText"/>
              <w:keepNext/>
              <w:tabs>
                <w:tab w:val="left" w:leader="dot" w:pos="2268"/>
              </w:tabs>
              <w:rPr>
                <w:b/>
              </w:rPr>
            </w:pPr>
            <w:r w:rsidRPr="00576D60">
              <w:rPr>
                <w:b/>
              </w:rPr>
              <w:t>Division 3</w:t>
            </w:r>
          </w:p>
        </w:tc>
        <w:tc>
          <w:tcPr>
            <w:tcW w:w="3500" w:type="pct"/>
            <w:shd w:val="clear" w:color="auto" w:fill="auto"/>
          </w:tcPr>
          <w:p w14:paraId="773F8F31" w14:textId="77777777" w:rsidR="00E93F58" w:rsidRPr="00576D60" w:rsidRDefault="00E93F58" w:rsidP="00D56B04">
            <w:pPr>
              <w:pStyle w:val="ENoteTableText"/>
              <w:keepNext/>
            </w:pPr>
          </w:p>
        </w:tc>
      </w:tr>
      <w:tr w:rsidR="00E93F58" w:rsidRPr="00576D60" w14:paraId="6F32AA2F" w14:textId="77777777" w:rsidTr="002F32E3">
        <w:trPr>
          <w:cantSplit/>
        </w:trPr>
        <w:tc>
          <w:tcPr>
            <w:tcW w:w="1500" w:type="pct"/>
            <w:shd w:val="clear" w:color="auto" w:fill="auto"/>
          </w:tcPr>
          <w:p w14:paraId="354BB37D" w14:textId="77777777" w:rsidR="00E93F58" w:rsidRPr="00576D60" w:rsidRDefault="00E93F58" w:rsidP="002F32E3">
            <w:pPr>
              <w:pStyle w:val="ENoteTableText"/>
              <w:tabs>
                <w:tab w:val="left" w:leader="dot" w:pos="2268"/>
              </w:tabs>
            </w:pPr>
            <w:r w:rsidRPr="00576D60">
              <w:t>r. 7.2.09</w:t>
            </w:r>
            <w:r w:rsidRPr="00576D60">
              <w:tab/>
            </w:r>
          </w:p>
        </w:tc>
        <w:tc>
          <w:tcPr>
            <w:tcW w:w="3500" w:type="pct"/>
            <w:shd w:val="clear" w:color="auto" w:fill="auto"/>
          </w:tcPr>
          <w:p w14:paraId="3431A278" w14:textId="77777777" w:rsidR="00E93F58" w:rsidRPr="00576D60" w:rsidRDefault="00E93F58" w:rsidP="002F32E3">
            <w:pPr>
              <w:pStyle w:val="ENoteTableText"/>
            </w:pPr>
            <w:r w:rsidRPr="00576D60">
              <w:t>ad. 2001 No. 319</w:t>
            </w:r>
          </w:p>
        </w:tc>
      </w:tr>
      <w:tr w:rsidR="00E93F58" w:rsidRPr="00576D60" w14:paraId="00D87294" w14:textId="77777777" w:rsidTr="002F32E3">
        <w:trPr>
          <w:cantSplit/>
        </w:trPr>
        <w:tc>
          <w:tcPr>
            <w:tcW w:w="1500" w:type="pct"/>
            <w:shd w:val="clear" w:color="auto" w:fill="auto"/>
          </w:tcPr>
          <w:p w14:paraId="05B7D00E" w14:textId="77777777" w:rsidR="00E93F58" w:rsidRPr="00576D60" w:rsidRDefault="00E93F58" w:rsidP="002F32E3">
            <w:pPr>
              <w:pStyle w:val="ENoteTableText"/>
            </w:pPr>
          </w:p>
        </w:tc>
        <w:tc>
          <w:tcPr>
            <w:tcW w:w="3500" w:type="pct"/>
            <w:shd w:val="clear" w:color="auto" w:fill="auto"/>
          </w:tcPr>
          <w:p w14:paraId="77B549AD" w14:textId="77777777" w:rsidR="00E93F58" w:rsidRPr="00576D60" w:rsidRDefault="00E93F58" w:rsidP="002F32E3">
            <w:pPr>
              <w:pStyle w:val="ENoteTableText"/>
            </w:pPr>
            <w:r w:rsidRPr="00576D60">
              <w:t>am. 2002 No. 126; 2012 No. 42</w:t>
            </w:r>
          </w:p>
        </w:tc>
      </w:tr>
      <w:tr w:rsidR="00E93F58" w:rsidRPr="00576D60" w14:paraId="03DBAE8F" w14:textId="77777777" w:rsidTr="002F32E3">
        <w:trPr>
          <w:cantSplit/>
        </w:trPr>
        <w:tc>
          <w:tcPr>
            <w:tcW w:w="1500" w:type="pct"/>
            <w:shd w:val="clear" w:color="auto" w:fill="auto"/>
          </w:tcPr>
          <w:p w14:paraId="0AB04DA5" w14:textId="77777777" w:rsidR="00E93F58" w:rsidRPr="00576D60" w:rsidRDefault="00E93F58" w:rsidP="002F32E3">
            <w:pPr>
              <w:pStyle w:val="ENoteTableText"/>
              <w:keepNext/>
              <w:tabs>
                <w:tab w:val="left" w:leader="dot" w:pos="2268"/>
              </w:tabs>
              <w:rPr>
                <w:b/>
              </w:rPr>
            </w:pPr>
            <w:r w:rsidRPr="00576D60">
              <w:rPr>
                <w:b/>
              </w:rPr>
              <w:t>Division 4</w:t>
            </w:r>
          </w:p>
        </w:tc>
        <w:tc>
          <w:tcPr>
            <w:tcW w:w="3500" w:type="pct"/>
            <w:shd w:val="clear" w:color="auto" w:fill="auto"/>
          </w:tcPr>
          <w:p w14:paraId="289F570F" w14:textId="77777777" w:rsidR="00E93F58" w:rsidRPr="00576D60" w:rsidRDefault="00E93F58" w:rsidP="002F32E3">
            <w:pPr>
              <w:pStyle w:val="ENoteTableText"/>
            </w:pPr>
          </w:p>
        </w:tc>
      </w:tr>
      <w:tr w:rsidR="00E93F58" w:rsidRPr="00576D60" w14:paraId="63019988" w14:textId="77777777" w:rsidTr="002F32E3">
        <w:trPr>
          <w:cantSplit/>
        </w:trPr>
        <w:tc>
          <w:tcPr>
            <w:tcW w:w="1500" w:type="pct"/>
            <w:shd w:val="clear" w:color="auto" w:fill="auto"/>
          </w:tcPr>
          <w:p w14:paraId="1DC46673" w14:textId="77777777" w:rsidR="00E93F58" w:rsidRPr="00576D60" w:rsidRDefault="00E93F58" w:rsidP="002F32E3">
            <w:pPr>
              <w:pStyle w:val="ENoteTableText"/>
              <w:tabs>
                <w:tab w:val="left" w:leader="dot" w:pos="2268"/>
              </w:tabs>
            </w:pPr>
            <w:r w:rsidRPr="00576D60">
              <w:t>r. 7.2.10</w:t>
            </w:r>
            <w:r w:rsidRPr="00576D60">
              <w:tab/>
            </w:r>
          </w:p>
        </w:tc>
        <w:tc>
          <w:tcPr>
            <w:tcW w:w="3500" w:type="pct"/>
            <w:shd w:val="clear" w:color="auto" w:fill="auto"/>
          </w:tcPr>
          <w:p w14:paraId="129B1858" w14:textId="77777777" w:rsidR="00E93F58" w:rsidRPr="00576D60" w:rsidRDefault="00E93F58" w:rsidP="002F32E3">
            <w:pPr>
              <w:pStyle w:val="ENoteTableText"/>
            </w:pPr>
            <w:r w:rsidRPr="00576D60">
              <w:t>ad. 2001 No. 319</w:t>
            </w:r>
          </w:p>
        </w:tc>
      </w:tr>
      <w:tr w:rsidR="00E93F58" w:rsidRPr="00576D60" w14:paraId="6983C797" w14:textId="77777777" w:rsidTr="002F32E3">
        <w:trPr>
          <w:cantSplit/>
        </w:trPr>
        <w:tc>
          <w:tcPr>
            <w:tcW w:w="1500" w:type="pct"/>
            <w:shd w:val="clear" w:color="auto" w:fill="auto"/>
          </w:tcPr>
          <w:p w14:paraId="4F6BE962" w14:textId="77777777" w:rsidR="00E93F58" w:rsidRPr="00576D60" w:rsidRDefault="00E93F58" w:rsidP="002F32E3">
            <w:pPr>
              <w:pStyle w:val="ENoteTableText"/>
              <w:tabs>
                <w:tab w:val="left" w:leader="dot" w:pos="2268"/>
              </w:tabs>
            </w:pPr>
            <w:r w:rsidRPr="00576D60">
              <w:t>r. 7.2.11</w:t>
            </w:r>
            <w:r w:rsidRPr="00576D60">
              <w:tab/>
            </w:r>
          </w:p>
        </w:tc>
        <w:tc>
          <w:tcPr>
            <w:tcW w:w="3500" w:type="pct"/>
            <w:shd w:val="clear" w:color="auto" w:fill="auto"/>
          </w:tcPr>
          <w:p w14:paraId="79E53734" w14:textId="77777777" w:rsidR="00E93F58" w:rsidRPr="00576D60" w:rsidRDefault="00E93F58" w:rsidP="002F32E3">
            <w:pPr>
              <w:pStyle w:val="ENoteTableText"/>
            </w:pPr>
            <w:r w:rsidRPr="00576D60">
              <w:t>ad. 2001 No. 319</w:t>
            </w:r>
          </w:p>
        </w:tc>
      </w:tr>
      <w:tr w:rsidR="00E93F58" w:rsidRPr="00576D60" w14:paraId="6E87882A" w14:textId="77777777" w:rsidTr="002F32E3">
        <w:trPr>
          <w:cantSplit/>
        </w:trPr>
        <w:tc>
          <w:tcPr>
            <w:tcW w:w="1500" w:type="pct"/>
            <w:shd w:val="clear" w:color="auto" w:fill="auto"/>
          </w:tcPr>
          <w:p w14:paraId="7F8CD5E0" w14:textId="77777777" w:rsidR="00E93F58" w:rsidRPr="00576D60" w:rsidRDefault="00E93F58" w:rsidP="002F32E3">
            <w:pPr>
              <w:pStyle w:val="ENoteTableText"/>
              <w:tabs>
                <w:tab w:val="left" w:leader="dot" w:pos="2268"/>
              </w:tabs>
            </w:pPr>
            <w:r w:rsidRPr="00576D60">
              <w:t>r. 7.2.12</w:t>
            </w:r>
            <w:r w:rsidRPr="00576D60">
              <w:tab/>
            </w:r>
          </w:p>
        </w:tc>
        <w:tc>
          <w:tcPr>
            <w:tcW w:w="3500" w:type="pct"/>
            <w:shd w:val="clear" w:color="auto" w:fill="auto"/>
          </w:tcPr>
          <w:p w14:paraId="58F5F366" w14:textId="77777777" w:rsidR="00E93F58" w:rsidRPr="00576D60" w:rsidRDefault="00E93F58" w:rsidP="002F32E3">
            <w:pPr>
              <w:pStyle w:val="ENoteTableText"/>
            </w:pPr>
            <w:r w:rsidRPr="00576D60">
              <w:t>ad. 2001 No. 319</w:t>
            </w:r>
          </w:p>
        </w:tc>
      </w:tr>
      <w:tr w:rsidR="00E93F58" w:rsidRPr="00576D60" w14:paraId="01C086BC" w14:textId="77777777" w:rsidTr="002F32E3">
        <w:trPr>
          <w:cantSplit/>
        </w:trPr>
        <w:tc>
          <w:tcPr>
            <w:tcW w:w="1500" w:type="pct"/>
            <w:shd w:val="clear" w:color="auto" w:fill="auto"/>
          </w:tcPr>
          <w:p w14:paraId="607F939D" w14:textId="77777777" w:rsidR="00E93F58" w:rsidRPr="00576D60" w:rsidRDefault="00E93F58" w:rsidP="002F32E3">
            <w:pPr>
              <w:pStyle w:val="ENoteTableText"/>
              <w:keepNext/>
              <w:tabs>
                <w:tab w:val="left" w:leader="dot" w:pos="2268"/>
              </w:tabs>
              <w:rPr>
                <w:b/>
              </w:rPr>
            </w:pPr>
            <w:r w:rsidRPr="00576D60">
              <w:rPr>
                <w:b/>
              </w:rPr>
              <w:t>Division 5</w:t>
            </w:r>
          </w:p>
        </w:tc>
        <w:tc>
          <w:tcPr>
            <w:tcW w:w="3500" w:type="pct"/>
            <w:shd w:val="clear" w:color="auto" w:fill="auto"/>
          </w:tcPr>
          <w:p w14:paraId="194EDEA8" w14:textId="77777777" w:rsidR="00E93F58" w:rsidRPr="00576D60" w:rsidRDefault="00E93F58" w:rsidP="002F32E3">
            <w:pPr>
              <w:pStyle w:val="ENoteTableText"/>
              <w:keepNext/>
            </w:pPr>
          </w:p>
        </w:tc>
      </w:tr>
      <w:tr w:rsidR="00E93F58" w:rsidRPr="00576D60" w14:paraId="471073C0" w14:textId="77777777" w:rsidTr="002F32E3">
        <w:trPr>
          <w:cantSplit/>
        </w:trPr>
        <w:tc>
          <w:tcPr>
            <w:tcW w:w="1500" w:type="pct"/>
            <w:shd w:val="clear" w:color="auto" w:fill="auto"/>
          </w:tcPr>
          <w:p w14:paraId="51FD9A82" w14:textId="77777777" w:rsidR="00E93F58" w:rsidRPr="00576D60" w:rsidRDefault="00E93F58" w:rsidP="002F32E3">
            <w:pPr>
              <w:pStyle w:val="ENoteTableText"/>
              <w:tabs>
                <w:tab w:val="left" w:leader="dot" w:pos="2268"/>
              </w:tabs>
            </w:pPr>
            <w:r w:rsidRPr="00576D60">
              <w:t>r. 7.2.13</w:t>
            </w:r>
            <w:r w:rsidRPr="00576D60">
              <w:tab/>
            </w:r>
          </w:p>
        </w:tc>
        <w:tc>
          <w:tcPr>
            <w:tcW w:w="3500" w:type="pct"/>
            <w:shd w:val="clear" w:color="auto" w:fill="auto"/>
          </w:tcPr>
          <w:p w14:paraId="091D609F" w14:textId="77777777" w:rsidR="00E93F58" w:rsidRPr="00576D60" w:rsidRDefault="00E93F58" w:rsidP="002F32E3">
            <w:pPr>
              <w:pStyle w:val="ENoteTableText"/>
            </w:pPr>
            <w:r w:rsidRPr="00576D60">
              <w:t>ad. 2001 No. 319</w:t>
            </w:r>
          </w:p>
        </w:tc>
      </w:tr>
      <w:tr w:rsidR="00E93F58" w:rsidRPr="00576D60" w14:paraId="243639A8" w14:textId="77777777" w:rsidTr="002F32E3">
        <w:trPr>
          <w:cantSplit/>
        </w:trPr>
        <w:tc>
          <w:tcPr>
            <w:tcW w:w="1500" w:type="pct"/>
            <w:shd w:val="clear" w:color="auto" w:fill="auto"/>
          </w:tcPr>
          <w:p w14:paraId="5D356B3C" w14:textId="77777777" w:rsidR="00E93F58" w:rsidRPr="00576D60" w:rsidRDefault="00E93F58" w:rsidP="002F32E3">
            <w:pPr>
              <w:pStyle w:val="ENoteTableText"/>
              <w:tabs>
                <w:tab w:val="left" w:leader="dot" w:pos="2268"/>
              </w:tabs>
            </w:pPr>
            <w:r w:rsidRPr="00576D60">
              <w:t>r. 7.2.14</w:t>
            </w:r>
            <w:r w:rsidRPr="00576D60">
              <w:tab/>
            </w:r>
          </w:p>
        </w:tc>
        <w:tc>
          <w:tcPr>
            <w:tcW w:w="3500" w:type="pct"/>
            <w:shd w:val="clear" w:color="auto" w:fill="auto"/>
          </w:tcPr>
          <w:p w14:paraId="655FB882" w14:textId="77777777" w:rsidR="00E93F58" w:rsidRPr="00576D60" w:rsidRDefault="00E93F58" w:rsidP="002F32E3">
            <w:pPr>
              <w:pStyle w:val="ENoteTableText"/>
            </w:pPr>
            <w:r w:rsidRPr="00576D60">
              <w:t>ad. 2001 No. 319</w:t>
            </w:r>
          </w:p>
        </w:tc>
      </w:tr>
      <w:tr w:rsidR="00E93F58" w:rsidRPr="00576D60" w14:paraId="798906FE" w14:textId="77777777" w:rsidTr="002F32E3">
        <w:trPr>
          <w:cantSplit/>
        </w:trPr>
        <w:tc>
          <w:tcPr>
            <w:tcW w:w="1500" w:type="pct"/>
            <w:shd w:val="clear" w:color="auto" w:fill="auto"/>
          </w:tcPr>
          <w:p w14:paraId="4F4EA11F" w14:textId="77777777" w:rsidR="00E93F58" w:rsidRPr="00576D60" w:rsidRDefault="00E93F58" w:rsidP="002F32E3">
            <w:pPr>
              <w:pStyle w:val="ENoteTableText"/>
              <w:tabs>
                <w:tab w:val="left" w:leader="dot" w:pos="2268"/>
              </w:tabs>
            </w:pPr>
            <w:r w:rsidRPr="00576D60">
              <w:t>r. 7.2.15</w:t>
            </w:r>
            <w:r w:rsidRPr="00576D60">
              <w:tab/>
            </w:r>
          </w:p>
        </w:tc>
        <w:tc>
          <w:tcPr>
            <w:tcW w:w="3500" w:type="pct"/>
            <w:shd w:val="clear" w:color="auto" w:fill="auto"/>
          </w:tcPr>
          <w:p w14:paraId="1687F9DB" w14:textId="77777777" w:rsidR="00E93F58" w:rsidRPr="00576D60" w:rsidRDefault="00E93F58" w:rsidP="002F32E3">
            <w:pPr>
              <w:pStyle w:val="ENoteTableText"/>
            </w:pPr>
            <w:r w:rsidRPr="00576D60">
              <w:t>ad. 2001 No. 319</w:t>
            </w:r>
          </w:p>
        </w:tc>
      </w:tr>
      <w:tr w:rsidR="00E93F58" w:rsidRPr="00576D60" w14:paraId="753138B9" w14:textId="77777777" w:rsidTr="002F32E3">
        <w:trPr>
          <w:cantSplit/>
        </w:trPr>
        <w:tc>
          <w:tcPr>
            <w:tcW w:w="1500" w:type="pct"/>
            <w:shd w:val="clear" w:color="auto" w:fill="auto"/>
          </w:tcPr>
          <w:p w14:paraId="18DE4692" w14:textId="77777777" w:rsidR="00E93F58" w:rsidRPr="00576D60" w:rsidRDefault="00E93F58" w:rsidP="002F32E3">
            <w:pPr>
              <w:pStyle w:val="ENoteTableText"/>
              <w:keepNext/>
              <w:tabs>
                <w:tab w:val="left" w:leader="dot" w:pos="2268"/>
              </w:tabs>
              <w:rPr>
                <w:b/>
              </w:rPr>
            </w:pPr>
            <w:r w:rsidRPr="00576D60">
              <w:rPr>
                <w:b/>
              </w:rPr>
              <w:t>Division 6</w:t>
            </w:r>
          </w:p>
        </w:tc>
        <w:tc>
          <w:tcPr>
            <w:tcW w:w="3500" w:type="pct"/>
            <w:shd w:val="clear" w:color="auto" w:fill="auto"/>
          </w:tcPr>
          <w:p w14:paraId="2246121A" w14:textId="77777777" w:rsidR="00E93F58" w:rsidRPr="00576D60" w:rsidRDefault="00E93F58" w:rsidP="002F32E3">
            <w:pPr>
              <w:pStyle w:val="ENoteTableText"/>
            </w:pPr>
          </w:p>
        </w:tc>
      </w:tr>
      <w:tr w:rsidR="00E93F58" w:rsidRPr="00576D60" w14:paraId="1BB1552A" w14:textId="77777777" w:rsidTr="002F32E3">
        <w:trPr>
          <w:cantSplit/>
        </w:trPr>
        <w:tc>
          <w:tcPr>
            <w:tcW w:w="1500" w:type="pct"/>
            <w:shd w:val="clear" w:color="auto" w:fill="auto"/>
          </w:tcPr>
          <w:p w14:paraId="7C5A03C5" w14:textId="77777777" w:rsidR="00E93F58" w:rsidRPr="00576D60" w:rsidRDefault="00E93F58" w:rsidP="002F32E3">
            <w:pPr>
              <w:pStyle w:val="ENoteTableText"/>
              <w:tabs>
                <w:tab w:val="left" w:leader="dot" w:pos="2268"/>
              </w:tabs>
            </w:pPr>
            <w:r w:rsidRPr="00576D60">
              <w:t>Division 6 of Part 7.2</w:t>
            </w:r>
            <w:r w:rsidRPr="00576D60">
              <w:tab/>
            </w:r>
          </w:p>
        </w:tc>
        <w:tc>
          <w:tcPr>
            <w:tcW w:w="3500" w:type="pct"/>
            <w:shd w:val="clear" w:color="auto" w:fill="auto"/>
          </w:tcPr>
          <w:p w14:paraId="244F926E" w14:textId="77777777" w:rsidR="00E93F58" w:rsidRPr="00576D60" w:rsidRDefault="00E93F58" w:rsidP="002F32E3">
            <w:pPr>
              <w:pStyle w:val="ENoteTableText"/>
            </w:pPr>
            <w:r w:rsidRPr="00576D60">
              <w:t>ad. 2002 No. 41</w:t>
            </w:r>
          </w:p>
        </w:tc>
      </w:tr>
      <w:tr w:rsidR="00E93F58" w:rsidRPr="00576D60" w14:paraId="311EC5E3" w14:textId="77777777" w:rsidTr="002F32E3">
        <w:trPr>
          <w:cantSplit/>
        </w:trPr>
        <w:tc>
          <w:tcPr>
            <w:tcW w:w="1500" w:type="pct"/>
            <w:shd w:val="clear" w:color="auto" w:fill="auto"/>
          </w:tcPr>
          <w:p w14:paraId="7D1CDF81" w14:textId="77777777" w:rsidR="00E93F58" w:rsidRPr="00576D60" w:rsidRDefault="00E93F58" w:rsidP="002F32E3">
            <w:pPr>
              <w:pStyle w:val="ENoteTableText"/>
              <w:tabs>
                <w:tab w:val="left" w:leader="dot" w:pos="2268"/>
              </w:tabs>
            </w:pPr>
            <w:r w:rsidRPr="00576D60">
              <w:t>r 7.2.16</w:t>
            </w:r>
            <w:r w:rsidRPr="00576D60">
              <w:tab/>
            </w:r>
          </w:p>
        </w:tc>
        <w:tc>
          <w:tcPr>
            <w:tcW w:w="3500" w:type="pct"/>
            <w:shd w:val="clear" w:color="auto" w:fill="auto"/>
          </w:tcPr>
          <w:p w14:paraId="57B7615B" w14:textId="77777777" w:rsidR="00E93F58" w:rsidRPr="00576D60" w:rsidRDefault="00E93F58" w:rsidP="002F32E3">
            <w:pPr>
              <w:pStyle w:val="ENoteTableText"/>
            </w:pPr>
            <w:r w:rsidRPr="00576D60">
              <w:t>ad No 41, 2002</w:t>
            </w:r>
          </w:p>
        </w:tc>
      </w:tr>
      <w:tr w:rsidR="00E93F58" w:rsidRPr="00576D60" w14:paraId="5D46AD89" w14:textId="77777777" w:rsidTr="002F32E3">
        <w:trPr>
          <w:cantSplit/>
        </w:trPr>
        <w:tc>
          <w:tcPr>
            <w:tcW w:w="1500" w:type="pct"/>
            <w:shd w:val="clear" w:color="auto" w:fill="auto"/>
          </w:tcPr>
          <w:p w14:paraId="049A698A" w14:textId="77777777" w:rsidR="00E93F58" w:rsidRPr="00576D60" w:rsidRDefault="00E93F58" w:rsidP="002F32E3">
            <w:pPr>
              <w:pStyle w:val="ENoteTableText"/>
            </w:pPr>
          </w:p>
        </w:tc>
        <w:tc>
          <w:tcPr>
            <w:tcW w:w="3500" w:type="pct"/>
            <w:shd w:val="clear" w:color="auto" w:fill="auto"/>
          </w:tcPr>
          <w:p w14:paraId="32CF7EF8" w14:textId="77777777" w:rsidR="00E93F58" w:rsidRPr="00576D60" w:rsidRDefault="00E93F58" w:rsidP="002F32E3">
            <w:pPr>
              <w:pStyle w:val="ENoteTableText"/>
            </w:pPr>
            <w:r w:rsidRPr="00576D60">
              <w:t>am No 126, 2002; F2019L00392</w:t>
            </w:r>
          </w:p>
        </w:tc>
      </w:tr>
      <w:tr w:rsidR="00E93F58" w:rsidRPr="00576D60" w14:paraId="38542892" w14:textId="77777777" w:rsidTr="002F32E3">
        <w:trPr>
          <w:cantSplit/>
        </w:trPr>
        <w:tc>
          <w:tcPr>
            <w:tcW w:w="1500" w:type="pct"/>
            <w:shd w:val="clear" w:color="auto" w:fill="auto"/>
          </w:tcPr>
          <w:p w14:paraId="7B7C3882" w14:textId="77777777" w:rsidR="00E93F58" w:rsidRPr="00576D60" w:rsidRDefault="00E93F58" w:rsidP="002F32E3">
            <w:pPr>
              <w:pStyle w:val="ENoteTableText"/>
              <w:keepNext/>
              <w:keepLines/>
              <w:tabs>
                <w:tab w:val="left" w:leader="dot" w:pos="2268"/>
              </w:tabs>
              <w:rPr>
                <w:b/>
              </w:rPr>
            </w:pPr>
            <w:r w:rsidRPr="00576D60">
              <w:rPr>
                <w:b/>
              </w:rPr>
              <w:t>Part 7.2A</w:t>
            </w:r>
          </w:p>
        </w:tc>
        <w:tc>
          <w:tcPr>
            <w:tcW w:w="3500" w:type="pct"/>
            <w:shd w:val="clear" w:color="auto" w:fill="auto"/>
          </w:tcPr>
          <w:p w14:paraId="6790C7F6" w14:textId="77777777" w:rsidR="00E93F58" w:rsidRPr="00576D60" w:rsidRDefault="00E93F58" w:rsidP="002F32E3">
            <w:pPr>
              <w:pStyle w:val="ENoteTableText"/>
              <w:keepNext/>
              <w:keepLines/>
            </w:pPr>
          </w:p>
        </w:tc>
      </w:tr>
      <w:tr w:rsidR="00E93F58" w:rsidRPr="00576D60" w14:paraId="77DA1673" w14:textId="77777777" w:rsidTr="002F32E3">
        <w:trPr>
          <w:cantSplit/>
        </w:trPr>
        <w:tc>
          <w:tcPr>
            <w:tcW w:w="1500" w:type="pct"/>
            <w:shd w:val="clear" w:color="auto" w:fill="auto"/>
          </w:tcPr>
          <w:p w14:paraId="0FA53AB7" w14:textId="77777777" w:rsidR="00E93F58" w:rsidRPr="00576D60" w:rsidRDefault="00E93F58" w:rsidP="002F32E3">
            <w:pPr>
              <w:pStyle w:val="ENoteTableText"/>
              <w:tabs>
                <w:tab w:val="left" w:leader="dot" w:pos="2268"/>
              </w:tabs>
            </w:pPr>
            <w:r w:rsidRPr="00576D60">
              <w:t>Part 7.2A</w:t>
            </w:r>
            <w:r w:rsidRPr="00576D60">
              <w:tab/>
            </w:r>
          </w:p>
        </w:tc>
        <w:tc>
          <w:tcPr>
            <w:tcW w:w="3500" w:type="pct"/>
            <w:shd w:val="clear" w:color="auto" w:fill="auto"/>
          </w:tcPr>
          <w:p w14:paraId="50CA3182" w14:textId="77777777" w:rsidR="00E93F58" w:rsidRPr="00576D60" w:rsidRDefault="00E93F58" w:rsidP="002F32E3">
            <w:pPr>
              <w:pStyle w:val="ENoteTableText"/>
            </w:pPr>
            <w:r w:rsidRPr="00576D60">
              <w:t>ad. 2010 No. 210</w:t>
            </w:r>
          </w:p>
        </w:tc>
      </w:tr>
      <w:tr w:rsidR="00E93F58" w:rsidRPr="00576D60" w14:paraId="78DE7E5F" w14:textId="77777777" w:rsidTr="002F32E3">
        <w:trPr>
          <w:cantSplit/>
        </w:trPr>
        <w:tc>
          <w:tcPr>
            <w:tcW w:w="1500" w:type="pct"/>
            <w:shd w:val="clear" w:color="auto" w:fill="auto"/>
          </w:tcPr>
          <w:p w14:paraId="049C2BE6" w14:textId="77777777" w:rsidR="00E93F58" w:rsidRPr="00576D60" w:rsidRDefault="00E93F58" w:rsidP="002F32E3">
            <w:pPr>
              <w:pStyle w:val="ENoteTableText"/>
              <w:tabs>
                <w:tab w:val="left" w:leader="dot" w:pos="2268"/>
              </w:tabs>
              <w:rPr>
                <w:b/>
              </w:rPr>
            </w:pPr>
            <w:r w:rsidRPr="00576D60">
              <w:rPr>
                <w:b/>
              </w:rPr>
              <w:t>Division 7.2A.1</w:t>
            </w:r>
          </w:p>
        </w:tc>
        <w:tc>
          <w:tcPr>
            <w:tcW w:w="3500" w:type="pct"/>
            <w:shd w:val="clear" w:color="auto" w:fill="auto"/>
          </w:tcPr>
          <w:p w14:paraId="764CBC3E" w14:textId="77777777" w:rsidR="00E93F58" w:rsidRPr="00576D60" w:rsidRDefault="00E93F58" w:rsidP="002F32E3">
            <w:pPr>
              <w:pStyle w:val="ENoteTableText"/>
              <w:keepNext/>
              <w:keepLines/>
            </w:pPr>
          </w:p>
        </w:tc>
      </w:tr>
      <w:tr w:rsidR="00E93F58" w:rsidRPr="00576D60" w14:paraId="38435EFD" w14:textId="77777777" w:rsidTr="002F32E3">
        <w:trPr>
          <w:cantSplit/>
        </w:trPr>
        <w:tc>
          <w:tcPr>
            <w:tcW w:w="1500" w:type="pct"/>
            <w:shd w:val="clear" w:color="auto" w:fill="auto"/>
          </w:tcPr>
          <w:p w14:paraId="0AA2F96D" w14:textId="77777777" w:rsidR="00E93F58" w:rsidRPr="00576D60" w:rsidRDefault="00E93F58" w:rsidP="002F32E3">
            <w:pPr>
              <w:pStyle w:val="ENoteTableText"/>
              <w:tabs>
                <w:tab w:val="left" w:leader="dot" w:pos="2268"/>
              </w:tabs>
            </w:pPr>
            <w:r w:rsidRPr="00576D60">
              <w:t>r. 7.2A.01</w:t>
            </w:r>
            <w:r w:rsidRPr="00576D60">
              <w:tab/>
            </w:r>
          </w:p>
        </w:tc>
        <w:tc>
          <w:tcPr>
            <w:tcW w:w="3500" w:type="pct"/>
            <w:shd w:val="clear" w:color="auto" w:fill="auto"/>
          </w:tcPr>
          <w:p w14:paraId="29478844" w14:textId="77777777" w:rsidR="00E93F58" w:rsidRPr="00576D60" w:rsidRDefault="00E93F58" w:rsidP="002F32E3">
            <w:pPr>
              <w:pStyle w:val="ENoteTableText"/>
            </w:pPr>
            <w:r w:rsidRPr="00576D60">
              <w:t>ad. 2010 No. 210</w:t>
            </w:r>
          </w:p>
        </w:tc>
      </w:tr>
      <w:tr w:rsidR="00E93F58" w:rsidRPr="00576D60" w14:paraId="30BE4B65" w14:textId="77777777" w:rsidTr="002F32E3">
        <w:trPr>
          <w:cantSplit/>
        </w:trPr>
        <w:tc>
          <w:tcPr>
            <w:tcW w:w="1500" w:type="pct"/>
            <w:shd w:val="clear" w:color="auto" w:fill="auto"/>
          </w:tcPr>
          <w:p w14:paraId="0B9FD1ED" w14:textId="77777777" w:rsidR="00E93F58" w:rsidRPr="00576D60" w:rsidRDefault="00E93F58" w:rsidP="002F32E3">
            <w:pPr>
              <w:pStyle w:val="ENoteTableText"/>
              <w:tabs>
                <w:tab w:val="left" w:leader="dot" w:pos="2268"/>
              </w:tabs>
              <w:rPr>
                <w:b/>
              </w:rPr>
            </w:pPr>
            <w:r w:rsidRPr="00576D60">
              <w:rPr>
                <w:b/>
              </w:rPr>
              <w:t>Division 7.2A.2</w:t>
            </w:r>
          </w:p>
        </w:tc>
        <w:tc>
          <w:tcPr>
            <w:tcW w:w="3500" w:type="pct"/>
            <w:shd w:val="clear" w:color="auto" w:fill="auto"/>
          </w:tcPr>
          <w:p w14:paraId="0D45258D" w14:textId="77777777" w:rsidR="00E93F58" w:rsidRPr="00576D60" w:rsidRDefault="00E93F58" w:rsidP="002F32E3">
            <w:pPr>
              <w:pStyle w:val="ENoteTableText"/>
            </w:pPr>
          </w:p>
        </w:tc>
      </w:tr>
      <w:tr w:rsidR="00E93F58" w:rsidRPr="00576D60" w14:paraId="41893F82" w14:textId="77777777" w:rsidTr="002F32E3">
        <w:trPr>
          <w:cantSplit/>
        </w:trPr>
        <w:tc>
          <w:tcPr>
            <w:tcW w:w="1500" w:type="pct"/>
            <w:shd w:val="clear" w:color="auto" w:fill="auto"/>
          </w:tcPr>
          <w:p w14:paraId="0F5F2BE0" w14:textId="77777777" w:rsidR="00E93F58" w:rsidRPr="00576D60" w:rsidRDefault="00E93F58" w:rsidP="002F32E3">
            <w:pPr>
              <w:pStyle w:val="ENoteTableText"/>
              <w:tabs>
                <w:tab w:val="left" w:leader="dot" w:pos="2268"/>
              </w:tabs>
            </w:pPr>
            <w:r w:rsidRPr="00576D60">
              <w:t>r. 7.2A.02</w:t>
            </w:r>
            <w:r w:rsidRPr="00576D60">
              <w:tab/>
            </w:r>
          </w:p>
        </w:tc>
        <w:tc>
          <w:tcPr>
            <w:tcW w:w="3500" w:type="pct"/>
            <w:shd w:val="clear" w:color="auto" w:fill="auto"/>
          </w:tcPr>
          <w:p w14:paraId="5122DD1B" w14:textId="77777777" w:rsidR="00E93F58" w:rsidRPr="00576D60" w:rsidRDefault="00E93F58" w:rsidP="002F32E3">
            <w:pPr>
              <w:pStyle w:val="ENoteTableText"/>
            </w:pPr>
            <w:r w:rsidRPr="00576D60">
              <w:t>ad. 2010 No. 210</w:t>
            </w:r>
          </w:p>
        </w:tc>
      </w:tr>
      <w:tr w:rsidR="00E93F58" w:rsidRPr="00576D60" w14:paraId="6B315276" w14:textId="77777777" w:rsidTr="002F32E3">
        <w:trPr>
          <w:cantSplit/>
        </w:trPr>
        <w:tc>
          <w:tcPr>
            <w:tcW w:w="1500" w:type="pct"/>
            <w:shd w:val="clear" w:color="auto" w:fill="auto"/>
          </w:tcPr>
          <w:p w14:paraId="49562AE1" w14:textId="77777777" w:rsidR="00E93F58" w:rsidRPr="00576D60" w:rsidRDefault="00E93F58" w:rsidP="002F32E3">
            <w:pPr>
              <w:pStyle w:val="ENoteTableText"/>
              <w:tabs>
                <w:tab w:val="left" w:leader="dot" w:pos="2268"/>
              </w:tabs>
            </w:pPr>
            <w:r w:rsidRPr="00576D60">
              <w:t>r. 7.2A.03</w:t>
            </w:r>
            <w:r w:rsidRPr="00576D60">
              <w:tab/>
            </w:r>
          </w:p>
        </w:tc>
        <w:tc>
          <w:tcPr>
            <w:tcW w:w="3500" w:type="pct"/>
            <w:shd w:val="clear" w:color="auto" w:fill="auto"/>
          </w:tcPr>
          <w:p w14:paraId="09B7CC9D" w14:textId="77777777" w:rsidR="00E93F58" w:rsidRPr="00576D60" w:rsidRDefault="00E93F58" w:rsidP="002F32E3">
            <w:pPr>
              <w:pStyle w:val="ENoteTableText"/>
            </w:pPr>
            <w:r w:rsidRPr="00576D60">
              <w:t>ad. 2010 No. 210</w:t>
            </w:r>
          </w:p>
        </w:tc>
      </w:tr>
      <w:tr w:rsidR="00E93F58" w:rsidRPr="00576D60" w14:paraId="399A5936" w14:textId="77777777" w:rsidTr="002F32E3">
        <w:trPr>
          <w:cantSplit/>
        </w:trPr>
        <w:tc>
          <w:tcPr>
            <w:tcW w:w="1500" w:type="pct"/>
            <w:shd w:val="clear" w:color="auto" w:fill="auto"/>
          </w:tcPr>
          <w:p w14:paraId="5E35783E" w14:textId="77777777" w:rsidR="00E93F58" w:rsidRPr="00576D60" w:rsidRDefault="00E93F58" w:rsidP="002F32E3">
            <w:pPr>
              <w:pStyle w:val="ENoteTableText"/>
              <w:tabs>
                <w:tab w:val="left" w:leader="dot" w:pos="2268"/>
              </w:tabs>
            </w:pPr>
            <w:r w:rsidRPr="00576D60">
              <w:t>r. 7.2A.04</w:t>
            </w:r>
            <w:r w:rsidRPr="00576D60">
              <w:tab/>
            </w:r>
          </w:p>
        </w:tc>
        <w:tc>
          <w:tcPr>
            <w:tcW w:w="3500" w:type="pct"/>
            <w:shd w:val="clear" w:color="auto" w:fill="auto"/>
          </w:tcPr>
          <w:p w14:paraId="4452DAA2" w14:textId="77777777" w:rsidR="00E93F58" w:rsidRPr="00576D60" w:rsidRDefault="00E93F58" w:rsidP="002F32E3">
            <w:pPr>
              <w:pStyle w:val="ENoteTableText"/>
            </w:pPr>
            <w:r w:rsidRPr="00576D60">
              <w:t>ad. 2010 No. 210</w:t>
            </w:r>
          </w:p>
        </w:tc>
      </w:tr>
      <w:tr w:rsidR="00E93F58" w:rsidRPr="00576D60" w14:paraId="199D62B3" w14:textId="77777777" w:rsidTr="002F32E3">
        <w:trPr>
          <w:cantSplit/>
        </w:trPr>
        <w:tc>
          <w:tcPr>
            <w:tcW w:w="1500" w:type="pct"/>
            <w:shd w:val="clear" w:color="auto" w:fill="auto"/>
          </w:tcPr>
          <w:p w14:paraId="715D36B8" w14:textId="77777777" w:rsidR="00E93F58" w:rsidRPr="00576D60" w:rsidRDefault="00E93F58" w:rsidP="002F32E3">
            <w:pPr>
              <w:pStyle w:val="ENoteTableText"/>
              <w:tabs>
                <w:tab w:val="left" w:leader="dot" w:pos="2268"/>
              </w:tabs>
            </w:pPr>
            <w:r w:rsidRPr="00576D60">
              <w:t>r. 7.2A.05</w:t>
            </w:r>
            <w:r w:rsidRPr="00576D60">
              <w:tab/>
            </w:r>
          </w:p>
        </w:tc>
        <w:tc>
          <w:tcPr>
            <w:tcW w:w="3500" w:type="pct"/>
            <w:shd w:val="clear" w:color="auto" w:fill="auto"/>
          </w:tcPr>
          <w:p w14:paraId="20092356" w14:textId="77777777" w:rsidR="00E93F58" w:rsidRPr="00576D60" w:rsidRDefault="00E93F58" w:rsidP="002F32E3">
            <w:pPr>
              <w:pStyle w:val="ENoteTableText"/>
            </w:pPr>
            <w:r w:rsidRPr="00576D60">
              <w:t>ad. 2010 No. 210</w:t>
            </w:r>
          </w:p>
        </w:tc>
      </w:tr>
      <w:tr w:rsidR="00E93F58" w:rsidRPr="00576D60" w14:paraId="051738F9" w14:textId="77777777" w:rsidTr="002F32E3">
        <w:trPr>
          <w:cantSplit/>
        </w:trPr>
        <w:tc>
          <w:tcPr>
            <w:tcW w:w="1500" w:type="pct"/>
            <w:shd w:val="clear" w:color="auto" w:fill="auto"/>
          </w:tcPr>
          <w:p w14:paraId="45E0394E" w14:textId="77777777" w:rsidR="00E93F58" w:rsidRPr="00576D60" w:rsidRDefault="00E93F58" w:rsidP="002F32E3">
            <w:pPr>
              <w:pStyle w:val="ENoteTableText"/>
              <w:tabs>
                <w:tab w:val="left" w:leader="dot" w:pos="2268"/>
              </w:tabs>
            </w:pPr>
            <w:r w:rsidRPr="00576D60">
              <w:lastRenderedPageBreak/>
              <w:t>r. 7.2A.06</w:t>
            </w:r>
            <w:r w:rsidRPr="00576D60">
              <w:tab/>
            </w:r>
          </w:p>
        </w:tc>
        <w:tc>
          <w:tcPr>
            <w:tcW w:w="3500" w:type="pct"/>
            <w:shd w:val="clear" w:color="auto" w:fill="auto"/>
          </w:tcPr>
          <w:p w14:paraId="46033BBA" w14:textId="77777777" w:rsidR="00E93F58" w:rsidRPr="00576D60" w:rsidRDefault="00E93F58" w:rsidP="002F32E3">
            <w:pPr>
              <w:pStyle w:val="ENoteTableText"/>
            </w:pPr>
            <w:r w:rsidRPr="00576D60">
              <w:t>ad. 2010 No. 210</w:t>
            </w:r>
          </w:p>
        </w:tc>
      </w:tr>
      <w:tr w:rsidR="00E93F58" w:rsidRPr="00576D60" w14:paraId="1A9F4A77" w14:textId="77777777" w:rsidTr="002F32E3">
        <w:trPr>
          <w:cantSplit/>
        </w:trPr>
        <w:tc>
          <w:tcPr>
            <w:tcW w:w="1500" w:type="pct"/>
            <w:shd w:val="clear" w:color="auto" w:fill="auto"/>
          </w:tcPr>
          <w:p w14:paraId="66F1593C" w14:textId="77777777" w:rsidR="00E93F58" w:rsidRPr="00576D60" w:rsidRDefault="00E93F58" w:rsidP="002F32E3">
            <w:pPr>
              <w:pStyle w:val="ENoteTableText"/>
              <w:tabs>
                <w:tab w:val="left" w:leader="dot" w:pos="2268"/>
              </w:tabs>
            </w:pPr>
            <w:r w:rsidRPr="00576D60">
              <w:t>r 7.2A.07</w:t>
            </w:r>
            <w:r w:rsidRPr="00576D60">
              <w:tab/>
            </w:r>
          </w:p>
        </w:tc>
        <w:tc>
          <w:tcPr>
            <w:tcW w:w="3500" w:type="pct"/>
            <w:shd w:val="clear" w:color="auto" w:fill="auto"/>
          </w:tcPr>
          <w:p w14:paraId="53F93627" w14:textId="77777777" w:rsidR="00E93F58" w:rsidRPr="00576D60" w:rsidRDefault="00E93F58" w:rsidP="002F32E3">
            <w:pPr>
              <w:pStyle w:val="ENoteTableText"/>
            </w:pPr>
            <w:r w:rsidRPr="00576D60">
              <w:t>ad No 210, 2010</w:t>
            </w:r>
          </w:p>
        </w:tc>
      </w:tr>
      <w:tr w:rsidR="00E93F58" w:rsidRPr="00576D60" w14:paraId="67622CB5" w14:textId="77777777" w:rsidTr="002F32E3">
        <w:trPr>
          <w:cantSplit/>
        </w:trPr>
        <w:tc>
          <w:tcPr>
            <w:tcW w:w="1500" w:type="pct"/>
            <w:shd w:val="clear" w:color="auto" w:fill="auto"/>
          </w:tcPr>
          <w:p w14:paraId="6BF877F7" w14:textId="77777777" w:rsidR="00E93F58" w:rsidRPr="00576D60" w:rsidRDefault="00E93F58" w:rsidP="002F32E3">
            <w:pPr>
              <w:pStyle w:val="ENoteTableText"/>
              <w:tabs>
                <w:tab w:val="left" w:leader="dot" w:pos="2268"/>
              </w:tabs>
            </w:pPr>
          </w:p>
        </w:tc>
        <w:tc>
          <w:tcPr>
            <w:tcW w:w="3500" w:type="pct"/>
            <w:shd w:val="clear" w:color="auto" w:fill="auto"/>
          </w:tcPr>
          <w:p w14:paraId="361F3C89" w14:textId="77777777" w:rsidR="00E93F58" w:rsidRPr="00576D60" w:rsidRDefault="00E93F58" w:rsidP="002F32E3">
            <w:pPr>
              <w:pStyle w:val="ENoteTableText"/>
            </w:pPr>
            <w:r w:rsidRPr="00576D60">
              <w:t>am F2019L00392</w:t>
            </w:r>
          </w:p>
        </w:tc>
      </w:tr>
      <w:tr w:rsidR="00E93F58" w:rsidRPr="00576D60" w14:paraId="4EBA3D37" w14:textId="77777777" w:rsidTr="002F32E3">
        <w:trPr>
          <w:cantSplit/>
        </w:trPr>
        <w:tc>
          <w:tcPr>
            <w:tcW w:w="1500" w:type="pct"/>
            <w:shd w:val="clear" w:color="auto" w:fill="auto"/>
          </w:tcPr>
          <w:p w14:paraId="3C5A0CE5" w14:textId="77777777" w:rsidR="00E93F58" w:rsidRPr="00576D60" w:rsidRDefault="00E93F58" w:rsidP="002F32E3">
            <w:pPr>
              <w:pStyle w:val="ENoteTableText"/>
              <w:tabs>
                <w:tab w:val="left" w:leader="dot" w:pos="2268"/>
              </w:tabs>
            </w:pPr>
            <w:r w:rsidRPr="00576D60">
              <w:t>r. 7.2A.08</w:t>
            </w:r>
            <w:r w:rsidRPr="00576D60">
              <w:tab/>
            </w:r>
          </w:p>
        </w:tc>
        <w:tc>
          <w:tcPr>
            <w:tcW w:w="3500" w:type="pct"/>
            <w:shd w:val="clear" w:color="auto" w:fill="auto"/>
          </w:tcPr>
          <w:p w14:paraId="65AD91AB" w14:textId="77777777" w:rsidR="00E93F58" w:rsidRPr="00576D60" w:rsidRDefault="00E93F58" w:rsidP="002F32E3">
            <w:pPr>
              <w:pStyle w:val="ENoteTableText"/>
            </w:pPr>
            <w:r w:rsidRPr="00576D60">
              <w:t>ad. 2010 No. 210</w:t>
            </w:r>
          </w:p>
        </w:tc>
      </w:tr>
      <w:tr w:rsidR="00E93F58" w:rsidRPr="00576D60" w14:paraId="468B3AA0" w14:textId="77777777" w:rsidTr="002F32E3">
        <w:trPr>
          <w:cantSplit/>
        </w:trPr>
        <w:tc>
          <w:tcPr>
            <w:tcW w:w="1500" w:type="pct"/>
            <w:shd w:val="clear" w:color="auto" w:fill="auto"/>
          </w:tcPr>
          <w:p w14:paraId="59CB36A1" w14:textId="77777777" w:rsidR="00E93F58" w:rsidRPr="00576D60" w:rsidRDefault="00E93F58" w:rsidP="002F32E3">
            <w:pPr>
              <w:pStyle w:val="ENoteTableText"/>
              <w:tabs>
                <w:tab w:val="left" w:leader="dot" w:pos="2268"/>
              </w:tabs>
            </w:pPr>
            <w:r w:rsidRPr="00576D60">
              <w:t>r. 7.2A.09</w:t>
            </w:r>
            <w:r w:rsidRPr="00576D60">
              <w:tab/>
            </w:r>
          </w:p>
        </w:tc>
        <w:tc>
          <w:tcPr>
            <w:tcW w:w="3500" w:type="pct"/>
            <w:shd w:val="clear" w:color="auto" w:fill="auto"/>
          </w:tcPr>
          <w:p w14:paraId="63FB9B8C" w14:textId="77777777" w:rsidR="00E93F58" w:rsidRPr="00576D60" w:rsidRDefault="00E93F58" w:rsidP="002F32E3">
            <w:pPr>
              <w:pStyle w:val="ENoteTableText"/>
            </w:pPr>
            <w:r w:rsidRPr="00576D60">
              <w:t>ad. 2010 No. 210</w:t>
            </w:r>
          </w:p>
        </w:tc>
      </w:tr>
      <w:tr w:rsidR="00E93F58" w:rsidRPr="00576D60" w14:paraId="2C89A425" w14:textId="77777777" w:rsidTr="002F32E3">
        <w:trPr>
          <w:cantSplit/>
        </w:trPr>
        <w:tc>
          <w:tcPr>
            <w:tcW w:w="1500" w:type="pct"/>
            <w:shd w:val="clear" w:color="auto" w:fill="auto"/>
          </w:tcPr>
          <w:p w14:paraId="6654F420" w14:textId="77777777" w:rsidR="00E93F58" w:rsidRPr="00576D60" w:rsidRDefault="00E93F58" w:rsidP="002F32E3">
            <w:pPr>
              <w:pStyle w:val="ENoteTableText"/>
              <w:tabs>
                <w:tab w:val="left" w:leader="dot" w:pos="2268"/>
              </w:tabs>
            </w:pPr>
            <w:r w:rsidRPr="00576D60">
              <w:t>r. 7.2A.10</w:t>
            </w:r>
            <w:r w:rsidRPr="00576D60">
              <w:tab/>
            </w:r>
          </w:p>
        </w:tc>
        <w:tc>
          <w:tcPr>
            <w:tcW w:w="3500" w:type="pct"/>
            <w:shd w:val="clear" w:color="auto" w:fill="auto"/>
          </w:tcPr>
          <w:p w14:paraId="64264DF5" w14:textId="77777777" w:rsidR="00E93F58" w:rsidRPr="00576D60" w:rsidRDefault="00E93F58" w:rsidP="002F32E3">
            <w:pPr>
              <w:pStyle w:val="ENoteTableText"/>
            </w:pPr>
            <w:r w:rsidRPr="00576D60">
              <w:t>ad. 2010 No. 210</w:t>
            </w:r>
          </w:p>
        </w:tc>
      </w:tr>
      <w:tr w:rsidR="00E93F58" w:rsidRPr="00576D60" w14:paraId="6B37A3FD" w14:textId="77777777" w:rsidTr="002F32E3">
        <w:trPr>
          <w:cantSplit/>
        </w:trPr>
        <w:tc>
          <w:tcPr>
            <w:tcW w:w="1500" w:type="pct"/>
            <w:shd w:val="clear" w:color="auto" w:fill="auto"/>
          </w:tcPr>
          <w:p w14:paraId="376AE7C0" w14:textId="77777777" w:rsidR="00E93F58" w:rsidRPr="00576D60" w:rsidRDefault="00E93F58" w:rsidP="002F32E3">
            <w:pPr>
              <w:pStyle w:val="ENoteTableText"/>
              <w:tabs>
                <w:tab w:val="left" w:leader="dot" w:pos="2268"/>
              </w:tabs>
            </w:pPr>
            <w:r w:rsidRPr="00576D60">
              <w:t>r. 7.2A.11</w:t>
            </w:r>
            <w:r w:rsidRPr="00576D60">
              <w:tab/>
            </w:r>
          </w:p>
        </w:tc>
        <w:tc>
          <w:tcPr>
            <w:tcW w:w="3500" w:type="pct"/>
            <w:shd w:val="clear" w:color="auto" w:fill="auto"/>
          </w:tcPr>
          <w:p w14:paraId="1B496F18" w14:textId="77777777" w:rsidR="00E93F58" w:rsidRPr="00576D60" w:rsidRDefault="00E93F58" w:rsidP="002F32E3">
            <w:pPr>
              <w:pStyle w:val="ENoteTableText"/>
            </w:pPr>
            <w:r w:rsidRPr="00576D60">
              <w:t>ad. 2010 No. 210</w:t>
            </w:r>
          </w:p>
        </w:tc>
      </w:tr>
      <w:tr w:rsidR="00E93F58" w:rsidRPr="00576D60" w14:paraId="43F2344C" w14:textId="77777777" w:rsidTr="002F32E3">
        <w:trPr>
          <w:cantSplit/>
        </w:trPr>
        <w:tc>
          <w:tcPr>
            <w:tcW w:w="1500" w:type="pct"/>
            <w:shd w:val="clear" w:color="auto" w:fill="auto"/>
          </w:tcPr>
          <w:p w14:paraId="509B0A8F" w14:textId="77777777" w:rsidR="00E93F58" w:rsidRPr="00576D60" w:rsidRDefault="00E93F58" w:rsidP="002F32E3">
            <w:pPr>
              <w:pStyle w:val="ENoteTableText"/>
              <w:tabs>
                <w:tab w:val="left" w:leader="dot" w:pos="2268"/>
              </w:tabs>
            </w:pPr>
            <w:r w:rsidRPr="00576D60">
              <w:t>r. 7.2A.12</w:t>
            </w:r>
            <w:r w:rsidRPr="00576D60">
              <w:tab/>
            </w:r>
          </w:p>
        </w:tc>
        <w:tc>
          <w:tcPr>
            <w:tcW w:w="3500" w:type="pct"/>
            <w:shd w:val="clear" w:color="auto" w:fill="auto"/>
          </w:tcPr>
          <w:p w14:paraId="66F0EE48" w14:textId="77777777" w:rsidR="00E93F58" w:rsidRPr="00576D60" w:rsidRDefault="00E93F58" w:rsidP="002F32E3">
            <w:pPr>
              <w:pStyle w:val="ENoteTableText"/>
            </w:pPr>
            <w:r w:rsidRPr="00576D60">
              <w:t>ad. 2010 No. 210</w:t>
            </w:r>
          </w:p>
        </w:tc>
      </w:tr>
      <w:tr w:rsidR="00E93F58" w:rsidRPr="00576D60" w14:paraId="3505ECC1" w14:textId="77777777" w:rsidTr="002F32E3">
        <w:trPr>
          <w:cantSplit/>
        </w:trPr>
        <w:tc>
          <w:tcPr>
            <w:tcW w:w="1500" w:type="pct"/>
            <w:shd w:val="clear" w:color="auto" w:fill="auto"/>
          </w:tcPr>
          <w:p w14:paraId="3DCD0FEA" w14:textId="77777777" w:rsidR="00E93F58" w:rsidRPr="00576D60" w:rsidRDefault="00E93F58" w:rsidP="002F32E3">
            <w:pPr>
              <w:pStyle w:val="ENoteTableText"/>
              <w:tabs>
                <w:tab w:val="left" w:leader="dot" w:pos="2268"/>
              </w:tabs>
            </w:pPr>
            <w:r w:rsidRPr="00576D60">
              <w:t>r. 7.2A.13</w:t>
            </w:r>
            <w:r w:rsidRPr="00576D60">
              <w:tab/>
            </w:r>
          </w:p>
        </w:tc>
        <w:tc>
          <w:tcPr>
            <w:tcW w:w="3500" w:type="pct"/>
            <w:shd w:val="clear" w:color="auto" w:fill="auto"/>
          </w:tcPr>
          <w:p w14:paraId="7EE868B5" w14:textId="77777777" w:rsidR="00E93F58" w:rsidRPr="00576D60" w:rsidRDefault="00E93F58" w:rsidP="002F32E3">
            <w:pPr>
              <w:pStyle w:val="ENoteTableText"/>
            </w:pPr>
            <w:r w:rsidRPr="00576D60">
              <w:t>ad. 2010 No. 210</w:t>
            </w:r>
          </w:p>
        </w:tc>
      </w:tr>
      <w:tr w:rsidR="00E93F58" w:rsidRPr="00576D60" w14:paraId="68CBA240" w14:textId="77777777" w:rsidTr="002F32E3">
        <w:trPr>
          <w:cantSplit/>
        </w:trPr>
        <w:tc>
          <w:tcPr>
            <w:tcW w:w="1500" w:type="pct"/>
            <w:shd w:val="clear" w:color="auto" w:fill="auto"/>
          </w:tcPr>
          <w:p w14:paraId="3F586B79" w14:textId="77777777" w:rsidR="00E93F58" w:rsidRPr="00576D60" w:rsidRDefault="00E93F58" w:rsidP="002F32E3">
            <w:pPr>
              <w:pStyle w:val="ENoteTableText"/>
              <w:tabs>
                <w:tab w:val="left" w:leader="dot" w:pos="2268"/>
              </w:tabs>
            </w:pPr>
            <w:r w:rsidRPr="00576D60">
              <w:t>r. 7.2A.14</w:t>
            </w:r>
            <w:r w:rsidRPr="00576D60">
              <w:tab/>
            </w:r>
          </w:p>
        </w:tc>
        <w:tc>
          <w:tcPr>
            <w:tcW w:w="3500" w:type="pct"/>
            <w:shd w:val="clear" w:color="auto" w:fill="auto"/>
          </w:tcPr>
          <w:p w14:paraId="3E1FE61C" w14:textId="77777777" w:rsidR="00E93F58" w:rsidRPr="00576D60" w:rsidRDefault="00E93F58" w:rsidP="002F32E3">
            <w:pPr>
              <w:pStyle w:val="ENoteTableText"/>
            </w:pPr>
            <w:r w:rsidRPr="00576D60">
              <w:t>ad. 2010 No. 210</w:t>
            </w:r>
          </w:p>
        </w:tc>
      </w:tr>
      <w:tr w:rsidR="00E93F58" w:rsidRPr="00576D60" w14:paraId="71BD0BF6" w14:textId="77777777" w:rsidTr="002F32E3">
        <w:trPr>
          <w:cantSplit/>
        </w:trPr>
        <w:tc>
          <w:tcPr>
            <w:tcW w:w="1500" w:type="pct"/>
            <w:shd w:val="clear" w:color="auto" w:fill="auto"/>
          </w:tcPr>
          <w:p w14:paraId="671C6889" w14:textId="77777777" w:rsidR="00E93F58" w:rsidRPr="00576D60" w:rsidRDefault="00E93F58" w:rsidP="002F32E3">
            <w:pPr>
              <w:pStyle w:val="ENoteTableText"/>
              <w:tabs>
                <w:tab w:val="left" w:leader="dot" w:pos="2268"/>
              </w:tabs>
            </w:pPr>
            <w:r w:rsidRPr="00576D60">
              <w:t>r. 7.2A.15</w:t>
            </w:r>
            <w:r w:rsidRPr="00576D60">
              <w:tab/>
            </w:r>
          </w:p>
        </w:tc>
        <w:tc>
          <w:tcPr>
            <w:tcW w:w="3500" w:type="pct"/>
            <w:shd w:val="clear" w:color="auto" w:fill="auto"/>
          </w:tcPr>
          <w:p w14:paraId="47E33034" w14:textId="77777777" w:rsidR="00E93F58" w:rsidRPr="00576D60" w:rsidRDefault="00E93F58" w:rsidP="002F32E3">
            <w:pPr>
              <w:pStyle w:val="ENoteTableText"/>
            </w:pPr>
            <w:r w:rsidRPr="00576D60">
              <w:t>ad. 2010 No. 210</w:t>
            </w:r>
          </w:p>
        </w:tc>
      </w:tr>
      <w:tr w:rsidR="00E93F58" w:rsidRPr="00576D60" w14:paraId="1F53F37A" w14:textId="77777777" w:rsidTr="002F32E3">
        <w:trPr>
          <w:cantSplit/>
        </w:trPr>
        <w:tc>
          <w:tcPr>
            <w:tcW w:w="1500" w:type="pct"/>
            <w:shd w:val="clear" w:color="auto" w:fill="auto"/>
          </w:tcPr>
          <w:p w14:paraId="7C80CABC" w14:textId="77777777" w:rsidR="00E93F58" w:rsidRPr="00576D60" w:rsidRDefault="00E93F58" w:rsidP="0009217A">
            <w:pPr>
              <w:pStyle w:val="ENoteTableText"/>
              <w:keepNext/>
              <w:tabs>
                <w:tab w:val="left" w:leader="dot" w:pos="2268"/>
              </w:tabs>
              <w:rPr>
                <w:b/>
              </w:rPr>
            </w:pPr>
            <w:r w:rsidRPr="00576D60">
              <w:rPr>
                <w:b/>
              </w:rPr>
              <w:t>Part 7.3</w:t>
            </w:r>
          </w:p>
        </w:tc>
        <w:tc>
          <w:tcPr>
            <w:tcW w:w="3500" w:type="pct"/>
            <w:shd w:val="clear" w:color="auto" w:fill="auto"/>
          </w:tcPr>
          <w:p w14:paraId="73EE7D90" w14:textId="77777777" w:rsidR="00E93F58" w:rsidRPr="00576D60" w:rsidRDefault="00E93F58" w:rsidP="0009217A">
            <w:pPr>
              <w:pStyle w:val="ENoteTableText"/>
              <w:keepNext/>
            </w:pPr>
          </w:p>
        </w:tc>
      </w:tr>
      <w:tr w:rsidR="00E93F58" w:rsidRPr="00576D60" w14:paraId="6900BDE5" w14:textId="77777777" w:rsidTr="002F32E3">
        <w:trPr>
          <w:cantSplit/>
        </w:trPr>
        <w:tc>
          <w:tcPr>
            <w:tcW w:w="1500" w:type="pct"/>
            <w:shd w:val="clear" w:color="auto" w:fill="auto"/>
          </w:tcPr>
          <w:p w14:paraId="72B05407" w14:textId="77777777" w:rsidR="00E93F58" w:rsidRPr="00576D60" w:rsidRDefault="00E93F58" w:rsidP="0009217A">
            <w:pPr>
              <w:pStyle w:val="ENoteTableText"/>
              <w:keepNext/>
              <w:tabs>
                <w:tab w:val="left" w:leader="dot" w:pos="2268"/>
              </w:tabs>
              <w:rPr>
                <w:b/>
              </w:rPr>
            </w:pPr>
            <w:r w:rsidRPr="00576D60">
              <w:rPr>
                <w:b/>
              </w:rPr>
              <w:t>Division 1</w:t>
            </w:r>
          </w:p>
        </w:tc>
        <w:tc>
          <w:tcPr>
            <w:tcW w:w="3500" w:type="pct"/>
            <w:shd w:val="clear" w:color="auto" w:fill="auto"/>
          </w:tcPr>
          <w:p w14:paraId="71948009" w14:textId="77777777" w:rsidR="00E93F58" w:rsidRPr="00576D60" w:rsidRDefault="00E93F58" w:rsidP="0009217A">
            <w:pPr>
              <w:pStyle w:val="ENoteTableText"/>
              <w:keepNext/>
            </w:pPr>
          </w:p>
        </w:tc>
      </w:tr>
      <w:tr w:rsidR="00E93F58" w:rsidRPr="00576D60" w14:paraId="2866223D" w14:textId="77777777" w:rsidTr="002F32E3">
        <w:trPr>
          <w:cantSplit/>
        </w:trPr>
        <w:tc>
          <w:tcPr>
            <w:tcW w:w="1500" w:type="pct"/>
            <w:shd w:val="clear" w:color="auto" w:fill="auto"/>
          </w:tcPr>
          <w:p w14:paraId="5C81F84B" w14:textId="77777777" w:rsidR="00E93F58" w:rsidRPr="00576D60" w:rsidRDefault="00E93F58" w:rsidP="002F32E3">
            <w:pPr>
              <w:pStyle w:val="ENoteTableText"/>
              <w:tabs>
                <w:tab w:val="left" w:leader="dot" w:pos="2268"/>
              </w:tabs>
            </w:pPr>
            <w:r w:rsidRPr="00576D60">
              <w:t>r. 7.3.01</w:t>
            </w:r>
            <w:r w:rsidRPr="00576D60">
              <w:tab/>
            </w:r>
          </w:p>
        </w:tc>
        <w:tc>
          <w:tcPr>
            <w:tcW w:w="3500" w:type="pct"/>
            <w:shd w:val="clear" w:color="auto" w:fill="auto"/>
          </w:tcPr>
          <w:p w14:paraId="011F49FD" w14:textId="77777777" w:rsidR="00E93F58" w:rsidRPr="00576D60" w:rsidRDefault="00E93F58" w:rsidP="002F32E3">
            <w:pPr>
              <w:pStyle w:val="ENoteTableText"/>
            </w:pPr>
            <w:r w:rsidRPr="00576D60">
              <w:t>rs. 2001 No. 319</w:t>
            </w:r>
          </w:p>
        </w:tc>
      </w:tr>
      <w:tr w:rsidR="00E93F58" w:rsidRPr="00576D60" w14:paraId="61C2DB63" w14:textId="77777777" w:rsidTr="002F32E3">
        <w:trPr>
          <w:cantSplit/>
        </w:trPr>
        <w:tc>
          <w:tcPr>
            <w:tcW w:w="1500" w:type="pct"/>
            <w:shd w:val="clear" w:color="auto" w:fill="auto"/>
          </w:tcPr>
          <w:p w14:paraId="713C41E5" w14:textId="77777777" w:rsidR="00E93F58" w:rsidRPr="00576D60" w:rsidRDefault="00E93F58" w:rsidP="002F32E3">
            <w:pPr>
              <w:pStyle w:val="ENoteTableText"/>
              <w:tabs>
                <w:tab w:val="left" w:leader="dot" w:pos="2268"/>
              </w:tabs>
            </w:pPr>
            <w:r w:rsidRPr="00576D60">
              <w:t>rr. 7.3.01A, 7.3.01B</w:t>
            </w:r>
            <w:r w:rsidRPr="00576D60">
              <w:tab/>
            </w:r>
          </w:p>
        </w:tc>
        <w:tc>
          <w:tcPr>
            <w:tcW w:w="3500" w:type="pct"/>
            <w:shd w:val="clear" w:color="auto" w:fill="auto"/>
          </w:tcPr>
          <w:p w14:paraId="2FB8DB53" w14:textId="77777777" w:rsidR="00E93F58" w:rsidRPr="00576D60" w:rsidRDefault="00E93F58" w:rsidP="002F32E3">
            <w:pPr>
              <w:pStyle w:val="ENoteTableText"/>
            </w:pPr>
            <w:r w:rsidRPr="00576D60">
              <w:t>rep. 2001 No. 319</w:t>
            </w:r>
          </w:p>
        </w:tc>
      </w:tr>
      <w:tr w:rsidR="00E93F58" w:rsidRPr="00576D60" w14:paraId="2365EF0D" w14:textId="77777777" w:rsidTr="002F32E3">
        <w:trPr>
          <w:cantSplit/>
        </w:trPr>
        <w:tc>
          <w:tcPr>
            <w:tcW w:w="1500" w:type="pct"/>
            <w:shd w:val="clear" w:color="auto" w:fill="auto"/>
          </w:tcPr>
          <w:p w14:paraId="0B6755CF" w14:textId="77777777" w:rsidR="00E93F58" w:rsidRPr="00576D60" w:rsidRDefault="00E93F58" w:rsidP="002F32E3">
            <w:pPr>
              <w:pStyle w:val="ENoteTableText"/>
              <w:tabs>
                <w:tab w:val="left" w:leader="dot" w:pos="2268"/>
              </w:tabs>
            </w:pPr>
            <w:r w:rsidRPr="00576D60">
              <w:t>r. 7.3.02</w:t>
            </w:r>
            <w:r w:rsidRPr="00576D60">
              <w:tab/>
            </w:r>
          </w:p>
        </w:tc>
        <w:tc>
          <w:tcPr>
            <w:tcW w:w="3500" w:type="pct"/>
            <w:shd w:val="clear" w:color="auto" w:fill="auto"/>
          </w:tcPr>
          <w:p w14:paraId="1653AECF" w14:textId="77777777" w:rsidR="00E93F58" w:rsidRPr="00576D60" w:rsidRDefault="00E93F58" w:rsidP="002F32E3">
            <w:pPr>
              <w:pStyle w:val="ENoteTableText"/>
            </w:pPr>
            <w:r w:rsidRPr="00576D60">
              <w:t>rs. 2001 No. 319</w:t>
            </w:r>
          </w:p>
        </w:tc>
      </w:tr>
      <w:tr w:rsidR="00E93F58" w:rsidRPr="00576D60" w14:paraId="0EB69DFF" w14:textId="77777777" w:rsidTr="002F32E3">
        <w:trPr>
          <w:cantSplit/>
        </w:trPr>
        <w:tc>
          <w:tcPr>
            <w:tcW w:w="1500" w:type="pct"/>
            <w:shd w:val="clear" w:color="auto" w:fill="auto"/>
          </w:tcPr>
          <w:p w14:paraId="189093E0" w14:textId="77777777" w:rsidR="00E93F58" w:rsidRPr="00576D60" w:rsidRDefault="00E93F58" w:rsidP="002F32E3">
            <w:pPr>
              <w:pStyle w:val="ENoteTableText"/>
              <w:tabs>
                <w:tab w:val="left" w:leader="dot" w:pos="2268"/>
              </w:tabs>
            </w:pPr>
            <w:r w:rsidRPr="00576D60">
              <w:t>rr. 7.3.02B–7.3.02D</w:t>
            </w:r>
            <w:r w:rsidRPr="00576D60">
              <w:tab/>
            </w:r>
          </w:p>
        </w:tc>
        <w:tc>
          <w:tcPr>
            <w:tcW w:w="3500" w:type="pct"/>
            <w:shd w:val="clear" w:color="auto" w:fill="auto"/>
          </w:tcPr>
          <w:p w14:paraId="7D85BD28" w14:textId="77777777" w:rsidR="00E93F58" w:rsidRPr="00576D60" w:rsidRDefault="00E93F58" w:rsidP="002F32E3">
            <w:pPr>
              <w:pStyle w:val="ENoteTableText"/>
            </w:pPr>
            <w:r w:rsidRPr="00576D60">
              <w:t>rep. 2001 No. 319</w:t>
            </w:r>
          </w:p>
        </w:tc>
      </w:tr>
      <w:tr w:rsidR="00E93F58" w:rsidRPr="00576D60" w14:paraId="244311CE" w14:textId="77777777" w:rsidTr="002F32E3">
        <w:trPr>
          <w:cantSplit/>
        </w:trPr>
        <w:tc>
          <w:tcPr>
            <w:tcW w:w="1500" w:type="pct"/>
            <w:shd w:val="clear" w:color="auto" w:fill="auto"/>
          </w:tcPr>
          <w:p w14:paraId="0ED7F9DC" w14:textId="77777777" w:rsidR="00E93F58" w:rsidRPr="00576D60" w:rsidRDefault="00E93F58" w:rsidP="002F32E3">
            <w:pPr>
              <w:pStyle w:val="ENoteTableText"/>
              <w:tabs>
                <w:tab w:val="left" w:leader="dot" w:pos="2268"/>
              </w:tabs>
            </w:pPr>
            <w:r w:rsidRPr="00576D60">
              <w:t>r. 7.3.03</w:t>
            </w:r>
            <w:r w:rsidRPr="00576D60">
              <w:tab/>
            </w:r>
          </w:p>
        </w:tc>
        <w:tc>
          <w:tcPr>
            <w:tcW w:w="3500" w:type="pct"/>
            <w:shd w:val="clear" w:color="auto" w:fill="auto"/>
          </w:tcPr>
          <w:p w14:paraId="0E992592" w14:textId="77777777" w:rsidR="00E93F58" w:rsidRPr="00576D60" w:rsidRDefault="00E93F58" w:rsidP="002F32E3">
            <w:pPr>
              <w:pStyle w:val="ENoteTableText"/>
            </w:pPr>
            <w:r w:rsidRPr="00576D60">
              <w:t>rs. 2001 No. 319</w:t>
            </w:r>
          </w:p>
        </w:tc>
      </w:tr>
      <w:tr w:rsidR="00E93F58" w:rsidRPr="00576D60" w14:paraId="407AD86F" w14:textId="77777777" w:rsidTr="002F32E3">
        <w:trPr>
          <w:cantSplit/>
        </w:trPr>
        <w:tc>
          <w:tcPr>
            <w:tcW w:w="1500" w:type="pct"/>
            <w:shd w:val="clear" w:color="auto" w:fill="auto"/>
          </w:tcPr>
          <w:p w14:paraId="3C0ED56B" w14:textId="77777777" w:rsidR="00E93F58" w:rsidRPr="00576D60" w:rsidRDefault="00E93F58" w:rsidP="002F32E3">
            <w:pPr>
              <w:pStyle w:val="ENoteTableText"/>
              <w:tabs>
                <w:tab w:val="left" w:leader="dot" w:pos="2268"/>
              </w:tabs>
            </w:pPr>
            <w:r w:rsidRPr="00576D60">
              <w:t>r 7.3.04</w:t>
            </w:r>
            <w:r w:rsidRPr="00576D60">
              <w:tab/>
            </w:r>
          </w:p>
        </w:tc>
        <w:tc>
          <w:tcPr>
            <w:tcW w:w="3500" w:type="pct"/>
            <w:shd w:val="clear" w:color="auto" w:fill="auto"/>
          </w:tcPr>
          <w:p w14:paraId="201E2B96" w14:textId="77777777" w:rsidR="00E93F58" w:rsidRPr="00576D60" w:rsidRDefault="00E93F58" w:rsidP="002F32E3">
            <w:pPr>
              <w:pStyle w:val="ENoteTableText"/>
            </w:pPr>
            <w:r w:rsidRPr="00576D60">
              <w:t>rs No 319, 2001</w:t>
            </w:r>
          </w:p>
        </w:tc>
      </w:tr>
      <w:tr w:rsidR="00E93F58" w:rsidRPr="00576D60" w14:paraId="11B8EB78" w14:textId="77777777" w:rsidTr="002F32E3">
        <w:trPr>
          <w:cantSplit/>
        </w:trPr>
        <w:tc>
          <w:tcPr>
            <w:tcW w:w="1500" w:type="pct"/>
            <w:shd w:val="clear" w:color="auto" w:fill="auto"/>
          </w:tcPr>
          <w:p w14:paraId="43CDE3FB" w14:textId="77777777" w:rsidR="00E93F58" w:rsidRPr="00576D60" w:rsidRDefault="00E93F58" w:rsidP="002F32E3">
            <w:pPr>
              <w:pStyle w:val="ENoteTableText"/>
            </w:pPr>
          </w:p>
        </w:tc>
        <w:tc>
          <w:tcPr>
            <w:tcW w:w="3500" w:type="pct"/>
            <w:shd w:val="clear" w:color="auto" w:fill="auto"/>
          </w:tcPr>
          <w:p w14:paraId="4CAFDCDD" w14:textId="77777777" w:rsidR="00E93F58" w:rsidRPr="00576D60" w:rsidRDefault="00E93F58" w:rsidP="002F32E3">
            <w:pPr>
              <w:pStyle w:val="ENoteTableText"/>
            </w:pPr>
            <w:r w:rsidRPr="00576D60">
              <w:t>am No 41, 2002; F2019L00392</w:t>
            </w:r>
          </w:p>
        </w:tc>
      </w:tr>
      <w:tr w:rsidR="00E93F58" w:rsidRPr="00576D60" w14:paraId="6A99642B" w14:textId="77777777" w:rsidTr="002F32E3">
        <w:trPr>
          <w:cantSplit/>
        </w:trPr>
        <w:tc>
          <w:tcPr>
            <w:tcW w:w="1500" w:type="pct"/>
            <w:shd w:val="clear" w:color="auto" w:fill="auto"/>
          </w:tcPr>
          <w:p w14:paraId="7E2E249F" w14:textId="77777777" w:rsidR="00E93F58" w:rsidRPr="00576D60" w:rsidRDefault="00E93F58" w:rsidP="009C5DA6">
            <w:pPr>
              <w:pStyle w:val="ENoteTableText"/>
              <w:keepNext/>
              <w:tabs>
                <w:tab w:val="left" w:leader="dot" w:pos="2268"/>
              </w:tabs>
              <w:rPr>
                <w:b/>
              </w:rPr>
            </w:pPr>
            <w:r>
              <w:rPr>
                <w:b/>
              </w:rPr>
              <w:t>Division 2</w:t>
            </w:r>
          </w:p>
        </w:tc>
        <w:tc>
          <w:tcPr>
            <w:tcW w:w="3500" w:type="pct"/>
            <w:shd w:val="clear" w:color="auto" w:fill="auto"/>
          </w:tcPr>
          <w:p w14:paraId="4B3FD349" w14:textId="77777777" w:rsidR="00E93F58" w:rsidRPr="00576D60" w:rsidRDefault="00E93F58" w:rsidP="009C5DA6">
            <w:pPr>
              <w:pStyle w:val="ENoteTableText"/>
              <w:keepNext/>
            </w:pPr>
          </w:p>
        </w:tc>
      </w:tr>
      <w:tr w:rsidR="00E93F58" w:rsidRPr="00576D60" w14:paraId="46192EB6" w14:textId="77777777" w:rsidTr="002F32E3">
        <w:trPr>
          <w:cantSplit/>
        </w:trPr>
        <w:tc>
          <w:tcPr>
            <w:tcW w:w="1500" w:type="pct"/>
            <w:shd w:val="clear" w:color="auto" w:fill="auto"/>
          </w:tcPr>
          <w:p w14:paraId="19A4BEDC" w14:textId="77777777" w:rsidR="00E93F58" w:rsidRPr="00576D60" w:rsidRDefault="00E93F58" w:rsidP="002F32E3">
            <w:pPr>
              <w:pStyle w:val="ENoteTableText"/>
              <w:tabs>
                <w:tab w:val="left" w:leader="dot" w:pos="2268"/>
              </w:tabs>
            </w:pPr>
            <w:r w:rsidRPr="00576D60">
              <w:t>r 7.3.05</w:t>
            </w:r>
            <w:r w:rsidRPr="00576D60">
              <w:tab/>
            </w:r>
          </w:p>
        </w:tc>
        <w:tc>
          <w:tcPr>
            <w:tcW w:w="3500" w:type="pct"/>
            <w:shd w:val="clear" w:color="auto" w:fill="auto"/>
          </w:tcPr>
          <w:p w14:paraId="603AAD5A" w14:textId="77777777" w:rsidR="00E93F58" w:rsidRPr="00576D60" w:rsidRDefault="00E93F58" w:rsidP="002F32E3">
            <w:pPr>
              <w:pStyle w:val="ENoteTableText"/>
            </w:pPr>
            <w:r w:rsidRPr="00576D60">
              <w:t>rs No 319, 2001</w:t>
            </w:r>
          </w:p>
        </w:tc>
      </w:tr>
      <w:tr w:rsidR="00E93F58" w:rsidRPr="00576D60" w14:paraId="5771BF0B" w14:textId="77777777" w:rsidTr="002F32E3">
        <w:trPr>
          <w:cantSplit/>
        </w:trPr>
        <w:tc>
          <w:tcPr>
            <w:tcW w:w="1500" w:type="pct"/>
            <w:shd w:val="clear" w:color="auto" w:fill="auto"/>
          </w:tcPr>
          <w:p w14:paraId="4F21CDDD" w14:textId="77777777" w:rsidR="00E93F58" w:rsidRPr="00576D60" w:rsidRDefault="00E93F58" w:rsidP="002F32E3">
            <w:pPr>
              <w:pStyle w:val="ENoteTableText"/>
              <w:tabs>
                <w:tab w:val="left" w:leader="dot" w:pos="2268"/>
              </w:tabs>
            </w:pPr>
          </w:p>
        </w:tc>
        <w:tc>
          <w:tcPr>
            <w:tcW w:w="3500" w:type="pct"/>
            <w:shd w:val="clear" w:color="auto" w:fill="auto"/>
          </w:tcPr>
          <w:p w14:paraId="5EE377A4" w14:textId="77777777" w:rsidR="00E93F58" w:rsidRPr="00576D60" w:rsidRDefault="00E93F58" w:rsidP="002F32E3">
            <w:pPr>
              <w:pStyle w:val="ENoteTableText"/>
            </w:pPr>
            <w:r w:rsidRPr="00576D60">
              <w:t>am F2019L00392</w:t>
            </w:r>
          </w:p>
        </w:tc>
      </w:tr>
      <w:tr w:rsidR="00E93F58" w:rsidRPr="00576D60" w14:paraId="0F30BAEE" w14:textId="77777777" w:rsidTr="002F32E3">
        <w:trPr>
          <w:cantSplit/>
        </w:trPr>
        <w:tc>
          <w:tcPr>
            <w:tcW w:w="1500" w:type="pct"/>
            <w:shd w:val="clear" w:color="auto" w:fill="auto"/>
          </w:tcPr>
          <w:p w14:paraId="41BAFB7D" w14:textId="77777777" w:rsidR="00E93F58" w:rsidRPr="00576D60" w:rsidRDefault="00E93F58" w:rsidP="002F32E3">
            <w:pPr>
              <w:pStyle w:val="ENoteTableText"/>
              <w:tabs>
                <w:tab w:val="left" w:leader="dot" w:pos="2268"/>
              </w:tabs>
            </w:pPr>
            <w:r w:rsidRPr="00576D60">
              <w:t>r. 7.3.06</w:t>
            </w:r>
            <w:r w:rsidRPr="00576D60">
              <w:tab/>
            </w:r>
          </w:p>
        </w:tc>
        <w:tc>
          <w:tcPr>
            <w:tcW w:w="3500" w:type="pct"/>
            <w:shd w:val="clear" w:color="auto" w:fill="auto"/>
          </w:tcPr>
          <w:p w14:paraId="3D4EB2DE" w14:textId="77777777" w:rsidR="00E93F58" w:rsidRPr="00576D60" w:rsidRDefault="00E93F58" w:rsidP="002F32E3">
            <w:pPr>
              <w:pStyle w:val="ENoteTableText"/>
            </w:pPr>
            <w:r w:rsidRPr="00576D60">
              <w:t>rs. 2001 No. 319</w:t>
            </w:r>
          </w:p>
        </w:tc>
      </w:tr>
      <w:tr w:rsidR="00E93F58" w:rsidRPr="00576D60" w14:paraId="04D51958" w14:textId="77777777" w:rsidTr="002F32E3">
        <w:trPr>
          <w:cantSplit/>
        </w:trPr>
        <w:tc>
          <w:tcPr>
            <w:tcW w:w="1500" w:type="pct"/>
            <w:shd w:val="clear" w:color="auto" w:fill="auto"/>
          </w:tcPr>
          <w:p w14:paraId="5B7FEC7D" w14:textId="77777777" w:rsidR="00E93F58" w:rsidRPr="00576D60" w:rsidRDefault="00E93F58" w:rsidP="002F32E3">
            <w:pPr>
              <w:pStyle w:val="ENoteTableText"/>
              <w:tabs>
                <w:tab w:val="left" w:leader="dot" w:pos="2268"/>
              </w:tabs>
              <w:rPr>
                <w:b/>
              </w:rPr>
            </w:pPr>
            <w:r w:rsidRPr="00576D60">
              <w:rPr>
                <w:b/>
              </w:rPr>
              <w:t>Division 3</w:t>
            </w:r>
          </w:p>
        </w:tc>
        <w:tc>
          <w:tcPr>
            <w:tcW w:w="3500" w:type="pct"/>
            <w:shd w:val="clear" w:color="auto" w:fill="auto"/>
          </w:tcPr>
          <w:p w14:paraId="55A061CF" w14:textId="77777777" w:rsidR="00E93F58" w:rsidRPr="00576D60" w:rsidRDefault="00E93F58" w:rsidP="002F32E3">
            <w:pPr>
              <w:pStyle w:val="ENoteTableText"/>
            </w:pPr>
          </w:p>
        </w:tc>
      </w:tr>
      <w:tr w:rsidR="00E93F58" w:rsidRPr="00576D60" w14:paraId="09C15093" w14:textId="77777777" w:rsidTr="002F32E3">
        <w:trPr>
          <w:cantSplit/>
        </w:trPr>
        <w:tc>
          <w:tcPr>
            <w:tcW w:w="1500" w:type="pct"/>
            <w:shd w:val="clear" w:color="auto" w:fill="auto"/>
          </w:tcPr>
          <w:p w14:paraId="7E3A01F5" w14:textId="77777777" w:rsidR="00E93F58" w:rsidRPr="00576D60" w:rsidRDefault="00E93F58" w:rsidP="002F32E3">
            <w:pPr>
              <w:pStyle w:val="ENoteTableText"/>
              <w:tabs>
                <w:tab w:val="left" w:leader="dot" w:pos="2268"/>
              </w:tabs>
            </w:pPr>
            <w:r w:rsidRPr="00576D60">
              <w:t>r. 7.3.07</w:t>
            </w:r>
            <w:r w:rsidRPr="00576D60">
              <w:tab/>
            </w:r>
          </w:p>
        </w:tc>
        <w:tc>
          <w:tcPr>
            <w:tcW w:w="3500" w:type="pct"/>
            <w:shd w:val="clear" w:color="auto" w:fill="auto"/>
          </w:tcPr>
          <w:p w14:paraId="126A0EAA" w14:textId="77777777" w:rsidR="00E93F58" w:rsidRPr="00576D60" w:rsidRDefault="00E93F58" w:rsidP="002F32E3">
            <w:pPr>
              <w:pStyle w:val="ENoteTableText"/>
            </w:pPr>
            <w:r w:rsidRPr="00576D60">
              <w:t>rs. 2001 No. 319</w:t>
            </w:r>
          </w:p>
        </w:tc>
      </w:tr>
      <w:tr w:rsidR="00E93F58" w:rsidRPr="00576D60" w14:paraId="08FE2FDE" w14:textId="77777777" w:rsidTr="002F32E3">
        <w:trPr>
          <w:cantSplit/>
        </w:trPr>
        <w:tc>
          <w:tcPr>
            <w:tcW w:w="1500" w:type="pct"/>
            <w:shd w:val="clear" w:color="auto" w:fill="auto"/>
          </w:tcPr>
          <w:p w14:paraId="583CCF73" w14:textId="77777777" w:rsidR="00E93F58" w:rsidRPr="00576D60" w:rsidRDefault="00E93F58" w:rsidP="002F32E3">
            <w:pPr>
              <w:pStyle w:val="ENoteTableText"/>
            </w:pPr>
          </w:p>
        </w:tc>
        <w:tc>
          <w:tcPr>
            <w:tcW w:w="3500" w:type="pct"/>
            <w:shd w:val="clear" w:color="auto" w:fill="auto"/>
          </w:tcPr>
          <w:p w14:paraId="2FEF4386" w14:textId="77777777" w:rsidR="00E93F58" w:rsidRPr="00576D60" w:rsidRDefault="00E93F58" w:rsidP="002F32E3">
            <w:pPr>
              <w:pStyle w:val="ENoteTableText"/>
            </w:pPr>
            <w:r w:rsidRPr="00576D60">
              <w:t>am. 2002 No. 126; 2012 No. 42</w:t>
            </w:r>
          </w:p>
        </w:tc>
      </w:tr>
      <w:tr w:rsidR="00E93F58" w:rsidRPr="00576D60" w14:paraId="78ECF498" w14:textId="77777777" w:rsidTr="002F32E3">
        <w:trPr>
          <w:cantSplit/>
        </w:trPr>
        <w:tc>
          <w:tcPr>
            <w:tcW w:w="1500" w:type="pct"/>
            <w:shd w:val="clear" w:color="auto" w:fill="auto"/>
          </w:tcPr>
          <w:p w14:paraId="1A7F165E" w14:textId="77777777" w:rsidR="00E93F58" w:rsidRPr="00576D60" w:rsidRDefault="00E93F58" w:rsidP="002F32E3">
            <w:pPr>
              <w:pStyle w:val="ENoteTableText"/>
              <w:tabs>
                <w:tab w:val="left" w:leader="dot" w:pos="2268"/>
              </w:tabs>
            </w:pPr>
            <w:r w:rsidRPr="00576D60">
              <w:t>r. 7.3.08</w:t>
            </w:r>
            <w:r w:rsidRPr="00576D60">
              <w:tab/>
            </w:r>
          </w:p>
        </w:tc>
        <w:tc>
          <w:tcPr>
            <w:tcW w:w="3500" w:type="pct"/>
            <w:shd w:val="clear" w:color="auto" w:fill="auto"/>
          </w:tcPr>
          <w:p w14:paraId="1889C8E7" w14:textId="77777777" w:rsidR="00E93F58" w:rsidRPr="00576D60" w:rsidRDefault="00E93F58" w:rsidP="002F32E3">
            <w:pPr>
              <w:pStyle w:val="ENoteTableText"/>
            </w:pPr>
            <w:r w:rsidRPr="00576D60">
              <w:t>rs. 2001 No. 319</w:t>
            </w:r>
          </w:p>
        </w:tc>
      </w:tr>
      <w:tr w:rsidR="00E93F58" w:rsidRPr="00576D60" w14:paraId="4CD5B556" w14:textId="77777777" w:rsidTr="002F32E3">
        <w:trPr>
          <w:cantSplit/>
        </w:trPr>
        <w:tc>
          <w:tcPr>
            <w:tcW w:w="1500" w:type="pct"/>
            <w:shd w:val="clear" w:color="auto" w:fill="auto"/>
          </w:tcPr>
          <w:p w14:paraId="357071A4" w14:textId="77777777" w:rsidR="00E93F58" w:rsidRPr="00576D60" w:rsidRDefault="00E93F58" w:rsidP="002F32E3">
            <w:pPr>
              <w:pStyle w:val="ENoteTableText"/>
            </w:pPr>
          </w:p>
        </w:tc>
        <w:tc>
          <w:tcPr>
            <w:tcW w:w="3500" w:type="pct"/>
            <w:shd w:val="clear" w:color="auto" w:fill="auto"/>
          </w:tcPr>
          <w:p w14:paraId="35C47553" w14:textId="77777777" w:rsidR="00E93F58" w:rsidRPr="00576D60" w:rsidRDefault="00E93F58" w:rsidP="002F32E3">
            <w:pPr>
              <w:pStyle w:val="ENoteTableText"/>
            </w:pPr>
            <w:r w:rsidRPr="00576D60">
              <w:t>am. 2002 No. 126; 2012 No. 42</w:t>
            </w:r>
          </w:p>
        </w:tc>
      </w:tr>
      <w:tr w:rsidR="00E93F58" w:rsidRPr="00576D60" w14:paraId="5B2417F6" w14:textId="77777777" w:rsidTr="002F32E3">
        <w:trPr>
          <w:cantSplit/>
        </w:trPr>
        <w:tc>
          <w:tcPr>
            <w:tcW w:w="1500" w:type="pct"/>
            <w:shd w:val="clear" w:color="auto" w:fill="auto"/>
          </w:tcPr>
          <w:p w14:paraId="3D9A8952" w14:textId="77777777" w:rsidR="00E93F58" w:rsidRPr="00576D60" w:rsidRDefault="00E93F58" w:rsidP="002F32E3">
            <w:pPr>
              <w:pStyle w:val="ENoteTableText"/>
              <w:tabs>
                <w:tab w:val="left" w:leader="dot" w:pos="2268"/>
              </w:tabs>
              <w:rPr>
                <w:b/>
              </w:rPr>
            </w:pPr>
            <w:r w:rsidRPr="00576D60">
              <w:rPr>
                <w:b/>
              </w:rPr>
              <w:t>Division 4</w:t>
            </w:r>
          </w:p>
        </w:tc>
        <w:tc>
          <w:tcPr>
            <w:tcW w:w="3500" w:type="pct"/>
            <w:shd w:val="clear" w:color="auto" w:fill="auto"/>
          </w:tcPr>
          <w:p w14:paraId="6C92E9E6" w14:textId="77777777" w:rsidR="00E93F58" w:rsidRPr="00576D60" w:rsidRDefault="00E93F58" w:rsidP="002F32E3">
            <w:pPr>
              <w:pStyle w:val="ENoteTableText"/>
            </w:pPr>
          </w:p>
        </w:tc>
      </w:tr>
      <w:tr w:rsidR="00E93F58" w:rsidRPr="00576D60" w14:paraId="3B71B84E" w14:textId="77777777" w:rsidTr="002F32E3">
        <w:trPr>
          <w:cantSplit/>
        </w:trPr>
        <w:tc>
          <w:tcPr>
            <w:tcW w:w="1500" w:type="pct"/>
            <w:shd w:val="clear" w:color="auto" w:fill="auto"/>
          </w:tcPr>
          <w:p w14:paraId="12B81881" w14:textId="77777777" w:rsidR="00E93F58" w:rsidRPr="00576D60" w:rsidRDefault="00E93F58" w:rsidP="002F32E3">
            <w:pPr>
              <w:pStyle w:val="ENoteTableText"/>
              <w:tabs>
                <w:tab w:val="left" w:leader="dot" w:pos="2268"/>
              </w:tabs>
            </w:pPr>
            <w:r w:rsidRPr="00576D60">
              <w:t>r. 7.3.09</w:t>
            </w:r>
            <w:r w:rsidRPr="00576D60">
              <w:tab/>
            </w:r>
          </w:p>
        </w:tc>
        <w:tc>
          <w:tcPr>
            <w:tcW w:w="3500" w:type="pct"/>
            <w:shd w:val="clear" w:color="auto" w:fill="auto"/>
          </w:tcPr>
          <w:p w14:paraId="3B90C210" w14:textId="77777777" w:rsidR="00E93F58" w:rsidRPr="00576D60" w:rsidRDefault="00E93F58" w:rsidP="002F32E3">
            <w:pPr>
              <w:pStyle w:val="ENoteTableText"/>
            </w:pPr>
            <w:r w:rsidRPr="00576D60">
              <w:t>rs. 2001 No. 319</w:t>
            </w:r>
          </w:p>
        </w:tc>
      </w:tr>
      <w:tr w:rsidR="00E93F58" w:rsidRPr="00576D60" w14:paraId="75B7B036" w14:textId="77777777" w:rsidTr="002F32E3">
        <w:trPr>
          <w:cantSplit/>
        </w:trPr>
        <w:tc>
          <w:tcPr>
            <w:tcW w:w="1500" w:type="pct"/>
            <w:shd w:val="clear" w:color="auto" w:fill="auto"/>
          </w:tcPr>
          <w:p w14:paraId="14B84FAC" w14:textId="77777777" w:rsidR="00E93F58" w:rsidRPr="00576D60" w:rsidRDefault="00E93F58" w:rsidP="002F32E3">
            <w:pPr>
              <w:pStyle w:val="ENoteTableText"/>
              <w:tabs>
                <w:tab w:val="left" w:leader="dot" w:pos="2268"/>
              </w:tabs>
            </w:pPr>
            <w:r w:rsidRPr="00576D60">
              <w:t>r 7.3.10</w:t>
            </w:r>
            <w:r w:rsidRPr="00576D60">
              <w:tab/>
            </w:r>
          </w:p>
        </w:tc>
        <w:tc>
          <w:tcPr>
            <w:tcW w:w="3500" w:type="pct"/>
            <w:shd w:val="clear" w:color="auto" w:fill="auto"/>
          </w:tcPr>
          <w:p w14:paraId="7DD529F6" w14:textId="77777777" w:rsidR="00E93F58" w:rsidRPr="00576D60" w:rsidRDefault="00E93F58" w:rsidP="002F32E3">
            <w:pPr>
              <w:pStyle w:val="ENoteTableText"/>
            </w:pPr>
            <w:r w:rsidRPr="00576D60">
              <w:t>rs</w:t>
            </w:r>
            <w:r>
              <w:t xml:space="preserve"> No 319, 2001</w:t>
            </w:r>
          </w:p>
        </w:tc>
      </w:tr>
      <w:tr w:rsidR="00E93F58" w:rsidRPr="00576D60" w14:paraId="1DA30A6E" w14:textId="77777777" w:rsidTr="002F32E3">
        <w:trPr>
          <w:cantSplit/>
        </w:trPr>
        <w:tc>
          <w:tcPr>
            <w:tcW w:w="1500" w:type="pct"/>
            <w:shd w:val="clear" w:color="auto" w:fill="auto"/>
          </w:tcPr>
          <w:p w14:paraId="22EFEC8C" w14:textId="77777777" w:rsidR="00E93F58" w:rsidRPr="00576D60" w:rsidRDefault="00E93F58" w:rsidP="002F32E3">
            <w:pPr>
              <w:pStyle w:val="ENoteTableText"/>
              <w:tabs>
                <w:tab w:val="left" w:leader="dot" w:pos="2268"/>
              </w:tabs>
            </w:pPr>
          </w:p>
        </w:tc>
        <w:tc>
          <w:tcPr>
            <w:tcW w:w="3500" w:type="pct"/>
            <w:shd w:val="clear" w:color="auto" w:fill="auto"/>
          </w:tcPr>
          <w:p w14:paraId="6952841C" w14:textId="77777777" w:rsidR="00E93F58" w:rsidRPr="00576D60" w:rsidRDefault="00E93F58" w:rsidP="002F32E3">
            <w:pPr>
              <w:pStyle w:val="ENoteTableText"/>
            </w:pPr>
            <w:r>
              <w:t>am F2023L01458</w:t>
            </w:r>
          </w:p>
        </w:tc>
      </w:tr>
      <w:tr w:rsidR="00E93F58" w:rsidRPr="00576D60" w14:paraId="33471FD8" w14:textId="77777777" w:rsidTr="002F32E3">
        <w:trPr>
          <w:cantSplit/>
        </w:trPr>
        <w:tc>
          <w:tcPr>
            <w:tcW w:w="1500" w:type="pct"/>
            <w:shd w:val="clear" w:color="auto" w:fill="auto"/>
          </w:tcPr>
          <w:p w14:paraId="12D3D2CA" w14:textId="77777777" w:rsidR="00E93F58" w:rsidRPr="00576D60" w:rsidRDefault="00E93F58" w:rsidP="002F32E3">
            <w:pPr>
              <w:pStyle w:val="ENoteTableText"/>
              <w:tabs>
                <w:tab w:val="left" w:leader="dot" w:pos="2268"/>
              </w:tabs>
            </w:pPr>
            <w:r w:rsidRPr="00576D60">
              <w:t>r. 7.3.10A</w:t>
            </w:r>
            <w:r w:rsidRPr="00576D60">
              <w:tab/>
            </w:r>
          </w:p>
        </w:tc>
        <w:tc>
          <w:tcPr>
            <w:tcW w:w="3500" w:type="pct"/>
            <w:shd w:val="clear" w:color="auto" w:fill="auto"/>
          </w:tcPr>
          <w:p w14:paraId="634A4508" w14:textId="77777777" w:rsidR="00E93F58" w:rsidRPr="00576D60" w:rsidRDefault="00E93F58" w:rsidP="002F32E3">
            <w:pPr>
              <w:pStyle w:val="ENoteTableText"/>
            </w:pPr>
            <w:r w:rsidRPr="00576D60">
              <w:t>rep. 2001 No. 319</w:t>
            </w:r>
          </w:p>
        </w:tc>
      </w:tr>
      <w:tr w:rsidR="00E93F58" w:rsidRPr="00576D60" w14:paraId="3A93CE02" w14:textId="77777777" w:rsidTr="002F32E3">
        <w:trPr>
          <w:cantSplit/>
        </w:trPr>
        <w:tc>
          <w:tcPr>
            <w:tcW w:w="1500" w:type="pct"/>
            <w:shd w:val="clear" w:color="auto" w:fill="auto"/>
          </w:tcPr>
          <w:p w14:paraId="4A9D7670" w14:textId="77777777" w:rsidR="00E93F58" w:rsidRPr="00576D60" w:rsidRDefault="00E93F58" w:rsidP="002F32E3">
            <w:pPr>
              <w:pStyle w:val="ENoteTableText"/>
              <w:tabs>
                <w:tab w:val="left" w:leader="dot" w:pos="2268"/>
              </w:tabs>
            </w:pPr>
            <w:r w:rsidRPr="00576D60">
              <w:t>r. 7.3.11</w:t>
            </w:r>
            <w:r w:rsidRPr="00576D60">
              <w:tab/>
            </w:r>
          </w:p>
        </w:tc>
        <w:tc>
          <w:tcPr>
            <w:tcW w:w="3500" w:type="pct"/>
            <w:shd w:val="clear" w:color="auto" w:fill="auto"/>
          </w:tcPr>
          <w:p w14:paraId="15D57FC8" w14:textId="77777777" w:rsidR="00E93F58" w:rsidRPr="00576D60" w:rsidRDefault="00E93F58" w:rsidP="002F32E3">
            <w:pPr>
              <w:pStyle w:val="ENoteTableText"/>
            </w:pPr>
            <w:r w:rsidRPr="00576D60">
              <w:t>rs. 2001 No. 319</w:t>
            </w:r>
          </w:p>
        </w:tc>
      </w:tr>
      <w:tr w:rsidR="00E93F58" w:rsidRPr="00576D60" w14:paraId="1470243A" w14:textId="77777777" w:rsidTr="002F32E3">
        <w:trPr>
          <w:cantSplit/>
        </w:trPr>
        <w:tc>
          <w:tcPr>
            <w:tcW w:w="1500" w:type="pct"/>
            <w:shd w:val="clear" w:color="auto" w:fill="auto"/>
          </w:tcPr>
          <w:p w14:paraId="5352FEF6" w14:textId="77777777" w:rsidR="00E93F58" w:rsidRPr="00576D60" w:rsidRDefault="00E93F58" w:rsidP="009174F4">
            <w:pPr>
              <w:pStyle w:val="ENoteTableText"/>
              <w:keepNext/>
              <w:tabs>
                <w:tab w:val="left" w:leader="dot" w:pos="2268"/>
              </w:tabs>
              <w:rPr>
                <w:b/>
              </w:rPr>
            </w:pPr>
            <w:r w:rsidRPr="00576D60">
              <w:rPr>
                <w:b/>
              </w:rPr>
              <w:t>Division 5</w:t>
            </w:r>
          </w:p>
        </w:tc>
        <w:tc>
          <w:tcPr>
            <w:tcW w:w="3500" w:type="pct"/>
            <w:shd w:val="clear" w:color="auto" w:fill="auto"/>
          </w:tcPr>
          <w:p w14:paraId="320C1436" w14:textId="77777777" w:rsidR="00E93F58" w:rsidRPr="00576D60" w:rsidRDefault="00E93F58" w:rsidP="002F32E3">
            <w:pPr>
              <w:pStyle w:val="ENoteTableText"/>
            </w:pPr>
          </w:p>
        </w:tc>
      </w:tr>
      <w:tr w:rsidR="00E93F58" w:rsidRPr="00576D60" w14:paraId="7B00A03F" w14:textId="77777777" w:rsidTr="002F32E3">
        <w:trPr>
          <w:cantSplit/>
        </w:trPr>
        <w:tc>
          <w:tcPr>
            <w:tcW w:w="1500" w:type="pct"/>
            <w:shd w:val="clear" w:color="auto" w:fill="auto"/>
          </w:tcPr>
          <w:p w14:paraId="2D2A78EC" w14:textId="77777777" w:rsidR="00E93F58" w:rsidRPr="00576D60" w:rsidRDefault="00E93F58" w:rsidP="002F32E3">
            <w:pPr>
              <w:pStyle w:val="ENoteTableText"/>
              <w:tabs>
                <w:tab w:val="left" w:leader="dot" w:pos="2268"/>
              </w:tabs>
            </w:pPr>
            <w:r w:rsidRPr="00576D60">
              <w:t>r. 7.3.12</w:t>
            </w:r>
            <w:r w:rsidRPr="00576D60">
              <w:tab/>
            </w:r>
          </w:p>
        </w:tc>
        <w:tc>
          <w:tcPr>
            <w:tcW w:w="3500" w:type="pct"/>
            <w:shd w:val="clear" w:color="auto" w:fill="auto"/>
          </w:tcPr>
          <w:p w14:paraId="516DC3E2" w14:textId="77777777" w:rsidR="00E93F58" w:rsidRPr="00576D60" w:rsidRDefault="00E93F58" w:rsidP="002F32E3">
            <w:pPr>
              <w:pStyle w:val="ENoteTableText"/>
            </w:pPr>
            <w:r w:rsidRPr="00576D60">
              <w:t>rs. 2001 No. 319</w:t>
            </w:r>
          </w:p>
        </w:tc>
      </w:tr>
      <w:tr w:rsidR="00E93F58" w:rsidRPr="00576D60" w14:paraId="435E8D04" w14:textId="77777777" w:rsidTr="002F32E3">
        <w:trPr>
          <w:cantSplit/>
        </w:trPr>
        <w:tc>
          <w:tcPr>
            <w:tcW w:w="1500" w:type="pct"/>
            <w:shd w:val="clear" w:color="auto" w:fill="auto"/>
          </w:tcPr>
          <w:p w14:paraId="62108759" w14:textId="77777777" w:rsidR="00E93F58" w:rsidRPr="00576D60" w:rsidRDefault="00E93F58" w:rsidP="002F32E3">
            <w:pPr>
              <w:pStyle w:val="ENoteTableText"/>
              <w:tabs>
                <w:tab w:val="left" w:leader="dot" w:pos="2268"/>
              </w:tabs>
            </w:pPr>
            <w:r w:rsidRPr="00576D60">
              <w:t>r. 7.3.13</w:t>
            </w:r>
            <w:r w:rsidRPr="00576D60">
              <w:tab/>
            </w:r>
          </w:p>
        </w:tc>
        <w:tc>
          <w:tcPr>
            <w:tcW w:w="3500" w:type="pct"/>
            <w:shd w:val="clear" w:color="auto" w:fill="auto"/>
          </w:tcPr>
          <w:p w14:paraId="2F2541EA" w14:textId="77777777" w:rsidR="00E93F58" w:rsidRPr="00576D60" w:rsidRDefault="00E93F58" w:rsidP="002F32E3">
            <w:pPr>
              <w:pStyle w:val="ENoteTableText"/>
            </w:pPr>
            <w:r w:rsidRPr="00576D60">
              <w:t>rs. 2001 No. 319</w:t>
            </w:r>
          </w:p>
        </w:tc>
      </w:tr>
      <w:tr w:rsidR="00E93F58" w:rsidRPr="00576D60" w14:paraId="089408D5" w14:textId="77777777" w:rsidTr="002F32E3">
        <w:trPr>
          <w:cantSplit/>
        </w:trPr>
        <w:tc>
          <w:tcPr>
            <w:tcW w:w="1500" w:type="pct"/>
            <w:shd w:val="clear" w:color="auto" w:fill="auto"/>
          </w:tcPr>
          <w:p w14:paraId="1D54B895" w14:textId="77777777" w:rsidR="00E93F58" w:rsidRPr="00576D60" w:rsidRDefault="00E93F58" w:rsidP="002F32E3">
            <w:pPr>
              <w:pStyle w:val="ENoteTableText"/>
              <w:tabs>
                <w:tab w:val="left" w:leader="dot" w:pos="2268"/>
              </w:tabs>
            </w:pPr>
            <w:r w:rsidRPr="00576D60">
              <w:t>rr. 7.3.13A–7.3.13C</w:t>
            </w:r>
            <w:r w:rsidRPr="00576D60">
              <w:tab/>
            </w:r>
          </w:p>
        </w:tc>
        <w:tc>
          <w:tcPr>
            <w:tcW w:w="3500" w:type="pct"/>
            <w:shd w:val="clear" w:color="auto" w:fill="auto"/>
          </w:tcPr>
          <w:p w14:paraId="5639F5B5" w14:textId="77777777" w:rsidR="00E93F58" w:rsidRPr="00576D60" w:rsidRDefault="00E93F58" w:rsidP="002F32E3">
            <w:pPr>
              <w:pStyle w:val="ENoteTableText"/>
            </w:pPr>
            <w:r w:rsidRPr="00576D60">
              <w:t>rep. 2001 No. 319</w:t>
            </w:r>
          </w:p>
        </w:tc>
      </w:tr>
      <w:tr w:rsidR="00E93F58" w:rsidRPr="00576D60" w14:paraId="3AC36718" w14:textId="77777777" w:rsidTr="002F32E3">
        <w:trPr>
          <w:cantSplit/>
        </w:trPr>
        <w:tc>
          <w:tcPr>
            <w:tcW w:w="1500" w:type="pct"/>
            <w:shd w:val="clear" w:color="auto" w:fill="auto"/>
          </w:tcPr>
          <w:p w14:paraId="32239252" w14:textId="77777777" w:rsidR="00E93F58" w:rsidRPr="00576D60" w:rsidRDefault="00E93F58" w:rsidP="002F32E3">
            <w:pPr>
              <w:pStyle w:val="ENoteTableText"/>
              <w:tabs>
                <w:tab w:val="left" w:leader="dot" w:pos="2268"/>
              </w:tabs>
            </w:pPr>
            <w:r w:rsidRPr="00576D60">
              <w:t>r. 7.3.14</w:t>
            </w:r>
            <w:r w:rsidRPr="00576D60">
              <w:tab/>
            </w:r>
          </w:p>
        </w:tc>
        <w:tc>
          <w:tcPr>
            <w:tcW w:w="3500" w:type="pct"/>
            <w:shd w:val="clear" w:color="auto" w:fill="auto"/>
          </w:tcPr>
          <w:p w14:paraId="19B11D72" w14:textId="77777777" w:rsidR="00E93F58" w:rsidRPr="00576D60" w:rsidRDefault="00E93F58" w:rsidP="002F32E3">
            <w:pPr>
              <w:pStyle w:val="ENoteTableText"/>
            </w:pPr>
            <w:r w:rsidRPr="00576D60">
              <w:t>rs. 2001 No. 319</w:t>
            </w:r>
          </w:p>
        </w:tc>
      </w:tr>
      <w:tr w:rsidR="00E93F58" w:rsidRPr="00576D60" w14:paraId="68409E6F" w14:textId="77777777" w:rsidTr="002F32E3">
        <w:trPr>
          <w:cantSplit/>
        </w:trPr>
        <w:tc>
          <w:tcPr>
            <w:tcW w:w="1500" w:type="pct"/>
            <w:shd w:val="clear" w:color="auto" w:fill="auto"/>
          </w:tcPr>
          <w:p w14:paraId="7556E4E6" w14:textId="77777777" w:rsidR="00E93F58" w:rsidRPr="00576D60" w:rsidRDefault="00E93F58" w:rsidP="002F32E3">
            <w:pPr>
              <w:pStyle w:val="ENoteTableText"/>
              <w:tabs>
                <w:tab w:val="left" w:leader="dot" w:pos="2268"/>
              </w:tabs>
            </w:pPr>
            <w:r w:rsidRPr="00576D60">
              <w:t>r. 7.3.14A</w:t>
            </w:r>
            <w:r w:rsidRPr="00576D60">
              <w:tab/>
            </w:r>
          </w:p>
        </w:tc>
        <w:tc>
          <w:tcPr>
            <w:tcW w:w="3500" w:type="pct"/>
            <w:shd w:val="clear" w:color="auto" w:fill="auto"/>
          </w:tcPr>
          <w:p w14:paraId="21983BF3" w14:textId="77777777" w:rsidR="00E93F58" w:rsidRPr="00576D60" w:rsidRDefault="00E93F58" w:rsidP="002F32E3">
            <w:pPr>
              <w:pStyle w:val="ENoteTableText"/>
            </w:pPr>
            <w:r w:rsidRPr="00576D60">
              <w:t>rep. 2001 No. 319</w:t>
            </w:r>
          </w:p>
        </w:tc>
      </w:tr>
      <w:tr w:rsidR="00E93F58" w:rsidRPr="00576D60" w14:paraId="66D3B338" w14:textId="77777777" w:rsidTr="002F32E3">
        <w:trPr>
          <w:cantSplit/>
        </w:trPr>
        <w:tc>
          <w:tcPr>
            <w:tcW w:w="1500" w:type="pct"/>
            <w:shd w:val="clear" w:color="auto" w:fill="auto"/>
          </w:tcPr>
          <w:p w14:paraId="120AFB44" w14:textId="77777777" w:rsidR="00E93F58" w:rsidRPr="00576D60" w:rsidRDefault="00E93F58" w:rsidP="002F32E3">
            <w:pPr>
              <w:pStyle w:val="ENoteTableText"/>
              <w:tabs>
                <w:tab w:val="left" w:leader="dot" w:pos="2268"/>
              </w:tabs>
            </w:pPr>
            <w:r w:rsidRPr="00576D60">
              <w:t>rr. 7.3.15–7.3.18</w:t>
            </w:r>
            <w:r w:rsidRPr="00576D60">
              <w:tab/>
            </w:r>
          </w:p>
        </w:tc>
        <w:tc>
          <w:tcPr>
            <w:tcW w:w="3500" w:type="pct"/>
            <w:shd w:val="clear" w:color="auto" w:fill="auto"/>
          </w:tcPr>
          <w:p w14:paraId="4A562B9B" w14:textId="77777777" w:rsidR="00E93F58" w:rsidRPr="00576D60" w:rsidRDefault="00E93F58" w:rsidP="002F32E3">
            <w:pPr>
              <w:pStyle w:val="ENoteTableText"/>
            </w:pPr>
            <w:r w:rsidRPr="00576D60">
              <w:t>rep. 2001 No. 319</w:t>
            </w:r>
          </w:p>
        </w:tc>
      </w:tr>
      <w:tr w:rsidR="00E93F58" w:rsidRPr="00576D60" w14:paraId="2FE3BB8C" w14:textId="77777777" w:rsidTr="002F32E3">
        <w:trPr>
          <w:cantSplit/>
        </w:trPr>
        <w:tc>
          <w:tcPr>
            <w:tcW w:w="1500" w:type="pct"/>
            <w:shd w:val="clear" w:color="auto" w:fill="auto"/>
          </w:tcPr>
          <w:p w14:paraId="628F6A58" w14:textId="77777777" w:rsidR="00E93F58" w:rsidRPr="00576D60" w:rsidRDefault="00E93F58" w:rsidP="002F32E3">
            <w:pPr>
              <w:pStyle w:val="ENoteTableText"/>
              <w:tabs>
                <w:tab w:val="left" w:leader="dot" w:pos="2268"/>
              </w:tabs>
              <w:rPr>
                <w:b/>
              </w:rPr>
            </w:pPr>
            <w:r w:rsidRPr="00576D60">
              <w:rPr>
                <w:b/>
              </w:rPr>
              <w:t>Part 7.4</w:t>
            </w:r>
          </w:p>
        </w:tc>
        <w:tc>
          <w:tcPr>
            <w:tcW w:w="3500" w:type="pct"/>
            <w:shd w:val="clear" w:color="auto" w:fill="auto"/>
          </w:tcPr>
          <w:p w14:paraId="32EFAD9A" w14:textId="77777777" w:rsidR="00E93F58" w:rsidRPr="00576D60" w:rsidRDefault="00E93F58" w:rsidP="002F32E3">
            <w:pPr>
              <w:pStyle w:val="ENoteTableText"/>
            </w:pPr>
          </w:p>
        </w:tc>
      </w:tr>
      <w:tr w:rsidR="00E93F58" w:rsidRPr="00576D60" w14:paraId="0DE1271D" w14:textId="77777777" w:rsidTr="002F32E3">
        <w:trPr>
          <w:cantSplit/>
        </w:trPr>
        <w:tc>
          <w:tcPr>
            <w:tcW w:w="1500" w:type="pct"/>
            <w:shd w:val="clear" w:color="auto" w:fill="auto"/>
          </w:tcPr>
          <w:p w14:paraId="4E9EB217" w14:textId="77777777" w:rsidR="00E93F58" w:rsidRPr="00576D60" w:rsidRDefault="00E93F58" w:rsidP="002F32E3">
            <w:pPr>
              <w:pStyle w:val="ENoteTableText"/>
              <w:tabs>
                <w:tab w:val="left" w:leader="dot" w:pos="2268"/>
              </w:tabs>
            </w:pPr>
            <w:r w:rsidRPr="00576D60">
              <w:t>r 7.4.01</w:t>
            </w:r>
            <w:r w:rsidRPr="00576D60">
              <w:tab/>
            </w:r>
          </w:p>
        </w:tc>
        <w:tc>
          <w:tcPr>
            <w:tcW w:w="3500" w:type="pct"/>
            <w:shd w:val="clear" w:color="auto" w:fill="auto"/>
          </w:tcPr>
          <w:p w14:paraId="3922FA17" w14:textId="77777777" w:rsidR="00E93F58" w:rsidRPr="00576D60" w:rsidRDefault="00E93F58" w:rsidP="002F32E3">
            <w:pPr>
              <w:pStyle w:val="ENoteTableText"/>
            </w:pPr>
            <w:r w:rsidRPr="00576D60">
              <w:t>rs</w:t>
            </w:r>
            <w:r>
              <w:t xml:space="preserve"> No 319, 2001</w:t>
            </w:r>
          </w:p>
        </w:tc>
      </w:tr>
      <w:tr w:rsidR="00E93F58" w:rsidRPr="00576D60" w14:paraId="3ED92AB5" w14:textId="77777777" w:rsidTr="002F32E3">
        <w:trPr>
          <w:cantSplit/>
        </w:trPr>
        <w:tc>
          <w:tcPr>
            <w:tcW w:w="1500" w:type="pct"/>
            <w:shd w:val="clear" w:color="auto" w:fill="auto"/>
          </w:tcPr>
          <w:p w14:paraId="11A64673" w14:textId="77777777" w:rsidR="00E93F58" w:rsidRPr="00576D60" w:rsidRDefault="00E93F58" w:rsidP="002F32E3">
            <w:pPr>
              <w:pStyle w:val="ENoteTableText"/>
            </w:pPr>
          </w:p>
        </w:tc>
        <w:tc>
          <w:tcPr>
            <w:tcW w:w="3500" w:type="pct"/>
            <w:shd w:val="clear" w:color="auto" w:fill="auto"/>
          </w:tcPr>
          <w:p w14:paraId="32E9651F" w14:textId="77777777" w:rsidR="00E93F58" w:rsidRPr="00576D60" w:rsidRDefault="00E93F58" w:rsidP="002F32E3">
            <w:pPr>
              <w:pStyle w:val="ENoteTableText"/>
            </w:pPr>
            <w:r>
              <w:t>am No 16, 2002; No 26, 2004; No 398, 2004; F2023L01458</w:t>
            </w:r>
          </w:p>
        </w:tc>
      </w:tr>
      <w:tr w:rsidR="00E93F58" w:rsidRPr="00576D60" w14:paraId="2DF6ED83" w14:textId="77777777" w:rsidTr="002F32E3">
        <w:trPr>
          <w:cantSplit/>
        </w:trPr>
        <w:tc>
          <w:tcPr>
            <w:tcW w:w="1500" w:type="pct"/>
            <w:shd w:val="clear" w:color="auto" w:fill="auto"/>
          </w:tcPr>
          <w:p w14:paraId="2C48306E" w14:textId="77777777" w:rsidR="00E93F58" w:rsidRPr="00576D60" w:rsidRDefault="00E93F58" w:rsidP="002F32E3">
            <w:pPr>
              <w:pStyle w:val="ENoteTableText"/>
              <w:tabs>
                <w:tab w:val="left" w:leader="dot" w:pos="2268"/>
              </w:tabs>
            </w:pPr>
            <w:r w:rsidRPr="00576D60">
              <w:t>r. 7.4.01A</w:t>
            </w:r>
            <w:r w:rsidRPr="00576D60">
              <w:tab/>
            </w:r>
          </w:p>
        </w:tc>
        <w:tc>
          <w:tcPr>
            <w:tcW w:w="3500" w:type="pct"/>
            <w:shd w:val="clear" w:color="auto" w:fill="auto"/>
          </w:tcPr>
          <w:p w14:paraId="6876BB28" w14:textId="77777777" w:rsidR="00E93F58" w:rsidRPr="00576D60" w:rsidRDefault="00E93F58" w:rsidP="002F32E3">
            <w:pPr>
              <w:pStyle w:val="ENoteTableText"/>
            </w:pPr>
            <w:r w:rsidRPr="00576D60">
              <w:t>rep. 2001 No. 319</w:t>
            </w:r>
          </w:p>
        </w:tc>
      </w:tr>
      <w:tr w:rsidR="00E93F58" w:rsidRPr="00576D60" w14:paraId="5DC9CFD0" w14:textId="77777777" w:rsidTr="002F32E3">
        <w:trPr>
          <w:cantSplit/>
        </w:trPr>
        <w:tc>
          <w:tcPr>
            <w:tcW w:w="1500" w:type="pct"/>
            <w:shd w:val="clear" w:color="auto" w:fill="auto"/>
          </w:tcPr>
          <w:p w14:paraId="7502775B" w14:textId="77777777" w:rsidR="00E93F58" w:rsidRPr="00576D60" w:rsidRDefault="00E93F58" w:rsidP="002F32E3">
            <w:pPr>
              <w:pStyle w:val="ENoteTableText"/>
              <w:tabs>
                <w:tab w:val="left" w:leader="dot" w:pos="2268"/>
              </w:tabs>
            </w:pPr>
            <w:r w:rsidRPr="00576D60">
              <w:t>r. 7.4.02</w:t>
            </w:r>
            <w:r w:rsidRPr="00576D60">
              <w:tab/>
            </w:r>
          </w:p>
        </w:tc>
        <w:tc>
          <w:tcPr>
            <w:tcW w:w="3500" w:type="pct"/>
            <w:shd w:val="clear" w:color="auto" w:fill="auto"/>
          </w:tcPr>
          <w:p w14:paraId="7AA9C3CF" w14:textId="77777777" w:rsidR="00E93F58" w:rsidRPr="00576D60" w:rsidRDefault="00E93F58" w:rsidP="002F32E3">
            <w:pPr>
              <w:pStyle w:val="ENoteTableText"/>
            </w:pPr>
            <w:r w:rsidRPr="00576D60">
              <w:t>rs. 2001 No. 319</w:t>
            </w:r>
          </w:p>
        </w:tc>
      </w:tr>
      <w:tr w:rsidR="00E93F58" w:rsidRPr="00576D60" w14:paraId="2065C971" w14:textId="77777777" w:rsidTr="002F32E3">
        <w:trPr>
          <w:cantSplit/>
        </w:trPr>
        <w:tc>
          <w:tcPr>
            <w:tcW w:w="1500" w:type="pct"/>
            <w:shd w:val="clear" w:color="auto" w:fill="auto"/>
          </w:tcPr>
          <w:p w14:paraId="223642E5" w14:textId="77777777" w:rsidR="00E93F58" w:rsidRPr="00576D60" w:rsidRDefault="00E93F58" w:rsidP="002F32E3">
            <w:pPr>
              <w:pStyle w:val="ENoteTableText"/>
              <w:tabs>
                <w:tab w:val="left" w:leader="dot" w:pos="2268"/>
              </w:tabs>
            </w:pPr>
            <w:r w:rsidRPr="00576D60">
              <w:t>r. 7.4.03</w:t>
            </w:r>
            <w:r w:rsidRPr="00576D60">
              <w:tab/>
            </w:r>
          </w:p>
        </w:tc>
        <w:tc>
          <w:tcPr>
            <w:tcW w:w="3500" w:type="pct"/>
            <w:shd w:val="clear" w:color="auto" w:fill="auto"/>
          </w:tcPr>
          <w:p w14:paraId="16B106FD" w14:textId="77777777" w:rsidR="00E93F58" w:rsidRPr="00576D60" w:rsidRDefault="00E93F58" w:rsidP="002F32E3">
            <w:pPr>
              <w:pStyle w:val="ENoteTableText"/>
            </w:pPr>
            <w:r w:rsidRPr="00576D60">
              <w:t>rs. 2001 No. 319</w:t>
            </w:r>
          </w:p>
        </w:tc>
      </w:tr>
      <w:tr w:rsidR="00E93F58" w:rsidRPr="00576D60" w14:paraId="6FE86756" w14:textId="77777777" w:rsidTr="002F32E3">
        <w:trPr>
          <w:cantSplit/>
        </w:trPr>
        <w:tc>
          <w:tcPr>
            <w:tcW w:w="1500" w:type="pct"/>
            <w:shd w:val="clear" w:color="auto" w:fill="auto"/>
          </w:tcPr>
          <w:p w14:paraId="7BEDA9FF" w14:textId="77777777" w:rsidR="00E93F58" w:rsidRPr="00576D60" w:rsidRDefault="00E93F58" w:rsidP="002F32E3">
            <w:pPr>
              <w:pStyle w:val="ENoteTableText"/>
              <w:tabs>
                <w:tab w:val="left" w:leader="dot" w:pos="2268"/>
              </w:tabs>
            </w:pPr>
            <w:r w:rsidRPr="00576D60">
              <w:t>r. 7.4.04</w:t>
            </w:r>
            <w:r w:rsidRPr="00576D60">
              <w:tab/>
            </w:r>
          </w:p>
        </w:tc>
        <w:tc>
          <w:tcPr>
            <w:tcW w:w="3500" w:type="pct"/>
            <w:shd w:val="clear" w:color="auto" w:fill="auto"/>
          </w:tcPr>
          <w:p w14:paraId="679F9372" w14:textId="77777777" w:rsidR="00E93F58" w:rsidRPr="00576D60" w:rsidRDefault="00E93F58" w:rsidP="002F32E3">
            <w:pPr>
              <w:pStyle w:val="ENoteTableText"/>
            </w:pPr>
            <w:r w:rsidRPr="00576D60">
              <w:t>rs. 2001 No. 319</w:t>
            </w:r>
          </w:p>
        </w:tc>
      </w:tr>
      <w:tr w:rsidR="00E93F58" w:rsidRPr="00576D60" w14:paraId="1CA9E0D8" w14:textId="77777777" w:rsidTr="002F32E3">
        <w:trPr>
          <w:cantSplit/>
        </w:trPr>
        <w:tc>
          <w:tcPr>
            <w:tcW w:w="1500" w:type="pct"/>
            <w:shd w:val="clear" w:color="auto" w:fill="auto"/>
          </w:tcPr>
          <w:p w14:paraId="41D12FCD" w14:textId="77777777" w:rsidR="00E93F58" w:rsidRPr="00576D60" w:rsidRDefault="00E93F58" w:rsidP="002F32E3">
            <w:pPr>
              <w:pStyle w:val="ENoteTableText"/>
              <w:tabs>
                <w:tab w:val="left" w:leader="dot" w:pos="2268"/>
              </w:tabs>
            </w:pPr>
            <w:r w:rsidRPr="00576D60">
              <w:t>r. 7.4.04A</w:t>
            </w:r>
            <w:r w:rsidRPr="00576D60">
              <w:tab/>
            </w:r>
          </w:p>
        </w:tc>
        <w:tc>
          <w:tcPr>
            <w:tcW w:w="3500" w:type="pct"/>
            <w:shd w:val="clear" w:color="auto" w:fill="auto"/>
          </w:tcPr>
          <w:p w14:paraId="11239222" w14:textId="77777777" w:rsidR="00E93F58" w:rsidRPr="00576D60" w:rsidRDefault="00E93F58" w:rsidP="002F32E3">
            <w:pPr>
              <w:pStyle w:val="ENoteTableText"/>
            </w:pPr>
            <w:r w:rsidRPr="00576D60">
              <w:t>rep. 2001 No. 319</w:t>
            </w:r>
          </w:p>
        </w:tc>
      </w:tr>
      <w:tr w:rsidR="00E93F58" w:rsidRPr="00576D60" w14:paraId="271A168D" w14:textId="77777777" w:rsidTr="002F32E3">
        <w:trPr>
          <w:cantSplit/>
        </w:trPr>
        <w:tc>
          <w:tcPr>
            <w:tcW w:w="1500" w:type="pct"/>
            <w:shd w:val="clear" w:color="auto" w:fill="auto"/>
          </w:tcPr>
          <w:p w14:paraId="3C2384AD" w14:textId="77777777" w:rsidR="00E93F58" w:rsidRPr="00576D60" w:rsidRDefault="00E93F58" w:rsidP="002F32E3">
            <w:pPr>
              <w:pStyle w:val="ENoteTableText"/>
              <w:tabs>
                <w:tab w:val="left" w:leader="dot" w:pos="2268"/>
              </w:tabs>
            </w:pPr>
            <w:r w:rsidRPr="00576D60">
              <w:t>rr. 7.4.05–7.4.08</w:t>
            </w:r>
            <w:r w:rsidRPr="00576D60">
              <w:tab/>
            </w:r>
          </w:p>
        </w:tc>
        <w:tc>
          <w:tcPr>
            <w:tcW w:w="3500" w:type="pct"/>
            <w:shd w:val="clear" w:color="auto" w:fill="auto"/>
          </w:tcPr>
          <w:p w14:paraId="39A5C241" w14:textId="77777777" w:rsidR="00E93F58" w:rsidRPr="00576D60" w:rsidRDefault="00E93F58" w:rsidP="002F32E3">
            <w:pPr>
              <w:pStyle w:val="ENoteTableText"/>
            </w:pPr>
            <w:r w:rsidRPr="00576D60">
              <w:t>rep. 2001 No. 319</w:t>
            </w:r>
          </w:p>
        </w:tc>
      </w:tr>
      <w:tr w:rsidR="00E93F58" w:rsidRPr="00576D60" w14:paraId="2A3380A8" w14:textId="77777777" w:rsidTr="002F32E3">
        <w:trPr>
          <w:cantSplit/>
        </w:trPr>
        <w:tc>
          <w:tcPr>
            <w:tcW w:w="1500" w:type="pct"/>
            <w:shd w:val="clear" w:color="auto" w:fill="auto"/>
          </w:tcPr>
          <w:p w14:paraId="2EDFD805" w14:textId="77777777" w:rsidR="00E93F58" w:rsidRPr="00576D60" w:rsidRDefault="00E93F58" w:rsidP="0009217A">
            <w:pPr>
              <w:pStyle w:val="ENoteTableText"/>
              <w:keepNext/>
              <w:tabs>
                <w:tab w:val="left" w:leader="dot" w:pos="2268"/>
              </w:tabs>
              <w:rPr>
                <w:b/>
              </w:rPr>
            </w:pPr>
            <w:r w:rsidRPr="00576D60">
              <w:rPr>
                <w:b/>
              </w:rPr>
              <w:lastRenderedPageBreak/>
              <w:t>Part 7.5</w:t>
            </w:r>
          </w:p>
        </w:tc>
        <w:tc>
          <w:tcPr>
            <w:tcW w:w="3500" w:type="pct"/>
            <w:shd w:val="clear" w:color="auto" w:fill="auto"/>
          </w:tcPr>
          <w:p w14:paraId="5C6F0584" w14:textId="77777777" w:rsidR="00E93F58" w:rsidRPr="00576D60" w:rsidRDefault="00E93F58" w:rsidP="002F32E3">
            <w:pPr>
              <w:pStyle w:val="ENoteTableText"/>
            </w:pPr>
          </w:p>
        </w:tc>
      </w:tr>
      <w:tr w:rsidR="00E93F58" w:rsidRPr="00576D60" w14:paraId="5E540713" w14:textId="77777777" w:rsidTr="002F32E3">
        <w:trPr>
          <w:cantSplit/>
        </w:trPr>
        <w:tc>
          <w:tcPr>
            <w:tcW w:w="1500" w:type="pct"/>
            <w:shd w:val="clear" w:color="auto" w:fill="auto"/>
          </w:tcPr>
          <w:p w14:paraId="14DB6F7F"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41511309" w14:textId="77777777" w:rsidR="00E93F58" w:rsidRPr="00576D60" w:rsidRDefault="00E93F58" w:rsidP="002F32E3">
            <w:pPr>
              <w:pStyle w:val="ENoteTableText"/>
            </w:pPr>
          </w:p>
        </w:tc>
      </w:tr>
      <w:tr w:rsidR="00E93F58" w:rsidRPr="00576D60" w14:paraId="71940AA4" w14:textId="77777777" w:rsidTr="002F32E3">
        <w:trPr>
          <w:cantSplit/>
        </w:trPr>
        <w:tc>
          <w:tcPr>
            <w:tcW w:w="1500" w:type="pct"/>
            <w:shd w:val="clear" w:color="auto" w:fill="auto"/>
          </w:tcPr>
          <w:p w14:paraId="58A056B1" w14:textId="77777777" w:rsidR="00E93F58" w:rsidRPr="00576D60" w:rsidRDefault="00E93F58" w:rsidP="002F32E3">
            <w:pPr>
              <w:pStyle w:val="ENoteTableText"/>
              <w:tabs>
                <w:tab w:val="left" w:leader="dot" w:pos="2268"/>
              </w:tabs>
            </w:pPr>
            <w:r w:rsidRPr="00576D60">
              <w:t>r 7.5.01</w:t>
            </w:r>
            <w:r w:rsidRPr="00576D60">
              <w:tab/>
            </w:r>
          </w:p>
        </w:tc>
        <w:tc>
          <w:tcPr>
            <w:tcW w:w="3500" w:type="pct"/>
            <w:shd w:val="clear" w:color="auto" w:fill="auto"/>
          </w:tcPr>
          <w:p w14:paraId="1A2AA8A2" w14:textId="77777777" w:rsidR="00E93F58" w:rsidRPr="00576D60" w:rsidRDefault="00E93F58" w:rsidP="002F32E3">
            <w:pPr>
              <w:pStyle w:val="ENoteTableText"/>
            </w:pPr>
            <w:r w:rsidRPr="00576D60">
              <w:t>rs</w:t>
            </w:r>
            <w:r>
              <w:t xml:space="preserve"> No 319, 2001</w:t>
            </w:r>
          </w:p>
        </w:tc>
      </w:tr>
      <w:tr w:rsidR="00E93F58" w:rsidRPr="00576D60" w14:paraId="79388D9E" w14:textId="77777777" w:rsidTr="002F32E3">
        <w:trPr>
          <w:cantSplit/>
        </w:trPr>
        <w:tc>
          <w:tcPr>
            <w:tcW w:w="1500" w:type="pct"/>
            <w:shd w:val="clear" w:color="auto" w:fill="auto"/>
          </w:tcPr>
          <w:p w14:paraId="576933D5" w14:textId="77777777" w:rsidR="00E93F58" w:rsidRPr="00576D60" w:rsidRDefault="00E93F58" w:rsidP="002F32E3">
            <w:pPr>
              <w:pStyle w:val="ENoteTableText"/>
            </w:pPr>
          </w:p>
        </w:tc>
        <w:tc>
          <w:tcPr>
            <w:tcW w:w="3500" w:type="pct"/>
            <w:shd w:val="clear" w:color="auto" w:fill="auto"/>
          </w:tcPr>
          <w:p w14:paraId="79F64EC3" w14:textId="77777777" w:rsidR="00E93F58" w:rsidRPr="00576D60" w:rsidRDefault="00E93F58" w:rsidP="002F32E3">
            <w:pPr>
              <w:pStyle w:val="ENoteTableText"/>
            </w:pPr>
            <w:r>
              <w:t>am No 282, 2002; No 26, 2004; No 398, 2004; No 38, 2005; No 193, 2011; F2023L01458</w:t>
            </w:r>
          </w:p>
        </w:tc>
      </w:tr>
      <w:tr w:rsidR="00E93F58" w:rsidRPr="00576D60" w14:paraId="0F728AD6" w14:textId="77777777" w:rsidTr="002F32E3">
        <w:trPr>
          <w:cantSplit/>
        </w:trPr>
        <w:tc>
          <w:tcPr>
            <w:tcW w:w="1500" w:type="pct"/>
            <w:shd w:val="clear" w:color="auto" w:fill="auto"/>
          </w:tcPr>
          <w:p w14:paraId="099DCD21" w14:textId="77777777" w:rsidR="00E93F58" w:rsidRPr="00576D60" w:rsidRDefault="00E93F58" w:rsidP="002F32E3">
            <w:pPr>
              <w:pStyle w:val="ENoteTableText"/>
              <w:tabs>
                <w:tab w:val="left" w:leader="dot" w:pos="2268"/>
              </w:tabs>
            </w:pPr>
            <w:r w:rsidRPr="00576D60">
              <w:t>r. 7.5.01A</w:t>
            </w:r>
            <w:r w:rsidRPr="00576D60">
              <w:tab/>
            </w:r>
          </w:p>
        </w:tc>
        <w:tc>
          <w:tcPr>
            <w:tcW w:w="3500" w:type="pct"/>
            <w:shd w:val="clear" w:color="auto" w:fill="auto"/>
          </w:tcPr>
          <w:p w14:paraId="05D31FAB" w14:textId="77777777" w:rsidR="00E93F58" w:rsidRPr="00576D60" w:rsidRDefault="00E93F58" w:rsidP="002F32E3">
            <w:pPr>
              <w:pStyle w:val="ENoteTableText"/>
            </w:pPr>
            <w:r w:rsidRPr="00576D60">
              <w:t>ad. 2004 No. 26</w:t>
            </w:r>
          </w:p>
        </w:tc>
      </w:tr>
      <w:tr w:rsidR="00E93F58" w:rsidRPr="00576D60" w14:paraId="6F5F84C0" w14:textId="77777777" w:rsidTr="002F32E3">
        <w:trPr>
          <w:cantSplit/>
        </w:trPr>
        <w:tc>
          <w:tcPr>
            <w:tcW w:w="1500" w:type="pct"/>
            <w:shd w:val="clear" w:color="auto" w:fill="auto"/>
          </w:tcPr>
          <w:p w14:paraId="3844F18F" w14:textId="77777777" w:rsidR="00E93F58" w:rsidRPr="00576D60" w:rsidRDefault="00E93F58" w:rsidP="002F32E3">
            <w:pPr>
              <w:pStyle w:val="ENoteTableText"/>
              <w:tabs>
                <w:tab w:val="left" w:leader="dot" w:pos="2268"/>
              </w:tabs>
            </w:pPr>
            <w:r w:rsidRPr="00576D60">
              <w:t>r. 7.5.02</w:t>
            </w:r>
            <w:r w:rsidRPr="00576D60">
              <w:tab/>
            </w:r>
          </w:p>
        </w:tc>
        <w:tc>
          <w:tcPr>
            <w:tcW w:w="3500" w:type="pct"/>
            <w:shd w:val="clear" w:color="auto" w:fill="auto"/>
          </w:tcPr>
          <w:p w14:paraId="47F3CF2B" w14:textId="77777777" w:rsidR="00E93F58" w:rsidRPr="00576D60" w:rsidRDefault="00E93F58" w:rsidP="002F32E3">
            <w:pPr>
              <w:pStyle w:val="ENoteTableText"/>
            </w:pPr>
            <w:r w:rsidRPr="00576D60">
              <w:t>ad. 2001 No. 319</w:t>
            </w:r>
          </w:p>
        </w:tc>
      </w:tr>
      <w:tr w:rsidR="00E93F58" w:rsidRPr="00576D60" w14:paraId="7628F4AD" w14:textId="77777777" w:rsidTr="002F32E3">
        <w:trPr>
          <w:cantSplit/>
        </w:trPr>
        <w:tc>
          <w:tcPr>
            <w:tcW w:w="1500" w:type="pct"/>
            <w:shd w:val="clear" w:color="auto" w:fill="auto"/>
          </w:tcPr>
          <w:p w14:paraId="3E74BBAD" w14:textId="77777777" w:rsidR="00E93F58" w:rsidRPr="00576D60" w:rsidRDefault="00E93F58" w:rsidP="002F32E3">
            <w:pPr>
              <w:pStyle w:val="ENoteTableText"/>
              <w:tabs>
                <w:tab w:val="left" w:leader="dot" w:pos="2268"/>
              </w:tabs>
            </w:pPr>
            <w:r w:rsidRPr="00576D60">
              <w:t>r. 7.5.03</w:t>
            </w:r>
            <w:r w:rsidRPr="00576D60">
              <w:tab/>
            </w:r>
          </w:p>
        </w:tc>
        <w:tc>
          <w:tcPr>
            <w:tcW w:w="3500" w:type="pct"/>
            <w:shd w:val="clear" w:color="auto" w:fill="auto"/>
          </w:tcPr>
          <w:p w14:paraId="1F50B47D" w14:textId="77777777" w:rsidR="00E93F58" w:rsidRPr="00576D60" w:rsidRDefault="00E93F58" w:rsidP="002F32E3">
            <w:pPr>
              <w:pStyle w:val="ENoteTableText"/>
            </w:pPr>
            <w:r w:rsidRPr="00576D60">
              <w:t>ad. 2001 No. 319</w:t>
            </w:r>
          </w:p>
        </w:tc>
      </w:tr>
      <w:tr w:rsidR="00E93F58" w:rsidRPr="00576D60" w14:paraId="4E47DD5A" w14:textId="77777777" w:rsidTr="002F32E3">
        <w:trPr>
          <w:cantSplit/>
        </w:trPr>
        <w:tc>
          <w:tcPr>
            <w:tcW w:w="1500" w:type="pct"/>
            <w:shd w:val="clear" w:color="auto" w:fill="auto"/>
          </w:tcPr>
          <w:p w14:paraId="1C3F85D0" w14:textId="77777777" w:rsidR="00E93F58" w:rsidRPr="00576D60" w:rsidRDefault="00E93F58" w:rsidP="002F32E3">
            <w:pPr>
              <w:pStyle w:val="ENoteTableText"/>
            </w:pPr>
          </w:p>
        </w:tc>
        <w:tc>
          <w:tcPr>
            <w:tcW w:w="3500" w:type="pct"/>
            <w:shd w:val="clear" w:color="auto" w:fill="auto"/>
          </w:tcPr>
          <w:p w14:paraId="4BFD44DE" w14:textId="77777777" w:rsidR="00E93F58" w:rsidRPr="00576D60" w:rsidRDefault="00E93F58" w:rsidP="002F32E3">
            <w:pPr>
              <w:pStyle w:val="ENoteTableText"/>
            </w:pPr>
            <w:r w:rsidRPr="00576D60">
              <w:t>am. 2002 No. 282; 2004 No 26 and 398; 2005 No. 38</w:t>
            </w:r>
          </w:p>
        </w:tc>
      </w:tr>
      <w:tr w:rsidR="00E93F58" w:rsidRPr="00576D60" w14:paraId="31466D72" w14:textId="77777777" w:rsidTr="002F32E3">
        <w:trPr>
          <w:cantSplit/>
        </w:trPr>
        <w:tc>
          <w:tcPr>
            <w:tcW w:w="1500" w:type="pct"/>
            <w:shd w:val="clear" w:color="auto" w:fill="auto"/>
          </w:tcPr>
          <w:p w14:paraId="3603A455" w14:textId="77777777" w:rsidR="00E93F58" w:rsidRPr="00576D60" w:rsidRDefault="00E93F58" w:rsidP="002F32E3">
            <w:pPr>
              <w:pStyle w:val="ENoteTableText"/>
              <w:tabs>
                <w:tab w:val="left" w:leader="dot" w:pos="2268"/>
              </w:tabs>
            </w:pPr>
            <w:r w:rsidRPr="00576D60">
              <w:t>r. 7.5.04</w:t>
            </w:r>
            <w:r w:rsidRPr="00576D60">
              <w:tab/>
            </w:r>
          </w:p>
        </w:tc>
        <w:tc>
          <w:tcPr>
            <w:tcW w:w="3500" w:type="pct"/>
            <w:shd w:val="clear" w:color="auto" w:fill="auto"/>
          </w:tcPr>
          <w:p w14:paraId="44C4142A" w14:textId="77777777" w:rsidR="00E93F58" w:rsidRPr="00576D60" w:rsidRDefault="00E93F58" w:rsidP="002F32E3">
            <w:pPr>
              <w:pStyle w:val="ENoteTableText"/>
            </w:pPr>
            <w:r w:rsidRPr="00576D60">
              <w:t>ad. 2001 No. 319</w:t>
            </w:r>
          </w:p>
        </w:tc>
      </w:tr>
      <w:tr w:rsidR="00E93F58" w:rsidRPr="00576D60" w14:paraId="598DFCEC" w14:textId="77777777" w:rsidTr="002F32E3">
        <w:trPr>
          <w:cantSplit/>
        </w:trPr>
        <w:tc>
          <w:tcPr>
            <w:tcW w:w="1500" w:type="pct"/>
            <w:shd w:val="clear" w:color="auto" w:fill="auto"/>
          </w:tcPr>
          <w:p w14:paraId="75E16E40" w14:textId="77777777" w:rsidR="00E93F58" w:rsidRPr="00576D60" w:rsidRDefault="00E93F58" w:rsidP="002F32E3">
            <w:pPr>
              <w:pStyle w:val="ENoteTableText"/>
            </w:pPr>
          </w:p>
        </w:tc>
        <w:tc>
          <w:tcPr>
            <w:tcW w:w="3500" w:type="pct"/>
            <w:shd w:val="clear" w:color="auto" w:fill="auto"/>
          </w:tcPr>
          <w:p w14:paraId="644F8429" w14:textId="77777777" w:rsidR="00E93F58" w:rsidRPr="00576D60" w:rsidRDefault="00E93F58" w:rsidP="002F32E3">
            <w:pPr>
              <w:pStyle w:val="ENoteTableText"/>
            </w:pPr>
            <w:r w:rsidRPr="00576D60">
              <w:t>am. 2002 No. 282; 2004 No 26, 36 and 398</w:t>
            </w:r>
          </w:p>
        </w:tc>
      </w:tr>
      <w:tr w:rsidR="00E93F58" w:rsidRPr="00576D60" w14:paraId="1D1474DA" w14:textId="77777777" w:rsidTr="002F32E3">
        <w:trPr>
          <w:cantSplit/>
        </w:trPr>
        <w:tc>
          <w:tcPr>
            <w:tcW w:w="1500" w:type="pct"/>
            <w:shd w:val="clear" w:color="auto" w:fill="auto"/>
          </w:tcPr>
          <w:p w14:paraId="372CD662" w14:textId="77777777" w:rsidR="00E93F58" w:rsidRPr="00576D60" w:rsidRDefault="00E93F58" w:rsidP="002F32E3">
            <w:pPr>
              <w:pStyle w:val="ENoteTableText"/>
              <w:tabs>
                <w:tab w:val="left" w:leader="dot" w:pos="2268"/>
              </w:tabs>
            </w:pPr>
            <w:r w:rsidRPr="00576D60">
              <w:t>r. 7.5.05</w:t>
            </w:r>
            <w:r w:rsidRPr="00576D60">
              <w:tab/>
            </w:r>
          </w:p>
        </w:tc>
        <w:tc>
          <w:tcPr>
            <w:tcW w:w="3500" w:type="pct"/>
            <w:shd w:val="clear" w:color="auto" w:fill="auto"/>
          </w:tcPr>
          <w:p w14:paraId="4E292F9D" w14:textId="77777777" w:rsidR="00E93F58" w:rsidRPr="00576D60" w:rsidRDefault="00E93F58" w:rsidP="002F32E3">
            <w:pPr>
              <w:pStyle w:val="ENoteTableText"/>
            </w:pPr>
            <w:r w:rsidRPr="00576D60">
              <w:t>ad. 2001 No. 319</w:t>
            </w:r>
          </w:p>
        </w:tc>
      </w:tr>
      <w:tr w:rsidR="00E93F58" w:rsidRPr="00576D60" w14:paraId="0E9A919D" w14:textId="77777777" w:rsidTr="002F32E3">
        <w:trPr>
          <w:cantSplit/>
        </w:trPr>
        <w:tc>
          <w:tcPr>
            <w:tcW w:w="1500" w:type="pct"/>
            <w:shd w:val="clear" w:color="auto" w:fill="auto"/>
          </w:tcPr>
          <w:p w14:paraId="34D3885E" w14:textId="77777777" w:rsidR="00E93F58" w:rsidRPr="00576D60" w:rsidRDefault="00E93F58" w:rsidP="002F32E3">
            <w:pPr>
              <w:pStyle w:val="ENoteTableText"/>
            </w:pPr>
          </w:p>
        </w:tc>
        <w:tc>
          <w:tcPr>
            <w:tcW w:w="3500" w:type="pct"/>
            <w:shd w:val="clear" w:color="auto" w:fill="auto"/>
          </w:tcPr>
          <w:p w14:paraId="32234854" w14:textId="77777777" w:rsidR="00E93F58" w:rsidRPr="00576D60" w:rsidRDefault="00E93F58" w:rsidP="002F32E3">
            <w:pPr>
              <w:pStyle w:val="ENoteTableText"/>
            </w:pPr>
            <w:r w:rsidRPr="00576D60">
              <w:t>rep. 2005 No. 38</w:t>
            </w:r>
          </w:p>
        </w:tc>
      </w:tr>
      <w:tr w:rsidR="00E93F58" w:rsidRPr="00576D60" w14:paraId="14661B22" w14:textId="77777777" w:rsidTr="002F32E3">
        <w:trPr>
          <w:cantSplit/>
        </w:trPr>
        <w:tc>
          <w:tcPr>
            <w:tcW w:w="1500" w:type="pct"/>
            <w:shd w:val="clear" w:color="auto" w:fill="auto"/>
          </w:tcPr>
          <w:p w14:paraId="5AD0F85E" w14:textId="77777777" w:rsidR="00E93F58" w:rsidRPr="00576D60" w:rsidRDefault="00E93F58" w:rsidP="002F32E3">
            <w:pPr>
              <w:pStyle w:val="ENoteTableText"/>
              <w:tabs>
                <w:tab w:val="left" w:leader="dot" w:pos="2268"/>
              </w:tabs>
            </w:pPr>
            <w:r w:rsidRPr="00576D60">
              <w:t>r. 7.5.06</w:t>
            </w:r>
            <w:r w:rsidRPr="00576D60">
              <w:tab/>
            </w:r>
          </w:p>
        </w:tc>
        <w:tc>
          <w:tcPr>
            <w:tcW w:w="3500" w:type="pct"/>
            <w:shd w:val="clear" w:color="auto" w:fill="auto"/>
          </w:tcPr>
          <w:p w14:paraId="1DD5212A" w14:textId="77777777" w:rsidR="00E93F58" w:rsidRPr="00576D60" w:rsidRDefault="00E93F58" w:rsidP="002F32E3">
            <w:pPr>
              <w:pStyle w:val="ENoteTableText"/>
            </w:pPr>
            <w:r w:rsidRPr="00576D60">
              <w:t>ad. 2001 No. 319</w:t>
            </w:r>
          </w:p>
        </w:tc>
      </w:tr>
      <w:tr w:rsidR="00E93F58" w:rsidRPr="00576D60" w14:paraId="1AB14B3C" w14:textId="77777777" w:rsidTr="002F32E3">
        <w:trPr>
          <w:cantSplit/>
        </w:trPr>
        <w:tc>
          <w:tcPr>
            <w:tcW w:w="1500" w:type="pct"/>
            <w:shd w:val="clear" w:color="auto" w:fill="auto"/>
          </w:tcPr>
          <w:p w14:paraId="2C2B96C8" w14:textId="77777777" w:rsidR="00E93F58" w:rsidRPr="00576D60" w:rsidRDefault="00E93F58" w:rsidP="002F32E3">
            <w:pPr>
              <w:pStyle w:val="ENoteTableText"/>
            </w:pPr>
          </w:p>
        </w:tc>
        <w:tc>
          <w:tcPr>
            <w:tcW w:w="3500" w:type="pct"/>
            <w:shd w:val="clear" w:color="auto" w:fill="auto"/>
          </w:tcPr>
          <w:p w14:paraId="1F444FAC" w14:textId="77777777" w:rsidR="00E93F58" w:rsidRPr="00576D60" w:rsidRDefault="00E93F58" w:rsidP="002F32E3">
            <w:pPr>
              <w:pStyle w:val="ENoteTableText"/>
            </w:pPr>
            <w:r w:rsidRPr="00576D60">
              <w:t>am. 2002 No. 282; 2004 No 26 and 398</w:t>
            </w:r>
          </w:p>
        </w:tc>
      </w:tr>
      <w:tr w:rsidR="00E93F58" w:rsidRPr="00576D60" w14:paraId="11F3DE53" w14:textId="77777777" w:rsidTr="002F32E3">
        <w:trPr>
          <w:cantSplit/>
        </w:trPr>
        <w:tc>
          <w:tcPr>
            <w:tcW w:w="1500" w:type="pct"/>
            <w:shd w:val="clear" w:color="auto" w:fill="auto"/>
          </w:tcPr>
          <w:p w14:paraId="1E9FF6CB" w14:textId="77777777" w:rsidR="00E93F58" w:rsidRPr="00576D60" w:rsidRDefault="00E93F58" w:rsidP="002F32E3">
            <w:pPr>
              <w:pStyle w:val="ENoteTableText"/>
              <w:tabs>
                <w:tab w:val="left" w:leader="dot" w:pos="2268"/>
              </w:tabs>
            </w:pPr>
            <w:r w:rsidRPr="00576D60">
              <w:t>r. 7.5.07</w:t>
            </w:r>
            <w:r w:rsidRPr="00576D60">
              <w:tab/>
            </w:r>
          </w:p>
        </w:tc>
        <w:tc>
          <w:tcPr>
            <w:tcW w:w="3500" w:type="pct"/>
            <w:shd w:val="clear" w:color="auto" w:fill="auto"/>
          </w:tcPr>
          <w:p w14:paraId="79CB93D9" w14:textId="77777777" w:rsidR="00E93F58" w:rsidRPr="00576D60" w:rsidRDefault="00E93F58" w:rsidP="002F32E3">
            <w:pPr>
              <w:pStyle w:val="ENoteTableText"/>
            </w:pPr>
            <w:r w:rsidRPr="00576D60">
              <w:t>ad. 2001 No. 319</w:t>
            </w:r>
          </w:p>
        </w:tc>
      </w:tr>
      <w:tr w:rsidR="00E93F58" w:rsidRPr="00576D60" w14:paraId="5C358AAB" w14:textId="77777777" w:rsidTr="002F32E3">
        <w:trPr>
          <w:cantSplit/>
        </w:trPr>
        <w:tc>
          <w:tcPr>
            <w:tcW w:w="1500" w:type="pct"/>
            <w:shd w:val="clear" w:color="auto" w:fill="auto"/>
          </w:tcPr>
          <w:p w14:paraId="53A4DE9B" w14:textId="77777777" w:rsidR="00E93F58" w:rsidRPr="00576D60" w:rsidRDefault="00E93F58" w:rsidP="002F32E3">
            <w:pPr>
              <w:pStyle w:val="ENoteTableText"/>
            </w:pPr>
          </w:p>
        </w:tc>
        <w:tc>
          <w:tcPr>
            <w:tcW w:w="3500" w:type="pct"/>
            <w:shd w:val="clear" w:color="auto" w:fill="auto"/>
          </w:tcPr>
          <w:p w14:paraId="76FCD2F2" w14:textId="77777777" w:rsidR="00E93F58" w:rsidRPr="00576D60" w:rsidRDefault="00E93F58" w:rsidP="002F32E3">
            <w:pPr>
              <w:pStyle w:val="ENoteTableText"/>
            </w:pPr>
            <w:r w:rsidRPr="00576D60">
              <w:t>am. 2002 No. 282; 2005 No 38 and 324</w:t>
            </w:r>
          </w:p>
        </w:tc>
      </w:tr>
      <w:tr w:rsidR="00E93F58" w:rsidRPr="00576D60" w14:paraId="5B8A72C0" w14:textId="77777777" w:rsidTr="002F32E3">
        <w:trPr>
          <w:cantSplit/>
        </w:trPr>
        <w:tc>
          <w:tcPr>
            <w:tcW w:w="1500" w:type="pct"/>
            <w:shd w:val="clear" w:color="auto" w:fill="auto"/>
          </w:tcPr>
          <w:p w14:paraId="0D15AC99" w14:textId="77777777" w:rsidR="00E93F58" w:rsidRPr="00576D60" w:rsidRDefault="00E93F58" w:rsidP="002F32E3">
            <w:pPr>
              <w:pStyle w:val="ENoteTableText"/>
              <w:tabs>
                <w:tab w:val="left" w:leader="dot" w:pos="2268"/>
              </w:tabs>
            </w:pPr>
            <w:r w:rsidRPr="00576D60">
              <w:t>r. 7.5.08</w:t>
            </w:r>
            <w:r w:rsidRPr="00576D60">
              <w:tab/>
            </w:r>
          </w:p>
        </w:tc>
        <w:tc>
          <w:tcPr>
            <w:tcW w:w="3500" w:type="pct"/>
            <w:shd w:val="clear" w:color="auto" w:fill="auto"/>
          </w:tcPr>
          <w:p w14:paraId="138B2155" w14:textId="77777777" w:rsidR="00E93F58" w:rsidRPr="00576D60" w:rsidRDefault="00E93F58" w:rsidP="002F32E3">
            <w:pPr>
              <w:pStyle w:val="ENoteTableText"/>
            </w:pPr>
            <w:r w:rsidRPr="00576D60">
              <w:t>ad. 2001 No. 319</w:t>
            </w:r>
          </w:p>
        </w:tc>
      </w:tr>
      <w:tr w:rsidR="00E93F58" w:rsidRPr="00576D60" w14:paraId="18C804FB" w14:textId="77777777" w:rsidTr="002F32E3">
        <w:trPr>
          <w:cantSplit/>
        </w:trPr>
        <w:tc>
          <w:tcPr>
            <w:tcW w:w="1500" w:type="pct"/>
            <w:shd w:val="clear" w:color="auto" w:fill="auto"/>
          </w:tcPr>
          <w:p w14:paraId="6961046B" w14:textId="77777777" w:rsidR="00E93F58" w:rsidRPr="00576D60" w:rsidRDefault="00E93F58" w:rsidP="002F32E3">
            <w:pPr>
              <w:pStyle w:val="ENoteTableText"/>
            </w:pPr>
          </w:p>
        </w:tc>
        <w:tc>
          <w:tcPr>
            <w:tcW w:w="3500" w:type="pct"/>
            <w:shd w:val="clear" w:color="auto" w:fill="auto"/>
          </w:tcPr>
          <w:p w14:paraId="49F36073" w14:textId="77777777" w:rsidR="00E93F58" w:rsidRPr="00576D60" w:rsidRDefault="00E93F58" w:rsidP="002F32E3">
            <w:pPr>
              <w:pStyle w:val="ENoteTableText"/>
            </w:pPr>
            <w:r w:rsidRPr="00576D60">
              <w:t>am. 2002 No. 282; 2005 No. 38</w:t>
            </w:r>
          </w:p>
        </w:tc>
      </w:tr>
      <w:tr w:rsidR="00E93F58" w:rsidRPr="00576D60" w14:paraId="074EB142" w14:textId="77777777" w:rsidTr="002F32E3">
        <w:trPr>
          <w:cantSplit/>
        </w:trPr>
        <w:tc>
          <w:tcPr>
            <w:tcW w:w="1500" w:type="pct"/>
            <w:shd w:val="clear" w:color="auto" w:fill="auto"/>
          </w:tcPr>
          <w:p w14:paraId="4C73C58F" w14:textId="77777777" w:rsidR="00E93F58" w:rsidRPr="00576D60" w:rsidRDefault="00E93F58" w:rsidP="002F32E3">
            <w:pPr>
              <w:pStyle w:val="ENoteTableText"/>
              <w:tabs>
                <w:tab w:val="left" w:leader="dot" w:pos="2268"/>
              </w:tabs>
            </w:pPr>
            <w:r w:rsidRPr="00576D60">
              <w:t>r 7.5.09</w:t>
            </w:r>
            <w:r w:rsidRPr="00576D60">
              <w:tab/>
            </w:r>
          </w:p>
        </w:tc>
        <w:tc>
          <w:tcPr>
            <w:tcW w:w="3500" w:type="pct"/>
            <w:shd w:val="clear" w:color="auto" w:fill="auto"/>
          </w:tcPr>
          <w:p w14:paraId="106ED785" w14:textId="77777777" w:rsidR="00E93F58" w:rsidRPr="00576D60" w:rsidRDefault="00E93F58" w:rsidP="002F32E3">
            <w:pPr>
              <w:pStyle w:val="ENoteTableText"/>
            </w:pPr>
            <w:r w:rsidRPr="00576D60">
              <w:t>ad No 319, 2001</w:t>
            </w:r>
          </w:p>
        </w:tc>
      </w:tr>
      <w:tr w:rsidR="00E93F58" w:rsidRPr="00576D60" w14:paraId="219E446B" w14:textId="77777777" w:rsidTr="002F32E3">
        <w:trPr>
          <w:cantSplit/>
        </w:trPr>
        <w:tc>
          <w:tcPr>
            <w:tcW w:w="1500" w:type="pct"/>
            <w:shd w:val="clear" w:color="auto" w:fill="auto"/>
          </w:tcPr>
          <w:p w14:paraId="70F2DD55" w14:textId="77777777" w:rsidR="00E93F58" w:rsidRPr="00576D60" w:rsidRDefault="00E93F58" w:rsidP="002F32E3">
            <w:pPr>
              <w:pStyle w:val="ENoteTableText"/>
            </w:pPr>
          </w:p>
        </w:tc>
        <w:tc>
          <w:tcPr>
            <w:tcW w:w="3500" w:type="pct"/>
            <w:shd w:val="clear" w:color="auto" w:fill="auto"/>
          </w:tcPr>
          <w:p w14:paraId="3021F41A" w14:textId="77777777" w:rsidR="00E93F58" w:rsidRPr="00576D60" w:rsidRDefault="00E93F58" w:rsidP="002F32E3">
            <w:pPr>
              <w:pStyle w:val="ENoteTableText"/>
            </w:pPr>
            <w:r w:rsidRPr="00576D60">
              <w:t>am No 16, 2002; F2018L01144</w:t>
            </w:r>
          </w:p>
        </w:tc>
      </w:tr>
      <w:tr w:rsidR="00E93F58" w:rsidRPr="00576D60" w14:paraId="2E30207D" w14:textId="77777777" w:rsidTr="002F32E3">
        <w:trPr>
          <w:cantSplit/>
        </w:trPr>
        <w:tc>
          <w:tcPr>
            <w:tcW w:w="1500" w:type="pct"/>
            <w:shd w:val="clear" w:color="auto" w:fill="auto"/>
          </w:tcPr>
          <w:p w14:paraId="4FB36E79" w14:textId="77777777" w:rsidR="00E93F58" w:rsidRPr="00576D60" w:rsidRDefault="00E93F58" w:rsidP="002F32E3">
            <w:pPr>
              <w:pStyle w:val="ENoteTableText"/>
              <w:tabs>
                <w:tab w:val="left" w:leader="dot" w:pos="2268"/>
              </w:tabs>
            </w:pPr>
            <w:r w:rsidRPr="00576D60">
              <w:t>r. 7.5.10</w:t>
            </w:r>
            <w:r w:rsidRPr="00576D60">
              <w:tab/>
            </w:r>
          </w:p>
        </w:tc>
        <w:tc>
          <w:tcPr>
            <w:tcW w:w="3500" w:type="pct"/>
            <w:shd w:val="clear" w:color="auto" w:fill="auto"/>
          </w:tcPr>
          <w:p w14:paraId="31A1FB3D" w14:textId="77777777" w:rsidR="00E93F58" w:rsidRPr="00576D60" w:rsidRDefault="00E93F58" w:rsidP="002F32E3">
            <w:pPr>
              <w:pStyle w:val="ENoteTableText"/>
            </w:pPr>
            <w:r w:rsidRPr="00576D60">
              <w:t>ad. 2001 No. 319</w:t>
            </w:r>
          </w:p>
        </w:tc>
      </w:tr>
      <w:tr w:rsidR="00E93F58" w:rsidRPr="00576D60" w14:paraId="507DCABD" w14:textId="77777777" w:rsidTr="002F32E3">
        <w:trPr>
          <w:cantSplit/>
        </w:trPr>
        <w:tc>
          <w:tcPr>
            <w:tcW w:w="1500" w:type="pct"/>
            <w:shd w:val="clear" w:color="auto" w:fill="auto"/>
          </w:tcPr>
          <w:p w14:paraId="075B2046" w14:textId="77777777" w:rsidR="00E93F58" w:rsidRPr="00576D60" w:rsidRDefault="00E93F58" w:rsidP="002F32E3">
            <w:pPr>
              <w:pStyle w:val="ENoteTableText"/>
              <w:tabs>
                <w:tab w:val="left" w:leader="dot" w:pos="2268"/>
              </w:tabs>
            </w:pPr>
            <w:r w:rsidRPr="00576D60">
              <w:t>r. 7.5.11</w:t>
            </w:r>
            <w:r w:rsidRPr="00576D60">
              <w:tab/>
            </w:r>
          </w:p>
        </w:tc>
        <w:tc>
          <w:tcPr>
            <w:tcW w:w="3500" w:type="pct"/>
            <w:shd w:val="clear" w:color="auto" w:fill="auto"/>
          </w:tcPr>
          <w:p w14:paraId="4DF1CE22" w14:textId="77777777" w:rsidR="00E93F58" w:rsidRPr="00576D60" w:rsidRDefault="00E93F58" w:rsidP="002F32E3">
            <w:pPr>
              <w:pStyle w:val="ENoteTableText"/>
            </w:pPr>
            <w:r w:rsidRPr="00576D60">
              <w:t>ad. 2001 No. 319</w:t>
            </w:r>
          </w:p>
        </w:tc>
      </w:tr>
      <w:tr w:rsidR="00E93F58" w:rsidRPr="00576D60" w14:paraId="698E1373" w14:textId="77777777" w:rsidTr="002F32E3">
        <w:trPr>
          <w:cantSplit/>
        </w:trPr>
        <w:tc>
          <w:tcPr>
            <w:tcW w:w="1500" w:type="pct"/>
            <w:shd w:val="clear" w:color="auto" w:fill="auto"/>
          </w:tcPr>
          <w:p w14:paraId="04D78D14" w14:textId="77777777" w:rsidR="00E93F58" w:rsidRPr="00576D60" w:rsidRDefault="00E93F58" w:rsidP="002F32E3">
            <w:pPr>
              <w:pStyle w:val="ENoteTableText"/>
            </w:pPr>
          </w:p>
        </w:tc>
        <w:tc>
          <w:tcPr>
            <w:tcW w:w="3500" w:type="pct"/>
            <w:shd w:val="clear" w:color="auto" w:fill="auto"/>
          </w:tcPr>
          <w:p w14:paraId="5C4BF8A1" w14:textId="77777777" w:rsidR="00E93F58" w:rsidRPr="00576D60" w:rsidRDefault="00E93F58" w:rsidP="002F32E3">
            <w:pPr>
              <w:pStyle w:val="ENoteTableText"/>
            </w:pPr>
            <w:r w:rsidRPr="00576D60">
              <w:t>rep. 2005 No. 38</w:t>
            </w:r>
          </w:p>
        </w:tc>
      </w:tr>
      <w:tr w:rsidR="00E93F58" w:rsidRPr="00576D60" w14:paraId="20F9EA49" w14:textId="77777777" w:rsidTr="002F32E3">
        <w:trPr>
          <w:cantSplit/>
        </w:trPr>
        <w:tc>
          <w:tcPr>
            <w:tcW w:w="1500" w:type="pct"/>
            <w:shd w:val="clear" w:color="auto" w:fill="auto"/>
          </w:tcPr>
          <w:p w14:paraId="0A8D1040" w14:textId="77777777" w:rsidR="00E93F58" w:rsidRPr="00576D60" w:rsidRDefault="00E93F58" w:rsidP="002F32E3">
            <w:pPr>
              <w:pStyle w:val="ENoteTableText"/>
              <w:tabs>
                <w:tab w:val="left" w:leader="dot" w:pos="2268"/>
              </w:tabs>
            </w:pPr>
            <w:r w:rsidRPr="00576D60">
              <w:t>r. 7.5.12</w:t>
            </w:r>
            <w:r w:rsidRPr="00576D60">
              <w:tab/>
            </w:r>
          </w:p>
        </w:tc>
        <w:tc>
          <w:tcPr>
            <w:tcW w:w="3500" w:type="pct"/>
            <w:shd w:val="clear" w:color="auto" w:fill="auto"/>
          </w:tcPr>
          <w:p w14:paraId="60B5292F" w14:textId="77777777" w:rsidR="00E93F58" w:rsidRPr="00576D60" w:rsidRDefault="00E93F58" w:rsidP="002F32E3">
            <w:pPr>
              <w:pStyle w:val="ENoteTableText"/>
            </w:pPr>
            <w:r w:rsidRPr="00576D60">
              <w:t>ad. 2001 No. 319</w:t>
            </w:r>
          </w:p>
        </w:tc>
      </w:tr>
      <w:tr w:rsidR="00E93F58" w:rsidRPr="00576D60" w14:paraId="157254C5" w14:textId="77777777" w:rsidTr="002F32E3">
        <w:trPr>
          <w:cantSplit/>
        </w:trPr>
        <w:tc>
          <w:tcPr>
            <w:tcW w:w="1500" w:type="pct"/>
            <w:shd w:val="clear" w:color="auto" w:fill="auto"/>
          </w:tcPr>
          <w:p w14:paraId="2E9DAFD0" w14:textId="77777777" w:rsidR="00E93F58" w:rsidRPr="00576D60" w:rsidRDefault="00E93F58" w:rsidP="002F32E3">
            <w:pPr>
              <w:pStyle w:val="ENoteTableText"/>
            </w:pPr>
          </w:p>
        </w:tc>
        <w:tc>
          <w:tcPr>
            <w:tcW w:w="3500" w:type="pct"/>
            <w:shd w:val="clear" w:color="auto" w:fill="auto"/>
          </w:tcPr>
          <w:p w14:paraId="726E885D" w14:textId="77777777" w:rsidR="00E93F58" w:rsidRPr="00576D60" w:rsidRDefault="00E93F58" w:rsidP="002F32E3">
            <w:pPr>
              <w:pStyle w:val="ENoteTableText"/>
            </w:pPr>
            <w:r w:rsidRPr="00576D60">
              <w:t>am. 2002 No. 282</w:t>
            </w:r>
          </w:p>
        </w:tc>
      </w:tr>
      <w:tr w:rsidR="00E93F58" w:rsidRPr="00576D60" w14:paraId="69DC22D2" w14:textId="77777777" w:rsidTr="002F32E3">
        <w:trPr>
          <w:cantSplit/>
        </w:trPr>
        <w:tc>
          <w:tcPr>
            <w:tcW w:w="1500" w:type="pct"/>
            <w:shd w:val="clear" w:color="auto" w:fill="auto"/>
          </w:tcPr>
          <w:p w14:paraId="5E2ABC24" w14:textId="77777777" w:rsidR="00E93F58" w:rsidRPr="00576D60" w:rsidRDefault="00E93F58" w:rsidP="002F32E3">
            <w:pPr>
              <w:pStyle w:val="ENoteTableText"/>
            </w:pPr>
          </w:p>
        </w:tc>
        <w:tc>
          <w:tcPr>
            <w:tcW w:w="3500" w:type="pct"/>
            <w:shd w:val="clear" w:color="auto" w:fill="auto"/>
          </w:tcPr>
          <w:p w14:paraId="2880A239" w14:textId="77777777" w:rsidR="00E93F58" w:rsidRPr="00576D60" w:rsidRDefault="00E93F58" w:rsidP="002F32E3">
            <w:pPr>
              <w:pStyle w:val="ENoteTableText"/>
            </w:pPr>
            <w:r w:rsidRPr="00576D60">
              <w:t>rep. 2005 No. 38</w:t>
            </w:r>
          </w:p>
        </w:tc>
      </w:tr>
      <w:tr w:rsidR="00E93F58" w:rsidRPr="00576D60" w14:paraId="516FE94F" w14:textId="77777777" w:rsidTr="002F32E3">
        <w:trPr>
          <w:cantSplit/>
        </w:trPr>
        <w:tc>
          <w:tcPr>
            <w:tcW w:w="1500" w:type="pct"/>
            <w:shd w:val="clear" w:color="auto" w:fill="auto"/>
          </w:tcPr>
          <w:p w14:paraId="3D30C262" w14:textId="77777777" w:rsidR="00E93F58" w:rsidRPr="00576D60" w:rsidRDefault="00E93F58" w:rsidP="002F32E3">
            <w:pPr>
              <w:pStyle w:val="ENoteTableText"/>
              <w:tabs>
                <w:tab w:val="left" w:leader="dot" w:pos="2268"/>
              </w:tabs>
            </w:pPr>
            <w:r w:rsidRPr="00576D60">
              <w:t>r. 7.5.13</w:t>
            </w:r>
            <w:r w:rsidRPr="00576D60">
              <w:tab/>
            </w:r>
          </w:p>
        </w:tc>
        <w:tc>
          <w:tcPr>
            <w:tcW w:w="3500" w:type="pct"/>
            <w:shd w:val="clear" w:color="auto" w:fill="auto"/>
          </w:tcPr>
          <w:p w14:paraId="129DF941" w14:textId="77777777" w:rsidR="00E93F58" w:rsidRPr="00576D60" w:rsidRDefault="00E93F58" w:rsidP="002F32E3">
            <w:pPr>
              <w:pStyle w:val="ENoteTableText"/>
            </w:pPr>
            <w:r w:rsidRPr="00576D60">
              <w:t>ad. 2001 No. 319</w:t>
            </w:r>
          </w:p>
        </w:tc>
      </w:tr>
      <w:tr w:rsidR="00E93F58" w:rsidRPr="00576D60" w14:paraId="1FE52AC5" w14:textId="77777777" w:rsidTr="002F32E3">
        <w:trPr>
          <w:cantSplit/>
        </w:trPr>
        <w:tc>
          <w:tcPr>
            <w:tcW w:w="1500" w:type="pct"/>
            <w:shd w:val="clear" w:color="auto" w:fill="auto"/>
          </w:tcPr>
          <w:p w14:paraId="4D566C77"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078BF93C" w14:textId="77777777" w:rsidR="00E93F58" w:rsidRPr="00576D60" w:rsidRDefault="00E93F58" w:rsidP="002F32E3">
            <w:pPr>
              <w:pStyle w:val="ENoteTableText"/>
            </w:pPr>
          </w:p>
        </w:tc>
      </w:tr>
      <w:tr w:rsidR="00E93F58" w:rsidRPr="00576D60" w14:paraId="15227723" w14:textId="77777777" w:rsidTr="002F32E3">
        <w:trPr>
          <w:cantSplit/>
        </w:trPr>
        <w:tc>
          <w:tcPr>
            <w:tcW w:w="1500" w:type="pct"/>
            <w:shd w:val="clear" w:color="auto" w:fill="auto"/>
          </w:tcPr>
          <w:p w14:paraId="35A69558" w14:textId="77777777" w:rsidR="00E93F58" w:rsidRPr="00576D60" w:rsidRDefault="00E93F58" w:rsidP="002F32E3">
            <w:pPr>
              <w:pStyle w:val="ENoteTableText"/>
              <w:tabs>
                <w:tab w:val="left" w:leader="dot" w:pos="2268"/>
              </w:tabs>
            </w:pPr>
            <w:r w:rsidRPr="00576D60">
              <w:t>r. 7.5.14</w:t>
            </w:r>
            <w:r w:rsidRPr="00576D60">
              <w:tab/>
            </w:r>
          </w:p>
        </w:tc>
        <w:tc>
          <w:tcPr>
            <w:tcW w:w="3500" w:type="pct"/>
            <w:shd w:val="clear" w:color="auto" w:fill="auto"/>
          </w:tcPr>
          <w:p w14:paraId="52BC1946" w14:textId="77777777" w:rsidR="00E93F58" w:rsidRPr="00576D60" w:rsidRDefault="00E93F58" w:rsidP="002F32E3">
            <w:pPr>
              <w:pStyle w:val="ENoteTableText"/>
            </w:pPr>
            <w:r w:rsidRPr="00576D60">
              <w:t>ad. 2001 No. 319</w:t>
            </w:r>
          </w:p>
        </w:tc>
      </w:tr>
      <w:tr w:rsidR="00E93F58" w:rsidRPr="00576D60" w14:paraId="7B87AE58" w14:textId="77777777" w:rsidTr="002F32E3">
        <w:trPr>
          <w:cantSplit/>
        </w:trPr>
        <w:tc>
          <w:tcPr>
            <w:tcW w:w="1500" w:type="pct"/>
            <w:shd w:val="clear" w:color="auto" w:fill="auto"/>
          </w:tcPr>
          <w:p w14:paraId="664131FC" w14:textId="77777777" w:rsidR="00E93F58" w:rsidRPr="00576D60" w:rsidRDefault="00E93F58" w:rsidP="002F32E3">
            <w:pPr>
              <w:pStyle w:val="ENoteTableText"/>
              <w:tabs>
                <w:tab w:val="left" w:leader="dot" w:pos="2268"/>
              </w:tabs>
              <w:rPr>
                <w:b/>
              </w:rPr>
            </w:pPr>
            <w:r w:rsidRPr="00576D60">
              <w:rPr>
                <w:b/>
              </w:rPr>
              <w:t>Division 3</w:t>
            </w:r>
          </w:p>
        </w:tc>
        <w:tc>
          <w:tcPr>
            <w:tcW w:w="3500" w:type="pct"/>
            <w:shd w:val="clear" w:color="auto" w:fill="auto"/>
          </w:tcPr>
          <w:p w14:paraId="6E277A31" w14:textId="77777777" w:rsidR="00E93F58" w:rsidRPr="00576D60" w:rsidRDefault="00E93F58" w:rsidP="002F32E3">
            <w:pPr>
              <w:pStyle w:val="ENoteTableText"/>
            </w:pPr>
          </w:p>
        </w:tc>
      </w:tr>
      <w:tr w:rsidR="00E93F58" w:rsidRPr="00576D60" w14:paraId="150ACB25" w14:textId="77777777" w:rsidTr="002F32E3">
        <w:trPr>
          <w:cantSplit/>
        </w:trPr>
        <w:tc>
          <w:tcPr>
            <w:tcW w:w="1500" w:type="pct"/>
            <w:shd w:val="clear" w:color="auto" w:fill="auto"/>
          </w:tcPr>
          <w:p w14:paraId="1F38729D" w14:textId="77777777" w:rsidR="00E93F58" w:rsidRPr="00576D60" w:rsidRDefault="00E93F58" w:rsidP="002F32E3">
            <w:pPr>
              <w:pStyle w:val="ENoteTableText"/>
              <w:tabs>
                <w:tab w:val="left" w:leader="dot" w:pos="2268"/>
              </w:tabs>
            </w:pPr>
            <w:r w:rsidRPr="00576D60">
              <w:t>r. 7.5.15</w:t>
            </w:r>
            <w:r w:rsidRPr="00576D60">
              <w:tab/>
            </w:r>
          </w:p>
        </w:tc>
        <w:tc>
          <w:tcPr>
            <w:tcW w:w="3500" w:type="pct"/>
            <w:shd w:val="clear" w:color="auto" w:fill="auto"/>
          </w:tcPr>
          <w:p w14:paraId="5391A243" w14:textId="77777777" w:rsidR="00E93F58" w:rsidRPr="00576D60" w:rsidRDefault="00E93F58" w:rsidP="002F32E3">
            <w:pPr>
              <w:pStyle w:val="ENoteTableText"/>
            </w:pPr>
            <w:r w:rsidRPr="00576D60">
              <w:t>ad. 2001 No. 319</w:t>
            </w:r>
          </w:p>
        </w:tc>
      </w:tr>
      <w:tr w:rsidR="00E93F58" w:rsidRPr="00576D60" w14:paraId="46731594" w14:textId="77777777" w:rsidTr="002F32E3">
        <w:trPr>
          <w:cantSplit/>
        </w:trPr>
        <w:tc>
          <w:tcPr>
            <w:tcW w:w="1500" w:type="pct"/>
            <w:shd w:val="clear" w:color="auto" w:fill="auto"/>
          </w:tcPr>
          <w:p w14:paraId="5A200602" w14:textId="77777777" w:rsidR="00E93F58" w:rsidRPr="00576D60" w:rsidRDefault="00E93F58" w:rsidP="002F32E3">
            <w:pPr>
              <w:pStyle w:val="ENoteTableText"/>
              <w:tabs>
                <w:tab w:val="left" w:leader="dot" w:pos="2268"/>
              </w:tabs>
            </w:pPr>
            <w:r w:rsidRPr="00576D60">
              <w:t>r. 7.5.16</w:t>
            </w:r>
            <w:r w:rsidRPr="00576D60">
              <w:tab/>
            </w:r>
          </w:p>
        </w:tc>
        <w:tc>
          <w:tcPr>
            <w:tcW w:w="3500" w:type="pct"/>
            <w:shd w:val="clear" w:color="auto" w:fill="auto"/>
          </w:tcPr>
          <w:p w14:paraId="19936414" w14:textId="77777777" w:rsidR="00E93F58" w:rsidRPr="00576D60" w:rsidRDefault="00E93F58" w:rsidP="002F32E3">
            <w:pPr>
              <w:pStyle w:val="ENoteTableText"/>
            </w:pPr>
            <w:r w:rsidRPr="00576D60">
              <w:t>ad. 2001 No. 319</w:t>
            </w:r>
          </w:p>
        </w:tc>
      </w:tr>
      <w:tr w:rsidR="00E93F58" w:rsidRPr="00576D60" w14:paraId="1750D576" w14:textId="77777777" w:rsidTr="002F32E3">
        <w:trPr>
          <w:cantSplit/>
        </w:trPr>
        <w:tc>
          <w:tcPr>
            <w:tcW w:w="1500" w:type="pct"/>
            <w:shd w:val="clear" w:color="auto" w:fill="auto"/>
          </w:tcPr>
          <w:p w14:paraId="480F9F17" w14:textId="77777777" w:rsidR="00E93F58" w:rsidRPr="00576D60" w:rsidRDefault="00E93F58" w:rsidP="002F32E3">
            <w:pPr>
              <w:pStyle w:val="ENoteTableText"/>
            </w:pPr>
          </w:p>
        </w:tc>
        <w:tc>
          <w:tcPr>
            <w:tcW w:w="3500" w:type="pct"/>
            <w:shd w:val="clear" w:color="auto" w:fill="auto"/>
          </w:tcPr>
          <w:p w14:paraId="1A570468" w14:textId="77777777" w:rsidR="00E93F58" w:rsidRPr="00576D60" w:rsidRDefault="00E93F58" w:rsidP="002F32E3">
            <w:pPr>
              <w:pStyle w:val="ENoteTableText"/>
            </w:pPr>
            <w:r w:rsidRPr="00576D60">
              <w:t>am. 2004 No. 26</w:t>
            </w:r>
          </w:p>
        </w:tc>
      </w:tr>
      <w:tr w:rsidR="00E93F58" w:rsidRPr="00576D60" w14:paraId="1D4BAF63" w14:textId="77777777" w:rsidTr="002F32E3">
        <w:trPr>
          <w:cantSplit/>
        </w:trPr>
        <w:tc>
          <w:tcPr>
            <w:tcW w:w="1500" w:type="pct"/>
            <w:shd w:val="clear" w:color="auto" w:fill="auto"/>
          </w:tcPr>
          <w:p w14:paraId="1319D4E1" w14:textId="77777777" w:rsidR="00E93F58" w:rsidRPr="00576D60" w:rsidRDefault="00E93F58" w:rsidP="002F32E3">
            <w:pPr>
              <w:pStyle w:val="ENoteTableText"/>
              <w:tabs>
                <w:tab w:val="left" w:leader="dot" w:pos="2268"/>
              </w:tabs>
            </w:pPr>
            <w:r w:rsidRPr="00576D60">
              <w:t>r. 7.5.17</w:t>
            </w:r>
            <w:r w:rsidRPr="00576D60">
              <w:tab/>
            </w:r>
          </w:p>
        </w:tc>
        <w:tc>
          <w:tcPr>
            <w:tcW w:w="3500" w:type="pct"/>
            <w:shd w:val="clear" w:color="auto" w:fill="auto"/>
          </w:tcPr>
          <w:p w14:paraId="61087A60" w14:textId="77777777" w:rsidR="00E93F58" w:rsidRPr="00576D60" w:rsidRDefault="00E93F58" w:rsidP="002F32E3">
            <w:pPr>
              <w:pStyle w:val="ENoteTableText"/>
            </w:pPr>
            <w:r w:rsidRPr="00576D60">
              <w:t>ad. 2001 No. 319</w:t>
            </w:r>
          </w:p>
        </w:tc>
      </w:tr>
      <w:tr w:rsidR="00E93F58" w:rsidRPr="00576D60" w14:paraId="42F395A8" w14:textId="77777777" w:rsidTr="002F32E3">
        <w:trPr>
          <w:cantSplit/>
        </w:trPr>
        <w:tc>
          <w:tcPr>
            <w:tcW w:w="1500" w:type="pct"/>
            <w:shd w:val="clear" w:color="auto" w:fill="auto"/>
          </w:tcPr>
          <w:p w14:paraId="7B941BC3" w14:textId="77777777" w:rsidR="00E93F58" w:rsidRPr="00576D60" w:rsidRDefault="00E93F58" w:rsidP="00847CAA">
            <w:pPr>
              <w:pStyle w:val="ENoteTableText"/>
              <w:keepNext/>
              <w:tabs>
                <w:tab w:val="left" w:leader="dot" w:pos="2268"/>
              </w:tabs>
              <w:rPr>
                <w:b/>
              </w:rPr>
            </w:pPr>
            <w:r w:rsidRPr="00576D60">
              <w:rPr>
                <w:b/>
              </w:rPr>
              <w:t>Division 4</w:t>
            </w:r>
          </w:p>
        </w:tc>
        <w:tc>
          <w:tcPr>
            <w:tcW w:w="3500" w:type="pct"/>
            <w:shd w:val="clear" w:color="auto" w:fill="auto"/>
          </w:tcPr>
          <w:p w14:paraId="7BFA0DE2" w14:textId="77777777" w:rsidR="00E93F58" w:rsidRPr="00576D60" w:rsidRDefault="00E93F58" w:rsidP="00847CAA">
            <w:pPr>
              <w:pStyle w:val="ENoteTableText"/>
              <w:keepNext/>
            </w:pPr>
          </w:p>
        </w:tc>
      </w:tr>
      <w:tr w:rsidR="00E93F58" w:rsidRPr="00576D60" w14:paraId="7625A58D" w14:textId="77777777" w:rsidTr="002F32E3">
        <w:trPr>
          <w:cantSplit/>
        </w:trPr>
        <w:tc>
          <w:tcPr>
            <w:tcW w:w="1500" w:type="pct"/>
            <w:shd w:val="clear" w:color="auto" w:fill="auto"/>
          </w:tcPr>
          <w:p w14:paraId="15C11FEE" w14:textId="77777777" w:rsidR="00E93F58" w:rsidRPr="00576D60" w:rsidRDefault="00E93F58" w:rsidP="00847CAA">
            <w:pPr>
              <w:pStyle w:val="ENoteTableText"/>
              <w:keepNext/>
              <w:tabs>
                <w:tab w:val="left" w:leader="dot" w:pos="2268"/>
              </w:tabs>
              <w:rPr>
                <w:b/>
              </w:rPr>
            </w:pPr>
            <w:r>
              <w:rPr>
                <w:b/>
              </w:rPr>
              <w:t>Subdivision 4</w:t>
            </w:r>
            <w:r w:rsidRPr="00576D60">
              <w:rPr>
                <w:b/>
              </w:rPr>
              <w:t>.1</w:t>
            </w:r>
          </w:p>
        </w:tc>
        <w:tc>
          <w:tcPr>
            <w:tcW w:w="3500" w:type="pct"/>
            <w:shd w:val="clear" w:color="auto" w:fill="auto"/>
          </w:tcPr>
          <w:p w14:paraId="2CF2B565" w14:textId="77777777" w:rsidR="00E93F58" w:rsidRPr="00576D60" w:rsidRDefault="00E93F58" w:rsidP="00847CAA">
            <w:pPr>
              <w:pStyle w:val="ENoteTableText"/>
              <w:keepNext/>
            </w:pPr>
          </w:p>
        </w:tc>
      </w:tr>
      <w:tr w:rsidR="00E93F58" w:rsidRPr="00576D60" w14:paraId="18B5AE1D" w14:textId="77777777" w:rsidTr="002F32E3">
        <w:trPr>
          <w:cantSplit/>
        </w:trPr>
        <w:tc>
          <w:tcPr>
            <w:tcW w:w="1500" w:type="pct"/>
            <w:shd w:val="clear" w:color="auto" w:fill="auto"/>
          </w:tcPr>
          <w:p w14:paraId="1D4D0577" w14:textId="77777777" w:rsidR="00E93F58" w:rsidRPr="00576D60" w:rsidRDefault="00E93F58" w:rsidP="002F32E3">
            <w:pPr>
              <w:pStyle w:val="ENoteTableText"/>
              <w:tabs>
                <w:tab w:val="left" w:leader="dot" w:pos="2268"/>
              </w:tabs>
            </w:pPr>
            <w:r w:rsidRPr="00576D60">
              <w:t>r. 7.5.18</w:t>
            </w:r>
            <w:r w:rsidRPr="00576D60">
              <w:tab/>
            </w:r>
          </w:p>
        </w:tc>
        <w:tc>
          <w:tcPr>
            <w:tcW w:w="3500" w:type="pct"/>
            <w:shd w:val="clear" w:color="auto" w:fill="auto"/>
          </w:tcPr>
          <w:p w14:paraId="2ED767CB" w14:textId="77777777" w:rsidR="00E93F58" w:rsidRPr="00576D60" w:rsidRDefault="00E93F58" w:rsidP="002F32E3">
            <w:pPr>
              <w:pStyle w:val="ENoteTableText"/>
            </w:pPr>
            <w:r w:rsidRPr="00576D60">
              <w:t>ad. 2001 No. 319</w:t>
            </w:r>
          </w:p>
        </w:tc>
      </w:tr>
      <w:tr w:rsidR="00E93F58" w:rsidRPr="00576D60" w14:paraId="6A7A87D6" w14:textId="77777777" w:rsidTr="002F32E3">
        <w:trPr>
          <w:cantSplit/>
        </w:trPr>
        <w:tc>
          <w:tcPr>
            <w:tcW w:w="1500" w:type="pct"/>
            <w:shd w:val="clear" w:color="auto" w:fill="auto"/>
          </w:tcPr>
          <w:p w14:paraId="0CE5606F" w14:textId="77777777" w:rsidR="00E93F58" w:rsidRPr="00576D60" w:rsidRDefault="00E93F58" w:rsidP="002F32E3">
            <w:pPr>
              <w:pStyle w:val="ENoteTableText"/>
              <w:tabs>
                <w:tab w:val="left" w:leader="dot" w:pos="2268"/>
              </w:tabs>
            </w:pPr>
            <w:r w:rsidRPr="00576D60">
              <w:t>r 7.5.18A</w:t>
            </w:r>
            <w:r w:rsidRPr="00576D60">
              <w:tab/>
            </w:r>
          </w:p>
        </w:tc>
        <w:tc>
          <w:tcPr>
            <w:tcW w:w="3500" w:type="pct"/>
            <w:shd w:val="clear" w:color="auto" w:fill="auto"/>
          </w:tcPr>
          <w:p w14:paraId="56B14A41" w14:textId="77777777" w:rsidR="00E93F58" w:rsidRPr="00576D60" w:rsidRDefault="00E93F58" w:rsidP="002F32E3">
            <w:pPr>
              <w:pStyle w:val="ENoteTableText"/>
            </w:pPr>
            <w:r w:rsidRPr="00576D60">
              <w:t>ad F2019L01474</w:t>
            </w:r>
          </w:p>
        </w:tc>
      </w:tr>
      <w:tr w:rsidR="00E93F58" w:rsidRPr="00576D60" w14:paraId="1D4C61E0" w14:textId="77777777" w:rsidTr="002F32E3">
        <w:trPr>
          <w:cantSplit/>
        </w:trPr>
        <w:tc>
          <w:tcPr>
            <w:tcW w:w="1500" w:type="pct"/>
            <w:shd w:val="clear" w:color="auto" w:fill="auto"/>
          </w:tcPr>
          <w:p w14:paraId="79BA0FFB" w14:textId="77777777" w:rsidR="00E93F58" w:rsidRPr="00576D60" w:rsidRDefault="00E93F58" w:rsidP="002F32E3">
            <w:pPr>
              <w:pStyle w:val="ENoteTableText"/>
              <w:tabs>
                <w:tab w:val="left" w:leader="dot" w:pos="2268"/>
              </w:tabs>
              <w:rPr>
                <w:b/>
              </w:rPr>
            </w:pPr>
            <w:r>
              <w:rPr>
                <w:b/>
              </w:rPr>
              <w:t>Subdivision 4</w:t>
            </w:r>
            <w:r w:rsidRPr="00576D60">
              <w:rPr>
                <w:b/>
              </w:rPr>
              <w:t>.2</w:t>
            </w:r>
          </w:p>
        </w:tc>
        <w:tc>
          <w:tcPr>
            <w:tcW w:w="3500" w:type="pct"/>
            <w:shd w:val="clear" w:color="auto" w:fill="auto"/>
          </w:tcPr>
          <w:p w14:paraId="7203F7F5" w14:textId="77777777" w:rsidR="00E93F58" w:rsidRPr="00576D60" w:rsidRDefault="00E93F58" w:rsidP="002F32E3">
            <w:pPr>
              <w:pStyle w:val="ENoteTableText"/>
              <w:keepNext/>
              <w:keepLines/>
            </w:pPr>
          </w:p>
        </w:tc>
      </w:tr>
      <w:tr w:rsidR="00E93F58" w:rsidRPr="00576D60" w14:paraId="5EDDFC52" w14:textId="77777777" w:rsidTr="002F32E3">
        <w:trPr>
          <w:cantSplit/>
        </w:trPr>
        <w:tc>
          <w:tcPr>
            <w:tcW w:w="1500" w:type="pct"/>
            <w:shd w:val="clear" w:color="auto" w:fill="auto"/>
          </w:tcPr>
          <w:p w14:paraId="16538932" w14:textId="77777777" w:rsidR="00E93F58" w:rsidRPr="00576D60" w:rsidRDefault="00E93F58" w:rsidP="002F32E3">
            <w:pPr>
              <w:pStyle w:val="ENoteTableText"/>
              <w:tabs>
                <w:tab w:val="left" w:leader="dot" w:pos="2268"/>
              </w:tabs>
            </w:pPr>
            <w:r w:rsidRPr="00576D60">
              <w:t>r. 7.5.19</w:t>
            </w:r>
            <w:r w:rsidRPr="00576D60">
              <w:tab/>
            </w:r>
          </w:p>
        </w:tc>
        <w:tc>
          <w:tcPr>
            <w:tcW w:w="3500" w:type="pct"/>
            <w:shd w:val="clear" w:color="auto" w:fill="auto"/>
          </w:tcPr>
          <w:p w14:paraId="1DC30D32" w14:textId="77777777" w:rsidR="00E93F58" w:rsidRPr="00576D60" w:rsidRDefault="00E93F58" w:rsidP="002F32E3">
            <w:pPr>
              <w:pStyle w:val="ENoteTableText"/>
            </w:pPr>
            <w:r w:rsidRPr="00576D60">
              <w:t>ad. 2001 No. 319</w:t>
            </w:r>
          </w:p>
        </w:tc>
      </w:tr>
      <w:tr w:rsidR="00E93F58" w:rsidRPr="00576D60" w14:paraId="2F58E0A8" w14:textId="77777777" w:rsidTr="002F32E3">
        <w:trPr>
          <w:cantSplit/>
        </w:trPr>
        <w:tc>
          <w:tcPr>
            <w:tcW w:w="1500" w:type="pct"/>
            <w:shd w:val="clear" w:color="auto" w:fill="auto"/>
          </w:tcPr>
          <w:p w14:paraId="0525C8BC" w14:textId="77777777" w:rsidR="00E93F58" w:rsidRPr="00576D60" w:rsidRDefault="00E93F58" w:rsidP="002F32E3">
            <w:pPr>
              <w:pStyle w:val="ENoteTableText"/>
            </w:pPr>
          </w:p>
        </w:tc>
        <w:tc>
          <w:tcPr>
            <w:tcW w:w="3500" w:type="pct"/>
            <w:shd w:val="clear" w:color="auto" w:fill="auto"/>
          </w:tcPr>
          <w:p w14:paraId="159279D7" w14:textId="77777777" w:rsidR="00E93F58" w:rsidRPr="00576D60" w:rsidRDefault="00E93F58" w:rsidP="002F32E3">
            <w:pPr>
              <w:pStyle w:val="ENoteTableText"/>
            </w:pPr>
            <w:r w:rsidRPr="00576D60">
              <w:t>am. 2002 No. 282; 2004 No 26 and 398; 2005 No. 38</w:t>
            </w:r>
          </w:p>
        </w:tc>
      </w:tr>
      <w:tr w:rsidR="00E93F58" w:rsidRPr="00576D60" w14:paraId="4C7956DD" w14:textId="77777777" w:rsidTr="002F32E3">
        <w:trPr>
          <w:cantSplit/>
        </w:trPr>
        <w:tc>
          <w:tcPr>
            <w:tcW w:w="1500" w:type="pct"/>
            <w:shd w:val="clear" w:color="auto" w:fill="auto"/>
          </w:tcPr>
          <w:p w14:paraId="7FAF65AB" w14:textId="77777777" w:rsidR="00E93F58" w:rsidRPr="00576D60" w:rsidRDefault="00E93F58" w:rsidP="002F32E3">
            <w:pPr>
              <w:pStyle w:val="ENoteTableText"/>
              <w:tabs>
                <w:tab w:val="left" w:leader="dot" w:pos="2268"/>
              </w:tabs>
              <w:rPr>
                <w:b/>
              </w:rPr>
            </w:pPr>
            <w:r>
              <w:rPr>
                <w:b/>
              </w:rPr>
              <w:t>Subdivision 4</w:t>
            </w:r>
            <w:r w:rsidRPr="00576D60">
              <w:rPr>
                <w:b/>
              </w:rPr>
              <w:t>.3</w:t>
            </w:r>
          </w:p>
        </w:tc>
        <w:tc>
          <w:tcPr>
            <w:tcW w:w="3500" w:type="pct"/>
            <w:shd w:val="clear" w:color="auto" w:fill="auto"/>
          </w:tcPr>
          <w:p w14:paraId="06DC4CC2" w14:textId="77777777" w:rsidR="00E93F58" w:rsidRPr="00576D60" w:rsidRDefault="00E93F58" w:rsidP="002F32E3">
            <w:pPr>
              <w:pStyle w:val="ENoteTableText"/>
            </w:pPr>
          </w:p>
        </w:tc>
      </w:tr>
      <w:tr w:rsidR="00E93F58" w:rsidRPr="00576D60" w14:paraId="6D10675B" w14:textId="77777777" w:rsidTr="002F32E3">
        <w:trPr>
          <w:cantSplit/>
        </w:trPr>
        <w:tc>
          <w:tcPr>
            <w:tcW w:w="1500" w:type="pct"/>
            <w:shd w:val="clear" w:color="auto" w:fill="auto"/>
          </w:tcPr>
          <w:p w14:paraId="66063273" w14:textId="77777777" w:rsidR="00E93F58" w:rsidRPr="00576D60" w:rsidRDefault="00E93F58" w:rsidP="002F32E3">
            <w:pPr>
              <w:pStyle w:val="ENoteTableText"/>
              <w:tabs>
                <w:tab w:val="left" w:leader="dot" w:pos="2268"/>
              </w:tabs>
            </w:pPr>
            <w:r w:rsidRPr="00576D60">
              <w:t>r. 7.5.20</w:t>
            </w:r>
            <w:r w:rsidRPr="00576D60">
              <w:tab/>
            </w:r>
          </w:p>
        </w:tc>
        <w:tc>
          <w:tcPr>
            <w:tcW w:w="3500" w:type="pct"/>
            <w:shd w:val="clear" w:color="auto" w:fill="auto"/>
          </w:tcPr>
          <w:p w14:paraId="16CA61A3" w14:textId="77777777" w:rsidR="00E93F58" w:rsidRPr="00576D60" w:rsidRDefault="00E93F58" w:rsidP="002F32E3">
            <w:pPr>
              <w:pStyle w:val="ENoteTableText"/>
            </w:pPr>
            <w:r w:rsidRPr="00576D60">
              <w:t>ad. 2001 No. 319</w:t>
            </w:r>
          </w:p>
        </w:tc>
      </w:tr>
      <w:tr w:rsidR="00E93F58" w:rsidRPr="00576D60" w14:paraId="6F0BA215" w14:textId="77777777" w:rsidTr="002F32E3">
        <w:trPr>
          <w:cantSplit/>
        </w:trPr>
        <w:tc>
          <w:tcPr>
            <w:tcW w:w="1500" w:type="pct"/>
            <w:shd w:val="clear" w:color="auto" w:fill="auto"/>
          </w:tcPr>
          <w:p w14:paraId="2959F04B" w14:textId="77777777" w:rsidR="00E93F58" w:rsidRPr="00576D60" w:rsidRDefault="00E93F58" w:rsidP="002F32E3">
            <w:pPr>
              <w:pStyle w:val="ENoteTableText"/>
            </w:pPr>
          </w:p>
        </w:tc>
        <w:tc>
          <w:tcPr>
            <w:tcW w:w="3500" w:type="pct"/>
            <w:shd w:val="clear" w:color="auto" w:fill="auto"/>
          </w:tcPr>
          <w:p w14:paraId="7A6425D0" w14:textId="77777777" w:rsidR="00E93F58" w:rsidRPr="00576D60" w:rsidRDefault="00E93F58" w:rsidP="002F32E3">
            <w:pPr>
              <w:pStyle w:val="ENoteTableText"/>
            </w:pPr>
            <w:r w:rsidRPr="00576D60">
              <w:t>rep. 2005 No. 38</w:t>
            </w:r>
          </w:p>
        </w:tc>
      </w:tr>
      <w:tr w:rsidR="00E93F58" w:rsidRPr="00576D60" w14:paraId="40265D7A" w14:textId="77777777" w:rsidTr="002F32E3">
        <w:trPr>
          <w:cantSplit/>
        </w:trPr>
        <w:tc>
          <w:tcPr>
            <w:tcW w:w="1500" w:type="pct"/>
            <w:shd w:val="clear" w:color="auto" w:fill="auto"/>
          </w:tcPr>
          <w:p w14:paraId="2C55F3D8" w14:textId="77777777" w:rsidR="00E93F58" w:rsidRPr="00576D60" w:rsidRDefault="00E93F58" w:rsidP="002F32E3">
            <w:pPr>
              <w:pStyle w:val="ENoteTableText"/>
              <w:tabs>
                <w:tab w:val="left" w:leader="dot" w:pos="2268"/>
              </w:tabs>
            </w:pPr>
            <w:r w:rsidRPr="00576D60">
              <w:t>r. 7.5.21</w:t>
            </w:r>
            <w:r w:rsidRPr="00576D60">
              <w:tab/>
            </w:r>
          </w:p>
        </w:tc>
        <w:tc>
          <w:tcPr>
            <w:tcW w:w="3500" w:type="pct"/>
            <w:shd w:val="clear" w:color="auto" w:fill="auto"/>
          </w:tcPr>
          <w:p w14:paraId="787874D1" w14:textId="77777777" w:rsidR="00E93F58" w:rsidRPr="00576D60" w:rsidRDefault="00E93F58" w:rsidP="002F32E3">
            <w:pPr>
              <w:pStyle w:val="ENoteTableText"/>
            </w:pPr>
            <w:r w:rsidRPr="00576D60">
              <w:t>ad. 2001 No. 319</w:t>
            </w:r>
          </w:p>
        </w:tc>
      </w:tr>
      <w:tr w:rsidR="00E93F58" w:rsidRPr="00576D60" w14:paraId="2BE41351" w14:textId="77777777" w:rsidTr="002F32E3">
        <w:trPr>
          <w:cantSplit/>
        </w:trPr>
        <w:tc>
          <w:tcPr>
            <w:tcW w:w="1500" w:type="pct"/>
            <w:shd w:val="clear" w:color="auto" w:fill="auto"/>
          </w:tcPr>
          <w:p w14:paraId="1ADCEC5C" w14:textId="77777777" w:rsidR="00E93F58" w:rsidRPr="00576D60" w:rsidRDefault="00E93F58" w:rsidP="002F32E3">
            <w:pPr>
              <w:pStyle w:val="ENoteTableText"/>
            </w:pPr>
          </w:p>
        </w:tc>
        <w:tc>
          <w:tcPr>
            <w:tcW w:w="3500" w:type="pct"/>
            <w:shd w:val="clear" w:color="auto" w:fill="auto"/>
          </w:tcPr>
          <w:p w14:paraId="28645380" w14:textId="77777777" w:rsidR="00E93F58" w:rsidRPr="00576D60" w:rsidRDefault="00E93F58" w:rsidP="002F32E3">
            <w:pPr>
              <w:pStyle w:val="ENoteTableText"/>
            </w:pPr>
            <w:r w:rsidRPr="00576D60">
              <w:t>rep. 2005 No. 38</w:t>
            </w:r>
          </w:p>
        </w:tc>
      </w:tr>
      <w:tr w:rsidR="00E93F58" w:rsidRPr="00576D60" w14:paraId="3DD5F477" w14:textId="77777777" w:rsidTr="002F32E3">
        <w:trPr>
          <w:cantSplit/>
        </w:trPr>
        <w:tc>
          <w:tcPr>
            <w:tcW w:w="1500" w:type="pct"/>
            <w:shd w:val="clear" w:color="auto" w:fill="auto"/>
          </w:tcPr>
          <w:p w14:paraId="67C5DEA5" w14:textId="77777777" w:rsidR="00E93F58" w:rsidRPr="00576D60" w:rsidRDefault="00E93F58" w:rsidP="002F32E3">
            <w:pPr>
              <w:pStyle w:val="ENoteTableText"/>
              <w:tabs>
                <w:tab w:val="left" w:leader="dot" w:pos="2268"/>
              </w:tabs>
            </w:pPr>
            <w:r w:rsidRPr="00576D60">
              <w:t>r. 7.5.22</w:t>
            </w:r>
            <w:r w:rsidRPr="00576D60">
              <w:tab/>
            </w:r>
          </w:p>
        </w:tc>
        <w:tc>
          <w:tcPr>
            <w:tcW w:w="3500" w:type="pct"/>
            <w:shd w:val="clear" w:color="auto" w:fill="auto"/>
          </w:tcPr>
          <w:p w14:paraId="2CFB4013" w14:textId="77777777" w:rsidR="00E93F58" w:rsidRPr="00576D60" w:rsidRDefault="00E93F58" w:rsidP="002F32E3">
            <w:pPr>
              <w:pStyle w:val="ENoteTableText"/>
            </w:pPr>
            <w:r w:rsidRPr="00576D60">
              <w:t>ad. 2001 No. 319</w:t>
            </w:r>
          </w:p>
        </w:tc>
      </w:tr>
      <w:tr w:rsidR="00E93F58" w:rsidRPr="00576D60" w14:paraId="77749DF9" w14:textId="77777777" w:rsidTr="002F32E3">
        <w:trPr>
          <w:cantSplit/>
        </w:trPr>
        <w:tc>
          <w:tcPr>
            <w:tcW w:w="1500" w:type="pct"/>
            <w:shd w:val="clear" w:color="auto" w:fill="auto"/>
          </w:tcPr>
          <w:p w14:paraId="541051B8" w14:textId="77777777" w:rsidR="00E93F58" w:rsidRPr="00576D60" w:rsidRDefault="00E93F58" w:rsidP="002F32E3">
            <w:pPr>
              <w:pStyle w:val="ENoteTableText"/>
            </w:pPr>
          </w:p>
        </w:tc>
        <w:tc>
          <w:tcPr>
            <w:tcW w:w="3500" w:type="pct"/>
            <w:shd w:val="clear" w:color="auto" w:fill="auto"/>
          </w:tcPr>
          <w:p w14:paraId="111BED8B" w14:textId="77777777" w:rsidR="00E93F58" w:rsidRPr="00576D60" w:rsidRDefault="00E93F58" w:rsidP="002F32E3">
            <w:pPr>
              <w:pStyle w:val="ENoteTableText"/>
            </w:pPr>
            <w:r w:rsidRPr="00576D60">
              <w:t>rep. 2005 No. 38</w:t>
            </w:r>
          </w:p>
        </w:tc>
      </w:tr>
      <w:tr w:rsidR="00E93F58" w:rsidRPr="00576D60" w14:paraId="1E8B2019" w14:textId="77777777" w:rsidTr="002F32E3">
        <w:trPr>
          <w:cantSplit/>
        </w:trPr>
        <w:tc>
          <w:tcPr>
            <w:tcW w:w="1500" w:type="pct"/>
            <w:shd w:val="clear" w:color="auto" w:fill="auto"/>
          </w:tcPr>
          <w:p w14:paraId="4FDD474D" w14:textId="77777777" w:rsidR="00E93F58" w:rsidRPr="00576D60" w:rsidRDefault="00E93F58" w:rsidP="002F32E3">
            <w:pPr>
              <w:pStyle w:val="ENoteTableText"/>
              <w:tabs>
                <w:tab w:val="left" w:leader="dot" w:pos="2268"/>
              </w:tabs>
            </w:pPr>
            <w:r w:rsidRPr="00576D60">
              <w:t>r. 7.5.23</w:t>
            </w:r>
            <w:r w:rsidRPr="00576D60">
              <w:tab/>
            </w:r>
          </w:p>
        </w:tc>
        <w:tc>
          <w:tcPr>
            <w:tcW w:w="3500" w:type="pct"/>
            <w:shd w:val="clear" w:color="auto" w:fill="auto"/>
          </w:tcPr>
          <w:p w14:paraId="770539E6" w14:textId="77777777" w:rsidR="00E93F58" w:rsidRPr="00576D60" w:rsidRDefault="00E93F58" w:rsidP="002F32E3">
            <w:pPr>
              <w:pStyle w:val="ENoteTableText"/>
            </w:pPr>
            <w:r w:rsidRPr="00576D60">
              <w:t>ad. 2001 No. 319</w:t>
            </w:r>
          </w:p>
        </w:tc>
      </w:tr>
      <w:tr w:rsidR="00E93F58" w:rsidRPr="00576D60" w14:paraId="54EE8CE7" w14:textId="77777777" w:rsidTr="002F32E3">
        <w:trPr>
          <w:cantSplit/>
        </w:trPr>
        <w:tc>
          <w:tcPr>
            <w:tcW w:w="1500" w:type="pct"/>
            <w:shd w:val="clear" w:color="auto" w:fill="auto"/>
          </w:tcPr>
          <w:p w14:paraId="5A5B1627" w14:textId="77777777" w:rsidR="00E93F58" w:rsidRPr="00576D60" w:rsidRDefault="00E93F58" w:rsidP="002F32E3">
            <w:pPr>
              <w:pStyle w:val="ENoteTableText"/>
            </w:pPr>
          </w:p>
        </w:tc>
        <w:tc>
          <w:tcPr>
            <w:tcW w:w="3500" w:type="pct"/>
            <w:shd w:val="clear" w:color="auto" w:fill="auto"/>
          </w:tcPr>
          <w:p w14:paraId="736DC369" w14:textId="77777777" w:rsidR="00E93F58" w:rsidRPr="00576D60" w:rsidRDefault="00E93F58" w:rsidP="002F32E3">
            <w:pPr>
              <w:pStyle w:val="ENoteTableText"/>
            </w:pPr>
            <w:r w:rsidRPr="00576D60">
              <w:t>rep. 2005 No. 38</w:t>
            </w:r>
          </w:p>
        </w:tc>
      </w:tr>
      <w:tr w:rsidR="00E93F58" w:rsidRPr="00576D60" w14:paraId="52F21CCA" w14:textId="77777777" w:rsidTr="002F32E3">
        <w:trPr>
          <w:cantSplit/>
        </w:trPr>
        <w:tc>
          <w:tcPr>
            <w:tcW w:w="1500" w:type="pct"/>
            <w:shd w:val="clear" w:color="auto" w:fill="auto"/>
          </w:tcPr>
          <w:p w14:paraId="5EA05A33" w14:textId="77777777" w:rsidR="00E93F58" w:rsidRPr="00576D60" w:rsidRDefault="00E93F58" w:rsidP="002F32E3">
            <w:pPr>
              <w:pStyle w:val="ENoteTableText"/>
              <w:tabs>
                <w:tab w:val="left" w:leader="dot" w:pos="2268"/>
              </w:tabs>
            </w:pPr>
            <w:r w:rsidRPr="00576D60">
              <w:t>r. 7.5.24</w:t>
            </w:r>
            <w:r w:rsidRPr="00576D60">
              <w:tab/>
            </w:r>
          </w:p>
        </w:tc>
        <w:tc>
          <w:tcPr>
            <w:tcW w:w="3500" w:type="pct"/>
            <w:shd w:val="clear" w:color="auto" w:fill="auto"/>
          </w:tcPr>
          <w:p w14:paraId="48B14007" w14:textId="77777777" w:rsidR="00E93F58" w:rsidRPr="00576D60" w:rsidRDefault="00E93F58" w:rsidP="002F32E3">
            <w:pPr>
              <w:pStyle w:val="ENoteTableText"/>
            </w:pPr>
            <w:r w:rsidRPr="00576D60">
              <w:t>ad. 2001 No. 319</w:t>
            </w:r>
          </w:p>
        </w:tc>
      </w:tr>
      <w:tr w:rsidR="00E93F58" w:rsidRPr="00576D60" w14:paraId="37827190" w14:textId="77777777" w:rsidTr="002F32E3">
        <w:trPr>
          <w:cantSplit/>
        </w:trPr>
        <w:tc>
          <w:tcPr>
            <w:tcW w:w="1500" w:type="pct"/>
            <w:shd w:val="clear" w:color="auto" w:fill="auto"/>
          </w:tcPr>
          <w:p w14:paraId="2D475FD4" w14:textId="77777777" w:rsidR="00E93F58" w:rsidRPr="00576D60" w:rsidRDefault="00E93F58" w:rsidP="002F32E3">
            <w:pPr>
              <w:pStyle w:val="ENoteTableText"/>
            </w:pPr>
          </w:p>
        </w:tc>
        <w:tc>
          <w:tcPr>
            <w:tcW w:w="3500" w:type="pct"/>
            <w:shd w:val="clear" w:color="auto" w:fill="auto"/>
          </w:tcPr>
          <w:p w14:paraId="263417D1" w14:textId="77777777" w:rsidR="00E93F58" w:rsidRPr="00576D60" w:rsidRDefault="00E93F58" w:rsidP="002F32E3">
            <w:pPr>
              <w:pStyle w:val="ENoteTableText"/>
            </w:pPr>
            <w:r w:rsidRPr="00576D60">
              <w:t>am. 2002 No. 16; 2004 No 26 and 398</w:t>
            </w:r>
          </w:p>
        </w:tc>
      </w:tr>
      <w:tr w:rsidR="00E93F58" w:rsidRPr="00576D60" w14:paraId="0332540D" w14:textId="77777777" w:rsidTr="002F32E3">
        <w:trPr>
          <w:cantSplit/>
        </w:trPr>
        <w:tc>
          <w:tcPr>
            <w:tcW w:w="1500" w:type="pct"/>
            <w:shd w:val="clear" w:color="auto" w:fill="auto"/>
          </w:tcPr>
          <w:p w14:paraId="224B637A" w14:textId="77777777" w:rsidR="00E93F58" w:rsidRPr="00576D60" w:rsidRDefault="00E93F58" w:rsidP="002F32E3">
            <w:pPr>
              <w:pStyle w:val="ENoteTableText"/>
              <w:tabs>
                <w:tab w:val="left" w:leader="dot" w:pos="2268"/>
              </w:tabs>
            </w:pPr>
            <w:r w:rsidRPr="00576D60">
              <w:t>r. 7.5.25</w:t>
            </w:r>
            <w:r w:rsidRPr="00576D60">
              <w:tab/>
            </w:r>
          </w:p>
        </w:tc>
        <w:tc>
          <w:tcPr>
            <w:tcW w:w="3500" w:type="pct"/>
            <w:shd w:val="clear" w:color="auto" w:fill="auto"/>
          </w:tcPr>
          <w:p w14:paraId="413401B5" w14:textId="77777777" w:rsidR="00E93F58" w:rsidRPr="00576D60" w:rsidRDefault="00E93F58" w:rsidP="002F32E3">
            <w:pPr>
              <w:pStyle w:val="ENoteTableText"/>
            </w:pPr>
            <w:r w:rsidRPr="00576D60">
              <w:t>ad. 2001 No. 319</w:t>
            </w:r>
          </w:p>
        </w:tc>
      </w:tr>
      <w:tr w:rsidR="00E93F58" w:rsidRPr="00576D60" w14:paraId="48F51CAD" w14:textId="77777777" w:rsidTr="002F32E3">
        <w:trPr>
          <w:cantSplit/>
        </w:trPr>
        <w:tc>
          <w:tcPr>
            <w:tcW w:w="1500" w:type="pct"/>
            <w:shd w:val="clear" w:color="auto" w:fill="auto"/>
          </w:tcPr>
          <w:p w14:paraId="3CCF1B4A" w14:textId="77777777" w:rsidR="00E93F58" w:rsidRPr="00576D60" w:rsidRDefault="00E93F58" w:rsidP="002F32E3">
            <w:pPr>
              <w:pStyle w:val="ENoteTableText"/>
            </w:pPr>
          </w:p>
        </w:tc>
        <w:tc>
          <w:tcPr>
            <w:tcW w:w="3500" w:type="pct"/>
            <w:shd w:val="clear" w:color="auto" w:fill="auto"/>
          </w:tcPr>
          <w:p w14:paraId="7056B1EF" w14:textId="77777777" w:rsidR="00E93F58" w:rsidRPr="00576D60" w:rsidRDefault="00E93F58" w:rsidP="002F32E3">
            <w:pPr>
              <w:pStyle w:val="ENoteTableText"/>
            </w:pPr>
            <w:r w:rsidRPr="00576D60">
              <w:t>am. 2002 No. 16; 2004 No 26 and 398</w:t>
            </w:r>
          </w:p>
        </w:tc>
      </w:tr>
      <w:tr w:rsidR="00E93F58" w:rsidRPr="00576D60" w14:paraId="091A0FFB" w14:textId="77777777" w:rsidTr="002F32E3">
        <w:trPr>
          <w:cantSplit/>
        </w:trPr>
        <w:tc>
          <w:tcPr>
            <w:tcW w:w="1500" w:type="pct"/>
            <w:shd w:val="clear" w:color="auto" w:fill="auto"/>
          </w:tcPr>
          <w:p w14:paraId="7E5A069D" w14:textId="77777777" w:rsidR="00E93F58" w:rsidRPr="00576D60" w:rsidRDefault="00E93F58" w:rsidP="002F32E3">
            <w:pPr>
              <w:pStyle w:val="ENoteTableText"/>
              <w:tabs>
                <w:tab w:val="left" w:leader="dot" w:pos="2268"/>
              </w:tabs>
            </w:pPr>
            <w:r w:rsidRPr="00576D60">
              <w:t>r. 7.5.26</w:t>
            </w:r>
            <w:r w:rsidRPr="00576D60">
              <w:tab/>
            </w:r>
          </w:p>
        </w:tc>
        <w:tc>
          <w:tcPr>
            <w:tcW w:w="3500" w:type="pct"/>
            <w:shd w:val="clear" w:color="auto" w:fill="auto"/>
          </w:tcPr>
          <w:p w14:paraId="5EBCB935" w14:textId="77777777" w:rsidR="00E93F58" w:rsidRPr="00576D60" w:rsidRDefault="00E93F58" w:rsidP="002F32E3">
            <w:pPr>
              <w:pStyle w:val="ENoteTableText"/>
            </w:pPr>
            <w:r w:rsidRPr="00576D60">
              <w:t>ad. 2001 No. 319</w:t>
            </w:r>
          </w:p>
        </w:tc>
      </w:tr>
      <w:tr w:rsidR="00E93F58" w:rsidRPr="00576D60" w14:paraId="42BC670E" w14:textId="77777777" w:rsidTr="002F32E3">
        <w:trPr>
          <w:cantSplit/>
        </w:trPr>
        <w:tc>
          <w:tcPr>
            <w:tcW w:w="1500" w:type="pct"/>
            <w:shd w:val="clear" w:color="auto" w:fill="auto"/>
          </w:tcPr>
          <w:p w14:paraId="47E3CEF9" w14:textId="77777777" w:rsidR="00E93F58" w:rsidRPr="00576D60" w:rsidRDefault="00E93F58" w:rsidP="002F32E3">
            <w:pPr>
              <w:pStyle w:val="ENoteTableText"/>
            </w:pPr>
          </w:p>
        </w:tc>
        <w:tc>
          <w:tcPr>
            <w:tcW w:w="3500" w:type="pct"/>
            <w:shd w:val="clear" w:color="auto" w:fill="auto"/>
          </w:tcPr>
          <w:p w14:paraId="0988088B" w14:textId="77777777" w:rsidR="00E93F58" w:rsidRPr="00576D60" w:rsidRDefault="00E93F58" w:rsidP="002F32E3">
            <w:pPr>
              <w:pStyle w:val="ENoteTableText"/>
            </w:pPr>
            <w:r w:rsidRPr="00576D60">
              <w:t>am. 2002 No. 16; 2004 No 26 and 398</w:t>
            </w:r>
          </w:p>
        </w:tc>
      </w:tr>
      <w:tr w:rsidR="00E93F58" w:rsidRPr="00576D60" w14:paraId="4917AB56" w14:textId="77777777" w:rsidTr="002F32E3">
        <w:trPr>
          <w:cantSplit/>
        </w:trPr>
        <w:tc>
          <w:tcPr>
            <w:tcW w:w="1500" w:type="pct"/>
            <w:shd w:val="clear" w:color="auto" w:fill="auto"/>
          </w:tcPr>
          <w:p w14:paraId="50CA6485" w14:textId="77777777" w:rsidR="00E93F58" w:rsidRPr="00576D60" w:rsidRDefault="00E93F58" w:rsidP="002F32E3">
            <w:pPr>
              <w:pStyle w:val="ENoteTableText"/>
              <w:tabs>
                <w:tab w:val="left" w:leader="dot" w:pos="2268"/>
              </w:tabs>
            </w:pPr>
            <w:r w:rsidRPr="00576D60">
              <w:t>r. 7.5.27</w:t>
            </w:r>
            <w:r w:rsidRPr="00576D60">
              <w:tab/>
            </w:r>
          </w:p>
        </w:tc>
        <w:tc>
          <w:tcPr>
            <w:tcW w:w="3500" w:type="pct"/>
            <w:shd w:val="clear" w:color="auto" w:fill="auto"/>
          </w:tcPr>
          <w:p w14:paraId="7F7F1363" w14:textId="77777777" w:rsidR="00E93F58" w:rsidRPr="00576D60" w:rsidRDefault="00E93F58" w:rsidP="002F32E3">
            <w:pPr>
              <w:pStyle w:val="ENoteTableText"/>
            </w:pPr>
            <w:r w:rsidRPr="00576D60">
              <w:t>ad. 2001 No. 319</w:t>
            </w:r>
          </w:p>
        </w:tc>
      </w:tr>
      <w:tr w:rsidR="00E93F58" w:rsidRPr="00576D60" w14:paraId="1B325F13" w14:textId="77777777" w:rsidTr="002F32E3">
        <w:trPr>
          <w:cantSplit/>
        </w:trPr>
        <w:tc>
          <w:tcPr>
            <w:tcW w:w="1500" w:type="pct"/>
            <w:shd w:val="clear" w:color="auto" w:fill="auto"/>
          </w:tcPr>
          <w:p w14:paraId="2C14CB26" w14:textId="77777777" w:rsidR="00E93F58" w:rsidRPr="00576D60" w:rsidRDefault="00E93F58" w:rsidP="002F32E3">
            <w:pPr>
              <w:pStyle w:val="ENoteTableText"/>
            </w:pPr>
          </w:p>
        </w:tc>
        <w:tc>
          <w:tcPr>
            <w:tcW w:w="3500" w:type="pct"/>
            <w:shd w:val="clear" w:color="auto" w:fill="auto"/>
          </w:tcPr>
          <w:p w14:paraId="34C24088" w14:textId="77777777" w:rsidR="00E93F58" w:rsidRPr="00576D60" w:rsidRDefault="00E93F58" w:rsidP="002F32E3">
            <w:pPr>
              <w:pStyle w:val="ENoteTableText"/>
            </w:pPr>
            <w:r w:rsidRPr="00576D60">
              <w:t>am. 2002 No. 16; 2004 No 26 and 398</w:t>
            </w:r>
          </w:p>
        </w:tc>
      </w:tr>
      <w:tr w:rsidR="00E93F58" w:rsidRPr="00576D60" w14:paraId="7F4A0FA9" w14:textId="77777777" w:rsidTr="002F32E3">
        <w:trPr>
          <w:cantSplit/>
        </w:trPr>
        <w:tc>
          <w:tcPr>
            <w:tcW w:w="1500" w:type="pct"/>
            <w:shd w:val="clear" w:color="auto" w:fill="auto"/>
          </w:tcPr>
          <w:p w14:paraId="7676222F" w14:textId="77777777" w:rsidR="00E93F58" w:rsidRPr="00576D60" w:rsidRDefault="00E93F58" w:rsidP="002F32E3">
            <w:pPr>
              <w:pStyle w:val="ENoteTableText"/>
              <w:tabs>
                <w:tab w:val="left" w:leader="dot" w:pos="2268"/>
              </w:tabs>
            </w:pPr>
            <w:r w:rsidRPr="00576D60">
              <w:t>r. 7.5.28</w:t>
            </w:r>
            <w:r w:rsidRPr="00576D60">
              <w:tab/>
            </w:r>
          </w:p>
        </w:tc>
        <w:tc>
          <w:tcPr>
            <w:tcW w:w="3500" w:type="pct"/>
            <w:shd w:val="clear" w:color="auto" w:fill="auto"/>
          </w:tcPr>
          <w:p w14:paraId="2D0A4D73" w14:textId="77777777" w:rsidR="00E93F58" w:rsidRPr="00576D60" w:rsidRDefault="00E93F58" w:rsidP="002F32E3">
            <w:pPr>
              <w:pStyle w:val="ENoteTableText"/>
            </w:pPr>
            <w:r w:rsidRPr="00576D60">
              <w:t>ad. 2001 No. 319</w:t>
            </w:r>
          </w:p>
        </w:tc>
      </w:tr>
      <w:tr w:rsidR="00E93F58" w:rsidRPr="00576D60" w14:paraId="50715786" w14:textId="77777777" w:rsidTr="002F32E3">
        <w:trPr>
          <w:cantSplit/>
        </w:trPr>
        <w:tc>
          <w:tcPr>
            <w:tcW w:w="1500" w:type="pct"/>
            <w:shd w:val="clear" w:color="auto" w:fill="auto"/>
          </w:tcPr>
          <w:p w14:paraId="5747D342" w14:textId="77777777" w:rsidR="00E93F58" w:rsidRPr="00576D60" w:rsidRDefault="00E93F58" w:rsidP="002F32E3">
            <w:pPr>
              <w:pStyle w:val="ENoteTableText"/>
            </w:pPr>
          </w:p>
        </w:tc>
        <w:tc>
          <w:tcPr>
            <w:tcW w:w="3500" w:type="pct"/>
            <w:shd w:val="clear" w:color="auto" w:fill="auto"/>
          </w:tcPr>
          <w:p w14:paraId="79807765" w14:textId="77777777" w:rsidR="00E93F58" w:rsidRPr="00576D60" w:rsidRDefault="00E93F58" w:rsidP="002F32E3">
            <w:pPr>
              <w:pStyle w:val="ENoteTableText"/>
            </w:pPr>
            <w:r w:rsidRPr="00576D60">
              <w:t>am. 2005 No. 38</w:t>
            </w:r>
          </w:p>
        </w:tc>
      </w:tr>
      <w:tr w:rsidR="00E93F58" w:rsidRPr="00576D60" w14:paraId="5DB42B9E" w14:textId="77777777" w:rsidTr="002F32E3">
        <w:trPr>
          <w:cantSplit/>
        </w:trPr>
        <w:tc>
          <w:tcPr>
            <w:tcW w:w="1500" w:type="pct"/>
            <w:shd w:val="clear" w:color="auto" w:fill="auto"/>
          </w:tcPr>
          <w:p w14:paraId="27379702" w14:textId="77777777" w:rsidR="00E93F58" w:rsidRPr="00576D60" w:rsidRDefault="00E93F58" w:rsidP="002F32E3">
            <w:pPr>
              <w:pStyle w:val="ENoteTableText"/>
              <w:tabs>
                <w:tab w:val="left" w:leader="dot" w:pos="2268"/>
              </w:tabs>
            </w:pPr>
            <w:r w:rsidRPr="00576D60">
              <w:t>r. 7.5.29</w:t>
            </w:r>
            <w:r w:rsidRPr="00576D60">
              <w:tab/>
            </w:r>
          </w:p>
        </w:tc>
        <w:tc>
          <w:tcPr>
            <w:tcW w:w="3500" w:type="pct"/>
            <w:shd w:val="clear" w:color="auto" w:fill="auto"/>
          </w:tcPr>
          <w:p w14:paraId="1AA8EDB6" w14:textId="77777777" w:rsidR="00E93F58" w:rsidRPr="00576D60" w:rsidRDefault="00E93F58" w:rsidP="002F32E3">
            <w:pPr>
              <w:pStyle w:val="ENoteTableText"/>
            </w:pPr>
            <w:r w:rsidRPr="00576D60">
              <w:t>ad. 2001 No. 319</w:t>
            </w:r>
          </w:p>
        </w:tc>
      </w:tr>
      <w:tr w:rsidR="00E93F58" w:rsidRPr="00576D60" w14:paraId="1A10FC4C" w14:textId="77777777" w:rsidTr="002F32E3">
        <w:trPr>
          <w:cantSplit/>
        </w:trPr>
        <w:tc>
          <w:tcPr>
            <w:tcW w:w="1500" w:type="pct"/>
            <w:shd w:val="clear" w:color="auto" w:fill="auto"/>
          </w:tcPr>
          <w:p w14:paraId="63FA37B2" w14:textId="77777777" w:rsidR="00E93F58" w:rsidRPr="00576D60" w:rsidRDefault="00E93F58" w:rsidP="002F32E3">
            <w:pPr>
              <w:pStyle w:val="ENoteTableText"/>
            </w:pPr>
          </w:p>
        </w:tc>
        <w:tc>
          <w:tcPr>
            <w:tcW w:w="3500" w:type="pct"/>
            <w:shd w:val="clear" w:color="auto" w:fill="auto"/>
          </w:tcPr>
          <w:p w14:paraId="113785B4" w14:textId="77777777" w:rsidR="00E93F58" w:rsidRPr="00576D60" w:rsidRDefault="00E93F58" w:rsidP="002F32E3">
            <w:pPr>
              <w:pStyle w:val="ENoteTableText"/>
            </w:pPr>
            <w:r w:rsidRPr="00576D60">
              <w:t>am. 2005 No. 38</w:t>
            </w:r>
          </w:p>
        </w:tc>
      </w:tr>
      <w:tr w:rsidR="00E93F58" w:rsidRPr="00576D60" w14:paraId="7F8F0CAD" w14:textId="77777777" w:rsidTr="002F32E3">
        <w:trPr>
          <w:cantSplit/>
        </w:trPr>
        <w:tc>
          <w:tcPr>
            <w:tcW w:w="1500" w:type="pct"/>
            <w:shd w:val="clear" w:color="auto" w:fill="auto"/>
          </w:tcPr>
          <w:p w14:paraId="18ABA20A" w14:textId="77777777" w:rsidR="00E93F58" w:rsidRPr="00576D60" w:rsidRDefault="00E93F58" w:rsidP="002F32E3">
            <w:pPr>
              <w:pStyle w:val="ENoteTableText"/>
              <w:tabs>
                <w:tab w:val="left" w:leader="dot" w:pos="2268"/>
              </w:tabs>
            </w:pPr>
            <w:r w:rsidRPr="00576D60">
              <w:t>r 7.5.30</w:t>
            </w:r>
            <w:r w:rsidRPr="00576D60">
              <w:tab/>
            </w:r>
          </w:p>
        </w:tc>
        <w:tc>
          <w:tcPr>
            <w:tcW w:w="3500" w:type="pct"/>
            <w:shd w:val="clear" w:color="auto" w:fill="auto"/>
          </w:tcPr>
          <w:p w14:paraId="0B74167A" w14:textId="77777777" w:rsidR="00E93F58" w:rsidRPr="00576D60" w:rsidRDefault="00E93F58" w:rsidP="002F32E3">
            <w:pPr>
              <w:pStyle w:val="ENoteTableText"/>
            </w:pPr>
            <w:r w:rsidRPr="00576D60">
              <w:t>ad</w:t>
            </w:r>
            <w:r>
              <w:t xml:space="preserve"> No 319, 2001</w:t>
            </w:r>
          </w:p>
        </w:tc>
      </w:tr>
      <w:tr w:rsidR="00E93F58" w:rsidRPr="00576D60" w14:paraId="39682F6C" w14:textId="77777777" w:rsidTr="002F32E3">
        <w:trPr>
          <w:cantSplit/>
        </w:trPr>
        <w:tc>
          <w:tcPr>
            <w:tcW w:w="1500" w:type="pct"/>
            <w:shd w:val="clear" w:color="auto" w:fill="auto"/>
          </w:tcPr>
          <w:p w14:paraId="2DE63831" w14:textId="77777777" w:rsidR="00E93F58" w:rsidRPr="00576D60" w:rsidRDefault="00E93F58" w:rsidP="002F32E3">
            <w:pPr>
              <w:pStyle w:val="ENoteTableText"/>
            </w:pPr>
          </w:p>
        </w:tc>
        <w:tc>
          <w:tcPr>
            <w:tcW w:w="3500" w:type="pct"/>
            <w:shd w:val="clear" w:color="auto" w:fill="auto"/>
          </w:tcPr>
          <w:p w14:paraId="740686A4" w14:textId="77777777" w:rsidR="00E93F58" w:rsidRPr="00576D60" w:rsidRDefault="00E93F58" w:rsidP="002F32E3">
            <w:pPr>
              <w:pStyle w:val="ENoteTableText"/>
            </w:pPr>
            <w:r w:rsidRPr="00576D60">
              <w:t>am</w:t>
            </w:r>
            <w:r>
              <w:t xml:space="preserve"> No 16, 2002; No 38, 2005; </w:t>
            </w:r>
            <w:r w:rsidRPr="00C42170">
              <w:rPr>
                <w:u w:val="single"/>
              </w:rPr>
              <w:t>F2023L01423</w:t>
            </w:r>
          </w:p>
        </w:tc>
      </w:tr>
      <w:tr w:rsidR="00E93F58" w:rsidRPr="00576D60" w14:paraId="34F6D6C3" w14:textId="77777777" w:rsidTr="002F32E3">
        <w:trPr>
          <w:cantSplit/>
        </w:trPr>
        <w:tc>
          <w:tcPr>
            <w:tcW w:w="1500" w:type="pct"/>
            <w:shd w:val="clear" w:color="auto" w:fill="auto"/>
          </w:tcPr>
          <w:p w14:paraId="6CF02729" w14:textId="77777777" w:rsidR="00E93F58" w:rsidRPr="00576D60" w:rsidRDefault="00E93F58" w:rsidP="002F32E3">
            <w:pPr>
              <w:pStyle w:val="ENoteTableText"/>
              <w:tabs>
                <w:tab w:val="left" w:leader="dot" w:pos="2268"/>
              </w:tabs>
            </w:pPr>
            <w:r w:rsidRPr="00576D60">
              <w:t>r. 7.5.31</w:t>
            </w:r>
            <w:r w:rsidRPr="00576D60">
              <w:tab/>
            </w:r>
          </w:p>
        </w:tc>
        <w:tc>
          <w:tcPr>
            <w:tcW w:w="3500" w:type="pct"/>
            <w:shd w:val="clear" w:color="auto" w:fill="auto"/>
          </w:tcPr>
          <w:p w14:paraId="541B436F" w14:textId="77777777" w:rsidR="00E93F58" w:rsidRPr="00576D60" w:rsidRDefault="00E93F58" w:rsidP="002F32E3">
            <w:pPr>
              <w:pStyle w:val="ENoteTableText"/>
            </w:pPr>
            <w:r w:rsidRPr="00576D60">
              <w:t>ad. 2001 No. 319</w:t>
            </w:r>
          </w:p>
        </w:tc>
      </w:tr>
      <w:tr w:rsidR="00E93F58" w:rsidRPr="00576D60" w14:paraId="55E5353A" w14:textId="77777777" w:rsidTr="002F32E3">
        <w:trPr>
          <w:cantSplit/>
        </w:trPr>
        <w:tc>
          <w:tcPr>
            <w:tcW w:w="1500" w:type="pct"/>
            <w:shd w:val="clear" w:color="auto" w:fill="auto"/>
          </w:tcPr>
          <w:p w14:paraId="7C99BDB8" w14:textId="77777777" w:rsidR="00E93F58" w:rsidRPr="00576D60" w:rsidRDefault="00E93F58" w:rsidP="002F32E3">
            <w:pPr>
              <w:pStyle w:val="ENoteTableText"/>
            </w:pPr>
          </w:p>
        </w:tc>
        <w:tc>
          <w:tcPr>
            <w:tcW w:w="3500" w:type="pct"/>
            <w:shd w:val="clear" w:color="auto" w:fill="auto"/>
          </w:tcPr>
          <w:p w14:paraId="3110359A" w14:textId="77777777" w:rsidR="00E93F58" w:rsidRPr="00576D60" w:rsidRDefault="00E93F58" w:rsidP="002F32E3">
            <w:pPr>
              <w:pStyle w:val="ENoteTableText"/>
            </w:pPr>
            <w:r w:rsidRPr="00576D60">
              <w:t>rep. 2005 No. 38</w:t>
            </w:r>
          </w:p>
        </w:tc>
      </w:tr>
      <w:tr w:rsidR="00E93F58" w:rsidRPr="00576D60" w14:paraId="27821EF7" w14:textId="77777777" w:rsidTr="002F32E3">
        <w:trPr>
          <w:cantSplit/>
        </w:trPr>
        <w:tc>
          <w:tcPr>
            <w:tcW w:w="1500" w:type="pct"/>
            <w:shd w:val="clear" w:color="auto" w:fill="auto"/>
          </w:tcPr>
          <w:p w14:paraId="5537DB92" w14:textId="77777777" w:rsidR="00E93F58" w:rsidRPr="00576D60" w:rsidRDefault="00E93F58" w:rsidP="002F32E3">
            <w:pPr>
              <w:pStyle w:val="ENoteTableText"/>
              <w:tabs>
                <w:tab w:val="left" w:leader="dot" w:pos="2268"/>
              </w:tabs>
            </w:pPr>
            <w:r w:rsidRPr="00576D60">
              <w:t>r. 7.5.32</w:t>
            </w:r>
            <w:r w:rsidRPr="00576D60">
              <w:tab/>
            </w:r>
          </w:p>
        </w:tc>
        <w:tc>
          <w:tcPr>
            <w:tcW w:w="3500" w:type="pct"/>
            <w:shd w:val="clear" w:color="auto" w:fill="auto"/>
          </w:tcPr>
          <w:p w14:paraId="5AEF4049" w14:textId="77777777" w:rsidR="00E93F58" w:rsidRPr="00576D60" w:rsidRDefault="00E93F58" w:rsidP="002F32E3">
            <w:pPr>
              <w:pStyle w:val="ENoteTableText"/>
            </w:pPr>
            <w:r w:rsidRPr="00576D60">
              <w:t>ad. 2001 No. 319</w:t>
            </w:r>
          </w:p>
        </w:tc>
      </w:tr>
      <w:tr w:rsidR="00E93F58" w:rsidRPr="00576D60" w14:paraId="189D7729" w14:textId="77777777" w:rsidTr="002F32E3">
        <w:trPr>
          <w:cantSplit/>
        </w:trPr>
        <w:tc>
          <w:tcPr>
            <w:tcW w:w="1500" w:type="pct"/>
            <w:shd w:val="clear" w:color="auto" w:fill="auto"/>
          </w:tcPr>
          <w:p w14:paraId="45EAB987" w14:textId="77777777" w:rsidR="00E93F58" w:rsidRPr="00576D60" w:rsidRDefault="00E93F58" w:rsidP="002F32E3">
            <w:pPr>
              <w:pStyle w:val="ENoteTableText"/>
            </w:pPr>
          </w:p>
        </w:tc>
        <w:tc>
          <w:tcPr>
            <w:tcW w:w="3500" w:type="pct"/>
            <w:shd w:val="clear" w:color="auto" w:fill="auto"/>
          </w:tcPr>
          <w:p w14:paraId="58DC5B0A" w14:textId="77777777" w:rsidR="00E93F58" w:rsidRPr="00576D60" w:rsidRDefault="00E93F58" w:rsidP="002F32E3">
            <w:pPr>
              <w:pStyle w:val="ENoteTableText"/>
            </w:pPr>
            <w:r w:rsidRPr="00576D60">
              <w:t>rep. 2002 No. 282</w:t>
            </w:r>
          </w:p>
        </w:tc>
      </w:tr>
      <w:tr w:rsidR="00E93F58" w:rsidRPr="00576D60" w14:paraId="190735C9" w14:textId="77777777" w:rsidTr="002F32E3">
        <w:trPr>
          <w:cantSplit/>
        </w:trPr>
        <w:tc>
          <w:tcPr>
            <w:tcW w:w="1500" w:type="pct"/>
            <w:shd w:val="clear" w:color="auto" w:fill="auto"/>
          </w:tcPr>
          <w:p w14:paraId="6BF12247" w14:textId="77777777" w:rsidR="00E93F58" w:rsidRPr="00576D60" w:rsidRDefault="00E93F58" w:rsidP="002F32E3">
            <w:pPr>
              <w:pStyle w:val="ENoteTableText"/>
              <w:tabs>
                <w:tab w:val="left" w:leader="dot" w:pos="2268"/>
              </w:tabs>
            </w:pPr>
            <w:r>
              <w:t>Subdivision 4</w:t>
            </w:r>
            <w:r w:rsidRPr="00576D60">
              <w:t>.4</w:t>
            </w:r>
            <w:r w:rsidRPr="00576D60">
              <w:tab/>
            </w:r>
          </w:p>
        </w:tc>
        <w:tc>
          <w:tcPr>
            <w:tcW w:w="3500" w:type="pct"/>
            <w:shd w:val="clear" w:color="auto" w:fill="auto"/>
          </w:tcPr>
          <w:p w14:paraId="1CBCFB73" w14:textId="77777777" w:rsidR="00E93F58" w:rsidRPr="00576D60" w:rsidRDefault="00E93F58" w:rsidP="002F32E3">
            <w:pPr>
              <w:pStyle w:val="ENoteTableText"/>
            </w:pPr>
            <w:r w:rsidRPr="00576D60">
              <w:t>rep. 2005 No. 38</w:t>
            </w:r>
          </w:p>
        </w:tc>
      </w:tr>
      <w:tr w:rsidR="00E93F58" w:rsidRPr="00576D60" w14:paraId="6A20FA89" w14:textId="77777777" w:rsidTr="002F32E3">
        <w:trPr>
          <w:cantSplit/>
        </w:trPr>
        <w:tc>
          <w:tcPr>
            <w:tcW w:w="1500" w:type="pct"/>
            <w:shd w:val="clear" w:color="auto" w:fill="auto"/>
          </w:tcPr>
          <w:p w14:paraId="44A70CAD" w14:textId="77777777" w:rsidR="00E93F58" w:rsidRPr="00576D60" w:rsidRDefault="00E93F58" w:rsidP="002F32E3">
            <w:pPr>
              <w:pStyle w:val="ENoteTableText"/>
              <w:tabs>
                <w:tab w:val="left" w:leader="dot" w:pos="2268"/>
              </w:tabs>
            </w:pPr>
            <w:r w:rsidRPr="00576D60">
              <w:t>r. 7.5.33</w:t>
            </w:r>
            <w:r w:rsidRPr="00576D60">
              <w:tab/>
            </w:r>
          </w:p>
        </w:tc>
        <w:tc>
          <w:tcPr>
            <w:tcW w:w="3500" w:type="pct"/>
            <w:shd w:val="clear" w:color="auto" w:fill="auto"/>
          </w:tcPr>
          <w:p w14:paraId="579E2C93" w14:textId="77777777" w:rsidR="00E93F58" w:rsidRPr="00576D60" w:rsidRDefault="00E93F58" w:rsidP="002F32E3">
            <w:pPr>
              <w:pStyle w:val="ENoteTableText"/>
            </w:pPr>
            <w:r w:rsidRPr="00576D60">
              <w:t>ad. 2001 No. 319</w:t>
            </w:r>
          </w:p>
        </w:tc>
      </w:tr>
      <w:tr w:rsidR="00E93F58" w:rsidRPr="00576D60" w14:paraId="61527D17" w14:textId="77777777" w:rsidTr="002F32E3">
        <w:trPr>
          <w:cantSplit/>
        </w:trPr>
        <w:tc>
          <w:tcPr>
            <w:tcW w:w="1500" w:type="pct"/>
            <w:shd w:val="clear" w:color="auto" w:fill="auto"/>
          </w:tcPr>
          <w:p w14:paraId="0E3852A2" w14:textId="77777777" w:rsidR="00E93F58" w:rsidRPr="00576D60" w:rsidRDefault="00E93F58" w:rsidP="002F32E3">
            <w:pPr>
              <w:pStyle w:val="ENoteTableText"/>
            </w:pPr>
          </w:p>
        </w:tc>
        <w:tc>
          <w:tcPr>
            <w:tcW w:w="3500" w:type="pct"/>
            <w:shd w:val="clear" w:color="auto" w:fill="auto"/>
          </w:tcPr>
          <w:p w14:paraId="21C6C3CE" w14:textId="77777777" w:rsidR="00E93F58" w:rsidRPr="00576D60" w:rsidRDefault="00E93F58" w:rsidP="002F32E3">
            <w:pPr>
              <w:pStyle w:val="ENoteTableText"/>
            </w:pPr>
            <w:r w:rsidRPr="00576D60">
              <w:t>rep. 2005 No. 38</w:t>
            </w:r>
          </w:p>
        </w:tc>
      </w:tr>
      <w:tr w:rsidR="00E93F58" w:rsidRPr="00576D60" w14:paraId="12B27FB2" w14:textId="77777777" w:rsidTr="002F32E3">
        <w:trPr>
          <w:cantSplit/>
        </w:trPr>
        <w:tc>
          <w:tcPr>
            <w:tcW w:w="1500" w:type="pct"/>
            <w:shd w:val="clear" w:color="auto" w:fill="auto"/>
          </w:tcPr>
          <w:p w14:paraId="3495D198" w14:textId="77777777" w:rsidR="00E93F58" w:rsidRPr="00576D60" w:rsidRDefault="00E93F58" w:rsidP="002F32E3">
            <w:pPr>
              <w:pStyle w:val="ENoteTableText"/>
              <w:tabs>
                <w:tab w:val="left" w:leader="dot" w:pos="2268"/>
              </w:tabs>
            </w:pPr>
            <w:r w:rsidRPr="00576D60">
              <w:t>r. 7.5.34</w:t>
            </w:r>
            <w:r w:rsidRPr="00576D60">
              <w:tab/>
            </w:r>
          </w:p>
        </w:tc>
        <w:tc>
          <w:tcPr>
            <w:tcW w:w="3500" w:type="pct"/>
            <w:shd w:val="clear" w:color="auto" w:fill="auto"/>
          </w:tcPr>
          <w:p w14:paraId="72967FD2" w14:textId="77777777" w:rsidR="00E93F58" w:rsidRPr="00576D60" w:rsidRDefault="00E93F58" w:rsidP="002F32E3">
            <w:pPr>
              <w:pStyle w:val="ENoteTableText"/>
            </w:pPr>
            <w:r w:rsidRPr="00576D60">
              <w:t>ad. 2001 No. 319</w:t>
            </w:r>
          </w:p>
        </w:tc>
      </w:tr>
      <w:tr w:rsidR="00E93F58" w:rsidRPr="00576D60" w14:paraId="066679D7" w14:textId="77777777" w:rsidTr="002F32E3">
        <w:trPr>
          <w:cantSplit/>
        </w:trPr>
        <w:tc>
          <w:tcPr>
            <w:tcW w:w="1500" w:type="pct"/>
            <w:shd w:val="clear" w:color="auto" w:fill="auto"/>
          </w:tcPr>
          <w:p w14:paraId="64D9926C" w14:textId="77777777" w:rsidR="00E93F58" w:rsidRPr="00576D60" w:rsidRDefault="00E93F58" w:rsidP="002F32E3">
            <w:pPr>
              <w:pStyle w:val="ENoteTableText"/>
            </w:pPr>
          </w:p>
        </w:tc>
        <w:tc>
          <w:tcPr>
            <w:tcW w:w="3500" w:type="pct"/>
            <w:shd w:val="clear" w:color="auto" w:fill="auto"/>
          </w:tcPr>
          <w:p w14:paraId="09D3335F" w14:textId="77777777" w:rsidR="00E93F58" w:rsidRPr="00576D60" w:rsidRDefault="00E93F58" w:rsidP="002F32E3">
            <w:pPr>
              <w:pStyle w:val="ENoteTableText"/>
            </w:pPr>
            <w:r w:rsidRPr="00576D60">
              <w:t>rep. 2005 No. 38</w:t>
            </w:r>
          </w:p>
        </w:tc>
      </w:tr>
      <w:tr w:rsidR="00E93F58" w:rsidRPr="00576D60" w14:paraId="6EFE1E3E" w14:textId="77777777" w:rsidTr="002F32E3">
        <w:trPr>
          <w:cantSplit/>
        </w:trPr>
        <w:tc>
          <w:tcPr>
            <w:tcW w:w="1500" w:type="pct"/>
            <w:shd w:val="clear" w:color="auto" w:fill="auto"/>
          </w:tcPr>
          <w:p w14:paraId="245CD4AB" w14:textId="77777777" w:rsidR="00E93F58" w:rsidRPr="00576D60" w:rsidRDefault="00E93F58" w:rsidP="002F32E3">
            <w:pPr>
              <w:pStyle w:val="ENoteTableText"/>
              <w:tabs>
                <w:tab w:val="left" w:leader="dot" w:pos="2268"/>
              </w:tabs>
            </w:pPr>
            <w:r w:rsidRPr="00576D60">
              <w:t>r. 7.5.35</w:t>
            </w:r>
            <w:r w:rsidRPr="00576D60">
              <w:tab/>
            </w:r>
          </w:p>
        </w:tc>
        <w:tc>
          <w:tcPr>
            <w:tcW w:w="3500" w:type="pct"/>
            <w:shd w:val="clear" w:color="auto" w:fill="auto"/>
          </w:tcPr>
          <w:p w14:paraId="18577A5E" w14:textId="77777777" w:rsidR="00E93F58" w:rsidRPr="00576D60" w:rsidRDefault="00E93F58" w:rsidP="002F32E3">
            <w:pPr>
              <w:pStyle w:val="ENoteTableText"/>
            </w:pPr>
            <w:r w:rsidRPr="00576D60">
              <w:t>ad. 2001 No. 319</w:t>
            </w:r>
          </w:p>
        </w:tc>
      </w:tr>
      <w:tr w:rsidR="00E93F58" w:rsidRPr="00576D60" w14:paraId="3F0A9CB1" w14:textId="77777777" w:rsidTr="002F32E3">
        <w:trPr>
          <w:cantSplit/>
        </w:trPr>
        <w:tc>
          <w:tcPr>
            <w:tcW w:w="1500" w:type="pct"/>
            <w:shd w:val="clear" w:color="auto" w:fill="auto"/>
          </w:tcPr>
          <w:p w14:paraId="25DB3646" w14:textId="77777777" w:rsidR="00E93F58" w:rsidRPr="00576D60" w:rsidRDefault="00E93F58" w:rsidP="002F32E3">
            <w:pPr>
              <w:pStyle w:val="ENoteTableText"/>
            </w:pPr>
          </w:p>
        </w:tc>
        <w:tc>
          <w:tcPr>
            <w:tcW w:w="3500" w:type="pct"/>
            <w:shd w:val="clear" w:color="auto" w:fill="auto"/>
          </w:tcPr>
          <w:p w14:paraId="65BDD7BF" w14:textId="77777777" w:rsidR="00E93F58" w:rsidRPr="00576D60" w:rsidRDefault="00E93F58" w:rsidP="002F32E3">
            <w:pPr>
              <w:pStyle w:val="ENoteTableText"/>
            </w:pPr>
            <w:r w:rsidRPr="00576D60">
              <w:t>rep. 2005 No. 38</w:t>
            </w:r>
          </w:p>
        </w:tc>
      </w:tr>
      <w:tr w:rsidR="00E93F58" w:rsidRPr="00576D60" w14:paraId="2DACD7A6" w14:textId="77777777" w:rsidTr="002F32E3">
        <w:trPr>
          <w:cantSplit/>
        </w:trPr>
        <w:tc>
          <w:tcPr>
            <w:tcW w:w="1500" w:type="pct"/>
            <w:shd w:val="clear" w:color="auto" w:fill="auto"/>
          </w:tcPr>
          <w:p w14:paraId="152A1822" w14:textId="77777777" w:rsidR="00E93F58" w:rsidRPr="00576D60" w:rsidRDefault="00E93F58" w:rsidP="002F32E3">
            <w:pPr>
              <w:pStyle w:val="ENoteTableText"/>
              <w:tabs>
                <w:tab w:val="left" w:leader="dot" w:pos="2268"/>
              </w:tabs>
            </w:pPr>
            <w:r w:rsidRPr="00576D60">
              <w:t>r. 7.5.36</w:t>
            </w:r>
            <w:r w:rsidRPr="00576D60">
              <w:tab/>
            </w:r>
          </w:p>
        </w:tc>
        <w:tc>
          <w:tcPr>
            <w:tcW w:w="3500" w:type="pct"/>
            <w:shd w:val="clear" w:color="auto" w:fill="auto"/>
          </w:tcPr>
          <w:p w14:paraId="0AEC7E10" w14:textId="77777777" w:rsidR="00E93F58" w:rsidRPr="00576D60" w:rsidRDefault="00E93F58" w:rsidP="002F32E3">
            <w:pPr>
              <w:pStyle w:val="ENoteTableText"/>
            </w:pPr>
            <w:r w:rsidRPr="00576D60">
              <w:t>ad. 2001 No. 319</w:t>
            </w:r>
          </w:p>
        </w:tc>
      </w:tr>
      <w:tr w:rsidR="00E93F58" w:rsidRPr="00576D60" w14:paraId="7A95735C" w14:textId="77777777" w:rsidTr="002F32E3">
        <w:trPr>
          <w:cantSplit/>
        </w:trPr>
        <w:tc>
          <w:tcPr>
            <w:tcW w:w="1500" w:type="pct"/>
            <w:shd w:val="clear" w:color="auto" w:fill="auto"/>
          </w:tcPr>
          <w:p w14:paraId="5AD9B8BF" w14:textId="77777777" w:rsidR="00E93F58" w:rsidRPr="00576D60" w:rsidRDefault="00E93F58" w:rsidP="002F32E3">
            <w:pPr>
              <w:pStyle w:val="ENoteTableText"/>
            </w:pPr>
          </w:p>
        </w:tc>
        <w:tc>
          <w:tcPr>
            <w:tcW w:w="3500" w:type="pct"/>
            <w:shd w:val="clear" w:color="auto" w:fill="auto"/>
          </w:tcPr>
          <w:p w14:paraId="6D914F20" w14:textId="77777777" w:rsidR="00E93F58" w:rsidRPr="00576D60" w:rsidRDefault="00E93F58" w:rsidP="002F32E3">
            <w:pPr>
              <w:pStyle w:val="ENoteTableText"/>
            </w:pPr>
            <w:r w:rsidRPr="00576D60">
              <w:t>rep. 2005 No. 38</w:t>
            </w:r>
          </w:p>
        </w:tc>
      </w:tr>
      <w:tr w:rsidR="00E93F58" w:rsidRPr="00576D60" w14:paraId="62DE1A5E" w14:textId="77777777" w:rsidTr="002F32E3">
        <w:trPr>
          <w:cantSplit/>
        </w:trPr>
        <w:tc>
          <w:tcPr>
            <w:tcW w:w="1500" w:type="pct"/>
            <w:shd w:val="clear" w:color="auto" w:fill="auto"/>
          </w:tcPr>
          <w:p w14:paraId="527790A0" w14:textId="77777777" w:rsidR="00E93F58" w:rsidRPr="00576D60" w:rsidRDefault="00E93F58" w:rsidP="002F32E3">
            <w:pPr>
              <w:pStyle w:val="ENoteTableText"/>
              <w:tabs>
                <w:tab w:val="left" w:leader="dot" w:pos="2268"/>
              </w:tabs>
            </w:pPr>
            <w:r w:rsidRPr="00576D60">
              <w:t>r. 7.5.37</w:t>
            </w:r>
            <w:r w:rsidRPr="00576D60">
              <w:tab/>
            </w:r>
          </w:p>
        </w:tc>
        <w:tc>
          <w:tcPr>
            <w:tcW w:w="3500" w:type="pct"/>
            <w:shd w:val="clear" w:color="auto" w:fill="auto"/>
          </w:tcPr>
          <w:p w14:paraId="4FF41BDF" w14:textId="77777777" w:rsidR="00E93F58" w:rsidRPr="00576D60" w:rsidRDefault="00E93F58" w:rsidP="002F32E3">
            <w:pPr>
              <w:pStyle w:val="ENoteTableText"/>
            </w:pPr>
            <w:r w:rsidRPr="00576D60">
              <w:t>ad. 2001 No. 319</w:t>
            </w:r>
          </w:p>
        </w:tc>
      </w:tr>
      <w:tr w:rsidR="00E93F58" w:rsidRPr="00576D60" w14:paraId="77A3307F" w14:textId="77777777" w:rsidTr="002F32E3">
        <w:trPr>
          <w:cantSplit/>
        </w:trPr>
        <w:tc>
          <w:tcPr>
            <w:tcW w:w="1500" w:type="pct"/>
            <w:shd w:val="clear" w:color="auto" w:fill="auto"/>
          </w:tcPr>
          <w:p w14:paraId="7DA6789D" w14:textId="77777777" w:rsidR="00E93F58" w:rsidRPr="00576D60" w:rsidRDefault="00E93F58" w:rsidP="002F32E3">
            <w:pPr>
              <w:pStyle w:val="ENoteTableText"/>
            </w:pPr>
          </w:p>
        </w:tc>
        <w:tc>
          <w:tcPr>
            <w:tcW w:w="3500" w:type="pct"/>
            <w:shd w:val="clear" w:color="auto" w:fill="auto"/>
          </w:tcPr>
          <w:p w14:paraId="766E1186" w14:textId="77777777" w:rsidR="00E93F58" w:rsidRPr="00576D60" w:rsidRDefault="00E93F58" w:rsidP="002F32E3">
            <w:pPr>
              <w:pStyle w:val="ENoteTableText"/>
            </w:pPr>
            <w:r w:rsidRPr="00576D60">
              <w:t>rep. 2005 No. 38</w:t>
            </w:r>
          </w:p>
        </w:tc>
      </w:tr>
      <w:tr w:rsidR="00E93F58" w:rsidRPr="00576D60" w14:paraId="0E3CAFBD" w14:textId="77777777" w:rsidTr="002F32E3">
        <w:trPr>
          <w:cantSplit/>
        </w:trPr>
        <w:tc>
          <w:tcPr>
            <w:tcW w:w="1500" w:type="pct"/>
            <w:shd w:val="clear" w:color="auto" w:fill="auto"/>
          </w:tcPr>
          <w:p w14:paraId="4A886ADA" w14:textId="77777777" w:rsidR="00E93F58" w:rsidRPr="00576D60" w:rsidRDefault="00E93F58" w:rsidP="002F32E3">
            <w:pPr>
              <w:pStyle w:val="ENoteTableText"/>
              <w:tabs>
                <w:tab w:val="left" w:leader="dot" w:pos="2268"/>
              </w:tabs>
            </w:pPr>
            <w:r w:rsidRPr="00576D60">
              <w:t>r. 7.5.38</w:t>
            </w:r>
            <w:r w:rsidRPr="00576D60">
              <w:tab/>
            </w:r>
          </w:p>
        </w:tc>
        <w:tc>
          <w:tcPr>
            <w:tcW w:w="3500" w:type="pct"/>
            <w:shd w:val="clear" w:color="auto" w:fill="auto"/>
          </w:tcPr>
          <w:p w14:paraId="6E780AA1" w14:textId="77777777" w:rsidR="00E93F58" w:rsidRPr="00576D60" w:rsidRDefault="00E93F58" w:rsidP="002F32E3">
            <w:pPr>
              <w:pStyle w:val="ENoteTableText"/>
            </w:pPr>
            <w:r w:rsidRPr="00576D60">
              <w:t>ad. 2001 No. 319</w:t>
            </w:r>
          </w:p>
        </w:tc>
      </w:tr>
      <w:tr w:rsidR="00E93F58" w:rsidRPr="00576D60" w14:paraId="737BE189" w14:textId="77777777" w:rsidTr="002F32E3">
        <w:trPr>
          <w:cantSplit/>
        </w:trPr>
        <w:tc>
          <w:tcPr>
            <w:tcW w:w="1500" w:type="pct"/>
            <w:shd w:val="clear" w:color="auto" w:fill="auto"/>
          </w:tcPr>
          <w:p w14:paraId="492E92D7" w14:textId="77777777" w:rsidR="00E93F58" w:rsidRPr="00576D60" w:rsidRDefault="00E93F58" w:rsidP="002F32E3">
            <w:pPr>
              <w:pStyle w:val="ENoteTableText"/>
            </w:pPr>
          </w:p>
        </w:tc>
        <w:tc>
          <w:tcPr>
            <w:tcW w:w="3500" w:type="pct"/>
            <w:shd w:val="clear" w:color="auto" w:fill="auto"/>
          </w:tcPr>
          <w:p w14:paraId="1AC43041" w14:textId="77777777" w:rsidR="00E93F58" w:rsidRPr="00576D60" w:rsidRDefault="00E93F58" w:rsidP="002F32E3">
            <w:pPr>
              <w:pStyle w:val="ENoteTableText"/>
            </w:pPr>
            <w:r w:rsidRPr="00576D60">
              <w:t>rep. 2005 No. 38</w:t>
            </w:r>
          </w:p>
        </w:tc>
      </w:tr>
      <w:tr w:rsidR="00E93F58" w:rsidRPr="00576D60" w14:paraId="0D317A58" w14:textId="77777777" w:rsidTr="002F32E3">
        <w:trPr>
          <w:cantSplit/>
        </w:trPr>
        <w:tc>
          <w:tcPr>
            <w:tcW w:w="1500" w:type="pct"/>
            <w:shd w:val="clear" w:color="auto" w:fill="auto"/>
          </w:tcPr>
          <w:p w14:paraId="72884040" w14:textId="77777777" w:rsidR="00E93F58" w:rsidRPr="00576D60" w:rsidRDefault="00E93F58" w:rsidP="002F32E3">
            <w:pPr>
              <w:pStyle w:val="ENoteTableText"/>
              <w:tabs>
                <w:tab w:val="left" w:leader="dot" w:pos="2268"/>
              </w:tabs>
            </w:pPr>
            <w:r w:rsidRPr="00576D60">
              <w:t>r. 7.5.39</w:t>
            </w:r>
            <w:r w:rsidRPr="00576D60">
              <w:tab/>
            </w:r>
          </w:p>
        </w:tc>
        <w:tc>
          <w:tcPr>
            <w:tcW w:w="3500" w:type="pct"/>
            <w:shd w:val="clear" w:color="auto" w:fill="auto"/>
          </w:tcPr>
          <w:p w14:paraId="7015BE46" w14:textId="77777777" w:rsidR="00E93F58" w:rsidRPr="00576D60" w:rsidRDefault="00E93F58" w:rsidP="002F32E3">
            <w:pPr>
              <w:pStyle w:val="ENoteTableText"/>
            </w:pPr>
            <w:r w:rsidRPr="00576D60">
              <w:t>ad. 2001 No. 319</w:t>
            </w:r>
          </w:p>
        </w:tc>
      </w:tr>
      <w:tr w:rsidR="00E93F58" w:rsidRPr="00576D60" w14:paraId="32D0EE83" w14:textId="77777777" w:rsidTr="002F32E3">
        <w:trPr>
          <w:cantSplit/>
        </w:trPr>
        <w:tc>
          <w:tcPr>
            <w:tcW w:w="1500" w:type="pct"/>
            <w:shd w:val="clear" w:color="auto" w:fill="auto"/>
          </w:tcPr>
          <w:p w14:paraId="3E2F3FA3" w14:textId="77777777" w:rsidR="00E93F58" w:rsidRPr="00576D60" w:rsidRDefault="00E93F58" w:rsidP="002F32E3">
            <w:pPr>
              <w:pStyle w:val="ENoteTableText"/>
            </w:pPr>
          </w:p>
        </w:tc>
        <w:tc>
          <w:tcPr>
            <w:tcW w:w="3500" w:type="pct"/>
            <w:shd w:val="clear" w:color="auto" w:fill="auto"/>
          </w:tcPr>
          <w:p w14:paraId="35A91680" w14:textId="77777777" w:rsidR="00E93F58" w:rsidRPr="00576D60" w:rsidRDefault="00E93F58" w:rsidP="002F32E3">
            <w:pPr>
              <w:pStyle w:val="ENoteTableText"/>
            </w:pPr>
            <w:r w:rsidRPr="00576D60">
              <w:t>rep. 2002 No. 282</w:t>
            </w:r>
          </w:p>
        </w:tc>
      </w:tr>
      <w:tr w:rsidR="00E93F58" w:rsidRPr="00576D60" w14:paraId="561FB2D2" w14:textId="77777777" w:rsidTr="002F32E3">
        <w:trPr>
          <w:cantSplit/>
        </w:trPr>
        <w:tc>
          <w:tcPr>
            <w:tcW w:w="1500" w:type="pct"/>
            <w:shd w:val="clear" w:color="auto" w:fill="auto"/>
          </w:tcPr>
          <w:p w14:paraId="145AF268" w14:textId="77777777" w:rsidR="00E93F58" w:rsidRPr="00576D60" w:rsidRDefault="00E93F58" w:rsidP="002F32E3">
            <w:pPr>
              <w:pStyle w:val="ENoteTableText"/>
              <w:tabs>
                <w:tab w:val="left" w:leader="dot" w:pos="2268"/>
              </w:tabs>
            </w:pPr>
            <w:r>
              <w:t>Subdivision 4</w:t>
            </w:r>
            <w:r w:rsidRPr="00576D60">
              <w:t>.5</w:t>
            </w:r>
            <w:r w:rsidRPr="00576D60">
              <w:tab/>
            </w:r>
          </w:p>
        </w:tc>
        <w:tc>
          <w:tcPr>
            <w:tcW w:w="3500" w:type="pct"/>
            <w:shd w:val="clear" w:color="auto" w:fill="auto"/>
          </w:tcPr>
          <w:p w14:paraId="001238F5" w14:textId="77777777" w:rsidR="00E93F58" w:rsidRPr="00576D60" w:rsidRDefault="00E93F58" w:rsidP="002F32E3">
            <w:pPr>
              <w:pStyle w:val="ENoteTableText"/>
            </w:pPr>
            <w:r w:rsidRPr="00576D60">
              <w:t>rep. 2005 No. 38</w:t>
            </w:r>
          </w:p>
        </w:tc>
      </w:tr>
      <w:tr w:rsidR="00E93F58" w:rsidRPr="00576D60" w14:paraId="34DACE17" w14:textId="77777777" w:rsidTr="002F32E3">
        <w:trPr>
          <w:cantSplit/>
        </w:trPr>
        <w:tc>
          <w:tcPr>
            <w:tcW w:w="1500" w:type="pct"/>
            <w:shd w:val="clear" w:color="auto" w:fill="auto"/>
          </w:tcPr>
          <w:p w14:paraId="191BF563" w14:textId="77777777" w:rsidR="00E93F58" w:rsidRPr="00576D60" w:rsidRDefault="00E93F58" w:rsidP="002F32E3">
            <w:pPr>
              <w:pStyle w:val="ENoteTableText"/>
              <w:tabs>
                <w:tab w:val="left" w:leader="dot" w:pos="2268"/>
              </w:tabs>
            </w:pPr>
            <w:r w:rsidRPr="00576D60">
              <w:t>r. 7.5.40</w:t>
            </w:r>
            <w:r w:rsidRPr="00576D60">
              <w:tab/>
            </w:r>
          </w:p>
        </w:tc>
        <w:tc>
          <w:tcPr>
            <w:tcW w:w="3500" w:type="pct"/>
            <w:shd w:val="clear" w:color="auto" w:fill="auto"/>
          </w:tcPr>
          <w:p w14:paraId="60A1A8EF" w14:textId="77777777" w:rsidR="00E93F58" w:rsidRPr="00576D60" w:rsidRDefault="00E93F58" w:rsidP="002F32E3">
            <w:pPr>
              <w:pStyle w:val="ENoteTableText"/>
            </w:pPr>
            <w:r w:rsidRPr="00576D60">
              <w:t>ad. 2001 No. 319</w:t>
            </w:r>
          </w:p>
        </w:tc>
      </w:tr>
      <w:tr w:rsidR="00E93F58" w:rsidRPr="00576D60" w14:paraId="2B403322" w14:textId="77777777" w:rsidTr="002F32E3">
        <w:trPr>
          <w:cantSplit/>
        </w:trPr>
        <w:tc>
          <w:tcPr>
            <w:tcW w:w="1500" w:type="pct"/>
            <w:shd w:val="clear" w:color="auto" w:fill="auto"/>
          </w:tcPr>
          <w:p w14:paraId="49210619" w14:textId="77777777" w:rsidR="00E93F58" w:rsidRPr="00576D60" w:rsidRDefault="00E93F58" w:rsidP="002F32E3">
            <w:pPr>
              <w:pStyle w:val="ENoteTableText"/>
            </w:pPr>
          </w:p>
        </w:tc>
        <w:tc>
          <w:tcPr>
            <w:tcW w:w="3500" w:type="pct"/>
            <w:shd w:val="clear" w:color="auto" w:fill="auto"/>
          </w:tcPr>
          <w:p w14:paraId="12F3BA56" w14:textId="77777777" w:rsidR="00E93F58" w:rsidRPr="00576D60" w:rsidRDefault="00E93F58" w:rsidP="002F32E3">
            <w:pPr>
              <w:pStyle w:val="ENoteTableText"/>
            </w:pPr>
            <w:r w:rsidRPr="00576D60">
              <w:t>am. 2002 No. 282</w:t>
            </w:r>
          </w:p>
        </w:tc>
      </w:tr>
      <w:tr w:rsidR="00E93F58" w:rsidRPr="00576D60" w14:paraId="48555361" w14:textId="77777777" w:rsidTr="002F32E3">
        <w:trPr>
          <w:cantSplit/>
        </w:trPr>
        <w:tc>
          <w:tcPr>
            <w:tcW w:w="1500" w:type="pct"/>
            <w:shd w:val="clear" w:color="auto" w:fill="auto"/>
          </w:tcPr>
          <w:p w14:paraId="58F67A8A" w14:textId="77777777" w:rsidR="00E93F58" w:rsidRPr="00576D60" w:rsidRDefault="00E93F58" w:rsidP="002F32E3">
            <w:pPr>
              <w:pStyle w:val="ENoteTableText"/>
            </w:pPr>
          </w:p>
        </w:tc>
        <w:tc>
          <w:tcPr>
            <w:tcW w:w="3500" w:type="pct"/>
            <w:shd w:val="clear" w:color="auto" w:fill="auto"/>
          </w:tcPr>
          <w:p w14:paraId="02C7DC26" w14:textId="77777777" w:rsidR="00E93F58" w:rsidRPr="00576D60" w:rsidRDefault="00E93F58" w:rsidP="002F32E3">
            <w:pPr>
              <w:pStyle w:val="ENoteTableText"/>
            </w:pPr>
            <w:r w:rsidRPr="00576D60">
              <w:t>rep. 2005 No. 38</w:t>
            </w:r>
          </w:p>
        </w:tc>
      </w:tr>
      <w:tr w:rsidR="00E93F58" w:rsidRPr="00576D60" w14:paraId="257B4FFC" w14:textId="77777777" w:rsidTr="002F32E3">
        <w:trPr>
          <w:cantSplit/>
        </w:trPr>
        <w:tc>
          <w:tcPr>
            <w:tcW w:w="1500" w:type="pct"/>
            <w:shd w:val="clear" w:color="auto" w:fill="auto"/>
          </w:tcPr>
          <w:p w14:paraId="0C6C8536" w14:textId="77777777" w:rsidR="00E93F58" w:rsidRPr="00576D60" w:rsidRDefault="00E93F58" w:rsidP="002F32E3">
            <w:pPr>
              <w:pStyle w:val="ENoteTableText"/>
              <w:tabs>
                <w:tab w:val="left" w:leader="dot" w:pos="2268"/>
              </w:tabs>
            </w:pPr>
            <w:r w:rsidRPr="00576D60">
              <w:t>r. 7.5.41</w:t>
            </w:r>
            <w:r w:rsidRPr="00576D60">
              <w:tab/>
            </w:r>
          </w:p>
        </w:tc>
        <w:tc>
          <w:tcPr>
            <w:tcW w:w="3500" w:type="pct"/>
            <w:shd w:val="clear" w:color="auto" w:fill="auto"/>
          </w:tcPr>
          <w:p w14:paraId="3A3F3259" w14:textId="77777777" w:rsidR="00E93F58" w:rsidRPr="00576D60" w:rsidRDefault="00E93F58" w:rsidP="002F32E3">
            <w:pPr>
              <w:pStyle w:val="ENoteTableText"/>
            </w:pPr>
            <w:r w:rsidRPr="00576D60">
              <w:t>ad. 2001 No. 319</w:t>
            </w:r>
          </w:p>
        </w:tc>
      </w:tr>
      <w:tr w:rsidR="00E93F58" w:rsidRPr="00576D60" w14:paraId="11C1C2E3" w14:textId="77777777" w:rsidTr="002F32E3">
        <w:trPr>
          <w:cantSplit/>
        </w:trPr>
        <w:tc>
          <w:tcPr>
            <w:tcW w:w="1500" w:type="pct"/>
            <w:shd w:val="clear" w:color="auto" w:fill="auto"/>
          </w:tcPr>
          <w:p w14:paraId="06B82D40" w14:textId="77777777" w:rsidR="00E93F58" w:rsidRPr="00576D60" w:rsidRDefault="00E93F58" w:rsidP="002F32E3">
            <w:pPr>
              <w:pStyle w:val="ENoteTableText"/>
            </w:pPr>
          </w:p>
        </w:tc>
        <w:tc>
          <w:tcPr>
            <w:tcW w:w="3500" w:type="pct"/>
            <w:shd w:val="clear" w:color="auto" w:fill="auto"/>
          </w:tcPr>
          <w:p w14:paraId="62AC944A" w14:textId="77777777" w:rsidR="00E93F58" w:rsidRPr="00576D60" w:rsidRDefault="00E93F58" w:rsidP="002F32E3">
            <w:pPr>
              <w:pStyle w:val="ENoteTableText"/>
            </w:pPr>
            <w:r w:rsidRPr="00576D60">
              <w:t>am. 2002 No. 282</w:t>
            </w:r>
          </w:p>
        </w:tc>
      </w:tr>
      <w:tr w:rsidR="00E93F58" w:rsidRPr="00576D60" w14:paraId="13F8818A" w14:textId="77777777" w:rsidTr="002F32E3">
        <w:trPr>
          <w:cantSplit/>
        </w:trPr>
        <w:tc>
          <w:tcPr>
            <w:tcW w:w="1500" w:type="pct"/>
            <w:shd w:val="clear" w:color="auto" w:fill="auto"/>
          </w:tcPr>
          <w:p w14:paraId="515E3670" w14:textId="77777777" w:rsidR="00E93F58" w:rsidRPr="00576D60" w:rsidRDefault="00E93F58" w:rsidP="002F32E3">
            <w:pPr>
              <w:pStyle w:val="ENoteTableText"/>
            </w:pPr>
          </w:p>
        </w:tc>
        <w:tc>
          <w:tcPr>
            <w:tcW w:w="3500" w:type="pct"/>
            <w:shd w:val="clear" w:color="auto" w:fill="auto"/>
          </w:tcPr>
          <w:p w14:paraId="265B3477" w14:textId="77777777" w:rsidR="00E93F58" w:rsidRPr="00576D60" w:rsidRDefault="00E93F58" w:rsidP="002F32E3">
            <w:pPr>
              <w:pStyle w:val="ENoteTableText"/>
            </w:pPr>
            <w:r w:rsidRPr="00576D60">
              <w:t>rep. 2005 No. 38</w:t>
            </w:r>
          </w:p>
        </w:tc>
      </w:tr>
      <w:tr w:rsidR="00E93F58" w:rsidRPr="00576D60" w14:paraId="7902DB80" w14:textId="77777777" w:rsidTr="002F32E3">
        <w:trPr>
          <w:cantSplit/>
        </w:trPr>
        <w:tc>
          <w:tcPr>
            <w:tcW w:w="1500" w:type="pct"/>
            <w:shd w:val="clear" w:color="auto" w:fill="auto"/>
          </w:tcPr>
          <w:p w14:paraId="3F8E4979" w14:textId="77777777" w:rsidR="00E93F58" w:rsidRPr="00576D60" w:rsidRDefault="00E93F58" w:rsidP="002F32E3">
            <w:pPr>
              <w:pStyle w:val="ENoteTableText"/>
              <w:tabs>
                <w:tab w:val="left" w:leader="dot" w:pos="2268"/>
              </w:tabs>
            </w:pPr>
            <w:r w:rsidRPr="00576D60">
              <w:t>r. 7.5.42</w:t>
            </w:r>
            <w:r w:rsidRPr="00576D60">
              <w:tab/>
            </w:r>
          </w:p>
        </w:tc>
        <w:tc>
          <w:tcPr>
            <w:tcW w:w="3500" w:type="pct"/>
            <w:shd w:val="clear" w:color="auto" w:fill="auto"/>
          </w:tcPr>
          <w:p w14:paraId="50A58597" w14:textId="77777777" w:rsidR="00E93F58" w:rsidRPr="00576D60" w:rsidRDefault="00E93F58" w:rsidP="002F32E3">
            <w:pPr>
              <w:pStyle w:val="ENoteTableText"/>
            </w:pPr>
            <w:r w:rsidRPr="00576D60">
              <w:t>ad. 2001 No. 319</w:t>
            </w:r>
          </w:p>
        </w:tc>
      </w:tr>
      <w:tr w:rsidR="00E93F58" w:rsidRPr="00576D60" w14:paraId="55FD40CE" w14:textId="77777777" w:rsidTr="002F32E3">
        <w:trPr>
          <w:cantSplit/>
        </w:trPr>
        <w:tc>
          <w:tcPr>
            <w:tcW w:w="1500" w:type="pct"/>
            <w:shd w:val="clear" w:color="auto" w:fill="auto"/>
          </w:tcPr>
          <w:p w14:paraId="7DABC20B" w14:textId="77777777" w:rsidR="00E93F58" w:rsidRPr="00576D60" w:rsidRDefault="00E93F58" w:rsidP="002F32E3">
            <w:pPr>
              <w:pStyle w:val="ENoteTableText"/>
            </w:pPr>
          </w:p>
        </w:tc>
        <w:tc>
          <w:tcPr>
            <w:tcW w:w="3500" w:type="pct"/>
            <w:shd w:val="clear" w:color="auto" w:fill="auto"/>
          </w:tcPr>
          <w:p w14:paraId="41402CA3" w14:textId="77777777" w:rsidR="00E93F58" w:rsidRPr="00576D60" w:rsidRDefault="00E93F58" w:rsidP="002F32E3">
            <w:pPr>
              <w:pStyle w:val="ENoteTableText"/>
            </w:pPr>
            <w:r w:rsidRPr="00576D60">
              <w:t>rep. 2005 No. 38</w:t>
            </w:r>
          </w:p>
        </w:tc>
      </w:tr>
      <w:tr w:rsidR="00E93F58" w:rsidRPr="00576D60" w14:paraId="6A1B14DD" w14:textId="77777777" w:rsidTr="002F32E3">
        <w:trPr>
          <w:cantSplit/>
        </w:trPr>
        <w:tc>
          <w:tcPr>
            <w:tcW w:w="1500" w:type="pct"/>
            <w:shd w:val="clear" w:color="auto" w:fill="auto"/>
          </w:tcPr>
          <w:p w14:paraId="6FAC05A3" w14:textId="77777777" w:rsidR="00E93F58" w:rsidRPr="00576D60" w:rsidRDefault="00E93F58" w:rsidP="002F32E3">
            <w:pPr>
              <w:pStyle w:val="ENoteTableText"/>
              <w:tabs>
                <w:tab w:val="left" w:leader="dot" w:pos="2268"/>
              </w:tabs>
            </w:pPr>
            <w:r w:rsidRPr="00576D60">
              <w:t>r. 7.5.43</w:t>
            </w:r>
            <w:r w:rsidRPr="00576D60">
              <w:tab/>
            </w:r>
          </w:p>
        </w:tc>
        <w:tc>
          <w:tcPr>
            <w:tcW w:w="3500" w:type="pct"/>
            <w:shd w:val="clear" w:color="auto" w:fill="auto"/>
          </w:tcPr>
          <w:p w14:paraId="35612026" w14:textId="77777777" w:rsidR="00E93F58" w:rsidRPr="00576D60" w:rsidRDefault="00E93F58" w:rsidP="002F32E3">
            <w:pPr>
              <w:pStyle w:val="ENoteTableText"/>
            </w:pPr>
            <w:r w:rsidRPr="00576D60">
              <w:t>ad. 2001 No. 319</w:t>
            </w:r>
          </w:p>
        </w:tc>
      </w:tr>
      <w:tr w:rsidR="00E93F58" w:rsidRPr="00576D60" w14:paraId="6D2DC02E" w14:textId="77777777" w:rsidTr="002F32E3">
        <w:trPr>
          <w:cantSplit/>
        </w:trPr>
        <w:tc>
          <w:tcPr>
            <w:tcW w:w="1500" w:type="pct"/>
            <w:shd w:val="clear" w:color="auto" w:fill="auto"/>
          </w:tcPr>
          <w:p w14:paraId="2BFC51EE" w14:textId="77777777" w:rsidR="00E93F58" w:rsidRPr="00576D60" w:rsidRDefault="00E93F58" w:rsidP="002F32E3">
            <w:pPr>
              <w:pStyle w:val="ENoteTableText"/>
            </w:pPr>
          </w:p>
        </w:tc>
        <w:tc>
          <w:tcPr>
            <w:tcW w:w="3500" w:type="pct"/>
            <w:shd w:val="clear" w:color="auto" w:fill="auto"/>
          </w:tcPr>
          <w:p w14:paraId="09DFE3AB" w14:textId="77777777" w:rsidR="00E93F58" w:rsidRPr="00576D60" w:rsidRDefault="00E93F58" w:rsidP="002F32E3">
            <w:pPr>
              <w:pStyle w:val="ENoteTableText"/>
            </w:pPr>
            <w:r w:rsidRPr="00576D60">
              <w:t>rep. 2005 No. 38</w:t>
            </w:r>
          </w:p>
        </w:tc>
      </w:tr>
      <w:tr w:rsidR="00E93F58" w:rsidRPr="00576D60" w14:paraId="1C080C47" w14:textId="77777777" w:rsidTr="002F32E3">
        <w:trPr>
          <w:cantSplit/>
        </w:trPr>
        <w:tc>
          <w:tcPr>
            <w:tcW w:w="1500" w:type="pct"/>
            <w:shd w:val="clear" w:color="auto" w:fill="auto"/>
          </w:tcPr>
          <w:p w14:paraId="0F32933C" w14:textId="77777777" w:rsidR="00E93F58" w:rsidRPr="00576D60" w:rsidRDefault="00E93F58" w:rsidP="002F32E3">
            <w:pPr>
              <w:pStyle w:val="ENoteTableText"/>
              <w:tabs>
                <w:tab w:val="left" w:leader="dot" w:pos="2268"/>
              </w:tabs>
            </w:pPr>
            <w:r w:rsidRPr="00576D60">
              <w:t>r. 7.5.44</w:t>
            </w:r>
            <w:r w:rsidRPr="00576D60">
              <w:tab/>
            </w:r>
          </w:p>
        </w:tc>
        <w:tc>
          <w:tcPr>
            <w:tcW w:w="3500" w:type="pct"/>
            <w:shd w:val="clear" w:color="auto" w:fill="auto"/>
          </w:tcPr>
          <w:p w14:paraId="22471547" w14:textId="77777777" w:rsidR="00E93F58" w:rsidRPr="00576D60" w:rsidRDefault="00E93F58" w:rsidP="002F32E3">
            <w:pPr>
              <w:pStyle w:val="ENoteTableText"/>
            </w:pPr>
            <w:r w:rsidRPr="00576D60">
              <w:t>ad. 2001 No. 319</w:t>
            </w:r>
          </w:p>
        </w:tc>
      </w:tr>
      <w:tr w:rsidR="00E93F58" w:rsidRPr="00576D60" w14:paraId="69C1A316" w14:textId="77777777" w:rsidTr="002F32E3">
        <w:trPr>
          <w:cantSplit/>
        </w:trPr>
        <w:tc>
          <w:tcPr>
            <w:tcW w:w="1500" w:type="pct"/>
            <w:shd w:val="clear" w:color="auto" w:fill="auto"/>
          </w:tcPr>
          <w:p w14:paraId="7BCBBE34" w14:textId="77777777" w:rsidR="00E93F58" w:rsidRPr="00576D60" w:rsidRDefault="00E93F58" w:rsidP="002F32E3">
            <w:pPr>
              <w:pStyle w:val="ENoteTableText"/>
            </w:pPr>
          </w:p>
        </w:tc>
        <w:tc>
          <w:tcPr>
            <w:tcW w:w="3500" w:type="pct"/>
            <w:shd w:val="clear" w:color="auto" w:fill="auto"/>
          </w:tcPr>
          <w:p w14:paraId="524CDCDB" w14:textId="77777777" w:rsidR="00E93F58" w:rsidRPr="00576D60" w:rsidRDefault="00E93F58" w:rsidP="002F32E3">
            <w:pPr>
              <w:pStyle w:val="ENoteTableText"/>
            </w:pPr>
            <w:r w:rsidRPr="00576D60">
              <w:t>rep. 2005 No. 38</w:t>
            </w:r>
          </w:p>
        </w:tc>
      </w:tr>
      <w:tr w:rsidR="00E93F58" w:rsidRPr="00576D60" w14:paraId="38CFC03A" w14:textId="77777777" w:rsidTr="002F32E3">
        <w:trPr>
          <w:cantSplit/>
        </w:trPr>
        <w:tc>
          <w:tcPr>
            <w:tcW w:w="1500" w:type="pct"/>
            <w:shd w:val="clear" w:color="auto" w:fill="auto"/>
          </w:tcPr>
          <w:p w14:paraId="449A618D" w14:textId="77777777" w:rsidR="00E93F58" w:rsidRPr="00576D60" w:rsidRDefault="00E93F58" w:rsidP="002F32E3">
            <w:pPr>
              <w:pStyle w:val="ENoteTableText"/>
              <w:tabs>
                <w:tab w:val="left" w:leader="dot" w:pos="2268"/>
              </w:tabs>
            </w:pPr>
            <w:r w:rsidRPr="00576D60">
              <w:t>r. 7.5.45</w:t>
            </w:r>
            <w:r w:rsidRPr="00576D60">
              <w:tab/>
            </w:r>
          </w:p>
        </w:tc>
        <w:tc>
          <w:tcPr>
            <w:tcW w:w="3500" w:type="pct"/>
            <w:shd w:val="clear" w:color="auto" w:fill="auto"/>
          </w:tcPr>
          <w:p w14:paraId="719D40E7" w14:textId="77777777" w:rsidR="00E93F58" w:rsidRPr="00576D60" w:rsidRDefault="00E93F58" w:rsidP="002F32E3">
            <w:pPr>
              <w:pStyle w:val="ENoteTableText"/>
            </w:pPr>
            <w:r w:rsidRPr="00576D60">
              <w:t>ad. 2001 No. 319</w:t>
            </w:r>
          </w:p>
        </w:tc>
      </w:tr>
      <w:tr w:rsidR="00E93F58" w:rsidRPr="00576D60" w14:paraId="3B60C94D" w14:textId="77777777" w:rsidTr="002F32E3">
        <w:trPr>
          <w:cantSplit/>
        </w:trPr>
        <w:tc>
          <w:tcPr>
            <w:tcW w:w="1500" w:type="pct"/>
            <w:shd w:val="clear" w:color="auto" w:fill="auto"/>
          </w:tcPr>
          <w:p w14:paraId="150E308A" w14:textId="77777777" w:rsidR="00E93F58" w:rsidRPr="00576D60" w:rsidRDefault="00E93F58" w:rsidP="002F32E3">
            <w:pPr>
              <w:pStyle w:val="ENoteTableText"/>
            </w:pPr>
          </w:p>
        </w:tc>
        <w:tc>
          <w:tcPr>
            <w:tcW w:w="3500" w:type="pct"/>
            <w:shd w:val="clear" w:color="auto" w:fill="auto"/>
          </w:tcPr>
          <w:p w14:paraId="5C68CBD6" w14:textId="77777777" w:rsidR="00E93F58" w:rsidRPr="00576D60" w:rsidRDefault="00E93F58" w:rsidP="002F32E3">
            <w:pPr>
              <w:pStyle w:val="ENoteTableText"/>
            </w:pPr>
            <w:r w:rsidRPr="00576D60">
              <w:t>am. 2002 No. 282</w:t>
            </w:r>
          </w:p>
        </w:tc>
      </w:tr>
      <w:tr w:rsidR="00E93F58" w:rsidRPr="00576D60" w14:paraId="615C6BA5" w14:textId="77777777" w:rsidTr="002F32E3">
        <w:trPr>
          <w:cantSplit/>
        </w:trPr>
        <w:tc>
          <w:tcPr>
            <w:tcW w:w="1500" w:type="pct"/>
            <w:shd w:val="clear" w:color="auto" w:fill="auto"/>
          </w:tcPr>
          <w:p w14:paraId="0B1772C8" w14:textId="77777777" w:rsidR="00E93F58" w:rsidRPr="00576D60" w:rsidRDefault="00E93F58" w:rsidP="002F32E3">
            <w:pPr>
              <w:pStyle w:val="ENoteTableText"/>
            </w:pPr>
          </w:p>
        </w:tc>
        <w:tc>
          <w:tcPr>
            <w:tcW w:w="3500" w:type="pct"/>
            <w:shd w:val="clear" w:color="auto" w:fill="auto"/>
          </w:tcPr>
          <w:p w14:paraId="1D9B1409" w14:textId="77777777" w:rsidR="00E93F58" w:rsidRPr="00576D60" w:rsidRDefault="00E93F58" w:rsidP="002F32E3">
            <w:pPr>
              <w:pStyle w:val="ENoteTableText"/>
            </w:pPr>
            <w:r w:rsidRPr="00576D60">
              <w:t>rep. 2005 No. 38</w:t>
            </w:r>
          </w:p>
        </w:tc>
      </w:tr>
      <w:tr w:rsidR="00E93F58" w:rsidRPr="00576D60" w14:paraId="7D81801F" w14:textId="77777777" w:rsidTr="002F32E3">
        <w:trPr>
          <w:cantSplit/>
        </w:trPr>
        <w:tc>
          <w:tcPr>
            <w:tcW w:w="1500" w:type="pct"/>
            <w:shd w:val="clear" w:color="auto" w:fill="auto"/>
          </w:tcPr>
          <w:p w14:paraId="319A72A2" w14:textId="77777777" w:rsidR="00E93F58" w:rsidRPr="00576D60" w:rsidRDefault="00E93F58" w:rsidP="002F32E3">
            <w:pPr>
              <w:pStyle w:val="ENoteTableText"/>
              <w:tabs>
                <w:tab w:val="left" w:leader="dot" w:pos="2268"/>
              </w:tabs>
            </w:pPr>
            <w:r w:rsidRPr="00576D60">
              <w:t>r. 7.5.46</w:t>
            </w:r>
            <w:r w:rsidRPr="00576D60">
              <w:tab/>
            </w:r>
          </w:p>
        </w:tc>
        <w:tc>
          <w:tcPr>
            <w:tcW w:w="3500" w:type="pct"/>
            <w:shd w:val="clear" w:color="auto" w:fill="auto"/>
          </w:tcPr>
          <w:p w14:paraId="0D2C7497" w14:textId="77777777" w:rsidR="00E93F58" w:rsidRPr="00576D60" w:rsidRDefault="00E93F58" w:rsidP="002F32E3">
            <w:pPr>
              <w:pStyle w:val="ENoteTableText"/>
            </w:pPr>
            <w:r w:rsidRPr="00576D60">
              <w:t>ad. 2001 No. 319</w:t>
            </w:r>
          </w:p>
        </w:tc>
      </w:tr>
      <w:tr w:rsidR="00E93F58" w:rsidRPr="00576D60" w14:paraId="70CC5229" w14:textId="77777777" w:rsidTr="002F32E3">
        <w:trPr>
          <w:cantSplit/>
        </w:trPr>
        <w:tc>
          <w:tcPr>
            <w:tcW w:w="1500" w:type="pct"/>
            <w:shd w:val="clear" w:color="auto" w:fill="auto"/>
          </w:tcPr>
          <w:p w14:paraId="6C1D1919" w14:textId="77777777" w:rsidR="00E93F58" w:rsidRPr="00576D60" w:rsidRDefault="00E93F58" w:rsidP="002F32E3">
            <w:pPr>
              <w:pStyle w:val="ENoteTableText"/>
            </w:pPr>
          </w:p>
        </w:tc>
        <w:tc>
          <w:tcPr>
            <w:tcW w:w="3500" w:type="pct"/>
            <w:shd w:val="clear" w:color="auto" w:fill="auto"/>
          </w:tcPr>
          <w:p w14:paraId="3358CD64" w14:textId="77777777" w:rsidR="00E93F58" w:rsidRPr="00576D60" w:rsidRDefault="00E93F58" w:rsidP="002F32E3">
            <w:pPr>
              <w:pStyle w:val="ENoteTableText"/>
            </w:pPr>
            <w:r w:rsidRPr="00576D60">
              <w:t>am. 2002 No. 16</w:t>
            </w:r>
          </w:p>
        </w:tc>
      </w:tr>
      <w:tr w:rsidR="00E93F58" w:rsidRPr="00576D60" w14:paraId="7067A74A" w14:textId="77777777" w:rsidTr="002F32E3">
        <w:trPr>
          <w:cantSplit/>
        </w:trPr>
        <w:tc>
          <w:tcPr>
            <w:tcW w:w="1500" w:type="pct"/>
            <w:shd w:val="clear" w:color="auto" w:fill="auto"/>
          </w:tcPr>
          <w:p w14:paraId="6978F11E" w14:textId="77777777" w:rsidR="00E93F58" w:rsidRPr="00576D60" w:rsidRDefault="00E93F58" w:rsidP="002F32E3">
            <w:pPr>
              <w:pStyle w:val="ENoteTableText"/>
            </w:pPr>
          </w:p>
        </w:tc>
        <w:tc>
          <w:tcPr>
            <w:tcW w:w="3500" w:type="pct"/>
            <w:shd w:val="clear" w:color="auto" w:fill="auto"/>
          </w:tcPr>
          <w:p w14:paraId="5FC70069" w14:textId="77777777" w:rsidR="00E93F58" w:rsidRPr="00576D60" w:rsidRDefault="00E93F58" w:rsidP="002F32E3">
            <w:pPr>
              <w:pStyle w:val="ENoteTableText"/>
            </w:pPr>
            <w:r w:rsidRPr="00576D60">
              <w:t>rep. 2005 No. 38</w:t>
            </w:r>
          </w:p>
        </w:tc>
      </w:tr>
      <w:tr w:rsidR="00E93F58" w:rsidRPr="00576D60" w14:paraId="5DF3483B" w14:textId="77777777" w:rsidTr="002F32E3">
        <w:trPr>
          <w:cantSplit/>
        </w:trPr>
        <w:tc>
          <w:tcPr>
            <w:tcW w:w="1500" w:type="pct"/>
            <w:shd w:val="clear" w:color="auto" w:fill="auto"/>
          </w:tcPr>
          <w:p w14:paraId="5389B858" w14:textId="77777777" w:rsidR="00E93F58" w:rsidRPr="00576D60" w:rsidRDefault="00E93F58" w:rsidP="002F32E3">
            <w:pPr>
              <w:pStyle w:val="ENoteTableText"/>
              <w:tabs>
                <w:tab w:val="left" w:leader="dot" w:pos="2268"/>
              </w:tabs>
            </w:pPr>
            <w:r w:rsidRPr="00576D60">
              <w:lastRenderedPageBreak/>
              <w:t>r. 7.5.47</w:t>
            </w:r>
            <w:r w:rsidRPr="00576D60">
              <w:tab/>
            </w:r>
          </w:p>
        </w:tc>
        <w:tc>
          <w:tcPr>
            <w:tcW w:w="3500" w:type="pct"/>
            <w:shd w:val="clear" w:color="auto" w:fill="auto"/>
          </w:tcPr>
          <w:p w14:paraId="6571E88D" w14:textId="77777777" w:rsidR="00E93F58" w:rsidRPr="00576D60" w:rsidRDefault="00E93F58" w:rsidP="002F32E3">
            <w:pPr>
              <w:pStyle w:val="ENoteTableText"/>
            </w:pPr>
            <w:r w:rsidRPr="00576D60">
              <w:t>ad. 2001 No. 319</w:t>
            </w:r>
          </w:p>
        </w:tc>
      </w:tr>
      <w:tr w:rsidR="00E93F58" w:rsidRPr="00576D60" w14:paraId="2213A8E8" w14:textId="77777777" w:rsidTr="002F32E3">
        <w:trPr>
          <w:cantSplit/>
        </w:trPr>
        <w:tc>
          <w:tcPr>
            <w:tcW w:w="1500" w:type="pct"/>
            <w:shd w:val="clear" w:color="auto" w:fill="auto"/>
          </w:tcPr>
          <w:p w14:paraId="5926E58F" w14:textId="77777777" w:rsidR="00E93F58" w:rsidRPr="00576D60" w:rsidRDefault="00E93F58" w:rsidP="002F32E3">
            <w:pPr>
              <w:pStyle w:val="ENoteTableText"/>
            </w:pPr>
          </w:p>
        </w:tc>
        <w:tc>
          <w:tcPr>
            <w:tcW w:w="3500" w:type="pct"/>
            <w:shd w:val="clear" w:color="auto" w:fill="auto"/>
          </w:tcPr>
          <w:p w14:paraId="44418EE4" w14:textId="77777777" w:rsidR="00E93F58" w:rsidRPr="00576D60" w:rsidRDefault="00E93F58" w:rsidP="002F32E3">
            <w:pPr>
              <w:pStyle w:val="ENoteTableText"/>
            </w:pPr>
            <w:r w:rsidRPr="00576D60">
              <w:t>rep. 2002 No. 282</w:t>
            </w:r>
          </w:p>
        </w:tc>
      </w:tr>
      <w:tr w:rsidR="00E93F58" w:rsidRPr="00576D60" w14:paraId="42F95F77" w14:textId="77777777" w:rsidTr="002F32E3">
        <w:trPr>
          <w:cantSplit/>
        </w:trPr>
        <w:tc>
          <w:tcPr>
            <w:tcW w:w="1500" w:type="pct"/>
            <w:shd w:val="clear" w:color="auto" w:fill="auto"/>
          </w:tcPr>
          <w:p w14:paraId="67438B38" w14:textId="77777777" w:rsidR="00E93F58" w:rsidRPr="00576D60" w:rsidRDefault="00E93F58" w:rsidP="002F32E3">
            <w:pPr>
              <w:pStyle w:val="ENoteTableText"/>
              <w:tabs>
                <w:tab w:val="left" w:leader="dot" w:pos="2268"/>
              </w:tabs>
            </w:pPr>
            <w:r>
              <w:t>Subdivision 4</w:t>
            </w:r>
            <w:r w:rsidRPr="00576D60">
              <w:t>.6</w:t>
            </w:r>
            <w:r w:rsidRPr="00576D60">
              <w:tab/>
            </w:r>
          </w:p>
        </w:tc>
        <w:tc>
          <w:tcPr>
            <w:tcW w:w="3500" w:type="pct"/>
            <w:shd w:val="clear" w:color="auto" w:fill="auto"/>
          </w:tcPr>
          <w:p w14:paraId="2540D35D" w14:textId="77777777" w:rsidR="00E93F58" w:rsidRPr="00576D60" w:rsidRDefault="00E93F58" w:rsidP="002F32E3">
            <w:pPr>
              <w:pStyle w:val="ENoteTableText"/>
            </w:pPr>
            <w:r w:rsidRPr="00576D60">
              <w:t>rep. 2002 No. 282</w:t>
            </w:r>
          </w:p>
        </w:tc>
      </w:tr>
      <w:tr w:rsidR="00E93F58" w:rsidRPr="00576D60" w14:paraId="65A5B04A" w14:textId="77777777" w:rsidTr="002F32E3">
        <w:trPr>
          <w:cantSplit/>
        </w:trPr>
        <w:tc>
          <w:tcPr>
            <w:tcW w:w="1500" w:type="pct"/>
            <w:shd w:val="clear" w:color="auto" w:fill="auto"/>
          </w:tcPr>
          <w:p w14:paraId="73D03969" w14:textId="77777777" w:rsidR="00E93F58" w:rsidRPr="00576D60" w:rsidRDefault="00E93F58" w:rsidP="002F32E3">
            <w:pPr>
              <w:pStyle w:val="ENoteTableText"/>
              <w:tabs>
                <w:tab w:val="left" w:leader="dot" w:pos="2268"/>
              </w:tabs>
            </w:pPr>
            <w:r w:rsidRPr="00576D60">
              <w:t>r. 7.5.48</w:t>
            </w:r>
            <w:r w:rsidRPr="00576D60">
              <w:tab/>
            </w:r>
          </w:p>
        </w:tc>
        <w:tc>
          <w:tcPr>
            <w:tcW w:w="3500" w:type="pct"/>
            <w:shd w:val="clear" w:color="auto" w:fill="auto"/>
          </w:tcPr>
          <w:p w14:paraId="1637618A" w14:textId="77777777" w:rsidR="00E93F58" w:rsidRPr="00576D60" w:rsidRDefault="00E93F58" w:rsidP="002F32E3">
            <w:pPr>
              <w:pStyle w:val="ENoteTableText"/>
            </w:pPr>
            <w:r w:rsidRPr="00576D60">
              <w:t>ad. 2001 No. 319</w:t>
            </w:r>
          </w:p>
        </w:tc>
      </w:tr>
      <w:tr w:rsidR="00E93F58" w:rsidRPr="00576D60" w14:paraId="4B412480" w14:textId="77777777" w:rsidTr="002F32E3">
        <w:trPr>
          <w:cantSplit/>
        </w:trPr>
        <w:tc>
          <w:tcPr>
            <w:tcW w:w="1500" w:type="pct"/>
            <w:shd w:val="clear" w:color="auto" w:fill="auto"/>
          </w:tcPr>
          <w:p w14:paraId="2068F9D3" w14:textId="77777777" w:rsidR="00E93F58" w:rsidRPr="00576D60" w:rsidRDefault="00E93F58" w:rsidP="002F32E3">
            <w:pPr>
              <w:pStyle w:val="ENoteTableText"/>
            </w:pPr>
          </w:p>
        </w:tc>
        <w:tc>
          <w:tcPr>
            <w:tcW w:w="3500" w:type="pct"/>
            <w:shd w:val="clear" w:color="auto" w:fill="auto"/>
          </w:tcPr>
          <w:p w14:paraId="7644DF8D" w14:textId="77777777" w:rsidR="00E93F58" w:rsidRPr="00576D60" w:rsidRDefault="00E93F58" w:rsidP="002F32E3">
            <w:pPr>
              <w:pStyle w:val="ENoteTableText"/>
            </w:pPr>
            <w:r w:rsidRPr="00576D60">
              <w:t>rep. 2002 No. 282</w:t>
            </w:r>
          </w:p>
        </w:tc>
      </w:tr>
      <w:tr w:rsidR="00E93F58" w:rsidRPr="00576D60" w14:paraId="580B69EE" w14:textId="77777777" w:rsidTr="002F32E3">
        <w:trPr>
          <w:cantSplit/>
        </w:trPr>
        <w:tc>
          <w:tcPr>
            <w:tcW w:w="1500" w:type="pct"/>
            <w:shd w:val="clear" w:color="auto" w:fill="auto"/>
          </w:tcPr>
          <w:p w14:paraId="1D221B25" w14:textId="77777777" w:rsidR="00E93F58" w:rsidRPr="00576D60" w:rsidRDefault="00E93F58" w:rsidP="002F32E3">
            <w:pPr>
              <w:pStyle w:val="ENoteTableText"/>
              <w:tabs>
                <w:tab w:val="left" w:leader="dot" w:pos="2268"/>
              </w:tabs>
            </w:pPr>
            <w:r w:rsidRPr="00576D60">
              <w:t>r. 7.5.49</w:t>
            </w:r>
            <w:r w:rsidRPr="00576D60">
              <w:tab/>
            </w:r>
          </w:p>
        </w:tc>
        <w:tc>
          <w:tcPr>
            <w:tcW w:w="3500" w:type="pct"/>
            <w:shd w:val="clear" w:color="auto" w:fill="auto"/>
          </w:tcPr>
          <w:p w14:paraId="40780959" w14:textId="77777777" w:rsidR="00E93F58" w:rsidRPr="00576D60" w:rsidRDefault="00E93F58" w:rsidP="002F32E3">
            <w:pPr>
              <w:pStyle w:val="ENoteTableText"/>
            </w:pPr>
            <w:r w:rsidRPr="00576D60">
              <w:t>ad. 2001 No. 319</w:t>
            </w:r>
          </w:p>
        </w:tc>
      </w:tr>
      <w:tr w:rsidR="00E93F58" w:rsidRPr="00576D60" w14:paraId="367DE70C" w14:textId="77777777" w:rsidTr="002F32E3">
        <w:trPr>
          <w:cantSplit/>
        </w:trPr>
        <w:tc>
          <w:tcPr>
            <w:tcW w:w="1500" w:type="pct"/>
            <w:shd w:val="clear" w:color="auto" w:fill="auto"/>
          </w:tcPr>
          <w:p w14:paraId="48EBBE0E" w14:textId="77777777" w:rsidR="00E93F58" w:rsidRPr="00576D60" w:rsidRDefault="00E93F58" w:rsidP="002F32E3">
            <w:pPr>
              <w:pStyle w:val="ENoteTableText"/>
            </w:pPr>
          </w:p>
        </w:tc>
        <w:tc>
          <w:tcPr>
            <w:tcW w:w="3500" w:type="pct"/>
            <w:shd w:val="clear" w:color="auto" w:fill="auto"/>
          </w:tcPr>
          <w:p w14:paraId="16E6FCD3" w14:textId="77777777" w:rsidR="00E93F58" w:rsidRPr="00576D60" w:rsidRDefault="00E93F58" w:rsidP="002F32E3">
            <w:pPr>
              <w:pStyle w:val="ENoteTableText"/>
            </w:pPr>
            <w:r w:rsidRPr="00576D60">
              <w:t>rep. 2002 No. 282</w:t>
            </w:r>
          </w:p>
        </w:tc>
      </w:tr>
      <w:tr w:rsidR="00E93F58" w:rsidRPr="00576D60" w14:paraId="65D8A25F" w14:textId="77777777" w:rsidTr="002F32E3">
        <w:trPr>
          <w:cantSplit/>
        </w:trPr>
        <w:tc>
          <w:tcPr>
            <w:tcW w:w="1500" w:type="pct"/>
            <w:shd w:val="clear" w:color="auto" w:fill="auto"/>
          </w:tcPr>
          <w:p w14:paraId="17157A46" w14:textId="77777777" w:rsidR="00E93F58" w:rsidRPr="00576D60" w:rsidRDefault="00E93F58" w:rsidP="002F32E3">
            <w:pPr>
              <w:pStyle w:val="ENoteTableText"/>
              <w:tabs>
                <w:tab w:val="left" w:leader="dot" w:pos="2268"/>
              </w:tabs>
            </w:pPr>
            <w:r w:rsidRPr="00576D60">
              <w:t>r. 7.5.50</w:t>
            </w:r>
            <w:r w:rsidRPr="00576D60">
              <w:tab/>
            </w:r>
          </w:p>
        </w:tc>
        <w:tc>
          <w:tcPr>
            <w:tcW w:w="3500" w:type="pct"/>
            <w:shd w:val="clear" w:color="auto" w:fill="auto"/>
          </w:tcPr>
          <w:p w14:paraId="2E008AC6" w14:textId="77777777" w:rsidR="00E93F58" w:rsidRPr="00576D60" w:rsidRDefault="00E93F58" w:rsidP="002F32E3">
            <w:pPr>
              <w:pStyle w:val="ENoteTableText"/>
            </w:pPr>
            <w:r w:rsidRPr="00576D60">
              <w:t>ad. 2001 No. 319</w:t>
            </w:r>
          </w:p>
        </w:tc>
      </w:tr>
      <w:tr w:rsidR="00E93F58" w:rsidRPr="00576D60" w14:paraId="2C62DBDA" w14:textId="77777777" w:rsidTr="002F32E3">
        <w:trPr>
          <w:cantSplit/>
        </w:trPr>
        <w:tc>
          <w:tcPr>
            <w:tcW w:w="1500" w:type="pct"/>
            <w:shd w:val="clear" w:color="auto" w:fill="auto"/>
          </w:tcPr>
          <w:p w14:paraId="42DA0B8D" w14:textId="77777777" w:rsidR="00E93F58" w:rsidRPr="00576D60" w:rsidRDefault="00E93F58" w:rsidP="002F32E3">
            <w:pPr>
              <w:pStyle w:val="ENoteTableText"/>
            </w:pPr>
          </w:p>
        </w:tc>
        <w:tc>
          <w:tcPr>
            <w:tcW w:w="3500" w:type="pct"/>
            <w:shd w:val="clear" w:color="auto" w:fill="auto"/>
          </w:tcPr>
          <w:p w14:paraId="41F9EF6C" w14:textId="77777777" w:rsidR="00E93F58" w:rsidRPr="00576D60" w:rsidRDefault="00E93F58" w:rsidP="002F32E3">
            <w:pPr>
              <w:pStyle w:val="ENoteTableText"/>
            </w:pPr>
            <w:r w:rsidRPr="00576D60">
              <w:t>rep. 2002 No. 282</w:t>
            </w:r>
          </w:p>
        </w:tc>
      </w:tr>
      <w:tr w:rsidR="00E93F58" w:rsidRPr="00576D60" w14:paraId="2DCE6F5D" w14:textId="77777777" w:rsidTr="002F32E3">
        <w:trPr>
          <w:cantSplit/>
        </w:trPr>
        <w:tc>
          <w:tcPr>
            <w:tcW w:w="1500" w:type="pct"/>
            <w:shd w:val="clear" w:color="auto" w:fill="auto"/>
          </w:tcPr>
          <w:p w14:paraId="6798F6F6" w14:textId="77777777" w:rsidR="00E93F58" w:rsidRPr="00576D60" w:rsidRDefault="00E93F58" w:rsidP="002F32E3">
            <w:pPr>
              <w:pStyle w:val="ENoteTableText"/>
              <w:tabs>
                <w:tab w:val="left" w:leader="dot" w:pos="2268"/>
              </w:tabs>
            </w:pPr>
            <w:r w:rsidRPr="00576D60">
              <w:t>r. 7.5.51</w:t>
            </w:r>
            <w:r w:rsidRPr="00576D60">
              <w:tab/>
            </w:r>
          </w:p>
        </w:tc>
        <w:tc>
          <w:tcPr>
            <w:tcW w:w="3500" w:type="pct"/>
            <w:shd w:val="clear" w:color="auto" w:fill="auto"/>
          </w:tcPr>
          <w:p w14:paraId="7247211E" w14:textId="77777777" w:rsidR="00E93F58" w:rsidRPr="00576D60" w:rsidRDefault="00E93F58" w:rsidP="002F32E3">
            <w:pPr>
              <w:pStyle w:val="ENoteTableText"/>
            </w:pPr>
            <w:r w:rsidRPr="00576D60">
              <w:t>ad. 2001 No. 319</w:t>
            </w:r>
          </w:p>
        </w:tc>
      </w:tr>
      <w:tr w:rsidR="00E93F58" w:rsidRPr="00576D60" w14:paraId="4B311F87" w14:textId="77777777" w:rsidTr="002F32E3">
        <w:trPr>
          <w:cantSplit/>
        </w:trPr>
        <w:tc>
          <w:tcPr>
            <w:tcW w:w="1500" w:type="pct"/>
            <w:shd w:val="clear" w:color="auto" w:fill="auto"/>
          </w:tcPr>
          <w:p w14:paraId="6393192D" w14:textId="77777777" w:rsidR="00E93F58" w:rsidRPr="00576D60" w:rsidRDefault="00E93F58" w:rsidP="002F32E3">
            <w:pPr>
              <w:pStyle w:val="ENoteTableText"/>
            </w:pPr>
          </w:p>
        </w:tc>
        <w:tc>
          <w:tcPr>
            <w:tcW w:w="3500" w:type="pct"/>
            <w:shd w:val="clear" w:color="auto" w:fill="auto"/>
          </w:tcPr>
          <w:p w14:paraId="1D39BDC0" w14:textId="77777777" w:rsidR="00E93F58" w:rsidRPr="00576D60" w:rsidRDefault="00E93F58" w:rsidP="002F32E3">
            <w:pPr>
              <w:pStyle w:val="ENoteTableText"/>
            </w:pPr>
            <w:r w:rsidRPr="00576D60">
              <w:t>rep. 2002 No. 282</w:t>
            </w:r>
          </w:p>
        </w:tc>
      </w:tr>
      <w:tr w:rsidR="00E93F58" w:rsidRPr="00576D60" w14:paraId="27F2EF6F" w14:textId="77777777" w:rsidTr="002F32E3">
        <w:trPr>
          <w:cantSplit/>
        </w:trPr>
        <w:tc>
          <w:tcPr>
            <w:tcW w:w="1500" w:type="pct"/>
            <w:shd w:val="clear" w:color="auto" w:fill="auto"/>
          </w:tcPr>
          <w:p w14:paraId="36936166" w14:textId="77777777" w:rsidR="00E93F58" w:rsidRPr="00576D60" w:rsidRDefault="00E93F58" w:rsidP="002F32E3">
            <w:pPr>
              <w:pStyle w:val="ENoteTableText"/>
              <w:tabs>
                <w:tab w:val="left" w:leader="dot" w:pos="2268"/>
              </w:tabs>
            </w:pPr>
            <w:r w:rsidRPr="00576D60">
              <w:t>r. 7.5.52</w:t>
            </w:r>
            <w:r w:rsidRPr="00576D60">
              <w:tab/>
            </w:r>
          </w:p>
        </w:tc>
        <w:tc>
          <w:tcPr>
            <w:tcW w:w="3500" w:type="pct"/>
            <w:shd w:val="clear" w:color="auto" w:fill="auto"/>
          </w:tcPr>
          <w:p w14:paraId="4F0C5A59" w14:textId="77777777" w:rsidR="00E93F58" w:rsidRPr="00576D60" w:rsidRDefault="00E93F58" w:rsidP="002F32E3">
            <w:pPr>
              <w:pStyle w:val="ENoteTableText"/>
            </w:pPr>
            <w:r w:rsidRPr="00576D60">
              <w:t>ad. 2001 No. 319</w:t>
            </w:r>
          </w:p>
        </w:tc>
      </w:tr>
      <w:tr w:rsidR="00E93F58" w:rsidRPr="00576D60" w14:paraId="20A57A5A" w14:textId="77777777" w:rsidTr="002F32E3">
        <w:trPr>
          <w:cantSplit/>
        </w:trPr>
        <w:tc>
          <w:tcPr>
            <w:tcW w:w="1500" w:type="pct"/>
            <w:shd w:val="clear" w:color="auto" w:fill="auto"/>
          </w:tcPr>
          <w:p w14:paraId="2DD84CC4" w14:textId="77777777" w:rsidR="00E93F58" w:rsidRPr="00576D60" w:rsidRDefault="00E93F58" w:rsidP="002F32E3">
            <w:pPr>
              <w:pStyle w:val="ENoteTableText"/>
            </w:pPr>
          </w:p>
        </w:tc>
        <w:tc>
          <w:tcPr>
            <w:tcW w:w="3500" w:type="pct"/>
            <w:shd w:val="clear" w:color="auto" w:fill="auto"/>
          </w:tcPr>
          <w:p w14:paraId="5E05D411" w14:textId="77777777" w:rsidR="00E93F58" w:rsidRPr="00576D60" w:rsidRDefault="00E93F58" w:rsidP="002F32E3">
            <w:pPr>
              <w:pStyle w:val="ENoteTableText"/>
            </w:pPr>
            <w:r w:rsidRPr="00576D60">
              <w:t>am. 2002 No. 16</w:t>
            </w:r>
          </w:p>
        </w:tc>
      </w:tr>
      <w:tr w:rsidR="00E93F58" w:rsidRPr="00576D60" w14:paraId="1483B9E2" w14:textId="77777777" w:rsidTr="002F32E3">
        <w:trPr>
          <w:cantSplit/>
        </w:trPr>
        <w:tc>
          <w:tcPr>
            <w:tcW w:w="1500" w:type="pct"/>
            <w:shd w:val="clear" w:color="auto" w:fill="auto"/>
          </w:tcPr>
          <w:p w14:paraId="075390F0" w14:textId="77777777" w:rsidR="00E93F58" w:rsidRPr="00576D60" w:rsidRDefault="00E93F58" w:rsidP="002F32E3">
            <w:pPr>
              <w:pStyle w:val="ENoteTableText"/>
            </w:pPr>
          </w:p>
        </w:tc>
        <w:tc>
          <w:tcPr>
            <w:tcW w:w="3500" w:type="pct"/>
            <w:shd w:val="clear" w:color="auto" w:fill="auto"/>
          </w:tcPr>
          <w:p w14:paraId="2BEBEA2E" w14:textId="77777777" w:rsidR="00E93F58" w:rsidRPr="00576D60" w:rsidRDefault="00E93F58" w:rsidP="002F32E3">
            <w:pPr>
              <w:pStyle w:val="ENoteTableText"/>
            </w:pPr>
            <w:r w:rsidRPr="00576D60">
              <w:t>rep. 2002 No. 282</w:t>
            </w:r>
          </w:p>
        </w:tc>
      </w:tr>
      <w:tr w:rsidR="00E93F58" w:rsidRPr="00576D60" w14:paraId="55DD444F" w14:textId="77777777" w:rsidTr="002F32E3">
        <w:trPr>
          <w:cantSplit/>
        </w:trPr>
        <w:tc>
          <w:tcPr>
            <w:tcW w:w="1500" w:type="pct"/>
            <w:shd w:val="clear" w:color="auto" w:fill="auto"/>
          </w:tcPr>
          <w:p w14:paraId="1C7EDE68" w14:textId="77777777" w:rsidR="00E93F58" w:rsidRPr="00576D60" w:rsidRDefault="00E93F58" w:rsidP="00E942B6">
            <w:pPr>
              <w:pStyle w:val="ENoteTableText"/>
              <w:keepNext/>
              <w:tabs>
                <w:tab w:val="left" w:leader="dot" w:pos="2268"/>
              </w:tabs>
              <w:rPr>
                <w:b/>
              </w:rPr>
            </w:pPr>
            <w:r>
              <w:rPr>
                <w:b/>
              </w:rPr>
              <w:t>Subdivision 4</w:t>
            </w:r>
            <w:r w:rsidRPr="00576D60">
              <w:rPr>
                <w:b/>
              </w:rPr>
              <w:t>.7</w:t>
            </w:r>
          </w:p>
        </w:tc>
        <w:tc>
          <w:tcPr>
            <w:tcW w:w="3500" w:type="pct"/>
            <w:shd w:val="clear" w:color="auto" w:fill="auto"/>
          </w:tcPr>
          <w:p w14:paraId="4A270450" w14:textId="77777777" w:rsidR="00E93F58" w:rsidRPr="00576D60" w:rsidRDefault="00E93F58" w:rsidP="002F32E3">
            <w:pPr>
              <w:pStyle w:val="ENoteTableText"/>
            </w:pPr>
          </w:p>
        </w:tc>
      </w:tr>
      <w:tr w:rsidR="00E93F58" w:rsidRPr="00576D60" w14:paraId="542D9844" w14:textId="77777777" w:rsidTr="002F32E3">
        <w:trPr>
          <w:cantSplit/>
        </w:trPr>
        <w:tc>
          <w:tcPr>
            <w:tcW w:w="1500" w:type="pct"/>
            <w:shd w:val="clear" w:color="auto" w:fill="auto"/>
          </w:tcPr>
          <w:p w14:paraId="24925CF9" w14:textId="77777777" w:rsidR="00E93F58" w:rsidRPr="00576D60" w:rsidRDefault="00E93F58" w:rsidP="002F32E3">
            <w:pPr>
              <w:pStyle w:val="ENoteTableText"/>
              <w:tabs>
                <w:tab w:val="left" w:leader="dot" w:pos="2268"/>
              </w:tabs>
            </w:pPr>
            <w:r w:rsidRPr="00576D60">
              <w:t>r. 7.5.53</w:t>
            </w:r>
            <w:r w:rsidRPr="00576D60">
              <w:tab/>
            </w:r>
          </w:p>
        </w:tc>
        <w:tc>
          <w:tcPr>
            <w:tcW w:w="3500" w:type="pct"/>
            <w:shd w:val="clear" w:color="auto" w:fill="auto"/>
          </w:tcPr>
          <w:p w14:paraId="1E0580DE" w14:textId="77777777" w:rsidR="00E93F58" w:rsidRPr="00576D60" w:rsidRDefault="00E93F58" w:rsidP="002F32E3">
            <w:pPr>
              <w:pStyle w:val="ENoteTableText"/>
            </w:pPr>
            <w:r w:rsidRPr="00576D60">
              <w:t>ad. 2001 No. 319</w:t>
            </w:r>
          </w:p>
        </w:tc>
      </w:tr>
      <w:tr w:rsidR="00E93F58" w:rsidRPr="00576D60" w14:paraId="0A2BFB5E" w14:textId="77777777" w:rsidTr="002F32E3">
        <w:trPr>
          <w:cantSplit/>
        </w:trPr>
        <w:tc>
          <w:tcPr>
            <w:tcW w:w="1500" w:type="pct"/>
            <w:shd w:val="clear" w:color="auto" w:fill="auto"/>
          </w:tcPr>
          <w:p w14:paraId="74375DD0" w14:textId="77777777" w:rsidR="00E93F58" w:rsidRPr="00576D60" w:rsidRDefault="00E93F58" w:rsidP="002F32E3">
            <w:pPr>
              <w:pStyle w:val="ENoteTableText"/>
              <w:tabs>
                <w:tab w:val="left" w:leader="dot" w:pos="2268"/>
              </w:tabs>
            </w:pPr>
            <w:r w:rsidRPr="00576D60">
              <w:t>r. 7.5.54</w:t>
            </w:r>
            <w:r w:rsidRPr="00576D60">
              <w:tab/>
            </w:r>
          </w:p>
        </w:tc>
        <w:tc>
          <w:tcPr>
            <w:tcW w:w="3500" w:type="pct"/>
            <w:shd w:val="clear" w:color="auto" w:fill="auto"/>
          </w:tcPr>
          <w:p w14:paraId="0B16F119" w14:textId="77777777" w:rsidR="00E93F58" w:rsidRPr="00576D60" w:rsidRDefault="00E93F58" w:rsidP="002F32E3">
            <w:pPr>
              <w:pStyle w:val="ENoteTableText"/>
            </w:pPr>
            <w:r w:rsidRPr="00576D60">
              <w:t>ad. 2001 No. 319</w:t>
            </w:r>
          </w:p>
        </w:tc>
      </w:tr>
      <w:tr w:rsidR="00E93F58" w:rsidRPr="00576D60" w14:paraId="06DC660B" w14:textId="77777777" w:rsidTr="002F32E3">
        <w:trPr>
          <w:cantSplit/>
        </w:trPr>
        <w:tc>
          <w:tcPr>
            <w:tcW w:w="1500" w:type="pct"/>
            <w:shd w:val="clear" w:color="auto" w:fill="auto"/>
          </w:tcPr>
          <w:p w14:paraId="5456E9DD" w14:textId="77777777" w:rsidR="00E93F58" w:rsidRPr="00576D60" w:rsidRDefault="00E93F58" w:rsidP="002F32E3">
            <w:pPr>
              <w:pStyle w:val="ENoteTableText"/>
              <w:tabs>
                <w:tab w:val="left" w:leader="dot" w:pos="2268"/>
              </w:tabs>
            </w:pPr>
            <w:r w:rsidRPr="00576D60">
              <w:t>r. 7.5.55</w:t>
            </w:r>
            <w:r w:rsidRPr="00576D60">
              <w:tab/>
            </w:r>
          </w:p>
        </w:tc>
        <w:tc>
          <w:tcPr>
            <w:tcW w:w="3500" w:type="pct"/>
            <w:shd w:val="clear" w:color="auto" w:fill="auto"/>
          </w:tcPr>
          <w:p w14:paraId="25569D47" w14:textId="77777777" w:rsidR="00E93F58" w:rsidRPr="00576D60" w:rsidRDefault="00E93F58" w:rsidP="002F32E3">
            <w:pPr>
              <w:pStyle w:val="ENoteTableText"/>
            </w:pPr>
            <w:r w:rsidRPr="00576D60">
              <w:t>ad. 2001 No. 319</w:t>
            </w:r>
          </w:p>
        </w:tc>
      </w:tr>
      <w:tr w:rsidR="00E93F58" w:rsidRPr="00576D60" w14:paraId="36842490" w14:textId="77777777" w:rsidTr="002F32E3">
        <w:trPr>
          <w:cantSplit/>
        </w:trPr>
        <w:tc>
          <w:tcPr>
            <w:tcW w:w="1500" w:type="pct"/>
            <w:shd w:val="clear" w:color="auto" w:fill="auto"/>
          </w:tcPr>
          <w:p w14:paraId="50435EC8" w14:textId="77777777" w:rsidR="00E93F58" w:rsidRPr="00576D60" w:rsidRDefault="00E93F58" w:rsidP="002F32E3">
            <w:pPr>
              <w:pStyle w:val="ENoteTableText"/>
              <w:tabs>
                <w:tab w:val="left" w:leader="dot" w:pos="2268"/>
              </w:tabs>
            </w:pPr>
            <w:r w:rsidRPr="00576D60">
              <w:t>r 7.5.56</w:t>
            </w:r>
            <w:r w:rsidRPr="00576D60">
              <w:tab/>
            </w:r>
          </w:p>
        </w:tc>
        <w:tc>
          <w:tcPr>
            <w:tcW w:w="3500" w:type="pct"/>
            <w:shd w:val="clear" w:color="auto" w:fill="auto"/>
          </w:tcPr>
          <w:p w14:paraId="4397EDA1" w14:textId="77777777" w:rsidR="00E93F58" w:rsidRPr="00576D60" w:rsidRDefault="00E93F58" w:rsidP="002F32E3">
            <w:pPr>
              <w:pStyle w:val="ENoteTableText"/>
            </w:pPr>
            <w:r w:rsidRPr="00576D60">
              <w:t>ad</w:t>
            </w:r>
            <w:r>
              <w:t xml:space="preserve"> No 319, 2001</w:t>
            </w:r>
          </w:p>
        </w:tc>
      </w:tr>
      <w:tr w:rsidR="00E93F58" w:rsidRPr="00576D60" w14:paraId="6AA74AE0" w14:textId="77777777" w:rsidTr="002F32E3">
        <w:trPr>
          <w:cantSplit/>
        </w:trPr>
        <w:tc>
          <w:tcPr>
            <w:tcW w:w="1500" w:type="pct"/>
            <w:shd w:val="clear" w:color="auto" w:fill="auto"/>
          </w:tcPr>
          <w:p w14:paraId="067B7172" w14:textId="77777777" w:rsidR="00E93F58" w:rsidRPr="00576D60" w:rsidRDefault="00E93F58" w:rsidP="002F32E3">
            <w:pPr>
              <w:pStyle w:val="ENoteTableText"/>
              <w:tabs>
                <w:tab w:val="left" w:leader="dot" w:pos="2268"/>
              </w:tabs>
            </w:pPr>
          </w:p>
        </w:tc>
        <w:tc>
          <w:tcPr>
            <w:tcW w:w="3500" w:type="pct"/>
            <w:shd w:val="clear" w:color="auto" w:fill="auto"/>
          </w:tcPr>
          <w:p w14:paraId="48BBE0AE" w14:textId="77777777" w:rsidR="00E93F58" w:rsidRPr="00576D60" w:rsidRDefault="00E93F58" w:rsidP="002F32E3">
            <w:pPr>
              <w:pStyle w:val="ENoteTableText"/>
            </w:pPr>
            <w:r>
              <w:t xml:space="preserve">am </w:t>
            </w:r>
            <w:r w:rsidRPr="00C42170">
              <w:rPr>
                <w:u w:val="single"/>
              </w:rPr>
              <w:t>F2023L01423</w:t>
            </w:r>
          </w:p>
        </w:tc>
      </w:tr>
      <w:tr w:rsidR="00E93F58" w:rsidRPr="00576D60" w14:paraId="5DB5CEF9" w14:textId="77777777" w:rsidTr="002F32E3">
        <w:trPr>
          <w:cantSplit/>
        </w:trPr>
        <w:tc>
          <w:tcPr>
            <w:tcW w:w="1500" w:type="pct"/>
            <w:shd w:val="clear" w:color="auto" w:fill="auto"/>
          </w:tcPr>
          <w:p w14:paraId="2EF06125" w14:textId="77777777" w:rsidR="00E93F58" w:rsidRPr="00576D60" w:rsidRDefault="00E93F58" w:rsidP="002F32E3">
            <w:pPr>
              <w:pStyle w:val="ENoteTableText"/>
              <w:tabs>
                <w:tab w:val="left" w:leader="dot" w:pos="2268"/>
              </w:tabs>
            </w:pPr>
            <w:r w:rsidRPr="00576D60">
              <w:t>r. 7.5.57</w:t>
            </w:r>
            <w:r w:rsidRPr="00576D60">
              <w:tab/>
            </w:r>
          </w:p>
        </w:tc>
        <w:tc>
          <w:tcPr>
            <w:tcW w:w="3500" w:type="pct"/>
            <w:shd w:val="clear" w:color="auto" w:fill="auto"/>
          </w:tcPr>
          <w:p w14:paraId="56CBA640" w14:textId="77777777" w:rsidR="00E93F58" w:rsidRPr="00576D60" w:rsidRDefault="00E93F58" w:rsidP="002F32E3">
            <w:pPr>
              <w:pStyle w:val="ENoteTableText"/>
            </w:pPr>
            <w:r w:rsidRPr="00576D60">
              <w:t>ad. 2001 No. 319</w:t>
            </w:r>
          </w:p>
        </w:tc>
      </w:tr>
      <w:tr w:rsidR="00E93F58" w:rsidRPr="00576D60" w14:paraId="772B5A08" w14:textId="77777777" w:rsidTr="002F32E3">
        <w:trPr>
          <w:cantSplit/>
        </w:trPr>
        <w:tc>
          <w:tcPr>
            <w:tcW w:w="1500" w:type="pct"/>
            <w:shd w:val="clear" w:color="auto" w:fill="auto"/>
          </w:tcPr>
          <w:p w14:paraId="22D20B9D" w14:textId="77777777" w:rsidR="00E93F58" w:rsidRPr="00576D60" w:rsidRDefault="00E93F58" w:rsidP="002F32E3">
            <w:pPr>
              <w:pStyle w:val="ENoteTableText"/>
              <w:tabs>
                <w:tab w:val="left" w:leader="dot" w:pos="2268"/>
              </w:tabs>
            </w:pPr>
            <w:r w:rsidRPr="00576D60">
              <w:t>r. 7.5.58</w:t>
            </w:r>
            <w:r w:rsidRPr="00576D60">
              <w:tab/>
            </w:r>
          </w:p>
        </w:tc>
        <w:tc>
          <w:tcPr>
            <w:tcW w:w="3500" w:type="pct"/>
            <w:shd w:val="clear" w:color="auto" w:fill="auto"/>
          </w:tcPr>
          <w:p w14:paraId="6F1441C0" w14:textId="77777777" w:rsidR="00E93F58" w:rsidRPr="00576D60" w:rsidRDefault="00E93F58" w:rsidP="002F32E3">
            <w:pPr>
              <w:pStyle w:val="ENoteTableText"/>
            </w:pPr>
            <w:r w:rsidRPr="00576D60">
              <w:t>ad. 2001 No. 319</w:t>
            </w:r>
          </w:p>
        </w:tc>
      </w:tr>
      <w:tr w:rsidR="00E93F58" w:rsidRPr="00576D60" w14:paraId="05FA621C" w14:textId="77777777" w:rsidTr="002F32E3">
        <w:trPr>
          <w:cantSplit/>
        </w:trPr>
        <w:tc>
          <w:tcPr>
            <w:tcW w:w="1500" w:type="pct"/>
            <w:shd w:val="clear" w:color="auto" w:fill="auto"/>
          </w:tcPr>
          <w:p w14:paraId="5529EBB4" w14:textId="77777777" w:rsidR="00E93F58" w:rsidRPr="00576D60" w:rsidRDefault="00E93F58" w:rsidP="002F32E3">
            <w:pPr>
              <w:pStyle w:val="ENoteTableText"/>
              <w:tabs>
                <w:tab w:val="left" w:leader="dot" w:pos="2268"/>
              </w:tabs>
            </w:pPr>
            <w:r w:rsidRPr="00576D60">
              <w:t>r. 7.5.59</w:t>
            </w:r>
            <w:r w:rsidRPr="00576D60">
              <w:tab/>
            </w:r>
          </w:p>
        </w:tc>
        <w:tc>
          <w:tcPr>
            <w:tcW w:w="3500" w:type="pct"/>
            <w:shd w:val="clear" w:color="auto" w:fill="auto"/>
          </w:tcPr>
          <w:p w14:paraId="4444298A" w14:textId="77777777" w:rsidR="00E93F58" w:rsidRPr="00576D60" w:rsidRDefault="00E93F58" w:rsidP="002F32E3">
            <w:pPr>
              <w:pStyle w:val="ENoteTableText"/>
            </w:pPr>
            <w:r w:rsidRPr="00576D60">
              <w:t>ad. 2001 No. 319</w:t>
            </w:r>
          </w:p>
        </w:tc>
      </w:tr>
      <w:tr w:rsidR="00E93F58" w:rsidRPr="00576D60" w14:paraId="38357710" w14:textId="77777777" w:rsidTr="002F32E3">
        <w:trPr>
          <w:cantSplit/>
        </w:trPr>
        <w:tc>
          <w:tcPr>
            <w:tcW w:w="1500" w:type="pct"/>
            <w:shd w:val="clear" w:color="auto" w:fill="auto"/>
          </w:tcPr>
          <w:p w14:paraId="719290E1" w14:textId="77777777" w:rsidR="00E93F58" w:rsidRPr="00576D60" w:rsidRDefault="00E93F58" w:rsidP="002F32E3">
            <w:pPr>
              <w:pStyle w:val="ENoteTableText"/>
              <w:tabs>
                <w:tab w:val="left" w:leader="dot" w:pos="2268"/>
              </w:tabs>
              <w:rPr>
                <w:b/>
              </w:rPr>
            </w:pPr>
            <w:r>
              <w:rPr>
                <w:b/>
              </w:rPr>
              <w:t>Subdivision 4</w:t>
            </w:r>
            <w:r w:rsidRPr="00576D60">
              <w:rPr>
                <w:b/>
              </w:rPr>
              <w:t>.8</w:t>
            </w:r>
          </w:p>
        </w:tc>
        <w:tc>
          <w:tcPr>
            <w:tcW w:w="3500" w:type="pct"/>
            <w:shd w:val="clear" w:color="auto" w:fill="auto"/>
          </w:tcPr>
          <w:p w14:paraId="1ECCF73C" w14:textId="77777777" w:rsidR="00E93F58" w:rsidRPr="00576D60" w:rsidRDefault="00E93F58" w:rsidP="002F32E3">
            <w:pPr>
              <w:pStyle w:val="ENoteTableText"/>
            </w:pPr>
          </w:p>
        </w:tc>
      </w:tr>
      <w:tr w:rsidR="00E93F58" w:rsidRPr="00576D60" w14:paraId="0C6E263E" w14:textId="77777777" w:rsidTr="002F32E3">
        <w:trPr>
          <w:cantSplit/>
        </w:trPr>
        <w:tc>
          <w:tcPr>
            <w:tcW w:w="1500" w:type="pct"/>
            <w:shd w:val="clear" w:color="auto" w:fill="auto"/>
          </w:tcPr>
          <w:p w14:paraId="7625787A" w14:textId="77777777" w:rsidR="00E93F58" w:rsidRPr="00576D60" w:rsidRDefault="00E93F58" w:rsidP="002F32E3">
            <w:pPr>
              <w:pStyle w:val="ENoteTableText"/>
              <w:tabs>
                <w:tab w:val="left" w:leader="dot" w:pos="2268"/>
              </w:tabs>
            </w:pPr>
            <w:r w:rsidRPr="00576D60">
              <w:t>r. 7.5.60</w:t>
            </w:r>
            <w:r w:rsidRPr="00576D60">
              <w:tab/>
            </w:r>
          </w:p>
        </w:tc>
        <w:tc>
          <w:tcPr>
            <w:tcW w:w="3500" w:type="pct"/>
            <w:shd w:val="clear" w:color="auto" w:fill="auto"/>
          </w:tcPr>
          <w:p w14:paraId="168BCE18" w14:textId="77777777" w:rsidR="00E93F58" w:rsidRPr="00576D60" w:rsidRDefault="00E93F58" w:rsidP="002F32E3">
            <w:pPr>
              <w:pStyle w:val="ENoteTableText"/>
            </w:pPr>
            <w:r w:rsidRPr="00576D60">
              <w:t>ad. 2001 No. 319</w:t>
            </w:r>
          </w:p>
        </w:tc>
      </w:tr>
      <w:tr w:rsidR="00E93F58" w:rsidRPr="00576D60" w14:paraId="5859E19A" w14:textId="77777777" w:rsidTr="002F32E3">
        <w:trPr>
          <w:cantSplit/>
        </w:trPr>
        <w:tc>
          <w:tcPr>
            <w:tcW w:w="1500" w:type="pct"/>
            <w:shd w:val="clear" w:color="auto" w:fill="auto"/>
          </w:tcPr>
          <w:p w14:paraId="78BDE2D9" w14:textId="77777777" w:rsidR="00E93F58" w:rsidRPr="00576D60" w:rsidRDefault="00E93F58" w:rsidP="002F32E3">
            <w:pPr>
              <w:pStyle w:val="ENoteTableText"/>
              <w:tabs>
                <w:tab w:val="left" w:leader="dot" w:pos="2268"/>
              </w:tabs>
            </w:pPr>
            <w:r w:rsidRPr="00576D60">
              <w:t>r 7.5.61</w:t>
            </w:r>
            <w:r w:rsidRPr="00576D60">
              <w:tab/>
            </w:r>
          </w:p>
        </w:tc>
        <w:tc>
          <w:tcPr>
            <w:tcW w:w="3500" w:type="pct"/>
            <w:shd w:val="clear" w:color="auto" w:fill="auto"/>
          </w:tcPr>
          <w:p w14:paraId="27B4A63B" w14:textId="77777777" w:rsidR="00E93F58" w:rsidRPr="00576D60" w:rsidRDefault="00E93F58" w:rsidP="002F32E3">
            <w:pPr>
              <w:pStyle w:val="ENoteTableText"/>
            </w:pPr>
            <w:r w:rsidRPr="00576D60">
              <w:t>ad</w:t>
            </w:r>
            <w:r>
              <w:t xml:space="preserve"> No 319, 2001</w:t>
            </w:r>
          </w:p>
        </w:tc>
      </w:tr>
      <w:tr w:rsidR="00E93F58" w:rsidRPr="00576D60" w14:paraId="7403D7AB" w14:textId="77777777" w:rsidTr="002F32E3">
        <w:trPr>
          <w:cantSplit/>
        </w:trPr>
        <w:tc>
          <w:tcPr>
            <w:tcW w:w="1500" w:type="pct"/>
            <w:shd w:val="clear" w:color="auto" w:fill="auto"/>
          </w:tcPr>
          <w:p w14:paraId="0B30A551" w14:textId="77777777" w:rsidR="00E93F58" w:rsidRPr="00576D60" w:rsidRDefault="00E93F58" w:rsidP="002F32E3">
            <w:pPr>
              <w:pStyle w:val="ENoteTableText"/>
              <w:tabs>
                <w:tab w:val="left" w:leader="dot" w:pos="2268"/>
              </w:tabs>
            </w:pPr>
          </w:p>
        </w:tc>
        <w:tc>
          <w:tcPr>
            <w:tcW w:w="3500" w:type="pct"/>
            <w:shd w:val="clear" w:color="auto" w:fill="auto"/>
          </w:tcPr>
          <w:p w14:paraId="6442DC21" w14:textId="77777777" w:rsidR="00E93F58" w:rsidRPr="00576D60" w:rsidRDefault="00E93F58" w:rsidP="002F32E3">
            <w:pPr>
              <w:pStyle w:val="ENoteTableText"/>
            </w:pPr>
            <w:r>
              <w:t xml:space="preserve">am </w:t>
            </w:r>
            <w:r w:rsidRPr="00C42170">
              <w:rPr>
                <w:u w:val="single"/>
              </w:rPr>
              <w:t>F2023L01423</w:t>
            </w:r>
          </w:p>
        </w:tc>
      </w:tr>
      <w:tr w:rsidR="00E93F58" w:rsidRPr="00576D60" w14:paraId="6F4D78C9" w14:textId="77777777" w:rsidTr="002F32E3">
        <w:trPr>
          <w:cantSplit/>
        </w:trPr>
        <w:tc>
          <w:tcPr>
            <w:tcW w:w="1500" w:type="pct"/>
            <w:shd w:val="clear" w:color="auto" w:fill="auto"/>
          </w:tcPr>
          <w:p w14:paraId="5275BAB9" w14:textId="77777777" w:rsidR="00E93F58" w:rsidRPr="00576D60" w:rsidRDefault="00E93F58" w:rsidP="002F32E3">
            <w:pPr>
              <w:pStyle w:val="ENoteTableText"/>
              <w:tabs>
                <w:tab w:val="left" w:leader="dot" w:pos="2268"/>
              </w:tabs>
            </w:pPr>
            <w:r w:rsidRPr="00576D60">
              <w:t>r. 7.5.62</w:t>
            </w:r>
            <w:r w:rsidRPr="00576D60">
              <w:tab/>
            </w:r>
          </w:p>
        </w:tc>
        <w:tc>
          <w:tcPr>
            <w:tcW w:w="3500" w:type="pct"/>
            <w:shd w:val="clear" w:color="auto" w:fill="auto"/>
          </w:tcPr>
          <w:p w14:paraId="098931F0" w14:textId="77777777" w:rsidR="00E93F58" w:rsidRPr="00576D60" w:rsidRDefault="00E93F58" w:rsidP="002F32E3">
            <w:pPr>
              <w:pStyle w:val="ENoteTableText"/>
            </w:pPr>
            <w:r w:rsidRPr="00576D60">
              <w:t>ad. 2001 No. 319</w:t>
            </w:r>
          </w:p>
        </w:tc>
      </w:tr>
      <w:tr w:rsidR="00E93F58" w:rsidRPr="00576D60" w14:paraId="52C6F4D5" w14:textId="77777777" w:rsidTr="002F32E3">
        <w:trPr>
          <w:cantSplit/>
        </w:trPr>
        <w:tc>
          <w:tcPr>
            <w:tcW w:w="1500" w:type="pct"/>
            <w:shd w:val="clear" w:color="auto" w:fill="auto"/>
          </w:tcPr>
          <w:p w14:paraId="0A1FA47E" w14:textId="77777777" w:rsidR="00E93F58" w:rsidRPr="00576D60" w:rsidRDefault="00E93F58" w:rsidP="002F32E3">
            <w:pPr>
              <w:pStyle w:val="ENoteTableText"/>
              <w:tabs>
                <w:tab w:val="left" w:leader="dot" w:pos="2268"/>
              </w:tabs>
            </w:pPr>
            <w:r w:rsidRPr="00576D60">
              <w:t>r. 7.5.63</w:t>
            </w:r>
            <w:r w:rsidRPr="00576D60">
              <w:tab/>
            </w:r>
          </w:p>
        </w:tc>
        <w:tc>
          <w:tcPr>
            <w:tcW w:w="3500" w:type="pct"/>
            <w:shd w:val="clear" w:color="auto" w:fill="auto"/>
          </w:tcPr>
          <w:p w14:paraId="7AF637C8" w14:textId="77777777" w:rsidR="00E93F58" w:rsidRPr="00576D60" w:rsidRDefault="00E93F58" w:rsidP="002F32E3">
            <w:pPr>
              <w:pStyle w:val="ENoteTableText"/>
            </w:pPr>
            <w:r w:rsidRPr="00576D60">
              <w:t>ad. 2001 No. 319</w:t>
            </w:r>
          </w:p>
        </w:tc>
      </w:tr>
      <w:tr w:rsidR="00E93F58" w:rsidRPr="00576D60" w14:paraId="5BC7F188" w14:textId="77777777" w:rsidTr="002F32E3">
        <w:trPr>
          <w:cantSplit/>
        </w:trPr>
        <w:tc>
          <w:tcPr>
            <w:tcW w:w="1500" w:type="pct"/>
            <w:shd w:val="clear" w:color="auto" w:fill="auto"/>
          </w:tcPr>
          <w:p w14:paraId="35AB6EEA" w14:textId="77777777" w:rsidR="00E93F58" w:rsidRPr="00576D60" w:rsidRDefault="00E93F58" w:rsidP="009C5DA6">
            <w:pPr>
              <w:pStyle w:val="ENoteTableText"/>
              <w:keepNext/>
              <w:tabs>
                <w:tab w:val="left" w:leader="dot" w:pos="2268"/>
              </w:tabs>
              <w:rPr>
                <w:b/>
              </w:rPr>
            </w:pPr>
            <w:r>
              <w:rPr>
                <w:b/>
              </w:rPr>
              <w:t>Subdivision 4</w:t>
            </w:r>
            <w:r w:rsidRPr="00576D60">
              <w:rPr>
                <w:b/>
              </w:rPr>
              <w:t>.9</w:t>
            </w:r>
          </w:p>
        </w:tc>
        <w:tc>
          <w:tcPr>
            <w:tcW w:w="3500" w:type="pct"/>
            <w:shd w:val="clear" w:color="auto" w:fill="auto"/>
          </w:tcPr>
          <w:p w14:paraId="0CCAD131" w14:textId="77777777" w:rsidR="00E93F58" w:rsidRPr="00576D60" w:rsidRDefault="00E93F58" w:rsidP="009C5DA6">
            <w:pPr>
              <w:pStyle w:val="ENoteTableText"/>
              <w:keepNext/>
            </w:pPr>
          </w:p>
        </w:tc>
      </w:tr>
      <w:tr w:rsidR="00E93F58" w:rsidRPr="00576D60" w14:paraId="28BD5ABD" w14:textId="77777777" w:rsidTr="002F32E3">
        <w:trPr>
          <w:cantSplit/>
        </w:trPr>
        <w:tc>
          <w:tcPr>
            <w:tcW w:w="1500" w:type="pct"/>
            <w:shd w:val="clear" w:color="auto" w:fill="auto"/>
          </w:tcPr>
          <w:p w14:paraId="2089D91B" w14:textId="77777777" w:rsidR="00E93F58" w:rsidRPr="00576D60" w:rsidRDefault="00E93F58" w:rsidP="002F32E3">
            <w:pPr>
              <w:pStyle w:val="ENoteTableText"/>
              <w:tabs>
                <w:tab w:val="left" w:leader="dot" w:pos="2268"/>
              </w:tabs>
            </w:pPr>
            <w:r w:rsidRPr="00576D60">
              <w:t>r. 7.5.64</w:t>
            </w:r>
            <w:r w:rsidRPr="00576D60">
              <w:tab/>
            </w:r>
          </w:p>
        </w:tc>
        <w:tc>
          <w:tcPr>
            <w:tcW w:w="3500" w:type="pct"/>
            <w:shd w:val="clear" w:color="auto" w:fill="auto"/>
          </w:tcPr>
          <w:p w14:paraId="635AAD75" w14:textId="77777777" w:rsidR="00E93F58" w:rsidRPr="00576D60" w:rsidRDefault="00E93F58" w:rsidP="002F32E3">
            <w:pPr>
              <w:pStyle w:val="ENoteTableText"/>
            </w:pPr>
            <w:r w:rsidRPr="00576D60">
              <w:t>ad. 2001 No. 319</w:t>
            </w:r>
          </w:p>
        </w:tc>
      </w:tr>
      <w:tr w:rsidR="00E93F58" w:rsidRPr="00576D60" w14:paraId="67AB6947" w14:textId="77777777" w:rsidTr="002F32E3">
        <w:trPr>
          <w:cantSplit/>
        </w:trPr>
        <w:tc>
          <w:tcPr>
            <w:tcW w:w="1500" w:type="pct"/>
            <w:shd w:val="clear" w:color="auto" w:fill="auto"/>
          </w:tcPr>
          <w:p w14:paraId="034EDA75" w14:textId="77777777" w:rsidR="00E93F58" w:rsidRPr="00576D60" w:rsidRDefault="00E93F58" w:rsidP="002F32E3">
            <w:pPr>
              <w:pStyle w:val="ENoteTableText"/>
            </w:pPr>
          </w:p>
        </w:tc>
        <w:tc>
          <w:tcPr>
            <w:tcW w:w="3500" w:type="pct"/>
            <w:shd w:val="clear" w:color="auto" w:fill="auto"/>
          </w:tcPr>
          <w:p w14:paraId="031F6D29" w14:textId="77777777" w:rsidR="00E93F58" w:rsidRPr="00576D60" w:rsidRDefault="00E93F58" w:rsidP="002F32E3">
            <w:pPr>
              <w:pStyle w:val="ENoteTableText"/>
            </w:pPr>
            <w:r w:rsidRPr="00576D60">
              <w:t>am. 2002 No. 282</w:t>
            </w:r>
          </w:p>
        </w:tc>
      </w:tr>
      <w:tr w:rsidR="00E93F58" w:rsidRPr="00576D60" w14:paraId="05BFE066" w14:textId="77777777" w:rsidTr="002F32E3">
        <w:trPr>
          <w:cantSplit/>
        </w:trPr>
        <w:tc>
          <w:tcPr>
            <w:tcW w:w="1500" w:type="pct"/>
            <w:shd w:val="clear" w:color="auto" w:fill="auto"/>
          </w:tcPr>
          <w:p w14:paraId="35F2C026" w14:textId="77777777" w:rsidR="00E93F58" w:rsidRPr="00576D60" w:rsidRDefault="00E93F58" w:rsidP="002F32E3">
            <w:pPr>
              <w:pStyle w:val="ENoteTableText"/>
              <w:tabs>
                <w:tab w:val="left" w:leader="dot" w:pos="2268"/>
              </w:tabs>
            </w:pPr>
            <w:r w:rsidRPr="00576D60">
              <w:t>r. 7.5.65</w:t>
            </w:r>
            <w:r w:rsidRPr="00576D60">
              <w:tab/>
            </w:r>
          </w:p>
        </w:tc>
        <w:tc>
          <w:tcPr>
            <w:tcW w:w="3500" w:type="pct"/>
            <w:shd w:val="clear" w:color="auto" w:fill="auto"/>
          </w:tcPr>
          <w:p w14:paraId="3CC25190" w14:textId="77777777" w:rsidR="00E93F58" w:rsidRPr="00576D60" w:rsidRDefault="00E93F58" w:rsidP="002F32E3">
            <w:pPr>
              <w:pStyle w:val="ENoteTableText"/>
            </w:pPr>
            <w:r w:rsidRPr="00576D60">
              <w:t>ad. 2001 No. 319</w:t>
            </w:r>
          </w:p>
        </w:tc>
      </w:tr>
      <w:tr w:rsidR="00E93F58" w:rsidRPr="00576D60" w14:paraId="3225E98F" w14:textId="77777777" w:rsidTr="002F32E3">
        <w:trPr>
          <w:cantSplit/>
        </w:trPr>
        <w:tc>
          <w:tcPr>
            <w:tcW w:w="1500" w:type="pct"/>
            <w:shd w:val="clear" w:color="auto" w:fill="auto"/>
          </w:tcPr>
          <w:p w14:paraId="2D106FCA" w14:textId="77777777" w:rsidR="00E93F58" w:rsidRPr="00576D60" w:rsidRDefault="00E93F58" w:rsidP="002F32E3">
            <w:pPr>
              <w:pStyle w:val="ENoteTableText"/>
            </w:pPr>
          </w:p>
        </w:tc>
        <w:tc>
          <w:tcPr>
            <w:tcW w:w="3500" w:type="pct"/>
            <w:shd w:val="clear" w:color="auto" w:fill="auto"/>
          </w:tcPr>
          <w:p w14:paraId="6A9D5DD7" w14:textId="77777777" w:rsidR="00E93F58" w:rsidRPr="00576D60" w:rsidRDefault="00E93F58" w:rsidP="002F32E3">
            <w:pPr>
              <w:pStyle w:val="ENoteTableText"/>
            </w:pPr>
            <w:r w:rsidRPr="00576D60">
              <w:t>am. 2002 No. 282</w:t>
            </w:r>
          </w:p>
        </w:tc>
      </w:tr>
      <w:tr w:rsidR="00E93F58" w:rsidRPr="00576D60" w14:paraId="348EA9DE" w14:textId="77777777" w:rsidTr="002F32E3">
        <w:trPr>
          <w:cantSplit/>
        </w:trPr>
        <w:tc>
          <w:tcPr>
            <w:tcW w:w="1500" w:type="pct"/>
            <w:shd w:val="clear" w:color="auto" w:fill="auto"/>
          </w:tcPr>
          <w:p w14:paraId="737DCE5D" w14:textId="77777777" w:rsidR="00E93F58" w:rsidRPr="00576D60" w:rsidRDefault="00E93F58" w:rsidP="002F32E3">
            <w:pPr>
              <w:pStyle w:val="ENoteTableText"/>
              <w:tabs>
                <w:tab w:val="left" w:leader="dot" w:pos="2268"/>
              </w:tabs>
            </w:pPr>
            <w:r w:rsidRPr="00576D60">
              <w:t>r. 7.5.66</w:t>
            </w:r>
            <w:r w:rsidRPr="00576D60">
              <w:tab/>
            </w:r>
          </w:p>
        </w:tc>
        <w:tc>
          <w:tcPr>
            <w:tcW w:w="3500" w:type="pct"/>
            <w:shd w:val="clear" w:color="auto" w:fill="auto"/>
          </w:tcPr>
          <w:p w14:paraId="3C62C790" w14:textId="77777777" w:rsidR="00E93F58" w:rsidRPr="00576D60" w:rsidRDefault="00E93F58" w:rsidP="002F32E3">
            <w:pPr>
              <w:pStyle w:val="ENoteTableText"/>
            </w:pPr>
            <w:r w:rsidRPr="00576D60">
              <w:t>ad. 2001 No. 319</w:t>
            </w:r>
          </w:p>
        </w:tc>
      </w:tr>
      <w:tr w:rsidR="00E93F58" w:rsidRPr="00576D60" w14:paraId="2BF26800" w14:textId="77777777" w:rsidTr="002F32E3">
        <w:trPr>
          <w:cantSplit/>
        </w:trPr>
        <w:tc>
          <w:tcPr>
            <w:tcW w:w="1500" w:type="pct"/>
            <w:shd w:val="clear" w:color="auto" w:fill="auto"/>
          </w:tcPr>
          <w:p w14:paraId="60177938" w14:textId="77777777" w:rsidR="00E93F58" w:rsidRPr="00576D60" w:rsidRDefault="00E93F58" w:rsidP="002F32E3">
            <w:pPr>
              <w:pStyle w:val="ENoteTableText"/>
              <w:tabs>
                <w:tab w:val="left" w:leader="dot" w:pos="2268"/>
              </w:tabs>
            </w:pPr>
            <w:r w:rsidRPr="00576D60">
              <w:t>r. 7.5.67</w:t>
            </w:r>
            <w:r w:rsidRPr="00576D60">
              <w:tab/>
            </w:r>
          </w:p>
        </w:tc>
        <w:tc>
          <w:tcPr>
            <w:tcW w:w="3500" w:type="pct"/>
            <w:shd w:val="clear" w:color="auto" w:fill="auto"/>
          </w:tcPr>
          <w:p w14:paraId="7F9255CC" w14:textId="77777777" w:rsidR="00E93F58" w:rsidRPr="00576D60" w:rsidRDefault="00E93F58" w:rsidP="002F32E3">
            <w:pPr>
              <w:pStyle w:val="ENoteTableText"/>
            </w:pPr>
            <w:r w:rsidRPr="00576D60">
              <w:t>ad. 2001 No. 319</w:t>
            </w:r>
          </w:p>
        </w:tc>
      </w:tr>
      <w:tr w:rsidR="00E93F58" w:rsidRPr="00576D60" w14:paraId="74ECAD8B" w14:textId="77777777" w:rsidTr="002F32E3">
        <w:trPr>
          <w:cantSplit/>
        </w:trPr>
        <w:tc>
          <w:tcPr>
            <w:tcW w:w="1500" w:type="pct"/>
            <w:shd w:val="clear" w:color="auto" w:fill="auto"/>
          </w:tcPr>
          <w:p w14:paraId="0D8C8944" w14:textId="77777777" w:rsidR="00E93F58" w:rsidRPr="00576D60" w:rsidRDefault="00E93F58" w:rsidP="002F32E3">
            <w:pPr>
              <w:pStyle w:val="ENoteTableText"/>
              <w:tabs>
                <w:tab w:val="left" w:leader="dot" w:pos="2268"/>
              </w:tabs>
            </w:pPr>
            <w:r w:rsidRPr="00576D60">
              <w:t>r. 7.5.68</w:t>
            </w:r>
            <w:r w:rsidRPr="00576D60">
              <w:tab/>
            </w:r>
          </w:p>
        </w:tc>
        <w:tc>
          <w:tcPr>
            <w:tcW w:w="3500" w:type="pct"/>
            <w:shd w:val="clear" w:color="auto" w:fill="auto"/>
          </w:tcPr>
          <w:p w14:paraId="637AB132" w14:textId="77777777" w:rsidR="00E93F58" w:rsidRPr="00576D60" w:rsidRDefault="00E93F58" w:rsidP="002F32E3">
            <w:pPr>
              <w:pStyle w:val="ENoteTableText"/>
            </w:pPr>
            <w:r w:rsidRPr="00576D60">
              <w:t>ad. 2001 No. 319</w:t>
            </w:r>
          </w:p>
        </w:tc>
      </w:tr>
      <w:tr w:rsidR="00E93F58" w:rsidRPr="00576D60" w14:paraId="0383F3BD" w14:textId="77777777" w:rsidTr="002F32E3">
        <w:trPr>
          <w:cantSplit/>
        </w:trPr>
        <w:tc>
          <w:tcPr>
            <w:tcW w:w="1500" w:type="pct"/>
            <w:shd w:val="clear" w:color="auto" w:fill="auto"/>
          </w:tcPr>
          <w:p w14:paraId="36CA9A4B" w14:textId="77777777" w:rsidR="00E93F58" w:rsidRPr="00576D60" w:rsidRDefault="00E93F58" w:rsidP="002F32E3">
            <w:pPr>
              <w:pStyle w:val="ENoteTableText"/>
            </w:pPr>
          </w:p>
        </w:tc>
        <w:tc>
          <w:tcPr>
            <w:tcW w:w="3500" w:type="pct"/>
            <w:shd w:val="clear" w:color="auto" w:fill="auto"/>
          </w:tcPr>
          <w:p w14:paraId="158DFF33" w14:textId="77777777" w:rsidR="00E93F58" w:rsidRPr="00576D60" w:rsidRDefault="00E93F58" w:rsidP="002F32E3">
            <w:pPr>
              <w:pStyle w:val="ENoteTableText"/>
            </w:pPr>
            <w:r w:rsidRPr="00576D60">
              <w:t>am. 2002 No 16 and 282; 2004 No 26 and 398</w:t>
            </w:r>
          </w:p>
        </w:tc>
      </w:tr>
      <w:tr w:rsidR="00E93F58" w:rsidRPr="00576D60" w14:paraId="31C286F4" w14:textId="77777777" w:rsidTr="002F32E3">
        <w:trPr>
          <w:cantSplit/>
        </w:trPr>
        <w:tc>
          <w:tcPr>
            <w:tcW w:w="1500" w:type="pct"/>
            <w:shd w:val="clear" w:color="auto" w:fill="auto"/>
          </w:tcPr>
          <w:p w14:paraId="782A5394" w14:textId="77777777" w:rsidR="00E93F58" w:rsidRPr="00576D60" w:rsidRDefault="00E93F58" w:rsidP="002F32E3">
            <w:pPr>
              <w:pStyle w:val="ENoteTableText"/>
              <w:tabs>
                <w:tab w:val="left" w:leader="dot" w:pos="2268"/>
              </w:tabs>
            </w:pPr>
            <w:r w:rsidRPr="00576D60">
              <w:t>r. 7.5.69</w:t>
            </w:r>
            <w:r w:rsidRPr="00576D60">
              <w:tab/>
            </w:r>
          </w:p>
        </w:tc>
        <w:tc>
          <w:tcPr>
            <w:tcW w:w="3500" w:type="pct"/>
            <w:shd w:val="clear" w:color="auto" w:fill="auto"/>
          </w:tcPr>
          <w:p w14:paraId="0AD53E45" w14:textId="77777777" w:rsidR="00E93F58" w:rsidRPr="00576D60" w:rsidRDefault="00E93F58" w:rsidP="002F32E3">
            <w:pPr>
              <w:pStyle w:val="ENoteTableText"/>
            </w:pPr>
            <w:r w:rsidRPr="00576D60">
              <w:t>ad. 2001 No. 319</w:t>
            </w:r>
          </w:p>
        </w:tc>
      </w:tr>
      <w:tr w:rsidR="00E93F58" w:rsidRPr="00576D60" w14:paraId="504F8C5C" w14:textId="77777777" w:rsidTr="002F32E3">
        <w:trPr>
          <w:cantSplit/>
        </w:trPr>
        <w:tc>
          <w:tcPr>
            <w:tcW w:w="1500" w:type="pct"/>
            <w:shd w:val="clear" w:color="auto" w:fill="auto"/>
          </w:tcPr>
          <w:p w14:paraId="0EC006BA" w14:textId="77777777" w:rsidR="00E93F58" w:rsidRPr="00576D60" w:rsidRDefault="00E93F58" w:rsidP="002F32E3">
            <w:pPr>
              <w:pStyle w:val="ENoteTableText"/>
              <w:tabs>
                <w:tab w:val="left" w:leader="dot" w:pos="2268"/>
              </w:tabs>
            </w:pPr>
            <w:r w:rsidRPr="00576D60">
              <w:t>r 7.5.70</w:t>
            </w:r>
            <w:r w:rsidRPr="00576D60">
              <w:tab/>
            </w:r>
          </w:p>
        </w:tc>
        <w:tc>
          <w:tcPr>
            <w:tcW w:w="3500" w:type="pct"/>
            <w:shd w:val="clear" w:color="auto" w:fill="auto"/>
          </w:tcPr>
          <w:p w14:paraId="77CEB701" w14:textId="77777777" w:rsidR="00E93F58" w:rsidRPr="00576D60" w:rsidRDefault="00E93F58" w:rsidP="002F32E3">
            <w:pPr>
              <w:pStyle w:val="ENoteTableText"/>
            </w:pPr>
            <w:r w:rsidRPr="00576D60">
              <w:t>ad</w:t>
            </w:r>
            <w:r>
              <w:t xml:space="preserve"> No 319, 2001</w:t>
            </w:r>
          </w:p>
        </w:tc>
      </w:tr>
      <w:tr w:rsidR="00E93F58" w:rsidRPr="00576D60" w14:paraId="6F1B020C" w14:textId="77777777" w:rsidTr="002F32E3">
        <w:trPr>
          <w:cantSplit/>
        </w:trPr>
        <w:tc>
          <w:tcPr>
            <w:tcW w:w="1500" w:type="pct"/>
            <w:shd w:val="clear" w:color="auto" w:fill="auto"/>
          </w:tcPr>
          <w:p w14:paraId="16C88DF3" w14:textId="77777777" w:rsidR="00E93F58" w:rsidRPr="00576D60" w:rsidRDefault="00E93F58" w:rsidP="002F32E3">
            <w:pPr>
              <w:pStyle w:val="ENoteTableText"/>
              <w:tabs>
                <w:tab w:val="left" w:leader="dot" w:pos="2268"/>
              </w:tabs>
            </w:pPr>
          </w:p>
        </w:tc>
        <w:tc>
          <w:tcPr>
            <w:tcW w:w="3500" w:type="pct"/>
            <w:shd w:val="clear" w:color="auto" w:fill="auto"/>
          </w:tcPr>
          <w:p w14:paraId="26FA65AA" w14:textId="77777777" w:rsidR="00E93F58" w:rsidRPr="00576D60" w:rsidRDefault="00E93F58" w:rsidP="002F32E3">
            <w:pPr>
              <w:pStyle w:val="ENoteTableText"/>
            </w:pPr>
            <w:r>
              <w:t xml:space="preserve">am </w:t>
            </w:r>
            <w:r w:rsidRPr="00C42170">
              <w:rPr>
                <w:u w:val="single"/>
              </w:rPr>
              <w:t>F2023L01423</w:t>
            </w:r>
          </w:p>
        </w:tc>
      </w:tr>
      <w:tr w:rsidR="00E93F58" w:rsidRPr="00576D60" w14:paraId="234433C5" w14:textId="77777777" w:rsidTr="002F32E3">
        <w:trPr>
          <w:cantSplit/>
        </w:trPr>
        <w:tc>
          <w:tcPr>
            <w:tcW w:w="1500" w:type="pct"/>
            <w:shd w:val="clear" w:color="auto" w:fill="auto"/>
          </w:tcPr>
          <w:p w14:paraId="7A2A77A6" w14:textId="77777777" w:rsidR="00E93F58" w:rsidRPr="00576D60" w:rsidRDefault="00E93F58" w:rsidP="002F32E3">
            <w:pPr>
              <w:pStyle w:val="ENoteTableText"/>
              <w:tabs>
                <w:tab w:val="left" w:leader="dot" w:pos="2268"/>
              </w:tabs>
            </w:pPr>
            <w:r w:rsidRPr="00576D60">
              <w:t>r. 7.5.71</w:t>
            </w:r>
            <w:r w:rsidRPr="00576D60">
              <w:tab/>
            </w:r>
          </w:p>
        </w:tc>
        <w:tc>
          <w:tcPr>
            <w:tcW w:w="3500" w:type="pct"/>
            <w:shd w:val="clear" w:color="auto" w:fill="auto"/>
          </w:tcPr>
          <w:p w14:paraId="4A3D0DB8" w14:textId="77777777" w:rsidR="00E93F58" w:rsidRPr="00576D60" w:rsidRDefault="00E93F58" w:rsidP="002F32E3">
            <w:pPr>
              <w:pStyle w:val="ENoteTableText"/>
            </w:pPr>
            <w:r w:rsidRPr="00576D60">
              <w:t>ad. 2001 No. 319</w:t>
            </w:r>
          </w:p>
        </w:tc>
      </w:tr>
      <w:tr w:rsidR="00E93F58" w:rsidRPr="00576D60" w14:paraId="733A9623" w14:textId="77777777" w:rsidTr="002F32E3">
        <w:trPr>
          <w:cantSplit/>
        </w:trPr>
        <w:tc>
          <w:tcPr>
            <w:tcW w:w="1500" w:type="pct"/>
            <w:shd w:val="clear" w:color="auto" w:fill="auto"/>
          </w:tcPr>
          <w:p w14:paraId="0A82E3F0" w14:textId="77777777" w:rsidR="00E93F58" w:rsidRPr="00576D60" w:rsidRDefault="00E93F58" w:rsidP="002F32E3">
            <w:pPr>
              <w:pStyle w:val="ENoteTableText"/>
            </w:pPr>
          </w:p>
        </w:tc>
        <w:tc>
          <w:tcPr>
            <w:tcW w:w="3500" w:type="pct"/>
            <w:shd w:val="clear" w:color="auto" w:fill="auto"/>
          </w:tcPr>
          <w:p w14:paraId="5A6F19B8" w14:textId="77777777" w:rsidR="00E93F58" w:rsidRPr="00576D60" w:rsidRDefault="00E93F58" w:rsidP="002F32E3">
            <w:pPr>
              <w:pStyle w:val="ENoteTableText"/>
            </w:pPr>
            <w:r w:rsidRPr="00576D60">
              <w:t>am. 2002 No. 16; 2005 No. 38</w:t>
            </w:r>
          </w:p>
        </w:tc>
      </w:tr>
      <w:tr w:rsidR="00E93F58" w:rsidRPr="00576D60" w14:paraId="6743E33E" w14:textId="77777777" w:rsidTr="002F32E3">
        <w:trPr>
          <w:cantSplit/>
        </w:trPr>
        <w:tc>
          <w:tcPr>
            <w:tcW w:w="1500" w:type="pct"/>
            <w:shd w:val="clear" w:color="auto" w:fill="auto"/>
          </w:tcPr>
          <w:p w14:paraId="299EA4F1" w14:textId="77777777" w:rsidR="00E93F58" w:rsidRPr="00576D60" w:rsidRDefault="00E93F58" w:rsidP="002F32E3">
            <w:pPr>
              <w:pStyle w:val="ENoteTableText"/>
            </w:pPr>
          </w:p>
        </w:tc>
        <w:tc>
          <w:tcPr>
            <w:tcW w:w="3500" w:type="pct"/>
            <w:shd w:val="clear" w:color="auto" w:fill="auto"/>
          </w:tcPr>
          <w:p w14:paraId="462A7E81" w14:textId="77777777" w:rsidR="00E93F58" w:rsidRPr="00576D60" w:rsidRDefault="00E93F58" w:rsidP="002F32E3">
            <w:pPr>
              <w:pStyle w:val="ENoteTableText"/>
            </w:pPr>
            <w:r w:rsidRPr="00576D60">
              <w:t>rep F2019L01474</w:t>
            </w:r>
          </w:p>
        </w:tc>
      </w:tr>
      <w:tr w:rsidR="00E93F58" w:rsidRPr="00576D60" w14:paraId="1194A3E0" w14:textId="77777777" w:rsidTr="002F32E3">
        <w:trPr>
          <w:cantSplit/>
        </w:trPr>
        <w:tc>
          <w:tcPr>
            <w:tcW w:w="1500" w:type="pct"/>
            <w:shd w:val="clear" w:color="auto" w:fill="auto"/>
          </w:tcPr>
          <w:p w14:paraId="3271AD32" w14:textId="77777777" w:rsidR="00E93F58" w:rsidRPr="00576D60" w:rsidRDefault="00E93F58" w:rsidP="002F32E3">
            <w:pPr>
              <w:pStyle w:val="ENoteTableText"/>
              <w:keepNext/>
              <w:tabs>
                <w:tab w:val="left" w:leader="dot" w:pos="2268"/>
              </w:tabs>
              <w:rPr>
                <w:b/>
              </w:rPr>
            </w:pPr>
            <w:r>
              <w:rPr>
                <w:b/>
              </w:rPr>
              <w:t>Subdivision 4</w:t>
            </w:r>
            <w:r w:rsidRPr="00576D60">
              <w:rPr>
                <w:b/>
              </w:rPr>
              <w:t>.10</w:t>
            </w:r>
          </w:p>
        </w:tc>
        <w:tc>
          <w:tcPr>
            <w:tcW w:w="3500" w:type="pct"/>
            <w:shd w:val="clear" w:color="auto" w:fill="auto"/>
          </w:tcPr>
          <w:p w14:paraId="4E0E31AD" w14:textId="77777777" w:rsidR="00E93F58" w:rsidRPr="00576D60" w:rsidRDefault="00E93F58" w:rsidP="002F32E3">
            <w:pPr>
              <w:pStyle w:val="ENoteTableText"/>
            </w:pPr>
          </w:p>
        </w:tc>
      </w:tr>
      <w:tr w:rsidR="00E93F58" w:rsidRPr="00576D60" w14:paraId="03E949D7" w14:textId="77777777" w:rsidTr="002F32E3">
        <w:trPr>
          <w:cantSplit/>
        </w:trPr>
        <w:tc>
          <w:tcPr>
            <w:tcW w:w="1500" w:type="pct"/>
            <w:shd w:val="clear" w:color="auto" w:fill="auto"/>
          </w:tcPr>
          <w:p w14:paraId="0E5F7CAE" w14:textId="77777777" w:rsidR="00E93F58" w:rsidRPr="00576D60" w:rsidRDefault="00E93F58" w:rsidP="002F32E3">
            <w:pPr>
              <w:pStyle w:val="ENoteTableText"/>
              <w:tabs>
                <w:tab w:val="left" w:leader="dot" w:pos="2268"/>
              </w:tabs>
            </w:pPr>
            <w:r w:rsidRPr="00576D60">
              <w:t>r. 7.5.72</w:t>
            </w:r>
            <w:r w:rsidRPr="00576D60">
              <w:tab/>
            </w:r>
          </w:p>
        </w:tc>
        <w:tc>
          <w:tcPr>
            <w:tcW w:w="3500" w:type="pct"/>
            <w:shd w:val="clear" w:color="auto" w:fill="auto"/>
          </w:tcPr>
          <w:p w14:paraId="003ECA73" w14:textId="77777777" w:rsidR="00E93F58" w:rsidRPr="00576D60" w:rsidRDefault="00E93F58" w:rsidP="002F32E3">
            <w:pPr>
              <w:pStyle w:val="ENoteTableText"/>
            </w:pPr>
            <w:r w:rsidRPr="00576D60">
              <w:t>ad. 2001 No. 319</w:t>
            </w:r>
          </w:p>
        </w:tc>
      </w:tr>
      <w:tr w:rsidR="00E93F58" w:rsidRPr="00576D60" w14:paraId="716DF2FB" w14:textId="77777777" w:rsidTr="002F32E3">
        <w:trPr>
          <w:cantSplit/>
        </w:trPr>
        <w:tc>
          <w:tcPr>
            <w:tcW w:w="1500" w:type="pct"/>
            <w:shd w:val="clear" w:color="auto" w:fill="auto"/>
          </w:tcPr>
          <w:p w14:paraId="27C26917" w14:textId="77777777" w:rsidR="00E93F58" w:rsidRPr="00576D60" w:rsidRDefault="00E93F58" w:rsidP="002F32E3">
            <w:pPr>
              <w:pStyle w:val="ENoteTableText"/>
              <w:tabs>
                <w:tab w:val="left" w:leader="dot" w:pos="2268"/>
              </w:tabs>
            </w:pPr>
            <w:r w:rsidRPr="00576D60">
              <w:t>r 7.5.72A</w:t>
            </w:r>
            <w:r w:rsidRPr="00576D60">
              <w:tab/>
            </w:r>
          </w:p>
        </w:tc>
        <w:tc>
          <w:tcPr>
            <w:tcW w:w="3500" w:type="pct"/>
            <w:shd w:val="clear" w:color="auto" w:fill="auto"/>
          </w:tcPr>
          <w:p w14:paraId="6846711A" w14:textId="77777777" w:rsidR="00E93F58" w:rsidRPr="00576D60" w:rsidRDefault="00E93F58" w:rsidP="002F32E3">
            <w:pPr>
              <w:pStyle w:val="ENoteTableText"/>
            </w:pPr>
            <w:r w:rsidRPr="00576D60">
              <w:t>ad F2019L01474</w:t>
            </w:r>
          </w:p>
        </w:tc>
      </w:tr>
      <w:tr w:rsidR="00E93F58" w:rsidRPr="00576D60" w14:paraId="516ADCCF" w14:textId="77777777" w:rsidTr="002F32E3">
        <w:trPr>
          <w:cantSplit/>
        </w:trPr>
        <w:tc>
          <w:tcPr>
            <w:tcW w:w="1500" w:type="pct"/>
            <w:shd w:val="clear" w:color="auto" w:fill="auto"/>
          </w:tcPr>
          <w:p w14:paraId="220F8B5C" w14:textId="77777777" w:rsidR="00E93F58" w:rsidRPr="00576D60" w:rsidRDefault="00E93F58" w:rsidP="002F32E3">
            <w:pPr>
              <w:pStyle w:val="ENoteTableText"/>
              <w:tabs>
                <w:tab w:val="left" w:leader="dot" w:pos="2268"/>
              </w:tabs>
            </w:pPr>
            <w:r w:rsidRPr="00576D60">
              <w:t>r 7.5.72B</w:t>
            </w:r>
            <w:r w:rsidRPr="00576D60">
              <w:tab/>
            </w:r>
          </w:p>
        </w:tc>
        <w:tc>
          <w:tcPr>
            <w:tcW w:w="3500" w:type="pct"/>
            <w:shd w:val="clear" w:color="auto" w:fill="auto"/>
          </w:tcPr>
          <w:p w14:paraId="49620BC8" w14:textId="77777777" w:rsidR="00E93F58" w:rsidRPr="00576D60" w:rsidRDefault="00E93F58" w:rsidP="002F32E3">
            <w:pPr>
              <w:pStyle w:val="ENoteTableText"/>
            </w:pPr>
            <w:r w:rsidRPr="00576D60">
              <w:t>ad F2019L01474</w:t>
            </w:r>
          </w:p>
        </w:tc>
      </w:tr>
      <w:tr w:rsidR="00E93F58" w:rsidRPr="00576D60" w14:paraId="729ED9B2" w14:textId="77777777" w:rsidTr="002F32E3">
        <w:trPr>
          <w:cantSplit/>
        </w:trPr>
        <w:tc>
          <w:tcPr>
            <w:tcW w:w="1500" w:type="pct"/>
            <w:shd w:val="clear" w:color="auto" w:fill="auto"/>
          </w:tcPr>
          <w:p w14:paraId="0BA5D349" w14:textId="77777777" w:rsidR="00E93F58" w:rsidRPr="00576D60" w:rsidRDefault="00E93F58" w:rsidP="002F32E3">
            <w:pPr>
              <w:pStyle w:val="ENoteTableText"/>
              <w:tabs>
                <w:tab w:val="left" w:leader="dot" w:pos="2268"/>
              </w:tabs>
            </w:pPr>
            <w:r w:rsidRPr="00576D60">
              <w:t>r. 7.5.73</w:t>
            </w:r>
            <w:r w:rsidRPr="00576D60">
              <w:tab/>
            </w:r>
          </w:p>
        </w:tc>
        <w:tc>
          <w:tcPr>
            <w:tcW w:w="3500" w:type="pct"/>
            <w:shd w:val="clear" w:color="auto" w:fill="auto"/>
          </w:tcPr>
          <w:p w14:paraId="73A74213" w14:textId="77777777" w:rsidR="00E93F58" w:rsidRPr="00576D60" w:rsidRDefault="00E93F58" w:rsidP="002F32E3">
            <w:pPr>
              <w:pStyle w:val="ENoteTableText"/>
            </w:pPr>
            <w:r w:rsidRPr="00576D60">
              <w:t>ad. 2001 No. 319</w:t>
            </w:r>
          </w:p>
        </w:tc>
      </w:tr>
      <w:tr w:rsidR="00E93F58" w:rsidRPr="00576D60" w14:paraId="7BFA4EBB" w14:textId="77777777" w:rsidTr="002F32E3">
        <w:trPr>
          <w:cantSplit/>
        </w:trPr>
        <w:tc>
          <w:tcPr>
            <w:tcW w:w="1500" w:type="pct"/>
            <w:shd w:val="clear" w:color="auto" w:fill="auto"/>
          </w:tcPr>
          <w:p w14:paraId="5312792D" w14:textId="77777777" w:rsidR="00E93F58" w:rsidRPr="00576D60" w:rsidRDefault="00E93F58" w:rsidP="002F32E3">
            <w:pPr>
              <w:pStyle w:val="ENoteTableText"/>
              <w:tabs>
                <w:tab w:val="left" w:leader="dot" w:pos="2268"/>
              </w:tabs>
            </w:pPr>
            <w:r w:rsidRPr="00576D60">
              <w:t>r. 7.5.74</w:t>
            </w:r>
            <w:r w:rsidRPr="00576D60">
              <w:tab/>
            </w:r>
          </w:p>
        </w:tc>
        <w:tc>
          <w:tcPr>
            <w:tcW w:w="3500" w:type="pct"/>
            <w:shd w:val="clear" w:color="auto" w:fill="auto"/>
          </w:tcPr>
          <w:p w14:paraId="06BF8267" w14:textId="77777777" w:rsidR="00E93F58" w:rsidRPr="00576D60" w:rsidRDefault="00E93F58" w:rsidP="002F32E3">
            <w:pPr>
              <w:pStyle w:val="ENoteTableText"/>
            </w:pPr>
            <w:r w:rsidRPr="00576D60">
              <w:t>ad. 2001 No. 319</w:t>
            </w:r>
          </w:p>
        </w:tc>
      </w:tr>
      <w:tr w:rsidR="00E93F58" w:rsidRPr="00576D60" w14:paraId="380E9D9F" w14:textId="77777777" w:rsidTr="002F32E3">
        <w:trPr>
          <w:cantSplit/>
        </w:trPr>
        <w:tc>
          <w:tcPr>
            <w:tcW w:w="1500" w:type="pct"/>
            <w:shd w:val="clear" w:color="auto" w:fill="auto"/>
          </w:tcPr>
          <w:p w14:paraId="4CAB474E" w14:textId="77777777" w:rsidR="00E93F58" w:rsidRPr="00576D60" w:rsidRDefault="00E93F58" w:rsidP="002F32E3">
            <w:pPr>
              <w:pStyle w:val="ENoteTableText"/>
            </w:pPr>
          </w:p>
        </w:tc>
        <w:tc>
          <w:tcPr>
            <w:tcW w:w="3500" w:type="pct"/>
            <w:shd w:val="clear" w:color="auto" w:fill="auto"/>
          </w:tcPr>
          <w:p w14:paraId="61DB606A" w14:textId="77777777" w:rsidR="00E93F58" w:rsidRPr="00576D60" w:rsidRDefault="00E93F58" w:rsidP="002F32E3">
            <w:pPr>
              <w:pStyle w:val="ENoteTableText"/>
            </w:pPr>
            <w:r w:rsidRPr="00576D60">
              <w:t>am. 2005 No. 38</w:t>
            </w:r>
          </w:p>
        </w:tc>
      </w:tr>
      <w:tr w:rsidR="00E93F58" w:rsidRPr="00576D60" w14:paraId="1A0824CA" w14:textId="77777777" w:rsidTr="002F32E3">
        <w:trPr>
          <w:cantSplit/>
        </w:trPr>
        <w:tc>
          <w:tcPr>
            <w:tcW w:w="1500" w:type="pct"/>
            <w:shd w:val="clear" w:color="auto" w:fill="auto"/>
          </w:tcPr>
          <w:p w14:paraId="23C1B1CF" w14:textId="77777777" w:rsidR="00E93F58" w:rsidRPr="00576D60" w:rsidRDefault="00E93F58" w:rsidP="002F32E3">
            <w:pPr>
              <w:pStyle w:val="ENoteTableText"/>
              <w:tabs>
                <w:tab w:val="left" w:leader="dot" w:pos="2268"/>
              </w:tabs>
            </w:pPr>
            <w:r w:rsidRPr="00576D60">
              <w:lastRenderedPageBreak/>
              <w:t>r. 7.5.75</w:t>
            </w:r>
            <w:r w:rsidRPr="00576D60">
              <w:tab/>
            </w:r>
          </w:p>
        </w:tc>
        <w:tc>
          <w:tcPr>
            <w:tcW w:w="3500" w:type="pct"/>
            <w:shd w:val="clear" w:color="auto" w:fill="auto"/>
          </w:tcPr>
          <w:p w14:paraId="58CF0BE5" w14:textId="77777777" w:rsidR="00E93F58" w:rsidRPr="00576D60" w:rsidRDefault="00E93F58" w:rsidP="002F32E3">
            <w:pPr>
              <w:pStyle w:val="ENoteTableText"/>
            </w:pPr>
            <w:r w:rsidRPr="00576D60">
              <w:t>ad. 2001 No. 319</w:t>
            </w:r>
          </w:p>
        </w:tc>
      </w:tr>
      <w:tr w:rsidR="00E93F58" w:rsidRPr="00576D60" w14:paraId="56E65F90" w14:textId="77777777" w:rsidTr="002F32E3">
        <w:trPr>
          <w:cantSplit/>
        </w:trPr>
        <w:tc>
          <w:tcPr>
            <w:tcW w:w="1500" w:type="pct"/>
            <w:shd w:val="clear" w:color="auto" w:fill="auto"/>
          </w:tcPr>
          <w:p w14:paraId="45780FA2" w14:textId="77777777" w:rsidR="00E93F58" w:rsidRPr="00576D60" w:rsidRDefault="00E93F58" w:rsidP="002F32E3">
            <w:pPr>
              <w:pStyle w:val="ENoteTableText"/>
            </w:pPr>
          </w:p>
        </w:tc>
        <w:tc>
          <w:tcPr>
            <w:tcW w:w="3500" w:type="pct"/>
            <w:shd w:val="clear" w:color="auto" w:fill="auto"/>
          </w:tcPr>
          <w:p w14:paraId="29FC80CF" w14:textId="77777777" w:rsidR="00E93F58" w:rsidRPr="00576D60" w:rsidRDefault="00E93F58" w:rsidP="002F32E3">
            <w:pPr>
              <w:pStyle w:val="ENoteTableText"/>
            </w:pPr>
            <w:r w:rsidRPr="00576D60">
              <w:t>am 2002 No 16; F2019L01474</w:t>
            </w:r>
          </w:p>
        </w:tc>
      </w:tr>
      <w:tr w:rsidR="00E93F58" w:rsidRPr="00576D60" w14:paraId="67411836" w14:textId="77777777" w:rsidTr="002F32E3">
        <w:trPr>
          <w:cantSplit/>
        </w:trPr>
        <w:tc>
          <w:tcPr>
            <w:tcW w:w="1500" w:type="pct"/>
            <w:shd w:val="clear" w:color="auto" w:fill="auto"/>
          </w:tcPr>
          <w:p w14:paraId="5EECF366" w14:textId="77777777" w:rsidR="00E93F58" w:rsidRPr="00576D60" w:rsidRDefault="00E93F58" w:rsidP="002F32E3">
            <w:pPr>
              <w:pStyle w:val="ENoteTableText"/>
              <w:tabs>
                <w:tab w:val="left" w:leader="dot" w:pos="2268"/>
              </w:tabs>
            </w:pPr>
            <w:r w:rsidRPr="00576D60">
              <w:t>r. 7.5.76</w:t>
            </w:r>
            <w:r w:rsidRPr="00576D60">
              <w:tab/>
            </w:r>
          </w:p>
        </w:tc>
        <w:tc>
          <w:tcPr>
            <w:tcW w:w="3500" w:type="pct"/>
            <w:shd w:val="clear" w:color="auto" w:fill="auto"/>
          </w:tcPr>
          <w:p w14:paraId="434272F6" w14:textId="77777777" w:rsidR="00E93F58" w:rsidRPr="00576D60" w:rsidRDefault="00E93F58" w:rsidP="002F32E3">
            <w:pPr>
              <w:pStyle w:val="ENoteTableText"/>
            </w:pPr>
            <w:r w:rsidRPr="00576D60">
              <w:t>ad. 2001 No. 319</w:t>
            </w:r>
          </w:p>
        </w:tc>
      </w:tr>
      <w:tr w:rsidR="00E93F58" w:rsidRPr="00576D60" w14:paraId="0B4DB14F" w14:textId="77777777" w:rsidTr="002F32E3">
        <w:trPr>
          <w:cantSplit/>
        </w:trPr>
        <w:tc>
          <w:tcPr>
            <w:tcW w:w="1500" w:type="pct"/>
            <w:shd w:val="clear" w:color="auto" w:fill="auto"/>
          </w:tcPr>
          <w:p w14:paraId="474ACF72" w14:textId="77777777" w:rsidR="00E93F58" w:rsidRPr="00576D60" w:rsidRDefault="00E93F58" w:rsidP="002F32E3">
            <w:pPr>
              <w:pStyle w:val="ENoteTableText"/>
              <w:tabs>
                <w:tab w:val="left" w:leader="dot" w:pos="2268"/>
              </w:tabs>
            </w:pPr>
            <w:r w:rsidRPr="00576D60">
              <w:t>r. 7.5.77</w:t>
            </w:r>
            <w:r w:rsidRPr="00576D60">
              <w:tab/>
            </w:r>
          </w:p>
        </w:tc>
        <w:tc>
          <w:tcPr>
            <w:tcW w:w="3500" w:type="pct"/>
            <w:shd w:val="clear" w:color="auto" w:fill="auto"/>
          </w:tcPr>
          <w:p w14:paraId="1C051D9C" w14:textId="77777777" w:rsidR="00E93F58" w:rsidRPr="00576D60" w:rsidRDefault="00E93F58" w:rsidP="002F32E3">
            <w:pPr>
              <w:pStyle w:val="ENoteTableText"/>
            </w:pPr>
            <w:r w:rsidRPr="00576D60">
              <w:t>ad. 2001 No. 319</w:t>
            </w:r>
          </w:p>
        </w:tc>
      </w:tr>
      <w:tr w:rsidR="00E93F58" w:rsidRPr="00576D60" w14:paraId="76F943E2" w14:textId="77777777" w:rsidTr="002F32E3">
        <w:trPr>
          <w:cantSplit/>
        </w:trPr>
        <w:tc>
          <w:tcPr>
            <w:tcW w:w="1500" w:type="pct"/>
            <w:shd w:val="clear" w:color="auto" w:fill="auto"/>
          </w:tcPr>
          <w:p w14:paraId="3E97C9B0" w14:textId="77777777" w:rsidR="00E93F58" w:rsidRPr="00576D60" w:rsidRDefault="00E93F58" w:rsidP="002F32E3">
            <w:pPr>
              <w:pStyle w:val="ENoteTableText"/>
              <w:tabs>
                <w:tab w:val="left" w:leader="dot" w:pos="2268"/>
              </w:tabs>
            </w:pPr>
            <w:r w:rsidRPr="00576D60">
              <w:t>r. 7.5.78</w:t>
            </w:r>
            <w:r w:rsidRPr="00576D60">
              <w:tab/>
            </w:r>
          </w:p>
        </w:tc>
        <w:tc>
          <w:tcPr>
            <w:tcW w:w="3500" w:type="pct"/>
            <w:shd w:val="clear" w:color="auto" w:fill="auto"/>
          </w:tcPr>
          <w:p w14:paraId="6021424C" w14:textId="77777777" w:rsidR="00E93F58" w:rsidRPr="00576D60" w:rsidRDefault="00E93F58" w:rsidP="002F32E3">
            <w:pPr>
              <w:pStyle w:val="ENoteTableText"/>
            </w:pPr>
            <w:r w:rsidRPr="00576D60">
              <w:t>ad. 2001 No. 319</w:t>
            </w:r>
          </w:p>
        </w:tc>
      </w:tr>
      <w:tr w:rsidR="00E93F58" w:rsidRPr="00576D60" w14:paraId="17A22A82" w14:textId="77777777" w:rsidTr="002F32E3">
        <w:trPr>
          <w:cantSplit/>
        </w:trPr>
        <w:tc>
          <w:tcPr>
            <w:tcW w:w="1500" w:type="pct"/>
            <w:shd w:val="clear" w:color="auto" w:fill="auto"/>
          </w:tcPr>
          <w:p w14:paraId="53AE32FB" w14:textId="77777777" w:rsidR="00E93F58" w:rsidRPr="00576D60" w:rsidRDefault="00E93F58" w:rsidP="002F32E3">
            <w:pPr>
              <w:pStyle w:val="ENoteTableText"/>
              <w:tabs>
                <w:tab w:val="left" w:leader="dot" w:pos="2268"/>
              </w:tabs>
            </w:pPr>
            <w:r w:rsidRPr="00576D60">
              <w:t>r. 7.5.79</w:t>
            </w:r>
            <w:r w:rsidRPr="00576D60">
              <w:tab/>
            </w:r>
          </w:p>
        </w:tc>
        <w:tc>
          <w:tcPr>
            <w:tcW w:w="3500" w:type="pct"/>
            <w:shd w:val="clear" w:color="auto" w:fill="auto"/>
          </w:tcPr>
          <w:p w14:paraId="5CE6A704" w14:textId="77777777" w:rsidR="00E93F58" w:rsidRPr="00576D60" w:rsidRDefault="00E93F58" w:rsidP="002F32E3">
            <w:pPr>
              <w:pStyle w:val="ENoteTableText"/>
            </w:pPr>
            <w:r w:rsidRPr="00576D60">
              <w:t>ad. 2001 No. 319</w:t>
            </w:r>
          </w:p>
        </w:tc>
      </w:tr>
      <w:tr w:rsidR="00E93F58" w:rsidRPr="00576D60" w14:paraId="096A7C1F" w14:textId="77777777" w:rsidTr="002F32E3">
        <w:trPr>
          <w:cantSplit/>
        </w:trPr>
        <w:tc>
          <w:tcPr>
            <w:tcW w:w="1500" w:type="pct"/>
            <w:shd w:val="clear" w:color="auto" w:fill="auto"/>
          </w:tcPr>
          <w:p w14:paraId="43457FD7" w14:textId="77777777" w:rsidR="00E93F58" w:rsidRPr="00576D60" w:rsidRDefault="00E93F58" w:rsidP="002F32E3">
            <w:pPr>
              <w:pStyle w:val="ENoteTableText"/>
              <w:tabs>
                <w:tab w:val="left" w:leader="dot" w:pos="2268"/>
              </w:tabs>
            </w:pPr>
            <w:r w:rsidRPr="00576D60">
              <w:t>r. 7.5.80</w:t>
            </w:r>
            <w:r w:rsidRPr="00576D60">
              <w:tab/>
            </w:r>
          </w:p>
        </w:tc>
        <w:tc>
          <w:tcPr>
            <w:tcW w:w="3500" w:type="pct"/>
            <w:shd w:val="clear" w:color="auto" w:fill="auto"/>
          </w:tcPr>
          <w:p w14:paraId="5C4620F0" w14:textId="77777777" w:rsidR="00E93F58" w:rsidRPr="00576D60" w:rsidRDefault="00E93F58" w:rsidP="002F32E3">
            <w:pPr>
              <w:pStyle w:val="ENoteTableText"/>
            </w:pPr>
            <w:r w:rsidRPr="00576D60">
              <w:t>ad. 2001 No. 319</w:t>
            </w:r>
          </w:p>
        </w:tc>
      </w:tr>
      <w:tr w:rsidR="00E93F58" w:rsidRPr="00576D60" w14:paraId="127246C0" w14:textId="77777777" w:rsidTr="002F32E3">
        <w:trPr>
          <w:cantSplit/>
        </w:trPr>
        <w:tc>
          <w:tcPr>
            <w:tcW w:w="1500" w:type="pct"/>
            <w:shd w:val="clear" w:color="auto" w:fill="auto"/>
          </w:tcPr>
          <w:p w14:paraId="55285813" w14:textId="77777777" w:rsidR="00E93F58" w:rsidRPr="00576D60" w:rsidRDefault="00E93F58" w:rsidP="002F32E3">
            <w:pPr>
              <w:pStyle w:val="ENoteTableText"/>
              <w:tabs>
                <w:tab w:val="left" w:leader="dot" w:pos="2268"/>
              </w:tabs>
            </w:pPr>
            <w:r w:rsidRPr="00576D60">
              <w:t>r. 7.5.81</w:t>
            </w:r>
            <w:r w:rsidRPr="00576D60">
              <w:tab/>
            </w:r>
          </w:p>
        </w:tc>
        <w:tc>
          <w:tcPr>
            <w:tcW w:w="3500" w:type="pct"/>
            <w:shd w:val="clear" w:color="auto" w:fill="auto"/>
          </w:tcPr>
          <w:p w14:paraId="07C7AE31" w14:textId="77777777" w:rsidR="00E93F58" w:rsidRPr="00576D60" w:rsidRDefault="00E93F58" w:rsidP="002F32E3">
            <w:pPr>
              <w:pStyle w:val="ENoteTableText"/>
            </w:pPr>
            <w:r w:rsidRPr="00576D60">
              <w:t>ad. 2001 No. 319</w:t>
            </w:r>
          </w:p>
        </w:tc>
      </w:tr>
      <w:tr w:rsidR="00E93F58" w:rsidRPr="00576D60" w14:paraId="07AFD8CB" w14:textId="77777777" w:rsidTr="002F32E3">
        <w:trPr>
          <w:cantSplit/>
        </w:trPr>
        <w:tc>
          <w:tcPr>
            <w:tcW w:w="1500" w:type="pct"/>
            <w:shd w:val="clear" w:color="auto" w:fill="auto"/>
          </w:tcPr>
          <w:p w14:paraId="4510E906" w14:textId="77777777" w:rsidR="00E93F58" w:rsidRPr="00576D60" w:rsidRDefault="00E93F58" w:rsidP="002F32E3">
            <w:pPr>
              <w:pStyle w:val="ENoteTableText"/>
            </w:pPr>
          </w:p>
        </w:tc>
        <w:tc>
          <w:tcPr>
            <w:tcW w:w="3500" w:type="pct"/>
            <w:shd w:val="clear" w:color="auto" w:fill="auto"/>
          </w:tcPr>
          <w:p w14:paraId="34C86AA4" w14:textId="77777777" w:rsidR="00E93F58" w:rsidRPr="00576D60" w:rsidRDefault="00E93F58" w:rsidP="002F32E3">
            <w:pPr>
              <w:pStyle w:val="ENoteTableText"/>
            </w:pPr>
            <w:r w:rsidRPr="00576D60">
              <w:t>am. 2002 No. 282; 2004 No 26 and 398; 2005 No. 38</w:t>
            </w:r>
          </w:p>
        </w:tc>
      </w:tr>
      <w:tr w:rsidR="00E93F58" w:rsidRPr="00576D60" w14:paraId="64D2E374" w14:textId="77777777" w:rsidTr="002F32E3">
        <w:trPr>
          <w:cantSplit/>
        </w:trPr>
        <w:tc>
          <w:tcPr>
            <w:tcW w:w="1500" w:type="pct"/>
            <w:shd w:val="clear" w:color="auto" w:fill="auto"/>
          </w:tcPr>
          <w:p w14:paraId="001C949B" w14:textId="77777777" w:rsidR="00E93F58" w:rsidRPr="00576D60" w:rsidRDefault="00E93F58" w:rsidP="002F32E3">
            <w:pPr>
              <w:pStyle w:val="ENoteTableText"/>
              <w:tabs>
                <w:tab w:val="left" w:leader="dot" w:pos="2268"/>
              </w:tabs>
            </w:pPr>
            <w:r w:rsidRPr="00576D60">
              <w:t>r. 7.5.82</w:t>
            </w:r>
            <w:r w:rsidRPr="00576D60">
              <w:tab/>
            </w:r>
          </w:p>
        </w:tc>
        <w:tc>
          <w:tcPr>
            <w:tcW w:w="3500" w:type="pct"/>
            <w:shd w:val="clear" w:color="auto" w:fill="auto"/>
          </w:tcPr>
          <w:p w14:paraId="637D9BE7" w14:textId="77777777" w:rsidR="00E93F58" w:rsidRPr="00576D60" w:rsidRDefault="00E93F58" w:rsidP="002F32E3">
            <w:pPr>
              <w:pStyle w:val="ENoteTableText"/>
            </w:pPr>
            <w:r w:rsidRPr="00576D60">
              <w:t>ad. 2001 No. 319</w:t>
            </w:r>
          </w:p>
        </w:tc>
      </w:tr>
      <w:tr w:rsidR="00E93F58" w:rsidRPr="00576D60" w14:paraId="0774160F" w14:textId="77777777" w:rsidTr="002F32E3">
        <w:trPr>
          <w:cantSplit/>
        </w:trPr>
        <w:tc>
          <w:tcPr>
            <w:tcW w:w="1500" w:type="pct"/>
            <w:shd w:val="clear" w:color="auto" w:fill="auto"/>
          </w:tcPr>
          <w:p w14:paraId="096CCF02" w14:textId="77777777" w:rsidR="00E93F58" w:rsidRPr="00576D60" w:rsidRDefault="00E93F58" w:rsidP="002F32E3">
            <w:pPr>
              <w:pStyle w:val="ENoteTableText"/>
              <w:tabs>
                <w:tab w:val="left" w:leader="dot" w:pos="2268"/>
              </w:tabs>
            </w:pPr>
            <w:r w:rsidRPr="00576D60">
              <w:t>r. 7.5.83</w:t>
            </w:r>
            <w:r w:rsidRPr="00576D60">
              <w:tab/>
            </w:r>
          </w:p>
        </w:tc>
        <w:tc>
          <w:tcPr>
            <w:tcW w:w="3500" w:type="pct"/>
            <w:shd w:val="clear" w:color="auto" w:fill="auto"/>
          </w:tcPr>
          <w:p w14:paraId="2E4E287D" w14:textId="77777777" w:rsidR="00E93F58" w:rsidRPr="00576D60" w:rsidRDefault="00E93F58" w:rsidP="002F32E3">
            <w:pPr>
              <w:pStyle w:val="ENoteTableText"/>
            </w:pPr>
            <w:r w:rsidRPr="00576D60">
              <w:t>ad. 2001 No. 319</w:t>
            </w:r>
          </w:p>
        </w:tc>
      </w:tr>
      <w:tr w:rsidR="00E93F58" w:rsidRPr="00576D60" w14:paraId="116DBA63" w14:textId="77777777" w:rsidTr="002F32E3">
        <w:trPr>
          <w:cantSplit/>
        </w:trPr>
        <w:tc>
          <w:tcPr>
            <w:tcW w:w="1500" w:type="pct"/>
            <w:shd w:val="clear" w:color="auto" w:fill="auto"/>
          </w:tcPr>
          <w:p w14:paraId="0B7EFE57" w14:textId="77777777" w:rsidR="00E93F58" w:rsidRPr="00576D60" w:rsidRDefault="00E93F58" w:rsidP="002F32E3">
            <w:pPr>
              <w:pStyle w:val="ENoteTableText"/>
            </w:pPr>
          </w:p>
        </w:tc>
        <w:tc>
          <w:tcPr>
            <w:tcW w:w="3500" w:type="pct"/>
            <w:shd w:val="clear" w:color="auto" w:fill="auto"/>
          </w:tcPr>
          <w:p w14:paraId="21F00E9F" w14:textId="77777777" w:rsidR="00E93F58" w:rsidRPr="00576D60" w:rsidRDefault="00E93F58" w:rsidP="002F32E3">
            <w:pPr>
              <w:pStyle w:val="ENoteTableText"/>
            </w:pPr>
            <w:r w:rsidRPr="00576D60">
              <w:t>am. 2004 No. 26</w:t>
            </w:r>
          </w:p>
        </w:tc>
      </w:tr>
      <w:tr w:rsidR="00E93F58" w:rsidRPr="00576D60" w14:paraId="4865D4AB" w14:textId="77777777" w:rsidTr="002F32E3">
        <w:trPr>
          <w:cantSplit/>
        </w:trPr>
        <w:tc>
          <w:tcPr>
            <w:tcW w:w="1500" w:type="pct"/>
            <w:shd w:val="clear" w:color="auto" w:fill="auto"/>
          </w:tcPr>
          <w:p w14:paraId="39942C86" w14:textId="77777777" w:rsidR="00E93F58" w:rsidRPr="00576D60" w:rsidRDefault="00E93F58" w:rsidP="002F32E3">
            <w:pPr>
              <w:pStyle w:val="ENoteTableText"/>
              <w:tabs>
                <w:tab w:val="left" w:leader="dot" w:pos="2268"/>
              </w:tabs>
            </w:pPr>
            <w:r w:rsidRPr="00576D60">
              <w:t>r. 7.5.84</w:t>
            </w:r>
            <w:r w:rsidRPr="00576D60">
              <w:tab/>
            </w:r>
          </w:p>
        </w:tc>
        <w:tc>
          <w:tcPr>
            <w:tcW w:w="3500" w:type="pct"/>
            <w:shd w:val="clear" w:color="auto" w:fill="auto"/>
          </w:tcPr>
          <w:p w14:paraId="047CF23E" w14:textId="77777777" w:rsidR="00E93F58" w:rsidRPr="00576D60" w:rsidRDefault="00E93F58" w:rsidP="002F32E3">
            <w:pPr>
              <w:pStyle w:val="ENoteTableText"/>
            </w:pPr>
            <w:r w:rsidRPr="00576D60">
              <w:t>ad. 2001 No. 319</w:t>
            </w:r>
          </w:p>
        </w:tc>
      </w:tr>
      <w:tr w:rsidR="00E93F58" w:rsidRPr="00576D60" w14:paraId="4281EF49" w14:textId="77777777" w:rsidTr="002F32E3">
        <w:trPr>
          <w:cantSplit/>
        </w:trPr>
        <w:tc>
          <w:tcPr>
            <w:tcW w:w="1500" w:type="pct"/>
            <w:shd w:val="clear" w:color="auto" w:fill="auto"/>
          </w:tcPr>
          <w:p w14:paraId="059C7B0B" w14:textId="77777777" w:rsidR="00E93F58" w:rsidRPr="00576D60" w:rsidRDefault="00E93F58" w:rsidP="00E71EB0">
            <w:pPr>
              <w:pStyle w:val="ENoteTableText"/>
              <w:keepNext/>
              <w:tabs>
                <w:tab w:val="left" w:leader="dot" w:pos="2268"/>
              </w:tabs>
              <w:rPr>
                <w:b/>
              </w:rPr>
            </w:pPr>
            <w:r>
              <w:rPr>
                <w:b/>
              </w:rPr>
              <w:t>Subdivision 4</w:t>
            </w:r>
            <w:r w:rsidRPr="00576D60">
              <w:rPr>
                <w:b/>
              </w:rPr>
              <w:t>.11</w:t>
            </w:r>
          </w:p>
        </w:tc>
        <w:tc>
          <w:tcPr>
            <w:tcW w:w="3500" w:type="pct"/>
            <w:shd w:val="clear" w:color="auto" w:fill="auto"/>
          </w:tcPr>
          <w:p w14:paraId="5F28FD15" w14:textId="77777777" w:rsidR="00E93F58" w:rsidRPr="00576D60" w:rsidRDefault="00E93F58" w:rsidP="002F32E3">
            <w:pPr>
              <w:pStyle w:val="ENoteTableText"/>
            </w:pPr>
          </w:p>
        </w:tc>
      </w:tr>
      <w:tr w:rsidR="00E93F58" w:rsidRPr="00576D60" w14:paraId="075D0866" w14:textId="77777777" w:rsidTr="002F32E3">
        <w:trPr>
          <w:cantSplit/>
        </w:trPr>
        <w:tc>
          <w:tcPr>
            <w:tcW w:w="1500" w:type="pct"/>
            <w:shd w:val="clear" w:color="auto" w:fill="auto"/>
          </w:tcPr>
          <w:p w14:paraId="0DC5A980" w14:textId="77777777" w:rsidR="00E93F58" w:rsidRPr="00576D60" w:rsidRDefault="00E93F58" w:rsidP="002F32E3">
            <w:pPr>
              <w:pStyle w:val="ENoteTableText"/>
              <w:tabs>
                <w:tab w:val="left" w:leader="dot" w:pos="2268"/>
              </w:tabs>
            </w:pPr>
            <w:r w:rsidRPr="00576D60">
              <w:t>r. 7.5.85</w:t>
            </w:r>
            <w:r w:rsidRPr="00576D60">
              <w:tab/>
            </w:r>
          </w:p>
        </w:tc>
        <w:tc>
          <w:tcPr>
            <w:tcW w:w="3500" w:type="pct"/>
            <w:shd w:val="clear" w:color="auto" w:fill="auto"/>
          </w:tcPr>
          <w:p w14:paraId="73044F24" w14:textId="77777777" w:rsidR="00E93F58" w:rsidRPr="00576D60" w:rsidRDefault="00E93F58" w:rsidP="002F32E3">
            <w:pPr>
              <w:pStyle w:val="ENoteTableText"/>
            </w:pPr>
            <w:r w:rsidRPr="00576D60">
              <w:t>ad. 2001 No. 319</w:t>
            </w:r>
          </w:p>
        </w:tc>
      </w:tr>
      <w:tr w:rsidR="00E93F58" w:rsidRPr="00576D60" w14:paraId="4C62F3E9" w14:textId="77777777" w:rsidTr="002F32E3">
        <w:trPr>
          <w:cantSplit/>
        </w:trPr>
        <w:tc>
          <w:tcPr>
            <w:tcW w:w="1500" w:type="pct"/>
            <w:shd w:val="clear" w:color="auto" w:fill="auto"/>
          </w:tcPr>
          <w:p w14:paraId="1717EF53" w14:textId="77777777" w:rsidR="00E93F58" w:rsidRPr="00576D60" w:rsidRDefault="00E93F58" w:rsidP="002F32E3">
            <w:pPr>
              <w:pStyle w:val="ENoteTableText"/>
            </w:pPr>
          </w:p>
        </w:tc>
        <w:tc>
          <w:tcPr>
            <w:tcW w:w="3500" w:type="pct"/>
            <w:shd w:val="clear" w:color="auto" w:fill="auto"/>
          </w:tcPr>
          <w:p w14:paraId="0C44F475" w14:textId="77777777" w:rsidR="00E93F58" w:rsidRPr="00576D60" w:rsidRDefault="00E93F58" w:rsidP="002F32E3">
            <w:pPr>
              <w:pStyle w:val="ENoteTableText"/>
            </w:pPr>
            <w:r w:rsidRPr="00576D60">
              <w:t>rs. 2002 No. 16</w:t>
            </w:r>
          </w:p>
        </w:tc>
      </w:tr>
      <w:tr w:rsidR="00E93F58" w:rsidRPr="00576D60" w14:paraId="60440970" w14:textId="77777777" w:rsidTr="002F32E3">
        <w:trPr>
          <w:cantSplit/>
        </w:trPr>
        <w:tc>
          <w:tcPr>
            <w:tcW w:w="1500" w:type="pct"/>
            <w:shd w:val="clear" w:color="auto" w:fill="auto"/>
          </w:tcPr>
          <w:p w14:paraId="0B340F75" w14:textId="77777777" w:rsidR="00E93F58" w:rsidRPr="00576D60" w:rsidRDefault="00E93F58" w:rsidP="002F32E3">
            <w:pPr>
              <w:pStyle w:val="ENoteTableText"/>
            </w:pPr>
          </w:p>
        </w:tc>
        <w:tc>
          <w:tcPr>
            <w:tcW w:w="3500" w:type="pct"/>
            <w:shd w:val="clear" w:color="auto" w:fill="auto"/>
          </w:tcPr>
          <w:p w14:paraId="6741BEDD" w14:textId="77777777" w:rsidR="00E93F58" w:rsidRPr="00576D60" w:rsidRDefault="00E93F58" w:rsidP="002F32E3">
            <w:pPr>
              <w:pStyle w:val="ENoteTableText"/>
            </w:pPr>
            <w:r w:rsidRPr="00576D60">
              <w:t>am. 2004 No 26 and 398</w:t>
            </w:r>
          </w:p>
        </w:tc>
      </w:tr>
      <w:tr w:rsidR="00E93F58" w:rsidRPr="00576D60" w14:paraId="3C6D80D8" w14:textId="77777777" w:rsidTr="002F32E3">
        <w:trPr>
          <w:cantSplit/>
        </w:trPr>
        <w:tc>
          <w:tcPr>
            <w:tcW w:w="1500" w:type="pct"/>
            <w:shd w:val="clear" w:color="auto" w:fill="auto"/>
          </w:tcPr>
          <w:p w14:paraId="2D2AEFC5" w14:textId="77777777" w:rsidR="00E93F58" w:rsidRPr="00576D60" w:rsidRDefault="00E93F58" w:rsidP="002F32E3">
            <w:pPr>
              <w:pStyle w:val="ENoteTableText"/>
              <w:tabs>
                <w:tab w:val="center" w:leader="dot" w:pos="2268"/>
              </w:tabs>
            </w:pPr>
            <w:r w:rsidRPr="00576D60">
              <w:t>r 7.5.85A</w:t>
            </w:r>
            <w:r w:rsidRPr="00576D60">
              <w:tab/>
            </w:r>
          </w:p>
        </w:tc>
        <w:tc>
          <w:tcPr>
            <w:tcW w:w="3500" w:type="pct"/>
            <w:shd w:val="clear" w:color="auto" w:fill="auto"/>
          </w:tcPr>
          <w:p w14:paraId="633D297D" w14:textId="77777777" w:rsidR="00E93F58" w:rsidRPr="00576D60" w:rsidRDefault="00E93F58" w:rsidP="002F32E3">
            <w:pPr>
              <w:pStyle w:val="ENoteTableText"/>
            </w:pPr>
            <w:r w:rsidRPr="00576D60">
              <w:t>ad F2019L00374</w:t>
            </w:r>
          </w:p>
        </w:tc>
      </w:tr>
      <w:tr w:rsidR="00E93F58" w:rsidRPr="00576D60" w14:paraId="70CE30B1" w14:textId="77777777" w:rsidTr="002F32E3">
        <w:trPr>
          <w:cantSplit/>
        </w:trPr>
        <w:tc>
          <w:tcPr>
            <w:tcW w:w="1500" w:type="pct"/>
            <w:shd w:val="clear" w:color="auto" w:fill="auto"/>
          </w:tcPr>
          <w:p w14:paraId="4FF4AF8A" w14:textId="77777777" w:rsidR="00E93F58" w:rsidRPr="00576D60" w:rsidRDefault="00E93F58" w:rsidP="002F32E3">
            <w:pPr>
              <w:pStyle w:val="ENoteTableText"/>
              <w:keepNext/>
              <w:tabs>
                <w:tab w:val="left" w:leader="dot" w:pos="2268"/>
              </w:tabs>
              <w:rPr>
                <w:b/>
              </w:rPr>
            </w:pPr>
            <w:r w:rsidRPr="00576D60">
              <w:rPr>
                <w:b/>
              </w:rPr>
              <w:t>Division 5</w:t>
            </w:r>
          </w:p>
        </w:tc>
        <w:tc>
          <w:tcPr>
            <w:tcW w:w="3500" w:type="pct"/>
            <w:shd w:val="clear" w:color="auto" w:fill="auto"/>
          </w:tcPr>
          <w:p w14:paraId="78FF2F80" w14:textId="77777777" w:rsidR="00E93F58" w:rsidRPr="00576D60" w:rsidRDefault="00E93F58" w:rsidP="002F32E3">
            <w:pPr>
              <w:pStyle w:val="ENoteTableText"/>
            </w:pPr>
          </w:p>
        </w:tc>
      </w:tr>
      <w:tr w:rsidR="00E93F58" w:rsidRPr="00576D60" w14:paraId="583CE5F5" w14:textId="77777777" w:rsidTr="002F32E3">
        <w:trPr>
          <w:cantSplit/>
        </w:trPr>
        <w:tc>
          <w:tcPr>
            <w:tcW w:w="1500" w:type="pct"/>
            <w:shd w:val="clear" w:color="auto" w:fill="auto"/>
          </w:tcPr>
          <w:p w14:paraId="312EE56C" w14:textId="77777777" w:rsidR="00E93F58" w:rsidRPr="00576D60" w:rsidRDefault="00E93F58" w:rsidP="002F32E3">
            <w:pPr>
              <w:pStyle w:val="ENoteTableText"/>
              <w:tabs>
                <w:tab w:val="left" w:leader="dot" w:pos="2268"/>
              </w:tabs>
            </w:pPr>
            <w:r w:rsidRPr="00576D60">
              <w:t>r. 7.5.86</w:t>
            </w:r>
            <w:r w:rsidRPr="00576D60">
              <w:tab/>
            </w:r>
          </w:p>
        </w:tc>
        <w:tc>
          <w:tcPr>
            <w:tcW w:w="3500" w:type="pct"/>
            <w:shd w:val="clear" w:color="auto" w:fill="auto"/>
          </w:tcPr>
          <w:p w14:paraId="6F242218" w14:textId="77777777" w:rsidR="00E93F58" w:rsidRPr="00576D60" w:rsidRDefault="00E93F58" w:rsidP="002F32E3">
            <w:pPr>
              <w:pStyle w:val="ENoteTableText"/>
            </w:pPr>
            <w:r w:rsidRPr="00576D60">
              <w:t>ad. 2001 No. 319</w:t>
            </w:r>
          </w:p>
        </w:tc>
      </w:tr>
      <w:tr w:rsidR="00E93F58" w:rsidRPr="00576D60" w14:paraId="17A4FAEA" w14:textId="77777777" w:rsidTr="002F32E3">
        <w:trPr>
          <w:cantSplit/>
        </w:trPr>
        <w:tc>
          <w:tcPr>
            <w:tcW w:w="1500" w:type="pct"/>
            <w:shd w:val="clear" w:color="auto" w:fill="auto"/>
          </w:tcPr>
          <w:p w14:paraId="334ECFEE" w14:textId="77777777" w:rsidR="00E93F58" w:rsidRPr="00576D60" w:rsidRDefault="00E93F58" w:rsidP="002F32E3">
            <w:pPr>
              <w:pStyle w:val="ENoteTableText"/>
              <w:tabs>
                <w:tab w:val="left" w:leader="dot" w:pos="2268"/>
              </w:tabs>
            </w:pPr>
            <w:r w:rsidRPr="00576D60">
              <w:t>r. 7.5.87</w:t>
            </w:r>
            <w:r w:rsidRPr="00576D60">
              <w:tab/>
            </w:r>
          </w:p>
        </w:tc>
        <w:tc>
          <w:tcPr>
            <w:tcW w:w="3500" w:type="pct"/>
            <w:shd w:val="clear" w:color="auto" w:fill="auto"/>
          </w:tcPr>
          <w:p w14:paraId="718BB4D3" w14:textId="77777777" w:rsidR="00E93F58" w:rsidRPr="00576D60" w:rsidRDefault="00E93F58" w:rsidP="002F32E3">
            <w:pPr>
              <w:pStyle w:val="ENoteTableText"/>
            </w:pPr>
            <w:r w:rsidRPr="00576D60">
              <w:t>ad. 2001 No. 319</w:t>
            </w:r>
          </w:p>
        </w:tc>
      </w:tr>
      <w:tr w:rsidR="00E93F58" w:rsidRPr="00576D60" w14:paraId="65CF9646" w14:textId="77777777" w:rsidTr="002F32E3">
        <w:trPr>
          <w:cantSplit/>
        </w:trPr>
        <w:tc>
          <w:tcPr>
            <w:tcW w:w="1500" w:type="pct"/>
            <w:shd w:val="clear" w:color="auto" w:fill="auto"/>
          </w:tcPr>
          <w:p w14:paraId="2F3AAB04" w14:textId="77777777" w:rsidR="00E93F58" w:rsidRPr="00576D60" w:rsidRDefault="00E93F58" w:rsidP="002F32E3">
            <w:pPr>
              <w:pStyle w:val="ENoteTableText"/>
              <w:tabs>
                <w:tab w:val="left" w:leader="dot" w:pos="2268"/>
              </w:tabs>
            </w:pPr>
            <w:r w:rsidRPr="00576D60">
              <w:t>r. 7.5.88</w:t>
            </w:r>
            <w:r w:rsidRPr="00576D60">
              <w:tab/>
            </w:r>
          </w:p>
        </w:tc>
        <w:tc>
          <w:tcPr>
            <w:tcW w:w="3500" w:type="pct"/>
            <w:shd w:val="clear" w:color="auto" w:fill="auto"/>
          </w:tcPr>
          <w:p w14:paraId="78BF8148" w14:textId="77777777" w:rsidR="00E93F58" w:rsidRPr="00576D60" w:rsidRDefault="00E93F58" w:rsidP="002F32E3">
            <w:pPr>
              <w:pStyle w:val="ENoteTableText"/>
            </w:pPr>
            <w:r w:rsidRPr="00576D60">
              <w:t>ad. 2001 No. 319</w:t>
            </w:r>
          </w:p>
        </w:tc>
      </w:tr>
      <w:tr w:rsidR="00E93F58" w:rsidRPr="00576D60" w14:paraId="4D1E5C0E" w14:textId="77777777" w:rsidTr="002F32E3">
        <w:trPr>
          <w:cantSplit/>
        </w:trPr>
        <w:tc>
          <w:tcPr>
            <w:tcW w:w="1500" w:type="pct"/>
            <w:shd w:val="clear" w:color="auto" w:fill="auto"/>
          </w:tcPr>
          <w:p w14:paraId="67C4E3A7" w14:textId="77777777" w:rsidR="00E93F58" w:rsidRPr="00576D60" w:rsidRDefault="00E93F58" w:rsidP="002F32E3">
            <w:pPr>
              <w:pStyle w:val="ENoteTableText"/>
            </w:pPr>
          </w:p>
        </w:tc>
        <w:tc>
          <w:tcPr>
            <w:tcW w:w="3500" w:type="pct"/>
            <w:shd w:val="clear" w:color="auto" w:fill="auto"/>
          </w:tcPr>
          <w:p w14:paraId="075E70E9" w14:textId="77777777" w:rsidR="00E93F58" w:rsidRPr="00576D60" w:rsidRDefault="00E93F58" w:rsidP="002F32E3">
            <w:pPr>
              <w:pStyle w:val="ENoteTableText"/>
            </w:pPr>
            <w:r w:rsidRPr="00576D60">
              <w:t>am. 2002 No. 145; 2010 No. 301</w:t>
            </w:r>
          </w:p>
        </w:tc>
      </w:tr>
      <w:tr w:rsidR="00E93F58" w:rsidRPr="00576D60" w14:paraId="41CC3FEC" w14:textId="77777777" w:rsidTr="002F32E3">
        <w:trPr>
          <w:cantSplit/>
        </w:trPr>
        <w:tc>
          <w:tcPr>
            <w:tcW w:w="1500" w:type="pct"/>
            <w:shd w:val="clear" w:color="auto" w:fill="auto"/>
          </w:tcPr>
          <w:p w14:paraId="20BE74E2" w14:textId="77777777" w:rsidR="00E93F58" w:rsidRPr="00576D60" w:rsidRDefault="00E93F58" w:rsidP="002F32E3">
            <w:pPr>
              <w:pStyle w:val="ENoteTableText"/>
              <w:tabs>
                <w:tab w:val="left" w:leader="dot" w:pos="2268"/>
              </w:tabs>
            </w:pPr>
            <w:r w:rsidRPr="00576D60">
              <w:t>r. 7.5.89</w:t>
            </w:r>
            <w:r w:rsidRPr="00576D60">
              <w:tab/>
            </w:r>
          </w:p>
        </w:tc>
        <w:tc>
          <w:tcPr>
            <w:tcW w:w="3500" w:type="pct"/>
            <w:shd w:val="clear" w:color="auto" w:fill="auto"/>
          </w:tcPr>
          <w:p w14:paraId="4596B5E1" w14:textId="77777777" w:rsidR="00E93F58" w:rsidRPr="00576D60" w:rsidRDefault="00E93F58" w:rsidP="002F32E3">
            <w:pPr>
              <w:pStyle w:val="ENoteTableText"/>
            </w:pPr>
            <w:r w:rsidRPr="00576D60">
              <w:t>ad. 2001 No. 319</w:t>
            </w:r>
          </w:p>
        </w:tc>
      </w:tr>
      <w:tr w:rsidR="00E93F58" w:rsidRPr="00576D60" w14:paraId="0A707601" w14:textId="77777777" w:rsidTr="002F32E3">
        <w:trPr>
          <w:cantSplit/>
        </w:trPr>
        <w:tc>
          <w:tcPr>
            <w:tcW w:w="1500" w:type="pct"/>
            <w:shd w:val="clear" w:color="auto" w:fill="auto"/>
          </w:tcPr>
          <w:p w14:paraId="53BD09A4" w14:textId="77777777" w:rsidR="00E93F58" w:rsidRPr="00576D60" w:rsidRDefault="00E93F58" w:rsidP="002F32E3">
            <w:pPr>
              <w:pStyle w:val="ENoteTableText"/>
              <w:tabs>
                <w:tab w:val="left" w:leader="dot" w:pos="2268"/>
              </w:tabs>
            </w:pPr>
            <w:r w:rsidRPr="00576D60">
              <w:t>r. 7.5.90</w:t>
            </w:r>
            <w:r w:rsidRPr="00576D60">
              <w:tab/>
            </w:r>
          </w:p>
        </w:tc>
        <w:tc>
          <w:tcPr>
            <w:tcW w:w="3500" w:type="pct"/>
            <w:shd w:val="clear" w:color="auto" w:fill="auto"/>
          </w:tcPr>
          <w:p w14:paraId="1627A84E" w14:textId="77777777" w:rsidR="00E93F58" w:rsidRPr="00576D60" w:rsidRDefault="00E93F58" w:rsidP="002F32E3">
            <w:pPr>
              <w:pStyle w:val="ENoteTableText"/>
            </w:pPr>
            <w:r w:rsidRPr="00576D60">
              <w:t>ad. 2001 No. 319</w:t>
            </w:r>
          </w:p>
        </w:tc>
      </w:tr>
      <w:tr w:rsidR="00E93F58" w:rsidRPr="00576D60" w14:paraId="3B94723D" w14:textId="77777777" w:rsidTr="002F32E3">
        <w:trPr>
          <w:cantSplit/>
        </w:trPr>
        <w:tc>
          <w:tcPr>
            <w:tcW w:w="1500" w:type="pct"/>
            <w:shd w:val="clear" w:color="auto" w:fill="auto"/>
          </w:tcPr>
          <w:p w14:paraId="176BCAA6" w14:textId="77777777" w:rsidR="00E93F58" w:rsidRPr="00576D60" w:rsidRDefault="00E93F58" w:rsidP="002F32E3">
            <w:pPr>
              <w:pStyle w:val="ENoteTableText"/>
            </w:pPr>
          </w:p>
        </w:tc>
        <w:tc>
          <w:tcPr>
            <w:tcW w:w="3500" w:type="pct"/>
            <w:shd w:val="clear" w:color="auto" w:fill="auto"/>
          </w:tcPr>
          <w:p w14:paraId="1D4A0452" w14:textId="77777777" w:rsidR="00E93F58" w:rsidRPr="00576D60" w:rsidRDefault="00E93F58" w:rsidP="002F32E3">
            <w:pPr>
              <w:pStyle w:val="ENoteTableText"/>
            </w:pPr>
            <w:r w:rsidRPr="00576D60">
              <w:t>am. 2002 No. 145</w:t>
            </w:r>
          </w:p>
        </w:tc>
      </w:tr>
      <w:tr w:rsidR="00E93F58" w:rsidRPr="00576D60" w14:paraId="2E7CA491" w14:textId="77777777" w:rsidTr="002F32E3">
        <w:trPr>
          <w:cantSplit/>
        </w:trPr>
        <w:tc>
          <w:tcPr>
            <w:tcW w:w="1500" w:type="pct"/>
            <w:shd w:val="clear" w:color="auto" w:fill="auto"/>
          </w:tcPr>
          <w:p w14:paraId="48EF6DB2" w14:textId="77777777" w:rsidR="00E93F58" w:rsidRPr="00576D60" w:rsidRDefault="00E93F58" w:rsidP="002F32E3">
            <w:pPr>
              <w:pStyle w:val="ENoteTableText"/>
              <w:tabs>
                <w:tab w:val="left" w:leader="dot" w:pos="2268"/>
              </w:tabs>
            </w:pPr>
            <w:r w:rsidRPr="00576D60">
              <w:t>r. 7.5.91</w:t>
            </w:r>
            <w:r w:rsidRPr="00576D60">
              <w:tab/>
            </w:r>
          </w:p>
        </w:tc>
        <w:tc>
          <w:tcPr>
            <w:tcW w:w="3500" w:type="pct"/>
            <w:shd w:val="clear" w:color="auto" w:fill="auto"/>
          </w:tcPr>
          <w:p w14:paraId="24500FD8" w14:textId="77777777" w:rsidR="00E93F58" w:rsidRPr="00576D60" w:rsidRDefault="00E93F58" w:rsidP="002F32E3">
            <w:pPr>
              <w:pStyle w:val="ENoteTableText"/>
            </w:pPr>
            <w:r w:rsidRPr="00576D60">
              <w:t>ad. 2001 No. 319</w:t>
            </w:r>
          </w:p>
        </w:tc>
      </w:tr>
      <w:tr w:rsidR="00E93F58" w:rsidRPr="00576D60" w14:paraId="61BB19F8" w14:textId="77777777" w:rsidTr="002F32E3">
        <w:trPr>
          <w:cantSplit/>
        </w:trPr>
        <w:tc>
          <w:tcPr>
            <w:tcW w:w="1500" w:type="pct"/>
            <w:shd w:val="clear" w:color="auto" w:fill="auto"/>
          </w:tcPr>
          <w:p w14:paraId="7EC21302" w14:textId="77777777" w:rsidR="00E93F58" w:rsidRPr="00576D60" w:rsidRDefault="00E93F58" w:rsidP="002F32E3">
            <w:pPr>
              <w:pStyle w:val="ENoteTableText"/>
              <w:tabs>
                <w:tab w:val="left" w:leader="dot" w:pos="2268"/>
              </w:tabs>
            </w:pPr>
            <w:r w:rsidRPr="00576D60">
              <w:t>r. 7.5.92</w:t>
            </w:r>
            <w:r w:rsidRPr="00576D60">
              <w:tab/>
            </w:r>
          </w:p>
        </w:tc>
        <w:tc>
          <w:tcPr>
            <w:tcW w:w="3500" w:type="pct"/>
            <w:shd w:val="clear" w:color="auto" w:fill="auto"/>
          </w:tcPr>
          <w:p w14:paraId="766026BD" w14:textId="77777777" w:rsidR="00E93F58" w:rsidRPr="00576D60" w:rsidRDefault="00E93F58" w:rsidP="002F32E3">
            <w:pPr>
              <w:pStyle w:val="ENoteTableText"/>
            </w:pPr>
            <w:r w:rsidRPr="00576D60">
              <w:t>ad. 2001 No. 319</w:t>
            </w:r>
          </w:p>
        </w:tc>
      </w:tr>
      <w:tr w:rsidR="00E93F58" w:rsidRPr="00576D60" w14:paraId="21821F28" w14:textId="77777777" w:rsidTr="002F32E3">
        <w:trPr>
          <w:cantSplit/>
        </w:trPr>
        <w:tc>
          <w:tcPr>
            <w:tcW w:w="1500" w:type="pct"/>
            <w:shd w:val="clear" w:color="auto" w:fill="auto"/>
          </w:tcPr>
          <w:p w14:paraId="61E01BEE" w14:textId="77777777" w:rsidR="00E93F58" w:rsidRPr="00576D60" w:rsidRDefault="00E93F58" w:rsidP="002F32E3">
            <w:pPr>
              <w:pStyle w:val="ENoteTableText"/>
            </w:pPr>
          </w:p>
        </w:tc>
        <w:tc>
          <w:tcPr>
            <w:tcW w:w="3500" w:type="pct"/>
            <w:shd w:val="clear" w:color="auto" w:fill="auto"/>
          </w:tcPr>
          <w:p w14:paraId="6D9C5552" w14:textId="77777777" w:rsidR="00E93F58" w:rsidRPr="00576D60" w:rsidRDefault="00E93F58" w:rsidP="002F32E3">
            <w:pPr>
              <w:pStyle w:val="ENoteTableText"/>
            </w:pPr>
            <w:r w:rsidRPr="00576D60">
              <w:t>am. 2002 No 126 and 145</w:t>
            </w:r>
          </w:p>
        </w:tc>
      </w:tr>
      <w:tr w:rsidR="00E93F58" w:rsidRPr="00576D60" w14:paraId="6BD56C6A" w14:textId="77777777" w:rsidTr="002F32E3">
        <w:trPr>
          <w:cantSplit/>
        </w:trPr>
        <w:tc>
          <w:tcPr>
            <w:tcW w:w="1500" w:type="pct"/>
            <w:shd w:val="clear" w:color="auto" w:fill="auto"/>
          </w:tcPr>
          <w:p w14:paraId="17F1F875" w14:textId="77777777" w:rsidR="00E93F58" w:rsidRPr="00576D60" w:rsidRDefault="00E93F58" w:rsidP="002F32E3">
            <w:pPr>
              <w:pStyle w:val="ENoteTableText"/>
              <w:tabs>
                <w:tab w:val="left" w:leader="dot" w:pos="2268"/>
              </w:tabs>
            </w:pPr>
            <w:r w:rsidRPr="00576D60">
              <w:t>r. 7.5.93</w:t>
            </w:r>
            <w:r w:rsidRPr="00576D60">
              <w:tab/>
            </w:r>
          </w:p>
        </w:tc>
        <w:tc>
          <w:tcPr>
            <w:tcW w:w="3500" w:type="pct"/>
            <w:shd w:val="clear" w:color="auto" w:fill="auto"/>
          </w:tcPr>
          <w:p w14:paraId="38D55973" w14:textId="77777777" w:rsidR="00E93F58" w:rsidRPr="00576D60" w:rsidRDefault="00E93F58" w:rsidP="002F32E3">
            <w:pPr>
              <w:pStyle w:val="ENoteTableText"/>
            </w:pPr>
            <w:r w:rsidRPr="00576D60">
              <w:t>ad. 2001 No. 319</w:t>
            </w:r>
          </w:p>
        </w:tc>
      </w:tr>
      <w:tr w:rsidR="00E93F58" w:rsidRPr="00576D60" w14:paraId="440B055E" w14:textId="77777777" w:rsidTr="002F32E3">
        <w:trPr>
          <w:cantSplit/>
        </w:trPr>
        <w:tc>
          <w:tcPr>
            <w:tcW w:w="1500" w:type="pct"/>
            <w:shd w:val="clear" w:color="auto" w:fill="auto"/>
          </w:tcPr>
          <w:p w14:paraId="75ACFDF7" w14:textId="77777777" w:rsidR="00E93F58" w:rsidRPr="00576D60" w:rsidRDefault="00E93F58" w:rsidP="002F32E3">
            <w:pPr>
              <w:pStyle w:val="ENoteTableText"/>
              <w:tabs>
                <w:tab w:val="left" w:leader="dot" w:pos="2268"/>
              </w:tabs>
            </w:pPr>
            <w:r w:rsidRPr="00576D60">
              <w:rPr>
                <w:b/>
              </w:rPr>
              <w:t>Part 7.5A</w:t>
            </w:r>
          </w:p>
        </w:tc>
        <w:tc>
          <w:tcPr>
            <w:tcW w:w="3500" w:type="pct"/>
            <w:shd w:val="clear" w:color="auto" w:fill="auto"/>
          </w:tcPr>
          <w:p w14:paraId="0897D675" w14:textId="77777777" w:rsidR="00E93F58" w:rsidRPr="00576D60" w:rsidRDefault="00E93F58" w:rsidP="002F32E3">
            <w:pPr>
              <w:pStyle w:val="ENoteTableText"/>
            </w:pPr>
          </w:p>
        </w:tc>
      </w:tr>
      <w:tr w:rsidR="00E93F58" w:rsidRPr="00576D60" w14:paraId="00E0D467" w14:textId="77777777" w:rsidTr="002F32E3">
        <w:trPr>
          <w:cantSplit/>
        </w:trPr>
        <w:tc>
          <w:tcPr>
            <w:tcW w:w="1500" w:type="pct"/>
            <w:shd w:val="clear" w:color="auto" w:fill="auto"/>
          </w:tcPr>
          <w:p w14:paraId="75D9D032" w14:textId="77777777" w:rsidR="00E93F58" w:rsidRPr="00576D60" w:rsidRDefault="00E93F58" w:rsidP="002F32E3">
            <w:pPr>
              <w:pStyle w:val="ENoteTableText"/>
              <w:tabs>
                <w:tab w:val="left" w:leader="dot" w:pos="2268"/>
              </w:tabs>
            </w:pPr>
            <w:r w:rsidRPr="00576D60">
              <w:t>Part 7.5A</w:t>
            </w:r>
            <w:r w:rsidRPr="00576D60">
              <w:tab/>
            </w:r>
          </w:p>
        </w:tc>
        <w:tc>
          <w:tcPr>
            <w:tcW w:w="3500" w:type="pct"/>
            <w:shd w:val="clear" w:color="auto" w:fill="auto"/>
          </w:tcPr>
          <w:p w14:paraId="40150154" w14:textId="77777777" w:rsidR="00E93F58" w:rsidRPr="00576D60" w:rsidRDefault="00E93F58" w:rsidP="002F32E3">
            <w:pPr>
              <w:pStyle w:val="ENoteTableText"/>
            </w:pPr>
            <w:r w:rsidRPr="00576D60">
              <w:t>ad. No. 150, 2013</w:t>
            </w:r>
          </w:p>
        </w:tc>
      </w:tr>
      <w:tr w:rsidR="00E93F58" w:rsidRPr="00576D60" w14:paraId="3706D4E7" w14:textId="77777777" w:rsidTr="002F32E3">
        <w:trPr>
          <w:cantSplit/>
        </w:trPr>
        <w:tc>
          <w:tcPr>
            <w:tcW w:w="1500" w:type="pct"/>
            <w:shd w:val="clear" w:color="auto" w:fill="auto"/>
          </w:tcPr>
          <w:p w14:paraId="4C412193" w14:textId="77777777" w:rsidR="00E93F58" w:rsidRPr="00576D60" w:rsidRDefault="00E93F58" w:rsidP="009174F4">
            <w:pPr>
              <w:pStyle w:val="ENoteTableText"/>
              <w:keepNext/>
              <w:tabs>
                <w:tab w:val="left" w:leader="dot" w:pos="2268"/>
              </w:tabs>
            </w:pPr>
            <w:r>
              <w:rPr>
                <w:b/>
              </w:rPr>
              <w:t>Division 2</w:t>
            </w:r>
          </w:p>
        </w:tc>
        <w:tc>
          <w:tcPr>
            <w:tcW w:w="3500" w:type="pct"/>
            <w:shd w:val="clear" w:color="auto" w:fill="auto"/>
          </w:tcPr>
          <w:p w14:paraId="79B1DA0B" w14:textId="77777777" w:rsidR="00E93F58" w:rsidRPr="00576D60" w:rsidRDefault="00E93F58" w:rsidP="002F32E3">
            <w:pPr>
              <w:pStyle w:val="ENoteTableText"/>
            </w:pPr>
          </w:p>
        </w:tc>
      </w:tr>
      <w:tr w:rsidR="00E93F58" w:rsidRPr="00576D60" w14:paraId="3568ED91" w14:textId="77777777" w:rsidTr="002F32E3">
        <w:trPr>
          <w:cantSplit/>
        </w:trPr>
        <w:tc>
          <w:tcPr>
            <w:tcW w:w="1500" w:type="pct"/>
            <w:shd w:val="clear" w:color="auto" w:fill="auto"/>
          </w:tcPr>
          <w:p w14:paraId="1C2273F8" w14:textId="77777777" w:rsidR="00E93F58" w:rsidRPr="00576D60" w:rsidRDefault="00E93F58" w:rsidP="002F32E3">
            <w:pPr>
              <w:pStyle w:val="ENoteTableText"/>
              <w:tabs>
                <w:tab w:val="left" w:leader="dot" w:pos="2268"/>
              </w:tabs>
              <w:rPr>
                <w:b/>
              </w:rPr>
            </w:pPr>
            <w:r>
              <w:rPr>
                <w:b/>
              </w:rPr>
              <w:t>Subdivision 2</w:t>
            </w:r>
            <w:r w:rsidRPr="00576D60">
              <w:rPr>
                <w:b/>
              </w:rPr>
              <w:t>.1</w:t>
            </w:r>
          </w:p>
        </w:tc>
        <w:tc>
          <w:tcPr>
            <w:tcW w:w="3500" w:type="pct"/>
            <w:shd w:val="clear" w:color="auto" w:fill="auto"/>
          </w:tcPr>
          <w:p w14:paraId="70C7A098" w14:textId="77777777" w:rsidR="00E93F58" w:rsidRPr="00576D60" w:rsidRDefault="00E93F58" w:rsidP="002F32E3">
            <w:pPr>
              <w:pStyle w:val="ENoteTableText"/>
            </w:pPr>
          </w:p>
        </w:tc>
      </w:tr>
      <w:tr w:rsidR="00E93F58" w:rsidRPr="00576D60" w14:paraId="20C23B3B" w14:textId="77777777" w:rsidTr="002F32E3">
        <w:trPr>
          <w:cantSplit/>
        </w:trPr>
        <w:tc>
          <w:tcPr>
            <w:tcW w:w="1500" w:type="pct"/>
            <w:shd w:val="clear" w:color="auto" w:fill="auto"/>
          </w:tcPr>
          <w:p w14:paraId="156EA161" w14:textId="77777777" w:rsidR="00E93F58" w:rsidRPr="00576D60" w:rsidRDefault="00E93F58" w:rsidP="002F32E3">
            <w:pPr>
              <w:pStyle w:val="ENoteTableText"/>
              <w:tabs>
                <w:tab w:val="left" w:leader="dot" w:pos="2268"/>
              </w:tabs>
              <w:rPr>
                <w:b/>
              </w:rPr>
            </w:pPr>
            <w:r w:rsidRPr="00576D60">
              <w:t>r. 7.5A.30</w:t>
            </w:r>
            <w:r w:rsidRPr="00576D60">
              <w:tab/>
            </w:r>
          </w:p>
        </w:tc>
        <w:tc>
          <w:tcPr>
            <w:tcW w:w="3500" w:type="pct"/>
            <w:shd w:val="clear" w:color="auto" w:fill="auto"/>
          </w:tcPr>
          <w:p w14:paraId="5031C793" w14:textId="77777777" w:rsidR="00E93F58" w:rsidRPr="00576D60" w:rsidRDefault="00E93F58" w:rsidP="002F32E3">
            <w:pPr>
              <w:pStyle w:val="ENoteTableText"/>
            </w:pPr>
            <w:r w:rsidRPr="00576D60">
              <w:t>ad. No. 150, 2013</w:t>
            </w:r>
          </w:p>
        </w:tc>
      </w:tr>
      <w:tr w:rsidR="00E93F58" w:rsidRPr="00576D60" w14:paraId="1F41315E" w14:textId="77777777" w:rsidTr="002F32E3">
        <w:trPr>
          <w:cantSplit/>
        </w:trPr>
        <w:tc>
          <w:tcPr>
            <w:tcW w:w="1500" w:type="pct"/>
            <w:shd w:val="clear" w:color="auto" w:fill="auto"/>
          </w:tcPr>
          <w:p w14:paraId="5666FE54" w14:textId="77777777" w:rsidR="00E93F58" w:rsidRPr="00576D60" w:rsidRDefault="00E93F58" w:rsidP="002F32E3">
            <w:pPr>
              <w:pStyle w:val="ENoteTableText"/>
              <w:tabs>
                <w:tab w:val="left" w:leader="dot" w:pos="2268"/>
              </w:tabs>
            </w:pPr>
          </w:p>
        </w:tc>
        <w:tc>
          <w:tcPr>
            <w:tcW w:w="3500" w:type="pct"/>
            <w:shd w:val="clear" w:color="auto" w:fill="auto"/>
          </w:tcPr>
          <w:p w14:paraId="4837C9B0" w14:textId="77777777" w:rsidR="00E93F58" w:rsidRPr="00576D60" w:rsidRDefault="00E93F58" w:rsidP="002F32E3">
            <w:pPr>
              <w:pStyle w:val="ENoteTableText"/>
            </w:pPr>
            <w:r w:rsidRPr="00576D60">
              <w:t>am No 88, 2014</w:t>
            </w:r>
          </w:p>
        </w:tc>
      </w:tr>
      <w:tr w:rsidR="00E93F58" w:rsidRPr="00576D60" w14:paraId="2F27D931" w14:textId="77777777" w:rsidTr="002F32E3">
        <w:trPr>
          <w:cantSplit/>
        </w:trPr>
        <w:tc>
          <w:tcPr>
            <w:tcW w:w="1500" w:type="pct"/>
            <w:shd w:val="clear" w:color="auto" w:fill="auto"/>
          </w:tcPr>
          <w:p w14:paraId="230FA11E" w14:textId="77777777" w:rsidR="00E93F58" w:rsidRPr="00576D60" w:rsidRDefault="00E93F58" w:rsidP="002F32E3">
            <w:pPr>
              <w:pStyle w:val="ENoteTableText"/>
              <w:tabs>
                <w:tab w:val="left" w:leader="dot" w:pos="2268"/>
              </w:tabs>
            </w:pPr>
          </w:p>
        </w:tc>
        <w:tc>
          <w:tcPr>
            <w:tcW w:w="3500" w:type="pct"/>
            <w:shd w:val="clear" w:color="auto" w:fill="auto"/>
          </w:tcPr>
          <w:p w14:paraId="29A4B7B1" w14:textId="77777777" w:rsidR="00E93F58" w:rsidRPr="00576D60" w:rsidRDefault="00E93F58" w:rsidP="002F32E3">
            <w:pPr>
              <w:pStyle w:val="ENoteTableText"/>
            </w:pPr>
            <w:r w:rsidRPr="00576D60">
              <w:t>(2)(a)–(i) exp end of 30 June 2015 (r 7.5A.30(3))</w:t>
            </w:r>
          </w:p>
        </w:tc>
      </w:tr>
      <w:tr w:rsidR="00E93F58" w:rsidRPr="00576D60" w14:paraId="5E147E08" w14:textId="77777777" w:rsidTr="002F32E3">
        <w:trPr>
          <w:cantSplit/>
        </w:trPr>
        <w:tc>
          <w:tcPr>
            <w:tcW w:w="1500" w:type="pct"/>
            <w:shd w:val="clear" w:color="auto" w:fill="auto"/>
          </w:tcPr>
          <w:p w14:paraId="26C4091D" w14:textId="77777777" w:rsidR="00E93F58" w:rsidRPr="00576D60" w:rsidRDefault="00E93F58" w:rsidP="002F32E3">
            <w:pPr>
              <w:pStyle w:val="ENoteTableText"/>
              <w:tabs>
                <w:tab w:val="left" w:leader="dot" w:pos="2268"/>
              </w:tabs>
            </w:pPr>
          </w:p>
        </w:tc>
        <w:tc>
          <w:tcPr>
            <w:tcW w:w="3500" w:type="pct"/>
            <w:shd w:val="clear" w:color="auto" w:fill="auto"/>
          </w:tcPr>
          <w:p w14:paraId="499E6EFB" w14:textId="77777777" w:rsidR="00E93F58" w:rsidRPr="00576D60" w:rsidRDefault="00E93F58" w:rsidP="002F32E3">
            <w:pPr>
              <w:pStyle w:val="ENoteTableText"/>
            </w:pPr>
            <w:r w:rsidRPr="00576D60">
              <w:t>am No 157, 2015</w:t>
            </w:r>
          </w:p>
        </w:tc>
      </w:tr>
      <w:tr w:rsidR="00E93F58" w:rsidRPr="00576D60" w14:paraId="325D2ABF" w14:textId="77777777" w:rsidTr="002F32E3">
        <w:trPr>
          <w:cantSplit/>
        </w:trPr>
        <w:tc>
          <w:tcPr>
            <w:tcW w:w="1500" w:type="pct"/>
            <w:shd w:val="clear" w:color="auto" w:fill="auto"/>
          </w:tcPr>
          <w:p w14:paraId="5333D37E" w14:textId="77777777" w:rsidR="00E93F58" w:rsidRPr="00576D60" w:rsidRDefault="00E93F58" w:rsidP="002F32E3">
            <w:pPr>
              <w:pStyle w:val="ENoteTableText"/>
              <w:tabs>
                <w:tab w:val="left" w:leader="dot" w:pos="2268"/>
              </w:tabs>
            </w:pPr>
            <w:r w:rsidRPr="00576D60">
              <w:t>r 7.5A.50</w:t>
            </w:r>
            <w:r w:rsidRPr="00576D60">
              <w:tab/>
            </w:r>
          </w:p>
        </w:tc>
        <w:tc>
          <w:tcPr>
            <w:tcW w:w="3500" w:type="pct"/>
            <w:shd w:val="clear" w:color="auto" w:fill="auto"/>
          </w:tcPr>
          <w:p w14:paraId="064579C5" w14:textId="77777777" w:rsidR="00E93F58" w:rsidRPr="00576D60" w:rsidRDefault="00E93F58" w:rsidP="002F32E3">
            <w:pPr>
              <w:pStyle w:val="ENoteTableText"/>
            </w:pPr>
            <w:r w:rsidRPr="00576D60">
              <w:t>ad No 191, 2013</w:t>
            </w:r>
          </w:p>
        </w:tc>
      </w:tr>
      <w:tr w:rsidR="00E93F58" w:rsidRPr="00576D60" w14:paraId="03EAF0E6" w14:textId="77777777" w:rsidTr="002F32E3">
        <w:trPr>
          <w:cantSplit/>
        </w:trPr>
        <w:tc>
          <w:tcPr>
            <w:tcW w:w="1500" w:type="pct"/>
            <w:shd w:val="clear" w:color="auto" w:fill="auto"/>
          </w:tcPr>
          <w:p w14:paraId="3B3DB35C" w14:textId="77777777" w:rsidR="00E93F58" w:rsidRPr="00576D60" w:rsidRDefault="00E93F58" w:rsidP="002F32E3">
            <w:pPr>
              <w:pStyle w:val="ENoteTableText"/>
              <w:tabs>
                <w:tab w:val="left" w:leader="dot" w:pos="2268"/>
              </w:tabs>
            </w:pPr>
          </w:p>
        </w:tc>
        <w:tc>
          <w:tcPr>
            <w:tcW w:w="3500" w:type="pct"/>
            <w:shd w:val="clear" w:color="auto" w:fill="auto"/>
          </w:tcPr>
          <w:p w14:paraId="49169F52" w14:textId="77777777" w:rsidR="00E93F58" w:rsidRPr="00576D60" w:rsidRDefault="00E93F58" w:rsidP="002F32E3">
            <w:pPr>
              <w:pStyle w:val="ENoteTableText"/>
            </w:pPr>
            <w:r w:rsidRPr="00576D60">
              <w:t>am No 185, 2014; No 157, 2015</w:t>
            </w:r>
          </w:p>
        </w:tc>
      </w:tr>
      <w:tr w:rsidR="00E93F58" w:rsidRPr="00576D60" w14:paraId="547B7086" w14:textId="77777777" w:rsidTr="002F32E3">
        <w:trPr>
          <w:cantSplit/>
        </w:trPr>
        <w:tc>
          <w:tcPr>
            <w:tcW w:w="1500" w:type="pct"/>
            <w:shd w:val="clear" w:color="auto" w:fill="auto"/>
          </w:tcPr>
          <w:p w14:paraId="67284E71" w14:textId="77777777" w:rsidR="00E93F58" w:rsidRPr="00576D60" w:rsidRDefault="00E93F58" w:rsidP="002F32E3">
            <w:pPr>
              <w:pStyle w:val="ENoteTableText"/>
              <w:tabs>
                <w:tab w:val="left" w:leader="dot" w:pos="2268"/>
              </w:tabs>
              <w:rPr>
                <w:b/>
              </w:rPr>
            </w:pPr>
            <w:r>
              <w:rPr>
                <w:b/>
              </w:rPr>
              <w:t>Subdivision 2</w:t>
            </w:r>
            <w:r w:rsidRPr="00576D60">
              <w:rPr>
                <w:b/>
              </w:rPr>
              <w:t>.1A</w:t>
            </w:r>
          </w:p>
        </w:tc>
        <w:tc>
          <w:tcPr>
            <w:tcW w:w="3500" w:type="pct"/>
            <w:shd w:val="clear" w:color="auto" w:fill="auto"/>
          </w:tcPr>
          <w:p w14:paraId="1056294F" w14:textId="77777777" w:rsidR="00E93F58" w:rsidRPr="00576D60" w:rsidRDefault="00E93F58" w:rsidP="002F32E3">
            <w:pPr>
              <w:pStyle w:val="ENoteTableText"/>
            </w:pPr>
          </w:p>
        </w:tc>
      </w:tr>
      <w:tr w:rsidR="00E93F58" w:rsidRPr="00576D60" w14:paraId="64E63320" w14:textId="77777777" w:rsidTr="002F32E3">
        <w:trPr>
          <w:cantSplit/>
        </w:trPr>
        <w:tc>
          <w:tcPr>
            <w:tcW w:w="1500" w:type="pct"/>
            <w:shd w:val="clear" w:color="auto" w:fill="auto"/>
          </w:tcPr>
          <w:p w14:paraId="1E98A0B2" w14:textId="77777777" w:rsidR="00E93F58" w:rsidRPr="00576D60" w:rsidRDefault="00E93F58" w:rsidP="002F32E3">
            <w:pPr>
              <w:pStyle w:val="ENoteTableText"/>
              <w:tabs>
                <w:tab w:val="left" w:leader="dot" w:pos="2268"/>
              </w:tabs>
            </w:pPr>
            <w:r>
              <w:t>Subdivision 2</w:t>
            </w:r>
            <w:r w:rsidRPr="00576D60">
              <w:t>.1A</w:t>
            </w:r>
            <w:r w:rsidRPr="00576D60">
              <w:tab/>
            </w:r>
          </w:p>
        </w:tc>
        <w:tc>
          <w:tcPr>
            <w:tcW w:w="3500" w:type="pct"/>
            <w:shd w:val="clear" w:color="auto" w:fill="auto"/>
          </w:tcPr>
          <w:p w14:paraId="6059823C" w14:textId="77777777" w:rsidR="00E93F58" w:rsidRPr="00576D60" w:rsidRDefault="00E93F58" w:rsidP="002F32E3">
            <w:pPr>
              <w:pStyle w:val="ENoteTableText"/>
            </w:pPr>
            <w:r w:rsidRPr="00576D60">
              <w:t>ad No 157, 2015</w:t>
            </w:r>
          </w:p>
        </w:tc>
      </w:tr>
      <w:tr w:rsidR="00E93F58" w:rsidRPr="00576D60" w14:paraId="7C0BF66B" w14:textId="77777777" w:rsidTr="002F32E3">
        <w:trPr>
          <w:cantSplit/>
        </w:trPr>
        <w:tc>
          <w:tcPr>
            <w:tcW w:w="1500" w:type="pct"/>
            <w:shd w:val="clear" w:color="auto" w:fill="auto"/>
          </w:tcPr>
          <w:p w14:paraId="6E445213" w14:textId="77777777" w:rsidR="00E93F58" w:rsidRPr="00576D60" w:rsidRDefault="00E93F58" w:rsidP="002F32E3">
            <w:pPr>
              <w:pStyle w:val="ENoteTableText"/>
              <w:tabs>
                <w:tab w:val="left" w:leader="dot" w:pos="2268"/>
              </w:tabs>
            </w:pPr>
            <w:r w:rsidRPr="00576D60">
              <w:t>r 7.5A.60</w:t>
            </w:r>
            <w:r w:rsidRPr="00576D60">
              <w:tab/>
            </w:r>
          </w:p>
        </w:tc>
        <w:tc>
          <w:tcPr>
            <w:tcW w:w="3500" w:type="pct"/>
            <w:shd w:val="clear" w:color="auto" w:fill="auto"/>
          </w:tcPr>
          <w:p w14:paraId="4E0DA1FB" w14:textId="77777777" w:rsidR="00E93F58" w:rsidRPr="00576D60" w:rsidRDefault="00E93F58" w:rsidP="002F32E3">
            <w:pPr>
              <w:pStyle w:val="ENoteTableText"/>
            </w:pPr>
            <w:r w:rsidRPr="00576D60">
              <w:t>ad No 157, 2015</w:t>
            </w:r>
          </w:p>
        </w:tc>
      </w:tr>
      <w:tr w:rsidR="00E93F58" w:rsidRPr="00576D60" w14:paraId="6B8F7605" w14:textId="77777777" w:rsidTr="002F32E3">
        <w:trPr>
          <w:cantSplit/>
        </w:trPr>
        <w:tc>
          <w:tcPr>
            <w:tcW w:w="1500" w:type="pct"/>
            <w:shd w:val="clear" w:color="auto" w:fill="auto"/>
          </w:tcPr>
          <w:p w14:paraId="71F957B6" w14:textId="77777777" w:rsidR="00E93F58" w:rsidRPr="00576D60" w:rsidRDefault="00E93F58" w:rsidP="002F32E3">
            <w:pPr>
              <w:pStyle w:val="ENoteTableText"/>
              <w:tabs>
                <w:tab w:val="left" w:leader="dot" w:pos="2268"/>
              </w:tabs>
            </w:pPr>
          </w:p>
        </w:tc>
        <w:tc>
          <w:tcPr>
            <w:tcW w:w="3500" w:type="pct"/>
            <w:shd w:val="clear" w:color="auto" w:fill="auto"/>
          </w:tcPr>
          <w:p w14:paraId="05A6D03D" w14:textId="77777777" w:rsidR="00E93F58" w:rsidRPr="00576D60" w:rsidRDefault="00E93F58" w:rsidP="002F32E3">
            <w:pPr>
              <w:pStyle w:val="ENoteTableText"/>
            </w:pPr>
            <w:r w:rsidRPr="00576D60">
              <w:t>am F2018L01144; F2022L00469</w:t>
            </w:r>
          </w:p>
        </w:tc>
      </w:tr>
      <w:tr w:rsidR="00E93F58" w:rsidRPr="00576D60" w14:paraId="018C8089" w14:textId="77777777" w:rsidTr="002F32E3">
        <w:trPr>
          <w:cantSplit/>
        </w:trPr>
        <w:tc>
          <w:tcPr>
            <w:tcW w:w="1500" w:type="pct"/>
            <w:shd w:val="clear" w:color="auto" w:fill="auto"/>
          </w:tcPr>
          <w:p w14:paraId="79AF910E" w14:textId="77777777" w:rsidR="00E93F58" w:rsidRPr="00576D60" w:rsidRDefault="00E93F58" w:rsidP="002F32E3">
            <w:pPr>
              <w:pStyle w:val="ENoteTableText"/>
              <w:tabs>
                <w:tab w:val="left" w:leader="dot" w:pos="2268"/>
              </w:tabs>
            </w:pPr>
            <w:r w:rsidRPr="00576D60">
              <w:t>r 7.5A.61</w:t>
            </w:r>
            <w:r w:rsidRPr="00576D60">
              <w:tab/>
            </w:r>
          </w:p>
        </w:tc>
        <w:tc>
          <w:tcPr>
            <w:tcW w:w="3500" w:type="pct"/>
            <w:shd w:val="clear" w:color="auto" w:fill="auto"/>
          </w:tcPr>
          <w:p w14:paraId="5F5CAE03" w14:textId="77777777" w:rsidR="00E93F58" w:rsidRPr="00576D60" w:rsidRDefault="00E93F58" w:rsidP="002F32E3">
            <w:pPr>
              <w:pStyle w:val="ENoteTableText"/>
            </w:pPr>
            <w:r w:rsidRPr="00576D60">
              <w:t>ad No 157, 2015</w:t>
            </w:r>
          </w:p>
        </w:tc>
      </w:tr>
      <w:tr w:rsidR="00E93F58" w:rsidRPr="00576D60" w14:paraId="4CD5BF42" w14:textId="77777777" w:rsidTr="002F32E3">
        <w:trPr>
          <w:cantSplit/>
        </w:trPr>
        <w:tc>
          <w:tcPr>
            <w:tcW w:w="1500" w:type="pct"/>
            <w:shd w:val="clear" w:color="auto" w:fill="auto"/>
          </w:tcPr>
          <w:p w14:paraId="062BBA46" w14:textId="77777777" w:rsidR="00E93F58" w:rsidRPr="00576D60" w:rsidRDefault="00E93F58" w:rsidP="002F32E3">
            <w:pPr>
              <w:pStyle w:val="ENoteTableText"/>
              <w:tabs>
                <w:tab w:val="left" w:leader="dot" w:pos="2268"/>
              </w:tabs>
            </w:pPr>
            <w:r w:rsidRPr="00576D60">
              <w:t>r 7.5A.62</w:t>
            </w:r>
            <w:r w:rsidRPr="00576D60">
              <w:tab/>
            </w:r>
          </w:p>
        </w:tc>
        <w:tc>
          <w:tcPr>
            <w:tcW w:w="3500" w:type="pct"/>
            <w:shd w:val="clear" w:color="auto" w:fill="auto"/>
          </w:tcPr>
          <w:p w14:paraId="5695D33D" w14:textId="77777777" w:rsidR="00E93F58" w:rsidRPr="00576D60" w:rsidRDefault="00E93F58" w:rsidP="002F32E3">
            <w:pPr>
              <w:pStyle w:val="ENoteTableText"/>
            </w:pPr>
            <w:r w:rsidRPr="00576D60">
              <w:t>ad No 157, 2015</w:t>
            </w:r>
          </w:p>
        </w:tc>
      </w:tr>
      <w:tr w:rsidR="00E93F58" w:rsidRPr="00576D60" w14:paraId="3C7E7FC0" w14:textId="77777777" w:rsidTr="002F32E3">
        <w:trPr>
          <w:cantSplit/>
        </w:trPr>
        <w:tc>
          <w:tcPr>
            <w:tcW w:w="1500" w:type="pct"/>
            <w:shd w:val="clear" w:color="auto" w:fill="auto"/>
          </w:tcPr>
          <w:p w14:paraId="3F171760" w14:textId="77777777" w:rsidR="00E93F58" w:rsidRPr="00576D60" w:rsidRDefault="00E93F58" w:rsidP="002F32E3">
            <w:pPr>
              <w:pStyle w:val="ENoteTableText"/>
              <w:tabs>
                <w:tab w:val="left" w:leader="dot" w:pos="2268"/>
              </w:tabs>
            </w:pPr>
            <w:r w:rsidRPr="00576D60">
              <w:t>r 7.5A.63</w:t>
            </w:r>
            <w:r w:rsidRPr="00576D60">
              <w:tab/>
            </w:r>
          </w:p>
        </w:tc>
        <w:tc>
          <w:tcPr>
            <w:tcW w:w="3500" w:type="pct"/>
            <w:shd w:val="clear" w:color="auto" w:fill="auto"/>
          </w:tcPr>
          <w:p w14:paraId="73E893E4" w14:textId="77777777" w:rsidR="00E93F58" w:rsidRPr="00576D60" w:rsidRDefault="00E93F58" w:rsidP="002F32E3">
            <w:pPr>
              <w:pStyle w:val="ENoteTableText"/>
            </w:pPr>
            <w:r w:rsidRPr="00576D60">
              <w:t>ad No 157, 2015</w:t>
            </w:r>
          </w:p>
        </w:tc>
      </w:tr>
      <w:tr w:rsidR="00E93F58" w:rsidRPr="00576D60" w14:paraId="6CDE4E2B" w14:textId="77777777" w:rsidTr="002F32E3">
        <w:trPr>
          <w:cantSplit/>
        </w:trPr>
        <w:tc>
          <w:tcPr>
            <w:tcW w:w="1500" w:type="pct"/>
            <w:shd w:val="clear" w:color="auto" w:fill="auto"/>
          </w:tcPr>
          <w:p w14:paraId="5BF7AE35" w14:textId="77777777" w:rsidR="00E93F58" w:rsidRPr="00576D60" w:rsidRDefault="00E93F58" w:rsidP="002F32E3">
            <w:pPr>
              <w:pStyle w:val="ENoteTableText"/>
              <w:tabs>
                <w:tab w:val="left" w:leader="dot" w:pos="2268"/>
              </w:tabs>
            </w:pPr>
          </w:p>
        </w:tc>
        <w:tc>
          <w:tcPr>
            <w:tcW w:w="3500" w:type="pct"/>
            <w:shd w:val="clear" w:color="auto" w:fill="auto"/>
          </w:tcPr>
          <w:p w14:paraId="47E30FB4" w14:textId="77777777" w:rsidR="00E93F58" w:rsidRPr="00576D60" w:rsidRDefault="00E93F58" w:rsidP="002F32E3">
            <w:pPr>
              <w:pStyle w:val="ENoteTableText"/>
            </w:pPr>
            <w:r w:rsidRPr="00576D60">
              <w:t>am No 157, 2015</w:t>
            </w:r>
          </w:p>
        </w:tc>
      </w:tr>
      <w:tr w:rsidR="00E93F58" w:rsidRPr="00576D60" w14:paraId="219CE83F" w14:textId="77777777" w:rsidTr="002F32E3">
        <w:trPr>
          <w:cantSplit/>
        </w:trPr>
        <w:tc>
          <w:tcPr>
            <w:tcW w:w="1500" w:type="pct"/>
            <w:shd w:val="clear" w:color="auto" w:fill="auto"/>
          </w:tcPr>
          <w:p w14:paraId="2769C966" w14:textId="77777777" w:rsidR="00E93F58" w:rsidRPr="00576D60" w:rsidRDefault="00E93F58" w:rsidP="002F32E3">
            <w:pPr>
              <w:pStyle w:val="ENoteTableText"/>
              <w:tabs>
                <w:tab w:val="left" w:leader="dot" w:pos="2268"/>
              </w:tabs>
            </w:pPr>
            <w:r w:rsidRPr="00576D60">
              <w:t>r 7.5A.64</w:t>
            </w:r>
            <w:r w:rsidRPr="00576D60">
              <w:tab/>
            </w:r>
          </w:p>
        </w:tc>
        <w:tc>
          <w:tcPr>
            <w:tcW w:w="3500" w:type="pct"/>
            <w:shd w:val="clear" w:color="auto" w:fill="auto"/>
          </w:tcPr>
          <w:p w14:paraId="2060189C" w14:textId="77777777" w:rsidR="00E93F58" w:rsidRPr="00576D60" w:rsidRDefault="00E93F58" w:rsidP="002F32E3">
            <w:pPr>
              <w:pStyle w:val="ENoteTableText"/>
            </w:pPr>
            <w:r w:rsidRPr="00576D60">
              <w:t>ad No 157, 2015</w:t>
            </w:r>
          </w:p>
        </w:tc>
      </w:tr>
      <w:tr w:rsidR="00E93F58" w:rsidRPr="00576D60" w14:paraId="5DD66461" w14:textId="77777777" w:rsidTr="002F32E3">
        <w:trPr>
          <w:cantSplit/>
        </w:trPr>
        <w:tc>
          <w:tcPr>
            <w:tcW w:w="1500" w:type="pct"/>
            <w:shd w:val="clear" w:color="auto" w:fill="auto"/>
          </w:tcPr>
          <w:p w14:paraId="1B868EFB" w14:textId="77777777" w:rsidR="00E93F58" w:rsidRPr="00576D60" w:rsidRDefault="00E93F58" w:rsidP="002F32E3">
            <w:pPr>
              <w:pStyle w:val="ENoteTableText"/>
              <w:tabs>
                <w:tab w:val="left" w:leader="dot" w:pos="2268"/>
              </w:tabs>
            </w:pPr>
            <w:r w:rsidRPr="00576D60">
              <w:t>r 7.5A.65</w:t>
            </w:r>
            <w:r w:rsidRPr="00576D60">
              <w:tab/>
            </w:r>
          </w:p>
        </w:tc>
        <w:tc>
          <w:tcPr>
            <w:tcW w:w="3500" w:type="pct"/>
            <w:shd w:val="clear" w:color="auto" w:fill="auto"/>
          </w:tcPr>
          <w:p w14:paraId="142801B6" w14:textId="77777777" w:rsidR="00E93F58" w:rsidRPr="00576D60" w:rsidRDefault="00E93F58" w:rsidP="002F32E3">
            <w:pPr>
              <w:pStyle w:val="ENoteTableText"/>
            </w:pPr>
            <w:r w:rsidRPr="00576D60">
              <w:t>ad No 157, 2015</w:t>
            </w:r>
          </w:p>
        </w:tc>
      </w:tr>
      <w:tr w:rsidR="00E93F58" w:rsidRPr="00576D60" w14:paraId="7D2551E0" w14:textId="77777777" w:rsidTr="002F32E3">
        <w:trPr>
          <w:cantSplit/>
        </w:trPr>
        <w:tc>
          <w:tcPr>
            <w:tcW w:w="1500" w:type="pct"/>
            <w:shd w:val="clear" w:color="auto" w:fill="auto"/>
          </w:tcPr>
          <w:p w14:paraId="04D5BF19" w14:textId="77777777" w:rsidR="00E93F58" w:rsidRPr="00576D60" w:rsidRDefault="00E93F58" w:rsidP="002F32E3">
            <w:pPr>
              <w:pStyle w:val="ENoteTableText"/>
              <w:tabs>
                <w:tab w:val="left" w:leader="dot" w:pos="2268"/>
              </w:tabs>
              <w:rPr>
                <w:b/>
              </w:rPr>
            </w:pPr>
            <w:r>
              <w:rPr>
                <w:b/>
              </w:rPr>
              <w:t>Subdivision 2</w:t>
            </w:r>
            <w:r w:rsidRPr="00576D60">
              <w:rPr>
                <w:b/>
              </w:rPr>
              <w:t>.1B</w:t>
            </w:r>
          </w:p>
        </w:tc>
        <w:tc>
          <w:tcPr>
            <w:tcW w:w="3500" w:type="pct"/>
            <w:shd w:val="clear" w:color="auto" w:fill="auto"/>
          </w:tcPr>
          <w:p w14:paraId="1710DE1A" w14:textId="77777777" w:rsidR="00E93F58" w:rsidRPr="00576D60" w:rsidRDefault="00E93F58" w:rsidP="002F32E3">
            <w:pPr>
              <w:pStyle w:val="ENoteTableText"/>
            </w:pPr>
          </w:p>
        </w:tc>
      </w:tr>
      <w:tr w:rsidR="00E93F58" w:rsidRPr="00576D60" w14:paraId="1001F962" w14:textId="77777777" w:rsidTr="002F32E3">
        <w:trPr>
          <w:cantSplit/>
        </w:trPr>
        <w:tc>
          <w:tcPr>
            <w:tcW w:w="1500" w:type="pct"/>
            <w:shd w:val="clear" w:color="auto" w:fill="auto"/>
          </w:tcPr>
          <w:p w14:paraId="1BC2F4B0" w14:textId="77777777" w:rsidR="00E93F58" w:rsidRPr="00576D60" w:rsidRDefault="00E93F58" w:rsidP="002F32E3">
            <w:pPr>
              <w:pStyle w:val="ENoteTableText"/>
              <w:tabs>
                <w:tab w:val="left" w:leader="dot" w:pos="2268"/>
              </w:tabs>
            </w:pPr>
            <w:r>
              <w:lastRenderedPageBreak/>
              <w:t>Subdivision 2</w:t>
            </w:r>
            <w:r w:rsidRPr="00576D60">
              <w:t>.1B</w:t>
            </w:r>
            <w:r w:rsidRPr="00576D60">
              <w:tab/>
            </w:r>
          </w:p>
        </w:tc>
        <w:tc>
          <w:tcPr>
            <w:tcW w:w="3500" w:type="pct"/>
            <w:shd w:val="clear" w:color="auto" w:fill="auto"/>
          </w:tcPr>
          <w:p w14:paraId="2131D696" w14:textId="77777777" w:rsidR="00E93F58" w:rsidRPr="00576D60" w:rsidRDefault="00E93F58" w:rsidP="002F32E3">
            <w:pPr>
              <w:pStyle w:val="ENoteTableText"/>
            </w:pPr>
            <w:r w:rsidRPr="00576D60">
              <w:t>ad No 157, 2015</w:t>
            </w:r>
          </w:p>
        </w:tc>
      </w:tr>
      <w:tr w:rsidR="00E93F58" w:rsidRPr="00576D60" w14:paraId="1254ABBE" w14:textId="77777777" w:rsidTr="002F32E3">
        <w:trPr>
          <w:cantSplit/>
        </w:trPr>
        <w:tc>
          <w:tcPr>
            <w:tcW w:w="1500" w:type="pct"/>
            <w:shd w:val="clear" w:color="auto" w:fill="auto"/>
          </w:tcPr>
          <w:p w14:paraId="36C8E39E" w14:textId="77777777" w:rsidR="00E93F58" w:rsidRPr="00576D60" w:rsidRDefault="00E93F58" w:rsidP="002F32E3">
            <w:pPr>
              <w:pStyle w:val="ENoteTableText"/>
              <w:tabs>
                <w:tab w:val="left" w:leader="dot" w:pos="2268"/>
              </w:tabs>
            </w:pPr>
            <w:r w:rsidRPr="00576D60">
              <w:t>r 7.5A.70</w:t>
            </w:r>
            <w:r w:rsidRPr="00576D60">
              <w:tab/>
            </w:r>
          </w:p>
        </w:tc>
        <w:tc>
          <w:tcPr>
            <w:tcW w:w="3500" w:type="pct"/>
            <w:shd w:val="clear" w:color="auto" w:fill="auto"/>
          </w:tcPr>
          <w:p w14:paraId="53D0F505" w14:textId="77777777" w:rsidR="00E93F58" w:rsidRPr="00576D60" w:rsidRDefault="00E93F58" w:rsidP="002F32E3">
            <w:pPr>
              <w:pStyle w:val="ENoteTableText"/>
            </w:pPr>
            <w:r w:rsidRPr="00576D60">
              <w:t>ad No 157, 2015</w:t>
            </w:r>
          </w:p>
        </w:tc>
      </w:tr>
      <w:tr w:rsidR="00E93F58" w:rsidRPr="00576D60" w14:paraId="1316EF1D" w14:textId="77777777" w:rsidTr="002F32E3">
        <w:trPr>
          <w:cantSplit/>
        </w:trPr>
        <w:tc>
          <w:tcPr>
            <w:tcW w:w="1500" w:type="pct"/>
            <w:shd w:val="clear" w:color="auto" w:fill="auto"/>
          </w:tcPr>
          <w:p w14:paraId="554D5337" w14:textId="77777777" w:rsidR="00E93F58" w:rsidRPr="00576D60" w:rsidRDefault="00E93F58" w:rsidP="002F32E3">
            <w:pPr>
              <w:pStyle w:val="ENoteTableText"/>
              <w:tabs>
                <w:tab w:val="left" w:leader="dot" w:pos="2268"/>
              </w:tabs>
            </w:pPr>
          </w:p>
        </w:tc>
        <w:tc>
          <w:tcPr>
            <w:tcW w:w="3500" w:type="pct"/>
            <w:shd w:val="clear" w:color="auto" w:fill="auto"/>
          </w:tcPr>
          <w:p w14:paraId="127E51DB" w14:textId="77777777" w:rsidR="00E93F58" w:rsidRPr="00576D60" w:rsidRDefault="00E93F58" w:rsidP="002F32E3">
            <w:pPr>
              <w:pStyle w:val="ENoteTableText"/>
            </w:pPr>
            <w:r w:rsidRPr="00576D60">
              <w:t>am F2018L01144; F2022L00469</w:t>
            </w:r>
            <w:r>
              <w:t>; F2023L01458</w:t>
            </w:r>
          </w:p>
        </w:tc>
      </w:tr>
      <w:tr w:rsidR="00E93F58" w:rsidRPr="00576D60" w14:paraId="0B81C605" w14:textId="77777777" w:rsidTr="002F32E3">
        <w:trPr>
          <w:cantSplit/>
        </w:trPr>
        <w:tc>
          <w:tcPr>
            <w:tcW w:w="1500" w:type="pct"/>
            <w:shd w:val="clear" w:color="auto" w:fill="auto"/>
          </w:tcPr>
          <w:p w14:paraId="71DFF9FB" w14:textId="77777777" w:rsidR="00E93F58" w:rsidRPr="00576D60" w:rsidRDefault="00E93F58" w:rsidP="002F32E3">
            <w:pPr>
              <w:pStyle w:val="ENoteTableText"/>
              <w:tabs>
                <w:tab w:val="left" w:leader="dot" w:pos="2268"/>
              </w:tabs>
            </w:pPr>
            <w:r w:rsidRPr="00576D60">
              <w:t>r 7.5A.71</w:t>
            </w:r>
            <w:r w:rsidRPr="00576D60">
              <w:tab/>
            </w:r>
          </w:p>
        </w:tc>
        <w:tc>
          <w:tcPr>
            <w:tcW w:w="3500" w:type="pct"/>
            <w:shd w:val="clear" w:color="auto" w:fill="auto"/>
          </w:tcPr>
          <w:p w14:paraId="38861935" w14:textId="77777777" w:rsidR="00E93F58" w:rsidRPr="00576D60" w:rsidRDefault="00E93F58" w:rsidP="002F32E3">
            <w:pPr>
              <w:pStyle w:val="ENoteTableText"/>
            </w:pPr>
            <w:r w:rsidRPr="00576D60">
              <w:t>ad No 157, 2015</w:t>
            </w:r>
          </w:p>
        </w:tc>
      </w:tr>
      <w:tr w:rsidR="00E93F58" w:rsidRPr="00576D60" w14:paraId="5ED45581" w14:textId="77777777" w:rsidTr="002F32E3">
        <w:trPr>
          <w:cantSplit/>
        </w:trPr>
        <w:tc>
          <w:tcPr>
            <w:tcW w:w="1500" w:type="pct"/>
            <w:shd w:val="clear" w:color="auto" w:fill="auto"/>
          </w:tcPr>
          <w:p w14:paraId="0C967766" w14:textId="77777777" w:rsidR="00E93F58" w:rsidRPr="00576D60" w:rsidRDefault="00E93F58" w:rsidP="002F32E3">
            <w:pPr>
              <w:pStyle w:val="ENoteTableText"/>
              <w:tabs>
                <w:tab w:val="left" w:leader="dot" w:pos="2268"/>
              </w:tabs>
            </w:pPr>
            <w:r w:rsidRPr="00576D60">
              <w:t>r 7.5A.72</w:t>
            </w:r>
            <w:r w:rsidRPr="00576D60">
              <w:tab/>
            </w:r>
          </w:p>
        </w:tc>
        <w:tc>
          <w:tcPr>
            <w:tcW w:w="3500" w:type="pct"/>
            <w:shd w:val="clear" w:color="auto" w:fill="auto"/>
          </w:tcPr>
          <w:p w14:paraId="036F45C5" w14:textId="77777777" w:rsidR="00E93F58" w:rsidRPr="00576D60" w:rsidRDefault="00E93F58" w:rsidP="002F32E3">
            <w:pPr>
              <w:pStyle w:val="ENoteTableText"/>
            </w:pPr>
            <w:r w:rsidRPr="00576D60">
              <w:t>ad No 157, 2015</w:t>
            </w:r>
          </w:p>
        </w:tc>
      </w:tr>
      <w:tr w:rsidR="00E93F58" w:rsidRPr="00576D60" w14:paraId="0DD834D7" w14:textId="77777777" w:rsidTr="002F32E3">
        <w:trPr>
          <w:cantSplit/>
        </w:trPr>
        <w:tc>
          <w:tcPr>
            <w:tcW w:w="1500" w:type="pct"/>
            <w:shd w:val="clear" w:color="auto" w:fill="auto"/>
          </w:tcPr>
          <w:p w14:paraId="12E125E2" w14:textId="77777777" w:rsidR="00E93F58" w:rsidRPr="00576D60" w:rsidRDefault="00E93F58" w:rsidP="002F32E3">
            <w:pPr>
              <w:pStyle w:val="ENoteTableText"/>
              <w:tabs>
                <w:tab w:val="left" w:leader="dot" w:pos="2268"/>
              </w:tabs>
            </w:pPr>
            <w:r w:rsidRPr="00576D60">
              <w:t>r 7.5A.73</w:t>
            </w:r>
            <w:r w:rsidRPr="00576D60">
              <w:tab/>
            </w:r>
          </w:p>
        </w:tc>
        <w:tc>
          <w:tcPr>
            <w:tcW w:w="3500" w:type="pct"/>
            <w:shd w:val="clear" w:color="auto" w:fill="auto"/>
          </w:tcPr>
          <w:p w14:paraId="627717C8" w14:textId="77777777" w:rsidR="00E93F58" w:rsidRPr="00576D60" w:rsidRDefault="00E93F58" w:rsidP="002F32E3">
            <w:pPr>
              <w:pStyle w:val="ENoteTableText"/>
            </w:pPr>
            <w:r w:rsidRPr="00576D60">
              <w:t>ad No 157, 2015</w:t>
            </w:r>
          </w:p>
        </w:tc>
      </w:tr>
      <w:tr w:rsidR="00E93F58" w:rsidRPr="00576D60" w14:paraId="35D50AF4" w14:textId="77777777" w:rsidTr="002F32E3">
        <w:trPr>
          <w:cantSplit/>
        </w:trPr>
        <w:tc>
          <w:tcPr>
            <w:tcW w:w="1500" w:type="pct"/>
            <w:shd w:val="clear" w:color="auto" w:fill="auto"/>
          </w:tcPr>
          <w:p w14:paraId="3A6FE623" w14:textId="77777777" w:rsidR="00E93F58" w:rsidRPr="00576D60" w:rsidRDefault="00E93F58" w:rsidP="002F32E3">
            <w:pPr>
              <w:pStyle w:val="ENoteTableText"/>
              <w:tabs>
                <w:tab w:val="left" w:leader="dot" w:pos="2268"/>
              </w:tabs>
            </w:pPr>
          </w:p>
        </w:tc>
        <w:tc>
          <w:tcPr>
            <w:tcW w:w="3500" w:type="pct"/>
            <w:shd w:val="clear" w:color="auto" w:fill="auto"/>
          </w:tcPr>
          <w:p w14:paraId="71DC91DF" w14:textId="77777777" w:rsidR="00E93F58" w:rsidRPr="00576D60" w:rsidRDefault="00E93F58" w:rsidP="002F32E3">
            <w:pPr>
              <w:pStyle w:val="ENoteTableText"/>
            </w:pPr>
            <w:r w:rsidRPr="00576D60">
              <w:t>am F2018L01144; F2022L00469; F2022L01689</w:t>
            </w:r>
          </w:p>
        </w:tc>
      </w:tr>
      <w:tr w:rsidR="00E93F58" w:rsidRPr="00576D60" w14:paraId="7C600C90" w14:textId="77777777" w:rsidTr="002F32E3">
        <w:trPr>
          <w:cantSplit/>
        </w:trPr>
        <w:tc>
          <w:tcPr>
            <w:tcW w:w="1500" w:type="pct"/>
            <w:shd w:val="clear" w:color="auto" w:fill="auto"/>
          </w:tcPr>
          <w:p w14:paraId="4911FEB1" w14:textId="77777777" w:rsidR="00E93F58" w:rsidRPr="00576D60" w:rsidRDefault="00E93F58" w:rsidP="002F32E3">
            <w:pPr>
              <w:pStyle w:val="ENoteTableText"/>
              <w:tabs>
                <w:tab w:val="left" w:leader="dot" w:pos="2268"/>
              </w:tabs>
            </w:pPr>
            <w:r w:rsidRPr="00576D60">
              <w:t>r 7.5A.74</w:t>
            </w:r>
            <w:r w:rsidRPr="00576D60">
              <w:tab/>
            </w:r>
          </w:p>
        </w:tc>
        <w:tc>
          <w:tcPr>
            <w:tcW w:w="3500" w:type="pct"/>
            <w:shd w:val="clear" w:color="auto" w:fill="auto"/>
          </w:tcPr>
          <w:p w14:paraId="5264B427" w14:textId="77777777" w:rsidR="00E93F58" w:rsidRPr="00576D60" w:rsidRDefault="00E93F58" w:rsidP="002F32E3">
            <w:pPr>
              <w:pStyle w:val="ENoteTableText"/>
            </w:pPr>
            <w:r w:rsidRPr="00576D60">
              <w:t>ad No 157, 2015</w:t>
            </w:r>
          </w:p>
        </w:tc>
      </w:tr>
      <w:tr w:rsidR="00E93F58" w:rsidRPr="00576D60" w14:paraId="7155C017" w14:textId="77777777" w:rsidTr="002F32E3">
        <w:trPr>
          <w:cantSplit/>
        </w:trPr>
        <w:tc>
          <w:tcPr>
            <w:tcW w:w="1500" w:type="pct"/>
            <w:shd w:val="clear" w:color="auto" w:fill="auto"/>
          </w:tcPr>
          <w:p w14:paraId="0BCEECB2" w14:textId="77777777" w:rsidR="00E93F58" w:rsidRPr="00576D60" w:rsidRDefault="00E93F58" w:rsidP="002F32E3">
            <w:pPr>
              <w:pStyle w:val="ENoteTableText"/>
              <w:tabs>
                <w:tab w:val="left" w:leader="dot" w:pos="2268"/>
              </w:tabs>
              <w:rPr>
                <w:b/>
              </w:rPr>
            </w:pPr>
            <w:r>
              <w:rPr>
                <w:b/>
              </w:rPr>
              <w:t>Subdivision 2</w:t>
            </w:r>
            <w:r w:rsidRPr="00576D60">
              <w:rPr>
                <w:b/>
              </w:rPr>
              <w:t>.2</w:t>
            </w:r>
          </w:p>
        </w:tc>
        <w:tc>
          <w:tcPr>
            <w:tcW w:w="3500" w:type="pct"/>
            <w:shd w:val="clear" w:color="auto" w:fill="auto"/>
          </w:tcPr>
          <w:p w14:paraId="1C5B3039" w14:textId="77777777" w:rsidR="00E93F58" w:rsidRPr="00576D60" w:rsidRDefault="00E93F58" w:rsidP="002F32E3">
            <w:pPr>
              <w:pStyle w:val="ENoteTableText"/>
            </w:pPr>
          </w:p>
        </w:tc>
      </w:tr>
      <w:tr w:rsidR="00E93F58" w:rsidRPr="00576D60" w14:paraId="55ED1ADA" w14:textId="77777777" w:rsidTr="002F32E3">
        <w:trPr>
          <w:cantSplit/>
        </w:trPr>
        <w:tc>
          <w:tcPr>
            <w:tcW w:w="1500" w:type="pct"/>
            <w:shd w:val="clear" w:color="auto" w:fill="auto"/>
          </w:tcPr>
          <w:p w14:paraId="01B713D7" w14:textId="77777777" w:rsidR="00E93F58" w:rsidRPr="00576D60" w:rsidRDefault="00E93F58" w:rsidP="002F32E3">
            <w:pPr>
              <w:pStyle w:val="ENoteTableText"/>
              <w:tabs>
                <w:tab w:val="left" w:leader="dot" w:pos="2268"/>
              </w:tabs>
            </w:pPr>
            <w:r w:rsidRPr="00576D60">
              <w:t>r 7.5A.101</w:t>
            </w:r>
            <w:r w:rsidRPr="00576D60">
              <w:tab/>
            </w:r>
          </w:p>
        </w:tc>
        <w:tc>
          <w:tcPr>
            <w:tcW w:w="3500" w:type="pct"/>
            <w:shd w:val="clear" w:color="auto" w:fill="auto"/>
          </w:tcPr>
          <w:p w14:paraId="6780DEB8" w14:textId="77777777" w:rsidR="00E93F58" w:rsidRPr="00576D60" w:rsidRDefault="00E93F58" w:rsidP="002F32E3">
            <w:pPr>
              <w:pStyle w:val="ENoteTableText"/>
            </w:pPr>
            <w:r w:rsidRPr="00576D60">
              <w:t>ad No 191, 2013</w:t>
            </w:r>
          </w:p>
        </w:tc>
      </w:tr>
      <w:tr w:rsidR="00E93F58" w:rsidRPr="00576D60" w14:paraId="7A93738D" w14:textId="77777777" w:rsidTr="002F32E3">
        <w:trPr>
          <w:cantSplit/>
        </w:trPr>
        <w:tc>
          <w:tcPr>
            <w:tcW w:w="1500" w:type="pct"/>
            <w:shd w:val="clear" w:color="auto" w:fill="auto"/>
          </w:tcPr>
          <w:p w14:paraId="042BFE28" w14:textId="77777777" w:rsidR="00E93F58" w:rsidRPr="00576D60" w:rsidRDefault="00E93F58" w:rsidP="000F068F">
            <w:pPr>
              <w:pStyle w:val="ENoteTableText"/>
              <w:keepNext/>
              <w:tabs>
                <w:tab w:val="left" w:leader="dot" w:pos="2268"/>
              </w:tabs>
            </w:pPr>
            <w:r>
              <w:rPr>
                <w:b/>
              </w:rPr>
              <w:t>Subdivision 2</w:t>
            </w:r>
            <w:r w:rsidRPr="00576D60">
              <w:rPr>
                <w:b/>
              </w:rPr>
              <w:t>.3</w:t>
            </w:r>
          </w:p>
        </w:tc>
        <w:tc>
          <w:tcPr>
            <w:tcW w:w="3500" w:type="pct"/>
            <w:shd w:val="clear" w:color="auto" w:fill="auto"/>
          </w:tcPr>
          <w:p w14:paraId="26C1F9A8" w14:textId="77777777" w:rsidR="00E93F58" w:rsidRPr="00576D60" w:rsidRDefault="00E93F58" w:rsidP="002F32E3">
            <w:pPr>
              <w:pStyle w:val="ENoteTableText"/>
            </w:pPr>
          </w:p>
        </w:tc>
      </w:tr>
      <w:tr w:rsidR="00E93F58" w:rsidRPr="00576D60" w14:paraId="128DF853" w14:textId="77777777" w:rsidTr="002F32E3">
        <w:trPr>
          <w:cantSplit/>
        </w:trPr>
        <w:tc>
          <w:tcPr>
            <w:tcW w:w="1500" w:type="pct"/>
            <w:shd w:val="clear" w:color="auto" w:fill="auto"/>
          </w:tcPr>
          <w:p w14:paraId="05C4DA0B" w14:textId="77777777" w:rsidR="00E93F58" w:rsidRPr="00576D60" w:rsidRDefault="00E93F58" w:rsidP="002F32E3">
            <w:pPr>
              <w:pStyle w:val="ENoteTableText"/>
              <w:tabs>
                <w:tab w:val="left" w:leader="dot" w:pos="2268"/>
              </w:tabs>
            </w:pPr>
            <w:r w:rsidRPr="00576D60">
              <w:t>r 7.5A.102</w:t>
            </w:r>
            <w:r w:rsidRPr="00576D60">
              <w:tab/>
            </w:r>
          </w:p>
        </w:tc>
        <w:tc>
          <w:tcPr>
            <w:tcW w:w="3500" w:type="pct"/>
            <w:shd w:val="clear" w:color="auto" w:fill="auto"/>
          </w:tcPr>
          <w:p w14:paraId="6BED882C" w14:textId="77777777" w:rsidR="00E93F58" w:rsidRPr="00576D60" w:rsidRDefault="00E93F58" w:rsidP="002F32E3">
            <w:pPr>
              <w:pStyle w:val="ENoteTableText"/>
            </w:pPr>
            <w:r w:rsidRPr="00576D60">
              <w:t>ad No 191, 2013</w:t>
            </w:r>
          </w:p>
        </w:tc>
      </w:tr>
      <w:tr w:rsidR="00E93F58" w:rsidRPr="00576D60" w14:paraId="0CE8AB2F" w14:textId="77777777" w:rsidTr="002F32E3">
        <w:trPr>
          <w:cantSplit/>
        </w:trPr>
        <w:tc>
          <w:tcPr>
            <w:tcW w:w="1500" w:type="pct"/>
            <w:shd w:val="clear" w:color="auto" w:fill="auto"/>
          </w:tcPr>
          <w:p w14:paraId="6B7C30D6" w14:textId="77777777" w:rsidR="00E93F58" w:rsidRPr="00576D60" w:rsidRDefault="00E93F58" w:rsidP="002F32E3">
            <w:pPr>
              <w:pStyle w:val="ENoteTableText"/>
              <w:tabs>
                <w:tab w:val="left" w:leader="dot" w:pos="2268"/>
              </w:tabs>
            </w:pPr>
            <w:r w:rsidRPr="00576D60">
              <w:t>r 7.5A.103</w:t>
            </w:r>
            <w:r w:rsidRPr="00576D60">
              <w:tab/>
            </w:r>
          </w:p>
        </w:tc>
        <w:tc>
          <w:tcPr>
            <w:tcW w:w="3500" w:type="pct"/>
            <w:shd w:val="clear" w:color="auto" w:fill="auto"/>
          </w:tcPr>
          <w:p w14:paraId="166A73C9" w14:textId="77777777" w:rsidR="00E93F58" w:rsidRPr="00576D60" w:rsidRDefault="00E93F58" w:rsidP="002F32E3">
            <w:pPr>
              <w:pStyle w:val="ENoteTableText"/>
            </w:pPr>
            <w:r w:rsidRPr="00576D60">
              <w:t>ad No 191, 2013</w:t>
            </w:r>
          </w:p>
        </w:tc>
      </w:tr>
      <w:tr w:rsidR="00E93F58" w:rsidRPr="00576D60" w14:paraId="50AA62EF" w14:textId="77777777" w:rsidTr="002F32E3">
        <w:trPr>
          <w:cantSplit/>
        </w:trPr>
        <w:tc>
          <w:tcPr>
            <w:tcW w:w="1500" w:type="pct"/>
            <w:shd w:val="clear" w:color="auto" w:fill="auto"/>
          </w:tcPr>
          <w:p w14:paraId="54FBD049" w14:textId="77777777" w:rsidR="00E93F58" w:rsidRPr="00576D60" w:rsidRDefault="00E93F58" w:rsidP="002F32E3">
            <w:pPr>
              <w:pStyle w:val="ENoteTableText"/>
              <w:tabs>
                <w:tab w:val="left" w:leader="dot" w:pos="2268"/>
              </w:tabs>
            </w:pPr>
            <w:r w:rsidRPr="00576D60">
              <w:t>r 7.5A.104</w:t>
            </w:r>
            <w:r w:rsidRPr="00576D60">
              <w:tab/>
            </w:r>
          </w:p>
        </w:tc>
        <w:tc>
          <w:tcPr>
            <w:tcW w:w="3500" w:type="pct"/>
            <w:shd w:val="clear" w:color="auto" w:fill="auto"/>
          </w:tcPr>
          <w:p w14:paraId="5B7272C9" w14:textId="77777777" w:rsidR="00E93F58" w:rsidRPr="00576D60" w:rsidRDefault="00E93F58" w:rsidP="002F32E3">
            <w:pPr>
              <w:pStyle w:val="ENoteTableText"/>
            </w:pPr>
            <w:r w:rsidRPr="00576D60">
              <w:t>ad No 191, 2013</w:t>
            </w:r>
          </w:p>
        </w:tc>
      </w:tr>
      <w:tr w:rsidR="00E93F58" w:rsidRPr="00576D60" w14:paraId="555D5A19" w14:textId="77777777" w:rsidTr="002F32E3">
        <w:trPr>
          <w:cantSplit/>
        </w:trPr>
        <w:tc>
          <w:tcPr>
            <w:tcW w:w="1500" w:type="pct"/>
            <w:shd w:val="clear" w:color="auto" w:fill="auto"/>
          </w:tcPr>
          <w:p w14:paraId="33A24377" w14:textId="77777777" w:rsidR="00E93F58" w:rsidRPr="00576D60" w:rsidRDefault="00E93F58" w:rsidP="002F32E3">
            <w:pPr>
              <w:pStyle w:val="ENoteTableText"/>
              <w:tabs>
                <w:tab w:val="left" w:leader="dot" w:pos="2268"/>
              </w:tabs>
            </w:pPr>
            <w:r w:rsidRPr="00576D60">
              <w:t>r 7.5A.105</w:t>
            </w:r>
            <w:r w:rsidRPr="00576D60">
              <w:tab/>
            </w:r>
          </w:p>
        </w:tc>
        <w:tc>
          <w:tcPr>
            <w:tcW w:w="3500" w:type="pct"/>
            <w:shd w:val="clear" w:color="auto" w:fill="auto"/>
          </w:tcPr>
          <w:p w14:paraId="7303017F" w14:textId="77777777" w:rsidR="00E93F58" w:rsidRPr="00576D60" w:rsidRDefault="00E93F58" w:rsidP="002F32E3">
            <w:pPr>
              <w:pStyle w:val="ENoteTableText"/>
            </w:pPr>
            <w:r w:rsidRPr="00576D60">
              <w:t>ad No 191, 2013</w:t>
            </w:r>
          </w:p>
        </w:tc>
      </w:tr>
      <w:tr w:rsidR="00E93F58" w:rsidRPr="00576D60" w14:paraId="127099C7" w14:textId="77777777" w:rsidTr="002F32E3">
        <w:trPr>
          <w:cantSplit/>
        </w:trPr>
        <w:tc>
          <w:tcPr>
            <w:tcW w:w="1500" w:type="pct"/>
            <w:shd w:val="clear" w:color="auto" w:fill="auto"/>
          </w:tcPr>
          <w:p w14:paraId="79565FBF" w14:textId="77777777" w:rsidR="00E93F58" w:rsidRPr="00576D60" w:rsidRDefault="00E93F58" w:rsidP="002F32E3">
            <w:pPr>
              <w:pStyle w:val="ENoteTableText"/>
              <w:tabs>
                <w:tab w:val="left" w:leader="dot" w:pos="2268"/>
              </w:tabs>
            </w:pPr>
            <w:r w:rsidRPr="00576D60">
              <w:t>r 7.5A.106</w:t>
            </w:r>
            <w:r w:rsidRPr="00576D60">
              <w:tab/>
            </w:r>
          </w:p>
        </w:tc>
        <w:tc>
          <w:tcPr>
            <w:tcW w:w="3500" w:type="pct"/>
            <w:shd w:val="clear" w:color="auto" w:fill="auto"/>
          </w:tcPr>
          <w:p w14:paraId="01A42D75" w14:textId="77777777" w:rsidR="00E93F58" w:rsidRPr="00576D60" w:rsidRDefault="00E93F58" w:rsidP="002F32E3">
            <w:pPr>
              <w:pStyle w:val="ENoteTableText"/>
            </w:pPr>
            <w:r w:rsidRPr="00576D60">
              <w:t>ad No 191, 2013</w:t>
            </w:r>
          </w:p>
        </w:tc>
      </w:tr>
      <w:tr w:rsidR="00E93F58" w:rsidRPr="00576D60" w14:paraId="0A7285A2" w14:textId="77777777" w:rsidTr="002F32E3">
        <w:trPr>
          <w:cantSplit/>
        </w:trPr>
        <w:tc>
          <w:tcPr>
            <w:tcW w:w="1500" w:type="pct"/>
            <w:shd w:val="clear" w:color="auto" w:fill="auto"/>
          </w:tcPr>
          <w:p w14:paraId="04C82A95" w14:textId="77777777" w:rsidR="00E93F58" w:rsidRPr="00576D60" w:rsidRDefault="00E93F58" w:rsidP="002F32E3">
            <w:pPr>
              <w:pStyle w:val="ENoteTableText"/>
              <w:tabs>
                <w:tab w:val="left" w:leader="dot" w:pos="2268"/>
              </w:tabs>
            </w:pPr>
            <w:r w:rsidRPr="00576D60">
              <w:t>r 7.5A.107</w:t>
            </w:r>
            <w:r w:rsidRPr="00576D60">
              <w:tab/>
            </w:r>
          </w:p>
        </w:tc>
        <w:tc>
          <w:tcPr>
            <w:tcW w:w="3500" w:type="pct"/>
            <w:shd w:val="clear" w:color="auto" w:fill="auto"/>
          </w:tcPr>
          <w:p w14:paraId="0E165975" w14:textId="77777777" w:rsidR="00E93F58" w:rsidRPr="00576D60" w:rsidRDefault="00E93F58" w:rsidP="002F32E3">
            <w:pPr>
              <w:pStyle w:val="ENoteTableText"/>
            </w:pPr>
            <w:r w:rsidRPr="00576D60">
              <w:t>ad No 191, 2013</w:t>
            </w:r>
          </w:p>
        </w:tc>
      </w:tr>
      <w:tr w:rsidR="00E93F58" w:rsidRPr="00576D60" w14:paraId="1AE5B1C0" w14:textId="77777777" w:rsidTr="002F32E3">
        <w:trPr>
          <w:cantSplit/>
        </w:trPr>
        <w:tc>
          <w:tcPr>
            <w:tcW w:w="1500" w:type="pct"/>
            <w:shd w:val="clear" w:color="auto" w:fill="auto"/>
          </w:tcPr>
          <w:p w14:paraId="667D4272" w14:textId="77777777" w:rsidR="00E93F58" w:rsidRPr="00576D60" w:rsidRDefault="00E93F58" w:rsidP="002F32E3">
            <w:pPr>
              <w:pStyle w:val="ENoteTableText"/>
              <w:tabs>
                <w:tab w:val="left" w:leader="dot" w:pos="2268"/>
              </w:tabs>
            </w:pPr>
            <w:r w:rsidRPr="00576D60">
              <w:t>r 7.5A.108</w:t>
            </w:r>
            <w:r w:rsidRPr="00576D60">
              <w:tab/>
            </w:r>
          </w:p>
        </w:tc>
        <w:tc>
          <w:tcPr>
            <w:tcW w:w="3500" w:type="pct"/>
            <w:shd w:val="clear" w:color="auto" w:fill="auto"/>
          </w:tcPr>
          <w:p w14:paraId="6E6B0683" w14:textId="77777777" w:rsidR="00E93F58" w:rsidRPr="00576D60" w:rsidRDefault="00E93F58" w:rsidP="002F32E3">
            <w:pPr>
              <w:pStyle w:val="ENoteTableText"/>
            </w:pPr>
            <w:r w:rsidRPr="00576D60">
              <w:t>ad No 191, 2013</w:t>
            </w:r>
          </w:p>
        </w:tc>
      </w:tr>
      <w:tr w:rsidR="00E93F58" w:rsidRPr="00576D60" w14:paraId="6155152F" w14:textId="77777777" w:rsidTr="002F32E3">
        <w:trPr>
          <w:cantSplit/>
        </w:trPr>
        <w:tc>
          <w:tcPr>
            <w:tcW w:w="1500" w:type="pct"/>
            <w:shd w:val="clear" w:color="auto" w:fill="auto"/>
          </w:tcPr>
          <w:p w14:paraId="78E0C46D" w14:textId="77777777" w:rsidR="00E93F58" w:rsidRPr="00576D60" w:rsidRDefault="00E93F58" w:rsidP="002F32E3">
            <w:pPr>
              <w:pStyle w:val="ENoteTableText"/>
              <w:tabs>
                <w:tab w:val="left" w:leader="dot" w:pos="2268"/>
              </w:tabs>
            </w:pPr>
            <w:r w:rsidRPr="00576D60">
              <w:t>r 7.5A.109</w:t>
            </w:r>
            <w:r w:rsidRPr="00576D60">
              <w:tab/>
            </w:r>
          </w:p>
        </w:tc>
        <w:tc>
          <w:tcPr>
            <w:tcW w:w="3500" w:type="pct"/>
            <w:shd w:val="clear" w:color="auto" w:fill="auto"/>
          </w:tcPr>
          <w:p w14:paraId="61DC73D8" w14:textId="77777777" w:rsidR="00E93F58" w:rsidRPr="00576D60" w:rsidRDefault="00E93F58" w:rsidP="002F32E3">
            <w:pPr>
              <w:pStyle w:val="ENoteTableText"/>
            </w:pPr>
            <w:r w:rsidRPr="00576D60">
              <w:t>ad No 191, 2013</w:t>
            </w:r>
          </w:p>
        </w:tc>
      </w:tr>
      <w:tr w:rsidR="00E93F58" w:rsidRPr="00576D60" w14:paraId="09746B5B" w14:textId="77777777" w:rsidTr="002F32E3">
        <w:trPr>
          <w:cantSplit/>
        </w:trPr>
        <w:tc>
          <w:tcPr>
            <w:tcW w:w="1500" w:type="pct"/>
            <w:shd w:val="clear" w:color="auto" w:fill="auto"/>
          </w:tcPr>
          <w:p w14:paraId="181AA59C" w14:textId="77777777" w:rsidR="00E93F58" w:rsidRPr="00576D60" w:rsidRDefault="00E93F58" w:rsidP="002F32E3">
            <w:pPr>
              <w:pStyle w:val="ENoteTableText"/>
              <w:tabs>
                <w:tab w:val="left" w:leader="dot" w:pos="2268"/>
              </w:tabs>
            </w:pPr>
            <w:r w:rsidRPr="00576D60">
              <w:t>r 7.5A.110</w:t>
            </w:r>
            <w:r w:rsidRPr="00576D60">
              <w:tab/>
            </w:r>
          </w:p>
        </w:tc>
        <w:tc>
          <w:tcPr>
            <w:tcW w:w="3500" w:type="pct"/>
            <w:shd w:val="clear" w:color="auto" w:fill="auto"/>
          </w:tcPr>
          <w:p w14:paraId="51501CF9" w14:textId="77777777" w:rsidR="00E93F58" w:rsidRPr="00576D60" w:rsidRDefault="00E93F58" w:rsidP="002F32E3">
            <w:pPr>
              <w:pStyle w:val="ENoteTableText"/>
            </w:pPr>
            <w:r w:rsidRPr="00576D60">
              <w:t>ad No 191, 2013</w:t>
            </w:r>
          </w:p>
        </w:tc>
      </w:tr>
      <w:tr w:rsidR="00E93F58" w:rsidRPr="00576D60" w14:paraId="38465410" w14:textId="77777777" w:rsidTr="002F32E3">
        <w:trPr>
          <w:cantSplit/>
        </w:trPr>
        <w:tc>
          <w:tcPr>
            <w:tcW w:w="1500" w:type="pct"/>
            <w:shd w:val="clear" w:color="auto" w:fill="auto"/>
          </w:tcPr>
          <w:p w14:paraId="52472EF1" w14:textId="77777777" w:rsidR="00E93F58" w:rsidRPr="00576D60" w:rsidRDefault="00E93F58" w:rsidP="002F32E3">
            <w:pPr>
              <w:pStyle w:val="ENoteTableText"/>
              <w:tabs>
                <w:tab w:val="left" w:leader="dot" w:pos="2268"/>
              </w:tabs>
            </w:pPr>
            <w:r w:rsidRPr="00576D60">
              <w:t>r 7.5A.111</w:t>
            </w:r>
            <w:r w:rsidRPr="00576D60">
              <w:tab/>
            </w:r>
          </w:p>
        </w:tc>
        <w:tc>
          <w:tcPr>
            <w:tcW w:w="3500" w:type="pct"/>
            <w:shd w:val="clear" w:color="auto" w:fill="auto"/>
          </w:tcPr>
          <w:p w14:paraId="0FE0A5D3" w14:textId="77777777" w:rsidR="00E93F58" w:rsidRPr="00576D60" w:rsidRDefault="00E93F58" w:rsidP="002F32E3">
            <w:pPr>
              <w:pStyle w:val="ENoteTableText"/>
            </w:pPr>
            <w:r w:rsidRPr="00576D60">
              <w:t>ad No 191, 2013</w:t>
            </w:r>
          </w:p>
        </w:tc>
      </w:tr>
      <w:tr w:rsidR="00E93F58" w:rsidRPr="00576D60" w14:paraId="1D902126" w14:textId="77777777" w:rsidTr="002F32E3">
        <w:trPr>
          <w:cantSplit/>
        </w:trPr>
        <w:tc>
          <w:tcPr>
            <w:tcW w:w="1500" w:type="pct"/>
            <w:shd w:val="clear" w:color="auto" w:fill="auto"/>
          </w:tcPr>
          <w:p w14:paraId="7D13BD6E" w14:textId="77777777" w:rsidR="00E93F58" w:rsidRPr="00576D60" w:rsidRDefault="00E93F58" w:rsidP="002F32E3">
            <w:pPr>
              <w:pStyle w:val="ENoteTableText"/>
              <w:tabs>
                <w:tab w:val="left" w:leader="dot" w:pos="2268"/>
              </w:tabs>
            </w:pPr>
            <w:r w:rsidRPr="00576D60">
              <w:t>r 7.5A.112</w:t>
            </w:r>
            <w:r w:rsidRPr="00576D60">
              <w:tab/>
            </w:r>
          </w:p>
        </w:tc>
        <w:tc>
          <w:tcPr>
            <w:tcW w:w="3500" w:type="pct"/>
            <w:shd w:val="clear" w:color="auto" w:fill="auto"/>
          </w:tcPr>
          <w:p w14:paraId="79571A12" w14:textId="77777777" w:rsidR="00E93F58" w:rsidRPr="00576D60" w:rsidRDefault="00E93F58" w:rsidP="002F32E3">
            <w:pPr>
              <w:pStyle w:val="ENoteTableText"/>
            </w:pPr>
            <w:r w:rsidRPr="00576D60">
              <w:t>ad No 191, 2013</w:t>
            </w:r>
          </w:p>
        </w:tc>
      </w:tr>
      <w:tr w:rsidR="00E93F58" w:rsidRPr="00576D60" w14:paraId="0743C379" w14:textId="77777777" w:rsidTr="002F32E3">
        <w:trPr>
          <w:cantSplit/>
        </w:trPr>
        <w:tc>
          <w:tcPr>
            <w:tcW w:w="1500" w:type="pct"/>
            <w:shd w:val="clear" w:color="auto" w:fill="auto"/>
          </w:tcPr>
          <w:p w14:paraId="3D5464FA" w14:textId="77777777" w:rsidR="00E93F58" w:rsidRPr="00576D60" w:rsidRDefault="00E93F58" w:rsidP="002F32E3">
            <w:pPr>
              <w:pStyle w:val="ENoteTableText"/>
              <w:tabs>
                <w:tab w:val="left" w:leader="dot" w:pos="2268"/>
              </w:tabs>
            </w:pPr>
            <w:r w:rsidRPr="00576D60">
              <w:t>r 7.5A.113</w:t>
            </w:r>
            <w:r w:rsidRPr="00576D60">
              <w:tab/>
            </w:r>
          </w:p>
        </w:tc>
        <w:tc>
          <w:tcPr>
            <w:tcW w:w="3500" w:type="pct"/>
            <w:shd w:val="clear" w:color="auto" w:fill="auto"/>
          </w:tcPr>
          <w:p w14:paraId="69B2B12C" w14:textId="77777777" w:rsidR="00E93F58" w:rsidRPr="00576D60" w:rsidRDefault="00E93F58" w:rsidP="002F32E3">
            <w:pPr>
              <w:pStyle w:val="ENoteTableText"/>
            </w:pPr>
            <w:r w:rsidRPr="00576D60">
              <w:t>ad No 191, 2013</w:t>
            </w:r>
          </w:p>
        </w:tc>
      </w:tr>
      <w:tr w:rsidR="00E93F58" w:rsidRPr="00576D60" w14:paraId="5FF93A4B" w14:textId="77777777" w:rsidTr="002F32E3">
        <w:trPr>
          <w:cantSplit/>
        </w:trPr>
        <w:tc>
          <w:tcPr>
            <w:tcW w:w="1500" w:type="pct"/>
            <w:shd w:val="clear" w:color="auto" w:fill="auto"/>
          </w:tcPr>
          <w:p w14:paraId="4DAEAE4E" w14:textId="77777777" w:rsidR="00E93F58" w:rsidRPr="00576D60" w:rsidRDefault="00E93F58" w:rsidP="002F32E3">
            <w:pPr>
              <w:pStyle w:val="ENoteTableText"/>
              <w:tabs>
                <w:tab w:val="left" w:leader="dot" w:pos="2268"/>
              </w:tabs>
            </w:pPr>
            <w:r w:rsidRPr="00576D60">
              <w:t>r 7.5A.114</w:t>
            </w:r>
            <w:r w:rsidRPr="00576D60">
              <w:tab/>
            </w:r>
          </w:p>
        </w:tc>
        <w:tc>
          <w:tcPr>
            <w:tcW w:w="3500" w:type="pct"/>
            <w:shd w:val="clear" w:color="auto" w:fill="auto"/>
          </w:tcPr>
          <w:p w14:paraId="4161CCC3" w14:textId="77777777" w:rsidR="00E93F58" w:rsidRPr="00576D60" w:rsidRDefault="00E93F58" w:rsidP="002F32E3">
            <w:pPr>
              <w:pStyle w:val="ENoteTableText"/>
            </w:pPr>
            <w:r w:rsidRPr="00576D60">
              <w:t>ad No 191, 2013</w:t>
            </w:r>
          </w:p>
        </w:tc>
      </w:tr>
      <w:tr w:rsidR="00E93F58" w:rsidRPr="00576D60" w14:paraId="0321A46E" w14:textId="77777777" w:rsidTr="002F32E3">
        <w:trPr>
          <w:cantSplit/>
        </w:trPr>
        <w:tc>
          <w:tcPr>
            <w:tcW w:w="1500" w:type="pct"/>
            <w:shd w:val="clear" w:color="auto" w:fill="auto"/>
          </w:tcPr>
          <w:p w14:paraId="773E26D6" w14:textId="77777777" w:rsidR="00E93F58" w:rsidRPr="00576D60" w:rsidRDefault="00E93F58" w:rsidP="002F32E3">
            <w:pPr>
              <w:pStyle w:val="ENoteTableText"/>
              <w:tabs>
                <w:tab w:val="left" w:leader="dot" w:pos="2268"/>
              </w:tabs>
            </w:pPr>
            <w:r w:rsidRPr="00576D60">
              <w:t>r 7.5A.115</w:t>
            </w:r>
            <w:r w:rsidRPr="00576D60">
              <w:tab/>
            </w:r>
          </w:p>
        </w:tc>
        <w:tc>
          <w:tcPr>
            <w:tcW w:w="3500" w:type="pct"/>
            <w:shd w:val="clear" w:color="auto" w:fill="auto"/>
          </w:tcPr>
          <w:p w14:paraId="2664C68C" w14:textId="77777777" w:rsidR="00E93F58" w:rsidRPr="00576D60" w:rsidRDefault="00E93F58" w:rsidP="002F32E3">
            <w:pPr>
              <w:pStyle w:val="ENoteTableText"/>
            </w:pPr>
            <w:r w:rsidRPr="00576D60">
              <w:t>ad No 191, 2013</w:t>
            </w:r>
          </w:p>
        </w:tc>
      </w:tr>
      <w:tr w:rsidR="00E93F58" w:rsidRPr="00576D60" w14:paraId="6F0C662E" w14:textId="77777777" w:rsidTr="002F32E3">
        <w:trPr>
          <w:cantSplit/>
        </w:trPr>
        <w:tc>
          <w:tcPr>
            <w:tcW w:w="1500" w:type="pct"/>
            <w:shd w:val="clear" w:color="auto" w:fill="auto"/>
          </w:tcPr>
          <w:p w14:paraId="3CADD2F3" w14:textId="77777777" w:rsidR="00E93F58" w:rsidRPr="00576D60" w:rsidRDefault="00E93F58" w:rsidP="002F32E3">
            <w:pPr>
              <w:pStyle w:val="ENoteTableText"/>
              <w:tabs>
                <w:tab w:val="left" w:leader="dot" w:pos="2268"/>
              </w:tabs>
              <w:rPr>
                <w:b/>
              </w:rPr>
            </w:pPr>
            <w:r w:rsidRPr="00576D60">
              <w:rPr>
                <w:b/>
              </w:rPr>
              <w:t>Division 5</w:t>
            </w:r>
          </w:p>
        </w:tc>
        <w:tc>
          <w:tcPr>
            <w:tcW w:w="3500" w:type="pct"/>
            <w:shd w:val="clear" w:color="auto" w:fill="auto"/>
          </w:tcPr>
          <w:p w14:paraId="73827697" w14:textId="77777777" w:rsidR="00E93F58" w:rsidRPr="00576D60" w:rsidRDefault="00E93F58" w:rsidP="002F32E3">
            <w:pPr>
              <w:pStyle w:val="ENoteTableText"/>
            </w:pPr>
          </w:p>
        </w:tc>
      </w:tr>
      <w:tr w:rsidR="00E93F58" w:rsidRPr="00576D60" w14:paraId="595DB556" w14:textId="77777777" w:rsidTr="002F32E3">
        <w:trPr>
          <w:cantSplit/>
        </w:trPr>
        <w:tc>
          <w:tcPr>
            <w:tcW w:w="1500" w:type="pct"/>
            <w:shd w:val="clear" w:color="auto" w:fill="auto"/>
          </w:tcPr>
          <w:p w14:paraId="49B8DF22" w14:textId="77777777" w:rsidR="00E93F58" w:rsidRPr="00576D60" w:rsidRDefault="00E93F58" w:rsidP="002F32E3">
            <w:pPr>
              <w:pStyle w:val="ENoteTableText"/>
              <w:tabs>
                <w:tab w:val="left" w:leader="dot" w:pos="2268"/>
              </w:tabs>
              <w:rPr>
                <w:b/>
              </w:rPr>
            </w:pPr>
            <w:r w:rsidRPr="00576D60">
              <w:t>r 7.5A.150</w:t>
            </w:r>
            <w:r w:rsidRPr="00576D60">
              <w:tab/>
            </w:r>
          </w:p>
        </w:tc>
        <w:tc>
          <w:tcPr>
            <w:tcW w:w="3500" w:type="pct"/>
            <w:shd w:val="clear" w:color="auto" w:fill="auto"/>
          </w:tcPr>
          <w:p w14:paraId="5454EEE5" w14:textId="77777777" w:rsidR="00E93F58" w:rsidRPr="00576D60" w:rsidRDefault="00E93F58" w:rsidP="002F32E3">
            <w:pPr>
              <w:pStyle w:val="ENoteTableText"/>
            </w:pPr>
            <w:r w:rsidRPr="00576D60">
              <w:t>ad No 191, 2013</w:t>
            </w:r>
          </w:p>
        </w:tc>
      </w:tr>
      <w:tr w:rsidR="00E93F58" w:rsidRPr="00576D60" w14:paraId="523087B5" w14:textId="77777777" w:rsidTr="002F32E3">
        <w:trPr>
          <w:cantSplit/>
        </w:trPr>
        <w:tc>
          <w:tcPr>
            <w:tcW w:w="1500" w:type="pct"/>
            <w:shd w:val="clear" w:color="auto" w:fill="auto"/>
          </w:tcPr>
          <w:p w14:paraId="7B027E87" w14:textId="77777777" w:rsidR="00E93F58" w:rsidRPr="00576D60" w:rsidRDefault="00E93F58" w:rsidP="002F32E3">
            <w:pPr>
              <w:pStyle w:val="ENoteTableText"/>
              <w:tabs>
                <w:tab w:val="left" w:leader="dot" w:pos="2268"/>
              </w:tabs>
            </w:pPr>
            <w:r w:rsidRPr="00576D60">
              <w:t>r 7.5A.150A</w:t>
            </w:r>
            <w:r w:rsidRPr="00576D60">
              <w:tab/>
            </w:r>
          </w:p>
        </w:tc>
        <w:tc>
          <w:tcPr>
            <w:tcW w:w="3500" w:type="pct"/>
            <w:shd w:val="clear" w:color="auto" w:fill="auto"/>
          </w:tcPr>
          <w:p w14:paraId="29BCFC87" w14:textId="77777777" w:rsidR="00E93F58" w:rsidRPr="00576D60" w:rsidRDefault="00E93F58" w:rsidP="002F32E3">
            <w:pPr>
              <w:pStyle w:val="ENoteTableText"/>
            </w:pPr>
            <w:r w:rsidRPr="00576D60">
              <w:t>ad No 88, 2014</w:t>
            </w:r>
          </w:p>
        </w:tc>
      </w:tr>
      <w:tr w:rsidR="00E93F58" w:rsidRPr="00576D60" w14:paraId="4CEDABE2" w14:textId="77777777" w:rsidTr="002F32E3">
        <w:trPr>
          <w:cantSplit/>
        </w:trPr>
        <w:tc>
          <w:tcPr>
            <w:tcW w:w="1500" w:type="pct"/>
            <w:shd w:val="clear" w:color="auto" w:fill="auto"/>
          </w:tcPr>
          <w:p w14:paraId="2AD2FB3A" w14:textId="77777777" w:rsidR="00E93F58" w:rsidRPr="00576D60" w:rsidRDefault="00E93F58" w:rsidP="002F32E3">
            <w:pPr>
              <w:pStyle w:val="ENoteTableText"/>
              <w:tabs>
                <w:tab w:val="left" w:leader="dot" w:pos="2268"/>
              </w:tabs>
            </w:pPr>
          </w:p>
        </w:tc>
        <w:tc>
          <w:tcPr>
            <w:tcW w:w="3500" w:type="pct"/>
            <w:shd w:val="clear" w:color="auto" w:fill="auto"/>
          </w:tcPr>
          <w:p w14:paraId="7AFCBD0E" w14:textId="77777777" w:rsidR="00E93F58" w:rsidRPr="00576D60" w:rsidRDefault="00E93F58" w:rsidP="002F32E3">
            <w:pPr>
              <w:pStyle w:val="ENoteTableText"/>
            </w:pPr>
            <w:r w:rsidRPr="00576D60">
              <w:t>rs No 185, 2014</w:t>
            </w:r>
          </w:p>
        </w:tc>
      </w:tr>
      <w:tr w:rsidR="00E93F58" w:rsidRPr="00576D60" w14:paraId="57782A6B" w14:textId="77777777" w:rsidTr="002F32E3">
        <w:trPr>
          <w:cantSplit/>
        </w:trPr>
        <w:tc>
          <w:tcPr>
            <w:tcW w:w="1500" w:type="pct"/>
            <w:shd w:val="clear" w:color="auto" w:fill="auto"/>
          </w:tcPr>
          <w:p w14:paraId="54E7E939" w14:textId="77777777" w:rsidR="00E93F58" w:rsidRPr="00576D60" w:rsidRDefault="00E93F58" w:rsidP="002F32E3">
            <w:pPr>
              <w:pStyle w:val="ENoteTableText"/>
              <w:tabs>
                <w:tab w:val="left" w:leader="dot" w:pos="2268"/>
              </w:tabs>
            </w:pPr>
            <w:r w:rsidRPr="00576D60">
              <w:t>r 7.5A.150B</w:t>
            </w:r>
            <w:r w:rsidRPr="00576D60">
              <w:tab/>
            </w:r>
          </w:p>
        </w:tc>
        <w:tc>
          <w:tcPr>
            <w:tcW w:w="3500" w:type="pct"/>
            <w:shd w:val="clear" w:color="auto" w:fill="auto"/>
          </w:tcPr>
          <w:p w14:paraId="5FEB0DAA" w14:textId="77777777" w:rsidR="00E93F58" w:rsidRPr="00576D60" w:rsidRDefault="00E93F58" w:rsidP="002F32E3">
            <w:pPr>
              <w:pStyle w:val="ENoteTableText"/>
            </w:pPr>
            <w:r w:rsidRPr="00576D60">
              <w:t>ad No 88, 2014</w:t>
            </w:r>
          </w:p>
        </w:tc>
      </w:tr>
      <w:tr w:rsidR="00E93F58" w:rsidRPr="00576D60" w14:paraId="041CB34B" w14:textId="77777777" w:rsidTr="002F32E3">
        <w:trPr>
          <w:cantSplit/>
        </w:trPr>
        <w:tc>
          <w:tcPr>
            <w:tcW w:w="1500" w:type="pct"/>
            <w:shd w:val="clear" w:color="auto" w:fill="auto"/>
          </w:tcPr>
          <w:p w14:paraId="380027C8" w14:textId="77777777" w:rsidR="00E93F58" w:rsidRPr="00576D60" w:rsidRDefault="00E93F58" w:rsidP="002F32E3">
            <w:pPr>
              <w:pStyle w:val="ENoteTableText"/>
              <w:tabs>
                <w:tab w:val="left" w:leader="dot" w:pos="2268"/>
              </w:tabs>
            </w:pPr>
          </w:p>
        </w:tc>
        <w:tc>
          <w:tcPr>
            <w:tcW w:w="3500" w:type="pct"/>
            <w:shd w:val="clear" w:color="auto" w:fill="auto"/>
          </w:tcPr>
          <w:p w14:paraId="7903067C" w14:textId="77777777" w:rsidR="00E93F58" w:rsidRPr="00576D60" w:rsidRDefault="00E93F58" w:rsidP="002F32E3">
            <w:pPr>
              <w:pStyle w:val="ENoteTableText"/>
            </w:pPr>
            <w:r w:rsidRPr="00576D60">
              <w:t>rs No 185, 2014</w:t>
            </w:r>
          </w:p>
        </w:tc>
      </w:tr>
      <w:tr w:rsidR="00E93F58" w:rsidRPr="00576D60" w14:paraId="6F152471" w14:textId="77777777" w:rsidTr="002F32E3">
        <w:trPr>
          <w:cantSplit/>
        </w:trPr>
        <w:tc>
          <w:tcPr>
            <w:tcW w:w="1500" w:type="pct"/>
            <w:shd w:val="clear" w:color="auto" w:fill="auto"/>
          </w:tcPr>
          <w:p w14:paraId="5C16FB9E" w14:textId="77777777" w:rsidR="00E93F58" w:rsidRPr="00576D60" w:rsidRDefault="00E93F58" w:rsidP="002F32E3">
            <w:pPr>
              <w:pStyle w:val="ENoteTableText"/>
              <w:tabs>
                <w:tab w:val="left" w:leader="dot" w:pos="2268"/>
              </w:tabs>
            </w:pPr>
          </w:p>
        </w:tc>
        <w:tc>
          <w:tcPr>
            <w:tcW w:w="3500" w:type="pct"/>
            <w:shd w:val="clear" w:color="auto" w:fill="auto"/>
          </w:tcPr>
          <w:p w14:paraId="78BFBF27" w14:textId="77777777" w:rsidR="00E93F58" w:rsidRPr="00576D60" w:rsidRDefault="00E93F58" w:rsidP="002F32E3">
            <w:pPr>
              <w:pStyle w:val="ENoteTableText"/>
            </w:pPr>
            <w:r w:rsidRPr="00576D60">
              <w:t>am F2020L01610</w:t>
            </w:r>
          </w:p>
        </w:tc>
      </w:tr>
      <w:tr w:rsidR="00E93F58" w:rsidRPr="00576D60" w14:paraId="7858082B" w14:textId="77777777" w:rsidTr="002F32E3">
        <w:trPr>
          <w:cantSplit/>
        </w:trPr>
        <w:tc>
          <w:tcPr>
            <w:tcW w:w="1500" w:type="pct"/>
            <w:shd w:val="clear" w:color="auto" w:fill="auto"/>
          </w:tcPr>
          <w:p w14:paraId="1923E4D6" w14:textId="77777777" w:rsidR="00E93F58" w:rsidRPr="00576D60" w:rsidRDefault="00E93F58" w:rsidP="002F32E3">
            <w:pPr>
              <w:pStyle w:val="ENoteTableText"/>
              <w:tabs>
                <w:tab w:val="left" w:leader="dot" w:pos="2268"/>
              </w:tabs>
            </w:pPr>
            <w:r w:rsidRPr="00576D60">
              <w:t>r 7.5A.151</w:t>
            </w:r>
            <w:r w:rsidRPr="00576D60">
              <w:tab/>
            </w:r>
          </w:p>
        </w:tc>
        <w:tc>
          <w:tcPr>
            <w:tcW w:w="3500" w:type="pct"/>
            <w:shd w:val="clear" w:color="auto" w:fill="auto"/>
          </w:tcPr>
          <w:p w14:paraId="110E9ADF" w14:textId="77777777" w:rsidR="00E93F58" w:rsidRPr="00576D60" w:rsidRDefault="00E93F58" w:rsidP="002F32E3">
            <w:pPr>
              <w:pStyle w:val="ENoteTableText"/>
            </w:pPr>
            <w:r w:rsidRPr="00576D60">
              <w:t>ad No 191, 2013</w:t>
            </w:r>
          </w:p>
        </w:tc>
      </w:tr>
      <w:tr w:rsidR="00E93F58" w:rsidRPr="00576D60" w14:paraId="01BA4F69" w14:textId="77777777" w:rsidTr="002F32E3">
        <w:trPr>
          <w:cantSplit/>
        </w:trPr>
        <w:tc>
          <w:tcPr>
            <w:tcW w:w="1500" w:type="pct"/>
            <w:shd w:val="clear" w:color="auto" w:fill="auto"/>
          </w:tcPr>
          <w:p w14:paraId="643E4B6F" w14:textId="77777777" w:rsidR="00E93F58" w:rsidRPr="00576D60" w:rsidRDefault="00E93F58" w:rsidP="002F32E3">
            <w:pPr>
              <w:pStyle w:val="ENoteTableText"/>
              <w:tabs>
                <w:tab w:val="left" w:leader="dot" w:pos="2268"/>
              </w:tabs>
            </w:pPr>
            <w:r w:rsidRPr="00576D60">
              <w:t>r 7.5A.200</w:t>
            </w:r>
            <w:r w:rsidRPr="00576D60">
              <w:tab/>
            </w:r>
          </w:p>
        </w:tc>
        <w:tc>
          <w:tcPr>
            <w:tcW w:w="3500" w:type="pct"/>
            <w:shd w:val="clear" w:color="auto" w:fill="auto"/>
          </w:tcPr>
          <w:p w14:paraId="44E0DE3B" w14:textId="77777777" w:rsidR="00E93F58" w:rsidRPr="00576D60" w:rsidRDefault="00E93F58" w:rsidP="002F32E3">
            <w:pPr>
              <w:pStyle w:val="ENoteTableText"/>
            </w:pPr>
            <w:r w:rsidRPr="00576D60">
              <w:t>ad No 191, 2013</w:t>
            </w:r>
          </w:p>
        </w:tc>
      </w:tr>
      <w:tr w:rsidR="00E93F58" w:rsidRPr="00576D60" w14:paraId="4F64D1AE" w14:textId="77777777" w:rsidTr="002F32E3">
        <w:trPr>
          <w:cantSplit/>
        </w:trPr>
        <w:tc>
          <w:tcPr>
            <w:tcW w:w="1500" w:type="pct"/>
            <w:shd w:val="clear" w:color="auto" w:fill="auto"/>
          </w:tcPr>
          <w:p w14:paraId="638517AE" w14:textId="77777777" w:rsidR="00E93F58" w:rsidRPr="00576D60" w:rsidRDefault="00E93F58" w:rsidP="00E942B6">
            <w:pPr>
              <w:pStyle w:val="ENoteTableText"/>
              <w:keepNext/>
              <w:tabs>
                <w:tab w:val="left" w:leader="dot" w:pos="2268"/>
              </w:tabs>
              <w:rPr>
                <w:b/>
              </w:rPr>
            </w:pPr>
            <w:r w:rsidRPr="00576D60">
              <w:rPr>
                <w:b/>
              </w:rPr>
              <w:t>Division 7</w:t>
            </w:r>
          </w:p>
        </w:tc>
        <w:tc>
          <w:tcPr>
            <w:tcW w:w="3500" w:type="pct"/>
            <w:shd w:val="clear" w:color="auto" w:fill="auto"/>
          </w:tcPr>
          <w:p w14:paraId="03EA5252" w14:textId="77777777" w:rsidR="00E93F58" w:rsidRPr="00576D60" w:rsidRDefault="00E93F58" w:rsidP="002F32E3">
            <w:pPr>
              <w:pStyle w:val="ENoteTableText"/>
            </w:pPr>
          </w:p>
        </w:tc>
      </w:tr>
      <w:tr w:rsidR="00E93F58" w:rsidRPr="00576D60" w14:paraId="564DCC1D" w14:textId="77777777" w:rsidTr="002F32E3">
        <w:trPr>
          <w:cantSplit/>
        </w:trPr>
        <w:tc>
          <w:tcPr>
            <w:tcW w:w="1500" w:type="pct"/>
            <w:shd w:val="clear" w:color="auto" w:fill="auto"/>
          </w:tcPr>
          <w:p w14:paraId="69CCDB65" w14:textId="77777777" w:rsidR="00E93F58" w:rsidRPr="00576D60" w:rsidRDefault="00E93F58" w:rsidP="002F32E3">
            <w:pPr>
              <w:pStyle w:val="ENoteTableText"/>
              <w:tabs>
                <w:tab w:val="left" w:leader="dot" w:pos="2268"/>
              </w:tabs>
              <w:rPr>
                <w:b/>
              </w:rPr>
            </w:pPr>
            <w:r w:rsidRPr="00576D60">
              <w:t>r 7.5A.250</w:t>
            </w:r>
            <w:r w:rsidRPr="00576D60">
              <w:tab/>
            </w:r>
          </w:p>
        </w:tc>
        <w:tc>
          <w:tcPr>
            <w:tcW w:w="3500" w:type="pct"/>
            <w:shd w:val="clear" w:color="auto" w:fill="auto"/>
          </w:tcPr>
          <w:p w14:paraId="7309B410" w14:textId="77777777" w:rsidR="00E93F58" w:rsidRPr="00576D60" w:rsidRDefault="00E93F58" w:rsidP="002F32E3">
            <w:pPr>
              <w:pStyle w:val="ENoteTableText"/>
            </w:pPr>
            <w:r w:rsidRPr="00576D60">
              <w:t>ad No 191, 2013</w:t>
            </w:r>
          </w:p>
        </w:tc>
      </w:tr>
      <w:tr w:rsidR="00E93F58" w:rsidRPr="00576D60" w14:paraId="47707D3F" w14:textId="77777777" w:rsidTr="002F32E3">
        <w:trPr>
          <w:cantSplit/>
        </w:trPr>
        <w:tc>
          <w:tcPr>
            <w:tcW w:w="1500" w:type="pct"/>
            <w:shd w:val="clear" w:color="auto" w:fill="auto"/>
          </w:tcPr>
          <w:p w14:paraId="019C4995" w14:textId="77777777" w:rsidR="00E93F58" w:rsidRPr="00576D60" w:rsidRDefault="00E93F58" w:rsidP="002F32E3">
            <w:pPr>
              <w:pStyle w:val="ENoteTableText"/>
              <w:tabs>
                <w:tab w:val="left" w:leader="dot" w:pos="2268"/>
              </w:tabs>
              <w:rPr>
                <w:b/>
              </w:rPr>
            </w:pPr>
            <w:r w:rsidRPr="00576D60">
              <w:rPr>
                <w:b/>
              </w:rPr>
              <w:t>Division 8</w:t>
            </w:r>
          </w:p>
        </w:tc>
        <w:tc>
          <w:tcPr>
            <w:tcW w:w="3500" w:type="pct"/>
            <w:shd w:val="clear" w:color="auto" w:fill="auto"/>
          </w:tcPr>
          <w:p w14:paraId="63BF92D2" w14:textId="77777777" w:rsidR="00E93F58" w:rsidRPr="00576D60" w:rsidRDefault="00E93F58" w:rsidP="002F32E3">
            <w:pPr>
              <w:pStyle w:val="ENoteTableText"/>
            </w:pPr>
          </w:p>
        </w:tc>
      </w:tr>
      <w:tr w:rsidR="00E93F58" w:rsidRPr="00576D60" w14:paraId="18639324" w14:textId="77777777" w:rsidTr="002F32E3">
        <w:trPr>
          <w:cantSplit/>
        </w:trPr>
        <w:tc>
          <w:tcPr>
            <w:tcW w:w="1500" w:type="pct"/>
            <w:shd w:val="clear" w:color="auto" w:fill="auto"/>
          </w:tcPr>
          <w:p w14:paraId="4181C1F6" w14:textId="77777777" w:rsidR="00E93F58" w:rsidRPr="00576D60" w:rsidRDefault="00E93F58" w:rsidP="002F32E3">
            <w:pPr>
              <w:pStyle w:val="ENoteTableText"/>
              <w:tabs>
                <w:tab w:val="left" w:leader="dot" w:pos="2268"/>
              </w:tabs>
              <w:rPr>
                <w:b/>
              </w:rPr>
            </w:pPr>
            <w:r w:rsidRPr="00576D60">
              <w:t>r 7.5A.270</w:t>
            </w:r>
            <w:r w:rsidRPr="00576D60">
              <w:tab/>
            </w:r>
          </w:p>
        </w:tc>
        <w:tc>
          <w:tcPr>
            <w:tcW w:w="3500" w:type="pct"/>
            <w:shd w:val="clear" w:color="auto" w:fill="auto"/>
          </w:tcPr>
          <w:p w14:paraId="29FADFAC" w14:textId="77777777" w:rsidR="00E93F58" w:rsidRPr="00576D60" w:rsidRDefault="00E93F58" w:rsidP="002F32E3">
            <w:pPr>
              <w:pStyle w:val="ENoteTableText"/>
            </w:pPr>
            <w:r w:rsidRPr="00576D60">
              <w:t>ad No 191, 2013</w:t>
            </w:r>
          </w:p>
        </w:tc>
      </w:tr>
      <w:tr w:rsidR="00E93F58" w:rsidRPr="00576D60" w14:paraId="60BD986C" w14:textId="77777777" w:rsidTr="002F32E3">
        <w:trPr>
          <w:cantSplit/>
        </w:trPr>
        <w:tc>
          <w:tcPr>
            <w:tcW w:w="1500" w:type="pct"/>
            <w:shd w:val="clear" w:color="auto" w:fill="auto"/>
          </w:tcPr>
          <w:p w14:paraId="3F1094C2" w14:textId="77777777" w:rsidR="00E93F58" w:rsidRPr="00576D60" w:rsidRDefault="00E93F58" w:rsidP="002F32E3">
            <w:pPr>
              <w:pStyle w:val="ENoteTableText"/>
              <w:keepNext/>
              <w:tabs>
                <w:tab w:val="left" w:leader="dot" w:pos="2268"/>
              </w:tabs>
              <w:rPr>
                <w:b/>
              </w:rPr>
            </w:pPr>
            <w:r w:rsidRPr="00576D60">
              <w:rPr>
                <w:b/>
              </w:rPr>
              <w:t>Part 7.6</w:t>
            </w:r>
          </w:p>
        </w:tc>
        <w:tc>
          <w:tcPr>
            <w:tcW w:w="3500" w:type="pct"/>
            <w:shd w:val="clear" w:color="auto" w:fill="auto"/>
          </w:tcPr>
          <w:p w14:paraId="7A27B7A8" w14:textId="77777777" w:rsidR="00E93F58" w:rsidRPr="00576D60" w:rsidRDefault="00E93F58" w:rsidP="002F32E3">
            <w:pPr>
              <w:pStyle w:val="ENoteTableText"/>
            </w:pPr>
          </w:p>
        </w:tc>
      </w:tr>
      <w:tr w:rsidR="00E93F58" w:rsidRPr="00576D60" w14:paraId="26DE49FD" w14:textId="77777777" w:rsidTr="002F32E3">
        <w:trPr>
          <w:cantSplit/>
        </w:trPr>
        <w:tc>
          <w:tcPr>
            <w:tcW w:w="1500" w:type="pct"/>
            <w:shd w:val="clear" w:color="auto" w:fill="auto"/>
          </w:tcPr>
          <w:p w14:paraId="648D52C1" w14:textId="77777777" w:rsidR="00E93F58" w:rsidRPr="00576D60" w:rsidRDefault="00E93F58" w:rsidP="002F32E3">
            <w:pPr>
              <w:pStyle w:val="ENoteTableText"/>
              <w:tabs>
                <w:tab w:val="left" w:leader="dot" w:pos="2268"/>
              </w:tabs>
            </w:pPr>
            <w:r w:rsidRPr="00576D60">
              <w:t>r 7.6.01</w:t>
            </w:r>
            <w:r w:rsidRPr="00576D60">
              <w:tab/>
            </w:r>
          </w:p>
        </w:tc>
        <w:tc>
          <w:tcPr>
            <w:tcW w:w="3500" w:type="pct"/>
            <w:shd w:val="clear" w:color="auto" w:fill="auto"/>
          </w:tcPr>
          <w:p w14:paraId="1CACA90E" w14:textId="77777777" w:rsidR="00E93F58" w:rsidRPr="00576D60" w:rsidRDefault="00E93F58" w:rsidP="002F32E3">
            <w:pPr>
              <w:pStyle w:val="ENoteTableText"/>
            </w:pPr>
            <w:r w:rsidRPr="00576D60">
              <w:t>rs No 319, 2001</w:t>
            </w:r>
          </w:p>
        </w:tc>
      </w:tr>
      <w:tr w:rsidR="00E93F58" w:rsidRPr="00576D60" w14:paraId="7C1AD583" w14:textId="77777777" w:rsidTr="002F32E3">
        <w:trPr>
          <w:cantSplit/>
        </w:trPr>
        <w:tc>
          <w:tcPr>
            <w:tcW w:w="1500" w:type="pct"/>
            <w:shd w:val="clear" w:color="auto" w:fill="auto"/>
          </w:tcPr>
          <w:p w14:paraId="38C948D3" w14:textId="77777777" w:rsidR="00E93F58" w:rsidRPr="00576D60" w:rsidRDefault="00E93F58" w:rsidP="002F32E3">
            <w:pPr>
              <w:pStyle w:val="ENoteTableText"/>
              <w:tabs>
                <w:tab w:val="left" w:leader="dot" w:pos="2268"/>
              </w:tabs>
            </w:pPr>
          </w:p>
        </w:tc>
        <w:tc>
          <w:tcPr>
            <w:tcW w:w="3500" w:type="pct"/>
            <w:shd w:val="clear" w:color="auto" w:fill="auto"/>
          </w:tcPr>
          <w:p w14:paraId="1CFB9F4C" w14:textId="77777777" w:rsidR="00E93F58" w:rsidRPr="00576D60" w:rsidRDefault="00E93F58" w:rsidP="002F32E3">
            <w:pPr>
              <w:pStyle w:val="ENoteTableText"/>
            </w:pPr>
            <w:r w:rsidRPr="00576D60">
              <w:t>am No 16, 2002; No 41, 2002; No 53, 2002; No 85, 2003; No 126, 2003; No 127, 2003; No 202, 2003; No 282, 2003; No 368, 2003; No 25, 2004</w:t>
            </w:r>
          </w:p>
        </w:tc>
      </w:tr>
      <w:tr w:rsidR="00E93F58" w:rsidRPr="00576D60" w14:paraId="3C0A7188" w14:textId="77777777" w:rsidTr="002F32E3">
        <w:trPr>
          <w:cantSplit/>
        </w:trPr>
        <w:tc>
          <w:tcPr>
            <w:tcW w:w="1500" w:type="pct"/>
            <w:shd w:val="clear" w:color="auto" w:fill="auto"/>
          </w:tcPr>
          <w:p w14:paraId="2C7DF78E" w14:textId="77777777" w:rsidR="00E93F58" w:rsidRPr="00576D60" w:rsidRDefault="00E93F58" w:rsidP="002F32E3">
            <w:pPr>
              <w:pStyle w:val="ENoteTableText"/>
              <w:tabs>
                <w:tab w:val="left" w:leader="dot" w:pos="2268"/>
              </w:tabs>
            </w:pPr>
          </w:p>
        </w:tc>
        <w:tc>
          <w:tcPr>
            <w:tcW w:w="3500" w:type="pct"/>
            <w:shd w:val="clear" w:color="auto" w:fill="auto"/>
          </w:tcPr>
          <w:p w14:paraId="778ECAE4" w14:textId="77777777" w:rsidR="00E93F58" w:rsidRPr="00576D60" w:rsidRDefault="00E93F58" w:rsidP="002F32E3">
            <w:pPr>
              <w:pStyle w:val="ENoteTableText"/>
            </w:pPr>
            <w:r w:rsidRPr="00576D60">
              <w:t>(1)(r) exp end of 11 Mar 2004 (r 7.6.01(6))</w:t>
            </w:r>
          </w:p>
        </w:tc>
      </w:tr>
      <w:tr w:rsidR="00E93F58" w:rsidRPr="00576D60" w14:paraId="23C1427E" w14:textId="77777777" w:rsidTr="002F32E3">
        <w:trPr>
          <w:cantSplit/>
        </w:trPr>
        <w:tc>
          <w:tcPr>
            <w:tcW w:w="1500" w:type="pct"/>
            <w:shd w:val="clear" w:color="auto" w:fill="auto"/>
          </w:tcPr>
          <w:p w14:paraId="77B24D0A" w14:textId="77777777" w:rsidR="00E93F58" w:rsidRPr="00576D60" w:rsidRDefault="00E93F58" w:rsidP="002F32E3">
            <w:pPr>
              <w:pStyle w:val="ENoteTableText"/>
              <w:tabs>
                <w:tab w:val="left" w:leader="dot" w:pos="2268"/>
              </w:tabs>
            </w:pPr>
          </w:p>
        </w:tc>
        <w:tc>
          <w:tcPr>
            <w:tcW w:w="3500" w:type="pct"/>
            <w:shd w:val="clear" w:color="auto" w:fill="auto"/>
          </w:tcPr>
          <w:p w14:paraId="0E426249" w14:textId="77777777" w:rsidR="00E93F58" w:rsidRPr="00576D60" w:rsidRDefault="00E93F58" w:rsidP="002F32E3">
            <w:pPr>
              <w:pStyle w:val="ENoteTableText"/>
            </w:pPr>
            <w:r w:rsidRPr="00576D60">
              <w:t>am No 324, 2005; No 259, 2007; No 324, 2007; No 42, 2012; No 172, 2012; No 59, 2013; No 33, 2014</w:t>
            </w:r>
          </w:p>
        </w:tc>
      </w:tr>
      <w:tr w:rsidR="00E93F58" w:rsidRPr="00576D60" w14:paraId="547275BF" w14:textId="77777777" w:rsidTr="002F32E3">
        <w:trPr>
          <w:cantSplit/>
        </w:trPr>
        <w:tc>
          <w:tcPr>
            <w:tcW w:w="1500" w:type="pct"/>
            <w:shd w:val="clear" w:color="auto" w:fill="auto"/>
          </w:tcPr>
          <w:p w14:paraId="4820A98D" w14:textId="77777777" w:rsidR="00E93F58" w:rsidRPr="00576D60" w:rsidRDefault="00E93F58" w:rsidP="002F32E3">
            <w:pPr>
              <w:pStyle w:val="ENoteTableText"/>
              <w:tabs>
                <w:tab w:val="left" w:leader="dot" w:pos="2268"/>
              </w:tabs>
            </w:pPr>
          </w:p>
        </w:tc>
        <w:tc>
          <w:tcPr>
            <w:tcW w:w="3500" w:type="pct"/>
            <w:shd w:val="clear" w:color="auto" w:fill="auto"/>
          </w:tcPr>
          <w:p w14:paraId="28154E88" w14:textId="77777777" w:rsidR="00E93F58" w:rsidRPr="00576D60" w:rsidRDefault="00E93F58" w:rsidP="002F32E3">
            <w:pPr>
              <w:pStyle w:val="ENoteTableText"/>
            </w:pPr>
            <w:r w:rsidRPr="00576D60">
              <w:t>ed C125</w:t>
            </w:r>
          </w:p>
        </w:tc>
      </w:tr>
      <w:tr w:rsidR="00E93F58" w:rsidRPr="00576D60" w14:paraId="6E694F6A" w14:textId="77777777" w:rsidTr="002F32E3">
        <w:trPr>
          <w:cantSplit/>
        </w:trPr>
        <w:tc>
          <w:tcPr>
            <w:tcW w:w="1500" w:type="pct"/>
            <w:shd w:val="clear" w:color="auto" w:fill="auto"/>
          </w:tcPr>
          <w:p w14:paraId="461BFF05" w14:textId="77777777" w:rsidR="00E93F58" w:rsidRPr="00576D60" w:rsidRDefault="00E93F58" w:rsidP="002F32E3">
            <w:pPr>
              <w:pStyle w:val="ENoteTableText"/>
              <w:tabs>
                <w:tab w:val="left" w:leader="dot" w:pos="2268"/>
              </w:tabs>
            </w:pPr>
          </w:p>
        </w:tc>
        <w:tc>
          <w:tcPr>
            <w:tcW w:w="3500" w:type="pct"/>
            <w:shd w:val="clear" w:color="auto" w:fill="auto"/>
          </w:tcPr>
          <w:p w14:paraId="3B134C77" w14:textId="77777777" w:rsidR="00E93F58" w:rsidRPr="00576D60" w:rsidRDefault="00E93F58" w:rsidP="002F32E3">
            <w:pPr>
              <w:pStyle w:val="ENoteTableText"/>
              <w:rPr>
                <w:u w:val="single"/>
              </w:rPr>
            </w:pPr>
            <w:r w:rsidRPr="00576D60">
              <w:t>am F2019L01533; F2020L00942; F2020L01586; F2022L01614; F2022L01629</w:t>
            </w:r>
            <w:r>
              <w:t>; F2023L01458</w:t>
            </w:r>
          </w:p>
        </w:tc>
      </w:tr>
      <w:tr w:rsidR="00E93F58" w:rsidRPr="00576D60" w14:paraId="3801EEB7" w14:textId="77777777" w:rsidTr="002F32E3">
        <w:trPr>
          <w:cantSplit/>
        </w:trPr>
        <w:tc>
          <w:tcPr>
            <w:tcW w:w="1500" w:type="pct"/>
            <w:shd w:val="clear" w:color="auto" w:fill="auto"/>
          </w:tcPr>
          <w:p w14:paraId="59187BB5" w14:textId="77777777" w:rsidR="00E93F58" w:rsidRPr="00576D60" w:rsidRDefault="00E93F58" w:rsidP="002F32E3">
            <w:pPr>
              <w:pStyle w:val="ENoteTableText"/>
              <w:tabs>
                <w:tab w:val="left" w:leader="dot" w:pos="2268"/>
              </w:tabs>
            </w:pPr>
            <w:r w:rsidRPr="00576D60">
              <w:t>r 7.6.01AAAA</w:t>
            </w:r>
            <w:r w:rsidRPr="00576D60">
              <w:tab/>
            </w:r>
          </w:p>
        </w:tc>
        <w:tc>
          <w:tcPr>
            <w:tcW w:w="3500" w:type="pct"/>
            <w:shd w:val="clear" w:color="auto" w:fill="auto"/>
          </w:tcPr>
          <w:p w14:paraId="1B4EC5AB" w14:textId="77777777" w:rsidR="00E93F58" w:rsidRPr="00576D60" w:rsidRDefault="00E93F58" w:rsidP="002F32E3">
            <w:pPr>
              <w:pStyle w:val="ENoteTableText"/>
            </w:pPr>
            <w:r w:rsidRPr="00576D60">
              <w:t>ad F2021L00127</w:t>
            </w:r>
          </w:p>
        </w:tc>
      </w:tr>
      <w:tr w:rsidR="00E93F58" w:rsidRPr="00576D60" w14:paraId="3C2785F6" w14:textId="77777777" w:rsidTr="002F32E3">
        <w:trPr>
          <w:cantSplit/>
        </w:trPr>
        <w:tc>
          <w:tcPr>
            <w:tcW w:w="1500" w:type="pct"/>
            <w:shd w:val="clear" w:color="auto" w:fill="auto"/>
          </w:tcPr>
          <w:p w14:paraId="3D2FA1CC" w14:textId="77777777" w:rsidR="00E93F58" w:rsidRPr="00576D60" w:rsidRDefault="00E93F58" w:rsidP="002F32E3">
            <w:pPr>
              <w:pStyle w:val="ENoteTableText"/>
              <w:tabs>
                <w:tab w:val="left" w:leader="dot" w:pos="2268"/>
              </w:tabs>
            </w:pPr>
            <w:r w:rsidRPr="00576D60">
              <w:t>r 7.6.01AAAB</w:t>
            </w:r>
            <w:r w:rsidRPr="00576D60">
              <w:tab/>
            </w:r>
          </w:p>
        </w:tc>
        <w:tc>
          <w:tcPr>
            <w:tcW w:w="3500" w:type="pct"/>
            <w:shd w:val="clear" w:color="auto" w:fill="auto"/>
          </w:tcPr>
          <w:p w14:paraId="675ED53D" w14:textId="77777777" w:rsidR="00E93F58" w:rsidRPr="00576D60" w:rsidRDefault="00E93F58" w:rsidP="002F32E3">
            <w:pPr>
              <w:pStyle w:val="ENoteTableText"/>
            </w:pPr>
            <w:r w:rsidRPr="00576D60">
              <w:t>ad F2021L00127</w:t>
            </w:r>
          </w:p>
        </w:tc>
      </w:tr>
      <w:tr w:rsidR="00E93F58" w:rsidRPr="00576D60" w14:paraId="452D000A" w14:textId="77777777" w:rsidTr="002F32E3">
        <w:trPr>
          <w:cantSplit/>
        </w:trPr>
        <w:tc>
          <w:tcPr>
            <w:tcW w:w="1500" w:type="pct"/>
            <w:shd w:val="clear" w:color="auto" w:fill="auto"/>
          </w:tcPr>
          <w:p w14:paraId="534B116C" w14:textId="77777777" w:rsidR="00E93F58" w:rsidRPr="00576D60" w:rsidRDefault="00E93F58" w:rsidP="002F32E3">
            <w:pPr>
              <w:pStyle w:val="ENoteTableText"/>
              <w:tabs>
                <w:tab w:val="left" w:leader="dot" w:pos="2268"/>
              </w:tabs>
            </w:pPr>
            <w:r w:rsidRPr="00576D60">
              <w:t>r. 7.6.01AAA</w:t>
            </w:r>
            <w:r w:rsidRPr="00576D60">
              <w:tab/>
            </w:r>
          </w:p>
        </w:tc>
        <w:tc>
          <w:tcPr>
            <w:tcW w:w="3500" w:type="pct"/>
            <w:shd w:val="clear" w:color="auto" w:fill="auto"/>
          </w:tcPr>
          <w:p w14:paraId="01E83B06" w14:textId="77777777" w:rsidR="00E93F58" w:rsidRPr="00576D60" w:rsidRDefault="00E93F58" w:rsidP="002F32E3">
            <w:pPr>
              <w:pStyle w:val="ENoteTableText"/>
            </w:pPr>
            <w:r w:rsidRPr="00576D60">
              <w:t>ad. 2010 No. 89</w:t>
            </w:r>
          </w:p>
        </w:tc>
      </w:tr>
      <w:tr w:rsidR="00E93F58" w:rsidRPr="00576D60" w14:paraId="697417DC" w14:textId="77777777" w:rsidTr="002F32E3">
        <w:trPr>
          <w:cantSplit/>
        </w:trPr>
        <w:tc>
          <w:tcPr>
            <w:tcW w:w="1500" w:type="pct"/>
            <w:shd w:val="clear" w:color="auto" w:fill="auto"/>
          </w:tcPr>
          <w:p w14:paraId="6A675593" w14:textId="77777777" w:rsidR="00E93F58" w:rsidRPr="00576D60" w:rsidRDefault="00E93F58" w:rsidP="002F32E3">
            <w:pPr>
              <w:pStyle w:val="ENoteTableText"/>
              <w:tabs>
                <w:tab w:val="left" w:leader="dot" w:pos="2268"/>
              </w:tabs>
            </w:pPr>
            <w:r w:rsidRPr="00576D60">
              <w:t>r. 7.6.01AA</w:t>
            </w:r>
            <w:r w:rsidRPr="00576D60">
              <w:tab/>
            </w:r>
          </w:p>
        </w:tc>
        <w:tc>
          <w:tcPr>
            <w:tcW w:w="3500" w:type="pct"/>
            <w:shd w:val="clear" w:color="auto" w:fill="auto"/>
          </w:tcPr>
          <w:p w14:paraId="194AE65C" w14:textId="77777777" w:rsidR="00E93F58" w:rsidRPr="00576D60" w:rsidRDefault="00E93F58" w:rsidP="002F32E3">
            <w:pPr>
              <w:pStyle w:val="ENoteTableText"/>
            </w:pPr>
            <w:r w:rsidRPr="00576D60">
              <w:t>ad. 2008 No. 158</w:t>
            </w:r>
          </w:p>
        </w:tc>
      </w:tr>
      <w:tr w:rsidR="00E93F58" w:rsidRPr="00576D60" w14:paraId="0C19552D" w14:textId="77777777" w:rsidTr="002F32E3">
        <w:trPr>
          <w:cantSplit/>
        </w:trPr>
        <w:tc>
          <w:tcPr>
            <w:tcW w:w="1500" w:type="pct"/>
            <w:shd w:val="clear" w:color="auto" w:fill="auto"/>
          </w:tcPr>
          <w:p w14:paraId="25C434DB" w14:textId="77777777" w:rsidR="00E93F58" w:rsidRPr="00576D60" w:rsidRDefault="00E93F58" w:rsidP="002F32E3">
            <w:pPr>
              <w:pStyle w:val="ENoteTableText"/>
              <w:tabs>
                <w:tab w:val="left" w:leader="dot" w:pos="2268"/>
              </w:tabs>
            </w:pPr>
          </w:p>
        </w:tc>
        <w:tc>
          <w:tcPr>
            <w:tcW w:w="3500" w:type="pct"/>
            <w:shd w:val="clear" w:color="auto" w:fill="auto"/>
          </w:tcPr>
          <w:p w14:paraId="732C788B" w14:textId="77777777" w:rsidR="00E93F58" w:rsidRPr="00576D60" w:rsidRDefault="00E93F58" w:rsidP="002F32E3">
            <w:pPr>
              <w:pStyle w:val="ENoteTableText"/>
            </w:pPr>
            <w:r w:rsidRPr="00576D60">
              <w:t>rep No 91, 2015</w:t>
            </w:r>
          </w:p>
        </w:tc>
      </w:tr>
      <w:tr w:rsidR="00E93F58" w:rsidRPr="00576D60" w14:paraId="4DCD3D51" w14:textId="77777777" w:rsidTr="002F32E3">
        <w:trPr>
          <w:cantSplit/>
        </w:trPr>
        <w:tc>
          <w:tcPr>
            <w:tcW w:w="1500" w:type="pct"/>
            <w:shd w:val="clear" w:color="auto" w:fill="auto"/>
          </w:tcPr>
          <w:p w14:paraId="42E54962" w14:textId="77777777" w:rsidR="00E93F58" w:rsidRPr="00576D60" w:rsidRDefault="00E93F58" w:rsidP="002F32E3">
            <w:pPr>
              <w:pStyle w:val="ENoteTableText"/>
              <w:tabs>
                <w:tab w:val="left" w:leader="dot" w:pos="2268"/>
              </w:tabs>
            </w:pPr>
            <w:r w:rsidRPr="00576D60">
              <w:lastRenderedPageBreak/>
              <w:t>r 7.6.01AB</w:t>
            </w:r>
            <w:r w:rsidRPr="00576D60">
              <w:tab/>
            </w:r>
          </w:p>
        </w:tc>
        <w:tc>
          <w:tcPr>
            <w:tcW w:w="3500" w:type="pct"/>
            <w:shd w:val="clear" w:color="auto" w:fill="auto"/>
          </w:tcPr>
          <w:p w14:paraId="713D0A9E" w14:textId="77777777" w:rsidR="00E93F58" w:rsidRPr="00576D60" w:rsidRDefault="00E93F58" w:rsidP="002F32E3">
            <w:pPr>
              <w:pStyle w:val="ENoteTableText"/>
            </w:pPr>
            <w:r w:rsidRPr="00576D60">
              <w:t>ad No 172, 2012</w:t>
            </w:r>
          </w:p>
        </w:tc>
      </w:tr>
      <w:tr w:rsidR="00E93F58" w:rsidRPr="00576D60" w14:paraId="5ED81206" w14:textId="77777777" w:rsidTr="002F32E3">
        <w:trPr>
          <w:cantSplit/>
        </w:trPr>
        <w:tc>
          <w:tcPr>
            <w:tcW w:w="1500" w:type="pct"/>
            <w:shd w:val="clear" w:color="auto" w:fill="auto"/>
          </w:tcPr>
          <w:p w14:paraId="55B6383F" w14:textId="77777777" w:rsidR="00E93F58" w:rsidRPr="00576D60" w:rsidRDefault="00E93F58" w:rsidP="002F32E3">
            <w:pPr>
              <w:pStyle w:val="ENoteTableText"/>
              <w:tabs>
                <w:tab w:val="left" w:leader="dot" w:pos="2268"/>
              </w:tabs>
            </w:pPr>
          </w:p>
        </w:tc>
        <w:tc>
          <w:tcPr>
            <w:tcW w:w="3500" w:type="pct"/>
            <w:shd w:val="clear" w:color="auto" w:fill="auto"/>
          </w:tcPr>
          <w:p w14:paraId="4A98B156" w14:textId="77777777" w:rsidR="00E93F58" w:rsidRPr="00576D60" w:rsidRDefault="00E93F58" w:rsidP="002F32E3">
            <w:pPr>
              <w:pStyle w:val="ENoteTableText"/>
            </w:pPr>
            <w:r w:rsidRPr="00576D60">
              <w:t>am F2019L00392; F2020L00942; F2021L01608; F2022L01614</w:t>
            </w:r>
          </w:p>
        </w:tc>
      </w:tr>
      <w:tr w:rsidR="00E93F58" w:rsidRPr="00576D60" w14:paraId="212E0B81" w14:textId="77777777" w:rsidTr="002F32E3">
        <w:trPr>
          <w:cantSplit/>
        </w:trPr>
        <w:tc>
          <w:tcPr>
            <w:tcW w:w="1500" w:type="pct"/>
            <w:shd w:val="clear" w:color="auto" w:fill="auto"/>
          </w:tcPr>
          <w:p w14:paraId="22384B98" w14:textId="77777777" w:rsidR="00E93F58" w:rsidRPr="00576D60" w:rsidRDefault="00E93F58" w:rsidP="002F32E3">
            <w:pPr>
              <w:pStyle w:val="ENoteTableText"/>
              <w:tabs>
                <w:tab w:val="left" w:leader="dot" w:pos="2268"/>
              </w:tabs>
            </w:pPr>
            <w:r w:rsidRPr="00576D60">
              <w:t>r. 7.6.01A</w:t>
            </w:r>
            <w:r w:rsidRPr="00576D60">
              <w:tab/>
            </w:r>
          </w:p>
        </w:tc>
        <w:tc>
          <w:tcPr>
            <w:tcW w:w="3500" w:type="pct"/>
            <w:shd w:val="clear" w:color="auto" w:fill="auto"/>
          </w:tcPr>
          <w:p w14:paraId="64B8D0C5" w14:textId="77777777" w:rsidR="00E93F58" w:rsidRPr="00576D60" w:rsidRDefault="00E93F58" w:rsidP="002F32E3">
            <w:pPr>
              <w:pStyle w:val="ENoteTableText"/>
            </w:pPr>
            <w:r w:rsidRPr="00576D60">
              <w:t>ad. 2002 No. 16</w:t>
            </w:r>
          </w:p>
        </w:tc>
      </w:tr>
      <w:tr w:rsidR="00E93F58" w:rsidRPr="00576D60" w14:paraId="669DA4AB" w14:textId="77777777" w:rsidTr="002F32E3">
        <w:trPr>
          <w:cantSplit/>
        </w:trPr>
        <w:tc>
          <w:tcPr>
            <w:tcW w:w="1500" w:type="pct"/>
            <w:shd w:val="clear" w:color="auto" w:fill="auto"/>
          </w:tcPr>
          <w:p w14:paraId="7E7C29F4" w14:textId="77777777" w:rsidR="00E93F58" w:rsidRPr="00576D60" w:rsidRDefault="00E93F58" w:rsidP="002F32E3">
            <w:pPr>
              <w:pStyle w:val="ENoteTableText"/>
              <w:tabs>
                <w:tab w:val="left" w:leader="dot" w:pos="2268"/>
              </w:tabs>
            </w:pPr>
            <w:r w:rsidRPr="00576D60">
              <w:t>r 7.6.01B</w:t>
            </w:r>
            <w:r w:rsidRPr="00576D60">
              <w:tab/>
            </w:r>
          </w:p>
        </w:tc>
        <w:tc>
          <w:tcPr>
            <w:tcW w:w="3500" w:type="pct"/>
            <w:shd w:val="clear" w:color="auto" w:fill="auto"/>
          </w:tcPr>
          <w:p w14:paraId="7C626A87" w14:textId="77777777" w:rsidR="00E93F58" w:rsidRPr="00576D60" w:rsidRDefault="00E93F58" w:rsidP="002F32E3">
            <w:pPr>
              <w:pStyle w:val="ENoteTableText"/>
            </w:pPr>
            <w:r w:rsidRPr="00576D60">
              <w:t>ad No 41, 2002</w:t>
            </w:r>
          </w:p>
        </w:tc>
      </w:tr>
      <w:tr w:rsidR="00E93F58" w:rsidRPr="00576D60" w14:paraId="3687CD37" w14:textId="77777777" w:rsidTr="002F32E3">
        <w:trPr>
          <w:cantSplit/>
        </w:trPr>
        <w:tc>
          <w:tcPr>
            <w:tcW w:w="1500" w:type="pct"/>
            <w:shd w:val="clear" w:color="auto" w:fill="auto"/>
          </w:tcPr>
          <w:p w14:paraId="48C3160D" w14:textId="77777777" w:rsidR="00E93F58" w:rsidRPr="00576D60" w:rsidRDefault="00E93F58" w:rsidP="002F32E3">
            <w:pPr>
              <w:pStyle w:val="ENoteTableText"/>
              <w:tabs>
                <w:tab w:val="left" w:leader="dot" w:pos="2268"/>
              </w:tabs>
            </w:pPr>
          </w:p>
        </w:tc>
        <w:tc>
          <w:tcPr>
            <w:tcW w:w="3500" w:type="pct"/>
            <w:shd w:val="clear" w:color="auto" w:fill="auto"/>
          </w:tcPr>
          <w:p w14:paraId="7F31DA11" w14:textId="77777777" w:rsidR="00E93F58" w:rsidRPr="00576D60" w:rsidRDefault="00E93F58" w:rsidP="002F32E3">
            <w:pPr>
              <w:pStyle w:val="ENoteTableText"/>
            </w:pPr>
            <w:r w:rsidRPr="00576D60">
              <w:t>am F2019L01641</w:t>
            </w:r>
          </w:p>
        </w:tc>
      </w:tr>
      <w:tr w:rsidR="00E93F58" w:rsidRPr="00576D60" w14:paraId="64CF2D88" w14:textId="77777777" w:rsidTr="002F32E3">
        <w:trPr>
          <w:cantSplit/>
        </w:trPr>
        <w:tc>
          <w:tcPr>
            <w:tcW w:w="1500" w:type="pct"/>
            <w:shd w:val="clear" w:color="auto" w:fill="auto"/>
          </w:tcPr>
          <w:p w14:paraId="12D88762" w14:textId="77777777" w:rsidR="00E93F58" w:rsidRPr="00576D60" w:rsidRDefault="00E93F58" w:rsidP="002F32E3">
            <w:pPr>
              <w:pStyle w:val="ENoteTableText"/>
              <w:tabs>
                <w:tab w:val="left" w:leader="dot" w:pos="2268"/>
              </w:tabs>
            </w:pPr>
            <w:r w:rsidRPr="00576D60">
              <w:t>r. 7.6.01BA</w:t>
            </w:r>
            <w:r w:rsidRPr="00576D60">
              <w:tab/>
            </w:r>
          </w:p>
        </w:tc>
        <w:tc>
          <w:tcPr>
            <w:tcW w:w="3500" w:type="pct"/>
            <w:shd w:val="clear" w:color="auto" w:fill="auto"/>
          </w:tcPr>
          <w:p w14:paraId="17CE6A42" w14:textId="77777777" w:rsidR="00E93F58" w:rsidRPr="00576D60" w:rsidRDefault="00E93F58" w:rsidP="002F32E3">
            <w:pPr>
              <w:pStyle w:val="ENoteTableText"/>
            </w:pPr>
            <w:r w:rsidRPr="00576D60">
              <w:t>ad. No. 101, 2013</w:t>
            </w:r>
          </w:p>
        </w:tc>
      </w:tr>
      <w:tr w:rsidR="00E93F58" w:rsidRPr="00576D60" w14:paraId="789B5147" w14:textId="77777777" w:rsidTr="002F32E3">
        <w:trPr>
          <w:cantSplit/>
        </w:trPr>
        <w:tc>
          <w:tcPr>
            <w:tcW w:w="1500" w:type="pct"/>
            <w:shd w:val="clear" w:color="auto" w:fill="auto"/>
          </w:tcPr>
          <w:p w14:paraId="7B12A626" w14:textId="77777777" w:rsidR="00E93F58" w:rsidRPr="00576D60" w:rsidRDefault="00E93F58" w:rsidP="002F32E3">
            <w:pPr>
              <w:pStyle w:val="ENoteTableText"/>
              <w:tabs>
                <w:tab w:val="left" w:leader="dot" w:pos="2268"/>
              </w:tabs>
            </w:pPr>
          </w:p>
        </w:tc>
        <w:tc>
          <w:tcPr>
            <w:tcW w:w="3500" w:type="pct"/>
            <w:shd w:val="clear" w:color="auto" w:fill="auto"/>
          </w:tcPr>
          <w:p w14:paraId="157D07A7" w14:textId="77777777" w:rsidR="00E93F58" w:rsidRPr="00576D60" w:rsidRDefault="00E93F58" w:rsidP="002F32E3">
            <w:pPr>
              <w:pStyle w:val="ENoteTableText"/>
              <w:rPr>
                <w:u w:val="single"/>
              </w:rPr>
            </w:pPr>
            <w:r w:rsidRPr="00576D60">
              <w:t>rep No 101, 2013</w:t>
            </w:r>
          </w:p>
        </w:tc>
      </w:tr>
      <w:tr w:rsidR="00E93F58" w:rsidRPr="00576D60" w14:paraId="4F043E3F" w14:textId="77777777" w:rsidTr="002F32E3">
        <w:trPr>
          <w:cantSplit/>
        </w:trPr>
        <w:tc>
          <w:tcPr>
            <w:tcW w:w="1500" w:type="pct"/>
            <w:shd w:val="clear" w:color="auto" w:fill="auto"/>
          </w:tcPr>
          <w:p w14:paraId="798A1929" w14:textId="77777777" w:rsidR="00E93F58" w:rsidRPr="00576D60" w:rsidRDefault="00E93F58" w:rsidP="002F32E3">
            <w:pPr>
              <w:pStyle w:val="ENoteTableText"/>
              <w:tabs>
                <w:tab w:val="left" w:leader="dot" w:pos="2268"/>
              </w:tabs>
            </w:pPr>
            <w:r w:rsidRPr="00576D60">
              <w:t>r 7.6.01C</w:t>
            </w:r>
            <w:r w:rsidRPr="00576D60">
              <w:tab/>
            </w:r>
          </w:p>
        </w:tc>
        <w:tc>
          <w:tcPr>
            <w:tcW w:w="3500" w:type="pct"/>
            <w:shd w:val="clear" w:color="auto" w:fill="auto"/>
          </w:tcPr>
          <w:p w14:paraId="41F42A36" w14:textId="77777777" w:rsidR="00E93F58" w:rsidRPr="00576D60" w:rsidRDefault="00E93F58" w:rsidP="002F32E3">
            <w:pPr>
              <w:pStyle w:val="ENoteTableText"/>
            </w:pPr>
            <w:r w:rsidRPr="00576D60">
              <w:t>ad</w:t>
            </w:r>
            <w:r>
              <w:t xml:space="preserve"> No 369, 2003</w:t>
            </w:r>
          </w:p>
        </w:tc>
      </w:tr>
      <w:tr w:rsidR="00E93F58" w:rsidRPr="00576D60" w14:paraId="69D1C228" w14:textId="77777777" w:rsidTr="002F32E3">
        <w:trPr>
          <w:cantSplit/>
        </w:trPr>
        <w:tc>
          <w:tcPr>
            <w:tcW w:w="1500" w:type="pct"/>
            <w:shd w:val="clear" w:color="auto" w:fill="auto"/>
          </w:tcPr>
          <w:p w14:paraId="70D4CE8D" w14:textId="77777777" w:rsidR="00E93F58" w:rsidRPr="00576D60" w:rsidRDefault="00E93F58" w:rsidP="002F32E3">
            <w:pPr>
              <w:pStyle w:val="ENoteTableText"/>
              <w:tabs>
                <w:tab w:val="left" w:leader="dot" w:pos="2268"/>
              </w:tabs>
            </w:pPr>
          </w:p>
        </w:tc>
        <w:tc>
          <w:tcPr>
            <w:tcW w:w="3500" w:type="pct"/>
            <w:shd w:val="clear" w:color="auto" w:fill="auto"/>
          </w:tcPr>
          <w:p w14:paraId="2F04E4FE" w14:textId="77777777" w:rsidR="00E93F58" w:rsidRPr="00576D60" w:rsidRDefault="00E93F58" w:rsidP="002F32E3">
            <w:pPr>
              <w:pStyle w:val="ENoteTableText"/>
            </w:pPr>
            <w:r>
              <w:t>am F2023L01458</w:t>
            </w:r>
          </w:p>
        </w:tc>
      </w:tr>
      <w:tr w:rsidR="00E93F58" w:rsidRPr="00576D60" w14:paraId="03CC851F" w14:textId="77777777" w:rsidTr="002F32E3">
        <w:trPr>
          <w:cantSplit/>
        </w:trPr>
        <w:tc>
          <w:tcPr>
            <w:tcW w:w="1500" w:type="pct"/>
            <w:shd w:val="clear" w:color="auto" w:fill="auto"/>
          </w:tcPr>
          <w:p w14:paraId="2F12693A" w14:textId="77777777" w:rsidR="00E93F58" w:rsidRPr="00576D60" w:rsidRDefault="00E93F58" w:rsidP="002F32E3">
            <w:pPr>
              <w:pStyle w:val="ENoteTableText"/>
              <w:tabs>
                <w:tab w:val="left" w:leader="dot" w:pos="2268"/>
              </w:tabs>
            </w:pPr>
            <w:r w:rsidRPr="00576D60">
              <w:t>r. 7.6.02</w:t>
            </w:r>
            <w:r w:rsidRPr="00576D60">
              <w:tab/>
            </w:r>
          </w:p>
        </w:tc>
        <w:tc>
          <w:tcPr>
            <w:tcW w:w="3500" w:type="pct"/>
            <w:shd w:val="clear" w:color="auto" w:fill="auto"/>
          </w:tcPr>
          <w:p w14:paraId="705B90BD" w14:textId="77777777" w:rsidR="00E93F58" w:rsidRPr="00576D60" w:rsidRDefault="00E93F58" w:rsidP="002F32E3">
            <w:pPr>
              <w:pStyle w:val="ENoteTableText"/>
            </w:pPr>
            <w:r w:rsidRPr="00576D60">
              <w:t>ad. 2001 No. 319</w:t>
            </w:r>
          </w:p>
        </w:tc>
      </w:tr>
      <w:tr w:rsidR="00E93F58" w:rsidRPr="00576D60" w14:paraId="1FC48534" w14:textId="77777777" w:rsidTr="002F32E3">
        <w:trPr>
          <w:cantSplit/>
        </w:trPr>
        <w:tc>
          <w:tcPr>
            <w:tcW w:w="1500" w:type="pct"/>
            <w:shd w:val="clear" w:color="auto" w:fill="auto"/>
          </w:tcPr>
          <w:p w14:paraId="581B9D73" w14:textId="77777777" w:rsidR="00E93F58" w:rsidRPr="00576D60" w:rsidRDefault="00E93F58" w:rsidP="002F32E3">
            <w:pPr>
              <w:pStyle w:val="ENoteTableText"/>
            </w:pPr>
          </w:p>
        </w:tc>
        <w:tc>
          <w:tcPr>
            <w:tcW w:w="3500" w:type="pct"/>
            <w:shd w:val="clear" w:color="auto" w:fill="auto"/>
          </w:tcPr>
          <w:p w14:paraId="36741E8B" w14:textId="77777777" w:rsidR="00E93F58" w:rsidRPr="00576D60" w:rsidRDefault="00E93F58" w:rsidP="002F32E3">
            <w:pPr>
              <w:pStyle w:val="ENoteTableText"/>
            </w:pPr>
            <w:r w:rsidRPr="00576D60">
              <w:t>am. 2005 No. 31; 2009 No. 386; 2010 No. 88; F2018L00515</w:t>
            </w:r>
          </w:p>
        </w:tc>
      </w:tr>
      <w:tr w:rsidR="00E93F58" w:rsidRPr="00576D60" w14:paraId="39920852" w14:textId="77777777" w:rsidTr="002F32E3">
        <w:trPr>
          <w:cantSplit/>
        </w:trPr>
        <w:tc>
          <w:tcPr>
            <w:tcW w:w="1500" w:type="pct"/>
            <w:shd w:val="clear" w:color="auto" w:fill="auto"/>
          </w:tcPr>
          <w:p w14:paraId="5136D30A" w14:textId="77777777" w:rsidR="00E93F58" w:rsidRPr="00576D60" w:rsidRDefault="00E93F58" w:rsidP="002F32E3">
            <w:pPr>
              <w:pStyle w:val="ENoteTableText"/>
              <w:tabs>
                <w:tab w:val="left" w:leader="dot" w:pos="2268"/>
              </w:tabs>
            </w:pPr>
            <w:r w:rsidRPr="00576D60">
              <w:t>r 7.6.02AAA</w:t>
            </w:r>
            <w:r w:rsidRPr="00576D60">
              <w:tab/>
            </w:r>
          </w:p>
        </w:tc>
        <w:tc>
          <w:tcPr>
            <w:tcW w:w="3500" w:type="pct"/>
            <w:shd w:val="clear" w:color="auto" w:fill="auto"/>
          </w:tcPr>
          <w:p w14:paraId="3F4AF47C" w14:textId="77777777" w:rsidR="00E93F58" w:rsidRPr="00576D60" w:rsidRDefault="00E93F58" w:rsidP="002F32E3">
            <w:pPr>
              <w:pStyle w:val="ENoteTableText"/>
            </w:pPr>
            <w:r w:rsidRPr="00576D60">
              <w:t>ad</w:t>
            </w:r>
            <w:r>
              <w:t xml:space="preserve"> No 197, 2007</w:t>
            </w:r>
          </w:p>
        </w:tc>
      </w:tr>
      <w:tr w:rsidR="00E93F58" w:rsidRPr="00576D60" w14:paraId="78D9C571" w14:textId="77777777" w:rsidTr="002F32E3">
        <w:trPr>
          <w:cantSplit/>
        </w:trPr>
        <w:tc>
          <w:tcPr>
            <w:tcW w:w="1500" w:type="pct"/>
            <w:shd w:val="clear" w:color="auto" w:fill="auto"/>
          </w:tcPr>
          <w:p w14:paraId="3256125F" w14:textId="77777777" w:rsidR="00E93F58" w:rsidRPr="00576D60" w:rsidRDefault="00E93F58" w:rsidP="002F32E3">
            <w:pPr>
              <w:pStyle w:val="ENoteTableText"/>
              <w:tabs>
                <w:tab w:val="left" w:leader="dot" w:pos="2268"/>
              </w:tabs>
            </w:pPr>
          </w:p>
        </w:tc>
        <w:tc>
          <w:tcPr>
            <w:tcW w:w="3500" w:type="pct"/>
            <w:shd w:val="clear" w:color="auto" w:fill="auto"/>
          </w:tcPr>
          <w:p w14:paraId="2B0BA586" w14:textId="77777777" w:rsidR="00E93F58" w:rsidRPr="00576D60" w:rsidRDefault="00E93F58" w:rsidP="002F32E3">
            <w:pPr>
              <w:pStyle w:val="ENoteTableText"/>
            </w:pPr>
            <w:r w:rsidRPr="00576D60">
              <w:t>am F2018L00515</w:t>
            </w:r>
            <w:r>
              <w:t>; F2023L01458</w:t>
            </w:r>
          </w:p>
        </w:tc>
      </w:tr>
      <w:tr w:rsidR="00E93F58" w:rsidRPr="00576D60" w14:paraId="63F63A60" w14:textId="77777777" w:rsidTr="002F32E3">
        <w:trPr>
          <w:cantSplit/>
        </w:trPr>
        <w:tc>
          <w:tcPr>
            <w:tcW w:w="1500" w:type="pct"/>
            <w:shd w:val="clear" w:color="auto" w:fill="auto"/>
          </w:tcPr>
          <w:p w14:paraId="55786FFE" w14:textId="77777777" w:rsidR="00E93F58" w:rsidRPr="00576D60" w:rsidRDefault="00E93F58" w:rsidP="002F32E3">
            <w:pPr>
              <w:pStyle w:val="ENoteTableText"/>
              <w:tabs>
                <w:tab w:val="left" w:leader="dot" w:pos="2268"/>
              </w:tabs>
            </w:pPr>
            <w:r w:rsidRPr="00576D60">
              <w:t>r 7.6.02AA</w:t>
            </w:r>
            <w:r w:rsidRPr="00576D60">
              <w:tab/>
            </w:r>
          </w:p>
        </w:tc>
        <w:tc>
          <w:tcPr>
            <w:tcW w:w="3500" w:type="pct"/>
            <w:shd w:val="clear" w:color="auto" w:fill="auto"/>
          </w:tcPr>
          <w:p w14:paraId="086D4B81" w14:textId="77777777" w:rsidR="00E93F58" w:rsidRPr="00576D60" w:rsidRDefault="00E93F58" w:rsidP="002F32E3">
            <w:pPr>
              <w:pStyle w:val="ENoteTableText"/>
            </w:pPr>
            <w:r w:rsidRPr="00576D60">
              <w:t>ad</w:t>
            </w:r>
            <w:r>
              <w:t xml:space="preserve"> No 26, 2004</w:t>
            </w:r>
          </w:p>
        </w:tc>
      </w:tr>
      <w:tr w:rsidR="00E93F58" w:rsidRPr="00576D60" w14:paraId="57DB6538" w14:textId="77777777" w:rsidTr="002F32E3">
        <w:trPr>
          <w:cantSplit/>
        </w:trPr>
        <w:tc>
          <w:tcPr>
            <w:tcW w:w="1500" w:type="pct"/>
            <w:shd w:val="clear" w:color="auto" w:fill="auto"/>
          </w:tcPr>
          <w:p w14:paraId="782A5CA6" w14:textId="77777777" w:rsidR="00E93F58" w:rsidRPr="00576D60" w:rsidRDefault="00E93F58" w:rsidP="002F32E3">
            <w:pPr>
              <w:pStyle w:val="ENoteTableText"/>
            </w:pPr>
          </w:p>
        </w:tc>
        <w:tc>
          <w:tcPr>
            <w:tcW w:w="3500" w:type="pct"/>
            <w:shd w:val="clear" w:color="auto" w:fill="auto"/>
          </w:tcPr>
          <w:p w14:paraId="0C313C1A" w14:textId="77777777" w:rsidR="00E93F58" w:rsidRPr="0020359F" w:rsidRDefault="00E93F58" w:rsidP="002F32E3">
            <w:pPr>
              <w:pStyle w:val="ENoteTableText"/>
            </w:pPr>
            <w:r w:rsidRPr="00576D60">
              <w:t>am</w:t>
            </w:r>
            <w:r>
              <w:t xml:space="preserve"> No 31, 2005; No 197, 2007; </w:t>
            </w:r>
            <w:r w:rsidRPr="00C42170">
              <w:rPr>
                <w:u w:val="single"/>
              </w:rPr>
              <w:t>F2023L01423</w:t>
            </w:r>
            <w:r>
              <w:t>; F2023L01458</w:t>
            </w:r>
          </w:p>
        </w:tc>
      </w:tr>
      <w:tr w:rsidR="00E93F58" w:rsidRPr="00576D60" w14:paraId="4003D505" w14:textId="77777777" w:rsidTr="002F32E3">
        <w:trPr>
          <w:cantSplit/>
        </w:trPr>
        <w:tc>
          <w:tcPr>
            <w:tcW w:w="1500" w:type="pct"/>
            <w:shd w:val="clear" w:color="auto" w:fill="auto"/>
          </w:tcPr>
          <w:p w14:paraId="16C702E4" w14:textId="77777777" w:rsidR="00E93F58" w:rsidRPr="00576D60" w:rsidRDefault="00E93F58" w:rsidP="002F32E3">
            <w:pPr>
              <w:pStyle w:val="ENoteTableText"/>
              <w:tabs>
                <w:tab w:val="left" w:leader="dot" w:pos="2268"/>
              </w:tabs>
            </w:pPr>
            <w:r w:rsidRPr="00576D60">
              <w:t>r. 7.6.02AB</w:t>
            </w:r>
            <w:r w:rsidRPr="00576D60">
              <w:tab/>
            </w:r>
          </w:p>
        </w:tc>
        <w:tc>
          <w:tcPr>
            <w:tcW w:w="3500" w:type="pct"/>
            <w:shd w:val="clear" w:color="auto" w:fill="auto"/>
          </w:tcPr>
          <w:p w14:paraId="6BC6ADBB" w14:textId="77777777" w:rsidR="00E93F58" w:rsidRPr="00576D60" w:rsidRDefault="00E93F58" w:rsidP="002F32E3">
            <w:pPr>
              <w:pStyle w:val="ENoteTableText"/>
            </w:pPr>
            <w:r w:rsidRPr="00576D60">
              <w:t>ad. 2005 No. 324</w:t>
            </w:r>
          </w:p>
        </w:tc>
      </w:tr>
      <w:tr w:rsidR="00E93F58" w:rsidRPr="00576D60" w14:paraId="6D2EA40F" w14:textId="77777777" w:rsidTr="002F32E3">
        <w:trPr>
          <w:cantSplit/>
        </w:trPr>
        <w:tc>
          <w:tcPr>
            <w:tcW w:w="1500" w:type="pct"/>
            <w:shd w:val="clear" w:color="auto" w:fill="auto"/>
          </w:tcPr>
          <w:p w14:paraId="6E1004D8" w14:textId="77777777" w:rsidR="00E93F58" w:rsidRPr="00576D60" w:rsidRDefault="00E93F58" w:rsidP="002F32E3">
            <w:pPr>
              <w:pStyle w:val="ENoteTableText"/>
              <w:tabs>
                <w:tab w:val="left" w:leader="dot" w:pos="2268"/>
              </w:tabs>
            </w:pPr>
          </w:p>
        </w:tc>
        <w:tc>
          <w:tcPr>
            <w:tcW w:w="3500" w:type="pct"/>
            <w:shd w:val="clear" w:color="auto" w:fill="auto"/>
          </w:tcPr>
          <w:p w14:paraId="7796BF1D" w14:textId="77777777" w:rsidR="00E93F58" w:rsidRPr="00576D60" w:rsidRDefault="00E93F58" w:rsidP="002F32E3">
            <w:pPr>
              <w:pStyle w:val="ENoteTableText"/>
            </w:pPr>
            <w:r w:rsidRPr="00576D60">
              <w:t>am No 102, 2014 (disallowed); No 108, 2015</w:t>
            </w:r>
          </w:p>
        </w:tc>
      </w:tr>
      <w:tr w:rsidR="00E93F58" w:rsidRPr="00576D60" w14:paraId="6F9FD7FA" w14:textId="77777777" w:rsidTr="002F32E3">
        <w:trPr>
          <w:cantSplit/>
        </w:trPr>
        <w:tc>
          <w:tcPr>
            <w:tcW w:w="1500" w:type="pct"/>
            <w:shd w:val="clear" w:color="auto" w:fill="auto"/>
          </w:tcPr>
          <w:p w14:paraId="3158BC46" w14:textId="77777777" w:rsidR="00E93F58" w:rsidRPr="00576D60" w:rsidRDefault="00E93F58" w:rsidP="002F32E3">
            <w:pPr>
              <w:pStyle w:val="ENoteTableText"/>
              <w:tabs>
                <w:tab w:val="left" w:leader="dot" w:pos="2268"/>
              </w:tabs>
            </w:pPr>
            <w:r w:rsidRPr="00576D60">
              <w:t>r. 7.6.02AC</w:t>
            </w:r>
            <w:r w:rsidRPr="00576D60">
              <w:tab/>
            </w:r>
          </w:p>
        </w:tc>
        <w:tc>
          <w:tcPr>
            <w:tcW w:w="3500" w:type="pct"/>
            <w:shd w:val="clear" w:color="auto" w:fill="auto"/>
          </w:tcPr>
          <w:p w14:paraId="343BA7C4" w14:textId="77777777" w:rsidR="00E93F58" w:rsidRPr="00576D60" w:rsidRDefault="00E93F58" w:rsidP="002F32E3">
            <w:pPr>
              <w:pStyle w:val="ENoteTableText"/>
            </w:pPr>
            <w:r w:rsidRPr="00576D60">
              <w:t>ad. 2005 No. 324</w:t>
            </w:r>
          </w:p>
        </w:tc>
      </w:tr>
      <w:tr w:rsidR="00E93F58" w:rsidRPr="00576D60" w14:paraId="548AB70A" w14:textId="77777777" w:rsidTr="002F32E3">
        <w:trPr>
          <w:cantSplit/>
        </w:trPr>
        <w:tc>
          <w:tcPr>
            <w:tcW w:w="1500" w:type="pct"/>
            <w:shd w:val="clear" w:color="auto" w:fill="auto"/>
          </w:tcPr>
          <w:p w14:paraId="622D807D" w14:textId="77777777" w:rsidR="00E93F58" w:rsidRPr="00576D60" w:rsidRDefault="00E93F58" w:rsidP="002F32E3">
            <w:pPr>
              <w:pStyle w:val="ENoteTableText"/>
              <w:tabs>
                <w:tab w:val="left" w:leader="dot" w:pos="2268"/>
              </w:tabs>
            </w:pPr>
          </w:p>
        </w:tc>
        <w:tc>
          <w:tcPr>
            <w:tcW w:w="3500" w:type="pct"/>
            <w:shd w:val="clear" w:color="auto" w:fill="auto"/>
          </w:tcPr>
          <w:p w14:paraId="06A72031" w14:textId="77777777" w:rsidR="00E93F58" w:rsidRPr="00576D60" w:rsidRDefault="00E93F58" w:rsidP="002F32E3">
            <w:pPr>
              <w:pStyle w:val="ENoteTableText"/>
            </w:pPr>
            <w:r w:rsidRPr="00576D60">
              <w:t>am No 102, 2014 (disallowed); No 108, 2015</w:t>
            </w:r>
          </w:p>
        </w:tc>
      </w:tr>
      <w:tr w:rsidR="00E93F58" w:rsidRPr="00576D60" w14:paraId="58043BD2" w14:textId="77777777" w:rsidTr="002F32E3">
        <w:trPr>
          <w:cantSplit/>
        </w:trPr>
        <w:tc>
          <w:tcPr>
            <w:tcW w:w="1500" w:type="pct"/>
            <w:shd w:val="clear" w:color="auto" w:fill="auto"/>
          </w:tcPr>
          <w:p w14:paraId="689CE029" w14:textId="77777777" w:rsidR="00E93F58" w:rsidRPr="00576D60" w:rsidRDefault="00E93F58" w:rsidP="002F32E3">
            <w:pPr>
              <w:pStyle w:val="ENoteTableText"/>
              <w:tabs>
                <w:tab w:val="left" w:leader="dot" w:pos="2268"/>
              </w:tabs>
            </w:pPr>
            <w:r w:rsidRPr="00576D60">
              <w:t>r 7.6.02AD</w:t>
            </w:r>
            <w:r w:rsidRPr="00576D60">
              <w:tab/>
            </w:r>
          </w:p>
        </w:tc>
        <w:tc>
          <w:tcPr>
            <w:tcW w:w="3500" w:type="pct"/>
            <w:shd w:val="clear" w:color="auto" w:fill="auto"/>
          </w:tcPr>
          <w:p w14:paraId="65506374" w14:textId="77777777" w:rsidR="00E93F58" w:rsidRPr="00576D60" w:rsidRDefault="00E93F58" w:rsidP="002F32E3">
            <w:pPr>
              <w:pStyle w:val="ENoteTableText"/>
            </w:pPr>
            <w:r w:rsidRPr="00576D60">
              <w:t>ad</w:t>
            </w:r>
            <w:r>
              <w:t xml:space="preserve"> No 324, 2005</w:t>
            </w:r>
          </w:p>
        </w:tc>
      </w:tr>
      <w:tr w:rsidR="00E93F58" w:rsidRPr="00576D60" w14:paraId="24244A6E" w14:textId="77777777" w:rsidTr="002F32E3">
        <w:trPr>
          <w:cantSplit/>
        </w:trPr>
        <w:tc>
          <w:tcPr>
            <w:tcW w:w="1500" w:type="pct"/>
            <w:shd w:val="clear" w:color="auto" w:fill="auto"/>
          </w:tcPr>
          <w:p w14:paraId="3577C999" w14:textId="77777777" w:rsidR="00E93F58" w:rsidRPr="00576D60" w:rsidRDefault="00E93F58" w:rsidP="002F32E3">
            <w:pPr>
              <w:pStyle w:val="ENoteTableText"/>
              <w:tabs>
                <w:tab w:val="left" w:leader="dot" w:pos="2268"/>
              </w:tabs>
            </w:pPr>
          </w:p>
        </w:tc>
        <w:tc>
          <w:tcPr>
            <w:tcW w:w="3500" w:type="pct"/>
            <w:shd w:val="clear" w:color="auto" w:fill="auto"/>
          </w:tcPr>
          <w:p w14:paraId="4F7DB20C" w14:textId="77777777" w:rsidR="00E93F58" w:rsidRPr="00576D60" w:rsidRDefault="00E93F58" w:rsidP="002F32E3">
            <w:pPr>
              <w:pStyle w:val="ENoteTableText"/>
            </w:pPr>
            <w:r w:rsidRPr="00576D60">
              <w:t>am No 102, 2014 (disallowed); No 108, 2015</w:t>
            </w:r>
            <w:r>
              <w:t>; F2023L01458</w:t>
            </w:r>
          </w:p>
        </w:tc>
      </w:tr>
      <w:tr w:rsidR="00E93F58" w:rsidRPr="00576D60" w14:paraId="699F84FB" w14:textId="77777777" w:rsidTr="002F32E3">
        <w:trPr>
          <w:cantSplit/>
        </w:trPr>
        <w:tc>
          <w:tcPr>
            <w:tcW w:w="1500" w:type="pct"/>
            <w:shd w:val="clear" w:color="auto" w:fill="auto"/>
          </w:tcPr>
          <w:p w14:paraId="1F483029" w14:textId="77777777" w:rsidR="00E93F58" w:rsidRPr="00576D60" w:rsidRDefault="00E93F58" w:rsidP="002F32E3">
            <w:pPr>
              <w:pStyle w:val="ENoteTableText"/>
              <w:tabs>
                <w:tab w:val="left" w:leader="dot" w:pos="2268"/>
              </w:tabs>
            </w:pPr>
            <w:r w:rsidRPr="00576D60">
              <w:t>r. 7.6.02AE</w:t>
            </w:r>
            <w:r w:rsidRPr="00576D60">
              <w:tab/>
            </w:r>
          </w:p>
        </w:tc>
        <w:tc>
          <w:tcPr>
            <w:tcW w:w="3500" w:type="pct"/>
            <w:shd w:val="clear" w:color="auto" w:fill="auto"/>
          </w:tcPr>
          <w:p w14:paraId="2F6C5256" w14:textId="77777777" w:rsidR="00E93F58" w:rsidRPr="00576D60" w:rsidRDefault="00E93F58" w:rsidP="002F32E3">
            <w:pPr>
              <w:pStyle w:val="ENoteTableText"/>
            </w:pPr>
            <w:r w:rsidRPr="00576D60">
              <w:t>ad. 2005 No. 324</w:t>
            </w:r>
          </w:p>
        </w:tc>
      </w:tr>
      <w:tr w:rsidR="00E93F58" w:rsidRPr="00576D60" w14:paraId="7DC98154" w14:textId="77777777" w:rsidTr="002F32E3">
        <w:trPr>
          <w:cantSplit/>
        </w:trPr>
        <w:tc>
          <w:tcPr>
            <w:tcW w:w="1500" w:type="pct"/>
            <w:shd w:val="clear" w:color="auto" w:fill="auto"/>
          </w:tcPr>
          <w:p w14:paraId="27BD85EC" w14:textId="77777777" w:rsidR="00E93F58" w:rsidRPr="00576D60" w:rsidRDefault="00E93F58" w:rsidP="002F32E3">
            <w:pPr>
              <w:pStyle w:val="ENoteTableText"/>
              <w:tabs>
                <w:tab w:val="left" w:leader="dot" w:pos="2268"/>
              </w:tabs>
            </w:pPr>
          </w:p>
        </w:tc>
        <w:tc>
          <w:tcPr>
            <w:tcW w:w="3500" w:type="pct"/>
            <w:shd w:val="clear" w:color="auto" w:fill="auto"/>
          </w:tcPr>
          <w:p w14:paraId="2CC7886D" w14:textId="77777777" w:rsidR="00E93F58" w:rsidRPr="00576D60" w:rsidRDefault="00E93F58" w:rsidP="002F32E3">
            <w:pPr>
              <w:pStyle w:val="ENoteTableText"/>
            </w:pPr>
            <w:r w:rsidRPr="00576D60">
              <w:t>am No 102, 2014 (disallowed); No 108, 2015</w:t>
            </w:r>
          </w:p>
        </w:tc>
      </w:tr>
      <w:tr w:rsidR="00E93F58" w:rsidRPr="00576D60" w14:paraId="0DCF24D8" w14:textId="77777777" w:rsidTr="002F32E3">
        <w:trPr>
          <w:cantSplit/>
        </w:trPr>
        <w:tc>
          <w:tcPr>
            <w:tcW w:w="1500" w:type="pct"/>
            <w:shd w:val="clear" w:color="auto" w:fill="auto"/>
          </w:tcPr>
          <w:p w14:paraId="36737B83" w14:textId="77777777" w:rsidR="00E93F58" w:rsidRPr="00576D60" w:rsidRDefault="00E93F58" w:rsidP="002F32E3">
            <w:pPr>
              <w:pStyle w:val="ENoteTableText"/>
              <w:tabs>
                <w:tab w:val="left" w:leader="dot" w:pos="2268"/>
              </w:tabs>
            </w:pPr>
            <w:r w:rsidRPr="00576D60">
              <w:t>r. 7.6.02AF</w:t>
            </w:r>
            <w:r w:rsidRPr="00576D60">
              <w:tab/>
            </w:r>
          </w:p>
        </w:tc>
        <w:tc>
          <w:tcPr>
            <w:tcW w:w="3500" w:type="pct"/>
            <w:shd w:val="clear" w:color="auto" w:fill="auto"/>
          </w:tcPr>
          <w:p w14:paraId="07561E25" w14:textId="77777777" w:rsidR="00E93F58" w:rsidRPr="00576D60" w:rsidRDefault="00E93F58" w:rsidP="002F32E3">
            <w:pPr>
              <w:pStyle w:val="ENoteTableText"/>
            </w:pPr>
            <w:r w:rsidRPr="00576D60">
              <w:t>ad. 2005 No. 324</w:t>
            </w:r>
          </w:p>
        </w:tc>
      </w:tr>
      <w:tr w:rsidR="00E93F58" w:rsidRPr="00576D60" w14:paraId="5E753BFC" w14:textId="77777777" w:rsidTr="002F32E3">
        <w:trPr>
          <w:cantSplit/>
        </w:trPr>
        <w:tc>
          <w:tcPr>
            <w:tcW w:w="1500" w:type="pct"/>
            <w:shd w:val="clear" w:color="auto" w:fill="auto"/>
          </w:tcPr>
          <w:p w14:paraId="5EC53D2C" w14:textId="77777777" w:rsidR="00E93F58" w:rsidRPr="00576D60" w:rsidRDefault="00E93F58" w:rsidP="002F32E3">
            <w:pPr>
              <w:pStyle w:val="ENoteTableText"/>
              <w:tabs>
                <w:tab w:val="left" w:leader="dot" w:pos="2268"/>
              </w:tabs>
            </w:pPr>
          </w:p>
        </w:tc>
        <w:tc>
          <w:tcPr>
            <w:tcW w:w="3500" w:type="pct"/>
            <w:shd w:val="clear" w:color="auto" w:fill="auto"/>
          </w:tcPr>
          <w:p w14:paraId="4FC89E7F" w14:textId="77777777" w:rsidR="00E93F58" w:rsidRPr="00576D60" w:rsidRDefault="00E93F58" w:rsidP="002F32E3">
            <w:pPr>
              <w:pStyle w:val="ENoteTableText"/>
            </w:pPr>
            <w:r w:rsidRPr="00576D60">
              <w:t>am No 102, 2014 (disallowed); No 208, 2014</w:t>
            </w:r>
          </w:p>
        </w:tc>
      </w:tr>
      <w:tr w:rsidR="00E93F58" w:rsidRPr="00576D60" w14:paraId="4A0ED30A" w14:textId="77777777" w:rsidTr="002F32E3">
        <w:trPr>
          <w:cantSplit/>
        </w:trPr>
        <w:tc>
          <w:tcPr>
            <w:tcW w:w="1500" w:type="pct"/>
            <w:shd w:val="clear" w:color="auto" w:fill="auto"/>
          </w:tcPr>
          <w:p w14:paraId="528B282F" w14:textId="77777777" w:rsidR="00E93F58" w:rsidRPr="00576D60" w:rsidRDefault="00E93F58" w:rsidP="002F32E3">
            <w:pPr>
              <w:pStyle w:val="ENoteTableText"/>
              <w:tabs>
                <w:tab w:val="left" w:leader="dot" w:pos="2268"/>
              </w:tabs>
            </w:pPr>
            <w:r w:rsidRPr="00576D60">
              <w:t>r 7.6.02AG</w:t>
            </w:r>
            <w:r w:rsidRPr="00576D60">
              <w:tab/>
            </w:r>
          </w:p>
        </w:tc>
        <w:tc>
          <w:tcPr>
            <w:tcW w:w="3500" w:type="pct"/>
            <w:shd w:val="clear" w:color="auto" w:fill="auto"/>
          </w:tcPr>
          <w:p w14:paraId="3F9173A8" w14:textId="77777777" w:rsidR="00E93F58" w:rsidRPr="00576D60" w:rsidRDefault="00E93F58" w:rsidP="002F32E3">
            <w:pPr>
              <w:pStyle w:val="ENoteTableText"/>
            </w:pPr>
            <w:r w:rsidRPr="00576D60">
              <w:t>ad No 324, 2005</w:t>
            </w:r>
          </w:p>
        </w:tc>
      </w:tr>
      <w:tr w:rsidR="00E93F58" w:rsidRPr="00576D60" w14:paraId="5FAC16F2" w14:textId="77777777" w:rsidTr="002F32E3">
        <w:trPr>
          <w:cantSplit/>
        </w:trPr>
        <w:tc>
          <w:tcPr>
            <w:tcW w:w="1500" w:type="pct"/>
            <w:shd w:val="clear" w:color="auto" w:fill="auto"/>
          </w:tcPr>
          <w:p w14:paraId="35C30CC3" w14:textId="77777777" w:rsidR="00E93F58" w:rsidRPr="00576D60" w:rsidRDefault="00E93F58" w:rsidP="002F32E3">
            <w:pPr>
              <w:pStyle w:val="ENoteTableText"/>
            </w:pPr>
          </w:p>
        </w:tc>
        <w:tc>
          <w:tcPr>
            <w:tcW w:w="3500" w:type="pct"/>
            <w:shd w:val="clear" w:color="auto" w:fill="auto"/>
          </w:tcPr>
          <w:p w14:paraId="16CD5E6C" w14:textId="77777777" w:rsidR="00E93F58" w:rsidRPr="00576D60" w:rsidRDefault="00E93F58" w:rsidP="002F32E3">
            <w:pPr>
              <w:pStyle w:val="ENoteTableText"/>
            </w:pPr>
            <w:r w:rsidRPr="00576D60">
              <w:t>am No 42, 2012; No 59, 2013; F2018L01144; F2022L00469</w:t>
            </w:r>
          </w:p>
        </w:tc>
      </w:tr>
      <w:tr w:rsidR="00E93F58" w:rsidRPr="00576D60" w14:paraId="43FD1DAE" w14:textId="77777777" w:rsidTr="002F32E3">
        <w:trPr>
          <w:cantSplit/>
        </w:trPr>
        <w:tc>
          <w:tcPr>
            <w:tcW w:w="1500" w:type="pct"/>
            <w:shd w:val="clear" w:color="auto" w:fill="auto"/>
          </w:tcPr>
          <w:p w14:paraId="67F92737" w14:textId="77777777" w:rsidR="00E93F58" w:rsidRPr="00576D60" w:rsidRDefault="00E93F58" w:rsidP="002F32E3">
            <w:pPr>
              <w:pStyle w:val="ENoteTableText"/>
              <w:tabs>
                <w:tab w:val="left" w:leader="dot" w:pos="2268"/>
              </w:tabs>
            </w:pPr>
            <w:r w:rsidRPr="00576D60">
              <w:t>r 7.6.02AGA</w:t>
            </w:r>
            <w:r w:rsidRPr="00576D60">
              <w:tab/>
            </w:r>
          </w:p>
        </w:tc>
        <w:tc>
          <w:tcPr>
            <w:tcW w:w="3500" w:type="pct"/>
            <w:shd w:val="clear" w:color="auto" w:fill="auto"/>
          </w:tcPr>
          <w:p w14:paraId="5C6258FF" w14:textId="77777777" w:rsidR="00E93F58" w:rsidRPr="00576D60" w:rsidRDefault="00E93F58" w:rsidP="002F32E3">
            <w:pPr>
              <w:pStyle w:val="ENoteTableText"/>
            </w:pPr>
            <w:r w:rsidRPr="00576D60">
              <w:t>ad No 42, 2012</w:t>
            </w:r>
          </w:p>
        </w:tc>
      </w:tr>
      <w:tr w:rsidR="00E93F58" w:rsidRPr="00576D60" w14:paraId="32A85F5E" w14:textId="77777777" w:rsidTr="002F32E3">
        <w:trPr>
          <w:cantSplit/>
        </w:trPr>
        <w:tc>
          <w:tcPr>
            <w:tcW w:w="1500" w:type="pct"/>
            <w:shd w:val="clear" w:color="auto" w:fill="auto"/>
          </w:tcPr>
          <w:p w14:paraId="60687D64" w14:textId="77777777" w:rsidR="00E93F58" w:rsidRPr="00576D60" w:rsidRDefault="00E93F58" w:rsidP="002F32E3">
            <w:pPr>
              <w:pStyle w:val="ENoteTableText"/>
              <w:tabs>
                <w:tab w:val="left" w:leader="dot" w:pos="2268"/>
              </w:tabs>
            </w:pPr>
          </w:p>
        </w:tc>
        <w:tc>
          <w:tcPr>
            <w:tcW w:w="3500" w:type="pct"/>
            <w:shd w:val="clear" w:color="auto" w:fill="auto"/>
          </w:tcPr>
          <w:p w14:paraId="239F55B9" w14:textId="77777777" w:rsidR="00E93F58" w:rsidRPr="00576D60" w:rsidRDefault="00E93F58" w:rsidP="002F32E3">
            <w:pPr>
              <w:pStyle w:val="ENoteTableText"/>
            </w:pPr>
            <w:r w:rsidRPr="00576D60">
              <w:t>rep F2022L01689</w:t>
            </w:r>
          </w:p>
        </w:tc>
      </w:tr>
      <w:tr w:rsidR="00E93F58" w:rsidRPr="00576D60" w14:paraId="15BE67E0" w14:textId="77777777" w:rsidTr="002F32E3">
        <w:trPr>
          <w:cantSplit/>
        </w:trPr>
        <w:tc>
          <w:tcPr>
            <w:tcW w:w="1500" w:type="pct"/>
            <w:shd w:val="clear" w:color="auto" w:fill="auto"/>
          </w:tcPr>
          <w:p w14:paraId="005F65BB" w14:textId="77777777" w:rsidR="00E93F58" w:rsidRPr="00576D60" w:rsidRDefault="00E93F58" w:rsidP="002F32E3">
            <w:pPr>
              <w:pStyle w:val="ENoteTableText"/>
              <w:tabs>
                <w:tab w:val="left" w:leader="dot" w:pos="2268"/>
              </w:tabs>
            </w:pPr>
            <w:r w:rsidRPr="00576D60">
              <w:t>r. 7.6.02AH</w:t>
            </w:r>
            <w:r w:rsidRPr="00576D60">
              <w:tab/>
            </w:r>
          </w:p>
        </w:tc>
        <w:tc>
          <w:tcPr>
            <w:tcW w:w="3500" w:type="pct"/>
            <w:shd w:val="clear" w:color="auto" w:fill="auto"/>
          </w:tcPr>
          <w:p w14:paraId="66CE5C78" w14:textId="77777777" w:rsidR="00E93F58" w:rsidRPr="00576D60" w:rsidRDefault="00E93F58" w:rsidP="002F32E3">
            <w:pPr>
              <w:pStyle w:val="ENoteTableText"/>
            </w:pPr>
            <w:r w:rsidRPr="00576D60">
              <w:t>ad. 2005 No. 324</w:t>
            </w:r>
          </w:p>
        </w:tc>
      </w:tr>
      <w:tr w:rsidR="00E93F58" w:rsidRPr="00576D60" w14:paraId="593C5DCB" w14:textId="77777777" w:rsidTr="002F32E3">
        <w:trPr>
          <w:cantSplit/>
        </w:trPr>
        <w:tc>
          <w:tcPr>
            <w:tcW w:w="1500" w:type="pct"/>
            <w:shd w:val="clear" w:color="auto" w:fill="auto"/>
          </w:tcPr>
          <w:p w14:paraId="44A3BD0A" w14:textId="77777777" w:rsidR="00E93F58" w:rsidRPr="00576D60" w:rsidRDefault="00E93F58" w:rsidP="002F32E3">
            <w:pPr>
              <w:pStyle w:val="ENoteTableText"/>
            </w:pPr>
          </w:p>
        </w:tc>
        <w:tc>
          <w:tcPr>
            <w:tcW w:w="3500" w:type="pct"/>
            <w:shd w:val="clear" w:color="auto" w:fill="auto"/>
          </w:tcPr>
          <w:p w14:paraId="5897F91B" w14:textId="77777777" w:rsidR="00E93F58" w:rsidRPr="00576D60" w:rsidRDefault="00E93F58" w:rsidP="002F32E3">
            <w:pPr>
              <w:pStyle w:val="ENoteTableText"/>
            </w:pPr>
            <w:r w:rsidRPr="00576D60">
              <w:t>am. No. 59, 2013</w:t>
            </w:r>
          </w:p>
        </w:tc>
      </w:tr>
      <w:tr w:rsidR="00E93F58" w:rsidRPr="00576D60" w14:paraId="4483D96F" w14:textId="77777777" w:rsidTr="002F32E3">
        <w:trPr>
          <w:cantSplit/>
        </w:trPr>
        <w:tc>
          <w:tcPr>
            <w:tcW w:w="1500" w:type="pct"/>
            <w:shd w:val="clear" w:color="auto" w:fill="auto"/>
          </w:tcPr>
          <w:p w14:paraId="7BE71E8B" w14:textId="77777777" w:rsidR="00E93F58" w:rsidRPr="00576D60" w:rsidRDefault="00E93F58" w:rsidP="002F32E3">
            <w:pPr>
              <w:pStyle w:val="ENoteTableText"/>
              <w:tabs>
                <w:tab w:val="left" w:leader="dot" w:pos="2268"/>
              </w:tabs>
            </w:pPr>
            <w:r w:rsidRPr="00576D60">
              <w:t>r 7.6.02AI</w:t>
            </w:r>
            <w:r w:rsidRPr="00576D60">
              <w:tab/>
            </w:r>
          </w:p>
        </w:tc>
        <w:tc>
          <w:tcPr>
            <w:tcW w:w="3500" w:type="pct"/>
            <w:shd w:val="clear" w:color="auto" w:fill="auto"/>
          </w:tcPr>
          <w:p w14:paraId="6C8BA69D" w14:textId="77777777" w:rsidR="00E93F58" w:rsidRPr="00576D60" w:rsidRDefault="00E93F58" w:rsidP="002F32E3">
            <w:pPr>
              <w:pStyle w:val="ENoteTableText"/>
            </w:pPr>
            <w:r w:rsidRPr="00576D60">
              <w:t>ad No 3, 2015</w:t>
            </w:r>
          </w:p>
        </w:tc>
      </w:tr>
      <w:tr w:rsidR="00E93F58" w:rsidRPr="00576D60" w14:paraId="6F970309" w14:textId="77777777" w:rsidTr="002F32E3">
        <w:trPr>
          <w:cantSplit/>
        </w:trPr>
        <w:tc>
          <w:tcPr>
            <w:tcW w:w="1500" w:type="pct"/>
            <w:shd w:val="clear" w:color="auto" w:fill="auto"/>
          </w:tcPr>
          <w:p w14:paraId="11394FAB" w14:textId="77777777" w:rsidR="00E93F58" w:rsidRPr="00576D60" w:rsidRDefault="00E93F58" w:rsidP="002F32E3">
            <w:pPr>
              <w:pStyle w:val="ENoteTableText"/>
              <w:tabs>
                <w:tab w:val="left" w:leader="dot" w:pos="2268"/>
              </w:tabs>
            </w:pPr>
          </w:p>
        </w:tc>
        <w:tc>
          <w:tcPr>
            <w:tcW w:w="3500" w:type="pct"/>
            <w:shd w:val="clear" w:color="auto" w:fill="auto"/>
          </w:tcPr>
          <w:p w14:paraId="5EB20C84" w14:textId="77777777" w:rsidR="00E93F58" w:rsidRPr="00576D60" w:rsidRDefault="00E93F58" w:rsidP="002F32E3">
            <w:pPr>
              <w:pStyle w:val="ENoteTableText"/>
              <w:rPr>
                <w:u w:val="single"/>
              </w:rPr>
            </w:pPr>
            <w:r w:rsidRPr="00576D60">
              <w:t>rep F2017L00117</w:t>
            </w:r>
          </w:p>
        </w:tc>
      </w:tr>
      <w:tr w:rsidR="00E93F58" w:rsidRPr="00576D60" w14:paraId="1395B6C3" w14:textId="77777777" w:rsidTr="002F32E3">
        <w:trPr>
          <w:cantSplit/>
        </w:trPr>
        <w:tc>
          <w:tcPr>
            <w:tcW w:w="1500" w:type="pct"/>
            <w:shd w:val="clear" w:color="auto" w:fill="auto"/>
          </w:tcPr>
          <w:p w14:paraId="0F5C5D5E" w14:textId="77777777" w:rsidR="00E93F58" w:rsidRPr="00576D60" w:rsidRDefault="00E93F58" w:rsidP="002F32E3">
            <w:pPr>
              <w:pStyle w:val="ENoteTableText"/>
              <w:tabs>
                <w:tab w:val="left" w:leader="dot" w:pos="2268"/>
              </w:tabs>
            </w:pPr>
            <w:r w:rsidRPr="00576D60">
              <w:t>r 7.6.02A</w:t>
            </w:r>
            <w:r w:rsidRPr="00576D60">
              <w:tab/>
            </w:r>
          </w:p>
        </w:tc>
        <w:tc>
          <w:tcPr>
            <w:tcW w:w="3500" w:type="pct"/>
            <w:shd w:val="clear" w:color="auto" w:fill="auto"/>
          </w:tcPr>
          <w:p w14:paraId="6576A49B" w14:textId="77777777" w:rsidR="00E93F58" w:rsidRPr="00576D60" w:rsidRDefault="00E93F58" w:rsidP="002F32E3">
            <w:pPr>
              <w:pStyle w:val="ENoteTableText"/>
            </w:pPr>
            <w:r w:rsidRPr="00576D60">
              <w:t>ad No 369, 2003</w:t>
            </w:r>
          </w:p>
        </w:tc>
      </w:tr>
      <w:tr w:rsidR="00E93F58" w:rsidRPr="00576D60" w14:paraId="05EA4BE3" w14:textId="77777777" w:rsidTr="002F32E3">
        <w:trPr>
          <w:cantSplit/>
        </w:trPr>
        <w:tc>
          <w:tcPr>
            <w:tcW w:w="1500" w:type="pct"/>
            <w:shd w:val="clear" w:color="auto" w:fill="auto"/>
          </w:tcPr>
          <w:p w14:paraId="71911241" w14:textId="77777777" w:rsidR="00E93F58" w:rsidRPr="00576D60" w:rsidRDefault="00E93F58" w:rsidP="002F32E3">
            <w:pPr>
              <w:pStyle w:val="ENoteTableText"/>
            </w:pPr>
          </w:p>
        </w:tc>
        <w:tc>
          <w:tcPr>
            <w:tcW w:w="3500" w:type="pct"/>
            <w:shd w:val="clear" w:color="auto" w:fill="auto"/>
          </w:tcPr>
          <w:p w14:paraId="65764963" w14:textId="77777777" w:rsidR="00E93F58" w:rsidRPr="00576D60" w:rsidRDefault="00E93F58" w:rsidP="002F32E3">
            <w:pPr>
              <w:pStyle w:val="ENoteTableText"/>
            </w:pPr>
            <w:r w:rsidRPr="00576D60">
              <w:t>am No 42, 2012; F2018L00515; F2021L01072; F2021L01854</w:t>
            </w:r>
          </w:p>
        </w:tc>
      </w:tr>
      <w:tr w:rsidR="00E93F58" w:rsidRPr="00576D60" w14:paraId="129BB214" w14:textId="77777777" w:rsidTr="002F32E3">
        <w:trPr>
          <w:cantSplit/>
        </w:trPr>
        <w:tc>
          <w:tcPr>
            <w:tcW w:w="1500" w:type="pct"/>
            <w:shd w:val="clear" w:color="auto" w:fill="auto"/>
          </w:tcPr>
          <w:p w14:paraId="086DECAE" w14:textId="77777777" w:rsidR="00E93F58" w:rsidRPr="00576D60" w:rsidRDefault="00E93F58" w:rsidP="002F32E3">
            <w:pPr>
              <w:pStyle w:val="ENoteTableText"/>
              <w:tabs>
                <w:tab w:val="left" w:leader="dot" w:pos="2268"/>
              </w:tabs>
            </w:pPr>
            <w:r w:rsidRPr="00576D60">
              <w:t>r. 7.6.03</w:t>
            </w:r>
            <w:r w:rsidRPr="00576D60">
              <w:tab/>
            </w:r>
          </w:p>
        </w:tc>
        <w:tc>
          <w:tcPr>
            <w:tcW w:w="3500" w:type="pct"/>
            <w:shd w:val="clear" w:color="auto" w:fill="auto"/>
          </w:tcPr>
          <w:p w14:paraId="7C1D7EF0" w14:textId="77777777" w:rsidR="00E93F58" w:rsidRPr="00576D60" w:rsidRDefault="00E93F58" w:rsidP="002F32E3">
            <w:pPr>
              <w:pStyle w:val="ENoteTableText"/>
            </w:pPr>
            <w:r w:rsidRPr="00576D60">
              <w:t>ad. 2001 No. 319</w:t>
            </w:r>
          </w:p>
        </w:tc>
      </w:tr>
      <w:tr w:rsidR="00E93F58" w:rsidRPr="00576D60" w14:paraId="3696C016" w14:textId="77777777" w:rsidTr="002F32E3">
        <w:trPr>
          <w:cantSplit/>
        </w:trPr>
        <w:tc>
          <w:tcPr>
            <w:tcW w:w="1500" w:type="pct"/>
            <w:shd w:val="clear" w:color="auto" w:fill="auto"/>
          </w:tcPr>
          <w:p w14:paraId="7A0B6A86" w14:textId="77777777" w:rsidR="00E93F58" w:rsidRPr="00576D60" w:rsidRDefault="00E93F58" w:rsidP="002F32E3">
            <w:pPr>
              <w:pStyle w:val="ENoteTableText"/>
              <w:tabs>
                <w:tab w:val="left" w:leader="dot" w:pos="2268"/>
              </w:tabs>
            </w:pPr>
            <w:r w:rsidRPr="00576D60">
              <w:t>r. 7.6.03A</w:t>
            </w:r>
            <w:r w:rsidRPr="00576D60">
              <w:tab/>
            </w:r>
          </w:p>
        </w:tc>
        <w:tc>
          <w:tcPr>
            <w:tcW w:w="3500" w:type="pct"/>
            <w:shd w:val="clear" w:color="auto" w:fill="auto"/>
          </w:tcPr>
          <w:p w14:paraId="23029EE7" w14:textId="77777777" w:rsidR="00E93F58" w:rsidRPr="00576D60" w:rsidRDefault="00E93F58" w:rsidP="002F32E3">
            <w:pPr>
              <w:pStyle w:val="ENoteTableText"/>
            </w:pPr>
            <w:r w:rsidRPr="00576D60">
              <w:t>ad. 2003 No. 282</w:t>
            </w:r>
          </w:p>
        </w:tc>
      </w:tr>
      <w:tr w:rsidR="00E93F58" w:rsidRPr="00576D60" w14:paraId="09391019" w14:textId="77777777" w:rsidTr="002F32E3">
        <w:trPr>
          <w:cantSplit/>
        </w:trPr>
        <w:tc>
          <w:tcPr>
            <w:tcW w:w="1500" w:type="pct"/>
            <w:shd w:val="clear" w:color="auto" w:fill="auto"/>
          </w:tcPr>
          <w:p w14:paraId="5053E05C" w14:textId="77777777" w:rsidR="00E93F58" w:rsidRPr="00576D60" w:rsidRDefault="00E93F58" w:rsidP="002F32E3">
            <w:pPr>
              <w:pStyle w:val="ENoteTableText"/>
              <w:tabs>
                <w:tab w:val="left" w:leader="dot" w:pos="2268"/>
              </w:tabs>
            </w:pPr>
            <w:r w:rsidRPr="00576D60">
              <w:t>r. 7.6.03B</w:t>
            </w:r>
            <w:r w:rsidRPr="00576D60">
              <w:tab/>
            </w:r>
          </w:p>
        </w:tc>
        <w:tc>
          <w:tcPr>
            <w:tcW w:w="3500" w:type="pct"/>
            <w:shd w:val="clear" w:color="auto" w:fill="auto"/>
          </w:tcPr>
          <w:p w14:paraId="3CD3177E" w14:textId="77777777" w:rsidR="00E93F58" w:rsidRPr="00576D60" w:rsidRDefault="00E93F58" w:rsidP="002F32E3">
            <w:pPr>
              <w:pStyle w:val="ENoteTableText"/>
            </w:pPr>
            <w:r w:rsidRPr="00576D60">
              <w:t>ad. 2003 No. 282</w:t>
            </w:r>
          </w:p>
        </w:tc>
      </w:tr>
      <w:tr w:rsidR="00E93F58" w:rsidRPr="00576D60" w14:paraId="7E6D132C" w14:textId="77777777" w:rsidTr="002F32E3">
        <w:trPr>
          <w:cantSplit/>
        </w:trPr>
        <w:tc>
          <w:tcPr>
            <w:tcW w:w="1500" w:type="pct"/>
            <w:shd w:val="clear" w:color="auto" w:fill="auto"/>
          </w:tcPr>
          <w:p w14:paraId="6D2B41F5" w14:textId="77777777" w:rsidR="00E93F58" w:rsidRPr="00576D60" w:rsidRDefault="00E93F58" w:rsidP="002F32E3">
            <w:pPr>
              <w:pStyle w:val="ENoteTableText"/>
              <w:tabs>
                <w:tab w:val="left" w:leader="dot" w:pos="2268"/>
              </w:tabs>
            </w:pPr>
            <w:r w:rsidRPr="00576D60">
              <w:t>r 7.6.03C</w:t>
            </w:r>
            <w:r w:rsidRPr="00576D60">
              <w:tab/>
            </w:r>
          </w:p>
        </w:tc>
        <w:tc>
          <w:tcPr>
            <w:tcW w:w="3500" w:type="pct"/>
            <w:shd w:val="clear" w:color="auto" w:fill="auto"/>
          </w:tcPr>
          <w:p w14:paraId="2F8E3AA8" w14:textId="77777777" w:rsidR="00E93F58" w:rsidRPr="00576D60" w:rsidRDefault="00E93F58" w:rsidP="002F32E3">
            <w:pPr>
              <w:pStyle w:val="ENoteTableText"/>
            </w:pPr>
            <w:r w:rsidRPr="00576D60">
              <w:t>ad F2019L00537</w:t>
            </w:r>
          </w:p>
        </w:tc>
      </w:tr>
      <w:tr w:rsidR="00E93F58" w:rsidRPr="00576D60" w14:paraId="02E7E04A" w14:textId="77777777" w:rsidTr="002F32E3">
        <w:trPr>
          <w:cantSplit/>
        </w:trPr>
        <w:tc>
          <w:tcPr>
            <w:tcW w:w="1500" w:type="pct"/>
            <w:shd w:val="clear" w:color="auto" w:fill="auto"/>
          </w:tcPr>
          <w:p w14:paraId="39857E83" w14:textId="77777777" w:rsidR="00E93F58" w:rsidRPr="00576D60" w:rsidRDefault="00E93F58" w:rsidP="002F32E3">
            <w:pPr>
              <w:pStyle w:val="ENoteTableText"/>
              <w:tabs>
                <w:tab w:val="left" w:leader="dot" w:pos="2268"/>
              </w:tabs>
            </w:pPr>
            <w:r w:rsidRPr="00576D60">
              <w:t>r 7.6.03D</w:t>
            </w:r>
            <w:r w:rsidRPr="00576D60">
              <w:tab/>
            </w:r>
          </w:p>
        </w:tc>
        <w:tc>
          <w:tcPr>
            <w:tcW w:w="3500" w:type="pct"/>
            <w:shd w:val="clear" w:color="auto" w:fill="auto"/>
          </w:tcPr>
          <w:p w14:paraId="5153476C" w14:textId="77777777" w:rsidR="00E93F58" w:rsidRPr="00576D60" w:rsidRDefault="00E93F58" w:rsidP="002F32E3">
            <w:pPr>
              <w:pStyle w:val="ENoteTableText"/>
            </w:pPr>
            <w:r w:rsidRPr="00576D60">
              <w:t>ad F2021L01801 (disallowed)</w:t>
            </w:r>
          </w:p>
        </w:tc>
      </w:tr>
      <w:tr w:rsidR="00E93F58" w:rsidRPr="00576D60" w14:paraId="4BA36006" w14:textId="77777777" w:rsidTr="002F32E3">
        <w:trPr>
          <w:cantSplit/>
        </w:trPr>
        <w:tc>
          <w:tcPr>
            <w:tcW w:w="1500" w:type="pct"/>
            <w:shd w:val="clear" w:color="auto" w:fill="auto"/>
          </w:tcPr>
          <w:p w14:paraId="1494397F" w14:textId="77777777" w:rsidR="00E93F58" w:rsidRPr="00576D60" w:rsidRDefault="00E93F58" w:rsidP="002F32E3">
            <w:pPr>
              <w:pStyle w:val="ENoteTableText"/>
              <w:tabs>
                <w:tab w:val="left" w:leader="dot" w:pos="2268"/>
              </w:tabs>
            </w:pPr>
            <w:r w:rsidRPr="00576D60">
              <w:t>r 7.6.04</w:t>
            </w:r>
            <w:r w:rsidRPr="00576D60">
              <w:tab/>
            </w:r>
          </w:p>
        </w:tc>
        <w:tc>
          <w:tcPr>
            <w:tcW w:w="3500" w:type="pct"/>
            <w:shd w:val="clear" w:color="auto" w:fill="auto"/>
          </w:tcPr>
          <w:p w14:paraId="156E82FA" w14:textId="77777777" w:rsidR="00E93F58" w:rsidRPr="00576D60" w:rsidRDefault="00E93F58" w:rsidP="002F32E3">
            <w:pPr>
              <w:pStyle w:val="ENoteTableText"/>
            </w:pPr>
            <w:r w:rsidRPr="00576D60">
              <w:t>ad No 319, 2001</w:t>
            </w:r>
          </w:p>
        </w:tc>
      </w:tr>
      <w:tr w:rsidR="00E93F58" w:rsidRPr="00576D60" w14:paraId="755FB586" w14:textId="77777777" w:rsidTr="002F32E3">
        <w:trPr>
          <w:cantSplit/>
        </w:trPr>
        <w:tc>
          <w:tcPr>
            <w:tcW w:w="1500" w:type="pct"/>
            <w:shd w:val="clear" w:color="auto" w:fill="auto"/>
          </w:tcPr>
          <w:p w14:paraId="55A7B0A7" w14:textId="77777777" w:rsidR="00E93F58" w:rsidRPr="00576D60" w:rsidRDefault="00E93F58" w:rsidP="002F32E3">
            <w:pPr>
              <w:pStyle w:val="ENoteTableText"/>
            </w:pPr>
          </w:p>
        </w:tc>
        <w:tc>
          <w:tcPr>
            <w:tcW w:w="3500" w:type="pct"/>
            <w:shd w:val="clear" w:color="auto" w:fill="auto"/>
          </w:tcPr>
          <w:p w14:paraId="1D30D4C8" w14:textId="77777777" w:rsidR="00E93F58" w:rsidRPr="00576D60" w:rsidRDefault="00E93F58" w:rsidP="002F32E3">
            <w:pPr>
              <w:pStyle w:val="ENoteTableText"/>
            </w:pPr>
            <w:r w:rsidRPr="00576D60">
              <w:t>am No 16, 2002; No 41</w:t>
            </w:r>
            <w:r>
              <w:t>,</w:t>
            </w:r>
            <w:r w:rsidRPr="00576D60">
              <w:t xml:space="preserve"> 2002; No 101, 2013; No 155, 2013; No 135, 2015; F2019L01641; F2021L01608; F2022L00469; F2022L01614</w:t>
            </w:r>
            <w:r>
              <w:t>; F2023L01458</w:t>
            </w:r>
          </w:p>
        </w:tc>
      </w:tr>
      <w:tr w:rsidR="00E93F58" w:rsidRPr="00576D60" w14:paraId="14288AAF" w14:textId="77777777" w:rsidTr="002F32E3">
        <w:trPr>
          <w:cantSplit/>
        </w:trPr>
        <w:tc>
          <w:tcPr>
            <w:tcW w:w="1500" w:type="pct"/>
            <w:shd w:val="clear" w:color="auto" w:fill="auto"/>
          </w:tcPr>
          <w:p w14:paraId="73C3D0B6" w14:textId="77777777" w:rsidR="00E93F58" w:rsidRPr="00576D60" w:rsidRDefault="00E93F58" w:rsidP="002F32E3">
            <w:pPr>
              <w:pStyle w:val="ENoteTableText"/>
              <w:tabs>
                <w:tab w:val="left" w:leader="dot" w:pos="2268"/>
              </w:tabs>
            </w:pPr>
            <w:r w:rsidRPr="00576D60">
              <w:t>r 7.6.04AA</w:t>
            </w:r>
            <w:r w:rsidRPr="00576D60">
              <w:tab/>
            </w:r>
          </w:p>
        </w:tc>
        <w:tc>
          <w:tcPr>
            <w:tcW w:w="3500" w:type="pct"/>
            <w:shd w:val="clear" w:color="auto" w:fill="auto"/>
          </w:tcPr>
          <w:p w14:paraId="3A2AB9D9" w14:textId="77777777" w:rsidR="00E93F58" w:rsidRPr="00576D60" w:rsidRDefault="00E93F58" w:rsidP="002F32E3">
            <w:pPr>
              <w:pStyle w:val="ENoteTableText"/>
            </w:pPr>
            <w:r w:rsidRPr="00576D60">
              <w:t>ad No 135, 2015</w:t>
            </w:r>
          </w:p>
        </w:tc>
      </w:tr>
      <w:tr w:rsidR="00E93F58" w:rsidRPr="00576D60" w14:paraId="2954E5B4" w14:textId="77777777" w:rsidTr="002F32E3">
        <w:trPr>
          <w:cantSplit/>
        </w:trPr>
        <w:tc>
          <w:tcPr>
            <w:tcW w:w="1500" w:type="pct"/>
            <w:shd w:val="clear" w:color="auto" w:fill="auto"/>
          </w:tcPr>
          <w:p w14:paraId="725D0EAC" w14:textId="77777777" w:rsidR="00E93F58" w:rsidRPr="00576D60" w:rsidRDefault="00E93F58" w:rsidP="002F32E3">
            <w:pPr>
              <w:pStyle w:val="ENoteTableText"/>
              <w:tabs>
                <w:tab w:val="left" w:leader="dot" w:pos="2268"/>
              </w:tabs>
            </w:pPr>
            <w:r w:rsidRPr="00576D60">
              <w:t>r. 7.6.04A</w:t>
            </w:r>
            <w:r w:rsidRPr="00576D60">
              <w:tab/>
            </w:r>
          </w:p>
        </w:tc>
        <w:tc>
          <w:tcPr>
            <w:tcW w:w="3500" w:type="pct"/>
            <w:shd w:val="clear" w:color="auto" w:fill="auto"/>
          </w:tcPr>
          <w:p w14:paraId="7708D80A" w14:textId="77777777" w:rsidR="00E93F58" w:rsidRPr="00576D60" w:rsidRDefault="00E93F58" w:rsidP="002F32E3">
            <w:pPr>
              <w:pStyle w:val="ENoteTableText"/>
            </w:pPr>
            <w:r w:rsidRPr="00576D60">
              <w:t>ad. 2003 No. 369</w:t>
            </w:r>
          </w:p>
        </w:tc>
      </w:tr>
      <w:tr w:rsidR="00E93F58" w:rsidRPr="00576D60" w14:paraId="23F9DB9A" w14:textId="77777777" w:rsidTr="002F32E3">
        <w:trPr>
          <w:cantSplit/>
        </w:trPr>
        <w:tc>
          <w:tcPr>
            <w:tcW w:w="1500" w:type="pct"/>
            <w:shd w:val="clear" w:color="auto" w:fill="auto"/>
          </w:tcPr>
          <w:p w14:paraId="38FCFDC9" w14:textId="77777777" w:rsidR="00E93F58" w:rsidRPr="00576D60" w:rsidRDefault="00E93F58" w:rsidP="002F32E3">
            <w:pPr>
              <w:pStyle w:val="ENoteTableText"/>
            </w:pPr>
          </w:p>
        </w:tc>
        <w:tc>
          <w:tcPr>
            <w:tcW w:w="3500" w:type="pct"/>
            <w:shd w:val="clear" w:color="auto" w:fill="auto"/>
          </w:tcPr>
          <w:p w14:paraId="5CA0E83A" w14:textId="77777777" w:rsidR="00E93F58" w:rsidRPr="00576D60" w:rsidRDefault="00E93F58" w:rsidP="002F32E3">
            <w:pPr>
              <w:pStyle w:val="ENoteTableText"/>
            </w:pPr>
            <w:r w:rsidRPr="00576D60">
              <w:t>am. 2005 No. 324; 2008 No. 158; No 91, 2015</w:t>
            </w:r>
          </w:p>
        </w:tc>
      </w:tr>
      <w:tr w:rsidR="00E93F58" w:rsidRPr="00576D60" w14:paraId="7773B9AB" w14:textId="77777777" w:rsidTr="002F32E3">
        <w:trPr>
          <w:cantSplit/>
        </w:trPr>
        <w:tc>
          <w:tcPr>
            <w:tcW w:w="1500" w:type="pct"/>
            <w:shd w:val="clear" w:color="auto" w:fill="auto"/>
          </w:tcPr>
          <w:p w14:paraId="436A7751" w14:textId="77777777" w:rsidR="00E93F58" w:rsidRPr="00576D60" w:rsidRDefault="00E93F58" w:rsidP="002F32E3">
            <w:pPr>
              <w:pStyle w:val="ENoteTableText"/>
              <w:tabs>
                <w:tab w:val="left" w:leader="dot" w:pos="2268"/>
              </w:tabs>
            </w:pPr>
            <w:r w:rsidRPr="00576D60">
              <w:t>r. 7.6.04B</w:t>
            </w:r>
            <w:r w:rsidRPr="00576D60">
              <w:tab/>
            </w:r>
          </w:p>
        </w:tc>
        <w:tc>
          <w:tcPr>
            <w:tcW w:w="3500" w:type="pct"/>
            <w:shd w:val="clear" w:color="auto" w:fill="auto"/>
          </w:tcPr>
          <w:p w14:paraId="66702621" w14:textId="77777777" w:rsidR="00E93F58" w:rsidRPr="00576D60" w:rsidRDefault="00E93F58" w:rsidP="002F32E3">
            <w:pPr>
              <w:pStyle w:val="ENoteTableText"/>
            </w:pPr>
            <w:r w:rsidRPr="00576D60">
              <w:t>ad. 2004 No. 25</w:t>
            </w:r>
          </w:p>
        </w:tc>
      </w:tr>
      <w:tr w:rsidR="00E93F58" w:rsidRPr="00576D60" w14:paraId="2F0CE2CA" w14:textId="77777777" w:rsidTr="002F32E3">
        <w:trPr>
          <w:cantSplit/>
        </w:trPr>
        <w:tc>
          <w:tcPr>
            <w:tcW w:w="1500" w:type="pct"/>
            <w:shd w:val="clear" w:color="auto" w:fill="auto"/>
          </w:tcPr>
          <w:p w14:paraId="2DA6D4BA" w14:textId="77777777" w:rsidR="00E93F58" w:rsidRPr="00576D60" w:rsidRDefault="00E93F58" w:rsidP="002F32E3">
            <w:pPr>
              <w:pStyle w:val="ENoteTableText"/>
            </w:pPr>
          </w:p>
        </w:tc>
        <w:tc>
          <w:tcPr>
            <w:tcW w:w="3500" w:type="pct"/>
            <w:shd w:val="clear" w:color="auto" w:fill="auto"/>
          </w:tcPr>
          <w:p w14:paraId="743BA3EE" w14:textId="77777777" w:rsidR="00E93F58" w:rsidRPr="00576D60" w:rsidRDefault="00E93F58" w:rsidP="002F32E3">
            <w:pPr>
              <w:pStyle w:val="ENoteTableText"/>
            </w:pPr>
            <w:r w:rsidRPr="00576D60">
              <w:t>rep. 2005 No. 324</w:t>
            </w:r>
          </w:p>
        </w:tc>
      </w:tr>
      <w:tr w:rsidR="00E93F58" w:rsidRPr="00576D60" w14:paraId="56DDFABE" w14:textId="77777777" w:rsidTr="002F32E3">
        <w:trPr>
          <w:cantSplit/>
        </w:trPr>
        <w:tc>
          <w:tcPr>
            <w:tcW w:w="1500" w:type="pct"/>
            <w:shd w:val="clear" w:color="auto" w:fill="auto"/>
          </w:tcPr>
          <w:p w14:paraId="1C6526A4" w14:textId="77777777" w:rsidR="00E93F58" w:rsidRPr="00576D60" w:rsidRDefault="00E93F58" w:rsidP="002F32E3">
            <w:pPr>
              <w:pStyle w:val="ENoteTableText"/>
              <w:tabs>
                <w:tab w:val="left" w:leader="dot" w:pos="2268"/>
              </w:tabs>
            </w:pPr>
            <w:r w:rsidRPr="00576D60">
              <w:t>r. 7.6.05</w:t>
            </w:r>
            <w:r w:rsidRPr="00576D60">
              <w:tab/>
            </w:r>
          </w:p>
        </w:tc>
        <w:tc>
          <w:tcPr>
            <w:tcW w:w="3500" w:type="pct"/>
            <w:shd w:val="clear" w:color="auto" w:fill="auto"/>
          </w:tcPr>
          <w:p w14:paraId="6F883173" w14:textId="77777777" w:rsidR="00E93F58" w:rsidRPr="00576D60" w:rsidRDefault="00E93F58" w:rsidP="002F32E3">
            <w:pPr>
              <w:pStyle w:val="ENoteTableText"/>
            </w:pPr>
            <w:r w:rsidRPr="00576D60">
              <w:t>ad. 2001 No. 319</w:t>
            </w:r>
          </w:p>
        </w:tc>
      </w:tr>
      <w:tr w:rsidR="00E93F58" w:rsidRPr="00576D60" w14:paraId="260B63DF" w14:textId="77777777" w:rsidTr="002F32E3">
        <w:trPr>
          <w:cantSplit/>
        </w:trPr>
        <w:tc>
          <w:tcPr>
            <w:tcW w:w="1500" w:type="pct"/>
            <w:shd w:val="clear" w:color="auto" w:fill="auto"/>
          </w:tcPr>
          <w:p w14:paraId="1CE92F81" w14:textId="77777777" w:rsidR="00E93F58" w:rsidRPr="00576D60" w:rsidRDefault="00E93F58" w:rsidP="002F32E3">
            <w:pPr>
              <w:pStyle w:val="ENoteTableText"/>
              <w:tabs>
                <w:tab w:val="left" w:leader="dot" w:pos="2268"/>
              </w:tabs>
            </w:pPr>
            <w:r w:rsidRPr="00576D60">
              <w:t>r. 7.6.06</w:t>
            </w:r>
            <w:r w:rsidRPr="00576D60">
              <w:tab/>
            </w:r>
          </w:p>
        </w:tc>
        <w:tc>
          <w:tcPr>
            <w:tcW w:w="3500" w:type="pct"/>
            <w:shd w:val="clear" w:color="auto" w:fill="auto"/>
          </w:tcPr>
          <w:p w14:paraId="38D03198" w14:textId="77777777" w:rsidR="00E93F58" w:rsidRPr="00576D60" w:rsidRDefault="00E93F58" w:rsidP="002F32E3">
            <w:pPr>
              <w:pStyle w:val="ENoteTableText"/>
            </w:pPr>
            <w:r w:rsidRPr="00576D60">
              <w:t>ad. 2001 No. 319</w:t>
            </w:r>
          </w:p>
        </w:tc>
      </w:tr>
      <w:tr w:rsidR="00E93F58" w:rsidRPr="00576D60" w14:paraId="2C347E52" w14:textId="77777777" w:rsidTr="002F32E3">
        <w:trPr>
          <w:cantSplit/>
        </w:trPr>
        <w:tc>
          <w:tcPr>
            <w:tcW w:w="1500" w:type="pct"/>
            <w:shd w:val="clear" w:color="auto" w:fill="auto"/>
          </w:tcPr>
          <w:p w14:paraId="1E0318B6" w14:textId="77777777" w:rsidR="00E93F58" w:rsidRPr="00576D60" w:rsidRDefault="00E93F58" w:rsidP="002F32E3">
            <w:pPr>
              <w:pStyle w:val="ENoteTableText"/>
              <w:tabs>
                <w:tab w:val="left" w:leader="dot" w:pos="2268"/>
              </w:tabs>
            </w:pPr>
            <w:r w:rsidRPr="00576D60">
              <w:t>r 7.6.06A</w:t>
            </w:r>
            <w:r w:rsidRPr="00576D60">
              <w:tab/>
            </w:r>
          </w:p>
        </w:tc>
        <w:tc>
          <w:tcPr>
            <w:tcW w:w="3500" w:type="pct"/>
            <w:shd w:val="clear" w:color="auto" w:fill="auto"/>
          </w:tcPr>
          <w:p w14:paraId="77D7C885" w14:textId="77777777" w:rsidR="00E93F58" w:rsidRPr="00576D60" w:rsidRDefault="00E93F58" w:rsidP="002F32E3">
            <w:pPr>
              <w:pStyle w:val="ENoteTableText"/>
            </w:pPr>
            <w:r w:rsidRPr="00576D60">
              <w:t>ad No 3, 2015</w:t>
            </w:r>
          </w:p>
        </w:tc>
      </w:tr>
      <w:tr w:rsidR="00E93F58" w:rsidRPr="00576D60" w14:paraId="6B21E2DA" w14:textId="77777777" w:rsidTr="002F32E3">
        <w:trPr>
          <w:cantSplit/>
        </w:trPr>
        <w:tc>
          <w:tcPr>
            <w:tcW w:w="1500" w:type="pct"/>
            <w:shd w:val="clear" w:color="auto" w:fill="auto"/>
          </w:tcPr>
          <w:p w14:paraId="74DEC7C2" w14:textId="77777777" w:rsidR="00E93F58" w:rsidRPr="00576D60" w:rsidRDefault="00E93F58" w:rsidP="002F32E3">
            <w:pPr>
              <w:pStyle w:val="ENoteTableText"/>
              <w:tabs>
                <w:tab w:val="left" w:leader="dot" w:pos="2268"/>
              </w:tabs>
            </w:pPr>
          </w:p>
        </w:tc>
        <w:tc>
          <w:tcPr>
            <w:tcW w:w="3500" w:type="pct"/>
            <w:shd w:val="clear" w:color="auto" w:fill="auto"/>
          </w:tcPr>
          <w:p w14:paraId="21A2519E" w14:textId="77777777" w:rsidR="00E93F58" w:rsidRPr="00576D60" w:rsidRDefault="00E93F58" w:rsidP="002F32E3">
            <w:pPr>
              <w:pStyle w:val="ENoteTableText"/>
            </w:pPr>
            <w:r w:rsidRPr="00576D60">
              <w:t>rep F2017L00117</w:t>
            </w:r>
          </w:p>
        </w:tc>
      </w:tr>
      <w:tr w:rsidR="00E93F58" w:rsidRPr="00576D60" w14:paraId="21CAB97E" w14:textId="77777777" w:rsidTr="002F32E3">
        <w:trPr>
          <w:cantSplit/>
        </w:trPr>
        <w:tc>
          <w:tcPr>
            <w:tcW w:w="1500" w:type="pct"/>
            <w:shd w:val="clear" w:color="auto" w:fill="auto"/>
          </w:tcPr>
          <w:p w14:paraId="0E08B7D7" w14:textId="77777777" w:rsidR="00E93F58" w:rsidRPr="00576D60" w:rsidRDefault="00E93F58" w:rsidP="002F32E3">
            <w:pPr>
              <w:pStyle w:val="ENoteTableText"/>
              <w:tabs>
                <w:tab w:val="left" w:leader="dot" w:pos="2268"/>
              </w:tabs>
            </w:pPr>
            <w:r w:rsidRPr="00576D60">
              <w:t>r 7.6.06B</w:t>
            </w:r>
            <w:r w:rsidRPr="00576D60">
              <w:tab/>
            </w:r>
          </w:p>
        </w:tc>
        <w:tc>
          <w:tcPr>
            <w:tcW w:w="3500" w:type="pct"/>
            <w:shd w:val="clear" w:color="auto" w:fill="auto"/>
          </w:tcPr>
          <w:p w14:paraId="7F816348" w14:textId="77777777" w:rsidR="00E93F58" w:rsidRPr="00576D60" w:rsidRDefault="00E93F58" w:rsidP="002F32E3">
            <w:pPr>
              <w:pStyle w:val="ENoteTableText"/>
            </w:pPr>
            <w:r w:rsidRPr="00576D60">
              <w:t>ad No 3, 2015</w:t>
            </w:r>
          </w:p>
        </w:tc>
      </w:tr>
      <w:tr w:rsidR="00E93F58" w:rsidRPr="00576D60" w14:paraId="1746D10A" w14:textId="77777777" w:rsidTr="002F32E3">
        <w:trPr>
          <w:cantSplit/>
        </w:trPr>
        <w:tc>
          <w:tcPr>
            <w:tcW w:w="1500" w:type="pct"/>
            <w:shd w:val="clear" w:color="auto" w:fill="auto"/>
          </w:tcPr>
          <w:p w14:paraId="793AE5D2" w14:textId="77777777" w:rsidR="00E93F58" w:rsidRPr="00576D60" w:rsidRDefault="00E93F58" w:rsidP="002F32E3">
            <w:pPr>
              <w:pStyle w:val="ENoteTableText"/>
              <w:tabs>
                <w:tab w:val="left" w:leader="dot" w:pos="2268"/>
              </w:tabs>
            </w:pPr>
          </w:p>
        </w:tc>
        <w:tc>
          <w:tcPr>
            <w:tcW w:w="3500" w:type="pct"/>
            <w:shd w:val="clear" w:color="auto" w:fill="auto"/>
          </w:tcPr>
          <w:p w14:paraId="638F9B54" w14:textId="77777777" w:rsidR="00E93F58" w:rsidRPr="00576D60" w:rsidRDefault="00E93F58" w:rsidP="002F32E3">
            <w:pPr>
              <w:pStyle w:val="ENoteTableText"/>
            </w:pPr>
            <w:r w:rsidRPr="00576D60">
              <w:t>rep F2017L00117</w:t>
            </w:r>
          </w:p>
        </w:tc>
      </w:tr>
      <w:tr w:rsidR="00E93F58" w:rsidRPr="00576D60" w14:paraId="1669003C" w14:textId="77777777" w:rsidTr="002F32E3">
        <w:trPr>
          <w:cantSplit/>
        </w:trPr>
        <w:tc>
          <w:tcPr>
            <w:tcW w:w="1500" w:type="pct"/>
            <w:shd w:val="clear" w:color="auto" w:fill="auto"/>
          </w:tcPr>
          <w:p w14:paraId="12CE3936" w14:textId="77777777" w:rsidR="00E93F58" w:rsidRPr="00576D60" w:rsidRDefault="00E93F58" w:rsidP="002F32E3">
            <w:pPr>
              <w:pStyle w:val="ENoteTableText"/>
              <w:tabs>
                <w:tab w:val="left" w:leader="dot" w:pos="2268"/>
              </w:tabs>
            </w:pPr>
            <w:r w:rsidRPr="00576D60">
              <w:t>r 7.6.06C</w:t>
            </w:r>
            <w:r w:rsidRPr="00576D60">
              <w:tab/>
            </w:r>
          </w:p>
        </w:tc>
        <w:tc>
          <w:tcPr>
            <w:tcW w:w="3500" w:type="pct"/>
            <w:shd w:val="clear" w:color="auto" w:fill="auto"/>
          </w:tcPr>
          <w:p w14:paraId="0C759886" w14:textId="77777777" w:rsidR="00E93F58" w:rsidRPr="00576D60" w:rsidRDefault="00E93F58" w:rsidP="002F32E3">
            <w:pPr>
              <w:pStyle w:val="ENoteTableText"/>
            </w:pPr>
            <w:r w:rsidRPr="00576D60">
              <w:t>ad No 3, 2015</w:t>
            </w:r>
          </w:p>
        </w:tc>
      </w:tr>
      <w:tr w:rsidR="00E93F58" w:rsidRPr="00576D60" w14:paraId="529DCC95" w14:textId="77777777" w:rsidTr="002F32E3">
        <w:trPr>
          <w:cantSplit/>
        </w:trPr>
        <w:tc>
          <w:tcPr>
            <w:tcW w:w="1500" w:type="pct"/>
            <w:shd w:val="clear" w:color="auto" w:fill="auto"/>
          </w:tcPr>
          <w:p w14:paraId="553AB013" w14:textId="77777777" w:rsidR="00E93F58" w:rsidRPr="00576D60" w:rsidRDefault="00E93F58" w:rsidP="002F32E3">
            <w:pPr>
              <w:pStyle w:val="ENoteTableText"/>
              <w:tabs>
                <w:tab w:val="left" w:leader="dot" w:pos="2268"/>
              </w:tabs>
            </w:pPr>
          </w:p>
        </w:tc>
        <w:tc>
          <w:tcPr>
            <w:tcW w:w="3500" w:type="pct"/>
            <w:shd w:val="clear" w:color="auto" w:fill="auto"/>
          </w:tcPr>
          <w:p w14:paraId="47819E2C" w14:textId="77777777" w:rsidR="00E93F58" w:rsidRPr="00576D60" w:rsidRDefault="00E93F58" w:rsidP="002F32E3">
            <w:pPr>
              <w:pStyle w:val="ENoteTableText"/>
            </w:pPr>
            <w:r w:rsidRPr="00576D60">
              <w:t>am F2017L00117</w:t>
            </w:r>
          </w:p>
        </w:tc>
      </w:tr>
      <w:tr w:rsidR="00E93F58" w:rsidRPr="00576D60" w14:paraId="1C114C4F" w14:textId="77777777" w:rsidTr="002F32E3">
        <w:trPr>
          <w:cantSplit/>
        </w:trPr>
        <w:tc>
          <w:tcPr>
            <w:tcW w:w="1500" w:type="pct"/>
            <w:shd w:val="clear" w:color="auto" w:fill="auto"/>
          </w:tcPr>
          <w:p w14:paraId="0ABE5EBA" w14:textId="77777777" w:rsidR="00E93F58" w:rsidRPr="00576D60" w:rsidRDefault="00E93F58" w:rsidP="002F32E3">
            <w:pPr>
              <w:pStyle w:val="ENoteTableText"/>
              <w:tabs>
                <w:tab w:val="left" w:leader="dot" w:pos="2268"/>
              </w:tabs>
            </w:pPr>
            <w:r w:rsidRPr="00576D60">
              <w:t>r 7.6.06D</w:t>
            </w:r>
            <w:r w:rsidRPr="00576D60">
              <w:tab/>
            </w:r>
          </w:p>
        </w:tc>
        <w:tc>
          <w:tcPr>
            <w:tcW w:w="3500" w:type="pct"/>
            <w:shd w:val="clear" w:color="auto" w:fill="auto"/>
          </w:tcPr>
          <w:p w14:paraId="4444BCF1" w14:textId="77777777" w:rsidR="00E93F58" w:rsidRPr="00576D60" w:rsidRDefault="00E93F58" w:rsidP="002F32E3">
            <w:pPr>
              <w:pStyle w:val="ENoteTableText"/>
            </w:pPr>
            <w:r w:rsidRPr="00576D60">
              <w:t>ad F2021L01854</w:t>
            </w:r>
          </w:p>
        </w:tc>
      </w:tr>
      <w:tr w:rsidR="00E93F58" w:rsidRPr="00576D60" w14:paraId="230EF4AF" w14:textId="77777777" w:rsidTr="002F32E3">
        <w:trPr>
          <w:cantSplit/>
        </w:trPr>
        <w:tc>
          <w:tcPr>
            <w:tcW w:w="1500" w:type="pct"/>
            <w:shd w:val="clear" w:color="auto" w:fill="auto"/>
          </w:tcPr>
          <w:p w14:paraId="5EA9359C" w14:textId="77777777" w:rsidR="00E93F58" w:rsidRPr="00576D60" w:rsidRDefault="00E93F58" w:rsidP="002F32E3">
            <w:pPr>
              <w:pStyle w:val="ENoteTableText"/>
              <w:tabs>
                <w:tab w:val="left" w:leader="dot" w:pos="2268"/>
              </w:tabs>
            </w:pPr>
            <w:r w:rsidRPr="00576D60">
              <w:t>r. 7.6.07</w:t>
            </w:r>
            <w:r w:rsidRPr="00576D60">
              <w:tab/>
            </w:r>
          </w:p>
        </w:tc>
        <w:tc>
          <w:tcPr>
            <w:tcW w:w="3500" w:type="pct"/>
            <w:shd w:val="clear" w:color="auto" w:fill="auto"/>
          </w:tcPr>
          <w:p w14:paraId="1C7A8362" w14:textId="77777777" w:rsidR="00E93F58" w:rsidRPr="00576D60" w:rsidRDefault="00E93F58" w:rsidP="002F32E3">
            <w:pPr>
              <w:pStyle w:val="ENoteTableText"/>
            </w:pPr>
            <w:r w:rsidRPr="00576D60">
              <w:t>ad. 2001 No. 319</w:t>
            </w:r>
          </w:p>
        </w:tc>
      </w:tr>
      <w:tr w:rsidR="00E93F58" w:rsidRPr="00576D60" w14:paraId="59DD2F64" w14:textId="77777777" w:rsidTr="002F32E3">
        <w:trPr>
          <w:cantSplit/>
        </w:trPr>
        <w:tc>
          <w:tcPr>
            <w:tcW w:w="1500" w:type="pct"/>
            <w:shd w:val="clear" w:color="auto" w:fill="auto"/>
          </w:tcPr>
          <w:p w14:paraId="0FCDAC41" w14:textId="77777777" w:rsidR="00E93F58" w:rsidRPr="00576D60" w:rsidRDefault="00E93F58" w:rsidP="002F32E3">
            <w:pPr>
              <w:pStyle w:val="ENoteTableText"/>
              <w:tabs>
                <w:tab w:val="left" w:leader="dot" w:pos="2268"/>
              </w:tabs>
            </w:pPr>
            <w:r w:rsidRPr="00576D60">
              <w:t>r 7.6.07A</w:t>
            </w:r>
            <w:r w:rsidRPr="00576D60">
              <w:tab/>
            </w:r>
          </w:p>
        </w:tc>
        <w:tc>
          <w:tcPr>
            <w:tcW w:w="3500" w:type="pct"/>
            <w:shd w:val="clear" w:color="auto" w:fill="auto"/>
          </w:tcPr>
          <w:p w14:paraId="6055E273" w14:textId="77777777" w:rsidR="00E93F58" w:rsidRPr="00576D60" w:rsidRDefault="00E93F58" w:rsidP="002F32E3">
            <w:pPr>
              <w:pStyle w:val="ENoteTableText"/>
            </w:pPr>
            <w:r w:rsidRPr="00576D60">
              <w:t>ad F2018L01691</w:t>
            </w:r>
          </w:p>
        </w:tc>
      </w:tr>
      <w:tr w:rsidR="00E93F58" w:rsidRPr="00576D60" w14:paraId="0207A915" w14:textId="77777777" w:rsidTr="002F32E3">
        <w:trPr>
          <w:cantSplit/>
        </w:trPr>
        <w:tc>
          <w:tcPr>
            <w:tcW w:w="1500" w:type="pct"/>
            <w:shd w:val="clear" w:color="auto" w:fill="auto"/>
          </w:tcPr>
          <w:p w14:paraId="156FF276" w14:textId="77777777" w:rsidR="00E93F58" w:rsidRPr="00576D60" w:rsidRDefault="00E93F58" w:rsidP="002F32E3">
            <w:pPr>
              <w:pStyle w:val="ENoteTableText"/>
              <w:tabs>
                <w:tab w:val="left" w:leader="dot" w:pos="2268"/>
              </w:tabs>
            </w:pPr>
          </w:p>
        </w:tc>
        <w:tc>
          <w:tcPr>
            <w:tcW w:w="3500" w:type="pct"/>
            <w:shd w:val="clear" w:color="auto" w:fill="auto"/>
          </w:tcPr>
          <w:p w14:paraId="02B55843" w14:textId="77777777" w:rsidR="00E93F58" w:rsidRPr="00576D60" w:rsidRDefault="00E93F58" w:rsidP="002F32E3">
            <w:pPr>
              <w:pStyle w:val="ENoteTableText"/>
            </w:pPr>
            <w:r>
              <w:t>am F2023L01458</w:t>
            </w:r>
          </w:p>
        </w:tc>
      </w:tr>
      <w:tr w:rsidR="00E93F58" w:rsidRPr="00576D60" w14:paraId="606718A7" w14:textId="77777777" w:rsidTr="002F32E3">
        <w:trPr>
          <w:cantSplit/>
        </w:trPr>
        <w:tc>
          <w:tcPr>
            <w:tcW w:w="1500" w:type="pct"/>
            <w:shd w:val="clear" w:color="auto" w:fill="auto"/>
          </w:tcPr>
          <w:p w14:paraId="7AEE3A95" w14:textId="77777777" w:rsidR="00E93F58" w:rsidRPr="00576D60" w:rsidRDefault="00E93F58" w:rsidP="002F32E3">
            <w:pPr>
              <w:pStyle w:val="ENoteTableText"/>
              <w:tabs>
                <w:tab w:val="left" w:leader="dot" w:pos="2268"/>
              </w:tabs>
            </w:pPr>
            <w:r w:rsidRPr="00576D60">
              <w:t>r 7.6.07B</w:t>
            </w:r>
            <w:r w:rsidRPr="00576D60">
              <w:tab/>
            </w:r>
          </w:p>
        </w:tc>
        <w:tc>
          <w:tcPr>
            <w:tcW w:w="3500" w:type="pct"/>
            <w:shd w:val="clear" w:color="auto" w:fill="auto"/>
          </w:tcPr>
          <w:p w14:paraId="204A608F" w14:textId="77777777" w:rsidR="00E93F58" w:rsidRPr="00576D60" w:rsidRDefault="00E93F58" w:rsidP="002F32E3">
            <w:pPr>
              <w:pStyle w:val="ENoteTableText"/>
            </w:pPr>
            <w:r w:rsidRPr="00576D60">
              <w:t>ad F2021L01854</w:t>
            </w:r>
          </w:p>
        </w:tc>
      </w:tr>
      <w:tr w:rsidR="00E93F58" w:rsidRPr="00576D60" w14:paraId="788D89A9" w14:textId="77777777" w:rsidTr="002F32E3">
        <w:trPr>
          <w:cantSplit/>
        </w:trPr>
        <w:tc>
          <w:tcPr>
            <w:tcW w:w="1500" w:type="pct"/>
            <w:shd w:val="clear" w:color="auto" w:fill="auto"/>
          </w:tcPr>
          <w:p w14:paraId="6E299C2D" w14:textId="77777777" w:rsidR="00E93F58" w:rsidRPr="00576D60" w:rsidRDefault="00E93F58" w:rsidP="002F32E3">
            <w:pPr>
              <w:pStyle w:val="ENoteTableText"/>
              <w:tabs>
                <w:tab w:val="left" w:leader="dot" w:pos="2268"/>
              </w:tabs>
            </w:pPr>
            <w:r w:rsidRPr="00576D60">
              <w:t>r 7.6.07C</w:t>
            </w:r>
            <w:r w:rsidRPr="00576D60">
              <w:tab/>
            </w:r>
          </w:p>
        </w:tc>
        <w:tc>
          <w:tcPr>
            <w:tcW w:w="3500" w:type="pct"/>
            <w:shd w:val="clear" w:color="auto" w:fill="auto"/>
          </w:tcPr>
          <w:p w14:paraId="4D595E90" w14:textId="77777777" w:rsidR="00E93F58" w:rsidRPr="00576D60" w:rsidRDefault="00E93F58" w:rsidP="002F32E3">
            <w:pPr>
              <w:pStyle w:val="ENoteTableText"/>
            </w:pPr>
            <w:r w:rsidRPr="00576D60">
              <w:t>ad F2022L01668</w:t>
            </w:r>
          </w:p>
        </w:tc>
      </w:tr>
      <w:tr w:rsidR="00E93F58" w:rsidRPr="00576D60" w14:paraId="6F1E7BB7" w14:textId="77777777" w:rsidTr="002F32E3">
        <w:trPr>
          <w:cantSplit/>
        </w:trPr>
        <w:tc>
          <w:tcPr>
            <w:tcW w:w="1500" w:type="pct"/>
            <w:shd w:val="clear" w:color="auto" w:fill="auto"/>
          </w:tcPr>
          <w:p w14:paraId="68E6FFF1" w14:textId="77777777" w:rsidR="00E93F58" w:rsidRPr="00576D60" w:rsidRDefault="00E93F58" w:rsidP="002F32E3">
            <w:pPr>
              <w:pStyle w:val="ENoteTableText"/>
              <w:tabs>
                <w:tab w:val="left" w:leader="dot" w:pos="2268"/>
              </w:tabs>
            </w:pPr>
          </w:p>
        </w:tc>
        <w:tc>
          <w:tcPr>
            <w:tcW w:w="3500" w:type="pct"/>
            <w:shd w:val="clear" w:color="auto" w:fill="auto"/>
          </w:tcPr>
          <w:p w14:paraId="00F5C1F5" w14:textId="77777777" w:rsidR="00E93F58" w:rsidRPr="00576D60" w:rsidRDefault="00E93F58" w:rsidP="002F32E3">
            <w:pPr>
              <w:pStyle w:val="ENoteTableText"/>
              <w:rPr>
                <w:u w:val="single"/>
              </w:rPr>
            </w:pPr>
            <w:r w:rsidRPr="00576D60">
              <w:t>rep end of 30 June 2023 (r 7.6.07C(2))</w:t>
            </w:r>
          </w:p>
        </w:tc>
      </w:tr>
      <w:tr w:rsidR="00E93F58" w:rsidRPr="00576D60" w14:paraId="45EF5533" w14:textId="77777777" w:rsidTr="002F32E3">
        <w:trPr>
          <w:cantSplit/>
        </w:trPr>
        <w:tc>
          <w:tcPr>
            <w:tcW w:w="1500" w:type="pct"/>
            <w:shd w:val="clear" w:color="auto" w:fill="auto"/>
          </w:tcPr>
          <w:p w14:paraId="7F7CFFA8" w14:textId="77777777" w:rsidR="00E93F58" w:rsidRPr="00576D60" w:rsidRDefault="00E93F58" w:rsidP="002F32E3">
            <w:pPr>
              <w:pStyle w:val="ENoteTableText"/>
              <w:tabs>
                <w:tab w:val="left" w:leader="dot" w:pos="2268"/>
              </w:tabs>
            </w:pPr>
            <w:r w:rsidRPr="00576D60">
              <w:t>Part 7.6A</w:t>
            </w:r>
            <w:r w:rsidRPr="00576D60">
              <w:tab/>
            </w:r>
          </w:p>
        </w:tc>
        <w:tc>
          <w:tcPr>
            <w:tcW w:w="3500" w:type="pct"/>
            <w:shd w:val="clear" w:color="auto" w:fill="auto"/>
          </w:tcPr>
          <w:p w14:paraId="7968D63A" w14:textId="77777777" w:rsidR="00E93F58" w:rsidRPr="00576D60" w:rsidRDefault="00E93F58" w:rsidP="002F32E3">
            <w:pPr>
              <w:pStyle w:val="ENoteTableText"/>
            </w:pPr>
            <w:r w:rsidRPr="00576D60">
              <w:t>ad 2005 No 324</w:t>
            </w:r>
          </w:p>
        </w:tc>
      </w:tr>
      <w:tr w:rsidR="00E93F58" w:rsidRPr="00576D60" w14:paraId="34047B4C" w14:textId="77777777" w:rsidTr="002F32E3">
        <w:trPr>
          <w:cantSplit/>
        </w:trPr>
        <w:tc>
          <w:tcPr>
            <w:tcW w:w="1500" w:type="pct"/>
            <w:shd w:val="clear" w:color="auto" w:fill="auto"/>
          </w:tcPr>
          <w:p w14:paraId="09A44F2F" w14:textId="77777777" w:rsidR="00E93F58" w:rsidRPr="00576D60" w:rsidRDefault="00E93F58" w:rsidP="002F32E3">
            <w:pPr>
              <w:pStyle w:val="ENoteTableText"/>
              <w:tabs>
                <w:tab w:val="left" w:leader="dot" w:pos="2268"/>
              </w:tabs>
            </w:pPr>
          </w:p>
        </w:tc>
        <w:tc>
          <w:tcPr>
            <w:tcW w:w="3500" w:type="pct"/>
            <w:shd w:val="clear" w:color="auto" w:fill="auto"/>
          </w:tcPr>
          <w:p w14:paraId="7F7E86C0" w14:textId="77777777" w:rsidR="00E93F58" w:rsidRPr="00576D60" w:rsidRDefault="00E93F58" w:rsidP="002F32E3">
            <w:pPr>
              <w:pStyle w:val="ENoteTableText"/>
            </w:pPr>
            <w:r w:rsidRPr="00576D60">
              <w:t>rep F2021L01841</w:t>
            </w:r>
          </w:p>
        </w:tc>
      </w:tr>
      <w:tr w:rsidR="00E93F58" w:rsidRPr="00576D60" w14:paraId="08733D22" w14:textId="77777777" w:rsidTr="002F32E3">
        <w:trPr>
          <w:cantSplit/>
        </w:trPr>
        <w:tc>
          <w:tcPr>
            <w:tcW w:w="1500" w:type="pct"/>
            <w:shd w:val="clear" w:color="auto" w:fill="auto"/>
          </w:tcPr>
          <w:p w14:paraId="2AFADCB7" w14:textId="77777777" w:rsidR="00E93F58" w:rsidRPr="00576D60" w:rsidRDefault="00E93F58" w:rsidP="002F32E3">
            <w:pPr>
              <w:pStyle w:val="ENoteTableText"/>
              <w:tabs>
                <w:tab w:val="left" w:leader="dot" w:pos="2268"/>
              </w:tabs>
            </w:pPr>
            <w:r w:rsidRPr="00576D60">
              <w:t>r 7.6.08</w:t>
            </w:r>
            <w:r w:rsidRPr="00576D60">
              <w:tab/>
            </w:r>
          </w:p>
        </w:tc>
        <w:tc>
          <w:tcPr>
            <w:tcW w:w="3500" w:type="pct"/>
            <w:shd w:val="clear" w:color="auto" w:fill="auto"/>
          </w:tcPr>
          <w:p w14:paraId="74F2249B" w14:textId="77777777" w:rsidR="00E93F58" w:rsidRPr="00576D60" w:rsidRDefault="00E93F58" w:rsidP="002F32E3">
            <w:pPr>
              <w:pStyle w:val="ENoteTableText"/>
            </w:pPr>
            <w:r w:rsidRPr="00576D60">
              <w:t>ad 2005 No 324</w:t>
            </w:r>
          </w:p>
        </w:tc>
      </w:tr>
      <w:tr w:rsidR="00E93F58" w:rsidRPr="00576D60" w14:paraId="60DAD702" w14:textId="77777777" w:rsidTr="002F32E3">
        <w:trPr>
          <w:cantSplit/>
        </w:trPr>
        <w:tc>
          <w:tcPr>
            <w:tcW w:w="1500" w:type="pct"/>
            <w:shd w:val="clear" w:color="auto" w:fill="auto"/>
          </w:tcPr>
          <w:p w14:paraId="47FCE757" w14:textId="77777777" w:rsidR="00E93F58" w:rsidRPr="00576D60" w:rsidRDefault="00E93F58" w:rsidP="002F32E3">
            <w:pPr>
              <w:pStyle w:val="ENoteTableText"/>
              <w:tabs>
                <w:tab w:val="left" w:leader="dot" w:pos="2268"/>
              </w:tabs>
            </w:pPr>
          </w:p>
        </w:tc>
        <w:tc>
          <w:tcPr>
            <w:tcW w:w="3500" w:type="pct"/>
            <w:shd w:val="clear" w:color="auto" w:fill="auto"/>
          </w:tcPr>
          <w:p w14:paraId="4C43D1F7" w14:textId="77777777" w:rsidR="00E93F58" w:rsidRPr="00576D60" w:rsidRDefault="00E93F58" w:rsidP="002F32E3">
            <w:pPr>
              <w:pStyle w:val="ENoteTableText"/>
            </w:pPr>
            <w:r w:rsidRPr="00576D60">
              <w:t>rep F2021L01841</w:t>
            </w:r>
          </w:p>
        </w:tc>
      </w:tr>
      <w:tr w:rsidR="00E93F58" w:rsidRPr="00576D60" w14:paraId="1A87421D" w14:textId="77777777" w:rsidTr="002F32E3">
        <w:trPr>
          <w:cantSplit/>
        </w:trPr>
        <w:tc>
          <w:tcPr>
            <w:tcW w:w="1500" w:type="pct"/>
            <w:shd w:val="clear" w:color="auto" w:fill="auto"/>
          </w:tcPr>
          <w:p w14:paraId="46773F3E" w14:textId="77777777" w:rsidR="00E93F58" w:rsidRPr="00576D60" w:rsidRDefault="00E93F58" w:rsidP="002F32E3">
            <w:pPr>
              <w:pStyle w:val="ENoteTableText"/>
              <w:keepNext/>
              <w:tabs>
                <w:tab w:val="left" w:leader="dot" w:pos="2268"/>
              </w:tabs>
              <w:rPr>
                <w:b/>
              </w:rPr>
            </w:pPr>
            <w:r w:rsidRPr="00576D60">
              <w:rPr>
                <w:b/>
              </w:rPr>
              <w:t>Part 7.6B</w:t>
            </w:r>
          </w:p>
        </w:tc>
        <w:tc>
          <w:tcPr>
            <w:tcW w:w="3500" w:type="pct"/>
            <w:shd w:val="clear" w:color="auto" w:fill="auto"/>
          </w:tcPr>
          <w:p w14:paraId="67C20D5B" w14:textId="77777777" w:rsidR="00E93F58" w:rsidRPr="00576D60" w:rsidRDefault="00E93F58" w:rsidP="002F32E3">
            <w:pPr>
              <w:pStyle w:val="ENoteTableText"/>
            </w:pPr>
          </w:p>
        </w:tc>
      </w:tr>
      <w:tr w:rsidR="00E93F58" w:rsidRPr="00576D60" w14:paraId="4B160A25" w14:textId="77777777" w:rsidTr="002F32E3">
        <w:trPr>
          <w:cantSplit/>
        </w:trPr>
        <w:tc>
          <w:tcPr>
            <w:tcW w:w="1500" w:type="pct"/>
            <w:shd w:val="clear" w:color="auto" w:fill="auto"/>
          </w:tcPr>
          <w:p w14:paraId="52001525" w14:textId="77777777" w:rsidR="00E93F58" w:rsidRPr="00576D60" w:rsidRDefault="00E93F58" w:rsidP="002F32E3">
            <w:pPr>
              <w:pStyle w:val="ENoteTableText"/>
              <w:tabs>
                <w:tab w:val="left" w:leader="dot" w:pos="2268"/>
              </w:tabs>
            </w:pPr>
            <w:r w:rsidRPr="00576D60">
              <w:t>Part 7.6B</w:t>
            </w:r>
            <w:r w:rsidRPr="00576D60">
              <w:tab/>
            </w:r>
          </w:p>
        </w:tc>
        <w:tc>
          <w:tcPr>
            <w:tcW w:w="3500" w:type="pct"/>
            <w:shd w:val="clear" w:color="auto" w:fill="auto"/>
          </w:tcPr>
          <w:p w14:paraId="683818A3" w14:textId="77777777" w:rsidR="00E93F58" w:rsidRPr="00576D60" w:rsidRDefault="00E93F58" w:rsidP="002F32E3">
            <w:pPr>
              <w:pStyle w:val="ENoteTableText"/>
            </w:pPr>
            <w:r w:rsidRPr="00576D60">
              <w:t>ad. 2009 No. 387</w:t>
            </w:r>
          </w:p>
        </w:tc>
      </w:tr>
      <w:tr w:rsidR="00E93F58" w:rsidRPr="00576D60" w14:paraId="458684E2" w14:textId="77777777" w:rsidTr="002F32E3">
        <w:trPr>
          <w:cantSplit/>
        </w:trPr>
        <w:tc>
          <w:tcPr>
            <w:tcW w:w="1500" w:type="pct"/>
            <w:shd w:val="clear" w:color="auto" w:fill="auto"/>
          </w:tcPr>
          <w:p w14:paraId="278FFA9F" w14:textId="77777777" w:rsidR="00E93F58" w:rsidRPr="00576D60" w:rsidRDefault="00E93F58" w:rsidP="002F32E3">
            <w:pPr>
              <w:pStyle w:val="ENoteTableText"/>
              <w:tabs>
                <w:tab w:val="left" w:leader="dot" w:pos="2268"/>
              </w:tabs>
            </w:pPr>
            <w:r w:rsidRPr="00576D60">
              <w:t>r. 7.6.08A</w:t>
            </w:r>
            <w:r w:rsidRPr="00576D60">
              <w:tab/>
            </w:r>
          </w:p>
        </w:tc>
        <w:tc>
          <w:tcPr>
            <w:tcW w:w="3500" w:type="pct"/>
            <w:shd w:val="clear" w:color="auto" w:fill="auto"/>
          </w:tcPr>
          <w:p w14:paraId="598E5CAF" w14:textId="77777777" w:rsidR="00E93F58" w:rsidRPr="00576D60" w:rsidRDefault="00E93F58" w:rsidP="002F32E3">
            <w:pPr>
              <w:pStyle w:val="ENoteTableText"/>
            </w:pPr>
            <w:r w:rsidRPr="00576D60">
              <w:t>ad. 2009 No. 387</w:t>
            </w:r>
          </w:p>
        </w:tc>
      </w:tr>
      <w:tr w:rsidR="00E93F58" w:rsidRPr="00576D60" w14:paraId="32796779" w14:textId="77777777" w:rsidTr="002F32E3">
        <w:trPr>
          <w:cantSplit/>
        </w:trPr>
        <w:tc>
          <w:tcPr>
            <w:tcW w:w="1500" w:type="pct"/>
            <w:shd w:val="clear" w:color="auto" w:fill="auto"/>
          </w:tcPr>
          <w:p w14:paraId="54A4ADBD" w14:textId="77777777" w:rsidR="00E93F58" w:rsidRPr="00576D60" w:rsidRDefault="00E93F58" w:rsidP="002F32E3">
            <w:pPr>
              <w:pStyle w:val="ENoteTableText"/>
              <w:tabs>
                <w:tab w:val="left" w:leader="dot" w:pos="2268"/>
              </w:tabs>
            </w:pPr>
            <w:r w:rsidRPr="00576D60">
              <w:t>r 7.6.08B</w:t>
            </w:r>
            <w:r w:rsidRPr="00576D60">
              <w:tab/>
            </w:r>
          </w:p>
        </w:tc>
        <w:tc>
          <w:tcPr>
            <w:tcW w:w="3500" w:type="pct"/>
            <w:shd w:val="clear" w:color="auto" w:fill="auto"/>
          </w:tcPr>
          <w:p w14:paraId="4CAA0B1E" w14:textId="77777777" w:rsidR="00E93F58" w:rsidRPr="00576D60" w:rsidRDefault="00E93F58" w:rsidP="002F32E3">
            <w:pPr>
              <w:pStyle w:val="ENoteTableText"/>
            </w:pPr>
            <w:r w:rsidRPr="00576D60">
              <w:t>ad</w:t>
            </w:r>
            <w:r>
              <w:t xml:space="preserve"> No 387, 2009</w:t>
            </w:r>
          </w:p>
        </w:tc>
      </w:tr>
      <w:tr w:rsidR="00E93F58" w:rsidRPr="00576D60" w14:paraId="007864F4" w14:textId="77777777" w:rsidTr="002F32E3">
        <w:trPr>
          <w:cantSplit/>
        </w:trPr>
        <w:tc>
          <w:tcPr>
            <w:tcW w:w="1500" w:type="pct"/>
            <w:shd w:val="clear" w:color="auto" w:fill="auto"/>
          </w:tcPr>
          <w:p w14:paraId="7683642C" w14:textId="77777777" w:rsidR="00E93F58" w:rsidRPr="00576D60" w:rsidRDefault="00E93F58" w:rsidP="002F32E3">
            <w:pPr>
              <w:pStyle w:val="ENoteTableText"/>
              <w:tabs>
                <w:tab w:val="left" w:leader="dot" w:pos="2268"/>
              </w:tabs>
            </w:pPr>
          </w:p>
        </w:tc>
        <w:tc>
          <w:tcPr>
            <w:tcW w:w="3500" w:type="pct"/>
            <w:shd w:val="clear" w:color="auto" w:fill="auto"/>
          </w:tcPr>
          <w:p w14:paraId="29A6D64F" w14:textId="77777777" w:rsidR="00E93F58" w:rsidRPr="00576D60" w:rsidRDefault="00E93F58" w:rsidP="002F32E3">
            <w:pPr>
              <w:pStyle w:val="ENoteTableText"/>
            </w:pPr>
            <w:r>
              <w:t>am F2023L01458</w:t>
            </w:r>
          </w:p>
        </w:tc>
      </w:tr>
      <w:tr w:rsidR="00E93F58" w:rsidRPr="00576D60" w14:paraId="5C7925D7" w14:textId="77777777" w:rsidTr="002F32E3">
        <w:trPr>
          <w:cantSplit/>
        </w:trPr>
        <w:tc>
          <w:tcPr>
            <w:tcW w:w="1500" w:type="pct"/>
            <w:shd w:val="clear" w:color="auto" w:fill="auto"/>
          </w:tcPr>
          <w:p w14:paraId="25C5865C" w14:textId="77777777" w:rsidR="00E93F58" w:rsidRPr="00576D60" w:rsidRDefault="00E93F58" w:rsidP="002F32E3">
            <w:pPr>
              <w:pStyle w:val="ENoteTableText"/>
              <w:tabs>
                <w:tab w:val="left" w:leader="dot" w:pos="2268"/>
              </w:tabs>
            </w:pPr>
            <w:r w:rsidRPr="00576D60">
              <w:t>r. 7.6.08C</w:t>
            </w:r>
            <w:r w:rsidRPr="00576D60">
              <w:tab/>
            </w:r>
          </w:p>
        </w:tc>
        <w:tc>
          <w:tcPr>
            <w:tcW w:w="3500" w:type="pct"/>
            <w:shd w:val="clear" w:color="auto" w:fill="auto"/>
          </w:tcPr>
          <w:p w14:paraId="25C04739" w14:textId="77777777" w:rsidR="00E93F58" w:rsidRPr="00576D60" w:rsidRDefault="00E93F58" w:rsidP="002F32E3">
            <w:pPr>
              <w:pStyle w:val="ENoteTableText"/>
            </w:pPr>
            <w:r w:rsidRPr="00576D60">
              <w:t>ad. 2009 No. 387</w:t>
            </w:r>
          </w:p>
        </w:tc>
      </w:tr>
      <w:tr w:rsidR="00E93F58" w:rsidRPr="00576D60" w14:paraId="26FB6703" w14:textId="77777777" w:rsidTr="002F32E3">
        <w:trPr>
          <w:cantSplit/>
        </w:trPr>
        <w:tc>
          <w:tcPr>
            <w:tcW w:w="1500" w:type="pct"/>
            <w:shd w:val="clear" w:color="auto" w:fill="auto"/>
          </w:tcPr>
          <w:p w14:paraId="2EADA048" w14:textId="77777777" w:rsidR="00E93F58" w:rsidRPr="00576D60" w:rsidRDefault="00E93F58" w:rsidP="002F32E3">
            <w:pPr>
              <w:pStyle w:val="ENoteTableText"/>
              <w:tabs>
                <w:tab w:val="left" w:leader="dot" w:pos="2268"/>
              </w:tabs>
            </w:pPr>
            <w:r w:rsidRPr="00576D60">
              <w:t>r 7.6.08D</w:t>
            </w:r>
            <w:r w:rsidRPr="00576D60">
              <w:tab/>
            </w:r>
          </w:p>
        </w:tc>
        <w:tc>
          <w:tcPr>
            <w:tcW w:w="3500" w:type="pct"/>
            <w:shd w:val="clear" w:color="auto" w:fill="auto"/>
          </w:tcPr>
          <w:p w14:paraId="55EAACFE" w14:textId="77777777" w:rsidR="00E93F58" w:rsidRPr="00576D60" w:rsidRDefault="00E93F58" w:rsidP="002F32E3">
            <w:pPr>
              <w:pStyle w:val="ENoteTableText"/>
            </w:pPr>
            <w:r w:rsidRPr="00576D60">
              <w:t>ad No 387, 2009</w:t>
            </w:r>
          </w:p>
        </w:tc>
      </w:tr>
      <w:tr w:rsidR="00E93F58" w:rsidRPr="00576D60" w14:paraId="2E57A49A" w14:textId="77777777" w:rsidTr="002F32E3">
        <w:trPr>
          <w:cantSplit/>
        </w:trPr>
        <w:tc>
          <w:tcPr>
            <w:tcW w:w="1500" w:type="pct"/>
            <w:shd w:val="clear" w:color="auto" w:fill="auto"/>
          </w:tcPr>
          <w:p w14:paraId="15ABB6A8" w14:textId="77777777" w:rsidR="00E93F58" w:rsidRPr="00576D60" w:rsidRDefault="00E93F58" w:rsidP="002F32E3">
            <w:pPr>
              <w:pStyle w:val="ENoteTableText"/>
              <w:tabs>
                <w:tab w:val="left" w:leader="dot" w:pos="2268"/>
              </w:tabs>
            </w:pPr>
          </w:p>
        </w:tc>
        <w:tc>
          <w:tcPr>
            <w:tcW w:w="3500" w:type="pct"/>
            <w:shd w:val="clear" w:color="auto" w:fill="auto"/>
          </w:tcPr>
          <w:p w14:paraId="778B1954" w14:textId="77777777" w:rsidR="00E93F58" w:rsidRPr="00576D60" w:rsidRDefault="00E93F58" w:rsidP="002F32E3">
            <w:pPr>
              <w:pStyle w:val="ENoteTableText"/>
            </w:pPr>
            <w:r w:rsidRPr="00576D60">
              <w:t>am F2019L00392</w:t>
            </w:r>
          </w:p>
        </w:tc>
      </w:tr>
      <w:tr w:rsidR="00E93F58" w:rsidRPr="00576D60" w14:paraId="2B619315" w14:textId="77777777" w:rsidTr="002F32E3">
        <w:trPr>
          <w:cantSplit/>
        </w:trPr>
        <w:tc>
          <w:tcPr>
            <w:tcW w:w="1500" w:type="pct"/>
            <w:shd w:val="clear" w:color="auto" w:fill="auto"/>
          </w:tcPr>
          <w:p w14:paraId="73526FCC" w14:textId="77777777" w:rsidR="00E93F58" w:rsidRPr="00576D60" w:rsidRDefault="00E93F58" w:rsidP="002F32E3">
            <w:pPr>
              <w:pStyle w:val="ENoteTableText"/>
              <w:tabs>
                <w:tab w:val="left" w:leader="dot" w:pos="2268"/>
              </w:tabs>
            </w:pPr>
            <w:r w:rsidRPr="00576D60">
              <w:t>r 7.6.08E</w:t>
            </w:r>
            <w:r w:rsidRPr="00576D60">
              <w:tab/>
            </w:r>
          </w:p>
        </w:tc>
        <w:tc>
          <w:tcPr>
            <w:tcW w:w="3500" w:type="pct"/>
            <w:shd w:val="clear" w:color="auto" w:fill="auto"/>
          </w:tcPr>
          <w:p w14:paraId="3C97ECBB" w14:textId="77777777" w:rsidR="00E93F58" w:rsidRPr="00576D60" w:rsidRDefault="00E93F58" w:rsidP="002F32E3">
            <w:pPr>
              <w:pStyle w:val="ENoteTableText"/>
            </w:pPr>
            <w:r w:rsidRPr="00576D60">
              <w:t>ad No 387, 2009</w:t>
            </w:r>
          </w:p>
        </w:tc>
      </w:tr>
      <w:tr w:rsidR="00E93F58" w:rsidRPr="00576D60" w14:paraId="1E659EF3" w14:textId="77777777" w:rsidTr="002F32E3">
        <w:trPr>
          <w:cantSplit/>
        </w:trPr>
        <w:tc>
          <w:tcPr>
            <w:tcW w:w="1500" w:type="pct"/>
            <w:shd w:val="clear" w:color="auto" w:fill="auto"/>
          </w:tcPr>
          <w:p w14:paraId="59545B9A" w14:textId="77777777" w:rsidR="00E93F58" w:rsidRPr="00576D60" w:rsidRDefault="00E93F58" w:rsidP="002F32E3">
            <w:pPr>
              <w:pStyle w:val="ENoteTableText"/>
              <w:tabs>
                <w:tab w:val="left" w:leader="dot" w:pos="2268"/>
              </w:tabs>
            </w:pPr>
          </w:p>
        </w:tc>
        <w:tc>
          <w:tcPr>
            <w:tcW w:w="3500" w:type="pct"/>
            <w:shd w:val="clear" w:color="auto" w:fill="auto"/>
          </w:tcPr>
          <w:p w14:paraId="144B0E05" w14:textId="77777777" w:rsidR="00E93F58" w:rsidRPr="00576D60" w:rsidRDefault="00E93F58" w:rsidP="002F32E3">
            <w:pPr>
              <w:pStyle w:val="ENoteTableText"/>
            </w:pPr>
            <w:r w:rsidRPr="00576D60">
              <w:t>am F2019L00392</w:t>
            </w:r>
          </w:p>
        </w:tc>
      </w:tr>
      <w:tr w:rsidR="00E93F58" w:rsidRPr="00576D60" w14:paraId="27630CAB" w14:textId="77777777" w:rsidTr="002F32E3">
        <w:trPr>
          <w:cantSplit/>
        </w:trPr>
        <w:tc>
          <w:tcPr>
            <w:tcW w:w="1500" w:type="pct"/>
            <w:shd w:val="clear" w:color="auto" w:fill="auto"/>
          </w:tcPr>
          <w:p w14:paraId="3B8F8E8B" w14:textId="77777777" w:rsidR="00E93F58" w:rsidRPr="00576D60" w:rsidRDefault="00E93F58" w:rsidP="0009217A">
            <w:pPr>
              <w:pStyle w:val="ENoteTableText"/>
              <w:keepNext/>
              <w:tabs>
                <w:tab w:val="left" w:leader="dot" w:pos="2268"/>
              </w:tabs>
              <w:rPr>
                <w:b/>
              </w:rPr>
            </w:pPr>
            <w:r w:rsidRPr="00576D60">
              <w:rPr>
                <w:b/>
              </w:rPr>
              <w:t>Part 7.7</w:t>
            </w:r>
          </w:p>
        </w:tc>
        <w:tc>
          <w:tcPr>
            <w:tcW w:w="3500" w:type="pct"/>
            <w:shd w:val="clear" w:color="auto" w:fill="auto"/>
          </w:tcPr>
          <w:p w14:paraId="0D5C422A" w14:textId="77777777" w:rsidR="00E93F58" w:rsidRPr="00576D60" w:rsidRDefault="00E93F58" w:rsidP="002F32E3">
            <w:pPr>
              <w:pStyle w:val="ENoteTableText"/>
            </w:pPr>
          </w:p>
        </w:tc>
      </w:tr>
      <w:tr w:rsidR="00E93F58" w:rsidRPr="00576D60" w14:paraId="2DAE4D36" w14:textId="77777777" w:rsidTr="002F32E3">
        <w:trPr>
          <w:cantSplit/>
        </w:trPr>
        <w:tc>
          <w:tcPr>
            <w:tcW w:w="1500" w:type="pct"/>
            <w:shd w:val="clear" w:color="auto" w:fill="auto"/>
          </w:tcPr>
          <w:p w14:paraId="1DE9B392"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299AAB67" w14:textId="77777777" w:rsidR="00E93F58" w:rsidRPr="00576D60" w:rsidRDefault="00E93F58" w:rsidP="002F32E3">
            <w:pPr>
              <w:pStyle w:val="ENoteTableText"/>
            </w:pPr>
          </w:p>
        </w:tc>
      </w:tr>
      <w:tr w:rsidR="00E93F58" w:rsidRPr="00576D60" w14:paraId="5BD1BBB0" w14:textId="77777777" w:rsidTr="002F32E3">
        <w:trPr>
          <w:cantSplit/>
        </w:trPr>
        <w:tc>
          <w:tcPr>
            <w:tcW w:w="1500" w:type="pct"/>
            <w:shd w:val="clear" w:color="auto" w:fill="auto"/>
          </w:tcPr>
          <w:p w14:paraId="12D4CC57" w14:textId="77777777" w:rsidR="00E93F58" w:rsidRPr="00576D60" w:rsidRDefault="00E93F58" w:rsidP="002F32E3">
            <w:pPr>
              <w:pStyle w:val="ENoteTableText"/>
              <w:tabs>
                <w:tab w:val="left" w:leader="dot" w:pos="2268"/>
              </w:tabs>
            </w:pPr>
            <w:r w:rsidRPr="00576D60">
              <w:t>r. 7.7.01</w:t>
            </w:r>
            <w:r w:rsidRPr="00576D60">
              <w:tab/>
            </w:r>
          </w:p>
        </w:tc>
        <w:tc>
          <w:tcPr>
            <w:tcW w:w="3500" w:type="pct"/>
            <w:shd w:val="clear" w:color="auto" w:fill="auto"/>
          </w:tcPr>
          <w:p w14:paraId="08AFD02B" w14:textId="77777777" w:rsidR="00E93F58" w:rsidRPr="00576D60" w:rsidRDefault="00E93F58" w:rsidP="002F32E3">
            <w:pPr>
              <w:pStyle w:val="ENoteTableText"/>
            </w:pPr>
            <w:r w:rsidRPr="00576D60">
              <w:t>rs. 2001 No. 319</w:t>
            </w:r>
          </w:p>
        </w:tc>
      </w:tr>
      <w:tr w:rsidR="00E93F58" w:rsidRPr="00576D60" w14:paraId="0897DEF0" w14:textId="77777777" w:rsidTr="002F32E3">
        <w:trPr>
          <w:cantSplit/>
        </w:trPr>
        <w:tc>
          <w:tcPr>
            <w:tcW w:w="1500" w:type="pct"/>
            <w:shd w:val="clear" w:color="auto" w:fill="auto"/>
          </w:tcPr>
          <w:p w14:paraId="181A4660" w14:textId="77777777" w:rsidR="00E93F58" w:rsidRPr="00576D60" w:rsidRDefault="00E93F58" w:rsidP="002F32E3">
            <w:pPr>
              <w:pStyle w:val="ENoteTableText"/>
            </w:pPr>
          </w:p>
        </w:tc>
        <w:tc>
          <w:tcPr>
            <w:tcW w:w="3500" w:type="pct"/>
            <w:shd w:val="clear" w:color="auto" w:fill="auto"/>
          </w:tcPr>
          <w:p w14:paraId="430A98E2" w14:textId="77777777" w:rsidR="00E93F58" w:rsidRPr="00576D60" w:rsidRDefault="00E93F58" w:rsidP="002F32E3">
            <w:pPr>
              <w:pStyle w:val="ENoteTableText"/>
            </w:pPr>
            <w:r w:rsidRPr="00576D60">
              <w:t>am. 2002 No 16 and 41; 2003 No. 282</w:t>
            </w:r>
          </w:p>
        </w:tc>
      </w:tr>
      <w:tr w:rsidR="00E93F58" w:rsidRPr="00576D60" w14:paraId="57911547" w14:textId="77777777" w:rsidTr="002F32E3">
        <w:trPr>
          <w:cantSplit/>
        </w:trPr>
        <w:tc>
          <w:tcPr>
            <w:tcW w:w="1500" w:type="pct"/>
            <w:shd w:val="clear" w:color="auto" w:fill="auto"/>
          </w:tcPr>
          <w:p w14:paraId="45503F94"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32A3F8EB" w14:textId="77777777" w:rsidR="00E93F58" w:rsidRPr="00576D60" w:rsidRDefault="00E93F58" w:rsidP="002F32E3">
            <w:pPr>
              <w:pStyle w:val="ENoteTableText"/>
            </w:pPr>
          </w:p>
        </w:tc>
      </w:tr>
      <w:tr w:rsidR="00E93F58" w:rsidRPr="00576D60" w14:paraId="066BE3CC" w14:textId="77777777" w:rsidTr="002F32E3">
        <w:trPr>
          <w:cantSplit/>
        </w:trPr>
        <w:tc>
          <w:tcPr>
            <w:tcW w:w="1500" w:type="pct"/>
            <w:shd w:val="clear" w:color="auto" w:fill="auto"/>
          </w:tcPr>
          <w:p w14:paraId="73EA30B0" w14:textId="77777777" w:rsidR="00E93F58" w:rsidRPr="00576D60" w:rsidRDefault="00E93F58" w:rsidP="002F32E3">
            <w:pPr>
              <w:pStyle w:val="ENoteTableText"/>
              <w:tabs>
                <w:tab w:val="left" w:leader="dot" w:pos="2268"/>
              </w:tabs>
            </w:pPr>
            <w:r w:rsidRPr="00576D60">
              <w:t>r 7.7.02</w:t>
            </w:r>
            <w:r w:rsidRPr="00576D60">
              <w:tab/>
            </w:r>
          </w:p>
        </w:tc>
        <w:tc>
          <w:tcPr>
            <w:tcW w:w="3500" w:type="pct"/>
            <w:shd w:val="clear" w:color="auto" w:fill="auto"/>
          </w:tcPr>
          <w:p w14:paraId="7A5ABF5A" w14:textId="77777777" w:rsidR="00E93F58" w:rsidRPr="00576D60" w:rsidRDefault="00E93F58" w:rsidP="002F32E3">
            <w:pPr>
              <w:pStyle w:val="ENoteTableText"/>
            </w:pPr>
            <w:r w:rsidRPr="00576D60">
              <w:t>rs</w:t>
            </w:r>
            <w:r>
              <w:t xml:space="preserve"> No 319, 2001</w:t>
            </w:r>
          </w:p>
        </w:tc>
      </w:tr>
      <w:tr w:rsidR="00E93F58" w:rsidRPr="00576D60" w14:paraId="298CFFAE" w14:textId="77777777" w:rsidTr="002F32E3">
        <w:trPr>
          <w:cantSplit/>
        </w:trPr>
        <w:tc>
          <w:tcPr>
            <w:tcW w:w="1500" w:type="pct"/>
            <w:shd w:val="clear" w:color="auto" w:fill="auto"/>
          </w:tcPr>
          <w:p w14:paraId="740EC593" w14:textId="77777777" w:rsidR="00E93F58" w:rsidRPr="00576D60" w:rsidRDefault="00E93F58" w:rsidP="002F32E3">
            <w:pPr>
              <w:pStyle w:val="ENoteTableText"/>
            </w:pPr>
          </w:p>
        </w:tc>
        <w:tc>
          <w:tcPr>
            <w:tcW w:w="3500" w:type="pct"/>
            <w:shd w:val="clear" w:color="auto" w:fill="auto"/>
          </w:tcPr>
          <w:p w14:paraId="75BE88A4" w14:textId="77777777" w:rsidR="00E93F58" w:rsidRPr="00576D60" w:rsidRDefault="00E93F58" w:rsidP="002F32E3">
            <w:pPr>
              <w:pStyle w:val="ENoteTableText"/>
            </w:pPr>
            <w:r w:rsidRPr="00576D60">
              <w:t>am</w:t>
            </w:r>
            <w:r>
              <w:t xml:space="preserve"> No 41, 2002; No 53, 2002; No 31, 2003; No 85, 2003; No 202, 2003; No 368, 2003; No 25, 2004; No 324, 2005; No 324, 2007; No 158, 2008</w:t>
            </w:r>
            <w:r w:rsidRPr="00576D60">
              <w:t>; No 91, 2015</w:t>
            </w:r>
            <w:r>
              <w:t>; F2023L01458</w:t>
            </w:r>
          </w:p>
        </w:tc>
      </w:tr>
      <w:tr w:rsidR="00E93F58" w:rsidRPr="00576D60" w14:paraId="4A411AF1" w14:textId="77777777" w:rsidTr="002F32E3">
        <w:trPr>
          <w:cantSplit/>
        </w:trPr>
        <w:tc>
          <w:tcPr>
            <w:tcW w:w="1500" w:type="pct"/>
            <w:shd w:val="clear" w:color="auto" w:fill="auto"/>
          </w:tcPr>
          <w:p w14:paraId="213972AE" w14:textId="77777777" w:rsidR="00E93F58" w:rsidRPr="00576D60" w:rsidRDefault="00E93F58" w:rsidP="002F32E3">
            <w:pPr>
              <w:pStyle w:val="ENoteTableText"/>
              <w:tabs>
                <w:tab w:val="left" w:leader="dot" w:pos="2268"/>
              </w:tabs>
            </w:pPr>
            <w:r w:rsidRPr="00576D60">
              <w:t>r. 7.7.02A</w:t>
            </w:r>
            <w:r w:rsidRPr="00576D60">
              <w:tab/>
            </w:r>
          </w:p>
        </w:tc>
        <w:tc>
          <w:tcPr>
            <w:tcW w:w="3500" w:type="pct"/>
            <w:shd w:val="clear" w:color="auto" w:fill="auto"/>
          </w:tcPr>
          <w:p w14:paraId="33F14717" w14:textId="77777777" w:rsidR="00E93F58" w:rsidRPr="00576D60" w:rsidRDefault="00E93F58" w:rsidP="002F32E3">
            <w:pPr>
              <w:pStyle w:val="ENoteTableText"/>
            </w:pPr>
            <w:r w:rsidRPr="00576D60">
              <w:t>ad. 2005 No. 324</w:t>
            </w:r>
          </w:p>
        </w:tc>
      </w:tr>
      <w:tr w:rsidR="00E93F58" w:rsidRPr="00576D60" w14:paraId="3EAF69B7" w14:textId="77777777" w:rsidTr="002F32E3">
        <w:trPr>
          <w:cantSplit/>
        </w:trPr>
        <w:tc>
          <w:tcPr>
            <w:tcW w:w="1500" w:type="pct"/>
            <w:shd w:val="clear" w:color="auto" w:fill="auto"/>
          </w:tcPr>
          <w:p w14:paraId="3EB3645F" w14:textId="77777777" w:rsidR="00E93F58" w:rsidRPr="00576D60" w:rsidRDefault="00E93F58" w:rsidP="002F32E3">
            <w:pPr>
              <w:pStyle w:val="ENoteTableText"/>
              <w:tabs>
                <w:tab w:val="left" w:leader="dot" w:pos="2268"/>
              </w:tabs>
            </w:pPr>
            <w:r w:rsidRPr="00576D60">
              <w:t>r. 7.7.03</w:t>
            </w:r>
            <w:r w:rsidRPr="00576D60">
              <w:tab/>
            </w:r>
          </w:p>
        </w:tc>
        <w:tc>
          <w:tcPr>
            <w:tcW w:w="3500" w:type="pct"/>
            <w:shd w:val="clear" w:color="auto" w:fill="auto"/>
          </w:tcPr>
          <w:p w14:paraId="031E5BAB" w14:textId="77777777" w:rsidR="00E93F58" w:rsidRPr="00576D60" w:rsidRDefault="00E93F58" w:rsidP="002F32E3">
            <w:pPr>
              <w:pStyle w:val="ENoteTableText"/>
            </w:pPr>
            <w:r w:rsidRPr="00576D60">
              <w:t>ad. 2001 No. 319</w:t>
            </w:r>
          </w:p>
        </w:tc>
      </w:tr>
      <w:tr w:rsidR="00E93F58" w:rsidRPr="00576D60" w14:paraId="4180EC26" w14:textId="77777777" w:rsidTr="002F32E3">
        <w:trPr>
          <w:cantSplit/>
        </w:trPr>
        <w:tc>
          <w:tcPr>
            <w:tcW w:w="1500" w:type="pct"/>
            <w:shd w:val="clear" w:color="auto" w:fill="auto"/>
          </w:tcPr>
          <w:p w14:paraId="6A776CF8" w14:textId="77777777" w:rsidR="00E93F58" w:rsidRPr="00576D60" w:rsidRDefault="00E93F58" w:rsidP="002F32E3">
            <w:pPr>
              <w:pStyle w:val="ENoteTableText"/>
              <w:tabs>
                <w:tab w:val="left" w:leader="dot" w:pos="2268"/>
              </w:tabs>
            </w:pPr>
            <w:r w:rsidRPr="00576D60">
              <w:t>r 7.7.03A</w:t>
            </w:r>
            <w:r w:rsidRPr="00576D60">
              <w:tab/>
            </w:r>
          </w:p>
        </w:tc>
        <w:tc>
          <w:tcPr>
            <w:tcW w:w="3500" w:type="pct"/>
            <w:shd w:val="clear" w:color="auto" w:fill="auto"/>
          </w:tcPr>
          <w:p w14:paraId="029C4E9F" w14:textId="77777777" w:rsidR="00E93F58" w:rsidRPr="00576D60" w:rsidRDefault="00E93F58" w:rsidP="002F32E3">
            <w:pPr>
              <w:pStyle w:val="ENoteTableText"/>
            </w:pPr>
            <w:r w:rsidRPr="00576D60">
              <w:t>ad</w:t>
            </w:r>
            <w:r>
              <w:t xml:space="preserve"> No 197, 2007</w:t>
            </w:r>
          </w:p>
        </w:tc>
      </w:tr>
      <w:tr w:rsidR="00E93F58" w:rsidRPr="00576D60" w14:paraId="13950671" w14:textId="77777777" w:rsidTr="002F32E3">
        <w:trPr>
          <w:cantSplit/>
        </w:trPr>
        <w:tc>
          <w:tcPr>
            <w:tcW w:w="1500" w:type="pct"/>
            <w:shd w:val="clear" w:color="auto" w:fill="auto"/>
          </w:tcPr>
          <w:p w14:paraId="09F0451A" w14:textId="77777777" w:rsidR="00E93F58" w:rsidRPr="00576D60" w:rsidRDefault="00E93F58" w:rsidP="002F32E3">
            <w:pPr>
              <w:pStyle w:val="ENoteTableText"/>
              <w:tabs>
                <w:tab w:val="left" w:leader="dot" w:pos="2268"/>
              </w:tabs>
            </w:pPr>
          </w:p>
        </w:tc>
        <w:tc>
          <w:tcPr>
            <w:tcW w:w="3500" w:type="pct"/>
            <w:shd w:val="clear" w:color="auto" w:fill="auto"/>
          </w:tcPr>
          <w:p w14:paraId="6197B203" w14:textId="77777777" w:rsidR="00E93F58" w:rsidRPr="00576D60" w:rsidRDefault="00E93F58" w:rsidP="002F32E3">
            <w:pPr>
              <w:pStyle w:val="ENoteTableText"/>
            </w:pPr>
            <w:r>
              <w:t>am F2023L01458</w:t>
            </w:r>
          </w:p>
        </w:tc>
      </w:tr>
      <w:tr w:rsidR="00E93F58" w:rsidRPr="00576D60" w14:paraId="71DED838" w14:textId="77777777" w:rsidTr="002F32E3">
        <w:trPr>
          <w:cantSplit/>
        </w:trPr>
        <w:tc>
          <w:tcPr>
            <w:tcW w:w="1500" w:type="pct"/>
            <w:shd w:val="clear" w:color="auto" w:fill="auto"/>
          </w:tcPr>
          <w:p w14:paraId="5724DF5C" w14:textId="77777777" w:rsidR="00E93F58" w:rsidRPr="00576D60" w:rsidRDefault="00E93F58" w:rsidP="002F32E3">
            <w:pPr>
              <w:pStyle w:val="ENoteTableText"/>
              <w:tabs>
                <w:tab w:val="left" w:leader="dot" w:pos="2268"/>
              </w:tabs>
            </w:pPr>
            <w:r w:rsidRPr="00576D60">
              <w:t>r. 7.7.04</w:t>
            </w:r>
            <w:r w:rsidRPr="00576D60">
              <w:tab/>
            </w:r>
          </w:p>
        </w:tc>
        <w:tc>
          <w:tcPr>
            <w:tcW w:w="3500" w:type="pct"/>
            <w:shd w:val="clear" w:color="auto" w:fill="auto"/>
          </w:tcPr>
          <w:p w14:paraId="3C99C31C" w14:textId="77777777" w:rsidR="00E93F58" w:rsidRPr="00576D60" w:rsidRDefault="00E93F58" w:rsidP="002F32E3">
            <w:pPr>
              <w:pStyle w:val="ENoteTableText"/>
            </w:pPr>
            <w:r w:rsidRPr="00576D60">
              <w:t>ad. 2001 No. 319</w:t>
            </w:r>
          </w:p>
        </w:tc>
      </w:tr>
      <w:tr w:rsidR="00E93F58" w:rsidRPr="00576D60" w14:paraId="1573A534" w14:textId="77777777" w:rsidTr="002F32E3">
        <w:trPr>
          <w:cantSplit/>
        </w:trPr>
        <w:tc>
          <w:tcPr>
            <w:tcW w:w="1500" w:type="pct"/>
            <w:shd w:val="clear" w:color="auto" w:fill="auto"/>
          </w:tcPr>
          <w:p w14:paraId="0D19CE63" w14:textId="77777777" w:rsidR="00E93F58" w:rsidRPr="00576D60" w:rsidRDefault="00E93F58" w:rsidP="002F32E3">
            <w:pPr>
              <w:pStyle w:val="ENoteTableText"/>
            </w:pPr>
          </w:p>
        </w:tc>
        <w:tc>
          <w:tcPr>
            <w:tcW w:w="3500" w:type="pct"/>
            <w:shd w:val="clear" w:color="auto" w:fill="auto"/>
          </w:tcPr>
          <w:p w14:paraId="320F7120" w14:textId="77777777" w:rsidR="00E93F58" w:rsidRPr="00576D60" w:rsidRDefault="00E93F58" w:rsidP="002F32E3">
            <w:pPr>
              <w:pStyle w:val="ENoteTableText"/>
            </w:pPr>
            <w:r w:rsidRPr="00576D60">
              <w:t>am. 2003 No. 202; 2005 No. 324; 2010 No. 88</w:t>
            </w:r>
          </w:p>
        </w:tc>
      </w:tr>
      <w:tr w:rsidR="00E93F58" w:rsidRPr="00576D60" w14:paraId="092E3C0A" w14:textId="77777777" w:rsidTr="002F32E3">
        <w:trPr>
          <w:cantSplit/>
        </w:trPr>
        <w:tc>
          <w:tcPr>
            <w:tcW w:w="1500" w:type="pct"/>
            <w:shd w:val="clear" w:color="auto" w:fill="auto"/>
          </w:tcPr>
          <w:p w14:paraId="109587CC" w14:textId="77777777" w:rsidR="00E93F58" w:rsidRPr="00576D60" w:rsidRDefault="00E93F58" w:rsidP="002F32E3">
            <w:pPr>
              <w:pStyle w:val="ENoteTableText"/>
              <w:tabs>
                <w:tab w:val="left" w:leader="dot" w:pos="2268"/>
              </w:tabs>
            </w:pPr>
            <w:r w:rsidRPr="00576D60">
              <w:t>r. 7.7.04A</w:t>
            </w:r>
            <w:r w:rsidRPr="00576D60">
              <w:tab/>
            </w:r>
          </w:p>
        </w:tc>
        <w:tc>
          <w:tcPr>
            <w:tcW w:w="3500" w:type="pct"/>
            <w:shd w:val="clear" w:color="auto" w:fill="auto"/>
          </w:tcPr>
          <w:p w14:paraId="538750A9" w14:textId="77777777" w:rsidR="00E93F58" w:rsidRPr="00576D60" w:rsidRDefault="00E93F58" w:rsidP="002F32E3">
            <w:pPr>
              <w:pStyle w:val="ENoteTableText"/>
            </w:pPr>
            <w:r w:rsidRPr="00576D60">
              <w:t>ad. 2005 No. 324</w:t>
            </w:r>
          </w:p>
        </w:tc>
      </w:tr>
      <w:tr w:rsidR="00E93F58" w:rsidRPr="00576D60" w14:paraId="379A4A87" w14:textId="77777777" w:rsidTr="002F32E3">
        <w:trPr>
          <w:cantSplit/>
        </w:trPr>
        <w:tc>
          <w:tcPr>
            <w:tcW w:w="1500" w:type="pct"/>
            <w:shd w:val="clear" w:color="auto" w:fill="auto"/>
          </w:tcPr>
          <w:p w14:paraId="4DC1FA8A" w14:textId="77777777" w:rsidR="00E93F58" w:rsidRPr="00576D60" w:rsidRDefault="00E93F58" w:rsidP="002F32E3">
            <w:pPr>
              <w:pStyle w:val="ENoteTableText"/>
              <w:tabs>
                <w:tab w:val="left" w:leader="dot" w:pos="2268"/>
              </w:tabs>
            </w:pPr>
            <w:r w:rsidRPr="00576D60">
              <w:t>r. 7.7.04AA</w:t>
            </w:r>
            <w:r w:rsidRPr="00576D60">
              <w:tab/>
            </w:r>
          </w:p>
        </w:tc>
        <w:tc>
          <w:tcPr>
            <w:tcW w:w="3500" w:type="pct"/>
            <w:shd w:val="clear" w:color="auto" w:fill="auto"/>
          </w:tcPr>
          <w:p w14:paraId="25B54EBC" w14:textId="77777777" w:rsidR="00E93F58" w:rsidRPr="00576D60" w:rsidRDefault="00E93F58" w:rsidP="002F32E3">
            <w:pPr>
              <w:pStyle w:val="ENoteTableText"/>
            </w:pPr>
            <w:r w:rsidRPr="00576D60">
              <w:t>ad. 2012 No. 170</w:t>
            </w:r>
          </w:p>
        </w:tc>
      </w:tr>
      <w:tr w:rsidR="00E93F58" w:rsidRPr="00576D60" w14:paraId="11F7C0A3" w14:textId="77777777" w:rsidTr="002F32E3">
        <w:trPr>
          <w:cantSplit/>
        </w:trPr>
        <w:tc>
          <w:tcPr>
            <w:tcW w:w="1500" w:type="pct"/>
            <w:shd w:val="clear" w:color="auto" w:fill="auto"/>
          </w:tcPr>
          <w:p w14:paraId="3529FAC7" w14:textId="77777777" w:rsidR="00E93F58" w:rsidRPr="00576D60" w:rsidRDefault="00E93F58" w:rsidP="002F32E3">
            <w:pPr>
              <w:pStyle w:val="ENoteTableText"/>
              <w:tabs>
                <w:tab w:val="left" w:leader="dot" w:pos="2268"/>
              </w:tabs>
            </w:pPr>
            <w:r w:rsidRPr="00576D60">
              <w:t>r. 7.7.04AB</w:t>
            </w:r>
            <w:r w:rsidRPr="00576D60">
              <w:tab/>
            </w:r>
          </w:p>
        </w:tc>
        <w:tc>
          <w:tcPr>
            <w:tcW w:w="3500" w:type="pct"/>
            <w:shd w:val="clear" w:color="auto" w:fill="auto"/>
          </w:tcPr>
          <w:p w14:paraId="2686870D" w14:textId="77777777" w:rsidR="00E93F58" w:rsidRPr="00576D60" w:rsidRDefault="00E93F58" w:rsidP="002F32E3">
            <w:pPr>
              <w:pStyle w:val="ENoteTableText"/>
            </w:pPr>
            <w:r w:rsidRPr="00576D60">
              <w:t>ad. 2012 No. 170</w:t>
            </w:r>
          </w:p>
        </w:tc>
      </w:tr>
      <w:tr w:rsidR="00E93F58" w:rsidRPr="00576D60" w14:paraId="4AE5135E" w14:textId="77777777" w:rsidTr="002F32E3">
        <w:trPr>
          <w:cantSplit/>
        </w:trPr>
        <w:tc>
          <w:tcPr>
            <w:tcW w:w="1500" w:type="pct"/>
            <w:shd w:val="clear" w:color="auto" w:fill="auto"/>
          </w:tcPr>
          <w:p w14:paraId="68A5E88E" w14:textId="77777777" w:rsidR="00E93F58" w:rsidRPr="00576D60" w:rsidRDefault="00E93F58" w:rsidP="002F32E3">
            <w:pPr>
              <w:pStyle w:val="ENoteTableText"/>
              <w:tabs>
                <w:tab w:val="left" w:leader="dot" w:pos="2268"/>
              </w:tabs>
            </w:pPr>
            <w:r w:rsidRPr="00576D60">
              <w:t>r. 7.7.05</w:t>
            </w:r>
            <w:r w:rsidRPr="00576D60">
              <w:tab/>
            </w:r>
          </w:p>
        </w:tc>
        <w:tc>
          <w:tcPr>
            <w:tcW w:w="3500" w:type="pct"/>
            <w:shd w:val="clear" w:color="auto" w:fill="auto"/>
          </w:tcPr>
          <w:p w14:paraId="3FD78A65" w14:textId="77777777" w:rsidR="00E93F58" w:rsidRPr="00576D60" w:rsidRDefault="00E93F58" w:rsidP="002F32E3">
            <w:pPr>
              <w:pStyle w:val="ENoteTableText"/>
            </w:pPr>
            <w:r w:rsidRPr="00576D60">
              <w:t>ad. 2001 No. 319</w:t>
            </w:r>
          </w:p>
        </w:tc>
      </w:tr>
      <w:tr w:rsidR="00E93F58" w:rsidRPr="00576D60" w14:paraId="6B2E660B" w14:textId="77777777" w:rsidTr="002F32E3">
        <w:trPr>
          <w:cantSplit/>
        </w:trPr>
        <w:tc>
          <w:tcPr>
            <w:tcW w:w="1500" w:type="pct"/>
            <w:shd w:val="clear" w:color="auto" w:fill="auto"/>
          </w:tcPr>
          <w:p w14:paraId="5124CC59" w14:textId="77777777" w:rsidR="00E93F58" w:rsidRPr="00576D60" w:rsidRDefault="00E93F58" w:rsidP="002F32E3">
            <w:pPr>
              <w:pStyle w:val="ENoteTableText"/>
            </w:pPr>
          </w:p>
        </w:tc>
        <w:tc>
          <w:tcPr>
            <w:tcW w:w="3500" w:type="pct"/>
            <w:shd w:val="clear" w:color="auto" w:fill="auto"/>
          </w:tcPr>
          <w:p w14:paraId="0BC04BF3" w14:textId="77777777" w:rsidR="00E93F58" w:rsidRPr="00576D60" w:rsidRDefault="00E93F58" w:rsidP="002F32E3">
            <w:pPr>
              <w:pStyle w:val="ENoteTableText"/>
            </w:pPr>
            <w:r w:rsidRPr="00576D60">
              <w:t>rs. 2003 No. 369</w:t>
            </w:r>
          </w:p>
        </w:tc>
      </w:tr>
      <w:tr w:rsidR="00E93F58" w:rsidRPr="00576D60" w14:paraId="3E9B6C54" w14:textId="77777777" w:rsidTr="002F32E3">
        <w:trPr>
          <w:cantSplit/>
        </w:trPr>
        <w:tc>
          <w:tcPr>
            <w:tcW w:w="1500" w:type="pct"/>
            <w:shd w:val="clear" w:color="auto" w:fill="auto"/>
          </w:tcPr>
          <w:p w14:paraId="6E0D99BF" w14:textId="77777777" w:rsidR="00E93F58" w:rsidRPr="00576D60" w:rsidRDefault="00E93F58" w:rsidP="002F32E3">
            <w:pPr>
              <w:pStyle w:val="ENoteTableText"/>
            </w:pPr>
          </w:p>
        </w:tc>
        <w:tc>
          <w:tcPr>
            <w:tcW w:w="3500" w:type="pct"/>
            <w:shd w:val="clear" w:color="auto" w:fill="auto"/>
          </w:tcPr>
          <w:p w14:paraId="1AD02801" w14:textId="77777777" w:rsidR="00E93F58" w:rsidRPr="00576D60" w:rsidRDefault="00E93F58" w:rsidP="002F32E3">
            <w:pPr>
              <w:pStyle w:val="ENoteTableText"/>
            </w:pPr>
            <w:r w:rsidRPr="00576D60">
              <w:t>am. 2005 No. 324</w:t>
            </w:r>
          </w:p>
        </w:tc>
      </w:tr>
      <w:tr w:rsidR="00E93F58" w:rsidRPr="00576D60" w14:paraId="7996F942" w14:textId="77777777" w:rsidTr="002F32E3">
        <w:trPr>
          <w:cantSplit/>
        </w:trPr>
        <w:tc>
          <w:tcPr>
            <w:tcW w:w="1500" w:type="pct"/>
            <w:shd w:val="clear" w:color="auto" w:fill="auto"/>
          </w:tcPr>
          <w:p w14:paraId="6B97B4AB" w14:textId="77777777" w:rsidR="00E93F58" w:rsidRPr="00576D60" w:rsidRDefault="00E93F58" w:rsidP="002F32E3">
            <w:pPr>
              <w:pStyle w:val="ENoteTableText"/>
              <w:tabs>
                <w:tab w:val="left" w:leader="dot" w:pos="2268"/>
              </w:tabs>
            </w:pPr>
            <w:r w:rsidRPr="00576D60">
              <w:t>r. 7.7.05A</w:t>
            </w:r>
            <w:r w:rsidRPr="00576D60">
              <w:tab/>
            </w:r>
          </w:p>
        </w:tc>
        <w:tc>
          <w:tcPr>
            <w:tcW w:w="3500" w:type="pct"/>
            <w:shd w:val="clear" w:color="auto" w:fill="auto"/>
          </w:tcPr>
          <w:p w14:paraId="35FB0260" w14:textId="77777777" w:rsidR="00E93F58" w:rsidRPr="00576D60" w:rsidRDefault="00E93F58" w:rsidP="002F32E3">
            <w:pPr>
              <w:pStyle w:val="ENoteTableText"/>
            </w:pPr>
            <w:r w:rsidRPr="00576D60">
              <w:t>ad. 2002 No. 16</w:t>
            </w:r>
          </w:p>
        </w:tc>
      </w:tr>
      <w:tr w:rsidR="00E93F58" w:rsidRPr="00576D60" w14:paraId="03D6AC13" w14:textId="77777777" w:rsidTr="002F32E3">
        <w:trPr>
          <w:cantSplit/>
        </w:trPr>
        <w:tc>
          <w:tcPr>
            <w:tcW w:w="1500" w:type="pct"/>
            <w:shd w:val="clear" w:color="auto" w:fill="auto"/>
          </w:tcPr>
          <w:p w14:paraId="2FE557C2" w14:textId="77777777" w:rsidR="00E93F58" w:rsidRPr="00576D60" w:rsidRDefault="00E93F58" w:rsidP="002F32E3">
            <w:pPr>
              <w:pStyle w:val="ENoteTableText"/>
            </w:pPr>
          </w:p>
        </w:tc>
        <w:tc>
          <w:tcPr>
            <w:tcW w:w="3500" w:type="pct"/>
            <w:shd w:val="clear" w:color="auto" w:fill="auto"/>
          </w:tcPr>
          <w:p w14:paraId="0C646DD8" w14:textId="77777777" w:rsidR="00E93F58" w:rsidRPr="00576D60" w:rsidRDefault="00E93F58" w:rsidP="002F32E3">
            <w:pPr>
              <w:pStyle w:val="ENoteTableText"/>
            </w:pPr>
            <w:r w:rsidRPr="00576D60">
              <w:t>am. 2003 No. 85</w:t>
            </w:r>
          </w:p>
        </w:tc>
      </w:tr>
      <w:tr w:rsidR="00E93F58" w:rsidRPr="00576D60" w14:paraId="0DDA555F" w14:textId="77777777" w:rsidTr="002F32E3">
        <w:trPr>
          <w:cantSplit/>
        </w:trPr>
        <w:tc>
          <w:tcPr>
            <w:tcW w:w="1500" w:type="pct"/>
            <w:shd w:val="clear" w:color="auto" w:fill="auto"/>
          </w:tcPr>
          <w:p w14:paraId="5D93F5A5" w14:textId="77777777" w:rsidR="00E93F58" w:rsidRPr="00576D60" w:rsidRDefault="00E93F58" w:rsidP="002F32E3">
            <w:pPr>
              <w:pStyle w:val="ENoteTableText"/>
              <w:tabs>
                <w:tab w:val="left" w:leader="dot" w:pos="2268"/>
              </w:tabs>
            </w:pPr>
            <w:r w:rsidRPr="00576D60">
              <w:t>r. 7.7.05B</w:t>
            </w:r>
            <w:r w:rsidRPr="00576D60">
              <w:tab/>
            </w:r>
          </w:p>
        </w:tc>
        <w:tc>
          <w:tcPr>
            <w:tcW w:w="3500" w:type="pct"/>
            <w:shd w:val="clear" w:color="auto" w:fill="auto"/>
          </w:tcPr>
          <w:p w14:paraId="1043A33F" w14:textId="77777777" w:rsidR="00E93F58" w:rsidRPr="00576D60" w:rsidRDefault="00E93F58" w:rsidP="002F32E3">
            <w:pPr>
              <w:pStyle w:val="ENoteTableText"/>
            </w:pPr>
            <w:r w:rsidRPr="00576D60">
              <w:t>ad. 2003 No. 85</w:t>
            </w:r>
          </w:p>
        </w:tc>
      </w:tr>
      <w:tr w:rsidR="00E93F58" w:rsidRPr="00576D60" w14:paraId="549F9C32" w14:textId="77777777" w:rsidTr="002F32E3">
        <w:trPr>
          <w:cantSplit/>
        </w:trPr>
        <w:tc>
          <w:tcPr>
            <w:tcW w:w="1500" w:type="pct"/>
            <w:shd w:val="clear" w:color="auto" w:fill="auto"/>
          </w:tcPr>
          <w:p w14:paraId="0C09DACE" w14:textId="77777777" w:rsidR="00E93F58" w:rsidRPr="00576D60" w:rsidRDefault="00E93F58" w:rsidP="002F32E3">
            <w:pPr>
              <w:pStyle w:val="ENoteTableText"/>
            </w:pPr>
          </w:p>
        </w:tc>
        <w:tc>
          <w:tcPr>
            <w:tcW w:w="3500" w:type="pct"/>
            <w:shd w:val="clear" w:color="auto" w:fill="auto"/>
          </w:tcPr>
          <w:p w14:paraId="711BDAA3" w14:textId="77777777" w:rsidR="00E93F58" w:rsidRPr="00576D60" w:rsidRDefault="00E93F58" w:rsidP="002F32E3">
            <w:pPr>
              <w:pStyle w:val="ENoteTableText"/>
            </w:pPr>
            <w:r w:rsidRPr="00576D60">
              <w:t>rs. 2004 No. 25</w:t>
            </w:r>
          </w:p>
        </w:tc>
      </w:tr>
      <w:tr w:rsidR="00E93F58" w:rsidRPr="00576D60" w14:paraId="0D3677F9" w14:textId="77777777" w:rsidTr="002F32E3">
        <w:trPr>
          <w:cantSplit/>
        </w:trPr>
        <w:tc>
          <w:tcPr>
            <w:tcW w:w="1500" w:type="pct"/>
            <w:shd w:val="clear" w:color="auto" w:fill="auto"/>
          </w:tcPr>
          <w:p w14:paraId="0A38031C" w14:textId="77777777" w:rsidR="00E93F58" w:rsidRPr="00576D60" w:rsidRDefault="00E93F58" w:rsidP="002F32E3">
            <w:pPr>
              <w:pStyle w:val="ENoteTableText"/>
            </w:pPr>
          </w:p>
        </w:tc>
        <w:tc>
          <w:tcPr>
            <w:tcW w:w="3500" w:type="pct"/>
            <w:shd w:val="clear" w:color="auto" w:fill="auto"/>
          </w:tcPr>
          <w:p w14:paraId="21DBED97" w14:textId="77777777" w:rsidR="00E93F58" w:rsidRPr="00576D60" w:rsidRDefault="00E93F58" w:rsidP="002F32E3">
            <w:pPr>
              <w:pStyle w:val="ENoteTableText"/>
            </w:pPr>
            <w:r w:rsidRPr="00576D60">
              <w:t>am. 2005 No. 324; 2007 No. 324</w:t>
            </w:r>
          </w:p>
        </w:tc>
      </w:tr>
      <w:tr w:rsidR="00E93F58" w:rsidRPr="00576D60" w14:paraId="0B0B4322" w14:textId="77777777" w:rsidTr="002F32E3">
        <w:trPr>
          <w:cantSplit/>
        </w:trPr>
        <w:tc>
          <w:tcPr>
            <w:tcW w:w="1500" w:type="pct"/>
            <w:shd w:val="clear" w:color="auto" w:fill="auto"/>
          </w:tcPr>
          <w:p w14:paraId="7DA5552F" w14:textId="77777777" w:rsidR="00E93F58" w:rsidRPr="00576D60" w:rsidRDefault="00E93F58" w:rsidP="002F32E3">
            <w:pPr>
              <w:pStyle w:val="ENoteTableText"/>
              <w:tabs>
                <w:tab w:val="left" w:leader="dot" w:pos="2268"/>
              </w:tabs>
            </w:pPr>
            <w:r w:rsidRPr="00576D60">
              <w:lastRenderedPageBreak/>
              <w:t>r. 7.7.05C</w:t>
            </w:r>
            <w:r w:rsidRPr="00576D60">
              <w:tab/>
            </w:r>
          </w:p>
        </w:tc>
        <w:tc>
          <w:tcPr>
            <w:tcW w:w="3500" w:type="pct"/>
            <w:shd w:val="clear" w:color="auto" w:fill="auto"/>
          </w:tcPr>
          <w:p w14:paraId="4AC1E216" w14:textId="77777777" w:rsidR="00E93F58" w:rsidRPr="00576D60" w:rsidRDefault="00E93F58" w:rsidP="002F32E3">
            <w:pPr>
              <w:pStyle w:val="ENoteTableText"/>
            </w:pPr>
            <w:r w:rsidRPr="00576D60">
              <w:t>ad. 2004 No. 25</w:t>
            </w:r>
          </w:p>
        </w:tc>
      </w:tr>
      <w:tr w:rsidR="00E93F58" w:rsidRPr="00576D60" w14:paraId="00F0ABB0" w14:textId="77777777" w:rsidTr="002F32E3">
        <w:trPr>
          <w:cantSplit/>
        </w:trPr>
        <w:tc>
          <w:tcPr>
            <w:tcW w:w="1500" w:type="pct"/>
            <w:shd w:val="clear" w:color="auto" w:fill="auto"/>
          </w:tcPr>
          <w:p w14:paraId="4A1B1A5C" w14:textId="77777777" w:rsidR="00E93F58" w:rsidRPr="00576D60" w:rsidRDefault="00E93F58" w:rsidP="002F32E3">
            <w:pPr>
              <w:pStyle w:val="ENoteTableText"/>
              <w:tabs>
                <w:tab w:val="left" w:leader="dot" w:pos="2268"/>
              </w:tabs>
            </w:pPr>
            <w:r w:rsidRPr="00576D60">
              <w:t>r. 7.7.06</w:t>
            </w:r>
            <w:r w:rsidRPr="00576D60">
              <w:tab/>
            </w:r>
          </w:p>
        </w:tc>
        <w:tc>
          <w:tcPr>
            <w:tcW w:w="3500" w:type="pct"/>
            <w:shd w:val="clear" w:color="auto" w:fill="auto"/>
          </w:tcPr>
          <w:p w14:paraId="0CCF1F4E" w14:textId="77777777" w:rsidR="00E93F58" w:rsidRPr="00576D60" w:rsidRDefault="00E93F58" w:rsidP="002F32E3">
            <w:pPr>
              <w:pStyle w:val="ENoteTableText"/>
            </w:pPr>
            <w:r w:rsidRPr="00576D60">
              <w:t>ad. 2001 No. 319</w:t>
            </w:r>
          </w:p>
        </w:tc>
      </w:tr>
      <w:tr w:rsidR="00E93F58" w:rsidRPr="00576D60" w14:paraId="71036657" w14:textId="77777777" w:rsidTr="002F32E3">
        <w:trPr>
          <w:cantSplit/>
        </w:trPr>
        <w:tc>
          <w:tcPr>
            <w:tcW w:w="1500" w:type="pct"/>
            <w:shd w:val="clear" w:color="auto" w:fill="auto"/>
          </w:tcPr>
          <w:p w14:paraId="2BF722D4" w14:textId="77777777" w:rsidR="00E93F58" w:rsidRPr="00576D60" w:rsidRDefault="00E93F58" w:rsidP="002F32E3">
            <w:pPr>
              <w:pStyle w:val="ENoteTableText"/>
              <w:tabs>
                <w:tab w:val="left" w:leader="dot" w:pos="2268"/>
              </w:tabs>
            </w:pPr>
            <w:r w:rsidRPr="00576D60">
              <w:t>r. 7.7.06A</w:t>
            </w:r>
            <w:r w:rsidRPr="00576D60">
              <w:tab/>
            </w:r>
          </w:p>
        </w:tc>
        <w:tc>
          <w:tcPr>
            <w:tcW w:w="3500" w:type="pct"/>
            <w:shd w:val="clear" w:color="auto" w:fill="auto"/>
          </w:tcPr>
          <w:p w14:paraId="42FFF915" w14:textId="77777777" w:rsidR="00E93F58" w:rsidRPr="00576D60" w:rsidRDefault="00E93F58" w:rsidP="002F32E3">
            <w:pPr>
              <w:pStyle w:val="ENoteTableText"/>
            </w:pPr>
            <w:r w:rsidRPr="00576D60">
              <w:t>ad. 2004 No. 25</w:t>
            </w:r>
          </w:p>
        </w:tc>
      </w:tr>
      <w:tr w:rsidR="00E93F58" w:rsidRPr="00576D60" w14:paraId="669668AA" w14:textId="77777777" w:rsidTr="002F32E3">
        <w:trPr>
          <w:cantSplit/>
        </w:trPr>
        <w:tc>
          <w:tcPr>
            <w:tcW w:w="1500" w:type="pct"/>
            <w:shd w:val="clear" w:color="auto" w:fill="auto"/>
          </w:tcPr>
          <w:p w14:paraId="2A7A19AF" w14:textId="77777777" w:rsidR="00E93F58" w:rsidRPr="00576D60" w:rsidRDefault="00E93F58" w:rsidP="002F32E3">
            <w:pPr>
              <w:pStyle w:val="ENoteTableText"/>
              <w:tabs>
                <w:tab w:val="left" w:leader="dot" w:pos="2268"/>
              </w:tabs>
            </w:pPr>
            <w:r w:rsidRPr="00576D60">
              <w:t>r 7.7.06B</w:t>
            </w:r>
            <w:r w:rsidRPr="00576D60">
              <w:tab/>
            </w:r>
          </w:p>
        </w:tc>
        <w:tc>
          <w:tcPr>
            <w:tcW w:w="3500" w:type="pct"/>
            <w:shd w:val="clear" w:color="auto" w:fill="auto"/>
          </w:tcPr>
          <w:p w14:paraId="29380EA4" w14:textId="77777777" w:rsidR="00E93F58" w:rsidRPr="00576D60" w:rsidRDefault="00E93F58" w:rsidP="002F32E3">
            <w:pPr>
              <w:pStyle w:val="ENoteTableText"/>
            </w:pPr>
            <w:r w:rsidRPr="00576D60">
              <w:t>ad</w:t>
            </w:r>
            <w:r>
              <w:t xml:space="preserve"> No 197, 2007</w:t>
            </w:r>
          </w:p>
        </w:tc>
      </w:tr>
      <w:tr w:rsidR="00E93F58" w:rsidRPr="00576D60" w14:paraId="298E8C4E" w14:textId="77777777" w:rsidTr="002F32E3">
        <w:trPr>
          <w:cantSplit/>
        </w:trPr>
        <w:tc>
          <w:tcPr>
            <w:tcW w:w="1500" w:type="pct"/>
            <w:shd w:val="clear" w:color="auto" w:fill="auto"/>
          </w:tcPr>
          <w:p w14:paraId="333A3FB7" w14:textId="77777777" w:rsidR="00E93F58" w:rsidRPr="00576D60" w:rsidRDefault="00E93F58" w:rsidP="002F32E3">
            <w:pPr>
              <w:pStyle w:val="ENoteTableText"/>
              <w:tabs>
                <w:tab w:val="left" w:leader="dot" w:pos="2268"/>
              </w:tabs>
            </w:pPr>
          </w:p>
        </w:tc>
        <w:tc>
          <w:tcPr>
            <w:tcW w:w="3500" w:type="pct"/>
            <w:shd w:val="clear" w:color="auto" w:fill="auto"/>
          </w:tcPr>
          <w:p w14:paraId="5CAB0FEB" w14:textId="77777777" w:rsidR="00E93F58" w:rsidRPr="00576D60" w:rsidRDefault="00E93F58" w:rsidP="002F32E3">
            <w:pPr>
              <w:pStyle w:val="ENoteTableText"/>
            </w:pPr>
            <w:r>
              <w:t>am F2023L01458</w:t>
            </w:r>
          </w:p>
        </w:tc>
      </w:tr>
      <w:tr w:rsidR="00E93F58" w:rsidRPr="00576D60" w14:paraId="61F3D68D" w14:textId="77777777" w:rsidTr="002F32E3">
        <w:trPr>
          <w:cantSplit/>
        </w:trPr>
        <w:tc>
          <w:tcPr>
            <w:tcW w:w="1500" w:type="pct"/>
            <w:shd w:val="clear" w:color="auto" w:fill="auto"/>
          </w:tcPr>
          <w:p w14:paraId="5CA94F52" w14:textId="77777777" w:rsidR="00E93F58" w:rsidRPr="00576D60" w:rsidRDefault="00E93F58" w:rsidP="002F32E3">
            <w:pPr>
              <w:pStyle w:val="ENoteTableText"/>
              <w:tabs>
                <w:tab w:val="left" w:leader="dot" w:pos="2268"/>
              </w:tabs>
            </w:pPr>
            <w:r w:rsidRPr="00576D60">
              <w:t>r. 7.7.07</w:t>
            </w:r>
            <w:r w:rsidRPr="00576D60">
              <w:tab/>
            </w:r>
          </w:p>
        </w:tc>
        <w:tc>
          <w:tcPr>
            <w:tcW w:w="3500" w:type="pct"/>
            <w:shd w:val="clear" w:color="auto" w:fill="auto"/>
          </w:tcPr>
          <w:p w14:paraId="6654E576" w14:textId="77777777" w:rsidR="00E93F58" w:rsidRPr="00576D60" w:rsidRDefault="00E93F58" w:rsidP="002F32E3">
            <w:pPr>
              <w:pStyle w:val="ENoteTableText"/>
            </w:pPr>
            <w:r w:rsidRPr="00576D60">
              <w:t>ad. 2001 No. 319</w:t>
            </w:r>
          </w:p>
        </w:tc>
      </w:tr>
      <w:tr w:rsidR="00E93F58" w:rsidRPr="00576D60" w14:paraId="2AF8E234" w14:textId="77777777" w:rsidTr="002F32E3">
        <w:trPr>
          <w:cantSplit/>
        </w:trPr>
        <w:tc>
          <w:tcPr>
            <w:tcW w:w="1500" w:type="pct"/>
            <w:shd w:val="clear" w:color="auto" w:fill="auto"/>
          </w:tcPr>
          <w:p w14:paraId="627AD4A2" w14:textId="77777777" w:rsidR="00E93F58" w:rsidRPr="00576D60" w:rsidRDefault="00E93F58" w:rsidP="002F32E3">
            <w:pPr>
              <w:pStyle w:val="ENoteTableText"/>
            </w:pPr>
          </w:p>
        </w:tc>
        <w:tc>
          <w:tcPr>
            <w:tcW w:w="3500" w:type="pct"/>
            <w:shd w:val="clear" w:color="auto" w:fill="auto"/>
          </w:tcPr>
          <w:p w14:paraId="1D3C3CE5" w14:textId="77777777" w:rsidR="00E93F58" w:rsidRPr="00576D60" w:rsidRDefault="00E93F58" w:rsidP="002F32E3">
            <w:pPr>
              <w:pStyle w:val="ENoteTableText"/>
            </w:pPr>
            <w:r w:rsidRPr="00576D60">
              <w:t>am. 2003 No. 202; 2005 No. 324; 2010 No. 88</w:t>
            </w:r>
          </w:p>
        </w:tc>
      </w:tr>
      <w:tr w:rsidR="00E93F58" w:rsidRPr="00576D60" w14:paraId="14C13664" w14:textId="77777777" w:rsidTr="002F32E3">
        <w:trPr>
          <w:cantSplit/>
        </w:trPr>
        <w:tc>
          <w:tcPr>
            <w:tcW w:w="1500" w:type="pct"/>
            <w:shd w:val="clear" w:color="auto" w:fill="auto"/>
          </w:tcPr>
          <w:p w14:paraId="290AA388" w14:textId="77777777" w:rsidR="00E93F58" w:rsidRPr="00576D60" w:rsidRDefault="00E93F58" w:rsidP="002F32E3">
            <w:pPr>
              <w:pStyle w:val="ENoteTableText"/>
              <w:tabs>
                <w:tab w:val="left" w:leader="dot" w:pos="2268"/>
              </w:tabs>
            </w:pPr>
            <w:r w:rsidRPr="00576D60">
              <w:t>r. 7.7.07A</w:t>
            </w:r>
            <w:r w:rsidRPr="00576D60">
              <w:tab/>
            </w:r>
          </w:p>
        </w:tc>
        <w:tc>
          <w:tcPr>
            <w:tcW w:w="3500" w:type="pct"/>
            <w:shd w:val="clear" w:color="auto" w:fill="auto"/>
          </w:tcPr>
          <w:p w14:paraId="18306C8E" w14:textId="77777777" w:rsidR="00E93F58" w:rsidRPr="00576D60" w:rsidRDefault="00E93F58" w:rsidP="002F32E3">
            <w:pPr>
              <w:pStyle w:val="ENoteTableText"/>
            </w:pPr>
            <w:r w:rsidRPr="00576D60">
              <w:t>ad. 2005 No. 324</w:t>
            </w:r>
          </w:p>
        </w:tc>
      </w:tr>
      <w:tr w:rsidR="00E93F58" w:rsidRPr="00576D60" w14:paraId="3578FD17" w14:textId="77777777" w:rsidTr="002F32E3">
        <w:trPr>
          <w:cantSplit/>
        </w:trPr>
        <w:tc>
          <w:tcPr>
            <w:tcW w:w="1500" w:type="pct"/>
            <w:shd w:val="clear" w:color="auto" w:fill="auto"/>
          </w:tcPr>
          <w:p w14:paraId="535053A6" w14:textId="77777777" w:rsidR="00E93F58" w:rsidRPr="00576D60" w:rsidRDefault="00E93F58" w:rsidP="002F32E3">
            <w:pPr>
              <w:pStyle w:val="ENoteTableText"/>
              <w:tabs>
                <w:tab w:val="left" w:leader="dot" w:pos="2268"/>
              </w:tabs>
            </w:pPr>
            <w:r w:rsidRPr="00576D60">
              <w:t>r. 7.7.08</w:t>
            </w:r>
            <w:r w:rsidRPr="00576D60">
              <w:tab/>
            </w:r>
          </w:p>
        </w:tc>
        <w:tc>
          <w:tcPr>
            <w:tcW w:w="3500" w:type="pct"/>
            <w:shd w:val="clear" w:color="auto" w:fill="auto"/>
          </w:tcPr>
          <w:p w14:paraId="4BA5DF6C" w14:textId="77777777" w:rsidR="00E93F58" w:rsidRPr="00576D60" w:rsidRDefault="00E93F58" w:rsidP="002F32E3">
            <w:pPr>
              <w:pStyle w:val="ENoteTableText"/>
            </w:pPr>
            <w:r w:rsidRPr="00576D60">
              <w:t>ad. 2001 No. 319</w:t>
            </w:r>
          </w:p>
        </w:tc>
      </w:tr>
      <w:tr w:rsidR="00E93F58" w:rsidRPr="00576D60" w14:paraId="3703A77E" w14:textId="77777777" w:rsidTr="002F32E3">
        <w:trPr>
          <w:cantSplit/>
        </w:trPr>
        <w:tc>
          <w:tcPr>
            <w:tcW w:w="1500" w:type="pct"/>
            <w:shd w:val="clear" w:color="auto" w:fill="auto"/>
          </w:tcPr>
          <w:p w14:paraId="7D922070" w14:textId="77777777" w:rsidR="00E93F58" w:rsidRPr="00576D60" w:rsidRDefault="00E93F58" w:rsidP="002F32E3">
            <w:pPr>
              <w:pStyle w:val="ENoteTableText"/>
            </w:pPr>
          </w:p>
        </w:tc>
        <w:tc>
          <w:tcPr>
            <w:tcW w:w="3500" w:type="pct"/>
            <w:shd w:val="clear" w:color="auto" w:fill="auto"/>
          </w:tcPr>
          <w:p w14:paraId="69F354A8" w14:textId="77777777" w:rsidR="00E93F58" w:rsidRPr="00576D60" w:rsidRDefault="00E93F58" w:rsidP="002F32E3">
            <w:pPr>
              <w:pStyle w:val="ENoteTableText"/>
            </w:pPr>
            <w:r w:rsidRPr="00576D60">
              <w:t>rs. 2003 No. 369</w:t>
            </w:r>
          </w:p>
        </w:tc>
      </w:tr>
      <w:tr w:rsidR="00E93F58" w:rsidRPr="00576D60" w14:paraId="0369D76B" w14:textId="77777777" w:rsidTr="002F32E3">
        <w:trPr>
          <w:cantSplit/>
        </w:trPr>
        <w:tc>
          <w:tcPr>
            <w:tcW w:w="1500" w:type="pct"/>
            <w:shd w:val="clear" w:color="auto" w:fill="auto"/>
          </w:tcPr>
          <w:p w14:paraId="223D6D49" w14:textId="77777777" w:rsidR="00E93F58" w:rsidRPr="00576D60" w:rsidRDefault="00E93F58" w:rsidP="002F32E3">
            <w:pPr>
              <w:pStyle w:val="ENoteTableText"/>
            </w:pPr>
          </w:p>
        </w:tc>
        <w:tc>
          <w:tcPr>
            <w:tcW w:w="3500" w:type="pct"/>
            <w:shd w:val="clear" w:color="auto" w:fill="auto"/>
          </w:tcPr>
          <w:p w14:paraId="29963B33" w14:textId="77777777" w:rsidR="00E93F58" w:rsidRPr="00576D60" w:rsidRDefault="00E93F58" w:rsidP="002F32E3">
            <w:pPr>
              <w:pStyle w:val="ENoteTableText"/>
            </w:pPr>
            <w:r w:rsidRPr="00576D60">
              <w:t>am. 2005 No. 324</w:t>
            </w:r>
          </w:p>
        </w:tc>
      </w:tr>
      <w:tr w:rsidR="00E93F58" w:rsidRPr="00576D60" w14:paraId="6ED28306" w14:textId="77777777" w:rsidTr="002F32E3">
        <w:trPr>
          <w:cantSplit/>
        </w:trPr>
        <w:tc>
          <w:tcPr>
            <w:tcW w:w="1500" w:type="pct"/>
            <w:shd w:val="clear" w:color="auto" w:fill="auto"/>
          </w:tcPr>
          <w:p w14:paraId="0E79C6B7" w14:textId="77777777" w:rsidR="00E93F58" w:rsidRPr="00576D60" w:rsidRDefault="00E93F58" w:rsidP="002F32E3">
            <w:pPr>
              <w:pStyle w:val="ENoteTableText"/>
              <w:tabs>
                <w:tab w:val="left" w:leader="dot" w:pos="2268"/>
              </w:tabs>
              <w:rPr>
                <w:b/>
              </w:rPr>
            </w:pPr>
            <w:r>
              <w:rPr>
                <w:b/>
              </w:rPr>
              <w:t>Division 2</w:t>
            </w:r>
            <w:r w:rsidRPr="00576D60">
              <w:rPr>
                <w:b/>
              </w:rPr>
              <w:t>A</w:t>
            </w:r>
          </w:p>
        </w:tc>
        <w:tc>
          <w:tcPr>
            <w:tcW w:w="3500" w:type="pct"/>
            <w:shd w:val="clear" w:color="auto" w:fill="auto"/>
          </w:tcPr>
          <w:p w14:paraId="70C91FB6" w14:textId="77777777" w:rsidR="00E93F58" w:rsidRPr="00576D60" w:rsidRDefault="00E93F58" w:rsidP="002F32E3">
            <w:pPr>
              <w:pStyle w:val="ENoteTableText"/>
            </w:pPr>
          </w:p>
        </w:tc>
      </w:tr>
      <w:tr w:rsidR="00E93F58" w:rsidRPr="00576D60" w14:paraId="5B66F2EE" w14:textId="77777777" w:rsidTr="002F32E3">
        <w:trPr>
          <w:cantSplit/>
        </w:trPr>
        <w:tc>
          <w:tcPr>
            <w:tcW w:w="1500" w:type="pct"/>
            <w:shd w:val="clear" w:color="auto" w:fill="auto"/>
          </w:tcPr>
          <w:p w14:paraId="1CF96B67" w14:textId="77777777" w:rsidR="00E93F58" w:rsidRPr="00576D60" w:rsidRDefault="00E93F58" w:rsidP="002F32E3">
            <w:pPr>
              <w:pStyle w:val="ENoteTableText"/>
              <w:tabs>
                <w:tab w:val="left" w:leader="dot" w:pos="2268"/>
              </w:tabs>
            </w:pPr>
            <w:r>
              <w:t>Division 2</w:t>
            </w:r>
            <w:r w:rsidRPr="00576D60">
              <w:t>A</w:t>
            </w:r>
            <w:r w:rsidRPr="00576D60">
              <w:tab/>
            </w:r>
          </w:p>
        </w:tc>
        <w:tc>
          <w:tcPr>
            <w:tcW w:w="3500" w:type="pct"/>
            <w:shd w:val="clear" w:color="auto" w:fill="auto"/>
          </w:tcPr>
          <w:p w14:paraId="279A0963" w14:textId="77777777" w:rsidR="00E93F58" w:rsidRPr="00576D60" w:rsidRDefault="00E93F58" w:rsidP="002F32E3">
            <w:pPr>
              <w:pStyle w:val="ENoteTableText"/>
            </w:pPr>
            <w:r w:rsidRPr="00576D60">
              <w:t xml:space="preserve">ad </w:t>
            </w:r>
            <w:r>
              <w:t>No 369, 2003</w:t>
            </w:r>
          </w:p>
        </w:tc>
      </w:tr>
      <w:tr w:rsidR="00E93F58" w:rsidRPr="00576D60" w14:paraId="29C71E8E" w14:textId="77777777" w:rsidTr="002F32E3">
        <w:trPr>
          <w:cantSplit/>
        </w:trPr>
        <w:tc>
          <w:tcPr>
            <w:tcW w:w="1500" w:type="pct"/>
            <w:shd w:val="clear" w:color="auto" w:fill="auto"/>
          </w:tcPr>
          <w:p w14:paraId="178277BE" w14:textId="77777777" w:rsidR="00E93F58" w:rsidRPr="00576D60" w:rsidRDefault="00E93F58" w:rsidP="002F32E3">
            <w:pPr>
              <w:pStyle w:val="ENoteTableText"/>
              <w:tabs>
                <w:tab w:val="left" w:leader="dot" w:pos="2268"/>
              </w:tabs>
            </w:pPr>
            <w:r w:rsidRPr="00576D60">
              <w:t>r 7.7.08A</w:t>
            </w:r>
            <w:r w:rsidRPr="00576D60">
              <w:tab/>
            </w:r>
          </w:p>
        </w:tc>
        <w:tc>
          <w:tcPr>
            <w:tcW w:w="3500" w:type="pct"/>
            <w:shd w:val="clear" w:color="auto" w:fill="auto"/>
          </w:tcPr>
          <w:p w14:paraId="0338815A" w14:textId="77777777" w:rsidR="00E93F58" w:rsidRPr="00576D60" w:rsidRDefault="00E93F58" w:rsidP="002F32E3">
            <w:pPr>
              <w:pStyle w:val="ENoteTableText"/>
            </w:pPr>
            <w:r w:rsidRPr="00576D60">
              <w:t xml:space="preserve">ad </w:t>
            </w:r>
            <w:r>
              <w:t>No 369, 2003</w:t>
            </w:r>
          </w:p>
        </w:tc>
      </w:tr>
      <w:tr w:rsidR="00E93F58" w:rsidRPr="00576D60" w14:paraId="153A04CD" w14:textId="77777777" w:rsidTr="002F32E3">
        <w:trPr>
          <w:cantSplit/>
        </w:trPr>
        <w:tc>
          <w:tcPr>
            <w:tcW w:w="1500" w:type="pct"/>
            <w:shd w:val="clear" w:color="auto" w:fill="auto"/>
          </w:tcPr>
          <w:p w14:paraId="56EC04A7" w14:textId="77777777" w:rsidR="00E93F58" w:rsidRPr="00576D60" w:rsidRDefault="00E93F58" w:rsidP="002F32E3">
            <w:pPr>
              <w:pStyle w:val="ENoteTableText"/>
            </w:pPr>
          </w:p>
        </w:tc>
        <w:tc>
          <w:tcPr>
            <w:tcW w:w="3500" w:type="pct"/>
            <w:shd w:val="clear" w:color="auto" w:fill="auto"/>
          </w:tcPr>
          <w:p w14:paraId="377B6E0F" w14:textId="77777777" w:rsidR="00E93F58" w:rsidRPr="00576D60" w:rsidRDefault="00E93F58" w:rsidP="002F32E3">
            <w:pPr>
              <w:pStyle w:val="ENoteTableText"/>
            </w:pPr>
            <w:r w:rsidRPr="00576D60">
              <w:t xml:space="preserve">am </w:t>
            </w:r>
            <w:r>
              <w:t>No 158, 2008; No 135, 2010</w:t>
            </w:r>
            <w:r w:rsidRPr="00576D60">
              <w:t>; No 91, 2015; F2022L00469</w:t>
            </w:r>
            <w:r>
              <w:t>; F2023L01458</w:t>
            </w:r>
          </w:p>
        </w:tc>
      </w:tr>
      <w:tr w:rsidR="00E93F58" w:rsidRPr="00576D60" w14:paraId="60837BBB" w14:textId="77777777" w:rsidTr="002F32E3">
        <w:trPr>
          <w:cantSplit/>
        </w:trPr>
        <w:tc>
          <w:tcPr>
            <w:tcW w:w="1500" w:type="pct"/>
            <w:shd w:val="clear" w:color="auto" w:fill="auto"/>
          </w:tcPr>
          <w:p w14:paraId="6DD6EDA8" w14:textId="77777777" w:rsidR="00E93F58" w:rsidRPr="00576D60" w:rsidRDefault="00E93F58" w:rsidP="00156435">
            <w:pPr>
              <w:pStyle w:val="ENoteTableText"/>
              <w:keepNext/>
              <w:tabs>
                <w:tab w:val="left" w:leader="dot" w:pos="2268"/>
              </w:tabs>
              <w:rPr>
                <w:b/>
              </w:rPr>
            </w:pPr>
            <w:r>
              <w:rPr>
                <w:b/>
              </w:rPr>
              <w:t>Division 2</w:t>
            </w:r>
            <w:r w:rsidRPr="00576D60">
              <w:rPr>
                <w:b/>
              </w:rPr>
              <w:t>AA</w:t>
            </w:r>
          </w:p>
        </w:tc>
        <w:tc>
          <w:tcPr>
            <w:tcW w:w="3500" w:type="pct"/>
            <w:shd w:val="clear" w:color="auto" w:fill="auto"/>
          </w:tcPr>
          <w:p w14:paraId="69684748" w14:textId="77777777" w:rsidR="00E93F58" w:rsidRPr="00576D60" w:rsidRDefault="00E93F58" w:rsidP="002F32E3">
            <w:pPr>
              <w:pStyle w:val="ENoteTableText"/>
              <w:keepNext/>
              <w:keepLines/>
            </w:pPr>
          </w:p>
        </w:tc>
      </w:tr>
      <w:tr w:rsidR="00E93F58" w:rsidRPr="00576D60" w14:paraId="084FE10E" w14:textId="77777777" w:rsidTr="002F32E3">
        <w:trPr>
          <w:cantSplit/>
        </w:trPr>
        <w:tc>
          <w:tcPr>
            <w:tcW w:w="1500" w:type="pct"/>
            <w:shd w:val="clear" w:color="auto" w:fill="auto"/>
          </w:tcPr>
          <w:p w14:paraId="2F2EA853" w14:textId="77777777" w:rsidR="00E93F58" w:rsidRPr="00576D60" w:rsidRDefault="00E93F58" w:rsidP="002F32E3">
            <w:pPr>
              <w:pStyle w:val="ENoteTableText"/>
              <w:tabs>
                <w:tab w:val="left" w:leader="dot" w:pos="2268"/>
              </w:tabs>
            </w:pPr>
            <w:r>
              <w:t>Division 2</w:t>
            </w:r>
            <w:r w:rsidRPr="00576D60">
              <w:t>AA</w:t>
            </w:r>
            <w:r w:rsidRPr="00576D60">
              <w:tab/>
            </w:r>
          </w:p>
        </w:tc>
        <w:tc>
          <w:tcPr>
            <w:tcW w:w="3500" w:type="pct"/>
            <w:shd w:val="clear" w:color="auto" w:fill="auto"/>
          </w:tcPr>
          <w:p w14:paraId="2BFC4781" w14:textId="77777777" w:rsidR="00E93F58" w:rsidRPr="00576D60" w:rsidRDefault="00E93F58" w:rsidP="002F32E3">
            <w:pPr>
              <w:pStyle w:val="ENoteTableText"/>
            </w:pPr>
            <w:r w:rsidRPr="00576D60">
              <w:t>ad. 2010 No. 89</w:t>
            </w:r>
          </w:p>
        </w:tc>
      </w:tr>
      <w:tr w:rsidR="00E93F58" w:rsidRPr="00576D60" w14:paraId="7D1AA967" w14:textId="77777777" w:rsidTr="002F32E3">
        <w:trPr>
          <w:cantSplit/>
        </w:trPr>
        <w:tc>
          <w:tcPr>
            <w:tcW w:w="1500" w:type="pct"/>
            <w:shd w:val="clear" w:color="auto" w:fill="auto"/>
          </w:tcPr>
          <w:p w14:paraId="7B798A9B" w14:textId="77777777" w:rsidR="00E93F58" w:rsidRPr="00576D60" w:rsidRDefault="00E93F58" w:rsidP="002F32E3">
            <w:pPr>
              <w:pStyle w:val="ENoteTableText"/>
              <w:tabs>
                <w:tab w:val="left" w:leader="dot" w:pos="2268"/>
              </w:tabs>
            </w:pPr>
            <w:r w:rsidRPr="00576D60">
              <w:t>r. 7.7.08B</w:t>
            </w:r>
            <w:r w:rsidRPr="00576D60">
              <w:tab/>
            </w:r>
          </w:p>
        </w:tc>
        <w:tc>
          <w:tcPr>
            <w:tcW w:w="3500" w:type="pct"/>
            <w:shd w:val="clear" w:color="auto" w:fill="auto"/>
          </w:tcPr>
          <w:p w14:paraId="00C7692E" w14:textId="77777777" w:rsidR="00E93F58" w:rsidRPr="00576D60" w:rsidRDefault="00E93F58" w:rsidP="002F32E3">
            <w:pPr>
              <w:pStyle w:val="ENoteTableText"/>
            </w:pPr>
            <w:r w:rsidRPr="00576D60">
              <w:t>ad. 2010 No. 89</w:t>
            </w:r>
          </w:p>
        </w:tc>
      </w:tr>
      <w:tr w:rsidR="00E93F58" w:rsidRPr="00576D60" w14:paraId="75186417" w14:textId="77777777" w:rsidTr="002F32E3">
        <w:trPr>
          <w:cantSplit/>
        </w:trPr>
        <w:tc>
          <w:tcPr>
            <w:tcW w:w="1500" w:type="pct"/>
            <w:shd w:val="clear" w:color="auto" w:fill="auto"/>
          </w:tcPr>
          <w:p w14:paraId="02E1CE42" w14:textId="77777777" w:rsidR="00E93F58" w:rsidRPr="00576D60" w:rsidRDefault="00E93F58" w:rsidP="002F32E3">
            <w:pPr>
              <w:pStyle w:val="ENoteTableText"/>
              <w:tabs>
                <w:tab w:val="left" w:leader="dot" w:pos="2268"/>
              </w:tabs>
              <w:rPr>
                <w:b/>
              </w:rPr>
            </w:pPr>
            <w:r>
              <w:rPr>
                <w:b/>
              </w:rPr>
              <w:t>Division 2</w:t>
            </w:r>
            <w:r w:rsidRPr="00576D60">
              <w:rPr>
                <w:b/>
              </w:rPr>
              <w:t>B</w:t>
            </w:r>
          </w:p>
        </w:tc>
        <w:tc>
          <w:tcPr>
            <w:tcW w:w="3500" w:type="pct"/>
            <w:shd w:val="clear" w:color="auto" w:fill="auto"/>
          </w:tcPr>
          <w:p w14:paraId="2BB25FF7" w14:textId="77777777" w:rsidR="00E93F58" w:rsidRPr="00576D60" w:rsidRDefault="00E93F58" w:rsidP="002F32E3">
            <w:pPr>
              <w:pStyle w:val="ENoteTableText"/>
            </w:pPr>
          </w:p>
        </w:tc>
      </w:tr>
      <w:tr w:rsidR="00E93F58" w:rsidRPr="00576D60" w14:paraId="74E2E46A" w14:textId="77777777" w:rsidTr="002F32E3">
        <w:trPr>
          <w:cantSplit/>
        </w:trPr>
        <w:tc>
          <w:tcPr>
            <w:tcW w:w="1500" w:type="pct"/>
            <w:shd w:val="clear" w:color="auto" w:fill="auto"/>
          </w:tcPr>
          <w:p w14:paraId="43C4C3A3" w14:textId="77777777" w:rsidR="00E93F58" w:rsidRPr="00576D60" w:rsidRDefault="00E93F58" w:rsidP="002F32E3">
            <w:pPr>
              <w:pStyle w:val="ENoteTableText"/>
              <w:tabs>
                <w:tab w:val="left" w:leader="dot" w:pos="2268"/>
              </w:tabs>
            </w:pPr>
            <w:r>
              <w:t>Division 2</w:t>
            </w:r>
            <w:r w:rsidRPr="00576D60">
              <w:t>B</w:t>
            </w:r>
            <w:r w:rsidRPr="00576D60">
              <w:tab/>
            </w:r>
          </w:p>
        </w:tc>
        <w:tc>
          <w:tcPr>
            <w:tcW w:w="3500" w:type="pct"/>
            <w:shd w:val="clear" w:color="auto" w:fill="auto"/>
          </w:tcPr>
          <w:p w14:paraId="6E9212AA" w14:textId="77777777" w:rsidR="00E93F58" w:rsidRPr="00576D60" w:rsidRDefault="00E93F58" w:rsidP="002F32E3">
            <w:pPr>
              <w:pStyle w:val="ENoteTableText"/>
            </w:pPr>
            <w:r w:rsidRPr="00576D60">
              <w:t>ad. 2007 No. 324</w:t>
            </w:r>
          </w:p>
        </w:tc>
      </w:tr>
      <w:tr w:rsidR="00E93F58" w:rsidRPr="00576D60" w14:paraId="35864DB1" w14:textId="77777777" w:rsidTr="002F32E3">
        <w:trPr>
          <w:cantSplit/>
        </w:trPr>
        <w:tc>
          <w:tcPr>
            <w:tcW w:w="1500" w:type="pct"/>
            <w:shd w:val="clear" w:color="auto" w:fill="auto"/>
          </w:tcPr>
          <w:p w14:paraId="3F619CA3" w14:textId="77777777" w:rsidR="00E93F58" w:rsidRPr="00576D60" w:rsidRDefault="00E93F58" w:rsidP="002F32E3">
            <w:pPr>
              <w:pStyle w:val="ENoteTableText"/>
              <w:tabs>
                <w:tab w:val="left" w:leader="dot" w:pos="2268"/>
              </w:tabs>
            </w:pPr>
            <w:r w:rsidRPr="00576D60">
              <w:t>r. 7.7.08C</w:t>
            </w:r>
            <w:r w:rsidRPr="00576D60">
              <w:tab/>
            </w:r>
          </w:p>
        </w:tc>
        <w:tc>
          <w:tcPr>
            <w:tcW w:w="3500" w:type="pct"/>
            <w:shd w:val="clear" w:color="auto" w:fill="auto"/>
          </w:tcPr>
          <w:p w14:paraId="1EC2E2DF" w14:textId="77777777" w:rsidR="00E93F58" w:rsidRPr="00576D60" w:rsidRDefault="00E93F58" w:rsidP="002F32E3">
            <w:pPr>
              <w:pStyle w:val="ENoteTableText"/>
            </w:pPr>
            <w:r w:rsidRPr="00576D60">
              <w:t>ad. 2007 No. 324</w:t>
            </w:r>
          </w:p>
        </w:tc>
      </w:tr>
      <w:tr w:rsidR="00E93F58" w:rsidRPr="00576D60" w14:paraId="4E51A76D" w14:textId="77777777" w:rsidTr="002F32E3">
        <w:trPr>
          <w:cantSplit/>
        </w:trPr>
        <w:tc>
          <w:tcPr>
            <w:tcW w:w="1500" w:type="pct"/>
            <w:shd w:val="clear" w:color="auto" w:fill="auto"/>
          </w:tcPr>
          <w:p w14:paraId="7C5F607B" w14:textId="77777777" w:rsidR="00E93F58" w:rsidRPr="00576D60" w:rsidRDefault="00E93F58" w:rsidP="002F32E3">
            <w:pPr>
              <w:pStyle w:val="ENoteTableText"/>
              <w:tabs>
                <w:tab w:val="left" w:leader="dot" w:pos="2268"/>
              </w:tabs>
              <w:rPr>
                <w:b/>
              </w:rPr>
            </w:pPr>
            <w:r w:rsidRPr="00576D60">
              <w:rPr>
                <w:b/>
              </w:rPr>
              <w:t>Division 3</w:t>
            </w:r>
          </w:p>
        </w:tc>
        <w:tc>
          <w:tcPr>
            <w:tcW w:w="3500" w:type="pct"/>
            <w:shd w:val="clear" w:color="auto" w:fill="auto"/>
          </w:tcPr>
          <w:p w14:paraId="72053F13" w14:textId="77777777" w:rsidR="00E93F58" w:rsidRPr="00576D60" w:rsidRDefault="00E93F58" w:rsidP="002F32E3">
            <w:pPr>
              <w:pStyle w:val="ENoteTableText"/>
            </w:pPr>
          </w:p>
        </w:tc>
      </w:tr>
      <w:tr w:rsidR="00E93F58" w:rsidRPr="00576D60" w14:paraId="66FBF20D" w14:textId="77777777" w:rsidTr="002F32E3">
        <w:trPr>
          <w:cantSplit/>
        </w:trPr>
        <w:tc>
          <w:tcPr>
            <w:tcW w:w="1500" w:type="pct"/>
            <w:shd w:val="clear" w:color="auto" w:fill="auto"/>
          </w:tcPr>
          <w:p w14:paraId="2D90CD40" w14:textId="77777777" w:rsidR="00E93F58" w:rsidRPr="00576D60" w:rsidRDefault="00E93F58" w:rsidP="002F32E3">
            <w:pPr>
              <w:pStyle w:val="ENoteTableText"/>
              <w:tabs>
                <w:tab w:val="left" w:leader="dot" w:pos="2268"/>
              </w:tabs>
            </w:pPr>
            <w:r w:rsidRPr="00576D60">
              <w:t>r. 7.7.09</w:t>
            </w:r>
            <w:r w:rsidRPr="00576D60">
              <w:tab/>
            </w:r>
          </w:p>
        </w:tc>
        <w:tc>
          <w:tcPr>
            <w:tcW w:w="3500" w:type="pct"/>
            <w:shd w:val="clear" w:color="auto" w:fill="auto"/>
          </w:tcPr>
          <w:p w14:paraId="271EE31F" w14:textId="77777777" w:rsidR="00E93F58" w:rsidRPr="00576D60" w:rsidRDefault="00E93F58" w:rsidP="002F32E3">
            <w:pPr>
              <w:pStyle w:val="ENoteTableText"/>
            </w:pPr>
            <w:r w:rsidRPr="00576D60">
              <w:t>ad. 2001 No. 319</w:t>
            </w:r>
          </w:p>
        </w:tc>
      </w:tr>
      <w:tr w:rsidR="00E93F58" w:rsidRPr="00576D60" w14:paraId="0EB26F29" w14:textId="77777777" w:rsidTr="002F32E3">
        <w:trPr>
          <w:cantSplit/>
        </w:trPr>
        <w:tc>
          <w:tcPr>
            <w:tcW w:w="1500" w:type="pct"/>
            <w:shd w:val="clear" w:color="auto" w:fill="auto"/>
          </w:tcPr>
          <w:p w14:paraId="6A81DC19" w14:textId="77777777" w:rsidR="00E93F58" w:rsidRPr="00576D60" w:rsidRDefault="00E93F58" w:rsidP="002F32E3">
            <w:pPr>
              <w:pStyle w:val="ENoteTableText"/>
            </w:pPr>
          </w:p>
        </w:tc>
        <w:tc>
          <w:tcPr>
            <w:tcW w:w="3500" w:type="pct"/>
            <w:shd w:val="clear" w:color="auto" w:fill="auto"/>
          </w:tcPr>
          <w:p w14:paraId="12E5A332" w14:textId="77777777" w:rsidR="00E93F58" w:rsidRPr="00576D60" w:rsidRDefault="00E93F58" w:rsidP="002F32E3">
            <w:pPr>
              <w:pStyle w:val="ENoteTableText"/>
            </w:pPr>
            <w:r w:rsidRPr="00576D60">
              <w:t>am. 2003 No. 369</w:t>
            </w:r>
          </w:p>
        </w:tc>
      </w:tr>
      <w:tr w:rsidR="00E93F58" w:rsidRPr="00576D60" w14:paraId="0F84A872" w14:textId="77777777" w:rsidTr="002F32E3">
        <w:trPr>
          <w:cantSplit/>
        </w:trPr>
        <w:tc>
          <w:tcPr>
            <w:tcW w:w="1500" w:type="pct"/>
            <w:shd w:val="clear" w:color="auto" w:fill="auto"/>
          </w:tcPr>
          <w:p w14:paraId="6E5F41FF" w14:textId="77777777" w:rsidR="00E93F58" w:rsidRPr="00576D60" w:rsidRDefault="00E93F58" w:rsidP="002F32E3">
            <w:pPr>
              <w:pStyle w:val="ENoteTableText"/>
            </w:pPr>
          </w:p>
        </w:tc>
        <w:tc>
          <w:tcPr>
            <w:tcW w:w="3500" w:type="pct"/>
            <w:shd w:val="clear" w:color="auto" w:fill="auto"/>
          </w:tcPr>
          <w:p w14:paraId="5773C620" w14:textId="77777777" w:rsidR="00E93F58" w:rsidRPr="00576D60" w:rsidRDefault="00E93F58" w:rsidP="002F32E3">
            <w:pPr>
              <w:pStyle w:val="ENoteTableText"/>
            </w:pPr>
            <w:r w:rsidRPr="00576D60">
              <w:t>rs. 2005 No. 324</w:t>
            </w:r>
          </w:p>
        </w:tc>
      </w:tr>
      <w:tr w:rsidR="00E93F58" w:rsidRPr="00576D60" w14:paraId="7185CDC5" w14:textId="77777777" w:rsidTr="002F32E3">
        <w:trPr>
          <w:cantSplit/>
        </w:trPr>
        <w:tc>
          <w:tcPr>
            <w:tcW w:w="1500" w:type="pct"/>
            <w:shd w:val="clear" w:color="auto" w:fill="auto"/>
          </w:tcPr>
          <w:p w14:paraId="6F3EE9B0" w14:textId="77777777" w:rsidR="00E93F58" w:rsidRPr="00576D60" w:rsidRDefault="00E93F58" w:rsidP="002F32E3">
            <w:pPr>
              <w:pStyle w:val="ENoteTableText"/>
            </w:pPr>
          </w:p>
        </w:tc>
        <w:tc>
          <w:tcPr>
            <w:tcW w:w="3500" w:type="pct"/>
            <w:shd w:val="clear" w:color="auto" w:fill="auto"/>
          </w:tcPr>
          <w:p w14:paraId="5B9801B1" w14:textId="77777777" w:rsidR="00E93F58" w:rsidRPr="00576D60" w:rsidRDefault="00E93F58" w:rsidP="002F32E3">
            <w:pPr>
              <w:pStyle w:val="ENoteTableText"/>
            </w:pPr>
            <w:r w:rsidRPr="00576D60">
              <w:t>am. 2010 No. 135</w:t>
            </w:r>
          </w:p>
        </w:tc>
      </w:tr>
      <w:tr w:rsidR="00E93F58" w:rsidRPr="00576D60" w14:paraId="7A679A50" w14:textId="77777777" w:rsidTr="002F32E3">
        <w:trPr>
          <w:cantSplit/>
        </w:trPr>
        <w:tc>
          <w:tcPr>
            <w:tcW w:w="1500" w:type="pct"/>
            <w:shd w:val="clear" w:color="auto" w:fill="auto"/>
          </w:tcPr>
          <w:p w14:paraId="3534030A" w14:textId="77777777" w:rsidR="00E93F58" w:rsidRPr="00576D60" w:rsidRDefault="00E93F58" w:rsidP="002F32E3">
            <w:pPr>
              <w:pStyle w:val="ENoteTableText"/>
              <w:tabs>
                <w:tab w:val="left" w:leader="dot" w:pos="2268"/>
              </w:tabs>
            </w:pPr>
            <w:r w:rsidRPr="00576D60">
              <w:t>r 7.7.09A</w:t>
            </w:r>
            <w:r w:rsidRPr="00576D60">
              <w:tab/>
            </w:r>
          </w:p>
        </w:tc>
        <w:tc>
          <w:tcPr>
            <w:tcW w:w="3500" w:type="pct"/>
            <w:shd w:val="clear" w:color="auto" w:fill="auto"/>
          </w:tcPr>
          <w:p w14:paraId="276575DE" w14:textId="77777777" w:rsidR="00E93F58" w:rsidRPr="00576D60" w:rsidRDefault="00E93F58" w:rsidP="002F32E3">
            <w:pPr>
              <w:pStyle w:val="ENoteTableText"/>
            </w:pPr>
            <w:r w:rsidRPr="00576D60">
              <w:t>ad 2007 No 324</w:t>
            </w:r>
          </w:p>
        </w:tc>
      </w:tr>
      <w:tr w:rsidR="00E93F58" w:rsidRPr="00576D60" w14:paraId="1B454300" w14:textId="77777777" w:rsidTr="002F32E3">
        <w:trPr>
          <w:cantSplit/>
        </w:trPr>
        <w:tc>
          <w:tcPr>
            <w:tcW w:w="1500" w:type="pct"/>
            <w:shd w:val="clear" w:color="auto" w:fill="auto"/>
          </w:tcPr>
          <w:p w14:paraId="7397F901" w14:textId="77777777" w:rsidR="00E93F58" w:rsidRPr="00576D60" w:rsidRDefault="00E93F58" w:rsidP="002F32E3">
            <w:pPr>
              <w:pStyle w:val="ENoteTableText"/>
              <w:tabs>
                <w:tab w:val="left" w:leader="dot" w:pos="2268"/>
              </w:tabs>
            </w:pPr>
          </w:p>
        </w:tc>
        <w:tc>
          <w:tcPr>
            <w:tcW w:w="3500" w:type="pct"/>
            <w:shd w:val="clear" w:color="auto" w:fill="auto"/>
          </w:tcPr>
          <w:p w14:paraId="283884A4" w14:textId="77777777" w:rsidR="00E93F58" w:rsidRPr="00576D60" w:rsidRDefault="00E93F58" w:rsidP="002F32E3">
            <w:pPr>
              <w:pStyle w:val="ENoteTableText"/>
            </w:pPr>
            <w:r w:rsidRPr="00576D60">
              <w:t>am F2022L00469</w:t>
            </w:r>
          </w:p>
        </w:tc>
      </w:tr>
      <w:tr w:rsidR="00E93F58" w:rsidRPr="00576D60" w14:paraId="26CD885E" w14:textId="77777777" w:rsidTr="002F32E3">
        <w:trPr>
          <w:cantSplit/>
        </w:trPr>
        <w:tc>
          <w:tcPr>
            <w:tcW w:w="1500" w:type="pct"/>
            <w:shd w:val="clear" w:color="auto" w:fill="auto"/>
          </w:tcPr>
          <w:p w14:paraId="4B280C0D" w14:textId="77777777" w:rsidR="00E93F58" w:rsidRPr="00576D60" w:rsidRDefault="00E93F58" w:rsidP="002F32E3">
            <w:pPr>
              <w:pStyle w:val="ENoteTableText"/>
              <w:tabs>
                <w:tab w:val="left" w:leader="dot" w:pos="2268"/>
              </w:tabs>
            </w:pPr>
            <w:r w:rsidRPr="00576D60">
              <w:t>r. 7.7.09AA</w:t>
            </w:r>
            <w:r w:rsidRPr="00576D60">
              <w:tab/>
            </w:r>
          </w:p>
        </w:tc>
        <w:tc>
          <w:tcPr>
            <w:tcW w:w="3500" w:type="pct"/>
            <w:shd w:val="clear" w:color="auto" w:fill="auto"/>
          </w:tcPr>
          <w:p w14:paraId="5A631946" w14:textId="77777777" w:rsidR="00E93F58" w:rsidRPr="00576D60" w:rsidRDefault="00E93F58" w:rsidP="002F32E3">
            <w:pPr>
              <w:pStyle w:val="ENoteTableText"/>
            </w:pPr>
            <w:r w:rsidRPr="00576D60">
              <w:t>ad. 2010 No. 89</w:t>
            </w:r>
          </w:p>
        </w:tc>
      </w:tr>
      <w:tr w:rsidR="00E93F58" w:rsidRPr="00576D60" w14:paraId="626EBCFC" w14:textId="77777777" w:rsidTr="002F32E3">
        <w:trPr>
          <w:cantSplit/>
        </w:trPr>
        <w:tc>
          <w:tcPr>
            <w:tcW w:w="1500" w:type="pct"/>
            <w:shd w:val="clear" w:color="auto" w:fill="auto"/>
          </w:tcPr>
          <w:p w14:paraId="35F5543E" w14:textId="77777777" w:rsidR="00E93F58" w:rsidRPr="00576D60" w:rsidRDefault="00E93F58" w:rsidP="002F32E3">
            <w:pPr>
              <w:pStyle w:val="ENoteTableText"/>
              <w:tabs>
                <w:tab w:val="left" w:leader="dot" w:pos="2268"/>
              </w:tabs>
            </w:pPr>
            <w:r w:rsidRPr="00576D60">
              <w:t>r. 7.7.09AB</w:t>
            </w:r>
            <w:r w:rsidRPr="00576D60">
              <w:tab/>
            </w:r>
          </w:p>
        </w:tc>
        <w:tc>
          <w:tcPr>
            <w:tcW w:w="3500" w:type="pct"/>
            <w:shd w:val="clear" w:color="auto" w:fill="auto"/>
          </w:tcPr>
          <w:p w14:paraId="1FAD9D0D" w14:textId="77777777" w:rsidR="00E93F58" w:rsidRPr="00576D60" w:rsidRDefault="00E93F58" w:rsidP="002F32E3">
            <w:pPr>
              <w:pStyle w:val="ENoteTableText"/>
            </w:pPr>
            <w:r w:rsidRPr="00576D60">
              <w:t>ad. 2010 No. 89</w:t>
            </w:r>
          </w:p>
        </w:tc>
      </w:tr>
      <w:tr w:rsidR="00E93F58" w:rsidRPr="00576D60" w14:paraId="651924E7" w14:textId="77777777" w:rsidTr="002F32E3">
        <w:trPr>
          <w:cantSplit/>
        </w:trPr>
        <w:tc>
          <w:tcPr>
            <w:tcW w:w="1500" w:type="pct"/>
            <w:shd w:val="clear" w:color="auto" w:fill="auto"/>
          </w:tcPr>
          <w:p w14:paraId="4D54F167" w14:textId="77777777" w:rsidR="00E93F58" w:rsidRPr="00576D60" w:rsidRDefault="00E93F58" w:rsidP="002F32E3">
            <w:pPr>
              <w:pStyle w:val="ENoteTableText"/>
              <w:tabs>
                <w:tab w:val="left" w:leader="dot" w:pos="2268"/>
              </w:tabs>
            </w:pPr>
            <w:r w:rsidRPr="00576D60">
              <w:t>r. 7.7.09B</w:t>
            </w:r>
            <w:r w:rsidRPr="00576D60">
              <w:tab/>
            </w:r>
          </w:p>
        </w:tc>
        <w:tc>
          <w:tcPr>
            <w:tcW w:w="3500" w:type="pct"/>
            <w:shd w:val="clear" w:color="auto" w:fill="auto"/>
          </w:tcPr>
          <w:p w14:paraId="4EBDDECC" w14:textId="77777777" w:rsidR="00E93F58" w:rsidRPr="00576D60" w:rsidRDefault="00E93F58" w:rsidP="002F32E3">
            <w:pPr>
              <w:pStyle w:val="ENoteTableText"/>
            </w:pPr>
            <w:r w:rsidRPr="00576D60">
              <w:t>ad. 2007 No. 259</w:t>
            </w:r>
          </w:p>
        </w:tc>
      </w:tr>
      <w:tr w:rsidR="00E93F58" w:rsidRPr="00576D60" w14:paraId="5764B0A5" w14:textId="77777777" w:rsidTr="002F32E3">
        <w:trPr>
          <w:cantSplit/>
        </w:trPr>
        <w:tc>
          <w:tcPr>
            <w:tcW w:w="1500" w:type="pct"/>
            <w:shd w:val="clear" w:color="auto" w:fill="auto"/>
          </w:tcPr>
          <w:p w14:paraId="10A9A83C" w14:textId="77777777" w:rsidR="00E93F58" w:rsidRPr="00576D60" w:rsidRDefault="00E93F58" w:rsidP="002F32E3">
            <w:pPr>
              <w:pStyle w:val="ENoteTableText"/>
            </w:pPr>
          </w:p>
        </w:tc>
        <w:tc>
          <w:tcPr>
            <w:tcW w:w="3500" w:type="pct"/>
            <w:shd w:val="clear" w:color="auto" w:fill="auto"/>
          </w:tcPr>
          <w:p w14:paraId="57A7B201" w14:textId="77777777" w:rsidR="00E93F58" w:rsidRPr="00576D60" w:rsidRDefault="00E93F58" w:rsidP="002F32E3">
            <w:pPr>
              <w:pStyle w:val="ENoteTableText"/>
            </w:pPr>
            <w:r w:rsidRPr="00576D60">
              <w:t>am. 2012 No. 268</w:t>
            </w:r>
          </w:p>
        </w:tc>
      </w:tr>
      <w:tr w:rsidR="00E93F58" w:rsidRPr="00576D60" w14:paraId="049C200F" w14:textId="77777777" w:rsidTr="002F32E3">
        <w:trPr>
          <w:cantSplit/>
        </w:trPr>
        <w:tc>
          <w:tcPr>
            <w:tcW w:w="1500" w:type="pct"/>
            <w:shd w:val="clear" w:color="auto" w:fill="auto"/>
          </w:tcPr>
          <w:p w14:paraId="4CD99371" w14:textId="77777777" w:rsidR="00E93F58" w:rsidRPr="00576D60" w:rsidRDefault="00E93F58" w:rsidP="002F32E3">
            <w:pPr>
              <w:pStyle w:val="ENoteTableText"/>
              <w:tabs>
                <w:tab w:val="left" w:leader="dot" w:pos="2268"/>
              </w:tabs>
            </w:pPr>
            <w:r w:rsidRPr="00576D60">
              <w:t>r. 7.7.09BA</w:t>
            </w:r>
            <w:r w:rsidRPr="00576D60">
              <w:tab/>
            </w:r>
          </w:p>
        </w:tc>
        <w:tc>
          <w:tcPr>
            <w:tcW w:w="3500" w:type="pct"/>
            <w:shd w:val="clear" w:color="auto" w:fill="auto"/>
          </w:tcPr>
          <w:p w14:paraId="51FA264C" w14:textId="77777777" w:rsidR="00E93F58" w:rsidRPr="00576D60" w:rsidRDefault="00E93F58" w:rsidP="002F32E3">
            <w:pPr>
              <w:pStyle w:val="ENoteTableText"/>
            </w:pPr>
            <w:r w:rsidRPr="00576D60">
              <w:t>ad. 2010 No. 89</w:t>
            </w:r>
          </w:p>
        </w:tc>
      </w:tr>
      <w:tr w:rsidR="00E93F58" w:rsidRPr="00576D60" w14:paraId="34EE749C" w14:textId="77777777" w:rsidTr="002F32E3">
        <w:trPr>
          <w:cantSplit/>
        </w:trPr>
        <w:tc>
          <w:tcPr>
            <w:tcW w:w="1500" w:type="pct"/>
            <w:shd w:val="clear" w:color="auto" w:fill="auto"/>
          </w:tcPr>
          <w:p w14:paraId="748688E2" w14:textId="77777777" w:rsidR="00E93F58" w:rsidRPr="00576D60" w:rsidRDefault="00E93F58" w:rsidP="002F32E3">
            <w:pPr>
              <w:pStyle w:val="ENoteTableText"/>
              <w:tabs>
                <w:tab w:val="left" w:leader="dot" w:pos="2268"/>
              </w:tabs>
            </w:pPr>
            <w:r w:rsidRPr="00576D60">
              <w:t>r. 7.7.09BB</w:t>
            </w:r>
            <w:r w:rsidRPr="00576D60">
              <w:tab/>
            </w:r>
          </w:p>
        </w:tc>
        <w:tc>
          <w:tcPr>
            <w:tcW w:w="3500" w:type="pct"/>
            <w:shd w:val="clear" w:color="auto" w:fill="auto"/>
          </w:tcPr>
          <w:p w14:paraId="683E3119" w14:textId="77777777" w:rsidR="00E93F58" w:rsidRPr="00576D60" w:rsidRDefault="00E93F58" w:rsidP="002F32E3">
            <w:pPr>
              <w:pStyle w:val="ENoteTableText"/>
            </w:pPr>
            <w:r w:rsidRPr="00576D60">
              <w:t>ad. 2010 No. 89</w:t>
            </w:r>
          </w:p>
        </w:tc>
      </w:tr>
      <w:tr w:rsidR="00E93F58" w:rsidRPr="00576D60" w14:paraId="366700F4" w14:textId="77777777" w:rsidTr="002F32E3">
        <w:trPr>
          <w:cantSplit/>
        </w:trPr>
        <w:tc>
          <w:tcPr>
            <w:tcW w:w="1500" w:type="pct"/>
            <w:shd w:val="clear" w:color="auto" w:fill="auto"/>
          </w:tcPr>
          <w:p w14:paraId="3AFC470F" w14:textId="77777777" w:rsidR="00E93F58" w:rsidRPr="00576D60" w:rsidRDefault="00E93F58" w:rsidP="002F32E3">
            <w:pPr>
              <w:pStyle w:val="ENoteTableText"/>
              <w:tabs>
                <w:tab w:val="left" w:leader="dot" w:pos="2268"/>
              </w:tabs>
            </w:pPr>
            <w:r w:rsidRPr="00576D60">
              <w:t>r. 7.7.09BC</w:t>
            </w:r>
            <w:r w:rsidRPr="00576D60">
              <w:tab/>
            </w:r>
          </w:p>
        </w:tc>
        <w:tc>
          <w:tcPr>
            <w:tcW w:w="3500" w:type="pct"/>
            <w:shd w:val="clear" w:color="auto" w:fill="auto"/>
          </w:tcPr>
          <w:p w14:paraId="7B3EE1BD" w14:textId="77777777" w:rsidR="00E93F58" w:rsidRPr="00576D60" w:rsidRDefault="00E93F58" w:rsidP="002F32E3">
            <w:pPr>
              <w:pStyle w:val="ENoteTableText"/>
            </w:pPr>
            <w:r w:rsidRPr="00576D60">
              <w:t>ad. 2012 No. 170</w:t>
            </w:r>
          </w:p>
        </w:tc>
      </w:tr>
      <w:tr w:rsidR="00E93F58" w:rsidRPr="00576D60" w14:paraId="4969DA91" w14:textId="77777777" w:rsidTr="002F32E3">
        <w:trPr>
          <w:cantSplit/>
        </w:trPr>
        <w:tc>
          <w:tcPr>
            <w:tcW w:w="1500" w:type="pct"/>
            <w:shd w:val="clear" w:color="auto" w:fill="auto"/>
          </w:tcPr>
          <w:p w14:paraId="289C5CB2" w14:textId="77777777" w:rsidR="00E93F58" w:rsidRPr="00576D60" w:rsidRDefault="00E93F58" w:rsidP="002F32E3">
            <w:pPr>
              <w:pStyle w:val="ENoteTableText"/>
              <w:tabs>
                <w:tab w:val="left" w:leader="dot" w:pos="2268"/>
              </w:tabs>
            </w:pPr>
            <w:r w:rsidRPr="00576D60">
              <w:t>r. 7.7.09BD</w:t>
            </w:r>
            <w:r w:rsidRPr="00576D60">
              <w:tab/>
            </w:r>
          </w:p>
        </w:tc>
        <w:tc>
          <w:tcPr>
            <w:tcW w:w="3500" w:type="pct"/>
            <w:shd w:val="clear" w:color="auto" w:fill="auto"/>
          </w:tcPr>
          <w:p w14:paraId="119CDA28" w14:textId="77777777" w:rsidR="00E93F58" w:rsidRPr="00576D60" w:rsidRDefault="00E93F58" w:rsidP="002F32E3">
            <w:pPr>
              <w:pStyle w:val="ENoteTableText"/>
            </w:pPr>
            <w:r w:rsidRPr="00576D60">
              <w:t>ad. 2012 No. 170</w:t>
            </w:r>
          </w:p>
        </w:tc>
      </w:tr>
      <w:tr w:rsidR="00E93F58" w:rsidRPr="00576D60" w14:paraId="6576C62A" w14:textId="77777777" w:rsidTr="002F32E3">
        <w:trPr>
          <w:cantSplit/>
        </w:trPr>
        <w:tc>
          <w:tcPr>
            <w:tcW w:w="1500" w:type="pct"/>
            <w:shd w:val="clear" w:color="auto" w:fill="auto"/>
          </w:tcPr>
          <w:p w14:paraId="7CF2C2B1" w14:textId="77777777" w:rsidR="00E93F58" w:rsidRPr="00576D60" w:rsidRDefault="00E93F58" w:rsidP="002F32E3">
            <w:pPr>
              <w:pStyle w:val="ENoteTableText"/>
              <w:tabs>
                <w:tab w:val="left" w:leader="dot" w:pos="2268"/>
              </w:tabs>
            </w:pPr>
            <w:r w:rsidRPr="00576D60">
              <w:t>r. 7.7.09C</w:t>
            </w:r>
            <w:r w:rsidRPr="00576D60">
              <w:tab/>
            </w:r>
          </w:p>
        </w:tc>
        <w:tc>
          <w:tcPr>
            <w:tcW w:w="3500" w:type="pct"/>
            <w:shd w:val="clear" w:color="auto" w:fill="auto"/>
          </w:tcPr>
          <w:p w14:paraId="0823EE39" w14:textId="77777777" w:rsidR="00E93F58" w:rsidRPr="00576D60" w:rsidRDefault="00E93F58" w:rsidP="002F32E3">
            <w:pPr>
              <w:pStyle w:val="ENoteTableText"/>
            </w:pPr>
            <w:r w:rsidRPr="00576D60">
              <w:t>ad. 2007 No. 259</w:t>
            </w:r>
          </w:p>
        </w:tc>
      </w:tr>
      <w:tr w:rsidR="00E93F58" w:rsidRPr="00576D60" w14:paraId="5C8BA92E" w14:textId="77777777" w:rsidTr="002F32E3">
        <w:trPr>
          <w:cantSplit/>
        </w:trPr>
        <w:tc>
          <w:tcPr>
            <w:tcW w:w="1500" w:type="pct"/>
            <w:shd w:val="clear" w:color="auto" w:fill="auto"/>
          </w:tcPr>
          <w:p w14:paraId="189D21B6" w14:textId="77777777" w:rsidR="00E93F58" w:rsidRPr="00576D60" w:rsidRDefault="00E93F58" w:rsidP="002F32E3">
            <w:pPr>
              <w:pStyle w:val="ENoteTableText"/>
              <w:tabs>
                <w:tab w:val="left" w:leader="dot" w:pos="2268"/>
              </w:tabs>
            </w:pPr>
            <w:r w:rsidRPr="00576D60">
              <w:t>r. 7.7.10</w:t>
            </w:r>
            <w:r w:rsidRPr="00576D60">
              <w:tab/>
            </w:r>
          </w:p>
        </w:tc>
        <w:tc>
          <w:tcPr>
            <w:tcW w:w="3500" w:type="pct"/>
            <w:shd w:val="clear" w:color="auto" w:fill="auto"/>
          </w:tcPr>
          <w:p w14:paraId="5F22FE89" w14:textId="77777777" w:rsidR="00E93F58" w:rsidRPr="00576D60" w:rsidRDefault="00E93F58" w:rsidP="002F32E3">
            <w:pPr>
              <w:pStyle w:val="ENoteTableText"/>
            </w:pPr>
            <w:r w:rsidRPr="00576D60">
              <w:t>ad. 2001 No. 319</w:t>
            </w:r>
          </w:p>
        </w:tc>
      </w:tr>
      <w:tr w:rsidR="00E93F58" w:rsidRPr="00576D60" w14:paraId="7AAFF60D" w14:textId="77777777" w:rsidTr="002F32E3">
        <w:trPr>
          <w:cantSplit/>
        </w:trPr>
        <w:tc>
          <w:tcPr>
            <w:tcW w:w="1500" w:type="pct"/>
            <w:shd w:val="clear" w:color="auto" w:fill="auto"/>
          </w:tcPr>
          <w:p w14:paraId="74E63AA0" w14:textId="77777777" w:rsidR="00E93F58" w:rsidRPr="00576D60" w:rsidRDefault="00E93F58" w:rsidP="002F32E3">
            <w:pPr>
              <w:pStyle w:val="ENoteTableText"/>
            </w:pPr>
          </w:p>
        </w:tc>
        <w:tc>
          <w:tcPr>
            <w:tcW w:w="3500" w:type="pct"/>
            <w:shd w:val="clear" w:color="auto" w:fill="auto"/>
          </w:tcPr>
          <w:p w14:paraId="3F640210" w14:textId="77777777" w:rsidR="00E93F58" w:rsidRPr="00576D60" w:rsidRDefault="00E93F58" w:rsidP="002F32E3">
            <w:pPr>
              <w:pStyle w:val="ENoteTableText"/>
            </w:pPr>
            <w:r w:rsidRPr="00576D60">
              <w:t>rs. 2003 No. 202</w:t>
            </w:r>
          </w:p>
        </w:tc>
      </w:tr>
      <w:tr w:rsidR="00E93F58" w:rsidRPr="00576D60" w14:paraId="310349DF" w14:textId="77777777" w:rsidTr="002F32E3">
        <w:trPr>
          <w:cantSplit/>
        </w:trPr>
        <w:tc>
          <w:tcPr>
            <w:tcW w:w="1500" w:type="pct"/>
            <w:shd w:val="clear" w:color="auto" w:fill="auto"/>
          </w:tcPr>
          <w:p w14:paraId="4B7F538C" w14:textId="77777777" w:rsidR="00E93F58" w:rsidRPr="00576D60" w:rsidRDefault="00E93F58" w:rsidP="002F32E3">
            <w:pPr>
              <w:pStyle w:val="ENoteTableText"/>
            </w:pPr>
          </w:p>
        </w:tc>
        <w:tc>
          <w:tcPr>
            <w:tcW w:w="3500" w:type="pct"/>
            <w:shd w:val="clear" w:color="auto" w:fill="auto"/>
          </w:tcPr>
          <w:p w14:paraId="6EB50164" w14:textId="77777777" w:rsidR="00E93F58" w:rsidRPr="00576D60" w:rsidRDefault="00E93F58" w:rsidP="002F32E3">
            <w:pPr>
              <w:pStyle w:val="ENoteTableText"/>
            </w:pPr>
            <w:r w:rsidRPr="00576D60">
              <w:t>am. 2005 No. 324; 2008 No. 158; No 91, 2015</w:t>
            </w:r>
          </w:p>
        </w:tc>
      </w:tr>
      <w:tr w:rsidR="00E93F58" w:rsidRPr="00576D60" w14:paraId="3F8794A9" w14:textId="77777777" w:rsidTr="002F32E3">
        <w:trPr>
          <w:cantSplit/>
        </w:trPr>
        <w:tc>
          <w:tcPr>
            <w:tcW w:w="1500" w:type="pct"/>
            <w:shd w:val="clear" w:color="auto" w:fill="auto"/>
          </w:tcPr>
          <w:p w14:paraId="6635C341" w14:textId="77777777" w:rsidR="00E93F58" w:rsidRPr="00576D60" w:rsidRDefault="00E93F58" w:rsidP="002F32E3">
            <w:pPr>
              <w:pStyle w:val="ENoteTableText"/>
              <w:tabs>
                <w:tab w:val="left" w:leader="dot" w:pos="2268"/>
              </w:tabs>
            </w:pPr>
            <w:r w:rsidRPr="00576D60">
              <w:t>r. 7.7.10AA</w:t>
            </w:r>
            <w:r w:rsidRPr="00576D60">
              <w:tab/>
            </w:r>
          </w:p>
        </w:tc>
        <w:tc>
          <w:tcPr>
            <w:tcW w:w="3500" w:type="pct"/>
            <w:shd w:val="clear" w:color="auto" w:fill="auto"/>
          </w:tcPr>
          <w:p w14:paraId="37908D40" w14:textId="77777777" w:rsidR="00E93F58" w:rsidRPr="00576D60" w:rsidRDefault="00E93F58" w:rsidP="002F32E3">
            <w:pPr>
              <w:pStyle w:val="ENoteTableText"/>
            </w:pPr>
            <w:r w:rsidRPr="00576D60">
              <w:t>ad. 2005 No. 324</w:t>
            </w:r>
          </w:p>
        </w:tc>
      </w:tr>
      <w:tr w:rsidR="00E93F58" w:rsidRPr="00576D60" w14:paraId="2668EC0F" w14:textId="77777777" w:rsidTr="002F32E3">
        <w:trPr>
          <w:cantSplit/>
        </w:trPr>
        <w:tc>
          <w:tcPr>
            <w:tcW w:w="1500" w:type="pct"/>
            <w:shd w:val="clear" w:color="auto" w:fill="auto"/>
          </w:tcPr>
          <w:p w14:paraId="4F5EEB04" w14:textId="77777777" w:rsidR="00E93F58" w:rsidRPr="00576D60" w:rsidRDefault="00E93F58" w:rsidP="002F32E3">
            <w:pPr>
              <w:pStyle w:val="ENoteTableText"/>
              <w:tabs>
                <w:tab w:val="left" w:leader="dot" w:pos="2268"/>
              </w:tabs>
            </w:pPr>
            <w:r w:rsidRPr="00576D60">
              <w:t>r. 7.7.10AAA</w:t>
            </w:r>
            <w:r w:rsidRPr="00576D60">
              <w:tab/>
            </w:r>
          </w:p>
        </w:tc>
        <w:tc>
          <w:tcPr>
            <w:tcW w:w="3500" w:type="pct"/>
            <w:shd w:val="clear" w:color="auto" w:fill="auto"/>
          </w:tcPr>
          <w:p w14:paraId="076AC735" w14:textId="77777777" w:rsidR="00E93F58" w:rsidRPr="00576D60" w:rsidRDefault="00E93F58" w:rsidP="002F32E3">
            <w:pPr>
              <w:pStyle w:val="ENoteTableText"/>
            </w:pPr>
            <w:r w:rsidRPr="00576D60">
              <w:t>ad. 2007 No. 324</w:t>
            </w:r>
          </w:p>
        </w:tc>
      </w:tr>
      <w:tr w:rsidR="00E93F58" w:rsidRPr="00576D60" w14:paraId="4B09A851" w14:textId="77777777" w:rsidTr="002F32E3">
        <w:trPr>
          <w:cantSplit/>
        </w:trPr>
        <w:tc>
          <w:tcPr>
            <w:tcW w:w="1500" w:type="pct"/>
            <w:shd w:val="clear" w:color="auto" w:fill="auto"/>
          </w:tcPr>
          <w:p w14:paraId="2234D0F2" w14:textId="77777777" w:rsidR="00E93F58" w:rsidRPr="00576D60" w:rsidRDefault="00E93F58" w:rsidP="002F32E3">
            <w:pPr>
              <w:pStyle w:val="ENoteTableText"/>
              <w:tabs>
                <w:tab w:val="left" w:leader="dot" w:pos="2268"/>
              </w:tabs>
            </w:pPr>
            <w:r w:rsidRPr="00576D60">
              <w:t>r. 7.7.10AB</w:t>
            </w:r>
            <w:r w:rsidRPr="00576D60">
              <w:tab/>
            </w:r>
          </w:p>
        </w:tc>
        <w:tc>
          <w:tcPr>
            <w:tcW w:w="3500" w:type="pct"/>
            <w:shd w:val="clear" w:color="auto" w:fill="auto"/>
          </w:tcPr>
          <w:p w14:paraId="5F40910E" w14:textId="77777777" w:rsidR="00E93F58" w:rsidRPr="00576D60" w:rsidRDefault="00E93F58" w:rsidP="002F32E3">
            <w:pPr>
              <w:pStyle w:val="ENoteTableText"/>
            </w:pPr>
            <w:r w:rsidRPr="00576D60">
              <w:t>ad. 2005 No. 324</w:t>
            </w:r>
          </w:p>
        </w:tc>
      </w:tr>
      <w:tr w:rsidR="00E93F58" w:rsidRPr="00576D60" w14:paraId="300899F1" w14:textId="77777777" w:rsidTr="002F32E3">
        <w:trPr>
          <w:cantSplit/>
        </w:trPr>
        <w:tc>
          <w:tcPr>
            <w:tcW w:w="1500" w:type="pct"/>
            <w:shd w:val="clear" w:color="auto" w:fill="auto"/>
          </w:tcPr>
          <w:p w14:paraId="4C8B0A49" w14:textId="77777777" w:rsidR="00E93F58" w:rsidRPr="00576D60" w:rsidRDefault="00E93F58" w:rsidP="002F32E3">
            <w:pPr>
              <w:pStyle w:val="ENoteTableText"/>
              <w:tabs>
                <w:tab w:val="left" w:leader="dot" w:pos="2268"/>
              </w:tabs>
            </w:pPr>
            <w:r w:rsidRPr="00576D60">
              <w:t>r. 7.7.10AC</w:t>
            </w:r>
            <w:r w:rsidRPr="00576D60">
              <w:tab/>
            </w:r>
          </w:p>
        </w:tc>
        <w:tc>
          <w:tcPr>
            <w:tcW w:w="3500" w:type="pct"/>
            <w:shd w:val="clear" w:color="auto" w:fill="auto"/>
          </w:tcPr>
          <w:p w14:paraId="0D166AB7" w14:textId="77777777" w:rsidR="00E93F58" w:rsidRPr="00576D60" w:rsidRDefault="00E93F58" w:rsidP="002F32E3">
            <w:pPr>
              <w:pStyle w:val="ENoteTableText"/>
            </w:pPr>
            <w:r w:rsidRPr="00576D60">
              <w:t>ad. 2005 No. 324</w:t>
            </w:r>
          </w:p>
        </w:tc>
      </w:tr>
      <w:tr w:rsidR="00E93F58" w:rsidRPr="00576D60" w14:paraId="1CE947B1" w14:textId="77777777" w:rsidTr="002F32E3">
        <w:trPr>
          <w:cantSplit/>
        </w:trPr>
        <w:tc>
          <w:tcPr>
            <w:tcW w:w="1500" w:type="pct"/>
            <w:shd w:val="clear" w:color="auto" w:fill="auto"/>
          </w:tcPr>
          <w:p w14:paraId="55067383" w14:textId="77777777" w:rsidR="00E93F58" w:rsidRPr="00576D60" w:rsidRDefault="00E93F58" w:rsidP="002F32E3">
            <w:pPr>
              <w:pStyle w:val="ENoteTableText"/>
              <w:tabs>
                <w:tab w:val="left" w:leader="dot" w:pos="2268"/>
              </w:tabs>
            </w:pPr>
            <w:r w:rsidRPr="00576D60">
              <w:t>r. 7.7.10AD</w:t>
            </w:r>
            <w:r w:rsidRPr="00576D60">
              <w:tab/>
            </w:r>
          </w:p>
        </w:tc>
        <w:tc>
          <w:tcPr>
            <w:tcW w:w="3500" w:type="pct"/>
            <w:shd w:val="clear" w:color="auto" w:fill="auto"/>
          </w:tcPr>
          <w:p w14:paraId="738A54EF" w14:textId="77777777" w:rsidR="00E93F58" w:rsidRPr="00576D60" w:rsidRDefault="00E93F58" w:rsidP="002F32E3">
            <w:pPr>
              <w:pStyle w:val="ENoteTableText"/>
            </w:pPr>
            <w:r w:rsidRPr="00576D60">
              <w:t>ad. 2005 No. 324</w:t>
            </w:r>
          </w:p>
        </w:tc>
      </w:tr>
      <w:tr w:rsidR="00E93F58" w:rsidRPr="00576D60" w14:paraId="3D250289" w14:textId="77777777" w:rsidTr="002F32E3">
        <w:trPr>
          <w:cantSplit/>
        </w:trPr>
        <w:tc>
          <w:tcPr>
            <w:tcW w:w="1500" w:type="pct"/>
            <w:shd w:val="clear" w:color="auto" w:fill="auto"/>
          </w:tcPr>
          <w:p w14:paraId="3C70164F" w14:textId="77777777" w:rsidR="00E93F58" w:rsidRPr="00576D60" w:rsidRDefault="00E93F58" w:rsidP="002F32E3">
            <w:pPr>
              <w:pStyle w:val="ENoteTableText"/>
              <w:tabs>
                <w:tab w:val="left" w:leader="dot" w:pos="2268"/>
              </w:tabs>
            </w:pPr>
            <w:r w:rsidRPr="00576D60">
              <w:t>r. 7.7.10AE</w:t>
            </w:r>
            <w:r w:rsidRPr="00576D60">
              <w:tab/>
            </w:r>
          </w:p>
        </w:tc>
        <w:tc>
          <w:tcPr>
            <w:tcW w:w="3500" w:type="pct"/>
            <w:shd w:val="clear" w:color="auto" w:fill="auto"/>
          </w:tcPr>
          <w:p w14:paraId="3314B9B4" w14:textId="77777777" w:rsidR="00E93F58" w:rsidRPr="00576D60" w:rsidRDefault="00E93F58" w:rsidP="002F32E3">
            <w:pPr>
              <w:pStyle w:val="ENoteTableText"/>
            </w:pPr>
            <w:r w:rsidRPr="00576D60">
              <w:t>ad. 2005 No. 324</w:t>
            </w:r>
          </w:p>
        </w:tc>
      </w:tr>
      <w:tr w:rsidR="00E93F58" w:rsidRPr="00576D60" w14:paraId="084DAD59" w14:textId="77777777" w:rsidTr="002F32E3">
        <w:trPr>
          <w:cantSplit/>
        </w:trPr>
        <w:tc>
          <w:tcPr>
            <w:tcW w:w="1500" w:type="pct"/>
            <w:shd w:val="clear" w:color="auto" w:fill="auto"/>
          </w:tcPr>
          <w:p w14:paraId="4FDF1AEF" w14:textId="77777777" w:rsidR="00E93F58" w:rsidRPr="00576D60" w:rsidRDefault="00E93F58" w:rsidP="002F32E3">
            <w:pPr>
              <w:pStyle w:val="ENoteTableText"/>
              <w:tabs>
                <w:tab w:val="left" w:leader="dot" w:pos="2268"/>
              </w:tabs>
            </w:pPr>
            <w:r w:rsidRPr="00576D60">
              <w:t>r 7.7.10AF</w:t>
            </w:r>
            <w:r w:rsidRPr="00576D60">
              <w:tab/>
            </w:r>
          </w:p>
        </w:tc>
        <w:tc>
          <w:tcPr>
            <w:tcW w:w="3500" w:type="pct"/>
            <w:shd w:val="clear" w:color="auto" w:fill="auto"/>
          </w:tcPr>
          <w:p w14:paraId="3D192282" w14:textId="77777777" w:rsidR="00E93F58" w:rsidRPr="00576D60" w:rsidRDefault="00E93F58" w:rsidP="002F32E3">
            <w:pPr>
              <w:pStyle w:val="ENoteTableText"/>
            </w:pPr>
            <w:r w:rsidRPr="00576D60">
              <w:t>ad No 324, 2005</w:t>
            </w:r>
          </w:p>
        </w:tc>
      </w:tr>
      <w:tr w:rsidR="00E93F58" w:rsidRPr="00576D60" w14:paraId="7B9EBA44" w14:textId="77777777" w:rsidTr="002F32E3">
        <w:trPr>
          <w:cantSplit/>
        </w:trPr>
        <w:tc>
          <w:tcPr>
            <w:tcW w:w="1500" w:type="pct"/>
            <w:shd w:val="clear" w:color="auto" w:fill="auto"/>
          </w:tcPr>
          <w:p w14:paraId="26FFD3D3" w14:textId="77777777" w:rsidR="00E93F58" w:rsidRPr="00576D60" w:rsidRDefault="00E93F58" w:rsidP="002F32E3">
            <w:pPr>
              <w:pStyle w:val="ENoteTableText"/>
              <w:tabs>
                <w:tab w:val="left" w:leader="dot" w:pos="2268"/>
              </w:tabs>
            </w:pPr>
          </w:p>
        </w:tc>
        <w:tc>
          <w:tcPr>
            <w:tcW w:w="3500" w:type="pct"/>
            <w:shd w:val="clear" w:color="auto" w:fill="auto"/>
          </w:tcPr>
          <w:p w14:paraId="3F6E0ABD" w14:textId="77777777" w:rsidR="00E93F58" w:rsidRPr="00576D60" w:rsidRDefault="00E93F58" w:rsidP="002F32E3">
            <w:pPr>
              <w:pStyle w:val="ENoteTableText"/>
            </w:pPr>
            <w:r w:rsidRPr="00576D60">
              <w:t>am F2019L00392</w:t>
            </w:r>
          </w:p>
        </w:tc>
      </w:tr>
      <w:tr w:rsidR="00E93F58" w:rsidRPr="00576D60" w14:paraId="0A9EAD5B" w14:textId="77777777" w:rsidTr="002F32E3">
        <w:trPr>
          <w:cantSplit/>
        </w:trPr>
        <w:tc>
          <w:tcPr>
            <w:tcW w:w="1500" w:type="pct"/>
            <w:shd w:val="clear" w:color="auto" w:fill="auto"/>
          </w:tcPr>
          <w:p w14:paraId="135CB918" w14:textId="77777777" w:rsidR="00E93F58" w:rsidRPr="00576D60" w:rsidRDefault="00E93F58" w:rsidP="002F32E3">
            <w:pPr>
              <w:pStyle w:val="ENoteTableText"/>
              <w:tabs>
                <w:tab w:val="left" w:leader="dot" w:pos="2268"/>
              </w:tabs>
            </w:pPr>
            <w:r w:rsidRPr="00576D60">
              <w:t>r 7.7.10AG</w:t>
            </w:r>
            <w:r w:rsidRPr="00576D60">
              <w:tab/>
            </w:r>
          </w:p>
        </w:tc>
        <w:tc>
          <w:tcPr>
            <w:tcW w:w="3500" w:type="pct"/>
            <w:shd w:val="clear" w:color="auto" w:fill="auto"/>
          </w:tcPr>
          <w:p w14:paraId="673580E5" w14:textId="77777777" w:rsidR="00E93F58" w:rsidRPr="00576D60" w:rsidRDefault="00E93F58" w:rsidP="002F32E3">
            <w:pPr>
              <w:pStyle w:val="ENoteTableText"/>
            </w:pPr>
            <w:r w:rsidRPr="00576D60">
              <w:t>ad No 324, 2005</w:t>
            </w:r>
          </w:p>
        </w:tc>
      </w:tr>
      <w:tr w:rsidR="00E93F58" w:rsidRPr="00576D60" w14:paraId="3EBA890B" w14:textId="77777777" w:rsidTr="002F32E3">
        <w:trPr>
          <w:cantSplit/>
        </w:trPr>
        <w:tc>
          <w:tcPr>
            <w:tcW w:w="1500" w:type="pct"/>
            <w:shd w:val="clear" w:color="auto" w:fill="auto"/>
          </w:tcPr>
          <w:p w14:paraId="046D3F93" w14:textId="77777777" w:rsidR="00E93F58" w:rsidRPr="00576D60" w:rsidRDefault="00E93F58" w:rsidP="002F32E3">
            <w:pPr>
              <w:pStyle w:val="ENoteTableText"/>
              <w:tabs>
                <w:tab w:val="left" w:leader="dot" w:pos="2268"/>
              </w:tabs>
            </w:pPr>
          </w:p>
        </w:tc>
        <w:tc>
          <w:tcPr>
            <w:tcW w:w="3500" w:type="pct"/>
            <w:shd w:val="clear" w:color="auto" w:fill="auto"/>
          </w:tcPr>
          <w:p w14:paraId="6E2C90C3" w14:textId="77777777" w:rsidR="00E93F58" w:rsidRPr="00576D60" w:rsidRDefault="00E93F58" w:rsidP="002F32E3">
            <w:pPr>
              <w:pStyle w:val="ENoteTableText"/>
            </w:pPr>
            <w:r w:rsidRPr="00576D60">
              <w:t>am F2019L00392</w:t>
            </w:r>
          </w:p>
        </w:tc>
      </w:tr>
      <w:tr w:rsidR="00E93F58" w:rsidRPr="00576D60" w14:paraId="3139EAB5" w14:textId="77777777" w:rsidTr="002F32E3">
        <w:trPr>
          <w:cantSplit/>
        </w:trPr>
        <w:tc>
          <w:tcPr>
            <w:tcW w:w="1500" w:type="pct"/>
            <w:shd w:val="clear" w:color="auto" w:fill="auto"/>
          </w:tcPr>
          <w:p w14:paraId="15283CBF" w14:textId="77777777" w:rsidR="00E93F58" w:rsidRPr="00576D60" w:rsidRDefault="00E93F58" w:rsidP="002F32E3">
            <w:pPr>
              <w:pStyle w:val="ENoteTableText"/>
              <w:tabs>
                <w:tab w:val="left" w:leader="dot" w:pos="2268"/>
              </w:tabs>
            </w:pPr>
            <w:r w:rsidRPr="00576D60">
              <w:t>r 7.7.10AH</w:t>
            </w:r>
            <w:r w:rsidRPr="00576D60">
              <w:tab/>
            </w:r>
          </w:p>
        </w:tc>
        <w:tc>
          <w:tcPr>
            <w:tcW w:w="3500" w:type="pct"/>
            <w:shd w:val="clear" w:color="auto" w:fill="auto"/>
          </w:tcPr>
          <w:p w14:paraId="43AF2562" w14:textId="77777777" w:rsidR="00E93F58" w:rsidRPr="00576D60" w:rsidRDefault="00E93F58" w:rsidP="002F32E3">
            <w:pPr>
              <w:pStyle w:val="ENoteTableText"/>
            </w:pPr>
            <w:r w:rsidRPr="00576D60">
              <w:t>ad 2005 No 324</w:t>
            </w:r>
          </w:p>
        </w:tc>
      </w:tr>
      <w:tr w:rsidR="00E93F58" w:rsidRPr="00576D60" w14:paraId="1A809D3B" w14:textId="77777777" w:rsidTr="002F32E3">
        <w:trPr>
          <w:cantSplit/>
        </w:trPr>
        <w:tc>
          <w:tcPr>
            <w:tcW w:w="1500" w:type="pct"/>
            <w:shd w:val="clear" w:color="auto" w:fill="auto"/>
          </w:tcPr>
          <w:p w14:paraId="15EDEDE2" w14:textId="77777777" w:rsidR="00E93F58" w:rsidRPr="00576D60" w:rsidRDefault="00E93F58" w:rsidP="002F32E3">
            <w:pPr>
              <w:pStyle w:val="ENoteTableText"/>
              <w:tabs>
                <w:tab w:val="left" w:leader="dot" w:pos="2268"/>
              </w:tabs>
            </w:pPr>
          </w:p>
        </w:tc>
        <w:tc>
          <w:tcPr>
            <w:tcW w:w="3500" w:type="pct"/>
            <w:shd w:val="clear" w:color="auto" w:fill="auto"/>
          </w:tcPr>
          <w:p w14:paraId="63CBBF8E" w14:textId="77777777" w:rsidR="00E93F58" w:rsidRPr="00576D60" w:rsidRDefault="00E93F58" w:rsidP="002F32E3">
            <w:pPr>
              <w:pStyle w:val="ENoteTableText"/>
            </w:pPr>
            <w:r w:rsidRPr="00576D60">
              <w:t>rep F2021L01841</w:t>
            </w:r>
          </w:p>
        </w:tc>
      </w:tr>
      <w:tr w:rsidR="00E93F58" w:rsidRPr="00576D60" w14:paraId="47A7ACD8" w14:textId="77777777" w:rsidTr="002F32E3">
        <w:trPr>
          <w:cantSplit/>
        </w:trPr>
        <w:tc>
          <w:tcPr>
            <w:tcW w:w="1500" w:type="pct"/>
            <w:shd w:val="clear" w:color="auto" w:fill="auto"/>
          </w:tcPr>
          <w:p w14:paraId="531C9076" w14:textId="77777777" w:rsidR="00E93F58" w:rsidRPr="00576D60" w:rsidRDefault="00E93F58" w:rsidP="002F32E3">
            <w:pPr>
              <w:pStyle w:val="ENoteTableText"/>
              <w:tabs>
                <w:tab w:val="left" w:leader="dot" w:pos="2268"/>
              </w:tabs>
            </w:pPr>
            <w:r w:rsidRPr="00576D60">
              <w:t>r. 7.7.10AI</w:t>
            </w:r>
            <w:r w:rsidRPr="00576D60">
              <w:tab/>
            </w:r>
          </w:p>
        </w:tc>
        <w:tc>
          <w:tcPr>
            <w:tcW w:w="3500" w:type="pct"/>
            <w:shd w:val="clear" w:color="auto" w:fill="auto"/>
          </w:tcPr>
          <w:p w14:paraId="09DEE945" w14:textId="77777777" w:rsidR="00E93F58" w:rsidRPr="00576D60" w:rsidRDefault="00E93F58" w:rsidP="002F32E3">
            <w:pPr>
              <w:pStyle w:val="ENoteTableText"/>
            </w:pPr>
            <w:r w:rsidRPr="00576D60">
              <w:t>ad. 2012 No. 42</w:t>
            </w:r>
          </w:p>
        </w:tc>
      </w:tr>
      <w:tr w:rsidR="00E93F58" w:rsidRPr="00576D60" w14:paraId="7A6DFA03" w14:textId="77777777" w:rsidTr="002F32E3">
        <w:trPr>
          <w:cantSplit/>
        </w:trPr>
        <w:tc>
          <w:tcPr>
            <w:tcW w:w="1500" w:type="pct"/>
            <w:shd w:val="clear" w:color="auto" w:fill="auto"/>
          </w:tcPr>
          <w:p w14:paraId="069EBDD4" w14:textId="77777777" w:rsidR="00E93F58" w:rsidRPr="00576D60" w:rsidRDefault="00E93F58" w:rsidP="002F32E3">
            <w:pPr>
              <w:pStyle w:val="ENoteTableText"/>
              <w:tabs>
                <w:tab w:val="left" w:leader="dot" w:pos="2268"/>
              </w:tabs>
            </w:pPr>
            <w:r w:rsidRPr="00576D60">
              <w:t>r. 7.7.10A</w:t>
            </w:r>
            <w:r w:rsidRPr="00576D60">
              <w:tab/>
            </w:r>
          </w:p>
        </w:tc>
        <w:tc>
          <w:tcPr>
            <w:tcW w:w="3500" w:type="pct"/>
            <w:shd w:val="clear" w:color="auto" w:fill="auto"/>
          </w:tcPr>
          <w:p w14:paraId="12E51BF3" w14:textId="77777777" w:rsidR="00E93F58" w:rsidRPr="00576D60" w:rsidRDefault="00E93F58" w:rsidP="002F32E3">
            <w:pPr>
              <w:pStyle w:val="ENoteTableText"/>
            </w:pPr>
            <w:r w:rsidRPr="00576D60">
              <w:t>ad. 2004 No. 149</w:t>
            </w:r>
          </w:p>
        </w:tc>
      </w:tr>
      <w:tr w:rsidR="00E93F58" w:rsidRPr="00576D60" w14:paraId="1222F722" w14:textId="77777777" w:rsidTr="002F32E3">
        <w:trPr>
          <w:cantSplit/>
        </w:trPr>
        <w:tc>
          <w:tcPr>
            <w:tcW w:w="1500" w:type="pct"/>
            <w:shd w:val="clear" w:color="auto" w:fill="auto"/>
          </w:tcPr>
          <w:p w14:paraId="681D42E4" w14:textId="77777777" w:rsidR="00E93F58" w:rsidRPr="00576D60" w:rsidRDefault="00E93F58" w:rsidP="002F32E3">
            <w:pPr>
              <w:pStyle w:val="ENoteTableText"/>
              <w:tabs>
                <w:tab w:val="left" w:leader="dot" w:pos="2268"/>
              </w:tabs>
            </w:pPr>
            <w:r w:rsidRPr="00576D60">
              <w:t>r 7.7.10B</w:t>
            </w:r>
            <w:r w:rsidRPr="00576D60">
              <w:tab/>
            </w:r>
          </w:p>
        </w:tc>
        <w:tc>
          <w:tcPr>
            <w:tcW w:w="3500" w:type="pct"/>
            <w:shd w:val="clear" w:color="auto" w:fill="auto"/>
          </w:tcPr>
          <w:p w14:paraId="459C2422" w14:textId="77777777" w:rsidR="00E93F58" w:rsidRPr="00576D60" w:rsidRDefault="00E93F58" w:rsidP="002F32E3">
            <w:pPr>
              <w:pStyle w:val="ENoteTableText"/>
            </w:pPr>
            <w:r w:rsidRPr="00576D60">
              <w:t>ad.</w:t>
            </w:r>
            <w:r>
              <w:t xml:space="preserve"> No 324, 2005</w:t>
            </w:r>
          </w:p>
        </w:tc>
      </w:tr>
      <w:tr w:rsidR="00E93F58" w:rsidRPr="00576D60" w14:paraId="5D2AA9CD" w14:textId="77777777" w:rsidTr="002F32E3">
        <w:trPr>
          <w:cantSplit/>
        </w:trPr>
        <w:tc>
          <w:tcPr>
            <w:tcW w:w="1500" w:type="pct"/>
            <w:shd w:val="clear" w:color="auto" w:fill="auto"/>
          </w:tcPr>
          <w:p w14:paraId="626F9177" w14:textId="77777777" w:rsidR="00E93F58" w:rsidRPr="00576D60" w:rsidRDefault="00E93F58" w:rsidP="002F32E3">
            <w:pPr>
              <w:pStyle w:val="ENoteTableText"/>
              <w:tabs>
                <w:tab w:val="left" w:leader="dot" w:pos="2268"/>
              </w:tabs>
            </w:pPr>
          </w:p>
        </w:tc>
        <w:tc>
          <w:tcPr>
            <w:tcW w:w="3500" w:type="pct"/>
            <w:shd w:val="clear" w:color="auto" w:fill="auto"/>
          </w:tcPr>
          <w:p w14:paraId="6D2C7252" w14:textId="77777777" w:rsidR="00E93F58" w:rsidRPr="00576D60" w:rsidRDefault="00E93F58" w:rsidP="002F32E3">
            <w:pPr>
              <w:pStyle w:val="ENoteTableText"/>
            </w:pPr>
            <w:r>
              <w:t>am F2023L01458</w:t>
            </w:r>
          </w:p>
        </w:tc>
      </w:tr>
      <w:tr w:rsidR="00E93F58" w:rsidRPr="00576D60" w14:paraId="74B6FDDF" w14:textId="77777777" w:rsidTr="002F32E3">
        <w:trPr>
          <w:cantSplit/>
        </w:trPr>
        <w:tc>
          <w:tcPr>
            <w:tcW w:w="1500" w:type="pct"/>
            <w:shd w:val="clear" w:color="auto" w:fill="auto"/>
          </w:tcPr>
          <w:p w14:paraId="48C0FA9C" w14:textId="77777777" w:rsidR="00E93F58" w:rsidRPr="00576D60" w:rsidRDefault="00E93F58" w:rsidP="00156435">
            <w:pPr>
              <w:pStyle w:val="ENoteTableText"/>
              <w:keepNext/>
              <w:tabs>
                <w:tab w:val="left" w:leader="dot" w:pos="2268"/>
              </w:tabs>
            </w:pPr>
            <w:r w:rsidRPr="00576D60">
              <w:t>r 7.7.10C</w:t>
            </w:r>
            <w:r w:rsidRPr="00576D60">
              <w:tab/>
            </w:r>
          </w:p>
        </w:tc>
        <w:tc>
          <w:tcPr>
            <w:tcW w:w="3500" w:type="pct"/>
            <w:shd w:val="clear" w:color="auto" w:fill="auto"/>
          </w:tcPr>
          <w:p w14:paraId="2E5B040C" w14:textId="77777777" w:rsidR="00E93F58" w:rsidRPr="00576D60" w:rsidRDefault="00E93F58" w:rsidP="002F32E3">
            <w:pPr>
              <w:pStyle w:val="ENoteTableText"/>
            </w:pPr>
            <w:r w:rsidRPr="00576D60">
              <w:t>ad</w:t>
            </w:r>
            <w:r>
              <w:t xml:space="preserve"> No 324, 2005</w:t>
            </w:r>
          </w:p>
        </w:tc>
      </w:tr>
      <w:tr w:rsidR="00E93F58" w:rsidRPr="00576D60" w14:paraId="479329F3" w14:textId="77777777" w:rsidTr="002F32E3">
        <w:trPr>
          <w:cantSplit/>
        </w:trPr>
        <w:tc>
          <w:tcPr>
            <w:tcW w:w="1500" w:type="pct"/>
            <w:shd w:val="clear" w:color="auto" w:fill="auto"/>
          </w:tcPr>
          <w:p w14:paraId="2B365916" w14:textId="77777777" w:rsidR="00E93F58" w:rsidRPr="00576D60" w:rsidRDefault="00E93F58" w:rsidP="00156435">
            <w:pPr>
              <w:pStyle w:val="ENoteTableText"/>
              <w:keepNext/>
              <w:tabs>
                <w:tab w:val="left" w:leader="dot" w:pos="2268"/>
              </w:tabs>
            </w:pPr>
          </w:p>
        </w:tc>
        <w:tc>
          <w:tcPr>
            <w:tcW w:w="3500" w:type="pct"/>
            <w:shd w:val="clear" w:color="auto" w:fill="auto"/>
          </w:tcPr>
          <w:p w14:paraId="5F046B3F" w14:textId="77777777" w:rsidR="00E93F58" w:rsidRPr="00576D60" w:rsidRDefault="00E93F58" w:rsidP="002F32E3">
            <w:pPr>
              <w:pStyle w:val="ENoteTableText"/>
            </w:pPr>
            <w:r>
              <w:t>am F2023L01458</w:t>
            </w:r>
          </w:p>
        </w:tc>
      </w:tr>
      <w:tr w:rsidR="00E93F58" w:rsidRPr="00576D60" w14:paraId="5AD94CD7" w14:textId="77777777" w:rsidTr="002F32E3">
        <w:trPr>
          <w:cantSplit/>
        </w:trPr>
        <w:tc>
          <w:tcPr>
            <w:tcW w:w="1500" w:type="pct"/>
            <w:shd w:val="clear" w:color="auto" w:fill="auto"/>
          </w:tcPr>
          <w:p w14:paraId="73BD35DA" w14:textId="77777777" w:rsidR="00E93F58" w:rsidRPr="00576D60" w:rsidRDefault="00E93F58" w:rsidP="002F32E3">
            <w:pPr>
              <w:pStyle w:val="ENoteTableText"/>
              <w:tabs>
                <w:tab w:val="left" w:leader="dot" w:pos="2268"/>
              </w:tabs>
            </w:pPr>
            <w:r w:rsidRPr="00576D60">
              <w:t>r. 7.7.10D</w:t>
            </w:r>
            <w:r w:rsidRPr="00576D60">
              <w:tab/>
            </w:r>
          </w:p>
        </w:tc>
        <w:tc>
          <w:tcPr>
            <w:tcW w:w="3500" w:type="pct"/>
            <w:shd w:val="clear" w:color="auto" w:fill="auto"/>
          </w:tcPr>
          <w:p w14:paraId="3CC7DF96" w14:textId="77777777" w:rsidR="00E93F58" w:rsidRPr="00576D60" w:rsidRDefault="00E93F58" w:rsidP="002F32E3">
            <w:pPr>
              <w:pStyle w:val="ENoteTableText"/>
            </w:pPr>
            <w:r w:rsidRPr="00576D60">
              <w:t>ad. 2005 No. 324</w:t>
            </w:r>
          </w:p>
        </w:tc>
      </w:tr>
      <w:tr w:rsidR="00E93F58" w:rsidRPr="00576D60" w14:paraId="11F97BE0" w14:textId="77777777" w:rsidTr="002F32E3">
        <w:trPr>
          <w:cantSplit/>
        </w:trPr>
        <w:tc>
          <w:tcPr>
            <w:tcW w:w="1500" w:type="pct"/>
            <w:shd w:val="clear" w:color="auto" w:fill="auto"/>
          </w:tcPr>
          <w:p w14:paraId="5D65BBA8" w14:textId="77777777" w:rsidR="00E93F58" w:rsidRPr="00576D60" w:rsidRDefault="00E93F58" w:rsidP="002F32E3">
            <w:pPr>
              <w:pStyle w:val="ENoteTableText"/>
              <w:tabs>
                <w:tab w:val="left" w:leader="dot" w:pos="2268"/>
              </w:tabs>
            </w:pPr>
            <w:r w:rsidRPr="00576D60">
              <w:t>r. 7.7.10E</w:t>
            </w:r>
            <w:r w:rsidRPr="00576D60">
              <w:tab/>
            </w:r>
          </w:p>
        </w:tc>
        <w:tc>
          <w:tcPr>
            <w:tcW w:w="3500" w:type="pct"/>
            <w:shd w:val="clear" w:color="auto" w:fill="auto"/>
          </w:tcPr>
          <w:p w14:paraId="22DCF6EC" w14:textId="77777777" w:rsidR="00E93F58" w:rsidRPr="00576D60" w:rsidRDefault="00E93F58" w:rsidP="002F32E3">
            <w:pPr>
              <w:pStyle w:val="ENoteTableText"/>
            </w:pPr>
            <w:r w:rsidRPr="00576D60">
              <w:t>ad. 2005 No. 324</w:t>
            </w:r>
          </w:p>
        </w:tc>
      </w:tr>
      <w:tr w:rsidR="00E93F58" w:rsidRPr="00576D60" w14:paraId="6DD189EB" w14:textId="77777777" w:rsidTr="002F32E3">
        <w:trPr>
          <w:cantSplit/>
        </w:trPr>
        <w:tc>
          <w:tcPr>
            <w:tcW w:w="1500" w:type="pct"/>
            <w:shd w:val="clear" w:color="auto" w:fill="auto"/>
          </w:tcPr>
          <w:p w14:paraId="2B12066F" w14:textId="77777777" w:rsidR="00E93F58" w:rsidRPr="00576D60" w:rsidRDefault="00E93F58" w:rsidP="002F32E3">
            <w:pPr>
              <w:pStyle w:val="ENoteTableText"/>
              <w:tabs>
                <w:tab w:val="left" w:leader="dot" w:pos="2268"/>
              </w:tabs>
            </w:pPr>
            <w:r w:rsidRPr="00576D60">
              <w:t>r. 7.7.11</w:t>
            </w:r>
            <w:r w:rsidRPr="00576D60">
              <w:tab/>
            </w:r>
          </w:p>
        </w:tc>
        <w:tc>
          <w:tcPr>
            <w:tcW w:w="3500" w:type="pct"/>
            <w:shd w:val="clear" w:color="auto" w:fill="auto"/>
          </w:tcPr>
          <w:p w14:paraId="6D8DA3CB" w14:textId="77777777" w:rsidR="00E93F58" w:rsidRPr="00576D60" w:rsidRDefault="00E93F58" w:rsidP="002F32E3">
            <w:pPr>
              <w:pStyle w:val="ENoteTableText"/>
            </w:pPr>
            <w:r w:rsidRPr="00576D60">
              <w:t>ad. 2001 No. 319</w:t>
            </w:r>
          </w:p>
        </w:tc>
      </w:tr>
      <w:tr w:rsidR="00E93F58" w:rsidRPr="00576D60" w14:paraId="1594E863" w14:textId="77777777" w:rsidTr="002F32E3">
        <w:trPr>
          <w:cantSplit/>
        </w:trPr>
        <w:tc>
          <w:tcPr>
            <w:tcW w:w="1500" w:type="pct"/>
            <w:shd w:val="clear" w:color="auto" w:fill="auto"/>
          </w:tcPr>
          <w:p w14:paraId="1AA50139" w14:textId="77777777" w:rsidR="00E93F58" w:rsidRPr="00576D60" w:rsidRDefault="00E93F58" w:rsidP="002F32E3">
            <w:pPr>
              <w:pStyle w:val="ENoteTableText"/>
            </w:pPr>
          </w:p>
        </w:tc>
        <w:tc>
          <w:tcPr>
            <w:tcW w:w="3500" w:type="pct"/>
            <w:shd w:val="clear" w:color="auto" w:fill="auto"/>
          </w:tcPr>
          <w:p w14:paraId="472C9D21" w14:textId="77777777" w:rsidR="00E93F58" w:rsidRPr="00576D60" w:rsidRDefault="00E93F58" w:rsidP="002F32E3">
            <w:pPr>
              <w:pStyle w:val="ENoteTableText"/>
            </w:pPr>
            <w:r w:rsidRPr="00576D60">
              <w:t>am No 202, 2003; No 149, 2004</w:t>
            </w:r>
          </w:p>
        </w:tc>
      </w:tr>
      <w:tr w:rsidR="00E93F58" w:rsidRPr="00576D60" w14:paraId="3FE4C8AA" w14:textId="77777777" w:rsidTr="002F32E3">
        <w:trPr>
          <w:cantSplit/>
        </w:trPr>
        <w:tc>
          <w:tcPr>
            <w:tcW w:w="1500" w:type="pct"/>
            <w:shd w:val="clear" w:color="auto" w:fill="auto"/>
          </w:tcPr>
          <w:p w14:paraId="0CA3D8F0" w14:textId="77777777" w:rsidR="00E93F58" w:rsidRPr="00576D60" w:rsidRDefault="00E93F58" w:rsidP="002F32E3">
            <w:pPr>
              <w:pStyle w:val="ENoteTableText"/>
              <w:tabs>
                <w:tab w:val="left" w:leader="dot" w:pos="2268"/>
              </w:tabs>
            </w:pPr>
            <w:r w:rsidRPr="00576D60">
              <w:t>r. 7.7.11A</w:t>
            </w:r>
            <w:r w:rsidRPr="00576D60">
              <w:tab/>
            </w:r>
          </w:p>
        </w:tc>
        <w:tc>
          <w:tcPr>
            <w:tcW w:w="3500" w:type="pct"/>
            <w:shd w:val="clear" w:color="auto" w:fill="auto"/>
          </w:tcPr>
          <w:p w14:paraId="04C620CB" w14:textId="77777777" w:rsidR="00E93F58" w:rsidRPr="00576D60" w:rsidRDefault="00E93F58" w:rsidP="002F32E3">
            <w:pPr>
              <w:pStyle w:val="ENoteTableText"/>
            </w:pPr>
            <w:r w:rsidRPr="00576D60">
              <w:t>ad. 2004 No. 25</w:t>
            </w:r>
          </w:p>
        </w:tc>
      </w:tr>
      <w:tr w:rsidR="00E93F58" w:rsidRPr="00576D60" w14:paraId="3293F943" w14:textId="77777777" w:rsidTr="002F32E3">
        <w:trPr>
          <w:cantSplit/>
        </w:trPr>
        <w:tc>
          <w:tcPr>
            <w:tcW w:w="1500" w:type="pct"/>
            <w:shd w:val="clear" w:color="auto" w:fill="auto"/>
          </w:tcPr>
          <w:p w14:paraId="46F2EF15" w14:textId="77777777" w:rsidR="00E93F58" w:rsidRPr="00576D60" w:rsidRDefault="00E93F58" w:rsidP="002F32E3">
            <w:pPr>
              <w:pStyle w:val="ENoteTableText"/>
              <w:tabs>
                <w:tab w:val="left" w:leader="dot" w:pos="2268"/>
              </w:tabs>
            </w:pPr>
            <w:r w:rsidRPr="00576D60">
              <w:t>r. 7.7.11B</w:t>
            </w:r>
            <w:r w:rsidRPr="00576D60">
              <w:tab/>
            </w:r>
          </w:p>
        </w:tc>
        <w:tc>
          <w:tcPr>
            <w:tcW w:w="3500" w:type="pct"/>
            <w:shd w:val="clear" w:color="auto" w:fill="auto"/>
          </w:tcPr>
          <w:p w14:paraId="70CAE3D9" w14:textId="77777777" w:rsidR="00E93F58" w:rsidRPr="00576D60" w:rsidRDefault="00E93F58" w:rsidP="002F32E3">
            <w:pPr>
              <w:pStyle w:val="ENoteTableText"/>
            </w:pPr>
            <w:r w:rsidRPr="00576D60">
              <w:t>ad. 2004 No. 149</w:t>
            </w:r>
          </w:p>
        </w:tc>
      </w:tr>
      <w:tr w:rsidR="00E93F58" w:rsidRPr="00576D60" w14:paraId="79E86C34" w14:textId="77777777" w:rsidTr="002F32E3">
        <w:trPr>
          <w:cantSplit/>
        </w:trPr>
        <w:tc>
          <w:tcPr>
            <w:tcW w:w="1500" w:type="pct"/>
            <w:shd w:val="clear" w:color="auto" w:fill="auto"/>
          </w:tcPr>
          <w:p w14:paraId="71CE5BE0" w14:textId="77777777" w:rsidR="00E93F58" w:rsidRPr="00576D60" w:rsidRDefault="00E93F58" w:rsidP="002F32E3">
            <w:pPr>
              <w:pStyle w:val="ENoteTableText"/>
              <w:tabs>
                <w:tab w:val="left" w:leader="dot" w:pos="2268"/>
              </w:tabs>
            </w:pPr>
            <w:r w:rsidRPr="00576D60">
              <w:t>r. 7.7.12</w:t>
            </w:r>
            <w:r w:rsidRPr="00576D60">
              <w:tab/>
            </w:r>
          </w:p>
        </w:tc>
        <w:tc>
          <w:tcPr>
            <w:tcW w:w="3500" w:type="pct"/>
            <w:shd w:val="clear" w:color="auto" w:fill="auto"/>
          </w:tcPr>
          <w:p w14:paraId="14A786BB" w14:textId="77777777" w:rsidR="00E93F58" w:rsidRPr="00576D60" w:rsidRDefault="00E93F58" w:rsidP="002F32E3">
            <w:pPr>
              <w:pStyle w:val="ENoteTableText"/>
            </w:pPr>
            <w:r w:rsidRPr="00576D60">
              <w:t>ad. 2001 No. 319</w:t>
            </w:r>
          </w:p>
        </w:tc>
      </w:tr>
      <w:tr w:rsidR="00E93F58" w:rsidRPr="00576D60" w14:paraId="4326155F" w14:textId="77777777" w:rsidTr="002F32E3">
        <w:trPr>
          <w:cantSplit/>
        </w:trPr>
        <w:tc>
          <w:tcPr>
            <w:tcW w:w="1500" w:type="pct"/>
            <w:shd w:val="clear" w:color="auto" w:fill="auto"/>
          </w:tcPr>
          <w:p w14:paraId="648BF08A" w14:textId="77777777" w:rsidR="00E93F58" w:rsidRPr="00576D60" w:rsidRDefault="00E93F58" w:rsidP="002F32E3">
            <w:pPr>
              <w:pStyle w:val="ENoteTableText"/>
            </w:pPr>
          </w:p>
        </w:tc>
        <w:tc>
          <w:tcPr>
            <w:tcW w:w="3500" w:type="pct"/>
            <w:shd w:val="clear" w:color="auto" w:fill="auto"/>
          </w:tcPr>
          <w:p w14:paraId="6797BC77" w14:textId="77777777" w:rsidR="00E93F58" w:rsidRPr="00576D60" w:rsidRDefault="00E93F58" w:rsidP="002F32E3">
            <w:pPr>
              <w:pStyle w:val="ENoteTableText"/>
            </w:pPr>
            <w:r w:rsidRPr="00576D60">
              <w:t>am No 202, 2003; No 149, 2004</w:t>
            </w:r>
          </w:p>
        </w:tc>
      </w:tr>
      <w:tr w:rsidR="00E93F58" w:rsidRPr="00576D60" w14:paraId="1F892A20" w14:textId="77777777" w:rsidTr="002F32E3">
        <w:trPr>
          <w:cantSplit/>
        </w:trPr>
        <w:tc>
          <w:tcPr>
            <w:tcW w:w="1500" w:type="pct"/>
            <w:shd w:val="clear" w:color="auto" w:fill="auto"/>
          </w:tcPr>
          <w:p w14:paraId="270EA5D2" w14:textId="77777777" w:rsidR="00E93F58" w:rsidRPr="00576D60" w:rsidRDefault="00E93F58" w:rsidP="002F32E3">
            <w:pPr>
              <w:pStyle w:val="ENoteTableText"/>
              <w:tabs>
                <w:tab w:val="left" w:leader="dot" w:pos="2268"/>
              </w:tabs>
            </w:pPr>
            <w:r w:rsidRPr="00576D60">
              <w:t>r. 7.7.13</w:t>
            </w:r>
            <w:r w:rsidRPr="00576D60">
              <w:tab/>
            </w:r>
          </w:p>
        </w:tc>
        <w:tc>
          <w:tcPr>
            <w:tcW w:w="3500" w:type="pct"/>
            <w:shd w:val="clear" w:color="auto" w:fill="auto"/>
          </w:tcPr>
          <w:p w14:paraId="77FC27A0" w14:textId="77777777" w:rsidR="00E93F58" w:rsidRPr="00576D60" w:rsidRDefault="00E93F58" w:rsidP="002F32E3">
            <w:pPr>
              <w:pStyle w:val="ENoteTableText"/>
            </w:pPr>
            <w:r w:rsidRPr="00576D60">
              <w:t>ad. 2004 No. 149</w:t>
            </w:r>
          </w:p>
        </w:tc>
      </w:tr>
      <w:tr w:rsidR="00E93F58" w:rsidRPr="00576D60" w14:paraId="0E9B0D43" w14:textId="77777777" w:rsidTr="002F32E3">
        <w:trPr>
          <w:cantSplit/>
        </w:trPr>
        <w:tc>
          <w:tcPr>
            <w:tcW w:w="1500" w:type="pct"/>
            <w:shd w:val="clear" w:color="auto" w:fill="auto"/>
          </w:tcPr>
          <w:p w14:paraId="6C21D0FC" w14:textId="77777777" w:rsidR="00E93F58" w:rsidRPr="00576D60" w:rsidRDefault="00E93F58" w:rsidP="002F32E3">
            <w:pPr>
              <w:pStyle w:val="ENoteTableText"/>
              <w:tabs>
                <w:tab w:val="left" w:leader="dot" w:pos="2268"/>
              </w:tabs>
            </w:pPr>
            <w:r w:rsidRPr="00576D60">
              <w:t>r. 7.7.13A</w:t>
            </w:r>
            <w:r w:rsidRPr="00576D60">
              <w:tab/>
            </w:r>
          </w:p>
        </w:tc>
        <w:tc>
          <w:tcPr>
            <w:tcW w:w="3500" w:type="pct"/>
            <w:shd w:val="clear" w:color="auto" w:fill="auto"/>
          </w:tcPr>
          <w:p w14:paraId="685B38B3" w14:textId="77777777" w:rsidR="00E93F58" w:rsidRPr="00576D60" w:rsidRDefault="00E93F58" w:rsidP="002F32E3">
            <w:pPr>
              <w:pStyle w:val="ENoteTableText"/>
            </w:pPr>
            <w:r w:rsidRPr="00576D60">
              <w:t>ad. 2004 No. 149</w:t>
            </w:r>
          </w:p>
        </w:tc>
      </w:tr>
      <w:tr w:rsidR="00E93F58" w:rsidRPr="00576D60" w14:paraId="175EDAB9" w14:textId="77777777" w:rsidTr="002F32E3">
        <w:trPr>
          <w:cantSplit/>
        </w:trPr>
        <w:tc>
          <w:tcPr>
            <w:tcW w:w="1500" w:type="pct"/>
            <w:shd w:val="clear" w:color="auto" w:fill="auto"/>
          </w:tcPr>
          <w:p w14:paraId="6D587BD5" w14:textId="77777777" w:rsidR="00E93F58" w:rsidRPr="00576D60" w:rsidRDefault="00E93F58" w:rsidP="002F32E3">
            <w:pPr>
              <w:pStyle w:val="ENoteTableText"/>
              <w:tabs>
                <w:tab w:val="left" w:leader="dot" w:pos="2268"/>
              </w:tabs>
            </w:pPr>
            <w:r w:rsidRPr="00576D60">
              <w:t>r. 7.7.13B</w:t>
            </w:r>
            <w:r w:rsidRPr="00576D60">
              <w:tab/>
            </w:r>
          </w:p>
        </w:tc>
        <w:tc>
          <w:tcPr>
            <w:tcW w:w="3500" w:type="pct"/>
            <w:shd w:val="clear" w:color="auto" w:fill="auto"/>
          </w:tcPr>
          <w:p w14:paraId="769398EE" w14:textId="77777777" w:rsidR="00E93F58" w:rsidRPr="00576D60" w:rsidRDefault="00E93F58" w:rsidP="002F32E3">
            <w:pPr>
              <w:pStyle w:val="ENoteTableText"/>
            </w:pPr>
            <w:r w:rsidRPr="00576D60">
              <w:t>ad. 2004 No. 149</w:t>
            </w:r>
          </w:p>
        </w:tc>
      </w:tr>
      <w:tr w:rsidR="00E93F58" w:rsidRPr="00576D60" w14:paraId="46E7AD51" w14:textId="77777777" w:rsidTr="002F32E3">
        <w:trPr>
          <w:cantSplit/>
        </w:trPr>
        <w:tc>
          <w:tcPr>
            <w:tcW w:w="1500" w:type="pct"/>
            <w:shd w:val="clear" w:color="auto" w:fill="auto"/>
          </w:tcPr>
          <w:p w14:paraId="2CF9B337" w14:textId="77777777" w:rsidR="00E93F58" w:rsidRPr="00576D60" w:rsidRDefault="00E93F58" w:rsidP="00A1421B">
            <w:pPr>
              <w:pStyle w:val="ENoteTableText"/>
              <w:keepNext/>
              <w:tabs>
                <w:tab w:val="left" w:leader="dot" w:pos="2268"/>
              </w:tabs>
              <w:rPr>
                <w:b/>
              </w:rPr>
            </w:pPr>
            <w:r w:rsidRPr="00576D60">
              <w:rPr>
                <w:b/>
              </w:rPr>
              <w:t>Division 4</w:t>
            </w:r>
          </w:p>
        </w:tc>
        <w:tc>
          <w:tcPr>
            <w:tcW w:w="3500" w:type="pct"/>
            <w:shd w:val="clear" w:color="auto" w:fill="auto"/>
          </w:tcPr>
          <w:p w14:paraId="025D0DD1" w14:textId="77777777" w:rsidR="00E93F58" w:rsidRPr="00576D60" w:rsidRDefault="00E93F58" w:rsidP="002F32E3">
            <w:pPr>
              <w:pStyle w:val="ENoteTableText"/>
            </w:pPr>
          </w:p>
        </w:tc>
      </w:tr>
      <w:tr w:rsidR="00E93F58" w:rsidRPr="00576D60" w14:paraId="1BD475AE" w14:textId="77777777" w:rsidTr="002F32E3">
        <w:trPr>
          <w:cantSplit/>
        </w:trPr>
        <w:tc>
          <w:tcPr>
            <w:tcW w:w="1500" w:type="pct"/>
            <w:shd w:val="clear" w:color="auto" w:fill="auto"/>
          </w:tcPr>
          <w:p w14:paraId="40F0E494" w14:textId="77777777" w:rsidR="00E93F58" w:rsidRPr="00576D60" w:rsidRDefault="00E93F58" w:rsidP="002F32E3">
            <w:pPr>
              <w:pStyle w:val="ENoteTableText"/>
              <w:tabs>
                <w:tab w:val="left" w:leader="dot" w:pos="2268"/>
              </w:tabs>
            </w:pPr>
            <w:r w:rsidRPr="00576D60">
              <w:t>Division 4</w:t>
            </w:r>
            <w:r w:rsidRPr="00576D60">
              <w:tab/>
            </w:r>
          </w:p>
        </w:tc>
        <w:tc>
          <w:tcPr>
            <w:tcW w:w="3500" w:type="pct"/>
            <w:shd w:val="clear" w:color="auto" w:fill="auto"/>
          </w:tcPr>
          <w:p w14:paraId="747DDEAD" w14:textId="77777777" w:rsidR="00E93F58" w:rsidRPr="00576D60" w:rsidRDefault="00E93F58" w:rsidP="002F32E3">
            <w:pPr>
              <w:pStyle w:val="ENoteTableText"/>
            </w:pPr>
            <w:r w:rsidRPr="00576D60">
              <w:t>ad. 2003 No. 369</w:t>
            </w:r>
          </w:p>
        </w:tc>
      </w:tr>
      <w:tr w:rsidR="00E93F58" w:rsidRPr="00576D60" w14:paraId="2558DD43" w14:textId="77777777" w:rsidTr="002F32E3">
        <w:trPr>
          <w:cantSplit/>
        </w:trPr>
        <w:tc>
          <w:tcPr>
            <w:tcW w:w="1500" w:type="pct"/>
            <w:shd w:val="clear" w:color="auto" w:fill="auto"/>
          </w:tcPr>
          <w:p w14:paraId="40B35E2A" w14:textId="77777777" w:rsidR="00E93F58" w:rsidRPr="00576D60" w:rsidRDefault="00E93F58" w:rsidP="002F32E3">
            <w:pPr>
              <w:pStyle w:val="ENoteTableText"/>
              <w:tabs>
                <w:tab w:val="left" w:leader="dot" w:pos="2268"/>
              </w:tabs>
            </w:pPr>
            <w:r w:rsidRPr="00576D60">
              <w:t>r. 7.7.14</w:t>
            </w:r>
            <w:r w:rsidRPr="00576D60">
              <w:tab/>
            </w:r>
          </w:p>
        </w:tc>
        <w:tc>
          <w:tcPr>
            <w:tcW w:w="3500" w:type="pct"/>
            <w:shd w:val="clear" w:color="auto" w:fill="auto"/>
          </w:tcPr>
          <w:p w14:paraId="3C3055D0" w14:textId="77777777" w:rsidR="00E93F58" w:rsidRPr="00576D60" w:rsidRDefault="00E93F58" w:rsidP="002F32E3">
            <w:pPr>
              <w:pStyle w:val="ENoteTableText"/>
            </w:pPr>
            <w:r w:rsidRPr="00576D60">
              <w:t>ad. 2003 No. 369</w:t>
            </w:r>
          </w:p>
        </w:tc>
      </w:tr>
      <w:tr w:rsidR="00E93F58" w:rsidRPr="00576D60" w14:paraId="2D70FAE0" w14:textId="77777777" w:rsidTr="002F32E3">
        <w:trPr>
          <w:cantSplit/>
        </w:trPr>
        <w:tc>
          <w:tcPr>
            <w:tcW w:w="1500" w:type="pct"/>
            <w:shd w:val="clear" w:color="auto" w:fill="auto"/>
          </w:tcPr>
          <w:p w14:paraId="5D2D1EDE" w14:textId="77777777" w:rsidR="00E93F58" w:rsidRPr="00576D60" w:rsidRDefault="00E93F58" w:rsidP="002F32E3">
            <w:pPr>
              <w:pStyle w:val="ENoteTableText"/>
              <w:keepNext/>
              <w:tabs>
                <w:tab w:val="left" w:leader="dot" w:pos="2268"/>
              </w:tabs>
              <w:rPr>
                <w:b/>
              </w:rPr>
            </w:pPr>
            <w:r w:rsidRPr="00576D60">
              <w:rPr>
                <w:b/>
              </w:rPr>
              <w:t>Division 5</w:t>
            </w:r>
          </w:p>
        </w:tc>
        <w:tc>
          <w:tcPr>
            <w:tcW w:w="3500" w:type="pct"/>
            <w:shd w:val="clear" w:color="auto" w:fill="auto"/>
          </w:tcPr>
          <w:p w14:paraId="27060816" w14:textId="77777777" w:rsidR="00E93F58" w:rsidRPr="00576D60" w:rsidRDefault="00E93F58" w:rsidP="002F32E3">
            <w:pPr>
              <w:pStyle w:val="ENoteTableText"/>
            </w:pPr>
          </w:p>
        </w:tc>
      </w:tr>
      <w:tr w:rsidR="00E93F58" w:rsidRPr="00576D60" w14:paraId="2C54A576" w14:textId="77777777" w:rsidTr="002F32E3">
        <w:trPr>
          <w:cantSplit/>
        </w:trPr>
        <w:tc>
          <w:tcPr>
            <w:tcW w:w="1500" w:type="pct"/>
            <w:shd w:val="clear" w:color="auto" w:fill="auto"/>
          </w:tcPr>
          <w:p w14:paraId="625536C5" w14:textId="77777777" w:rsidR="00E93F58" w:rsidRPr="00576D60" w:rsidRDefault="00E93F58" w:rsidP="002F32E3">
            <w:pPr>
              <w:pStyle w:val="ENoteTableText"/>
              <w:tabs>
                <w:tab w:val="left" w:leader="dot" w:pos="2268"/>
              </w:tabs>
            </w:pPr>
            <w:r w:rsidRPr="00576D60">
              <w:t>Division 5</w:t>
            </w:r>
            <w:r w:rsidRPr="00576D60">
              <w:tab/>
            </w:r>
          </w:p>
        </w:tc>
        <w:tc>
          <w:tcPr>
            <w:tcW w:w="3500" w:type="pct"/>
            <w:shd w:val="clear" w:color="auto" w:fill="auto"/>
          </w:tcPr>
          <w:p w14:paraId="7A2303C5" w14:textId="77777777" w:rsidR="00E93F58" w:rsidRPr="00576D60" w:rsidRDefault="00E93F58" w:rsidP="002F32E3">
            <w:pPr>
              <w:pStyle w:val="ENoteTableText"/>
            </w:pPr>
            <w:r w:rsidRPr="00576D60">
              <w:t>ad. 2003 No. 369</w:t>
            </w:r>
          </w:p>
        </w:tc>
      </w:tr>
      <w:tr w:rsidR="00E93F58" w:rsidRPr="00576D60" w14:paraId="2D87F4DC" w14:textId="77777777" w:rsidTr="002F32E3">
        <w:trPr>
          <w:cantSplit/>
        </w:trPr>
        <w:tc>
          <w:tcPr>
            <w:tcW w:w="1500" w:type="pct"/>
            <w:shd w:val="clear" w:color="auto" w:fill="auto"/>
          </w:tcPr>
          <w:p w14:paraId="465C7450" w14:textId="77777777" w:rsidR="00E93F58" w:rsidRPr="00576D60" w:rsidRDefault="00E93F58" w:rsidP="002F32E3">
            <w:pPr>
              <w:pStyle w:val="ENoteTableText"/>
              <w:tabs>
                <w:tab w:val="left" w:leader="dot" w:pos="2268"/>
              </w:tabs>
            </w:pPr>
            <w:r w:rsidRPr="00576D60">
              <w:t>r. 7.7.20</w:t>
            </w:r>
            <w:r w:rsidRPr="00576D60">
              <w:tab/>
            </w:r>
          </w:p>
        </w:tc>
        <w:tc>
          <w:tcPr>
            <w:tcW w:w="3500" w:type="pct"/>
            <w:shd w:val="clear" w:color="auto" w:fill="auto"/>
          </w:tcPr>
          <w:p w14:paraId="63E6EFBC" w14:textId="77777777" w:rsidR="00E93F58" w:rsidRPr="00576D60" w:rsidRDefault="00E93F58" w:rsidP="002F32E3">
            <w:pPr>
              <w:pStyle w:val="ENoteTableText"/>
            </w:pPr>
            <w:r w:rsidRPr="00576D60">
              <w:t>ad. 2003 No. 369</w:t>
            </w:r>
          </w:p>
        </w:tc>
      </w:tr>
      <w:tr w:rsidR="00E93F58" w:rsidRPr="00576D60" w14:paraId="3B9CBC4F" w14:textId="77777777" w:rsidTr="002F32E3">
        <w:trPr>
          <w:cantSplit/>
        </w:trPr>
        <w:tc>
          <w:tcPr>
            <w:tcW w:w="1500" w:type="pct"/>
            <w:shd w:val="clear" w:color="auto" w:fill="auto"/>
          </w:tcPr>
          <w:p w14:paraId="53C97589" w14:textId="77777777" w:rsidR="00E93F58" w:rsidRPr="00576D60" w:rsidRDefault="00E93F58" w:rsidP="002F32E3">
            <w:pPr>
              <w:pStyle w:val="ENoteTableText"/>
              <w:tabs>
                <w:tab w:val="left" w:leader="dot" w:pos="2268"/>
              </w:tabs>
            </w:pPr>
            <w:r w:rsidRPr="00576D60">
              <w:t>r 7.7.20A</w:t>
            </w:r>
            <w:r w:rsidRPr="00576D60">
              <w:tab/>
            </w:r>
          </w:p>
        </w:tc>
        <w:tc>
          <w:tcPr>
            <w:tcW w:w="3500" w:type="pct"/>
            <w:shd w:val="clear" w:color="auto" w:fill="auto"/>
          </w:tcPr>
          <w:p w14:paraId="72AEEBE6" w14:textId="77777777" w:rsidR="00E93F58" w:rsidRPr="00576D60" w:rsidRDefault="00E93F58" w:rsidP="002F32E3">
            <w:pPr>
              <w:pStyle w:val="ENoteTableText"/>
            </w:pPr>
            <w:r w:rsidRPr="00576D60">
              <w:t>ad No 130, 2008</w:t>
            </w:r>
          </w:p>
        </w:tc>
      </w:tr>
      <w:tr w:rsidR="00E93F58" w:rsidRPr="00576D60" w14:paraId="723D3997" w14:textId="77777777" w:rsidTr="002F32E3">
        <w:trPr>
          <w:cantSplit/>
        </w:trPr>
        <w:tc>
          <w:tcPr>
            <w:tcW w:w="1500" w:type="pct"/>
            <w:shd w:val="clear" w:color="auto" w:fill="auto"/>
          </w:tcPr>
          <w:p w14:paraId="06F0EFF4" w14:textId="77777777" w:rsidR="00E93F58" w:rsidRPr="00576D60" w:rsidRDefault="00E93F58" w:rsidP="002F32E3">
            <w:pPr>
              <w:pStyle w:val="ENoteTableText"/>
            </w:pPr>
          </w:p>
        </w:tc>
        <w:tc>
          <w:tcPr>
            <w:tcW w:w="3500" w:type="pct"/>
            <w:shd w:val="clear" w:color="auto" w:fill="auto"/>
          </w:tcPr>
          <w:p w14:paraId="64322188" w14:textId="77777777" w:rsidR="00E93F58" w:rsidRPr="00576D60" w:rsidRDefault="00E93F58" w:rsidP="002F32E3">
            <w:pPr>
              <w:pStyle w:val="ENoteTableText"/>
            </w:pPr>
            <w:r w:rsidRPr="00576D60">
              <w:t>am No 55, 2010; F2019L00392</w:t>
            </w:r>
          </w:p>
        </w:tc>
      </w:tr>
      <w:tr w:rsidR="00E93F58" w:rsidRPr="00576D60" w14:paraId="709B307A" w14:textId="77777777" w:rsidTr="002F32E3">
        <w:trPr>
          <w:cantSplit/>
        </w:trPr>
        <w:tc>
          <w:tcPr>
            <w:tcW w:w="1500" w:type="pct"/>
            <w:shd w:val="clear" w:color="auto" w:fill="auto"/>
          </w:tcPr>
          <w:p w14:paraId="31D7583B" w14:textId="77777777" w:rsidR="00E93F58" w:rsidRPr="00576D60" w:rsidRDefault="00E93F58" w:rsidP="002F32E3">
            <w:pPr>
              <w:pStyle w:val="ENoteTableText"/>
              <w:tabs>
                <w:tab w:val="left" w:leader="dot" w:pos="2268"/>
              </w:tabs>
              <w:rPr>
                <w:b/>
              </w:rPr>
            </w:pPr>
            <w:r w:rsidRPr="00576D60">
              <w:rPr>
                <w:b/>
              </w:rPr>
              <w:t>Division 6</w:t>
            </w:r>
          </w:p>
        </w:tc>
        <w:tc>
          <w:tcPr>
            <w:tcW w:w="3500" w:type="pct"/>
            <w:shd w:val="clear" w:color="auto" w:fill="auto"/>
          </w:tcPr>
          <w:p w14:paraId="2D60AB5F" w14:textId="77777777" w:rsidR="00E93F58" w:rsidRPr="00576D60" w:rsidRDefault="00E93F58" w:rsidP="002F32E3">
            <w:pPr>
              <w:pStyle w:val="ENoteTableText"/>
            </w:pPr>
          </w:p>
        </w:tc>
      </w:tr>
      <w:tr w:rsidR="00E93F58" w:rsidRPr="00576D60" w14:paraId="25B4190D" w14:textId="77777777" w:rsidTr="002F32E3">
        <w:trPr>
          <w:cantSplit/>
        </w:trPr>
        <w:tc>
          <w:tcPr>
            <w:tcW w:w="1500" w:type="pct"/>
            <w:shd w:val="clear" w:color="auto" w:fill="auto"/>
          </w:tcPr>
          <w:p w14:paraId="0C9FB7C7" w14:textId="77777777" w:rsidR="00E93F58" w:rsidRPr="00576D60" w:rsidRDefault="00E93F58" w:rsidP="002F32E3">
            <w:pPr>
              <w:pStyle w:val="ENoteTableText"/>
              <w:tabs>
                <w:tab w:val="left" w:leader="dot" w:pos="2268"/>
              </w:tabs>
            </w:pPr>
            <w:r w:rsidRPr="00576D60">
              <w:t>Division 6</w:t>
            </w:r>
            <w:r w:rsidRPr="00576D60">
              <w:tab/>
            </w:r>
          </w:p>
        </w:tc>
        <w:tc>
          <w:tcPr>
            <w:tcW w:w="3500" w:type="pct"/>
            <w:shd w:val="clear" w:color="auto" w:fill="auto"/>
          </w:tcPr>
          <w:p w14:paraId="6659FFB8" w14:textId="77777777" w:rsidR="00E93F58" w:rsidRPr="00576D60" w:rsidRDefault="00E93F58" w:rsidP="002F32E3">
            <w:pPr>
              <w:pStyle w:val="ENoteTableText"/>
            </w:pPr>
            <w:r w:rsidRPr="00576D60">
              <w:t>ad. 2005 No. 324</w:t>
            </w:r>
          </w:p>
        </w:tc>
      </w:tr>
      <w:tr w:rsidR="00E93F58" w:rsidRPr="00576D60" w14:paraId="7C726B5C" w14:textId="77777777" w:rsidTr="002F32E3">
        <w:trPr>
          <w:cantSplit/>
        </w:trPr>
        <w:tc>
          <w:tcPr>
            <w:tcW w:w="1500" w:type="pct"/>
            <w:shd w:val="clear" w:color="auto" w:fill="auto"/>
          </w:tcPr>
          <w:p w14:paraId="0931CE16" w14:textId="77777777" w:rsidR="00E93F58" w:rsidRPr="00576D60" w:rsidRDefault="00E93F58" w:rsidP="002F32E3">
            <w:pPr>
              <w:pStyle w:val="ENoteTableText"/>
              <w:tabs>
                <w:tab w:val="left" w:leader="dot" w:pos="2268"/>
              </w:tabs>
            </w:pPr>
            <w:r w:rsidRPr="00576D60">
              <w:t>r. 7.7.21</w:t>
            </w:r>
            <w:r w:rsidRPr="00576D60">
              <w:tab/>
            </w:r>
          </w:p>
        </w:tc>
        <w:tc>
          <w:tcPr>
            <w:tcW w:w="3500" w:type="pct"/>
            <w:shd w:val="clear" w:color="auto" w:fill="auto"/>
          </w:tcPr>
          <w:p w14:paraId="56BBC49C" w14:textId="77777777" w:rsidR="00E93F58" w:rsidRPr="00576D60" w:rsidRDefault="00E93F58" w:rsidP="002F32E3">
            <w:pPr>
              <w:pStyle w:val="ENoteTableText"/>
            </w:pPr>
            <w:r w:rsidRPr="00576D60">
              <w:t>ad. 2005 No. 324</w:t>
            </w:r>
          </w:p>
        </w:tc>
      </w:tr>
      <w:tr w:rsidR="00E93F58" w:rsidRPr="00576D60" w14:paraId="5A3393A4" w14:textId="77777777" w:rsidTr="002F32E3">
        <w:trPr>
          <w:cantSplit/>
        </w:trPr>
        <w:tc>
          <w:tcPr>
            <w:tcW w:w="1500" w:type="pct"/>
            <w:shd w:val="clear" w:color="auto" w:fill="auto"/>
          </w:tcPr>
          <w:p w14:paraId="4C8DAEB1" w14:textId="77777777" w:rsidR="00E93F58" w:rsidRPr="00576D60" w:rsidRDefault="00E93F58" w:rsidP="002F32E3">
            <w:pPr>
              <w:pStyle w:val="ENoteTableText"/>
              <w:tabs>
                <w:tab w:val="left" w:leader="dot" w:pos="2268"/>
              </w:tabs>
            </w:pPr>
          </w:p>
        </w:tc>
        <w:tc>
          <w:tcPr>
            <w:tcW w:w="3500" w:type="pct"/>
            <w:shd w:val="clear" w:color="auto" w:fill="auto"/>
          </w:tcPr>
          <w:p w14:paraId="7273A952" w14:textId="77777777" w:rsidR="00E93F58" w:rsidRPr="00576D60" w:rsidRDefault="00E93F58" w:rsidP="002F32E3">
            <w:pPr>
              <w:pStyle w:val="ENoteTableText"/>
            </w:pPr>
            <w:r w:rsidRPr="00576D60">
              <w:t>rs. No. 172, 2012</w:t>
            </w:r>
          </w:p>
        </w:tc>
      </w:tr>
      <w:tr w:rsidR="00E93F58" w:rsidRPr="00576D60" w14:paraId="45FE9055" w14:textId="77777777" w:rsidTr="002F32E3">
        <w:trPr>
          <w:cantSplit/>
        </w:trPr>
        <w:tc>
          <w:tcPr>
            <w:tcW w:w="1500" w:type="pct"/>
            <w:shd w:val="clear" w:color="auto" w:fill="auto"/>
          </w:tcPr>
          <w:p w14:paraId="07B3E74E" w14:textId="77777777" w:rsidR="00E93F58" w:rsidRPr="00576D60" w:rsidRDefault="00E93F58" w:rsidP="002F32E3">
            <w:pPr>
              <w:pStyle w:val="ENoteTableText"/>
              <w:tabs>
                <w:tab w:val="left" w:leader="dot" w:pos="2268"/>
              </w:tabs>
              <w:rPr>
                <w:b/>
              </w:rPr>
            </w:pPr>
            <w:r w:rsidRPr="00576D60">
              <w:rPr>
                <w:b/>
              </w:rPr>
              <w:t>Part 7.7A</w:t>
            </w:r>
          </w:p>
        </w:tc>
        <w:tc>
          <w:tcPr>
            <w:tcW w:w="3500" w:type="pct"/>
            <w:shd w:val="clear" w:color="auto" w:fill="auto"/>
          </w:tcPr>
          <w:p w14:paraId="1BBD3DF5" w14:textId="77777777" w:rsidR="00E93F58" w:rsidRPr="00576D60" w:rsidRDefault="00E93F58" w:rsidP="002F32E3">
            <w:pPr>
              <w:pStyle w:val="ENoteTableText"/>
            </w:pPr>
          </w:p>
        </w:tc>
      </w:tr>
      <w:tr w:rsidR="00E93F58" w:rsidRPr="00576D60" w14:paraId="5F3A0C7C" w14:textId="77777777" w:rsidTr="002F32E3">
        <w:trPr>
          <w:cantSplit/>
        </w:trPr>
        <w:tc>
          <w:tcPr>
            <w:tcW w:w="1500" w:type="pct"/>
            <w:shd w:val="clear" w:color="auto" w:fill="auto"/>
          </w:tcPr>
          <w:p w14:paraId="51F3ECC9" w14:textId="77777777" w:rsidR="00E93F58" w:rsidRPr="00576D60" w:rsidRDefault="00E93F58" w:rsidP="002F32E3">
            <w:pPr>
              <w:pStyle w:val="ENoteTableText"/>
              <w:tabs>
                <w:tab w:val="left" w:leader="dot" w:pos="2268"/>
              </w:tabs>
            </w:pPr>
            <w:r w:rsidRPr="00576D60">
              <w:t>Part 7.7A</w:t>
            </w:r>
            <w:r w:rsidRPr="00576D60">
              <w:tab/>
            </w:r>
          </w:p>
        </w:tc>
        <w:tc>
          <w:tcPr>
            <w:tcW w:w="3500" w:type="pct"/>
            <w:shd w:val="clear" w:color="auto" w:fill="auto"/>
          </w:tcPr>
          <w:p w14:paraId="15CFC80B" w14:textId="77777777" w:rsidR="00E93F58" w:rsidRPr="00576D60" w:rsidRDefault="00E93F58" w:rsidP="002F32E3">
            <w:pPr>
              <w:pStyle w:val="ENoteTableText"/>
            </w:pPr>
            <w:r w:rsidRPr="00576D60">
              <w:t>ad. 2012 No. 170</w:t>
            </w:r>
          </w:p>
        </w:tc>
      </w:tr>
      <w:tr w:rsidR="00E93F58" w:rsidRPr="00576D60" w14:paraId="4B02D8C5" w14:textId="77777777" w:rsidTr="002F32E3">
        <w:trPr>
          <w:cantSplit/>
        </w:trPr>
        <w:tc>
          <w:tcPr>
            <w:tcW w:w="1500" w:type="pct"/>
            <w:shd w:val="clear" w:color="auto" w:fill="auto"/>
          </w:tcPr>
          <w:p w14:paraId="50FDDD9E" w14:textId="77777777" w:rsidR="00E93F58" w:rsidRPr="00576D60" w:rsidRDefault="00E93F58" w:rsidP="002F32E3">
            <w:pPr>
              <w:pStyle w:val="ENoteTableText"/>
              <w:tabs>
                <w:tab w:val="left" w:leader="dot" w:pos="2268"/>
              </w:tabs>
            </w:pPr>
          </w:p>
        </w:tc>
        <w:tc>
          <w:tcPr>
            <w:tcW w:w="3500" w:type="pct"/>
            <w:shd w:val="clear" w:color="auto" w:fill="auto"/>
          </w:tcPr>
          <w:p w14:paraId="362BD7CE" w14:textId="77777777" w:rsidR="00E93F58" w:rsidRPr="00576D60" w:rsidRDefault="00E93F58" w:rsidP="002F32E3">
            <w:pPr>
              <w:pStyle w:val="ENoteTableText"/>
            </w:pPr>
            <w:r w:rsidRPr="00576D60">
              <w:t>am No 108, 2015</w:t>
            </w:r>
          </w:p>
        </w:tc>
      </w:tr>
      <w:tr w:rsidR="00E93F58" w:rsidRPr="00576D60" w14:paraId="7676D3C4" w14:textId="77777777" w:rsidTr="002F32E3">
        <w:trPr>
          <w:cantSplit/>
        </w:trPr>
        <w:tc>
          <w:tcPr>
            <w:tcW w:w="1500" w:type="pct"/>
            <w:shd w:val="clear" w:color="auto" w:fill="auto"/>
          </w:tcPr>
          <w:p w14:paraId="4742DCBA" w14:textId="77777777" w:rsidR="00E93F58" w:rsidRPr="00576D60" w:rsidRDefault="00E93F58" w:rsidP="002F32E3">
            <w:pPr>
              <w:pStyle w:val="ENoteTableText"/>
              <w:keepNext/>
              <w:tabs>
                <w:tab w:val="left" w:leader="dot" w:pos="2268"/>
              </w:tabs>
              <w:rPr>
                <w:b/>
              </w:rPr>
            </w:pPr>
            <w:r>
              <w:rPr>
                <w:b/>
              </w:rPr>
              <w:t>Division 2</w:t>
            </w:r>
          </w:p>
        </w:tc>
        <w:tc>
          <w:tcPr>
            <w:tcW w:w="3500" w:type="pct"/>
            <w:shd w:val="clear" w:color="auto" w:fill="auto"/>
          </w:tcPr>
          <w:p w14:paraId="6B1A9945" w14:textId="77777777" w:rsidR="00E93F58" w:rsidRPr="00576D60" w:rsidRDefault="00E93F58" w:rsidP="002F32E3">
            <w:pPr>
              <w:pStyle w:val="ENoteTableText"/>
              <w:keepNext/>
            </w:pPr>
          </w:p>
        </w:tc>
      </w:tr>
      <w:tr w:rsidR="00E93F58" w:rsidRPr="00576D60" w14:paraId="517D2E83" w14:textId="77777777" w:rsidTr="002F32E3">
        <w:trPr>
          <w:cantSplit/>
        </w:trPr>
        <w:tc>
          <w:tcPr>
            <w:tcW w:w="1500" w:type="pct"/>
            <w:shd w:val="clear" w:color="auto" w:fill="auto"/>
          </w:tcPr>
          <w:p w14:paraId="47A6EF07" w14:textId="77777777" w:rsidR="00E93F58" w:rsidRPr="00576D60" w:rsidRDefault="00E93F58" w:rsidP="002F32E3">
            <w:pPr>
              <w:pStyle w:val="ENoteTableText"/>
              <w:tabs>
                <w:tab w:val="left" w:leader="dot" w:pos="2268"/>
              </w:tabs>
            </w:pPr>
            <w:r>
              <w:t>Division 2</w:t>
            </w:r>
            <w:r w:rsidRPr="00576D60">
              <w:tab/>
            </w:r>
          </w:p>
        </w:tc>
        <w:tc>
          <w:tcPr>
            <w:tcW w:w="3500" w:type="pct"/>
            <w:shd w:val="clear" w:color="auto" w:fill="auto"/>
          </w:tcPr>
          <w:p w14:paraId="6A2CBDE0" w14:textId="77777777" w:rsidR="00E93F58" w:rsidRPr="00576D60" w:rsidRDefault="00E93F58" w:rsidP="002F32E3">
            <w:pPr>
              <w:pStyle w:val="ENoteTableText"/>
            </w:pPr>
            <w:r w:rsidRPr="00576D60">
              <w:t>ad. 2012 No. 268</w:t>
            </w:r>
          </w:p>
        </w:tc>
      </w:tr>
      <w:tr w:rsidR="00E93F58" w:rsidRPr="00576D60" w14:paraId="68608FD8" w14:textId="77777777" w:rsidTr="002F32E3">
        <w:trPr>
          <w:cantSplit/>
        </w:trPr>
        <w:tc>
          <w:tcPr>
            <w:tcW w:w="1500" w:type="pct"/>
            <w:shd w:val="clear" w:color="auto" w:fill="auto"/>
          </w:tcPr>
          <w:p w14:paraId="4A6E4642" w14:textId="77777777" w:rsidR="00E93F58" w:rsidRPr="00576D60" w:rsidRDefault="00E93F58" w:rsidP="002F32E3">
            <w:pPr>
              <w:pStyle w:val="ENoteTableText"/>
              <w:tabs>
                <w:tab w:val="left" w:leader="dot" w:pos="2268"/>
              </w:tabs>
            </w:pPr>
            <w:r w:rsidRPr="00576D60">
              <w:t>Subdivision 1 heading</w:t>
            </w:r>
            <w:r w:rsidRPr="00576D60">
              <w:tab/>
            </w:r>
          </w:p>
        </w:tc>
        <w:tc>
          <w:tcPr>
            <w:tcW w:w="3500" w:type="pct"/>
            <w:shd w:val="clear" w:color="auto" w:fill="auto"/>
          </w:tcPr>
          <w:p w14:paraId="038A36AF" w14:textId="77777777" w:rsidR="00E93F58" w:rsidRPr="00576D60" w:rsidRDefault="00E93F58" w:rsidP="002F32E3">
            <w:pPr>
              <w:pStyle w:val="ENoteTableText"/>
            </w:pPr>
            <w:r w:rsidRPr="00576D60">
              <w:t>rep No 102, 2014 (disallowed); No 108, 2015</w:t>
            </w:r>
          </w:p>
        </w:tc>
      </w:tr>
      <w:tr w:rsidR="00E93F58" w:rsidRPr="00576D60" w14:paraId="577D27D4" w14:textId="77777777" w:rsidTr="002F32E3">
        <w:trPr>
          <w:cantSplit/>
        </w:trPr>
        <w:tc>
          <w:tcPr>
            <w:tcW w:w="1500" w:type="pct"/>
            <w:shd w:val="clear" w:color="auto" w:fill="auto"/>
          </w:tcPr>
          <w:p w14:paraId="5B7B3B1E" w14:textId="77777777" w:rsidR="00E93F58" w:rsidRPr="00576D60" w:rsidRDefault="00E93F58" w:rsidP="002F32E3">
            <w:pPr>
              <w:pStyle w:val="ENoteTableText"/>
              <w:tabs>
                <w:tab w:val="left" w:leader="dot" w:pos="2268"/>
              </w:tabs>
            </w:pPr>
            <w:r w:rsidRPr="00576D60">
              <w:t>r. 7.7A.1</w:t>
            </w:r>
            <w:r w:rsidRPr="00576D60">
              <w:tab/>
            </w:r>
          </w:p>
        </w:tc>
        <w:tc>
          <w:tcPr>
            <w:tcW w:w="3500" w:type="pct"/>
            <w:shd w:val="clear" w:color="auto" w:fill="auto"/>
          </w:tcPr>
          <w:p w14:paraId="2197CC16" w14:textId="77777777" w:rsidR="00E93F58" w:rsidRPr="00576D60" w:rsidRDefault="00E93F58" w:rsidP="002F32E3">
            <w:pPr>
              <w:pStyle w:val="ENoteTableText"/>
            </w:pPr>
            <w:r w:rsidRPr="00576D60">
              <w:t>ad. 2012 No. 268</w:t>
            </w:r>
          </w:p>
        </w:tc>
      </w:tr>
      <w:tr w:rsidR="00E93F58" w:rsidRPr="00576D60" w14:paraId="2D2C368D" w14:textId="77777777" w:rsidTr="002F32E3">
        <w:trPr>
          <w:cantSplit/>
        </w:trPr>
        <w:tc>
          <w:tcPr>
            <w:tcW w:w="1500" w:type="pct"/>
            <w:shd w:val="clear" w:color="auto" w:fill="auto"/>
          </w:tcPr>
          <w:p w14:paraId="776DE6EC" w14:textId="77777777" w:rsidR="00E93F58" w:rsidRPr="00576D60" w:rsidRDefault="00E93F58" w:rsidP="002F32E3">
            <w:pPr>
              <w:pStyle w:val="ENoteTableText"/>
              <w:tabs>
                <w:tab w:val="left" w:leader="dot" w:pos="2268"/>
              </w:tabs>
            </w:pPr>
          </w:p>
        </w:tc>
        <w:tc>
          <w:tcPr>
            <w:tcW w:w="3500" w:type="pct"/>
            <w:shd w:val="clear" w:color="auto" w:fill="auto"/>
          </w:tcPr>
          <w:p w14:paraId="4E40F60D" w14:textId="77777777" w:rsidR="00E93F58" w:rsidRPr="00576D60" w:rsidRDefault="00E93F58" w:rsidP="002F32E3">
            <w:pPr>
              <w:pStyle w:val="ENoteTableText"/>
            </w:pPr>
            <w:r w:rsidRPr="00576D60">
              <w:t>rep No 102, 2014 (disallowed); No 108, 2015</w:t>
            </w:r>
          </w:p>
        </w:tc>
      </w:tr>
      <w:tr w:rsidR="00E93F58" w:rsidRPr="00576D60" w14:paraId="1DACB0DC" w14:textId="77777777" w:rsidTr="002F32E3">
        <w:trPr>
          <w:cantSplit/>
        </w:trPr>
        <w:tc>
          <w:tcPr>
            <w:tcW w:w="1500" w:type="pct"/>
            <w:shd w:val="clear" w:color="auto" w:fill="auto"/>
          </w:tcPr>
          <w:p w14:paraId="1435934C" w14:textId="77777777" w:rsidR="00E93F58" w:rsidRPr="00576D60" w:rsidRDefault="00E93F58" w:rsidP="002F32E3">
            <w:pPr>
              <w:pStyle w:val="ENoteTableText"/>
              <w:tabs>
                <w:tab w:val="left" w:leader="dot" w:pos="2268"/>
              </w:tabs>
            </w:pPr>
            <w:r w:rsidRPr="00576D60">
              <w:t>r 7.7A.05</w:t>
            </w:r>
            <w:r w:rsidRPr="00576D60">
              <w:tab/>
            </w:r>
          </w:p>
        </w:tc>
        <w:tc>
          <w:tcPr>
            <w:tcW w:w="3500" w:type="pct"/>
            <w:shd w:val="clear" w:color="auto" w:fill="auto"/>
          </w:tcPr>
          <w:p w14:paraId="66607671" w14:textId="77777777" w:rsidR="00E93F58" w:rsidRPr="00576D60" w:rsidRDefault="00E93F58" w:rsidP="002F32E3">
            <w:pPr>
              <w:pStyle w:val="ENoteTableText"/>
            </w:pPr>
            <w:r w:rsidRPr="00576D60">
              <w:t>ad No 108, 2015</w:t>
            </w:r>
          </w:p>
        </w:tc>
      </w:tr>
      <w:tr w:rsidR="00E93F58" w:rsidRPr="00576D60" w14:paraId="41804905" w14:textId="77777777" w:rsidTr="002F32E3">
        <w:trPr>
          <w:cantSplit/>
        </w:trPr>
        <w:tc>
          <w:tcPr>
            <w:tcW w:w="1500" w:type="pct"/>
            <w:shd w:val="clear" w:color="auto" w:fill="auto"/>
          </w:tcPr>
          <w:p w14:paraId="0509994E" w14:textId="77777777" w:rsidR="00E93F58" w:rsidRPr="00576D60" w:rsidRDefault="00E93F58" w:rsidP="002F32E3">
            <w:pPr>
              <w:pStyle w:val="ENoteTableText"/>
              <w:tabs>
                <w:tab w:val="left" w:leader="dot" w:pos="2268"/>
              </w:tabs>
            </w:pPr>
            <w:r w:rsidRPr="00576D60">
              <w:t>r 7.7A.06</w:t>
            </w:r>
            <w:r w:rsidRPr="00576D60">
              <w:tab/>
            </w:r>
          </w:p>
        </w:tc>
        <w:tc>
          <w:tcPr>
            <w:tcW w:w="3500" w:type="pct"/>
            <w:shd w:val="clear" w:color="auto" w:fill="auto"/>
          </w:tcPr>
          <w:p w14:paraId="5C4AED59" w14:textId="77777777" w:rsidR="00E93F58" w:rsidRPr="00576D60" w:rsidRDefault="00E93F58" w:rsidP="002F32E3">
            <w:pPr>
              <w:pStyle w:val="ENoteTableText"/>
            </w:pPr>
            <w:r w:rsidRPr="00576D60">
              <w:t>ad No 108, 2015</w:t>
            </w:r>
          </w:p>
        </w:tc>
      </w:tr>
      <w:tr w:rsidR="00E93F58" w:rsidRPr="00576D60" w14:paraId="2F846921" w14:textId="77777777" w:rsidTr="002F32E3">
        <w:trPr>
          <w:cantSplit/>
        </w:trPr>
        <w:tc>
          <w:tcPr>
            <w:tcW w:w="1500" w:type="pct"/>
            <w:shd w:val="clear" w:color="auto" w:fill="auto"/>
          </w:tcPr>
          <w:p w14:paraId="717E2EEA" w14:textId="77777777" w:rsidR="00E93F58" w:rsidRPr="00576D60" w:rsidRDefault="00E93F58" w:rsidP="002F32E3">
            <w:pPr>
              <w:pStyle w:val="ENoteTableText"/>
              <w:tabs>
                <w:tab w:val="left" w:leader="dot" w:pos="2268"/>
              </w:tabs>
            </w:pPr>
            <w:r w:rsidRPr="00576D60">
              <w:t>r 7.7A.07</w:t>
            </w:r>
            <w:r w:rsidRPr="00576D60">
              <w:tab/>
            </w:r>
          </w:p>
        </w:tc>
        <w:tc>
          <w:tcPr>
            <w:tcW w:w="3500" w:type="pct"/>
            <w:shd w:val="clear" w:color="auto" w:fill="auto"/>
          </w:tcPr>
          <w:p w14:paraId="10DAA8A5" w14:textId="77777777" w:rsidR="00E93F58" w:rsidRPr="00576D60" w:rsidRDefault="00E93F58" w:rsidP="002F32E3">
            <w:pPr>
              <w:pStyle w:val="ENoteTableText"/>
            </w:pPr>
            <w:r w:rsidRPr="00576D60">
              <w:t>ad No 108, 2015</w:t>
            </w:r>
          </w:p>
        </w:tc>
      </w:tr>
      <w:tr w:rsidR="00E93F58" w:rsidRPr="00576D60" w14:paraId="6DCCBD6F" w14:textId="77777777" w:rsidTr="002F32E3">
        <w:trPr>
          <w:cantSplit/>
        </w:trPr>
        <w:tc>
          <w:tcPr>
            <w:tcW w:w="1500" w:type="pct"/>
            <w:shd w:val="clear" w:color="auto" w:fill="auto"/>
          </w:tcPr>
          <w:p w14:paraId="05C1F0C2" w14:textId="77777777" w:rsidR="00E93F58" w:rsidRPr="00576D60" w:rsidRDefault="00E93F58" w:rsidP="002F32E3">
            <w:pPr>
              <w:pStyle w:val="ENoteTableText"/>
              <w:tabs>
                <w:tab w:val="left" w:leader="dot" w:pos="2268"/>
              </w:tabs>
            </w:pPr>
          </w:p>
        </w:tc>
        <w:tc>
          <w:tcPr>
            <w:tcW w:w="3500" w:type="pct"/>
            <w:shd w:val="clear" w:color="auto" w:fill="auto"/>
          </w:tcPr>
          <w:p w14:paraId="7C3DE6D0" w14:textId="77777777" w:rsidR="00E93F58" w:rsidRPr="00576D60" w:rsidRDefault="00E93F58" w:rsidP="002F32E3">
            <w:pPr>
              <w:pStyle w:val="ENoteTableText"/>
            </w:pPr>
            <w:r>
              <w:t>rep F2023L01458</w:t>
            </w:r>
          </w:p>
        </w:tc>
      </w:tr>
      <w:tr w:rsidR="00E93F58" w:rsidRPr="00576D60" w14:paraId="5A78363C" w14:textId="77777777" w:rsidTr="002F32E3">
        <w:trPr>
          <w:cantSplit/>
        </w:trPr>
        <w:tc>
          <w:tcPr>
            <w:tcW w:w="1500" w:type="pct"/>
            <w:shd w:val="clear" w:color="auto" w:fill="auto"/>
          </w:tcPr>
          <w:p w14:paraId="628C3F89" w14:textId="77777777" w:rsidR="00E93F58" w:rsidRPr="00576D60" w:rsidRDefault="00E93F58" w:rsidP="002F32E3">
            <w:pPr>
              <w:pStyle w:val="ENoteTableText"/>
              <w:tabs>
                <w:tab w:val="left" w:leader="dot" w:pos="2268"/>
              </w:tabs>
            </w:pPr>
            <w:r w:rsidRPr="00576D60">
              <w:t>r 7.7A.2</w:t>
            </w:r>
            <w:r w:rsidRPr="00576D60">
              <w:tab/>
            </w:r>
          </w:p>
        </w:tc>
        <w:tc>
          <w:tcPr>
            <w:tcW w:w="3500" w:type="pct"/>
            <w:shd w:val="clear" w:color="auto" w:fill="auto"/>
          </w:tcPr>
          <w:p w14:paraId="396E607C" w14:textId="77777777" w:rsidR="00E93F58" w:rsidRPr="00576D60" w:rsidRDefault="00E93F58" w:rsidP="002F32E3">
            <w:pPr>
              <w:pStyle w:val="ENoteTableText"/>
            </w:pPr>
            <w:r w:rsidRPr="00576D60">
              <w:t>ad No 102, 2014 (disallowed)</w:t>
            </w:r>
          </w:p>
        </w:tc>
      </w:tr>
      <w:tr w:rsidR="00E93F58" w:rsidRPr="00576D60" w14:paraId="042E0B54" w14:textId="77777777" w:rsidTr="002F32E3">
        <w:trPr>
          <w:cantSplit/>
        </w:trPr>
        <w:tc>
          <w:tcPr>
            <w:tcW w:w="1500" w:type="pct"/>
            <w:shd w:val="clear" w:color="auto" w:fill="auto"/>
          </w:tcPr>
          <w:p w14:paraId="50C576AF" w14:textId="77777777" w:rsidR="00E93F58" w:rsidRPr="00576D60" w:rsidRDefault="00E93F58" w:rsidP="002F32E3">
            <w:pPr>
              <w:pStyle w:val="ENoteTableText"/>
              <w:tabs>
                <w:tab w:val="left" w:leader="dot" w:pos="2268"/>
              </w:tabs>
            </w:pPr>
            <w:r w:rsidRPr="00576D60">
              <w:t>r 7.7A.3</w:t>
            </w:r>
            <w:r w:rsidRPr="00576D60">
              <w:tab/>
            </w:r>
          </w:p>
        </w:tc>
        <w:tc>
          <w:tcPr>
            <w:tcW w:w="3500" w:type="pct"/>
            <w:shd w:val="clear" w:color="auto" w:fill="auto"/>
          </w:tcPr>
          <w:p w14:paraId="4266FE14" w14:textId="77777777" w:rsidR="00E93F58" w:rsidRPr="00576D60" w:rsidRDefault="00E93F58" w:rsidP="002F32E3">
            <w:pPr>
              <w:pStyle w:val="ENoteTableText"/>
            </w:pPr>
            <w:r w:rsidRPr="00576D60">
              <w:t>ad No 102, 2014 (disallowed)</w:t>
            </w:r>
          </w:p>
        </w:tc>
      </w:tr>
      <w:tr w:rsidR="00E93F58" w:rsidRPr="00576D60" w14:paraId="73EF39AB" w14:textId="77777777" w:rsidTr="002F32E3">
        <w:trPr>
          <w:cantSplit/>
        </w:trPr>
        <w:tc>
          <w:tcPr>
            <w:tcW w:w="1500" w:type="pct"/>
            <w:shd w:val="clear" w:color="auto" w:fill="auto"/>
          </w:tcPr>
          <w:p w14:paraId="7575429F" w14:textId="77777777" w:rsidR="00E93F58" w:rsidRPr="00576D60" w:rsidRDefault="00E93F58" w:rsidP="002F32E3">
            <w:pPr>
              <w:pStyle w:val="ENoteTableText"/>
              <w:tabs>
                <w:tab w:val="left" w:leader="dot" w:pos="2268"/>
              </w:tabs>
            </w:pPr>
            <w:r w:rsidRPr="00576D60">
              <w:t>r 7.7A.4</w:t>
            </w:r>
            <w:r w:rsidRPr="00576D60">
              <w:tab/>
            </w:r>
          </w:p>
        </w:tc>
        <w:tc>
          <w:tcPr>
            <w:tcW w:w="3500" w:type="pct"/>
            <w:shd w:val="clear" w:color="auto" w:fill="auto"/>
          </w:tcPr>
          <w:p w14:paraId="2E89B4F0" w14:textId="77777777" w:rsidR="00E93F58" w:rsidRPr="00576D60" w:rsidRDefault="00E93F58" w:rsidP="002F32E3">
            <w:pPr>
              <w:pStyle w:val="ENoteTableText"/>
            </w:pPr>
            <w:r w:rsidRPr="00576D60">
              <w:t>ad No 102, 2014 (disallowed)</w:t>
            </w:r>
          </w:p>
        </w:tc>
      </w:tr>
      <w:tr w:rsidR="00E93F58" w:rsidRPr="00576D60" w14:paraId="5087294F" w14:textId="77777777" w:rsidTr="002F32E3">
        <w:trPr>
          <w:cantSplit/>
        </w:trPr>
        <w:tc>
          <w:tcPr>
            <w:tcW w:w="1500" w:type="pct"/>
            <w:shd w:val="clear" w:color="auto" w:fill="auto"/>
          </w:tcPr>
          <w:p w14:paraId="3B845732" w14:textId="77777777" w:rsidR="00E93F58" w:rsidRPr="00576D60" w:rsidRDefault="00E93F58" w:rsidP="002F32E3">
            <w:pPr>
              <w:pStyle w:val="ENoteTableText"/>
              <w:tabs>
                <w:tab w:val="left" w:leader="dot" w:pos="2268"/>
              </w:tabs>
            </w:pPr>
            <w:r w:rsidRPr="00576D60">
              <w:t>r 7.7A.5</w:t>
            </w:r>
            <w:r w:rsidRPr="00576D60">
              <w:tab/>
            </w:r>
          </w:p>
        </w:tc>
        <w:tc>
          <w:tcPr>
            <w:tcW w:w="3500" w:type="pct"/>
            <w:shd w:val="clear" w:color="auto" w:fill="auto"/>
          </w:tcPr>
          <w:p w14:paraId="5F11FF97" w14:textId="77777777" w:rsidR="00E93F58" w:rsidRPr="00576D60" w:rsidRDefault="00E93F58" w:rsidP="002F32E3">
            <w:pPr>
              <w:pStyle w:val="ENoteTableText"/>
            </w:pPr>
            <w:r w:rsidRPr="00576D60">
              <w:t>ad No 102, 2014 (disallowed)</w:t>
            </w:r>
          </w:p>
        </w:tc>
      </w:tr>
      <w:tr w:rsidR="00E93F58" w:rsidRPr="00576D60" w14:paraId="48EE6F81" w14:textId="77777777" w:rsidTr="002F32E3">
        <w:trPr>
          <w:cantSplit/>
        </w:trPr>
        <w:tc>
          <w:tcPr>
            <w:tcW w:w="1500" w:type="pct"/>
            <w:shd w:val="clear" w:color="auto" w:fill="auto"/>
          </w:tcPr>
          <w:p w14:paraId="6C48934A" w14:textId="77777777" w:rsidR="00E93F58" w:rsidRPr="00576D60" w:rsidRDefault="00E93F58" w:rsidP="002F32E3">
            <w:pPr>
              <w:pStyle w:val="ENoteTableText"/>
              <w:tabs>
                <w:tab w:val="left" w:leader="dot" w:pos="2268"/>
              </w:tabs>
            </w:pPr>
            <w:r w:rsidRPr="00576D60">
              <w:t>r 7.7A.6</w:t>
            </w:r>
            <w:r w:rsidRPr="00576D60">
              <w:tab/>
            </w:r>
          </w:p>
        </w:tc>
        <w:tc>
          <w:tcPr>
            <w:tcW w:w="3500" w:type="pct"/>
            <w:shd w:val="clear" w:color="auto" w:fill="auto"/>
          </w:tcPr>
          <w:p w14:paraId="374764AF" w14:textId="77777777" w:rsidR="00E93F58" w:rsidRPr="00576D60" w:rsidRDefault="00E93F58" w:rsidP="002F32E3">
            <w:pPr>
              <w:pStyle w:val="ENoteTableText"/>
            </w:pPr>
            <w:r w:rsidRPr="00576D60">
              <w:t>ad No 102, 2014 (disallowed)</w:t>
            </w:r>
          </w:p>
        </w:tc>
      </w:tr>
      <w:tr w:rsidR="00E93F58" w:rsidRPr="00576D60" w14:paraId="1C2FE6A6" w14:textId="77777777" w:rsidTr="002F32E3">
        <w:trPr>
          <w:cantSplit/>
        </w:trPr>
        <w:tc>
          <w:tcPr>
            <w:tcW w:w="1500" w:type="pct"/>
            <w:shd w:val="clear" w:color="auto" w:fill="auto"/>
          </w:tcPr>
          <w:p w14:paraId="7E389136" w14:textId="77777777" w:rsidR="00E93F58" w:rsidRPr="00576D60" w:rsidRDefault="00E93F58" w:rsidP="002F32E3">
            <w:pPr>
              <w:pStyle w:val="ENoteTableText"/>
              <w:tabs>
                <w:tab w:val="left" w:leader="dot" w:pos="2268"/>
              </w:tabs>
            </w:pPr>
            <w:r w:rsidRPr="00576D60">
              <w:t>r 7.7A.7</w:t>
            </w:r>
            <w:r w:rsidRPr="00576D60">
              <w:tab/>
            </w:r>
          </w:p>
        </w:tc>
        <w:tc>
          <w:tcPr>
            <w:tcW w:w="3500" w:type="pct"/>
            <w:shd w:val="clear" w:color="auto" w:fill="auto"/>
          </w:tcPr>
          <w:p w14:paraId="5B27AD4A" w14:textId="77777777" w:rsidR="00E93F58" w:rsidRPr="00576D60" w:rsidRDefault="00E93F58" w:rsidP="002F32E3">
            <w:pPr>
              <w:pStyle w:val="ENoteTableText"/>
            </w:pPr>
            <w:r w:rsidRPr="00576D60">
              <w:t>ad No 102, 2014 (disallowed)</w:t>
            </w:r>
          </w:p>
        </w:tc>
      </w:tr>
      <w:tr w:rsidR="00E93F58" w:rsidRPr="00576D60" w14:paraId="2140A28F" w14:textId="77777777" w:rsidTr="002F32E3">
        <w:trPr>
          <w:cantSplit/>
        </w:trPr>
        <w:tc>
          <w:tcPr>
            <w:tcW w:w="1500" w:type="pct"/>
            <w:shd w:val="clear" w:color="auto" w:fill="auto"/>
          </w:tcPr>
          <w:p w14:paraId="74B01DF5" w14:textId="77777777" w:rsidR="00E93F58" w:rsidRPr="00576D60" w:rsidRDefault="00E93F58" w:rsidP="002F32E3">
            <w:pPr>
              <w:pStyle w:val="ENoteTableText"/>
              <w:tabs>
                <w:tab w:val="left" w:leader="dot" w:pos="2268"/>
              </w:tabs>
            </w:pPr>
            <w:r w:rsidRPr="00576D60">
              <w:t>r 7.7A.8</w:t>
            </w:r>
            <w:r w:rsidRPr="00576D60">
              <w:tab/>
            </w:r>
          </w:p>
        </w:tc>
        <w:tc>
          <w:tcPr>
            <w:tcW w:w="3500" w:type="pct"/>
            <w:shd w:val="clear" w:color="auto" w:fill="auto"/>
          </w:tcPr>
          <w:p w14:paraId="237A2DED" w14:textId="77777777" w:rsidR="00E93F58" w:rsidRPr="00576D60" w:rsidRDefault="00E93F58" w:rsidP="002F32E3">
            <w:pPr>
              <w:pStyle w:val="ENoteTableText"/>
            </w:pPr>
            <w:r w:rsidRPr="00576D60">
              <w:t>ad No 102, 2014 (disallowed)</w:t>
            </w:r>
          </w:p>
        </w:tc>
      </w:tr>
      <w:tr w:rsidR="00E93F58" w:rsidRPr="00576D60" w14:paraId="12171723" w14:textId="77777777" w:rsidTr="002F32E3">
        <w:trPr>
          <w:cantSplit/>
        </w:trPr>
        <w:tc>
          <w:tcPr>
            <w:tcW w:w="1500" w:type="pct"/>
            <w:shd w:val="clear" w:color="auto" w:fill="auto"/>
          </w:tcPr>
          <w:p w14:paraId="47A90A09" w14:textId="77777777" w:rsidR="00E93F58" w:rsidRPr="00576D60" w:rsidRDefault="00E93F58" w:rsidP="002F32E3">
            <w:pPr>
              <w:pStyle w:val="ENoteTableText"/>
              <w:tabs>
                <w:tab w:val="left" w:leader="dot" w:pos="2268"/>
              </w:tabs>
              <w:rPr>
                <w:b/>
              </w:rPr>
            </w:pPr>
            <w:r w:rsidRPr="00576D60">
              <w:rPr>
                <w:b/>
              </w:rPr>
              <w:t>Division 3</w:t>
            </w:r>
          </w:p>
        </w:tc>
        <w:tc>
          <w:tcPr>
            <w:tcW w:w="3500" w:type="pct"/>
            <w:shd w:val="clear" w:color="auto" w:fill="auto"/>
          </w:tcPr>
          <w:p w14:paraId="3AF2DD0D" w14:textId="77777777" w:rsidR="00E93F58" w:rsidRPr="00576D60" w:rsidRDefault="00E93F58" w:rsidP="002F32E3">
            <w:pPr>
              <w:pStyle w:val="ENoteTableText"/>
              <w:keepNext/>
              <w:keepLines/>
            </w:pPr>
          </w:p>
        </w:tc>
      </w:tr>
      <w:tr w:rsidR="00E93F58" w:rsidRPr="00576D60" w14:paraId="046BBBAD" w14:textId="77777777" w:rsidTr="002F32E3">
        <w:trPr>
          <w:cantSplit/>
        </w:trPr>
        <w:tc>
          <w:tcPr>
            <w:tcW w:w="1500" w:type="pct"/>
            <w:shd w:val="clear" w:color="auto" w:fill="auto"/>
          </w:tcPr>
          <w:p w14:paraId="1ADF6445" w14:textId="77777777" w:rsidR="00E93F58" w:rsidRPr="00576D60" w:rsidRDefault="00E93F58" w:rsidP="002F32E3">
            <w:pPr>
              <w:pStyle w:val="ENoteTableText"/>
              <w:tabs>
                <w:tab w:val="left" w:leader="dot" w:pos="2268"/>
              </w:tabs>
            </w:pPr>
            <w:r w:rsidRPr="00576D60">
              <w:t>Division 3</w:t>
            </w:r>
            <w:r w:rsidRPr="00576D60">
              <w:tab/>
            </w:r>
          </w:p>
        </w:tc>
        <w:tc>
          <w:tcPr>
            <w:tcW w:w="3500" w:type="pct"/>
            <w:shd w:val="clear" w:color="auto" w:fill="auto"/>
          </w:tcPr>
          <w:p w14:paraId="07167AA5" w14:textId="77777777" w:rsidR="00E93F58" w:rsidRPr="00576D60" w:rsidRDefault="00E93F58" w:rsidP="002F32E3">
            <w:pPr>
              <w:pStyle w:val="ENoteTableText"/>
            </w:pPr>
            <w:r w:rsidRPr="00576D60">
              <w:t>ad. 2012 No. 170</w:t>
            </w:r>
          </w:p>
        </w:tc>
      </w:tr>
      <w:tr w:rsidR="00E93F58" w:rsidRPr="00576D60" w14:paraId="3E1CE68D" w14:textId="77777777" w:rsidTr="002F32E3">
        <w:trPr>
          <w:cantSplit/>
        </w:trPr>
        <w:tc>
          <w:tcPr>
            <w:tcW w:w="1500" w:type="pct"/>
            <w:shd w:val="clear" w:color="auto" w:fill="auto"/>
          </w:tcPr>
          <w:p w14:paraId="340B8403" w14:textId="77777777" w:rsidR="00E93F58" w:rsidRPr="00576D60" w:rsidRDefault="00E93F58" w:rsidP="002F32E3">
            <w:pPr>
              <w:pStyle w:val="ENoteTableText"/>
              <w:tabs>
                <w:tab w:val="left" w:leader="dot" w:pos="2268"/>
              </w:tabs>
            </w:pPr>
            <w:r w:rsidRPr="00576D60">
              <w:lastRenderedPageBreak/>
              <w:t>r 7.7A.10</w:t>
            </w:r>
            <w:r w:rsidRPr="00576D60">
              <w:tab/>
            </w:r>
          </w:p>
        </w:tc>
        <w:tc>
          <w:tcPr>
            <w:tcW w:w="3500" w:type="pct"/>
            <w:shd w:val="clear" w:color="auto" w:fill="auto"/>
          </w:tcPr>
          <w:p w14:paraId="38D4285A" w14:textId="77777777" w:rsidR="00E93F58" w:rsidRPr="00576D60" w:rsidRDefault="00E93F58" w:rsidP="002F32E3">
            <w:pPr>
              <w:pStyle w:val="ENoteTableText"/>
            </w:pPr>
            <w:r w:rsidRPr="00576D60">
              <w:t>ad No 170, 2012</w:t>
            </w:r>
          </w:p>
        </w:tc>
      </w:tr>
      <w:tr w:rsidR="00E93F58" w:rsidRPr="00576D60" w14:paraId="526921F9" w14:textId="77777777" w:rsidTr="002F32E3">
        <w:trPr>
          <w:cantSplit/>
        </w:trPr>
        <w:tc>
          <w:tcPr>
            <w:tcW w:w="1500" w:type="pct"/>
            <w:shd w:val="clear" w:color="auto" w:fill="auto"/>
          </w:tcPr>
          <w:p w14:paraId="75C5919A" w14:textId="77777777" w:rsidR="00E93F58" w:rsidRPr="00576D60" w:rsidRDefault="00E93F58" w:rsidP="002F32E3">
            <w:pPr>
              <w:pStyle w:val="ENoteTableText"/>
            </w:pPr>
          </w:p>
        </w:tc>
        <w:tc>
          <w:tcPr>
            <w:tcW w:w="3500" w:type="pct"/>
            <w:shd w:val="clear" w:color="auto" w:fill="auto"/>
          </w:tcPr>
          <w:p w14:paraId="376FADBE" w14:textId="77777777" w:rsidR="00E93F58" w:rsidRPr="00576D60" w:rsidRDefault="00E93F58" w:rsidP="002F32E3">
            <w:pPr>
              <w:pStyle w:val="ENoteTableText"/>
            </w:pPr>
            <w:r w:rsidRPr="00576D60">
              <w:t>am No 102, 2013; No 102, 2014 (disallowed); F2018L01144</w:t>
            </w:r>
          </w:p>
        </w:tc>
      </w:tr>
      <w:tr w:rsidR="00E93F58" w:rsidRPr="00576D60" w14:paraId="6C4D6426" w14:textId="77777777" w:rsidTr="002F32E3">
        <w:trPr>
          <w:cantSplit/>
        </w:trPr>
        <w:tc>
          <w:tcPr>
            <w:tcW w:w="1500" w:type="pct"/>
            <w:shd w:val="clear" w:color="auto" w:fill="auto"/>
          </w:tcPr>
          <w:p w14:paraId="26492008" w14:textId="77777777" w:rsidR="00E93F58" w:rsidRPr="00576D60" w:rsidRDefault="00E93F58" w:rsidP="002F32E3">
            <w:pPr>
              <w:pStyle w:val="ENoteTableText"/>
              <w:tabs>
                <w:tab w:val="left" w:leader="dot" w:pos="2268"/>
              </w:tabs>
            </w:pPr>
            <w:r w:rsidRPr="00576D60">
              <w:t>r 7.7A.11</w:t>
            </w:r>
            <w:r w:rsidRPr="00576D60">
              <w:tab/>
            </w:r>
          </w:p>
        </w:tc>
        <w:tc>
          <w:tcPr>
            <w:tcW w:w="3500" w:type="pct"/>
            <w:shd w:val="clear" w:color="auto" w:fill="auto"/>
          </w:tcPr>
          <w:p w14:paraId="5E5E8CD3" w14:textId="77777777" w:rsidR="00E93F58" w:rsidRPr="00576D60" w:rsidRDefault="00E93F58" w:rsidP="002F32E3">
            <w:pPr>
              <w:pStyle w:val="ENoteTableText"/>
            </w:pPr>
            <w:r w:rsidRPr="00576D60">
              <w:t>ad No 170, 2012</w:t>
            </w:r>
          </w:p>
        </w:tc>
      </w:tr>
      <w:tr w:rsidR="00E93F58" w:rsidRPr="00576D60" w14:paraId="1ADCAC63" w14:textId="77777777" w:rsidTr="002F32E3">
        <w:trPr>
          <w:cantSplit/>
        </w:trPr>
        <w:tc>
          <w:tcPr>
            <w:tcW w:w="1500" w:type="pct"/>
            <w:shd w:val="clear" w:color="auto" w:fill="auto"/>
          </w:tcPr>
          <w:p w14:paraId="7007FC6A" w14:textId="77777777" w:rsidR="00E93F58" w:rsidRPr="00576D60" w:rsidRDefault="00E93F58" w:rsidP="002F32E3">
            <w:pPr>
              <w:pStyle w:val="ENoteTableText"/>
              <w:tabs>
                <w:tab w:val="left" w:leader="dot" w:pos="2268"/>
              </w:tabs>
            </w:pPr>
          </w:p>
        </w:tc>
        <w:tc>
          <w:tcPr>
            <w:tcW w:w="3500" w:type="pct"/>
            <w:shd w:val="clear" w:color="auto" w:fill="auto"/>
          </w:tcPr>
          <w:p w14:paraId="7D6B5D06" w14:textId="77777777" w:rsidR="00E93F58" w:rsidRPr="00576D60" w:rsidRDefault="00E93F58" w:rsidP="002F32E3">
            <w:pPr>
              <w:pStyle w:val="ENoteTableText"/>
            </w:pPr>
            <w:r w:rsidRPr="00576D60">
              <w:t>am F2021L00581</w:t>
            </w:r>
          </w:p>
        </w:tc>
      </w:tr>
      <w:tr w:rsidR="00E93F58" w:rsidRPr="00576D60" w14:paraId="55A11A4B" w14:textId="77777777" w:rsidTr="002F32E3">
        <w:trPr>
          <w:cantSplit/>
        </w:trPr>
        <w:tc>
          <w:tcPr>
            <w:tcW w:w="1500" w:type="pct"/>
            <w:shd w:val="clear" w:color="auto" w:fill="auto"/>
          </w:tcPr>
          <w:p w14:paraId="1ECE1986" w14:textId="77777777" w:rsidR="00E93F58" w:rsidRPr="00576D60" w:rsidRDefault="00E93F58" w:rsidP="002F32E3">
            <w:pPr>
              <w:pStyle w:val="ENoteTableText"/>
              <w:tabs>
                <w:tab w:val="left" w:leader="dot" w:pos="2268"/>
              </w:tabs>
            </w:pPr>
          </w:p>
        </w:tc>
        <w:tc>
          <w:tcPr>
            <w:tcW w:w="3500" w:type="pct"/>
            <w:shd w:val="clear" w:color="auto" w:fill="auto"/>
          </w:tcPr>
          <w:p w14:paraId="63B5EF10" w14:textId="77777777" w:rsidR="00E93F58" w:rsidRPr="00576D60" w:rsidRDefault="00E93F58" w:rsidP="002F32E3">
            <w:pPr>
              <w:pStyle w:val="ENoteTableText"/>
            </w:pPr>
            <w:r w:rsidRPr="00576D60">
              <w:t>rs F2021L00848</w:t>
            </w:r>
          </w:p>
        </w:tc>
      </w:tr>
      <w:tr w:rsidR="00E93F58" w:rsidRPr="00576D60" w14:paraId="5CF2058B" w14:textId="77777777" w:rsidTr="002F32E3">
        <w:trPr>
          <w:cantSplit/>
        </w:trPr>
        <w:tc>
          <w:tcPr>
            <w:tcW w:w="1500" w:type="pct"/>
            <w:shd w:val="clear" w:color="auto" w:fill="auto"/>
          </w:tcPr>
          <w:p w14:paraId="207A9527" w14:textId="77777777" w:rsidR="00E93F58" w:rsidRPr="00576D60" w:rsidRDefault="00E93F58" w:rsidP="002F32E3">
            <w:pPr>
              <w:pStyle w:val="ENoteTableText"/>
              <w:tabs>
                <w:tab w:val="left" w:leader="dot" w:pos="2268"/>
              </w:tabs>
            </w:pPr>
            <w:r w:rsidRPr="00576D60">
              <w:t>r 7.7A.11AA</w:t>
            </w:r>
            <w:r w:rsidRPr="00576D60">
              <w:tab/>
            </w:r>
          </w:p>
        </w:tc>
        <w:tc>
          <w:tcPr>
            <w:tcW w:w="3500" w:type="pct"/>
            <w:shd w:val="clear" w:color="auto" w:fill="auto"/>
          </w:tcPr>
          <w:p w14:paraId="19B8ADD8" w14:textId="77777777" w:rsidR="00E93F58" w:rsidRPr="00576D60" w:rsidRDefault="00E93F58" w:rsidP="002F32E3">
            <w:pPr>
              <w:pStyle w:val="ENoteTableText"/>
            </w:pPr>
            <w:r w:rsidRPr="00576D60">
              <w:t>ad F2021L00581</w:t>
            </w:r>
          </w:p>
        </w:tc>
      </w:tr>
      <w:tr w:rsidR="00E93F58" w:rsidRPr="00576D60" w14:paraId="36BD1A4F" w14:textId="77777777" w:rsidTr="002F32E3">
        <w:trPr>
          <w:cantSplit/>
        </w:trPr>
        <w:tc>
          <w:tcPr>
            <w:tcW w:w="1500" w:type="pct"/>
            <w:shd w:val="clear" w:color="auto" w:fill="auto"/>
          </w:tcPr>
          <w:p w14:paraId="4BCB89AD" w14:textId="77777777" w:rsidR="00E93F58" w:rsidRPr="00576D60" w:rsidRDefault="00E93F58" w:rsidP="002F32E3">
            <w:pPr>
              <w:pStyle w:val="ENoteTableText"/>
              <w:tabs>
                <w:tab w:val="left" w:leader="dot" w:pos="2268"/>
              </w:tabs>
              <w:rPr>
                <w:b/>
              </w:rPr>
            </w:pPr>
            <w:r w:rsidRPr="00576D60">
              <w:rPr>
                <w:b/>
              </w:rPr>
              <w:t>Division 4</w:t>
            </w:r>
          </w:p>
        </w:tc>
        <w:tc>
          <w:tcPr>
            <w:tcW w:w="3500" w:type="pct"/>
            <w:shd w:val="clear" w:color="auto" w:fill="auto"/>
          </w:tcPr>
          <w:p w14:paraId="5A6D8611" w14:textId="77777777" w:rsidR="00E93F58" w:rsidRPr="00576D60" w:rsidRDefault="00E93F58" w:rsidP="002F32E3">
            <w:pPr>
              <w:pStyle w:val="ENoteTableText"/>
            </w:pPr>
          </w:p>
        </w:tc>
      </w:tr>
      <w:tr w:rsidR="00E93F58" w:rsidRPr="00576D60" w14:paraId="63D810B5" w14:textId="77777777" w:rsidTr="002F32E3">
        <w:trPr>
          <w:cantSplit/>
        </w:trPr>
        <w:tc>
          <w:tcPr>
            <w:tcW w:w="1500" w:type="pct"/>
            <w:shd w:val="clear" w:color="auto" w:fill="auto"/>
          </w:tcPr>
          <w:p w14:paraId="0FA72444" w14:textId="77777777" w:rsidR="00E93F58" w:rsidRPr="00576D60" w:rsidRDefault="00E93F58" w:rsidP="002F32E3">
            <w:pPr>
              <w:pStyle w:val="ENoteTableText"/>
              <w:tabs>
                <w:tab w:val="left" w:leader="dot" w:pos="2268"/>
              </w:tabs>
            </w:pPr>
            <w:r w:rsidRPr="00576D60">
              <w:t>Division 4</w:t>
            </w:r>
            <w:r w:rsidRPr="00576D60">
              <w:tab/>
            </w:r>
          </w:p>
        </w:tc>
        <w:tc>
          <w:tcPr>
            <w:tcW w:w="3500" w:type="pct"/>
            <w:shd w:val="clear" w:color="auto" w:fill="auto"/>
          </w:tcPr>
          <w:p w14:paraId="1A26F6D5" w14:textId="77777777" w:rsidR="00E93F58" w:rsidRPr="00576D60" w:rsidRDefault="00E93F58" w:rsidP="002F32E3">
            <w:pPr>
              <w:pStyle w:val="ENoteTableText"/>
            </w:pPr>
            <w:r w:rsidRPr="00576D60">
              <w:t>ad. 2012 No. 170</w:t>
            </w:r>
          </w:p>
        </w:tc>
      </w:tr>
      <w:tr w:rsidR="00E93F58" w:rsidRPr="00576D60" w14:paraId="1D7049C3" w14:textId="77777777" w:rsidTr="002F32E3">
        <w:trPr>
          <w:cantSplit/>
        </w:trPr>
        <w:tc>
          <w:tcPr>
            <w:tcW w:w="1500" w:type="pct"/>
            <w:shd w:val="clear" w:color="auto" w:fill="auto"/>
          </w:tcPr>
          <w:p w14:paraId="7305ECF5" w14:textId="77777777" w:rsidR="00E93F58" w:rsidRPr="00576D60" w:rsidRDefault="00E93F58" w:rsidP="002F32E3">
            <w:pPr>
              <w:pStyle w:val="ENoteTableText"/>
              <w:keepNext/>
              <w:keepLines/>
              <w:tabs>
                <w:tab w:val="left" w:leader="dot" w:pos="2268"/>
              </w:tabs>
              <w:rPr>
                <w:b/>
              </w:rPr>
            </w:pPr>
            <w:r w:rsidRPr="00576D60">
              <w:rPr>
                <w:b/>
              </w:rPr>
              <w:t>Subdivision 1</w:t>
            </w:r>
          </w:p>
        </w:tc>
        <w:tc>
          <w:tcPr>
            <w:tcW w:w="3500" w:type="pct"/>
            <w:shd w:val="clear" w:color="auto" w:fill="auto"/>
          </w:tcPr>
          <w:p w14:paraId="456060D9" w14:textId="77777777" w:rsidR="00E93F58" w:rsidRPr="00576D60" w:rsidRDefault="00E93F58" w:rsidP="002F32E3">
            <w:pPr>
              <w:pStyle w:val="ENoteTableText"/>
              <w:keepNext/>
            </w:pPr>
          </w:p>
        </w:tc>
      </w:tr>
      <w:tr w:rsidR="00E93F58" w:rsidRPr="00576D60" w14:paraId="3A37330B" w14:textId="77777777" w:rsidTr="002F32E3">
        <w:trPr>
          <w:cantSplit/>
        </w:trPr>
        <w:tc>
          <w:tcPr>
            <w:tcW w:w="1500" w:type="pct"/>
            <w:shd w:val="clear" w:color="auto" w:fill="auto"/>
          </w:tcPr>
          <w:p w14:paraId="77CA8B03" w14:textId="77777777" w:rsidR="00E93F58" w:rsidRPr="00576D60" w:rsidRDefault="00E93F58" w:rsidP="002F32E3">
            <w:pPr>
              <w:pStyle w:val="ENoteTableText"/>
              <w:keepLines/>
              <w:tabs>
                <w:tab w:val="left" w:leader="dot" w:pos="2268"/>
              </w:tabs>
            </w:pPr>
            <w:r w:rsidRPr="00576D60">
              <w:t>Subdivision 1</w:t>
            </w:r>
            <w:r w:rsidRPr="00576D60">
              <w:tab/>
            </w:r>
          </w:p>
        </w:tc>
        <w:tc>
          <w:tcPr>
            <w:tcW w:w="3500" w:type="pct"/>
            <w:shd w:val="clear" w:color="auto" w:fill="auto"/>
          </w:tcPr>
          <w:p w14:paraId="3043F5BD" w14:textId="77777777" w:rsidR="00E93F58" w:rsidRPr="00576D60" w:rsidRDefault="00E93F58" w:rsidP="002F32E3">
            <w:pPr>
              <w:pStyle w:val="ENoteTableText"/>
            </w:pPr>
            <w:r w:rsidRPr="00576D60">
              <w:t>ad F2017L00212</w:t>
            </w:r>
          </w:p>
        </w:tc>
      </w:tr>
      <w:tr w:rsidR="00E93F58" w:rsidRPr="00576D60" w14:paraId="095C4E2F" w14:textId="77777777" w:rsidTr="002F32E3">
        <w:trPr>
          <w:cantSplit/>
        </w:trPr>
        <w:tc>
          <w:tcPr>
            <w:tcW w:w="1500" w:type="pct"/>
            <w:shd w:val="clear" w:color="auto" w:fill="auto"/>
          </w:tcPr>
          <w:p w14:paraId="72AE0F99" w14:textId="77777777" w:rsidR="00E93F58" w:rsidRPr="00576D60" w:rsidRDefault="00E93F58" w:rsidP="002F32E3">
            <w:pPr>
              <w:pStyle w:val="ENoteTableText"/>
              <w:tabs>
                <w:tab w:val="left" w:leader="dot" w:pos="2268"/>
              </w:tabs>
            </w:pPr>
            <w:r w:rsidRPr="00576D60">
              <w:t>r 7.7A.11A</w:t>
            </w:r>
            <w:r w:rsidRPr="00576D60">
              <w:tab/>
            </w:r>
          </w:p>
        </w:tc>
        <w:tc>
          <w:tcPr>
            <w:tcW w:w="3500" w:type="pct"/>
            <w:shd w:val="clear" w:color="auto" w:fill="auto"/>
          </w:tcPr>
          <w:p w14:paraId="1A996249" w14:textId="77777777" w:rsidR="00E93F58" w:rsidRPr="00576D60" w:rsidRDefault="00E93F58" w:rsidP="002F32E3">
            <w:pPr>
              <w:pStyle w:val="ENoteTableText"/>
              <w:rPr>
                <w:u w:val="single"/>
              </w:rPr>
            </w:pPr>
            <w:r w:rsidRPr="00576D60">
              <w:t>ad F2017L00212</w:t>
            </w:r>
          </w:p>
        </w:tc>
      </w:tr>
      <w:tr w:rsidR="00E93F58" w:rsidRPr="00576D60" w14:paraId="6AFA5560" w14:textId="77777777" w:rsidTr="002F32E3">
        <w:trPr>
          <w:cantSplit/>
        </w:trPr>
        <w:tc>
          <w:tcPr>
            <w:tcW w:w="1500" w:type="pct"/>
            <w:shd w:val="clear" w:color="auto" w:fill="auto"/>
          </w:tcPr>
          <w:p w14:paraId="35301560" w14:textId="77777777" w:rsidR="00E93F58" w:rsidRPr="00576D60" w:rsidRDefault="00E93F58" w:rsidP="002F32E3">
            <w:pPr>
              <w:pStyle w:val="ENoteTableText"/>
              <w:tabs>
                <w:tab w:val="left" w:leader="dot" w:pos="2268"/>
              </w:tabs>
            </w:pPr>
            <w:r w:rsidRPr="00576D60">
              <w:t>r 7.7A.11B</w:t>
            </w:r>
            <w:r w:rsidRPr="00576D60">
              <w:tab/>
            </w:r>
          </w:p>
        </w:tc>
        <w:tc>
          <w:tcPr>
            <w:tcW w:w="3500" w:type="pct"/>
            <w:shd w:val="clear" w:color="auto" w:fill="auto"/>
          </w:tcPr>
          <w:p w14:paraId="10B0D57A" w14:textId="77777777" w:rsidR="00E93F58" w:rsidRPr="00576D60" w:rsidRDefault="00E93F58" w:rsidP="002F32E3">
            <w:pPr>
              <w:pStyle w:val="ENoteTableText"/>
              <w:rPr>
                <w:u w:val="single"/>
              </w:rPr>
            </w:pPr>
            <w:r w:rsidRPr="00576D60">
              <w:t>ad F2017L00212</w:t>
            </w:r>
          </w:p>
        </w:tc>
      </w:tr>
      <w:tr w:rsidR="00E93F58" w:rsidRPr="00576D60" w14:paraId="4B344762" w14:textId="77777777" w:rsidTr="002F32E3">
        <w:trPr>
          <w:cantSplit/>
        </w:trPr>
        <w:tc>
          <w:tcPr>
            <w:tcW w:w="1500" w:type="pct"/>
            <w:shd w:val="clear" w:color="auto" w:fill="auto"/>
          </w:tcPr>
          <w:p w14:paraId="20AA3C96" w14:textId="77777777" w:rsidR="00E93F58" w:rsidRPr="00576D60" w:rsidRDefault="00E93F58" w:rsidP="002F32E3">
            <w:pPr>
              <w:pStyle w:val="ENoteTableText"/>
              <w:tabs>
                <w:tab w:val="left" w:leader="dot" w:pos="2268"/>
              </w:tabs>
            </w:pPr>
            <w:r w:rsidRPr="00576D60">
              <w:t>r 7.7A.11C</w:t>
            </w:r>
            <w:r w:rsidRPr="00576D60">
              <w:tab/>
            </w:r>
          </w:p>
        </w:tc>
        <w:tc>
          <w:tcPr>
            <w:tcW w:w="3500" w:type="pct"/>
            <w:shd w:val="clear" w:color="auto" w:fill="auto"/>
          </w:tcPr>
          <w:p w14:paraId="3DE311F2" w14:textId="77777777" w:rsidR="00E93F58" w:rsidRPr="00576D60" w:rsidRDefault="00E93F58" w:rsidP="002F32E3">
            <w:pPr>
              <w:pStyle w:val="ENoteTableText"/>
              <w:rPr>
                <w:u w:val="single"/>
              </w:rPr>
            </w:pPr>
            <w:r w:rsidRPr="00576D60">
              <w:t>ad F2017L00212</w:t>
            </w:r>
          </w:p>
        </w:tc>
      </w:tr>
      <w:tr w:rsidR="00E93F58" w:rsidRPr="00576D60" w14:paraId="3D42603F" w14:textId="77777777" w:rsidTr="002F32E3">
        <w:trPr>
          <w:cantSplit/>
        </w:trPr>
        <w:tc>
          <w:tcPr>
            <w:tcW w:w="1500" w:type="pct"/>
            <w:shd w:val="clear" w:color="auto" w:fill="auto"/>
          </w:tcPr>
          <w:p w14:paraId="2FA3459B" w14:textId="77777777" w:rsidR="00E93F58" w:rsidRPr="00576D60" w:rsidRDefault="00E93F58" w:rsidP="002F32E3">
            <w:pPr>
              <w:pStyle w:val="ENoteTableText"/>
              <w:tabs>
                <w:tab w:val="left" w:leader="dot" w:pos="2268"/>
              </w:tabs>
            </w:pPr>
          </w:p>
        </w:tc>
        <w:tc>
          <w:tcPr>
            <w:tcW w:w="3500" w:type="pct"/>
            <w:shd w:val="clear" w:color="auto" w:fill="auto"/>
          </w:tcPr>
          <w:p w14:paraId="25B21E55" w14:textId="77777777" w:rsidR="00E93F58" w:rsidRPr="00576D60" w:rsidRDefault="00E93F58" w:rsidP="002F32E3">
            <w:pPr>
              <w:pStyle w:val="ENoteTableText"/>
            </w:pPr>
            <w:r>
              <w:t>am F2023L01458</w:t>
            </w:r>
          </w:p>
        </w:tc>
      </w:tr>
      <w:tr w:rsidR="00E93F58" w:rsidRPr="00576D60" w14:paraId="004A5E26" w14:textId="77777777" w:rsidTr="002F32E3">
        <w:trPr>
          <w:cantSplit/>
        </w:trPr>
        <w:tc>
          <w:tcPr>
            <w:tcW w:w="1500" w:type="pct"/>
            <w:shd w:val="clear" w:color="auto" w:fill="auto"/>
          </w:tcPr>
          <w:p w14:paraId="367321A9" w14:textId="77777777" w:rsidR="00E93F58" w:rsidRPr="00576D60" w:rsidRDefault="00E93F58" w:rsidP="002F32E3">
            <w:pPr>
              <w:pStyle w:val="ENoteTableText"/>
              <w:tabs>
                <w:tab w:val="left" w:leader="dot" w:pos="2268"/>
              </w:tabs>
            </w:pPr>
            <w:r w:rsidRPr="00576D60">
              <w:t>r 7.7A.11D</w:t>
            </w:r>
            <w:r w:rsidRPr="00576D60">
              <w:tab/>
            </w:r>
          </w:p>
        </w:tc>
        <w:tc>
          <w:tcPr>
            <w:tcW w:w="3500" w:type="pct"/>
            <w:shd w:val="clear" w:color="auto" w:fill="auto"/>
          </w:tcPr>
          <w:p w14:paraId="79DF22E3" w14:textId="77777777" w:rsidR="00E93F58" w:rsidRPr="00576D60" w:rsidRDefault="00E93F58" w:rsidP="002F32E3">
            <w:pPr>
              <w:pStyle w:val="ENoteTableText"/>
              <w:rPr>
                <w:u w:val="single"/>
              </w:rPr>
            </w:pPr>
            <w:r w:rsidRPr="00576D60">
              <w:t>ad F2017L00212</w:t>
            </w:r>
          </w:p>
        </w:tc>
      </w:tr>
      <w:tr w:rsidR="00E93F58" w:rsidRPr="00576D60" w14:paraId="657189E8" w14:textId="77777777" w:rsidTr="002F32E3">
        <w:trPr>
          <w:cantSplit/>
        </w:trPr>
        <w:tc>
          <w:tcPr>
            <w:tcW w:w="1500" w:type="pct"/>
            <w:shd w:val="clear" w:color="auto" w:fill="auto"/>
          </w:tcPr>
          <w:p w14:paraId="400A78B3" w14:textId="77777777" w:rsidR="00E93F58" w:rsidRPr="00576D60" w:rsidRDefault="00E93F58" w:rsidP="002F32E3">
            <w:pPr>
              <w:pStyle w:val="ENoteTableText"/>
              <w:tabs>
                <w:tab w:val="left" w:leader="dot" w:pos="2268"/>
              </w:tabs>
            </w:pPr>
          </w:p>
        </w:tc>
        <w:tc>
          <w:tcPr>
            <w:tcW w:w="3500" w:type="pct"/>
            <w:shd w:val="clear" w:color="auto" w:fill="auto"/>
          </w:tcPr>
          <w:p w14:paraId="6CC53AE6" w14:textId="77777777" w:rsidR="00E93F58" w:rsidRPr="00576D60" w:rsidRDefault="00E93F58" w:rsidP="002F32E3">
            <w:pPr>
              <w:pStyle w:val="ENoteTableText"/>
            </w:pPr>
            <w:r>
              <w:t>am F2023L01458</w:t>
            </w:r>
          </w:p>
        </w:tc>
      </w:tr>
      <w:tr w:rsidR="00E93F58" w:rsidRPr="00576D60" w14:paraId="1CC986B0" w14:textId="77777777" w:rsidTr="002F32E3">
        <w:trPr>
          <w:cantSplit/>
        </w:trPr>
        <w:tc>
          <w:tcPr>
            <w:tcW w:w="1500" w:type="pct"/>
            <w:shd w:val="clear" w:color="auto" w:fill="auto"/>
          </w:tcPr>
          <w:p w14:paraId="4FC468F7" w14:textId="77777777" w:rsidR="00E93F58" w:rsidRPr="00576D60" w:rsidRDefault="00E93F58" w:rsidP="002F32E3">
            <w:pPr>
              <w:pStyle w:val="ENoteTableText"/>
              <w:keepNext/>
              <w:keepLines/>
              <w:tabs>
                <w:tab w:val="left" w:leader="dot" w:pos="2268"/>
              </w:tabs>
              <w:rPr>
                <w:b/>
              </w:rPr>
            </w:pPr>
            <w:r>
              <w:rPr>
                <w:b/>
              </w:rPr>
              <w:t>Subdivision 2</w:t>
            </w:r>
          </w:p>
        </w:tc>
        <w:tc>
          <w:tcPr>
            <w:tcW w:w="3500" w:type="pct"/>
            <w:shd w:val="clear" w:color="auto" w:fill="auto"/>
          </w:tcPr>
          <w:p w14:paraId="3CFBA3D9" w14:textId="77777777" w:rsidR="00E93F58" w:rsidRPr="00576D60" w:rsidRDefault="00E93F58" w:rsidP="002F32E3">
            <w:pPr>
              <w:pStyle w:val="ENoteTableText"/>
              <w:keepNext/>
              <w:keepLines/>
            </w:pPr>
          </w:p>
        </w:tc>
      </w:tr>
      <w:tr w:rsidR="00E93F58" w:rsidRPr="00576D60" w14:paraId="3C30DF7B" w14:textId="77777777" w:rsidTr="002F32E3">
        <w:trPr>
          <w:cantSplit/>
        </w:trPr>
        <w:tc>
          <w:tcPr>
            <w:tcW w:w="1500" w:type="pct"/>
            <w:shd w:val="clear" w:color="auto" w:fill="auto"/>
          </w:tcPr>
          <w:p w14:paraId="7A40D305" w14:textId="77777777" w:rsidR="00E93F58" w:rsidRPr="00576D60" w:rsidRDefault="00E93F58" w:rsidP="002F32E3">
            <w:pPr>
              <w:pStyle w:val="ENoteTableText"/>
              <w:tabs>
                <w:tab w:val="left" w:leader="dot" w:pos="2268"/>
              </w:tabs>
            </w:pPr>
            <w:r w:rsidRPr="00576D60">
              <w:t>Subdivision 1 heading</w:t>
            </w:r>
            <w:r w:rsidRPr="00576D60">
              <w:tab/>
            </w:r>
          </w:p>
        </w:tc>
        <w:tc>
          <w:tcPr>
            <w:tcW w:w="3500" w:type="pct"/>
            <w:shd w:val="clear" w:color="auto" w:fill="auto"/>
          </w:tcPr>
          <w:p w14:paraId="23EC52CA" w14:textId="77777777" w:rsidR="00E93F58" w:rsidRPr="00576D60" w:rsidRDefault="00E93F58" w:rsidP="002F32E3">
            <w:pPr>
              <w:pStyle w:val="ENoteTableText"/>
            </w:pPr>
            <w:r w:rsidRPr="00576D60">
              <w:t>ad. 2012 No. 268</w:t>
            </w:r>
          </w:p>
        </w:tc>
      </w:tr>
      <w:tr w:rsidR="00E93F58" w:rsidRPr="00576D60" w14:paraId="7290975A" w14:textId="77777777" w:rsidTr="002F32E3">
        <w:trPr>
          <w:cantSplit/>
        </w:trPr>
        <w:tc>
          <w:tcPr>
            <w:tcW w:w="1500" w:type="pct"/>
            <w:shd w:val="clear" w:color="auto" w:fill="auto"/>
          </w:tcPr>
          <w:p w14:paraId="39FA5231" w14:textId="77777777" w:rsidR="00E93F58" w:rsidRPr="00576D60" w:rsidRDefault="00E93F58" w:rsidP="002F32E3">
            <w:pPr>
              <w:pStyle w:val="ENoteTableText"/>
              <w:tabs>
                <w:tab w:val="left" w:leader="dot" w:pos="2268"/>
              </w:tabs>
            </w:pPr>
          </w:p>
        </w:tc>
        <w:tc>
          <w:tcPr>
            <w:tcW w:w="3500" w:type="pct"/>
            <w:shd w:val="clear" w:color="auto" w:fill="auto"/>
          </w:tcPr>
          <w:p w14:paraId="532FF9D7" w14:textId="77777777" w:rsidR="00E93F58" w:rsidRPr="00576D60" w:rsidRDefault="00E93F58" w:rsidP="002F32E3">
            <w:pPr>
              <w:pStyle w:val="ENoteTableText"/>
            </w:pPr>
            <w:r w:rsidRPr="00576D60">
              <w:t>rs and renum F2017L00212</w:t>
            </w:r>
          </w:p>
        </w:tc>
      </w:tr>
      <w:tr w:rsidR="00E93F58" w:rsidRPr="00576D60" w14:paraId="602E6A9A" w14:textId="77777777" w:rsidTr="002F32E3">
        <w:trPr>
          <w:cantSplit/>
        </w:trPr>
        <w:tc>
          <w:tcPr>
            <w:tcW w:w="1500" w:type="pct"/>
            <w:shd w:val="clear" w:color="auto" w:fill="auto"/>
          </w:tcPr>
          <w:p w14:paraId="300B4744" w14:textId="77777777" w:rsidR="00E93F58" w:rsidRPr="00576D60" w:rsidRDefault="00E93F58" w:rsidP="002F32E3">
            <w:pPr>
              <w:pStyle w:val="ENoteTableText"/>
              <w:tabs>
                <w:tab w:val="left" w:leader="dot" w:pos="2268"/>
              </w:tabs>
            </w:pPr>
            <w:r>
              <w:t>Subdivision 2</w:t>
            </w:r>
            <w:r w:rsidRPr="00576D60">
              <w:t xml:space="preserve"> heading (prev</w:t>
            </w:r>
            <w:r w:rsidRPr="00576D60">
              <w:br/>
              <w:t>Subdivision 1 heading)</w:t>
            </w:r>
          </w:p>
        </w:tc>
        <w:tc>
          <w:tcPr>
            <w:tcW w:w="3500" w:type="pct"/>
            <w:shd w:val="clear" w:color="auto" w:fill="auto"/>
          </w:tcPr>
          <w:p w14:paraId="3BB9C103" w14:textId="77777777" w:rsidR="00E93F58" w:rsidRPr="00576D60" w:rsidRDefault="00E93F58" w:rsidP="002F32E3">
            <w:pPr>
              <w:pStyle w:val="ENoteTableText"/>
              <w:rPr>
                <w:u w:val="single"/>
              </w:rPr>
            </w:pPr>
          </w:p>
        </w:tc>
      </w:tr>
      <w:tr w:rsidR="00E93F58" w:rsidRPr="00576D60" w14:paraId="0EB00F3A" w14:textId="77777777" w:rsidTr="002F32E3">
        <w:trPr>
          <w:cantSplit/>
        </w:trPr>
        <w:tc>
          <w:tcPr>
            <w:tcW w:w="1500" w:type="pct"/>
            <w:shd w:val="clear" w:color="auto" w:fill="auto"/>
          </w:tcPr>
          <w:p w14:paraId="6FBC7FF7" w14:textId="77777777" w:rsidR="00E93F58" w:rsidRPr="00576D60" w:rsidRDefault="00E93F58" w:rsidP="002F32E3">
            <w:pPr>
              <w:pStyle w:val="ENoteTableText"/>
              <w:tabs>
                <w:tab w:val="left" w:leader="dot" w:pos="2268"/>
              </w:tabs>
            </w:pPr>
            <w:r w:rsidRPr="00576D60">
              <w:t>r 7.7A.12</w:t>
            </w:r>
            <w:r w:rsidRPr="00576D60">
              <w:tab/>
            </w:r>
          </w:p>
        </w:tc>
        <w:tc>
          <w:tcPr>
            <w:tcW w:w="3500" w:type="pct"/>
            <w:shd w:val="clear" w:color="auto" w:fill="auto"/>
          </w:tcPr>
          <w:p w14:paraId="2D8627C2" w14:textId="77777777" w:rsidR="00E93F58" w:rsidRPr="00576D60" w:rsidRDefault="00E93F58" w:rsidP="002F32E3">
            <w:pPr>
              <w:pStyle w:val="ENoteTableText"/>
            </w:pPr>
            <w:r w:rsidRPr="00576D60">
              <w:t>ad</w:t>
            </w:r>
            <w:r>
              <w:t xml:space="preserve"> No 170, 2012</w:t>
            </w:r>
          </w:p>
        </w:tc>
      </w:tr>
      <w:tr w:rsidR="00E93F58" w:rsidRPr="00576D60" w14:paraId="51662248" w14:textId="77777777" w:rsidTr="002F32E3">
        <w:trPr>
          <w:cantSplit/>
        </w:trPr>
        <w:tc>
          <w:tcPr>
            <w:tcW w:w="1500" w:type="pct"/>
            <w:shd w:val="clear" w:color="auto" w:fill="auto"/>
          </w:tcPr>
          <w:p w14:paraId="1344DE11" w14:textId="77777777" w:rsidR="00E93F58" w:rsidRPr="00576D60" w:rsidRDefault="00E93F58" w:rsidP="002F32E3">
            <w:pPr>
              <w:pStyle w:val="ENoteTableText"/>
            </w:pPr>
          </w:p>
        </w:tc>
        <w:tc>
          <w:tcPr>
            <w:tcW w:w="3500" w:type="pct"/>
            <w:shd w:val="clear" w:color="auto" w:fill="auto"/>
          </w:tcPr>
          <w:p w14:paraId="5407FC47" w14:textId="77777777" w:rsidR="00E93F58" w:rsidRPr="00576D60" w:rsidRDefault="00E93F58" w:rsidP="002F32E3">
            <w:pPr>
              <w:pStyle w:val="ENoteTableText"/>
            </w:pPr>
            <w:r w:rsidRPr="00576D60">
              <w:t>rs</w:t>
            </w:r>
            <w:r>
              <w:t xml:space="preserve"> No 268, 2012</w:t>
            </w:r>
          </w:p>
        </w:tc>
      </w:tr>
      <w:tr w:rsidR="00E93F58" w:rsidRPr="00576D60" w14:paraId="6A4B0E79" w14:textId="77777777" w:rsidTr="002F32E3">
        <w:trPr>
          <w:cantSplit/>
        </w:trPr>
        <w:tc>
          <w:tcPr>
            <w:tcW w:w="1500" w:type="pct"/>
            <w:shd w:val="clear" w:color="auto" w:fill="auto"/>
          </w:tcPr>
          <w:p w14:paraId="563E12F9" w14:textId="77777777" w:rsidR="00E93F58" w:rsidRPr="00576D60" w:rsidRDefault="00E93F58" w:rsidP="002F32E3">
            <w:pPr>
              <w:pStyle w:val="ENoteTableText"/>
            </w:pPr>
          </w:p>
        </w:tc>
        <w:tc>
          <w:tcPr>
            <w:tcW w:w="3500" w:type="pct"/>
            <w:shd w:val="clear" w:color="auto" w:fill="auto"/>
          </w:tcPr>
          <w:p w14:paraId="266ACD19" w14:textId="77777777" w:rsidR="00E93F58" w:rsidRPr="00576D60" w:rsidRDefault="00E93F58" w:rsidP="002F32E3">
            <w:pPr>
              <w:pStyle w:val="ENoteTableText"/>
            </w:pPr>
            <w:r w:rsidRPr="00576D60">
              <w:t>am No 102, 2014 (disallowed); No 108, 2015</w:t>
            </w:r>
            <w:r>
              <w:t>; F2023L01458</w:t>
            </w:r>
          </w:p>
        </w:tc>
      </w:tr>
      <w:tr w:rsidR="00E93F58" w:rsidRPr="00576D60" w14:paraId="4D728BE2" w14:textId="77777777" w:rsidTr="002F32E3">
        <w:trPr>
          <w:cantSplit/>
        </w:trPr>
        <w:tc>
          <w:tcPr>
            <w:tcW w:w="1500" w:type="pct"/>
            <w:shd w:val="clear" w:color="auto" w:fill="auto"/>
          </w:tcPr>
          <w:p w14:paraId="5C77225B" w14:textId="77777777" w:rsidR="00E93F58" w:rsidRPr="00576D60" w:rsidRDefault="00E93F58" w:rsidP="002F32E3">
            <w:pPr>
              <w:pStyle w:val="ENoteTableText"/>
              <w:tabs>
                <w:tab w:val="left" w:leader="dot" w:pos="2268"/>
              </w:tabs>
            </w:pPr>
            <w:r w:rsidRPr="00576D60">
              <w:t>r. 7.7A.12A</w:t>
            </w:r>
            <w:r w:rsidRPr="00576D60">
              <w:tab/>
            </w:r>
          </w:p>
        </w:tc>
        <w:tc>
          <w:tcPr>
            <w:tcW w:w="3500" w:type="pct"/>
            <w:shd w:val="clear" w:color="auto" w:fill="auto"/>
          </w:tcPr>
          <w:p w14:paraId="616DD433" w14:textId="77777777" w:rsidR="00E93F58" w:rsidRPr="00576D60" w:rsidRDefault="00E93F58" w:rsidP="002F32E3">
            <w:pPr>
              <w:pStyle w:val="ENoteTableText"/>
            </w:pPr>
            <w:r w:rsidRPr="00576D60">
              <w:t>ad. 2012 No. 268</w:t>
            </w:r>
          </w:p>
        </w:tc>
      </w:tr>
      <w:tr w:rsidR="00E93F58" w:rsidRPr="00576D60" w14:paraId="4D990130" w14:textId="77777777" w:rsidTr="002F32E3">
        <w:trPr>
          <w:cantSplit/>
        </w:trPr>
        <w:tc>
          <w:tcPr>
            <w:tcW w:w="1500" w:type="pct"/>
            <w:shd w:val="clear" w:color="auto" w:fill="auto"/>
          </w:tcPr>
          <w:p w14:paraId="3E6D3165" w14:textId="77777777" w:rsidR="00E93F58" w:rsidRPr="00576D60" w:rsidRDefault="00E93F58" w:rsidP="002F32E3">
            <w:pPr>
              <w:pStyle w:val="ENoteTableText"/>
              <w:tabs>
                <w:tab w:val="left" w:leader="dot" w:pos="2268"/>
              </w:tabs>
            </w:pPr>
          </w:p>
        </w:tc>
        <w:tc>
          <w:tcPr>
            <w:tcW w:w="3500" w:type="pct"/>
            <w:shd w:val="clear" w:color="auto" w:fill="auto"/>
          </w:tcPr>
          <w:p w14:paraId="7E0CD6CA" w14:textId="77777777" w:rsidR="00E93F58" w:rsidRPr="00576D60" w:rsidRDefault="00E93F58" w:rsidP="002F32E3">
            <w:pPr>
              <w:pStyle w:val="ENoteTableText"/>
              <w:rPr>
                <w:u w:val="single"/>
              </w:rPr>
            </w:pPr>
            <w:r w:rsidRPr="00576D60">
              <w:t>rep F2017L00212</w:t>
            </w:r>
          </w:p>
        </w:tc>
      </w:tr>
      <w:tr w:rsidR="00E93F58" w:rsidRPr="00576D60" w14:paraId="6655E0EF" w14:textId="77777777" w:rsidTr="002F32E3">
        <w:trPr>
          <w:cantSplit/>
        </w:trPr>
        <w:tc>
          <w:tcPr>
            <w:tcW w:w="1500" w:type="pct"/>
            <w:shd w:val="clear" w:color="auto" w:fill="auto"/>
          </w:tcPr>
          <w:p w14:paraId="01CF6762" w14:textId="77777777" w:rsidR="00E93F58" w:rsidRPr="00576D60" w:rsidRDefault="00E93F58" w:rsidP="002F32E3">
            <w:pPr>
              <w:pStyle w:val="ENoteTableText"/>
              <w:tabs>
                <w:tab w:val="left" w:leader="dot" w:pos="2268"/>
              </w:tabs>
            </w:pPr>
            <w:r w:rsidRPr="00576D60">
              <w:t>r 7.7A.12B</w:t>
            </w:r>
            <w:r w:rsidRPr="00576D60">
              <w:tab/>
            </w:r>
          </w:p>
        </w:tc>
        <w:tc>
          <w:tcPr>
            <w:tcW w:w="3500" w:type="pct"/>
            <w:shd w:val="clear" w:color="auto" w:fill="auto"/>
          </w:tcPr>
          <w:p w14:paraId="0CBDBF05" w14:textId="77777777" w:rsidR="00E93F58" w:rsidRPr="00576D60" w:rsidRDefault="00E93F58" w:rsidP="002F32E3">
            <w:pPr>
              <w:pStyle w:val="ENoteTableText"/>
            </w:pPr>
            <w:r w:rsidRPr="00576D60">
              <w:t>ad 2012 No 268</w:t>
            </w:r>
          </w:p>
        </w:tc>
      </w:tr>
      <w:tr w:rsidR="00E93F58" w:rsidRPr="00576D60" w14:paraId="0E119B1B" w14:textId="77777777" w:rsidTr="002F32E3">
        <w:trPr>
          <w:cantSplit/>
        </w:trPr>
        <w:tc>
          <w:tcPr>
            <w:tcW w:w="1500" w:type="pct"/>
            <w:shd w:val="clear" w:color="auto" w:fill="auto"/>
          </w:tcPr>
          <w:p w14:paraId="07A3118D" w14:textId="77777777" w:rsidR="00E93F58" w:rsidRPr="00576D60" w:rsidRDefault="00E93F58" w:rsidP="002F32E3">
            <w:pPr>
              <w:pStyle w:val="ENoteTableText"/>
              <w:tabs>
                <w:tab w:val="left" w:leader="dot" w:pos="2268"/>
              </w:tabs>
            </w:pPr>
          </w:p>
        </w:tc>
        <w:tc>
          <w:tcPr>
            <w:tcW w:w="3500" w:type="pct"/>
            <w:shd w:val="clear" w:color="auto" w:fill="auto"/>
          </w:tcPr>
          <w:p w14:paraId="15E50586" w14:textId="77777777" w:rsidR="00E93F58" w:rsidRPr="00576D60" w:rsidRDefault="00E93F58" w:rsidP="002F32E3">
            <w:pPr>
              <w:pStyle w:val="ENoteTableText"/>
            </w:pPr>
            <w:r w:rsidRPr="00576D60">
              <w:t>rs No 102, 2014 (disallowed); No 208, 2014</w:t>
            </w:r>
          </w:p>
        </w:tc>
      </w:tr>
      <w:tr w:rsidR="00E93F58" w:rsidRPr="00576D60" w14:paraId="4DE49EA7" w14:textId="77777777" w:rsidTr="002F32E3">
        <w:trPr>
          <w:cantSplit/>
        </w:trPr>
        <w:tc>
          <w:tcPr>
            <w:tcW w:w="1500" w:type="pct"/>
            <w:shd w:val="clear" w:color="auto" w:fill="auto"/>
          </w:tcPr>
          <w:p w14:paraId="547821D7" w14:textId="77777777" w:rsidR="00E93F58" w:rsidRPr="00576D60" w:rsidRDefault="00E93F58" w:rsidP="002F32E3">
            <w:pPr>
              <w:pStyle w:val="ENoteTableText"/>
              <w:tabs>
                <w:tab w:val="left" w:leader="dot" w:pos="2268"/>
              </w:tabs>
            </w:pPr>
          </w:p>
        </w:tc>
        <w:tc>
          <w:tcPr>
            <w:tcW w:w="3500" w:type="pct"/>
            <w:shd w:val="clear" w:color="auto" w:fill="auto"/>
          </w:tcPr>
          <w:p w14:paraId="1FB71671" w14:textId="77777777" w:rsidR="00E93F58" w:rsidRPr="00576D60" w:rsidRDefault="00E93F58" w:rsidP="002F32E3">
            <w:pPr>
              <w:pStyle w:val="ENoteTableText"/>
            </w:pPr>
            <w:r w:rsidRPr="00576D60">
              <w:t>am F2020L00834</w:t>
            </w:r>
          </w:p>
        </w:tc>
      </w:tr>
      <w:tr w:rsidR="00E93F58" w:rsidRPr="00576D60" w14:paraId="49DF012B" w14:textId="77777777" w:rsidTr="002F32E3">
        <w:trPr>
          <w:cantSplit/>
        </w:trPr>
        <w:tc>
          <w:tcPr>
            <w:tcW w:w="1500" w:type="pct"/>
            <w:shd w:val="clear" w:color="auto" w:fill="auto"/>
          </w:tcPr>
          <w:p w14:paraId="56A74FF2" w14:textId="77777777" w:rsidR="00E93F58" w:rsidRPr="00576D60" w:rsidRDefault="00E93F58" w:rsidP="002F32E3">
            <w:pPr>
              <w:pStyle w:val="ENoteTableText"/>
              <w:tabs>
                <w:tab w:val="left" w:leader="dot" w:pos="2268"/>
              </w:tabs>
            </w:pPr>
            <w:r w:rsidRPr="00576D60">
              <w:t>r. 7.7A.12C</w:t>
            </w:r>
            <w:r w:rsidRPr="00576D60">
              <w:tab/>
            </w:r>
          </w:p>
        </w:tc>
        <w:tc>
          <w:tcPr>
            <w:tcW w:w="3500" w:type="pct"/>
            <w:shd w:val="clear" w:color="auto" w:fill="auto"/>
          </w:tcPr>
          <w:p w14:paraId="6BB2EA9A" w14:textId="77777777" w:rsidR="00E93F58" w:rsidRPr="00576D60" w:rsidRDefault="00E93F58" w:rsidP="002F32E3">
            <w:pPr>
              <w:pStyle w:val="ENoteTableText"/>
            </w:pPr>
            <w:r w:rsidRPr="00576D60">
              <w:t>ad. 2012 No. 268</w:t>
            </w:r>
          </w:p>
        </w:tc>
      </w:tr>
      <w:tr w:rsidR="00E93F58" w:rsidRPr="00576D60" w14:paraId="6CF70B75" w14:textId="77777777" w:rsidTr="002F32E3">
        <w:trPr>
          <w:cantSplit/>
        </w:trPr>
        <w:tc>
          <w:tcPr>
            <w:tcW w:w="1500" w:type="pct"/>
            <w:shd w:val="clear" w:color="auto" w:fill="auto"/>
          </w:tcPr>
          <w:p w14:paraId="0B3CA5C4" w14:textId="77777777" w:rsidR="00E93F58" w:rsidRPr="00576D60" w:rsidRDefault="00E93F58" w:rsidP="002F32E3">
            <w:pPr>
              <w:pStyle w:val="ENoteTableText"/>
              <w:tabs>
                <w:tab w:val="left" w:leader="dot" w:pos="2268"/>
              </w:tabs>
            </w:pPr>
            <w:r w:rsidRPr="00576D60">
              <w:t>r. 7.7A.12D</w:t>
            </w:r>
            <w:r w:rsidRPr="00576D60">
              <w:tab/>
            </w:r>
          </w:p>
        </w:tc>
        <w:tc>
          <w:tcPr>
            <w:tcW w:w="3500" w:type="pct"/>
            <w:shd w:val="clear" w:color="auto" w:fill="auto"/>
          </w:tcPr>
          <w:p w14:paraId="30B00D32" w14:textId="77777777" w:rsidR="00E93F58" w:rsidRPr="00576D60" w:rsidRDefault="00E93F58" w:rsidP="002F32E3">
            <w:pPr>
              <w:pStyle w:val="ENoteTableText"/>
            </w:pPr>
            <w:r w:rsidRPr="00576D60">
              <w:t>ad. 2012 No. 268</w:t>
            </w:r>
          </w:p>
        </w:tc>
      </w:tr>
      <w:tr w:rsidR="00E93F58" w:rsidRPr="00576D60" w14:paraId="180D299E" w14:textId="77777777" w:rsidTr="002F32E3">
        <w:trPr>
          <w:cantSplit/>
        </w:trPr>
        <w:tc>
          <w:tcPr>
            <w:tcW w:w="1500" w:type="pct"/>
            <w:shd w:val="clear" w:color="auto" w:fill="auto"/>
          </w:tcPr>
          <w:p w14:paraId="5C7F6E9B" w14:textId="77777777" w:rsidR="00E93F58" w:rsidRPr="00576D60" w:rsidRDefault="00E93F58" w:rsidP="002F32E3">
            <w:pPr>
              <w:pStyle w:val="ENoteTableText"/>
            </w:pPr>
          </w:p>
        </w:tc>
        <w:tc>
          <w:tcPr>
            <w:tcW w:w="3500" w:type="pct"/>
            <w:shd w:val="clear" w:color="auto" w:fill="auto"/>
          </w:tcPr>
          <w:p w14:paraId="1FC307C1" w14:textId="77777777" w:rsidR="00E93F58" w:rsidRPr="00576D60" w:rsidRDefault="00E93F58" w:rsidP="002F32E3">
            <w:pPr>
              <w:pStyle w:val="ENoteTableText"/>
            </w:pPr>
            <w:r w:rsidRPr="00576D60">
              <w:t>am. No. 115, 2013; No 102, 2014 (disallowed); No 208, 2014</w:t>
            </w:r>
          </w:p>
        </w:tc>
      </w:tr>
      <w:tr w:rsidR="00E93F58" w:rsidRPr="00576D60" w14:paraId="1B49F5EA" w14:textId="77777777" w:rsidTr="002F32E3">
        <w:trPr>
          <w:cantSplit/>
        </w:trPr>
        <w:tc>
          <w:tcPr>
            <w:tcW w:w="1500" w:type="pct"/>
            <w:shd w:val="clear" w:color="auto" w:fill="auto"/>
          </w:tcPr>
          <w:p w14:paraId="4C025635" w14:textId="77777777" w:rsidR="00E93F58" w:rsidRPr="00576D60" w:rsidRDefault="00E93F58" w:rsidP="002F32E3">
            <w:pPr>
              <w:pStyle w:val="ENoteTableText"/>
              <w:tabs>
                <w:tab w:val="left" w:leader="dot" w:pos="2268"/>
              </w:tabs>
            </w:pPr>
            <w:r w:rsidRPr="00576D60">
              <w:t>r. 7.7A.12E</w:t>
            </w:r>
            <w:r w:rsidRPr="00576D60">
              <w:tab/>
            </w:r>
          </w:p>
        </w:tc>
        <w:tc>
          <w:tcPr>
            <w:tcW w:w="3500" w:type="pct"/>
            <w:shd w:val="clear" w:color="auto" w:fill="auto"/>
          </w:tcPr>
          <w:p w14:paraId="10B217DB" w14:textId="77777777" w:rsidR="00E93F58" w:rsidRPr="00576D60" w:rsidRDefault="00E93F58" w:rsidP="002F32E3">
            <w:pPr>
              <w:pStyle w:val="ENoteTableText"/>
            </w:pPr>
            <w:r w:rsidRPr="00576D60">
              <w:t>ad. 2012 No. 268</w:t>
            </w:r>
          </w:p>
        </w:tc>
      </w:tr>
      <w:tr w:rsidR="00E93F58" w:rsidRPr="00576D60" w14:paraId="6C1C1F0E" w14:textId="77777777" w:rsidTr="002F32E3">
        <w:trPr>
          <w:cantSplit/>
        </w:trPr>
        <w:tc>
          <w:tcPr>
            <w:tcW w:w="1500" w:type="pct"/>
            <w:shd w:val="clear" w:color="auto" w:fill="auto"/>
          </w:tcPr>
          <w:p w14:paraId="7F6BE52D" w14:textId="77777777" w:rsidR="00E93F58" w:rsidRPr="00576D60" w:rsidRDefault="00E93F58" w:rsidP="002F32E3">
            <w:pPr>
              <w:pStyle w:val="ENoteTableText"/>
              <w:tabs>
                <w:tab w:val="left" w:leader="dot" w:pos="2268"/>
              </w:tabs>
            </w:pPr>
            <w:r w:rsidRPr="00576D60">
              <w:t>r. 7.7A.12EA</w:t>
            </w:r>
            <w:r w:rsidRPr="00576D60">
              <w:tab/>
            </w:r>
          </w:p>
        </w:tc>
        <w:tc>
          <w:tcPr>
            <w:tcW w:w="3500" w:type="pct"/>
            <w:shd w:val="clear" w:color="auto" w:fill="auto"/>
          </w:tcPr>
          <w:p w14:paraId="6943E103" w14:textId="77777777" w:rsidR="00E93F58" w:rsidRPr="00576D60" w:rsidRDefault="00E93F58" w:rsidP="002F32E3">
            <w:pPr>
              <w:pStyle w:val="ENoteTableText"/>
            </w:pPr>
            <w:r w:rsidRPr="00576D60">
              <w:t>ad. No. 151, 2013</w:t>
            </w:r>
          </w:p>
        </w:tc>
      </w:tr>
      <w:tr w:rsidR="00E93F58" w:rsidRPr="00576D60" w14:paraId="53B5B66E" w14:textId="77777777" w:rsidTr="002F32E3">
        <w:trPr>
          <w:cantSplit/>
        </w:trPr>
        <w:tc>
          <w:tcPr>
            <w:tcW w:w="1500" w:type="pct"/>
            <w:shd w:val="clear" w:color="auto" w:fill="auto"/>
          </w:tcPr>
          <w:p w14:paraId="0DE05CAB" w14:textId="77777777" w:rsidR="00E93F58" w:rsidRPr="00576D60" w:rsidRDefault="00E93F58" w:rsidP="002F32E3">
            <w:pPr>
              <w:pStyle w:val="ENoteTableText"/>
              <w:tabs>
                <w:tab w:val="left" w:leader="dot" w:pos="2268"/>
              </w:tabs>
              <w:rPr>
                <w:b/>
              </w:rPr>
            </w:pPr>
            <w:r w:rsidRPr="00576D60">
              <w:rPr>
                <w:b/>
              </w:rPr>
              <w:t>Subdivision 3</w:t>
            </w:r>
          </w:p>
        </w:tc>
        <w:tc>
          <w:tcPr>
            <w:tcW w:w="3500" w:type="pct"/>
            <w:shd w:val="clear" w:color="auto" w:fill="auto"/>
          </w:tcPr>
          <w:p w14:paraId="734FB3E8" w14:textId="77777777" w:rsidR="00E93F58" w:rsidRPr="00576D60" w:rsidRDefault="00E93F58" w:rsidP="002F32E3">
            <w:pPr>
              <w:pStyle w:val="ENoteTableText"/>
            </w:pPr>
          </w:p>
        </w:tc>
      </w:tr>
      <w:tr w:rsidR="00E93F58" w:rsidRPr="00576D60" w14:paraId="44AFDFFA" w14:textId="77777777" w:rsidTr="002F32E3">
        <w:trPr>
          <w:cantSplit/>
        </w:trPr>
        <w:tc>
          <w:tcPr>
            <w:tcW w:w="1500" w:type="pct"/>
            <w:shd w:val="clear" w:color="auto" w:fill="auto"/>
          </w:tcPr>
          <w:p w14:paraId="7D246A35" w14:textId="77777777" w:rsidR="00E93F58" w:rsidRPr="00576D60" w:rsidRDefault="00E93F58" w:rsidP="002F32E3">
            <w:pPr>
              <w:pStyle w:val="ENoteTableText"/>
              <w:tabs>
                <w:tab w:val="left" w:leader="dot" w:pos="2268"/>
              </w:tabs>
            </w:pPr>
            <w:r w:rsidRPr="00576D60">
              <w:t>Subdivision 3</w:t>
            </w:r>
            <w:r w:rsidRPr="00576D60">
              <w:tab/>
            </w:r>
          </w:p>
        </w:tc>
        <w:tc>
          <w:tcPr>
            <w:tcW w:w="3500" w:type="pct"/>
            <w:shd w:val="clear" w:color="auto" w:fill="auto"/>
          </w:tcPr>
          <w:p w14:paraId="790B61B2" w14:textId="77777777" w:rsidR="00E93F58" w:rsidRPr="00576D60" w:rsidRDefault="00E93F58" w:rsidP="002F32E3">
            <w:pPr>
              <w:pStyle w:val="ENoteTableText"/>
            </w:pPr>
            <w:r w:rsidRPr="00576D60">
              <w:t>ad F2017L00212</w:t>
            </w:r>
          </w:p>
        </w:tc>
      </w:tr>
      <w:tr w:rsidR="00E93F58" w:rsidRPr="00576D60" w14:paraId="01394C11" w14:textId="77777777" w:rsidTr="002F32E3">
        <w:trPr>
          <w:cantSplit/>
        </w:trPr>
        <w:tc>
          <w:tcPr>
            <w:tcW w:w="1500" w:type="pct"/>
            <w:shd w:val="clear" w:color="auto" w:fill="auto"/>
          </w:tcPr>
          <w:p w14:paraId="2A304C78" w14:textId="77777777" w:rsidR="00E93F58" w:rsidRPr="00576D60" w:rsidRDefault="00E93F58" w:rsidP="002F32E3">
            <w:pPr>
              <w:pStyle w:val="ENoteTableText"/>
              <w:tabs>
                <w:tab w:val="left" w:leader="dot" w:pos="2268"/>
              </w:tabs>
            </w:pPr>
            <w:r w:rsidRPr="00576D60">
              <w:t>r 7.7A.12EB</w:t>
            </w:r>
            <w:r w:rsidRPr="00576D60">
              <w:tab/>
            </w:r>
          </w:p>
        </w:tc>
        <w:tc>
          <w:tcPr>
            <w:tcW w:w="3500" w:type="pct"/>
            <w:shd w:val="clear" w:color="auto" w:fill="auto"/>
          </w:tcPr>
          <w:p w14:paraId="19F2587C" w14:textId="77777777" w:rsidR="00E93F58" w:rsidRPr="00576D60" w:rsidRDefault="00E93F58" w:rsidP="002F32E3">
            <w:pPr>
              <w:pStyle w:val="ENoteTableText"/>
              <w:rPr>
                <w:u w:val="single"/>
              </w:rPr>
            </w:pPr>
            <w:r w:rsidRPr="00576D60">
              <w:t>ad No 102, 2014 (disallowed); F2017L00212</w:t>
            </w:r>
          </w:p>
        </w:tc>
      </w:tr>
      <w:tr w:rsidR="00E93F58" w:rsidRPr="00576D60" w14:paraId="090E78F3" w14:textId="77777777" w:rsidTr="002F32E3">
        <w:trPr>
          <w:cantSplit/>
        </w:trPr>
        <w:tc>
          <w:tcPr>
            <w:tcW w:w="1500" w:type="pct"/>
            <w:shd w:val="clear" w:color="auto" w:fill="auto"/>
          </w:tcPr>
          <w:p w14:paraId="0E27D270" w14:textId="77777777" w:rsidR="00E93F58" w:rsidRPr="00576D60" w:rsidRDefault="00E93F58" w:rsidP="002F32E3">
            <w:pPr>
              <w:pStyle w:val="ENoteTableText"/>
              <w:tabs>
                <w:tab w:val="left" w:leader="dot" w:pos="2268"/>
              </w:tabs>
            </w:pPr>
            <w:r w:rsidRPr="00576D60">
              <w:t>r 7.7A.12EC</w:t>
            </w:r>
            <w:r w:rsidRPr="00576D60">
              <w:tab/>
            </w:r>
          </w:p>
        </w:tc>
        <w:tc>
          <w:tcPr>
            <w:tcW w:w="3500" w:type="pct"/>
            <w:shd w:val="clear" w:color="auto" w:fill="auto"/>
          </w:tcPr>
          <w:p w14:paraId="28C0D740" w14:textId="77777777" w:rsidR="00E93F58" w:rsidRPr="00576D60" w:rsidRDefault="00E93F58" w:rsidP="002F32E3">
            <w:pPr>
              <w:pStyle w:val="ENoteTableText"/>
            </w:pPr>
            <w:r w:rsidRPr="00576D60">
              <w:t>ad No 102, 2014 (disallowed); F2017L00212</w:t>
            </w:r>
          </w:p>
        </w:tc>
      </w:tr>
      <w:tr w:rsidR="00E93F58" w:rsidRPr="00576D60" w14:paraId="6132E43E" w14:textId="77777777" w:rsidTr="002F32E3">
        <w:trPr>
          <w:cantSplit/>
        </w:trPr>
        <w:tc>
          <w:tcPr>
            <w:tcW w:w="1500" w:type="pct"/>
            <w:shd w:val="clear" w:color="auto" w:fill="auto"/>
          </w:tcPr>
          <w:p w14:paraId="0B42B113" w14:textId="77777777" w:rsidR="00E93F58" w:rsidRPr="00576D60" w:rsidRDefault="00E93F58" w:rsidP="00E71EB0">
            <w:pPr>
              <w:pStyle w:val="ENoteTableText"/>
              <w:keepNext/>
              <w:tabs>
                <w:tab w:val="left" w:leader="dot" w:pos="2268"/>
              </w:tabs>
              <w:rPr>
                <w:b/>
              </w:rPr>
            </w:pPr>
            <w:r>
              <w:rPr>
                <w:b/>
              </w:rPr>
              <w:t>Subdivision 4</w:t>
            </w:r>
          </w:p>
        </w:tc>
        <w:tc>
          <w:tcPr>
            <w:tcW w:w="3500" w:type="pct"/>
            <w:shd w:val="clear" w:color="auto" w:fill="auto"/>
          </w:tcPr>
          <w:p w14:paraId="188FD6DF" w14:textId="77777777" w:rsidR="00E93F58" w:rsidRPr="00576D60" w:rsidRDefault="00E93F58" w:rsidP="002F32E3">
            <w:pPr>
              <w:pStyle w:val="ENoteTableText"/>
            </w:pPr>
          </w:p>
        </w:tc>
      </w:tr>
      <w:tr w:rsidR="00E93F58" w:rsidRPr="00576D60" w14:paraId="24CD2F18" w14:textId="77777777" w:rsidTr="002F32E3">
        <w:trPr>
          <w:cantSplit/>
        </w:trPr>
        <w:tc>
          <w:tcPr>
            <w:tcW w:w="1500" w:type="pct"/>
            <w:shd w:val="clear" w:color="auto" w:fill="auto"/>
          </w:tcPr>
          <w:p w14:paraId="786AFBB2" w14:textId="77777777" w:rsidR="00E93F58" w:rsidRPr="00576D60" w:rsidRDefault="00E93F58" w:rsidP="002F32E3">
            <w:pPr>
              <w:pStyle w:val="ENoteTableText"/>
              <w:tabs>
                <w:tab w:val="left" w:leader="dot" w:pos="2268"/>
              </w:tabs>
            </w:pPr>
            <w:r>
              <w:t>Subdivision 2</w:t>
            </w:r>
            <w:r w:rsidRPr="00576D60">
              <w:t xml:space="preserve"> heading</w:t>
            </w:r>
            <w:r w:rsidRPr="00576D60">
              <w:tab/>
            </w:r>
          </w:p>
        </w:tc>
        <w:tc>
          <w:tcPr>
            <w:tcW w:w="3500" w:type="pct"/>
            <w:shd w:val="clear" w:color="auto" w:fill="auto"/>
          </w:tcPr>
          <w:p w14:paraId="3B46C3AA" w14:textId="77777777" w:rsidR="00E93F58" w:rsidRPr="00576D60" w:rsidRDefault="00E93F58" w:rsidP="002F32E3">
            <w:pPr>
              <w:pStyle w:val="ENoteTableText"/>
            </w:pPr>
            <w:r w:rsidRPr="00576D60">
              <w:t>rs and renum F2017L00212</w:t>
            </w:r>
          </w:p>
        </w:tc>
      </w:tr>
      <w:tr w:rsidR="00E93F58" w:rsidRPr="00576D60" w14:paraId="657464D4" w14:textId="77777777" w:rsidTr="002F32E3">
        <w:trPr>
          <w:cantSplit/>
        </w:trPr>
        <w:tc>
          <w:tcPr>
            <w:tcW w:w="1500" w:type="pct"/>
            <w:shd w:val="clear" w:color="auto" w:fill="auto"/>
          </w:tcPr>
          <w:p w14:paraId="6E94797E" w14:textId="77777777" w:rsidR="00E93F58" w:rsidRPr="00576D60" w:rsidRDefault="00E93F58" w:rsidP="002F32E3">
            <w:pPr>
              <w:pStyle w:val="ENoteTableText"/>
              <w:tabs>
                <w:tab w:val="left" w:leader="dot" w:pos="2268"/>
              </w:tabs>
            </w:pPr>
            <w:r>
              <w:t>Subdivision 4</w:t>
            </w:r>
            <w:r w:rsidRPr="00576D60">
              <w:t xml:space="preserve"> heading (prev</w:t>
            </w:r>
            <w:r w:rsidRPr="00576D60">
              <w:br/>
            </w:r>
            <w:r>
              <w:t>Subdivision 2</w:t>
            </w:r>
            <w:r w:rsidRPr="00576D60">
              <w:t xml:space="preserve"> heading)</w:t>
            </w:r>
          </w:p>
        </w:tc>
        <w:tc>
          <w:tcPr>
            <w:tcW w:w="3500" w:type="pct"/>
            <w:shd w:val="clear" w:color="auto" w:fill="auto"/>
          </w:tcPr>
          <w:p w14:paraId="5105C571" w14:textId="77777777" w:rsidR="00E93F58" w:rsidRPr="00576D60" w:rsidRDefault="00E93F58" w:rsidP="002F32E3">
            <w:pPr>
              <w:pStyle w:val="ENoteTableText"/>
            </w:pPr>
          </w:p>
        </w:tc>
      </w:tr>
      <w:tr w:rsidR="00E93F58" w:rsidRPr="00576D60" w14:paraId="601EDAA8" w14:textId="77777777" w:rsidTr="002F32E3">
        <w:trPr>
          <w:cantSplit/>
        </w:trPr>
        <w:tc>
          <w:tcPr>
            <w:tcW w:w="1500" w:type="pct"/>
            <w:shd w:val="clear" w:color="auto" w:fill="auto"/>
          </w:tcPr>
          <w:p w14:paraId="3D4CFE9E" w14:textId="77777777" w:rsidR="00E93F58" w:rsidRPr="00576D60" w:rsidRDefault="00E93F58" w:rsidP="002F32E3">
            <w:pPr>
              <w:pStyle w:val="ENoteTableText"/>
              <w:tabs>
                <w:tab w:val="left" w:leader="dot" w:pos="2268"/>
              </w:tabs>
            </w:pPr>
            <w:r>
              <w:t>Subdivision 2</w:t>
            </w:r>
            <w:r w:rsidRPr="00576D60">
              <w:tab/>
            </w:r>
          </w:p>
        </w:tc>
        <w:tc>
          <w:tcPr>
            <w:tcW w:w="3500" w:type="pct"/>
            <w:shd w:val="clear" w:color="auto" w:fill="auto"/>
          </w:tcPr>
          <w:p w14:paraId="4DD0D8ED" w14:textId="77777777" w:rsidR="00E93F58" w:rsidRPr="00576D60" w:rsidRDefault="00E93F58" w:rsidP="002F32E3">
            <w:pPr>
              <w:pStyle w:val="ENoteTableText"/>
            </w:pPr>
            <w:r w:rsidRPr="00576D60">
              <w:t>ad. 2012 No. 268</w:t>
            </w:r>
          </w:p>
        </w:tc>
      </w:tr>
      <w:tr w:rsidR="00E93F58" w:rsidRPr="00576D60" w14:paraId="3282A610" w14:textId="77777777" w:rsidTr="002F32E3">
        <w:trPr>
          <w:cantSplit/>
        </w:trPr>
        <w:tc>
          <w:tcPr>
            <w:tcW w:w="1500" w:type="pct"/>
            <w:shd w:val="clear" w:color="auto" w:fill="auto"/>
          </w:tcPr>
          <w:p w14:paraId="1AB741B7" w14:textId="77777777" w:rsidR="00E93F58" w:rsidRPr="00576D60" w:rsidRDefault="00E93F58" w:rsidP="002F32E3">
            <w:pPr>
              <w:pStyle w:val="ENoteTableText"/>
              <w:tabs>
                <w:tab w:val="left" w:leader="dot" w:pos="2268"/>
              </w:tabs>
            </w:pPr>
            <w:r w:rsidRPr="00576D60">
              <w:t>r 7.7A.12F</w:t>
            </w:r>
            <w:r w:rsidRPr="00576D60">
              <w:tab/>
            </w:r>
          </w:p>
        </w:tc>
        <w:tc>
          <w:tcPr>
            <w:tcW w:w="3500" w:type="pct"/>
            <w:shd w:val="clear" w:color="auto" w:fill="auto"/>
          </w:tcPr>
          <w:p w14:paraId="0360C56D" w14:textId="77777777" w:rsidR="00E93F58" w:rsidRPr="00576D60" w:rsidRDefault="00E93F58" w:rsidP="002F32E3">
            <w:pPr>
              <w:pStyle w:val="ENoteTableText"/>
            </w:pPr>
            <w:r w:rsidRPr="00576D60">
              <w:t>ad</w:t>
            </w:r>
            <w:r>
              <w:t xml:space="preserve"> No 268, 2012</w:t>
            </w:r>
          </w:p>
        </w:tc>
      </w:tr>
      <w:tr w:rsidR="00E93F58" w:rsidRPr="00576D60" w14:paraId="4C74366A" w14:textId="77777777" w:rsidTr="002F32E3">
        <w:trPr>
          <w:cantSplit/>
        </w:trPr>
        <w:tc>
          <w:tcPr>
            <w:tcW w:w="1500" w:type="pct"/>
            <w:shd w:val="clear" w:color="auto" w:fill="auto"/>
          </w:tcPr>
          <w:p w14:paraId="592987E1" w14:textId="77777777" w:rsidR="00E93F58" w:rsidRPr="00576D60" w:rsidRDefault="00E93F58" w:rsidP="002F32E3">
            <w:pPr>
              <w:pStyle w:val="ENoteTableText"/>
              <w:tabs>
                <w:tab w:val="left" w:leader="dot" w:pos="2268"/>
              </w:tabs>
            </w:pPr>
          </w:p>
        </w:tc>
        <w:tc>
          <w:tcPr>
            <w:tcW w:w="3500" w:type="pct"/>
            <w:shd w:val="clear" w:color="auto" w:fill="auto"/>
          </w:tcPr>
          <w:p w14:paraId="294EBB4D" w14:textId="77777777" w:rsidR="00E93F58" w:rsidRPr="00576D60" w:rsidRDefault="00E93F58" w:rsidP="002F32E3">
            <w:pPr>
              <w:pStyle w:val="ENoteTableText"/>
            </w:pPr>
            <w:r>
              <w:t>am F2023L01458</w:t>
            </w:r>
          </w:p>
        </w:tc>
      </w:tr>
      <w:tr w:rsidR="00E93F58" w:rsidRPr="00576D60" w14:paraId="549A9CD0" w14:textId="77777777" w:rsidTr="002F32E3">
        <w:trPr>
          <w:cantSplit/>
        </w:trPr>
        <w:tc>
          <w:tcPr>
            <w:tcW w:w="1500" w:type="pct"/>
            <w:shd w:val="clear" w:color="auto" w:fill="auto"/>
          </w:tcPr>
          <w:p w14:paraId="21585840" w14:textId="77777777" w:rsidR="00E93F58" w:rsidRPr="00576D60" w:rsidRDefault="00E93F58" w:rsidP="002F32E3">
            <w:pPr>
              <w:pStyle w:val="ENoteTableText"/>
              <w:tabs>
                <w:tab w:val="left" w:leader="dot" w:pos="2268"/>
              </w:tabs>
            </w:pPr>
            <w:r w:rsidRPr="00576D60">
              <w:t>r 7.7A.12FA</w:t>
            </w:r>
            <w:r w:rsidRPr="00576D60">
              <w:tab/>
            </w:r>
          </w:p>
        </w:tc>
        <w:tc>
          <w:tcPr>
            <w:tcW w:w="3500" w:type="pct"/>
            <w:shd w:val="clear" w:color="auto" w:fill="auto"/>
          </w:tcPr>
          <w:p w14:paraId="553E5DA0" w14:textId="77777777" w:rsidR="00E93F58" w:rsidRPr="00576D60" w:rsidRDefault="00E93F58" w:rsidP="002F32E3">
            <w:pPr>
              <w:pStyle w:val="ENoteTableText"/>
            </w:pPr>
            <w:r w:rsidRPr="00576D60">
              <w:t>ad No 102, 2014 (disallowed)</w:t>
            </w:r>
          </w:p>
        </w:tc>
      </w:tr>
      <w:tr w:rsidR="00E93F58" w:rsidRPr="00576D60" w14:paraId="34CFA405" w14:textId="77777777" w:rsidTr="002F32E3">
        <w:trPr>
          <w:cantSplit/>
        </w:trPr>
        <w:tc>
          <w:tcPr>
            <w:tcW w:w="1500" w:type="pct"/>
            <w:shd w:val="clear" w:color="auto" w:fill="auto"/>
          </w:tcPr>
          <w:p w14:paraId="4A7EC1A9" w14:textId="77777777" w:rsidR="00E93F58" w:rsidRPr="00576D60" w:rsidRDefault="00E93F58" w:rsidP="002F32E3">
            <w:pPr>
              <w:pStyle w:val="ENoteTableText"/>
              <w:tabs>
                <w:tab w:val="left" w:leader="dot" w:pos="2268"/>
              </w:tabs>
            </w:pPr>
            <w:r w:rsidRPr="00576D60">
              <w:t>r. 7.7A.12G</w:t>
            </w:r>
            <w:r w:rsidRPr="00576D60">
              <w:tab/>
            </w:r>
          </w:p>
        </w:tc>
        <w:tc>
          <w:tcPr>
            <w:tcW w:w="3500" w:type="pct"/>
            <w:shd w:val="clear" w:color="auto" w:fill="auto"/>
          </w:tcPr>
          <w:p w14:paraId="7BD85206" w14:textId="77777777" w:rsidR="00E93F58" w:rsidRPr="00576D60" w:rsidRDefault="00E93F58" w:rsidP="002F32E3">
            <w:pPr>
              <w:pStyle w:val="ENoteTableText"/>
            </w:pPr>
            <w:r w:rsidRPr="00576D60">
              <w:t>ad. 2012 No. 268</w:t>
            </w:r>
          </w:p>
        </w:tc>
      </w:tr>
      <w:tr w:rsidR="00E93F58" w:rsidRPr="00576D60" w14:paraId="552B5FD7" w14:textId="77777777" w:rsidTr="002F32E3">
        <w:trPr>
          <w:cantSplit/>
        </w:trPr>
        <w:tc>
          <w:tcPr>
            <w:tcW w:w="1500" w:type="pct"/>
            <w:shd w:val="clear" w:color="auto" w:fill="auto"/>
          </w:tcPr>
          <w:p w14:paraId="1CD426C4" w14:textId="77777777" w:rsidR="00E93F58" w:rsidRPr="00576D60" w:rsidRDefault="00E93F58" w:rsidP="002F32E3">
            <w:pPr>
              <w:pStyle w:val="ENoteTableText"/>
              <w:tabs>
                <w:tab w:val="left" w:leader="dot" w:pos="2268"/>
              </w:tabs>
            </w:pPr>
            <w:r w:rsidRPr="00576D60">
              <w:t>r. 7.7A.12H</w:t>
            </w:r>
            <w:r w:rsidRPr="00576D60">
              <w:tab/>
            </w:r>
          </w:p>
        </w:tc>
        <w:tc>
          <w:tcPr>
            <w:tcW w:w="3500" w:type="pct"/>
            <w:shd w:val="clear" w:color="auto" w:fill="auto"/>
          </w:tcPr>
          <w:p w14:paraId="11DFE39B" w14:textId="77777777" w:rsidR="00E93F58" w:rsidRPr="00576D60" w:rsidRDefault="00E93F58" w:rsidP="002F32E3">
            <w:pPr>
              <w:pStyle w:val="ENoteTableText"/>
            </w:pPr>
            <w:r w:rsidRPr="00576D60">
              <w:t>ad. 2012 No. 268</w:t>
            </w:r>
          </w:p>
        </w:tc>
      </w:tr>
      <w:tr w:rsidR="00E93F58" w:rsidRPr="00576D60" w14:paraId="0AC18E39" w14:textId="77777777" w:rsidTr="002F32E3">
        <w:trPr>
          <w:cantSplit/>
        </w:trPr>
        <w:tc>
          <w:tcPr>
            <w:tcW w:w="1500" w:type="pct"/>
            <w:shd w:val="clear" w:color="auto" w:fill="auto"/>
          </w:tcPr>
          <w:p w14:paraId="7C088D39" w14:textId="77777777" w:rsidR="00E93F58" w:rsidRPr="00576D60" w:rsidRDefault="00E93F58" w:rsidP="002F32E3">
            <w:pPr>
              <w:pStyle w:val="ENoteTableText"/>
              <w:tabs>
                <w:tab w:val="left" w:leader="dot" w:pos="2268"/>
              </w:tabs>
            </w:pPr>
          </w:p>
        </w:tc>
        <w:tc>
          <w:tcPr>
            <w:tcW w:w="3500" w:type="pct"/>
            <w:shd w:val="clear" w:color="auto" w:fill="auto"/>
          </w:tcPr>
          <w:p w14:paraId="6F1EC6E7" w14:textId="77777777" w:rsidR="00E93F58" w:rsidRPr="00576D60" w:rsidRDefault="00E93F58" w:rsidP="002F32E3">
            <w:pPr>
              <w:pStyle w:val="ENoteTableText"/>
            </w:pPr>
            <w:r w:rsidRPr="00576D60">
              <w:t>am No 102, 2014 (disallowed); No 108, 2015</w:t>
            </w:r>
          </w:p>
        </w:tc>
      </w:tr>
      <w:tr w:rsidR="00E93F58" w:rsidRPr="00576D60" w14:paraId="7D995FC5" w14:textId="77777777" w:rsidTr="002F32E3">
        <w:trPr>
          <w:cantSplit/>
        </w:trPr>
        <w:tc>
          <w:tcPr>
            <w:tcW w:w="1500" w:type="pct"/>
            <w:shd w:val="clear" w:color="auto" w:fill="auto"/>
          </w:tcPr>
          <w:p w14:paraId="3E79CF63" w14:textId="77777777" w:rsidR="00E93F58" w:rsidRPr="00576D60" w:rsidRDefault="00E93F58" w:rsidP="002F32E3">
            <w:pPr>
              <w:pStyle w:val="ENoteTableText"/>
              <w:tabs>
                <w:tab w:val="left" w:leader="dot" w:pos="2268"/>
              </w:tabs>
            </w:pPr>
            <w:r w:rsidRPr="00576D60">
              <w:t>r. 7.7A.12I</w:t>
            </w:r>
            <w:r w:rsidRPr="00576D60">
              <w:tab/>
            </w:r>
          </w:p>
        </w:tc>
        <w:tc>
          <w:tcPr>
            <w:tcW w:w="3500" w:type="pct"/>
            <w:shd w:val="clear" w:color="auto" w:fill="auto"/>
          </w:tcPr>
          <w:p w14:paraId="6215E905" w14:textId="77777777" w:rsidR="00E93F58" w:rsidRPr="00576D60" w:rsidRDefault="00E93F58" w:rsidP="002F32E3">
            <w:pPr>
              <w:pStyle w:val="ENoteTableText"/>
            </w:pPr>
            <w:r w:rsidRPr="00576D60">
              <w:t>ad. 2012 No. 268</w:t>
            </w:r>
          </w:p>
        </w:tc>
      </w:tr>
      <w:tr w:rsidR="00E93F58" w:rsidRPr="00576D60" w14:paraId="39592E94" w14:textId="77777777" w:rsidTr="002F32E3">
        <w:trPr>
          <w:cantSplit/>
        </w:trPr>
        <w:tc>
          <w:tcPr>
            <w:tcW w:w="1500" w:type="pct"/>
            <w:shd w:val="clear" w:color="auto" w:fill="auto"/>
          </w:tcPr>
          <w:p w14:paraId="7FFC0B8A" w14:textId="77777777" w:rsidR="00E93F58" w:rsidRPr="00576D60" w:rsidRDefault="00E93F58" w:rsidP="002F32E3">
            <w:pPr>
              <w:pStyle w:val="ENoteTableText"/>
              <w:tabs>
                <w:tab w:val="left" w:leader="dot" w:pos="2268"/>
              </w:tabs>
            </w:pPr>
          </w:p>
        </w:tc>
        <w:tc>
          <w:tcPr>
            <w:tcW w:w="3500" w:type="pct"/>
            <w:shd w:val="clear" w:color="auto" w:fill="auto"/>
          </w:tcPr>
          <w:p w14:paraId="03539A75" w14:textId="77777777" w:rsidR="00E93F58" w:rsidRPr="00576D60" w:rsidRDefault="00E93F58" w:rsidP="002F32E3">
            <w:pPr>
              <w:pStyle w:val="ENoteTableText"/>
            </w:pPr>
            <w:r w:rsidRPr="00576D60">
              <w:t>am No 102, 2014 (disallowed)</w:t>
            </w:r>
          </w:p>
        </w:tc>
      </w:tr>
      <w:tr w:rsidR="00E93F58" w:rsidRPr="00576D60" w14:paraId="688D336B" w14:textId="77777777" w:rsidTr="002F32E3">
        <w:trPr>
          <w:cantSplit/>
        </w:trPr>
        <w:tc>
          <w:tcPr>
            <w:tcW w:w="1500" w:type="pct"/>
            <w:shd w:val="clear" w:color="auto" w:fill="auto"/>
          </w:tcPr>
          <w:p w14:paraId="2D5CC6D3" w14:textId="77777777" w:rsidR="00E93F58" w:rsidRPr="00576D60" w:rsidRDefault="00E93F58" w:rsidP="002F32E3">
            <w:pPr>
              <w:pStyle w:val="ENoteTableText"/>
              <w:tabs>
                <w:tab w:val="left" w:leader="dot" w:pos="2268"/>
              </w:tabs>
            </w:pPr>
            <w:r w:rsidRPr="00576D60">
              <w:lastRenderedPageBreak/>
              <w:t>r 7.7A.12J</w:t>
            </w:r>
            <w:r w:rsidRPr="00576D60">
              <w:tab/>
            </w:r>
          </w:p>
        </w:tc>
        <w:tc>
          <w:tcPr>
            <w:tcW w:w="3500" w:type="pct"/>
            <w:shd w:val="clear" w:color="auto" w:fill="auto"/>
          </w:tcPr>
          <w:p w14:paraId="5B445C13" w14:textId="77777777" w:rsidR="00E93F58" w:rsidRPr="00576D60" w:rsidRDefault="00E93F58" w:rsidP="002F32E3">
            <w:pPr>
              <w:pStyle w:val="ENoteTableText"/>
            </w:pPr>
            <w:r w:rsidRPr="00576D60">
              <w:t>ad No 102, 2014 (disallowed)</w:t>
            </w:r>
          </w:p>
        </w:tc>
      </w:tr>
      <w:tr w:rsidR="00E93F58" w:rsidRPr="00576D60" w14:paraId="6DD3BD46" w14:textId="77777777" w:rsidTr="002F32E3">
        <w:trPr>
          <w:cantSplit/>
        </w:trPr>
        <w:tc>
          <w:tcPr>
            <w:tcW w:w="1500" w:type="pct"/>
            <w:shd w:val="clear" w:color="auto" w:fill="auto"/>
          </w:tcPr>
          <w:p w14:paraId="0BFA8D01" w14:textId="77777777" w:rsidR="00E93F58" w:rsidRPr="00576D60" w:rsidRDefault="00E93F58" w:rsidP="002F32E3">
            <w:pPr>
              <w:pStyle w:val="ENoteTableText"/>
              <w:tabs>
                <w:tab w:val="left" w:leader="dot" w:pos="2268"/>
              </w:tabs>
            </w:pPr>
            <w:r w:rsidRPr="00576D60">
              <w:t>r. 7.7A.13</w:t>
            </w:r>
            <w:r w:rsidRPr="00576D60">
              <w:tab/>
            </w:r>
          </w:p>
        </w:tc>
        <w:tc>
          <w:tcPr>
            <w:tcW w:w="3500" w:type="pct"/>
            <w:shd w:val="clear" w:color="auto" w:fill="auto"/>
          </w:tcPr>
          <w:p w14:paraId="26001FE1" w14:textId="77777777" w:rsidR="00E93F58" w:rsidRPr="00576D60" w:rsidRDefault="00E93F58" w:rsidP="002F32E3">
            <w:pPr>
              <w:pStyle w:val="ENoteTableText"/>
            </w:pPr>
            <w:r w:rsidRPr="00576D60">
              <w:t>ad. 2012 No. 170</w:t>
            </w:r>
          </w:p>
        </w:tc>
      </w:tr>
      <w:tr w:rsidR="00E93F58" w:rsidRPr="00576D60" w14:paraId="1DAD7361" w14:textId="77777777" w:rsidTr="002F32E3">
        <w:trPr>
          <w:cantSplit/>
        </w:trPr>
        <w:tc>
          <w:tcPr>
            <w:tcW w:w="1500" w:type="pct"/>
            <w:shd w:val="clear" w:color="auto" w:fill="auto"/>
          </w:tcPr>
          <w:p w14:paraId="6F110BA8" w14:textId="77777777" w:rsidR="00E93F58" w:rsidRPr="00576D60" w:rsidRDefault="00E93F58" w:rsidP="002F32E3">
            <w:pPr>
              <w:pStyle w:val="ENoteTableText"/>
              <w:tabs>
                <w:tab w:val="left" w:leader="dot" w:pos="2268"/>
              </w:tabs>
            </w:pPr>
            <w:r w:rsidRPr="00576D60">
              <w:t>r. 7.7A.14</w:t>
            </w:r>
            <w:r w:rsidRPr="00576D60">
              <w:tab/>
            </w:r>
          </w:p>
        </w:tc>
        <w:tc>
          <w:tcPr>
            <w:tcW w:w="3500" w:type="pct"/>
            <w:shd w:val="clear" w:color="auto" w:fill="auto"/>
          </w:tcPr>
          <w:p w14:paraId="7BF91527" w14:textId="77777777" w:rsidR="00E93F58" w:rsidRPr="00576D60" w:rsidRDefault="00E93F58" w:rsidP="002F32E3">
            <w:pPr>
              <w:pStyle w:val="ENoteTableText"/>
            </w:pPr>
            <w:r w:rsidRPr="00576D60">
              <w:t>ad. 2012 No. 170</w:t>
            </w:r>
          </w:p>
        </w:tc>
      </w:tr>
      <w:tr w:rsidR="00E93F58" w:rsidRPr="00576D60" w14:paraId="551D2C20" w14:textId="77777777" w:rsidTr="002F32E3">
        <w:trPr>
          <w:cantSplit/>
        </w:trPr>
        <w:tc>
          <w:tcPr>
            <w:tcW w:w="1500" w:type="pct"/>
            <w:shd w:val="clear" w:color="auto" w:fill="auto"/>
          </w:tcPr>
          <w:p w14:paraId="22300D9B" w14:textId="77777777" w:rsidR="00E93F58" w:rsidRPr="00576D60" w:rsidRDefault="00E93F58" w:rsidP="002F32E3">
            <w:pPr>
              <w:pStyle w:val="ENoteTableText"/>
              <w:tabs>
                <w:tab w:val="left" w:leader="dot" w:pos="2268"/>
              </w:tabs>
            </w:pPr>
            <w:r w:rsidRPr="00576D60">
              <w:t>r. 7.7A.15</w:t>
            </w:r>
            <w:r w:rsidRPr="00576D60">
              <w:tab/>
            </w:r>
          </w:p>
        </w:tc>
        <w:tc>
          <w:tcPr>
            <w:tcW w:w="3500" w:type="pct"/>
            <w:shd w:val="clear" w:color="auto" w:fill="auto"/>
          </w:tcPr>
          <w:p w14:paraId="2886C415" w14:textId="77777777" w:rsidR="00E93F58" w:rsidRPr="00576D60" w:rsidRDefault="00E93F58" w:rsidP="002F32E3">
            <w:pPr>
              <w:pStyle w:val="ENoteTableText"/>
            </w:pPr>
            <w:r w:rsidRPr="00576D60">
              <w:t>ad. 2012 No. 170</w:t>
            </w:r>
          </w:p>
        </w:tc>
      </w:tr>
      <w:tr w:rsidR="00E93F58" w:rsidRPr="00576D60" w14:paraId="18A64913" w14:textId="77777777" w:rsidTr="002F32E3">
        <w:trPr>
          <w:cantSplit/>
        </w:trPr>
        <w:tc>
          <w:tcPr>
            <w:tcW w:w="1500" w:type="pct"/>
            <w:shd w:val="clear" w:color="auto" w:fill="auto"/>
          </w:tcPr>
          <w:p w14:paraId="5B32A0F0" w14:textId="77777777" w:rsidR="00E93F58" w:rsidRPr="00576D60" w:rsidRDefault="00E93F58" w:rsidP="002F32E3">
            <w:pPr>
              <w:pStyle w:val="ENoteTableText"/>
              <w:tabs>
                <w:tab w:val="left" w:leader="dot" w:pos="2268"/>
              </w:tabs>
            </w:pPr>
            <w:r w:rsidRPr="00576D60">
              <w:t>r 7.7A.15A</w:t>
            </w:r>
            <w:r w:rsidRPr="00576D60">
              <w:tab/>
            </w:r>
          </w:p>
        </w:tc>
        <w:tc>
          <w:tcPr>
            <w:tcW w:w="3500" w:type="pct"/>
            <w:shd w:val="clear" w:color="auto" w:fill="auto"/>
          </w:tcPr>
          <w:p w14:paraId="405504CF" w14:textId="77777777" w:rsidR="00E93F58" w:rsidRPr="00576D60" w:rsidRDefault="00E93F58" w:rsidP="002F32E3">
            <w:pPr>
              <w:pStyle w:val="ENoteTableText"/>
            </w:pPr>
            <w:r w:rsidRPr="00576D60">
              <w:t>ad No 102, 2014 (disallowed); No 208, 2014</w:t>
            </w:r>
          </w:p>
        </w:tc>
      </w:tr>
      <w:tr w:rsidR="00E93F58" w:rsidRPr="00576D60" w14:paraId="74E4FFD3" w14:textId="77777777" w:rsidTr="002F32E3">
        <w:trPr>
          <w:cantSplit/>
        </w:trPr>
        <w:tc>
          <w:tcPr>
            <w:tcW w:w="1500" w:type="pct"/>
            <w:shd w:val="clear" w:color="auto" w:fill="auto"/>
          </w:tcPr>
          <w:p w14:paraId="3E4E2981" w14:textId="77777777" w:rsidR="00E93F58" w:rsidRPr="00576D60" w:rsidRDefault="00E93F58" w:rsidP="002F32E3">
            <w:pPr>
              <w:pStyle w:val="ENoteTableText"/>
              <w:tabs>
                <w:tab w:val="left" w:leader="dot" w:pos="2268"/>
              </w:tabs>
            </w:pPr>
          </w:p>
        </w:tc>
        <w:tc>
          <w:tcPr>
            <w:tcW w:w="3500" w:type="pct"/>
            <w:shd w:val="clear" w:color="auto" w:fill="auto"/>
          </w:tcPr>
          <w:p w14:paraId="579B1E44" w14:textId="77777777" w:rsidR="00E93F58" w:rsidRPr="00576D60" w:rsidRDefault="00E93F58" w:rsidP="002F32E3">
            <w:pPr>
              <w:pStyle w:val="ENoteTableText"/>
            </w:pPr>
            <w:r>
              <w:t>am F2023L01458</w:t>
            </w:r>
          </w:p>
        </w:tc>
      </w:tr>
      <w:tr w:rsidR="00E93F58" w:rsidRPr="00576D60" w14:paraId="61F92F6B" w14:textId="77777777" w:rsidTr="002F32E3">
        <w:trPr>
          <w:cantSplit/>
        </w:trPr>
        <w:tc>
          <w:tcPr>
            <w:tcW w:w="1500" w:type="pct"/>
            <w:shd w:val="clear" w:color="auto" w:fill="auto"/>
          </w:tcPr>
          <w:p w14:paraId="10373BCA" w14:textId="77777777" w:rsidR="00E93F58" w:rsidRPr="00576D60" w:rsidRDefault="00E93F58" w:rsidP="00646DCE">
            <w:pPr>
              <w:pStyle w:val="ENoteTableText"/>
              <w:keepNext/>
              <w:tabs>
                <w:tab w:val="left" w:leader="dot" w:pos="2268"/>
              </w:tabs>
              <w:rPr>
                <w:b/>
              </w:rPr>
            </w:pPr>
            <w:r>
              <w:rPr>
                <w:b/>
              </w:rPr>
              <w:t>Subdivision 4</w:t>
            </w:r>
            <w:r w:rsidRPr="00576D60">
              <w:rPr>
                <w:b/>
              </w:rPr>
              <w:t>A</w:t>
            </w:r>
          </w:p>
        </w:tc>
        <w:tc>
          <w:tcPr>
            <w:tcW w:w="3500" w:type="pct"/>
            <w:shd w:val="clear" w:color="auto" w:fill="auto"/>
          </w:tcPr>
          <w:p w14:paraId="31FD6ADB" w14:textId="77777777" w:rsidR="00E93F58" w:rsidRPr="00576D60" w:rsidRDefault="00E93F58" w:rsidP="002F32E3">
            <w:pPr>
              <w:pStyle w:val="ENoteTableText"/>
            </w:pPr>
          </w:p>
        </w:tc>
      </w:tr>
      <w:tr w:rsidR="00E93F58" w:rsidRPr="00576D60" w14:paraId="77A14410" w14:textId="77777777" w:rsidTr="002F32E3">
        <w:trPr>
          <w:cantSplit/>
        </w:trPr>
        <w:tc>
          <w:tcPr>
            <w:tcW w:w="1500" w:type="pct"/>
            <w:shd w:val="clear" w:color="auto" w:fill="auto"/>
          </w:tcPr>
          <w:p w14:paraId="2F9D103C" w14:textId="77777777" w:rsidR="00E93F58" w:rsidRPr="00576D60" w:rsidRDefault="00E93F58" w:rsidP="002F32E3">
            <w:pPr>
              <w:pStyle w:val="ENoteTableText"/>
              <w:tabs>
                <w:tab w:val="left" w:leader="dot" w:pos="2268"/>
              </w:tabs>
            </w:pPr>
            <w:r>
              <w:t>Subdivision 4</w:t>
            </w:r>
            <w:r w:rsidRPr="00576D60">
              <w:t>A</w:t>
            </w:r>
            <w:r w:rsidRPr="00576D60">
              <w:tab/>
            </w:r>
          </w:p>
        </w:tc>
        <w:tc>
          <w:tcPr>
            <w:tcW w:w="3500" w:type="pct"/>
            <w:shd w:val="clear" w:color="auto" w:fill="auto"/>
          </w:tcPr>
          <w:p w14:paraId="3784AB02" w14:textId="77777777" w:rsidR="00E93F58" w:rsidRPr="00576D60" w:rsidRDefault="00E93F58" w:rsidP="002F32E3">
            <w:pPr>
              <w:pStyle w:val="ENoteTableText"/>
            </w:pPr>
            <w:r w:rsidRPr="00576D60">
              <w:t>ad F2019L01526</w:t>
            </w:r>
          </w:p>
        </w:tc>
      </w:tr>
      <w:tr w:rsidR="00E93F58" w:rsidRPr="00576D60" w14:paraId="0B3F5B1F" w14:textId="77777777" w:rsidTr="002F32E3">
        <w:trPr>
          <w:cantSplit/>
        </w:trPr>
        <w:tc>
          <w:tcPr>
            <w:tcW w:w="1500" w:type="pct"/>
            <w:shd w:val="clear" w:color="auto" w:fill="auto"/>
          </w:tcPr>
          <w:p w14:paraId="00BD1FF0" w14:textId="77777777" w:rsidR="00E93F58" w:rsidRPr="00576D60" w:rsidRDefault="00E93F58" w:rsidP="002F32E3">
            <w:pPr>
              <w:pStyle w:val="ENoteTableText"/>
              <w:tabs>
                <w:tab w:val="left" w:leader="dot" w:pos="2268"/>
              </w:tabs>
            </w:pPr>
            <w:r w:rsidRPr="00576D60">
              <w:t>r 7.7A.15AJ</w:t>
            </w:r>
            <w:r w:rsidRPr="00576D60">
              <w:tab/>
            </w:r>
          </w:p>
        </w:tc>
        <w:tc>
          <w:tcPr>
            <w:tcW w:w="3500" w:type="pct"/>
            <w:shd w:val="clear" w:color="auto" w:fill="auto"/>
          </w:tcPr>
          <w:p w14:paraId="727EF30E" w14:textId="77777777" w:rsidR="00E93F58" w:rsidRPr="00576D60" w:rsidRDefault="00E93F58" w:rsidP="002F32E3">
            <w:pPr>
              <w:pStyle w:val="ENoteTableText"/>
            </w:pPr>
            <w:r w:rsidRPr="00576D60">
              <w:t>ad F2019L01526</w:t>
            </w:r>
          </w:p>
        </w:tc>
      </w:tr>
      <w:tr w:rsidR="00E93F58" w:rsidRPr="00576D60" w14:paraId="596C0237" w14:textId="77777777" w:rsidTr="002F32E3">
        <w:trPr>
          <w:cantSplit/>
        </w:trPr>
        <w:tc>
          <w:tcPr>
            <w:tcW w:w="1500" w:type="pct"/>
            <w:shd w:val="clear" w:color="auto" w:fill="auto"/>
          </w:tcPr>
          <w:p w14:paraId="18977D05" w14:textId="77777777" w:rsidR="00E93F58" w:rsidRPr="00576D60" w:rsidRDefault="00E93F58" w:rsidP="002F32E3">
            <w:pPr>
              <w:pStyle w:val="ENoteTableText"/>
              <w:tabs>
                <w:tab w:val="left" w:leader="dot" w:pos="2268"/>
              </w:tabs>
            </w:pPr>
            <w:r w:rsidRPr="00576D60">
              <w:t>r 7.7A.15AK</w:t>
            </w:r>
            <w:r w:rsidRPr="00576D60">
              <w:tab/>
            </w:r>
          </w:p>
        </w:tc>
        <w:tc>
          <w:tcPr>
            <w:tcW w:w="3500" w:type="pct"/>
            <w:shd w:val="clear" w:color="auto" w:fill="auto"/>
          </w:tcPr>
          <w:p w14:paraId="06A3EA9B" w14:textId="77777777" w:rsidR="00E93F58" w:rsidRPr="00576D60" w:rsidRDefault="00E93F58" w:rsidP="002F32E3">
            <w:pPr>
              <w:pStyle w:val="ENoteTableText"/>
            </w:pPr>
            <w:r w:rsidRPr="00576D60">
              <w:t>ad F2019L01526</w:t>
            </w:r>
          </w:p>
        </w:tc>
      </w:tr>
      <w:tr w:rsidR="00E93F58" w:rsidRPr="00576D60" w14:paraId="229E0469" w14:textId="77777777" w:rsidTr="002F32E3">
        <w:trPr>
          <w:cantSplit/>
        </w:trPr>
        <w:tc>
          <w:tcPr>
            <w:tcW w:w="1500" w:type="pct"/>
            <w:shd w:val="clear" w:color="auto" w:fill="auto"/>
          </w:tcPr>
          <w:p w14:paraId="1F9DE3E1" w14:textId="77777777" w:rsidR="00E93F58" w:rsidRPr="00576D60" w:rsidRDefault="00E93F58" w:rsidP="002F32E3">
            <w:pPr>
              <w:pStyle w:val="ENoteTableText"/>
              <w:tabs>
                <w:tab w:val="left" w:leader="dot" w:pos="2268"/>
              </w:tabs>
              <w:rPr>
                <w:b/>
              </w:rPr>
            </w:pPr>
            <w:r>
              <w:rPr>
                <w:b/>
              </w:rPr>
              <w:t>Subdivision 5</w:t>
            </w:r>
          </w:p>
        </w:tc>
        <w:tc>
          <w:tcPr>
            <w:tcW w:w="3500" w:type="pct"/>
            <w:shd w:val="clear" w:color="auto" w:fill="auto"/>
          </w:tcPr>
          <w:p w14:paraId="073BF7CC" w14:textId="77777777" w:rsidR="00E93F58" w:rsidRPr="00576D60" w:rsidRDefault="00E93F58" w:rsidP="002F32E3">
            <w:pPr>
              <w:pStyle w:val="ENoteTableText"/>
            </w:pPr>
          </w:p>
        </w:tc>
      </w:tr>
      <w:tr w:rsidR="00E93F58" w:rsidRPr="00576D60" w14:paraId="1F8E68E0" w14:textId="77777777" w:rsidTr="002F32E3">
        <w:trPr>
          <w:cantSplit/>
        </w:trPr>
        <w:tc>
          <w:tcPr>
            <w:tcW w:w="1500" w:type="pct"/>
            <w:shd w:val="clear" w:color="auto" w:fill="auto"/>
          </w:tcPr>
          <w:p w14:paraId="231BE592" w14:textId="77777777" w:rsidR="00E93F58" w:rsidRPr="00576D60" w:rsidRDefault="00E93F58" w:rsidP="002F32E3">
            <w:pPr>
              <w:pStyle w:val="ENoteTableText"/>
              <w:tabs>
                <w:tab w:val="left" w:leader="dot" w:pos="2268"/>
              </w:tabs>
            </w:pPr>
            <w:r>
              <w:t>Subdivision 5</w:t>
            </w:r>
            <w:r w:rsidRPr="00576D60">
              <w:t xml:space="preserve"> heading</w:t>
            </w:r>
            <w:r w:rsidRPr="00576D60">
              <w:tab/>
            </w:r>
          </w:p>
        </w:tc>
        <w:tc>
          <w:tcPr>
            <w:tcW w:w="3500" w:type="pct"/>
            <w:shd w:val="clear" w:color="auto" w:fill="auto"/>
          </w:tcPr>
          <w:p w14:paraId="0042D913" w14:textId="77777777" w:rsidR="00E93F58" w:rsidRPr="00576D60" w:rsidRDefault="00E93F58" w:rsidP="002F32E3">
            <w:pPr>
              <w:pStyle w:val="ENoteTableText"/>
            </w:pPr>
            <w:r w:rsidRPr="00576D60">
              <w:t>ad F2017L00212</w:t>
            </w:r>
          </w:p>
        </w:tc>
      </w:tr>
      <w:tr w:rsidR="00E93F58" w:rsidRPr="00576D60" w14:paraId="4AF325F1" w14:textId="77777777" w:rsidTr="002F32E3">
        <w:trPr>
          <w:cantSplit/>
        </w:trPr>
        <w:tc>
          <w:tcPr>
            <w:tcW w:w="1500" w:type="pct"/>
            <w:shd w:val="clear" w:color="auto" w:fill="auto"/>
          </w:tcPr>
          <w:p w14:paraId="355A0AFB" w14:textId="77777777" w:rsidR="00E93F58" w:rsidRPr="00576D60" w:rsidRDefault="00E93F58" w:rsidP="002F32E3">
            <w:pPr>
              <w:pStyle w:val="ENoteTableText"/>
              <w:tabs>
                <w:tab w:val="left" w:leader="dot" w:pos="2268"/>
              </w:tabs>
            </w:pPr>
          </w:p>
        </w:tc>
        <w:tc>
          <w:tcPr>
            <w:tcW w:w="3500" w:type="pct"/>
            <w:shd w:val="clear" w:color="auto" w:fill="auto"/>
          </w:tcPr>
          <w:p w14:paraId="5A640A7C" w14:textId="77777777" w:rsidR="00E93F58" w:rsidRPr="00576D60" w:rsidRDefault="00E93F58" w:rsidP="002F32E3">
            <w:pPr>
              <w:pStyle w:val="ENoteTableText"/>
            </w:pPr>
            <w:r w:rsidRPr="00576D60">
              <w:t>rep F2019L01526</w:t>
            </w:r>
          </w:p>
        </w:tc>
      </w:tr>
      <w:tr w:rsidR="00E93F58" w:rsidRPr="00576D60" w14:paraId="5FFAF129" w14:textId="77777777" w:rsidTr="002F32E3">
        <w:trPr>
          <w:cantSplit/>
        </w:trPr>
        <w:tc>
          <w:tcPr>
            <w:tcW w:w="1500" w:type="pct"/>
            <w:shd w:val="clear" w:color="auto" w:fill="auto"/>
          </w:tcPr>
          <w:p w14:paraId="6D0361CB" w14:textId="77777777" w:rsidR="00E93F58" w:rsidRPr="00576D60" w:rsidRDefault="00E93F58" w:rsidP="002F32E3">
            <w:pPr>
              <w:pStyle w:val="ENoteTableText"/>
              <w:tabs>
                <w:tab w:val="left" w:leader="dot" w:pos="2268"/>
              </w:tabs>
            </w:pPr>
            <w:r>
              <w:t>Subdivision 5</w:t>
            </w:r>
            <w:r w:rsidRPr="00576D60">
              <w:tab/>
            </w:r>
          </w:p>
        </w:tc>
        <w:tc>
          <w:tcPr>
            <w:tcW w:w="3500" w:type="pct"/>
            <w:shd w:val="clear" w:color="auto" w:fill="auto"/>
          </w:tcPr>
          <w:p w14:paraId="35CBA162" w14:textId="77777777" w:rsidR="00E93F58" w:rsidRPr="00576D60" w:rsidRDefault="00E93F58" w:rsidP="002F32E3">
            <w:pPr>
              <w:pStyle w:val="ENoteTableText"/>
            </w:pPr>
            <w:r w:rsidRPr="00576D60">
              <w:t>rep F2019L01526</w:t>
            </w:r>
          </w:p>
        </w:tc>
      </w:tr>
      <w:tr w:rsidR="00E93F58" w:rsidRPr="00576D60" w14:paraId="4596AA39" w14:textId="77777777" w:rsidTr="002F32E3">
        <w:trPr>
          <w:cantSplit/>
        </w:trPr>
        <w:tc>
          <w:tcPr>
            <w:tcW w:w="1500" w:type="pct"/>
            <w:shd w:val="clear" w:color="auto" w:fill="auto"/>
          </w:tcPr>
          <w:p w14:paraId="39029374" w14:textId="77777777" w:rsidR="00E93F58" w:rsidRPr="00576D60" w:rsidRDefault="00E93F58" w:rsidP="002F32E3">
            <w:pPr>
              <w:pStyle w:val="ENoteTableText"/>
              <w:tabs>
                <w:tab w:val="left" w:leader="dot" w:pos="2268"/>
              </w:tabs>
            </w:pPr>
            <w:r w:rsidRPr="00576D60">
              <w:t>r 7.7A.15B</w:t>
            </w:r>
            <w:r w:rsidRPr="00576D60">
              <w:tab/>
            </w:r>
          </w:p>
        </w:tc>
        <w:tc>
          <w:tcPr>
            <w:tcW w:w="3500" w:type="pct"/>
            <w:shd w:val="clear" w:color="auto" w:fill="auto"/>
          </w:tcPr>
          <w:p w14:paraId="32DF8FA6" w14:textId="77777777" w:rsidR="00E93F58" w:rsidRPr="00576D60" w:rsidRDefault="00E93F58" w:rsidP="002F32E3">
            <w:pPr>
              <w:pStyle w:val="ENoteTableText"/>
            </w:pPr>
            <w:r w:rsidRPr="00576D60">
              <w:t>ad No 102, 2014 (disallowed); No 208, 2014</w:t>
            </w:r>
          </w:p>
        </w:tc>
      </w:tr>
      <w:tr w:rsidR="00E93F58" w:rsidRPr="00576D60" w14:paraId="5A424D6A" w14:textId="77777777" w:rsidTr="002F32E3">
        <w:trPr>
          <w:cantSplit/>
        </w:trPr>
        <w:tc>
          <w:tcPr>
            <w:tcW w:w="1500" w:type="pct"/>
            <w:shd w:val="clear" w:color="auto" w:fill="auto"/>
          </w:tcPr>
          <w:p w14:paraId="400D1B28" w14:textId="77777777" w:rsidR="00E93F58" w:rsidRPr="00576D60" w:rsidRDefault="00E93F58" w:rsidP="002F32E3">
            <w:pPr>
              <w:pStyle w:val="ENoteTableText"/>
              <w:tabs>
                <w:tab w:val="left" w:leader="dot" w:pos="2268"/>
              </w:tabs>
            </w:pPr>
          </w:p>
        </w:tc>
        <w:tc>
          <w:tcPr>
            <w:tcW w:w="3500" w:type="pct"/>
            <w:shd w:val="clear" w:color="auto" w:fill="auto"/>
          </w:tcPr>
          <w:p w14:paraId="51D7AE30" w14:textId="77777777" w:rsidR="00E93F58" w:rsidRPr="00576D60" w:rsidRDefault="00E93F58" w:rsidP="002F32E3">
            <w:pPr>
              <w:pStyle w:val="ENoteTableText"/>
            </w:pPr>
            <w:r w:rsidRPr="00576D60">
              <w:t>rep F2019L01526</w:t>
            </w:r>
          </w:p>
        </w:tc>
      </w:tr>
      <w:tr w:rsidR="00E93F58" w:rsidRPr="00576D60" w14:paraId="1447BAD7" w14:textId="77777777" w:rsidTr="002F32E3">
        <w:trPr>
          <w:cantSplit/>
        </w:trPr>
        <w:tc>
          <w:tcPr>
            <w:tcW w:w="1500" w:type="pct"/>
            <w:shd w:val="clear" w:color="auto" w:fill="auto"/>
          </w:tcPr>
          <w:p w14:paraId="3CA0BD84" w14:textId="77777777" w:rsidR="00E93F58" w:rsidRPr="00576D60" w:rsidRDefault="00E93F58" w:rsidP="002F32E3">
            <w:pPr>
              <w:pStyle w:val="ENoteTableText"/>
              <w:tabs>
                <w:tab w:val="left" w:leader="dot" w:pos="2268"/>
              </w:tabs>
            </w:pPr>
            <w:r w:rsidRPr="00576D60">
              <w:t>r 7.7A.16</w:t>
            </w:r>
            <w:r w:rsidRPr="00576D60">
              <w:tab/>
            </w:r>
          </w:p>
        </w:tc>
        <w:tc>
          <w:tcPr>
            <w:tcW w:w="3500" w:type="pct"/>
            <w:shd w:val="clear" w:color="auto" w:fill="auto"/>
          </w:tcPr>
          <w:p w14:paraId="7D933AE7" w14:textId="77777777" w:rsidR="00E93F58" w:rsidRPr="00576D60" w:rsidRDefault="00E93F58" w:rsidP="002F32E3">
            <w:pPr>
              <w:pStyle w:val="ENoteTableText"/>
            </w:pPr>
            <w:r w:rsidRPr="00576D60">
              <w:t>ad No 234, 2012</w:t>
            </w:r>
          </w:p>
        </w:tc>
      </w:tr>
      <w:tr w:rsidR="00E93F58" w:rsidRPr="00576D60" w14:paraId="0EE684FC" w14:textId="77777777" w:rsidTr="002F32E3">
        <w:trPr>
          <w:cantSplit/>
        </w:trPr>
        <w:tc>
          <w:tcPr>
            <w:tcW w:w="1500" w:type="pct"/>
            <w:shd w:val="clear" w:color="auto" w:fill="auto"/>
          </w:tcPr>
          <w:p w14:paraId="1ED77498" w14:textId="77777777" w:rsidR="00E93F58" w:rsidRPr="00576D60" w:rsidRDefault="00E93F58" w:rsidP="002F32E3">
            <w:pPr>
              <w:pStyle w:val="ENoteTableText"/>
              <w:tabs>
                <w:tab w:val="left" w:leader="dot" w:pos="2268"/>
              </w:tabs>
            </w:pPr>
          </w:p>
        </w:tc>
        <w:tc>
          <w:tcPr>
            <w:tcW w:w="3500" w:type="pct"/>
            <w:shd w:val="clear" w:color="auto" w:fill="auto"/>
          </w:tcPr>
          <w:p w14:paraId="4AA09E52" w14:textId="77777777" w:rsidR="00E93F58" w:rsidRPr="00576D60" w:rsidRDefault="00E93F58" w:rsidP="002F32E3">
            <w:pPr>
              <w:pStyle w:val="ENoteTableText"/>
            </w:pPr>
            <w:r w:rsidRPr="00576D60">
              <w:t>rs No 151, 2013</w:t>
            </w:r>
          </w:p>
        </w:tc>
      </w:tr>
      <w:tr w:rsidR="00E93F58" w:rsidRPr="00576D60" w14:paraId="6B6B472C" w14:textId="77777777" w:rsidTr="002F32E3">
        <w:trPr>
          <w:cantSplit/>
        </w:trPr>
        <w:tc>
          <w:tcPr>
            <w:tcW w:w="1500" w:type="pct"/>
            <w:shd w:val="clear" w:color="auto" w:fill="auto"/>
          </w:tcPr>
          <w:p w14:paraId="3C887F2E" w14:textId="77777777" w:rsidR="00E93F58" w:rsidRPr="00576D60" w:rsidRDefault="00E93F58" w:rsidP="002F32E3">
            <w:pPr>
              <w:pStyle w:val="ENoteTableText"/>
              <w:tabs>
                <w:tab w:val="left" w:leader="dot" w:pos="2268"/>
              </w:tabs>
            </w:pPr>
          </w:p>
        </w:tc>
        <w:tc>
          <w:tcPr>
            <w:tcW w:w="3500" w:type="pct"/>
            <w:shd w:val="clear" w:color="auto" w:fill="auto"/>
          </w:tcPr>
          <w:p w14:paraId="5B83D410" w14:textId="77777777" w:rsidR="00E93F58" w:rsidRPr="00576D60" w:rsidRDefault="00E93F58" w:rsidP="002F32E3">
            <w:pPr>
              <w:pStyle w:val="ENoteTableText"/>
            </w:pPr>
            <w:r w:rsidRPr="00576D60">
              <w:t>am No 102, 2014 (disallowed); No 208, 2014</w:t>
            </w:r>
          </w:p>
        </w:tc>
      </w:tr>
      <w:tr w:rsidR="00E93F58" w:rsidRPr="00576D60" w14:paraId="6DCA9F43" w14:textId="77777777" w:rsidTr="002F32E3">
        <w:trPr>
          <w:cantSplit/>
        </w:trPr>
        <w:tc>
          <w:tcPr>
            <w:tcW w:w="1500" w:type="pct"/>
            <w:shd w:val="clear" w:color="auto" w:fill="auto"/>
          </w:tcPr>
          <w:p w14:paraId="0D964944" w14:textId="77777777" w:rsidR="00E93F58" w:rsidRPr="00576D60" w:rsidRDefault="00E93F58" w:rsidP="002F32E3">
            <w:pPr>
              <w:pStyle w:val="ENoteTableText"/>
              <w:tabs>
                <w:tab w:val="left" w:leader="dot" w:pos="2268"/>
              </w:tabs>
            </w:pPr>
          </w:p>
        </w:tc>
        <w:tc>
          <w:tcPr>
            <w:tcW w:w="3500" w:type="pct"/>
            <w:shd w:val="clear" w:color="auto" w:fill="auto"/>
          </w:tcPr>
          <w:p w14:paraId="598566EE" w14:textId="77777777" w:rsidR="00E93F58" w:rsidRPr="00576D60" w:rsidRDefault="00E93F58" w:rsidP="002F32E3">
            <w:pPr>
              <w:pStyle w:val="ENoteTableText"/>
            </w:pPr>
            <w:r w:rsidRPr="00576D60">
              <w:t>rep F2019L01526</w:t>
            </w:r>
          </w:p>
        </w:tc>
      </w:tr>
      <w:tr w:rsidR="00E93F58" w:rsidRPr="00576D60" w14:paraId="297A520E" w14:textId="77777777" w:rsidTr="002F32E3">
        <w:trPr>
          <w:cantSplit/>
        </w:trPr>
        <w:tc>
          <w:tcPr>
            <w:tcW w:w="1500" w:type="pct"/>
            <w:shd w:val="clear" w:color="auto" w:fill="auto"/>
          </w:tcPr>
          <w:p w14:paraId="114CAF46" w14:textId="77777777" w:rsidR="00E93F58" w:rsidRPr="00576D60" w:rsidRDefault="00E93F58" w:rsidP="002F32E3">
            <w:pPr>
              <w:pStyle w:val="ENoteTableText"/>
              <w:tabs>
                <w:tab w:val="left" w:leader="dot" w:pos="2268"/>
              </w:tabs>
            </w:pPr>
            <w:r w:rsidRPr="00576D60">
              <w:t>r 7.7A.16A</w:t>
            </w:r>
            <w:r w:rsidRPr="00576D60">
              <w:tab/>
            </w:r>
          </w:p>
        </w:tc>
        <w:tc>
          <w:tcPr>
            <w:tcW w:w="3500" w:type="pct"/>
            <w:shd w:val="clear" w:color="auto" w:fill="auto"/>
          </w:tcPr>
          <w:p w14:paraId="45ECD37E" w14:textId="77777777" w:rsidR="00E93F58" w:rsidRPr="00576D60" w:rsidRDefault="00E93F58" w:rsidP="002F32E3">
            <w:pPr>
              <w:pStyle w:val="ENoteTableText"/>
            </w:pPr>
            <w:r w:rsidRPr="00576D60">
              <w:t>ad No 151, 2013</w:t>
            </w:r>
          </w:p>
        </w:tc>
      </w:tr>
      <w:tr w:rsidR="00E93F58" w:rsidRPr="00576D60" w14:paraId="0D2193DC" w14:textId="77777777" w:rsidTr="002F32E3">
        <w:trPr>
          <w:cantSplit/>
        </w:trPr>
        <w:tc>
          <w:tcPr>
            <w:tcW w:w="1500" w:type="pct"/>
            <w:shd w:val="clear" w:color="auto" w:fill="auto"/>
          </w:tcPr>
          <w:p w14:paraId="54AAAF49" w14:textId="77777777" w:rsidR="00E93F58" w:rsidRPr="00576D60" w:rsidRDefault="00E93F58" w:rsidP="002F32E3">
            <w:pPr>
              <w:pStyle w:val="ENoteTableText"/>
              <w:tabs>
                <w:tab w:val="left" w:leader="dot" w:pos="2268"/>
              </w:tabs>
            </w:pPr>
          </w:p>
        </w:tc>
        <w:tc>
          <w:tcPr>
            <w:tcW w:w="3500" w:type="pct"/>
            <w:shd w:val="clear" w:color="auto" w:fill="auto"/>
          </w:tcPr>
          <w:p w14:paraId="3313794F" w14:textId="77777777" w:rsidR="00E93F58" w:rsidRPr="00576D60" w:rsidRDefault="00E93F58" w:rsidP="002F32E3">
            <w:pPr>
              <w:pStyle w:val="ENoteTableText"/>
            </w:pPr>
            <w:r w:rsidRPr="00576D60">
              <w:t>rep F2019L01526</w:t>
            </w:r>
          </w:p>
        </w:tc>
      </w:tr>
      <w:tr w:rsidR="00E93F58" w:rsidRPr="00576D60" w14:paraId="3F8D5771" w14:textId="77777777" w:rsidTr="002F32E3">
        <w:trPr>
          <w:cantSplit/>
        </w:trPr>
        <w:tc>
          <w:tcPr>
            <w:tcW w:w="1500" w:type="pct"/>
            <w:shd w:val="clear" w:color="auto" w:fill="auto"/>
          </w:tcPr>
          <w:p w14:paraId="5C320F53" w14:textId="77777777" w:rsidR="00E93F58" w:rsidRPr="00576D60" w:rsidRDefault="00E93F58" w:rsidP="002F32E3">
            <w:pPr>
              <w:pStyle w:val="ENoteTableText"/>
              <w:tabs>
                <w:tab w:val="left" w:leader="dot" w:pos="2268"/>
              </w:tabs>
            </w:pPr>
            <w:r w:rsidRPr="00576D60">
              <w:t>r 7.7A.16B</w:t>
            </w:r>
            <w:r w:rsidRPr="00576D60">
              <w:tab/>
            </w:r>
          </w:p>
        </w:tc>
        <w:tc>
          <w:tcPr>
            <w:tcW w:w="3500" w:type="pct"/>
            <w:shd w:val="clear" w:color="auto" w:fill="auto"/>
          </w:tcPr>
          <w:p w14:paraId="0782CA08" w14:textId="77777777" w:rsidR="00E93F58" w:rsidRPr="00576D60" w:rsidRDefault="00E93F58" w:rsidP="002F32E3">
            <w:pPr>
              <w:pStyle w:val="ENoteTableText"/>
            </w:pPr>
            <w:r w:rsidRPr="00576D60">
              <w:t>ad No 151, 2013</w:t>
            </w:r>
          </w:p>
        </w:tc>
      </w:tr>
      <w:tr w:rsidR="00E93F58" w:rsidRPr="00576D60" w14:paraId="4C2D2E45" w14:textId="77777777" w:rsidTr="002F32E3">
        <w:trPr>
          <w:cantSplit/>
        </w:trPr>
        <w:tc>
          <w:tcPr>
            <w:tcW w:w="1500" w:type="pct"/>
            <w:shd w:val="clear" w:color="auto" w:fill="auto"/>
          </w:tcPr>
          <w:p w14:paraId="2C606F48" w14:textId="77777777" w:rsidR="00E93F58" w:rsidRPr="00576D60" w:rsidRDefault="00E93F58" w:rsidP="002F32E3">
            <w:pPr>
              <w:pStyle w:val="ENoteTableText"/>
              <w:tabs>
                <w:tab w:val="left" w:leader="dot" w:pos="2268"/>
              </w:tabs>
            </w:pPr>
          </w:p>
        </w:tc>
        <w:tc>
          <w:tcPr>
            <w:tcW w:w="3500" w:type="pct"/>
            <w:shd w:val="clear" w:color="auto" w:fill="auto"/>
          </w:tcPr>
          <w:p w14:paraId="0A99DFD9" w14:textId="77777777" w:rsidR="00E93F58" w:rsidRPr="00576D60" w:rsidRDefault="00E93F58" w:rsidP="002F32E3">
            <w:pPr>
              <w:pStyle w:val="ENoteTableText"/>
            </w:pPr>
            <w:r w:rsidRPr="00576D60">
              <w:t>am No 102, 2014 (disallowed)</w:t>
            </w:r>
          </w:p>
        </w:tc>
      </w:tr>
      <w:tr w:rsidR="00E93F58" w:rsidRPr="00576D60" w14:paraId="01A398F1" w14:textId="77777777" w:rsidTr="002F32E3">
        <w:trPr>
          <w:cantSplit/>
        </w:trPr>
        <w:tc>
          <w:tcPr>
            <w:tcW w:w="1500" w:type="pct"/>
            <w:shd w:val="clear" w:color="auto" w:fill="auto"/>
          </w:tcPr>
          <w:p w14:paraId="7C54EDDF" w14:textId="77777777" w:rsidR="00E93F58" w:rsidRPr="00576D60" w:rsidRDefault="00E93F58" w:rsidP="002F32E3">
            <w:pPr>
              <w:pStyle w:val="ENoteTableText"/>
              <w:tabs>
                <w:tab w:val="left" w:leader="dot" w:pos="2268"/>
              </w:tabs>
            </w:pPr>
          </w:p>
        </w:tc>
        <w:tc>
          <w:tcPr>
            <w:tcW w:w="3500" w:type="pct"/>
            <w:shd w:val="clear" w:color="auto" w:fill="auto"/>
          </w:tcPr>
          <w:p w14:paraId="613677ED" w14:textId="77777777" w:rsidR="00E93F58" w:rsidRPr="00576D60" w:rsidRDefault="00E93F58" w:rsidP="002F32E3">
            <w:pPr>
              <w:pStyle w:val="ENoteTableText"/>
            </w:pPr>
            <w:r w:rsidRPr="00576D60">
              <w:t>rep F2019L01526</w:t>
            </w:r>
          </w:p>
        </w:tc>
      </w:tr>
      <w:tr w:rsidR="00E93F58" w:rsidRPr="00576D60" w14:paraId="7BAAC3E6" w14:textId="77777777" w:rsidTr="002F32E3">
        <w:trPr>
          <w:cantSplit/>
        </w:trPr>
        <w:tc>
          <w:tcPr>
            <w:tcW w:w="1500" w:type="pct"/>
            <w:shd w:val="clear" w:color="auto" w:fill="auto"/>
          </w:tcPr>
          <w:p w14:paraId="7C2F00DB" w14:textId="77777777" w:rsidR="00E93F58" w:rsidRPr="00576D60" w:rsidRDefault="00E93F58" w:rsidP="002F32E3">
            <w:pPr>
              <w:pStyle w:val="ENoteTableText"/>
              <w:tabs>
                <w:tab w:val="left" w:leader="dot" w:pos="2268"/>
              </w:tabs>
            </w:pPr>
            <w:r w:rsidRPr="00576D60">
              <w:t>r 7.7A.16BA</w:t>
            </w:r>
            <w:r w:rsidRPr="00576D60">
              <w:tab/>
            </w:r>
          </w:p>
        </w:tc>
        <w:tc>
          <w:tcPr>
            <w:tcW w:w="3500" w:type="pct"/>
            <w:shd w:val="clear" w:color="auto" w:fill="auto"/>
          </w:tcPr>
          <w:p w14:paraId="3240D150" w14:textId="77777777" w:rsidR="00E93F58" w:rsidRPr="00576D60" w:rsidRDefault="00E93F58" w:rsidP="002F32E3">
            <w:pPr>
              <w:pStyle w:val="ENoteTableText"/>
            </w:pPr>
            <w:r w:rsidRPr="00576D60">
              <w:t>ad No 102, 2014 (disallowed); No 208, 2014</w:t>
            </w:r>
          </w:p>
        </w:tc>
      </w:tr>
      <w:tr w:rsidR="00E93F58" w:rsidRPr="00576D60" w14:paraId="74FA46DA" w14:textId="77777777" w:rsidTr="002F32E3">
        <w:trPr>
          <w:cantSplit/>
        </w:trPr>
        <w:tc>
          <w:tcPr>
            <w:tcW w:w="1500" w:type="pct"/>
            <w:shd w:val="clear" w:color="auto" w:fill="auto"/>
          </w:tcPr>
          <w:p w14:paraId="612A4697" w14:textId="77777777" w:rsidR="00E93F58" w:rsidRPr="00576D60" w:rsidRDefault="00E93F58" w:rsidP="002F32E3">
            <w:pPr>
              <w:pStyle w:val="ENoteTableText"/>
              <w:tabs>
                <w:tab w:val="left" w:leader="dot" w:pos="2268"/>
              </w:tabs>
            </w:pPr>
          </w:p>
        </w:tc>
        <w:tc>
          <w:tcPr>
            <w:tcW w:w="3500" w:type="pct"/>
            <w:shd w:val="clear" w:color="auto" w:fill="auto"/>
          </w:tcPr>
          <w:p w14:paraId="2DE2E865" w14:textId="77777777" w:rsidR="00E93F58" w:rsidRPr="00576D60" w:rsidRDefault="00E93F58" w:rsidP="002F32E3">
            <w:pPr>
              <w:pStyle w:val="ENoteTableText"/>
            </w:pPr>
            <w:r w:rsidRPr="00576D60">
              <w:t>rep F2019L01526</w:t>
            </w:r>
          </w:p>
        </w:tc>
      </w:tr>
      <w:tr w:rsidR="00E93F58" w:rsidRPr="00576D60" w14:paraId="66F36869" w14:textId="77777777" w:rsidTr="002F32E3">
        <w:trPr>
          <w:cantSplit/>
        </w:trPr>
        <w:tc>
          <w:tcPr>
            <w:tcW w:w="1500" w:type="pct"/>
            <w:shd w:val="clear" w:color="auto" w:fill="auto"/>
          </w:tcPr>
          <w:p w14:paraId="407D0312" w14:textId="77777777" w:rsidR="00E93F58" w:rsidRPr="00576D60" w:rsidRDefault="00E93F58" w:rsidP="002F32E3">
            <w:pPr>
              <w:pStyle w:val="ENoteTableText"/>
              <w:tabs>
                <w:tab w:val="left" w:leader="dot" w:pos="2268"/>
              </w:tabs>
            </w:pPr>
            <w:r w:rsidRPr="00576D60">
              <w:t>r 7.7A.16C</w:t>
            </w:r>
            <w:r w:rsidRPr="00576D60">
              <w:tab/>
            </w:r>
          </w:p>
        </w:tc>
        <w:tc>
          <w:tcPr>
            <w:tcW w:w="3500" w:type="pct"/>
            <w:shd w:val="clear" w:color="auto" w:fill="auto"/>
          </w:tcPr>
          <w:p w14:paraId="16EB9658" w14:textId="77777777" w:rsidR="00E93F58" w:rsidRPr="00576D60" w:rsidRDefault="00E93F58" w:rsidP="002F32E3">
            <w:pPr>
              <w:pStyle w:val="ENoteTableText"/>
            </w:pPr>
            <w:r w:rsidRPr="00576D60">
              <w:t>ad No 151, 2013</w:t>
            </w:r>
          </w:p>
        </w:tc>
      </w:tr>
      <w:tr w:rsidR="00E93F58" w:rsidRPr="00576D60" w14:paraId="58BE55AF" w14:textId="77777777" w:rsidTr="002F32E3">
        <w:trPr>
          <w:cantSplit/>
        </w:trPr>
        <w:tc>
          <w:tcPr>
            <w:tcW w:w="1500" w:type="pct"/>
            <w:shd w:val="clear" w:color="auto" w:fill="auto"/>
          </w:tcPr>
          <w:p w14:paraId="22F97810" w14:textId="77777777" w:rsidR="00E93F58" w:rsidRPr="00576D60" w:rsidRDefault="00E93F58" w:rsidP="002F32E3">
            <w:pPr>
              <w:pStyle w:val="ENoteTableText"/>
              <w:tabs>
                <w:tab w:val="left" w:leader="dot" w:pos="2268"/>
              </w:tabs>
            </w:pPr>
          </w:p>
        </w:tc>
        <w:tc>
          <w:tcPr>
            <w:tcW w:w="3500" w:type="pct"/>
            <w:shd w:val="clear" w:color="auto" w:fill="auto"/>
          </w:tcPr>
          <w:p w14:paraId="577FB136" w14:textId="77777777" w:rsidR="00E93F58" w:rsidRPr="00576D60" w:rsidRDefault="00E93F58" w:rsidP="002F32E3">
            <w:pPr>
              <w:pStyle w:val="ENoteTableText"/>
            </w:pPr>
            <w:r w:rsidRPr="00576D60">
              <w:t>am No 102, 2014 (disallowed); No 208, 2014</w:t>
            </w:r>
          </w:p>
        </w:tc>
      </w:tr>
      <w:tr w:rsidR="00E93F58" w:rsidRPr="00576D60" w14:paraId="2787FABF" w14:textId="77777777" w:rsidTr="002F32E3">
        <w:trPr>
          <w:cantSplit/>
        </w:trPr>
        <w:tc>
          <w:tcPr>
            <w:tcW w:w="1500" w:type="pct"/>
            <w:shd w:val="clear" w:color="auto" w:fill="auto"/>
          </w:tcPr>
          <w:p w14:paraId="18E9F816" w14:textId="77777777" w:rsidR="00E93F58" w:rsidRPr="00576D60" w:rsidRDefault="00E93F58" w:rsidP="002F32E3">
            <w:pPr>
              <w:pStyle w:val="ENoteTableText"/>
              <w:tabs>
                <w:tab w:val="left" w:leader="dot" w:pos="2268"/>
              </w:tabs>
            </w:pPr>
          </w:p>
        </w:tc>
        <w:tc>
          <w:tcPr>
            <w:tcW w:w="3500" w:type="pct"/>
            <w:shd w:val="clear" w:color="auto" w:fill="auto"/>
          </w:tcPr>
          <w:p w14:paraId="62DF31D7" w14:textId="77777777" w:rsidR="00E93F58" w:rsidRPr="00576D60" w:rsidRDefault="00E93F58" w:rsidP="002F32E3">
            <w:pPr>
              <w:pStyle w:val="ENoteTableText"/>
            </w:pPr>
            <w:r w:rsidRPr="00576D60">
              <w:t>rep F2019L01526</w:t>
            </w:r>
          </w:p>
        </w:tc>
      </w:tr>
      <w:tr w:rsidR="00E93F58" w:rsidRPr="00576D60" w14:paraId="230FE18E" w14:textId="77777777" w:rsidTr="002F32E3">
        <w:trPr>
          <w:cantSplit/>
        </w:trPr>
        <w:tc>
          <w:tcPr>
            <w:tcW w:w="1500" w:type="pct"/>
            <w:shd w:val="clear" w:color="auto" w:fill="auto"/>
          </w:tcPr>
          <w:p w14:paraId="26AB2B9C" w14:textId="77777777" w:rsidR="00E93F58" w:rsidRPr="00576D60" w:rsidRDefault="00E93F58" w:rsidP="002F32E3">
            <w:pPr>
              <w:pStyle w:val="ENoteTableText"/>
              <w:tabs>
                <w:tab w:val="left" w:leader="dot" w:pos="2268"/>
              </w:tabs>
            </w:pPr>
            <w:r w:rsidRPr="00576D60">
              <w:t>r 7.7A.16D</w:t>
            </w:r>
            <w:r w:rsidRPr="00576D60">
              <w:tab/>
            </w:r>
          </w:p>
        </w:tc>
        <w:tc>
          <w:tcPr>
            <w:tcW w:w="3500" w:type="pct"/>
            <w:shd w:val="clear" w:color="auto" w:fill="auto"/>
          </w:tcPr>
          <w:p w14:paraId="0FB4B852" w14:textId="77777777" w:rsidR="00E93F58" w:rsidRPr="00576D60" w:rsidRDefault="00E93F58" w:rsidP="002F32E3">
            <w:pPr>
              <w:pStyle w:val="ENoteTableText"/>
            </w:pPr>
            <w:r w:rsidRPr="00576D60">
              <w:t>ad No 151, 2013</w:t>
            </w:r>
          </w:p>
        </w:tc>
      </w:tr>
      <w:tr w:rsidR="00E93F58" w:rsidRPr="00576D60" w14:paraId="7808E72E" w14:textId="77777777" w:rsidTr="002F32E3">
        <w:trPr>
          <w:cantSplit/>
        </w:trPr>
        <w:tc>
          <w:tcPr>
            <w:tcW w:w="1500" w:type="pct"/>
            <w:shd w:val="clear" w:color="auto" w:fill="auto"/>
          </w:tcPr>
          <w:p w14:paraId="334CCE2B" w14:textId="77777777" w:rsidR="00E93F58" w:rsidRPr="00576D60" w:rsidRDefault="00E93F58" w:rsidP="002F32E3">
            <w:pPr>
              <w:pStyle w:val="ENoteTableText"/>
              <w:tabs>
                <w:tab w:val="left" w:leader="dot" w:pos="2268"/>
              </w:tabs>
            </w:pPr>
          </w:p>
        </w:tc>
        <w:tc>
          <w:tcPr>
            <w:tcW w:w="3500" w:type="pct"/>
            <w:shd w:val="clear" w:color="auto" w:fill="auto"/>
          </w:tcPr>
          <w:p w14:paraId="248E0956" w14:textId="77777777" w:rsidR="00E93F58" w:rsidRPr="00576D60" w:rsidRDefault="00E93F58" w:rsidP="002F32E3">
            <w:pPr>
              <w:pStyle w:val="ENoteTableText"/>
            </w:pPr>
            <w:r w:rsidRPr="00576D60">
              <w:t>rep F2019L01526</w:t>
            </w:r>
          </w:p>
        </w:tc>
      </w:tr>
      <w:tr w:rsidR="00E93F58" w:rsidRPr="00576D60" w14:paraId="4B481516" w14:textId="77777777" w:rsidTr="002F32E3">
        <w:trPr>
          <w:cantSplit/>
        </w:trPr>
        <w:tc>
          <w:tcPr>
            <w:tcW w:w="1500" w:type="pct"/>
            <w:shd w:val="clear" w:color="auto" w:fill="auto"/>
          </w:tcPr>
          <w:p w14:paraId="0899BFBC" w14:textId="77777777" w:rsidR="00E93F58" w:rsidRPr="00576D60" w:rsidRDefault="00E93F58" w:rsidP="002F32E3">
            <w:pPr>
              <w:pStyle w:val="ENoteTableText"/>
              <w:tabs>
                <w:tab w:val="left" w:leader="dot" w:pos="2268"/>
              </w:tabs>
            </w:pPr>
            <w:r w:rsidRPr="00576D60">
              <w:t>r 7.7A.16E</w:t>
            </w:r>
            <w:r w:rsidRPr="00576D60">
              <w:tab/>
            </w:r>
          </w:p>
        </w:tc>
        <w:tc>
          <w:tcPr>
            <w:tcW w:w="3500" w:type="pct"/>
            <w:shd w:val="clear" w:color="auto" w:fill="auto"/>
          </w:tcPr>
          <w:p w14:paraId="0D5D31B1" w14:textId="77777777" w:rsidR="00E93F58" w:rsidRPr="00576D60" w:rsidRDefault="00E93F58" w:rsidP="002F32E3">
            <w:pPr>
              <w:pStyle w:val="ENoteTableText"/>
            </w:pPr>
            <w:r w:rsidRPr="00576D60">
              <w:t>ad No 151, 2013</w:t>
            </w:r>
          </w:p>
        </w:tc>
      </w:tr>
      <w:tr w:rsidR="00E93F58" w:rsidRPr="00576D60" w14:paraId="73D5AC36" w14:textId="77777777" w:rsidTr="002F32E3">
        <w:trPr>
          <w:cantSplit/>
        </w:trPr>
        <w:tc>
          <w:tcPr>
            <w:tcW w:w="1500" w:type="pct"/>
            <w:shd w:val="clear" w:color="auto" w:fill="auto"/>
          </w:tcPr>
          <w:p w14:paraId="275DD944" w14:textId="77777777" w:rsidR="00E93F58" w:rsidRPr="00576D60" w:rsidRDefault="00E93F58" w:rsidP="002F32E3">
            <w:pPr>
              <w:pStyle w:val="ENoteTableText"/>
              <w:tabs>
                <w:tab w:val="left" w:leader="dot" w:pos="2268"/>
              </w:tabs>
            </w:pPr>
          </w:p>
        </w:tc>
        <w:tc>
          <w:tcPr>
            <w:tcW w:w="3500" w:type="pct"/>
            <w:shd w:val="clear" w:color="auto" w:fill="auto"/>
          </w:tcPr>
          <w:p w14:paraId="5664CB3C" w14:textId="77777777" w:rsidR="00E93F58" w:rsidRPr="00576D60" w:rsidRDefault="00E93F58" w:rsidP="002F32E3">
            <w:pPr>
              <w:pStyle w:val="ENoteTableText"/>
            </w:pPr>
            <w:r w:rsidRPr="00576D60">
              <w:t>rep F2019L01526</w:t>
            </w:r>
          </w:p>
        </w:tc>
      </w:tr>
      <w:tr w:rsidR="00E93F58" w:rsidRPr="00576D60" w14:paraId="79417EEB" w14:textId="77777777" w:rsidTr="002F32E3">
        <w:trPr>
          <w:cantSplit/>
        </w:trPr>
        <w:tc>
          <w:tcPr>
            <w:tcW w:w="1500" w:type="pct"/>
            <w:shd w:val="clear" w:color="auto" w:fill="auto"/>
          </w:tcPr>
          <w:p w14:paraId="673C97A4" w14:textId="77777777" w:rsidR="00E93F58" w:rsidRPr="00576D60" w:rsidRDefault="00E93F58" w:rsidP="002F32E3">
            <w:pPr>
              <w:pStyle w:val="ENoteTableText"/>
              <w:tabs>
                <w:tab w:val="left" w:leader="dot" w:pos="2268"/>
              </w:tabs>
            </w:pPr>
            <w:r w:rsidRPr="00576D60">
              <w:t>r 7.7A.16F</w:t>
            </w:r>
            <w:r w:rsidRPr="00576D60">
              <w:tab/>
            </w:r>
          </w:p>
        </w:tc>
        <w:tc>
          <w:tcPr>
            <w:tcW w:w="3500" w:type="pct"/>
            <w:shd w:val="clear" w:color="auto" w:fill="auto"/>
          </w:tcPr>
          <w:p w14:paraId="1A924A85" w14:textId="77777777" w:rsidR="00E93F58" w:rsidRPr="00576D60" w:rsidRDefault="00E93F58" w:rsidP="002F32E3">
            <w:pPr>
              <w:pStyle w:val="ENoteTableText"/>
            </w:pPr>
            <w:r w:rsidRPr="00576D60">
              <w:t>ad No 151, 2013</w:t>
            </w:r>
          </w:p>
        </w:tc>
      </w:tr>
      <w:tr w:rsidR="00E93F58" w:rsidRPr="00576D60" w14:paraId="315EE942" w14:textId="77777777" w:rsidTr="002F32E3">
        <w:trPr>
          <w:cantSplit/>
        </w:trPr>
        <w:tc>
          <w:tcPr>
            <w:tcW w:w="1500" w:type="pct"/>
            <w:shd w:val="clear" w:color="auto" w:fill="auto"/>
          </w:tcPr>
          <w:p w14:paraId="60AEFCD3" w14:textId="77777777" w:rsidR="00E93F58" w:rsidRPr="00576D60" w:rsidRDefault="00E93F58" w:rsidP="002F32E3">
            <w:pPr>
              <w:pStyle w:val="ENoteTableText"/>
              <w:tabs>
                <w:tab w:val="left" w:leader="dot" w:pos="2268"/>
              </w:tabs>
            </w:pPr>
          </w:p>
        </w:tc>
        <w:tc>
          <w:tcPr>
            <w:tcW w:w="3500" w:type="pct"/>
            <w:shd w:val="clear" w:color="auto" w:fill="auto"/>
          </w:tcPr>
          <w:p w14:paraId="34260372" w14:textId="77777777" w:rsidR="00E93F58" w:rsidRPr="00576D60" w:rsidRDefault="00E93F58" w:rsidP="002F32E3">
            <w:pPr>
              <w:pStyle w:val="ENoteTableText"/>
            </w:pPr>
            <w:r w:rsidRPr="00576D60">
              <w:t>am No 102, 2014 (disallowed); No 208, 2014</w:t>
            </w:r>
          </w:p>
        </w:tc>
      </w:tr>
      <w:tr w:rsidR="00E93F58" w:rsidRPr="00576D60" w14:paraId="4120E466" w14:textId="77777777" w:rsidTr="002F32E3">
        <w:trPr>
          <w:cantSplit/>
        </w:trPr>
        <w:tc>
          <w:tcPr>
            <w:tcW w:w="1500" w:type="pct"/>
            <w:shd w:val="clear" w:color="auto" w:fill="auto"/>
          </w:tcPr>
          <w:p w14:paraId="21274F56" w14:textId="77777777" w:rsidR="00E93F58" w:rsidRPr="00576D60" w:rsidRDefault="00E93F58" w:rsidP="002F32E3">
            <w:pPr>
              <w:pStyle w:val="ENoteTableText"/>
              <w:tabs>
                <w:tab w:val="left" w:leader="dot" w:pos="2268"/>
              </w:tabs>
            </w:pPr>
          </w:p>
        </w:tc>
        <w:tc>
          <w:tcPr>
            <w:tcW w:w="3500" w:type="pct"/>
            <w:shd w:val="clear" w:color="auto" w:fill="auto"/>
          </w:tcPr>
          <w:p w14:paraId="7C1B5F38" w14:textId="77777777" w:rsidR="00E93F58" w:rsidRPr="00576D60" w:rsidRDefault="00E93F58" w:rsidP="002F32E3">
            <w:pPr>
              <w:pStyle w:val="ENoteTableText"/>
            </w:pPr>
            <w:r w:rsidRPr="00576D60">
              <w:t>rep F2019L01526</w:t>
            </w:r>
          </w:p>
        </w:tc>
      </w:tr>
      <w:tr w:rsidR="00E93F58" w:rsidRPr="00576D60" w14:paraId="1CDC62B6" w14:textId="77777777" w:rsidTr="002F32E3">
        <w:trPr>
          <w:cantSplit/>
        </w:trPr>
        <w:tc>
          <w:tcPr>
            <w:tcW w:w="1500" w:type="pct"/>
            <w:shd w:val="clear" w:color="auto" w:fill="auto"/>
          </w:tcPr>
          <w:p w14:paraId="25E6FD0A" w14:textId="77777777" w:rsidR="00E93F58" w:rsidRPr="00576D60" w:rsidRDefault="00E93F58" w:rsidP="002F32E3">
            <w:pPr>
              <w:pStyle w:val="ENoteTableText"/>
              <w:tabs>
                <w:tab w:val="left" w:leader="dot" w:pos="2268"/>
              </w:tabs>
              <w:rPr>
                <w:b/>
              </w:rPr>
            </w:pPr>
            <w:r w:rsidRPr="00576D60">
              <w:rPr>
                <w:b/>
              </w:rPr>
              <w:t>Subdivision 6</w:t>
            </w:r>
          </w:p>
        </w:tc>
        <w:tc>
          <w:tcPr>
            <w:tcW w:w="3500" w:type="pct"/>
            <w:shd w:val="clear" w:color="auto" w:fill="auto"/>
          </w:tcPr>
          <w:p w14:paraId="29863643" w14:textId="77777777" w:rsidR="00E93F58" w:rsidRPr="00576D60" w:rsidRDefault="00E93F58" w:rsidP="002F32E3">
            <w:pPr>
              <w:pStyle w:val="ENoteTableText"/>
            </w:pPr>
          </w:p>
        </w:tc>
      </w:tr>
      <w:tr w:rsidR="00E93F58" w:rsidRPr="00576D60" w14:paraId="36E62156" w14:textId="77777777" w:rsidTr="002F32E3">
        <w:trPr>
          <w:cantSplit/>
        </w:trPr>
        <w:tc>
          <w:tcPr>
            <w:tcW w:w="1500" w:type="pct"/>
            <w:shd w:val="clear" w:color="auto" w:fill="auto"/>
          </w:tcPr>
          <w:p w14:paraId="4DC3A6B3" w14:textId="77777777" w:rsidR="00E93F58" w:rsidRPr="00576D60" w:rsidRDefault="00E93F58" w:rsidP="002F32E3">
            <w:pPr>
              <w:pStyle w:val="ENoteTableText"/>
              <w:tabs>
                <w:tab w:val="left" w:leader="dot" w:pos="2268"/>
              </w:tabs>
            </w:pPr>
            <w:r w:rsidRPr="00576D60">
              <w:t>Subdivision 6</w:t>
            </w:r>
            <w:r w:rsidRPr="00576D60">
              <w:tab/>
            </w:r>
          </w:p>
        </w:tc>
        <w:tc>
          <w:tcPr>
            <w:tcW w:w="3500" w:type="pct"/>
            <w:shd w:val="clear" w:color="auto" w:fill="auto"/>
          </w:tcPr>
          <w:p w14:paraId="65DEFEE9" w14:textId="77777777" w:rsidR="00E93F58" w:rsidRPr="00576D60" w:rsidRDefault="00E93F58" w:rsidP="002F32E3">
            <w:pPr>
              <w:pStyle w:val="ENoteTableText"/>
            </w:pPr>
            <w:r w:rsidRPr="00576D60">
              <w:t>ad F2017L00212</w:t>
            </w:r>
          </w:p>
        </w:tc>
      </w:tr>
      <w:tr w:rsidR="00E93F58" w:rsidRPr="00576D60" w14:paraId="02FBDDDF" w14:textId="77777777" w:rsidTr="002F32E3">
        <w:trPr>
          <w:cantSplit/>
        </w:trPr>
        <w:tc>
          <w:tcPr>
            <w:tcW w:w="1500" w:type="pct"/>
            <w:shd w:val="clear" w:color="auto" w:fill="auto"/>
          </w:tcPr>
          <w:p w14:paraId="3599C146" w14:textId="77777777" w:rsidR="00E93F58" w:rsidRPr="00576D60" w:rsidRDefault="00E93F58" w:rsidP="002F32E3">
            <w:pPr>
              <w:pStyle w:val="ENoteTableText"/>
              <w:tabs>
                <w:tab w:val="left" w:leader="dot" w:pos="2268"/>
              </w:tabs>
            </w:pPr>
            <w:r w:rsidRPr="00576D60">
              <w:t>r 7.7A.16G</w:t>
            </w:r>
            <w:r w:rsidRPr="00576D60">
              <w:tab/>
            </w:r>
          </w:p>
        </w:tc>
        <w:tc>
          <w:tcPr>
            <w:tcW w:w="3500" w:type="pct"/>
            <w:shd w:val="clear" w:color="auto" w:fill="auto"/>
          </w:tcPr>
          <w:p w14:paraId="66987CE2" w14:textId="77777777" w:rsidR="00E93F58" w:rsidRPr="00576D60" w:rsidRDefault="00E93F58" w:rsidP="002F32E3">
            <w:pPr>
              <w:pStyle w:val="ENoteTableText"/>
            </w:pPr>
            <w:r w:rsidRPr="00576D60">
              <w:t>ad F2017L00212</w:t>
            </w:r>
          </w:p>
        </w:tc>
      </w:tr>
      <w:tr w:rsidR="00E93F58" w:rsidRPr="00576D60" w14:paraId="56F3D477" w14:textId="77777777" w:rsidTr="002F32E3">
        <w:trPr>
          <w:cantSplit/>
        </w:trPr>
        <w:tc>
          <w:tcPr>
            <w:tcW w:w="1500" w:type="pct"/>
            <w:shd w:val="clear" w:color="auto" w:fill="auto"/>
          </w:tcPr>
          <w:p w14:paraId="137B597B" w14:textId="77777777" w:rsidR="00E93F58" w:rsidRPr="00576D60" w:rsidRDefault="00E93F58" w:rsidP="002F32E3">
            <w:pPr>
              <w:pStyle w:val="ENoteTableText"/>
              <w:tabs>
                <w:tab w:val="left" w:leader="dot" w:pos="2268"/>
              </w:tabs>
            </w:pPr>
            <w:r w:rsidRPr="00576D60">
              <w:t>r 7.7A.16H</w:t>
            </w:r>
            <w:r w:rsidRPr="00576D60">
              <w:tab/>
            </w:r>
          </w:p>
        </w:tc>
        <w:tc>
          <w:tcPr>
            <w:tcW w:w="3500" w:type="pct"/>
            <w:shd w:val="clear" w:color="auto" w:fill="auto"/>
          </w:tcPr>
          <w:p w14:paraId="7E247044" w14:textId="77777777" w:rsidR="00E93F58" w:rsidRPr="00576D60" w:rsidRDefault="00E93F58" w:rsidP="002F32E3">
            <w:pPr>
              <w:pStyle w:val="ENoteTableText"/>
            </w:pPr>
            <w:r w:rsidRPr="00576D60">
              <w:t>ad F2017L00212</w:t>
            </w:r>
          </w:p>
        </w:tc>
      </w:tr>
      <w:tr w:rsidR="00E93F58" w:rsidRPr="00576D60" w14:paraId="1AA8485E" w14:textId="77777777" w:rsidTr="002F32E3">
        <w:trPr>
          <w:cantSplit/>
        </w:trPr>
        <w:tc>
          <w:tcPr>
            <w:tcW w:w="1500" w:type="pct"/>
            <w:shd w:val="clear" w:color="auto" w:fill="auto"/>
          </w:tcPr>
          <w:p w14:paraId="632ACB7F" w14:textId="77777777" w:rsidR="00E93F58" w:rsidRPr="00576D60" w:rsidRDefault="00E93F58" w:rsidP="002F32E3">
            <w:pPr>
              <w:pStyle w:val="ENoteTableText"/>
              <w:tabs>
                <w:tab w:val="left" w:leader="dot" w:pos="2268"/>
              </w:tabs>
              <w:rPr>
                <w:b/>
              </w:rPr>
            </w:pPr>
            <w:r w:rsidRPr="00576D60">
              <w:rPr>
                <w:b/>
              </w:rPr>
              <w:t>Subdivision 7</w:t>
            </w:r>
          </w:p>
        </w:tc>
        <w:tc>
          <w:tcPr>
            <w:tcW w:w="3500" w:type="pct"/>
            <w:shd w:val="clear" w:color="auto" w:fill="auto"/>
          </w:tcPr>
          <w:p w14:paraId="7BCDA10C" w14:textId="77777777" w:rsidR="00E93F58" w:rsidRPr="00576D60" w:rsidRDefault="00E93F58" w:rsidP="002F32E3">
            <w:pPr>
              <w:pStyle w:val="ENoteTableText"/>
            </w:pPr>
          </w:p>
        </w:tc>
      </w:tr>
      <w:tr w:rsidR="00E93F58" w:rsidRPr="00576D60" w14:paraId="7020920E" w14:textId="77777777" w:rsidTr="002F32E3">
        <w:trPr>
          <w:cantSplit/>
        </w:trPr>
        <w:tc>
          <w:tcPr>
            <w:tcW w:w="1500" w:type="pct"/>
            <w:shd w:val="clear" w:color="auto" w:fill="auto"/>
          </w:tcPr>
          <w:p w14:paraId="44ECED21" w14:textId="77777777" w:rsidR="00E93F58" w:rsidRPr="00576D60" w:rsidRDefault="00E93F58" w:rsidP="002F32E3">
            <w:pPr>
              <w:pStyle w:val="ENoteTableText"/>
              <w:tabs>
                <w:tab w:val="left" w:leader="dot" w:pos="2268"/>
              </w:tabs>
            </w:pPr>
            <w:r w:rsidRPr="00576D60">
              <w:t>Subdivision 3 heading</w:t>
            </w:r>
            <w:r w:rsidRPr="00576D60">
              <w:tab/>
            </w:r>
          </w:p>
        </w:tc>
        <w:tc>
          <w:tcPr>
            <w:tcW w:w="3500" w:type="pct"/>
            <w:shd w:val="clear" w:color="auto" w:fill="auto"/>
          </w:tcPr>
          <w:p w14:paraId="5051E08E" w14:textId="77777777" w:rsidR="00E93F58" w:rsidRPr="00576D60" w:rsidRDefault="00E93F58" w:rsidP="002F32E3">
            <w:pPr>
              <w:pStyle w:val="ENoteTableText"/>
            </w:pPr>
            <w:r w:rsidRPr="00576D60">
              <w:t>rs and renum F2017L00212</w:t>
            </w:r>
          </w:p>
        </w:tc>
      </w:tr>
      <w:tr w:rsidR="00E93F58" w:rsidRPr="00576D60" w14:paraId="10F177BF" w14:textId="77777777" w:rsidTr="002F32E3">
        <w:trPr>
          <w:cantSplit/>
        </w:trPr>
        <w:tc>
          <w:tcPr>
            <w:tcW w:w="1500" w:type="pct"/>
            <w:shd w:val="clear" w:color="auto" w:fill="auto"/>
          </w:tcPr>
          <w:p w14:paraId="2C902790" w14:textId="77777777" w:rsidR="00E93F58" w:rsidRPr="00576D60" w:rsidRDefault="00E93F58" w:rsidP="002F32E3">
            <w:pPr>
              <w:pStyle w:val="ENoteTableText"/>
              <w:tabs>
                <w:tab w:val="left" w:leader="dot" w:pos="2268"/>
              </w:tabs>
            </w:pPr>
            <w:r w:rsidRPr="00576D60">
              <w:t>Subdivision 7 heading (prev</w:t>
            </w:r>
            <w:r w:rsidRPr="00576D60">
              <w:br/>
              <w:t>Subdivision 3 heading)</w:t>
            </w:r>
          </w:p>
        </w:tc>
        <w:tc>
          <w:tcPr>
            <w:tcW w:w="3500" w:type="pct"/>
            <w:shd w:val="clear" w:color="auto" w:fill="auto"/>
          </w:tcPr>
          <w:p w14:paraId="314A782F" w14:textId="77777777" w:rsidR="00E93F58" w:rsidRPr="00576D60" w:rsidRDefault="00E93F58" w:rsidP="002F32E3">
            <w:pPr>
              <w:pStyle w:val="ENoteTableText"/>
            </w:pPr>
          </w:p>
        </w:tc>
      </w:tr>
      <w:tr w:rsidR="00E93F58" w:rsidRPr="00576D60" w14:paraId="5DC7DE2E" w14:textId="77777777" w:rsidTr="002F32E3">
        <w:trPr>
          <w:cantSplit/>
        </w:trPr>
        <w:tc>
          <w:tcPr>
            <w:tcW w:w="1500" w:type="pct"/>
            <w:shd w:val="clear" w:color="auto" w:fill="auto"/>
          </w:tcPr>
          <w:p w14:paraId="1A8B979B" w14:textId="77777777" w:rsidR="00E93F58" w:rsidRPr="00576D60" w:rsidRDefault="00E93F58" w:rsidP="002F32E3">
            <w:pPr>
              <w:pStyle w:val="ENoteTableText"/>
              <w:tabs>
                <w:tab w:val="left" w:leader="dot" w:pos="2268"/>
              </w:tabs>
            </w:pPr>
            <w:r w:rsidRPr="00576D60">
              <w:t>Subdivision 3</w:t>
            </w:r>
            <w:r w:rsidRPr="00576D60">
              <w:tab/>
            </w:r>
          </w:p>
        </w:tc>
        <w:tc>
          <w:tcPr>
            <w:tcW w:w="3500" w:type="pct"/>
            <w:shd w:val="clear" w:color="auto" w:fill="auto"/>
          </w:tcPr>
          <w:p w14:paraId="7843D824" w14:textId="77777777" w:rsidR="00E93F58" w:rsidRPr="00576D60" w:rsidRDefault="00E93F58" w:rsidP="002F32E3">
            <w:pPr>
              <w:pStyle w:val="ENoteTableText"/>
            </w:pPr>
            <w:r w:rsidRPr="00576D60">
              <w:t>ad. No. 115, 2013</w:t>
            </w:r>
          </w:p>
        </w:tc>
      </w:tr>
      <w:tr w:rsidR="00E93F58" w:rsidRPr="00576D60" w14:paraId="2826FA55" w14:textId="77777777" w:rsidTr="002F32E3">
        <w:trPr>
          <w:cantSplit/>
        </w:trPr>
        <w:tc>
          <w:tcPr>
            <w:tcW w:w="1500" w:type="pct"/>
            <w:shd w:val="clear" w:color="auto" w:fill="auto"/>
          </w:tcPr>
          <w:p w14:paraId="57A3635A" w14:textId="77777777" w:rsidR="00E93F58" w:rsidRPr="00576D60" w:rsidRDefault="00E93F58" w:rsidP="002F32E3">
            <w:pPr>
              <w:pStyle w:val="ENoteTableText"/>
              <w:tabs>
                <w:tab w:val="left" w:leader="dot" w:pos="2268"/>
              </w:tabs>
            </w:pPr>
            <w:r w:rsidRPr="00576D60">
              <w:t>r. 7.7A.17</w:t>
            </w:r>
            <w:r w:rsidRPr="00576D60">
              <w:tab/>
            </w:r>
          </w:p>
        </w:tc>
        <w:tc>
          <w:tcPr>
            <w:tcW w:w="3500" w:type="pct"/>
            <w:shd w:val="clear" w:color="auto" w:fill="auto"/>
          </w:tcPr>
          <w:p w14:paraId="322748F7" w14:textId="77777777" w:rsidR="00E93F58" w:rsidRPr="00576D60" w:rsidRDefault="00E93F58" w:rsidP="002F32E3">
            <w:pPr>
              <w:pStyle w:val="ENoteTableText"/>
            </w:pPr>
            <w:r w:rsidRPr="00576D60">
              <w:t>ad. No. 115, 2013</w:t>
            </w:r>
          </w:p>
        </w:tc>
      </w:tr>
      <w:tr w:rsidR="00E93F58" w:rsidRPr="00576D60" w14:paraId="1BE9691D" w14:textId="77777777" w:rsidTr="002F32E3">
        <w:trPr>
          <w:cantSplit/>
        </w:trPr>
        <w:tc>
          <w:tcPr>
            <w:tcW w:w="1500" w:type="pct"/>
            <w:shd w:val="clear" w:color="auto" w:fill="auto"/>
          </w:tcPr>
          <w:p w14:paraId="7A5E571B" w14:textId="77777777" w:rsidR="00E93F58" w:rsidRPr="00576D60" w:rsidRDefault="00E93F58" w:rsidP="002F32E3">
            <w:pPr>
              <w:pStyle w:val="ENoteTableText"/>
              <w:tabs>
                <w:tab w:val="left" w:leader="dot" w:pos="2268"/>
              </w:tabs>
            </w:pPr>
            <w:r w:rsidRPr="00576D60">
              <w:t>r. 7.7A.18</w:t>
            </w:r>
            <w:r w:rsidRPr="00576D60">
              <w:tab/>
            </w:r>
          </w:p>
        </w:tc>
        <w:tc>
          <w:tcPr>
            <w:tcW w:w="3500" w:type="pct"/>
            <w:shd w:val="clear" w:color="auto" w:fill="auto"/>
          </w:tcPr>
          <w:p w14:paraId="1040AAE9" w14:textId="77777777" w:rsidR="00E93F58" w:rsidRPr="00576D60" w:rsidRDefault="00E93F58" w:rsidP="002F32E3">
            <w:pPr>
              <w:pStyle w:val="ENoteTableText"/>
            </w:pPr>
            <w:r w:rsidRPr="00576D60">
              <w:t>ad. No. 115, 2013</w:t>
            </w:r>
          </w:p>
        </w:tc>
      </w:tr>
      <w:tr w:rsidR="00E93F58" w:rsidRPr="00576D60" w14:paraId="6E26EC89" w14:textId="77777777" w:rsidTr="002F32E3">
        <w:trPr>
          <w:cantSplit/>
        </w:trPr>
        <w:tc>
          <w:tcPr>
            <w:tcW w:w="1500" w:type="pct"/>
            <w:shd w:val="clear" w:color="auto" w:fill="auto"/>
          </w:tcPr>
          <w:p w14:paraId="6472476A" w14:textId="77777777" w:rsidR="00E93F58" w:rsidRPr="00576D60" w:rsidRDefault="00E93F58" w:rsidP="002F32E3">
            <w:pPr>
              <w:pStyle w:val="ENoteTableText"/>
              <w:tabs>
                <w:tab w:val="left" w:leader="dot" w:pos="2268"/>
              </w:tabs>
              <w:rPr>
                <w:b/>
              </w:rPr>
            </w:pPr>
            <w:r w:rsidRPr="00576D60">
              <w:rPr>
                <w:b/>
              </w:rPr>
              <w:t>Division 6</w:t>
            </w:r>
          </w:p>
        </w:tc>
        <w:tc>
          <w:tcPr>
            <w:tcW w:w="3500" w:type="pct"/>
            <w:shd w:val="clear" w:color="auto" w:fill="auto"/>
          </w:tcPr>
          <w:p w14:paraId="0F2A8B19" w14:textId="77777777" w:rsidR="00E93F58" w:rsidRPr="00576D60" w:rsidRDefault="00E93F58" w:rsidP="002F32E3">
            <w:pPr>
              <w:pStyle w:val="ENoteTableText"/>
            </w:pPr>
          </w:p>
        </w:tc>
      </w:tr>
      <w:tr w:rsidR="00E93F58" w:rsidRPr="00576D60" w14:paraId="598E8DAD" w14:textId="77777777" w:rsidTr="002F32E3">
        <w:trPr>
          <w:cantSplit/>
        </w:trPr>
        <w:tc>
          <w:tcPr>
            <w:tcW w:w="1500" w:type="pct"/>
            <w:shd w:val="clear" w:color="auto" w:fill="auto"/>
          </w:tcPr>
          <w:p w14:paraId="664D3549" w14:textId="77777777" w:rsidR="00E93F58" w:rsidRPr="00576D60" w:rsidRDefault="00E93F58" w:rsidP="002F32E3">
            <w:pPr>
              <w:pStyle w:val="ENoteTableText"/>
              <w:tabs>
                <w:tab w:val="left" w:leader="dot" w:pos="2268"/>
              </w:tabs>
            </w:pPr>
            <w:r w:rsidRPr="00576D60">
              <w:t>Division 6</w:t>
            </w:r>
            <w:r w:rsidRPr="00576D60">
              <w:tab/>
            </w:r>
          </w:p>
        </w:tc>
        <w:tc>
          <w:tcPr>
            <w:tcW w:w="3500" w:type="pct"/>
            <w:shd w:val="clear" w:color="auto" w:fill="auto"/>
          </w:tcPr>
          <w:p w14:paraId="3B02128D" w14:textId="77777777" w:rsidR="00E93F58" w:rsidRPr="00576D60" w:rsidRDefault="00E93F58" w:rsidP="002F32E3">
            <w:pPr>
              <w:pStyle w:val="ENoteTableText"/>
            </w:pPr>
            <w:r w:rsidRPr="00576D60">
              <w:t>ad. No. 83, 2013</w:t>
            </w:r>
          </w:p>
        </w:tc>
      </w:tr>
      <w:tr w:rsidR="00E93F58" w:rsidRPr="00576D60" w14:paraId="55625C3B" w14:textId="77777777" w:rsidTr="002F32E3">
        <w:trPr>
          <w:cantSplit/>
        </w:trPr>
        <w:tc>
          <w:tcPr>
            <w:tcW w:w="1500" w:type="pct"/>
            <w:shd w:val="clear" w:color="auto" w:fill="auto"/>
          </w:tcPr>
          <w:p w14:paraId="4CDE199D" w14:textId="77777777" w:rsidR="00E93F58" w:rsidRPr="00576D60" w:rsidRDefault="00E93F58" w:rsidP="002F32E3">
            <w:pPr>
              <w:pStyle w:val="ENoteTableText"/>
              <w:tabs>
                <w:tab w:val="left" w:leader="dot" w:pos="2268"/>
              </w:tabs>
            </w:pPr>
            <w:r w:rsidRPr="00576D60">
              <w:t>r. 7.7A.40</w:t>
            </w:r>
            <w:r w:rsidRPr="00576D60">
              <w:tab/>
            </w:r>
          </w:p>
        </w:tc>
        <w:tc>
          <w:tcPr>
            <w:tcW w:w="3500" w:type="pct"/>
            <w:shd w:val="clear" w:color="auto" w:fill="auto"/>
          </w:tcPr>
          <w:p w14:paraId="7F8967DC" w14:textId="77777777" w:rsidR="00E93F58" w:rsidRPr="00576D60" w:rsidRDefault="00E93F58" w:rsidP="002F32E3">
            <w:pPr>
              <w:pStyle w:val="ENoteTableText"/>
            </w:pPr>
            <w:r w:rsidRPr="00576D60">
              <w:t>ad. No. 83, 2013</w:t>
            </w:r>
          </w:p>
        </w:tc>
      </w:tr>
      <w:tr w:rsidR="00E93F58" w:rsidRPr="00576D60" w14:paraId="50C3C276" w14:textId="77777777" w:rsidTr="002F32E3">
        <w:trPr>
          <w:cantSplit/>
        </w:trPr>
        <w:tc>
          <w:tcPr>
            <w:tcW w:w="1500" w:type="pct"/>
            <w:shd w:val="clear" w:color="auto" w:fill="auto"/>
          </w:tcPr>
          <w:p w14:paraId="39792045" w14:textId="77777777" w:rsidR="00E93F58" w:rsidRPr="00576D60" w:rsidRDefault="00E93F58" w:rsidP="002F32E3">
            <w:pPr>
              <w:pStyle w:val="ENoteTableText"/>
              <w:tabs>
                <w:tab w:val="left" w:leader="dot" w:pos="2268"/>
              </w:tabs>
              <w:rPr>
                <w:b/>
              </w:rPr>
            </w:pPr>
            <w:r w:rsidRPr="00576D60">
              <w:rPr>
                <w:b/>
              </w:rPr>
              <w:lastRenderedPageBreak/>
              <w:t>Part 7.8</w:t>
            </w:r>
          </w:p>
        </w:tc>
        <w:tc>
          <w:tcPr>
            <w:tcW w:w="3500" w:type="pct"/>
            <w:shd w:val="clear" w:color="auto" w:fill="auto"/>
          </w:tcPr>
          <w:p w14:paraId="76D7D2ED" w14:textId="77777777" w:rsidR="00E93F58" w:rsidRPr="00576D60" w:rsidRDefault="00E93F58" w:rsidP="002F32E3">
            <w:pPr>
              <w:pStyle w:val="ENoteTableText"/>
            </w:pPr>
          </w:p>
        </w:tc>
      </w:tr>
      <w:tr w:rsidR="00E93F58" w:rsidRPr="00576D60" w14:paraId="6DD054F5" w14:textId="77777777" w:rsidTr="002F32E3">
        <w:trPr>
          <w:cantSplit/>
        </w:trPr>
        <w:tc>
          <w:tcPr>
            <w:tcW w:w="1500" w:type="pct"/>
            <w:shd w:val="clear" w:color="auto" w:fill="auto"/>
          </w:tcPr>
          <w:p w14:paraId="01080628"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2BE0E57A" w14:textId="77777777" w:rsidR="00E93F58" w:rsidRPr="00576D60" w:rsidRDefault="00E93F58" w:rsidP="002F32E3">
            <w:pPr>
              <w:pStyle w:val="ENoteTableText"/>
            </w:pPr>
          </w:p>
        </w:tc>
      </w:tr>
      <w:tr w:rsidR="00E93F58" w:rsidRPr="00576D60" w14:paraId="2163567F" w14:textId="77777777" w:rsidTr="002F32E3">
        <w:trPr>
          <w:cantSplit/>
        </w:trPr>
        <w:tc>
          <w:tcPr>
            <w:tcW w:w="1500" w:type="pct"/>
            <w:shd w:val="clear" w:color="auto" w:fill="auto"/>
          </w:tcPr>
          <w:p w14:paraId="6C5825F6" w14:textId="77777777" w:rsidR="00E93F58" w:rsidRPr="00576D60" w:rsidRDefault="00E93F58" w:rsidP="002F32E3">
            <w:pPr>
              <w:pStyle w:val="ENoteTableText"/>
              <w:tabs>
                <w:tab w:val="left" w:leader="dot" w:pos="2268"/>
              </w:tabs>
            </w:pPr>
            <w:r>
              <w:t>Division 2</w:t>
            </w:r>
            <w:r w:rsidRPr="00576D60">
              <w:t xml:space="preserve"> heading</w:t>
            </w:r>
            <w:r w:rsidRPr="00576D60">
              <w:tab/>
            </w:r>
          </w:p>
        </w:tc>
        <w:tc>
          <w:tcPr>
            <w:tcW w:w="3500" w:type="pct"/>
            <w:shd w:val="clear" w:color="auto" w:fill="auto"/>
          </w:tcPr>
          <w:p w14:paraId="0CB546A1" w14:textId="77777777" w:rsidR="00E93F58" w:rsidRPr="00576D60" w:rsidRDefault="00E93F58" w:rsidP="002F32E3">
            <w:pPr>
              <w:pStyle w:val="ENoteTableText"/>
            </w:pPr>
            <w:r w:rsidRPr="00576D60">
              <w:t>ad F2018L00743</w:t>
            </w:r>
          </w:p>
        </w:tc>
      </w:tr>
      <w:tr w:rsidR="00E93F58" w:rsidRPr="00576D60" w14:paraId="02E95510" w14:textId="77777777" w:rsidTr="002F32E3">
        <w:trPr>
          <w:cantSplit/>
        </w:trPr>
        <w:tc>
          <w:tcPr>
            <w:tcW w:w="1500" w:type="pct"/>
            <w:shd w:val="clear" w:color="auto" w:fill="auto"/>
          </w:tcPr>
          <w:p w14:paraId="7AFA0EF7" w14:textId="77777777" w:rsidR="00E93F58" w:rsidRPr="00576D60" w:rsidRDefault="00E93F58" w:rsidP="006F2815">
            <w:pPr>
              <w:pStyle w:val="ENoteTableText"/>
              <w:keepNext/>
              <w:tabs>
                <w:tab w:val="left" w:leader="dot" w:pos="2268"/>
              </w:tabs>
              <w:rPr>
                <w:b/>
              </w:rPr>
            </w:pPr>
            <w:r w:rsidRPr="00576D60">
              <w:rPr>
                <w:b/>
              </w:rPr>
              <w:t>Subdivision A</w:t>
            </w:r>
          </w:p>
        </w:tc>
        <w:tc>
          <w:tcPr>
            <w:tcW w:w="3500" w:type="pct"/>
            <w:shd w:val="clear" w:color="auto" w:fill="auto"/>
          </w:tcPr>
          <w:p w14:paraId="661D08D9" w14:textId="77777777" w:rsidR="00E93F58" w:rsidRPr="00576D60" w:rsidRDefault="00E93F58" w:rsidP="002F32E3">
            <w:pPr>
              <w:pStyle w:val="ENoteTableText"/>
            </w:pPr>
          </w:p>
        </w:tc>
      </w:tr>
      <w:tr w:rsidR="00E93F58" w:rsidRPr="00576D60" w14:paraId="6CF23AE4" w14:textId="77777777" w:rsidTr="002F32E3">
        <w:trPr>
          <w:cantSplit/>
        </w:trPr>
        <w:tc>
          <w:tcPr>
            <w:tcW w:w="1500" w:type="pct"/>
            <w:shd w:val="clear" w:color="auto" w:fill="auto"/>
          </w:tcPr>
          <w:p w14:paraId="4C70ED53" w14:textId="77777777" w:rsidR="00E93F58" w:rsidRPr="00576D60" w:rsidRDefault="00E93F58" w:rsidP="002F32E3">
            <w:pPr>
              <w:pStyle w:val="ENoteTableText"/>
              <w:tabs>
                <w:tab w:val="left" w:leader="dot" w:pos="2268"/>
              </w:tabs>
            </w:pPr>
            <w:r w:rsidRPr="00576D60">
              <w:t>Subdivision A heading</w:t>
            </w:r>
            <w:r w:rsidRPr="00576D60">
              <w:tab/>
            </w:r>
          </w:p>
        </w:tc>
        <w:tc>
          <w:tcPr>
            <w:tcW w:w="3500" w:type="pct"/>
            <w:shd w:val="clear" w:color="auto" w:fill="auto"/>
          </w:tcPr>
          <w:p w14:paraId="234D70EF" w14:textId="77777777" w:rsidR="00E93F58" w:rsidRPr="00576D60" w:rsidRDefault="00E93F58" w:rsidP="002F32E3">
            <w:pPr>
              <w:pStyle w:val="ENoteTableText"/>
            </w:pPr>
            <w:r w:rsidRPr="00576D60">
              <w:t>ad F2018L00743</w:t>
            </w:r>
          </w:p>
        </w:tc>
      </w:tr>
      <w:tr w:rsidR="00E93F58" w:rsidRPr="00576D60" w14:paraId="097CBAB1" w14:textId="77777777" w:rsidTr="002F32E3">
        <w:trPr>
          <w:cantSplit/>
        </w:trPr>
        <w:tc>
          <w:tcPr>
            <w:tcW w:w="1500" w:type="pct"/>
            <w:shd w:val="clear" w:color="auto" w:fill="auto"/>
          </w:tcPr>
          <w:p w14:paraId="23CA3444" w14:textId="77777777" w:rsidR="00E93F58" w:rsidRPr="00576D60" w:rsidRDefault="00E93F58" w:rsidP="002F32E3">
            <w:pPr>
              <w:pStyle w:val="ENoteTableText"/>
              <w:tabs>
                <w:tab w:val="left" w:leader="dot" w:pos="2268"/>
              </w:tabs>
            </w:pPr>
            <w:r w:rsidRPr="00576D60">
              <w:t>r 7.8.01A</w:t>
            </w:r>
            <w:r w:rsidRPr="00576D60">
              <w:tab/>
            </w:r>
          </w:p>
        </w:tc>
        <w:tc>
          <w:tcPr>
            <w:tcW w:w="3500" w:type="pct"/>
            <w:shd w:val="clear" w:color="auto" w:fill="auto"/>
          </w:tcPr>
          <w:p w14:paraId="1F43DCDD" w14:textId="77777777" w:rsidR="00E93F58" w:rsidRPr="00576D60" w:rsidRDefault="00E93F58" w:rsidP="002F32E3">
            <w:pPr>
              <w:pStyle w:val="ENoteTableText"/>
            </w:pPr>
            <w:r w:rsidRPr="00576D60">
              <w:t>ad F2016L01657</w:t>
            </w:r>
          </w:p>
        </w:tc>
      </w:tr>
      <w:tr w:rsidR="00E93F58" w:rsidRPr="00576D60" w14:paraId="7E5D7018" w14:textId="77777777" w:rsidTr="002F32E3">
        <w:trPr>
          <w:cantSplit/>
        </w:trPr>
        <w:tc>
          <w:tcPr>
            <w:tcW w:w="1500" w:type="pct"/>
            <w:shd w:val="clear" w:color="auto" w:fill="auto"/>
          </w:tcPr>
          <w:p w14:paraId="1112D8D1" w14:textId="77777777" w:rsidR="00E93F58" w:rsidRPr="00576D60" w:rsidRDefault="00E93F58" w:rsidP="002F32E3">
            <w:pPr>
              <w:pStyle w:val="ENoteTableText"/>
              <w:tabs>
                <w:tab w:val="left" w:leader="dot" w:pos="2268"/>
              </w:tabs>
            </w:pPr>
            <w:r w:rsidRPr="00576D60">
              <w:t>r. 7.8.01</w:t>
            </w:r>
            <w:r w:rsidRPr="00576D60">
              <w:tab/>
            </w:r>
          </w:p>
        </w:tc>
        <w:tc>
          <w:tcPr>
            <w:tcW w:w="3500" w:type="pct"/>
            <w:shd w:val="clear" w:color="auto" w:fill="auto"/>
          </w:tcPr>
          <w:p w14:paraId="1B148C77" w14:textId="77777777" w:rsidR="00E93F58" w:rsidRPr="00576D60" w:rsidRDefault="00E93F58" w:rsidP="002F32E3">
            <w:pPr>
              <w:pStyle w:val="ENoteTableText"/>
            </w:pPr>
            <w:r w:rsidRPr="00576D60">
              <w:t>ad. 2001 No. 319</w:t>
            </w:r>
          </w:p>
        </w:tc>
      </w:tr>
      <w:tr w:rsidR="00E93F58" w:rsidRPr="00576D60" w14:paraId="3731F9B3" w14:textId="77777777" w:rsidTr="002F32E3">
        <w:trPr>
          <w:cantSplit/>
        </w:trPr>
        <w:tc>
          <w:tcPr>
            <w:tcW w:w="1500" w:type="pct"/>
            <w:shd w:val="clear" w:color="auto" w:fill="auto"/>
          </w:tcPr>
          <w:p w14:paraId="61A231C4" w14:textId="77777777" w:rsidR="00E93F58" w:rsidRPr="00576D60" w:rsidRDefault="00E93F58" w:rsidP="002F32E3">
            <w:pPr>
              <w:pStyle w:val="ENoteTableText"/>
            </w:pPr>
          </w:p>
        </w:tc>
        <w:tc>
          <w:tcPr>
            <w:tcW w:w="3500" w:type="pct"/>
            <w:shd w:val="clear" w:color="auto" w:fill="auto"/>
          </w:tcPr>
          <w:p w14:paraId="265C1F85" w14:textId="77777777" w:rsidR="00E93F58" w:rsidRPr="00576D60" w:rsidRDefault="00E93F58" w:rsidP="002F32E3">
            <w:pPr>
              <w:pStyle w:val="ENoteTableText"/>
            </w:pPr>
            <w:r w:rsidRPr="00576D60">
              <w:t>am. 2002 No 16 and 41; 2005 No. 31; 2009 No. 70; 2010 No. 210</w:t>
            </w:r>
          </w:p>
        </w:tc>
      </w:tr>
      <w:tr w:rsidR="00E93F58" w:rsidRPr="00576D60" w14:paraId="1461B424" w14:textId="77777777" w:rsidTr="002F32E3">
        <w:trPr>
          <w:cantSplit/>
        </w:trPr>
        <w:tc>
          <w:tcPr>
            <w:tcW w:w="1500" w:type="pct"/>
            <w:shd w:val="clear" w:color="auto" w:fill="auto"/>
          </w:tcPr>
          <w:p w14:paraId="13450D57" w14:textId="77777777" w:rsidR="00E93F58" w:rsidRPr="00576D60" w:rsidRDefault="00E93F58" w:rsidP="002F32E3">
            <w:pPr>
              <w:pStyle w:val="ENoteTableText"/>
              <w:tabs>
                <w:tab w:val="left" w:leader="dot" w:pos="2268"/>
              </w:tabs>
            </w:pPr>
            <w:r w:rsidRPr="00576D60">
              <w:t>r 7.8.02</w:t>
            </w:r>
            <w:r w:rsidRPr="00576D60">
              <w:tab/>
            </w:r>
          </w:p>
        </w:tc>
        <w:tc>
          <w:tcPr>
            <w:tcW w:w="3500" w:type="pct"/>
            <w:shd w:val="clear" w:color="auto" w:fill="auto"/>
          </w:tcPr>
          <w:p w14:paraId="5B1D76C1" w14:textId="77777777" w:rsidR="00E93F58" w:rsidRPr="00576D60" w:rsidRDefault="00E93F58" w:rsidP="002F32E3">
            <w:pPr>
              <w:pStyle w:val="ENoteTableText"/>
            </w:pPr>
            <w:r w:rsidRPr="00576D60">
              <w:t>ad No 319, 2001</w:t>
            </w:r>
          </w:p>
        </w:tc>
      </w:tr>
      <w:tr w:rsidR="00E93F58" w:rsidRPr="00576D60" w14:paraId="5EABBB2A" w14:textId="77777777" w:rsidTr="002F32E3">
        <w:trPr>
          <w:cantSplit/>
        </w:trPr>
        <w:tc>
          <w:tcPr>
            <w:tcW w:w="1500" w:type="pct"/>
            <w:shd w:val="clear" w:color="auto" w:fill="auto"/>
          </w:tcPr>
          <w:p w14:paraId="03487D62" w14:textId="77777777" w:rsidR="00E93F58" w:rsidRPr="00576D60" w:rsidRDefault="00E93F58" w:rsidP="002F32E3">
            <w:pPr>
              <w:pStyle w:val="ENoteTableText"/>
            </w:pPr>
          </w:p>
        </w:tc>
        <w:tc>
          <w:tcPr>
            <w:tcW w:w="3500" w:type="pct"/>
            <w:shd w:val="clear" w:color="auto" w:fill="auto"/>
          </w:tcPr>
          <w:p w14:paraId="0EFEC3D7" w14:textId="77777777" w:rsidR="00E93F58" w:rsidRPr="00576D60" w:rsidRDefault="00E93F58" w:rsidP="002F32E3">
            <w:pPr>
              <w:pStyle w:val="ENoteTableText"/>
              <w:rPr>
                <w:u w:val="single"/>
              </w:rPr>
            </w:pPr>
            <w:r w:rsidRPr="00576D60">
              <w:t>am No 16, 2002; No 41, 2002; No 70, 2009; No 210, 2010; F2017L00455; F2019L00392</w:t>
            </w:r>
          </w:p>
        </w:tc>
      </w:tr>
      <w:tr w:rsidR="00E93F58" w:rsidRPr="00576D60" w14:paraId="344968F2" w14:textId="77777777" w:rsidTr="002F32E3">
        <w:trPr>
          <w:cantSplit/>
        </w:trPr>
        <w:tc>
          <w:tcPr>
            <w:tcW w:w="1500" w:type="pct"/>
            <w:shd w:val="clear" w:color="auto" w:fill="auto"/>
          </w:tcPr>
          <w:p w14:paraId="7D38239B" w14:textId="77777777" w:rsidR="00E93F58" w:rsidRPr="00576D60" w:rsidRDefault="00E93F58" w:rsidP="002F32E3">
            <w:pPr>
              <w:pStyle w:val="ENoteTableText"/>
              <w:tabs>
                <w:tab w:val="left" w:leader="dot" w:pos="2268"/>
              </w:tabs>
            </w:pPr>
            <w:r w:rsidRPr="00576D60">
              <w:t>r 7.8.02A</w:t>
            </w:r>
            <w:r w:rsidRPr="00576D60">
              <w:tab/>
            </w:r>
          </w:p>
        </w:tc>
        <w:tc>
          <w:tcPr>
            <w:tcW w:w="3500" w:type="pct"/>
            <w:shd w:val="clear" w:color="auto" w:fill="auto"/>
          </w:tcPr>
          <w:p w14:paraId="6DBAD9FB" w14:textId="77777777" w:rsidR="00E93F58" w:rsidRPr="00576D60" w:rsidRDefault="00E93F58" w:rsidP="002F32E3">
            <w:pPr>
              <w:pStyle w:val="ENoteTableText"/>
            </w:pPr>
            <w:r w:rsidRPr="00576D60">
              <w:t>ad F2017L00455</w:t>
            </w:r>
          </w:p>
        </w:tc>
      </w:tr>
      <w:tr w:rsidR="00E93F58" w:rsidRPr="00576D60" w14:paraId="7749BFDF" w14:textId="77777777" w:rsidTr="002F32E3">
        <w:trPr>
          <w:cantSplit/>
        </w:trPr>
        <w:tc>
          <w:tcPr>
            <w:tcW w:w="1500" w:type="pct"/>
            <w:shd w:val="clear" w:color="auto" w:fill="auto"/>
          </w:tcPr>
          <w:p w14:paraId="7F4BE201" w14:textId="77777777" w:rsidR="00E93F58" w:rsidRPr="00576D60" w:rsidRDefault="00E93F58" w:rsidP="002F32E3">
            <w:pPr>
              <w:pStyle w:val="ENoteTableText"/>
              <w:tabs>
                <w:tab w:val="left" w:leader="dot" w:pos="2268"/>
              </w:tabs>
            </w:pPr>
            <w:r w:rsidRPr="00576D60">
              <w:t>r. 7.8.03</w:t>
            </w:r>
            <w:r w:rsidRPr="00576D60">
              <w:tab/>
            </w:r>
          </w:p>
        </w:tc>
        <w:tc>
          <w:tcPr>
            <w:tcW w:w="3500" w:type="pct"/>
            <w:shd w:val="clear" w:color="auto" w:fill="auto"/>
          </w:tcPr>
          <w:p w14:paraId="1D2A3541" w14:textId="77777777" w:rsidR="00E93F58" w:rsidRPr="00576D60" w:rsidRDefault="00E93F58" w:rsidP="002F32E3">
            <w:pPr>
              <w:pStyle w:val="ENoteTableText"/>
            </w:pPr>
            <w:r w:rsidRPr="00576D60">
              <w:t>ad. 2001 No. 319</w:t>
            </w:r>
          </w:p>
        </w:tc>
      </w:tr>
      <w:tr w:rsidR="00E93F58" w:rsidRPr="00576D60" w14:paraId="79941319" w14:textId="77777777" w:rsidTr="002F32E3">
        <w:trPr>
          <w:cantSplit/>
        </w:trPr>
        <w:tc>
          <w:tcPr>
            <w:tcW w:w="1500" w:type="pct"/>
            <w:shd w:val="clear" w:color="auto" w:fill="auto"/>
          </w:tcPr>
          <w:p w14:paraId="6352D63B" w14:textId="77777777" w:rsidR="00E93F58" w:rsidRPr="00576D60" w:rsidRDefault="00E93F58" w:rsidP="002F32E3">
            <w:pPr>
              <w:pStyle w:val="ENoteTableText"/>
              <w:tabs>
                <w:tab w:val="left" w:leader="dot" w:pos="2268"/>
              </w:tabs>
            </w:pPr>
            <w:r w:rsidRPr="00576D60">
              <w:t>r. 7.8.04</w:t>
            </w:r>
            <w:r w:rsidRPr="00576D60">
              <w:tab/>
            </w:r>
          </w:p>
        </w:tc>
        <w:tc>
          <w:tcPr>
            <w:tcW w:w="3500" w:type="pct"/>
            <w:shd w:val="clear" w:color="auto" w:fill="auto"/>
          </w:tcPr>
          <w:p w14:paraId="7BF177F6" w14:textId="77777777" w:rsidR="00E93F58" w:rsidRPr="00576D60" w:rsidRDefault="00E93F58" w:rsidP="002F32E3">
            <w:pPr>
              <w:pStyle w:val="ENoteTableText"/>
            </w:pPr>
            <w:r w:rsidRPr="00576D60">
              <w:t>ad. 2001 No. 319</w:t>
            </w:r>
          </w:p>
        </w:tc>
      </w:tr>
      <w:tr w:rsidR="00E93F58" w:rsidRPr="00576D60" w14:paraId="6D669B4D" w14:textId="77777777" w:rsidTr="002F32E3">
        <w:trPr>
          <w:cantSplit/>
        </w:trPr>
        <w:tc>
          <w:tcPr>
            <w:tcW w:w="1500" w:type="pct"/>
            <w:shd w:val="clear" w:color="auto" w:fill="auto"/>
          </w:tcPr>
          <w:p w14:paraId="40AD944D" w14:textId="77777777" w:rsidR="00E93F58" w:rsidRPr="00576D60" w:rsidRDefault="00E93F58" w:rsidP="002F32E3">
            <w:pPr>
              <w:pStyle w:val="ENoteTableText"/>
              <w:tabs>
                <w:tab w:val="left" w:leader="dot" w:pos="2268"/>
              </w:tabs>
            </w:pPr>
            <w:r w:rsidRPr="00576D60">
              <w:t>r 7.8.05</w:t>
            </w:r>
            <w:r w:rsidRPr="00576D60">
              <w:tab/>
            </w:r>
          </w:p>
        </w:tc>
        <w:tc>
          <w:tcPr>
            <w:tcW w:w="3500" w:type="pct"/>
            <w:shd w:val="clear" w:color="auto" w:fill="auto"/>
          </w:tcPr>
          <w:p w14:paraId="5E1F2F4E" w14:textId="77777777" w:rsidR="00E93F58" w:rsidRPr="00576D60" w:rsidRDefault="00E93F58" w:rsidP="002F32E3">
            <w:pPr>
              <w:pStyle w:val="ENoteTableText"/>
            </w:pPr>
            <w:r w:rsidRPr="00576D60">
              <w:t>ad No 319, 2001</w:t>
            </w:r>
          </w:p>
        </w:tc>
      </w:tr>
      <w:tr w:rsidR="00E93F58" w:rsidRPr="00576D60" w14:paraId="799F8047" w14:textId="77777777" w:rsidTr="002F32E3">
        <w:trPr>
          <w:cantSplit/>
        </w:trPr>
        <w:tc>
          <w:tcPr>
            <w:tcW w:w="1500" w:type="pct"/>
            <w:shd w:val="clear" w:color="auto" w:fill="auto"/>
          </w:tcPr>
          <w:p w14:paraId="1460BC41" w14:textId="77777777" w:rsidR="00E93F58" w:rsidRPr="00576D60" w:rsidRDefault="00E93F58" w:rsidP="002F32E3">
            <w:pPr>
              <w:pStyle w:val="ENoteTableText"/>
            </w:pPr>
          </w:p>
        </w:tc>
        <w:tc>
          <w:tcPr>
            <w:tcW w:w="3500" w:type="pct"/>
            <w:shd w:val="clear" w:color="auto" w:fill="auto"/>
          </w:tcPr>
          <w:p w14:paraId="5E22D703" w14:textId="77777777" w:rsidR="00E93F58" w:rsidRPr="00576D60" w:rsidRDefault="00E93F58" w:rsidP="002F32E3">
            <w:pPr>
              <w:pStyle w:val="ENoteTableText"/>
            </w:pPr>
            <w:r w:rsidRPr="00576D60">
              <w:t>am No 41, 2002; F2019L00392</w:t>
            </w:r>
          </w:p>
        </w:tc>
      </w:tr>
      <w:tr w:rsidR="00E93F58" w:rsidRPr="00576D60" w14:paraId="408AE518" w14:textId="77777777" w:rsidTr="002F32E3">
        <w:trPr>
          <w:cantSplit/>
        </w:trPr>
        <w:tc>
          <w:tcPr>
            <w:tcW w:w="1500" w:type="pct"/>
            <w:shd w:val="clear" w:color="auto" w:fill="auto"/>
          </w:tcPr>
          <w:p w14:paraId="77091D19" w14:textId="77777777" w:rsidR="00E93F58" w:rsidRPr="00576D60" w:rsidRDefault="00E93F58" w:rsidP="002F32E3">
            <w:pPr>
              <w:pStyle w:val="ENoteTableText"/>
              <w:tabs>
                <w:tab w:val="center" w:leader="dot" w:pos="2268"/>
              </w:tabs>
              <w:rPr>
                <w:b/>
              </w:rPr>
            </w:pPr>
            <w:r w:rsidRPr="00576D60">
              <w:rPr>
                <w:b/>
              </w:rPr>
              <w:t>Subdivision AA</w:t>
            </w:r>
          </w:p>
        </w:tc>
        <w:tc>
          <w:tcPr>
            <w:tcW w:w="3500" w:type="pct"/>
            <w:shd w:val="clear" w:color="auto" w:fill="auto"/>
          </w:tcPr>
          <w:p w14:paraId="33AE4B48" w14:textId="77777777" w:rsidR="00E93F58" w:rsidRPr="00576D60" w:rsidRDefault="00E93F58" w:rsidP="002F32E3">
            <w:pPr>
              <w:pStyle w:val="ENoteTableText"/>
            </w:pPr>
          </w:p>
        </w:tc>
      </w:tr>
      <w:tr w:rsidR="00E93F58" w:rsidRPr="00576D60" w14:paraId="02C0A843" w14:textId="77777777" w:rsidTr="002F32E3">
        <w:trPr>
          <w:cantSplit/>
        </w:trPr>
        <w:tc>
          <w:tcPr>
            <w:tcW w:w="1500" w:type="pct"/>
            <w:shd w:val="clear" w:color="auto" w:fill="auto"/>
          </w:tcPr>
          <w:p w14:paraId="2B839EB0" w14:textId="77777777" w:rsidR="00E93F58" w:rsidRPr="00576D60" w:rsidRDefault="00E93F58" w:rsidP="002F32E3">
            <w:pPr>
              <w:pStyle w:val="ENoteTableText"/>
              <w:tabs>
                <w:tab w:val="center" w:leader="dot" w:pos="2268"/>
              </w:tabs>
            </w:pPr>
            <w:r w:rsidRPr="00576D60">
              <w:t>Subdivision AA</w:t>
            </w:r>
            <w:r w:rsidRPr="00576D60">
              <w:tab/>
            </w:r>
          </w:p>
        </w:tc>
        <w:tc>
          <w:tcPr>
            <w:tcW w:w="3500" w:type="pct"/>
            <w:shd w:val="clear" w:color="auto" w:fill="auto"/>
          </w:tcPr>
          <w:p w14:paraId="736B9F06" w14:textId="77777777" w:rsidR="00E93F58" w:rsidRPr="00576D60" w:rsidRDefault="00E93F58" w:rsidP="002F32E3">
            <w:pPr>
              <w:pStyle w:val="ENoteTableText"/>
            </w:pPr>
            <w:r w:rsidRPr="00576D60">
              <w:t>ad F2018L00743</w:t>
            </w:r>
          </w:p>
        </w:tc>
      </w:tr>
      <w:tr w:rsidR="00E93F58" w:rsidRPr="00576D60" w14:paraId="6A927E79" w14:textId="77777777" w:rsidTr="002F32E3">
        <w:trPr>
          <w:cantSplit/>
        </w:trPr>
        <w:tc>
          <w:tcPr>
            <w:tcW w:w="1500" w:type="pct"/>
            <w:shd w:val="clear" w:color="auto" w:fill="auto"/>
          </w:tcPr>
          <w:p w14:paraId="3403C837" w14:textId="77777777" w:rsidR="00E93F58" w:rsidRPr="00576D60" w:rsidRDefault="00E93F58" w:rsidP="002F32E3">
            <w:pPr>
              <w:pStyle w:val="ENoteTableText"/>
              <w:tabs>
                <w:tab w:val="center" w:leader="dot" w:pos="2268"/>
              </w:tabs>
            </w:pPr>
            <w:r w:rsidRPr="00576D60">
              <w:t>r 7.8.05A</w:t>
            </w:r>
            <w:r w:rsidRPr="00576D60">
              <w:tab/>
            </w:r>
          </w:p>
        </w:tc>
        <w:tc>
          <w:tcPr>
            <w:tcW w:w="3500" w:type="pct"/>
            <w:shd w:val="clear" w:color="auto" w:fill="auto"/>
          </w:tcPr>
          <w:p w14:paraId="1024B077" w14:textId="77777777" w:rsidR="00E93F58" w:rsidRPr="00576D60" w:rsidRDefault="00E93F58" w:rsidP="002F32E3">
            <w:pPr>
              <w:pStyle w:val="ENoteTableText"/>
            </w:pPr>
            <w:r w:rsidRPr="00576D60">
              <w:t>ad F2018L00743</w:t>
            </w:r>
          </w:p>
        </w:tc>
      </w:tr>
      <w:tr w:rsidR="00E93F58" w:rsidRPr="00576D60" w14:paraId="507A1EBF" w14:textId="77777777" w:rsidTr="002F32E3">
        <w:trPr>
          <w:cantSplit/>
        </w:trPr>
        <w:tc>
          <w:tcPr>
            <w:tcW w:w="1500" w:type="pct"/>
            <w:shd w:val="clear" w:color="auto" w:fill="auto"/>
          </w:tcPr>
          <w:p w14:paraId="110ADF79" w14:textId="77777777" w:rsidR="00E93F58" w:rsidRPr="00576D60" w:rsidRDefault="00E93F58" w:rsidP="002F32E3">
            <w:pPr>
              <w:pStyle w:val="ENoteTableText"/>
              <w:tabs>
                <w:tab w:val="center" w:leader="dot" w:pos="2268"/>
              </w:tabs>
            </w:pPr>
            <w:r w:rsidRPr="00576D60">
              <w:t>r 7.8.05B</w:t>
            </w:r>
            <w:r w:rsidRPr="00576D60">
              <w:tab/>
            </w:r>
          </w:p>
        </w:tc>
        <w:tc>
          <w:tcPr>
            <w:tcW w:w="3500" w:type="pct"/>
            <w:shd w:val="clear" w:color="auto" w:fill="auto"/>
          </w:tcPr>
          <w:p w14:paraId="692BCD91" w14:textId="77777777" w:rsidR="00E93F58" w:rsidRPr="00576D60" w:rsidRDefault="00E93F58" w:rsidP="002F32E3">
            <w:pPr>
              <w:pStyle w:val="ENoteTableText"/>
            </w:pPr>
            <w:r w:rsidRPr="00576D60">
              <w:t>ad F2018L00743</w:t>
            </w:r>
          </w:p>
        </w:tc>
      </w:tr>
      <w:tr w:rsidR="00E93F58" w:rsidRPr="00576D60" w14:paraId="0D7AADE5" w14:textId="77777777" w:rsidTr="002F32E3">
        <w:trPr>
          <w:cantSplit/>
        </w:trPr>
        <w:tc>
          <w:tcPr>
            <w:tcW w:w="1500" w:type="pct"/>
            <w:shd w:val="clear" w:color="auto" w:fill="auto"/>
          </w:tcPr>
          <w:p w14:paraId="77FA74E0" w14:textId="77777777" w:rsidR="00E93F58" w:rsidRPr="00576D60" w:rsidRDefault="00E93F58" w:rsidP="002F32E3">
            <w:pPr>
              <w:pStyle w:val="ENoteTableText"/>
              <w:tabs>
                <w:tab w:val="center" w:leader="dot" w:pos="2268"/>
              </w:tabs>
            </w:pPr>
            <w:r w:rsidRPr="00576D60">
              <w:t>r 7.8.05C</w:t>
            </w:r>
            <w:r w:rsidRPr="00576D60">
              <w:tab/>
            </w:r>
          </w:p>
        </w:tc>
        <w:tc>
          <w:tcPr>
            <w:tcW w:w="3500" w:type="pct"/>
            <w:shd w:val="clear" w:color="auto" w:fill="auto"/>
          </w:tcPr>
          <w:p w14:paraId="5E62C05E" w14:textId="77777777" w:rsidR="00E93F58" w:rsidRPr="00576D60" w:rsidRDefault="00E93F58" w:rsidP="002F32E3">
            <w:pPr>
              <w:pStyle w:val="ENoteTableText"/>
            </w:pPr>
            <w:r w:rsidRPr="00576D60">
              <w:t>ad F2018L00743</w:t>
            </w:r>
          </w:p>
        </w:tc>
      </w:tr>
      <w:tr w:rsidR="00E93F58" w:rsidRPr="00576D60" w14:paraId="003E8DDE" w14:textId="77777777" w:rsidTr="002F32E3">
        <w:trPr>
          <w:cantSplit/>
        </w:trPr>
        <w:tc>
          <w:tcPr>
            <w:tcW w:w="1500" w:type="pct"/>
            <w:shd w:val="clear" w:color="auto" w:fill="auto"/>
          </w:tcPr>
          <w:p w14:paraId="366DD234" w14:textId="77777777" w:rsidR="00E93F58" w:rsidRPr="00576D60" w:rsidRDefault="00E93F58" w:rsidP="002F32E3">
            <w:pPr>
              <w:pStyle w:val="ENoteTableText"/>
              <w:tabs>
                <w:tab w:val="center" w:leader="dot" w:pos="2268"/>
              </w:tabs>
            </w:pPr>
            <w:r w:rsidRPr="00576D60">
              <w:t>r 7.8.05D</w:t>
            </w:r>
            <w:r w:rsidRPr="00576D60">
              <w:tab/>
            </w:r>
          </w:p>
        </w:tc>
        <w:tc>
          <w:tcPr>
            <w:tcW w:w="3500" w:type="pct"/>
            <w:shd w:val="clear" w:color="auto" w:fill="auto"/>
          </w:tcPr>
          <w:p w14:paraId="2E25EE95" w14:textId="77777777" w:rsidR="00E93F58" w:rsidRPr="00576D60" w:rsidRDefault="00E93F58" w:rsidP="002F32E3">
            <w:pPr>
              <w:pStyle w:val="ENoteTableText"/>
            </w:pPr>
            <w:r w:rsidRPr="00576D60">
              <w:t>ad F2018L00743</w:t>
            </w:r>
          </w:p>
        </w:tc>
      </w:tr>
      <w:tr w:rsidR="00E93F58" w:rsidRPr="00576D60" w14:paraId="3FF7D204" w14:textId="77777777" w:rsidTr="002F32E3">
        <w:trPr>
          <w:cantSplit/>
        </w:trPr>
        <w:tc>
          <w:tcPr>
            <w:tcW w:w="1500" w:type="pct"/>
            <w:shd w:val="clear" w:color="auto" w:fill="auto"/>
          </w:tcPr>
          <w:p w14:paraId="7AD538EA" w14:textId="77777777" w:rsidR="00E93F58" w:rsidRPr="00576D60" w:rsidRDefault="00E93F58" w:rsidP="002F32E3">
            <w:pPr>
              <w:pStyle w:val="ENoteTableText"/>
              <w:tabs>
                <w:tab w:val="center" w:leader="dot" w:pos="2268"/>
              </w:tabs>
            </w:pPr>
            <w:r w:rsidRPr="00576D60">
              <w:t>r 7.8.05E</w:t>
            </w:r>
            <w:r w:rsidRPr="00576D60">
              <w:tab/>
            </w:r>
          </w:p>
        </w:tc>
        <w:tc>
          <w:tcPr>
            <w:tcW w:w="3500" w:type="pct"/>
            <w:shd w:val="clear" w:color="auto" w:fill="auto"/>
          </w:tcPr>
          <w:p w14:paraId="60F55CD9" w14:textId="77777777" w:rsidR="00E93F58" w:rsidRPr="00576D60" w:rsidRDefault="00E93F58" w:rsidP="002F32E3">
            <w:pPr>
              <w:pStyle w:val="ENoteTableText"/>
            </w:pPr>
            <w:r w:rsidRPr="00576D60">
              <w:t>ad F2018L00743</w:t>
            </w:r>
          </w:p>
        </w:tc>
      </w:tr>
      <w:tr w:rsidR="00E93F58" w:rsidRPr="00576D60" w14:paraId="0B5544D6" w14:textId="77777777" w:rsidTr="002F32E3">
        <w:trPr>
          <w:cantSplit/>
        </w:trPr>
        <w:tc>
          <w:tcPr>
            <w:tcW w:w="1500" w:type="pct"/>
            <w:shd w:val="clear" w:color="auto" w:fill="auto"/>
          </w:tcPr>
          <w:p w14:paraId="2140AD7C" w14:textId="77777777" w:rsidR="00E93F58" w:rsidRPr="00576D60" w:rsidRDefault="00E93F58" w:rsidP="002F32E3">
            <w:pPr>
              <w:pStyle w:val="ENoteTableText"/>
              <w:tabs>
                <w:tab w:val="center" w:leader="dot" w:pos="2268"/>
              </w:tabs>
            </w:pPr>
            <w:r w:rsidRPr="00576D60">
              <w:t>r 7.8.05F</w:t>
            </w:r>
            <w:r w:rsidRPr="00576D60">
              <w:tab/>
            </w:r>
          </w:p>
        </w:tc>
        <w:tc>
          <w:tcPr>
            <w:tcW w:w="3500" w:type="pct"/>
            <w:shd w:val="clear" w:color="auto" w:fill="auto"/>
          </w:tcPr>
          <w:p w14:paraId="494C3335" w14:textId="77777777" w:rsidR="00E93F58" w:rsidRPr="00576D60" w:rsidRDefault="00E93F58" w:rsidP="002F32E3">
            <w:pPr>
              <w:pStyle w:val="ENoteTableText"/>
            </w:pPr>
            <w:r w:rsidRPr="00576D60">
              <w:t>ad F2018L00743</w:t>
            </w:r>
          </w:p>
        </w:tc>
      </w:tr>
      <w:tr w:rsidR="00E93F58" w:rsidRPr="00576D60" w14:paraId="38FF222E" w14:textId="77777777" w:rsidTr="002F32E3">
        <w:trPr>
          <w:cantSplit/>
        </w:trPr>
        <w:tc>
          <w:tcPr>
            <w:tcW w:w="1500" w:type="pct"/>
            <w:shd w:val="clear" w:color="auto" w:fill="auto"/>
          </w:tcPr>
          <w:p w14:paraId="613E6B48" w14:textId="77777777" w:rsidR="00E93F58" w:rsidRPr="00576D60" w:rsidRDefault="00E93F58" w:rsidP="002F32E3">
            <w:pPr>
              <w:pStyle w:val="ENoteTableText"/>
              <w:tabs>
                <w:tab w:val="center" w:leader="dot" w:pos="2268"/>
              </w:tabs>
            </w:pPr>
            <w:r w:rsidRPr="00576D60">
              <w:t>r 7.8.05G</w:t>
            </w:r>
            <w:r w:rsidRPr="00576D60">
              <w:tab/>
            </w:r>
          </w:p>
        </w:tc>
        <w:tc>
          <w:tcPr>
            <w:tcW w:w="3500" w:type="pct"/>
            <w:shd w:val="clear" w:color="auto" w:fill="auto"/>
          </w:tcPr>
          <w:p w14:paraId="32A68312" w14:textId="77777777" w:rsidR="00E93F58" w:rsidRPr="00576D60" w:rsidRDefault="00E93F58" w:rsidP="002F32E3">
            <w:pPr>
              <w:pStyle w:val="ENoteTableText"/>
            </w:pPr>
            <w:r w:rsidRPr="00576D60">
              <w:t>ad F2018L00743</w:t>
            </w:r>
          </w:p>
        </w:tc>
      </w:tr>
      <w:tr w:rsidR="00E93F58" w:rsidRPr="00576D60" w14:paraId="46FAB140" w14:textId="77777777" w:rsidTr="002F32E3">
        <w:trPr>
          <w:cantSplit/>
        </w:trPr>
        <w:tc>
          <w:tcPr>
            <w:tcW w:w="1500" w:type="pct"/>
            <w:shd w:val="clear" w:color="auto" w:fill="auto"/>
          </w:tcPr>
          <w:p w14:paraId="2ECF13FB" w14:textId="77777777" w:rsidR="00E93F58" w:rsidRPr="00576D60" w:rsidRDefault="00E93F58" w:rsidP="002F32E3">
            <w:pPr>
              <w:pStyle w:val="ENoteTableText"/>
              <w:tabs>
                <w:tab w:val="center" w:leader="dot" w:pos="2268"/>
              </w:tabs>
            </w:pPr>
          </w:p>
        </w:tc>
        <w:tc>
          <w:tcPr>
            <w:tcW w:w="3500" w:type="pct"/>
            <w:shd w:val="clear" w:color="auto" w:fill="auto"/>
          </w:tcPr>
          <w:p w14:paraId="593E52C8" w14:textId="77777777" w:rsidR="00E93F58" w:rsidRPr="00576D60" w:rsidRDefault="00E93F58" w:rsidP="002F32E3">
            <w:pPr>
              <w:pStyle w:val="ENoteTableText"/>
            </w:pPr>
            <w:r w:rsidRPr="00576D60">
              <w:t>am F2019L00392</w:t>
            </w:r>
          </w:p>
        </w:tc>
      </w:tr>
      <w:tr w:rsidR="00E93F58" w:rsidRPr="00576D60" w14:paraId="05954A40" w14:textId="77777777" w:rsidTr="002F32E3">
        <w:trPr>
          <w:cantSplit/>
        </w:trPr>
        <w:tc>
          <w:tcPr>
            <w:tcW w:w="1500" w:type="pct"/>
            <w:shd w:val="clear" w:color="auto" w:fill="auto"/>
          </w:tcPr>
          <w:p w14:paraId="1A6EC1FD" w14:textId="77777777" w:rsidR="00E93F58" w:rsidRPr="00576D60" w:rsidRDefault="00E93F58" w:rsidP="002F32E3">
            <w:pPr>
              <w:pStyle w:val="ENoteTableText"/>
              <w:tabs>
                <w:tab w:val="center" w:leader="dot" w:pos="2268"/>
              </w:tabs>
            </w:pPr>
            <w:r w:rsidRPr="00576D60">
              <w:t>r 7.8.05H</w:t>
            </w:r>
            <w:r w:rsidRPr="00576D60">
              <w:tab/>
            </w:r>
          </w:p>
        </w:tc>
        <w:tc>
          <w:tcPr>
            <w:tcW w:w="3500" w:type="pct"/>
            <w:shd w:val="clear" w:color="auto" w:fill="auto"/>
          </w:tcPr>
          <w:p w14:paraId="2614C34E" w14:textId="77777777" w:rsidR="00E93F58" w:rsidRPr="00576D60" w:rsidRDefault="00E93F58" w:rsidP="002F32E3">
            <w:pPr>
              <w:pStyle w:val="ENoteTableText"/>
            </w:pPr>
            <w:r w:rsidRPr="00576D60">
              <w:t>ad F2018L00743</w:t>
            </w:r>
          </w:p>
        </w:tc>
      </w:tr>
      <w:tr w:rsidR="00E93F58" w:rsidRPr="00576D60" w14:paraId="68E26B6E" w14:textId="77777777" w:rsidTr="002F32E3">
        <w:trPr>
          <w:cantSplit/>
        </w:trPr>
        <w:tc>
          <w:tcPr>
            <w:tcW w:w="1500" w:type="pct"/>
            <w:shd w:val="clear" w:color="auto" w:fill="auto"/>
          </w:tcPr>
          <w:p w14:paraId="4B4E3498" w14:textId="77777777" w:rsidR="00E93F58" w:rsidRPr="00576D60" w:rsidRDefault="00E93F58" w:rsidP="002F32E3">
            <w:pPr>
              <w:pStyle w:val="ENoteTableText"/>
              <w:tabs>
                <w:tab w:val="center" w:leader="dot" w:pos="2268"/>
              </w:tabs>
            </w:pPr>
            <w:r w:rsidRPr="00576D60">
              <w:t>r 7.8.05J</w:t>
            </w:r>
            <w:r w:rsidRPr="00576D60">
              <w:tab/>
            </w:r>
          </w:p>
        </w:tc>
        <w:tc>
          <w:tcPr>
            <w:tcW w:w="3500" w:type="pct"/>
            <w:shd w:val="clear" w:color="auto" w:fill="auto"/>
          </w:tcPr>
          <w:p w14:paraId="12447FAB" w14:textId="77777777" w:rsidR="00E93F58" w:rsidRPr="00576D60" w:rsidRDefault="00E93F58" w:rsidP="002F32E3">
            <w:pPr>
              <w:pStyle w:val="ENoteTableText"/>
            </w:pPr>
            <w:r w:rsidRPr="00576D60">
              <w:t>ad F2018L00743</w:t>
            </w:r>
          </w:p>
        </w:tc>
      </w:tr>
      <w:tr w:rsidR="00E93F58" w:rsidRPr="00576D60" w14:paraId="4FF16660" w14:textId="77777777" w:rsidTr="002F32E3">
        <w:trPr>
          <w:cantSplit/>
        </w:trPr>
        <w:tc>
          <w:tcPr>
            <w:tcW w:w="1500" w:type="pct"/>
            <w:shd w:val="clear" w:color="auto" w:fill="auto"/>
          </w:tcPr>
          <w:p w14:paraId="51405086" w14:textId="77777777" w:rsidR="00E93F58" w:rsidRPr="00576D60" w:rsidRDefault="00E93F58" w:rsidP="002F32E3">
            <w:pPr>
              <w:pStyle w:val="ENoteTableText"/>
              <w:tabs>
                <w:tab w:val="center" w:leader="dot" w:pos="2268"/>
              </w:tabs>
            </w:pPr>
            <w:r w:rsidRPr="00576D60">
              <w:t>r 7.8.05K</w:t>
            </w:r>
            <w:r w:rsidRPr="00576D60">
              <w:tab/>
            </w:r>
          </w:p>
        </w:tc>
        <w:tc>
          <w:tcPr>
            <w:tcW w:w="3500" w:type="pct"/>
            <w:shd w:val="clear" w:color="auto" w:fill="auto"/>
          </w:tcPr>
          <w:p w14:paraId="2B5DFE4C" w14:textId="77777777" w:rsidR="00E93F58" w:rsidRPr="00576D60" w:rsidRDefault="00E93F58" w:rsidP="002F32E3">
            <w:pPr>
              <w:pStyle w:val="ENoteTableText"/>
            </w:pPr>
            <w:r w:rsidRPr="00576D60">
              <w:t>ad F2018L00743</w:t>
            </w:r>
          </w:p>
        </w:tc>
      </w:tr>
      <w:tr w:rsidR="00E93F58" w:rsidRPr="00576D60" w14:paraId="50B6163F" w14:textId="77777777" w:rsidTr="002F32E3">
        <w:trPr>
          <w:cantSplit/>
        </w:trPr>
        <w:tc>
          <w:tcPr>
            <w:tcW w:w="1500" w:type="pct"/>
            <w:shd w:val="clear" w:color="auto" w:fill="auto"/>
          </w:tcPr>
          <w:p w14:paraId="7AF156A0" w14:textId="77777777" w:rsidR="00E93F58" w:rsidRPr="00576D60" w:rsidRDefault="00E93F58" w:rsidP="002F32E3">
            <w:pPr>
              <w:pStyle w:val="ENoteTableText"/>
              <w:tabs>
                <w:tab w:val="center" w:leader="dot" w:pos="2268"/>
              </w:tabs>
            </w:pPr>
            <w:r w:rsidRPr="00576D60">
              <w:t>r 7.8.05L</w:t>
            </w:r>
            <w:r w:rsidRPr="00576D60">
              <w:tab/>
            </w:r>
          </w:p>
        </w:tc>
        <w:tc>
          <w:tcPr>
            <w:tcW w:w="3500" w:type="pct"/>
            <w:shd w:val="clear" w:color="auto" w:fill="auto"/>
          </w:tcPr>
          <w:p w14:paraId="17952B98" w14:textId="77777777" w:rsidR="00E93F58" w:rsidRPr="00576D60" w:rsidRDefault="00E93F58" w:rsidP="002F32E3">
            <w:pPr>
              <w:pStyle w:val="ENoteTableText"/>
            </w:pPr>
            <w:r w:rsidRPr="00576D60">
              <w:t>ad F2018L00743</w:t>
            </w:r>
          </w:p>
        </w:tc>
      </w:tr>
      <w:tr w:rsidR="00E93F58" w:rsidRPr="00576D60" w14:paraId="1BCE62D4" w14:textId="77777777" w:rsidTr="002F32E3">
        <w:trPr>
          <w:cantSplit/>
        </w:trPr>
        <w:tc>
          <w:tcPr>
            <w:tcW w:w="1500" w:type="pct"/>
            <w:shd w:val="clear" w:color="auto" w:fill="auto"/>
          </w:tcPr>
          <w:p w14:paraId="74805948" w14:textId="77777777" w:rsidR="00E93F58" w:rsidRPr="00576D60" w:rsidRDefault="00E93F58" w:rsidP="002F32E3">
            <w:pPr>
              <w:pStyle w:val="ENoteTableText"/>
              <w:tabs>
                <w:tab w:val="center" w:leader="dot" w:pos="2268"/>
              </w:tabs>
            </w:pPr>
            <w:r w:rsidRPr="00576D60">
              <w:t>r 7.8.05M</w:t>
            </w:r>
            <w:r w:rsidRPr="00576D60">
              <w:tab/>
            </w:r>
          </w:p>
        </w:tc>
        <w:tc>
          <w:tcPr>
            <w:tcW w:w="3500" w:type="pct"/>
            <w:shd w:val="clear" w:color="auto" w:fill="auto"/>
          </w:tcPr>
          <w:p w14:paraId="7AEE1CA8" w14:textId="77777777" w:rsidR="00E93F58" w:rsidRPr="00576D60" w:rsidRDefault="00E93F58" w:rsidP="002F32E3">
            <w:pPr>
              <w:pStyle w:val="ENoteTableText"/>
            </w:pPr>
            <w:r w:rsidRPr="00576D60">
              <w:t>ad F2018L00743</w:t>
            </w:r>
          </w:p>
        </w:tc>
      </w:tr>
      <w:tr w:rsidR="00E93F58" w:rsidRPr="00576D60" w14:paraId="07CE5D9F" w14:textId="77777777" w:rsidTr="002F32E3">
        <w:trPr>
          <w:cantSplit/>
        </w:trPr>
        <w:tc>
          <w:tcPr>
            <w:tcW w:w="1500" w:type="pct"/>
            <w:shd w:val="clear" w:color="auto" w:fill="auto"/>
          </w:tcPr>
          <w:p w14:paraId="57B213FD" w14:textId="77777777" w:rsidR="00E93F58" w:rsidRPr="00576D60" w:rsidRDefault="00E93F58" w:rsidP="002F32E3">
            <w:pPr>
              <w:pStyle w:val="ENoteTableText"/>
              <w:tabs>
                <w:tab w:val="center" w:leader="dot" w:pos="2268"/>
              </w:tabs>
            </w:pPr>
            <w:r w:rsidRPr="00576D60">
              <w:t>r 7.8.05N</w:t>
            </w:r>
            <w:r w:rsidRPr="00576D60">
              <w:tab/>
            </w:r>
          </w:p>
        </w:tc>
        <w:tc>
          <w:tcPr>
            <w:tcW w:w="3500" w:type="pct"/>
            <w:shd w:val="clear" w:color="auto" w:fill="auto"/>
          </w:tcPr>
          <w:p w14:paraId="65B5BADB" w14:textId="77777777" w:rsidR="00E93F58" w:rsidRPr="00576D60" w:rsidRDefault="00E93F58" w:rsidP="002F32E3">
            <w:pPr>
              <w:pStyle w:val="ENoteTableText"/>
            </w:pPr>
            <w:r w:rsidRPr="00576D60">
              <w:t>ad F2018L00743</w:t>
            </w:r>
          </w:p>
        </w:tc>
      </w:tr>
      <w:tr w:rsidR="00E93F58" w:rsidRPr="00576D60" w14:paraId="0A6CD5C9" w14:textId="77777777" w:rsidTr="002F32E3">
        <w:trPr>
          <w:cantSplit/>
        </w:trPr>
        <w:tc>
          <w:tcPr>
            <w:tcW w:w="1500" w:type="pct"/>
            <w:shd w:val="clear" w:color="auto" w:fill="auto"/>
          </w:tcPr>
          <w:p w14:paraId="12EA4C1F" w14:textId="77777777" w:rsidR="00E93F58" w:rsidRPr="00576D60" w:rsidRDefault="00E93F58" w:rsidP="002F32E3">
            <w:pPr>
              <w:pStyle w:val="ENoteTableText"/>
              <w:tabs>
                <w:tab w:val="center" w:leader="dot" w:pos="2268"/>
              </w:tabs>
            </w:pPr>
            <w:r w:rsidRPr="00576D60">
              <w:t>r 7.8.05P</w:t>
            </w:r>
            <w:r w:rsidRPr="00576D60">
              <w:tab/>
            </w:r>
          </w:p>
        </w:tc>
        <w:tc>
          <w:tcPr>
            <w:tcW w:w="3500" w:type="pct"/>
            <w:shd w:val="clear" w:color="auto" w:fill="auto"/>
          </w:tcPr>
          <w:p w14:paraId="4176ECF2" w14:textId="77777777" w:rsidR="00E93F58" w:rsidRPr="00576D60" w:rsidRDefault="00E93F58" w:rsidP="002F32E3">
            <w:pPr>
              <w:pStyle w:val="ENoteTableText"/>
            </w:pPr>
            <w:r w:rsidRPr="00576D60">
              <w:t>ad F2018L00743</w:t>
            </w:r>
          </w:p>
        </w:tc>
      </w:tr>
      <w:tr w:rsidR="00E93F58" w:rsidRPr="00576D60" w14:paraId="6BB2A99F" w14:textId="77777777" w:rsidTr="002F32E3">
        <w:trPr>
          <w:cantSplit/>
        </w:trPr>
        <w:tc>
          <w:tcPr>
            <w:tcW w:w="1500" w:type="pct"/>
            <w:shd w:val="clear" w:color="auto" w:fill="auto"/>
          </w:tcPr>
          <w:p w14:paraId="0C5239A5" w14:textId="77777777" w:rsidR="00E93F58" w:rsidRPr="00576D60" w:rsidRDefault="00E93F58" w:rsidP="002F32E3">
            <w:pPr>
              <w:pStyle w:val="ENoteTableText"/>
              <w:tabs>
                <w:tab w:val="center" w:leader="dot" w:pos="2268"/>
              </w:tabs>
            </w:pPr>
            <w:r w:rsidRPr="00576D60">
              <w:t>r 7.8.05Q</w:t>
            </w:r>
            <w:r w:rsidRPr="00576D60">
              <w:tab/>
            </w:r>
          </w:p>
        </w:tc>
        <w:tc>
          <w:tcPr>
            <w:tcW w:w="3500" w:type="pct"/>
            <w:shd w:val="clear" w:color="auto" w:fill="auto"/>
          </w:tcPr>
          <w:p w14:paraId="497A1634" w14:textId="77777777" w:rsidR="00E93F58" w:rsidRPr="00576D60" w:rsidRDefault="00E93F58" w:rsidP="002F32E3">
            <w:pPr>
              <w:pStyle w:val="ENoteTableText"/>
            </w:pPr>
            <w:r w:rsidRPr="00576D60">
              <w:t>ad F2018L00743</w:t>
            </w:r>
          </w:p>
        </w:tc>
      </w:tr>
      <w:tr w:rsidR="00E93F58" w:rsidRPr="00576D60" w14:paraId="136013A7" w14:textId="77777777" w:rsidTr="002F32E3">
        <w:trPr>
          <w:cantSplit/>
        </w:trPr>
        <w:tc>
          <w:tcPr>
            <w:tcW w:w="1500" w:type="pct"/>
            <w:shd w:val="clear" w:color="auto" w:fill="auto"/>
          </w:tcPr>
          <w:p w14:paraId="402225B5" w14:textId="77777777" w:rsidR="00E93F58" w:rsidRPr="00576D60" w:rsidRDefault="00E93F58" w:rsidP="002F32E3">
            <w:pPr>
              <w:pStyle w:val="ENoteTableText"/>
              <w:tabs>
                <w:tab w:val="center" w:leader="dot" w:pos="2268"/>
              </w:tabs>
              <w:rPr>
                <w:b/>
              </w:rPr>
            </w:pPr>
            <w:r w:rsidRPr="00576D60">
              <w:rPr>
                <w:b/>
              </w:rPr>
              <w:t>Subdivision B</w:t>
            </w:r>
          </w:p>
        </w:tc>
        <w:tc>
          <w:tcPr>
            <w:tcW w:w="3500" w:type="pct"/>
            <w:shd w:val="clear" w:color="auto" w:fill="auto"/>
          </w:tcPr>
          <w:p w14:paraId="790D6EC9" w14:textId="77777777" w:rsidR="00E93F58" w:rsidRPr="00576D60" w:rsidRDefault="00E93F58" w:rsidP="002F32E3">
            <w:pPr>
              <w:pStyle w:val="ENoteTableText"/>
            </w:pPr>
          </w:p>
        </w:tc>
      </w:tr>
      <w:tr w:rsidR="00E93F58" w:rsidRPr="00576D60" w14:paraId="08E76D3E" w14:textId="77777777" w:rsidTr="002F32E3">
        <w:trPr>
          <w:cantSplit/>
        </w:trPr>
        <w:tc>
          <w:tcPr>
            <w:tcW w:w="1500" w:type="pct"/>
            <w:shd w:val="clear" w:color="auto" w:fill="auto"/>
          </w:tcPr>
          <w:p w14:paraId="67DEA03E" w14:textId="77777777" w:rsidR="00E93F58" w:rsidRPr="00576D60" w:rsidRDefault="00E93F58" w:rsidP="002F32E3">
            <w:pPr>
              <w:pStyle w:val="ENoteTableText"/>
              <w:tabs>
                <w:tab w:val="center" w:leader="dot" w:pos="2268"/>
              </w:tabs>
            </w:pPr>
            <w:r w:rsidRPr="00576D60">
              <w:t>Subdivision B heading</w:t>
            </w:r>
            <w:r w:rsidRPr="00576D60">
              <w:tab/>
            </w:r>
          </w:p>
        </w:tc>
        <w:tc>
          <w:tcPr>
            <w:tcW w:w="3500" w:type="pct"/>
            <w:shd w:val="clear" w:color="auto" w:fill="auto"/>
          </w:tcPr>
          <w:p w14:paraId="62B65BAA" w14:textId="77777777" w:rsidR="00E93F58" w:rsidRPr="00576D60" w:rsidRDefault="00E93F58" w:rsidP="002F32E3">
            <w:pPr>
              <w:pStyle w:val="ENoteTableText"/>
            </w:pPr>
            <w:r w:rsidRPr="00576D60">
              <w:t>ad F2018L00743</w:t>
            </w:r>
          </w:p>
        </w:tc>
      </w:tr>
      <w:tr w:rsidR="00E93F58" w:rsidRPr="00576D60" w14:paraId="0C292D62" w14:textId="77777777" w:rsidTr="002F32E3">
        <w:trPr>
          <w:cantSplit/>
        </w:trPr>
        <w:tc>
          <w:tcPr>
            <w:tcW w:w="1500" w:type="pct"/>
            <w:shd w:val="clear" w:color="auto" w:fill="auto"/>
          </w:tcPr>
          <w:p w14:paraId="315686E4" w14:textId="77777777" w:rsidR="00E93F58" w:rsidRPr="00576D60" w:rsidRDefault="00E93F58" w:rsidP="002F32E3">
            <w:pPr>
              <w:pStyle w:val="ENoteTableText"/>
              <w:tabs>
                <w:tab w:val="left" w:leader="dot" w:pos="2268"/>
              </w:tabs>
            </w:pPr>
            <w:r w:rsidRPr="00576D60">
              <w:t>r. 7.8.06</w:t>
            </w:r>
            <w:r w:rsidRPr="00576D60">
              <w:tab/>
            </w:r>
          </w:p>
        </w:tc>
        <w:tc>
          <w:tcPr>
            <w:tcW w:w="3500" w:type="pct"/>
            <w:shd w:val="clear" w:color="auto" w:fill="auto"/>
          </w:tcPr>
          <w:p w14:paraId="5F81A87A" w14:textId="77777777" w:rsidR="00E93F58" w:rsidRPr="00576D60" w:rsidRDefault="00E93F58" w:rsidP="002F32E3">
            <w:pPr>
              <w:pStyle w:val="ENoteTableText"/>
            </w:pPr>
            <w:r w:rsidRPr="00576D60">
              <w:t>ad. 2001 No. 319</w:t>
            </w:r>
          </w:p>
        </w:tc>
      </w:tr>
      <w:tr w:rsidR="00E93F58" w:rsidRPr="00576D60" w14:paraId="75878F1E" w14:textId="77777777" w:rsidTr="002F32E3">
        <w:trPr>
          <w:cantSplit/>
        </w:trPr>
        <w:tc>
          <w:tcPr>
            <w:tcW w:w="1500" w:type="pct"/>
            <w:shd w:val="clear" w:color="auto" w:fill="auto"/>
          </w:tcPr>
          <w:p w14:paraId="22BED302" w14:textId="77777777" w:rsidR="00E93F58" w:rsidRPr="00576D60" w:rsidRDefault="00E93F58" w:rsidP="002F32E3">
            <w:pPr>
              <w:pStyle w:val="ENoteTableText"/>
              <w:keepNext/>
              <w:tabs>
                <w:tab w:val="left" w:leader="dot" w:pos="2268"/>
              </w:tabs>
              <w:rPr>
                <w:b/>
              </w:rPr>
            </w:pPr>
            <w:r w:rsidRPr="00576D60">
              <w:rPr>
                <w:b/>
              </w:rPr>
              <w:t>Division 3</w:t>
            </w:r>
          </w:p>
        </w:tc>
        <w:tc>
          <w:tcPr>
            <w:tcW w:w="3500" w:type="pct"/>
            <w:shd w:val="clear" w:color="auto" w:fill="auto"/>
          </w:tcPr>
          <w:p w14:paraId="0DB1B55E" w14:textId="77777777" w:rsidR="00E93F58" w:rsidRPr="00576D60" w:rsidRDefault="00E93F58" w:rsidP="002F32E3">
            <w:pPr>
              <w:pStyle w:val="ENoteTableText"/>
            </w:pPr>
          </w:p>
        </w:tc>
      </w:tr>
      <w:tr w:rsidR="00E93F58" w:rsidRPr="00576D60" w14:paraId="0DE87CB6" w14:textId="77777777" w:rsidTr="002F32E3">
        <w:trPr>
          <w:cantSplit/>
        </w:trPr>
        <w:tc>
          <w:tcPr>
            <w:tcW w:w="1500" w:type="pct"/>
            <w:shd w:val="clear" w:color="auto" w:fill="auto"/>
          </w:tcPr>
          <w:p w14:paraId="6C8A6609" w14:textId="77777777" w:rsidR="00E93F58" w:rsidRPr="00576D60" w:rsidRDefault="00E93F58" w:rsidP="002F32E3">
            <w:pPr>
              <w:pStyle w:val="ENoteTableText"/>
              <w:tabs>
                <w:tab w:val="left" w:leader="dot" w:pos="2268"/>
              </w:tabs>
            </w:pPr>
            <w:r w:rsidRPr="00576D60">
              <w:t>Division 3 heading</w:t>
            </w:r>
            <w:r w:rsidRPr="00576D60">
              <w:tab/>
            </w:r>
          </w:p>
        </w:tc>
        <w:tc>
          <w:tcPr>
            <w:tcW w:w="3500" w:type="pct"/>
            <w:shd w:val="clear" w:color="auto" w:fill="auto"/>
          </w:tcPr>
          <w:p w14:paraId="14795617" w14:textId="77777777" w:rsidR="00E93F58" w:rsidRPr="00576D60" w:rsidRDefault="00E93F58" w:rsidP="002F32E3">
            <w:pPr>
              <w:pStyle w:val="ENoteTableText"/>
            </w:pPr>
            <w:r w:rsidRPr="00576D60">
              <w:t>ad F2018L00743</w:t>
            </w:r>
          </w:p>
        </w:tc>
      </w:tr>
      <w:tr w:rsidR="00E93F58" w:rsidRPr="00576D60" w14:paraId="353C9A14" w14:textId="77777777" w:rsidTr="002F32E3">
        <w:trPr>
          <w:cantSplit/>
        </w:trPr>
        <w:tc>
          <w:tcPr>
            <w:tcW w:w="1500" w:type="pct"/>
            <w:shd w:val="clear" w:color="auto" w:fill="auto"/>
          </w:tcPr>
          <w:p w14:paraId="2B05091E" w14:textId="77777777" w:rsidR="00E93F58" w:rsidRPr="00576D60" w:rsidRDefault="00E93F58" w:rsidP="002F32E3">
            <w:pPr>
              <w:pStyle w:val="ENoteTableText"/>
              <w:tabs>
                <w:tab w:val="left" w:leader="dot" w:pos="2268"/>
              </w:tabs>
            </w:pPr>
            <w:r w:rsidRPr="00576D60">
              <w:t>r. 7.8.06A</w:t>
            </w:r>
            <w:r w:rsidRPr="00576D60">
              <w:tab/>
            </w:r>
          </w:p>
        </w:tc>
        <w:tc>
          <w:tcPr>
            <w:tcW w:w="3500" w:type="pct"/>
            <w:shd w:val="clear" w:color="auto" w:fill="auto"/>
          </w:tcPr>
          <w:p w14:paraId="7B3B83CF" w14:textId="77777777" w:rsidR="00E93F58" w:rsidRPr="00576D60" w:rsidRDefault="00E93F58" w:rsidP="002F32E3">
            <w:pPr>
              <w:pStyle w:val="ENoteTableText"/>
            </w:pPr>
            <w:r w:rsidRPr="00576D60">
              <w:t>ad. 2010 No. 89</w:t>
            </w:r>
          </w:p>
        </w:tc>
      </w:tr>
      <w:tr w:rsidR="00E93F58" w:rsidRPr="00576D60" w14:paraId="11340B7B" w14:textId="77777777" w:rsidTr="002F32E3">
        <w:trPr>
          <w:cantSplit/>
        </w:trPr>
        <w:tc>
          <w:tcPr>
            <w:tcW w:w="1500" w:type="pct"/>
            <w:shd w:val="clear" w:color="auto" w:fill="auto"/>
          </w:tcPr>
          <w:p w14:paraId="70EFD119" w14:textId="77777777" w:rsidR="00E93F58" w:rsidRPr="00576D60" w:rsidRDefault="00E93F58" w:rsidP="002F32E3">
            <w:pPr>
              <w:pStyle w:val="ENoteTableText"/>
              <w:tabs>
                <w:tab w:val="left" w:leader="dot" w:pos="2268"/>
              </w:tabs>
            </w:pPr>
            <w:r w:rsidRPr="00576D60">
              <w:t>r 7.8.06B</w:t>
            </w:r>
            <w:r w:rsidRPr="00576D60">
              <w:tab/>
            </w:r>
          </w:p>
        </w:tc>
        <w:tc>
          <w:tcPr>
            <w:tcW w:w="3500" w:type="pct"/>
            <w:shd w:val="clear" w:color="auto" w:fill="auto"/>
          </w:tcPr>
          <w:p w14:paraId="3B359223" w14:textId="77777777" w:rsidR="00E93F58" w:rsidRPr="00576D60" w:rsidRDefault="00E93F58" w:rsidP="002F32E3">
            <w:pPr>
              <w:pStyle w:val="ENoteTableText"/>
            </w:pPr>
            <w:r w:rsidRPr="00576D60">
              <w:t>ad F2016L01657</w:t>
            </w:r>
          </w:p>
        </w:tc>
      </w:tr>
      <w:tr w:rsidR="00E93F58" w:rsidRPr="00576D60" w14:paraId="126A59ED" w14:textId="77777777" w:rsidTr="002F32E3">
        <w:trPr>
          <w:cantSplit/>
        </w:trPr>
        <w:tc>
          <w:tcPr>
            <w:tcW w:w="1500" w:type="pct"/>
            <w:shd w:val="clear" w:color="auto" w:fill="auto"/>
          </w:tcPr>
          <w:p w14:paraId="14A91B18" w14:textId="77777777" w:rsidR="00E93F58" w:rsidRPr="00576D60" w:rsidRDefault="00E93F58" w:rsidP="002F32E3">
            <w:pPr>
              <w:pStyle w:val="ENoteTableText"/>
              <w:tabs>
                <w:tab w:val="left" w:leader="dot" w:pos="2268"/>
              </w:tabs>
            </w:pPr>
            <w:r w:rsidRPr="00576D60">
              <w:t>r 7.8.07</w:t>
            </w:r>
            <w:r w:rsidRPr="00576D60">
              <w:tab/>
            </w:r>
          </w:p>
        </w:tc>
        <w:tc>
          <w:tcPr>
            <w:tcW w:w="3500" w:type="pct"/>
            <w:shd w:val="clear" w:color="auto" w:fill="auto"/>
          </w:tcPr>
          <w:p w14:paraId="36811E0B" w14:textId="77777777" w:rsidR="00E93F58" w:rsidRPr="00576D60" w:rsidRDefault="00E93F58" w:rsidP="002F32E3">
            <w:pPr>
              <w:pStyle w:val="ENoteTableText"/>
            </w:pPr>
            <w:r w:rsidRPr="00576D60">
              <w:t>ad No 319, 2001</w:t>
            </w:r>
          </w:p>
        </w:tc>
      </w:tr>
      <w:tr w:rsidR="00E93F58" w:rsidRPr="00576D60" w14:paraId="3CCC988A" w14:textId="77777777" w:rsidTr="002F32E3">
        <w:trPr>
          <w:cantSplit/>
        </w:trPr>
        <w:tc>
          <w:tcPr>
            <w:tcW w:w="1500" w:type="pct"/>
            <w:shd w:val="clear" w:color="auto" w:fill="auto"/>
          </w:tcPr>
          <w:p w14:paraId="150888FB" w14:textId="77777777" w:rsidR="00E93F58" w:rsidRPr="00576D60" w:rsidRDefault="00E93F58" w:rsidP="002F32E3">
            <w:pPr>
              <w:pStyle w:val="ENoteTableText"/>
              <w:tabs>
                <w:tab w:val="left" w:leader="dot" w:pos="2268"/>
              </w:tabs>
            </w:pPr>
          </w:p>
        </w:tc>
        <w:tc>
          <w:tcPr>
            <w:tcW w:w="3500" w:type="pct"/>
            <w:shd w:val="clear" w:color="auto" w:fill="auto"/>
          </w:tcPr>
          <w:p w14:paraId="037BBB49" w14:textId="77777777" w:rsidR="00E93F58" w:rsidRPr="00576D60" w:rsidRDefault="00E93F58" w:rsidP="002F32E3">
            <w:pPr>
              <w:pStyle w:val="ENoteTableText"/>
            </w:pPr>
            <w:r w:rsidRPr="00576D60">
              <w:t>am F2018L01144</w:t>
            </w:r>
            <w:r>
              <w:t>; F2023L01458</w:t>
            </w:r>
          </w:p>
        </w:tc>
      </w:tr>
      <w:tr w:rsidR="00E93F58" w:rsidRPr="00576D60" w14:paraId="693F8195" w14:textId="77777777" w:rsidTr="002F32E3">
        <w:trPr>
          <w:cantSplit/>
        </w:trPr>
        <w:tc>
          <w:tcPr>
            <w:tcW w:w="1500" w:type="pct"/>
            <w:shd w:val="clear" w:color="auto" w:fill="auto"/>
          </w:tcPr>
          <w:p w14:paraId="1004C8BE" w14:textId="77777777" w:rsidR="00E93F58" w:rsidRPr="00576D60" w:rsidRDefault="00E93F58" w:rsidP="006F2815">
            <w:pPr>
              <w:pStyle w:val="ENoteTableText"/>
              <w:keepNext/>
              <w:tabs>
                <w:tab w:val="left" w:leader="dot" w:pos="2268"/>
              </w:tabs>
              <w:rPr>
                <w:b/>
              </w:rPr>
            </w:pPr>
            <w:r w:rsidRPr="00576D60">
              <w:rPr>
                <w:b/>
              </w:rPr>
              <w:t>Division 4</w:t>
            </w:r>
          </w:p>
        </w:tc>
        <w:tc>
          <w:tcPr>
            <w:tcW w:w="3500" w:type="pct"/>
            <w:shd w:val="clear" w:color="auto" w:fill="auto"/>
          </w:tcPr>
          <w:p w14:paraId="2295D600" w14:textId="77777777" w:rsidR="00E93F58" w:rsidRPr="00576D60" w:rsidRDefault="00E93F58" w:rsidP="002F32E3">
            <w:pPr>
              <w:pStyle w:val="ENoteTableText"/>
            </w:pPr>
          </w:p>
        </w:tc>
      </w:tr>
      <w:tr w:rsidR="00E93F58" w:rsidRPr="00576D60" w14:paraId="79B71E93" w14:textId="77777777" w:rsidTr="002F32E3">
        <w:trPr>
          <w:cantSplit/>
        </w:trPr>
        <w:tc>
          <w:tcPr>
            <w:tcW w:w="1500" w:type="pct"/>
            <w:shd w:val="clear" w:color="auto" w:fill="auto"/>
          </w:tcPr>
          <w:p w14:paraId="445B2B30" w14:textId="77777777" w:rsidR="00E93F58" w:rsidRPr="00576D60" w:rsidRDefault="00E93F58" w:rsidP="002F32E3">
            <w:pPr>
              <w:pStyle w:val="ENoteTableText"/>
              <w:tabs>
                <w:tab w:val="left" w:leader="dot" w:pos="2268"/>
              </w:tabs>
            </w:pPr>
            <w:r w:rsidRPr="00576D60">
              <w:t>Division 4 heading</w:t>
            </w:r>
            <w:r w:rsidRPr="00576D60">
              <w:tab/>
            </w:r>
          </w:p>
        </w:tc>
        <w:tc>
          <w:tcPr>
            <w:tcW w:w="3500" w:type="pct"/>
            <w:shd w:val="clear" w:color="auto" w:fill="auto"/>
          </w:tcPr>
          <w:p w14:paraId="7894A627" w14:textId="77777777" w:rsidR="00E93F58" w:rsidRPr="00576D60" w:rsidRDefault="00E93F58" w:rsidP="002F32E3">
            <w:pPr>
              <w:pStyle w:val="ENoteTableText"/>
            </w:pPr>
            <w:r w:rsidRPr="00576D60">
              <w:t>ad F2018L00743</w:t>
            </w:r>
          </w:p>
        </w:tc>
      </w:tr>
      <w:tr w:rsidR="00E93F58" w:rsidRPr="00576D60" w14:paraId="7850E821" w14:textId="77777777" w:rsidTr="002F32E3">
        <w:trPr>
          <w:cantSplit/>
        </w:trPr>
        <w:tc>
          <w:tcPr>
            <w:tcW w:w="1500" w:type="pct"/>
            <w:shd w:val="clear" w:color="auto" w:fill="auto"/>
          </w:tcPr>
          <w:p w14:paraId="011CE9B6" w14:textId="77777777" w:rsidR="00E93F58" w:rsidRPr="00576D60" w:rsidRDefault="00E93F58" w:rsidP="002F32E3">
            <w:pPr>
              <w:pStyle w:val="ENoteTableText"/>
              <w:tabs>
                <w:tab w:val="left" w:leader="dot" w:pos="2268"/>
              </w:tabs>
            </w:pPr>
            <w:r w:rsidRPr="00576D60">
              <w:t>r 7.8.08</w:t>
            </w:r>
            <w:r w:rsidRPr="00576D60">
              <w:tab/>
            </w:r>
          </w:p>
        </w:tc>
        <w:tc>
          <w:tcPr>
            <w:tcW w:w="3500" w:type="pct"/>
            <w:shd w:val="clear" w:color="auto" w:fill="auto"/>
          </w:tcPr>
          <w:p w14:paraId="4D3EABC8" w14:textId="77777777" w:rsidR="00E93F58" w:rsidRPr="00576D60" w:rsidRDefault="00E93F58" w:rsidP="002F32E3">
            <w:pPr>
              <w:pStyle w:val="ENoteTableText"/>
            </w:pPr>
            <w:r w:rsidRPr="00576D60">
              <w:t>ad No 319, 2001</w:t>
            </w:r>
          </w:p>
        </w:tc>
      </w:tr>
      <w:tr w:rsidR="00E93F58" w:rsidRPr="00576D60" w14:paraId="37F20AC0" w14:textId="77777777" w:rsidTr="002F32E3">
        <w:trPr>
          <w:cantSplit/>
        </w:trPr>
        <w:tc>
          <w:tcPr>
            <w:tcW w:w="1500" w:type="pct"/>
            <w:shd w:val="clear" w:color="auto" w:fill="auto"/>
          </w:tcPr>
          <w:p w14:paraId="52E62270" w14:textId="77777777" w:rsidR="00E93F58" w:rsidRPr="00576D60" w:rsidRDefault="00E93F58" w:rsidP="002F32E3">
            <w:pPr>
              <w:pStyle w:val="ENoteTableText"/>
            </w:pPr>
          </w:p>
        </w:tc>
        <w:tc>
          <w:tcPr>
            <w:tcW w:w="3500" w:type="pct"/>
            <w:shd w:val="clear" w:color="auto" w:fill="auto"/>
          </w:tcPr>
          <w:p w14:paraId="61C4049E" w14:textId="77777777" w:rsidR="00E93F58" w:rsidRPr="00576D60" w:rsidRDefault="00E93F58" w:rsidP="002F32E3">
            <w:pPr>
              <w:pStyle w:val="ENoteTableText"/>
            </w:pPr>
            <w:r w:rsidRPr="00576D60">
              <w:t>am No 16, 2002; No 41, 2002; F2018L01691; F2019L00392</w:t>
            </w:r>
          </w:p>
        </w:tc>
      </w:tr>
      <w:tr w:rsidR="00E93F58" w:rsidRPr="00576D60" w14:paraId="142AA5C4" w14:textId="77777777" w:rsidTr="002F32E3">
        <w:trPr>
          <w:cantSplit/>
        </w:trPr>
        <w:tc>
          <w:tcPr>
            <w:tcW w:w="1500" w:type="pct"/>
            <w:shd w:val="clear" w:color="auto" w:fill="auto"/>
          </w:tcPr>
          <w:p w14:paraId="5B932A0F" w14:textId="77777777" w:rsidR="00E93F58" w:rsidRPr="00576D60" w:rsidRDefault="00E93F58" w:rsidP="002F32E3">
            <w:pPr>
              <w:pStyle w:val="ENoteTableText"/>
              <w:keepNext/>
              <w:tabs>
                <w:tab w:val="center" w:leader="dot" w:pos="2268"/>
              </w:tabs>
              <w:rPr>
                <w:b/>
              </w:rPr>
            </w:pPr>
            <w:r w:rsidRPr="00576D60">
              <w:rPr>
                <w:b/>
              </w:rPr>
              <w:t>Division 4A</w:t>
            </w:r>
          </w:p>
        </w:tc>
        <w:tc>
          <w:tcPr>
            <w:tcW w:w="3500" w:type="pct"/>
            <w:shd w:val="clear" w:color="auto" w:fill="auto"/>
          </w:tcPr>
          <w:p w14:paraId="37C17823" w14:textId="77777777" w:rsidR="00E93F58" w:rsidRPr="00576D60" w:rsidRDefault="00E93F58" w:rsidP="002F32E3">
            <w:pPr>
              <w:pStyle w:val="ENoteTableText"/>
            </w:pPr>
          </w:p>
        </w:tc>
      </w:tr>
      <w:tr w:rsidR="00E93F58" w:rsidRPr="00576D60" w14:paraId="670E812C" w14:textId="77777777" w:rsidTr="002F32E3">
        <w:trPr>
          <w:cantSplit/>
        </w:trPr>
        <w:tc>
          <w:tcPr>
            <w:tcW w:w="1500" w:type="pct"/>
            <w:shd w:val="clear" w:color="auto" w:fill="auto"/>
          </w:tcPr>
          <w:p w14:paraId="43261BE1" w14:textId="77777777" w:rsidR="00E93F58" w:rsidRPr="00576D60" w:rsidRDefault="00E93F58" w:rsidP="002F32E3">
            <w:pPr>
              <w:pStyle w:val="ENoteTableText"/>
              <w:tabs>
                <w:tab w:val="center" w:leader="dot" w:pos="2268"/>
              </w:tabs>
            </w:pPr>
            <w:r w:rsidRPr="00576D60">
              <w:t>Division 4A heading</w:t>
            </w:r>
            <w:r w:rsidRPr="00576D60">
              <w:tab/>
            </w:r>
          </w:p>
        </w:tc>
        <w:tc>
          <w:tcPr>
            <w:tcW w:w="3500" w:type="pct"/>
            <w:shd w:val="clear" w:color="auto" w:fill="auto"/>
          </w:tcPr>
          <w:p w14:paraId="2808721D" w14:textId="77777777" w:rsidR="00E93F58" w:rsidRPr="00576D60" w:rsidRDefault="00E93F58" w:rsidP="002F32E3">
            <w:pPr>
              <w:pStyle w:val="ENoteTableText"/>
            </w:pPr>
            <w:r w:rsidRPr="00576D60">
              <w:t>ad F2018L00743</w:t>
            </w:r>
          </w:p>
        </w:tc>
      </w:tr>
      <w:tr w:rsidR="00E93F58" w:rsidRPr="00576D60" w14:paraId="798B8FDE" w14:textId="77777777" w:rsidTr="002F32E3">
        <w:trPr>
          <w:cantSplit/>
        </w:trPr>
        <w:tc>
          <w:tcPr>
            <w:tcW w:w="1500" w:type="pct"/>
            <w:shd w:val="clear" w:color="auto" w:fill="auto"/>
          </w:tcPr>
          <w:p w14:paraId="327E6F7E" w14:textId="77777777" w:rsidR="00E93F58" w:rsidRPr="00576D60" w:rsidRDefault="00E93F58" w:rsidP="002F32E3">
            <w:pPr>
              <w:pStyle w:val="ENoteTableText"/>
              <w:tabs>
                <w:tab w:val="center" w:leader="dot" w:pos="2268"/>
              </w:tabs>
              <w:rPr>
                <w:b/>
              </w:rPr>
            </w:pPr>
            <w:r w:rsidRPr="00576D60">
              <w:rPr>
                <w:b/>
              </w:rPr>
              <w:t>Subdivision A</w:t>
            </w:r>
          </w:p>
        </w:tc>
        <w:tc>
          <w:tcPr>
            <w:tcW w:w="3500" w:type="pct"/>
            <w:shd w:val="clear" w:color="auto" w:fill="auto"/>
          </w:tcPr>
          <w:p w14:paraId="37880DF0" w14:textId="77777777" w:rsidR="00E93F58" w:rsidRPr="00576D60" w:rsidRDefault="00E93F58" w:rsidP="002F32E3">
            <w:pPr>
              <w:pStyle w:val="ENoteTableText"/>
            </w:pPr>
          </w:p>
        </w:tc>
      </w:tr>
      <w:tr w:rsidR="00E93F58" w:rsidRPr="00576D60" w14:paraId="52C1D5A0" w14:textId="77777777" w:rsidTr="002F32E3">
        <w:trPr>
          <w:cantSplit/>
        </w:trPr>
        <w:tc>
          <w:tcPr>
            <w:tcW w:w="1500" w:type="pct"/>
            <w:shd w:val="clear" w:color="auto" w:fill="auto"/>
          </w:tcPr>
          <w:p w14:paraId="7A1B3620" w14:textId="77777777" w:rsidR="00E93F58" w:rsidRPr="00576D60" w:rsidRDefault="00E93F58" w:rsidP="002F32E3">
            <w:pPr>
              <w:pStyle w:val="ENoteTableText"/>
              <w:tabs>
                <w:tab w:val="center" w:leader="dot" w:pos="2268"/>
              </w:tabs>
            </w:pPr>
            <w:r w:rsidRPr="00576D60">
              <w:t>Subdivision A heading</w:t>
            </w:r>
            <w:r w:rsidRPr="00576D60">
              <w:tab/>
            </w:r>
          </w:p>
        </w:tc>
        <w:tc>
          <w:tcPr>
            <w:tcW w:w="3500" w:type="pct"/>
            <w:shd w:val="clear" w:color="auto" w:fill="auto"/>
          </w:tcPr>
          <w:p w14:paraId="00F85AD9" w14:textId="77777777" w:rsidR="00E93F58" w:rsidRPr="00576D60" w:rsidRDefault="00E93F58" w:rsidP="002F32E3">
            <w:pPr>
              <w:pStyle w:val="ENoteTableText"/>
            </w:pPr>
            <w:r w:rsidRPr="00576D60">
              <w:t>ad F2018L00743</w:t>
            </w:r>
          </w:p>
        </w:tc>
      </w:tr>
      <w:tr w:rsidR="00E93F58" w:rsidRPr="00576D60" w14:paraId="3992DB8B" w14:textId="77777777" w:rsidTr="002F32E3">
        <w:trPr>
          <w:cantSplit/>
        </w:trPr>
        <w:tc>
          <w:tcPr>
            <w:tcW w:w="1500" w:type="pct"/>
            <w:shd w:val="clear" w:color="auto" w:fill="auto"/>
          </w:tcPr>
          <w:p w14:paraId="712D4E10" w14:textId="77777777" w:rsidR="00E93F58" w:rsidRPr="00576D60" w:rsidRDefault="00E93F58" w:rsidP="002F32E3">
            <w:pPr>
              <w:pStyle w:val="ENoteTableText"/>
              <w:tabs>
                <w:tab w:val="left" w:leader="dot" w:pos="2268"/>
              </w:tabs>
            </w:pPr>
            <w:r w:rsidRPr="00576D60">
              <w:t>r 7.8.08A</w:t>
            </w:r>
            <w:r w:rsidRPr="00576D60">
              <w:tab/>
            </w:r>
          </w:p>
        </w:tc>
        <w:tc>
          <w:tcPr>
            <w:tcW w:w="3500" w:type="pct"/>
            <w:shd w:val="clear" w:color="auto" w:fill="auto"/>
          </w:tcPr>
          <w:p w14:paraId="7218B98A" w14:textId="77777777" w:rsidR="00E93F58" w:rsidRPr="00576D60" w:rsidRDefault="00E93F58" w:rsidP="002F32E3">
            <w:pPr>
              <w:pStyle w:val="ENoteTableText"/>
            </w:pPr>
            <w:r w:rsidRPr="00576D60">
              <w:t>ad</w:t>
            </w:r>
            <w:r>
              <w:t xml:space="preserve"> No 89, 2010</w:t>
            </w:r>
          </w:p>
        </w:tc>
      </w:tr>
      <w:tr w:rsidR="00E93F58" w:rsidRPr="00576D60" w14:paraId="36CEB115" w14:textId="77777777" w:rsidTr="002F32E3">
        <w:trPr>
          <w:cantSplit/>
        </w:trPr>
        <w:tc>
          <w:tcPr>
            <w:tcW w:w="1500" w:type="pct"/>
            <w:shd w:val="clear" w:color="auto" w:fill="auto"/>
          </w:tcPr>
          <w:p w14:paraId="51FD3970" w14:textId="77777777" w:rsidR="00E93F58" w:rsidRPr="00576D60" w:rsidRDefault="00E93F58" w:rsidP="002F32E3">
            <w:pPr>
              <w:pStyle w:val="ENoteTableText"/>
              <w:tabs>
                <w:tab w:val="left" w:leader="dot" w:pos="2268"/>
              </w:tabs>
            </w:pPr>
          </w:p>
        </w:tc>
        <w:tc>
          <w:tcPr>
            <w:tcW w:w="3500" w:type="pct"/>
            <w:shd w:val="clear" w:color="auto" w:fill="auto"/>
          </w:tcPr>
          <w:p w14:paraId="7A9164A3" w14:textId="77777777" w:rsidR="00E93F58" w:rsidRPr="00576D60" w:rsidRDefault="00E93F58" w:rsidP="002F32E3">
            <w:pPr>
              <w:pStyle w:val="ENoteTableText"/>
            </w:pPr>
            <w:r>
              <w:t>am F2023L01458</w:t>
            </w:r>
          </w:p>
        </w:tc>
      </w:tr>
      <w:tr w:rsidR="00E93F58" w:rsidRPr="00576D60" w14:paraId="7DCDB860" w14:textId="77777777" w:rsidTr="002F32E3">
        <w:trPr>
          <w:cantSplit/>
        </w:trPr>
        <w:tc>
          <w:tcPr>
            <w:tcW w:w="1500" w:type="pct"/>
            <w:shd w:val="clear" w:color="auto" w:fill="auto"/>
          </w:tcPr>
          <w:p w14:paraId="326C53D0" w14:textId="77777777" w:rsidR="00E93F58" w:rsidRPr="00576D60" w:rsidRDefault="00E93F58" w:rsidP="002F32E3">
            <w:pPr>
              <w:pStyle w:val="ENoteTableText"/>
              <w:tabs>
                <w:tab w:val="left" w:leader="dot" w:pos="2268"/>
              </w:tabs>
            </w:pPr>
            <w:r w:rsidRPr="00576D60">
              <w:t>r 7.8.08B</w:t>
            </w:r>
            <w:r w:rsidRPr="00576D60">
              <w:tab/>
            </w:r>
          </w:p>
        </w:tc>
        <w:tc>
          <w:tcPr>
            <w:tcW w:w="3500" w:type="pct"/>
            <w:shd w:val="clear" w:color="auto" w:fill="auto"/>
          </w:tcPr>
          <w:p w14:paraId="00D81C99" w14:textId="77777777" w:rsidR="00E93F58" w:rsidRPr="00576D60" w:rsidRDefault="00E93F58" w:rsidP="002F32E3">
            <w:pPr>
              <w:pStyle w:val="ENoteTableText"/>
            </w:pPr>
            <w:r w:rsidRPr="00576D60">
              <w:t>ad</w:t>
            </w:r>
            <w:r>
              <w:t xml:space="preserve"> No 89, 2010</w:t>
            </w:r>
          </w:p>
        </w:tc>
      </w:tr>
      <w:tr w:rsidR="00E93F58" w:rsidRPr="00576D60" w14:paraId="3E372904" w14:textId="77777777" w:rsidTr="002F32E3">
        <w:trPr>
          <w:cantSplit/>
        </w:trPr>
        <w:tc>
          <w:tcPr>
            <w:tcW w:w="1500" w:type="pct"/>
            <w:shd w:val="clear" w:color="auto" w:fill="auto"/>
          </w:tcPr>
          <w:p w14:paraId="58272DD1" w14:textId="77777777" w:rsidR="00E93F58" w:rsidRPr="00576D60" w:rsidRDefault="00E93F58" w:rsidP="002F32E3">
            <w:pPr>
              <w:pStyle w:val="ENoteTableText"/>
              <w:tabs>
                <w:tab w:val="left" w:leader="dot" w:pos="2268"/>
              </w:tabs>
            </w:pPr>
          </w:p>
        </w:tc>
        <w:tc>
          <w:tcPr>
            <w:tcW w:w="3500" w:type="pct"/>
            <w:shd w:val="clear" w:color="auto" w:fill="auto"/>
          </w:tcPr>
          <w:p w14:paraId="7215825D" w14:textId="77777777" w:rsidR="00E93F58" w:rsidRPr="00576D60" w:rsidRDefault="00E93F58" w:rsidP="002F32E3">
            <w:pPr>
              <w:pStyle w:val="ENoteTableText"/>
            </w:pPr>
            <w:r>
              <w:t>am F2023L01458</w:t>
            </w:r>
          </w:p>
        </w:tc>
      </w:tr>
      <w:tr w:rsidR="00E93F58" w:rsidRPr="00576D60" w14:paraId="4F4276B0" w14:textId="77777777" w:rsidTr="002F32E3">
        <w:trPr>
          <w:cantSplit/>
        </w:trPr>
        <w:tc>
          <w:tcPr>
            <w:tcW w:w="1500" w:type="pct"/>
            <w:shd w:val="clear" w:color="auto" w:fill="auto"/>
          </w:tcPr>
          <w:p w14:paraId="652D4269" w14:textId="77777777" w:rsidR="00E93F58" w:rsidRPr="00576D60" w:rsidRDefault="00E93F58" w:rsidP="002F32E3">
            <w:pPr>
              <w:pStyle w:val="ENoteTableText"/>
              <w:tabs>
                <w:tab w:val="left" w:leader="dot" w:pos="2268"/>
              </w:tabs>
            </w:pPr>
            <w:r w:rsidRPr="00576D60">
              <w:t>r. 7.8.09</w:t>
            </w:r>
            <w:r w:rsidRPr="00576D60">
              <w:tab/>
            </w:r>
          </w:p>
        </w:tc>
        <w:tc>
          <w:tcPr>
            <w:tcW w:w="3500" w:type="pct"/>
            <w:shd w:val="clear" w:color="auto" w:fill="auto"/>
          </w:tcPr>
          <w:p w14:paraId="1459ACAF" w14:textId="77777777" w:rsidR="00E93F58" w:rsidRPr="00576D60" w:rsidRDefault="00E93F58" w:rsidP="002F32E3">
            <w:pPr>
              <w:pStyle w:val="ENoteTableText"/>
            </w:pPr>
            <w:r w:rsidRPr="00576D60">
              <w:t>ad No 319, 2001</w:t>
            </w:r>
          </w:p>
        </w:tc>
      </w:tr>
      <w:tr w:rsidR="00E93F58" w:rsidRPr="00576D60" w14:paraId="4E8375C2" w14:textId="77777777" w:rsidTr="002F32E3">
        <w:trPr>
          <w:cantSplit/>
        </w:trPr>
        <w:tc>
          <w:tcPr>
            <w:tcW w:w="1500" w:type="pct"/>
            <w:shd w:val="clear" w:color="auto" w:fill="auto"/>
          </w:tcPr>
          <w:p w14:paraId="43D011DB" w14:textId="77777777" w:rsidR="00E93F58" w:rsidRPr="00576D60" w:rsidRDefault="00E93F58" w:rsidP="002F32E3">
            <w:pPr>
              <w:pStyle w:val="ENoteTableText"/>
            </w:pPr>
          </w:p>
        </w:tc>
        <w:tc>
          <w:tcPr>
            <w:tcW w:w="3500" w:type="pct"/>
            <w:shd w:val="clear" w:color="auto" w:fill="auto"/>
          </w:tcPr>
          <w:p w14:paraId="2049E92F" w14:textId="77777777" w:rsidR="00E93F58" w:rsidRPr="00576D60" w:rsidRDefault="00E93F58" w:rsidP="002F32E3">
            <w:pPr>
              <w:pStyle w:val="ENoteTableText"/>
            </w:pPr>
            <w:r w:rsidRPr="00576D60">
              <w:t>am No 16, 2002</w:t>
            </w:r>
          </w:p>
        </w:tc>
      </w:tr>
      <w:tr w:rsidR="00E93F58" w:rsidRPr="00576D60" w14:paraId="4F2B76A0" w14:textId="77777777" w:rsidTr="002F32E3">
        <w:trPr>
          <w:cantSplit/>
        </w:trPr>
        <w:tc>
          <w:tcPr>
            <w:tcW w:w="1500" w:type="pct"/>
            <w:shd w:val="clear" w:color="auto" w:fill="auto"/>
          </w:tcPr>
          <w:p w14:paraId="24496A78" w14:textId="77777777" w:rsidR="00E93F58" w:rsidRPr="00576D60" w:rsidRDefault="00E93F58" w:rsidP="002F32E3">
            <w:pPr>
              <w:pStyle w:val="ENoteTableText"/>
            </w:pPr>
          </w:p>
        </w:tc>
        <w:tc>
          <w:tcPr>
            <w:tcW w:w="3500" w:type="pct"/>
            <w:shd w:val="clear" w:color="auto" w:fill="auto"/>
          </w:tcPr>
          <w:p w14:paraId="2F865303" w14:textId="77777777" w:rsidR="00E93F58" w:rsidRPr="00576D60" w:rsidRDefault="00E93F58" w:rsidP="002F32E3">
            <w:pPr>
              <w:pStyle w:val="ENoteTableText"/>
            </w:pPr>
            <w:r w:rsidRPr="00576D60">
              <w:t>rep No 41, 2002</w:t>
            </w:r>
          </w:p>
        </w:tc>
      </w:tr>
      <w:tr w:rsidR="00E93F58" w:rsidRPr="00576D60" w14:paraId="007DB68D" w14:textId="77777777" w:rsidTr="002F32E3">
        <w:trPr>
          <w:cantSplit/>
        </w:trPr>
        <w:tc>
          <w:tcPr>
            <w:tcW w:w="1500" w:type="pct"/>
            <w:shd w:val="clear" w:color="auto" w:fill="auto"/>
          </w:tcPr>
          <w:p w14:paraId="5172BE7A" w14:textId="77777777" w:rsidR="00E93F58" w:rsidRPr="00576D60" w:rsidRDefault="00E93F58" w:rsidP="002F32E3">
            <w:pPr>
              <w:pStyle w:val="ENoteTableText"/>
            </w:pPr>
          </w:p>
        </w:tc>
        <w:tc>
          <w:tcPr>
            <w:tcW w:w="3500" w:type="pct"/>
            <w:shd w:val="clear" w:color="auto" w:fill="auto"/>
          </w:tcPr>
          <w:p w14:paraId="3A022CCE" w14:textId="77777777" w:rsidR="00E93F58" w:rsidRPr="00576D60" w:rsidRDefault="00E93F58" w:rsidP="002F32E3">
            <w:pPr>
              <w:pStyle w:val="ENoteTableText"/>
            </w:pPr>
            <w:r w:rsidRPr="00576D60">
              <w:t>ad No 89, 2010</w:t>
            </w:r>
          </w:p>
        </w:tc>
      </w:tr>
      <w:tr w:rsidR="00E93F58" w:rsidRPr="00576D60" w14:paraId="66D3CB96" w14:textId="77777777" w:rsidTr="002F32E3">
        <w:trPr>
          <w:cantSplit/>
        </w:trPr>
        <w:tc>
          <w:tcPr>
            <w:tcW w:w="1500" w:type="pct"/>
            <w:shd w:val="clear" w:color="auto" w:fill="auto"/>
          </w:tcPr>
          <w:p w14:paraId="71D0FF49" w14:textId="77777777" w:rsidR="00E93F58" w:rsidRPr="00576D60" w:rsidRDefault="00E93F58" w:rsidP="002F32E3">
            <w:pPr>
              <w:pStyle w:val="ENoteTableText"/>
              <w:tabs>
                <w:tab w:val="left" w:leader="dot" w:pos="2268"/>
              </w:tabs>
            </w:pPr>
            <w:r w:rsidRPr="00576D60">
              <w:t>r. 7.8.09A</w:t>
            </w:r>
            <w:r w:rsidRPr="00576D60">
              <w:tab/>
            </w:r>
          </w:p>
        </w:tc>
        <w:tc>
          <w:tcPr>
            <w:tcW w:w="3500" w:type="pct"/>
            <w:shd w:val="clear" w:color="auto" w:fill="auto"/>
          </w:tcPr>
          <w:p w14:paraId="79DE78F8" w14:textId="77777777" w:rsidR="00E93F58" w:rsidRPr="00576D60" w:rsidRDefault="00E93F58" w:rsidP="002F32E3">
            <w:pPr>
              <w:pStyle w:val="ENoteTableText"/>
            </w:pPr>
            <w:r w:rsidRPr="00576D60">
              <w:t>ad No 89, 2010</w:t>
            </w:r>
          </w:p>
        </w:tc>
      </w:tr>
      <w:tr w:rsidR="00E93F58" w:rsidRPr="00576D60" w14:paraId="03FCAA1F" w14:textId="77777777" w:rsidTr="002F32E3">
        <w:trPr>
          <w:cantSplit/>
        </w:trPr>
        <w:tc>
          <w:tcPr>
            <w:tcW w:w="1500" w:type="pct"/>
            <w:shd w:val="clear" w:color="auto" w:fill="auto"/>
          </w:tcPr>
          <w:p w14:paraId="66361F51" w14:textId="77777777" w:rsidR="00E93F58" w:rsidRPr="00576D60" w:rsidRDefault="00E93F58" w:rsidP="002F32E3">
            <w:pPr>
              <w:pStyle w:val="ENoteTableText"/>
              <w:tabs>
                <w:tab w:val="left" w:leader="dot" w:pos="2268"/>
              </w:tabs>
            </w:pPr>
            <w:r w:rsidRPr="00576D60">
              <w:t>r 7.8.10</w:t>
            </w:r>
            <w:r w:rsidRPr="00576D60">
              <w:tab/>
            </w:r>
          </w:p>
        </w:tc>
        <w:tc>
          <w:tcPr>
            <w:tcW w:w="3500" w:type="pct"/>
            <w:shd w:val="clear" w:color="auto" w:fill="auto"/>
          </w:tcPr>
          <w:p w14:paraId="455C60DC" w14:textId="77777777" w:rsidR="00E93F58" w:rsidRPr="00576D60" w:rsidRDefault="00E93F58" w:rsidP="002F32E3">
            <w:pPr>
              <w:pStyle w:val="ENoteTableText"/>
            </w:pPr>
            <w:r w:rsidRPr="00576D60">
              <w:t>ad No 319, 2001</w:t>
            </w:r>
          </w:p>
        </w:tc>
      </w:tr>
      <w:tr w:rsidR="00E93F58" w:rsidRPr="00576D60" w14:paraId="2C4E17BA" w14:textId="77777777" w:rsidTr="002F32E3">
        <w:trPr>
          <w:cantSplit/>
        </w:trPr>
        <w:tc>
          <w:tcPr>
            <w:tcW w:w="1500" w:type="pct"/>
            <w:shd w:val="clear" w:color="auto" w:fill="auto"/>
          </w:tcPr>
          <w:p w14:paraId="0F1724B5" w14:textId="77777777" w:rsidR="00E93F58" w:rsidRPr="00576D60" w:rsidRDefault="00E93F58" w:rsidP="002F32E3">
            <w:pPr>
              <w:pStyle w:val="ENoteTableText"/>
            </w:pPr>
          </w:p>
        </w:tc>
        <w:tc>
          <w:tcPr>
            <w:tcW w:w="3500" w:type="pct"/>
            <w:shd w:val="clear" w:color="auto" w:fill="auto"/>
          </w:tcPr>
          <w:p w14:paraId="05E7E523" w14:textId="77777777" w:rsidR="00E93F58" w:rsidRPr="00576D60" w:rsidRDefault="00E93F58" w:rsidP="002F32E3">
            <w:pPr>
              <w:pStyle w:val="ENoteTableText"/>
            </w:pPr>
            <w:r w:rsidRPr="00576D60">
              <w:t>rep No 41, 2002</w:t>
            </w:r>
          </w:p>
        </w:tc>
      </w:tr>
      <w:tr w:rsidR="00E93F58" w:rsidRPr="00576D60" w14:paraId="13F94489" w14:textId="77777777" w:rsidTr="002F32E3">
        <w:trPr>
          <w:cantSplit/>
        </w:trPr>
        <w:tc>
          <w:tcPr>
            <w:tcW w:w="1500" w:type="pct"/>
            <w:shd w:val="clear" w:color="auto" w:fill="auto"/>
          </w:tcPr>
          <w:p w14:paraId="4AF11442" w14:textId="77777777" w:rsidR="00E93F58" w:rsidRPr="00576D60" w:rsidRDefault="00E93F58" w:rsidP="002F32E3">
            <w:pPr>
              <w:pStyle w:val="ENoteTableText"/>
            </w:pPr>
          </w:p>
        </w:tc>
        <w:tc>
          <w:tcPr>
            <w:tcW w:w="3500" w:type="pct"/>
            <w:shd w:val="clear" w:color="auto" w:fill="auto"/>
          </w:tcPr>
          <w:p w14:paraId="1DA31214" w14:textId="77777777" w:rsidR="00E93F58" w:rsidRPr="00576D60" w:rsidRDefault="00E93F58" w:rsidP="002F32E3">
            <w:pPr>
              <w:pStyle w:val="ENoteTableText"/>
            </w:pPr>
            <w:r w:rsidRPr="00576D60">
              <w:t>ad No 89, 2010</w:t>
            </w:r>
          </w:p>
        </w:tc>
      </w:tr>
      <w:tr w:rsidR="00E93F58" w:rsidRPr="00576D60" w14:paraId="411A7066" w14:textId="77777777" w:rsidTr="002F32E3">
        <w:trPr>
          <w:cantSplit/>
        </w:trPr>
        <w:tc>
          <w:tcPr>
            <w:tcW w:w="1500" w:type="pct"/>
            <w:shd w:val="clear" w:color="auto" w:fill="auto"/>
          </w:tcPr>
          <w:p w14:paraId="5CC7093E" w14:textId="77777777" w:rsidR="00E93F58" w:rsidRPr="00576D60" w:rsidRDefault="00E93F58" w:rsidP="002F32E3">
            <w:pPr>
              <w:pStyle w:val="ENoteTableText"/>
            </w:pPr>
          </w:p>
        </w:tc>
        <w:tc>
          <w:tcPr>
            <w:tcW w:w="3500" w:type="pct"/>
            <w:shd w:val="clear" w:color="auto" w:fill="auto"/>
          </w:tcPr>
          <w:p w14:paraId="5ABA88AE" w14:textId="77777777" w:rsidR="00E93F58" w:rsidRPr="00576D60" w:rsidRDefault="00E93F58" w:rsidP="002F32E3">
            <w:pPr>
              <w:pStyle w:val="ENoteTableText"/>
            </w:pPr>
            <w:r>
              <w:t>am F2023L01458</w:t>
            </w:r>
          </w:p>
        </w:tc>
      </w:tr>
      <w:tr w:rsidR="00E93F58" w:rsidRPr="00576D60" w14:paraId="17A866DE" w14:textId="77777777" w:rsidTr="002F32E3">
        <w:trPr>
          <w:cantSplit/>
        </w:trPr>
        <w:tc>
          <w:tcPr>
            <w:tcW w:w="1500" w:type="pct"/>
            <w:shd w:val="clear" w:color="auto" w:fill="auto"/>
          </w:tcPr>
          <w:p w14:paraId="2E56D631" w14:textId="77777777" w:rsidR="00E93F58" w:rsidRPr="00576D60" w:rsidRDefault="00E93F58" w:rsidP="002F32E3">
            <w:pPr>
              <w:pStyle w:val="ENoteTableText"/>
              <w:tabs>
                <w:tab w:val="left" w:leader="dot" w:pos="2268"/>
              </w:tabs>
            </w:pPr>
            <w:r w:rsidRPr="00576D60">
              <w:t>r. 7.8.10A</w:t>
            </w:r>
            <w:r w:rsidRPr="00576D60">
              <w:tab/>
            </w:r>
          </w:p>
        </w:tc>
        <w:tc>
          <w:tcPr>
            <w:tcW w:w="3500" w:type="pct"/>
            <w:shd w:val="clear" w:color="auto" w:fill="auto"/>
          </w:tcPr>
          <w:p w14:paraId="5463E72C" w14:textId="77777777" w:rsidR="00E93F58" w:rsidRPr="00576D60" w:rsidRDefault="00E93F58" w:rsidP="002F32E3">
            <w:pPr>
              <w:pStyle w:val="ENoteTableText"/>
            </w:pPr>
            <w:r w:rsidRPr="00576D60">
              <w:t>ad No 89, 2010</w:t>
            </w:r>
          </w:p>
        </w:tc>
      </w:tr>
      <w:tr w:rsidR="00E93F58" w:rsidRPr="00576D60" w14:paraId="74D6DEE4" w14:textId="77777777" w:rsidTr="002F32E3">
        <w:trPr>
          <w:cantSplit/>
        </w:trPr>
        <w:tc>
          <w:tcPr>
            <w:tcW w:w="1500" w:type="pct"/>
            <w:shd w:val="clear" w:color="auto" w:fill="auto"/>
          </w:tcPr>
          <w:p w14:paraId="327F0AFF" w14:textId="77777777" w:rsidR="00E93F58" w:rsidRPr="00576D60" w:rsidRDefault="00E93F58" w:rsidP="002F32E3">
            <w:pPr>
              <w:pStyle w:val="ENoteTableText"/>
              <w:tabs>
                <w:tab w:val="left" w:leader="dot" w:pos="2268"/>
              </w:tabs>
              <w:rPr>
                <w:b/>
              </w:rPr>
            </w:pPr>
            <w:r w:rsidRPr="00576D60">
              <w:rPr>
                <w:b/>
              </w:rPr>
              <w:t>Division 6</w:t>
            </w:r>
          </w:p>
        </w:tc>
        <w:tc>
          <w:tcPr>
            <w:tcW w:w="3500" w:type="pct"/>
            <w:shd w:val="clear" w:color="auto" w:fill="auto"/>
          </w:tcPr>
          <w:p w14:paraId="4ED5A2E4" w14:textId="77777777" w:rsidR="00E93F58" w:rsidRPr="00576D60" w:rsidRDefault="00E93F58" w:rsidP="002F32E3">
            <w:pPr>
              <w:pStyle w:val="ENoteTableText"/>
            </w:pPr>
          </w:p>
        </w:tc>
      </w:tr>
      <w:tr w:rsidR="00E93F58" w:rsidRPr="00576D60" w14:paraId="112DFD7F" w14:textId="77777777" w:rsidTr="002F32E3">
        <w:trPr>
          <w:cantSplit/>
        </w:trPr>
        <w:tc>
          <w:tcPr>
            <w:tcW w:w="1500" w:type="pct"/>
            <w:shd w:val="clear" w:color="auto" w:fill="auto"/>
          </w:tcPr>
          <w:p w14:paraId="7231B767" w14:textId="77777777" w:rsidR="00E93F58" w:rsidRPr="00576D60" w:rsidRDefault="00E93F58" w:rsidP="002F32E3">
            <w:pPr>
              <w:pStyle w:val="ENoteTableText"/>
              <w:tabs>
                <w:tab w:val="left" w:leader="dot" w:pos="2268"/>
              </w:tabs>
            </w:pPr>
            <w:r w:rsidRPr="00576D60">
              <w:t>Division 6 heading</w:t>
            </w:r>
            <w:r w:rsidRPr="00576D60">
              <w:tab/>
            </w:r>
          </w:p>
        </w:tc>
        <w:tc>
          <w:tcPr>
            <w:tcW w:w="3500" w:type="pct"/>
            <w:shd w:val="clear" w:color="auto" w:fill="auto"/>
          </w:tcPr>
          <w:p w14:paraId="7855DDE1" w14:textId="77777777" w:rsidR="00E93F58" w:rsidRPr="00576D60" w:rsidRDefault="00E93F58" w:rsidP="002F32E3">
            <w:pPr>
              <w:pStyle w:val="ENoteTableText"/>
            </w:pPr>
            <w:r w:rsidRPr="00576D60">
              <w:t>ad F2018L00743</w:t>
            </w:r>
          </w:p>
        </w:tc>
      </w:tr>
      <w:tr w:rsidR="00E93F58" w:rsidRPr="00576D60" w14:paraId="060288E0" w14:textId="77777777" w:rsidTr="002F32E3">
        <w:trPr>
          <w:cantSplit/>
        </w:trPr>
        <w:tc>
          <w:tcPr>
            <w:tcW w:w="1500" w:type="pct"/>
            <w:shd w:val="clear" w:color="auto" w:fill="auto"/>
          </w:tcPr>
          <w:p w14:paraId="2C62B540" w14:textId="77777777" w:rsidR="00E93F58" w:rsidRPr="00576D60" w:rsidRDefault="00E93F58" w:rsidP="002F32E3">
            <w:pPr>
              <w:pStyle w:val="ENoteTableText"/>
              <w:keepNext/>
              <w:tabs>
                <w:tab w:val="left" w:leader="dot" w:pos="2268"/>
              </w:tabs>
              <w:rPr>
                <w:b/>
              </w:rPr>
            </w:pPr>
            <w:r w:rsidRPr="00576D60">
              <w:rPr>
                <w:b/>
              </w:rPr>
              <w:t>Subdivision B</w:t>
            </w:r>
          </w:p>
        </w:tc>
        <w:tc>
          <w:tcPr>
            <w:tcW w:w="3500" w:type="pct"/>
            <w:shd w:val="clear" w:color="auto" w:fill="auto"/>
          </w:tcPr>
          <w:p w14:paraId="61D00FFF" w14:textId="77777777" w:rsidR="00E93F58" w:rsidRPr="00576D60" w:rsidRDefault="00E93F58" w:rsidP="002F32E3">
            <w:pPr>
              <w:pStyle w:val="ENoteTableText"/>
              <w:keepNext/>
            </w:pPr>
          </w:p>
        </w:tc>
      </w:tr>
      <w:tr w:rsidR="00E93F58" w:rsidRPr="00576D60" w14:paraId="6DF5AB94" w14:textId="77777777" w:rsidTr="002F32E3">
        <w:trPr>
          <w:cantSplit/>
        </w:trPr>
        <w:tc>
          <w:tcPr>
            <w:tcW w:w="1500" w:type="pct"/>
            <w:shd w:val="clear" w:color="auto" w:fill="auto"/>
          </w:tcPr>
          <w:p w14:paraId="2A49A7AF" w14:textId="77777777" w:rsidR="00E93F58" w:rsidRPr="00576D60" w:rsidRDefault="00E93F58" w:rsidP="002F32E3">
            <w:pPr>
              <w:pStyle w:val="ENoteTableText"/>
              <w:tabs>
                <w:tab w:val="left" w:leader="dot" w:pos="2268"/>
              </w:tabs>
            </w:pPr>
            <w:r w:rsidRPr="00576D60">
              <w:t>Subdivision B heading</w:t>
            </w:r>
            <w:r w:rsidRPr="00576D60">
              <w:tab/>
            </w:r>
          </w:p>
        </w:tc>
        <w:tc>
          <w:tcPr>
            <w:tcW w:w="3500" w:type="pct"/>
            <w:shd w:val="clear" w:color="auto" w:fill="auto"/>
          </w:tcPr>
          <w:p w14:paraId="66B2A1CA" w14:textId="77777777" w:rsidR="00E93F58" w:rsidRPr="00576D60" w:rsidRDefault="00E93F58" w:rsidP="002F32E3">
            <w:pPr>
              <w:pStyle w:val="ENoteTableText"/>
            </w:pPr>
            <w:r w:rsidRPr="00576D60">
              <w:t>ad F2018L00743</w:t>
            </w:r>
          </w:p>
        </w:tc>
      </w:tr>
      <w:tr w:rsidR="00E93F58" w:rsidRPr="00576D60" w14:paraId="711FEA26" w14:textId="77777777" w:rsidTr="002F32E3">
        <w:trPr>
          <w:cantSplit/>
        </w:trPr>
        <w:tc>
          <w:tcPr>
            <w:tcW w:w="1500" w:type="pct"/>
            <w:shd w:val="clear" w:color="auto" w:fill="auto"/>
          </w:tcPr>
          <w:p w14:paraId="04C44DDF" w14:textId="77777777" w:rsidR="00E93F58" w:rsidRPr="00576D60" w:rsidRDefault="00E93F58" w:rsidP="002F32E3">
            <w:pPr>
              <w:pStyle w:val="ENoteTableText"/>
              <w:tabs>
                <w:tab w:val="left" w:leader="dot" w:pos="2268"/>
              </w:tabs>
            </w:pPr>
            <w:r w:rsidRPr="00576D60">
              <w:t>r. 7.8.11</w:t>
            </w:r>
            <w:r w:rsidRPr="00576D60">
              <w:tab/>
            </w:r>
          </w:p>
        </w:tc>
        <w:tc>
          <w:tcPr>
            <w:tcW w:w="3500" w:type="pct"/>
            <w:shd w:val="clear" w:color="auto" w:fill="auto"/>
          </w:tcPr>
          <w:p w14:paraId="79EC1649" w14:textId="77777777" w:rsidR="00E93F58" w:rsidRPr="00576D60" w:rsidRDefault="00E93F58" w:rsidP="002F32E3">
            <w:pPr>
              <w:pStyle w:val="ENoteTableText"/>
            </w:pPr>
            <w:r w:rsidRPr="00576D60">
              <w:t>ad. 2001 No. 319</w:t>
            </w:r>
          </w:p>
        </w:tc>
      </w:tr>
      <w:tr w:rsidR="00E93F58" w:rsidRPr="00576D60" w14:paraId="00290493" w14:textId="77777777" w:rsidTr="002F32E3">
        <w:trPr>
          <w:cantSplit/>
        </w:trPr>
        <w:tc>
          <w:tcPr>
            <w:tcW w:w="1500" w:type="pct"/>
            <w:shd w:val="clear" w:color="auto" w:fill="auto"/>
          </w:tcPr>
          <w:p w14:paraId="7066A8EA" w14:textId="77777777" w:rsidR="00E93F58" w:rsidRPr="00576D60" w:rsidRDefault="00E93F58" w:rsidP="002F32E3">
            <w:pPr>
              <w:pStyle w:val="ENoteTableText"/>
              <w:tabs>
                <w:tab w:val="left" w:leader="dot" w:pos="2268"/>
              </w:tabs>
            </w:pPr>
            <w:r w:rsidRPr="00576D60">
              <w:t>r. 7.8.11A</w:t>
            </w:r>
            <w:r w:rsidRPr="00576D60">
              <w:tab/>
            </w:r>
          </w:p>
        </w:tc>
        <w:tc>
          <w:tcPr>
            <w:tcW w:w="3500" w:type="pct"/>
            <w:shd w:val="clear" w:color="auto" w:fill="auto"/>
          </w:tcPr>
          <w:p w14:paraId="2D6B159D" w14:textId="77777777" w:rsidR="00E93F58" w:rsidRPr="00576D60" w:rsidRDefault="00E93F58" w:rsidP="002F32E3">
            <w:pPr>
              <w:pStyle w:val="ENoteTableText"/>
            </w:pPr>
            <w:r w:rsidRPr="00576D60">
              <w:t>ad. 2012 No. 170</w:t>
            </w:r>
          </w:p>
        </w:tc>
      </w:tr>
      <w:tr w:rsidR="00E93F58" w:rsidRPr="00576D60" w14:paraId="62CC9AA9" w14:textId="77777777" w:rsidTr="002F32E3">
        <w:trPr>
          <w:cantSplit/>
        </w:trPr>
        <w:tc>
          <w:tcPr>
            <w:tcW w:w="1500" w:type="pct"/>
            <w:shd w:val="clear" w:color="auto" w:fill="auto"/>
          </w:tcPr>
          <w:p w14:paraId="40A13B64" w14:textId="77777777" w:rsidR="00E93F58" w:rsidRPr="00576D60" w:rsidRDefault="00E93F58" w:rsidP="002F32E3">
            <w:pPr>
              <w:pStyle w:val="ENoteTableText"/>
              <w:tabs>
                <w:tab w:val="left" w:leader="dot" w:pos="2268"/>
              </w:tabs>
            </w:pPr>
            <w:r w:rsidRPr="00576D60">
              <w:t>r 7.8.11B</w:t>
            </w:r>
            <w:r w:rsidRPr="00576D60">
              <w:tab/>
            </w:r>
          </w:p>
        </w:tc>
        <w:tc>
          <w:tcPr>
            <w:tcW w:w="3500" w:type="pct"/>
            <w:shd w:val="clear" w:color="auto" w:fill="auto"/>
          </w:tcPr>
          <w:p w14:paraId="047049D1" w14:textId="77777777" w:rsidR="00E93F58" w:rsidRPr="00576D60" w:rsidRDefault="00E93F58" w:rsidP="002F32E3">
            <w:pPr>
              <w:pStyle w:val="ENoteTableText"/>
            </w:pPr>
            <w:r w:rsidRPr="00576D60">
              <w:t>ad F2019L01526</w:t>
            </w:r>
          </w:p>
        </w:tc>
      </w:tr>
      <w:tr w:rsidR="00E93F58" w:rsidRPr="00576D60" w14:paraId="42E1639D" w14:textId="77777777" w:rsidTr="002F32E3">
        <w:trPr>
          <w:cantSplit/>
        </w:trPr>
        <w:tc>
          <w:tcPr>
            <w:tcW w:w="1500" w:type="pct"/>
            <w:shd w:val="clear" w:color="auto" w:fill="auto"/>
          </w:tcPr>
          <w:p w14:paraId="5E562706" w14:textId="77777777" w:rsidR="00E93F58" w:rsidRPr="00576D60" w:rsidRDefault="00E93F58" w:rsidP="002F32E3">
            <w:pPr>
              <w:pStyle w:val="ENoteTableText"/>
              <w:tabs>
                <w:tab w:val="left" w:leader="dot" w:pos="2268"/>
              </w:tabs>
            </w:pPr>
            <w:r w:rsidRPr="00576D60">
              <w:t>r. 7.8.12</w:t>
            </w:r>
            <w:r w:rsidRPr="00576D60">
              <w:tab/>
            </w:r>
          </w:p>
        </w:tc>
        <w:tc>
          <w:tcPr>
            <w:tcW w:w="3500" w:type="pct"/>
            <w:shd w:val="clear" w:color="auto" w:fill="auto"/>
          </w:tcPr>
          <w:p w14:paraId="2A240505" w14:textId="77777777" w:rsidR="00E93F58" w:rsidRPr="00576D60" w:rsidRDefault="00E93F58" w:rsidP="002F32E3">
            <w:pPr>
              <w:pStyle w:val="ENoteTableText"/>
            </w:pPr>
            <w:r w:rsidRPr="00576D60">
              <w:t>ad. 2001 No. 319</w:t>
            </w:r>
          </w:p>
        </w:tc>
      </w:tr>
      <w:tr w:rsidR="00E93F58" w:rsidRPr="00576D60" w14:paraId="525A1DD2" w14:textId="77777777" w:rsidTr="002F32E3">
        <w:trPr>
          <w:cantSplit/>
        </w:trPr>
        <w:tc>
          <w:tcPr>
            <w:tcW w:w="1500" w:type="pct"/>
            <w:shd w:val="clear" w:color="auto" w:fill="auto"/>
          </w:tcPr>
          <w:p w14:paraId="5BB74CDC" w14:textId="77777777" w:rsidR="00E93F58" w:rsidRPr="00576D60" w:rsidRDefault="00E93F58" w:rsidP="002F32E3">
            <w:pPr>
              <w:pStyle w:val="ENoteTableText"/>
            </w:pPr>
          </w:p>
        </w:tc>
        <w:tc>
          <w:tcPr>
            <w:tcW w:w="3500" w:type="pct"/>
            <w:shd w:val="clear" w:color="auto" w:fill="auto"/>
          </w:tcPr>
          <w:p w14:paraId="220C710F" w14:textId="77777777" w:rsidR="00E93F58" w:rsidRPr="00576D60" w:rsidRDefault="00E93F58" w:rsidP="002F32E3">
            <w:pPr>
              <w:pStyle w:val="ENoteTableText"/>
            </w:pPr>
            <w:r w:rsidRPr="00576D60">
              <w:t>am. 2002 No. 16</w:t>
            </w:r>
          </w:p>
        </w:tc>
      </w:tr>
      <w:tr w:rsidR="00E93F58" w:rsidRPr="00576D60" w14:paraId="72286421" w14:textId="77777777" w:rsidTr="002F32E3">
        <w:trPr>
          <w:cantSplit/>
        </w:trPr>
        <w:tc>
          <w:tcPr>
            <w:tcW w:w="1500" w:type="pct"/>
            <w:shd w:val="clear" w:color="auto" w:fill="auto"/>
          </w:tcPr>
          <w:p w14:paraId="6636E52B" w14:textId="77777777" w:rsidR="00E93F58" w:rsidRPr="00576D60" w:rsidRDefault="00E93F58" w:rsidP="002F32E3">
            <w:pPr>
              <w:pStyle w:val="ENoteTableText"/>
              <w:keepNext/>
              <w:tabs>
                <w:tab w:val="center" w:leader="dot" w:pos="2268"/>
              </w:tabs>
              <w:rPr>
                <w:b/>
              </w:rPr>
            </w:pPr>
            <w:r w:rsidRPr="00576D60">
              <w:rPr>
                <w:b/>
              </w:rPr>
              <w:t>Subdivision C</w:t>
            </w:r>
          </w:p>
        </w:tc>
        <w:tc>
          <w:tcPr>
            <w:tcW w:w="3500" w:type="pct"/>
            <w:shd w:val="clear" w:color="auto" w:fill="auto"/>
          </w:tcPr>
          <w:p w14:paraId="63028154" w14:textId="77777777" w:rsidR="00E93F58" w:rsidRPr="00576D60" w:rsidRDefault="00E93F58" w:rsidP="002F32E3">
            <w:pPr>
              <w:pStyle w:val="ENoteTableText"/>
            </w:pPr>
          </w:p>
        </w:tc>
      </w:tr>
      <w:tr w:rsidR="00E93F58" w:rsidRPr="00576D60" w14:paraId="7E0BD3C2" w14:textId="77777777" w:rsidTr="002F32E3">
        <w:trPr>
          <w:cantSplit/>
        </w:trPr>
        <w:tc>
          <w:tcPr>
            <w:tcW w:w="1500" w:type="pct"/>
            <w:shd w:val="clear" w:color="auto" w:fill="auto"/>
          </w:tcPr>
          <w:p w14:paraId="1296466B" w14:textId="77777777" w:rsidR="00E93F58" w:rsidRPr="00576D60" w:rsidRDefault="00E93F58" w:rsidP="002F32E3">
            <w:pPr>
              <w:pStyle w:val="ENoteTableText"/>
              <w:tabs>
                <w:tab w:val="center" w:leader="dot" w:pos="2268"/>
              </w:tabs>
            </w:pPr>
            <w:r w:rsidRPr="00576D60">
              <w:t>Subdivision C heading</w:t>
            </w:r>
            <w:r w:rsidRPr="00576D60">
              <w:tab/>
            </w:r>
          </w:p>
        </w:tc>
        <w:tc>
          <w:tcPr>
            <w:tcW w:w="3500" w:type="pct"/>
            <w:shd w:val="clear" w:color="auto" w:fill="auto"/>
          </w:tcPr>
          <w:p w14:paraId="2A18373C" w14:textId="77777777" w:rsidR="00E93F58" w:rsidRPr="00576D60" w:rsidRDefault="00E93F58" w:rsidP="002F32E3">
            <w:pPr>
              <w:pStyle w:val="ENoteTableText"/>
            </w:pPr>
            <w:r w:rsidRPr="00576D60">
              <w:t>ad F2018L00743</w:t>
            </w:r>
          </w:p>
        </w:tc>
      </w:tr>
      <w:tr w:rsidR="00E93F58" w:rsidRPr="00576D60" w14:paraId="7ACC43B1" w14:textId="77777777" w:rsidTr="002F32E3">
        <w:trPr>
          <w:cantSplit/>
        </w:trPr>
        <w:tc>
          <w:tcPr>
            <w:tcW w:w="1500" w:type="pct"/>
            <w:shd w:val="clear" w:color="auto" w:fill="auto"/>
          </w:tcPr>
          <w:p w14:paraId="26C7A6F3" w14:textId="77777777" w:rsidR="00E93F58" w:rsidRPr="00576D60" w:rsidRDefault="00E93F58" w:rsidP="002F32E3">
            <w:pPr>
              <w:pStyle w:val="ENoteTableText"/>
              <w:tabs>
                <w:tab w:val="left" w:leader="dot" w:pos="2268"/>
              </w:tabs>
            </w:pPr>
            <w:r w:rsidRPr="00576D60">
              <w:t>r 7.8.12A</w:t>
            </w:r>
            <w:r w:rsidRPr="00576D60">
              <w:tab/>
            </w:r>
          </w:p>
        </w:tc>
        <w:tc>
          <w:tcPr>
            <w:tcW w:w="3500" w:type="pct"/>
            <w:shd w:val="clear" w:color="auto" w:fill="auto"/>
          </w:tcPr>
          <w:p w14:paraId="545C7A4A" w14:textId="77777777" w:rsidR="00E93F58" w:rsidRPr="00576D60" w:rsidRDefault="00E93F58" w:rsidP="002F32E3">
            <w:pPr>
              <w:pStyle w:val="ENoteTableText"/>
            </w:pPr>
            <w:r w:rsidRPr="00576D60">
              <w:t>ad No 101, 2013</w:t>
            </w:r>
          </w:p>
        </w:tc>
      </w:tr>
      <w:tr w:rsidR="00E93F58" w:rsidRPr="00576D60" w14:paraId="25A903B9" w14:textId="77777777" w:rsidTr="002F32E3">
        <w:trPr>
          <w:cantSplit/>
        </w:trPr>
        <w:tc>
          <w:tcPr>
            <w:tcW w:w="1500" w:type="pct"/>
            <w:shd w:val="clear" w:color="auto" w:fill="auto"/>
          </w:tcPr>
          <w:p w14:paraId="094DE334" w14:textId="77777777" w:rsidR="00E93F58" w:rsidRPr="00576D60" w:rsidRDefault="00E93F58" w:rsidP="002F32E3">
            <w:pPr>
              <w:pStyle w:val="ENoteTableText"/>
              <w:tabs>
                <w:tab w:val="left" w:leader="dot" w:pos="2268"/>
              </w:tabs>
            </w:pPr>
          </w:p>
        </w:tc>
        <w:tc>
          <w:tcPr>
            <w:tcW w:w="3500" w:type="pct"/>
            <w:shd w:val="clear" w:color="auto" w:fill="auto"/>
          </w:tcPr>
          <w:p w14:paraId="0C11E5C9" w14:textId="77777777" w:rsidR="00E93F58" w:rsidRPr="00576D60" w:rsidRDefault="00E93F58" w:rsidP="002F32E3">
            <w:pPr>
              <w:pStyle w:val="ENoteTableText"/>
            </w:pPr>
            <w:r w:rsidRPr="00576D60">
              <w:t>am F2019L01641</w:t>
            </w:r>
            <w:r>
              <w:t>; F2023L01458</w:t>
            </w:r>
          </w:p>
        </w:tc>
      </w:tr>
      <w:tr w:rsidR="00E93F58" w:rsidRPr="00576D60" w14:paraId="7CC775AF" w14:textId="77777777" w:rsidTr="002F32E3">
        <w:trPr>
          <w:cantSplit/>
        </w:trPr>
        <w:tc>
          <w:tcPr>
            <w:tcW w:w="1500" w:type="pct"/>
            <w:shd w:val="clear" w:color="auto" w:fill="auto"/>
          </w:tcPr>
          <w:p w14:paraId="6000906B" w14:textId="77777777" w:rsidR="00E93F58" w:rsidRPr="00576D60" w:rsidRDefault="00E93F58" w:rsidP="002F32E3">
            <w:pPr>
              <w:pStyle w:val="ENoteTableText"/>
              <w:tabs>
                <w:tab w:val="left" w:leader="dot" w:pos="2268"/>
              </w:tabs>
            </w:pPr>
            <w:r w:rsidRPr="00576D60">
              <w:t>r 7.8.13</w:t>
            </w:r>
            <w:r w:rsidRPr="00576D60">
              <w:tab/>
            </w:r>
          </w:p>
        </w:tc>
        <w:tc>
          <w:tcPr>
            <w:tcW w:w="3500" w:type="pct"/>
            <w:shd w:val="clear" w:color="auto" w:fill="auto"/>
          </w:tcPr>
          <w:p w14:paraId="10B14C44" w14:textId="77777777" w:rsidR="00E93F58" w:rsidRPr="00576D60" w:rsidRDefault="00E93F58" w:rsidP="002F32E3">
            <w:pPr>
              <w:pStyle w:val="ENoteTableText"/>
            </w:pPr>
            <w:r w:rsidRPr="00576D60">
              <w:t>ad 2001 No 319</w:t>
            </w:r>
          </w:p>
        </w:tc>
      </w:tr>
      <w:tr w:rsidR="00E93F58" w:rsidRPr="00576D60" w14:paraId="226A8FDB" w14:textId="77777777" w:rsidTr="002F32E3">
        <w:trPr>
          <w:cantSplit/>
        </w:trPr>
        <w:tc>
          <w:tcPr>
            <w:tcW w:w="1500" w:type="pct"/>
            <w:shd w:val="clear" w:color="auto" w:fill="auto"/>
          </w:tcPr>
          <w:p w14:paraId="0AFAC87E" w14:textId="77777777" w:rsidR="00E93F58" w:rsidRPr="00576D60" w:rsidRDefault="00E93F58" w:rsidP="002F32E3">
            <w:pPr>
              <w:pStyle w:val="ENoteTableText"/>
            </w:pPr>
          </w:p>
        </w:tc>
        <w:tc>
          <w:tcPr>
            <w:tcW w:w="3500" w:type="pct"/>
            <w:shd w:val="clear" w:color="auto" w:fill="auto"/>
          </w:tcPr>
          <w:p w14:paraId="51EA3E72" w14:textId="77777777" w:rsidR="00E93F58" w:rsidRPr="00576D60" w:rsidRDefault="00E93F58" w:rsidP="002F32E3">
            <w:pPr>
              <w:pStyle w:val="ENoteTableText"/>
            </w:pPr>
            <w:r w:rsidRPr="00576D60">
              <w:t>am 2003 No 202; No 101, 2013; F2021L01841</w:t>
            </w:r>
          </w:p>
        </w:tc>
      </w:tr>
      <w:tr w:rsidR="00E93F58" w:rsidRPr="00576D60" w14:paraId="714285D9" w14:textId="77777777" w:rsidTr="002F32E3">
        <w:trPr>
          <w:cantSplit/>
        </w:trPr>
        <w:tc>
          <w:tcPr>
            <w:tcW w:w="1500" w:type="pct"/>
            <w:shd w:val="clear" w:color="auto" w:fill="auto"/>
          </w:tcPr>
          <w:p w14:paraId="6D1D825F" w14:textId="77777777" w:rsidR="00E93F58" w:rsidRPr="00576D60" w:rsidRDefault="00E93F58" w:rsidP="002F32E3">
            <w:pPr>
              <w:pStyle w:val="ENoteTableText"/>
              <w:tabs>
                <w:tab w:val="left" w:leader="dot" w:pos="2268"/>
              </w:tabs>
            </w:pPr>
            <w:r w:rsidRPr="00576D60">
              <w:t>r. 7.8.13A</w:t>
            </w:r>
            <w:r w:rsidRPr="00576D60">
              <w:tab/>
            </w:r>
          </w:p>
        </w:tc>
        <w:tc>
          <w:tcPr>
            <w:tcW w:w="3500" w:type="pct"/>
            <w:shd w:val="clear" w:color="auto" w:fill="auto"/>
          </w:tcPr>
          <w:p w14:paraId="201F7119" w14:textId="77777777" w:rsidR="00E93F58" w:rsidRPr="00576D60" w:rsidRDefault="00E93F58" w:rsidP="002F32E3">
            <w:pPr>
              <w:pStyle w:val="ENoteTableText"/>
            </w:pPr>
            <w:r w:rsidRPr="00576D60">
              <w:t>ad. No. 101, 2013</w:t>
            </w:r>
          </w:p>
        </w:tc>
      </w:tr>
      <w:tr w:rsidR="00E93F58" w:rsidRPr="00576D60" w14:paraId="6C0E822A" w14:textId="77777777" w:rsidTr="002F32E3">
        <w:trPr>
          <w:cantSplit/>
        </w:trPr>
        <w:tc>
          <w:tcPr>
            <w:tcW w:w="1500" w:type="pct"/>
            <w:shd w:val="clear" w:color="auto" w:fill="auto"/>
          </w:tcPr>
          <w:p w14:paraId="2015D7C3" w14:textId="77777777" w:rsidR="00E93F58" w:rsidRPr="00576D60" w:rsidRDefault="00E93F58" w:rsidP="002F32E3">
            <w:pPr>
              <w:pStyle w:val="ENoteTableText"/>
              <w:tabs>
                <w:tab w:val="left" w:leader="dot" w:pos="2268"/>
              </w:tabs>
            </w:pPr>
            <w:r w:rsidRPr="00576D60">
              <w:t>r. 7.8.14</w:t>
            </w:r>
            <w:r w:rsidRPr="00576D60">
              <w:tab/>
            </w:r>
          </w:p>
        </w:tc>
        <w:tc>
          <w:tcPr>
            <w:tcW w:w="3500" w:type="pct"/>
            <w:shd w:val="clear" w:color="auto" w:fill="auto"/>
          </w:tcPr>
          <w:p w14:paraId="0103061F" w14:textId="77777777" w:rsidR="00E93F58" w:rsidRPr="00576D60" w:rsidRDefault="00E93F58" w:rsidP="002F32E3">
            <w:pPr>
              <w:pStyle w:val="ENoteTableText"/>
            </w:pPr>
            <w:r w:rsidRPr="00576D60">
              <w:t>ad. 2001 No. 319</w:t>
            </w:r>
          </w:p>
        </w:tc>
      </w:tr>
      <w:tr w:rsidR="00E93F58" w:rsidRPr="00576D60" w14:paraId="6E0EF4E0" w14:textId="77777777" w:rsidTr="002F32E3">
        <w:trPr>
          <w:cantSplit/>
        </w:trPr>
        <w:tc>
          <w:tcPr>
            <w:tcW w:w="1500" w:type="pct"/>
            <w:shd w:val="clear" w:color="auto" w:fill="auto"/>
          </w:tcPr>
          <w:p w14:paraId="03A47A3A" w14:textId="77777777" w:rsidR="00E93F58" w:rsidRPr="00576D60" w:rsidRDefault="00E93F58" w:rsidP="002F32E3">
            <w:pPr>
              <w:pStyle w:val="ENoteTableText"/>
              <w:tabs>
                <w:tab w:val="left" w:leader="dot" w:pos="2268"/>
              </w:tabs>
            </w:pPr>
          </w:p>
        </w:tc>
        <w:tc>
          <w:tcPr>
            <w:tcW w:w="3500" w:type="pct"/>
            <w:shd w:val="clear" w:color="auto" w:fill="auto"/>
          </w:tcPr>
          <w:p w14:paraId="57F1B08D" w14:textId="77777777" w:rsidR="00E93F58" w:rsidRPr="00576D60" w:rsidRDefault="00E93F58" w:rsidP="002F32E3">
            <w:pPr>
              <w:pStyle w:val="ENoteTableText"/>
            </w:pPr>
            <w:r w:rsidRPr="00576D60">
              <w:t>am. No. 101, 2013</w:t>
            </w:r>
          </w:p>
        </w:tc>
      </w:tr>
      <w:tr w:rsidR="00E93F58" w:rsidRPr="00576D60" w14:paraId="525C3D58" w14:textId="77777777" w:rsidTr="002F32E3">
        <w:trPr>
          <w:cantSplit/>
        </w:trPr>
        <w:tc>
          <w:tcPr>
            <w:tcW w:w="1500" w:type="pct"/>
            <w:shd w:val="clear" w:color="auto" w:fill="auto"/>
          </w:tcPr>
          <w:p w14:paraId="4ED5258B" w14:textId="77777777" w:rsidR="00E93F58" w:rsidRPr="00576D60" w:rsidRDefault="00E93F58" w:rsidP="002F32E3">
            <w:pPr>
              <w:pStyle w:val="ENoteTableText"/>
              <w:tabs>
                <w:tab w:val="left" w:leader="dot" w:pos="2268"/>
              </w:tabs>
            </w:pPr>
            <w:r w:rsidRPr="00576D60">
              <w:t>r. 7.8.14A</w:t>
            </w:r>
            <w:r w:rsidRPr="00576D60">
              <w:tab/>
            </w:r>
          </w:p>
        </w:tc>
        <w:tc>
          <w:tcPr>
            <w:tcW w:w="3500" w:type="pct"/>
            <w:shd w:val="clear" w:color="auto" w:fill="auto"/>
          </w:tcPr>
          <w:p w14:paraId="620E1C30" w14:textId="77777777" w:rsidR="00E93F58" w:rsidRPr="00576D60" w:rsidRDefault="00E93F58" w:rsidP="002F32E3">
            <w:pPr>
              <w:pStyle w:val="ENoteTableText"/>
            </w:pPr>
            <w:r w:rsidRPr="00576D60">
              <w:t>ad. 2005 No. 31</w:t>
            </w:r>
          </w:p>
        </w:tc>
      </w:tr>
      <w:tr w:rsidR="00E93F58" w:rsidRPr="00576D60" w14:paraId="6BD42869" w14:textId="77777777" w:rsidTr="002F32E3">
        <w:trPr>
          <w:cantSplit/>
        </w:trPr>
        <w:tc>
          <w:tcPr>
            <w:tcW w:w="1500" w:type="pct"/>
            <w:shd w:val="clear" w:color="auto" w:fill="auto"/>
          </w:tcPr>
          <w:p w14:paraId="37AA45FE" w14:textId="77777777" w:rsidR="00E93F58" w:rsidRPr="00576D60" w:rsidRDefault="00E93F58" w:rsidP="002F32E3">
            <w:pPr>
              <w:pStyle w:val="ENoteTableText"/>
              <w:tabs>
                <w:tab w:val="left" w:leader="dot" w:pos="2268"/>
              </w:tabs>
              <w:rPr>
                <w:b/>
              </w:rPr>
            </w:pPr>
            <w:r w:rsidRPr="00576D60">
              <w:rPr>
                <w:b/>
              </w:rPr>
              <w:t>Subdivision D</w:t>
            </w:r>
          </w:p>
        </w:tc>
        <w:tc>
          <w:tcPr>
            <w:tcW w:w="3500" w:type="pct"/>
            <w:shd w:val="clear" w:color="auto" w:fill="auto"/>
          </w:tcPr>
          <w:p w14:paraId="1A4BDFC4" w14:textId="77777777" w:rsidR="00E93F58" w:rsidRPr="00576D60" w:rsidRDefault="00E93F58" w:rsidP="002F32E3">
            <w:pPr>
              <w:pStyle w:val="ENoteTableText"/>
            </w:pPr>
          </w:p>
        </w:tc>
      </w:tr>
      <w:tr w:rsidR="00E93F58" w:rsidRPr="00576D60" w14:paraId="6131EAB0" w14:textId="77777777" w:rsidTr="002F32E3">
        <w:trPr>
          <w:cantSplit/>
        </w:trPr>
        <w:tc>
          <w:tcPr>
            <w:tcW w:w="1500" w:type="pct"/>
            <w:shd w:val="clear" w:color="auto" w:fill="auto"/>
          </w:tcPr>
          <w:p w14:paraId="451F258D" w14:textId="77777777" w:rsidR="00E93F58" w:rsidRPr="00576D60" w:rsidRDefault="00E93F58" w:rsidP="002F32E3">
            <w:pPr>
              <w:pStyle w:val="ENoteTableText"/>
              <w:tabs>
                <w:tab w:val="left" w:leader="dot" w:pos="2268"/>
              </w:tabs>
            </w:pPr>
            <w:r w:rsidRPr="00576D60">
              <w:t>Subdivision D heading</w:t>
            </w:r>
            <w:r w:rsidRPr="00576D60">
              <w:tab/>
            </w:r>
          </w:p>
        </w:tc>
        <w:tc>
          <w:tcPr>
            <w:tcW w:w="3500" w:type="pct"/>
            <w:shd w:val="clear" w:color="auto" w:fill="auto"/>
          </w:tcPr>
          <w:p w14:paraId="56F07128" w14:textId="77777777" w:rsidR="00E93F58" w:rsidRPr="00576D60" w:rsidRDefault="00E93F58" w:rsidP="002F32E3">
            <w:pPr>
              <w:pStyle w:val="ENoteTableText"/>
            </w:pPr>
            <w:r w:rsidRPr="00576D60">
              <w:t>ad F2018L00743</w:t>
            </w:r>
          </w:p>
        </w:tc>
      </w:tr>
      <w:tr w:rsidR="00E93F58" w:rsidRPr="00576D60" w14:paraId="22D02CDB" w14:textId="77777777" w:rsidTr="002F32E3">
        <w:trPr>
          <w:cantSplit/>
        </w:trPr>
        <w:tc>
          <w:tcPr>
            <w:tcW w:w="1500" w:type="pct"/>
            <w:shd w:val="clear" w:color="auto" w:fill="auto"/>
          </w:tcPr>
          <w:p w14:paraId="53055600" w14:textId="77777777" w:rsidR="00E93F58" w:rsidRPr="00576D60" w:rsidRDefault="00E93F58" w:rsidP="002F32E3">
            <w:pPr>
              <w:pStyle w:val="ENoteTableText"/>
              <w:tabs>
                <w:tab w:val="left" w:leader="dot" w:pos="2268"/>
              </w:tabs>
            </w:pPr>
            <w:r w:rsidRPr="00576D60">
              <w:t>r 7.8.14B</w:t>
            </w:r>
            <w:r w:rsidRPr="00576D60">
              <w:tab/>
            </w:r>
          </w:p>
        </w:tc>
        <w:tc>
          <w:tcPr>
            <w:tcW w:w="3500" w:type="pct"/>
            <w:shd w:val="clear" w:color="auto" w:fill="auto"/>
          </w:tcPr>
          <w:p w14:paraId="0EC125B4" w14:textId="77777777" w:rsidR="00E93F58" w:rsidRPr="00576D60" w:rsidRDefault="00E93F58" w:rsidP="002F32E3">
            <w:pPr>
              <w:pStyle w:val="ENoteTableText"/>
            </w:pPr>
            <w:r w:rsidRPr="00576D60">
              <w:t>ad No 101, 2013</w:t>
            </w:r>
          </w:p>
        </w:tc>
      </w:tr>
      <w:tr w:rsidR="00E93F58" w:rsidRPr="00576D60" w14:paraId="352BE97E" w14:textId="77777777" w:rsidTr="002F32E3">
        <w:trPr>
          <w:cantSplit/>
        </w:trPr>
        <w:tc>
          <w:tcPr>
            <w:tcW w:w="1500" w:type="pct"/>
            <w:shd w:val="clear" w:color="auto" w:fill="auto"/>
          </w:tcPr>
          <w:p w14:paraId="27558575" w14:textId="77777777" w:rsidR="00E93F58" w:rsidRPr="00576D60" w:rsidRDefault="00E93F58" w:rsidP="002F32E3">
            <w:pPr>
              <w:pStyle w:val="ENoteTableText"/>
              <w:tabs>
                <w:tab w:val="left" w:leader="dot" w:pos="2268"/>
              </w:tabs>
            </w:pPr>
          </w:p>
        </w:tc>
        <w:tc>
          <w:tcPr>
            <w:tcW w:w="3500" w:type="pct"/>
            <w:shd w:val="clear" w:color="auto" w:fill="auto"/>
          </w:tcPr>
          <w:p w14:paraId="16EDA050" w14:textId="77777777" w:rsidR="00E93F58" w:rsidRPr="00576D60" w:rsidRDefault="00E93F58" w:rsidP="002F32E3">
            <w:pPr>
              <w:pStyle w:val="ENoteTableText"/>
            </w:pPr>
            <w:r w:rsidRPr="00576D60">
              <w:t>am F2019L01641</w:t>
            </w:r>
            <w:r>
              <w:t>; F2023L01458</w:t>
            </w:r>
          </w:p>
        </w:tc>
      </w:tr>
      <w:tr w:rsidR="00E93F58" w:rsidRPr="00576D60" w14:paraId="3EF671F8" w14:textId="77777777" w:rsidTr="002F32E3">
        <w:trPr>
          <w:cantSplit/>
        </w:trPr>
        <w:tc>
          <w:tcPr>
            <w:tcW w:w="1500" w:type="pct"/>
            <w:shd w:val="clear" w:color="auto" w:fill="auto"/>
          </w:tcPr>
          <w:p w14:paraId="70A944BD" w14:textId="77777777" w:rsidR="00E93F58" w:rsidRPr="00576D60" w:rsidRDefault="00E93F58" w:rsidP="002F32E3">
            <w:pPr>
              <w:pStyle w:val="ENoteTableText"/>
              <w:tabs>
                <w:tab w:val="left" w:leader="dot" w:pos="2268"/>
              </w:tabs>
            </w:pPr>
            <w:r w:rsidRPr="00576D60">
              <w:t>r. 7.8.15</w:t>
            </w:r>
            <w:r w:rsidRPr="00576D60">
              <w:tab/>
            </w:r>
          </w:p>
        </w:tc>
        <w:tc>
          <w:tcPr>
            <w:tcW w:w="3500" w:type="pct"/>
            <w:shd w:val="clear" w:color="auto" w:fill="auto"/>
          </w:tcPr>
          <w:p w14:paraId="28BEE8D1" w14:textId="77777777" w:rsidR="00E93F58" w:rsidRPr="00576D60" w:rsidRDefault="00E93F58" w:rsidP="002F32E3">
            <w:pPr>
              <w:pStyle w:val="ENoteTableText"/>
            </w:pPr>
            <w:r w:rsidRPr="00576D60">
              <w:t>ad. 2001 No. 319</w:t>
            </w:r>
          </w:p>
        </w:tc>
      </w:tr>
      <w:tr w:rsidR="00E93F58" w:rsidRPr="00576D60" w14:paraId="66D3198F" w14:textId="77777777" w:rsidTr="002F32E3">
        <w:trPr>
          <w:cantSplit/>
        </w:trPr>
        <w:tc>
          <w:tcPr>
            <w:tcW w:w="1500" w:type="pct"/>
            <w:shd w:val="clear" w:color="auto" w:fill="auto"/>
          </w:tcPr>
          <w:p w14:paraId="0F7EFAFB" w14:textId="77777777" w:rsidR="00E93F58" w:rsidRPr="00576D60" w:rsidRDefault="00E93F58" w:rsidP="002F32E3">
            <w:pPr>
              <w:pStyle w:val="ENoteTableText"/>
            </w:pPr>
          </w:p>
        </w:tc>
        <w:tc>
          <w:tcPr>
            <w:tcW w:w="3500" w:type="pct"/>
            <w:shd w:val="clear" w:color="auto" w:fill="auto"/>
          </w:tcPr>
          <w:p w14:paraId="156F3864" w14:textId="77777777" w:rsidR="00E93F58" w:rsidRPr="00576D60" w:rsidRDefault="00E93F58" w:rsidP="002F32E3">
            <w:pPr>
              <w:pStyle w:val="ENoteTableText"/>
            </w:pPr>
            <w:r w:rsidRPr="00576D60">
              <w:t>am. 2003 No. 126</w:t>
            </w:r>
          </w:p>
        </w:tc>
      </w:tr>
      <w:tr w:rsidR="00E93F58" w:rsidRPr="00576D60" w14:paraId="5AD592AE" w14:textId="77777777" w:rsidTr="002F32E3">
        <w:trPr>
          <w:cantSplit/>
        </w:trPr>
        <w:tc>
          <w:tcPr>
            <w:tcW w:w="1500" w:type="pct"/>
            <w:shd w:val="clear" w:color="auto" w:fill="auto"/>
          </w:tcPr>
          <w:p w14:paraId="4B887CDB" w14:textId="77777777" w:rsidR="00E93F58" w:rsidRPr="00576D60" w:rsidRDefault="00E93F58" w:rsidP="002F32E3">
            <w:pPr>
              <w:pStyle w:val="ENoteTableText"/>
              <w:tabs>
                <w:tab w:val="left" w:leader="dot" w:pos="2268"/>
              </w:tabs>
            </w:pPr>
            <w:r w:rsidRPr="00576D60">
              <w:t>r. 7.8.16</w:t>
            </w:r>
            <w:r w:rsidRPr="00576D60">
              <w:tab/>
            </w:r>
          </w:p>
        </w:tc>
        <w:tc>
          <w:tcPr>
            <w:tcW w:w="3500" w:type="pct"/>
            <w:shd w:val="clear" w:color="auto" w:fill="auto"/>
          </w:tcPr>
          <w:p w14:paraId="4E2ACBB4" w14:textId="77777777" w:rsidR="00E93F58" w:rsidRPr="00576D60" w:rsidRDefault="00E93F58" w:rsidP="002F32E3">
            <w:pPr>
              <w:pStyle w:val="ENoteTableText"/>
            </w:pPr>
            <w:r w:rsidRPr="00576D60">
              <w:t>ad. 2001 No. 319</w:t>
            </w:r>
          </w:p>
        </w:tc>
      </w:tr>
      <w:tr w:rsidR="00E93F58" w:rsidRPr="00576D60" w14:paraId="55020FF8" w14:textId="77777777" w:rsidTr="002F32E3">
        <w:trPr>
          <w:cantSplit/>
        </w:trPr>
        <w:tc>
          <w:tcPr>
            <w:tcW w:w="1500" w:type="pct"/>
            <w:shd w:val="clear" w:color="auto" w:fill="auto"/>
          </w:tcPr>
          <w:p w14:paraId="4E68F254" w14:textId="77777777" w:rsidR="00E93F58" w:rsidRPr="00576D60" w:rsidRDefault="00E93F58" w:rsidP="00E73EAB">
            <w:pPr>
              <w:pStyle w:val="ENoteTableText"/>
              <w:keepNext/>
              <w:tabs>
                <w:tab w:val="left" w:leader="dot" w:pos="2268"/>
              </w:tabs>
              <w:rPr>
                <w:b/>
              </w:rPr>
            </w:pPr>
            <w:r w:rsidRPr="00576D60">
              <w:rPr>
                <w:b/>
              </w:rPr>
              <w:t>Division 7</w:t>
            </w:r>
          </w:p>
        </w:tc>
        <w:tc>
          <w:tcPr>
            <w:tcW w:w="3500" w:type="pct"/>
            <w:shd w:val="clear" w:color="auto" w:fill="auto"/>
          </w:tcPr>
          <w:p w14:paraId="2B25678B" w14:textId="77777777" w:rsidR="00E93F58" w:rsidRPr="00576D60" w:rsidRDefault="00E93F58" w:rsidP="002F32E3">
            <w:pPr>
              <w:pStyle w:val="ENoteTableText"/>
            </w:pPr>
          </w:p>
        </w:tc>
      </w:tr>
      <w:tr w:rsidR="00E93F58" w:rsidRPr="00576D60" w14:paraId="70A1C0EE" w14:textId="77777777" w:rsidTr="002F32E3">
        <w:trPr>
          <w:cantSplit/>
        </w:trPr>
        <w:tc>
          <w:tcPr>
            <w:tcW w:w="1500" w:type="pct"/>
            <w:shd w:val="clear" w:color="auto" w:fill="auto"/>
          </w:tcPr>
          <w:p w14:paraId="4B2B7A14" w14:textId="77777777" w:rsidR="00E93F58" w:rsidRPr="00576D60" w:rsidRDefault="00E93F58" w:rsidP="002F32E3">
            <w:pPr>
              <w:pStyle w:val="ENoteTableText"/>
              <w:tabs>
                <w:tab w:val="left" w:leader="dot" w:pos="2268"/>
              </w:tabs>
            </w:pPr>
            <w:r w:rsidRPr="00576D60">
              <w:t>Division 7 heading</w:t>
            </w:r>
            <w:r w:rsidRPr="00576D60">
              <w:tab/>
            </w:r>
          </w:p>
        </w:tc>
        <w:tc>
          <w:tcPr>
            <w:tcW w:w="3500" w:type="pct"/>
            <w:shd w:val="clear" w:color="auto" w:fill="auto"/>
          </w:tcPr>
          <w:p w14:paraId="5DF73B10" w14:textId="77777777" w:rsidR="00E93F58" w:rsidRPr="00576D60" w:rsidRDefault="00E93F58" w:rsidP="002F32E3">
            <w:pPr>
              <w:pStyle w:val="ENoteTableText"/>
            </w:pPr>
            <w:r w:rsidRPr="00576D60">
              <w:t>ad F2018L00743</w:t>
            </w:r>
          </w:p>
        </w:tc>
      </w:tr>
      <w:tr w:rsidR="00E93F58" w:rsidRPr="00576D60" w14:paraId="462F4E14" w14:textId="77777777" w:rsidTr="002F32E3">
        <w:trPr>
          <w:cantSplit/>
        </w:trPr>
        <w:tc>
          <w:tcPr>
            <w:tcW w:w="1500" w:type="pct"/>
            <w:shd w:val="clear" w:color="auto" w:fill="auto"/>
          </w:tcPr>
          <w:p w14:paraId="08736ECA" w14:textId="77777777" w:rsidR="00E93F58" w:rsidRPr="00576D60" w:rsidRDefault="00E93F58" w:rsidP="002F32E3">
            <w:pPr>
              <w:pStyle w:val="ENoteTableText"/>
              <w:tabs>
                <w:tab w:val="left" w:leader="dot" w:pos="2268"/>
              </w:tabs>
            </w:pPr>
            <w:r w:rsidRPr="00576D60">
              <w:t>r. 7.8.17</w:t>
            </w:r>
            <w:r w:rsidRPr="00576D60">
              <w:tab/>
            </w:r>
          </w:p>
        </w:tc>
        <w:tc>
          <w:tcPr>
            <w:tcW w:w="3500" w:type="pct"/>
            <w:shd w:val="clear" w:color="auto" w:fill="auto"/>
          </w:tcPr>
          <w:p w14:paraId="4F6DE677" w14:textId="77777777" w:rsidR="00E93F58" w:rsidRPr="00576D60" w:rsidRDefault="00E93F58" w:rsidP="002F32E3">
            <w:pPr>
              <w:pStyle w:val="ENoteTableText"/>
            </w:pPr>
            <w:r w:rsidRPr="00576D60">
              <w:t>ad. 2001 No. 319</w:t>
            </w:r>
          </w:p>
        </w:tc>
      </w:tr>
      <w:tr w:rsidR="00E93F58" w:rsidRPr="00576D60" w14:paraId="37509AFB" w14:textId="77777777" w:rsidTr="002F32E3">
        <w:trPr>
          <w:cantSplit/>
        </w:trPr>
        <w:tc>
          <w:tcPr>
            <w:tcW w:w="1500" w:type="pct"/>
            <w:shd w:val="clear" w:color="auto" w:fill="auto"/>
          </w:tcPr>
          <w:p w14:paraId="1FD32FDB" w14:textId="77777777" w:rsidR="00E93F58" w:rsidRPr="00576D60" w:rsidRDefault="00E93F58" w:rsidP="002F32E3">
            <w:pPr>
              <w:pStyle w:val="ENoteTableText"/>
            </w:pPr>
          </w:p>
        </w:tc>
        <w:tc>
          <w:tcPr>
            <w:tcW w:w="3500" w:type="pct"/>
            <w:shd w:val="clear" w:color="auto" w:fill="auto"/>
          </w:tcPr>
          <w:p w14:paraId="03DFAF31" w14:textId="77777777" w:rsidR="00E93F58" w:rsidRPr="00576D60" w:rsidRDefault="00E93F58" w:rsidP="002F32E3">
            <w:pPr>
              <w:pStyle w:val="ENoteTableText"/>
            </w:pPr>
            <w:r w:rsidRPr="00576D60">
              <w:t>am. 2004 No. 25; 2010 No. 210</w:t>
            </w:r>
          </w:p>
        </w:tc>
      </w:tr>
      <w:tr w:rsidR="00E93F58" w:rsidRPr="00576D60" w14:paraId="1DCF0211" w14:textId="77777777" w:rsidTr="002F32E3">
        <w:trPr>
          <w:cantSplit/>
        </w:trPr>
        <w:tc>
          <w:tcPr>
            <w:tcW w:w="1500" w:type="pct"/>
            <w:shd w:val="clear" w:color="auto" w:fill="auto"/>
          </w:tcPr>
          <w:p w14:paraId="2A566128" w14:textId="77777777" w:rsidR="00E93F58" w:rsidRPr="00576D60" w:rsidRDefault="00E93F58" w:rsidP="002F32E3">
            <w:pPr>
              <w:pStyle w:val="ENoteTableText"/>
              <w:tabs>
                <w:tab w:val="left" w:leader="dot" w:pos="2268"/>
              </w:tabs>
            </w:pPr>
            <w:r w:rsidRPr="00576D60">
              <w:t>r. 7.8.18</w:t>
            </w:r>
            <w:r w:rsidRPr="00576D60">
              <w:tab/>
            </w:r>
          </w:p>
        </w:tc>
        <w:tc>
          <w:tcPr>
            <w:tcW w:w="3500" w:type="pct"/>
            <w:shd w:val="clear" w:color="auto" w:fill="auto"/>
          </w:tcPr>
          <w:p w14:paraId="4EDA0A6E" w14:textId="77777777" w:rsidR="00E93F58" w:rsidRPr="00576D60" w:rsidRDefault="00E93F58" w:rsidP="002F32E3">
            <w:pPr>
              <w:pStyle w:val="ENoteTableText"/>
            </w:pPr>
            <w:r w:rsidRPr="00576D60">
              <w:t>ad. 2001 No. 319</w:t>
            </w:r>
          </w:p>
        </w:tc>
      </w:tr>
      <w:tr w:rsidR="00E93F58" w:rsidRPr="00576D60" w14:paraId="3A9E2662" w14:textId="77777777" w:rsidTr="002F32E3">
        <w:trPr>
          <w:cantSplit/>
        </w:trPr>
        <w:tc>
          <w:tcPr>
            <w:tcW w:w="1500" w:type="pct"/>
            <w:shd w:val="clear" w:color="auto" w:fill="auto"/>
          </w:tcPr>
          <w:p w14:paraId="298F136E" w14:textId="77777777" w:rsidR="00E93F58" w:rsidRPr="00576D60" w:rsidRDefault="00E93F58" w:rsidP="002F32E3">
            <w:pPr>
              <w:pStyle w:val="ENoteTableText"/>
            </w:pPr>
          </w:p>
        </w:tc>
        <w:tc>
          <w:tcPr>
            <w:tcW w:w="3500" w:type="pct"/>
            <w:shd w:val="clear" w:color="auto" w:fill="auto"/>
          </w:tcPr>
          <w:p w14:paraId="70E920D9" w14:textId="77777777" w:rsidR="00E93F58" w:rsidRPr="00576D60" w:rsidRDefault="00E93F58" w:rsidP="002F32E3">
            <w:pPr>
              <w:pStyle w:val="ENoteTableText"/>
            </w:pPr>
            <w:r w:rsidRPr="00576D60">
              <w:t>am. 2010 No. 210</w:t>
            </w:r>
          </w:p>
        </w:tc>
      </w:tr>
      <w:tr w:rsidR="00E93F58" w:rsidRPr="00576D60" w14:paraId="24420A52" w14:textId="77777777" w:rsidTr="002F32E3">
        <w:trPr>
          <w:cantSplit/>
        </w:trPr>
        <w:tc>
          <w:tcPr>
            <w:tcW w:w="1500" w:type="pct"/>
            <w:shd w:val="clear" w:color="auto" w:fill="auto"/>
          </w:tcPr>
          <w:p w14:paraId="603359B0" w14:textId="77777777" w:rsidR="00E93F58" w:rsidRPr="00576D60" w:rsidRDefault="00E93F58" w:rsidP="002F32E3">
            <w:pPr>
              <w:pStyle w:val="ENoteTableText"/>
              <w:tabs>
                <w:tab w:val="left" w:leader="dot" w:pos="2268"/>
              </w:tabs>
            </w:pPr>
            <w:r w:rsidRPr="00576D60">
              <w:t>r. 7.8.19</w:t>
            </w:r>
            <w:r w:rsidRPr="00576D60">
              <w:tab/>
            </w:r>
          </w:p>
        </w:tc>
        <w:tc>
          <w:tcPr>
            <w:tcW w:w="3500" w:type="pct"/>
            <w:shd w:val="clear" w:color="auto" w:fill="auto"/>
          </w:tcPr>
          <w:p w14:paraId="2D0497D8" w14:textId="77777777" w:rsidR="00E93F58" w:rsidRPr="00576D60" w:rsidRDefault="00E93F58" w:rsidP="002F32E3">
            <w:pPr>
              <w:pStyle w:val="ENoteTableText"/>
            </w:pPr>
            <w:r w:rsidRPr="00576D60">
              <w:t>ad. 2001 No. 319</w:t>
            </w:r>
          </w:p>
        </w:tc>
      </w:tr>
      <w:tr w:rsidR="00E93F58" w:rsidRPr="00576D60" w14:paraId="3CE4BBD0" w14:textId="77777777" w:rsidTr="002F32E3">
        <w:trPr>
          <w:cantSplit/>
        </w:trPr>
        <w:tc>
          <w:tcPr>
            <w:tcW w:w="1500" w:type="pct"/>
            <w:shd w:val="clear" w:color="auto" w:fill="auto"/>
          </w:tcPr>
          <w:p w14:paraId="14929EE5" w14:textId="77777777" w:rsidR="00E93F58" w:rsidRPr="00576D60" w:rsidRDefault="00E93F58" w:rsidP="002F32E3">
            <w:pPr>
              <w:pStyle w:val="ENoteTableText"/>
              <w:tabs>
                <w:tab w:val="left" w:leader="dot" w:pos="2268"/>
              </w:tabs>
            </w:pPr>
            <w:r w:rsidRPr="00576D60">
              <w:t>r 7.8.20</w:t>
            </w:r>
            <w:r w:rsidRPr="00576D60">
              <w:tab/>
            </w:r>
          </w:p>
        </w:tc>
        <w:tc>
          <w:tcPr>
            <w:tcW w:w="3500" w:type="pct"/>
            <w:shd w:val="clear" w:color="auto" w:fill="auto"/>
          </w:tcPr>
          <w:p w14:paraId="57E66605" w14:textId="77777777" w:rsidR="00E93F58" w:rsidRPr="00576D60" w:rsidRDefault="00E93F58" w:rsidP="002F32E3">
            <w:pPr>
              <w:pStyle w:val="ENoteTableText"/>
            </w:pPr>
            <w:r w:rsidRPr="00576D60">
              <w:t>ad No 319, 2001</w:t>
            </w:r>
          </w:p>
        </w:tc>
      </w:tr>
      <w:tr w:rsidR="00E93F58" w:rsidRPr="00576D60" w14:paraId="3048086D" w14:textId="77777777" w:rsidTr="002F32E3">
        <w:trPr>
          <w:cantSplit/>
        </w:trPr>
        <w:tc>
          <w:tcPr>
            <w:tcW w:w="1500" w:type="pct"/>
            <w:shd w:val="clear" w:color="auto" w:fill="auto"/>
          </w:tcPr>
          <w:p w14:paraId="2E05E6EA" w14:textId="77777777" w:rsidR="00E93F58" w:rsidRPr="00576D60" w:rsidRDefault="00E93F58" w:rsidP="002F32E3">
            <w:pPr>
              <w:pStyle w:val="ENoteTableText"/>
            </w:pPr>
          </w:p>
        </w:tc>
        <w:tc>
          <w:tcPr>
            <w:tcW w:w="3500" w:type="pct"/>
            <w:shd w:val="clear" w:color="auto" w:fill="auto"/>
          </w:tcPr>
          <w:p w14:paraId="33787C5F" w14:textId="77777777" w:rsidR="00E93F58" w:rsidRPr="00576D60" w:rsidRDefault="00E93F58" w:rsidP="002F32E3">
            <w:pPr>
              <w:pStyle w:val="ENoteTableText"/>
            </w:pPr>
            <w:r w:rsidRPr="00576D60">
              <w:t>am No 16, 2002; No 25, 2004; No 210, 2010; F2018L01144</w:t>
            </w:r>
            <w:r>
              <w:t>; F2023L01458</w:t>
            </w:r>
          </w:p>
        </w:tc>
      </w:tr>
      <w:tr w:rsidR="00E93F58" w:rsidRPr="00576D60" w14:paraId="3575D134" w14:textId="77777777" w:rsidTr="002F32E3">
        <w:trPr>
          <w:cantSplit/>
        </w:trPr>
        <w:tc>
          <w:tcPr>
            <w:tcW w:w="1500" w:type="pct"/>
            <w:shd w:val="clear" w:color="auto" w:fill="auto"/>
          </w:tcPr>
          <w:p w14:paraId="5678151D" w14:textId="77777777" w:rsidR="00E93F58" w:rsidRPr="00576D60" w:rsidRDefault="00E93F58" w:rsidP="002F32E3">
            <w:pPr>
              <w:pStyle w:val="ENoteTableText"/>
              <w:tabs>
                <w:tab w:val="left" w:leader="dot" w:pos="2268"/>
              </w:tabs>
            </w:pPr>
            <w:r w:rsidRPr="00576D60">
              <w:t>r 7.8.20A</w:t>
            </w:r>
            <w:r w:rsidRPr="00576D60">
              <w:tab/>
            </w:r>
          </w:p>
        </w:tc>
        <w:tc>
          <w:tcPr>
            <w:tcW w:w="3500" w:type="pct"/>
            <w:shd w:val="clear" w:color="auto" w:fill="auto"/>
          </w:tcPr>
          <w:p w14:paraId="57CED95E" w14:textId="77777777" w:rsidR="00E93F58" w:rsidRPr="00576D60" w:rsidRDefault="00E93F58" w:rsidP="002F32E3">
            <w:pPr>
              <w:pStyle w:val="ENoteTableText"/>
            </w:pPr>
            <w:r w:rsidRPr="00576D60">
              <w:t>ad</w:t>
            </w:r>
            <w:r>
              <w:t xml:space="preserve"> No 31, 2003</w:t>
            </w:r>
          </w:p>
        </w:tc>
      </w:tr>
      <w:tr w:rsidR="00E93F58" w:rsidRPr="00576D60" w14:paraId="357DCD98" w14:textId="77777777" w:rsidTr="002F32E3">
        <w:trPr>
          <w:cantSplit/>
        </w:trPr>
        <w:tc>
          <w:tcPr>
            <w:tcW w:w="1500" w:type="pct"/>
            <w:shd w:val="clear" w:color="auto" w:fill="auto"/>
          </w:tcPr>
          <w:p w14:paraId="03E77A82" w14:textId="77777777" w:rsidR="00E93F58" w:rsidRPr="00576D60" w:rsidRDefault="00E93F58" w:rsidP="002F32E3">
            <w:pPr>
              <w:pStyle w:val="ENoteTableText"/>
              <w:tabs>
                <w:tab w:val="left" w:leader="dot" w:pos="2268"/>
              </w:tabs>
            </w:pPr>
          </w:p>
        </w:tc>
        <w:tc>
          <w:tcPr>
            <w:tcW w:w="3500" w:type="pct"/>
            <w:shd w:val="clear" w:color="auto" w:fill="auto"/>
          </w:tcPr>
          <w:p w14:paraId="62536CB2" w14:textId="77777777" w:rsidR="00E93F58" w:rsidRPr="00576D60" w:rsidRDefault="00E93F58" w:rsidP="002F32E3">
            <w:pPr>
              <w:pStyle w:val="ENoteTableText"/>
            </w:pPr>
            <w:r>
              <w:t>am F2023L01458</w:t>
            </w:r>
          </w:p>
        </w:tc>
      </w:tr>
      <w:tr w:rsidR="00E93F58" w:rsidRPr="00576D60" w14:paraId="66082E21" w14:textId="77777777" w:rsidTr="002F32E3">
        <w:trPr>
          <w:cantSplit/>
        </w:trPr>
        <w:tc>
          <w:tcPr>
            <w:tcW w:w="1500" w:type="pct"/>
            <w:shd w:val="clear" w:color="auto" w:fill="auto"/>
          </w:tcPr>
          <w:p w14:paraId="36450D65" w14:textId="77777777" w:rsidR="00E93F58" w:rsidRPr="00576D60" w:rsidRDefault="00E93F58" w:rsidP="002F32E3">
            <w:pPr>
              <w:pStyle w:val="ENoteTableText"/>
              <w:tabs>
                <w:tab w:val="left" w:leader="dot" w:pos="2268"/>
              </w:tabs>
            </w:pPr>
            <w:r w:rsidRPr="00576D60">
              <w:t>r. 7.8.21</w:t>
            </w:r>
            <w:r w:rsidRPr="00576D60">
              <w:tab/>
            </w:r>
          </w:p>
        </w:tc>
        <w:tc>
          <w:tcPr>
            <w:tcW w:w="3500" w:type="pct"/>
            <w:shd w:val="clear" w:color="auto" w:fill="auto"/>
          </w:tcPr>
          <w:p w14:paraId="121FB8FB" w14:textId="77777777" w:rsidR="00E93F58" w:rsidRPr="00576D60" w:rsidRDefault="00E93F58" w:rsidP="002F32E3">
            <w:pPr>
              <w:pStyle w:val="ENoteTableText"/>
            </w:pPr>
            <w:r w:rsidRPr="00576D60">
              <w:t>ad. 2001 No. 319</w:t>
            </w:r>
          </w:p>
        </w:tc>
      </w:tr>
      <w:tr w:rsidR="00E93F58" w:rsidRPr="00576D60" w14:paraId="1427EDB5" w14:textId="77777777" w:rsidTr="002F32E3">
        <w:trPr>
          <w:cantSplit/>
        </w:trPr>
        <w:tc>
          <w:tcPr>
            <w:tcW w:w="1500" w:type="pct"/>
            <w:shd w:val="clear" w:color="auto" w:fill="auto"/>
          </w:tcPr>
          <w:p w14:paraId="62DE83A0" w14:textId="77777777" w:rsidR="00E93F58" w:rsidRPr="00576D60" w:rsidRDefault="00E93F58" w:rsidP="002F32E3">
            <w:pPr>
              <w:pStyle w:val="ENoteTableText"/>
            </w:pPr>
          </w:p>
        </w:tc>
        <w:tc>
          <w:tcPr>
            <w:tcW w:w="3500" w:type="pct"/>
            <w:shd w:val="clear" w:color="auto" w:fill="auto"/>
          </w:tcPr>
          <w:p w14:paraId="0D6C7096" w14:textId="77777777" w:rsidR="00E93F58" w:rsidRPr="00576D60" w:rsidRDefault="00E93F58" w:rsidP="002F32E3">
            <w:pPr>
              <w:pStyle w:val="ENoteTableText"/>
            </w:pPr>
            <w:r w:rsidRPr="00576D60">
              <w:t>am. 2002 No. 41; 2003 No 202 and 282; 2004 No. 25</w:t>
            </w:r>
          </w:p>
        </w:tc>
      </w:tr>
      <w:tr w:rsidR="00E93F58" w:rsidRPr="00576D60" w14:paraId="28601C07" w14:textId="77777777" w:rsidTr="002F32E3">
        <w:trPr>
          <w:cantSplit/>
        </w:trPr>
        <w:tc>
          <w:tcPr>
            <w:tcW w:w="1500" w:type="pct"/>
            <w:shd w:val="clear" w:color="auto" w:fill="auto"/>
          </w:tcPr>
          <w:p w14:paraId="5AD6E99B" w14:textId="77777777" w:rsidR="00E93F58" w:rsidRPr="00576D60" w:rsidRDefault="00E93F58" w:rsidP="002F32E3">
            <w:pPr>
              <w:pStyle w:val="ENoteTableText"/>
              <w:tabs>
                <w:tab w:val="center" w:leader="dot" w:pos="2268"/>
              </w:tabs>
              <w:rPr>
                <w:b/>
              </w:rPr>
            </w:pPr>
            <w:r w:rsidRPr="00576D60">
              <w:rPr>
                <w:b/>
              </w:rPr>
              <w:t>Division 8</w:t>
            </w:r>
          </w:p>
        </w:tc>
        <w:tc>
          <w:tcPr>
            <w:tcW w:w="3500" w:type="pct"/>
            <w:shd w:val="clear" w:color="auto" w:fill="auto"/>
          </w:tcPr>
          <w:p w14:paraId="01CCC9A3" w14:textId="77777777" w:rsidR="00E93F58" w:rsidRPr="00576D60" w:rsidRDefault="00E93F58" w:rsidP="002F32E3">
            <w:pPr>
              <w:pStyle w:val="ENoteTableText"/>
            </w:pPr>
          </w:p>
        </w:tc>
      </w:tr>
      <w:tr w:rsidR="00E93F58" w:rsidRPr="00576D60" w14:paraId="74614E32" w14:textId="77777777" w:rsidTr="002F32E3">
        <w:trPr>
          <w:cantSplit/>
        </w:trPr>
        <w:tc>
          <w:tcPr>
            <w:tcW w:w="1500" w:type="pct"/>
            <w:shd w:val="clear" w:color="auto" w:fill="auto"/>
          </w:tcPr>
          <w:p w14:paraId="0A1FF9A9" w14:textId="77777777" w:rsidR="00E93F58" w:rsidRPr="00576D60" w:rsidRDefault="00E93F58" w:rsidP="002F32E3">
            <w:pPr>
              <w:pStyle w:val="ENoteTableText"/>
              <w:tabs>
                <w:tab w:val="center" w:leader="dot" w:pos="2268"/>
              </w:tabs>
            </w:pPr>
            <w:r w:rsidRPr="00576D60">
              <w:t>Division 8 heading</w:t>
            </w:r>
            <w:r w:rsidRPr="00576D60">
              <w:tab/>
            </w:r>
          </w:p>
        </w:tc>
        <w:tc>
          <w:tcPr>
            <w:tcW w:w="3500" w:type="pct"/>
            <w:shd w:val="clear" w:color="auto" w:fill="auto"/>
          </w:tcPr>
          <w:p w14:paraId="07B98CF5" w14:textId="77777777" w:rsidR="00E93F58" w:rsidRPr="00576D60" w:rsidRDefault="00E93F58" w:rsidP="002F32E3">
            <w:pPr>
              <w:pStyle w:val="ENoteTableText"/>
            </w:pPr>
            <w:r w:rsidRPr="00576D60">
              <w:t>ad F2018L00743</w:t>
            </w:r>
          </w:p>
        </w:tc>
      </w:tr>
      <w:tr w:rsidR="00E93F58" w:rsidRPr="00576D60" w14:paraId="4A3BD8C2" w14:textId="77777777" w:rsidTr="002F32E3">
        <w:trPr>
          <w:cantSplit/>
        </w:trPr>
        <w:tc>
          <w:tcPr>
            <w:tcW w:w="1500" w:type="pct"/>
            <w:shd w:val="clear" w:color="auto" w:fill="auto"/>
          </w:tcPr>
          <w:p w14:paraId="5401C109" w14:textId="77777777" w:rsidR="00E93F58" w:rsidRPr="00576D60" w:rsidRDefault="00E93F58" w:rsidP="002F32E3">
            <w:pPr>
              <w:pStyle w:val="ENoteTableText"/>
              <w:tabs>
                <w:tab w:val="left" w:leader="dot" w:pos="2268"/>
              </w:tabs>
            </w:pPr>
            <w:r w:rsidRPr="00576D60">
              <w:t>r 7.8.21A</w:t>
            </w:r>
            <w:r w:rsidRPr="00576D60">
              <w:tab/>
            </w:r>
          </w:p>
        </w:tc>
        <w:tc>
          <w:tcPr>
            <w:tcW w:w="3500" w:type="pct"/>
            <w:shd w:val="clear" w:color="auto" w:fill="auto"/>
          </w:tcPr>
          <w:p w14:paraId="62574D42" w14:textId="77777777" w:rsidR="00E93F58" w:rsidRPr="00576D60" w:rsidRDefault="00E93F58" w:rsidP="002F32E3">
            <w:pPr>
              <w:pStyle w:val="ENoteTableText"/>
            </w:pPr>
            <w:r w:rsidRPr="00576D60">
              <w:t>ad No 324, 2005</w:t>
            </w:r>
          </w:p>
        </w:tc>
      </w:tr>
      <w:tr w:rsidR="00E93F58" w:rsidRPr="00576D60" w14:paraId="407801AF" w14:textId="77777777" w:rsidTr="002F32E3">
        <w:trPr>
          <w:cantSplit/>
        </w:trPr>
        <w:tc>
          <w:tcPr>
            <w:tcW w:w="1500" w:type="pct"/>
            <w:shd w:val="clear" w:color="auto" w:fill="auto"/>
          </w:tcPr>
          <w:p w14:paraId="74F76703" w14:textId="77777777" w:rsidR="00E93F58" w:rsidRPr="00576D60" w:rsidRDefault="00E93F58" w:rsidP="002F32E3">
            <w:pPr>
              <w:pStyle w:val="ENoteTableText"/>
              <w:tabs>
                <w:tab w:val="left" w:leader="dot" w:pos="2268"/>
              </w:tabs>
            </w:pPr>
          </w:p>
        </w:tc>
        <w:tc>
          <w:tcPr>
            <w:tcW w:w="3500" w:type="pct"/>
            <w:shd w:val="clear" w:color="auto" w:fill="auto"/>
          </w:tcPr>
          <w:p w14:paraId="5237C471" w14:textId="77777777" w:rsidR="00E93F58" w:rsidRPr="00576D60" w:rsidRDefault="00E93F58" w:rsidP="002F32E3">
            <w:pPr>
              <w:pStyle w:val="ENoteTableText"/>
            </w:pPr>
            <w:r w:rsidRPr="00576D60">
              <w:t>rs F2021L01080</w:t>
            </w:r>
          </w:p>
        </w:tc>
      </w:tr>
      <w:tr w:rsidR="00E93F58" w:rsidRPr="00576D60" w14:paraId="49175908" w14:textId="77777777" w:rsidTr="002F32E3">
        <w:trPr>
          <w:cantSplit/>
        </w:trPr>
        <w:tc>
          <w:tcPr>
            <w:tcW w:w="1500" w:type="pct"/>
            <w:shd w:val="clear" w:color="auto" w:fill="auto"/>
          </w:tcPr>
          <w:p w14:paraId="56E58039" w14:textId="77777777" w:rsidR="00E93F58" w:rsidRPr="00576D60" w:rsidRDefault="00E93F58" w:rsidP="002F32E3">
            <w:pPr>
              <w:pStyle w:val="ENoteTableText"/>
              <w:tabs>
                <w:tab w:val="left" w:leader="dot" w:pos="2268"/>
              </w:tabs>
            </w:pPr>
          </w:p>
        </w:tc>
        <w:tc>
          <w:tcPr>
            <w:tcW w:w="3500" w:type="pct"/>
            <w:shd w:val="clear" w:color="auto" w:fill="auto"/>
          </w:tcPr>
          <w:p w14:paraId="3D74E8E4" w14:textId="77777777" w:rsidR="00E93F58" w:rsidRPr="00576D60" w:rsidRDefault="00E93F58" w:rsidP="002F32E3">
            <w:pPr>
              <w:pStyle w:val="ENoteTableText"/>
            </w:pPr>
            <w:r w:rsidRPr="00576D60">
              <w:t>am F2022L01614; F2022L01627</w:t>
            </w:r>
            <w:r>
              <w:t>; F2023L01458</w:t>
            </w:r>
          </w:p>
        </w:tc>
      </w:tr>
      <w:tr w:rsidR="00E93F58" w:rsidRPr="00576D60" w14:paraId="4CA80465" w14:textId="77777777" w:rsidTr="002F32E3">
        <w:trPr>
          <w:cantSplit/>
        </w:trPr>
        <w:tc>
          <w:tcPr>
            <w:tcW w:w="1500" w:type="pct"/>
            <w:shd w:val="clear" w:color="auto" w:fill="auto"/>
          </w:tcPr>
          <w:p w14:paraId="1FBF5875" w14:textId="77777777" w:rsidR="00E93F58" w:rsidRPr="00576D60" w:rsidRDefault="00E93F58" w:rsidP="002F32E3">
            <w:pPr>
              <w:pStyle w:val="ENoteTableText"/>
              <w:tabs>
                <w:tab w:val="left" w:leader="dot" w:pos="2268"/>
              </w:tabs>
            </w:pPr>
            <w:r w:rsidRPr="00576D60">
              <w:t>r 7.8.21B</w:t>
            </w:r>
            <w:r w:rsidRPr="00576D60">
              <w:tab/>
            </w:r>
          </w:p>
        </w:tc>
        <w:tc>
          <w:tcPr>
            <w:tcW w:w="3500" w:type="pct"/>
            <w:shd w:val="clear" w:color="auto" w:fill="auto"/>
          </w:tcPr>
          <w:p w14:paraId="0AB13E19" w14:textId="77777777" w:rsidR="00E93F58" w:rsidRPr="00576D60" w:rsidRDefault="00E93F58" w:rsidP="002F32E3">
            <w:pPr>
              <w:pStyle w:val="ENoteTableText"/>
            </w:pPr>
            <w:r w:rsidRPr="00576D60">
              <w:t>ad No 42, 2012</w:t>
            </w:r>
          </w:p>
        </w:tc>
      </w:tr>
      <w:tr w:rsidR="00E93F58" w:rsidRPr="00576D60" w14:paraId="2A9B4E6F" w14:textId="77777777" w:rsidTr="002F32E3">
        <w:trPr>
          <w:cantSplit/>
        </w:trPr>
        <w:tc>
          <w:tcPr>
            <w:tcW w:w="1500" w:type="pct"/>
            <w:shd w:val="clear" w:color="auto" w:fill="auto"/>
          </w:tcPr>
          <w:p w14:paraId="64BD8330" w14:textId="77777777" w:rsidR="00E93F58" w:rsidRPr="00576D60" w:rsidRDefault="00E93F58" w:rsidP="002F32E3">
            <w:pPr>
              <w:pStyle w:val="ENoteTableText"/>
              <w:tabs>
                <w:tab w:val="left" w:leader="dot" w:pos="2268"/>
              </w:tabs>
            </w:pPr>
          </w:p>
        </w:tc>
        <w:tc>
          <w:tcPr>
            <w:tcW w:w="3500" w:type="pct"/>
            <w:shd w:val="clear" w:color="auto" w:fill="auto"/>
          </w:tcPr>
          <w:p w14:paraId="555EA2E0" w14:textId="77777777" w:rsidR="00E93F58" w:rsidRPr="00576D60" w:rsidRDefault="00E93F58" w:rsidP="002F32E3">
            <w:pPr>
              <w:pStyle w:val="ENoteTableText"/>
            </w:pPr>
            <w:r w:rsidRPr="00576D60">
              <w:t>rep F2021L01080</w:t>
            </w:r>
          </w:p>
        </w:tc>
      </w:tr>
      <w:tr w:rsidR="00E93F58" w:rsidRPr="00576D60" w14:paraId="2F48169E" w14:textId="77777777" w:rsidTr="002F32E3">
        <w:trPr>
          <w:cantSplit/>
        </w:trPr>
        <w:tc>
          <w:tcPr>
            <w:tcW w:w="1500" w:type="pct"/>
            <w:shd w:val="clear" w:color="auto" w:fill="auto"/>
          </w:tcPr>
          <w:p w14:paraId="231CB0BF" w14:textId="77777777" w:rsidR="00E93F58" w:rsidRPr="00576D60" w:rsidRDefault="00E93F58" w:rsidP="002F32E3">
            <w:pPr>
              <w:pStyle w:val="ENoteTableText"/>
              <w:tabs>
                <w:tab w:val="left" w:leader="dot" w:pos="2268"/>
              </w:tabs>
            </w:pPr>
            <w:r w:rsidRPr="00576D60">
              <w:t>r 7.8.22</w:t>
            </w:r>
            <w:r w:rsidRPr="00576D60">
              <w:tab/>
            </w:r>
          </w:p>
        </w:tc>
        <w:tc>
          <w:tcPr>
            <w:tcW w:w="3500" w:type="pct"/>
            <w:shd w:val="clear" w:color="auto" w:fill="auto"/>
          </w:tcPr>
          <w:p w14:paraId="1EB5609D" w14:textId="77777777" w:rsidR="00E93F58" w:rsidRPr="00576D60" w:rsidRDefault="00E93F58" w:rsidP="002F32E3">
            <w:pPr>
              <w:pStyle w:val="ENoteTableText"/>
            </w:pPr>
            <w:r w:rsidRPr="00576D60">
              <w:t>ad No 41, 2002</w:t>
            </w:r>
          </w:p>
        </w:tc>
      </w:tr>
      <w:tr w:rsidR="00E93F58" w:rsidRPr="00576D60" w14:paraId="69C4CDB0" w14:textId="77777777" w:rsidTr="002F32E3">
        <w:trPr>
          <w:cantSplit/>
        </w:trPr>
        <w:tc>
          <w:tcPr>
            <w:tcW w:w="1500" w:type="pct"/>
            <w:shd w:val="clear" w:color="auto" w:fill="auto"/>
          </w:tcPr>
          <w:p w14:paraId="7B986BFC" w14:textId="77777777" w:rsidR="00E93F58" w:rsidRPr="00576D60" w:rsidRDefault="00E93F58" w:rsidP="002F32E3">
            <w:pPr>
              <w:pStyle w:val="ENoteTableText"/>
            </w:pPr>
          </w:p>
        </w:tc>
        <w:tc>
          <w:tcPr>
            <w:tcW w:w="3500" w:type="pct"/>
            <w:shd w:val="clear" w:color="auto" w:fill="auto"/>
          </w:tcPr>
          <w:p w14:paraId="2173926B" w14:textId="77777777" w:rsidR="00E93F58" w:rsidRPr="00576D60" w:rsidRDefault="00E93F58" w:rsidP="002F32E3">
            <w:pPr>
              <w:pStyle w:val="ENoteTableText"/>
            </w:pPr>
            <w:r w:rsidRPr="00576D60">
              <w:t>am No 265, 2002; No 31, 2003</w:t>
            </w:r>
          </w:p>
        </w:tc>
      </w:tr>
      <w:tr w:rsidR="00E93F58" w:rsidRPr="00576D60" w14:paraId="0C8C5737" w14:textId="77777777" w:rsidTr="002F32E3">
        <w:trPr>
          <w:cantSplit/>
        </w:trPr>
        <w:tc>
          <w:tcPr>
            <w:tcW w:w="1500" w:type="pct"/>
            <w:shd w:val="clear" w:color="auto" w:fill="auto"/>
          </w:tcPr>
          <w:p w14:paraId="3E13C955" w14:textId="77777777" w:rsidR="00E93F58" w:rsidRPr="00576D60" w:rsidRDefault="00E93F58" w:rsidP="002F32E3">
            <w:pPr>
              <w:pStyle w:val="ENoteTableText"/>
            </w:pPr>
          </w:p>
        </w:tc>
        <w:tc>
          <w:tcPr>
            <w:tcW w:w="3500" w:type="pct"/>
            <w:shd w:val="clear" w:color="auto" w:fill="auto"/>
          </w:tcPr>
          <w:p w14:paraId="181F870A" w14:textId="77777777" w:rsidR="00E93F58" w:rsidRPr="00576D60" w:rsidRDefault="00E93F58" w:rsidP="002F32E3">
            <w:pPr>
              <w:pStyle w:val="ENoteTableText"/>
            </w:pPr>
            <w:r w:rsidRPr="00576D60">
              <w:t>rep F2021L01080</w:t>
            </w:r>
          </w:p>
        </w:tc>
      </w:tr>
      <w:tr w:rsidR="00E93F58" w:rsidRPr="00576D60" w14:paraId="77614612" w14:textId="77777777" w:rsidTr="002F32E3">
        <w:trPr>
          <w:cantSplit/>
        </w:trPr>
        <w:tc>
          <w:tcPr>
            <w:tcW w:w="1500" w:type="pct"/>
            <w:shd w:val="clear" w:color="auto" w:fill="auto"/>
          </w:tcPr>
          <w:p w14:paraId="7EFA7E84" w14:textId="77777777" w:rsidR="00E93F58" w:rsidRPr="00576D60" w:rsidRDefault="00E93F58" w:rsidP="002F32E3">
            <w:pPr>
              <w:pStyle w:val="ENoteTableText"/>
              <w:tabs>
                <w:tab w:val="left" w:leader="dot" w:pos="2268"/>
              </w:tabs>
            </w:pPr>
            <w:r w:rsidRPr="00576D60">
              <w:t>r 7.8.22A</w:t>
            </w:r>
            <w:r w:rsidRPr="00576D60">
              <w:tab/>
            </w:r>
          </w:p>
        </w:tc>
        <w:tc>
          <w:tcPr>
            <w:tcW w:w="3500" w:type="pct"/>
            <w:shd w:val="clear" w:color="auto" w:fill="auto"/>
          </w:tcPr>
          <w:p w14:paraId="6AD48E3A" w14:textId="77777777" w:rsidR="00E93F58" w:rsidRPr="00576D60" w:rsidRDefault="00E93F58" w:rsidP="002F32E3">
            <w:pPr>
              <w:pStyle w:val="ENoteTableText"/>
            </w:pPr>
            <w:r w:rsidRPr="00576D60">
              <w:t>ad No 369, 2003</w:t>
            </w:r>
          </w:p>
        </w:tc>
      </w:tr>
      <w:tr w:rsidR="00E93F58" w:rsidRPr="00576D60" w14:paraId="6AF8967B" w14:textId="77777777" w:rsidTr="002F32E3">
        <w:trPr>
          <w:cantSplit/>
        </w:trPr>
        <w:tc>
          <w:tcPr>
            <w:tcW w:w="1500" w:type="pct"/>
            <w:shd w:val="clear" w:color="auto" w:fill="auto"/>
          </w:tcPr>
          <w:p w14:paraId="69CA1C3E" w14:textId="77777777" w:rsidR="00E93F58" w:rsidRPr="00576D60" w:rsidRDefault="00E93F58" w:rsidP="002F32E3">
            <w:pPr>
              <w:pStyle w:val="ENoteTableText"/>
              <w:tabs>
                <w:tab w:val="left" w:leader="dot" w:pos="2268"/>
              </w:tabs>
            </w:pPr>
          </w:p>
        </w:tc>
        <w:tc>
          <w:tcPr>
            <w:tcW w:w="3500" w:type="pct"/>
            <w:shd w:val="clear" w:color="auto" w:fill="auto"/>
          </w:tcPr>
          <w:p w14:paraId="09AA7289" w14:textId="77777777" w:rsidR="00E93F58" w:rsidRPr="00576D60" w:rsidRDefault="00E93F58" w:rsidP="002F32E3">
            <w:pPr>
              <w:pStyle w:val="ENoteTableText"/>
            </w:pPr>
            <w:r w:rsidRPr="00576D60">
              <w:t>rep F2021L01080</w:t>
            </w:r>
          </w:p>
        </w:tc>
      </w:tr>
      <w:tr w:rsidR="00E93F58" w:rsidRPr="00576D60" w14:paraId="4B57D5C2" w14:textId="77777777" w:rsidTr="002F32E3">
        <w:trPr>
          <w:cantSplit/>
        </w:trPr>
        <w:tc>
          <w:tcPr>
            <w:tcW w:w="1500" w:type="pct"/>
            <w:shd w:val="clear" w:color="auto" w:fill="auto"/>
          </w:tcPr>
          <w:p w14:paraId="5DB1ED09" w14:textId="77777777" w:rsidR="00E93F58" w:rsidRPr="00576D60" w:rsidRDefault="00E93F58" w:rsidP="002F32E3">
            <w:pPr>
              <w:pStyle w:val="ENoteTableText"/>
              <w:tabs>
                <w:tab w:val="left" w:leader="dot" w:pos="2268"/>
              </w:tabs>
            </w:pPr>
            <w:r w:rsidRPr="00576D60">
              <w:t>r. 7.8.22B</w:t>
            </w:r>
            <w:r w:rsidRPr="00576D60">
              <w:tab/>
            </w:r>
          </w:p>
        </w:tc>
        <w:tc>
          <w:tcPr>
            <w:tcW w:w="3500" w:type="pct"/>
            <w:shd w:val="clear" w:color="auto" w:fill="auto"/>
          </w:tcPr>
          <w:p w14:paraId="0DDF51F5" w14:textId="77777777" w:rsidR="00E93F58" w:rsidRPr="00576D60" w:rsidRDefault="00E93F58" w:rsidP="002F32E3">
            <w:pPr>
              <w:pStyle w:val="ENoteTableText"/>
            </w:pPr>
            <w:r w:rsidRPr="00576D60">
              <w:t>ad. 2008 No. 194</w:t>
            </w:r>
          </w:p>
        </w:tc>
      </w:tr>
      <w:tr w:rsidR="00E93F58" w:rsidRPr="00576D60" w14:paraId="01C25458" w14:textId="77777777" w:rsidTr="002F32E3">
        <w:trPr>
          <w:cantSplit/>
        </w:trPr>
        <w:tc>
          <w:tcPr>
            <w:tcW w:w="1500" w:type="pct"/>
            <w:shd w:val="clear" w:color="auto" w:fill="auto"/>
          </w:tcPr>
          <w:p w14:paraId="03B03E55" w14:textId="77777777" w:rsidR="00E93F58" w:rsidRPr="00576D60" w:rsidRDefault="00E93F58" w:rsidP="002F32E3">
            <w:pPr>
              <w:pStyle w:val="ENoteTableText"/>
              <w:tabs>
                <w:tab w:val="left" w:leader="dot" w:pos="2268"/>
              </w:tabs>
            </w:pPr>
          </w:p>
        </w:tc>
        <w:tc>
          <w:tcPr>
            <w:tcW w:w="3500" w:type="pct"/>
            <w:shd w:val="clear" w:color="auto" w:fill="auto"/>
          </w:tcPr>
          <w:p w14:paraId="1B5407F7" w14:textId="77777777" w:rsidR="00E93F58" w:rsidRPr="00576D60" w:rsidRDefault="00E93F58" w:rsidP="002F32E3">
            <w:pPr>
              <w:pStyle w:val="ENoteTableText"/>
            </w:pPr>
            <w:r w:rsidRPr="00576D60">
              <w:t>rep No 91, 2015</w:t>
            </w:r>
          </w:p>
        </w:tc>
      </w:tr>
      <w:tr w:rsidR="00E93F58" w:rsidRPr="00576D60" w14:paraId="4E84D6B5" w14:textId="77777777" w:rsidTr="002F32E3">
        <w:trPr>
          <w:cantSplit/>
        </w:trPr>
        <w:tc>
          <w:tcPr>
            <w:tcW w:w="1500" w:type="pct"/>
            <w:shd w:val="clear" w:color="auto" w:fill="auto"/>
          </w:tcPr>
          <w:p w14:paraId="172A5DA2" w14:textId="77777777" w:rsidR="00E93F58" w:rsidRPr="00576D60" w:rsidRDefault="00E93F58" w:rsidP="002F32E3">
            <w:pPr>
              <w:pStyle w:val="ENoteTableText"/>
              <w:tabs>
                <w:tab w:val="left" w:leader="dot" w:pos="2268"/>
              </w:tabs>
            </w:pPr>
            <w:r w:rsidRPr="00576D60">
              <w:t>r 7.8.23</w:t>
            </w:r>
            <w:r w:rsidRPr="00576D60">
              <w:tab/>
            </w:r>
          </w:p>
        </w:tc>
        <w:tc>
          <w:tcPr>
            <w:tcW w:w="3500" w:type="pct"/>
            <w:shd w:val="clear" w:color="auto" w:fill="auto"/>
          </w:tcPr>
          <w:p w14:paraId="4F56C308" w14:textId="77777777" w:rsidR="00E93F58" w:rsidRPr="00576D60" w:rsidRDefault="00E93F58" w:rsidP="002F32E3">
            <w:pPr>
              <w:pStyle w:val="ENoteTableText"/>
            </w:pPr>
            <w:r w:rsidRPr="00576D60">
              <w:t>ad No 41, 2002</w:t>
            </w:r>
          </w:p>
        </w:tc>
      </w:tr>
      <w:tr w:rsidR="00E93F58" w:rsidRPr="00576D60" w14:paraId="1D41630D" w14:textId="77777777" w:rsidTr="002F32E3">
        <w:trPr>
          <w:cantSplit/>
        </w:trPr>
        <w:tc>
          <w:tcPr>
            <w:tcW w:w="1500" w:type="pct"/>
            <w:shd w:val="clear" w:color="auto" w:fill="auto"/>
          </w:tcPr>
          <w:p w14:paraId="592DBE8F" w14:textId="77777777" w:rsidR="00E93F58" w:rsidRPr="00576D60" w:rsidRDefault="00E93F58" w:rsidP="002F32E3">
            <w:pPr>
              <w:pStyle w:val="ENoteTableText"/>
              <w:tabs>
                <w:tab w:val="left" w:leader="dot" w:pos="2268"/>
              </w:tabs>
            </w:pPr>
          </w:p>
        </w:tc>
        <w:tc>
          <w:tcPr>
            <w:tcW w:w="3500" w:type="pct"/>
            <w:shd w:val="clear" w:color="auto" w:fill="auto"/>
          </w:tcPr>
          <w:p w14:paraId="4AF467DD" w14:textId="77777777" w:rsidR="00E93F58" w:rsidRPr="00576D60" w:rsidRDefault="00E93F58" w:rsidP="002F32E3">
            <w:pPr>
              <w:pStyle w:val="ENoteTableText"/>
            </w:pPr>
            <w:r w:rsidRPr="00576D60">
              <w:t>am F2021L01080</w:t>
            </w:r>
            <w:r>
              <w:t>; F2023L01458</w:t>
            </w:r>
          </w:p>
        </w:tc>
      </w:tr>
      <w:tr w:rsidR="00E93F58" w:rsidRPr="00576D60" w14:paraId="2DF8DB06" w14:textId="77777777" w:rsidTr="002F32E3">
        <w:trPr>
          <w:cantSplit/>
        </w:trPr>
        <w:tc>
          <w:tcPr>
            <w:tcW w:w="1500" w:type="pct"/>
            <w:shd w:val="clear" w:color="auto" w:fill="auto"/>
          </w:tcPr>
          <w:p w14:paraId="7081B46C" w14:textId="77777777" w:rsidR="00E93F58" w:rsidRPr="00576D60" w:rsidRDefault="00E93F58" w:rsidP="002F32E3">
            <w:pPr>
              <w:pStyle w:val="ENoteTableText"/>
              <w:tabs>
                <w:tab w:val="left" w:leader="dot" w:pos="2268"/>
              </w:tabs>
            </w:pPr>
            <w:r w:rsidRPr="00576D60">
              <w:t>r 7.8.24</w:t>
            </w:r>
            <w:r w:rsidRPr="00576D60">
              <w:tab/>
            </w:r>
          </w:p>
        </w:tc>
        <w:tc>
          <w:tcPr>
            <w:tcW w:w="3500" w:type="pct"/>
            <w:shd w:val="clear" w:color="auto" w:fill="auto"/>
          </w:tcPr>
          <w:p w14:paraId="3AF3971C" w14:textId="77777777" w:rsidR="00E93F58" w:rsidRPr="00576D60" w:rsidRDefault="00E93F58" w:rsidP="002F32E3">
            <w:pPr>
              <w:pStyle w:val="ENoteTableText"/>
            </w:pPr>
            <w:r w:rsidRPr="00576D60">
              <w:t>ad No 41, 2002</w:t>
            </w:r>
          </w:p>
        </w:tc>
      </w:tr>
      <w:tr w:rsidR="00E93F58" w:rsidRPr="00576D60" w14:paraId="2C4AF638" w14:textId="77777777" w:rsidTr="002F32E3">
        <w:trPr>
          <w:cantSplit/>
        </w:trPr>
        <w:tc>
          <w:tcPr>
            <w:tcW w:w="1500" w:type="pct"/>
            <w:shd w:val="clear" w:color="auto" w:fill="auto"/>
          </w:tcPr>
          <w:p w14:paraId="3EF74474" w14:textId="77777777" w:rsidR="00E93F58" w:rsidRPr="00576D60" w:rsidRDefault="00E93F58" w:rsidP="002F32E3">
            <w:pPr>
              <w:pStyle w:val="ENoteTableText"/>
              <w:tabs>
                <w:tab w:val="left" w:leader="dot" w:pos="2268"/>
              </w:tabs>
            </w:pPr>
          </w:p>
        </w:tc>
        <w:tc>
          <w:tcPr>
            <w:tcW w:w="3500" w:type="pct"/>
            <w:shd w:val="clear" w:color="auto" w:fill="auto"/>
          </w:tcPr>
          <w:p w14:paraId="2F09F6B9" w14:textId="77777777" w:rsidR="00E93F58" w:rsidRPr="00576D60" w:rsidRDefault="00E93F58" w:rsidP="002F32E3">
            <w:pPr>
              <w:pStyle w:val="ENoteTableText"/>
            </w:pPr>
            <w:r w:rsidRPr="00576D60">
              <w:t>am F2021L01080</w:t>
            </w:r>
          </w:p>
        </w:tc>
      </w:tr>
      <w:tr w:rsidR="00E93F58" w:rsidRPr="00576D60" w14:paraId="606AEED3" w14:textId="77777777" w:rsidTr="002F32E3">
        <w:trPr>
          <w:cantSplit/>
        </w:trPr>
        <w:tc>
          <w:tcPr>
            <w:tcW w:w="1500" w:type="pct"/>
            <w:shd w:val="clear" w:color="auto" w:fill="auto"/>
          </w:tcPr>
          <w:p w14:paraId="52D4821B" w14:textId="77777777" w:rsidR="00E93F58" w:rsidRPr="00576D60" w:rsidRDefault="00E93F58" w:rsidP="002F32E3">
            <w:pPr>
              <w:pStyle w:val="ENoteTableText"/>
              <w:tabs>
                <w:tab w:val="left" w:leader="dot" w:pos="2268"/>
              </w:tabs>
            </w:pPr>
            <w:r w:rsidRPr="00576D60">
              <w:t>r 7.8.25</w:t>
            </w:r>
            <w:r w:rsidRPr="00576D60">
              <w:tab/>
            </w:r>
          </w:p>
        </w:tc>
        <w:tc>
          <w:tcPr>
            <w:tcW w:w="3500" w:type="pct"/>
            <w:shd w:val="clear" w:color="auto" w:fill="auto"/>
          </w:tcPr>
          <w:p w14:paraId="3D9035C0" w14:textId="77777777" w:rsidR="00E93F58" w:rsidRPr="00576D60" w:rsidRDefault="00E93F58" w:rsidP="002F32E3">
            <w:pPr>
              <w:pStyle w:val="ENoteTableText"/>
            </w:pPr>
            <w:r w:rsidRPr="00576D60">
              <w:t>ad No 41, 2002</w:t>
            </w:r>
          </w:p>
        </w:tc>
      </w:tr>
      <w:tr w:rsidR="00E93F58" w:rsidRPr="00576D60" w14:paraId="5AD21D13" w14:textId="77777777" w:rsidTr="002F32E3">
        <w:trPr>
          <w:cantSplit/>
        </w:trPr>
        <w:tc>
          <w:tcPr>
            <w:tcW w:w="1500" w:type="pct"/>
            <w:shd w:val="clear" w:color="auto" w:fill="auto"/>
          </w:tcPr>
          <w:p w14:paraId="0158F9F6" w14:textId="77777777" w:rsidR="00E93F58" w:rsidRPr="00576D60" w:rsidRDefault="00E93F58" w:rsidP="002F32E3">
            <w:pPr>
              <w:pStyle w:val="ENoteTableText"/>
              <w:tabs>
                <w:tab w:val="left" w:leader="dot" w:pos="2268"/>
              </w:tabs>
            </w:pPr>
          </w:p>
        </w:tc>
        <w:tc>
          <w:tcPr>
            <w:tcW w:w="3500" w:type="pct"/>
            <w:shd w:val="clear" w:color="auto" w:fill="auto"/>
          </w:tcPr>
          <w:p w14:paraId="4D79F5A8" w14:textId="77777777" w:rsidR="00E93F58" w:rsidRPr="00576D60" w:rsidRDefault="00E93F58" w:rsidP="002F32E3">
            <w:pPr>
              <w:pStyle w:val="ENoteTableText"/>
            </w:pPr>
            <w:r w:rsidRPr="00576D60">
              <w:t>am F2021L01080</w:t>
            </w:r>
          </w:p>
        </w:tc>
      </w:tr>
      <w:tr w:rsidR="00E93F58" w:rsidRPr="00576D60" w14:paraId="30AC8D9C" w14:textId="77777777" w:rsidTr="002F32E3">
        <w:trPr>
          <w:cantSplit/>
        </w:trPr>
        <w:tc>
          <w:tcPr>
            <w:tcW w:w="1500" w:type="pct"/>
            <w:shd w:val="clear" w:color="auto" w:fill="auto"/>
          </w:tcPr>
          <w:p w14:paraId="49B24E8C" w14:textId="77777777" w:rsidR="00E93F58" w:rsidRPr="00576D60" w:rsidRDefault="00E93F58" w:rsidP="00A1421B">
            <w:pPr>
              <w:pStyle w:val="ENoteTableText"/>
              <w:keepNext/>
              <w:keepLines/>
              <w:tabs>
                <w:tab w:val="left" w:leader="dot" w:pos="2268"/>
              </w:tabs>
            </w:pPr>
            <w:r w:rsidRPr="00576D60">
              <w:t>r 7.8.26</w:t>
            </w:r>
            <w:r w:rsidRPr="00576D60">
              <w:tab/>
            </w:r>
          </w:p>
        </w:tc>
        <w:tc>
          <w:tcPr>
            <w:tcW w:w="3500" w:type="pct"/>
            <w:shd w:val="clear" w:color="auto" w:fill="auto"/>
          </w:tcPr>
          <w:p w14:paraId="587C393C" w14:textId="77777777" w:rsidR="00E93F58" w:rsidRPr="00576D60" w:rsidRDefault="00E93F58" w:rsidP="00A1421B">
            <w:pPr>
              <w:pStyle w:val="ENoteTableText"/>
              <w:keepNext/>
              <w:keepLines/>
            </w:pPr>
            <w:r w:rsidRPr="00576D60">
              <w:t>ad No 172, 2012</w:t>
            </w:r>
          </w:p>
        </w:tc>
      </w:tr>
      <w:tr w:rsidR="00E93F58" w:rsidRPr="00576D60" w14:paraId="50A4656B" w14:textId="77777777" w:rsidTr="002F32E3">
        <w:trPr>
          <w:cantSplit/>
        </w:trPr>
        <w:tc>
          <w:tcPr>
            <w:tcW w:w="1500" w:type="pct"/>
            <w:shd w:val="clear" w:color="auto" w:fill="auto"/>
          </w:tcPr>
          <w:p w14:paraId="66C17934" w14:textId="77777777" w:rsidR="00E93F58" w:rsidRPr="00576D60" w:rsidRDefault="00E93F58" w:rsidP="002F32E3">
            <w:pPr>
              <w:pStyle w:val="ENoteTableText"/>
              <w:tabs>
                <w:tab w:val="left" w:leader="dot" w:pos="2268"/>
              </w:tabs>
            </w:pPr>
          </w:p>
        </w:tc>
        <w:tc>
          <w:tcPr>
            <w:tcW w:w="3500" w:type="pct"/>
            <w:shd w:val="clear" w:color="auto" w:fill="auto"/>
          </w:tcPr>
          <w:p w14:paraId="2753B06F" w14:textId="77777777" w:rsidR="00E93F58" w:rsidRPr="00576D60" w:rsidRDefault="00E93F58" w:rsidP="002F32E3">
            <w:pPr>
              <w:pStyle w:val="ENoteTableText"/>
            </w:pPr>
            <w:r w:rsidRPr="00576D60">
              <w:t>am F2020L00942</w:t>
            </w:r>
          </w:p>
        </w:tc>
      </w:tr>
      <w:tr w:rsidR="00E93F58" w:rsidRPr="00576D60" w14:paraId="53ADF62C" w14:textId="77777777" w:rsidTr="002F32E3">
        <w:trPr>
          <w:cantSplit/>
        </w:trPr>
        <w:tc>
          <w:tcPr>
            <w:tcW w:w="1500" w:type="pct"/>
            <w:shd w:val="clear" w:color="auto" w:fill="auto"/>
          </w:tcPr>
          <w:p w14:paraId="4DD3A492" w14:textId="77777777" w:rsidR="00E93F58" w:rsidRPr="00576D60" w:rsidRDefault="00E93F58" w:rsidP="002F32E3">
            <w:pPr>
              <w:pStyle w:val="ENoteTableText"/>
              <w:tabs>
                <w:tab w:val="left" w:leader="dot" w:pos="2268"/>
              </w:tabs>
            </w:pPr>
          </w:p>
        </w:tc>
        <w:tc>
          <w:tcPr>
            <w:tcW w:w="3500" w:type="pct"/>
            <w:shd w:val="clear" w:color="auto" w:fill="auto"/>
          </w:tcPr>
          <w:p w14:paraId="4B5D41B1" w14:textId="77777777" w:rsidR="00E93F58" w:rsidRPr="00576D60" w:rsidRDefault="00E93F58" w:rsidP="002F32E3">
            <w:pPr>
              <w:pStyle w:val="ENoteTableText"/>
            </w:pPr>
            <w:r w:rsidRPr="00576D60">
              <w:t>rep F2021L01080</w:t>
            </w:r>
          </w:p>
        </w:tc>
      </w:tr>
      <w:tr w:rsidR="00E93F58" w:rsidRPr="00576D60" w14:paraId="084A2A73" w14:textId="77777777" w:rsidTr="002F32E3">
        <w:trPr>
          <w:cantSplit/>
        </w:trPr>
        <w:tc>
          <w:tcPr>
            <w:tcW w:w="1500" w:type="pct"/>
            <w:shd w:val="clear" w:color="auto" w:fill="auto"/>
          </w:tcPr>
          <w:p w14:paraId="53C9CBC7" w14:textId="77777777" w:rsidR="00E93F58" w:rsidRPr="00576D60" w:rsidRDefault="00E93F58" w:rsidP="002F32E3">
            <w:pPr>
              <w:pStyle w:val="ENoteTableText"/>
              <w:tabs>
                <w:tab w:val="left" w:leader="dot" w:pos="2268"/>
              </w:tabs>
              <w:rPr>
                <w:b/>
              </w:rPr>
            </w:pPr>
            <w:r w:rsidRPr="00576D60">
              <w:rPr>
                <w:b/>
              </w:rPr>
              <w:t>Part 7.8A</w:t>
            </w:r>
          </w:p>
        </w:tc>
        <w:tc>
          <w:tcPr>
            <w:tcW w:w="3500" w:type="pct"/>
            <w:shd w:val="clear" w:color="auto" w:fill="auto"/>
          </w:tcPr>
          <w:p w14:paraId="7F9B6A4E" w14:textId="77777777" w:rsidR="00E93F58" w:rsidRPr="00576D60" w:rsidRDefault="00E93F58" w:rsidP="002F32E3">
            <w:pPr>
              <w:pStyle w:val="ENoteTableText"/>
            </w:pPr>
          </w:p>
        </w:tc>
      </w:tr>
      <w:tr w:rsidR="00E93F58" w:rsidRPr="00576D60" w14:paraId="20EE9C4A" w14:textId="77777777" w:rsidTr="002F32E3">
        <w:trPr>
          <w:cantSplit/>
        </w:trPr>
        <w:tc>
          <w:tcPr>
            <w:tcW w:w="1500" w:type="pct"/>
            <w:shd w:val="clear" w:color="auto" w:fill="auto"/>
          </w:tcPr>
          <w:p w14:paraId="204B37D9" w14:textId="77777777" w:rsidR="00E93F58" w:rsidRPr="00576D60" w:rsidRDefault="00E93F58" w:rsidP="002F32E3">
            <w:pPr>
              <w:pStyle w:val="ENoteTableText"/>
              <w:tabs>
                <w:tab w:val="left" w:leader="dot" w:pos="2268"/>
              </w:tabs>
            </w:pPr>
            <w:r w:rsidRPr="00576D60">
              <w:t>Part 7.8A</w:t>
            </w:r>
            <w:r w:rsidRPr="00576D60">
              <w:tab/>
            </w:r>
          </w:p>
        </w:tc>
        <w:tc>
          <w:tcPr>
            <w:tcW w:w="3500" w:type="pct"/>
            <w:shd w:val="clear" w:color="auto" w:fill="auto"/>
          </w:tcPr>
          <w:p w14:paraId="00AA50E9" w14:textId="77777777" w:rsidR="00E93F58" w:rsidRPr="00576D60" w:rsidRDefault="00E93F58" w:rsidP="002F32E3">
            <w:pPr>
              <w:pStyle w:val="ENoteTableText"/>
            </w:pPr>
            <w:r w:rsidRPr="00576D60">
              <w:t>ad F2019L01626</w:t>
            </w:r>
          </w:p>
        </w:tc>
      </w:tr>
      <w:tr w:rsidR="00E93F58" w:rsidRPr="00576D60" w14:paraId="5B328635" w14:textId="77777777" w:rsidTr="002F32E3">
        <w:trPr>
          <w:cantSplit/>
        </w:trPr>
        <w:tc>
          <w:tcPr>
            <w:tcW w:w="1500" w:type="pct"/>
            <w:shd w:val="clear" w:color="auto" w:fill="auto"/>
          </w:tcPr>
          <w:p w14:paraId="7CEE8BB6" w14:textId="77777777" w:rsidR="00E93F58" w:rsidRPr="00576D60" w:rsidRDefault="00E93F58" w:rsidP="00646DCE">
            <w:pPr>
              <w:pStyle w:val="ENoteTableText"/>
              <w:keepNext/>
              <w:tabs>
                <w:tab w:val="left" w:leader="dot" w:pos="2268"/>
              </w:tabs>
              <w:rPr>
                <w:b/>
              </w:rPr>
            </w:pPr>
            <w:r w:rsidRPr="00576D60">
              <w:rPr>
                <w:b/>
              </w:rPr>
              <w:t>Division 1</w:t>
            </w:r>
          </w:p>
        </w:tc>
        <w:tc>
          <w:tcPr>
            <w:tcW w:w="3500" w:type="pct"/>
            <w:shd w:val="clear" w:color="auto" w:fill="auto"/>
          </w:tcPr>
          <w:p w14:paraId="6672BFBC" w14:textId="77777777" w:rsidR="00E93F58" w:rsidRPr="00576D60" w:rsidRDefault="00E93F58" w:rsidP="002F32E3">
            <w:pPr>
              <w:pStyle w:val="ENoteTableText"/>
            </w:pPr>
          </w:p>
        </w:tc>
      </w:tr>
      <w:tr w:rsidR="00E93F58" w:rsidRPr="00576D60" w14:paraId="4BCF2FF5" w14:textId="77777777" w:rsidTr="002F32E3">
        <w:trPr>
          <w:cantSplit/>
        </w:trPr>
        <w:tc>
          <w:tcPr>
            <w:tcW w:w="1500" w:type="pct"/>
            <w:shd w:val="clear" w:color="auto" w:fill="auto"/>
          </w:tcPr>
          <w:p w14:paraId="3C538335" w14:textId="77777777" w:rsidR="00E93F58" w:rsidRPr="00576D60" w:rsidRDefault="00E93F58" w:rsidP="002F32E3">
            <w:pPr>
              <w:pStyle w:val="ENoteTableText"/>
              <w:tabs>
                <w:tab w:val="left" w:leader="dot" w:pos="2268"/>
              </w:tabs>
            </w:pPr>
            <w:r w:rsidRPr="00576D60">
              <w:t>r 7.8A.01</w:t>
            </w:r>
            <w:r w:rsidRPr="00576D60">
              <w:tab/>
            </w:r>
          </w:p>
        </w:tc>
        <w:tc>
          <w:tcPr>
            <w:tcW w:w="3500" w:type="pct"/>
            <w:shd w:val="clear" w:color="auto" w:fill="auto"/>
          </w:tcPr>
          <w:p w14:paraId="6ADD6DEE" w14:textId="77777777" w:rsidR="00E93F58" w:rsidRPr="00576D60" w:rsidRDefault="00E93F58" w:rsidP="002F32E3">
            <w:pPr>
              <w:pStyle w:val="ENoteTableText"/>
            </w:pPr>
            <w:r w:rsidRPr="00576D60">
              <w:t>ad F2019L01626</w:t>
            </w:r>
          </w:p>
        </w:tc>
      </w:tr>
      <w:tr w:rsidR="00E93F58" w:rsidRPr="00576D60" w14:paraId="17CDF898" w14:textId="77777777" w:rsidTr="002F32E3">
        <w:trPr>
          <w:cantSplit/>
        </w:trPr>
        <w:tc>
          <w:tcPr>
            <w:tcW w:w="1500" w:type="pct"/>
            <w:shd w:val="clear" w:color="auto" w:fill="auto"/>
          </w:tcPr>
          <w:p w14:paraId="666FA471" w14:textId="77777777" w:rsidR="00E93F58" w:rsidRPr="00576D60" w:rsidRDefault="00E93F58" w:rsidP="002F32E3">
            <w:pPr>
              <w:pStyle w:val="ENoteTableText"/>
              <w:tabs>
                <w:tab w:val="left" w:leader="dot" w:pos="2268"/>
              </w:tabs>
            </w:pPr>
          </w:p>
        </w:tc>
        <w:tc>
          <w:tcPr>
            <w:tcW w:w="3500" w:type="pct"/>
            <w:shd w:val="clear" w:color="auto" w:fill="auto"/>
          </w:tcPr>
          <w:p w14:paraId="6404661B" w14:textId="77777777" w:rsidR="00E93F58" w:rsidRPr="00576D60" w:rsidRDefault="00E93F58" w:rsidP="002F32E3">
            <w:pPr>
              <w:pStyle w:val="ENoteTableText"/>
            </w:pPr>
            <w:r>
              <w:t>am F2023L01458</w:t>
            </w:r>
          </w:p>
        </w:tc>
      </w:tr>
      <w:tr w:rsidR="00E93F58" w:rsidRPr="00576D60" w14:paraId="270B5B3A" w14:textId="77777777" w:rsidTr="002F32E3">
        <w:trPr>
          <w:cantSplit/>
        </w:trPr>
        <w:tc>
          <w:tcPr>
            <w:tcW w:w="1500" w:type="pct"/>
            <w:shd w:val="clear" w:color="auto" w:fill="auto"/>
          </w:tcPr>
          <w:p w14:paraId="53C6B071" w14:textId="77777777" w:rsidR="00E93F58" w:rsidRPr="00576D60" w:rsidRDefault="00E93F58" w:rsidP="002F32E3">
            <w:pPr>
              <w:pStyle w:val="ENoteTableText"/>
              <w:tabs>
                <w:tab w:val="left" w:leader="dot" w:pos="2268"/>
              </w:tabs>
            </w:pPr>
            <w:r w:rsidRPr="00576D60">
              <w:t>r 7.8A.02</w:t>
            </w:r>
            <w:r w:rsidRPr="00576D60">
              <w:tab/>
            </w:r>
          </w:p>
        </w:tc>
        <w:tc>
          <w:tcPr>
            <w:tcW w:w="3500" w:type="pct"/>
            <w:shd w:val="clear" w:color="auto" w:fill="auto"/>
          </w:tcPr>
          <w:p w14:paraId="086BB4FF" w14:textId="77777777" w:rsidR="00E93F58" w:rsidRPr="00576D60" w:rsidRDefault="00E93F58" w:rsidP="002F32E3">
            <w:pPr>
              <w:pStyle w:val="ENoteTableText"/>
            </w:pPr>
            <w:r w:rsidRPr="00576D60">
              <w:t>ad F2019L01626</w:t>
            </w:r>
          </w:p>
        </w:tc>
      </w:tr>
      <w:tr w:rsidR="00E93F58" w:rsidRPr="00576D60" w14:paraId="6D7E3DA6" w14:textId="77777777" w:rsidTr="002F32E3">
        <w:trPr>
          <w:cantSplit/>
        </w:trPr>
        <w:tc>
          <w:tcPr>
            <w:tcW w:w="1500" w:type="pct"/>
            <w:shd w:val="clear" w:color="auto" w:fill="auto"/>
          </w:tcPr>
          <w:p w14:paraId="79B78992" w14:textId="77777777" w:rsidR="00E93F58" w:rsidRPr="00576D60" w:rsidRDefault="00E93F58" w:rsidP="002F32E3">
            <w:pPr>
              <w:pStyle w:val="ENoteTableText"/>
              <w:tabs>
                <w:tab w:val="left" w:leader="dot" w:pos="2268"/>
              </w:tabs>
            </w:pPr>
          </w:p>
        </w:tc>
        <w:tc>
          <w:tcPr>
            <w:tcW w:w="3500" w:type="pct"/>
            <w:shd w:val="clear" w:color="auto" w:fill="auto"/>
          </w:tcPr>
          <w:p w14:paraId="1125AD83" w14:textId="77777777" w:rsidR="00E93F58" w:rsidRPr="00576D60" w:rsidRDefault="00E93F58" w:rsidP="002F32E3">
            <w:pPr>
              <w:pStyle w:val="ENoteTableText"/>
            </w:pPr>
            <w:r w:rsidRPr="00576D60">
              <w:t>am F2023L00193</w:t>
            </w:r>
            <w:r>
              <w:t>; F2023L01458</w:t>
            </w:r>
          </w:p>
        </w:tc>
      </w:tr>
      <w:tr w:rsidR="00E93F58" w:rsidRPr="00576D60" w14:paraId="7FAB53D8" w14:textId="77777777" w:rsidTr="002F32E3">
        <w:trPr>
          <w:cantSplit/>
        </w:trPr>
        <w:tc>
          <w:tcPr>
            <w:tcW w:w="1500" w:type="pct"/>
            <w:shd w:val="clear" w:color="auto" w:fill="auto"/>
          </w:tcPr>
          <w:p w14:paraId="1F0FF8F3" w14:textId="77777777" w:rsidR="00E93F58" w:rsidRPr="00576D60" w:rsidRDefault="00E93F58" w:rsidP="002F32E3">
            <w:pPr>
              <w:pStyle w:val="ENoteTableText"/>
              <w:tabs>
                <w:tab w:val="left" w:leader="dot" w:pos="2268"/>
              </w:tabs>
              <w:rPr>
                <w:b/>
              </w:rPr>
            </w:pPr>
            <w:r>
              <w:rPr>
                <w:b/>
              </w:rPr>
              <w:t>Division 2</w:t>
            </w:r>
          </w:p>
        </w:tc>
        <w:tc>
          <w:tcPr>
            <w:tcW w:w="3500" w:type="pct"/>
            <w:shd w:val="clear" w:color="auto" w:fill="auto"/>
          </w:tcPr>
          <w:p w14:paraId="42CE4EA1" w14:textId="77777777" w:rsidR="00E93F58" w:rsidRPr="00576D60" w:rsidRDefault="00E93F58" w:rsidP="002F32E3">
            <w:pPr>
              <w:pStyle w:val="ENoteTableText"/>
            </w:pPr>
          </w:p>
        </w:tc>
      </w:tr>
      <w:tr w:rsidR="00E93F58" w:rsidRPr="00576D60" w14:paraId="6B8906A4" w14:textId="77777777" w:rsidTr="002F32E3">
        <w:trPr>
          <w:cantSplit/>
        </w:trPr>
        <w:tc>
          <w:tcPr>
            <w:tcW w:w="1500" w:type="pct"/>
            <w:shd w:val="clear" w:color="auto" w:fill="auto"/>
          </w:tcPr>
          <w:p w14:paraId="6ABC921B" w14:textId="77777777" w:rsidR="00E93F58" w:rsidRPr="00576D60" w:rsidRDefault="00E93F58" w:rsidP="002F32E3">
            <w:pPr>
              <w:pStyle w:val="ENoteTableText"/>
              <w:tabs>
                <w:tab w:val="left" w:leader="dot" w:pos="2268"/>
              </w:tabs>
            </w:pPr>
            <w:r w:rsidRPr="00576D60">
              <w:t>r 7.8A.03</w:t>
            </w:r>
            <w:r w:rsidRPr="00576D60">
              <w:tab/>
            </w:r>
          </w:p>
        </w:tc>
        <w:tc>
          <w:tcPr>
            <w:tcW w:w="3500" w:type="pct"/>
            <w:shd w:val="clear" w:color="auto" w:fill="auto"/>
          </w:tcPr>
          <w:p w14:paraId="5F3E13C3" w14:textId="77777777" w:rsidR="00E93F58" w:rsidRPr="00576D60" w:rsidRDefault="00E93F58" w:rsidP="002F32E3">
            <w:pPr>
              <w:pStyle w:val="ENoteTableText"/>
            </w:pPr>
            <w:r w:rsidRPr="00576D60">
              <w:t>ad F2019L01626</w:t>
            </w:r>
          </w:p>
        </w:tc>
      </w:tr>
      <w:tr w:rsidR="00E93F58" w:rsidRPr="00576D60" w14:paraId="1FE91EF4" w14:textId="77777777" w:rsidTr="002F32E3">
        <w:trPr>
          <w:cantSplit/>
        </w:trPr>
        <w:tc>
          <w:tcPr>
            <w:tcW w:w="1500" w:type="pct"/>
            <w:shd w:val="clear" w:color="auto" w:fill="auto"/>
          </w:tcPr>
          <w:p w14:paraId="02D0A383" w14:textId="77777777" w:rsidR="00E93F58" w:rsidRPr="00576D60" w:rsidRDefault="00E93F58" w:rsidP="002F32E3">
            <w:pPr>
              <w:pStyle w:val="ENoteTableText"/>
              <w:tabs>
                <w:tab w:val="left" w:leader="dot" w:pos="2268"/>
              </w:tabs>
            </w:pPr>
            <w:r w:rsidRPr="00576D60">
              <w:t>r 7.8A.04</w:t>
            </w:r>
            <w:r w:rsidRPr="00576D60">
              <w:tab/>
            </w:r>
          </w:p>
        </w:tc>
        <w:tc>
          <w:tcPr>
            <w:tcW w:w="3500" w:type="pct"/>
            <w:shd w:val="clear" w:color="auto" w:fill="auto"/>
          </w:tcPr>
          <w:p w14:paraId="191D9BA7" w14:textId="77777777" w:rsidR="00E93F58" w:rsidRPr="00576D60" w:rsidRDefault="00E93F58" w:rsidP="002F32E3">
            <w:pPr>
              <w:pStyle w:val="ENoteTableText"/>
            </w:pPr>
            <w:r w:rsidRPr="00576D60">
              <w:t>ad F2019L01626</w:t>
            </w:r>
          </w:p>
        </w:tc>
      </w:tr>
      <w:tr w:rsidR="00E93F58" w:rsidRPr="00576D60" w14:paraId="488E78C3" w14:textId="77777777" w:rsidTr="002F32E3">
        <w:trPr>
          <w:cantSplit/>
        </w:trPr>
        <w:tc>
          <w:tcPr>
            <w:tcW w:w="1500" w:type="pct"/>
            <w:shd w:val="clear" w:color="auto" w:fill="auto"/>
          </w:tcPr>
          <w:p w14:paraId="4D55337B" w14:textId="77777777" w:rsidR="00E93F58" w:rsidRPr="00576D60" w:rsidRDefault="00E93F58" w:rsidP="002F32E3">
            <w:pPr>
              <w:pStyle w:val="ENoteTableText"/>
              <w:tabs>
                <w:tab w:val="left" w:leader="dot" w:pos="2268"/>
              </w:tabs>
            </w:pPr>
          </w:p>
        </w:tc>
        <w:tc>
          <w:tcPr>
            <w:tcW w:w="3500" w:type="pct"/>
            <w:shd w:val="clear" w:color="auto" w:fill="auto"/>
          </w:tcPr>
          <w:p w14:paraId="58A4E267" w14:textId="77777777" w:rsidR="00E93F58" w:rsidRPr="00576D60" w:rsidRDefault="00E93F58" w:rsidP="002F32E3">
            <w:pPr>
              <w:pStyle w:val="ENoteTableText"/>
            </w:pPr>
            <w:r>
              <w:t>rs F2023L01458</w:t>
            </w:r>
          </w:p>
        </w:tc>
      </w:tr>
      <w:tr w:rsidR="00E93F58" w:rsidRPr="00576D60" w14:paraId="1874A616" w14:textId="77777777" w:rsidTr="002F32E3">
        <w:trPr>
          <w:cantSplit/>
        </w:trPr>
        <w:tc>
          <w:tcPr>
            <w:tcW w:w="1500" w:type="pct"/>
            <w:shd w:val="clear" w:color="auto" w:fill="auto"/>
          </w:tcPr>
          <w:p w14:paraId="1CBBA789" w14:textId="77777777" w:rsidR="00E93F58" w:rsidRPr="00576D60" w:rsidRDefault="00E93F58" w:rsidP="002F32E3">
            <w:pPr>
              <w:pStyle w:val="ENoteTableText"/>
              <w:tabs>
                <w:tab w:val="left" w:leader="dot" w:pos="2268"/>
              </w:tabs>
            </w:pPr>
            <w:r w:rsidRPr="00576D60">
              <w:t>r 7.8A.05</w:t>
            </w:r>
            <w:r w:rsidRPr="00576D60">
              <w:tab/>
            </w:r>
          </w:p>
        </w:tc>
        <w:tc>
          <w:tcPr>
            <w:tcW w:w="3500" w:type="pct"/>
            <w:shd w:val="clear" w:color="auto" w:fill="auto"/>
          </w:tcPr>
          <w:p w14:paraId="6616EC50" w14:textId="77777777" w:rsidR="00E93F58" w:rsidRPr="00576D60" w:rsidRDefault="00E93F58" w:rsidP="002F32E3">
            <w:pPr>
              <w:pStyle w:val="ENoteTableText"/>
            </w:pPr>
            <w:r w:rsidRPr="00576D60">
              <w:t>ad F2019L01626</w:t>
            </w:r>
          </w:p>
        </w:tc>
      </w:tr>
      <w:tr w:rsidR="00E93F58" w:rsidRPr="00576D60" w14:paraId="17EDC606" w14:textId="77777777" w:rsidTr="002F32E3">
        <w:trPr>
          <w:cantSplit/>
        </w:trPr>
        <w:tc>
          <w:tcPr>
            <w:tcW w:w="1500" w:type="pct"/>
            <w:shd w:val="clear" w:color="auto" w:fill="auto"/>
          </w:tcPr>
          <w:p w14:paraId="4E14587B" w14:textId="77777777" w:rsidR="00E93F58" w:rsidRPr="00576D60" w:rsidRDefault="00E93F58" w:rsidP="002F32E3">
            <w:pPr>
              <w:pStyle w:val="ENoteTableText"/>
              <w:tabs>
                <w:tab w:val="left" w:leader="dot" w:pos="2268"/>
              </w:tabs>
            </w:pPr>
            <w:r w:rsidRPr="00576D60">
              <w:t>r 7.8A.06</w:t>
            </w:r>
            <w:r w:rsidRPr="00576D60">
              <w:tab/>
            </w:r>
          </w:p>
        </w:tc>
        <w:tc>
          <w:tcPr>
            <w:tcW w:w="3500" w:type="pct"/>
            <w:shd w:val="clear" w:color="auto" w:fill="auto"/>
          </w:tcPr>
          <w:p w14:paraId="7D935340" w14:textId="77777777" w:rsidR="00E93F58" w:rsidRPr="00576D60" w:rsidRDefault="00E93F58" w:rsidP="002F32E3">
            <w:pPr>
              <w:pStyle w:val="ENoteTableText"/>
            </w:pPr>
            <w:r w:rsidRPr="00576D60">
              <w:t>ad F2019L01626</w:t>
            </w:r>
          </w:p>
        </w:tc>
      </w:tr>
      <w:tr w:rsidR="00E93F58" w:rsidRPr="00576D60" w14:paraId="41543858" w14:textId="77777777" w:rsidTr="002F32E3">
        <w:trPr>
          <w:cantSplit/>
        </w:trPr>
        <w:tc>
          <w:tcPr>
            <w:tcW w:w="1500" w:type="pct"/>
            <w:shd w:val="clear" w:color="auto" w:fill="auto"/>
          </w:tcPr>
          <w:p w14:paraId="17D28CC1" w14:textId="77777777" w:rsidR="00E93F58" w:rsidRPr="00576D60" w:rsidRDefault="00E93F58" w:rsidP="002F32E3">
            <w:pPr>
              <w:pStyle w:val="ENoteTableText"/>
              <w:tabs>
                <w:tab w:val="left" w:leader="dot" w:pos="2268"/>
              </w:tabs>
            </w:pPr>
            <w:r w:rsidRPr="00576D60">
              <w:t>r 7.8A.07</w:t>
            </w:r>
            <w:r w:rsidRPr="00576D60">
              <w:tab/>
            </w:r>
          </w:p>
        </w:tc>
        <w:tc>
          <w:tcPr>
            <w:tcW w:w="3500" w:type="pct"/>
            <w:shd w:val="clear" w:color="auto" w:fill="auto"/>
          </w:tcPr>
          <w:p w14:paraId="036E80EA" w14:textId="77777777" w:rsidR="00E93F58" w:rsidRPr="00576D60" w:rsidRDefault="00E93F58" w:rsidP="002F32E3">
            <w:pPr>
              <w:pStyle w:val="ENoteTableText"/>
            </w:pPr>
            <w:r w:rsidRPr="00576D60">
              <w:t>ad F2019L01626</w:t>
            </w:r>
          </w:p>
        </w:tc>
      </w:tr>
      <w:tr w:rsidR="00E93F58" w:rsidRPr="00576D60" w14:paraId="1E3CB12D" w14:textId="77777777" w:rsidTr="002F32E3">
        <w:trPr>
          <w:cantSplit/>
        </w:trPr>
        <w:tc>
          <w:tcPr>
            <w:tcW w:w="1500" w:type="pct"/>
            <w:shd w:val="clear" w:color="auto" w:fill="auto"/>
          </w:tcPr>
          <w:p w14:paraId="57026FAB" w14:textId="77777777" w:rsidR="00E93F58" w:rsidRPr="00576D60" w:rsidRDefault="00E93F58" w:rsidP="002F32E3">
            <w:pPr>
              <w:pStyle w:val="ENoteTableText"/>
              <w:tabs>
                <w:tab w:val="left" w:leader="dot" w:pos="2268"/>
              </w:tabs>
            </w:pPr>
          </w:p>
        </w:tc>
        <w:tc>
          <w:tcPr>
            <w:tcW w:w="3500" w:type="pct"/>
            <w:shd w:val="clear" w:color="auto" w:fill="auto"/>
          </w:tcPr>
          <w:p w14:paraId="1382DBF3" w14:textId="77777777" w:rsidR="00E93F58" w:rsidRPr="00576D60" w:rsidRDefault="00E93F58" w:rsidP="002F32E3">
            <w:pPr>
              <w:pStyle w:val="ENoteTableText"/>
            </w:pPr>
            <w:r>
              <w:t>am F2023L01458</w:t>
            </w:r>
          </w:p>
        </w:tc>
      </w:tr>
      <w:tr w:rsidR="00E93F58" w:rsidRPr="00576D60" w14:paraId="05FCDF56" w14:textId="77777777" w:rsidTr="002F32E3">
        <w:trPr>
          <w:cantSplit/>
        </w:trPr>
        <w:tc>
          <w:tcPr>
            <w:tcW w:w="1500" w:type="pct"/>
            <w:shd w:val="clear" w:color="auto" w:fill="auto"/>
          </w:tcPr>
          <w:p w14:paraId="1965D228" w14:textId="77777777" w:rsidR="00E93F58" w:rsidRPr="00576D60" w:rsidRDefault="00E93F58" w:rsidP="002F32E3">
            <w:pPr>
              <w:pStyle w:val="ENoteTableText"/>
              <w:tabs>
                <w:tab w:val="left" w:leader="dot" w:pos="2268"/>
              </w:tabs>
            </w:pPr>
            <w:r w:rsidRPr="00576D60">
              <w:t>r 7.8A.08</w:t>
            </w:r>
            <w:r w:rsidRPr="00576D60">
              <w:tab/>
            </w:r>
          </w:p>
        </w:tc>
        <w:tc>
          <w:tcPr>
            <w:tcW w:w="3500" w:type="pct"/>
            <w:shd w:val="clear" w:color="auto" w:fill="auto"/>
          </w:tcPr>
          <w:p w14:paraId="723C14F5" w14:textId="77777777" w:rsidR="00E93F58" w:rsidRPr="00576D60" w:rsidRDefault="00E93F58" w:rsidP="002F32E3">
            <w:pPr>
              <w:pStyle w:val="ENoteTableText"/>
            </w:pPr>
            <w:r w:rsidRPr="00576D60">
              <w:t>ad F2019L01626</w:t>
            </w:r>
          </w:p>
        </w:tc>
      </w:tr>
      <w:tr w:rsidR="00E93F58" w:rsidRPr="00576D60" w14:paraId="44706A19" w14:textId="77777777" w:rsidTr="002F32E3">
        <w:trPr>
          <w:cantSplit/>
        </w:trPr>
        <w:tc>
          <w:tcPr>
            <w:tcW w:w="1500" w:type="pct"/>
            <w:shd w:val="clear" w:color="auto" w:fill="auto"/>
          </w:tcPr>
          <w:p w14:paraId="5110A21C" w14:textId="77777777" w:rsidR="00E93F58" w:rsidRPr="00576D60" w:rsidRDefault="00E93F58" w:rsidP="002F32E3">
            <w:pPr>
              <w:pStyle w:val="ENoteTableText"/>
              <w:tabs>
                <w:tab w:val="left" w:leader="dot" w:pos="2268"/>
              </w:tabs>
            </w:pPr>
            <w:r w:rsidRPr="00576D60">
              <w:t>r 7.8A.09</w:t>
            </w:r>
            <w:r w:rsidRPr="00576D60">
              <w:tab/>
            </w:r>
          </w:p>
        </w:tc>
        <w:tc>
          <w:tcPr>
            <w:tcW w:w="3500" w:type="pct"/>
            <w:shd w:val="clear" w:color="auto" w:fill="auto"/>
          </w:tcPr>
          <w:p w14:paraId="0627EB09" w14:textId="77777777" w:rsidR="00E93F58" w:rsidRPr="00576D60" w:rsidRDefault="00E93F58" w:rsidP="002F32E3">
            <w:pPr>
              <w:pStyle w:val="ENoteTableText"/>
            </w:pPr>
            <w:r w:rsidRPr="00576D60">
              <w:t>ad F2019L01626</w:t>
            </w:r>
          </w:p>
        </w:tc>
      </w:tr>
      <w:tr w:rsidR="00E93F58" w:rsidRPr="00576D60" w14:paraId="7A6AA9DE" w14:textId="77777777" w:rsidTr="002F32E3">
        <w:trPr>
          <w:cantSplit/>
        </w:trPr>
        <w:tc>
          <w:tcPr>
            <w:tcW w:w="1500" w:type="pct"/>
            <w:shd w:val="clear" w:color="auto" w:fill="auto"/>
          </w:tcPr>
          <w:p w14:paraId="27A312E8" w14:textId="77777777" w:rsidR="00E93F58" w:rsidRPr="00576D60" w:rsidRDefault="00E93F58" w:rsidP="002F32E3">
            <w:pPr>
              <w:pStyle w:val="ENoteTableText"/>
              <w:tabs>
                <w:tab w:val="left" w:leader="dot" w:pos="2268"/>
              </w:tabs>
            </w:pPr>
            <w:r w:rsidRPr="00576D60">
              <w:t>r 7.8A.10</w:t>
            </w:r>
            <w:r w:rsidRPr="00576D60">
              <w:tab/>
            </w:r>
          </w:p>
        </w:tc>
        <w:tc>
          <w:tcPr>
            <w:tcW w:w="3500" w:type="pct"/>
            <w:shd w:val="clear" w:color="auto" w:fill="auto"/>
          </w:tcPr>
          <w:p w14:paraId="36190F3F" w14:textId="77777777" w:rsidR="00E93F58" w:rsidRPr="00576D60" w:rsidRDefault="00E93F58" w:rsidP="002F32E3">
            <w:pPr>
              <w:pStyle w:val="ENoteTableText"/>
            </w:pPr>
            <w:r w:rsidRPr="00576D60">
              <w:t>ad F2019L01626</w:t>
            </w:r>
          </w:p>
        </w:tc>
      </w:tr>
      <w:tr w:rsidR="00E93F58" w:rsidRPr="00576D60" w14:paraId="4CCE1A5F" w14:textId="77777777" w:rsidTr="002F32E3">
        <w:trPr>
          <w:cantSplit/>
        </w:trPr>
        <w:tc>
          <w:tcPr>
            <w:tcW w:w="1500" w:type="pct"/>
            <w:shd w:val="clear" w:color="auto" w:fill="auto"/>
          </w:tcPr>
          <w:p w14:paraId="69039C83" w14:textId="77777777" w:rsidR="00E93F58" w:rsidRPr="00576D60" w:rsidRDefault="00E93F58" w:rsidP="002F32E3">
            <w:pPr>
              <w:pStyle w:val="ENoteTableText"/>
              <w:tabs>
                <w:tab w:val="left" w:leader="dot" w:pos="2268"/>
              </w:tabs>
              <w:rPr>
                <w:b/>
              </w:rPr>
            </w:pPr>
            <w:r w:rsidRPr="00576D60">
              <w:rPr>
                <w:b/>
              </w:rPr>
              <w:t>Division 3</w:t>
            </w:r>
          </w:p>
        </w:tc>
        <w:tc>
          <w:tcPr>
            <w:tcW w:w="3500" w:type="pct"/>
            <w:shd w:val="clear" w:color="auto" w:fill="auto"/>
          </w:tcPr>
          <w:p w14:paraId="4A9838F6" w14:textId="77777777" w:rsidR="00E93F58" w:rsidRPr="00576D60" w:rsidRDefault="00E93F58" w:rsidP="002F32E3">
            <w:pPr>
              <w:pStyle w:val="ENoteTableText"/>
            </w:pPr>
          </w:p>
        </w:tc>
      </w:tr>
      <w:tr w:rsidR="00E93F58" w:rsidRPr="00576D60" w14:paraId="422E9DD9" w14:textId="77777777" w:rsidTr="002F32E3">
        <w:trPr>
          <w:cantSplit/>
        </w:trPr>
        <w:tc>
          <w:tcPr>
            <w:tcW w:w="1500" w:type="pct"/>
            <w:shd w:val="clear" w:color="auto" w:fill="auto"/>
          </w:tcPr>
          <w:p w14:paraId="19D682A9" w14:textId="77777777" w:rsidR="00E93F58" w:rsidRPr="00576D60" w:rsidRDefault="00E93F58" w:rsidP="002F32E3">
            <w:pPr>
              <w:pStyle w:val="ENoteTableText"/>
              <w:tabs>
                <w:tab w:val="left" w:leader="dot" w:pos="2268"/>
              </w:tabs>
            </w:pPr>
            <w:r w:rsidRPr="00576D60">
              <w:t>r 7.8A.20</w:t>
            </w:r>
            <w:r w:rsidRPr="00576D60">
              <w:tab/>
            </w:r>
          </w:p>
        </w:tc>
        <w:tc>
          <w:tcPr>
            <w:tcW w:w="3500" w:type="pct"/>
            <w:shd w:val="clear" w:color="auto" w:fill="auto"/>
          </w:tcPr>
          <w:p w14:paraId="555F4032" w14:textId="77777777" w:rsidR="00E93F58" w:rsidRPr="00576D60" w:rsidRDefault="00E93F58" w:rsidP="002F32E3">
            <w:pPr>
              <w:pStyle w:val="ENoteTableText"/>
            </w:pPr>
            <w:r w:rsidRPr="00576D60">
              <w:t>ad F2019L01626</w:t>
            </w:r>
          </w:p>
        </w:tc>
      </w:tr>
      <w:tr w:rsidR="00E93F58" w:rsidRPr="00576D60" w14:paraId="5DEA6B6F" w14:textId="77777777" w:rsidTr="002F32E3">
        <w:trPr>
          <w:cantSplit/>
        </w:trPr>
        <w:tc>
          <w:tcPr>
            <w:tcW w:w="1500" w:type="pct"/>
            <w:shd w:val="clear" w:color="auto" w:fill="auto"/>
          </w:tcPr>
          <w:p w14:paraId="116A65F3" w14:textId="77777777" w:rsidR="00E93F58" w:rsidRPr="00576D60" w:rsidRDefault="00E93F58" w:rsidP="002F32E3">
            <w:pPr>
              <w:pStyle w:val="ENoteTableText"/>
              <w:tabs>
                <w:tab w:val="left" w:leader="dot" w:pos="2268"/>
              </w:tabs>
            </w:pPr>
          </w:p>
        </w:tc>
        <w:tc>
          <w:tcPr>
            <w:tcW w:w="3500" w:type="pct"/>
            <w:shd w:val="clear" w:color="auto" w:fill="auto"/>
          </w:tcPr>
          <w:p w14:paraId="39D5E622" w14:textId="77777777" w:rsidR="00E93F58" w:rsidRPr="00576D60" w:rsidRDefault="00E93F58" w:rsidP="002F32E3">
            <w:pPr>
              <w:pStyle w:val="ENoteTableText"/>
            </w:pPr>
            <w:r w:rsidRPr="00576D60">
              <w:t>am F2023L00193</w:t>
            </w:r>
          </w:p>
        </w:tc>
      </w:tr>
      <w:tr w:rsidR="00E93F58" w:rsidRPr="00576D60" w14:paraId="42B83C64" w14:textId="77777777" w:rsidTr="002F32E3">
        <w:trPr>
          <w:cantSplit/>
        </w:trPr>
        <w:tc>
          <w:tcPr>
            <w:tcW w:w="1500" w:type="pct"/>
            <w:shd w:val="clear" w:color="auto" w:fill="auto"/>
          </w:tcPr>
          <w:p w14:paraId="05286D4D" w14:textId="77777777" w:rsidR="00E93F58" w:rsidRPr="00576D60" w:rsidRDefault="00E93F58" w:rsidP="002F32E3">
            <w:pPr>
              <w:pStyle w:val="ENoteTableText"/>
              <w:tabs>
                <w:tab w:val="left" w:leader="dot" w:pos="2268"/>
              </w:tabs>
            </w:pPr>
            <w:r w:rsidRPr="00576D60">
              <w:t>r 7.8A.25</w:t>
            </w:r>
            <w:r w:rsidRPr="00576D60">
              <w:tab/>
            </w:r>
          </w:p>
        </w:tc>
        <w:tc>
          <w:tcPr>
            <w:tcW w:w="3500" w:type="pct"/>
            <w:shd w:val="clear" w:color="auto" w:fill="auto"/>
          </w:tcPr>
          <w:p w14:paraId="7AF5CCA1" w14:textId="77777777" w:rsidR="00E93F58" w:rsidRPr="00576D60" w:rsidRDefault="00E93F58" w:rsidP="002F32E3">
            <w:pPr>
              <w:pStyle w:val="ENoteTableText"/>
            </w:pPr>
            <w:r w:rsidRPr="00576D60">
              <w:t>ad F2019L01626</w:t>
            </w:r>
          </w:p>
        </w:tc>
      </w:tr>
      <w:tr w:rsidR="00E93F58" w:rsidRPr="00576D60" w14:paraId="4628DC23" w14:textId="77777777" w:rsidTr="002F32E3">
        <w:trPr>
          <w:cantSplit/>
        </w:trPr>
        <w:tc>
          <w:tcPr>
            <w:tcW w:w="1500" w:type="pct"/>
            <w:shd w:val="clear" w:color="auto" w:fill="auto"/>
          </w:tcPr>
          <w:p w14:paraId="30F1A491" w14:textId="77777777" w:rsidR="00E93F58" w:rsidRPr="00576D60" w:rsidRDefault="00E93F58" w:rsidP="002F32E3">
            <w:pPr>
              <w:pStyle w:val="ENoteTableText"/>
              <w:tabs>
                <w:tab w:val="left" w:leader="dot" w:pos="2268"/>
              </w:tabs>
              <w:rPr>
                <w:b/>
              </w:rPr>
            </w:pPr>
            <w:r w:rsidRPr="00576D60">
              <w:rPr>
                <w:b/>
              </w:rPr>
              <w:t>Part 7.9</w:t>
            </w:r>
          </w:p>
        </w:tc>
        <w:tc>
          <w:tcPr>
            <w:tcW w:w="3500" w:type="pct"/>
            <w:shd w:val="clear" w:color="auto" w:fill="auto"/>
          </w:tcPr>
          <w:p w14:paraId="41431928" w14:textId="77777777" w:rsidR="00E93F58" w:rsidRPr="00576D60" w:rsidRDefault="00E93F58" w:rsidP="002F32E3">
            <w:pPr>
              <w:pStyle w:val="ENoteTableText"/>
            </w:pPr>
          </w:p>
        </w:tc>
      </w:tr>
      <w:tr w:rsidR="00E93F58" w:rsidRPr="00576D60" w14:paraId="512907D2" w14:textId="77777777" w:rsidTr="002F32E3">
        <w:trPr>
          <w:cantSplit/>
        </w:trPr>
        <w:tc>
          <w:tcPr>
            <w:tcW w:w="1500" w:type="pct"/>
            <w:shd w:val="clear" w:color="auto" w:fill="auto"/>
          </w:tcPr>
          <w:p w14:paraId="289204EE" w14:textId="77777777" w:rsidR="00E93F58" w:rsidRPr="00576D60" w:rsidRDefault="00E93F58" w:rsidP="002F32E3">
            <w:pPr>
              <w:pStyle w:val="ENoteTableText"/>
              <w:tabs>
                <w:tab w:val="left" w:leader="dot" w:pos="2268"/>
              </w:tabs>
              <w:rPr>
                <w:b/>
              </w:rPr>
            </w:pPr>
            <w:r w:rsidRPr="00576D60">
              <w:rPr>
                <w:b/>
              </w:rPr>
              <w:t>Division 1</w:t>
            </w:r>
          </w:p>
        </w:tc>
        <w:tc>
          <w:tcPr>
            <w:tcW w:w="3500" w:type="pct"/>
            <w:shd w:val="clear" w:color="auto" w:fill="auto"/>
          </w:tcPr>
          <w:p w14:paraId="04D3EC9D" w14:textId="77777777" w:rsidR="00E93F58" w:rsidRPr="00576D60" w:rsidRDefault="00E93F58" w:rsidP="002F32E3">
            <w:pPr>
              <w:pStyle w:val="ENoteTableText"/>
            </w:pPr>
          </w:p>
        </w:tc>
      </w:tr>
      <w:tr w:rsidR="00E93F58" w:rsidRPr="00576D60" w14:paraId="3865C300" w14:textId="77777777" w:rsidTr="002F32E3">
        <w:trPr>
          <w:cantSplit/>
        </w:trPr>
        <w:tc>
          <w:tcPr>
            <w:tcW w:w="1500" w:type="pct"/>
            <w:shd w:val="clear" w:color="auto" w:fill="auto"/>
          </w:tcPr>
          <w:p w14:paraId="2E1DD364" w14:textId="77777777" w:rsidR="00E93F58" w:rsidRPr="00576D60" w:rsidRDefault="00E93F58" w:rsidP="002F32E3">
            <w:pPr>
              <w:pStyle w:val="ENoteTableText"/>
              <w:tabs>
                <w:tab w:val="left" w:leader="dot" w:pos="2268"/>
              </w:tabs>
            </w:pPr>
            <w:r w:rsidRPr="00576D60">
              <w:t>r 7.9.01</w:t>
            </w:r>
            <w:r w:rsidRPr="00576D60">
              <w:tab/>
            </w:r>
          </w:p>
        </w:tc>
        <w:tc>
          <w:tcPr>
            <w:tcW w:w="3500" w:type="pct"/>
            <w:shd w:val="clear" w:color="auto" w:fill="auto"/>
          </w:tcPr>
          <w:p w14:paraId="49435D79" w14:textId="77777777" w:rsidR="00E93F58" w:rsidRPr="00576D60" w:rsidRDefault="00E93F58" w:rsidP="002F32E3">
            <w:pPr>
              <w:pStyle w:val="ENoteTableText"/>
            </w:pPr>
            <w:r w:rsidRPr="00576D60">
              <w:t>ad No 319, 2001</w:t>
            </w:r>
          </w:p>
        </w:tc>
      </w:tr>
      <w:tr w:rsidR="00E93F58" w:rsidRPr="00576D60" w14:paraId="66E5EEB7" w14:textId="77777777" w:rsidTr="002F32E3">
        <w:trPr>
          <w:cantSplit/>
        </w:trPr>
        <w:tc>
          <w:tcPr>
            <w:tcW w:w="1500" w:type="pct"/>
            <w:shd w:val="clear" w:color="auto" w:fill="auto"/>
          </w:tcPr>
          <w:p w14:paraId="32F69AE3" w14:textId="77777777" w:rsidR="00E93F58" w:rsidRPr="00576D60" w:rsidRDefault="00E93F58" w:rsidP="002F32E3">
            <w:pPr>
              <w:pStyle w:val="ENoteTableText"/>
            </w:pPr>
          </w:p>
        </w:tc>
        <w:tc>
          <w:tcPr>
            <w:tcW w:w="3500" w:type="pct"/>
            <w:shd w:val="clear" w:color="auto" w:fill="auto"/>
          </w:tcPr>
          <w:p w14:paraId="39A0BFAC" w14:textId="77777777" w:rsidR="00E93F58" w:rsidRPr="00576D60" w:rsidRDefault="00E93F58" w:rsidP="002F32E3">
            <w:pPr>
              <w:pStyle w:val="ENoteTableText"/>
            </w:pPr>
            <w:r w:rsidRPr="00576D60">
              <w:t>am No 16, 2002; No 145, 2002; No 10, 2004; No 145, 2004; No 31, 2005; No 102, 2007; No 324, 2007; F2019L01641; F2023L00990</w:t>
            </w:r>
            <w:r>
              <w:t>; F2023L01458</w:t>
            </w:r>
          </w:p>
        </w:tc>
      </w:tr>
      <w:tr w:rsidR="00E93F58" w:rsidRPr="00576D60" w14:paraId="21B2FC76" w14:textId="77777777" w:rsidTr="002F32E3">
        <w:trPr>
          <w:cantSplit/>
        </w:trPr>
        <w:tc>
          <w:tcPr>
            <w:tcW w:w="1500" w:type="pct"/>
            <w:shd w:val="clear" w:color="auto" w:fill="auto"/>
          </w:tcPr>
          <w:p w14:paraId="1E03DC64" w14:textId="77777777" w:rsidR="00E93F58" w:rsidRPr="00576D60" w:rsidRDefault="00E93F58" w:rsidP="002F32E3">
            <w:pPr>
              <w:pStyle w:val="ENoteTableText"/>
              <w:tabs>
                <w:tab w:val="left" w:leader="dot" w:pos="2268"/>
              </w:tabs>
            </w:pPr>
            <w:r w:rsidRPr="00576D60">
              <w:lastRenderedPageBreak/>
              <w:t>r. 7.9.02</w:t>
            </w:r>
            <w:r w:rsidRPr="00576D60">
              <w:tab/>
            </w:r>
          </w:p>
        </w:tc>
        <w:tc>
          <w:tcPr>
            <w:tcW w:w="3500" w:type="pct"/>
            <w:shd w:val="clear" w:color="auto" w:fill="auto"/>
          </w:tcPr>
          <w:p w14:paraId="152AB01D" w14:textId="77777777" w:rsidR="00E93F58" w:rsidRPr="00576D60" w:rsidRDefault="00E93F58" w:rsidP="002F32E3">
            <w:pPr>
              <w:pStyle w:val="ENoteTableText"/>
            </w:pPr>
            <w:r w:rsidRPr="00576D60">
              <w:t>ad. 2001 No. 319</w:t>
            </w:r>
          </w:p>
        </w:tc>
      </w:tr>
      <w:tr w:rsidR="00E93F58" w:rsidRPr="00576D60" w14:paraId="41D160E0" w14:textId="77777777" w:rsidTr="002F32E3">
        <w:trPr>
          <w:cantSplit/>
        </w:trPr>
        <w:tc>
          <w:tcPr>
            <w:tcW w:w="1500" w:type="pct"/>
            <w:shd w:val="clear" w:color="auto" w:fill="auto"/>
          </w:tcPr>
          <w:p w14:paraId="6A8C0FFC" w14:textId="77777777" w:rsidR="00E93F58" w:rsidRPr="00576D60" w:rsidRDefault="00E93F58" w:rsidP="002F32E3">
            <w:pPr>
              <w:pStyle w:val="ENoteTableText"/>
            </w:pPr>
          </w:p>
        </w:tc>
        <w:tc>
          <w:tcPr>
            <w:tcW w:w="3500" w:type="pct"/>
            <w:shd w:val="clear" w:color="auto" w:fill="auto"/>
          </w:tcPr>
          <w:p w14:paraId="1A4E1D93" w14:textId="77777777" w:rsidR="00E93F58" w:rsidRPr="00576D60" w:rsidRDefault="00E93F58" w:rsidP="002F32E3">
            <w:pPr>
              <w:pStyle w:val="ENoteTableText"/>
            </w:pPr>
            <w:r w:rsidRPr="00576D60">
              <w:t>am. 2002 No. 16</w:t>
            </w:r>
          </w:p>
        </w:tc>
      </w:tr>
      <w:tr w:rsidR="00E93F58" w:rsidRPr="00576D60" w14:paraId="171B9578" w14:textId="77777777" w:rsidTr="002F32E3">
        <w:trPr>
          <w:cantSplit/>
        </w:trPr>
        <w:tc>
          <w:tcPr>
            <w:tcW w:w="1500" w:type="pct"/>
            <w:shd w:val="clear" w:color="auto" w:fill="auto"/>
          </w:tcPr>
          <w:p w14:paraId="187E4E5D" w14:textId="77777777" w:rsidR="00E93F58" w:rsidRPr="00576D60" w:rsidRDefault="00E93F58" w:rsidP="002F32E3">
            <w:pPr>
              <w:pStyle w:val="ENoteTableText"/>
              <w:tabs>
                <w:tab w:val="left" w:leader="dot" w:pos="2268"/>
              </w:tabs>
            </w:pPr>
            <w:r w:rsidRPr="00576D60">
              <w:t>r. 7.9.02A</w:t>
            </w:r>
            <w:r w:rsidRPr="00576D60">
              <w:tab/>
            </w:r>
          </w:p>
        </w:tc>
        <w:tc>
          <w:tcPr>
            <w:tcW w:w="3500" w:type="pct"/>
            <w:shd w:val="clear" w:color="auto" w:fill="auto"/>
          </w:tcPr>
          <w:p w14:paraId="40910939" w14:textId="77777777" w:rsidR="00E93F58" w:rsidRPr="00576D60" w:rsidRDefault="00E93F58" w:rsidP="002F32E3">
            <w:pPr>
              <w:pStyle w:val="ENoteTableText"/>
            </w:pPr>
            <w:r w:rsidRPr="00576D60">
              <w:t>ad. 2002 No. 16</w:t>
            </w:r>
          </w:p>
        </w:tc>
      </w:tr>
      <w:tr w:rsidR="00E93F58" w:rsidRPr="00576D60" w14:paraId="40ACF4FE" w14:textId="77777777" w:rsidTr="002F32E3">
        <w:trPr>
          <w:cantSplit/>
        </w:trPr>
        <w:tc>
          <w:tcPr>
            <w:tcW w:w="1500" w:type="pct"/>
            <w:shd w:val="clear" w:color="auto" w:fill="auto"/>
          </w:tcPr>
          <w:p w14:paraId="1841D431" w14:textId="77777777" w:rsidR="00E93F58" w:rsidRPr="00576D60" w:rsidRDefault="00E93F58" w:rsidP="002F32E3">
            <w:pPr>
              <w:pStyle w:val="ENoteTableText"/>
            </w:pPr>
          </w:p>
        </w:tc>
        <w:tc>
          <w:tcPr>
            <w:tcW w:w="3500" w:type="pct"/>
            <w:shd w:val="clear" w:color="auto" w:fill="auto"/>
          </w:tcPr>
          <w:p w14:paraId="30762D19" w14:textId="77777777" w:rsidR="00E93F58" w:rsidRPr="00576D60" w:rsidRDefault="00E93F58" w:rsidP="002F32E3">
            <w:pPr>
              <w:pStyle w:val="ENoteTableText"/>
            </w:pPr>
            <w:r w:rsidRPr="00576D60">
              <w:t>am. 2003 No. 282</w:t>
            </w:r>
          </w:p>
        </w:tc>
      </w:tr>
      <w:tr w:rsidR="00E93F58" w:rsidRPr="00576D60" w14:paraId="334B2D86" w14:textId="77777777" w:rsidTr="002F32E3">
        <w:trPr>
          <w:cantSplit/>
        </w:trPr>
        <w:tc>
          <w:tcPr>
            <w:tcW w:w="1500" w:type="pct"/>
            <w:shd w:val="clear" w:color="auto" w:fill="auto"/>
          </w:tcPr>
          <w:p w14:paraId="463F971B" w14:textId="77777777" w:rsidR="00E93F58" w:rsidRPr="00576D60" w:rsidRDefault="00E93F58" w:rsidP="002F32E3">
            <w:pPr>
              <w:pStyle w:val="ENoteTableText"/>
            </w:pPr>
          </w:p>
        </w:tc>
        <w:tc>
          <w:tcPr>
            <w:tcW w:w="3500" w:type="pct"/>
            <w:shd w:val="clear" w:color="auto" w:fill="auto"/>
          </w:tcPr>
          <w:p w14:paraId="1094B0B1" w14:textId="77777777" w:rsidR="00E93F58" w:rsidRPr="00576D60" w:rsidRDefault="00E93F58" w:rsidP="002F32E3">
            <w:pPr>
              <w:pStyle w:val="ENoteTableText"/>
            </w:pPr>
            <w:r w:rsidRPr="00576D60">
              <w:t>rs. 2005 No. 324</w:t>
            </w:r>
          </w:p>
        </w:tc>
      </w:tr>
      <w:tr w:rsidR="00E93F58" w:rsidRPr="00576D60" w14:paraId="77352E9F" w14:textId="77777777" w:rsidTr="002F32E3">
        <w:trPr>
          <w:cantSplit/>
        </w:trPr>
        <w:tc>
          <w:tcPr>
            <w:tcW w:w="1500" w:type="pct"/>
            <w:shd w:val="clear" w:color="auto" w:fill="auto"/>
          </w:tcPr>
          <w:p w14:paraId="661E427F" w14:textId="77777777" w:rsidR="00E93F58" w:rsidRPr="00576D60" w:rsidRDefault="00E93F58" w:rsidP="002F32E3">
            <w:pPr>
              <w:pStyle w:val="ENoteTableText"/>
              <w:tabs>
                <w:tab w:val="left" w:leader="dot" w:pos="2268"/>
              </w:tabs>
            </w:pPr>
            <w:r w:rsidRPr="00576D60">
              <w:t>r. 7.9.02B</w:t>
            </w:r>
            <w:r w:rsidRPr="00576D60">
              <w:tab/>
            </w:r>
          </w:p>
        </w:tc>
        <w:tc>
          <w:tcPr>
            <w:tcW w:w="3500" w:type="pct"/>
            <w:shd w:val="clear" w:color="auto" w:fill="auto"/>
          </w:tcPr>
          <w:p w14:paraId="31E9F3A7" w14:textId="77777777" w:rsidR="00E93F58" w:rsidRPr="00576D60" w:rsidRDefault="00E93F58" w:rsidP="002F32E3">
            <w:pPr>
              <w:pStyle w:val="ENoteTableText"/>
            </w:pPr>
            <w:r w:rsidRPr="00576D60">
              <w:t>ad. 2002 No. 16</w:t>
            </w:r>
          </w:p>
        </w:tc>
      </w:tr>
      <w:tr w:rsidR="00E93F58" w:rsidRPr="00576D60" w14:paraId="128F3447" w14:textId="77777777" w:rsidTr="002F32E3">
        <w:trPr>
          <w:cantSplit/>
        </w:trPr>
        <w:tc>
          <w:tcPr>
            <w:tcW w:w="1500" w:type="pct"/>
            <w:shd w:val="clear" w:color="auto" w:fill="auto"/>
          </w:tcPr>
          <w:p w14:paraId="4E4A8B9D" w14:textId="77777777" w:rsidR="00E93F58" w:rsidRPr="00576D60" w:rsidRDefault="00E93F58" w:rsidP="002F32E3">
            <w:pPr>
              <w:pStyle w:val="ENoteTableText"/>
              <w:tabs>
                <w:tab w:val="left" w:leader="dot" w:pos="2268"/>
              </w:tabs>
            </w:pPr>
            <w:r w:rsidRPr="00576D60">
              <w:t>r. 7.9.02C</w:t>
            </w:r>
            <w:r w:rsidRPr="00576D60">
              <w:tab/>
            </w:r>
          </w:p>
        </w:tc>
        <w:tc>
          <w:tcPr>
            <w:tcW w:w="3500" w:type="pct"/>
            <w:shd w:val="clear" w:color="auto" w:fill="auto"/>
          </w:tcPr>
          <w:p w14:paraId="1CDAD7A2" w14:textId="77777777" w:rsidR="00E93F58" w:rsidRPr="00576D60" w:rsidRDefault="00E93F58" w:rsidP="002F32E3">
            <w:pPr>
              <w:pStyle w:val="ENoteTableText"/>
            </w:pPr>
            <w:r w:rsidRPr="00576D60">
              <w:t>ad. 2003 No. 202</w:t>
            </w:r>
          </w:p>
        </w:tc>
      </w:tr>
      <w:tr w:rsidR="00E93F58" w:rsidRPr="00576D60" w14:paraId="51FBA9FC" w14:textId="77777777" w:rsidTr="002F32E3">
        <w:trPr>
          <w:cantSplit/>
        </w:trPr>
        <w:tc>
          <w:tcPr>
            <w:tcW w:w="1500" w:type="pct"/>
            <w:shd w:val="clear" w:color="auto" w:fill="auto"/>
          </w:tcPr>
          <w:p w14:paraId="1AD533C7" w14:textId="77777777" w:rsidR="00E93F58" w:rsidRPr="00576D60" w:rsidRDefault="00E93F58" w:rsidP="002F32E3">
            <w:pPr>
              <w:pStyle w:val="ENoteTableText"/>
            </w:pPr>
          </w:p>
        </w:tc>
        <w:tc>
          <w:tcPr>
            <w:tcW w:w="3500" w:type="pct"/>
            <w:shd w:val="clear" w:color="auto" w:fill="auto"/>
          </w:tcPr>
          <w:p w14:paraId="003024AD" w14:textId="77777777" w:rsidR="00E93F58" w:rsidRPr="00576D60" w:rsidRDefault="00E93F58" w:rsidP="002F32E3">
            <w:pPr>
              <w:pStyle w:val="ENoteTableText"/>
            </w:pPr>
            <w:r w:rsidRPr="00576D60">
              <w:t>rep. 2003 No. 369</w:t>
            </w:r>
          </w:p>
        </w:tc>
      </w:tr>
      <w:tr w:rsidR="00E93F58" w:rsidRPr="00576D60" w14:paraId="54664468" w14:textId="77777777" w:rsidTr="002F32E3">
        <w:trPr>
          <w:cantSplit/>
        </w:trPr>
        <w:tc>
          <w:tcPr>
            <w:tcW w:w="1500" w:type="pct"/>
            <w:shd w:val="clear" w:color="auto" w:fill="auto"/>
          </w:tcPr>
          <w:p w14:paraId="3EB4F7AC" w14:textId="77777777" w:rsidR="00E93F58" w:rsidRPr="00576D60" w:rsidRDefault="00E93F58" w:rsidP="0009217A">
            <w:pPr>
              <w:pStyle w:val="ENoteTableText"/>
              <w:keepNext/>
              <w:keepLines/>
              <w:tabs>
                <w:tab w:val="left" w:leader="dot" w:pos="2268"/>
              </w:tabs>
              <w:rPr>
                <w:b/>
              </w:rPr>
            </w:pPr>
            <w:r>
              <w:rPr>
                <w:b/>
              </w:rPr>
              <w:t>Division 2</w:t>
            </w:r>
          </w:p>
        </w:tc>
        <w:tc>
          <w:tcPr>
            <w:tcW w:w="3500" w:type="pct"/>
            <w:shd w:val="clear" w:color="auto" w:fill="auto"/>
          </w:tcPr>
          <w:p w14:paraId="3F8E6284" w14:textId="77777777" w:rsidR="00E93F58" w:rsidRPr="00576D60" w:rsidRDefault="00E93F58" w:rsidP="0009217A">
            <w:pPr>
              <w:pStyle w:val="ENoteTableText"/>
              <w:keepNext/>
              <w:keepLines/>
            </w:pPr>
          </w:p>
        </w:tc>
      </w:tr>
      <w:tr w:rsidR="00E93F58" w:rsidRPr="00576D60" w14:paraId="227C05E3" w14:textId="77777777" w:rsidTr="002F32E3">
        <w:trPr>
          <w:cantSplit/>
        </w:trPr>
        <w:tc>
          <w:tcPr>
            <w:tcW w:w="1500" w:type="pct"/>
            <w:shd w:val="clear" w:color="auto" w:fill="auto"/>
          </w:tcPr>
          <w:p w14:paraId="725B3D8B" w14:textId="77777777" w:rsidR="00E93F58" w:rsidRPr="00A34CBB" w:rsidRDefault="00E93F58" w:rsidP="0009217A">
            <w:pPr>
              <w:pStyle w:val="ENoteTableText"/>
              <w:keepNext/>
              <w:keepLines/>
              <w:tabs>
                <w:tab w:val="left" w:leader="dot" w:pos="2268"/>
              </w:tabs>
            </w:pPr>
            <w:r>
              <w:t>Division 2</w:t>
            </w:r>
            <w:r w:rsidRPr="00A34CBB">
              <w:t xml:space="preserve"> heading</w:t>
            </w:r>
            <w:r w:rsidRPr="00A34CBB">
              <w:tab/>
            </w:r>
          </w:p>
        </w:tc>
        <w:tc>
          <w:tcPr>
            <w:tcW w:w="3500" w:type="pct"/>
            <w:shd w:val="clear" w:color="auto" w:fill="auto"/>
          </w:tcPr>
          <w:p w14:paraId="3154EFB0" w14:textId="77777777" w:rsidR="00E93F58" w:rsidRPr="00576D60" w:rsidRDefault="00E93F58" w:rsidP="0009217A">
            <w:pPr>
              <w:pStyle w:val="ENoteTableText"/>
              <w:keepNext/>
              <w:keepLines/>
            </w:pPr>
            <w:r>
              <w:t>am F2023L01458</w:t>
            </w:r>
          </w:p>
        </w:tc>
      </w:tr>
      <w:tr w:rsidR="00E93F58" w:rsidRPr="00576D60" w14:paraId="192D20D6" w14:textId="77777777" w:rsidTr="002F32E3">
        <w:trPr>
          <w:cantSplit/>
        </w:trPr>
        <w:tc>
          <w:tcPr>
            <w:tcW w:w="1500" w:type="pct"/>
            <w:shd w:val="clear" w:color="auto" w:fill="auto"/>
          </w:tcPr>
          <w:p w14:paraId="0AFA8BDE" w14:textId="77777777" w:rsidR="00E93F58" w:rsidRPr="00576D60" w:rsidRDefault="00E93F58" w:rsidP="0009217A">
            <w:pPr>
              <w:pStyle w:val="ENoteTableText"/>
              <w:keepNext/>
              <w:keepLines/>
              <w:tabs>
                <w:tab w:val="left" w:leader="dot" w:pos="2268"/>
              </w:tabs>
              <w:rPr>
                <w:b/>
              </w:rPr>
            </w:pPr>
            <w:r>
              <w:rPr>
                <w:b/>
              </w:rPr>
              <w:t>Subdivision 2</w:t>
            </w:r>
            <w:r w:rsidRPr="00576D60">
              <w:rPr>
                <w:b/>
              </w:rPr>
              <w:t>.1</w:t>
            </w:r>
          </w:p>
        </w:tc>
        <w:tc>
          <w:tcPr>
            <w:tcW w:w="3500" w:type="pct"/>
            <w:shd w:val="clear" w:color="auto" w:fill="auto"/>
          </w:tcPr>
          <w:p w14:paraId="48D4722E" w14:textId="77777777" w:rsidR="00E93F58" w:rsidRPr="00576D60" w:rsidRDefault="00E93F58" w:rsidP="0009217A">
            <w:pPr>
              <w:pStyle w:val="ENoteTableText"/>
              <w:keepNext/>
              <w:keepLines/>
            </w:pPr>
          </w:p>
        </w:tc>
      </w:tr>
      <w:tr w:rsidR="00E93F58" w:rsidRPr="00576D60" w14:paraId="503FE99E" w14:textId="77777777" w:rsidTr="002F32E3">
        <w:trPr>
          <w:cantSplit/>
        </w:trPr>
        <w:tc>
          <w:tcPr>
            <w:tcW w:w="1500" w:type="pct"/>
            <w:shd w:val="clear" w:color="auto" w:fill="auto"/>
          </w:tcPr>
          <w:p w14:paraId="73516836" w14:textId="77777777" w:rsidR="00E93F58" w:rsidRPr="00576D60" w:rsidRDefault="00E93F58" w:rsidP="002F32E3">
            <w:pPr>
              <w:pStyle w:val="ENoteTableText"/>
              <w:tabs>
                <w:tab w:val="left" w:leader="dot" w:pos="2268"/>
              </w:tabs>
            </w:pPr>
            <w:r w:rsidRPr="00576D60">
              <w:t>r 7.9.03</w:t>
            </w:r>
            <w:r w:rsidRPr="00576D60">
              <w:tab/>
            </w:r>
          </w:p>
        </w:tc>
        <w:tc>
          <w:tcPr>
            <w:tcW w:w="3500" w:type="pct"/>
            <w:shd w:val="clear" w:color="auto" w:fill="auto"/>
          </w:tcPr>
          <w:p w14:paraId="1517E1D8" w14:textId="77777777" w:rsidR="00E93F58" w:rsidRPr="00576D60" w:rsidRDefault="00E93F58" w:rsidP="002F32E3">
            <w:pPr>
              <w:pStyle w:val="ENoteTableText"/>
            </w:pPr>
            <w:r w:rsidRPr="00576D60">
              <w:t>ad</w:t>
            </w:r>
            <w:r>
              <w:t xml:space="preserve"> No 319, 2001</w:t>
            </w:r>
          </w:p>
        </w:tc>
      </w:tr>
      <w:tr w:rsidR="00E93F58" w:rsidRPr="00576D60" w14:paraId="40AEDE83" w14:textId="77777777" w:rsidTr="002F32E3">
        <w:trPr>
          <w:cantSplit/>
        </w:trPr>
        <w:tc>
          <w:tcPr>
            <w:tcW w:w="1500" w:type="pct"/>
            <w:shd w:val="clear" w:color="auto" w:fill="auto"/>
          </w:tcPr>
          <w:p w14:paraId="3EF23D8C" w14:textId="77777777" w:rsidR="00E93F58" w:rsidRPr="00576D60" w:rsidRDefault="00E93F58" w:rsidP="002F32E3">
            <w:pPr>
              <w:pStyle w:val="ENoteTableText"/>
              <w:tabs>
                <w:tab w:val="left" w:leader="dot" w:pos="2268"/>
              </w:tabs>
            </w:pPr>
          </w:p>
        </w:tc>
        <w:tc>
          <w:tcPr>
            <w:tcW w:w="3500" w:type="pct"/>
            <w:shd w:val="clear" w:color="auto" w:fill="auto"/>
          </w:tcPr>
          <w:p w14:paraId="6E2FF3F5" w14:textId="77777777" w:rsidR="00E93F58" w:rsidRPr="00576D60" w:rsidRDefault="00E93F58" w:rsidP="002F32E3">
            <w:pPr>
              <w:pStyle w:val="ENoteTableText"/>
            </w:pPr>
            <w:r>
              <w:t>am F2023L01458</w:t>
            </w:r>
          </w:p>
        </w:tc>
      </w:tr>
      <w:tr w:rsidR="00E93F58" w:rsidRPr="00576D60" w14:paraId="5EC814DD" w14:textId="77777777" w:rsidTr="002F32E3">
        <w:trPr>
          <w:cantSplit/>
        </w:trPr>
        <w:tc>
          <w:tcPr>
            <w:tcW w:w="1500" w:type="pct"/>
            <w:shd w:val="clear" w:color="auto" w:fill="auto"/>
          </w:tcPr>
          <w:p w14:paraId="0F9B1FA2" w14:textId="77777777" w:rsidR="00E93F58" w:rsidRPr="00576D60" w:rsidRDefault="00E93F58" w:rsidP="002F32E3">
            <w:pPr>
              <w:pStyle w:val="ENoteTableText"/>
              <w:tabs>
                <w:tab w:val="left" w:leader="dot" w:pos="2268"/>
              </w:tabs>
              <w:rPr>
                <w:b/>
              </w:rPr>
            </w:pPr>
            <w:r>
              <w:rPr>
                <w:b/>
              </w:rPr>
              <w:t>Subdivision 2</w:t>
            </w:r>
            <w:r w:rsidRPr="00576D60">
              <w:rPr>
                <w:b/>
              </w:rPr>
              <w:t>.2</w:t>
            </w:r>
          </w:p>
        </w:tc>
        <w:tc>
          <w:tcPr>
            <w:tcW w:w="3500" w:type="pct"/>
            <w:shd w:val="clear" w:color="auto" w:fill="auto"/>
          </w:tcPr>
          <w:p w14:paraId="4D194DBC" w14:textId="77777777" w:rsidR="00E93F58" w:rsidRPr="00576D60" w:rsidRDefault="00E93F58" w:rsidP="002F32E3">
            <w:pPr>
              <w:pStyle w:val="ENoteTableText"/>
            </w:pPr>
          </w:p>
        </w:tc>
      </w:tr>
      <w:tr w:rsidR="00E93F58" w:rsidRPr="00576D60" w14:paraId="19B46A17" w14:textId="77777777" w:rsidTr="002F32E3">
        <w:trPr>
          <w:cantSplit/>
        </w:trPr>
        <w:tc>
          <w:tcPr>
            <w:tcW w:w="1500" w:type="pct"/>
            <w:shd w:val="clear" w:color="auto" w:fill="auto"/>
          </w:tcPr>
          <w:p w14:paraId="3CD54DE2" w14:textId="77777777" w:rsidR="00E93F58" w:rsidRPr="00576D60" w:rsidRDefault="00E93F58" w:rsidP="002F32E3">
            <w:pPr>
              <w:pStyle w:val="ENoteTableText"/>
              <w:tabs>
                <w:tab w:val="left" w:leader="dot" w:pos="2268"/>
              </w:tabs>
            </w:pPr>
            <w:r w:rsidRPr="00576D60">
              <w:t>r 7.9.04</w:t>
            </w:r>
            <w:r w:rsidRPr="00576D60">
              <w:tab/>
            </w:r>
          </w:p>
        </w:tc>
        <w:tc>
          <w:tcPr>
            <w:tcW w:w="3500" w:type="pct"/>
            <w:shd w:val="clear" w:color="auto" w:fill="auto"/>
          </w:tcPr>
          <w:p w14:paraId="5E19AAA5" w14:textId="77777777" w:rsidR="00E93F58" w:rsidRPr="00576D60" w:rsidRDefault="00E93F58" w:rsidP="002F32E3">
            <w:pPr>
              <w:pStyle w:val="ENoteTableText"/>
            </w:pPr>
            <w:r w:rsidRPr="00576D60">
              <w:t>ad No 319, 2001</w:t>
            </w:r>
          </w:p>
        </w:tc>
      </w:tr>
      <w:tr w:rsidR="00E93F58" w:rsidRPr="00576D60" w14:paraId="4B580F75" w14:textId="77777777" w:rsidTr="002F32E3">
        <w:trPr>
          <w:cantSplit/>
        </w:trPr>
        <w:tc>
          <w:tcPr>
            <w:tcW w:w="1500" w:type="pct"/>
            <w:shd w:val="clear" w:color="auto" w:fill="auto"/>
          </w:tcPr>
          <w:p w14:paraId="3956A848" w14:textId="77777777" w:rsidR="00E93F58" w:rsidRPr="00576D60" w:rsidRDefault="00E93F58" w:rsidP="002F32E3">
            <w:pPr>
              <w:pStyle w:val="ENoteTableText"/>
            </w:pPr>
          </w:p>
        </w:tc>
        <w:tc>
          <w:tcPr>
            <w:tcW w:w="3500" w:type="pct"/>
            <w:shd w:val="clear" w:color="auto" w:fill="auto"/>
          </w:tcPr>
          <w:p w14:paraId="4C82A746" w14:textId="77777777" w:rsidR="00E93F58" w:rsidRPr="00576D60" w:rsidRDefault="00E93F58" w:rsidP="002F32E3">
            <w:pPr>
              <w:pStyle w:val="ENoteTableText"/>
            </w:pPr>
            <w:r w:rsidRPr="00576D60">
              <w:t>rs No 16, 2002</w:t>
            </w:r>
          </w:p>
        </w:tc>
      </w:tr>
      <w:tr w:rsidR="00E93F58" w:rsidRPr="00576D60" w14:paraId="700152A2" w14:textId="77777777" w:rsidTr="002F32E3">
        <w:trPr>
          <w:cantSplit/>
        </w:trPr>
        <w:tc>
          <w:tcPr>
            <w:tcW w:w="1500" w:type="pct"/>
            <w:shd w:val="clear" w:color="auto" w:fill="auto"/>
          </w:tcPr>
          <w:p w14:paraId="0C55CBFB" w14:textId="77777777" w:rsidR="00E93F58" w:rsidRPr="00576D60" w:rsidRDefault="00E93F58" w:rsidP="002F32E3">
            <w:pPr>
              <w:pStyle w:val="ENoteTableText"/>
            </w:pPr>
          </w:p>
        </w:tc>
        <w:tc>
          <w:tcPr>
            <w:tcW w:w="3500" w:type="pct"/>
            <w:shd w:val="clear" w:color="auto" w:fill="auto"/>
          </w:tcPr>
          <w:p w14:paraId="527F12CE" w14:textId="77777777" w:rsidR="00E93F58" w:rsidRPr="00576D60" w:rsidRDefault="00E93F58" w:rsidP="002F32E3">
            <w:pPr>
              <w:pStyle w:val="ENoteTableText"/>
            </w:pPr>
            <w:r w:rsidRPr="00576D60">
              <w:t>am No 145, 2002; No 202, 2003; No 282, 2003; No 145, 2004; F2017L00321; F2019L01641</w:t>
            </w:r>
          </w:p>
        </w:tc>
      </w:tr>
      <w:tr w:rsidR="00E93F58" w:rsidRPr="00576D60" w14:paraId="51634C1D" w14:textId="77777777" w:rsidTr="002F32E3">
        <w:trPr>
          <w:cantSplit/>
        </w:trPr>
        <w:tc>
          <w:tcPr>
            <w:tcW w:w="1500" w:type="pct"/>
            <w:shd w:val="clear" w:color="auto" w:fill="auto"/>
          </w:tcPr>
          <w:p w14:paraId="7DCBFCF8" w14:textId="77777777" w:rsidR="00E93F58" w:rsidRPr="00576D60" w:rsidRDefault="00E93F58" w:rsidP="002F32E3">
            <w:pPr>
              <w:pStyle w:val="ENoteTableText"/>
              <w:tabs>
                <w:tab w:val="left" w:leader="dot" w:pos="2268"/>
              </w:tabs>
              <w:rPr>
                <w:b/>
              </w:rPr>
            </w:pPr>
            <w:r>
              <w:rPr>
                <w:b/>
              </w:rPr>
              <w:t>Subdivision 2</w:t>
            </w:r>
            <w:r w:rsidRPr="00576D60">
              <w:rPr>
                <w:b/>
              </w:rPr>
              <w:t>.3</w:t>
            </w:r>
          </w:p>
        </w:tc>
        <w:tc>
          <w:tcPr>
            <w:tcW w:w="3500" w:type="pct"/>
            <w:shd w:val="clear" w:color="auto" w:fill="auto"/>
          </w:tcPr>
          <w:p w14:paraId="15B4BA7F" w14:textId="77777777" w:rsidR="00E93F58" w:rsidRPr="00576D60" w:rsidRDefault="00E93F58" w:rsidP="002F32E3">
            <w:pPr>
              <w:pStyle w:val="ENoteTableText"/>
              <w:keepNext/>
              <w:keepLines/>
            </w:pPr>
          </w:p>
        </w:tc>
      </w:tr>
      <w:tr w:rsidR="00E93F58" w:rsidRPr="00576D60" w14:paraId="1431239D" w14:textId="77777777" w:rsidTr="002F32E3">
        <w:trPr>
          <w:cantSplit/>
        </w:trPr>
        <w:tc>
          <w:tcPr>
            <w:tcW w:w="1500" w:type="pct"/>
            <w:shd w:val="clear" w:color="auto" w:fill="auto"/>
          </w:tcPr>
          <w:p w14:paraId="696BD44B" w14:textId="77777777" w:rsidR="00E93F58" w:rsidRPr="00576D60" w:rsidRDefault="00E93F58" w:rsidP="002F32E3">
            <w:pPr>
              <w:pStyle w:val="ENoteTableText"/>
              <w:tabs>
                <w:tab w:val="left" w:leader="dot" w:pos="2268"/>
              </w:tabs>
            </w:pPr>
            <w:r>
              <w:t>Subdivision 2.3 heading</w:t>
            </w:r>
            <w:r>
              <w:tab/>
            </w:r>
          </w:p>
        </w:tc>
        <w:tc>
          <w:tcPr>
            <w:tcW w:w="3500" w:type="pct"/>
            <w:shd w:val="clear" w:color="auto" w:fill="auto"/>
          </w:tcPr>
          <w:p w14:paraId="68BC2054" w14:textId="77777777" w:rsidR="00E93F58" w:rsidRPr="00576D60" w:rsidRDefault="00E93F58" w:rsidP="002F32E3">
            <w:pPr>
              <w:pStyle w:val="ENoteTableText"/>
            </w:pPr>
            <w:r>
              <w:t>am F2023L01458</w:t>
            </w:r>
          </w:p>
        </w:tc>
      </w:tr>
      <w:tr w:rsidR="00E93F58" w:rsidRPr="00576D60" w14:paraId="1E87297E" w14:textId="77777777" w:rsidTr="002F32E3">
        <w:trPr>
          <w:cantSplit/>
        </w:trPr>
        <w:tc>
          <w:tcPr>
            <w:tcW w:w="1500" w:type="pct"/>
            <w:shd w:val="clear" w:color="auto" w:fill="auto"/>
          </w:tcPr>
          <w:p w14:paraId="3C30037F" w14:textId="77777777" w:rsidR="00E93F58" w:rsidRPr="00576D60" w:rsidRDefault="00E93F58" w:rsidP="002F32E3">
            <w:pPr>
              <w:pStyle w:val="ENoteTableText"/>
              <w:tabs>
                <w:tab w:val="left" w:leader="dot" w:pos="2268"/>
              </w:tabs>
            </w:pPr>
            <w:r w:rsidRPr="00576D60">
              <w:t>r 7.9.05</w:t>
            </w:r>
            <w:r w:rsidRPr="00576D60">
              <w:tab/>
            </w:r>
          </w:p>
        </w:tc>
        <w:tc>
          <w:tcPr>
            <w:tcW w:w="3500" w:type="pct"/>
            <w:shd w:val="clear" w:color="auto" w:fill="auto"/>
          </w:tcPr>
          <w:p w14:paraId="1902E13A" w14:textId="77777777" w:rsidR="00E93F58" w:rsidRPr="00576D60" w:rsidRDefault="00E93F58" w:rsidP="002F32E3">
            <w:pPr>
              <w:pStyle w:val="ENoteTableText"/>
            </w:pPr>
            <w:r w:rsidRPr="00576D60">
              <w:t>ad</w:t>
            </w:r>
            <w:r>
              <w:t xml:space="preserve"> No 319, 2001</w:t>
            </w:r>
          </w:p>
        </w:tc>
      </w:tr>
      <w:tr w:rsidR="00E93F58" w:rsidRPr="00576D60" w14:paraId="150378D5" w14:textId="77777777" w:rsidTr="002F32E3">
        <w:trPr>
          <w:cantSplit/>
        </w:trPr>
        <w:tc>
          <w:tcPr>
            <w:tcW w:w="1500" w:type="pct"/>
            <w:shd w:val="clear" w:color="auto" w:fill="auto"/>
          </w:tcPr>
          <w:p w14:paraId="424F7BD3" w14:textId="77777777" w:rsidR="00E93F58" w:rsidRPr="00576D60" w:rsidRDefault="00E93F58" w:rsidP="002F32E3">
            <w:pPr>
              <w:pStyle w:val="ENoteTableText"/>
              <w:tabs>
                <w:tab w:val="left" w:leader="dot" w:pos="2268"/>
              </w:tabs>
            </w:pPr>
          </w:p>
        </w:tc>
        <w:tc>
          <w:tcPr>
            <w:tcW w:w="3500" w:type="pct"/>
            <w:shd w:val="clear" w:color="auto" w:fill="auto"/>
          </w:tcPr>
          <w:p w14:paraId="7E4E1834" w14:textId="77777777" w:rsidR="00E93F58" w:rsidRPr="00576D60" w:rsidRDefault="00E93F58" w:rsidP="002F32E3">
            <w:pPr>
              <w:pStyle w:val="ENoteTableText"/>
            </w:pPr>
            <w:r>
              <w:t>am F2023L01458</w:t>
            </w:r>
          </w:p>
        </w:tc>
      </w:tr>
      <w:tr w:rsidR="00E93F58" w:rsidRPr="00576D60" w14:paraId="43277312" w14:textId="77777777" w:rsidTr="002F32E3">
        <w:trPr>
          <w:cantSplit/>
        </w:trPr>
        <w:tc>
          <w:tcPr>
            <w:tcW w:w="1500" w:type="pct"/>
            <w:shd w:val="clear" w:color="auto" w:fill="auto"/>
          </w:tcPr>
          <w:p w14:paraId="413F3342" w14:textId="77777777" w:rsidR="00E93F58" w:rsidRPr="00576D60" w:rsidRDefault="00E93F58" w:rsidP="002F32E3">
            <w:pPr>
              <w:pStyle w:val="ENoteTableText"/>
              <w:tabs>
                <w:tab w:val="left" w:leader="dot" w:pos="2268"/>
              </w:tabs>
              <w:rPr>
                <w:b/>
              </w:rPr>
            </w:pPr>
            <w:r>
              <w:rPr>
                <w:b/>
              </w:rPr>
              <w:t>Subdivision 2</w:t>
            </w:r>
            <w:r w:rsidRPr="00576D60">
              <w:rPr>
                <w:b/>
              </w:rPr>
              <w:t>.4</w:t>
            </w:r>
          </w:p>
        </w:tc>
        <w:tc>
          <w:tcPr>
            <w:tcW w:w="3500" w:type="pct"/>
            <w:shd w:val="clear" w:color="auto" w:fill="auto"/>
          </w:tcPr>
          <w:p w14:paraId="309E4770" w14:textId="77777777" w:rsidR="00E93F58" w:rsidRPr="00576D60" w:rsidRDefault="00E93F58" w:rsidP="002F32E3">
            <w:pPr>
              <w:pStyle w:val="ENoteTableText"/>
            </w:pPr>
          </w:p>
        </w:tc>
      </w:tr>
      <w:tr w:rsidR="00E93F58" w:rsidRPr="00576D60" w14:paraId="01D8063F" w14:textId="77777777" w:rsidTr="002F32E3">
        <w:trPr>
          <w:cantSplit/>
        </w:trPr>
        <w:tc>
          <w:tcPr>
            <w:tcW w:w="1500" w:type="pct"/>
            <w:shd w:val="clear" w:color="auto" w:fill="auto"/>
          </w:tcPr>
          <w:p w14:paraId="5B765C25" w14:textId="77777777" w:rsidR="00E93F58" w:rsidRPr="00576D60" w:rsidRDefault="00E93F58" w:rsidP="002F32E3">
            <w:pPr>
              <w:pStyle w:val="ENoteTableText"/>
              <w:tabs>
                <w:tab w:val="left" w:leader="dot" w:pos="2268"/>
              </w:tabs>
            </w:pPr>
            <w:r>
              <w:t>Subdivision 2</w:t>
            </w:r>
            <w:r w:rsidRPr="00576D60">
              <w:t>.4 heading</w:t>
            </w:r>
            <w:r w:rsidRPr="00576D60">
              <w:tab/>
            </w:r>
          </w:p>
        </w:tc>
        <w:tc>
          <w:tcPr>
            <w:tcW w:w="3500" w:type="pct"/>
            <w:shd w:val="clear" w:color="auto" w:fill="auto"/>
          </w:tcPr>
          <w:p w14:paraId="66B9D2C7" w14:textId="77777777" w:rsidR="00E93F58" w:rsidRPr="00576D60" w:rsidRDefault="00E93F58" w:rsidP="002F32E3">
            <w:pPr>
              <w:pStyle w:val="ENoteTableText"/>
            </w:pPr>
            <w:r w:rsidRPr="00576D60">
              <w:t>rs. 2002 No. 16</w:t>
            </w:r>
          </w:p>
        </w:tc>
      </w:tr>
      <w:tr w:rsidR="00E93F58" w:rsidRPr="00576D60" w14:paraId="52CD0CDC" w14:textId="77777777" w:rsidTr="002F32E3">
        <w:trPr>
          <w:cantSplit/>
        </w:trPr>
        <w:tc>
          <w:tcPr>
            <w:tcW w:w="1500" w:type="pct"/>
            <w:shd w:val="clear" w:color="auto" w:fill="auto"/>
          </w:tcPr>
          <w:p w14:paraId="57744C38" w14:textId="77777777" w:rsidR="00E93F58" w:rsidRPr="00576D60" w:rsidRDefault="00E93F58" w:rsidP="002F32E3">
            <w:pPr>
              <w:pStyle w:val="ENoteTableText"/>
              <w:tabs>
                <w:tab w:val="left" w:leader="dot" w:pos="2268"/>
              </w:tabs>
            </w:pPr>
            <w:r w:rsidRPr="00576D60">
              <w:t>r. 7.9.06</w:t>
            </w:r>
            <w:r w:rsidRPr="00576D60">
              <w:tab/>
            </w:r>
          </w:p>
        </w:tc>
        <w:tc>
          <w:tcPr>
            <w:tcW w:w="3500" w:type="pct"/>
            <w:shd w:val="clear" w:color="auto" w:fill="auto"/>
          </w:tcPr>
          <w:p w14:paraId="239CD611" w14:textId="77777777" w:rsidR="00E93F58" w:rsidRPr="00576D60" w:rsidRDefault="00E93F58" w:rsidP="002F32E3">
            <w:pPr>
              <w:pStyle w:val="ENoteTableText"/>
            </w:pPr>
            <w:r w:rsidRPr="00576D60">
              <w:t>ad. 2001 No. 319</w:t>
            </w:r>
          </w:p>
        </w:tc>
      </w:tr>
      <w:tr w:rsidR="00E93F58" w:rsidRPr="00576D60" w14:paraId="1C814107" w14:textId="77777777" w:rsidTr="002F32E3">
        <w:trPr>
          <w:cantSplit/>
        </w:trPr>
        <w:tc>
          <w:tcPr>
            <w:tcW w:w="1500" w:type="pct"/>
            <w:shd w:val="clear" w:color="auto" w:fill="auto"/>
          </w:tcPr>
          <w:p w14:paraId="1F734717" w14:textId="77777777" w:rsidR="00E93F58" w:rsidRPr="00576D60" w:rsidRDefault="00E93F58" w:rsidP="002F32E3">
            <w:pPr>
              <w:pStyle w:val="ENoteTableText"/>
            </w:pPr>
          </w:p>
        </w:tc>
        <w:tc>
          <w:tcPr>
            <w:tcW w:w="3500" w:type="pct"/>
            <w:shd w:val="clear" w:color="auto" w:fill="auto"/>
          </w:tcPr>
          <w:p w14:paraId="247AF7CD" w14:textId="77777777" w:rsidR="00E93F58" w:rsidRPr="00576D60" w:rsidRDefault="00E93F58" w:rsidP="002F32E3">
            <w:pPr>
              <w:pStyle w:val="ENoteTableText"/>
            </w:pPr>
            <w:r w:rsidRPr="00576D60">
              <w:t>rep. 2002 No. 41</w:t>
            </w:r>
          </w:p>
        </w:tc>
      </w:tr>
      <w:tr w:rsidR="00E93F58" w:rsidRPr="00576D60" w14:paraId="4526DCE9" w14:textId="77777777" w:rsidTr="002F32E3">
        <w:trPr>
          <w:cantSplit/>
        </w:trPr>
        <w:tc>
          <w:tcPr>
            <w:tcW w:w="1500" w:type="pct"/>
            <w:shd w:val="clear" w:color="auto" w:fill="auto"/>
          </w:tcPr>
          <w:p w14:paraId="25A85CF2" w14:textId="77777777" w:rsidR="00E93F58" w:rsidRPr="00576D60" w:rsidRDefault="00E93F58" w:rsidP="002F32E3">
            <w:pPr>
              <w:pStyle w:val="ENoteTableText"/>
              <w:tabs>
                <w:tab w:val="left" w:leader="dot" w:pos="2268"/>
              </w:tabs>
            </w:pPr>
            <w:r w:rsidRPr="00576D60">
              <w:t>r 7.9.06A</w:t>
            </w:r>
            <w:r w:rsidRPr="00576D60">
              <w:tab/>
            </w:r>
          </w:p>
        </w:tc>
        <w:tc>
          <w:tcPr>
            <w:tcW w:w="3500" w:type="pct"/>
            <w:shd w:val="clear" w:color="auto" w:fill="auto"/>
          </w:tcPr>
          <w:p w14:paraId="47027A9E" w14:textId="77777777" w:rsidR="00E93F58" w:rsidRPr="00576D60" w:rsidRDefault="00E93F58" w:rsidP="002F32E3">
            <w:pPr>
              <w:pStyle w:val="ENoteTableText"/>
            </w:pPr>
            <w:r w:rsidRPr="00576D60">
              <w:t>ad No 16, 2002</w:t>
            </w:r>
          </w:p>
        </w:tc>
      </w:tr>
      <w:tr w:rsidR="00E93F58" w:rsidRPr="00576D60" w14:paraId="14897BE1" w14:textId="77777777" w:rsidTr="002F32E3">
        <w:trPr>
          <w:cantSplit/>
        </w:trPr>
        <w:tc>
          <w:tcPr>
            <w:tcW w:w="1500" w:type="pct"/>
            <w:shd w:val="clear" w:color="auto" w:fill="auto"/>
          </w:tcPr>
          <w:p w14:paraId="7EF5A47E" w14:textId="77777777" w:rsidR="00E93F58" w:rsidRPr="00576D60" w:rsidRDefault="00E93F58" w:rsidP="002F32E3">
            <w:pPr>
              <w:pStyle w:val="ENoteTableText"/>
              <w:tabs>
                <w:tab w:val="left" w:leader="dot" w:pos="2268"/>
              </w:tabs>
            </w:pPr>
          </w:p>
        </w:tc>
        <w:tc>
          <w:tcPr>
            <w:tcW w:w="3500" w:type="pct"/>
            <w:shd w:val="clear" w:color="auto" w:fill="auto"/>
          </w:tcPr>
          <w:p w14:paraId="30B46B6A" w14:textId="77777777" w:rsidR="00E93F58" w:rsidRPr="00576D60" w:rsidRDefault="00E93F58" w:rsidP="002F32E3">
            <w:pPr>
              <w:pStyle w:val="ENoteTableText"/>
            </w:pPr>
            <w:r w:rsidRPr="00576D60">
              <w:t>am F2022L01689</w:t>
            </w:r>
          </w:p>
        </w:tc>
      </w:tr>
      <w:tr w:rsidR="00E93F58" w:rsidRPr="00576D60" w14:paraId="0B623741" w14:textId="77777777" w:rsidTr="002F32E3">
        <w:trPr>
          <w:cantSplit/>
        </w:trPr>
        <w:tc>
          <w:tcPr>
            <w:tcW w:w="1500" w:type="pct"/>
            <w:shd w:val="clear" w:color="auto" w:fill="auto"/>
          </w:tcPr>
          <w:p w14:paraId="79622D51" w14:textId="77777777" w:rsidR="00E93F58" w:rsidRPr="00576D60" w:rsidRDefault="00E93F58" w:rsidP="002F32E3">
            <w:pPr>
              <w:pStyle w:val="ENoteTableText"/>
              <w:tabs>
                <w:tab w:val="left" w:leader="dot" w:pos="2268"/>
              </w:tabs>
            </w:pPr>
            <w:r w:rsidRPr="00576D60">
              <w:t>r 7.9.06B</w:t>
            </w:r>
            <w:r w:rsidRPr="00576D60">
              <w:tab/>
            </w:r>
          </w:p>
        </w:tc>
        <w:tc>
          <w:tcPr>
            <w:tcW w:w="3500" w:type="pct"/>
            <w:shd w:val="clear" w:color="auto" w:fill="auto"/>
          </w:tcPr>
          <w:p w14:paraId="467180AD" w14:textId="77777777" w:rsidR="00E93F58" w:rsidRPr="00576D60" w:rsidRDefault="00E93F58" w:rsidP="002F32E3">
            <w:pPr>
              <w:pStyle w:val="ENoteTableText"/>
            </w:pPr>
            <w:r w:rsidRPr="00576D60">
              <w:t>ad</w:t>
            </w:r>
            <w:r>
              <w:t xml:space="preserve"> No 16, 2002</w:t>
            </w:r>
          </w:p>
        </w:tc>
      </w:tr>
      <w:tr w:rsidR="00E93F58" w:rsidRPr="00576D60" w14:paraId="31F99345" w14:textId="77777777" w:rsidTr="002F32E3">
        <w:trPr>
          <w:cantSplit/>
        </w:trPr>
        <w:tc>
          <w:tcPr>
            <w:tcW w:w="1500" w:type="pct"/>
            <w:shd w:val="clear" w:color="auto" w:fill="auto"/>
          </w:tcPr>
          <w:p w14:paraId="51EE7A40" w14:textId="77777777" w:rsidR="00E93F58" w:rsidRPr="00576D60" w:rsidRDefault="00E93F58" w:rsidP="002F32E3">
            <w:pPr>
              <w:pStyle w:val="ENoteTableText"/>
              <w:tabs>
                <w:tab w:val="left" w:leader="dot" w:pos="2268"/>
              </w:tabs>
            </w:pPr>
          </w:p>
        </w:tc>
        <w:tc>
          <w:tcPr>
            <w:tcW w:w="3500" w:type="pct"/>
            <w:shd w:val="clear" w:color="auto" w:fill="auto"/>
          </w:tcPr>
          <w:p w14:paraId="44D4C796" w14:textId="77777777" w:rsidR="00E93F58" w:rsidRPr="00576D60" w:rsidRDefault="00E93F58" w:rsidP="002F32E3">
            <w:pPr>
              <w:pStyle w:val="ENoteTableText"/>
            </w:pPr>
            <w:r>
              <w:t>am F2023L01458</w:t>
            </w:r>
          </w:p>
        </w:tc>
      </w:tr>
      <w:tr w:rsidR="00E93F58" w:rsidRPr="00576D60" w14:paraId="10984F9E" w14:textId="77777777" w:rsidTr="002F32E3">
        <w:trPr>
          <w:cantSplit/>
        </w:trPr>
        <w:tc>
          <w:tcPr>
            <w:tcW w:w="1500" w:type="pct"/>
            <w:shd w:val="clear" w:color="auto" w:fill="auto"/>
          </w:tcPr>
          <w:p w14:paraId="4E93865F" w14:textId="77777777" w:rsidR="00E93F58" w:rsidRPr="00576D60" w:rsidRDefault="00E93F58" w:rsidP="002F32E3">
            <w:pPr>
              <w:pStyle w:val="ENoteTableText"/>
              <w:tabs>
                <w:tab w:val="left" w:leader="dot" w:pos="2268"/>
              </w:tabs>
              <w:rPr>
                <w:b/>
              </w:rPr>
            </w:pPr>
            <w:r>
              <w:rPr>
                <w:b/>
              </w:rPr>
              <w:t>Subdivision 2</w:t>
            </w:r>
            <w:r w:rsidRPr="00576D60">
              <w:rPr>
                <w:b/>
              </w:rPr>
              <w:t>.5</w:t>
            </w:r>
          </w:p>
        </w:tc>
        <w:tc>
          <w:tcPr>
            <w:tcW w:w="3500" w:type="pct"/>
            <w:shd w:val="clear" w:color="auto" w:fill="auto"/>
          </w:tcPr>
          <w:p w14:paraId="0C96CF38" w14:textId="77777777" w:rsidR="00E93F58" w:rsidRPr="00576D60" w:rsidRDefault="00E93F58" w:rsidP="002F32E3">
            <w:pPr>
              <w:pStyle w:val="ENoteTableText"/>
              <w:keepNext/>
            </w:pPr>
          </w:p>
        </w:tc>
      </w:tr>
      <w:tr w:rsidR="00E93F58" w:rsidRPr="00576D60" w14:paraId="79C4CEAD" w14:textId="77777777" w:rsidTr="002F32E3">
        <w:trPr>
          <w:cantSplit/>
        </w:trPr>
        <w:tc>
          <w:tcPr>
            <w:tcW w:w="1500" w:type="pct"/>
            <w:shd w:val="clear" w:color="auto" w:fill="auto"/>
          </w:tcPr>
          <w:p w14:paraId="3E3323AF" w14:textId="77777777" w:rsidR="00E93F58" w:rsidRPr="00576D60" w:rsidRDefault="00E93F58" w:rsidP="002F32E3">
            <w:pPr>
              <w:pStyle w:val="ENoteTableText"/>
              <w:tabs>
                <w:tab w:val="left" w:leader="dot" w:pos="2268"/>
              </w:tabs>
            </w:pPr>
            <w:r w:rsidRPr="00576D60">
              <w:t>r. 7.9.07</w:t>
            </w:r>
            <w:r w:rsidRPr="00576D60">
              <w:tab/>
            </w:r>
          </w:p>
        </w:tc>
        <w:tc>
          <w:tcPr>
            <w:tcW w:w="3500" w:type="pct"/>
            <w:shd w:val="clear" w:color="auto" w:fill="auto"/>
          </w:tcPr>
          <w:p w14:paraId="4AECCEC2" w14:textId="77777777" w:rsidR="00E93F58" w:rsidRPr="00576D60" w:rsidRDefault="00E93F58" w:rsidP="002F32E3">
            <w:pPr>
              <w:pStyle w:val="ENoteTableText"/>
              <w:keepNext/>
            </w:pPr>
            <w:r w:rsidRPr="00576D60">
              <w:t>ad. 2001 No. 319</w:t>
            </w:r>
          </w:p>
        </w:tc>
      </w:tr>
      <w:tr w:rsidR="00E93F58" w:rsidRPr="00576D60" w14:paraId="03C9E083" w14:textId="77777777" w:rsidTr="002F32E3">
        <w:trPr>
          <w:cantSplit/>
        </w:trPr>
        <w:tc>
          <w:tcPr>
            <w:tcW w:w="1500" w:type="pct"/>
            <w:shd w:val="clear" w:color="auto" w:fill="auto"/>
          </w:tcPr>
          <w:p w14:paraId="0E39B9C3" w14:textId="77777777" w:rsidR="00E93F58" w:rsidRPr="00576D60" w:rsidRDefault="00E93F58" w:rsidP="002F32E3">
            <w:pPr>
              <w:pStyle w:val="ENoteTableText"/>
            </w:pPr>
          </w:p>
        </w:tc>
        <w:tc>
          <w:tcPr>
            <w:tcW w:w="3500" w:type="pct"/>
            <w:shd w:val="clear" w:color="auto" w:fill="auto"/>
          </w:tcPr>
          <w:p w14:paraId="57982B81" w14:textId="77777777" w:rsidR="00E93F58" w:rsidRPr="00576D60" w:rsidRDefault="00E93F58" w:rsidP="002F32E3">
            <w:pPr>
              <w:pStyle w:val="ENoteTableText"/>
            </w:pPr>
            <w:r w:rsidRPr="00576D60">
              <w:t>am. 2002 No. 41</w:t>
            </w:r>
          </w:p>
        </w:tc>
      </w:tr>
      <w:tr w:rsidR="00E93F58" w:rsidRPr="00576D60" w14:paraId="49018303" w14:textId="77777777" w:rsidTr="002F32E3">
        <w:trPr>
          <w:cantSplit/>
        </w:trPr>
        <w:tc>
          <w:tcPr>
            <w:tcW w:w="1500" w:type="pct"/>
            <w:shd w:val="clear" w:color="auto" w:fill="auto"/>
          </w:tcPr>
          <w:p w14:paraId="72B6C399" w14:textId="77777777" w:rsidR="00E93F58" w:rsidRPr="00576D60" w:rsidRDefault="00E93F58" w:rsidP="002F32E3">
            <w:pPr>
              <w:pStyle w:val="ENoteTableText"/>
              <w:tabs>
                <w:tab w:val="left" w:leader="dot" w:pos="2268"/>
              </w:tabs>
            </w:pPr>
            <w:r>
              <w:t>Subdivision 2</w:t>
            </w:r>
            <w:r w:rsidRPr="00576D60">
              <w:t>.6</w:t>
            </w:r>
            <w:r w:rsidRPr="00576D60">
              <w:tab/>
            </w:r>
          </w:p>
        </w:tc>
        <w:tc>
          <w:tcPr>
            <w:tcW w:w="3500" w:type="pct"/>
            <w:shd w:val="clear" w:color="auto" w:fill="auto"/>
          </w:tcPr>
          <w:p w14:paraId="687AC5C2" w14:textId="77777777" w:rsidR="00E93F58" w:rsidRPr="00576D60" w:rsidRDefault="00E93F58" w:rsidP="002F32E3">
            <w:pPr>
              <w:pStyle w:val="ENoteTableText"/>
            </w:pPr>
            <w:r w:rsidRPr="00576D60">
              <w:t>rep. 2004 No. 145</w:t>
            </w:r>
          </w:p>
        </w:tc>
      </w:tr>
      <w:tr w:rsidR="00E93F58" w:rsidRPr="00576D60" w14:paraId="7D86C597" w14:textId="77777777" w:rsidTr="002F32E3">
        <w:trPr>
          <w:cantSplit/>
        </w:trPr>
        <w:tc>
          <w:tcPr>
            <w:tcW w:w="1500" w:type="pct"/>
            <w:shd w:val="clear" w:color="auto" w:fill="auto"/>
          </w:tcPr>
          <w:p w14:paraId="5A0BD445" w14:textId="77777777" w:rsidR="00E93F58" w:rsidRPr="00576D60" w:rsidRDefault="00E93F58" w:rsidP="002F32E3">
            <w:pPr>
              <w:pStyle w:val="ENoteTableText"/>
              <w:tabs>
                <w:tab w:val="left" w:leader="dot" w:pos="2268"/>
              </w:tabs>
            </w:pPr>
            <w:r w:rsidRPr="00576D60">
              <w:t>r. 7.9.07AA</w:t>
            </w:r>
            <w:r w:rsidRPr="00576D60">
              <w:tab/>
            </w:r>
          </w:p>
        </w:tc>
        <w:tc>
          <w:tcPr>
            <w:tcW w:w="3500" w:type="pct"/>
            <w:shd w:val="clear" w:color="auto" w:fill="auto"/>
          </w:tcPr>
          <w:p w14:paraId="12DB2E2A" w14:textId="77777777" w:rsidR="00E93F58" w:rsidRPr="00576D60" w:rsidRDefault="00E93F58" w:rsidP="002F32E3">
            <w:pPr>
              <w:pStyle w:val="ENoteTableText"/>
            </w:pPr>
            <w:r w:rsidRPr="00576D60">
              <w:t>ad. 2002 No. 145</w:t>
            </w:r>
          </w:p>
        </w:tc>
      </w:tr>
      <w:tr w:rsidR="00E93F58" w:rsidRPr="00576D60" w14:paraId="340B00C4" w14:textId="77777777" w:rsidTr="002F32E3">
        <w:trPr>
          <w:cantSplit/>
        </w:trPr>
        <w:tc>
          <w:tcPr>
            <w:tcW w:w="1500" w:type="pct"/>
            <w:shd w:val="clear" w:color="auto" w:fill="auto"/>
          </w:tcPr>
          <w:p w14:paraId="365724DF" w14:textId="77777777" w:rsidR="00E93F58" w:rsidRPr="00576D60" w:rsidRDefault="00E93F58" w:rsidP="002F32E3">
            <w:pPr>
              <w:pStyle w:val="ENoteTableText"/>
            </w:pPr>
          </w:p>
        </w:tc>
        <w:tc>
          <w:tcPr>
            <w:tcW w:w="3500" w:type="pct"/>
            <w:shd w:val="clear" w:color="auto" w:fill="auto"/>
          </w:tcPr>
          <w:p w14:paraId="482E51F5" w14:textId="77777777" w:rsidR="00E93F58" w:rsidRPr="00576D60" w:rsidRDefault="00E93F58" w:rsidP="002F32E3">
            <w:pPr>
              <w:pStyle w:val="ENoteTableText"/>
            </w:pPr>
            <w:r w:rsidRPr="00576D60">
              <w:t>rep. 2004 No. 145</w:t>
            </w:r>
          </w:p>
        </w:tc>
      </w:tr>
      <w:tr w:rsidR="00E93F58" w:rsidRPr="00576D60" w14:paraId="4A5D28BA" w14:textId="77777777" w:rsidTr="002F32E3">
        <w:trPr>
          <w:cantSplit/>
        </w:trPr>
        <w:tc>
          <w:tcPr>
            <w:tcW w:w="1500" w:type="pct"/>
            <w:shd w:val="clear" w:color="auto" w:fill="auto"/>
          </w:tcPr>
          <w:p w14:paraId="25293419" w14:textId="77777777" w:rsidR="00E93F58" w:rsidRPr="00576D60" w:rsidRDefault="00E93F58" w:rsidP="002F32E3">
            <w:pPr>
              <w:pStyle w:val="ENoteTableText"/>
              <w:keepNext/>
              <w:tabs>
                <w:tab w:val="left" w:leader="dot" w:pos="2268"/>
              </w:tabs>
              <w:rPr>
                <w:b/>
              </w:rPr>
            </w:pPr>
            <w:r>
              <w:rPr>
                <w:b/>
              </w:rPr>
              <w:t>Division 2</w:t>
            </w:r>
            <w:r w:rsidRPr="00576D60">
              <w:rPr>
                <w:b/>
              </w:rPr>
              <w:t>A</w:t>
            </w:r>
          </w:p>
        </w:tc>
        <w:tc>
          <w:tcPr>
            <w:tcW w:w="3500" w:type="pct"/>
            <w:shd w:val="clear" w:color="auto" w:fill="auto"/>
          </w:tcPr>
          <w:p w14:paraId="38C07534" w14:textId="77777777" w:rsidR="00E93F58" w:rsidRPr="00576D60" w:rsidRDefault="00E93F58" w:rsidP="002F32E3">
            <w:pPr>
              <w:pStyle w:val="ENoteTableText"/>
              <w:keepNext/>
              <w:keepLines/>
            </w:pPr>
          </w:p>
        </w:tc>
      </w:tr>
      <w:tr w:rsidR="00E93F58" w:rsidRPr="00576D60" w14:paraId="7086986F" w14:textId="77777777" w:rsidTr="002F32E3">
        <w:trPr>
          <w:cantSplit/>
        </w:trPr>
        <w:tc>
          <w:tcPr>
            <w:tcW w:w="1500" w:type="pct"/>
            <w:shd w:val="clear" w:color="auto" w:fill="auto"/>
          </w:tcPr>
          <w:p w14:paraId="72F0436E" w14:textId="77777777" w:rsidR="00E93F58" w:rsidRPr="00576D60" w:rsidRDefault="00E93F58" w:rsidP="002F32E3">
            <w:pPr>
              <w:pStyle w:val="ENoteTableText"/>
              <w:tabs>
                <w:tab w:val="left" w:leader="dot" w:pos="2268"/>
              </w:tabs>
            </w:pPr>
            <w:r>
              <w:t>Division 2</w:t>
            </w:r>
            <w:r w:rsidRPr="00576D60">
              <w:t>A</w:t>
            </w:r>
            <w:r w:rsidRPr="00576D60">
              <w:tab/>
            </w:r>
          </w:p>
        </w:tc>
        <w:tc>
          <w:tcPr>
            <w:tcW w:w="3500" w:type="pct"/>
            <w:shd w:val="clear" w:color="auto" w:fill="auto"/>
          </w:tcPr>
          <w:p w14:paraId="0657C754" w14:textId="77777777" w:rsidR="00E93F58" w:rsidRPr="00576D60" w:rsidRDefault="00E93F58" w:rsidP="002F32E3">
            <w:pPr>
              <w:pStyle w:val="ENoteTableText"/>
            </w:pPr>
            <w:r w:rsidRPr="00576D60">
              <w:t>ad. 2002 No. 16</w:t>
            </w:r>
          </w:p>
        </w:tc>
      </w:tr>
      <w:tr w:rsidR="00E93F58" w:rsidRPr="00576D60" w14:paraId="7A44FDF6" w14:textId="77777777" w:rsidTr="002F32E3">
        <w:trPr>
          <w:cantSplit/>
        </w:trPr>
        <w:tc>
          <w:tcPr>
            <w:tcW w:w="1500" w:type="pct"/>
            <w:shd w:val="clear" w:color="auto" w:fill="auto"/>
          </w:tcPr>
          <w:p w14:paraId="7692DFFE" w14:textId="77777777" w:rsidR="00E93F58" w:rsidRPr="00576D60" w:rsidRDefault="00E93F58" w:rsidP="002F32E3">
            <w:pPr>
              <w:pStyle w:val="ENoteTableText"/>
              <w:tabs>
                <w:tab w:val="left" w:leader="dot" w:pos="2268"/>
              </w:tabs>
            </w:pPr>
            <w:r w:rsidRPr="00576D60">
              <w:t>r. 7.9.07A</w:t>
            </w:r>
            <w:r w:rsidRPr="00576D60">
              <w:tab/>
            </w:r>
          </w:p>
        </w:tc>
        <w:tc>
          <w:tcPr>
            <w:tcW w:w="3500" w:type="pct"/>
            <w:shd w:val="clear" w:color="auto" w:fill="auto"/>
          </w:tcPr>
          <w:p w14:paraId="7BA81545" w14:textId="77777777" w:rsidR="00E93F58" w:rsidRPr="00576D60" w:rsidRDefault="00E93F58" w:rsidP="002F32E3">
            <w:pPr>
              <w:pStyle w:val="ENoteTableText"/>
            </w:pPr>
            <w:r w:rsidRPr="00576D60">
              <w:t>ad. 2002 No. 16</w:t>
            </w:r>
          </w:p>
        </w:tc>
      </w:tr>
      <w:tr w:rsidR="00E93F58" w:rsidRPr="00576D60" w14:paraId="614C161E" w14:textId="77777777" w:rsidTr="002F32E3">
        <w:trPr>
          <w:cantSplit/>
        </w:trPr>
        <w:tc>
          <w:tcPr>
            <w:tcW w:w="1500" w:type="pct"/>
            <w:shd w:val="clear" w:color="auto" w:fill="auto"/>
          </w:tcPr>
          <w:p w14:paraId="43CFB6FC" w14:textId="77777777" w:rsidR="00E93F58" w:rsidRPr="00576D60" w:rsidRDefault="00E93F58" w:rsidP="002F32E3">
            <w:pPr>
              <w:pStyle w:val="ENoteTableText"/>
              <w:tabs>
                <w:tab w:val="left" w:leader="dot" w:pos="2268"/>
              </w:tabs>
              <w:rPr>
                <w:b/>
              </w:rPr>
            </w:pPr>
            <w:r>
              <w:rPr>
                <w:b/>
              </w:rPr>
              <w:t>Division 2</w:t>
            </w:r>
            <w:r w:rsidRPr="00576D60">
              <w:rPr>
                <w:b/>
              </w:rPr>
              <w:t>B</w:t>
            </w:r>
          </w:p>
        </w:tc>
        <w:tc>
          <w:tcPr>
            <w:tcW w:w="3500" w:type="pct"/>
            <w:shd w:val="clear" w:color="auto" w:fill="auto"/>
          </w:tcPr>
          <w:p w14:paraId="12ABBBB0" w14:textId="77777777" w:rsidR="00E93F58" w:rsidRPr="00576D60" w:rsidRDefault="00E93F58" w:rsidP="002F32E3">
            <w:pPr>
              <w:pStyle w:val="ENoteTableText"/>
            </w:pPr>
          </w:p>
        </w:tc>
      </w:tr>
      <w:tr w:rsidR="00E93F58" w:rsidRPr="00576D60" w14:paraId="77507CFF" w14:textId="77777777" w:rsidTr="002F32E3">
        <w:trPr>
          <w:cantSplit/>
        </w:trPr>
        <w:tc>
          <w:tcPr>
            <w:tcW w:w="1500" w:type="pct"/>
            <w:shd w:val="clear" w:color="auto" w:fill="auto"/>
          </w:tcPr>
          <w:p w14:paraId="3EF96C2B" w14:textId="77777777" w:rsidR="00E93F58" w:rsidRPr="00576D60" w:rsidRDefault="00E93F58" w:rsidP="002F32E3">
            <w:pPr>
              <w:pStyle w:val="ENoteTableText"/>
              <w:tabs>
                <w:tab w:val="left" w:leader="dot" w:pos="2268"/>
              </w:tabs>
            </w:pPr>
            <w:r>
              <w:t>Division 2</w:t>
            </w:r>
            <w:r w:rsidRPr="00576D60">
              <w:t>B</w:t>
            </w:r>
            <w:r w:rsidRPr="00576D60">
              <w:tab/>
            </w:r>
          </w:p>
        </w:tc>
        <w:tc>
          <w:tcPr>
            <w:tcW w:w="3500" w:type="pct"/>
            <w:shd w:val="clear" w:color="auto" w:fill="auto"/>
          </w:tcPr>
          <w:p w14:paraId="01B77D59" w14:textId="77777777" w:rsidR="00E93F58" w:rsidRPr="00576D60" w:rsidRDefault="00E93F58" w:rsidP="002F32E3">
            <w:pPr>
              <w:pStyle w:val="ENoteTableText"/>
            </w:pPr>
            <w:r w:rsidRPr="00576D60">
              <w:t>ad. 2002 No. 16</w:t>
            </w:r>
          </w:p>
        </w:tc>
      </w:tr>
      <w:tr w:rsidR="00E93F58" w:rsidRPr="00576D60" w14:paraId="1D0E2564" w14:textId="77777777" w:rsidTr="002F32E3">
        <w:trPr>
          <w:cantSplit/>
        </w:trPr>
        <w:tc>
          <w:tcPr>
            <w:tcW w:w="1500" w:type="pct"/>
            <w:shd w:val="clear" w:color="auto" w:fill="auto"/>
          </w:tcPr>
          <w:p w14:paraId="65D82F48" w14:textId="77777777" w:rsidR="00E93F58" w:rsidRPr="00576D60" w:rsidRDefault="00E93F58" w:rsidP="002F32E3">
            <w:pPr>
              <w:pStyle w:val="ENoteTableText"/>
              <w:tabs>
                <w:tab w:val="left" w:leader="dot" w:pos="2268"/>
              </w:tabs>
            </w:pPr>
            <w:r w:rsidRPr="00576D60">
              <w:t>r. 7.9.07B</w:t>
            </w:r>
            <w:r w:rsidRPr="00576D60">
              <w:tab/>
            </w:r>
          </w:p>
        </w:tc>
        <w:tc>
          <w:tcPr>
            <w:tcW w:w="3500" w:type="pct"/>
            <w:shd w:val="clear" w:color="auto" w:fill="auto"/>
          </w:tcPr>
          <w:p w14:paraId="319ADC9C" w14:textId="77777777" w:rsidR="00E93F58" w:rsidRPr="00576D60" w:rsidRDefault="00E93F58" w:rsidP="002F32E3">
            <w:pPr>
              <w:pStyle w:val="ENoteTableText"/>
            </w:pPr>
            <w:r w:rsidRPr="00576D60">
              <w:t>ad. 2002 No. 16</w:t>
            </w:r>
          </w:p>
        </w:tc>
      </w:tr>
      <w:tr w:rsidR="00E93F58" w:rsidRPr="00576D60" w14:paraId="260AA11F" w14:textId="77777777" w:rsidTr="002F32E3">
        <w:trPr>
          <w:cantSplit/>
        </w:trPr>
        <w:tc>
          <w:tcPr>
            <w:tcW w:w="1500" w:type="pct"/>
            <w:shd w:val="clear" w:color="auto" w:fill="auto"/>
          </w:tcPr>
          <w:p w14:paraId="42BD2334" w14:textId="77777777" w:rsidR="00E93F58" w:rsidRPr="00576D60" w:rsidRDefault="00E93F58" w:rsidP="002F32E3">
            <w:pPr>
              <w:pStyle w:val="ENoteTableText"/>
              <w:tabs>
                <w:tab w:val="left" w:leader="dot" w:pos="2268"/>
              </w:tabs>
            </w:pPr>
            <w:r w:rsidRPr="00576D60">
              <w:t>r. 7.9.07C</w:t>
            </w:r>
            <w:r w:rsidRPr="00576D60">
              <w:tab/>
            </w:r>
          </w:p>
        </w:tc>
        <w:tc>
          <w:tcPr>
            <w:tcW w:w="3500" w:type="pct"/>
            <w:shd w:val="clear" w:color="auto" w:fill="auto"/>
          </w:tcPr>
          <w:p w14:paraId="6CFC4C5E" w14:textId="77777777" w:rsidR="00E93F58" w:rsidRPr="00576D60" w:rsidRDefault="00E93F58" w:rsidP="002F32E3">
            <w:pPr>
              <w:pStyle w:val="ENoteTableText"/>
            </w:pPr>
            <w:r w:rsidRPr="00576D60">
              <w:t>ad. 2002 No. 16</w:t>
            </w:r>
          </w:p>
        </w:tc>
      </w:tr>
      <w:tr w:rsidR="00E93F58" w:rsidRPr="00576D60" w14:paraId="1F9D629E" w14:textId="77777777" w:rsidTr="002F32E3">
        <w:trPr>
          <w:cantSplit/>
        </w:trPr>
        <w:tc>
          <w:tcPr>
            <w:tcW w:w="1500" w:type="pct"/>
            <w:shd w:val="clear" w:color="auto" w:fill="auto"/>
          </w:tcPr>
          <w:p w14:paraId="00D3D631" w14:textId="77777777" w:rsidR="00E93F58" w:rsidRPr="00576D60" w:rsidRDefault="00E93F58" w:rsidP="002F32E3">
            <w:pPr>
              <w:pStyle w:val="ENoteTableText"/>
            </w:pPr>
          </w:p>
        </w:tc>
        <w:tc>
          <w:tcPr>
            <w:tcW w:w="3500" w:type="pct"/>
            <w:shd w:val="clear" w:color="auto" w:fill="auto"/>
          </w:tcPr>
          <w:p w14:paraId="59CCC48E" w14:textId="77777777" w:rsidR="00E93F58" w:rsidRPr="00576D60" w:rsidRDefault="00E93F58" w:rsidP="002F32E3">
            <w:pPr>
              <w:pStyle w:val="ENoteTableText"/>
            </w:pPr>
            <w:r w:rsidRPr="00576D60">
              <w:t>am. 2002 No. 41; 2009 No. 70</w:t>
            </w:r>
          </w:p>
        </w:tc>
      </w:tr>
      <w:tr w:rsidR="00E93F58" w:rsidRPr="00576D60" w14:paraId="10607BD7" w14:textId="77777777" w:rsidTr="002F32E3">
        <w:trPr>
          <w:cantSplit/>
        </w:trPr>
        <w:tc>
          <w:tcPr>
            <w:tcW w:w="1500" w:type="pct"/>
            <w:shd w:val="clear" w:color="auto" w:fill="auto"/>
          </w:tcPr>
          <w:p w14:paraId="73DCFCF8" w14:textId="77777777" w:rsidR="00E93F58" w:rsidRPr="00576D60" w:rsidRDefault="00E93F58" w:rsidP="002F32E3">
            <w:pPr>
              <w:pStyle w:val="ENoteTableText"/>
              <w:tabs>
                <w:tab w:val="left" w:leader="dot" w:pos="2268"/>
              </w:tabs>
              <w:rPr>
                <w:b/>
              </w:rPr>
            </w:pPr>
            <w:r>
              <w:rPr>
                <w:b/>
              </w:rPr>
              <w:t>Division 2</w:t>
            </w:r>
            <w:r w:rsidRPr="00576D60">
              <w:rPr>
                <w:b/>
              </w:rPr>
              <w:t>BA</w:t>
            </w:r>
          </w:p>
        </w:tc>
        <w:tc>
          <w:tcPr>
            <w:tcW w:w="3500" w:type="pct"/>
            <w:shd w:val="clear" w:color="auto" w:fill="auto"/>
          </w:tcPr>
          <w:p w14:paraId="7FE1B16C" w14:textId="77777777" w:rsidR="00E93F58" w:rsidRPr="00576D60" w:rsidRDefault="00E93F58" w:rsidP="002F32E3">
            <w:pPr>
              <w:pStyle w:val="ENoteTableText"/>
            </w:pPr>
          </w:p>
        </w:tc>
      </w:tr>
      <w:tr w:rsidR="00E93F58" w:rsidRPr="00576D60" w14:paraId="2D7B120F" w14:textId="77777777" w:rsidTr="002F32E3">
        <w:trPr>
          <w:cantSplit/>
        </w:trPr>
        <w:tc>
          <w:tcPr>
            <w:tcW w:w="1500" w:type="pct"/>
            <w:shd w:val="clear" w:color="auto" w:fill="auto"/>
          </w:tcPr>
          <w:p w14:paraId="607BA778" w14:textId="77777777" w:rsidR="00E93F58" w:rsidRPr="00576D60" w:rsidRDefault="00E93F58" w:rsidP="002F32E3">
            <w:pPr>
              <w:pStyle w:val="ENoteTableText"/>
              <w:tabs>
                <w:tab w:val="left" w:leader="dot" w:pos="2268"/>
              </w:tabs>
            </w:pPr>
            <w:r w:rsidRPr="00576D60">
              <w:t>r 7.9.07CA</w:t>
            </w:r>
            <w:r w:rsidRPr="00576D60">
              <w:tab/>
            </w:r>
          </w:p>
        </w:tc>
        <w:tc>
          <w:tcPr>
            <w:tcW w:w="3500" w:type="pct"/>
            <w:shd w:val="clear" w:color="auto" w:fill="auto"/>
          </w:tcPr>
          <w:p w14:paraId="02D48190" w14:textId="77777777" w:rsidR="00E93F58" w:rsidRPr="00576D60" w:rsidRDefault="00E93F58" w:rsidP="002F32E3">
            <w:pPr>
              <w:pStyle w:val="ENoteTableText"/>
            </w:pPr>
            <w:r w:rsidRPr="00576D60">
              <w:t>ad No 130, 2008</w:t>
            </w:r>
          </w:p>
        </w:tc>
      </w:tr>
      <w:tr w:rsidR="00E93F58" w:rsidRPr="00576D60" w14:paraId="03BCE928" w14:textId="77777777" w:rsidTr="002F32E3">
        <w:trPr>
          <w:cantSplit/>
        </w:trPr>
        <w:tc>
          <w:tcPr>
            <w:tcW w:w="1500" w:type="pct"/>
            <w:shd w:val="clear" w:color="auto" w:fill="auto"/>
          </w:tcPr>
          <w:p w14:paraId="65708B63" w14:textId="77777777" w:rsidR="00E93F58" w:rsidRPr="00576D60" w:rsidRDefault="00E93F58" w:rsidP="002F32E3">
            <w:pPr>
              <w:pStyle w:val="ENoteTableText"/>
              <w:tabs>
                <w:tab w:val="left" w:leader="dot" w:pos="2268"/>
              </w:tabs>
            </w:pPr>
          </w:p>
        </w:tc>
        <w:tc>
          <w:tcPr>
            <w:tcW w:w="3500" w:type="pct"/>
            <w:shd w:val="clear" w:color="auto" w:fill="auto"/>
          </w:tcPr>
          <w:p w14:paraId="29A03FD0" w14:textId="77777777" w:rsidR="00E93F58" w:rsidRPr="00576D60" w:rsidRDefault="00E93F58" w:rsidP="002F32E3">
            <w:pPr>
              <w:pStyle w:val="ENoteTableText"/>
            </w:pPr>
            <w:r w:rsidRPr="00576D60">
              <w:t>am F2019L00392</w:t>
            </w:r>
          </w:p>
        </w:tc>
      </w:tr>
      <w:tr w:rsidR="00E93F58" w:rsidRPr="00576D60" w14:paraId="004E5FA5" w14:textId="77777777" w:rsidTr="002F32E3">
        <w:trPr>
          <w:cantSplit/>
        </w:trPr>
        <w:tc>
          <w:tcPr>
            <w:tcW w:w="1500" w:type="pct"/>
            <w:shd w:val="clear" w:color="auto" w:fill="auto"/>
          </w:tcPr>
          <w:p w14:paraId="014947CD" w14:textId="77777777" w:rsidR="00E93F58" w:rsidRPr="00576D60" w:rsidRDefault="00E93F58" w:rsidP="002F32E3">
            <w:pPr>
              <w:pStyle w:val="ENoteTableText"/>
              <w:tabs>
                <w:tab w:val="left" w:leader="dot" w:pos="2268"/>
              </w:tabs>
              <w:rPr>
                <w:b/>
              </w:rPr>
            </w:pPr>
            <w:r>
              <w:rPr>
                <w:b/>
              </w:rPr>
              <w:t>Division 2</w:t>
            </w:r>
            <w:r w:rsidRPr="00576D60">
              <w:rPr>
                <w:b/>
              </w:rPr>
              <w:t>C</w:t>
            </w:r>
          </w:p>
        </w:tc>
        <w:tc>
          <w:tcPr>
            <w:tcW w:w="3500" w:type="pct"/>
            <w:shd w:val="clear" w:color="auto" w:fill="auto"/>
          </w:tcPr>
          <w:p w14:paraId="735433A6" w14:textId="77777777" w:rsidR="00E93F58" w:rsidRPr="00576D60" w:rsidRDefault="00E93F58" w:rsidP="002F32E3">
            <w:pPr>
              <w:pStyle w:val="ENoteTableText"/>
            </w:pPr>
          </w:p>
        </w:tc>
      </w:tr>
      <w:tr w:rsidR="00E93F58" w:rsidRPr="00576D60" w14:paraId="7CC7AD65" w14:textId="77777777" w:rsidTr="002F32E3">
        <w:trPr>
          <w:cantSplit/>
        </w:trPr>
        <w:tc>
          <w:tcPr>
            <w:tcW w:w="1500" w:type="pct"/>
            <w:shd w:val="clear" w:color="auto" w:fill="auto"/>
          </w:tcPr>
          <w:p w14:paraId="59B7F104" w14:textId="77777777" w:rsidR="00E93F58" w:rsidRPr="00576D60" w:rsidRDefault="00E93F58" w:rsidP="002F32E3">
            <w:pPr>
              <w:pStyle w:val="ENoteTableText"/>
              <w:tabs>
                <w:tab w:val="left" w:leader="dot" w:pos="2268"/>
              </w:tabs>
            </w:pPr>
            <w:r>
              <w:t>Division 2</w:t>
            </w:r>
            <w:r w:rsidRPr="00576D60">
              <w:t>C</w:t>
            </w:r>
            <w:r w:rsidRPr="00576D60">
              <w:tab/>
            </w:r>
          </w:p>
        </w:tc>
        <w:tc>
          <w:tcPr>
            <w:tcW w:w="3500" w:type="pct"/>
            <w:shd w:val="clear" w:color="auto" w:fill="auto"/>
          </w:tcPr>
          <w:p w14:paraId="00A60984" w14:textId="77777777" w:rsidR="00E93F58" w:rsidRPr="00576D60" w:rsidRDefault="00E93F58" w:rsidP="002F32E3">
            <w:pPr>
              <w:pStyle w:val="ENoteTableText"/>
            </w:pPr>
            <w:r w:rsidRPr="00576D60">
              <w:t>ad. 2003 No. 31</w:t>
            </w:r>
          </w:p>
        </w:tc>
      </w:tr>
      <w:tr w:rsidR="00E93F58" w:rsidRPr="00576D60" w14:paraId="53170654" w14:textId="77777777" w:rsidTr="002F32E3">
        <w:trPr>
          <w:cantSplit/>
        </w:trPr>
        <w:tc>
          <w:tcPr>
            <w:tcW w:w="1500" w:type="pct"/>
            <w:shd w:val="clear" w:color="auto" w:fill="auto"/>
          </w:tcPr>
          <w:p w14:paraId="1353EE7C" w14:textId="77777777" w:rsidR="00E93F58" w:rsidRPr="00576D60" w:rsidRDefault="00E93F58" w:rsidP="002F32E3">
            <w:pPr>
              <w:pStyle w:val="ENoteTableText"/>
              <w:tabs>
                <w:tab w:val="left" w:leader="dot" w:pos="2268"/>
              </w:tabs>
            </w:pPr>
            <w:r w:rsidRPr="00576D60">
              <w:t>r. 7.9.07D</w:t>
            </w:r>
            <w:r w:rsidRPr="00576D60">
              <w:tab/>
            </w:r>
          </w:p>
        </w:tc>
        <w:tc>
          <w:tcPr>
            <w:tcW w:w="3500" w:type="pct"/>
            <w:shd w:val="clear" w:color="auto" w:fill="auto"/>
          </w:tcPr>
          <w:p w14:paraId="15F0D48E" w14:textId="77777777" w:rsidR="00E93F58" w:rsidRPr="00576D60" w:rsidRDefault="00E93F58" w:rsidP="002F32E3">
            <w:pPr>
              <w:pStyle w:val="ENoteTableText"/>
            </w:pPr>
            <w:r w:rsidRPr="00576D60">
              <w:t>ad. 2003 No. 31</w:t>
            </w:r>
          </w:p>
        </w:tc>
      </w:tr>
      <w:tr w:rsidR="00E93F58" w:rsidRPr="00576D60" w14:paraId="26FF1A95" w14:textId="77777777" w:rsidTr="002F32E3">
        <w:trPr>
          <w:cantSplit/>
        </w:trPr>
        <w:tc>
          <w:tcPr>
            <w:tcW w:w="1500" w:type="pct"/>
            <w:shd w:val="clear" w:color="auto" w:fill="auto"/>
          </w:tcPr>
          <w:p w14:paraId="355AADF1" w14:textId="77777777" w:rsidR="00E93F58" w:rsidRPr="00576D60" w:rsidRDefault="00E93F58" w:rsidP="002F32E3">
            <w:pPr>
              <w:pStyle w:val="ENoteTableText"/>
              <w:tabs>
                <w:tab w:val="left" w:leader="dot" w:pos="2268"/>
              </w:tabs>
            </w:pPr>
          </w:p>
        </w:tc>
        <w:tc>
          <w:tcPr>
            <w:tcW w:w="3500" w:type="pct"/>
            <w:shd w:val="clear" w:color="auto" w:fill="auto"/>
          </w:tcPr>
          <w:p w14:paraId="72CFBFD4" w14:textId="77777777" w:rsidR="00E93F58" w:rsidRPr="00576D60" w:rsidRDefault="00E93F58" w:rsidP="002F32E3">
            <w:pPr>
              <w:pStyle w:val="ENoteTableText"/>
            </w:pPr>
            <w:r w:rsidRPr="00576D60">
              <w:t>am 2003 No. 282</w:t>
            </w:r>
          </w:p>
        </w:tc>
      </w:tr>
      <w:tr w:rsidR="00E93F58" w:rsidRPr="00576D60" w14:paraId="4CC229AE" w14:textId="77777777" w:rsidTr="002F32E3">
        <w:trPr>
          <w:cantSplit/>
        </w:trPr>
        <w:tc>
          <w:tcPr>
            <w:tcW w:w="1500" w:type="pct"/>
            <w:shd w:val="clear" w:color="auto" w:fill="auto"/>
          </w:tcPr>
          <w:p w14:paraId="23AB95A1" w14:textId="77777777" w:rsidR="00E93F58" w:rsidRPr="00576D60" w:rsidRDefault="00E93F58" w:rsidP="002F32E3">
            <w:pPr>
              <w:pStyle w:val="ENoteTableText"/>
              <w:tabs>
                <w:tab w:val="left" w:leader="dot" w:pos="2268"/>
              </w:tabs>
            </w:pPr>
            <w:r w:rsidRPr="00576D60">
              <w:t>r. 7.9.07E</w:t>
            </w:r>
            <w:r w:rsidRPr="00576D60">
              <w:tab/>
            </w:r>
          </w:p>
        </w:tc>
        <w:tc>
          <w:tcPr>
            <w:tcW w:w="3500" w:type="pct"/>
            <w:shd w:val="clear" w:color="auto" w:fill="auto"/>
          </w:tcPr>
          <w:p w14:paraId="0898109E" w14:textId="77777777" w:rsidR="00E93F58" w:rsidRPr="00576D60" w:rsidRDefault="00E93F58" w:rsidP="002F32E3">
            <w:pPr>
              <w:pStyle w:val="ENoteTableText"/>
            </w:pPr>
            <w:r w:rsidRPr="00576D60">
              <w:t>ad. 2003 No. 282</w:t>
            </w:r>
          </w:p>
        </w:tc>
      </w:tr>
      <w:tr w:rsidR="00E93F58" w:rsidRPr="00576D60" w14:paraId="18291C83" w14:textId="77777777" w:rsidTr="002F32E3">
        <w:trPr>
          <w:cantSplit/>
        </w:trPr>
        <w:tc>
          <w:tcPr>
            <w:tcW w:w="1500" w:type="pct"/>
            <w:shd w:val="clear" w:color="auto" w:fill="auto"/>
          </w:tcPr>
          <w:p w14:paraId="4FC5DF76" w14:textId="77777777" w:rsidR="00E93F58" w:rsidRPr="00576D60" w:rsidRDefault="00E93F58" w:rsidP="002F32E3">
            <w:pPr>
              <w:pStyle w:val="ENoteTableText"/>
              <w:tabs>
                <w:tab w:val="left" w:leader="dot" w:pos="2268"/>
              </w:tabs>
            </w:pPr>
            <w:r w:rsidRPr="00576D60">
              <w:lastRenderedPageBreak/>
              <w:t>r. 7.9.07F</w:t>
            </w:r>
            <w:r w:rsidRPr="00576D60">
              <w:tab/>
            </w:r>
          </w:p>
        </w:tc>
        <w:tc>
          <w:tcPr>
            <w:tcW w:w="3500" w:type="pct"/>
            <w:shd w:val="clear" w:color="auto" w:fill="auto"/>
          </w:tcPr>
          <w:p w14:paraId="751A973E" w14:textId="77777777" w:rsidR="00E93F58" w:rsidRPr="00576D60" w:rsidRDefault="00E93F58" w:rsidP="002F32E3">
            <w:pPr>
              <w:pStyle w:val="ENoteTableText"/>
            </w:pPr>
            <w:r w:rsidRPr="00576D60">
              <w:t>ad. 2003 No. 282</w:t>
            </w:r>
          </w:p>
        </w:tc>
      </w:tr>
      <w:tr w:rsidR="00E93F58" w:rsidRPr="00576D60" w14:paraId="2F17BF72" w14:textId="77777777" w:rsidTr="002F32E3">
        <w:trPr>
          <w:cantSplit/>
        </w:trPr>
        <w:tc>
          <w:tcPr>
            <w:tcW w:w="1500" w:type="pct"/>
            <w:shd w:val="clear" w:color="auto" w:fill="auto"/>
          </w:tcPr>
          <w:p w14:paraId="7C379225" w14:textId="77777777" w:rsidR="00E93F58" w:rsidRPr="00576D60" w:rsidRDefault="00E93F58" w:rsidP="002F32E3">
            <w:pPr>
              <w:pStyle w:val="ENoteTableText"/>
              <w:tabs>
                <w:tab w:val="left" w:leader="dot" w:pos="2268"/>
              </w:tabs>
            </w:pPr>
            <w:r w:rsidRPr="00576D60">
              <w:t>r 7.9.07FA</w:t>
            </w:r>
            <w:r w:rsidRPr="00576D60">
              <w:tab/>
            </w:r>
          </w:p>
        </w:tc>
        <w:tc>
          <w:tcPr>
            <w:tcW w:w="3500" w:type="pct"/>
            <w:shd w:val="clear" w:color="auto" w:fill="auto"/>
          </w:tcPr>
          <w:p w14:paraId="7AEE9D5C" w14:textId="77777777" w:rsidR="00E93F58" w:rsidRPr="00576D60" w:rsidRDefault="00E93F58" w:rsidP="002F32E3">
            <w:pPr>
              <w:pStyle w:val="ENoteTableText"/>
            </w:pPr>
            <w:r w:rsidRPr="00576D60">
              <w:t>ad 2005 No 324</w:t>
            </w:r>
          </w:p>
        </w:tc>
      </w:tr>
      <w:tr w:rsidR="00E93F58" w:rsidRPr="00576D60" w14:paraId="1A078EB6" w14:textId="77777777" w:rsidTr="002F32E3">
        <w:trPr>
          <w:cantSplit/>
        </w:trPr>
        <w:tc>
          <w:tcPr>
            <w:tcW w:w="1500" w:type="pct"/>
            <w:shd w:val="clear" w:color="auto" w:fill="auto"/>
          </w:tcPr>
          <w:p w14:paraId="3D1836FB" w14:textId="77777777" w:rsidR="00E93F58" w:rsidRPr="00576D60" w:rsidRDefault="00E93F58" w:rsidP="002F32E3">
            <w:pPr>
              <w:pStyle w:val="ENoteTableText"/>
            </w:pPr>
          </w:p>
        </w:tc>
        <w:tc>
          <w:tcPr>
            <w:tcW w:w="3500" w:type="pct"/>
            <w:shd w:val="clear" w:color="auto" w:fill="auto"/>
          </w:tcPr>
          <w:p w14:paraId="6502085C" w14:textId="77777777" w:rsidR="00E93F58" w:rsidRPr="00576D60" w:rsidRDefault="00E93F58" w:rsidP="002F32E3">
            <w:pPr>
              <w:pStyle w:val="ENoteTableText"/>
            </w:pPr>
            <w:r w:rsidRPr="00576D60">
              <w:t>rs 2010 No 55</w:t>
            </w:r>
          </w:p>
        </w:tc>
      </w:tr>
      <w:tr w:rsidR="00E93F58" w:rsidRPr="00576D60" w14:paraId="410EB53C" w14:textId="77777777" w:rsidTr="002F32E3">
        <w:trPr>
          <w:cantSplit/>
        </w:trPr>
        <w:tc>
          <w:tcPr>
            <w:tcW w:w="1500" w:type="pct"/>
            <w:shd w:val="clear" w:color="auto" w:fill="auto"/>
          </w:tcPr>
          <w:p w14:paraId="2EFA9510" w14:textId="77777777" w:rsidR="00E93F58" w:rsidRPr="00576D60" w:rsidRDefault="00E93F58" w:rsidP="002F32E3">
            <w:pPr>
              <w:pStyle w:val="ENoteTableText"/>
            </w:pPr>
          </w:p>
        </w:tc>
        <w:tc>
          <w:tcPr>
            <w:tcW w:w="3500" w:type="pct"/>
            <w:shd w:val="clear" w:color="auto" w:fill="auto"/>
          </w:tcPr>
          <w:p w14:paraId="5E356273" w14:textId="77777777" w:rsidR="00E93F58" w:rsidRPr="00576D60" w:rsidRDefault="00E93F58" w:rsidP="002F32E3">
            <w:pPr>
              <w:pStyle w:val="ENoteTableText"/>
            </w:pPr>
            <w:r w:rsidRPr="00576D60">
              <w:t>am F2021L01841</w:t>
            </w:r>
          </w:p>
        </w:tc>
      </w:tr>
      <w:tr w:rsidR="00E93F58" w:rsidRPr="00576D60" w14:paraId="333F98E5" w14:textId="77777777" w:rsidTr="002F32E3">
        <w:trPr>
          <w:cantSplit/>
        </w:trPr>
        <w:tc>
          <w:tcPr>
            <w:tcW w:w="1500" w:type="pct"/>
            <w:shd w:val="clear" w:color="auto" w:fill="auto"/>
          </w:tcPr>
          <w:p w14:paraId="6C4BA85E" w14:textId="77777777" w:rsidR="00E93F58" w:rsidRPr="00576D60" w:rsidRDefault="00E93F58" w:rsidP="002F32E3">
            <w:pPr>
              <w:pStyle w:val="ENoteTableText"/>
              <w:tabs>
                <w:tab w:val="left" w:leader="dot" w:pos="2268"/>
              </w:tabs>
            </w:pPr>
            <w:r w:rsidRPr="00576D60">
              <w:t>r. 7.9.07FB</w:t>
            </w:r>
            <w:r w:rsidRPr="00576D60">
              <w:tab/>
            </w:r>
          </w:p>
        </w:tc>
        <w:tc>
          <w:tcPr>
            <w:tcW w:w="3500" w:type="pct"/>
            <w:shd w:val="clear" w:color="auto" w:fill="auto"/>
          </w:tcPr>
          <w:p w14:paraId="2D871BBB" w14:textId="77777777" w:rsidR="00E93F58" w:rsidRPr="00576D60" w:rsidRDefault="00E93F58" w:rsidP="002F32E3">
            <w:pPr>
              <w:pStyle w:val="ENoteTableText"/>
            </w:pPr>
            <w:r w:rsidRPr="00576D60">
              <w:t>ad. 2005 No. 324</w:t>
            </w:r>
          </w:p>
        </w:tc>
      </w:tr>
      <w:tr w:rsidR="00E93F58" w:rsidRPr="00576D60" w14:paraId="291CDA43" w14:textId="77777777" w:rsidTr="002F32E3">
        <w:trPr>
          <w:cantSplit/>
        </w:trPr>
        <w:tc>
          <w:tcPr>
            <w:tcW w:w="1500" w:type="pct"/>
            <w:shd w:val="clear" w:color="auto" w:fill="auto"/>
          </w:tcPr>
          <w:p w14:paraId="29D9595E" w14:textId="77777777" w:rsidR="00E93F58" w:rsidRPr="00576D60" w:rsidRDefault="00E93F58" w:rsidP="002F32E3">
            <w:pPr>
              <w:pStyle w:val="ENoteTableText"/>
              <w:tabs>
                <w:tab w:val="left" w:leader="dot" w:pos="2268"/>
              </w:tabs>
            </w:pPr>
            <w:r w:rsidRPr="00576D60">
              <w:t>r 7.9.07FC</w:t>
            </w:r>
            <w:r w:rsidRPr="00576D60">
              <w:tab/>
            </w:r>
          </w:p>
        </w:tc>
        <w:tc>
          <w:tcPr>
            <w:tcW w:w="3500" w:type="pct"/>
            <w:shd w:val="clear" w:color="auto" w:fill="auto"/>
          </w:tcPr>
          <w:p w14:paraId="12462C44" w14:textId="77777777" w:rsidR="00E93F58" w:rsidRPr="00576D60" w:rsidRDefault="00E93F58" w:rsidP="002F32E3">
            <w:pPr>
              <w:pStyle w:val="ENoteTableText"/>
            </w:pPr>
            <w:r w:rsidRPr="00576D60">
              <w:t>ad</w:t>
            </w:r>
            <w:r>
              <w:t xml:space="preserve"> No 324, 2005</w:t>
            </w:r>
          </w:p>
        </w:tc>
      </w:tr>
      <w:tr w:rsidR="00E93F58" w:rsidRPr="00576D60" w14:paraId="1C3ECC7C" w14:textId="77777777" w:rsidTr="002F32E3">
        <w:trPr>
          <w:cantSplit/>
        </w:trPr>
        <w:tc>
          <w:tcPr>
            <w:tcW w:w="1500" w:type="pct"/>
            <w:shd w:val="clear" w:color="auto" w:fill="auto"/>
          </w:tcPr>
          <w:p w14:paraId="52EE0099" w14:textId="77777777" w:rsidR="00E93F58" w:rsidRPr="00576D60" w:rsidRDefault="00E93F58" w:rsidP="002F32E3">
            <w:pPr>
              <w:pStyle w:val="ENoteTableText"/>
              <w:tabs>
                <w:tab w:val="left" w:leader="dot" w:pos="2268"/>
              </w:tabs>
            </w:pPr>
          </w:p>
        </w:tc>
        <w:tc>
          <w:tcPr>
            <w:tcW w:w="3500" w:type="pct"/>
            <w:shd w:val="clear" w:color="auto" w:fill="auto"/>
          </w:tcPr>
          <w:p w14:paraId="0F99D9A2" w14:textId="77777777" w:rsidR="00E93F58" w:rsidRPr="00576D60" w:rsidRDefault="00E93F58" w:rsidP="002F32E3">
            <w:pPr>
              <w:pStyle w:val="ENoteTableText"/>
            </w:pPr>
            <w:r>
              <w:t>am F2023L01458</w:t>
            </w:r>
          </w:p>
        </w:tc>
      </w:tr>
      <w:tr w:rsidR="00E93F58" w:rsidRPr="00576D60" w14:paraId="4A490089" w14:textId="77777777" w:rsidTr="002F32E3">
        <w:trPr>
          <w:cantSplit/>
        </w:trPr>
        <w:tc>
          <w:tcPr>
            <w:tcW w:w="1500" w:type="pct"/>
            <w:shd w:val="clear" w:color="auto" w:fill="auto"/>
          </w:tcPr>
          <w:p w14:paraId="3037601A" w14:textId="77777777" w:rsidR="00E93F58" w:rsidRPr="00576D60" w:rsidRDefault="00E93F58" w:rsidP="002F32E3">
            <w:pPr>
              <w:pStyle w:val="ENoteTableText"/>
              <w:tabs>
                <w:tab w:val="left" w:leader="dot" w:pos="2268"/>
              </w:tabs>
              <w:rPr>
                <w:b/>
              </w:rPr>
            </w:pPr>
            <w:r>
              <w:rPr>
                <w:b/>
              </w:rPr>
              <w:t>Division 2</w:t>
            </w:r>
            <w:r w:rsidRPr="00576D60">
              <w:rPr>
                <w:b/>
              </w:rPr>
              <w:t>D</w:t>
            </w:r>
          </w:p>
        </w:tc>
        <w:tc>
          <w:tcPr>
            <w:tcW w:w="3500" w:type="pct"/>
            <w:shd w:val="clear" w:color="auto" w:fill="auto"/>
          </w:tcPr>
          <w:p w14:paraId="576EA1FB" w14:textId="77777777" w:rsidR="00E93F58" w:rsidRPr="00576D60" w:rsidRDefault="00E93F58" w:rsidP="002F32E3">
            <w:pPr>
              <w:pStyle w:val="ENoteTableText"/>
            </w:pPr>
          </w:p>
        </w:tc>
      </w:tr>
      <w:tr w:rsidR="00E93F58" w:rsidRPr="00576D60" w14:paraId="57F90194" w14:textId="77777777" w:rsidTr="002F32E3">
        <w:trPr>
          <w:cantSplit/>
        </w:trPr>
        <w:tc>
          <w:tcPr>
            <w:tcW w:w="1500" w:type="pct"/>
            <w:shd w:val="clear" w:color="auto" w:fill="auto"/>
          </w:tcPr>
          <w:p w14:paraId="6DA66640" w14:textId="77777777" w:rsidR="00E93F58" w:rsidRPr="00576D60" w:rsidRDefault="00E93F58" w:rsidP="002F32E3">
            <w:pPr>
              <w:pStyle w:val="ENoteTableText"/>
              <w:tabs>
                <w:tab w:val="left" w:leader="dot" w:pos="2268"/>
              </w:tabs>
            </w:pPr>
            <w:r>
              <w:t>Division 2</w:t>
            </w:r>
            <w:r w:rsidRPr="00576D60">
              <w:t>D</w:t>
            </w:r>
            <w:r w:rsidRPr="00576D60">
              <w:tab/>
            </w:r>
          </w:p>
        </w:tc>
        <w:tc>
          <w:tcPr>
            <w:tcW w:w="3500" w:type="pct"/>
            <w:shd w:val="clear" w:color="auto" w:fill="auto"/>
          </w:tcPr>
          <w:p w14:paraId="23ADA754" w14:textId="77777777" w:rsidR="00E93F58" w:rsidRPr="00576D60" w:rsidRDefault="00E93F58" w:rsidP="002F32E3">
            <w:pPr>
              <w:pStyle w:val="ENoteTableText"/>
            </w:pPr>
            <w:r w:rsidRPr="00576D60">
              <w:t>ad. 2003 No. 368</w:t>
            </w:r>
          </w:p>
        </w:tc>
      </w:tr>
      <w:tr w:rsidR="00E93F58" w:rsidRPr="00576D60" w14:paraId="0CDF16A1" w14:textId="77777777" w:rsidTr="002F32E3">
        <w:trPr>
          <w:cantSplit/>
        </w:trPr>
        <w:tc>
          <w:tcPr>
            <w:tcW w:w="1500" w:type="pct"/>
            <w:shd w:val="clear" w:color="auto" w:fill="auto"/>
          </w:tcPr>
          <w:p w14:paraId="06BE7039" w14:textId="77777777" w:rsidR="00E93F58" w:rsidRPr="00576D60" w:rsidRDefault="00E93F58" w:rsidP="002F32E3">
            <w:pPr>
              <w:pStyle w:val="ENoteTableText"/>
              <w:tabs>
                <w:tab w:val="left" w:leader="dot" w:pos="2268"/>
              </w:tabs>
            </w:pPr>
            <w:r w:rsidRPr="00576D60">
              <w:t>r. 7.9.07J</w:t>
            </w:r>
            <w:r w:rsidRPr="00576D60">
              <w:tab/>
            </w:r>
          </w:p>
        </w:tc>
        <w:tc>
          <w:tcPr>
            <w:tcW w:w="3500" w:type="pct"/>
            <w:shd w:val="clear" w:color="auto" w:fill="auto"/>
          </w:tcPr>
          <w:p w14:paraId="52E3EBEF" w14:textId="77777777" w:rsidR="00E93F58" w:rsidRPr="00576D60" w:rsidRDefault="00E93F58" w:rsidP="002F32E3">
            <w:pPr>
              <w:pStyle w:val="ENoteTableText"/>
            </w:pPr>
            <w:r w:rsidRPr="00576D60">
              <w:t>ad. 2003 No. 368</w:t>
            </w:r>
          </w:p>
        </w:tc>
      </w:tr>
      <w:tr w:rsidR="00E93F58" w:rsidRPr="00576D60" w14:paraId="7FC56EFF" w14:textId="77777777" w:rsidTr="002F32E3">
        <w:trPr>
          <w:cantSplit/>
        </w:trPr>
        <w:tc>
          <w:tcPr>
            <w:tcW w:w="1500" w:type="pct"/>
            <w:shd w:val="clear" w:color="auto" w:fill="auto"/>
          </w:tcPr>
          <w:p w14:paraId="6573DA0E" w14:textId="77777777" w:rsidR="00E93F58" w:rsidRPr="00576D60" w:rsidRDefault="00E93F58" w:rsidP="002F32E3">
            <w:pPr>
              <w:pStyle w:val="ENoteTableText"/>
              <w:tabs>
                <w:tab w:val="left" w:leader="dot" w:pos="2268"/>
              </w:tabs>
            </w:pPr>
            <w:r w:rsidRPr="00576D60">
              <w:t>r. 7.9.07K</w:t>
            </w:r>
            <w:r w:rsidRPr="00576D60">
              <w:tab/>
            </w:r>
          </w:p>
        </w:tc>
        <w:tc>
          <w:tcPr>
            <w:tcW w:w="3500" w:type="pct"/>
            <w:shd w:val="clear" w:color="auto" w:fill="auto"/>
          </w:tcPr>
          <w:p w14:paraId="28813470" w14:textId="77777777" w:rsidR="00E93F58" w:rsidRPr="00576D60" w:rsidRDefault="00E93F58" w:rsidP="002F32E3">
            <w:pPr>
              <w:pStyle w:val="ENoteTableText"/>
            </w:pPr>
            <w:r w:rsidRPr="00576D60">
              <w:t>ad. 2005 No. 324</w:t>
            </w:r>
          </w:p>
        </w:tc>
      </w:tr>
      <w:tr w:rsidR="00E93F58" w:rsidRPr="00576D60" w14:paraId="4FCCF491" w14:textId="77777777" w:rsidTr="002F32E3">
        <w:trPr>
          <w:cantSplit/>
        </w:trPr>
        <w:tc>
          <w:tcPr>
            <w:tcW w:w="1500" w:type="pct"/>
            <w:shd w:val="clear" w:color="auto" w:fill="auto"/>
          </w:tcPr>
          <w:p w14:paraId="54402352" w14:textId="77777777" w:rsidR="00E93F58" w:rsidRPr="00576D60" w:rsidRDefault="00E93F58" w:rsidP="002F32E3">
            <w:pPr>
              <w:pStyle w:val="ENoteTableText"/>
            </w:pPr>
          </w:p>
        </w:tc>
        <w:tc>
          <w:tcPr>
            <w:tcW w:w="3500" w:type="pct"/>
            <w:shd w:val="clear" w:color="auto" w:fill="auto"/>
          </w:tcPr>
          <w:p w14:paraId="3B97F634" w14:textId="77777777" w:rsidR="00E93F58" w:rsidRPr="00576D60" w:rsidRDefault="00E93F58" w:rsidP="002F32E3">
            <w:pPr>
              <w:pStyle w:val="ENoteTableText"/>
            </w:pPr>
            <w:r w:rsidRPr="00576D60">
              <w:t>rs. 2007 No. 324</w:t>
            </w:r>
          </w:p>
        </w:tc>
      </w:tr>
      <w:tr w:rsidR="00E93F58" w:rsidRPr="00576D60" w14:paraId="241A2AEF" w14:textId="77777777" w:rsidTr="002F32E3">
        <w:trPr>
          <w:cantSplit/>
        </w:trPr>
        <w:tc>
          <w:tcPr>
            <w:tcW w:w="1500" w:type="pct"/>
            <w:shd w:val="clear" w:color="auto" w:fill="auto"/>
          </w:tcPr>
          <w:p w14:paraId="04CF4A0D" w14:textId="77777777" w:rsidR="00E93F58" w:rsidRPr="00576D60" w:rsidRDefault="00E93F58" w:rsidP="002F32E3">
            <w:pPr>
              <w:pStyle w:val="ENoteTableText"/>
              <w:tabs>
                <w:tab w:val="left" w:leader="dot" w:pos="2268"/>
              </w:tabs>
              <w:rPr>
                <w:b/>
              </w:rPr>
            </w:pPr>
            <w:r>
              <w:rPr>
                <w:b/>
              </w:rPr>
              <w:t>Division 2</w:t>
            </w:r>
            <w:r w:rsidRPr="00576D60">
              <w:rPr>
                <w:b/>
              </w:rPr>
              <w:t>E</w:t>
            </w:r>
          </w:p>
        </w:tc>
        <w:tc>
          <w:tcPr>
            <w:tcW w:w="3500" w:type="pct"/>
            <w:shd w:val="clear" w:color="auto" w:fill="auto"/>
          </w:tcPr>
          <w:p w14:paraId="1F58935D" w14:textId="77777777" w:rsidR="00E93F58" w:rsidRPr="00576D60" w:rsidRDefault="00E93F58" w:rsidP="002F32E3">
            <w:pPr>
              <w:pStyle w:val="ENoteTableText"/>
            </w:pPr>
          </w:p>
        </w:tc>
      </w:tr>
      <w:tr w:rsidR="00E93F58" w:rsidRPr="00576D60" w14:paraId="19E55F51" w14:textId="77777777" w:rsidTr="002F32E3">
        <w:trPr>
          <w:cantSplit/>
        </w:trPr>
        <w:tc>
          <w:tcPr>
            <w:tcW w:w="1500" w:type="pct"/>
            <w:shd w:val="clear" w:color="auto" w:fill="auto"/>
          </w:tcPr>
          <w:p w14:paraId="1AEDC5A1" w14:textId="77777777" w:rsidR="00E93F58" w:rsidRPr="00576D60" w:rsidRDefault="00E93F58" w:rsidP="002F32E3">
            <w:pPr>
              <w:pStyle w:val="ENoteTableText"/>
              <w:tabs>
                <w:tab w:val="left" w:leader="dot" w:pos="2268"/>
              </w:tabs>
            </w:pPr>
            <w:r>
              <w:t>Division 2</w:t>
            </w:r>
            <w:r w:rsidRPr="00576D60">
              <w:t>E</w:t>
            </w:r>
            <w:r w:rsidRPr="00576D60">
              <w:tab/>
            </w:r>
          </w:p>
        </w:tc>
        <w:tc>
          <w:tcPr>
            <w:tcW w:w="3500" w:type="pct"/>
            <w:shd w:val="clear" w:color="auto" w:fill="auto"/>
          </w:tcPr>
          <w:p w14:paraId="2EC36ACF" w14:textId="77777777" w:rsidR="00E93F58" w:rsidRPr="00576D60" w:rsidRDefault="00E93F58" w:rsidP="002F32E3">
            <w:pPr>
              <w:pStyle w:val="ENoteTableText"/>
            </w:pPr>
            <w:r w:rsidRPr="00576D60">
              <w:t>ad. No. 155, 2013</w:t>
            </w:r>
          </w:p>
        </w:tc>
      </w:tr>
      <w:tr w:rsidR="00E93F58" w:rsidRPr="00576D60" w14:paraId="32DABC22" w14:textId="77777777" w:rsidTr="002F32E3">
        <w:trPr>
          <w:cantSplit/>
        </w:trPr>
        <w:tc>
          <w:tcPr>
            <w:tcW w:w="1500" w:type="pct"/>
            <w:shd w:val="clear" w:color="auto" w:fill="auto"/>
          </w:tcPr>
          <w:p w14:paraId="0F867148" w14:textId="77777777" w:rsidR="00E93F58" w:rsidRPr="00576D60" w:rsidRDefault="00E93F58" w:rsidP="002F32E3">
            <w:pPr>
              <w:pStyle w:val="ENoteTableText"/>
              <w:keepNext/>
              <w:keepLines/>
              <w:tabs>
                <w:tab w:val="left" w:leader="dot" w:pos="2268"/>
              </w:tabs>
              <w:rPr>
                <w:b/>
              </w:rPr>
            </w:pPr>
            <w:r>
              <w:rPr>
                <w:b/>
              </w:rPr>
              <w:t>Subdivision 2</w:t>
            </w:r>
            <w:r w:rsidRPr="00576D60">
              <w:rPr>
                <w:b/>
              </w:rPr>
              <w:t>E.1</w:t>
            </w:r>
          </w:p>
        </w:tc>
        <w:tc>
          <w:tcPr>
            <w:tcW w:w="3500" w:type="pct"/>
            <w:shd w:val="clear" w:color="auto" w:fill="auto"/>
          </w:tcPr>
          <w:p w14:paraId="33B49C3E" w14:textId="77777777" w:rsidR="00E93F58" w:rsidRPr="00576D60" w:rsidRDefault="00E93F58" w:rsidP="002F32E3">
            <w:pPr>
              <w:pStyle w:val="ENoteTableText"/>
            </w:pPr>
          </w:p>
        </w:tc>
      </w:tr>
      <w:tr w:rsidR="00E93F58" w:rsidRPr="00576D60" w14:paraId="65665EAB" w14:textId="77777777" w:rsidTr="002F32E3">
        <w:trPr>
          <w:cantSplit/>
        </w:trPr>
        <w:tc>
          <w:tcPr>
            <w:tcW w:w="1500" w:type="pct"/>
            <w:shd w:val="clear" w:color="auto" w:fill="auto"/>
          </w:tcPr>
          <w:p w14:paraId="0C703461" w14:textId="77777777" w:rsidR="00E93F58" w:rsidRPr="00576D60" w:rsidRDefault="00E93F58" w:rsidP="002F32E3">
            <w:pPr>
              <w:pStyle w:val="ENoteTableText"/>
              <w:tabs>
                <w:tab w:val="left" w:leader="dot" w:pos="2268"/>
              </w:tabs>
            </w:pPr>
            <w:r w:rsidRPr="00576D60">
              <w:t>r. 7.9.07L</w:t>
            </w:r>
            <w:r w:rsidRPr="00576D60">
              <w:tab/>
            </w:r>
          </w:p>
        </w:tc>
        <w:tc>
          <w:tcPr>
            <w:tcW w:w="3500" w:type="pct"/>
            <w:shd w:val="clear" w:color="auto" w:fill="auto"/>
          </w:tcPr>
          <w:p w14:paraId="4796206A" w14:textId="77777777" w:rsidR="00E93F58" w:rsidRPr="00576D60" w:rsidRDefault="00E93F58" w:rsidP="002F32E3">
            <w:pPr>
              <w:pStyle w:val="ENoteTableText"/>
            </w:pPr>
            <w:r w:rsidRPr="00576D60">
              <w:t>ad. No. 155, 2013</w:t>
            </w:r>
          </w:p>
        </w:tc>
      </w:tr>
      <w:tr w:rsidR="00E93F58" w:rsidRPr="00576D60" w14:paraId="78EB479F" w14:textId="77777777" w:rsidTr="002F32E3">
        <w:trPr>
          <w:cantSplit/>
        </w:trPr>
        <w:tc>
          <w:tcPr>
            <w:tcW w:w="1500" w:type="pct"/>
            <w:shd w:val="clear" w:color="auto" w:fill="auto"/>
          </w:tcPr>
          <w:p w14:paraId="234AAFFF" w14:textId="77777777" w:rsidR="00E93F58" w:rsidRPr="00576D60" w:rsidRDefault="00E93F58" w:rsidP="002F32E3">
            <w:pPr>
              <w:pStyle w:val="ENoteTableText"/>
              <w:tabs>
                <w:tab w:val="left" w:leader="dot" w:pos="2268"/>
              </w:tabs>
            </w:pPr>
            <w:r w:rsidRPr="00576D60">
              <w:t>r. 7.9.07M</w:t>
            </w:r>
            <w:r w:rsidRPr="00576D60">
              <w:tab/>
            </w:r>
          </w:p>
        </w:tc>
        <w:tc>
          <w:tcPr>
            <w:tcW w:w="3500" w:type="pct"/>
            <w:shd w:val="clear" w:color="auto" w:fill="auto"/>
          </w:tcPr>
          <w:p w14:paraId="034E965E" w14:textId="77777777" w:rsidR="00E93F58" w:rsidRPr="00576D60" w:rsidRDefault="00E93F58" w:rsidP="002F32E3">
            <w:pPr>
              <w:pStyle w:val="ENoteTableText"/>
            </w:pPr>
            <w:r w:rsidRPr="00576D60">
              <w:t>ad. No. 155, 2013</w:t>
            </w:r>
          </w:p>
        </w:tc>
      </w:tr>
      <w:tr w:rsidR="00E93F58" w:rsidRPr="00576D60" w14:paraId="0F0FF9F9" w14:textId="77777777" w:rsidTr="002F32E3">
        <w:trPr>
          <w:cantSplit/>
        </w:trPr>
        <w:tc>
          <w:tcPr>
            <w:tcW w:w="1500" w:type="pct"/>
            <w:shd w:val="clear" w:color="auto" w:fill="auto"/>
          </w:tcPr>
          <w:p w14:paraId="752796CC" w14:textId="77777777" w:rsidR="00E93F58" w:rsidRPr="00576D60" w:rsidRDefault="00E93F58" w:rsidP="002F32E3">
            <w:pPr>
              <w:pStyle w:val="ENoteTableText"/>
              <w:tabs>
                <w:tab w:val="left" w:leader="dot" w:pos="2268"/>
              </w:tabs>
            </w:pPr>
            <w:r w:rsidRPr="00576D60">
              <w:t>r. 7.9.07N</w:t>
            </w:r>
            <w:r w:rsidRPr="00576D60">
              <w:tab/>
            </w:r>
          </w:p>
        </w:tc>
        <w:tc>
          <w:tcPr>
            <w:tcW w:w="3500" w:type="pct"/>
            <w:shd w:val="clear" w:color="auto" w:fill="auto"/>
          </w:tcPr>
          <w:p w14:paraId="0AD10095" w14:textId="77777777" w:rsidR="00E93F58" w:rsidRPr="00576D60" w:rsidRDefault="00E93F58" w:rsidP="002F32E3">
            <w:pPr>
              <w:pStyle w:val="ENoteTableText"/>
            </w:pPr>
            <w:r w:rsidRPr="00576D60">
              <w:t>ad. No. 155, 2013</w:t>
            </w:r>
          </w:p>
        </w:tc>
      </w:tr>
      <w:tr w:rsidR="00E93F58" w:rsidRPr="00576D60" w14:paraId="57EE74CC" w14:textId="77777777" w:rsidTr="002F32E3">
        <w:trPr>
          <w:cantSplit/>
        </w:trPr>
        <w:tc>
          <w:tcPr>
            <w:tcW w:w="1500" w:type="pct"/>
            <w:shd w:val="clear" w:color="auto" w:fill="auto"/>
          </w:tcPr>
          <w:p w14:paraId="72F56E84" w14:textId="77777777" w:rsidR="00E93F58" w:rsidRPr="00576D60" w:rsidRDefault="00E93F58" w:rsidP="002F32E3">
            <w:pPr>
              <w:pStyle w:val="ENoteTableText"/>
              <w:tabs>
                <w:tab w:val="left" w:leader="dot" w:pos="2268"/>
              </w:tabs>
            </w:pPr>
            <w:r w:rsidRPr="00576D60">
              <w:t>r. 7.9.07P</w:t>
            </w:r>
            <w:r w:rsidRPr="00576D60">
              <w:tab/>
            </w:r>
          </w:p>
        </w:tc>
        <w:tc>
          <w:tcPr>
            <w:tcW w:w="3500" w:type="pct"/>
            <w:shd w:val="clear" w:color="auto" w:fill="auto"/>
          </w:tcPr>
          <w:p w14:paraId="4C9DAC79" w14:textId="77777777" w:rsidR="00E93F58" w:rsidRPr="00576D60" w:rsidRDefault="00E93F58" w:rsidP="002F32E3">
            <w:pPr>
              <w:pStyle w:val="ENoteTableText"/>
            </w:pPr>
            <w:r w:rsidRPr="00576D60">
              <w:t>ad. No. 155, 2013</w:t>
            </w:r>
          </w:p>
        </w:tc>
      </w:tr>
      <w:tr w:rsidR="00E93F58" w:rsidRPr="00576D60" w14:paraId="24A46A8D" w14:textId="77777777" w:rsidTr="002F32E3">
        <w:trPr>
          <w:cantSplit/>
        </w:trPr>
        <w:tc>
          <w:tcPr>
            <w:tcW w:w="1500" w:type="pct"/>
            <w:shd w:val="clear" w:color="auto" w:fill="auto"/>
          </w:tcPr>
          <w:p w14:paraId="7203A3F4" w14:textId="77777777" w:rsidR="00E93F58" w:rsidRPr="00576D60" w:rsidRDefault="00E93F58" w:rsidP="002F32E3">
            <w:pPr>
              <w:pStyle w:val="ENoteTableText"/>
              <w:tabs>
                <w:tab w:val="left" w:leader="dot" w:pos="2268"/>
              </w:tabs>
            </w:pPr>
            <w:r w:rsidRPr="00576D60">
              <w:t>r. 7.9.07Q</w:t>
            </w:r>
            <w:r w:rsidRPr="00576D60">
              <w:tab/>
            </w:r>
          </w:p>
        </w:tc>
        <w:tc>
          <w:tcPr>
            <w:tcW w:w="3500" w:type="pct"/>
            <w:shd w:val="clear" w:color="auto" w:fill="auto"/>
          </w:tcPr>
          <w:p w14:paraId="10B5AC6C" w14:textId="77777777" w:rsidR="00E93F58" w:rsidRPr="00576D60" w:rsidRDefault="00E93F58" w:rsidP="002F32E3">
            <w:pPr>
              <w:pStyle w:val="ENoteTableText"/>
            </w:pPr>
            <w:r w:rsidRPr="00576D60">
              <w:t>ad. No. 155, 2013</w:t>
            </w:r>
          </w:p>
        </w:tc>
      </w:tr>
      <w:tr w:rsidR="00E93F58" w:rsidRPr="00576D60" w14:paraId="187CC532" w14:textId="77777777" w:rsidTr="002F32E3">
        <w:trPr>
          <w:cantSplit/>
        </w:trPr>
        <w:tc>
          <w:tcPr>
            <w:tcW w:w="1500" w:type="pct"/>
            <w:shd w:val="clear" w:color="auto" w:fill="auto"/>
          </w:tcPr>
          <w:p w14:paraId="5298695B" w14:textId="77777777" w:rsidR="00E93F58" w:rsidRPr="00576D60" w:rsidRDefault="00E93F58" w:rsidP="002F32E3">
            <w:pPr>
              <w:pStyle w:val="ENoteTableText"/>
              <w:tabs>
                <w:tab w:val="left" w:leader="dot" w:pos="2268"/>
              </w:tabs>
            </w:pPr>
            <w:r w:rsidRPr="00576D60">
              <w:t>r. 7.9.07R</w:t>
            </w:r>
            <w:r w:rsidRPr="00576D60">
              <w:tab/>
            </w:r>
          </w:p>
        </w:tc>
        <w:tc>
          <w:tcPr>
            <w:tcW w:w="3500" w:type="pct"/>
            <w:shd w:val="clear" w:color="auto" w:fill="auto"/>
          </w:tcPr>
          <w:p w14:paraId="3C0EA27F" w14:textId="77777777" w:rsidR="00E93F58" w:rsidRPr="00576D60" w:rsidRDefault="00E93F58" w:rsidP="002F32E3">
            <w:pPr>
              <w:pStyle w:val="ENoteTableText"/>
            </w:pPr>
            <w:r w:rsidRPr="00576D60">
              <w:t>ad. No. 155, 2013</w:t>
            </w:r>
          </w:p>
        </w:tc>
      </w:tr>
      <w:tr w:rsidR="00E93F58" w:rsidRPr="00576D60" w14:paraId="0030C06D" w14:textId="77777777" w:rsidTr="002F32E3">
        <w:trPr>
          <w:cantSplit/>
        </w:trPr>
        <w:tc>
          <w:tcPr>
            <w:tcW w:w="1500" w:type="pct"/>
            <w:shd w:val="clear" w:color="auto" w:fill="auto"/>
          </w:tcPr>
          <w:p w14:paraId="05A5C797" w14:textId="77777777" w:rsidR="00E93F58" w:rsidRPr="00576D60" w:rsidRDefault="00E93F58" w:rsidP="002F32E3">
            <w:pPr>
              <w:pStyle w:val="ENoteTableText"/>
              <w:tabs>
                <w:tab w:val="left" w:leader="dot" w:pos="2268"/>
              </w:tabs>
            </w:pPr>
            <w:r w:rsidRPr="00576D60">
              <w:t>r. 7.9.07S</w:t>
            </w:r>
            <w:r w:rsidRPr="00576D60">
              <w:tab/>
            </w:r>
          </w:p>
        </w:tc>
        <w:tc>
          <w:tcPr>
            <w:tcW w:w="3500" w:type="pct"/>
            <w:shd w:val="clear" w:color="auto" w:fill="auto"/>
          </w:tcPr>
          <w:p w14:paraId="43E696B7" w14:textId="77777777" w:rsidR="00E93F58" w:rsidRPr="00576D60" w:rsidRDefault="00E93F58" w:rsidP="002F32E3">
            <w:pPr>
              <w:pStyle w:val="ENoteTableText"/>
            </w:pPr>
            <w:r w:rsidRPr="00576D60">
              <w:t>ad. No. 155, 2013</w:t>
            </w:r>
          </w:p>
        </w:tc>
      </w:tr>
      <w:tr w:rsidR="00E93F58" w:rsidRPr="00576D60" w14:paraId="6C96E50B" w14:textId="77777777" w:rsidTr="002F32E3">
        <w:trPr>
          <w:cantSplit/>
        </w:trPr>
        <w:tc>
          <w:tcPr>
            <w:tcW w:w="1500" w:type="pct"/>
            <w:shd w:val="clear" w:color="auto" w:fill="auto"/>
          </w:tcPr>
          <w:p w14:paraId="6952D62F" w14:textId="77777777" w:rsidR="00E93F58" w:rsidRPr="00576D60" w:rsidRDefault="00E93F58" w:rsidP="002F32E3">
            <w:pPr>
              <w:pStyle w:val="ENoteTableText"/>
              <w:tabs>
                <w:tab w:val="left" w:leader="dot" w:pos="2268"/>
              </w:tabs>
            </w:pPr>
            <w:r w:rsidRPr="00576D60">
              <w:t>r. 7.9.07T</w:t>
            </w:r>
            <w:r w:rsidRPr="00576D60">
              <w:tab/>
            </w:r>
          </w:p>
        </w:tc>
        <w:tc>
          <w:tcPr>
            <w:tcW w:w="3500" w:type="pct"/>
            <w:shd w:val="clear" w:color="auto" w:fill="auto"/>
          </w:tcPr>
          <w:p w14:paraId="29EFB8F2" w14:textId="77777777" w:rsidR="00E93F58" w:rsidRPr="00576D60" w:rsidRDefault="00E93F58" w:rsidP="002F32E3">
            <w:pPr>
              <w:pStyle w:val="ENoteTableText"/>
            </w:pPr>
            <w:r w:rsidRPr="00576D60">
              <w:t>ad. No. 155, 2013</w:t>
            </w:r>
          </w:p>
        </w:tc>
      </w:tr>
      <w:tr w:rsidR="00E93F58" w:rsidRPr="00576D60" w14:paraId="1FBAD31A" w14:textId="77777777" w:rsidTr="002F32E3">
        <w:trPr>
          <w:cantSplit/>
        </w:trPr>
        <w:tc>
          <w:tcPr>
            <w:tcW w:w="1500" w:type="pct"/>
            <w:shd w:val="clear" w:color="auto" w:fill="auto"/>
          </w:tcPr>
          <w:p w14:paraId="73DDBB9F" w14:textId="77777777" w:rsidR="00E93F58" w:rsidRPr="00576D60" w:rsidRDefault="00E93F58" w:rsidP="002F32E3">
            <w:pPr>
              <w:pStyle w:val="ENoteTableText"/>
              <w:tabs>
                <w:tab w:val="left" w:leader="dot" w:pos="2268"/>
              </w:tabs>
            </w:pPr>
            <w:r w:rsidRPr="00576D60">
              <w:t>r. 7.9.07U</w:t>
            </w:r>
            <w:r w:rsidRPr="00576D60">
              <w:tab/>
            </w:r>
          </w:p>
        </w:tc>
        <w:tc>
          <w:tcPr>
            <w:tcW w:w="3500" w:type="pct"/>
            <w:shd w:val="clear" w:color="auto" w:fill="auto"/>
          </w:tcPr>
          <w:p w14:paraId="1C73C0DE" w14:textId="77777777" w:rsidR="00E93F58" w:rsidRPr="00576D60" w:rsidRDefault="00E93F58" w:rsidP="002F32E3">
            <w:pPr>
              <w:pStyle w:val="ENoteTableText"/>
            </w:pPr>
            <w:r w:rsidRPr="00576D60">
              <w:t>ad. No. 155, 2013</w:t>
            </w:r>
          </w:p>
        </w:tc>
      </w:tr>
      <w:tr w:rsidR="00E93F58" w:rsidRPr="00576D60" w14:paraId="3A5C9D39" w14:textId="77777777" w:rsidTr="002F32E3">
        <w:trPr>
          <w:cantSplit/>
        </w:trPr>
        <w:tc>
          <w:tcPr>
            <w:tcW w:w="1500" w:type="pct"/>
            <w:shd w:val="clear" w:color="auto" w:fill="auto"/>
          </w:tcPr>
          <w:p w14:paraId="5D4146BD" w14:textId="77777777" w:rsidR="00E93F58" w:rsidRPr="00576D60" w:rsidRDefault="00E93F58" w:rsidP="002F32E3">
            <w:pPr>
              <w:pStyle w:val="ENoteTableText"/>
              <w:tabs>
                <w:tab w:val="left" w:leader="dot" w:pos="2268"/>
              </w:tabs>
            </w:pPr>
            <w:r w:rsidRPr="00576D60">
              <w:t>r. 7.9.07V</w:t>
            </w:r>
            <w:r w:rsidRPr="00576D60">
              <w:tab/>
            </w:r>
          </w:p>
        </w:tc>
        <w:tc>
          <w:tcPr>
            <w:tcW w:w="3500" w:type="pct"/>
            <w:shd w:val="clear" w:color="auto" w:fill="auto"/>
          </w:tcPr>
          <w:p w14:paraId="2C43A6A4" w14:textId="77777777" w:rsidR="00E93F58" w:rsidRPr="00576D60" w:rsidRDefault="00E93F58" w:rsidP="002F32E3">
            <w:pPr>
              <w:pStyle w:val="ENoteTableText"/>
            </w:pPr>
            <w:r w:rsidRPr="00576D60">
              <w:t>ad. No. 155, 2013</w:t>
            </w:r>
          </w:p>
        </w:tc>
      </w:tr>
      <w:tr w:rsidR="00E93F58" w:rsidRPr="00576D60" w14:paraId="38773AFA" w14:textId="77777777" w:rsidTr="002F32E3">
        <w:trPr>
          <w:cantSplit/>
        </w:trPr>
        <w:tc>
          <w:tcPr>
            <w:tcW w:w="1500" w:type="pct"/>
            <w:shd w:val="clear" w:color="auto" w:fill="auto"/>
          </w:tcPr>
          <w:p w14:paraId="0E085DAA" w14:textId="77777777" w:rsidR="00E93F58" w:rsidRPr="00576D60" w:rsidRDefault="00E93F58" w:rsidP="002F32E3">
            <w:pPr>
              <w:pStyle w:val="ENoteTableText"/>
              <w:tabs>
                <w:tab w:val="left" w:leader="dot" w:pos="2268"/>
              </w:tabs>
            </w:pPr>
            <w:r w:rsidRPr="00576D60">
              <w:t>r. 7.9.07W</w:t>
            </w:r>
            <w:r w:rsidRPr="00576D60">
              <w:tab/>
            </w:r>
          </w:p>
        </w:tc>
        <w:tc>
          <w:tcPr>
            <w:tcW w:w="3500" w:type="pct"/>
            <w:shd w:val="clear" w:color="auto" w:fill="auto"/>
          </w:tcPr>
          <w:p w14:paraId="71FE00F2" w14:textId="77777777" w:rsidR="00E93F58" w:rsidRPr="00576D60" w:rsidRDefault="00E93F58" w:rsidP="002F32E3">
            <w:pPr>
              <w:pStyle w:val="ENoteTableText"/>
            </w:pPr>
            <w:r w:rsidRPr="00576D60">
              <w:t>ad. No. 155, 2013</w:t>
            </w:r>
          </w:p>
        </w:tc>
      </w:tr>
      <w:tr w:rsidR="00E93F58" w:rsidRPr="00576D60" w14:paraId="065B3158" w14:textId="77777777" w:rsidTr="002F32E3">
        <w:trPr>
          <w:cantSplit/>
        </w:trPr>
        <w:tc>
          <w:tcPr>
            <w:tcW w:w="1500" w:type="pct"/>
            <w:shd w:val="clear" w:color="auto" w:fill="auto"/>
          </w:tcPr>
          <w:p w14:paraId="511E546C" w14:textId="77777777" w:rsidR="00E93F58" w:rsidRPr="00576D60" w:rsidRDefault="00E93F58" w:rsidP="002F32E3">
            <w:pPr>
              <w:pStyle w:val="ENoteTableText"/>
              <w:tabs>
                <w:tab w:val="left" w:leader="dot" w:pos="2268"/>
              </w:tabs>
              <w:rPr>
                <w:b/>
              </w:rPr>
            </w:pPr>
            <w:r>
              <w:rPr>
                <w:b/>
              </w:rPr>
              <w:t>Subdivision 2</w:t>
            </w:r>
            <w:r w:rsidRPr="00576D60">
              <w:rPr>
                <w:b/>
              </w:rPr>
              <w:t>E.2</w:t>
            </w:r>
          </w:p>
        </w:tc>
        <w:tc>
          <w:tcPr>
            <w:tcW w:w="3500" w:type="pct"/>
            <w:shd w:val="clear" w:color="auto" w:fill="auto"/>
          </w:tcPr>
          <w:p w14:paraId="139997A4" w14:textId="77777777" w:rsidR="00E93F58" w:rsidRPr="00576D60" w:rsidRDefault="00E93F58" w:rsidP="002F32E3">
            <w:pPr>
              <w:pStyle w:val="ENoteTableText"/>
            </w:pPr>
          </w:p>
        </w:tc>
      </w:tr>
      <w:tr w:rsidR="00E93F58" w:rsidRPr="00576D60" w14:paraId="02E9BF51" w14:textId="77777777" w:rsidTr="002F32E3">
        <w:trPr>
          <w:cantSplit/>
        </w:trPr>
        <w:tc>
          <w:tcPr>
            <w:tcW w:w="1500" w:type="pct"/>
            <w:shd w:val="clear" w:color="auto" w:fill="auto"/>
          </w:tcPr>
          <w:p w14:paraId="7380AA5F" w14:textId="77777777" w:rsidR="00E93F58" w:rsidRPr="00576D60" w:rsidRDefault="00E93F58" w:rsidP="002F32E3">
            <w:pPr>
              <w:pStyle w:val="ENoteTableText"/>
              <w:tabs>
                <w:tab w:val="left" w:leader="dot" w:pos="2268"/>
              </w:tabs>
            </w:pPr>
            <w:r>
              <w:t>Subdivision 2</w:t>
            </w:r>
            <w:r w:rsidRPr="00576D60">
              <w:t>E.2</w:t>
            </w:r>
            <w:r w:rsidRPr="00576D60">
              <w:tab/>
            </w:r>
          </w:p>
        </w:tc>
        <w:tc>
          <w:tcPr>
            <w:tcW w:w="3500" w:type="pct"/>
            <w:shd w:val="clear" w:color="auto" w:fill="auto"/>
          </w:tcPr>
          <w:p w14:paraId="2A150190" w14:textId="77777777" w:rsidR="00E93F58" w:rsidRPr="00576D60" w:rsidRDefault="00E93F58" w:rsidP="002F32E3">
            <w:pPr>
              <w:pStyle w:val="ENoteTableText"/>
            </w:pPr>
            <w:r w:rsidRPr="00576D60">
              <w:t>ad F2021L01531</w:t>
            </w:r>
          </w:p>
        </w:tc>
      </w:tr>
      <w:tr w:rsidR="00E93F58" w:rsidRPr="00576D60" w14:paraId="47804254" w14:textId="77777777" w:rsidTr="002F32E3">
        <w:trPr>
          <w:cantSplit/>
        </w:trPr>
        <w:tc>
          <w:tcPr>
            <w:tcW w:w="1500" w:type="pct"/>
            <w:shd w:val="clear" w:color="auto" w:fill="auto"/>
          </w:tcPr>
          <w:p w14:paraId="5C5D3D46" w14:textId="77777777" w:rsidR="00E93F58" w:rsidRPr="00576D60" w:rsidRDefault="00E93F58" w:rsidP="002F32E3">
            <w:pPr>
              <w:pStyle w:val="ENoteTableText"/>
              <w:tabs>
                <w:tab w:val="left" w:leader="dot" w:pos="2268"/>
              </w:tabs>
            </w:pPr>
            <w:r w:rsidRPr="00576D60">
              <w:t>7.9.07Z</w:t>
            </w:r>
            <w:r w:rsidRPr="00576D60">
              <w:tab/>
            </w:r>
          </w:p>
        </w:tc>
        <w:tc>
          <w:tcPr>
            <w:tcW w:w="3500" w:type="pct"/>
            <w:shd w:val="clear" w:color="auto" w:fill="auto"/>
          </w:tcPr>
          <w:p w14:paraId="00047EC7" w14:textId="77777777" w:rsidR="00E93F58" w:rsidRPr="00576D60" w:rsidRDefault="00E93F58" w:rsidP="002F32E3">
            <w:pPr>
              <w:pStyle w:val="ENoteTableText"/>
            </w:pPr>
            <w:r w:rsidRPr="00576D60">
              <w:t>ad F2021L01531</w:t>
            </w:r>
          </w:p>
        </w:tc>
      </w:tr>
      <w:tr w:rsidR="00E93F58" w:rsidRPr="00576D60" w14:paraId="08C3ECFA" w14:textId="77777777" w:rsidTr="002F32E3">
        <w:trPr>
          <w:cantSplit/>
        </w:trPr>
        <w:tc>
          <w:tcPr>
            <w:tcW w:w="1500" w:type="pct"/>
            <w:shd w:val="clear" w:color="auto" w:fill="auto"/>
          </w:tcPr>
          <w:p w14:paraId="1E7D6689" w14:textId="77777777" w:rsidR="00E93F58" w:rsidRPr="00576D60" w:rsidRDefault="00E93F58" w:rsidP="003D2B1E">
            <w:pPr>
              <w:pStyle w:val="ENoteTableText"/>
              <w:tabs>
                <w:tab w:val="left" w:leader="dot" w:pos="2268"/>
              </w:tabs>
            </w:pPr>
            <w:r w:rsidRPr="00576D60">
              <w:t>7.9.07ZA</w:t>
            </w:r>
            <w:r w:rsidRPr="00576D60">
              <w:tab/>
            </w:r>
          </w:p>
        </w:tc>
        <w:tc>
          <w:tcPr>
            <w:tcW w:w="3500" w:type="pct"/>
            <w:shd w:val="clear" w:color="auto" w:fill="auto"/>
          </w:tcPr>
          <w:p w14:paraId="4BD36B30" w14:textId="77777777" w:rsidR="00E93F58" w:rsidRPr="00576D60" w:rsidRDefault="00E93F58" w:rsidP="003D2B1E">
            <w:pPr>
              <w:pStyle w:val="ENoteTableText"/>
            </w:pPr>
            <w:r w:rsidRPr="00576D60">
              <w:t>ad F2021L01531</w:t>
            </w:r>
          </w:p>
        </w:tc>
      </w:tr>
      <w:tr w:rsidR="00E93F58" w:rsidRPr="00576D60" w14:paraId="74488E49" w14:textId="77777777" w:rsidTr="002F32E3">
        <w:trPr>
          <w:cantSplit/>
        </w:trPr>
        <w:tc>
          <w:tcPr>
            <w:tcW w:w="1500" w:type="pct"/>
            <w:shd w:val="clear" w:color="auto" w:fill="auto"/>
          </w:tcPr>
          <w:p w14:paraId="5F66F2CF" w14:textId="77777777" w:rsidR="00E93F58" w:rsidRPr="00576D60" w:rsidRDefault="00E93F58" w:rsidP="003D2B1E">
            <w:pPr>
              <w:pStyle w:val="ENoteTableText"/>
              <w:tabs>
                <w:tab w:val="left" w:leader="dot" w:pos="2268"/>
              </w:tabs>
              <w:rPr>
                <w:b/>
              </w:rPr>
            </w:pPr>
            <w:r>
              <w:rPr>
                <w:b/>
              </w:rPr>
              <w:t>Subdivision 2</w:t>
            </w:r>
            <w:r w:rsidRPr="00576D60">
              <w:rPr>
                <w:b/>
              </w:rPr>
              <w:t>E.3</w:t>
            </w:r>
          </w:p>
        </w:tc>
        <w:tc>
          <w:tcPr>
            <w:tcW w:w="3500" w:type="pct"/>
            <w:shd w:val="clear" w:color="auto" w:fill="auto"/>
          </w:tcPr>
          <w:p w14:paraId="0B7DCDB0" w14:textId="77777777" w:rsidR="00E93F58" w:rsidRPr="00576D60" w:rsidRDefault="00E93F58" w:rsidP="003D2B1E">
            <w:pPr>
              <w:pStyle w:val="ENoteTableText"/>
            </w:pPr>
          </w:p>
        </w:tc>
      </w:tr>
      <w:tr w:rsidR="00E93F58" w:rsidRPr="00576D60" w14:paraId="4F1F7E9C" w14:textId="77777777" w:rsidTr="002F32E3">
        <w:trPr>
          <w:cantSplit/>
        </w:trPr>
        <w:tc>
          <w:tcPr>
            <w:tcW w:w="1500" w:type="pct"/>
            <w:shd w:val="clear" w:color="auto" w:fill="auto"/>
          </w:tcPr>
          <w:p w14:paraId="1E876CF3" w14:textId="77777777" w:rsidR="00E93F58" w:rsidRPr="00576D60" w:rsidRDefault="00E93F58" w:rsidP="003D2B1E">
            <w:pPr>
              <w:pStyle w:val="ENoteTableText"/>
              <w:tabs>
                <w:tab w:val="left" w:leader="dot" w:pos="2268"/>
              </w:tabs>
            </w:pPr>
            <w:r>
              <w:t>Subdivision 2</w:t>
            </w:r>
            <w:r w:rsidRPr="00576D60">
              <w:t>E.3</w:t>
            </w:r>
            <w:r w:rsidRPr="00576D60">
              <w:tab/>
            </w:r>
          </w:p>
        </w:tc>
        <w:tc>
          <w:tcPr>
            <w:tcW w:w="3500" w:type="pct"/>
            <w:shd w:val="clear" w:color="auto" w:fill="auto"/>
          </w:tcPr>
          <w:p w14:paraId="4C6B6571" w14:textId="77777777" w:rsidR="00E93F58" w:rsidRPr="00576D60" w:rsidRDefault="00E93F58" w:rsidP="003D2B1E">
            <w:pPr>
              <w:pStyle w:val="ENoteTableText"/>
            </w:pPr>
            <w:r w:rsidRPr="00576D60">
              <w:t>ad F2023L00990</w:t>
            </w:r>
          </w:p>
        </w:tc>
      </w:tr>
      <w:tr w:rsidR="00E93F58" w:rsidRPr="00576D60" w14:paraId="6FB879D3" w14:textId="77777777" w:rsidTr="002F32E3">
        <w:trPr>
          <w:cantSplit/>
        </w:trPr>
        <w:tc>
          <w:tcPr>
            <w:tcW w:w="1500" w:type="pct"/>
            <w:shd w:val="clear" w:color="auto" w:fill="auto"/>
          </w:tcPr>
          <w:p w14:paraId="0649095B" w14:textId="77777777" w:rsidR="00E93F58" w:rsidRPr="00576D60" w:rsidRDefault="00E93F58" w:rsidP="003D2B1E">
            <w:pPr>
              <w:pStyle w:val="ENoteTableText"/>
              <w:tabs>
                <w:tab w:val="left" w:leader="dot" w:pos="2268"/>
              </w:tabs>
            </w:pPr>
            <w:r w:rsidRPr="00576D60">
              <w:t>r 7.9.07ZB</w:t>
            </w:r>
            <w:r w:rsidRPr="00576D60">
              <w:tab/>
            </w:r>
          </w:p>
        </w:tc>
        <w:tc>
          <w:tcPr>
            <w:tcW w:w="3500" w:type="pct"/>
            <w:shd w:val="clear" w:color="auto" w:fill="auto"/>
          </w:tcPr>
          <w:p w14:paraId="3AF8A400" w14:textId="77777777" w:rsidR="00E93F58" w:rsidRPr="00576D60" w:rsidRDefault="00E93F58" w:rsidP="003D2B1E">
            <w:pPr>
              <w:pStyle w:val="ENoteTableText"/>
            </w:pPr>
            <w:r w:rsidRPr="00576D60">
              <w:t>ad F2023L00990</w:t>
            </w:r>
          </w:p>
        </w:tc>
      </w:tr>
      <w:tr w:rsidR="00E93F58" w:rsidRPr="00576D60" w14:paraId="468438FC" w14:textId="77777777" w:rsidTr="002F32E3">
        <w:trPr>
          <w:cantSplit/>
        </w:trPr>
        <w:tc>
          <w:tcPr>
            <w:tcW w:w="1500" w:type="pct"/>
            <w:shd w:val="clear" w:color="auto" w:fill="auto"/>
          </w:tcPr>
          <w:p w14:paraId="13268E17" w14:textId="77777777" w:rsidR="00E93F58" w:rsidRPr="00576D60" w:rsidRDefault="00E93F58" w:rsidP="003D2B1E">
            <w:pPr>
              <w:pStyle w:val="ENoteTableText"/>
              <w:tabs>
                <w:tab w:val="left" w:leader="dot" w:pos="2268"/>
              </w:tabs>
            </w:pPr>
          </w:p>
        </w:tc>
        <w:tc>
          <w:tcPr>
            <w:tcW w:w="3500" w:type="pct"/>
            <w:shd w:val="clear" w:color="auto" w:fill="auto"/>
          </w:tcPr>
          <w:p w14:paraId="4925B457" w14:textId="77777777" w:rsidR="00E93F58" w:rsidRPr="00576D60" w:rsidRDefault="00E93F58" w:rsidP="003D2B1E">
            <w:pPr>
              <w:pStyle w:val="ENoteTableText"/>
            </w:pPr>
            <w:r>
              <w:t>am F2023L01458</w:t>
            </w:r>
          </w:p>
        </w:tc>
      </w:tr>
      <w:tr w:rsidR="00E93F58" w:rsidRPr="00576D60" w14:paraId="4D0139B1" w14:textId="77777777" w:rsidTr="002F32E3">
        <w:trPr>
          <w:cantSplit/>
        </w:trPr>
        <w:tc>
          <w:tcPr>
            <w:tcW w:w="1500" w:type="pct"/>
            <w:shd w:val="clear" w:color="auto" w:fill="auto"/>
          </w:tcPr>
          <w:p w14:paraId="598AEB0B" w14:textId="77777777" w:rsidR="00E93F58" w:rsidRPr="00576D60" w:rsidRDefault="00E93F58" w:rsidP="003D2B1E">
            <w:pPr>
              <w:pStyle w:val="ENoteTableText"/>
              <w:tabs>
                <w:tab w:val="left" w:leader="dot" w:pos="2268"/>
              </w:tabs>
            </w:pPr>
            <w:r w:rsidRPr="00576D60">
              <w:t>r 7.9.07ZC</w:t>
            </w:r>
            <w:r w:rsidRPr="00576D60">
              <w:tab/>
            </w:r>
          </w:p>
        </w:tc>
        <w:tc>
          <w:tcPr>
            <w:tcW w:w="3500" w:type="pct"/>
            <w:shd w:val="clear" w:color="auto" w:fill="auto"/>
          </w:tcPr>
          <w:p w14:paraId="4167FA7C" w14:textId="77777777" w:rsidR="00E93F58" w:rsidRPr="00576D60" w:rsidRDefault="00E93F58" w:rsidP="003D2B1E">
            <w:pPr>
              <w:pStyle w:val="ENoteTableText"/>
            </w:pPr>
            <w:r w:rsidRPr="00576D60">
              <w:t>ad F2023L00990</w:t>
            </w:r>
          </w:p>
        </w:tc>
      </w:tr>
      <w:tr w:rsidR="00E93F58" w:rsidRPr="00576D60" w14:paraId="345FC492" w14:textId="77777777" w:rsidTr="002F32E3">
        <w:trPr>
          <w:cantSplit/>
        </w:trPr>
        <w:tc>
          <w:tcPr>
            <w:tcW w:w="1500" w:type="pct"/>
            <w:shd w:val="clear" w:color="auto" w:fill="auto"/>
          </w:tcPr>
          <w:p w14:paraId="430F228D" w14:textId="77777777" w:rsidR="00E93F58" w:rsidRPr="00576D60" w:rsidRDefault="00E93F58" w:rsidP="003D2B1E">
            <w:pPr>
              <w:pStyle w:val="ENoteTableText"/>
              <w:tabs>
                <w:tab w:val="left" w:leader="dot" w:pos="2268"/>
              </w:tabs>
              <w:rPr>
                <w:b/>
              </w:rPr>
            </w:pPr>
            <w:r w:rsidRPr="00576D60">
              <w:rPr>
                <w:b/>
              </w:rPr>
              <w:t>Division 3</w:t>
            </w:r>
          </w:p>
        </w:tc>
        <w:tc>
          <w:tcPr>
            <w:tcW w:w="3500" w:type="pct"/>
            <w:shd w:val="clear" w:color="auto" w:fill="auto"/>
          </w:tcPr>
          <w:p w14:paraId="36AD609A" w14:textId="77777777" w:rsidR="00E93F58" w:rsidRPr="00576D60" w:rsidRDefault="00E93F58" w:rsidP="003D2B1E">
            <w:pPr>
              <w:pStyle w:val="ENoteTableText"/>
            </w:pPr>
          </w:p>
        </w:tc>
      </w:tr>
      <w:tr w:rsidR="00E93F58" w:rsidRPr="00576D60" w14:paraId="27D1BF96" w14:textId="77777777" w:rsidTr="002F32E3">
        <w:trPr>
          <w:cantSplit/>
        </w:trPr>
        <w:tc>
          <w:tcPr>
            <w:tcW w:w="1500" w:type="pct"/>
            <w:shd w:val="clear" w:color="auto" w:fill="auto"/>
          </w:tcPr>
          <w:p w14:paraId="5904D999" w14:textId="77777777" w:rsidR="00E93F58" w:rsidRPr="00576D60" w:rsidRDefault="00E93F58" w:rsidP="003D2B1E">
            <w:pPr>
              <w:pStyle w:val="ENoteTableText"/>
              <w:tabs>
                <w:tab w:val="left" w:leader="dot" w:pos="2268"/>
              </w:tabs>
            </w:pPr>
            <w:r w:rsidRPr="00576D60">
              <w:t>r. 7.9.08</w:t>
            </w:r>
            <w:r w:rsidRPr="00576D60">
              <w:tab/>
            </w:r>
          </w:p>
        </w:tc>
        <w:tc>
          <w:tcPr>
            <w:tcW w:w="3500" w:type="pct"/>
            <w:shd w:val="clear" w:color="auto" w:fill="auto"/>
          </w:tcPr>
          <w:p w14:paraId="2A1CA424" w14:textId="77777777" w:rsidR="00E93F58" w:rsidRPr="00576D60" w:rsidRDefault="00E93F58" w:rsidP="003D2B1E">
            <w:pPr>
              <w:pStyle w:val="ENoteTableText"/>
            </w:pPr>
            <w:r w:rsidRPr="00576D60">
              <w:t>ad. 2001 No. 319</w:t>
            </w:r>
          </w:p>
        </w:tc>
      </w:tr>
      <w:tr w:rsidR="00E93F58" w:rsidRPr="00576D60" w14:paraId="12D61DE1" w14:textId="77777777" w:rsidTr="002F32E3">
        <w:trPr>
          <w:cantSplit/>
        </w:trPr>
        <w:tc>
          <w:tcPr>
            <w:tcW w:w="1500" w:type="pct"/>
            <w:shd w:val="clear" w:color="auto" w:fill="auto"/>
          </w:tcPr>
          <w:p w14:paraId="34AFB469" w14:textId="77777777" w:rsidR="00E93F58" w:rsidRPr="00576D60" w:rsidRDefault="00E93F58" w:rsidP="003D2B1E">
            <w:pPr>
              <w:pStyle w:val="ENoteTableText"/>
            </w:pPr>
          </w:p>
        </w:tc>
        <w:tc>
          <w:tcPr>
            <w:tcW w:w="3500" w:type="pct"/>
            <w:shd w:val="clear" w:color="auto" w:fill="auto"/>
          </w:tcPr>
          <w:p w14:paraId="53A8EE98" w14:textId="77777777" w:rsidR="00E93F58" w:rsidRPr="00576D60" w:rsidRDefault="00E93F58" w:rsidP="003D2B1E">
            <w:pPr>
              <w:pStyle w:val="ENoteTableText"/>
            </w:pPr>
            <w:r w:rsidRPr="00576D60">
              <w:t>am. 2002 No. 41; 2005 No. 31</w:t>
            </w:r>
          </w:p>
        </w:tc>
      </w:tr>
      <w:tr w:rsidR="00E93F58" w:rsidRPr="00576D60" w14:paraId="57DCE958" w14:textId="77777777" w:rsidTr="002F32E3">
        <w:trPr>
          <w:cantSplit/>
        </w:trPr>
        <w:tc>
          <w:tcPr>
            <w:tcW w:w="1500" w:type="pct"/>
            <w:shd w:val="clear" w:color="auto" w:fill="auto"/>
          </w:tcPr>
          <w:p w14:paraId="3B45005A" w14:textId="77777777" w:rsidR="00E93F58" w:rsidRPr="00576D60" w:rsidRDefault="00E93F58" w:rsidP="003D2B1E">
            <w:pPr>
              <w:pStyle w:val="ENoteTableText"/>
              <w:tabs>
                <w:tab w:val="left" w:leader="dot" w:pos="2268"/>
              </w:tabs>
            </w:pPr>
            <w:r w:rsidRPr="00576D60">
              <w:t>r. 7.9.08A</w:t>
            </w:r>
            <w:r w:rsidRPr="00576D60">
              <w:tab/>
            </w:r>
          </w:p>
        </w:tc>
        <w:tc>
          <w:tcPr>
            <w:tcW w:w="3500" w:type="pct"/>
            <w:shd w:val="clear" w:color="auto" w:fill="auto"/>
          </w:tcPr>
          <w:p w14:paraId="612B5EB3" w14:textId="77777777" w:rsidR="00E93F58" w:rsidRPr="00576D60" w:rsidRDefault="00E93F58" w:rsidP="003D2B1E">
            <w:pPr>
              <w:pStyle w:val="ENoteTableText"/>
            </w:pPr>
            <w:r w:rsidRPr="00576D60">
              <w:t>ad. 2002 No. 41</w:t>
            </w:r>
          </w:p>
        </w:tc>
      </w:tr>
      <w:tr w:rsidR="00E93F58" w:rsidRPr="00576D60" w14:paraId="24A2C6C5" w14:textId="77777777" w:rsidTr="002F32E3">
        <w:trPr>
          <w:cantSplit/>
        </w:trPr>
        <w:tc>
          <w:tcPr>
            <w:tcW w:w="1500" w:type="pct"/>
            <w:shd w:val="clear" w:color="auto" w:fill="auto"/>
          </w:tcPr>
          <w:p w14:paraId="50F0B986" w14:textId="77777777" w:rsidR="00E93F58" w:rsidRPr="00576D60" w:rsidRDefault="00E93F58" w:rsidP="003D2B1E">
            <w:pPr>
              <w:pStyle w:val="ENoteTableText"/>
              <w:tabs>
                <w:tab w:val="left" w:leader="dot" w:pos="2268"/>
              </w:tabs>
            </w:pPr>
            <w:r w:rsidRPr="00576D60">
              <w:t>r. 7.9.08B</w:t>
            </w:r>
            <w:r w:rsidRPr="00576D60">
              <w:tab/>
            </w:r>
          </w:p>
        </w:tc>
        <w:tc>
          <w:tcPr>
            <w:tcW w:w="3500" w:type="pct"/>
            <w:shd w:val="clear" w:color="auto" w:fill="auto"/>
          </w:tcPr>
          <w:p w14:paraId="3E0A1A61" w14:textId="77777777" w:rsidR="00E93F58" w:rsidRPr="00576D60" w:rsidRDefault="00E93F58" w:rsidP="003D2B1E">
            <w:pPr>
              <w:pStyle w:val="ENoteTableText"/>
            </w:pPr>
            <w:r w:rsidRPr="00576D60">
              <w:t>ad. 2002 No. 41</w:t>
            </w:r>
          </w:p>
        </w:tc>
      </w:tr>
      <w:tr w:rsidR="00E93F58" w:rsidRPr="00576D60" w14:paraId="5D5F2E43" w14:textId="77777777" w:rsidTr="002F32E3">
        <w:trPr>
          <w:cantSplit/>
        </w:trPr>
        <w:tc>
          <w:tcPr>
            <w:tcW w:w="1500" w:type="pct"/>
            <w:shd w:val="clear" w:color="auto" w:fill="auto"/>
          </w:tcPr>
          <w:p w14:paraId="13B02AA4" w14:textId="77777777" w:rsidR="00E93F58" w:rsidRPr="00576D60" w:rsidRDefault="00E93F58" w:rsidP="003D2B1E">
            <w:pPr>
              <w:pStyle w:val="ENoteTableText"/>
              <w:tabs>
                <w:tab w:val="left" w:leader="dot" w:pos="2268"/>
              </w:tabs>
            </w:pPr>
            <w:r w:rsidRPr="00576D60">
              <w:t>r 7.9.08C</w:t>
            </w:r>
            <w:r w:rsidRPr="00576D60">
              <w:tab/>
            </w:r>
          </w:p>
        </w:tc>
        <w:tc>
          <w:tcPr>
            <w:tcW w:w="3500" w:type="pct"/>
            <w:shd w:val="clear" w:color="auto" w:fill="auto"/>
          </w:tcPr>
          <w:p w14:paraId="68609C75" w14:textId="77777777" w:rsidR="00E93F58" w:rsidRPr="00576D60" w:rsidRDefault="00E93F58" w:rsidP="003D2B1E">
            <w:pPr>
              <w:pStyle w:val="ENoteTableText"/>
            </w:pPr>
            <w:r w:rsidRPr="00576D60">
              <w:t>ad</w:t>
            </w:r>
            <w:r>
              <w:t xml:space="preserve"> No 282, 2003</w:t>
            </w:r>
          </w:p>
        </w:tc>
      </w:tr>
      <w:tr w:rsidR="00E93F58" w:rsidRPr="00576D60" w14:paraId="5BC2B9B2" w14:textId="77777777" w:rsidTr="002F32E3">
        <w:trPr>
          <w:cantSplit/>
        </w:trPr>
        <w:tc>
          <w:tcPr>
            <w:tcW w:w="1500" w:type="pct"/>
            <w:shd w:val="clear" w:color="auto" w:fill="auto"/>
          </w:tcPr>
          <w:p w14:paraId="277EA08D" w14:textId="77777777" w:rsidR="00E93F58" w:rsidRPr="00576D60" w:rsidRDefault="00E93F58" w:rsidP="003D2B1E">
            <w:pPr>
              <w:pStyle w:val="ENoteTableText"/>
              <w:tabs>
                <w:tab w:val="left" w:leader="dot" w:pos="2268"/>
              </w:tabs>
            </w:pPr>
          </w:p>
        </w:tc>
        <w:tc>
          <w:tcPr>
            <w:tcW w:w="3500" w:type="pct"/>
            <w:shd w:val="clear" w:color="auto" w:fill="auto"/>
          </w:tcPr>
          <w:p w14:paraId="3FE1FD64" w14:textId="77777777" w:rsidR="00E93F58" w:rsidRPr="00576D60" w:rsidRDefault="00E93F58" w:rsidP="003D2B1E">
            <w:pPr>
              <w:pStyle w:val="ENoteTableText"/>
            </w:pPr>
            <w:r>
              <w:t>am F2023L01458</w:t>
            </w:r>
          </w:p>
        </w:tc>
      </w:tr>
      <w:tr w:rsidR="00E93F58" w:rsidRPr="00576D60" w14:paraId="6A02B0A3" w14:textId="77777777" w:rsidTr="002F32E3">
        <w:trPr>
          <w:cantSplit/>
        </w:trPr>
        <w:tc>
          <w:tcPr>
            <w:tcW w:w="1500" w:type="pct"/>
            <w:shd w:val="clear" w:color="auto" w:fill="auto"/>
          </w:tcPr>
          <w:p w14:paraId="585ACFBC" w14:textId="77777777" w:rsidR="00E93F58" w:rsidRPr="00576D60" w:rsidRDefault="00E93F58" w:rsidP="003D2B1E">
            <w:pPr>
              <w:pStyle w:val="ENoteTableText"/>
              <w:tabs>
                <w:tab w:val="left" w:leader="dot" w:pos="2268"/>
              </w:tabs>
            </w:pPr>
            <w:r w:rsidRPr="00576D60">
              <w:t>r. 7.9.08D</w:t>
            </w:r>
            <w:r w:rsidRPr="00576D60">
              <w:tab/>
            </w:r>
          </w:p>
        </w:tc>
        <w:tc>
          <w:tcPr>
            <w:tcW w:w="3500" w:type="pct"/>
            <w:shd w:val="clear" w:color="auto" w:fill="auto"/>
          </w:tcPr>
          <w:p w14:paraId="2EE0329E" w14:textId="77777777" w:rsidR="00E93F58" w:rsidRPr="00576D60" w:rsidRDefault="00E93F58" w:rsidP="003D2B1E">
            <w:pPr>
              <w:pStyle w:val="ENoteTableText"/>
            </w:pPr>
            <w:r w:rsidRPr="00576D60">
              <w:t>ad. 2005 No. 31</w:t>
            </w:r>
          </w:p>
        </w:tc>
      </w:tr>
      <w:tr w:rsidR="00E93F58" w:rsidRPr="00576D60" w14:paraId="5996D82B" w14:textId="77777777" w:rsidTr="002F32E3">
        <w:trPr>
          <w:cantSplit/>
        </w:trPr>
        <w:tc>
          <w:tcPr>
            <w:tcW w:w="1500" w:type="pct"/>
            <w:shd w:val="clear" w:color="auto" w:fill="auto"/>
          </w:tcPr>
          <w:p w14:paraId="043F43DF" w14:textId="77777777" w:rsidR="00E93F58" w:rsidRPr="00576D60" w:rsidRDefault="00E93F58" w:rsidP="003D2B1E">
            <w:pPr>
              <w:pStyle w:val="ENoteTableText"/>
              <w:tabs>
                <w:tab w:val="left" w:leader="dot" w:pos="2268"/>
              </w:tabs>
            </w:pPr>
            <w:r w:rsidRPr="00576D60">
              <w:t>Division 3A</w:t>
            </w:r>
            <w:r w:rsidRPr="00576D60">
              <w:tab/>
            </w:r>
          </w:p>
        </w:tc>
        <w:tc>
          <w:tcPr>
            <w:tcW w:w="3500" w:type="pct"/>
            <w:shd w:val="clear" w:color="auto" w:fill="auto"/>
          </w:tcPr>
          <w:p w14:paraId="0A1B6FA6" w14:textId="77777777" w:rsidR="00E93F58" w:rsidRPr="00576D60" w:rsidRDefault="00E93F58" w:rsidP="003D2B1E">
            <w:pPr>
              <w:pStyle w:val="ENoteTableText"/>
            </w:pPr>
            <w:r w:rsidRPr="00576D60">
              <w:t>ad. 2008 No. 194</w:t>
            </w:r>
          </w:p>
        </w:tc>
      </w:tr>
      <w:tr w:rsidR="00E93F58" w:rsidRPr="00576D60" w14:paraId="0E22E5F8" w14:textId="77777777" w:rsidTr="002F32E3">
        <w:trPr>
          <w:cantSplit/>
        </w:trPr>
        <w:tc>
          <w:tcPr>
            <w:tcW w:w="1500" w:type="pct"/>
            <w:shd w:val="clear" w:color="auto" w:fill="auto"/>
          </w:tcPr>
          <w:p w14:paraId="0AEFD18D" w14:textId="77777777" w:rsidR="00E93F58" w:rsidRPr="00576D60" w:rsidRDefault="00E93F58" w:rsidP="003D2B1E">
            <w:pPr>
              <w:pStyle w:val="ENoteTableText"/>
              <w:tabs>
                <w:tab w:val="left" w:leader="dot" w:pos="2268"/>
              </w:tabs>
            </w:pPr>
          </w:p>
        </w:tc>
        <w:tc>
          <w:tcPr>
            <w:tcW w:w="3500" w:type="pct"/>
            <w:shd w:val="clear" w:color="auto" w:fill="auto"/>
          </w:tcPr>
          <w:p w14:paraId="2D46BF3A" w14:textId="77777777" w:rsidR="00E93F58" w:rsidRPr="00576D60" w:rsidRDefault="00E93F58" w:rsidP="003D2B1E">
            <w:pPr>
              <w:pStyle w:val="ENoteTableText"/>
            </w:pPr>
            <w:r w:rsidRPr="00576D60">
              <w:t>rep No 91, 2015</w:t>
            </w:r>
          </w:p>
        </w:tc>
      </w:tr>
      <w:tr w:rsidR="00E93F58" w:rsidRPr="00576D60" w14:paraId="0C2BB3BC" w14:textId="77777777" w:rsidTr="002F32E3">
        <w:trPr>
          <w:cantSplit/>
        </w:trPr>
        <w:tc>
          <w:tcPr>
            <w:tcW w:w="1500" w:type="pct"/>
            <w:shd w:val="clear" w:color="auto" w:fill="auto"/>
          </w:tcPr>
          <w:p w14:paraId="6BDD2306" w14:textId="77777777" w:rsidR="00E93F58" w:rsidRPr="00576D60" w:rsidRDefault="00E93F58" w:rsidP="003D2B1E">
            <w:pPr>
              <w:pStyle w:val="ENoteTableText"/>
              <w:tabs>
                <w:tab w:val="left" w:leader="dot" w:pos="2268"/>
              </w:tabs>
            </w:pPr>
            <w:r w:rsidRPr="00576D60">
              <w:t>r. 7.9.08E</w:t>
            </w:r>
            <w:r w:rsidRPr="00576D60">
              <w:tab/>
            </w:r>
          </w:p>
        </w:tc>
        <w:tc>
          <w:tcPr>
            <w:tcW w:w="3500" w:type="pct"/>
            <w:shd w:val="clear" w:color="auto" w:fill="auto"/>
          </w:tcPr>
          <w:p w14:paraId="1D958568" w14:textId="77777777" w:rsidR="00E93F58" w:rsidRPr="00576D60" w:rsidRDefault="00E93F58" w:rsidP="003D2B1E">
            <w:pPr>
              <w:pStyle w:val="ENoteTableText"/>
            </w:pPr>
            <w:r w:rsidRPr="00576D60">
              <w:t>ad. 2008 No. 194</w:t>
            </w:r>
          </w:p>
        </w:tc>
      </w:tr>
      <w:tr w:rsidR="00E93F58" w:rsidRPr="00576D60" w14:paraId="414B53D4" w14:textId="77777777" w:rsidTr="002F32E3">
        <w:trPr>
          <w:cantSplit/>
        </w:trPr>
        <w:tc>
          <w:tcPr>
            <w:tcW w:w="1500" w:type="pct"/>
            <w:shd w:val="clear" w:color="auto" w:fill="auto"/>
          </w:tcPr>
          <w:p w14:paraId="039AFBAE" w14:textId="77777777" w:rsidR="00E93F58" w:rsidRPr="00576D60" w:rsidRDefault="00E93F58" w:rsidP="003D2B1E">
            <w:pPr>
              <w:pStyle w:val="ENoteTableText"/>
              <w:tabs>
                <w:tab w:val="left" w:leader="dot" w:pos="2268"/>
              </w:tabs>
            </w:pPr>
          </w:p>
        </w:tc>
        <w:tc>
          <w:tcPr>
            <w:tcW w:w="3500" w:type="pct"/>
            <w:shd w:val="clear" w:color="auto" w:fill="auto"/>
          </w:tcPr>
          <w:p w14:paraId="6BB60784" w14:textId="77777777" w:rsidR="00E93F58" w:rsidRPr="00576D60" w:rsidRDefault="00E93F58" w:rsidP="003D2B1E">
            <w:pPr>
              <w:pStyle w:val="ENoteTableText"/>
            </w:pPr>
            <w:r w:rsidRPr="00576D60">
              <w:t>rep No 91, 2015</w:t>
            </w:r>
          </w:p>
        </w:tc>
      </w:tr>
      <w:tr w:rsidR="00E93F58" w:rsidRPr="00576D60" w14:paraId="7D43ED35" w14:textId="77777777" w:rsidTr="002F32E3">
        <w:trPr>
          <w:cantSplit/>
        </w:trPr>
        <w:tc>
          <w:tcPr>
            <w:tcW w:w="1500" w:type="pct"/>
            <w:shd w:val="clear" w:color="auto" w:fill="auto"/>
          </w:tcPr>
          <w:p w14:paraId="01DBD60B" w14:textId="77777777" w:rsidR="00E93F58" w:rsidRPr="00576D60" w:rsidRDefault="00E93F58" w:rsidP="000F1C3D">
            <w:pPr>
              <w:pStyle w:val="ENoteTableText"/>
              <w:keepNext/>
              <w:tabs>
                <w:tab w:val="left" w:leader="dot" w:pos="2268"/>
              </w:tabs>
              <w:rPr>
                <w:b/>
              </w:rPr>
            </w:pPr>
            <w:r w:rsidRPr="00576D60">
              <w:rPr>
                <w:b/>
              </w:rPr>
              <w:t>Division 4</w:t>
            </w:r>
          </w:p>
        </w:tc>
        <w:tc>
          <w:tcPr>
            <w:tcW w:w="3500" w:type="pct"/>
            <w:shd w:val="clear" w:color="auto" w:fill="auto"/>
          </w:tcPr>
          <w:p w14:paraId="69AF184B" w14:textId="77777777" w:rsidR="00E93F58" w:rsidRPr="00576D60" w:rsidRDefault="00E93F58" w:rsidP="000F1C3D">
            <w:pPr>
              <w:pStyle w:val="ENoteTableText"/>
              <w:keepNext/>
            </w:pPr>
          </w:p>
        </w:tc>
      </w:tr>
      <w:tr w:rsidR="00E93F58" w:rsidRPr="00576D60" w14:paraId="65B544D8" w14:textId="77777777" w:rsidTr="002F32E3">
        <w:trPr>
          <w:cantSplit/>
        </w:trPr>
        <w:tc>
          <w:tcPr>
            <w:tcW w:w="1500" w:type="pct"/>
            <w:shd w:val="clear" w:color="auto" w:fill="auto"/>
          </w:tcPr>
          <w:p w14:paraId="31EFF3AE" w14:textId="77777777" w:rsidR="00E93F58" w:rsidRPr="00576D60" w:rsidRDefault="00E93F58" w:rsidP="000F1C3D">
            <w:pPr>
              <w:pStyle w:val="ENoteTableText"/>
              <w:keepNext/>
              <w:tabs>
                <w:tab w:val="left" w:leader="dot" w:pos="2268"/>
              </w:tabs>
              <w:rPr>
                <w:b/>
              </w:rPr>
            </w:pPr>
            <w:r>
              <w:rPr>
                <w:b/>
              </w:rPr>
              <w:t>Subdivision 4</w:t>
            </w:r>
            <w:r w:rsidRPr="00576D60">
              <w:rPr>
                <w:b/>
              </w:rPr>
              <w:t>.1</w:t>
            </w:r>
          </w:p>
        </w:tc>
        <w:tc>
          <w:tcPr>
            <w:tcW w:w="3500" w:type="pct"/>
            <w:shd w:val="clear" w:color="auto" w:fill="auto"/>
          </w:tcPr>
          <w:p w14:paraId="5D642390" w14:textId="77777777" w:rsidR="00E93F58" w:rsidRPr="00576D60" w:rsidRDefault="00E93F58" w:rsidP="000F1C3D">
            <w:pPr>
              <w:pStyle w:val="ENoteTableText"/>
              <w:keepNext/>
            </w:pPr>
          </w:p>
        </w:tc>
      </w:tr>
      <w:tr w:rsidR="00E93F58" w:rsidRPr="00576D60" w14:paraId="3DFAF322" w14:textId="77777777" w:rsidTr="002F32E3">
        <w:trPr>
          <w:cantSplit/>
        </w:trPr>
        <w:tc>
          <w:tcPr>
            <w:tcW w:w="1500" w:type="pct"/>
            <w:shd w:val="clear" w:color="auto" w:fill="auto"/>
          </w:tcPr>
          <w:p w14:paraId="761F0422" w14:textId="77777777" w:rsidR="00E93F58" w:rsidRPr="00576D60" w:rsidRDefault="00E93F58" w:rsidP="003D2B1E">
            <w:pPr>
              <w:pStyle w:val="ENoteTableText"/>
              <w:tabs>
                <w:tab w:val="left" w:leader="dot" w:pos="2268"/>
              </w:tabs>
            </w:pPr>
            <w:r w:rsidRPr="00576D60">
              <w:t>r 7.9.09</w:t>
            </w:r>
            <w:r w:rsidRPr="00576D60">
              <w:tab/>
            </w:r>
          </w:p>
        </w:tc>
        <w:tc>
          <w:tcPr>
            <w:tcW w:w="3500" w:type="pct"/>
            <w:shd w:val="clear" w:color="auto" w:fill="auto"/>
          </w:tcPr>
          <w:p w14:paraId="1EEE7B3F" w14:textId="77777777" w:rsidR="00E93F58" w:rsidRPr="00576D60" w:rsidRDefault="00E93F58" w:rsidP="003D2B1E">
            <w:pPr>
              <w:pStyle w:val="ENoteTableText"/>
            </w:pPr>
            <w:r w:rsidRPr="00576D60">
              <w:t xml:space="preserve">ad </w:t>
            </w:r>
            <w:r>
              <w:t>No 319, 2001</w:t>
            </w:r>
          </w:p>
        </w:tc>
      </w:tr>
      <w:tr w:rsidR="00E93F58" w:rsidRPr="00576D60" w14:paraId="093FDA65" w14:textId="77777777" w:rsidTr="002F32E3">
        <w:trPr>
          <w:cantSplit/>
        </w:trPr>
        <w:tc>
          <w:tcPr>
            <w:tcW w:w="1500" w:type="pct"/>
            <w:shd w:val="clear" w:color="auto" w:fill="auto"/>
          </w:tcPr>
          <w:p w14:paraId="5F4E319F" w14:textId="77777777" w:rsidR="00E93F58" w:rsidRPr="00576D60" w:rsidRDefault="00E93F58" w:rsidP="003D2B1E">
            <w:pPr>
              <w:pStyle w:val="ENoteTableText"/>
            </w:pPr>
          </w:p>
        </w:tc>
        <w:tc>
          <w:tcPr>
            <w:tcW w:w="3500" w:type="pct"/>
            <w:shd w:val="clear" w:color="auto" w:fill="auto"/>
          </w:tcPr>
          <w:p w14:paraId="55D28B89" w14:textId="77777777" w:rsidR="00E93F58" w:rsidRPr="00576D60" w:rsidRDefault="00E93F58" w:rsidP="003D2B1E">
            <w:pPr>
              <w:pStyle w:val="ENoteTableText"/>
            </w:pPr>
            <w:r w:rsidRPr="00576D60">
              <w:t xml:space="preserve">am </w:t>
            </w:r>
            <w:r>
              <w:t>No 16, 2002; No 158, 2008; No 135, 2010</w:t>
            </w:r>
            <w:r w:rsidRPr="00576D60">
              <w:t>; No 91, 2015; F2022L00469</w:t>
            </w:r>
            <w:r>
              <w:t>; F2023L01458</w:t>
            </w:r>
          </w:p>
        </w:tc>
      </w:tr>
      <w:tr w:rsidR="00E93F58" w:rsidRPr="00576D60" w14:paraId="4ABC7DF8" w14:textId="77777777" w:rsidTr="002F32E3">
        <w:trPr>
          <w:cantSplit/>
        </w:trPr>
        <w:tc>
          <w:tcPr>
            <w:tcW w:w="1500" w:type="pct"/>
            <w:shd w:val="clear" w:color="auto" w:fill="auto"/>
          </w:tcPr>
          <w:p w14:paraId="71A9FD13" w14:textId="77777777" w:rsidR="00E93F58" w:rsidRPr="00576D60" w:rsidRDefault="00E93F58" w:rsidP="003D2B1E">
            <w:pPr>
              <w:pStyle w:val="ENoteTableText"/>
              <w:tabs>
                <w:tab w:val="left" w:leader="dot" w:pos="2268"/>
              </w:tabs>
              <w:rPr>
                <w:b/>
              </w:rPr>
            </w:pPr>
            <w:r>
              <w:rPr>
                <w:b/>
              </w:rPr>
              <w:lastRenderedPageBreak/>
              <w:t>Subdivision 4</w:t>
            </w:r>
            <w:r w:rsidRPr="00576D60">
              <w:rPr>
                <w:b/>
              </w:rPr>
              <w:t>.1A</w:t>
            </w:r>
          </w:p>
        </w:tc>
        <w:tc>
          <w:tcPr>
            <w:tcW w:w="3500" w:type="pct"/>
            <w:shd w:val="clear" w:color="auto" w:fill="auto"/>
          </w:tcPr>
          <w:p w14:paraId="215EBE6F" w14:textId="77777777" w:rsidR="00E93F58" w:rsidRPr="00576D60" w:rsidRDefault="00E93F58" w:rsidP="003D2B1E">
            <w:pPr>
              <w:pStyle w:val="ENoteTableText"/>
            </w:pPr>
          </w:p>
        </w:tc>
      </w:tr>
      <w:tr w:rsidR="00E93F58" w:rsidRPr="00576D60" w14:paraId="19790B11" w14:textId="77777777" w:rsidTr="002F32E3">
        <w:trPr>
          <w:cantSplit/>
        </w:trPr>
        <w:tc>
          <w:tcPr>
            <w:tcW w:w="1500" w:type="pct"/>
            <w:shd w:val="clear" w:color="auto" w:fill="auto"/>
          </w:tcPr>
          <w:p w14:paraId="3C395E2C" w14:textId="77777777" w:rsidR="00E93F58" w:rsidRPr="00576D60" w:rsidRDefault="00E93F58" w:rsidP="003D2B1E">
            <w:pPr>
              <w:pStyle w:val="ENoteTableText"/>
              <w:tabs>
                <w:tab w:val="left" w:leader="dot" w:pos="2268"/>
              </w:tabs>
            </w:pPr>
            <w:r>
              <w:t>Subdivision 4</w:t>
            </w:r>
            <w:r w:rsidRPr="00576D60">
              <w:t>.1A</w:t>
            </w:r>
            <w:r w:rsidRPr="00576D60">
              <w:tab/>
            </w:r>
          </w:p>
        </w:tc>
        <w:tc>
          <w:tcPr>
            <w:tcW w:w="3500" w:type="pct"/>
            <w:shd w:val="clear" w:color="auto" w:fill="auto"/>
          </w:tcPr>
          <w:p w14:paraId="7FDE97F8" w14:textId="77777777" w:rsidR="00E93F58" w:rsidRPr="00576D60" w:rsidRDefault="00E93F58" w:rsidP="003D2B1E">
            <w:pPr>
              <w:pStyle w:val="ENoteTableText"/>
            </w:pPr>
            <w:r w:rsidRPr="00576D60">
              <w:t>ad. 2012 No. 42</w:t>
            </w:r>
          </w:p>
        </w:tc>
      </w:tr>
      <w:tr w:rsidR="00E93F58" w:rsidRPr="00576D60" w14:paraId="4D45D5B2" w14:textId="77777777" w:rsidTr="002F32E3">
        <w:trPr>
          <w:cantSplit/>
        </w:trPr>
        <w:tc>
          <w:tcPr>
            <w:tcW w:w="1500" w:type="pct"/>
            <w:shd w:val="clear" w:color="auto" w:fill="auto"/>
          </w:tcPr>
          <w:p w14:paraId="53AA5C52" w14:textId="77777777" w:rsidR="00E93F58" w:rsidRPr="00576D60" w:rsidRDefault="00E93F58" w:rsidP="003D2B1E">
            <w:pPr>
              <w:pStyle w:val="ENoteTableText"/>
              <w:tabs>
                <w:tab w:val="left" w:leader="dot" w:pos="2268"/>
              </w:tabs>
            </w:pPr>
            <w:r w:rsidRPr="00576D60">
              <w:t>r 7.9.09A</w:t>
            </w:r>
            <w:r w:rsidRPr="00576D60">
              <w:tab/>
            </w:r>
          </w:p>
        </w:tc>
        <w:tc>
          <w:tcPr>
            <w:tcW w:w="3500" w:type="pct"/>
            <w:shd w:val="clear" w:color="auto" w:fill="auto"/>
          </w:tcPr>
          <w:p w14:paraId="49A4AB20" w14:textId="77777777" w:rsidR="00E93F58" w:rsidRPr="00576D60" w:rsidRDefault="00E93F58" w:rsidP="003D2B1E">
            <w:pPr>
              <w:pStyle w:val="ENoteTableText"/>
            </w:pPr>
            <w:r w:rsidRPr="00576D60">
              <w:t>ad 2012 No 42</w:t>
            </w:r>
          </w:p>
        </w:tc>
      </w:tr>
      <w:tr w:rsidR="00E93F58" w:rsidRPr="00576D60" w14:paraId="52AC188F" w14:textId="77777777" w:rsidTr="002F32E3">
        <w:trPr>
          <w:cantSplit/>
        </w:trPr>
        <w:tc>
          <w:tcPr>
            <w:tcW w:w="1500" w:type="pct"/>
            <w:shd w:val="clear" w:color="auto" w:fill="auto"/>
          </w:tcPr>
          <w:p w14:paraId="0B23FD29" w14:textId="77777777" w:rsidR="00E93F58" w:rsidRPr="00576D60" w:rsidRDefault="00E93F58" w:rsidP="003D2B1E">
            <w:pPr>
              <w:pStyle w:val="ENoteTableText"/>
              <w:tabs>
                <w:tab w:val="left" w:leader="dot" w:pos="2268"/>
              </w:tabs>
            </w:pPr>
          </w:p>
        </w:tc>
        <w:tc>
          <w:tcPr>
            <w:tcW w:w="3500" w:type="pct"/>
            <w:shd w:val="clear" w:color="auto" w:fill="auto"/>
          </w:tcPr>
          <w:p w14:paraId="7EB3CC28" w14:textId="77777777" w:rsidR="00E93F58" w:rsidRPr="00576D60" w:rsidRDefault="00E93F58" w:rsidP="003D2B1E">
            <w:pPr>
              <w:pStyle w:val="ENoteTableText"/>
            </w:pPr>
            <w:r w:rsidRPr="00576D60">
              <w:t>am F2022L00469</w:t>
            </w:r>
          </w:p>
        </w:tc>
      </w:tr>
      <w:tr w:rsidR="00E93F58" w:rsidRPr="00576D60" w14:paraId="3E485F2C" w14:textId="77777777" w:rsidTr="002F32E3">
        <w:trPr>
          <w:cantSplit/>
        </w:trPr>
        <w:tc>
          <w:tcPr>
            <w:tcW w:w="1500" w:type="pct"/>
            <w:shd w:val="clear" w:color="auto" w:fill="auto"/>
          </w:tcPr>
          <w:p w14:paraId="2F3713DF" w14:textId="77777777" w:rsidR="00E93F58" w:rsidRPr="00576D60" w:rsidRDefault="00E93F58" w:rsidP="003D2B1E">
            <w:pPr>
              <w:pStyle w:val="ENoteTableText"/>
              <w:tabs>
                <w:tab w:val="left" w:leader="dot" w:pos="2268"/>
              </w:tabs>
            </w:pPr>
            <w:r w:rsidRPr="00576D60">
              <w:t>r. 7.9.09B</w:t>
            </w:r>
            <w:r w:rsidRPr="00576D60">
              <w:tab/>
            </w:r>
          </w:p>
        </w:tc>
        <w:tc>
          <w:tcPr>
            <w:tcW w:w="3500" w:type="pct"/>
            <w:shd w:val="clear" w:color="auto" w:fill="auto"/>
          </w:tcPr>
          <w:p w14:paraId="6F021765" w14:textId="77777777" w:rsidR="00E93F58" w:rsidRPr="00576D60" w:rsidRDefault="00E93F58" w:rsidP="003D2B1E">
            <w:pPr>
              <w:pStyle w:val="ENoteTableText"/>
            </w:pPr>
            <w:r w:rsidRPr="00576D60">
              <w:t>ad. 2012 No. 42</w:t>
            </w:r>
          </w:p>
        </w:tc>
      </w:tr>
      <w:tr w:rsidR="00E93F58" w:rsidRPr="00576D60" w14:paraId="55BF8FD4" w14:textId="77777777" w:rsidTr="002F32E3">
        <w:trPr>
          <w:cantSplit/>
        </w:trPr>
        <w:tc>
          <w:tcPr>
            <w:tcW w:w="1500" w:type="pct"/>
            <w:shd w:val="clear" w:color="auto" w:fill="auto"/>
          </w:tcPr>
          <w:p w14:paraId="797800F5" w14:textId="77777777" w:rsidR="00E93F58" w:rsidRPr="00576D60" w:rsidRDefault="00E93F58" w:rsidP="003D2B1E">
            <w:pPr>
              <w:pStyle w:val="ENoteTableText"/>
              <w:tabs>
                <w:tab w:val="left" w:leader="dot" w:pos="2268"/>
              </w:tabs>
            </w:pPr>
            <w:r w:rsidRPr="00576D60">
              <w:t>r. 7.9.09C</w:t>
            </w:r>
            <w:r w:rsidRPr="00576D60">
              <w:tab/>
            </w:r>
          </w:p>
        </w:tc>
        <w:tc>
          <w:tcPr>
            <w:tcW w:w="3500" w:type="pct"/>
            <w:shd w:val="clear" w:color="auto" w:fill="auto"/>
          </w:tcPr>
          <w:p w14:paraId="0BC9BF60" w14:textId="77777777" w:rsidR="00E93F58" w:rsidRPr="00576D60" w:rsidRDefault="00E93F58" w:rsidP="003D2B1E">
            <w:pPr>
              <w:pStyle w:val="ENoteTableText"/>
            </w:pPr>
            <w:r w:rsidRPr="00576D60">
              <w:t>ad. 2012 No. 42</w:t>
            </w:r>
          </w:p>
        </w:tc>
      </w:tr>
      <w:tr w:rsidR="00E93F58" w:rsidRPr="00576D60" w14:paraId="3454E730" w14:textId="77777777" w:rsidTr="002F32E3">
        <w:trPr>
          <w:cantSplit/>
        </w:trPr>
        <w:tc>
          <w:tcPr>
            <w:tcW w:w="1500" w:type="pct"/>
            <w:shd w:val="clear" w:color="auto" w:fill="auto"/>
          </w:tcPr>
          <w:p w14:paraId="30FD9C92" w14:textId="77777777" w:rsidR="00E93F58" w:rsidRPr="00576D60" w:rsidRDefault="00E93F58" w:rsidP="003D2B1E">
            <w:pPr>
              <w:pStyle w:val="ENoteTableText"/>
              <w:tabs>
                <w:tab w:val="left" w:leader="dot" w:pos="2268"/>
              </w:tabs>
            </w:pPr>
            <w:r>
              <w:t>Subdivision 4</w:t>
            </w:r>
            <w:r w:rsidRPr="00576D60">
              <w:t>.2</w:t>
            </w:r>
            <w:r w:rsidRPr="00576D60">
              <w:tab/>
            </w:r>
          </w:p>
        </w:tc>
        <w:tc>
          <w:tcPr>
            <w:tcW w:w="3500" w:type="pct"/>
            <w:shd w:val="clear" w:color="auto" w:fill="auto"/>
          </w:tcPr>
          <w:p w14:paraId="0C6C5DBE" w14:textId="77777777" w:rsidR="00E93F58" w:rsidRPr="00576D60" w:rsidRDefault="00E93F58" w:rsidP="003D2B1E">
            <w:pPr>
              <w:pStyle w:val="ENoteTableText"/>
            </w:pPr>
            <w:r w:rsidRPr="00576D60">
              <w:t>ad. 2008 No. 158</w:t>
            </w:r>
          </w:p>
        </w:tc>
      </w:tr>
      <w:tr w:rsidR="00E93F58" w:rsidRPr="00576D60" w14:paraId="1E323060" w14:textId="77777777" w:rsidTr="002F32E3">
        <w:trPr>
          <w:cantSplit/>
        </w:trPr>
        <w:tc>
          <w:tcPr>
            <w:tcW w:w="1500" w:type="pct"/>
            <w:shd w:val="clear" w:color="auto" w:fill="auto"/>
          </w:tcPr>
          <w:p w14:paraId="3835F9E0" w14:textId="77777777" w:rsidR="00E93F58" w:rsidRPr="00576D60" w:rsidRDefault="00E93F58" w:rsidP="003D2B1E">
            <w:pPr>
              <w:pStyle w:val="ENoteTableText"/>
              <w:tabs>
                <w:tab w:val="left" w:leader="dot" w:pos="2268"/>
              </w:tabs>
            </w:pPr>
          </w:p>
        </w:tc>
        <w:tc>
          <w:tcPr>
            <w:tcW w:w="3500" w:type="pct"/>
            <w:shd w:val="clear" w:color="auto" w:fill="auto"/>
          </w:tcPr>
          <w:p w14:paraId="09BFCD43" w14:textId="77777777" w:rsidR="00E93F58" w:rsidRPr="00576D60" w:rsidRDefault="00E93F58" w:rsidP="003D2B1E">
            <w:pPr>
              <w:pStyle w:val="ENoteTableText"/>
            </w:pPr>
            <w:r w:rsidRPr="00576D60">
              <w:t>rep No 91, 2015</w:t>
            </w:r>
          </w:p>
        </w:tc>
      </w:tr>
      <w:tr w:rsidR="00E93F58" w:rsidRPr="00576D60" w14:paraId="069BA440" w14:textId="77777777" w:rsidTr="002F32E3">
        <w:trPr>
          <w:cantSplit/>
        </w:trPr>
        <w:tc>
          <w:tcPr>
            <w:tcW w:w="1500" w:type="pct"/>
            <w:shd w:val="clear" w:color="auto" w:fill="auto"/>
          </w:tcPr>
          <w:p w14:paraId="06768CB9" w14:textId="77777777" w:rsidR="00E93F58" w:rsidRPr="00576D60" w:rsidRDefault="00E93F58" w:rsidP="003D2B1E">
            <w:pPr>
              <w:pStyle w:val="ENoteTableText"/>
              <w:tabs>
                <w:tab w:val="left" w:leader="dot" w:pos="2268"/>
              </w:tabs>
            </w:pPr>
            <w:r w:rsidRPr="00576D60">
              <w:t>r. 7.9.10</w:t>
            </w:r>
            <w:r w:rsidRPr="00576D60">
              <w:tab/>
            </w:r>
          </w:p>
        </w:tc>
        <w:tc>
          <w:tcPr>
            <w:tcW w:w="3500" w:type="pct"/>
            <w:shd w:val="clear" w:color="auto" w:fill="auto"/>
          </w:tcPr>
          <w:p w14:paraId="0D015161" w14:textId="77777777" w:rsidR="00E93F58" w:rsidRPr="00576D60" w:rsidRDefault="00E93F58" w:rsidP="003D2B1E">
            <w:pPr>
              <w:pStyle w:val="ENoteTableText"/>
            </w:pPr>
            <w:r w:rsidRPr="00576D60">
              <w:t xml:space="preserve">ad No 319, 2001 (Sch 1 </w:t>
            </w:r>
            <w:r>
              <w:t>item 1</w:t>
            </w:r>
            <w:r w:rsidRPr="00576D60">
              <w:t>5 disallowed)</w:t>
            </w:r>
          </w:p>
        </w:tc>
      </w:tr>
      <w:tr w:rsidR="00E93F58" w:rsidRPr="00576D60" w14:paraId="18E0A560" w14:textId="77777777" w:rsidTr="002F32E3">
        <w:trPr>
          <w:cantSplit/>
        </w:trPr>
        <w:tc>
          <w:tcPr>
            <w:tcW w:w="1500" w:type="pct"/>
            <w:shd w:val="clear" w:color="auto" w:fill="auto"/>
          </w:tcPr>
          <w:p w14:paraId="1BF8CC98" w14:textId="77777777" w:rsidR="00E93F58" w:rsidRPr="00576D60" w:rsidRDefault="00E93F58" w:rsidP="003D2B1E">
            <w:pPr>
              <w:pStyle w:val="ENoteTableText"/>
              <w:tabs>
                <w:tab w:val="left" w:leader="dot" w:pos="2268"/>
              </w:tabs>
            </w:pPr>
          </w:p>
        </w:tc>
        <w:tc>
          <w:tcPr>
            <w:tcW w:w="3500" w:type="pct"/>
            <w:shd w:val="clear" w:color="auto" w:fill="auto"/>
          </w:tcPr>
          <w:p w14:paraId="32CDB68A" w14:textId="77777777" w:rsidR="00E93F58" w:rsidRPr="00576D60" w:rsidDel="000937F3" w:rsidRDefault="00E93F58" w:rsidP="003D2B1E">
            <w:pPr>
              <w:pStyle w:val="ENoteTableText"/>
            </w:pPr>
            <w:r w:rsidRPr="00576D60">
              <w:t>rs No 16, 2002 (Sch 1 item 78 disallowed)</w:t>
            </w:r>
          </w:p>
        </w:tc>
      </w:tr>
      <w:tr w:rsidR="00E93F58" w:rsidRPr="00576D60" w14:paraId="32137FEB" w14:textId="77777777" w:rsidTr="002F32E3">
        <w:trPr>
          <w:cantSplit/>
        </w:trPr>
        <w:tc>
          <w:tcPr>
            <w:tcW w:w="1500" w:type="pct"/>
            <w:shd w:val="clear" w:color="auto" w:fill="auto"/>
          </w:tcPr>
          <w:p w14:paraId="7D351429" w14:textId="77777777" w:rsidR="00E93F58" w:rsidRPr="00576D60" w:rsidRDefault="00E93F58" w:rsidP="003D2B1E">
            <w:pPr>
              <w:pStyle w:val="ENoteTableText"/>
              <w:tabs>
                <w:tab w:val="left" w:leader="dot" w:pos="2268"/>
              </w:tabs>
            </w:pPr>
          </w:p>
        </w:tc>
        <w:tc>
          <w:tcPr>
            <w:tcW w:w="3500" w:type="pct"/>
            <w:shd w:val="clear" w:color="auto" w:fill="auto"/>
          </w:tcPr>
          <w:p w14:paraId="78536340" w14:textId="77777777" w:rsidR="00E93F58" w:rsidRPr="00576D60" w:rsidRDefault="00E93F58" w:rsidP="003D2B1E">
            <w:pPr>
              <w:pStyle w:val="ENoteTableText"/>
            </w:pPr>
            <w:r w:rsidRPr="00576D60">
              <w:t>ad No 158, 2008</w:t>
            </w:r>
          </w:p>
        </w:tc>
      </w:tr>
      <w:tr w:rsidR="00E93F58" w:rsidRPr="00576D60" w14:paraId="5FE7466B" w14:textId="77777777" w:rsidTr="002F32E3">
        <w:trPr>
          <w:cantSplit/>
        </w:trPr>
        <w:tc>
          <w:tcPr>
            <w:tcW w:w="1500" w:type="pct"/>
            <w:shd w:val="clear" w:color="auto" w:fill="auto"/>
          </w:tcPr>
          <w:p w14:paraId="311F22FA" w14:textId="77777777" w:rsidR="00E93F58" w:rsidRPr="00576D60" w:rsidRDefault="00E93F58" w:rsidP="003D2B1E">
            <w:pPr>
              <w:pStyle w:val="ENoteTableText"/>
              <w:tabs>
                <w:tab w:val="left" w:leader="dot" w:pos="2268"/>
              </w:tabs>
            </w:pPr>
          </w:p>
        </w:tc>
        <w:tc>
          <w:tcPr>
            <w:tcW w:w="3500" w:type="pct"/>
            <w:shd w:val="clear" w:color="auto" w:fill="auto"/>
          </w:tcPr>
          <w:p w14:paraId="128DAB09" w14:textId="77777777" w:rsidR="00E93F58" w:rsidRPr="00576D60" w:rsidRDefault="00E93F58" w:rsidP="003D2B1E">
            <w:pPr>
              <w:pStyle w:val="ENoteTableText"/>
            </w:pPr>
            <w:r w:rsidRPr="00576D60">
              <w:t>rep No 91, 2015</w:t>
            </w:r>
          </w:p>
        </w:tc>
      </w:tr>
      <w:tr w:rsidR="00E93F58" w:rsidRPr="00576D60" w14:paraId="686AD683" w14:textId="77777777" w:rsidTr="002F32E3">
        <w:trPr>
          <w:cantSplit/>
        </w:trPr>
        <w:tc>
          <w:tcPr>
            <w:tcW w:w="1500" w:type="pct"/>
            <w:shd w:val="clear" w:color="auto" w:fill="auto"/>
          </w:tcPr>
          <w:p w14:paraId="46856205" w14:textId="77777777" w:rsidR="00E93F58" w:rsidRPr="00576D60" w:rsidRDefault="00E93F58" w:rsidP="003D2B1E">
            <w:pPr>
              <w:pStyle w:val="ENoteTableText"/>
              <w:tabs>
                <w:tab w:val="left" w:leader="dot" w:pos="2268"/>
              </w:tabs>
            </w:pPr>
            <w:r w:rsidRPr="00576D60">
              <w:t>r. 7.9.10A</w:t>
            </w:r>
            <w:r w:rsidRPr="00576D60">
              <w:tab/>
            </w:r>
          </w:p>
        </w:tc>
        <w:tc>
          <w:tcPr>
            <w:tcW w:w="3500" w:type="pct"/>
            <w:shd w:val="clear" w:color="auto" w:fill="auto"/>
          </w:tcPr>
          <w:p w14:paraId="060E29EB" w14:textId="77777777" w:rsidR="00E93F58" w:rsidRPr="00576D60" w:rsidRDefault="00E93F58" w:rsidP="003D2B1E">
            <w:pPr>
              <w:pStyle w:val="ENoteTableText"/>
            </w:pPr>
            <w:r w:rsidRPr="00576D60">
              <w:t>ad. 2008 No. 158</w:t>
            </w:r>
          </w:p>
        </w:tc>
      </w:tr>
      <w:tr w:rsidR="00E93F58" w:rsidRPr="00576D60" w14:paraId="7407B4E2" w14:textId="77777777" w:rsidTr="002F32E3">
        <w:trPr>
          <w:cantSplit/>
        </w:trPr>
        <w:tc>
          <w:tcPr>
            <w:tcW w:w="1500" w:type="pct"/>
            <w:shd w:val="clear" w:color="auto" w:fill="auto"/>
          </w:tcPr>
          <w:p w14:paraId="65B45DFE" w14:textId="77777777" w:rsidR="00E93F58" w:rsidRPr="00576D60" w:rsidRDefault="00E93F58" w:rsidP="003D2B1E">
            <w:pPr>
              <w:pStyle w:val="ENoteTableText"/>
              <w:tabs>
                <w:tab w:val="left" w:leader="dot" w:pos="2268"/>
              </w:tabs>
            </w:pPr>
          </w:p>
        </w:tc>
        <w:tc>
          <w:tcPr>
            <w:tcW w:w="3500" w:type="pct"/>
            <w:shd w:val="clear" w:color="auto" w:fill="auto"/>
          </w:tcPr>
          <w:p w14:paraId="5386C385" w14:textId="77777777" w:rsidR="00E93F58" w:rsidRPr="00576D60" w:rsidRDefault="00E93F58" w:rsidP="003D2B1E">
            <w:pPr>
              <w:pStyle w:val="ENoteTableText"/>
            </w:pPr>
            <w:r w:rsidRPr="00576D60">
              <w:t>am 2011 No 66</w:t>
            </w:r>
          </w:p>
        </w:tc>
      </w:tr>
      <w:tr w:rsidR="00E93F58" w:rsidRPr="00576D60" w14:paraId="5915722F" w14:textId="77777777" w:rsidTr="002F32E3">
        <w:trPr>
          <w:cantSplit/>
        </w:trPr>
        <w:tc>
          <w:tcPr>
            <w:tcW w:w="1500" w:type="pct"/>
            <w:shd w:val="clear" w:color="auto" w:fill="auto"/>
          </w:tcPr>
          <w:p w14:paraId="66B32DB2" w14:textId="77777777" w:rsidR="00E93F58" w:rsidRPr="00576D60" w:rsidRDefault="00E93F58" w:rsidP="003D2B1E">
            <w:pPr>
              <w:pStyle w:val="ENoteTableText"/>
              <w:tabs>
                <w:tab w:val="left" w:leader="dot" w:pos="2268"/>
              </w:tabs>
            </w:pPr>
          </w:p>
        </w:tc>
        <w:tc>
          <w:tcPr>
            <w:tcW w:w="3500" w:type="pct"/>
            <w:shd w:val="clear" w:color="auto" w:fill="auto"/>
          </w:tcPr>
          <w:p w14:paraId="02ECFF94" w14:textId="77777777" w:rsidR="00E93F58" w:rsidRPr="00576D60" w:rsidRDefault="00E93F58" w:rsidP="003D2B1E">
            <w:pPr>
              <w:pStyle w:val="ENoteTableText"/>
            </w:pPr>
            <w:r w:rsidRPr="00576D60">
              <w:t>rep No 91, 2015</w:t>
            </w:r>
          </w:p>
        </w:tc>
      </w:tr>
      <w:tr w:rsidR="00E93F58" w:rsidRPr="00576D60" w14:paraId="329E383E" w14:textId="77777777" w:rsidTr="002F32E3">
        <w:trPr>
          <w:cantSplit/>
        </w:trPr>
        <w:tc>
          <w:tcPr>
            <w:tcW w:w="1500" w:type="pct"/>
            <w:shd w:val="clear" w:color="auto" w:fill="auto"/>
          </w:tcPr>
          <w:p w14:paraId="26CA4F5E" w14:textId="77777777" w:rsidR="00E93F58" w:rsidRPr="00576D60" w:rsidRDefault="00E93F58" w:rsidP="003D2B1E">
            <w:pPr>
              <w:pStyle w:val="ENoteTableText"/>
              <w:tabs>
                <w:tab w:val="left" w:leader="dot" w:pos="2268"/>
              </w:tabs>
            </w:pPr>
            <w:r w:rsidRPr="00576D60">
              <w:t>r. 7.9.10B</w:t>
            </w:r>
            <w:r w:rsidRPr="00576D60">
              <w:tab/>
            </w:r>
          </w:p>
        </w:tc>
        <w:tc>
          <w:tcPr>
            <w:tcW w:w="3500" w:type="pct"/>
            <w:shd w:val="clear" w:color="auto" w:fill="auto"/>
          </w:tcPr>
          <w:p w14:paraId="3A538EE8" w14:textId="77777777" w:rsidR="00E93F58" w:rsidRPr="00576D60" w:rsidRDefault="00E93F58" w:rsidP="003D2B1E">
            <w:pPr>
              <w:pStyle w:val="ENoteTableText"/>
            </w:pPr>
            <w:r w:rsidRPr="00576D60">
              <w:t>ad. 2008 No. 158</w:t>
            </w:r>
          </w:p>
        </w:tc>
      </w:tr>
      <w:tr w:rsidR="00E93F58" w:rsidRPr="00576D60" w14:paraId="0AEEB35C" w14:textId="77777777" w:rsidTr="002F32E3">
        <w:trPr>
          <w:cantSplit/>
        </w:trPr>
        <w:tc>
          <w:tcPr>
            <w:tcW w:w="1500" w:type="pct"/>
            <w:shd w:val="clear" w:color="auto" w:fill="auto"/>
          </w:tcPr>
          <w:p w14:paraId="7AE073D1" w14:textId="77777777" w:rsidR="00E93F58" w:rsidRPr="00576D60" w:rsidRDefault="00E93F58" w:rsidP="003D2B1E">
            <w:pPr>
              <w:pStyle w:val="ENoteTableText"/>
              <w:tabs>
                <w:tab w:val="left" w:leader="dot" w:pos="2268"/>
              </w:tabs>
            </w:pPr>
          </w:p>
        </w:tc>
        <w:tc>
          <w:tcPr>
            <w:tcW w:w="3500" w:type="pct"/>
            <w:shd w:val="clear" w:color="auto" w:fill="auto"/>
          </w:tcPr>
          <w:p w14:paraId="0FC81C34" w14:textId="77777777" w:rsidR="00E93F58" w:rsidRPr="00576D60" w:rsidRDefault="00E93F58" w:rsidP="003D2B1E">
            <w:pPr>
              <w:pStyle w:val="ENoteTableText"/>
            </w:pPr>
            <w:r w:rsidRPr="00576D60">
              <w:t>rep No 91, 2015</w:t>
            </w:r>
          </w:p>
        </w:tc>
      </w:tr>
      <w:tr w:rsidR="00E93F58" w:rsidRPr="00576D60" w14:paraId="612F97C5" w14:textId="77777777" w:rsidTr="002F32E3">
        <w:trPr>
          <w:cantSplit/>
        </w:trPr>
        <w:tc>
          <w:tcPr>
            <w:tcW w:w="1500" w:type="pct"/>
            <w:shd w:val="clear" w:color="auto" w:fill="auto"/>
          </w:tcPr>
          <w:p w14:paraId="02639A4E" w14:textId="77777777" w:rsidR="00E93F58" w:rsidRPr="00576D60" w:rsidRDefault="00E93F58" w:rsidP="003D2B1E">
            <w:pPr>
              <w:pStyle w:val="ENoteTableText"/>
              <w:tabs>
                <w:tab w:val="left" w:leader="dot" w:pos="2268"/>
              </w:tabs>
            </w:pPr>
            <w:r w:rsidRPr="00576D60">
              <w:t>r. 7.9.10C</w:t>
            </w:r>
            <w:r w:rsidRPr="00576D60">
              <w:tab/>
            </w:r>
          </w:p>
        </w:tc>
        <w:tc>
          <w:tcPr>
            <w:tcW w:w="3500" w:type="pct"/>
            <w:shd w:val="clear" w:color="auto" w:fill="auto"/>
          </w:tcPr>
          <w:p w14:paraId="4223598F" w14:textId="77777777" w:rsidR="00E93F58" w:rsidRPr="00576D60" w:rsidRDefault="00E93F58" w:rsidP="003D2B1E">
            <w:pPr>
              <w:pStyle w:val="ENoteTableText"/>
            </w:pPr>
            <w:r w:rsidRPr="00576D60">
              <w:t>ad. 2008 No. 158</w:t>
            </w:r>
          </w:p>
        </w:tc>
      </w:tr>
      <w:tr w:rsidR="00E93F58" w:rsidRPr="00576D60" w14:paraId="028F1A79" w14:textId="77777777" w:rsidTr="002F32E3">
        <w:trPr>
          <w:cantSplit/>
        </w:trPr>
        <w:tc>
          <w:tcPr>
            <w:tcW w:w="1500" w:type="pct"/>
            <w:shd w:val="clear" w:color="auto" w:fill="auto"/>
          </w:tcPr>
          <w:p w14:paraId="79DE42B8" w14:textId="77777777" w:rsidR="00E93F58" w:rsidRPr="00576D60" w:rsidRDefault="00E93F58" w:rsidP="003D2B1E">
            <w:pPr>
              <w:pStyle w:val="ENoteTableText"/>
              <w:tabs>
                <w:tab w:val="left" w:leader="dot" w:pos="2268"/>
              </w:tabs>
            </w:pPr>
          </w:p>
        </w:tc>
        <w:tc>
          <w:tcPr>
            <w:tcW w:w="3500" w:type="pct"/>
            <w:shd w:val="clear" w:color="auto" w:fill="auto"/>
          </w:tcPr>
          <w:p w14:paraId="5EB28B19" w14:textId="77777777" w:rsidR="00E93F58" w:rsidRPr="00576D60" w:rsidRDefault="00E93F58" w:rsidP="003D2B1E">
            <w:pPr>
              <w:pStyle w:val="ENoteTableText"/>
            </w:pPr>
            <w:r w:rsidRPr="00576D60">
              <w:t>rep No 91, 2015</w:t>
            </w:r>
          </w:p>
        </w:tc>
      </w:tr>
      <w:tr w:rsidR="00E93F58" w:rsidRPr="00576D60" w14:paraId="654FD11B" w14:textId="77777777" w:rsidTr="002F32E3">
        <w:trPr>
          <w:cantSplit/>
        </w:trPr>
        <w:tc>
          <w:tcPr>
            <w:tcW w:w="1500" w:type="pct"/>
            <w:shd w:val="clear" w:color="auto" w:fill="auto"/>
          </w:tcPr>
          <w:p w14:paraId="46F74602" w14:textId="77777777" w:rsidR="00E93F58" w:rsidRPr="00576D60" w:rsidRDefault="00E93F58" w:rsidP="003D2B1E">
            <w:pPr>
              <w:pStyle w:val="ENoteTableText"/>
              <w:tabs>
                <w:tab w:val="left" w:leader="dot" w:pos="2268"/>
              </w:tabs>
            </w:pPr>
            <w:r w:rsidRPr="00576D60">
              <w:t>r. 7.9.10D</w:t>
            </w:r>
            <w:r w:rsidRPr="00576D60">
              <w:tab/>
            </w:r>
          </w:p>
        </w:tc>
        <w:tc>
          <w:tcPr>
            <w:tcW w:w="3500" w:type="pct"/>
            <w:shd w:val="clear" w:color="auto" w:fill="auto"/>
          </w:tcPr>
          <w:p w14:paraId="1745A175" w14:textId="77777777" w:rsidR="00E93F58" w:rsidRPr="00576D60" w:rsidRDefault="00E93F58" w:rsidP="003D2B1E">
            <w:pPr>
              <w:pStyle w:val="ENoteTableText"/>
            </w:pPr>
            <w:r w:rsidRPr="00576D60">
              <w:t>ad. 2008 No. 158</w:t>
            </w:r>
          </w:p>
        </w:tc>
      </w:tr>
      <w:tr w:rsidR="00E93F58" w:rsidRPr="00576D60" w14:paraId="7A1DD1CA" w14:textId="77777777" w:rsidTr="002F32E3">
        <w:trPr>
          <w:cantSplit/>
        </w:trPr>
        <w:tc>
          <w:tcPr>
            <w:tcW w:w="1500" w:type="pct"/>
            <w:shd w:val="clear" w:color="auto" w:fill="auto"/>
          </w:tcPr>
          <w:p w14:paraId="4215DD36" w14:textId="77777777" w:rsidR="00E93F58" w:rsidRPr="00576D60" w:rsidRDefault="00E93F58" w:rsidP="003D2B1E">
            <w:pPr>
              <w:pStyle w:val="ENoteTableText"/>
            </w:pPr>
          </w:p>
        </w:tc>
        <w:tc>
          <w:tcPr>
            <w:tcW w:w="3500" w:type="pct"/>
            <w:shd w:val="clear" w:color="auto" w:fill="auto"/>
          </w:tcPr>
          <w:p w14:paraId="5BD449BD" w14:textId="77777777" w:rsidR="00E93F58" w:rsidRPr="00576D60" w:rsidRDefault="00E93F58" w:rsidP="003D2B1E">
            <w:pPr>
              <w:pStyle w:val="ENoteTableText"/>
            </w:pPr>
            <w:r w:rsidRPr="00576D60">
              <w:t>rs. 2008 No. 194</w:t>
            </w:r>
          </w:p>
        </w:tc>
      </w:tr>
      <w:tr w:rsidR="00E93F58" w:rsidRPr="00576D60" w14:paraId="456B9A5D" w14:textId="77777777" w:rsidTr="002F32E3">
        <w:trPr>
          <w:cantSplit/>
        </w:trPr>
        <w:tc>
          <w:tcPr>
            <w:tcW w:w="1500" w:type="pct"/>
            <w:shd w:val="clear" w:color="auto" w:fill="auto"/>
          </w:tcPr>
          <w:p w14:paraId="6506356E" w14:textId="77777777" w:rsidR="00E93F58" w:rsidRPr="00576D60" w:rsidRDefault="00E93F58" w:rsidP="003D2B1E">
            <w:pPr>
              <w:pStyle w:val="ENoteTableText"/>
            </w:pPr>
          </w:p>
        </w:tc>
        <w:tc>
          <w:tcPr>
            <w:tcW w:w="3500" w:type="pct"/>
            <w:shd w:val="clear" w:color="auto" w:fill="auto"/>
          </w:tcPr>
          <w:p w14:paraId="3A3CB153" w14:textId="77777777" w:rsidR="00E93F58" w:rsidRPr="00576D60" w:rsidRDefault="00E93F58" w:rsidP="003D2B1E">
            <w:pPr>
              <w:pStyle w:val="ENoteTableText"/>
            </w:pPr>
            <w:r w:rsidRPr="00576D60">
              <w:t>rep No 91, 2015</w:t>
            </w:r>
          </w:p>
        </w:tc>
      </w:tr>
      <w:tr w:rsidR="00E93F58" w:rsidRPr="00576D60" w14:paraId="2F01B7B0" w14:textId="77777777" w:rsidTr="002F32E3">
        <w:trPr>
          <w:cantSplit/>
        </w:trPr>
        <w:tc>
          <w:tcPr>
            <w:tcW w:w="1500" w:type="pct"/>
            <w:shd w:val="clear" w:color="auto" w:fill="auto"/>
          </w:tcPr>
          <w:p w14:paraId="4C0DBA20" w14:textId="77777777" w:rsidR="00E93F58" w:rsidRPr="00576D60" w:rsidRDefault="00E93F58" w:rsidP="003D2B1E">
            <w:pPr>
              <w:pStyle w:val="ENoteTableText"/>
              <w:tabs>
                <w:tab w:val="left" w:leader="dot" w:pos="2268"/>
              </w:tabs>
            </w:pPr>
            <w:r w:rsidRPr="00576D60">
              <w:t>r. 7.9.10E</w:t>
            </w:r>
            <w:r w:rsidRPr="00576D60">
              <w:tab/>
            </w:r>
          </w:p>
        </w:tc>
        <w:tc>
          <w:tcPr>
            <w:tcW w:w="3500" w:type="pct"/>
            <w:shd w:val="clear" w:color="auto" w:fill="auto"/>
          </w:tcPr>
          <w:p w14:paraId="45AA3D62" w14:textId="77777777" w:rsidR="00E93F58" w:rsidRPr="00576D60" w:rsidRDefault="00E93F58" w:rsidP="003D2B1E">
            <w:pPr>
              <w:pStyle w:val="ENoteTableText"/>
            </w:pPr>
            <w:r w:rsidRPr="00576D60">
              <w:t>ad. 2008 No. 158</w:t>
            </w:r>
          </w:p>
        </w:tc>
      </w:tr>
      <w:tr w:rsidR="00E93F58" w:rsidRPr="00576D60" w14:paraId="5A9EEE13" w14:textId="77777777" w:rsidTr="002F32E3">
        <w:trPr>
          <w:cantSplit/>
        </w:trPr>
        <w:tc>
          <w:tcPr>
            <w:tcW w:w="1500" w:type="pct"/>
            <w:shd w:val="clear" w:color="auto" w:fill="auto"/>
          </w:tcPr>
          <w:p w14:paraId="6FF0A1AB" w14:textId="77777777" w:rsidR="00E93F58" w:rsidRPr="00576D60" w:rsidRDefault="00E93F58" w:rsidP="003D2B1E">
            <w:pPr>
              <w:pStyle w:val="ENoteTableText"/>
            </w:pPr>
          </w:p>
        </w:tc>
        <w:tc>
          <w:tcPr>
            <w:tcW w:w="3500" w:type="pct"/>
            <w:shd w:val="clear" w:color="auto" w:fill="auto"/>
          </w:tcPr>
          <w:p w14:paraId="7D7708F1" w14:textId="77777777" w:rsidR="00E93F58" w:rsidRPr="00576D60" w:rsidRDefault="00E93F58" w:rsidP="003D2B1E">
            <w:pPr>
              <w:pStyle w:val="ENoteTableText"/>
            </w:pPr>
            <w:r w:rsidRPr="00576D60">
              <w:t>am. 2008 No. 194</w:t>
            </w:r>
          </w:p>
        </w:tc>
      </w:tr>
      <w:tr w:rsidR="00E93F58" w:rsidRPr="00576D60" w14:paraId="7DED8A2F" w14:textId="77777777" w:rsidTr="002F32E3">
        <w:trPr>
          <w:cantSplit/>
        </w:trPr>
        <w:tc>
          <w:tcPr>
            <w:tcW w:w="1500" w:type="pct"/>
            <w:shd w:val="clear" w:color="auto" w:fill="auto"/>
          </w:tcPr>
          <w:p w14:paraId="1E2037BB" w14:textId="77777777" w:rsidR="00E93F58" w:rsidRPr="00576D60" w:rsidRDefault="00E93F58" w:rsidP="003D2B1E">
            <w:pPr>
              <w:pStyle w:val="ENoteTableText"/>
            </w:pPr>
          </w:p>
        </w:tc>
        <w:tc>
          <w:tcPr>
            <w:tcW w:w="3500" w:type="pct"/>
            <w:shd w:val="clear" w:color="auto" w:fill="auto"/>
          </w:tcPr>
          <w:p w14:paraId="5506B8D4" w14:textId="77777777" w:rsidR="00E93F58" w:rsidRPr="00576D60" w:rsidRDefault="00E93F58" w:rsidP="003D2B1E">
            <w:pPr>
              <w:pStyle w:val="ENoteTableText"/>
            </w:pPr>
            <w:r w:rsidRPr="00576D60">
              <w:t>rep No 91, 2015</w:t>
            </w:r>
          </w:p>
        </w:tc>
      </w:tr>
      <w:tr w:rsidR="00E93F58" w:rsidRPr="00576D60" w14:paraId="5E157A31" w14:textId="77777777" w:rsidTr="002F32E3">
        <w:trPr>
          <w:cantSplit/>
        </w:trPr>
        <w:tc>
          <w:tcPr>
            <w:tcW w:w="1500" w:type="pct"/>
            <w:shd w:val="clear" w:color="auto" w:fill="auto"/>
          </w:tcPr>
          <w:p w14:paraId="1CDB1FDE" w14:textId="77777777" w:rsidR="00E93F58" w:rsidRPr="00576D60" w:rsidRDefault="00E93F58" w:rsidP="003D2B1E">
            <w:pPr>
              <w:pStyle w:val="ENoteTableText"/>
              <w:keepNext/>
              <w:tabs>
                <w:tab w:val="left" w:leader="dot" w:pos="2268"/>
              </w:tabs>
              <w:rPr>
                <w:b/>
              </w:rPr>
            </w:pPr>
            <w:r>
              <w:rPr>
                <w:b/>
              </w:rPr>
              <w:t>Subdivision 4</w:t>
            </w:r>
            <w:r w:rsidRPr="00576D60">
              <w:rPr>
                <w:b/>
              </w:rPr>
              <w:t>.2A</w:t>
            </w:r>
          </w:p>
        </w:tc>
        <w:tc>
          <w:tcPr>
            <w:tcW w:w="3500" w:type="pct"/>
            <w:shd w:val="clear" w:color="auto" w:fill="auto"/>
          </w:tcPr>
          <w:p w14:paraId="1D62459E" w14:textId="77777777" w:rsidR="00E93F58" w:rsidRPr="00576D60" w:rsidRDefault="00E93F58" w:rsidP="003D2B1E">
            <w:pPr>
              <w:pStyle w:val="ENoteTableText"/>
              <w:keepNext/>
            </w:pPr>
          </w:p>
        </w:tc>
      </w:tr>
      <w:tr w:rsidR="00E93F58" w:rsidRPr="00576D60" w14:paraId="37463B7C" w14:textId="77777777" w:rsidTr="002F32E3">
        <w:trPr>
          <w:cantSplit/>
        </w:trPr>
        <w:tc>
          <w:tcPr>
            <w:tcW w:w="1500" w:type="pct"/>
            <w:shd w:val="clear" w:color="auto" w:fill="auto"/>
          </w:tcPr>
          <w:p w14:paraId="78FD81B0" w14:textId="77777777" w:rsidR="00E93F58" w:rsidRPr="00576D60" w:rsidRDefault="00E93F58" w:rsidP="003D2B1E">
            <w:pPr>
              <w:pStyle w:val="ENoteTableText"/>
              <w:tabs>
                <w:tab w:val="left" w:leader="dot" w:pos="2268"/>
              </w:tabs>
            </w:pPr>
            <w:r>
              <w:t>Subdivision 4.2A heading</w:t>
            </w:r>
            <w:r>
              <w:tab/>
            </w:r>
          </w:p>
        </w:tc>
        <w:tc>
          <w:tcPr>
            <w:tcW w:w="3500" w:type="pct"/>
            <w:shd w:val="clear" w:color="auto" w:fill="auto"/>
          </w:tcPr>
          <w:p w14:paraId="30653F9D" w14:textId="77777777" w:rsidR="00E93F58" w:rsidRPr="00576D60" w:rsidRDefault="00E93F58" w:rsidP="003D2B1E">
            <w:pPr>
              <w:pStyle w:val="ENoteTableText"/>
            </w:pPr>
            <w:r>
              <w:t>am F2023L01458</w:t>
            </w:r>
          </w:p>
        </w:tc>
      </w:tr>
      <w:tr w:rsidR="00E93F58" w:rsidRPr="00576D60" w14:paraId="4FD07844" w14:textId="77777777" w:rsidTr="002F32E3">
        <w:trPr>
          <w:cantSplit/>
        </w:trPr>
        <w:tc>
          <w:tcPr>
            <w:tcW w:w="1500" w:type="pct"/>
            <w:shd w:val="clear" w:color="auto" w:fill="auto"/>
          </w:tcPr>
          <w:p w14:paraId="1C64C889" w14:textId="77777777" w:rsidR="00E93F58" w:rsidRPr="00576D60" w:rsidRDefault="00E93F58" w:rsidP="003D2B1E">
            <w:pPr>
              <w:pStyle w:val="ENoteTableText"/>
              <w:tabs>
                <w:tab w:val="left" w:leader="dot" w:pos="2268"/>
              </w:tabs>
            </w:pPr>
            <w:r>
              <w:t>Subdivision 4</w:t>
            </w:r>
            <w:r w:rsidRPr="00576D60">
              <w:t>.2A</w:t>
            </w:r>
            <w:r w:rsidRPr="00576D60">
              <w:tab/>
            </w:r>
          </w:p>
        </w:tc>
        <w:tc>
          <w:tcPr>
            <w:tcW w:w="3500" w:type="pct"/>
            <w:shd w:val="clear" w:color="auto" w:fill="auto"/>
          </w:tcPr>
          <w:p w14:paraId="616DE3FE" w14:textId="77777777" w:rsidR="00E93F58" w:rsidRPr="00576D60" w:rsidRDefault="00E93F58" w:rsidP="003D2B1E">
            <w:pPr>
              <w:pStyle w:val="ENoteTableText"/>
            </w:pPr>
            <w:r w:rsidRPr="00576D60">
              <w:t>ad. 2010 No. 135</w:t>
            </w:r>
          </w:p>
        </w:tc>
      </w:tr>
      <w:tr w:rsidR="00E93F58" w:rsidRPr="00576D60" w14:paraId="132197D3" w14:textId="77777777" w:rsidTr="002F32E3">
        <w:trPr>
          <w:cantSplit/>
        </w:trPr>
        <w:tc>
          <w:tcPr>
            <w:tcW w:w="1500" w:type="pct"/>
            <w:shd w:val="clear" w:color="auto" w:fill="auto"/>
          </w:tcPr>
          <w:p w14:paraId="0BA29F40" w14:textId="77777777" w:rsidR="00E93F58" w:rsidRPr="00576D60" w:rsidRDefault="00E93F58" w:rsidP="003D2B1E">
            <w:pPr>
              <w:pStyle w:val="ENoteTableText"/>
              <w:tabs>
                <w:tab w:val="left" w:leader="dot" w:pos="2268"/>
              </w:tabs>
            </w:pPr>
            <w:r w:rsidRPr="00576D60">
              <w:t>r 7.9.11</w:t>
            </w:r>
            <w:r w:rsidRPr="00576D60">
              <w:tab/>
            </w:r>
          </w:p>
        </w:tc>
        <w:tc>
          <w:tcPr>
            <w:tcW w:w="3500" w:type="pct"/>
            <w:shd w:val="clear" w:color="auto" w:fill="auto"/>
          </w:tcPr>
          <w:p w14:paraId="78C405DB" w14:textId="77777777" w:rsidR="00E93F58" w:rsidRPr="00576D60" w:rsidRDefault="00E93F58" w:rsidP="003D2B1E">
            <w:pPr>
              <w:pStyle w:val="ENoteTableText"/>
            </w:pPr>
            <w:r w:rsidRPr="00576D60">
              <w:t xml:space="preserve">ad No 319, 2001 (Sch 1 </w:t>
            </w:r>
            <w:r>
              <w:t>item 1</w:t>
            </w:r>
            <w:r w:rsidRPr="00576D60">
              <w:t>5 disallowed)</w:t>
            </w:r>
          </w:p>
        </w:tc>
      </w:tr>
      <w:tr w:rsidR="00E93F58" w:rsidRPr="00576D60" w14:paraId="54776DB2" w14:textId="77777777" w:rsidTr="002F32E3">
        <w:trPr>
          <w:cantSplit/>
        </w:trPr>
        <w:tc>
          <w:tcPr>
            <w:tcW w:w="1500" w:type="pct"/>
            <w:shd w:val="clear" w:color="auto" w:fill="auto"/>
          </w:tcPr>
          <w:p w14:paraId="0ACA3779" w14:textId="77777777" w:rsidR="00E93F58" w:rsidRPr="00576D60" w:rsidRDefault="00E93F58" w:rsidP="003D2B1E">
            <w:pPr>
              <w:pStyle w:val="ENoteTableText"/>
              <w:tabs>
                <w:tab w:val="left" w:leader="dot" w:pos="2268"/>
              </w:tabs>
            </w:pPr>
          </w:p>
        </w:tc>
        <w:tc>
          <w:tcPr>
            <w:tcW w:w="3500" w:type="pct"/>
            <w:shd w:val="clear" w:color="auto" w:fill="auto"/>
          </w:tcPr>
          <w:p w14:paraId="0ABECAD1" w14:textId="77777777" w:rsidR="00E93F58" w:rsidRPr="00576D60" w:rsidDel="0083582C" w:rsidRDefault="00E93F58" w:rsidP="003D2B1E">
            <w:pPr>
              <w:pStyle w:val="ENoteTableText"/>
            </w:pPr>
            <w:r w:rsidRPr="00576D60">
              <w:t>am No 16, 2002 (Sch 1 items 79–82 disallowed)</w:t>
            </w:r>
          </w:p>
        </w:tc>
      </w:tr>
      <w:tr w:rsidR="00E93F58" w:rsidRPr="00576D60" w14:paraId="683A09A4" w14:textId="77777777" w:rsidTr="002F32E3">
        <w:trPr>
          <w:cantSplit/>
        </w:trPr>
        <w:tc>
          <w:tcPr>
            <w:tcW w:w="1500" w:type="pct"/>
            <w:shd w:val="clear" w:color="auto" w:fill="auto"/>
          </w:tcPr>
          <w:p w14:paraId="04B8213B" w14:textId="77777777" w:rsidR="00E93F58" w:rsidRPr="00576D60" w:rsidRDefault="00E93F58" w:rsidP="003D2B1E">
            <w:pPr>
              <w:pStyle w:val="ENoteTableText"/>
              <w:tabs>
                <w:tab w:val="left" w:leader="dot" w:pos="2268"/>
              </w:tabs>
            </w:pPr>
          </w:p>
        </w:tc>
        <w:tc>
          <w:tcPr>
            <w:tcW w:w="3500" w:type="pct"/>
            <w:shd w:val="clear" w:color="auto" w:fill="auto"/>
          </w:tcPr>
          <w:p w14:paraId="26DF8690" w14:textId="77777777" w:rsidR="00E93F58" w:rsidRPr="00576D60" w:rsidDel="0083582C" w:rsidRDefault="00E93F58" w:rsidP="003D2B1E">
            <w:pPr>
              <w:pStyle w:val="ENoteTableText"/>
            </w:pPr>
            <w:r w:rsidRPr="00576D60">
              <w:t>ad No 135, 2010</w:t>
            </w:r>
          </w:p>
        </w:tc>
      </w:tr>
      <w:tr w:rsidR="00E93F58" w:rsidRPr="00576D60" w14:paraId="1ED1DE48" w14:textId="77777777" w:rsidTr="002F32E3">
        <w:trPr>
          <w:cantSplit/>
        </w:trPr>
        <w:tc>
          <w:tcPr>
            <w:tcW w:w="1500" w:type="pct"/>
            <w:shd w:val="clear" w:color="auto" w:fill="auto"/>
          </w:tcPr>
          <w:p w14:paraId="1590D5C9" w14:textId="77777777" w:rsidR="00E93F58" w:rsidRPr="00576D60" w:rsidRDefault="00E93F58" w:rsidP="003D2B1E">
            <w:pPr>
              <w:pStyle w:val="ENoteTableText"/>
              <w:tabs>
                <w:tab w:val="left" w:leader="dot" w:pos="2268"/>
              </w:tabs>
            </w:pPr>
          </w:p>
        </w:tc>
        <w:tc>
          <w:tcPr>
            <w:tcW w:w="3500" w:type="pct"/>
            <w:shd w:val="clear" w:color="auto" w:fill="auto"/>
          </w:tcPr>
          <w:p w14:paraId="70664780" w14:textId="77777777" w:rsidR="00E93F58" w:rsidRPr="00576D60" w:rsidRDefault="00E93F58" w:rsidP="003D2B1E">
            <w:pPr>
              <w:pStyle w:val="ENoteTableText"/>
            </w:pPr>
            <w:r w:rsidRPr="00576D60">
              <w:t>am F2022L00469</w:t>
            </w:r>
            <w:r>
              <w:t>; F2023L01458</w:t>
            </w:r>
          </w:p>
        </w:tc>
      </w:tr>
      <w:tr w:rsidR="00E93F58" w:rsidRPr="00576D60" w14:paraId="71E37BCB" w14:textId="77777777" w:rsidTr="002F32E3">
        <w:trPr>
          <w:cantSplit/>
        </w:trPr>
        <w:tc>
          <w:tcPr>
            <w:tcW w:w="1500" w:type="pct"/>
            <w:shd w:val="clear" w:color="auto" w:fill="auto"/>
          </w:tcPr>
          <w:p w14:paraId="74492F78" w14:textId="77777777" w:rsidR="00E93F58" w:rsidRPr="00576D60" w:rsidRDefault="00E93F58" w:rsidP="003D2B1E">
            <w:pPr>
              <w:pStyle w:val="ENoteTableText"/>
              <w:tabs>
                <w:tab w:val="left" w:leader="dot" w:pos="2268"/>
              </w:tabs>
            </w:pPr>
            <w:r w:rsidRPr="00576D60">
              <w:t>r 7.9.11A</w:t>
            </w:r>
            <w:r w:rsidRPr="00576D60">
              <w:tab/>
            </w:r>
          </w:p>
        </w:tc>
        <w:tc>
          <w:tcPr>
            <w:tcW w:w="3500" w:type="pct"/>
            <w:shd w:val="clear" w:color="auto" w:fill="auto"/>
          </w:tcPr>
          <w:p w14:paraId="36AEFB17" w14:textId="77777777" w:rsidR="00E93F58" w:rsidRPr="00576D60" w:rsidRDefault="00E93F58" w:rsidP="003D2B1E">
            <w:pPr>
              <w:pStyle w:val="ENoteTableText"/>
            </w:pPr>
            <w:r w:rsidRPr="00576D60">
              <w:t>ad</w:t>
            </w:r>
            <w:r>
              <w:t xml:space="preserve"> No 135, 2010</w:t>
            </w:r>
          </w:p>
        </w:tc>
      </w:tr>
      <w:tr w:rsidR="00E93F58" w:rsidRPr="00576D60" w14:paraId="447BF4F1" w14:textId="77777777" w:rsidTr="002F32E3">
        <w:trPr>
          <w:cantSplit/>
        </w:trPr>
        <w:tc>
          <w:tcPr>
            <w:tcW w:w="1500" w:type="pct"/>
            <w:shd w:val="clear" w:color="auto" w:fill="auto"/>
          </w:tcPr>
          <w:p w14:paraId="3F10FDCD" w14:textId="77777777" w:rsidR="00E93F58" w:rsidRPr="00576D60" w:rsidRDefault="00E93F58" w:rsidP="003D2B1E">
            <w:pPr>
              <w:pStyle w:val="ENoteTableText"/>
              <w:tabs>
                <w:tab w:val="left" w:leader="dot" w:pos="2268"/>
              </w:tabs>
            </w:pPr>
          </w:p>
        </w:tc>
        <w:tc>
          <w:tcPr>
            <w:tcW w:w="3500" w:type="pct"/>
            <w:shd w:val="clear" w:color="auto" w:fill="auto"/>
          </w:tcPr>
          <w:p w14:paraId="09E58069" w14:textId="77777777" w:rsidR="00E93F58" w:rsidRPr="00576D60" w:rsidRDefault="00E93F58" w:rsidP="003D2B1E">
            <w:pPr>
              <w:pStyle w:val="ENoteTableText"/>
            </w:pPr>
            <w:r>
              <w:t>am F2023L01458</w:t>
            </w:r>
          </w:p>
        </w:tc>
      </w:tr>
      <w:tr w:rsidR="00E93F58" w:rsidRPr="00576D60" w14:paraId="5E04601A" w14:textId="77777777" w:rsidTr="002F32E3">
        <w:trPr>
          <w:cantSplit/>
        </w:trPr>
        <w:tc>
          <w:tcPr>
            <w:tcW w:w="1500" w:type="pct"/>
            <w:shd w:val="clear" w:color="auto" w:fill="auto"/>
          </w:tcPr>
          <w:p w14:paraId="62708F40" w14:textId="77777777" w:rsidR="00E93F58" w:rsidRPr="00576D60" w:rsidRDefault="00E93F58" w:rsidP="003D2B1E">
            <w:pPr>
              <w:pStyle w:val="ENoteTableText"/>
              <w:tabs>
                <w:tab w:val="left" w:leader="dot" w:pos="2268"/>
              </w:tabs>
            </w:pPr>
            <w:r w:rsidRPr="00576D60">
              <w:t>r 7.9.11B</w:t>
            </w:r>
            <w:r w:rsidRPr="00576D60">
              <w:tab/>
            </w:r>
          </w:p>
        </w:tc>
        <w:tc>
          <w:tcPr>
            <w:tcW w:w="3500" w:type="pct"/>
            <w:shd w:val="clear" w:color="auto" w:fill="auto"/>
          </w:tcPr>
          <w:p w14:paraId="133471F4" w14:textId="77777777" w:rsidR="00E93F58" w:rsidRPr="00576D60" w:rsidRDefault="00E93F58" w:rsidP="003D2B1E">
            <w:pPr>
              <w:pStyle w:val="ENoteTableText"/>
            </w:pPr>
            <w:r w:rsidRPr="00576D60">
              <w:t>ad</w:t>
            </w:r>
            <w:r>
              <w:t xml:space="preserve"> No 135, 2010</w:t>
            </w:r>
          </w:p>
        </w:tc>
      </w:tr>
      <w:tr w:rsidR="00E93F58" w:rsidRPr="00576D60" w14:paraId="62FAE9BD" w14:textId="77777777" w:rsidTr="002F32E3">
        <w:trPr>
          <w:cantSplit/>
        </w:trPr>
        <w:tc>
          <w:tcPr>
            <w:tcW w:w="1500" w:type="pct"/>
            <w:shd w:val="clear" w:color="auto" w:fill="auto"/>
          </w:tcPr>
          <w:p w14:paraId="68E7A3B4" w14:textId="77777777" w:rsidR="00E93F58" w:rsidRPr="00576D60" w:rsidRDefault="00E93F58" w:rsidP="003D2B1E">
            <w:pPr>
              <w:pStyle w:val="ENoteTableText"/>
              <w:tabs>
                <w:tab w:val="left" w:leader="dot" w:pos="2268"/>
              </w:tabs>
            </w:pPr>
          </w:p>
        </w:tc>
        <w:tc>
          <w:tcPr>
            <w:tcW w:w="3500" w:type="pct"/>
            <w:shd w:val="clear" w:color="auto" w:fill="auto"/>
          </w:tcPr>
          <w:p w14:paraId="19801D90" w14:textId="77777777" w:rsidR="00E93F58" w:rsidRPr="00576D60" w:rsidRDefault="00E93F58" w:rsidP="003D2B1E">
            <w:pPr>
              <w:pStyle w:val="ENoteTableText"/>
            </w:pPr>
            <w:r>
              <w:t>am F2023L01458</w:t>
            </w:r>
          </w:p>
        </w:tc>
      </w:tr>
      <w:tr w:rsidR="00E93F58" w:rsidRPr="00576D60" w14:paraId="10F37312" w14:textId="77777777" w:rsidTr="002F32E3">
        <w:trPr>
          <w:cantSplit/>
        </w:trPr>
        <w:tc>
          <w:tcPr>
            <w:tcW w:w="1500" w:type="pct"/>
            <w:shd w:val="clear" w:color="auto" w:fill="auto"/>
          </w:tcPr>
          <w:p w14:paraId="4EE5DBFD" w14:textId="77777777" w:rsidR="00E93F58" w:rsidRPr="00576D60" w:rsidRDefault="00E93F58" w:rsidP="003D2B1E">
            <w:pPr>
              <w:pStyle w:val="ENoteTableText"/>
              <w:tabs>
                <w:tab w:val="left" w:leader="dot" w:pos="2268"/>
              </w:tabs>
            </w:pPr>
            <w:r w:rsidRPr="00576D60">
              <w:t>r 7.9.11C</w:t>
            </w:r>
            <w:r w:rsidRPr="00576D60">
              <w:tab/>
            </w:r>
          </w:p>
        </w:tc>
        <w:tc>
          <w:tcPr>
            <w:tcW w:w="3500" w:type="pct"/>
            <w:shd w:val="clear" w:color="auto" w:fill="auto"/>
          </w:tcPr>
          <w:p w14:paraId="63355B10" w14:textId="77777777" w:rsidR="00E93F58" w:rsidRPr="00576D60" w:rsidRDefault="00E93F58" w:rsidP="003D2B1E">
            <w:pPr>
              <w:pStyle w:val="ENoteTableText"/>
            </w:pPr>
            <w:r w:rsidRPr="00576D60">
              <w:t>ad</w:t>
            </w:r>
            <w:r>
              <w:t xml:space="preserve"> No 135, 2010</w:t>
            </w:r>
          </w:p>
        </w:tc>
      </w:tr>
      <w:tr w:rsidR="00E93F58" w:rsidRPr="00576D60" w14:paraId="2AE57F68" w14:textId="77777777" w:rsidTr="002F32E3">
        <w:trPr>
          <w:cantSplit/>
        </w:trPr>
        <w:tc>
          <w:tcPr>
            <w:tcW w:w="1500" w:type="pct"/>
            <w:shd w:val="clear" w:color="auto" w:fill="auto"/>
          </w:tcPr>
          <w:p w14:paraId="66922F7C" w14:textId="77777777" w:rsidR="00E93F58" w:rsidRPr="00576D60" w:rsidRDefault="00E93F58" w:rsidP="003D2B1E">
            <w:pPr>
              <w:pStyle w:val="ENoteTableText"/>
              <w:tabs>
                <w:tab w:val="left" w:leader="dot" w:pos="2268"/>
              </w:tabs>
            </w:pPr>
          </w:p>
        </w:tc>
        <w:tc>
          <w:tcPr>
            <w:tcW w:w="3500" w:type="pct"/>
            <w:shd w:val="clear" w:color="auto" w:fill="auto"/>
          </w:tcPr>
          <w:p w14:paraId="11349FDC" w14:textId="77777777" w:rsidR="00E93F58" w:rsidRPr="00576D60" w:rsidRDefault="00E93F58" w:rsidP="003D2B1E">
            <w:pPr>
              <w:pStyle w:val="ENoteTableText"/>
            </w:pPr>
            <w:r>
              <w:t>am F2023L01458</w:t>
            </w:r>
          </w:p>
        </w:tc>
      </w:tr>
      <w:tr w:rsidR="00E93F58" w:rsidRPr="00576D60" w14:paraId="1DA5319F" w14:textId="77777777" w:rsidTr="002F32E3">
        <w:trPr>
          <w:cantSplit/>
        </w:trPr>
        <w:tc>
          <w:tcPr>
            <w:tcW w:w="1500" w:type="pct"/>
            <w:shd w:val="clear" w:color="auto" w:fill="auto"/>
          </w:tcPr>
          <w:p w14:paraId="4155935F" w14:textId="77777777" w:rsidR="00E93F58" w:rsidRPr="00576D60" w:rsidRDefault="00E93F58" w:rsidP="003D2B1E">
            <w:pPr>
              <w:pStyle w:val="ENoteTableText"/>
              <w:tabs>
                <w:tab w:val="left" w:leader="dot" w:pos="2268"/>
              </w:tabs>
            </w:pPr>
            <w:r w:rsidRPr="00576D60">
              <w:t>r 7.9.11D</w:t>
            </w:r>
            <w:r w:rsidRPr="00576D60">
              <w:tab/>
            </w:r>
          </w:p>
        </w:tc>
        <w:tc>
          <w:tcPr>
            <w:tcW w:w="3500" w:type="pct"/>
            <w:shd w:val="clear" w:color="auto" w:fill="auto"/>
          </w:tcPr>
          <w:p w14:paraId="0B036E25" w14:textId="77777777" w:rsidR="00E93F58" w:rsidRPr="00576D60" w:rsidRDefault="00E93F58" w:rsidP="003D2B1E">
            <w:pPr>
              <w:pStyle w:val="ENoteTableText"/>
            </w:pPr>
            <w:r w:rsidRPr="00576D60">
              <w:t>ad</w:t>
            </w:r>
            <w:r>
              <w:t xml:space="preserve"> No 135, 2010</w:t>
            </w:r>
          </w:p>
        </w:tc>
      </w:tr>
      <w:tr w:rsidR="00E93F58" w:rsidRPr="00576D60" w14:paraId="0C521346" w14:textId="77777777" w:rsidTr="002F32E3">
        <w:trPr>
          <w:cantSplit/>
        </w:trPr>
        <w:tc>
          <w:tcPr>
            <w:tcW w:w="1500" w:type="pct"/>
            <w:shd w:val="clear" w:color="auto" w:fill="auto"/>
          </w:tcPr>
          <w:p w14:paraId="656D72BB" w14:textId="77777777" w:rsidR="00E93F58" w:rsidRPr="00576D60" w:rsidRDefault="00E93F58" w:rsidP="003D2B1E">
            <w:pPr>
              <w:pStyle w:val="ENoteTableText"/>
              <w:tabs>
                <w:tab w:val="left" w:leader="dot" w:pos="2268"/>
              </w:tabs>
            </w:pPr>
          </w:p>
        </w:tc>
        <w:tc>
          <w:tcPr>
            <w:tcW w:w="3500" w:type="pct"/>
            <w:shd w:val="clear" w:color="auto" w:fill="auto"/>
          </w:tcPr>
          <w:p w14:paraId="32D76533" w14:textId="77777777" w:rsidR="00E93F58" w:rsidRPr="00576D60" w:rsidRDefault="00E93F58" w:rsidP="003D2B1E">
            <w:pPr>
              <w:pStyle w:val="ENoteTableText"/>
            </w:pPr>
            <w:r>
              <w:t>am F2023L01458</w:t>
            </w:r>
          </w:p>
        </w:tc>
      </w:tr>
      <w:tr w:rsidR="00E93F58" w:rsidRPr="00576D60" w14:paraId="667A1C66" w14:textId="77777777" w:rsidTr="002F32E3">
        <w:trPr>
          <w:cantSplit/>
        </w:trPr>
        <w:tc>
          <w:tcPr>
            <w:tcW w:w="1500" w:type="pct"/>
            <w:shd w:val="clear" w:color="auto" w:fill="auto"/>
          </w:tcPr>
          <w:p w14:paraId="43BA0B51" w14:textId="77777777" w:rsidR="00E93F58" w:rsidRPr="00576D60" w:rsidRDefault="00E93F58" w:rsidP="003D2B1E">
            <w:pPr>
              <w:pStyle w:val="ENoteTableText"/>
              <w:tabs>
                <w:tab w:val="left" w:leader="dot" w:pos="2268"/>
              </w:tabs>
            </w:pPr>
            <w:r w:rsidRPr="00576D60">
              <w:t>r 7.9.11E</w:t>
            </w:r>
            <w:r w:rsidRPr="00576D60">
              <w:tab/>
            </w:r>
          </w:p>
        </w:tc>
        <w:tc>
          <w:tcPr>
            <w:tcW w:w="3500" w:type="pct"/>
            <w:shd w:val="clear" w:color="auto" w:fill="auto"/>
          </w:tcPr>
          <w:p w14:paraId="535106AE" w14:textId="77777777" w:rsidR="00E93F58" w:rsidRPr="00576D60" w:rsidRDefault="00E93F58" w:rsidP="003D2B1E">
            <w:pPr>
              <w:pStyle w:val="ENoteTableText"/>
            </w:pPr>
            <w:r w:rsidRPr="00576D60">
              <w:t>ad</w:t>
            </w:r>
            <w:r>
              <w:t xml:space="preserve"> No 135, 2010</w:t>
            </w:r>
          </w:p>
        </w:tc>
      </w:tr>
      <w:tr w:rsidR="00E93F58" w:rsidRPr="00576D60" w14:paraId="5EC68E94" w14:textId="77777777" w:rsidTr="002F32E3">
        <w:trPr>
          <w:cantSplit/>
        </w:trPr>
        <w:tc>
          <w:tcPr>
            <w:tcW w:w="1500" w:type="pct"/>
            <w:shd w:val="clear" w:color="auto" w:fill="auto"/>
          </w:tcPr>
          <w:p w14:paraId="75A05110" w14:textId="77777777" w:rsidR="00E93F58" w:rsidRPr="00576D60" w:rsidRDefault="00E93F58" w:rsidP="003D2B1E">
            <w:pPr>
              <w:pStyle w:val="ENoteTableText"/>
            </w:pPr>
          </w:p>
        </w:tc>
        <w:tc>
          <w:tcPr>
            <w:tcW w:w="3500" w:type="pct"/>
            <w:shd w:val="clear" w:color="auto" w:fill="auto"/>
          </w:tcPr>
          <w:p w14:paraId="2252D51D" w14:textId="77777777" w:rsidR="00E93F58" w:rsidRPr="00576D60" w:rsidRDefault="00E93F58" w:rsidP="003D2B1E">
            <w:pPr>
              <w:pStyle w:val="ENoteTableText"/>
            </w:pPr>
            <w:r w:rsidRPr="00576D60">
              <w:t>am</w:t>
            </w:r>
            <w:r>
              <w:t xml:space="preserve"> No 274, 2011; F2023L01458</w:t>
            </w:r>
          </w:p>
        </w:tc>
      </w:tr>
      <w:tr w:rsidR="00E93F58" w:rsidRPr="00576D60" w14:paraId="783D0F7F" w14:textId="77777777" w:rsidTr="002F32E3">
        <w:trPr>
          <w:cantSplit/>
        </w:trPr>
        <w:tc>
          <w:tcPr>
            <w:tcW w:w="1500" w:type="pct"/>
            <w:shd w:val="clear" w:color="auto" w:fill="auto"/>
          </w:tcPr>
          <w:p w14:paraId="0258A3D4" w14:textId="77777777" w:rsidR="00E93F58" w:rsidRPr="00576D60" w:rsidRDefault="00E93F58" w:rsidP="003D2B1E">
            <w:pPr>
              <w:pStyle w:val="ENoteTableText"/>
              <w:tabs>
                <w:tab w:val="left" w:leader="dot" w:pos="2268"/>
              </w:tabs>
            </w:pPr>
            <w:r w:rsidRPr="00576D60">
              <w:t>r 7.9.11F</w:t>
            </w:r>
            <w:r w:rsidRPr="00576D60">
              <w:tab/>
            </w:r>
          </w:p>
        </w:tc>
        <w:tc>
          <w:tcPr>
            <w:tcW w:w="3500" w:type="pct"/>
            <w:shd w:val="clear" w:color="auto" w:fill="auto"/>
          </w:tcPr>
          <w:p w14:paraId="1D91AA40" w14:textId="77777777" w:rsidR="00E93F58" w:rsidRPr="00576D60" w:rsidRDefault="00E93F58" w:rsidP="003D2B1E">
            <w:pPr>
              <w:pStyle w:val="ENoteTableText"/>
            </w:pPr>
            <w:r w:rsidRPr="00576D60">
              <w:t>ad</w:t>
            </w:r>
            <w:r>
              <w:t xml:space="preserve"> No 135, 2010</w:t>
            </w:r>
          </w:p>
        </w:tc>
      </w:tr>
      <w:tr w:rsidR="00E93F58" w:rsidRPr="00576D60" w14:paraId="4F1C1EE9" w14:textId="77777777" w:rsidTr="002F32E3">
        <w:trPr>
          <w:cantSplit/>
        </w:trPr>
        <w:tc>
          <w:tcPr>
            <w:tcW w:w="1500" w:type="pct"/>
            <w:shd w:val="clear" w:color="auto" w:fill="auto"/>
          </w:tcPr>
          <w:p w14:paraId="59887F75" w14:textId="77777777" w:rsidR="00E93F58" w:rsidRPr="00576D60" w:rsidRDefault="00E93F58" w:rsidP="003D2B1E">
            <w:pPr>
              <w:pStyle w:val="ENoteTableText"/>
              <w:tabs>
                <w:tab w:val="left" w:leader="dot" w:pos="2268"/>
              </w:tabs>
            </w:pPr>
          </w:p>
        </w:tc>
        <w:tc>
          <w:tcPr>
            <w:tcW w:w="3500" w:type="pct"/>
            <w:shd w:val="clear" w:color="auto" w:fill="auto"/>
          </w:tcPr>
          <w:p w14:paraId="648EA350" w14:textId="77777777" w:rsidR="00E93F58" w:rsidRPr="00576D60" w:rsidRDefault="00E93F58" w:rsidP="003D2B1E">
            <w:pPr>
              <w:pStyle w:val="ENoteTableText"/>
            </w:pPr>
            <w:r>
              <w:t>am F2023L01458</w:t>
            </w:r>
          </w:p>
        </w:tc>
      </w:tr>
      <w:tr w:rsidR="00E93F58" w:rsidRPr="00576D60" w14:paraId="02A61725" w14:textId="77777777" w:rsidTr="002F32E3">
        <w:trPr>
          <w:cantSplit/>
        </w:trPr>
        <w:tc>
          <w:tcPr>
            <w:tcW w:w="1500" w:type="pct"/>
            <w:shd w:val="clear" w:color="auto" w:fill="auto"/>
          </w:tcPr>
          <w:p w14:paraId="04DAAB3D" w14:textId="77777777" w:rsidR="00E93F58" w:rsidRPr="00576D60" w:rsidRDefault="00E93F58" w:rsidP="003D2B1E">
            <w:pPr>
              <w:pStyle w:val="ENoteTableText"/>
              <w:tabs>
                <w:tab w:val="left" w:leader="dot" w:pos="2268"/>
              </w:tabs>
            </w:pPr>
            <w:r w:rsidRPr="00576D60">
              <w:t>r 7.9.11G</w:t>
            </w:r>
            <w:r w:rsidRPr="00576D60">
              <w:tab/>
            </w:r>
          </w:p>
        </w:tc>
        <w:tc>
          <w:tcPr>
            <w:tcW w:w="3500" w:type="pct"/>
            <w:shd w:val="clear" w:color="auto" w:fill="auto"/>
          </w:tcPr>
          <w:p w14:paraId="53E7E76D" w14:textId="77777777" w:rsidR="00E93F58" w:rsidRPr="00576D60" w:rsidRDefault="00E93F58" w:rsidP="003D2B1E">
            <w:pPr>
              <w:pStyle w:val="ENoteTableText"/>
            </w:pPr>
            <w:r w:rsidRPr="00576D60">
              <w:t>ad</w:t>
            </w:r>
            <w:r>
              <w:t xml:space="preserve"> No 135, 2010</w:t>
            </w:r>
          </w:p>
        </w:tc>
      </w:tr>
      <w:tr w:rsidR="00E93F58" w:rsidRPr="00576D60" w14:paraId="21458DDF" w14:textId="77777777" w:rsidTr="002F32E3">
        <w:trPr>
          <w:cantSplit/>
        </w:trPr>
        <w:tc>
          <w:tcPr>
            <w:tcW w:w="1500" w:type="pct"/>
            <w:shd w:val="clear" w:color="auto" w:fill="auto"/>
          </w:tcPr>
          <w:p w14:paraId="38D2920D" w14:textId="77777777" w:rsidR="00E93F58" w:rsidRPr="00576D60" w:rsidRDefault="00E93F58" w:rsidP="003D2B1E">
            <w:pPr>
              <w:pStyle w:val="ENoteTableText"/>
              <w:tabs>
                <w:tab w:val="left" w:leader="dot" w:pos="2268"/>
              </w:tabs>
            </w:pPr>
          </w:p>
        </w:tc>
        <w:tc>
          <w:tcPr>
            <w:tcW w:w="3500" w:type="pct"/>
            <w:shd w:val="clear" w:color="auto" w:fill="auto"/>
          </w:tcPr>
          <w:p w14:paraId="0139CBA1" w14:textId="77777777" w:rsidR="00E93F58" w:rsidRPr="00576D60" w:rsidRDefault="00E93F58" w:rsidP="003D2B1E">
            <w:pPr>
              <w:pStyle w:val="ENoteTableText"/>
            </w:pPr>
            <w:r>
              <w:t>am F2023L01458</w:t>
            </w:r>
          </w:p>
        </w:tc>
      </w:tr>
      <w:tr w:rsidR="00E93F58" w:rsidRPr="00576D60" w14:paraId="2E6300C9" w14:textId="77777777" w:rsidTr="002F32E3">
        <w:trPr>
          <w:cantSplit/>
        </w:trPr>
        <w:tc>
          <w:tcPr>
            <w:tcW w:w="1500" w:type="pct"/>
            <w:shd w:val="clear" w:color="auto" w:fill="auto"/>
          </w:tcPr>
          <w:p w14:paraId="04606834" w14:textId="77777777" w:rsidR="00E93F58" w:rsidRPr="00576D60" w:rsidRDefault="00E93F58" w:rsidP="003D2B1E">
            <w:pPr>
              <w:pStyle w:val="ENoteTableText"/>
              <w:tabs>
                <w:tab w:val="left" w:leader="dot" w:pos="2268"/>
              </w:tabs>
            </w:pPr>
            <w:r w:rsidRPr="00576D60">
              <w:t>r 7.9.11H</w:t>
            </w:r>
            <w:r w:rsidRPr="00576D60">
              <w:tab/>
            </w:r>
          </w:p>
        </w:tc>
        <w:tc>
          <w:tcPr>
            <w:tcW w:w="3500" w:type="pct"/>
            <w:shd w:val="clear" w:color="auto" w:fill="auto"/>
          </w:tcPr>
          <w:p w14:paraId="018A36BF" w14:textId="77777777" w:rsidR="00E93F58" w:rsidRPr="00576D60" w:rsidRDefault="00E93F58" w:rsidP="003D2B1E">
            <w:pPr>
              <w:pStyle w:val="ENoteTableText"/>
            </w:pPr>
            <w:r w:rsidRPr="00576D60">
              <w:t>ad</w:t>
            </w:r>
            <w:r>
              <w:t xml:space="preserve"> No 135, 2010</w:t>
            </w:r>
          </w:p>
        </w:tc>
      </w:tr>
      <w:tr w:rsidR="00E93F58" w:rsidRPr="00576D60" w14:paraId="6B016727" w14:textId="77777777" w:rsidTr="002F32E3">
        <w:trPr>
          <w:cantSplit/>
        </w:trPr>
        <w:tc>
          <w:tcPr>
            <w:tcW w:w="1500" w:type="pct"/>
            <w:shd w:val="clear" w:color="auto" w:fill="auto"/>
          </w:tcPr>
          <w:p w14:paraId="2721F47A" w14:textId="77777777" w:rsidR="00E93F58" w:rsidRPr="00576D60" w:rsidRDefault="00E93F58" w:rsidP="003D2B1E">
            <w:pPr>
              <w:pStyle w:val="ENoteTableText"/>
              <w:tabs>
                <w:tab w:val="left" w:leader="dot" w:pos="2268"/>
              </w:tabs>
            </w:pPr>
          </w:p>
        </w:tc>
        <w:tc>
          <w:tcPr>
            <w:tcW w:w="3500" w:type="pct"/>
            <w:shd w:val="clear" w:color="auto" w:fill="auto"/>
          </w:tcPr>
          <w:p w14:paraId="5CACC4A9" w14:textId="77777777" w:rsidR="00E93F58" w:rsidRPr="00576D60" w:rsidRDefault="00E93F58" w:rsidP="003D2B1E">
            <w:pPr>
              <w:pStyle w:val="ENoteTableText"/>
            </w:pPr>
            <w:r>
              <w:t>am F2023L01458</w:t>
            </w:r>
          </w:p>
        </w:tc>
      </w:tr>
      <w:tr w:rsidR="00E93F58" w:rsidRPr="00576D60" w14:paraId="7A2EA1A8" w14:textId="77777777" w:rsidTr="002F32E3">
        <w:trPr>
          <w:cantSplit/>
        </w:trPr>
        <w:tc>
          <w:tcPr>
            <w:tcW w:w="1500" w:type="pct"/>
            <w:shd w:val="clear" w:color="auto" w:fill="auto"/>
          </w:tcPr>
          <w:p w14:paraId="2FDF2241" w14:textId="77777777" w:rsidR="00E93F58" w:rsidRPr="00576D60" w:rsidRDefault="00E93F58" w:rsidP="003D2B1E">
            <w:pPr>
              <w:pStyle w:val="ENoteTableText"/>
              <w:tabs>
                <w:tab w:val="left" w:leader="dot" w:pos="2268"/>
              </w:tabs>
              <w:rPr>
                <w:b/>
              </w:rPr>
            </w:pPr>
            <w:r>
              <w:rPr>
                <w:b/>
              </w:rPr>
              <w:t>Subdivision 4</w:t>
            </w:r>
            <w:r w:rsidRPr="00576D60">
              <w:rPr>
                <w:b/>
              </w:rPr>
              <w:t>.2B</w:t>
            </w:r>
          </w:p>
        </w:tc>
        <w:tc>
          <w:tcPr>
            <w:tcW w:w="3500" w:type="pct"/>
            <w:shd w:val="clear" w:color="auto" w:fill="auto"/>
          </w:tcPr>
          <w:p w14:paraId="1E31DE6C" w14:textId="77777777" w:rsidR="00E93F58" w:rsidRPr="00576D60" w:rsidRDefault="00E93F58" w:rsidP="003D2B1E">
            <w:pPr>
              <w:pStyle w:val="ENoteTableText"/>
              <w:keepNext/>
              <w:keepLines/>
            </w:pPr>
          </w:p>
        </w:tc>
      </w:tr>
      <w:tr w:rsidR="00E93F58" w:rsidRPr="00576D60" w14:paraId="142D4A8D" w14:textId="77777777" w:rsidTr="002F32E3">
        <w:trPr>
          <w:cantSplit/>
        </w:trPr>
        <w:tc>
          <w:tcPr>
            <w:tcW w:w="1500" w:type="pct"/>
            <w:shd w:val="clear" w:color="auto" w:fill="auto"/>
          </w:tcPr>
          <w:p w14:paraId="69FCB4B9" w14:textId="77777777" w:rsidR="00E93F58" w:rsidRPr="00576D60" w:rsidRDefault="00E93F58" w:rsidP="003D2B1E">
            <w:pPr>
              <w:pStyle w:val="ENoteTableText"/>
              <w:tabs>
                <w:tab w:val="left" w:leader="dot" w:pos="2268"/>
              </w:tabs>
            </w:pPr>
            <w:r>
              <w:t>Subdivision 4</w:t>
            </w:r>
            <w:r w:rsidRPr="00576D60">
              <w:t>.2B</w:t>
            </w:r>
            <w:r w:rsidRPr="00576D60">
              <w:tab/>
            </w:r>
          </w:p>
        </w:tc>
        <w:tc>
          <w:tcPr>
            <w:tcW w:w="3500" w:type="pct"/>
            <w:shd w:val="clear" w:color="auto" w:fill="auto"/>
          </w:tcPr>
          <w:p w14:paraId="1EADFF71" w14:textId="77777777" w:rsidR="00E93F58" w:rsidRPr="00576D60" w:rsidRDefault="00E93F58" w:rsidP="003D2B1E">
            <w:pPr>
              <w:pStyle w:val="ENoteTableText"/>
            </w:pPr>
            <w:r w:rsidRPr="00576D60">
              <w:t>ad. 2010 No. 135</w:t>
            </w:r>
          </w:p>
        </w:tc>
      </w:tr>
      <w:tr w:rsidR="00E93F58" w:rsidRPr="00576D60" w14:paraId="189F0CD3" w14:textId="77777777" w:rsidTr="002F32E3">
        <w:trPr>
          <w:cantSplit/>
        </w:trPr>
        <w:tc>
          <w:tcPr>
            <w:tcW w:w="1500" w:type="pct"/>
            <w:shd w:val="clear" w:color="auto" w:fill="auto"/>
          </w:tcPr>
          <w:p w14:paraId="2891B50D" w14:textId="77777777" w:rsidR="00E93F58" w:rsidRPr="00576D60" w:rsidRDefault="00E93F58" w:rsidP="003D2B1E">
            <w:pPr>
              <w:pStyle w:val="ENoteTableText"/>
              <w:tabs>
                <w:tab w:val="left" w:leader="dot" w:pos="2268"/>
              </w:tabs>
            </w:pPr>
            <w:r w:rsidRPr="00576D60">
              <w:t>r 7.9.11K</w:t>
            </w:r>
            <w:r w:rsidRPr="00576D60">
              <w:tab/>
            </w:r>
          </w:p>
        </w:tc>
        <w:tc>
          <w:tcPr>
            <w:tcW w:w="3500" w:type="pct"/>
            <w:shd w:val="clear" w:color="auto" w:fill="auto"/>
          </w:tcPr>
          <w:p w14:paraId="78DB858B" w14:textId="77777777" w:rsidR="00E93F58" w:rsidRPr="00576D60" w:rsidRDefault="00E93F58" w:rsidP="003D2B1E">
            <w:pPr>
              <w:pStyle w:val="ENoteTableText"/>
            </w:pPr>
            <w:r w:rsidRPr="00576D60">
              <w:t>ad 2010 No 135</w:t>
            </w:r>
          </w:p>
        </w:tc>
      </w:tr>
      <w:tr w:rsidR="00E93F58" w:rsidRPr="00576D60" w14:paraId="449436AB" w14:textId="77777777" w:rsidTr="002F32E3">
        <w:trPr>
          <w:cantSplit/>
        </w:trPr>
        <w:tc>
          <w:tcPr>
            <w:tcW w:w="1500" w:type="pct"/>
            <w:shd w:val="clear" w:color="auto" w:fill="auto"/>
          </w:tcPr>
          <w:p w14:paraId="28BBC0B6" w14:textId="77777777" w:rsidR="00E93F58" w:rsidRPr="00576D60" w:rsidRDefault="00E93F58" w:rsidP="003D2B1E">
            <w:pPr>
              <w:pStyle w:val="ENoteTableText"/>
            </w:pPr>
          </w:p>
        </w:tc>
        <w:tc>
          <w:tcPr>
            <w:tcW w:w="3500" w:type="pct"/>
            <w:shd w:val="clear" w:color="auto" w:fill="auto"/>
          </w:tcPr>
          <w:p w14:paraId="45DCD996" w14:textId="77777777" w:rsidR="00E93F58" w:rsidRPr="00576D60" w:rsidRDefault="00E93F58" w:rsidP="003D2B1E">
            <w:pPr>
              <w:pStyle w:val="ENoteTableText"/>
            </w:pPr>
            <w:r w:rsidRPr="00576D60">
              <w:t>am 2011 No 274; F2022L00469</w:t>
            </w:r>
          </w:p>
        </w:tc>
      </w:tr>
      <w:tr w:rsidR="00E93F58" w:rsidRPr="00576D60" w14:paraId="457B365A" w14:textId="77777777" w:rsidTr="002F32E3">
        <w:trPr>
          <w:cantSplit/>
        </w:trPr>
        <w:tc>
          <w:tcPr>
            <w:tcW w:w="1500" w:type="pct"/>
            <w:shd w:val="clear" w:color="auto" w:fill="auto"/>
          </w:tcPr>
          <w:p w14:paraId="05021C89" w14:textId="77777777" w:rsidR="00E93F58" w:rsidRPr="00576D60" w:rsidRDefault="00E93F58" w:rsidP="003D2B1E">
            <w:pPr>
              <w:pStyle w:val="ENoteTableText"/>
              <w:tabs>
                <w:tab w:val="left" w:leader="dot" w:pos="2268"/>
              </w:tabs>
            </w:pPr>
            <w:r w:rsidRPr="00576D60">
              <w:t>r. 7.9.11L</w:t>
            </w:r>
            <w:r w:rsidRPr="00576D60">
              <w:tab/>
            </w:r>
          </w:p>
        </w:tc>
        <w:tc>
          <w:tcPr>
            <w:tcW w:w="3500" w:type="pct"/>
            <w:shd w:val="clear" w:color="auto" w:fill="auto"/>
          </w:tcPr>
          <w:p w14:paraId="3D0D6227" w14:textId="77777777" w:rsidR="00E93F58" w:rsidRPr="00576D60" w:rsidRDefault="00E93F58" w:rsidP="003D2B1E">
            <w:pPr>
              <w:pStyle w:val="ENoteTableText"/>
            </w:pPr>
            <w:r w:rsidRPr="00576D60">
              <w:t>ad. 2010 No. 135</w:t>
            </w:r>
          </w:p>
        </w:tc>
      </w:tr>
      <w:tr w:rsidR="00E93F58" w:rsidRPr="00576D60" w14:paraId="0976BD0B" w14:textId="77777777" w:rsidTr="002F32E3">
        <w:trPr>
          <w:cantSplit/>
        </w:trPr>
        <w:tc>
          <w:tcPr>
            <w:tcW w:w="1500" w:type="pct"/>
            <w:shd w:val="clear" w:color="auto" w:fill="auto"/>
          </w:tcPr>
          <w:p w14:paraId="22E0FFC7" w14:textId="77777777" w:rsidR="00E93F58" w:rsidRPr="00576D60" w:rsidRDefault="00E93F58" w:rsidP="003D2B1E">
            <w:pPr>
              <w:pStyle w:val="ENoteTableText"/>
              <w:tabs>
                <w:tab w:val="left" w:leader="dot" w:pos="2268"/>
              </w:tabs>
            </w:pPr>
            <w:r w:rsidRPr="00576D60">
              <w:t>r 7.9.11LA</w:t>
            </w:r>
            <w:r w:rsidRPr="00576D60">
              <w:tab/>
            </w:r>
          </w:p>
        </w:tc>
        <w:tc>
          <w:tcPr>
            <w:tcW w:w="3500" w:type="pct"/>
            <w:shd w:val="clear" w:color="auto" w:fill="auto"/>
          </w:tcPr>
          <w:p w14:paraId="2CC12A0B" w14:textId="77777777" w:rsidR="00E93F58" w:rsidRPr="00576D60" w:rsidRDefault="00E93F58" w:rsidP="003D2B1E">
            <w:pPr>
              <w:pStyle w:val="ENoteTableText"/>
            </w:pPr>
            <w:r w:rsidRPr="00576D60">
              <w:t>ad No 26, 2013</w:t>
            </w:r>
          </w:p>
        </w:tc>
      </w:tr>
      <w:tr w:rsidR="00E93F58" w:rsidRPr="00576D60" w14:paraId="453C27CE" w14:textId="77777777" w:rsidTr="002F32E3">
        <w:trPr>
          <w:cantSplit/>
        </w:trPr>
        <w:tc>
          <w:tcPr>
            <w:tcW w:w="1500" w:type="pct"/>
            <w:shd w:val="clear" w:color="auto" w:fill="auto"/>
          </w:tcPr>
          <w:p w14:paraId="2B3F08B1" w14:textId="77777777" w:rsidR="00E93F58" w:rsidRPr="00576D60" w:rsidRDefault="00E93F58" w:rsidP="003D2B1E">
            <w:pPr>
              <w:pStyle w:val="ENoteTableText"/>
              <w:tabs>
                <w:tab w:val="left" w:leader="dot" w:pos="2268"/>
              </w:tabs>
            </w:pPr>
          </w:p>
        </w:tc>
        <w:tc>
          <w:tcPr>
            <w:tcW w:w="3500" w:type="pct"/>
            <w:shd w:val="clear" w:color="auto" w:fill="auto"/>
          </w:tcPr>
          <w:p w14:paraId="2C3D42E5" w14:textId="77777777" w:rsidR="00E93F58" w:rsidRPr="00576D60" w:rsidRDefault="00E93F58" w:rsidP="003D2B1E">
            <w:pPr>
              <w:pStyle w:val="ENoteTableText"/>
            </w:pPr>
            <w:r>
              <w:t>am F2023L01458</w:t>
            </w:r>
          </w:p>
        </w:tc>
      </w:tr>
      <w:tr w:rsidR="00E93F58" w:rsidRPr="00576D60" w14:paraId="0CE7CC43" w14:textId="77777777" w:rsidTr="002F32E3">
        <w:trPr>
          <w:cantSplit/>
        </w:trPr>
        <w:tc>
          <w:tcPr>
            <w:tcW w:w="1500" w:type="pct"/>
            <w:shd w:val="clear" w:color="auto" w:fill="auto"/>
          </w:tcPr>
          <w:p w14:paraId="2FCFD0CB" w14:textId="77777777" w:rsidR="00E93F58" w:rsidRPr="00576D60" w:rsidRDefault="00E93F58" w:rsidP="003D2B1E">
            <w:pPr>
              <w:pStyle w:val="ENoteTableText"/>
              <w:tabs>
                <w:tab w:val="left" w:leader="dot" w:pos="2268"/>
              </w:tabs>
            </w:pPr>
            <w:r w:rsidRPr="00576D60">
              <w:t>r 7.9.11LB</w:t>
            </w:r>
            <w:r w:rsidRPr="00576D60">
              <w:tab/>
            </w:r>
          </w:p>
        </w:tc>
        <w:tc>
          <w:tcPr>
            <w:tcW w:w="3500" w:type="pct"/>
            <w:shd w:val="clear" w:color="auto" w:fill="auto"/>
          </w:tcPr>
          <w:p w14:paraId="5289D61C" w14:textId="77777777" w:rsidR="00E93F58" w:rsidRPr="00576D60" w:rsidRDefault="00E93F58" w:rsidP="003D2B1E">
            <w:pPr>
              <w:pStyle w:val="ENoteTableText"/>
            </w:pPr>
            <w:r w:rsidRPr="00576D60">
              <w:t>ad No 26, 2013</w:t>
            </w:r>
          </w:p>
        </w:tc>
      </w:tr>
      <w:tr w:rsidR="00E93F58" w:rsidRPr="00576D60" w14:paraId="33F0EBBE" w14:textId="77777777" w:rsidTr="002F32E3">
        <w:trPr>
          <w:cantSplit/>
        </w:trPr>
        <w:tc>
          <w:tcPr>
            <w:tcW w:w="1500" w:type="pct"/>
            <w:shd w:val="clear" w:color="auto" w:fill="auto"/>
          </w:tcPr>
          <w:p w14:paraId="3393E2E2" w14:textId="77777777" w:rsidR="00E93F58" w:rsidRPr="00576D60" w:rsidRDefault="00E93F58" w:rsidP="003D2B1E">
            <w:pPr>
              <w:pStyle w:val="ENoteTableText"/>
              <w:tabs>
                <w:tab w:val="left" w:leader="dot" w:pos="2268"/>
              </w:tabs>
            </w:pPr>
          </w:p>
        </w:tc>
        <w:tc>
          <w:tcPr>
            <w:tcW w:w="3500" w:type="pct"/>
            <w:shd w:val="clear" w:color="auto" w:fill="auto"/>
          </w:tcPr>
          <w:p w14:paraId="4B73C8F3" w14:textId="77777777" w:rsidR="00E93F58" w:rsidRPr="00576D60" w:rsidRDefault="00E93F58" w:rsidP="003D2B1E">
            <w:pPr>
              <w:pStyle w:val="ENoteTableText"/>
            </w:pPr>
            <w:r>
              <w:t>am F2023L01458</w:t>
            </w:r>
          </w:p>
        </w:tc>
      </w:tr>
      <w:tr w:rsidR="00E93F58" w:rsidRPr="00576D60" w14:paraId="0695B72D" w14:textId="77777777" w:rsidTr="002F32E3">
        <w:trPr>
          <w:cantSplit/>
        </w:trPr>
        <w:tc>
          <w:tcPr>
            <w:tcW w:w="1500" w:type="pct"/>
            <w:shd w:val="clear" w:color="auto" w:fill="auto"/>
          </w:tcPr>
          <w:p w14:paraId="3C90AD38" w14:textId="77777777" w:rsidR="00E93F58" w:rsidRPr="00576D60" w:rsidRDefault="00E93F58" w:rsidP="003D2B1E">
            <w:pPr>
              <w:pStyle w:val="ENoteTableText"/>
              <w:tabs>
                <w:tab w:val="left" w:leader="dot" w:pos="2268"/>
              </w:tabs>
            </w:pPr>
            <w:r w:rsidRPr="00576D60">
              <w:t>r 7.9.11M</w:t>
            </w:r>
            <w:r w:rsidRPr="00576D60">
              <w:tab/>
            </w:r>
          </w:p>
        </w:tc>
        <w:tc>
          <w:tcPr>
            <w:tcW w:w="3500" w:type="pct"/>
            <w:shd w:val="clear" w:color="auto" w:fill="auto"/>
          </w:tcPr>
          <w:p w14:paraId="155204FA" w14:textId="77777777" w:rsidR="00E93F58" w:rsidRPr="00576D60" w:rsidRDefault="00E93F58" w:rsidP="003D2B1E">
            <w:pPr>
              <w:pStyle w:val="ENoteTableText"/>
            </w:pPr>
            <w:r w:rsidRPr="00576D60">
              <w:t>ad</w:t>
            </w:r>
            <w:r>
              <w:t xml:space="preserve"> No 135, 2010</w:t>
            </w:r>
          </w:p>
        </w:tc>
      </w:tr>
      <w:tr w:rsidR="00E93F58" w:rsidRPr="00576D60" w14:paraId="2A60B668" w14:textId="77777777" w:rsidTr="002F32E3">
        <w:trPr>
          <w:cantSplit/>
        </w:trPr>
        <w:tc>
          <w:tcPr>
            <w:tcW w:w="1500" w:type="pct"/>
            <w:shd w:val="clear" w:color="auto" w:fill="auto"/>
          </w:tcPr>
          <w:p w14:paraId="38A0F059" w14:textId="77777777" w:rsidR="00E93F58" w:rsidRPr="00576D60" w:rsidRDefault="00E93F58" w:rsidP="003D2B1E">
            <w:pPr>
              <w:pStyle w:val="ENoteTableText"/>
            </w:pPr>
          </w:p>
        </w:tc>
        <w:tc>
          <w:tcPr>
            <w:tcW w:w="3500" w:type="pct"/>
            <w:shd w:val="clear" w:color="auto" w:fill="auto"/>
          </w:tcPr>
          <w:p w14:paraId="11314640" w14:textId="77777777" w:rsidR="00E93F58" w:rsidRPr="00576D60" w:rsidRDefault="00E93F58" w:rsidP="003D2B1E">
            <w:pPr>
              <w:pStyle w:val="ENoteTableText"/>
            </w:pPr>
            <w:r w:rsidRPr="00576D60">
              <w:t>am</w:t>
            </w:r>
            <w:r>
              <w:t xml:space="preserve"> No 274, 2001; F2023L01458</w:t>
            </w:r>
          </w:p>
        </w:tc>
      </w:tr>
      <w:tr w:rsidR="00E93F58" w:rsidRPr="00576D60" w14:paraId="4D7270F2" w14:textId="77777777" w:rsidTr="002F32E3">
        <w:trPr>
          <w:cantSplit/>
        </w:trPr>
        <w:tc>
          <w:tcPr>
            <w:tcW w:w="1500" w:type="pct"/>
            <w:shd w:val="clear" w:color="auto" w:fill="auto"/>
          </w:tcPr>
          <w:p w14:paraId="5B426D40" w14:textId="77777777" w:rsidR="00E93F58" w:rsidRPr="00576D60" w:rsidRDefault="00E93F58" w:rsidP="003D2B1E">
            <w:pPr>
              <w:pStyle w:val="ENoteTableText"/>
              <w:tabs>
                <w:tab w:val="left" w:leader="dot" w:pos="2268"/>
              </w:tabs>
            </w:pPr>
            <w:r w:rsidRPr="00576D60">
              <w:t>r. 7.9.11N</w:t>
            </w:r>
            <w:r w:rsidRPr="00576D60">
              <w:tab/>
            </w:r>
          </w:p>
        </w:tc>
        <w:tc>
          <w:tcPr>
            <w:tcW w:w="3500" w:type="pct"/>
            <w:shd w:val="clear" w:color="auto" w:fill="auto"/>
          </w:tcPr>
          <w:p w14:paraId="1E66164E" w14:textId="77777777" w:rsidR="00E93F58" w:rsidRPr="00576D60" w:rsidRDefault="00E93F58" w:rsidP="003D2B1E">
            <w:pPr>
              <w:pStyle w:val="ENoteTableText"/>
            </w:pPr>
            <w:r w:rsidRPr="00576D60">
              <w:t>ad. 2010 No. 135</w:t>
            </w:r>
          </w:p>
        </w:tc>
      </w:tr>
      <w:tr w:rsidR="00E93F58" w:rsidRPr="00576D60" w14:paraId="2E7AED9F" w14:textId="77777777" w:rsidTr="002F32E3">
        <w:trPr>
          <w:cantSplit/>
        </w:trPr>
        <w:tc>
          <w:tcPr>
            <w:tcW w:w="1500" w:type="pct"/>
            <w:shd w:val="clear" w:color="auto" w:fill="auto"/>
          </w:tcPr>
          <w:p w14:paraId="3A63E01C" w14:textId="77777777" w:rsidR="00E93F58" w:rsidRPr="00576D60" w:rsidRDefault="00E93F58" w:rsidP="003D2B1E">
            <w:pPr>
              <w:pStyle w:val="ENoteTableText"/>
              <w:tabs>
                <w:tab w:val="left" w:leader="dot" w:pos="2268"/>
              </w:tabs>
            </w:pPr>
            <w:r w:rsidRPr="00576D60">
              <w:t>r. 7.9.11O</w:t>
            </w:r>
            <w:r w:rsidRPr="00576D60">
              <w:tab/>
            </w:r>
          </w:p>
        </w:tc>
        <w:tc>
          <w:tcPr>
            <w:tcW w:w="3500" w:type="pct"/>
            <w:shd w:val="clear" w:color="auto" w:fill="auto"/>
          </w:tcPr>
          <w:p w14:paraId="2499771A" w14:textId="77777777" w:rsidR="00E93F58" w:rsidRPr="00576D60" w:rsidRDefault="00E93F58" w:rsidP="003D2B1E">
            <w:pPr>
              <w:pStyle w:val="ENoteTableText"/>
            </w:pPr>
            <w:r w:rsidRPr="00576D60">
              <w:t>ad. 2010 No. 135</w:t>
            </w:r>
          </w:p>
        </w:tc>
      </w:tr>
      <w:tr w:rsidR="00E93F58" w:rsidRPr="00576D60" w14:paraId="5AE734C2" w14:textId="77777777" w:rsidTr="002F32E3">
        <w:trPr>
          <w:cantSplit/>
        </w:trPr>
        <w:tc>
          <w:tcPr>
            <w:tcW w:w="1500" w:type="pct"/>
            <w:shd w:val="clear" w:color="auto" w:fill="auto"/>
          </w:tcPr>
          <w:p w14:paraId="3CFACA0C" w14:textId="77777777" w:rsidR="00E93F58" w:rsidRPr="00576D60" w:rsidRDefault="00E93F58" w:rsidP="003D2B1E">
            <w:pPr>
              <w:pStyle w:val="ENoteTableText"/>
              <w:tabs>
                <w:tab w:val="left" w:leader="dot" w:pos="2268"/>
              </w:tabs>
            </w:pPr>
            <w:r w:rsidRPr="00576D60">
              <w:t>r 7.9.11P</w:t>
            </w:r>
            <w:r w:rsidRPr="00576D60">
              <w:tab/>
            </w:r>
          </w:p>
        </w:tc>
        <w:tc>
          <w:tcPr>
            <w:tcW w:w="3500" w:type="pct"/>
            <w:shd w:val="clear" w:color="auto" w:fill="auto"/>
          </w:tcPr>
          <w:p w14:paraId="7C260DAA" w14:textId="77777777" w:rsidR="00E93F58" w:rsidRPr="00576D60" w:rsidRDefault="00E93F58" w:rsidP="003D2B1E">
            <w:pPr>
              <w:pStyle w:val="ENoteTableText"/>
            </w:pPr>
            <w:r w:rsidRPr="00576D60">
              <w:t>ad</w:t>
            </w:r>
            <w:r>
              <w:t xml:space="preserve"> No 135, 2010</w:t>
            </w:r>
          </w:p>
        </w:tc>
      </w:tr>
      <w:tr w:rsidR="00E93F58" w:rsidRPr="00576D60" w14:paraId="02B15951" w14:textId="77777777" w:rsidTr="002F32E3">
        <w:trPr>
          <w:cantSplit/>
        </w:trPr>
        <w:tc>
          <w:tcPr>
            <w:tcW w:w="1500" w:type="pct"/>
            <w:shd w:val="clear" w:color="auto" w:fill="auto"/>
          </w:tcPr>
          <w:p w14:paraId="72DFD602" w14:textId="77777777" w:rsidR="00E93F58" w:rsidRPr="00576D60" w:rsidRDefault="00E93F58" w:rsidP="003D2B1E">
            <w:pPr>
              <w:pStyle w:val="ENoteTableText"/>
            </w:pPr>
          </w:p>
        </w:tc>
        <w:tc>
          <w:tcPr>
            <w:tcW w:w="3500" w:type="pct"/>
            <w:shd w:val="clear" w:color="auto" w:fill="auto"/>
          </w:tcPr>
          <w:p w14:paraId="1021FB46" w14:textId="77777777" w:rsidR="00E93F58" w:rsidRPr="00576D60" w:rsidRDefault="00E93F58" w:rsidP="003D2B1E">
            <w:pPr>
              <w:pStyle w:val="ENoteTableText"/>
            </w:pPr>
            <w:r w:rsidRPr="00576D60">
              <w:t>am</w:t>
            </w:r>
            <w:r>
              <w:t xml:space="preserve"> No 274, 2011; F2023L01458</w:t>
            </w:r>
          </w:p>
        </w:tc>
      </w:tr>
      <w:tr w:rsidR="00E93F58" w:rsidRPr="00576D60" w14:paraId="408DE04B" w14:textId="77777777" w:rsidTr="002F32E3">
        <w:trPr>
          <w:cantSplit/>
        </w:trPr>
        <w:tc>
          <w:tcPr>
            <w:tcW w:w="1500" w:type="pct"/>
            <w:shd w:val="clear" w:color="auto" w:fill="auto"/>
          </w:tcPr>
          <w:p w14:paraId="68BC2455" w14:textId="77777777" w:rsidR="00E93F58" w:rsidRPr="00576D60" w:rsidRDefault="00E93F58" w:rsidP="003D2B1E">
            <w:pPr>
              <w:pStyle w:val="ENoteTableText"/>
              <w:tabs>
                <w:tab w:val="left" w:leader="dot" w:pos="2268"/>
              </w:tabs>
            </w:pPr>
            <w:r w:rsidRPr="00576D60">
              <w:t>r. 7.9.11Q</w:t>
            </w:r>
            <w:r w:rsidRPr="00576D60">
              <w:tab/>
            </w:r>
          </w:p>
        </w:tc>
        <w:tc>
          <w:tcPr>
            <w:tcW w:w="3500" w:type="pct"/>
            <w:shd w:val="clear" w:color="auto" w:fill="auto"/>
          </w:tcPr>
          <w:p w14:paraId="14CABBA8" w14:textId="77777777" w:rsidR="00E93F58" w:rsidRPr="00576D60" w:rsidRDefault="00E93F58" w:rsidP="003D2B1E">
            <w:pPr>
              <w:pStyle w:val="ENoteTableText"/>
            </w:pPr>
            <w:r w:rsidRPr="00576D60">
              <w:t>ad. 2010 No. 135</w:t>
            </w:r>
          </w:p>
        </w:tc>
      </w:tr>
      <w:tr w:rsidR="00E93F58" w:rsidRPr="00576D60" w14:paraId="65FC068F" w14:textId="77777777" w:rsidTr="002F32E3">
        <w:trPr>
          <w:cantSplit/>
        </w:trPr>
        <w:tc>
          <w:tcPr>
            <w:tcW w:w="1500" w:type="pct"/>
            <w:shd w:val="clear" w:color="auto" w:fill="auto"/>
          </w:tcPr>
          <w:p w14:paraId="1DE262EF" w14:textId="77777777" w:rsidR="00E93F58" w:rsidRPr="00576D60" w:rsidRDefault="00E93F58" w:rsidP="003D2B1E">
            <w:pPr>
              <w:pStyle w:val="ENoteTableText"/>
              <w:tabs>
                <w:tab w:val="left" w:leader="dot" w:pos="2268"/>
              </w:tabs>
            </w:pPr>
            <w:r w:rsidRPr="00576D60">
              <w:t>r. 7.9.11R</w:t>
            </w:r>
            <w:r w:rsidRPr="00576D60">
              <w:tab/>
            </w:r>
          </w:p>
        </w:tc>
        <w:tc>
          <w:tcPr>
            <w:tcW w:w="3500" w:type="pct"/>
            <w:shd w:val="clear" w:color="auto" w:fill="auto"/>
          </w:tcPr>
          <w:p w14:paraId="10FA1B75" w14:textId="77777777" w:rsidR="00E93F58" w:rsidRPr="00576D60" w:rsidRDefault="00E93F58" w:rsidP="003D2B1E">
            <w:pPr>
              <w:pStyle w:val="ENoteTableText"/>
            </w:pPr>
            <w:r w:rsidRPr="00576D60">
              <w:t>ad. 2010 No. 135</w:t>
            </w:r>
          </w:p>
        </w:tc>
      </w:tr>
      <w:tr w:rsidR="00E93F58" w:rsidRPr="00576D60" w14:paraId="4AF80E8A" w14:textId="77777777" w:rsidTr="002F32E3">
        <w:trPr>
          <w:cantSplit/>
        </w:trPr>
        <w:tc>
          <w:tcPr>
            <w:tcW w:w="1500" w:type="pct"/>
            <w:shd w:val="clear" w:color="auto" w:fill="auto"/>
          </w:tcPr>
          <w:p w14:paraId="1094787D" w14:textId="77777777" w:rsidR="00E93F58" w:rsidRPr="00576D60" w:rsidRDefault="00E93F58" w:rsidP="00847CAA">
            <w:pPr>
              <w:pStyle w:val="ENoteTableText"/>
              <w:keepNext/>
              <w:tabs>
                <w:tab w:val="left" w:leader="dot" w:pos="2268"/>
              </w:tabs>
              <w:rPr>
                <w:b/>
              </w:rPr>
            </w:pPr>
            <w:r>
              <w:rPr>
                <w:b/>
              </w:rPr>
              <w:t>Subdivision 4</w:t>
            </w:r>
            <w:r w:rsidRPr="00576D60">
              <w:rPr>
                <w:b/>
              </w:rPr>
              <w:t>.2C</w:t>
            </w:r>
          </w:p>
        </w:tc>
        <w:tc>
          <w:tcPr>
            <w:tcW w:w="3500" w:type="pct"/>
            <w:shd w:val="clear" w:color="auto" w:fill="auto"/>
          </w:tcPr>
          <w:p w14:paraId="2ADF1367" w14:textId="77777777" w:rsidR="00E93F58" w:rsidRPr="00576D60" w:rsidRDefault="00E93F58" w:rsidP="00847CAA">
            <w:pPr>
              <w:pStyle w:val="ENoteTableText"/>
              <w:keepNext/>
              <w:keepLines/>
            </w:pPr>
          </w:p>
        </w:tc>
      </w:tr>
      <w:tr w:rsidR="00E93F58" w:rsidRPr="00576D60" w14:paraId="44FAC1A5" w14:textId="77777777" w:rsidTr="002F32E3">
        <w:trPr>
          <w:cantSplit/>
        </w:trPr>
        <w:tc>
          <w:tcPr>
            <w:tcW w:w="1500" w:type="pct"/>
            <w:shd w:val="clear" w:color="auto" w:fill="auto"/>
          </w:tcPr>
          <w:p w14:paraId="29529FD9" w14:textId="77777777" w:rsidR="00E93F58" w:rsidRPr="00576D60" w:rsidRDefault="00E93F58" w:rsidP="003D2B1E">
            <w:pPr>
              <w:pStyle w:val="ENoteTableText"/>
              <w:tabs>
                <w:tab w:val="left" w:leader="dot" w:pos="2268"/>
              </w:tabs>
            </w:pPr>
            <w:r>
              <w:t>Subdivision 4</w:t>
            </w:r>
            <w:r w:rsidRPr="00576D60">
              <w:t>.2C</w:t>
            </w:r>
            <w:r w:rsidRPr="00576D60">
              <w:tab/>
            </w:r>
          </w:p>
        </w:tc>
        <w:tc>
          <w:tcPr>
            <w:tcW w:w="3500" w:type="pct"/>
            <w:shd w:val="clear" w:color="auto" w:fill="auto"/>
          </w:tcPr>
          <w:p w14:paraId="61CB07E5" w14:textId="77777777" w:rsidR="00E93F58" w:rsidRPr="00576D60" w:rsidRDefault="00E93F58" w:rsidP="003D2B1E">
            <w:pPr>
              <w:pStyle w:val="ENoteTableText"/>
            </w:pPr>
            <w:r w:rsidRPr="00576D60">
              <w:t>ad. 2010 No. 135</w:t>
            </w:r>
          </w:p>
        </w:tc>
      </w:tr>
      <w:tr w:rsidR="00E93F58" w:rsidRPr="00576D60" w14:paraId="7515992F" w14:textId="77777777" w:rsidTr="002F32E3">
        <w:trPr>
          <w:cantSplit/>
        </w:trPr>
        <w:tc>
          <w:tcPr>
            <w:tcW w:w="1500" w:type="pct"/>
            <w:shd w:val="clear" w:color="auto" w:fill="auto"/>
          </w:tcPr>
          <w:p w14:paraId="62E3AE88" w14:textId="77777777" w:rsidR="00E93F58" w:rsidRPr="00576D60" w:rsidRDefault="00E93F58" w:rsidP="003D2B1E">
            <w:pPr>
              <w:pStyle w:val="ENoteTableText"/>
              <w:tabs>
                <w:tab w:val="left" w:leader="dot" w:pos="2268"/>
              </w:tabs>
            </w:pPr>
            <w:r w:rsidRPr="00576D60">
              <w:t>r 7.9.11S</w:t>
            </w:r>
            <w:r w:rsidRPr="00576D60">
              <w:tab/>
            </w:r>
          </w:p>
        </w:tc>
        <w:tc>
          <w:tcPr>
            <w:tcW w:w="3500" w:type="pct"/>
            <w:shd w:val="clear" w:color="auto" w:fill="auto"/>
          </w:tcPr>
          <w:p w14:paraId="53AB7E35" w14:textId="77777777" w:rsidR="00E93F58" w:rsidRPr="00576D60" w:rsidRDefault="00E93F58" w:rsidP="003D2B1E">
            <w:pPr>
              <w:pStyle w:val="ENoteTableText"/>
            </w:pPr>
            <w:r w:rsidRPr="00576D60">
              <w:t>ad No 135, 2010</w:t>
            </w:r>
          </w:p>
        </w:tc>
      </w:tr>
      <w:tr w:rsidR="00E93F58" w:rsidRPr="00576D60" w14:paraId="13F366B6" w14:textId="77777777" w:rsidTr="002F32E3">
        <w:trPr>
          <w:cantSplit/>
        </w:trPr>
        <w:tc>
          <w:tcPr>
            <w:tcW w:w="1500" w:type="pct"/>
            <w:shd w:val="clear" w:color="auto" w:fill="auto"/>
          </w:tcPr>
          <w:p w14:paraId="58A2896C" w14:textId="77777777" w:rsidR="00E93F58" w:rsidRPr="00576D60" w:rsidRDefault="00E93F58" w:rsidP="003D2B1E">
            <w:pPr>
              <w:pStyle w:val="ENoteTableText"/>
              <w:tabs>
                <w:tab w:val="left" w:leader="dot" w:pos="2268"/>
              </w:tabs>
            </w:pPr>
          </w:p>
        </w:tc>
        <w:tc>
          <w:tcPr>
            <w:tcW w:w="3500" w:type="pct"/>
            <w:shd w:val="clear" w:color="auto" w:fill="auto"/>
          </w:tcPr>
          <w:p w14:paraId="6E7EDD0E" w14:textId="77777777" w:rsidR="00E93F58" w:rsidRPr="00576D60" w:rsidRDefault="00E93F58" w:rsidP="003D2B1E">
            <w:pPr>
              <w:pStyle w:val="ENoteTableText"/>
            </w:pPr>
            <w:r w:rsidRPr="00576D60">
              <w:t>am F2018L01144; F2022L00469</w:t>
            </w:r>
          </w:p>
        </w:tc>
      </w:tr>
      <w:tr w:rsidR="00E93F58" w:rsidRPr="00576D60" w14:paraId="78D946F0" w14:textId="77777777" w:rsidTr="002F32E3">
        <w:trPr>
          <w:cantSplit/>
        </w:trPr>
        <w:tc>
          <w:tcPr>
            <w:tcW w:w="1500" w:type="pct"/>
            <w:shd w:val="clear" w:color="auto" w:fill="auto"/>
          </w:tcPr>
          <w:p w14:paraId="7BB81B12" w14:textId="77777777" w:rsidR="00E93F58" w:rsidRPr="00576D60" w:rsidRDefault="00E93F58" w:rsidP="003D2B1E">
            <w:pPr>
              <w:pStyle w:val="ENoteTableText"/>
              <w:tabs>
                <w:tab w:val="left" w:leader="dot" w:pos="2268"/>
              </w:tabs>
            </w:pPr>
            <w:r w:rsidRPr="00576D60">
              <w:t>r. 7.9.11T</w:t>
            </w:r>
            <w:r w:rsidRPr="00576D60">
              <w:tab/>
            </w:r>
          </w:p>
        </w:tc>
        <w:tc>
          <w:tcPr>
            <w:tcW w:w="3500" w:type="pct"/>
            <w:shd w:val="clear" w:color="auto" w:fill="auto"/>
          </w:tcPr>
          <w:p w14:paraId="60F38244" w14:textId="77777777" w:rsidR="00E93F58" w:rsidRPr="00576D60" w:rsidRDefault="00E93F58" w:rsidP="003D2B1E">
            <w:pPr>
              <w:pStyle w:val="ENoteTableText"/>
            </w:pPr>
            <w:r w:rsidRPr="00576D60">
              <w:t>ad. 2010 No. 135</w:t>
            </w:r>
          </w:p>
        </w:tc>
      </w:tr>
      <w:tr w:rsidR="00E93F58" w:rsidRPr="00576D60" w14:paraId="5C18F08B" w14:textId="77777777" w:rsidTr="002F32E3">
        <w:trPr>
          <w:cantSplit/>
        </w:trPr>
        <w:tc>
          <w:tcPr>
            <w:tcW w:w="1500" w:type="pct"/>
            <w:shd w:val="clear" w:color="auto" w:fill="auto"/>
          </w:tcPr>
          <w:p w14:paraId="42835608" w14:textId="77777777" w:rsidR="00E93F58" w:rsidRPr="00576D60" w:rsidRDefault="00E93F58" w:rsidP="003D2B1E">
            <w:pPr>
              <w:pStyle w:val="ENoteTableText"/>
              <w:tabs>
                <w:tab w:val="left" w:leader="dot" w:pos="2268"/>
              </w:tabs>
            </w:pPr>
            <w:r w:rsidRPr="00576D60">
              <w:t>r 7.9.11U</w:t>
            </w:r>
            <w:r w:rsidRPr="00576D60">
              <w:tab/>
            </w:r>
          </w:p>
        </w:tc>
        <w:tc>
          <w:tcPr>
            <w:tcW w:w="3500" w:type="pct"/>
            <w:shd w:val="clear" w:color="auto" w:fill="auto"/>
          </w:tcPr>
          <w:p w14:paraId="438839A9" w14:textId="77777777" w:rsidR="00E93F58" w:rsidRPr="00576D60" w:rsidRDefault="00E93F58" w:rsidP="003D2B1E">
            <w:pPr>
              <w:pStyle w:val="ENoteTableText"/>
            </w:pPr>
            <w:r w:rsidRPr="00576D60">
              <w:t>ad</w:t>
            </w:r>
            <w:r>
              <w:t xml:space="preserve"> No 135, 2010</w:t>
            </w:r>
          </w:p>
        </w:tc>
      </w:tr>
      <w:tr w:rsidR="00E93F58" w:rsidRPr="00576D60" w14:paraId="50CC5D80" w14:textId="77777777" w:rsidTr="002F32E3">
        <w:trPr>
          <w:cantSplit/>
        </w:trPr>
        <w:tc>
          <w:tcPr>
            <w:tcW w:w="1500" w:type="pct"/>
            <w:shd w:val="clear" w:color="auto" w:fill="auto"/>
          </w:tcPr>
          <w:p w14:paraId="43D0F0C4" w14:textId="77777777" w:rsidR="00E93F58" w:rsidRPr="00576D60" w:rsidRDefault="00E93F58" w:rsidP="003D2B1E">
            <w:pPr>
              <w:pStyle w:val="ENoteTableText"/>
            </w:pPr>
          </w:p>
        </w:tc>
        <w:tc>
          <w:tcPr>
            <w:tcW w:w="3500" w:type="pct"/>
            <w:shd w:val="clear" w:color="auto" w:fill="auto"/>
          </w:tcPr>
          <w:p w14:paraId="41B17B1A" w14:textId="77777777" w:rsidR="00E93F58" w:rsidRPr="00576D60" w:rsidRDefault="00E93F58" w:rsidP="003D2B1E">
            <w:pPr>
              <w:pStyle w:val="ENoteTableText"/>
            </w:pPr>
            <w:r w:rsidRPr="00576D60">
              <w:t>am</w:t>
            </w:r>
            <w:r>
              <w:t xml:space="preserve"> No 274, 2011; F2023L01458</w:t>
            </w:r>
          </w:p>
        </w:tc>
      </w:tr>
      <w:tr w:rsidR="00E93F58" w:rsidRPr="00576D60" w14:paraId="0FB93D9C" w14:textId="77777777" w:rsidTr="002F32E3">
        <w:trPr>
          <w:cantSplit/>
        </w:trPr>
        <w:tc>
          <w:tcPr>
            <w:tcW w:w="1500" w:type="pct"/>
            <w:shd w:val="clear" w:color="auto" w:fill="auto"/>
          </w:tcPr>
          <w:p w14:paraId="4B2BD529" w14:textId="77777777" w:rsidR="00E93F58" w:rsidRPr="00576D60" w:rsidRDefault="00E93F58" w:rsidP="003D2B1E">
            <w:pPr>
              <w:pStyle w:val="ENoteTableText"/>
              <w:tabs>
                <w:tab w:val="left" w:leader="dot" w:pos="2268"/>
              </w:tabs>
            </w:pPr>
            <w:r w:rsidRPr="00576D60">
              <w:t>r. 7.9.11V</w:t>
            </w:r>
            <w:r w:rsidRPr="00576D60">
              <w:tab/>
            </w:r>
          </w:p>
        </w:tc>
        <w:tc>
          <w:tcPr>
            <w:tcW w:w="3500" w:type="pct"/>
            <w:shd w:val="clear" w:color="auto" w:fill="auto"/>
          </w:tcPr>
          <w:p w14:paraId="6B9D61AE" w14:textId="77777777" w:rsidR="00E93F58" w:rsidRPr="00576D60" w:rsidRDefault="00E93F58" w:rsidP="003D2B1E">
            <w:pPr>
              <w:pStyle w:val="ENoteTableText"/>
            </w:pPr>
            <w:r w:rsidRPr="00576D60">
              <w:t>ad. 2010 No. 135</w:t>
            </w:r>
          </w:p>
        </w:tc>
      </w:tr>
      <w:tr w:rsidR="00E93F58" w:rsidRPr="00576D60" w14:paraId="6F29FAC6" w14:textId="77777777" w:rsidTr="002F32E3">
        <w:trPr>
          <w:cantSplit/>
        </w:trPr>
        <w:tc>
          <w:tcPr>
            <w:tcW w:w="1500" w:type="pct"/>
            <w:shd w:val="clear" w:color="auto" w:fill="auto"/>
          </w:tcPr>
          <w:p w14:paraId="507D44A4" w14:textId="77777777" w:rsidR="00E93F58" w:rsidRPr="00576D60" w:rsidRDefault="00E93F58" w:rsidP="003D2B1E">
            <w:pPr>
              <w:pStyle w:val="ENoteTableText"/>
              <w:tabs>
                <w:tab w:val="left" w:leader="dot" w:pos="2268"/>
              </w:tabs>
            </w:pPr>
            <w:r w:rsidRPr="00576D60">
              <w:t>r. 7.9.11W</w:t>
            </w:r>
            <w:r w:rsidRPr="00576D60">
              <w:tab/>
            </w:r>
          </w:p>
        </w:tc>
        <w:tc>
          <w:tcPr>
            <w:tcW w:w="3500" w:type="pct"/>
            <w:shd w:val="clear" w:color="auto" w:fill="auto"/>
          </w:tcPr>
          <w:p w14:paraId="70BF1F8B" w14:textId="77777777" w:rsidR="00E93F58" w:rsidRPr="00576D60" w:rsidRDefault="00E93F58" w:rsidP="003D2B1E">
            <w:pPr>
              <w:pStyle w:val="ENoteTableText"/>
            </w:pPr>
            <w:r w:rsidRPr="00576D60">
              <w:t>ad. 2010 No. 135</w:t>
            </w:r>
          </w:p>
        </w:tc>
      </w:tr>
      <w:tr w:rsidR="00E93F58" w:rsidRPr="00576D60" w14:paraId="4644E597" w14:textId="77777777" w:rsidTr="002F32E3">
        <w:trPr>
          <w:cantSplit/>
        </w:trPr>
        <w:tc>
          <w:tcPr>
            <w:tcW w:w="1500" w:type="pct"/>
            <w:shd w:val="clear" w:color="auto" w:fill="auto"/>
          </w:tcPr>
          <w:p w14:paraId="388671B2" w14:textId="77777777" w:rsidR="00E93F58" w:rsidRPr="00576D60" w:rsidRDefault="00E93F58" w:rsidP="003D2B1E">
            <w:pPr>
              <w:pStyle w:val="ENoteTableText"/>
              <w:tabs>
                <w:tab w:val="left" w:leader="dot" w:pos="2268"/>
              </w:tabs>
            </w:pPr>
            <w:r w:rsidRPr="00576D60">
              <w:t>r. 7.9.11X</w:t>
            </w:r>
            <w:r w:rsidRPr="00576D60">
              <w:tab/>
            </w:r>
          </w:p>
        </w:tc>
        <w:tc>
          <w:tcPr>
            <w:tcW w:w="3500" w:type="pct"/>
            <w:shd w:val="clear" w:color="auto" w:fill="auto"/>
          </w:tcPr>
          <w:p w14:paraId="18C48592" w14:textId="77777777" w:rsidR="00E93F58" w:rsidRPr="00576D60" w:rsidRDefault="00E93F58" w:rsidP="003D2B1E">
            <w:pPr>
              <w:pStyle w:val="ENoteTableText"/>
            </w:pPr>
            <w:r w:rsidRPr="00576D60">
              <w:t>ad. 2010 No. 135</w:t>
            </w:r>
          </w:p>
        </w:tc>
      </w:tr>
      <w:tr w:rsidR="00E93F58" w:rsidRPr="00576D60" w14:paraId="67ED2761" w14:textId="77777777" w:rsidTr="002F32E3">
        <w:trPr>
          <w:cantSplit/>
        </w:trPr>
        <w:tc>
          <w:tcPr>
            <w:tcW w:w="1500" w:type="pct"/>
            <w:shd w:val="clear" w:color="auto" w:fill="auto"/>
          </w:tcPr>
          <w:p w14:paraId="5C28AA7F" w14:textId="77777777" w:rsidR="00E93F58" w:rsidRPr="00576D60" w:rsidRDefault="00E93F58" w:rsidP="003D2B1E">
            <w:pPr>
              <w:pStyle w:val="ENoteTableText"/>
            </w:pPr>
          </w:p>
        </w:tc>
        <w:tc>
          <w:tcPr>
            <w:tcW w:w="3500" w:type="pct"/>
            <w:shd w:val="clear" w:color="auto" w:fill="auto"/>
          </w:tcPr>
          <w:p w14:paraId="1F219F68" w14:textId="77777777" w:rsidR="00E93F58" w:rsidRPr="00576D60" w:rsidRDefault="00E93F58" w:rsidP="003D2B1E">
            <w:pPr>
              <w:pStyle w:val="ENoteTableText"/>
            </w:pPr>
            <w:r w:rsidRPr="00576D60">
              <w:t>am. 2011 No. 274</w:t>
            </w:r>
          </w:p>
        </w:tc>
      </w:tr>
      <w:tr w:rsidR="00E93F58" w:rsidRPr="00576D60" w14:paraId="6BB1724A" w14:textId="77777777" w:rsidTr="002F32E3">
        <w:trPr>
          <w:cantSplit/>
        </w:trPr>
        <w:tc>
          <w:tcPr>
            <w:tcW w:w="1500" w:type="pct"/>
            <w:shd w:val="clear" w:color="auto" w:fill="auto"/>
          </w:tcPr>
          <w:p w14:paraId="100CA2D6" w14:textId="77777777" w:rsidR="00E93F58" w:rsidRPr="00576D60" w:rsidRDefault="00E93F58" w:rsidP="003D2B1E">
            <w:pPr>
              <w:pStyle w:val="ENoteTableText"/>
              <w:tabs>
                <w:tab w:val="left" w:leader="dot" w:pos="2268"/>
              </w:tabs>
            </w:pPr>
            <w:r w:rsidRPr="00576D60">
              <w:t>r. 7.9.11Y</w:t>
            </w:r>
            <w:r w:rsidRPr="00576D60">
              <w:tab/>
            </w:r>
          </w:p>
        </w:tc>
        <w:tc>
          <w:tcPr>
            <w:tcW w:w="3500" w:type="pct"/>
            <w:shd w:val="clear" w:color="auto" w:fill="auto"/>
          </w:tcPr>
          <w:p w14:paraId="4FCFA31D" w14:textId="77777777" w:rsidR="00E93F58" w:rsidRPr="00576D60" w:rsidRDefault="00E93F58" w:rsidP="003D2B1E">
            <w:pPr>
              <w:pStyle w:val="ENoteTableText"/>
            </w:pPr>
            <w:r w:rsidRPr="00576D60">
              <w:t>ad. 2010 No. 135</w:t>
            </w:r>
          </w:p>
        </w:tc>
      </w:tr>
      <w:tr w:rsidR="00E93F58" w:rsidRPr="00576D60" w14:paraId="6D937279" w14:textId="77777777" w:rsidTr="002F32E3">
        <w:trPr>
          <w:cantSplit/>
        </w:trPr>
        <w:tc>
          <w:tcPr>
            <w:tcW w:w="1500" w:type="pct"/>
            <w:shd w:val="clear" w:color="auto" w:fill="auto"/>
          </w:tcPr>
          <w:p w14:paraId="117A6A29" w14:textId="77777777" w:rsidR="00E93F58" w:rsidRPr="00576D60" w:rsidRDefault="00E93F58" w:rsidP="003D2B1E">
            <w:pPr>
              <w:pStyle w:val="ENoteTableText"/>
              <w:tabs>
                <w:tab w:val="left" w:leader="dot" w:pos="2268"/>
              </w:tabs>
            </w:pPr>
            <w:r w:rsidRPr="00576D60">
              <w:t>r. 7.9.11Z</w:t>
            </w:r>
            <w:r w:rsidRPr="00576D60">
              <w:tab/>
            </w:r>
          </w:p>
        </w:tc>
        <w:tc>
          <w:tcPr>
            <w:tcW w:w="3500" w:type="pct"/>
            <w:shd w:val="clear" w:color="auto" w:fill="auto"/>
          </w:tcPr>
          <w:p w14:paraId="20476251" w14:textId="77777777" w:rsidR="00E93F58" w:rsidRPr="00576D60" w:rsidRDefault="00E93F58" w:rsidP="003D2B1E">
            <w:pPr>
              <w:pStyle w:val="ENoteTableText"/>
            </w:pPr>
            <w:r w:rsidRPr="00576D60">
              <w:t>ad. 2010 No. 135</w:t>
            </w:r>
          </w:p>
        </w:tc>
      </w:tr>
      <w:tr w:rsidR="00E93F58" w:rsidRPr="00576D60" w14:paraId="51ED5C3D" w14:textId="77777777" w:rsidTr="002F32E3">
        <w:trPr>
          <w:cantSplit/>
        </w:trPr>
        <w:tc>
          <w:tcPr>
            <w:tcW w:w="1500" w:type="pct"/>
            <w:shd w:val="clear" w:color="auto" w:fill="auto"/>
          </w:tcPr>
          <w:p w14:paraId="4C9B7CE0" w14:textId="77777777" w:rsidR="00E93F58" w:rsidRPr="00576D60" w:rsidRDefault="00E93F58" w:rsidP="009E4CA5">
            <w:pPr>
              <w:pStyle w:val="ENoteTableText"/>
              <w:tabs>
                <w:tab w:val="left" w:leader="dot" w:pos="2268"/>
              </w:tabs>
            </w:pPr>
            <w:r>
              <w:rPr>
                <w:b/>
              </w:rPr>
              <w:t>Subdivision 4</w:t>
            </w:r>
            <w:r w:rsidRPr="00576D60">
              <w:rPr>
                <w:b/>
              </w:rPr>
              <w:t>.2D</w:t>
            </w:r>
          </w:p>
        </w:tc>
        <w:tc>
          <w:tcPr>
            <w:tcW w:w="3500" w:type="pct"/>
            <w:shd w:val="clear" w:color="auto" w:fill="auto"/>
          </w:tcPr>
          <w:p w14:paraId="04126D07" w14:textId="77777777" w:rsidR="00E93F58" w:rsidRPr="00576D60" w:rsidRDefault="00E93F58" w:rsidP="009E4CA5">
            <w:pPr>
              <w:pStyle w:val="ENoteTableText"/>
            </w:pPr>
          </w:p>
        </w:tc>
      </w:tr>
      <w:tr w:rsidR="00E93F58" w:rsidRPr="00576D60" w14:paraId="064C596C" w14:textId="77777777" w:rsidTr="002F32E3">
        <w:trPr>
          <w:cantSplit/>
        </w:trPr>
        <w:tc>
          <w:tcPr>
            <w:tcW w:w="1500" w:type="pct"/>
            <w:shd w:val="clear" w:color="auto" w:fill="auto"/>
          </w:tcPr>
          <w:p w14:paraId="19F880EE" w14:textId="77777777" w:rsidR="00E93F58" w:rsidRPr="00576D60" w:rsidRDefault="00E93F58" w:rsidP="009E4CA5">
            <w:pPr>
              <w:pStyle w:val="ENoteTableText"/>
              <w:tabs>
                <w:tab w:val="left" w:leader="dot" w:pos="2268"/>
              </w:tabs>
            </w:pPr>
            <w:r>
              <w:t>Subdivision 4</w:t>
            </w:r>
            <w:r w:rsidRPr="00576D60">
              <w:t>.2D</w:t>
            </w:r>
            <w:r w:rsidRPr="00576D60">
              <w:tab/>
            </w:r>
          </w:p>
        </w:tc>
        <w:tc>
          <w:tcPr>
            <w:tcW w:w="3500" w:type="pct"/>
            <w:shd w:val="clear" w:color="auto" w:fill="auto"/>
          </w:tcPr>
          <w:p w14:paraId="6D76EC18" w14:textId="77777777" w:rsidR="00E93F58" w:rsidRPr="00576D60" w:rsidRDefault="00E93F58" w:rsidP="009E4CA5">
            <w:pPr>
              <w:pStyle w:val="ENoteTableText"/>
            </w:pPr>
            <w:r w:rsidRPr="00576D60">
              <w:t>ad F2022L00469</w:t>
            </w:r>
          </w:p>
        </w:tc>
      </w:tr>
      <w:tr w:rsidR="00E93F58" w:rsidRPr="00576D60" w14:paraId="5AB07A44" w14:textId="77777777" w:rsidTr="002F32E3">
        <w:trPr>
          <w:cantSplit/>
        </w:trPr>
        <w:tc>
          <w:tcPr>
            <w:tcW w:w="1500" w:type="pct"/>
            <w:shd w:val="clear" w:color="auto" w:fill="auto"/>
          </w:tcPr>
          <w:p w14:paraId="3A0F2BB9" w14:textId="77777777" w:rsidR="00E93F58" w:rsidRPr="00576D60" w:rsidRDefault="00E93F58" w:rsidP="003D2B1E">
            <w:pPr>
              <w:pStyle w:val="ENoteTableText"/>
              <w:tabs>
                <w:tab w:val="left" w:leader="dot" w:pos="2268"/>
              </w:tabs>
            </w:pPr>
            <w:r w:rsidRPr="00576D60">
              <w:t>r 7.9.11ZA</w:t>
            </w:r>
            <w:r w:rsidRPr="00576D60">
              <w:tab/>
            </w:r>
          </w:p>
        </w:tc>
        <w:tc>
          <w:tcPr>
            <w:tcW w:w="3500" w:type="pct"/>
            <w:shd w:val="clear" w:color="auto" w:fill="auto"/>
          </w:tcPr>
          <w:p w14:paraId="730D277A" w14:textId="77777777" w:rsidR="00E93F58" w:rsidRPr="00576D60" w:rsidRDefault="00E93F58" w:rsidP="003D2B1E">
            <w:pPr>
              <w:pStyle w:val="ENoteTableText"/>
            </w:pPr>
            <w:r w:rsidRPr="00576D60">
              <w:t>ad F2022L00469</w:t>
            </w:r>
          </w:p>
        </w:tc>
      </w:tr>
      <w:tr w:rsidR="00E93F58" w:rsidRPr="00576D60" w14:paraId="0C6CC95C" w14:textId="77777777" w:rsidTr="002F32E3">
        <w:trPr>
          <w:cantSplit/>
        </w:trPr>
        <w:tc>
          <w:tcPr>
            <w:tcW w:w="1500" w:type="pct"/>
            <w:shd w:val="clear" w:color="auto" w:fill="auto"/>
          </w:tcPr>
          <w:p w14:paraId="3F4F61CA" w14:textId="77777777" w:rsidR="00E93F58" w:rsidRPr="00576D60" w:rsidRDefault="00E93F58" w:rsidP="009E4CA5">
            <w:pPr>
              <w:pStyle w:val="ENoteTableText"/>
              <w:tabs>
                <w:tab w:val="left" w:leader="dot" w:pos="2268"/>
              </w:tabs>
            </w:pPr>
            <w:r w:rsidRPr="00576D60">
              <w:t>r 7.9.11ZB</w:t>
            </w:r>
            <w:r w:rsidRPr="00576D60">
              <w:tab/>
            </w:r>
          </w:p>
        </w:tc>
        <w:tc>
          <w:tcPr>
            <w:tcW w:w="3500" w:type="pct"/>
            <w:shd w:val="clear" w:color="auto" w:fill="auto"/>
          </w:tcPr>
          <w:p w14:paraId="6367491D" w14:textId="77777777" w:rsidR="00E93F58" w:rsidRPr="00576D60" w:rsidRDefault="00E93F58" w:rsidP="009E4CA5">
            <w:pPr>
              <w:pStyle w:val="ENoteTableText"/>
            </w:pPr>
            <w:r w:rsidRPr="00576D60">
              <w:t>ad F2022L00469</w:t>
            </w:r>
          </w:p>
        </w:tc>
      </w:tr>
      <w:tr w:rsidR="00E93F58" w:rsidRPr="00576D60" w14:paraId="3F3B0124" w14:textId="77777777" w:rsidTr="002F32E3">
        <w:trPr>
          <w:cantSplit/>
        </w:trPr>
        <w:tc>
          <w:tcPr>
            <w:tcW w:w="1500" w:type="pct"/>
            <w:shd w:val="clear" w:color="auto" w:fill="auto"/>
          </w:tcPr>
          <w:p w14:paraId="44759082" w14:textId="77777777" w:rsidR="00E93F58" w:rsidRPr="00576D60" w:rsidRDefault="00E93F58" w:rsidP="009E4CA5">
            <w:pPr>
              <w:pStyle w:val="ENoteTableText"/>
              <w:tabs>
                <w:tab w:val="left" w:leader="dot" w:pos="2268"/>
              </w:tabs>
            </w:pPr>
            <w:r w:rsidRPr="00576D60">
              <w:t>r 7.9.11ZC</w:t>
            </w:r>
            <w:r w:rsidRPr="00576D60">
              <w:tab/>
            </w:r>
          </w:p>
        </w:tc>
        <w:tc>
          <w:tcPr>
            <w:tcW w:w="3500" w:type="pct"/>
            <w:shd w:val="clear" w:color="auto" w:fill="auto"/>
          </w:tcPr>
          <w:p w14:paraId="6D35AD01" w14:textId="77777777" w:rsidR="00E93F58" w:rsidRPr="00576D60" w:rsidRDefault="00E93F58" w:rsidP="009E4CA5">
            <w:pPr>
              <w:pStyle w:val="ENoteTableText"/>
            </w:pPr>
            <w:r w:rsidRPr="00576D60">
              <w:t>ad F2022L00469</w:t>
            </w:r>
          </w:p>
        </w:tc>
      </w:tr>
      <w:tr w:rsidR="00E93F58" w:rsidRPr="00576D60" w14:paraId="5FC315B0" w14:textId="77777777" w:rsidTr="002F32E3">
        <w:trPr>
          <w:cantSplit/>
        </w:trPr>
        <w:tc>
          <w:tcPr>
            <w:tcW w:w="1500" w:type="pct"/>
            <w:shd w:val="clear" w:color="auto" w:fill="auto"/>
          </w:tcPr>
          <w:p w14:paraId="55A78CA1" w14:textId="77777777" w:rsidR="00E93F58" w:rsidRPr="00576D60" w:rsidRDefault="00E93F58" w:rsidP="009E4CA5">
            <w:pPr>
              <w:pStyle w:val="ENoteTableText"/>
              <w:tabs>
                <w:tab w:val="left" w:leader="dot" w:pos="2268"/>
              </w:tabs>
            </w:pPr>
            <w:r w:rsidRPr="00576D60">
              <w:t>r 7.9.11ZD</w:t>
            </w:r>
            <w:r w:rsidRPr="00576D60">
              <w:tab/>
            </w:r>
          </w:p>
        </w:tc>
        <w:tc>
          <w:tcPr>
            <w:tcW w:w="3500" w:type="pct"/>
            <w:shd w:val="clear" w:color="auto" w:fill="auto"/>
          </w:tcPr>
          <w:p w14:paraId="17CAF26E" w14:textId="77777777" w:rsidR="00E93F58" w:rsidRPr="00576D60" w:rsidRDefault="00E93F58" w:rsidP="009E4CA5">
            <w:pPr>
              <w:pStyle w:val="ENoteTableText"/>
            </w:pPr>
            <w:r w:rsidRPr="00576D60">
              <w:t>ad F2022L00469</w:t>
            </w:r>
          </w:p>
        </w:tc>
      </w:tr>
      <w:tr w:rsidR="00E93F58" w:rsidRPr="00576D60" w14:paraId="334490A7" w14:textId="77777777" w:rsidTr="002F32E3">
        <w:trPr>
          <w:cantSplit/>
        </w:trPr>
        <w:tc>
          <w:tcPr>
            <w:tcW w:w="1500" w:type="pct"/>
            <w:shd w:val="clear" w:color="auto" w:fill="auto"/>
          </w:tcPr>
          <w:p w14:paraId="5A23F5D3" w14:textId="77777777" w:rsidR="00E93F58" w:rsidRPr="00576D60" w:rsidRDefault="00E93F58" w:rsidP="009E4CA5">
            <w:pPr>
              <w:pStyle w:val="ENoteTableText"/>
              <w:tabs>
                <w:tab w:val="left" w:leader="dot" w:pos="2268"/>
              </w:tabs>
            </w:pPr>
            <w:r w:rsidRPr="00576D60">
              <w:t>r 7.9.11ZE</w:t>
            </w:r>
            <w:r w:rsidRPr="00576D60">
              <w:tab/>
            </w:r>
          </w:p>
        </w:tc>
        <w:tc>
          <w:tcPr>
            <w:tcW w:w="3500" w:type="pct"/>
            <w:shd w:val="clear" w:color="auto" w:fill="auto"/>
          </w:tcPr>
          <w:p w14:paraId="309A8748" w14:textId="77777777" w:rsidR="00E93F58" w:rsidRPr="00576D60" w:rsidRDefault="00E93F58" w:rsidP="009E4CA5">
            <w:pPr>
              <w:pStyle w:val="ENoteTableText"/>
            </w:pPr>
            <w:r w:rsidRPr="00576D60">
              <w:t>ad F2022L00469</w:t>
            </w:r>
          </w:p>
        </w:tc>
      </w:tr>
      <w:tr w:rsidR="00E93F58" w:rsidRPr="00576D60" w14:paraId="77ADFC75" w14:textId="77777777" w:rsidTr="002F32E3">
        <w:trPr>
          <w:cantSplit/>
        </w:trPr>
        <w:tc>
          <w:tcPr>
            <w:tcW w:w="1500" w:type="pct"/>
            <w:shd w:val="clear" w:color="auto" w:fill="auto"/>
          </w:tcPr>
          <w:p w14:paraId="686E12AF" w14:textId="77777777" w:rsidR="00E93F58" w:rsidRPr="00576D60" w:rsidRDefault="00E93F58" w:rsidP="009E4CA5">
            <w:pPr>
              <w:pStyle w:val="ENoteTableText"/>
              <w:tabs>
                <w:tab w:val="left" w:leader="dot" w:pos="2268"/>
              </w:tabs>
            </w:pPr>
            <w:r w:rsidRPr="00576D60">
              <w:t>r 7.9.11ZF</w:t>
            </w:r>
            <w:r w:rsidRPr="00576D60">
              <w:tab/>
            </w:r>
          </w:p>
        </w:tc>
        <w:tc>
          <w:tcPr>
            <w:tcW w:w="3500" w:type="pct"/>
            <w:shd w:val="clear" w:color="auto" w:fill="auto"/>
          </w:tcPr>
          <w:p w14:paraId="61CFB05E" w14:textId="77777777" w:rsidR="00E93F58" w:rsidRPr="00576D60" w:rsidRDefault="00E93F58" w:rsidP="009E4CA5">
            <w:pPr>
              <w:pStyle w:val="ENoteTableText"/>
            </w:pPr>
            <w:r w:rsidRPr="00576D60">
              <w:t>ad F2022L00469</w:t>
            </w:r>
          </w:p>
        </w:tc>
      </w:tr>
      <w:tr w:rsidR="00E93F58" w:rsidRPr="00576D60" w14:paraId="62641055" w14:textId="77777777" w:rsidTr="002F32E3">
        <w:trPr>
          <w:cantSplit/>
        </w:trPr>
        <w:tc>
          <w:tcPr>
            <w:tcW w:w="1500" w:type="pct"/>
            <w:shd w:val="clear" w:color="auto" w:fill="auto"/>
          </w:tcPr>
          <w:p w14:paraId="68BB0D70" w14:textId="77777777" w:rsidR="00E93F58" w:rsidRPr="00576D60" w:rsidRDefault="00E93F58" w:rsidP="009E4CA5">
            <w:pPr>
              <w:pStyle w:val="ENoteTableText"/>
              <w:tabs>
                <w:tab w:val="left" w:leader="dot" w:pos="2268"/>
              </w:tabs>
            </w:pPr>
            <w:r w:rsidRPr="00576D60">
              <w:t>r 7.9.11ZG</w:t>
            </w:r>
            <w:r w:rsidRPr="00576D60">
              <w:tab/>
            </w:r>
          </w:p>
        </w:tc>
        <w:tc>
          <w:tcPr>
            <w:tcW w:w="3500" w:type="pct"/>
            <w:shd w:val="clear" w:color="auto" w:fill="auto"/>
          </w:tcPr>
          <w:p w14:paraId="6AFF621E" w14:textId="77777777" w:rsidR="00E93F58" w:rsidRPr="00576D60" w:rsidRDefault="00E93F58" w:rsidP="009E4CA5">
            <w:pPr>
              <w:pStyle w:val="ENoteTableText"/>
            </w:pPr>
            <w:r w:rsidRPr="00576D60">
              <w:t>ad F2022L00469</w:t>
            </w:r>
          </w:p>
        </w:tc>
      </w:tr>
      <w:tr w:rsidR="00E93F58" w:rsidRPr="00576D60" w14:paraId="38D8352B" w14:textId="77777777" w:rsidTr="002F32E3">
        <w:trPr>
          <w:cantSplit/>
        </w:trPr>
        <w:tc>
          <w:tcPr>
            <w:tcW w:w="1500" w:type="pct"/>
            <w:shd w:val="clear" w:color="auto" w:fill="auto"/>
          </w:tcPr>
          <w:p w14:paraId="33D37B66" w14:textId="77777777" w:rsidR="00E93F58" w:rsidRPr="00576D60" w:rsidRDefault="00E93F58" w:rsidP="009E4CA5">
            <w:pPr>
              <w:pStyle w:val="ENoteTableText"/>
              <w:tabs>
                <w:tab w:val="left" w:leader="dot" w:pos="2268"/>
              </w:tabs>
            </w:pPr>
            <w:r w:rsidRPr="00576D60">
              <w:t>r 7.9.11ZH</w:t>
            </w:r>
            <w:r w:rsidRPr="00576D60">
              <w:tab/>
            </w:r>
          </w:p>
        </w:tc>
        <w:tc>
          <w:tcPr>
            <w:tcW w:w="3500" w:type="pct"/>
            <w:shd w:val="clear" w:color="auto" w:fill="auto"/>
          </w:tcPr>
          <w:p w14:paraId="5331CED2" w14:textId="77777777" w:rsidR="00E93F58" w:rsidRPr="00576D60" w:rsidRDefault="00E93F58" w:rsidP="009E4CA5">
            <w:pPr>
              <w:pStyle w:val="ENoteTableText"/>
            </w:pPr>
            <w:r w:rsidRPr="00576D60">
              <w:t>ad F2022L00469</w:t>
            </w:r>
          </w:p>
        </w:tc>
      </w:tr>
      <w:tr w:rsidR="00E93F58" w:rsidRPr="00576D60" w14:paraId="2ED14F87" w14:textId="77777777" w:rsidTr="002F32E3">
        <w:trPr>
          <w:cantSplit/>
        </w:trPr>
        <w:tc>
          <w:tcPr>
            <w:tcW w:w="1500" w:type="pct"/>
            <w:shd w:val="clear" w:color="auto" w:fill="auto"/>
          </w:tcPr>
          <w:p w14:paraId="597C7528" w14:textId="77777777" w:rsidR="00E93F58" w:rsidRPr="00576D60" w:rsidRDefault="00E93F58" w:rsidP="003D2B1E">
            <w:pPr>
              <w:pStyle w:val="ENoteTableText"/>
              <w:keepNext/>
              <w:tabs>
                <w:tab w:val="left" w:leader="dot" w:pos="2268"/>
              </w:tabs>
              <w:rPr>
                <w:b/>
              </w:rPr>
            </w:pPr>
            <w:r>
              <w:rPr>
                <w:b/>
              </w:rPr>
              <w:t>Subdivision 4</w:t>
            </w:r>
            <w:r w:rsidRPr="00576D60">
              <w:rPr>
                <w:b/>
              </w:rPr>
              <w:t>.3</w:t>
            </w:r>
          </w:p>
        </w:tc>
        <w:tc>
          <w:tcPr>
            <w:tcW w:w="3500" w:type="pct"/>
            <w:shd w:val="clear" w:color="auto" w:fill="auto"/>
          </w:tcPr>
          <w:p w14:paraId="16A764C3" w14:textId="77777777" w:rsidR="00E93F58" w:rsidRPr="00576D60" w:rsidRDefault="00E93F58" w:rsidP="003D2B1E">
            <w:pPr>
              <w:pStyle w:val="ENoteTableText"/>
              <w:keepNext/>
            </w:pPr>
          </w:p>
        </w:tc>
      </w:tr>
      <w:tr w:rsidR="00E93F58" w:rsidRPr="00576D60" w14:paraId="26C95E58" w14:textId="77777777" w:rsidTr="002F32E3">
        <w:trPr>
          <w:cantSplit/>
        </w:trPr>
        <w:tc>
          <w:tcPr>
            <w:tcW w:w="1500" w:type="pct"/>
            <w:shd w:val="clear" w:color="auto" w:fill="auto"/>
          </w:tcPr>
          <w:p w14:paraId="2EE4BAD9" w14:textId="77777777" w:rsidR="00E93F58" w:rsidRPr="00576D60" w:rsidRDefault="00E93F58" w:rsidP="003D2B1E">
            <w:pPr>
              <w:pStyle w:val="ENoteTableText"/>
              <w:tabs>
                <w:tab w:val="left" w:leader="dot" w:pos="2268"/>
              </w:tabs>
            </w:pPr>
            <w:r w:rsidRPr="00576D60">
              <w:t>r 7.9.12</w:t>
            </w:r>
            <w:r w:rsidRPr="00576D60">
              <w:tab/>
            </w:r>
          </w:p>
        </w:tc>
        <w:tc>
          <w:tcPr>
            <w:tcW w:w="3500" w:type="pct"/>
            <w:shd w:val="clear" w:color="auto" w:fill="auto"/>
          </w:tcPr>
          <w:p w14:paraId="17E0D147" w14:textId="77777777" w:rsidR="00E93F58" w:rsidRPr="00576D60" w:rsidRDefault="00E93F58" w:rsidP="003D2B1E">
            <w:pPr>
              <w:pStyle w:val="ENoteTableText"/>
              <w:keepNext/>
            </w:pPr>
            <w:r w:rsidRPr="00576D60">
              <w:t>ad</w:t>
            </w:r>
            <w:r>
              <w:t xml:space="preserve"> No 319, 2001</w:t>
            </w:r>
          </w:p>
        </w:tc>
      </w:tr>
      <w:tr w:rsidR="00E93F58" w:rsidRPr="00576D60" w14:paraId="520D7F82" w14:textId="77777777" w:rsidTr="002F32E3">
        <w:trPr>
          <w:cantSplit/>
        </w:trPr>
        <w:tc>
          <w:tcPr>
            <w:tcW w:w="1500" w:type="pct"/>
            <w:shd w:val="clear" w:color="auto" w:fill="auto"/>
          </w:tcPr>
          <w:p w14:paraId="16352FBC" w14:textId="77777777" w:rsidR="00E93F58" w:rsidRPr="00576D60" w:rsidRDefault="00E93F58" w:rsidP="003D2B1E">
            <w:pPr>
              <w:pStyle w:val="ENoteTableText"/>
            </w:pPr>
          </w:p>
        </w:tc>
        <w:tc>
          <w:tcPr>
            <w:tcW w:w="3500" w:type="pct"/>
            <w:shd w:val="clear" w:color="auto" w:fill="auto"/>
          </w:tcPr>
          <w:p w14:paraId="11750A01" w14:textId="77777777" w:rsidR="00E93F58" w:rsidRPr="00576D60" w:rsidRDefault="00E93F58" w:rsidP="003D2B1E">
            <w:pPr>
              <w:pStyle w:val="ENoteTableText"/>
            </w:pPr>
            <w:r w:rsidRPr="00576D60">
              <w:t>am</w:t>
            </w:r>
            <w:r>
              <w:t xml:space="preserve"> No 16, 2002; No 31, 2005; F2023L01458</w:t>
            </w:r>
          </w:p>
        </w:tc>
      </w:tr>
      <w:tr w:rsidR="00E93F58" w:rsidRPr="00576D60" w14:paraId="4100F8E3" w14:textId="77777777" w:rsidTr="002F32E3">
        <w:trPr>
          <w:cantSplit/>
        </w:trPr>
        <w:tc>
          <w:tcPr>
            <w:tcW w:w="1500" w:type="pct"/>
            <w:shd w:val="clear" w:color="auto" w:fill="auto"/>
          </w:tcPr>
          <w:p w14:paraId="6AE19270" w14:textId="77777777" w:rsidR="00E93F58" w:rsidRPr="00576D60" w:rsidRDefault="00E93F58" w:rsidP="003D2B1E">
            <w:pPr>
              <w:pStyle w:val="ENoteTableText"/>
              <w:tabs>
                <w:tab w:val="left" w:leader="dot" w:pos="2268"/>
              </w:tabs>
            </w:pPr>
            <w:r w:rsidRPr="00576D60">
              <w:t>r. 7.9.12A</w:t>
            </w:r>
            <w:r w:rsidRPr="00576D60">
              <w:tab/>
            </w:r>
          </w:p>
        </w:tc>
        <w:tc>
          <w:tcPr>
            <w:tcW w:w="3500" w:type="pct"/>
            <w:shd w:val="clear" w:color="auto" w:fill="auto"/>
          </w:tcPr>
          <w:p w14:paraId="6ABBC853" w14:textId="77777777" w:rsidR="00E93F58" w:rsidRPr="00576D60" w:rsidRDefault="00E93F58" w:rsidP="003D2B1E">
            <w:pPr>
              <w:pStyle w:val="ENoteTableText"/>
            </w:pPr>
            <w:r w:rsidRPr="00576D60">
              <w:t>ad. 2002 No. 145</w:t>
            </w:r>
          </w:p>
        </w:tc>
      </w:tr>
      <w:tr w:rsidR="00E93F58" w:rsidRPr="00576D60" w14:paraId="64073837" w14:textId="77777777" w:rsidTr="002F32E3">
        <w:trPr>
          <w:cantSplit/>
        </w:trPr>
        <w:tc>
          <w:tcPr>
            <w:tcW w:w="1500" w:type="pct"/>
            <w:shd w:val="clear" w:color="auto" w:fill="auto"/>
          </w:tcPr>
          <w:p w14:paraId="5D58E30C" w14:textId="77777777" w:rsidR="00E93F58" w:rsidRPr="00576D60" w:rsidRDefault="00E93F58" w:rsidP="003D2B1E">
            <w:pPr>
              <w:pStyle w:val="ENoteTableText"/>
            </w:pPr>
          </w:p>
        </w:tc>
        <w:tc>
          <w:tcPr>
            <w:tcW w:w="3500" w:type="pct"/>
            <w:shd w:val="clear" w:color="auto" w:fill="auto"/>
          </w:tcPr>
          <w:p w14:paraId="360B213F" w14:textId="77777777" w:rsidR="00E93F58" w:rsidRPr="00576D60" w:rsidRDefault="00E93F58" w:rsidP="003D2B1E">
            <w:pPr>
              <w:pStyle w:val="ENoteTableText"/>
            </w:pPr>
            <w:r w:rsidRPr="00576D60">
              <w:t>am. 2004 No. 145</w:t>
            </w:r>
          </w:p>
        </w:tc>
      </w:tr>
      <w:tr w:rsidR="00E93F58" w:rsidRPr="00576D60" w14:paraId="25F41843" w14:textId="77777777" w:rsidTr="002F32E3">
        <w:trPr>
          <w:cantSplit/>
        </w:trPr>
        <w:tc>
          <w:tcPr>
            <w:tcW w:w="1500" w:type="pct"/>
            <w:shd w:val="clear" w:color="auto" w:fill="auto"/>
          </w:tcPr>
          <w:p w14:paraId="04047704" w14:textId="77777777" w:rsidR="00E93F58" w:rsidRPr="00576D60" w:rsidRDefault="00E93F58" w:rsidP="003D2B1E">
            <w:pPr>
              <w:pStyle w:val="ENoteTableText"/>
            </w:pPr>
          </w:p>
        </w:tc>
        <w:tc>
          <w:tcPr>
            <w:tcW w:w="3500" w:type="pct"/>
            <w:shd w:val="clear" w:color="auto" w:fill="auto"/>
          </w:tcPr>
          <w:p w14:paraId="3A56908C" w14:textId="77777777" w:rsidR="00E93F58" w:rsidRPr="00576D60" w:rsidRDefault="00E93F58" w:rsidP="003D2B1E">
            <w:pPr>
              <w:pStyle w:val="ENoteTableText"/>
            </w:pPr>
            <w:r w:rsidRPr="00576D60">
              <w:t>rep. 2004 No. 145</w:t>
            </w:r>
          </w:p>
        </w:tc>
      </w:tr>
      <w:tr w:rsidR="00E93F58" w:rsidRPr="00576D60" w14:paraId="50AAC970" w14:textId="77777777" w:rsidTr="002F32E3">
        <w:trPr>
          <w:cantSplit/>
        </w:trPr>
        <w:tc>
          <w:tcPr>
            <w:tcW w:w="1500" w:type="pct"/>
            <w:shd w:val="clear" w:color="auto" w:fill="auto"/>
          </w:tcPr>
          <w:p w14:paraId="20538E2B" w14:textId="77777777" w:rsidR="00E93F58" w:rsidRPr="00576D60" w:rsidRDefault="00E93F58" w:rsidP="003D2B1E">
            <w:pPr>
              <w:pStyle w:val="ENoteTableText"/>
              <w:tabs>
                <w:tab w:val="left" w:leader="dot" w:pos="2268"/>
              </w:tabs>
            </w:pPr>
            <w:r w:rsidRPr="00576D60">
              <w:t>r 7.9.13</w:t>
            </w:r>
            <w:r w:rsidRPr="00576D60">
              <w:tab/>
            </w:r>
          </w:p>
        </w:tc>
        <w:tc>
          <w:tcPr>
            <w:tcW w:w="3500" w:type="pct"/>
            <w:shd w:val="clear" w:color="auto" w:fill="auto"/>
          </w:tcPr>
          <w:p w14:paraId="4081DA91" w14:textId="77777777" w:rsidR="00E93F58" w:rsidRPr="00576D60" w:rsidRDefault="00E93F58" w:rsidP="003D2B1E">
            <w:pPr>
              <w:pStyle w:val="ENoteTableText"/>
            </w:pPr>
            <w:r w:rsidRPr="00576D60">
              <w:t>ad No 319, 2001</w:t>
            </w:r>
          </w:p>
        </w:tc>
      </w:tr>
      <w:tr w:rsidR="00E93F58" w:rsidRPr="00576D60" w14:paraId="24067417" w14:textId="77777777" w:rsidTr="002F32E3">
        <w:trPr>
          <w:cantSplit/>
        </w:trPr>
        <w:tc>
          <w:tcPr>
            <w:tcW w:w="1500" w:type="pct"/>
            <w:shd w:val="clear" w:color="auto" w:fill="auto"/>
          </w:tcPr>
          <w:p w14:paraId="42FEA295" w14:textId="77777777" w:rsidR="00E93F58" w:rsidRPr="00576D60" w:rsidRDefault="00E93F58" w:rsidP="003D2B1E">
            <w:pPr>
              <w:pStyle w:val="ENoteTableText"/>
            </w:pPr>
          </w:p>
        </w:tc>
        <w:tc>
          <w:tcPr>
            <w:tcW w:w="3500" w:type="pct"/>
            <w:shd w:val="clear" w:color="auto" w:fill="auto"/>
          </w:tcPr>
          <w:p w14:paraId="3DB00040" w14:textId="77777777" w:rsidR="00E93F58" w:rsidRPr="00576D60" w:rsidRDefault="00E93F58" w:rsidP="003D2B1E">
            <w:pPr>
              <w:pStyle w:val="ENoteTableText"/>
            </w:pPr>
            <w:r w:rsidRPr="00576D60">
              <w:t>am No 16, 2002; F2019L00392</w:t>
            </w:r>
          </w:p>
        </w:tc>
      </w:tr>
      <w:tr w:rsidR="00E93F58" w:rsidRPr="00576D60" w14:paraId="6088F129" w14:textId="77777777" w:rsidTr="002F32E3">
        <w:trPr>
          <w:cantSplit/>
        </w:trPr>
        <w:tc>
          <w:tcPr>
            <w:tcW w:w="1500" w:type="pct"/>
            <w:shd w:val="clear" w:color="auto" w:fill="auto"/>
          </w:tcPr>
          <w:p w14:paraId="26A04BDB" w14:textId="77777777" w:rsidR="00E93F58" w:rsidRPr="00576D60" w:rsidRDefault="00E93F58" w:rsidP="003D2B1E">
            <w:pPr>
              <w:pStyle w:val="ENoteTableText"/>
              <w:tabs>
                <w:tab w:val="left" w:leader="dot" w:pos="2268"/>
              </w:tabs>
            </w:pPr>
            <w:r w:rsidRPr="00576D60">
              <w:t>r. 7.9.13A</w:t>
            </w:r>
            <w:r w:rsidRPr="00576D60">
              <w:tab/>
            </w:r>
          </w:p>
        </w:tc>
        <w:tc>
          <w:tcPr>
            <w:tcW w:w="3500" w:type="pct"/>
            <w:shd w:val="clear" w:color="auto" w:fill="auto"/>
          </w:tcPr>
          <w:p w14:paraId="6E8ADE8E" w14:textId="77777777" w:rsidR="00E93F58" w:rsidRPr="00576D60" w:rsidRDefault="00E93F58" w:rsidP="003D2B1E">
            <w:pPr>
              <w:pStyle w:val="ENoteTableText"/>
            </w:pPr>
            <w:r w:rsidRPr="00576D60">
              <w:t>ad. 2003 No. 31</w:t>
            </w:r>
          </w:p>
        </w:tc>
      </w:tr>
      <w:tr w:rsidR="00E93F58" w:rsidRPr="00576D60" w14:paraId="3C87C9AC" w14:textId="77777777" w:rsidTr="002F32E3">
        <w:trPr>
          <w:cantSplit/>
        </w:trPr>
        <w:tc>
          <w:tcPr>
            <w:tcW w:w="1500" w:type="pct"/>
            <w:shd w:val="clear" w:color="auto" w:fill="auto"/>
          </w:tcPr>
          <w:p w14:paraId="00988A3D" w14:textId="77777777" w:rsidR="00E93F58" w:rsidRPr="00576D60" w:rsidRDefault="00E93F58" w:rsidP="003D2B1E">
            <w:pPr>
              <w:pStyle w:val="ENoteTableText"/>
            </w:pPr>
          </w:p>
        </w:tc>
        <w:tc>
          <w:tcPr>
            <w:tcW w:w="3500" w:type="pct"/>
            <w:shd w:val="clear" w:color="auto" w:fill="auto"/>
          </w:tcPr>
          <w:p w14:paraId="76FBFF8D" w14:textId="77777777" w:rsidR="00E93F58" w:rsidRPr="00576D60" w:rsidRDefault="00E93F58" w:rsidP="003D2B1E">
            <w:pPr>
              <w:pStyle w:val="ENoteTableText"/>
            </w:pPr>
            <w:r w:rsidRPr="00576D60">
              <w:t>rep. 2007 No. 324</w:t>
            </w:r>
          </w:p>
        </w:tc>
      </w:tr>
      <w:tr w:rsidR="00E93F58" w:rsidRPr="00576D60" w14:paraId="43A044FA" w14:textId="77777777" w:rsidTr="002F32E3">
        <w:trPr>
          <w:cantSplit/>
        </w:trPr>
        <w:tc>
          <w:tcPr>
            <w:tcW w:w="1500" w:type="pct"/>
            <w:shd w:val="clear" w:color="auto" w:fill="auto"/>
          </w:tcPr>
          <w:p w14:paraId="40509DD5" w14:textId="77777777" w:rsidR="00E93F58" w:rsidRPr="00576D60" w:rsidRDefault="00E93F58" w:rsidP="003D2B1E">
            <w:pPr>
              <w:pStyle w:val="ENoteTableText"/>
            </w:pPr>
          </w:p>
        </w:tc>
        <w:tc>
          <w:tcPr>
            <w:tcW w:w="3500" w:type="pct"/>
            <w:shd w:val="clear" w:color="auto" w:fill="auto"/>
          </w:tcPr>
          <w:p w14:paraId="6FC3BFC1" w14:textId="77777777" w:rsidR="00E93F58" w:rsidRPr="00576D60" w:rsidRDefault="00E93F58" w:rsidP="003D2B1E">
            <w:pPr>
              <w:pStyle w:val="ENoteTableText"/>
            </w:pPr>
            <w:r w:rsidRPr="00576D60">
              <w:t>ad. 2008 No. 194</w:t>
            </w:r>
          </w:p>
        </w:tc>
      </w:tr>
      <w:tr w:rsidR="00E93F58" w:rsidRPr="00576D60" w14:paraId="392C3E18" w14:textId="77777777" w:rsidTr="002F32E3">
        <w:trPr>
          <w:cantSplit/>
        </w:trPr>
        <w:tc>
          <w:tcPr>
            <w:tcW w:w="1500" w:type="pct"/>
            <w:shd w:val="clear" w:color="auto" w:fill="auto"/>
          </w:tcPr>
          <w:p w14:paraId="7682FA04" w14:textId="77777777" w:rsidR="00E93F58" w:rsidRPr="00576D60" w:rsidRDefault="00E93F58" w:rsidP="003D2B1E">
            <w:pPr>
              <w:pStyle w:val="ENoteTableText"/>
            </w:pPr>
          </w:p>
        </w:tc>
        <w:tc>
          <w:tcPr>
            <w:tcW w:w="3500" w:type="pct"/>
            <w:shd w:val="clear" w:color="auto" w:fill="auto"/>
          </w:tcPr>
          <w:p w14:paraId="19BE6B6F" w14:textId="77777777" w:rsidR="00E93F58" w:rsidRPr="00576D60" w:rsidRDefault="00E93F58" w:rsidP="003D2B1E">
            <w:pPr>
              <w:pStyle w:val="ENoteTableText"/>
            </w:pPr>
            <w:r w:rsidRPr="00576D60">
              <w:t>rep No 91, 2015</w:t>
            </w:r>
          </w:p>
        </w:tc>
      </w:tr>
      <w:tr w:rsidR="00E93F58" w:rsidRPr="00576D60" w14:paraId="373844D3" w14:textId="77777777" w:rsidTr="002F32E3">
        <w:trPr>
          <w:cantSplit/>
        </w:trPr>
        <w:tc>
          <w:tcPr>
            <w:tcW w:w="1500" w:type="pct"/>
            <w:shd w:val="clear" w:color="auto" w:fill="auto"/>
          </w:tcPr>
          <w:p w14:paraId="7156DE1B" w14:textId="77777777" w:rsidR="00E93F58" w:rsidRPr="00576D60" w:rsidRDefault="00E93F58" w:rsidP="003D2B1E">
            <w:pPr>
              <w:pStyle w:val="ENoteTableText"/>
              <w:tabs>
                <w:tab w:val="left" w:leader="dot" w:pos="2268"/>
              </w:tabs>
            </w:pPr>
            <w:r w:rsidRPr="00576D60">
              <w:t>r 7.9.14</w:t>
            </w:r>
            <w:r w:rsidRPr="00576D60">
              <w:tab/>
            </w:r>
          </w:p>
        </w:tc>
        <w:tc>
          <w:tcPr>
            <w:tcW w:w="3500" w:type="pct"/>
            <w:shd w:val="clear" w:color="auto" w:fill="auto"/>
          </w:tcPr>
          <w:p w14:paraId="2C93A546" w14:textId="77777777" w:rsidR="00E93F58" w:rsidRPr="00576D60" w:rsidRDefault="00E93F58" w:rsidP="003D2B1E">
            <w:pPr>
              <w:pStyle w:val="ENoteTableText"/>
            </w:pPr>
            <w:r w:rsidRPr="00576D60">
              <w:t>ad</w:t>
            </w:r>
            <w:r>
              <w:t xml:space="preserve"> No 319, 2001</w:t>
            </w:r>
          </w:p>
        </w:tc>
      </w:tr>
      <w:tr w:rsidR="00E93F58" w:rsidRPr="00576D60" w14:paraId="17E523A0" w14:textId="77777777" w:rsidTr="002F32E3">
        <w:trPr>
          <w:cantSplit/>
        </w:trPr>
        <w:tc>
          <w:tcPr>
            <w:tcW w:w="1500" w:type="pct"/>
            <w:shd w:val="clear" w:color="auto" w:fill="auto"/>
          </w:tcPr>
          <w:p w14:paraId="04B516B1" w14:textId="77777777" w:rsidR="00E93F58" w:rsidRPr="00576D60" w:rsidRDefault="00E93F58" w:rsidP="003D2B1E">
            <w:pPr>
              <w:pStyle w:val="ENoteTableText"/>
            </w:pPr>
          </w:p>
        </w:tc>
        <w:tc>
          <w:tcPr>
            <w:tcW w:w="3500" w:type="pct"/>
            <w:shd w:val="clear" w:color="auto" w:fill="auto"/>
          </w:tcPr>
          <w:p w14:paraId="32343515" w14:textId="77777777" w:rsidR="00E93F58" w:rsidRPr="00576D60" w:rsidRDefault="00E93F58" w:rsidP="003D2B1E">
            <w:pPr>
              <w:pStyle w:val="ENoteTableText"/>
            </w:pPr>
            <w:r w:rsidRPr="00576D60">
              <w:t>am No 16, 2002; No 41, 2002; No 194, 2008</w:t>
            </w:r>
            <w:r>
              <w:t>; F2023L01458</w:t>
            </w:r>
          </w:p>
        </w:tc>
      </w:tr>
      <w:tr w:rsidR="00E93F58" w:rsidRPr="00576D60" w14:paraId="35289FE1" w14:textId="77777777" w:rsidTr="002F32E3">
        <w:trPr>
          <w:cantSplit/>
        </w:trPr>
        <w:tc>
          <w:tcPr>
            <w:tcW w:w="1500" w:type="pct"/>
            <w:shd w:val="clear" w:color="auto" w:fill="auto"/>
          </w:tcPr>
          <w:p w14:paraId="4C945F0E" w14:textId="77777777" w:rsidR="00E93F58" w:rsidRPr="00576D60" w:rsidRDefault="00E93F58" w:rsidP="003D2B1E">
            <w:pPr>
              <w:pStyle w:val="ENoteTableText"/>
              <w:tabs>
                <w:tab w:val="left" w:leader="dot" w:pos="2268"/>
              </w:tabs>
            </w:pPr>
            <w:r w:rsidRPr="00576D60">
              <w:lastRenderedPageBreak/>
              <w:t>r. 7.9.14A</w:t>
            </w:r>
            <w:r w:rsidRPr="00576D60">
              <w:tab/>
            </w:r>
          </w:p>
        </w:tc>
        <w:tc>
          <w:tcPr>
            <w:tcW w:w="3500" w:type="pct"/>
            <w:shd w:val="clear" w:color="auto" w:fill="auto"/>
          </w:tcPr>
          <w:p w14:paraId="730F832F" w14:textId="77777777" w:rsidR="00E93F58" w:rsidRPr="00576D60" w:rsidRDefault="00E93F58" w:rsidP="003D2B1E">
            <w:pPr>
              <w:pStyle w:val="ENoteTableText"/>
            </w:pPr>
            <w:r w:rsidRPr="00576D60">
              <w:t>ad. 2002 No. 16</w:t>
            </w:r>
          </w:p>
        </w:tc>
      </w:tr>
      <w:tr w:rsidR="00E93F58" w:rsidRPr="00576D60" w14:paraId="3801428A" w14:textId="77777777" w:rsidTr="002F32E3">
        <w:trPr>
          <w:cantSplit/>
        </w:trPr>
        <w:tc>
          <w:tcPr>
            <w:tcW w:w="1500" w:type="pct"/>
            <w:shd w:val="clear" w:color="auto" w:fill="auto"/>
          </w:tcPr>
          <w:p w14:paraId="728A53AD" w14:textId="77777777" w:rsidR="00E93F58" w:rsidRPr="00576D60" w:rsidRDefault="00E93F58" w:rsidP="003D2B1E">
            <w:pPr>
              <w:pStyle w:val="ENoteTableText"/>
              <w:keepNext/>
              <w:tabs>
                <w:tab w:val="left" w:leader="dot" w:pos="2268"/>
              </w:tabs>
              <w:rPr>
                <w:b/>
              </w:rPr>
            </w:pPr>
            <w:r>
              <w:rPr>
                <w:b/>
              </w:rPr>
              <w:t>Subdivision 4</w:t>
            </w:r>
            <w:r w:rsidRPr="00576D60">
              <w:rPr>
                <w:b/>
              </w:rPr>
              <w:t>.4</w:t>
            </w:r>
          </w:p>
        </w:tc>
        <w:tc>
          <w:tcPr>
            <w:tcW w:w="3500" w:type="pct"/>
            <w:shd w:val="clear" w:color="auto" w:fill="auto"/>
          </w:tcPr>
          <w:p w14:paraId="3FB904FD" w14:textId="77777777" w:rsidR="00E93F58" w:rsidRPr="00576D60" w:rsidRDefault="00E93F58" w:rsidP="003D2B1E">
            <w:pPr>
              <w:pStyle w:val="ENoteTableText"/>
              <w:keepNext/>
            </w:pPr>
          </w:p>
        </w:tc>
      </w:tr>
      <w:tr w:rsidR="00E93F58" w:rsidRPr="00576D60" w14:paraId="2FEE6F8D" w14:textId="77777777" w:rsidTr="002F32E3">
        <w:trPr>
          <w:cantSplit/>
        </w:trPr>
        <w:tc>
          <w:tcPr>
            <w:tcW w:w="1500" w:type="pct"/>
            <w:shd w:val="clear" w:color="auto" w:fill="auto"/>
          </w:tcPr>
          <w:p w14:paraId="23627FCD" w14:textId="77777777" w:rsidR="00E93F58" w:rsidRPr="00576D60" w:rsidRDefault="00E93F58" w:rsidP="003D2B1E">
            <w:pPr>
              <w:pStyle w:val="ENoteTableText"/>
              <w:tabs>
                <w:tab w:val="left" w:leader="dot" w:pos="2268"/>
              </w:tabs>
            </w:pPr>
            <w:r>
              <w:t>Subdivision 4</w:t>
            </w:r>
            <w:r w:rsidRPr="00576D60">
              <w:t>.4 heading</w:t>
            </w:r>
            <w:r w:rsidRPr="00576D60">
              <w:tab/>
            </w:r>
          </w:p>
        </w:tc>
        <w:tc>
          <w:tcPr>
            <w:tcW w:w="3500" w:type="pct"/>
            <w:shd w:val="clear" w:color="auto" w:fill="auto"/>
          </w:tcPr>
          <w:p w14:paraId="14CDA2E2" w14:textId="77777777" w:rsidR="00E93F58" w:rsidRPr="00576D60" w:rsidRDefault="00E93F58" w:rsidP="003D2B1E">
            <w:pPr>
              <w:pStyle w:val="ENoteTableText"/>
            </w:pPr>
            <w:r w:rsidRPr="00576D60">
              <w:t>rs. 2002 No. 16</w:t>
            </w:r>
          </w:p>
        </w:tc>
      </w:tr>
      <w:tr w:rsidR="00E93F58" w:rsidRPr="00576D60" w14:paraId="53A9903D" w14:textId="77777777" w:rsidTr="002F32E3">
        <w:trPr>
          <w:cantSplit/>
        </w:trPr>
        <w:tc>
          <w:tcPr>
            <w:tcW w:w="1500" w:type="pct"/>
            <w:shd w:val="clear" w:color="auto" w:fill="auto"/>
          </w:tcPr>
          <w:p w14:paraId="693A3795" w14:textId="77777777" w:rsidR="00E93F58" w:rsidRPr="00576D60" w:rsidRDefault="00E93F58" w:rsidP="003D2B1E">
            <w:pPr>
              <w:pStyle w:val="ENoteTableText"/>
              <w:tabs>
                <w:tab w:val="left" w:leader="dot" w:pos="2268"/>
              </w:tabs>
            </w:pPr>
            <w:r w:rsidRPr="00576D60">
              <w:t>r 7.9.14B</w:t>
            </w:r>
            <w:r w:rsidRPr="00576D60">
              <w:tab/>
            </w:r>
          </w:p>
        </w:tc>
        <w:tc>
          <w:tcPr>
            <w:tcW w:w="3500" w:type="pct"/>
            <w:shd w:val="clear" w:color="auto" w:fill="auto"/>
          </w:tcPr>
          <w:p w14:paraId="79733447" w14:textId="77777777" w:rsidR="00E93F58" w:rsidRPr="00576D60" w:rsidRDefault="00E93F58" w:rsidP="003D2B1E">
            <w:pPr>
              <w:pStyle w:val="ENoteTableText"/>
            </w:pPr>
            <w:r w:rsidRPr="00576D60">
              <w:t>ad No 16, 2002</w:t>
            </w:r>
          </w:p>
        </w:tc>
      </w:tr>
      <w:tr w:rsidR="00E93F58" w:rsidRPr="00576D60" w14:paraId="4EF9FBC6" w14:textId="77777777" w:rsidTr="002F32E3">
        <w:trPr>
          <w:cantSplit/>
        </w:trPr>
        <w:tc>
          <w:tcPr>
            <w:tcW w:w="1500" w:type="pct"/>
            <w:shd w:val="clear" w:color="auto" w:fill="auto"/>
          </w:tcPr>
          <w:p w14:paraId="2B0F4529" w14:textId="77777777" w:rsidR="00E93F58" w:rsidRPr="00576D60" w:rsidRDefault="00E93F58" w:rsidP="003D2B1E">
            <w:pPr>
              <w:pStyle w:val="ENoteTableText"/>
              <w:tabs>
                <w:tab w:val="left" w:leader="dot" w:pos="2268"/>
              </w:tabs>
            </w:pPr>
          </w:p>
        </w:tc>
        <w:tc>
          <w:tcPr>
            <w:tcW w:w="3500" w:type="pct"/>
            <w:shd w:val="clear" w:color="auto" w:fill="auto"/>
          </w:tcPr>
          <w:p w14:paraId="03DCF6F0" w14:textId="77777777" w:rsidR="00E93F58" w:rsidRPr="00576D60" w:rsidRDefault="00E93F58" w:rsidP="003D2B1E">
            <w:pPr>
              <w:pStyle w:val="ENoteTableText"/>
            </w:pPr>
            <w:r w:rsidRPr="00576D60">
              <w:t>am F2019L00392</w:t>
            </w:r>
          </w:p>
        </w:tc>
      </w:tr>
      <w:tr w:rsidR="00E93F58" w:rsidRPr="00576D60" w14:paraId="1CAC540C" w14:textId="77777777" w:rsidTr="002F32E3">
        <w:trPr>
          <w:cantSplit/>
        </w:trPr>
        <w:tc>
          <w:tcPr>
            <w:tcW w:w="1500" w:type="pct"/>
            <w:shd w:val="clear" w:color="auto" w:fill="auto"/>
          </w:tcPr>
          <w:p w14:paraId="673CC9AC" w14:textId="77777777" w:rsidR="00E93F58" w:rsidRPr="00576D60" w:rsidRDefault="00E93F58" w:rsidP="003D2B1E">
            <w:pPr>
              <w:pStyle w:val="ENoteTableText"/>
              <w:keepNext/>
              <w:tabs>
                <w:tab w:val="left" w:leader="dot" w:pos="2268"/>
              </w:tabs>
              <w:rPr>
                <w:b/>
              </w:rPr>
            </w:pPr>
            <w:r w:rsidRPr="00576D60">
              <w:rPr>
                <w:b/>
              </w:rPr>
              <w:t>Division 4A</w:t>
            </w:r>
          </w:p>
        </w:tc>
        <w:tc>
          <w:tcPr>
            <w:tcW w:w="3500" w:type="pct"/>
            <w:shd w:val="clear" w:color="auto" w:fill="auto"/>
          </w:tcPr>
          <w:p w14:paraId="2211B729" w14:textId="77777777" w:rsidR="00E93F58" w:rsidRPr="00576D60" w:rsidRDefault="00E93F58" w:rsidP="003D2B1E">
            <w:pPr>
              <w:pStyle w:val="ENoteTableText"/>
              <w:keepNext/>
              <w:keepLines/>
            </w:pPr>
          </w:p>
        </w:tc>
      </w:tr>
      <w:tr w:rsidR="00E93F58" w:rsidRPr="00576D60" w14:paraId="4FA8E648" w14:textId="77777777" w:rsidTr="002F32E3">
        <w:trPr>
          <w:cantSplit/>
        </w:trPr>
        <w:tc>
          <w:tcPr>
            <w:tcW w:w="1500" w:type="pct"/>
            <w:shd w:val="clear" w:color="auto" w:fill="auto"/>
          </w:tcPr>
          <w:p w14:paraId="1A211406" w14:textId="77777777" w:rsidR="00E93F58" w:rsidRPr="00576D60" w:rsidRDefault="00E93F58" w:rsidP="003D2B1E">
            <w:pPr>
              <w:pStyle w:val="ENoteTableText"/>
              <w:tabs>
                <w:tab w:val="left" w:leader="dot" w:pos="2268"/>
              </w:tabs>
            </w:pPr>
            <w:r w:rsidRPr="00576D60">
              <w:t>Division 4A heading</w:t>
            </w:r>
            <w:r w:rsidRPr="00576D60">
              <w:tab/>
            </w:r>
          </w:p>
        </w:tc>
        <w:tc>
          <w:tcPr>
            <w:tcW w:w="3500" w:type="pct"/>
            <w:shd w:val="clear" w:color="auto" w:fill="auto"/>
          </w:tcPr>
          <w:p w14:paraId="0209DE7C" w14:textId="77777777" w:rsidR="00E93F58" w:rsidRPr="00576D60" w:rsidRDefault="00E93F58" w:rsidP="003D2B1E">
            <w:pPr>
              <w:pStyle w:val="ENoteTableText"/>
            </w:pPr>
            <w:r w:rsidRPr="00576D60">
              <w:t>ad. 2002 No. 16</w:t>
            </w:r>
          </w:p>
        </w:tc>
      </w:tr>
      <w:tr w:rsidR="00E93F58" w:rsidRPr="00576D60" w14:paraId="57EC9635" w14:textId="77777777" w:rsidTr="002F32E3">
        <w:trPr>
          <w:cantSplit/>
        </w:trPr>
        <w:tc>
          <w:tcPr>
            <w:tcW w:w="1500" w:type="pct"/>
            <w:shd w:val="clear" w:color="auto" w:fill="auto"/>
          </w:tcPr>
          <w:p w14:paraId="1D972A95" w14:textId="77777777" w:rsidR="00E93F58" w:rsidRPr="00576D60" w:rsidRDefault="00E93F58" w:rsidP="003D2B1E">
            <w:pPr>
              <w:pStyle w:val="ENoteTableText"/>
              <w:tabs>
                <w:tab w:val="left" w:leader="dot" w:pos="2268"/>
              </w:tabs>
            </w:pPr>
            <w:r w:rsidRPr="00576D60">
              <w:t>r. 7.9.14C</w:t>
            </w:r>
            <w:r w:rsidRPr="00576D60">
              <w:tab/>
            </w:r>
          </w:p>
        </w:tc>
        <w:tc>
          <w:tcPr>
            <w:tcW w:w="3500" w:type="pct"/>
            <w:shd w:val="clear" w:color="auto" w:fill="auto"/>
          </w:tcPr>
          <w:p w14:paraId="4B49591D" w14:textId="77777777" w:rsidR="00E93F58" w:rsidRPr="00576D60" w:rsidRDefault="00E93F58" w:rsidP="003D2B1E">
            <w:pPr>
              <w:pStyle w:val="ENoteTableText"/>
            </w:pPr>
            <w:r w:rsidRPr="00576D60">
              <w:t>ad. 2002 No. 16</w:t>
            </w:r>
          </w:p>
        </w:tc>
      </w:tr>
      <w:tr w:rsidR="00E93F58" w:rsidRPr="00576D60" w14:paraId="78B4E89F" w14:textId="77777777" w:rsidTr="002F32E3">
        <w:trPr>
          <w:cantSplit/>
        </w:trPr>
        <w:tc>
          <w:tcPr>
            <w:tcW w:w="1500" w:type="pct"/>
            <w:shd w:val="clear" w:color="auto" w:fill="auto"/>
          </w:tcPr>
          <w:p w14:paraId="2A4B65F1" w14:textId="77777777" w:rsidR="00E93F58" w:rsidRPr="00576D60" w:rsidRDefault="00E93F58" w:rsidP="003D2B1E">
            <w:pPr>
              <w:pStyle w:val="ENoteTableText"/>
              <w:tabs>
                <w:tab w:val="left" w:leader="dot" w:pos="2268"/>
              </w:tabs>
            </w:pPr>
            <w:r w:rsidRPr="00576D60">
              <w:t>r 7.9.14D</w:t>
            </w:r>
            <w:r w:rsidRPr="00576D60">
              <w:tab/>
            </w:r>
          </w:p>
        </w:tc>
        <w:tc>
          <w:tcPr>
            <w:tcW w:w="3500" w:type="pct"/>
            <w:shd w:val="clear" w:color="auto" w:fill="auto"/>
          </w:tcPr>
          <w:p w14:paraId="29929D9A" w14:textId="77777777" w:rsidR="00E93F58" w:rsidRPr="00576D60" w:rsidRDefault="00E93F58" w:rsidP="003D2B1E">
            <w:pPr>
              <w:pStyle w:val="ENoteTableText"/>
            </w:pPr>
            <w:r w:rsidRPr="00576D60">
              <w:t>ad 2010 No 55</w:t>
            </w:r>
          </w:p>
        </w:tc>
      </w:tr>
      <w:tr w:rsidR="00E93F58" w:rsidRPr="00576D60" w14:paraId="76D9BF12" w14:textId="77777777" w:rsidTr="002F32E3">
        <w:trPr>
          <w:cantSplit/>
        </w:trPr>
        <w:tc>
          <w:tcPr>
            <w:tcW w:w="1500" w:type="pct"/>
            <w:shd w:val="clear" w:color="auto" w:fill="auto"/>
          </w:tcPr>
          <w:p w14:paraId="4F4D0722" w14:textId="77777777" w:rsidR="00E93F58" w:rsidRPr="00576D60" w:rsidRDefault="00E93F58" w:rsidP="003D2B1E">
            <w:pPr>
              <w:pStyle w:val="ENoteTableText"/>
              <w:tabs>
                <w:tab w:val="left" w:leader="dot" w:pos="2268"/>
              </w:tabs>
            </w:pPr>
          </w:p>
        </w:tc>
        <w:tc>
          <w:tcPr>
            <w:tcW w:w="3500" w:type="pct"/>
            <w:shd w:val="clear" w:color="auto" w:fill="auto"/>
          </w:tcPr>
          <w:p w14:paraId="5917886E" w14:textId="77777777" w:rsidR="00E93F58" w:rsidRPr="00576D60" w:rsidRDefault="00E93F58" w:rsidP="003D2B1E">
            <w:pPr>
              <w:pStyle w:val="ENoteTableText"/>
            </w:pPr>
            <w:r w:rsidRPr="00576D60">
              <w:t>am F2021L01841</w:t>
            </w:r>
          </w:p>
        </w:tc>
      </w:tr>
      <w:tr w:rsidR="00E93F58" w:rsidRPr="00576D60" w14:paraId="08C14BED" w14:textId="77777777" w:rsidTr="002F32E3">
        <w:trPr>
          <w:cantSplit/>
        </w:trPr>
        <w:tc>
          <w:tcPr>
            <w:tcW w:w="1500" w:type="pct"/>
            <w:shd w:val="clear" w:color="auto" w:fill="auto"/>
          </w:tcPr>
          <w:p w14:paraId="1A8410F3" w14:textId="77777777" w:rsidR="00E93F58" w:rsidRPr="00576D60" w:rsidRDefault="00E93F58" w:rsidP="003D2B1E">
            <w:pPr>
              <w:pStyle w:val="ENoteTableText"/>
              <w:tabs>
                <w:tab w:val="left" w:leader="dot" w:pos="2268"/>
              </w:tabs>
            </w:pPr>
            <w:r w:rsidRPr="00576D60">
              <w:t>r. 7.9.15</w:t>
            </w:r>
            <w:r w:rsidRPr="00576D60">
              <w:tab/>
            </w:r>
          </w:p>
        </w:tc>
        <w:tc>
          <w:tcPr>
            <w:tcW w:w="3500" w:type="pct"/>
            <w:shd w:val="clear" w:color="auto" w:fill="auto"/>
          </w:tcPr>
          <w:p w14:paraId="578AF40C" w14:textId="77777777" w:rsidR="00E93F58" w:rsidRPr="00576D60" w:rsidRDefault="00E93F58" w:rsidP="003D2B1E">
            <w:pPr>
              <w:pStyle w:val="ENoteTableText"/>
            </w:pPr>
            <w:r w:rsidRPr="00576D60">
              <w:t>ad. 2001 No. 319</w:t>
            </w:r>
          </w:p>
        </w:tc>
      </w:tr>
      <w:tr w:rsidR="00E93F58" w:rsidRPr="00576D60" w14:paraId="5BCFBB42" w14:textId="77777777" w:rsidTr="002F32E3">
        <w:trPr>
          <w:cantSplit/>
        </w:trPr>
        <w:tc>
          <w:tcPr>
            <w:tcW w:w="1500" w:type="pct"/>
            <w:shd w:val="clear" w:color="auto" w:fill="auto"/>
          </w:tcPr>
          <w:p w14:paraId="7A8A7539" w14:textId="77777777" w:rsidR="00E93F58" w:rsidRPr="00576D60" w:rsidRDefault="00E93F58" w:rsidP="003D2B1E">
            <w:pPr>
              <w:pStyle w:val="ENoteTableText"/>
            </w:pPr>
          </w:p>
        </w:tc>
        <w:tc>
          <w:tcPr>
            <w:tcW w:w="3500" w:type="pct"/>
            <w:shd w:val="clear" w:color="auto" w:fill="auto"/>
          </w:tcPr>
          <w:p w14:paraId="2CBFF967" w14:textId="77777777" w:rsidR="00E93F58" w:rsidRPr="00576D60" w:rsidRDefault="00E93F58" w:rsidP="003D2B1E">
            <w:pPr>
              <w:pStyle w:val="ENoteTableText"/>
            </w:pPr>
            <w:r w:rsidRPr="00576D60">
              <w:t>am. 2003 No. 202; 2010 No. 55</w:t>
            </w:r>
          </w:p>
        </w:tc>
      </w:tr>
      <w:tr w:rsidR="00E93F58" w:rsidRPr="00576D60" w14:paraId="5258FAC7" w14:textId="77777777" w:rsidTr="002F32E3">
        <w:trPr>
          <w:cantSplit/>
        </w:trPr>
        <w:tc>
          <w:tcPr>
            <w:tcW w:w="1500" w:type="pct"/>
            <w:shd w:val="clear" w:color="auto" w:fill="auto"/>
          </w:tcPr>
          <w:p w14:paraId="4B4FC0D2" w14:textId="77777777" w:rsidR="00E93F58" w:rsidRPr="00576D60" w:rsidRDefault="00E93F58" w:rsidP="003D2B1E">
            <w:pPr>
              <w:pStyle w:val="ENoteTableText"/>
              <w:tabs>
                <w:tab w:val="left" w:leader="dot" w:pos="2268"/>
              </w:tabs>
            </w:pPr>
            <w:r w:rsidRPr="00576D60">
              <w:t>r. 7.9.15A</w:t>
            </w:r>
            <w:r w:rsidRPr="00576D60">
              <w:tab/>
            </w:r>
          </w:p>
        </w:tc>
        <w:tc>
          <w:tcPr>
            <w:tcW w:w="3500" w:type="pct"/>
            <w:shd w:val="clear" w:color="auto" w:fill="auto"/>
          </w:tcPr>
          <w:p w14:paraId="4DA51D11" w14:textId="77777777" w:rsidR="00E93F58" w:rsidRPr="00576D60" w:rsidRDefault="00E93F58" w:rsidP="003D2B1E">
            <w:pPr>
              <w:pStyle w:val="ENoteTableText"/>
            </w:pPr>
            <w:r w:rsidRPr="00576D60">
              <w:t>ad. 2004 No. 149</w:t>
            </w:r>
          </w:p>
        </w:tc>
      </w:tr>
      <w:tr w:rsidR="00E93F58" w:rsidRPr="00576D60" w14:paraId="22BE3684" w14:textId="77777777" w:rsidTr="002F32E3">
        <w:trPr>
          <w:cantSplit/>
        </w:trPr>
        <w:tc>
          <w:tcPr>
            <w:tcW w:w="1500" w:type="pct"/>
            <w:shd w:val="clear" w:color="auto" w:fill="auto"/>
          </w:tcPr>
          <w:p w14:paraId="3A9989D2" w14:textId="77777777" w:rsidR="00E93F58" w:rsidRPr="00576D60" w:rsidRDefault="00E93F58" w:rsidP="003D2B1E">
            <w:pPr>
              <w:pStyle w:val="ENoteTableText"/>
              <w:tabs>
                <w:tab w:val="left" w:leader="dot" w:pos="2268"/>
              </w:tabs>
            </w:pPr>
            <w:r w:rsidRPr="00576D60">
              <w:t>r. 7.9.15B</w:t>
            </w:r>
            <w:r w:rsidRPr="00576D60">
              <w:tab/>
            </w:r>
          </w:p>
        </w:tc>
        <w:tc>
          <w:tcPr>
            <w:tcW w:w="3500" w:type="pct"/>
            <w:shd w:val="clear" w:color="auto" w:fill="auto"/>
          </w:tcPr>
          <w:p w14:paraId="2F491BDA" w14:textId="77777777" w:rsidR="00E93F58" w:rsidRPr="00576D60" w:rsidRDefault="00E93F58" w:rsidP="003D2B1E">
            <w:pPr>
              <w:pStyle w:val="ENoteTableText"/>
            </w:pPr>
            <w:r w:rsidRPr="00576D60">
              <w:t>ad. 2004 No. 149</w:t>
            </w:r>
          </w:p>
        </w:tc>
      </w:tr>
      <w:tr w:rsidR="00E93F58" w:rsidRPr="00576D60" w14:paraId="518377F6" w14:textId="77777777" w:rsidTr="002F32E3">
        <w:trPr>
          <w:cantSplit/>
        </w:trPr>
        <w:tc>
          <w:tcPr>
            <w:tcW w:w="1500" w:type="pct"/>
            <w:shd w:val="clear" w:color="auto" w:fill="auto"/>
          </w:tcPr>
          <w:p w14:paraId="763E21E5" w14:textId="77777777" w:rsidR="00E93F58" w:rsidRPr="00576D60" w:rsidRDefault="00E93F58" w:rsidP="003D2B1E">
            <w:pPr>
              <w:pStyle w:val="ENoteTableText"/>
              <w:tabs>
                <w:tab w:val="left" w:leader="dot" w:pos="2268"/>
              </w:tabs>
            </w:pPr>
            <w:r w:rsidRPr="00576D60">
              <w:t>r. 7.9.15C</w:t>
            </w:r>
            <w:r w:rsidRPr="00576D60">
              <w:tab/>
            </w:r>
          </w:p>
        </w:tc>
        <w:tc>
          <w:tcPr>
            <w:tcW w:w="3500" w:type="pct"/>
            <w:shd w:val="clear" w:color="auto" w:fill="auto"/>
          </w:tcPr>
          <w:p w14:paraId="48A73405" w14:textId="77777777" w:rsidR="00E93F58" w:rsidRPr="00576D60" w:rsidRDefault="00E93F58" w:rsidP="003D2B1E">
            <w:pPr>
              <w:pStyle w:val="ENoteTableText"/>
            </w:pPr>
            <w:r w:rsidRPr="00576D60">
              <w:t>ad. 2004 No. 149</w:t>
            </w:r>
          </w:p>
        </w:tc>
      </w:tr>
      <w:tr w:rsidR="00E93F58" w:rsidRPr="00576D60" w14:paraId="1EBA2079" w14:textId="77777777" w:rsidTr="002F32E3">
        <w:trPr>
          <w:cantSplit/>
        </w:trPr>
        <w:tc>
          <w:tcPr>
            <w:tcW w:w="1500" w:type="pct"/>
            <w:shd w:val="clear" w:color="auto" w:fill="auto"/>
          </w:tcPr>
          <w:p w14:paraId="3B9DF188" w14:textId="77777777" w:rsidR="00E93F58" w:rsidRPr="00576D60" w:rsidRDefault="00E93F58" w:rsidP="003D2B1E">
            <w:pPr>
              <w:pStyle w:val="ENoteTableText"/>
            </w:pPr>
          </w:p>
        </w:tc>
        <w:tc>
          <w:tcPr>
            <w:tcW w:w="3500" w:type="pct"/>
            <w:shd w:val="clear" w:color="auto" w:fill="auto"/>
          </w:tcPr>
          <w:p w14:paraId="3547CE17" w14:textId="77777777" w:rsidR="00E93F58" w:rsidRPr="00576D60" w:rsidRDefault="00E93F58" w:rsidP="003D2B1E">
            <w:pPr>
              <w:pStyle w:val="ENoteTableText"/>
            </w:pPr>
            <w:r w:rsidRPr="00576D60">
              <w:t>am. 2007 No. 259</w:t>
            </w:r>
          </w:p>
        </w:tc>
      </w:tr>
      <w:tr w:rsidR="00E93F58" w:rsidRPr="00576D60" w14:paraId="15E1C1EA" w14:textId="77777777" w:rsidTr="002F32E3">
        <w:trPr>
          <w:cantSplit/>
        </w:trPr>
        <w:tc>
          <w:tcPr>
            <w:tcW w:w="1500" w:type="pct"/>
            <w:shd w:val="clear" w:color="auto" w:fill="auto"/>
          </w:tcPr>
          <w:p w14:paraId="657C8CCF" w14:textId="77777777" w:rsidR="00E93F58" w:rsidRPr="00576D60" w:rsidRDefault="00E93F58" w:rsidP="003D2B1E">
            <w:pPr>
              <w:pStyle w:val="ENoteTableText"/>
              <w:tabs>
                <w:tab w:val="left" w:leader="dot" w:pos="2268"/>
              </w:tabs>
            </w:pPr>
            <w:r w:rsidRPr="00576D60">
              <w:t>r. 7.9.15CA</w:t>
            </w:r>
            <w:r w:rsidRPr="00576D60">
              <w:tab/>
            </w:r>
          </w:p>
        </w:tc>
        <w:tc>
          <w:tcPr>
            <w:tcW w:w="3500" w:type="pct"/>
            <w:shd w:val="clear" w:color="auto" w:fill="auto"/>
          </w:tcPr>
          <w:p w14:paraId="7632CCA5" w14:textId="77777777" w:rsidR="00E93F58" w:rsidRPr="00576D60" w:rsidRDefault="00E93F58" w:rsidP="003D2B1E">
            <w:pPr>
              <w:pStyle w:val="ENoteTableText"/>
            </w:pPr>
            <w:r w:rsidRPr="00576D60">
              <w:t>ad. 2010 No. 55</w:t>
            </w:r>
          </w:p>
        </w:tc>
      </w:tr>
      <w:tr w:rsidR="00E93F58" w:rsidRPr="00576D60" w14:paraId="632C2577" w14:textId="77777777" w:rsidTr="002F32E3">
        <w:trPr>
          <w:cantSplit/>
        </w:trPr>
        <w:tc>
          <w:tcPr>
            <w:tcW w:w="1500" w:type="pct"/>
            <w:shd w:val="clear" w:color="auto" w:fill="auto"/>
          </w:tcPr>
          <w:p w14:paraId="10D8FE1C" w14:textId="77777777" w:rsidR="00E93F58" w:rsidRPr="00576D60" w:rsidRDefault="00E93F58" w:rsidP="003D2B1E">
            <w:pPr>
              <w:pStyle w:val="ENoteTableText"/>
              <w:tabs>
                <w:tab w:val="left" w:leader="dot" w:pos="2268"/>
              </w:tabs>
            </w:pPr>
            <w:r w:rsidRPr="00576D60">
              <w:t>r. 7.9.15D</w:t>
            </w:r>
            <w:r w:rsidRPr="00576D60">
              <w:tab/>
            </w:r>
          </w:p>
        </w:tc>
        <w:tc>
          <w:tcPr>
            <w:tcW w:w="3500" w:type="pct"/>
            <w:shd w:val="clear" w:color="auto" w:fill="auto"/>
          </w:tcPr>
          <w:p w14:paraId="6F993250" w14:textId="77777777" w:rsidR="00E93F58" w:rsidRPr="00576D60" w:rsidRDefault="00E93F58" w:rsidP="003D2B1E">
            <w:pPr>
              <w:pStyle w:val="ENoteTableText"/>
            </w:pPr>
            <w:r w:rsidRPr="00576D60">
              <w:t>ad. 2005 No. 324</w:t>
            </w:r>
          </w:p>
        </w:tc>
      </w:tr>
      <w:tr w:rsidR="00E93F58" w:rsidRPr="00576D60" w14:paraId="70E204F3" w14:textId="77777777" w:rsidTr="002F32E3">
        <w:trPr>
          <w:cantSplit/>
        </w:trPr>
        <w:tc>
          <w:tcPr>
            <w:tcW w:w="1500" w:type="pct"/>
            <w:shd w:val="clear" w:color="auto" w:fill="auto"/>
          </w:tcPr>
          <w:p w14:paraId="2FA6308E" w14:textId="77777777" w:rsidR="00E93F58" w:rsidRPr="00576D60" w:rsidRDefault="00E93F58" w:rsidP="003D2B1E">
            <w:pPr>
              <w:pStyle w:val="ENoteTableText"/>
              <w:tabs>
                <w:tab w:val="left" w:leader="dot" w:pos="2268"/>
              </w:tabs>
            </w:pPr>
            <w:r w:rsidRPr="00576D60">
              <w:t>r 7.9.15DA</w:t>
            </w:r>
            <w:r w:rsidRPr="00576D60">
              <w:tab/>
            </w:r>
          </w:p>
        </w:tc>
        <w:tc>
          <w:tcPr>
            <w:tcW w:w="3500" w:type="pct"/>
            <w:shd w:val="clear" w:color="auto" w:fill="auto"/>
          </w:tcPr>
          <w:p w14:paraId="15A187C3" w14:textId="77777777" w:rsidR="00E93F58" w:rsidRPr="00576D60" w:rsidRDefault="00E93F58" w:rsidP="003D2B1E">
            <w:pPr>
              <w:pStyle w:val="ENoteTableText"/>
            </w:pPr>
            <w:r w:rsidRPr="00576D60">
              <w:t xml:space="preserve">ad </w:t>
            </w:r>
            <w:r>
              <w:t>No 259, 2007</w:t>
            </w:r>
          </w:p>
        </w:tc>
      </w:tr>
      <w:tr w:rsidR="00E93F58" w:rsidRPr="00576D60" w14:paraId="0FD25D17" w14:textId="77777777" w:rsidTr="002F32E3">
        <w:trPr>
          <w:cantSplit/>
        </w:trPr>
        <w:tc>
          <w:tcPr>
            <w:tcW w:w="1500" w:type="pct"/>
            <w:shd w:val="clear" w:color="auto" w:fill="auto"/>
          </w:tcPr>
          <w:p w14:paraId="29E4D890" w14:textId="77777777" w:rsidR="00E93F58" w:rsidRPr="00576D60" w:rsidRDefault="00E93F58" w:rsidP="003D2B1E">
            <w:pPr>
              <w:pStyle w:val="ENoteTableText"/>
            </w:pPr>
          </w:p>
        </w:tc>
        <w:tc>
          <w:tcPr>
            <w:tcW w:w="3500" w:type="pct"/>
            <w:shd w:val="clear" w:color="auto" w:fill="auto"/>
          </w:tcPr>
          <w:p w14:paraId="4B54D092" w14:textId="77777777" w:rsidR="00E93F58" w:rsidRPr="00576D60" w:rsidRDefault="00E93F58" w:rsidP="003D2B1E">
            <w:pPr>
              <w:pStyle w:val="ENoteTableText"/>
            </w:pPr>
            <w:r w:rsidRPr="00576D60">
              <w:t xml:space="preserve">am </w:t>
            </w:r>
            <w:r>
              <w:t>No 135, 2010</w:t>
            </w:r>
            <w:r w:rsidRPr="00576D60">
              <w:t>; F2022L00469</w:t>
            </w:r>
            <w:r>
              <w:t>; F2023L01458</w:t>
            </w:r>
          </w:p>
        </w:tc>
      </w:tr>
      <w:tr w:rsidR="00E93F58" w:rsidRPr="00576D60" w14:paraId="54AB9B44" w14:textId="77777777" w:rsidTr="002F32E3">
        <w:trPr>
          <w:cantSplit/>
        </w:trPr>
        <w:tc>
          <w:tcPr>
            <w:tcW w:w="1500" w:type="pct"/>
            <w:shd w:val="clear" w:color="auto" w:fill="auto"/>
          </w:tcPr>
          <w:p w14:paraId="1449EBFD" w14:textId="77777777" w:rsidR="00E93F58" w:rsidRPr="00576D60" w:rsidRDefault="00E93F58" w:rsidP="003D2B1E">
            <w:pPr>
              <w:pStyle w:val="ENoteTableText"/>
              <w:tabs>
                <w:tab w:val="left" w:leader="dot" w:pos="2268"/>
              </w:tabs>
            </w:pPr>
            <w:r w:rsidRPr="00576D60">
              <w:t>r 7.9.15DB</w:t>
            </w:r>
            <w:r w:rsidRPr="00576D60">
              <w:tab/>
            </w:r>
          </w:p>
        </w:tc>
        <w:tc>
          <w:tcPr>
            <w:tcW w:w="3500" w:type="pct"/>
            <w:shd w:val="clear" w:color="auto" w:fill="auto"/>
          </w:tcPr>
          <w:p w14:paraId="72EEF7F6" w14:textId="77777777" w:rsidR="00E93F58" w:rsidRPr="00576D60" w:rsidRDefault="00E93F58" w:rsidP="003D2B1E">
            <w:pPr>
              <w:pStyle w:val="ENoteTableText"/>
            </w:pPr>
            <w:r w:rsidRPr="00576D60">
              <w:t xml:space="preserve">ad </w:t>
            </w:r>
            <w:r>
              <w:t>No 259, 2007</w:t>
            </w:r>
          </w:p>
        </w:tc>
      </w:tr>
      <w:tr w:rsidR="00E93F58" w:rsidRPr="00576D60" w14:paraId="0A10F7A5" w14:textId="77777777" w:rsidTr="002F32E3">
        <w:trPr>
          <w:cantSplit/>
        </w:trPr>
        <w:tc>
          <w:tcPr>
            <w:tcW w:w="1500" w:type="pct"/>
            <w:shd w:val="clear" w:color="auto" w:fill="auto"/>
          </w:tcPr>
          <w:p w14:paraId="56706621" w14:textId="77777777" w:rsidR="00E93F58" w:rsidRPr="00576D60" w:rsidRDefault="00E93F58" w:rsidP="003D2B1E">
            <w:pPr>
              <w:pStyle w:val="ENoteTableText"/>
            </w:pPr>
          </w:p>
        </w:tc>
        <w:tc>
          <w:tcPr>
            <w:tcW w:w="3500" w:type="pct"/>
            <w:shd w:val="clear" w:color="auto" w:fill="auto"/>
          </w:tcPr>
          <w:p w14:paraId="310AE571" w14:textId="77777777" w:rsidR="00E93F58" w:rsidRPr="00576D60" w:rsidRDefault="00E93F58" w:rsidP="003D2B1E">
            <w:pPr>
              <w:pStyle w:val="ENoteTableText"/>
            </w:pPr>
            <w:r w:rsidRPr="00576D60">
              <w:t xml:space="preserve">am </w:t>
            </w:r>
            <w:r>
              <w:t>No 135, 2010</w:t>
            </w:r>
            <w:r w:rsidRPr="00576D60">
              <w:t>; F2022L00469</w:t>
            </w:r>
            <w:r>
              <w:t>; F2023L01458</w:t>
            </w:r>
          </w:p>
        </w:tc>
      </w:tr>
      <w:tr w:rsidR="00E93F58" w:rsidRPr="00576D60" w14:paraId="0FB6D6F9" w14:textId="77777777" w:rsidTr="002F32E3">
        <w:trPr>
          <w:cantSplit/>
        </w:trPr>
        <w:tc>
          <w:tcPr>
            <w:tcW w:w="1500" w:type="pct"/>
            <w:shd w:val="clear" w:color="auto" w:fill="auto"/>
          </w:tcPr>
          <w:p w14:paraId="47F93561" w14:textId="77777777" w:rsidR="00E93F58" w:rsidRPr="00576D60" w:rsidRDefault="00E93F58" w:rsidP="003D2B1E">
            <w:pPr>
              <w:pStyle w:val="ENoteTableText"/>
              <w:tabs>
                <w:tab w:val="left" w:leader="dot" w:pos="2268"/>
              </w:tabs>
            </w:pPr>
            <w:r w:rsidRPr="00576D60">
              <w:t>r 7.9.15DC</w:t>
            </w:r>
            <w:r w:rsidRPr="00576D60">
              <w:tab/>
            </w:r>
          </w:p>
        </w:tc>
        <w:tc>
          <w:tcPr>
            <w:tcW w:w="3500" w:type="pct"/>
            <w:shd w:val="clear" w:color="auto" w:fill="auto"/>
          </w:tcPr>
          <w:p w14:paraId="3E81AC2C" w14:textId="77777777" w:rsidR="00E93F58" w:rsidRPr="00576D60" w:rsidRDefault="00E93F58" w:rsidP="003D2B1E">
            <w:pPr>
              <w:pStyle w:val="ENoteTableText"/>
            </w:pPr>
            <w:r w:rsidRPr="00576D60">
              <w:t xml:space="preserve">ad </w:t>
            </w:r>
            <w:r>
              <w:t>No 259, 2007</w:t>
            </w:r>
          </w:p>
        </w:tc>
      </w:tr>
      <w:tr w:rsidR="00E93F58" w:rsidRPr="00576D60" w14:paraId="098A2AE2" w14:textId="77777777" w:rsidTr="002F32E3">
        <w:trPr>
          <w:cantSplit/>
        </w:trPr>
        <w:tc>
          <w:tcPr>
            <w:tcW w:w="1500" w:type="pct"/>
            <w:shd w:val="clear" w:color="auto" w:fill="auto"/>
          </w:tcPr>
          <w:p w14:paraId="7461D0C4" w14:textId="77777777" w:rsidR="00E93F58" w:rsidRPr="00576D60" w:rsidRDefault="00E93F58" w:rsidP="003D2B1E">
            <w:pPr>
              <w:pStyle w:val="ENoteTableText"/>
            </w:pPr>
          </w:p>
        </w:tc>
        <w:tc>
          <w:tcPr>
            <w:tcW w:w="3500" w:type="pct"/>
            <w:shd w:val="clear" w:color="auto" w:fill="auto"/>
          </w:tcPr>
          <w:p w14:paraId="6792E5E3" w14:textId="77777777" w:rsidR="00E93F58" w:rsidRPr="00576D60" w:rsidRDefault="00E93F58" w:rsidP="003D2B1E">
            <w:pPr>
              <w:pStyle w:val="ENoteTableText"/>
            </w:pPr>
            <w:r w:rsidRPr="00576D60">
              <w:t xml:space="preserve">am </w:t>
            </w:r>
            <w:r>
              <w:t>No 135, 2010</w:t>
            </w:r>
            <w:r w:rsidRPr="00576D60">
              <w:t>; F2022L00469</w:t>
            </w:r>
            <w:r>
              <w:t>; F2023L01458</w:t>
            </w:r>
          </w:p>
        </w:tc>
      </w:tr>
      <w:tr w:rsidR="00E93F58" w:rsidRPr="00576D60" w14:paraId="64D1C2BD" w14:textId="77777777" w:rsidTr="002F32E3">
        <w:trPr>
          <w:cantSplit/>
        </w:trPr>
        <w:tc>
          <w:tcPr>
            <w:tcW w:w="1500" w:type="pct"/>
            <w:shd w:val="clear" w:color="auto" w:fill="auto"/>
          </w:tcPr>
          <w:p w14:paraId="149BC56B" w14:textId="77777777" w:rsidR="00E93F58" w:rsidRPr="00576D60" w:rsidRDefault="00E93F58" w:rsidP="003D2B1E">
            <w:pPr>
              <w:pStyle w:val="ENoteTableText"/>
              <w:tabs>
                <w:tab w:val="left" w:leader="dot" w:pos="2268"/>
              </w:tabs>
            </w:pPr>
            <w:r w:rsidRPr="00576D60">
              <w:t>r. 7.9.15E</w:t>
            </w:r>
            <w:r w:rsidRPr="00576D60">
              <w:tab/>
            </w:r>
          </w:p>
        </w:tc>
        <w:tc>
          <w:tcPr>
            <w:tcW w:w="3500" w:type="pct"/>
            <w:shd w:val="clear" w:color="auto" w:fill="auto"/>
          </w:tcPr>
          <w:p w14:paraId="36F15EE2" w14:textId="77777777" w:rsidR="00E93F58" w:rsidRPr="00576D60" w:rsidRDefault="00E93F58" w:rsidP="003D2B1E">
            <w:pPr>
              <w:pStyle w:val="ENoteTableText"/>
            </w:pPr>
            <w:r w:rsidRPr="00576D60">
              <w:t>ad. 2005 No. 324</w:t>
            </w:r>
          </w:p>
        </w:tc>
      </w:tr>
      <w:tr w:rsidR="00E93F58" w:rsidRPr="00576D60" w14:paraId="50181FB4" w14:textId="77777777" w:rsidTr="002F32E3">
        <w:trPr>
          <w:cantSplit/>
        </w:trPr>
        <w:tc>
          <w:tcPr>
            <w:tcW w:w="1500" w:type="pct"/>
            <w:shd w:val="clear" w:color="auto" w:fill="auto"/>
          </w:tcPr>
          <w:p w14:paraId="5E28C72B" w14:textId="77777777" w:rsidR="00E93F58" w:rsidRPr="00576D60" w:rsidRDefault="00E93F58" w:rsidP="003D2B1E">
            <w:pPr>
              <w:pStyle w:val="ENoteTableText"/>
              <w:tabs>
                <w:tab w:val="left" w:leader="dot" w:pos="2268"/>
              </w:tabs>
            </w:pPr>
            <w:r w:rsidRPr="00576D60">
              <w:t>r. 7.9.15F</w:t>
            </w:r>
            <w:r w:rsidRPr="00576D60">
              <w:tab/>
            </w:r>
          </w:p>
        </w:tc>
        <w:tc>
          <w:tcPr>
            <w:tcW w:w="3500" w:type="pct"/>
            <w:shd w:val="clear" w:color="auto" w:fill="auto"/>
          </w:tcPr>
          <w:p w14:paraId="5D6D95C9" w14:textId="77777777" w:rsidR="00E93F58" w:rsidRPr="00576D60" w:rsidRDefault="00E93F58" w:rsidP="003D2B1E">
            <w:pPr>
              <w:pStyle w:val="ENoteTableText"/>
            </w:pPr>
            <w:r w:rsidRPr="00576D60">
              <w:t>ad. 2005 No. 324</w:t>
            </w:r>
          </w:p>
        </w:tc>
      </w:tr>
      <w:tr w:rsidR="00E93F58" w:rsidRPr="00576D60" w14:paraId="5C6E0CB6" w14:textId="77777777" w:rsidTr="002F32E3">
        <w:trPr>
          <w:cantSplit/>
        </w:trPr>
        <w:tc>
          <w:tcPr>
            <w:tcW w:w="1500" w:type="pct"/>
            <w:shd w:val="clear" w:color="auto" w:fill="auto"/>
          </w:tcPr>
          <w:p w14:paraId="48851482" w14:textId="77777777" w:rsidR="00E93F58" w:rsidRPr="00576D60" w:rsidRDefault="00E93F58" w:rsidP="003D2B1E">
            <w:pPr>
              <w:pStyle w:val="ENoteTableText"/>
              <w:tabs>
                <w:tab w:val="left" w:leader="dot" w:pos="2268"/>
              </w:tabs>
            </w:pPr>
            <w:r w:rsidRPr="00576D60">
              <w:t>r. 7.9.15FA</w:t>
            </w:r>
            <w:r w:rsidRPr="00576D60">
              <w:tab/>
            </w:r>
          </w:p>
        </w:tc>
        <w:tc>
          <w:tcPr>
            <w:tcW w:w="3500" w:type="pct"/>
            <w:shd w:val="clear" w:color="auto" w:fill="auto"/>
          </w:tcPr>
          <w:p w14:paraId="34708A15" w14:textId="77777777" w:rsidR="00E93F58" w:rsidRPr="00576D60" w:rsidRDefault="00E93F58" w:rsidP="003D2B1E">
            <w:pPr>
              <w:pStyle w:val="ENoteTableText"/>
            </w:pPr>
            <w:r w:rsidRPr="00576D60">
              <w:t>ad. 2007 No. 259</w:t>
            </w:r>
          </w:p>
        </w:tc>
      </w:tr>
      <w:tr w:rsidR="00E93F58" w:rsidRPr="00576D60" w14:paraId="52CEDAC7" w14:textId="77777777" w:rsidTr="002F32E3">
        <w:trPr>
          <w:cantSplit/>
        </w:trPr>
        <w:tc>
          <w:tcPr>
            <w:tcW w:w="1500" w:type="pct"/>
            <w:shd w:val="clear" w:color="auto" w:fill="auto"/>
          </w:tcPr>
          <w:p w14:paraId="04EA8E18" w14:textId="77777777" w:rsidR="00E93F58" w:rsidRPr="00576D60" w:rsidRDefault="00E93F58" w:rsidP="003D2B1E">
            <w:pPr>
              <w:pStyle w:val="ENoteTableText"/>
              <w:tabs>
                <w:tab w:val="left" w:leader="dot" w:pos="2268"/>
              </w:tabs>
            </w:pPr>
            <w:r w:rsidRPr="00576D60">
              <w:t>r 7.9.15G</w:t>
            </w:r>
            <w:r w:rsidRPr="00576D60">
              <w:tab/>
            </w:r>
          </w:p>
        </w:tc>
        <w:tc>
          <w:tcPr>
            <w:tcW w:w="3500" w:type="pct"/>
            <w:shd w:val="clear" w:color="auto" w:fill="auto"/>
          </w:tcPr>
          <w:p w14:paraId="3559D861" w14:textId="77777777" w:rsidR="00E93F58" w:rsidRPr="00576D60" w:rsidRDefault="00E93F58" w:rsidP="003D2B1E">
            <w:pPr>
              <w:pStyle w:val="ENoteTableText"/>
            </w:pPr>
            <w:r w:rsidRPr="00576D60">
              <w:t>ad 2005 No 324</w:t>
            </w:r>
          </w:p>
        </w:tc>
      </w:tr>
      <w:tr w:rsidR="00E93F58" w:rsidRPr="00576D60" w14:paraId="03A9E22F" w14:textId="77777777" w:rsidTr="002F32E3">
        <w:trPr>
          <w:cantSplit/>
        </w:trPr>
        <w:tc>
          <w:tcPr>
            <w:tcW w:w="1500" w:type="pct"/>
            <w:shd w:val="clear" w:color="auto" w:fill="auto"/>
          </w:tcPr>
          <w:p w14:paraId="64ABE074" w14:textId="77777777" w:rsidR="00E93F58" w:rsidRPr="00576D60" w:rsidRDefault="00E93F58" w:rsidP="003D2B1E">
            <w:pPr>
              <w:pStyle w:val="ENoteTableText"/>
              <w:tabs>
                <w:tab w:val="left" w:leader="dot" w:pos="2268"/>
              </w:tabs>
            </w:pPr>
          </w:p>
        </w:tc>
        <w:tc>
          <w:tcPr>
            <w:tcW w:w="3500" w:type="pct"/>
            <w:shd w:val="clear" w:color="auto" w:fill="auto"/>
          </w:tcPr>
          <w:p w14:paraId="30CEAC04" w14:textId="77777777" w:rsidR="00E93F58" w:rsidRPr="00576D60" w:rsidRDefault="00E93F58" w:rsidP="003D2B1E">
            <w:pPr>
              <w:pStyle w:val="ENoteTableText"/>
            </w:pPr>
            <w:r w:rsidRPr="00576D60">
              <w:t>rep F2021L01841</w:t>
            </w:r>
          </w:p>
        </w:tc>
      </w:tr>
      <w:tr w:rsidR="00E93F58" w:rsidRPr="00576D60" w14:paraId="2917AC95" w14:textId="77777777" w:rsidTr="002F32E3">
        <w:trPr>
          <w:cantSplit/>
        </w:trPr>
        <w:tc>
          <w:tcPr>
            <w:tcW w:w="1500" w:type="pct"/>
            <w:shd w:val="clear" w:color="auto" w:fill="auto"/>
          </w:tcPr>
          <w:p w14:paraId="2756D88D" w14:textId="77777777" w:rsidR="00E93F58" w:rsidRPr="00576D60" w:rsidRDefault="00E93F58" w:rsidP="003D2B1E">
            <w:pPr>
              <w:pStyle w:val="ENoteTableText"/>
              <w:tabs>
                <w:tab w:val="left" w:leader="dot" w:pos="2268"/>
              </w:tabs>
            </w:pPr>
            <w:r w:rsidRPr="00576D60">
              <w:t>r. 7.9.15H</w:t>
            </w:r>
            <w:r w:rsidRPr="00576D60">
              <w:tab/>
            </w:r>
          </w:p>
        </w:tc>
        <w:tc>
          <w:tcPr>
            <w:tcW w:w="3500" w:type="pct"/>
            <w:shd w:val="clear" w:color="auto" w:fill="auto"/>
          </w:tcPr>
          <w:p w14:paraId="49BE6AE5" w14:textId="77777777" w:rsidR="00E93F58" w:rsidRPr="00576D60" w:rsidRDefault="00E93F58" w:rsidP="003D2B1E">
            <w:pPr>
              <w:pStyle w:val="ENoteTableText"/>
            </w:pPr>
            <w:r w:rsidRPr="00576D60">
              <w:t>ad. 2005 No. 324</w:t>
            </w:r>
          </w:p>
        </w:tc>
      </w:tr>
      <w:tr w:rsidR="00E93F58" w:rsidRPr="00576D60" w14:paraId="0C9FFB8B" w14:textId="77777777" w:rsidTr="002F32E3">
        <w:trPr>
          <w:cantSplit/>
        </w:trPr>
        <w:tc>
          <w:tcPr>
            <w:tcW w:w="1500" w:type="pct"/>
            <w:shd w:val="clear" w:color="auto" w:fill="auto"/>
          </w:tcPr>
          <w:p w14:paraId="0C449E5C" w14:textId="77777777" w:rsidR="00E93F58" w:rsidRPr="00576D60" w:rsidRDefault="00E93F58" w:rsidP="003D2B1E">
            <w:pPr>
              <w:pStyle w:val="ENoteTableText"/>
              <w:tabs>
                <w:tab w:val="left" w:leader="dot" w:pos="2268"/>
              </w:tabs>
            </w:pPr>
            <w:r w:rsidRPr="00576D60">
              <w:t>r. 7.9.15I</w:t>
            </w:r>
            <w:r w:rsidRPr="00576D60">
              <w:tab/>
            </w:r>
          </w:p>
        </w:tc>
        <w:tc>
          <w:tcPr>
            <w:tcW w:w="3500" w:type="pct"/>
            <w:shd w:val="clear" w:color="auto" w:fill="auto"/>
          </w:tcPr>
          <w:p w14:paraId="3F7BD4D0" w14:textId="77777777" w:rsidR="00E93F58" w:rsidRPr="00576D60" w:rsidRDefault="00E93F58" w:rsidP="003D2B1E">
            <w:pPr>
              <w:pStyle w:val="ENoteTableText"/>
            </w:pPr>
            <w:r w:rsidRPr="00576D60">
              <w:t>ad. 2005 No. 324</w:t>
            </w:r>
          </w:p>
        </w:tc>
      </w:tr>
      <w:tr w:rsidR="00E93F58" w:rsidRPr="00576D60" w14:paraId="4E64ED19" w14:textId="77777777" w:rsidTr="002F32E3">
        <w:trPr>
          <w:cantSplit/>
        </w:trPr>
        <w:tc>
          <w:tcPr>
            <w:tcW w:w="1500" w:type="pct"/>
            <w:shd w:val="clear" w:color="auto" w:fill="auto"/>
          </w:tcPr>
          <w:p w14:paraId="7081BE03" w14:textId="77777777" w:rsidR="00E93F58" w:rsidRPr="00576D60" w:rsidRDefault="00E93F58" w:rsidP="003D2B1E">
            <w:pPr>
              <w:pStyle w:val="ENoteTableText"/>
              <w:tabs>
                <w:tab w:val="left" w:leader="dot" w:pos="2268"/>
              </w:tabs>
            </w:pPr>
            <w:r w:rsidRPr="00576D60">
              <w:t>r. 7.9.16</w:t>
            </w:r>
            <w:r w:rsidRPr="00576D60">
              <w:tab/>
            </w:r>
          </w:p>
        </w:tc>
        <w:tc>
          <w:tcPr>
            <w:tcW w:w="3500" w:type="pct"/>
            <w:shd w:val="clear" w:color="auto" w:fill="auto"/>
          </w:tcPr>
          <w:p w14:paraId="3C6373F9" w14:textId="77777777" w:rsidR="00E93F58" w:rsidRPr="00576D60" w:rsidRDefault="00E93F58" w:rsidP="003D2B1E">
            <w:pPr>
              <w:pStyle w:val="ENoteTableText"/>
            </w:pPr>
            <w:r w:rsidRPr="00576D60">
              <w:t>ad. 2001 No. 319</w:t>
            </w:r>
          </w:p>
        </w:tc>
      </w:tr>
      <w:tr w:rsidR="00E93F58" w:rsidRPr="00576D60" w14:paraId="739BC6BA" w14:textId="77777777" w:rsidTr="002F32E3">
        <w:trPr>
          <w:cantSplit/>
        </w:trPr>
        <w:tc>
          <w:tcPr>
            <w:tcW w:w="1500" w:type="pct"/>
            <w:shd w:val="clear" w:color="auto" w:fill="auto"/>
          </w:tcPr>
          <w:p w14:paraId="10E8C987" w14:textId="77777777" w:rsidR="00E93F58" w:rsidRPr="00576D60" w:rsidRDefault="00E93F58" w:rsidP="003D2B1E">
            <w:pPr>
              <w:pStyle w:val="ENoteTableText"/>
              <w:tabs>
                <w:tab w:val="left" w:leader="dot" w:pos="2268"/>
              </w:tabs>
            </w:pPr>
            <w:r w:rsidRPr="00576D60">
              <w:t>r 7.9.16A</w:t>
            </w:r>
            <w:r w:rsidRPr="00576D60">
              <w:tab/>
            </w:r>
          </w:p>
        </w:tc>
        <w:tc>
          <w:tcPr>
            <w:tcW w:w="3500" w:type="pct"/>
            <w:shd w:val="clear" w:color="auto" w:fill="auto"/>
          </w:tcPr>
          <w:p w14:paraId="4D87F3AB" w14:textId="77777777" w:rsidR="00E93F58" w:rsidRPr="00576D60" w:rsidRDefault="00E93F58" w:rsidP="003D2B1E">
            <w:pPr>
              <w:pStyle w:val="ENoteTableText"/>
            </w:pPr>
            <w:r w:rsidRPr="00576D60">
              <w:t>ad No 41, 2002</w:t>
            </w:r>
          </w:p>
        </w:tc>
      </w:tr>
      <w:tr w:rsidR="00E93F58" w:rsidRPr="00576D60" w14:paraId="57B12FE3" w14:textId="77777777" w:rsidTr="002F32E3">
        <w:trPr>
          <w:cantSplit/>
        </w:trPr>
        <w:tc>
          <w:tcPr>
            <w:tcW w:w="1500" w:type="pct"/>
            <w:shd w:val="clear" w:color="auto" w:fill="auto"/>
          </w:tcPr>
          <w:p w14:paraId="3A23C515" w14:textId="77777777" w:rsidR="00E93F58" w:rsidRPr="00576D60" w:rsidRDefault="00E93F58" w:rsidP="003D2B1E">
            <w:pPr>
              <w:pStyle w:val="ENoteTableText"/>
              <w:tabs>
                <w:tab w:val="left" w:leader="dot" w:pos="2268"/>
              </w:tabs>
            </w:pPr>
          </w:p>
        </w:tc>
        <w:tc>
          <w:tcPr>
            <w:tcW w:w="3500" w:type="pct"/>
            <w:shd w:val="clear" w:color="auto" w:fill="auto"/>
          </w:tcPr>
          <w:p w14:paraId="094C85AF" w14:textId="77777777" w:rsidR="00E93F58" w:rsidRPr="00576D60" w:rsidRDefault="00E93F58" w:rsidP="003D2B1E">
            <w:pPr>
              <w:pStyle w:val="ENoteTableText"/>
            </w:pPr>
            <w:r w:rsidRPr="00576D60">
              <w:t>am F2018L01144</w:t>
            </w:r>
          </w:p>
        </w:tc>
      </w:tr>
      <w:tr w:rsidR="00E93F58" w:rsidRPr="00576D60" w14:paraId="567D6388" w14:textId="77777777" w:rsidTr="002F32E3">
        <w:trPr>
          <w:cantSplit/>
        </w:trPr>
        <w:tc>
          <w:tcPr>
            <w:tcW w:w="1500" w:type="pct"/>
            <w:shd w:val="clear" w:color="auto" w:fill="auto"/>
          </w:tcPr>
          <w:p w14:paraId="438702D6" w14:textId="77777777" w:rsidR="00E93F58" w:rsidRPr="00576D60" w:rsidRDefault="00E93F58" w:rsidP="003D2B1E">
            <w:pPr>
              <w:pStyle w:val="ENoteTableText"/>
              <w:tabs>
                <w:tab w:val="left" w:leader="dot" w:pos="2268"/>
              </w:tabs>
              <w:rPr>
                <w:b/>
              </w:rPr>
            </w:pPr>
            <w:r w:rsidRPr="00576D60">
              <w:rPr>
                <w:b/>
              </w:rPr>
              <w:t>Division 4B</w:t>
            </w:r>
          </w:p>
        </w:tc>
        <w:tc>
          <w:tcPr>
            <w:tcW w:w="3500" w:type="pct"/>
            <w:shd w:val="clear" w:color="auto" w:fill="auto"/>
          </w:tcPr>
          <w:p w14:paraId="2D84B0BF" w14:textId="77777777" w:rsidR="00E93F58" w:rsidRPr="00576D60" w:rsidRDefault="00E93F58" w:rsidP="003D2B1E">
            <w:pPr>
              <w:pStyle w:val="ENoteTableText"/>
            </w:pPr>
          </w:p>
        </w:tc>
      </w:tr>
      <w:tr w:rsidR="00E93F58" w:rsidRPr="00576D60" w14:paraId="78FBCA52" w14:textId="77777777" w:rsidTr="002F32E3">
        <w:trPr>
          <w:cantSplit/>
        </w:trPr>
        <w:tc>
          <w:tcPr>
            <w:tcW w:w="1500" w:type="pct"/>
            <w:shd w:val="clear" w:color="auto" w:fill="auto"/>
          </w:tcPr>
          <w:p w14:paraId="23603193" w14:textId="77777777" w:rsidR="00E93F58" w:rsidRPr="00576D60" w:rsidRDefault="00E93F58" w:rsidP="003D2B1E">
            <w:pPr>
              <w:pStyle w:val="ENoteTableText"/>
              <w:tabs>
                <w:tab w:val="left" w:leader="dot" w:pos="2268"/>
              </w:tabs>
            </w:pPr>
            <w:r w:rsidRPr="00576D60">
              <w:t>Division 4B</w:t>
            </w:r>
            <w:r w:rsidRPr="00576D60">
              <w:tab/>
            </w:r>
          </w:p>
        </w:tc>
        <w:tc>
          <w:tcPr>
            <w:tcW w:w="3500" w:type="pct"/>
            <w:shd w:val="clear" w:color="auto" w:fill="auto"/>
          </w:tcPr>
          <w:p w14:paraId="3C5A8DB9" w14:textId="77777777" w:rsidR="00E93F58" w:rsidRPr="00576D60" w:rsidRDefault="00E93F58" w:rsidP="003D2B1E">
            <w:pPr>
              <w:pStyle w:val="ENoteTableText"/>
            </w:pPr>
            <w:r w:rsidRPr="00576D60">
              <w:t>ad. 2003 No. 369</w:t>
            </w:r>
          </w:p>
        </w:tc>
      </w:tr>
      <w:tr w:rsidR="00E93F58" w:rsidRPr="00576D60" w14:paraId="5C8D431D" w14:textId="77777777" w:rsidTr="002F32E3">
        <w:trPr>
          <w:cantSplit/>
        </w:trPr>
        <w:tc>
          <w:tcPr>
            <w:tcW w:w="1500" w:type="pct"/>
            <w:shd w:val="clear" w:color="auto" w:fill="auto"/>
          </w:tcPr>
          <w:p w14:paraId="6E8D9D01" w14:textId="77777777" w:rsidR="00E93F58" w:rsidRPr="00576D60" w:rsidRDefault="00E93F58" w:rsidP="003D2B1E">
            <w:pPr>
              <w:pStyle w:val="ENoteTableText"/>
              <w:tabs>
                <w:tab w:val="left" w:leader="dot" w:pos="2268"/>
              </w:tabs>
            </w:pPr>
            <w:r w:rsidRPr="00576D60">
              <w:t>r. 7.9.16G</w:t>
            </w:r>
            <w:r w:rsidRPr="00576D60">
              <w:tab/>
            </w:r>
          </w:p>
        </w:tc>
        <w:tc>
          <w:tcPr>
            <w:tcW w:w="3500" w:type="pct"/>
            <w:shd w:val="clear" w:color="auto" w:fill="auto"/>
          </w:tcPr>
          <w:p w14:paraId="49CD1AE3" w14:textId="77777777" w:rsidR="00E93F58" w:rsidRPr="00576D60" w:rsidRDefault="00E93F58" w:rsidP="003D2B1E">
            <w:pPr>
              <w:pStyle w:val="ENoteTableText"/>
            </w:pPr>
            <w:r w:rsidRPr="00576D60">
              <w:t>ad. 2003 No. 369</w:t>
            </w:r>
          </w:p>
        </w:tc>
      </w:tr>
      <w:tr w:rsidR="00E93F58" w:rsidRPr="00576D60" w14:paraId="1F7F9970" w14:textId="77777777" w:rsidTr="002F32E3">
        <w:trPr>
          <w:cantSplit/>
        </w:trPr>
        <w:tc>
          <w:tcPr>
            <w:tcW w:w="1500" w:type="pct"/>
            <w:shd w:val="clear" w:color="auto" w:fill="auto"/>
          </w:tcPr>
          <w:p w14:paraId="3254A8C5" w14:textId="77777777" w:rsidR="00E93F58" w:rsidRPr="00576D60" w:rsidRDefault="00E93F58" w:rsidP="003D2B1E">
            <w:pPr>
              <w:pStyle w:val="ENoteTableText"/>
              <w:tabs>
                <w:tab w:val="left" w:leader="dot" w:pos="2268"/>
              </w:tabs>
            </w:pPr>
          </w:p>
        </w:tc>
        <w:tc>
          <w:tcPr>
            <w:tcW w:w="3500" w:type="pct"/>
            <w:shd w:val="clear" w:color="auto" w:fill="auto"/>
          </w:tcPr>
          <w:p w14:paraId="74DB635B" w14:textId="77777777" w:rsidR="00E93F58" w:rsidRPr="00576D60" w:rsidRDefault="00E93F58" w:rsidP="003D2B1E">
            <w:pPr>
              <w:pStyle w:val="ENoteTableText"/>
            </w:pPr>
            <w:r w:rsidRPr="00576D60">
              <w:t>am. No. 26, 2013</w:t>
            </w:r>
          </w:p>
        </w:tc>
      </w:tr>
      <w:tr w:rsidR="00E93F58" w:rsidRPr="00576D60" w14:paraId="492124D4" w14:textId="77777777" w:rsidTr="002F32E3">
        <w:trPr>
          <w:cantSplit/>
        </w:trPr>
        <w:tc>
          <w:tcPr>
            <w:tcW w:w="1500" w:type="pct"/>
            <w:shd w:val="clear" w:color="auto" w:fill="auto"/>
          </w:tcPr>
          <w:p w14:paraId="7D2E2F6E" w14:textId="77777777" w:rsidR="00E93F58" w:rsidRPr="00576D60" w:rsidRDefault="00E93F58" w:rsidP="003D2B1E">
            <w:pPr>
              <w:pStyle w:val="ENoteTableText"/>
              <w:tabs>
                <w:tab w:val="left" w:leader="dot" w:pos="2268"/>
              </w:tabs>
              <w:rPr>
                <w:b/>
              </w:rPr>
            </w:pPr>
            <w:r w:rsidRPr="00576D60">
              <w:rPr>
                <w:b/>
              </w:rPr>
              <w:t>Division 4C</w:t>
            </w:r>
          </w:p>
        </w:tc>
        <w:tc>
          <w:tcPr>
            <w:tcW w:w="3500" w:type="pct"/>
            <w:shd w:val="clear" w:color="auto" w:fill="auto"/>
          </w:tcPr>
          <w:p w14:paraId="6FDE95AE" w14:textId="77777777" w:rsidR="00E93F58" w:rsidRPr="00576D60" w:rsidRDefault="00E93F58" w:rsidP="003D2B1E">
            <w:pPr>
              <w:pStyle w:val="ENoteTableText"/>
            </w:pPr>
          </w:p>
        </w:tc>
      </w:tr>
      <w:tr w:rsidR="00E93F58" w:rsidRPr="00576D60" w14:paraId="20695163" w14:textId="77777777" w:rsidTr="002F32E3">
        <w:trPr>
          <w:cantSplit/>
        </w:trPr>
        <w:tc>
          <w:tcPr>
            <w:tcW w:w="1500" w:type="pct"/>
            <w:shd w:val="clear" w:color="auto" w:fill="auto"/>
          </w:tcPr>
          <w:p w14:paraId="178EB328" w14:textId="77777777" w:rsidR="00E93F58" w:rsidRPr="00576D60" w:rsidRDefault="00E93F58" w:rsidP="003D2B1E">
            <w:pPr>
              <w:pStyle w:val="ENoteTableText"/>
              <w:tabs>
                <w:tab w:val="left" w:leader="dot" w:pos="2268"/>
              </w:tabs>
            </w:pPr>
            <w:r w:rsidRPr="00576D60">
              <w:t>Division 4C</w:t>
            </w:r>
            <w:r w:rsidRPr="00576D60">
              <w:tab/>
            </w:r>
          </w:p>
        </w:tc>
        <w:tc>
          <w:tcPr>
            <w:tcW w:w="3500" w:type="pct"/>
            <w:shd w:val="clear" w:color="auto" w:fill="auto"/>
          </w:tcPr>
          <w:p w14:paraId="587BCCB6" w14:textId="77777777" w:rsidR="00E93F58" w:rsidRPr="00576D60" w:rsidRDefault="00E93F58" w:rsidP="003D2B1E">
            <w:pPr>
              <w:pStyle w:val="ENoteTableText"/>
            </w:pPr>
            <w:r w:rsidRPr="00576D60">
              <w:t>ad. 2005 No. 31</w:t>
            </w:r>
          </w:p>
        </w:tc>
      </w:tr>
      <w:tr w:rsidR="00E93F58" w:rsidRPr="00576D60" w14:paraId="45436960" w14:textId="77777777" w:rsidTr="002F32E3">
        <w:trPr>
          <w:cantSplit/>
        </w:trPr>
        <w:tc>
          <w:tcPr>
            <w:tcW w:w="1500" w:type="pct"/>
            <w:shd w:val="clear" w:color="auto" w:fill="auto"/>
          </w:tcPr>
          <w:p w14:paraId="036412B1" w14:textId="77777777" w:rsidR="00E93F58" w:rsidRPr="00576D60" w:rsidRDefault="00E93F58" w:rsidP="00E73EAB">
            <w:pPr>
              <w:pStyle w:val="ENoteTableText"/>
              <w:keepNext/>
              <w:tabs>
                <w:tab w:val="left" w:leader="dot" w:pos="2268"/>
              </w:tabs>
              <w:rPr>
                <w:b/>
              </w:rPr>
            </w:pPr>
            <w:r>
              <w:rPr>
                <w:b/>
              </w:rPr>
              <w:t>Subdivision 4</w:t>
            </w:r>
            <w:r w:rsidRPr="00576D60">
              <w:rPr>
                <w:b/>
              </w:rPr>
              <w:t>C.1</w:t>
            </w:r>
          </w:p>
        </w:tc>
        <w:tc>
          <w:tcPr>
            <w:tcW w:w="3500" w:type="pct"/>
            <w:shd w:val="clear" w:color="auto" w:fill="auto"/>
          </w:tcPr>
          <w:p w14:paraId="312DCDF8" w14:textId="77777777" w:rsidR="00E93F58" w:rsidRPr="00576D60" w:rsidRDefault="00E93F58" w:rsidP="003D2B1E">
            <w:pPr>
              <w:pStyle w:val="ENoteTableText"/>
            </w:pPr>
          </w:p>
        </w:tc>
      </w:tr>
      <w:tr w:rsidR="00E93F58" w:rsidRPr="00576D60" w14:paraId="3A489F59" w14:textId="77777777" w:rsidTr="002F32E3">
        <w:trPr>
          <w:cantSplit/>
        </w:trPr>
        <w:tc>
          <w:tcPr>
            <w:tcW w:w="1500" w:type="pct"/>
            <w:shd w:val="clear" w:color="auto" w:fill="auto"/>
          </w:tcPr>
          <w:p w14:paraId="462E7040" w14:textId="77777777" w:rsidR="00E93F58" w:rsidRPr="00576D60" w:rsidRDefault="00E93F58" w:rsidP="003D2B1E">
            <w:pPr>
              <w:pStyle w:val="ENoteTableText"/>
              <w:tabs>
                <w:tab w:val="left" w:leader="dot" w:pos="2268"/>
              </w:tabs>
            </w:pPr>
            <w:r w:rsidRPr="00576D60">
              <w:t>r 7.9.16J</w:t>
            </w:r>
            <w:r w:rsidRPr="00576D60">
              <w:tab/>
            </w:r>
          </w:p>
        </w:tc>
        <w:tc>
          <w:tcPr>
            <w:tcW w:w="3500" w:type="pct"/>
            <w:shd w:val="clear" w:color="auto" w:fill="auto"/>
          </w:tcPr>
          <w:p w14:paraId="7E95220F" w14:textId="77777777" w:rsidR="00E93F58" w:rsidRPr="00576D60" w:rsidRDefault="00E93F58" w:rsidP="003D2B1E">
            <w:pPr>
              <w:pStyle w:val="ENoteTableText"/>
            </w:pPr>
            <w:r w:rsidRPr="00576D60">
              <w:t>ad No 31, 2005</w:t>
            </w:r>
          </w:p>
        </w:tc>
      </w:tr>
      <w:tr w:rsidR="00E93F58" w:rsidRPr="00576D60" w14:paraId="1335ED2A" w14:textId="77777777" w:rsidTr="002F32E3">
        <w:trPr>
          <w:cantSplit/>
        </w:trPr>
        <w:tc>
          <w:tcPr>
            <w:tcW w:w="1500" w:type="pct"/>
            <w:shd w:val="clear" w:color="auto" w:fill="auto"/>
          </w:tcPr>
          <w:p w14:paraId="0F15E397" w14:textId="77777777" w:rsidR="00E93F58" w:rsidRPr="00576D60" w:rsidRDefault="00E93F58" w:rsidP="003D2B1E">
            <w:pPr>
              <w:pStyle w:val="ENoteTableText"/>
              <w:tabs>
                <w:tab w:val="left" w:leader="dot" w:pos="2268"/>
              </w:tabs>
            </w:pPr>
          </w:p>
        </w:tc>
        <w:tc>
          <w:tcPr>
            <w:tcW w:w="3500" w:type="pct"/>
            <w:shd w:val="clear" w:color="auto" w:fill="auto"/>
          </w:tcPr>
          <w:p w14:paraId="55C8CB8E" w14:textId="77777777" w:rsidR="00E93F58" w:rsidRPr="00576D60" w:rsidRDefault="00E93F58" w:rsidP="003D2B1E">
            <w:pPr>
              <w:pStyle w:val="ENoteTableText"/>
            </w:pPr>
            <w:r w:rsidRPr="00576D60">
              <w:t>am F2018L01144; F2019L01641; F2022L00469</w:t>
            </w:r>
          </w:p>
        </w:tc>
      </w:tr>
      <w:tr w:rsidR="00E93F58" w:rsidRPr="00576D60" w14:paraId="14140834" w14:textId="77777777" w:rsidTr="002F32E3">
        <w:trPr>
          <w:cantSplit/>
        </w:trPr>
        <w:tc>
          <w:tcPr>
            <w:tcW w:w="1500" w:type="pct"/>
            <w:shd w:val="clear" w:color="auto" w:fill="auto"/>
          </w:tcPr>
          <w:p w14:paraId="16D83149" w14:textId="77777777" w:rsidR="00E93F58" w:rsidRPr="00576D60" w:rsidRDefault="00E93F58" w:rsidP="003D2B1E">
            <w:pPr>
              <w:pStyle w:val="ENoteTableText"/>
              <w:tabs>
                <w:tab w:val="left" w:leader="dot" w:pos="2268"/>
              </w:tabs>
            </w:pPr>
            <w:r w:rsidRPr="00576D60">
              <w:t>r 7.9.16JA</w:t>
            </w:r>
            <w:r w:rsidRPr="00576D60">
              <w:tab/>
            </w:r>
          </w:p>
        </w:tc>
        <w:tc>
          <w:tcPr>
            <w:tcW w:w="3500" w:type="pct"/>
            <w:shd w:val="clear" w:color="auto" w:fill="auto"/>
          </w:tcPr>
          <w:p w14:paraId="7EE78CDD" w14:textId="77777777" w:rsidR="00E93F58" w:rsidRPr="00576D60" w:rsidRDefault="00E93F58" w:rsidP="003D2B1E">
            <w:pPr>
              <w:pStyle w:val="ENoteTableText"/>
            </w:pPr>
            <w:r w:rsidRPr="00576D60">
              <w:t>ad 2005 No 139</w:t>
            </w:r>
          </w:p>
        </w:tc>
      </w:tr>
      <w:tr w:rsidR="00E93F58" w:rsidRPr="00576D60" w14:paraId="5F63F0ED" w14:textId="77777777" w:rsidTr="002F32E3">
        <w:trPr>
          <w:cantSplit/>
        </w:trPr>
        <w:tc>
          <w:tcPr>
            <w:tcW w:w="1500" w:type="pct"/>
            <w:shd w:val="clear" w:color="auto" w:fill="auto"/>
          </w:tcPr>
          <w:p w14:paraId="5F8B6790" w14:textId="77777777" w:rsidR="00E93F58" w:rsidRPr="00576D60" w:rsidRDefault="00E93F58" w:rsidP="003D2B1E">
            <w:pPr>
              <w:pStyle w:val="ENoteTableText"/>
              <w:tabs>
                <w:tab w:val="left" w:leader="dot" w:pos="2268"/>
              </w:tabs>
            </w:pPr>
          </w:p>
        </w:tc>
        <w:tc>
          <w:tcPr>
            <w:tcW w:w="3500" w:type="pct"/>
            <w:shd w:val="clear" w:color="auto" w:fill="auto"/>
          </w:tcPr>
          <w:p w14:paraId="0210F3C1" w14:textId="77777777" w:rsidR="00E93F58" w:rsidRPr="00576D60" w:rsidRDefault="00E93F58" w:rsidP="003D2B1E">
            <w:pPr>
              <w:pStyle w:val="ENoteTableText"/>
            </w:pPr>
            <w:r w:rsidRPr="00576D60">
              <w:t>am F2022L00469</w:t>
            </w:r>
          </w:p>
        </w:tc>
      </w:tr>
      <w:tr w:rsidR="00E93F58" w:rsidRPr="00576D60" w14:paraId="2C5168D4" w14:textId="77777777" w:rsidTr="002F32E3">
        <w:trPr>
          <w:cantSplit/>
        </w:trPr>
        <w:tc>
          <w:tcPr>
            <w:tcW w:w="1500" w:type="pct"/>
            <w:shd w:val="clear" w:color="auto" w:fill="auto"/>
          </w:tcPr>
          <w:p w14:paraId="181EAEAF" w14:textId="77777777" w:rsidR="00E93F58" w:rsidRPr="00576D60" w:rsidRDefault="00E93F58" w:rsidP="003D2B1E">
            <w:pPr>
              <w:pStyle w:val="ENoteTableText"/>
              <w:tabs>
                <w:tab w:val="left" w:leader="dot" w:pos="2268"/>
              </w:tabs>
            </w:pPr>
            <w:r w:rsidRPr="00576D60">
              <w:t>r 7.9.16K</w:t>
            </w:r>
            <w:r w:rsidRPr="00576D60">
              <w:tab/>
            </w:r>
          </w:p>
        </w:tc>
        <w:tc>
          <w:tcPr>
            <w:tcW w:w="3500" w:type="pct"/>
            <w:shd w:val="clear" w:color="auto" w:fill="auto"/>
          </w:tcPr>
          <w:p w14:paraId="6C204058" w14:textId="77777777" w:rsidR="00E93F58" w:rsidRPr="00576D60" w:rsidRDefault="00E93F58" w:rsidP="003D2B1E">
            <w:pPr>
              <w:pStyle w:val="ENoteTableText"/>
            </w:pPr>
            <w:r w:rsidRPr="00576D60">
              <w:t>ad 2005 No 31</w:t>
            </w:r>
          </w:p>
        </w:tc>
      </w:tr>
      <w:tr w:rsidR="00E93F58" w:rsidRPr="00576D60" w14:paraId="02BA827C" w14:textId="77777777" w:rsidTr="002F32E3">
        <w:trPr>
          <w:cantSplit/>
        </w:trPr>
        <w:tc>
          <w:tcPr>
            <w:tcW w:w="1500" w:type="pct"/>
            <w:shd w:val="clear" w:color="auto" w:fill="auto"/>
          </w:tcPr>
          <w:p w14:paraId="4A2F6668" w14:textId="77777777" w:rsidR="00E93F58" w:rsidRPr="00576D60" w:rsidRDefault="00E93F58" w:rsidP="003D2B1E">
            <w:pPr>
              <w:pStyle w:val="ENoteTableText"/>
            </w:pPr>
          </w:p>
        </w:tc>
        <w:tc>
          <w:tcPr>
            <w:tcW w:w="3500" w:type="pct"/>
            <w:shd w:val="clear" w:color="auto" w:fill="auto"/>
          </w:tcPr>
          <w:p w14:paraId="17787202" w14:textId="77777777" w:rsidR="00E93F58" w:rsidRPr="00576D60" w:rsidRDefault="00E93F58" w:rsidP="003D2B1E">
            <w:pPr>
              <w:pStyle w:val="ENoteTableText"/>
            </w:pPr>
            <w:r w:rsidRPr="00576D60">
              <w:t>am 2005 No 139; F2022L00469</w:t>
            </w:r>
          </w:p>
        </w:tc>
      </w:tr>
      <w:tr w:rsidR="00E93F58" w:rsidRPr="00576D60" w14:paraId="2C3B8751" w14:textId="77777777" w:rsidTr="002F32E3">
        <w:trPr>
          <w:cantSplit/>
        </w:trPr>
        <w:tc>
          <w:tcPr>
            <w:tcW w:w="1500" w:type="pct"/>
            <w:shd w:val="clear" w:color="auto" w:fill="auto"/>
          </w:tcPr>
          <w:p w14:paraId="482C74A9" w14:textId="77777777" w:rsidR="00E93F58" w:rsidRPr="00576D60" w:rsidRDefault="00E93F58" w:rsidP="003D2B1E">
            <w:pPr>
              <w:pStyle w:val="ENoteTableText"/>
              <w:tabs>
                <w:tab w:val="left" w:leader="dot" w:pos="2268"/>
              </w:tabs>
              <w:rPr>
                <w:b/>
              </w:rPr>
            </w:pPr>
            <w:r>
              <w:rPr>
                <w:b/>
              </w:rPr>
              <w:t>Subdivision 4</w:t>
            </w:r>
            <w:r w:rsidRPr="00576D60">
              <w:rPr>
                <w:b/>
              </w:rPr>
              <w:t>C.2</w:t>
            </w:r>
          </w:p>
        </w:tc>
        <w:tc>
          <w:tcPr>
            <w:tcW w:w="3500" w:type="pct"/>
            <w:shd w:val="clear" w:color="auto" w:fill="auto"/>
          </w:tcPr>
          <w:p w14:paraId="6C845847" w14:textId="77777777" w:rsidR="00E93F58" w:rsidRPr="00576D60" w:rsidRDefault="00E93F58" w:rsidP="003D2B1E">
            <w:pPr>
              <w:pStyle w:val="ENoteTableText"/>
            </w:pPr>
          </w:p>
        </w:tc>
      </w:tr>
      <w:tr w:rsidR="00E93F58" w:rsidRPr="00576D60" w14:paraId="2C637183" w14:textId="77777777" w:rsidTr="002F32E3">
        <w:trPr>
          <w:cantSplit/>
        </w:trPr>
        <w:tc>
          <w:tcPr>
            <w:tcW w:w="1500" w:type="pct"/>
            <w:shd w:val="clear" w:color="auto" w:fill="auto"/>
          </w:tcPr>
          <w:p w14:paraId="02C2FB15" w14:textId="77777777" w:rsidR="00E93F58" w:rsidRPr="00576D60" w:rsidRDefault="00E93F58" w:rsidP="003D2B1E">
            <w:pPr>
              <w:pStyle w:val="ENoteTableText"/>
              <w:tabs>
                <w:tab w:val="left" w:leader="dot" w:pos="2268"/>
              </w:tabs>
            </w:pPr>
            <w:r w:rsidRPr="00576D60">
              <w:t>r 7.9.16L</w:t>
            </w:r>
            <w:r w:rsidRPr="00576D60">
              <w:tab/>
            </w:r>
          </w:p>
        </w:tc>
        <w:tc>
          <w:tcPr>
            <w:tcW w:w="3500" w:type="pct"/>
            <w:shd w:val="clear" w:color="auto" w:fill="auto"/>
          </w:tcPr>
          <w:p w14:paraId="0D270124" w14:textId="77777777" w:rsidR="00E93F58" w:rsidRPr="00576D60" w:rsidRDefault="00E93F58" w:rsidP="003D2B1E">
            <w:pPr>
              <w:pStyle w:val="ENoteTableText"/>
            </w:pPr>
            <w:r w:rsidRPr="00576D60">
              <w:t xml:space="preserve">ad </w:t>
            </w:r>
            <w:r>
              <w:t>No 31, 2005</w:t>
            </w:r>
          </w:p>
        </w:tc>
      </w:tr>
      <w:tr w:rsidR="00E93F58" w:rsidRPr="00576D60" w14:paraId="728F17B7" w14:textId="77777777" w:rsidTr="002F32E3">
        <w:trPr>
          <w:cantSplit/>
        </w:trPr>
        <w:tc>
          <w:tcPr>
            <w:tcW w:w="1500" w:type="pct"/>
            <w:shd w:val="clear" w:color="auto" w:fill="auto"/>
          </w:tcPr>
          <w:p w14:paraId="7E06783B" w14:textId="77777777" w:rsidR="00E93F58" w:rsidRPr="00576D60" w:rsidRDefault="00E93F58" w:rsidP="003D2B1E">
            <w:pPr>
              <w:pStyle w:val="ENoteTableText"/>
            </w:pPr>
          </w:p>
        </w:tc>
        <w:tc>
          <w:tcPr>
            <w:tcW w:w="3500" w:type="pct"/>
            <w:shd w:val="clear" w:color="auto" w:fill="auto"/>
          </w:tcPr>
          <w:p w14:paraId="593F7597" w14:textId="77777777" w:rsidR="00E93F58" w:rsidRPr="00576D60" w:rsidRDefault="00E93F58" w:rsidP="003D2B1E">
            <w:pPr>
              <w:pStyle w:val="ENoteTableText"/>
            </w:pPr>
            <w:r w:rsidRPr="00576D60">
              <w:t xml:space="preserve">am </w:t>
            </w:r>
            <w:r>
              <w:t>No 135, 2010</w:t>
            </w:r>
            <w:r w:rsidRPr="00576D60">
              <w:t xml:space="preserve">; F2022L00469 (Sch 3 </w:t>
            </w:r>
            <w:r>
              <w:t>items 1</w:t>
            </w:r>
            <w:r w:rsidRPr="00576D60">
              <w:t>2, 13 md not incorp)</w:t>
            </w:r>
            <w:r>
              <w:t>; F2023L01458</w:t>
            </w:r>
          </w:p>
        </w:tc>
      </w:tr>
      <w:tr w:rsidR="00E93F58" w:rsidRPr="00576D60" w14:paraId="64CE61FC" w14:textId="77777777" w:rsidTr="002F32E3">
        <w:trPr>
          <w:cantSplit/>
        </w:trPr>
        <w:tc>
          <w:tcPr>
            <w:tcW w:w="1500" w:type="pct"/>
            <w:shd w:val="clear" w:color="auto" w:fill="auto"/>
          </w:tcPr>
          <w:p w14:paraId="768DBCF7" w14:textId="77777777" w:rsidR="00E93F58" w:rsidRPr="00576D60" w:rsidRDefault="00E93F58" w:rsidP="003D2B1E">
            <w:pPr>
              <w:pStyle w:val="ENoteTableText"/>
              <w:tabs>
                <w:tab w:val="left" w:leader="dot" w:pos="2268"/>
              </w:tabs>
            </w:pPr>
            <w:r w:rsidRPr="00576D60">
              <w:t>r. 7.9.16M</w:t>
            </w:r>
            <w:r w:rsidRPr="00576D60">
              <w:tab/>
            </w:r>
          </w:p>
        </w:tc>
        <w:tc>
          <w:tcPr>
            <w:tcW w:w="3500" w:type="pct"/>
            <w:shd w:val="clear" w:color="auto" w:fill="auto"/>
          </w:tcPr>
          <w:p w14:paraId="369748BE" w14:textId="77777777" w:rsidR="00E93F58" w:rsidRPr="00576D60" w:rsidRDefault="00E93F58" w:rsidP="003D2B1E">
            <w:pPr>
              <w:pStyle w:val="ENoteTableText"/>
            </w:pPr>
            <w:r w:rsidRPr="00576D60">
              <w:t>ad. 2005 No. 31</w:t>
            </w:r>
          </w:p>
        </w:tc>
      </w:tr>
      <w:tr w:rsidR="00E93F58" w:rsidRPr="00576D60" w14:paraId="77614698" w14:textId="77777777" w:rsidTr="002F32E3">
        <w:trPr>
          <w:cantSplit/>
        </w:trPr>
        <w:tc>
          <w:tcPr>
            <w:tcW w:w="1500" w:type="pct"/>
            <w:shd w:val="clear" w:color="auto" w:fill="auto"/>
          </w:tcPr>
          <w:p w14:paraId="5C91ECE4" w14:textId="77777777" w:rsidR="00E93F58" w:rsidRPr="00576D60" w:rsidRDefault="00E93F58" w:rsidP="003D2B1E">
            <w:pPr>
              <w:pStyle w:val="ENoteTableText"/>
              <w:tabs>
                <w:tab w:val="left" w:leader="dot" w:pos="2268"/>
              </w:tabs>
            </w:pPr>
            <w:r w:rsidRPr="00576D60">
              <w:lastRenderedPageBreak/>
              <w:t>r. 7.9.16N</w:t>
            </w:r>
            <w:r w:rsidRPr="00576D60">
              <w:tab/>
            </w:r>
          </w:p>
        </w:tc>
        <w:tc>
          <w:tcPr>
            <w:tcW w:w="3500" w:type="pct"/>
            <w:shd w:val="clear" w:color="auto" w:fill="auto"/>
          </w:tcPr>
          <w:p w14:paraId="6539D9B1" w14:textId="77777777" w:rsidR="00E93F58" w:rsidRPr="00576D60" w:rsidRDefault="00E93F58" w:rsidP="003D2B1E">
            <w:pPr>
              <w:pStyle w:val="ENoteTableText"/>
            </w:pPr>
            <w:r w:rsidRPr="00576D60">
              <w:t>ad. 2005 No. 31</w:t>
            </w:r>
          </w:p>
        </w:tc>
      </w:tr>
      <w:tr w:rsidR="00E93F58" w:rsidRPr="00576D60" w14:paraId="19BB446C" w14:textId="77777777" w:rsidTr="002F32E3">
        <w:trPr>
          <w:cantSplit/>
        </w:trPr>
        <w:tc>
          <w:tcPr>
            <w:tcW w:w="1500" w:type="pct"/>
            <w:shd w:val="clear" w:color="auto" w:fill="auto"/>
          </w:tcPr>
          <w:p w14:paraId="69DE399D" w14:textId="77777777" w:rsidR="00E93F58" w:rsidRPr="00576D60" w:rsidRDefault="00E93F58" w:rsidP="003D2B1E">
            <w:pPr>
              <w:pStyle w:val="ENoteTableText"/>
              <w:tabs>
                <w:tab w:val="left" w:leader="dot" w:pos="2268"/>
              </w:tabs>
              <w:rPr>
                <w:b/>
              </w:rPr>
            </w:pPr>
            <w:r>
              <w:rPr>
                <w:b/>
              </w:rPr>
              <w:t>Subdivision 4</w:t>
            </w:r>
            <w:r w:rsidRPr="00576D60">
              <w:rPr>
                <w:b/>
              </w:rPr>
              <w:t>C.3</w:t>
            </w:r>
          </w:p>
        </w:tc>
        <w:tc>
          <w:tcPr>
            <w:tcW w:w="3500" w:type="pct"/>
            <w:shd w:val="clear" w:color="auto" w:fill="auto"/>
          </w:tcPr>
          <w:p w14:paraId="0D553ABE" w14:textId="77777777" w:rsidR="00E93F58" w:rsidRPr="00576D60" w:rsidRDefault="00E93F58" w:rsidP="003D2B1E">
            <w:pPr>
              <w:pStyle w:val="ENoteTableText"/>
              <w:keepNext/>
              <w:keepLines/>
            </w:pPr>
          </w:p>
        </w:tc>
      </w:tr>
      <w:tr w:rsidR="00E93F58" w:rsidRPr="00576D60" w14:paraId="27B6341F" w14:textId="77777777" w:rsidTr="002F32E3">
        <w:trPr>
          <w:cantSplit/>
        </w:trPr>
        <w:tc>
          <w:tcPr>
            <w:tcW w:w="1500" w:type="pct"/>
            <w:shd w:val="clear" w:color="auto" w:fill="auto"/>
          </w:tcPr>
          <w:p w14:paraId="403C9BF5" w14:textId="77777777" w:rsidR="00E93F58" w:rsidRPr="00576D60" w:rsidRDefault="00E93F58" w:rsidP="003D2B1E">
            <w:pPr>
              <w:pStyle w:val="ENoteTableText"/>
              <w:tabs>
                <w:tab w:val="left" w:leader="dot" w:pos="2268"/>
              </w:tabs>
            </w:pPr>
            <w:r w:rsidRPr="00576D60">
              <w:t>r. 7.9.16O</w:t>
            </w:r>
            <w:r w:rsidRPr="00576D60">
              <w:tab/>
            </w:r>
          </w:p>
        </w:tc>
        <w:tc>
          <w:tcPr>
            <w:tcW w:w="3500" w:type="pct"/>
            <w:shd w:val="clear" w:color="auto" w:fill="auto"/>
          </w:tcPr>
          <w:p w14:paraId="7037CCBC" w14:textId="77777777" w:rsidR="00E93F58" w:rsidRPr="00576D60" w:rsidRDefault="00E93F58" w:rsidP="003D2B1E">
            <w:pPr>
              <w:pStyle w:val="ENoteTableText"/>
            </w:pPr>
            <w:r w:rsidRPr="00576D60">
              <w:t>ad. 2005 No. 31</w:t>
            </w:r>
          </w:p>
        </w:tc>
      </w:tr>
      <w:tr w:rsidR="00E93F58" w:rsidRPr="00576D60" w14:paraId="3411D8D7" w14:textId="77777777" w:rsidTr="002F32E3">
        <w:trPr>
          <w:cantSplit/>
        </w:trPr>
        <w:tc>
          <w:tcPr>
            <w:tcW w:w="1500" w:type="pct"/>
            <w:shd w:val="clear" w:color="auto" w:fill="auto"/>
          </w:tcPr>
          <w:p w14:paraId="13FA4B6D" w14:textId="77777777" w:rsidR="00E93F58" w:rsidRPr="00576D60" w:rsidRDefault="00E93F58" w:rsidP="003D2B1E">
            <w:pPr>
              <w:pStyle w:val="ENoteTableText"/>
              <w:keepNext/>
              <w:keepLines/>
              <w:tabs>
                <w:tab w:val="left" w:leader="dot" w:pos="2268"/>
              </w:tabs>
              <w:rPr>
                <w:b/>
              </w:rPr>
            </w:pPr>
            <w:r w:rsidRPr="00576D60">
              <w:rPr>
                <w:b/>
              </w:rPr>
              <w:t>Division 4D</w:t>
            </w:r>
          </w:p>
        </w:tc>
        <w:tc>
          <w:tcPr>
            <w:tcW w:w="3500" w:type="pct"/>
            <w:shd w:val="clear" w:color="auto" w:fill="auto"/>
          </w:tcPr>
          <w:p w14:paraId="042C56FD" w14:textId="77777777" w:rsidR="00E93F58" w:rsidRPr="00576D60" w:rsidRDefault="00E93F58" w:rsidP="003D2B1E">
            <w:pPr>
              <w:pStyle w:val="ENoteTableText"/>
              <w:keepNext/>
              <w:keepLines/>
            </w:pPr>
          </w:p>
        </w:tc>
      </w:tr>
      <w:tr w:rsidR="00E93F58" w:rsidRPr="00576D60" w14:paraId="546235A4" w14:textId="77777777" w:rsidTr="002F32E3">
        <w:trPr>
          <w:cantSplit/>
        </w:trPr>
        <w:tc>
          <w:tcPr>
            <w:tcW w:w="1500" w:type="pct"/>
            <w:shd w:val="clear" w:color="auto" w:fill="auto"/>
          </w:tcPr>
          <w:p w14:paraId="2BB87B09" w14:textId="77777777" w:rsidR="00E93F58" w:rsidRPr="00576D60" w:rsidRDefault="00E93F58" w:rsidP="003D2B1E">
            <w:pPr>
              <w:pStyle w:val="ENoteTableText"/>
              <w:tabs>
                <w:tab w:val="left" w:leader="dot" w:pos="2268"/>
              </w:tabs>
            </w:pPr>
            <w:r w:rsidRPr="00576D60">
              <w:t>Division 4D</w:t>
            </w:r>
            <w:r w:rsidRPr="00576D60">
              <w:tab/>
            </w:r>
          </w:p>
        </w:tc>
        <w:tc>
          <w:tcPr>
            <w:tcW w:w="3500" w:type="pct"/>
            <w:shd w:val="clear" w:color="auto" w:fill="auto"/>
          </w:tcPr>
          <w:p w14:paraId="5F54D452" w14:textId="77777777" w:rsidR="00E93F58" w:rsidRPr="00576D60" w:rsidRDefault="00E93F58" w:rsidP="003D2B1E">
            <w:pPr>
              <w:pStyle w:val="ENoteTableText"/>
            </w:pPr>
            <w:r w:rsidRPr="00576D60">
              <w:t>ad. 2007 No. 324</w:t>
            </w:r>
          </w:p>
        </w:tc>
      </w:tr>
      <w:tr w:rsidR="00E93F58" w:rsidRPr="00576D60" w14:paraId="497F5FA9" w14:textId="77777777" w:rsidTr="002F32E3">
        <w:trPr>
          <w:cantSplit/>
        </w:trPr>
        <w:tc>
          <w:tcPr>
            <w:tcW w:w="1500" w:type="pct"/>
            <w:shd w:val="clear" w:color="auto" w:fill="auto"/>
          </w:tcPr>
          <w:p w14:paraId="56B0A4FA" w14:textId="77777777" w:rsidR="00E93F58" w:rsidRPr="00576D60" w:rsidRDefault="00E93F58" w:rsidP="003D2B1E">
            <w:pPr>
              <w:pStyle w:val="ENoteTableText"/>
              <w:tabs>
                <w:tab w:val="left" w:leader="dot" w:pos="2268"/>
              </w:tabs>
              <w:rPr>
                <w:b/>
              </w:rPr>
            </w:pPr>
            <w:r>
              <w:rPr>
                <w:b/>
              </w:rPr>
              <w:t>Subdivision 4</w:t>
            </w:r>
            <w:r w:rsidRPr="00576D60">
              <w:rPr>
                <w:b/>
              </w:rPr>
              <w:t>D.1</w:t>
            </w:r>
          </w:p>
        </w:tc>
        <w:tc>
          <w:tcPr>
            <w:tcW w:w="3500" w:type="pct"/>
            <w:shd w:val="clear" w:color="auto" w:fill="auto"/>
          </w:tcPr>
          <w:p w14:paraId="51B5E0D6" w14:textId="77777777" w:rsidR="00E93F58" w:rsidRPr="00576D60" w:rsidRDefault="00E93F58" w:rsidP="003D2B1E">
            <w:pPr>
              <w:pStyle w:val="ENoteTableText"/>
            </w:pPr>
          </w:p>
        </w:tc>
      </w:tr>
      <w:tr w:rsidR="00E93F58" w:rsidRPr="00576D60" w14:paraId="746913D9" w14:textId="77777777" w:rsidTr="002F32E3">
        <w:trPr>
          <w:cantSplit/>
        </w:trPr>
        <w:tc>
          <w:tcPr>
            <w:tcW w:w="1500" w:type="pct"/>
            <w:shd w:val="clear" w:color="auto" w:fill="auto"/>
          </w:tcPr>
          <w:p w14:paraId="3685C224" w14:textId="77777777" w:rsidR="00E93F58" w:rsidRPr="00576D60" w:rsidRDefault="00E93F58" w:rsidP="003D2B1E">
            <w:pPr>
              <w:pStyle w:val="ENoteTableText"/>
              <w:tabs>
                <w:tab w:val="left" w:leader="dot" w:pos="2268"/>
              </w:tabs>
            </w:pPr>
            <w:r w:rsidRPr="00576D60">
              <w:t>r 7.9.16T</w:t>
            </w:r>
            <w:r w:rsidRPr="00576D60">
              <w:tab/>
            </w:r>
          </w:p>
        </w:tc>
        <w:tc>
          <w:tcPr>
            <w:tcW w:w="3500" w:type="pct"/>
            <w:shd w:val="clear" w:color="auto" w:fill="auto"/>
          </w:tcPr>
          <w:p w14:paraId="4475C08F" w14:textId="77777777" w:rsidR="00E93F58" w:rsidRPr="00576D60" w:rsidRDefault="00E93F58" w:rsidP="003D2B1E">
            <w:pPr>
              <w:pStyle w:val="ENoteTableText"/>
            </w:pPr>
            <w:r w:rsidRPr="00576D60">
              <w:t>ad. 2007 No. 324</w:t>
            </w:r>
          </w:p>
        </w:tc>
      </w:tr>
      <w:tr w:rsidR="00E93F58" w:rsidRPr="00576D60" w14:paraId="20CF8324" w14:textId="77777777" w:rsidTr="002F32E3">
        <w:trPr>
          <w:cantSplit/>
        </w:trPr>
        <w:tc>
          <w:tcPr>
            <w:tcW w:w="1500" w:type="pct"/>
            <w:shd w:val="clear" w:color="auto" w:fill="auto"/>
          </w:tcPr>
          <w:p w14:paraId="7E2B6D3B" w14:textId="77777777" w:rsidR="00E93F58" w:rsidRPr="00576D60" w:rsidRDefault="00E93F58" w:rsidP="003D2B1E">
            <w:pPr>
              <w:pStyle w:val="ENoteTableText"/>
              <w:keepNext/>
              <w:keepLines/>
              <w:tabs>
                <w:tab w:val="left" w:leader="dot" w:pos="2268"/>
              </w:tabs>
              <w:rPr>
                <w:b/>
              </w:rPr>
            </w:pPr>
            <w:r w:rsidRPr="00576D60">
              <w:rPr>
                <w:b/>
              </w:rPr>
              <w:t>Division 5</w:t>
            </w:r>
          </w:p>
        </w:tc>
        <w:tc>
          <w:tcPr>
            <w:tcW w:w="3500" w:type="pct"/>
            <w:shd w:val="clear" w:color="auto" w:fill="auto"/>
          </w:tcPr>
          <w:p w14:paraId="630A64F2" w14:textId="77777777" w:rsidR="00E93F58" w:rsidRPr="00576D60" w:rsidRDefault="00E93F58" w:rsidP="003D2B1E">
            <w:pPr>
              <w:pStyle w:val="ENoteTableText"/>
              <w:keepNext/>
              <w:keepLines/>
            </w:pPr>
          </w:p>
        </w:tc>
      </w:tr>
      <w:tr w:rsidR="00E93F58" w:rsidRPr="00576D60" w14:paraId="5654EB69" w14:textId="77777777" w:rsidTr="002F32E3">
        <w:trPr>
          <w:cantSplit/>
        </w:trPr>
        <w:tc>
          <w:tcPr>
            <w:tcW w:w="1500" w:type="pct"/>
            <w:shd w:val="clear" w:color="auto" w:fill="auto"/>
          </w:tcPr>
          <w:p w14:paraId="53E6ACC8" w14:textId="77777777" w:rsidR="00E93F58" w:rsidRPr="00576D60" w:rsidRDefault="00E93F58" w:rsidP="003D2B1E">
            <w:pPr>
              <w:pStyle w:val="ENoteTableText"/>
              <w:keepNext/>
              <w:keepLines/>
              <w:tabs>
                <w:tab w:val="left" w:leader="dot" w:pos="2268"/>
              </w:tabs>
              <w:rPr>
                <w:b/>
              </w:rPr>
            </w:pPr>
            <w:r>
              <w:rPr>
                <w:b/>
              </w:rPr>
              <w:t>Subdivision 5</w:t>
            </w:r>
            <w:r w:rsidRPr="00576D60">
              <w:rPr>
                <w:b/>
              </w:rPr>
              <w:t>.1</w:t>
            </w:r>
          </w:p>
        </w:tc>
        <w:tc>
          <w:tcPr>
            <w:tcW w:w="3500" w:type="pct"/>
            <w:shd w:val="clear" w:color="auto" w:fill="auto"/>
          </w:tcPr>
          <w:p w14:paraId="537F510B" w14:textId="77777777" w:rsidR="00E93F58" w:rsidRPr="00576D60" w:rsidRDefault="00E93F58" w:rsidP="003D2B1E">
            <w:pPr>
              <w:pStyle w:val="ENoteTableText"/>
              <w:keepNext/>
              <w:keepLines/>
            </w:pPr>
          </w:p>
        </w:tc>
      </w:tr>
      <w:tr w:rsidR="00E93F58" w:rsidRPr="00576D60" w14:paraId="5C9517ED" w14:textId="77777777" w:rsidTr="002F32E3">
        <w:trPr>
          <w:cantSplit/>
        </w:trPr>
        <w:tc>
          <w:tcPr>
            <w:tcW w:w="1500" w:type="pct"/>
            <w:shd w:val="clear" w:color="auto" w:fill="auto"/>
          </w:tcPr>
          <w:p w14:paraId="12D801E0" w14:textId="77777777" w:rsidR="00E93F58" w:rsidRPr="00576D60" w:rsidRDefault="00E93F58" w:rsidP="003D2B1E">
            <w:pPr>
              <w:pStyle w:val="ENoteTableText"/>
              <w:tabs>
                <w:tab w:val="left" w:leader="dot" w:pos="2268"/>
              </w:tabs>
            </w:pPr>
            <w:r w:rsidRPr="00576D60">
              <w:t>r. 7.9.17</w:t>
            </w:r>
            <w:r w:rsidRPr="00576D60">
              <w:tab/>
            </w:r>
          </w:p>
        </w:tc>
        <w:tc>
          <w:tcPr>
            <w:tcW w:w="3500" w:type="pct"/>
            <w:shd w:val="clear" w:color="auto" w:fill="auto"/>
          </w:tcPr>
          <w:p w14:paraId="03CCA2FB" w14:textId="77777777" w:rsidR="00E93F58" w:rsidRPr="00576D60" w:rsidRDefault="00E93F58" w:rsidP="003D2B1E">
            <w:pPr>
              <w:pStyle w:val="ENoteTableText"/>
            </w:pPr>
            <w:r w:rsidRPr="00576D60">
              <w:t>ad. 2001 No. 319</w:t>
            </w:r>
          </w:p>
        </w:tc>
      </w:tr>
      <w:tr w:rsidR="00E93F58" w:rsidRPr="00576D60" w14:paraId="0B2FC636" w14:textId="77777777" w:rsidTr="002F32E3">
        <w:trPr>
          <w:cantSplit/>
        </w:trPr>
        <w:tc>
          <w:tcPr>
            <w:tcW w:w="1500" w:type="pct"/>
            <w:shd w:val="clear" w:color="auto" w:fill="auto"/>
          </w:tcPr>
          <w:p w14:paraId="5EC3C765" w14:textId="77777777" w:rsidR="00E93F58" w:rsidRPr="00576D60" w:rsidRDefault="00E93F58" w:rsidP="003D2B1E">
            <w:pPr>
              <w:pStyle w:val="ENoteTableText"/>
              <w:tabs>
                <w:tab w:val="left" w:leader="dot" w:pos="2268"/>
              </w:tabs>
              <w:rPr>
                <w:b/>
              </w:rPr>
            </w:pPr>
            <w:r>
              <w:rPr>
                <w:b/>
              </w:rPr>
              <w:t>Subdivision 5</w:t>
            </w:r>
            <w:r w:rsidRPr="00576D60">
              <w:rPr>
                <w:b/>
              </w:rPr>
              <w:t>.2</w:t>
            </w:r>
          </w:p>
        </w:tc>
        <w:tc>
          <w:tcPr>
            <w:tcW w:w="3500" w:type="pct"/>
            <w:shd w:val="clear" w:color="auto" w:fill="auto"/>
          </w:tcPr>
          <w:p w14:paraId="17C567E7" w14:textId="77777777" w:rsidR="00E93F58" w:rsidRPr="00576D60" w:rsidRDefault="00E93F58" w:rsidP="003D2B1E">
            <w:pPr>
              <w:pStyle w:val="ENoteTableText"/>
            </w:pPr>
          </w:p>
        </w:tc>
      </w:tr>
      <w:tr w:rsidR="00E93F58" w:rsidRPr="00576D60" w14:paraId="0C96DC23" w14:textId="77777777" w:rsidTr="002F32E3">
        <w:trPr>
          <w:cantSplit/>
        </w:trPr>
        <w:tc>
          <w:tcPr>
            <w:tcW w:w="1500" w:type="pct"/>
            <w:shd w:val="clear" w:color="auto" w:fill="auto"/>
          </w:tcPr>
          <w:p w14:paraId="42D3CF6C" w14:textId="77777777" w:rsidR="00E93F58" w:rsidRPr="00576D60" w:rsidRDefault="00E93F58" w:rsidP="003D2B1E">
            <w:pPr>
              <w:pStyle w:val="ENoteTableText"/>
              <w:tabs>
                <w:tab w:val="left" w:leader="dot" w:pos="2268"/>
              </w:tabs>
            </w:pPr>
            <w:r>
              <w:t>Subdivision 5.2 heading</w:t>
            </w:r>
            <w:r>
              <w:tab/>
            </w:r>
          </w:p>
        </w:tc>
        <w:tc>
          <w:tcPr>
            <w:tcW w:w="3500" w:type="pct"/>
            <w:shd w:val="clear" w:color="auto" w:fill="auto"/>
          </w:tcPr>
          <w:p w14:paraId="52C938DA" w14:textId="77777777" w:rsidR="00E93F58" w:rsidRPr="00576D60" w:rsidRDefault="00E93F58" w:rsidP="003D2B1E">
            <w:pPr>
              <w:pStyle w:val="ENoteTableText"/>
            </w:pPr>
            <w:r>
              <w:t>am F2023L01458</w:t>
            </w:r>
          </w:p>
        </w:tc>
      </w:tr>
      <w:tr w:rsidR="00E93F58" w:rsidRPr="00576D60" w14:paraId="64A5D257" w14:textId="77777777" w:rsidTr="002F32E3">
        <w:trPr>
          <w:cantSplit/>
        </w:trPr>
        <w:tc>
          <w:tcPr>
            <w:tcW w:w="1500" w:type="pct"/>
            <w:shd w:val="clear" w:color="auto" w:fill="auto"/>
          </w:tcPr>
          <w:p w14:paraId="1287F57F" w14:textId="77777777" w:rsidR="00E93F58" w:rsidRPr="00576D60" w:rsidRDefault="00E93F58" w:rsidP="003D2B1E">
            <w:pPr>
              <w:pStyle w:val="ENoteTableText"/>
              <w:tabs>
                <w:tab w:val="left" w:leader="dot" w:pos="2268"/>
              </w:tabs>
            </w:pPr>
            <w:r w:rsidRPr="00576D60">
              <w:t>r. 7.9.18</w:t>
            </w:r>
            <w:r w:rsidRPr="00576D60">
              <w:tab/>
            </w:r>
          </w:p>
        </w:tc>
        <w:tc>
          <w:tcPr>
            <w:tcW w:w="3500" w:type="pct"/>
            <w:shd w:val="clear" w:color="auto" w:fill="auto"/>
          </w:tcPr>
          <w:p w14:paraId="04E1C742" w14:textId="77777777" w:rsidR="00E93F58" w:rsidRPr="00576D60" w:rsidRDefault="00E93F58" w:rsidP="003D2B1E">
            <w:pPr>
              <w:pStyle w:val="ENoteTableText"/>
            </w:pPr>
            <w:r w:rsidRPr="00576D60">
              <w:t>ad. 2001 No. 319</w:t>
            </w:r>
          </w:p>
        </w:tc>
      </w:tr>
      <w:tr w:rsidR="00E93F58" w:rsidRPr="00576D60" w14:paraId="36D9EC46" w14:textId="77777777" w:rsidTr="002F32E3">
        <w:trPr>
          <w:cantSplit/>
        </w:trPr>
        <w:tc>
          <w:tcPr>
            <w:tcW w:w="1500" w:type="pct"/>
            <w:shd w:val="clear" w:color="auto" w:fill="auto"/>
          </w:tcPr>
          <w:p w14:paraId="4883499E" w14:textId="77777777" w:rsidR="00E93F58" w:rsidRPr="00576D60" w:rsidRDefault="00E93F58" w:rsidP="003D2B1E">
            <w:pPr>
              <w:pStyle w:val="ENoteTableText"/>
              <w:tabs>
                <w:tab w:val="left" w:leader="dot" w:pos="2268"/>
              </w:tabs>
            </w:pPr>
            <w:r w:rsidRPr="00576D60">
              <w:t>r 7.9.19</w:t>
            </w:r>
            <w:r w:rsidRPr="00576D60">
              <w:tab/>
            </w:r>
          </w:p>
        </w:tc>
        <w:tc>
          <w:tcPr>
            <w:tcW w:w="3500" w:type="pct"/>
            <w:shd w:val="clear" w:color="auto" w:fill="auto"/>
          </w:tcPr>
          <w:p w14:paraId="6FAC0F75" w14:textId="77777777" w:rsidR="00E93F58" w:rsidRPr="00576D60" w:rsidRDefault="00E93F58" w:rsidP="003D2B1E">
            <w:pPr>
              <w:pStyle w:val="ENoteTableText"/>
            </w:pPr>
            <w:r w:rsidRPr="00576D60">
              <w:t>ad No 319, 2001</w:t>
            </w:r>
          </w:p>
        </w:tc>
      </w:tr>
      <w:tr w:rsidR="00E93F58" w:rsidRPr="00576D60" w14:paraId="6E216E41" w14:textId="77777777" w:rsidTr="002F32E3">
        <w:trPr>
          <w:cantSplit/>
        </w:trPr>
        <w:tc>
          <w:tcPr>
            <w:tcW w:w="1500" w:type="pct"/>
            <w:shd w:val="clear" w:color="auto" w:fill="auto"/>
          </w:tcPr>
          <w:p w14:paraId="6149FB24" w14:textId="77777777" w:rsidR="00E93F58" w:rsidRPr="00576D60" w:rsidRDefault="00E93F58" w:rsidP="003D2B1E">
            <w:pPr>
              <w:pStyle w:val="ENoteTableText"/>
            </w:pPr>
          </w:p>
        </w:tc>
        <w:tc>
          <w:tcPr>
            <w:tcW w:w="3500" w:type="pct"/>
            <w:shd w:val="clear" w:color="auto" w:fill="auto"/>
          </w:tcPr>
          <w:p w14:paraId="6E347961" w14:textId="77777777" w:rsidR="00E93F58" w:rsidRPr="00576D60" w:rsidRDefault="00E93F58" w:rsidP="003D2B1E">
            <w:pPr>
              <w:pStyle w:val="ENoteTableText"/>
            </w:pPr>
            <w:r w:rsidRPr="00576D60">
              <w:t>am No 16, 2002; No 282, 2003; No 149, 2004; F2019L01641</w:t>
            </w:r>
            <w:r>
              <w:t>; F2023L01458</w:t>
            </w:r>
          </w:p>
        </w:tc>
      </w:tr>
      <w:tr w:rsidR="00E93F58" w:rsidRPr="00576D60" w14:paraId="50A599C5" w14:textId="77777777" w:rsidTr="002F32E3">
        <w:trPr>
          <w:cantSplit/>
        </w:trPr>
        <w:tc>
          <w:tcPr>
            <w:tcW w:w="1500" w:type="pct"/>
            <w:shd w:val="clear" w:color="auto" w:fill="auto"/>
          </w:tcPr>
          <w:p w14:paraId="138FA2BC" w14:textId="77777777" w:rsidR="00E93F58" w:rsidRPr="00576D60" w:rsidRDefault="00E93F58" w:rsidP="003D2B1E">
            <w:pPr>
              <w:pStyle w:val="ENoteTableText"/>
              <w:tabs>
                <w:tab w:val="left" w:leader="dot" w:pos="2268"/>
              </w:tabs>
            </w:pPr>
            <w:r w:rsidRPr="00576D60">
              <w:t>r. 7.9.19A</w:t>
            </w:r>
            <w:r w:rsidRPr="00576D60">
              <w:tab/>
            </w:r>
          </w:p>
        </w:tc>
        <w:tc>
          <w:tcPr>
            <w:tcW w:w="3500" w:type="pct"/>
            <w:shd w:val="clear" w:color="auto" w:fill="auto"/>
          </w:tcPr>
          <w:p w14:paraId="0862C82A" w14:textId="77777777" w:rsidR="00E93F58" w:rsidRPr="00576D60" w:rsidRDefault="00E93F58" w:rsidP="003D2B1E">
            <w:pPr>
              <w:pStyle w:val="ENoteTableText"/>
            </w:pPr>
            <w:r w:rsidRPr="00576D60">
              <w:t>ad. 2004 No. 149</w:t>
            </w:r>
          </w:p>
        </w:tc>
      </w:tr>
      <w:tr w:rsidR="00E93F58" w:rsidRPr="00576D60" w14:paraId="560E2A31" w14:textId="77777777" w:rsidTr="002F32E3">
        <w:trPr>
          <w:cantSplit/>
        </w:trPr>
        <w:tc>
          <w:tcPr>
            <w:tcW w:w="1500" w:type="pct"/>
            <w:shd w:val="clear" w:color="auto" w:fill="auto"/>
          </w:tcPr>
          <w:p w14:paraId="7C090257" w14:textId="77777777" w:rsidR="00E93F58" w:rsidRPr="00576D60" w:rsidRDefault="00E93F58" w:rsidP="003D2B1E">
            <w:pPr>
              <w:pStyle w:val="ENoteTableText"/>
              <w:tabs>
                <w:tab w:val="left" w:leader="dot" w:pos="2268"/>
              </w:tabs>
            </w:pPr>
            <w:r w:rsidRPr="00576D60">
              <w:t>r. 7.9.19B</w:t>
            </w:r>
            <w:r w:rsidRPr="00576D60">
              <w:tab/>
            </w:r>
          </w:p>
        </w:tc>
        <w:tc>
          <w:tcPr>
            <w:tcW w:w="3500" w:type="pct"/>
            <w:shd w:val="clear" w:color="auto" w:fill="auto"/>
          </w:tcPr>
          <w:p w14:paraId="00ABB367" w14:textId="77777777" w:rsidR="00E93F58" w:rsidRPr="00576D60" w:rsidRDefault="00E93F58" w:rsidP="003D2B1E">
            <w:pPr>
              <w:pStyle w:val="ENoteTableText"/>
            </w:pPr>
            <w:r w:rsidRPr="00576D60">
              <w:t>ad. 2004 No. 149</w:t>
            </w:r>
          </w:p>
        </w:tc>
      </w:tr>
      <w:tr w:rsidR="00E93F58" w:rsidRPr="00576D60" w14:paraId="67D7023F" w14:textId="77777777" w:rsidTr="002F32E3">
        <w:trPr>
          <w:cantSplit/>
        </w:trPr>
        <w:tc>
          <w:tcPr>
            <w:tcW w:w="1500" w:type="pct"/>
            <w:shd w:val="clear" w:color="auto" w:fill="auto"/>
          </w:tcPr>
          <w:p w14:paraId="78758758" w14:textId="77777777" w:rsidR="00E93F58" w:rsidRPr="00576D60" w:rsidRDefault="00E93F58" w:rsidP="003D2B1E">
            <w:pPr>
              <w:pStyle w:val="ENoteTableText"/>
              <w:tabs>
                <w:tab w:val="left" w:leader="dot" w:pos="2268"/>
              </w:tabs>
            </w:pPr>
            <w:r w:rsidRPr="00576D60">
              <w:t>r 7.9.20</w:t>
            </w:r>
            <w:r w:rsidRPr="00576D60">
              <w:tab/>
            </w:r>
          </w:p>
        </w:tc>
        <w:tc>
          <w:tcPr>
            <w:tcW w:w="3500" w:type="pct"/>
            <w:shd w:val="clear" w:color="auto" w:fill="auto"/>
          </w:tcPr>
          <w:p w14:paraId="4FD635B3" w14:textId="77777777" w:rsidR="00E93F58" w:rsidRPr="00576D60" w:rsidRDefault="00E93F58" w:rsidP="003D2B1E">
            <w:pPr>
              <w:pStyle w:val="ENoteTableText"/>
            </w:pPr>
            <w:r w:rsidRPr="00576D60">
              <w:t>ad No 319, 2001</w:t>
            </w:r>
          </w:p>
        </w:tc>
      </w:tr>
      <w:tr w:rsidR="00E93F58" w:rsidRPr="00576D60" w14:paraId="3E448817" w14:textId="77777777" w:rsidTr="002F32E3">
        <w:trPr>
          <w:cantSplit/>
        </w:trPr>
        <w:tc>
          <w:tcPr>
            <w:tcW w:w="1500" w:type="pct"/>
            <w:shd w:val="clear" w:color="auto" w:fill="auto"/>
          </w:tcPr>
          <w:p w14:paraId="3E7E0C25" w14:textId="77777777" w:rsidR="00E93F58" w:rsidRPr="00576D60" w:rsidRDefault="00E93F58" w:rsidP="003D2B1E">
            <w:pPr>
              <w:pStyle w:val="ENoteTableText"/>
            </w:pPr>
          </w:p>
        </w:tc>
        <w:tc>
          <w:tcPr>
            <w:tcW w:w="3500" w:type="pct"/>
            <w:shd w:val="clear" w:color="auto" w:fill="auto"/>
          </w:tcPr>
          <w:p w14:paraId="04A4B871" w14:textId="77777777" w:rsidR="00E93F58" w:rsidRPr="00576D60" w:rsidRDefault="00E93F58" w:rsidP="003D2B1E">
            <w:pPr>
              <w:pStyle w:val="ENoteTableText"/>
            </w:pPr>
            <w:r w:rsidRPr="00576D60">
              <w:t>am No 16, 2002; No 202, 2003; No 282, 2003; No 10, 2004; No 149, 2004; No 52, 2009; No 155, 2013; No 202, 2013; No 39, 2015; F2017L00321</w:t>
            </w:r>
          </w:p>
        </w:tc>
      </w:tr>
      <w:tr w:rsidR="00E93F58" w:rsidRPr="00576D60" w14:paraId="3376CCF0" w14:textId="77777777" w:rsidTr="002F32E3">
        <w:trPr>
          <w:cantSplit/>
        </w:trPr>
        <w:tc>
          <w:tcPr>
            <w:tcW w:w="1500" w:type="pct"/>
            <w:shd w:val="clear" w:color="auto" w:fill="auto"/>
          </w:tcPr>
          <w:p w14:paraId="6625A74E" w14:textId="77777777" w:rsidR="00E93F58" w:rsidRPr="00576D60" w:rsidRDefault="00E93F58" w:rsidP="003D2B1E">
            <w:pPr>
              <w:pStyle w:val="ENoteTableText"/>
              <w:tabs>
                <w:tab w:val="left" w:leader="dot" w:pos="2268"/>
              </w:tabs>
            </w:pPr>
            <w:r w:rsidRPr="00576D60">
              <w:t>r 7.9.20AA</w:t>
            </w:r>
            <w:r w:rsidRPr="00576D60">
              <w:tab/>
            </w:r>
          </w:p>
        </w:tc>
        <w:tc>
          <w:tcPr>
            <w:tcW w:w="3500" w:type="pct"/>
            <w:shd w:val="clear" w:color="auto" w:fill="auto"/>
          </w:tcPr>
          <w:p w14:paraId="4D904A14" w14:textId="77777777" w:rsidR="00E93F58" w:rsidRPr="00576D60" w:rsidRDefault="00E93F58" w:rsidP="003D2B1E">
            <w:pPr>
              <w:pStyle w:val="ENoteTableText"/>
            </w:pPr>
            <w:r w:rsidRPr="00576D60">
              <w:t>ad 2009 No 52</w:t>
            </w:r>
          </w:p>
        </w:tc>
      </w:tr>
      <w:tr w:rsidR="00E93F58" w:rsidRPr="00576D60" w14:paraId="25DF8B76" w14:textId="77777777" w:rsidTr="002F32E3">
        <w:trPr>
          <w:cantSplit/>
        </w:trPr>
        <w:tc>
          <w:tcPr>
            <w:tcW w:w="1500" w:type="pct"/>
            <w:shd w:val="clear" w:color="auto" w:fill="auto"/>
          </w:tcPr>
          <w:p w14:paraId="6FA0EDB3" w14:textId="77777777" w:rsidR="00E93F58" w:rsidRPr="00576D60" w:rsidRDefault="00E93F58" w:rsidP="003D2B1E">
            <w:pPr>
              <w:pStyle w:val="ENoteTableText"/>
              <w:tabs>
                <w:tab w:val="left" w:leader="dot" w:pos="2268"/>
              </w:tabs>
            </w:pPr>
          </w:p>
        </w:tc>
        <w:tc>
          <w:tcPr>
            <w:tcW w:w="3500" w:type="pct"/>
            <w:shd w:val="clear" w:color="auto" w:fill="auto"/>
          </w:tcPr>
          <w:p w14:paraId="0BCBD60E" w14:textId="77777777" w:rsidR="00E93F58" w:rsidRPr="00576D60" w:rsidRDefault="00E93F58" w:rsidP="003D2B1E">
            <w:pPr>
              <w:pStyle w:val="ENoteTableText"/>
            </w:pPr>
            <w:r w:rsidRPr="00576D60">
              <w:t>am F2021L01841</w:t>
            </w:r>
          </w:p>
        </w:tc>
      </w:tr>
      <w:tr w:rsidR="00E93F58" w:rsidRPr="00576D60" w14:paraId="540F32D8" w14:textId="77777777" w:rsidTr="002F32E3">
        <w:trPr>
          <w:cantSplit/>
        </w:trPr>
        <w:tc>
          <w:tcPr>
            <w:tcW w:w="1500" w:type="pct"/>
            <w:shd w:val="clear" w:color="auto" w:fill="auto"/>
          </w:tcPr>
          <w:p w14:paraId="0BF60670" w14:textId="77777777" w:rsidR="00E93F58" w:rsidRPr="00576D60" w:rsidRDefault="00E93F58" w:rsidP="003D2B1E">
            <w:pPr>
              <w:pStyle w:val="ENoteTableText"/>
              <w:tabs>
                <w:tab w:val="left" w:leader="dot" w:pos="2268"/>
              </w:tabs>
            </w:pPr>
            <w:r w:rsidRPr="00576D60">
              <w:t>r. 7.9.20A</w:t>
            </w:r>
            <w:r w:rsidRPr="00576D60">
              <w:tab/>
            </w:r>
          </w:p>
        </w:tc>
        <w:tc>
          <w:tcPr>
            <w:tcW w:w="3500" w:type="pct"/>
            <w:shd w:val="clear" w:color="auto" w:fill="auto"/>
          </w:tcPr>
          <w:p w14:paraId="78619E9F" w14:textId="77777777" w:rsidR="00E93F58" w:rsidRPr="00576D60" w:rsidRDefault="00E93F58" w:rsidP="003D2B1E">
            <w:pPr>
              <w:pStyle w:val="ENoteTableText"/>
            </w:pPr>
            <w:r w:rsidRPr="00576D60">
              <w:t>ad. 2004 No. 149</w:t>
            </w:r>
          </w:p>
        </w:tc>
      </w:tr>
      <w:tr w:rsidR="00E93F58" w:rsidRPr="00576D60" w14:paraId="0105922A" w14:textId="77777777" w:rsidTr="002F32E3">
        <w:trPr>
          <w:cantSplit/>
        </w:trPr>
        <w:tc>
          <w:tcPr>
            <w:tcW w:w="1500" w:type="pct"/>
            <w:shd w:val="clear" w:color="auto" w:fill="auto"/>
          </w:tcPr>
          <w:p w14:paraId="661E76B0" w14:textId="77777777" w:rsidR="00E93F58" w:rsidRPr="00576D60" w:rsidRDefault="00E93F58" w:rsidP="003D2B1E">
            <w:pPr>
              <w:pStyle w:val="ENoteTableText"/>
              <w:tabs>
                <w:tab w:val="left" w:leader="dot" w:pos="2268"/>
              </w:tabs>
            </w:pPr>
            <w:r w:rsidRPr="00576D60">
              <w:t>r. 7.9.20B</w:t>
            </w:r>
            <w:r w:rsidRPr="00576D60">
              <w:tab/>
            </w:r>
          </w:p>
        </w:tc>
        <w:tc>
          <w:tcPr>
            <w:tcW w:w="3500" w:type="pct"/>
            <w:shd w:val="clear" w:color="auto" w:fill="auto"/>
          </w:tcPr>
          <w:p w14:paraId="39BC1F32" w14:textId="77777777" w:rsidR="00E93F58" w:rsidRPr="00576D60" w:rsidRDefault="00E93F58" w:rsidP="003D2B1E">
            <w:pPr>
              <w:pStyle w:val="ENoteTableText"/>
            </w:pPr>
            <w:r w:rsidRPr="00576D60">
              <w:t>ad. 2004 No. 149</w:t>
            </w:r>
          </w:p>
        </w:tc>
      </w:tr>
      <w:tr w:rsidR="00E93F58" w:rsidRPr="00576D60" w14:paraId="05081E29" w14:textId="77777777" w:rsidTr="002F32E3">
        <w:trPr>
          <w:cantSplit/>
        </w:trPr>
        <w:tc>
          <w:tcPr>
            <w:tcW w:w="1500" w:type="pct"/>
            <w:shd w:val="clear" w:color="auto" w:fill="auto"/>
          </w:tcPr>
          <w:p w14:paraId="4DC5164C" w14:textId="77777777" w:rsidR="00E93F58" w:rsidRPr="00576D60" w:rsidRDefault="00E93F58" w:rsidP="003D2B1E">
            <w:pPr>
              <w:pStyle w:val="ENoteTableText"/>
              <w:tabs>
                <w:tab w:val="left" w:leader="dot" w:pos="2268"/>
              </w:tabs>
            </w:pPr>
            <w:r w:rsidRPr="00576D60">
              <w:t>r. 7.9.21</w:t>
            </w:r>
            <w:r w:rsidRPr="00576D60">
              <w:tab/>
            </w:r>
          </w:p>
        </w:tc>
        <w:tc>
          <w:tcPr>
            <w:tcW w:w="3500" w:type="pct"/>
            <w:shd w:val="clear" w:color="auto" w:fill="auto"/>
          </w:tcPr>
          <w:p w14:paraId="1CF52E90" w14:textId="77777777" w:rsidR="00E93F58" w:rsidRPr="00576D60" w:rsidRDefault="00E93F58" w:rsidP="003D2B1E">
            <w:pPr>
              <w:pStyle w:val="ENoteTableText"/>
            </w:pPr>
            <w:r w:rsidRPr="00576D60">
              <w:t>ad. 2001 No. 319</w:t>
            </w:r>
          </w:p>
        </w:tc>
      </w:tr>
      <w:tr w:rsidR="00E93F58" w:rsidRPr="00576D60" w14:paraId="63E05824" w14:textId="77777777" w:rsidTr="002F32E3">
        <w:trPr>
          <w:cantSplit/>
        </w:trPr>
        <w:tc>
          <w:tcPr>
            <w:tcW w:w="1500" w:type="pct"/>
            <w:shd w:val="clear" w:color="auto" w:fill="auto"/>
          </w:tcPr>
          <w:p w14:paraId="2379C830" w14:textId="77777777" w:rsidR="00E93F58" w:rsidRPr="00576D60" w:rsidRDefault="00E93F58" w:rsidP="003D2B1E">
            <w:pPr>
              <w:pStyle w:val="ENoteTableText"/>
              <w:tabs>
                <w:tab w:val="left" w:leader="dot" w:pos="2268"/>
              </w:tabs>
            </w:pPr>
            <w:r w:rsidRPr="00576D60">
              <w:t>r. 7.9.22</w:t>
            </w:r>
            <w:r w:rsidRPr="00576D60">
              <w:tab/>
            </w:r>
          </w:p>
        </w:tc>
        <w:tc>
          <w:tcPr>
            <w:tcW w:w="3500" w:type="pct"/>
            <w:shd w:val="clear" w:color="auto" w:fill="auto"/>
          </w:tcPr>
          <w:p w14:paraId="1201A33F" w14:textId="77777777" w:rsidR="00E93F58" w:rsidRPr="00576D60" w:rsidRDefault="00E93F58" w:rsidP="003D2B1E">
            <w:pPr>
              <w:pStyle w:val="ENoteTableText"/>
            </w:pPr>
            <w:r w:rsidRPr="00576D60">
              <w:t>ad. 2001 No. 319</w:t>
            </w:r>
          </w:p>
        </w:tc>
      </w:tr>
      <w:tr w:rsidR="00E93F58" w:rsidRPr="00576D60" w14:paraId="2CC533B3" w14:textId="77777777" w:rsidTr="002F32E3">
        <w:trPr>
          <w:cantSplit/>
        </w:trPr>
        <w:tc>
          <w:tcPr>
            <w:tcW w:w="1500" w:type="pct"/>
            <w:shd w:val="clear" w:color="auto" w:fill="auto"/>
          </w:tcPr>
          <w:p w14:paraId="30A23605" w14:textId="77777777" w:rsidR="00E93F58" w:rsidRPr="00576D60" w:rsidRDefault="00E93F58" w:rsidP="003D2B1E">
            <w:pPr>
              <w:pStyle w:val="ENoteTableText"/>
              <w:tabs>
                <w:tab w:val="left" w:leader="dot" w:pos="2268"/>
              </w:tabs>
            </w:pPr>
            <w:r w:rsidRPr="00576D60">
              <w:t>r. 7.9.23</w:t>
            </w:r>
            <w:r w:rsidRPr="00576D60">
              <w:tab/>
            </w:r>
          </w:p>
        </w:tc>
        <w:tc>
          <w:tcPr>
            <w:tcW w:w="3500" w:type="pct"/>
            <w:shd w:val="clear" w:color="auto" w:fill="auto"/>
          </w:tcPr>
          <w:p w14:paraId="59FF2898" w14:textId="77777777" w:rsidR="00E93F58" w:rsidRPr="00576D60" w:rsidRDefault="00E93F58" w:rsidP="003D2B1E">
            <w:pPr>
              <w:pStyle w:val="ENoteTableText"/>
            </w:pPr>
            <w:r w:rsidRPr="00576D60">
              <w:t>ad. 2001 No. 319</w:t>
            </w:r>
          </w:p>
        </w:tc>
      </w:tr>
      <w:tr w:rsidR="00E93F58" w:rsidRPr="00576D60" w14:paraId="1DCC3DB0" w14:textId="77777777" w:rsidTr="002F32E3">
        <w:trPr>
          <w:cantSplit/>
        </w:trPr>
        <w:tc>
          <w:tcPr>
            <w:tcW w:w="1500" w:type="pct"/>
            <w:shd w:val="clear" w:color="auto" w:fill="auto"/>
          </w:tcPr>
          <w:p w14:paraId="245D23C2" w14:textId="77777777" w:rsidR="00E93F58" w:rsidRPr="00576D60" w:rsidRDefault="00E93F58" w:rsidP="003D2B1E">
            <w:pPr>
              <w:pStyle w:val="ENoteTableText"/>
              <w:tabs>
                <w:tab w:val="left" w:leader="dot" w:pos="2268"/>
              </w:tabs>
            </w:pPr>
            <w:r w:rsidRPr="00576D60">
              <w:t>r. 7.9.24</w:t>
            </w:r>
            <w:r w:rsidRPr="00576D60">
              <w:tab/>
            </w:r>
          </w:p>
        </w:tc>
        <w:tc>
          <w:tcPr>
            <w:tcW w:w="3500" w:type="pct"/>
            <w:shd w:val="clear" w:color="auto" w:fill="auto"/>
          </w:tcPr>
          <w:p w14:paraId="24319921" w14:textId="77777777" w:rsidR="00E93F58" w:rsidRPr="00576D60" w:rsidRDefault="00E93F58" w:rsidP="003D2B1E">
            <w:pPr>
              <w:pStyle w:val="ENoteTableText"/>
            </w:pPr>
            <w:r w:rsidRPr="00576D60">
              <w:t>ad. 2001 No. 319</w:t>
            </w:r>
          </w:p>
        </w:tc>
      </w:tr>
      <w:tr w:rsidR="00E93F58" w:rsidRPr="00576D60" w14:paraId="4ABDD0A5" w14:textId="77777777" w:rsidTr="002F32E3">
        <w:trPr>
          <w:cantSplit/>
        </w:trPr>
        <w:tc>
          <w:tcPr>
            <w:tcW w:w="1500" w:type="pct"/>
            <w:shd w:val="clear" w:color="auto" w:fill="auto"/>
          </w:tcPr>
          <w:p w14:paraId="3F675357" w14:textId="77777777" w:rsidR="00E93F58" w:rsidRPr="00576D60" w:rsidRDefault="00E93F58" w:rsidP="003D2B1E">
            <w:pPr>
              <w:pStyle w:val="ENoteTableText"/>
              <w:tabs>
                <w:tab w:val="left" w:leader="dot" w:pos="2268"/>
              </w:tabs>
              <w:rPr>
                <w:b/>
              </w:rPr>
            </w:pPr>
            <w:r>
              <w:rPr>
                <w:b/>
              </w:rPr>
              <w:t>Subdivision 5</w:t>
            </w:r>
            <w:r w:rsidRPr="00576D60">
              <w:rPr>
                <w:b/>
              </w:rPr>
              <w:t>.3</w:t>
            </w:r>
          </w:p>
        </w:tc>
        <w:tc>
          <w:tcPr>
            <w:tcW w:w="3500" w:type="pct"/>
            <w:shd w:val="clear" w:color="auto" w:fill="auto"/>
          </w:tcPr>
          <w:p w14:paraId="79F5189A" w14:textId="77777777" w:rsidR="00E93F58" w:rsidRPr="00576D60" w:rsidRDefault="00E93F58" w:rsidP="003D2B1E">
            <w:pPr>
              <w:pStyle w:val="ENoteTableText"/>
              <w:keepNext/>
              <w:keepLines/>
            </w:pPr>
          </w:p>
        </w:tc>
      </w:tr>
      <w:tr w:rsidR="00E93F58" w:rsidRPr="00576D60" w14:paraId="52DB1E8C" w14:textId="77777777" w:rsidTr="002F32E3">
        <w:trPr>
          <w:cantSplit/>
        </w:trPr>
        <w:tc>
          <w:tcPr>
            <w:tcW w:w="1500" w:type="pct"/>
            <w:shd w:val="clear" w:color="auto" w:fill="auto"/>
          </w:tcPr>
          <w:p w14:paraId="6EFA17CA" w14:textId="77777777" w:rsidR="00E93F58" w:rsidRPr="00576D60" w:rsidRDefault="00E93F58" w:rsidP="003D2B1E">
            <w:pPr>
              <w:pStyle w:val="ENoteTableText"/>
              <w:tabs>
                <w:tab w:val="left" w:leader="dot" w:pos="2268"/>
              </w:tabs>
            </w:pPr>
            <w:r w:rsidRPr="00576D60">
              <w:t>r. 7.9.25</w:t>
            </w:r>
            <w:r w:rsidRPr="00576D60">
              <w:tab/>
            </w:r>
          </w:p>
        </w:tc>
        <w:tc>
          <w:tcPr>
            <w:tcW w:w="3500" w:type="pct"/>
            <w:shd w:val="clear" w:color="auto" w:fill="auto"/>
          </w:tcPr>
          <w:p w14:paraId="0B6F9606" w14:textId="77777777" w:rsidR="00E93F58" w:rsidRPr="00576D60" w:rsidRDefault="00E93F58" w:rsidP="003D2B1E">
            <w:pPr>
              <w:pStyle w:val="ENoteTableText"/>
            </w:pPr>
            <w:r w:rsidRPr="00576D60">
              <w:t>ad. 2001 No. 319</w:t>
            </w:r>
          </w:p>
        </w:tc>
      </w:tr>
      <w:tr w:rsidR="00E93F58" w:rsidRPr="00576D60" w14:paraId="2DD4C48A" w14:textId="77777777" w:rsidTr="002F32E3">
        <w:trPr>
          <w:cantSplit/>
        </w:trPr>
        <w:tc>
          <w:tcPr>
            <w:tcW w:w="1500" w:type="pct"/>
            <w:shd w:val="clear" w:color="auto" w:fill="auto"/>
          </w:tcPr>
          <w:p w14:paraId="3B2FCDCE" w14:textId="77777777" w:rsidR="00E93F58" w:rsidRPr="00576D60" w:rsidRDefault="00E93F58" w:rsidP="003D2B1E">
            <w:pPr>
              <w:pStyle w:val="ENoteTableText"/>
              <w:tabs>
                <w:tab w:val="left" w:leader="dot" w:pos="2268"/>
              </w:tabs>
            </w:pPr>
            <w:r w:rsidRPr="00576D60">
              <w:t>r. 7.9.26</w:t>
            </w:r>
            <w:r w:rsidRPr="00576D60">
              <w:tab/>
            </w:r>
          </w:p>
        </w:tc>
        <w:tc>
          <w:tcPr>
            <w:tcW w:w="3500" w:type="pct"/>
            <w:shd w:val="clear" w:color="auto" w:fill="auto"/>
          </w:tcPr>
          <w:p w14:paraId="33F735B9" w14:textId="77777777" w:rsidR="00E93F58" w:rsidRPr="00576D60" w:rsidRDefault="00E93F58" w:rsidP="003D2B1E">
            <w:pPr>
              <w:pStyle w:val="ENoteTableText"/>
            </w:pPr>
            <w:r w:rsidRPr="00576D60">
              <w:t>ad. 2001 No. 319</w:t>
            </w:r>
          </w:p>
        </w:tc>
      </w:tr>
      <w:tr w:rsidR="00E93F58" w:rsidRPr="00576D60" w14:paraId="2C2DE5DD" w14:textId="77777777" w:rsidTr="002F32E3">
        <w:trPr>
          <w:cantSplit/>
        </w:trPr>
        <w:tc>
          <w:tcPr>
            <w:tcW w:w="1500" w:type="pct"/>
            <w:shd w:val="clear" w:color="auto" w:fill="auto"/>
          </w:tcPr>
          <w:p w14:paraId="56849CCD" w14:textId="77777777" w:rsidR="00E93F58" w:rsidRPr="00576D60" w:rsidRDefault="00E93F58" w:rsidP="003D2B1E">
            <w:pPr>
              <w:pStyle w:val="ENoteTableText"/>
            </w:pPr>
          </w:p>
        </w:tc>
        <w:tc>
          <w:tcPr>
            <w:tcW w:w="3500" w:type="pct"/>
            <w:shd w:val="clear" w:color="auto" w:fill="auto"/>
          </w:tcPr>
          <w:p w14:paraId="388046EE" w14:textId="77777777" w:rsidR="00E93F58" w:rsidRPr="00576D60" w:rsidRDefault="00E93F58" w:rsidP="003D2B1E">
            <w:pPr>
              <w:pStyle w:val="ENoteTableText"/>
            </w:pPr>
            <w:r w:rsidRPr="00576D60">
              <w:t>am. 2002 No. 16; 2004 No. 10</w:t>
            </w:r>
          </w:p>
        </w:tc>
      </w:tr>
      <w:tr w:rsidR="00E93F58" w:rsidRPr="00576D60" w14:paraId="465A1D85" w14:textId="77777777" w:rsidTr="002F32E3">
        <w:trPr>
          <w:cantSplit/>
        </w:trPr>
        <w:tc>
          <w:tcPr>
            <w:tcW w:w="1500" w:type="pct"/>
            <w:shd w:val="clear" w:color="auto" w:fill="auto"/>
          </w:tcPr>
          <w:p w14:paraId="77D81B1C" w14:textId="77777777" w:rsidR="00E93F58" w:rsidRPr="00576D60" w:rsidRDefault="00E93F58" w:rsidP="003D2B1E">
            <w:pPr>
              <w:pStyle w:val="ENoteTableText"/>
              <w:tabs>
                <w:tab w:val="left" w:leader="dot" w:pos="2268"/>
              </w:tabs>
            </w:pPr>
            <w:r w:rsidRPr="00576D60">
              <w:t>r. 7.9.27</w:t>
            </w:r>
            <w:r w:rsidRPr="00576D60">
              <w:tab/>
            </w:r>
          </w:p>
        </w:tc>
        <w:tc>
          <w:tcPr>
            <w:tcW w:w="3500" w:type="pct"/>
            <w:shd w:val="clear" w:color="auto" w:fill="auto"/>
          </w:tcPr>
          <w:p w14:paraId="3894FA7B" w14:textId="77777777" w:rsidR="00E93F58" w:rsidRPr="00576D60" w:rsidRDefault="00E93F58" w:rsidP="003D2B1E">
            <w:pPr>
              <w:pStyle w:val="ENoteTableText"/>
            </w:pPr>
            <w:r w:rsidRPr="00576D60">
              <w:t>ad. 2001 No. 319</w:t>
            </w:r>
          </w:p>
        </w:tc>
      </w:tr>
      <w:tr w:rsidR="00E93F58" w:rsidRPr="00576D60" w14:paraId="4306F854" w14:textId="77777777" w:rsidTr="002F32E3">
        <w:trPr>
          <w:cantSplit/>
        </w:trPr>
        <w:tc>
          <w:tcPr>
            <w:tcW w:w="1500" w:type="pct"/>
            <w:shd w:val="clear" w:color="auto" w:fill="auto"/>
          </w:tcPr>
          <w:p w14:paraId="0A2B532F" w14:textId="77777777" w:rsidR="00E93F58" w:rsidRPr="00576D60" w:rsidRDefault="00E93F58" w:rsidP="003D2B1E">
            <w:pPr>
              <w:pStyle w:val="ENoteTableText"/>
              <w:tabs>
                <w:tab w:val="left" w:leader="dot" w:pos="2268"/>
              </w:tabs>
            </w:pPr>
            <w:r w:rsidRPr="00576D60">
              <w:t>r. 7.9.28</w:t>
            </w:r>
            <w:r w:rsidRPr="00576D60">
              <w:tab/>
            </w:r>
          </w:p>
        </w:tc>
        <w:tc>
          <w:tcPr>
            <w:tcW w:w="3500" w:type="pct"/>
            <w:shd w:val="clear" w:color="auto" w:fill="auto"/>
          </w:tcPr>
          <w:p w14:paraId="3B22D9B6" w14:textId="77777777" w:rsidR="00E93F58" w:rsidRPr="00576D60" w:rsidRDefault="00E93F58" w:rsidP="003D2B1E">
            <w:pPr>
              <w:pStyle w:val="ENoteTableText"/>
            </w:pPr>
            <w:r w:rsidRPr="00576D60">
              <w:t>ad. 2001 No. 319</w:t>
            </w:r>
          </w:p>
        </w:tc>
      </w:tr>
      <w:tr w:rsidR="00E93F58" w:rsidRPr="00576D60" w14:paraId="0B0885AA" w14:textId="77777777" w:rsidTr="002F32E3">
        <w:trPr>
          <w:cantSplit/>
        </w:trPr>
        <w:tc>
          <w:tcPr>
            <w:tcW w:w="1500" w:type="pct"/>
            <w:shd w:val="clear" w:color="auto" w:fill="auto"/>
          </w:tcPr>
          <w:p w14:paraId="7D7186DA" w14:textId="77777777" w:rsidR="00E93F58" w:rsidRPr="00576D60" w:rsidRDefault="00E93F58" w:rsidP="003D2B1E">
            <w:pPr>
              <w:pStyle w:val="ENoteTableText"/>
            </w:pPr>
          </w:p>
        </w:tc>
        <w:tc>
          <w:tcPr>
            <w:tcW w:w="3500" w:type="pct"/>
            <w:shd w:val="clear" w:color="auto" w:fill="auto"/>
          </w:tcPr>
          <w:p w14:paraId="074F5F52" w14:textId="77777777" w:rsidR="00E93F58" w:rsidRPr="00576D60" w:rsidRDefault="00E93F58" w:rsidP="003D2B1E">
            <w:pPr>
              <w:pStyle w:val="ENoteTableText"/>
            </w:pPr>
            <w:r w:rsidRPr="00576D60">
              <w:t>am. 2002 No. 16</w:t>
            </w:r>
          </w:p>
        </w:tc>
      </w:tr>
      <w:tr w:rsidR="00E93F58" w:rsidRPr="00576D60" w14:paraId="070F6B88" w14:textId="77777777" w:rsidTr="002F32E3">
        <w:trPr>
          <w:cantSplit/>
        </w:trPr>
        <w:tc>
          <w:tcPr>
            <w:tcW w:w="1500" w:type="pct"/>
            <w:shd w:val="clear" w:color="auto" w:fill="auto"/>
          </w:tcPr>
          <w:p w14:paraId="60FC7910" w14:textId="77777777" w:rsidR="00E93F58" w:rsidRPr="00576D60" w:rsidRDefault="00E93F58" w:rsidP="003D2B1E">
            <w:pPr>
              <w:pStyle w:val="ENoteTableText"/>
              <w:keepNext/>
              <w:keepLines/>
              <w:tabs>
                <w:tab w:val="left" w:leader="dot" w:pos="2268"/>
              </w:tabs>
              <w:rPr>
                <w:b/>
              </w:rPr>
            </w:pPr>
            <w:r>
              <w:rPr>
                <w:b/>
              </w:rPr>
              <w:t>Subdivision 5</w:t>
            </w:r>
            <w:r w:rsidRPr="00576D60">
              <w:rPr>
                <w:b/>
              </w:rPr>
              <w:t>.4</w:t>
            </w:r>
          </w:p>
        </w:tc>
        <w:tc>
          <w:tcPr>
            <w:tcW w:w="3500" w:type="pct"/>
            <w:shd w:val="clear" w:color="auto" w:fill="auto"/>
          </w:tcPr>
          <w:p w14:paraId="50BD3E64" w14:textId="77777777" w:rsidR="00E93F58" w:rsidRPr="00576D60" w:rsidRDefault="00E93F58" w:rsidP="003D2B1E">
            <w:pPr>
              <w:pStyle w:val="ENoteTableText"/>
              <w:keepNext/>
              <w:keepLines/>
            </w:pPr>
          </w:p>
        </w:tc>
      </w:tr>
      <w:tr w:rsidR="00E93F58" w:rsidRPr="00576D60" w14:paraId="1908DA29" w14:textId="77777777" w:rsidTr="002F32E3">
        <w:trPr>
          <w:cantSplit/>
        </w:trPr>
        <w:tc>
          <w:tcPr>
            <w:tcW w:w="1500" w:type="pct"/>
            <w:shd w:val="clear" w:color="auto" w:fill="auto"/>
          </w:tcPr>
          <w:p w14:paraId="759CF4C7" w14:textId="77777777" w:rsidR="00E93F58" w:rsidRPr="00576D60" w:rsidRDefault="00E93F58" w:rsidP="003D2B1E">
            <w:pPr>
              <w:pStyle w:val="ENoteTableText"/>
              <w:tabs>
                <w:tab w:val="left" w:leader="dot" w:pos="2268"/>
              </w:tabs>
            </w:pPr>
            <w:r>
              <w:t>Subdivision 5</w:t>
            </w:r>
            <w:r w:rsidRPr="00576D60">
              <w:t>.4 heading</w:t>
            </w:r>
            <w:r w:rsidRPr="00576D60">
              <w:tab/>
            </w:r>
          </w:p>
        </w:tc>
        <w:tc>
          <w:tcPr>
            <w:tcW w:w="3500" w:type="pct"/>
            <w:shd w:val="clear" w:color="auto" w:fill="auto"/>
          </w:tcPr>
          <w:p w14:paraId="21677539" w14:textId="77777777" w:rsidR="00E93F58" w:rsidRPr="00576D60" w:rsidRDefault="00E93F58" w:rsidP="003D2B1E">
            <w:pPr>
              <w:pStyle w:val="ENoteTableText"/>
            </w:pPr>
            <w:r w:rsidRPr="00576D60">
              <w:t>rs. 2002 No. 16</w:t>
            </w:r>
          </w:p>
        </w:tc>
      </w:tr>
      <w:tr w:rsidR="00E93F58" w:rsidRPr="00576D60" w14:paraId="13C37884" w14:textId="77777777" w:rsidTr="002F32E3">
        <w:trPr>
          <w:cantSplit/>
        </w:trPr>
        <w:tc>
          <w:tcPr>
            <w:tcW w:w="1500" w:type="pct"/>
            <w:shd w:val="clear" w:color="auto" w:fill="auto"/>
          </w:tcPr>
          <w:p w14:paraId="03A61131" w14:textId="77777777" w:rsidR="00E93F58" w:rsidRPr="00576D60" w:rsidRDefault="00E93F58" w:rsidP="003D2B1E">
            <w:pPr>
              <w:pStyle w:val="ENoteTableText"/>
              <w:tabs>
                <w:tab w:val="left" w:leader="dot" w:pos="2268"/>
              </w:tabs>
            </w:pPr>
            <w:r w:rsidRPr="00576D60">
              <w:t>r. 7.9.29</w:t>
            </w:r>
            <w:r w:rsidRPr="00576D60">
              <w:tab/>
            </w:r>
          </w:p>
        </w:tc>
        <w:tc>
          <w:tcPr>
            <w:tcW w:w="3500" w:type="pct"/>
            <w:shd w:val="clear" w:color="auto" w:fill="auto"/>
          </w:tcPr>
          <w:p w14:paraId="14EE446B" w14:textId="77777777" w:rsidR="00E93F58" w:rsidRPr="00576D60" w:rsidRDefault="00E93F58" w:rsidP="003D2B1E">
            <w:pPr>
              <w:pStyle w:val="ENoteTableText"/>
            </w:pPr>
            <w:r w:rsidRPr="00576D60">
              <w:t>ad. 2001 No. 319</w:t>
            </w:r>
          </w:p>
        </w:tc>
      </w:tr>
      <w:tr w:rsidR="00E93F58" w:rsidRPr="00576D60" w14:paraId="159D1B71" w14:textId="77777777" w:rsidTr="002F32E3">
        <w:trPr>
          <w:cantSplit/>
        </w:trPr>
        <w:tc>
          <w:tcPr>
            <w:tcW w:w="1500" w:type="pct"/>
            <w:shd w:val="clear" w:color="auto" w:fill="auto"/>
          </w:tcPr>
          <w:p w14:paraId="4CF329E8" w14:textId="77777777" w:rsidR="00E93F58" w:rsidRPr="00576D60" w:rsidRDefault="00E93F58" w:rsidP="003D2B1E">
            <w:pPr>
              <w:pStyle w:val="ENoteTableText"/>
              <w:tabs>
                <w:tab w:val="left" w:leader="dot" w:pos="2268"/>
              </w:tabs>
            </w:pPr>
            <w:r w:rsidRPr="00576D60">
              <w:t>r. 7.9.30</w:t>
            </w:r>
            <w:r w:rsidRPr="00576D60">
              <w:tab/>
            </w:r>
          </w:p>
        </w:tc>
        <w:tc>
          <w:tcPr>
            <w:tcW w:w="3500" w:type="pct"/>
            <w:shd w:val="clear" w:color="auto" w:fill="auto"/>
          </w:tcPr>
          <w:p w14:paraId="279B8DD6" w14:textId="77777777" w:rsidR="00E93F58" w:rsidRPr="00576D60" w:rsidRDefault="00E93F58" w:rsidP="003D2B1E">
            <w:pPr>
              <w:pStyle w:val="ENoteTableText"/>
            </w:pPr>
            <w:r w:rsidRPr="00576D60">
              <w:t>ad. 2001 No. 319</w:t>
            </w:r>
          </w:p>
        </w:tc>
      </w:tr>
      <w:tr w:rsidR="00E93F58" w:rsidRPr="00576D60" w14:paraId="174421C7" w14:textId="77777777" w:rsidTr="002F32E3">
        <w:trPr>
          <w:cantSplit/>
        </w:trPr>
        <w:tc>
          <w:tcPr>
            <w:tcW w:w="1500" w:type="pct"/>
            <w:shd w:val="clear" w:color="auto" w:fill="auto"/>
          </w:tcPr>
          <w:p w14:paraId="47328994" w14:textId="77777777" w:rsidR="00E93F58" w:rsidRPr="00576D60" w:rsidRDefault="00E93F58" w:rsidP="003D2B1E">
            <w:pPr>
              <w:pStyle w:val="ENoteTableText"/>
            </w:pPr>
          </w:p>
        </w:tc>
        <w:tc>
          <w:tcPr>
            <w:tcW w:w="3500" w:type="pct"/>
            <w:shd w:val="clear" w:color="auto" w:fill="auto"/>
          </w:tcPr>
          <w:p w14:paraId="78D4D033" w14:textId="77777777" w:rsidR="00E93F58" w:rsidRPr="00576D60" w:rsidRDefault="00E93F58" w:rsidP="003D2B1E">
            <w:pPr>
              <w:pStyle w:val="ENoteTableText"/>
            </w:pPr>
            <w:r w:rsidRPr="00576D60">
              <w:t>am. 2002 No. 16</w:t>
            </w:r>
          </w:p>
        </w:tc>
      </w:tr>
      <w:tr w:rsidR="00E93F58" w:rsidRPr="00576D60" w14:paraId="67F6EBBB" w14:textId="77777777" w:rsidTr="002F32E3">
        <w:trPr>
          <w:cantSplit/>
        </w:trPr>
        <w:tc>
          <w:tcPr>
            <w:tcW w:w="1500" w:type="pct"/>
            <w:shd w:val="clear" w:color="auto" w:fill="auto"/>
          </w:tcPr>
          <w:p w14:paraId="2BD07C7A" w14:textId="77777777" w:rsidR="00E93F58" w:rsidRPr="00576D60" w:rsidRDefault="00E93F58" w:rsidP="003D2B1E">
            <w:pPr>
              <w:pStyle w:val="ENoteTableText"/>
              <w:keepNext/>
              <w:tabs>
                <w:tab w:val="left" w:leader="dot" w:pos="2268"/>
              </w:tabs>
              <w:rPr>
                <w:b/>
              </w:rPr>
            </w:pPr>
            <w:r>
              <w:rPr>
                <w:b/>
              </w:rPr>
              <w:t>Subdivision 5</w:t>
            </w:r>
            <w:r w:rsidRPr="00576D60">
              <w:rPr>
                <w:b/>
              </w:rPr>
              <w:t>.4A</w:t>
            </w:r>
          </w:p>
        </w:tc>
        <w:tc>
          <w:tcPr>
            <w:tcW w:w="3500" w:type="pct"/>
            <w:shd w:val="clear" w:color="auto" w:fill="auto"/>
          </w:tcPr>
          <w:p w14:paraId="78441C19" w14:textId="77777777" w:rsidR="00E93F58" w:rsidRPr="00576D60" w:rsidRDefault="00E93F58" w:rsidP="003D2B1E">
            <w:pPr>
              <w:pStyle w:val="ENoteTableText"/>
            </w:pPr>
          </w:p>
        </w:tc>
      </w:tr>
      <w:tr w:rsidR="00E93F58" w:rsidRPr="00576D60" w14:paraId="210C2723" w14:textId="77777777" w:rsidTr="002F32E3">
        <w:trPr>
          <w:cantSplit/>
        </w:trPr>
        <w:tc>
          <w:tcPr>
            <w:tcW w:w="1500" w:type="pct"/>
            <w:shd w:val="clear" w:color="auto" w:fill="auto"/>
          </w:tcPr>
          <w:p w14:paraId="06BE607F" w14:textId="77777777" w:rsidR="00E93F58" w:rsidRPr="00576D60" w:rsidRDefault="00E93F58" w:rsidP="003D2B1E">
            <w:pPr>
              <w:pStyle w:val="ENoteTableText"/>
              <w:tabs>
                <w:tab w:val="left" w:leader="dot" w:pos="2268"/>
              </w:tabs>
            </w:pPr>
            <w:r>
              <w:t>Subdivision 5</w:t>
            </w:r>
            <w:r w:rsidRPr="00576D60">
              <w:t>.4A</w:t>
            </w:r>
            <w:r w:rsidRPr="00576D60">
              <w:tab/>
            </w:r>
          </w:p>
        </w:tc>
        <w:tc>
          <w:tcPr>
            <w:tcW w:w="3500" w:type="pct"/>
            <w:shd w:val="clear" w:color="auto" w:fill="auto"/>
          </w:tcPr>
          <w:p w14:paraId="50888967" w14:textId="77777777" w:rsidR="00E93F58" w:rsidRPr="00576D60" w:rsidRDefault="00E93F58" w:rsidP="003D2B1E">
            <w:pPr>
              <w:pStyle w:val="ENoteTableText"/>
            </w:pPr>
            <w:r w:rsidRPr="00576D60">
              <w:t>ad. 2010 No. 89</w:t>
            </w:r>
          </w:p>
        </w:tc>
      </w:tr>
      <w:tr w:rsidR="00E93F58" w:rsidRPr="00576D60" w14:paraId="05EB1636" w14:textId="77777777" w:rsidTr="002F32E3">
        <w:trPr>
          <w:cantSplit/>
        </w:trPr>
        <w:tc>
          <w:tcPr>
            <w:tcW w:w="1500" w:type="pct"/>
            <w:shd w:val="clear" w:color="auto" w:fill="auto"/>
          </w:tcPr>
          <w:p w14:paraId="6A4620B6" w14:textId="77777777" w:rsidR="00E93F58" w:rsidRPr="00576D60" w:rsidRDefault="00E93F58" w:rsidP="003D2B1E">
            <w:pPr>
              <w:pStyle w:val="ENoteTableText"/>
              <w:tabs>
                <w:tab w:val="left" w:leader="dot" w:pos="2268"/>
              </w:tabs>
            </w:pPr>
            <w:r w:rsidRPr="00576D60">
              <w:t>r 7.9.30A</w:t>
            </w:r>
            <w:r w:rsidRPr="00576D60">
              <w:tab/>
            </w:r>
          </w:p>
        </w:tc>
        <w:tc>
          <w:tcPr>
            <w:tcW w:w="3500" w:type="pct"/>
            <w:shd w:val="clear" w:color="auto" w:fill="auto"/>
          </w:tcPr>
          <w:p w14:paraId="1F61CC66" w14:textId="77777777" w:rsidR="00E93F58" w:rsidRPr="00576D60" w:rsidRDefault="00E93F58" w:rsidP="003D2B1E">
            <w:pPr>
              <w:pStyle w:val="ENoteTableText"/>
            </w:pPr>
            <w:r w:rsidRPr="00576D60">
              <w:t>ad</w:t>
            </w:r>
            <w:r>
              <w:t xml:space="preserve"> No 89, 2010</w:t>
            </w:r>
          </w:p>
        </w:tc>
      </w:tr>
      <w:tr w:rsidR="00E93F58" w:rsidRPr="00576D60" w14:paraId="50C93FF8" w14:textId="77777777" w:rsidTr="002F32E3">
        <w:trPr>
          <w:cantSplit/>
        </w:trPr>
        <w:tc>
          <w:tcPr>
            <w:tcW w:w="1500" w:type="pct"/>
            <w:shd w:val="clear" w:color="auto" w:fill="auto"/>
          </w:tcPr>
          <w:p w14:paraId="26BFCF17" w14:textId="77777777" w:rsidR="00E93F58" w:rsidRPr="00576D60" w:rsidRDefault="00E93F58" w:rsidP="003D2B1E">
            <w:pPr>
              <w:pStyle w:val="ENoteTableText"/>
              <w:tabs>
                <w:tab w:val="left" w:leader="dot" w:pos="2268"/>
              </w:tabs>
            </w:pPr>
          </w:p>
        </w:tc>
        <w:tc>
          <w:tcPr>
            <w:tcW w:w="3500" w:type="pct"/>
            <w:shd w:val="clear" w:color="auto" w:fill="auto"/>
          </w:tcPr>
          <w:p w14:paraId="2778650C" w14:textId="77777777" w:rsidR="00E93F58" w:rsidRPr="00576D60" w:rsidRDefault="00E93F58" w:rsidP="003D2B1E">
            <w:pPr>
              <w:pStyle w:val="ENoteTableText"/>
            </w:pPr>
            <w:r>
              <w:t>am F2023L01458</w:t>
            </w:r>
          </w:p>
        </w:tc>
      </w:tr>
      <w:tr w:rsidR="00E93F58" w:rsidRPr="00576D60" w14:paraId="7ADBA8BC" w14:textId="77777777" w:rsidTr="002F32E3">
        <w:trPr>
          <w:cantSplit/>
        </w:trPr>
        <w:tc>
          <w:tcPr>
            <w:tcW w:w="1500" w:type="pct"/>
            <w:shd w:val="clear" w:color="auto" w:fill="auto"/>
          </w:tcPr>
          <w:p w14:paraId="53A7F94A" w14:textId="77777777" w:rsidR="00E93F58" w:rsidRPr="00576D60" w:rsidRDefault="00E93F58" w:rsidP="003D2B1E">
            <w:pPr>
              <w:pStyle w:val="ENoteTableText"/>
              <w:tabs>
                <w:tab w:val="left" w:leader="dot" w:pos="2268"/>
              </w:tabs>
            </w:pPr>
            <w:r w:rsidRPr="00576D60">
              <w:t>r. 7.9.30B</w:t>
            </w:r>
            <w:r w:rsidRPr="00576D60">
              <w:tab/>
            </w:r>
          </w:p>
        </w:tc>
        <w:tc>
          <w:tcPr>
            <w:tcW w:w="3500" w:type="pct"/>
            <w:shd w:val="clear" w:color="auto" w:fill="auto"/>
          </w:tcPr>
          <w:p w14:paraId="6E1370CF" w14:textId="77777777" w:rsidR="00E93F58" w:rsidRPr="00576D60" w:rsidRDefault="00E93F58" w:rsidP="003D2B1E">
            <w:pPr>
              <w:pStyle w:val="ENoteTableText"/>
            </w:pPr>
            <w:r w:rsidRPr="00576D60">
              <w:t>ad. 2010 No. 89</w:t>
            </w:r>
          </w:p>
        </w:tc>
      </w:tr>
      <w:tr w:rsidR="00E93F58" w:rsidRPr="00576D60" w14:paraId="6943FFFE" w14:textId="77777777" w:rsidTr="002F32E3">
        <w:trPr>
          <w:cantSplit/>
        </w:trPr>
        <w:tc>
          <w:tcPr>
            <w:tcW w:w="1500" w:type="pct"/>
            <w:shd w:val="clear" w:color="auto" w:fill="auto"/>
          </w:tcPr>
          <w:p w14:paraId="57E53818" w14:textId="77777777" w:rsidR="00E93F58" w:rsidRPr="00576D60" w:rsidRDefault="00E93F58" w:rsidP="003D2B1E">
            <w:pPr>
              <w:pStyle w:val="ENoteTableText"/>
              <w:keepNext/>
              <w:tabs>
                <w:tab w:val="left" w:leader="dot" w:pos="2268"/>
              </w:tabs>
              <w:rPr>
                <w:b/>
              </w:rPr>
            </w:pPr>
            <w:r>
              <w:rPr>
                <w:b/>
              </w:rPr>
              <w:t>Subdivision 5</w:t>
            </w:r>
            <w:r w:rsidRPr="00576D60">
              <w:rPr>
                <w:b/>
              </w:rPr>
              <w:t>.5</w:t>
            </w:r>
          </w:p>
        </w:tc>
        <w:tc>
          <w:tcPr>
            <w:tcW w:w="3500" w:type="pct"/>
            <w:shd w:val="clear" w:color="auto" w:fill="auto"/>
          </w:tcPr>
          <w:p w14:paraId="0FA5DE0B" w14:textId="77777777" w:rsidR="00E93F58" w:rsidRPr="00576D60" w:rsidRDefault="00E93F58" w:rsidP="003D2B1E">
            <w:pPr>
              <w:pStyle w:val="ENoteTableText"/>
            </w:pPr>
          </w:p>
        </w:tc>
      </w:tr>
      <w:tr w:rsidR="00E93F58" w:rsidRPr="00576D60" w14:paraId="57E8F262" w14:textId="77777777" w:rsidTr="002F32E3">
        <w:trPr>
          <w:cantSplit/>
        </w:trPr>
        <w:tc>
          <w:tcPr>
            <w:tcW w:w="1500" w:type="pct"/>
            <w:shd w:val="clear" w:color="auto" w:fill="auto"/>
          </w:tcPr>
          <w:p w14:paraId="70C0B5B9" w14:textId="77777777" w:rsidR="00E93F58" w:rsidRPr="00576D60" w:rsidRDefault="00E93F58" w:rsidP="003D2B1E">
            <w:pPr>
              <w:pStyle w:val="ENoteTableText"/>
              <w:tabs>
                <w:tab w:val="left" w:leader="dot" w:pos="2268"/>
              </w:tabs>
            </w:pPr>
            <w:r w:rsidRPr="00576D60">
              <w:t>r. 7.9.31</w:t>
            </w:r>
            <w:r w:rsidRPr="00576D60">
              <w:tab/>
            </w:r>
          </w:p>
        </w:tc>
        <w:tc>
          <w:tcPr>
            <w:tcW w:w="3500" w:type="pct"/>
            <w:shd w:val="clear" w:color="auto" w:fill="auto"/>
          </w:tcPr>
          <w:p w14:paraId="2C085D1D" w14:textId="77777777" w:rsidR="00E93F58" w:rsidRPr="00576D60" w:rsidRDefault="00E93F58" w:rsidP="003D2B1E">
            <w:pPr>
              <w:pStyle w:val="ENoteTableText"/>
            </w:pPr>
            <w:r w:rsidRPr="00576D60">
              <w:t>ad. 2001 No. 319</w:t>
            </w:r>
          </w:p>
        </w:tc>
      </w:tr>
      <w:tr w:rsidR="00E93F58" w:rsidRPr="00576D60" w14:paraId="36778C25" w14:textId="77777777" w:rsidTr="002F32E3">
        <w:trPr>
          <w:cantSplit/>
        </w:trPr>
        <w:tc>
          <w:tcPr>
            <w:tcW w:w="1500" w:type="pct"/>
            <w:shd w:val="clear" w:color="auto" w:fill="auto"/>
          </w:tcPr>
          <w:p w14:paraId="1EA77311" w14:textId="77777777" w:rsidR="00E93F58" w:rsidRPr="00576D60" w:rsidRDefault="00E93F58" w:rsidP="003D2B1E">
            <w:pPr>
              <w:pStyle w:val="ENoteTableText"/>
              <w:tabs>
                <w:tab w:val="left" w:leader="dot" w:pos="2268"/>
              </w:tabs>
            </w:pPr>
            <w:r w:rsidRPr="00576D60">
              <w:t>r 7.9.31A</w:t>
            </w:r>
            <w:r w:rsidRPr="00576D60">
              <w:tab/>
            </w:r>
          </w:p>
        </w:tc>
        <w:tc>
          <w:tcPr>
            <w:tcW w:w="3500" w:type="pct"/>
            <w:shd w:val="clear" w:color="auto" w:fill="auto"/>
          </w:tcPr>
          <w:p w14:paraId="18F6285F" w14:textId="77777777" w:rsidR="00E93F58" w:rsidRPr="00576D60" w:rsidRDefault="00E93F58" w:rsidP="003D2B1E">
            <w:pPr>
              <w:pStyle w:val="ENoteTableText"/>
            </w:pPr>
            <w:r w:rsidRPr="00576D60">
              <w:t>ad F2023L00990</w:t>
            </w:r>
          </w:p>
        </w:tc>
      </w:tr>
      <w:tr w:rsidR="00E93F58" w:rsidRPr="00576D60" w14:paraId="74F78215" w14:textId="77777777" w:rsidTr="002F32E3">
        <w:trPr>
          <w:cantSplit/>
        </w:trPr>
        <w:tc>
          <w:tcPr>
            <w:tcW w:w="1500" w:type="pct"/>
            <w:shd w:val="clear" w:color="auto" w:fill="auto"/>
          </w:tcPr>
          <w:p w14:paraId="234833CC" w14:textId="77777777" w:rsidR="00E93F58" w:rsidRPr="00576D60" w:rsidRDefault="00E93F58" w:rsidP="003D2B1E">
            <w:pPr>
              <w:pStyle w:val="ENoteTableText"/>
              <w:tabs>
                <w:tab w:val="left" w:leader="dot" w:pos="2268"/>
              </w:tabs>
            </w:pPr>
            <w:r w:rsidRPr="00576D60">
              <w:t>r 7.9.32</w:t>
            </w:r>
            <w:r w:rsidRPr="00576D60">
              <w:tab/>
            </w:r>
          </w:p>
        </w:tc>
        <w:tc>
          <w:tcPr>
            <w:tcW w:w="3500" w:type="pct"/>
            <w:shd w:val="clear" w:color="auto" w:fill="auto"/>
          </w:tcPr>
          <w:p w14:paraId="23F7D01C" w14:textId="77777777" w:rsidR="00E93F58" w:rsidRPr="00576D60" w:rsidRDefault="00E93F58" w:rsidP="003D2B1E">
            <w:pPr>
              <w:pStyle w:val="ENoteTableText"/>
            </w:pPr>
            <w:r w:rsidRPr="00576D60">
              <w:t>ad No 319, 2001</w:t>
            </w:r>
          </w:p>
        </w:tc>
      </w:tr>
      <w:tr w:rsidR="00E93F58" w:rsidRPr="00576D60" w14:paraId="563A3980" w14:textId="77777777" w:rsidTr="002F32E3">
        <w:trPr>
          <w:cantSplit/>
        </w:trPr>
        <w:tc>
          <w:tcPr>
            <w:tcW w:w="1500" w:type="pct"/>
            <w:shd w:val="clear" w:color="auto" w:fill="auto"/>
          </w:tcPr>
          <w:p w14:paraId="56465D82" w14:textId="77777777" w:rsidR="00E93F58" w:rsidRPr="00576D60" w:rsidRDefault="00E93F58" w:rsidP="003D2B1E">
            <w:pPr>
              <w:pStyle w:val="ENoteTableText"/>
            </w:pPr>
          </w:p>
        </w:tc>
        <w:tc>
          <w:tcPr>
            <w:tcW w:w="3500" w:type="pct"/>
            <w:shd w:val="clear" w:color="auto" w:fill="auto"/>
          </w:tcPr>
          <w:p w14:paraId="647E240F" w14:textId="77777777" w:rsidR="00E93F58" w:rsidRPr="00576D60" w:rsidRDefault="00E93F58" w:rsidP="003D2B1E">
            <w:pPr>
              <w:pStyle w:val="ENoteTableText"/>
            </w:pPr>
            <w:r w:rsidRPr="00576D60">
              <w:t>am No 16, 2002; F2023L00990</w:t>
            </w:r>
          </w:p>
        </w:tc>
      </w:tr>
      <w:tr w:rsidR="00E93F58" w:rsidRPr="00576D60" w14:paraId="5E46FF18" w14:textId="77777777" w:rsidTr="002F32E3">
        <w:trPr>
          <w:cantSplit/>
        </w:trPr>
        <w:tc>
          <w:tcPr>
            <w:tcW w:w="1500" w:type="pct"/>
            <w:shd w:val="clear" w:color="auto" w:fill="auto"/>
          </w:tcPr>
          <w:p w14:paraId="12BCCC7A" w14:textId="77777777" w:rsidR="00E93F58" w:rsidRPr="00576D60" w:rsidRDefault="00E93F58" w:rsidP="003D2B1E">
            <w:pPr>
              <w:pStyle w:val="ENoteTableText"/>
              <w:tabs>
                <w:tab w:val="left" w:leader="dot" w:pos="2268"/>
              </w:tabs>
            </w:pPr>
            <w:r w:rsidRPr="00576D60">
              <w:t>r 7.9.33</w:t>
            </w:r>
            <w:r w:rsidRPr="00576D60">
              <w:tab/>
            </w:r>
          </w:p>
        </w:tc>
        <w:tc>
          <w:tcPr>
            <w:tcW w:w="3500" w:type="pct"/>
            <w:shd w:val="clear" w:color="auto" w:fill="auto"/>
          </w:tcPr>
          <w:p w14:paraId="6FFD2A27" w14:textId="77777777" w:rsidR="00E93F58" w:rsidRPr="00576D60" w:rsidRDefault="00E93F58" w:rsidP="003D2B1E">
            <w:pPr>
              <w:pStyle w:val="ENoteTableText"/>
            </w:pPr>
            <w:r w:rsidRPr="00576D60">
              <w:t>ad No 319, 2001</w:t>
            </w:r>
          </w:p>
        </w:tc>
      </w:tr>
      <w:tr w:rsidR="00E93F58" w:rsidRPr="00576D60" w14:paraId="283C578B" w14:textId="77777777" w:rsidTr="002F32E3">
        <w:trPr>
          <w:cantSplit/>
        </w:trPr>
        <w:tc>
          <w:tcPr>
            <w:tcW w:w="1500" w:type="pct"/>
            <w:shd w:val="clear" w:color="auto" w:fill="auto"/>
          </w:tcPr>
          <w:p w14:paraId="64B52F55" w14:textId="77777777" w:rsidR="00E93F58" w:rsidRPr="00576D60" w:rsidRDefault="00E93F58" w:rsidP="003D2B1E">
            <w:pPr>
              <w:pStyle w:val="ENoteTableText"/>
              <w:tabs>
                <w:tab w:val="left" w:leader="dot" w:pos="2268"/>
              </w:tabs>
            </w:pPr>
          </w:p>
        </w:tc>
        <w:tc>
          <w:tcPr>
            <w:tcW w:w="3500" w:type="pct"/>
            <w:shd w:val="clear" w:color="auto" w:fill="auto"/>
          </w:tcPr>
          <w:p w14:paraId="15E5B423" w14:textId="77777777" w:rsidR="00E93F58" w:rsidRPr="00576D60" w:rsidRDefault="00E93F58" w:rsidP="003D2B1E">
            <w:pPr>
              <w:pStyle w:val="ENoteTableText"/>
            </w:pPr>
            <w:r w:rsidRPr="00576D60">
              <w:t>am F2023L00990</w:t>
            </w:r>
          </w:p>
        </w:tc>
      </w:tr>
      <w:tr w:rsidR="00E93F58" w:rsidRPr="00576D60" w14:paraId="5471D635" w14:textId="77777777" w:rsidTr="002F32E3">
        <w:trPr>
          <w:cantSplit/>
        </w:trPr>
        <w:tc>
          <w:tcPr>
            <w:tcW w:w="1500" w:type="pct"/>
            <w:shd w:val="clear" w:color="auto" w:fill="auto"/>
          </w:tcPr>
          <w:p w14:paraId="2DF72525" w14:textId="77777777" w:rsidR="00E93F58" w:rsidRPr="00576D60" w:rsidRDefault="00E93F58" w:rsidP="003D2B1E">
            <w:pPr>
              <w:pStyle w:val="ENoteTableText"/>
              <w:tabs>
                <w:tab w:val="left" w:leader="dot" w:pos="2268"/>
              </w:tabs>
              <w:rPr>
                <w:b/>
              </w:rPr>
            </w:pPr>
            <w:r>
              <w:rPr>
                <w:b/>
              </w:rPr>
              <w:t>Subdivision 5</w:t>
            </w:r>
            <w:r w:rsidRPr="00576D60">
              <w:rPr>
                <w:b/>
              </w:rPr>
              <w:t>.6</w:t>
            </w:r>
          </w:p>
        </w:tc>
        <w:tc>
          <w:tcPr>
            <w:tcW w:w="3500" w:type="pct"/>
            <w:shd w:val="clear" w:color="auto" w:fill="auto"/>
          </w:tcPr>
          <w:p w14:paraId="7D58D860" w14:textId="77777777" w:rsidR="00E93F58" w:rsidRPr="00576D60" w:rsidRDefault="00E93F58" w:rsidP="003D2B1E">
            <w:pPr>
              <w:pStyle w:val="ENoteTableText"/>
            </w:pPr>
          </w:p>
        </w:tc>
      </w:tr>
      <w:tr w:rsidR="00E93F58" w:rsidRPr="00576D60" w14:paraId="77369997" w14:textId="77777777" w:rsidTr="002F32E3">
        <w:trPr>
          <w:cantSplit/>
        </w:trPr>
        <w:tc>
          <w:tcPr>
            <w:tcW w:w="1500" w:type="pct"/>
            <w:shd w:val="clear" w:color="auto" w:fill="auto"/>
          </w:tcPr>
          <w:p w14:paraId="2E33887F" w14:textId="77777777" w:rsidR="00E93F58" w:rsidRPr="00576D60" w:rsidRDefault="00E93F58" w:rsidP="003D2B1E">
            <w:pPr>
              <w:pStyle w:val="ENoteTableText"/>
              <w:tabs>
                <w:tab w:val="left" w:leader="dot" w:pos="2268"/>
              </w:tabs>
            </w:pPr>
            <w:r>
              <w:t>Subdivision 5.6 heading</w:t>
            </w:r>
            <w:r>
              <w:tab/>
            </w:r>
          </w:p>
        </w:tc>
        <w:tc>
          <w:tcPr>
            <w:tcW w:w="3500" w:type="pct"/>
            <w:shd w:val="clear" w:color="auto" w:fill="auto"/>
          </w:tcPr>
          <w:p w14:paraId="0A08306E" w14:textId="77777777" w:rsidR="00E93F58" w:rsidRPr="00576D60" w:rsidRDefault="00E93F58" w:rsidP="003D2B1E">
            <w:pPr>
              <w:pStyle w:val="ENoteTableText"/>
            </w:pPr>
            <w:r>
              <w:t>am F2023L01458</w:t>
            </w:r>
          </w:p>
        </w:tc>
      </w:tr>
      <w:tr w:rsidR="00E93F58" w:rsidRPr="00576D60" w14:paraId="7EDD68F8" w14:textId="77777777" w:rsidTr="002F32E3">
        <w:trPr>
          <w:cantSplit/>
        </w:trPr>
        <w:tc>
          <w:tcPr>
            <w:tcW w:w="1500" w:type="pct"/>
            <w:shd w:val="clear" w:color="auto" w:fill="auto"/>
          </w:tcPr>
          <w:p w14:paraId="04AF2773" w14:textId="77777777" w:rsidR="00E93F58" w:rsidRPr="00576D60" w:rsidRDefault="00E93F58" w:rsidP="003D2B1E">
            <w:pPr>
              <w:pStyle w:val="ENoteTableText"/>
              <w:tabs>
                <w:tab w:val="left" w:leader="dot" w:pos="2268"/>
              </w:tabs>
            </w:pPr>
            <w:r w:rsidRPr="00576D60">
              <w:t>r. 7.9.34</w:t>
            </w:r>
            <w:r w:rsidRPr="00576D60">
              <w:tab/>
            </w:r>
          </w:p>
        </w:tc>
        <w:tc>
          <w:tcPr>
            <w:tcW w:w="3500" w:type="pct"/>
            <w:shd w:val="clear" w:color="auto" w:fill="auto"/>
          </w:tcPr>
          <w:p w14:paraId="4E892857" w14:textId="77777777" w:rsidR="00E93F58" w:rsidRPr="00576D60" w:rsidRDefault="00E93F58" w:rsidP="003D2B1E">
            <w:pPr>
              <w:pStyle w:val="ENoteTableText"/>
            </w:pPr>
            <w:r w:rsidRPr="00576D60">
              <w:t>ad. 2001 No. 319</w:t>
            </w:r>
          </w:p>
        </w:tc>
      </w:tr>
      <w:tr w:rsidR="00E93F58" w:rsidRPr="00576D60" w14:paraId="4693EE02" w14:textId="77777777" w:rsidTr="002F32E3">
        <w:trPr>
          <w:cantSplit/>
        </w:trPr>
        <w:tc>
          <w:tcPr>
            <w:tcW w:w="1500" w:type="pct"/>
            <w:shd w:val="clear" w:color="auto" w:fill="auto"/>
          </w:tcPr>
          <w:p w14:paraId="0F10EA5B" w14:textId="77777777" w:rsidR="00E93F58" w:rsidRPr="00576D60" w:rsidRDefault="00E93F58" w:rsidP="003D2B1E">
            <w:pPr>
              <w:pStyle w:val="ENoteTableText"/>
              <w:tabs>
                <w:tab w:val="left" w:leader="dot" w:pos="2268"/>
              </w:tabs>
            </w:pPr>
            <w:r w:rsidRPr="00576D60">
              <w:t>r 7.9.35</w:t>
            </w:r>
            <w:r w:rsidRPr="00576D60">
              <w:tab/>
            </w:r>
          </w:p>
        </w:tc>
        <w:tc>
          <w:tcPr>
            <w:tcW w:w="3500" w:type="pct"/>
            <w:shd w:val="clear" w:color="auto" w:fill="auto"/>
          </w:tcPr>
          <w:p w14:paraId="16FB6D11" w14:textId="77777777" w:rsidR="00E93F58" w:rsidRPr="00576D60" w:rsidRDefault="00E93F58" w:rsidP="003D2B1E">
            <w:pPr>
              <w:pStyle w:val="ENoteTableText"/>
            </w:pPr>
            <w:r w:rsidRPr="00576D60">
              <w:t>ad No 319, 2001</w:t>
            </w:r>
          </w:p>
        </w:tc>
      </w:tr>
      <w:tr w:rsidR="00E93F58" w:rsidRPr="00576D60" w14:paraId="49ED38A6" w14:textId="77777777" w:rsidTr="002F32E3">
        <w:trPr>
          <w:cantSplit/>
        </w:trPr>
        <w:tc>
          <w:tcPr>
            <w:tcW w:w="1500" w:type="pct"/>
            <w:shd w:val="clear" w:color="auto" w:fill="auto"/>
          </w:tcPr>
          <w:p w14:paraId="341E8B7C" w14:textId="77777777" w:rsidR="00E93F58" w:rsidRPr="00576D60" w:rsidRDefault="00E93F58" w:rsidP="003D2B1E">
            <w:pPr>
              <w:pStyle w:val="ENoteTableText"/>
              <w:tabs>
                <w:tab w:val="left" w:leader="dot" w:pos="2268"/>
              </w:tabs>
            </w:pPr>
          </w:p>
        </w:tc>
        <w:tc>
          <w:tcPr>
            <w:tcW w:w="3500" w:type="pct"/>
            <w:shd w:val="clear" w:color="auto" w:fill="auto"/>
          </w:tcPr>
          <w:p w14:paraId="12D9D5D6" w14:textId="77777777" w:rsidR="00E93F58" w:rsidRPr="00576D60" w:rsidRDefault="00E93F58" w:rsidP="003D2B1E">
            <w:pPr>
              <w:pStyle w:val="ENoteTableText"/>
            </w:pPr>
            <w:r w:rsidRPr="00576D60">
              <w:t>am F2023L00990</w:t>
            </w:r>
          </w:p>
        </w:tc>
      </w:tr>
      <w:tr w:rsidR="00E93F58" w:rsidRPr="00576D60" w14:paraId="5927CC93" w14:textId="77777777" w:rsidTr="002F32E3">
        <w:trPr>
          <w:cantSplit/>
        </w:trPr>
        <w:tc>
          <w:tcPr>
            <w:tcW w:w="1500" w:type="pct"/>
            <w:shd w:val="clear" w:color="auto" w:fill="auto"/>
          </w:tcPr>
          <w:p w14:paraId="2CA32434" w14:textId="77777777" w:rsidR="00E93F58" w:rsidRPr="00576D60" w:rsidRDefault="00E93F58" w:rsidP="003D2B1E">
            <w:pPr>
              <w:pStyle w:val="ENoteTableText"/>
              <w:tabs>
                <w:tab w:val="left" w:leader="dot" w:pos="2268"/>
              </w:tabs>
            </w:pPr>
            <w:r w:rsidRPr="00576D60">
              <w:t>r 7.9.36</w:t>
            </w:r>
            <w:r w:rsidRPr="00576D60">
              <w:tab/>
            </w:r>
          </w:p>
        </w:tc>
        <w:tc>
          <w:tcPr>
            <w:tcW w:w="3500" w:type="pct"/>
            <w:shd w:val="clear" w:color="auto" w:fill="auto"/>
          </w:tcPr>
          <w:p w14:paraId="09B0A7F3" w14:textId="77777777" w:rsidR="00E93F58" w:rsidRPr="00576D60" w:rsidRDefault="00E93F58" w:rsidP="003D2B1E">
            <w:pPr>
              <w:pStyle w:val="ENoteTableText"/>
            </w:pPr>
            <w:r w:rsidRPr="00576D60">
              <w:t>ad No 319, 2001</w:t>
            </w:r>
          </w:p>
        </w:tc>
      </w:tr>
      <w:tr w:rsidR="00E93F58" w:rsidRPr="00576D60" w14:paraId="5411E9B6" w14:textId="77777777" w:rsidTr="002F32E3">
        <w:trPr>
          <w:cantSplit/>
        </w:trPr>
        <w:tc>
          <w:tcPr>
            <w:tcW w:w="1500" w:type="pct"/>
            <w:shd w:val="clear" w:color="auto" w:fill="auto"/>
          </w:tcPr>
          <w:p w14:paraId="66DFFF30" w14:textId="77777777" w:rsidR="00E93F58" w:rsidRPr="00576D60" w:rsidRDefault="00E93F58" w:rsidP="003D2B1E">
            <w:pPr>
              <w:pStyle w:val="ENoteTableText"/>
              <w:tabs>
                <w:tab w:val="left" w:leader="dot" w:pos="2268"/>
              </w:tabs>
            </w:pPr>
          </w:p>
        </w:tc>
        <w:tc>
          <w:tcPr>
            <w:tcW w:w="3500" w:type="pct"/>
            <w:shd w:val="clear" w:color="auto" w:fill="auto"/>
          </w:tcPr>
          <w:p w14:paraId="3A4DC1D5" w14:textId="77777777" w:rsidR="00E93F58" w:rsidRPr="00576D60" w:rsidRDefault="00E93F58" w:rsidP="003D2B1E">
            <w:pPr>
              <w:pStyle w:val="ENoteTableText"/>
            </w:pPr>
            <w:r w:rsidRPr="00576D60">
              <w:t>am F2023L00990</w:t>
            </w:r>
          </w:p>
        </w:tc>
      </w:tr>
      <w:tr w:rsidR="00E93F58" w:rsidRPr="00576D60" w14:paraId="5139BAF8" w14:textId="77777777" w:rsidTr="002F32E3">
        <w:trPr>
          <w:cantSplit/>
        </w:trPr>
        <w:tc>
          <w:tcPr>
            <w:tcW w:w="1500" w:type="pct"/>
            <w:shd w:val="clear" w:color="auto" w:fill="auto"/>
          </w:tcPr>
          <w:p w14:paraId="4E3FC315" w14:textId="77777777" w:rsidR="00E93F58" w:rsidRPr="00576D60" w:rsidRDefault="00E93F58" w:rsidP="003D2B1E">
            <w:pPr>
              <w:pStyle w:val="ENoteTableText"/>
              <w:tabs>
                <w:tab w:val="left" w:leader="dot" w:pos="2268"/>
              </w:tabs>
            </w:pPr>
            <w:r w:rsidRPr="00576D60">
              <w:t>r 7.9.37</w:t>
            </w:r>
            <w:r w:rsidRPr="00576D60">
              <w:tab/>
            </w:r>
          </w:p>
        </w:tc>
        <w:tc>
          <w:tcPr>
            <w:tcW w:w="3500" w:type="pct"/>
            <w:shd w:val="clear" w:color="auto" w:fill="auto"/>
          </w:tcPr>
          <w:p w14:paraId="7F2BDFE8" w14:textId="77777777" w:rsidR="00E93F58" w:rsidRPr="00576D60" w:rsidRDefault="00E93F58" w:rsidP="003D2B1E">
            <w:pPr>
              <w:pStyle w:val="ENoteTableText"/>
            </w:pPr>
            <w:r w:rsidRPr="00576D60">
              <w:t>ad No 319, 2001</w:t>
            </w:r>
          </w:p>
        </w:tc>
      </w:tr>
      <w:tr w:rsidR="00E93F58" w:rsidRPr="00576D60" w14:paraId="2492AF29" w14:textId="77777777" w:rsidTr="002F32E3">
        <w:trPr>
          <w:cantSplit/>
        </w:trPr>
        <w:tc>
          <w:tcPr>
            <w:tcW w:w="1500" w:type="pct"/>
            <w:shd w:val="clear" w:color="auto" w:fill="auto"/>
          </w:tcPr>
          <w:p w14:paraId="2EC6A751" w14:textId="77777777" w:rsidR="00E93F58" w:rsidRPr="00576D60" w:rsidRDefault="00E93F58" w:rsidP="003D2B1E">
            <w:pPr>
              <w:pStyle w:val="ENoteTableText"/>
            </w:pPr>
          </w:p>
        </w:tc>
        <w:tc>
          <w:tcPr>
            <w:tcW w:w="3500" w:type="pct"/>
            <w:shd w:val="clear" w:color="auto" w:fill="auto"/>
          </w:tcPr>
          <w:p w14:paraId="160DA57F" w14:textId="77777777" w:rsidR="00E93F58" w:rsidRPr="00576D60" w:rsidRDefault="00E93F58" w:rsidP="003D2B1E">
            <w:pPr>
              <w:pStyle w:val="ENoteTableText"/>
            </w:pPr>
            <w:r w:rsidRPr="00576D60">
              <w:t>am No 52, 2009; F2023L00990</w:t>
            </w:r>
          </w:p>
        </w:tc>
      </w:tr>
      <w:tr w:rsidR="00E93F58" w:rsidRPr="00576D60" w14:paraId="356EE990" w14:textId="77777777" w:rsidTr="002F32E3">
        <w:trPr>
          <w:cantSplit/>
        </w:trPr>
        <w:tc>
          <w:tcPr>
            <w:tcW w:w="1500" w:type="pct"/>
            <w:shd w:val="clear" w:color="auto" w:fill="auto"/>
          </w:tcPr>
          <w:p w14:paraId="2A569050" w14:textId="77777777" w:rsidR="00E93F58" w:rsidRPr="00576D60" w:rsidRDefault="00E93F58" w:rsidP="003D2B1E">
            <w:pPr>
              <w:pStyle w:val="ENoteTableText"/>
              <w:tabs>
                <w:tab w:val="left" w:leader="dot" w:pos="2268"/>
              </w:tabs>
            </w:pPr>
            <w:r w:rsidRPr="00576D60">
              <w:t>r 7.9.38</w:t>
            </w:r>
            <w:r w:rsidRPr="00576D60">
              <w:tab/>
            </w:r>
          </w:p>
        </w:tc>
        <w:tc>
          <w:tcPr>
            <w:tcW w:w="3500" w:type="pct"/>
            <w:shd w:val="clear" w:color="auto" w:fill="auto"/>
          </w:tcPr>
          <w:p w14:paraId="55EB0D6D" w14:textId="77777777" w:rsidR="00E93F58" w:rsidRPr="00576D60" w:rsidRDefault="00E93F58" w:rsidP="003D2B1E">
            <w:pPr>
              <w:pStyle w:val="ENoteTableText"/>
            </w:pPr>
            <w:r w:rsidRPr="00576D60">
              <w:t>ad No 319, 2001</w:t>
            </w:r>
          </w:p>
        </w:tc>
      </w:tr>
      <w:tr w:rsidR="00E93F58" w:rsidRPr="00576D60" w14:paraId="0CB7F8D5" w14:textId="77777777" w:rsidTr="002F32E3">
        <w:trPr>
          <w:cantSplit/>
        </w:trPr>
        <w:tc>
          <w:tcPr>
            <w:tcW w:w="1500" w:type="pct"/>
            <w:shd w:val="clear" w:color="auto" w:fill="auto"/>
          </w:tcPr>
          <w:p w14:paraId="7B03006B" w14:textId="77777777" w:rsidR="00E93F58" w:rsidRPr="00576D60" w:rsidRDefault="00E93F58" w:rsidP="003D2B1E">
            <w:pPr>
              <w:pStyle w:val="ENoteTableText"/>
              <w:tabs>
                <w:tab w:val="left" w:leader="dot" w:pos="2268"/>
              </w:tabs>
            </w:pPr>
          </w:p>
        </w:tc>
        <w:tc>
          <w:tcPr>
            <w:tcW w:w="3500" w:type="pct"/>
            <w:shd w:val="clear" w:color="auto" w:fill="auto"/>
          </w:tcPr>
          <w:p w14:paraId="3D33F12C" w14:textId="77777777" w:rsidR="00E93F58" w:rsidRPr="00576D60" w:rsidRDefault="00E93F58" w:rsidP="003D2B1E">
            <w:pPr>
              <w:pStyle w:val="ENoteTableText"/>
            </w:pPr>
            <w:r w:rsidRPr="00576D60">
              <w:t>rep F2023L00990</w:t>
            </w:r>
          </w:p>
        </w:tc>
      </w:tr>
      <w:tr w:rsidR="00E93F58" w:rsidRPr="00576D60" w14:paraId="38E9FD80" w14:textId="77777777" w:rsidTr="002F32E3">
        <w:trPr>
          <w:cantSplit/>
        </w:trPr>
        <w:tc>
          <w:tcPr>
            <w:tcW w:w="1500" w:type="pct"/>
            <w:shd w:val="clear" w:color="auto" w:fill="auto"/>
          </w:tcPr>
          <w:p w14:paraId="08D1C0AD" w14:textId="77777777" w:rsidR="00E93F58" w:rsidRPr="00576D60" w:rsidRDefault="00E93F58" w:rsidP="003D2B1E">
            <w:pPr>
              <w:pStyle w:val="ENoteTableText"/>
              <w:tabs>
                <w:tab w:val="left" w:leader="dot" w:pos="2268"/>
              </w:tabs>
            </w:pPr>
            <w:r w:rsidRPr="00576D60">
              <w:t>r. 7.9.39</w:t>
            </w:r>
            <w:r w:rsidRPr="00576D60">
              <w:tab/>
            </w:r>
          </w:p>
        </w:tc>
        <w:tc>
          <w:tcPr>
            <w:tcW w:w="3500" w:type="pct"/>
            <w:shd w:val="clear" w:color="auto" w:fill="auto"/>
          </w:tcPr>
          <w:p w14:paraId="71D95049" w14:textId="77777777" w:rsidR="00E93F58" w:rsidRPr="00576D60" w:rsidRDefault="00E93F58" w:rsidP="003D2B1E">
            <w:pPr>
              <w:pStyle w:val="ENoteTableText"/>
            </w:pPr>
            <w:r w:rsidRPr="00576D60">
              <w:t>ad. 2001 No. 319</w:t>
            </w:r>
          </w:p>
        </w:tc>
      </w:tr>
      <w:tr w:rsidR="00E93F58" w:rsidRPr="00576D60" w14:paraId="79F94E7E" w14:textId="77777777" w:rsidTr="002F32E3">
        <w:trPr>
          <w:cantSplit/>
        </w:trPr>
        <w:tc>
          <w:tcPr>
            <w:tcW w:w="1500" w:type="pct"/>
            <w:shd w:val="clear" w:color="auto" w:fill="auto"/>
          </w:tcPr>
          <w:p w14:paraId="03AEF072" w14:textId="77777777" w:rsidR="00E93F58" w:rsidRPr="00576D60" w:rsidRDefault="00E93F58" w:rsidP="003D2B1E">
            <w:pPr>
              <w:pStyle w:val="ENoteTableText"/>
              <w:keepNext/>
              <w:tabs>
                <w:tab w:val="left" w:leader="dot" w:pos="2268"/>
              </w:tabs>
              <w:rPr>
                <w:b/>
              </w:rPr>
            </w:pPr>
            <w:r>
              <w:rPr>
                <w:b/>
              </w:rPr>
              <w:t>Subdivision 5</w:t>
            </w:r>
            <w:r w:rsidRPr="00576D60">
              <w:rPr>
                <w:b/>
              </w:rPr>
              <w:t>.7</w:t>
            </w:r>
          </w:p>
        </w:tc>
        <w:tc>
          <w:tcPr>
            <w:tcW w:w="3500" w:type="pct"/>
            <w:shd w:val="clear" w:color="auto" w:fill="auto"/>
          </w:tcPr>
          <w:p w14:paraId="694AE9D4" w14:textId="77777777" w:rsidR="00E93F58" w:rsidRPr="00576D60" w:rsidRDefault="00E93F58" w:rsidP="003D2B1E">
            <w:pPr>
              <w:pStyle w:val="ENoteTableText"/>
              <w:keepNext/>
            </w:pPr>
          </w:p>
        </w:tc>
      </w:tr>
      <w:tr w:rsidR="00E93F58" w:rsidRPr="00576D60" w14:paraId="7AE423BE" w14:textId="77777777" w:rsidTr="002F32E3">
        <w:trPr>
          <w:cantSplit/>
        </w:trPr>
        <w:tc>
          <w:tcPr>
            <w:tcW w:w="1500" w:type="pct"/>
            <w:shd w:val="clear" w:color="auto" w:fill="auto"/>
          </w:tcPr>
          <w:p w14:paraId="6C4527DD" w14:textId="77777777" w:rsidR="00E93F58" w:rsidRPr="00576D60" w:rsidRDefault="00E93F58" w:rsidP="003D2B1E">
            <w:pPr>
              <w:pStyle w:val="ENoteTableText"/>
              <w:tabs>
                <w:tab w:val="left" w:leader="dot" w:pos="2268"/>
              </w:tabs>
            </w:pPr>
            <w:r w:rsidRPr="00576D60">
              <w:t>r. 7.9.40</w:t>
            </w:r>
            <w:r w:rsidRPr="00576D60">
              <w:tab/>
            </w:r>
          </w:p>
        </w:tc>
        <w:tc>
          <w:tcPr>
            <w:tcW w:w="3500" w:type="pct"/>
            <w:shd w:val="clear" w:color="auto" w:fill="auto"/>
          </w:tcPr>
          <w:p w14:paraId="34173F4C" w14:textId="77777777" w:rsidR="00E93F58" w:rsidRPr="00576D60" w:rsidRDefault="00E93F58" w:rsidP="003D2B1E">
            <w:pPr>
              <w:pStyle w:val="ENoteTableText"/>
            </w:pPr>
            <w:r w:rsidRPr="00576D60">
              <w:t>ad. 2001 No. 319</w:t>
            </w:r>
          </w:p>
        </w:tc>
      </w:tr>
      <w:tr w:rsidR="00E93F58" w:rsidRPr="00576D60" w14:paraId="29E83E83" w14:textId="77777777" w:rsidTr="002F32E3">
        <w:trPr>
          <w:cantSplit/>
        </w:trPr>
        <w:tc>
          <w:tcPr>
            <w:tcW w:w="1500" w:type="pct"/>
            <w:shd w:val="clear" w:color="auto" w:fill="auto"/>
          </w:tcPr>
          <w:p w14:paraId="1D3C27C3" w14:textId="77777777" w:rsidR="00E93F58" w:rsidRPr="00576D60" w:rsidRDefault="00E93F58" w:rsidP="003D2B1E">
            <w:pPr>
              <w:pStyle w:val="ENoteTableText"/>
              <w:tabs>
                <w:tab w:val="left" w:leader="dot" w:pos="2268"/>
              </w:tabs>
            </w:pPr>
            <w:r w:rsidRPr="00576D60">
              <w:t>r 7.9.41</w:t>
            </w:r>
            <w:r w:rsidRPr="00576D60">
              <w:tab/>
            </w:r>
          </w:p>
        </w:tc>
        <w:tc>
          <w:tcPr>
            <w:tcW w:w="3500" w:type="pct"/>
            <w:shd w:val="clear" w:color="auto" w:fill="auto"/>
          </w:tcPr>
          <w:p w14:paraId="27CE2182" w14:textId="77777777" w:rsidR="00E93F58" w:rsidRPr="00576D60" w:rsidRDefault="00E93F58" w:rsidP="003D2B1E">
            <w:pPr>
              <w:pStyle w:val="ENoteTableText"/>
            </w:pPr>
            <w:r w:rsidRPr="00576D60">
              <w:t>ad No 319, 2001</w:t>
            </w:r>
          </w:p>
        </w:tc>
      </w:tr>
      <w:tr w:rsidR="00E93F58" w:rsidRPr="00576D60" w14:paraId="3B095903" w14:textId="77777777" w:rsidTr="002F32E3">
        <w:trPr>
          <w:cantSplit/>
        </w:trPr>
        <w:tc>
          <w:tcPr>
            <w:tcW w:w="1500" w:type="pct"/>
            <w:shd w:val="clear" w:color="auto" w:fill="auto"/>
          </w:tcPr>
          <w:p w14:paraId="4DB2E99A" w14:textId="77777777" w:rsidR="00E93F58" w:rsidRPr="00576D60" w:rsidRDefault="00E93F58" w:rsidP="003D2B1E">
            <w:pPr>
              <w:pStyle w:val="ENoteTableText"/>
              <w:tabs>
                <w:tab w:val="left" w:leader="dot" w:pos="2268"/>
              </w:tabs>
            </w:pPr>
          </w:p>
        </w:tc>
        <w:tc>
          <w:tcPr>
            <w:tcW w:w="3500" w:type="pct"/>
            <w:shd w:val="clear" w:color="auto" w:fill="auto"/>
          </w:tcPr>
          <w:p w14:paraId="63B893C2" w14:textId="77777777" w:rsidR="00E93F58" w:rsidRPr="00576D60" w:rsidRDefault="00E93F58" w:rsidP="003D2B1E">
            <w:pPr>
              <w:pStyle w:val="ENoteTableText"/>
            </w:pPr>
            <w:r w:rsidRPr="00576D60">
              <w:t>am F2023L00990</w:t>
            </w:r>
          </w:p>
        </w:tc>
      </w:tr>
      <w:tr w:rsidR="00E93F58" w:rsidRPr="00576D60" w14:paraId="38DDF3AB" w14:textId="77777777" w:rsidTr="002F32E3">
        <w:trPr>
          <w:cantSplit/>
        </w:trPr>
        <w:tc>
          <w:tcPr>
            <w:tcW w:w="1500" w:type="pct"/>
            <w:shd w:val="clear" w:color="auto" w:fill="auto"/>
          </w:tcPr>
          <w:p w14:paraId="70A89244" w14:textId="77777777" w:rsidR="00E93F58" w:rsidRPr="00576D60" w:rsidRDefault="00E93F58" w:rsidP="003D2B1E">
            <w:pPr>
              <w:pStyle w:val="ENoteTableText"/>
              <w:tabs>
                <w:tab w:val="left" w:leader="dot" w:pos="2268"/>
              </w:tabs>
            </w:pPr>
            <w:r w:rsidRPr="00576D60">
              <w:t>r 7.9.42</w:t>
            </w:r>
            <w:r w:rsidRPr="00576D60">
              <w:tab/>
            </w:r>
          </w:p>
        </w:tc>
        <w:tc>
          <w:tcPr>
            <w:tcW w:w="3500" w:type="pct"/>
            <w:shd w:val="clear" w:color="auto" w:fill="auto"/>
          </w:tcPr>
          <w:p w14:paraId="0E00342A" w14:textId="77777777" w:rsidR="00E93F58" w:rsidRPr="00576D60" w:rsidRDefault="00E93F58" w:rsidP="003D2B1E">
            <w:pPr>
              <w:pStyle w:val="ENoteTableText"/>
            </w:pPr>
            <w:r w:rsidRPr="00576D60">
              <w:t>ad No 319, 2001</w:t>
            </w:r>
          </w:p>
        </w:tc>
      </w:tr>
      <w:tr w:rsidR="00E93F58" w:rsidRPr="00576D60" w14:paraId="65F85718" w14:textId="77777777" w:rsidTr="002F32E3">
        <w:trPr>
          <w:cantSplit/>
        </w:trPr>
        <w:tc>
          <w:tcPr>
            <w:tcW w:w="1500" w:type="pct"/>
            <w:shd w:val="clear" w:color="auto" w:fill="auto"/>
          </w:tcPr>
          <w:p w14:paraId="35D9BABE" w14:textId="77777777" w:rsidR="00E93F58" w:rsidRPr="00576D60" w:rsidRDefault="00E93F58" w:rsidP="003D2B1E">
            <w:pPr>
              <w:pStyle w:val="ENoteTableText"/>
            </w:pPr>
          </w:p>
        </w:tc>
        <w:tc>
          <w:tcPr>
            <w:tcW w:w="3500" w:type="pct"/>
            <w:shd w:val="clear" w:color="auto" w:fill="auto"/>
          </w:tcPr>
          <w:p w14:paraId="7CDDD9C5" w14:textId="77777777" w:rsidR="00E93F58" w:rsidRPr="00576D60" w:rsidRDefault="00E93F58" w:rsidP="003D2B1E">
            <w:pPr>
              <w:pStyle w:val="ENoteTableText"/>
            </w:pPr>
            <w:r w:rsidRPr="00576D60">
              <w:t>am No 16, 2002; F2023L00990</w:t>
            </w:r>
          </w:p>
        </w:tc>
      </w:tr>
      <w:tr w:rsidR="00E93F58" w:rsidRPr="00576D60" w14:paraId="2241634C" w14:textId="77777777" w:rsidTr="002F32E3">
        <w:trPr>
          <w:cantSplit/>
        </w:trPr>
        <w:tc>
          <w:tcPr>
            <w:tcW w:w="1500" w:type="pct"/>
            <w:shd w:val="clear" w:color="auto" w:fill="auto"/>
          </w:tcPr>
          <w:p w14:paraId="03322FBB" w14:textId="77777777" w:rsidR="00E93F58" w:rsidRPr="00576D60" w:rsidRDefault="00E93F58" w:rsidP="003D2B1E">
            <w:pPr>
              <w:pStyle w:val="ENoteTableText"/>
              <w:tabs>
                <w:tab w:val="left" w:leader="dot" w:pos="2268"/>
              </w:tabs>
              <w:rPr>
                <w:b/>
              </w:rPr>
            </w:pPr>
            <w:r>
              <w:rPr>
                <w:b/>
              </w:rPr>
              <w:t>Subdivision 5</w:t>
            </w:r>
            <w:r w:rsidRPr="00576D60">
              <w:rPr>
                <w:b/>
              </w:rPr>
              <w:t>.8</w:t>
            </w:r>
          </w:p>
        </w:tc>
        <w:tc>
          <w:tcPr>
            <w:tcW w:w="3500" w:type="pct"/>
            <w:shd w:val="clear" w:color="auto" w:fill="auto"/>
          </w:tcPr>
          <w:p w14:paraId="375DBDA6" w14:textId="77777777" w:rsidR="00E93F58" w:rsidRPr="00576D60" w:rsidRDefault="00E93F58" w:rsidP="003D2B1E">
            <w:pPr>
              <w:pStyle w:val="ENoteTableText"/>
              <w:keepNext/>
              <w:keepLines/>
            </w:pPr>
          </w:p>
        </w:tc>
      </w:tr>
      <w:tr w:rsidR="00E93F58" w:rsidRPr="00576D60" w14:paraId="4F71B029" w14:textId="77777777" w:rsidTr="002F32E3">
        <w:trPr>
          <w:cantSplit/>
        </w:trPr>
        <w:tc>
          <w:tcPr>
            <w:tcW w:w="1500" w:type="pct"/>
            <w:shd w:val="clear" w:color="auto" w:fill="auto"/>
          </w:tcPr>
          <w:p w14:paraId="418B2ADC" w14:textId="77777777" w:rsidR="00E93F58" w:rsidRPr="00576D60" w:rsidRDefault="00E93F58" w:rsidP="003D2B1E">
            <w:pPr>
              <w:pStyle w:val="ENoteTableText"/>
              <w:tabs>
                <w:tab w:val="left" w:leader="dot" w:pos="2268"/>
              </w:tabs>
            </w:pPr>
            <w:r w:rsidRPr="00576D60">
              <w:t>r 7.9.43</w:t>
            </w:r>
            <w:r w:rsidRPr="00576D60">
              <w:tab/>
            </w:r>
          </w:p>
        </w:tc>
        <w:tc>
          <w:tcPr>
            <w:tcW w:w="3500" w:type="pct"/>
            <w:shd w:val="clear" w:color="auto" w:fill="auto"/>
          </w:tcPr>
          <w:p w14:paraId="12F80202" w14:textId="77777777" w:rsidR="00E93F58" w:rsidRPr="00576D60" w:rsidRDefault="00E93F58" w:rsidP="003D2B1E">
            <w:pPr>
              <w:pStyle w:val="ENoteTableText"/>
            </w:pPr>
            <w:r w:rsidRPr="00576D60">
              <w:t>ad</w:t>
            </w:r>
            <w:r>
              <w:t xml:space="preserve"> No 319, 2001</w:t>
            </w:r>
          </w:p>
        </w:tc>
      </w:tr>
      <w:tr w:rsidR="00E93F58" w:rsidRPr="00576D60" w14:paraId="6BC88371" w14:textId="77777777" w:rsidTr="002F32E3">
        <w:trPr>
          <w:cantSplit/>
        </w:trPr>
        <w:tc>
          <w:tcPr>
            <w:tcW w:w="1500" w:type="pct"/>
            <w:shd w:val="clear" w:color="auto" w:fill="auto"/>
          </w:tcPr>
          <w:p w14:paraId="577FFFE4" w14:textId="77777777" w:rsidR="00E93F58" w:rsidRPr="00576D60" w:rsidRDefault="00E93F58" w:rsidP="003D2B1E">
            <w:pPr>
              <w:pStyle w:val="ENoteTableText"/>
              <w:tabs>
                <w:tab w:val="left" w:leader="dot" w:pos="2268"/>
              </w:tabs>
            </w:pPr>
          </w:p>
        </w:tc>
        <w:tc>
          <w:tcPr>
            <w:tcW w:w="3500" w:type="pct"/>
            <w:shd w:val="clear" w:color="auto" w:fill="auto"/>
          </w:tcPr>
          <w:p w14:paraId="6488B65A" w14:textId="77777777" w:rsidR="00E93F58" w:rsidRPr="00576D60" w:rsidRDefault="00E93F58" w:rsidP="003D2B1E">
            <w:pPr>
              <w:pStyle w:val="ENoteTableText"/>
            </w:pPr>
            <w:r>
              <w:t>am F2023L01458</w:t>
            </w:r>
          </w:p>
        </w:tc>
      </w:tr>
      <w:tr w:rsidR="00E93F58" w:rsidRPr="00576D60" w14:paraId="1562C280" w14:textId="77777777" w:rsidTr="002F32E3">
        <w:trPr>
          <w:cantSplit/>
        </w:trPr>
        <w:tc>
          <w:tcPr>
            <w:tcW w:w="1500" w:type="pct"/>
            <w:shd w:val="clear" w:color="auto" w:fill="auto"/>
          </w:tcPr>
          <w:p w14:paraId="066783B6" w14:textId="77777777" w:rsidR="00E93F58" w:rsidRPr="00576D60" w:rsidRDefault="00E93F58" w:rsidP="003D2B1E">
            <w:pPr>
              <w:pStyle w:val="ENoteTableText"/>
              <w:tabs>
                <w:tab w:val="left" w:leader="dot" w:pos="2268"/>
              </w:tabs>
            </w:pPr>
            <w:r w:rsidRPr="00576D60">
              <w:t>r 7.9.44</w:t>
            </w:r>
            <w:r w:rsidRPr="00576D60">
              <w:tab/>
            </w:r>
          </w:p>
        </w:tc>
        <w:tc>
          <w:tcPr>
            <w:tcW w:w="3500" w:type="pct"/>
            <w:shd w:val="clear" w:color="auto" w:fill="auto"/>
          </w:tcPr>
          <w:p w14:paraId="4C3481C2" w14:textId="77777777" w:rsidR="00E93F58" w:rsidRPr="00576D60" w:rsidRDefault="00E93F58" w:rsidP="003D2B1E">
            <w:pPr>
              <w:pStyle w:val="ENoteTableText"/>
            </w:pPr>
            <w:r w:rsidRPr="00576D60">
              <w:t>ad</w:t>
            </w:r>
            <w:r>
              <w:t xml:space="preserve"> No 319, 2001</w:t>
            </w:r>
          </w:p>
        </w:tc>
      </w:tr>
      <w:tr w:rsidR="00E93F58" w:rsidRPr="00576D60" w14:paraId="7C04EFBA" w14:textId="77777777" w:rsidTr="002F32E3">
        <w:trPr>
          <w:cantSplit/>
        </w:trPr>
        <w:tc>
          <w:tcPr>
            <w:tcW w:w="1500" w:type="pct"/>
            <w:shd w:val="clear" w:color="auto" w:fill="auto"/>
          </w:tcPr>
          <w:p w14:paraId="08CC65DF" w14:textId="77777777" w:rsidR="00E93F58" w:rsidRPr="00576D60" w:rsidRDefault="00E93F58" w:rsidP="003D2B1E">
            <w:pPr>
              <w:pStyle w:val="ENoteTableText"/>
            </w:pPr>
          </w:p>
        </w:tc>
        <w:tc>
          <w:tcPr>
            <w:tcW w:w="3500" w:type="pct"/>
            <w:shd w:val="clear" w:color="auto" w:fill="auto"/>
          </w:tcPr>
          <w:p w14:paraId="246CC66C" w14:textId="77777777" w:rsidR="00E93F58" w:rsidRPr="00576D60" w:rsidRDefault="00E93F58" w:rsidP="003D2B1E">
            <w:pPr>
              <w:pStyle w:val="ENoteTableText"/>
            </w:pPr>
            <w:r w:rsidRPr="00576D60">
              <w:t>am</w:t>
            </w:r>
            <w:r>
              <w:t xml:space="preserve"> No 41, 2002; F2023L01458</w:t>
            </w:r>
          </w:p>
        </w:tc>
      </w:tr>
      <w:tr w:rsidR="00E93F58" w:rsidRPr="00576D60" w14:paraId="68BF3319" w14:textId="77777777" w:rsidTr="002F32E3">
        <w:trPr>
          <w:cantSplit/>
        </w:trPr>
        <w:tc>
          <w:tcPr>
            <w:tcW w:w="1500" w:type="pct"/>
            <w:shd w:val="clear" w:color="auto" w:fill="auto"/>
          </w:tcPr>
          <w:p w14:paraId="646DB23F" w14:textId="77777777" w:rsidR="00E93F58" w:rsidRPr="00576D60" w:rsidRDefault="00E93F58" w:rsidP="003D2B1E">
            <w:pPr>
              <w:pStyle w:val="ENoteTableText"/>
              <w:rPr>
                <w:b/>
              </w:rPr>
            </w:pPr>
            <w:r>
              <w:rPr>
                <w:b/>
              </w:rPr>
              <w:t>Subdivision 5</w:t>
            </w:r>
            <w:r w:rsidRPr="00576D60">
              <w:rPr>
                <w:b/>
              </w:rPr>
              <w:t>.8A</w:t>
            </w:r>
          </w:p>
        </w:tc>
        <w:tc>
          <w:tcPr>
            <w:tcW w:w="3500" w:type="pct"/>
            <w:shd w:val="clear" w:color="auto" w:fill="auto"/>
          </w:tcPr>
          <w:p w14:paraId="5F5C0881" w14:textId="77777777" w:rsidR="00E93F58" w:rsidRPr="00576D60" w:rsidRDefault="00E93F58" w:rsidP="003D2B1E">
            <w:pPr>
              <w:pStyle w:val="ENoteTableText"/>
            </w:pPr>
          </w:p>
        </w:tc>
      </w:tr>
      <w:tr w:rsidR="00E93F58" w:rsidRPr="00576D60" w14:paraId="33FC09F7" w14:textId="77777777" w:rsidTr="002F32E3">
        <w:trPr>
          <w:cantSplit/>
        </w:trPr>
        <w:tc>
          <w:tcPr>
            <w:tcW w:w="1500" w:type="pct"/>
            <w:shd w:val="clear" w:color="auto" w:fill="auto"/>
          </w:tcPr>
          <w:p w14:paraId="0A18380D" w14:textId="77777777" w:rsidR="00E93F58" w:rsidRPr="00576D60" w:rsidRDefault="00E93F58" w:rsidP="003D2B1E">
            <w:pPr>
              <w:pStyle w:val="ENoteTableText"/>
              <w:tabs>
                <w:tab w:val="center" w:leader="dot" w:pos="2268"/>
              </w:tabs>
            </w:pPr>
            <w:r>
              <w:t>Subdivision 5</w:t>
            </w:r>
            <w:r w:rsidRPr="00576D60">
              <w:t>.8A</w:t>
            </w:r>
            <w:r w:rsidRPr="00576D60">
              <w:tab/>
            </w:r>
          </w:p>
        </w:tc>
        <w:tc>
          <w:tcPr>
            <w:tcW w:w="3500" w:type="pct"/>
            <w:shd w:val="clear" w:color="auto" w:fill="auto"/>
          </w:tcPr>
          <w:p w14:paraId="5E2B08C3" w14:textId="77777777" w:rsidR="00E93F58" w:rsidRPr="00576D60" w:rsidRDefault="00E93F58" w:rsidP="003D2B1E">
            <w:pPr>
              <w:pStyle w:val="ENoteTableText"/>
            </w:pPr>
            <w:r w:rsidRPr="00576D60">
              <w:t>ad F2019L00539</w:t>
            </w:r>
          </w:p>
        </w:tc>
      </w:tr>
      <w:tr w:rsidR="00E93F58" w:rsidRPr="00576D60" w14:paraId="1C2AFA5E" w14:textId="77777777" w:rsidTr="002F32E3">
        <w:trPr>
          <w:cantSplit/>
        </w:trPr>
        <w:tc>
          <w:tcPr>
            <w:tcW w:w="1500" w:type="pct"/>
            <w:shd w:val="clear" w:color="auto" w:fill="auto"/>
          </w:tcPr>
          <w:p w14:paraId="67171C80" w14:textId="77777777" w:rsidR="00E93F58" w:rsidRPr="00576D60" w:rsidRDefault="00E93F58" w:rsidP="003D2B1E">
            <w:pPr>
              <w:pStyle w:val="ENoteTableText"/>
              <w:tabs>
                <w:tab w:val="center" w:leader="dot" w:pos="2268"/>
              </w:tabs>
            </w:pPr>
            <w:r w:rsidRPr="00576D60">
              <w:t>r 7.9.44A</w:t>
            </w:r>
            <w:r w:rsidRPr="00576D60">
              <w:tab/>
            </w:r>
          </w:p>
        </w:tc>
        <w:tc>
          <w:tcPr>
            <w:tcW w:w="3500" w:type="pct"/>
            <w:shd w:val="clear" w:color="auto" w:fill="auto"/>
          </w:tcPr>
          <w:p w14:paraId="7CAD372F" w14:textId="77777777" w:rsidR="00E93F58" w:rsidRPr="00576D60" w:rsidRDefault="00E93F58" w:rsidP="003D2B1E">
            <w:pPr>
              <w:pStyle w:val="ENoteTableText"/>
            </w:pPr>
            <w:r w:rsidRPr="00576D60">
              <w:t>ad F2019L00539</w:t>
            </w:r>
          </w:p>
        </w:tc>
      </w:tr>
      <w:tr w:rsidR="00E93F58" w:rsidRPr="00576D60" w14:paraId="740B02BF" w14:textId="77777777" w:rsidTr="002F32E3">
        <w:trPr>
          <w:cantSplit/>
        </w:trPr>
        <w:tc>
          <w:tcPr>
            <w:tcW w:w="1500" w:type="pct"/>
            <w:shd w:val="clear" w:color="auto" w:fill="auto"/>
          </w:tcPr>
          <w:p w14:paraId="37D39807" w14:textId="77777777" w:rsidR="00E93F58" w:rsidRPr="00576D60" w:rsidRDefault="00E93F58" w:rsidP="003D2B1E">
            <w:pPr>
              <w:pStyle w:val="ENoteTableText"/>
              <w:tabs>
                <w:tab w:val="center" w:leader="dot" w:pos="2268"/>
              </w:tabs>
            </w:pPr>
            <w:r w:rsidRPr="00576D60">
              <w:t>r 7.9.44B</w:t>
            </w:r>
            <w:r w:rsidRPr="00576D60">
              <w:tab/>
            </w:r>
          </w:p>
        </w:tc>
        <w:tc>
          <w:tcPr>
            <w:tcW w:w="3500" w:type="pct"/>
            <w:shd w:val="clear" w:color="auto" w:fill="auto"/>
          </w:tcPr>
          <w:p w14:paraId="4B7C2101" w14:textId="77777777" w:rsidR="00E93F58" w:rsidRPr="00576D60" w:rsidRDefault="00E93F58" w:rsidP="003D2B1E">
            <w:pPr>
              <w:pStyle w:val="ENoteTableText"/>
            </w:pPr>
            <w:r w:rsidRPr="00576D60">
              <w:t>ad F2019L00539</w:t>
            </w:r>
          </w:p>
        </w:tc>
      </w:tr>
      <w:tr w:rsidR="00E93F58" w:rsidRPr="00576D60" w14:paraId="461FFC9F" w14:textId="77777777" w:rsidTr="002F32E3">
        <w:trPr>
          <w:cantSplit/>
        </w:trPr>
        <w:tc>
          <w:tcPr>
            <w:tcW w:w="1500" w:type="pct"/>
            <w:shd w:val="clear" w:color="auto" w:fill="auto"/>
          </w:tcPr>
          <w:p w14:paraId="65753BFE" w14:textId="77777777" w:rsidR="00E93F58" w:rsidRPr="00576D60" w:rsidRDefault="00E93F58" w:rsidP="003D2B1E">
            <w:pPr>
              <w:pStyle w:val="ENoteTableText"/>
              <w:tabs>
                <w:tab w:val="center" w:leader="dot" w:pos="2268"/>
              </w:tabs>
            </w:pPr>
            <w:r w:rsidRPr="00576D60">
              <w:t>r 7.9.44C</w:t>
            </w:r>
            <w:r w:rsidRPr="00576D60">
              <w:tab/>
            </w:r>
          </w:p>
        </w:tc>
        <w:tc>
          <w:tcPr>
            <w:tcW w:w="3500" w:type="pct"/>
            <w:shd w:val="clear" w:color="auto" w:fill="auto"/>
          </w:tcPr>
          <w:p w14:paraId="5D8B5A9C" w14:textId="77777777" w:rsidR="00E93F58" w:rsidRPr="00576D60" w:rsidRDefault="00E93F58" w:rsidP="003D2B1E">
            <w:pPr>
              <w:pStyle w:val="ENoteTableText"/>
            </w:pPr>
            <w:r w:rsidRPr="00576D60">
              <w:t>ad F2019L00539</w:t>
            </w:r>
          </w:p>
        </w:tc>
      </w:tr>
      <w:tr w:rsidR="00E93F58" w:rsidRPr="00576D60" w14:paraId="7EA38DC0" w14:textId="77777777" w:rsidTr="002F32E3">
        <w:trPr>
          <w:cantSplit/>
        </w:trPr>
        <w:tc>
          <w:tcPr>
            <w:tcW w:w="1500" w:type="pct"/>
            <w:shd w:val="clear" w:color="auto" w:fill="auto"/>
          </w:tcPr>
          <w:p w14:paraId="542B3375" w14:textId="77777777" w:rsidR="00E93F58" w:rsidRPr="00576D60" w:rsidRDefault="00E93F58" w:rsidP="003D2B1E">
            <w:pPr>
              <w:pStyle w:val="ENoteTableText"/>
              <w:tabs>
                <w:tab w:val="left" w:leader="dot" w:pos="2268"/>
              </w:tabs>
              <w:rPr>
                <w:b/>
              </w:rPr>
            </w:pPr>
            <w:r>
              <w:rPr>
                <w:b/>
              </w:rPr>
              <w:t>Subdivision 5</w:t>
            </w:r>
            <w:r w:rsidRPr="00576D60">
              <w:rPr>
                <w:b/>
              </w:rPr>
              <w:t>.9</w:t>
            </w:r>
          </w:p>
        </w:tc>
        <w:tc>
          <w:tcPr>
            <w:tcW w:w="3500" w:type="pct"/>
            <w:shd w:val="clear" w:color="auto" w:fill="auto"/>
          </w:tcPr>
          <w:p w14:paraId="1861E53A" w14:textId="77777777" w:rsidR="00E93F58" w:rsidRPr="00576D60" w:rsidRDefault="00E93F58" w:rsidP="003D2B1E">
            <w:pPr>
              <w:pStyle w:val="ENoteTableText"/>
            </w:pPr>
          </w:p>
        </w:tc>
      </w:tr>
      <w:tr w:rsidR="00E93F58" w:rsidRPr="00576D60" w14:paraId="179DB1FE" w14:textId="77777777" w:rsidTr="002F32E3">
        <w:trPr>
          <w:cantSplit/>
        </w:trPr>
        <w:tc>
          <w:tcPr>
            <w:tcW w:w="1500" w:type="pct"/>
            <w:shd w:val="clear" w:color="auto" w:fill="auto"/>
          </w:tcPr>
          <w:p w14:paraId="6381FAFB" w14:textId="77777777" w:rsidR="00E93F58" w:rsidRPr="00576D60" w:rsidRDefault="00E93F58" w:rsidP="003D2B1E">
            <w:pPr>
              <w:pStyle w:val="ENoteTableText"/>
              <w:tabs>
                <w:tab w:val="left" w:leader="dot" w:pos="2268"/>
              </w:tabs>
            </w:pPr>
            <w:r w:rsidRPr="00576D60">
              <w:t>r 7.9.45</w:t>
            </w:r>
            <w:r w:rsidRPr="00576D60">
              <w:tab/>
            </w:r>
          </w:p>
        </w:tc>
        <w:tc>
          <w:tcPr>
            <w:tcW w:w="3500" w:type="pct"/>
            <w:shd w:val="clear" w:color="auto" w:fill="auto"/>
          </w:tcPr>
          <w:p w14:paraId="0C864F52" w14:textId="77777777" w:rsidR="00E93F58" w:rsidRPr="00576D60" w:rsidRDefault="00E93F58" w:rsidP="003D2B1E">
            <w:pPr>
              <w:pStyle w:val="ENoteTableText"/>
            </w:pPr>
            <w:r w:rsidRPr="00576D60">
              <w:t>ad No 319, 2001</w:t>
            </w:r>
          </w:p>
        </w:tc>
      </w:tr>
      <w:tr w:rsidR="00E93F58" w:rsidRPr="00576D60" w14:paraId="41DE0198" w14:textId="77777777" w:rsidTr="002F32E3">
        <w:trPr>
          <w:cantSplit/>
        </w:trPr>
        <w:tc>
          <w:tcPr>
            <w:tcW w:w="1500" w:type="pct"/>
            <w:shd w:val="clear" w:color="auto" w:fill="auto"/>
          </w:tcPr>
          <w:p w14:paraId="17C20F67" w14:textId="77777777" w:rsidR="00E93F58" w:rsidRPr="00576D60" w:rsidRDefault="00E93F58" w:rsidP="003D2B1E">
            <w:pPr>
              <w:pStyle w:val="ENoteTableText"/>
            </w:pPr>
          </w:p>
        </w:tc>
        <w:tc>
          <w:tcPr>
            <w:tcW w:w="3500" w:type="pct"/>
            <w:shd w:val="clear" w:color="auto" w:fill="auto"/>
          </w:tcPr>
          <w:p w14:paraId="0AD5A9C1" w14:textId="77777777" w:rsidR="00E93F58" w:rsidRPr="00576D60" w:rsidRDefault="00E93F58" w:rsidP="003D2B1E">
            <w:pPr>
              <w:pStyle w:val="ENoteTableText"/>
            </w:pPr>
            <w:r w:rsidRPr="00576D60">
              <w:t>am No 16, 2002; F2023L00990</w:t>
            </w:r>
            <w:r>
              <w:t>; F2023L01458</w:t>
            </w:r>
          </w:p>
        </w:tc>
      </w:tr>
      <w:tr w:rsidR="00E93F58" w:rsidRPr="00576D60" w14:paraId="6BA1C283" w14:textId="77777777" w:rsidTr="002F32E3">
        <w:trPr>
          <w:cantSplit/>
        </w:trPr>
        <w:tc>
          <w:tcPr>
            <w:tcW w:w="1500" w:type="pct"/>
            <w:shd w:val="clear" w:color="auto" w:fill="auto"/>
          </w:tcPr>
          <w:p w14:paraId="7CEFEBB2" w14:textId="77777777" w:rsidR="00E93F58" w:rsidRPr="00576D60" w:rsidRDefault="00E93F58" w:rsidP="003D2B1E">
            <w:pPr>
              <w:pStyle w:val="ENoteTableText"/>
              <w:tabs>
                <w:tab w:val="left" w:leader="dot" w:pos="2268"/>
              </w:tabs>
            </w:pPr>
            <w:r w:rsidRPr="00576D60">
              <w:t>r. 7.9.46</w:t>
            </w:r>
            <w:r w:rsidRPr="00576D60">
              <w:tab/>
            </w:r>
          </w:p>
        </w:tc>
        <w:tc>
          <w:tcPr>
            <w:tcW w:w="3500" w:type="pct"/>
            <w:shd w:val="clear" w:color="auto" w:fill="auto"/>
          </w:tcPr>
          <w:p w14:paraId="1B3216CF" w14:textId="77777777" w:rsidR="00E93F58" w:rsidRPr="00576D60" w:rsidRDefault="00E93F58" w:rsidP="003D2B1E">
            <w:pPr>
              <w:pStyle w:val="ENoteTableText"/>
            </w:pPr>
            <w:r w:rsidRPr="00576D60">
              <w:t>ad. 2001 No. 319</w:t>
            </w:r>
          </w:p>
        </w:tc>
      </w:tr>
      <w:tr w:rsidR="00E93F58" w:rsidRPr="00576D60" w14:paraId="7CBD7503" w14:textId="77777777" w:rsidTr="002F32E3">
        <w:trPr>
          <w:cantSplit/>
        </w:trPr>
        <w:tc>
          <w:tcPr>
            <w:tcW w:w="1500" w:type="pct"/>
            <w:shd w:val="clear" w:color="auto" w:fill="auto"/>
          </w:tcPr>
          <w:p w14:paraId="37B00816" w14:textId="77777777" w:rsidR="00E93F58" w:rsidRPr="00576D60" w:rsidRDefault="00E93F58" w:rsidP="003D2B1E">
            <w:pPr>
              <w:pStyle w:val="ENoteTableText"/>
              <w:tabs>
                <w:tab w:val="left" w:leader="dot" w:pos="2268"/>
              </w:tabs>
              <w:rPr>
                <w:b/>
              </w:rPr>
            </w:pPr>
            <w:r>
              <w:rPr>
                <w:b/>
              </w:rPr>
              <w:t>Subdivision 5</w:t>
            </w:r>
            <w:r w:rsidRPr="00576D60">
              <w:rPr>
                <w:b/>
              </w:rPr>
              <w:t>.10</w:t>
            </w:r>
          </w:p>
        </w:tc>
        <w:tc>
          <w:tcPr>
            <w:tcW w:w="3500" w:type="pct"/>
            <w:shd w:val="clear" w:color="auto" w:fill="auto"/>
          </w:tcPr>
          <w:p w14:paraId="77330E6D" w14:textId="77777777" w:rsidR="00E93F58" w:rsidRPr="00576D60" w:rsidRDefault="00E93F58" w:rsidP="003D2B1E">
            <w:pPr>
              <w:pStyle w:val="ENoteTableText"/>
            </w:pPr>
          </w:p>
        </w:tc>
      </w:tr>
      <w:tr w:rsidR="00E93F58" w:rsidRPr="00576D60" w14:paraId="2A49BB33" w14:textId="77777777" w:rsidTr="002F32E3">
        <w:trPr>
          <w:cantSplit/>
        </w:trPr>
        <w:tc>
          <w:tcPr>
            <w:tcW w:w="1500" w:type="pct"/>
            <w:shd w:val="clear" w:color="auto" w:fill="auto"/>
          </w:tcPr>
          <w:p w14:paraId="0B3EF964" w14:textId="77777777" w:rsidR="00E93F58" w:rsidRPr="00576D60" w:rsidRDefault="00E93F58" w:rsidP="003D2B1E">
            <w:pPr>
              <w:pStyle w:val="ENoteTableText"/>
              <w:tabs>
                <w:tab w:val="left" w:leader="dot" w:pos="2268"/>
              </w:tabs>
            </w:pPr>
            <w:r w:rsidRPr="00576D60">
              <w:t>r. 7.9.47</w:t>
            </w:r>
            <w:r w:rsidRPr="00576D60">
              <w:tab/>
            </w:r>
          </w:p>
        </w:tc>
        <w:tc>
          <w:tcPr>
            <w:tcW w:w="3500" w:type="pct"/>
            <w:shd w:val="clear" w:color="auto" w:fill="auto"/>
          </w:tcPr>
          <w:p w14:paraId="09F22A34" w14:textId="77777777" w:rsidR="00E93F58" w:rsidRPr="00576D60" w:rsidRDefault="00E93F58" w:rsidP="003D2B1E">
            <w:pPr>
              <w:pStyle w:val="ENoteTableText"/>
            </w:pPr>
            <w:r w:rsidRPr="00576D60">
              <w:t>ad. 2001 No. 319</w:t>
            </w:r>
          </w:p>
        </w:tc>
      </w:tr>
      <w:tr w:rsidR="00E93F58" w:rsidRPr="00576D60" w14:paraId="59CFCF72" w14:textId="77777777" w:rsidTr="002F32E3">
        <w:trPr>
          <w:cantSplit/>
        </w:trPr>
        <w:tc>
          <w:tcPr>
            <w:tcW w:w="1500" w:type="pct"/>
            <w:shd w:val="clear" w:color="auto" w:fill="auto"/>
          </w:tcPr>
          <w:p w14:paraId="699F50BE" w14:textId="77777777" w:rsidR="00E93F58" w:rsidRPr="00576D60" w:rsidRDefault="00E93F58" w:rsidP="003D2B1E">
            <w:pPr>
              <w:pStyle w:val="ENoteTableText"/>
              <w:tabs>
                <w:tab w:val="left" w:leader="dot" w:pos="2268"/>
              </w:tabs>
            </w:pPr>
            <w:r>
              <w:t>Subdivision 5</w:t>
            </w:r>
            <w:r w:rsidRPr="00576D60">
              <w:t>.11</w:t>
            </w:r>
            <w:r w:rsidRPr="00576D60">
              <w:tab/>
            </w:r>
          </w:p>
        </w:tc>
        <w:tc>
          <w:tcPr>
            <w:tcW w:w="3500" w:type="pct"/>
            <w:shd w:val="clear" w:color="auto" w:fill="auto"/>
          </w:tcPr>
          <w:p w14:paraId="1FE9723A" w14:textId="77777777" w:rsidR="00E93F58" w:rsidRPr="00576D60" w:rsidRDefault="00E93F58" w:rsidP="003D2B1E">
            <w:pPr>
              <w:pStyle w:val="ENoteTableText"/>
            </w:pPr>
            <w:r w:rsidRPr="00576D60">
              <w:t>rep F2018L00515</w:t>
            </w:r>
          </w:p>
        </w:tc>
      </w:tr>
      <w:tr w:rsidR="00E93F58" w:rsidRPr="00576D60" w14:paraId="659166C4" w14:textId="77777777" w:rsidTr="002F32E3">
        <w:trPr>
          <w:cantSplit/>
        </w:trPr>
        <w:tc>
          <w:tcPr>
            <w:tcW w:w="1500" w:type="pct"/>
            <w:shd w:val="clear" w:color="auto" w:fill="auto"/>
          </w:tcPr>
          <w:p w14:paraId="145620FB" w14:textId="77777777" w:rsidR="00E93F58" w:rsidRPr="00576D60" w:rsidRDefault="00E93F58" w:rsidP="003D2B1E">
            <w:pPr>
              <w:pStyle w:val="ENoteTableText"/>
              <w:tabs>
                <w:tab w:val="left" w:leader="dot" w:pos="2268"/>
              </w:tabs>
            </w:pPr>
            <w:r w:rsidRPr="00576D60">
              <w:t>r. 7.9.48</w:t>
            </w:r>
            <w:r w:rsidRPr="00576D60">
              <w:tab/>
            </w:r>
          </w:p>
        </w:tc>
        <w:tc>
          <w:tcPr>
            <w:tcW w:w="3500" w:type="pct"/>
            <w:shd w:val="clear" w:color="auto" w:fill="auto"/>
          </w:tcPr>
          <w:p w14:paraId="473C0B7C" w14:textId="77777777" w:rsidR="00E93F58" w:rsidRPr="00576D60" w:rsidRDefault="00E93F58" w:rsidP="003D2B1E">
            <w:pPr>
              <w:pStyle w:val="ENoteTableText"/>
            </w:pPr>
            <w:r w:rsidRPr="00576D60">
              <w:t>ad. 2001 No. 319</w:t>
            </w:r>
          </w:p>
        </w:tc>
      </w:tr>
      <w:tr w:rsidR="00E93F58" w:rsidRPr="00576D60" w14:paraId="6CA4F5C5" w14:textId="77777777" w:rsidTr="002F32E3">
        <w:trPr>
          <w:cantSplit/>
        </w:trPr>
        <w:tc>
          <w:tcPr>
            <w:tcW w:w="1500" w:type="pct"/>
            <w:shd w:val="clear" w:color="auto" w:fill="auto"/>
          </w:tcPr>
          <w:p w14:paraId="16205B6D" w14:textId="77777777" w:rsidR="00E93F58" w:rsidRPr="00576D60" w:rsidRDefault="00E93F58" w:rsidP="003D2B1E">
            <w:pPr>
              <w:pStyle w:val="ENoteTableText"/>
            </w:pPr>
          </w:p>
        </w:tc>
        <w:tc>
          <w:tcPr>
            <w:tcW w:w="3500" w:type="pct"/>
            <w:shd w:val="clear" w:color="auto" w:fill="auto"/>
          </w:tcPr>
          <w:p w14:paraId="72601F7D" w14:textId="77777777" w:rsidR="00E93F58" w:rsidRPr="00576D60" w:rsidRDefault="00E93F58" w:rsidP="003D2B1E">
            <w:pPr>
              <w:pStyle w:val="ENoteTableText"/>
            </w:pPr>
            <w:r w:rsidRPr="00576D60">
              <w:t>am. 2002 No. 16</w:t>
            </w:r>
          </w:p>
        </w:tc>
      </w:tr>
      <w:tr w:rsidR="00E93F58" w:rsidRPr="00576D60" w14:paraId="7CD42E80" w14:textId="77777777" w:rsidTr="002F32E3">
        <w:trPr>
          <w:cantSplit/>
        </w:trPr>
        <w:tc>
          <w:tcPr>
            <w:tcW w:w="1500" w:type="pct"/>
            <w:shd w:val="clear" w:color="auto" w:fill="auto"/>
          </w:tcPr>
          <w:p w14:paraId="0F756E0C" w14:textId="77777777" w:rsidR="00E93F58" w:rsidRPr="00576D60" w:rsidRDefault="00E93F58" w:rsidP="003D2B1E">
            <w:pPr>
              <w:pStyle w:val="ENoteTableText"/>
            </w:pPr>
          </w:p>
        </w:tc>
        <w:tc>
          <w:tcPr>
            <w:tcW w:w="3500" w:type="pct"/>
            <w:shd w:val="clear" w:color="auto" w:fill="auto"/>
          </w:tcPr>
          <w:p w14:paraId="270B6FFE" w14:textId="77777777" w:rsidR="00E93F58" w:rsidRPr="00576D60" w:rsidRDefault="00E93F58" w:rsidP="003D2B1E">
            <w:pPr>
              <w:pStyle w:val="ENoteTableText"/>
            </w:pPr>
            <w:r w:rsidRPr="00576D60">
              <w:t>rs. No. 155, 2013</w:t>
            </w:r>
          </w:p>
        </w:tc>
      </w:tr>
      <w:tr w:rsidR="00E93F58" w:rsidRPr="00576D60" w14:paraId="4DD9DD92" w14:textId="77777777" w:rsidTr="002F32E3">
        <w:trPr>
          <w:cantSplit/>
        </w:trPr>
        <w:tc>
          <w:tcPr>
            <w:tcW w:w="1500" w:type="pct"/>
            <w:shd w:val="clear" w:color="auto" w:fill="auto"/>
          </w:tcPr>
          <w:p w14:paraId="7308CC6C" w14:textId="77777777" w:rsidR="00E93F58" w:rsidRPr="00576D60" w:rsidRDefault="00E93F58" w:rsidP="003D2B1E">
            <w:pPr>
              <w:pStyle w:val="ENoteTableText"/>
            </w:pPr>
          </w:p>
        </w:tc>
        <w:tc>
          <w:tcPr>
            <w:tcW w:w="3500" w:type="pct"/>
            <w:shd w:val="clear" w:color="auto" w:fill="auto"/>
          </w:tcPr>
          <w:p w14:paraId="3397490A" w14:textId="77777777" w:rsidR="00E93F58" w:rsidRPr="00576D60" w:rsidRDefault="00E93F58" w:rsidP="003D2B1E">
            <w:pPr>
              <w:pStyle w:val="ENoteTableText"/>
            </w:pPr>
            <w:r w:rsidRPr="00576D60">
              <w:t>rep F2018L00515</w:t>
            </w:r>
          </w:p>
        </w:tc>
      </w:tr>
      <w:tr w:rsidR="00E93F58" w:rsidRPr="00576D60" w14:paraId="73645987" w14:textId="77777777" w:rsidTr="002F32E3">
        <w:trPr>
          <w:cantSplit/>
        </w:trPr>
        <w:tc>
          <w:tcPr>
            <w:tcW w:w="1500" w:type="pct"/>
            <w:shd w:val="clear" w:color="auto" w:fill="auto"/>
          </w:tcPr>
          <w:p w14:paraId="3A161B2E" w14:textId="77777777" w:rsidR="00E93F58" w:rsidRPr="00576D60" w:rsidRDefault="00E93F58" w:rsidP="003D2B1E">
            <w:pPr>
              <w:pStyle w:val="ENoteTableText"/>
              <w:tabs>
                <w:tab w:val="left" w:leader="dot" w:pos="2268"/>
              </w:tabs>
            </w:pPr>
            <w:r w:rsidRPr="00576D60">
              <w:t>r. 7.9.48A (first occurring)</w:t>
            </w:r>
            <w:r w:rsidRPr="00576D60">
              <w:tab/>
            </w:r>
          </w:p>
        </w:tc>
        <w:tc>
          <w:tcPr>
            <w:tcW w:w="3500" w:type="pct"/>
            <w:shd w:val="clear" w:color="auto" w:fill="auto"/>
          </w:tcPr>
          <w:p w14:paraId="7D1D9830" w14:textId="77777777" w:rsidR="00E93F58" w:rsidRPr="00576D60" w:rsidRDefault="00E93F58" w:rsidP="003D2B1E">
            <w:pPr>
              <w:pStyle w:val="ENoteTableText"/>
            </w:pPr>
            <w:r w:rsidRPr="00576D60">
              <w:t>ad. No. 155, 2013</w:t>
            </w:r>
          </w:p>
        </w:tc>
      </w:tr>
      <w:tr w:rsidR="00E93F58" w:rsidRPr="00576D60" w14:paraId="06C2F028" w14:textId="77777777" w:rsidTr="002F32E3">
        <w:trPr>
          <w:cantSplit/>
        </w:trPr>
        <w:tc>
          <w:tcPr>
            <w:tcW w:w="1500" w:type="pct"/>
            <w:shd w:val="clear" w:color="auto" w:fill="auto"/>
          </w:tcPr>
          <w:p w14:paraId="6BCB860D" w14:textId="77777777" w:rsidR="00E93F58" w:rsidRPr="00576D60" w:rsidRDefault="00E93F58" w:rsidP="003D2B1E">
            <w:pPr>
              <w:pStyle w:val="ENoteTableText"/>
              <w:tabs>
                <w:tab w:val="left" w:leader="dot" w:pos="2268"/>
              </w:tabs>
            </w:pPr>
          </w:p>
        </w:tc>
        <w:tc>
          <w:tcPr>
            <w:tcW w:w="3500" w:type="pct"/>
            <w:shd w:val="clear" w:color="auto" w:fill="auto"/>
          </w:tcPr>
          <w:p w14:paraId="79E2A438" w14:textId="77777777" w:rsidR="00E93F58" w:rsidRPr="00576D60" w:rsidRDefault="00E93F58" w:rsidP="003D2B1E">
            <w:pPr>
              <w:pStyle w:val="ENoteTableText"/>
            </w:pPr>
            <w:r w:rsidRPr="00576D60">
              <w:t>rep F2018L00515</w:t>
            </w:r>
          </w:p>
        </w:tc>
      </w:tr>
      <w:tr w:rsidR="00E93F58" w:rsidRPr="00576D60" w14:paraId="3270C9AB" w14:textId="77777777" w:rsidTr="002F32E3">
        <w:trPr>
          <w:cantSplit/>
        </w:trPr>
        <w:tc>
          <w:tcPr>
            <w:tcW w:w="1500" w:type="pct"/>
            <w:shd w:val="clear" w:color="auto" w:fill="auto"/>
          </w:tcPr>
          <w:p w14:paraId="7F83F316" w14:textId="77777777" w:rsidR="00E93F58" w:rsidRPr="00576D60" w:rsidRDefault="00E93F58" w:rsidP="003D2B1E">
            <w:pPr>
              <w:pStyle w:val="ENoteTableText"/>
              <w:tabs>
                <w:tab w:val="left" w:leader="dot" w:pos="2268"/>
              </w:tabs>
            </w:pPr>
            <w:r w:rsidRPr="00576D60">
              <w:t>r. 7.9.48B (first occurring)</w:t>
            </w:r>
            <w:r w:rsidRPr="00576D60">
              <w:tab/>
            </w:r>
          </w:p>
        </w:tc>
        <w:tc>
          <w:tcPr>
            <w:tcW w:w="3500" w:type="pct"/>
            <w:shd w:val="clear" w:color="auto" w:fill="auto"/>
          </w:tcPr>
          <w:p w14:paraId="04119AEB" w14:textId="77777777" w:rsidR="00E93F58" w:rsidRPr="00576D60" w:rsidRDefault="00E93F58" w:rsidP="003D2B1E">
            <w:pPr>
              <w:pStyle w:val="ENoteTableText"/>
            </w:pPr>
            <w:r w:rsidRPr="00576D60">
              <w:t>ad. No. 155, 2013</w:t>
            </w:r>
          </w:p>
        </w:tc>
      </w:tr>
      <w:tr w:rsidR="00E93F58" w:rsidRPr="00576D60" w14:paraId="6575DFEE" w14:textId="77777777" w:rsidTr="002F32E3">
        <w:trPr>
          <w:cantSplit/>
        </w:trPr>
        <w:tc>
          <w:tcPr>
            <w:tcW w:w="1500" w:type="pct"/>
            <w:shd w:val="clear" w:color="auto" w:fill="auto"/>
          </w:tcPr>
          <w:p w14:paraId="2BF5639D" w14:textId="77777777" w:rsidR="00E93F58" w:rsidRPr="00576D60" w:rsidRDefault="00E93F58" w:rsidP="003D2B1E">
            <w:pPr>
              <w:pStyle w:val="ENoteTableText"/>
              <w:tabs>
                <w:tab w:val="left" w:leader="dot" w:pos="2268"/>
              </w:tabs>
            </w:pPr>
          </w:p>
        </w:tc>
        <w:tc>
          <w:tcPr>
            <w:tcW w:w="3500" w:type="pct"/>
            <w:shd w:val="clear" w:color="auto" w:fill="auto"/>
          </w:tcPr>
          <w:p w14:paraId="7FFB443D" w14:textId="77777777" w:rsidR="00E93F58" w:rsidRPr="00576D60" w:rsidRDefault="00E93F58" w:rsidP="003D2B1E">
            <w:pPr>
              <w:pStyle w:val="ENoteTableText"/>
            </w:pPr>
            <w:r w:rsidRPr="00576D60">
              <w:t>rep F2018L00515</w:t>
            </w:r>
          </w:p>
        </w:tc>
      </w:tr>
      <w:tr w:rsidR="00E93F58" w:rsidRPr="00576D60" w14:paraId="6045C20B" w14:textId="77777777" w:rsidTr="002F32E3">
        <w:trPr>
          <w:cantSplit/>
        </w:trPr>
        <w:tc>
          <w:tcPr>
            <w:tcW w:w="1500" w:type="pct"/>
            <w:shd w:val="clear" w:color="auto" w:fill="auto"/>
          </w:tcPr>
          <w:p w14:paraId="761C8C64" w14:textId="77777777" w:rsidR="00E93F58" w:rsidRPr="00576D60" w:rsidRDefault="00E93F58" w:rsidP="003D2B1E">
            <w:pPr>
              <w:pStyle w:val="ENoteTableText"/>
              <w:tabs>
                <w:tab w:val="left" w:leader="dot" w:pos="2268"/>
              </w:tabs>
            </w:pPr>
            <w:r w:rsidRPr="00576D60">
              <w:t>r. 7.9.48C</w:t>
            </w:r>
            <w:r w:rsidRPr="00576D60">
              <w:tab/>
            </w:r>
          </w:p>
        </w:tc>
        <w:tc>
          <w:tcPr>
            <w:tcW w:w="3500" w:type="pct"/>
            <w:shd w:val="clear" w:color="auto" w:fill="auto"/>
          </w:tcPr>
          <w:p w14:paraId="4042DDDA" w14:textId="77777777" w:rsidR="00E93F58" w:rsidRPr="00576D60" w:rsidRDefault="00E93F58" w:rsidP="003D2B1E">
            <w:pPr>
              <w:pStyle w:val="ENoteTableText"/>
            </w:pPr>
            <w:r w:rsidRPr="00576D60">
              <w:t>ad. No. 155, 2013</w:t>
            </w:r>
          </w:p>
        </w:tc>
      </w:tr>
      <w:tr w:rsidR="00E93F58" w:rsidRPr="00576D60" w14:paraId="6E3A2968" w14:textId="77777777" w:rsidTr="002F32E3">
        <w:trPr>
          <w:cantSplit/>
        </w:trPr>
        <w:tc>
          <w:tcPr>
            <w:tcW w:w="1500" w:type="pct"/>
            <w:shd w:val="clear" w:color="auto" w:fill="auto"/>
          </w:tcPr>
          <w:p w14:paraId="6F3215A2" w14:textId="77777777" w:rsidR="00E93F58" w:rsidRPr="00576D60" w:rsidRDefault="00E93F58" w:rsidP="003D2B1E">
            <w:pPr>
              <w:pStyle w:val="ENoteTableText"/>
              <w:tabs>
                <w:tab w:val="left" w:leader="dot" w:pos="2268"/>
              </w:tabs>
            </w:pPr>
          </w:p>
        </w:tc>
        <w:tc>
          <w:tcPr>
            <w:tcW w:w="3500" w:type="pct"/>
            <w:shd w:val="clear" w:color="auto" w:fill="auto"/>
          </w:tcPr>
          <w:p w14:paraId="6F74C86E" w14:textId="77777777" w:rsidR="00E93F58" w:rsidRPr="00576D60" w:rsidRDefault="00E93F58" w:rsidP="003D2B1E">
            <w:pPr>
              <w:pStyle w:val="ENoteTableText"/>
            </w:pPr>
            <w:r w:rsidRPr="00576D60">
              <w:t>rep F2018L00515</w:t>
            </w:r>
          </w:p>
        </w:tc>
      </w:tr>
      <w:tr w:rsidR="00E93F58" w:rsidRPr="00576D60" w14:paraId="0555F861" w14:textId="77777777" w:rsidTr="002F32E3">
        <w:trPr>
          <w:cantSplit/>
        </w:trPr>
        <w:tc>
          <w:tcPr>
            <w:tcW w:w="1500" w:type="pct"/>
            <w:shd w:val="clear" w:color="auto" w:fill="auto"/>
          </w:tcPr>
          <w:p w14:paraId="485367F4" w14:textId="77777777" w:rsidR="00E93F58" w:rsidRPr="00576D60" w:rsidRDefault="00E93F58" w:rsidP="003D2B1E">
            <w:pPr>
              <w:pStyle w:val="ENoteTableText"/>
              <w:tabs>
                <w:tab w:val="left" w:leader="dot" w:pos="2268"/>
              </w:tabs>
            </w:pPr>
            <w:r w:rsidRPr="00576D60">
              <w:t>r. 7.9.48D</w:t>
            </w:r>
            <w:r w:rsidRPr="00576D60">
              <w:tab/>
            </w:r>
          </w:p>
        </w:tc>
        <w:tc>
          <w:tcPr>
            <w:tcW w:w="3500" w:type="pct"/>
            <w:shd w:val="clear" w:color="auto" w:fill="auto"/>
          </w:tcPr>
          <w:p w14:paraId="42C7C824" w14:textId="77777777" w:rsidR="00E93F58" w:rsidRPr="00576D60" w:rsidRDefault="00E93F58" w:rsidP="003D2B1E">
            <w:pPr>
              <w:pStyle w:val="ENoteTableText"/>
            </w:pPr>
            <w:r w:rsidRPr="00576D60">
              <w:t>ad. No. 155, 2013</w:t>
            </w:r>
          </w:p>
        </w:tc>
      </w:tr>
      <w:tr w:rsidR="00E93F58" w:rsidRPr="00576D60" w14:paraId="6568556F" w14:textId="77777777" w:rsidTr="002F32E3">
        <w:trPr>
          <w:cantSplit/>
        </w:trPr>
        <w:tc>
          <w:tcPr>
            <w:tcW w:w="1500" w:type="pct"/>
            <w:shd w:val="clear" w:color="auto" w:fill="auto"/>
          </w:tcPr>
          <w:p w14:paraId="4E2658E9" w14:textId="77777777" w:rsidR="00E93F58" w:rsidRPr="00576D60" w:rsidRDefault="00E93F58" w:rsidP="003D2B1E">
            <w:pPr>
              <w:pStyle w:val="ENoteTableText"/>
              <w:tabs>
                <w:tab w:val="left" w:leader="dot" w:pos="2268"/>
              </w:tabs>
            </w:pPr>
          </w:p>
        </w:tc>
        <w:tc>
          <w:tcPr>
            <w:tcW w:w="3500" w:type="pct"/>
            <w:shd w:val="clear" w:color="auto" w:fill="auto"/>
          </w:tcPr>
          <w:p w14:paraId="302DBAE9" w14:textId="77777777" w:rsidR="00E93F58" w:rsidRPr="00576D60" w:rsidRDefault="00E93F58" w:rsidP="003D2B1E">
            <w:pPr>
              <w:pStyle w:val="ENoteTableText"/>
            </w:pPr>
            <w:r w:rsidRPr="00576D60">
              <w:t>rep F2018L00515</w:t>
            </w:r>
          </w:p>
        </w:tc>
      </w:tr>
      <w:tr w:rsidR="00E93F58" w:rsidRPr="00576D60" w14:paraId="3ECF6942" w14:textId="77777777" w:rsidTr="002F32E3">
        <w:trPr>
          <w:cantSplit/>
        </w:trPr>
        <w:tc>
          <w:tcPr>
            <w:tcW w:w="1500" w:type="pct"/>
            <w:shd w:val="clear" w:color="auto" w:fill="auto"/>
          </w:tcPr>
          <w:p w14:paraId="6EA26687" w14:textId="77777777" w:rsidR="00E93F58" w:rsidRPr="00576D60" w:rsidRDefault="00E93F58" w:rsidP="003D2B1E">
            <w:pPr>
              <w:pStyle w:val="ENoteTableText"/>
              <w:tabs>
                <w:tab w:val="left" w:leader="dot" w:pos="2268"/>
              </w:tabs>
            </w:pPr>
            <w:r w:rsidRPr="00576D60">
              <w:t>r. 7.9.48A (second occurring)</w:t>
            </w:r>
            <w:r w:rsidRPr="00576D60">
              <w:tab/>
            </w:r>
          </w:p>
        </w:tc>
        <w:tc>
          <w:tcPr>
            <w:tcW w:w="3500" w:type="pct"/>
            <w:shd w:val="clear" w:color="auto" w:fill="auto"/>
          </w:tcPr>
          <w:p w14:paraId="674435C3" w14:textId="77777777" w:rsidR="00E93F58" w:rsidRPr="00576D60" w:rsidRDefault="00E93F58" w:rsidP="003D2B1E">
            <w:pPr>
              <w:pStyle w:val="ENoteTableText"/>
            </w:pPr>
            <w:r w:rsidRPr="00576D60">
              <w:t>ad. No. 155, 2013</w:t>
            </w:r>
          </w:p>
        </w:tc>
      </w:tr>
      <w:tr w:rsidR="00E93F58" w:rsidRPr="00576D60" w14:paraId="5FDE0865" w14:textId="77777777" w:rsidTr="002F32E3">
        <w:trPr>
          <w:cantSplit/>
        </w:trPr>
        <w:tc>
          <w:tcPr>
            <w:tcW w:w="1500" w:type="pct"/>
            <w:shd w:val="clear" w:color="auto" w:fill="auto"/>
          </w:tcPr>
          <w:p w14:paraId="3605E6A3" w14:textId="77777777" w:rsidR="00E93F58" w:rsidRPr="00576D60" w:rsidRDefault="00E93F58" w:rsidP="003D2B1E">
            <w:pPr>
              <w:pStyle w:val="ENoteTableText"/>
              <w:tabs>
                <w:tab w:val="left" w:leader="dot" w:pos="2268"/>
              </w:tabs>
            </w:pPr>
          </w:p>
        </w:tc>
        <w:tc>
          <w:tcPr>
            <w:tcW w:w="3500" w:type="pct"/>
            <w:shd w:val="clear" w:color="auto" w:fill="auto"/>
          </w:tcPr>
          <w:p w14:paraId="1B6DD701" w14:textId="77777777" w:rsidR="00E93F58" w:rsidRPr="00576D60" w:rsidRDefault="00E93F58" w:rsidP="003D2B1E">
            <w:pPr>
              <w:pStyle w:val="ENoteTableText"/>
            </w:pPr>
            <w:r w:rsidRPr="00576D60">
              <w:t>rep F2018L00515</w:t>
            </w:r>
          </w:p>
        </w:tc>
      </w:tr>
      <w:tr w:rsidR="00E93F58" w:rsidRPr="00576D60" w14:paraId="5ACDC0B8" w14:textId="77777777" w:rsidTr="002F32E3">
        <w:trPr>
          <w:cantSplit/>
        </w:trPr>
        <w:tc>
          <w:tcPr>
            <w:tcW w:w="1500" w:type="pct"/>
            <w:shd w:val="clear" w:color="auto" w:fill="auto"/>
          </w:tcPr>
          <w:p w14:paraId="63F4EC05" w14:textId="77777777" w:rsidR="00E93F58" w:rsidRPr="00576D60" w:rsidRDefault="00E93F58" w:rsidP="003D2B1E">
            <w:pPr>
              <w:pStyle w:val="ENoteTableText"/>
              <w:tabs>
                <w:tab w:val="left" w:leader="dot" w:pos="2268"/>
              </w:tabs>
            </w:pPr>
            <w:r w:rsidRPr="00576D60">
              <w:t>r. 7.9.48B (second occurring)</w:t>
            </w:r>
            <w:r w:rsidRPr="00576D60">
              <w:tab/>
            </w:r>
          </w:p>
        </w:tc>
        <w:tc>
          <w:tcPr>
            <w:tcW w:w="3500" w:type="pct"/>
            <w:shd w:val="clear" w:color="auto" w:fill="auto"/>
          </w:tcPr>
          <w:p w14:paraId="460F7A25" w14:textId="77777777" w:rsidR="00E93F58" w:rsidRPr="00576D60" w:rsidRDefault="00E93F58" w:rsidP="003D2B1E">
            <w:pPr>
              <w:pStyle w:val="ENoteTableText"/>
            </w:pPr>
            <w:r w:rsidRPr="00576D60">
              <w:t>ad. No. 155, 2013</w:t>
            </w:r>
          </w:p>
        </w:tc>
      </w:tr>
      <w:tr w:rsidR="00E93F58" w:rsidRPr="00576D60" w14:paraId="6349898E" w14:textId="77777777" w:rsidTr="002F32E3">
        <w:trPr>
          <w:cantSplit/>
        </w:trPr>
        <w:tc>
          <w:tcPr>
            <w:tcW w:w="1500" w:type="pct"/>
            <w:shd w:val="clear" w:color="auto" w:fill="auto"/>
          </w:tcPr>
          <w:p w14:paraId="22674689" w14:textId="77777777" w:rsidR="00E93F58" w:rsidRPr="00576D60" w:rsidRDefault="00E93F58" w:rsidP="003D2B1E">
            <w:pPr>
              <w:pStyle w:val="ENoteTableText"/>
              <w:tabs>
                <w:tab w:val="left" w:leader="dot" w:pos="2268"/>
              </w:tabs>
            </w:pPr>
          </w:p>
        </w:tc>
        <w:tc>
          <w:tcPr>
            <w:tcW w:w="3500" w:type="pct"/>
            <w:shd w:val="clear" w:color="auto" w:fill="auto"/>
          </w:tcPr>
          <w:p w14:paraId="6F09BAA0" w14:textId="77777777" w:rsidR="00E93F58" w:rsidRPr="00576D60" w:rsidRDefault="00E93F58" w:rsidP="003D2B1E">
            <w:pPr>
              <w:pStyle w:val="ENoteTableText"/>
              <w:rPr>
                <w:b/>
              </w:rPr>
            </w:pPr>
            <w:r w:rsidRPr="00576D60">
              <w:t>rep F2018L00515</w:t>
            </w:r>
          </w:p>
        </w:tc>
      </w:tr>
      <w:tr w:rsidR="00E93F58" w:rsidRPr="00576D60" w14:paraId="37FFD585" w14:textId="77777777" w:rsidTr="002F32E3">
        <w:trPr>
          <w:cantSplit/>
        </w:trPr>
        <w:tc>
          <w:tcPr>
            <w:tcW w:w="1500" w:type="pct"/>
            <w:shd w:val="clear" w:color="auto" w:fill="auto"/>
          </w:tcPr>
          <w:p w14:paraId="172EE920" w14:textId="77777777" w:rsidR="00E93F58" w:rsidRPr="00576D60" w:rsidRDefault="00E93F58" w:rsidP="00E71EB0">
            <w:pPr>
              <w:pStyle w:val="ENoteTableText"/>
              <w:keepNext/>
              <w:tabs>
                <w:tab w:val="left" w:leader="dot" w:pos="2268"/>
              </w:tabs>
              <w:rPr>
                <w:b/>
              </w:rPr>
            </w:pPr>
            <w:r>
              <w:rPr>
                <w:b/>
              </w:rPr>
              <w:t>Subdivision 5</w:t>
            </w:r>
            <w:r w:rsidRPr="00576D60">
              <w:rPr>
                <w:b/>
              </w:rPr>
              <w:t>.12</w:t>
            </w:r>
          </w:p>
        </w:tc>
        <w:tc>
          <w:tcPr>
            <w:tcW w:w="3500" w:type="pct"/>
            <w:shd w:val="clear" w:color="auto" w:fill="auto"/>
          </w:tcPr>
          <w:p w14:paraId="7DB2309C" w14:textId="77777777" w:rsidR="00E93F58" w:rsidRPr="00576D60" w:rsidRDefault="00E93F58" w:rsidP="003D2B1E">
            <w:pPr>
              <w:pStyle w:val="ENoteTableText"/>
            </w:pPr>
          </w:p>
        </w:tc>
      </w:tr>
      <w:tr w:rsidR="00E93F58" w:rsidRPr="00576D60" w14:paraId="2CBD2670" w14:textId="77777777" w:rsidTr="002F32E3">
        <w:trPr>
          <w:cantSplit/>
        </w:trPr>
        <w:tc>
          <w:tcPr>
            <w:tcW w:w="1500" w:type="pct"/>
            <w:shd w:val="clear" w:color="auto" w:fill="auto"/>
          </w:tcPr>
          <w:p w14:paraId="6CAF2B1A" w14:textId="77777777" w:rsidR="00E93F58" w:rsidRPr="00576D60" w:rsidRDefault="00E93F58" w:rsidP="003D2B1E">
            <w:pPr>
              <w:pStyle w:val="ENoteTableText"/>
              <w:tabs>
                <w:tab w:val="left" w:leader="dot" w:pos="2268"/>
              </w:tabs>
            </w:pPr>
            <w:r>
              <w:t>Subdivision 5.12 heading</w:t>
            </w:r>
            <w:r>
              <w:tab/>
            </w:r>
          </w:p>
        </w:tc>
        <w:tc>
          <w:tcPr>
            <w:tcW w:w="3500" w:type="pct"/>
            <w:shd w:val="clear" w:color="auto" w:fill="auto"/>
          </w:tcPr>
          <w:p w14:paraId="171571D8" w14:textId="77777777" w:rsidR="00E93F58" w:rsidRPr="00576D60" w:rsidRDefault="00E93F58" w:rsidP="003D2B1E">
            <w:pPr>
              <w:pStyle w:val="ENoteTableText"/>
            </w:pPr>
            <w:r>
              <w:t>am F2023L01458</w:t>
            </w:r>
          </w:p>
        </w:tc>
      </w:tr>
      <w:tr w:rsidR="00E93F58" w:rsidRPr="00576D60" w14:paraId="19513AAE" w14:textId="77777777" w:rsidTr="002F32E3">
        <w:trPr>
          <w:cantSplit/>
        </w:trPr>
        <w:tc>
          <w:tcPr>
            <w:tcW w:w="1500" w:type="pct"/>
            <w:shd w:val="clear" w:color="auto" w:fill="auto"/>
          </w:tcPr>
          <w:p w14:paraId="6F786EA7" w14:textId="77777777" w:rsidR="00E93F58" w:rsidRPr="00576D60" w:rsidRDefault="00E93F58" w:rsidP="003D2B1E">
            <w:pPr>
              <w:pStyle w:val="ENoteTableText"/>
              <w:tabs>
                <w:tab w:val="left" w:leader="dot" w:pos="2268"/>
              </w:tabs>
            </w:pPr>
            <w:r w:rsidRPr="00576D60">
              <w:t>r 7.9.49</w:t>
            </w:r>
            <w:r w:rsidRPr="00576D60">
              <w:tab/>
            </w:r>
          </w:p>
        </w:tc>
        <w:tc>
          <w:tcPr>
            <w:tcW w:w="3500" w:type="pct"/>
            <w:shd w:val="clear" w:color="auto" w:fill="auto"/>
          </w:tcPr>
          <w:p w14:paraId="7A39DFF2" w14:textId="77777777" w:rsidR="00E93F58" w:rsidRPr="00576D60" w:rsidRDefault="00E93F58" w:rsidP="003D2B1E">
            <w:pPr>
              <w:pStyle w:val="ENoteTableText"/>
            </w:pPr>
            <w:r w:rsidRPr="00576D60">
              <w:t>ad</w:t>
            </w:r>
            <w:r>
              <w:t xml:space="preserve"> No 319, 2001</w:t>
            </w:r>
          </w:p>
        </w:tc>
      </w:tr>
      <w:tr w:rsidR="00E93F58" w:rsidRPr="00576D60" w14:paraId="24D7776B" w14:textId="77777777" w:rsidTr="002F32E3">
        <w:trPr>
          <w:cantSplit/>
        </w:trPr>
        <w:tc>
          <w:tcPr>
            <w:tcW w:w="1500" w:type="pct"/>
            <w:shd w:val="clear" w:color="auto" w:fill="auto"/>
          </w:tcPr>
          <w:p w14:paraId="5C44F11D" w14:textId="77777777" w:rsidR="00E93F58" w:rsidRPr="00576D60" w:rsidRDefault="00E93F58" w:rsidP="003D2B1E">
            <w:pPr>
              <w:pStyle w:val="ENoteTableText"/>
              <w:tabs>
                <w:tab w:val="left" w:leader="dot" w:pos="2268"/>
              </w:tabs>
            </w:pPr>
          </w:p>
        </w:tc>
        <w:tc>
          <w:tcPr>
            <w:tcW w:w="3500" w:type="pct"/>
            <w:shd w:val="clear" w:color="auto" w:fill="auto"/>
          </w:tcPr>
          <w:p w14:paraId="5BE2BF73" w14:textId="77777777" w:rsidR="00E93F58" w:rsidRPr="00576D60" w:rsidRDefault="00E93F58" w:rsidP="003D2B1E">
            <w:pPr>
              <w:pStyle w:val="ENoteTableText"/>
            </w:pPr>
            <w:r>
              <w:t>am F2023L01458</w:t>
            </w:r>
          </w:p>
        </w:tc>
      </w:tr>
      <w:tr w:rsidR="00E93F58" w:rsidRPr="00576D60" w14:paraId="02130385" w14:textId="77777777" w:rsidTr="002F32E3">
        <w:trPr>
          <w:cantSplit/>
        </w:trPr>
        <w:tc>
          <w:tcPr>
            <w:tcW w:w="1500" w:type="pct"/>
            <w:shd w:val="clear" w:color="auto" w:fill="auto"/>
          </w:tcPr>
          <w:p w14:paraId="790D1923" w14:textId="77777777" w:rsidR="00E93F58" w:rsidRPr="00576D60" w:rsidRDefault="00E93F58" w:rsidP="003D2B1E">
            <w:pPr>
              <w:pStyle w:val="ENoteTableText"/>
              <w:tabs>
                <w:tab w:val="left" w:leader="dot" w:pos="2268"/>
              </w:tabs>
            </w:pPr>
            <w:r w:rsidRPr="00576D60">
              <w:t>r 7.9.50</w:t>
            </w:r>
            <w:r w:rsidRPr="00576D60">
              <w:tab/>
            </w:r>
          </w:p>
        </w:tc>
        <w:tc>
          <w:tcPr>
            <w:tcW w:w="3500" w:type="pct"/>
            <w:shd w:val="clear" w:color="auto" w:fill="auto"/>
          </w:tcPr>
          <w:p w14:paraId="068A48AF" w14:textId="77777777" w:rsidR="00E93F58" w:rsidRPr="00576D60" w:rsidRDefault="00E93F58" w:rsidP="003D2B1E">
            <w:pPr>
              <w:pStyle w:val="ENoteTableText"/>
            </w:pPr>
            <w:r w:rsidRPr="00576D60">
              <w:t>ad No 319, 2001</w:t>
            </w:r>
          </w:p>
        </w:tc>
      </w:tr>
      <w:tr w:rsidR="00E93F58" w:rsidRPr="00576D60" w14:paraId="3AF49469" w14:textId="77777777" w:rsidTr="002F32E3">
        <w:trPr>
          <w:cantSplit/>
        </w:trPr>
        <w:tc>
          <w:tcPr>
            <w:tcW w:w="1500" w:type="pct"/>
            <w:shd w:val="clear" w:color="auto" w:fill="auto"/>
          </w:tcPr>
          <w:p w14:paraId="2E7AC3A8" w14:textId="77777777" w:rsidR="00E93F58" w:rsidRPr="00576D60" w:rsidRDefault="00E93F58" w:rsidP="003D2B1E">
            <w:pPr>
              <w:pStyle w:val="ENoteTableText"/>
              <w:tabs>
                <w:tab w:val="left" w:leader="dot" w:pos="2268"/>
              </w:tabs>
            </w:pPr>
          </w:p>
        </w:tc>
        <w:tc>
          <w:tcPr>
            <w:tcW w:w="3500" w:type="pct"/>
            <w:shd w:val="clear" w:color="auto" w:fill="auto"/>
          </w:tcPr>
          <w:p w14:paraId="36B0E2AB" w14:textId="77777777" w:rsidR="00E93F58" w:rsidRPr="00576D60" w:rsidRDefault="00E93F58" w:rsidP="003D2B1E">
            <w:pPr>
              <w:pStyle w:val="ENoteTableText"/>
            </w:pPr>
            <w:r w:rsidRPr="00576D60">
              <w:t>am F2022L01689</w:t>
            </w:r>
          </w:p>
        </w:tc>
      </w:tr>
      <w:tr w:rsidR="00E93F58" w:rsidRPr="00576D60" w14:paraId="201830A0" w14:textId="77777777" w:rsidTr="002F32E3">
        <w:trPr>
          <w:cantSplit/>
        </w:trPr>
        <w:tc>
          <w:tcPr>
            <w:tcW w:w="1500" w:type="pct"/>
            <w:shd w:val="clear" w:color="auto" w:fill="auto"/>
          </w:tcPr>
          <w:p w14:paraId="53EE5543" w14:textId="77777777" w:rsidR="00E93F58" w:rsidRPr="00576D60" w:rsidRDefault="00E93F58" w:rsidP="003D2B1E">
            <w:pPr>
              <w:pStyle w:val="ENoteTableText"/>
              <w:tabs>
                <w:tab w:val="left" w:leader="dot" w:pos="2268"/>
              </w:tabs>
            </w:pPr>
            <w:r w:rsidRPr="00576D60">
              <w:t>r. 7.9.51</w:t>
            </w:r>
            <w:r w:rsidRPr="00576D60">
              <w:tab/>
            </w:r>
          </w:p>
        </w:tc>
        <w:tc>
          <w:tcPr>
            <w:tcW w:w="3500" w:type="pct"/>
            <w:shd w:val="clear" w:color="auto" w:fill="auto"/>
          </w:tcPr>
          <w:p w14:paraId="7949D25D" w14:textId="77777777" w:rsidR="00E93F58" w:rsidRPr="00576D60" w:rsidRDefault="00E93F58" w:rsidP="003D2B1E">
            <w:pPr>
              <w:pStyle w:val="ENoteTableText"/>
            </w:pPr>
            <w:r w:rsidRPr="00576D60">
              <w:t>ad. 2001 No. 319</w:t>
            </w:r>
          </w:p>
        </w:tc>
      </w:tr>
      <w:tr w:rsidR="00E93F58" w:rsidRPr="00576D60" w14:paraId="4BC4AFFA" w14:textId="77777777" w:rsidTr="002F32E3">
        <w:trPr>
          <w:cantSplit/>
        </w:trPr>
        <w:tc>
          <w:tcPr>
            <w:tcW w:w="1500" w:type="pct"/>
            <w:shd w:val="clear" w:color="auto" w:fill="auto"/>
          </w:tcPr>
          <w:p w14:paraId="5B0E20E5" w14:textId="77777777" w:rsidR="00E93F58" w:rsidRPr="00576D60" w:rsidRDefault="00E93F58" w:rsidP="003D2B1E">
            <w:pPr>
              <w:pStyle w:val="ENoteTableText"/>
              <w:tabs>
                <w:tab w:val="left" w:leader="dot" w:pos="2268"/>
              </w:tabs>
            </w:pPr>
            <w:r w:rsidRPr="00576D60">
              <w:t>r 7.9.52</w:t>
            </w:r>
            <w:r w:rsidRPr="00576D60">
              <w:tab/>
            </w:r>
          </w:p>
        </w:tc>
        <w:tc>
          <w:tcPr>
            <w:tcW w:w="3500" w:type="pct"/>
            <w:shd w:val="clear" w:color="auto" w:fill="auto"/>
          </w:tcPr>
          <w:p w14:paraId="4810E8ED" w14:textId="77777777" w:rsidR="00E93F58" w:rsidRPr="00576D60" w:rsidRDefault="00E93F58" w:rsidP="003D2B1E">
            <w:pPr>
              <w:pStyle w:val="ENoteTableText"/>
            </w:pPr>
            <w:r w:rsidRPr="00576D60">
              <w:t>ad</w:t>
            </w:r>
            <w:r>
              <w:t xml:space="preserve"> No 319, 2001</w:t>
            </w:r>
          </w:p>
        </w:tc>
      </w:tr>
      <w:tr w:rsidR="00E93F58" w:rsidRPr="00576D60" w14:paraId="3169F476" w14:textId="77777777" w:rsidTr="002F32E3">
        <w:trPr>
          <w:cantSplit/>
        </w:trPr>
        <w:tc>
          <w:tcPr>
            <w:tcW w:w="1500" w:type="pct"/>
            <w:shd w:val="clear" w:color="auto" w:fill="auto"/>
          </w:tcPr>
          <w:p w14:paraId="539FE887" w14:textId="77777777" w:rsidR="00E93F58" w:rsidRPr="00576D60" w:rsidRDefault="00E93F58" w:rsidP="003D2B1E">
            <w:pPr>
              <w:pStyle w:val="ENoteTableText"/>
            </w:pPr>
          </w:p>
        </w:tc>
        <w:tc>
          <w:tcPr>
            <w:tcW w:w="3500" w:type="pct"/>
            <w:shd w:val="clear" w:color="auto" w:fill="auto"/>
          </w:tcPr>
          <w:p w14:paraId="38A873A9" w14:textId="77777777" w:rsidR="00E93F58" w:rsidRPr="00576D60" w:rsidRDefault="00E93F58" w:rsidP="003D2B1E">
            <w:pPr>
              <w:pStyle w:val="ENoteTableText"/>
            </w:pPr>
            <w:r w:rsidRPr="00576D60">
              <w:t>am</w:t>
            </w:r>
            <w:r>
              <w:t xml:space="preserve"> No 16, 2002; F2023L01458</w:t>
            </w:r>
          </w:p>
        </w:tc>
      </w:tr>
      <w:tr w:rsidR="00E93F58" w:rsidRPr="00576D60" w14:paraId="3B66D162" w14:textId="77777777" w:rsidTr="002F32E3">
        <w:trPr>
          <w:cantSplit/>
        </w:trPr>
        <w:tc>
          <w:tcPr>
            <w:tcW w:w="1500" w:type="pct"/>
            <w:shd w:val="clear" w:color="auto" w:fill="auto"/>
          </w:tcPr>
          <w:p w14:paraId="48D41315" w14:textId="77777777" w:rsidR="00E93F58" w:rsidRPr="00576D60" w:rsidRDefault="00E93F58" w:rsidP="003D2B1E">
            <w:pPr>
              <w:pStyle w:val="ENoteTableText"/>
              <w:tabs>
                <w:tab w:val="left" w:leader="dot" w:pos="2268"/>
              </w:tabs>
            </w:pPr>
            <w:r w:rsidRPr="00576D60">
              <w:t>r 7.9.53</w:t>
            </w:r>
            <w:r w:rsidRPr="00576D60">
              <w:tab/>
            </w:r>
          </w:p>
        </w:tc>
        <w:tc>
          <w:tcPr>
            <w:tcW w:w="3500" w:type="pct"/>
            <w:shd w:val="clear" w:color="auto" w:fill="auto"/>
          </w:tcPr>
          <w:p w14:paraId="0AECD9A9" w14:textId="77777777" w:rsidR="00E93F58" w:rsidRPr="00576D60" w:rsidRDefault="00E93F58" w:rsidP="003D2B1E">
            <w:pPr>
              <w:pStyle w:val="ENoteTableText"/>
            </w:pPr>
            <w:r w:rsidRPr="00576D60">
              <w:t>ad</w:t>
            </w:r>
            <w:r>
              <w:t xml:space="preserve"> No 319, 2001</w:t>
            </w:r>
          </w:p>
        </w:tc>
      </w:tr>
      <w:tr w:rsidR="00E93F58" w:rsidRPr="00576D60" w14:paraId="3A06E2A5" w14:textId="77777777" w:rsidTr="002F32E3">
        <w:trPr>
          <w:cantSplit/>
        </w:trPr>
        <w:tc>
          <w:tcPr>
            <w:tcW w:w="1500" w:type="pct"/>
            <w:shd w:val="clear" w:color="auto" w:fill="auto"/>
          </w:tcPr>
          <w:p w14:paraId="727B5DC9" w14:textId="77777777" w:rsidR="00E93F58" w:rsidRPr="00576D60" w:rsidRDefault="00E93F58" w:rsidP="003D2B1E">
            <w:pPr>
              <w:pStyle w:val="ENoteTableText"/>
              <w:tabs>
                <w:tab w:val="left" w:leader="dot" w:pos="2268"/>
              </w:tabs>
            </w:pPr>
          </w:p>
        </w:tc>
        <w:tc>
          <w:tcPr>
            <w:tcW w:w="3500" w:type="pct"/>
            <w:shd w:val="clear" w:color="auto" w:fill="auto"/>
          </w:tcPr>
          <w:p w14:paraId="01C9E946" w14:textId="77777777" w:rsidR="00E93F58" w:rsidRPr="00576D60" w:rsidRDefault="00E93F58" w:rsidP="003D2B1E">
            <w:pPr>
              <w:pStyle w:val="ENoteTableText"/>
            </w:pPr>
            <w:r>
              <w:t>am F2023L01458</w:t>
            </w:r>
          </w:p>
        </w:tc>
      </w:tr>
      <w:tr w:rsidR="00E93F58" w:rsidRPr="00576D60" w14:paraId="31C463E6" w14:textId="77777777" w:rsidTr="002F32E3">
        <w:trPr>
          <w:cantSplit/>
        </w:trPr>
        <w:tc>
          <w:tcPr>
            <w:tcW w:w="1500" w:type="pct"/>
            <w:shd w:val="clear" w:color="auto" w:fill="auto"/>
          </w:tcPr>
          <w:p w14:paraId="3531A0F9" w14:textId="77777777" w:rsidR="00E93F58" w:rsidRPr="00576D60" w:rsidRDefault="00E93F58" w:rsidP="003D2B1E">
            <w:pPr>
              <w:pStyle w:val="ENoteTableText"/>
              <w:tabs>
                <w:tab w:val="left" w:leader="dot" w:pos="2268"/>
              </w:tabs>
            </w:pPr>
            <w:r w:rsidRPr="00576D60">
              <w:t>r. 7.9.54</w:t>
            </w:r>
            <w:r w:rsidRPr="00576D60">
              <w:tab/>
            </w:r>
          </w:p>
        </w:tc>
        <w:tc>
          <w:tcPr>
            <w:tcW w:w="3500" w:type="pct"/>
            <w:shd w:val="clear" w:color="auto" w:fill="auto"/>
          </w:tcPr>
          <w:p w14:paraId="4BF93072" w14:textId="77777777" w:rsidR="00E93F58" w:rsidRPr="00576D60" w:rsidRDefault="00E93F58" w:rsidP="003D2B1E">
            <w:pPr>
              <w:pStyle w:val="ENoteTableText"/>
            </w:pPr>
            <w:r w:rsidRPr="00576D60">
              <w:t>ad. 2001 No. 319</w:t>
            </w:r>
          </w:p>
        </w:tc>
      </w:tr>
      <w:tr w:rsidR="00E93F58" w:rsidRPr="00576D60" w14:paraId="147C4C72" w14:textId="77777777" w:rsidTr="002F32E3">
        <w:trPr>
          <w:cantSplit/>
        </w:trPr>
        <w:tc>
          <w:tcPr>
            <w:tcW w:w="1500" w:type="pct"/>
            <w:shd w:val="clear" w:color="auto" w:fill="auto"/>
          </w:tcPr>
          <w:p w14:paraId="56394A44" w14:textId="77777777" w:rsidR="00E93F58" w:rsidRPr="00576D60" w:rsidRDefault="00E93F58" w:rsidP="003D2B1E">
            <w:pPr>
              <w:pStyle w:val="ENoteTableText"/>
              <w:tabs>
                <w:tab w:val="left" w:leader="dot" w:pos="2268"/>
              </w:tabs>
            </w:pPr>
            <w:r w:rsidRPr="00576D60">
              <w:t>r. 7.9.55</w:t>
            </w:r>
            <w:r w:rsidRPr="00576D60">
              <w:tab/>
            </w:r>
          </w:p>
        </w:tc>
        <w:tc>
          <w:tcPr>
            <w:tcW w:w="3500" w:type="pct"/>
            <w:shd w:val="clear" w:color="auto" w:fill="auto"/>
          </w:tcPr>
          <w:p w14:paraId="6EE2F921" w14:textId="77777777" w:rsidR="00E93F58" w:rsidRPr="00576D60" w:rsidRDefault="00E93F58" w:rsidP="003D2B1E">
            <w:pPr>
              <w:pStyle w:val="ENoteTableText"/>
            </w:pPr>
            <w:r w:rsidRPr="00576D60">
              <w:t>ad. 2001 No. 319</w:t>
            </w:r>
          </w:p>
        </w:tc>
      </w:tr>
      <w:tr w:rsidR="00E93F58" w:rsidRPr="00576D60" w14:paraId="09BD831B" w14:textId="77777777" w:rsidTr="002F32E3">
        <w:trPr>
          <w:cantSplit/>
        </w:trPr>
        <w:tc>
          <w:tcPr>
            <w:tcW w:w="1500" w:type="pct"/>
            <w:shd w:val="clear" w:color="auto" w:fill="auto"/>
          </w:tcPr>
          <w:p w14:paraId="7F8D62CA" w14:textId="77777777" w:rsidR="00E93F58" w:rsidRPr="00576D60" w:rsidRDefault="00E93F58" w:rsidP="003D2B1E">
            <w:pPr>
              <w:pStyle w:val="ENoteTableText"/>
              <w:tabs>
                <w:tab w:val="left" w:leader="dot" w:pos="2268"/>
              </w:tabs>
            </w:pPr>
            <w:r w:rsidRPr="00576D60">
              <w:t>r 7.9.56</w:t>
            </w:r>
            <w:r w:rsidRPr="00576D60">
              <w:tab/>
            </w:r>
          </w:p>
        </w:tc>
        <w:tc>
          <w:tcPr>
            <w:tcW w:w="3500" w:type="pct"/>
            <w:shd w:val="clear" w:color="auto" w:fill="auto"/>
          </w:tcPr>
          <w:p w14:paraId="6E13D41E" w14:textId="77777777" w:rsidR="00E93F58" w:rsidRPr="00576D60" w:rsidRDefault="00E93F58" w:rsidP="003D2B1E">
            <w:pPr>
              <w:pStyle w:val="ENoteTableText"/>
            </w:pPr>
            <w:r w:rsidRPr="00576D60">
              <w:t>ad</w:t>
            </w:r>
            <w:r>
              <w:t xml:space="preserve"> No 319, 2001</w:t>
            </w:r>
          </w:p>
        </w:tc>
      </w:tr>
      <w:tr w:rsidR="00E93F58" w:rsidRPr="00576D60" w14:paraId="4A018500" w14:textId="77777777" w:rsidTr="002F32E3">
        <w:trPr>
          <w:cantSplit/>
        </w:trPr>
        <w:tc>
          <w:tcPr>
            <w:tcW w:w="1500" w:type="pct"/>
            <w:shd w:val="clear" w:color="auto" w:fill="auto"/>
          </w:tcPr>
          <w:p w14:paraId="465B4E31" w14:textId="77777777" w:rsidR="00E93F58" w:rsidRPr="00576D60" w:rsidRDefault="00E93F58" w:rsidP="003D2B1E">
            <w:pPr>
              <w:pStyle w:val="ENoteTableText"/>
              <w:tabs>
                <w:tab w:val="left" w:leader="dot" w:pos="2268"/>
              </w:tabs>
            </w:pPr>
          </w:p>
        </w:tc>
        <w:tc>
          <w:tcPr>
            <w:tcW w:w="3500" w:type="pct"/>
            <w:shd w:val="clear" w:color="auto" w:fill="auto"/>
          </w:tcPr>
          <w:p w14:paraId="37D38E29" w14:textId="77777777" w:rsidR="00E93F58" w:rsidRPr="00576D60" w:rsidRDefault="00E93F58" w:rsidP="003D2B1E">
            <w:pPr>
              <w:pStyle w:val="ENoteTableText"/>
            </w:pPr>
            <w:r>
              <w:t>am F2023L01458</w:t>
            </w:r>
          </w:p>
        </w:tc>
      </w:tr>
      <w:tr w:rsidR="00E93F58" w:rsidRPr="00576D60" w14:paraId="36C238B1" w14:textId="77777777" w:rsidTr="002F32E3">
        <w:trPr>
          <w:cantSplit/>
        </w:trPr>
        <w:tc>
          <w:tcPr>
            <w:tcW w:w="1500" w:type="pct"/>
            <w:shd w:val="clear" w:color="auto" w:fill="auto"/>
          </w:tcPr>
          <w:p w14:paraId="37581D21" w14:textId="77777777" w:rsidR="00E93F58" w:rsidRPr="00576D60" w:rsidRDefault="00E93F58" w:rsidP="003D2B1E">
            <w:pPr>
              <w:pStyle w:val="ENoteTableText"/>
              <w:tabs>
                <w:tab w:val="left" w:leader="dot" w:pos="2268"/>
              </w:tabs>
            </w:pPr>
            <w:r w:rsidRPr="00576D60">
              <w:t>r 7.9.57</w:t>
            </w:r>
            <w:r w:rsidRPr="00576D60">
              <w:tab/>
            </w:r>
          </w:p>
        </w:tc>
        <w:tc>
          <w:tcPr>
            <w:tcW w:w="3500" w:type="pct"/>
            <w:shd w:val="clear" w:color="auto" w:fill="auto"/>
          </w:tcPr>
          <w:p w14:paraId="4A624372" w14:textId="77777777" w:rsidR="00E93F58" w:rsidRPr="00576D60" w:rsidRDefault="00E93F58" w:rsidP="003D2B1E">
            <w:pPr>
              <w:pStyle w:val="ENoteTableText"/>
            </w:pPr>
            <w:r w:rsidRPr="00576D60">
              <w:t>ad</w:t>
            </w:r>
            <w:r>
              <w:t xml:space="preserve"> No 319, 2001</w:t>
            </w:r>
          </w:p>
        </w:tc>
      </w:tr>
      <w:tr w:rsidR="00E93F58" w:rsidRPr="00576D60" w14:paraId="4D79AE2B" w14:textId="77777777" w:rsidTr="002F32E3">
        <w:trPr>
          <w:cantSplit/>
        </w:trPr>
        <w:tc>
          <w:tcPr>
            <w:tcW w:w="1500" w:type="pct"/>
            <w:shd w:val="clear" w:color="auto" w:fill="auto"/>
          </w:tcPr>
          <w:p w14:paraId="5405B4B1" w14:textId="77777777" w:rsidR="00E93F58" w:rsidRPr="00576D60" w:rsidRDefault="00E93F58" w:rsidP="003D2B1E">
            <w:pPr>
              <w:pStyle w:val="ENoteTableText"/>
              <w:tabs>
                <w:tab w:val="left" w:leader="dot" w:pos="2268"/>
              </w:tabs>
            </w:pPr>
          </w:p>
        </w:tc>
        <w:tc>
          <w:tcPr>
            <w:tcW w:w="3500" w:type="pct"/>
            <w:shd w:val="clear" w:color="auto" w:fill="auto"/>
          </w:tcPr>
          <w:p w14:paraId="79F1D4B2" w14:textId="77777777" w:rsidR="00E93F58" w:rsidRPr="00576D60" w:rsidRDefault="00E93F58" w:rsidP="003D2B1E">
            <w:pPr>
              <w:pStyle w:val="ENoteTableText"/>
            </w:pPr>
            <w:r>
              <w:t>am F2023L01458</w:t>
            </w:r>
          </w:p>
        </w:tc>
      </w:tr>
      <w:tr w:rsidR="00E93F58" w:rsidRPr="00576D60" w14:paraId="12404288" w14:textId="77777777" w:rsidTr="002F32E3">
        <w:trPr>
          <w:cantSplit/>
        </w:trPr>
        <w:tc>
          <w:tcPr>
            <w:tcW w:w="1500" w:type="pct"/>
            <w:shd w:val="clear" w:color="auto" w:fill="auto"/>
          </w:tcPr>
          <w:p w14:paraId="501B8B0D" w14:textId="77777777" w:rsidR="00E93F58" w:rsidRPr="00576D60" w:rsidRDefault="00E93F58" w:rsidP="003D2B1E">
            <w:pPr>
              <w:pStyle w:val="ENoteTableText"/>
              <w:tabs>
                <w:tab w:val="left" w:leader="dot" w:pos="2268"/>
              </w:tabs>
            </w:pPr>
            <w:r w:rsidRPr="00576D60">
              <w:t>r. 7.9.58</w:t>
            </w:r>
            <w:r w:rsidRPr="00576D60">
              <w:tab/>
            </w:r>
          </w:p>
        </w:tc>
        <w:tc>
          <w:tcPr>
            <w:tcW w:w="3500" w:type="pct"/>
            <w:shd w:val="clear" w:color="auto" w:fill="auto"/>
          </w:tcPr>
          <w:p w14:paraId="4BB24CFC" w14:textId="77777777" w:rsidR="00E93F58" w:rsidRPr="00576D60" w:rsidRDefault="00E93F58" w:rsidP="003D2B1E">
            <w:pPr>
              <w:pStyle w:val="ENoteTableText"/>
            </w:pPr>
            <w:r w:rsidRPr="00576D60">
              <w:t>ad. 2001 No. 319</w:t>
            </w:r>
          </w:p>
        </w:tc>
      </w:tr>
      <w:tr w:rsidR="00E93F58" w:rsidRPr="00576D60" w14:paraId="613AEB45" w14:textId="77777777" w:rsidTr="002F32E3">
        <w:trPr>
          <w:cantSplit/>
        </w:trPr>
        <w:tc>
          <w:tcPr>
            <w:tcW w:w="1500" w:type="pct"/>
            <w:shd w:val="clear" w:color="auto" w:fill="auto"/>
          </w:tcPr>
          <w:p w14:paraId="46450CDC" w14:textId="77777777" w:rsidR="00E93F58" w:rsidRPr="00576D60" w:rsidRDefault="00E93F58" w:rsidP="003D2B1E">
            <w:pPr>
              <w:pStyle w:val="ENoteTableText"/>
              <w:tabs>
                <w:tab w:val="left" w:leader="dot" w:pos="2268"/>
              </w:tabs>
            </w:pPr>
            <w:r w:rsidRPr="00576D60">
              <w:t>r. 7.9.59</w:t>
            </w:r>
            <w:r w:rsidRPr="00576D60">
              <w:tab/>
            </w:r>
          </w:p>
        </w:tc>
        <w:tc>
          <w:tcPr>
            <w:tcW w:w="3500" w:type="pct"/>
            <w:shd w:val="clear" w:color="auto" w:fill="auto"/>
          </w:tcPr>
          <w:p w14:paraId="620B2943" w14:textId="77777777" w:rsidR="00E93F58" w:rsidRPr="00576D60" w:rsidRDefault="00E93F58" w:rsidP="003D2B1E">
            <w:pPr>
              <w:pStyle w:val="ENoteTableText"/>
            </w:pPr>
            <w:r w:rsidRPr="00576D60">
              <w:t>ad. 2001 No. 319</w:t>
            </w:r>
          </w:p>
        </w:tc>
      </w:tr>
      <w:tr w:rsidR="00E93F58" w:rsidRPr="00576D60" w14:paraId="7F0BA5C1" w14:textId="77777777" w:rsidTr="002F32E3">
        <w:trPr>
          <w:cantSplit/>
        </w:trPr>
        <w:tc>
          <w:tcPr>
            <w:tcW w:w="1500" w:type="pct"/>
            <w:shd w:val="clear" w:color="auto" w:fill="auto"/>
          </w:tcPr>
          <w:p w14:paraId="2C60A08B" w14:textId="77777777" w:rsidR="00E93F58" w:rsidRPr="00576D60" w:rsidRDefault="00E93F58" w:rsidP="003D2B1E">
            <w:pPr>
              <w:pStyle w:val="ENoteTableText"/>
              <w:tabs>
                <w:tab w:val="left" w:leader="dot" w:pos="2268"/>
              </w:tabs>
            </w:pPr>
            <w:r w:rsidRPr="00576D60">
              <w:t>r. 7.9.60</w:t>
            </w:r>
            <w:r w:rsidRPr="00576D60">
              <w:tab/>
            </w:r>
          </w:p>
        </w:tc>
        <w:tc>
          <w:tcPr>
            <w:tcW w:w="3500" w:type="pct"/>
            <w:shd w:val="clear" w:color="auto" w:fill="auto"/>
          </w:tcPr>
          <w:p w14:paraId="11FBAC3F" w14:textId="77777777" w:rsidR="00E93F58" w:rsidRPr="00576D60" w:rsidRDefault="00E93F58" w:rsidP="003D2B1E">
            <w:pPr>
              <w:pStyle w:val="ENoteTableText"/>
            </w:pPr>
            <w:r w:rsidRPr="00576D60">
              <w:t>ad. 2001 No. 319</w:t>
            </w:r>
          </w:p>
        </w:tc>
      </w:tr>
      <w:tr w:rsidR="00E93F58" w:rsidRPr="00576D60" w14:paraId="5CD353D5" w14:textId="77777777" w:rsidTr="002F32E3">
        <w:trPr>
          <w:cantSplit/>
        </w:trPr>
        <w:tc>
          <w:tcPr>
            <w:tcW w:w="1500" w:type="pct"/>
            <w:shd w:val="clear" w:color="auto" w:fill="auto"/>
          </w:tcPr>
          <w:p w14:paraId="7CE2D824" w14:textId="77777777" w:rsidR="00E93F58" w:rsidRPr="00576D60" w:rsidRDefault="00E93F58" w:rsidP="003D2B1E">
            <w:pPr>
              <w:pStyle w:val="ENoteTableText"/>
              <w:tabs>
                <w:tab w:val="left" w:leader="dot" w:pos="2268"/>
              </w:tabs>
            </w:pPr>
            <w:r>
              <w:t>Subdivision 5</w:t>
            </w:r>
            <w:r w:rsidRPr="00576D60">
              <w:t>.13 heading</w:t>
            </w:r>
            <w:r w:rsidRPr="00576D60">
              <w:tab/>
            </w:r>
          </w:p>
        </w:tc>
        <w:tc>
          <w:tcPr>
            <w:tcW w:w="3500" w:type="pct"/>
            <w:shd w:val="clear" w:color="auto" w:fill="auto"/>
          </w:tcPr>
          <w:p w14:paraId="258AE72C" w14:textId="77777777" w:rsidR="00E93F58" w:rsidRPr="00576D60" w:rsidRDefault="00E93F58" w:rsidP="003D2B1E">
            <w:pPr>
              <w:pStyle w:val="ENoteTableText"/>
            </w:pPr>
            <w:r w:rsidRPr="00576D60">
              <w:t>rep. 2003 No. 368</w:t>
            </w:r>
          </w:p>
        </w:tc>
      </w:tr>
      <w:tr w:rsidR="00E93F58" w:rsidRPr="00576D60" w14:paraId="20F64B64" w14:textId="77777777" w:rsidTr="002F32E3">
        <w:trPr>
          <w:cantSplit/>
        </w:trPr>
        <w:tc>
          <w:tcPr>
            <w:tcW w:w="1500" w:type="pct"/>
            <w:shd w:val="clear" w:color="auto" w:fill="auto"/>
          </w:tcPr>
          <w:p w14:paraId="3243EBD8" w14:textId="77777777" w:rsidR="00E93F58" w:rsidRPr="00576D60" w:rsidRDefault="00E93F58" w:rsidP="000F1C3D">
            <w:pPr>
              <w:pStyle w:val="ENoteTableText"/>
              <w:keepNext/>
              <w:tabs>
                <w:tab w:val="left" w:leader="dot" w:pos="2268"/>
              </w:tabs>
              <w:rPr>
                <w:b/>
              </w:rPr>
            </w:pPr>
            <w:r w:rsidRPr="00576D60">
              <w:rPr>
                <w:b/>
              </w:rPr>
              <w:t>Division 5AA</w:t>
            </w:r>
          </w:p>
        </w:tc>
        <w:tc>
          <w:tcPr>
            <w:tcW w:w="3500" w:type="pct"/>
            <w:shd w:val="clear" w:color="auto" w:fill="auto"/>
          </w:tcPr>
          <w:p w14:paraId="72BB92A9" w14:textId="77777777" w:rsidR="00E93F58" w:rsidRPr="00576D60" w:rsidRDefault="00E93F58" w:rsidP="000F1C3D">
            <w:pPr>
              <w:pStyle w:val="ENoteTableText"/>
              <w:keepNext/>
            </w:pPr>
          </w:p>
        </w:tc>
      </w:tr>
      <w:tr w:rsidR="00E93F58" w:rsidRPr="00576D60" w14:paraId="23C77651" w14:textId="77777777" w:rsidTr="002F32E3">
        <w:trPr>
          <w:cantSplit/>
        </w:trPr>
        <w:tc>
          <w:tcPr>
            <w:tcW w:w="1500" w:type="pct"/>
            <w:shd w:val="clear" w:color="auto" w:fill="auto"/>
          </w:tcPr>
          <w:p w14:paraId="23B707AF" w14:textId="77777777" w:rsidR="00E93F58" w:rsidRPr="00576D60" w:rsidRDefault="00E93F58" w:rsidP="003D2B1E">
            <w:pPr>
              <w:pStyle w:val="ENoteTableText"/>
              <w:tabs>
                <w:tab w:val="left" w:leader="dot" w:pos="2268"/>
              </w:tabs>
            </w:pPr>
            <w:r w:rsidRPr="00576D60">
              <w:t>Division 5AA heading</w:t>
            </w:r>
            <w:r w:rsidRPr="00576D60">
              <w:tab/>
            </w:r>
          </w:p>
        </w:tc>
        <w:tc>
          <w:tcPr>
            <w:tcW w:w="3500" w:type="pct"/>
            <w:shd w:val="clear" w:color="auto" w:fill="auto"/>
          </w:tcPr>
          <w:p w14:paraId="3FAE7B92" w14:textId="77777777" w:rsidR="00E93F58" w:rsidRPr="00576D60" w:rsidRDefault="00E93F58" w:rsidP="003D2B1E">
            <w:pPr>
              <w:pStyle w:val="ENoteTableText"/>
            </w:pPr>
            <w:r w:rsidRPr="00576D60">
              <w:t>ad. 2003 No. 368</w:t>
            </w:r>
          </w:p>
        </w:tc>
      </w:tr>
      <w:tr w:rsidR="00E93F58" w:rsidRPr="00576D60" w14:paraId="47B916A7" w14:textId="77777777" w:rsidTr="002F32E3">
        <w:trPr>
          <w:cantSplit/>
        </w:trPr>
        <w:tc>
          <w:tcPr>
            <w:tcW w:w="1500" w:type="pct"/>
            <w:shd w:val="clear" w:color="auto" w:fill="auto"/>
          </w:tcPr>
          <w:p w14:paraId="3612D8F1" w14:textId="77777777" w:rsidR="00E93F58" w:rsidRPr="00576D60" w:rsidRDefault="00E93F58" w:rsidP="003D2B1E">
            <w:pPr>
              <w:pStyle w:val="ENoteTableText"/>
              <w:tabs>
                <w:tab w:val="left" w:leader="dot" w:pos="2268"/>
              </w:tabs>
            </w:pPr>
            <w:r w:rsidRPr="00576D60">
              <w:t>r. 7.9.61</w:t>
            </w:r>
            <w:r w:rsidRPr="00576D60">
              <w:tab/>
            </w:r>
          </w:p>
        </w:tc>
        <w:tc>
          <w:tcPr>
            <w:tcW w:w="3500" w:type="pct"/>
            <w:shd w:val="clear" w:color="auto" w:fill="auto"/>
          </w:tcPr>
          <w:p w14:paraId="0C197563" w14:textId="77777777" w:rsidR="00E93F58" w:rsidRPr="00576D60" w:rsidRDefault="00E93F58" w:rsidP="003D2B1E">
            <w:pPr>
              <w:pStyle w:val="ENoteTableText"/>
            </w:pPr>
            <w:r w:rsidRPr="00576D60">
              <w:t>ad. 2001 No. 319</w:t>
            </w:r>
          </w:p>
        </w:tc>
      </w:tr>
      <w:tr w:rsidR="00E93F58" w:rsidRPr="00576D60" w14:paraId="4DACC8DC" w14:textId="77777777" w:rsidTr="002F32E3">
        <w:trPr>
          <w:cantSplit/>
        </w:trPr>
        <w:tc>
          <w:tcPr>
            <w:tcW w:w="1500" w:type="pct"/>
            <w:shd w:val="clear" w:color="auto" w:fill="auto"/>
          </w:tcPr>
          <w:p w14:paraId="22A6EDA5" w14:textId="77777777" w:rsidR="00E93F58" w:rsidRPr="00576D60" w:rsidRDefault="00E93F58" w:rsidP="003D2B1E">
            <w:pPr>
              <w:pStyle w:val="ENoteTableText"/>
              <w:tabs>
                <w:tab w:val="left" w:leader="dot" w:pos="2268"/>
              </w:tabs>
            </w:pPr>
            <w:r w:rsidRPr="00576D60">
              <w:t>renumbered r. 7.6.60A</w:t>
            </w:r>
            <w:r w:rsidRPr="00576D60">
              <w:tab/>
            </w:r>
          </w:p>
        </w:tc>
        <w:tc>
          <w:tcPr>
            <w:tcW w:w="3500" w:type="pct"/>
            <w:shd w:val="clear" w:color="auto" w:fill="auto"/>
          </w:tcPr>
          <w:p w14:paraId="78F798C5" w14:textId="77777777" w:rsidR="00E93F58" w:rsidRPr="00576D60" w:rsidRDefault="00E93F58" w:rsidP="003D2B1E">
            <w:pPr>
              <w:pStyle w:val="ENoteTableText"/>
            </w:pPr>
            <w:r w:rsidRPr="00576D60">
              <w:t>2005 No. 31</w:t>
            </w:r>
          </w:p>
        </w:tc>
      </w:tr>
      <w:tr w:rsidR="00E93F58" w:rsidRPr="00576D60" w14:paraId="4A92A07F" w14:textId="77777777" w:rsidTr="002F32E3">
        <w:trPr>
          <w:cantSplit/>
        </w:trPr>
        <w:tc>
          <w:tcPr>
            <w:tcW w:w="1500" w:type="pct"/>
            <w:shd w:val="clear" w:color="auto" w:fill="auto"/>
          </w:tcPr>
          <w:p w14:paraId="78A26D2B" w14:textId="77777777" w:rsidR="00E93F58" w:rsidRPr="00576D60" w:rsidRDefault="00E93F58" w:rsidP="003D2B1E">
            <w:pPr>
              <w:pStyle w:val="ENoteTableText"/>
              <w:tabs>
                <w:tab w:val="left" w:leader="dot" w:pos="2268"/>
              </w:tabs>
            </w:pPr>
            <w:r w:rsidRPr="00576D60">
              <w:t>r 7.9.60B</w:t>
            </w:r>
            <w:r w:rsidRPr="00576D60">
              <w:tab/>
            </w:r>
          </w:p>
        </w:tc>
        <w:tc>
          <w:tcPr>
            <w:tcW w:w="3500" w:type="pct"/>
            <w:shd w:val="clear" w:color="auto" w:fill="auto"/>
          </w:tcPr>
          <w:p w14:paraId="0A43153E" w14:textId="77777777" w:rsidR="00E93F58" w:rsidRPr="00576D60" w:rsidRDefault="00E93F58" w:rsidP="003D2B1E">
            <w:pPr>
              <w:pStyle w:val="ENoteTableText"/>
            </w:pPr>
            <w:r w:rsidRPr="00576D60">
              <w:t>ad No 31, 2005</w:t>
            </w:r>
          </w:p>
        </w:tc>
      </w:tr>
      <w:tr w:rsidR="00E93F58" w:rsidRPr="00576D60" w14:paraId="26389ABB" w14:textId="77777777" w:rsidTr="002F32E3">
        <w:trPr>
          <w:cantSplit/>
        </w:trPr>
        <w:tc>
          <w:tcPr>
            <w:tcW w:w="1500" w:type="pct"/>
            <w:shd w:val="clear" w:color="auto" w:fill="auto"/>
          </w:tcPr>
          <w:p w14:paraId="76241215" w14:textId="77777777" w:rsidR="00E93F58" w:rsidRPr="00576D60" w:rsidRDefault="00E93F58" w:rsidP="003D2B1E">
            <w:pPr>
              <w:pStyle w:val="ENoteTableText"/>
            </w:pPr>
          </w:p>
        </w:tc>
        <w:tc>
          <w:tcPr>
            <w:tcW w:w="3500" w:type="pct"/>
            <w:shd w:val="clear" w:color="auto" w:fill="auto"/>
          </w:tcPr>
          <w:p w14:paraId="60D6A9AF" w14:textId="77777777" w:rsidR="00E93F58" w:rsidRPr="00576D60" w:rsidRDefault="00E93F58" w:rsidP="003D2B1E">
            <w:pPr>
              <w:pStyle w:val="ENoteTableText"/>
            </w:pPr>
            <w:r w:rsidRPr="00576D60">
              <w:t>am No 139, 2005; F2018L01144; F2022L00469</w:t>
            </w:r>
          </w:p>
        </w:tc>
      </w:tr>
      <w:tr w:rsidR="00E93F58" w:rsidRPr="00576D60" w14:paraId="513FE289" w14:textId="77777777" w:rsidTr="002F32E3">
        <w:trPr>
          <w:cantSplit/>
        </w:trPr>
        <w:tc>
          <w:tcPr>
            <w:tcW w:w="1500" w:type="pct"/>
            <w:shd w:val="clear" w:color="auto" w:fill="auto"/>
          </w:tcPr>
          <w:p w14:paraId="6494D0F2" w14:textId="77777777" w:rsidR="00E93F58" w:rsidRPr="00576D60" w:rsidRDefault="00E93F58" w:rsidP="003D2B1E">
            <w:pPr>
              <w:pStyle w:val="ENoteTableText"/>
              <w:tabs>
                <w:tab w:val="left" w:leader="dot" w:pos="2268"/>
              </w:tabs>
              <w:rPr>
                <w:b/>
              </w:rPr>
            </w:pPr>
            <w:r w:rsidRPr="00576D60">
              <w:rPr>
                <w:b/>
              </w:rPr>
              <w:t>Division 5AB</w:t>
            </w:r>
          </w:p>
        </w:tc>
        <w:tc>
          <w:tcPr>
            <w:tcW w:w="3500" w:type="pct"/>
            <w:shd w:val="clear" w:color="auto" w:fill="auto"/>
          </w:tcPr>
          <w:p w14:paraId="3C20CC06" w14:textId="77777777" w:rsidR="00E93F58" w:rsidRPr="00576D60" w:rsidRDefault="00E93F58" w:rsidP="003D2B1E">
            <w:pPr>
              <w:pStyle w:val="ENoteTableText"/>
            </w:pPr>
          </w:p>
        </w:tc>
      </w:tr>
      <w:tr w:rsidR="00E93F58" w:rsidRPr="00576D60" w14:paraId="035EB158" w14:textId="77777777" w:rsidTr="002F32E3">
        <w:trPr>
          <w:cantSplit/>
        </w:trPr>
        <w:tc>
          <w:tcPr>
            <w:tcW w:w="1500" w:type="pct"/>
            <w:shd w:val="clear" w:color="auto" w:fill="auto"/>
          </w:tcPr>
          <w:p w14:paraId="1AE2923D" w14:textId="77777777" w:rsidR="00E93F58" w:rsidRPr="00576D60" w:rsidRDefault="00E93F58" w:rsidP="003D2B1E">
            <w:pPr>
              <w:pStyle w:val="ENoteTableText"/>
              <w:tabs>
                <w:tab w:val="left" w:leader="dot" w:pos="2268"/>
              </w:tabs>
            </w:pPr>
            <w:r w:rsidRPr="00576D60">
              <w:t>Division 5AB</w:t>
            </w:r>
            <w:r w:rsidRPr="00576D60">
              <w:tab/>
            </w:r>
          </w:p>
        </w:tc>
        <w:tc>
          <w:tcPr>
            <w:tcW w:w="3500" w:type="pct"/>
            <w:shd w:val="clear" w:color="auto" w:fill="auto"/>
          </w:tcPr>
          <w:p w14:paraId="0110FA4B" w14:textId="77777777" w:rsidR="00E93F58" w:rsidRPr="00576D60" w:rsidRDefault="00E93F58" w:rsidP="003D2B1E">
            <w:pPr>
              <w:pStyle w:val="ENoteTableText"/>
            </w:pPr>
            <w:r w:rsidRPr="00576D60">
              <w:t>ad. 2005 No. 324</w:t>
            </w:r>
          </w:p>
        </w:tc>
      </w:tr>
      <w:tr w:rsidR="00E93F58" w:rsidRPr="00576D60" w14:paraId="1E32F05B" w14:textId="77777777" w:rsidTr="002F32E3">
        <w:trPr>
          <w:cantSplit/>
        </w:trPr>
        <w:tc>
          <w:tcPr>
            <w:tcW w:w="1500" w:type="pct"/>
            <w:shd w:val="clear" w:color="auto" w:fill="auto"/>
          </w:tcPr>
          <w:p w14:paraId="62C622E2" w14:textId="77777777" w:rsidR="00E93F58" w:rsidRPr="00576D60" w:rsidRDefault="00E93F58" w:rsidP="003D2B1E">
            <w:pPr>
              <w:pStyle w:val="ENoteTableText"/>
              <w:tabs>
                <w:tab w:val="left" w:leader="dot" w:pos="2268"/>
              </w:tabs>
            </w:pPr>
            <w:r w:rsidRPr="00576D60">
              <w:t>r 7.9.61AA</w:t>
            </w:r>
            <w:r w:rsidRPr="00576D60">
              <w:tab/>
            </w:r>
          </w:p>
        </w:tc>
        <w:tc>
          <w:tcPr>
            <w:tcW w:w="3500" w:type="pct"/>
            <w:shd w:val="clear" w:color="auto" w:fill="auto"/>
          </w:tcPr>
          <w:p w14:paraId="663519FD" w14:textId="77777777" w:rsidR="00E93F58" w:rsidRPr="00576D60" w:rsidRDefault="00E93F58" w:rsidP="003D2B1E">
            <w:pPr>
              <w:pStyle w:val="ENoteTableText"/>
            </w:pPr>
            <w:r w:rsidRPr="00576D60">
              <w:t>ad No 324, 2005</w:t>
            </w:r>
          </w:p>
        </w:tc>
      </w:tr>
      <w:tr w:rsidR="00E93F58" w:rsidRPr="00576D60" w14:paraId="5BA82738" w14:textId="77777777" w:rsidTr="002F32E3">
        <w:trPr>
          <w:cantSplit/>
        </w:trPr>
        <w:tc>
          <w:tcPr>
            <w:tcW w:w="1500" w:type="pct"/>
            <w:shd w:val="clear" w:color="auto" w:fill="auto"/>
          </w:tcPr>
          <w:p w14:paraId="233B86B0" w14:textId="77777777" w:rsidR="00E93F58" w:rsidRPr="00576D60" w:rsidRDefault="00E93F58" w:rsidP="003D2B1E">
            <w:pPr>
              <w:pStyle w:val="ENoteTableText"/>
              <w:tabs>
                <w:tab w:val="left" w:leader="dot" w:pos="2268"/>
              </w:tabs>
            </w:pPr>
          </w:p>
        </w:tc>
        <w:tc>
          <w:tcPr>
            <w:tcW w:w="3500" w:type="pct"/>
            <w:shd w:val="clear" w:color="auto" w:fill="auto"/>
          </w:tcPr>
          <w:p w14:paraId="3DAAC72F" w14:textId="77777777" w:rsidR="00E93F58" w:rsidRPr="00576D60" w:rsidRDefault="00E93F58" w:rsidP="003D2B1E">
            <w:pPr>
              <w:pStyle w:val="ENoteTableText"/>
            </w:pPr>
            <w:r w:rsidRPr="00576D60">
              <w:t>am F2019L01641</w:t>
            </w:r>
            <w:r>
              <w:t>; F2023L01458</w:t>
            </w:r>
          </w:p>
        </w:tc>
      </w:tr>
      <w:tr w:rsidR="00E93F58" w:rsidRPr="00576D60" w14:paraId="7D2EA3A5" w14:textId="77777777" w:rsidTr="002F32E3">
        <w:trPr>
          <w:cantSplit/>
        </w:trPr>
        <w:tc>
          <w:tcPr>
            <w:tcW w:w="1500" w:type="pct"/>
            <w:shd w:val="clear" w:color="auto" w:fill="auto"/>
          </w:tcPr>
          <w:p w14:paraId="5CF584AE" w14:textId="77777777" w:rsidR="00E93F58" w:rsidRPr="00576D60" w:rsidRDefault="00E93F58" w:rsidP="003D2B1E">
            <w:pPr>
              <w:pStyle w:val="ENoteTableText"/>
              <w:tabs>
                <w:tab w:val="left" w:leader="dot" w:pos="2268"/>
              </w:tabs>
              <w:rPr>
                <w:b/>
              </w:rPr>
            </w:pPr>
            <w:r w:rsidRPr="00576D60">
              <w:rPr>
                <w:b/>
              </w:rPr>
              <w:t>Division 5A</w:t>
            </w:r>
          </w:p>
        </w:tc>
        <w:tc>
          <w:tcPr>
            <w:tcW w:w="3500" w:type="pct"/>
            <w:shd w:val="clear" w:color="auto" w:fill="auto"/>
          </w:tcPr>
          <w:p w14:paraId="51EFF248" w14:textId="77777777" w:rsidR="00E93F58" w:rsidRPr="00576D60" w:rsidRDefault="00E93F58" w:rsidP="003D2B1E">
            <w:pPr>
              <w:pStyle w:val="ENoteTableText"/>
              <w:keepNext/>
              <w:keepLines/>
            </w:pPr>
          </w:p>
        </w:tc>
      </w:tr>
      <w:tr w:rsidR="00E93F58" w:rsidRPr="00576D60" w14:paraId="5D5BA40D" w14:textId="77777777" w:rsidTr="002F32E3">
        <w:trPr>
          <w:cantSplit/>
        </w:trPr>
        <w:tc>
          <w:tcPr>
            <w:tcW w:w="1500" w:type="pct"/>
            <w:shd w:val="clear" w:color="auto" w:fill="auto"/>
          </w:tcPr>
          <w:p w14:paraId="0148FBF0" w14:textId="77777777" w:rsidR="00E93F58" w:rsidRPr="00576D60" w:rsidRDefault="00E93F58" w:rsidP="003D2B1E">
            <w:pPr>
              <w:pStyle w:val="ENoteTableText"/>
              <w:tabs>
                <w:tab w:val="left" w:leader="dot" w:pos="2268"/>
              </w:tabs>
            </w:pPr>
            <w:r w:rsidRPr="00576D60">
              <w:t>Division 5A</w:t>
            </w:r>
            <w:r w:rsidRPr="00576D60">
              <w:tab/>
            </w:r>
          </w:p>
        </w:tc>
        <w:tc>
          <w:tcPr>
            <w:tcW w:w="3500" w:type="pct"/>
            <w:shd w:val="clear" w:color="auto" w:fill="auto"/>
          </w:tcPr>
          <w:p w14:paraId="67F5D790" w14:textId="77777777" w:rsidR="00E93F58" w:rsidRPr="00576D60" w:rsidRDefault="00E93F58" w:rsidP="003D2B1E">
            <w:pPr>
              <w:pStyle w:val="ENoteTableText"/>
            </w:pPr>
            <w:r w:rsidRPr="00576D60">
              <w:t>ad. 2002 No. 16</w:t>
            </w:r>
          </w:p>
        </w:tc>
      </w:tr>
      <w:tr w:rsidR="00E93F58" w:rsidRPr="00576D60" w14:paraId="135C236E" w14:textId="77777777" w:rsidTr="002F32E3">
        <w:trPr>
          <w:cantSplit/>
        </w:trPr>
        <w:tc>
          <w:tcPr>
            <w:tcW w:w="1500" w:type="pct"/>
            <w:shd w:val="clear" w:color="auto" w:fill="auto"/>
          </w:tcPr>
          <w:p w14:paraId="1FB16BE1" w14:textId="77777777" w:rsidR="00E93F58" w:rsidRPr="00576D60" w:rsidRDefault="00E93F58" w:rsidP="003D2B1E">
            <w:pPr>
              <w:pStyle w:val="ENoteTableText"/>
              <w:tabs>
                <w:tab w:val="left" w:leader="dot" w:pos="2268"/>
              </w:tabs>
            </w:pPr>
            <w:r w:rsidRPr="00576D60">
              <w:t>r. 7.9.61A</w:t>
            </w:r>
            <w:r w:rsidRPr="00576D60">
              <w:tab/>
            </w:r>
          </w:p>
        </w:tc>
        <w:tc>
          <w:tcPr>
            <w:tcW w:w="3500" w:type="pct"/>
            <w:shd w:val="clear" w:color="auto" w:fill="auto"/>
          </w:tcPr>
          <w:p w14:paraId="74845274" w14:textId="77777777" w:rsidR="00E93F58" w:rsidRPr="00576D60" w:rsidRDefault="00E93F58" w:rsidP="003D2B1E">
            <w:pPr>
              <w:pStyle w:val="ENoteTableText"/>
            </w:pPr>
            <w:r w:rsidRPr="00576D60">
              <w:t>ad. 2002 No. 16</w:t>
            </w:r>
          </w:p>
        </w:tc>
      </w:tr>
      <w:tr w:rsidR="00E93F58" w:rsidRPr="00576D60" w14:paraId="5DAD9130" w14:textId="77777777" w:rsidTr="002F32E3">
        <w:trPr>
          <w:cantSplit/>
        </w:trPr>
        <w:tc>
          <w:tcPr>
            <w:tcW w:w="1500" w:type="pct"/>
            <w:shd w:val="clear" w:color="auto" w:fill="auto"/>
          </w:tcPr>
          <w:p w14:paraId="50C7ED08" w14:textId="77777777" w:rsidR="00E93F58" w:rsidRPr="00576D60" w:rsidRDefault="00E93F58" w:rsidP="003D2B1E">
            <w:pPr>
              <w:pStyle w:val="ENoteTableText"/>
              <w:tabs>
                <w:tab w:val="left" w:leader="dot" w:pos="2268"/>
              </w:tabs>
            </w:pPr>
            <w:r w:rsidRPr="00576D60">
              <w:t>r. 7.9.61B</w:t>
            </w:r>
            <w:r w:rsidRPr="00576D60">
              <w:tab/>
            </w:r>
          </w:p>
        </w:tc>
        <w:tc>
          <w:tcPr>
            <w:tcW w:w="3500" w:type="pct"/>
            <w:shd w:val="clear" w:color="auto" w:fill="auto"/>
          </w:tcPr>
          <w:p w14:paraId="20DD1CFB" w14:textId="77777777" w:rsidR="00E93F58" w:rsidRPr="00576D60" w:rsidRDefault="00E93F58" w:rsidP="003D2B1E">
            <w:pPr>
              <w:pStyle w:val="ENoteTableText"/>
            </w:pPr>
            <w:r w:rsidRPr="00576D60">
              <w:t>ad. 2002 No. 16</w:t>
            </w:r>
          </w:p>
        </w:tc>
      </w:tr>
      <w:tr w:rsidR="00E93F58" w:rsidRPr="00576D60" w14:paraId="66ED8A75" w14:textId="77777777" w:rsidTr="002F32E3">
        <w:trPr>
          <w:cantSplit/>
        </w:trPr>
        <w:tc>
          <w:tcPr>
            <w:tcW w:w="1500" w:type="pct"/>
            <w:shd w:val="clear" w:color="auto" w:fill="auto"/>
          </w:tcPr>
          <w:p w14:paraId="66A7CDA1" w14:textId="77777777" w:rsidR="00E93F58" w:rsidRPr="00576D60" w:rsidRDefault="00E93F58" w:rsidP="003D2B1E">
            <w:pPr>
              <w:pStyle w:val="ENoteTableText"/>
              <w:tabs>
                <w:tab w:val="left" w:leader="dot" w:pos="2268"/>
              </w:tabs>
            </w:pPr>
            <w:r w:rsidRPr="00576D60">
              <w:t>r. 7.9.61C</w:t>
            </w:r>
            <w:r w:rsidRPr="00576D60">
              <w:tab/>
            </w:r>
          </w:p>
        </w:tc>
        <w:tc>
          <w:tcPr>
            <w:tcW w:w="3500" w:type="pct"/>
            <w:shd w:val="clear" w:color="auto" w:fill="auto"/>
          </w:tcPr>
          <w:p w14:paraId="4E88889B" w14:textId="77777777" w:rsidR="00E93F58" w:rsidRPr="00576D60" w:rsidRDefault="00E93F58" w:rsidP="003D2B1E">
            <w:pPr>
              <w:pStyle w:val="ENoteTableText"/>
            </w:pPr>
            <w:r w:rsidRPr="00576D60">
              <w:t>ad. 2002 No. 16</w:t>
            </w:r>
          </w:p>
        </w:tc>
      </w:tr>
      <w:tr w:rsidR="00E93F58" w:rsidRPr="00576D60" w14:paraId="73102F11" w14:textId="77777777" w:rsidTr="002F32E3">
        <w:trPr>
          <w:cantSplit/>
        </w:trPr>
        <w:tc>
          <w:tcPr>
            <w:tcW w:w="1500" w:type="pct"/>
            <w:shd w:val="clear" w:color="auto" w:fill="auto"/>
          </w:tcPr>
          <w:p w14:paraId="41E596C7" w14:textId="77777777" w:rsidR="00E93F58" w:rsidRPr="00576D60" w:rsidRDefault="00E93F58" w:rsidP="003D2B1E">
            <w:pPr>
              <w:pStyle w:val="ENoteTableText"/>
            </w:pPr>
          </w:p>
        </w:tc>
        <w:tc>
          <w:tcPr>
            <w:tcW w:w="3500" w:type="pct"/>
            <w:shd w:val="clear" w:color="auto" w:fill="auto"/>
          </w:tcPr>
          <w:p w14:paraId="1FD615D4" w14:textId="77777777" w:rsidR="00E93F58" w:rsidRPr="00576D60" w:rsidRDefault="00E93F58" w:rsidP="003D2B1E">
            <w:pPr>
              <w:pStyle w:val="ENoteTableText"/>
            </w:pPr>
            <w:r w:rsidRPr="00576D60">
              <w:t>rs. 2003 No. 31</w:t>
            </w:r>
          </w:p>
        </w:tc>
      </w:tr>
      <w:tr w:rsidR="00E93F58" w:rsidRPr="00576D60" w14:paraId="4A222533" w14:textId="77777777" w:rsidTr="002F32E3">
        <w:trPr>
          <w:cantSplit/>
        </w:trPr>
        <w:tc>
          <w:tcPr>
            <w:tcW w:w="1500" w:type="pct"/>
            <w:shd w:val="clear" w:color="auto" w:fill="auto"/>
          </w:tcPr>
          <w:p w14:paraId="4EEAA333" w14:textId="77777777" w:rsidR="00E93F58" w:rsidRPr="00576D60" w:rsidRDefault="00E93F58" w:rsidP="003D2B1E">
            <w:pPr>
              <w:pStyle w:val="ENoteTableText"/>
              <w:tabs>
                <w:tab w:val="left" w:leader="dot" w:pos="2268"/>
              </w:tabs>
              <w:rPr>
                <w:b/>
              </w:rPr>
            </w:pPr>
            <w:r w:rsidRPr="00576D60">
              <w:rPr>
                <w:b/>
              </w:rPr>
              <w:t>Division 5B</w:t>
            </w:r>
          </w:p>
        </w:tc>
        <w:tc>
          <w:tcPr>
            <w:tcW w:w="3500" w:type="pct"/>
            <w:shd w:val="clear" w:color="auto" w:fill="auto"/>
          </w:tcPr>
          <w:p w14:paraId="1A83B778" w14:textId="77777777" w:rsidR="00E93F58" w:rsidRPr="00576D60" w:rsidRDefault="00E93F58" w:rsidP="003D2B1E">
            <w:pPr>
              <w:pStyle w:val="ENoteTableText"/>
            </w:pPr>
          </w:p>
        </w:tc>
      </w:tr>
      <w:tr w:rsidR="00E93F58" w:rsidRPr="00576D60" w14:paraId="282BC0C6" w14:textId="77777777" w:rsidTr="002F32E3">
        <w:trPr>
          <w:cantSplit/>
        </w:trPr>
        <w:tc>
          <w:tcPr>
            <w:tcW w:w="1500" w:type="pct"/>
            <w:shd w:val="clear" w:color="auto" w:fill="auto"/>
          </w:tcPr>
          <w:p w14:paraId="1AF9EE9F" w14:textId="77777777" w:rsidR="00E93F58" w:rsidRPr="00576D60" w:rsidRDefault="00E93F58" w:rsidP="003D2B1E">
            <w:pPr>
              <w:pStyle w:val="ENoteTableText"/>
              <w:tabs>
                <w:tab w:val="left" w:leader="dot" w:pos="2268"/>
              </w:tabs>
            </w:pPr>
            <w:r w:rsidRPr="00576D60">
              <w:t>Division 5B</w:t>
            </w:r>
            <w:r w:rsidRPr="00576D60">
              <w:tab/>
            </w:r>
          </w:p>
        </w:tc>
        <w:tc>
          <w:tcPr>
            <w:tcW w:w="3500" w:type="pct"/>
            <w:shd w:val="clear" w:color="auto" w:fill="auto"/>
          </w:tcPr>
          <w:p w14:paraId="0143FC1E" w14:textId="77777777" w:rsidR="00E93F58" w:rsidRPr="00576D60" w:rsidRDefault="00E93F58" w:rsidP="003D2B1E">
            <w:pPr>
              <w:pStyle w:val="ENoteTableText"/>
            </w:pPr>
            <w:r w:rsidRPr="00576D60">
              <w:t>ad. 2002 No. 16</w:t>
            </w:r>
          </w:p>
        </w:tc>
      </w:tr>
      <w:tr w:rsidR="00E93F58" w:rsidRPr="00576D60" w14:paraId="2026361D" w14:textId="77777777" w:rsidTr="002F32E3">
        <w:trPr>
          <w:cantSplit/>
        </w:trPr>
        <w:tc>
          <w:tcPr>
            <w:tcW w:w="1500" w:type="pct"/>
            <w:shd w:val="clear" w:color="auto" w:fill="auto"/>
          </w:tcPr>
          <w:p w14:paraId="318F3669" w14:textId="77777777" w:rsidR="00E93F58" w:rsidRPr="00576D60" w:rsidRDefault="00E93F58" w:rsidP="003D2B1E">
            <w:pPr>
              <w:pStyle w:val="ENoteTableText"/>
              <w:tabs>
                <w:tab w:val="left" w:leader="dot" w:pos="2268"/>
              </w:tabs>
            </w:pPr>
            <w:r w:rsidRPr="00576D60">
              <w:t>r 7.9.61D</w:t>
            </w:r>
            <w:r w:rsidRPr="00576D60">
              <w:tab/>
            </w:r>
          </w:p>
        </w:tc>
        <w:tc>
          <w:tcPr>
            <w:tcW w:w="3500" w:type="pct"/>
            <w:shd w:val="clear" w:color="auto" w:fill="auto"/>
          </w:tcPr>
          <w:p w14:paraId="5E272E40" w14:textId="77777777" w:rsidR="00E93F58" w:rsidRPr="00576D60" w:rsidRDefault="00E93F58" w:rsidP="003D2B1E">
            <w:pPr>
              <w:pStyle w:val="ENoteTableText"/>
            </w:pPr>
            <w:r w:rsidRPr="00576D60">
              <w:t>ad</w:t>
            </w:r>
            <w:r>
              <w:t xml:space="preserve"> No 16, 2002</w:t>
            </w:r>
          </w:p>
        </w:tc>
      </w:tr>
      <w:tr w:rsidR="00E93F58" w:rsidRPr="00576D60" w14:paraId="2F8C92D6" w14:textId="77777777" w:rsidTr="002F32E3">
        <w:trPr>
          <w:cantSplit/>
        </w:trPr>
        <w:tc>
          <w:tcPr>
            <w:tcW w:w="1500" w:type="pct"/>
            <w:shd w:val="clear" w:color="auto" w:fill="auto"/>
          </w:tcPr>
          <w:p w14:paraId="74F6C50F" w14:textId="77777777" w:rsidR="00E93F58" w:rsidRPr="00576D60" w:rsidRDefault="00E93F58" w:rsidP="003D2B1E">
            <w:pPr>
              <w:pStyle w:val="ENoteTableText"/>
            </w:pPr>
          </w:p>
        </w:tc>
        <w:tc>
          <w:tcPr>
            <w:tcW w:w="3500" w:type="pct"/>
            <w:shd w:val="clear" w:color="auto" w:fill="auto"/>
          </w:tcPr>
          <w:p w14:paraId="39F2B813" w14:textId="77777777" w:rsidR="00E93F58" w:rsidRPr="00576D60" w:rsidRDefault="00E93F58" w:rsidP="003D2B1E">
            <w:pPr>
              <w:pStyle w:val="ENoteTableText"/>
            </w:pPr>
            <w:r w:rsidRPr="00576D60">
              <w:t>am</w:t>
            </w:r>
            <w:r>
              <w:t xml:space="preserve"> No 41, 2002; No 202, 2003; F2023L01458</w:t>
            </w:r>
          </w:p>
        </w:tc>
      </w:tr>
      <w:tr w:rsidR="00E93F58" w:rsidRPr="00576D60" w14:paraId="371C3736" w14:textId="77777777" w:rsidTr="002F32E3">
        <w:trPr>
          <w:cantSplit/>
        </w:trPr>
        <w:tc>
          <w:tcPr>
            <w:tcW w:w="1500" w:type="pct"/>
            <w:shd w:val="clear" w:color="auto" w:fill="auto"/>
          </w:tcPr>
          <w:p w14:paraId="3EE9DEBA" w14:textId="77777777" w:rsidR="00E93F58" w:rsidRPr="00576D60" w:rsidRDefault="00E93F58" w:rsidP="003D2B1E">
            <w:pPr>
              <w:pStyle w:val="ENoteTableText"/>
              <w:keepNext/>
              <w:tabs>
                <w:tab w:val="left" w:leader="dot" w:pos="2268"/>
              </w:tabs>
              <w:rPr>
                <w:b/>
              </w:rPr>
            </w:pPr>
            <w:r w:rsidRPr="00576D60">
              <w:rPr>
                <w:b/>
              </w:rPr>
              <w:t>Division 5C</w:t>
            </w:r>
          </w:p>
        </w:tc>
        <w:tc>
          <w:tcPr>
            <w:tcW w:w="3500" w:type="pct"/>
            <w:shd w:val="clear" w:color="auto" w:fill="auto"/>
          </w:tcPr>
          <w:p w14:paraId="2D126E3F" w14:textId="77777777" w:rsidR="00E93F58" w:rsidRPr="00576D60" w:rsidRDefault="00E93F58" w:rsidP="003D2B1E">
            <w:pPr>
              <w:pStyle w:val="ENoteTableText"/>
            </w:pPr>
          </w:p>
        </w:tc>
      </w:tr>
      <w:tr w:rsidR="00E93F58" w:rsidRPr="00576D60" w14:paraId="6ABE057B" w14:textId="77777777" w:rsidTr="002F32E3">
        <w:trPr>
          <w:cantSplit/>
        </w:trPr>
        <w:tc>
          <w:tcPr>
            <w:tcW w:w="1500" w:type="pct"/>
            <w:shd w:val="clear" w:color="auto" w:fill="auto"/>
          </w:tcPr>
          <w:p w14:paraId="507EE1AA" w14:textId="77777777" w:rsidR="00E93F58" w:rsidRPr="00576D60" w:rsidRDefault="00E93F58" w:rsidP="003D2B1E">
            <w:pPr>
              <w:pStyle w:val="ENoteTableText"/>
              <w:tabs>
                <w:tab w:val="left" w:leader="dot" w:pos="2268"/>
              </w:tabs>
            </w:pPr>
            <w:r w:rsidRPr="00576D60">
              <w:t>Division 5C</w:t>
            </w:r>
            <w:r w:rsidRPr="00576D60">
              <w:tab/>
            </w:r>
          </w:p>
        </w:tc>
        <w:tc>
          <w:tcPr>
            <w:tcW w:w="3500" w:type="pct"/>
            <w:shd w:val="clear" w:color="auto" w:fill="auto"/>
          </w:tcPr>
          <w:p w14:paraId="2EA428CD" w14:textId="77777777" w:rsidR="00E93F58" w:rsidRPr="00576D60" w:rsidRDefault="00E93F58" w:rsidP="003D2B1E">
            <w:pPr>
              <w:pStyle w:val="ENoteTableText"/>
            </w:pPr>
            <w:r w:rsidRPr="00576D60">
              <w:t>ad. 2012 No. 267</w:t>
            </w:r>
          </w:p>
        </w:tc>
      </w:tr>
      <w:tr w:rsidR="00E93F58" w:rsidRPr="00576D60" w14:paraId="4B8326CB" w14:textId="77777777" w:rsidTr="002F32E3">
        <w:trPr>
          <w:cantSplit/>
        </w:trPr>
        <w:tc>
          <w:tcPr>
            <w:tcW w:w="1500" w:type="pct"/>
            <w:shd w:val="clear" w:color="auto" w:fill="auto"/>
          </w:tcPr>
          <w:p w14:paraId="16E524B1" w14:textId="77777777" w:rsidR="00E93F58" w:rsidRPr="00576D60" w:rsidRDefault="00E93F58" w:rsidP="003D2B1E">
            <w:pPr>
              <w:pStyle w:val="ENoteTableText"/>
              <w:tabs>
                <w:tab w:val="left" w:leader="dot" w:pos="2268"/>
              </w:tabs>
            </w:pPr>
            <w:r w:rsidRPr="00576D60">
              <w:t>r 7.9.61E</w:t>
            </w:r>
            <w:r w:rsidRPr="00576D60">
              <w:tab/>
            </w:r>
          </w:p>
        </w:tc>
        <w:tc>
          <w:tcPr>
            <w:tcW w:w="3500" w:type="pct"/>
            <w:shd w:val="clear" w:color="auto" w:fill="auto"/>
          </w:tcPr>
          <w:p w14:paraId="6FBD4814" w14:textId="77777777" w:rsidR="00E93F58" w:rsidRPr="00576D60" w:rsidRDefault="00E93F58" w:rsidP="003D2B1E">
            <w:pPr>
              <w:pStyle w:val="ENoteTableText"/>
            </w:pPr>
            <w:r w:rsidRPr="00576D60">
              <w:t>ad</w:t>
            </w:r>
            <w:r>
              <w:t xml:space="preserve"> No 267, 2012</w:t>
            </w:r>
          </w:p>
        </w:tc>
      </w:tr>
      <w:tr w:rsidR="00E93F58" w:rsidRPr="00576D60" w14:paraId="2D58C2E7" w14:textId="77777777" w:rsidTr="002F32E3">
        <w:trPr>
          <w:cantSplit/>
        </w:trPr>
        <w:tc>
          <w:tcPr>
            <w:tcW w:w="1500" w:type="pct"/>
            <w:shd w:val="clear" w:color="auto" w:fill="auto"/>
          </w:tcPr>
          <w:p w14:paraId="01741995" w14:textId="77777777" w:rsidR="00E93F58" w:rsidRPr="00576D60" w:rsidRDefault="00E93F58" w:rsidP="003D2B1E">
            <w:pPr>
              <w:pStyle w:val="ENoteTableText"/>
              <w:tabs>
                <w:tab w:val="left" w:leader="dot" w:pos="2268"/>
              </w:tabs>
            </w:pPr>
          </w:p>
        </w:tc>
        <w:tc>
          <w:tcPr>
            <w:tcW w:w="3500" w:type="pct"/>
            <w:shd w:val="clear" w:color="auto" w:fill="auto"/>
          </w:tcPr>
          <w:p w14:paraId="5E0628D1" w14:textId="77777777" w:rsidR="00E93F58" w:rsidRPr="00576D60" w:rsidRDefault="00E93F58" w:rsidP="003D2B1E">
            <w:pPr>
              <w:pStyle w:val="ENoteTableText"/>
            </w:pPr>
            <w:r>
              <w:t>rs F2023L01458</w:t>
            </w:r>
          </w:p>
        </w:tc>
      </w:tr>
      <w:tr w:rsidR="00E93F58" w:rsidRPr="00576D60" w14:paraId="623270A8" w14:textId="77777777" w:rsidTr="002F32E3">
        <w:trPr>
          <w:cantSplit/>
        </w:trPr>
        <w:tc>
          <w:tcPr>
            <w:tcW w:w="1500" w:type="pct"/>
            <w:shd w:val="clear" w:color="auto" w:fill="auto"/>
          </w:tcPr>
          <w:p w14:paraId="4139E937" w14:textId="77777777" w:rsidR="00E93F58" w:rsidRPr="00576D60" w:rsidRDefault="00E93F58" w:rsidP="003D2B1E">
            <w:pPr>
              <w:pStyle w:val="ENoteTableText"/>
              <w:keepNext/>
              <w:tabs>
                <w:tab w:val="left" w:leader="dot" w:pos="2268"/>
              </w:tabs>
              <w:rPr>
                <w:b/>
              </w:rPr>
            </w:pPr>
            <w:r w:rsidRPr="00576D60">
              <w:rPr>
                <w:b/>
              </w:rPr>
              <w:t>Division 6</w:t>
            </w:r>
          </w:p>
        </w:tc>
        <w:tc>
          <w:tcPr>
            <w:tcW w:w="3500" w:type="pct"/>
            <w:shd w:val="clear" w:color="auto" w:fill="auto"/>
          </w:tcPr>
          <w:p w14:paraId="65B4BFE4" w14:textId="77777777" w:rsidR="00E93F58" w:rsidRPr="00576D60" w:rsidRDefault="00E93F58" w:rsidP="003D2B1E">
            <w:pPr>
              <w:pStyle w:val="ENoteTableText"/>
              <w:keepNext/>
              <w:keepLines/>
            </w:pPr>
          </w:p>
        </w:tc>
      </w:tr>
      <w:tr w:rsidR="00E93F58" w:rsidRPr="00576D60" w14:paraId="23DD7246" w14:textId="77777777" w:rsidTr="002F32E3">
        <w:trPr>
          <w:cantSplit/>
        </w:trPr>
        <w:tc>
          <w:tcPr>
            <w:tcW w:w="1500" w:type="pct"/>
            <w:shd w:val="clear" w:color="auto" w:fill="auto"/>
          </w:tcPr>
          <w:p w14:paraId="4418CD46" w14:textId="77777777" w:rsidR="00E93F58" w:rsidRPr="00576D60" w:rsidRDefault="00E93F58" w:rsidP="003D2B1E">
            <w:pPr>
              <w:pStyle w:val="ENoteTableText"/>
              <w:tabs>
                <w:tab w:val="left" w:leader="dot" w:pos="2268"/>
              </w:tabs>
            </w:pPr>
            <w:r w:rsidRPr="00576D60">
              <w:t>r 7.9.62</w:t>
            </w:r>
            <w:r w:rsidRPr="00576D60">
              <w:tab/>
            </w:r>
          </w:p>
        </w:tc>
        <w:tc>
          <w:tcPr>
            <w:tcW w:w="3500" w:type="pct"/>
            <w:shd w:val="clear" w:color="auto" w:fill="auto"/>
          </w:tcPr>
          <w:p w14:paraId="0687D405" w14:textId="77777777" w:rsidR="00E93F58" w:rsidRPr="00576D60" w:rsidRDefault="00E93F58" w:rsidP="003D2B1E">
            <w:pPr>
              <w:pStyle w:val="ENoteTableText"/>
            </w:pPr>
            <w:r w:rsidRPr="00576D60">
              <w:t>ad No 319, 2001</w:t>
            </w:r>
          </w:p>
        </w:tc>
      </w:tr>
      <w:tr w:rsidR="00E93F58" w:rsidRPr="00576D60" w14:paraId="088B2A7C" w14:textId="77777777" w:rsidTr="002F32E3">
        <w:trPr>
          <w:cantSplit/>
        </w:trPr>
        <w:tc>
          <w:tcPr>
            <w:tcW w:w="1500" w:type="pct"/>
            <w:shd w:val="clear" w:color="auto" w:fill="auto"/>
          </w:tcPr>
          <w:p w14:paraId="0175B296" w14:textId="77777777" w:rsidR="00E93F58" w:rsidRPr="00576D60" w:rsidRDefault="00E93F58" w:rsidP="003D2B1E">
            <w:pPr>
              <w:pStyle w:val="ENoteTableText"/>
            </w:pPr>
          </w:p>
        </w:tc>
        <w:tc>
          <w:tcPr>
            <w:tcW w:w="3500" w:type="pct"/>
            <w:shd w:val="clear" w:color="auto" w:fill="auto"/>
          </w:tcPr>
          <w:p w14:paraId="1B50DF17" w14:textId="77777777" w:rsidR="00E93F58" w:rsidRPr="00576D60" w:rsidRDefault="00E93F58" w:rsidP="003D2B1E">
            <w:pPr>
              <w:pStyle w:val="ENoteTableText"/>
            </w:pPr>
            <w:r w:rsidRPr="00576D60">
              <w:t>am No 16, 2002; No 41, 2002; No 31, 2003; No 202, 2003; No 10, 2004; No 158, 2008; No 91, 2015; F2018L01144; F2021L00127</w:t>
            </w:r>
            <w:r>
              <w:t>; F2023L01458</w:t>
            </w:r>
          </w:p>
        </w:tc>
      </w:tr>
      <w:tr w:rsidR="00E93F58" w:rsidRPr="00576D60" w14:paraId="4421D27A" w14:textId="77777777" w:rsidTr="002F32E3">
        <w:trPr>
          <w:cantSplit/>
        </w:trPr>
        <w:tc>
          <w:tcPr>
            <w:tcW w:w="1500" w:type="pct"/>
            <w:shd w:val="clear" w:color="auto" w:fill="auto"/>
          </w:tcPr>
          <w:p w14:paraId="5DE98DB5" w14:textId="77777777" w:rsidR="00E93F58" w:rsidRPr="00576D60" w:rsidRDefault="00E93F58" w:rsidP="003D2B1E">
            <w:pPr>
              <w:pStyle w:val="ENoteTableText"/>
              <w:tabs>
                <w:tab w:val="left" w:leader="dot" w:pos="2268"/>
              </w:tabs>
            </w:pPr>
            <w:r w:rsidRPr="00576D60">
              <w:t>r. 7.9.63</w:t>
            </w:r>
            <w:r w:rsidRPr="00576D60">
              <w:tab/>
            </w:r>
          </w:p>
        </w:tc>
        <w:tc>
          <w:tcPr>
            <w:tcW w:w="3500" w:type="pct"/>
            <w:shd w:val="clear" w:color="auto" w:fill="auto"/>
          </w:tcPr>
          <w:p w14:paraId="63EE32DA" w14:textId="77777777" w:rsidR="00E93F58" w:rsidRPr="00576D60" w:rsidRDefault="00E93F58" w:rsidP="003D2B1E">
            <w:pPr>
              <w:pStyle w:val="ENoteTableText"/>
            </w:pPr>
            <w:r w:rsidRPr="00576D60">
              <w:t>ad. 2001 No. 319</w:t>
            </w:r>
          </w:p>
        </w:tc>
      </w:tr>
      <w:tr w:rsidR="00E93F58" w:rsidRPr="00576D60" w14:paraId="43FFDEAF" w14:textId="77777777" w:rsidTr="002F32E3">
        <w:trPr>
          <w:cantSplit/>
        </w:trPr>
        <w:tc>
          <w:tcPr>
            <w:tcW w:w="1500" w:type="pct"/>
            <w:shd w:val="clear" w:color="auto" w:fill="auto"/>
          </w:tcPr>
          <w:p w14:paraId="609460C5" w14:textId="77777777" w:rsidR="00E93F58" w:rsidRPr="00576D60" w:rsidRDefault="00E93F58" w:rsidP="003D2B1E">
            <w:pPr>
              <w:pStyle w:val="ENoteTableText"/>
              <w:tabs>
                <w:tab w:val="left" w:leader="dot" w:pos="2268"/>
              </w:tabs>
            </w:pPr>
            <w:r w:rsidRPr="00576D60">
              <w:lastRenderedPageBreak/>
              <w:t>r. 7.9.63A</w:t>
            </w:r>
            <w:r w:rsidRPr="00576D60">
              <w:tab/>
            </w:r>
          </w:p>
        </w:tc>
        <w:tc>
          <w:tcPr>
            <w:tcW w:w="3500" w:type="pct"/>
            <w:shd w:val="clear" w:color="auto" w:fill="auto"/>
          </w:tcPr>
          <w:p w14:paraId="3751463A" w14:textId="77777777" w:rsidR="00E93F58" w:rsidRPr="00576D60" w:rsidRDefault="00E93F58" w:rsidP="003D2B1E">
            <w:pPr>
              <w:pStyle w:val="ENoteTableText"/>
            </w:pPr>
            <w:r w:rsidRPr="00576D60">
              <w:t>ad. 2002 No. 16</w:t>
            </w:r>
          </w:p>
        </w:tc>
      </w:tr>
      <w:tr w:rsidR="00E93F58" w:rsidRPr="00576D60" w14:paraId="3658792F" w14:textId="77777777" w:rsidTr="002F32E3">
        <w:trPr>
          <w:cantSplit/>
        </w:trPr>
        <w:tc>
          <w:tcPr>
            <w:tcW w:w="1500" w:type="pct"/>
            <w:shd w:val="clear" w:color="auto" w:fill="auto"/>
          </w:tcPr>
          <w:p w14:paraId="4A0EC195" w14:textId="77777777" w:rsidR="00E93F58" w:rsidRPr="00576D60" w:rsidRDefault="00E93F58" w:rsidP="003D2B1E">
            <w:pPr>
              <w:pStyle w:val="ENoteTableText"/>
              <w:tabs>
                <w:tab w:val="left" w:leader="dot" w:pos="2268"/>
              </w:tabs>
            </w:pPr>
            <w:r w:rsidRPr="00576D60">
              <w:t>r. 7.9.63B</w:t>
            </w:r>
            <w:r w:rsidRPr="00576D60">
              <w:tab/>
            </w:r>
          </w:p>
        </w:tc>
        <w:tc>
          <w:tcPr>
            <w:tcW w:w="3500" w:type="pct"/>
            <w:shd w:val="clear" w:color="auto" w:fill="auto"/>
          </w:tcPr>
          <w:p w14:paraId="33253B16" w14:textId="77777777" w:rsidR="00E93F58" w:rsidRPr="00576D60" w:rsidRDefault="00E93F58" w:rsidP="003D2B1E">
            <w:pPr>
              <w:pStyle w:val="ENoteTableText"/>
            </w:pPr>
            <w:r w:rsidRPr="00576D60">
              <w:t>ad. 2002 No. 16</w:t>
            </w:r>
          </w:p>
        </w:tc>
      </w:tr>
      <w:tr w:rsidR="00E93F58" w:rsidRPr="00576D60" w14:paraId="00BDF0F2" w14:textId="77777777" w:rsidTr="002F32E3">
        <w:trPr>
          <w:cantSplit/>
        </w:trPr>
        <w:tc>
          <w:tcPr>
            <w:tcW w:w="1500" w:type="pct"/>
            <w:shd w:val="clear" w:color="auto" w:fill="auto"/>
          </w:tcPr>
          <w:p w14:paraId="7B2DD0C5" w14:textId="77777777" w:rsidR="00E93F58" w:rsidRPr="00576D60" w:rsidRDefault="00E93F58" w:rsidP="003D2B1E">
            <w:pPr>
              <w:pStyle w:val="ENoteTableText"/>
            </w:pPr>
          </w:p>
        </w:tc>
        <w:tc>
          <w:tcPr>
            <w:tcW w:w="3500" w:type="pct"/>
            <w:shd w:val="clear" w:color="auto" w:fill="auto"/>
          </w:tcPr>
          <w:p w14:paraId="27AF0776" w14:textId="77777777" w:rsidR="00E93F58" w:rsidRPr="00576D60" w:rsidRDefault="00E93F58" w:rsidP="003D2B1E">
            <w:pPr>
              <w:pStyle w:val="ENoteTableText"/>
            </w:pPr>
            <w:r w:rsidRPr="00576D60">
              <w:t>am. 2002 No. 41; 2004 No. 25; 2009 No. 70</w:t>
            </w:r>
          </w:p>
        </w:tc>
      </w:tr>
      <w:tr w:rsidR="00E93F58" w:rsidRPr="00576D60" w14:paraId="1926B38E" w14:textId="77777777" w:rsidTr="002F32E3">
        <w:trPr>
          <w:cantSplit/>
        </w:trPr>
        <w:tc>
          <w:tcPr>
            <w:tcW w:w="1500" w:type="pct"/>
            <w:shd w:val="clear" w:color="auto" w:fill="auto"/>
          </w:tcPr>
          <w:p w14:paraId="11D11470" w14:textId="77777777" w:rsidR="00E93F58" w:rsidRPr="00576D60" w:rsidRDefault="00E93F58" w:rsidP="003D2B1E">
            <w:pPr>
              <w:pStyle w:val="ENoteTableText"/>
              <w:tabs>
                <w:tab w:val="left" w:leader="dot" w:pos="2268"/>
              </w:tabs>
            </w:pPr>
            <w:r w:rsidRPr="00576D60">
              <w:t>r. 7.9.63C</w:t>
            </w:r>
            <w:r w:rsidRPr="00576D60">
              <w:tab/>
            </w:r>
          </w:p>
        </w:tc>
        <w:tc>
          <w:tcPr>
            <w:tcW w:w="3500" w:type="pct"/>
            <w:shd w:val="clear" w:color="auto" w:fill="auto"/>
          </w:tcPr>
          <w:p w14:paraId="1D09B9B9" w14:textId="77777777" w:rsidR="00E93F58" w:rsidRPr="00576D60" w:rsidRDefault="00E93F58" w:rsidP="003D2B1E">
            <w:pPr>
              <w:pStyle w:val="ENoteTableText"/>
            </w:pPr>
            <w:r w:rsidRPr="00576D60">
              <w:t>ad. 2002 No. 16</w:t>
            </w:r>
          </w:p>
        </w:tc>
      </w:tr>
      <w:tr w:rsidR="00E93F58" w:rsidRPr="00576D60" w14:paraId="4C14D46A" w14:textId="77777777" w:rsidTr="002F32E3">
        <w:trPr>
          <w:cantSplit/>
        </w:trPr>
        <w:tc>
          <w:tcPr>
            <w:tcW w:w="1500" w:type="pct"/>
            <w:shd w:val="clear" w:color="auto" w:fill="auto"/>
          </w:tcPr>
          <w:p w14:paraId="7CC31966" w14:textId="77777777" w:rsidR="00E93F58" w:rsidRPr="00576D60" w:rsidRDefault="00E93F58" w:rsidP="003D2B1E">
            <w:pPr>
              <w:pStyle w:val="ENoteTableText"/>
            </w:pPr>
          </w:p>
        </w:tc>
        <w:tc>
          <w:tcPr>
            <w:tcW w:w="3500" w:type="pct"/>
            <w:shd w:val="clear" w:color="auto" w:fill="auto"/>
          </w:tcPr>
          <w:p w14:paraId="63B25933" w14:textId="77777777" w:rsidR="00E93F58" w:rsidRPr="00576D60" w:rsidRDefault="00E93F58" w:rsidP="003D2B1E">
            <w:pPr>
              <w:pStyle w:val="ENoteTableText"/>
            </w:pPr>
            <w:r w:rsidRPr="00576D60">
              <w:t>am. 2010 No. 210</w:t>
            </w:r>
          </w:p>
        </w:tc>
      </w:tr>
      <w:tr w:rsidR="00E93F58" w:rsidRPr="00576D60" w14:paraId="645D2F46" w14:textId="77777777" w:rsidTr="002F32E3">
        <w:trPr>
          <w:cantSplit/>
        </w:trPr>
        <w:tc>
          <w:tcPr>
            <w:tcW w:w="1500" w:type="pct"/>
            <w:shd w:val="clear" w:color="auto" w:fill="auto"/>
          </w:tcPr>
          <w:p w14:paraId="5625CD02" w14:textId="77777777" w:rsidR="00E93F58" w:rsidRPr="00576D60" w:rsidRDefault="00E93F58" w:rsidP="003D2B1E">
            <w:pPr>
              <w:pStyle w:val="ENoteTableText"/>
              <w:tabs>
                <w:tab w:val="left" w:leader="dot" w:pos="2268"/>
              </w:tabs>
            </w:pPr>
            <w:r w:rsidRPr="00576D60">
              <w:t>r 7.9.63D</w:t>
            </w:r>
            <w:r w:rsidRPr="00576D60">
              <w:tab/>
            </w:r>
          </w:p>
        </w:tc>
        <w:tc>
          <w:tcPr>
            <w:tcW w:w="3500" w:type="pct"/>
            <w:shd w:val="clear" w:color="auto" w:fill="auto"/>
          </w:tcPr>
          <w:p w14:paraId="0336B227" w14:textId="77777777" w:rsidR="00E93F58" w:rsidRPr="00576D60" w:rsidRDefault="00E93F58" w:rsidP="003D2B1E">
            <w:pPr>
              <w:pStyle w:val="ENoteTableText"/>
            </w:pPr>
            <w:r w:rsidRPr="00576D60">
              <w:t>ad</w:t>
            </w:r>
            <w:r>
              <w:t xml:space="preserve"> No 16, 2002</w:t>
            </w:r>
          </w:p>
        </w:tc>
      </w:tr>
      <w:tr w:rsidR="00E93F58" w:rsidRPr="00576D60" w14:paraId="7C0306E2" w14:textId="77777777" w:rsidTr="002F32E3">
        <w:trPr>
          <w:cantSplit/>
        </w:trPr>
        <w:tc>
          <w:tcPr>
            <w:tcW w:w="1500" w:type="pct"/>
            <w:shd w:val="clear" w:color="auto" w:fill="auto"/>
          </w:tcPr>
          <w:p w14:paraId="65EB779B" w14:textId="77777777" w:rsidR="00E93F58" w:rsidRPr="00576D60" w:rsidRDefault="00E93F58" w:rsidP="003D2B1E">
            <w:pPr>
              <w:pStyle w:val="ENoteTableText"/>
              <w:tabs>
                <w:tab w:val="left" w:leader="dot" w:pos="2268"/>
              </w:tabs>
            </w:pPr>
          </w:p>
        </w:tc>
        <w:tc>
          <w:tcPr>
            <w:tcW w:w="3500" w:type="pct"/>
            <w:shd w:val="clear" w:color="auto" w:fill="auto"/>
          </w:tcPr>
          <w:p w14:paraId="15586AB9" w14:textId="77777777" w:rsidR="00E93F58" w:rsidRPr="00576D60" w:rsidRDefault="00E93F58" w:rsidP="003D2B1E">
            <w:pPr>
              <w:pStyle w:val="ENoteTableText"/>
            </w:pPr>
            <w:r>
              <w:t>am F2023L01458</w:t>
            </w:r>
          </w:p>
        </w:tc>
      </w:tr>
      <w:tr w:rsidR="00E93F58" w:rsidRPr="00576D60" w14:paraId="243DAE62" w14:textId="77777777" w:rsidTr="002F32E3">
        <w:trPr>
          <w:cantSplit/>
        </w:trPr>
        <w:tc>
          <w:tcPr>
            <w:tcW w:w="1500" w:type="pct"/>
            <w:shd w:val="clear" w:color="auto" w:fill="auto"/>
          </w:tcPr>
          <w:p w14:paraId="1B2BF77A" w14:textId="77777777" w:rsidR="00E93F58" w:rsidRPr="00576D60" w:rsidRDefault="00E93F58" w:rsidP="003D2B1E">
            <w:pPr>
              <w:pStyle w:val="ENoteTableText"/>
              <w:tabs>
                <w:tab w:val="left" w:leader="dot" w:pos="2268"/>
              </w:tabs>
            </w:pPr>
            <w:r w:rsidRPr="00576D60">
              <w:t>r. 7.9.63E</w:t>
            </w:r>
            <w:r w:rsidRPr="00576D60">
              <w:tab/>
            </w:r>
          </w:p>
        </w:tc>
        <w:tc>
          <w:tcPr>
            <w:tcW w:w="3500" w:type="pct"/>
            <w:shd w:val="clear" w:color="auto" w:fill="auto"/>
          </w:tcPr>
          <w:p w14:paraId="00C1C20A" w14:textId="77777777" w:rsidR="00E93F58" w:rsidRPr="00576D60" w:rsidRDefault="00E93F58" w:rsidP="003D2B1E">
            <w:pPr>
              <w:pStyle w:val="ENoteTableText"/>
            </w:pPr>
            <w:r w:rsidRPr="00576D60">
              <w:t>ad. 2002 No. 16</w:t>
            </w:r>
          </w:p>
        </w:tc>
      </w:tr>
      <w:tr w:rsidR="00E93F58" w:rsidRPr="00576D60" w14:paraId="727E0CC7" w14:textId="77777777" w:rsidTr="002F32E3">
        <w:trPr>
          <w:cantSplit/>
        </w:trPr>
        <w:tc>
          <w:tcPr>
            <w:tcW w:w="1500" w:type="pct"/>
            <w:shd w:val="clear" w:color="auto" w:fill="auto"/>
          </w:tcPr>
          <w:p w14:paraId="6D57BAA5" w14:textId="77777777" w:rsidR="00E93F58" w:rsidRPr="00576D60" w:rsidRDefault="00E93F58" w:rsidP="003D2B1E">
            <w:pPr>
              <w:pStyle w:val="ENoteTableText"/>
              <w:tabs>
                <w:tab w:val="left" w:leader="dot" w:pos="2268"/>
              </w:tabs>
            </w:pPr>
            <w:r w:rsidRPr="00576D60">
              <w:t>r. 7.9.63F</w:t>
            </w:r>
            <w:r w:rsidRPr="00576D60">
              <w:tab/>
            </w:r>
          </w:p>
        </w:tc>
        <w:tc>
          <w:tcPr>
            <w:tcW w:w="3500" w:type="pct"/>
            <w:shd w:val="clear" w:color="auto" w:fill="auto"/>
          </w:tcPr>
          <w:p w14:paraId="59A03780" w14:textId="77777777" w:rsidR="00E93F58" w:rsidRPr="00576D60" w:rsidRDefault="00E93F58" w:rsidP="003D2B1E">
            <w:pPr>
              <w:pStyle w:val="ENoteTableText"/>
            </w:pPr>
            <w:r w:rsidRPr="00576D60">
              <w:t>ad. 2002 No. 41</w:t>
            </w:r>
          </w:p>
        </w:tc>
      </w:tr>
      <w:tr w:rsidR="00E93F58" w:rsidRPr="00576D60" w14:paraId="7983BDD8" w14:textId="77777777" w:rsidTr="002F32E3">
        <w:trPr>
          <w:cantSplit/>
        </w:trPr>
        <w:tc>
          <w:tcPr>
            <w:tcW w:w="1500" w:type="pct"/>
            <w:shd w:val="clear" w:color="auto" w:fill="auto"/>
          </w:tcPr>
          <w:p w14:paraId="68BD21FB" w14:textId="77777777" w:rsidR="00E93F58" w:rsidRPr="00576D60" w:rsidRDefault="00E93F58" w:rsidP="003D2B1E">
            <w:pPr>
              <w:pStyle w:val="ENoteTableText"/>
              <w:tabs>
                <w:tab w:val="left" w:leader="dot" w:pos="2268"/>
              </w:tabs>
            </w:pPr>
            <w:r w:rsidRPr="00576D60">
              <w:t>r. 7.9.63G</w:t>
            </w:r>
            <w:r w:rsidRPr="00576D60">
              <w:tab/>
            </w:r>
          </w:p>
        </w:tc>
        <w:tc>
          <w:tcPr>
            <w:tcW w:w="3500" w:type="pct"/>
            <w:shd w:val="clear" w:color="auto" w:fill="auto"/>
          </w:tcPr>
          <w:p w14:paraId="3ACD8568" w14:textId="77777777" w:rsidR="00E93F58" w:rsidRPr="00576D60" w:rsidRDefault="00E93F58" w:rsidP="003D2B1E">
            <w:pPr>
              <w:pStyle w:val="ENoteTableText"/>
            </w:pPr>
            <w:r w:rsidRPr="00576D60">
              <w:t>ad. 2002 No. 41</w:t>
            </w:r>
          </w:p>
        </w:tc>
      </w:tr>
      <w:tr w:rsidR="00E93F58" w:rsidRPr="00576D60" w14:paraId="61447F12" w14:textId="77777777" w:rsidTr="002F32E3">
        <w:trPr>
          <w:cantSplit/>
        </w:trPr>
        <w:tc>
          <w:tcPr>
            <w:tcW w:w="1500" w:type="pct"/>
            <w:shd w:val="clear" w:color="auto" w:fill="auto"/>
          </w:tcPr>
          <w:p w14:paraId="4E170A38" w14:textId="77777777" w:rsidR="00E93F58" w:rsidRPr="00576D60" w:rsidRDefault="00E93F58" w:rsidP="003D2B1E">
            <w:pPr>
              <w:pStyle w:val="ENoteTableText"/>
              <w:tabs>
                <w:tab w:val="left" w:leader="dot" w:pos="2268"/>
              </w:tabs>
            </w:pPr>
            <w:r w:rsidRPr="00576D60">
              <w:t>r. 7.9.63H</w:t>
            </w:r>
            <w:r w:rsidRPr="00576D60">
              <w:tab/>
            </w:r>
          </w:p>
        </w:tc>
        <w:tc>
          <w:tcPr>
            <w:tcW w:w="3500" w:type="pct"/>
            <w:shd w:val="clear" w:color="auto" w:fill="auto"/>
          </w:tcPr>
          <w:p w14:paraId="64EFDED5" w14:textId="77777777" w:rsidR="00E93F58" w:rsidRPr="00576D60" w:rsidRDefault="00E93F58" w:rsidP="003D2B1E">
            <w:pPr>
              <w:pStyle w:val="ENoteTableText"/>
            </w:pPr>
            <w:r w:rsidRPr="00576D60">
              <w:t>ad. 2002 No. 41</w:t>
            </w:r>
          </w:p>
        </w:tc>
      </w:tr>
      <w:tr w:rsidR="00E93F58" w:rsidRPr="00576D60" w14:paraId="196E196E" w14:textId="77777777" w:rsidTr="002F32E3">
        <w:trPr>
          <w:cantSplit/>
        </w:trPr>
        <w:tc>
          <w:tcPr>
            <w:tcW w:w="1500" w:type="pct"/>
            <w:shd w:val="clear" w:color="auto" w:fill="auto"/>
          </w:tcPr>
          <w:p w14:paraId="1BCBD2BF" w14:textId="77777777" w:rsidR="00E93F58" w:rsidRPr="00576D60" w:rsidRDefault="00E93F58" w:rsidP="003D2B1E">
            <w:pPr>
              <w:pStyle w:val="ENoteTableText"/>
              <w:tabs>
                <w:tab w:val="left" w:leader="dot" w:pos="2268"/>
              </w:tabs>
            </w:pPr>
            <w:r w:rsidRPr="00576D60">
              <w:t>r. 7.9.63I</w:t>
            </w:r>
            <w:r w:rsidRPr="00576D60">
              <w:tab/>
            </w:r>
          </w:p>
        </w:tc>
        <w:tc>
          <w:tcPr>
            <w:tcW w:w="3500" w:type="pct"/>
            <w:shd w:val="clear" w:color="auto" w:fill="auto"/>
          </w:tcPr>
          <w:p w14:paraId="7560B0DE" w14:textId="77777777" w:rsidR="00E93F58" w:rsidRPr="00576D60" w:rsidRDefault="00E93F58" w:rsidP="003D2B1E">
            <w:pPr>
              <w:pStyle w:val="ENoteTableText"/>
            </w:pPr>
            <w:r w:rsidRPr="00576D60">
              <w:t>ad. 2002 No. 126</w:t>
            </w:r>
          </w:p>
        </w:tc>
      </w:tr>
      <w:tr w:rsidR="00E93F58" w:rsidRPr="00576D60" w14:paraId="6D785389" w14:textId="77777777" w:rsidTr="002F32E3">
        <w:trPr>
          <w:cantSplit/>
        </w:trPr>
        <w:tc>
          <w:tcPr>
            <w:tcW w:w="1500" w:type="pct"/>
            <w:shd w:val="clear" w:color="auto" w:fill="auto"/>
          </w:tcPr>
          <w:p w14:paraId="2FD25047" w14:textId="77777777" w:rsidR="00E93F58" w:rsidRPr="00576D60" w:rsidRDefault="00E93F58" w:rsidP="000F1C3D">
            <w:pPr>
              <w:pStyle w:val="ENoteTableText"/>
              <w:keepNext/>
              <w:tabs>
                <w:tab w:val="left" w:leader="dot" w:pos="2268"/>
              </w:tabs>
              <w:rPr>
                <w:b/>
              </w:rPr>
            </w:pPr>
            <w:r w:rsidRPr="00576D60">
              <w:rPr>
                <w:b/>
              </w:rPr>
              <w:t>Division 7</w:t>
            </w:r>
          </w:p>
        </w:tc>
        <w:tc>
          <w:tcPr>
            <w:tcW w:w="3500" w:type="pct"/>
            <w:shd w:val="clear" w:color="auto" w:fill="auto"/>
          </w:tcPr>
          <w:p w14:paraId="325E79ED" w14:textId="77777777" w:rsidR="00E93F58" w:rsidRPr="00576D60" w:rsidRDefault="00E93F58" w:rsidP="000F1C3D">
            <w:pPr>
              <w:pStyle w:val="ENoteTableText"/>
              <w:keepNext/>
            </w:pPr>
          </w:p>
        </w:tc>
      </w:tr>
      <w:tr w:rsidR="00E93F58" w:rsidRPr="00576D60" w14:paraId="308A9BA7" w14:textId="77777777" w:rsidTr="002F32E3">
        <w:trPr>
          <w:cantSplit/>
        </w:trPr>
        <w:tc>
          <w:tcPr>
            <w:tcW w:w="1500" w:type="pct"/>
            <w:shd w:val="clear" w:color="auto" w:fill="auto"/>
          </w:tcPr>
          <w:p w14:paraId="3C2991D3" w14:textId="77777777" w:rsidR="00E93F58" w:rsidRPr="00576D60" w:rsidRDefault="00E93F58" w:rsidP="003D2B1E">
            <w:pPr>
              <w:pStyle w:val="ENoteTableText"/>
              <w:tabs>
                <w:tab w:val="left" w:leader="dot" w:pos="2268"/>
              </w:tabs>
            </w:pPr>
            <w:r w:rsidRPr="00576D60">
              <w:t>r 7.9.64</w:t>
            </w:r>
            <w:r w:rsidRPr="00576D60">
              <w:tab/>
            </w:r>
          </w:p>
        </w:tc>
        <w:tc>
          <w:tcPr>
            <w:tcW w:w="3500" w:type="pct"/>
            <w:shd w:val="clear" w:color="auto" w:fill="auto"/>
          </w:tcPr>
          <w:p w14:paraId="21CC2A97" w14:textId="77777777" w:rsidR="00E93F58" w:rsidRPr="00576D60" w:rsidRDefault="00E93F58" w:rsidP="003D2B1E">
            <w:pPr>
              <w:pStyle w:val="ENoteTableText"/>
            </w:pPr>
            <w:r w:rsidRPr="00576D60">
              <w:t xml:space="preserve">ad </w:t>
            </w:r>
            <w:r>
              <w:t>No 391, 2001</w:t>
            </w:r>
          </w:p>
        </w:tc>
      </w:tr>
      <w:tr w:rsidR="00E93F58" w:rsidRPr="00576D60" w14:paraId="5C8DD1A8" w14:textId="77777777" w:rsidTr="002F32E3">
        <w:trPr>
          <w:cantSplit/>
        </w:trPr>
        <w:tc>
          <w:tcPr>
            <w:tcW w:w="1500" w:type="pct"/>
            <w:shd w:val="clear" w:color="auto" w:fill="auto"/>
          </w:tcPr>
          <w:p w14:paraId="5082235E" w14:textId="77777777" w:rsidR="00E93F58" w:rsidRPr="00576D60" w:rsidRDefault="00E93F58" w:rsidP="003D2B1E">
            <w:pPr>
              <w:pStyle w:val="ENoteTableText"/>
            </w:pPr>
          </w:p>
        </w:tc>
        <w:tc>
          <w:tcPr>
            <w:tcW w:w="3500" w:type="pct"/>
            <w:shd w:val="clear" w:color="auto" w:fill="auto"/>
          </w:tcPr>
          <w:p w14:paraId="2B93B4DA" w14:textId="77777777" w:rsidR="00E93F58" w:rsidRPr="00576D60" w:rsidRDefault="00E93F58" w:rsidP="003D2B1E">
            <w:pPr>
              <w:pStyle w:val="ENoteTableText"/>
            </w:pPr>
            <w:r w:rsidRPr="00576D60">
              <w:t xml:space="preserve">am </w:t>
            </w:r>
            <w:r>
              <w:t>No 16, 2002; No 41, 2002; No 202, 2003</w:t>
            </w:r>
            <w:r w:rsidRPr="00576D60">
              <w:t>; F2018L01144; F2022L00469</w:t>
            </w:r>
            <w:r>
              <w:t>; F2023L01458</w:t>
            </w:r>
          </w:p>
        </w:tc>
      </w:tr>
      <w:tr w:rsidR="00E93F58" w:rsidRPr="00576D60" w14:paraId="7C6B1182" w14:textId="77777777" w:rsidTr="002F32E3">
        <w:trPr>
          <w:cantSplit/>
        </w:trPr>
        <w:tc>
          <w:tcPr>
            <w:tcW w:w="1500" w:type="pct"/>
            <w:shd w:val="clear" w:color="auto" w:fill="auto"/>
          </w:tcPr>
          <w:p w14:paraId="47B0F84A" w14:textId="77777777" w:rsidR="00E93F58" w:rsidRPr="00576D60" w:rsidRDefault="00E93F58" w:rsidP="003D2B1E">
            <w:pPr>
              <w:pStyle w:val="ENoteTableText"/>
              <w:tabs>
                <w:tab w:val="left" w:leader="dot" w:pos="2268"/>
              </w:tabs>
            </w:pPr>
            <w:r w:rsidRPr="00576D60">
              <w:t>r. 7.9.64A</w:t>
            </w:r>
            <w:r w:rsidRPr="00576D60">
              <w:tab/>
            </w:r>
          </w:p>
        </w:tc>
        <w:tc>
          <w:tcPr>
            <w:tcW w:w="3500" w:type="pct"/>
            <w:shd w:val="clear" w:color="auto" w:fill="auto"/>
          </w:tcPr>
          <w:p w14:paraId="6B321C0D" w14:textId="77777777" w:rsidR="00E93F58" w:rsidRPr="00576D60" w:rsidRDefault="00E93F58" w:rsidP="003D2B1E">
            <w:pPr>
              <w:pStyle w:val="ENoteTableText"/>
            </w:pPr>
            <w:r w:rsidRPr="00576D60">
              <w:t>ad. 2002 No. 41</w:t>
            </w:r>
          </w:p>
        </w:tc>
      </w:tr>
      <w:tr w:rsidR="00E93F58" w:rsidRPr="00576D60" w14:paraId="3F6BC9CE" w14:textId="77777777" w:rsidTr="002F32E3">
        <w:trPr>
          <w:cantSplit/>
        </w:trPr>
        <w:tc>
          <w:tcPr>
            <w:tcW w:w="1500" w:type="pct"/>
            <w:shd w:val="clear" w:color="auto" w:fill="auto"/>
          </w:tcPr>
          <w:p w14:paraId="328BB2EC" w14:textId="77777777" w:rsidR="00E93F58" w:rsidRPr="00576D60" w:rsidRDefault="00E93F58" w:rsidP="003D2B1E">
            <w:pPr>
              <w:pStyle w:val="ENoteTableText"/>
              <w:tabs>
                <w:tab w:val="left" w:leader="dot" w:pos="2268"/>
              </w:tabs>
            </w:pPr>
            <w:r w:rsidRPr="00576D60">
              <w:t>r. 7.9.65</w:t>
            </w:r>
            <w:r w:rsidRPr="00576D60">
              <w:tab/>
            </w:r>
          </w:p>
        </w:tc>
        <w:tc>
          <w:tcPr>
            <w:tcW w:w="3500" w:type="pct"/>
            <w:shd w:val="clear" w:color="auto" w:fill="auto"/>
          </w:tcPr>
          <w:p w14:paraId="345BC39A" w14:textId="77777777" w:rsidR="00E93F58" w:rsidRPr="00576D60" w:rsidRDefault="00E93F58" w:rsidP="003D2B1E">
            <w:pPr>
              <w:pStyle w:val="ENoteTableText"/>
            </w:pPr>
            <w:r w:rsidRPr="00576D60">
              <w:t>ad No. 319, 2001</w:t>
            </w:r>
          </w:p>
        </w:tc>
      </w:tr>
      <w:tr w:rsidR="00E93F58" w:rsidRPr="00576D60" w14:paraId="3FA9191D" w14:textId="77777777" w:rsidTr="002F32E3">
        <w:trPr>
          <w:cantSplit/>
        </w:trPr>
        <w:tc>
          <w:tcPr>
            <w:tcW w:w="1500" w:type="pct"/>
            <w:shd w:val="clear" w:color="auto" w:fill="auto"/>
          </w:tcPr>
          <w:p w14:paraId="2529BC07" w14:textId="77777777" w:rsidR="00E93F58" w:rsidRPr="00576D60" w:rsidRDefault="00E93F58" w:rsidP="003D2B1E">
            <w:pPr>
              <w:pStyle w:val="ENoteTableText"/>
            </w:pPr>
          </w:p>
        </w:tc>
        <w:tc>
          <w:tcPr>
            <w:tcW w:w="3500" w:type="pct"/>
            <w:shd w:val="clear" w:color="auto" w:fill="auto"/>
          </w:tcPr>
          <w:p w14:paraId="4D1F2A5D" w14:textId="77777777" w:rsidR="00E93F58" w:rsidRPr="00576D60" w:rsidRDefault="00E93F58" w:rsidP="003D2B1E">
            <w:pPr>
              <w:pStyle w:val="ENoteTableText"/>
            </w:pPr>
            <w:r w:rsidRPr="00576D60">
              <w:t>am No. 41, 2002; No. 31, 2003; No 194, 2008; F2018L01144</w:t>
            </w:r>
          </w:p>
        </w:tc>
      </w:tr>
      <w:tr w:rsidR="00E93F58" w:rsidRPr="00576D60" w14:paraId="0C17DA3A" w14:textId="77777777" w:rsidTr="002F32E3">
        <w:trPr>
          <w:cantSplit/>
        </w:trPr>
        <w:tc>
          <w:tcPr>
            <w:tcW w:w="1500" w:type="pct"/>
            <w:shd w:val="clear" w:color="auto" w:fill="auto"/>
          </w:tcPr>
          <w:p w14:paraId="55353384" w14:textId="77777777" w:rsidR="00E93F58" w:rsidRPr="00576D60" w:rsidRDefault="00E93F58" w:rsidP="003D2B1E">
            <w:pPr>
              <w:pStyle w:val="ENoteTableText"/>
              <w:tabs>
                <w:tab w:val="left" w:leader="dot" w:pos="2268"/>
              </w:tabs>
            </w:pPr>
            <w:r w:rsidRPr="00576D60">
              <w:t>r. 7.9.65A</w:t>
            </w:r>
            <w:r w:rsidRPr="00576D60">
              <w:tab/>
            </w:r>
          </w:p>
        </w:tc>
        <w:tc>
          <w:tcPr>
            <w:tcW w:w="3500" w:type="pct"/>
            <w:shd w:val="clear" w:color="auto" w:fill="auto"/>
          </w:tcPr>
          <w:p w14:paraId="750641D1" w14:textId="77777777" w:rsidR="00E93F58" w:rsidRPr="00576D60" w:rsidRDefault="00E93F58" w:rsidP="003D2B1E">
            <w:pPr>
              <w:pStyle w:val="ENoteTableText"/>
            </w:pPr>
            <w:r w:rsidRPr="00576D60">
              <w:t>ad. 2008 No. 194</w:t>
            </w:r>
          </w:p>
        </w:tc>
      </w:tr>
      <w:tr w:rsidR="00E93F58" w:rsidRPr="00576D60" w14:paraId="517E46AC" w14:textId="77777777" w:rsidTr="002F32E3">
        <w:trPr>
          <w:cantSplit/>
        </w:trPr>
        <w:tc>
          <w:tcPr>
            <w:tcW w:w="1500" w:type="pct"/>
            <w:shd w:val="clear" w:color="auto" w:fill="auto"/>
          </w:tcPr>
          <w:p w14:paraId="0A1B9ABF" w14:textId="77777777" w:rsidR="00E93F58" w:rsidRPr="00576D60" w:rsidRDefault="00E93F58" w:rsidP="003D2B1E">
            <w:pPr>
              <w:pStyle w:val="ENoteTableText"/>
              <w:tabs>
                <w:tab w:val="left" w:leader="dot" w:pos="2268"/>
              </w:tabs>
            </w:pPr>
          </w:p>
        </w:tc>
        <w:tc>
          <w:tcPr>
            <w:tcW w:w="3500" w:type="pct"/>
            <w:shd w:val="clear" w:color="auto" w:fill="auto"/>
          </w:tcPr>
          <w:p w14:paraId="600C434A" w14:textId="77777777" w:rsidR="00E93F58" w:rsidRPr="00576D60" w:rsidRDefault="00E93F58" w:rsidP="003D2B1E">
            <w:pPr>
              <w:pStyle w:val="ENoteTableText"/>
            </w:pPr>
            <w:r w:rsidRPr="00576D60">
              <w:t>rep No 91, 2015</w:t>
            </w:r>
          </w:p>
        </w:tc>
      </w:tr>
      <w:tr w:rsidR="00E93F58" w:rsidRPr="00576D60" w14:paraId="30FBC773" w14:textId="77777777" w:rsidTr="002F32E3">
        <w:trPr>
          <w:cantSplit/>
        </w:trPr>
        <w:tc>
          <w:tcPr>
            <w:tcW w:w="1500" w:type="pct"/>
            <w:shd w:val="clear" w:color="auto" w:fill="auto"/>
          </w:tcPr>
          <w:p w14:paraId="746A17B0" w14:textId="77777777" w:rsidR="00E93F58" w:rsidRPr="00576D60" w:rsidRDefault="00E93F58" w:rsidP="003D2B1E">
            <w:pPr>
              <w:pStyle w:val="ENoteTableText"/>
              <w:tabs>
                <w:tab w:val="left" w:leader="dot" w:pos="2268"/>
              </w:tabs>
            </w:pPr>
            <w:r w:rsidRPr="00576D60">
              <w:t>r 7.9.66</w:t>
            </w:r>
            <w:r w:rsidRPr="00576D60">
              <w:tab/>
            </w:r>
          </w:p>
        </w:tc>
        <w:tc>
          <w:tcPr>
            <w:tcW w:w="3500" w:type="pct"/>
            <w:shd w:val="clear" w:color="auto" w:fill="auto"/>
          </w:tcPr>
          <w:p w14:paraId="251BA7A9" w14:textId="77777777" w:rsidR="00E93F58" w:rsidRPr="00576D60" w:rsidRDefault="00E93F58" w:rsidP="003D2B1E">
            <w:pPr>
              <w:pStyle w:val="ENoteTableText"/>
            </w:pPr>
            <w:r w:rsidRPr="00576D60">
              <w:t>ad No 319, 2001</w:t>
            </w:r>
          </w:p>
        </w:tc>
      </w:tr>
      <w:tr w:rsidR="00E93F58" w:rsidRPr="00576D60" w14:paraId="32B5275A" w14:textId="77777777" w:rsidTr="002F32E3">
        <w:trPr>
          <w:cantSplit/>
        </w:trPr>
        <w:tc>
          <w:tcPr>
            <w:tcW w:w="1500" w:type="pct"/>
            <w:shd w:val="clear" w:color="auto" w:fill="auto"/>
          </w:tcPr>
          <w:p w14:paraId="461F6470" w14:textId="77777777" w:rsidR="00E93F58" w:rsidRPr="00576D60" w:rsidRDefault="00E93F58" w:rsidP="003D2B1E">
            <w:pPr>
              <w:pStyle w:val="ENoteTableText"/>
            </w:pPr>
          </w:p>
        </w:tc>
        <w:tc>
          <w:tcPr>
            <w:tcW w:w="3500" w:type="pct"/>
            <w:shd w:val="clear" w:color="auto" w:fill="auto"/>
          </w:tcPr>
          <w:p w14:paraId="3D5CF87A" w14:textId="77777777" w:rsidR="00E93F58" w:rsidRPr="00576D60" w:rsidRDefault="00E93F58" w:rsidP="003D2B1E">
            <w:pPr>
              <w:pStyle w:val="ENoteTableText"/>
            </w:pPr>
            <w:r w:rsidRPr="00576D60">
              <w:t>am No 16, 2002; No 41, 2002; No 194, 2008</w:t>
            </w:r>
            <w:r>
              <w:t>; F2023L01458</w:t>
            </w:r>
          </w:p>
        </w:tc>
      </w:tr>
      <w:tr w:rsidR="00E93F58" w:rsidRPr="00576D60" w14:paraId="091FC383" w14:textId="77777777" w:rsidTr="002F32E3">
        <w:trPr>
          <w:cantSplit/>
        </w:trPr>
        <w:tc>
          <w:tcPr>
            <w:tcW w:w="1500" w:type="pct"/>
            <w:shd w:val="clear" w:color="auto" w:fill="auto"/>
          </w:tcPr>
          <w:p w14:paraId="6AB38906" w14:textId="77777777" w:rsidR="00E93F58" w:rsidRPr="00576D60" w:rsidRDefault="00E93F58" w:rsidP="003D2B1E">
            <w:pPr>
              <w:pStyle w:val="ENoteTableText"/>
              <w:tabs>
                <w:tab w:val="left" w:leader="dot" w:pos="2268"/>
              </w:tabs>
            </w:pPr>
            <w:r w:rsidRPr="00576D60">
              <w:t>r 7.9.67</w:t>
            </w:r>
            <w:r w:rsidRPr="00576D60">
              <w:tab/>
            </w:r>
          </w:p>
        </w:tc>
        <w:tc>
          <w:tcPr>
            <w:tcW w:w="3500" w:type="pct"/>
            <w:shd w:val="clear" w:color="auto" w:fill="auto"/>
          </w:tcPr>
          <w:p w14:paraId="049CA983" w14:textId="77777777" w:rsidR="00E93F58" w:rsidRPr="00576D60" w:rsidRDefault="00E93F58" w:rsidP="003D2B1E">
            <w:pPr>
              <w:pStyle w:val="ENoteTableText"/>
            </w:pPr>
            <w:r w:rsidRPr="00576D60">
              <w:t xml:space="preserve">ad </w:t>
            </w:r>
            <w:r>
              <w:t>No 319, 2001</w:t>
            </w:r>
          </w:p>
        </w:tc>
      </w:tr>
      <w:tr w:rsidR="00E93F58" w:rsidRPr="00576D60" w14:paraId="14BB9F7C" w14:textId="77777777" w:rsidTr="002F32E3">
        <w:trPr>
          <w:cantSplit/>
        </w:trPr>
        <w:tc>
          <w:tcPr>
            <w:tcW w:w="1500" w:type="pct"/>
            <w:shd w:val="clear" w:color="auto" w:fill="auto"/>
          </w:tcPr>
          <w:p w14:paraId="229C1F8E" w14:textId="77777777" w:rsidR="00E93F58" w:rsidRPr="00576D60" w:rsidRDefault="00E93F58" w:rsidP="003D2B1E">
            <w:pPr>
              <w:pStyle w:val="ENoteTableText"/>
            </w:pPr>
          </w:p>
        </w:tc>
        <w:tc>
          <w:tcPr>
            <w:tcW w:w="3500" w:type="pct"/>
            <w:shd w:val="clear" w:color="auto" w:fill="auto"/>
          </w:tcPr>
          <w:p w14:paraId="5A734F72" w14:textId="77777777" w:rsidR="00E93F58" w:rsidRPr="00576D60" w:rsidRDefault="00E93F58" w:rsidP="003D2B1E">
            <w:pPr>
              <w:pStyle w:val="ENoteTableText"/>
            </w:pPr>
            <w:r w:rsidRPr="00576D60">
              <w:t xml:space="preserve">am </w:t>
            </w:r>
            <w:r>
              <w:t>No 16, 2002; No 41, 2002</w:t>
            </w:r>
            <w:r w:rsidRPr="00576D60">
              <w:t>; F2018L01144; F2022L00469</w:t>
            </w:r>
            <w:r>
              <w:t>; F2023L01458</w:t>
            </w:r>
          </w:p>
        </w:tc>
      </w:tr>
      <w:tr w:rsidR="00E93F58" w:rsidRPr="00576D60" w14:paraId="2225975F" w14:textId="77777777" w:rsidTr="002F32E3">
        <w:trPr>
          <w:cantSplit/>
        </w:trPr>
        <w:tc>
          <w:tcPr>
            <w:tcW w:w="1500" w:type="pct"/>
            <w:shd w:val="clear" w:color="auto" w:fill="auto"/>
          </w:tcPr>
          <w:p w14:paraId="7CE20E11" w14:textId="77777777" w:rsidR="00E93F58" w:rsidRPr="00576D60" w:rsidRDefault="00E93F58" w:rsidP="003D2B1E">
            <w:pPr>
              <w:pStyle w:val="ENoteTableText"/>
              <w:tabs>
                <w:tab w:val="left" w:leader="dot" w:pos="2268"/>
              </w:tabs>
            </w:pPr>
            <w:r w:rsidRPr="00576D60">
              <w:t>r. 7.9.68</w:t>
            </w:r>
            <w:r w:rsidRPr="00576D60">
              <w:tab/>
            </w:r>
          </w:p>
        </w:tc>
        <w:tc>
          <w:tcPr>
            <w:tcW w:w="3500" w:type="pct"/>
            <w:shd w:val="clear" w:color="auto" w:fill="auto"/>
          </w:tcPr>
          <w:p w14:paraId="0742A0F5" w14:textId="77777777" w:rsidR="00E93F58" w:rsidRPr="00576D60" w:rsidRDefault="00E93F58" w:rsidP="003D2B1E">
            <w:pPr>
              <w:pStyle w:val="ENoteTableText"/>
            </w:pPr>
            <w:r w:rsidRPr="00576D60">
              <w:t>ad. 2001 No. 319</w:t>
            </w:r>
          </w:p>
        </w:tc>
      </w:tr>
      <w:tr w:rsidR="00E93F58" w:rsidRPr="00576D60" w14:paraId="73BFEAE0" w14:textId="77777777" w:rsidTr="002F32E3">
        <w:trPr>
          <w:cantSplit/>
        </w:trPr>
        <w:tc>
          <w:tcPr>
            <w:tcW w:w="1500" w:type="pct"/>
            <w:shd w:val="clear" w:color="auto" w:fill="auto"/>
          </w:tcPr>
          <w:p w14:paraId="172CCC1D" w14:textId="77777777" w:rsidR="00E93F58" w:rsidRPr="00576D60" w:rsidRDefault="00E93F58" w:rsidP="003D2B1E">
            <w:pPr>
              <w:pStyle w:val="ENoteTableText"/>
            </w:pPr>
          </w:p>
        </w:tc>
        <w:tc>
          <w:tcPr>
            <w:tcW w:w="3500" w:type="pct"/>
            <w:shd w:val="clear" w:color="auto" w:fill="auto"/>
          </w:tcPr>
          <w:p w14:paraId="2C9F3BA5" w14:textId="77777777" w:rsidR="00E93F58" w:rsidRPr="00576D60" w:rsidRDefault="00E93F58" w:rsidP="003D2B1E">
            <w:pPr>
              <w:pStyle w:val="ENoteTableText"/>
            </w:pPr>
            <w:r w:rsidRPr="00576D60">
              <w:t>am. 2002 No 16 and 41</w:t>
            </w:r>
          </w:p>
        </w:tc>
      </w:tr>
      <w:tr w:rsidR="00E93F58" w:rsidRPr="00576D60" w14:paraId="29DC78B2" w14:textId="77777777" w:rsidTr="002F32E3">
        <w:trPr>
          <w:cantSplit/>
        </w:trPr>
        <w:tc>
          <w:tcPr>
            <w:tcW w:w="1500" w:type="pct"/>
            <w:shd w:val="clear" w:color="auto" w:fill="auto"/>
          </w:tcPr>
          <w:p w14:paraId="24A28D96" w14:textId="77777777" w:rsidR="00E93F58" w:rsidRPr="00576D60" w:rsidRDefault="00E93F58" w:rsidP="003D2B1E">
            <w:pPr>
              <w:pStyle w:val="ENoteTableText"/>
              <w:tabs>
                <w:tab w:val="left" w:leader="dot" w:pos="2268"/>
              </w:tabs>
            </w:pPr>
            <w:r w:rsidRPr="00576D60">
              <w:t>r. 7.9.68A</w:t>
            </w:r>
            <w:r w:rsidRPr="00576D60">
              <w:tab/>
            </w:r>
          </w:p>
        </w:tc>
        <w:tc>
          <w:tcPr>
            <w:tcW w:w="3500" w:type="pct"/>
            <w:shd w:val="clear" w:color="auto" w:fill="auto"/>
          </w:tcPr>
          <w:p w14:paraId="0B1E70DD" w14:textId="77777777" w:rsidR="00E93F58" w:rsidRPr="00576D60" w:rsidRDefault="00E93F58" w:rsidP="003D2B1E">
            <w:pPr>
              <w:pStyle w:val="ENoteTableText"/>
            </w:pPr>
            <w:r w:rsidRPr="00576D60">
              <w:t>ad. 2002 No. 145</w:t>
            </w:r>
          </w:p>
        </w:tc>
      </w:tr>
      <w:tr w:rsidR="00E93F58" w:rsidRPr="00576D60" w14:paraId="758333DF" w14:textId="77777777" w:rsidTr="002F32E3">
        <w:trPr>
          <w:cantSplit/>
        </w:trPr>
        <w:tc>
          <w:tcPr>
            <w:tcW w:w="1500" w:type="pct"/>
            <w:shd w:val="clear" w:color="auto" w:fill="auto"/>
          </w:tcPr>
          <w:p w14:paraId="0A0F172A" w14:textId="77777777" w:rsidR="00E93F58" w:rsidRPr="00576D60" w:rsidRDefault="00E93F58" w:rsidP="003D2B1E">
            <w:pPr>
              <w:pStyle w:val="ENoteTableText"/>
            </w:pPr>
          </w:p>
        </w:tc>
        <w:tc>
          <w:tcPr>
            <w:tcW w:w="3500" w:type="pct"/>
            <w:shd w:val="clear" w:color="auto" w:fill="auto"/>
          </w:tcPr>
          <w:p w14:paraId="7FF85935" w14:textId="77777777" w:rsidR="00E93F58" w:rsidRPr="00576D60" w:rsidRDefault="00E93F58" w:rsidP="003D2B1E">
            <w:pPr>
              <w:pStyle w:val="ENoteTableText"/>
            </w:pPr>
            <w:r w:rsidRPr="00576D60">
              <w:t>am. 2004 No. 145</w:t>
            </w:r>
          </w:p>
        </w:tc>
      </w:tr>
      <w:tr w:rsidR="00E93F58" w:rsidRPr="00576D60" w14:paraId="7B939B5B" w14:textId="77777777" w:rsidTr="002F32E3">
        <w:trPr>
          <w:cantSplit/>
        </w:trPr>
        <w:tc>
          <w:tcPr>
            <w:tcW w:w="1500" w:type="pct"/>
            <w:shd w:val="clear" w:color="auto" w:fill="auto"/>
          </w:tcPr>
          <w:p w14:paraId="4569E853" w14:textId="77777777" w:rsidR="00E93F58" w:rsidRPr="00576D60" w:rsidRDefault="00E93F58" w:rsidP="003D2B1E">
            <w:pPr>
              <w:pStyle w:val="ENoteTableText"/>
            </w:pPr>
          </w:p>
        </w:tc>
        <w:tc>
          <w:tcPr>
            <w:tcW w:w="3500" w:type="pct"/>
            <w:shd w:val="clear" w:color="auto" w:fill="auto"/>
          </w:tcPr>
          <w:p w14:paraId="0B028ACD" w14:textId="77777777" w:rsidR="00E93F58" w:rsidRPr="00576D60" w:rsidRDefault="00E93F58" w:rsidP="003D2B1E">
            <w:pPr>
              <w:pStyle w:val="ENoteTableText"/>
            </w:pPr>
            <w:r w:rsidRPr="00576D60">
              <w:t>rep. 2004 No. 145</w:t>
            </w:r>
          </w:p>
        </w:tc>
      </w:tr>
      <w:tr w:rsidR="00E93F58" w:rsidRPr="00576D60" w14:paraId="389CCD83" w14:textId="77777777" w:rsidTr="002F32E3">
        <w:trPr>
          <w:cantSplit/>
        </w:trPr>
        <w:tc>
          <w:tcPr>
            <w:tcW w:w="1500" w:type="pct"/>
            <w:shd w:val="clear" w:color="auto" w:fill="auto"/>
          </w:tcPr>
          <w:p w14:paraId="68BBFDCC" w14:textId="77777777" w:rsidR="00E93F58" w:rsidRPr="00576D60" w:rsidRDefault="00E93F58" w:rsidP="003D2B1E">
            <w:pPr>
              <w:pStyle w:val="ENoteTableText"/>
              <w:tabs>
                <w:tab w:val="left" w:leader="dot" w:pos="2268"/>
              </w:tabs>
            </w:pPr>
            <w:r w:rsidRPr="00576D60">
              <w:t>r 7.9.69</w:t>
            </w:r>
            <w:r w:rsidRPr="00576D60">
              <w:tab/>
            </w:r>
          </w:p>
        </w:tc>
        <w:tc>
          <w:tcPr>
            <w:tcW w:w="3500" w:type="pct"/>
            <w:shd w:val="clear" w:color="auto" w:fill="auto"/>
          </w:tcPr>
          <w:p w14:paraId="0F04722C" w14:textId="77777777" w:rsidR="00E93F58" w:rsidRPr="00576D60" w:rsidRDefault="00E93F58" w:rsidP="003D2B1E">
            <w:pPr>
              <w:pStyle w:val="ENoteTableText"/>
            </w:pPr>
            <w:r w:rsidRPr="00576D60">
              <w:t>ad 2001 No 319</w:t>
            </w:r>
          </w:p>
        </w:tc>
      </w:tr>
      <w:tr w:rsidR="00E93F58" w:rsidRPr="00576D60" w14:paraId="19F38825" w14:textId="77777777" w:rsidTr="002F32E3">
        <w:trPr>
          <w:cantSplit/>
        </w:trPr>
        <w:tc>
          <w:tcPr>
            <w:tcW w:w="1500" w:type="pct"/>
            <w:shd w:val="clear" w:color="auto" w:fill="auto"/>
          </w:tcPr>
          <w:p w14:paraId="7284F806" w14:textId="77777777" w:rsidR="00E93F58" w:rsidRPr="00576D60" w:rsidRDefault="00E93F58" w:rsidP="003D2B1E">
            <w:pPr>
              <w:pStyle w:val="ENoteTableText"/>
            </w:pPr>
          </w:p>
        </w:tc>
        <w:tc>
          <w:tcPr>
            <w:tcW w:w="3500" w:type="pct"/>
            <w:shd w:val="clear" w:color="auto" w:fill="auto"/>
          </w:tcPr>
          <w:p w14:paraId="722BEB6C" w14:textId="77777777" w:rsidR="00E93F58" w:rsidRPr="00576D60" w:rsidRDefault="00E93F58" w:rsidP="003D2B1E">
            <w:pPr>
              <w:pStyle w:val="ENoteTableText"/>
            </w:pPr>
            <w:r w:rsidRPr="00576D60">
              <w:t>am 2002 No 16; F2018L01144; F2022L00469</w:t>
            </w:r>
          </w:p>
        </w:tc>
      </w:tr>
      <w:tr w:rsidR="00E93F58" w:rsidRPr="00576D60" w14:paraId="1EC29CA6" w14:textId="77777777" w:rsidTr="002F32E3">
        <w:trPr>
          <w:cantSplit/>
        </w:trPr>
        <w:tc>
          <w:tcPr>
            <w:tcW w:w="1500" w:type="pct"/>
            <w:shd w:val="clear" w:color="auto" w:fill="auto"/>
          </w:tcPr>
          <w:p w14:paraId="2EBABB4D" w14:textId="77777777" w:rsidR="00E93F58" w:rsidRPr="00576D60" w:rsidRDefault="00E93F58" w:rsidP="003D2B1E">
            <w:pPr>
              <w:pStyle w:val="ENoteTableText"/>
              <w:tabs>
                <w:tab w:val="left" w:leader="dot" w:pos="2268"/>
              </w:tabs>
            </w:pPr>
            <w:r w:rsidRPr="00576D60">
              <w:t>r 7.9.70</w:t>
            </w:r>
            <w:r w:rsidRPr="00576D60">
              <w:tab/>
            </w:r>
          </w:p>
        </w:tc>
        <w:tc>
          <w:tcPr>
            <w:tcW w:w="3500" w:type="pct"/>
            <w:shd w:val="clear" w:color="auto" w:fill="auto"/>
          </w:tcPr>
          <w:p w14:paraId="4CB033DE" w14:textId="77777777" w:rsidR="00E93F58" w:rsidRPr="00576D60" w:rsidRDefault="00E93F58" w:rsidP="003D2B1E">
            <w:pPr>
              <w:pStyle w:val="ENoteTableText"/>
            </w:pPr>
            <w:r w:rsidRPr="00576D60">
              <w:t>ad No 319, 2001</w:t>
            </w:r>
          </w:p>
        </w:tc>
      </w:tr>
      <w:tr w:rsidR="00E93F58" w:rsidRPr="00576D60" w14:paraId="3E1E271E" w14:textId="77777777" w:rsidTr="002F32E3">
        <w:trPr>
          <w:cantSplit/>
        </w:trPr>
        <w:tc>
          <w:tcPr>
            <w:tcW w:w="1500" w:type="pct"/>
            <w:shd w:val="clear" w:color="auto" w:fill="auto"/>
          </w:tcPr>
          <w:p w14:paraId="2B004D58" w14:textId="77777777" w:rsidR="00E93F58" w:rsidRPr="00576D60" w:rsidRDefault="00E93F58" w:rsidP="003D2B1E">
            <w:pPr>
              <w:pStyle w:val="ENoteTableText"/>
              <w:tabs>
                <w:tab w:val="left" w:leader="dot" w:pos="2268"/>
              </w:tabs>
            </w:pPr>
          </w:p>
        </w:tc>
        <w:tc>
          <w:tcPr>
            <w:tcW w:w="3500" w:type="pct"/>
            <w:shd w:val="clear" w:color="auto" w:fill="auto"/>
          </w:tcPr>
          <w:p w14:paraId="45A3F5EC" w14:textId="77777777" w:rsidR="00E93F58" w:rsidRPr="00576D60" w:rsidRDefault="00E93F58" w:rsidP="003D2B1E">
            <w:pPr>
              <w:pStyle w:val="ENoteTableText"/>
            </w:pPr>
            <w:r w:rsidRPr="00576D60">
              <w:t>am F2018L01144; F2022L00469</w:t>
            </w:r>
          </w:p>
        </w:tc>
      </w:tr>
      <w:tr w:rsidR="00E93F58" w:rsidRPr="00576D60" w14:paraId="2DAB2F3A" w14:textId="77777777" w:rsidTr="002F32E3">
        <w:trPr>
          <w:cantSplit/>
        </w:trPr>
        <w:tc>
          <w:tcPr>
            <w:tcW w:w="1500" w:type="pct"/>
            <w:shd w:val="clear" w:color="auto" w:fill="auto"/>
          </w:tcPr>
          <w:p w14:paraId="25CF6F36" w14:textId="77777777" w:rsidR="00E93F58" w:rsidRPr="00576D60" w:rsidRDefault="00E93F58" w:rsidP="003D2B1E">
            <w:pPr>
              <w:pStyle w:val="ENoteTableText"/>
              <w:tabs>
                <w:tab w:val="left" w:leader="dot" w:pos="2268"/>
              </w:tabs>
              <w:rPr>
                <w:b/>
              </w:rPr>
            </w:pPr>
            <w:r w:rsidRPr="00576D60">
              <w:rPr>
                <w:b/>
              </w:rPr>
              <w:t>Division 8</w:t>
            </w:r>
          </w:p>
        </w:tc>
        <w:tc>
          <w:tcPr>
            <w:tcW w:w="3500" w:type="pct"/>
            <w:shd w:val="clear" w:color="auto" w:fill="auto"/>
          </w:tcPr>
          <w:p w14:paraId="21EA1EC5" w14:textId="77777777" w:rsidR="00E93F58" w:rsidRPr="00576D60" w:rsidRDefault="00E93F58" w:rsidP="003D2B1E">
            <w:pPr>
              <w:pStyle w:val="ENoteTableText"/>
              <w:keepNext/>
              <w:keepLines/>
            </w:pPr>
          </w:p>
        </w:tc>
      </w:tr>
      <w:tr w:rsidR="00E93F58" w:rsidRPr="00576D60" w14:paraId="4D3A1A9D" w14:textId="77777777" w:rsidTr="002F32E3">
        <w:trPr>
          <w:cantSplit/>
        </w:trPr>
        <w:tc>
          <w:tcPr>
            <w:tcW w:w="1500" w:type="pct"/>
            <w:shd w:val="clear" w:color="auto" w:fill="auto"/>
          </w:tcPr>
          <w:p w14:paraId="1B3F9EBC" w14:textId="77777777" w:rsidR="00E93F58" w:rsidRPr="00576D60" w:rsidRDefault="00E93F58" w:rsidP="003D2B1E">
            <w:pPr>
              <w:pStyle w:val="ENoteTableText"/>
              <w:tabs>
                <w:tab w:val="left" w:leader="dot" w:pos="2268"/>
              </w:tabs>
            </w:pPr>
            <w:r w:rsidRPr="00576D60">
              <w:t>r. 7.9.71</w:t>
            </w:r>
            <w:r w:rsidRPr="00576D60">
              <w:tab/>
            </w:r>
          </w:p>
        </w:tc>
        <w:tc>
          <w:tcPr>
            <w:tcW w:w="3500" w:type="pct"/>
            <w:shd w:val="clear" w:color="auto" w:fill="auto"/>
          </w:tcPr>
          <w:p w14:paraId="72B963E4" w14:textId="77777777" w:rsidR="00E93F58" w:rsidRPr="00576D60" w:rsidRDefault="00E93F58" w:rsidP="003D2B1E">
            <w:pPr>
              <w:pStyle w:val="ENoteTableText"/>
            </w:pPr>
            <w:r w:rsidRPr="00576D60">
              <w:t>ad. 2001 No. 319</w:t>
            </w:r>
          </w:p>
        </w:tc>
      </w:tr>
      <w:tr w:rsidR="00E93F58" w:rsidRPr="00576D60" w14:paraId="68FB21AE" w14:textId="77777777" w:rsidTr="002F32E3">
        <w:trPr>
          <w:cantSplit/>
        </w:trPr>
        <w:tc>
          <w:tcPr>
            <w:tcW w:w="1500" w:type="pct"/>
            <w:shd w:val="clear" w:color="auto" w:fill="auto"/>
          </w:tcPr>
          <w:p w14:paraId="491BCB62" w14:textId="77777777" w:rsidR="00E93F58" w:rsidRPr="00576D60" w:rsidRDefault="00E93F58" w:rsidP="003D2B1E">
            <w:pPr>
              <w:pStyle w:val="ENoteTableText"/>
            </w:pPr>
          </w:p>
        </w:tc>
        <w:tc>
          <w:tcPr>
            <w:tcW w:w="3500" w:type="pct"/>
            <w:shd w:val="clear" w:color="auto" w:fill="auto"/>
          </w:tcPr>
          <w:p w14:paraId="4A5639FB" w14:textId="77777777" w:rsidR="00E93F58" w:rsidRPr="00576D60" w:rsidRDefault="00E93F58" w:rsidP="003D2B1E">
            <w:pPr>
              <w:pStyle w:val="ENoteTableText"/>
            </w:pPr>
            <w:r w:rsidRPr="00576D60">
              <w:t>am. 2002 No. 16</w:t>
            </w:r>
          </w:p>
        </w:tc>
      </w:tr>
      <w:tr w:rsidR="00E93F58" w:rsidRPr="00576D60" w14:paraId="67488BBC" w14:textId="77777777" w:rsidTr="002F32E3">
        <w:trPr>
          <w:cantSplit/>
        </w:trPr>
        <w:tc>
          <w:tcPr>
            <w:tcW w:w="1500" w:type="pct"/>
            <w:shd w:val="clear" w:color="auto" w:fill="auto"/>
          </w:tcPr>
          <w:p w14:paraId="054805B4" w14:textId="77777777" w:rsidR="00E93F58" w:rsidRPr="00576D60" w:rsidRDefault="00E93F58" w:rsidP="003D2B1E">
            <w:pPr>
              <w:pStyle w:val="ENoteTableText"/>
              <w:tabs>
                <w:tab w:val="left" w:leader="dot" w:pos="2268"/>
              </w:tabs>
            </w:pPr>
            <w:r w:rsidRPr="00576D60">
              <w:t>r. 7.9.71A</w:t>
            </w:r>
            <w:r w:rsidRPr="00576D60">
              <w:tab/>
            </w:r>
          </w:p>
        </w:tc>
        <w:tc>
          <w:tcPr>
            <w:tcW w:w="3500" w:type="pct"/>
            <w:shd w:val="clear" w:color="auto" w:fill="auto"/>
          </w:tcPr>
          <w:p w14:paraId="370F76AD" w14:textId="77777777" w:rsidR="00E93F58" w:rsidRPr="00576D60" w:rsidRDefault="00E93F58" w:rsidP="003D2B1E">
            <w:pPr>
              <w:pStyle w:val="ENoteTableText"/>
            </w:pPr>
            <w:r w:rsidRPr="00576D60">
              <w:t>ad. 2003 No. 202</w:t>
            </w:r>
          </w:p>
        </w:tc>
      </w:tr>
      <w:tr w:rsidR="00E93F58" w:rsidRPr="00576D60" w14:paraId="4E0D9F84" w14:textId="77777777" w:rsidTr="002F32E3">
        <w:trPr>
          <w:cantSplit/>
        </w:trPr>
        <w:tc>
          <w:tcPr>
            <w:tcW w:w="1500" w:type="pct"/>
            <w:shd w:val="clear" w:color="auto" w:fill="auto"/>
          </w:tcPr>
          <w:p w14:paraId="652590AC" w14:textId="77777777" w:rsidR="00E93F58" w:rsidRPr="00576D60" w:rsidRDefault="00E93F58" w:rsidP="003D2B1E">
            <w:pPr>
              <w:pStyle w:val="ENoteTableText"/>
              <w:tabs>
                <w:tab w:val="left" w:leader="dot" w:pos="2268"/>
              </w:tabs>
            </w:pPr>
            <w:r w:rsidRPr="00576D60">
              <w:t>r 7.9.72</w:t>
            </w:r>
            <w:r w:rsidRPr="00576D60">
              <w:tab/>
            </w:r>
          </w:p>
        </w:tc>
        <w:tc>
          <w:tcPr>
            <w:tcW w:w="3500" w:type="pct"/>
            <w:shd w:val="clear" w:color="auto" w:fill="auto"/>
          </w:tcPr>
          <w:p w14:paraId="6D2C0D78" w14:textId="77777777" w:rsidR="00E93F58" w:rsidRPr="00576D60" w:rsidRDefault="00E93F58" w:rsidP="003D2B1E">
            <w:pPr>
              <w:pStyle w:val="ENoteTableText"/>
            </w:pPr>
            <w:r w:rsidRPr="00576D60">
              <w:t>ad</w:t>
            </w:r>
            <w:r>
              <w:t xml:space="preserve"> No 319, 2001</w:t>
            </w:r>
          </w:p>
        </w:tc>
      </w:tr>
      <w:tr w:rsidR="00E93F58" w:rsidRPr="00576D60" w14:paraId="6B729409" w14:textId="77777777" w:rsidTr="002F32E3">
        <w:trPr>
          <w:cantSplit/>
        </w:trPr>
        <w:tc>
          <w:tcPr>
            <w:tcW w:w="1500" w:type="pct"/>
            <w:shd w:val="clear" w:color="auto" w:fill="auto"/>
          </w:tcPr>
          <w:p w14:paraId="7BAD6C95" w14:textId="77777777" w:rsidR="00E93F58" w:rsidRPr="00576D60" w:rsidRDefault="00E93F58" w:rsidP="003D2B1E">
            <w:pPr>
              <w:pStyle w:val="ENoteTableText"/>
            </w:pPr>
          </w:p>
        </w:tc>
        <w:tc>
          <w:tcPr>
            <w:tcW w:w="3500" w:type="pct"/>
            <w:shd w:val="clear" w:color="auto" w:fill="auto"/>
          </w:tcPr>
          <w:p w14:paraId="472B83F8" w14:textId="77777777" w:rsidR="00E93F58" w:rsidRPr="00576D60" w:rsidRDefault="00E93F58" w:rsidP="003D2B1E">
            <w:pPr>
              <w:pStyle w:val="ENoteTableText"/>
            </w:pPr>
            <w:r w:rsidRPr="00576D60">
              <w:t>am</w:t>
            </w:r>
            <w:r>
              <w:t xml:space="preserve"> No 149, 2004; No 31, 2005; F2023L01458</w:t>
            </w:r>
          </w:p>
        </w:tc>
      </w:tr>
      <w:tr w:rsidR="00E93F58" w:rsidRPr="00576D60" w14:paraId="300AE75B" w14:textId="77777777" w:rsidTr="002F32E3">
        <w:trPr>
          <w:cantSplit/>
        </w:trPr>
        <w:tc>
          <w:tcPr>
            <w:tcW w:w="1500" w:type="pct"/>
            <w:shd w:val="clear" w:color="auto" w:fill="auto"/>
          </w:tcPr>
          <w:p w14:paraId="25A62065" w14:textId="77777777" w:rsidR="00E93F58" w:rsidRPr="00576D60" w:rsidRDefault="00E93F58" w:rsidP="003D2B1E">
            <w:pPr>
              <w:pStyle w:val="ENoteTableText"/>
              <w:tabs>
                <w:tab w:val="left" w:leader="dot" w:pos="2268"/>
              </w:tabs>
            </w:pPr>
            <w:r w:rsidRPr="00576D60">
              <w:t>r. 7.9.72A</w:t>
            </w:r>
            <w:r w:rsidRPr="00576D60">
              <w:tab/>
            </w:r>
          </w:p>
        </w:tc>
        <w:tc>
          <w:tcPr>
            <w:tcW w:w="3500" w:type="pct"/>
            <w:shd w:val="clear" w:color="auto" w:fill="auto"/>
          </w:tcPr>
          <w:p w14:paraId="713597BB" w14:textId="77777777" w:rsidR="00E93F58" w:rsidRPr="00576D60" w:rsidRDefault="00E93F58" w:rsidP="003D2B1E">
            <w:pPr>
              <w:pStyle w:val="ENoteTableText"/>
            </w:pPr>
            <w:r w:rsidRPr="00576D60">
              <w:t>ad. 2002 No. 16</w:t>
            </w:r>
          </w:p>
        </w:tc>
      </w:tr>
      <w:tr w:rsidR="00E93F58" w:rsidRPr="00576D60" w14:paraId="686ACDE4" w14:textId="77777777" w:rsidTr="002F32E3">
        <w:trPr>
          <w:cantSplit/>
        </w:trPr>
        <w:tc>
          <w:tcPr>
            <w:tcW w:w="1500" w:type="pct"/>
            <w:shd w:val="clear" w:color="auto" w:fill="auto"/>
          </w:tcPr>
          <w:p w14:paraId="2D5A62CE" w14:textId="77777777" w:rsidR="00E93F58" w:rsidRPr="00576D60" w:rsidRDefault="00E93F58" w:rsidP="003D2B1E">
            <w:pPr>
              <w:pStyle w:val="ENoteTableText"/>
            </w:pPr>
          </w:p>
        </w:tc>
        <w:tc>
          <w:tcPr>
            <w:tcW w:w="3500" w:type="pct"/>
            <w:shd w:val="clear" w:color="auto" w:fill="auto"/>
          </w:tcPr>
          <w:p w14:paraId="7F8D3D04" w14:textId="77777777" w:rsidR="00E93F58" w:rsidRPr="00576D60" w:rsidRDefault="00E93F58" w:rsidP="003D2B1E">
            <w:pPr>
              <w:pStyle w:val="ENoteTableText"/>
            </w:pPr>
            <w:r w:rsidRPr="00576D60">
              <w:t>rep. 2005 No. 31</w:t>
            </w:r>
          </w:p>
        </w:tc>
      </w:tr>
      <w:tr w:rsidR="00E93F58" w:rsidRPr="00576D60" w14:paraId="75CBB12F" w14:textId="77777777" w:rsidTr="002F32E3">
        <w:trPr>
          <w:cantSplit/>
        </w:trPr>
        <w:tc>
          <w:tcPr>
            <w:tcW w:w="1500" w:type="pct"/>
            <w:shd w:val="clear" w:color="auto" w:fill="auto"/>
          </w:tcPr>
          <w:p w14:paraId="6469A561" w14:textId="77777777" w:rsidR="00E93F58" w:rsidRPr="00576D60" w:rsidRDefault="00E93F58" w:rsidP="003D2B1E">
            <w:pPr>
              <w:pStyle w:val="ENoteTableText"/>
              <w:tabs>
                <w:tab w:val="left" w:leader="dot" w:pos="2268"/>
              </w:tabs>
            </w:pPr>
            <w:r w:rsidRPr="00576D60">
              <w:t>r. 7.9.73</w:t>
            </w:r>
            <w:r w:rsidRPr="00576D60">
              <w:tab/>
            </w:r>
          </w:p>
        </w:tc>
        <w:tc>
          <w:tcPr>
            <w:tcW w:w="3500" w:type="pct"/>
            <w:shd w:val="clear" w:color="auto" w:fill="auto"/>
          </w:tcPr>
          <w:p w14:paraId="43FA5640" w14:textId="77777777" w:rsidR="00E93F58" w:rsidRPr="00576D60" w:rsidRDefault="00E93F58" w:rsidP="003D2B1E">
            <w:pPr>
              <w:pStyle w:val="ENoteTableText"/>
            </w:pPr>
            <w:r w:rsidRPr="00576D60">
              <w:t>ad. 2001 No. 319</w:t>
            </w:r>
          </w:p>
        </w:tc>
      </w:tr>
      <w:tr w:rsidR="00E93F58" w:rsidRPr="00576D60" w14:paraId="04452479" w14:textId="77777777" w:rsidTr="002F32E3">
        <w:trPr>
          <w:cantSplit/>
        </w:trPr>
        <w:tc>
          <w:tcPr>
            <w:tcW w:w="1500" w:type="pct"/>
            <w:shd w:val="clear" w:color="auto" w:fill="auto"/>
          </w:tcPr>
          <w:p w14:paraId="22595369" w14:textId="77777777" w:rsidR="00E93F58" w:rsidRPr="00576D60" w:rsidRDefault="00E93F58" w:rsidP="003D2B1E">
            <w:pPr>
              <w:pStyle w:val="ENoteTableText"/>
              <w:tabs>
                <w:tab w:val="left" w:leader="dot" w:pos="2268"/>
              </w:tabs>
            </w:pPr>
            <w:r w:rsidRPr="00576D60">
              <w:t>r. 7.9.74</w:t>
            </w:r>
            <w:r w:rsidRPr="00576D60">
              <w:tab/>
            </w:r>
          </w:p>
        </w:tc>
        <w:tc>
          <w:tcPr>
            <w:tcW w:w="3500" w:type="pct"/>
            <w:shd w:val="clear" w:color="auto" w:fill="auto"/>
          </w:tcPr>
          <w:p w14:paraId="57E19605" w14:textId="77777777" w:rsidR="00E93F58" w:rsidRPr="00576D60" w:rsidRDefault="00E93F58" w:rsidP="003D2B1E">
            <w:pPr>
              <w:pStyle w:val="ENoteTableText"/>
            </w:pPr>
            <w:r w:rsidRPr="00576D60">
              <w:t>ad. 2001 No. 319</w:t>
            </w:r>
          </w:p>
        </w:tc>
      </w:tr>
      <w:tr w:rsidR="00E93F58" w:rsidRPr="00576D60" w14:paraId="7973848D" w14:textId="77777777" w:rsidTr="002F32E3">
        <w:trPr>
          <w:cantSplit/>
        </w:trPr>
        <w:tc>
          <w:tcPr>
            <w:tcW w:w="1500" w:type="pct"/>
            <w:shd w:val="clear" w:color="auto" w:fill="auto"/>
          </w:tcPr>
          <w:p w14:paraId="6B94E396" w14:textId="77777777" w:rsidR="00E93F58" w:rsidRPr="00576D60" w:rsidRDefault="00E93F58" w:rsidP="003D2B1E">
            <w:pPr>
              <w:pStyle w:val="ENoteTableText"/>
            </w:pPr>
          </w:p>
        </w:tc>
        <w:tc>
          <w:tcPr>
            <w:tcW w:w="3500" w:type="pct"/>
            <w:shd w:val="clear" w:color="auto" w:fill="auto"/>
          </w:tcPr>
          <w:p w14:paraId="49EBE315" w14:textId="77777777" w:rsidR="00E93F58" w:rsidRPr="00576D60" w:rsidRDefault="00E93F58" w:rsidP="003D2B1E">
            <w:pPr>
              <w:pStyle w:val="ENoteTableText"/>
            </w:pPr>
            <w:r w:rsidRPr="00576D60">
              <w:t>am. 2002 No 16 and 145; 2004 No. 145</w:t>
            </w:r>
          </w:p>
        </w:tc>
      </w:tr>
      <w:tr w:rsidR="00E93F58" w:rsidRPr="00576D60" w14:paraId="1AF4F1CF" w14:textId="77777777" w:rsidTr="002F32E3">
        <w:trPr>
          <w:cantSplit/>
        </w:trPr>
        <w:tc>
          <w:tcPr>
            <w:tcW w:w="1500" w:type="pct"/>
            <w:shd w:val="clear" w:color="auto" w:fill="auto"/>
          </w:tcPr>
          <w:p w14:paraId="5FB112F3" w14:textId="77777777" w:rsidR="00E93F58" w:rsidRPr="00576D60" w:rsidRDefault="00E93F58" w:rsidP="003D2B1E">
            <w:pPr>
              <w:pStyle w:val="ENoteTableText"/>
              <w:tabs>
                <w:tab w:val="left" w:leader="dot" w:pos="2268"/>
              </w:tabs>
            </w:pPr>
            <w:r w:rsidRPr="00576D60">
              <w:t>r. 7.9.74A</w:t>
            </w:r>
            <w:r w:rsidRPr="00576D60">
              <w:tab/>
            </w:r>
          </w:p>
        </w:tc>
        <w:tc>
          <w:tcPr>
            <w:tcW w:w="3500" w:type="pct"/>
            <w:shd w:val="clear" w:color="auto" w:fill="auto"/>
          </w:tcPr>
          <w:p w14:paraId="2730ECB0" w14:textId="77777777" w:rsidR="00E93F58" w:rsidRPr="00576D60" w:rsidRDefault="00E93F58" w:rsidP="003D2B1E">
            <w:pPr>
              <w:pStyle w:val="ENoteTableText"/>
            </w:pPr>
            <w:r w:rsidRPr="00576D60">
              <w:t>ad. 2004 No. 149</w:t>
            </w:r>
          </w:p>
        </w:tc>
      </w:tr>
      <w:tr w:rsidR="00E93F58" w:rsidRPr="00576D60" w14:paraId="7531E5BD" w14:textId="77777777" w:rsidTr="002F32E3">
        <w:trPr>
          <w:cantSplit/>
        </w:trPr>
        <w:tc>
          <w:tcPr>
            <w:tcW w:w="1500" w:type="pct"/>
            <w:shd w:val="clear" w:color="auto" w:fill="auto"/>
          </w:tcPr>
          <w:p w14:paraId="41ED4BD2" w14:textId="77777777" w:rsidR="00E93F58" w:rsidRPr="00576D60" w:rsidRDefault="00E93F58" w:rsidP="003D2B1E">
            <w:pPr>
              <w:pStyle w:val="ENoteTableText"/>
              <w:tabs>
                <w:tab w:val="left" w:leader="dot" w:pos="2268"/>
              </w:tabs>
            </w:pPr>
            <w:r w:rsidRPr="00576D60">
              <w:t>r. 7.9.74B</w:t>
            </w:r>
            <w:r w:rsidRPr="00576D60">
              <w:tab/>
            </w:r>
          </w:p>
        </w:tc>
        <w:tc>
          <w:tcPr>
            <w:tcW w:w="3500" w:type="pct"/>
            <w:shd w:val="clear" w:color="auto" w:fill="auto"/>
          </w:tcPr>
          <w:p w14:paraId="478284EA" w14:textId="77777777" w:rsidR="00E93F58" w:rsidRPr="00576D60" w:rsidRDefault="00E93F58" w:rsidP="003D2B1E">
            <w:pPr>
              <w:pStyle w:val="ENoteTableText"/>
            </w:pPr>
            <w:r w:rsidRPr="00576D60">
              <w:t>ad. 2008 No. 158</w:t>
            </w:r>
          </w:p>
        </w:tc>
      </w:tr>
      <w:tr w:rsidR="00E93F58" w:rsidRPr="00576D60" w14:paraId="1E8DB03D" w14:textId="77777777" w:rsidTr="002F32E3">
        <w:trPr>
          <w:cantSplit/>
        </w:trPr>
        <w:tc>
          <w:tcPr>
            <w:tcW w:w="1500" w:type="pct"/>
            <w:shd w:val="clear" w:color="auto" w:fill="auto"/>
          </w:tcPr>
          <w:p w14:paraId="1647709C" w14:textId="77777777" w:rsidR="00E93F58" w:rsidRPr="00576D60" w:rsidRDefault="00E93F58" w:rsidP="003D2B1E">
            <w:pPr>
              <w:pStyle w:val="ENoteTableText"/>
            </w:pPr>
          </w:p>
        </w:tc>
        <w:tc>
          <w:tcPr>
            <w:tcW w:w="3500" w:type="pct"/>
            <w:shd w:val="clear" w:color="auto" w:fill="auto"/>
          </w:tcPr>
          <w:p w14:paraId="4DB7C858" w14:textId="77777777" w:rsidR="00E93F58" w:rsidRPr="00576D60" w:rsidRDefault="00E93F58" w:rsidP="003D2B1E">
            <w:pPr>
              <w:pStyle w:val="ENoteTableText"/>
            </w:pPr>
            <w:r w:rsidRPr="00576D60">
              <w:t>am. 2011 No. 272</w:t>
            </w:r>
          </w:p>
        </w:tc>
      </w:tr>
      <w:tr w:rsidR="00E93F58" w:rsidRPr="00576D60" w14:paraId="1E35D863" w14:textId="77777777" w:rsidTr="002F32E3">
        <w:trPr>
          <w:cantSplit/>
        </w:trPr>
        <w:tc>
          <w:tcPr>
            <w:tcW w:w="1500" w:type="pct"/>
            <w:shd w:val="clear" w:color="auto" w:fill="auto"/>
          </w:tcPr>
          <w:p w14:paraId="3CAEC696" w14:textId="77777777" w:rsidR="00E93F58" w:rsidRPr="00576D60" w:rsidRDefault="00E93F58" w:rsidP="003D2B1E">
            <w:pPr>
              <w:pStyle w:val="ENoteTableText"/>
            </w:pPr>
          </w:p>
        </w:tc>
        <w:tc>
          <w:tcPr>
            <w:tcW w:w="3500" w:type="pct"/>
            <w:shd w:val="clear" w:color="auto" w:fill="auto"/>
          </w:tcPr>
          <w:p w14:paraId="18054BB3" w14:textId="77777777" w:rsidR="00E93F58" w:rsidRPr="00576D60" w:rsidRDefault="00E93F58" w:rsidP="003D2B1E">
            <w:pPr>
              <w:pStyle w:val="ENoteTableText"/>
            </w:pPr>
            <w:r w:rsidRPr="00576D60">
              <w:t>rep No 91, 2015</w:t>
            </w:r>
          </w:p>
        </w:tc>
      </w:tr>
      <w:tr w:rsidR="00E93F58" w:rsidRPr="00576D60" w14:paraId="03F8D239" w14:textId="77777777" w:rsidTr="002F32E3">
        <w:trPr>
          <w:cantSplit/>
        </w:trPr>
        <w:tc>
          <w:tcPr>
            <w:tcW w:w="1500" w:type="pct"/>
            <w:shd w:val="clear" w:color="auto" w:fill="auto"/>
          </w:tcPr>
          <w:p w14:paraId="12BB16F3" w14:textId="77777777" w:rsidR="00E93F58" w:rsidRPr="00576D60" w:rsidRDefault="00E93F58" w:rsidP="003D2B1E">
            <w:pPr>
              <w:pStyle w:val="ENoteTableText"/>
              <w:tabs>
                <w:tab w:val="left" w:leader="dot" w:pos="2268"/>
              </w:tabs>
            </w:pPr>
            <w:r w:rsidRPr="00576D60">
              <w:t>r 7.9.75</w:t>
            </w:r>
            <w:r w:rsidRPr="00576D60">
              <w:tab/>
            </w:r>
          </w:p>
        </w:tc>
        <w:tc>
          <w:tcPr>
            <w:tcW w:w="3500" w:type="pct"/>
            <w:shd w:val="clear" w:color="auto" w:fill="auto"/>
          </w:tcPr>
          <w:p w14:paraId="2E6C189C" w14:textId="77777777" w:rsidR="00E93F58" w:rsidRPr="00576D60" w:rsidRDefault="00E93F58" w:rsidP="003D2B1E">
            <w:pPr>
              <w:pStyle w:val="ENoteTableText"/>
            </w:pPr>
            <w:r w:rsidRPr="00576D60">
              <w:t>ad No 319, 2001</w:t>
            </w:r>
          </w:p>
        </w:tc>
      </w:tr>
      <w:tr w:rsidR="00E93F58" w:rsidRPr="00576D60" w14:paraId="5FFE48EA" w14:textId="77777777" w:rsidTr="002F32E3">
        <w:trPr>
          <w:cantSplit/>
        </w:trPr>
        <w:tc>
          <w:tcPr>
            <w:tcW w:w="1500" w:type="pct"/>
            <w:shd w:val="clear" w:color="auto" w:fill="auto"/>
          </w:tcPr>
          <w:p w14:paraId="7BA574FF" w14:textId="77777777" w:rsidR="00E93F58" w:rsidRPr="00576D60" w:rsidRDefault="00E93F58" w:rsidP="003D2B1E">
            <w:pPr>
              <w:pStyle w:val="ENoteTableText"/>
            </w:pPr>
          </w:p>
        </w:tc>
        <w:tc>
          <w:tcPr>
            <w:tcW w:w="3500" w:type="pct"/>
            <w:shd w:val="clear" w:color="auto" w:fill="auto"/>
          </w:tcPr>
          <w:p w14:paraId="158665DB" w14:textId="77777777" w:rsidR="00E93F58" w:rsidRPr="00576D60" w:rsidRDefault="00E93F58" w:rsidP="003D2B1E">
            <w:pPr>
              <w:pStyle w:val="ENoteTableText"/>
            </w:pPr>
            <w:r w:rsidRPr="00576D60">
              <w:t>rs No 282, 2003</w:t>
            </w:r>
          </w:p>
        </w:tc>
      </w:tr>
      <w:tr w:rsidR="00E93F58" w:rsidRPr="00576D60" w14:paraId="04E544E1" w14:textId="77777777" w:rsidTr="002F32E3">
        <w:trPr>
          <w:cantSplit/>
        </w:trPr>
        <w:tc>
          <w:tcPr>
            <w:tcW w:w="1500" w:type="pct"/>
            <w:shd w:val="clear" w:color="auto" w:fill="auto"/>
          </w:tcPr>
          <w:p w14:paraId="3940285A" w14:textId="77777777" w:rsidR="00E93F58" w:rsidRPr="00576D60" w:rsidRDefault="00E93F58" w:rsidP="003D2B1E">
            <w:pPr>
              <w:pStyle w:val="ENoteTableText"/>
            </w:pPr>
          </w:p>
        </w:tc>
        <w:tc>
          <w:tcPr>
            <w:tcW w:w="3500" w:type="pct"/>
            <w:shd w:val="clear" w:color="auto" w:fill="auto"/>
          </w:tcPr>
          <w:p w14:paraId="6D58DB63" w14:textId="77777777" w:rsidR="00E93F58" w:rsidRPr="00576D60" w:rsidRDefault="00E93F58" w:rsidP="003D2B1E">
            <w:pPr>
              <w:pStyle w:val="ENoteTableText"/>
            </w:pPr>
            <w:r w:rsidRPr="00576D60">
              <w:t>am No 149, 2004; No 31, 2005; No 139, 2005; F2018L01144; F2019L01641</w:t>
            </w:r>
          </w:p>
        </w:tc>
      </w:tr>
      <w:tr w:rsidR="00E93F58" w:rsidRPr="00576D60" w14:paraId="7EA7C60B" w14:textId="77777777" w:rsidTr="002F32E3">
        <w:trPr>
          <w:cantSplit/>
        </w:trPr>
        <w:tc>
          <w:tcPr>
            <w:tcW w:w="1500" w:type="pct"/>
            <w:shd w:val="clear" w:color="auto" w:fill="auto"/>
          </w:tcPr>
          <w:p w14:paraId="6A900C08" w14:textId="77777777" w:rsidR="00E93F58" w:rsidRPr="00576D60" w:rsidRDefault="00E93F58" w:rsidP="003D2B1E">
            <w:pPr>
              <w:pStyle w:val="ENoteTableText"/>
              <w:tabs>
                <w:tab w:val="left" w:leader="dot" w:pos="2268"/>
              </w:tabs>
            </w:pPr>
            <w:r w:rsidRPr="00576D60">
              <w:lastRenderedPageBreak/>
              <w:t>r 7.9.75A</w:t>
            </w:r>
            <w:r w:rsidRPr="00576D60">
              <w:tab/>
            </w:r>
          </w:p>
        </w:tc>
        <w:tc>
          <w:tcPr>
            <w:tcW w:w="3500" w:type="pct"/>
            <w:shd w:val="clear" w:color="auto" w:fill="auto"/>
          </w:tcPr>
          <w:p w14:paraId="332A73C3" w14:textId="77777777" w:rsidR="00E93F58" w:rsidRPr="00576D60" w:rsidRDefault="00E93F58" w:rsidP="003D2B1E">
            <w:pPr>
              <w:pStyle w:val="ENoteTableText"/>
            </w:pPr>
            <w:r w:rsidRPr="00576D60">
              <w:t>ad No 126, 2002</w:t>
            </w:r>
          </w:p>
        </w:tc>
      </w:tr>
      <w:tr w:rsidR="00E93F58" w:rsidRPr="00576D60" w14:paraId="23D456E0" w14:textId="77777777" w:rsidTr="002F32E3">
        <w:trPr>
          <w:cantSplit/>
        </w:trPr>
        <w:tc>
          <w:tcPr>
            <w:tcW w:w="1500" w:type="pct"/>
            <w:shd w:val="clear" w:color="auto" w:fill="auto"/>
          </w:tcPr>
          <w:p w14:paraId="05659BC5" w14:textId="77777777" w:rsidR="00E93F58" w:rsidRPr="00576D60" w:rsidRDefault="00E93F58" w:rsidP="003D2B1E">
            <w:pPr>
              <w:pStyle w:val="ENoteTableText"/>
              <w:tabs>
                <w:tab w:val="left" w:leader="dot" w:pos="2268"/>
              </w:tabs>
            </w:pPr>
          </w:p>
        </w:tc>
        <w:tc>
          <w:tcPr>
            <w:tcW w:w="3500" w:type="pct"/>
            <w:shd w:val="clear" w:color="auto" w:fill="auto"/>
          </w:tcPr>
          <w:p w14:paraId="26158D24" w14:textId="77777777" w:rsidR="00E93F58" w:rsidRPr="00576D60" w:rsidRDefault="00E93F58" w:rsidP="003D2B1E">
            <w:pPr>
              <w:pStyle w:val="ENoteTableText"/>
            </w:pPr>
            <w:r w:rsidRPr="00576D60">
              <w:t>am F2023L00990</w:t>
            </w:r>
          </w:p>
        </w:tc>
      </w:tr>
      <w:tr w:rsidR="00E93F58" w:rsidRPr="00576D60" w14:paraId="333E01C5" w14:textId="77777777" w:rsidTr="002F32E3">
        <w:trPr>
          <w:cantSplit/>
        </w:trPr>
        <w:tc>
          <w:tcPr>
            <w:tcW w:w="1500" w:type="pct"/>
            <w:shd w:val="clear" w:color="auto" w:fill="auto"/>
          </w:tcPr>
          <w:p w14:paraId="24159D14" w14:textId="77777777" w:rsidR="00E93F58" w:rsidRPr="00576D60" w:rsidRDefault="00E93F58" w:rsidP="003D2B1E">
            <w:pPr>
              <w:pStyle w:val="ENoteTableText"/>
              <w:tabs>
                <w:tab w:val="left" w:leader="dot" w:pos="2268"/>
              </w:tabs>
            </w:pPr>
            <w:r w:rsidRPr="00576D60">
              <w:t>r. 7.9.75B</w:t>
            </w:r>
            <w:r w:rsidRPr="00576D60">
              <w:tab/>
            </w:r>
          </w:p>
        </w:tc>
        <w:tc>
          <w:tcPr>
            <w:tcW w:w="3500" w:type="pct"/>
            <w:shd w:val="clear" w:color="auto" w:fill="auto"/>
          </w:tcPr>
          <w:p w14:paraId="6C37C99A" w14:textId="77777777" w:rsidR="00E93F58" w:rsidRPr="00576D60" w:rsidRDefault="00E93F58" w:rsidP="003D2B1E">
            <w:pPr>
              <w:pStyle w:val="ENoteTableText"/>
            </w:pPr>
            <w:r w:rsidRPr="00576D60">
              <w:t>ad. 2002 No. 126</w:t>
            </w:r>
          </w:p>
        </w:tc>
      </w:tr>
      <w:tr w:rsidR="00E93F58" w:rsidRPr="00576D60" w14:paraId="45A0141F" w14:textId="77777777" w:rsidTr="002F32E3">
        <w:trPr>
          <w:cantSplit/>
        </w:trPr>
        <w:tc>
          <w:tcPr>
            <w:tcW w:w="1500" w:type="pct"/>
            <w:shd w:val="clear" w:color="auto" w:fill="auto"/>
          </w:tcPr>
          <w:p w14:paraId="6CD6C0E6" w14:textId="77777777" w:rsidR="00E93F58" w:rsidRPr="00576D60" w:rsidRDefault="00E93F58" w:rsidP="003D2B1E">
            <w:pPr>
              <w:pStyle w:val="ENoteTableText"/>
              <w:tabs>
                <w:tab w:val="left" w:leader="dot" w:pos="2268"/>
              </w:tabs>
            </w:pPr>
            <w:r w:rsidRPr="00576D60">
              <w:t>r 7.9.75BA</w:t>
            </w:r>
            <w:r w:rsidRPr="00576D60">
              <w:tab/>
            </w:r>
          </w:p>
        </w:tc>
        <w:tc>
          <w:tcPr>
            <w:tcW w:w="3500" w:type="pct"/>
            <w:shd w:val="clear" w:color="auto" w:fill="auto"/>
          </w:tcPr>
          <w:p w14:paraId="05B32BB3" w14:textId="77777777" w:rsidR="00E93F58" w:rsidRPr="00576D60" w:rsidRDefault="00E93F58" w:rsidP="003D2B1E">
            <w:pPr>
              <w:pStyle w:val="ENoteTableText"/>
            </w:pPr>
            <w:r w:rsidRPr="00576D60">
              <w:t>ad No 52, 2009</w:t>
            </w:r>
          </w:p>
        </w:tc>
      </w:tr>
      <w:tr w:rsidR="00E93F58" w:rsidRPr="00576D60" w14:paraId="47C51014" w14:textId="77777777" w:rsidTr="002F32E3">
        <w:trPr>
          <w:cantSplit/>
        </w:trPr>
        <w:tc>
          <w:tcPr>
            <w:tcW w:w="1500" w:type="pct"/>
            <w:shd w:val="clear" w:color="auto" w:fill="auto"/>
          </w:tcPr>
          <w:p w14:paraId="2930B58A" w14:textId="77777777" w:rsidR="00E93F58" w:rsidRPr="00576D60" w:rsidRDefault="00E93F58" w:rsidP="003D2B1E">
            <w:pPr>
              <w:pStyle w:val="ENoteTableText"/>
              <w:tabs>
                <w:tab w:val="left" w:leader="dot" w:pos="2268"/>
              </w:tabs>
            </w:pPr>
          </w:p>
        </w:tc>
        <w:tc>
          <w:tcPr>
            <w:tcW w:w="3500" w:type="pct"/>
            <w:shd w:val="clear" w:color="auto" w:fill="auto"/>
          </w:tcPr>
          <w:p w14:paraId="4CB14586" w14:textId="77777777" w:rsidR="00E93F58" w:rsidRPr="00576D60" w:rsidRDefault="00E93F58" w:rsidP="003D2B1E">
            <w:pPr>
              <w:pStyle w:val="ENoteTableText"/>
            </w:pPr>
            <w:r w:rsidRPr="00576D60">
              <w:t>am F2021L01841</w:t>
            </w:r>
          </w:p>
        </w:tc>
      </w:tr>
      <w:tr w:rsidR="00E93F58" w:rsidRPr="00576D60" w14:paraId="54265E28" w14:textId="77777777" w:rsidTr="002F32E3">
        <w:trPr>
          <w:cantSplit/>
        </w:trPr>
        <w:tc>
          <w:tcPr>
            <w:tcW w:w="1500" w:type="pct"/>
            <w:shd w:val="clear" w:color="auto" w:fill="auto"/>
          </w:tcPr>
          <w:p w14:paraId="6E06A668" w14:textId="77777777" w:rsidR="00E93F58" w:rsidRPr="00576D60" w:rsidRDefault="00E93F58" w:rsidP="003D2B1E">
            <w:pPr>
              <w:pStyle w:val="ENoteTableText"/>
              <w:tabs>
                <w:tab w:val="left" w:leader="dot" w:pos="2268"/>
              </w:tabs>
            </w:pPr>
          </w:p>
        </w:tc>
        <w:tc>
          <w:tcPr>
            <w:tcW w:w="3500" w:type="pct"/>
            <w:shd w:val="clear" w:color="auto" w:fill="auto"/>
          </w:tcPr>
          <w:p w14:paraId="102AC724" w14:textId="77777777" w:rsidR="00E93F58" w:rsidRPr="00576D60" w:rsidRDefault="00E93F58" w:rsidP="003D2B1E">
            <w:pPr>
              <w:pStyle w:val="ENoteTableText"/>
            </w:pPr>
            <w:r w:rsidRPr="00576D60">
              <w:t>rep F2023L00990</w:t>
            </w:r>
          </w:p>
        </w:tc>
      </w:tr>
      <w:tr w:rsidR="00E93F58" w:rsidRPr="00576D60" w14:paraId="41478EC6" w14:textId="77777777" w:rsidTr="002F32E3">
        <w:trPr>
          <w:cantSplit/>
        </w:trPr>
        <w:tc>
          <w:tcPr>
            <w:tcW w:w="1500" w:type="pct"/>
            <w:shd w:val="clear" w:color="auto" w:fill="auto"/>
          </w:tcPr>
          <w:p w14:paraId="5EF71991" w14:textId="77777777" w:rsidR="00E93F58" w:rsidRPr="00576D60" w:rsidRDefault="00E93F58" w:rsidP="003D2B1E">
            <w:pPr>
              <w:pStyle w:val="ENoteTableText"/>
              <w:tabs>
                <w:tab w:val="left" w:leader="dot" w:pos="2268"/>
              </w:tabs>
            </w:pPr>
            <w:r w:rsidRPr="00576D60">
              <w:t>r. 7.9.75C</w:t>
            </w:r>
            <w:r w:rsidRPr="00576D60">
              <w:tab/>
            </w:r>
          </w:p>
        </w:tc>
        <w:tc>
          <w:tcPr>
            <w:tcW w:w="3500" w:type="pct"/>
            <w:shd w:val="clear" w:color="auto" w:fill="auto"/>
          </w:tcPr>
          <w:p w14:paraId="489CC53D" w14:textId="77777777" w:rsidR="00E93F58" w:rsidRPr="00576D60" w:rsidRDefault="00E93F58" w:rsidP="003D2B1E">
            <w:pPr>
              <w:pStyle w:val="ENoteTableText"/>
            </w:pPr>
            <w:r w:rsidRPr="00576D60">
              <w:t>ad. 2004 No. 149</w:t>
            </w:r>
          </w:p>
        </w:tc>
      </w:tr>
      <w:tr w:rsidR="00E93F58" w:rsidRPr="00576D60" w14:paraId="57661624" w14:textId="77777777" w:rsidTr="002F32E3">
        <w:trPr>
          <w:cantSplit/>
        </w:trPr>
        <w:tc>
          <w:tcPr>
            <w:tcW w:w="1500" w:type="pct"/>
            <w:shd w:val="clear" w:color="auto" w:fill="auto"/>
          </w:tcPr>
          <w:p w14:paraId="713D250F" w14:textId="77777777" w:rsidR="00E93F58" w:rsidRPr="00576D60" w:rsidRDefault="00E93F58" w:rsidP="003D2B1E">
            <w:pPr>
              <w:pStyle w:val="ENoteTableText"/>
              <w:tabs>
                <w:tab w:val="left" w:leader="dot" w:pos="2268"/>
              </w:tabs>
            </w:pPr>
            <w:r w:rsidRPr="00576D60">
              <w:t>r. 7.9.75D</w:t>
            </w:r>
            <w:r w:rsidRPr="00576D60">
              <w:tab/>
            </w:r>
          </w:p>
        </w:tc>
        <w:tc>
          <w:tcPr>
            <w:tcW w:w="3500" w:type="pct"/>
            <w:shd w:val="clear" w:color="auto" w:fill="auto"/>
          </w:tcPr>
          <w:p w14:paraId="51C39633" w14:textId="77777777" w:rsidR="00E93F58" w:rsidRPr="00576D60" w:rsidRDefault="00E93F58" w:rsidP="003D2B1E">
            <w:pPr>
              <w:pStyle w:val="ENoteTableText"/>
            </w:pPr>
            <w:r w:rsidRPr="00576D60">
              <w:t>ad. 2004 No. 149</w:t>
            </w:r>
          </w:p>
        </w:tc>
      </w:tr>
      <w:tr w:rsidR="00E93F58" w:rsidRPr="00576D60" w14:paraId="105A5F31" w14:textId="77777777" w:rsidTr="002F32E3">
        <w:trPr>
          <w:cantSplit/>
        </w:trPr>
        <w:tc>
          <w:tcPr>
            <w:tcW w:w="1500" w:type="pct"/>
            <w:shd w:val="clear" w:color="auto" w:fill="auto"/>
          </w:tcPr>
          <w:p w14:paraId="026C4756" w14:textId="77777777" w:rsidR="00E93F58" w:rsidRPr="00576D60" w:rsidRDefault="00E93F58" w:rsidP="003D2B1E">
            <w:pPr>
              <w:pStyle w:val="ENoteTableText"/>
              <w:tabs>
                <w:tab w:val="left" w:leader="dot" w:pos="2268"/>
              </w:tabs>
            </w:pPr>
            <w:r w:rsidRPr="00576D60">
              <w:t>r. 7.9.76</w:t>
            </w:r>
            <w:r w:rsidRPr="00576D60">
              <w:tab/>
            </w:r>
          </w:p>
        </w:tc>
        <w:tc>
          <w:tcPr>
            <w:tcW w:w="3500" w:type="pct"/>
            <w:shd w:val="clear" w:color="auto" w:fill="auto"/>
          </w:tcPr>
          <w:p w14:paraId="0EF96312" w14:textId="77777777" w:rsidR="00E93F58" w:rsidRPr="00576D60" w:rsidRDefault="00E93F58" w:rsidP="003D2B1E">
            <w:pPr>
              <w:pStyle w:val="ENoteTableText"/>
            </w:pPr>
            <w:r w:rsidRPr="00576D60">
              <w:t>ad. 2001 No. 319</w:t>
            </w:r>
          </w:p>
        </w:tc>
      </w:tr>
      <w:tr w:rsidR="00E93F58" w:rsidRPr="00576D60" w14:paraId="38FE3F11" w14:textId="77777777" w:rsidTr="002F32E3">
        <w:trPr>
          <w:cantSplit/>
        </w:trPr>
        <w:tc>
          <w:tcPr>
            <w:tcW w:w="1500" w:type="pct"/>
            <w:shd w:val="clear" w:color="auto" w:fill="auto"/>
          </w:tcPr>
          <w:p w14:paraId="7602A760" w14:textId="77777777" w:rsidR="00E93F58" w:rsidRPr="00576D60" w:rsidRDefault="00E93F58" w:rsidP="003D2B1E">
            <w:pPr>
              <w:pStyle w:val="ENoteTableText"/>
              <w:tabs>
                <w:tab w:val="left" w:leader="dot" w:pos="2268"/>
              </w:tabs>
            </w:pPr>
            <w:r w:rsidRPr="00576D60">
              <w:t>r 7.9.77</w:t>
            </w:r>
            <w:r w:rsidRPr="00576D60">
              <w:tab/>
            </w:r>
          </w:p>
        </w:tc>
        <w:tc>
          <w:tcPr>
            <w:tcW w:w="3500" w:type="pct"/>
            <w:shd w:val="clear" w:color="auto" w:fill="auto"/>
          </w:tcPr>
          <w:p w14:paraId="5EDC0024" w14:textId="77777777" w:rsidR="00E93F58" w:rsidRPr="00576D60" w:rsidRDefault="00E93F58" w:rsidP="003D2B1E">
            <w:pPr>
              <w:pStyle w:val="ENoteTableText"/>
            </w:pPr>
            <w:r w:rsidRPr="00576D60">
              <w:t>ad 2001 No 319</w:t>
            </w:r>
          </w:p>
        </w:tc>
      </w:tr>
      <w:tr w:rsidR="00E93F58" w:rsidRPr="00576D60" w14:paraId="7A95AE98" w14:textId="77777777" w:rsidTr="002F32E3">
        <w:trPr>
          <w:cantSplit/>
        </w:trPr>
        <w:tc>
          <w:tcPr>
            <w:tcW w:w="1500" w:type="pct"/>
            <w:shd w:val="clear" w:color="auto" w:fill="auto"/>
          </w:tcPr>
          <w:p w14:paraId="0CC64ECA" w14:textId="77777777" w:rsidR="00E93F58" w:rsidRPr="00576D60" w:rsidRDefault="00E93F58" w:rsidP="003D2B1E">
            <w:pPr>
              <w:pStyle w:val="ENoteTableText"/>
            </w:pPr>
          </w:p>
        </w:tc>
        <w:tc>
          <w:tcPr>
            <w:tcW w:w="3500" w:type="pct"/>
            <w:shd w:val="clear" w:color="auto" w:fill="auto"/>
          </w:tcPr>
          <w:p w14:paraId="2EC9462B" w14:textId="77777777" w:rsidR="00E93F58" w:rsidRPr="00576D60" w:rsidRDefault="00E93F58" w:rsidP="003D2B1E">
            <w:pPr>
              <w:pStyle w:val="ENoteTableText"/>
            </w:pPr>
            <w:r w:rsidRPr="00576D60">
              <w:t>am 2009 No 386; F2018L00515</w:t>
            </w:r>
          </w:p>
        </w:tc>
      </w:tr>
      <w:tr w:rsidR="00E93F58" w:rsidRPr="00576D60" w14:paraId="3A097D60" w14:textId="77777777" w:rsidTr="002F32E3">
        <w:trPr>
          <w:cantSplit/>
        </w:trPr>
        <w:tc>
          <w:tcPr>
            <w:tcW w:w="1500" w:type="pct"/>
            <w:shd w:val="clear" w:color="auto" w:fill="auto"/>
          </w:tcPr>
          <w:p w14:paraId="5B57E84A" w14:textId="77777777" w:rsidR="00E93F58" w:rsidRPr="00576D60" w:rsidRDefault="00E93F58" w:rsidP="003D2B1E">
            <w:pPr>
              <w:pStyle w:val="ENoteTableText"/>
              <w:tabs>
                <w:tab w:val="center" w:leader="dot" w:pos="2268"/>
              </w:tabs>
            </w:pPr>
            <w:r w:rsidRPr="00576D60">
              <w:t>r 7.9.77A</w:t>
            </w:r>
            <w:r w:rsidRPr="00576D60">
              <w:tab/>
            </w:r>
          </w:p>
        </w:tc>
        <w:tc>
          <w:tcPr>
            <w:tcW w:w="3500" w:type="pct"/>
            <w:shd w:val="clear" w:color="auto" w:fill="auto"/>
          </w:tcPr>
          <w:p w14:paraId="56774E73" w14:textId="77777777" w:rsidR="00E93F58" w:rsidRPr="00576D60" w:rsidRDefault="00E93F58" w:rsidP="003D2B1E">
            <w:pPr>
              <w:pStyle w:val="ENoteTableText"/>
            </w:pPr>
            <w:r w:rsidRPr="00576D60">
              <w:t>ad F2019L00537</w:t>
            </w:r>
          </w:p>
        </w:tc>
      </w:tr>
      <w:tr w:rsidR="00E93F58" w:rsidRPr="00576D60" w14:paraId="7D5005BD" w14:textId="77777777" w:rsidTr="002F32E3">
        <w:trPr>
          <w:cantSplit/>
        </w:trPr>
        <w:tc>
          <w:tcPr>
            <w:tcW w:w="1500" w:type="pct"/>
            <w:shd w:val="clear" w:color="auto" w:fill="auto"/>
          </w:tcPr>
          <w:p w14:paraId="191B9F6C" w14:textId="77777777" w:rsidR="00E93F58" w:rsidRPr="00576D60" w:rsidRDefault="00E93F58" w:rsidP="003D2B1E">
            <w:pPr>
              <w:pStyle w:val="ENoteTableText"/>
              <w:tabs>
                <w:tab w:val="left" w:leader="dot" w:pos="2268"/>
              </w:tabs>
            </w:pPr>
            <w:r w:rsidRPr="00576D60">
              <w:t>r. 7.9.78</w:t>
            </w:r>
            <w:r w:rsidRPr="00576D60">
              <w:tab/>
            </w:r>
          </w:p>
        </w:tc>
        <w:tc>
          <w:tcPr>
            <w:tcW w:w="3500" w:type="pct"/>
            <w:shd w:val="clear" w:color="auto" w:fill="auto"/>
          </w:tcPr>
          <w:p w14:paraId="53BFBA04" w14:textId="77777777" w:rsidR="00E93F58" w:rsidRPr="00576D60" w:rsidRDefault="00E93F58" w:rsidP="003D2B1E">
            <w:pPr>
              <w:pStyle w:val="ENoteTableText"/>
            </w:pPr>
            <w:r w:rsidRPr="00576D60">
              <w:t>ad. 2001 No. 319</w:t>
            </w:r>
          </w:p>
        </w:tc>
      </w:tr>
      <w:tr w:rsidR="00E93F58" w:rsidRPr="00576D60" w14:paraId="417ACF49" w14:textId="77777777" w:rsidTr="002F32E3">
        <w:trPr>
          <w:cantSplit/>
        </w:trPr>
        <w:tc>
          <w:tcPr>
            <w:tcW w:w="1500" w:type="pct"/>
            <w:shd w:val="clear" w:color="auto" w:fill="auto"/>
          </w:tcPr>
          <w:p w14:paraId="01F91F25" w14:textId="77777777" w:rsidR="00E93F58" w:rsidRPr="00576D60" w:rsidRDefault="00E93F58" w:rsidP="003D2B1E">
            <w:pPr>
              <w:pStyle w:val="ENoteTableText"/>
            </w:pPr>
          </w:p>
        </w:tc>
        <w:tc>
          <w:tcPr>
            <w:tcW w:w="3500" w:type="pct"/>
            <w:shd w:val="clear" w:color="auto" w:fill="auto"/>
          </w:tcPr>
          <w:p w14:paraId="4D2C8F1B" w14:textId="77777777" w:rsidR="00E93F58" w:rsidRPr="00576D60" w:rsidRDefault="00E93F58" w:rsidP="003D2B1E">
            <w:pPr>
              <w:pStyle w:val="ENoteTableText"/>
            </w:pPr>
            <w:r w:rsidRPr="00576D60">
              <w:t>am. 2003 No. 202</w:t>
            </w:r>
          </w:p>
        </w:tc>
      </w:tr>
      <w:tr w:rsidR="00E93F58" w:rsidRPr="00576D60" w14:paraId="11D4F9EF" w14:textId="77777777" w:rsidTr="002F32E3">
        <w:trPr>
          <w:cantSplit/>
        </w:trPr>
        <w:tc>
          <w:tcPr>
            <w:tcW w:w="1500" w:type="pct"/>
            <w:shd w:val="clear" w:color="auto" w:fill="auto"/>
          </w:tcPr>
          <w:p w14:paraId="1F6EF126" w14:textId="77777777" w:rsidR="00E93F58" w:rsidRPr="00576D60" w:rsidRDefault="00E93F58" w:rsidP="003D2B1E">
            <w:pPr>
              <w:pStyle w:val="ENoteTableText"/>
              <w:tabs>
                <w:tab w:val="left" w:leader="dot" w:pos="2268"/>
              </w:tabs>
            </w:pPr>
            <w:r w:rsidRPr="00576D60">
              <w:t>r. 7.9.79</w:t>
            </w:r>
            <w:r w:rsidRPr="00576D60">
              <w:tab/>
            </w:r>
          </w:p>
        </w:tc>
        <w:tc>
          <w:tcPr>
            <w:tcW w:w="3500" w:type="pct"/>
            <w:shd w:val="clear" w:color="auto" w:fill="auto"/>
          </w:tcPr>
          <w:p w14:paraId="7E25F92C" w14:textId="77777777" w:rsidR="00E93F58" w:rsidRPr="00576D60" w:rsidRDefault="00E93F58" w:rsidP="003D2B1E">
            <w:pPr>
              <w:pStyle w:val="ENoteTableText"/>
            </w:pPr>
            <w:r w:rsidRPr="00576D60">
              <w:t>ad. 2001 No. 319</w:t>
            </w:r>
          </w:p>
        </w:tc>
      </w:tr>
      <w:tr w:rsidR="00E93F58" w:rsidRPr="00576D60" w14:paraId="4D244D35" w14:textId="77777777" w:rsidTr="002F32E3">
        <w:trPr>
          <w:cantSplit/>
        </w:trPr>
        <w:tc>
          <w:tcPr>
            <w:tcW w:w="1500" w:type="pct"/>
            <w:shd w:val="clear" w:color="auto" w:fill="auto"/>
          </w:tcPr>
          <w:p w14:paraId="3284FD7F" w14:textId="77777777" w:rsidR="00E93F58" w:rsidRPr="00576D60" w:rsidRDefault="00E93F58" w:rsidP="003D2B1E">
            <w:pPr>
              <w:pStyle w:val="ENoteTableText"/>
            </w:pPr>
          </w:p>
        </w:tc>
        <w:tc>
          <w:tcPr>
            <w:tcW w:w="3500" w:type="pct"/>
            <w:shd w:val="clear" w:color="auto" w:fill="auto"/>
          </w:tcPr>
          <w:p w14:paraId="32FDC967" w14:textId="77777777" w:rsidR="00E93F58" w:rsidRPr="00576D60" w:rsidRDefault="00E93F58" w:rsidP="003D2B1E">
            <w:pPr>
              <w:pStyle w:val="ENoteTableText"/>
            </w:pPr>
            <w:r w:rsidRPr="00576D60">
              <w:t>rep. 2009 No. 12</w:t>
            </w:r>
          </w:p>
        </w:tc>
      </w:tr>
      <w:tr w:rsidR="00E93F58" w:rsidRPr="00576D60" w14:paraId="1F3FF00E" w14:textId="77777777" w:rsidTr="002F32E3">
        <w:trPr>
          <w:cantSplit/>
        </w:trPr>
        <w:tc>
          <w:tcPr>
            <w:tcW w:w="1500" w:type="pct"/>
            <w:shd w:val="clear" w:color="auto" w:fill="auto"/>
          </w:tcPr>
          <w:p w14:paraId="04B2CD77" w14:textId="77777777" w:rsidR="00E93F58" w:rsidRPr="00576D60" w:rsidRDefault="00E93F58" w:rsidP="003D2B1E">
            <w:pPr>
              <w:pStyle w:val="ENoteTableText"/>
              <w:tabs>
                <w:tab w:val="left" w:leader="dot" w:pos="2268"/>
              </w:tabs>
            </w:pPr>
            <w:r w:rsidRPr="00576D60">
              <w:t>r. 7.9.80</w:t>
            </w:r>
            <w:r w:rsidRPr="00576D60">
              <w:tab/>
            </w:r>
          </w:p>
        </w:tc>
        <w:tc>
          <w:tcPr>
            <w:tcW w:w="3500" w:type="pct"/>
            <w:shd w:val="clear" w:color="auto" w:fill="auto"/>
          </w:tcPr>
          <w:p w14:paraId="5A80EE39" w14:textId="77777777" w:rsidR="00E93F58" w:rsidRPr="00576D60" w:rsidRDefault="00E93F58" w:rsidP="003D2B1E">
            <w:pPr>
              <w:pStyle w:val="ENoteTableText"/>
            </w:pPr>
            <w:r w:rsidRPr="00576D60">
              <w:t>ad. 2001 No. 319</w:t>
            </w:r>
          </w:p>
        </w:tc>
      </w:tr>
      <w:tr w:rsidR="00E93F58" w:rsidRPr="00576D60" w14:paraId="391BCA87" w14:textId="77777777" w:rsidTr="002F32E3">
        <w:trPr>
          <w:cantSplit/>
        </w:trPr>
        <w:tc>
          <w:tcPr>
            <w:tcW w:w="1500" w:type="pct"/>
            <w:shd w:val="clear" w:color="auto" w:fill="auto"/>
          </w:tcPr>
          <w:p w14:paraId="72E8F969" w14:textId="77777777" w:rsidR="00E93F58" w:rsidRPr="00576D60" w:rsidRDefault="00E93F58" w:rsidP="003D2B1E">
            <w:pPr>
              <w:pStyle w:val="ENoteTableText"/>
            </w:pPr>
          </w:p>
        </w:tc>
        <w:tc>
          <w:tcPr>
            <w:tcW w:w="3500" w:type="pct"/>
            <w:shd w:val="clear" w:color="auto" w:fill="auto"/>
          </w:tcPr>
          <w:p w14:paraId="6EB5376A" w14:textId="77777777" w:rsidR="00E93F58" w:rsidRPr="00576D60" w:rsidRDefault="00E93F58" w:rsidP="003D2B1E">
            <w:pPr>
              <w:pStyle w:val="ENoteTableText"/>
            </w:pPr>
            <w:r w:rsidRPr="00576D60">
              <w:t>rep. 2005 No. 324</w:t>
            </w:r>
          </w:p>
        </w:tc>
      </w:tr>
      <w:tr w:rsidR="00E93F58" w:rsidRPr="00576D60" w14:paraId="1FE6F64A" w14:textId="77777777" w:rsidTr="002F32E3">
        <w:trPr>
          <w:cantSplit/>
        </w:trPr>
        <w:tc>
          <w:tcPr>
            <w:tcW w:w="1500" w:type="pct"/>
            <w:shd w:val="clear" w:color="auto" w:fill="auto"/>
          </w:tcPr>
          <w:p w14:paraId="7A3581F8" w14:textId="77777777" w:rsidR="00E93F58" w:rsidRPr="00576D60" w:rsidRDefault="00E93F58" w:rsidP="003D2B1E">
            <w:pPr>
              <w:pStyle w:val="ENoteTableText"/>
              <w:tabs>
                <w:tab w:val="left" w:leader="dot" w:pos="2268"/>
              </w:tabs>
            </w:pPr>
            <w:r w:rsidRPr="00576D60">
              <w:t>r. 7.9.80A</w:t>
            </w:r>
            <w:r w:rsidRPr="00576D60">
              <w:tab/>
            </w:r>
          </w:p>
        </w:tc>
        <w:tc>
          <w:tcPr>
            <w:tcW w:w="3500" w:type="pct"/>
            <w:shd w:val="clear" w:color="auto" w:fill="auto"/>
          </w:tcPr>
          <w:p w14:paraId="71C7FAA1" w14:textId="77777777" w:rsidR="00E93F58" w:rsidRPr="00576D60" w:rsidRDefault="00E93F58" w:rsidP="003D2B1E">
            <w:pPr>
              <w:pStyle w:val="ENoteTableText"/>
            </w:pPr>
            <w:r w:rsidRPr="00576D60">
              <w:t>ad. 2002 No. 16</w:t>
            </w:r>
          </w:p>
        </w:tc>
      </w:tr>
      <w:tr w:rsidR="00E93F58" w:rsidRPr="00576D60" w14:paraId="43C2B4D5" w14:textId="77777777" w:rsidTr="002F32E3">
        <w:trPr>
          <w:cantSplit/>
        </w:trPr>
        <w:tc>
          <w:tcPr>
            <w:tcW w:w="1500" w:type="pct"/>
            <w:shd w:val="clear" w:color="auto" w:fill="auto"/>
          </w:tcPr>
          <w:p w14:paraId="7A833BD6" w14:textId="77777777" w:rsidR="00E93F58" w:rsidRPr="00576D60" w:rsidRDefault="00E93F58" w:rsidP="003D2B1E">
            <w:pPr>
              <w:pStyle w:val="ENoteTableText"/>
            </w:pPr>
          </w:p>
        </w:tc>
        <w:tc>
          <w:tcPr>
            <w:tcW w:w="3500" w:type="pct"/>
            <w:shd w:val="clear" w:color="auto" w:fill="auto"/>
          </w:tcPr>
          <w:p w14:paraId="179B8179" w14:textId="77777777" w:rsidR="00E93F58" w:rsidRPr="00576D60" w:rsidRDefault="00E93F58" w:rsidP="003D2B1E">
            <w:pPr>
              <w:pStyle w:val="ENoteTableText"/>
            </w:pPr>
            <w:r w:rsidRPr="00576D60">
              <w:t>rep. 2009 No. 12</w:t>
            </w:r>
          </w:p>
        </w:tc>
      </w:tr>
      <w:tr w:rsidR="00E93F58" w:rsidRPr="00576D60" w14:paraId="73687641" w14:textId="77777777" w:rsidTr="002F32E3">
        <w:trPr>
          <w:cantSplit/>
        </w:trPr>
        <w:tc>
          <w:tcPr>
            <w:tcW w:w="1500" w:type="pct"/>
            <w:shd w:val="clear" w:color="auto" w:fill="auto"/>
          </w:tcPr>
          <w:p w14:paraId="1FA019DC" w14:textId="77777777" w:rsidR="00E93F58" w:rsidRPr="00576D60" w:rsidRDefault="00E93F58" w:rsidP="003D2B1E">
            <w:pPr>
              <w:pStyle w:val="ENoteTableText"/>
              <w:tabs>
                <w:tab w:val="left" w:leader="dot" w:pos="2268"/>
              </w:tabs>
            </w:pPr>
            <w:r w:rsidRPr="00576D60">
              <w:t>r 7.9.80B</w:t>
            </w:r>
            <w:r w:rsidRPr="00576D60">
              <w:tab/>
            </w:r>
          </w:p>
        </w:tc>
        <w:tc>
          <w:tcPr>
            <w:tcW w:w="3500" w:type="pct"/>
            <w:shd w:val="clear" w:color="auto" w:fill="auto"/>
          </w:tcPr>
          <w:p w14:paraId="5C0CD587" w14:textId="77777777" w:rsidR="00E93F58" w:rsidRPr="00576D60" w:rsidRDefault="00E93F58" w:rsidP="003D2B1E">
            <w:pPr>
              <w:pStyle w:val="ENoteTableText"/>
            </w:pPr>
            <w:r w:rsidRPr="00576D60">
              <w:t>ad</w:t>
            </w:r>
            <w:r>
              <w:t xml:space="preserve"> No 282, 2003</w:t>
            </w:r>
          </w:p>
        </w:tc>
      </w:tr>
      <w:tr w:rsidR="00E93F58" w:rsidRPr="00576D60" w14:paraId="051689E7" w14:textId="77777777" w:rsidTr="002F32E3">
        <w:trPr>
          <w:cantSplit/>
        </w:trPr>
        <w:tc>
          <w:tcPr>
            <w:tcW w:w="1500" w:type="pct"/>
            <w:shd w:val="clear" w:color="auto" w:fill="auto"/>
          </w:tcPr>
          <w:p w14:paraId="098D9021" w14:textId="77777777" w:rsidR="00E93F58" w:rsidRPr="00576D60" w:rsidRDefault="00E93F58" w:rsidP="003D2B1E">
            <w:pPr>
              <w:pStyle w:val="ENoteTableText"/>
              <w:tabs>
                <w:tab w:val="left" w:leader="dot" w:pos="2268"/>
              </w:tabs>
            </w:pPr>
          </w:p>
        </w:tc>
        <w:tc>
          <w:tcPr>
            <w:tcW w:w="3500" w:type="pct"/>
            <w:shd w:val="clear" w:color="auto" w:fill="auto"/>
          </w:tcPr>
          <w:p w14:paraId="16DF06DA" w14:textId="77777777" w:rsidR="00E93F58" w:rsidRPr="00576D60" w:rsidRDefault="00E93F58" w:rsidP="003D2B1E">
            <w:pPr>
              <w:pStyle w:val="ENoteTableText"/>
            </w:pPr>
            <w:r>
              <w:t>am F2023L01458</w:t>
            </w:r>
          </w:p>
        </w:tc>
      </w:tr>
      <w:tr w:rsidR="00E93F58" w:rsidRPr="00576D60" w14:paraId="1540C376" w14:textId="77777777" w:rsidTr="002F32E3">
        <w:trPr>
          <w:cantSplit/>
        </w:trPr>
        <w:tc>
          <w:tcPr>
            <w:tcW w:w="1500" w:type="pct"/>
            <w:shd w:val="clear" w:color="auto" w:fill="auto"/>
          </w:tcPr>
          <w:p w14:paraId="4CB518F1" w14:textId="77777777" w:rsidR="00E93F58" w:rsidRPr="00576D60" w:rsidRDefault="00E93F58" w:rsidP="003D2B1E">
            <w:pPr>
              <w:pStyle w:val="ENoteTableText"/>
              <w:tabs>
                <w:tab w:val="left" w:leader="dot" w:pos="2268"/>
              </w:tabs>
            </w:pPr>
            <w:r w:rsidRPr="00576D60">
              <w:t>r. 7.9.80C</w:t>
            </w:r>
            <w:r w:rsidRPr="00576D60">
              <w:tab/>
            </w:r>
          </w:p>
        </w:tc>
        <w:tc>
          <w:tcPr>
            <w:tcW w:w="3500" w:type="pct"/>
            <w:shd w:val="clear" w:color="auto" w:fill="auto"/>
          </w:tcPr>
          <w:p w14:paraId="5A8AADF7" w14:textId="77777777" w:rsidR="00E93F58" w:rsidRPr="00576D60" w:rsidRDefault="00E93F58" w:rsidP="003D2B1E">
            <w:pPr>
              <w:pStyle w:val="ENoteTableText"/>
            </w:pPr>
            <w:r w:rsidRPr="00576D60">
              <w:t>ad. 2003 No. 368</w:t>
            </w:r>
          </w:p>
        </w:tc>
      </w:tr>
      <w:tr w:rsidR="00E93F58" w:rsidRPr="00576D60" w14:paraId="58AEBF67" w14:textId="77777777" w:rsidTr="002F32E3">
        <w:trPr>
          <w:cantSplit/>
        </w:trPr>
        <w:tc>
          <w:tcPr>
            <w:tcW w:w="1500" w:type="pct"/>
            <w:shd w:val="clear" w:color="auto" w:fill="auto"/>
          </w:tcPr>
          <w:p w14:paraId="70973A77" w14:textId="77777777" w:rsidR="00E93F58" w:rsidRPr="00576D60" w:rsidRDefault="00E93F58" w:rsidP="003D2B1E">
            <w:pPr>
              <w:pStyle w:val="ENoteTableText"/>
            </w:pPr>
          </w:p>
        </w:tc>
        <w:tc>
          <w:tcPr>
            <w:tcW w:w="3500" w:type="pct"/>
            <w:shd w:val="clear" w:color="auto" w:fill="auto"/>
          </w:tcPr>
          <w:p w14:paraId="74AAD4B3" w14:textId="77777777" w:rsidR="00E93F58" w:rsidRPr="00576D60" w:rsidRDefault="00E93F58" w:rsidP="003D2B1E">
            <w:pPr>
              <w:pStyle w:val="ENoteTableText"/>
            </w:pPr>
            <w:r w:rsidRPr="00576D60">
              <w:t>rep. 2005 No. 324</w:t>
            </w:r>
          </w:p>
        </w:tc>
      </w:tr>
      <w:tr w:rsidR="00E93F58" w:rsidRPr="00576D60" w14:paraId="28D9512A" w14:textId="77777777" w:rsidTr="002F32E3">
        <w:trPr>
          <w:cantSplit/>
        </w:trPr>
        <w:tc>
          <w:tcPr>
            <w:tcW w:w="1500" w:type="pct"/>
            <w:shd w:val="clear" w:color="auto" w:fill="auto"/>
          </w:tcPr>
          <w:p w14:paraId="42F1AD4E" w14:textId="77777777" w:rsidR="00E93F58" w:rsidRPr="00576D60" w:rsidRDefault="00E93F58" w:rsidP="003D2B1E">
            <w:pPr>
              <w:pStyle w:val="ENoteTableText"/>
              <w:tabs>
                <w:tab w:val="left" w:leader="dot" w:pos="2268"/>
              </w:tabs>
            </w:pPr>
            <w:r w:rsidRPr="00576D60">
              <w:t>r. 7.9.80D</w:t>
            </w:r>
            <w:r w:rsidRPr="00576D60">
              <w:tab/>
            </w:r>
          </w:p>
        </w:tc>
        <w:tc>
          <w:tcPr>
            <w:tcW w:w="3500" w:type="pct"/>
            <w:shd w:val="clear" w:color="auto" w:fill="auto"/>
          </w:tcPr>
          <w:p w14:paraId="4C926FD6" w14:textId="77777777" w:rsidR="00E93F58" w:rsidRPr="00576D60" w:rsidRDefault="00E93F58" w:rsidP="003D2B1E">
            <w:pPr>
              <w:pStyle w:val="ENoteTableText"/>
            </w:pPr>
            <w:r w:rsidRPr="00576D60">
              <w:t>ad. 2003 No. 368</w:t>
            </w:r>
          </w:p>
        </w:tc>
      </w:tr>
      <w:tr w:rsidR="00E93F58" w:rsidRPr="00576D60" w14:paraId="1E0C8ECC" w14:textId="77777777" w:rsidTr="002F32E3">
        <w:trPr>
          <w:cantSplit/>
        </w:trPr>
        <w:tc>
          <w:tcPr>
            <w:tcW w:w="1500" w:type="pct"/>
            <w:shd w:val="clear" w:color="auto" w:fill="auto"/>
          </w:tcPr>
          <w:p w14:paraId="340B8BBB" w14:textId="77777777" w:rsidR="00E93F58" w:rsidRPr="00576D60" w:rsidRDefault="00E93F58" w:rsidP="003D2B1E">
            <w:pPr>
              <w:pStyle w:val="ENoteTableText"/>
            </w:pPr>
          </w:p>
        </w:tc>
        <w:tc>
          <w:tcPr>
            <w:tcW w:w="3500" w:type="pct"/>
            <w:shd w:val="clear" w:color="auto" w:fill="auto"/>
          </w:tcPr>
          <w:p w14:paraId="39FC45BF" w14:textId="77777777" w:rsidR="00E93F58" w:rsidRPr="00576D60" w:rsidRDefault="00E93F58" w:rsidP="003D2B1E">
            <w:pPr>
              <w:pStyle w:val="ENoteTableText"/>
            </w:pPr>
            <w:r w:rsidRPr="00576D60">
              <w:t>rep. 2005 No. 324</w:t>
            </w:r>
          </w:p>
        </w:tc>
      </w:tr>
      <w:tr w:rsidR="00E93F58" w:rsidRPr="00576D60" w14:paraId="27665B1B" w14:textId="77777777" w:rsidTr="002F32E3">
        <w:trPr>
          <w:cantSplit/>
        </w:trPr>
        <w:tc>
          <w:tcPr>
            <w:tcW w:w="1500" w:type="pct"/>
            <w:shd w:val="clear" w:color="auto" w:fill="auto"/>
          </w:tcPr>
          <w:p w14:paraId="62CEFCDA" w14:textId="77777777" w:rsidR="00E93F58" w:rsidRPr="00576D60" w:rsidRDefault="00E93F58" w:rsidP="003D2B1E">
            <w:pPr>
              <w:pStyle w:val="ENoteTableText"/>
              <w:keepNext/>
              <w:tabs>
                <w:tab w:val="left" w:leader="dot" w:pos="2268"/>
              </w:tabs>
              <w:rPr>
                <w:b/>
              </w:rPr>
            </w:pPr>
            <w:r w:rsidRPr="00576D60">
              <w:rPr>
                <w:b/>
              </w:rPr>
              <w:t>Division 9</w:t>
            </w:r>
          </w:p>
        </w:tc>
        <w:tc>
          <w:tcPr>
            <w:tcW w:w="3500" w:type="pct"/>
            <w:shd w:val="clear" w:color="auto" w:fill="auto"/>
          </w:tcPr>
          <w:p w14:paraId="39C721BE" w14:textId="77777777" w:rsidR="00E93F58" w:rsidRPr="00576D60" w:rsidRDefault="00E93F58" w:rsidP="003D2B1E">
            <w:pPr>
              <w:pStyle w:val="ENoteTableText"/>
            </w:pPr>
          </w:p>
        </w:tc>
      </w:tr>
      <w:tr w:rsidR="00E93F58" w:rsidRPr="00576D60" w14:paraId="276F7155" w14:textId="77777777" w:rsidTr="002F32E3">
        <w:trPr>
          <w:cantSplit/>
        </w:trPr>
        <w:tc>
          <w:tcPr>
            <w:tcW w:w="1500" w:type="pct"/>
            <w:shd w:val="clear" w:color="auto" w:fill="auto"/>
          </w:tcPr>
          <w:p w14:paraId="1CC1CF90" w14:textId="77777777" w:rsidR="00E93F58" w:rsidRPr="00576D60" w:rsidRDefault="00E93F58" w:rsidP="003D2B1E">
            <w:pPr>
              <w:pStyle w:val="ENoteTableText"/>
              <w:tabs>
                <w:tab w:val="left" w:leader="dot" w:pos="2268"/>
              </w:tabs>
            </w:pPr>
            <w:r w:rsidRPr="00576D60">
              <w:t>Division 9</w:t>
            </w:r>
            <w:r w:rsidRPr="00576D60">
              <w:tab/>
            </w:r>
          </w:p>
        </w:tc>
        <w:tc>
          <w:tcPr>
            <w:tcW w:w="3500" w:type="pct"/>
            <w:shd w:val="clear" w:color="auto" w:fill="auto"/>
          </w:tcPr>
          <w:p w14:paraId="524475FE" w14:textId="77777777" w:rsidR="00E93F58" w:rsidRPr="00576D60" w:rsidRDefault="00E93F58" w:rsidP="003D2B1E">
            <w:pPr>
              <w:pStyle w:val="ENoteTableText"/>
            </w:pPr>
            <w:r w:rsidRPr="00576D60">
              <w:t>ad. 2002 No. 16</w:t>
            </w:r>
          </w:p>
        </w:tc>
      </w:tr>
      <w:tr w:rsidR="00E93F58" w:rsidRPr="00576D60" w14:paraId="5DADFBFF" w14:textId="77777777" w:rsidTr="002F32E3">
        <w:trPr>
          <w:cantSplit/>
        </w:trPr>
        <w:tc>
          <w:tcPr>
            <w:tcW w:w="1500" w:type="pct"/>
            <w:shd w:val="clear" w:color="auto" w:fill="auto"/>
          </w:tcPr>
          <w:p w14:paraId="795B9E78" w14:textId="77777777" w:rsidR="00E93F58" w:rsidRPr="00576D60" w:rsidRDefault="00E93F58" w:rsidP="003D2B1E">
            <w:pPr>
              <w:pStyle w:val="ENoteTableText"/>
              <w:tabs>
                <w:tab w:val="left" w:leader="dot" w:pos="2268"/>
              </w:tabs>
            </w:pPr>
            <w:r w:rsidRPr="00576D60">
              <w:t>r. 7.9.81</w:t>
            </w:r>
            <w:r w:rsidRPr="00576D60">
              <w:tab/>
            </w:r>
          </w:p>
        </w:tc>
        <w:tc>
          <w:tcPr>
            <w:tcW w:w="3500" w:type="pct"/>
            <w:shd w:val="clear" w:color="auto" w:fill="auto"/>
          </w:tcPr>
          <w:p w14:paraId="4ADB6491" w14:textId="77777777" w:rsidR="00E93F58" w:rsidRPr="00576D60" w:rsidRDefault="00E93F58" w:rsidP="003D2B1E">
            <w:pPr>
              <w:pStyle w:val="ENoteTableText"/>
            </w:pPr>
            <w:r w:rsidRPr="00576D60">
              <w:t>ad. 2002 No. 16</w:t>
            </w:r>
          </w:p>
        </w:tc>
      </w:tr>
      <w:tr w:rsidR="00E93F58" w:rsidRPr="00576D60" w14:paraId="36875AF9" w14:textId="77777777" w:rsidTr="002F32E3">
        <w:trPr>
          <w:cantSplit/>
        </w:trPr>
        <w:tc>
          <w:tcPr>
            <w:tcW w:w="1500" w:type="pct"/>
            <w:shd w:val="clear" w:color="auto" w:fill="auto"/>
          </w:tcPr>
          <w:p w14:paraId="76A93FFF" w14:textId="77777777" w:rsidR="00E93F58" w:rsidRPr="00576D60" w:rsidRDefault="00E93F58" w:rsidP="003D2B1E">
            <w:pPr>
              <w:pStyle w:val="ENoteTableText"/>
              <w:tabs>
                <w:tab w:val="left" w:leader="dot" w:pos="2268"/>
              </w:tabs>
            </w:pPr>
            <w:r w:rsidRPr="00576D60">
              <w:t>r. 7.9.82</w:t>
            </w:r>
            <w:r w:rsidRPr="00576D60">
              <w:tab/>
            </w:r>
          </w:p>
        </w:tc>
        <w:tc>
          <w:tcPr>
            <w:tcW w:w="3500" w:type="pct"/>
            <w:shd w:val="clear" w:color="auto" w:fill="auto"/>
          </w:tcPr>
          <w:p w14:paraId="56091C16" w14:textId="77777777" w:rsidR="00E93F58" w:rsidRPr="00576D60" w:rsidRDefault="00E93F58" w:rsidP="003D2B1E">
            <w:pPr>
              <w:pStyle w:val="ENoteTableText"/>
            </w:pPr>
            <w:r w:rsidRPr="00576D60">
              <w:t>ad. 2002 No. 16</w:t>
            </w:r>
          </w:p>
        </w:tc>
      </w:tr>
      <w:tr w:rsidR="00E93F58" w:rsidRPr="00576D60" w14:paraId="1FAD7581" w14:textId="77777777" w:rsidTr="002F32E3">
        <w:trPr>
          <w:cantSplit/>
        </w:trPr>
        <w:tc>
          <w:tcPr>
            <w:tcW w:w="1500" w:type="pct"/>
            <w:shd w:val="clear" w:color="auto" w:fill="auto"/>
          </w:tcPr>
          <w:p w14:paraId="01B9DA47" w14:textId="77777777" w:rsidR="00E93F58" w:rsidRPr="00576D60" w:rsidRDefault="00E93F58" w:rsidP="003D2B1E">
            <w:pPr>
              <w:pStyle w:val="ENoteTableText"/>
              <w:tabs>
                <w:tab w:val="left" w:leader="dot" w:pos="2268"/>
              </w:tabs>
            </w:pPr>
            <w:r w:rsidRPr="00576D60">
              <w:t>Division 10</w:t>
            </w:r>
            <w:r w:rsidRPr="00576D60">
              <w:tab/>
            </w:r>
          </w:p>
        </w:tc>
        <w:tc>
          <w:tcPr>
            <w:tcW w:w="3500" w:type="pct"/>
            <w:shd w:val="clear" w:color="auto" w:fill="auto"/>
          </w:tcPr>
          <w:p w14:paraId="51F784C6" w14:textId="77777777" w:rsidR="00E93F58" w:rsidRPr="00576D60" w:rsidRDefault="00E93F58" w:rsidP="003D2B1E">
            <w:pPr>
              <w:pStyle w:val="ENoteTableText"/>
            </w:pPr>
            <w:r w:rsidRPr="00576D60">
              <w:t>ad. 2002 No. 16</w:t>
            </w:r>
          </w:p>
        </w:tc>
      </w:tr>
      <w:tr w:rsidR="00E93F58" w:rsidRPr="00576D60" w14:paraId="1784A554" w14:textId="77777777" w:rsidTr="002F32E3">
        <w:trPr>
          <w:cantSplit/>
        </w:trPr>
        <w:tc>
          <w:tcPr>
            <w:tcW w:w="1500" w:type="pct"/>
            <w:shd w:val="clear" w:color="auto" w:fill="auto"/>
          </w:tcPr>
          <w:p w14:paraId="5C818A9D" w14:textId="77777777" w:rsidR="00E93F58" w:rsidRPr="00576D60" w:rsidRDefault="00E93F58" w:rsidP="003D2B1E">
            <w:pPr>
              <w:pStyle w:val="ENoteTableText"/>
            </w:pPr>
          </w:p>
        </w:tc>
        <w:tc>
          <w:tcPr>
            <w:tcW w:w="3500" w:type="pct"/>
            <w:shd w:val="clear" w:color="auto" w:fill="auto"/>
          </w:tcPr>
          <w:p w14:paraId="70AF7E13" w14:textId="77777777" w:rsidR="00E93F58" w:rsidRPr="00576D60" w:rsidRDefault="00E93F58" w:rsidP="003D2B1E">
            <w:pPr>
              <w:pStyle w:val="ENoteTableText"/>
            </w:pPr>
            <w:r w:rsidRPr="00576D60">
              <w:t>rep. 2003 No. 369</w:t>
            </w:r>
          </w:p>
        </w:tc>
      </w:tr>
      <w:tr w:rsidR="00E93F58" w:rsidRPr="00576D60" w14:paraId="3D9D43BD" w14:textId="77777777" w:rsidTr="002F32E3">
        <w:trPr>
          <w:cantSplit/>
        </w:trPr>
        <w:tc>
          <w:tcPr>
            <w:tcW w:w="1500" w:type="pct"/>
            <w:shd w:val="clear" w:color="auto" w:fill="auto"/>
          </w:tcPr>
          <w:p w14:paraId="56C735E5" w14:textId="77777777" w:rsidR="00E93F58" w:rsidRPr="00576D60" w:rsidRDefault="00E93F58" w:rsidP="003D2B1E">
            <w:pPr>
              <w:pStyle w:val="ENoteTableText"/>
              <w:tabs>
                <w:tab w:val="left" w:leader="dot" w:pos="2268"/>
              </w:tabs>
            </w:pPr>
            <w:r w:rsidRPr="00576D60">
              <w:t>r. 7.9.83</w:t>
            </w:r>
            <w:r w:rsidRPr="00576D60">
              <w:tab/>
            </w:r>
          </w:p>
        </w:tc>
        <w:tc>
          <w:tcPr>
            <w:tcW w:w="3500" w:type="pct"/>
            <w:shd w:val="clear" w:color="auto" w:fill="auto"/>
          </w:tcPr>
          <w:p w14:paraId="336B7CBE" w14:textId="77777777" w:rsidR="00E93F58" w:rsidRPr="00576D60" w:rsidRDefault="00E93F58" w:rsidP="003D2B1E">
            <w:pPr>
              <w:pStyle w:val="ENoteTableText"/>
            </w:pPr>
            <w:r w:rsidRPr="00576D60">
              <w:t>ad. 2002 No. 16</w:t>
            </w:r>
          </w:p>
        </w:tc>
      </w:tr>
      <w:tr w:rsidR="00E93F58" w:rsidRPr="00576D60" w14:paraId="5E9A5483" w14:textId="77777777" w:rsidTr="002F32E3">
        <w:trPr>
          <w:cantSplit/>
        </w:trPr>
        <w:tc>
          <w:tcPr>
            <w:tcW w:w="1500" w:type="pct"/>
            <w:shd w:val="clear" w:color="auto" w:fill="auto"/>
          </w:tcPr>
          <w:p w14:paraId="553C84C6" w14:textId="77777777" w:rsidR="00E93F58" w:rsidRPr="00576D60" w:rsidRDefault="00E93F58" w:rsidP="003D2B1E">
            <w:pPr>
              <w:pStyle w:val="ENoteTableText"/>
            </w:pPr>
          </w:p>
        </w:tc>
        <w:tc>
          <w:tcPr>
            <w:tcW w:w="3500" w:type="pct"/>
            <w:shd w:val="clear" w:color="auto" w:fill="auto"/>
          </w:tcPr>
          <w:p w14:paraId="0DBE74FA" w14:textId="77777777" w:rsidR="00E93F58" w:rsidRPr="00576D60" w:rsidRDefault="00E93F58" w:rsidP="003D2B1E">
            <w:pPr>
              <w:pStyle w:val="ENoteTableText"/>
            </w:pPr>
            <w:r w:rsidRPr="00576D60">
              <w:t>rep. 2003 No. 369</w:t>
            </w:r>
          </w:p>
        </w:tc>
      </w:tr>
      <w:tr w:rsidR="00E93F58" w:rsidRPr="00576D60" w14:paraId="66BE23E9" w14:textId="77777777" w:rsidTr="002F32E3">
        <w:trPr>
          <w:cantSplit/>
        </w:trPr>
        <w:tc>
          <w:tcPr>
            <w:tcW w:w="1500" w:type="pct"/>
            <w:shd w:val="clear" w:color="auto" w:fill="auto"/>
          </w:tcPr>
          <w:p w14:paraId="61A9208C" w14:textId="77777777" w:rsidR="00E93F58" w:rsidRPr="00576D60" w:rsidRDefault="00E93F58" w:rsidP="003D2B1E">
            <w:pPr>
              <w:pStyle w:val="ENoteTableText"/>
              <w:keepNext/>
              <w:tabs>
                <w:tab w:val="left" w:leader="dot" w:pos="2268"/>
              </w:tabs>
              <w:rPr>
                <w:b/>
              </w:rPr>
            </w:pPr>
            <w:r w:rsidRPr="00576D60">
              <w:rPr>
                <w:b/>
              </w:rPr>
              <w:t>Division 11</w:t>
            </w:r>
          </w:p>
        </w:tc>
        <w:tc>
          <w:tcPr>
            <w:tcW w:w="3500" w:type="pct"/>
            <w:shd w:val="clear" w:color="auto" w:fill="auto"/>
          </w:tcPr>
          <w:p w14:paraId="30527779" w14:textId="77777777" w:rsidR="00E93F58" w:rsidRPr="00576D60" w:rsidRDefault="00E93F58" w:rsidP="003D2B1E">
            <w:pPr>
              <w:pStyle w:val="ENoteTableText"/>
              <w:keepNext/>
            </w:pPr>
          </w:p>
        </w:tc>
      </w:tr>
      <w:tr w:rsidR="00E93F58" w:rsidRPr="00576D60" w14:paraId="6DB8BA7C" w14:textId="77777777" w:rsidTr="002F32E3">
        <w:trPr>
          <w:cantSplit/>
        </w:trPr>
        <w:tc>
          <w:tcPr>
            <w:tcW w:w="1500" w:type="pct"/>
            <w:shd w:val="clear" w:color="auto" w:fill="auto"/>
          </w:tcPr>
          <w:p w14:paraId="2774A260" w14:textId="77777777" w:rsidR="00E93F58" w:rsidRPr="00576D60" w:rsidRDefault="00E93F58" w:rsidP="003D2B1E">
            <w:pPr>
              <w:pStyle w:val="ENoteTableText"/>
              <w:tabs>
                <w:tab w:val="left" w:leader="dot" w:pos="2268"/>
              </w:tabs>
            </w:pPr>
            <w:r w:rsidRPr="00576D60">
              <w:t>Division 11</w:t>
            </w:r>
            <w:r w:rsidRPr="00576D60">
              <w:tab/>
            </w:r>
          </w:p>
        </w:tc>
        <w:tc>
          <w:tcPr>
            <w:tcW w:w="3500" w:type="pct"/>
            <w:shd w:val="clear" w:color="auto" w:fill="auto"/>
          </w:tcPr>
          <w:p w14:paraId="4085F299" w14:textId="77777777" w:rsidR="00E93F58" w:rsidRPr="00576D60" w:rsidRDefault="00E93F58" w:rsidP="003D2B1E">
            <w:pPr>
              <w:pStyle w:val="ENoteTableText"/>
            </w:pPr>
            <w:r w:rsidRPr="00576D60">
              <w:t>ad. 2002 No. 16</w:t>
            </w:r>
          </w:p>
        </w:tc>
      </w:tr>
      <w:tr w:rsidR="00E93F58" w:rsidRPr="00576D60" w14:paraId="207DDB1E" w14:textId="77777777" w:rsidTr="002F32E3">
        <w:trPr>
          <w:cantSplit/>
        </w:trPr>
        <w:tc>
          <w:tcPr>
            <w:tcW w:w="1500" w:type="pct"/>
            <w:shd w:val="clear" w:color="auto" w:fill="auto"/>
          </w:tcPr>
          <w:p w14:paraId="62D71E42" w14:textId="77777777" w:rsidR="00E93F58" w:rsidRPr="00576D60" w:rsidRDefault="00E93F58" w:rsidP="003D2B1E">
            <w:pPr>
              <w:pStyle w:val="ENoteTableText"/>
              <w:tabs>
                <w:tab w:val="left" w:leader="dot" w:pos="2268"/>
              </w:tabs>
            </w:pPr>
            <w:r w:rsidRPr="00576D60">
              <w:t>r 7.9.84</w:t>
            </w:r>
            <w:r w:rsidRPr="00576D60">
              <w:tab/>
            </w:r>
          </w:p>
        </w:tc>
        <w:tc>
          <w:tcPr>
            <w:tcW w:w="3500" w:type="pct"/>
            <w:shd w:val="clear" w:color="auto" w:fill="auto"/>
          </w:tcPr>
          <w:p w14:paraId="71B0A383" w14:textId="77777777" w:rsidR="00E93F58" w:rsidRPr="00576D60" w:rsidRDefault="00E93F58" w:rsidP="003D2B1E">
            <w:pPr>
              <w:pStyle w:val="ENoteTableText"/>
            </w:pPr>
            <w:r w:rsidRPr="00576D60">
              <w:t>ad 2002 No 16</w:t>
            </w:r>
          </w:p>
        </w:tc>
      </w:tr>
      <w:tr w:rsidR="00E93F58" w:rsidRPr="00576D60" w14:paraId="401C99A2" w14:textId="77777777" w:rsidTr="002F32E3">
        <w:trPr>
          <w:cantSplit/>
        </w:trPr>
        <w:tc>
          <w:tcPr>
            <w:tcW w:w="1500" w:type="pct"/>
            <w:shd w:val="clear" w:color="auto" w:fill="auto"/>
          </w:tcPr>
          <w:p w14:paraId="174BD190" w14:textId="77777777" w:rsidR="00E93F58" w:rsidRPr="00576D60" w:rsidRDefault="00E93F58" w:rsidP="003D2B1E">
            <w:pPr>
              <w:pStyle w:val="ENoteTableText"/>
              <w:tabs>
                <w:tab w:val="left" w:leader="dot" w:pos="2268"/>
              </w:tabs>
            </w:pPr>
          </w:p>
        </w:tc>
        <w:tc>
          <w:tcPr>
            <w:tcW w:w="3500" w:type="pct"/>
            <w:shd w:val="clear" w:color="auto" w:fill="auto"/>
          </w:tcPr>
          <w:p w14:paraId="52B3359D" w14:textId="77777777" w:rsidR="00E93F58" w:rsidRPr="00576D60" w:rsidRDefault="00E93F58" w:rsidP="003D2B1E">
            <w:pPr>
              <w:pStyle w:val="ENoteTableText"/>
            </w:pPr>
            <w:r w:rsidRPr="00576D60">
              <w:t>am F2020L01610</w:t>
            </w:r>
          </w:p>
        </w:tc>
      </w:tr>
      <w:tr w:rsidR="00E93F58" w:rsidRPr="00576D60" w14:paraId="7608EEAB" w14:textId="77777777" w:rsidTr="002F32E3">
        <w:trPr>
          <w:cantSplit/>
        </w:trPr>
        <w:tc>
          <w:tcPr>
            <w:tcW w:w="1500" w:type="pct"/>
            <w:shd w:val="clear" w:color="auto" w:fill="auto"/>
          </w:tcPr>
          <w:p w14:paraId="243EAE46" w14:textId="77777777" w:rsidR="00E93F58" w:rsidRPr="00576D60" w:rsidRDefault="00E93F58" w:rsidP="003D2B1E">
            <w:pPr>
              <w:pStyle w:val="ENoteTableText"/>
              <w:tabs>
                <w:tab w:val="left" w:leader="dot" w:pos="2268"/>
              </w:tabs>
            </w:pPr>
            <w:r w:rsidRPr="00576D60">
              <w:t>r. 7.9.85</w:t>
            </w:r>
            <w:r w:rsidRPr="00576D60">
              <w:tab/>
            </w:r>
          </w:p>
        </w:tc>
        <w:tc>
          <w:tcPr>
            <w:tcW w:w="3500" w:type="pct"/>
            <w:shd w:val="clear" w:color="auto" w:fill="auto"/>
          </w:tcPr>
          <w:p w14:paraId="13B085C7" w14:textId="77777777" w:rsidR="00E93F58" w:rsidRPr="00576D60" w:rsidRDefault="00E93F58" w:rsidP="003D2B1E">
            <w:pPr>
              <w:pStyle w:val="ENoteTableText"/>
            </w:pPr>
            <w:r w:rsidRPr="00576D60">
              <w:t>ad. 2002 No. 16</w:t>
            </w:r>
          </w:p>
        </w:tc>
      </w:tr>
      <w:tr w:rsidR="00E93F58" w:rsidRPr="00576D60" w14:paraId="689D2600" w14:textId="77777777" w:rsidTr="002F32E3">
        <w:trPr>
          <w:cantSplit/>
        </w:trPr>
        <w:tc>
          <w:tcPr>
            <w:tcW w:w="1500" w:type="pct"/>
            <w:shd w:val="clear" w:color="auto" w:fill="auto"/>
          </w:tcPr>
          <w:p w14:paraId="4FB90BFC" w14:textId="77777777" w:rsidR="00E93F58" w:rsidRPr="00576D60" w:rsidRDefault="00E93F58" w:rsidP="003D2B1E">
            <w:pPr>
              <w:pStyle w:val="ENoteTableText"/>
              <w:tabs>
                <w:tab w:val="left" w:leader="dot" w:pos="2268"/>
              </w:tabs>
            </w:pPr>
            <w:r w:rsidRPr="00576D60">
              <w:t>r 7.9.86</w:t>
            </w:r>
            <w:r w:rsidRPr="00576D60">
              <w:tab/>
            </w:r>
          </w:p>
        </w:tc>
        <w:tc>
          <w:tcPr>
            <w:tcW w:w="3500" w:type="pct"/>
            <w:shd w:val="clear" w:color="auto" w:fill="auto"/>
          </w:tcPr>
          <w:p w14:paraId="090D91C0" w14:textId="77777777" w:rsidR="00E93F58" w:rsidRPr="00576D60" w:rsidRDefault="00E93F58" w:rsidP="003D2B1E">
            <w:pPr>
              <w:pStyle w:val="ENoteTableText"/>
            </w:pPr>
            <w:r w:rsidRPr="00576D60">
              <w:t>ad</w:t>
            </w:r>
            <w:r>
              <w:t xml:space="preserve"> No 16, 2002</w:t>
            </w:r>
          </w:p>
        </w:tc>
      </w:tr>
      <w:tr w:rsidR="00E93F58" w:rsidRPr="00576D60" w14:paraId="57055A46" w14:textId="77777777" w:rsidTr="002F32E3">
        <w:trPr>
          <w:cantSplit/>
        </w:trPr>
        <w:tc>
          <w:tcPr>
            <w:tcW w:w="1500" w:type="pct"/>
            <w:shd w:val="clear" w:color="auto" w:fill="auto"/>
          </w:tcPr>
          <w:p w14:paraId="6FC7B121" w14:textId="77777777" w:rsidR="00E93F58" w:rsidRPr="00576D60" w:rsidRDefault="00E93F58" w:rsidP="003D2B1E">
            <w:pPr>
              <w:pStyle w:val="ENoteTableText"/>
              <w:tabs>
                <w:tab w:val="left" w:leader="dot" w:pos="2268"/>
              </w:tabs>
            </w:pPr>
          </w:p>
        </w:tc>
        <w:tc>
          <w:tcPr>
            <w:tcW w:w="3500" w:type="pct"/>
            <w:shd w:val="clear" w:color="auto" w:fill="auto"/>
          </w:tcPr>
          <w:p w14:paraId="5AE324BD" w14:textId="77777777" w:rsidR="00E93F58" w:rsidRPr="00576D60" w:rsidRDefault="00E93F58" w:rsidP="003D2B1E">
            <w:pPr>
              <w:pStyle w:val="ENoteTableText"/>
            </w:pPr>
            <w:r>
              <w:t>am F2023L01458</w:t>
            </w:r>
          </w:p>
        </w:tc>
      </w:tr>
      <w:tr w:rsidR="00E93F58" w:rsidRPr="00576D60" w14:paraId="3BB743DA" w14:textId="77777777" w:rsidTr="002F32E3">
        <w:trPr>
          <w:cantSplit/>
        </w:trPr>
        <w:tc>
          <w:tcPr>
            <w:tcW w:w="1500" w:type="pct"/>
            <w:shd w:val="clear" w:color="auto" w:fill="auto"/>
          </w:tcPr>
          <w:p w14:paraId="036513B0" w14:textId="77777777" w:rsidR="00E93F58" w:rsidRPr="00576D60" w:rsidRDefault="00E93F58" w:rsidP="003D2B1E">
            <w:pPr>
              <w:pStyle w:val="ENoteTableText"/>
              <w:tabs>
                <w:tab w:val="left" w:leader="dot" w:pos="2268"/>
              </w:tabs>
            </w:pPr>
            <w:r w:rsidRPr="00576D60">
              <w:t>r. 7.9.87</w:t>
            </w:r>
            <w:r w:rsidRPr="00576D60">
              <w:tab/>
            </w:r>
          </w:p>
        </w:tc>
        <w:tc>
          <w:tcPr>
            <w:tcW w:w="3500" w:type="pct"/>
            <w:shd w:val="clear" w:color="auto" w:fill="auto"/>
          </w:tcPr>
          <w:p w14:paraId="57B0FBC3" w14:textId="77777777" w:rsidR="00E93F58" w:rsidRPr="00576D60" w:rsidRDefault="00E93F58" w:rsidP="003D2B1E">
            <w:pPr>
              <w:pStyle w:val="ENoteTableText"/>
            </w:pPr>
            <w:r w:rsidRPr="00576D60">
              <w:t>ad. 2002 No. 16</w:t>
            </w:r>
          </w:p>
        </w:tc>
      </w:tr>
      <w:tr w:rsidR="00E93F58" w:rsidRPr="00576D60" w14:paraId="562089E1" w14:textId="77777777" w:rsidTr="002F32E3">
        <w:trPr>
          <w:cantSplit/>
        </w:trPr>
        <w:tc>
          <w:tcPr>
            <w:tcW w:w="1500" w:type="pct"/>
            <w:shd w:val="clear" w:color="auto" w:fill="auto"/>
          </w:tcPr>
          <w:p w14:paraId="00B2DE23" w14:textId="77777777" w:rsidR="00E93F58" w:rsidRPr="00576D60" w:rsidRDefault="00E93F58" w:rsidP="003D2B1E">
            <w:pPr>
              <w:pStyle w:val="ENoteTableText"/>
              <w:tabs>
                <w:tab w:val="left" w:leader="dot" w:pos="2268"/>
              </w:tabs>
            </w:pPr>
            <w:r w:rsidRPr="00576D60">
              <w:t>r 7.9.88</w:t>
            </w:r>
            <w:r w:rsidRPr="00576D60">
              <w:tab/>
            </w:r>
          </w:p>
        </w:tc>
        <w:tc>
          <w:tcPr>
            <w:tcW w:w="3500" w:type="pct"/>
            <w:shd w:val="clear" w:color="auto" w:fill="auto"/>
          </w:tcPr>
          <w:p w14:paraId="69009351" w14:textId="77777777" w:rsidR="00E93F58" w:rsidRPr="00576D60" w:rsidRDefault="00E93F58" w:rsidP="003D2B1E">
            <w:pPr>
              <w:pStyle w:val="ENoteTableText"/>
            </w:pPr>
            <w:r w:rsidRPr="00576D60">
              <w:t>ad 2002 No 16</w:t>
            </w:r>
          </w:p>
        </w:tc>
      </w:tr>
      <w:tr w:rsidR="00E93F58" w:rsidRPr="00576D60" w14:paraId="06EADFFE" w14:textId="77777777" w:rsidTr="002F32E3">
        <w:trPr>
          <w:cantSplit/>
        </w:trPr>
        <w:tc>
          <w:tcPr>
            <w:tcW w:w="1500" w:type="pct"/>
            <w:shd w:val="clear" w:color="auto" w:fill="auto"/>
          </w:tcPr>
          <w:p w14:paraId="395660EB" w14:textId="77777777" w:rsidR="00E93F58" w:rsidRPr="00576D60" w:rsidRDefault="00E93F58" w:rsidP="003D2B1E">
            <w:pPr>
              <w:pStyle w:val="ENoteTableText"/>
            </w:pPr>
          </w:p>
        </w:tc>
        <w:tc>
          <w:tcPr>
            <w:tcW w:w="3500" w:type="pct"/>
            <w:shd w:val="clear" w:color="auto" w:fill="auto"/>
          </w:tcPr>
          <w:p w14:paraId="41D0EB97" w14:textId="77777777" w:rsidR="00E93F58" w:rsidRPr="00576D60" w:rsidRDefault="00E93F58" w:rsidP="003D2B1E">
            <w:pPr>
              <w:pStyle w:val="ENoteTableText"/>
            </w:pPr>
            <w:r w:rsidRPr="00576D60">
              <w:t>am 2003 No 368; F2020L01610</w:t>
            </w:r>
          </w:p>
        </w:tc>
      </w:tr>
      <w:tr w:rsidR="00E93F58" w:rsidRPr="00576D60" w14:paraId="4D96DD2F" w14:textId="77777777" w:rsidTr="002F32E3">
        <w:trPr>
          <w:cantSplit/>
        </w:trPr>
        <w:tc>
          <w:tcPr>
            <w:tcW w:w="1500" w:type="pct"/>
            <w:shd w:val="clear" w:color="auto" w:fill="auto"/>
          </w:tcPr>
          <w:p w14:paraId="7B9FC878" w14:textId="77777777" w:rsidR="00E93F58" w:rsidRPr="00576D60" w:rsidRDefault="00E93F58" w:rsidP="003D2B1E">
            <w:pPr>
              <w:pStyle w:val="ENoteTableText"/>
              <w:tabs>
                <w:tab w:val="left" w:leader="dot" w:pos="2268"/>
              </w:tabs>
            </w:pPr>
            <w:r w:rsidRPr="00576D60">
              <w:t>r 7.9.89</w:t>
            </w:r>
            <w:r w:rsidRPr="00576D60">
              <w:tab/>
            </w:r>
          </w:p>
        </w:tc>
        <w:tc>
          <w:tcPr>
            <w:tcW w:w="3500" w:type="pct"/>
            <w:shd w:val="clear" w:color="auto" w:fill="auto"/>
          </w:tcPr>
          <w:p w14:paraId="3BDAA273" w14:textId="77777777" w:rsidR="00E93F58" w:rsidRPr="00576D60" w:rsidRDefault="00E93F58" w:rsidP="003D2B1E">
            <w:pPr>
              <w:pStyle w:val="ENoteTableText"/>
            </w:pPr>
            <w:r w:rsidRPr="00576D60">
              <w:t>ad</w:t>
            </w:r>
            <w:r>
              <w:t xml:space="preserve"> No 16, 2002</w:t>
            </w:r>
          </w:p>
        </w:tc>
      </w:tr>
      <w:tr w:rsidR="00E93F58" w:rsidRPr="00576D60" w14:paraId="013847CF" w14:textId="77777777" w:rsidTr="002F32E3">
        <w:trPr>
          <w:cantSplit/>
        </w:trPr>
        <w:tc>
          <w:tcPr>
            <w:tcW w:w="1500" w:type="pct"/>
            <w:shd w:val="clear" w:color="auto" w:fill="auto"/>
          </w:tcPr>
          <w:p w14:paraId="2FB031E3" w14:textId="77777777" w:rsidR="00E93F58" w:rsidRPr="00576D60" w:rsidRDefault="00E93F58" w:rsidP="003D2B1E">
            <w:pPr>
              <w:pStyle w:val="ENoteTableText"/>
            </w:pPr>
          </w:p>
        </w:tc>
        <w:tc>
          <w:tcPr>
            <w:tcW w:w="3500" w:type="pct"/>
            <w:shd w:val="clear" w:color="auto" w:fill="auto"/>
          </w:tcPr>
          <w:p w14:paraId="157694D4" w14:textId="77777777" w:rsidR="00E93F58" w:rsidRPr="00576D60" w:rsidRDefault="00E93F58" w:rsidP="003D2B1E">
            <w:pPr>
              <w:pStyle w:val="ENoteTableText"/>
            </w:pPr>
            <w:r w:rsidRPr="00576D60">
              <w:t>am</w:t>
            </w:r>
            <w:r>
              <w:t xml:space="preserve"> No 368, 2003; F2023L01458</w:t>
            </w:r>
          </w:p>
        </w:tc>
      </w:tr>
      <w:tr w:rsidR="00E93F58" w:rsidRPr="00576D60" w14:paraId="01663426" w14:textId="77777777" w:rsidTr="002F32E3">
        <w:trPr>
          <w:cantSplit/>
        </w:trPr>
        <w:tc>
          <w:tcPr>
            <w:tcW w:w="1500" w:type="pct"/>
            <w:shd w:val="clear" w:color="auto" w:fill="auto"/>
          </w:tcPr>
          <w:p w14:paraId="67278BEA" w14:textId="77777777" w:rsidR="00E93F58" w:rsidRPr="00576D60" w:rsidRDefault="00E93F58" w:rsidP="003D2B1E">
            <w:pPr>
              <w:pStyle w:val="ENoteTableText"/>
              <w:tabs>
                <w:tab w:val="left" w:leader="dot" w:pos="2268"/>
              </w:tabs>
            </w:pPr>
            <w:r w:rsidRPr="00576D60">
              <w:t>r 7.9.90</w:t>
            </w:r>
            <w:r w:rsidRPr="00576D60">
              <w:tab/>
            </w:r>
          </w:p>
        </w:tc>
        <w:tc>
          <w:tcPr>
            <w:tcW w:w="3500" w:type="pct"/>
            <w:shd w:val="clear" w:color="auto" w:fill="auto"/>
          </w:tcPr>
          <w:p w14:paraId="732F874B" w14:textId="77777777" w:rsidR="00E93F58" w:rsidRPr="00576D60" w:rsidRDefault="00E93F58" w:rsidP="003D2B1E">
            <w:pPr>
              <w:pStyle w:val="ENoteTableText"/>
            </w:pPr>
            <w:r w:rsidRPr="00576D60">
              <w:t>ad</w:t>
            </w:r>
            <w:r>
              <w:t xml:space="preserve"> No 16, 2002</w:t>
            </w:r>
          </w:p>
        </w:tc>
      </w:tr>
      <w:tr w:rsidR="00E93F58" w:rsidRPr="00576D60" w14:paraId="62C6A25C" w14:textId="77777777" w:rsidTr="002F32E3">
        <w:trPr>
          <w:cantSplit/>
        </w:trPr>
        <w:tc>
          <w:tcPr>
            <w:tcW w:w="1500" w:type="pct"/>
            <w:shd w:val="clear" w:color="auto" w:fill="auto"/>
          </w:tcPr>
          <w:p w14:paraId="48EB387F" w14:textId="77777777" w:rsidR="00E93F58" w:rsidRPr="00576D60" w:rsidRDefault="00E93F58" w:rsidP="003D2B1E">
            <w:pPr>
              <w:pStyle w:val="ENoteTableText"/>
              <w:tabs>
                <w:tab w:val="left" w:leader="dot" w:pos="2268"/>
              </w:tabs>
            </w:pPr>
          </w:p>
        </w:tc>
        <w:tc>
          <w:tcPr>
            <w:tcW w:w="3500" w:type="pct"/>
            <w:shd w:val="clear" w:color="auto" w:fill="auto"/>
          </w:tcPr>
          <w:p w14:paraId="02E33DCD" w14:textId="77777777" w:rsidR="00E93F58" w:rsidRPr="00576D60" w:rsidRDefault="00E93F58" w:rsidP="003D2B1E">
            <w:pPr>
              <w:pStyle w:val="ENoteTableText"/>
            </w:pPr>
            <w:r>
              <w:t>am F2023L01458</w:t>
            </w:r>
          </w:p>
        </w:tc>
      </w:tr>
      <w:tr w:rsidR="00E93F58" w:rsidRPr="00576D60" w14:paraId="62838903" w14:textId="77777777" w:rsidTr="002F32E3">
        <w:trPr>
          <w:cantSplit/>
        </w:trPr>
        <w:tc>
          <w:tcPr>
            <w:tcW w:w="1500" w:type="pct"/>
            <w:shd w:val="clear" w:color="auto" w:fill="auto"/>
          </w:tcPr>
          <w:p w14:paraId="794F88CD" w14:textId="77777777" w:rsidR="00E93F58" w:rsidRPr="00576D60" w:rsidRDefault="00E93F58" w:rsidP="003D2B1E">
            <w:pPr>
              <w:pStyle w:val="ENoteTableText"/>
              <w:tabs>
                <w:tab w:val="left" w:leader="dot" w:pos="2268"/>
              </w:tabs>
            </w:pPr>
            <w:r w:rsidRPr="00576D60">
              <w:t>r 7.9.91</w:t>
            </w:r>
            <w:r w:rsidRPr="00576D60">
              <w:tab/>
            </w:r>
          </w:p>
        </w:tc>
        <w:tc>
          <w:tcPr>
            <w:tcW w:w="3500" w:type="pct"/>
            <w:shd w:val="clear" w:color="auto" w:fill="auto"/>
          </w:tcPr>
          <w:p w14:paraId="7B400818" w14:textId="77777777" w:rsidR="00E93F58" w:rsidRPr="00576D60" w:rsidRDefault="00E93F58" w:rsidP="003D2B1E">
            <w:pPr>
              <w:pStyle w:val="ENoteTableText"/>
            </w:pPr>
            <w:r w:rsidRPr="00576D60">
              <w:t>ad</w:t>
            </w:r>
            <w:r>
              <w:t xml:space="preserve"> No 16, 2002</w:t>
            </w:r>
          </w:p>
        </w:tc>
      </w:tr>
      <w:tr w:rsidR="00E93F58" w:rsidRPr="00576D60" w14:paraId="24736027" w14:textId="77777777" w:rsidTr="002F32E3">
        <w:trPr>
          <w:cantSplit/>
        </w:trPr>
        <w:tc>
          <w:tcPr>
            <w:tcW w:w="1500" w:type="pct"/>
            <w:shd w:val="clear" w:color="auto" w:fill="auto"/>
          </w:tcPr>
          <w:p w14:paraId="6B2C2183" w14:textId="77777777" w:rsidR="00E93F58" w:rsidRPr="00576D60" w:rsidRDefault="00E93F58" w:rsidP="003D2B1E">
            <w:pPr>
              <w:pStyle w:val="ENoteTableText"/>
              <w:tabs>
                <w:tab w:val="left" w:leader="dot" w:pos="2268"/>
              </w:tabs>
            </w:pPr>
          </w:p>
        </w:tc>
        <w:tc>
          <w:tcPr>
            <w:tcW w:w="3500" w:type="pct"/>
            <w:shd w:val="clear" w:color="auto" w:fill="auto"/>
          </w:tcPr>
          <w:p w14:paraId="170E8E3C" w14:textId="77777777" w:rsidR="00E93F58" w:rsidRPr="00576D60" w:rsidRDefault="00E93F58" w:rsidP="003D2B1E">
            <w:pPr>
              <w:pStyle w:val="ENoteTableText"/>
            </w:pPr>
            <w:r>
              <w:t>am F2023L01458</w:t>
            </w:r>
          </w:p>
        </w:tc>
      </w:tr>
      <w:tr w:rsidR="00E93F58" w:rsidRPr="00576D60" w14:paraId="69C6535C" w14:textId="77777777" w:rsidTr="002F32E3">
        <w:trPr>
          <w:cantSplit/>
        </w:trPr>
        <w:tc>
          <w:tcPr>
            <w:tcW w:w="1500" w:type="pct"/>
            <w:shd w:val="clear" w:color="auto" w:fill="auto"/>
          </w:tcPr>
          <w:p w14:paraId="793C6F2A" w14:textId="77777777" w:rsidR="00E93F58" w:rsidRPr="00576D60" w:rsidRDefault="00E93F58" w:rsidP="003D2B1E">
            <w:pPr>
              <w:pStyle w:val="ENoteTableText"/>
              <w:tabs>
                <w:tab w:val="left" w:leader="dot" w:pos="2268"/>
              </w:tabs>
            </w:pPr>
            <w:r w:rsidRPr="00576D60">
              <w:t>r 7.9.92</w:t>
            </w:r>
            <w:r w:rsidRPr="00576D60">
              <w:tab/>
            </w:r>
          </w:p>
        </w:tc>
        <w:tc>
          <w:tcPr>
            <w:tcW w:w="3500" w:type="pct"/>
            <w:shd w:val="clear" w:color="auto" w:fill="auto"/>
          </w:tcPr>
          <w:p w14:paraId="1E81848A" w14:textId="77777777" w:rsidR="00E93F58" w:rsidRPr="00576D60" w:rsidRDefault="00E93F58" w:rsidP="003D2B1E">
            <w:pPr>
              <w:pStyle w:val="ENoteTableText"/>
            </w:pPr>
            <w:r w:rsidRPr="00576D60">
              <w:t>ad</w:t>
            </w:r>
            <w:r>
              <w:t xml:space="preserve"> No 16, 2002</w:t>
            </w:r>
          </w:p>
        </w:tc>
      </w:tr>
      <w:tr w:rsidR="00E93F58" w:rsidRPr="00576D60" w14:paraId="569161A3" w14:textId="77777777" w:rsidTr="002F32E3">
        <w:trPr>
          <w:cantSplit/>
        </w:trPr>
        <w:tc>
          <w:tcPr>
            <w:tcW w:w="1500" w:type="pct"/>
            <w:shd w:val="clear" w:color="auto" w:fill="auto"/>
          </w:tcPr>
          <w:p w14:paraId="7878D738" w14:textId="77777777" w:rsidR="00E93F58" w:rsidRPr="00576D60" w:rsidRDefault="00E93F58" w:rsidP="003D2B1E">
            <w:pPr>
              <w:pStyle w:val="ENoteTableText"/>
              <w:tabs>
                <w:tab w:val="left" w:leader="dot" w:pos="2268"/>
              </w:tabs>
            </w:pPr>
          </w:p>
        </w:tc>
        <w:tc>
          <w:tcPr>
            <w:tcW w:w="3500" w:type="pct"/>
            <w:shd w:val="clear" w:color="auto" w:fill="auto"/>
          </w:tcPr>
          <w:p w14:paraId="4EE587A3" w14:textId="77777777" w:rsidR="00E93F58" w:rsidRPr="00576D60" w:rsidRDefault="00E93F58" w:rsidP="003D2B1E">
            <w:pPr>
              <w:pStyle w:val="ENoteTableText"/>
            </w:pPr>
            <w:r>
              <w:t>am F2023L01458</w:t>
            </w:r>
          </w:p>
        </w:tc>
      </w:tr>
      <w:tr w:rsidR="00E93F58" w:rsidRPr="00576D60" w14:paraId="06A9F00E" w14:textId="77777777" w:rsidTr="002F32E3">
        <w:trPr>
          <w:cantSplit/>
        </w:trPr>
        <w:tc>
          <w:tcPr>
            <w:tcW w:w="1500" w:type="pct"/>
            <w:shd w:val="clear" w:color="auto" w:fill="auto"/>
          </w:tcPr>
          <w:p w14:paraId="225B99DC" w14:textId="77777777" w:rsidR="00E93F58" w:rsidRPr="00576D60" w:rsidRDefault="00E93F58" w:rsidP="003D2B1E">
            <w:pPr>
              <w:pStyle w:val="ENoteTableText"/>
              <w:tabs>
                <w:tab w:val="left" w:leader="dot" w:pos="2268"/>
              </w:tabs>
            </w:pPr>
            <w:r w:rsidRPr="00576D60">
              <w:t>r. 7.9.93</w:t>
            </w:r>
            <w:r w:rsidRPr="00576D60">
              <w:tab/>
            </w:r>
          </w:p>
        </w:tc>
        <w:tc>
          <w:tcPr>
            <w:tcW w:w="3500" w:type="pct"/>
            <w:shd w:val="clear" w:color="auto" w:fill="auto"/>
          </w:tcPr>
          <w:p w14:paraId="2F2A5920" w14:textId="77777777" w:rsidR="00E93F58" w:rsidRPr="00576D60" w:rsidRDefault="00E93F58" w:rsidP="003D2B1E">
            <w:pPr>
              <w:pStyle w:val="ENoteTableText"/>
            </w:pPr>
            <w:r w:rsidRPr="00576D60">
              <w:t>ad. 2002 No. 16</w:t>
            </w:r>
          </w:p>
        </w:tc>
      </w:tr>
      <w:tr w:rsidR="00E93F58" w:rsidRPr="00576D60" w14:paraId="7CD18BBD" w14:textId="77777777" w:rsidTr="002F32E3">
        <w:trPr>
          <w:cantSplit/>
        </w:trPr>
        <w:tc>
          <w:tcPr>
            <w:tcW w:w="1500" w:type="pct"/>
            <w:shd w:val="clear" w:color="auto" w:fill="auto"/>
          </w:tcPr>
          <w:p w14:paraId="406AEAE1" w14:textId="77777777" w:rsidR="00E93F58" w:rsidRPr="00576D60" w:rsidRDefault="00E93F58" w:rsidP="003D2B1E">
            <w:pPr>
              <w:pStyle w:val="ENoteTableText"/>
            </w:pPr>
          </w:p>
        </w:tc>
        <w:tc>
          <w:tcPr>
            <w:tcW w:w="3500" w:type="pct"/>
            <w:shd w:val="clear" w:color="auto" w:fill="auto"/>
          </w:tcPr>
          <w:p w14:paraId="60C19081" w14:textId="77777777" w:rsidR="00E93F58" w:rsidRPr="00576D60" w:rsidRDefault="00E93F58" w:rsidP="003D2B1E">
            <w:pPr>
              <w:pStyle w:val="ENoteTableText"/>
            </w:pPr>
            <w:r w:rsidRPr="00576D60">
              <w:t>am. 2003 No. 368</w:t>
            </w:r>
          </w:p>
        </w:tc>
      </w:tr>
      <w:tr w:rsidR="00E93F58" w:rsidRPr="00576D60" w14:paraId="0D7BD867" w14:textId="77777777" w:rsidTr="002F32E3">
        <w:trPr>
          <w:cantSplit/>
        </w:trPr>
        <w:tc>
          <w:tcPr>
            <w:tcW w:w="1500" w:type="pct"/>
            <w:shd w:val="clear" w:color="auto" w:fill="auto"/>
          </w:tcPr>
          <w:p w14:paraId="0DEABA90" w14:textId="77777777" w:rsidR="00E93F58" w:rsidRPr="00576D60" w:rsidRDefault="00E93F58" w:rsidP="003D2B1E">
            <w:pPr>
              <w:pStyle w:val="ENoteTableText"/>
              <w:tabs>
                <w:tab w:val="left" w:leader="dot" w:pos="2268"/>
              </w:tabs>
            </w:pPr>
            <w:r w:rsidRPr="00576D60">
              <w:t>r 7.9.94</w:t>
            </w:r>
            <w:r w:rsidRPr="00576D60">
              <w:tab/>
            </w:r>
          </w:p>
        </w:tc>
        <w:tc>
          <w:tcPr>
            <w:tcW w:w="3500" w:type="pct"/>
            <w:shd w:val="clear" w:color="auto" w:fill="auto"/>
          </w:tcPr>
          <w:p w14:paraId="0103E52E" w14:textId="77777777" w:rsidR="00E93F58" w:rsidRPr="00576D60" w:rsidRDefault="00E93F58" w:rsidP="003D2B1E">
            <w:pPr>
              <w:pStyle w:val="ENoteTableText"/>
            </w:pPr>
            <w:r w:rsidRPr="00576D60">
              <w:t>ad</w:t>
            </w:r>
            <w:r>
              <w:t xml:space="preserve"> No 16, 2002</w:t>
            </w:r>
          </w:p>
        </w:tc>
      </w:tr>
      <w:tr w:rsidR="00E93F58" w:rsidRPr="00576D60" w14:paraId="00927ED0" w14:textId="77777777" w:rsidTr="002F32E3">
        <w:trPr>
          <w:cantSplit/>
        </w:trPr>
        <w:tc>
          <w:tcPr>
            <w:tcW w:w="1500" w:type="pct"/>
            <w:shd w:val="clear" w:color="auto" w:fill="auto"/>
          </w:tcPr>
          <w:p w14:paraId="63298DDB" w14:textId="77777777" w:rsidR="00E93F58" w:rsidRPr="00576D60" w:rsidRDefault="00E93F58" w:rsidP="003D2B1E">
            <w:pPr>
              <w:pStyle w:val="ENoteTableText"/>
              <w:tabs>
                <w:tab w:val="left" w:leader="dot" w:pos="2268"/>
              </w:tabs>
            </w:pPr>
          </w:p>
        </w:tc>
        <w:tc>
          <w:tcPr>
            <w:tcW w:w="3500" w:type="pct"/>
            <w:shd w:val="clear" w:color="auto" w:fill="auto"/>
          </w:tcPr>
          <w:p w14:paraId="4C33F6DE" w14:textId="77777777" w:rsidR="00E93F58" w:rsidRPr="00576D60" w:rsidRDefault="00E93F58" w:rsidP="003D2B1E">
            <w:pPr>
              <w:pStyle w:val="ENoteTableText"/>
            </w:pPr>
            <w:r>
              <w:t>am F2023L01458</w:t>
            </w:r>
          </w:p>
        </w:tc>
      </w:tr>
      <w:tr w:rsidR="00E93F58" w:rsidRPr="00576D60" w14:paraId="279013D5" w14:textId="77777777" w:rsidTr="002F32E3">
        <w:trPr>
          <w:cantSplit/>
        </w:trPr>
        <w:tc>
          <w:tcPr>
            <w:tcW w:w="1500" w:type="pct"/>
            <w:shd w:val="clear" w:color="auto" w:fill="auto"/>
          </w:tcPr>
          <w:p w14:paraId="0F17B514" w14:textId="77777777" w:rsidR="00E93F58" w:rsidRPr="00576D60" w:rsidRDefault="00E93F58" w:rsidP="003D2B1E">
            <w:pPr>
              <w:pStyle w:val="ENoteTableText"/>
              <w:keepNext/>
              <w:tabs>
                <w:tab w:val="left" w:leader="dot" w:pos="2268"/>
              </w:tabs>
              <w:rPr>
                <w:b/>
              </w:rPr>
            </w:pPr>
            <w:r w:rsidRPr="00576D60">
              <w:rPr>
                <w:b/>
              </w:rPr>
              <w:t>Division 12</w:t>
            </w:r>
          </w:p>
        </w:tc>
        <w:tc>
          <w:tcPr>
            <w:tcW w:w="3500" w:type="pct"/>
            <w:shd w:val="clear" w:color="auto" w:fill="auto"/>
          </w:tcPr>
          <w:p w14:paraId="1B8A66A2" w14:textId="77777777" w:rsidR="00E93F58" w:rsidRPr="00576D60" w:rsidRDefault="00E93F58" w:rsidP="003D2B1E">
            <w:pPr>
              <w:pStyle w:val="ENoteTableText"/>
              <w:keepNext/>
            </w:pPr>
          </w:p>
        </w:tc>
      </w:tr>
      <w:tr w:rsidR="00E93F58" w:rsidRPr="00576D60" w14:paraId="29FD1C68" w14:textId="77777777" w:rsidTr="002F32E3">
        <w:trPr>
          <w:cantSplit/>
        </w:trPr>
        <w:tc>
          <w:tcPr>
            <w:tcW w:w="1500" w:type="pct"/>
            <w:shd w:val="clear" w:color="auto" w:fill="auto"/>
          </w:tcPr>
          <w:p w14:paraId="5D558C56" w14:textId="77777777" w:rsidR="00E93F58" w:rsidRPr="00576D60" w:rsidRDefault="00E93F58" w:rsidP="003D2B1E">
            <w:pPr>
              <w:pStyle w:val="ENoteTableText"/>
              <w:tabs>
                <w:tab w:val="left" w:leader="dot" w:pos="2268"/>
              </w:tabs>
            </w:pPr>
            <w:r w:rsidRPr="00576D60">
              <w:t>Division 12</w:t>
            </w:r>
            <w:r w:rsidRPr="00576D60">
              <w:tab/>
            </w:r>
          </w:p>
        </w:tc>
        <w:tc>
          <w:tcPr>
            <w:tcW w:w="3500" w:type="pct"/>
            <w:shd w:val="clear" w:color="auto" w:fill="auto"/>
          </w:tcPr>
          <w:p w14:paraId="35F5990B" w14:textId="77777777" w:rsidR="00E93F58" w:rsidRPr="00576D60" w:rsidRDefault="00E93F58" w:rsidP="003D2B1E">
            <w:pPr>
              <w:pStyle w:val="ENoteTableText"/>
            </w:pPr>
            <w:r w:rsidRPr="00576D60">
              <w:t>ad. 2003 No. 127</w:t>
            </w:r>
          </w:p>
        </w:tc>
      </w:tr>
      <w:tr w:rsidR="00E93F58" w:rsidRPr="00576D60" w14:paraId="61E37868" w14:textId="77777777" w:rsidTr="002F32E3">
        <w:trPr>
          <w:cantSplit/>
        </w:trPr>
        <w:tc>
          <w:tcPr>
            <w:tcW w:w="1500" w:type="pct"/>
            <w:shd w:val="clear" w:color="auto" w:fill="auto"/>
          </w:tcPr>
          <w:p w14:paraId="6E377A5A" w14:textId="77777777" w:rsidR="00E93F58" w:rsidRPr="00576D60" w:rsidRDefault="00E93F58" w:rsidP="003D2B1E">
            <w:pPr>
              <w:pStyle w:val="ENoteTableText"/>
              <w:tabs>
                <w:tab w:val="left" w:leader="dot" w:pos="2268"/>
              </w:tabs>
            </w:pPr>
            <w:r w:rsidRPr="00576D60">
              <w:t>r. 7.9.95</w:t>
            </w:r>
            <w:r w:rsidRPr="00576D60">
              <w:tab/>
            </w:r>
          </w:p>
        </w:tc>
        <w:tc>
          <w:tcPr>
            <w:tcW w:w="3500" w:type="pct"/>
            <w:shd w:val="clear" w:color="auto" w:fill="auto"/>
          </w:tcPr>
          <w:p w14:paraId="615DADDA" w14:textId="77777777" w:rsidR="00E93F58" w:rsidRPr="00576D60" w:rsidRDefault="00E93F58" w:rsidP="003D2B1E">
            <w:pPr>
              <w:pStyle w:val="ENoteTableText"/>
            </w:pPr>
            <w:r w:rsidRPr="00576D60">
              <w:t>ad. 2003 No. 127</w:t>
            </w:r>
          </w:p>
        </w:tc>
      </w:tr>
      <w:tr w:rsidR="00E93F58" w:rsidRPr="00576D60" w14:paraId="576E6139" w14:textId="77777777" w:rsidTr="002F32E3">
        <w:trPr>
          <w:cantSplit/>
        </w:trPr>
        <w:tc>
          <w:tcPr>
            <w:tcW w:w="1500" w:type="pct"/>
            <w:shd w:val="clear" w:color="auto" w:fill="auto"/>
          </w:tcPr>
          <w:p w14:paraId="6E8F236B" w14:textId="77777777" w:rsidR="00E93F58" w:rsidRPr="00576D60" w:rsidRDefault="00E93F58" w:rsidP="003D2B1E">
            <w:pPr>
              <w:pStyle w:val="ENoteTableText"/>
              <w:tabs>
                <w:tab w:val="left" w:leader="dot" w:pos="2268"/>
              </w:tabs>
              <w:rPr>
                <w:b/>
              </w:rPr>
            </w:pPr>
            <w:r w:rsidRPr="00576D60">
              <w:rPr>
                <w:b/>
              </w:rPr>
              <w:t>Division 13</w:t>
            </w:r>
          </w:p>
        </w:tc>
        <w:tc>
          <w:tcPr>
            <w:tcW w:w="3500" w:type="pct"/>
            <w:shd w:val="clear" w:color="auto" w:fill="auto"/>
          </w:tcPr>
          <w:p w14:paraId="044EA075" w14:textId="77777777" w:rsidR="00E93F58" w:rsidRPr="00576D60" w:rsidRDefault="00E93F58" w:rsidP="003D2B1E">
            <w:pPr>
              <w:pStyle w:val="ENoteTableText"/>
            </w:pPr>
          </w:p>
        </w:tc>
      </w:tr>
      <w:tr w:rsidR="00E93F58" w:rsidRPr="00576D60" w14:paraId="3DF00DB2" w14:textId="77777777" w:rsidTr="002F32E3">
        <w:trPr>
          <w:cantSplit/>
        </w:trPr>
        <w:tc>
          <w:tcPr>
            <w:tcW w:w="1500" w:type="pct"/>
            <w:shd w:val="clear" w:color="auto" w:fill="auto"/>
          </w:tcPr>
          <w:p w14:paraId="4094B4CE" w14:textId="77777777" w:rsidR="00E93F58" w:rsidRPr="00576D60" w:rsidRDefault="00E93F58" w:rsidP="003D2B1E">
            <w:pPr>
              <w:pStyle w:val="ENoteTableText"/>
              <w:tabs>
                <w:tab w:val="left" w:leader="dot" w:pos="2268"/>
              </w:tabs>
            </w:pPr>
            <w:r w:rsidRPr="00576D60">
              <w:t>Division 13</w:t>
            </w:r>
            <w:r w:rsidRPr="00576D60">
              <w:tab/>
            </w:r>
          </w:p>
        </w:tc>
        <w:tc>
          <w:tcPr>
            <w:tcW w:w="3500" w:type="pct"/>
            <w:shd w:val="clear" w:color="auto" w:fill="auto"/>
          </w:tcPr>
          <w:p w14:paraId="23E9084C" w14:textId="77777777" w:rsidR="00E93F58" w:rsidRPr="00576D60" w:rsidRDefault="00E93F58" w:rsidP="003D2B1E">
            <w:pPr>
              <w:pStyle w:val="ENoteTableText"/>
            </w:pPr>
            <w:r w:rsidRPr="00576D60">
              <w:t>ad. 2003 No. 369</w:t>
            </w:r>
          </w:p>
        </w:tc>
      </w:tr>
      <w:tr w:rsidR="00E93F58" w:rsidRPr="00576D60" w14:paraId="55697E91" w14:textId="77777777" w:rsidTr="002F32E3">
        <w:trPr>
          <w:cantSplit/>
        </w:trPr>
        <w:tc>
          <w:tcPr>
            <w:tcW w:w="1500" w:type="pct"/>
            <w:shd w:val="clear" w:color="auto" w:fill="auto"/>
          </w:tcPr>
          <w:p w14:paraId="3D4A4772" w14:textId="77777777" w:rsidR="00E93F58" w:rsidRPr="00576D60" w:rsidRDefault="00E93F58" w:rsidP="003D2B1E">
            <w:pPr>
              <w:pStyle w:val="ENoteTableText"/>
              <w:tabs>
                <w:tab w:val="left" w:leader="dot" w:pos="2268"/>
              </w:tabs>
              <w:rPr>
                <w:b/>
              </w:rPr>
            </w:pPr>
            <w:r w:rsidRPr="00576D60">
              <w:rPr>
                <w:b/>
              </w:rPr>
              <w:t>Subdivision A</w:t>
            </w:r>
          </w:p>
        </w:tc>
        <w:tc>
          <w:tcPr>
            <w:tcW w:w="3500" w:type="pct"/>
            <w:shd w:val="clear" w:color="auto" w:fill="auto"/>
          </w:tcPr>
          <w:p w14:paraId="65A3BBD3" w14:textId="77777777" w:rsidR="00E93F58" w:rsidRPr="00576D60" w:rsidRDefault="00E93F58" w:rsidP="003D2B1E">
            <w:pPr>
              <w:pStyle w:val="ENoteTableText"/>
            </w:pPr>
          </w:p>
        </w:tc>
      </w:tr>
      <w:tr w:rsidR="00E93F58" w:rsidRPr="00576D60" w14:paraId="06C12F84" w14:textId="77777777" w:rsidTr="002F32E3">
        <w:trPr>
          <w:cantSplit/>
        </w:trPr>
        <w:tc>
          <w:tcPr>
            <w:tcW w:w="1500" w:type="pct"/>
            <w:shd w:val="clear" w:color="auto" w:fill="auto"/>
          </w:tcPr>
          <w:p w14:paraId="4B29769D" w14:textId="77777777" w:rsidR="00E93F58" w:rsidRPr="00576D60" w:rsidRDefault="00E93F58" w:rsidP="003D2B1E">
            <w:pPr>
              <w:pStyle w:val="ENoteTableText"/>
              <w:tabs>
                <w:tab w:val="left" w:leader="dot" w:pos="2268"/>
              </w:tabs>
            </w:pPr>
            <w:r w:rsidRPr="00576D60">
              <w:t>Subdivision A</w:t>
            </w:r>
            <w:r w:rsidRPr="00576D60">
              <w:tab/>
            </w:r>
          </w:p>
        </w:tc>
        <w:tc>
          <w:tcPr>
            <w:tcW w:w="3500" w:type="pct"/>
            <w:shd w:val="clear" w:color="auto" w:fill="auto"/>
          </w:tcPr>
          <w:p w14:paraId="10B83B22" w14:textId="77777777" w:rsidR="00E93F58" w:rsidRPr="00576D60" w:rsidRDefault="00E93F58" w:rsidP="003D2B1E">
            <w:pPr>
              <w:pStyle w:val="ENoteTableText"/>
            </w:pPr>
            <w:r w:rsidRPr="00576D60">
              <w:t>ad F2018L01379</w:t>
            </w:r>
          </w:p>
        </w:tc>
      </w:tr>
      <w:tr w:rsidR="00E93F58" w:rsidRPr="00576D60" w14:paraId="68A1B31F" w14:textId="77777777" w:rsidTr="002F32E3">
        <w:trPr>
          <w:cantSplit/>
        </w:trPr>
        <w:tc>
          <w:tcPr>
            <w:tcW w:w="1500" w:type="pct"/>
            <w:shd w:val="clear" w:color="auto" w:fill="auto"/>
          </w:tcPr>
          <w:p w14:paraId="3C489C37" w14:textId="77777777" w:rsidR="00E93F58" w:rsidRPr="00576D60" w:rsidRDefault="00E93F58" w:rsidP="003D2B1E">
            <w:pPr>
              <w:pStyle w:val="ENoteTableText"/>
              <w:tabs>
                <w:tab w:val="left" w:leader="dot" w:pos="2268"/>
              </w:tabs>
            </w:pPr>
            <w:r w:rsidRPr="00576D60">
              <w:t>r 7.9.95A</w:t>
            </w:r>
            <w:r w:rsidRPr="00576D60">
              <w:tab/>
            </w:r>
          </w:p>
        </w:tc>
        <w:tc>
          <w:tcPr>
            <w:tcW w:w="3500" w:type="pct"/>
            <w:shd w:val="clear" w:color="auto" w:fill="auto"/>
          </w:tcPr>
          <w:p w14:paraId="489DCBD6" w14:textId="77777777" w:rsidR="00E93F58" w:rsidRPr="00576D60" w:rsidRDefault="00E93F58" w:rsidP="003D2B1E">
            <w:pPr>
              <w:pStyle w:val="ENoteTableText"/>
            </w:pPr>
            <w:r w:rsidRPr="00576D60">
              <w:t>ad F2018L01379</w:t>
            </w:r>
          </w:p>
        </w:tc>
      </w:tr>
      <w:tr w:rsidR="00E93F58" w:rsidRPr="00576D60" w14:paraId="3B64AFA0" w14:textId="77777777" w:rsidTr="002F32E3">
        <w:trPr>
          <w:cantSplit/>
        </w:trPr>
        <w:tc>
          <w:tcPr>
            <w:tcW w:w="1500" w:type="pct"/>
            <w:shd w:val="clear" w:color="auto" w:fill="auto"/>
          </w:tcPr>
          <w:p w14:paraId="1E61990F" w14:textId="77777777" w:rsidR="00E93F58" w:rsidRPr="00576D60" w:rsidRDefault="00E93F58" w:rsidP="003D2B1E">
            <w:pPr>
              <w:pStyle w:val="ENoteTableText"/>
              <w:tabs>
                <w:tab w:val="left" w:leader="dot" w:pos="2268"/>
              </w:tabs>
            </w:pPr>
            <w:r w:rsidRPr="00576D60">
              <w:t>r 7.9.95B</w:t>
            </w:r>
            <w:r w:rsidRPr="00576D60">
              <w:tab/>
            </w:r>
          </w:p>
        </w:tc>
        <w:tc>
          <w:tcPr>
            <w:tcW w:w="3500" w:type="pct"/>
            <w:shd w:val="clear" w:color="auto" w:fill="auto"/>
          </w:tcPr>
          <w:p w14:paraId="2139A466" w14:textId="77777777" w:rsidR="00E93F58" w:rsidRPr="00576D60" w:rsidRDefault="00E93F58" w:rsidP="003D2B1E">
            <w:pPr>
              <w:pStyle w:val="ENoteTableText"/>
            </w:pPr>
            <w:r w:rsidRPr="00576D60">
              <w:t>ad F2018L01379</w:t>
            </w:r>
          </w:p>
        </w:tc>
      </w:tr>
      <w:tr w:rsidR="00E93F58" w:rsidRPr="00576D60" w14:paraId="68DC5267" w14:textId="77777777" w:rsidTr="002F32E3">
        <w:trPr>
          <w:cantSplit/>
        </w:trPr>
        <w:tc>
          <w:tcPr>
            <w:tcW w:w="1500" w:type="pct"/>
            <w:shd w:val="clear" w:color="auto" w:fill="auto"/>
          </w:tcPr>
          <w:p w14:paraId="20B26D69" w14:textId="77777777" w:rsidR="00E93F58" w:rsidRPr="00576D60" w:rsidRDefault="00E93F58" w:rsidP="003D2B1E">
            <w:pPr>
              <w:pStyle w:val="ENoteTableText"/>
              <w:tabs>
                <w:tab w:val="left" w:leader="dot" w:pos="2268"/>
              </w:tabs>
            </w:pPr>
            <w:r w:rsidRPr="00576D60">
              <w:t>r 7.9.95C</w:t>
            </w:r>
            <w:r w:rsidRPr="00576D60">
              <w:tab/>
            </w:r>
          </w:p>
        </w:tc>
        <w:tc>
          <w:tcPr>
            <w:tcW w:w="3500" w:type="pct"/>
            <w:shd w:val="clear" w:color="auto" w:fill="auto"/>
          </w:tcPr>
          <w:p w14:paraId="781C1847" w14:textId="77777777" w:rsidR="00E93F58" w:rsidRPr="00576D60" w:rsidRDefault="00E93F58" w:rsidP="003D2B1E">
            <w:pPr>
              <w:pStyle w:val="ENoteTableText"/>
            </w:pPr>
            <w:r w:rsidRPr="00576D60">
              <w:t>ad F2018L01379</w:t>
            </w:r>
          </w:p>
        </w:tc>
      </w:tr>
      <w:tr w:rsidR="00E93F58" w:rsidRPr="00576D60" w14:paraId="19A58F85" w14:textId="77777777" w:rsidTr="002F32E3">
        <w:trPr>
          <w:cantSplit/>
        </w:trPr>
        <w:tc>
          <w:tcPr>
            <w:tcW w:w="1500" w:type="pct"/>
            <w:shd w:val="clear" w:color="auto" w:fill="auto"/>
          </w:tcPr>
          <w:p w14:paraId="675227EF" w14:textId="77777777" w:rsidR="00E93F58" w:rsidRPr="00576D60" w:rsidRDefault="00E93F58" w:rsidP="003D2B1E">
            <w:pPr>
              <w:pStyle w:val="ENoteTableText"/>
              <w:tabs>
                <w:tab w:val="left" w:leader="dot" w:pos="2268"/>
              </w:tabs>
            </w:pPr>
            <w:r w:rsidRPr="00576D60">
              <w:t>r 7.9.95D</w:t>
            </w:r>
            <w:r w:rsidRPr="00576D60">
              <w:tab/>
            </w:r>
          </w:p>
        </w:tc>
        <w:tc>
          <w:tcPr>
            <w:tcW w:w="3500" w:type="pct"/>
            <w:shd w:val="clear" w:color="auto" w:fill="auto"/>
          </w:tcPr>
          <w:p w14:paraId="55D2F8F4" w14:textId="77777777" w:rsidR="00E93F58" w:rsidRPr="00576D60" w:rsidRDefault="00E93F58" w:rsidP="003D2B1E">
            <w:pPr>
              <w:pStyle w:val="ENoteTableText"/>
            </w:pPr>
            <w:r w:rsidRPr="00576D60">
              <w:t>ad F2018L01379</w:t>
            </w:r>
          </w:p>
        </w:tc>
      </w:tr>
      <w:tr w:rsidR="00E93F58" w:rsidRPr="00576D60" w14:paraId="3198635C" w14:textId="77777777" w:rsidTr="002F32E3">
        <w:trPr>
          <w:cantSplit/>
        </w:trPr>
        <w:tc>
          <w:tcPr>
            <w:tcW w:w="1500" w:type="pct"/>
            <w:shd w:val="clear" w:color="auto" w:fill="auto"/>
          </w:tcPr>
          <w:p w14:paraId="7F7FA3D9" w14:textId="77777777" w:rsidR="00E93F58" w:rsidRPr="00576D60" w:rsidRDefault="00E93F58" w:rsidP="003D2B1E">
            <w:pPr>
              <w:pStyle w:val="ENoteTableText"/>
              <w:tabs>
                <w:tab w:val="left" w:leader="dot" w:pos="2268"/>
              </w:tabs>
              <w:rPr>
                <w:b/>
              </w:rPr>
            </w:pPr>
            <w:r w:rsidRPr="00576D60">
              <w:rPr>
                <w:b/>
              </w:rPr>
              <w:t>Subdivision B</w:t>
            </w:r>
          </w:p>
        </w:tc>
        <w:tc>
          <w:tcPr>
            <w:tcW w:w="3500" w:type="pct"/>
            <w:shd w:val="clear" w:color="auto" w:fill="auto"/>
          </w:tcPr>
          <w:p w14:paraId="5EBDC76C" w14:textId="77777777" w:rsidR="00E93F58" w:rsidRPr="00576D60" w:rsidRDefault="00E93F58" w:rsidP="003D2B1E">
            <w:pPr>
              <w:pStyle w:val="ENoteTableText"/>
            </w:pPr>
          </w:p>
        </w:tc>
      </w:tr>
      <w:tr w:rsidR="00E93F58" w:rsidRPr="00576D60" w14:paraId="204EA156" w14:textId="77777777" w:rsidTr="002F32E3">
        <w:trPr>
          <w:cantSplit/>
        </w:trPr>
        <w:tc>
          <w:tcPr>
            <w:tcW w:w="1500" w:type="pct"/>
            <w:shd w:val="clear" w:color="auto" w:fill="auto"/>
          </w:tcPr>
          <w:p w14:paraId="3E289431" w14:textId="77777777" w:rsidR="00E93F58" w:rsidRPr="00576D60" w:rsidRDefault="00E93F58" w:rsidP="003D2B1E">
            <w:pPr>
              <w:pStyle w:val="ENoteTableText"/>
              <w:tabs>
                <w:tab w:val="left" w:leader="dot" w:pos="2268"/>
              </w:tabs>
            </w:pPr>
            <w:r w:rsidRPr="00576D60">
              <w:t>Subdivision B heading</w:t>
            </w:r>
            <w:r w:rsidRPr="00576D60">
              <w:tab/>
            </w:r>
          </w:p>
        </w:tc>
        <w:tc>
          <w:tcPr>
            <w:tcW w:w="3500" w:type="pct"/>
            <w:shd w:val="clear" w:color="auto" w:fill="auto"/>
          </w:tcPr>
          <w:p w14:paraId="35C9F87D" w14:textId="77777777" w:rsidR="00E93F58" w:rsidRPr="00576D60" w:rsidRDefault="00E93F58" w:rsidP="003D2B1E">
            <w:pPr>
              <w:pStyle w:val="ENoteTableText"/>
            </w:pPr>
            <w:r w:rsidRPr="00576D60">
              <w:t>ad F2018L01379</w:t>
            </w:r>
          </w:p>
        </w:tc>
      </w:tr>
      <w:tr w:rsidR="00E93F58" w:rsidRPr="00576D60" w14:paraId="2E6ACD9D" w14:textId="77777777" w:rsidTr="002F32E3">
        <w:trPr>
          <w:cantSplit/>
        </w:trPr>
        <w:tc>
          <w:tcPr>
            <w:tcW w:w="1500" w:type="pct"/>
            <w:shd w:val="clear" w:color="auto" w:fill="auto"/>
          </w:tcPr>
          <w:p w14:paraId="0390367D" w14:textId="77777777" w:rsidR="00E93F58" w:rsidRPr="00576D60" w:rsidRDefault="00E93F58" w:rsidP="003D2B1E">
            <w:pPr>
              <w:pStyle w:val="ENoteTableText"/>
              <w:tabs>
                <w:tab w:val="left" w:leader="dot" w:pos="2268"/>
              </w:tabs>
            </w:pPr>
            <w:r w:rsidRPr="00576D60">
              <w:t>r. 7.9.96</w:t>
            </w:r>
            <w:r w:rsidRPr="00576D60">
              <w:tab/>
            </w:r>
          </w:p>
        </w:tc>
        <w:tc>
          <w:tcPr>
            <w:tcW w:w="3500" w:type="pct"/>
            <w:shd w:val="clear" w:color="auto" w:fill="auto"/>
          </w:tcPr>
          <w:p w14:paraId="4E870F82" w14:textId="77777777" w:rsidR="00E93F58" w:rsidRPr="00576D60" w:rsidRDefault="00E93F58" w:rsidP="003D2B1E">
            <w:pPr>
              <w:pStyle w:val="ENoteTableText"/>
            </w:pPr>
            <w:r w:rsidRPr="00576D60">
              <w:t>ad. 2003 No. 369</w:t>
            </w:r>
          </w:p>
        </w:tc>
      </w:tr>
      <w:tr w:rsidR="00E93F58" w:rsidRPr="00576D60" w14:paraId="50A29AF0" w14:textId="77777777" w:rsidTr="002F32E3">
        <w:trPr>
          <w:cantSplit/>
        </w:trPr>
        <w:tc>
          <w:tcPr>
            <w:tcW w:w="1500" w:type="pct"/>
            <w:shd w:val="clear" w:color="auto" w:fill="auto"/>
          </w:tcPr>
          <w:p w14:paraId="525EBC47" w14:textId="77777777" w:rsidR="00E93F58" w:rsidRPr="00576D60" w:rsidRDefault="00E93F58" w:rsidP="003D2B1E">
            <w:pPr>
              <w:pStyle w:val="ENoteTableText"/>
              <w:tabs>
                <w:tab w:val="left" w:leader="dot" w:pos="2268"/>
              </w:tabs>
            </w:pPr>
            <w:r w:rsidRPr="00576D60">
              <w:t>r. 7.9.97</w:t>
            </w:r>
            <w:r w:rsidRPr="00576D60">
              <w:tab/>
            </w:r>
          </w:p>
        </w:tc>
        <w:tc>
          <w:tcPr>
            <w:tcW w:w="3500" w:type="pct"/>
            <w:shd w:val="clear" w:color="auto" w:fill="auto"/>
          </w:tcPr>
          <w:p w14:paraId="1769CB22" w14:textId="77777777" w:rsidR="00E93F58" w:rsidRPr="00576D60" w:rsidRDefault="00E93F58" w:rsidP="003D2B1E">
            <w:pPr>
              <w:pStyle w:val="ENoteTableText"/>
            </w:pPr>
            <w:r w:rsidRPr="00576D60">
              <w:t>ad. 2005 No. 31</w:t>
            </w:r>
          </w:p>
        </w:tc>
      </w:tr>
      <w:tr w:rsidR="00E93F58" w:rsidRPr="00576D60" w14:paraId="07A2ED57" w14:textId="77777777" w:rsidTr="002F32E3">
        <w:trPr>
          <w:cantSplit/>
        </w:trPr>
        <w:tc>
          <w:tcPr>
            <w:tcW w:w="1500" w:type="pct"/>
            <w:shd w:val="clear" w:color="auto" w:fill="auto"/>
          </w:tcPr>
          <w:p w14:paraId="091EBCE3" w14:textId="77777777" w:rsidR="00E93F58" w:rsidRPr="00576D60" w:rsidRDefault="00E93F58" w:rsidP="003D2B1E">
            <w:pPr>
              <w:pStyle w:val="ENoteTableText"/>
              <w:tabs>
                <w:tab w:val="left" w:leader="dot" w:pos="2268"/>
              </w:tabs>
            </w:pPr>
            <w:r w:rsidRPr="00576D60">
              <w:t>r. 7.9.97A</w:t>
            </w:r>
            <w:r w:rsidRPr="00576D60">
              <w:tab/>
            </w:r>
          </w:p>
        </w:tc>
        <w:tc>
          <w:tcPr>
            <w:tcW w:w="3500" w:type="pct"/>
            <w:shd w:val="clear" w:color="auto" w:fill="auto"/>
          </w:tcPr>
          <w:p w14:paraId="7B40FFD1" w14:textId="77777777" w:rsidR="00E93F58" w:rsidRPr="00576D60" w:rsidRDefault="00E93F58" w:rsidP="003D2B1E">
            <w:pPr>
              <w:pStyle w:val="ENoteTableText"/>
            </w:pPr>
            <w:r w:rsidRPr="00576D60">
              <w:t>ad. 2009 No. 103</w:t>
            </w:r>
          </w:p>
        </w:tc>
      </w:tr>
      <w:tr w:rsidR="00E93F58" w:rsidRPr="00576D60" w14:paraId="7956A20B" w14:textId="77777777" w:rsidTr="002F32E3">
        <w:trPr>
          <w:cantSplit/>
        </w:trPr>
        <w:tc>
          <w:tcPr>
            <w:tcW w:w="1500" w:type="pct"/>
            <w:shd w:val="clear" w:color="auto" w:fill="auto"/>
          </w:tcPr>
          <w:p w14:paraId="1077D230" w14:textId="77777777" w:rsidR="00E93F58" w:rsidRPr="00576D60" w:rsidRDefault="00E93F58" w:rsidP="003D2B1E">
            <w:pPr>
              <w:pStyle w:val="ENoteTableText"/>
              <w:tabs>
                <w:tab w:val="left" w:leader="dot" w:pos="2268"/>
              </w:tabs>
              <w:rPr>
                <w:b/>
              </w:rPr>
            </w:pPr>
            <w:r w:rsidRPr="00576D60">
              <w:rPr>
                <w:b/>
              </w:rPr>
              <w:t>Division 14</w:t>
            </w:r>
          </w:p>
        </w:tc>
        <w:tc>
          <w:tcPr>
            <w:tcW w:w="3500" w:type="pct"/>
            <w:shd w:val="clear" w:color="auto" w:fill="auto"/>
          </w:tcPr>
          <w:p w14:paraId="5FC73C06" w14:textId="77777777" w:rsidR="00E93F58" w:rsidRPr="00576D60" w:rsidRDefault="00E93F58" w:rsidP="003D2B1E">
            <w:pPr>
              <w:pStyle w:val="ENoteTableText"/>
            </w:pPr>
          </w:p>
        </w:tc>
      </w:tr>
      <w:tr w:rsidR="00E93F58" w:rsidRPr="00576D60" w14:paraId="4004FB50" w14:textId="77777777" w:rsidTr="002F32E3">
        <w:trPr>
          <w:cantSplit/>
        </w:trPr>
        <w:tc>
          <w:tcPr>
            <w:tcW w:w="1500" w:type="pct"/>
            <w:shd w:val="clear" w:color="auto" w:fill="auto"/>
          </w:tcPr>
          <w:p w14:paraId="0B938778" w14:textId="77777777" w:rsidR="00E93F58" w:rsidRPr="00576D60" w:rsidRDefault="00E93F58" w:rsidP="003D2B1E">
            <w:pPr>
              <w:pStyle w:val="ENoteTableText"/>
              <w:tabs>
                <w:tab w:val="left" w:leader="dot" w:pos="2268"/>
              </w:tabs>
            </w:pPr>
            <w:r w:rsidRPr="00576D60">
              <w:t>Division 14</w:t>
            </w:r>
            <w:r w:rsidRPr="00576D60">
              <w:tab/>
            </w:r>
          </w:p>
        </w:tc>
        <w:tc>
          <w:tcPr>
            <w:tcW w:w="3500" w:type="pct"/>
            <w:shd w:val="clear" w:color="auto" w:fill="auto"/>
          </w:tcPr>
          <w:p w14:paraId="35C0C9A8" w14:textId="77777777" w:rsidR="00E93F58" w:rsidRPr="00576D60" w:rsidRDefault="00E93F58" w:rsidP="003D2B1E">
            <w:pPr>
              <w:pStyle w:val="ENoteTableText"/>
            </w:pPr>
            <w:r w:rsidRPr="00576D60">
              <w:t>ad. 2005 No. 324</w:t>
            </w:r>
          </w:p>
        </w:tc>
      </w:tr>
      <w:tr w:rsidR="00E93F58" w:rsidRPr="00576D60" w14:paraId="6B787224" w14:textId="77777777" w:rsidTr="002F32E3">
        <w:trPr>
          <w:cantSplit/>
        </w:trPr>
        <w:tc>
          <w:tcPr>
            <w:tcW w:w="1500" w:type="pct"/>
            <w:shd w:val="clear" w:color="auto" w:fill="auto"/>
          </w:tcPr>
          <w:p w14:paraId="1A29F844" w14:textId="77777777" w:rsidR="00E93F58" w:rsidRPr="00576D60" w:rsidRDefault="00E93F58" w:rsidP="003D2B1E">
            <w:pPr>
              <w:pStyle w:val="ENoteTableText"/>
              <w:tabs>
                <w:tab w:val="left" w:leader="dot" w:pos="2268"/>
              </w:tabs>
            </w:pPr>
            <w:r w:rsidRPr="00576D60">
              <w:t>r. 7.9.98</w:t>
            </w:r>
            <w:r w:rsidRPr="00576D60">
              <w:tab/>
            </w:r>
          </w:p>
        </w:tc>
        <w:tc>
          <w:tcPr>
            <w:tcW w:w="3500" w:type="pct"/>
            <w:shd w:val="clear" w:color="auto" w:fill="auto"/>
          </w:tcPr>
          <w:p w14:paraId="57261820" w14:textId="77777777" w:rsidR="00E93F58" w:rsidRPr="00576D60" w:rsidRDefault="00E93F58" w:rsidP="003D2B1E">
            <w:pPr>
              <w:pStyle w:val="ENoteTableText"/>
            </w:pPr>
            <w:r w:rsidRPr="00576D60">
              <w:t>ad. 2005 No. 324</w:t>
            </w:r>
          </w:p>
        </w:tc>
      </w:tr>
      <w:tr w:rsidR="00E93F58" w:rsidRPr="00576D60" w14:paraId="23ED3EA2" w14:textId="77777777" w:rsidTr="002F32E3">
        <w:trPr>
          <w:cantSplit/>
        </w:trPr>
        <w:tc>
          <w:tcPr>
            <w:tcW w:w="1500" w:type="pct"/>
            <w:shd w:val="clear" w:color="auto" w:fill="auto"/>
          </w:tcPr>
          <w:p w14:paraId="06BFCC36" w14:textId="77777777" w:rsidR="00E93F58" w:rsidRPr="00576D60" w:rsidRDefault="00E93F58" w:rsidP="003D2B1E">
            <w:pPr>
              <w:pStyle w:val="ENoteTableText"/>
              <w:tabs>
                <w:tab w:val="left" w:leader="dot" w:pos="2268"/>
              </w:tabs>
            </w:pPr>
            <w:r w:rsidRPr="00576D60">
              <w:t>r 7.9.98A</w:t>
            </w:r>
            <w:r w:rsidRPr="00576D60">
              <w:tab/>
            </w:r>
          </w:p>
        </w:tc>
        <w:tc>
          <w:tcPr>
            <w:tcW w:w="3500" w:type="pct"/>
            <w:shd w:val="clear" w:color="auto" w:fill="auto"/>
          </w:tcPr>
          <w:p w14:paraId="0709F449" w14:textId="77777777" w:rsidR="00E93F58" w:rsidRPr="00576D60" w:rsidRDefault="00E93F58" w:rsidP="003D2B1E">
            <w:pPr>
              <w:pStyle w:val="ENoteTableText"/>
            </w:pPr>
            <w:r w:rsidRPr="00576D60">
              <w:t>ad No 172, 2012</w:t>
            </w:r>
          </w:p>
        </w:tc>
      </w:tr>
      <w:tr w:rsidR="00E93F58" w:rsidRPr="00576D60" w14:paraId="18F8B23D" w14:textId="77777777" w:rsidTr="002F32E3">
        <w:trPr>
          <w:cantSplit/>
        </w:trPr>
        <w:tc>
          <w:tcPr>
            <w:tcW w:w="1500" w:type="pct"/>
            <w:shd w:val="clear" w:color="auto" w:fill="auto"/>
          </w:tcPr>
          <w:p w14:paraId="5F888379" w14:textId="77777777" w:rsidR="00E93F58" w:rsidRPr="00576D60" w:rsidRDefault="00E93F58" w:rsidP="003D2B1E">
            <w:pPr>
              <w:pStyle w:val="ENoteTableText"/>
              <w:tabs>
                <w:tab w:val="left" w:leader="dot" w:pos="2268"/>
              </w:tabs>
            </w:pPr>
          </w:p>
        </w:tc>
        <w:tc>
          <w:tcPr>
            <w:tcW w:w="3500" w:type="pct"/>
            <w:shd w:val="clear" w:color="auto" w:fill="auto"/>
          </w:tcPr>
          <w:p w14:paraId="1328A2C2" w14:textId="77777777" w:rsidR="00E93F58" w:rsidRPr="00576D60" w:rsidRDefault="00E93F58" w:rsidP="003D2B1E">
            <w:pPr>
              <w:pStyle w:val="ENoteTableText"/>
            </w:pPr>
            <w:r w:rsidRPr="00576D60">
              <w:t>am F2020L00942; F2022L01614</w:t>
            </w:r>
          </w:p>
        </w:tc>
      </w:tr>
      <w:tr w:rsidR="00E93F58" w:rsidRPr="00576D60" w14:paraId="7AD76CD6" w14:textId="77777777" w:rsidTr="002F32E3">
        <w:trPr>
          <w:cantSplit/>
        </w:trPr>
        <w:tc>
          <w:tcPr>
            <w:tcW w:w="1500" w:type="pct"/>
            <w:shd w:val="clear" w:color="auto" w:fill="auto"/>
          </w:tcPr>
          <w:p w14:paraId="17DA85C2" w14:textId="77777777" w:rsidR="00E93F58" w:rsidRPr="00576D60" w:rsidRDefault="00E93F58" w:rsidP="003D2B1E">
            <w:pPr>
              <w:pStyle w:val="ENoteTableText"/>
              <w:keepNext/>
              <w:tabs>
                <w:tab w:val="left" w:leader="dot" w:pos="2268"/>
              </w:tabs>
              <w:rPr>
                <w:b/>
              </w:rPr>
            </w:pPr>
            <w:r w:rsidRPr="00576D60">
              <w:rPr>
                <w:b/>
              </w:rPr>
              <w:t>Division 15</w:t>
            </w:r>
          </w:p>
        </w:tc>
        <w:tc>
          <w:tcPr>
            <w:tcW w:w="3500" w:type="pct"/>
            <w:shd w:val="clear" w:color="auto" w:fill="auto"/>
          </w:tcPr>
          <w:p w14:paraId="354A34C6" w14:textId="77777777" w:rsidR="00E93F58" w:rsidRPr="00576D60" w:rsidRDefault="00E93F58" w:rsidP="003D2B1E">
            <w:pPr>
              <w:pStyle w:val="ENoteTableText"/>
            </w:pPr>
          </w:p>
        </w:tc>
      </w:tr>
      <w:tr w:rsidR="00E93F58" w:rsidRPr="00576D60" w14:paraId="779EECA1" w14:textId="77777777" w:rsidTr="002F32E3">
        <w:trPr>
          <w:cantSplit/>
        </w:trPr>
        <w:tc>
          <w:tcPr>
            <w:tcW w:w="1500" w:type="pct"/>
            <w:shd w:val="clear" w:color="auto" w:fill="auto"/>
          </w:tcPr>
          <w:p w14:paraId="357756F0" w14:textId="77777777" w:rsidR="00E93F58" w:rsidRPr="00576D60" w:rsidRDefault="00E93F58" w:rsidP="003D2B1E">
            <w:pPr>
              <w:pStyle w:val="ENoteTableText"/>
              <w:tabs>
                <w:tab w:val="left" w:leader="dot" w:pos="2268"/>
              </w:tabs>
            </w:pPr>
            <w:r w:rsidRPr="00576D60">
              <w:t>Division 15</w:t>
            </w:r>
            <w:r w:rsidRPr="00576D60">
              <w:tab/>
            </w:r>
          </w:p>
        </w:tc>
        <w:tc>
          <w:tcPr>
            <w:tcW w:w="3500" w:type="pct"/>
            <w:shd w:val="clear" w:color="auto" w:fill="auto"/>
          </w:tcPr>
          <w:p w14:paraId="3E4EFF24" w14:textId="77777777" w:rsidR="00E93F58" w:rsidRPr="00576D60" w:rsidRDefault="00E93F58" w:rsidP="003D2B1E">
            <w:pPr>
              <w:pStyle w:val="ENoteTableText"/>
            </w:pPr>
            <w:r w:rsidRPr="00576D60">
              <w:t>ad. 2009 No. 327</w:t>
            </w:r>
          </w:p>
        </w:tc>
      </w:tr>
      <w:tr w:rsidR="00E93F58" w:rsidRPr="00576D60" w14:paraId="5D1BEA0E" w14:textId="77777777" w:rsidTr="002F32E3">
        <w:trPr>
          <w:cantSplit/>
        </w:trPr>
        <w:tc>
          <w:tcPr>
            <w:tcW w:w="1500" w:type="pct"/>
            <w:shd w:val="clear" w:color="auto" w:fill="auto"/>
          </w:tcPr>
          <w:p w14:paraId="26E8D38D" w14:textId="77777777" w:rsidR="00E93F58" w:rsidRPr="00576D60" w:rsidRDefault="00E93F58" w:rsidP="003D2B1E">
            <w:pPr>
              <w:pStyle w:val="ENoteTableText"/>
              <w:tabs>
                <w:tab w:val="left" w:leader="dot" w:pos="2268"/>
              </w:tabs>
            </w:pPr>
            <w:r w:rsidRPr="00576D60">
              <w:t>r. 7.9.99</w:t>
            </w:r>
            <w:r w:rsidRPr="00576D60">
              <w:tab/>
            </w:r>
          </w:p>
        </w:tc>
        <w:tc>
          <w:tcPr>
            <w:tcW w:w="3500" w:type="pct"/>
            <w:shd w:val="clear" w:color="auto" w:fill="auto"/>
          </w:tcPr>
          <w:p w14:paraId="4D0893D3" w14:textId="77777777" w:rsidR="00E93F58" w:rsidRPr="00576D60" w:rsidRDefault="00E93F58" w:rsidP="003D2B1E">
            <w:pPr>
              <w:pStyle w:val="ENoteTableText"/>
            </w:pPr>
            <w:r w:rsidRPr="00576D60">
              <w:t>ad. 2009 No. 327</w:t>
            </w:r>
          </w:p>
        </w:tc>
      </w:tr>
      <w:tr w:rsidR="00E93F58" w:rsidRPr="00576D60" w14:paraId="5C3535A6" w14:textId="77777777" w:rsidTr="002F32E3">
        <w:trPr>
          <w:cantSplit/>
        </w:trPr>
        <w:tc>
          <w:tcPr>
            <w:tcW w:w="1500" w:type="pct"/>
            <w:shd w:val="clear" w:color="auto" w:fill="auto"/>
          </w:tcPr>
          <w:p w14:paraId="12EF0437" w14:textId="77777777" w:rsidR="00E93F58" w:rsidRPr="00576D60" w:rsidRDefault="00E93F58" w:rsidP="003D2B1E">
            <w:pPr>
              <w:pStyle w:val="ENoteTableText"/>
            </w:pPr>
          </w:p>
        </w:tc>
        <w:tc>
          <w:tcPr>
            <w:tcW w:w="3500" w:type="pct"/>
            <w:shd w:val="clear" w:color="auto" w:fill="auto"/>
          </w:tcPr>
          <w:p w14:paraId="76815F62" w14:textId="77777777" w:rsidR="00E93F58" w:rsidRPr="00576D60" w:rsidRDefault="00E93F58" w:rsidP="003D2B1E">
            <w:pPr>
              <w:pStyle w:val="ENoteTableText"/>
            </w:pPr>
            <w:r w:rsidRPr="00576D60">
              <w:t>rs. 2009 No. 327</w:t>
            </w:r>
          </w:p>
        </w:tc>
      </w:tr>
      <w:tr w:rsidR="00E93F58" w:rsidRPr="00576D60" w14:paraId="264C7B39" w14:textId="77777777" w:rsidTr="002F32E3">
        <w:trPr>
          <w:cantSplit/>
        </w:trPr>
        <w:tc>
          <w:tcPr>
            <w:tcW w:w="1500" w:type="pct"/>
            <w:shd w:val="clear" w:color="auto" w:fill="auto"/>
          </w:tcPr>
          <w:p w14:paraId="005815AC" w14:textId="77777777" w:rsidR="00E93F58" w:rsidRPr="00576D60" w:rsidRDefault="00E93F58" w:rsidP="003D2B1E">
            <w:pPr>
              <w:pStyle w:val="ENoteTableText"/>
              <w:tabs>
                <w:tab w:val="left" w:leader="dot" w:pos="2268"/>
              </w:tabs>
            </w:pPr>
            <w:r w:rsidRPr="00576D60">
              <w:t>r. 7.9.100</w:t>
            </w:r>
            <w:r w:rsidRPr="00576D60">
              <w:tab/>
            </w:r>
          </w:p>
        </w:tc>
        <w:tc>
          <w:tcPr>
            <w:tcW w:w="3500" w:type="pct"/>
            <w:shd w:val="clear" w:color="auto" w:fill="auto"/>
          </w:tcPr>
          <w:p w14:paraId="4E441E55" w14:textId="77777777" w:rsidR="00E93F58" w:rsidRPr="00576D60" w:rsidRDefault="00E93F58" w:rsidP="003D2B1E">
            <w:pPr>
              <w:pStyle w:val="ENoteTableText"/>
            </w:pPr>
            <w:r w:rsidRPr="00576D60">
              <w:t>ad. 2009 No. 327</w:t>
            </w:r>
          </w:p>
        </w:tc>
      </w:tr>
      <w:tr w:rsidR="00E93F58" w:rsidRPr="00576D60" w14:paraId="359C9226" w14:textId="77777777" w:rsidTr="002F32E3">
        <w:trPr>
          <w:cantSplit/>
        </w:trPr>
        <w:tc>
          <w:tcPr>
            <w:tcW w:w="1500" w:type="pct"/>
            <w:shd w:val="clear" w:color="auto" w:fill="auto"/>
          </w:tcPr>
          <w:p w14:paraId="5F20017D" w14:textId="77777777" w:rsidR="00E93F58" w:rsidRPr="00576D60" w:rsidRDefault="00E93F58" w:rsidP="003D2B1E">
            <w:pPr>
              <w:pStyle w:val="ENoteTableText"/>
            </w:pPr>
          </w:p>
        </w:tc>
        <w:tc>
          <w:tcPr>
            <w:tcW w:w="3500" w:type="pct"/>
            <w:shd w:val="clear" w:color="auto" w:fill="auto"/>
          </w:tcPr>
          <w:p w14:paraId="69E5F2B2" w14:textId="77777777" w:rsidR="00E93F58" w:rsidRPr="00576D60" w:rsidRDefault="00E93F58" w:rsidP="003D2B1E">
            <w:pPr>
              <w:pStyle w:val="ENoteTableText"/>
            </w:pPr>
            <w:r w:rsidRPr="00576D60">
              <w:t>am. 2009 No. 327; 2011 No. 193</w:t>
            </w:r>
          </w:p>
        </w:tc>
      </w:tr>
      <w:tr w:rsidR="00E93F58" w:rsidRPr="00576D60" w14:paraId="294BE12A" w14:textId="77777777" w:rsidTr="002F32E3">
        <w:trPr>
          <w:cantSplit/>
        </w:trPr>
        <w:tc>
          <w:tcPr>
            <w:tcW w:w="1500" w:type="pct"/>
            <w:shd w:val="clear" w:color="auto" w:fill="auto"/>
          </w:tcPr>
          <w:p w14:paraId="529F7C78" w14:textId="77777777" w:rsidR="00E93F58" w:rsidRPr="00576D60" w:rsidRDefault="00E93F58" w:rsidP="003D2B1E">
            <w:pPr>
              <w:pStyle w:val="ENoteTableText"/>
              <w:tabs>
                <w:tab w:val="left" w:leader="dot" w:pos="2268"/>
              </w:tabs>
            </w:pPr>
            <w:r w:rsidRPr="00576D60">
              <w:t>r. 7.9.100A</w:t>
            </w:r>
            <w:r w:rsidRPr="00576D60">
              <w:tab/>
            </w:r>
          </w:p>
        </w:tc>
        <w:tc>
          <w:tcPr>
            <w:tcW w:w="3500" w:type="pct"/>
            <w:shd w:val="clear" w:color="auto" w:fill="auto"/>
          </w:tcPr>
          <w:p w14:paraId="4B76D811" w14:textId="77777777" w:rsidR="00E93F58" w:rsidRPr="00576D60" w:rsidRDefault="00E93F58" w:rsidP="003D2B1E">
            <w:pPr>
              <w:pStyle w:val="ENoteTableText"/>
            </w:pPr>
            <w:r w:rsidRPr="00576D60">
              <w:t>ad. 2009 No. 327</w:t>
            </w:r>
          </w:p>
        </w:tc>
      </w:tr>
      <w:tr w:rsidR="00E93F58" w:rsidRPr="00576D60" w14:paraId="21ECDA32" w14:textId="77777777" w:rsidTr="002F32E3">
        <w:trPr>
          <w:cantSplit/>
        </w:trPr>
        <w:tc>
          <w:tcPr>
            <w:tcW w:w="1500" w:type="pct"/>
            <w:shd w:val="clear" w:color="auto" w:fill="auto"/>
          </w:tcPr>
          <w:p w14:paraId="5F09CBB1" w14:textId="77777777" w:rsidR="00E93F58" w:rsidRPr="00576D60" w:rsidRDefault="00E93F58" w:rsidP="003D2B1E">
            <w:pPr>
              <w:pStyle w:val="ENoteTableText"/>
              <w:tabs>
                <w:tab w:val="left" w:leader="dot" w:pos="2268"/>
              </w:tabs>
            </w:pPr>
            <w:r w:rsidRPr="00576D60">
              <w:t>r. 7.9.101</w:t>
            </w:r>
            <w:r w:rsidRPr="00576D60">
              <w:tab/>
            </w:r>
          </w:p>
        </w:tc>
        <w:tc>
          <w:tcPr>
            <w:tcW w:w="3500" w:type="pct"/>
            <w:shd w:val="clear" w:color="auto" w:fill="auto"/>
          </w:tcPr>
          <w:p w14:paraId="15D8316D" w14:textId="77777777" w:rsidR="00E93F58" w:rsidRPr="00576D60" w:rsidRDefault="00E93F58" w:rsidP="003D2B1E">
            <w:pPr>
              <w:pStyle w:val="ENoteTableText"/>
            </w:pPr>
            <w:r w:rsidRPr="00576D60">
              <w:t>ad. 2009 No. 327</w:t>
            </w:r>
          </w:p>
        </w:tc>
      </w:tr>
      <w:tr w:rsidR="00E93F58" w:rsidRPr="00576D60" w14:paraId="121A7D20" w14:textId="77777777" w:rsidTr="002F32E3">
        <w:trPr>
          <w:cantSplit/>
        </w:trPr>
        <w:tc>
          <w:tcPr>
            <w:tcW w:w="1500" w:type="pct"/>
            <w:shd w:val="clear" w:color="auto" w:fill="auto"/>
          </w:tcPr>
          <w:p w14:paraId="167B8177" w14:textId="77777777" w:rsidR="00E93F58" w:rsidRPr="00576D60" w:rsidRDefault="00E93F58" w:rsidP="003D2B1E">
            <w:pPr>
              <w:pStyle w:val="ENoteTableText"/>
            </w:pPr>
          </w:p>
        </w:tc>
        <w:tc>
          <w:tcPr>
            <w:tcW w:w="3500" w:type="pct"/>
            <w:shd w:val="clear" w:color="auto" w:fill="auto"/>
          </w:tcPr>
          <w:p w14:paraId="1B2268C8" w14:textId="77777777" w:rsidR="00E93F58" w:rsidRPr="00576D60" w:rsidRDefault="00E93F58" w:rsidP="003D2B1E">
            <w:pPr>
              <w:pStyle w:val="ENoteTableText"/>
            </w:pPr>
            <w:r w:rsidRPr="00576D60">
              <w:t>am. 2011 No. 193</w:t>
            </w:r>
          </w:p>
        </w:tc>
      </w:tr>
      <w:tr w:rsidR="00E93F58" w:rsidRPr="00576D60" w14:paraId="3737A899" w14:textId="77777777" w:rsidTr="002F32E3">
        <w:trPr>
          <w:cantSplit/>
        </w:trPr>
        <w:tc>
          <w:tcPr>
            <w:tcW w:w="1500" w:type="pct"/>
            <w:shd w:val="clear" w:color="auto" w:fill="auto"/>
          </w:tcPr>
          <w:p w14:paraId="1D3EFE82" w14:textId="77777777" w:rsidR="00E93F58" w:rsidRPr="00576D60" w:rsidRDefault="00E93F58" w:rsidP="003D2B1E">
            <w:pPr>
              <w:pStyle w:val="ENoteTableText"/>
              <w:tabs>
                <w:tab w:val="left" w:leader="dot" w:pos="2268"/>
              </w:tabs>
            </w:pPr>
            <w:r w:rsidRPr="00576D60">
              <w:t>r. 7.9.102</w:t>
            </w:r>
            <w:r w:rsidRPr="00576D60">
              <w:tab/>
            </w:r>
          </w:p>
        </w:tc>
        <w:tc>
          <w:tcPr>
            <w:tcW w:w="3500" w:type="pct"/>
            <w:shd w:val="clear" w:color="auto" w:fill="auto"/>
          </w:tcPr>
          <w:p w14:paraId="14B67874" w14:textId="77777777" w:rsidR="00E93F58" w:rsidRPr="00576D60" w:rsidRDefault="00E93F58" w:rsidP="003D2B1E">
            <w:pPr>
              <w:pStyle w:val="ENoteTableText"/>
            </w:pPr>
            <w:r w:rsidRPr="00576D60">
              <w:t>ad. 2009 No. 327</w:t>
            </w:r>
          </w:p>
        </w:tc>
      </w:tr>
      <w:tr w:rsidR="00E93F58" w:rsidRPr="00576D60" w14:paraId="0E281241" w14:textId="77777777" w:rsidTr="002F32E3">
        <w:trPr>
          <w:cantSplit/>
        </w:trPr>
        <w:tc>
          <w:tcPr>
            <w:tcW w:w="1500" w:type="pct"/>
            <w:shd w:val="clear" w:color="auto" w:fill="auto"/>
          </w:tcPr>
          <w:p w14:paraId="6D4BC0BC" w14:textId="77777777" w:rsidR="00E93F58" w:rsidRPr="00576D60" w:rsidRDefault="00E93F58" w:rsidP="003D2B1E">
            <w:pPr>
              <w:pStyle w:val="ENoteTableText"/>
            </w:pPr>
          </w:p>
        </w:tc>
        <w:tc>
          <w:tcPr>
            <w:tcW w:w="3500" w:type="pct"/>
            <w:shd w:val="clear" w:color="auto" w:fill="auto"/>
          </w:tcPr>
          <w:p w14:paraId="0E2DCD42" w14:textId="77777777" w:rsidR="00E93F58" w:rsidRPr="00576D60" w:rsidRDefault="00E93F58" w:rsidP="003D2B1E">
            <w:pPr>
              <w:pStyle w:val="ENoteTableText"/>
            </w:pPr>
            <w:r w:rsidRPr="00576D60">
              <w:t>am. 2009 No. 327</w:t>
            </w:r>
          </w:p>
        </w:tc>
      </w:tr>
      <w:tr w:rsidR="00E93F58" w:rsidRPr="00576D60" w14:paraId="3893B2BC" w14:textId="77777777" w:rsidTr="002F32E3">
        <w:trPr>
          <w:cantSplit/>
        </w:trPr>
        <w:tc>
          <w:tcPr>
            <w:tcW w:w="1500" w:type="pct"/>
            <w:shd w:val="clear" w:color="auto" w:fill="auto"/>
          </w:tcPr>
          <w:p w14:paraId="325100B6" w14:textId="77777777" w:rsidR="00E93F58" w:rsidRPr="00576D60" w:rsidRDefault="00E93F58" w:rsidP="00E73EAB">
            <w:pPr>
              <w:pStyle w:val="ENoteTableText"/>
              <w:keepNext/>
              <w:tabs>
                <w:tab w:val="left" w:leader="dot" w:pos="2268"/>
              </w:tabs>
              <w:rPr>
                <w:b/>
              </w:rPr>
            </w:pPr>
            <w:r w:rsidRPr="00576D60">
              <w:rPr>
                <w:b/>
              </w:rPr>
              <w:t>Part 7.10</w:t>
            </w:r>
          </w:p>
        </w:tc>
        <w:tc>
          <w:tcPr>
            <w:tcW w:w="3500" w:type="pct"/>
            <w:shd w:val="clear" w:color="auto" w:fill="auto"/>
          </w:tcPr>
          <w:p w14:paraId="68950953" w14:textId="77777777" w:rsidR="00E93F58" w:rsidRPr="00576D60" w:rsidRDefault="00E93F58" w:rsidP="003D2B1E">
            <w:pPr>
              <w:pStyle w:val="ENoteTableText"/>
            </w:pPr>
          </w:p>
        </w:tc>
      </w:tr>
      <w:tr w:rsidR="00E93F58" w:rsidRPr="00576D60" w14:paraId="2150E748" w14:textId="77777777" w:rsidTr="002F32E3">
        <w:trPr>
          <w:cantSplit/>
        </w:trPr>
        <w:tc>
          <w:tcPr>
            <w:tcW w:w="1500" w:type="pct"/>
            <w:shd w:val="clear" w:color="auto" w:fill="auto"/>
          </w:tcPr>
          <w:p w14:paraId="153C9A43" w14:textId="77777777" w:rsidR="00E93F58" w:rsidRPr="00576D60" w:rsidRDefault="00E93F58" w:rsidP="003D2B1E">
            <w:pPr>
              <w:pStyle w:val="ENoteTableText"/>
              <w:tabs>
                <w:tab w:val="left" w:leader="dot" w:pos="2268"/>
              </w:tabs>
            </w:pPr>
            <w:r w:rsidRPr="00576D60">
              <w:t>Part 7.10</w:t>
            </w:r>
            <w:r w:rsidRPr="00576D60">
              <w:tab/>
            </w:r>
          </w:p>
        </w:tc>
        <w:tc>
          <w:tcPr>
            <w:tcW w:w="3500" w:type="pct"/>
            <w:shd w:val="clear" w:color="auto" w:fill="auto"/>
          </w:tcPr>
          <w:p w14:paraId="50F6A626" w14:textId="77777777" w:rsidR="00E93F58" w:rsidRPr="00576D60" w:rsidRDefault="00E93F58" w:rsidP="003D2B1E">
            <w:pPr>
              <w:pStyle w:val="ENoteTableText"/>
            </w:pPr>
            <w:r w:rsidRPr="00576D60">
              <w:t>ad. 2002 No. 16</w:t>
            </w:r>
          </w:p>
        </w:tc>
      </w:tr>
      <w:tr w:rsidR="00E93F58" w:rsidRPr="00576D60" w14:paraId="1E0A68BB" w14:textId="77777777" w:rsidTr="002F32E3">
        <w:trPr>
          <w:cantSplit/>
        </w:trPr>
        <w:tc>
          <w:tcPr>
            <w:tcW w:w="1500" w:type="pct"/>
            <w:shd w:val="clear" w:color="auto" w:fill="auto"/>
          </w:tcPr>
          <w:p w14:paraId="37C58914" w14:textId="77777777" w:rsidR="00E93F58" w:rsidRPr="00576D60" w:rsidRDefault="00E93F58" w:rsidP="003D2B1E">
            <w:pPr>
              <w:pStyle w:val="ENoteTableText"/>
              <w:tabs>
                <w:tab w:val="left" w:leader="dot" w:pos="2268"/>
              </w:tabs>
            </w:pPr>
            <w:r w:rsidRPr="00576D60">
              <w:t>r 7.10.01</w:t>
            </w:r>
            <w:r w:rsidRPr="00576D60">
              <w:tab/>
            </w:r>
          </w:p>
        </w:tc>
        <w:tc>
          <w:tcPr>
            <w:tcW w:w="3500" w:type="pct"/>
            <w:shd w:val="clear" w:color="auto" w:fill="auto"/>
          </w:tcPr>
          <w:p w14:paraId="30288887" w14:textId="77777777" w:rsidR="00E93F58" w:rsidRPr="00576D60" w:rsidRDefault="00E93F58" w:rsidP="003D2B1E">
            <w:pPr>
              <w:pStyle w:val="ENoteTableText"/>
            </w:pPr>
            <w:r w:rsidRPr="00576D60">
              <w:t>rep</w:t>
            </w:r>
            <w:r>
              <w:t xml:space="preserve"> No 319, 2001</w:t>
            </w:r>
          </w:p>
        </w:tc>
      </w:tr>
      <w:tr w:rsidR="00E93F58" w:rsidRPr="00576D60" w14:paraId="2D07F579" w14:textId="77777777" w:rsidTr="002F32E3">
        <w:trPr>
          <w:cantSplit/>
        </w:trPr>
        <w:tc>
          <w:tcPr>
            <w:tcW w:w="1500" w:type="pct"/>
            <w:shd w:val="clear" w:color="auto" w:fill="auto"/>
          </w:tcPr>
          <w:p w14:paraId="10607E91" w14:textId="77777777" w:rsidR="00E93F58" w:rsidRPr="00576D60" w:rsidRDefault="00E93F58" w:rsidP="003D2B1E">
            <w:pPr>
              <w:pStyle w:val="ENoteTableText"/>
            </w:pPr>
          </w:p>
        </w:tc>
        <w:tc>
          <w:tcPr>
            <w:tcW w:w="3500" w:type="pct"/>
            <w:shd w:val="clear" w:color="auto" w:fill="auto"/>
          </w:tcPr>
          <w:p w14:paraId="60E42FBB" w14:textId="77777777" w:rsidR="00E93F58" w:rsidRPr="00576D60" w:rsidRDefault="00E93F58" w:rsidP="003D2B1E">
            <w:pPr>
              <w:pStyle w:val="ENoteTableText"/>
            </w:pPr>
            <w:r w:rsidRPr="00576D60">
              <w:t>ad</w:t>
            </w:r>
            <w:r>
              <w:t xml:space="preserve"> No 16, 2002</w:t>
            </w:r>
          </w:p>
        </w:tc>
      </w:tr>
      <w:tr w:rsidR="00E93F58" w:rsidRPr="00576D60" w14:paraId="44ECF0C4" w14:textId="77777777" w:rsidTr="002F32E3">
        <w:trPr>
          <w:cantSplit/>
        </w:trPr>
        <w:tc>
          <w:tcPr>
            <w:tcW w:w="1500" w:type="pct"/>
            <w:shd w:val="clear" w:color="auto" w:fill="auto"/>
          </w:tcPr>
          <w:p w14:paraId="2560E2F3" w14:textId="77777777" w:rsidR="00E93F58" w:rsidRPr="00576D60" w:rsidRDefault="00E93F58" w:rsidP="003D2B1E">
            <w:pPr>
              <w:pStyle w:val="ENoteTableText"/>
            </w:pPr>
          </w:p>
        </w:tc>
        <w:tc>
          <w:tcPr>
            <w:tcW w:w="3500" w:type="pct"/>
            <w:shd w:val="clear" w:color="auto" w:fill="auto"/>
          </w:tcPr>
          <w:p w14:paraId="10EF3C67" w14:textId="77777777" w:rsidR="00E93F58" w:rsidRPr="00576D60" w:rsidRDefault="00E93F58" w:rsidP="003D2B1E">
            <w:pPr>
              <w:pStyle w:val="ENoteTableText"/>
            </w:pPr>
            <w:r>
              <w:t>rs F2023L01458</w:t>
            </w:r>
          </w:p>
        </w:tc>
      </w:tr>
      <w:tr w:rsidR="00E93F58" w:rsidRPr="00576D60" w14:paraId="3EA3A324" w14:textId="77777777" w:rsidTr="002F32E3">
        <w:trPr>
          <w:cantSplit/>
        </w:trPr>
        <w:tc>
          <w:tcPr>
            <w:tcW w:w="1500" w:type="pct"/>
            <w:shd w:val="clear" w:color="auto" w:fill="auto"/>
          </w:tcPr>
          <w:p w14:paraId="50DD75A1" w14:textId="77777777" w:rsidR="00E93F58" w:rsidRPr="00576D60" w:rsidRDefault="00E93F58" w:rsidP="003D2B1E">
            <w:pPr>
              <w:pStyle w:val="ENoteTableText"/>
              <w:tabs>
                <w:tab w:val="left" w:leader="dot" w:pos="2268"/>
              </w:tabs>
            </w:pPr>
            <w:r w:rsidRPr="00576D60">
              <w:t>r 7.10.02</w:t>
            </w:r>
            <w:r w:rsidRPr="00576D60">
              <w:tab/>
            </w:r>
          </w:p>
        </w:tc>
        <w:tc>
          <w:tcPr>
            <w:tcW w:w="3500" w:type="pct"/>
            <w:shd w:val="clear" w:color="auto" w:fill="auto"/>
          </w:tcPr>
          <w:p w14:paraId="5AF686F1" w14:textId="77777777" w:rsidR="00E93F58" w:rsidRPr="00576D60" w:rsidRDefault="00E93F58" w:rsidP="003D2B1E">
            <w:pPr>
              <w:pStyle w:val="ENoteTableText"/>
            </w:pPr>
            <w:r w:rsidRPr="00576D60">
              <w:t>ad No 102, 2006</w:t>
            </w:r>
          </w:p>
        </w:tc>
      </w:tr>
      <w:tr w:rsidR="00E93F58" w:rsidRPr="00576D60" w14:paraId="07103079" w14:textId="77777777" w:rsidTr="002F32E3">
        <w:trPr>
          <w:cantSplit/>
        </w:trPr>
        <w:tc>
          <w:tcPr>
            <w:tcW w:w="1500" w:type="pct"/>
            <w:shd w:val="clear" w:color="auto" w:fill="auto"/>
          </w:tcPr>
          <w:p w14:paraId="26B682E2" w14:textId="77777777" w:rsidR="00E93F58" w:rsidRPr="00576D60" w:rsidRDefault="00E93F58" w:rsidP="003D2B1E">
            <w:pPr>
              <w:pStyle w:val="ENoteTableText"/>
              <w:tabs>
                <w:tab w:val="left" w:leader="dot" w:pos="2268"/>
              </w:tabs>
            </w:pPr>
          </w:p>
        </w:tc>
        <w:tc>
          <w:tcPr>
            <w:tcW w:w="3500" w:type="pct"/>
            <w:shd w:val="clear" w:color="auto" w:fill="auto"/>
          </w:tcPr>
          <w:p w14:paraId="42C7D3AB" w14:textId="77777777" w:rsidR="00E93F58" w:rsidRPr="00576D60" w:rsidRDefault="00E93F58" w:rsidP="003D2B1E">
            <w:pPr>
              <w:pStyle w:val="ENoteTableText"/>
            </w:pPr>
            <w:r w:rsidRPr="00576D60">
              <w:t>am No 247, 2012; No 25, 2013; No 33, 2014; No 88, 2014</w:t>
            </w:r>
          </w:p>
        </w:tc>
      </w:tr>
      <w:tr w:rsidR="00E93F58" w:rsidRPr="00576D60" w14:paraId="70B4EA60" w14:textId="77777777" w:rsidTr="002F32E3">
        <w:trPr>
          <w:cantSplit/>
        </w:trPr>
        <w:tc>
          <w:tcPr>
            <w:tcW w:w="1500" w:type="pct"/>
            <w:shd w:val="clear" w:color="auto" w:fill="auto"/>
          </w:tcPr>
          <w:p w14:paraId="13205446" w14:textId="77777777" w:rsidR="00E93F58" w:rsidRPr="00576D60" w:rsidRDefault="00E93F58" w:rsidP="003D2B1E">
            <w:pPr>
              <w:pStyle w:val="ENoteTableText"/>
              <w:tabs>
                <w:tab w:val="left" w:leader="dot" w:pos="2268"/>
              </w:tabs>
            </w:pPr>
          </w:p>
        </w:tc>
        <w:tc>
          <w:tcPr>
            <w:tcW w:w="3500" w:type="pct"/>
            <w:shd w:val="clear" w:color="auto" w:fill="auto"/>
          </w:tcPr>
          <w:p w14:paraId="5A4DAB63" w14:textId="77777777" w:rsidR="00E93F58" w:rsidRPr="00576D60" w:rsidRDefault="00E93F58" w:rsidP="003D2B1E">
            <w:pPr>
              <w:pStyle w:val="ENoteTableText"/>
            </w:pPr>
            <w:r w:rsidRPr="00576D60">
              <w:t>rs No 185, 2014</w:t>
            </w:r>
          </w:p>
        </w:tc>
      </w:tr>
      <w:tr w:rsidR="00E93F58" w:rsidRPr="00576D60" w14:paraId="24C93FFC" w14:textId="77777777" w:rsidTr="002F32E3">
        <w:trPr>
          <w:cantSplit/>
        </w:trPr>
        <w:tc>
          <w:tcPr>
            <w:tcW w:w="1500" w:type="pct"/>
            <w:shd w:val="clear" w:color="auto" w:fill="auto"/>
          </w:tcPr>
          <w:p w14:paraId="679056EA" w14:textId="77777777" w:rsidR="00E93F58" w:rsidRPr="00576D60" w:rsidRDefault="00E93F58" w:rsidP="003D2B1E">
            <w:pPr>
              <w:pStyle w:val="ENoteTableText"/>
              <w:tabs>
                <w:tab w:val="left" w:leader="dot" w:pos="2268"/>
              </w:tabs>
            </w:pPr>
          </w:p>
        </w:tc>
        <w:tc>
          <w:tcPr>
            <w:tcW w:w="3500" w:type="pct"/>
            <w:shd w:val="clear" w:color="auto" w:fill="auto"/>
          </w:tcPr>
          <w:p w14:paraId="27633A88" w14:textId="77777777" w:rsidR="00E93F58" w:rsidRPr="00576D60" w:rsidRDefault="00E93F58" w:rsidP="003D2B1E">
            <w:pPr>
              <w:pStyle w:val="ENoteTableText"/>
            </w:pPr>
            <w:r w:rsidRPr="00576D60">
              <w:t>am No 92, 2015; No 134, 2015; F2016L00156; F2017L00595; F2018L00096; F2018L01393; F2019L00368; F2019L01351; F2020L00699; F2021L00520; F2021L01186; F2022L00350; F2022L00831; F2023L01394</w:t>
            </w:r>
          </w:p>
        </w:tc>
      </w:tr>
      <w:tr w:rsidR="00E93F58" w:rsidRPr="00576D60" w14:paraId="299E81F1" w14:textId="77777777" w:rsidTr="002F32E3">
        <w:trPr>
          <w:cantSplit/>
        </w:trPr>
        <w:tc>
          <w:tcPr>
            <w:tcW w:w="1500" w:type="pct"/>
            <w:shd w:val="clear" w:color="auto" w:fill="auto"/>
          </w:tcPr>
          <w:p w14:paraId="57A87273" w14:textId="77777777" w:rsidR="00E93F58" w:rsidRPr="00576D60" w:rsidRDefault="00E93F58" w:rsidP="003D2B1E">
            <w:pPr>
              <w:pStyle w:val="ENoteTableText"/>
              <w:tabs>
                <w:tab w:val="left" w:leader="dot" w:pos="2268"/>
              </w:tabs>
            </w:pPr>
            <w:r w:rsidRPr="00576D60">
              <w:t>r 7.10.03</w:t>
            </w:r>
            <w:r w:rsidRPr="00576D60">
              <w:tab/>
            </w:r>
          </w:p>
        </w:tc>
        <w:tc>
          <w:tcPr>
            <w:tcW w:w="3500" w:type="pct"/>
            <w:shd w:val="clear" w:color="auto" w:fill="auto"/>
          </w:tcPr>
          <w:p w14:paraId="743B7FB0" w14:textId="77777777" w:rsidR="00E93F58" w:rsidRPr="00576D60" w:rsidRDefault="00E93F58" w:rsidP="003D2B1E">
            <w:pPr>
              <w:pStyle w:val="ENoteTableText"/>
            </w:pPr>
            <w:r w:rsidRPr="00576D60">
              <w:t>ad No 33, 2014</w:t>
            </w:r>
          </w:p>
        </w:tc>
      </w:tr>
      <w:tr w:rsidR="00E93F58" w:rsidRPr="00576D60" w14:paraId="7CE751F2" w14:textId="77777777" w:rsidTr="002F32E3">
        <w:trPr>
          <w:cantSplit/>
        </w:trPr>
        <w:tc>
          <w:tcPr>
            <w:tcW w:w="1500" w:type="pct"/>
            <w:shd w:val="clear" w:color="auto" w:fill="auto"/>
          </w:tcPr>
          <w:p w14:paraId="40EBCFE5" w14:textId="77777777" w:rsidR="00E93F58" w:rsidRPr="00576D60" w:rsidRDefault="00E93F58" w:rsidP="003D2B1E">
            <w:pPr>
              <w:pStyle w:val="ENoteTableText"/>
              <w:tabs>
                <w:tab w:val="left" w:leader="dot" w:pos="2268"/>
              </w:tabs>
              <w:rPr>
                <w:b/>
              </w:rPr>
            </w:pPr>
            <w:r w:rsidRPr="00576D60">
              <w:rPr>
                <w:b/>
              </w:rPr>
              <w:t>Part 7.10B</w:t>
            </w:r>
          </w:p>
        </w:tc>
        <w:tc>
          <w:tcPr>
            <w:tcW w:w="3500" w:type="pct"/>
            <w:shd w:val="clear" w:color="auto" w:fill="auto"/>
          </w:tcPr>
          <w:p w14:paraId="319359C3" w14:textId="77777777" w:rsidR="00E93F58" w:rsidRPr="00576D60" w:rsidRDefault="00E93F58" w:rsidP="003D2B1E">
            <w:pPr>
              <w:pStyle w:val="ENoteTableText"/>
            </w:pPr>
          </w:p>
        </w:tc>
      </w:tr>
      <w:tr w:rsidR="00E93F58" w:rsidRPr="00576D60" w14:paraId="6FA95732" w14:textId="77777777" w:rsidTr="002F32E3">
        <w:trPr>
          <w:cantSplit/>
        </w:trPr>
        <w:tc>
          <w:tcPr>
            <w:tcW w:w="1500" w:type="pct"/>
            <w:shd w:val="clear" w:color="auto" w:fill="auto"/>
          </w:tcPr>
          <w:p w14:paraId="513FB563" w14:textId="77777777" w:rsidR="00E93F58" w:rsidRPr="00576D60" w:rsidRDefault="00E93F58" w:rsidP="003D2B1E">
            <w:pPr>
              <w:pStyle w:val="ENoteTableText"/>
              <w:tabs>
                <w:tab w:val="left" w:leader="dot" w:pos="2268"/>
              </w:tabs>
            </w:pPr>
            <w:r w:rsidRPr="00576D60">
              <w:t>Part 7.10B</w:t>
            </w:r>
            <w:r w:rsidRPr="00576D60">
              <w:tab/>
            </w:r>
          </w:p>
        </w:tc>
        <w:tc>
          <w:tcPr>
            <w:tcW w:w="3500" w:type="pct"/>
            <w:shd w:val="clear" w:color="auto" w:fill="auto"/>
          </w:tcPr>
          <w:p w14:paraId="141E7634" w14:textId="77777777" w:rsidR="00E93F58" w:rsidRPr="00576D60" w:rsidRDefault="00E93F58" w:rsidP="003D2B1E">
            <w:pPr>
              <w:pStyle w:val="ENoteTableText"/>
            </w:pPr>
            <w:r w:rsidRPr="00576D60">
              <w:t>ad F2023L00988</w:t>
            </w:r>
          </w:p>
        </w:tc>
      </w:tr>
      <w:tr w:rsidR="00E93F58" w:rsidRPr="00576D60" w14:paraId="7A90BB50" w14:textId="77777777" w:rsidTr="002F32E3">
        <w:trPr>
          <w:cantSplit/>
        </w:trPr>
        <w:tc>
          <w:tcPr>
            <w:tcW w:w="1500" w:type="pct"/>
            <w:shd w:val="clear" w:color="auto" w:fill="auto"/>
          </w:tcPr>
          <w:p w14:paraId="4E82FCBE" w14:textId="77777777" w:rsidR="00E93F58" w:rsidRPr="00576D60" w:rsidRDefault="00E93F58" w:rsidP="003D2B1E">
            <w:pPr>
              <w:pStyle w:val="ENoteTableText"/>
              <w:tabs>
                <w:tab w:val="left" w:leader="dot" w:pos="2268"/>
              </w:tabs>
            </w:pPr>
            <w:r w:rsidRPr="00576D60">
              <w:t>r 7.10B.50</w:t>
            </w:r>
            <w:r w:rsidRPr="00576D60">
              <w:tab/>
            </w:r>
          </w:p>
        </w:tc>
        <w:tc>
          <w:tcPr>
            <w:tcW w:w="3500" w:type="pct"/>
            <w:shd w:val="clear" w:color="auto" w:fill="auto"/>
          </w:tcPr>
          <w:p w14:paraId="1226EE4D" w14:textId="77777777" w:rsidR="00E93F58" w:rsidRPr="00576D60" w:rsidRDefault="00E93F58" w:rsidP="003D2B1E">
            <w:pPr>
              <w:pStyle w:val="ENoteTableText"/>
            </w:pPr>
            <w:r w:rsidRPr="00576D60">
              <w:t>ad F2023L00988</w:t>
            </w:r>
          </w:p>
        </w:tc>
      </w:tr>
      <w:tr w:rsidR="00E93F58" w:rsidRPr="00576D60" w14:paraId="6D4B5A01" w14:textId="77777777" w:rsidTr="002F32E3">
        <w:trPr>
          <w:cantSplit/>
        </w:trPr>
        <w:tc>
          <w:tcPr>
            <w:tcW w:w="1500" w:type="pct"/>
            <w:shd w:val="clear" w:color="auto" w:fill="auto"/>
          </w:tcPr>
          <w:p w14:paraId="1D6EE6DF" w14:textId="77777777" w:rsidR="00E93F58" w:rsidRPr="00576D60" w:rsidRDefault="00E93F58" w:rsidP="003D2B1E">
            <w:pPr>
              <w:pStyle w:val="ENoteTableText"/>
              <w:tabs>
                <w:tab w:val="left" w:leader="dot" w:pos="2268"/>
              </w:tabs>
            </w:pPr>
            <w:r w:rsidRPr="00576D60">
              <w:lastRenderedPageBreak/>
              <w:t>r 7.10B.55</w:t>
            </w:r>
            <w:r w:rsidRPr="00576D60">
              <w:tab/>
            </w:r>
          </w:p>
        </w:tc>
        <w:tc>
          <w:tcPr>
            <w:tcW w:w="3500" w:type="pct"/>
            <w:shd w:val="clear" w:color="auto" w:fill="auto"/>
          </w:tcPr>
          <w:p w14:paraId="429BC7C3" w14:textId="77777777" w:rsidR="00E93F58" w:rsidRPr="00576D60" w:rsidRDefault="00E93F58" w:rsidP="003D2B1E">
            <w:pPr>
              <w:pStyle w:val="ENoteTableText"/>
            </w:pPr>
            <w:r w:rsidRPr="00576D60">
              <w:t>ad F2023L00988</w:t>
            </w:r>
          </w:p>
        </w:tc>
      </w:tr>
      <w:tr w:rsidR="00E93F58" w:rsidRPr="00576D60" w14:paraId="16A78603" w14:textId="77777777" w:rsidTr="002F32E3">
        <w:trPr>
          <w:cantSplit/>
        </w:trPr>
        <w:tc>
          <w:tcPr>
            <w:tcW w:w="1500" w:type="pct"/>
            <w:shd w:val="clear" w:color="auto" w:fill="auto"/>
          </w:tcPr>
          <w:p w14:paraId="7EC8D437" w14:textId="77777777" w:rsidR="00E93F58" w:rsidRPr="00576D60" w:rsidRDefault="00E93F58" w:rsidP="003D2B1E">
            <w:pPr>
              <w:pStyle w:val="ENoteTableText"/>
              <w:keepNext/>
              <w:keepLines/>
              <w:tabs>
                <w:tab w:val="left" w:leader="dot" w:pos="2268"/>
              </w:tabs>
              <w:rPr>
                <w:b/>
              </w:rPr>
            </w:pPr>
            <w:r w:rsidRPr="00576D60">
              <w:rPr>
                <w:b/>
              </w:rPr>
              <w:t>Part 7.11</w:t>
            </w:r>
          </w:p>
        </w:tc>
        <w:tc>
          <w:tcPr>
            <w:tcW w:w="3500" w:type="pct"/>
            <w:shd w:val="clear" w:color="auto" w:fill="auto"/>
          </w:tcPr>
          <w:p w14:paraId="79824BEC" w14:textId="77777777" w:rsidR="00E93F58" w:rsidRPr="00576D60" w:rsidRDefault="00E93F58" w:rsidP="003D2B1E">
            <w:pPr>
              <w:pStyle w:val="ENoteTableText"/>
              <w:keepNext/>
              <w:keepLines/>
            </w:pPr>
          </w:p>
        </w:tc>
      </w:tr>
      <w:tr w:rsidR="00E93F58" w:rsidRPr="00576D60" w14:paraId="50ED5822" w14:textId="77777777" w:rsidTr="002F32E3">
        <w:trPr>
          <w:cantSplit/>
        </w:trPr>
        <w:tc>
          <w:tcPr>
            <w:tcW w:w="1500" w:type="pct"/>
            <w:shd w:val="clear" w:color="auto" w:fill="auto"/>
          </w:tcPr>
          <w:p w14:paraId="33CCDC82" w14:textId="77777777" w:rsidR="00E93F58" w:rsidRPr="00576D60" w:rsidRDefault="00E93F58" w:rsidP="003D2B1E">
            <w:pPr>
              <w:pStyle w:val="ENoteTableText"/>
              <w:keepNext/>
              <w:keepLines/>
              <w:tabs>
                <w:tab w:val="left" w:leader="dot" w:pos="2268"/>
              </w:tabs>
              <w:rPr>
                <w:b/>
              </w:rPr>
            </w:pPr>
            <w:r w:rsidRPr="00576D60">
              <w:rPr>
                <w:b/>
              </w:rPr>
              <w:t>Division 1</w:t>
            </w:r>
          </w:p>
        </w:tc>
        <w:tc>
          <w:tcPr>
            <w:tcW w:w="3500" w:type="pct"/>
            <w:shd w:val="clear" w:color="auto" w:fill="auto"/>
          </w:tcPr>
          <w:p w14:paraId="553442A3" w14:textId="77777777" w:rsidR="00E93F58" w:rsidRPr="00576D60" w:rsidRDefault="00E93F58" w:rsidP="003D2B1E">
            <w:pPr>
              <w:pStyle w:val="ENoteTableText"/>
            </w:pPr>
          </w:p>
        </w:tc>
      </w:tr>
      <w:tr w:rsidR="00E93F58" w:rsidRPr="00576D60" w14:paraId="03FCEF54" w14:textId="77777777" w:rsidTr="002F32E3">
        <w:trPr>
          <w:cantSplit/>
        </w:trPr>
        <w:tc>
          <w:tcPr>
            <w:tcW w:w="1500" w:type="pct"/>
            <w:shd w:val="clear" w:color="auto" w:fill="auto"/>
          </w:tcPr>
          <w:p w14:paraId="3C5ADFED" w14:textId="77777777" w:rsidR="00E93F58" w:rsidRPr="00576D60" w:rsidRDefault="00E93F58" w:rsidP="003D2B1E">
            <w:pPr>
              <w:pStyle w:val="ENoteTableText"/>
              <w:tabs>
                <w:tab w:val="left" w:leader="dot" w:pos="2268"/>
              </w:tabs>
            </w:pPr>
            <w:r w:rsidRPr="00576D60">
              <w:t>r 7.11.01</w:t>
            </w:r>
            <w:r w:rsidRPr="00576D60">
              <w:tab/>
            </w:r>
          </w:p>
        </w:tc>
        <w:tc>
          <w:tcPr>
            <w:tcW w:w="3500" w:type="pct"/>
            <w:shd w:val="clear" w:color="auto" w:fill="auto"/>
          </w:tcPr>
          <w:p w14:paraId="054D5D32" w14:textId="77777777" w:rsidR="00E93F58" w:rsidRPr="00576D60" w:rsidRDefault="00E93F58" w:rsidP="003D2B1E">
            <w:pPr>
              <w:pStyle w:val="ENoteTableText"/>
            </w:pPr>
            <w:r w:rsidRPr="00576D60">
              <w:t>rs</w:t>
            </w:r>
            <w:r>
              <w:t xml:space="preserve"> No 319, 2001</w:t>
            </w:r>
          </w:p>
        </w:tc>
      </w:tr>
      <w:tr w:rsidR="00E93F58" w:rsidRPr="00576D60" w14:paraId="6116F22F" w14:textId="77777777" w:rsidTr="002F32E3">
        <w:trPr>
          <w:cantSplit/>
        </w:trPr>
        <w:tc>
          <w:tcPr>
            <w:tcW w:w="1500" w:type="pct"/>
            <w:shd w:val="clear" w:color="auto" w:fill="auto"/>
          </w:tcPr>
          <w:p w14:paraId="19762AC8" w14:textId="77777777" w:rsidR="00E93F58" w:rsidRPr="00576D60" w:rsidRDefault="00E93F58" w:rsidP="003D2B1E">
            <w:pPr>
              <w:pStyle w:val="ENoteTableText"/>
            </w:pPr>
          </w:p>
        </w:tc>
        <w:tc>
          <w:tcPr>
            <w:tcW w:w="3500" w:type="pct"/>
            <w:shd w:val="clear" w:color="auto" w:fill="auto"/>
          </w:tcPr>
          <w:p w14:paraId="6553F626" w14:textId="77777777" w:rsidR="00E93F58" w:rsidRPr="00576D60" w:rsidRDefault="00E93F58" w:rsidP="003D2B1E">
            <w:pPr>
              <w:pStyle w:val="ENoteTableText"/>
            </w:pPr>
            <w:r w:rsidRPr="00576D60">
              <w:t>am</w:t>
            </w:r>
            <w:r>
              <w:t xml:space="preserve"> No 43, 2012; F2023L01458</w:t>
            </w:r>
          </w:p>
        </w:tc>
      </w:tr>
      <w:tr w:rsidR="00E93F58" w:rsidRPr="00576D60" w14:paraId="69236AF0" w14:textId="77777777" w:rsidTr="002F32E3">
        <w:trPr>
          <w:cantSplit/>
        </w:trPr>
        <w:tc>
          <w:tcPr>
            <w:tcW w:w="1500" w:type="pct"/>
            <w:shd w:val="clear" w:color="auto" w:fill="auto"/>
          </w:tcPr>
          <w:p w14:paraId="4855E1DF" w14:textId="77777777" w:rsidR="00E93F58" w:rsidRPr="00576D60" w:rsidRDefault="00E93F58" w:rsidP="003D2B1E">
            <w:pPr>
              <w:pStyle w:val="ENoteTableText"/>
              <w:tabs>
                <w:tab w:val="left" w:leader="dot" w:pos="2268"/>
              </w:tabs>
            </w:pPr>
            <w:r w:rsidRPr="00576D60">
              <w:t>r. 7.11.02</w:t>
            </w:r>
            <w:r w:rsidRPr="00576D60">
              <w:tab/>
            </w:r>
          </w:p>
        </w:tc>
        <w:tc>
          <w:tcPr>
            <w:tcW w:w="3500" w:type="pct"/>
            <w:shd w:val="clear" w:color="auto" w:fill="auto"/>
          </w:tcPr>
          <w:p w14:paraId="21C6F7F6" w14:textId="77777777" w:rsidR="00E93F58" w:rsidRPr="00576D60" w:rsidRDefault="00E93F58" w:rsidP="003D2B1E">
            <w:pPr>
              <w:pStyle w:val="ENoteTableText"/>
            </w:pPr>
            <w:r w:rsidRPr="00576D60">
              <w:t>ad. 2001 No. 319</w:t>
            </w:r>
          </w:p>
        </w:tc>
      </w:tr>
      <w:tr w:rsidR="00E93F58" w:rsidRPr="00576D60" w14:paraId="72DC7AF7" w14:textId="77777777" w:rsidTr="002F32E3">
        <w:trPr>
          <w:cantSplit/>
        </w:trPr>
        <w:tc>
          <w:tcPr>
            <w:tcW w:w="1500" w:type="pct"/>
            <w:shd w:val="clear" w:color="auto" w:fill="auto"/>
          </w:tcPr>
          <w:p w14:paraId="0ECA5979" w14:textId="77777777" w:rsidR="00E93F58" w:rsidRPr="00576D60" w:rsidRDefault="00E93F58" w:rsidP="003D2B1E">
            <w:pPr>
              <w:pStyle w:val="ENoteTableText"/>
            </w:pPr>
          </w:p>
        </w:tc>
        <w:tc>
          <w:tcPr>
            <w:tcW w:w="3500" w:type="pct"/>
            <w:shd w:val="clear" w:color="auto" w:fill="auto"/>
          </w:tcPr>
          <w:p w14:paraId="03D73A19" w14:textId="77777777" w:rsidR="00E93F58" w:rsidRPr="00576D60" w:rsidRDefault="00E93F58" w:rsidP="003D2B1E">
            <w:pPr>
              <w:pStyle w:val="ENoteTableText"/>
            </w:pPr>
            <w:r w:rsidRPr="00576D60">
              <w:t>rep. 2012 No. 43</w:t>
            </w:r>
          </w:p>
        </w:tc>
      </w:tr>
      <w:tr w:rsidR="00E93F58" w:rsidRPr="00576D60" w14:paraId="2BC6302F" w14:textId="77777777" w:rsidTr="002F32E3">
        <w:trPr>
          <w:cantSplit/>
        </w:trPr>
        <w:tc>
          <w:tcPr>
            <w:tcW w:w="1500" w:type="pct"/>
            <w:shd w:val="clear" w:color="auto" w:fill="auto"/>
          </w:tcPr>
          <w:p w14:paraId="0F66442E" w14:textId="77777777" w:rsidR="00E93F58" w:rsidRPr="00576D60" w:rsidRDefault="00E93F58" w:rsidP="003D2B1E">
            <w:pPr>
              <w:pStyle w:val="ENoteTableText"/>
              <w:tabs>
                <w:tab w:val="left" w:leader="dot" w:pos="2268"/>
              </w:tabs>
            </w:pPr>
            <w:r w:rsidRPr="00576D60">
              <w:t>r. 7.11.03</w:t>
            </w:r>
            <w:r w:rsidRPr="00576D60">
              <w:tab/>
            </w:r>
          </w:p>
        </w:tc>
        <w:tc>
          <w:tcPr>
            <w:tcW w:w="3500" w:type="pct"/>
            <w:shd w:val="clear" w:color="auto" w:fill="auto"/>
          </w:tcPr>
          <w:p w14:paraId="6152424B" w14:textId="77777777" w:rsidR="00E93F58" w:rsidRPr="00576D60" w:rsidRDefault="00E93F58" w:rsidP="003D2B1E">
            <w:pPr>
              <w:pStyle w:val="ENoteTableText"/>
            </w:pPr>
            <w:r w:rsidRPr="00576D60">
              <w:t>ad. 2001 No. 319</w:t>
            </w:r>
          </w:p>
        </w:tc>
      </w:tr>
      <w:tr w:rsidR="00E93F58" w:rsidRPr="00576D60" w14:paraId="643CC52D" w14:textId="77777777" w:rsidTr="002F32E3">
        <w:trPr>
          <w:cantSplit/>
        </w:trPr>
        <w:tc>
          <w:tcPr>
            <w:tcW w:w="1500" w:type="pct"/>
            <w:shd w:val="clear" w:color="auto" w:fill="auto"/>
          </w:tcPr>
          <w:p w14:paraId="6D3334FE" w14:textId="77777777" w:rsidR="00E93F58" w:rsidRPr="00576D60" w:rsidRDefault="00E93F58" w:rsidP="003D2B1E">
            <w:pPr>
              <w:pStyle w:val="ENoteTableText"/>
              <w:tabs>
                <w:tab w:val="left" w:leader="dot" w:pos="2268"/>
              </w:tabs>
            </w:pPr>
            <w:r w:rsidRPr="00576D60">
              <w:t>r. 7.11.04</w:t>
            </w:r>
            <w:r w:rsidRPr="00576D60">
              <w:tab/>
            </w:r>
          </w:p>
        </w:tc>
        <w:tc>
          <w:tcPr>
            <w:tcW w:w="3500" w:type="pct"/>
            <w:shd w:val="clear" w:color="auto" w:fill="auto"/>
          </w:tcPr>
          <w:p w14:paraId="6084DDC5" w14:textId="77777777" w:rsidR="00E93F58" w:rsidRPr="00576D60" w:rsidRDefault="00E93F58" w:rsidP="003D2B1E">
            <w:pPr>
              <w:pStyle w:val="ENoteTableText"/>
            </w:pPr>
            <w:r w:rsidRPr="00576D60">
              <w:t>ad. 2001 No. 319</w:t>
            </w:r>
          </w:p>
        </w:tc>
      </w:tr>
      <w:tr w:rsidR="00E93F58" w:rsidRPr="00576D60" w14:paraId="4F1E137E" w14:textId="77777777" w:rsidTr="002F32E3">
        <w:trPr>
          <w:cantSplit/>
        </w:trPr>
        <w:tc>
          <w:tcPr>
            <w:tcW w:w="1500" w:type="pct"/>
            <w:shd w:val="clear" w:color="auto" w:fill="auto"/>
          </w:tcPr>
          <w:p w14:paraId="0A653DCC" w14:textId="77777777" w:rsidR="00E93F58" w:rsidRPr="00576D60" w:rsidRDefault="00E93F58" w:rsidP="003D2B1E">
            <w:pPr>
              <w:pStyle w:val="ENoteTableText"/>
              <w:tabs>
                <w:tab w:val="left" w:leader="dot" w:pos="2268"/>
              </w:tabs>
            </w:pPr>
            <w:r w:rsidRPr="00576D60">
              <w:t>r. 7.11.05</w:t>
            </w:r>
            <w:r w:rsidRPr="00576D60">
              <w:tab/>
            </w:r>
          </w:p>
        </w:tc>
        <w:tc>
          <w:tcPr>
            <w:tcW w:w="3500" w:type="pct"/>
            <w:shd w:val="clear" w:color="auto" w:fill="auto"/>
          </w:tcPr>
          <w:p w14:paraId="6900648B" w14:textId="77777777" w:rsidR="00E93F58" w:rsidRPr="00576D60" w:rsidRDefault="00E93F58" w:rsidP="003D2B1E">
            <w:pPr>
              <w:pStyle w:val="ENoteTableText"/>
            </w:pPr>
            <w:r w:rsidRPr="00576D60">
              <w:t>ad. 2001 No. 319</w:t>
            </w:r>
          </w:p>
        </w:tc>
      </w:tr>
      <w:tr w:rsidR="00E93F58" w:rsidRPr="00576D60" w14:paraId="3BBC35B7" w14:textId="77777777" w:rsidTr="002F32E3">
        <w:trPr>
          <w:cantSplit/>
        </w:trPr>
        <w:tc>
          <w:tcPr>
            <w:tcW w:w="1500" w:type="pct"/>
            <w:shd w:val="clear" w:color="auto" w:fill="auto"/>
          </w:tcPr>
          <w:p w14:paraId="4FDEB14C" w14:textId="77777777" w:rsidR="00E93F58" w:rsidRPr="00576D60" w:rsidRDefault="00E93F58" w:rsidP="003D2B1E">
            <w:pPr>
              <w:pStyle w:val="ENoteTableText"/>
              <w:tabs>
                <w:tab w:val="left" w:leader="dot" w:pos="2268"/>
              </w:tabs>
            </w:pPr>
            <w:r w:rsidRPr="00576D60">
              <w:t>r. 7.11.06</w:t>
            </w:r>
            <w:r w:rsidRPr="00576D60">
              <w:tab/>
            </w:r>
          </w:p>
        </w:tc>
        <w:tc>
          <w:tcPr>
            <w:tcW w:w="3500" w:type="pct"/>
            <w:shd w:val="clear" w:color="auto" w:fill="auto"/>
          </w:tcPr>
          <w:p w14:paraId="2D44995C" w14:textId="77777777" w:rsidR="00E93F58" w:rsidRPr="00576D60" w:rsidRDefault="00E93F58" w:rsidP="003D2B1E">
            <w:pPr>
              <w:pStyle w:val="ENoteTableText"/>
            </w:pPr>
            <w:r w:rsidRPr="00576D60">
              <w:t>ad. 2001 No. 319</w:t>
            </w:r>
          </w:p>
        </w:tc>
      </w:tr>
      <w:tr w:rsidR="00E93F58" w:rsidRPr="00576D60" w14:paraId="1FE50604" w14:textId="77777777" w:rsidTr="002F32E3">
        <w:trPr>
          <w:cantSplit/>
        </w:trPr>
        <w:tc>
          <w:tcPr>
            <w:tcW w:w="1500" w:type="pct"/>
            <w:shd w:val="clear" w:color="auto" w:fill="auto"/>
          </w:tcPr>
          <w:p w14:paraId="3E657869" w14:textId="77777777" w:rsidR="00E93F58" w:rsidRPr="00576D60" w:rsidRDefault="00E93F58" w:rsidP="003D2B1E">
            <w:pPr>
              <w:pStyle w:val="ENoteTableText"/>
              <w:tabs>
                <w:tab w:val="left" w:leader="dot" w:pos="2268"/>
              </w:tabs>
            </w:pPr>
            <w:r w:rsidRPr="00576D60">
              <w:t>r. 7.11.07</w:t>
            </w:r>
            <w:r w:rsidRPr="00576D60">
              <w:tab/>
            </w:r>
          </w:p>
        </w:tc>
        <w:tc>
          <w:tcPr>
            <w:tcW w:w="3500" w:type="pct"/>
            <w:shd w:val="clear" w:color="auto" w:fill="auto"/>
          </w:tcPr>
          <w:p w14:paraId="55C92032" w14:textId="77777777" w:rsidR="00E93F58" w:rsidRPr="00576D60" w:rsidRDefault="00E93F58" w:rsidP="003D2B1E">
            <w:pPr>
              <w:pStyle w:val="ENoteTableText"/>
            </w:pPr>
            <w:r w:rsidRPr="00576D60">
              <w:t>ad. 2001 No. 319</w:t>
            </w:r>
          </w:p>
        </w:tc>
      </w:tr>
      <w:tr w:rsidR="00E93F58" w:rsidRPr="00576D60" w14:paraId="34F8718A" w14:textId="77777777" w:rsidTr="002F32E3">
        <w:trPr>
          <w:cantSplit/>
        </w:trPr>
        <w:tc>
          <w:tcPr>
            <w:tcW w:w="1500" w:type="pct"/>
            <w:shd w:val="clear" w:color="auto" w:fill="auto"/>
          </w:tcPr>
          <w:p w14:paraId="302497DA" w14:textId="77777777" w:rsidR="00E93F58" w:rsidRPr="00576D60" w:rsidRDefault="00E93F58" w:rsidP="003D2B1E">
            <w:pPr>
              <w:pStyle w:val="ENoteTableText"/>
              <w:tabs>
                <w:tab w:val="left" w:leader="dot" w:pos="2268"/>
              </w:tabs>
            </w:pPr>
            <w:r w:rsidRPr="00576D60">
              <w:t>r. 7.11.08</w:t>
            </w:r>
            <w:r w:rsidRPr="00576D60">
              <w:tab/>
            </w:r>
          </w:p>
        </w:tc>
        <w:tc>
          <w:tcPr>
            <w:tcW w:w="3500" w:type="pct"/>
            <w:shd w:val="clear" w:color="auto" w:fill="auto"/>
          </w:tcPr>
          <w:p w14:paraId="06E25C38" w14:textId="77777777" w:rsidR="00E93F58" w:rsidRPr="00576D60" w:rsidRDefault="00E93F58" w:rsidP="003D2B1E">
            <w:pPr>
              <w:pStyle w:val="ENoteTableText"/>
            </w:pPr>
            <w:r w:rsidRPr="00576D60">
              <w:t>ad. 2001 No. 319</w:t>
            </w:r>
          </w:p>
        </w:tc>
      </w:tr>
      <w:tr w:rsidR="00E93F58" w:rsidRPr="00576D60" w14:paraId="5F5D6D3A" w14:textId="77777777" w:rsidTr="002F32E3">
        <w:trPr>
          <w:cantSplit/>
        </w:trPr>
        <w:tc>
          <w:tcPr>
            <w:tcW w:w="1500" w:type="pct"/>
            <w:shd w:val="clear" w:color="auto" w:fill="auto"/>
          </w:tcPr>
          <w:p w14:paraId="3A288084" w14:textId="77777777" w:rsidR="00E93F58" w:rsidRPr="00576D60" w:rsidRDefault="00E93F58" w:rsidP="003D2B1E">
            <w:pPr>
              <w:pStyle w:val="ENoteTableText"/>
              <w:keepNext/>
              <w:tabs>
                <w:tab w:val="left" w:leader="dot" w:pos="2268"/>
              </w:tabs>
              <w:rPr>
                <w:b/>
              </w:rPr>
            </w:pPr>
            <w:r>
              <w:rPr>
                <w:b/>
              </w:rPr>
              <w:t>Division 2</w:t>
            </w:r>
          </w:p>
        </w:tc>
        <w:tc>
          <w:tcPr>
            <w:tcW w:w="3500" w:type="pct"/>
            <w:shd w:val="clear" w:color="auto" w:fill="auto"/>
          </w:tcPr>
          <w:p w14:paraId="3ED7296F" w14:textId="77777777" w:rsidR="00E93F58" w:rsidRPr="00576D60" w:rsidRDefault="00E93F58" w:rsidP="003D2B1E">
            <w:pPr>
              <w:pStyle w:val="ENoteTableText"/>
            </w:pPr>
          </w:p>
        </w:tc>
      </w:tr>
      <w:tr w:rsidR="00E93F58" w:rsidRPr="00576D60" w14:paraId="47856211" w14:textId="77777777" w:rsidTr="002F32E3">
        <w:trPr>
          <w:cantSplit/>
        </w:trPr>
        <w:tc>
          <w:tcPr>
            <w:tcW w:w="1500" w:type="pct"/>
            <w:shd w:val="clear" w:color="auto" w:fill="auto"/>
          </w:tcPr>
          <w:p w14:paraId="1E34251C" w14:textId="77777777" w:rsidR="00E93F58" w:rsidRPr="00576D60" w:rsidRDefault="00E93F58" w:rsidP="003D2B1E">
            <w:pPr>
              <w:pStyle w:val="ENoteTableText"/>
              <w:tabs>
                <w:tab w:val="left" w:leader="dot" w:pos="2268"/>
              </w:tabs>
            </w:pPr>
            <w:r w:rsidRPr="00576D60">
              <w:t>r. 7.11.09</w:t>
            </w:r>
            <w:r w:rsidRPr="00576D60">
              <w:tab/>
            </w:r>
          </w:p>
        </w:tc>
        <w:tc>
          <w:tcPr>
            <w:tcW w:w="3500" w:type="pct"/>
            <w:shd w:val="clear" w:color="auto" w:fill="auto"/>
          </w:tcPr>
          <w:p w14:paraId="5180713F" w14:textId="77777777" w:rsidR="00E93F58" w:rsidRPr="00576D60" w:rsidRDefault="00E93F58" w:rsidP="003D2B1E">
            <w:pPr>
              <w:pStyle w:val="ENoteTableText"/>
            </w:pPr>
            <w:r w:rsidRPr="00576D60">
              <w:t>ad. 2001 No. 319</w:t>
            </w:r>
          </w:p>
        </w:tc>
      </w:tr>
      <w:tr w:rsidR="00E93F58" w:rsidRPr="00576D60" w14:paraId="35C27E37" w14:textId="77777777" w:rsidTr="002F32E3">
        <w:trPr>
          <w:cantSplit/>
        </w:trPr>
        <w:tc>
          <w:tcPr>
            <w:tcW w:w="1500" w:type="pct"/>
            <w:shd w:val="clear" w:color="auto" w:fill="auto"/>
          </w:tcPr>
          <w:p w14:paraId="630FFA65" w14:textId="77777777" w:rsidR="00E93F58" w:rsidRPr="00576D60" w:rsidRDefault="00E93F58" w:rsidP="003D2B1E">
            <w:pPr>
              <w:pStyle w:val="ENoteTableText"/>
              <w:keepNext/>
              <w:tabs>
                <w:tab w:val="left" w:leader="dot" w:pos="2268"/>
              </w:tabs>
              <w:rPr>
                <w:b/>
              </w:rPr>
            </w:pPr>
            <w:r w:rsidRPr="00576D60">
              <w:rPr>
                <w:b/>
              </w:rPr>
              <w:t>Division 3</w:t>
            </w:r>
          </w:p>
        </w:tc>
        <w:tc>
          <w:tcPr>
            <w:tcW w:w="3500" w:type="pct"/>
            <w:shd w:val="clear" w:color="auto" w:fill="auto"/>
          </w:tcPr>
          <w:p w14:paraId="7705D4D2" w14:textId="77777777" w:rsidR="00E93F58" w:rsidRPr="00576D60" w:rsidRDefault="00E93F58" w:rsidP="003D2B1E">
            <w:pPr>
              <w:pStyle w:val="ENoteTableText"/>
            </w:pPr>
          </w:p>
        </w:tc>
      </w:tr>
      <w:tr w:rsidR="00E93F58" w:rsidRPr="00576D60" w14:paraId="007E2283" w14:textId="77777777" w:rsidTr="002F32E3">
        <w:trPr>
          <w:cantSplit/>
        </w:trPr>
        <w:tc>
          <w:tcPr>
            <w:tcW w:w="1500" w:type="pct"/>
            <w:shd w:val="clear" w:color="auto" w:fill="auto"/>
          </w:tcPr>
          <w:p w14:paraId="0170DCA0" w14:textId="77777777" w:rsidR="00E93F58" w:rsidRPr="00576D60" w:rsidRDefault="00E93F58" w:rsidP="003D2B1E">
            <w:pPr>
              <w:pStyle w:val="ENoteTableText"/>
              <w:tabs>
                <w:tab w:val="left" w:leader="dot" w:pos="2268"/>
              </w:tabs>
            </w:pPr>
            <w:r w:rsidRPr="00576D60">
              <w:t>r. 7.11.10</w:t>
            </w:r>
            <w:r w:rsidRPr="00576D60">
              <w:tab/>
            </w:r>
          </w:p>
        </w:tc>
        <w:tc>
          <w:tcPr>
            <w:tcW w:w="3500" w:type="pct"/>
            <w:shd w:val="clear" w:color="auto" w:fill="auto"/>
          </w:tcPr>
          <w:p w14:paraId="61CC9507" w14:textId="77777777" w:rsidR="00E93F58" w:rsidRPr="00576D60" w:rsidRDefault="00E93F58" w:rsidP="003D2B1E">
            <w:pPr>
              <w:pStyle w:val="ENoteTableText"/>
            </w:pPr>
            <w:r w:rsidRPr="00576D60">
              <w:t>ad. 2001 No. 319</w:t>
            </w:r>
          </w:p>
        </w:tc>
      </w:tr>
      <w:tr w:rsidR="00E93F58" w:rsidRPr="00576D60" w14:paraId="0E2CAEB1" w14:textId="77777777" w:rsidTr="002F32E3">
        <w:trPr>
          <w:cantSplit/>
        </w:trPr>
        <w:tc>
          <w:tcPr>
            <w:tcW w:w="1500" w:type="pct"/>
            <w:shd w:val="clear" w:color="auto" w:fill="auto"/>
          </w:tcPr>
          <w:p w14:paraId="01FEA8ED" w14:textId="77777777" w:rsidR="00E93F58" w:rsidRPr="00576D60" w:rsidRDefault="00E93F58" w:rsidP="003D2B1E">
            <w:pPr>
              <w:pStyle w:val="ENoteTableText"/>
              <w:tabs>
                <w:tab w:val="left" w:leader="dot" w:pos="2268"/>
              </w:tabs>
            </w:pPr>
            <w:r w:rsidRPr="00576D60">
              <w:t>r. 7.11.11</w:t>
            </w:r>
            <w:r w:rsidRPr="00576D60">
              <w:tab/>
            </w:r>
          </w:p>
        </w:tc>
        <w:tc>
          <w:tcPr>
            <w:tcW w:w="3500" w:type="pct"/>
            <w:shd w:val="clear" w:color="auto" w:fill="auto"/>
          </w:tcPr>
          <w:p w14:paraId="21A33B75" w14:textId="77777777" w:rsidR="00E93F58" w:rsidRPr="00576D60" w:rsidRDefault="00E93F58" w:rsidP="003D2B1E">
            <w:pPr>
              <w:pStyle w:val="ENoteTableText"/>
            </w:pPr>
            <w:r w:rsidRPr="00576D60">
              <w:t>ad. 2001 No. 319</w:t>
            </w:r>
          </w:p>
        </w:tc>
      </w:tr>
      <w:tr w:rsidR="00E93F58" w:rsidRPr="00576D60" w14:paraId="58523011" w14:textId="77777777" w:rsidTr="002F32E3">
        <w:trPr>
          <w:cantSplit/>
        </w:trPr>
        <w:tc>
          <w:tcPr>
            <w:tcW w:w="1500" w:type="pct"/>
            <w:shd w:val="clear" w:color="auto" w:fill="auto"/>
          </w:tcPr>
          <w:p w14:paraId="63366373" w14:textId="77777777" w:rsidR="00E93F58" w:rsidRPr="00576D60" w:rsidRDefault="00E93F58" w:rsidP="003D2B1E">
            <w:pPr>
              <w:pStyle w:val="ENoteTableText"/>
              <w:tabs>
                <w:tab w:val="left" w:leader="dot" w:pos="2268"/>
              </w:tabs>
            </w:pPr>
            <w:r w:rsidRPr="00576D60">
              <w:t>r 7.11.12</w:t>
            </w:r>
            <w:r w:rsidRPr="00576D60">
              <w:tab/>
            </w:r>
          </w:p>
        </w:tc>
        <w:tc>
          <w:tcPr>
            <w:tcW w:w="3500" w:type="pct"/>
            <w:shd w:val="clear" w:color="auto" w:fill="auto"/>
          </w:tcPr>
          <w:p w14:paraId="38921C3D" w14:textId="77777777" w:rsidR="00E93F58" w:rsidRPr="00576D60" w:rsidRDefault="00E93F58" w:rsidP="003D2B1E">
            <w:pPr>
              <w:pStyle w:val="ENoteTableText"/>
            </w:pPr>
            <w:r w:rsidRPr="00576D60">
              <w:t>ad</w:t>
            </w:r>
            <w:r>
              <w:t xml:space="preserve"> No 319, 2001</w:t>
            </w:r>
          </w:p>
        </w:tc>
      </w:tr>
      <w:tr w:rsidR="00E93F58" w:rsidRPr="00576D60" w14:paraId="69BD6E06" w14:textId="77777777" w:rsidTr="002F32E3">
        <w:trPr>
          <w:cantSplit/>
        </w:trPr>
        <w:tc>
          <w:tcPr>
            <w:tcW w:w="1500" w:type="pct"/>
            <w:shd w:val="clear" w:color="auto" w:fill="auto"/>
          </w:tcPr>
          <w:p w14:paraId="640AE932" w14:textId="77777777" w:rsidR="00E93F58" w:rsidRPr="00576D60" w:rsidRDefault="00E93F58" w:rsidP="003D2B1E">
            <w:pPr>
              <w:pStyle w:val="ENoteTableText"/>
            </w:pPr>
          </w:p>
        </w:tc>
        <w:tc>
          <w:tcPr>
            <w:tcW w:w="3500" w:type="pct"/>
            <w:shd w:val="clear" w:color="auto" w:fill="auto"/>
          </w:tcPr>
          <w:p w14:paraId="11A10805" w14:textId="77777777" w:rsidR="00E93F58" w:rsidRPr="00576D60" w:rsidRDefault="00E93F58" w:rsidP="003D2B1E">
            <w:pPr>
              <w:pStyle w:val="ENoteTableText"/>
            </w:pPr>
            <w:r w:rsidRPr="00576D60">
              <w:t>rs</w:t>
            </w:r>
            <w:r>
              <w:t xml:space="preserve"> No 43, 2012</w:t>
            </w:r>
          </w:p>
        </w:tc>
      </w:tr>
      <w:tr w:rsidR="00E93F58" w:rsidRPr="00576D60" w14:paraId="5189EEC1" w14:textId="77777777" w:rsidTr="002F32E3">
        <w:trPr>
          <w:cantSplit/>
        </w:trPr>
        <w:tc>
          <w:tcPr>
            <w:tcW w:w="1500" w:type="pct"/>
            <w:shd w:val="clear" w:color="auto" w:fill="auto"/>
          </w:tcPr>
          <w:p w14:paraId="2332BD97" w14:textId="77777777" w:rsidR="00E93F58" w:rsidRPr="00576D60" w:rsidRDefault="00E93F58" w:rsidP="003D2B1E">
            <w:pPr>
              <w:pStyle w:val="ENoteTableText"/>
            </w:pPr>
          </w:p>
        </w:tc>
        <w:tc>
          <w:tcPr>
            <w:tcW w:w="3500" w:type="pct"/>
            <w:shd w:val="clear" w:color="auto" w:fill="auto"/>
          </w:tcPr>
          <w:p w14:paraId="6CA0026D" w14:textId="77777777" w:rsidR="00E93F58" w:rsidRPr="00576D60" w:rsidRDefault="00E93F58" w:rsidP="003D2B1E">
            <w:pPr>
              <w:pStyle w:val="ENoteTableText"/>
            </w:pPr>
            <w:r>
              <w:t>am F2023L01458</w:t>
            </w:r>
          </w:p>
        </w:tc>
      </w:tr>
      <w:tr w:rsidR="00E93F58" w:rsidRPr="00576D60" w14:paraId="1A455CF8" w14:textId="77777777" w:rsidTr="002F32E3">
        <w:trPr>
          <w:cantSplit/>
        </w:trPr>
        <w:tc>
          <w:tcPr>
            <w:tcW w:w="1500" w:type="pct"/>
            <w:shd w:val="clear" w:color="auto" w:fill="auto"/>
          </w:tcPr>
          <w:p w14:paraId="33995654" w14:textId="77777777" w:rsidR="00E93F58" w:rsidRPr="00576D60" w:rsidRDefault="00E93F58" w:rsidP="003D2B1E">
            <w:pPr>
              <w:pStyle w:val="ENoteTableText"/>
              <w:tabs>
                <w:tab w:val="left" w:leader="dot" w:pos="2268"/>
              </w:tabs>
            </w:pPr>
            <w:r w:rsidRPr="00576D60">
              <w:t>r. 7.11.13</w:t>
            </w:r>
            <w:r w:rsidRPr="00576D60">
              <w:tab/>
            </w:r>
          </w:p>
        </w:tc>
        <w:tc>
          <w:tcPr>
            <w:tcW w:w="3500" w:type="pct"/>
            <w:shd w:val="clear" w:color="auto" w:fill="auto"/>
          </w:tcPr>
          <w:p w14:paraId="1C91A3CB" w14:textId="77777777" w:rsidR="00E93F58" w:rsidRPr="00576D60" w:rsidRDefault="00E93F58" w:rsidP="003D2B1E">
            <w:pPr>
              <w:pStyle w:val="ENoteTableText"/>
            </w:pPr>
            <w:r w:rsidRPr="00576D60">
              <w:t>ad. 2001 No. 319</w:t>
            </w:r>
          </w:p>
        </w:tc>
      </w:tr>
      <w:tr w:rsidR="00E93F58" w:rsidRPr="00576D60" w14:paraId="6AB3A509" w14:textId="77777777" w:rsidTr="002F32E3">
        <w:trPr>
          <w:cantSplit/>
        </w:trPr>
        <w:tc>
          <w:tcPr>
            <w:tcW w:w="1500" w:type="pct"/>
            <w:shd w:val="clear" w:color="auto" w:fill="auto"/>
          </w:tcPr>
          <w:p w14:paraId="720C4EBD" w14:textId="77777777" w:rsidR="00E93F58" w:rsidRPr="00576D60" w:rsidRDefault="00E93F58" w:rsidP="003D2B1E">
            <w:pPr>
              <w:pStyle w:val="ENoteTableText"/>
            </w:pPr>
          </w:p>
        </w:tc>
        <w:tc>
          <w:tcPr>
            <w:tcW w:w="3500" w:type="pct"/>
            <w:shd w:val="clear" w:color="auto" w:fill="auto"/>
          </w:tcPr>
          <w:p w14:paraId="5D358EC9" w14:textId="77777777" w:rsidR="00E93F58" w:rsidRPr="00576D60" w:rsidRDefault="00E93F58" w:rsidP="003D2B1E">
            <w:pPr>
              <w:pStyle w:val="ENoteTableText"/>
            </w:pPr>
            <w:r w:rsidRPr="00576D60">
              <w:t>rs. 2012 No. 43</w:t>
            </w:r>
          </w:p>
        </w:tc>
      </w:tr>
      <w:tr w:rsidR="00E93F58" w:rsidRPr="00576D60" w14:paraId="12DBA1EB" w14:textId="77777777" w:rsidTr="002F32E3">
        <w:trPr>
          <w:cantSplit/>
        </w:trPr>
        <w:tc>
          <w:tcPr>
            <w:tcW w:w="1500" w:type="pct"/>
            <w:shd w:val="clear" w:color="auto" w:fill="auto"/>
          </w:tcPr>
          <w:p w14:paraId="08CF3951" w14:textId="77777777" w:rsidR="00E93F58" w:rsidRPr="00576D60" w:rsidRDefault="00E93F58" w:rsidP="003D2B1E">
            <w:pPr>
              <w:pStyle w:val="ENoteTableText"/>
              <w:tabs>
                <w:tab w:val="left" w:leader="dot" w:pos="2268"/>
              </w:tabs>
            </w:pPr>
            <w:r w:rsidRPr="00576D60">
              <w:t>r. 7.11.14</w:t>
            </w:r>
            <w:r w:rsidRPr="00576D60">
              <w:tab/>
            </w:r>
          </w:p>
        </w:tc>
        <w:tc>
          <w:tcPr>
            <w:tcW w:w="3500" w:type="pct"/>
            <w:shd w:val="clear" w:color="auto" w:fill="auto"/>
          </w:tcPr>
          <w:p w14:paraId="10D6933F" w14:textId="77777777" w:rsidR="00E93F58" w:rsidRPr="00576D60" w:rsidRDefault="00E93F58" w:rsidP="003D2B1E">
            <w:pPr>
              <w:pStyle w:val="ENoteTableText"/>
            </w:pPr>
            <w:r w:rsidRPr="00576D60">
              <w:t>ad. 2001 No. 319</w:t>
            </w:r>
          </w:p>
        </w:tc>
      </w:tr>
      <w:tr w:rsidR="00E93F58" w:rsidRPr="00576D60" w14:paraId="53B8E973" w14:textId="77777777" w:rsidTr="002F32E3">
        <w:trPr>
          <w:cantSplit/>
        </w:trPr>
        <w:tc>
          <w:tcPr>
            <w:tcW w:w="1500" w:type="pct"/>
            <w:shd w:val="clear" w:color="auto" w:fill="auto"/>
          </w:tcPr>
          <w:p w14:paraId="0EDF7989" w14:textId="77777777" w:rsidR="00E93F58" w:rsidRPr="00576D60" w:rsidRDefault="00E93F58" w:rsidP="003D2B1E">
            <w:pPr>
              <w:pStyle w:val="ENoteTableText"/>
              <w:tabs>
                <w:tab w:val="left" w:leader="dot" w:pos="2268"/>
              </w:tabs>
            </w:pPr>
            <w:r w:rsidRPr="00576D60">
              <w:t>r. 7.11.15</w:t>
            </w:r>
            <w:r w:rsidRPr="00576D60">
              <w:tab/>
            </w:r>
          </w:p>
        </w:tc>
        <w:tc>
          <w:tcPr>
            <w:tcW w:w="3500" w:type="pct"/>
            <w:shd w:val="clear" w:color="auto" w:fill="auto"/>
          </w:tcPr>
          <w:p w14:paraId="2E4622FC" w14:textId="77777777" w:rsidR="00E93F58" w:rsidRPr="00576D60" w:rsidRDefault="00E93F58" w:rsidP="003D2B1E">
            <w:pPr>
              <w:pStyle w:val="ENoteTableText"/>
            </w:pPr>
            <w:r w:rsidRPr="00576D60">
              <w:t>ad. 2001 No. 319</w:t>
            </w:r>
          </w:p>
        </w:tc>
      </w:tr>
      <w:tr w:rsidR="00E93F58" w:rsidRPr="00576D60" w14:paraId="1F3622E5" w14:textId="77777777" w:rsidTr="002F32E3">
        <w:trPr>
          <w:cantSplit/>
        </w:trPr>
        <w:tc>
          <w:tcPr>
            <w:tcW w:w="1500" w:type="pct"/>
            <w:shd w:val="clear" w:color="auto" w:fill="auto"/>
          </w:tcPr>
          <w:p w14:paraId="77E0BAB0" w14:textId="77777777" w:rsidR="00E93F58" w:rsidRPr="00576D60" w:rsidRDefault="00E93F58" w:rsidP="003D2B1E">
            <w:pPr>
              <w:pStyle w:val="ENoteTableText"/>
              <w:tabs>
                <w:tab w:val="left" w:leader="dot" w:pos="2268"/>
              </w:tabs>
            </w:pPr>
            <w:r w:rsidRPr="00576D60">
              <w:t>r. 7.11.16</w:t>
            </w:r>
            <w:r w:rsidRPr="00576D60">
              <w:tab/>
            </w:r>
          </w:p>
        </w:tc>
        <w:tc>
          <w:tcPr>
            <w:tcW w:w="3500" w:type="pct"/>
            <w:shd w:val="clear" w:color="auto" w:fill="auto"/>
          </w:tcPr>
          <w:p w14:paraId="0366F0F2" w14:textId="77777777" w:rsidR="00E93F58" w:rsidRPr="00576D60" w:rsidRDefault="00E93F58" w:rsidP="003D2B1E">
            <w:pPr>
              <w:pStyle w:val="ENoteTableText"/>
            </w:pPr>
            <w:r w:rsidRPr="00576D60">
              <w:t>ad. 2001 No. 319</w:t>
            </w:r>
          </w:p>
        </w:tc>
      </w:tr>
      <w:tr w:rsidR="00E93F58" w:rsidRPr="00576D60" w14:paraId="228B5477" w14:textId="77777777" w:rsidTr="002F32E3">
        <w:trPr>
          <w:cantSplit/>
        </w:trPr>
        <w:tc>
          <w:tcPr>
            <w:tcW w:w="1500" w:type="pct"/>
            <w:shd w:val="clear" w:color="auto" w:fill="auto"/>
          </w:tcPr>
          <w:p w14:paraId="7AE580C2" w14:textId="77777777" w:rsidR="00E93F58" w:rsidRPr="00576D60" w:rsidRDefault="00E93F58" w:rsidP="003D2B1E">
            <w:pPr>
              <w:pStyle w:val="ENoteTableText"/>
              <w:tabs>
                <w:tab w:val="left" w:leader="dot" w:pos="2268"/>
              </w:tabs>
            </w:pPr>
            <w:r w:rsidRPr="00576D60">
              <w:t>r. 7.11.17</w:t>
            </w:r>
            <w:r w:rsidRPr="00576D60">
              <w:tab/>
            </w:r>
          </w:p>
        </w:tc>
        <w:tc>
          <w:tcPr>
            <w:tcW w:w="3500" w:type="pct"/>
            <w:shd w:val="clear" w:color="auto" w:fill="auto"/>
          </w:tcPr>
          <w:p w14:paraId="51897CF3" w14:textId="77777777" w:rsidR="00E93F58" w:rsidRPr="00576D60" w:rsidRDefault="00E93F58" w:rsidP="003D2B1E">
            <w:pPr>
              <w:pStyle w:val="ENoteTableText"/>
            </w:pPr>
            <w:r w:rsidRPr="00576D60">
              <w:t>ad. 2001 No. 319</w:t>
            </w:r>
          </w:p>
        </w:tc>
      </w:tr>
      <w:tr w:rsidR="00E93F58" w:rsidRPr="00576D60" w14:paraId="098167F3" w14:textId="77777777" w:rsidTr="002F32E3">
        <w:trPr>
          <w:cantSplit/>
        </w:trPr>
        <w:tc>
          <w:tcPr>
            <w:tcW w:w="1500" w:type="pct"/>
            <w:shd w:val="clear" w:color="auto" w:fill="auto"/>
          </w:tcPr>
          <w:p w14:paraId="56341911" w14:textId="77777777" w:rsidR="00E93F58" w:rsidRPr="00576D60" w:rsidRDefault="00E93F58" w:rsidP="003D2B1E">
            <w:pPr>
              <w:pStyle w:val="ENoteTableText"/>
              <w:tabs>
                <w:tab w:val="left" w:leader="dot" w:pos="2268"/>
              </w:tabs>
            </w:pPr>
            <w:r w:rsidRPr="00576D60">
              <w:t>r. 7.11.18</w:t>
            </w:r>
            <w:r w:rsidRPr="00576D60">
              <w:tab/>
            </w:r>
          </w:p>
        </w:tc>
        <w:tc>
          <w:tcPr>
            <w:tcW w:w="3500" w:type="pct"/>
            <w:shd w:val="clear" w:color="auto" w:fill="auto"/>
          </w:tcPr>
          <w:p w14:paraId="27B29817" w14:textId="77777777" w:rsidR="00E93F58" w:rsidRPr="00576D60" w:rsidRDefault="00E93F58" w:rsidP="003D2B1E">
            <w:pPr>
              <w:pStyle w:val="ENoteTableText"/>
            </w:pPr>
            <w:r w:rsidRPr="00576D60">
              <w:t>ad. 2001 No. 319</w:t>
            </w:r>
          </w:p>
        </w:tc>
      </w:tr>
      <w:tr w:rsidR="00E93F58" w:rsidRPr="00576D60" w14:paraId="26CFC423" w14:textId="77777777" w:rsidTr="002F32E3">
        <w:trPr>
          <w:cantSplit/>
        </w:trPr>
        <w:tc>
          <w:tcPr>
            <w:tcW w:w="1500" w:type="pct"/>
            <w:shd w:val="clear" w:color="auto" w:fill="auto"/>
          </w:tcPr>
          <w:p w14:paraId="447D9498" w14:textId="77777777" w:rsidR="00E93F58" w:rsidRPr="00576D60" w:rsidRDefault="00E93F58" w:rsidP="003D2B1E">
            <w:pPr>
              <w:pStyle w:val="ENoteTableText"/>
              <w:tabs>
                <w:tab w:val="left" w:leader="dot" w:pos="2268"/>
              </w:tabs>
            </w:pPr>
            <w:r w:rsidRPr="00576D60">
              <w:t>r. 7.11.19</w:t>
            </w:r>
            <w:r w:rsidRPr="00576D60">
              <w:tab/>
            </w:r>
          </w:p>
        </w:tc>
        <w:tc>
          <w:tcPr>
            <w:tcW w:w="3500" w:type="pct"/>
            <w:shd w:val="clear" w:color="auto" w:fill="auto"/>
          </w:tcPr>
          <w:p w14:paraId="20BA515B" w14:textId="77777777" w:rsidR="00E93F58" w:rsidRPr="00576D60" w:rsidRDefault="00E93F58" w:rsidP="003D2B1E">
            <w:pPr>
              <w:pStyle w:val="ENoteTableText"/>
            </w:pPr>
            <w:r w:rsidRPr="00576D60">
              <w:t>ad. 2001 No. 319</w:t>
            </w:r>
          </w:p>
        </w:tc>
      </w:tr>
      <w:tr w:rsidR="00E93F58" w:rsidRPr="00576D60" w14:paraId="194C96E7" w14:textId="77777777" w:rsidTr="002F32E3">
        <w:trPr>
          <w:cantSplit/>
        </w:trPr>
        <w:tc>
          <w:tcPr>
            <w:tcW w:w="1500" w:type="pct"/>
            <w:shd w:val="clear" w:color="auto" w:fill="auto"/>
          </w:tcPr>
          <w:p w14:paraId="0BA42F69" w14:textId="77777777" w:rsidR="00E93F58" w:rsidRPr="00576D60" w:rsidRDefault="00E93F58" w:rsidP="003D2B1E">
            <w:pPr>
              <w:pStyle w:val="ENoteTableText"/>
              <w:tabs>
                <w:tab w:val="left" w:leader="dot" w:pos="2268"/>
              </w:tabs>
            </w:pPr>
            <w:r w:rsidRPr="00576D60">
              <w:t>r. 7.11.20</w:t>
            </w:r>
            <w:r w:rsidRPr="00576D60">
              <w:tab/>
            </w:r>
          </w:p>
        </w:tc>
        <w:tc>
          <w:tcPr>
            <w:tcW w:w="3500" w:type="pct"/>
            <w:shd w:val="clear" w:color="auto" w:fill="auto"/>
          </w:tcPr>
          <w:p w14:paraId="34BB8791" w14:textId="77777777" w:rsidR="00E93F58" w:rsidRPr="00576D60" w:rsidRDefault="00E93F58" w:rsidP="003D2B1E">
            <w:pPr>
              <w:pStyle w:val="ENoteTableText"/>
            </w:pPr>
            <w:r w:rsidRPr="00576D60">
              <w:t>ad. 2001 No. 319</w:t>
            </w:r>
          </w:p>
        </w:tc>
      </w:tr>
      <w:tr w:rsidR="00E93F58" w:rsidRPr="00576D60" w14:paraId="5FCF71DC" w14:textId="77777777" w:rsidTr="002F32E3">
        <w:trPr>
          <w:cantSplit/>
        </w:trPr>
        <w:tc>
          <w:tcPr>
            <w:tcW w:w="1500" w:type="pct"/>
            <w:shd w:val="clear" w:color="auto" w:fill="auto"/>
          </w:tcPr>
          <w:p w14:paraId="2A45CB80" w14:textId="77777777" w:rsidR="00E93F58" w:rsidRPr="00576D60" w:rsidRDefault="00E93F58" w:rsidP="003D2B1E">
            <w:pPr>
              <w:pStyle w:val="ENoteTableText"/>
              <w:tabs>
                <w:tab w:val="left" w:leader="dot" w:pos="2268"/>
              </w:tabs>
            </w:pPr>
            <w:r w:rsidRPr="00576D60">
              <w:t>r. 7.11.21</w:t>
            </w:r>
            <w:r w:rsidRPr="00576D60">
              <w:tab/>
            </w:r>
          </w:p>
        </w:tc>
        <w:tc>
          <w:tcPr>
            <w:tcW w:w="3500" w:type="pct"/>
            <w:shd w:val="clear" w:color="auto" w:fill="auto"/>
          </w:tcPr>
          <w:p w14:paraId="529CAE16" w14:textId="77777777" w:rsidR="00E93F58" w:rsidRPr="00576D60" w:rsidRDefault="00E93F58" w:rsidP="003D2B1E">
            <w:pPr>
              <w:pStyle w:val="ENoteTableText"/>
            </w:pPr>
            <w:r w:rsidRPr="00576D60">
              <w:t>ad. 2001 No. 319</w:t>
            </w:r>
          </w:p>
        </w:tc>
      </w:tr>
      <w:tr w:rsidR="00E93F58" w:rsidRPr="00576D60" w14:paraId="2B2B8A60" w14:textId="77777777" w:rsidTr="002F32E3">
        <w:trPr>
          <w:cantSplit/>
        </w:trPr>
        <w:tc>
          <w:tcPr>
            <w:tcW w:w="1500" w:type="pct"/>
            <w:shd w:val="clear" w:color="auto" w:fill="auto"/>
          </w:tcPr>
          <w:p w14:paraId="344FE608" w14:textId="77777777" w:rsidR="00E93F58" w:rsidRPr="00576D60" w:rsidRDefault="00E93F58" w:rsidP="003D2B1E">
            <w:pPr>
              <w:pStyle w:val="ENoteTableText"/>
            </w:pPr>
          </w:p>
        </w:tc>
        <w:tc>
          <w:tcPr>
            <w:tcW w:w="3500" w:type="pct"/>
            <w:shd w:val="clear" w:color="auto" w:fill="auto"/>
          </w:tcPr>
          <w:p w14:paraId="783883F7" w14:textId="77777777" w:rsidR="00E93F58" w:rsidRPr="00576D60" w:rsidRDefault="00E93F58" w:rsidP="003D2B1E">
            <w:pPr>
              <w:pStyle w:val="ENoteTableText"/>
            </w:pPr>
            <w:r w:rsidRPr="00576D60">
              <w:t>am. 2012 No. 43</w:t>
            </w:r>
          </w:p>
        </w:tc>
      </w:tr>
      <w:tr w:rsidR="00E93F58" w:rsidRPr="00576D60" w14:paraId="29BA913D" w14:textId="77777777" w:rsidTr="002F32E3">
        <w:trPr>
          <w:cantSplit/>
        </w:trPr>
        <w:tc>
          <w:tcPr>
            <w:tcW w:w="1500" w:type="pct"/>
            <w:shd w:val="clear" w:color="auto" w:fill="auto"/>
          </w:tcPr>
          <w:p w14:paraId="4068513A" w14:textId="77777777" w:rsidR="00E93F58" w:rsidRPr="00576D60" w:rsidRDefault="00E93F58" w:rsidP="003D2B1E">
            <w:pPr>
              <w:pStyle w:val="ENoteTableText"/>
              <w:tabs>
                <w:tab w:val="left" w:leader="dot" w:pos="2268"/>
              </w:tabs>
            </w:pPr>
            <w:r w:rsidRPr="00576D60">
              <w:t>r. 7.11.22</w:t>
            </w:r>
            <w:r w:rsidRPr="00576D60">
              <w:tab/>
            </w:r>
          </w:p>
        </w:tc>
        <w:tc>
          <w:tcPr>
            <w:tcW w:w="3500" w:type="pct"/>
            <w:shd w:val="clear" w:color="auto" w:fill="auto"/>
          </w:tcPr>
          <w:p w14:paraId="7D00FB6D" w14:textId="77777777" w:rsidR="00E93F58" w:rsidRPr="00576D60" w:rsidRDefault="00E93F58" w:rsidP="003D2B1E">
            <w:pPr>
              <w:pStyle w:val="ENoteTableText"/>
            </w:pPr>
            <w:r w:rsidRPr="00576D60">
              <w:t>ad. 2001 No. 319</w:t>
            </w:r>
          </w:p>
        </w:tc>
      </w:tr>
      <w:tr w:rsidR="00E93F58" w:rsidRPr="00576D60" w14:paraId="014B6728" w14:textId="77777777" w:rsidTr="002F32E3">
        <w:trPr>
          <w:cantSplit/>
        </w:trPr>
        <w:tc>
          <w:tcPr>
            <w:tcW w:w="1500" w:type="pct"/>
            <w:shd w:val="clear" w:color="auto" w:fill="auto"/>
          </w:tcPr>
          <w:p w14:paraId="7562A8C0" w14:textId="77777777" w:rsidR="00E93F58" w:rsidRPr="00576D60" w:rsidRDefault="00E93F58" w:rsidP="003D2B1E">
            <w:pPr>
              <w:pStyle w:val="ENoteTableText"/>
            </w:pPr>
          </w:p>
        </w:tc>
        <w:tc>
          <w:tcPr>
            <w:tcW w:w="3500" w:type="pct"/>
            <w:shd w:val="clear" w:color="auto" w:fill="auto"/>
          </w:tcPr>
          <w:p w14:paraId="64F0B48D" w14:textId="77777777" w:rsidR="00E93F58" w:rsidRPr="00576D60" w:rsidRDefault="00E93F58" w:rsidP="003D2B1E">
            <w:pPr>
              <w:pStyle w:val="ENoteTableText"/>
            </w:pPr>
            <w:r w:rsidRPr="00576D60">
              <w:t>rs. 2004 No. 398</w:t>
            </w:r>
          </w:p>
        </w:tc>
      </w:tr>
      <w:tr w:rsidR="00E93F58" w:rsidRPr="00576D60" w14:paraId="3D4C7847" w14:textId="77777777" w:rsidTr="002F32E3">
        <w:trPr>
          <w:cantSplit/>
        </w:trPr>
        <w:tc>
          <w:tcPr>
            <w:tcW w:w="1500" w:type="pct"/>
            <w:shd w:val="clear" w:color="auto" w:fill="auto"/>
          </w:tcPr>
          <w:p w14:paraId="44C12C84" w14:textId="77777777" w:rsidR="00E93F58" w:rsidRPr="00576D60" w:rsidRDefault="00E93F58" w:rsidP="003D2B1E">
            <w:pPr>
              <w:pStyle w:val="ENoteTableText"/>
            </w:pPr>
          </w:p>
        </w:tc>
        <w:tc>
          <w:tcPr>
            <w:tcW w:w="3500" w:type="pct"/>
            <w:shd w:val="clear" w:color="auto" w:fill="auto"/>
          </w:tcPr>
          <w:p w14:paraId="41D5ACA1" w14:textId="77777777" w:rsidR="00E93F58" w:rsidRPr="00576D60" w:rsidRDefault="00E93F58" w:rsidP="003D2B1E">
            <w:pPr>
              <w:pStyle w:val="ENoteTableText"/>
            </w:pPr>
            <w:r w:rsidRPr="00576D60">
              <w:t>am. 2007 No. 323</w:t>
            </w:r>
          </w:p>
        </w:tc>
      </w:tr>
      <w:tr w:rsidR="00E93F58" w:rsidRPr="00576D60" w14:paraId="12195084" w14:textId="77777777" w:rsidTr="002F32E3">
        <w:trPr>
          <w:cantSplit/>
        </w:trPr>
        <w:tc>
          <w:tcPr>
            <w:tcW w:w="1500" w:type="pct"/>
            <w:shd w:val="clear" w:color="auto" w:fill="auto"/>
          </w:tcPr>
          <w:p w14:paraId="39AF02D3" w14:textId="77777777" w:rsidR="00E93F58" w:rsidRPr="00576D60" w:rsidRDefault="00E93F58" w:rsidP="003D2B1E">
            <w:pPr>
              <w:pStyle w:val="ENoteTableText"/>
              <w:keepNext/>
              <w:tabs>
                <w:tab w:val="left" w:leader="dot" w:pos="2268"/>
              </w:tabs>
              <w:rPr>
                <w:b/>
              </w:rPr>
            </w:pPr>
            <w:r w:rsidRPr="00576D60">
              <w:rPr>
                <w:b/>
              </w:rPr>
              <w:t>Division 4</w:t>
            </w:r>
          </w:p>
        </w:tc>
        <w:tc>
          <w:tcPr>
            <w:tcW w:w="3500" w:type="pct"/>
            <w:shd w:val="clear" w:color="auto" w:fill="auto"/>
          </w:tcPr>
          <w:p w14:paraId="0A0C39FD" w14:textId="77777777" w:rsidR="00E93F58" w:rsidRPr="00576D60" w:rsidRDefault="00E93F58" w:rsidP="003D2B1E">
            <w:pPr>
              <w:pStyle w:val="ENoteTableText"/>
            </w:pPr>
          </w:p>
        </w:tc>
      </w:tr>
      <w:tr w:rsidR="00E93F58" w:rsidRPr="00576D60" w14:paraId="322E5A77" w14:textId="77777777" w:rsidTr="002F32E3">
        <w:trPr>
          <w:cantSplit/>
        </w:trPr>
        <w:tc>
          <w:tcPr>
            <w:tcW w:w="1500" w:type="pct"/>
            <w:shd w:val="clear" w:color="auto" w:fill="auto"/>
          </w:tcPr>
          <w:p w14:paraId="703294DE" w14:textId="77777777" w:rsidR="00E93F58" w:rsidRPr="00576D60" w:rsidRDefault="00E93F58" w:rsidP="003D2B1E">
            <w:pPr>
              <w:pStyle w:val="ENoteTableText"/>
              <w:tabs>
                <w:tab w:val="left" w:leader="dot" w:pos="2268"/>
              </w:tabs>
            </w:pPr>
            <w:r w:rsidRPr="00576D60">
              <w:t>r 7.11.23</w:t>
            </w:r>
            <w:r w:rsidRPr="00576D60">
              <w:tab/>
            </w:r>
          </w:p>
        </w:tc>
        <w:tc>
          <w:tcPr>
            <w:tcW w:w="3500" w:type="pct"/>
            <w:shd w:val="clear" w:color="auto" w:fill="auto"/>
          </w:tcPr>
          <w:p w14:paraId="5F85FC56" w14:textId="77777777" w:rsidR="00E93F58" w:rsidRPr="00576D60" w:rsidRDefault="00E93F58" w:rsidP="003D2B1E">
            <w:pPr>
              <w:pStyle w:val="ENoteTableText"/>
            </w:pPr>
            <w:r w:rsidRPr="00576D60">
              <w:t>ad</w:t>
            </w:r>
            <w:r>
              <w:t xml:space="preserve"> No 319, 2001</w:t>
            </w:r>
          </w:p>
        </w:tc>
      </w:tr>
      <w:tr w:rsidR="00E93F58" w:rsidRPr="00576D60" w14:paraId="2FA4C00E" w14:textId="77777777" w:rsidTr="002F32E3">
        <w:trPr>
          <w:cantSplit/>
        </w:trPr>
        <w:tc>
          <w:tcPr>
            <w:tcW w:w="1500" w:type="pct"/>
            <w:shd w:val="clear" w:color="auto" w:fill="auto"/>
          </w:tcPr>
          <w:p w14:paraId="37515E4C" w14:textId="77777777" w:rsidR="00E93F58" w:rsidRPr="00576D60" w:rsidRDefault="00E93F58" w:rsidP="003D2B1E">
            <w:pPr>
              <w:pStyle w:val="ENoteTableText"/>
              <w:tabs>
                <w:tab w:val="left" w:leader="dot" w:pos="2268"/>
              </w:tabs>
            </w:pPr>
          </w:p>
        </w:tc>
        <w:tc>
          <w:tcPr>
            <w:tcW w:w="3500" w:type="pct"/>
            <w:shd w:val="clear" w:color="auto" w:fill="auto"/>
          </w:tcPr>
          <w:p w14:paraId="479B65FF" w14:textId="77777777" w:rsidR="00E93F58" w:rsidRPr="00576D60" w:rsidRDefault="00E93F58" w:rsidP="003D2B1E">
            <w:pPr>
              <w:pStyle w:val="ENoteTableText"/>
            </w:pPr>
            <w:r>
              <w:t>am F2023L01458</w:t>
            </w:r>
          </w:p>
        </w:tc>
      </w:tr>
      <w:tr w:rsidR="00E93F58" w:rsidRPr="00576D60" w14:paraId="6C705F21" w14:textId="77777777" w:rsidTr="002F32E3">
        <w:trPr>
          <w:cantSplit/>
        </w:trPr>
        <w:tc>
          <w:tcPr>
            <w:tcW w:w="1500" w:type="pct"/>
            <w:shd w:val="clear" w:color="auto" w:fill="auto"/>
          </w:tcPr>
          <w:p w14:paraId="5E689973" w14:textId="77777777" w:rsidR="00E93F58" w:rsidRPr="00576D60" w:rsidRDefault="00E93F58" w:rsidP="003D2B1E">
            <w:pPr>
              <w:pStyle w:val="ENoteTableText"/>
              <w:tabs>
                <w:tab w:val="left" w:leader="dot" w:pos="2268"/>
              </w:tabs>
            </w:pPr>
            <w:r w:rsidRPr="00576D60">
              <w:t>r. 7.11.24</w:t>
            </w:r>
            <w:r w:rsidRPr="00576D60">
              <w:tab/>
            </w:r>
          </w:p>
        </w:tc>
        <w:tc>
          <w:tcPr>
            <w:tcW w:w="3500" w:type="pct"/>
            <w:shd w:val="clear" w:color="auto" w:fill="auto"/>
          </w:tcPr>
          <w:p w14:paraId="6DD3ABBD" w14:textId="77777777" w:rsidR="00E93F58" w:rsidRPr="00576D60" w:rsidRDefault="00E93F58" w:rsidP="003D2B1E">
            <w:pPr>
              <w:pStyle w:val="ENoteTableText"/>
            </w:pPr>
            <w:r w:rsidRPr="00576D60">
              <w:t>ad. 2001 No. 319</w:t>
            </w:r>
          </w:p>
        </w:tc>
      </w:tr>
      <w:tr w:rsidR="00E93F58" w:rsidRPr="00576D60" w14:paraId="383E13FD" w14:textId="77777777" w:rsidTr="002F32E3">
        <w:trPr>
          <w:cantSplit/>
        </w:trPr>
        <w:tc>
          <w:tcPr>
            <w:tcW w:w="1500" w:type="pct"/>
            <w:shd w:val="clear" w:color="auto" w:fill="auto"/>
          </w:tcPr>
          <w:p w14:paraId="2DFE5D5D" w14:textId="77777777" w:rsidR="00E93F58" w:rsidRPr="00576D60" w:rsidRDefault="00E93F58" w:rsidP="003D2B1E">
            <w:pPr>
              <w:pStyle w:val="ENoteTableText"/>
              <w:tabs>
                <w:tab w:val="left" w:leader="dot" w:pos="2268"/>
              </w:tabs>
            </w:pPr>
            <w:r w:rsidRPr="00576D60">
              <w:t>r. 7.11.25</w:t>
            </w:r>
            <w:r w:rsidRPr="00576D60">
              <w:tab/>
            </w:r>
          </w:p>
        </w:tc>
        <w:tc>
          <w:tcPr>
            <w:tcW w:w="3500" w:type="pct"/>
            <w:shd w:val="clear" w:color="auto" w:fill="auto"/>
          </w:tcPr>
          <w:p w14:paraId="125093AD" w14:textId="77777777" w:rsidR="00E93F58" w:rsidRPr="00576D60" w:rsidRDefault="00E93F58" w:rsidP="003D2B1E">
            <w:pPr>
              <w:pStyle w:val="ENoteTableText"/>
            </w:pPr>
            <w:r w:rsidRPr="00576D60">
              <w:t>ad. 2001 No. 319</w:t>
            </w:r>
          </w:p>
        </w:tc>
      </w:tr>
      <w:tr w:rsidR="00E93F58" w:rsidRPr="00576D60" w14:paraId="7FE62A7C" w14:textId="77777777" w:rsidTr="002F32E3">
        <w:trPr>
          <w:cantSplit/>
        </w:trPr>
        <w:tc>
          <w:tcPr>
            <w:tcW w:w="1500" w:type="pct"/>
            <w:shd w:val="clear" w:color="auto" w:fill="auto"/>
          </w:tcPr>
          <w:p w14:paraId="409196F8" w14:textId="77777777" w:rsidR="00E93F58" w:rsidRPr="00576D60" w:rsidRDefault="00E93F58" w:rsidP="003D2B1E">
            <w:pPr>
              <w:pStyle w:val="ENoteTableText"/>
              <w:tabs>
                <w:tab w:val="left" w:leader="dot" w:pos="2268"/>
              </w:tabs>
            </w:pPr>
            <w:r w:rsidRPr="00576D60">
              <w:t>r 7.11.26</w:t>
            </w:r>
            <w:r w:rsidRPr="00576D60">
              <w:tab/>
            </w:r>
          </w:p>
        </w:tc>
        <w:tc>
          <w:tcPr>
            <w:tcW w:w="3500" w:type="pct"/>
            <w:shd w:val="clear" w:color="auto" w:fill="auto"/>
          </w:tcPr>
          <w:p w14:paraId="2C597B91" w14:textId="77777777" w:rsidR="00E93F58" w:rsidRPr="00576D60" w:rsidRDefault="00E93F58" w:rsidP="003D2B1E">
            <w:pPr>
              <w:pStyle w:val="ENoteTableText"/>
            </w:pPr>
            <w:r w:rsidRPr="00576D60">
              <w:t>ad</w:t>
            </w:r>
            <w:r>
              <w:t xml:space="preserve"> No 319, 2001</w:t>
            </w:r>
          </w:p>
        </w:tc>
      </w:tr>
      <w:tr w:rsidR="00E93F58" w:rsidRPr="00576D60" w14:paraId="42A70974" w14:textId="77777777" w:rsidTr="002F32E3">
        <w:trPr>
          <w:cantSplit/>
        </w:trPr>
        <w:tc>
          <w:tcPr>
            <w:tcW w:w="1500" w:type="pct"/>
            <w:shd w:val="clear" w:color="auto" w:fill="auto"/>
          </w:tcPr>
          <w:p w14:paraId="3BF8DBD2" w14:textId="77777777" w:rsidR="00E93F58" w:rsidRPr="00576D60" w:rsidRDefault="00E93F58" w:rsidP="003D2B1E">
            <w:pPr>
              <w:pStyle w:val="ENoteTableText"/>
              <w:tabs>
                <w:tab w:val="left" w:leader="dot" w:pos="2268"/>
              </w:tabs>
            </w:pPr>
          </w:p>
        </w:tc>
        <w:tc>
          <w:tcPr>
            <w:tcW w:w="3500" w:type="pct"/>
            <w:shd w:val="clear" w:color="auto" w:fill="auto"/>
          </w:tcPr>
          <w:p w14:paraId="5515DC08" w14:textId="77777777" w:rsidR="00E93F58" w:rsidRPr="00576D60" w:rsidRDefault="00E93F58" w:rsidP="003D2B1E">
            <w:pPr>
              <w:pStyle w:val="ENoteTableText"/>
            </w:pPr>
            <w:r>
              <w:t>am F2023L01458</w:t>
            </w:r>
          </w:p>
        </w:tc>
      </w:tr>
      <w:tr w:rsidR="00E93F58" w:rsidRPr="00576D60" w14:paraId="6EAC2C8C" w14:textId="77777777" w:rsidTr="002F32E3">
        <w:trPr>
          <w:cantSplit/>
        </w:trPr>
        <w:tc>
          <w:tcPr>
            <w:tcW w:w="1500" w:type="pct"/>
            <w:shd w:val="clear" w:color="auto" w:fill="auto"/>
          </w:tcPr>
          <w:p w14:paraId="1D228C39" w14:textId="77777777" w:rsidR="00E93F58" w:rsidRPr="00576D60" w:rsidRDefault="00E93F58" w:rsidP="003D2B1E">
            <w:pPr>
              <w:pStyle w:val="ENoteTableText"/>
              <w:tabs>
                <w:tab w:val="left" w:leader="dot" w:pos="2268"/>
              </w:tabs>
            </w:pPr>
            <w:r w:rsidRPr="00576D60">
              <w:t>r. 7.11.27</w:t>
            </w:r>
            <w:r w:rsidRPr="00576D60">
              <w:tab/>
            </w:r>
          </w:p>
        </w:tc>
        <w:tc>
          <w:tcPr>
            <w:tcW w:w="3500" w:type="pct"/>
            <w:shd w:val="clear" w:color="auto" w:fill="auto"/>
          </w:tcPr>
          <w:p w14:paraId="516A1B75" w14:textId="77777777" w:rsidR="00E93F58" w:rsidRPr="00576D60" w:rsidRDefault="00E93F58" w:rsidP="003D2B1E">
            <w:pPr>
              <w:pStyle w:val="ENoteTableText"/>
            </w:pPr>
            <w:r w:rsidRPr="00576D60">
              <w:t>ad. 2001 No. 319</w:t>
            </w:r>
          </w:p>
        </w:tc>
      </w:tr>
      <w:tr w:rsidR="00E93F58" w:rsidRPr="00576D60" w14:paraId="7E90A514" w14:textId="77777777" w:rsidTr="002F32E3">
        <w:trPr>
          <w:cantSplit/>
        </w:trPr>
        <w:tc>
          <w:tcPr>
            <w:tcW w:w="1500" w:type="pct"/>
            <w:shd w:val="clear" w:color="auto" w:fill="auto"/>
          </w:tcPr>
          <w:p w14:paraId="5E35D6EA" w14:textId="77777777" w:rsidR="00E93F58" w:rsidRPr="00576D60" w:rsidRDefault="00E93F58" w:rsidP="003D2B1E">
            <w:pPr>
              <w:pStyle w:val="ENoteTableText"/>
              <w:tabs>
                <w:tab w:val="left" w:leader="dot" w:pos="2268"/>
              </w:tabs>
            </w:pPr>
            <w:r w:rsidRPr="00576D60">
              <w:t>r. 7.11.28</w:t>
            </w:r>
            <w:r w:rsidRPr="00576D60">
              <w:tab/>
            </w:r>
          </w:p>
        </w:tc>
        <w:tc>
          <w:tcPr>
            <w:tcW w:w="3500" w:type="pct"/>
            <w:shd w:val="clear" w:color="auto" w:fill="auto"/>
          </w:tcPr>
          <w:p w14:paraId="5282CA1D" w14:textId="77777777" w:rsidR="00E93F58" w:rsidRPr="00576D60" w:rsidRDefault="00E93F58" w:rsidP="003D2B1E">
            <w:pPr>
              <w:pStyle w:val="ENoteTableText"/>
            </w:pPr>
            <w:r w:rsidRPr="00576D60">
              <w:t>ad. 2001 No. 319</w:t>
            </w:r>
          </w:p>
        </w:tc>
      </w:tr>
      <w:tr w:rsidR="00E93F58" w:rsidRPr="00576D60" w14:paraId="6D87DE8F" w14:textId="77777777" w:rsidTr="002F32E3">
        <w:trPr>
          <w:cantSplit/>
        </w:trPr>
        <w:tc>
          <w:tcPr>
            <w:tcW w:w="1500" w:type="pct"/>
            <w:shd w:val="clear" w:color="auto" w:fill="auto"/>
          </w:tcPr>
          <w:p w14:paraId="0E19FBB6" w14:textId="77777777" w:rsidR="00E93F58" w:rsidRPr="00576D60" w:rsidRDefault="00E93F58" w:rsidP="003D2B1E">
            <w:pPr>
              <w:pStyle w:val="ENoteTableText"/>
              <w:tabs>
                <w:tab w:val="left" w:leader="dot" w:pos="2268"/>
              </w:tabs>
            </w:pPr>
            <w:r w:rsidRPr="00576D60">
              <w:t>r. 7.11.29</w:t>
            </w:r>
            <w:r w:rsidRPr="00576D60">
              <w:tab/>
            </w:r>
          </w:p>
        </w:tc>
        <w:tc>
          <w:tcPr>
            <w:tcW w:w="3500" w:type="pct"/>
            <w:shd w:val="clear" w:color="auto" w:fill="auto"/>
          </w:tcPr>
          <w:p w14:paraId="15DA29F2" w14:textId="77777777" w:rsidR="00E93F58" w:rsidRPr="00576D60" w:rsidRDefault="00E93F58" w:rsidP="003D2B1E">
            <w:pPr>
              <w:pStyle w:val="ENoteTableText"/>
            </w:pPr>
            <w:r w:rsidRPr="00576D60">
              <w:t>ad. 2001 No. 319</w:t>
            </w:r>
          </w:p>
        </w:tc>
      </w:tr>
      <w:tr w:rsidR="00E93F58" w:rsidRPr="00576D60" w14:paraId="54169F4E" w14:textId="77777777" w:rsidTr="002F32E3">
        <w:trPr>
          <w:cantSplit/>
        </w:trPr>
        <w:tc>
          <w:tcPr>
            <w:tcW w:w="1500" w:type="pct"/>
            <w:shd w:val="clear" w:color="auto" w:fill="auto"/>
          </w:tcPr>
          <w:p w14:paraId="10721641" w14:textId="77777777" w:rsidR="00E93F58" w:rsidRPr="00576D60" w:rsidRDefault="00E93F58" w:rsidP="003D2B1E">
            <w:pPr>
              <w:pStyle w:val="ENoteTableText"/>
              <w:tabs>
                <w:tab w:val="left" w:leader="dot" w:pos="2268"/>
              </w:tabs>
            </w:pPr>
            <w:r w:rsidRPr="00576D60">
              <w:t>r. 7.11.30</w:t>
            </w:r>
            <w:r w:rsidRPr="00576D60">
              <w:tab/>
            </w:r>
          </w:p>
        </w:tc>
        <w:tc>
          <w:tcPr>
            <w:tcW w:w="3500" w:type="pct"/>
            <w:shd w:val="clear" w:color="auto" w:fill="auto"/>
          </w:tcPr>
          <w:p w14:paraId="03CC6A4C" w14:textId="77777777" w:rsidR="00E93F58" w:rsidRPr="00576D60" w:rsidRDefault="00E93F58" w:rsidP="003D2B1E">
            <w:pPr>
              <w:pStyle w:val="ENoteTableText"/>
            </w:pPr>
            <w:r w:rsidRPr="00576D60">
              <w:t>ad. 2001 No. 319</w:t>
            </w:r>
          </w:p>
        </w:tc>
      </w:tr>
      <w:tr w:rsidR="00E93F58" w:rsidRPr="00576D60" w14:paraId="691769DC" w14:textId="77777777" w:rsidTr="002F32E3">
        <w:trPr>
          <w:cantSplit/>
        </w:trPr>
        <w:tc>
          <w:tcPr>
            <w:tcW w:w="1500" w:type="pct"/>
            <w:shd w:val="clear" w:color="auto" w:fill="auto"/>
          </w:tcPr>
          <w:p w14:paraId="02EA47EF" w14:textId="77777777" w:rsidR="00E93F58" w:rsidRPr="00576D60" w:rsidRDefault="00E93F58" w:rsidP="003D2B1E">
            <w:pPr>
              <w:pStyle w:val="ENoteTableText"/>
            </w:pPr>
          </w:p>
        </w:tc>
        <w:tc>
          <w:tcPr>
            <w:tcW w:w="3500" w:type="pct"/>
            <w:shd w:val="clear" w:color="auto" w:fill="auto"/>
          </w:tcPr>
          <w:p w14:paraId="70D65212" w14:textId="77777777" w:rsidR="00E93F58" w:rsidRPr="00576D60" w:rsidRDefault="00E93F58" w:rsidP="003D2B1E">
            <w:pPr>
              <w:pStyle w:val="ENoteTableText"/>
            </w:pPr>
            <w:r w:rsidRPr="00576D60">
              <w:t>am. 2002 No. 282</w:t>
            </w:r>
          </w:p>
        </w:tc>
      </w:tr>
      <w:tr w:rsidR="00E93F58" w:rsidRPr="00576D60" w14:paraId="750324A5" w14:textId="77777777" w:rsidTr="002F32E3">
        <w:trPr>
          <w:cantSplit/>
        </w:trPr>
        <w:tc>
          <w:tcPr>
            <w:tcW w:w="1500" w:type="pct"/>
            <w:shd w:val="clear" w:color="auto" w:fill="auto"/>
          </w:tcPr>
          <w:p w14:paraId="42450E4A" w14:textId="77777777" w:rsidR="00E93F58" w:rsidRPr="00576D60" w:rsidRDefault="00E93F58" w:rsidP="003D2B1E">
            <w:pPr>
              <w:pStyle w:val="ENoteTableText"/>
              <w:tabs>
                <w:tab w:val="left" w:leader="dot" w:pos="2268"/>
              </w:tabs>
            </w:pPr>
            <w:r w:rsidRPr="00576D60">
              <w:t>r. 7.11.31</w:t>
            </w:r>
            <w:r w:rsidRPr="00576D60">
              <w:tab/>
            </w:r>
          </w:p>
        </w:tc>
        <w:tc>
          <w:tcPr>
            <w:tcW w:w="3500" w:type="pct"/>
            <w:shd w:val="clear" w:color="auto" w:fill="auto"/>
          </w:tcPr>
          <w:p w14:paraId="6E41FFE7" w14:textId="77777777" w:rsidR="00E93F58" w:rsidRPr="00576D60" w:rsidRDefault="00E93F58" w:rsidP="003D2B1E">
            <w:pPr>
              <w:pStyle w:val="ENoteTableText"/>
            </w:pPr>
            <w:r w:rsidRPr="00576D60">
              <w:t>ad. 2001 No. 319</w:t>
            </w:r>
          </w:p>
        </w:tc>
      </w:tr>
      <w:tr w:rsidR="00E93F58" w:rsidRPr="00576D60" w14:paraId="53ACF5EA" w14:textId="77777777" w:rsidTr="002F32E3">
        <w:trPr>
          <w:cantSplit/>
        </w:trPr>
        <w:tc>
          <w:tcPr>
            <w:tcW w:w="1500" w:type="pct"/>
            <w:shd w:val="clear" w:color="auto" w:fill="auto"/>
          </w:tcPr>
          <w:p w14:paraId="14A1C528" w14:textId="77777777" w:rsidR="00E93F58" w:rsidRPr="00576D60" w:rsidRDefault="00E93F58" w:rsidP="003D2B1E">
            <w:pPr>
              <w:pStyle w:val="ENoteTableText"/>
            </w:pPr>
          </w:p>
        </w:tc>
        <w:tc>
          <w:tcPr>
            <w:tcW w:w="3500" w:type="pct"/>
            <w:shd w:val="clear" w:color="auto" w:fill="auto"/>
          </w:tcPr>
          <w:p w14:paraId="1D1542B6" w14:textId="77777777" w:rsidR="00E93F58" w:rsidRPr="00576D60" w:rsidRDefault="00E93F58" w:rsidP="003D2B1E">
            <w:pPr>
              <w:pStyle w:val="ENoteTableText"/>
            </w:pPr>
            <w:r w:rsidRPr="00576D60">
              <w:t>am. 2002 No. 282</w:t>
            </w:r>
          </w:p>
        </w:tc>
      </w:tr>
      <w:tr w:rsidR="00E93F58" w:rsidRPr="00576D60" w14:paraId="636273DA" w14:textId="77777777" w:rsidTr="002F32E3">
        <w:trPr>
          <w:cantSplit/>
        </w:trPr>
        <w:tc>
          <w:tcPr>
            <w:tcW w:w="1500" w:type="pct"/>
            <w:shd w:val="clear" w:color="auto" w:fill="auto"/>
          </w:tcPr>
          <w:p w14:paraId="2D62FBE2" w14:textId="77777777" w:rsidR="00E93F58" w:rsidRPr="00576D60" w:rsidRDefault="00E93F58" w:rsidP="003D2B1E">
            <w:pPr>
              <w:pStyle w:val="ENoteTableText"/>
              <w:tabs>
                <w:tab w:val="left" w:leader="dot" w:pos="2268"/>
              </w:tabs>
            </w:pPr>
            <w:r w:rsidRPr="00576D60">
              <w:t>r. 7.11.32</w:t>
            </w:r>
            <w:r w:rsidRPr="00576D60">
              <w:tab/>
            </w:r>
          </w:p>
        </w:tc>
        <w:tc>
          <w:tcPr>
            <w:tcW w:w="3500" w:type="pct"/>
            <w:shd w:val="clear" w:color="auto" w:fill="auto"/>
          </w:tcPr>
          <w:p w14:paraId="4965D9D4" w14:textId="77777777" w:rsidR="00E93F58" w:rsidRPr="00576D60" w:rsidRDefault="00E93F58" w:rsidP="003D2B1E">
            <w:pPr>
              <w:pStyle w:val="ENoteTableText"/>
            </w:pPr>
            <w:r w:rsidRPr="00576D60">
              <w:t>ad. 2001 No. 319</w:t>
            </w:r>
          </w:p>
        </w:tc>
      </w:tr>
      <w:tr w:rsidR="00E93F58" w:rsidRPr="00576D60" w14:paraId="731D96E0" w14:textId="77777777" w:rsidTr="002F32E3">
        <w:trPr>
          <w:cantSplit/>
        </w:trPr>
        <w:tc>
          <w:tcPr>
            <w:tcW w:w="1500" w:type="pct"/>
            <w:shd w:val="clear" w:color="auto" w:fill="auto"/>
          </w:tcPr>
          <w:p w14:paraId="53036A3B" w14:textId="77777777" w:rsidR="00E93F58" w:rsidRPr="00576D60" w:rsidRDefault="00E93F58" w:rsidP="003D2B1E">
            <w:pPr>
              <w:pStyle w:val="ENoteTableText"/>
            </w:pPr>
          </w:p>
        </w:tc>
        <w:tc>
          <w:tcPr>
            <w:tcW w:w="3500" w:type="pct"/>
            <w:shd w:val="clear" w:color="auto" w:fill="auto"/>
          </w:tcPr>
          <w:p w14:paraId="450F32D3" w14:textId="77777777" w:rsidR="00E93F58" w:rsidRPr="00576D60" w:rsidRDefault="00E93F58" w:rsidP="003D2B1E">
            <w:pPr>
              <w:pStyle w:val="ENoteTableText"/>
            </w:pPr>
            <w:r w:rsidRPr="00576D60">
              <w:t>am. 2002 No. 282</w:t>
            </w:r>
          </w:p>
        </w:tc>
      </w:tr>
      <w:tr w:rsidR="00E93F58" w:rsidRPr="00576D60" w14:paraId="135C2882" w14:textId="77777777" w:rsidTr="002F32E3">
        <w:trPr>
          <w:cantSplit/>
        </w:trPr>
        <w:tc>
          <w:tcPr>
            <w:tcW w:w="1500" w:type="pct"/>
            <w:shd w:val="clear" w:color="auto" w:fill="auto"/>
          </w:tcPr>
          <w:p w14:paraId="5132017D" w14:textId="77777777" w:rsidR="00E93F58" w:rsidRPr="00576D60" w:rsidRDefault="00E93F58" w:rsidP="003D2B1E">
            <w:pPr>
              <w:pStyle w:val="ENoteTableText"/>
              <w:tabs>
                <w:tab w:val="left" w:leader="dot" w:pos="2268"/>
              </w:tabs>
            </w:pPr>
            <w:r w:rsidRPr="00576D60">
              <w:lastRenderedPageBreak/>
              <w:t>r. 7.11.33</w:t>
            </w:r>
            <w:r w:rsidRPr="00576D60">
              <w:tab/>
            </w:r>
          </w:p>
        </w:tc>
        <w:tc>
          <w:tcPr>
            <w:tcW w:w="3500" w:type="pct"/>
            <w:shd w:val="clear" w:color="auto" w:fill="auto"/>
          </w:tcPr>
          <w:p w14:paraId="06700AD4" w14:textId="77777777" w:rsidR="00E93F58" w:rsidRPr="00576D60" w:rsidRDefault="00E93F58" w:rsidP="003D2B1E">
            <w:pPr>
              <w:pStyle w:val="ENoteTableText"/>
            </w:pPr>
            <w:r w:rsidRPr="00576D60">
              <w:t>ad. 2001 No. 319</w:t>
            </w:r>
          </w:p>
        </w:tc>
      </w:tr>
      <w:tr w:rsidR="00E93F58" w:rsidRPr="00576D60" w14:paraId="5244C5FA" w14:textId="77777777" w:rsidTr="002F32E3">
        <w:trPr>
          <w:cantSplit/>
        </w:trPr>
        <w:tc>
          <w:tcPr>
            <w:tcW w:w="1500" w:type="pct"/>
            <w:shd w:val="clear" w:color="auto" w:fill="auto"/>
          </w:tcPr>
          <w:p w14:paraId="518AAD43" w14:textId="77777777" w:rsidR="00E93F58" w:rsidRPr="00576D60" w:rsidRDefault="00E93F58" w:rsidP="003D2B1E">
            <w:pPr>
              <w:pStyle w:val="ENoteTableText"/>
              <w:tabs>
                <w:tab w:val="left" w:leader="dot" w:pos="2268"/>
              </w:tabs>
            </w:pPr>
            <w:r w:rsidRPr="00576D60">
              <w:t>r. 7.11.34</w:t>
            </w:r>
            <w:r w:rsidRPr="00576D60">
              <w:tab/>
            </w:r>
          </w:p>
        </w:tc>
        <w:tc>
          <w:tcPr>
            <w:tcW w:w="3500" w:type="pct"/>
            <w:shd w:val="clear" w:color="auto" w:fill="auto"/>
          </w:tcPr>
          <w:p w14:paraId="5025B95B" w14:textId="77777777" w:rsidR="00E93F58" w:rsidRPr="00576D60" w:rsidRDefault="00E93F58" w:rsidP="003D2B1E">
            <w:pPr>
              <w:pStyle w:val="ENoteTableText"/>
            </w:pPr>
            <w:r w:rsidRPr="00576D60">
              <w:t>ad. 2001 No. 319</w:t>
            </w:r>
          </w:p>
        </w:tc>
      </w:tr>
      <w:tr w:rsidR="00E93F58" w:rsidRPr="00576D60" w14:paraId="78F65B6E" w14:textId="77777777" w:rsidTr="002F32E3">
        <w:trPr>
          <w:cantSplit/>
        </w:trPr>
        <w:tc>
          <w:tcPr>
            <w:tcW w:w="1500" w:type="pct"/>
            <w:shd w:val="clear" w:color="auto" w:fill="auto"/>
          </w:tcPr>
          <w:p w14:paraId="336BF391" w14:textId="77777777" w:rsidR="00E93F58" w:rsidRPr="00576D60" w:rsidRDefault="00E93F58" w:rsidP="003D2B1E">
            <w:pPr>
              <w:pStyle w:val="ENoteTableText"/>
              <w:tabs>
                <w:tab w:val="left" w:leader="dot" w:pos="2268"/>
              </w:tabs>
            </w:pPr>
            <w:r w:rsidRPr="00576D60">
              <w:t>r. 7.11.35</w:t>
            </w:r>
            <w:r w:rsidRPr="00576D60">
              <w:tab/>
            </w:r>
          </w:p>
        </w:tc>
        <w:tc>
          <w:tcPr>
            <w:tcW w:w="3500" w:type="pct"/>
            <w:shd w:val="clear" w:color="auto" w:fill="auto"/>
          </w:tcPr>
          <w:p w14:paraId="4F6BE328" w14:textId="77777777" w:rsidR="00E93F58" w:rsidRPr="00576D60" w:rsidRDefault="00E93F58" w:rsidP="003D2B1E">
            <w:pPr>
              <w:pStyle w:val="ENoteTableText"/>
            </w:pPr>
            <w:r w:rsidRPr="00576D60">
              <w:t>ad. 2001 No. 319</w:t>
            </w:r>
          </w:p>
        </w:tc>
      </w:tr>
      <w:tr w:rsidR="00E93F58" w:rsidRPr="00576D60" w14:paraId="134D50FA" w14:textId="77777777" w:rsidTr="002F32E3">
        <w:trPr>
          <w:cantSplit/>
        </w:trPr>
        <w:tc>
          <w:tcPr>
            <w:tcW w:w="1500" w:type="pct"/>
            <w:shd w:val="clear" w:color="auto" w:fill="auto"/>
          </w:tcPr>
          <w:p w14:paraId="1E1E8C5D" w14:textId="77777777" w:rsidR="00E93F58" w:rsidRPr="00576D60" w:rsidRDefault="00E93F58" w:rsidP="003D2B1E">
            <w:pPr>
              <w:pStyle w:val="ENoteTableText"/>
              <w:tabs>
                <w:tab w:val="left" w:leader="dot" w:pos="2268"/>
              </w:tabs>
            </w:pPr>
            <w:r w:rsidRPr="00576D60">
              <w:t>r. 7.11.36</w:t>
            </w:r>
            <w:r w:rsidRPr="00576D60">
              <w:tab/>
            </w:r>
          </w:p>
        </w:tc>
        <w:tc>
          <w:tcPr>
            <w:tcW w:w="3500" w:type="pct"/>
            <w:shd w:val="clear" w:color="auto" w:fill="auto"/>
          </w:tcPr>
          <w:p w14:paraId="14FB99F0" w14:textId="77777777" w:rsidR="00E93F58" w:rsidRPr="00576D60" w:rsidRDefault="00E93F58" w:rsidP="003D2B1E">
            <w:pPr>
              <w:pStyle w:val="ENoteTableText"/>
            </w:pPr>
            <w:r w:rsidRPr="00576D60">
              <w:t>ad. 2001 No. 319</w:t>
            </w:r>
          </w:p>
        </w:tc>
      </w:tr>
      <w:tr w:rsidR="00E93F58" w:rsidRPr="00576D60" w14:paraId="7B66A8C2" w14:textId="77777777" w:rsidTr="002F32E3">
        <w:trPr>
          <w:cantSplit/>
        </w:trPr>
        <w:tc>
          <w:tcPr>
            <w:tcW w:w="1500" w:type="pct"/>
            <w:shd w:val="clear" w:color="auto" w:fill="auto"/>
          </w:tcPr>
          <w:p w14:paraId="1828308F" w14:textId="77777777" w:rsidR="00E93F58" w:rsidRPr="00576D60" w:rsidRDefault="00E93F58" w:rsidP="003D2B1E">
            <w:pPr>
              <w:pStyle w:val="ENoteTableText"/>
              <w:tabs>
                <w:tab w:val="left" w:leader="dot" w:pos="2268"/>
              </w:tabs>
            </w:pPr>
            <w:r w:rsidRPr="00576D60">
              <w:t>r. 7.11.37</w:t>
            </w:r>
            <w:r w:rsidRPr="00576D60">
              <w:tab/>
            </w:r>
          </w:p>
        </w:tc>
        <w:tc>
          <w:tcPr>
            <w:tcW w:w="3500" w:type="pct"/>
            <w:shd w:val="clear" w:color="auto" w:fill="auto"/>
          </w:tcPr>
          <w:p w14:paraId="58DB9818" w14:textId="77777777" w:rsidR="00E93F58" w:rsidRPr="00576D60" w:rsidRDefault="00E93F58" w:rsidP="003D2B1E">
            <w:pPr>
              <w:pStyle w:val="ENoteTableText"/>
            </w:pPr>
            <w:r w:rsidRPr="00576D60">
              <w:t>ad. 2001 No. 319</w:t>
            </w:r>
          </w:p>
        </w:tc>
      </w:tr>
      <w:tr w:rsidR="00E93F58" w:rsidRPr="00576D60" w14:paraId="6D298344" w14:textId="77777777" w:rsidTr="002F32E3">
        <w:trPr>
          <w:cantSplit/>
        </w:trPr>
        <w:tc>
          <w:tcPr>
            <w:tcW w:w="1500" w:type="pct"/>
            <w:shd w:val="clear" w:color="auto" w:fill="auto"/>
          </w:tcPr>
          <w:p w14:paraId="2C6504BA" w14:textId="77777777" w:rsidR="00E93F58" w:rsidRPr="00576D60" w:rsidRDefault="00E93F58" w:rsidP="003D2B1E">
            <w:pPr>
              <w:pStyle w:val="ENoteTableText"/>
              <w:tabs>
                <w:tab w:val="left" w:leader="dot" w:pos="2268"/>
              </w:tabs>
            </w:pPr>
            <w:r w:rsidRPr="00576D60">
              <w:t>r. 7.11.38</w:t>
            </w:r>
            <w:r w:rsidRPr="00576D60">
              <w:tab/>
            </w:r>
          </w:p>
        </w:tc>
        <w:tc>
          <w:tcPr>
            <w:tcW w:w="3500" w:type="pct"/>
            <w:shd w:val="clear" w:color="auto" w:fill="auto"/>
          </w:tcPr>
          <w:p w14:paraId="3A731CED" w14:textId="77777777" w:rsidR="00E93F58" w:rsidRPr="00576D60" w:rsidRDefault="00E93F58" w:rsidP="003D2B1E">
            <w:pPr>
              <w:pStyle w:val="ENoteTableText"/>
            </w:pPr>
            <w:r w:rsidRPr="00576D60">
              <w:t>ad. 2001 No. 319</w:t>
            </w:r>
          </w:p>
        </w:tc>
      </w:tr>
      <w:tr w:rsidR="00E93F58" w:rsidRPr="00576D60" w14:paraId="370B6B30" w14:textId="77777777" w:rsidTr="002F32E3">
        <w:trPr>
          <w:cantSplit/>
        </w:trPr>
        <w:tc>
          <w:tcPr>
            <w:tcW w:w="1500" w:type="pct"/>
            <w:shd w:val="clear" w:color="auto" w:fill="auto"/>
          </w:tcPr>
          <w:p w14:paraId="6C9DB95E" w14:textId="77777777" w:rsidR="00E93F58" w:rsidRPr="00576D60" w:rsidRDefault="00E93F58" w:rsidP="003D2B1E">
            <w:pPr>
              <w:pStyle w:val="ENoteTableText"/>
              <w:tabs>
                <w:tab w:val="left" w:leader="dot" w:pos="2268"/>
              </w:tabs>
            </w:pPr>
            <w:r w:rsidRPr="00576D60">
              <w:t>r. 7.11.39</w:t>
            </w:r>
            <w:r w:rsidRPr="00576D60">
              <w:tab/>
            </w:r>
          </w:p>
        </w:tc>
        <w:tc>
          <w:tcPr>
            <w:tcW w:w="3500" w:type="pct"/>
            <w:shd w:val="clear" w:color="auto" w:fill="auto"/>
          </w:tcPr>
          <w:p w14:paraId="79DD3A1D" w14:textId="77777777" w:rsidR="00E93F58" w:rsidRPr="00576D60" w:rsidRDefault="00E93F58" w:rsidP="003D2B1E">
            <w:pPr>
              <w:pStyle w:val="ENoteTableText"/>
            </w:pPr>
            <w:r w:rsidRPr="00576D60">
              <w:t>ad. 2001 No. 319</w:t>
            </w:r>
          </w:p>
        </w:tc>
      </w:tr>
      <w:tr w:rsidR="00E93F58" w:rsidRPr="00576D60" w14:paraId="2CA14466" w14:textId="77777777" w:rsidTr="002F32E3">
        <w:trPr>
          <w:cantSplit/>
        </w:trPr>
        <w:tc>
          <w:tcPr>
            <w:tcW w:w="1500" w:type="pct"/>
            <w:shd w:val="clear" w:color="auto" w:fill="auto"/>
          </w:tcPr>
          <w:p w14:paraId="4C1BE5A1" w14:textId="77777777" w:rsidR="00E93F58" w:rsidRPr="00576D60" w:rsidRDefault="00E93F58" w:rsidP="003D2B1E">
            <w:pPr>
              <w:pStyle w:val="ENoteTableText"/>
              <w:tabs>
                <w:tab w:val="left" w:leader="dot" w:pos="2268"/>
              </w:tabs>
              <w:rPr>
                <w:b/>
              </w:rPr>
            </w:pPr>
            <w:r w:rsidRPr="00576D60">
              <w:rPr>
                <w:b/>
              </w:rPr>
              <w:t>Division 5</w:t>
            </w:r>
          </w:p>
        </w:tc>
        <w:tc>
          <w:tcPr>
            <w:tcW w:w="3500" w:type="pct"/>
            <w:shd w:val="clear" w:color="auto" w:fill="auto"/>
          </w:tcPr>
          <w:p w14:paraId="65453F7B" w14:textId="77777777" w:rsidR="00E93F58" w:rsidRPr="00576D60" w:rsidRDefault="00E93F58" w:rsidP="003D2B1E">
            <w:pPr>
              <w:pStyle w:val="ENoteTableText"/>
            </w:pPr>
          </w:p>
        </w:tc>
      </w:tr>
      <w:tr w:rsidR="00E93F58" w:rsidRPr="00576D60" w14:paraId="0DBDC88A" w14:textId="77777777" w:rsidTr="002F32E3">
        <w:trPr>
          <w:cantSplit/>
        </w:trPr>
        <w:tc>
          <w:tcPr>
            <w:tcW w:w="1500" w:type="pct"/>
            <w:shd w:val="clear" w:color="auto" w:fill="auto"/>
          </w:tcPr>
          <w:p w14:paraId="41C9DA6A" w14:textId="77777777" w:rsidR="00E93F58" w:rsidRPr="00576D60" w:rsidRDefault="00E93F58" w:rsidP="003D2B1E">
            <w:pPr>
              <w:pStyle w:val="ENoteTableText"/>
              <w:tabs>
                <w:tab w:val="left" w:leader="dot" w:pos="2268"/>
              </w:tabs>
            </w:pPr>
            <w:r w:rsidRPr="00576D60">
              <w:t>r 7.11.40</w:t>
            </w:r>
            <w:r w:rsidRPr="00576D60">
              <w:tab/>
            </w:r>
          </w:p>
        </w:tc>
        <w:tc>
          <w:tcPr>
            <w:tcW w:w="3500" w:type="pct"/>
            <w:shd w:val="clear" w:color="auto" w:fill="auto"/>
          </w:tcPr>
          <w:p w14:paraId="77CCFAC8" w14:textId="77777777" w:rsidR="00E93F58" w:rsidRPr="00576D60" w:rsidRDefault="00E93F58" w:rsidP="003D2B1E">
            <w:pPr>
              <w:pStyle w:val="ENoteTableText"/>
            </w:pPr>
            <w:r w:rsidRPr="00576D60">
              <w:t>ad</w:t>
            </w:r>
            <w:r>
              <w:t xml:space="preserve"> No 319, 2001</w:t>
            </w:r>
          </w:p>
        </w:tc>
      </w:tr>
      <w:tr w:rsidR="00E93F58" w:rsidRPr="00576D60" w14:paraId="7E745B9C" w14:textId="77777777" w:rsidTr="002F32E3">
        <w:trPr>
          <w:cantSplit/>
        </w:trPr>
        <w:tc>
          <w:tcPr>
            <w:tcW w:w="1500" w:type="pct"/>
            <w:shd w:val="clear" w:color="auto" w:fill="auto"/>
          </w:tcPr>
          <w:p w14:paraId="44C30F9A" w14:textId="77777777" w:rsidR="00E93F58" w:rsidRPr="00576D60" w:rsidRDefault="00E93F58" w:rsidP="003D2B1E">
            <w:pPr>
              <w:pStyle w:val="ENoteTableText"/>
            </w:pPr>
          </w:p>
        </w:tc>
        <w:tc>
          <w:tcPr>
            <w:tcW w:w="3500" w:type="pct"/>
            <w:shd w:val="clear" w:color="auto" w:fill="auto"/>
          </w:tcPr>
          <w:p w14:paraId="0A3A6D00" w14:textId="77777777" w:rsidR="00E93F58" w:rsidRPr="00576D60" w:rsidRDefault="00E93F58" w:rsidP="003D2B1E">
            <w:pPr>
              <w:pStyle w:val="ENoteTableText"/>
            </w:pPr>
            <w:r w:rsidRPr="00576D60">
              <w:t>am</w:t>
            </w:r>
            <w:r>
              <w:t xml:space="preserve"> No 43, 2012; F2023L01458</w:t>
            </w:r>
          </w:p>
        </w:tc>
      </w:tr>
      <w:tr w:rsidR="00E93F58" w:rsidRPr="00576D60" w14:paraId="04F752F2" w14:textId="77777777" w:rsidTr="002F32E3">
        <w:trPr>
          <w:cantSplit/>
        </w:trPr>
        <w:tc>
          <w:tcPr>
            <w:tcW w:w="1500" w:type="pct"/>
            <w:shd w:val="clear" w:color="auto" w:fill="auto"/>
          </w:tcPr>
          <w:p w14:paraId="50EB5BDE" w14:textId="77777777" w:rsidR="00E93F58" w:rsidRPr="00576D60" w:rsidRDefault="00E93F58" w:rsidP="003D2B1E">
            <w:pPr>
              <w:pStyle w:val="ENoteTableText"/>
              <w:tabs>
                <w:tab w:val="left" w:leader="dot" w:pos="2268"/>
              </w:tabs>
            </w:pPr>
            <w:r w:rsidRPr="00576D60">
              <w:t>r. 7.11.41</w:t>
            </w:r>
            <w:r w:rsidRPr="00576D60">
              <w:tab/>
            </w:r>
          </w:p>
        </w:tc>
        <w:tc>
          <w:tcPr>
            <w:tcW w:w="3500" w:type="pct"/>
            <w:shd w:val="clear" w:color="auto" w:fill="auto"/>
          </w:tcPr>
          <w:p w14:paraId="70303893" w14:textId="77777777" w:rsidR="00E93F58" w:rsidRPr="00576D60" w:rsidRDefault="00E93F58" w:rsidP="003D2B1E">
            <w:pPr>
              <w:pStyle w:val="ENoteTableText"/>
            </w:pPr>
            <w:r w:rsidRPr="00576D60">
              <w:t>ad. 2001 No. 319</w:t>
            </w:r>
          </w:p>
        </w:tc>
      </w:tr>
      <w:tr w:rsidR="00E93F58" w:rsidRPr="00576D60" w14:paraId="71A01323" w14:textId="77777777" w:rsidTr="002F32E3">
        <w:trPr>
          <w:cantSplit/>
        </w:trPr>
        <w:tc>
          <w:tcPr>
            <w:tcW w:w="1500" w:type="pct"/>
            <w:shd w:val="clear" w:color="auto" w:fill="auto"/>
          </w:tcPr>
          <w:p w14:paraId="1F35C4FD" w14:textId="77777777" w:rsidR="00E93F58" w:rsidRPr="00576D60" w:rsidRDefault="00E93F58" w:rsidP="003D2B1E">
            <w:pPr>
              <w:pStyle w:val="ENoteTableText"/>
              <w:tabs>
                <w:tab w:val="left" w:leader="dot" w:pos="2268"/>
              </w:tabs>
            </w:pPr>
            <w:r w:rsidRPr="00576D60">
              <w:t>r. 7.11.42</w:t>
            </w:r>
            <w:r w:rsidRPr="00576D60">
              <w:tab/>
            </w:r>
          </w:p>
        </w:tc>
        <w:tc>
          <w:tcPr>
            <w:tcW w:w="3500" w:type="pct"/>
            <w:shd w:val="clear" w:color="auto" w:fill="auto"/>
          </w:tcPr>
          <w:p w14:paraId="6CD2E4CA" w14:textId="77777777" w:rsidR="00E93F58" w:rsidRPr="00576D60" w:rsidRDefault="00E93F58" w:rsidP="003D2B1E">
            <w:pPr>
              <w:pStyle w:val="ENoteTableText"/>
            </w:pPr>
            <w:r w:rsidRPr="00576D60">
              <w:t>ad. 2001 No. 319</w:t>
            </w:r>
          </w:p>
        </w:tc>
      </w:tr>
      <w:tr w:rsidR="00E93F58" w:rsidRPr="00576D60" w14:paraId="139343DB" w14:textId="77777777" w:rsidTr="002F32E3">
        <w:trPr>
          <w:cantSplit/>
        </w:trPr>
        <w:tc>
          <w:tcPr>
            <w:tcW w:w="1500" w:type="pct"/>
            <w:shd w:val="clear" w:color="auto" w:fill="auto"/>
          </w:tcPr>
          <w:p w14:paraId="250B2C5D" w14:textId="77777777" w:rsidR="00E93F58" w:rsidRPr="00576D60" w:rsidRDefault="00E93F58" w:rsidP="003D2B1E">
            <w:pPr>
              <w:pStyle w:val="ENoteTableText"/>
              <w:tabs>
                <w:tab w:val="left" w:leader="dot" w:pos="2268"/>
              </w:tabs>
              <w:rPr>
                <w:b/>
              </w:rPr>
            </w:pPr>
            <w:r w:rsidRPr="00576D60">
              <w:rPr>
                <w:b/>
              </w:rPr>
              <w:t>Division 6</w:t>
            </w:r>
          </w:p>
        </w:tc>
        <w:tc>
          <w:tcPr>
            <w:tcW w:w="3500" w:type="pct"/>
            <w:shd w:val="clear" w:color="auto" w:fill="auto"/>
          </w:tcPr>
          <w:p w14:paraId="38B1AEFF" w14:textId="77777777" w:rsidR="00E93F58" w:rsidRPr="00576D60" w:rsidRDefault="00E93F58" w:rsidP="003D2B1E">
            <w:pPr>
              <w:pStyle w:val="ENoteTableText"/>
            </w:pPr>
          </w:p>
        </w:tc>
      </w:tr>
      <w:tr w:rsidR="00E93F58" w:rsidRPr="00576D60" w14:paraId="223BF4E3" w14:textId="77777777" w:rsidTr="002F32E3">
        <w:trPr>
          <w:cantSplit/>
        </w:trPr>
        <w:tc>
          <w:tcPr>
            <w:tcW w:w="1500" w:type="pct"/>
            <w:shd w:val="clear" w:color="auto" w:fill="auto"/>
          </w:tcPr>
          <w:p w14:paraId="139EEC86" w14:textId="77777777" w:rsidR="00E93F58" w:rsidRPr="00576D60" w:rsidRDefault="00E93F58" w:rsidP="003D2B1E">
            <w:pPr>
              <w:pStyle w:val="ENoteTableText"/>
              <w:tabs>
                <w:tab w:val="left" w:leader="dot" w:pos="2268"/>
              </w:tabs>
            </w:pPr>
            <w:r w:rsidRPr="00576D60">
              <w:t>r. 7.11.43</w:t>
            </w:r>
            <w:r w:rsidRPr="00576D60">
              <w:tab/>
            </w:r>
          </w:p>
        </w:tc>
        <w:tc>
          <w:tcPr>
            <w:tcW w:w="3500" w:type="pct"/>
            <w:shd w:val="clear" w:color="auto" w:fill="auto"/>
          </w:tcPr>
          <w:p w14:paraId="52E47A7D" w14:textId="77777777" w:rsidR="00E93F58" w:rsidRPr="00576D60" w:rsidRDefault="00E93F58" w:rsidP="003D2B1E">
            <w:pPr>
              <w:pStyle w:val="ENoteTableText"/>
            </w:pPr>
            <w:r w:rsidRPr="00576D60">
              <w:t>ad. 2001 No. 319</w:t>
            </w:r>
          </w:p>
        </w:tc>
      </w:tr>
      <w:tr w:rsidR="00E93F58" w:rsidRPr="00576D60" w14:paraId="4003C4D4" w14:textId="77777777" w:rsidTr="002F32E3">
        <w:trPr>
          <w:cantSplit/>
        </w:trPr>
        <w:tc>
          <w:tcPr>
            <w:tcW w:w="1500" w:type="pct"/>
            <w:shd w:val="clear" w:color="auto" w:fill="auto"/>
          </w:tcPr>
          <w:p w14:paraId="712E7C62" w14:textId="77777777" w:rsidR="00E93F58" w:rsidRPr="00576D60" w:rsidRDefault="00E93F58" w:rsidP="003D2B1E">
            <w:pPr>
              <w:pStyle w:val="ENoteTableText"/>
              <w:keepNext/>
              <w:keepLines/>
              <w:tabs>
                <w:tab w:val="left" w:leader="dot" w:pos="2268"/>
              </w:tabs>
              <w:rPr>
                <w:b/>
              </w:rPr>
            </w:pPr>
            <w:r w:rsidRPr="00576D60">
              <w:rPr>
                <w:b/>
              </w:rPr>
              <w:t>Part 7.12</w:t>
            </w:r>
          </w:p>
        </w:tc>
        <w:tc>
          <w:tcPr>
            <w:tcW w:w="3500" w:type="pct"/>
            <w:shd w:val="clear" w:color="auto" w:fill="auto"/>
          </w:tcPr>
          <w:p w14:paraId="1F66A63A" w14:textId="77777777" w:rsidR="00E93F58" w:rsidRPr="00576D60" w:rsidRDefault="00E93F58" w:rsidP="003D2B1E">
            <w:pPr>
              <w:pStyle w:val="ENoteTableText"/>
              <w:keepNext/>
              <w:keepLines/>
            </w:pPr>
          </w:p>
        </w:tc>
      </w:tr>
      <w:tr w:rsidR="00E93F58" w:rsidRPr="00576D60" w14:paraId="57DD89E2" w14:textId="77777777" w:rsidTr="002F32E3">
        <w:trPr>
          <w:cantSplit/>
        </w:trPr>
        <w:tc>
          <w:tcPr>
            <w:tcW w:w="1500" w:type="pct"/>
            <w:shd w:val="clear" w:color="auto" w:fill="auto"/>
          </w:tcPr>
          <w:p w14:paraId="6BA2D6F9" w14:textId="77777777" w:rsidR="00E93F58" w:rsidRPr="00576D60" w:rsidRDefault="00E93F58" w:rsidP="003D2B1E">
            <w:pPr>
              <w:pStyle w:val="ENoteTableText"/>
              <w:tabs>
                <w:tab w:val="left" w:leader="dot" w:pos="2268"/>
              </w:tabs>
            </w:pPr>
            <w:r w:rsidRPr="00576D60">
              <w:t>r. 7.12.01</w:t>
            </w:r>
            <w:r w:rsidRPr="00576D60">
              <w:tab/>
            </w:r>
          </w:p>
        </w:tc>
        <w:tc>
          <w:tcPr>
            <w:tcW w:w="3500" w:type="pct"/>
            <w:shd w:val="clear" w:color="auto" w:fill="auto"/>
          </w:tcPr>
          <w:p w14:paraId="611E061E" w14:textId="77777777" w:rsidR="00E93F58" w:rsidRPr="00576D60" w:rsidRDefault="00E93F58" w:rsidP="003D2B1E">
            <w:pPr>
              <w:pStyle w:val="ENoteTableText"/>
            </w:pPr>
            <w:r w:rsidRPr="00576D60">
              <w:t>ad. 2001 No. 319</w:t>
            </w:r>
          </w:p>
        </w:tc>
      </w:tr>
      <w:tr w:rsidR="00E93F58" w:rsidRPr="00576D60" w14:paraId="1310ADD0" w14:textId="77777777" w:rsidTr="002F32E3">
        <w:trPr>
          <w:cantSplit/>
        </w:trPr>
        <w:tc>
          <w:tcPr>
            <w:tcW w:w="1500" w:type="pct"/>
            <w:shd w:val="clear" w:color="auto" w:fill="auto"/>
          </w:tcPr>
          <w:p w14:paraId="68FF8CE6" w14:textId="77777777" w:rsidR="00E93F58" w:rsidRPr="00576D60" w:rsidRDefault="00E93F58" w:rsidP="003D2B1E">
            <w:pPr>
              <w:pStyle w:val="ENoteTableText"/>
              <w:tabs>
                <w:tab w:val="left" w:leader="dot" w:pos="2268"/>
              </w:tabs>
            </w:pPr>
            <w:r w:rsidRPr="00576D60">
              <w:t>rr. 7.13.01–7.13.03</w:t>
            </w:r>
            <w:r w:rsidRPr="00576D60">
              <w:tab/>
            </w:r>
          </w:p>
        </w:tc>
        <w:tc>
          <w:tcPr>
            <w:tcW w:w="3500" w:type="pct"/>
            <w:shd w:val="clear" w:color="auto" w:fill="auto"/>
          </w:tcPr>
          <w:p w14:paraId="2ECD3FAD" w14:textId="77777777" w:rsidR="00E93F58" w:rsidRPr="00576D60" w:rsidRDefault="00E93F58" w:rsidP="003D2B1E">
            <w:pPr>
              <w:pStyle w:val="ENoteTableText"/>
            </w:pPr>
            <w:r w:rsidRPr="00576D60">
              <w:t>rep. 2001 No. 319</w:t>
            </w:r>
          </w:p>
        </w:tc>
      </w:tr>
      <w:tr w:rsidR="00E93F58" w:rsidRPr="00576D60" w14:paraId="0B874732" w14:textId="77777777" w:rsidTr="002F32E3">
        <w:trPr>
          <w:cantSplit/>
        </w:trPr>
        <w:tc>
          <w:tcPr>
            <w:tcW w:w="1500" w:type="pct"/>
            <w:shd w:val="clear" w:color="auto" w:fill="auto"/>
          </w:tcPr>
          <w:p w14:paraId="01E8AF80" w14:textId="77777777" w:rsidR="00E93F58" w:rsidRPr="00576D60" w:rsidRDefault="00E93F58" w:rsidP="003D2B1E">
            <w:pPr>
              <w:pStyle w:val="ENoteTableText"/>
              <w:tabs>
                <w:tab w:val="left" w:leader="dot" w:pos="2268"/>
              </w:tabs>
            </w:pPr>
            <w:r w:rsidRPr="00576D60">
              <w:t>rr. 7.14.01, 7.14.02</w:t>
            </w:r>
            <w:r w:rsidRPr="00576D60">
              <w:tab/>
            </w:r>
          </w:p>
        </w:tc>
        <w:tc>
          <w:tcPr>
            <w:tcW w:w="3500" w:type="pct"/>
            <w:shd w:val="clear" w:color="auto" w:fill="auto"/>
          </w:tcPr>
          <w:p w14:paraId="56A1780C" w14:textId="77777777" w:rsidR="00E93F58" w:rsidRPr="00576D60" w:rsidRDefault="00E93F58" w:rsidP="003D2B1E">
            <w:pPr>
              <w:pStyle w:val="ENoteTableText"/>
            </w:pPr>
            <w:r w:rsidRPr="00576D60">
              <w:t>rep. 2001 No. 319</w:t>
            </w:r>
          </w:p>
        </w:tc>
      </w:tr>
      <w:tr w:rsidR="00E93F58" w:rsidRPr="00576D60" w14:paraId="2AA8DF5D" w14:textId="77777777" w:rsidTr="002F32E3">
        <w:trPr>
          <w:cantSplit/>
        </w:trPr>
        <w:tc>
          <w:tcPr>
            <w:tcW w:w="1500" w:type="pct"/>
            <w:shd w:val="clear" w:color="auto" w:fill="auto"/>
          </w:tcPr>
          <w:p w14:paraId="5FC303AE" w14:textId="77777777" w:rsidR="00E93F58" w:rsidRPr="00576D60" w:rsidRDefault="00E93F58" w:rsidP="003D2B1E">
            <w:pPr>
              <w:pStyle w:val="ENoteTableText"/>
              <w:tabs>
                <w:tab w:val="left" w:leader="dot" w:pos="2268"/>
              </w:tabs>
            </w:pPr>
            <w:r w:rsidRPr="00576D60">
              <w:t>r. 7.15.01</w:t>
            </w:r>
            <w:r w:rsidRPr="00576D60">
              <w:tab/>
            </w:r>
          </w:p>
        </w:tc>
        <w:tc>
          <w:tcPr>
            <w:tcW w:w="3500" w:type="pct"/>
            <w:shd w:val="clear" w:color="auto" w:fill="auto"/>
          </w:tcPr>
          <w:p w14:paraId="57712518" w14:textId="77777777" w:rsidR="00E93F58" w:rsidRPr="00576D60" w:rsidRDefault="00E93F58" w:rsidP="003D2B1E">
            <w:pPr>
              <w:pStyle w:val="ENoteTableText"/>
            </w:pPr>
            <w:r w:rsidRPr="00576D60">
              <w:t>rep. 2001 No. 319</w:t>
            </w:r>
          </w:p>
        </w:tc>
      </w:tr>
      <w:tr w:rsidR="00E93F58" w:rsidRPr="00576D60" w14:paraId="276CDA0A" w14:textId="77777777" w:rsidTr="002F32E3">
        <w:trPr>
          <w:cantSplit/>
        </w:trPr>
        <w:tc>
          <w:tcPr>
            <w:tcW w:w="1500" w:type="pct"/>
            <w:shd w:val="clear" w:color="auto" w:fill="auto"/>
          </w:tcPr>
          <w:p w14:paraId="2B8DBDDD" w14:textId="77777777" w:rsidR="00E93F58" w:rsidRPr="00576D60" w:rsidRDefault="00E93F58" w:rsidP="003D2B1E">
            <w:pPr>
              <w:pStyle w:val="ENoteTableText"/>
              <w:tabs>
                <w:tab w:val="left" w:leader="dot" w:pos="2268"/>
              </w:tabs>
              <w:rPr>
                <w:b/>
              </w:rPr>
            </w:pPr>
            <w:r w:rsidRPr="00576D60">
              <w:rPr>
                <w:b/>
              </w:rPr>
              <w:t>Chapter 8</w:t>
            </w:r>
          </w:p>
        </w:tc>
        <w:tc>
          <w:tcPr>
            <w:tcW w:w="3500" w:type="pct"/>
            <w:shd w:val="clear" w:color="auto" w:fill="auto"/>
          </w:tcPr>
          <w:p w14:paraId="77B9A145" w14:textId="77777777" w:rsidR="00E93F58" w:rsidRPr="00576D60" w:rsidRDefault="00E93F58" w:rsidP="003D2B1E">
            <w:pPr>
              <w:pStyle w:val="ENoteTableText"/>
            </w:pPr>
          </w:p>
        </w:tc>
      </w:tr>
      <w:tr w:rsidR="00E93F58" w:rsidRPr="00576D60" w14:paraId="4FF6688F" w14:textId="77777777" w:rsidTr="002F32E3">
        <w:trPr>
          <w:cantSplit/>
        </w:trPr>
        <w:tc>
          <w:tcPr>
            <w:tcW w:w="1500" w:type="pct"/>
            <w:shd w:val="clear" w:color="auto" w:fill="auto"/>
          </w:tcPr>
          <w:p w14:paraId="15F582C8" w14:textId="77777777" w:rsidR="00E93F58" w:rsidRPr="00576D60" w:rsidRDefault="00E93F58" w:rsidP="003D2B1E">
            <w:pPr>
              <w:pStyle w:val="ENoteTableText"/>
              <w:tabs>
                <w:tab w:val="left" w:leader="dot" w:pos="2268"/>
              </w:tabs>
            </w:pPr>
            <w:r w:rsidRPr="00576D60">
              <w:t>Chapter 8</w:t>
            </w:r>
            <w:r w:rsidRPr="00576D60">
              <w:tab/>
            </w:r>
          </w:p>
        </w:tc>
        <w:tc>
          <w:tcPr>
            <w:tcW w:w="3500" w:type="pct"/>
            <w:shd w:val="clear" w:color="auto" w:fill="auto"/>
          </w:tcPr>
          <w:p w14:paraId="06A701A2" w14:textId="77777777" w:rsidR="00E93F58" w:rsidRPr="00576D60" w:rsidRDefault="00E93F58" w:rsidP="003D2B1E">
            <w:pPr>
              <w:pStyle w:val="ENoteTableText"/>
            </w:pPr>
            <w:r w:rsidRPr="00576D60">
              <w:t>rep. 2001 No. 319</w:t>
            </w:r>
          </w:p>
        </w:tc>
      </w:tr>
      <w:tr w:rsidR="00E93F58" w:rsidRPr="00576D60" w14:paraId="3B029EE1" w14:textId="77777777" w:rsidTr="002F32E3">
        <w:trPr>
          <w:cantSplit/>
        </w:trPr>
        <w:tc>
          <w:tcPr>
            <w:tcW w:w="1500" w:type="pct"/>
            <w:shd w:val="clear" w:color="auto" w:fill="auto"/>
          </w:tcPr>
          <w:p w14:paraId="3B162571" w14:textId="77777777" w:rsidR="00E93F58" w:rsidRPr="00576D60" w:rsidRDefault="00E93F58" w:rsidP="003D2B1E">
            <w:pPr>
              <w:pStyle w:val="ENoteTableText"/>
            </w:pPr>
          </w:p>
        </w:tc>
        <w:tc>
          <w:tcPr>
            <w:tcW w:w="3500" w:type="pct"/>
            <w:shd w:val="clear" w:color="auto" w:fill="auto"/>
          </w:tcPr>
          <w:p w14:paraId="5BA744AE" w14:textId="77777777" w:rsidR="00E93F58" w:rsidRPr="00576D60" w:rsidRDefault="00E93F58" w:rsidP="003D2B1E">
            <w:pPr>
              <w:pStyle w:val="ENoteTableText"/>
            </w:pPr>
            <w:r w:rsidRPr="00576D60">
              <w:t>ad. 2008 No. 94</w:t>
            </w:r>
          </w:p>
        </w:tc>
      </w:tr>
      <w:tr w:rsidR="00E93F58" w:rsidRPr="00576D60" w14:paraId="051E72FA" w14:textId="77777777" w:rsidTr="002F32E3">
        <w:trPr>
          <w:cantSplit/>
        </w:trPr>
        <w:tc>
          <w:tcPr>
            <w:tcW w:w="1500" w:type="pct"/>
            <w:shd w:val="clear" w:color="auto" w:fill="auto"/>
          </w:tcPr>
          <w:p w14:paraId="6E95E524" w14:textId="77777777" w:rsidR="00E93F58" w:rsidRPr="00576D60" w:rsidRDefault="00E93F58" w:rsidP="003D2B1E">
            <w:pPr>
              <w:pStyle w:val="ENoteTableText"/>
              <w:keepNext/>
              <w:tabs>
                <w:tab w:val="left" w:leader="dot" w:pos="2268"/>
              </w:tabs>
              <w:rPr>
                <w:b/>
              </w:rPr>
            </w:pPr>
            <w:r w:rsidRPr="00576D60">
              <w:rPr>
                <w:b/>
              </w:rPr>
              <w:t>Part 8.1</w:t>
            </w:r>
          </w:p>
        </w:tc>
        <w:tc>
          <w:tcPr>
            <w:tcW w:w="3500" w:type="pct"/>
            <w:shd w:val="clear" w:color="auto" w:fill="auto"/>
          </w:tcPr>
          <w:p w14:paraId="07849A41" w14:textId="77777777" w:rsidR="00E93F58" w:rsidRPr="00576D60" w:rsidRDefault="00E93F58" w:rsidP="003D2B1E">
            <w:pPr>
              <w:pStyle w:val="ENoteTableText"/>
            </w:pPr>
          </w:p>
        </w:tc>
      </w:tr>
      <w:tr w:rsidR="00E93F58" w:rsidRPr="00576D60" w14:paraId="28568E1D" w14:textId="77777777" w:rsidTr="002F32E3">
        <w:trPr>
          <w:cantSplit/>
        </w:trPr>
        <w:tc>
          <w:tcPr>
            <w:tcW w:w="1500" w:type="pct"/>
            <w:shd w:val="clear" w:color="auto" w:fill="auto"/>
          </w:tcPr>
          <w:p w14:paraId="7C2D9F9B" w14:textId="77777777" w:rsidR="00E93F58" w:rsidRPr="00576D60" w:rsidRDefault="00E93F58" w:rsidP="003D2B1E">
            <w:pPr>
              <w:pStyle w:val="ENoteTableText"/>
              <w:tabs>
                <w:tab w:val="left" w:leader="dot" w:pos="2268"/>
              </w:tabs>
            </w:pPr>
            <w:r w:rsidRPr="00576D60">
              <w:t>r 8.1.01</w:t>
            </w:r>
            <w:r w:rsidRPr="00576D60">
              <w:tab/>
            </w:r>
          </w:p>
        </w:tc>
        <w:tc>
          <w:tcPr>
            <w:tcW w:w="3500" w:type="pct"/>
            <w:shd w:val="clear" w:color="auto" w:fill="auto"/>
          </w:tcPr>
          <w:p w14:paraId="7D5105C0" w14:textId="77777777" w:rsidR="00E93F58" w:rsidRPr="00576D60" w:rsidRDefault="00E93F58" w:rsidP="003D2B1E">
            <w:pPr>
              <w:pStyle w:val="ENoteTableText"/>
            </w:pPr>
            <w:r w:rsidRPr="00576D60">
              <w:t>rep No 319, 2001</w:t>
            </w:r>
          </w:p>
        </w:tc>
      </w:tr>
      <w:tr w:rsidR="00E93F58" w:rsidRPr="00576D60" w14:paraId="0A024055" w14:textId="77777777" w:rsidTr="002F32E3">
        <w:trPr>
          <w:cantSplit/>
        </w:trPr>
        <w:tc>
          <w:tcPr>
            <w:tcW w:w="1500" w:type="pct"/>
            <w:shd w:val="clear" w:color="auto" w:fill="auto"/>
          </w:tcPr>
          <w:p w14:paraId="1B96AFA7" w14:textId="77777777" w:rsidR="00E93F58" w:rsidRPr="00576D60" w:rsidRDefault="00E93F58" w:rsidP="003D2B1E">
            <w:pPr>
              <w:pStyle w:val="ENoteTableText"/>
            </w:pPr>
          </w:p>
        </w:tc>
        <w:tc>
          <w:tcPr>
            <w:tcW w:w="3500" w:type="pct"/>
            <w:shd w:val="clear" w:color="auto" w:fill="auto"/>
          </w:tcPr>
          <w:p w14:paraId="7EDD4739" w14:textId="77777777" w:rsidR="00E93F58" w:rsidRPr="00576D60" w:rsidRDefault="00E93F58" w:rsidP="003D2B1E">
            <w:pPr>
              <w:pStyle w:val="ENoteTableText"/>
            </w:pPr>
            <w:r w:rsidRPr="00576D60">
              <w:t>ad No 94. 2008</w:t>
            </w:r>
          </w:p>
        </w:tc>
      </w:tr>
      <w:tr w:rsidR="00E93F58" w:rsidRPr="00576D60" w14:paraId="4ECE20A5" w14:textId="77777777" w:rsidTr="002F32E3">
        <w:trPr>
          <w:cantSplit/>
        </w:trPr>
        <w:tc>
          <w:tcPr>
            <w:tcW w:w="1500" w:type="pct"/>
            <w:shd w:val="clear" w:color="auto" w:fill="auto"/>
          </w:tcPr>
          <w:p w14:paraId="136AC2A4" w14:textId="77777777" w:rsidR="00E93F58" w:rsidRPr="00576D60" w:rsidRDefault="00E93F58" w:rsidP="003D2B1E">
            <w:pPr>
              <w:pStyle w:val="ENoteTableText"/>
            </w:pPr>
          </w:p>
        </w:tc>
        <w:tc>
          <w:tcPr>
            <w:tcW w:w="3500" w:type="pct"/>
            <w:shd w:val="clear" w:color="auto" w:fill="auto"/>
          </w:tcPr>
          <w:p w14:paraId="01B9C52E" w14:textId="77777777" w:rsidR="00E93F58" w:rsidRPr="00576D60" w:rsidRDefault="00E93F58" w:rsidP="003D2B1E">
            <w:pPr>
              <w:pStyle w:val="ENoteTableText"/>
              <w:rPr>
                <w:u w:val="single"/>
              </w:rPr>
            </w:pPr>
            <w:r w:rsidRPr="00576D60">
              <w:t>am No 175, 2014; F2022L01689</w:t>
            </w:r>
          </w:p>
        </w:tc>
      </w:tr>
      <w:tr w:rsidR="00E93F58" w:rsidRPr="00576D60" w14:paraId="2E684AB8" w14:textId="77777777" w:rsidTr="002F32E3">
        <w:trPr>
          <w:cantSplit/>
        </w:trPr>
        <w:tc>
          <w:tcPr>
            <w:tcW w:w="1500" w:type="pct"/>
            <w:shd w:val="clear" w:color="auto" w:fill="auto"/>
          </w:tcPr>
          <w:p w14:paraId="54C736DB" w14:textId="77777777" w:rsidR="00E93F58" w:rsidRPr="00576D60" w:rsidRDefault="00E93F58" w:rsidP="003D2B1E">
            <w:pPr>
              <w:pStyle w:val="ENoteTableText"/>
              <w:tabs>
                <w:tab w:val="left" w:leader="dot" w:pos="2268"/>
              </w:tabs>
            </w:pPr>
            <w:r w:rsidRPr="00576D60">
              <w:t>r. 8.1.01A</w:t>
            </w:r>
            <w:r w:rsidRPr="00576D60">
              <w:tab/>
            </w:r>
          </w:p>
        </w:tc>
        <w:tc>
          <w:tcPr>
            <w:tcW w:w="3500" w:type="pct"/>
            <w:shd w:val="clear" w:color="auto" w:fill="auto"/>
          </w:tcPr>
          <w:p w14:paraId="79904307" w14:textId="77777777" w:rsidR="00E93F58" w:rsidRPr="00576D60" w:rsidRDefault="00E93F58" w:rsidP="003D2B1E">
            <w:pPr>
              <w:pStyle w:val="ENoteTableText"/>
            </w:pPr>
            <w:r w:rsidRPr="00576D60">
              <w:t>rep. 2001 No. 319</w:t>
            </w:r>
          </w:p>
        </w:tc>
      </w:tr>
      <w:tr w:rsidR="00E93F58" w:rsidRPr="00576D60" w14:paraId="17472C80" w14:textId="77777777" w:rsidTr="002F32E3">
        <w:trPr>
          <w:cantSplit/>
        </w:trPr>
        <w:tc>
          <w:tcPr>
            <w:tcW w:w="1500" w:type="pct"/>
            <w:shd w:val="clear" w:color="auto" w:fill="auto"/>
          </w:tcPr>
          <w:p w14:paraId="72075353" w14:textId="77777777" w:rsidR="00E93F58" w:rsidRPr="00576D60" w:rsidRDefault="00E93F58" w:rsidP="003D2B1E">
            <w:pPr>
              <w:pStyle w:val="ENoteTableText"/>
              <w:tabs>
                <w:tab w:val="left" w:leader="dot" w:pos="2268"/>
              </w:tabs>
            </w:pPr>
            <w:r w:rsidRPr="00576D60">
              <w:t>r 8.1.02</w:t>
            </w:r>
            <w:r w:rsidRPr="00576D60">
              <w:tab/>
            </w:r>
          </w:p>
        </w:tc>
        <w:tc>
          <w:tcPr>
            <w:tcW w:w="3500" w:type="pct"/>
            <w:shd w:val="clear" w:color="auto" w:fill="auto"/>
          </w:tcPr>
          <w:p w14:paraId="1E14993B" w14:textId="77777777" w:rsidR="00E93F58" w:rsidRPr="00576D60" w:rsidRDefault="00E93F58" w:rsidP="003D2B1E">
            <w:pPr>
              <w:pStyle w:val="ENoteTableText"/>
            </w:pPr>
            <w:r w:rsidRPr="00576D60">
              <w:t>rep No 319, 2001</w:t>
            </w:r>
          </w:p>
        </w:tc>
      </w:tr>
      <w:tr w:rsidR="00E93F58" w:rsidRPr="00576D60" w14:paraId="3E9E8537" w14:textId="77777777" w:rsidTr="002F32E3">
        <w:trPr>
          <w:cantSplit/>
        </w:trPr>
        <w:tc>
          <w:tcPr>
            <w:tcW w:w="1500" w:type="pct"/>
            <w:shd w:val="clear" w:color="auto" w:fill="auto"/>
          </w:tcPr>
          <w:p w14:paraId="2082E998" w14:textId="77777777" w:rsidR="00E93F58" w:rsidRPr="00576D60" w:rsidRDefault="00E93F58" w:rsidP="003D2B1E">
            <w:pPr>
              <w:pStyle w:val="ENoteTableText"/>
            </w:pPr>
          </w:p>
        </w:tc>
        <w:tc>
          <w:tcPr>
            <w:tcW w:w="3500" w:type="pct"/>
            <w:shd w:val="clear" w:color="auto" w:fill="auto"/>
          </w:tcPr>
          <w:p w14:paraId="59481D72" w14:textId="77777777" w:rsidR="00E93F58" w:rsidRPr="00576D60" w:rsidRDefault="00E93F58" w:rsidP="003D2B1E">
            <w:pPr>
              <w:pStyle w:val="ENoteTableText"/>
            </w:pPr>
            <w:r w:rsidRPr="00576D60">
              <w:t>ad No 94, 2008</w:t>
            </w:r>
          </w:p>
        </w:tc>
      </w:tr>
      <w:tr w:rsidR="00E93F58" w:rsidRPr="00576D60" w14:paraId="415D8FF3" w14:textId="77777777" w:rsidTr="002F32E3">
        <w:trPr>
          <w:cantSplit/>
        </w:trPr>
        <w:tc>
          <w:tcPr>
            <w:tcW w:w="1500" w:type="pct"/>
            <w:shd w:val="clear" w:color="auto" w:fill="auto"/>
          </w:tcPr>
          <w:p w14:paraId="626970E9" w14:textId="77777777" w:rsidR="00E93F58" w:rsidRPr="00576D60" w:rsidRDefault="00E93F58" w:rsidP="003D2B1E">
            <w:pPr>
              <w:pStyle w:val="ENoteTableText"/>
            </w:pPr>
          </w:p>
        </w:tc>
        <w:tc>
          <w:tcPr>
            <w:tcW w:w="3500" w:type="pct"/>
            <w:shd w:val="clear" w:color="auto" w:fill="auto"/>
          </w:tcPr>
          <w:p w14:paraId="021D83FF" w14:textId="77777777" w:rsidR="00E93F58" w:rsidRPr="00576D60" w:rsidRDefault="00E93F58" w:rsidP="003D2B1E">
            <w:pPr>
              <w:pStyle w:val="ENoteTableText"/>
              <w:rPr>
                <w:u w:val="single"/>
              </w:rPr>
            </w:pPr>
            <w:r w:rsidRPr="00576D60">
              <w:t>am No 175, 2014; F2022L01689</w:t>
            </w:r>
            <w:r>
              <w:t>; F2023L01458</w:t>
            </w:r>
          </w:p>
        </w:tc>
      </w:tr>
      <w:tr w:rsidR="00E93F58" w:rsidRPr="00576D60" w14:paraId="013EE99E" w14:textId="77777777" w:rsidTr="002F32E3">
        <w:trPr>
          <w:cantSplit/>
        </w:trPr>
        <w:tc>
          <w:tcPr>
            <w:tcW w:w="1500" w:type="pct"/>
            <w:shd w:val="clear" w:color="auto" w:fill="auto"/>
          </w:tcPr>
          <w:p w14:paraId="3D682D9A" w14:textId="77777777" w:rsidR="00E93F58" w:rsidRPr="00576D60" w:rsidRDefault="00E93F58" w:rsidP="003D2B1E">
            <w:pPr>
              <w:pStyle w:val="ENoteTableText"/>
              <w:tabs>
                <w:tab w:val="left" w:leader="dot" w:pos="2268"/>
              </w:tabs>
            </w:pPr>
            <w:r w:rsidRPr="00576D60">
              <w:t>r 8.1.03</w:t>
            </w:r>
            <w:r w:rsidRPr="00576D60">
              <w:tab/>
            </w:r>
          </w:p>
        </w:tc>
        <w:tc>
          <w:tcPr>
            <w:tcW w:w="3500" w:type="pct"/>
            <w:shd w:val="clear" w:color="auto" w:fill="auto"/>
          </w:tcPr>
          <w:p w14:paraId="60AA52FF" w14:textId="77777777" w:rsidR="00E93F58" w:rsidRPr="00576D60" w:rsidRDefault="00E93F58" w:rsidP="003D2B1E">
            <w:pPr>
              <w:pStyle w:val="ENoteTableText"/>
            </w:pPr>
            <w:r w:rsidRPr="00576D60">
              <w:t>ad No 94, 2008</w:t>
            </w:r>
          </w:p>
        </w:tc>
      </w:tr>
      <w:tr w:rsidR="00E93F58" w:rsidRPr="00576D60" w14:paraId="5BDC2468" w14:textId="77777777" w:rsidTr="002F32E3">
        <w:trPr>
          <w:cantSplit/>
        </w:trPr>
        <w:tc>
          <w:tcPr>
            <w:tcW w:w="1500" w:type="pct"/>
            <w:shd w:val="clear" w:color="auto" w:fill="auto"/>
          </w:tcPr>
          <w:p w14:paraId="6594F1DE" w14:textId="77777777" w:rsidR="00E93F58" w:rsidRPr="00576D60" w:rsidRDefault="00E93F58" w:rsidP="003D2B1E">
            <w:pPr>
              <w:pStyle w:val="ENoteTableText"/>
              <w:tabs>
                <w:tab w:val="left" w:leader="dot" w:pos="2268"/>
              </w:tabs>
            </w:pPr>
          </w:p>
        </w:tc>
        <w:tc>
          <w:tcPr>
            <w:tcW w:w="3500" w:type="pct"/>
            <w:shd w:val="clear" w:color="auto" w:fill="auto"/>
          </w:tcPr>
          <w:p w14:paraId="1E0FB695" w14:textId="77777777" w:rsidR="00E93F58" w:rsidRPr="00576D60" w:rsidRDefault="00E93F58" w:rsidP="003D2B1E">
            <w:pPr>
              <w:pStyle w:val="ENoteTableText"/>
            </w:pPr>
            <w:r w:rsidRPr="00576D60">
              <w:t>am F2022L01689</w:t>
            </w:r>
          </w:p>
        </w:tc>
      </w:tr>
      <w:tr w:rsidR="00E93F58" w:rsidRPr="00576D60" w14:paraId="2CD70C62" w14:textId="77777777" w:rsidTr="002F32E3">
        <w:trPr>
          <w:cantSplit/>
        </w:trPr>
        <w:tc>
          <w:tcPr>
            <w:tcW w:w="1500" w:type="pct"/>
            <w:shd w:val="clear" w:color="auto" w:fill="auto"/>
          </w:tcPr>
          <w:p w14:paraId="276D7F0D" w14:textId="77777777" w:rsidR="00E93F58" w:rsidRPr="00576D60" w:rsidRDefault="00E93F58" w:rsidP="003D2B1E">
            <w:pPr>
              <w:pStyle w:val="ENoteTableText"/>
              <w:keepNext/>
              <w:tabs>
                <w:tab w:val="left" w:leader="dot" w:pos="2268"/>
              </w:tabs>
              <w:rPr>
                <w:b/>
              </w:rPr>
            </w:pPr>
            <w:r w:rsidRPr="00576D60">
              <w:rPr>
                <w:b/>
              </w:rPr>
              <w:t>Part 8.2</w:t>
            </w:r>
          </w:p>
        </w:tc>
        <w:tc>
          <w:tcPr>
            <w:tcW w:w="3500" w:type="pct"/>
            <w:shd w:val="clear" w:color="auto" w:fill="auto"/>
          </w:tcPr>
          <w:p w14:paraId="2EAFE453" w14:textId="77777777" w:rsidR="00E93F58" w:rsidRPr="00576D60" w:rsidRDefault="00E93F58" w:rsidP="003D2B1E">
            <w:pPr>
              <w:pStyle w:val="ENoteTableText"/>
              <w:keepNext/>
            </w:pPr>
          </w:p>
        </w:tc>
      </w:tr>
      <w:tr w:rsidR="00E93F58" w:rsidRPr="00576D60" w14:paraId="5F1BA1E9" w14:textId="77777777" w:rsidTr="002F32E3">
        <w:trPr>
          <w:cantSplit/>
        </w:trPr>
        <w:tc>
          <w:tcPr>
            <w:tcW w:w="1500" w:type="pct"/>
            <w:shd w:val="clear" w:color="auto" w:fill="auto"/>
          </w:tcPr>
          <w:p w14:paraId="5102E956" w14:textId="77777777" w:rsidR="00E93F58" w:rsidRPr="00576D60" w:rsidRDefault="00E93F58" w:rsidP="003D2B1E">
            <w:pPr>
              <w:pStyle w:val="ENoteTableText"/>
              <w:keepNext/>
              <w:tabs>
                <w:tab w:val="left" w:leader="dot" w:pos="2268"/>
              </w:tabs>
              <w:rPr>
                <w:b/>
              </w:rPr>
            </w:pPr>
            <w:r w:rsidRPr="00576D60">
              <w:rPr>
                <w:b/>
              </w:rPr>
              <w:t>Division 1</w:t>
            </w:r>
          </w:p>
        </w:tc>
        <w:tc>
          <w:tcPr>
            <w:tcW w:w="3500" w:type="pct"/>
            <w:shd w:val="clear" w:color="auto" w:fill="auto"/>
          </w:tcPr>
          <w:p w14:paraId="77BE6AFF" w14:textId="77777777" w:rsidR="00E93F58" w:rsidRPr="00576D60" w:rsidRDefault="00E93F58" w:rsidP="003D2B1E">
            <w:pPr>
              <w:pStyle w:val="ENoteTableText"/>
              <w:keepNext/>
            </w:pPr>
          </w:p>
        </w:tc>
      </w:tr>
      <w:tr w:rsidR="00E93F58" w:rsidRPr="00576D60" w14:paraId="44635BA5" w14:textId="77777777" w:rsidTr="002F32E3">
        <w:trPr>
          <w:cantSplit/>
        </w:trPr>
        <w:tc>
          <w:tcPr>
            <w:tcW w:w="1500" w:type="pct"/>
            <w:shd w:val="clear" w:color="auto" w:fill="auto"/>
          </w:tcPr>
          <w:p w14:paraId="421F496D" w14:textId="77777777" w:rsidR="00E93F58" w:rsidRPr="00576D60" w:rsidRDefault="00E93F58" w:rsidP="003D2B1E">
            <w:pPr>
              <w:pStyle w:val="ENoteTableText"/>
              <w:tabs>
                <w:tab w:val="left" w:leader="dot" w:pos="2268"/>
              </w:tabs>
            </w:pPr>
            <w:r w:rsidRPr="00576D60">
              <w:t>r 8.2.01</w:t>
            </w:r>
            <w:r w:rsidRPr="00576D60">
              <w:tab/>
            </w:r>
          </w:p>
        </w:tc>
        <w:tc>
          <w:tcPr>
            <w:tcW w:w="3500" w:type="pct"/>
            <w:shd w:val="clear" w:color="auto" w:fill="auto"/>
          </w:tcPr>
          <w:p w14:paraId="4550B603" w14:textId="77777777" w:rsidR="00E93F58" w:rsidRPr="00576D60" w:rsidRDefault="00E93F58" w:rsidP="003D2B1E">
            <w:pPr>
              <w:pStyle w:val="ENoteTableText"/>
            </w:pPr>
            <w:r w:rsidRPr="00576D60">
              <w:t>rep</w:t>
            </w:r>
            <w:r>
              <w:t xml:space="preserve"> No 319, 2001</w:t>
            </w:r>
          </w:p>
        </w:tc>
      </w:tr>
      <w:tr w:rsidR="00E93F58" w:rsidRPr="00576D60" w14:paraId="010258E3" w14:textId="77777777" w:rsidTr="002F32E3">
        <w:trPr>
          <w:cantSplit/>
        </w:trPr>
        <w:tc>
          <w:tcPr>
            <w:tcW w:w="1500" w:type="pct"/>
            <w:shd w:val="clear" w:color="auto" w:fill="auto"/>
          </w:tcPr>
          <w:p w14:paraId="32BF9884" w14:textId="77777777" w:rsidR="00E93F58" w:rsidRPr="00576D60" w:rsidRDefault="00E93F58" w:rsidP="003D2B1E">
            <w:pPr>
              <w:pStyle w:val="ENoteTableText"/>
            </w:pPr>
          </w:p>
        </w:tc>
        <w:tc>
          <w:tcPr>
            <w:tcW w:w="3500" w:type="pct"/>
            <w:shd w:val="clear" w:color="auto" w:fill="auto"/>
          </w:tcPr>
          <w:p w14:paraId="7B4AD60B" w14:textId="77777777" w:rsidR="00E93F58" w:rsidRPr="00576D60" w:rsidRDefault="00E93F58" w:rsidP="003D2B1E">
            <w:pPr>
              <w:pStyle w:val="ENoteTableText"/>
            </w:pPr>
            <w:r w:rsidRPr="00576D60">
              <w:t>ad</w:t>
            </w:r>
            <w:r>
              <w:t xml:space="preserve"> No 94, 2008</w:t>
            </w:r>
          </w:p>
        </w:tc>
      </w:tr>
      <w:tr w:rsidR="00E93F58" w:rsidRPr="00576D60" w14:paraId="4186C571" w14:textId="77777777" w:rsidTr="002F32E3">
        <w:trPr>
          <w:cantSplit/>
        </w:trPr>
        <w:tc>
          <w:tcPr>
            <w:tcW w:w="1500" w:type="pct"/>
            <w:shd w:val="clear" w:color="auto" w:fill="auto"/>
          </w:tcPr>
          <w:p w14:paraId="5218BDBA" w14:textId="77777777" w:rsidR="00E93F58" w:rsidRPr="00576D60" w:rsidRDefault="00E93F58" w:rsidP="003D2B1E">
            <w:pPr>
              <w:pStyle w:val="ENoteTableText"/>
            </w:pPr>
          </w:p>
        </w:tc>
        <w:tc>
          <w:tcPr>
            <w:tcW w:w="3500" w:type="pct"/>
            <w:shd w:val="clear" w:color="auto" w:fill="auto"/>
          </w:tcPr>
          <w:p w14:paraId="1A336A6E" w14:textId="77777777" w:rsidR="00E93F58" w:rsidRPr="00576D60" w:rsidRDefault="00E93F58" w:rsidP="003D2B1E">
            <w:pPr>
              <w:pStyle w:val="ENoteTableText"/>
              <w:rPr>
                <w:u w:val="single"/>
              </w:rPr>
            </w:pPr>
            <w:r w:rsidRPr="00576D60">
              <w:t>am No 301, 2010 (md not incorp); No 175, 2014</w:t>
            </w:r>
            <w:r>
              <w:t>; F2023L01458</w:t>
            </w:r>
          </w:p>
        </w:tc>
      </w:tr>
      <w:tr w:rsidR="00E93F58" w:rsidRPr="00576D60" w14:paraId="4855D8ED" w14:textId="77777777" w:rsidTr="002F32E3">
        <w:trPr>
          <w:cantSplit/>
        </w:trPr>
        <w:tc>
          <w:tcPr>
            <w:tcW w:w="1500" w:type="pct"/>
            <w:shd w:val="clear" w:color="auto" w:fill="auto"/>
          </w:tcPr>
          <w:p w14:paraId="6A5164D4" w14:textId="77777777" w:rsidR="00E93F58" w:rsidRPr="00576D60" w:rsidRDefault="00E93F58" w:rsidP="003D2B1E">
            <w:pPr>
              <w:pStyle w:val="ENoteTableText"/>
              <w:tabs>
                <w:tab w:val="left" w:leader="dot" w:pos="2268"/>
              </w:tabs>
            </w:pPr>
            <w:r w:rsidRPr="00576D60">
              <w:t>r 8.2.02</w:t>
            </w:r>
            <w:r w:rsidRPr="00576D60">
              <w:tab/>
            </w:r>
          </w:p>
        </w:tc>
        <w:tc>
          <w:tcPr>
            <w:tcW w:w="3500" w:type="pct"/>
            <w:shd w:val="clear" w:color="auto" w:fill="auto"/>
          </w:tcPr>
          <w:p w14:paraId="4F95FE9E" w14:textId="77777777" w:rsidR="00E93F58" w:rsidRPr="00576D60" w:rsidRDefault="00E93F58" w:rsidP="003D2B1E">
            <w:pPr>
              <w:pStyle w:val="ENoteTableText"/>
            </w:pPr>
            <w:r w:rsidRPr="00576D60">
              <w:t>rep</w:t>
            </w:r>
            <w:r>
              <w:t xml:space="preserve"> No 319, 2001</w:t>
            </w:r>
          </w:p>
        </w:tc>
      </w:tr>
      <w:tr w:rsidR="00E93F58" w:rsidRPr="00576D60" w14:paraId="4FF9C56C" w14:textId="77777777" w:rsidTr="002F32E3">
        <w:trPr>
          <w:cantSplit/>
        </w:trPr>
        <w:tc>
          <w:tcPr>
            <w:tcW w:w="1500" w:type="pct"/>
            <w:shd w:val="clear" w:color="auto" w:fill="auto"/>
          </w:tcPr>
          <w:p w14:paraId="206FDAA9" w14:textId="77777777" w:rsidR="00E93F58" w:rsidRPr="00576D60" w:rsidRDefault="00E93F58" w:rsidP="003D2B1E">
            <w:pPr>
              <w:pStyle w:val="ENoteTableText"/>
            </w:pPr>
          </w:p>
        </w:tc>
        <w:tc>
          <w:tcPr>
            <w:tcW w:w="3500" w:type="pct"/>
            <w:shd w:val="clear" w:color="auto" w:fill="auto"/>
          </w:tcPr>
          <w:p w14:paraId="7E2441B5" w14:textId="77777777" w:rsidR="00E93F58" w:rsidRPr="00576D60" w:rsidRDefault="00E93F58" w:rsidP="003D2B1E">
            <w:pPr>
              <w:pStyle w:val="ENoteTableText"/>
            </w:pPr>
            <w:r w:rsidRPr="00576D60">
              <w:t>ad</w:t>
            </w:r>
            <w:r>
              <w:t xml:space="preserve"> No 94, 2008</w:t>
            </w:r>
          </w:p>
        </w:tc>
      </w:tr>
      <w:tr w:rsidR="00E93F58" w:rsidRPr="00576D60" w14:paraId="304BBB4D" w14:textId="77777777" w:rsidTr="002F32E3">
        <w:trPr>
          <w:cantSplit/>
        </w:trPr>
        <w:tc>
          <w:tcPr>
            <w:tcW w:w="1500" w:type="pct"/>
            <w:shd w:val="clear" w:color="auto" w:fill="auto"/>
          </w:tcPr>
          <w:p w14:paraId="3C17A610" w14:textId="77777777" w:rsidR="00E93F58" w:rsidRPr="00576D60" w:rsidRDefault="00E93F58" w:rsidP="003D2B1E">
            <w:pPr>
              <w:pStyle w:val="ENoteTableText"/>
            </w:pPr>
          </w:p>
        </w:tc>
        <w:tc>
          <w:tcPr>
            <w:tcW w:w="3500" w:type="pct"/>
            <w:shd w:val="clear" w:color="auto" w:fill="auto"/>
          </w:tcPr>
          <w:p w14:paraId="724A87E1" w14:textId="77777777" w:rsidR="00E93F58" w:rsidRPr="00576D60" w:rsidRDefault="00E93F58" w:rsidP="003D2B1E">
            <w:pPr>
              <w:pStyle w:val="ENoteTableText"/>
              <w:rPr>
                <w:u w:val="single"/>
              </w:rPr>
            </w:pPr>
            <w:r w:rsidRPr="00576D60">
              <w:t>am</w:t>
            </w:r>
            <w:r>
              <w:t xml:space="preserve"> No 301, 2010</w:t>
            </w:r>
            <w:r w:rsidRPr="00576D60">
              <w:t>; No 175, 2014</w:t>
            </w:r>
            <w:r>
              <w:t>; F2023L01458</w:t>
            </w:r>
          </w:p>
        </w:tc>
      </w:tr>
      <w:tr w:rsidR="00E93F58" w:rsidRPr="00576D60" w14:paraId="0E75C785" w14:textId="77777777" w:rsidTr="002F32E3">
        <w:trPr>
          <w:cantSplit/>
        </w:trPr>
        <w:tc>
          <w:tcPr>
            <w:tcW w:w="1500" w:type="pct"/>
            <w:shd w:val="clear" w:color="auto" w:fill="auto"/>
          </w:tcPr>
          <w:p w14:paraId="645D367D" w14:textId="77777777" w:rsidR="00E93F58" w:rsidRPr="00576D60" w:rsidRDefault="00E93F58" w:rsidP="003D2B1E">
            <w:pPr>
              <w:pStyle w:val="ENoteTableText"/>
              <w:tabs>
                <w:tab w:val="left" w:leader="dot" w:pos="2268"/>
              </w:tabs>
            </w:pPr>
            <w:r w:rsidRPr="00576D60">
              <w:t>r. 8.2.03</w:t>
            </w:r>
            <w:r w:rsidRPr="00576D60">
              <w:tab/>
            </w:r>
          </w:p>
        </w:tc>
        <w:tc>
          <w:tcPr>
            <w:tcW w:w="3500" w:type="pct"/>
            <w:shd w:val="clear" w:color="auto" w:fill="auto"/>
          </w:tcPr>
          <w:p w14:paraId="6700381E" w14:textId="77777777" w:rsidR="00E93F58" w:rsidRPr="00576D60" w:rsidRDefault="00E93F58" w:rsidP="003D2B1E">
            <w:pPr>
              <w:pStyle w:val="ENoteTableText"/>
            </w:pPr>
            <w:r w:rsidRPr="00576D60">
              <w:t>rep. 2001 No. 319</w:t>
            </w:r>
          </w:p>
        </w:tc>
      </w:tr>
      <w:tr w:rsidR="00E93F58" w:rsidRPr="00576D60" w14:paraId="02F394F0" w14:textId="77777777" w:rsidTr="002F32E3">
        <w:trPr>
          <w:cantSplit/>
        </w:trPr>
        <w:tc>
          <w:tcPr>
            <w:tcW w:w="1500" w:type="pct"/>
            <w:shd w:val="clear" w:color="auto" w:fill="auto"/>
          </w:tcPr>
          <w:p w14:paraId="5773ED04" w14:textId="77777777" w:rsidR="00E93F58" w:rsidRPr="00576D60" w:rsidRDefault="00E93F58" w:rsidP="003D2B1E">
            <w:pPr>
              <w:pStyle w:val="ENoteTableText"/>
            </w:pPr>
          </w:p>
        </w:tc>
        <w:tc>
          <w:tcPr>
            <w:tcW w:w="3500" w:type="pct"/>
            <w:shd w:val="clear" w:color="auto" w:fill="auto"/>
          </w:tcPr>
          <w:p w14:paraId="15589908" w14:textId="77777777" w:rsidR="00E93F58" w:rsidRPr="00576D60" w:rsidRDefault="00E93F58" w:rsidP="003D2B1E">
            <w:pPr>
              <w:pStyle w:val="ENoteTableText"/>
            </w:pPr>
            <w:r w:rsidRPr="00576D60">
              <w:t>ad. 2008 No. 94</w:t>
            </w:r>
          </w:p>
        </w:tc>
      </w:tr>
      <w:tr w:rsidR="00E93F58" w:rsidRPr="00576D60" w14:paraId="4BC020A9" w14:textId="77777777" w:rsidTr="002F32E3">
        <w:trPr>
          <w:cantSplit/>
        </w:trPr>
        <w:tc>
          <w:tcPr>
            <w:tcW w:w="1500" w:type="pct"/>
            <w:shd w:val="clear" w:color="auto" w:fill="auto"/>
          </w:tcPr>
          <w:p w14:paraId="55A5642C" w14:textId="77777777" w:rsidR="00E93F58" w:rsidRPr="00576D60" w:rsidRDefault="00E93F58" w:rsidP="003D2B1E">
            <w:pPr>
              <w:pStyle w:val="ENoteTableText"/>
              <w:tabs>
                <w:tab w:val="left" w:leader="dot" w:pos="2268"/>
              </w:tabs>
            </w:pPr>
            <w:r w:rsidRPr="00576D60">
              <w:t>r. 8.2.04</w:t>
            </w:r>
            <w:r w:rsidRPr="00576D60">
              <w:tab/>
            </w:r>
          </w:p>
        </w:tc>
        <w:tc>
          <w:tcPr>
            <w:tcW w:w="3500" w:type="pct"/>
            <w:shd w:val="clear" w:color="auto" w:fill="auto"/>
          </w:tcPr>
          <w:p w14:paraId="4500D38A" w14:textId="77777777" w:rsidR="00E93F58" w:rsidRPr="00576D60" w:rsidRDefault="00E93F58" w:rsidP="003D2B1E">
            <w:pPr>
              <w:pStyle w:val="ENoteTableText"/>
            </w:pPr>
            <w:r w:rsidRPr="00576D60">
              <w:t>ad. 2008 No. 94</w:t>
            </w:r>
          </w:p>
        </w:tc>
      </w:tr>
      <w:tr w:rsidR="00E93F58" w:rsidRPr="00576D60" w14:paraId="62EBD7BC" w14:textId="77777777" w:rsidTr="002F32E3">
        <w:trPr>
          <w:cantSplit/>
        </w:trPr>
        <w:tc>
          <w:tcPr>
            <w:tcW w:w="1500" w:type="pct"/>
            <w:shd w:val="clear" w:color="auto" w:fill="auto"/>
          </w:tcPr>
          <w:p w14:paraId="24B1D0D5" w14:textId="77777777" w:rsidR="00E93F58" w:rsidRPr="00576D60" w:rsidRDefault="00E93F58" w:rsidP="003D2B1E">
            <w:pPr>
              <w:pStyle w:val="ENoteTableText"/>
              <w:tabs>
                <w:tab w:val="left" w:leader="dot" w:pos="2268"/>
              </w:tabs>
            </w:pPr>
          </w:p>
        </w:tc>
        <w:tc>
          <w:tcPr>
            <w:tcW w:w="3500" w:type="pct"/>
            <w:shd w:val="clear" w:color="auto" w:fill="auto"/>
          </w:tcPr>
          <w:p w14:paraId="54A54243" w14:textId="77777777" w:rsidR="00E93F58" w:rsidRPr="00576D60" w:rsidRDefault="00E93F58" w:rsidP="003D2B1E">
            <w:pPr>
              <w:pStyle w:val="ENoteTableText"/>
            </w:pPr>
            <w:r w:rsidRPr="00576D60">
              <w:t>am No 190, 2013</w:t>
            </w:r>
          </w:p>
        </w:tc>
      </w:tr>
      <w:tr w:rsidR="00E93F58" w:rsidRPr="00576D60" w14:paraId="36A39110" w14:textId="77777777" w:rsidTr="002F32E3">
        <w:trPr>
          <w:cantSplit/>
        </w:trPr>
        <w:tc>
          <w:tcPr>
            <w:tcW w:w="1500" w:type="pct"/>
            <w:shd w:val="clear" w:color="auto" w:fill="auto"/>
          </w:tcPr>
          <w:p w14:paraId="0CC02782" w14:textId="77777777" w:rsidR="00E93F58" w:rsidRPr="00576D60" w:rsidRDefault="00E93F58" w:rsidP="003D2B1E">
            <w:pPr>
              <w:pStyle w:val="ENoteTableText"/>
              <w:tabs>
                <w:tab w:val="left" w:leader="dot" w:pos="2268"/>
              </w:tabs>
            </w:pPr>
            <w:r w:rsidRPr="00576D60">
              <w:t>rr. 8.3.01–8.3.06</w:t>
            </w:r>
            <w:r w:rsidRPr="00576D60">
              <w:tab/>
            </w:r>
          </w:p>
        </w:tc>
        <w:tc>
          <w:tcPr>
            <w:tcW w:w="3500" w:type="pct"/>
            <w:shd w:val="clear" w:color="auto" w:fill="auto"/>
          </w:tcPr>
          <w:p w14:paraId="42B86265" w14:textId="77777777" w:rsidR="00E93F58" w:rsidRPr="00576D60" w:rsidRDefault="00E93F58" w:rsidP="003D2B1E">
            <w:pPr>
              <w:pStyle w:val="ENoteTableText"/>
            </w:pPr>
            <w:r w:rsidRPr="00576D60">
              <w:t>rep. 2001 No. 319</w:t>
            </w:r>
          </w:p>
        </w:tc>
      </w:tr>
      <w:tr w:rsidR="00E93F58" w:rsidRPr="00576D60" w14:paraId="364E8D75" w14:textId="77777777" w:rsidTr="002F32E3">
        <w:trPr>
          <w:cantSplit/>
        </w:trPr>
        <w:tc>
          <w:tcPr>
            <w:tcW w:w="1500" w:type="pct"/>
            <w:shd w:val="clear" w:color="auto" w:fill="auto"/>
          </w:tcPr>
          <w:p w14:paraId="3C00DA85" w14:textId="77777777" w:rsidR="00E93F58" w:rsidRPr="00576D60" w:rsidRDefault="00E93F58" w:rsidP="003D2B1E">
            <w:pPr>
              <w:pStyle w:val="ENoteTableText"/>
              <w:keepNext/>
              <w:keepLines/>
              <w:tabs>
                <w:tab w:val="left" w:leader="dot" w:pos="2268"/>
              </w:tabs>
              <w:rPr>
                <w:b/>
              </w:rPr>
            </w:pPr>
            <w:r w:rsidRPr="00576D60">
              <w:rPr>
                <w:b/>
              </w:rPr>
              <w:t>Division 4</w:t>
            </w:r>
          </w:p>
        </w:tc>
        <w:tc>
          <w:tcPr>
            <w:tcW w:w="3500" w:type="pct"/>
            <w:shd w:val="clear" w:color="auto" w:fill="auto"/>
          </w:tcPr>
          <w:p w14:paraId="07CBF3A4" w14:textId="77777777" w:rsidR="00E93F58" w:rsidRPr="00576D60" w:rsidRDefault="00E93F58" w:rsidP="003D2B1E">
            <w:pPr>
              <w:pStyle w:val="ENoteTableText"/>
              <w:keepNext/>
              <w:keepLines/>
            </w:pPr>
          </w:p>
        </w:tc>
      </w:tr>
      <w:tr w:rsidR="00E93F58" w:rsidRPr="00576D60" w14:paraId="67D87053" w14:textId="77777777" w:rsidTr="002F32E3">
        <w:trPr>
          <w:cantSplit/>
        </w:trPr>
        <w:tc>
          <w:tcPr>
            <w:tcW w:w="1500" w:type="pct"/>
            <w:shd w:val="clear" w:color="auto" w:fill="auto"/>
          </w:tcPr>
          <w:p w14:paraId="7E9581CA" w14:textId="77777777" w:rsidR="00E93F58" w:rsidRPr="00576D60" w:rsidRDefault="00E93F58" w:rsidP="003D2B1E">
            <w:pPr>
              <w:pStyle w:val="ENoteTableText"/>
              <w:tabs>
                <w:tab w:val="left" w:leader="dot" w:pos="2268"/>
              </w:tabs>
            </w:pPr>
            <w:r w:rsidRPr="00576D60">
              <w:t>r. 8.4.01</w:t>
            </w:r>
            <w:r w:rsidRPr="00576D60">
              <w:tab/>
            </w:r>
          </w:p>
        </w:tc>
        <w:tc>
          <w:tcPr>
            <w:tcW w:w="3500" w:type="pct"/>
            <w:shd w:val="clear" w:color="auto" w:fill="auto"/>
          </w:tcPr>
          <w:p w14:paraId="48A11CBE" w14:textId="77777777" w:rsidR="00E93F58" w:rsidRPr="00576D60" w:rsidRDefault="00E93F58" w:rsidP="003D2B1E">
            <w:pPr>
              <w:pStyle w:val="ENoteTableText"/>
            </w:pPr>
            <w:r w:rsidRPr="00576D60">
              <w:t>rep. 2001 No. 319</w:t>
            </w:r>
          </w:p>
        </w:tc>
      </w:tr>
      <w:tr w:rsidR="00E93F58" w:rsidRPr="00576D60" w14:paraId="6CD696A7" w14:textId="77777777" w:rsidTr="002F32E3">
        <w:trPr>
          <w:cantSplit/>
        </w:trPr>
        <w:tc>
          <w:tcPr>
            <w:tcW w:w="1500" w:type="pct"/>
            <w:shd w:val="clear" w:color="auto" w:fill="auto"/>
          </w:tcPr>
          <w:p w14:paraId="755A0F0B" w14:textId="77777777" w:rsidR="00E93F58" w:rsidRPr="00576D60" w:rsidRDefault="00E93F58" w:rsidP="003D2B1E">
            <w:pPr>
              <w:pStyle w:val="ENoteTableText"/>
            </w:pPr>
          </w:p>
        </w:tc>
        <w:tc>
          <w:tcPr>
            <w:tcW w:w="3500" w:type="pct"/>
            <w:shd w:val="clear" w:color="auto" w:fill="auto"/>
          </w:tcPr>
          <w:p w14:paraId="1B00129B" w14:textId="77777777" w:rsidR="00E93F58" w:rsidRPr="00576D60" w:rsidRDefault="00E93F58" w:rsidP="003D2B1E">
            <w:pPr>
              <w:pStyle w:val="ENoteTableText"/>
            </w:pPr>
            <w:r w:rsidRPr="00576D60">
              <w:t>ad. 2008 No. 94</w:t>
            </w:r>
          </w:p>
        </w:tc>
      </w:tr>
      <w:tr w:rsidR="00E93F58" w:rsidRPr="00576D60" w14:paraId="79746DE1" w14:textId="77777777" w:rsidTr="002F32E3">
        <w:trPr>
          <w:cantSplit/>
        </w:trPr>
        <w:tc>
          <w:tcPr>
            <w:tcW w:w="1500" w:type="pct"/>
            <w:shd w:val="clear" w:color="auto" w:fill="auto"/>
          </w:tcPr>
          <w:p w14:paraId="7F5E7668" w14:textId="77777777" w:rsidR="00E93F58" w:rsidRPr="00576D60" w:rsidRDefault="00E93F58" w:rsidP="003D2B1E">
            <w:pPr>
              <w:pStyle w:val="ENoteTableText"/>
              <w:tabs>
                <w:tab w:val="left" w:leader="dot" w:pos="2268"/>
              </w:tabs>
            </w:pPr>
            <w:r w:rsidRPr="00576D60">
              <w:t>rr. 8.4.01A, 8.4.01B</w:t>
            </w:r>
            <w:r w:rsidRPr="00576D60">
              <w:tab/>
            </w:r>
          </w:p>
        </w:tc>
        <w:tc>
          <w:tcPr>
            <w:tcW w:w="3500" w:type="pct"/>
            <w:shd w:val="clear" w:color="auto" w:fill="auto"/>
          </w:tcPr>
          <w:p w14:paraId="65F169CB" w14:textId="77777777" w:rsidR="00E93F58" w:rsidRPr="00576D60" w:rsidRDefault="00E93F58" w:rsidP="003D2B1E">
            <w:pPr>
              <w:pStyle w:val="ENoteTableText"/>
            </w:pPr>
            <w:r w:rsidRPr="00576D60">
              <w:t>rep. 2001 No. 319</w:t>
            </w:r>
          </w:p>
        </w:tc>
      </w:tr>
      <w:tr w:rsidR="00E93F58" w:rsidRPr="00576D60" w14:paraId="1B7E0933" w14:textId="77777777" w:rsidTr="002F32E3">
        <w:trPr>
          <w:cantSplit/>
        </w:trPr>
        <w:tc>
          <w:tcPr>
            <w:tcW w:w="1500" w:type="pct"/>
            <w:shd w:val="clear" w:color="auto" w:fill="auto"/>
          </w:tcPr>
          <w:p w14:paraId="02A8487A" w14:textId="77777777" w:rsidR="00E93F58" w:rsidRPr="00576D60" w:rsidRDefault="00E93F58" w:rsidP="003D2B1E">
            <w:pPr>
              <w:pStyle w:val="ENoteTableText"/>
              <w:tabs>
                <w:tab w:val="left" w:leader="dot" w:pos="2268"/>
              </w:tabs>
            </w:pPr>
            <w:r w:rsidRPr="00576D60">
              <w:t>r. 8.4.02</w:t>
            </w:r>
            <w:r w:rsidRPr="00576D60">
              <w:tab/>
            </w:r>
          </w:p>
        </w:tc>
        <w:tc>
          <w:tcPr>
            <w:tcW w:w="3500" w:type="pct"/>
            <w:shd w:val="clear" w:color="auto" w:fill="auto"/>
          </w:tcPr>
          <w:p w14:paraId="0CF12DFD" w14:textId="77777777" w:rsidR="00E93F58" w:rsidRPr="00576D60" w:rsidRDefault="00E93F58" w:rsidP="003D2B1E">
            <w:pPr>
              <w:pStyle w:val="ENoteTableText"/>
            </w:pPr>
            <w:r w:rsidRPr="00576D60">
              <w:t>rep. 2001 No. 319</w:t>
            </w:r>
          </w:p>
        </w:tc>
      </w:tr>
      <w:tr w:rsidR="00E93F58" w:rsidRPr="00576D60" w14:paraId="6C349192" w14:textId="77777777" w:rsidTr="002F32E3">
        <w:trPr>
          <w:cantSplit/>
        </w:trPr>
        <w:tc>
          <w:tcPr>
            <w:tcW w:w="1500" w:type="pct"/>
            <w:shd w:val="clear" w:color="auto" w:fill="auto"/>
          </w:tcPr>
          <w:p w14:paraId="4D339C2B" w14:textId="77777777" w:rsidR="00E93F58" w:rsidRPr="00576D60" w:rsidRDefault="00E93F58" w:rsidP="003D2B1E">
            <w:pPr>
              <w:pStyle w:val="ENoteTableText"/>
            </w:pPr>
          </w:p>
        </w:tc>
        <w:tc>
          <w:tcPr>
            <w:tcW w:w="3500" w:type="pct"/>
            <w:shd w:val="clear" w:color="auto" w:fill="auto"/>
          </w:tcPr>
          <w:p w14:paraId="4FFB067C" w14:textId="77777777" w:rsidR="00E93F58" w:rsidRPr="00576D60" w:rsidRDefault="00E93F58" w:rsidP="003D2B1E">
            <w:pPr>
              <w:pStyle w:val="ENoteTableText"/>
            </w:pPr>
            <w:r w:rsidRPr="00576D60">
              <w:t>ad. 2008 No. 94</w:t>
            </w:r>
          </w:p>
        </w:tc>
      </w:tr>
      <w:tr w:rsidR="00E93F58" w:rsidRPr="00576D60" w14:paraId="0EDE354A" w14:textId="77777777" w:rsidTr="002F32E3">
        <w:trPr>
          <w:cantSplit/>
        </w:trPr>
        <w:tc>
          <w:tcPr>
            <w:tcW w:w="1500" w:type="pct"/>
            <w:shd w:val="clear" w:color="auto" w:fill="auto"/>
          </w:tcPr>
          <w:p w14:paraId="37C175AA" w14:textId="77777777" w:rsidR="00E93F58" w:rsidRPr="00576D60" w:rsidRDefault="00E93F58" w:rsidP="003D2B1E">
            <w:pPr>
              <w:pStyle w:val="ENoteTableText"/>
              <w:tabs>
                <w:tab w:val="left" w:leader="dot" w:pos="2268"/>
              </w:tabs>
            </w:pPr>
            <w:r w:rsidRPr="00576D60">
              <w:lastRenderedPageBreak/>
              <w:t>r. 8.4.03</w:t>
            </w:r>
            <w:r w:rsidRPr="00576D60">
              <w:tab/>
            </w:r>
          </w:p>
        </w:tc>
        <w:tc>
          <w:tcPr>
            <w:tcW w:w="3500" w:type="pct"/>
            <w:shd w:val="clear" w:color="auto" w:fill="auto"/>
          </w:tcPr>
          <w:p w14:paraId="13CBDCB1" w14:textId="77777777" w:rsidR="00E93F58" w:rsidRPr="00576D60" w:rsidRDefault="00E93F58" w:rsidP="003D2B1E">
            <w:pPr>
              <w:pStyle w:val="ENoteTableText"/>
            </w:pPr>
            <w:r w:rsidRPr="00576D60">
              <w:t>rep. 2001 No. 319</w:t>
            </w:r>
          </w:p>
        </w:tc>
      </w:tr>
      <w:tr w:rsidR="00E93F58" w:rsidRPr="00576D60" w14:paraId="4FC14A75" w14:textId="77777777" w:rsidTr="002F32E3">
        <w:trPr>
          <w:cantSplit/>
        </w:trPr>
        <w:tc>
          <w:tcPr>
            <w:tcW w:w="1500" w:type="pct"/>
            <w:shd w:val="clear" w:color="auto" w:fill="auto"/>
          </w:tcPr>
          <w:p w14:paraId="7DAF1A31" w14:textId="77777777" w:rsidR="00E93F58" w:rsidRPr="00576D60" w:rsidRDefault="00E93F58" w:rsidP="003D2B1E">
            <w:pPr>
              <w:pStyle w:val="ENoteTableText"/>
              <w:tabs>
                <w:tab w:val="left" w:leader="dot" w:pos="2268"/>
              </w:tabs>
            </w:pPr>
            <w:r w:rsidRPr="00576D60">
              <w:t>rr. 8.4.03A, 8.4.03B</w:t>
            </w:r>
            <w:r w:rsidRPr="00576D60">
              <w:tab/>
            </w:r>
          </w:p>
        </w:tc>
        <w:tc>
          <w:tcPr>
            <w:tcW w:w="3500" w:type="pct"/>
            <w:shd w:val="clear" w:color="auto" w:fill="auto"/>
          </w:tcPr>
          <w:p w14:paraId="418CC07D" w14:textId="77777777" w:rsidR="00E93F58" w:rsidRPr="00576D60" w:rsidRDefault="00E93F58" w:rsidP="003D2B1E">
            <w:pPr>
              <w:pStyle w:val="ENoteTableText"/>
            </w:pPr>
            <w:r w:rsidRPr="00576D60">
              <w:t>rep. 2001 No. 319</w:t>
            </w:r>
          </w:p>
        </w:tc>
      </w:tr>
      <w:tr w:rsidR="00E93F58" w:rsidRPr="00576D60" w14:paraId="5860C8A7" w14:textId="77777777" w:rsidTr="002F32E3">
        <w:trPr>
          <w:cantSplit/>
        </w:trPr>
        <w:tc>
          <w:tcPr>
            <w:tcW w:w="1500" w:type="pct"/>
            <w:shd w:val="clear" w:color="auto" w:fill="auto"/>
          </w:tcPr>
          <w:p w14:paraId="45525C8B" w14:textId="77777777" w:rsidR="00E93F58" w:rsidRPr="00576D60" w:rsidRDefault="00E93F58" w:rsidP="003D2B1E">
            <w:pPr>
              <w:pStyle w:val="ENoteTableText"/>
              <w:tabs>
                <w:tab w:val="left" w:leader="dot" w:pos="2268"/>
              </w:tabs>
            </w:pPr>
            <w:r w:rsidRPr="00576D60">
              <w:t>r. 8.4.04</w:t>
            </w:r>
            <w:r w:rsidRPr="00576D60">
              <w:tab/>
            </w:r>
          </w:p>
        </w:tc>
        <w:tc>
          <w:tcPr>
            <w:tcW w:w="3500" w:type="pct"/>
            <w:shd w:val="clear" w:color="auto" w:fill="auto"/>
          </w:tcPr>
          <w:p w14:paraId="03B52BDF" w14:textId="77777777" w:rsidR="00E93F58" w:rsidRPr="00576D60" w:rsidRDefault="00E93F58" w:rsidP="003D2B1E">
            <w:pPr>
              <w:pStyle w:val="ENoteTableText"/>
            </w:pPr>
            <w:r w:rsidRPr="00576D60">
              <w:t>rep. 2001 No. 319</w:t>
            </w:r>
          </w:p>
        </w:tc>
      </w:tr>
      <w:tr w:rsidR="00E93F58" w:rsidRPr="00576D60" w14:paraId="198C4542" w14:textId="77777777" w:rsidTr="002F32E3">
        <w:trPr>
          <w:cantSplit/>
        </w:trPr>
        <w:tc>
          <w:tcPr>
            <w:tcW w:w="1500" w:type="pct"/>
            <w:shd w:val="clear" w:color="auto" w:fill="auto"/>
          </w:tcPr>
          <w:p w14:paraId="13FE82D1" w14:textId="77777777" w:rsidR="00E93F58" w:rsidRPr="00576D60" w:rsidRDefault="00E93F58" w:rsidP="003D2B1E">
            <w:pPr>
              <w:pStyle w:val="ENoteTableText"/>
              <w:tabs>
                <w:tab w:val="left" w:leader="dot" w:pos="2268"/>
              </w:tabs>
            </w:pPr>
            <w:r w:rsidRPr="00576D60">
              <w:t>r. 8.6.01</w:t>
            </w:r>
            <w:r w:rsidRPr="00576D60">
              <w:tab/>
            </w:r>
          </w:p>
        </w:tc>
        <w:tc>
          <w:tcPr>
            <w:tcW w:w="3500" w:type="pct"/>
            <w:shd w:val="clear" w:color="auto" w:fill="auto"/>
          </w:tcPr>
          <w:p w14:paraId="25ED3EBB" w14:textId="77777777" w:rsidR="00E93F58" w:rsidRPr="00576D60" w:rsidRDefault="00E93F58" w:rsidP="003D2B1E">
            <w:pPr>
              <w:pStyle w:val="ENoteTableText"/>
            </w:pPr>
            <w:r w:rsidRPr="00576D60">
              <w:t>rep. 2001 No. 319</w:t>
            </w:r>
          </w:p>
        </w:tc>
      </w:tr>
      <w:tr w:rsidR="00E93F58" w:rsidRPr="00576D60" w14:paraId="183FF078" w14:textId="77777777" w:rsidTr="002F32E3">
        <w:trPr>
          <w:cantSplit/>
        </w:trPr>
        <w:tc>
          <w:tcPr>
            <w:tcW w:w="1500" w:type="pct"/>
            <w:shd w:val="clear" w:color="auto" w:fill="auto"/>
          </w:tcPr>
          <w:p w14:paraId="3549A6BB" w14:textId="77777777" w:rsidR="00E93F58" w:rsidRPr="00576D60" w:rsidRDefault="00E93F58" w:rsidP="003D2B1E">
            <w:pPr>
              <w:pStyle w:val="ENoteTableText"/>
              <w:tabs>
                <w:tab w:val="left" w:leader="dot" w:pos="2268"/>
              </w:tabs>
            </w:pPr>
            <w:r w:rsidRPr="00576D60">
              <w:t>rr. 8.7.01–8.7.03</w:t>
            </w:r>
            <w:r w:rsidRPr="00576D60">
              <w:tab/>
            </w:r>
          </w:p>
        </w:tc>
        <w:tc>
          <w:tcPr>
            <w:tcW w:w="3500" w:type="pct"/>
            <w:shd w:val="clear" w:color="auto" w:fill="auto"/>
          </w:tcPr>
          <w:p w14:paraId="658E1EC9" w14:textId="77777777" w:rsidR="00E93F58" w:rsidRPr="00576D60" w:rsidRDefault="00E93F58" w:rsidP="003D2B1E">
            <w:pPr>
              <w:pStyle w:val="ENoteTableText"/>
            </w:pPr>
            <w:r w:rsidRPr="00576D60">
              <w:t>rep. 2001 No. 319</w:t>
            </w:r>
          </w:p>
        </w:tc>
      </w:tr>
      <w:tr w:rsidR="00E93F58" w:rsidRPr="00576D60" w14:paraId="3BEA158C" w14:textId="77777777" w:rsidTr="002F32E3">
        <w:trPr>
          <w:cantSplit/>
        </w:trPr>
        <w:tc>
          <w:tcPr>
            <w:tcW w:w="1500" w:type="pct"/>
            <w:shd w:val="clear" w:color="auto" w:fill="auto"/>
          </w:tcPr>
          <w:p w14:paraId="67F8F133" w14:textId="77777777" w:rsidR="00E93F58" w:rsidRPr="00576D60" w:rsidRDefault="00E93F58" w:rsidP="003D2B1E">
            <w:pPr>
              <w:pStyle w:val="ENoteTableText"/>
              <w:keepNext/>
              <w:tabs>
                <w:tab w:val="left" w:leader="dot" w:pos="2268"/>
              </w:tabs>
              <w:rPr>
                <w:b/>
              </w:rPr>
            </w:pPr>
            <w:r w:rsidRPr="00576D60">
              <w:rPr>
                <w:b/>
              </w:rPr>
              <w:t>Chapter 8A</w:t>
            </w:r>
          </w:p>
        </w:tc>
        <w:tc>
          <w:tcPr>
            <w:tcW w:w="3500" w:type="pct"/>
            <w:shd w:val="clear" w:color="auto" w:fill="auto"/>
          </w:tcPr>
          <w:p w14:paraId="544A27EA" w14:textId="77777777" w:rsidR="00E93F58" w:rsidRPr="00576D60" w:rsidRDefault="00E93F58" w:rsidP="003D2B1E">
            <w:pPr>
              <w:pStyle w:val="ENoteTableText"/>
              <w:keepNext/>
            </w:pPr>
          </w:p>
        </w:tc>
      </w:tr>
      <w:tr w:rsidR="00E93F58" w:rsidRPr="00576D60" w14:paraId="037AF008" w14:textId="77777777" w:rsidTr="002F32E3">
        <w:trPr>
          <w:cantSplit/>
        </w:trPr>
        <w:tc>
          <w:tcPr>
            <w:tcW w:w="1500" w:type="pct"/>
            <w:shd w:val="clear" w:color="auto" w:fill="auto"/>
          </w:tcPr>
          <w:p w14:paraId="1E497806" w14:textId="77777777" w:rsidR="00E93F58" w:rsidRPr="00576D60" w:rsidRDefault="00E93F58" w:rsidP="003D2B1E">
            <w:pPr>
              <w:pStyle w:val="ENoteTableText"/>
              <w:tabs>
                <w:tab w:val="left" w:leader="dot" w:pos="2268"/>
              </w:tabs>
            </w:pPr>
            <w:r w:rsidRPr="00576D60">
              <w:t>Chapter 8A</w:t>
            </w:r>
            <w:r w:rsidRPr="00576D60">
              <w:tab/>
            </w:r>
          </w:p>
        </w:tc>
        <w:tc>
          <w:tcPr>
            <w:tcW w:w="3500" w:type="pct"/>
            <w:shd w:val="clear" w:color="auto" w:fill="auto"/>
          </w:tcPr>
          <w:p w14:paraId="038E41B2" w14:textId="77777777" w:rsidR="00E93F58" w:rsidRPr="00576D60" w:rsidRDefault="00E93F58" w:rsidP="003D2B1E">
            <w:pPr>
              <w:pStyle w:val="ENoteTableText"/>
            </w:pPr>
            <w:r w:rsidRPr="00576D60">
              <w:t>ad F2018L01144</w:t>
            </w:r>
          </w:p>
        </w:tc>
      </w:tr>
      <w:tr w:rsidR="00E93F58" w:rsidRPr="00576D60" w14:paraId="10D979D3" w14:textId="77777777" w:rsidTr="002F32E3">
        <w:trPr>
          <w:cantSplit/>
        </w:trPr>
        <w:tc>
          <w:tcPr>
            <w:tcW w:w="1500" w:type="pct"/>
            <w:shd w:val="clear" w:color="auto" w:fill="auto"/>
          </w:tcPr>
          <w:p w14:paraId="1E571662" w14:textId="77777777" w:rsidR="00E93F58" w:rsidRPr="00576D60" w:rsidRDefault="00E93F58" w:rsidP="003D2B1E">
            <w:pPr>
              <w:pStyle w:val="ENoteTableText"/>
              <w:tabs>
                <w:tab w:val="left" w:leader="dot" w:pos="2268"/>
              </w:tabs>
              <w:rPr>
                <w:b/>
              </w:rPr>
            </w:pPr>
            <w:r w:rsidRPr="00576D60">
              <w:rPr>
                <w:b/>
              </w:rPr>
              <w:t>Part 8A.4</w:t>
            </w:r>
          </w:p>
        </w:tc>
        <w:tc>
          <w:tcPr>
            <w:tcW w:w="3500" w:type="pct"/>
            <w:shd w:val="clear" w:color="auto" w:fill="auto"/>
          </w:tcPr>
          <w:p w14:paraId="0E027F47" w14:textId="77777777" w:rsidR="00E93F58" w:rsidRPr="00576D60" w:rsidRDefault="00E93F58" w:rsidP="003D2B1E">
            <w:pPr>
              <w:pStyle w:val="ENoteTableText"/>
            </w:pPr>
          </w:p>
        </w:tc>
      </w:tr>
      <w:tr w:rsidR="00E93F58" w:rsidRPr="00576D60" w14:paraId="0107A5BD" w14:textId="77777777" w:rsidTr="002F32E3">
        <w:trPr>
          <w:cantSplit/>
        </w:trPr>
        <w:tc>
          <w:tcPr>
            <w:tcW w:w="1500" w:type="pct"/>
            <w:shd w:val="clear" w:color="auto" w:fill="auto"/>
          </w:tcPr>
          <w:p w14:paraId="02233B85" w14:textId="77777777" w:rsidR="00E93F58" w:rsidRPr="00576D60" w:rsidRDefault="00E93F58" w:rsidP="003D2B1E">
            <w:pPr>
              <w:pStyle w:val="ENoteTableText"/>
              <w:tabs>
                <w:tab w:val="left" w:leader="dot" w:pos="2268"/>
              </w:tabs>
              <w:rPr>
                <w:b/>
              </w:rPr>
            </w:pPr>
            <w:r w:rsidRPr="00576D60">
              <w:rPr>
                <w:b/>
              </w:rPr>
              <w:t>Division 1</w:t>
            </w:r>
          </w:p>
        </w:tc>
        <w:tc>
          <w:tcPr>
            <w:tcW w:w="3500" w:type="pct"/>
            <w:shd w:val="clear" w:color="auto" w:fill="auto"/>
          </w:tcPr>
          <w:p w14:paraId="1CAF02B5" w14:textId="77777777" w:rsidR="00E93F58" w:rsidRPr="00576D60" w:rsidRDefault="00E93F58" w:rsidP="003D2B1E">
            <w:pPr>
              <w:pStyle w:val="ENoteTableText"/>
            </w:pPr>
          </w:p>
        </w:tc>
      </w:tr>
      <w:tr w:rsidR="00E93F58" w:rsidRPr="00576D60" w14:paraId="62358FFE" w14:textId="77777777" w:rsidTr="002F32E3">
        <w:trPr>
          <w:cantSplit/>
        </w:trPr>
        <w:tc>
          <w:tcPr>
            <w:tcW w:w="1500" w:type="pct"/>
            <w:shd w:val="clear" w:color="auto" w:fill="auto"/>
          </w:tcPr>
          <w:p w14:paraId="1D6DEED2" w14:textId="77777777" w:rsidR="00E93F58" w:rsidRPr="00576D60" w:rsidRDefault="00E93F58" w:rsidP="003D2B1E">
            <w:pPr>
              <w:pStyle w:val="ENoteTableText"/>
              <w:tabs>
                <w:tab w:val="left" w:leader="dot" w:pos="2268"/>
              </w:tabs>
            </w:pPr>
            <w:r w:rsidRPr="00576D60">
              <w:t>r 8A.4.10</w:t>
            </w:r>
            <w:r w:rsidRPr="00576D60">
              <w:tab/>
            </w:r>
          </w:p>
        </w:tc>
        <w:tc>
          <w:tcPr>
            <w:tcW w:w="3500" w:type="pct"/>
            <w:shd w:val="clear" w:color="auto" w:fill="auto"/>
          </w:tcPr>
          <w:p w14:paraId="1D6FB9BF" w14:textId="77777777" w:rsidR="00E93F58" w:rsidRPr="00576D60" w:rsidRDefault="00E93F58" w:rsidP="003D2B1E">
            <w:pPr>
              <w:pStyle w:val="ENoteTableText"/>
            </w:pPr>
            <w:r w:rsidRPr="00576D60">
              <w:t>ad F2018L01144</w:t>
            </w:r>
          </w:p>
        </w:tc>
      </w:tr>
      <w:tr w:rsidR="00E93F58" w:rsidRPr="00576D60" w14:paraId="105DF8DB" w14:textId="77777777" w:rsidTr="002F32E3">
        <w:trPr>
          <w:cantSplit/>
        </w:trPr>
        <w:tc>
          <w:tcPr>
            <w:tcW w:w="1500" w:type="pct"/>
            <w:shd w:val="clear" w:color="auto" w:fill="auto"/>
          </w:tcPr>
          <w:p w14:paraId="3BE1DCED" w14:textId="77777777" w:rsidR="00E93F58" w:rsidRPr="00576D60" w:rsidRDefault="00E93F58" w:rsidP="003D2B1E">
            <w:pPr>
              <w:pStyle w:val="ENoteTableText"/>
              <w:tabs>
                <w:tab w:val="left" w:leader="dot" w:pos="2268"/>
              </w:tabs>
              <w:rPr>
                <w:b/>
              </w:rPr>
            </w:pPr>
            <w:r w:rsidRPr="00576D60">
              <w:rPr>
                <w:b/>
              </w:rPr>
              <w:t>Division 4</w:t>
            </w:r>
          </w:p>
        </w:tc>
        <w:tc>
          <w:tcPr>
            <w:tcW w:w="3500" w:type="pct"/>
            <w:shd w:val="clear" w:color="auto" w:fill="auto"/>
          </w:tcPr>
          <w:p w14:paraId="62E54391" w14:textId="77777777" w:rsidR="00E93F58" w:rsidRPr="00576D60" w:rsidRDefault="00E93F58" w:rsidP="003D2B1E">
            <w:pPr>
              <w:pStyle w:val="ENoteTableText"/>
            </w:pPr>
          </w:p>
        </w:tc>
      </w:tr>
      <w:tr w:rsidR="00E93F58" w:rsidRPr="00576D60" w14:paraId="20DDB946" w14:textId="77777777" w:rsidTr="002F32E3">
        <w:trPr>
          <w:cantSplit/>
        </w:trPr>
        <w:tc>
          <w:tcPr>
            <w:tcW w:w="1500" w:type="pct"/>
            <w:shd w:val="clear" w:color="auto" w:fill="auto"/>
          </w:tcPr>
          <w:p w14:paraId="0020A19C" w14:textId="77777777" w:rsidR="00E93F58" w:rsidRPr="00576D60" w:rsidRDefault="00E93F58" w:rsidP="003D2B1E">
            <w:pPr>
              <w:pStyle w:val="ENoteTableText"/>
              <w:tabs>
                <w:tab w:val="left" w:leader="dot" w:pos="2268"/>
              </w:tabs>
            </w:pPr>
            <w:r w:rsidRPr="00576D60">
              <w:t>r 8A.4.40</w:t>
            </w:r>
            <w:r w:rsidRPr="00576D60">
              <w:tab/>
            </w:r>
          </w:p>
        </w:tc>
        <w:tc>
          <w:tcPr>
            <w:tcW w:w="3500" w:type="pct"/>
            <w:shd w:val="clear" w:color="auto" w:fill="auto"/>
          </w:tcPr>
          <w:p w14:paraId="7EE48C0D" w14:textId="77777777" w:rsidR="00E93F58" w:rsidRPr="00576D60" w:rsidRDefault="00E93F58" w:rsidP="003D2B1E">
            <w:pPr>
              <w:pStyle w:val="ENoteTableText"/>
            </w:pPr>
            <w:r w:rsidRPr="00576D60">
              <w:t>ad F2018L01144</w:t>
            </w:r>
          </w:p>
        </w:tc>
      </w:tr>
      <w:tr w:rsidR="00E93F58" w:rsidRPr="00576D60" w14:paraId="692B4EA2" w14:textId="77777777" w:rsidTr="002F32E3">
        <w:trPr>
          <w:cantSplit/>
        </w:trPr>
        <w:tc>
          <w:tcPr>
            <w:tcW w:w="1500" w:type="pct"/>
            <w:shd w:val="clear" w:color="auto" w:fill="auto"/>
          </w:tcPr>
          <w:p w14:paraId="75197F87" w14:textId="77777777" w:rsidR="00E93F58" w:rsidRPr="00576D60" w:rsidRDefault="00E93F58" w:rsidP="003D2B1E">
            <w:pPr>
              <w:pStyle w:val="ENoteTableText"/>
              <w:tabs>
                <w:tab w:val="left" w:leader="dot" w:pos="2268"/>
              </w:tabs>
            </w:pPr>
            <w:r w:rsidRPr="00576D60">
              <w:t>r 8A.4.45</w:t>
            </w:r>
            <w:r w:rsidRPr="00576D60">
              <w:tab/>
            </w:r>
          </w:p>
        </w:tc>
        <w:tc>
          <w:tcPr>
            <w:tcW w:w="3500" w:type="pct"/>
            <w:shd w:val="clear" w:color="auto" w:fill="auto"/>
          </w:tcPr>
          <w:p w14:paraId="6E3E5AB9" w14:textId="77777777" w:rsidR="00E93F58" w:rsidRPr="00576D60" w:rsidRDefault="00E93F58" w:rsidP="003D2B1E">
            <w:pPr>
              <w:pStyle w:val="ENoteTableText"/>
            </w:pPr>
            <w:r w:rsidRPr="00576D60">
              <w:t>ad F2018L01144</w:t>
            </w:r>
          </w:p>
        </w:tc>
      </w:tr>
      <w:tr w:rsidR="00E93F58" w:rsidRPr="00576D60" w14:paraId="3F4978AE" w14:textId="77777777" w:rsidTr="002F32E3">
        <w:trPr>
          <w:cantSplit/>
        </w:trPr>
        <w:tc>
          <w:tcPr>
            <w:tcW w:w="1500" w:type="pct"/>
            <w:shd w:val="clear" w:color="auto" w:fill="auto"/>
          </w:tcPr>
          <w:p w14:paraId="3D749E8E" w14:textId="77777777" w:rsidR="00E93F58" w:rsidRPr="00576D60" w:rsidRDefault="00E93F58" w:rsidP="000F1C3D">
            <w:pPr>
              <w:pStyle w:val="ENoteTableText"/>
              <w:keepNext/>
              <w:tabs>
                <w:tab w:val="left" w:leader="dot" w:pos="2268"/>
              </w:tabs>
              <w:rPr>
                <w:b/>
              </w:rPr>
            </w:pPr>
            <w:r w:rsidRPr="00576D60">
              <w:rPr>
                <w:b/>
              </w:rPr>
              <w:t>Part 8A.5</w:t>
            </w:r>
          </w:p>
        </w:tc>
        <w:tc>
          <w:tcPr>
            <w:tcW w:w="3500" w:type="pct"/>
            <w:shd w:val="clear" w:color="auto" w:fill="auto"/>
          </w:tcPr>
          <w:p w14:paraId="3DF3712C" w14:textId="77777777" w:rsidR="00E93F58" w:rsidRPr="00576D60" w:rsidRDefault="00E93F58" w:rsidP="000F1C3D">
            <w:pPr>
              <w:pStyle w:val="ENoteTableText"/>
              <w:keepNext/>
            </w:pPr>
          </w:p>
        </w:tc>
      </w:tr>
      <w:tr w:rsidR="00E93F58" w:rsidRPr="00576D60" w14:paraId="5B28DD18" w14:textId="77777777" w:rsidTr="002F32E3">
        <w:trPr>
          <w:cantSplit/>
        </w:trPr>
        <w:tc>
          <w:tcPr>
            <w:tcW w:w="1500" w:type="pct"/>
            <w:shd w:val="clear" w:color="auto" w:fill="auto"/>
          </w:tcPr>
          <w:p w14:paraId="00A780EF" w14:textId="77777777" w:rsidR="00E93F58" w:rsidRPr="00576D60" w:rsidRDefault="00E93F58" w:rsidP="003D2B1E">
            <w:pPr>
              <w:pStyle w:val="ENoteTableText"/>
              <w:tabs>
                <w:tab w:val="left" w:leader="dot" w:pos="2268"/>
              </w:tabs>
            </w:pPr>
            <w:r w:rsidRPr="00576D60">
              <w:t>r 8A.5.10</w:t>
            </w:r>
            <w:r w:rsidRPr="00576D60">
              <w:tab/>
            </w:r>
          </w:p>
        </w:tc>
        <w:tc>
          <w:tcPr>
            <w:tcW w:w="3500" w:type="pct"/>
            <w:shd w:val="clear" w:color="auto" w:fill="auto"/>
          </w:tcPr>
          <w:p w14:paraId="3509FC82" w14:textId="77777777" w:rsidR="00E93F58" w:rsidRPr="00576D60" w:rsidRDefault="00E93F58" w:rsidP="003D2B1E">
            <w:pPr>
              <w:pStyle w:val="ENoteTableText"/>
            </w:pPr>
            <w:r w:rsidRPr="00576D60">
              <w:t>ad F2018L01144</w:t>
            </w:r>
          </w:p>
        </w:tc>
      </w:tr>
      <w:tr w:rsidR="00E93F58" w:rsidRPr="00576D60" w14:paraId="4B3F3C56" w14:textId="77777777" w:rsidTr="002F32E3">
        <w:trPr>
          <w:cantSplit/>
        </w:trPr>
        <w:tc>
          <w:tcPr>
            <w:tcW w:w="1500" w:type="pct"/>
            <w:shd w:val="clear" w:color="auto" w:fill="auto"/>
          </w:tcPr>
          <w:p w14:paraId="49B6CD34" w14:textId="77777777" w:rsidR="00E93F58" w:rsidRPr="00576D60" w:rsidRDefault="00E93F58" w:rsidP="003D2B1E">
            <w:pPr>
              <w:pStyle w:val="ENoteTableText"/>
              <w:tabs>
                <w:tab w:val="left" w:leader="dot" w:pos="2268"/>
              </w:tabs>
            </w:pPr>
          </w:p>
        </w:tc>
        <w:tc>
          <w:tcPr>
            <w:tcW w:w="3500" w:type="pct"/>
            <w:shd w:val="clear" w:color="auto" w:fill="auto"/>
          </w:tcPr>
          <w:p w14:paraId="04EB2035" w14:textId="77777777" w:rsidR="00E93F58" w:rsidRPr="00576D60" w:rsidRDefault="00E93F58" w:rsidP="003D2B1E">
            <w:pPr>
              <w:pStyle w:val="ENoteTableText"/>
            </w:pPr>
            <w:r w:rsidRPr="00576D60">
              <w:t>am F2022L00469</w:t>
            </w:r>
            <w:r>
              <w:t>; F2023L01458</w:t>
            </w:r>
          </w:p>
        </w:tc>
      </w:tr>
      <w:tr w:rsidR="00E93F58" w:rsidRPr="00576D60" w14:paraId="34D9948B" w14:textId="77777777" w:rsidTr="002F32E3">
        <w:trPr>
          <w:cantSplit/>
        </w:trPr>
        <w:tc>
          <w:tcPr>
            <w:tcW w:w="1500" w:type="pct"/>
            <w:shd w:val="clear" w:color="auto" w:fill="auto"/>
          </w:tcPr>
          <w:p w14:paraId="53FA9A17" w14:textId="77777777" w:rsidR="00E93F58" w:rsidRPr="00576D60" w:rsidRDefault="00E93F58" w:rsidP="003D2B1E">
            <w:pPr>
              <w:pStyle w:val="ENoteTableText"/>
              <w:keepNext/>
              <w:tabs>
                <w:tab w:val="left" w:leader="dot" w:pos="2268"/>
              </w:tabs>
              <w:rPr>
                <w:b/>
              </w:rPr>
            </w:pPr>
            <w:r w:rsidRPr="00576D60">
              <w:rPr>
                <w:b/>
              </w:rPr>
              <w:t>Part 8A.7</w:t>
            </w:r>
          </w:p>
        </w:tc>
        <w:tc>
          <w:tcPr>
            <w:tcW w:w="3500" w:type="pct"/>
            <w:shd w:val="clear" w:color="auto" w:fill="auto"/>
          </w:tcPr>
          <w:p w14:paraId="4FF63EF1" w14:textId="77777777" w:rsidR="00E93F58" w:rsidRPr="00576D60" w:rsidRDefault="00E93F58" w:rsidP="003D2B1E">
            <w:pPr>
              <w:pStyle w:val="ENoteTableText"/>
            </w:pPr>
          </w:p>
        </w:tc>
      </w:tr>
      <w:tr w:rsidR="00E93F58" w:rsidRPr="00576D60" w14:paraId="4CEB9D35" w14:textId="77777777" w:rsidTr="002F32E3">
        <w:trPr>
          <w:cantSplit/>
        </w:trPr>
        <w:tc>
          <w:tcPr>
            <w:tcW w:w="1500" w:type="pct"/>
            <w:shd w:val="clear" w:color="auto" w:fill="auto"/>
          </w:tcPr>
          <w:p w14:paraId="1A246F0A" w14:textId="77777777" w:rsidR="00E93F58" w:rsidRPr="00576D60" w:rsidRDefault="00E93F58" w:rsidP="003D2B1E">
            <w:pPr>
              <w:pStyle w:val="ENoteTableText"/>
              <w:tabs>
                <w:tab w:val="left" w:leader="dot" w:pos="2268"/>
              </w:tabs>
            </w:pPr>
            <w:r w:rsidRPr="00576D60">
              <w:t>r 8A.7.10</w:t>
            </w:r>
            <w:r w:rsidRPr="00576D60">
              <w:tab/>
            </w:r>
          </w:p>
        </w:tc>
        <w:tc>
          <w:tcPr>
            <w:tcW w:w="3500" w:type="pct"/>
            <w:shd w:val="clear" w:color="auto" w:fill="auto"/>
          </w:tcPr>
          <w:p w14:paraId="02C4A49C" w14:textId="77777777" w:rsidR="00E93F58" w:rsidRPr="00576D60" w:rsidRDefault="00E93F58" w:rsidP="003D2B1E">
            <w:pPr>
              <w:pStyle w:val="ENoteTableText"/>
            </w:pPr>
            <w:r w:rsidRPr="00576D60">
              <w:t>ad F2018L01144</w:t>
            </w:r>
          </w:p>
        </w:tc>
      </w:tr>
      <w:tr w:rsidR="00E93F58" w:rsidRPr="00576D60" w14:paraId="7363EF08" w14:textId="77777777" w:rsidTr="002F32E3">
        <w:trPr>
          <w:cantSplit/>
        </w:trPr>
        <w:tc>
          <w:tcPr>
            <w:tcW w:w="1500" w:type="pct"/>
            <w:shd w:val="clear" w:color="auto" w:fill="auto"/>
          </w:tcPr>
          <w:p w14:paraId="05FADE5D" w14:textId="77777777" w:rsidR="00E93F58" w:rsidRPr="00576D60" w:rsidRDefault="00E93F58" w:rsidP="003D2B1E">
            <w:pPr>
              <w:pStyle w:val="ENoteTableText"/>
              <w:tabs>
                <w:tab w:val="left" w:leader="dot" w:pos="2268"/>
              </w:tabs>
            </w:pPr>
            <w:r w:rsidRPr="00576D60">
              <w:t>r 8A.7.15</w:t>
            </w:r>
            <w:r w:rsidRPr="00576D60">
              <w:tab/>
            </w:r>
          </w:p>
        </w:tc>
        <w:tc>
          <w:tcPr>
            <w:tcW w:w="3500" w:type="pct"/>
            <w:shd w:val="clear" w:color="auto" w:fill="auto"/>
          </w:tcPr>
          <w:p w14:paraId="043153AE" w14:textId="77777777" w:rsidR="00E93F58" w:rsidRPr="00576D60" w:rsidRDefault="00E93F58" w:rsidP="003D2B1E">
            <w:pPr>
              <w:pStyle w:val="ENoteTableText"/>
            </w:pPr>
            <w:r w:rsidRPr="00576D60">
              <w:t>ad F2018L01144</w:t>
            </w:r>
          </w:p>
        </w:tc>
      </w:tr>
      <w:tr w:rsidR="00E93F58" w:rsidRPr="00576D60" w14:paraId="0C4003B1" w14:textId="77777777" w:rsidTr="002F32E3">
        <w:trPr>
          <w:cantSplit/>
        </w:trPr>
        <w:tc>
          <w:tcPr>
            <w:tcW w:w="1500" w:type="pct"/>
            <w:shd w:val="clear" w:color="auto" w:fill="auto"/>
          </w:tcPr>
          <w:p w14:paraId="5BD60848" w14:textId="77777777" w:rsidR="00E93F58" w:rsidRPr="00576D60" w:rsidRDefault="00E93F58" w:rsidP="003D2B1E">
            <w:pPr>
              <w:pStyle w:val="ENoteTableText"/>
              <w:tabs>
                <w:tab w:val="left" w:leader="dot" w:pos="2268"/>
              </w:tabs>
            </w:pPr>
            <w:r w:rsidRPr="00576D60">
              <w:t>r 8A.7.20</w:t>
            </w:r>
            <w:r w:rsidRPr="00576D60">
              <w:tab/>
            </w:r>
          </w:p>
        </w:tc>
        <w:tc>
          <w:tcPr>
            <w:tcW w:w="3500" w:type="pct"/>
            <w:shd w:val="clear" w:color="auto" w:fill="auto"/>
          </w:tcPr>
          <w:p w14:paraId="3D088E18" w14:textId="77777777" w:rsidR="00E93F58" w:rsidRPr="00576D60" w:rsidRDefault="00E93F58" w:rsidP="003D2B1E">
            <w:pPr>
              <w:pStyle w:val="ENoteTableText"/>
            </w:pPr>
            <w:r w:rsidRPr="00576D60">
              <w:t>ad F2018L01144</w:t>
            </w:r>
          </w:p>
        </w:tc>
      </w:tr>
      <w:tr w:rsidR="00E93F58" w:rsidRPr="00576D60" w14:paraId="0599C138" w14:textId="77777777" w:rsidTr="002F32E3">
        <w:trPr>
          <w:cantSplit/>
        </w:trPr>
        <w:tc>
          <w:tcPr>
            <w:tcW w:w="1500" w:type="pct"/>
            <w:shd w:val="clear" w:color="auto" w:fill="auto"/>
          </w:tcPr>
          <w:p w14:paraId="0EDA5008" w14:textId="77777777" w:rsidR="00E93F58" w:rsidRPr="00576D60" w:rsidRDefault="00E93F58" w:rsidP="009174F4">
            <w:pPr>
              <w:pStyle w:val="ENoteTableText"/>
              <w:keepNext/>
              <w:tabs>
                <w:tab w:val="left" w:leader="dot" w:pos="2268"/>
              </w:tabs>
            </w:pPr>
            <w:r w:rsidRPr="00576D60">
              <w:rPr>
                <w:b/>
              </w:rPr>
              <w:t>Chapter 8B</w:t>
            </w:r>
          </w:p>
        </w:tc>
        <w:tc>
          <w:tcPr>
            <w:tcW w:w="3500" w:type="pct"/>
            <w:shd w:val="clear" w:color="auto" w:fill="auto"/>
          </w:tcPr>
          <w:p w14:paraId="683CF542" w14:textId="77777777" w:rsidR="00E93F58" w:rsidRPr="00576D60" w:rsidRDefault="00E93F58" w:rsidP="00CD1E4F">
            <w:pPr>
              <w:pStyle w:val="ENoteTableText"/>
            </w:pPr>
          </w:p>
        </w:tc>
      </w:tr>
      <w:tr w:rsidR="00E93F58" w:rsidRPr="00576D60" w14:paraId="0B0E4440" w14:textId="77777777" w:rsidTr="002F32E3">
        <w:trPr>
          <w:cantSplit/>
        </w:trPr>
        <w:tc>
          <w:tcPr>
            <w:tcW w:w="1500" w:type="pct"/>
            <w:shd w:val="clear" w:color="auto" w:fill="auto"/>
          </w:tcPr>
          <w:p w14:paraId="76962575" w14:textId="77777777" w:rsidR="00E93F58" w:rsidRPr="00576D60" w:rsidRDefault="00E93F58" w:rsidP="00CD1E4F">
            <w:pPr>
              <w:pStyle w:val="ENoteTableText"/>
              <w:tabs>
                <w:tab w:val="left" w:leader="dot" w:pos="2268"/>
              </w:tabs>
            </w:pPr>
            <w:r w:rsidRPr="00576D60">
              <w:t>Chapter 8B</w:t>
            </w:r>
            <w:r w:rsidRPr="00576D60">
              <w:tab/>
            </w:r>
          </w:p>
        </w:tc>
        <w:tc>
          <w:tcPr>
            <w:tcW w:w="3500" w:type="pct"/>
            <w:shd w:val="clear" w:color="auto" w:fill="auto"/>
          </w:tcPr>
          <w:p w14:paraId="7927E878" w14:textId="77777777" w:rsidR="00E93F58" w:rsidRPr="00576D60" w:rsidRDefault="00E93F58" w:rsidP="00CD1E4F">
            <w:pPr>
              <w:pStyle w:val="ENoteTableText"/>
            </w:pPr>
            <w:r w:rsidRPr="00576D60">
              <w:t>ad F2022L00469</w:t>
            </w:r>
          </w:p>
        </w:tc>
      </w:tr>
      <w:tr w:rsidR="00E93F58" w:rsidRPr="00576D60" w14:paraId="25A039B2" w14:textId="77777777" w:rsidTr="002F32E3">
        <w:trPr>
          <w:cantSplit/>
        </w:trPr>
        <w:tc>
          <w:tcPr>
            <w:tcW w:w="1500" w:type="pct"/>
            <w:shd w:val="clear" w:color="auto" w:fill="auto"/>
          </w:tcPr>
          <w:p w14:paraId="3D5CFA15" w14:textId="77777777" w:rsidR="00E93F58" w:rsidRPr="00576D60" w:rsidRDefault="00E93F58" w:rsidP="00CD1E4F">
            <w:pPr>
              <w:pStyle w:val="ENoteTableText"/>
              <w:tabs>
                <w:tab w:val="left" w:leader="dot" w:pos="2268"/>
              </w:tabs>
            </w:pPr>
            <w:r w:rsidRPr="00576D60">
              <w:rPr>
                <w:b/>
              </w:rPr>
              <w:t>Part 8B.4</w:t>
            </w:r>
          </w:p>
        </w:tc>
        <w:tc>
          <w:tcPr>
            <w:tcW w:w="3500" w:type="pct"/>
            <w:shd w:val="clear" w:color="auto" w:fill="auto"/>
          </w:tcPr>
          <w:p w14:paraId="32F2BF43" w14:textId="77777777" w:rsidR="00E93F58" w:rsidRPr="00576D60" w:rsidRDefault="00E93F58" w:rsidP="00CD1E4F">
            <w:pPr>
              <w:pStyle w:val="ENoteTableText"/>
            </w:pPr>
          </w:p>
        </w:tc>
      </w:tr>
      <w:tr w:rsidR="00E93F58" w:rsidRPr="00576D60" w14:paraId="4B2C2B00" w14:textId="77777777" w:rsidTr="002F32E3">
        <w:trPr>
          <w:cantSplit/>
        </w:trPr>
        <w:tc>
          <w:tcPr>
            <w:tcW w:w="1500" w:type="pct"/>
            <w:shd w:val="clear" w:color="auto" w:fill="auto"/>
          </w:tcPr>
          <w:p w14:paraId="0ED218AA" w14:textId="77777777" w:rsidR="00E93F58" w:rsidRPr="00576D60" w:rsidRDefault="00E93F58" w:rsidP="003D2B1E">
            <w:pPr>
              <w:pStyle w:val="ENoteTableText"/>
              <w:tabs>
                <w:tab w:val="left" w:leader="dot" w:pos="2268"/>
              </w:tabs>
              <w:rPr>
                <w:b/>
              </w:rPr>
            </w:pPr>
            <w:r w:rsidRPr="00576D60">
              <w:rPr>
                <w:b/>
              </w:rPr>
              <w:t>Division 1</w:t>
            </w:r>
          </w:p>
        </w:tc>
        <w:tc>
          <w:tcPr>
            <w:tcW w:w="3500" w:type="pct"/>
            <w:shd w:val="clear" w:color="auto" w:fill="auto"/>
          </w:tcPr>
          <w:p w14:paraId="2D08F1AC" w14:textId="77777777" w:rsidR="00E93F58" w:rsidRPr="00576D60" w:rsidRDefault="00E93F58" w:rsidP="003D2B1E">
            <w:pPr>
              <w:pStyle w:val="ENoteTableText"/>
            </w:pPr>
          </w:p>
        </w:tc>
      </w:tr>
      <w:tr w:rsidR="00E93F58" w:rsidRPr="00576D60" w14:paraId="2A9E4016" w14:textId="77777777" w:rsidTr="002F32E3">
        <w:trPr>
          <w:cantSplit/>
        </w:trPr>
        <w:tc>
          <w:tcPr>
            <w:tcW w:w="1500" w:type="pct"/>
            <w:shd w:val="clear" w:color="auto" w:fill="auto"/>
          </w:tcPr>
          <w:p w14:paraId="787A7ED5" w14:textId="77777777" w:rsidR="00E93F58" w:rsidRPr="00576D60" w:rsidRDefault="00E93F58" w:rsidP="003D2B1E">
            <w:pPr>
              <w:pStyle w:val="ENoteTableText"/>
              <w:tabs>
                <w:tab w:val="left" w:leader="dot" w:pos="2268"/>
              </w:tabs>
            </w:pPr>
            <w:r w:rsidRPr="00576D60">
              <w:t>r 8B.4.10</w:t>
            </w:r>
            <w:r w:rsidRPr="00576D60">
              <w:tab/>
            </w:r>
          </w:p>
        </w:tc>
        <w:tc>
          <w:tcPr>
            <w:tcW w:w="3500" w:type="pct"/>
            <w:shd w:val="clear" w:color="auto" w:fill="auto"/>
          </w:tcPr>
          <w:p w14:paraId="0E60976F" w14:textId="77777777" w:rsidR="00E93F58" w:rsidRPr="00576D60" w:rsidRDefault="00E93F58" w:rsidP="003D2B1E">
            <w:pPr>
              <w:pStyle w:val="ENoteTableText"/>
            </w:pPr>
            <w:r w:rsidRPr="00576D60">
              <w:t>ad F2022L00469</w:t>
            </w:r>
          </w:p>
        </w:tc>
      </w:tr>
      <w:tr w:rsidR="00E93F58" w:rsidRPr="00576D60" w14:paraId="372B40F8" w14:textId="77777777" w:rsidTr="002F32E3">
        <w:trPr>
          <w:cantSplit/>
        </w:trPr>
        <w:tc>
          <w:tcPr>
            <w:tcW w:w="1500" w:type="pct"/>
            <w:shd w:val="clear" w:color="auto" w:fill="auto"/>
          </w:tcPr>
          <w:p w14:paraId="140D5FC4" w14:textId="77777777" w:rsidR="00E93F58" w:rsidRPr="00576D60" w:rsidRDefault="00E93F58" w:rsidP="003D2B1E">
            <w:pPr>
              <w:pStyle w:val="ENoteTableText"/>
              <w:tabs>
                <w:tab w:val="left" w:leader="dot" w:pos="2268"/>
              </w:tabs>
            </w:pPr>
            <w:r w:rsidRPr="00576D60">
              <w:t>r 8B.4.15</w:t>
            </w:r>
            <w:r w:rsidRPr="00576D60">
              <w:tab/>
            </w:r>
          </w:p>
        </w:tc>
        <w:tc>
          <w:tcPr>
            <w:tcW w:w="3500" w:type="pct"/>
            <w:shd w:val="clear" w:color="auto" w:fill="auto"/>
          </w:tcPr>
          <w:p w14:paraId="601F9886" w14:textId="77777777" w:rsidR="00E93F58" w:rsidRPr="00576D60" w:rsidRDefault="00E93F58" w:rsidP="003D2B1E">
            <w:pPr>
              <w:pStyle w:val="ENoteTableText"/>
            </w:pPr>
            <w:r w:rsidRPr="00576D60">
              <w:t>ad F2022L00469</w:t>
            </w:r>
          </w:p>
        </w:tc>
      </w:tr>
      <w:tr w:rsidR="00E93F58" w:rsidRPr="00576D60" w14:paraId="27F67BC7" w14:textId="77777777" w:rsidTr="002F32E3">
        <w:trPr>
          <w:cantSplit/>
        </w:trPr>
        <w:tc>
          <w:tcPr>
            <w:tcW w:w="1500" w:type="pct"/>
            <w:shd w:val="clear" w:color="auto" w:fill="auto"/>
          </w:tcPr>
          <w:p w14:paraId="11684057" w14:textId="77777777" w:rsidR="00E93F58" w:rsidRPr="00576D60" w:rsidRDefault="00E93F58" w:rsidP="003D2B1E">
            <w:pPr>
              <w:pStyle w:val="ENoteTableText"/>
              <w:tabs>
                <w:tab w:val="left" w:leader="dot" w:pos="2268"/>
              </w:tabs>
              <w:rPr>
                <w:b/>
              </w:rPr>
            </w:pPr>
            <w:r w:rsidRPr="00576D60">
              <w:rPr>
                <w:b/>
              </w:rPr>
              <w:t>Division 4</w:t>
            </w:r>
          </w:p>
        </w:tc>
        <w:tc>
          <w:tcPr>
            <w:tcW w:w="3500" w:type="pct"/>
            <w:shd w:val="clear" w:color="auto" w:fill="auto"/>
          </w:tcPr>
          <w:p w14:paraId="6778FFB4" w14:textId="77777777" w:rsidR="00E93F58" w:rsidRPr="00576D60" w:rsidRDefault="00E93F58" w:rsidP="003D2B1E">
            <w:pPr>
              <w:pStyle w:val="ENoteTableText"/>
            </w:pPr>
          </w:p>
        </w:tc>
      </w:tr>
      <w:tr w:rsidR="00E93F58" w:rsidRPr="00576D60" w14:paraId="550BD1C2" w14:textId="77777777" w:rsidTr="002F32E3">
        <w:trPr>
          <w:cantSplit/>
        </w:trPr>
        <w:tc>
          <w:tcPr>
            <w:tcW w:w="1500" w:type="pct"/>
            <w:shd w:val="clear" w:color="auto" w:fill="auto"/>
          </w:tcPr>
          <w:p w14:paraId="35F73D89" w14:textId="77777777" w:rsidR="00E93F58" w:rsidRPr="00576D60" w:rsidRDefault="00E93F58" w:rsidP="003D2B1E">
            <w:pPr>
              <w:pStyle w:val="ENoteTableText"/>
              <w:tabs>
                <w:tab w:val="left" w:leader="dot" w:pos="2268"/>
              </w:tabs>
            </w:pPr>
            <w:r w:rsidRPr="00576D60">
              <w:t>r 8B.4.40</w:t>
            </w:r>
            <w:r w:rsidRPr="00576D60">
              <w:tab/>
            </w:r>
          </w:p>
        </w:tc>
        <w:tc>
          <w:tcPr>
            <w:tcW w:w="3500" w:type="pct"/>
            <w:shd w:val="clear" w:color="auto" w:fill="auto"/>
          </w:tcPr>
          <w:p w14:paraId="69008C1B" w14:textId="77777777" w:rsidR="00E93F58" w:rsidRPr="00576D60" w:rsidRDefault="00E93F58" w:rsidP="003D2B1E">
            <w:pPr>
              <w:pStyle w:val="ENoteTableText"/>
            </w:pPr>
            <w:r w:rsidRPr="00576D60">
              <w:t>ad F2022L00469</w:t>
            </w:r>
          </w:p>
        </w:tc>
      </w:tr>
      <w:tr w:rsidR="00E93F58" w:rsidRPr="00576D60" w14:paraId="579B0F70" w14:textId="77777777" w:rsidTr="002F32E3">
        <w:trPr>
          <w:cantSplit/>
        </w:trPr>
        <w:tc>
          <w:tcPr>
            <w:tcW w:w="1500" w:type="pct"/>
            <w:shd w:val="clear" w:color="auto" w:fill="auto"/>
          </w:tcPr>
          <w:p w14:paraId="417AD32C" w14:textId="77777777" w:rsidR="00E93F58" w:rsidRPr="00576D60" w:rsidRDefault="00E93F58" w:rsidP="003D2B1E">
            <w:pPr>
              <w:pStyle w:val="ENoteTableText"/>
              <w:tabs>
                <w:tab w:val="left" w:leader="dot" w:pos="2268"/>
              </w:tabs>
            </w:pPr>
            <w:r w:rsidRPr="00576D60">
              <w:t>r 8B.4.45</w:t>
            </w:r>
            <w:r w:rsidRPr="00576D60">
              <w:tab/>
            </w:r>
          </w:p>
        </w:tc>
        <w:tc>
          <w:tcPr>
            <w:tcW w:w="3500" w:type="pct"/>
            <w:shd w:val="clear" w:color="auto" w:fill="auto"/>
          </w:tcPr>
          <w:p w14:paraId="200414B4" w14:textId="77777777" w:rsidR="00E93F58" w:rsidRPr="00576D60" w:rsidRDefault="00E93F58" w:rsidP="003D2B1E">
            <w:pPr>
              <w:pStyle w:val="ENoteTableText"/>
            </w:pPr>
            <w:r w:rsidRPr="00576D60">
              <w:t>ad F2022L00469</w:t>
            </w:r>
          </w:p>
        </w:tc>
      </w:tr>
      <w:tr w:rsidR="00E93F58" w:rsidRPr="00576D60" w14:paraId="48FB32BD" w14:textId="77777777" w:rsidTr="002F32E3">
        <w:trPr>
          <w:cantSplit/>
        </w:trPr>
        <w:tc>
          <w:tcPr>
            <w:tcW w:w="1500" w:type="pct"/>
            <w:shd w:val="clear" w:color="auto" w:fill="auto"/>
          </w:tcPr>
          <w:p w14:paraId="72AC118D" w14:textId="77777777" w:rsidR="00E93F58" w:rsidRPr="00576D60" w:rsidRDefault="00E93F58" w:rsidP="003D2B1E">
            <w:pPr>
              <w:pStyle w:val="ENoteTableText"/>
              <w:tabs>
                <w:tab w:val="left" w:leader="dot" w:pos="2268"/>
              </w:tabs>
            </w:pPr>
            <w:r w:rsidRPr="00576D60">
              <w:t>r 8B.4.50</w:t>
            </w:r>
            <w:r w:rsidRPr="00576D60">
              <w:tab/>
            </w:r>
          </w:p>
        </w:tc>
        <w:tc>
          <w:tcPr>
            <w:tcW w:w="3500" w:type="pct"/>
            <w:shd w:val="clear" w:color="auto" w:fill="auto"/>
          </w:tcPr>
          <w:p w14:paraId="4E2A5492" w14:textId="77777777" w:rsidR="00E93F58" w:rsidRPr="00576D60" w:rsidRDefault="00E93F58" w:rsidP="003D2B1E">
            <w:pPr>
              <w:pStyle w:val="ENoteTableText"/>
            </w:pPr>
            <w:r w:rsidRPr="00576D60">
              <w:t>ad F2022L00469</w:t>
            </w:r>
          </w:p>
        </w:tc>
      </w:tr>
      <w:tr w:rsidR="00E93F58" w:rsidRPr="00576D60" w14:paraId="555D7D25" w14:textId="77777777" w:rsidTr="002F32E3">
        <w:trPr>
          <w:cantSplit/>
        </w:trPr>
        <w:tc>
          <w:tcPr>
            <w:tcW w:w="1500" w:type="pct"/>
            <w:shd w:val="clear" w:color="auto" w:fill="auto"/>
          </w:tcPr>
          <w:p w14:paraId="67D6645C" w14:textId="77777777" w:rsidR="00E93F58" w:rsidRPr="00576D60" w:rsidRDefault="00E93F58" w:rsidP="003D2B1E">
            <w:pPr>
              <w:pStyle w:val="ENoteTableText"/>
              <w:tabs>
                <w:tab w:val="left" w:leader="dot" w:pos="2268"/>
              </w:tabs>
              <w:rPr>
                <w:b/>
              </w:rPr>
            </w:pPr>
            <w:r w:rsidRPr="00576D60">
              <w:rPr>
                <w:b/>
              </w:rPr>
              <w:t>Part 8B.5</w:t>
            </w:r>
          </w:p>
        </w:tc>
        <w:tc>
          <w:tcPr>
            <w:tcW w:w="3500" w:type="pct"/>
            <w:shd w:val="clear" w:color="auto" w:fill="auto"/>
          </w:tcPr>
          <w:p w14:paraId="26D50640" w14:textId="77777777" w:rsidR="00E93F58" w:rsidRPr="00576D60" w:rsidRDefault="00E93F58" w:rsidP="003D2B1E">
            <w:pPr>
              <w:pStyle w:val="ENoteTableText"/>
            </w:pPr>
          </w:p>
        </w:tc>
      </w:tr>
      <w:tr w:rsidR="00E93F58" w:rsidRPr="00576D60" w14:paraId="03366333" w14:textId="77777777" w:rsidTr="002F32E3">
        <w:trPr>
          <w:cantSplit/>
        </w:trPr>
        <w:tc>
          <w:tcPr>
            <w:tcW w:w="1500" w:type="pct"/>
            <w:shd w:val="clear" w:color="auto" w:fill="auto"/>
          </w:tcPr>
          <w:p w14:paraId="7E96E19C" w14:textId="77777777" w:rsidR="00E93F58" w:rsidRPr="00576D60" w:rsidRDefault="00E93F58" w:rsidP="003D2B1E">
            <w:pPr>
              <w:pStyle w:val="ENoteTableText"/>
              <w:tabs>
                <w:tab w:val="left" w:leader="dot" w:pos="2268"/>
              </w:tabs>
            </w:pPr>
            <w:r w:rsidRPr="00576D60">
              <w:t>r 8B.5.10</w:t>
            </w:r>
            <w:r w:rsidRPr="00576D60">
              <w:tab/>
            </w:r>
          </w:p>
        </w:tc>
        <w:tc>
          <w:tcPr>
            <w:tcW w:w="3500" w:type="pct"/>
            <w:shd w:val="clear" w:color="auto" w:fill="auto"/>
          </w:tcPr>
          <w:p w14:paraId="7D5A1075" w14:textId="77777777" w:rsidR="00E93F58" w:rsidRPr="00576D60" w:rsidRDefault="00E93F58" w:rsidP="003D2B1E">
            <w:pPr>
              <w:pStyle w:val="ENoteTableText"/>
            </w:pPr>
            <w:r w:rsidRPr="00576D60">
              <w:t>ad F2022L00469</w:t>
            </w:r>
          </w:p>
        </w:tc>
      </w:tr>
      <w:tr w:rsidR="00E93F58" w:rsidRPr="00576D60" w14:paraId="30BBBC6B" w14:textId="77777777" w:rsidTr="002F32E3">
        <w:trPr>
          <w:cantSplit/>
        </w:trPr>
        <w:tc>
          <w:tcPr>
            <w:tcW w:w="1500" w:type="pct"/>
            <w:shd w:val="clear" w:color="auto" w:fill="auto"/>
          </w:tcPr>
          <w:p w14:paraId="58885765" w14:textId="77777777" w:rsidR="00E93F58" w:rsidRPr="00576D60" w:rsidRDefault="00E93F58" w:rsidP="003D2B1E">
            <w:pPr>
              <w:pStyle w:val="ENoteTableText"/>
              <w:tabs>
                <w:tab w:val="left" w:leader="dot" w:pos="2268"/>
              </w:tabs>
            </w:pPr>
            <w:r w:rsidRPr="00576D60">
              <w:t>r 8B.5.15</w:t>
            </w:r>
            <w:r w:rsidRPr="00576D60">
              <w:tab/>
            </w:r>
          </w:p>
        </w:tc>
        <w:tc>
          <w:tcPr>
            <w:tcW w:w="3500" w:type="pct"/>
            <w:shd w:val="clear" w:color="auto" w:fill="auto"/>
          </w:tcPr>
          <w:p w14:paraId="018D9C8F" w14:textId="77777777" w:rsidR="00E93F58" w:rsidRPr="00576D60" w:rsidRDefault="00E93F58" w:rsidP="003D2B1E">
            <w:pPr>
              <w:pStyle w:val="ENoteTableText"/>
            </w:pPr>
            <w:r w:rsidRPr="00576D60">
              <w:t>ad F2022L00469</w:t>
            </w:r>
          </w:p>
        </w:tc>
      </w:tr>
      <w:tr w:rsidR="00E93F58" w:rsidRPr="00576D60" w14:paraId="043A84DB" w14:textId="77777777" w:rsidTr="002F32E3">
        <w:trPr>
          <w:cantSplit/>
        </w:trPr>
        <w:tc>
          <w:tcPr>
            <w:tcW w:w="1500" w:type="pct"/>
            <w:shd w:val="clear" w:color="auto" w:fill="auto"/>
          </w:tcPr>
          <w:p w14:paraId="2D381DA1" w14:textId="77777777" w:rsidR="00E93F58" w:rsidRPr="00576D60" w:rsidRDefault="00E93F58" w:rsidP="003D2B1E">
            <w:pPr>
              <w:pStyle w:val="ENoteTableText"/>
              <w:tabs>
                <w:tab w:val="left" w:leader="dot" w:pos="2268"/>
              </w:tabs>
            </w:pPr>
            <w:r w:rsidRPr="00576D60">
              <w:t>r 8B.5.20</w:t>
            </w:r>
            <w:r w:rsidRPr="00576D60">
              <w:tab/>
            </w:r>
          </w:p>
        </w:tc>
        <w:tc>
          <w:tcPr>
            <w:tcW w:w="3500" w:type="pct"/>
            <w:shd w:val="clear" w:color="auto" w:fill="auto"/>
          </w:tcPr>
          <w:p w14:paraId="5CD576C6" w14:textId="77777777" w:rsidR="00E93F58" w:rsidRPr="00576D60" w:rsidRDefault="00E93F58" w:rsidP="003D2B1E">
            <w:pPr>
              <w:pStyle w:val="ENoteTableText"/>
            </w:pPr>
            <w:r w:rsidRPr="00576D60">
              <w:t>ad F2022L00469</w:t>
            </w:r>
          </w:p>
        </w:tc>
      </w:tr>
      <w:tr w:rsidR="00E93F58" w:rsidRPr="00576D60" w14:paraId="27E19CEB" w14:textId="77777777" w:rsidTr="002F32E3">
        <w:trPr>
          <w:cantSplit/>
        </w:trPr>
        <w:tc>
          <w:tcPr>
            <w:tcW w:w="1500" w:type="pct"/>
            <w:shd w:val="clear" w:color="auto" w:fill="auto"/>
          </w:tcPr>
          <w:p w14:paraId="5407652D" w14:textId="77777777" w:rsidR="00E93F58" w:rsidRPr="00576D60" w:rsidRDefault="00E93F58" w:rsidP="003D2B1E">
            <w:pPr>
              <w:pStyle w:val="ENoteTableText"/>
              <w:keepNext/>
              <w:tabs>
                <w:tab w:val="left" w:leader="dot" w:pos="2268"/>
              </w:tabs>
              <w:rPr>
                <w:b/>
              </w:rPr>
            </w:pPr>
            <w:r w:rsidRPr="00576D60">
              <w:rPr>
                <w:b/>
              </w:rPr>
              <w:t>Chapter 9</w:t>
            </w:r>
          </w:p>
        </w:tc>
        <w:tc>
          <w:tcPr>
            <w:tcW w:w="3500" w:type="pct"/>
            <w:shd w:val="clear" w:color="auto" w:fill="auto"/>
          </w:tcPr>
          <w:p w14:paraId="3AC16237" w14:textId="77777777" w:rsidR="00E93F58" w:rsidRPr="00576D60" w:rsidRDefault="00E93F58" w:rsidP="003D2B1E">
            <w:pPr>
              <w:pStyle w:val="ENoteTableText"/>
              <w:keepNext/>
            </w:pPr>
          </w:p>
        </w:tc>
      </w:tr>
      <w:tr w:rsidR="00E93F58" w:rsidRPr="00576D60" w14:paraId="406C5C21" w14:textId="77777777" w:rsidTr="002F32E3">
        <w:trPr>
          <w:cantSplit/>
        </w:trPr>
        <w:tc>
          <w:tcPr>
            <w:tcW w:w="1500" w:type="pct"/>
            <w:shd w:val="clear" w:color="auto" w:fill="auto"/>
          </w:tcPr>
          <w:p w14:paraId="154D9B0C" w14:textId="77777777" w:rsidR="00E93F58" w:rsidRPr="00576D60" w:rsidRDefault="00E93F58" w:rsidP="003D2B1E">
            <w:pPr>
              <w:pStyle w:val="ENoteTableText"/>
              <w:keepNext/>
              <w:tabs>
                <w:tab w:val="left" w:leader="dot" w:pos="2268"/>
              </w:tabs>
              <w:rPr>
                <w:b/>
              </w:rPr>
            </w:pPr>
            <w:r w:rsidRPr="00576D60">
              <w:rPr>
                <w:b/>
              </w:rPr>
              <w:t>Part 9.1</w:t>
            </w:r>
          </w:p>
        </w:tc>
        <w:tc>
          <w:tcPr>
            <w:tcW w:w="3500" w:type="pct"/>
            <w:shd w:val="clear" w:color="auto" w:fill="auto"/>
          </w:tcPr>
          <w:p w14:paraId="5D41CD43" w14:textId="77777777" w:rsidR="00E93F58" w:rsidRPr="00576D60" w:rsidRDefault="00E93F58" w:rsidP="003D2B1E">
            <w:pPr>
              <w:pStyle w:val="ENoteTableText"/>
              <w:keepNext/>
            </w:pPr>
          </w:p>
        </w:tc>
      </w:tr>
      <w:tr w:rsidR="00E93F58" w:rsidRPr="00576D60" w14:paraId="07D49AAA" w14:textId="77777777" w:rsidTr="002F32E3">
        <w:trPr>
          <w:cantSplit/>
        </w:trPr>
        <w:tc>
          <w:tcPr>
            <w:tcW w:w="1500" w:type="pct"/>
            <w:shd w:val="clear" w:color="auto" w:fill="auto"/>
          </w:tcPr>
          <w:p w14:paraId="18174132" w14:textId="77777777" w:rsidR="00E93F58" w:rsidRPr="00576D60" w:rsidRDefault="00E93F58" w:rsidP="003D2B1E">
            <w:pPr>
              <w:pStyle w:val="ENoteTableText"/>
              <w:tabs>
                <w:tab w:val="left" w:leader="dot" w:pos="2268"/>
              </w:tabs>
            </w:pPr>
            <w:r w:rsidRPr="00576D60">
              <w:t>r 9.1.01</w:t>
            </w:r>
            <w:r w:rsidRPr="00576D60">
              <w:tab/>
            </w:r>
          </w:p>
        </w:tc>
        <w:tc>
          <w:tcPr>
            <w:tcW w:w="3500" w:type="pct"/>
            <w:shd w:val="clear" w:color="auto" w:fill="auto"/>
          </w:tcPr>
          <w:p w14:paraId="4F2CE185" w14:textId="77777777" w:rsidR="00E93F58" w:rsidRPr="00576D60" w:rsidRDefault="00E93F58" w:rsidP="003D2B1E">
            <w:pPr>
              <w:pStyle w:val="ENoteTableText"/>
            </w:pPr>
            <w:r w:rsidRPr="00576D60">
              <w:t>am No 319, 2001; No 54, 2010; No 3, 2015; F2016L01926; F2017L00117; F2018L01144</w:t>
            </w:r>
          </w:p>
        </w:tc>
      </w:tr>
      <w:tr w:rsidR="00E93F58" w:rsidRPr="00576D60" w14:paraId="57E0FF94" w14:textId="77777777" w:rsidTr="002F32E3">
        <w:trPr>
          <w:cantSplit/>
        </w:trPr>
        <w:tc>
          <w:tcPr>
            <w:tcW w:w="1500" w:type="pct"/>
            <w:shd w:val="clear" w:color="auto" w:fill="auto"/>
          </w:tcPr>
          <w:p w14:paraId="023E1C17" w14:textId="77777777" w:rsidR="00E93F58" w:rsidRPr="00576D60" w:rsidRDefault="00E93F58" w:rsidP="003D2B1E">
            <w:pPr>
              <w:pStyle w:val="ENoteTableText"/>
              <w:tabs>
                <w:tab w:val="left" w:leader="dot" w:pos="2268"/>
              </w:tabs>
            </w:pPr>
            <w:r w:rsidRPr="00576D60">
              <w:t>r 9.1.02</w:t>
            </w:r>
            <w:r w:rsidRPr="00576D60">
              <w:tab/>
            </w:r>
          </w:p>
        </w:tc>
        <w:tc>
          <w:tcPr>
            <w:tcW w:w="3500" w:type="pct"/>
            <w:shd w:val="clear" w:color="auto" w:fill="auto"/>
          </w:tcPr>
          <w:p w14:paraId="23C857E7" w14:textId="77777777" w:rsidR="00E93F58" w:rsidRPr="00576D60" w:rsidRDefault="00E93F58" w:rsidP="003D2B1E">
            <w:pPr>
              <w:pStyle w:val="ENoteTableText"/>
            </w:pPr>
            <w:r w:rsidRPr="00576D60">
              <w:t>am No 319, 2001; No 198, 2007; No 325, 2007; No 54, 2010; No 3, 2015; F2016L01926; F2017L00117; F2018L01144; F2020L01654; F2022L00469</w:t>
            </w:r>
            <w:r>
              <w:t>; F2023L01458</w:t>
            </w:r>
          </w:p>
        </w:tc>
      </w:tr>
      <w:tr w:rsidR="00E93F58" w:rsidRPr="00576D60" w14:paraId="6440F1EA" w14:textId="77777777" w:rsidTr="002F32E3">
        <w:trPr>
          <w:cantSplit/>
        </w:trPr>
        <w:tc>
          <w:tcPr>
            <w:tcW w:w="1500" w:type="pct"/>
            <w:shd w:val="clear" w:color="auto" w:fill="auto"/>
          </w:tcPr>
          <w:p w14:paraId="6DB9A642" w14:textId="77777777" w:rsidR="00E93F58" w:rsidRPr="00576D60" w:rsidRDefault="00E93F58" w:rsidP="003D2B1E">
            <w:pPr>
              <w:pStyle w:val="ENoteTableText"/>
              <w:tabs>
                <w:tab w:val="left" w:leader="dot" w:pos="2268"/>
              </w:tabs>
              <w:rPr>
                <w:b/>
              </w:rPr>
            </w:pPr>
            <w:r w:rsidRPr="00576D60">
              <w:rPr>
                <w:b/>
              </w:rPr>
              <w:t>Part 9.2</w:t>
            </w:r>
          </w:p>
        </w:tc>
        <w:tc>
          <w:tcPr>
            <w:tcW w:w="3500" w:type="pct"/>
            <w:shd w:val="clear" w:color="auto" w:fill="auto"/>
          </w:tcPr>
          <w:p w14:paraId="062C157C" w14:textId="77777777" w:rsidR="00E93F58" w:rsidRPr="00576D60" w:rsidRDefault="00E93F58" w:rsidP="003D2B1E">
            <w:pPr>
              <w:pStyle w:val="ENoteTableText"/>
            </w:pPr>
          </w:p>
        </w:tc>
      </w:tr>
      <w:tr w:rsidR="00E93F58" w:rsidRPr="00576D60" w14:paraId="34B791EE" w14:textId="77777777" w:rsidTr="002F32E3">
        <w:trPr>
          <w:cantSplit/>
        </w:trPr>
        <w:tc>
          <w:tcPr>
            <w:tcW w:w="1500" w:type="pct"/>
            <w:shd w:val="clear" w:color="auto" w:fill="auto"/>
          </w:tcPr>
          <w:p w14:paraId="2A8D7CDE" w14:textId="77777777" w:rsidR="00E93F58" w:rsidRPr="00576D60" w:rsidRDefault="00E93F58" w:rsidP="003D2B1E">
            <w:pPr>
              <w:pStyle w:val="ENoteTableText"/>
              <w:tabs>
                <w:tab w:val="left" w:leader="dot" w:pos="2268"/>
              </w:tabs>
            </w:pPr>
            <w:r w:rsidRPr="00576D60">
              <w:t>Part 9.2 heading</w:t>
            </w:r>
            <w:r w:rsidRPr="00576D60">
              <w:tab/>
            </w:r>
          </w:p>
        </w:tc>
        <w:tc>
          <w:tcPr>
            <w:tcW w:w="3500" w:type="pct"/>
            <w:shd w:val="clear" w:color="auto" w:fill="auto"/>
          </w:tcPr>
          <w:p w14:paraId="10FC28D8" w14:textId="77777777" w:rsidR="00E93F58" w:rsidRPr="00576D60" w:rsidRDefault="00E93F58" w:rsidP="003D2B1E">
            <w:pPr>
              <w:pStyle w:val="ENoteTableText"/>
            </w:pPr>
            <w:r w:rsidRPr="00576D60">
              <w:t>rs F2016L01926</w:t>
            </w:r>
          </w:p>
        </w:tc>
      </w:tr>
      <w:tr w:rsidR="00E93F58" w:rsidRPr="00576D60" w14:paraId="2798C7A2" w14:textId="77777777" w:rsidTr="002F32E3">
        <w:trPr>
          <w:cantSplit/>
        </w:trPr>
        <w:tc>
          <w:tcPr>
            <w:tcW w:w="1500" w:type="pct"/>
            <w:shd w:val="clear" w:color="auto" w:fill="auto"/>
          </w:tcPr>
          <w:p w14:paraId="0166186E" w14:textId="77777777" w:rsidR="00E93F58" w:rsidRPr="00576D60" w:rsidRDefault="00E93F58" w:rsidP="003D2B1E">
            <w:pPr>
              <w:pStyle w:val="ENoteTableText"/>
              <w:tabs>
                <w:tab w:val="left" w:leader="dot" w:pos="2268"/>
              </w:tabs>
            </w:pPr>
            <w:r>
              <w:rPr>
                <w:b/>
              </w:rPr>
              <w:t>Division 2</w:t>
            </w:r>
          </w:p>
        </w:tc>
        <w:tc>
          <w:tcPr>
            <w:tcW w:w="3500" w:type="pct"/>
            <w:shd w:val="clear" w:color="auto" w:fill="auto"/>
          </w:tcPr>
          <w:p w14:paraId="44C3D395" w14:textId="77777777" w:rsidR="00E93F58" w:rsidRPr="00576D60" w:rsidRDefault="00E93F58" w:rsidP="003D2B1E">
            <w:pPr>
              <w:pStyle w:val="ENoteTableText"/>
            </w:pPr>
          </w:p>
        </w:tc>
      </w:tr>
      <w:tr w:rsidR="00E93F58" w:rsidRPr="00576D60" w14:paraId="47F8A99F" w14:textId="77777777" w:rsidTr="002F32E3">
        <w:trPr>
          <w:cantSplit/>
        </w:trPr>
        <w:tc>
          <w:tcPr>
            <w:tcW w:w="1500" w:type="pct"/>
            <w:shd w:val="clear" w:color="auto" w:fill="auto"/>
          </w:tcPr>
          <w:p w14:paraId="2B2F6240" w14:textId="77777777" w:rsidR="00E93F58" w:rsidRPr="00576D60" w:rsidRDefault="00E93F58" w:rsidP="003D2B1E">
            <w:pPr>
              <w:pStyle w:val="ENoteTableText"/>
              <w:tabs>
                <w:tab w:val="left" w:leader="dot" w:pos="2268"/>
              </w:tabs>
            </w:pPr>
            <w:r>
              <w:t>Division 2</w:t>
            </w:r>
            <w:r w:rsidRPr="00576D60">
              <w:t xml:space="preserve"> heading</w:t>
            </w:r>
            <w:r w:rsidRPr="00576D60">
              <w:tab/>
            </w:r>
          </w:p>
        </w:tc>
        <w:tc>
          <w:tcPr>
            <w:tcW w:w="3500" w:type="pct"/>
            <w:shd w:val="clear" w:color="auto" w:fill="auto"/>
          </w:tcPr>
          <w:p w14:paraId="53D90744" w14:textId="77777777" w:rsidR="00E93F58" w:rsidRPr="00576D60" w:rsidRDefault="00E93F58" w:rsidP="003D2B1E">
            <w:pPr>
              <w:pStyle w:val="ENoteTableText"/>
            </w:pPr>
            <w:r w:rsidRPr="00576D60">
              <w:t>ad. 2004 No. 208</w:t>
            </w:r>
          </w:p>
        </w:tc>
      </w:tr>
      <w:tr w:rsidR="00E93F58" w:rsidRPr="00576D60" w14:paraId="2C51B5A8" w14:textId="77777777" w:rsidTr="002F32E3">
        <w:trPr>
          <w:cantSplit/>
        </w:trPr>
        <w:tc>
          <w:tcPr>
            <w:tcW w:w="1500" w:type="pct"/>
            <w:shd w:val="clear" w:color="auto" w:fill="auto"/>
          </w:tcPr>
          <w:p w14:paraId="29902483" w14:textId="77777777" w:rsidR="00E93F58" w:rsidRPr="00576D60" w:rsidRDefault="00E93F58" w:rsidP="003D2B1E">
            <w:pPr>
              <w:pStyle w:val="ENoteTableText"/>
              <w:tabs>
                <w:tab w:val="left" w:leader="dot" w:pos="2268"/>
              </w:tabs>
            </w:pPr>
            <w:r w:rsidRPr="00576D60">
              <w:t>r. 9.2.01</w:t>
            </w:r>
            <w:r w:rsidRPr="00576D60">
              <w:tab/>
            </w:r>
          </w:p>
        </w:tc>
        <w:tc>
          <w:tcPr>
            <w:tcW w:w="3500" w:type="pct"/>
            <w:shd w:val="clear" w:color="auto" w:fill="auto"/>
          </w:tcPr>
          <w:p w14:paraId="19D570B6" w14:textId="77777777" w:rsidR="00E93F58" w:rsidRPr="00576D60" w:rsidRDefault="00E93F58" w:rsidP="003D2B1E">
            <w:pPr>
              <w:pStyle w:val="ENoteTableText"/>
            </w:pPr>
            <w:r w:rsidRPr="00576D60">
              <w:t>rs. 2004 No. 208</w:t>
            </w:r>
          </w:p>
        </w:tc>
      </w:tr>
      <w:tr w:rsidR="00E93F58" w:rsidRPr="00576D60" w14:paraId="7B8ABC36" w14:textId="77777777" w:rsidTr="002F32E3">
        <w:trPr>
          <w:cantSplit/>
        </w:trPr>
        <w:tc>
          <w:tcPr>
            <w:tcW w:w="1500" w:type="pct"/>
            <w:shd w:val="clear" w:color="auto" w:fill="auto"/>
          </w:tcPr>
          <w:p w14:paraId="55B2C911" w14:textId="77777777" w:rsidR="00E93F58" w:rsidRPr="00576D60" w:rsidRDefault="00E93F58" w:rsidP="003D2B1E">
            <w:pPr>
              <w:pStyle w:val="ENoteTableText"/>
              <w:tabs>
                <w:tab w:val="left" w:leader="dot" w:pos="2268"/>
              </w:tabs>
            </w:pPr>
            <w:r w:rsidRPr="00576D60">
              <w:t>r 9.2.02</w:t>
            </w:r>
            <w:r w:rsidRPr="00576D60">
              <w:tab/>
            </w:r>
          </w:p>
        </w:tc>
        <w:tc>
          <w:tcPr>
            <w:tcW w:w="3500" w:type="pct"/>
            <w:shd w:val="clear" w:color="auto" w:fill="auto"/>
          </w:tcPr>
          <w:p w14:paraId="46D8859D" w14:textId="77777777" w:rsidR="00E93F58" w:rsidRPr="00576D60" w:rsidRDefault="00E93F58" w:rsidP="003D2B1E">
            <w:pPr>
              <w:pStyle w:val="ENoteTableText"/>
            </w:pPr>
            <w:r w:rsidRPr="00576D60">
              <w:t>rs No 208, 2004</w:t>
            </w:r>
          </w:p>
        </w:tc>
      </w:tr>
      <w:tr w:rsidR="00E93F58" w:rsidRPr="00576D60" w14:paraId="7D9CF0F4" w14:textId="77777777" w:rsidTr="002F32E3">
        <w:trPr>
          <w:cantSplit/>
        </w:trPr>
        <w:tc>
          <w:tcPr>
            <w:tcW w:w="1500" w:type="pct"/>
            <w:shd w:val="clear" w:color="auto" w:fill="auto"/>
          </w:tcPr>
          <w:p w14:paraId="14635E34" w14:textId="77777777" w:rsidR="00E93F58" w:rsidRPr="00576D60" w:rsidRDefault="00E93F58" w:rsidP="003D2B1E">
            <w:pPr>
              <w:pStyle w:val="ENoteTableText"/>
              <w:tabs>
                <w:tab w:val="left" w:leader="dot" w:pos="2268"/>
              </w:tabs>
            </w:pPr>
          </w:p>
        </w:tc>
        <w:tc>
          <w:tcPr>
            <w:tcW w:w="3500" w:type="pct"/>
            <w:shd w:val="clear" w:color="auto" w:fill="auto"/>
          </w:tcPr>
          <w:p w14:paraId="4321AAA9" w14:textId="77777777" w:rsidR="00E93F58" w:rsidRPr="00576D60" w:rsidRDefault="00E93F58" w:rsidP="003D2B1E">
            <w:pPr>
              <w:pStyle w:val="ENoteTableText"/>
            </w:pPr>
            <w:r w:rsidRPr="00576D60">
              <w:t>am F2016L01926</w:t>
            </w:r>
          </w:p>
        </w:tc>
      </w:tr>
      <w:tr w:rsidR="00E93F58" w:rsidRPr="00576D60" w14:paraId="2F76DC4F" w14:textId="77777777" w:rsidTr="002F32E3">
        <w:trPr>
          <w:cantSplit/>
        </w:trPr>
        <w:tc>
          <w:tcPr>
            <w:tcW w:w="1500" w:type="pct"/>
            <w:shd w:val="clear" w:color="auto" w:fill="auto"/>
          </w:tcPr>
          <w:p w14:paraId="08D4BF7F" w14:textId="77777777" w:rsidR="00E93F58" w:rsidRPr="00576D60" w:rsidRDefault="00E93F58" w:rsidP="003D2B1E">
            <w:pPr>
              <w:pStyle w:val="ENoteTableText"/>
              <w:tabs>
                <w:tab w:val="left" w:leader="dot" w:pos="2268"/>
              </w:tabs>
            </w:pPr>
            <w:r w:rsidRPr="00576D60">
              <w:t>r. 9.2.03</w:t>
            </w:r>
            <w:r w:rsidRPr="00576D60">
              <w:tab/>
            </w:r>
          </w:p>
        </w:tc>
        <w:tc>
          <w:tcPr>
            <w:tcW w:w="3500" w:type="pct"/>
            <w:shd w:val="clear" w:color="auto" w:fill="auto"/>
          </w:tcPr>
          <w:p w14:paraId="64C3328B" w14:textId="77777777" w:rsidR="00E93F58" w:rsidRPr="00576D60" w:rsidRDefault="00E93F58" w:rsidP="003D2B1E">
            <w:pPr>
              <w:pStyle w:val="ENoteTableText"/>
            </w:pPr>
            <w:r w:rsidRPr="00576D60">
              <w:t>rs. 2004 No. 208</w:t>
            </w:r>
          </w:p>
        </w:tc>
      </w:tr>
      <w:tr w:rsidR="00E93F58" w:rsidRPr="00576D60" w14:paraId="2231402E" w14:textId="77777777" w:rsidTr="002F32E3">
        <w:trPr>
          <w:cantSplit/>
        </w:trPr>
        <w:tc>
          <w:tcPr>
            <w:tcW w:w="1500" w:type="pct"/>
            <w:shd w:val="clear" w:color="auto" w:fill="auto"/>
          </w:tcPr>
          <w:p w14:paraId="7DEE860E" w14:textId="77777777" w:rsidR="00E93F58" w:rsidRPr="00576D60" w:rsidRDefault="00E93F58" w:rsidP="003D2B1E">
            <w:pPr>
              <w:pStyle w:val="ENoteTableText"/>
            </w:pPr>
          </w:p>
        </w:tc>
        <w:tc>
          <w:tcPr>
            <w:tcW w:w="3500" w:type="pct"/>
            <w:shd w:val="clear" w:color="auto" w:fill="auto"/>
          </w:tcPr>
          <w:p w14:paraId="4299D29A" w14:textId="77777777" w:rsidR="00E93F58" w:rsidRPr="00576D60" w:rsidRDefault="00E93F58" w:rsidP="003D2B1E">
            <w:pPr>
              <w:pStyle w:val="ENoteTableText"/>
            </w:pPr>
            <w:r w:rsidRPr="00576D60">
              <w:t>am. 2011 No. 142</w:t>
            </w:r>
          </w:p>
        </w:tc>
      </w:tr>
      <w:tr w:rsidR="00E93F58" w:rsidRPr="00576D60" w14:paraId="4CC6713C" w14:textId="77777777" w:rsidTr="002F32E3">
        <w:trPr>
          <w:cantSplit/>
        </w:trPr>
        <w:tc>
          <w:tcPr>
            <w:tcW w:w="1500" w:type="pct"/>
            <w:shd w:val="clear" w:color="auto" w:fill="auto"/>
          </w:tcPr>
          <w:p w14:paraId="5677DD35" w14:textId="77777777" w:rsidR="00E93F58" w:rsidRPr="00576D60" w:rsidRDefault="00E93F58" w:rsidP="003D2B1E">
            <w:pPr>
              <w:pStyle w:val="ENoteTableText"/>
              <w:tabs>
                <w:tab w:val="left" w:leader="dot" w:pos="2268"/>
              </w:tabs>
            </w:pPr>
            <w:r w:rsidRPr="00576D60">
              <w:t>r. 9.2.04</w:t>
            </w:r>
            <w:r w:rsidRPr="00576D60">
              <w:tab/>
            </w:r>
          </w:p>
        </w:tc>
        <w:tc>
          <w:tcPr>
            <w:tcW w:w="3500" w:type="pct"/>
            <w:shd w:val="clear" w:color="auto" w:fill="auto"/>
          </w:tcPr>
          <w:p w14:paraId="4F6E1272" w14:textId="77777777" w:rsidR="00E93F58" w:rsidRPr="00576D60" w:rsidRDefault="00E93F58" w:rsidP="003D2B1E">
            <w:pPr>
              <w:pStyle w:val="ENoteTableText"/>
            </w:pPr>
            <w:r w:rsidRPr="00576D60">
              <w:t>rs. 2004 No. 208</w:t>
            </w:r>
          </w:p>
        </w:tc>
      </w:tr>
      <w:tr w:rsidR="00E93F58" w:rsidRPr="00576D60" w14:paraId="0075DC54" w14:textId="77777777" w:rsidTr="002F32E3">
        <w:trPr>
          <w:cantSplit/>
        </w:trPr>
        <w:tc>
          <w:tcPr>
            <w:tcW w:w="1500" w:type="pct"/>
            <w:shd w:val="clear" w:color="auto" w:fill="auto"/>
          </w:tcPr>
          <w:p w14:paraId="73F2F21F" w14:textId="77777777" w:rsidR="00E93F58" w:rsidRPr="00576D60" w:rsidRDefault="00E93F58" w:rsidP="003D2B1E">
            <w:pPr>
              <w:pStyle w:val="ENoteTableText"/>
            </w:pPr>
          </w:p>
        </w:tc>
        <w:tc>
          <w:tcPr>
            <w:tcW w:w="3500" w:type="pct"/>
            <w:shd w:val="clear" w:color="auto" w:fill="auto"/>
          </w:tcPr>
          <w:p w14:paraId="4A3F7B9C" w14:textId="77777777" w:rsidR="00E93F58" w:rsidRPr="00576D60" w:rsidRDefault="00E93F58" w:rsidP="003D2B1E">
            <w:pPr>
              <w:pStyle w:val="ENoteTableText"/>
            </w:pPr>
            <w:r w:rsidRPr="00576D60">
              <w:t>rep. 2007 No. 325</w:t>
            </w:r>
          </w:p>
        </w:tc>
      </w:tr>
      <w:tr w:rsidR="00E93F58" w:rsidRPr="00576D60" w14:paraId="4D6B0AEF" w14:textId="77777777" w:rsidTr="002F32E3">
        <w:trPr>
          <w:cantSplit/>
        </w:trPr>
        <w:tc>
          <w:tcPr>
            <w:tcW w:w="1500" w:type="pct"/>
            <w:shd w:val="clear" w:color="auto" w:fill="auto"/>
          </w:tcPr>
          <w:p w14:paraId="44922F06" w14:textId="77777777" w:rsidR="00E93F58" w:rsidRPr="00576D60" w:rsidRDefault="00E93F58" w:rsidP="003D2B1E">
            <w:pPr>
              <w:pStyle w:val="ENoteTableText"/>
              <w:tabs>
                <w:tab w:val="left" w:leader="dot" w:pos="2268"/>
              </w:tabs>
            </w:pPr>
            <w:r w:rsidRPr="00576D60">
              <w:t>r. 9.2.05</w:t>
            </w:r>
            <w:r w:rsidRPr="00576D60">
              <w:tab/>
            </w:r>
          </w:p>
        </w:tc>
        <w:tc>
          <w:tcPr>
            <w:tcW w:w="3500" w:type="pct"/>
            <w:shd w:val="clear" w:color="auto" w:fill="auto"/>
          </w:tcPr>
          <w:p w14:paraId="3722CEFA" w14:textId="77777777" w:rsidR="00E93F58" w:rsidRPr="00576D60" w:rsidRDefault="00E93F58" w:rsidP="003D2B1E">
            <w:pPr>
              <w:pStyle w:val="ENoteTableText"/>
            </w:pPr>
            <w:r w:rsidRPr="00576D60">
              <w:t>rep. 2009 No. 198</w:t>
            </w:r>
          </w:p>
        </w:tc>
      </w:tr>
      <w:tr w:rsidR="00E93F58" w:rsidRPr="00576D60" w14:paraId="147819E1" w14:textId="77777777" w:rsidTr="002F32E3">
        <w:trPr>
          <w:cantSplit/>
        </w:trPr>
        <w:tc>
          <w:tcPr>
            <w:tcW w:w="1500" w:type="pct"/>
            <w:shd w:val="clear" w:color="auto" w:fill="auto"/>
          </w:tcPr>
          <w:p w14:paraId="1E8F62EB" w14:textId="77777777" w:rsidR="00E93F58" w:rsidRPr="00576D60" w:rsidRDefault="00E93F58" w:rsidP="003D2B1E">
            <w:pPr>
              <w:pStyle w:val="ENoteTableText"/>
              <w:tabs>
                <w:tab w:val="left" w:leader="dot" w:pos="2268"/>
              </w:tabs>
            </w:pPr>
            <w:r w:rsidRPr="00576D60">
              <w:lastRenderedPageBreak/>
              <w:t>r. 9.2.06</w:t>
            </w:r>
            <w:r w:rsidRPr="00576D60">
              <w:tab/>
            </w:r>
          </w:p>
        </w:tc>
        <w:tc>
          <w:tcPr>
            <w:tcW w:w="3500" w:type="pct"/>
            <w:shd w:val="clear" w:color="auto" w:fill="auto"/>
          </w:tcPr>
          <w:p w14:paraId="7DD2A104" w14:textId="77777777" w:rsidR="00E93F58" w:rsidRPr="00576D60" w:rsidRDefault="00E93F58" w:rsidP="003D2B1E">
            <w:pPr>
              <w:pStyle w:val="ENoteTableText"/>
            </w:pPr>
            <w:r w:rsidRPr="00576D60">
              <w:t>rep. 2009 No. 198</w:t>
            </w:r>
          </w:p>
        </w:tc>
      </w:tr>
      <w:tr w:rsidR="00E93F58" w:rsidRPr="00576D60" w14:paraId="050F3963" w14:textId="77777777" w:rsidTr="002F32E3">
        <w:trPr>
          <w:cantSplit/>
        </w:trPr>
        <w:tc>
          <w:tcPr>
            <w:tcW w:w="1500" w:type="pct"/>
            <w:shd w:val="clear" w:color="auto" w:fill="auto"/>
          </w:tcPr>
          <w:p w14:paraId="5E85974A" w14:textId="77777777" w:rsidR="00E93F58" w:rsidRPr="00576D60" w:rsidRDefault="00E93F58" w:rsidP="003D2B1E">
            <w:pPr>
              <w:pStyle w:val="ENoteTableText"/>
              <w:tabs>
                <w:tab w:val="left" w:leader="dot" w:pos="2268"/>
              </w:tabs>
            </w:pPr>
            <w:r w:rsidRPr="00576D60">
              <w:t>r. 9.2.07</w:t>
            </w:r>
            <w:r w:rsidRPr="00576D60">
              <w:tab/>
            </w:r>
          </w:p>
        </w:tc>
        <w:tc>
          <w:tcPr>
            <w:tcW w:w="3500" w:type="pct"/>
            <w:shd w:val="clear" w:color="auto" w:fill="auto"/>
          </w:tcPr>
          <w:p w14:paraId="4609E7D2" w14:textId="77777777" w:rsidR="00E93F58" w:rsidRPr="00576D60" w:rsidRDefault="00E93F58" w:rsidP="003D2B1E">
            <w:pPr>
              <w:pStyle w:val="ENoteTableText"/>
            </w:pPr>
            <w:r w:rsidRPr="00576D60">
              <w:t>rep. 2009 No. 198</w:t>
            </w:r>
          </w:p>
        </w:tc>
      </w:tr>
      <w:tr w:rsidR="00E93F58" w:rsidRPr="00576D60" w14:paraId="20868B1C" w14:textId="77777777" w:rsidTr="002F32E3">
        <w:trPr>
          <w:cantSplit/>
        </w:trPr>
        <w:tc>
          <w:tcPr>
            <w:tcW w:w="1500" w:type="pct"/>
            <w:shd w:val="clear" w:color="auto" w:fill="auto"/>
          </w:tcPr>
          <w:p w14:paraId="34193321" w14:textId="77777777" w:rsidR="00E93F58" w:rsidRPr="00576D60" w:rsidRDefault="00E93F58" w:rsidP="003D2B1E">
            <w:pPr>
              <w:pStyle w:val="ENoteTableText"/>
              <w:tabs>
                <w:tab w:val="left" w:leader="dot" w:pos="2268"/>
              </w:tabs>
              <w:rPr>
                <w:b/>
              </w:rPr>
            </w:pPr>
            <w:r>
              <w:rPr>
                <w:b/>
              </w:rPr>
              <w:t>Division 2</w:t>
            </w:r>
            <w:r w:rsidRPr="00576D60">
              <w:rPr>
                <w:b/>
              </w:rPr>
              <w:t>A</w:t>
            </w:r>
          </w:p>
        </w:tc>
        <w:tc>
          <w:tcPr>
            <w:tcW w:w="3500" w:type="pct"/>
            <w:shd w:val="clear" w:color="auto" w:fill="auto"/>
          </w:tcPr>
          <w:p w14:paraId="45CB3A40" w14:textId="77777777" w:rsidR="00E93F58" w:rsidRPr="00576D60" w:rsidRDefault="00E93F58" w:rsidP="003D2B1E">
            <w:pPr>
              <w:pStyle w:val="ENoteTableText"/>
            </w:pPr>
          </w:p>
        </w:tc>
      </w:tr>
      <w:tr w:rsidR="00E93F58" w:rsidRPr="00576D60" w14:paraId="101248C0" w14:textId="77777777" w:rsidTr="002F32E3">
        <w:trPr>
          <w:cantSplit/>
        </w:trPr>
        <w:tc>
          <w:tcPr>
            <w:tcW w:w="1500" w:type="pct"/>
            <w:shd w:val="clear" w:color="auto" w:fill="auto"/>
          </w:tcPr>
          <w:p w14:paraId="64936D30" w14:textId="77777777" w:rsidR="00E93F58" w:rsidRPr="00576D60" w:rsidRDefault="00E93F58" w:rsidP="003D2B1E">
            <w:pPr>
              <w:pStyle w:val="ENoteTableText"/>
              <w:tabs>
                <w:tab w:val="left" w:leader="dot" w:pos="2268"/>
              </w:tabs>
            </w:pPr>
            <w:r>
              <w:t>Division 2</w:t>
            </w:r>
            <w:r w:rsidRPr="00576D60">
              <w:t>A</w:t>
            </w:r>
            <w:r w:rsidRPr="00576D60">
              <w:tab/>
            </w:r>
          </w:p>
        </w:tc>
        <w:tc>
          <w:tcPr>
            <w:tcW w:w="3500" w:type="pct"/>
            <w:shd w:val="clear" w:color="auto" w:fill="auto"/>
          </w:tcPr>
          <w:p w14:paraId="06D0B73D" w14:textId="77777777" w:rsidR="00E93F58" w:rsidRPr="00576D60" w:rsidRDefault="00E93F58" w:rsidP="003D2B1E">
            <w:pPr>
              <w:pStyle w:val="ENoteTableText"/>
            </w:pPr>
            <w:r w:rsidRPr="00576D60">
              <w:t>ad. 2004 No. 208</w:t>
            </w:r>
          </w:p>
        </w:tc>
      </w:tr>
      <w:tr w:rsidR="00E93F58" w:rsidRPr="00576D60" w14:paraId="0417D606" w14:textId="77777777" w:rsidTr="002F32E3">
        <w:trPr>
          <w:cantSplit/>
        </w:trPr>
        <w:tc>
          <w:tcPr>
            <w:tcW w:w="1500" w:type="pct"/>
            <w:shd w:val="clear" w:color="auto" w:fill="auto"/>
          </w:tcPr>
          <w:p w14:paraId="287D99F6" w14:textId="77777777" w:rsidR="00E93F58" w:rsidRPr="00576D60" w:rsidRDefault="00E93F58" w:rsidP="003D2B1E">
            <w:pPr>
              <w:pStyle w:val="ENoteTableText"/>
              <w:tabs>
                <w:tab w:val="left" w:leader="dot" w:pos="2268"/>
              </w:tabs>
            </w:pPr>
            <w:r w:rsidRPr="00576D60">
              <w:t>r. 9.2.08</w:t>
            </w:r>
            <w:r w:rsidRPr="00576D60">
              <w:tab/>
            </w:r>
          </w:p>
        </w:tc>
        <w:tc>
          <w:tcPr>
            <w:tcW w:w="3500" w:type="pct"/>
            <w:shd w:val="clear" w:color="auto" w:fill="auto"/>
          </w:tcPr>
          <w:p w14:paraId="75882C49" w14:textId="77777777" w:rsidR="00E93F58" w:rsidRPr="00576D60" w:rsidRDefault="00E93F58" w:rsidP="003D2B1E">
            <w:pPr>
              <w:pStyle w:val="ENoteTableText"/>
            </w:pPr>
            <w:r w:rsidRPr="00576D60">
              <w:t>ad. 2004 No. 208</w:t>
            </w:r>
          </w:p>
        </w:tc>
      </w:tr>
      <w:tr w:rsidR="00E93F58" w:rsidRPr="00576D60" w14:paraId="7CBD75C6" w14:textId="77777777" w:rsidTr="002F32E3">
        <w:trPr>
          <w:cantSplit/>
        </w:trPr>
        <w:tc>
          <w:tcPr>
            <w:tcW w:w="1500" w:type="pct"/>
            <w:shd w:val="clear" w:color="auto" w:fill="auto"/>
          </w:tcPr>
          <w:p w14:paraId="217A4E11" w14:textId="77777777" w:rsidR="00E93F58" w:rsidRPr="00576D60" w:rsidRDefault="00E93F58" w:rsidP="003D2B1E">
            <w:pPr>
              <w:pStyle w:val="ENoteTableText"/>
              <w:keepNext/>
              <w:keepLines/>
              <w:tabs>
                <w:tab w:val="left" w:leader="dot" w:pos="2268"/>
              </w:tabs>
              <w:rPr>
                <w:b/>
              </w:rPr>
            </w:pPr>
            <w:r w:rsidRPr="00576D60">
              <w:rPr>
                <w:b/>
              </w:rPr>
              <w:t>Part 9.2A</w:t>
            </w:r>
          </w:p>
        </w:tc>
        <w:tc>
          <w:tcPr>
            <w:tcW w:w="3500" w:type="pct"/>
            <w:shd w:val="clear" w:color="auto" w:fill="auto"/>
          </w:tcPr>
          <w:p w14:paraId="6C11AA41" w14:textId="77777777" w:rsidR="00E93F58" w:rsidRPr="00576D60" w:rsidRDefault="00E93F58" w:rsidP="003D2B1E">
            <w:pPr>
              <w:pStyle w:val="ENoteTableText"/>
            </w:pPr>
          </w:p>
        </w:tc>
      </w:tr>
      <w:tr w:rsidR="00E93F58" w:rsidRPr="00576D60" w14:paraId="2B565146" w14:textId="77777777" w:rsidTr="002F32E3">
        <w:trPr>
          <w:cantSplit/>
        </w:trPr>
        <w:tc>
          <w:tcPr>
            <w:tcW w:w="1500" w:type="pct"/>
            <w:shd w:val="clear" w:color="auto" w:fill="auto"/>
          </w:tcPr>
          <w:p w14:paraId="0B5C1801" w14:textId="77777777" w:rsidR="00E93F58" w:rsidRPr="00576D60" w:rsidRDefault="00E93F58" w:rsidP="003D2B1E">
            <w:pPr>
              <w:pStyle w:val="ENoteTableText"/>
              <w:tabs>
                <w:tab w:val="left" w:leader="dot" w:pos="2268"/>
              </w:tabs>
            </w:pPr>
            <w:r w:rsidRPr="00576D60">
              <w:t>Part 9.2A</w:t>
            </w:r>
            <w:r w:rsidRPr="00576D60">
              <w:tab/>
            </w:r>
          </w:p>
        </w:tc>
        <w:tc>
          <w:tcPr>
            <w:tcW w:w="3500" w:type="pct"/>
            <w:shd w:val="clear" w:color="auto" w:fill="auto"/>
          </w:tcPr>
          <w:p w14:paraId="6711A791" w14:textId="77777777" w:rsidR="00E93F58" w:rsidRPr="00576D60" w:rsidRDefault="00E93F58" w:rsidP="003D2B1E">
            <w:pPr>
              <w:pStyle w:val="ENoteTableText"/>
            </w:pPr>
            <w:r w:rsidRPr="00576D60">
              <w:t>ad. 2004 No. 208</w:t>
            </w:r>
          </w:p>
        </w:tc>
      </w:tr>
      <w:tr w:rsidR="00E93F58" w:rsidRPr="00576D60" w14:paraId="27EDD93C" w14:textId="77777777" w:rsidTr="002F32E3">
        <w:trPr>
          <w:cantSplit/>
        </w:trPr>
        <w:tc>
          <w:tcPr>
            <w:tcW w:w="1500" w:type="pct"/>
            <w:shd w:val="clear" w:color="auto" w:fill="auto"/>
          </w:tcPr>
          <w:p w14:paraId="2978BDFA" w14:textId="77777777" w:rsidR="00E93F58" w:rsidRPr="00576D60" w:rsidRDefault="00E93F58" w:rsidP="003D2B1E">
            <w:pPr>
              <w:pStyle w:val="ENoteTableText"/>
              <w:keepNext/>
              <w:tabs>
                <w:tab w:val="left" w:leader="dot" w:pos="2268"/>
              </w:tabs>
              <w:rPr>
                <w:b/>
              </w:rPr>
            </w:pPr>
            <w:r w:rsidRPr="00576D60">
              <w:rPr>
                <w:b/>
              </w:rPr>
              <w:t>Division 1</w:t>
            </w:r>
          </w:p>
        </w:tc>
        <w:tc>
          <w:tcPr>
            <w:tcW w:w="3500" w:type="pct"/>
            <w:shd w:val="clear" w:color="auto" w:fill="auto"/>
          </w:tcPr>
          <w:p w14:paraId="181CE79B" w14:textId="77777777" w:rsidR="00E93F58" w:rsidRPr="00576D60" w:rsidRDefault="00E93F58" w:rsidP="003D2B1E">
            <w:pPr>
              <w:pStyle w:val="ENoteTableText"/>
              <w:keepNext/>
            </w:pPr>
          </w:p>
        </w:tc>
      </w:tr>
      <w:tr w:rsidR="00E93F58" w:rsidRPr="00576D60" w14:paraId="1CA460BF" w14:textId="77777777" w:rsidTr="002F32E3">
        <w:trPr>
          <w:cantSplit/>
        </w:trPr>
        <w:tc>
          <w:tcPr>
            <w:tcW w:w="1500" w:type="pct"/>
            <w:shd w:val="clear" w:color="auto" w:fill="auto"/>
          </w:tcPr>
          <w:p w14:paraId="6AB3A7EA" w14:textId="77777777" w:rsidR="00E93F58" w:rsidRPr="00576D60" w:rsidRDefault="00E93F58" w:rsidP="003D2B1E">
            <w:pPr>
              <w:pStyle w:val="ENoteTableText"/>
              <w:tabs>
                <w:tab w:val="left" w:leader="dot" w:pos="2268"/>
              </w:tabs>
            </w:pPr>
            <w:r w:rsidRPr="00576D60">
              <w:t>r 9.2A.01</w:t>
            </w:r>
            <w:r w:rsidRPr="00576D60">
              <w:tab/>
            </w:r>
          </w:p>
        </w:tc>
        <w:tc>
          <w:tcPr>
            <w:tcW w:w="3500" w:type="pct"/>
            <w:shd w:val="clear" w:color="auto" w:fill="auto"/>
          </w:tcPr>
          <w:p w14:paraId="093DA30A" w14:textId="77777777" w:rsidR="00E93F58" w:rsidRPr="00576D60" w:rsidRDefault="00E93F58" w:rsidP="003D2B1E">
            <w:pPr>
              <w:pStyle w:val="ENoteTableText"/>
            </w:pPr>
            <w:r w:rsidRPr="00576D60">
              <w:t>ad No 208, 2004</w:t>
            </w:r>
          </w:p>
        </w:tc>
      </w:tr>
      <w:tr w:rsidR="00E93F58" w:rsidRPr="00576D60" w14:paraId="011A04CE" w14:textId="77777777" w:rsidTr="002F32E3">
        <w:trPr>
          <w:cantSplit/>
        </w:trPr>
        <w:tc>
          <w:tcPr>
            <w:tcW w:w="1500" w:type="pct"/>
            <w:shd w:val="clear" w:color="auto" w:fill="auto"/>
          </w:tcPr>
          <w:p w14:paraId="69203602" w14:textId="77777777" w:rsidR="00E93F58" w:rsidRPr="00576D60" w:rsidRDefault="00E93F58" w:rsidP="003D2B1E">
            <w:pPr>
              <w:pStyle w:val="ENoteTableText"/>
              <w:tabs>
                <w:tab w:val="left" w:leader="dot" w:pos="2268"/>
              </w:tabs>
            </w:pPr>
          </w:p>
        </w:tc>
        <w:tc>
          <w:tcPr>
            <w:tcW w:w="3500" w:type="pct"/>
            <w:shd w:val="clear" w:color="auto" w:fill="auto"/>
          </w:tcPr>
          <w:p w14:paraId="13C4D487" w14:textId="77777777" w:rsidR="00E93F58" w:rsidRPr="00576D60" w:rsidRDefault="00E93F58" w:rsidP="003D2B1E">
            <w:pPr>
              <w:pStyle w:val="ENoteTableText"/>
            </w:pPr>
            <w:r w:rsidRPr="00576D60">
              <w:t>am F2016L01926</w:t>
            </w:r>
          </w:p>
        </w:tc>
      </w:tr>
      <w:tr w:rsidR="00E93F58" w:rsidRPr="00576D60" w14:paraId="65825D23" w14:textId="77777777" w:rsidTr="002F32E3">
        <w:trPr>
          <w:cantSplit/>
        </w:trPr>
        <w:tc>
          <w:tcPr>
            <w:tcW w:w="1500" w:type="pct"/>
            <w:shd w:val="clear" w:color="auto" w:fill="auto"/>
          </w:tcPr>
          <w:p w14:paraId="5E370A6E" w14:textId="77777777" w:rsidR="00E93F58" w:rsidRPr="00576D60" w:rsidRDefault="00E93F58" w:rsidP="003D2B1E">
            <w:pPr>
              <w:pStyle w:val="ENoteTableText"/>
              <w:tabs>
                <w:tab w:val="left" w:leader="dot" w:pos="2268"/>
              </w:tabs>
            </w:pPr>
            <w:r w:rsidRPr="00576D60">
              <w:t>r. 9.2A.03</w:t>
            </w:r>
            <w:r w:rsidRPr="00576D60">
              <w:tab/>
            </w:r>
          </w:p>
        </w:tc>
        <w:tc>
          <w:tcPr>
            <w:tcW w:w="3500" w:type="pct"/>
            <w:shd w:val="clear" w:color="auto" w:fill="auto"/>
          </w:tcPr>
          <w:p w14:paraId="009815A0" w14:textId="77777777" w:rsidR="00E93F58" w:rsidRPr="00576D60" w:rsidRDefault="00E93F58" w:rsidP="003D2B1E">
            <w:pPr>
              <w:pStyle w:val="ENoteTableText"/>
            </w:pPr>
            <w:r w:rsidRPr="00576D60">
              <w:t>ad. 2004 No. 208</w:t>
            </w:r>
          </w:p>
        </w:tc>
      </w:tr>
      <w:tr w:rsidR="00E93F58" w:rsidRPr="00576D60" w14:paraId="219BA829" w14:textId="77777777" w:rsidTr="002F32E3">
        <w:trPr>
          <w:cantSplit/>
        </w:trPr>
        <w:tc>
          <w:tcPr>
            <w:tcW w:w="1500" w:type="pct"/>
            <w:shd w:val="clear" w:color="auto" w:fill="auto"/>
          </w:tcPr>
          <w:p w14:paraId="553BE287" w14:textId="77777777" w:rsidR="00E93F58" w:rsidRPr="00576D60" w:rsidRDefault="00E93F58" w:rsidP="003D2B1E">
            <w:pPr>
              <w:pStyle w:val="ENoteTableText"/>
              <w:tabs>
                <w:tab w:val="left" w:leader="dot" w:pos="2268"/>
              </w:tabs>
            </w:pPr>
            <w:r w:rsidRPr="00576D60">
              <w:t>Part 9.4</w:t>
            </w:r>
            <w:r w:rsidRPr="00576D60">
              <w:tab/>
            </w:r>
          </w:p>
        </w:tc>
        <w:tc>
          <w:tcPr>
            <w:tcW w:w="3500" w:type="pct"/>
            <w:shd w:val="clear" w:color="auto" w:fill="auto"/>
          </w:tcPr>
          <w:p w14:paraId="756E400A" w14:textId="77777777" w:rsidR="00E93F58" w:rsidRPr="00576D60" w:rsidRDefault="00E93F58" w:rsidP="003D2B1E">
            <w:pPr>
              <w:pStyle w:val="ENoteTableText"/>
            </w:pPr>
            <w:r w:rsidRPr="00576D60">
              <w:t>rep F2019L00392</w:t>
            </w:r>
          </w:p>
        </w:tc>
      </w:tr>
      <w:tr w:rsidR="00E93F58" w:rsidRPr="00576D60" w14:paraId="2D8C94BF" w14:textId="77777777" w:rsidTr="002F32E3">
        <w:trPr>
          <w:cantSplit/>
        </w:trPr>
        <w:tc>
          <w:tcPr>
            <w:tcW w:w="1500" w:type="pct"/>
            <w:shd w:val="clear" w:color="auto" w:fill="auto"/>
          </w:tcPr>
          <w:p w14:paraId="6B8EEF5B" w14:textId="77777777" w:rsidR="00E93F58" w:rsidRPr="00576D60" w:rsidRDefault="00E93F58" w:rsidP="003D2B1E">
            <w:pPr>
              <w:pStyle w:val="ENoteTableText"/>
              <w:tabs>
                <w:tab w:val="left" w:leader="dot" w:pos="2268"/>
              </w:tabs>
            </w:pPr>
            <w:r w:rsidRPr="00576D60">
              <w:t>r 9.4.01</w:t>
            </w:r>
            <w:r w:rsidRPr="00576D60">
              <w:tab/>
            </w:r>
          </w:p>
        </w:tc>
        <w:tc>
          <w:tcPr>
            <w:tcW w:w="3500" w:type="pct"/>
            <w:shd w:val="clear" w:color="auto" w:fill="auto"/>
          </w:tcPr>
          <w:p w14:paraId="65815451" w14:textId="77777777" w:rsidR="00E93F58" w:rsidRPr="00576D60" w:rsidRDefault="00E93F58" w:rsidP="003D2B1E">
            <w:pPr>
              <w:pStyle w:val="ENoteTableText"/>
            </w:pPr>
            <w:r w:rsidRPr="00576D60">
              <w:t>rep F2019L00392</w:t>
            </w:r>
          </w:p>
        </w:tc>
      </w:tr>
      <w:tr w:rsidR="00E93F58" w:rsidRPr="00576D60" w14:paraId="137656A7" w14:textId="77777777" w:rsidTr="002F32E3">
        <w:trPr>
          <w:cantSplit/>
        </w:trPr>
        <w:tc>
          <w:tcPr>
            <w:tcW w:w="1500" w:type="pct"/>
            <w:shd w:val="clear" w:color="auto" w:fill="auto"/>
          </w:tcPr>
          <w:p w14:paraId="05333DC1" w14:textId="77777777" w:rsidR="00E93F58" w:rsidRPr="00576D60" w:rsidRDefault="00E93F58" w:rsidP="003D2B1E">
            <w:pPr>
              <w:pStyle w:val="ENoteTableText"/>
              <w:tabs>
                <w:tab w:val="left" w:leader="dot" w:pos="2268"/>
              </w:tabs>
            </w:pPr>
            <w:r w:rsidRPr="00576D60">
              <w:t>r 9.4.02</w:t>
            </w:r>
            <w:r w:rsidRPr="00576D60">
              <w:tab/>
            </w:r>
          </w:p>
        </w:tc>
        <w:tc>
          <w:tcPr>
            <w:tcW w:w="3500" w:type="pct"/>
            <w:shd w:val="clear" w:color="auto" w:fill="auto"/>
          </w:tcPr>
          <w:p w14:paraId="19D4CAD7" w14:textId="77777777" w:rsidR="00E93F58" w:rsidRPr="00576D60" w:rsidRDefault="00E93F58" w:rsidP="003D2B1E">
            <w:pPr>
              <w:pStyle w:val="ENoteTableText"/>
            </w:pPr>
            <w:r w:rsidRPr="00576D60">
              <w:t>am F2018L01144</w:t>
            </w:r>
          </w:p>
        </w:tc>
      </w:tr>
      <w:tr w:rsidR="00E93F58" w:rsidRPr="00576D60" w14:paraId="20FA100C" w14:textId="77777777" w:rsidTr="002F32E3">
        <w:trPr>
          <w:cantSplit/>
        </w:trPr>
        <w:tc>
          <w:tcPr>
            <w:tcW w:w="1500" w:type="pct"/>
            <w:shd w:val="clear" w:color="auto" w:fill="auto"/>
          </w:tcPr>
          <w:p w14:paraId="3DE6EF27" w14:textId="77777777" w:rsidR="00E93F58" w:rsidRPr="00576D60" w:rsidRDefault="00E93F58" w:rsidP="003D2B1E">
            <w:pPr>
              <w:pStyle w:val="ENoteTableText"/>
              <w:tabs>
                <w:tab w:val="left" w:leader="dot" w:pos="2268"/>
              </w:tabs>
            </w:pPr>
          </w:p>
        </w:tc>
        <w:tc>
          <w:tcPr>
            <w:tcW w:w="3500" w:type="pct"/>
            <w:shd w:val="clear" w:color="auto" w:fill="auto"/>
          </w:tcPr>
          <w:p w14:paraId="5F7184A1" w14:textId="77777777" w:rsidR="00E93F58" w:rsidRPr="00576D60" w:rsidRDefault="00E93F58" w:rsidP="003D2B1E">
            <w:pPr>
              <w:pStyle w:val="ENoteTableText"/>
            </w:pPr>
            <w:r w:rsidRPr="00576D60">
              <w:t>rep F2019L00392</w:t>
            </w:r>
          </w:p>
        </w:tc>
      </w:tr>
      <w:tr w:rsidR="00E93F58" w:rsidRPr="00576D60" w14:paraId="68A17E7C" w14:textId="77777777" w:rsidTr="002F32E3">
        <w:trPr>
          <w:cantSplit/>
        </w:trPr>
        <w:tc>
          <w:tcPr>
            <w:tcW w:w="1500" w:type="pct"/>
            <w:shd w:val="clear" w:color="auto" w:fill="auto"/>
          </w:tcPr>
          <w:p w14:paraId="344663FE" w14:textId="77777777" w:rsidR="00E93F58" w:rsidRPr="00576D60" w:rsidRDefault="00E93F58" w:rsidP="003D2B1E">
            <w:pPr>
              <w:pStyle w:val="ENoteTableText"/>
              <w:tabs>
                <w:tab w:val="left" w:leader="dot" w:pos="2268"/>
              </w:tabs>
            </w:pPr>
            <w:r w:rsidRPr="00576D60">
              <w:t>r 9.4.03</w:t>
            </w:r>
            <w:r w:rsidRPr="00576D60">
              <w:tab/>
            </w:r>
          </w:p>
        </w:tc>
        <w:tc>
          <w:tcPr>
            <w:tcW w:w="3500" w:type="pct"/>
            <w:shd w:val="clear" w:color="auto" w:fill="auto"/>
          </w:tcPr>
          <w:p w14:paraId="0B76D3A1" w14:textId="77777777" w:rsidR="00E93F58" w:rsidRPr="00576D60" w:rsidRDefault="00E93F58" w:rsidP="003D2B1E">
            <w:pPr>
              <w:pStyle w:val="ENoteTableText"/>
            </w:pPr>
            <w:r w:rsidRPr="00576D60">
              <w:t>ad No 194, 2003</w:t>
            </w:r>
          </w:p>
        </w:tc>
      </w:tr>
      <w:tr w:rsidR="00E93F58" w:rsidRPr="00576D60" w14:paraId="11FD53F5" w14:textId="77777777" w:rsidTr="002F32E3">
        <w:trPr>
          <w:cantSplit/>
        </w:trPr>
        <w:tc>
          <w:tcPr>
            <w:tcW w:w="1500" w:type="pct"/>
            <w:shd w:val="clear" w:color="auto" w:fill="auto"/>
          </w:tcPr>
          <w:p w14:paraId="167E4154" w14:textId="77777777" w:rsidR="00E93F58" w:rsidRPr="00576D60" w:rsidRDefault="00E93F58" w:rsidP="003D2B1E">
            <w:pPr>
              <w:pStyle w:val="ENoteTableText"/>
              <w:tabs>
                <w:tab w:val="left" w:leader="dot" w:pos="2268"/>
              </w:tabs>
            </w:pPr>
          </w:p>
        </w:tc>
        <w:tc>
          <w:tcPr>
            <w:tcW w:w="3500" w:type="pct"/>
            <w:shd w:val="clear" w:color="auto" w:fill="auto"/>
          </w:tcPr>
          <w:p w14:paraId="049CE4AC" w14:textId="77777777" w:rsidR="00E93F58" w:rsidRPr="00576D60" w:rsidRDefault="00E93F58" w:rsidP="003D2B1E">
            <w:pPr>
              <w:pStyle w:val="ENoteTableText"/>
            </w:pPr>
            <w:r w:rsidRPr="00576D60">
              <w:t>rep F2019L00392</w:t>
            </w:r>
          </w:p>
        </w:tc>
      </w:tr>
      <w:tr w:rsidR="00E93F58" w:rsidRPr="00576D60" w14:paraId="66A301A0" w14:textId="77777777" w:rsidTr="002F32E3">
        <w:trPr>
          <w:cantSplit/>
        </w:trPr>
        <w:tc>
          <w:tcPr>
            <w:tcW w:w="1500" w:type="pct"/>
            <w:shd w:val="clear" w:color="auto" w:fill="auto"/>
          </w:tcPr>
          <w:p w14:paraId="3E8A9DB2" w14:textId="77777777" w:rsidR="00E93F58" w:rsidRPr="00576D60" w:rsidRDefault="00E93F58" w:rsidP="003D2B1E">
            <w:pPr>
              <w:pStyle w:val="ENoteTableText"/>
              <w:tabs>
                <w:tab w:val="left" w:leader="dot" w:pos="2268"/>
              </w:tabs>
              <w:rPr>
                <w:b/>
              </w:rPr>
            </w:pPr>
            <w:r w:rsidRPr="00576D60">
              <w:rPr>
                <w:b/>
              </w:rPr>
              <w:t>Part 9.4A</w:t>
            </w:r>
          </w:p>
        </w:tc>
        <w:tc>
          <w:tcPr>
            <w:tcW w:w="3500" w:type="pct"/>
            <w:shd w:val="clear" w:color="auto" w:fill="auto"/>
          </w:tcPr>
          <w:p w14:paraId="66D07846" w14:textId="77777777" w:rsidR="00E93F58" w:rsidRPr="00576D60" w:rsidRDefault="00E93F58" w:rsidP="003D2B1E">
            <w:pPr>
              <w:pStyle w:val="ENoteTableText"/>
            </w:pPr>
          </w:p>
        </w:tc>
      </w:tr>
      <w:tr w:rsidR="00E93F58" w:rsidRPr="00576D60" w14:paraId="3C3191A0" w14:textId="77777777" w:rsidTr="002F32E3">
        <w:trPr>
          <w:cantSplit/>
        </w:trPr>
        <w:tc>
          <w:tcPr>
            <w:tcW w:w="1500" w:type="pct"/>
            <w:shd w:val="clear" w:color="auto" w:fill="auto"/>
          </w:tcPr>
          <w:p w14:paraId="16823C0E" w14:textId="77777777" w:rsidR="00E93F58" w:rsidRPr="00576D60" w:rsidRDefault="00E93F58" w:rsidP="003D2B1E">
            <w:pPr>
              <w:pStyle w:val="ENoteTableText"/>
              <w:tabs>
                <w:tab w:val="left" w:leader="dot" w:pos="2268"/>
              </w:tabs>
            </w:pPr>
            <w:r w:rsidRPr="00576D60">
              <w:t>r 9.4A.01</w:t>
            </w:r>
            <w:r w:rsidRPr="00576D60">
              <w:tab/>
            </w:r>
          </w:p>
        </w:tc>
        <w:tc>
          <w:tcPr>
            <w:tcW w:w="3500" w:type="pct"/>
            <w:shd w:val="clear" w:color="auto" w:fill="auto"/>
          </w:tcPr>
          <w:p w14:paraId="1D46B244" w14:textId="77777777" w:rsidR="00E93F58" w:rsidRPr="00576D60" w:rsidRDefault="00E93F58" w:rsidP="003D2B1E">
            <w:pPr>
              <w:pStyle w:val="ENoteTableText"/>
            </w:pPr>
            <w:r w:rsidRPr="00576D60">
              <w:t>am No 319, 2001; F2018L01144</w:t>
            </w:r>
            <w:r>
              <w:t>; F2023L01458</w:t>
            </w:r>
          </w:p>
        </w:tc>
      </w:tr>
      <w:tr w:rsidR="00E93F58" w:rsidRPr="00576D60" w14:paraId="29D95BD4" w14:textId="77777777" w:rsidTr="002F32E3">
        <w:trPr>
          <w:cantSplit/>
        </w:trPr>
        <w:tc>
          <w:tcPr>
            <w:tcW w:w="1500" w:type="pct"/>
            <w:shd w:val="clear" w:color="auto" w:fill="auto"/>
          </w:tcPr>
          <w:p w14:paraId="54AC866F" w14:textId="77777777" w:rsidR="00E93F58" w:rsidRPr="00576D60" w:rsidRDefault="00E93F58" w:rsidP="003D2B1E">
            <w:pPr>
              <w:pStyle w:val="ENoteTableText"/>
              <w:tabs>
                <w:tab w:val="left" w:leader="dot" w:pos="2268"/>
              </w:tabs>
            </w:pPr>
            <w:r w:rsidRPr="00576D60">
              <w:t>r 9.4A.02</w:t>
            </w:r>
            <w:r w:rsidRPr="00576D60">
              <w:tab/>
            </w:r>
          </w:p>
        </w:tc>
        <w:tc>
          <w:tcPr>
            <w:tcW w:w="3500" w:type="pct"/>
            <w:shd w:val="clear" w:color="auto" w:fill="auto"/>
          </w:tcPr>
          <w:p w14:paraId="79AE2BF5" w14:textId="77777777" w:rsidR="00E93F58" w:rsidRPr="00576D60" w:rsidRDefault="00E93F58" w:rsidP="003D2B1E">
            <w:pPr>
              <w:pStyle w:val="ENoteTableText"/>
            </w:pPr>
            <w:r w:rsidRPr="00576D60">
              <w:t>am No 319, 2001; F2018L01144</w:t>
            </w:r>
            <w:r>
              <w:t>; F2023L01458</w:t>
            </w:r>
          </w:p>
        </w:tc>
      </w:tr>
      <w:tr w:rsidR="00E93F58" w:rsidRPr="00576D60" w14:paraId="505CA5A0" w14:textId="77777777" w:rsidTr="002F32E3">
        <w:trPr>
          <w:cantSplit/>
        </w:trPr>
        <w:tc>
          <w:tcPr>
            <w:tcW w:w="1500" w:type="pct"/>
            <w:shd w:val="clear" w:color="auto" w:fill="auto"/>
          </w:tcPr>
          <w:p w14:paraId="12A49761" w14:textId="77777777" w:rsidR="00E93F58" w:rsidRPr="00576D60" w:rsidRDefault="00E93F58" w:rsidP="003D2B1E">
            <w:pPr>
              <w:pStyle w:val="ENoteTableText"/>
              <w:tabs>
                <w:tab w:val="left" w:leader="dot" w:pos="2268"/>
              </w:tabs>
              <w:rPr>
                <w:b/>
              </w:rPr>
            </w:pPr>
            <w:r w:rsidRPr="00576D60">
              <w:rPr>
                <w:b/>
              </w:rPr>
              <w:t>Part 9.4AB</w:t>
            </w:r>
          </w:p>
        </w:tc>
        <w:tc>
          <w:tcPr>
            <w:tcW w:w="3500" w:type="pct"/>
            <w:shd w:val="clear" w:color="auto" w:fill="auto"/>
          </w:tcPr>
          <w:p w14:paraId="4F502307" w14:textId="77777777" w:rsidR="00E93F58" w:rsidRPr="00576D60" w:rsidRDefault="00E93F58" w:rsidP="003D2B1E">
            <w:pPr>
              <w:pStyle w:val="ENoteTableText"/>
            </w:pPr>
          </w:p>
        </w:tc>
      </w:tr>
      <w:tr w:rsidR="00E93F58" w:rsidRPr="00576D60" w14:paraId="7D8154D1" w14:textId="77777777" w:rsidTr="002F32E3">
        <w:trPr>
          <w:cantSplit/>
        </w:trPr>
        <w:tc>
          <w:tcPr>
            <w:tcW w:w="1500" w:type="pct"/>
            <w:shd w:val="clear" w:color="auto" w:fill="auto"/>
          </w:tcPr>
          <w:p w14:paraId="0D4ABC0D" w14:textId="77777777" w:rsidR="00E93F58" w:rsidRPr="00576D60" w:rsidRDefault="00E93F58" w:rsidP="003D2B1E">
            <w:pPr>
              <w:pStyle w:val="ENoteTableText"/>
              <w:tabs>
                <w:tab w:val="left" w:leader="dot" w:pos="2268"/>
              </w:tabs>
            </w:pPr>
            <w:r w:rsidRPr="00576D60">
              <w:t>Part 9.4AB</w:t>
            </w:r>
            <w:r w:rsidRPr="00576D60">
              <w:tab/>
            </w:r>
          </w:p>
        </w:tc>
        <w:tc>
          <w:tcPr>
            <w:tcW w:w="3500" w:type="pct"/>
            <w:shd w:val="clear" w:color="auto" w:fill="auto"/>
          </w:tcPr>
          <w:p w14:paraId="071CF8CC" w14:textId="77777777" w:rsidR="00E93F58" w:rsidRPr="00576D60" w:rsidRDefault="00E93F58" w:rsidP="003D2B1E">
            <w:pPr>
              <w:pStyle w:val="ENoteTableText"/>
            </w:pPr>
            <w:r w:rsidRPr="00576D60">
              <w:t>ad F2019L00392</w:t>
            </w:r>
          </w:p>
        </w:tc>
      </w:tr>
      <w:tr w:rsidR="00E93F58" w:rsidRPr="00576D60" w14:paraId="039577AE" w14:textId="77777777" w:rsidTr="002F32E3">
        <w:trPr>
          <w:cantSplit/>
        </w:trPr>
        <w:tc>
          <w:tcPr>
            <w:tcW w:w="1500" w:type="pct"/>
            <w:shd w:val="clear" w:color="auto" w:fill="auto"/>
          </w:tcPr>
          <w:p w14:paraId="659FC44B" w14:textId="77777777" w:rsidR="00E93F58" w:rsidRPr="00576D60" w:rsidRDefault="00E93F58" w:rsidP="003D2B1E">
            <w:pPr>
              <w:pStyle w:val="ENoteTableText"/>
              <w:tabs>
                <w:tab w:val="left" w:leader="dot" w:pos="2268"/>
              </w:tabs>
            </w:pPr>
            <w:r w:rsidRPr="00576D60">
              <w:t>r 9.4AB.01</w:t>
            </w:r>
            <w:r w:rsidRPr="00576D60">
              <w:tab/>
            </w:r>
          </w:p>
        </w:tc>
        <w:tc>
          <w:tcPr>
            <w:tcW w:w="3500" w:type="pct"/>
            <w:shd w:val="clear" w:color="auto" w:fill="auto"/>
          </w:tcPr>
          <w:p w14:paraId="3D3A6084" w14:textId="77777777" w:rsidR="00E93F58" w:rsidRPr="00576D60" w:rsidRDefault="00E93F58" w:rsidP="003D2B1E">
            <w:pPr>
              <w:pStyle w:val="ENoteTableText"/>
            </w:pPr>
            <w:r w:rsidRPr="00576D60">
              <w:t>ad F2019L00392</w:t>
            </w:r>
          </w:p>
        </w:tc>
      </w:tr>
      <w:tr w:rsidR="00E93F58" w:rsidRPr="00576D60" w14:paraId="76921130" w14:textId="77777777" w:rsidTr="002F32E3">
        <w:trPr>
          <w:cantSplit/>
        </w:trPr>
        <w:tc>
          <w:tcPr>
            <w:tcW w:w="1500" w:type="pct"/>
            <w:shd w:val="clear" w:color="auto" w:fill="auto"/>
          </w:tcPr>
          <w:p w14:paraId="181D0BE1" w14:textId="77777777" w:rsidR="00E93F58" w:rsidRPr="00576D60" w:rsidRDefault="00E93F58" w:rsidP="003D2B1E">
            <w:pPr>
              <w:pStyle w:val="ENoteTableText"/>
              <w:tabs>
                <w:tab w:val="left" w:leader="dot" w:pos="2268"/>
              </w:tabs>
            </w:pPr>
          </w:p>
        </w:tc>
        <w:tc>
          <w:tcPr>
            <w:tcW w:w="3500" w:type="pct"/>
            <w:shd w:val="clear" w:color="auto" w:fill="auto"/>
          </w:tcPr>
          <w:p w14:paraId="2D5D7D06" w14:textId="77777777" w:rsidR="00E93F58" w:rsidRPr="00576D60" w:rsidRDefault="00E93F58" w:rsidP="003D2B1E">
            <w:pPr>
              <w:pStyle w:val="ENoteTableText"/>
            </w:pPr>
            <w:r w:rsidRPr="00576D60">
              <w:t>am F2021L01072</w:t>
            </w:r>
          </w:p>
        </w:tc>
      </w:tr>
      <w:tr w:rsidR="00E93F58" w:rsidRPr="00576D60" w14:paraId="49675038" w14:textId="77777777" w:rsidTr="002F32E3">
        <w:trPr>
          <w:cantSplit/>
        </w:trPr>
        <w:tc>
          <w:tcPr>
            <w:tcW w:w="1500" w:type="pct"/>
            <w:shd w:val="clear" w:color="auto" w:fill="auto"/>
          </w:tcPr>
          <w:p w14:paraId="5CAA5F9D" w14:textId="77777777" w:rsidR="00E93F58" w:rsidRPr="00576D60" w:rsidRDefault="00E93F58" w:rsidP="003D2B1E">
            <w:pPr>
              <w:pStyle w:val="ENoteTableText"/>
              <w:tabs>
                <w:tab w:val="left" w:leader="dot" w:pos="2268"/>
              </w:tabs>
            </w:pPr>
            <w:r w:rsidRPr="00576D60">
              <w:t>r 9.4AB.02</w:t>
            </w:r>
            <w:r w:rsidRPr="00576D60">
              <w:tab/>
            </w:r>
          </w:p>
        </w:tc>
        <w:tc>
          <w:tcPr>
            <w:tcW w:w="3500" w:type="pct"/>
            <w:shd w:val="clear" w:color="auto" w:fill="auto"/>
          </w:tcPr>
          <w:p w14:paraId="0F22E992" w14:textId="77777777" w:rsidR="00E93F58" w:rsidRPr="00576D60" w:rsidRDefault="00E93F58" w:rsidP="003D2B1E">
            <w:pPr>
              <w:pStyle w:val="ENoteTableText"/>
            </w:pPr>
            <w:r w:rsidRPr="00576D60">
              <w:t>ad F2019L00392</w:t>
            </w:r>
          </w:p>
        </w:tc>
      </w:tr>
      <w:tr w:rsidR="00E93F58" w:rsidRPr="00576D60" w14:paraId="693F689D" w14:textId="77777777" w:rsidTr="002F32E3">
        <w:trPr>
          <w:cantSplit/>
        </w:trPr>
        <w:tc>
          <w:tcPr>
            <w:tcW w:w="1500" w:type="pct"/>
            <w:shd w:val="clear" w:color="auto" w:fill="auto"/>
          </w:tcPr>
          <w:p w14:paraId="1B7D4771" w14:textId="77777777" w:rsidR="00E93F58" w:rsidRPr="00576D60" w:rsidRDefault="00E93F58" w:rsidP="003D2B1E">
            <w:pPr>
              <w:pStyle w:val="ENoteTableText"/>
              <w:tabs>
                <w:tab w:val="left" w:leader="dot" w:pos="2268"/>
              </w:tabs>
            </w:pPr>
          </w:p>
        </w:tc>
        <w:tc>
          <w:tcPr>
            <w:tcW w:w="3500" w:type="pct"/>
            <w:shd w:val="clear" w:color="auto" w:fill="auto"/>
          </w:tcPr>
          <w:p w14:paraId="302A7E63" w14:textId="77777777" w:rsidR="00E93F58" w:rsidRPr="00576D60" w:rsidRDefault="00E93F58" w:rsidP="003D2B1E">
            <w:pPr>
              <w:pStyle w:val="ENoteTableText"/>
            </w:pPr>
            <w:r w:rsidRPr="00576D60">
              <w:t>am F2021L00581; F2021L01072</w:t>
            </w:r>
          </w:p>
        </w:tc>
      </w:tr>
      <w:tr w:rsidR="00E93F58" w:rsidRPr="00576D60" w14:paraId="74C654EF" w14:textId="77777777" w:rsidTr="002F32E3">
        <w:trPr>
          <w:cantSplit/>
        </w:trPr>
        <w:tc>
          <w:tcPr>
            <w:tcW w:w="1500" w:type="pct"/>
            <w:shd w:val="clear" w:color="auto" w:fill="auto"/>
          </w:tcPr>
          <w:p w14:paraId="409D4845" w14:textId="77777777" w:rsidR="00E93F58" w:rsidRPr="00576D60" w:rsidRDefault="00E93F58" w:rsidP="003D2B1E">
            <w:pPr>
              <w:pStyle w:val="ENoteTableText"/>
              <w:tabs>
                <w:tab w:val="left" w:leader="dot" w:pos="2268"/>
              </w:tabs>
              <w:rPr>
                <w:b/>
              </w:rPr>
            </w:pPr>
            <w:r w:rsidRPr="00576D60">
              <w:rPr>
                <w:b/>
              </w:rPr>
              <w:t>Part 9.5</w:t>
            </w:r>
          </w:p>
        </w:tc>
        <w:tc>
          <w:tcPr>
            <w:tcW w:w="3500" w:type="pct"/>
            <w:shd w:val="clear" w:color="auto" w:fill="auto"/>
          </w:tcPr>
          <w:p w14:paraId="6CEA54DB" w14:textId="77777777" w:rsidR="00E93F58" w:rsidRPr="00576D60" w:rsidRDefault="00E93F58" w:rsidP="003D2B1E">
            <w:pPr>
              <w:pStyle w:val="ENoteTableText"/>
            </w:pPr>
          </w:p>
        </w:tc>
      </w:tr>
      <w:tr w:rsidR="00E93F58" w:rsidRPr="00576D60" w14:paraId="4081AE20" w14:textId="77777777" w:rsidTr="002F32E3">
        <w:trPr>
          <w:cantSplit/>
        </w:trPr>
        <w:tc>
          <w:tcPr>
            <w:tcW w:w="1500" w:type="pct"/>
            <w:shd w:val="clear" w:color="auto" w:fill="auto"/>
          </w:tcPr>
          <w:p w14:paraId="77B54CEE" w14:textId="77777777" w:rsidR="00E93F58" w:rsidRPr="00576D60" w:rsidRDefault="00E93F58" w:rsidP="003D2B1E">
            <w:pPr>
              <w:pStyle w:val="ENoteTableText"/>
              <w:tabs>
                <w:tab w:val="left" w:leader="dot" w:pos="2268"/>
              </w:tabs>
            </w:pPr>
            <w:r w:rsidRPr="00576D60">
              <w:t>r 9.5.01</w:t>
            </w:r>
            <w:r w:rsidRPr="00576D60">
              <w:tab/>
            </w:r>
          </w:p>
        </w:tc>
        <w:tc>
          <w:tcPr>
            <w:tcW w:w="3500" w:type="pct"/>
            <w:shd w:val="clear" w:color="auto" w:fill="auto"/>
          </w:tcPr>
          <w:p w14:paraId="01554D43" w14:textId="77777777" w:rsidR="00E93F58" w:rsidRPr="00576D60" w:rsidRDefault="00E93F58" w:rsidP="003D2B1E">
            <w:pPr>
              <w:pStyle w:val="ENoteTableText"/>
            </w:pPr>
            <w:r w:rsidRPr="00576D60">
              <w:t>am F2021L01854</w:t>
            </w:r>
          </w:p>
        </w:tc>
      </w:tr>
      <w:tr w:rsidR="00E93F58" w:rsidRPr="00576D60" w14:paraId="6CEF8A5F" w14:textId="77777777" w:rsidTr="002F32E3">
        <w:trPr>
          <w:cantSplit/>
        </w:trPr>
        <w:tc>
          <w:tcPr>
            <w:tcW w:w="1500" w:type="pct"/>
            <w:shd w:val="clear" w:color="auto" w:fill="auto"/>
          </w:tcPr>
          <w:p w14:paraId="4A01D09A" w14:textId="77777777" w:rsidR="00E93F58" w:rsidRPr="00576D60" w:rsidRDefault="00E93F58" w:rsidP="003D2B1E">
            <w:pPr>
              <w:pStyle w:val="ENoteTableText"/>
              <w:keepNext/>
              <w:tabs>
                <w:tab w:val="left" w:leader="dot" w:pos="2268"/>
              </w:tabs>
              <w:rPr>
                <w:b/>
              </w:rPr>
            </w:pPr>
            <w:r w:rsidRPr="00576D60">
              <w:rPr>
                <w:b/>
              </w:rPr>
              <w:t>Part 9.7</w:t>
            </w:r>
          </w:p>
        </w:tc>
        <w:tc>
          <w:tcPr>
            <w:tcW w:w="3500" w:type="pct"/>
            <w:shd w:val="clear" w:color="auto" w:fill="auto"/>
          </w:tcPr>
          <w:p w14:paraId="42AC741E" w14:textId="77777777" w:rsidR="00E93F58" w:rsidRPr="00576D60" w:rsidRDefault="00E93F58" w:rsidP="003D2B1E">
            <w:pPr>
              <w:pStyle w:val="ENoteTableText"/>
            </w:pPr>
          </w:p>
        </w:tc>
      </w:tr>
      <w:tr w:rsidR="00E93F58" w:rsidRPr="00576D60" w14:paraId="14565833" w14:textId="77777777" w:rsidTr="002F32E3">
        <w:trPr>
          <w:cantSplit/>
        </w:trPr>
        <w:tc>
          <w:tcPr>
            <w:tcW w:w="1500" w:type="pct"/>
            <w:shd w:val="clear" w:color="auto" w:fill="auto"/>
          </w:tcPr>
          <w:p w14:paraId="3C9C58CC" w14:textId="77777777" w:rsidR="00E93F58" w:rsidRPr="00576D60" w:rsidRDefault="00E93F58" w:rsidP="003D2B1E">
            <w:pPr>
              <w:pStyle w:val="ENoteTableText"/>
              <w:tabs>
                <w:tab w:val="left" w:leader="dot" w:pos="2268"/>
              </w:tabs>
            </w:pPr>
            <w:r w:rsidRPr="00576D60">
              <w:t>Part 9.7</w:t>
            </w:r>
            <w:r w:rsidRPr="00576D60">
              <w:tab/>
            </w:r>
          </w:p>
        </w:tc>
        <w:tc>
          <w:tcPr>
            <w:tcW w:w="3500" w:type="pct"/>
            <w:shd w:val="clear" w:color="auto" w:fill="auto"/>
          </w:tcPr>
          <w:p w14:paraId="55074E5E" w14:textId="77777777" w:rsidR="00E93F58" w:rsidRPr="00576D60" w:rsidRDefault="00E93F58" w:rsidP="003D2B1E">
            <w:pPr>
              <w:pStyle w:val="ENoteTableText"/>
            </w:pPr>
            <w:r w:rsidRPr="00576D60">
              <w:t>ad. No. 117, 2013</w:t>
            </w:r>
          </w:p>
        </w:tc>
      </w:tr>
      <w:tr w:rsidR="00E93F58" w:rsidRPr="00576D60" w14:paraId="4F8162D0" w14:textId="77777777" w:rsidTr="002F32E3">
        <w:trPr>
          <w:cantSplit/>
        </w:trPr>
        <w:tc>
          <w:tcPr>
            <w:tcW w:w="1500" w:type="pct"/>
            <w:shd w:val="clear" w:color="auto" w:fill="auto"/>
          </w:tcPr>
          <w:p w14:paraId="4F824D28" w14:textId="77777777" w:rsidR="00E93F58" w:rsidRPr="00576D60" w:rsidRDefault="00E93F58" w:rsidP="003D2B1E">
            <w:pPr>
              <w:pStyle w:val="ENoteTableText"/>
              <w:tabs>
                <w:tab w:val="left" w:leader="dot" w:pos="2268"/>
              </w:tabs>
            </w:pPr>
            <w:r w:rsidRPr="00576D60">
              <w:t>r. 9.7.01</w:t>
            </w:r>
            <w:r w:rsidRPr="00576D60">
              <w:tab/>
            </w:r>
          </w:p>
        </w:tc>
        <w:tc>
          <w:tcPr>
            <w:tcW w:w="3500" w:type="pct"/>
            <w:shd w:val="clear" w:color="auto" w:fill="auto"/>
          </w:tcPr>
          <w:p w14:paraId="54D6CCF3" w14:textId="77777777" w:rsidR="00E93F58" w:rsidRPr="00576D60" w:rsidRDefault="00E93F58" w:rsidP="003D2B1E">
            <w:pPr>
              <w:pStyle w:val="ENoteTableText"/>
            </w:pPr>
            <w:r w:rsidRPr="00576D60">
              <w:t>ad. No. 117, 2013</w:t>
            </w:r>
          </w:p>
        </w:tc>
      </w:tr>
      <w:tr w:rsidR="00E93F58" w:rsidRPr="00576D60" w14:paraId="0E40D37D" w14:textId="77777777" w:rsidTr="002F32E3">
        <w:trPr>
          <w:cantSplit/>
        </w:trPr>
        <w:tc>
          <w:tcPr>
            <w:tcW w:w="1500" w:type="pct"/>
            <w:shd w:val="clear" w:color="auto" w:fill="auto"/>
          </w:tcPr>
          <w:p w14:paraId="31B8ABEA" w14:textId="77777777" w:rsidR="00E93F58" w:rsidRPr="00576D60" w:rsidRDefault="00E93F58" w:rsidP="003D2B1E">
            <w:pPr>
              <w:pStyle w:val="ENoteTableText"/>
              <w:tabs>
                <w:tab w:val="left" w:leader="dot" w:pos="2268"/>
              </w:tabs>
              <w:rPr>
                <w:b/>
              </w:rPr>
            </w:pPr>
            <w:r w:rsidRPr="00576D60">
              <w:rPr>
                <w:b/>
              </w:rPr>
              <w:t>Part 9.10</w:t>
            </w:r>
          </w:p>
        </w:tc>
        <w:tc>
          <w:tcPr>
            <w:tcW w:w="3500" w:type="pct"/>
            <w:shd w:val="clear" w:color="auto" w:fill="auto"/>
          </w:tcPr>
          <w:p w14:paraId="14A80E7F" w14:textId="77777777" w:rsidR="00E93F58" w:rsidRPr="00576D60" w:rsidRDefault="00E93F58" w:rsidP="003D2B1E">
            <w:pPr>
              <w:pStyle w:val="ENoteTableText"/>
            </w:pPr>
          </w:p>
        </w:tc>
      </w:tr>
      <w:tr w:rsidR="00E93F58" w:rsidRPr="00576D60" w14:paraId="340ED0BD" w14:textId="77777777" w:rsidTr="002F32E3">
        <w:trPr>
          <w:cantSplit/>
        </w:trPr>
        <w:tc>
          <w:tcPr>
            <w:tcW w:w="1500" w:type="pct"/>
            <w:shd w:val="clear" w:color="auto" w:fill="auto"/>
          </w:tcPr>
          <w:p w14:paraId="67FE2279" w14:textId="77777777" w:rsidR="00E93F58" w:rsidRPr="00576D60" w:rsidRDefault="00E93F58" w:rsidP="003D2B1E">
            <w:pPr>
              <w:pStyle w:val="ENoteTableText"/>
              <w:tabs>
                <w:tab w:val="left" w:leader="dot" w:pos="2268"/>
              </w:tabs>
            </w:pPr>
            <w:r w:rsidRPr="00576D60">
              <w:t>Part 9.10</w:t>
            </w:r>
            <w:r w:rsidRPr="00576D60">
              <w:tab/>
            </w:r>
          </w:p>
        </w:tc>
        <w:tc>
          <w:tcPr>
            <w:tcW w:w="3500" w:type="pct"/>
            <w:shd w:val="clear" w:color="auto" w:fill="auto"/>
          </w:tcPr>
          <w:p w14:paraId="1B7D616A" w14:textId="77777777" w:rsidR="00E93F58" w:rsidRPr="00576D60" w:rsidRDefault="00E93F58" w:rsidP="003D2B1E">
            <w:pPr>
              <w:pStyle w:val="ENoteTableText"/>
            </w:pPr>
            <w:r w:rsidRPr="00576D60">
              <w:t>ad F2019L00392</w:t>
            </w:r>
          </w:p>
        </w:tc>
      </w:tr>
      <w:tr w:rsidR="00E93F58" w:rsidRPr="00576D60" w14:paraId="420ED470" w14:textId="77777777" w:rsidTr="002F32E3">
        <w:trPr>
          <w:cantSplit/>
        </w:trPr>
        <w:tc>
          <w:tcPr>
            <w:tcW w:w="1500" w:type="pct"/>
            <w:shd w:val="clear" w:color="auto" w:fill="auto"/>
          </w:tcPr>
          <w:p w14:paraId="376AA319" w14:textId="77777777" w:rsidR="00E93F58" w:rsidRPr="00576D60" w:rsidRDefault="00E93F58" w:rsidP="003D2B1E">
            <w:pPr>
              <w:pStyle w:val="ENoteTableText"/>
              <w:tabs>
                <w:tab w:val="left" w:leader="dot" w:pos="2268"/>
              </w:tabs>
            </w:pPr>
            <w:r w:rsidRPr="00576D60">
              <w:t>r 9.10.01</w:t>
            </w:r>
            <w:r w:rsidRPr="00576D60">
              <w:tab/>
            </w:r>
          </w:p>
        </w:tc>
        <w:tc>
          <w:tcPr>
            <w:tcW w:w="3500" w:type="pct"/>
            <w:shd w:val="clear" w:color="auto" w:fill="auto"/>
          </w:tcPr>
          <w:p w14:paraId="10FFD804" w14:textId="77777777" w:rsidR="00E93F58" w:rsidRPr="00576D60" w:rsidRDefault="00E93F58" w:rsidP="003D2B1E">
            <w:pPr>
              <w:pStyle w:val="ENoteTableText"/>
            </w:pPr>
            <w:r w:rsidRPr="00576D60">
              <w:t>ad F2019L00392</w:t>
            </w:r>
          </w:p>
        </w:tc>
      </w:tr>
      <w:tr w:rsidR="00E93F58" w:rsidRPr="00576D60" w14:paraId="4D2FDE39" w14:textId="77777777" w:rsidTr="002F32E3">
        <w:trPr>
          <w:cantSplit/>
        </w:trPr>
        <w:tc>
          <w:tcPr>
            <w:tcW w:w="1500" w:type="pct"/>
            <w:shd w:val="clear" w:color="auto" w:fill="auto"/>
          </w:tcPr>
          <w:p w14:paraId="4DF8B55D" w14:textId="77777777" w:rsidR="00E93F58" w:rsidRPr="00576D60" w:rsidRDefault="00E93F58" w:rsidP="003D2B1E">
            <w:pPr>
              <w:pStyle w:val="ENoteTableText"/>
              <w:tabs>
                <w:tab w:val="left" w:leader="dot" w:pos="2268"/>
              </w:tabs>
            </w:pPr>
          </w:p>
        </w:tc>
        <w:tc>
          <w:tcPr>
            <w:tcW w:w="3500" w:type="pct"/>
            <w:shd w:val="clear" w:color="auto" w:fill="auto"/>
          </w:tcPr>
          <w:p w14:paraId="5952811B" w14:textId="77777777" w:rsidR="00E93F58" w:rsidRPr="00576D60" w:rsidRDefault="00E93F58" w:rsidP="003D2B1E">
            <w:pPr>
              <w:pStyle w:val="ENoteTableText"/>
            </w:pPr>
            <w:r w:rsidRPr="00576D60">
              <w:t>am F2022L01689</w:t>
            </w:r>
          </w:p>
        </w:tc>
      </w:tr>
      <w:tr w:rsidR="00E93F58" w:rsidRPr="00576D60" w14:paraId="1CB30376" w14:textId="77777777" w:rsidTr="002F32E3">
        <w:trPr>
          <w:cantSplit/>
        </w:trPr>
        <w:tc>
          <w:tcPr>
            <w:tcW w:w="1500" w:type="pct"/>
            <w:shd w:val="clear" w:color="auto" w:fill="auto"/>
          </w:tcPr>
          <w:p w14:paraId="406CFC63" w14:textId="77777777" w:rsidR="00E93F58" w:rsidRPr="00576D60" w:rsidRDefault="00E93F58" w:rsidP="003D2B1E">
            <w:pPr>
              <w:pStyle w:val="ENoteTableText"/>
              <w:tabs>
                <w:tab w:val="left" w:leader="dot" w:pos="2268"/>
              </w:tabs>
              <w:rPr>
                <w:b/>
              </w:rPr>
            </w:pPr>
            <w:r w:rsidRPr="00576D60">
              <w:rPr>
                <w:b/>
              </w:rPr>
              <w:t>Part 9.12</w:t>
            </w:r>
          </w:p>
        </w:tc>
        <w:tc>
          <w:tcPr>
            <w:tcW w:w="3500" w:type="pct"/>
            <w:shd w:val="clear" w:color="auto" w:fill="auto"/>
          </w:tcPr>
          <w:p w14:paraId="301B26FA" w14:textId="77777777" w:rsidR="00E93F58" w:rsidRPr="00576D60" w:rsidRDefault="00E93F58" w:rsidP="003D2B1E">
            <w:pPr>
              <w:pStyle w:val="ENoteTableText"/>
              <w:keepNext/>
              <w:keepLines/>
            </w:pPr>
          </w:p>
        </w:tc>
      </w:tr>
      <w:tr w:rsidR="00E93F58" w:rsidRPr="00576D60" w14:paraId="59B6234C" w14:textId="77777777" w:rsidTr="002F32E3">
        <w:trPr>
          <w:cantSplit/>
        </w:trPr>
        <w:tc>
          <w:tcPr>
            <w:tcW w:w="1500" w:type="pct"/>
            <w:shd w:val="clear" w:color="auto" w:fill="auto"/>
          </w:tcPr>
          <w:p w14:paraId="1A989A04" w14:textId="77777777" w:rsidR="00E93F58" w:rsidRPr="00576D60" w:rsidRDefault="00E93F58" w:rsidP="003D2B1E">
            <w:pPr>
              <w:pStyle w:val="ENoteTableText"/>
              <w:tabs>
                <w:tab w:val="left" w:leader="dot" w:pos="2268"/>
              </w:tabs>
            </w:pPr>
            <w:r w:rsidRPr="00576D60">
              <w:t>Part 9.12</w:t>
            </w:r>
            <w:r w:rsidRPr="00576D60">
              <w:tab/>
            </w:r>
          </w:p>
        </w:tc>
        <w:tc>
          <w:tcPr>
            <w:tcW w:w="3500" w:type="pct"/>
            <w:shd w:val="clear" w:color="auto" w:fill="auto"/>
          </w:tcPr>
          <w:p w14:paraId="6B593E41" w14:textId="77777777" w:rsidR="00E93F58" w:rsidRPr="00576D60" w:rsidRDefault="00E93F58" w:rsidP="003D2B1E">
            <w:pPr>
              <w:pStyle w:val="ENoteTableText"/>
            </w:pPr>
            <w:r w:rsidRPr="00576D60">
              <w:t>ad. 2002 No. 16</w:t>
            </w:r>
          </w:p>
        </w:tc>
      </w:tr>
      <w:tr w:rsidR="00E93F58" w:rsidRPr="00576D60" w14:paraId="03E14894" w14:textId="77777777" w:rsidTr="002F32E3">
        <w:trPr>
          <w:cantSplit/>
        </w:trPr>
        <w:tc>
          <w:tcPr>
            <w:tcW w:w="1500" w:type="pct"/>
            <w:shd w:val="clear" w:color="auto" w:fill="auto"/>
          </w:tcPr>
          <w:p w14:paraId="3B74F2CD" w14:textId="77777777" w:rsidR="00E93F58" w:rsidRPr="00576D60" w:rsidRDefault="00E93F58" w:rsidP="003D2B1E">
            <w:pPr>
              <w:pStyle w:val="ENoteTableText"/>
              <w:tabs>
                <w:tab w:val="left" w:leader="dot" w:pos="2268"/>
              </w:tabs>
            </w:pPr>
            <w:r w:rsidRPr="00576D60">
              <w:t>Heading to r. 9.12.01</w:t>
            </w:r>
            <w:r w:rsidRPr="00576D60">
              <w:tab/>
            </w:r>
          </w:p>
        </w:tc>
        <w:tc>
          <w:tcPr>
            <w:tcW w:w="3500" w:type="pct"/>
            <w:shd w:val="clear" w:color="auto" w:fill="auto"/>
          </w:tcPr>
          <w:p w14:paraId="1093744C" w14:textId="77777777" w:rsidR="00E93F58" w:rsidRPr="00576D60" w:rsidRDefault="00E93F58" w:rsidP="003D2B1E">
            <w:pPr>
              <w:pStyle w:val="ENoteTableText"/>
            </w:pPr>
            <w:r w:rsidRPr="00576D60">
              <w:t>rs. 2002 No. 41</w:t>
            </w:r>
          </w:p>
        </w:tc>
      </w:tr>
      <w:tr w:rsidR="00E93F58" w:rsidRPr="00576D60" w14:paraId="6C86F79A" w14:textId="77777777" w:rsidTr="002F32E3">
        <w:trPr>
          <w:cantSplit/>
        </w:trPr>
        <w:tc>
          <w:tcPr>
            <w:tcW w:w="1500" w:type="pct"/>
            <w:shd w:val="clear" w:color="auto" w:fill="auto"/>
          </w:tcPr>
          <w:p w14:paraId="74A9F562" w14:textId="77777777" w:rsidR="00E93F58" w:rsidRPr="00576D60" w:rsidRDefault="00E93F58" w:rsidP="003D2B1E">
            <w:pPr>
              <w:pStyle w:val="ENoteTableText"/>
              <w:tabs>
                <w:tab w:val="left" w:leader="dot" w:pos="2268"/>
              </w:tabs>
            </w:pPr>
            <w:r w:rsidRPr="00576D60">
              <w:t>r. 9.12.01</w:t>
            </w:r>
            <w:r w:rsidRPr="00576D60">
              <w:tab/>
            </w:r>
          </w:p>
        </w:tc>
        <w:tc>
          <w:tcPr>
            <w:tcW w:w="3500" w:type="pct"/>
            <w:shd w:val="clear" w:color="auto" w:fill="auto"/>
          </w:tcPr>
          <w:p w14:paraId="3737A378" w14:textId="77777777" w:rsidR="00E93F58" w:rsidRPr="00576D60" w:rsidRDefault="00E93F58" w:rsidP="003D2B1E">
            <w:pPr>
              <w:pStyle w:val="ENoteTableText"/>
            </w:pPr>
            <w:r w:rsidRPr="00576D60">
              <w:t>ad. 2002 No. 16</w:t>
            </w:r>
          </w:p>
        </w:tc>
      </w:tr>
      <w:tr w:rsidR="00E93F58" w:rsidRPr="00576D60" w14:paraId="55251966" w14:textId="77777777" w:rsidTr="002F32E3">
        <w:trPr>
          <w:cantSplit/>
        </w:trPr>
        <w:tc>
          <w:tcPr>
            <w:tcW w:w="1500" w:type="pct"/>
            <w:shd w:val="clear" w:color="auto" w:fill="auto"/>
          </w:tcPr>
          <w:p w14:paraId="10D5B3F4" w14:textId="77777777" w:rsidR="00E93F58" w:rsidRPr="00576D60" w:rsidRDefault="00E93F58" w:rsidP="003D2B1E">
            <w:pPr>
              <w:pStyle w:val="ENoteTableText"/>
              <w:tabs>
                <w:tab w:val="left" w:leader="dot" w:pos="2268"/>
              </w:tabs>
            </w:pPr>
            <w:r w:rsidRPr="00576D60">
              <w:t>r 9.12.02</w:t>
            </w:r>
            <w:r w:rsidRPr="00576D60">
              <w:tab/>
            </w:r>
          </w:p>
        </w:tc>
        <w:tc>
          <w:tcPr>
            <w:tcW w:w="3500" w:type="pct"/>
            <w:shd w:val="clear" w:color="auto" w:fill="auto"/>
          </w:tcPr>
          <w:p w14:paraId="7165456B" w14:textId="77777777" w:rsidR="00E93F58" w:rsidRPr="00576D60" w:rsidRDefault="00E93F58" w:rsidP="003D2B1E">
            <w:pPr>
              <w:pStyle w:val="ENoteTableText"/>
            </w:pPr>
            <w:r w:rsidRPr="00576D60">
              <w:t>ad No 41, 2002</w:t>
            </w:r>
          </w:p>
        </w:tc>
      </w:tr>
      <w:tr w:rsidR="00E93F58" w:rsidRPr="00576D60" w14:paraId="1CCC97EE" w14:textId="77777777" w:rsidTr="002F32E3">
        <w:trPr>
          <w:cantSplit/>
        </w:trPr>
        <w:tc>
          <w:tcPr>
            <w:tcW w:w="1500" w:type="pct"/>
            <w:shd w:val="clear" w:color="auto" w:fill="auto"/>
          </w:tcPr>
          <w:p w14:paraId="0B4C3DE4" w14:textId="77777777" w:rsidR="00E93F58" w:rsidRPr="00576D60" w:rsidRDefault="00E93F58" w:rsidP="003D2B1E">
            <w:pPr>
              <w:pStyle w:val="ENoteTableText"/>
              <w:tabs>
                <w:tab w:val="left" w:leader="dot" w:pos="2268"/>
              </w:tabs>
            </w:pPr>
          </w:p>
        </w:tc>
        <w:tc>
          <w:tcPr>
            <w:tcW w:w="3500" w:type="pct"/>
            <w:shd w:val="clear" w:color="auto" w:fill="auto"/>
          </w:tcPr>
          <w:p w14:paraId="06EF1385" w14:textId="77777777" w:rsidR="00E93F58" w:rsidRPr="00576D60" w:rsidRDefault="00E93F58" w:rsidP="003D2B1E">
            <w:pPr>
              <w:pStyle w:val="ENoteTableText"/>
            </w:pPr>
            <w:r w:rsidRPr="00576D60">
              <w:t>rep No 145, 2002</w:t>
            </w:r>
          </w:p>
        </w:tc>
      </w:tr>
      <w:tr w:rsidR="00E93F58" w:rsidRPr="00576D60" w14:paraId="0E92C89A" w14:textId="77777777" w:rsidTr="002F32E3">
        <w:trPr>
          <w:cantSplit/>
        </w:trPr>
        <w:tc>
          <w:tcPr>
            <w:tcW w:w="1500" w:type="pct"/>
            <w:shd w:val="clear" w:color="auto" w:fill="auto"/>
          </w:tcPr>
          <w:p w14:paraId="6FED4B4B" w14:textId="77777777" w:rsidR="00E93F58" w:rsidRPr="00576D60" w:rsidRDefault="00E93F58" w:rsidP="003D2B1E">
            <w:pPr>
              <w:pStyle w:val="ENoteTableText"/>
              <w:tabs>
                <w:tab w:val="left" w:leader="dot" w:pos="2268"/>
              </w:tabs>
            </w:pPr>
          </w:p>
        </w:tc>
        <w:tc>
          <w:tcPr>
            <w:tcW w:w="3500" w:type="pct"/>
            <w:shd w:val="clear" w:color="auto" w:fill="auto"/>
          </w:tcPr>
          <w:p w14:paraId="7D6E612C" w14:textId="77777777" w:rsidR="00E93F58" w:rsidRPr="00576D60" w:rsidRDefault="00E93F58" w:rsidP="003D2B1E">
            <w:pPr>
              <w:pStyle w:val="ENoteTableText"/>
            </w:pPr>
            <w:r w:rsidRPr="00576D60">
              <w:t>ad No 182, 2002</w:t>
            </w:r>
          </w:p>
        </w:tc>
      </w:tr>
      <w:tr w:rsidR="00E93F58" w:rsidRPr="00576D60" w14:paraId="105AAD5E" w14:textId="77777777" w:rsidTr="002F32E3">
        <w:trPr>
          <w:cantSplit/>
        </w:trPr>
        <w:tc>
          <w:tcPr>
            <w:tcW w:w="1500" w:type="pct"/>
            <w:shd w:val="clear" w:color="auto" w:fill="auto"/>
          </w:tcPr>
          <w:p w14:paraId="302679EA" w14:textId="77777777" w:rsidR="00E93F58" w:rsidRPr="00576D60" w:rsidRDefault="00E93F58" w:rsidP="003D2B1E">
            <w:pPr>
              <w:pStyle w:val="ENoteTableText"/>
              <w:tabs>
                <w:tab w:val="left" w:leader="dot" w:pos="2268"/>
              </w:tabs>
            </w:pPr>
          </w:p>
        </w:tc>
        <w:tc>
          <w:tcPr>
            <w:tcW w:w="3500" w:type="pct"/>
            <w:shd w:val="clear" w:color="auto" w:fill="auto"/>
          </w:tcPr>
          <w:p w14:paraId="4F1FC1CD" w14:textId="77777777" w:rsidR="00E93F58" w:rsidRPr="00576D60" w:rsidRDefault="00E93F58" w:rsidP="003D2B1E">
            <w:pPr>
              <w:pStyle w:val="ENoteTableText"/>
            </w:pPr>
            <w:r w:rsidRPr="00576D60">
              <w:t>am No 364, 2007; F2022L01689</w:t>
            </w:r>
            <w:r>
              <w:t>; F2023L01458</w:t>
            </w:r>
          </w:p>
        </w:tc>
      </w:tr>
      <w:tr w:rsidR="00E93F58" w:rsidRPr="00576D60" w14:paraId="6A1902E4" w14:textId="77777777" w:rsidTr="002F32E3">
        <w:trPr>
          <w:cantSplit/>
        </w:trPr>
        <w:tc>
          <w:tcPr>
            <w:tcW w:w="1500" w:type="pct"/>
            <w:shd w:val="clear" w:color="auto" w:fill="auto"/>
          </w:tcPr>
          <w:p w14:paraId="01B9A51A" w14:textId="77777777" w:rsidR="00E93F58" w:rsidRPr="00576D60" w:rsidRDefault="00E93F58" w:rsidP="003D2B1E">
            <w:pPr>
              <w:pStyle w:val="ENoteTableText"/>
              <w:tabs>
                <w:tab w:val="left" w:leader="dot" w:pos="2268"/>
              </w:tabs>
            </w:pPr>
            <w:r w:rsidRPr="00576D60">
              <w:t>r. 9.12.03</w:t>
            </w:r>
            <w:r w:rsidRPr="00576D60">
              <w:tab/>
            </w:r>
          </w:p>
        </w:tc>
        <w:tc>
          <w:tcPr>
            <w:tcW w:w="3500" w:type="pct"/>
            <w:shd w:val="clear" w:color="auto" w:fill="auto"/>
          </w:tcPr>
          <w:p w14:paraId="49FF8187" w14:textId="77777777" w:rsidR="00E93F58" w:rsidRPr="00576D60" w:rsidRDefault="00E93F58" w:rsidP="003D2B1E">
            <w:pPr>
              <w:pStyle w:val="ENoteTableText"/>
            </w:pPr>
            <w:r w:rsidRPr="00576D60">
              <w:t>ad. 2002 No. 41</w:t>
            </w:r>
          </w:p>
        </w:tc>
      </w:tr>
      <w:tr w:rsidR="00E93F58" w:rsidRPr="00576D60" w14:paraId="06049F7B" w14:textId="77777777" w:rsidTr="002F32E3">
        <w:trPr>
          <w:cantSplit/>
        </w:trPr>
        <w:tc>
          <w:tcPr>
            <w:tcW w:w="1500" w:type="pct"/>
            <w:shd w:val="clear" w:color="auto" w:fill="auto"/>
          </w:tcPr>
          <w:p w14:paraId="5C90D66B" w14:textId="77777777" w:rsidR="00E93F58" w:rsidRPr="00576D60" w:rsidRDefault="00E93F58" w:rsidP="003D2B1E">
            <w:pPr>
              <w:pStyle w:val="ENoteTableText"/>
            </w:pPr>
          </w:p>
        </w:tc>
        <w:tc>
          <w:tcPr>
            <w:tcW w:w="3500" w:type="pct"/>
            <w:shd w:val="clear" w:color="auto" w:fill="auto"/>
          </w:tcPr>
          <w:p w14:paraId="3B7EAECC" w14:textId="77777777" w:rsidR="00E93F58" w:rsidRPr="00576D60" w:rsidRDefault="00E93F58" w:rsidP="003D2B1E">
            <w:pPr>
              <w:pStyle w:val="ENoteTableText"/>
            </w:pPr>
            <w:r w:rsidRPr="00576D60">
              <w:t>rep. 2002 No. 145</w:t>
            </w:r>
          </w:p>
        </w:tc>
      </w:tr>
      <w:tr w:rsidR="00E93F58" w:rsidRPr="00576D60" w14:paraId="053CE6A9" w14:textId="77777777" w:rsidTr="002F32E3">
        <w:trPr>
          <w:cantSplit/>
        </w:trPr>
        <w:tc>
          <w:tcPr>
            <w:tcW w:w="1500" w:type="pct"/>
            <w:shd w:val="clear" w:color="auto" w:fill="auto"/>
          </w:tcPr>
          <w:p w14:paraId="7A66DD37" w14:textId="77777777" w:rsidR="00E93F58" w:rsidRPr="00576D60" w:rsidRDefault="00E93F58" w:rsidP="003D2B1E">
            <w:pPr>
              <w:pStyle w:val="ENoteTableText"/>
            </w:pPr>
          </w:p>
        </w:tc>
        <w:tc>
          <w:tcPr>
            <w:tcW w:w="3500" w:type="pct"/>
            <w:shd w:val="clear" w:color="auto" w:fill="auto"/>
          </w:tcPr>
          <w:p w14:paraId="57417546" w14:textId="77777777" w:rsidR="00E93F58" w:rsidRPr="00576D60" w:rsidRDefault="00E93F58" w:rsidP="003D2B1E">
            <w:pPr>
              <w:pStyle w:val="ENoteTableText"/>
            </w:pPr>
            <w:r w:rsidRPr="00576D60">
              <w:t>ad. 2003 No. 367</w:t>
            </w:r>
          </w:p>
        </w:tc>
      </w:tr>
      <w:tr w:rsidR="00E93F58" w:rsidRPr="00576D60" w14:paraId="6F6E83E0" w14:textId="77777777" w:rsidTr="002F32E3">
        <w:trPr>
          <w:cantSplit/>
        </w:trPr>
        <w:tc>
          <w:tcPr>
            <w:tcW w:w="1500" w:type="pct"/>
            <w:shd w:val="clear" w:color="auto" w:fill="auto"/>
          </w:tcPr>
          <w:p w14:paraId="0C6987E9" w14:textId="77777777" w:rsidR="00E93F58" w:rsidRPr="00576D60" w:rsidRDefault="00E93F58" w:rsidP="003D2B1E">
            <w:pPr>
              <w:pStyle w:val="ENoteTableText"/>
            </w:pPr>
            <w:r w:rsidRPr="00576D60">
              <w:t>r 9.12.03A (prev r 9.12.04 first</w:t>
            </w:r>
            <w:r w:rsidRPr="00576D60">
              <w:br/>
              <w:t>occurring)</w:t>
            </w:r>
          </w:p>
        </w:tc>
        <w:tc>
          <w:tcPr>
            <w:tcW w:w="3500" w:type="pct"/>
            <w:shd w:val="clear" w:color="auto" w:fill="auto"/>
          </w:tcPr>
          <w:p w14:paraId="478FB70F" w14:textId="77777777" w:rsidR="00E93F58" w:rsidRPr="00576D60" w:rsidRDefault="00E93F58" w:rsidP="003D2B1E">
            <w:pPr>
              <w:pStyle w:val="ENoteTableText"/>
            </w:pPr>
          </w:p>
        </w:tc>
      </w:tr>
      <w:tr w:rsidR="00E93F58" w:rsidRPr="00576D60" w14:paraId="45E83496" w14:textId="77777777" w:rsidTr="002F32E3">
        <w:trPr>
          <w:cantSplit/>
        </w:trPr>
        <w:tc>
          <w:tcPr>
            <w:tcW w:w="1500" w:type="pct"/>
            <w:shd w:val="clear" w:color="auto" w:fill="auto"/>
          </w:tcPr>
          <w:p w14:paraId="7DC628E0" w14:textId="77777777" w:rsidR="00E93F58" w:rsidRPr="00576D60" w:rsidRDefault="00E93F58" w:rsidP="003D2B1E">
            <w:pPr>
              <w:pStyle w:val="ENoteTableText"/>
              <w:tabs>
                <w:tab w:val="left" w:leader="dot" w:pos="2268"/>
              </w:tabs>
            </w:pPr>
            <w:r w:rsidRPr="00576D60">
              <w:t>r 9.12.04 (first occurring)</w:t>
            </w:r>
            <w:r w:rsidRPr="00576D60">
              <w:tab/>
            </w:r>
          </w:p>
        </w:tc>
        <w:tc>
          <w:tcPr>
            <w:tcW w:w="3500" w:type="pct"/>
            <w:shd w:val="clear" w:color="auto" w:fill="auto"/>
          </w:tcPr>
          <w:p w14:paraId="361B06FF" w14:textId="77777777" w:rsidR="00E93F58" w:rsidRPr="00576D60" w:rsidRDefault="00E93F58" w:rsidP="003D2B1E">
            <w:pPr>
              <w:pStyle w:val="ENoteTableText"/>
            </w:pPr>
            <w:r w:rsidRPr="00576D60">
              <w:t>ad No 83, 2013</w:t>
            </w:r>
          </w:p>
        </w:tc>
      </w:tr>
      <w:tr w:rsidR="00E93F58" w:rsidRPr="00576D60" w14:paraId="27BA694B" w14:textId="77777777" w:rsidTr="002F32E3">
        <w:trPr>
          <w:cantSplit/>
        </w:trPr>
        <w:tc>
          <w:tcPr>
            <w:tcW w:w="1500" w:type="pct"/>
            <w:shd w:val="clear" w:color="auto" w:fill="auto"/>
          </w:tcPr>
          <w:p w14:paraId="7836310F" w14:textId="77777777" w:rsidR="00E93F58" w:rsidRPr="00576D60" w:rsidRDefault="00E93F58" w:rsidP="003D2B1E">
            <w:pPr>
              <w:pStyle w:val="ENoteTableText"/>
              <w:tabs>
                <w:tab w:val="left" w:leader="dot" w:pos="2268"/>
              </w:tabs>
            </w:pPr>
          </w:p>
        </w:tc>
        <w:tc>
          <w:tcPr>
            <w:tcW w:w="3500" w:type="pct"/>
            <w:shd w:val="clear" w:color="auto" w:fill="auto"/>
          </w:tcPr>
          <w:p w14:paraId="52051318" w14:textId="77777777" w:rsidR="00E93F58" w:rsidRPr="00576D60" w:rsidRDefault="00E93F58" w:rsidP="003D2B1E">
            <w:pPr>
              <w:pStyle w:val="ENoteTableText"/>
            </w:pPr>
            <w:r w:rsidRPr="00576D60">
              <w:t>renum F2022L01627</w:t>
            </w:r>
          </w:p>
        </w:tc>
      </w:tr>
      <w:tr w:rsidR="00E93F58" w:rsidRPr="00576D60" w14:paraId="6C3F7DF9" w14:textId="77777777" w:rsidTr="002F32E3">
        <w:trPr>
          <w:cantSplit/>
        </w:trPr>
        <w:tc>
          <w:tcPr>
            <w:tcW w:w="1500" w:type="pct"/>
            <w:shd w:val="clear" w:color="auto" w:fill="auto"/>
          </w:tcPr>
          <w:p w14:paraId="35663977" w14:textId="77777777" w:rsidR="00E93F58" w:rsidRPr="00576D60" w:rsidRDefault="00E93F58" w:rsidP="003D2B1E">
            <w:pPr>
              <w:pStyle w:val="ENoteTableText"/>
              <w:tabs>
                <w:tab w:val="left" w:leader="dot" w:pos="2268"/>
              </w:tabs>
            </w:pPr>
            <w:r w:rsidRPr="00576D60">
              <w:t>r. 9.12.04 (second occurring)</w:t>
            </w:r>
            <w:r w:rsidRPr="00576D60">
              <w:tab/>
            </w:r>
          </w:p>
        </w:tc>
        <w:tc>
          <w:tcPr>
            <w:tcW w:w="3500" w:type="pct"/>
            <w:shd w:val="clear" w:color="auto" w:fill="auto"/>
          </w:tcPr>
          <w:p w14:paraId="2DB74E31" w14:textId="77777777" w:rsidR="00E93F58" w:rsidRPr="00576D60" w:rsidRDefault="00E93F58" w:rsidP="003D2B1E">
            <w:pPr>
              <w:pStyle w:val="ENoteTableText"/>
            </w:pPr>
            <w:r w:rsidRPr="00576D60">
              <w:t>ad No 41, 2002</w:t>
            </w:r>
          </w:p>
        </w:tc>
      </w:tr>
      <w:tr w:rsidR="00E93F58" w:rsidRPr="00576D60" w14:paraId="681D7784" w14:textId="77777777" w:rsidTr="002F32E3">
        <w:trPr>
          <w:cantSplit/>
        </w:trPr>
        <w:tc>
          <w:tcPr>
            <w:tcW w:w="1500" w:type="pct"/>
            <w:shd w:val="clear" w:color="auto" w:fill="auto"/>
          </w:tcPr>
          <w:p w14:paraId="5AD0A0EF" w14:textId="77777777" w:rsidR="00E93F58" w:rsidRPr="00576D60" w:rsidRDefault="00E93F58" w:rsidP="003D2B1E">
            <w:pPr>
              <w:pStyle w:val="ENoteTableText"/>
              <w:tabs>
                <w:tab w:val="left" w:leader="dot" w:pos="2268"/>
              </w:tabs>
            </w:pPr>
          </w:p>
        </w:tc>
        <w:tc>
          <w:tcPr>
            <w:tcW w:w="3500" w:type="pct"/>
            <w:shd w:val="clear" w:color="auto" w:fill="auto"/>
          </w:tcPr>
          <w:p w14:paraId="10BAC4D2" w14:textId="77777777" w:rsidR="00E93F58" w:rsidRPr="00576D60" w:rsidRDefault="00E93F58" w:rsidP="003D2B1E">
            <w:pPr>
              <w:pStyle w:val="ENoteTableText"/>
            </w:pPr>
            <w:r w:rsidRPr="00576D60">
              <w:t>rep No 145, 2002</w:t>
            </w:r>
          </w:p>
        </w:tc>
      </w:tr>
      <w:tr w:rsidR="00E93F58" w:rsidRPr="00576D60" w14:paraId="059C8AB6" w14:textId="77777777" w:rsidTr="002F32E3">
        <w:trPr>
          <w:cantSplit/>
        </w:trPr>
        <w:tc>
          <w:tcPr>
            <w:tcW w:w="1500" w:type="pct"/>
            <w:shd w:val="clear" w:color="auto" w:fill="auto"/>
          </w:tcPr>
          <w:p w14:paraId="4D7EEAE1" w14:textId="77777777" w:rsidR="00E93F58" w:rsidRPr="00576D60" w:rsidRDefault="00E93F58" w:rsidP="003D2B1E">
            <w:pPr>
              <w:pStyle w:val="ENoteTableText"/>
            </w:pPr>
          </w:p>
        </w:tc>
        <w:tc>
          <w:tcPr>
            <w:tcW w:w="3500" w:type="pct"/>
            <w:shd w:val="clear" w:color="auto" w:fill="auto"/>
          </w:tcPr>
          <w:p w14:paraId="1905911B" w14:textId="77777777" w:rsidR="00E93F58" w:rsidRPr="00576D60" w:rsidRDefault="00E93F58" w:rsidP="003D2B1E">
            <w:pPr>
              <w:pStyle w:val="ENoteTableText"/>
            </w:pPr>
            <w:r w:rsidRPr="00576D60">
              <w:t>ad No 59, 2013</w:t>
            </w:r>
          </w:p>
        </w:tc>
      </w:tr>
      <w:tr w:rsidR="00E93F58" w:rsidRPr="00576D60" w14:paraId="0E06935A" w14:textId="77777777" w:rsidTr="002F32E3">
        <w:trPr>
          <w:cantSplit/>
        </w:trPr>
        <w:tc>
          <w:tcPr>
            <w:tcW w:w="1500" w:type="pct"/>
            <w:shd w:val="clear" w:color="auto" w:fill="auto"/>
          </w:tcPr>
          <w:p w14:paraId="618209AF" w14:textId="77777777" w:rsidR="00E93F58" w:rsidRPr="00576D60" w:rsidRDefault="00E93F58" w:rsidP="003D2B1E">
            <w:pPr>
              <w:pStyle w:val="ENoteTableText"/>
              <w:tabs>
                <w:tab w:val="left" w:leader="dot" w:pos="2268"/>
              </w:tabs>
            </w:pPr>
            <w:r w:rsidRPr="00576D60">
              <w:t>r 9.12.05</w:t>
            </w:r>
            <w:r w:rsidRPr="00576D60">
              <w:tab/>
            </w:r>
          </w:p>
        </w:tc>
        <w:tc>
          <w:tcPr>
            <w:tcW w:w="3500" w:type="pct"/>
            <w:shd w:val="clear" w:color="auto" w:fill="auto"/>
          </w:tcPr>
          <w:p w14:paraId="54BA66CC" w14:textId="77777777" w:rsidR="00E93F58" w:rsidRPr="00576D60" w:rsidRDefault="00E93F58" w:rsidP="003D2B1E">
            <w:pPr>
              <w:pStyle w:val="ENoteTableText"/>
            </w:pPr>
            <w:r w:rsidRPr="00576D60">
              <w:t>ad No 33, 2014</w:t>
            </w:r>
          </w:p>
        </w:tc>
      </w:tr>
      <w:tr w:rsidR="00E93F58" w:rsidRPr="00576D60" w14:paraId="70EAAA15" w14:textId="77777777" w:rsidTr="002F32E3">
        <w:trPr>
          <w:cantSplit/>
        </w:trPr>
        <w:tc>
          <w:tcPr>
            <w:tcW w:w="1500" w:type="pct"/>
            <w:shd w:val="clear" w:color="auto" w:fill="auto"/>
          </w:tcPr>
          <w:p w14:paraId="2D4FA51C" w14:textId="77777777" w:rsidR="00E93F58" w:rsidRPr="00576D60" w:rsidRDefault="00E93F58" w:rsidP="003D2B1E">
            <w:pPr>
              <w:pStyle w:val="ENoteTableText"/>
              <w:keepNext/>
              <w:keepLines/>
              <w:tabs>
                <w:tab w:val="left" w:leader="dot" w:pos="2268"/>
              </w:tabs>
              <w:rPr>
                <w:b/>
              </w:rPr>
            </w:pPr>
            <w:r w:rsidRPr="00576D60">
              <w:rPr>
                <w:b/>
              </w:rPr>
              <w:t>Chapter 10</w:t>
            </w:r>
          </w:p>
        </w:tc>
        <w:tc>
          <w:tcPr>
            <w:tcW w:w="3500" w:type="pct"/>
            <w:shd w:val="clear" w:color="auto" w:fill="auto"/>
          </w:tcPr>
          <w:p w14:paraId="637DEC9A" w14:textId="77777777" w:rsidR="00E93F58" w:rsidRPr="00576D60" w:rsidRDefault="00E93F58" w:rsidP="003D2B1E">
            <w:pPr>
              <w:pStyle w:val="ENoteTableText"/>
              <w:keepNext/>
              <w:keepLines/>
            </w:pPr>
          </w:p>
        </w:tc>
      </w:tr>
      <w:tr w:rsidR="00E93F58" w:rsidRPr="00576D60" w14:paraId="49499527" w14:textId="77777777" w:rsidTr="002F32E3">
        <w:trPr>
          <w:cantSplit/>
        </w:trPr>
        <w:tc>
          <w:tcPr>
            <w:tcW w:w="1500" w:type="pct"/>
            <w:shd w:val="clear" w:color="auto" w:fill="auto"/>
          </w:tcPr>
          <w:p w14:paraId="758BD52C" w14:textId="77777777" w:rsidR="00E93F58" w:rsidRPr="00576D60" w:rsidRDefault="00E93F58" w:rsidP="003D2B1E">
            <w:pPr>
              <w:pStyle w:val="ENoteTableText"/>
              <w:tabs>
                <w:tab w:val="left" w:leader="dot" w:pos="2268"/>
              </w:tabs>
            </w:pPr>
            <w:r w:rsidRPr="00576D60">
              <w:t>Chapter 10 heading</w:t>
            </w:r>
            <w:r w:rsidRPr="00576D60">
              <w:tab/>
            </w:r>
          </w:p>
        </w:tc>
        <w:tc>
          <w:tcPr>
            <w:tcW w:w="3500" w:type="pct"/>
            <w:shd w:val="clear" w:color="auto" w:fill="auto"/>
          </w:tcPr>
          <w:p w14:paraId="107DE868" w14:textId="77777777" w:rsidR="00E93F58" w:rsidRPr="00576D60" w:rsidRDefault="00E93F58" w:rsidP="003D2B1E">
            <w:pPr>
              <w:pStyle w:val="ENoteTableText"/>
              <w:keepNext/>
              <w:keepLines/>
            </w:pPr>
            <w:r w:rsidRPr="00576D60">
              <w:t>rs No 135, 2015</w:t>
            </w:r>
          </w:p>
        </w:tc>
      </w:tr>
      <w:tr w:rsidR="00E93F58" w:rsidRPr="00576D60" w14:paraId="3AFEEC6F" w14:textId="77777777" w:rsidTr="002F32E3">
        <w:trPr>
          <w:cantSplit/>
        </w:trPr>
        <w:tc>
          <w:tcPr>
            <w:tcW w:w="1500" w:type="pct"/>
            <w:shd w:val="clear" w:color="auto" w:fill="auto"/>
          </w:tcPr>
          <w:p w14:paraId="26EBDBED" w14:textId="77777777" w:rsidR="00E93F58" w:rsidRPr="00576D60" w:rsidRDefault="00E93F58" w:rsidP="003D2B1E">
            <w:pPr>
              <w:pStyle w:val="ENoteTableText"/>
              <w:tabs>
                <w:tab w:val="left" w:leader="dot" w:pos="2268"/>
              </w:tabs>
            </w:pPr>
            <w:r>
              <w:t>Part 1</w:t>
            </w:r>
            <w:r w:rsidRPr="00576D60">
              <w:t>0.1</w:t>
            </w:r>
            <w:r w:rsidRPr="00576D60">
              <w:tab/>
            </w:r>
          </w:p>
        </w:tc>
        <w:tc>
          <w:tcPr>
            <w:tcW w:w="3500" w:type="pct"/>
            <w:shd w:val="clear" w:color="auto" w:fill="auto"/>
          </w:tcPr>
          <w:p w14:paraId="4160D602" w14:textId="77777777" w:rsidR="00E93F58" w:rsidRPr="00576D60" w:rsidRDefault="00E93F58" w:rsidP="003D2B1E">
            <w:pPr>
              <w:pStyle w:val="ENoteTableText"/>
              <w:keepNext/>
              <w:keepLines/>
            </w:pPr>
            <w:r w:rsidRPr="00576D60">
              <w:t>rep LA s 48C</w:t>
            </w:r>
          </w:p>
        </w:tc>
      </w:tr>
      <w:tr w:rsidR="00E93F58" w:rsidRPr="00576D60" w14:paraId="2988DFB9" w14:textId="77777777" w:rsidTr="002F32E3">
        <w:trPr>
          <w:cantSplit/>
        </w:trPr>
        <w:tc>
          <w:tcPr>
            <w:tcW w:w="1500" w:type="pct"/>
            <w:shd w:val="clear" w:color="auto" w:fill="auto"/>
          </w:tcPr>
          <w:p w14:paraId="60C132C4" w14:textId="77777777" w:rsidR="00E93F58" w:rsidRPr="00576D60" w:rsidRDefault="00E93F58" w:rsidP="003D2B1E">
            <w:pPr>
              <w:pStyle w:val="ENoteTableText"/>
              <w:tabs>
                <w:tab w:val="left" w:leader="dot" w:pos="2268"/>
              </w:tabs>
            </w:pPr>
            <w:r w:rsidRPr="00576D60">
              <w:t>r 10.1.01</w:t>
            </w:r>
            <w:r w:rsidRPr="00576D60">
              <w:tab/>
            </w:r>
          </w:p>
        </w:tc>
        <w:tc>
          <w:tcPr>
            <w:tcW w:w="3500" w:type="pct"/>
            <w:shd w:val="clear" w:color="auto" w:fill="auto"/>
          </w:tcPr>
          <w:p w14:paraId="6EC57E3D" w14:textId="77777777" w:rsidR="00E93F58" w:rsidRPr="00576D60" w:rsidRDefault="00E93F58" w:rsidP="003D2B1E">
            <w:pPr>
              <w:pStyle w:val="ENoteTableText"/>
              <w:keepNext/>
              <w:keepLines/>
            </w:pPr>
            <w:r w:rsidRPr="00576D60">
              <w:t>rep LA s 48C</w:t>
            </w:r>
          </w:p>
        </w:tc>
      </w:tr>
      <w:tr w:rsidR="00E93F58" w:rsidRPr="00576D60" w14:paraId="3D8B6484" w14:textId="77777777" w:rsidTr="002F32E3">
        <w:trPr>
          <w:cantSplit/>
        </w:trPr>
        <w:tc>
          <w:tcPr>
            <w:tcW w:w="1500" w:type="pct"/>
            <w:shd w:val="clear" w:color="auto" w:fill="auto"/>
          </w:tcPr>
          <w:p w14:paraId="02FB95E6" w14:textId="77777777" w:rsidR="00E93F58" w:rsidRPr="00576D60" w:rsidRDefault="00E93F58" w:rsidP="003D2B1E">
            <w:pPr>
              <w:pStyle w:val="ENoteTableText"/>
              <w:tabs>
                <w:tab w:val="left" w:leader="dot" w:pos="2268"/>
              </w:tabs>
            </w:pPr>
            <w:r w:rsidRPr="00576D60">
              <w:t>r 10.1.02</w:t>
            </w:r>
            <w:r w:rsidRPr="00576D60">
              <w:tab/>
            </w:r>
          </w:p>
        </w:tc>
        <w:tc>
          <w:tcPr>
            <w:tcW w:w="3500" w:type="pct"/>
            <w:shd w:val="clear" w:color="auto" w:fill="auto"/>
          </w:tcPr>
          <w:p w14:paraId="08B25C4B" w14:textId="77777777" w:rsidR="00E93F58" w:rsidRPr="00576D60" w:rsidRDefault="00E93F58" w:rsidP="003D2B1E">
            <w:pPr>
              <w:pStyle w:val="ENoteTableText"/>
              <w:keepNext/>
              <w:keepLines/>
            </w:pPr>
            <w:r w:rsidRPr="00576D60">
              <w:t>rep LA s 48C</w:t>
            </w:r>
          </w:p>
        </w:tc>
      </w:tr>
      <w:tr w:rsidR="00E93F58" w:rsidRPr="00576D60" w14:paraId="0A79438D" w14:textId="77777777" w:rsidTr="002F32E3">
        <w:trPr>
          <w:cantSplit/>
        </w:trPr>
        <w:tc>
          <w:tcPr>
            <w:tcW w:w="1500" w:type="pct"/>
            <w:shd w:val="clear" w:color="auto" w:fill="auto"/>
          </w:tcPr>
          <w:p w14:paraId="279C006D" w14:textId="77777777" w:rsidR="00E93F58" w:rsidRPr="00576D60" w:rsidRDefault="00E93F58" w:rsidP="003D2B1E">
            <w:pPr>
              <w:pStyle w:val="ENoteTableText"/>
              <w:tabs>
                <w:tab w:val="left" w:leader="dot" w:pos="2268"/>
              </w:tabs>
              <w:rPr>
                <w:b/>
              </w:rPr>
            </w:pPr>
            <w:r>
              <w:rPr>
                <w:b/>
              </w:rPr>
              <w:t>Part 1</w:t>
            </w:r>
            <w:r w:rsidRPr="00576D60">
              <w:rPr>
                <w:b/>
              </w:rPr>
              <w:t>0.2</w:t>
            </w:r>
          </w:p>
        </w:tc>
        <w:tc>
          <w:tcPr>
            <w:tcW w:w="3500" w:type="pct"/>
            <w:shd w:val="clear" w:color="auto" w:fill="auto"/>
          </w:tcPr>
          <w:p w14:paraId="26C9100B" w14:textId="77777777" w:rsidR="00E93F58" w:rsidRPr="00576D60" w:rsidRDefault="00E93F58" w:rsidP="003D2B1E">
            <w:pPr>
              <w:pStyle w:val="ENoteTableText"/>
              <w:keepNext/>
              <w:keepLines/>
            </w:pPr>
          </w:p>
        </w:tc>
      </w:tr>
      <w:tr w:rsidR="00E93F58" w:rsidRPr="00576D60" w14:paraId="09699988" w14:textId="77777777" w:rsidTr="003625FB">
        <w:trPr>
          <w:cantSplit/>
        </w:trPr>
        <w:tc>
          <w:tcPr>
            <w:tcW w:w="1500" w:type="pct"/>
            <w:shd w:val="clear" w:color="auto" w:fill="auto"/>
          </w:tcPr>
          <w:p w14:paraId="69212B9F" w14:textId="77777777" w:rsidR="00E93F58" w:rsidRPr="00576D60" w:rsidRDefault="00E93F58" w:rsidP="003625FB">
            <w:pPr>
              <w:pStyle w:val="ENoteTableText"/>
              <w:tabs>
                <w:tab w:val="left" w:leader="dot" w:pos="2268"/>
              </w:tabs>
            </w:pPr>
            <w:r w:rsidRPr="00576D60">
              <w:t xml:space="preserve">Heading to </w:t>
            </w:r>
            <w:r>
              <w:t>Part 1</w:t>
            </w:r>
            <w:r w:rsidRPr="00576D60">
              <w:t>0.2</w:t>
            </w:r>
            <w:r w:rsidRPr="00576D60">
              <w:tab/>
            </w:r>
          </w:p>
        </w:tc>
        <w:tc>
          <w:tcPr>
            <w:tcW w:w="3500" w:type="pct"/>
            <w:shd w:val="clear" w:color="auto" w:fill="auto"/>
          </w:tcPr>
          <w:p w14:paraId="389363D4" w14:textId="77777777" w:rsidR="00E93F58" w:rsidRPr="00576D60" w:rsidRDefault="00E93F58" w:rsidP="003625FB">
            <w:pPr>
              <w:pStyle w:val="ENoteTableText"/>
            </w:pPr>
            <w:r w:rsidRPr="00576D60">
              <w:t>rs. 2003 No. 369</w:t>
            </w:r>
          </w:p>
        </w:tc>
      </w:tr>
      <w:tr w:rsidR="00E93F58" w:rsidRPr="00576D60" w14:paraId="6B6C9AD0" w14:textId="77777777" w:rsidTr="002F32E3">
        <w:trPr>
          <w:cantSplit/>
        </w:trPr>
        <w:tc>
          <w:tcPr>
            <w:tcW w:w="1500" w:type="pct"/>
            <w:shd w:val="clear" w:color="auto" w:fill="auto"/>
          </w:tcPr>
          <w:p w14:paraId="33339DE5" w14:textId="77777777" w:rsidR="00E93F58" w:rsidRPr="00576D60" w:rsidRDefault="00E93F58" w:rsidP="003D2B1E">
            <w:pPr>
              <w:pStyle w:val="ENoteTableText"/>
              <w:tabs>
                <w:tab w:val="left" w:leader="dot" w:pos="2268"/>
              </w:tabs>
            </w:pPr>
            <w:r>
              <w:t>Part 1</w:t>
            </w:r>
            <w:r w:rsidRPr="00576D60">
              <w:t>0.2</w:t>
            </w:r>
            <w:r w:rsidRPr="00576D60">
              <w:tab/>
            </w:r>
          </w:p>
        </w:tc>
        <w:tc>
          <w:tcPr>
            <w:tcW w:w="3500" w:type="pct"/>
            <w:shd w:val="clear" w:color="auto" w:fill="auto"/>
          </w:tcPr>
          <w:p w14:paraId="5E3D2977" w14:textId="77777777" w:rsidR="00E93F58" w:rsidRPr="00576D60" w:rsidRDefault="00E93F58" w:rsidP="003D2B1E">
            <w:pPr>
              <w:pStyle w:val="ENoteTableText"/>
            </w:pPr>
            <w:r w:rsidRPr="00576D60">
              <w:t>ad. 2001 No. 319</w:t>
            </w:r>
          </w:p>
        </w:tc>
      </w:tr>
      <w:tr w:rsidR="00E93F58" w:rsidRPr="00576D60" w14:paraId="4EA46233" w14:textId="77777777" w:rsidTr="002F32E3">
        <w:trPr>
          <w:cantSplit/>
        </w:trPr>
        <w:tc>
          <w:tcPr>
            <w:tcW w:w="1500" w:type="pct"/>
            <w:shd w:val="clear" w:color="auto" w:fill="auto"/>
          </w:tcPr>
          <w:p w14:paraId="407BFC92" w14:textId="77777777" w:rsidR="00E93F58" w:rsidRPr="00576D60" w:rsidRDefault="00E93F58" w:rsidP="003D2B1E">
            <w:pPr>
              <w:pStyle w:val="ENoteTableText"/>
              <w:tabs>
                <w:tab w:val="left" w:leader="dot" w:pos="2268"/>
              </w:tabs>
              <w:rPr>
                <w:b/>
              </w:rPr>
            </w:pPr>
            <w:r w:rsidRPr="00576D60">
              <w:rPr>
                <w:b/>
              </w:rPr>
              <w:t>Division 1</w:t>
            </w:r>
          </w:p>
        </w:tc>
        <w:tc>
          <w:tcPr>
            <w:tcW w:w="3500" w:type="pct"/>
            <w:shd w:val="clear" w:color="auto" w:fill="auto"/>
          </w:tcPr>
          <w:p w14:paraId="6F95532A" w14:textId="77777777" w:rsidR="00E93F58" w:rsidRPr="00576D60" w:rsidRDefault="00E93F58" w:rsidP="003D2B1E">
            <w:pPr>
              <w:pStyle w:val="ENoteTableText"/>
            </w:pPr>
          </w:p>
        </w:tc>
      </w:tr>
      <w:tr w:rsidR="00E93F58" w:rsidRPr="00576D60" w14:paraId="48EE7FB0" w14:textId="77777777" w:rsidTr="002F32E3">
        <w:trPr>
          <w:cantSplit/>
        </w:trPr>
        <w:tc>
          <w:tcPr>
            <w:tcW w:w="1500" w:type="pct"/>
            <w:shd w:val="clear" w:color="auto" w:fill="auto"/>
          </w:tcPr>
          <w:p w14:paraId="135826C1" w14:textId="77777777" w:rsidR="00E93F58" w:rsidRPr="00576D60" w:rsidRDefault="00E93F58" w:rsidP="003D2B1E">
            <w:pPr>
              <w:pStyle w:val="ENoteTableText"/>
              <w:tabs>
                <w:tab w:val="left" w:leader="dot" w:pos="2268"/>
              </w:tabs>
            </w:pPr>
            <w:r w:rsidRPr="00576D60">
              <w:t>r. 10.2.01</w:t>
            </w:r>
            <w:r w:rsidRPr="00576D60">
              <w:tab/>
            </w:r>
          </w:p>
        </w:tc>
        <w:tc>
          <w:tcPr>
            <w:tcW w:w="3500" w:type="pct"/>
            <w:shd w:val="clear" w:color="auto" w:fill="auto"/>
          </w:tcPr>
          <w:p w14:paraId="37D386FE" w14:textId="77777777" w:rsidR="00E93F58" w:rsidRPr="00576D60" w:rsidRDefault="00E93F58" w:rsidP="003D2B1E">
            <w:pPr>
              <w:pStyle w:val="ENoteTableText"/>
            </w:pPr>
            <w:r w:rsidRPr="00576D60">
              <w:t>ad. 2001 No. 319</w:t>
            </w:r>
          </w:p>
        </w:tc>
      </w:tr>
      <w:tr w:rsidR="00E93F58" w:rsidRPr="00576D60" w14:paraId="3265BA11" w14:textId="77777777" w:rsidTr="002F32E3">
        <w:trPr>
          <w:cantSplit/>
        </w:trPr>
        <w:tc>
          <w:tcPr>
            <w:tcW w:w="1500" w:type="pct"/>
            <w:shd w:val="clear" w:color="auto" w:fill="auto"/>
          </w:tcPr>
          <w:p w14:paraId="00A54C5F" w14:textId="77777777" w:rsidR="00E93F58" w:rsidRPr="00576D60" w:rsidRDefault="00E93F58" w:rsidP="003D2B1E">
            <w:pPr>
              <w:pStyle w:val="ENoteTableText"/>
              <w:tabs>
                <w:tab w:val="left" w:leader="dot" w:pos="2268"/>
              </w:tabs>
            </w:pPr>
            <w:r w:rsidRPr="00576D60">
              <w:t>r. 10.2.02</w:t>
            </w:r>
            <w:r w:rsidRPr="00576D60">
              <w:tab/>
            </w:r>
          </w:p>
        </w:tc>
        <w:tc>
          <w:tcPr>
            <w:tcW w:w="3500" w:type="pct"/>
            <w:shd w:val="clear" w:color="auto" w:fill="auto"/>
          </w:tcPr>
          <w:p w14:paraId="606F8C49" w14:textId="77777777" w:rsidR="00E93F58" w:rsidRPr="00576D60" w:rsidRDefault="00E93F58" w:rsidP="003D2B1E">
            <w:pPr>
              <w:pStyle w:val="ENoteTableText"/>
            </w:pPr>
            <w:r w:rsidRPr="00576D60">
              <w:t>ad. 2001 No. 319</w:t>
            </w:r>
          </w:p>
        </w:tc>
      </w:tr>
      <w:tr w:rsidR="00E93F58" w:rsidRPr="00576D60" w14:paraId="757109FE" w14:textId="77777777" w:rsidTr="002F32E3">
        <w:trPr>
          <w:cantSplit/>
        </w:trPr>
        <w:tc>
          <w:tcPr>
            <w:tcW w:w="1500" w:type="pct"/>
            <w:shd w:val="clear" w:color="auto" w:fill="auto"/>
          </w:tcPr>
          <w:p w14:paraId="039FF28D" w14:textId="77777777" w:rsidR="00E93F58" w:rsidRPr="00576D60" w:rsidRDefault="00E93F58" w:rsidP="003D2B1E">
            <w:pPr>
              <w:pStyle w:val="ENoteTableText"/>
            </w:pPr>
          </w:p>
        </w:tc>
        <w:tc>
          <w:tcPr>
            <w:tcW w:w="3500" w:type="pct"/>
            <w:shd w:val="clear" w:color="auto" w:fill="auto"/>
          </w:tcPr>
          <w:p w14:paraId="2A28AC91" w14:textId="77777777" w:rsidR="00E93F58" w:rsidRPr="00576D60" w:rsidRDefault="00E93F58" w:rsidP="003D2B1E">
            <w:pPr>
              <w:pStyle w:val="ENoteTableText"/>
            </w:pPr>
            <w:r w:rsidRPr="00576D60">
              <w:t>rs. 2002 No. 16</w:t>
            </w:r>
          </w:p>
        </w:tc>
      </w:tr>
      <w:tr w:rsidR="00E93F58" w:rsidRPr="00576D60" w14:paraId="24294C69" w14:textId="77777777" w:rsidTr="002F32E3">
        <w:trPr>
          <w:cantSplit/>
        </w:trPr>
        <w:tc>
          <w:tcPr>
            <w:tcW w:w="1500" w:type="pct"/>
            <w:shd w:val="clear" w:color="auto" w:fill="auto"/>
          </w:tcPr>
          <w:p w14:paraId="0C9954E1" w14:textId="77777777" w:rsidR="00E93F58" w:rsidRPr="00576D60" w:rsidRDefault="00E93F58" w:rsidP="003D2B1E">
            <w:pPr>
              <w:pStyle w:val="ENoteTableText"/>
              <w:tabs>
                <w:tab w:val="left" w:leader="dot" w:pos="2268"/>
              </w:tabs>
            </w:pPr>
            <w:r w:rsidRPr="00576D60">
              <w:t>r. 10.2.02A</w:t>
            </w:r>
            <w:r w:rsidRPr="00576D60">
              <w:tab/>
            </w:r>
          </w:p>
        </w:tc>
        <w:tc>
          <w:tcPr>
            <w:tcW w:w="3500" w:type="pct"/>
            <w:shd w:val="clear" w:color="auto" w:fill="auto"/>
          </w:tcPr>
          <w:p w14:paraId="7159FC19" w14:textId="77777777" w:rsidR="00E93F58" w:rsidRPr="00576D60" w:rsidRDefault="00E93F58" w:rsidP="003D2B1E">
            <w:pPr>
              <w:pStyle w:val="ENoteTableText"/>
            </w:pPr>
            <w:r w:rsidRPr="00576D60">
              <w:t>ad. 2002 No. 41</w:t>
            </w:r>
          </w:p>
        </w:tc>
      </w:tr>
      <w:tr w:rsidR="00E93F58" w:rsidRPr="00576D60" w14:paraId="54FD42D9" w14:textId="77777777" w:rsidTr="002F32E3">
        <w:trPr>
          <w:cantSplit/>
        </w:trPr>
        <w:tc>
          <w:tcPr>
            <w:tcW w:w="1500" w:type="pct"/>
            <w:shd w:val="clear" w:color="auto" w:fill="auto"/>
          </w:tcPr>
          <w:p w14:paraId="5F651F66" w14:textId="77777777" w:rsidR="00E93F58" w:rsidRPr="00576D60" w:rsidRDefault="00E93F58" w:rsidP="003D2B1E">
            <w:pPr>
              <w:pStyle w:val="ENoteTableText"/>
              <w:tabs>
                <w:tab w:val="left" w:leader="dot" w:pos="2268"/>
              </w:tabs>
            </w:pPr>
            <w:r w:rsidRPr="00576D60">
              <w:t>r. 10.2.02B</w:t>
            </w:r>
            <w:r w:rsidRPr="00576D60">
              <w:tab/>
            </w:r>
          </w:p>
        </w:tc>
        <w:tc>
          <w:tcPr>
            <w:tcW w:w="3500" w:type="pct"/>
            <w:shd w:val="clear" w:color="auto" w:fill="auto"/>
          </w:tcPr>
          <w:p w14:paraId="4572824B" w14:textId="77777777" w:rsidR="00E93F58" w:rsidRPr="00576D60" w:rsidRDefault="00E93F58" w:rsidP="003D2B1E">
            <w:pPr>
              <w:pStyle w:val="ENoteTableText"/>
            </w:pPr>
            <w:r w:rsidRPr="00576D60">
              <w:t>ad. 2002 No. 41</w:t>
            </w:r>
          </w:p>
        </w:tc>
      </w:tr>
      <w:tr w:rsidR="00E93F58" w:rsidRPr="00576D60" w14:paraId="50F77A81" w14:textId="77777777" w:rsidTr="002F32E3">
        <w:trPr>
          <w:cantSplit/>
        </w:trPr>
        <w:tc>
          <w:tcPr>
            <w:tcW w:w="1500" w:type="pct"/>
            <w:shd w:val="clear" w:color="auto" w:fill="auto"/>
          </w:tcPr>
          <w:p w14:paraId="12FA633D" w14:textId="77777777" w:rsidR="00E93F58" w:rsidRPr="00576D60" w:rsidRDefault="00E93F58" w:rsidP="003D2B1E">
            <w:pPr>
              <w:pStyle w:val="ENoteTableText"/>
              <w:tabs>
                <w:tab w:val="left" w:leader="dot" w:pos="2268"/>
              </w:tabs>
              <w:rPr>
                <w:b/>
              </w:rPr>
            </w:pPr>
            <w:r w:rsidRPr="00576D60">
              <w:rPr>
                <w:b/>
              </w:rPr>
              <w:t>Division 1A</w:t>
            </w:r>
          </w:p>
        </w:tc>
        <w:tc>
          <w:tcPr>
            <w:tcW w:w="3500" w:type="pct"/>
            <w:shd w:val="clear" w:color="auto" w:fill="auto"/>
          </w:tcPr>
          <w:p w14:paraId="2ABDDDEC" w14:textId="77777777" w:rsidR="00E93F58" w:rsidRPr="00576D60" w:rsidRDefault="00E93F58" w:rsidP="003D2B1E">
            <w:pPr>
              <w:pStyle w:val="ENoteTableText"/>
            </w:pPr>
          </w:p>
        </w:tc>
      </w:tr>
      <w:tr w:rsidR="00E93F58" w:rsidRPr="00576D60" w14:paraId="1979360D" w14:textId="77777777" w:rsidTr="002F32E3">
        <w:trPr>
          <w:cantSplit/>
        </w:trPr>
        <w:tc>
          <w:tcPr>
            <w:tcW w:w="1500" w:type="pct"/>
            <w:shd w:val="clear" w:color="auto" w:fill="auto"/>
          </w:tcPr>
          <w:p w14:paraId="4123838D" w14:textId="77777777" w:rsidR="00E93F58" w:rsidRPr="00576D60" w:rsidRDefault="00E93F58" w:rsidP="003D2B1E">
            <w:pPr>
              <w:pStyle w:val="ENoteTableText"/>
              <w:tabs>
                <w:tab w:val="left" w:leader="dot" w:pos="2268"/>
              </w:tabs>
            </w:pPr>
            <w:r w:rsidRPr="00576D60">
              <w:t>Division 1A</w:t>
            </w:r>
            <w:r w:rsidRPr="00576D60">
              <w:tab/>
            </w:r>
          </w:p>
        </w:tc>
        <w:tc>
          <w:tcPr>
            <w:tcW w:w="3500" w:type="pct"/>
            <w:shd w:val="clear" w:color="auto" w:fill="auto"/>
          </w:tcPr>
          <w:p w14:paraId="0A7A8627" w14:textId="77777777" w:rsidR="00E93F58" w:rsidRPr="00576D60" w:rsidRDefault="00E93F58" w:rsidP="003D2B1E">
            <w:pPr>
              <w:pStyle w:val="ENoteTableText"/>
            </w:pPr>
            <w:r w:rsidRPr="00576D60">
              <w:t>ad. 2002 No. 41</w:t>
            </w:r>
          </w:p>
        </w:tc>
      </w:tr>
      <w:tr w:rsidR="00E93F58" w:rsidRPr="00576D60" w14:paraId="2B443A17" w14:textId="77777777" w:rsidTr="002F32E3">
        <w:trPr>
          <w:cantSplit/>
        </w:trPr>
        <w:tc>
          <w:tcPr>
            <w:tcW w:w="1500" w:type="pct"/>
            <w:shd w:val="clear" w:color="auto" w:fill="auto"/>
          </w:tcPr>
          <w:p w14:paraId="5A1B46D2" w14:textId="77777777" w:rsidR="00E93F58" w:rsidRPr="00576D60" w:rsidRDefault="00E93F58" w:rsidP="003D2B1E">
            <w:pPr>
              <w:pStyle w:val="ENoteTableText"/>
              <w:tabs>
                <w:tab w:val="left" w:leader="dot" w:pos="2268"/>
              </w:tabs>
            </w:pPr>
            <w:r w:rsidRPr="00576D60">
              <w:t>r. 10.2.02C</w:t>
            </w:r>
            <w:r w:rsidRPr="00576D60">
              <w:tab/>
            </w:r>
          </w:p>
        </w:tc>
        <w:tc>
          <w:tcPr>
            <w:tcW w:w="3500" w:type="pct"/>
            <w:shd w:val="clear" w:color="auto" w:fill="auto"/>
          </w:tcPr>
          <w:p w14:paraId="6378C5AC" w14:textId="77777777" w:rsidR="00E93F58" w:rsidRPr="00576D60" w:rsidRDefault="00E93F58" w:rsidP="003D2B1E">
            <w:pPr>
              <w:pStyle w:val="ENoteTableText"/>
            </w:pPr>
            <w:r w:rsidRPr="00576D60">
              <w:t>ad. 2002 No. 41</w:t>
            </w:r>
          </w:p>
        </w:tc>
      </w:tr>
      <w:tr w:rsidR="00E93F58" w:rsidRPr="00576D60" w14:paraId="0254B219" w14:textId="77777777" w:rsidTr="002F32E3">
        <w:trPr>
          <w:cantSplit/>
        </w:trPr>
        <w:tc>
          <w:tcPr>
            <w:tcW w:w="1500" w:type="pct"/>
            <w:shd w:val="clear" w:color="auto" w:fill="auto"/>
          </w:tcPr>
          <w:p w14:paraId="73755FB1" w14:textId="77777777" w:rsidR="00E93F58" w:rsidRPr="00576D60" w:rsidRDefault="00E93F58" w:rsidP="003D2B1E">
            <w:pPr>
              <w:pStyle w:val="ENoteTableText"/>
            </w:pPr>
          </w:p>
        </w:tc>
        <w:tc>
          <w:tcPr>
            <w:tcW w:w="3500" w:type="pct"/>
            <w:shd w:val="clear" w:color="auto" w:fill="auto"/>
          </w:tcPr>
          <w:p w14:paraId="78E4F33F" w14:textId="77777777" w:rsidR="00E93F58" w:rsidRPr="00576D60" w:rsidRDefault="00E93F58" w:rsidP="003D2B1E">
            <w:pPr>
              <w:pStyle w:val="ENoteTableText"/>
            </w:pPr>
            <w:r w:rsidRPr="00576D60">
              <w:t>am. 2002 No. 53</w:t>
            </w:r>
          </w:p>
        </w:tc>
      </w:tr>
      <w:tr w:rsidR="00E93F58" w:rsidRPr="00576D60" w14:paraId="47093CB6" w14:textId="77777777" w:rsidTr="002F32E3">
        <w:trPr>
          <w:cantSplit/>
        </w:trPr>
        <w:tc>
          <w:tcPr>
            <w:tcW w:w="1500" w:type="pct"/>
            <w:shd w:val="clear" w:color="auto" w:fill="auto"/>
          </w:tcPr>
          <w:p w14:paraId="06412674" w14:textId="77777777" w:rsidR="00E93F58" w:rsidRPr="00576D60" w:rsidRDefault="00E93F58" w:rsidP="003D2B1E">
            <w:pPr>
              <w:pStyle w:val="ENoteTableText"/>
              <w:tabs>
                <w:tab w:val="left" w:leader="dot" w:pos="2268"/>
              </w:tabs>
              <w:rPr>
                <w:b/>
              </w:rPr>
            </w:pPr>
            <w:r>
              <w:rPr>
                <w:b/>
              </w:rPr>
              <w:t>Division 2</w:t>
            </w:r>
          </w:p>
        </w:tc>
        <w:tc>
          <w:tcPr>
            <w:tcW w:w="3500" w:type="pct"/>
            <w:shd w:val="clear" w:color="auto" w:fill="auto"/>
          </w:tcPr>
          <w:p w14:paraId="0C6CDA8E" w14:textId="77777777" w:rsidR="00E93F58" w:rsidRPr="00576D60" w:rsidRDefault="00E93F58" w:rsidP="003D2B1E">
            <w:pPr>
              <w:pStyle w:val="ENoteTableText"/>
              <w:keepNext/>
              <w:keepLines/>
            </w:pPr>
          </w:p>
        </w:tc>
      </w:tr>
      <w:tr w:rsidR="00E93F58" w:rsidRPr="00576D60" w14:paraId="29A3E940" w14:textId="77777777" w:rsidTr="002F32E3">
        <w:trPr>
          <w:cantSplit/>
        </w:trPr>
        <w:tc>
          <w:tcPr>
            <w:tcW w:w="1500" w:type="pct"/>
            <w:shd w:val="clear" w:color="auto" w:fill="auto"/>
          </w:tcPr>
          <w:p w14:paraId="486AF979" w14:textId="77777777" w:rsidR="00E93F58" w:rsidRPr="00576D60" w:rsidRDefault="00E93F58" w:rsidP="003D2B1E">
            <w:pPr>
              <w:pStyle w:val="ENoteTableText"/>
              <w:tabs>
                <w:tab w:val="left" w:leader="dot" w:pos="2268"/>
              </w:tabs>
              <w:rPr>
                <w:b/>
              </w:rPr>
            </w:pPr>
            <w:r>
              <w:rPr>
                <w:b/>
              </w:rPr>
              <w:t>Subdivision 2</w:t>
            </w:r>
            <w:r w:rsidRPr="00576D60">
              <w:rPr>
                <w:b/>
              </w:rPr>
              <w:t>.1</w:t>
            </w:r>
          </w:p>
        </w:tc>
        <w:tc>
          <w:tcPr>
            <w:tcW w:w="3500" w:type="pct"/>
            <w:shd w:val="clear" w:color="auto" w:fill="auto"/>
          </w:tcPr>
          <w:p w14:paraId="4AF1645C" w14:textId="77777777" w:rsidR="00E93F58" w:rsidRPr="00576D60" w:rsidRDefault="00E93F58" w:rsidP="003D2B1E">
            <w:pPr>
              <w:pStyle w:val="ENoteTableText"/>
            </w:pPr>
          </w:p>
        </w:tc>
      </w:tr>
      <w:tr w:rsidR="00E93F58" w:rsidRPr="00576D60" w14:paraId="4707D1FE" w14:textId="77777777" w:rsidTr="002F32E3">
        <w:trPr>
          <w:cantSplit/>
        </w:trPr>
        <w:tc>
          <w:tcPr>
            <w:tcW w:w="1500" w:type="pct"/>
            <w:shd w:val="clear" w:color="auto" w:fill="auto"/>
          </w:tcPr>
          <w:p w14:paraId="10380F33" w14:textId="77777777" w:rsidR="00E93F58" w:rsidRPr="00576D60" w:rsidRDefault="00E93F58" w:rsidP="003D2B1E">
            <w:pPr>
              <w:pStyle w:val="ENoteTableText"/>
              <w:tabs>
                <w:tab w:val="left" w:leader="dot" w:pos="2268"/>
              </w:tabs>
            </w:pPr>
            <w:r w:rsidRPr="00576D60">
              <w:t>r. 10.2.03</w:t>
            </w:r>
            <w:r w:rsidRPr="00576D60">
              <w:tab/>
            </w:r>
          </w:p>
        </w:tc>
        <w:tc>
          <w:tcPr>
            <w:tcW w:w="3500" w:type="pct"/>
            <w:shd w:val="clear" w:color="auto" w:fill="auto"/>
          </w:tcPr>
          <w:p w14:paraId="51ABCDED" w14:textId="77777777" w:rsidR="00E93F58" w:rsidRPr="00576D60" w:rsidRDefault="00E93F58" w:rsidP="003D2B1E">
            <w:pPr>
              <w:pStyle w:val="ENoteTableText"/>
            </w:pPr>
            <w:r w:rsidRPr="00576D60">
              <w:t>ad. 2001 No. 319</w:t>
            </w:r>
          </w:p>
        </w:tc>
      </w:tr>
      <w:tr w:rsidR="00E93F58" w:rsidRPr="00576D60" w14:paraId="676340E7" w14:textId="77777777" w:rsidTr="002F32E3">
        <w:trPr>
          <w:cantSplit/>
        </w:trPr>
        <w:tc>
          <w:tcPr>
            <w:tcW w:w="1500" w:type="pct"/>
            <w:shd w:val="clear" w:color="auto" w:fill="auto"/>
          </w:tcPr>
          <w:p w14:paraId="120FCF66" w14:textId="77777777" w:rsidR="00E93F58" w:rsidRPr="00576D60" w:rsidRDefault="00E93F58" w:rsidP="003D2B1E">
            <w:pPr>
              <w:pStyle w:val="ENoteTableText"/>
              <w:tabs>
                <w:tab w:val="left" w:leader="dot" w:pos="2268"/>
              </w:tabs>
            </w:pPr>
            <w:r w:rsidRPr="00576D60">
              <w:t>r. 10.2.04</w:t>
            </w:r>
            <w:r w:rsidRPr="00576D60">
              <w:tab/>
            </w:r>
          </w:p>
        </w:tc>
        <w:tc>
          <w:tcPr>
            <w:tcW w:w="3500" w:type="pct"/>
            <w:shd w:val="clear" w:color="auto" w:fill="auto"/>
          </w:tcPr>
          <w:p w14:paraId="03943288" w14:textId="77777777" w:rsidR="00E93F58" w:rsidRPr="00576D60" w:rsidRDefault="00E93F58" w:rsidP="003D2B1E">
            <w:pPr>
              <w:pStyle w:val="ENoteTableText"/>
            </w:pPr>
            <w:r w:rsidRPr="00576D60">
              <w:t>ad. 2001 No. 319</w:t>
            </w:r>
          </w:p>
        </w:tc>
      </w:tr>
      <w:tr w:rsidR="00E93F58" w:rsidRPr="00576D60" w14:paraId="29907B7E" w14:textId="77777777" w:rsidTr="002F32E3">
        <w:trPr>
          <w:cantSplit/>
        </w:trPr>
        <w:tc>
          <w:tcPr>
            <w:tcW w:w="1500" w:type="pct"/>
            <w:shd w:val="clear" w:color="auto" w:fill="auto"/>
          </w:tcPr>
          <w:p w14:paraId="65BDD248" w14:textId="77777777" w:rsidR="00E93F58" w:rsidRPr="00576D60" w:rsidRDefault="00E93F58" w:rsidP="003D2B1E">
            <w:pPr>
              <w:pStyle w:val="ENoteTableText"/>
              <w:tabs>
                <w:tab w:val="left" w:leader="dot" w:pos="2268"/>
              </w:tabs>
            </w:pPr>
            <w:r w:rsidRPr="00576D60">
              <w:t>r. 10.2.05</w:t>
            </w:r>
            <w:r w:rsidRPr="00576D60">
              <w:tab/>
            </w:r>
          </w:p>
        </w:tc>
        <w:tc>
          <w:tcPr>
            <w:tcW w:w="3500" w:type="pct"/>
            <w:shd w:val="clear" w:color="auto" w:fill="auto"/>
          </w:tcPr>
          <w:p w14:paraId="3E38F15E" w14:textId="77777777" w:rsidR="00E93F58" w:rsidRPr="00576D60" w:rsidRDefault="00E93F58" w:rsidP="003D2B1E">
            <w:pPr>
              <w:pStyle w:val="ENoteTableText"/>
            </w:pPr>
            <w:r w:rsidRPr="00576D60">
              <w:t>ad. 2001 No. 319</w:t>
            </w:r>
          </w:p>
        </w:tc>
      </w:tr>
      <w:tr w:rsidR="00E93F58" w:rsidRPr="00576D60" w14:paraId="2636107D" w14:textId="77777777" w:rsidTr="002F32E3">
        <w:trPr>
          <w:cantSplit/>
        </w:trPr>
        <w:tc>
          <w:tcPr>
            <w:tcW w:w="1500" w:type="pct"/>
            <w:shd w:val="clear" w:color="auto" w:fill="auto"/>
          </w:tcPr>
          <w:p w14:paraId="26DE4A2C" w14:textId="77777777" w:rsidR="00E93F58" w:rsidRPr="00576D60" w:rsidRDefault="00E93F58" w:rsidP="003D2B1E">
            <w:pPr>
              <w:pStyle w:val="ENoteTableText"/>
              <w:tabs>
                <w:tab w:val="left" w:leader="dot" w:pos="2268"/>
              </w:tabs>
            </w:pPr>
            <w:r w:rsidRPr="00576D60">
              <w:t>r. 10.2.06</w:t>
            </w:r>
            <w:r w:rsidRPr="00576D60">
              <w:tab/>
            </w:r>
          </w:p>
        </w:tc>
        <w:tc>
          <w:tcPr>
            <w:tcW w:w="3500" w:type="pct"/>
            <w:shd w:val="clear" w:color="auto" w:fill="auto"/>
          </w:tcPr>
          <w:p w14:paraId="38D032B5" w14:textId="77777777" w:rsidR="00E93F58" w:rsidRPr="00576D60" w:rsidRDefault="00E93F58" w:rsidP="003D2B1E">
            <w:pPr>
              <w:pStyle w:val="ENoteTableText"/>
            </w:pPr>
            <w:r w:rsidRPr="00576D60">
              <w:t>ad. 2001 No. 319</w:t>
            </w:r>
          </w:p>
        </w:tc>
      </w:tr>
      <w:tr w:rsidR="00E93F58" w:rsidRPr="00576D60" w14:paraId="0E4EC9DF" w14:textId="77777777" w:rsidTr="002F32E3">
        <w:trPr>
          <w:cantSplit/>
        </w:trPr>
        <w:tc>
          <w:tcPr>
            <w:tcW w:w="1500" w:type="pct"/>
            <w:shd w:val="clear" w:color="auto" w:fill="auto"/>
          </w:tcPr>
          <w:p w14:paraId="032350DF" w14:textId="77777777" w:rsidR="00E93F58" w:rsidRPr="00576D60" w:rsidRDefault="00E93F58" w:rsidP="003D2B1E">
            <w:pPr>
              <w:pStyle w:val="ENoteTableText"/>
              <w:tabs>
                <w:tab w:val="left" w:leader="dot" w:pos="2268"/>
              </w:tabs>
              <w:rPr>
                <w:b/>
              </w:rPr>
            </w:pPr>
            <w:r>
              <w:rPr>
                <w:b/>
              </w:rPr>
              <w:t>Subdivision 2</w:t>
            </w:r>
            <w:r w:rsidRPr="00576D60">
              <w:rPr>
                <w:b/>
              </w:rPr>
              <w:t>.2</w:t>
            </w:r>
          </w:p>
        </w:tc>
        <w:tc>
          <w:tcPr>
            <w:tcW w:w="3500" w:type="pct"/>
            <w:shd w:val="clear" w:color="auto" w:fill="auto"/>
          </w:tcPr>
          <w:p w14:paraId="7CE23D18" w14:textId="77777777" w:rsidR="00E93F58" w:rsidRPr="00576D60" w:rsidRDefault="00E93F58" w:rsidP="003D2B1E">
            <w:pPr>
              <w:pStyle w:val="ENoteTableText"/>
            </w:pPr>
          </w:p>
        </w:tc>
      </w:tr>
      <w:tr w:rsidR="00E93F58" w:rsidRPr="00576D60" w14:paraId="26C5974A" w14:textId="77777777" w:rsidTr="002F32E3">
        <w:trPr>
          <w:cantSplit/>
        </w:trPr>
        <w:tc>
          <w:tcPr>
            <w:tcW w:w="1500" w:type="pct"/>
            <w:shd w:val="clear" w:color="auto" w:fill="auto"/>
          </w:tcPr>
          <w:p w14:paraId="7FA315B2" w14:textId="77777777" w:rsidR="00E93F58" w:rsidRPr="00576D60" w:rsidRDefault="00E93F58" w:rsidP="003D2B1E">
            <w:pPr>
              <w:pStyle w:val="ENoteTableText"/>
              <w:tabs>
                <w:tab w:val="left" w:leader="dot" w:pos="2268"/>
              </w:tabs>
            </w:pPr>
            <w:r w:rsidRPr="00576D60">
              <w:t>r. 10.2.07</w:t>
            </w:r>
            <w:r w:rsidRPr="00576D60">
              <w:tab/>
            </w:r>
          </w:p>
        </w:tc>
        <w:tc>
          <w:tcPr>
            <w:tcW w:w="3500" w:type="pct"/>
            <w:shd w:val="clear" w:color="auto" w:fill="auto"/>
          </w:tcPr>
          <w:p w14:paraId="2E845BE1" w14:textId="77777777" w:rsidR="00E93F58" w:rsidRPr="00576D60" w:rsidRDefault="00E93F58" w:rsidP="003D2B1E">
            <w:pPr>
              <w:pStyle w:val="ENoteTableText"/>
            </w:pPr>
            <w:r w:rsidRPr="00576D60">
              <w:t>ad. 2001 No. 319</w:t>
            </w:r>
          </w:p>
        </w:tc>
      </w:tr>
      <w:tr w:rsidR="00E93F58" w:rsidRPr="00576D60" w14:paraId="2E822559" w14:textId="77777777" w:rsidTr="002F32E3">
        <w:trPr>
          <w:cantSplit/>
        </w:trPr>
        <w:tc>
          <w:tcPr>
            <w:tcW w:w="1500" w:type="pct"/>
            <w:shd w:val="clear" w:color="auto" w:fill="auto"/>
          </w:tcPr>
          <w:p w14:paraId="0549AF7A" w14:textId="77777777" w:rsidR="00E93F58" w:rsidRPr="00576D60" w:rsidRDefault="00E93F58" w:rsidP="00E73EAB">
            <w:pPr>
              <w:pStyle w:val="ENoteTableText"/>
              <w:keepNext/>
              <w:tabs>
                <w:tab w:val="left" w:leader="dot" w:pos="2268"/>
              </w:tabs>
              <w:rPr>
                <w:b/>
              </w:rPr>
            </w:pPr>
            <w:r w:rsidRPr="00576D60">
              <w:rPr>
                <w:b/>
              </w:rPr>
              <w:t>Division 3</w:t>
            </w:r>
          </w:p>
        </w:tc>
        <w:tc>
          <w:tcPr>
            <w:tcW w:w="3500" w:type="pct"/>
            <w:shd w:val="clear" w:color="auto" w:fill="auto"/>
          </w:tcPr>
          <w:p w14:paraId="76DD9AA2" w14:textId="77777777" w:rsidR="00E93F58" w:rsidRPr="00576D60" w:rsidRDefault="00E93F58" w:rsidP="003D2B1E">
            <w:pPr>
              <w:pStyle w:val="ENoteTableText"/>
            </w:pPr>
          </w:p>
        </w:tc>
      </w:tr>
      <w:tr w:rsidR="00E93F58" w:rsidRPr="00576D60" w14:paraId="466EE38C" w14:textId="77777777" w:rsidTr="002F32E3">
        <w:trPr>
          <w:cantSplit/>
        </w:trPr>
        <w:tc>
          <w:tcPr>
            <w:tcW w:w="1500" w:type="pct"/>
            <w:shd w:val="clear" w:color="auto" w:fill="auto"/>
          </w:tcPr>
          <w:p w14:paraId="51DFA1C5" w14:textId="77777777" w:rsidR="00E93F58" w:rsidRPr="00576D60" w:rsidRDefault="00E93F58" w:rsidP="003D2B1E">
            <w:pPr>
              <w:pStyle w:val="ENoteTableText"/>
              <w:tabs>
                <w:tab w:val="left" w:leader="dot" w:pos="2268"/>
              </w:tabs>
            </w:pPr>
            <w:r w:rsidRPr="00576D60">
              <w:t>r. 10.2.08</w:t>
            </w:r>
            <w:r w:rsidRPr="00576D60">
              <w:tab/>
            </w:r>
          </w:p>
        </w:tc>
        <w:tc>
          <w:tcPr>
            <w:tcW w:w="3500" w:type="pct"/>
            <w:shd w:val="clear" w:color="auto" w:fill="auto"/>
          </w:tcPr>
          <w:p w14:paraId="0B4DE5A0" w14:textId="77777777" w:rsidR="00E93F58" w:rsidRPr="00576D60" w:rsidRDefault="00E93F58" w:rsidP="003D2B1E">
            <w:pPr>
              <w:pStyle w:val="ENoteTableText"/>
            </w:pPr>
            <w:r w:rsidRPr="00576D60">
              <w:t>ad. 2001 No. 319</w:t>
            </w:r>
          </w:p>
        </w:tc>
      </w:tr>
      <w:tr w:rsidR="00E93F58" w:rsidRPr="00576D60" w14:paraId="5EDA91FD" w14:textId="77777777" w:rsidTr="002F32E3">
        <w:trPr>
          <w:cantSplit/>
        </w:trPr>
        <w:tc>
          <w:tcPr>
            <w:tcW w:w="1500" w:type="pct"/>
            <w:shd w:val="clear" w:color="auto" w:fill="auto"/>
          </w:tcPr>
          <w:p w14:paraId="271C4315" w14:textId="77777777" w:rsidR="00E93F58" w:rsidRPr="00576D60" w:rsidRDefault="00E93F58" w:rsidP="003D2B1E">
            <w:pPr>
              <w:pStyle w:val="ENoteTableText"/>
              <w:tabs>
                <w:tab w:val="left" w:leader="dot" w:pos="2268"/>
              </w:tabs>
            </w:pPr>
            <w:r w:rsidRPr="00576D60">
              <w:t>r. 10.2.09</w:t>
            </w:r>
            <w:r w:rsidRPr="00576D60">
              <w:tab/>
            </w:r>
          </w:p>
        </w:tc>
        <w:tc>
          <w:tcPr>
            <w:tcW w:w="3500" w:type="pct"/>
            <w:shd w:val="clear" w:color="auto" w:fill="auto"/>
          </w:tcPr>
          <w:p w14:paraId="02465293" w14:textId="77777777" w:rsidR="00E93F58" w:rsidRPr="00576D60" w:rsidRDefault="00E93F58" w:rsidP="003D2B1E">
            <w:pPr>
              <w:pStyle w:val="ENoteTableText"/>
            </w:pPr>
            <w:r w:rsidRPr="00576D60">
              <w:t>ad. 2001 No. 319</w:t>
            </w:r>
          </w:p>
        </w:tc>
      </w:tr>
      <w:tr w:rsidR="00E93F58" w:rsidRPr="00576D60" w14:paraId="3E51E7C7" w14:textId="77777777" w:rsidTr="002F32E3">
        <w:trPr>
          <w:cantSplit/>
        </w:trPr>
        <w:tc>
          <w:tcPr>
            <w:tcW w:w="1500" w:type="pct"/>
            <w:shd w:val="clear" w:color="auto" w:fill="auto"/>
          </w:tcPr>
          <w:p w14:paraId="021F86C9" w14:textId="77777777" w:rsidR="00E93F58" w:rsidRPr="00576D60" w:rsidRDefault="00E93F58" w:rsidP="003D2B1E">
            <w:pPr>
              <w:pStyle w:val="ENoteTableText"/>
              <w:tabs>
                <w:tab w:val="left" w:leader="dot" w:pos="2268"/>
              </w:tabs>
            </w:pPr>
            <w:r w:rsidRPr="00576D60">
              <w:t>r. 10.2.10</w:t>
            </w:r>
            <w:r w:rsidRPr="00576D60">
              <w:tab/>
            </w:r>
          </w:p>
        </w:tc>
        <w:tc>
          <w:tcPr>
            <w:tcW w:w="3500" w:type="pct"/>
            <w:shd w:val="clear" w:color="auto" w:fill="auto"/>
          </w:tcPr>
          <w:p w14:paraId="0E827868" w14:textId="77777777" w:rsidR="00E93F58" w:rsidRPr="00576D60" w:rsidRDefault="00E93F58" w:rsidP="003D2B1E">
            <w:pPr>
              <w:pStyle w:val="ENoteTableText"/>
            </w:pPr>
            <w:r w:rsidRPr="00576D60">
              <w:t>ad. 2001 No. 319</w:t>
            </w:r>
          </w:p>
        </w:tc>
      </w:tr>
      <w:tr w:rsidR="00E93F58" w:rsidRPr="00576D60" w14:paraId="24886FF7" w14:textId="77777777" w:rsidTr="002F32E3">
        <w:trPr>
          <w:cantSplit/>
        </w:trPr>
        <w:tc>
          <w:tcPr>
            <w:tcW w:w="1500" w:type="pct"/>
            <w:shd w:val="clear" w:color="auto" w:fill="auto"/>
          </w:tcPr>
          <w:p w14:paraId="67359E66" w14:textId="77777777" w:rsidR="00E93F58" w:rsidRPr="00576D60" w:rsidRDefault="00E93F58" w:rsidP="003D2B1E">
            <w:pPr>
              <w:pStyle w:val="ENoteTableText"/>
              <w:tabs>
                <w:tab w:val="left" w:leader="dot" w:pos="2268"/>
              </w:tabs>
            </w:pPr>
            <w:r w:rsidRPr="00576D60">
              <w:t>r. 10.2.11</w:t>
            </w:r>
            <w:r w:rsidRPr="00576D60">
              <w:tab/>
            </w:r>
          </w:p>
        </w:tc>
        <w:tc>
          <w:tcPr>
            <w:tcW w:w="3500" w:type="pct"/>
            <w:shd w:val="clear" w:color="auto" w:fill="auto"/>
          </w:tcPr>
          <w:p w14:paraId="0F0A987B" w14:textId="77777777" w:rsidR="00E93F58" w:rsidRPr="00576D60" w:rsidRDefault="00E93F58" w:rsidP="003D2B1E">
            <w:pPr>
              <w:pStyle w:val="ENoteTableText"/>
            </w:pPr>
            <w:r w:rsidRPr="00576D60">
              <w:t>ad. 2001 No. 319</w:t>
            </w:r>
          </w:p>
        </w:tc>
      </w:tr>
      <w:tr w:rsidR="00E93F58" w:rsidRPr="00576D60" w14:paraId="0ED13169" w14:textId="77777777" w:rsidTr="002F32E3">
        <w:trPr>
          <w:cantSplit/>
        </w:trPr>
        <w:tc>
          <w:tcPr>
            <w:tcW w:w="1500" w:type="pct"/>
            <w:shd w:val="clear" w:color="auto" w:fill="auto"/>
          </w:tcPr>
          <w:p w14:paraId="213C22EF" w14:textId="77777777" w:rsidR="00E93F58" w:rsidRPr="00576D60" w:rsidRDefault="00E93F58" w:rsidP="00E71EB0">
            <w:pPr>
              <w:pStyle w:val="ENoteTableText"/>
              <w:keepNext/>
              <w:tabs>
                <w:tab w:val="left" w:leader="dot" w:pos="2268"/>
              </w:tabs>
              <w:rPr>
                <w:b/>
              </w:rPr>
            </w:pPr>
            <w:r w:rsidRPr="00576D60">
              <w:rPr>
                <w:b/>
              </w:rPr>
              <w:t>Division 4</w:t>
            </w:r>
          </w:p>
        </w:tc>
        <w:tc>
          <w:tcPr>
            <w:tcW w:w="3500" w:type="pct"/>
            <w:shd w:val="clear" w:color="auto" w:fill="auto"/>
          </w:tcPr>
          <w:p w14:paraId="1B14FA40" w14:textId="77777777" w:rsidR="00E93F58" w:rsidRPr="00576D60" w:rsidRDefault="00E93F58" w:rsidP="003D2B1E">
            <w:pPr>
              <w:pStyle w:val="ENoteTableText"/>
            </w:pPr>
          </w:p>
        </w:tc>
      </w:tr>
      <w:tr w:rsidR="00E93F58" w:rsidRPr="00576D60" w14:paraId="72489332" w14:textId="77777777" w:rsidTr="002F32E3">
        <w:trPr>
          <w:cantSplit/>
        </w:trPr>
        <w:tc>
          <w:tcPr>
            <w:tcW w:w="1500" w:type="pct"/>
            <w:shd w:val="clear" w:color="auto" w:fill="auto"/>
          </w:tcPr>
          <w:p w14:paraId="0A61398D" w14:textId="77777777" w:rsidR="00E93F58" w:rsidRPr="00576D60" w:rsidRDefault="00E93F58" w:rsidP="003D2B1E">
            <w:pPr>
              <w:pStyle w:val="ENoteTableText"/>
              <w:tabs>
                <w:tab w:val="left" w:leader="dot" w:pos="2268"/>
              </w:tabs>
            </w:pPr>
            <w:r w:rsidRPr="00576D60">
              <w:t>r. 10.2.12</w:t>
            </w:r>
            <w:r w:rsidRPr="00576D60">
              <w:tab/>
            </w:r>
          </w:p>
        </w:tc>
        <w:tc>
          <w:tcPr>
            <w:tcW w:w="3500" w:type="pct"/>
            <w:shd w:val="clear" w:color="auto" w:fill="auto"/>
          </w:tcPr>
          <w:p w14:paraId="4EE996BC" w14:textId="77777777" w:rsidR="00E93F58" w:rsidRPr="00576D60" w:rsidRDefault="00E93F58" w:rsidP="003D2B1E">
            <w:pPr>
              <w:pStyle w:val="ENoteTableText"/>
            </w:pPr>
            <w:r w:rsidRPr="00576D60">
              <w:t>ad. 2001 No. 319</w:t>
            </w:r>
          </w:p>
        </w:tc>
      </w:tr>
      <w:tr w:rsidR="00E93F58" w:rsidRPr="00576D60" w14:paraId="5C9A00E9" w14:textId="77777777" w:rsidTr="002F32E3">
        <w:trPr>
          <w:cantSplit/>
        </w:trPr>
        <w:tc>
          <w:tcPr>
            <w:tcW w:w="1500" w:type="pct"/>
            <w:shd w:val="clear" w:color="auto" w:fill="auto"/>
          </w:tcPr>
          <w:p w14:paraId="6543CA64" w14:textId="77777777" w:rsidR="00E93F58" w:rsidRPr="00576D60" w:rsidRDefault="00E93F58" w:rsidP="003D2B1E">
            <w:pPr>
              <w:pStyle w:val="ENoteTableText"/>
              <w:tabs>
                <w:tab w:val="left" w:leader="dot" w:pos="2268"/>
              </w:tabs>
            </w:pPr>
            <w:r w:rsidRPr="00576D60">
              <w:t>r. 10.2.13</w:t>
            </w:r>
            <w:r w:rsidRPr="00576D60">
              <w:tab/>
            </w:r>
          </w:p>
        </w:tc>
        <w:tc>
          <w:tcPr>
            <w:tcW w:w="3500" w:type="pct"/>
            <w:shd w:val="clear" w:color="auto" w:fill="auto"/>
          </w:tcPr>
          <w:p w14:paraId="74B84773" w14:textId="77777777" w:rsidR="00E93F58" w:rsidRPr="00576D60" w:rsidRDefault="00E93F58" w:rsidP="003D2B1E">
            <w:pPr>
              <w:pStyle w:val="ENoteTableText"/>
            </w:pPr>
            <w:r w:rsidRPr="00576D60">
              <w:t>ad. 2001 No. 319</w:t>
            </w:r>
          </w:p>
        </w:tc>
      </w:tr>
      <w:tr w:rsidR="00E93F58" w:rsidRPr="00576D60" w14:paraId="50EBE9DC" w14:textId="77777777" w:rsidTr="002F32E3">
        <w:trPr>
          <w:cantSplit/>
        </w:trPr>
        <w:tc>
          <w:tcPr>
            <w:tcW w:w="1500" w:type="pct"/>
            <w:shd w:val="clear" w:color="auto" w:fill="auto"/>
          </w:tcPr>
          <w:p w14:paraId="1B21C77C" w14:textId="77777777" w:rsidR="00E93F58" w:rsidRPr="00576D60" w:rsidRDefault="00E93F58" w:rsidP="003D2B1E">
            <w:pPr>
              <w:pStyle w:val="ENoteTableText"/>
              <w:tabs>
                <w:tab w:val="left" w:leader="dot" w:pos="2268"/>
              </w:tabs>
            </w:pPr>
            <w:r w:rsidRPr="00576D60">
              <w:t>r. 10.2.14</w:t>
            </w:r>
            <w:r w:rsidRPr="00576D60">
              <w:tab/>
            </w:r>
          </w:p>
        </w:tc>
        <w:tc>
          <w:tcPr>
            <w:tcW w:w="3500" w:type="pct"/>
            <w:shd w:val="clear" w:color="auto" w:fill="auto"/>
          </w:tcPr>
          <w:p w14:paraId="79EE958B" w14:textId="77777777" w:rsidR="00E93F58" w:rsidRPr="00576D60" w:rsidRDefault="00E93F58" w:rsidP="003D2B1E">
            <w:pPr>
              <w:pStyle w:val="ENoteTableText"/>
            </w:pPr>
            <w:r w:rsidRPr="00576D60">
              <w:t>ad. 2001 No. 319</w:t>
            </w:r>
          </w:p>
        </w:tc>
      </w:tr>
      <w:tr w:rsidR="00E93F58" w:rsidRPr="00576D60" w14:paraId="0E72C9F4" w14:textId="77777777" w:rsidTr="002F32E3">
        <w:trPr>
          <w:cantSplit/>
        </w:trPr>
        <w:tc>
          <w:tcPr>
            <w:tcW w:w="1500" w:type="pct"/>
            <w:shd w:val="clear" w:color="auto" w:fill="auto"/>
          </w:tcPr>
          <w:p w14:paraId="05777A36" w14:textId="77777777" w:rsidR="00E93F58" w:rsidRPr="00576D60" w:rsidRDefault="00E93F58" w:rsidP="003D2B1E">
            <w:pPr>
              <w:pStyle w:val="ENoteTableText"/>
              <w:tabs>
                <w:tab w:val="left" w:leader="dot" w:pos="2268"/>
              </w:tabs>
            </w:pPr>
            <w:r w:rsidRPr="00576D60">
              <w:t>r. 10.2.15</w:t>
            </w:r>
            <w:r w:rsidRPr="00576D60">
              <w:tab/>
            </w:r>
          </w:p>
        </w:tc>
        <w:tc>
          <w:tcPr>
            <w:tcW w:w="3500" w:type="pct"/>
            <w:shd w:val="clear" w:color="auto" w:fill="auto"/>
          </w:tcPr>
          <w:p w14:paraId="53982290" w14:textId="77777777" w:rsidR="00E93F58" w:rsidRPr="00576D60" w:rsidRDefault="00E93F58" w:rsidP="003D2B1E">
            <w:pPr>
              <w:pStyle w:val="ENoteTableText"/>
            </w:pPr>
            <w:r w:rsidRPr="00576D60">
              <w:t>ad. 2001 No. 319</w:t>
            </w:r>
          </w:p>
        </w:tc>
      </w:tr>
      <w:tr w:rsidR="00E93F58" w:rsidRPr="00576D60" w14:paraId="6616213A" w14:textId="77777777" w:rsidTr="002F32E3">
        <w:trPr>
          <w:cantSplit/>
        </w:trPr>
        <w:tc>
          <w:tcPr>
            <w:tcW w:w="1500" w:type="pct"/>
            <w:shd w:val="clear" w:color="auto" w:fill="auto"/>
          </w:tcPr>
          <w:p w14:paraId="64BA4EBC" w14:textId="77777777" w:rsidR="00E93F58" w:rsidRPr="00576D60" w:rsidRDefault="00E93F58" w:rsidP="003D2B1E">
            <w:pPr>
              <w:pStyle w:val="ENoteTableText"/>
              <w:tabs>
                <w:tab w:val="left" w:leader="dot" w:pos="2268"/>
              </w:tabs>
            </w:pPr>
            <w:r w:rsidRPr="00576D60">
              <w:t>r. 10.2.16</w:t>
            </w:r>
            <w:r w:rsidRPr="00576D60">
              <w:tab/>
            </w:r>
          </w:p>
        </w:tc>
        <w:tc>
          <w:tcPr>
            <w:tcW w:w="3500" w:type="pct"/>
            <w:shd w:val="clear" w:color="auto" w:fill="auto"/>
          </w:tcPr>
          <w:p w14:paraId="5A6B6BDF" w14:textId="77777777" w:rsidR="00E93F58" w:rsidRPr="00576D60" w:rsidRDefault="00E93F58" w:rsidP="003D2B1E">
            <w:pPr>
              <w:pStyle w:val="ENoteTableText"/>
            </w:pPr>
            <w:r w:rsidRPr="00576D60">
              <w:t>ad. 2001 No. 319</w:t>
            </w:r>
          </w:p>
        </w:tc>
      </w:tr>
      <w:tr w:rsidR="00E93F58" w:rsidRPr="00576D60" w14:paraId="71DD47E9" w14:textId="77777777" w:rsidTr="002F32E3">
        <w:trPr>
          <w:cantSplit/>
        </w:trPr>
        <w:tc>
          <w:tcPr>
            <w:tcW w:w="1500" w:type="pct"/>
            <w:shd w:val="clear" w:color="auto" w:fill="auto"/>
          </w:tcPr>
          <w:p w14:paraId="7A059864" w14:textId="77777777" w:rsidR="00E93F58" w:rsidRPr="00576D60" w:rsidRDefault="00E93F58" w:rsidP="003D2B1E">
            <w:pPr>
              <w:pStyle w:val="ENoteTableText"/>
              <w:tabs>
                <w:tab w:val="left" w:leader="dot" w:pos="2268"/>
              </w:tabs>
            </w:pPr>
            <w:r w:rsidRPr="00576D60">
              <w:t>r. 10.2.17</w:t>
            </w:r>
            <w:r w:rsidRPr="00576D60">
              <w:tab/>
            </w:r>
          </w:p>
        </w:tc>
        <w:tc>
          <w:tcPr>
            <w:tcW w:w="3500" w:type="pct"/>
            <w:shd w:val="clear" w:color="auto" w:fill="auto"/>
          </w:tcPr>
          <w:p w14:paraId="43B42ADD" w14:textId="77777777" w:rsidR="00E93F58" w:rsidRPr="00576D60" w:rsidRDefault="00E93F58" w:rsidP="003D2B1E">
            <w:pPr>
              <w:pStyle w:val="ENoteTableText"/>
            </w:pPr>
            <w:r w:rsidRPr="00576D60">
              <w:t>ad. 2001 No. 319</w:t>
            </w:r>
          </w:p>
        </w:tc>
      </w:tr>
      <w:tr w:rsidR="00E93F58" w:rsidRPr="00576D60" w14:paraId="2C27C347" w14:textId="77777777" w:rsidTr="002F32E3">
        <w:trPr>
          <w:cantSplit/>
        </w:trPr>
        <w:tc>
          <w:tcPr>
            <w:tcW w:w="1500" w:type="pct"/>
            <w:shd w:val="clear" w:color="auto" w:fill="auto"/>
          </w:tcPr>
          <w:p w14:paraId="511C9780" w14:textId="77777777" w:rsidR="00E93F58" w:rsidRPr="00576D60" w:rsidRDefault="00E93F58" w:rsidP="003D2B1E">
            <w:pPr>
              <w:pStyle w:val="ENoteTableText"/>
              <w:tabs>
                <w:tab w:val="left" w:leader="dot" w:pos="2268"/>
              </w:tabs>
            </w:pPr>
            <w:r w:rsidRPr="00576D60">
              <w:t>r. 10.2.18</w:t>
            </w:r>
            <w:r w:rsidRPr="00576D60">
              <w:tab/>
            </w:r>
          </w:p>
        </w:tc>
        <w:tc>
          <w:tcPr>
            <w:tcW w:w="3500" w:type="pct"/>
            <w:shd w:val="clear" w:color="auto" w:fill="auto"/>
          </w:tcPr>
          <w:p w14:paraId="50ECEC08" w14:textId="77777777" w:rsidR="00E93F58" w:rsidRPr="00576D60" w:rsidRDefault="00E93F58" w:rsidP="003D2B1E">
            <w:pPr>
              <w:pStyle w:val="ENoteTableText"/>
            </w:pPr>
            <w:r w:rsidRPr="00576D60">
              <w:t>ad. 2001 No. 319</w:t>
            </w:r>
          </w:p>
        </w:tc>
      </w:tr>
      <w:tr w:rsidR="00E93F58" w:rsidRPr="00576D60" w14:paraId="40738087" w14:textId="77777777" w:rsidTr="002F32E3">
        <w:trPr>
          <w:cantSplit/>
        </w:trPr>
        <w:tc>
          <w:tcPr>
            <w:tcW w:w="1500" w:type="pct"/>
            <w:shd w:val="clear" w:color="auto" w:fill="auto"/>
          </w:tcPr>
          <w:p w14:paraId="0C7B4281" w14:textId="77777777" w:rsidR="00E93F58" w:rsidRPr="00576D60" w:rsidRDefault="00E93F58" w:rsidP="003D2B1E">
            <w:pPr>
              <w:pStyle w:val="ENoteTableText"/>
              <w:keepNext/>
              <w:tabs>
                <w:tab w:val="left" w:leader="dot" w:pos="2268"/>
              </w:tabs>
              <w:rPr>
                <w:b/>
              </w:rPr>
            </w:pPr>
            <w:r w:rsidRPr="00576D60">
              <w:rPr>
                <w:b/>
              </w:rPr>
              <w:t>Division 5</w:t>
            </w:r>
          </w:p>
        </w:tc>
        <w:tc>
          <w:tcPr>
            <w:tcW w:w="3500" w:type="pct"/>
            <w:shd w:val="clear" w:color="auto" w:fill="auto"/>
          </w:tcPr>
          <w:p w14:paraId="6FB2FBD1" w14:textId="77777777" w:rsidR="00E93F58" w:rsidRPr="00576D60" w:rsidRDefault="00E93F58" w:rsidP="003D2B1E">
            <w:pPr>
              <w:pStyle w:val="ENoteTableText"/>
              <w:keepNext/>
            </w:pPr>
          </w:p>
        </w:tc>
      </w:tr>
      <w:tr w:rsidR="00E93F58" w:rsidRPr="00576D60" w14:paraId="23677184" w14:textId="77777777" w:rsidTr="002F32E3">
        <w:trPr>
          <w:cantSplit/>
        </w:trPr>
        <w:tc>
          <w:tcPr>
            <w:tcW w:w="1500" w:type="pct"/>
            <w:shd w:val="clear" w:color="auto" w:fill="auto"/>
          </w:tcPr>
          <w:p w14:paraId="2A16A1C5" w14:textId="77777777" w:rsidR="00E93F58" w:rsidRPr="00576D60" w:rsidRDefault="00E93F58" w:rsidP="003D2B1E">
            <w:pPr>
              <w:pStyle w:val="ENoteTableText"/>
              <w:tabs>
                <w:tab w:val="left" w:leader="dot" w:pos="2268"/>
              </w:tabs>
            </w:pPr>
            <w:r w:rsidRPr="00576D60">
              <w:t>r. 10.2.19</w:t>
            </w:r>
            <w:r w:rsidRPr="00576D60">
              <w:tab/>
            </w:r>
          </w:p>
        </w:tc>
        <w:tc>
          <w:tcPr>
            <w:tcW w:w="3500" w:type="pct"/>
            <w:shd w:val="clear" w:color="auto" w:fill="auto"/>
          </w:tcPr>
          <w:p w14:paraId="4148DD88" w14:textId="77777777" w:rsidR="00E93F58" w:rsidRPr="00576D60" w:rsidRDefault="00E93F58" w:rsidP="003D2B1E">
            <w:pPr>
              <w:pStyle w:val="ENoteTableText"/>
            </w:pPr>
            <w:r w:rsidRPr="00576D60">
              <w:t>ad. 2001 No. 319</w:t>
            </w:r>
          </w:p>
        </w:tc>
      </w:tr>
      <w:tr w:rsidR="00E93F58" w:rsidRPr="00576D60" w14:paraId="21EAB624" w14:textId="77777777" w:rsidTr="002F32E3">
        <w:trPr>
          <w:cantSplit/>
        </w:trPr>
        <w:tc>
          <w:tcPr>
            <w:tcW w:w="1500" w:type="pct"/>
            <w:shd w:val="clear" w:color="auto" w:fill="auto"/>
          </w:tcPr>
          <w:p w14:paraId="527A96E4" w14:textId="77777777" w:rsidR="00E93F58" w:rsidRPr="00576D60" w:rsidRDefault="00E93F58" w:rsidP="003D2B1E">
            <w:pPr>
              <w:pStyle w:val="ENoteTableText"/>
              <w:tabs>
                <w:tab w:val="left" w:leader="dot" w:pos="2268"/>
              </w:tabs>
            </w:pPr>
            <w:r w:rsidRPr="00576D60">
              <w:t>r. 10.2.20</w:t>
            </w:r>
            <w:r w:rsidRPr="00576D60">
              <w:tab/>
            </w:r>
          </w:p>
        </w:tc>
        <w:tc>
          <w:tcPr>
            <w:tcW w:w="3500" w:type="pct"/>
            <w:shd w:val="clear" w:color="auto" w:fill="auto"/>
          </w:tcPr>
          <w:p w14:paraId="43FB7CAC" w14:textId="77777777" w:rsidR="00E93F58" w:rsidRPr="00576D60" w:rsidRDefault="00E93F58" w:rsidP="003D2B1E">
            <w:pPr>
              <w:pStyle w:val="ENoteTableText"/>
            </w:pPr>
            <w:r w:rsidRPr="00576D60">
              <w:t>ad. 2001 No. 319</w:t>
            </w:r>
          </w:p>
        </w:tc>
      </w:tr>
      <w:tr w:rsidR="00E93F58" w:rsidRPr="00576D60" w14:paraId="72D97BC8" w14:textId="77777777" w:rsidTr="002F32E3">
        <w:trPr>
          <w:cantSplit/>
        </w:trPr>
        <w:tc>
          <w:tcPr>
            <w:tcW w:w="1500" w:type="pct"/>
            <w:shd w:val="clear" w:color="auto" w:fill="auto"/>
          </w:tcPr>
          <w:p w14:paraId="445A4CE2" w14:textId="77777777" w:rsidR="00E93F58" w:rsidRPr="00576D60" w:rsidRDefault="00E93F58" w:rsidP="003D2B1E">
            <w:pPr>
              <w:pStyle w:val="ENoteTableText"/>
              <w:tabs>
                <w:tab w:val="left" w:leader="dot" w:pos="2268"/>
              </w:tabs>
              <w:rPr>
                <w:b/>
              </w:rPr>
            </w:pPr>
            <w:r w:rsidRPr="00576D60">
              <w:rPr>
                <w:b/>
              </w:rPr>
              <w:t>Division 5A</w:t>
            </w:r>
          </w:p>
        </w:tc>
        <w:tc>
          <w:tcPr>
            <w:tcW w:w="3500" w:type="pct"/>
            <w:shd w:val="clear" w:color="auto" w:fill="auto"/>
          </w:tcPr>
          <w:p w14:paraId="574450B8" w14:textId="77777777" w:rsidR="00E93F58" w:rsidRPr="00576D60" w:rsidRDefault="00E93F58" w:rsidP="003D2B1E">
            <w:pPr>
              <w:pStyle w:val="ENoteTableText"/>
            </w:pPr>
          </w:p>
        </w:tc>
      </w:tr>
      <w:tr w:rsidR="00E93F58" w:rsidRPr="00576D60" w14:paraId="4E846053" w14:textId="77777777" w:rsidTr="002F32E3">
        <w:trPr>
          <w:cantSplit/>
        </w:trPr>
        <w:tc>
          <w:tcPr>
            <w:tcW w:w="1500" w:type="pct"/>
            <w:shd w:val="clear" w:color="auto" w:fill="auto"/>
          </w:tcPr>
          <w:p w14:paraId="1C6E98CD" w14:textId="77777777" w:rsidR="00E93F58" w:rsidRPr="00576D60" w:rsidRDefault="00E93F58" w:rsidP="003D2B1E">
            <w:pPr>
              <w:pStyle w:val="ENoteTableText"/>
              <w:tabs>
                <w:tab w:val="left" w:leader="dot" w:pos="2268"/>
              </w:tabs>
            </w:pPr>
            <w:r w:rsidRPr="00576D60">
              <w:t>Division 5A</w:t>
            </w:r>
            <w:r w:rsidRPr="00576D60">
              <w:tab/>
            </w:r>
          </w:p>
        </w:tc>
        <w:tc>
          <w:tcPr>
            <w:tcW w:w="3500" w:type="pct"/>
            <w:shd w:val="clear" w:color="auto" w:fill="auto"/>
          </w:tcPr>
          <w:p w14:paraId="59E8AEBD" w14:textId="77777777" w:rsidR="00E93F58" w:rsidRPr="00576D60" w:rsidRDefault="00E93F58" w:rsidP="003D2B1E">
            <w:pPr>
              <w:pStyle w:val="ENoteTableText"/>
            </w:pPr>
            <w:r w:rsidRPr="00576D60">
              <w:t>ad. 2002 No. 53</w:t>
            </w:r>
          </w:p>
        </w:tc>
      </w:tr>
      <w:tr w:rsidR="00E93F58" w:rsidRPr="00576D60" w14:paraId="1B921239" w14:textId="77777777" w:rsidTr="002F32E3">
        <w:trPr>
          <w:cantSplit/>
        </w:trPr>
        <w:tc>
          <w:tcPr>
            <w:tcW w:w="1500" w:type="pct"/>
            <w:shd w:val="clear" w:color="auto" w:fill="auto"/>
          </w:tcPr>
          <w:p w14:paraId="47703DEC" w14:textId="77777777" w:rsidR="00E93F58" w:rsidRPr="00576D60" w:rsidRDefault="00E93F58" w:rsidP="003D2B1E">
            <w:pPr>
              <w:pStyle w:val="ENoteTableText"/>
              <w:tabs>
                <w:tab w:val="left" w:leader="dot" w:pos="2268"/>
              </w:tabs>
            </w:pPr>
            <w:r w:rsidRPr="00576D60">
              <w:t>r. 10.2.20A</w:t>
            </w:r>
            <w:r w:rsidRPr="00576D60">
              <w:tab/>
            </w:r>
          </w:p>
        </w:tc>
        <w:tc>
          <w:tcPr>
            <w:tcW w:w="3500" w:type="pct"/>
            <w:shd w:val="clear" w:color="auto" w:fill="auto"/>
          </w:tcPr>
          <w:p w14:paraId="3804648C" w14:textId="77777777" w:rsidR="00E93F58" w:rsidRPr="00576D60" w:rsidRDefault="00E93F58" w:rsidP="003D2B1E">
            <w:pPr>
              <w:pStyle w:val="ENoteTableText"/>
            </w:pPr>
            <w:r w:rsidRPr="00576D60">
              <w:t>ad. 2002 No. 53</w:t>
            </w:r>
          </w:p>
        </w:tc>
      </w:tr>
      <w:tr w:rsidR="00E93F58" w:rsidRPr="00576D60" w14:paraId="21EEE245" w14:textId="77777777" w:rsidTr="002F32E3">
        <w:trPr>
          <w:cantSplit/>
        </w:trPr>
        <w:tc>
          <w:tcPr>
            <w:tcW w:w="1500" w:type="pct"/>
            <w:shd w:val="clear" w:color="auto" w:fill="auto"/>
          </w:tcPr>
          <w:p w14:paraId="4DD1D37F" w14:textId="77777777" w:rsidR="00E93F58" w:rsidRPr="00576D60" w:rsidRDefault="00E93F58" w:rsidP="003D2B1E">
            <w:pPr>
              <w:pStyle w:val="ENoteTableText"/>
              <w:tabs>
                <w:tab w:val="left" w:leader="dot" w:pos="2268"/>
              </w:tabs>
              <w:rPr>
                <w:b/>
              </w:rPr>
            </w:pPr>
            <w:r w:rsidRPr="00576D60">
              <w:rPr>
                <w:b/>
              </w:rPr>
              <w:t>Division 5B</w:t>
            </w:r>
          </w:p>
        </w:tc>
        <w:tc>
          <w:tcPr>
            <w:tcW w:w="3500" w:type="pct"/>
            <w:shd w:val="clear" w:color="auto" w:fill="auto"/>
          </w:tcPr>
          <w:p w14:paraId="05AB9139" w14:textId="77777777" w:rsidR="00E93F58" w:rsidRPr="00576D60" w:rsidRDefault="00E93F58" w:rsidP="003D2B1E">
            <w:pPr>
              <w:pStyle w:val="ENoteTableText"/>
            </w:pPr>
          </w:p>
        </w:tc>
      </w:tr>
      <w:tr w:rsidR="00E93F58" w:rsidRPr="00576D60" w14:paraId="2AD84364" w14:textId="77777777" w:rsidTr="002F32E3">
        <w:trPr>
          <w:cantSplit/>
        </w:trPr>
        <w:tc>
          <w:tcPr>
            <w:tcW w:w="1500" w:type="pct"/>
            <w:shd w:val="clear" w:color="auto" w:fill="auto"/>
          </w:tcPr>
          <w:p w14:paraId="646B2B22" w14:textId="77777777" w:rsidR="00E93F58" w:rsidRPr="00576D60" w:rsidRDefault="00E93F58" w:rsidP="003D2B1E">
            <w:pPr>
              <w:pStyle w:val="ENoteTableText"/>
              <w:tabs>
                <w:tab w:val="left" w:leader="dot" w:pos="2268"/>
              </w:tabs>
            </w:pPr>
            <w:r w:rsidRPr="00576D60">
              <w:t>Division 5B</w:t>
            </w:r>
            <w:r w:rsidRPr="00576D60">
              <w:tab/>
            </w:r>
          </w:p>
        </w:tc>
        <w:tc>
          <w:tcPr>
            <w:tcW w:w="3500" w:type="pct"/>
            <w:shd w:val="clear" w:color="auto" w:fill="auto"/>
          </w:tcPr>
          <w:p w14:paraId="7E62AEC9" w14:textId="77777777" w:rsidR="00E93F58" w:rsidRPr="00576D60" w:rsidRDefault="00E93F58" w:rsidP="003D2B1E">
            <w:pPr>
              <w:pStyle w:val="ENoteTableText"/>
            </w:pPr>
            <w:r w:rsidRPr="00576D60">
              <w:t>ad. 2002 No. 126</w:t>
            </w:r>
          </w:p>
        </w:tc>
      </w:tr>
      <w:tr w:rsidR="00E93F58" w:rsidRPr="00576D60" w14:paraId="764A4758" w14:textId="77777777" w:rsidTr="002F32E3">
        <w:trPr>
          <w:cantSplit/>
        </w:trPr>
        <w:tc>
          <w:tcPr>
            <w:tcW w:w="1500" w:type="pct"/>
            <w:shd w:val="clear" w:color="auto" w:fill="auto"/>
          </w:tcPr>
          <w:p w14:paraId="459E1C3C" w14:textId="77777777" w:rsidR="00E93F58" w:rsidRPr="00576D60" w:rsidRDefault="00E93F58" w:rsidP="003D2B1E">
            <w:pPr>
              <w:pStyle w:val="ENoteTableText"/>
              <w:tabs>
                <w:tab w:val="left" w:leader="dot" w:pos="2268"/>
              </w:tabs>
            </w:pPr>
            <w:r w:rsidRPr="00576D60">
              <w:t>r. 10.2.20B</w:t>
            </w:r>
            <w:r w:rsidRPr="00576D60">
              <w:tab/>
            </w:r>
          </w:p>
        </w:tc>
        <w:tc>
          <w:tcPr>
            <w:tcW w:w="3500" w:type="pct"/>
            <w:shd w:val="clear" w:color="auto" w:fill="auto"/>
          </w:tcPr>
          <w:p w14:paraId="5DADF985" w14:textId="77777777" w:rsidR="00E93F58" w:rsidRPr="00576D60" w:rsidRDefault="00E93F58" w:rsidP="003D2B1E">
            <w:pPr>
              <w:pStyle w:val="ENoteTableText"/>
            </w:pPr>
            <w:r w:rsidRPr="00576D60">
              <w:t>ad. 2002 No. 126</w:t>
            </w:r>
          </w:p>
        </w:tc>
      </w:tr>
      <w:tr w:rsidR="00E93F58" w:rsidRPr="00576D60" w14:paraId="2DF008B3" w14:textId="77777777" w:rsidTr="002F32E3">
        <w:trPr>
          <w:cantSplit/>
        </w:trPr>
        <w:tc>
          <w:tcPr>
            <w:tcW w:w="1500" w:type="pct"/>
            <w:shd w:val="clear" w:color="auto" w:fill="auto"/>
          </w:tcPr>
          <w:p w14:paraId="1A9FE79E" w14:textId="77777777" w:rsidR="00E93F58" w:rsidRPr="00576D60" w:rsidRDefault="00E93F58" w:rsidP="003D2B1E">
            <w:pPr>
              <w:pStyle w:val="ENoteTableText"/>
              <w:tabs>
                <w:tab w:val="left" w:leader="dot" w:pos="2268"/>
              </w:tabs>
              <w:rPr>
                <w:b/>
              </w:rPr>
            </w:pPr>
            <w:r w:rsidRPr="00576D60">
              <w:rPr>
                <w:b/>
              </w:rPr>
              <w:lastRenderedPageBreak/>
              <w:t>Division 6</w:t>
            </w:r>
          </w:p>
        </w:tc>
        <w:tc>
          <w:tcPr>
            <w:tcW w:w="3500" w:type="pct"/>
            <w:shd w:val="clear" w:color="auto" w:fill="auto"/>
          </w:tcPr>
          <w:p w14:paraId="03855A90" w14:textId="77777777" w:rsidR="00E93F58" w:rsidRPr="00576D60" w:rsidRDefault="00E93F58" w:rsidP="003D2B1E">
            <w:pPr>
              <w:pStyle w:val="ENoteTableText"/>
              <w:keepNext/>
              <w:keepLines/>
            </w:pPr>
          </w:p>
        </w:tc>
      </w:tr>
      <w:tr w:rsidR="00E93F58" w:rsidRPr="00576D60" w14:paraId="20D344E6" w14:textId="77777777" w:rsidTr="002F32E3">
        <w:trPr>
          <w:cantSplit/>
        </w:trPr>
        <w:tc>
          <w:tcPr>
            <w:tcW w:w="1500" w:type="pct"/>
            <w:shd w:val="clear" w:color="auto" w:fill="auto"/>
          </w:tcPr>
          <w:p w14:paraId="6C8A9251" w14:textId="77777777" w:rsidR="00E93F58" w:rsidRPr="00576D60" w:rsidRDefault="00E93F58" w:rsidP="003D2B1E">
            <w:pPr>
              <w:pStyle w:val="ENoteTableText"/>
              <w:tabs>
                <w:tab w:val="left" w:leader="dot" w:pos="2268"/>
              </w:tabs>
            </w:pPr>
            <w:r w:rsidRPr="00576D60">
              <w:t>r. 10.2.21</w:t>
            </w:r>
            <w:r w:rsidRPr="00576D60">
              <w:tab/>
            </w:r>
          </w:p>
        </w:tc>
        <w:tc>
          <w:tcPr>
            <w:tcW w:w="3500" w:type="pct"/>
            <w:shd w:val="clear" w:color="auto" w:fill="auto"/>
          </w:tcPr>
          <w:p w14:paraId="1B1C1EB8" w14:textId="77777777" w:rsidR="00E93F58" w:rsidRPr="00576D60" w:rsidRDefault="00E93F58" w:rsidP="003D2B1E">
            <w:pPr>
              <w:pStyle w:val="ENoteTableText"/>
            </w:pPr>
            <w:r w:rsidRPr="00576D60">
              <w:t>ad. 2001 No. 319</w:t>
            </w:r>
          </w:p>
        </w:tc>
      </w:tr>
      <w:tr w:rsidR="00E93F58" w:rsidRPr="00576D60" w14:paraId="0E49EBB6" w14:textId="77777777" w:rsidTr="002F32E3">
        <w:trPr>
          <w:cantSplit/>
        </w:trPr>
        <w:tc>
          <w:tcPr>
            <w:tcW w:w="1500" w:type="pct"/>
            <w:shd w:val="clear" w:color="auto" w:fill="auto"/>
          </w:tcPr>
          <w:p w14:paraId="6406ED0A" w14:textId="77777777" w:rsidR="00E93F58" w:rsidRPr="00576D60" w:rsidRDefault="00E93F58" w:rsidP="003D2B1E">
            <w:pPr>
              <w:pStyle w:val="ENoteTableText"/>
              <w:tabs>
                <w:tab w:val="left" w:leader="dot" w:pos="2268"/>
              </w:tabs>
            </w:pPr>
            <w:r w:rsidRPr="00576D60">
              <w:t>r. 10.2.22</w:t>
            </w:r>
            <w:r w:rsidRPr="00576D60">
              <w:tab/>
            </w:r>
          </w:p>
        </w:tc>
        <w:tc>
          <w:tcPr>
            <w:tcW w:w="3500" w:type="pct"/>
            <w:shd w:val="clear" w:color="auto" w:fill="auto"/>
          </w:tcPr>
          <w:p w14:paraId="78C08F64" w14:textId="77777777" w:rsidR="00E93F58" w:rsidRPr="00576D60" w:rsidRDefault="00E93F58" w:rsidP="003D2B1E">
            <w:pPr>
              <w:pStyle w:val="ENoteTableText"/>
            </w:pPr>
            <w:r w:rsidRPr="00576D60">
              <w:t>ad. 2001 No. 319</w:t>
            </w:r>
          </w:p>
        </w:tc>
      </w:tr>
      <w:tr w:rsidR="00E93F58" w:rsidRPr="00576D60" w14:paraId="05A52EEB" w14:textId="77777777" w:rsidTr="002F32E3">
        <w:trPr>
          <w:cantSplit/>
        </w:trPr>
        <w:tc>
          <w:tcPr>
            <w:tcW w:w="1500" w:type="pct"/>
            <w:shd w:val="clear" w:color="auto" w:fill="auto"/>
          </w:tcPr>
          <w:p w14:paraId="44E46CAC" w14:textId="77777777" w:rsidR="00E93F58" w:rsidRPr="00576D60" w:rsidRDefault="00E93F58" w:rsidP="003D2B1E">
            <w:pPr>
              <w:pStyle w:val="ENoteTableText"/>
              <w:tabs>
                <w:tab w:val="left" w:leader="dot" w:pos="2268"/>
              </w:tabs>
              <w:rPr>
                <w:b/>
              </w:rPr>
            </w:pPr>
            <w:r w:rsidRPr="00576D60">
              <w:rPr>
                <w:b/>
              </w:rPr>
              <w:t>Division 7</w:t>
            </w:r>
          </w:p>
        </w:tc>
        <w:tc>
          <w:tcPr>
            <w:tcW w:w="3500" w:type="pct"/>
            <w:shd w:val="clear" w:color="auto" w:fill="auto"/>
          </w:tcPr>
          <w:p w14:paraId="0A29EE3C" w14:textId="77777777" w:rsidR="00E93F58" w:rsidRPr="00576D60" w:rsidRDefault="00E93F58" w:rsidP="003D2B1E">
            <w:pPr>
              <w:pStyle w:val="ENoteTableText"/>
            </w:pPr>
          </w:p>
        </w:tc>
      </w:tr>
      <w:tr w:rsidR="00E93F58" w:rsidRPr="00576D60" w14:paraId="702FA4A6" w14:textId="77777777" w:rsidTr="002F32E3">
        <w:trPr>
          <w:cantSplit/>
        </w:trPr>
        <w:tc>
          <w:tcPr>
            <w:tcW w:w="1500" w:type="pct"/>
            <w:shd w:val="clear" w:color="auto" w:fill="auto"/>
          </w:tcPr>
          <w:p w14:paraId="2D05ACE9" w14:textId="77777777" w:rsidR="00E93F58" w:rsidRPr="00576D60" w:rsidRDefault="00E93F58" w:rsidP="003D2B1E">
            <w:pPr>
              <w:pStyle w:val="ENoteTableText"/>
              <w:tabs>
                <w:tab w:val="left" w:leader="dot" w:pos="2268"/>
              </w:tabs>
            </w:pPr>
            <w:r w:rsidRPr="00576D60">
              <w:t>r. 10.2.23</w:t>
            </w:r>
            <w:r w:rsidRPr="00576D60">
              <w:tab/>
            </w:r>
          </w:p>
        </w:tc>
        <w:tc>
          <w:tcPr>
            <w:tcW w:w="3500" w:type="pct"/>
            <w:shd w:val="clear" w:color="auto" w:fill="auto"/>
          </w:tcPr>
          <w:p w14:paraId="4DC741AF" w14:textId="77777777" w:rsidR="00E93F58" w:rsidRPr="00576D60" w:rsidRDefault="00E93F58" w:rsidP="003D2B1E">
            <w:pPr>
              <w:pStyle w:val="ENoteTableText"/>
            </w:pPr>
            <w:r w:rsidRPr="00576D60">
              <w:t>ad. 2001 No. 319</w:t>
            </w:r>
          </w:p>
        </w:tc>
      </w:tr>
      <w:tr w:rsidR="00E93F58" w:rsidRPr="00576D60" w14:paraId="22822DC9" w14:textId="77777777" w:rsidTr="002F32E3">
        <w:trPr>
          <w:cantSplit/>
        </w:trPr>
        <w:tc>
          <w:tcPr>
            <w:tcW w:w="1500" w:type="pct"/>
            <w:shd w:val="clear" w:color="auto" w:fill="auto"/>
          </w:tcPr>
          <w:p w14:paraId="6ECC587B" w14:textId="77777777" w:rsidR="00E93F58" w:rsidRPr="00576D60" w:rsidRDefault="00E93F58" w:rsidP="003D2B1E">
            <w:pPr>
              <w:pStyle w:val="ENoteTableText"/>
              <w:tabs>
                <w:tab w:val="left" w:leader="dot" w:pos="2268"/>
              </w:tabs>
            </w:pPr>
            <w:r w:rsidRPr="00576D60">
              <w:t>r. 10.2.24</w:t>
            </w:r>
            <w:r w:rsidRPr="00576D60">
              <w:tab/>
            </w:r>
          </w:p>
        </w:tc>
        <w:tc>
          <w:tcPr>
            <w:tcW w:w="3500" w:type="pct"/>
            <w:shd w:val="clear" w:color="auto" w:fill="auto"/>
          </w:tcPr>
          <w:p w14:paraId="306B6158" w14:textId="77777777" w:rsidR="00E93F58" w:rsidRPr="00576D60" w:rsidRDefault="00E93F58" w:rsidP="003D2B1E">
            <w:pPr>
              <w:pStyle w:val="ENoteTableText"/>
            </w:pPr>
            <w:r w:rsidRPr="00576D60">
              <w:t>ad. 2001 No. 319</w:t>
            </w:r>
          </w:p>
        </w:tc>
      </w:tr>
      <w:tr w:rsidR="00E93F58" w:rsidRPr="00576D60" w14:paraId="0D16B1FF" w14:textId="77777777" w:rsidTr="002F32E3">
        <w:trPr>
          <w:cantSplit/>
        </w:trPr>
        <w:tc>
          <w:tcPr>
            <w:tcW w:w="1500" w:type="pct"/>
            <w:shd w:val="clear" w:color="auto" w:fill="auto"/>
          </w:tcPr>
          <w:p w14:paraId="77233010" w14:textId="77777777" w:rsidR="00E93F58" w:rsidRPr="00576D60" w:rsidRDefault="00E93F58" w:rsidP="003D2B1E">
            <w:pPr>
              <w:pStyle w:val="ENoteTableText"/>
              <w:tabs>
                <w:tab w:val="left" w:leader="dot" w:pos="2268"/>
              </w:tabs>
              <w:rPr>
                <w:b/>
              </w:rPr>
            </w:pPr>
            <w:r w:rsidRPr="00576D60">
              <w:rPr>
                <w:b/>
              </w:rPr>
              <w:t>Division 8</w:t>
            </w:r>
          </w:p>
        </w:tc>
        <w:tc>
          <w:tcPr>
            <w:tcW w:w="3500" w:type="pct"/>
            <w:shd w:val="clear" w:color="auto" w:fill="auto"/>
          </w:tcPr>
          <w:p w14:paraId="1BF7D0EC" w14:textId="77777777" w:rsidR="00E93F58" w:rsidRPr="00576D60" w:rsidRDefault="00E93F58" w:rsidP="003D2B1E">
            <w:pPr>
              <w:pStyle w:val="ENoteTableText"/>
              <w:keepNext/>
            </w:pPr>
          </w:p>
        </w:tc>
      </w:tr>
      <w:tr w:rsidR="00E93F58" w:rsidRPr="00576D60" w14:paraId="0FD8BF14" w14:textId="77777777" w:rsidTr="002F32E3">
        <w:trPr>
          <w:cantSplit/>
        </w:trPr>
        <w:tc>
          <w:tcPr>
            <w:tcW w:w="1500" w:type="pct"/>
            <w:shd w:val="clear" w:color="auto" w:fill="auto"/>
          </w:tcPr>
          <w:p w14:paraId="3AB74952" w14:textId="77777777" w:rsidR="00E93F58" w:rsidRPr="00576D60" w:rsidRDefault="00E93F58" w:rsidP="003D2B1E">
            <w:pPr>
              <w:pStyle w:val="ENoteTableText"/>
              <w:tabs>
                <w:tab w:val="left" w:leader="dot" w:pos="2268"/>
              </w:tabs>
            </w:pPr>
            <w:r w:rsidRPr="00576D60">
              <w:t>Division 8</w:t>
            </w:r>
            <w:r w:rsidRPr="00576D60">
              <w:tab/>
            </w:r>
          </w:p>
        </w:tc>
        <w:tc>
          <w:tcPr>
            <w:tcW w:w="3500" w:type="pct"/>
            <w:shd w:val="clear" w:color="auto" w:fill="auto"/>
          </w:tcPr>
          <w:p w14:paraId="2484A5C8" w14:textId="77777777" w:rsidR="00E93F58" w:rsidRPr="00576D60" w:rsidRDefault="00E93F58" w:rsidP="003D2B1E">
            <w:pPr>
              <w:pStyle w:val="ENoteTableText"/>
            </w:pPr>
            <w:r w:rsidRPr="00576D60">
              <w:t>rs. 2002 No. 145</w:t>
            </w:r>
          </w:p>
        </w:tc>
      </w:tr>
      <w:tr w:rsidR="00E93F58" w:rsidRPr="00576D60" w14:paraId="513AC91E" w14:textId="77777777" w:rsidTr="002F32E3">
        <w:trPr>
          <w:cantSplit/>
        </w:trPr>
        <w:tc>
          <w:tcPr>
            <w:tcW w:w="1500" w:type="pct"/>
            <w:shd w:val="clear" w:color="auto" w:fill="auto"/>
          </w:tcPr>
          <w:p w14:paraId="09271871" w14:textId="77777777" w:rsidR="00E93F58" w:rsidRPr="00576D60" w:rsidRDefault="00E93F58" w:rsidP="003D2B1E">
            <w:pPr>
              <w:pStyle w:val="ENoteTableText"/>
              <w:tabs>
                <w:tab w:val="left" w:leader="dot" w:pos="2268"/>
              </w:tabs>
            </w:pPr>
            <w:r w:rsidRPr="00576D60">
              <w:t>r. 10.2.25</w:t>
            </w:r>
            <w:r w:rsidRPr="00576D60">
              <w:tab/>
            </w:r>
          </w:p>
        </w:tc>
        <w:tc>
          <w:tcPr>
            <w:tcW w:w="3500" w:type="pct"/>
            <w:shd w:val="clear" w:color="auto" w:fill="auto"/>
          </w:tcPr>
          <w:p w14:paraId="3BE1670A" w14:textId="77777777" w:rsidR="00E93F58" w:rsidRPr="00576D60" w:rsidRDefault="00E93F58" w:rsidP="003D2B1E">
            <w:pPr>
              <w:pStyle w:val="ENoteTableText"/>
            </w:pPr>
            <w:r w:rsidRPr="00576D60">
              <w:t>ad. 2001 No. 319</w:t>
            </w:r>
          </w:p>
        </w:tc>
      </w:tr>
      <w:tr w:rsidR="00E93F58" w:rsidRPr="00576D60" w14:paraId="3E080689" w14:textId="77777777" w:rsidTr="002F32E3">
        <w:trPr>
          <w:cantSplit/>
        </w:trPr>
        <w:tc>
          <w:tcPr>
            <w:tcW w:w="1500" w:type="pct"/>
            <w:shd w:val="clear" w:color="auto" w:fill="auto"/>
          </w:tcPr>
          <w:p w14:paraId="57425F9C" w14:textId="77777777" w:rsidR="00E93F58" w:rsidRPr="00576D60" w:rsidRDefault="00E93F58" w:rsidP="003D2B1E">
            <w:pPr>
              <w:pStyle w:val="ENoteTableText"/>
            </w:pPr>
          </w:p>
        </w:tc>
        <w:tc>
          <w:tcPr>
            <w:tcW w:w="3500" w:type="pct"/>
            <w:shd w:val="clear" w:color="auto" w:fill="auto"/>
          </w:tcPr>
          <w:p w14:paraId="285ACA1A" w14:textId="77777777" w:rsidR="00E93F58" w:rsidRPr="00576D60" w:rsidRDefault="00E93F58" w:rsidP="003D2B1E">
            <w:pPr>
              <w:pStyle w:val="ENoteTableText"/>
            </w:pPr>
            <w:r w:rsidRPr="00576D60">
              <w:t>am. 2002 No. 16</w:t>
            </w:r>
          </w:p>
        </w:tc>
      </w:tr>
      <w:tr w:rsidR="00E93F58" w:rsidRPr="00576D60" w14:paraId="281611A4" w14:textId="77777777" w:rsidTr="002F32E3">
        <w:trPr>
          <w:cantSplit/>
        </w:trPr>
        <w:tc>
          <w:tcPr>
            <w:tcW w:w="1500" w:type="pct"/>
            <w:shd w:val="clear" w:color="auto" w:fill="auto"/>
          </w:tcPr>
          <w:p w14:paraId="54EF8D5C" w14:textId="77777777" w:rsidR="00E93F58" w:rsidRPr="00576D60" w:rsidRDefault="00E93F58" w:rsidP="003D2B1E">
            <w:pPr>
              <w:pStyle w:val="ENoteTableText"/>
              <w:tabs>
                <w:tab w:val="left" w:leader="dot" w:pos="2268"/>
              </w:tabs>
            </w:pPr>
            <w:r w:rsidRPr="00576D60">
              <w:t>r. 10.2.26</w:t>
            </w:r>
            <w:r w:rsidRPr="00576D60">
              <w:tab/>
            </w:r>
          </w:p>
        </w:tc>
        <w:tc>
          <w:tcPr>
            <w:tcW w:w="3500" w:type="pct"/>
            <w:shd w:val="clear" w:color="auto" w:fill="auto"/>
          </w:tcPr>
          <w:p w14:paraId="050EE93A" w14:textId="77777777" w:rsidR="00E93F58" w:rsidRPr="00576D60" w:rsidRDefault="00E93F58" w:rsidP="003D2B1E">
            <w:pPr>
              <w:pStyle w:val="ENoteTableText"/>
            </w:pPr>
            <w:r w:rsidRPr="00576D60">
              <w:t>ad. 2001 No. 319</w:t>
            </w:r>
          </w:p>
        </w:tc>
      </w:tr>
      <w:tr w:rsidR="00E93F58" w:rsidRPr="00576D60" w14:paraId="28A6A14F" w14:textId="77777777" w:rsidTr="002F32E3">
        <w:trPr>
          <w:cantSplit/>
        </w:trPr>
        <w:tc>
          <w:tcPr>
            <w:tcW w:w="1500" w:type="pct"/>
            <w:shd w:val="clear" w:color="auto" w:fill="auto"/>
          </w:tcPr>
          <w:p w14:paraId="71AF8390" w14:textId="77777777" w:rsidR="00E93F58" w:rsidRPr="00576D60" w:rsidRDefault="00E93F58" w:rsidP="003D2B1E">
            <w:pPr>
              <w:pStyle w:val="ENoteTableText"/>
            </w:pPr>
          </w:p>
        </w:tc>
        <w:tc>
          <w:tcPr>
            <w:tcW w:w="3500" w:type="pct"/>
            <w:shd w:val="clear" w:color="auto" w:fill="auto"/>
          </w:tcPr>
          <w:p w14:paraId="755713FC" w14:textId="77777777" w:rsidR="00E93F58" w:rsidRPr="00576D60" w:rsidRDefault="00E93F58" w:rsidP="003D2B1E">
            <w:pPr>
              <w:pStyle w:val="ENoteTableText"/>
            </w:pPr>
            <w:r w:rsidRPr="00576D60">
              <w:t>am. 2002 No. 16; 2005 No. 38</w:t>
            </w:r>
          </w:p>
        </w:tc>
      </w:tr>
      <w:tr w:rsidR="00E93F58" w:rsidRPr="00576D60" w14:paraId="61CB81B1" w14:textId="77777777" w:rsidTr="002F32E3">
        <w:trPr>
          <w:cantSplit/>
        </w:trPr>
        <w:tc>
          <w:tcPr>
            <w:tcW w:w="1500" w:type="pct"/>
            <w:shd w:val="clear" w:color="auto" w:fill="auto"/>
          </w:tcPr>
          <w:p w14:paraId="1B8729CB" w14:textId="77777777" w:rsidR="00E93F58" w:rsidRPr="00576D60" w:rsidRDefault="00E93F58" w:rsidP="003D2B1E">
            <w:pPr>
              <w:pStyle w:val="ENoteTableText"/>
              <w:tabs>
                <w:tab w:val="left" w:leader="dot" w:pos="2268"/>
              </w:tabs>
            </w:pPr>
            <w:r w:rsidRPr="00576D60">
              <w:t>r. 10.2.27</w:t>
            </w:r>
            <w:r w:rsidRPr="00576D60">
              <w:tab/>
            </w:r>
          </w:p>
        </w:tc>
        <w:tc>
          <w:tcPr>
            <w:tcW w:w="3500" w:type="pct"/>
            <w:shd w:val="clear" w:color="auto" w:fill="auto"/>
          </w:tcPr>
          <w:p w14:paraId="2B5B1F46" w14:textId="77777777" w:rsidR="00E93F58" w:rsidRPr="00576D60" w:rsidRDefault="00E93F58" w:rsidP="003D2B1E">
            <w:pPr>
              <w:pStyle w:val="ENoteTableText"/>
            </w:pPr>
            <w:r w:rsidRPr="00576D60">
              <w:t>ad. 2001 No. 319</w:t>
            </w:r>
          </w:p>
        </w:tc>
      </w:tr>
      <w:tr w:rsidR="00E93F58" w:rsidRPr="00576D60" w14:paraId="78C56470" w14:textId="77777777" w:rsidTr="002F32E3">
        <w:trPr>
          <w:cantSplit/>
        </w:trPr>
        <w:tc>
          <w:tcPr>
            <w:tcW w:w="1500" w:type="pct"/>
            <w:shd w:val="clear" w:color="auto" w:fill="auto"/>
          </w:tcPr>
          <w:p w14:paraId="573B4528" w14:textId="77777777" w:rsidR="00E93F58" w:rsidRPr="00576D60" w:rsidRDefault="00E93F58" w:rsidP="003D2B1E">
            <w:pPr>
              <w:pStyle w:val="ENoteTableText"/>
            </w:pPr>
          </w:p>
        </w:tc>
        <w:tc>
          <w:tcPr>
            <w:tcW w:w="3500" w:type="pct"/>
            <w:shd w:val="clear" w:color="auto" w:fill="auto"/>
          </w:tcPr>
          <w:p w14:paraId="17D8F1EA" w14:textId="77777777" w:rsidR="00E93F58" w:rsidRPr="00576D60" w:rsidRDefault="00E93F58" w:rsidP="003D2B1E">
            <w:pPr>
              <w:pStyle w:val="ENoteTableText"/>
            </w:pPr>
            <w:r w:rsidRPr="00576D60">
              <w:t>am. 2002 No. 16; 2005 No. 38</w:t>
            </w:r>
          </w:p>
        </w:tc>
      </w:tr>
      <w:tr w:rsidR="00E93F58" w:rsidRPr="00576D60" w14:paraId="1552D632" w14:textId="77777777" w:rsidTr="002F32E3">
        <w:trPr>
          <w:cantSplit/>
        </w:trPr>
        <w:tc>
          <w:tcPr>
            <w:tcW w:w="1500" w:type="pct"/>
            <w:shd w:val="clear" w:color="auto" w:fill="auto"/>
          </w:tcPr>
          <w:p w14:paraId="47AB1300" w14:textId="77777777" w:rsidR="00E93F58" w:rsidRPr="00576D60" w:rsidRDefault="00E93F58" w:rsidP="003D2B1E">
            <w:pPr>
              <w:pStyle w:val="ENoteTableText"/>
              <w:tabs>
                <w:tab w:val="left" w:leader="dot" w:pos="2268"/>
              </w:tabs>
            </w:pPr>
            <w:r w:rsidRPr="00576D60">
              <w:t>r. 10.2.27A</w:t>
            </w:r>
            <w:r w:rsidRPr="00576D60">
              <w:tab/>
            </w:r>
          </w:p>
        </w:tc>
        <w:tc>
          <w:tcPr>
            <w:tcW w:w="3500" w:type="pct"/>
            <w:shd w:val="clear" w:color="auto" w:fill="auto"/>
          </w:tcPr>
          <w:p w14:paraId="0904B9A6" w14:textId="77777777" w:rsidR="00E93F58" w:rsidRPr="00576D60" w:rsidRDefault="00E93F58" w:rsidP="003D2B1E">
            <w:pPr>
              <w:pStyle w:val="ENoteTableText"/>
            </w:pPr>
            <w:r w:rsidRPr="00576D60">
              <w:t>ad. 2002 No. 145</w:t>
            </w:r>
          </w:p>
        </w:tc>
      </w:tr>
      <w:tr w:rsidR="00E93F58" w:rsidRPr="00576D60" w14:paraId="18DB7BCE" w14:textId="77777777" w:rsidTr="002F32E3">
        <w:trPr>
          <w:cantSplit/>
        </w:trPr>
        <w:tc>
          <w:tcPr>
            <w:tcW w:w="1500" w:type="pct"/>
            <w:shd w:val="clear" w:color="auto" w:fill="auto"/>
          </w:tcPr>
          <w:p w14:paraId="25EFFB2E" w14:textId="77777777" w:rsidR="00E93F58" w:rsidRPr="00576D60" w:rsidRDefault="00E93F58" w:rsidP="003D2B1E">
            <w:pPr>
              <w:pStyle w:val="ENoteTableText"/>
              <w:tabs>
                <w:tab w:val="left" w:leader="dot" w:pos="2268"/>
              </w:tabs>
              <w:rPr>
                <w:b/>
              </w:rPr>
            </w:pPr>
            <w:r w:rsidRPr="00576D60">
              <w:rPr>
                <w:b/>
              </w:rPr>
              <w:t>Division 9</w:t>
            </w:r>
          </w:p>
        </w:tc>
        <w:tc>
          <w:tcPr>
            <w:tcW w:w="3500" w:type="pct"/>
            <w:shd w:val="clear" w:color="auto" w:fill="auto"/>
          </w:tcPr>
          <w:p w14:paraId="0283E456" w14:textId="77777777" w:rsidR="00E93F58" w:rsidRPr="00576D60" w:rsidRDefault="00E93F58" w:rsidP="003D2B1E">
            <w:pPr>
              <w:pStyle w:val="ENoteTableText"/>
            </w:pPr>
          </w:p>
        </w:tc>
      </w:tr>
      <w:tr w:rsidR="00E93F58" w:rsidRPr="00576D60" w14:paraId="46E7F7B9" w14:textId="77777777" w:rsidTr="002F32E3">
        <w:trPr>
          <w:cantSplit/>
        </w:trPr>
        <w:tc>
          <w:tcPr>
            <w:tcW w:w="1500" w:type="pct"/>
            <w:shd w:val="clear" w:color="auto" w:fill="auto"/>
          </w:tcPr>
          <w:p w14:paraId="37294908" w14:textId="77777777" w:rsidR="00E93F58" w:rsidRPr="00576D60" w:rsidRDefault="00E93F58" w:rsidP="003D2B1E">
            <w:pPr>
              <w:pStyle w:val="ENoteTableText"/>
              <w:tabs>
                <w:tab w:val="left" w:leader="dot" w:pos="2268"/>
              </w:tabs>
            </w:pPr>
            <w:r w:rsidRPr="00576D60">
              <w:t>r. 10.2.28</w:t>
            </w:r>
            <w:r w:rsidRPr="00576D60">
              <w:tab/>
            </w:r>
          </w:p>
        </w:tc>
        <w:tc>
          <w:tcPr>
            <w:tcW w:w="3500" w:type="pct"/>
            <w:shd w:val="clear" w:color="auto" w:fill="auto"/>
          </w:tcPr>
          <w:p w14:paraId="45E3956B" w14:textId="77777777" w:rsidR="00E93F58" w:rsidRPr="00576D60" w:rsidRDefault="00E93F58" w:rsidP="003D2B1E">
            <w:pPr>
              <w:pStyle w:val="ENoteTableText"/>
            </w:pPr>
            <w:r w:rsidRPr="00576D60">
              <w:t>ad. 2001 No. 319</w:t>
            </w:r>
          </w:p>
        </w:tc>
      </w:tr>
      <w:tr w:rsidR="00E93F58" w:rsidRPr="00576D60" w14:paraId="02EB5DB7" w14:textId="77777777" w:rsidTr="002F32E3">
        <w:trPr>
          <w:cantSplit/>
        </w:trPr>
        <w:tc>
          <w:tcPr>
            <w:tcW w:w="1500" w:type="pct"/>
            <w:shd w:val="clear" w:color="auto" w:fill="auto"/>
          </w:tcPr>
          <w:p w14:paraId="4C17437B" w14:textId="77777777" w:rsidR="00E93F58" w:rsidRPr="00576D60" w:rsidRDefault="00E93F58" w:rsidP="003D2B1E">
            <w:pPr>
              <w:pStyle w:val="ENoteTableText"/>
            </w:pPr>
          </w:p>
        </w:tc>
        <w:tc>
          <w:tcPr>
            <w:tcW w:w="3500" w:type="pct"/>
            <w:shd w:val="clear" w:color="auto" w:fill="auto"/>
          </w:tcPr>
          <w:p w14:paraId="3384A644" w14:textId="77777777" w:rsidR="00E93F58" w:rsidRPr="00576D60" w:rsidRDefault="00E93F58" w:rsidP="003D2B1E">
            <w:pPr>
              <w:pStyle w:val="ENoteTableText"/>
            </w:pPr>
            <w:r w:rsidRPr="00576D60">
              <w:t>am. 2002 No. 16</w:t>
            </w:r>
          </w:p>
        </w:tc>
      </w:tr>
      <w:tr w:rsidR="00E93F58" w:rsidRPr="00576D60" w14:paraId="24154350" w14:textId="77777777" w:rsidTr="002F32E3">
        <w:trPr>
          <w:cantSplit/>
        </w:trPr>
        <w:tc>
          <w:tcPr>
            <w:tcW w:w="1500" w:type="pct"/>
            <w:shd w:val="clear" w:color="auto" w:fill="auto"/>
          </w:tcPr>
          <w:p w14:paraId="1A76F53F" w14:textId="77777777" w:rsidR="00E93F58" w:rsidRPr="00576D60" w:rsidRDefault="00E93F58" w:rsidP="003D2B1E">
            <w:pPr>
              <w:pStyle w:val="ENoteTableText"/>
              <w:tabs>
                <w:tab w:val="left" w:leader="dot" w:pos="2268"/>
              </w:tabs>
            </w:pPr>
            <w:r w:rsidRPr="00576D60">
              <w:t>r. 10.2.29</w:t>
            </w:r>
            <w:r w:rsidRPr="00576D60">
              <w:tab/>
            </w:r>
          </w:p>
        </w:tc>
        <w:tc>
          <w:tcPr>
            <w:tcW w:w="3500" w:type="pct"/>
            <w:shd w:val="clear" w:color="auto" w:fill="auto"/>
          </w:tcPr>
          <w:p w14:paraId="60AB3B78" w14:textId="77777777" w:rsidR="00E93F58" w:rsidRPr="00576D60" w:rsidRDefault="00E93F58" w:rsidP="003D2B1E">
            <w:pPr>
              <w:pStyle w:val="ENoteTableText"/>
            </w:pPr>
            <w:r w:rsidRPr="00576D60">
              <w:t>ad. 2001 No. 319</w:t>
            </w:r>
          </w:p>
        </w:tc>
      </w:tr>
      <w:tr w:rsidR="00E93F58" w:rsidRPr="00576D60" w14:paraId="121296BB" w14:textId="77777777" w:rsidTr="002F32E3">
        <w:trPr>
          <w:cantSplit/>
        </w:trPr>
        <w:tc>
          <w:tcPr>
            <w:tcW w:w="1500" w:type="pct"/>
            <w:shd w:val="clear" w:color="auto" w:fill="auto"/>
          </w:tcPr>
          <w:p w14:paraId="5EC409EF" w14:textId="77777777" w:rsidR="00E93F58" w:rsidRPr="00576D60" w:rsidRDefault="00E93F58" w:rsidP="003D2B1E">
            <w:pPr>
              <w:pStyle w:val="ENoteTableText"/>
            </w:pPr>
          </w:p>
        </w:tc>
        <w:tc>
          <w:tcPr>
            <w:tcW w:w="3500" w:type="pct"/>
            <w:shd w:val="clear" w:color="auto" w:fill="auto"/>
          </w:tcPr>
          <w:p w14:paraId="21BE06AB" w14:textId="77777777" w:rsidR="00E93F58" w:rsidRPr="00576D60" w:rsidRDefault="00E93F58" w:rsidP="003D2B1E">
            <w:pPr>
              <w:pStyle w:val="ENoteTableText"/>
            </w:pPr>
            <w:r w:rsidRPr="00576D60">
              <w:t>am. 2002 No. 16</w:t>
            </w:r>
          </w:p>
        </w:tc>
      </w:tr>
      <w:tr w:rsidR="00E93F58" w:rsidRPr="00576D60" w14:paraId="44F4A4D8" w14:textId="77777777" w:rsidTr="002F32E3">
        <w:trPr>
          <w:cantSplit/>
        </w:trPr>
        <w:tc>
          <w:tcPr>
            <w:tcW w:w="1500" w:type="pct"/>
            <w:shd w:val="clear" w:color="auto" w:fill="auto"/>
          </w:tcPr>
          <w:p w14:paraId="6E2D37C8" w14:textId="77777777" w:rsidR="00E93F58" w:rsidRPr="00576D60" w:rsidRDefault="00E93F58" w:rsidP="003D2B1E">
            <w:pPr>
              <w:pStyle w:val="ENoteTableText"/>
              <w:tabs>
                <w:tab w:val="left" w:leader="dot" w:pos="2268"/>
              </w:tabs>
            </w:pPr>
            <w:r w:rsidRPr="00576D60">
              <w:t>r. 10.2.29A</w:t>
            </w:r>
            <w:r w:rsidRPr="00576D60">
              <w:tab/>
            </w:r>
          </w:p>
        </w:tc>
        <w:tc>
          <w:tcPr>
            <w:tcW w:w="3500" w:type="pct"/>
            <w:shd w:val="clear" w:color="auto" w:fill="auto"/>
          </w:tcPr>
          <w:p w14:paraId="57C1E82B" w14:textId="77777777" w:rsidR="00E93F58" w:rsidRPr="00576D60" w:rsidRDefault="00E93F58" w:rsidP="003D2B1E">
            <w:pPr>
              <w:pStyle w:val="ENoteTableText"/>
            </w:pPr>
            <w:r w:rsidRPr="00576D60">
              <w:t>ad. 2002 No. 16</w:t>
            </w:r>
          </w:p>
        </w:tc>
      </w:tr>
      <w:tr w:rsidR="00E93F58" w:rsidRPr="00576D60" w14:paraId="5192FC05" w14:textId="77777777" w:rsidTr="002F32E3">
        <w:trPr>
          <w:cantSplit/>
        </w:trPr>
        <w:tc>
          <w:tcPr>
            <w:tcW w:w="1500" w:type="pct"/>
            <w:shd w:val="clear" w:color="auto" w:fill="auto"/>
          </w:tcPr>
          <w:p w14:paraId="7864C988" w14:textId="77777777" w:rsidR="00E93F58" w:rsidRPr="00576D60" w:rsidRDefault="00E93F58" w:rsidP="003D2B1E">
            <w:pPr>
              <w:pStyle w:val="ENoteTableText"/>
              <w:tabs>
                <w:tab w:val="left" w:leader="dot" w:pos="2268"/>
              </w:tabs>
            </w:pPr>
            <w:r w:rsidRPr="00576D60">
              <w:t>r. 10.2.30</w:t>
            </w:r>
            <w:r w:rsidRPr="00576D60">
              <w:tab/>
            </w:r>
          </w:p>
        </w:tc>
        <w:tc>
          <w:tcPr>
            <w:tcW w:w="3500" w:type="pct"/>
            <w:shd w:val="clear" w:color="auto" w:fill="auto"/>
          </w:tcPr>
          <w:p w14:paraId="4D946928" w14:textId="77777777" w:rsidR="00E93F58" w:rsidRPr="00576D60" w:rsidRDefault="00E93F58" w:rsidP="003D2B1E">
            <w:pPr>
              <w:pStyle w:val="ENoteTableText"/>
            </w:pPr>
            <w:r w:rsidRPr="00576D60">
              <w:t>ad. 2001 No. 319</w:t>
            </w:r>
          </w:p>
        </w:tc>
      </w:tr>
      <w:tr w:rsidR="00E93F58" w:rsidRPr="00576D60" w14:paraId="51EDC2CE" w14:textId="77777777" w:rsidTr="002F32E3">
        <w:trPr>
          <w:cantSplit/>
        </w:trPr>
        <w:tc>
          <w:tcPr>
            <w:tcW w:w="1500" w:type="pct"/>
            <w:shd w:val="clear" w:color="auto" w:fill="auto"/>
          </w:tcPr>
          <w:p w14:paraId="0EDB3984" w14:textId="77777777" w:rsidR="00E93F58" w:rsidRPr="00576D60" w:rsidRDefault="00E93F58" w:rsidP="003D2B1E">
            <w:pPr>
              <w:pStyle w:val="ENoteTableText"/>
            </w:pPr>
          </w:p>
        </w:tc>
        <w:tc>
          <w:tcPr>
            <w:tcW w:w="3500" w:type="pct"/>
            <w:shd w:val="clear" w:color="auto" w:fill="auto"/>
          </w:tcPr>
          <w:p w14:paraId="0B3A2D6F" w14:textId="77777777" w:rsidR="00E93F58" w:rsidRPr="00576D60" w:rsidRDefault="00E93F58" w:rsidP="003D2B1E">
            <w:pPr>
              <w:pStyle w:val="ENoteTableText"/>
            </w:pPr>
            <w:r w:rsidRPr="00576D60">
              <w:t>am. 2002 No. 16</w:t>
            </w:r>
          </w:p>
        </w:tc>
      </w:tr>
      <w:tr w:rsidR="00E93F58" w:rsidRPr="00576D60" w14:paraId="3FF073BE" w14:textId="77777777" w:rsidTr="002F32E3">
        <w:trPr>
          <w:cantSplit/>
        </w:trPr>
        <w:tc>
          <w:tcPr>
            <w:tcW w:w="1500" w:type="pct"/>
            <w:shd w:val="clear" w:color="auto" w:fill="auto"/>
          </w:tcPr>
          <w:p w14:paraId="29573D9E" w14:textId="77777777" w:rsidR="00E93F58" w:rsidRPr="00576D60" w:rsidRDefault="00E93F58" w:rsidP="003D2B1E">
            <w:pPr>
              <w:pStyle w:val="ENoteTableText"/>
              <w:tabs>
                <w:tab w:val="left" w:leader="dot" w:pos="2268"/>
              </w:tabs>
              <w:rPr>
                <w:b/>
              </w:rPr>
            </w:pPr>
            <w:r w:rsidRPr="00576D60">
              <w:rPr>
                <w:b/>
              </w:rPr>
              <w:t>Division 10</w:t>
            </w:r>
          </w:p>
        </w:tc>
        <w:tc>
          <w:tcPr>
            <w:tcW w:w="3500" w:type="pct"/>
            <w:shd w:val="clear" w:color="auto" w:fill="auto"/>
          </w:tcPr>
          <w:p w14:paraId="12E395A4" w14:textId="77777777" w:rsidR="00E93F58" w:rsidRPr="00576D60" w:rsidRDefault="00E93F58" w:rsidP="003D2B1E">
            <w:pPr>
              <w:pStyle w:val="ENoteTableText"/>
            </w:pPr>
          </w:p>
        </w:tc>
      </w:tr>
      <w:tr w:rsidR="00E93F58" w:rsidRPr="00576D60" w14:paraId="55351381" w14:textId="77777777" w:rsidTr="002F32E3">
        <w:trPr>
          <w:cantSplit/>
        </w:trPr>
        <w:tc>
          <w:tcPr>
            <w:tcW w:w="1500" w:type="pct"/>
            <w:shd w:val="clear" w:color="auto" w:fill="auto"/>
          </w:tcPr>
          <w:p w14:paraId="06951E96" w14:textId="77777777" w:rsidR="00E93F58" w:rsidRPr="00576D60" w:rsidRDefault="00E93F58" w:rsidP="003D2B1E">
            <w:pPr>
              <w:pStyle w:val="ENoteTableText"/>
              <w:tabs>
                <w:tab w:val="left" w:leader="dot" w:pos="2268"/>
              </w:tabs>
            </w:pPr>
            <w:r w:rsidRPr="00576D60">
              <w:t>r. 10.2.31</w:t>
            </w:r>
            <w:r w:rsidRPr="00576D60">
              <w:tab/>
            </w:r>
          </w:p>
        </w:tc>
        <w:tc>
          <w:tcPr>
            <w:tcW w:w="3500" w:type="pct"/>
            <w:shd w:val="clear" w:color="auto" w:fill="auto"/>
          </w:tcPr>
          <w:p w14:paraId="21C31CD0" w14:textId="77777777" w:rsidR="00E93F58" w:rsidRPr="00576D60" w:rsidRDefault="00E93F58" w:rsidP="003D2B1E">
            <w:pPr>
              <w:pStyle w:val="ENoteTableText"/>
            </w:pPr>
            <w:r w:rsidRPr="00576D60">
              <w:t>ad. 2001 No. 319</w:t>
            </w:r>
          </w:p>
        </w:tc>
      </w:tr>
      <w:tr w:rsidR="00E93F58" w:rsidRPr="00576D60" w14:paraId="76C3A9DB" w14:textId="77777777" w:rsidTr="002F32E3">
        <w:trPr>
          <w:cantSplit/>
        </w:trPr>
        <w:tc>
          <w:tcPr>
            <w:tcW w:w="1500" w:type="pct"/>
            <w:shd w:val="clear" w:color="auto" w:fill="auto"/>
          </w:tcPr>
          <w:p w14:paraId="703A21B0" w14:textId="77777777" w:rsidR="00E93F58" w:rsidRPr="00576D60" w:rsidRDefault="00E93F58" w:rsidP="003D2B1E">
            <w:pPr>
              <w:pStyle w:val="ENoteTableText"/>
              <w:tabs>
                <w:tab w:val="left" w:leader="dot" w:pos="2268"/>
              </w:tabs>
            </w:pPr>
            <w:r w:rsidRPr="00576D60">
              <w:t>r. 10.2.32</w:t>
            </w:r>
            <w:r w:rsidRPr="00576D60">
              <w:tab/>
            </w:r>
          </w:p>
        </w:tc>
        <w:tc>
          <w:tcPr>
            <w:tcW w:w="3500" w:type="pct"/>
            <w:shd w:val="clear" w:color="auto" w:fill="auto"/>
          </w:tcPr>
          <w:p w14:paraId="012B5760" w14:textId="77777777" w:rsidR="00E93F58" w:rsidRPr="00576D60" w:rsidRDefault="00E93F58" w:rsidP="003D2B1E">
            <w:pPr>
              <w:pStyle w:val="ENoteTableText"/>
            </w:pPr>
            <w:r w:rsidRPr="00576D60">
              <w:t>ad. 2001 No. 319</w:t>
            </w:r>
          </w:p>
        </w:tc>
      </w:tr>
      <w:tr w:rsidR="00E93F58" w:rsidRPr="00576D60" w14:paraId="27A75A2B" w14:textId="77777777" w:rsidTr="002F32E3">
        <w:trPr>
          <w:cantSplit/>
        </w:trPr>
        <w:tc>
          <w:tcPr>
            <w:tcW w:w="1500" w:type="pct"/>
            <w:shd w:val="clear" w:color="auto" w:fill="auto"/>
          </w:tcPr>
          <w:p w14:paraId="4B58284D" w14:textId="77777777" w:rsidR="00E93F58" w:rsidRPr="00576D60" w:rsidRDefault="00E93F58" w:rsidP="003D2B1E">
            <w:pPr>
              <w:pStyle w:val="ENoteTableText"/>
              <w:keepNext/>
              <w:keepLines/>
              <w:tabs>
                <w:tab w:val="left" w:leader="dot" w:pos="2268"/>
              </w:tabs>
              <w:rPr>
                <w:b/>
              </w:rPr>
            </w:pPr>
            <w:r w:rsidRPr="00576D60">
              <w:rPr>
                <w:b/>
              </w:rPr>
              <w:t>Division 11</w:t>
            </w:r>
          </w:p>
        </w:tc>
        <w:tc>
          <w:tcPr>
            <w:tcW w:w="3500" w:type="pct"/>
            <w:shd w:val="clear" w:color="auto" w:fill="auto"/>
          </w:tcPr>
          <w:p w14:paraId="100EED04" w14:textId="77777777" w:rsidR="00E93F58" w:rsidRPr="00576D60" w:rsidRDefault="00E93F58" w:rsidP="003D2B1E">
            <w:pPr>
              <w:pStyle w:val="ENoteTableText"/>
              <w:keepNext/>
              <w:keepLines/>
            </w:pPr>
          </w:p>
        </w:tc>
      </w:tr>
      <w:tr w:rsidR="00E93F58" w:rsidRPr="00576D60" w14:paraId="0970F96B" w14:textId="77777777" w:rsidTr="002F32E3">
        <w:trPr>
          <w:cantSplit/>
        </w:trPr>
        <w:tc>
          <w:tcPr>
            <w:tcW w:w="1500" w:type="pct"/>
            <w:shd w:val="clear" w:color="auto" w:fill="auto"/>
          </w:tcPr>
          <w:p w14:paraId="5A3AE170" w14:textId="77777777" w:rsidR="00E93F58" w:rsidRPr="00576D60" w:rsidRDefault="00E93F58" w:rsidP="003D2B1E">
            <w:pPr>
              <w:pStyle w:val="ENoteTableText"/>
              <w:tabs>
                <w:tab w:val="left" w:leader="dot" w:pos="2268"/>
              </w:tabs>
            </w:pPr>
            <w:r w:rsidRPr="00576D60">
              <w:t>r. 10.2.33</w:t>
            </w:r>
            <w:r w:rsidRPr="00576D60">
              <w:tab/>
            </w:r>
          </w:p>
        </w:tc>
        <w:tc>
          <w:tcPr>
            <w:tcW w:w="3500" w:type="pct"/>
            <w:shd w:val="clear" w:color="auto" w:fill="auto"/>
          </w:tcPr>
          <w:p w14:paraId="1FE759E9" w14:textId="77777777" w:rsidR="00E93F58" w:rsidRPr="00576D60" w:rsidRDefault="00E93F58" w:rsidP="003D2B1E">
            <w:pPr>
              <w:pStyle w:val="ENoteTableText"/>
            </w:pPr>
            <w:r w:rsidRPr="00576D60">
              <w:t>ad. 2001 No. 319</w:t>
            </w:r>
          </w:p>
        </w:tc>
      </w:tr>
      <w:tr w:rsidR="00E93F58" w:rsidRPr="00576D60" w14:paraId="2EE9843D" w14:textId="77777777" w:rsidTr="002F32E3">
        <w:trPr>
          <w:cantSplit/>
        </w:trPr>
        <w:tc>
          <w:tcPr>
            <w:tcW w:w="1500" w:type="pct"/>
            <w:shd w:val="clear" w:color="auto" w:fill="auto"/>
          </w:tcPr>
          <w:p w14:paraId="4E1D3312" w14:textId="77777777" w:rsidR="00E93F58" w:rsidRPr="00576D60" w:rsidRDefault="00E93F58" w:rsidP="003D2B1E">
            <w:pPr>
              <w:pStyle w:val="ENoteTableText"/>
            </w:pPr>
          </w:p>
        </w:tc>
        <w:tc>
          <w:tcPr>
            <w:tcW w:w="3500" w:type="pct"/>
            <w:shd w:val="clear" w:color="auto" w:fill="auto"/>
          </w:tcPr>
          <w:p w14:paraId="513D1207" w14:textId="77777777" w:rsidR="00E93F58" w:rsidRPr="00576D60" w:rsidRDefault="00E93F58" w:rsidP="003D2B1E">
            <w:pPr>
              <w:pStyle w:val="ENoteTableText"/>
            </w:pPr>
            <w:r w:rsidRPr="00576D60">
              <w:t>am. 2002 No. 16</w:t>
            </w:r>
          </w:p>
        </w:tc>
      </w:tr>
      <w:tr w:rsidR="00E93F58" w:rsidRPr="00576D60" w14:paraId="434E033F" w14:textId="77777777" w:rsidTr="002F32E3">
        <w:trPr>
          <w:cantSplit/>
        </w:trPr>
        <w:tc>
          <w:tcPr>
            <w:tcW w:w="1500" w:type="pct"/>
            <w:shd w:val="clear" w:color="auto" w:fill="auto"/>
          </w:tcPr>
          <w:p w14:paraId="4F82EF00" w14:textId="77777777" w:rsidR="00E93F58" w:rsidRPr="00576D60" w:rsidRDefault="00E93F58" w:rsidP="003D2B1E">
            <w:pPr>
              <w:pStyle w:val="ENoteTableText"/>
              <w:tabs>
                <w:tab w:val="left" w:leader="dot" w:pos="2268"/>
              </w:tabs>
              <w:rPr>
                <w:b/>
              </w:rPr>
            </w:pPr>
            <w:r w:rsidRPr="00576D60">
              <w:rPr>
                <w:b/>
              </w:rPr>
              <w:t>Division 12</w:t>
            </w:r>
          </w:p>
        </w:tc>
        <w:tc>
          <w:tcPr>
            <w:tcW w:w="3500" w:type="pct"/>
            <w:shd w:val="clear" w:color="auto" w:fill="auto"/>
          </w:tcPr>
          <w:p w14:paraId="6D17C0D8" w14:textId="77777777" w:rsidR="00E93F58" w:rsidRPr="00576D60" w:rsidRDefault="00E93F58" w:rsidP="003D2B1E">
            <w:pPr>
              <w:pStyle w:val="ENoteTableText"/>
              <w:keepNext/>
              <w:keepLines/>
            </w:pPr>
          </w:p>
        </w:tc>
      </w:tr>
      <w:tr w:rsidR="00E93F58" w:rsidRPr="00576D60" w14:paraId="3D99F4A3" w14:textId="77777777" w:rsidTr="002F32E3">
        <w:trPr>
          <w:cantSplit/>
        </w:trPr>
        <w:tc>
          <w:tcPr>
            <w:tcW w:w="1500" w:type="pct"/>
            <w:shd w:val="clear" w:color="auto" w:fill="auto"/>
          </w:tcPr>
          <w:p w14:paraId="22DF6D91" w14:textId="77777777" w:rsidR="00E93F58" w:rsidRPr="00576D60" w:rsidRDefault="00E93F58" w:rsidP="003D2B1E">
            <w:pPr>
              <w:pStyle w:val="ENoteTableText"/>
              <w:tabs>
                <w:tab w:val="left" w:leader="dot" w:pos="2268"/>
              </w:tabs>
            </w:pPr>
            <w:r w:rsidRPr="00576D60">
              <w:t>r. 10.2.34</w:t>
            </w:r>
            <w:r w:rsidRPr="00576D60">
              <w:tab/>
            </w:r>
          </w:p>
        </w:tc>
        <w:tc>
          <w:tcPr>
            <w:tcW w:w="3500" w:type="pct"/>
            <w:shd w:val="clear" w:color="auto" w:fill="auto"/>
          </w:tcPr>
          <w:p w14:paraId="707B19CE" w14:textId="77777777" w:rsidR="00E93F58" w:rsidRPr="00576D60" w:rsidRDefault="00E93F58" w:rsidP="003D2B1E">
            <w:pPr>
              <w:pStyle w:val="ENoteTableText"/>
            </w:pPr>
            <w:r w:rsidRPr="00576D60">
              <w:t>ad. 2001 No. 319</w:t>
            </w:r>
          </w:p>
        </w:tc>
      </w:tr>
      <w:tr w:rsidR="00E93F58" w:rsidRPr="00576D60" w14:paraId="75BDBB4E" w14:textId="77777777" w:rsidTr="002F32E3">
        <w:trPr>
          <w:cantSplit/>
        </w:trPr>
        <w:tc>
          <w:tcPr>
            <w:tcW w:w="1500" w:type="pct"/>
            <w:shd w:val="clear" w:color="auto" w:fill="auto"/>
          </w:tcPr>
          <w:p w14:paraId="564AF458" w14:textId="77777777" w:rsidR="00E93F58" w:rsidRPr="00576D60" w:rsidRDefault="00E93F58" w:rsidP="003D2B1E">
            <w:pPr>
              <w:pStyle w:val="ENoteTableText"/>
              <w:tabs>
                <w:tab w:val="left" w:leader="dot" w:pos="2268"/>
              </w:tabs>
              <w:rPr>
                <w:b/>
              </w:rPr>
            </w:pPr>
            <w:r w:rsidRPr="00576D60">
              <w:rPr>
                <w:b/>
              </w:rPr>
              <w:t>Division 13</w:t>
            </w:r>
          </w:p>
        </w:tc>
        <w:tc>
          <w:tcPr>
            <w:tcW w:w="3500" w:type="pct"/>
            <w:shd w:val="clear" w:color="auto" w:fill="auto"/>
          </w:tcPr>
          <w:p w14:paraId="148CB9B9" w14:textId="77777777" w:rsidR="00E93F58" w:rsidRPr="00576D60" w:rsidRDefault="00E93F58" w:rsidP="003D2B1E">
            <w:pPr>
              <w:pStyle w:val="ENoteTableText"/>
              <w:keepNext/>
              <w:keepLines/>
            </w:pPr>
          </w:p>
        </w:tc>
      </w:tr>
      <w:tr w:rsidR="00E93F58" w:rsidRPr="00576D60" w14:paraId="2862415E" w14:textId="77777777" w:rsidTr="002F32E3">
        <w:trPr>
          <w:cantSplit/>
        </w:trPr>
        <w:tc>
          <w:tcPr>
            <w:tcW w:w="1500" w:type="pct"/>
            <w:shd w:val="clear" w:color="auto" w:fill="auto"/>
          </w:tcPr>
          <w:p w14:paraId="0AC79C05" w14:textId="77777777" w:rsidR="00E93F58" w:rsidRPr="00576D60" w:rsidRDefault="00E93F58" w:rsidP="003D2B1E">
            <w:pPr>
              <w:pStyle w:val="ENoteTableText"/>
              <w:tabs>
                <w:tab w:val="left" w:leader="dot" w:pos="2268"/>
              </w:tabs>
            </w:pPr>
            <w:r w:rsidRPr="00576D60">
              <w:t>r. 10.2.35</w:t>
            </w:r>
            <w:r w:rsidRPr="00576D60">
              <w:tab/>
            </w:r>
          </w:p>
        </w:tc>
        <w:tc>
          <w:tcPr>
            <w:tcW w:w="3500" w:type="pct"/>
            <w:shd w:val="clear" w:color="auto" w:fill="auto"/>
          </w:tcPr>
          <w:p w14:paraId="26B928E3" w14:textId="77777777" w:rsidR="00E93F58" w:rsidRPr="00576D60" w:rsidRDefault="00E93F58" w:rsidP="003D2B1E">
            <w:pPr>
              <w:pStyle w:val="ENoteTableText"/>
            </w:pPr>
            <w:r w:rsidRPr="00576D60">
              <w:t>ad. 2001 No. 319</w:t>
            </w:r>
          </w:p>
        </w:tc>
      </w:tr>
      <w:tr w:rsidR="00E93F58" w:rsidRPr="00576D60" w14:paraId="2059B729" w14:textId="77777777" w:rsidTr="002F32E3">
        <w:trPr>
          <w:cantSplit/>
        </w:trPr>
        <w:tc>
          <w:tcPr>
            <w:tcW w:w="1500" w:type="pct"/>
            <w:shd w:val="clear" w:color="auto" w:fill="auto"/>
          </w:tcPr>
          <w:p w14:paraId="5C726FC4" w14:textId="77777777" w:rsidR="00E93F58" w:rsidRPr="00576D60" w:rsidRDefault="00E93F58" w:rsidP="003D2B1E">
            <w:pPr>
              <w:pStyle w:val="ENoteTableText"/>
              <w:tabs>
                <w:tab w:val="left" w:leader="dot" w:pos="2268"/>
              </w:tabs>
            </w:pPr>
            <w:r w:rsidRPr="00576D60">
              <w:t>r. 10.2.35A</w:t>
            </w:r>
            <w:r w:rsidRPr="00576D60">
              <w:tab/>
            </w:r>
          </w:p>
        </w:tc>
        <w:tc>
          <w:tcPr>
            <w:tcW w:w="3500" w:type="pct"/>
            <w:shd w:val="clear" w:color="auto" w:fill="auto"/>
          </w:tcPr>
          <w:p w14:paraId="2D368A05" w14:textId="77777777" w:rsidR="00E93F58" w:rsidRPr="00576D60" w:rsidRDefault="00E93F58" w:rsidP="003D2B1E">
            <w:pPr>
              <w:pStyle w:val="ENoteTableText"/>
            </w:pPr>
            <w:r w:rsidRPr="00576D60">
              <w:t>ad. 2003 No. 31</w:t>
            </w:r>
          </w:p>
        </w:tc>
      </w:tr>
      <w:tr w:rsidR="00E93F58" w:rsidRPr="00576D60" w14:paraId="581E59B7" w14:textId="77777777" w:rsidTr="002F32E3">
        <w:trPr>
          <w:cantSplit/>
        </w:trPr>
        <w:tc>
          <w:tcPr>
            <w:tcW w:w="1500" w:type="pct"/>
            <w:shd w:val="clear" w:color="auto" w:fill="auto"/>
          </w:tcPr>
          <w:p w14:paraId="2CD47577" w14:textId="77777777" w:rsidR="00E93F58" w:rsidRPr="00576D60" w:rsidRDefault="00E93F58" w:rsidP="003D2B1E">
            <w:pPr>
              <w:pStyle w:val="ENoteTableText"/>
              <w:tabs>
                <w:tab w:val="left" w:leader="dot" w:pos="2268"/>
              </w:tabs>
            </w:pPr>
            <w:r w:rsidRPr="00576D60">
              <w:t>r 10.2.36</w:t>
            </w:r>
            <w:r w:rsidRPr="00576D60">
              <w:tab/>
            </w:r>
          </w:p>
        </w:tc>
        <w:tc>
          <w:tcPr>
            <w:tcW w:w="3500" w:type="pct"/>
            <w:shd w:val="clear" w:color="auto" w:fill="auto"/>
          </w:tcPr>
          <w:p w14:paraId="6DAB1A56" w14:textId="77777777" w:rsidR="00E93F58" w:rsidRPr="00576D60" w:rsidRDefault="00E93F58" w:rsidP="003D2B1E">
            <w:pPr>
              <w:pStyle w:val="ENoteTableText"/>
            </w:pPr>
            <w:r w:rsidRPr="00576D60">
              <w:t>ad No 319, 2001</w:t>
            </w:r>
          </w:p>
        </w:tc>
      </w:tr>
      <w:tr w:rsidR="00E93F58" w:rsidRPr="00576D60" w14:paraId="4279D262" w14:textId="77777777" w:rsidTr="002F32E3">
        <w:trPr>
          <w:cantSplit/>
        </w:trPr>
        <w:tc>
          <w:tcPr>
            <w:tcW w:w="1500" w:type="pct"/>
            <w:shd w:val="clear" w:color="auto" w:fill="auto"/>
          </w:tcPr>
          <w:p w14:paraId="1F64A0B7" w14:textId="77777777" w:rsidR="00E93F58" w:rsidRPr="00576D60" w:rsidRDefault="00E93F58" w:rsidP="003D2B1E">
            <w:pPr>
              <w:pStyle w:val="ENoteTableText"/>
            </w:pPr>
          </w:p>
        </w:tc>
        <w:tc>
          <w:tcPr>
            <w:tcW w:w="3500" w:type="pct"/>
            <w:shd w:val="clear" w:color="auto" w:fill="auto"/>
          </w:tcPr>
          <w:p w14:paraId="72766126" w14:textId="77777777" w:rsidR="00E93F58" w:rsidRPr="00576D60" w:rsidRDefault="00E93F58" w:rsidP="003D2B1E">
            <w:pPr>
              <w:pStyle w:val="ENoteTableText"/>
            </w:pPr>
            <w:r w:rsidRPr="00576D60">
              <w:t>rs No 31, 2003</w:t>
            </w:r>
          </w:p>
        </w:tc>
      </w:tr>
      <w:tr w:rsidR="00E93F58" w:rsidRPr="00576D60" w14:paraId="7E553312" w14:textId="77777777" w:rsidTr="002F32E3">
        <w:trPr>
          <w:cantSplit/>
        </w:trPr>
        <w:tc>
          <w:tcPr>
            <w:tcW w:w="1500" w:type="pct"/>
            <w:shd w:val="clear" w:color="auto" w:fill="auto"/>
          </w:tcPr>
          <w:p w14:paraId="5688E2E0" w14:textId="77777777" w:rsidR="00E93F58" w:rsidRPr="00576D60" w:rsidRDefault="00E93F58" w:rsidP="003D2B1E">
            <w:pPr>
              <w:pStyle w:val="ENoteTableText"/>
            </w:pPr>
          </w:p>
        </w:tc>
        <w:tc>
          <w:tcPr>
            <w:tcW w:w="3500" w:type="pct"/>
            <w:shd w:val="clear" w:color="auto" w:fill="auto"/>
          </w:tcPr>
          <w:p w14:paraId="5C748D15" w14:textId="77777777" w:rsidR="00E93F58" w:rsidRPr="00576D60" w:rsidRDefault="00E93F58" w:rsidP="003D2B1E">
            <w:pPr>
              <w:pStyle w:val="ENoteTableText"/>
            </w:pPr>
            <w:r w:rsidRPr="00576D60">
              <w:t>am F2016L01926 (amdt never applied (Sch 1 item 96))</w:t>
            </w:r>
          </w:p>
        </w:tc>
      </w:tr>
      <w:tr w:rsidR="00E93F58" w:rsidRPr="00576D60" w14:paraId="1F6C4717" w14:textId="77777777" w:rsidTr="002F32E3">
        <w:trPr>
          <w:cantSplit/>
        </w:trPr>
        <w:tc>
          <w:tcPr>
            <w:tcW w:w="1500" w:type="pct"/>
            <w:shd w:val="clear" w:color="auto" w:fill="auto"/>
          </w:tcPr>
          <w:p w14:paraId="25952E94" w14:textId="77777777" w:rsidR="00E93F58" w:rsidRPr="00576D60" w:rsidRDefault="00E93F58" w:rsidP="003D2B1E">
            <w:pPr>
              <w:pStyle w:val="ENoteTableText"/>
              <w:tabs>
                <w:tab w:val="left" w:leader="dot" w:pos="2268"/>
              </w:tabs>
            </w:pPr>
            <w:r w:rsidRPr="00576D60">
              <w:t>r. 10.2.37</w:t>
            </w:r>
            <w:r w:rsidRPr="00576D60">
              <w:tab/>
            </w:r>
          </w:p>
        </w:tc>
        <w:tc>
          <w:tcPr>
            <w:tcW w:w="3500" w:type="pct"/>
            <w:shd w:val="clear" w:color="auto" w:fill="auto"/>
          </w:tcPr>
          <w:p w14:paraId="6728B31D" w14:textId="77777777" w:rsidR="00E93F58" w:rsidRPr="00576D60" w:rsidRDefault="00E93F58" w:rsidP="003D2B1E">
            <w:pPr>
              <w:pStyle w:val="ENoteTableText"/>
            </w:pPr>
            <w:r w:rsidRPr="00576D60">
              <w:t>ad. 2001 No. 319</w:t>
            </w:r>
          </w:p>
        </w:tc>
      </w:tr>
      <w:tr w:rsidR="00E93F58" w:rsidRPr="00576D60" w14:paraId="25CAAF95" w14:textId="77777777" w:rsidTr="002F32E3">
        <w:trPr>
          <w:cantSplit/>
        </w:trPr>
        <w:tc>
          <w:tcPr>
            <w:tcW w:w="1500" w:type="pct"/>
            <w:shd w:val="clear" w:color="auto" w:fill="auto"/>
          </w:tcPr>
          <w:p w14:paraId="17EFF1E2" w14:textId="77777777" w:rsidR="00E93F58" w:rsidRPr="00576D60" w:rsidRDefault="00E93F58" w:rsidP="003D2B1E">
            <w:pPr>
              <w:pStyle w:val="ENoteTableText"/>
            </w:pPr>
          </w:p>
        </w:tc>
        <w:tc>
          <w:tcPr>
            <w:tcW w:w="3500" w:type="pct"/>
            <w:shd w:val="clear" w:color="auto" w:fill="auto"/>
          </w:tcPr>
          <w:p w14:paraId="6B1F2B3D" w14:textId="77777777" w:rsidR="00E93F58" w:rsidRPr="00576D60" w:rsidRDefault="00E93F58" w:rsidP="003D2B1E">
            <w:pPr>
              <w:pStyle w:val="ENoteTableText"/>
            </w:pPr>
            <w:r w:rsidRPr="00576D60">
              <w:t>am. 2002 No. 16; 2003 No. 31</w:t>
            </w:r>
          </w:p>
        </w:tc>
      </w:tr>
      <w:tr w:rsidR="00E93F58" w:rsidRPr="00576D60" w14:paraId="64FE68ED" w14:textId="77777777" w:rsidTr="002F32E3">
        <w:trPr>
          <w:cantSplit/>
        </w:trPr>
        <w:tc>
          <w:tcPr>
            <w:tcW w:w="1500" w:type="pct"/>
            <w:shd w:val="clear" w:color="auto" w:fill="auto"/>
          </w:tcPr>
          <w:p w14:paraId="6BBEBAAC" w14:textId="77777777" w:rsidR="00E93F58" w:rsidRPr="00576D60" w:rsidRDefault="00E93F58" w:rsidP="003D2B1E">
            <w:pPr>
              <w:pStyle w:val="ENoteTableText"/>
              <w:tabs>
                <w:tab w:val="left" w:leader="dot" w:pos="2268"/>
              </w:tabs>
            </w:pPr>
            <w:r w:rsidRPr="00576D60">
              <w:t>r. 10.2.38</w:t>
            </w:r>
            <w:r w:rsidRPr="00576D60">
              <w:tab/>
            </w:r>
          </w:p>
        </w:tc>
        <w:tc>
          <w:tcPr>
            <w:tcW w:w="3500" w:type="pct"/>
            <w:shd w:val="clear" w:color="auto" w:fill="auto"/>
          </w:tcPr>
          <w:p w14:paraId="0F0C46A2" w14:textId="77777777" w:rsidR="00E93F58" w:rsidRPr="00576D60" w:rsidRDefault="00E93F58" w:rsidP="003D2B1E">
            <w:pPr>
              <w:pStyle w:val="ENoteTableText"/>
            </w:pPr>
            <w:r w:rsidRPr="00576D60">
              <w:t>ad. 2001 No. 319</w:t>
            </w:r>
          </w:p>
        </w:tc>
      </w:tr>
      <w:tr w:rsidR="00E93F58" w:rsidRPr="00576D60" w14:paraId="184566DE" w14:textId="77777777" w:rsidTr="002F32E3">
        <w:trPr>
          <w:cantSplit/>
        </w:trPr>
        <w:tc>
          <w:tcPr>
            <w:tcW w:w="1500" w:type="pct"/>
            <w:shd w:val="clear" w:color="auto" w:fill="auto"/>
          </w:tcPr>
          <w:p w14:paraId="0F0C2F28" w14:textId="77777777" w:rsidR="00E93F58" w:rsidRPr="00576D60" w:rsidRDefault="00E93F58" w:rsidP="003D2B1E">
            <w:pPr>
              <w:pStyle w:val="ENoteTableText"/>
            </w:pPr>
          </w:p>
        </w:tc>
        <w:tc>
          <w:tcPr>
            <w:tcW w:w="3500" w:type="pct"/>
            <w:shd w:val="clear" w:color="auto" w:fill="auto"/>
          </w:tcPr>
          <w:p w14:paraId="6179C9F3" w14:textId="77777777" w:rsidR="00E93F58" w:rsidRPr="00576D60" w:rsidRDefault="00E93F58" w:rsidP="003D2B1E">
            <w:pPr>
              <w:pStyle w:val="ENoteTableText"/>
            </w:pPr>
            <w:r w:rsidRPr="00576D60">
              <w:t>am. 2002 No 16 and 41; 2003 No. 31</w:t>
            </w:r>
          </w:p>
        </w:tc>
      </w:tr>
      <w:tr w:rsidR="00E93F58" w:rsidRPr="00576D60" w14:paraId="39B979AF" w14:textId="77777777" w:rsidTr="002F32E3">
        <w:trPr>
          <w:cantSplit/>
        </w:trPr>
        <w:tc>
          <w:tcPr>
            <w:tcW w:w="1500" w:type="pct"/>
            <w:shd w:val="clear" w:color="auto" w:fill="auto"/>
          </w:tcPr>
          <w:p w14:paraId="3988023B" w14:textId="77777777" w:rsidR="00E93F58" w:rsidRPr="00576D60" w:rsidRDefault="00E93F58" w:rsidP="003D2B1E">
            <w:pPr>
              <w:pStyle w:val="ENoteTableText"/>
              <w:tabs>
                <w:tab w:val="left" w:leader="dot" w:pos="2268"/>
              </w:tabs>
            </w:pPr>
            <w:r w:rsidRPr="00576D60">
              <w:t>r. 10.2.39</w:t>
            </w:r>
            <w:r w:rsidRPr="00576D60">
              <w:tab/>
            </w:r>
          </w:p>
        </w:tc>
        <w:tc>
          <w:tcPr>
            <w:tcW w:w="3500" w:type="pct"/>
            <w:shd w:val="clear" w:color="auto" w:fill="auto"/>
          </w:tcPr>
          <w:p w14:paraId="31CA5206" w14:textId="77777777" w:rsidR="00E93F58" w:rsidRPr="00576D60" w:rsidRDefault="00E93F58" w:rsidP="003D2B1E">
            <w:pPr>
              <w:pStyle w:val="ENoteTableText"/>
            </w:pPr>
            <w:r w:rsidRPr="00576D60">
              <w:t>ad. 2001 No. 319</w:t>
            </w:r>
          </w:p>
        </w:tc>
      </w:tr>
      <w:tr w:rsidR="00E93F58" w:rsidRPr="00576D60" w14:paraId="19C3897F" w14:textId="77777777" w:rsidTr="002F32E3">
        <w:trPr>
          <w:cantSplit/>
        </w:trPr>
        <w:tc>
          <w:tcPr>
            <w:tcW w:w="1500" w:type="pct"/>
            <w:shd w:val="clear" w:color="auto" w:fill="auto"/>
          </w:tcPr>
          <w:p w14:paraId="1B7E0FAF" w14:textId="77777777" w:rsidR="00E93F58" w:rsidRPr="00576D60" w:rsidRDefault="00E93F58" w:rsidP="003D2B1E">
            <w:pPr>
              <w:pStyle w:val="ENoteTableText"/>
              <w:tabs>
                <w:tab w:val="left" w:leader="dot" w:pos="2268"/>
              </w:tabs>
            </w:pPr>
            <w:r w:rsidRPr="00576D60">
              <w:t>r. 10.2.40</w:t>
            </w:r>
            <w:r w:rsidRPr="00576D60">
              <w:tab/>
            </w:r>
          </w:p>
        </w:tc>
        <w:tc>
          <w:tcPr>
            <w:tcW w:w="3500" w:type="pct"/>
            <w:shd w:val="clear" w:color="auto" w:fill="auto"/>
          </w:tcPr>
          <w:p w14:paraId="4E2C6FA2" w14:textId="77777777" w:rsidR="00E93F58" w:rsidRPr="00576D60" w:rsidRDefault="00E93F58" w:rsidP="003D2B1E">
            <w:pPr>
              <w:pStyle w:val="ENoteTableText"/>
            </w:pPr>
            <w:r w:rsidRPr="00576D60">
              <w:t>ad. 2001 No. 319</w:t>
            </w:r>
          </w:p>
        </w:tc>
      </w:tr>
      <w:tr w:rsidR="00E93F58" w:rsidRPr="00576D60" w14:paraId="7002F10F" w14:textId="77777777" w:rsidTr="002F32E3">
        <w:trPr>
          <w:cantSplit/>
        </w:trPr>
        <w:tc>
          <w:tcPr>
            <w:tcW w:w="1500" w:type="pct"/>
            <w:shd w:val="clear" w:color="auto" w:fill="auto"/>
          </w:tcPr>
          <w:p w14:paraId="7D7E9956" w14:textId="77777777" w:rsidR="00E93F58" w:rsidRPr="00576D60" w:rsidRDefault="00E93F58" w:rsidP="003D2B1E">
            <w:pPr>
              <w:pStyle w:val="ENoteTableText"/>
              <w:tabs>
                <w:tab w:val="left" w:leader="dot" w:pos="2268"/>
              </w:tabs>
            </w:pPr>
            <w:r w:rsidRPr="00576D60">
              <w:t>r. 10.2.40A</w:t>
            </w:r>
            <w:r w:rsidRPr="00576D60">
              <w:tab/>
            </w:r>
          </w:p>
        </w:tc>
        <w:tc>
          <w:tcPr>
            <w:tcW w:w="3500" w:type="pct"/>
            <w:shd w:val="clear" w:color="auto" w:fill="auto"/>
          </w:tcPr>
          <w:p w14:paraId="7CCD6E07" w14:textId="77777777" w:rsidR="00E93F58" w:rsidRPr="00576D60" w:rsidRDefault="00E93F58" w:rsidP="003D2B1E">
            <w:pPr>
              <w:pStyle w:val="ENoteTableText"/>
            </w:pPr>
            <w:r w:rsidRPr="00576D60">
              <w:t>ad. 2002 No. 53</w:t>
            </w:r>
          </w:p>
        </w:tc>
      </w:tr>
      <w:tr w:rsidR="00E93F58" w:rsidRPr="00576D60" w14:paraId="7BBDDB3C" w14:textId="77777777" w:rsidTr="002F32E3">
        <w:trPr>
          <w:cantSplit/>
        </w:trPr>
        <w:tc>
          <w:tcPr>
            <w:tcW w:w="1500" w:type="pct"/>
            <w:shd w:val="clear" w:color="auto" w:fill="auto"/>
          </w:tcPr>
          <w:p w14:paraId="3BE6C9A8" w14:textId="77777777" w:rsidR="00E93F58" w:rsidRPr="00576D60" w:rsidRDefault="00E93F58" w:rsidP="003D2B1E">
            <w:pPr>
              <w:pStyle w:val="ENoteTableText"/>
            </w:pPr>
          </w:p>
        </w:tc>
        <w:tc>
          <w:tcPr>
            <w:tcW w:w="3500" w:type="pct"/>
            <w:shd w:val="clear" w:color="auto" w:fill="auto"/>
          </w:tcPr>
          <w:p w14:paraId="1FD2F997" w14:textId="77777777" w:rsidR="00E93F58" w:rsidRPr="00576D60" w:rsidRDefault="00E93F58" w:rsidP="003D2B1E">
            <w:pPr>
              <w:pStyle w:val="ENoteTableText"/>
            </w:pPr>
            <w:r w:rsidRPr="00576D60">
              <w:t>am. 2002 No. 126</w:t>
            </w:r>
          </w:p>
        </w:tc>
      </w:tr>
      <w:tr w:rsidR="00E93F58" w:rsidRPr="00576D60" w14:paraId="077D5299" w14:textId="77777777" w:rsidTr="002F32E3">
        <w:trPr>
          <w:cantSplit/>
        </w:trPr>
        <w:tc>
          <w:tcPr>
            <w:tcW w:w="1500" w:type="pct"/>
            <w:shd w:val="clear" w:color="auto" w:fill="auto"/>
          </w:tcPr>
          <w:p w14:paraId="3D9094A4" w14:textId="77777777" w:rsidR="00E93F58" w:rsidRPr="00576D60" w:rsidRDefault="00E93F58" w:rsidP="003D2B1E">
            <w:pPr>
              <w:pStyle w:val="ENoteTableText"/>
              <w:tabs>
                <w:tab w:val="left" w:leader="dot" w:pos="2268"/>
              </w:tabs>
            </w:pPr>
            <w:r w:rsidRPr="00576D60">
              <w:t>r. 10.2.41</w:t>
            </w:r>
            <w:r w:rsidRPr="00576D60">
              <w:tab/>
            </w:r>
          </w:p>
        </w:tc>
        <w:tc>
          <w:tcPr>
            <w:tcW w:w="3500" w:type="pct"/>
            <w:shd w:val="clear" w:color="auto" w:fill="auto"/>
          </w:tcPr>
          <w:p w14:paraId="6EA33D8E" w14:textId="77777777" w:rsidR="00E93F58" w:rsidRPr="00576D60" w:rsidRDefault="00E93F58" w:rsidP="003D2B1E">
            <w:pPr>
              <w:pStyle w:val="ENoteTableText"/>
            </w:pPr>
            <w:r w:rsidRPr="00576D60">
              <w:t>ad. 2001 No. 319</w:t>
            </w:r>
          </w:p>
        </w:tc>
      </w:tr>
      <w:tr w:rsidR="00E93F58" w:rsidRPr="00576D60" w14:paraId="3919FDFB" w14:textId="77777777" w:rsidTr="002F32E3">
        <w:trPr>
          <w:cantSplit/>
        </w:trPr>
        <w:tc>
          <w:tcPr>
            <w:tcW w:w="1500" w:type="pct"/>
            <w:shd w:val="clear" w:color="auto" w:fill="auto"/>
          </w:tcPr>
          <w:p w14:paraId="6DD65B2C" w14:textId="77777777" w:rsidR="00E93F58" w:rsidRPr="00576D60" w:rsidRDefault="00E93F58" w:rsidP="003D2B1E">
            <w:pPr>
              <w:pStyle w:val="ENoteTableText"/>
            </w:pPr>
          </w:p>
        </w:tc>
        <w:tc>
          <w:tcPr>
            <w:tcW w:w="3500" w:type="pct"/>
            <w:shd w:val="clear" w:color="auto" w:fill="auto"/>
          </w:tcPr>
          <w:p w14:paraId="53748B8A" w14:textId="77777777" w:rsidR="00E93F58" w:rsidRPr="00576D60" w:rsidRDefault="00E93F58" w:rsidP="003D2B1E">
            <w:pPr>
              <w:pStyle w:val="ENoteTableText"/>
            </w:pPr>
            <w:r w:rsidRPr="00576D60">
              <w:t>am. 2002 No. 16</w:t>
            </w:r>
          </w:p>
        </w:tc>
      </w:tr>
      <w:tr w:rsidR="00E93F58" w:rsidRPr="00576D60" w14:paraId="28974E22" w14:textId="77777777" w:rsidTr="002F32E3">
        <w:trPr>
          <w:cantSplit/>
        </w:trPr>
        <w:tc>
          <w:tcPr>
            <w:tcW w:w="1500" w:type="pct"/>
            <w:shd w:val="clear" w:color="auto" w:fill="auto"/>
          </w:tcPr>
          <w:p w14:paraId="35315FA6" w14:textId="77777777" w:rsidR="00E93F58" w:rsidRPr="00576D60" w:rsidRDefault="00E93F58" w:rsidP="003D2B1E">
            <w:pPr>
              <w:pStyle w:val="ENoteTableText"/>
              <w:tabs>
                <w:tab w:val="left" w:leader="dot" w:pos="2268"/>
              </w:tabs>
            </w:pPr>
            <w:r w:rsidRPr="00576D60">
              <w:t>r. 10.2.42</w:t>
            </w:r>
            <w:r w:rsidRPr="00576D60">
              <w:tab/>
            </w:r>
          </w:p>
        </w:tc>
        <w:tc>
          <w:tcPr>
            <w:tcW w:w="3500" w:type="pct"/>
            <w:shd w:val="clear" w:color="auto" w:fill="auto"/>
          </w:tcPr>
          <w:p w14:paraId="422F3880" w14:textId="77777777" w:rsidR="00E93F58" w:rsidRPr="00576D60" w:rsidRDefault="00E93F58" w:rsidP="003D2B1E">
            <w:pPr>
              <w:pStyle w:val="ENoteTableText"/>
            </w:pPr>
            <w:r w:rsidRPr="00576D60">
              <w:t>ad. 2001 No. 319</w:t>
            </w:r>
          </w:p>
        </w:tc>
      </w:tr>
      <w:tr w:rsidR="00E93F58" w:rsidRPr="00576D60" w14:paraId="3EAAF407" w14:textId="77777777" w:rsidTr="002F32E3">
        <w:trPr>
          <w:cantSplit/>
        </w:trPr>
        <w:tc>
          <w:tcPr>
            <w:tcW w:w="1500" w:type="pct"/>
            <w:shd w:val="clear" w:color="auto" w:fill="auto"/>
          </w:tcPr>
          <w:p w14:paraId="4F9D3AB4" w14:textId="77777777" w:rsidR="00E93F58" w:rsidRPr="00576D60" w:rsidRDefault="00E93F58" w:rsidP="003D2B1E">
            <w:pPr>
              <w:pStyle w:val="ENoteTableText"/>
              <w:tabs>
                <w:tab w:val="left" w:leader="dot" w:pos="2268"/>
              </w:tabs>
            </w:pPr>
            <w:r w:rsidRPr="00576D60">
              <w:t>r. 10.2.43</w:t>
            </w:r>
            <w:r w:rsidRPr="00576D60">
              <w:tab/>
            </w:r>
          </w:p>
        </w:tc>
        <w:tc>
          <w:tcPr>
            <w:tcW w:w="3500" w:type="pct"/>
            <w:shd w:val="clear" w:color="auto" w:fill="auto"/>
          </w:tcPr>
          <w:p w14:paraId="5DE1E8C0" w14:textId="77777777" w:rsidR="00E93F58" w:rsidRPr="00576D60" w:rsidRDefault="00E93F58" w:rsidP="003D2B1E">
            <w:pPr>
              <w:pStyle w:val="ENoteTableText"/>
            </w:pPr>
            <w:r w:rsidRPr="00576D60">
              <w:t>ad. 2001 No. 319</w:t>
            </w:r>
          </w:p>
        </w:tc>
      </w:tr>
      <w:tr w:rsidR="00E93F58" w:rsidRPr="00576D60" w14:paraId="2D62BB36" w14:textId="77777777" w:rsidTr="002F32E3">
        <w:trPr>
          <w:cantSplit/>
        </w:trPr>
        <w:tc>
          <w:tcPr>
            <w:tcW w:w="1500" w:type="pct"/>
            <w:shd w:val="clear" w:color="auto" w:fill="auto"/>
          </w:tcPr>
          <w:p w14:paraId="3F60880F" w14:textId="77777777" w:rsidR="00E93F58" w:rsidRPr="00576D60" w:rsidRDefault="00E93F58" w:rsidP="003D2B1E">
            <w:pPr>
              <w:pStyle w:val="ENoteTableText"/>
              <w:tabs>
                <w:tab w:val="left" w:leader="dot" w:pos="2268"/>
              </w:tabs>
            </w:pPr>
            <w:r w:rsidRPr="00576D60">
              <w:t>r. 10.2.44</w:t>
            </w:r>
            <w:r w:rsidRPr="00576D60">
              <w:tab/>
            </w:r>
          </w:p>
        </w:tc>
        <w:tc>
          <w:tcPr>
            <w:tcW w:w="3500" w:type="pct"/>
            <w:shd w:val="clear" w:color="auto" w:fill="auto"/>
          </w:tcPr>
          <w:p w14:paraId="75508748" w14:textId="77777777" w:rsidR="00E93F58" w:rsidRPr="00576D60" w:rsidRDefault="00E93F58" w:rsidP="003D2B1E">
            <w:pPr>
              <w:pStyle w:val="ENoteTableText"/>
            </w:pPr>
            <w:r w:rsidRPr="00576D60">
              <w:t>ad. 2001 No. 319</w:t>
            </w:r>
          </w:p>
        </w:tc>
      </w:tr>
      <w:tr w:rsidR="00E93F58" w:rsidRPr="00576D60" w14:paraId="7822C369" w14:textId="77777777" w:rsidTr="002F32E3">
        <w:trPr>
          <w:cantSplit/>
        </w:trPr>
        <w:tc>
          <w:tcPr>
            <w:tcW w:w="1500" w:type="pct"/>
            <w:shd w:val="clear" w:color="auto" w:fill="auto"/>
          </w:tcPr>
          <w:p w14:paraId="3FB4C961" w14:textId="77777777" w:rsidR="00E93F58" w:rsidRPr="00576D60" w:rsidRDefault="00E93F58" w:rsidP="003D2B1E">
            <w:pPr>
              <w:pStyle w:val="ENoteTableText"/>
            </w:pPr>
          </w:p>
        </w:tc>
        <w:tc>
          <w:tcPr>
            <w:tcW w:w="3500" w:type="pct"/>
            <w:shd w:val="clear" w:color="auto" w:fill="auto"/>
          </w:tcPr>
          <w:p w14:paraId="159E6203" w14:textId="77777777" w:rsidR="00E93F58" w:rsidRPr="00576D60" w:rsidRDefault="00E93F58" w:rsidP="003D2B1E">
            <w:pPr>
              <w:pStyle w:val="ENoteTableText"/>
            </w:pPr>
            <w:r w:rsidRPr="00576D60">
              <w:t>rep. 2007 No. 197</w:t>
            </w:r>
          </w:p>
        </w:tc>
      </w:tr>
      <w:tr w:rsidR="00E93F58" w:rsidRPr="00576D60" w14:paraId="56232E23" w14:textId="77777777" w:rsidTr="002F32E3">
        <w:trPr>
          <w:cantSplit/>
        </w:trPr>
        <w:tc>
          <w:tcPr>
            <w:tcW w:w="1500" w:type="pct"/>
            <w:shd w:val="clear" w:color="auto" w:fill="auto"/>
          </w:tcPr>
          <w:p w14:paraId="68AF876E" w14:textId="77777777" w:rsidR="00E93F58" w:rsidRPr="00576D60" w:rsidRDefault="00E93F58" w:rsidP="003D2B1E">
            <w:pPr>
              <w:pStyle w:val="ENoteTableText"/>
              <w:tabs>
                <w:tab w:val="left" w:leader="dot" w:pos="2268"/>
              </w:tabs>
            </w:pPr>
            <w:r w:rsidRPr="00576D60">
              <w:lastRenderedPageBreak/>
              <w:t>r. 10.2.44A</w:t>
            </w:r>
            <w:r w:rsidRPr="00576D60">
              <w:tab/>
            </w:r>
          </w:p>
        </w:tc>
        <w:tc>
          <w:tcPr>
            <w:tcW w:w="3500" w:type="pct"/>
            <w:shd w:val="clear" w:color="auto" w:fill="auto"/>
          </w:tcPr>
          <w:p w14:paraId="30EB8391" w14:textId="77777777" w:rsidR="00E93F58" w:rsidRPr="00576D60" w:rsidRDefault="00E93F58" w:rsidP="003D2B1E">
            <w:pPr>
              <w:pStyle w:val="ENoteTableText"/>
            </w:pPr>
            <w:r w:rsidRPr="00576D60">
              <w:t>ad. 2002 No. 41</w:t>
            </w:r>
          </w:p>
        </w:tc>
      </w:tr>
      <w:tr w:rsidR="00E93F58" w:rsidRPr="00576D60" w14:paraId="00172C48" w14:textId="77777777" w:rsidTr="002F32E3">
        <w:trPr>
          <w:cantSplit/>
        </w:trPr>
        <w:tc>
          <w:tcPr>
            <w:tcW w:w="1500" w:type="pct"/>
            <w:shd w:val="clear" w:color="auto" w:fill="auto"/>
          </w:tcPr>
          <w:p w14:paraId="1EADD41A" w14:textId="77777777" w:rsidR="00E93F58" w:rsidRPr="00576D60" w:rsidRDefault="00E93F58" w:rsidP="003D2B1E">
            <w:pPr>
              <w:pStyle w:val="ENoteTableText"/>
            </w:pPr>
          </w:p>
        </w:tc>
        <w:tc>
          <w:tcPr>
            <w:tcW w:w="3500" w:type="pct"/>
            <w:shd w:val="clear" w:color="auto" w:fill="auto"/>
          </w:tcPr>
          <w:p w14:paraId="0DAEA5B1" w14:textId="77777777" w:rsidR="00E93F58" w:rsidRPr="00576D60" w:rsidRDefault="00E93F58" w:rsidP="003D2B1E">
            <w:pPr>
              <w:pStyle w:val="ENoteTableText"/>
            </w:pPr>
            <w:r w:rsidRPr="00576D60">
              <w:t>rs. 2003 No. 31</w:t>
            </w:r>
          </w:p>
        </w:tc>
      </w:tr>
      <w:tr w:rsidR="00E93F58" w:rsidRPr="00576D60" w14:paraId="4807DB33" w14:textId="77777777" w:rsidTr="002F32E3">
        <w:trPr>
          <w:cantSplit/>
        </w:trPr>
        <w:tc>
          <w:tcPr>
            <w:tcW w:w="1500" w:type="pct"/>
            <w:shd w:val="clear" w:color="auto" w:fill="auto"/>
          </w:tcPr>
          <w:p w14:paraId="140A6362" w14:textId="77777777" w:rsidR="00E93F58" w:rsidRPr="00576D60" w:rsidRDefault="00E93F58" w:rsidP="003D2B1E">
            <w:pPr>
              <w:pStyle w:val="ENoteTableText"/>
            </w:pPr>
          </w:p>
        </w:tc>
        <w:tc>
          <w:tcPr>
            <w:tcW w:w="3500" w:type="pct"/>
            <w:shd w:val="clear" w:color="auto" w:fill="auto"/>
          </w:tcPr>
          <w:p w14:paraId="6D9353EF" w14:textId="77777777" w:rsidR="00E93F58" w:rsidRPr="00576D60" w:rsidRDefault="00E93F58" w:rsidP="003D2B1E">
            <w:pPr>
              <w:pStyle w:val="ENoteTableText"/>
            </w:pPr>
            <w:r w:rsidRPr="00576D60">
              <w:t>am. 2003 No. 202</w:t>
            </w:r>
          </w:p>
        </w:tc>
      </w:tr>
      <w:tr w:rsidR="00E93F58" w:rsidRPr="00576D60" w14:paraId="37A2D124" w14:textId="77777777" w:rsidTr="002F32E3">
        <w:trPr>
          <w:cantSplit/>
        </w:trPr>
        <w:tc>
          <w:tcPr>
            <w:tcW w:w="1500" w:type="pct"/>
            <w:shd w:val="clear" w:color="auto" w:fill="auto"/>
          </w:tcPr>
          <w:p w14:paraId="70710007" w14:textId="77777777" w:rsidR="00E93F58" w:rsidRPr="00576D60" w:rsidRDefault="00E93F58" w:rsidP="003D2B1E">
            <w:pPr>
              <w:pStyle w:val="ENoteTableText"/>
              <w:tabs>
                <w:tab w:val="left" w:leader="dot" w:pos="2268"/>
              </w:tabs>
            </w:pPr>
            <w:r w:rsidRPr="00576D60">
              <w:t>r. 10.2.45</w:t>
            </w:r>
            <w:r w:rsidRPr="00576D60">
              <w:tab/>
            </w:r>
          </w:p>
        </w:tc>
        <w:tc>
          <w:tcPr>
            <w:tcW w:w="3500" w:type="pct"/>
            <w:shd w:val="clear" w:color="auto" w:fill="auto"/>
          </w:tcPr>
          <w:p w14:paraId="3A1AF7D7" w14:textId="77777777" w:rsidR="00E93F58" w:rsidRPr="00576D60" w:rsidRDefault="00E93F58" w:rsidP="003D2B1E">
            <w:pPr>
              <w:pStyle w:val="ENoteTableText"/>
            </w:pPr>
            <w:r w:rsidRPr="00576D60">
              <w:t>ad. 2001 No. 319</w:t>
            </w:r>
          </w:p>
        </w:tc>
      </w:tr>
      <w:tr w:rsidR="00E93F58" w:rsidRPr="00576D60" w14:paraId="189FD7C2" w14:textId="77777777" w:rsidTr="002F32E3">
        <w:trPr>
          <w:cantSplit/>
        </w:trPr>
        <w:tc>
          <w:tcPr>
            <w:tcW w:w="1500" w:type="pct"/>
            <w:shd w:val="clear" w:color="auto" w:fill="auto"/>
          </w:tcPr>
          <w:p w14:paraId="7C3E2A57" w14:textId="77777777" w:rsidR="00E93F58" w:rsidRPr="00576D60" w:rsidRDefault="00E93F58" w:rsidP="003D2B1E">
            <w:pPr>
              <w:pStyle w:val="ENoteTableText"/>
            </w:pPr>
          </w:p>
        </w:tc>
        <w:tc>
          <w:tcPr>
            <w:tcW w:w="3500" w:type="pct"/>
            <w:shd w:val="clear" w:color="auto" w:fill="auto"/>
          </w:tcPr>
          <w:p w14:paraId="77EB4AC1" w14:textId="77777777" w:rsidR="00E93F58" w:rsidRPr="00576D60" w:rsidRDefault="00E93F58" w:rsidP="003D2B1E">
            <w:pPr>
              <w:pStyle w:val="ENoteTableText"/>
            </w:pPr>
            <w:r w:rsidRPr="00576D60">
              <w:t>rep. 2007 No. 197</w:t>
            </w:r>
          </w:p>
        </w:tc>
      </w:tr>
      <w:tr w:rsidR="00E93F58" w:rsidRPr="00576D60" w14:paraId="11146EA0" w14:textId="77777777" w:rsidTr="002F32E3">
        <w:trPr>
          <w:cantSplit/>
        </w:trPr>
        <w:tc>
          <w:tcPr>
            <w:tcW w:w="1500" w:type="pct"/>
            <w:shd w:val="clear" w:color="auto" w:fill="auto"/>
          </w:tcPr>
          <w:p w14:paraId="4724FAE1" w14:textId="77777777" w:rsidR="00E93F58" w:rsidRPr="00576D60" w:rsidRDefault="00E93F58" w:rsidP="003D2B1E">
            <w:pPr>
              <w:pStyle w:val="ENoteTableText"/>
              <w:tabs>
                <w:tab w:val="left" w:leader="dot" w:pos="2268"/>
              </w:tabs>
            </w:pPr>
            <w:r w:rsidRPr="00576D60">
              <w:t>r. 10.2.46</w:t>
            </w:r>
            <w:r w:rsidRPr="00576D60">
              <w:tab/>
            </w:r>
          </w:p>
        </w:tc>
        <w:tc>
          <w:tcPr>
            <w:tcW w:w="3500" w:type="pct"/>
            <w:shd w:val="clear" w:color="auto" w:fill="auto"/>
          </w:tcPr>
          <w:p w14:paraId="70B95590" w14:textId="77777777" w:rsidR="00E93F58" w:rsidRPr="00576D60" w:rsidRDefault="00E93F58" w:rsidP="003D2B1E">
            <w:pPr>
              <w:pStyle w:val="ENoteTableText"/>
            </w:pPr>
            <w:r w:rsidRPr="00576D60">
              <w:t>ad. 2001 No. 319</w:t>
            </w:r>
          </w:p>
        </w:tc>
      </w:tr>
      <w:tr w:rsidR="00E93F58" w:rsidRPr="00576D60" w14:paraId="72083E69" w14:textId="77777777" w:rsidTr="002F32E3">
        <w:trPr>
          <w:cantSplit/>
        </w:trPr>
        <w:tc>
          <w:tcPr>
            <w:tcW w:w="1500" w:type="pct"/>
            <w:shd w:val="clear" w:color="auto" w:fill="auto"/>
          </w:tcPr>
          <w:p w14:paraId="57E4A699" w14:textId="77777777" w:rsidR="00E93F58" w:rsidRPr="00576D60" w:rsidRDefault="00E93F58" w:rsidP="003D2B1E">
            <w:pPr>
              <w:pStyle w:val="ENoteTableText"/>
            </w:pPr>
          </w:p>
        </w:tc>
        <w:tc>
          <w:tcPr>
            <w:tcW w:w="3500" w:type="pct"/>
            <w:shd w:val="clear" w:color="auto" w:fill="auto"/>
          </w:tcPr>
          <w:p w14:paraId="79D81771" w14:textId="77777777" w:rsidR="00E93F58" w:rsidRPr="00576D60" w:rsidRDefault="00E93F58" w:rsidP="003D2B1E">
            <w:pPr>
              <w:pStyle w:val="ENoteTableText"/>
            </w:pPr>
            <w:r w:rsidRPr="00576D60">
              <w:t>am. 2002 No. 16</w:t>
            </w:r>
          </w:p>
        </w:tc>
      </w:tr>
      <w:tr w:rsidR="00E93F58" w:rsidRPr="00576D60" w14:paraId="2F1C4098" w14:textId="77777777" w:rsidTr="002F32E3">
        <w:trPr>
          <w:cantSplit/>
        </w:trPr>
        <w:tc>
          <w:tcPr>
            <w:tcW w:w="1500" w:type="pct"/>
            <w:shd w:val="clear" w:color="auto" w:fill="auto"/>
          </w:tcPr>
          <w:p w14:paraId="414F45CB" w14:textId="77777777" w:rsidR="00E93F58" w:rsidRPr="00576D60" w:rsidRDefault="00E93F58" w:rsidP="003D2B1E">
            <w:pPr>
              <w:pStyle w:val="ENoteTableText"/>
            </w:pPr>
          </w:p>
        </w:tc>
        <w:tc>
          <w:tcPr>
            <w:tcW w:w="3500" w:type="pct"/>
            <w:shd w:val="clear" w:color="auto" w:fill="auto"/>
          </w:tcPr>
          <w:p w14:paraId="19355C22" w14:textId="77777777" w:rsidR="00E93F58" w:rsidRPr="00576D60" w:rsidRDefault="00E93F58" w:rsidP="003D2B1E">
            <w:pPr>
              <w:pStyle w:val="ENoteTableText"/>
            </w:pPr>
            <w:r w:rsidRPr="00576D60">
              <w:t>(1)(a) exp 11 Mar 2004 (r 10.2.46(2))</w:t>
            </w:r>
          </w:p>
        </w:tc>
      </w:tr>
      <w:tr w:rsidR="00E93F58" w:rsidRPr="00576D60" w14:paraId="42F49A77" w14:textId="77777777" w:rsidTr="002F32E3">
        <w:trPr>
          <w:cantSplit/>
        </w:trPr>
        <w:tc>
          <w:tcPr>
            <w:tcW w:w="1500" w:type="pct"/>
            <w:shd w:val="clear" w:color="auto" w:fill="auto"/>
          </w:tcPr>
          <w:p w14:paraId="69E6E28E" w14:textId="77777777" w:rsidR="00E93F58" w:rsidRPr="00576D60" w:rsidRDefault="00E93F58" w:rsidP="003D2B1E">
            <w:pPr>
              <w:pStyle w:val="ENoteTableText"/>
              <w:tabs>
                <w:tab w:val="left" w:leader="dot" w:pos="2268"/>
              </w:tabs>
            </w:pPr>
            <w:r w:rsidRPr="00576D60">
              <w:t>r. 10.2.46A</w:t>
            </w:r>
            <w:r w:rsidRPr="00576D60">
              <w:tab/>
            </w:r>
          </w:p>
        </w:tc>
        <w:tc>
          <w:tcPr>
            <w:tcW w:w="3500" w:type="pct"/>
            <w:shd w:val="clear" w:color="auto" w:fill="auto"/>
          </w:tcPr>
          <w:p w14:paraId="598E4B89" w14:textId="77777777" w:rsidR="00E93F58" w:rsidRPr="00576D60" w:rsidRDefault="00E93F58" w:rsidP="003D2B1E">
            <w:pPr>
              <w:pStyle w:val="ENoteTableText"/>
            </w:pPr>
            <w:r w:rsidRPr="00576D60">
              <w:t>ad. 2002 No. 16</w:t>
            </w:r>
          </w:p>
        </w:tc>
      </w:tr>
      <w:tr w:rsidR="00E93F58" w:rsidRPr="00576D60" w14:paraId="64908E05" w14:textId="77777777" w:rsidTr="002F32E3">
        <w:trPr>
          <w:cantSplit/>
        </w:trPr>
        <w:tc>
          <w:tcPr>
            <w:tcW w:w="1500" w:type="pct"/>
            <w:shd w:val="clear" w:color="auto" w:fill="auto"/>
          </w:tcPr>
          <w:p w14:paraId="3CD69CF3" w14:textId="77777777" w:rsidR="00E93F58" w:rsidRPr="00576D60" w:rsidRDefault="00E93F58" w:rsidP="003D2B1E">
            <w:pPr>
              <w:pStyle w:val="ENoteTableText"/>
              <w:tabs>
                <w:tab w:val="left" w:leader="dot" w:pos="2268"/>
              </w:tabs>
            </w:pPr>
          </w:p>
        </w:tc>
        <w:tc>
          <w:tcPr>
            <w:tcW w:w="3500" w:type="pct"/>
            <w:shd w:val="clear" w:color="auto" w:fill="auto"/>
          </w:tcPr>
          <w:p w14:paraId="104FE854" w14:textId="77777777" w:rsidR="00E93F58" w:rsidRPr="00576D60" w:rsidRDefault="00E93F58" w:rsidP="003D2B1E">
            <w:pPr>
              <w:pStyle w:val="ENoteTableText"/>
            </w:pPr>
            <w:r w:rsidRPr="00576D60">
              <w:t>(1)(a), (2)(a), (3)(a), (4)(a) exp 11 Mar 2004 (r 10.2.46A(5))</w:t>
            </w:r>
          </w:p>
        </w:tc>
      </w:tr>
      <w:tr w:rsidR="00E93F58" w:rsidRPr="00576D60" w14:paraId="4C9BEAD0" w14:textId="77777777" w:rsidTr="002F32E3">
        <w:trPr>
          <w:cantSplit/>
        </w:trPr>
        <w:tc>
          <w:tcPr>
            <w:tcW w:w="1500" w:type="pct"/>
            <w:shd w:val="clear" w:color="auto" w:fill="auto"/>
          </w:tcPr>
          <w:p w14:paraId="18A535CD" w14:textId="77777777" w:rsidR="00E93F58" w:rsidRPr="00576D60" w:rsidRDefault="00E93F58" w:rsidP="003D2B1E">
            <w:pPr>
              <w:pStyle w:val="ENoteTableText"/>
              <w:tabs>
                <w:tab w:val="left" w:leader="dot" w:pos="2268"/>
              </w:tabs>
            </w:pPr>
            <w:r w:rsidRPr="00576D60">
              <w:t>r 10.2.47</w:t>
            </w:r>
            <w:r w:rsidRPr="00576D60">
              <w:tab/>
            </w:r>
          </w:p>
        </w:tc>
        <w:tc>
          <w:tcPr>
            <w:tcW w:w="3500" w:type="pct"/>
            <w:shd w:val="clear" w:color="auto" w:fill="auto"/>
          </w:tcPr>
          <w:p w14:paraId="150DC71A" w14:textId="77777777" w:rsidR="00E93F58" w:rsidRPr="00576D60" w:rsidRDefault="00E93F58" w:rsidP="003D2B1E">
            <w:pPr>
              <w:pStyle w:val="ENoteTableText"/>
            </w:pPr>
            <w:r w:rsidRPr="00576D60">
              <w:t>ad 2001 No 319</w:t>
            </w:r>
          </w:p>
        </w:tc>
      </w:tr>
      <w:tr w:rsidR="00E93F58" w:rsidRPr="00576D60" w14:paraId="3A39E1DD" w14:textId="77777777" w:rsidTr="002F32E3">
        <w:trPr>
          <w:cantSplit/>
        </w:trPr>
        <w:tc>
          <w:tcPr>
            <w:tcW w:w="1500" w:type="pct"/>
            <w:shd w:val="clear" w:color="auto" w:fill="auto"/>
          </w:tcPr>
          <w:p w14:paraId="148C1A83" w14:textId="77777777" w:rsidR="00E93F58" w:rsidRPr="00576D60" w:rsidRDefault="00E93F58" w:rsidP="003D2B1E">
            <w:pPr>
              <w:pStyle w:val="ENoteTableText"/>
              <w:tabs>
                <w:tab w:val="left" w:leader="dot" w:pos="2268"/>
              </w:tabs>
            </w:pPr>
          </w:p>
        </w:tc>
        <w:tc>
          <w:tcPr>
            <w:tcW w:w="3500" w:type="pct"/>
            <w:shd w:val="clear" w:color="auto" w:fill="auto"/>
          </w:tcPr>
          <w:p w14:paraId="5DE1CB1C" w14:textId="77777777" w:rsidR="00E93F58" w:rsidRPr="00576D60" w:rsidRDefault="00E93F58" w:rsidP="003D2B1E">
            <w:pPr>
              <w:pStyle w:val="ENoteTableText"/>
            </w:pPr>
            <w:r w:rsidRPr="00576D60">
              <w:t>rep F2018L00515</w:t>
            </w:r>
          </w:p>
        </w:tc>
      </w:tr>
      <w:tr w:rsidR="00E93F58" w:rsidRPr="00576D60" w14:paraId="054D1882" w14:textId="77777777" w:rsidTr="002F32E3">
        <w:trPr>
          <w:cantSplit/>
        </w:trPr>
        <w:tc>
          <w:tcPr>
            <w:tcW w:w="1500" w:type="pct"/>
            <w:shd w:val="clear" w:color="auto" w:fill="auto"/>
          </w:tcPr>
          <w:p w14:paraId="599ABC51" w14:textId="77777777" w:rsidR="00E93F58" w:rsidRPr="00576D60" w:rsidRDefault="00E93F58" w:rsidP="003D2B1E">
            <w:pPr>
              <w:pStyle w:val="ENoteTableText"/>
              <w:tabs>
                <w:tab w:val="left" w:leader="dot" w:pos="2268"/>
              </w:tabs>
            </w:pPr>
            <w:r w:rsidRPr="00576D60">
              <w:t>r. 10.2.47A</w:t>
            </w:r>
            <w:r w:rsidRPr="00576D60">
              <w:tab/>
            </w:r>
          </w:p>
        </w:tc>
        <w:tc>
          <w:tcPr>
            <w:tcW w:w="3500" w:type="pct"/>
            <w:shd w:val="clear" w:color="auto" w:fill="auto"/>
          </w:tcPr>
          <w:p w14:paraId="203751E2" w14:textId="77777777" w:rsidR="00E93F58" w:rsidRPr="00576D60" w:rsidRDefault="00E93F58" w:rsidP="003D2B1E">
            <w:pPr>
              <w:pStyle w:val="ENoteTableText"/>
            </w:pPr>
            <w:r w:rsidRPr="00576D60">
              <w:t>ad. 2002 No. 41</w:t>
            </w:r>
          </w:p>
        </w:tc>
      </w:tr>
      <w:tr w:rsidR="00E93F58" w:rsidRPr="00576D60" w14:paraId="50B23AB9" w14:textId="77777777" w:rsidTr="002F32E3">
        <w:trPr>
          <w:cantSplit/>
        </w:trPr>
        <w:tc>
          <w:tcPr>
            <w:tcW w:w="1500" w:type="pct"/>
            <w:shd w:val="clear" w:color="auto" w:fill="auto"/>
          </w:tcPr>
          <w:p w14:paraId="79B1D8B0" w14:textId="77777777" w:rsidR="00E93F58" w:rsidRPr="00576D60" w:rsidRDefault="00E93F58" w:rsidP="00847CAA">
            <w:pPr>
              <w:pStyle w:val="ENoteTableText"/>
              <w:keepNext/>
              <w:tabs>
                <w:tab w:val="left" w:leader="dot" w:pos="2268"/>
              </w:tabs>
              <w:rPr>
                <w:b/>
              </w:rPr>
            </w:pPr>
            <w:r w:rsidRPr="00576D60">
              <w:rPr>
                <w:b/>
              </w:rPr>
              <w:t>Division 14</w:t>
            </w:r>
          </w:p>
        </w:tc>
        <w:tc>
          <w:tcPr>
            <w:tcW w:w="3500" w:type="pct"/>
            <w:shd w:val="clear" w:color="auto" w:fill="auto"/>
          </w:tcPr>
          <w:p w14:paraId="36D2D13F" w14:textId="77777777" w:rsidR="00E93F58" w:rsidRPr="00576D60" w:rsidRDefault="00E93F58" w:rsidP="00847CAA">
            <w:pPr>
              <w:pStyle w:val="ENoteTableText"/>
              <w:keepNext/>
            </w:pPr>
          </w:p>
        </w:tc>
      </w:tr>
      <w:tr w:rsidR="00E93F58" w:rsidRPr="00576D60" w14:paraId="4F6C2A58" w14:textId="77777777" w:rsidTr="002F32E3">
        <w:trPr>
          <w:cantSplit/>
        </w:trPr>
        <w:tc>
          <w:tcPr>
            <w:tcW w:w="1500" w:type="pct"/>
            <w:shd w:val="clear" w:color="auto" w:fill="auto"/>
          </w:tcPr>
          <w:p w14:paraId="6083A711" w14:textId="77777777" w:rsidR="00E93F58" w:rsidRPr="00576D60" w:rsidRDefault="00E93F58" w:rsidP="003D2B1E">
            <w:pPr>
              <w:pStyle w:val="ENoteTableText"/>
              <w:tabs>
                <w:tab w:val="left" w:leader="dot" w:pos="2268"/>
              </w:tabs>
            </w:pPr>
            <w:r w:rsidRPr="00576D60">
              <w:t>Division 14</w:t>
            </w:r>
            <w:r w:rsidRPr="00576D60">
              <w:tab/>
            </w:r>
          </w:p>
        </w:tc>
        <w:tc>
          <w:tcPr>
            <w:tcW w:w="3500" w:type="pct"/>
            <w:shd w:val="clear" w:color="auto" w:fill="auto"/>
          </w:tcPr>
          <w:p w14:paraId="35AD2B8A" w14:textId="77777777" w:rsidR="00E93F58" w:rsidRPr="00576D60" w:rsidRDefault="00E93F58" w:rsidP="003D2B1E">
            <w:pPr>
              <w:pStyle w:val="ENoteTableText"/>
            </w:pPr>
            <w:r w:rsidRPr="00576D60">
              <w:t>rs. 2002 No. 16</w:t>
            </w:r>
          </w:p>
        </w:tc>
      </w:tr>
      <w:tr w:rsidR="00E93F58" w:rsidRPr="00576D60" w14:paraId="41619F97" w14:textId="77777777" w:rsidTr="002F32E3">
        <w:trPr>
          <w:cantSplit/>
        </w:trPr>
        <w:tc>
          <w:tcPr>
            <w:tcW w:w="1500" w:type="pct"/>
            <w:shd w:val="clear" w:color="auto" w:fill="auto"/>
          </w:tcPr>
          <w:p w14:paraId="03A14A50" w14:textId="77777777" w:rsidR="00E93F58" w:rsidRPr="00576D60" w:rsidRDefault="00E93F58" w:rsidP="003D2B1E">
            <w:pPr>
              <w:pStyle w:val="ENoteTableText"/>
              <w:tabs>
                <w:tab w:val="left" w:leader="dot" w:pos="2268"/>
              </w:tabs>
            </w:pPr>
            <w:r w:rsidRPr="00576D60">
              <w:t>r. 10.2.48</w:t>
            </w:r>
            <w:r w:rsidRPr="00576D60">
              <w:tab/>
            </w:r>
          </w:p>
        </w:tc>
        <w:tc>
          <w:tcPr>
            <w:tcW w:w="3500" w:type="pct"/>
            <w:shd w:val="clear" w:color="auto" w:fill="auto"/>
          </w:tcPr>
          <w:p w14:paraId="5DAC9875" w14:textId="77777777" w:rsidR="00E93F58" w:rsidRPr="00576D60" w:rsidRDefault="00E93F58" w:rsidP="003D2B1E">
            <w:pPr>
              <w:pStyle w:val="ENoteTableText"/>
            </w:pPr>
            <w:r w:rsidRPr="00576D60">
              <w:t>ad. 2001 No. 319</w:t>
            </w:r>
          </w:p>
        </w:tc>
      </w:tr>
      <w:tr w:rsidR="00E93F58" w:rsidRPr="00576D60" w14:paraId="1B0FED84" w14:textId="77777777" w:rsidTr="002F32E3">
        <w:trPr>
          <w:cantSplit/>
        </w:trPr>
        <w:tc>
          <w:tcPr>
            <w:tcW w:w="1500" w:type="pct"/>
            <w:shd w:val="clear" w:color="auto" w:fill="auto"/>
          </w:tcPr>
          <w:p w14:paraId="59342A96" w14:textId="77777777" w:rsidR="00E93F58" w:rsidRPr="00576D60" w:rsidRDefault="00E93F58" w:rsidP="003D2B1E">
            <w:pPr>
              <w:pStyle w:val="ENoteTableText"/>
              <w:tabs>
                <w:tab w:val="left" w:leader="dot" w:pos="2268"/>
              </w:tabs>
            </w:pPr>
            <w:r w:rsidRPr="00576D60">
              <w:t>r. 10.2.48A</w:t>
            </w:r>
            <w:r w:rsidRPr="00576D60">
              <w:tab/>
            </w:r>
          </w:p>
        </w:tc>
        <w:tc>
          <w:tcPr>
            <w:tcW w:w="3500" w:type="pct"/>
            <w:shd w:val="clear" w:color="auto" w:fill="auto"/>
          </w:tcPr>
          <w:p w14:paraId="4152A850" w14:textId="77777777" w:rsidR="00E93F58" w:rsidRPr="00576D60" w:rsidRDefault="00E93F58" w:rsidP="003D2B1E">
            <w:pPr>
              <w:pStyle w:val="ENoteTableText"/>
            </w:pPr>
            <w:r w:rsidRPr="00576D60">
              <w:t>ad. 2003 No. 126</w:t>
            </w:r>
          </w:p>
        </w:tc>
      </w:tr>
      <w:tr w:rsidR="00E93F58" w:rsidRPr="00576D60" w14:paraId="532725A7" w14:textId="77777777" w:rsidTr="002F32E3">
        <w:trPr>
          <w:cantSplit/>
        </w:trPr>
        <w:tc>
          <w:tcPr>
            <w:tcW w:w="1500" w:type="pct"/>
            <w:shd w:val="clear" w:color="auto" w:fill="auto"/>
          </w:tcPr>
          <w:p w14:paraId="4D179C5F" w14:textId="77777777" w:rsidR="00E93F58" w:rsidRPr="00576D60" w:rsidRDefault="00E93F58" w:rsidP="003D2B1E">
            <w:pPr>
              <w:pStyle w:val="ENoteTableText"/>
              <w:tabs>
                <w:tab w:val="left" w:leader="dot" w:pos="2268"/>
              </w:tabs>
            </w:pPr>
            <w:r w:rsidRPr="00576D60">
              <w:t>r. 10.2.49</w:t>
            </w:r>
            <w:r w:rsidRPr="00576D60">
              <w:tab/>
            </w:r>
          </w:p>
        </w:tc>
        <w:tc>
          <w:tcPr>
            <w:tcW w:w="3500" w:type="pct"/>
            <w:shd w:val="clear" w:color="auto" w:fill="auto"/>
          </w:tcPr>
          <w:p w14:paraId="1DD6C3ED" w14:textId="77777777" w:rsidR="00E93F58" w:rsidRPr="00576D60" w:rsidRDefault="00E93F58" w:rsidP="003D2B1E">
            <w:pPr>
              <w:pStyle w:val="ENoteTableText"/>
            </w:pPr>
            <w:r w:rsidRPr="00576D60">
              <w:t>ad. 2001 No. 319</w:t>
            </w:r>
          </w:p>
        </w:tc>
      </w:tr>
      <w:tr w:rsidR="00E93F58" w:rsidRPr="00576D60" w14:paraId="584CDAEC" w14:textId="77777777" w:rsidTr="002F32E3">
        <w:trPr>
          <w:cantSplit/>
        </w:trPr>
        <w:tc>
          <w:tcPr>
            <w:tcW w:w="1500" w:type="pct"/>
            <w:shd w:val="clear" w:color="auto" w:fill="auto"/>
          </w:tcPr>
          <w:p w14:paraId="1FDC473E" w14:textId="77777777" w:rsidR="00E93F58" w:rsidRPr="00576D60" w:rsidRDefault="00E93F58" w:rsidP="003D2B1E">
            <w:pPr>
              <w:pStyle w:val="ENoteTableText"/>
              <w:tabs>
                <w:tab w:val="left" w:leader="dot" w:pos="2268"/>
              </w:tabs>
            </w:pPr>
            <w:r w:rsidRPr="00576D60">
              <w:t>r 10.2.50</w:t>
            </w:r>
            <w:r w:rsidRPr="00576D60">
              <w:tab/>
            </w:r>
          </w:p>
        </w:tc>
        <w:tc>
          <w:tcPr>
            <w:tcW w:w="3500" w:type="pct"/>
            <w:shd w:val="clear" w:color="auto" w:fill="auto"/>
          </w:tcPr>
          <w:p w14:paraId="60A5EB9D" w14:textId="77777777" w:rsidR="00E93F58" w:rsidRPr="00576D60" w:rsidRDefault="00E93F58" w:rsidP="003D2B1E">
            <w:pPr>
              <w:pStyle w:val="ENoteTableText"/>
            </w:pPr>
            <w:r w:rsidRPr="00576D60">
              <w:t>ad No 319, 2001</w:t>
            </w:r>
          </w:p>
        </w:tc>
      </w:tr>
      <w:tr w:rsidR="00E93F58" w:rsidRPr="00576D60" w14:paraId="51D1142C" w14:textId="77777777" w:rsidTr="002F32E3">
        <w:trPr>
          <w:cantSplit/>
        </w:trPr>
        <w:tc>
          <w:tcPr>
            <w:tcW w:w="1500" w:type="pct"/>
            <w:shd w:val="clear" w:color="auto" w:fill="auto"/>
          </w:tcPr>
          <w:p w14:paraId="1777775D" w14:textId="77777777" w:rsidR="00E93F58" w:rsidRPr="00576D60" w:rsidRDefault="00E93F58" w:rsidP="003D2B1E">
            <w:pPr>
              <w:pStyle w:val="ENoteTableText"/>
            </w:pPr>
          </w:p>
        </w:tc>
        <w:tc>
          <w:tcPr>
            <w:tcW w:w="3500" w:type="pct"/>
            <w:shd w:val="clear" w:color="auto" w:fill="auto"/>
          </w:tcPr>
          <w:p w14:paraId="5D2AE647" w14:textId="77777777" w:rsidR="00E93F58" w:rsidRPr="00576D60" w:rsidRDefault="00E93F58" w:rsidP="003D2B1E">
            <w:pPr>
              <w:pStyle w:val="ENoteTableText"/>
            </w:pPr>
            <w:r w:rsidRPr="00576D60">
              <w:t>am No 16, 2002; F2019L00392</w:t>
            </w:r>
          </w:p>
        </w:tc>
      </w:tr>
      <w:tr w:rsidR="00E93F58" w:rsidRPr="00576D60" w14:paraId="66DABCE1" w14:textId="77777777" w:rsidTr="002F32E3">
        <w:trPr>
          <w:cantSplit/>
        </w:trPr>
        <w:tc>
          <w:tcPr>
            <w:tcW w:w="1500" w:type="pct"/>
            <w:shd w:val="clear" w:color="auto" w:fill="auto"/>
          </w:tcPr>
          <w:p w14:paraId="5CFFC8C7" w14:textId="77777777" w:rsidR="00E93F58" w:rsidRPr="00576D60" w:rsidRDefault="00E93F58" w:rsidP="003D2B1E">
            <w:pPr>
              <w:pStyle w:val="ENoteTableText"/>
              <w:tabs>
                <w:tab w:val="left" w:leader="dot" w:pos="2268"/>
              </w:tabs>
            </w:pPr>
            <w:r w:rsidRPr="00576D60">
              <w:t>r. 10.2.50A</w:t>
            </w:r>
            <w:r w:rsidRPr="00576D60">
              <w:tab/>
            </w:r>
          </w:p>
        </w:tc>
        <w:tc>
          <w:tcPr>
            <w:tcW w:w="3500" w:type="pct"/>
            <w:shd w:val="clear" w:color="auto" w:fill="auto"/>
          </w:tcPr>
          <w:p w14:paraId="5BC6709A" w14:textId="77777777" w:rsidR="00E93F58" w:rsidRPr="00576D60" w:rsidRDefault="00E93F58" w:rsidP="003D2B1E">
            <w:pPr>
              <w:pStyle w:val="ENoteTableText"/>
            </w:pPr>
            <w:r w:rsidRPr="00576D60">
              <w:t>ad. 2002 No. 41</w:t>
            </w:r>
          </w:p>
        </w:tc>
      </w:tr>
      <w:tr w:rsidR="00E93F58" w:rsidRPr="00576D60" w14:paraId="75185CAC" w14:textId="77777777" w:rsidTr="002F32E3">
        <w:trPr>
          <w:cantSplit/>
        </w:trPr>
        <w:tc>
          <w:tcPr>
            <w:tcW w:w="1500" w:type="pct"/>
            <w:shd w:val="clear" w:color="auto" w:fill="auto"/>
          </w:tcPr>
          <w:p w14:paraId="708CE405" w14:textId="77777777" w:rsidR="00E93F58" w:rsidRPr="00576D60" w:rsidRDefault="00E93F58" w:rsidP="003D2B1E">
            <w:pPr>
              <w:pStyle w:val="ENoteTableText"/>
              <w:tabs>
                <w:tab w:val="left" w:leader="dot" w:pos="2268"/>
              </w:tabs>
            </w:pPr>
          </w:p>
        </w:tc>
        <w:tc>
          <w:tcPr>
            <w:tcW w:w="3500" w:type="pct"/>
            <w:shd w:val="clear" w:color="auto" w:fill="auto"/>
          </w:tcPr>
          <w:p w14:paraId="68147D50" w14:textId="77777777" w:rsidR="00E93F58" w:rsidRPr="00576D60" w:rsidRDefault="00E93F58" w:rsidP="003D2B1E">
            <w:pPr>
              <w:pStyle w:val="ENoteTableText"/>
            </w:pPr>
            <w:r w:rsidRPr="00576D60">
              <w:t>(2) exp 11 Mar 2004 (r 10.2.50A(3))</w:t>
            </w:r>
          </w:p>
        </w:tc>
      </w:tr>
      <w:tr w:rsidR="00E93F58" w:rsidRPr="00576D60" w14:paraId="037600B8" w14:textId="77777777" w:rsidTr="002F32E3">
        <w:trPr>
          <w:cantSplit/>
        </w:trPr>
        <w:tc>
          <w:tcPr>
            <w:tcW w:w="1500" w:type="pct"/>
            <w:shd w:val="clear" w:color="auto" w:fill="auto"/>
          </w:tcPr>
          <w:p w14:paraId="42A820EE" w14:textId="77777777" w:rsidR="00E93F58" w:rsidRPr="00576D60" w:rsidRDefault="00E93F58" w:rsidP="003D2B1E">
            <w:pPr>
              <w:pStyle w:val="ENoteTableText"/>
              <w:tabs>
                <w:tab w:val="left" w:leader="dot" w:pos="2268"/>
              </w:tabs>
              <w:rPr>
                <w:b/>
              </w:rPr>
            </w:pPr>
            <w:r w:rsidRPr="00576D60">
              <w:rPr>
                <w:b/>
              </w:rPr>
              <w:t>Division 15</w:t>
            </w:r>
          </w:p>
        </w:tc>
        <w:tc>
          <w:tcPr>
            <w:tcW w:w="3500" w:type="pct"/>
            <w:shd w:val="clear" w:color="auto" w:fill="auto"/>
          </w:tcPr>
          <w:p w14:paraId="47041A69" w14:textId="77777777" w:rsidR="00E93F58" w:rsidRPr="00576D60" w:rsidRDefault="00E93F58" w:rsidP="003D2B1E">
            <w:pPr>
              <w:pStyle w:val="ENoteTableText"/>
            </w:pPr>
          </w:p>
        </w:tc>
      </w:tr>
      <w:tr w:rsidR="00E93F58" w:rsidRPr="00576D60" w14:paraId="4281DFDB" w14:textId="77777777" w:rsidTr="002F32E3">
        <w:trPr>
          <w:cantSplit/>
        </w:trPr>
        <w:tc>
          <w:tcPr>
            <w:tcW w:w="1500" w:type="pct"/>
            <w:shd w:val="clear" w:color="auto" w:fill="auto"/>
          </w:tcPr>
          <w:p w14:paraId="61064CC3" w14:textId="77777777" w:rsidR="00E93F58" w:rsidRPr="00576D60" w:rsidRDefault="00E93F58" w:rsidP="003D2B1E">
            <w:pPr>
              <w:pStyle w:val="ENoteTableText"/>
              <w:tabs>
                <w:tab w:val="left" w:leader="dot" w:pos="2268"/>
              </w:tabs>
            </w:pPr>
            <w:r w:rsidRPr="00576D60">
              <w:t>r. 10.2.51</w:t>
            </w:r>
            <w:r w:rsidRPr="00576D60">
              <w:tab/>
            </w:r>
          </w:p>
        </w:tc>
        <w:tc>
          <w:tcPr>
            <w:tcW w:w="3500" w:type="pct"/>
            <w:shd w:val="clear" w:color="auto" w:fill="auto"/>
          </w:tcPr>
          <w:p w14:paraId="49BBBE57" w14:textId="77777777" w:rsidR="00E93F58" w:rsidRPr="00576D60" w:rsidRDefault="00E93F58" w:rsidP="003D2B1E">
            <w:pPr>
              <w:pStyle w:val="ENoteTableText"/>
            </w:pPr>
            <w:r w:rsidRPr="00576D60">
              <w:t>ad. 2001 No. 319</w:t>
            </w:r>
          </w:p>
        </w:tc>
      </w:tr>
      <w:tr w:rsidR="00E93F58" w:rsidRPr="00576D60" w14:paraId="3BE5C0E0" w14:textId="77777777" w:rsidTr="002F32E3">
        <w:trPr>
          <w:cantSplit/>
        </w:trPr>
        <w:tc>
          <w:tcPr>
            <w:tcW w:w="1500" w:type="pct"/>
            <w:shd w:val="clear" w:color="auto" w:fill="auto"/>
          </w:tcPr>
          <w:p w14:paraId="0B759CA5" w14:textId="77777777" w:rsidR="00E93F58" w:rsidRPr="00576D60" w:rsidRDefault="00E93F58" w:rsidP="003D2B1E">
            <w:pPr>
              <w:pStyle w:val="ENoteTableText"/>
            </w:pPr>
          </w:p>
        </w:tc>
        <w:tc>
          <w:tcPr>
            <w:tcW w:w="3500" w:type="pct"/>
            <w:shd w:val="clear" w:color="auto" w:fill="auto"/>
          </w:tcPr>
          <w:p w14:paraId="3A070F61" w14:textId="77777777" w:rsidR="00E93F58" w:rsidRPr="00576D60" w:rsidRDefault="00E93F58" w:rsidP="003D2B1E">
            <w:pPr>
              <w:pStyle w:val="ENoteTableText"/>
            </w:pPr>
            <w:r w:rsidRPr="00576D60">
              <w:t>am. 2003 No. 282</w:t>
            </w:r>
          </w:p>
        </w:tc>
      </w:tr>
      <w:tr w:rsidR="00E93F58" w:rsidRPr="00576D60" w14:paraId="4E0960C2" w14:textId="77777777" w:rsidTr="002F32E3">
        <w:trPr>
          <w:cantSplit/>
        </w:trPr>
        <w:tc>
          <w:tcPr>
            <w:tcW w:w="1500" w:type="pct"/>
            <w:shd w:val="clear" w:color="auto" w:fill="auto"/>
          </w:tcPr>
          <w:p w14:paraId="78251389" w14:textId="77777777" w:rsidR="00E93F58" w:rsidRPr="00576D60" w:rsidRDefault="00E93F58" w:rsidP="003D2B1E">
            <w:pPr>
              <w:pStyle w:val="ENoteTableText"/>
              <w:tabs>
                <w:tab w:val="left" w:leader="dot" w:pos="2268"/>
              </w:tabs>
            </w:pPr>
            <w:r w:rsidRPr="00576D60">
              <w:t>r. 10.2.52</w:t>
            </w:r>
            <w:r w:rsidRPr="00576D60">
              <w:tab/>
            </w:r>
          </w:p>
        </w:tc>
        <w:tc>
          <w:tcPr>
            <w:tcW w:w="3500" w:type="pct"/>
            <w:shd w:val="clear" w:color="auto" w:fill="auto"/>
          </w:tcPr>
          <w:p w14:paraId="416B5785" w14:textId="77777777" w:rsidR="00E93F58" w:rsidRPr="00576D60" w:rsidRDefault="00E93F58" w:rsidP="003D2B1E">
            <w:pPr>
              <w:pStyle w:val="ENoteTableText"/>
            </w:pPr>
            <w:r w:rsidRPr="00576D60">
              <w:t>ad. 2001 No. 319</w:t>
            </w:r>
          </w:p>
        </w:tc>
      </w:tr>
      <w:tr w:rsidR="00E93F58" w:rsidRPr="00576D60" w14:paraId="624164E4" w14:textId="77777777" w:rsidTr="002F32E3">
        <w:trPr>
          <w:cantSplit/>
        </w:trPr>
        <w:tc>
          <w:tcPr>
            <w:tcW w:w="1500" w:type="pct"/>
            <w:shd w:val="clear" w:color="auto" w:fill="auto"/>
          </w:tcPr>
          <w:p w14:paraId="58D1CB57" w14:textId="77777777" w:rsidR="00E93F58" w:rsidRPr="00576D60" w:rsidRDefault="00E93F58" w:rsidP="003D2B1E">
            <w:pPr>
              <w:pStyle w:val="ENoteTableText"/>
            </w:pPr>
          </w:p>
        </w:tc>
        <w:tc>
          <w:tcPr>
            <w:tcW w:w="3500" w:type="pct"/>
            <w:shd w:val="clear" w:color="auto" w:fill="auto"/>
          </w:tcPr>
          <w:p w14:paraId="0372B2C8" w14:textId="77777777" w:rsidR="00E93F58" w:rsidRPr="00576D60" w:rsidRDefault="00E93F58" w:rsidP="003D2B1E">
            <w:pPr>
              <w:pStyle w:val="ENoteTableText"/>
            </w:pPr>
            <w:r w:rsidRPr="00576D60">
              <w:t>am. 2002 No. 16</w:t>
            </w:r>
          </w:p>
        </w:tc>
      </w:tr>
      <w:tr w:rsidR="00E93F58" w:rsidRPr="00576D60" w14:paraId="6C7E3236" w14:textId="77777777" w:rsidTr="002F32E3">
        <w:trPr>
          <w:cantSplit/>
        </w:trPr>
        <w:tc>
          <w:tcPr>
            <w:tcW w:w="1500" w:type="pct"/>
            <w:shd w:val="clear" w:color="auto" w:fill="auto"/>
          </w:tcPr>
          <w:p w14:paraId="01C86E8D" w14:textId="77777777" w:rsidR="00E93F58" w:rsidRPr="00576D60" w:rsidRDefault="00E93F58" w:rsidP="003D2B1E">
            <w:pPr>
              <w:pStyle w:val="ENoteTableText"/>
              <w:tabs>
                <w:tab w:val="left" w:leader="dot" w:pos="2268"/>
              </w:tabs>
            </w:pPr>
            <w:r w:rsidRPr="00576D60">
              <w:t>r. 10.2.52A</w:t>
            </w:r>
            <w:r w:rsidRPr="00576D60">
              <w:tab/>
            </w:r>
          </w:p>
        </w:tc>
        <w:tc>
          <w:tcPr>
            <w:tcW w:w="3500" w:type="pct"/>
            <w:shd w:val="clear" w:color="auto" w:fill="auto"/>
          </w:tcPr>
          <w:p w14:paraId="0145C409" w14:textId="77777777" w:rsidR="00E93F58" w:rsidRPr="00576D60" w:rsidRDefault="00E93F58" w:rsidP="003D2B1E">
            <w:pPr>
              <w:pStyle w:val="ENoteTableText"/>
            </w:pPr>
            <w:r w:rsidRPr="00576D60">
              <w:t>ad. 2002 No. 16</w:t>
            </w:r>
          </w:p>
        </w:tc>
      </w:tr>
      <w:tr w:rsidR="00E93F58" w:rsidRPr="00576D60" w14:paraId="1EA62F9F" w14:textId="77777777" w:rsidTr="002F32E3">
        <w:trPr>
          <w:cantSplit/>
        </w:trPr>
        <w:tc>
          <w:tcPr>
            <w:tcW w:w="1500" w:type="pct"/>
            <w:shd w:val="clear" w:color="auto" w:fill="auto"/>
          </w:tcPr>
          <w:p w14:paraId="40592125" w14:textId="77777777" w:rsidR="00E93F58" w:rsidRPr="00576D60" w:rsidRDefault="00E93F58" w:rsidP="003D2B1E">
            <w:pPr>
              <w:pStyle w:val="ENoteTableText"/>
            </w:pPr>
          </w:p>
        </w:tc>
        <w:tc>
          <w:tcPr>
            <w:tcW w:w="3500" w:type="pct"/>
            <w:shd w:val="clear" w:color="auto" w:fill="auto"/>
          </w:tcPr>
          <w:p w14:paraId="365965E1" w14:textId="77777777" w:rsidR="00E93F58" w:rsidRPr="00576D60" w:rsidRDefault="00E93F58" w:rsidP="003D2B1E">
            <w:pPr>
              <w:pStyle w:val="ENoteTableText"/>
            </w:pPr>
            <w:r w:rsidRPr="00576D60">
              <w:t>am. 2002 No. 41</w:t>
            </w:r>
          </w:p>
        </w:tc>
      </w:tr>
      <w:tr w:rsidR="00E93F58" w:rsidRPr="00576D60" w14:paraId="6100E530" w14:textId="77777777" w:rsidTr="002F32E3">
        <w:trPr>
          <w:cantSplit/>
        </w:trPr>
        <w:tc>
          <w:tcPr>
            <w:tcW w:w="1500" w:type="pct"/>
            <w:shd w:val="clear" w:color="auto" w:fill="auto"/>
          </w:tcPr>
          <w:p w14:paraId="687DBA28" w14:textId="77777777" w:rsidR="00E93F58" w:rsidRPr="00576D60" w:rsidRDefault="00E93F58" w:rsidP="003D2B1E">
            <w:pPr>
              <w:pStyle w:val="ENoteTableText"/>
              <w:tabs>
                <w:tab w:val="left" w:leader="dot" w:pos="2268"/>
              </w:tabs>
            </w:pPr>
            <w:r w:rsidRPr="00576D60">
              <w:t>r. 10.2.53</w:t>
            </w:r>
            <w:r w:rsidRPr="00576D60">
              <w:tab/>
            </w:r>
          </w:p>
        </w:tc>
        <w:tc>
          <w:tcPr>
            <w:tcW w:w="3500" w:type="pct"/>
            <w:shd w:val="clear" w:color="auto" w:fill="auto"/>
          </w:tcPr>
          <w:p w14:paraId="3A5B70BD" w14:textId="77777777" w:rsidR="00E93F58" w:rsidRPr="00576D60" w:rsidRDefault="00E93F58" w:rsidP="003D2B1E">
            <w:pPr>
              <w:pStyle w:val="ENoteTableText"/>
            </w:pPr>
            <w:r w:rsidRPr="00576D60">
              <w:t>ad. 2001 No. 319</w:t>
            </w:r>
          </w:p>
        </w:tc>
      </w:tr>
      <w:tr w:rsidR="00E93F58" w:rsidRPr="00576D60" w14:paraId="2389E1B3" w14:textId="77777777" w:rsidTr="002F32E3">
        <w:trPr>
          <w:cantSplit/>
        </w:trPr>
        <w:tc>
          <w:tcPr>
            <w:tcW w:w="1500" w:type="pct"/>
            <w:shd w:val="clear" w:color="auto" w:fill="auto"/>
          </w:tcPr>
          <w:p w14:paraId="7A655D2B" w14:textId="77777777" w:rsidR="00E93F58" w:rsidRPr="00576D60" w:rsidRDefault="00E93F58" w:rsidP="003D2B1E">
            <w:pPr>
              <w:pStyle w:val="ENoteTableText"/>
            </w:pPr>
          </w:p>
        </w:tc>
        <w:tc>
          <w:tcPr>
            <w:tcW w:w="3500" w:type="pct"/>
            <w:shd w:val="clear" w:color="auto" w:fill="auto"/>
          </w:tcPr>
          <w:p w14:paraId="1DB428B1" w14:textId="77777777" w:rsidR="00E93F58" w:rsidRPr="00576D60" w:rsidRDefault="00E93F58" w:rsidP="003D2B1E">
            <w:pPr>
              <w:pStyle w:val="ENoteTableText"/>
            </w:pPr>
            <w:r w:rsidRPr="00576D60">
              <w:t>am. 2002 No. 16</w:t>
            </w:r>
          </w:p>
        </w:tc>
      </w:tr>
      <w:tr w:rsidR="00E93F58" w:rsidRPr="00576D60" w14:paraId="2F43F2F1" w14:textId="77777777" w:rsidTr="002F32E3">
        <w:trPr>
          <w:cantSplit/>
        </w:trPr>
        <w:tc>
          <w:tcPr>
            <w:tcW w:w="1500" w:type="pct"/>
            <w:shd w:val="clear" w:color="auto" w:fill="auto"/>
          </w:tcPr>
          <w:p w14:paraId="7BA449DE" w14:textId="77777777" w:rsidR="00E93F58" w:rsidRPr="00576D60" w:rsidRDefault="00E93F58" w:rsidP="003D2B1E">
            <w:pPr>
              <w:pStyle w:val="ENoteTableText"/>
              <w:tabs>
                <w:tab w:val="left" w:leader="dot" w:pos="2268"/>
              </w:tabs>
            </w:pPr>
            <w:r w:rsidRPr="00576D60">
              <w:t>r. 10.2.54</w:t>
            </w:r>
            <w:r w:rsidRPr="00576D60">
              <w:tab/>
            </w:r>
          </w:p>
        </w:tc>
        <w:tc>
          <w:tcPr>
            <w:tcW w:w="3500" w:type="pct"/>
            <w:shd w:val="clear" w:color="auto" w:fill="auto"/>
          </w:tcPr>
          <w:p w14:paraId="68B2D28A" w14:textId="77777777" w:rsidR="00E93F58" w:rsidRPr="00576D60" w:rsidRDefault="00E93F58" w:rsidP="003D2B1E">
            <w:pPr>
              <w:pStyle w:val="ENoteTableText"/>
            </w:pPr>
            <w:r w:rsidRPr="00576D60">
              <w:t>ad. 2001 No. 319</w:t>
            </w:r>
          </w:p>
        </w:tc>
      </w:tr>
      <w:tr w:rsidR="00E93F58" w:rsidRPr="00576D60" w14:paraId="25EFB6AF" w14:textId="77777777" w:rsidTr="002F32E3">
        <w:trPr>
          <w:cantSplit/>
        </w:trPr>
        <w:tc>
          <w:tcPr>
            <w:tcW w:w="1500" w:type="pct"/>
            <w:shd w:val="clear" w:color="auto" w:fill="auto"/>
          </w:tcPr>
          <w:p w14:paraId="5CCBD639" w14:textId="77777777" w:rsidR="00E93F58" w:rsidRPr="00576D60" w:rsidRDefault="00E93F58" w:rsidP="003D2B1E">
            <w:pPr>
              <w:pStyle w:val="ENoteTableText"/>
            </w:pPr>
          </w:p>
        </w:tc>
        <w:tc>
          <w:tcPr>
            <w:tcW w:w="3500" w:type="pct"/>
            <w:shd w:val="clear" w:color="auto" w:fill="auto"/>
          </w:tcPr>
          <w:p w14:paraId="12E63E46" w14:textId="77777777" w:rsidR="00E93F58" w:rsidRPr="00576D60" w:rsidRDefault="00E93F58" w:rsidP="003D2B1E">
            <w:pPr>
              <w:pStyle w:val="ENoteTableText"/>
            </w:pPr>
            <w:r w:rsidRPr="00576D60">
              <w:t>am. 2002 No. 16</w:t>
            </w:r>
          </w:p>
        </w:tc>
      </w:tr>
      <w:tr w:rsidR="00E93F58" w:rsidRPr="00576D60" w14:paraId="72141DAC" w14:textId="77777777" w:rsidTr="002F32E3">
        <w:trPr>
          <w:cantSplit/>
        </w:trPr>
        <w:tc>
          <w:tcPr>
            <w:tcW w:w="1500" w:type="pct"/>
            <w:shd w:val="clear" w:color="auto" w:fill="auto"/>
          </w:tcPr>
          <w:p w14:paraId="78401457" w14:textId="77777777" w:rsidR="00E93F58" w:rsidRPr="00576D60" w:rsidRDefault="00E93F58" w:rsidP="003D2B1E">
            <w:pPr>
              <w:pStyle w:val="ENoteTableText"/>
              <w:tabs>
                <w:tab w:val="left" w:leader="dot" w:pos="2268"/>
              </w:tabs>
            </w:pPr>
            <w:r w:rsidRPr="00576D60">
              <w:t>r. 10.2.55</w:t>
            </w:r>
            <w:r w:rsidRPr="00576D60">
              <w:tab/>
            </w:r>
          </w:p>
        </w:tc>
        <w:tc>
          <w:tcPr>
            <w:tcW w:w="3500" w:type="pct"/>
            <w:shd w:val="clear" w:color="auto" w:fill="auto"/>
          </w:tcPr>
          <w:p w14:paraId="4D59335C" w14:textId="77777777" w:rsidR="00E93F58" w:rsidRPr="00576D60" w:rsidRDefault="00E93F58" w:rsidP="003D2B1E">
            <w:pPr>
              <w:pStyle w:val="ENoteTableText"/>
            </w:pPr>
            <w:r w:rsidRPr="00576D60">
              <w:t>ad. 2001 No. 319</w:t>
            </w:r>
          </w:p>
        </w:tc>
      </w:tr>
      <w:tr w:rsidR="00E93F58" w:rsidRPr="00576D60" w14:paraId="20C08496" w14:textId="77777777" w:rsidTr="002F32E3">
        <w:trPr>
          <w:cantSplit/>
        </w:trPr>
        <w:tc>
          <w:tcPr>
            <w:tcW w:w="1500" w:type="pct"/>
            <w:shd w:val="clear" w:color="auto" w:fill="auto"/>
          </w:tcPr>
          <w:p w14:paraId="08C333BE" w14:textId="77777777" w:rsidR="00E93F58" w:rsidRPr="00576D60" w:rsidRDefault="00E93F58" w:rsidP="003D2B1E">
            <w:pPr>
              <w:pStyle w:val="ENoteTableText"/>
            </w:pPr>
          </w:p>
        </w:tc>
        <w:tc>
          <w:tcPr>
            <w:tcW w:w="3500" w:type="pct"/>
            <w:shd w:val="clear" w:color="auto" w:fill="auto"/>
          </w:tcPr>
          <w:p w14:paraId="43A4B4FF" w14:textId="77777777" w:rsidR="00E93F58" w:rsidRPr="00576D60" w:rsidRDefault="00E93F58" w:rsidP="003D2B1E">
            <w:pPr>
              <w:pStyle w:val="ENoteTableText"/>
            </w:pPr>
            <w:r w:rsidRPr="00576D60">
              <w:t>am. 2002 No. 16</w:t>
            </w:r>
          </w:p>
        </w:tc>
      </w:tr>
      <w:tr w:rsidR="00E93F58" w:rsidRPr="00576D60" w14:paraId="52942D94" w14:textId="77777777" w:rsidTr="002F32E3">
        <w:trPr>
          <w:cantSplit/>
        </w:trPr>
        <w:tc>
          <w:tcPr>
            <w:tcW w:w="1500" w:type="pct"/>
            <w:shd w:val="clear" w:color="auto" w:fill="auto"/>
          </w:tcPr>
          <w:p w14:paraId="14AB4231" w14:textId="77777777" w:rsidR="00E93F58" w:rsidRPr="00576D60" w:rsidRDefault="00E93F58" w:rsidP="003D2B1E">
            <w:pPr>
              <w:pStyle w:val="ENoteTableText"/>
              <w:tabs>
                <w:tab w:val="left" w:leader="dot" w:pos="2268"/>
              </w:tabs>
            </w:pPr>
            <w:r w:rsidRPr="00576D60">
              <w:t>r. 10.2.56</w:t>
            </w:r>
            <w:r w:rsidRPr="00576D60">
              <w:tab/>
            </w:r>
          </w:p>
        </w:tc>
        <w:tc>
          <w:tcPr>
            <w:tcW w:w="3500" w:type="pct"/>
            <w:shd w:val="clear" w:color="auto" w:fill="auto"/>
          </w:tcPr>
          <w:p w14:paraId="09170129" w14:textId="77777777" w:rsidR="00E93F58" w:rsidRPr="00576D60" w:rsidRDefault="00E93F58" w:rsidP="003D2B1E">
            <w:pPr>
              <w:pStyle w:val="ENoteTableText"/>
            </w:pPr>
            <w:r w:rsidRPr="00576D60">
              <w:t>ad. 2001 No. 319</w:t>
            </w:r>
          </w:p>
        </w:tc>
      </w:tr>
      <w:tr w:rsidR="00E93F58" w:rsidRPr="00576D60" w14:paraId="5710E95E" w14:textId="77777777" w:rsidTr="002F32E3">
        <w:trPr>
          <w:cantSplit/>
        </w:trPr>
        <w:tc>
          <w:tcPr>
            <w:tcW w:w="1500" w:type="pct"/>
            <w:shd w:val="clear" w:color="auto" w:fill="auto"/>
          </w:tcPr>
          <w:p w14:paraId="19A55CA3" w14:textId="77777777" w:rsidR="00E93F58" w:rsidRPr="00576D60" w:rsidRDefault="00E93F58" w:rsidP="003D2B1E">
            <w:pPr>
              <w:pStyle w:val="ENoteTableText"/>
              <w:tabs>
                <w:tab w:val="left" w:leader="dot" w:pos="2268"/>
              </w:tabs>
            </w:pPr>
            <w:r w:rsidRPr="00576D60">
              <w:t>r. 10.2.57</w:t>
            </w:r>
            <w:r w:rsidRPr="00576D60">
              <w:tab/>
            </w:r>
          </w:p>
        </w:tc>
        <w:tc>
          <w:tcPr>
            <w:tcW w:w="3500" w:type="pct"/>
            <w:shd w:val="clear" w:color="auto" w:fill="auto"/>
          </w:tcPr>
          <w:p w14:paraId="77DF92D5" w14:textId="77777777" w:rsidR="00E93F58" w:rsidRPr="00576D60" w:rsidRDefault="00E93F58" w:rsidP="003D2B1E">
            <w:pPr>
              <w:pStyle w:val="ENoteTableText"/>
            </w:pPr>
            <w:r w:rsidRPr="00576D60">
              <w:t>ad. 2001 No. 319</w:t>
            </w:r>
          </w:p>
        </w:tc>
      </w:tr>
      <w:tr w:rsidR="00E93F58" w:rsidRPr="00576D60" w14:paraId="15965E76" w14:textId="77777777" w:rsidTr="002F32E3">
        <w:trPr>
          <w:cantSplit/>
        </w:trPr>
        <w:tc>
          <w:tcPr>
            <w:tcW w:w="1500" w:type="pct"/>
            <w:shd w:val="clear" w:color="auto" w:fill="auto"/>
          </w:tcPr>
          <w:p w14:paraId="3ED59BE2" w14:textId="77777777" w:rsidR="00E93F58" w:rsidRPr="00576D60" w:rsidRDefault="00E93F58" w:rsidP="003D2B1E">
            <w:pPr>
              <w:pStyle w:val="ENoteTableText"/>
              <w:tabs>
                <w:tab w:val="left" w:leader="dot" w:pos="2268"/>
              </w:tabs>
            </w:pPr>
            <w:r w:rsidRPr="00576D60">
              <w:t>r. 10.2.58</w:t>
            </w:r>
            <w:r w:rsidRPr="00576D60">
              <w:tab/>
            </w:r>
          </w:p>
        </w:tc>
        <w:tc>
          <w:tcPr>
            <w:tcW w:w="3500" w:type="pct"/>
            <w:shd w:val="clear" w:color="auto" w:fill="auto"/>
          </w:tcPr>
          <w:p w14:paraId="23C9F3B0" w14:textId="77777777" w:rsidR="00E93F58" w:rsidRPr="00576D60" w:rsidRDefault="00E93F58" w:rsidP="003D2B1E">
            <w:pPr>
              <w:pStyle w:val="ENoteTableText"/>
            </w:pPr>
            <w:r w:rsidRPr="00576D60">
              <w:t>ad. 2001 No. 319</w:t>
            </w:r>
          </w:p>
        </w:tc>
      </w:tr>
      <w:tr w:rsidR="00E93F58" w:rsidRPr="00576D60" w14:paraId="6836BA9E" w14:textId="77777777" w:rsidTr="002F32E3">
        <w:trPr>
          <w:cantSplit/>
        </w:trPr>
        <w:tc>
          <w:tcPr>
            <w:tcW w:w="1500" w:type="pct"/>
            <w:shd w:val="clear" w:color="auto" w:fill="auto"/>
          </w:tcPr>
          <w:p w14:paraId="44B29F32" w14:textId="77777777" w:rsidR="00E93F58" w:rsidRPr="00576D60" w:rsidRDefault="00E93F58" w:rsidP="003D2B1E">
            <w:pPr>
              <w:pStyle w:val="ENoteTableText"/>
              <w:tabs>
                <w:tab w:val="left" w:leader="dot" w:pos="2268"/>
              </w:tabs>
            </w:pPr>
            <w:r w:rsidRPr="00576D60">
              <w:t>r. 10.2.59</w:t>
            </w:r>
            <w:r w:rsidRPr="00576D60">
              <w:tab/>
            </w:r>
          </w:p>
        </w:tc>
        <w:tc>
          <w:tcPr>
            <w:tcW w:w="3500" w:type="pct"/>
            <w:shd w:val="clear" w:color="auto" w:fill="auto"/>
          </w:tcPr>
          <w:p w14:paraId="13922233" w14:textId="77777777" w:rsidR="00E93F58" w:rsidRPr="00576D60" w:rsidRDefault="00E93F58" w:rsidP="003D2B1E">
            <w:pPr>
              <w:pStyle w:val="ENoteTableText"/>
            </w:pPr>
            <w:r w:rsidRPr="00576D60">
              <w:t>ad. 2001 No. 319</w:t>
            </w:r>
          </w:p>
        </w:tc>
      </w:tr>
      <w:tr w:rsidR="00E93F58" w:rsidRPr="00576D60" w14:paraId="586A84F0" w14:textId="77777777" w:rsidTr="002F32E3">
        <w:trPr>
          <w:cantSplit/>
        </w:trPr>
        <w:tc>
          <w:tcPr>
            <w:tcW w:w="1500" w:type="pct"/>
            <w:shd w:val="clear" w:color="auto" w:fill="auto"/>
          </w:tcPr>
          <w:p w14:paraId="16A2332A" w14:textId="77777777" w:rsidR="00E93F58" w:rsidRPr="00576D60" w:rsidRDefault="00E93F58" w:rsidP="003D2B1E">
            <w:pPr>
              <w:pStyle w:val="ENoteTableText"/>
              <w:tabs>
                <w:tab w:val="left" w:leader="dot" w:pos="2268"/>
              </w:tabs>
            </w:pPr>
            <w:r w:rsidRPr="00576D60">
              <w:t>r. 10.2.60</w:t>
            </w:r>
            <w:r w:rsidRPr="00576D60">
              <w:tab/>
            </w:r>
          </w:p>
        </w:tc>
        <w:tc>
          <w:tcPr>
            <w:tcW w:w="3500" w:type="pct"/>
            <w:shd w:val="clear" w:color="auto" w:fill="auto"/>
          </w:tcPr>
          <w:p w14:paraId="67919E15" w14:textId="77777777" w:rsidR="00E93F58" w:rsidRPr="00576D60" w:rsidRDefault="00E93F58" w:rsidP="003D2B1E">
            <w:pPr>
              <w:pStyle w:val="ENoteTableText"/>
            </w:pPr>
            <w:r w:rsidRPr="00576D60">
              <w:t>ad. 2001 No. 319</w:t>
            </w:r>
          </w:p>
        </w:tc>
      </w:tr>
      <w:tr w:rsidR="00E93F58" w:rsidRPr="00576D60" w14:paraId="5AA28C1B" w14:textId="77777777" w:rsidTr="002F32E3">
        <w:trPr>
          <w:cantSplit/>
        </w:trPr>
        <w:tc>
          <w:tcPr>
            <w:tcW w:w="1500" w:type="pct"/>
            <w:shd w:val="clear" w:color="auto" w:fill="auto"/>
          </w:tcPr>
          <w:p w14:paraId="097AC7F4" w14:textId="77777777" w:rsidR="00E93F58" w:rsidRPr="00576D60" w:rsidRDefault="00E93F58" w:rsidP="003D2B1E">
            <w:pPr>
              <w:pStyle w:val="ENoteTableText"/>
              <w:tabs>
                <w:tab w:val="left" w:leader="dot" w:pos="2268"/>
              </w:tabs>
            </w:pPr>
            <w:r w:rsidRPr="00576D60">
              <w:t>r. 10.2.61</w:t>
            </w:r>
            <w:r w:rsidRPr="00576D60">
              <w:tab/>
            </w:r>
          </w:p>
        </w:tc>
        <w:tc>
          <w:tcPr>
            <w:tcW w:w="3500" w:type="pct"/>
            <w:shd w:val="clear" w:color="auto" w:fill="auto"/>
          </w:tcPr>
          <w:p w14:paraId="46558A2C" w14:textId="77777777" w:rsidR="00E93F58" w:rsidRPr="00576D60" w:rsidRDefault="00E93F58" w:rsidP="003D2B1E">
            <w:pPr>
              <w:pStyle w:val="ENoteTableText"/>
            </w:pPr>
            <w:r w:rsidRPr="00576D60">
              <w:t>ad. 2001 No. 319</w:t>
            </w:r>
          </w:p>
        </w:tc>
      </w:tr>
      <w:tr w:rsidR="00E93F58" w:rsidRPr="00576D60" w14:paraId="060BB1D7" w14:textId="77777777" w:rsidTr="002F32E3">
        <w:trPr>
          <w:cantSplit/>
        </w:trPr>
        <w:tc>
          <w:tcPr>
            <w:tcW w:w="1500" w:type="pct"/>
            <w:shd w:val="clear" w:color="auto" w:fill="auto"/>
          </w:tcPr>
          <w:p w14:paraId="28E5C4A5" w14:textId="77777777" w:rsidR="00E93F58" w:rsidRPr="00576D60" w:rsidRDefault="00E93F58" w:rsidP="003D2B1E">
            <w:pPr>
              <w:pStyle w:val="ENoteTableText"/>
              <w:tabs>
                <w:tab w:val="left" w:leader="dot" w:pos="2268"/>
              </w:tabs>
            </w:pPr>
            <w:r w:rsidRPr="00576D60">
              <w:t>r. 10.2.62</w:t>
            </w:r>
            <w:r w:rsidRPr="00576D60">
              <w:tab/>
            </w:r>
          </w:p>
        </w:tc>
        <w:tc>
          <w:tcPr>
            <w:tcW w:w="3500" w:type="pct"/>
            <w:shd w:val="clear" w:color="auto" w:fill="auto"/>
          </w:tcPr>
          <w:p w14:paraId="11B5C9CF" w14:textId="77777777" w:rsidR="00E93F58" w:rsidRPr="00576D60" w:rsidRDefault="00E93F58" w:rsidP="003D2B1E">
            <w:pPr>
              <w:pStyle w:val="ENoteTableText"/>
            </w:pPr>
            <w:r w:rsidRPr="00576D60">
              <w:t>ad. 2001 No. 319</w:t>
            </w:r>
          </w:p>
        </w:tc>
      </w:tr>
      <w:tr w:rsidR="00E93F58" w:rsidRPr="00576D60" w14:paraId="091497F2" w14:textId="77777777" w:rsidTr="002F32E3">
        <w:trPr>
          <w:cantSplit/>
        </w:trPr>
        <w:tc>
          <w:tcPr>
            <w:tcW w:w="1500" w:type="pct"/>
            <w:shd w:val="clear" w:color="auto" w:fill="auto"/>
          </w:tcPr>
          <w:p w14:paraId="09B23BF5" w14:textId="77777777" w:rsidR="00E93F58" w:rsidRPr="00576D60" w:rsidRDefault="00E93F58" w:rsidP="003D2B1E">
            <w:pPr>
              <w:pStyle w:val="ENoteTableText"/>
              <w:tabs>
                <w:tab w:val="left" w:leader="dot" w:pos="2268"/>
              </w:tabs>
            </w:pPr>
            <w:r w:rsidRPr="00576D60">
              <w:t>r. 10.2.63</w:t>
            </w:r>
            <w:r w:rsidRPr="00576D60">
              <w:tab/>
            </w:r>
          </w:p>
        </w:tc>
        <w:tc>
          <w:tcPr>
            <w:tcW w:w="3500" w:type="pct"/>
            <w:shd w:val="clear" w:color="auto" w:fill="auto"/>
          </w:tcPr>
          <w:p w14:paraId="15B2D7FC" w14:textId="77777777" w:rsidR="00E93F58" w:rsidRPr="00576D60" w:rsidRDefault="00E93F58" w:rsidP="003D2B1E">
            <w:pPr>
              <w:pStyle w:val="ENoteTableText"/>
            </w:pPr>
            <w:r w:rsidRPr="00576D60">
              <w:t>ad. 2001 No. 319</w:t>
            </w:r>
          </w:p>
        </w:tc>
      </w:tr>
      <w:tr w:rsidR="00E93F58" w:rsidRPr="00576D60" w14:paraId="3D2785BD" w14:textId="77777777" w:rsidTr="002F32E3">
        <w:trPr>
          <w:cantSplit/>
        </w:trPr>
        <w:tc>
          <w:tcPr>
            <w:tcW w:w="1500" w:type="pct"/>
            <w:shd w:val="clear" w:color="auto" w:fill="auto"/>
          </w:tcPr>
          <w:p w14:paraId="7615D7A2" w14:textId="77777777" w:rsidR="00E93F58" w:rsidRPr="00576D60" w:rsidRDefault="00E93F58" w:rsidP="003D2B1E">
            <w:pPr>
              <w:pStyle w:val="ENoteTableText"/>
              <w:tabs>
                <w:tab w:val="left" w:leader="dot" w:pos="2268"/>
              </w:tabs>
            </w:pPr>
            <w:r w:rsidRPr="00576D60">
              <w:t>r. 10.2.64</w:t>
            </w:r>
            <w:r w:rsidRPr="00576D60">
              <w:tab/>
            </w:r>
          </w:p>
        </w:tc>
        <w:tc>
          <w:tcPr>
            <w:tcW w:w="3500" w:type="pct"/>
            <w:shd w:val="clear" w:color="auto" w:fill="auto"/>
          </w:tcPr>
          <w:p w14:paraId="3EFE4EF3" w14:textId="77777777" w:rsidR="00E93F58" w:rsidRPr="00576D60" w:rsidRDefault="00E93F58" w:rsidP="003D2B1E">
            <w:pPr>
              <w:pStyle w:val="ENoteTableText"/>
            </w:pPr>
            <w:r w:rsidRPr="00576D60">
              <w:t>ad. 2001 No. 319</w:t>
            </w:r>
          </w:p>
        </w:tc>
      </w:tr>
      <w:tr w:rsidR="00E93F58" w:rsidRPr="00576D60" w14:paraId="65FF7708" w14:textId="77777777" w:rsidTr="002F32E3">
        <w:trPr>
          <w:cantSplit/>
        </w:trPr>
        <w:tc>
          <w:tcPr>
            <w:tcW w:w="1500" w:type="pct"/>
            <w:shd w:val="clear" w:color="auto" w:fill="auto"/>
          </w:tcPr>
          <w:p w14:paraId="304265C0" w14:textId="77777777" w:rsidR="00E93F58" w:rsidRPr="00576D60" w:rsidRDefault="00E93F58" w:rsidP="003D2B1E">
            <w:pPr>
              <w:pStyle w:val="ENoteTableText"/>
              <w:tabs>
                <w:tab w:val="left" w:leader="dot" w:pos="2268"/>
              </w:tabs>
            </w:pPr>
            <w:r w:rsidRPr="00576D60">
              <w:t>r. 10.2.65</w:t>
            </w:r>
            <w:r w:rsidRPr="00576D60">
              <w:tab/>
            </w:r>
          </w:p>
        </w:tc>
        <w:tc>
          <w:tcPr>
            <w:tcW w:w="3500" w:type="pct"/>
            <w:shd w:val="clear" w:color="auto" w:fill="auto"/>
          </w:tcPr>
          <w:p w14:paraId="7E46322A" w14:textId="77777777" w:rsidR="00E93F58" w:rsidRPr="00576D60" w:rsidRDefault="00E93F58" w:rsidP="003D2B1E">
            <w:pPr>
              <w:pStyle w:val="ENoteTableText"/>
            </w:pPr>
            <w:r w:rsidRPr="00576D60">
              <w:t>ad. 2001 No. 319</w:t>
            </w:r>
          </w:p>
        </w:tc>
      </w:tr>
      <w:tr w:rsidR="00E93F58" w:rsidRPr="00576D60" w14:paraId="05734B2B" w14:textId="77777777" w:rsidTr="002F32E3">
        <w:trPr>
          <w:cantSplit/>
        </w:trPr>
        <w:tc>
          <w:tcPr>
            <w:tcW w:w="1500" w:type="pct"/>
            <w:shd w:val="clear" w:color="auto" w:fill="auto"/>
          </w:tcPr>
          <w:p w14:paraId="14865ED3" w14:textId="77777777" w:rsidR="00E93F58" w:rsidRPr="00576D60" w:rsidRDefault="00E93F58" w:rsidP="003D2B1E">
            <w:pPr>
              <w:pStyle w:val="ENoteTableText"/>
              <w:tabs>
                <w:tab w:val="left" w:leader="dot" w:pos="2268"/>
              </w:tabs>
            </w:pPr>
            <w:r w:rsidRPr="00576D60">
              <w:t>r. 10.2.66</w:t>
            </w:r>
            <w:r w:rsidRPr="00576D60">
              <w:tab/>
            </w:r>
          </w:p>
        </w:tc>
        <w:tc>
          <w:tcPr>
            <w:tcW w:w="3500" w:type="pct"/>
            <w:shd w:val="clear" w:color="auto" w:fill="auto"/>
          </w:tcPr>
          <w:p w14:paraId="01F0943B" w14:textId="77777777" w:rsidR="00E93F58" w:rsidRPr="00576D60" w:rsidRDefault="00E93F58" w:rsidP="003D2B1E">
            <w:pPr>
              <w:pStyle w:val="ENoteTableText"/>
            </w:pPr>
            <w:r w:rsidRPr="00576D60">
              <w:t>ad. 2001 No. 319</w:t>
            </w:r>
          </w:p>
        </w:tc>
      </w:tr>
      <w:tr w:rsidR="00E93F58" w:rsidRPr="00576D60" w14:paraId="5BA94055" w14:textId="77777777" w:rsidTr="002F32E3">
        <w:trPr>
          <w:cantSplit/>
        </w:trPr>
        <w:tc>
          <w:tcPr>
            <w:tcW w:w="1500" w:type="pct"/>
            <w:shd w:val="clear" w:color="auto" w:fill="auto"/>
          </w:tcPr>
          <w:p w14:paraId="331758C9" w14:textId="77777777" w:rsidR="00E93F58" w:rsidRPr="00576D60" w:rsidRDefault="00E93F58" w:rsidP="003D2B1E">
            <w:pPr>
              <w:pStyle w:val="ENoteTableText"/>
              <w:tabs>
                <w:tab w:val="left" w:leader="dot" w:pos="2268"/>
              </w:tabs>
            </w:pPr>
            <w:r w:rsidRPr="00576D60">
              <w:t>r. 10.2.67</w:t>
            </w:r>
            <w:r w:rsidRPr="00576D60">
              <w:tab/>
            </w:r>
          </w:p>
        </w:tc>
        <w:tc>
          <w:tcPr>
            <w:tcW w:w="3500" w:type="pct"/>
            <w:shd w:val="clear" w:color="auto" w:fill="auto"/>
          </w:tcPr>
          <w:p w14:paraId="21B5EF47" w14:textId="77777777" w:rsidR="00E93F58" w:rsidRPr="00576D60" w:rsidRDefault="00E93F58" w:rsidP="003D2B1E">
            <w:pPr>
              <w:pStyle w:val="ENoteTableText"/>
            </w:pPr>
            <w:r w:rsidRPr="00576D60">
              <w:t>ad. 2001 No. 319</w:t>
            </w:r>
          </w:p>
        </w:tc>
      </w:tr>
      <w:tr w:rsidR="00E93F58" w:rsidRPr="00576D60" w14:paraId="67ABAA99" w14:textId="77777777" w:rsidTr="002F32E3">
        <w:trPr>
          <w:cantSplit/>
        </w:trPr>
        <w:tc>
          <w:tcPr>
            <w:tcW w:w="1500" w:type="pct"/>
            <w:shd w:val="clear" w:color="auto" w:fill="auto"/>
          </w:tcPr>
          <w:p w14:paraId="0715F4A8" w14:textId="77777777" w:rsidR="00E93F58" w:rsidRPr="00576D60" w:rsidRDefault="00E93F58" w:rsidP="003D2B1E">
            <w:pPr>
              <w:pStyle w:val="ENoteTableText"/>
              <w:tabs>
                <w:tab w:val="left" w:leader="dot" w:pos="2268"/>
              </w:tabs>
            </w:pPr>
            <w:r w:rsidRPr="00576D60">
              <w:t>r. 10.2.68</w:t>
            </w:r>
            <w:r w:rsidRPr="00576D60">
              <w:tab/>
            </w:r>
          </w:p>
        </w:tc>
        <w:tc>
          <w:tcPr>
            <w:tcW w:w="3500" w:type="pct"/>
            <w:shd w:val="clear" w:color="auto" w:fill="auto"/>
          </w:tcPr>
          <w:p w14:paraId="70577EE2" w14:textId="77777777" w:rsidR="00E93F58" w:rsidRPr="00576D60" w:rsidRDefault="00E93F58" w:rsidP="003D2B1E">
            <w:pPr>
              <w:pStyle w:val="ENoteTableText"/>
            </w:pPr>
            <w:r w:rsidRPr="00576D60">
              <w:t>ad. 2001 No. 319</w:t>
            </w:r>
          </w:p>
        </w:tc>
      </w:tr>
      <w:tr w:rsidR="00E93F58" w:rsidRPr="00576D60" w14:paraId="0C7F1C0D" w14:textId="77777777" w:rsidTr="002F32E3">
        <w:trPr>
          <w:cantSplit/>
        </w:trPr>
        <w:tc>
          <w:tcPr>
            <w:tcW w:w="1500" w:type="pct"/>
            <w:shd w:val="clear" w:color="auto" w:fill="auto"/>
          </w:tcPr>
          <w:p w14:paraId="3FBC8B38" w14:textId="77777777" w:rsidR="00E93F58" w:rsidRPr="00576D60" w:rsidRDefault="00E93F58" w:rsidP="003D2B1E">
            <w:pPr>
              <w:pStyle w:val="ENoteTableText"/>
              <w:tabs>
                <w:tab w:val="left" w:leader="dot" w:pos="2268"/>
              </w:tabs>
            </w:pPr>
            <w:r w:rsidRPr="00576D60">
              <w:t>r. 10.2.69</w:t>
            </w:r>
            <w:r w:rsidRPr="00576D60">
              <w:tab/>
            </w:r>
          </w:p>
        </w:tc>
        <w:tc>
          <w:tcPr>
            <w:tcW w:w="3500" w:type="pct"/>
            <w:shd w:val="clear" w:color="auto" w:fill="auto"/>
          </w:tcPr>
          <w:p w14:paraId="3F35C2CE" w14:textId="77777777" w:rsidR="00E93F58" w:rsidRPr="00576D60" w:rsidRDefault="00E93F58" w:rsidP="003D2B1E">
            <w:pPr>
              <w:pStyle w:val="ENoteTableText"/>
            </w:pPr>
            <w:r w:rsidRPr="00576D60">
              <w:t>ad. 2001 No. 319</w:t>
            </w:r>
          </w:p>
        </w:tc>
      </w:tr>
      <w:tr w:rsidR="00E93F58" w:rsidRPr="00576D60" w14:paraId="70D0C3BE" w14:textId="77777777" w:rsidTr="002F32E3">
        <w:trPr>
          <w:cantSplit/>
        </w:trPr>
        <w:tc>
          <w:tcPr>
            <w:tcW w:w="1500" w:type="pct"/>
            <w:shd w:val="clear" w:color="auto" w:fill="auto"/>
          </w:tcPr>
          <w:p w14:paraId="0363CF94" w14:textId="77777777" w:rsidR="00E93F58" w:rsidRPr="00576D60" w:rsidRDefault="00E93F58" w:rsidP="003D2B1E">
            <w:pPr>
              <w:pStyle w:val="ENoteTableText"/>
              <w:tabs>
                <w:tab w:val="left" w:leader="dot" w:pos="2268"/>
              </w:tabs>
            </w:pPr>
            <w:r w:rsidRPr="00576D60">
              <w:t>r. 10.2.70</w:t>
            </w:r>
            <w:r w:rsidRPr="00576D60">
              <w:tab/>
            </w:r>
          </w:p>
        </w:tc>
        <w:tc>
          <w:tcPr>
            <w:tcW w:w="3500" w:type="pct"/>
            <w:shd w:val="clear" w:color="auto" w:fill="auto"/>
          </w:tcPr>
          <w:p w14:paraId="271F24BA" w14:textId="77777777" w:rsidR="00E93F58" w:rsidRPr="00576D60" w:rsidRDefault="00E93F58" w:rsidP="003D2B1E">
            <w:pPr>
              <w:pStyle w:val="ENoteTableText"/>
            </w:pPr>
            <w:r w:rsidRPr="00576D60">
              <w:t>ad. 2001 No. 319</w:t>
            </w:r>
          </w:p>
        </w:tc>
      </w:tr>
      <w:tr w:rsidR="00E93F58" w:rsidRPr="00576D60" w14:paraId="3AD4BC5E" w14:textId="77777777" w:rsidTr="002F32E3">
        <w:trPr>
          <w:cantSplit/>
        </w:trPr>
        <w:tc>
          <w:tcPr>
            <w:tcW w:w="1500" w:type="pct"/>
            <w:shd w:val="clear" w:color="auto" w:fill="auto"/>
          </w:tcPr>
          <w:p w14:paraId="13F23781" w14:textId="77777777" w:rsidR="00E93F58" w:rsidRPr="00576D60" w:rsidRDefault="00E93F58" w:rsidP="003D2B1E">
            <w:pPr>
              <w:pStyle w:val="ENoteTableText"/>
            </w:pPr>
          </w:p>
        </w:tc>
        <w:tc>
          <w:tcPr>
            <w:tcW w:w="3500" w:type="pct"/>
            <w:shd w:val="clear" w:color="auto" w:fill="auto"/>
          </w:tcPr>
          <w:p w14:paraId="4E47FD7E" w14:textId="77777777" w:rsidR="00E93F58" w:rsidRPr="00576D60" w:rsidRDefault="00E93F58" w:rsidP="003D2B1E">
            <w:pPr>
              <w:pStyle w:val="ENoteTableText"/>
            </w:pPr>
            <w:r w:rsidRPr="00576D60">
              <w:t>am. 2002 No. 16</w:t>
            </w:r>
          </w:p>
        </w:tc>
      </w:tr>
      <w:tr w:rsidR="00E93F58" w:rsidRPr="00576D60" w14:paraId="3BD56AF2" w14:textId="77777777" w:rsidTr="002F32E3">
        <w:trPr>
          <w:cantSplit/>
        </w:trPr>
        <w:tc>
          <w:tcPr>
            <w:tcW w:w="1500" w:type="pct"/>
            <w:shd w:val="clear" w:color="auto" w:fill="auto"/>
          </w:tcPr>
          <w:p w14:paraId="0E4B23B7" w14:textId="77777777" w:rsidR="00E93F58" w:rsidRPr="00576D60" w:rsidRDefault="00E93F58" w:rsidP="003D2B1E">
            <w:pPr>
              <w:pStyle w:val="ENoteTableText"/>
              <w:tabs>
                <w:tab w:val="left" w:leader="dot" w:pos="2268"/>
              </w:tabs>
            </w:pPr>
            <w:r w:rsidRPr="00576D60">
              <w:lastRenderedPageBreak/>
              <w:t>r. 10.2.71</w:t>
            </w:r>
            <w:r w:rsidRPr="00576D60">
              <w:tab/>
            </w:r>
          </w:p>
        </w:tc>
        <w:tc>
          <w:tcPr>
            <w:tcW w:w="3500" w:type="pct"/>
            <w:shd w:val="clear" w:color="auto" w:fill="auto"/>
          </w:tcPr>
          <w:p w14:paraId="73A5D47B" w14:textId="77777777" w:rsidR="00E93F58" w:rsidRPr="00576D60" w:rsidRDefault="00E93F58" w:rsidP="003D2B1E">
            <w:pPr>
              <w:pStyle w:val="ENoteTableText"/>
            </w:pPr>
            <w:r w:rsidRPr="00576D60">
              <w:t>ad. 2001 No. 319</w:t>
            </w:r>
          </w:p>
        </w:tc>
      </w:tr>
      <w:tr w:rsidR="00E93F58" w:rsidRPr="00576D60" w14:paraId="28E0066F" w14:textId="77777777" w:rsidTr="002F32E3">
        <w:trPr>
          <w:cantSplit/>
        </w:trPr>
        <w:tc>
          <w:tcPr>
            <w:tcW w:w="1500" w:type="pct"/>
            <w:shd w:val="clear" w:color="auto" w:fill="auto"/>
          </w:tcPr>
          <w:p w14:paraId="05748DED" w14:textId="77777777" w:rsidR="00E93F58" w:rsidRPr="00576D60" w:rsidRDefault="00E93F58" w:rsidP="003D2B1E">
            <w:pPr>
              <w:pStyle w:val="ENoteTableText"/>
            </w:pPr>
          </w:p>
        </w:tc>
        <w:tc>
          <w:tcPr>
            <w:tcW w:w="3500" w:type="pct"/>
            <w:shd w:val="clear" w:color="auto" w:fill="auto"/>
          </w:tcPr>
          <w:p w14:paraId="63755F90" w14:textId="77777777" w:rsidR="00E93F58" w:rsidRPr="00576D60" w:rsidRDefault="00E93F58" w:rsidP="003D2B1E">
            <w:pPr>
              <w:pStyle w:val="ENoteTableText"/>
            </w:pPr>
            <w:r w:rsidRPr="00576D60">
              <w:t>am. 2002 No 16 and 41</w:t>
            </w:r>
          </w:p>
        </w:tc>
      </w:tr>
      <w:tr w:rsidR="00E93F58" w:rsidRPr="00576D60" w14:paraId="56C162F2" w14:textId="77777777" w:rsidTr="002F32E3">
        <w:trPr>
          <w:cantSplit/>
        </w:trPr>
        <w:tc>
          <w:tcPr>
            <w:tcW w:w="1500" w:type="pct"/>
            <w:shd w:val="clear" w:color="auto" w:fill="auto"/>
          </w:tcPr>
          <w:p w14:paraId="3563921D" w14:textId="77777777" w:rsidR="00E93F58" w:rsidRPr="00576D60" w:rsidRDefault="00E93F58" w:rsidP="003D2B1E">
            <w:pPr>
              <w:pStyle w:val="ENoteTableText"/>
              <w:tabs>
                <w:tab w:val="left" w:leader="dot" w:pos="2268"/>
              </w:tabs>
            </w:pPr>
            <w:r w:rsidRPr="00576D60">
              <w:t>r. 10.2.72</w:t>
            </w:r>
            <w:r w:rsidRPr="00576D60">
              <w:tab/>
            </w:r>
          </w:p>
        </w:tc>
        <w:tc>
          <w:tcPr>
            <w:tcW w:w="3500" w:type="pct"/>
            <w:shd w:val="clear" w:color="auto" w:fill="auto"/>
          </w:tcPr>
          <w:p w14:paraId="47E92871" w14:textId="77777777" w:rsidR="00E93F58" w:rsidRPr="00576D60" w:rsidRDefault="00E93F58" w:rsidP="003D2B1E">
            <w:pPr>
              <w:pStyle w:val="ENoteTableText"/>
            </w:pPr>
            <w:r w:rsidRPr="00576D60">
              <w:t>ad. 2001 No. 319</w:t>
            </w:r>
          </w:p>
        </w:tc>
      </w:tr>
      <w:tr w:rsidR="00E93F58" w:rsidRPr="00576D60" w14:paraId="05E970ED" w14:textId="77777777" w:rsidTr="002F32E3">
        <w:trPr>
          <w:cantSplit/>
        </w:trPr>
        <w:tc>
          <w:tcPr>
            <w:tcW w:w="1500" w:type="pct"/>
            <w:shd w:val="clear" w:color="auto" w:fill="auto"/>
          </w:tcPr>
          <w:p w14:paraId="53FDCD55" w14:textId="77777777" w:rsidR="00E93F58" w:rsidRPr="00576D60" w:rsidRDefault="00E93F58" w:rsidP="003D2B1E">
            <w:pPr>
              <w:pStyle w:val="ENoteTableText"/>
              <w:tabs>
                <w:tab w:val="left" w:leader="dot" w:pos="2268"/>
              </w:tabs>
            </w:pPr>
            <w:r w:rsidRPr="00576D60">
              <w:t>r. 10.2.73</w:t>
            </w:r>
            <w:r w:rsidRPr="00576D60">
              <w:tab/>
            </w:r>
          </w:p>
        </w:tc>
        <w:tc>
          <w:tcPr>
            <w:tcW w:w="3500" w:type="pct"/>
            <w:shd w:val="clear" w:color="auto" w:fill="auto"/>
          </w:tcPr>
          <w:p w14:paraId="4ABB138A" w14:textId="77777777" w:rsidR="00E93F58" w:rsidRPr="00576D60" w:rsidRDefault="00E93F58" w:rsidP="003D2B1E">
            <w:pPr>
              <w:pStyle w:val="ENoteTableText"/>
            </w:pPr>
            <w:r w:rsidRPr="00576D60">
              <w:t>ad. 2001 No. 319</w:t>
            </w:r>
          </w:p>
        </w:tc>
      </w:tr>
      <w:tr w:rsidR="00E93F58" w:rsidRPr="00576D60" w14:paraId="4B6A13BC" w14:textId="77777777" w:rsidTr="002F32E3">
        <w:trPr>
          <w:cantSplit/>
        </w:trPr>
        <w:tc>
          <w:tcPr>
            <w:tcW w:w="1500" w:type="pct"/>
            <w:shd w:val="clear" w:color="auto" w:fill="auto"/>
          </w:tcPr>
          <w:p w14:paraId="679DD4C4" w14:textId="77777777" w:rsidR="00E93F58" w:rsidRPr="00576D60" w:rsidRDefault="00E93F58" w:rsidP="003D2B1E">
            <w:pPr>
              <w:pStyle w:val="ENoteTableText"/>
              <w:tabs>
                <w:tab w:val="left" w:leader="dot" w:pos="2268"/>
              </w:tabs>
            </w:pPr>
            <w:r w:rsidRPr="00576D60">
              <w:t>r. 10.2.73A</w:t>
            </w:r>
            <w:r w:rsidRPr="00576D60">
              <w:tab/>
            </w:r>
          </w:p>
        </w:tc>
        <w:tc>
          <w:tcPr>
            <w:tcW w:w="3500" w:type="pct"/>
            <w:shd w:val="clear" w:color="auto" w:fill="auto"/>
          </w:tcPr>
          <w:p w14:paraId="2CF84489" w14:textId="77777777" w:rsidR="00E93F58" w:rsidRPr="00576D60" w:rsidRDefault="00E93F58" w:rsidP="003D2B1E">
            <w:pPr>
              <w:pStyle w:val="ENoteTableText"/>
            </w:pPr>
            <w:r w:rsidRPr="00576D60">
              <w:t>ad. 2002 No. 41</w:t>
            </w:r>
          </w:p>
        </w:tc>
      </w:tr>
      <w:tr w:rsidR="00E93F58" w:rsidRPr="00576D60" w14:paraId="7D41B293" w14:textId="77777777" w:rsidTr="002F32E3">
        <w:trPr>
          <w:cantSplit/>
        </w:trPr>
        <w:tc>
          <w:tcPr>
            <w:tcW w:w="1500" w:type="pct"/>
            <w:shd w:val="clear" w:color="auto" w:fill="auto"/>
          </w:tcPr>
          <w:p w14:paraId="3F83F694" w14:textId="77777777" w:rsidR="00E93F58" w:rsidRPr="00576D60" w:rsidRDefault="00E93F58" w:rsidP="003D2B1E">
            <w:pPr>
              <w:pStyle w:val="ENoteTableText"/>
              <w:tabs>
                <w:tab w:val="left" w:leader="dot" w:pos="2268"/>
              </w:tabs>
            </w:pPr>
            <w:r w:rsidRPr="00576D60">
              <w:t>r. 10.2.73B</w:t>
            </w:r>
            <w:r w:rsidRPr="00576D60">
              <w:tab/>
            </w:r>
          </w:p>
        </w:tc>
        <w:tc>
          <w:tcPr>
            <w:tcW w:w="3500" w:type="pct"/>
            <w:shd w:val="clear" w:color="auto" w:fill="auto"/>
          </w:tcPr>
          <w:p w14:paraId="44975917" w14:textId="77777777" w:rsidR="00E93F58" w:rsidRPr="00576D60" w:rsidRDefault="00E93F58" w:rsidP="003D2B1E">
            <w:pPr>
              <w:pStyle w:val="ENoteTableText"/>
            </w:pPr>
            <w:r w:rsidRPr="00576D60">
              <w:t>ad. 2002 No. 41</w:t>
            </w:r>
          </w:p>
        </w:tc>
      </w:tr>
      <w:tr w:rsidR="00E93F58" w:rsidRPr="00576D60" w14:paraId="3FC8E05C" w14:textId="77777777" w:rsidTr="002F32E3">
        <w:trPr>
          <w:cantSplit/>
        </w:trPr>
        <w:tc>
          <w:tcPr>
            <w:tcW w:w="1500" w:type="pct"/>
            <w:shd w:val="clear" w:color="auto" w:fill="auto"/>
          </w:tcPr>
          <w:p w14:paraId="5C6CAED5" w14:textId="77777777" w:rsidR="00E93F58" w:rsidRPr="00576D60" w:rsidRDefault="00E93F58" w:rsidP="00E942B6">
            <w:pPr>
              <w:pStyle w:val="ENoteTableText"/>
              <w:keepNext/>
              <w:tabs>
                <w:tab w:val="left" w:leader="dot" w:pos="2268"/>
              </w:tabs>
              <w:rPr>
                <w:b/>
              </w:rPr>
            </w:pPr>
            <w:r w:rsidRPr="00576D60">
              <w:rPr>
                <w:b/>
              </w:rPr>
              <w:t>Division 16</w:t>
            </w:r>
          </w:p>
        </w:tc>
        <w:tc>
          <w:tcPr>
            <w:tcW w:w="3500" w:type="pct"/>
            <w:shd w:val="clear" w:color="auto" w:fill="auto"/>
          </w:tcPr>
          <w:p w14:paraId="507BFDEA" w14:textId="77777777" w:rsidR="00E93F58" w:rsidRPr="00576D60" w:rsidRDefault="00E93F58" w:rsidP="003D2B1E">
            <w:pPr>
              <w:pStyle w:val="ENoteTableText"/>
            </w:pPr>
          </w:p>
        </w:tc>
      </w:tr>
      <w:tr w:rsidR="00E93F58" w:rsidRPr="00576D60" w14:paraId="693E38B3" w14:textId="77777777" w:rsidTr="002F32E3">
        <w:trPr>
          <w:cantSplit/>
        </w:trPr>
        <w:tc>
          <w:tcPr>
            <w:tcW w:w="1500" w:type="pct"/>
            <w:shd w:val="clear" w:color="auto" w:fill="auto"/>
          </w:tcPr>
          <w:p w14:paraId="185407E9" w14:textId="77777777" w:rsidR="00E93F58" w:rsidRPr="00576D60" w:rsidRDefault="00E93F58" w:rsidP="003D2B1E">
            <w:pPr>
              <w:pStyle w:val="ENoteTableText"/>
              <w:tabs>
                <w:tab w:val="left" w:leader="dot" w:pos="2268"/>
              </w:tabs>
            </w:pPr>
            <w:r w:rsidRPr="00576D60">
              <w:t>r. 10.2.74</w:t>
            </w:r>
            <w:r w:rsidRPr="00576D60">
              <w:tab/>
            </w:r>
          </w:p>
        </w:tc>
        <w:tc>
          <w:tcPr>
            <w:tcW w:w="3500" w:type="pct"/>
            <w:shd w:val="clear" w:color="auto" w:fill="auto"/>
          </w:tcPr>
          <w:p w14:paraId="6AC02AFE" w14:textId="77777777" w:rsidR="00E93F58" w:rsidRPr="00576D60" w:rsidRDefault="00E93F58" w:rsidP="003D2B1E">
            <w:pPr>
              <w:pStyle w:val="ENoteTableText"/>
            </w:pPr>
            <w:r w:rsidRPr="00576D60">
              <w:t>ad. 2001 No. 319</w:t>
            </w:r>
          </w:p>
        </w:tc>
      </w:tr>
      <w:tr w:rsidR="00E93F58" w:rsidRPr="00576D60" w14:paraId="58D6623B" w14:textId="77777777" w:rsidTr="002F32E3">
        <w:trPr>
          <w:cantSplit/>
        </w:trPr>
        <w:tc>
          <w:tcPr>
            <w:tcW w:w="1500" w:type="pct"/>
            <w:shd w:val="clear" w:color="auto" w:fill="auto"/>
          </w:tcPr>
          <w:p w14:paraId="1312107C" w14:textId="77777777" w:rsidR="00E93F58" w:rsidRPr="00576D60" w:rsidRDefault="00E93F58" w:rsidP="003D2B1E">
            <w:pPr>
              <w:pStyle w:val="ENoteTableText"/>
            </w:pPr>
          </w:p>
        </w:tc>
        <w:tc>
          <w:tcPr>
            <w:tcW w:w="3500" w:type="pct"/>
            <w:shd w:val="clear" w:color="auto" w:fill="auto"/>
          </w:tcPr>
          <w:p w14:paraId="370F1647" w14:textId="77777777" w:rsidR="00E93F58" w:rsidRPr="00576D60" w:rsidRDefault="00E93F58" w:rsidP="003D2B1E">
            <w:pPr>
              <w:pStyle w:val="ENoteTableText"/>
            </w:pPr>
            <w:r w:rsidRPr="00576D60">
              <w:t>am. 2002 No 16 and 41</w:t>
            </w:r>
          </w:p>
        </w:tc>
      </w:tr>
      <w:tr w:rsidR="00E93F58" w:rsidRPr="00576D60" w14:paraId="436C0107" w14:textId="77777777" w:rsidTr="002F32E3">
        <w:trPr>
          <w:cantSplit/>
        </w:trPr>
        <w:tc>
          <w:tcPr>
            <w:tcW w:w="1500" w:type="pct"/>
            <w:shd w:val="clear" w:color="auto" w:fill="auto"/>
          </w:tcPr>
          <w:p w14:paraId="3383535E" w14:textId="77777777" w:rsidR="00E93F58" w:rsidRPr="00576D60" w:rsidRDefault="00E93F58" w:rsidP="003D2B1E">
            <w:pPr>
              <w:pStyle w:val="ENoteTableText"/>
              <w:tabs>
                <w:tab w:val="left" w:leader="dot" w:pos="2268"/>
              </w:tabs>
            </w:pPr>
            <w:r w:rsidRPr="00576D60">
              <w:t>r. 10.2.75</w:t>
            </w:r>
            <w:r w:rsidRPr="00576D60">
              <w:tab/>
            </w:r>
          </w:p>
        </w:tc>
        <w:tc>
          <w:tcPr>
            <w:tcW w:w="3500" w:type="pct"/>
            <w:shd w:val="clear" w:color="auto" w:fill="auto"/>
          </w:tcPr>
          <w:p w14:paraId="50220022" w14:textId="77777777" w:rsidR="00E93F58" w:rsidRPr="00576D60" w:rsidRDefault="00E93F58" w:rsidP="003D2B1E">
            <w:pPr>
              <w:pStyle w:val="ENoteTableText"/>
            </w:pPr>
            <w:r w:rsidRPr="00576D60">
              <w:t>ad. 2001 No. 319</w:t>
            </w:r>
          </w:p>
        </w:tc>
      </w:tr>
      <w:tr w:rsidR="00E93F58" w:rsidRPr="00576D60" w14:paraId="73E846B4" w14:textId="77777777" w:rsidTr="002F32E3">
        <w:trPr>
          <w:cantSplit/>
        </w:trPr>
        <w:tc>
          <w:tcPr>
            <w:tcW w:w="1500" w:type="pct"/>
            <w:shd w:val="clear" w:color="auto" w:fill="auto"/>
          </w:tcPr>
          <w:p w14:paraId="217039DE" w14:textId="77777777" w:rsidR="00E93F58" w:rsidRPr="00576D60" w:rsidRDefault="00E93F58" w:rsidP="003D2B1E">
            <w:pPr>
              <w:pStyle w:val="ENoteTableText"/>
            </w:pPr>
          </w:p>
        </w:tc>
        <w:tc>
          <w:tcPr>
            <w:tcW w:w="3500" w:type="pct"/>
            <w:shd w:val="clear" w:color="auto" w:fill="auto"/>
          </w:tcPr>
          <w:p w14:paraId="6968C8B2" w14:textId="77777777" w:rsidR="00E93F58" w:rsidRPr="00576D60" w:rsidRDefault="00E93F58" w:rsidP="003D2B1E">
            <w:pPr>
              <w:pStyle w:val="ENoteTableText"/>
            </w:pPr>
            <w:r w:rsidRPr="00576D60">
              <w:t>am. 2002 No. 41</w:t>
            </w:r>
          </w:p>
        </w:tc>
      </w:tr>
      <w:tr w:rsidR="00E93F58" w:rsidRPr="00576D60" w14:paraId="07A9FD7D" w14:textId="77777777" w:rsidTr="002F32E3">
        <w:trPr>
          <w:cantSplit/>
        </w:trPr>
        <w:tc>
          <w:tcPr>
            <w:tcW w:w="1500" w:type="pct"/>
            <w:shd w:val="clear" w:color="auto" w:fill="auto"/>
          </w:tcPr>
          <w:p w14:paraId="30ED52C4" w14:textId="77777777" w:rsidR="00E93F58" w:rsidRPr="00576D60" w:rsidRDefault="00E93F58" w:rsidP="003D2B1E">
            <w:pPr>
              <w:pStyle w:val="ENoteTableText"/>
              <w:tabs>
                <w:tab w:val="left" w:leader="dot" w:pos="2268"/>
              </w:tabs>
            </w:pPr>
            <w:r w:rsidRPr="00576D60">
              <w:t>r. 10.2.76</w:t>
            </w:r>
            <w:r w:rsidRPr="00576D60">
              <w:tab/>
            </w:r>
          </w:p>
        </w:tc>
        <w:tc>
          <w:tcPr>
            <w:tcW w:w="3500" w:type="pct"/>
            <w:shd w:val="clear" w:color="auto" w:fill="auto"/>
          </w:tcPr>
          <w:p w14:paraId="1B8CE7EC" w14:textId="77777777" w:rsidR="00E93F58" w:rsidRPr="00576D60" w:rsidRDefault="00E93F58" w:rsidP="003D2B1E">
            <w:pPr>
              <w:pStyle w:val="ENoteTableText"/>
            </w:pPr>
            <w:r w:rsidRPr="00576D60">
              <w:t>ad. 2001 No. 319</w:t>
            </w:r>
          </w:p>
        </w:tc>
      </w:tr>
      <w:tr w:rsidR="00E93F58" w:rsidRPr="00576D60" w14:paraId="6A1CAC1A" w14:textId="77777777" w:rsidTr="002F32E3">
        <w:trPr>
          <w:cantSplit/>
        </w:trPr>
        <w:tc>
          <w:tcPr>
            <w:tcW w:w="1500" w:type="pct"/>
            <w:shd w:val="clear" w:color="auto" w:fill="auto"/>
          </w:tcPr>
          <w:p w14:paraId="1F6E5318" w14:textId="77777777" w:rsidR="00E93F58" w:rsidRPr="00576D60" w:rsidRDefault="00E93F58" w:rsidP="003D2B1E">
            <w:pPr>
              <w:pStyle w:val="ENoteTableText"/>
              <w:tabs>
                <w:tab w:val="left" w:leader="dot" w:pos="2268"/>
              </w:tabs>
            </w:pPr>
            <w:r w:rsidRPr="00576D60">
              <w:t>r. 10.2.77</w:t>
            </w:r>
            <w:r w:rsidRPr="00576D60">
              <w:tab/>
            </w:r>
          </w:p>
        </w:tc>
        <w:tc>
          <w:tcPr>
            <w:tcW w:w="3500" w:type="pct"/>
            <w:shd w:val="clear" w:color="auto" w:fill="auto"/>
          </w:tcPr>
          <w:p w14:paraId="66767969" w14:textId="77777777" w:rsidR="00E93F58" w:rsidRPr="00576D60" w:rsidRDefault="00E93F58" w:rsidP="003D2B1E">
            <w:pPr>
              <w:pStyle w:val="ENoteTableText"/>
            </w:pPr>
            <w:r w:rsidRPr="00576D60">
              <w:t>ad. 2001 No. 319</w:t>
            </w:r>
          </w:p>
        </w:tc>
      </w:tr>
      <w:tr w:rsidR="00E93F58" w:rsidRPr="00576D60" w14:paraId="44C74C25" w14:textId="77777777" w:rsidTr="002F32E3">
        <w:trPr>
          <w:cantSplit/>
        </w:trPr>
        <w:tc>
          <w:tcPr>
            <w:tcW w:w="1500" w:type="pct"/>
            <w:shd w:val="clear" w:color="auto" w:fill="auto"/>
          </w:tcPr>
          <w:p w14:paraId="69033E0E" w14:textId="77777777" w:rsidR="00E93F58" w:rsidRPr="00576D60" w:rsidRDefault="00E93F58" w:rsidP="003D2B1E">
            <w:pPr>
              <w:pStyle w:val="ENoteTableText"/>
            </w:pPr>
          </w:p>
        </w:tc>
        <w:tc>
          <w:tcPr>
            <w:tcW w:w="3500" w:type="pct"/>
            <w:shd w:val="clear" w:color="auto" w:fill="auto"/>
          </w:tcPr>
          <w:p w14:paraId="3C708C68" w14:textId="77777777" w:rsidR="00E93F58" w:rsidRPr="00576D60" w:rsidRDefault="00E93F58" w:rsidP="003D2B1E">
            <w:pPr>
              <w:pStyle w:val="ENoteTableText"/>
            </w:pPr>
            <w:r w:rsidRPr="00576D60">
              <w:t>rs. 2002 No. 41</w:t>
            </w:r>
          </w:p>
        </w:tc>
      </w:tr>
      <w:tr w:rsidR="00E93F58" w:rsidRPr="00576D60" w14:paraId="40491F20" w14:textId="77777777" w:rsidTr="002F32E3">
        <w:trPr>
          <w:cantSplit/>
        </w:trPr>
        <w:tc>
          <w:tcPr>
            <w:tcW w:w="1500" w:type="pct"/>
            <w:shd w:val="clear" w:color="auto" w:fill="auto"/>
          </w:tcPr>
          <w:p w14:paraId="2CC10388" w14:textId="77777777" w:rsidR="00E93F58" w:rsidRPr="00576D60" w:rsidRDefault="00E93F58" w:rsidP="003D2B1E">
            <w:pPr>
              <w:pStyle w:val="ENoteTableText"/>
              <w:tabs>
                <w:tab w:val="left" w:leader="dot" w:pos="2268"/>
              </w:tabs>
            </w:pPr>
            <w:r w:rsidRPr="00576D60">
              <w:t>r. 10.2.78</w:t>
            </w:r>
            <w:r w:rsidRPr="00576D60">
              <w:tab/>
            </w:r>
          </w:p>
        </w:tc>
        <w:tc>
          <w:tcPr>
            <w:tcW w:w="3500" w:type="pct"/>
            <w:shd w:val="clear" w:color="auto" w:fill="auto"/>
          </w:tcPr>
          <w:p w14:paraId="03B134F4" w14:textId="77777777" w:rsidR="00E93F58" w:rsidRPr="00576D60" w:rsidRDefault="00E93F58" w:rsidP="003D2B1E">
            <w:pPr>
              <w:pStyle w:val="ENoteTableText"/>
            </w:pPr>
            <w:r w:rsidRPr="00576D60">
              <w:t>ad. 2001 No. 319</w:t>
            </w:r>
          </w:p>
        </w:tc>
      </w:tr>
      <w:tr w:rsidR="00E93F58" w:rsidRPr="00576D60" w14:paraId="2BE6DBDB" w14:textId="77777777" w:rsidTr="002F32E3">
        <w:trPr>
          <w:cantSplit/>
        </w:trPr>
        <w:tc>
          <w:tcPr>
            <w:tcW w:w="1500" w:type="pct"/>
            <w:shd w:val="clear" w:color="auto" w:fill="auto"/>
          </w:tcPr>
          <w:p w14:paraId="503BE817" w14:textId="77777777" w:rsidR="00E93F58" w:rsidRPr="00576D60" w:rsidRDefault="00E93F58" w:rsidP="003D2B1E">
            <w:pPr>
              <w:pStyle w:val="ENoteTableText"/>
            </w:pPr>
          </w:p>
        </w:tc>
        <w:tc>
          <w:tcPr>
            <w:tcW w:w="3500" w:type="pct"/>
            <w:shd w:val="clear" w:color="auto" w:fill="auto"/>
          </w:tcPr>
          <w:p w14:paraId="25438F8D" w14:textId="77777777" w:rsidR="00E93F58" w:rsidRPr="00576D60" w:rsidRDefault="00E93F58" w:rsidP="003D2B1E">
            <w:pPr>
              <w:pStyle w:val="ENoteTableText"/>
            </w:pPr>
            <w:r w:rsidRPr="00576D60">
              <w:t>am. 2002 No. 16</w:t>
            </w:r>
          </w:p>
        </w:tc>
      </w:tr>
      <w:tr w:rsidR="00E93F58" w:rsidRPr="00576D60" w14:paraId="716C40A3" w14:textId="77777777" w:rsidTr="002F32E3">
        <w:trPr>
          <w:cantSplit/>
        </w:trPr>
        <w:tc>
          <w:tcPr>
            <w:tcW w:w="1500" w:type="pct"/>
            <w:shd w:val="clear" w:color="auto" w:fill="auto"/>
          </w:tcPr>
          <w:p w14:paraId="528D2CE9" w14:textId="77777777" w:rsidR="00E93F58" w:rsidRPr="00576D60" w:rsidRDefault="00E93F58" w:rsidP="003D2B1E">
            <w:pPr>
              <w:pStyle w:val="ENoteTableText"/>
              <w:tabs>
                <w:tab w:val="left" w:leader="dot" w:pos="2268"/>
              </w:tabs>
            </w:pPr>
            <w:r w:rsidRPr="00576D60">
              <w:t>r. 10.2.79</w:t>
            </w:r>
            <w:r w:rsidRPr="00576D60">
              <w:tab/>
            </w:r>
          </w:p>
        </w:tc>
        <w:tc>
          <w:tcPr>
            <w:tcW w:w="3500" w:type="pct"/>
            <w:shd w:val="clear" w:color="auto" w:fill="auto"/>
          </w:tcPr>
          <w:p w14:paraId="0D00C402" w14:textId="77777777" w:rsidR="00E93F58" w:rsidRPr="00576D60" w:rsidRDefault="00E93F58" w:rsidP="003D2B1E">
            <w:pPr>
              <w:pStyle w:val="ENoteTableText"/>
            </w:pPr>
            <w:r w:rsidRPr="00576D60">
              <w:t>ad. 2001 No. 319</w:t>
            </w:r>
          </w:p>
        </w:tc>
      </w:tr>
      <w:tr w:rsidR="00E93F58" w:rsidRPr="00576D60" w14:paraId="306AE247" w14:textId="77777777" w:rsidTr="002F32E3">
        <w:trPr>
          <w:cantSplit/>
        </w:trPr>
        <w:tc>
          <w:tcPr>
            <w:tcW w:w="1500" w:type="pct"/>
            <w:shd w:val="clear" w:color="auto" w:fill="auto"/>
          </w:tcPr>
          <w:p w14:paraId="60F8AB18" w14:textId="77777777" w:rsidR="00E93F58" w:rsidRPr="00576D60" w:rsidRDefault="00E93F58" w:rsidP="003D2B1E">
            <w:pPr>
              <w:pStyle w:val="ENoteTableText"/>
            </w:pPr>
          </w:p>
        </w:tc>
        <w:tc>
          <w:tcPr>
            <w:tcW w:w="3500" w:type="pct"/>
            <w:shd w:val="clear" w:color="auto" w:fill="auto"/>
          </w:tcPr>
          <w:p w14:paraId="3EC8978D" w14:textId="77777777" w:rsidR="00E93F58" w:rsidRPr="00576D60" w:rsidRDefault="00E93F58" w:rsidP="003D2B1E">
            <w:pPr>
              <w:pStyle w:val="ENoteTableText"/>
            </w:pPr>
            <w:r w:rsidRPr="00576D60">
              <w:t>am. 2002 No 16 and 41; 2003 No. 368</w:t>
            </w:r>
          </w:p>
        </w:tc>
      </w:tr>
      <w:tr w:rsidR="00E93F58" w:rsidRPr="00576D60" w14:paraId="0846FAF8" w14:textId="77777777" w:rsidTr="002F32E3">
        <w:trPr>
          <w:cantSplit/>
        </w:trPr>
        <w:tc>
          <w:tcPr>
            <w:tcW w:w="1500" w:type="pct"/>
            <w:shd w:val="clear" w:color="auto" w:fill="auto"/>
          </w:tcPr>
          <w:p w14:paraId="0F778068" w14:textId="77777777" w:rsidR="00E93F58" w:rsidRPr="00576D60" w:rsidRDefault="00E93F58" w:rsidP="003D2B1E">
            <w:pPr>
              <w:pStyle w:val="ENoteTableText"/>
              <w:tabs>
                <w:tab w:val="left" w:leader="dot" w:pos="2268"/>
              </w:tabs>
            </w:pPr>
            <w:r w:rsidRPr="00576D60">
              <w:t>r. 10.2.80</w:t>
            </w:r>
            <w:r w:rsidRPr="00576D60">
              <w:tab/>
            </w:r>
          </w:p>
        </w:tc>
        <w:tc>
          <w:tcPr>
            <w:tcW w:w="3500" w:type="pct"/>
            <w:shd w:val="clear" w:color="auto" w:fill="auto"/>
          </w:tcPr>
          <w:p w14:paraId="7685DB9D" w14:textId="77777777" w:rsidR="00E93F58" w:rsidRPr="00576D60" w:rsidRDefault="00E93F58" w:rsidP="003D2B1E">
            <w:pPr>
              <w:pStyle w:val="ENoteTableText"/>
            </w:pPr>
            <w:r w:rsidRPr="00576D60">
              <w:t>ad. 2001 No. 319</w:t>
            </w:r>
          </w:p>
        </w:tc>
      </w:tr>
      <w:tr w:rsidR="00E93F58" w:rsidRPr="00576D60" w14:paraId="76FBB2DF" w14:textId="77777777" w:rsidTr="002F32E3">
        <w:trPr>
          <w:cantSplit/>
        </w:trPr>
        <w:tc>
          <w:tcPr>
            <w:tcW w:w="1500" w:type="pct"/>
            <w:shd w:val="clear" w:color="auto" w:fill="auto"/>
          </w:tcPr>
          <w:p w14:paraId="2616A2FC" w14:textId="77777777" w:rsidR="00E93F58" w:rsidRPr="00576D60" w:rsidRDefault="00E93F58" w:rsidP="003D2B1E">
            <w:pPr>
              <w:pStyle w:val="ENoteTableText"/>
              <w:tabs>
                <w:tab w:val="left" w:leader="dot" w:pos="2268"/>
              </w:tabs>
            </w:pPr>
            <w:r w:rsidRPr="00576D60">
              <w:t>r. 10.2.81</w:t>
            </w:r>
            <w:r w:rsidRPr="00576D60">
              <w:tab/>
            </w:r>
          </w:p>
        </w:tc>
        <w:tc>
          <w:tcPr>
            <w:tcW w:w="3500" w:type="pct"/>
            <w:shd w:val="clear" w:color="auto" w:fill="auto"/>
          </w:tcPr>
          <w:p w14:paraId="4D775B70" w14:textId="77777777" w:rsidR="00E93F58" w:rsidRPr="00576D60" w:rsidRDefault="00E93F58" w:rsidP="003D2B1E">
            <w:pPr>
              <w:pStyle w:val="ENoteTableText"/>
            </w:pPr>
            <w:r w:rsidRPr="00576D60">
              <w:t>ad. 2001 No. 319</w:t>
            </w:r>
          </w:p>
        </w:tc>
      </w:tr>
      <w:tr w:rsidR="00E93F58" w:rsidRPr="00576D60" w14:paraId="2D6BCEE3" w14:textId="77777777" w:rsidTr="002F32E3">
        <w:trPr>
          <w:cantSplit/>
        </w:trPr>
        <w:tc>
          <w:tcPr>
            <w:tcW w:w="1500" w:type="pct"/>
            <w:shd w:val="clear" w:color="auto" w:fill="auto"/>
          </w:tcPr>
          <w:p w14:paraId="310A1763" w14:textId="77777777" w:rsidR="00E93F58" w:rsidRPr="00576D60" w:rsidRDefault="00E93F58" w:rsidP="003D2B1E">
            <w:pPr>
              <w:pStyle w:val="ENoteTableText"/>
            </w:pPr>
          </w:p>
        </w:tc>
        <w:tc>
          <w:tcPr>
            <w:tcW w:w="3500" w:type="pct"/>
            <w:shd w:val="clear" w:color="auto" w:fill="auto"/>
          </w:tcPr>
          <w:p w14:paraId="6B300CE6" w14:textId="77777777" w:rsidR="00E93F58" w:rsidRPr="00576D60" w:rsidRDefault="00E93F58" w:rsidP="003D2B1E">
            <w:pPr>
              <w:pStyle w:val="ENoteTableText"/>
            </w:pPr>
            <w:r w:rsidRPr="00576D60">
              <w:t>rs. 2003 No. 369</w:t>
            </w:r>
          </w:p>
        </w:tc>
      </w:tr>
      <w:tr w:rsidR="00E93F58" w:rsidRPr="00576D60" w14:paraId="1DCA64FE" w14:textId="77777777" w:rsidTr="002F32E3">
        <w:trPr>
          <w:cantSplit/>
        </w:trPr>
        <w:tc>
          <w:tcPr>
            <w:tcW w:w="1500" w:type="pct"/>
            <w:shd w:val="clear" w:color="auto" w:fill="auto"/>
          </w:tcPr>
          <w:p w14:paraId="1BECB3B5" w14:textId="77777777" w:rsidR="00E93F58" w:rsidRPr="00576D60" w:rsidRDefault="00E93F58" w:rsidP="003D2B1E">
            <w:pPr>
              <w:pStyle w:val="ENoteTableText"/>
              <w:tabs>
                <w:tab w:val="left" w:leader="dot" w:pos="2268"/>
              </w:tabs>
            </w:pPr>
            <w:r w:rsidRPr="00576D60">
              <w:t>r. 10.2.82</w:t>
            </w:r>
            <w:r w:rsidRPr="00576D60">
              <w:tab/>
            </w:r>
          </w:p>
        </w:tc>
        <w:tc>
          <w:tcPr>
            <w:tcW w:w="3500" w:type="pct"/>
            <w:shd w:val="clear" w:color="auto" w:fill="auto"/>
          </w:tcPr>
          <w:p w14:paraId="62B6E70A" w14:textId="77777777" w:rsidR="00E93F58" w:rsidRPr="00576D60" w:rsidRDefault="00E93F58" w:rsidP="003D2B1E">
            <w:pPr>
              <w:pStyle w:val="ENoteTableText"/>
            </w:pPr>
            <w:r w:rsidRPr="00576D60">
              <w:t>ad. 2001 No. 319</w:t>
            </w:r>
          </w:p>
        </w:tc>
      </w:tr>
      <w:tr w:rsidR="00E93F58" w:rsidRPr="00576D60" w14:paraId="23BA120B" w14:textId="77777777" w:rsidTr="002F32E3">
        <w:trPr>
          <w:cantSplit/>
        </w:trPr>
        <w:tc>
          <w:tcPr>
            <w:tcW w:w="1500" w:type="pct"/>
            <w:shd w:val="clear" w:color="auto" w:fill="auto"/>
          </w:tcPr>
          <w:p w14:paraId="78912F80" w14:textId="77777777" w:rsidR="00E93F58" w:rsidRPr="00576D60" w:rsidRDefault="00E93F58" w:rsidP="003D2B1E">
            <w:pPr>
              <w:pStyle w:val="ENoteTableText"/>
            </w:pPr>
          </w:p>
        </w:tc>
        <w:tc>
          <w:tcPr>
            <w:tcW w:w="3500" w:type="pct"/>
            <w:shd w:val="clear" w:color="auto" w:fill="auto"/>
          </w:tcPr>
          <w:p w14:paraId="74D8296C" w14:textId="77777777" w:rsidR="00E93F58" w:rsidRPr="00576D60" w:rsidRDefault="00E93F58" w:rsidP="003D2B1E">
            <w:pPr>
              <w:pStyle w:val="ENoteTableText"/>
            </w:pPr>
            <w:r w:rsidRPr="00576D60">
              <w:t>am. 2002 No. 16</w:t>
            </w:r>
          </w:p>
        </w:tc>
      </w:tr>
      <w:tr w:rsidR="00E93F58" w:rsidRPr="00576D60" w14:paraId="05D38532" w14:textId="77777777" w:rsidTr="002F32E3">
        <w:trPr>
          <w:cantSplit/>
        </w:trPr>
        <w:tc>
          <w:tcPr>
            <w:tcW w:w="1500" w:type="pct"/>
            <w:shd w:val="clear" w:color="auto" w:fill="auto"/>
          </w:tcPr>
          <w:p w14:paraId="3452E293" w14:textId="77777777" w:rsidR="00E93F58" w:rsidRPr="00576D60" w:rsidRDefault="00E93F58" w:rsidP="003D2B1E">
            <w:pPr>
              <w:pStyle w:val="ENoteTableText"/>
              <w:tabs>
                <w:tab w:val="left" w:leader="dot" w:pos="2268"/>
              </w:tabs>
            </w:pPr>
            <w:r w:rsidRPr="00576D60">
              <w:t>r. 10.2.83</w:t>
            </w:r>
            <w:r w:rsidRPr="00576D60">
              <w:tab/>
            </w:r>
          </w:p>
        </w:tc>
        <w:tc>
          <w:tcPr>
            <w:tcW w:w="3500" w:type="pct"/>
            <w:shd w:val="clear" w:color="auto" w:fill="auto"/>
          </w:tcPr>
          <w:p w14:paraId="6ACAEC2E" w14:textId="77777777" w:rsidR="00E93F58" w:rsidRPr="00576D60" w:rsidRDefault="00E93F58" w:rsidP="003D2B1E">
            <w:pPr>
              <w:pStyle w:val="ENoteTableText"/>
            </w:pPr>
            <w:r w:rsidRPr="00576D60">
              <w:t>ad. 2001 No. 319</w:t>
            </w:r>
          </w:p>
        </w:tc>
      </w:tr>
      <w:tr w:rsidR="00E93F58" w:rsidRPr="00576D60" w14:paraId="0BDEAF0B" w14:textId="77777777" w:rsidTr="002F32E3">
        <w:trPr>
          <w:cantSplit/>
        </w:trPr>
        <w:tc>
          <w:tcPr>
            <w:tcW w:w="1500" w:type="pct"/>
            <w:shd w:val="clear" w:color="auto" w:fill="auto"/>
          </w:tcPr>
          <w:p w14:paraId="1EA9729C" w14:textId="77777777" w:rsidR="00E93F58" w:rsidRPr="00576D60" w:rsidRDefault="00E93F58" w:rsidP="003D2B1E">
            <w:pPr>
              <w:pStyle w:val="ENoteTableText"/>
              <w:tabs>
                <w:tab w:val="left" w:leader="dot" w:pos="2268"/>
              </w:tabs>
            </w:pPr>
            <w:r w:rsidRPr="00576D60">
              <w:t>r. 10.2.84</w:t>
            </w:r>
            <w:r w:rsidRPr="00576D60">
              <w:tab/>
            </w:r>
          </w:p>
        </w:tc>
        <w:tc>
          <w:tcPr>
            <w:tcW w:w="3500" w:type="pct"/>
            <w:shd w:val="clear" w:color="auto" w:fill="auto"/>
          </w:tcPr>
          <w:p w14:paraId="659E7AEC" w14:textId="77777777" w:rsidR="00E93F58" w:rsidRPr="00576D60" w:rsidRDefault="00E93F58" w:rsidP="003D2B1E">
            <w:pPr>
              <w:pStyle w:val="ENoteTableText"/>
            </w:pPr>
            <w:r w:rsidRPr="00576D60">
              <w:t>ad. 2001 No. 319</w:t>
            </w:r>
          </w:p>
        </w:tc>
      </w:tr>
      <w:tr w:rsidR="00E93F58" w:rsidRPr="00576D60" w14:paraId="263668EE" w14:textId="77777777" w:rsidTr="002F32E3">
        <w:trPr>
          <w:cantSplit/>
        </w:trPr>
        <w:tc>
          <w:tcPr>
            <w:tcW w:w="1500" w:type="pct"/>
            <w:shd w:val="clear" w:color="auto" w:fill="auto"/>
          </w:tcPr>
          <w:p w14:paraId="78EDDD68" w14:textId="77777777" w:rsidR="00E93F58" w:rsidRPr="00576D60" w:rsidRDefault="00E93F58" w:rsidP="003D2B1E">
            <w:pPr>
              <w:pStyle w:val="ENoteTableText"/>
              <w:tabs>
                <w:tab w:val="left" w:leader="dot" w:pos="2268"/>
              </w:tabs>
            </w:pPr>
            <w:r w:rsidRPr="00576D60">
              <w:t>r. 10.2.85</w:t>
            </w:r>
            <w:r w:rsidRPr="00576D60">
              <w:tab/>
            </w:r>
          </w:p>
        </w:tc>
        <w:tc>
          <w:tcPr>
            <w:tcW w:w="3500" w:type="pct"/>
            <w:shd w:val="clear" w:color="auto" w:fill="auto"/>
          </w:tcPr>
          <w:p w14:paraId="5853E99F" w14:textId="77777777" w:rsidR="00E93F58" w:rsidRPr="00576D60" w:rsidRDefault="00E93F58" w:rsidP="003D2B1E">
            <w:pPr>
              <w:pStyle w:val="ENoteTableText"/>
            </w:pPr>
            <w:r w:rsidRPr="00576D60">
              <w:t>ad. 2001 No. 319</w:t>
            </w:r>
          </w:p>
        </w:tc>
      </w:tr>
      <w:tr w:rsidR="00E93F58" w:rsidRPr="00576D60" w14:paraId="29888509" w14:textId="77777777" w:rsidTr="002F32E3">
        <w:trPr>
          <w:cantSplit/>
        </w:trPr>
        <w:tc>
          <w:tcPr>
            <w:tcW w:w="1500" w:type="pct"/>
            <w:shd w:val="clear" w:color="auto" w:fill="auto"/>
          </w:tcPr>
          <w:p w14:paraId="10644915" w14:textId="77777777" w:rsidR="00E93F58" w:rsidRPr="00576D60" w:rsidRDefault="00E93F58" w:rsidP="003D2B1E">
            <w:pPr>
              <w:pStyle w:val="ENoteTableText"/>
              <w:tabs>
                <w:tab w:val="left" w:leader="dot" w:pos="2268"/>
              </w:tabs>
            </w:pPr>
            <w:r w:rsidRPr="00576D60">
              <w:t>r. 10.2.86</w:t>
            </w:r>
            <w:r w:rsidRPr="00576D60">
              <w:tab/>
            </w:r>
          </w:p>
        </w:tc>
        <w:tc>
          <w:tcPr>
            <w:tcW w:w="3500" w:type="pct"/>
            <w:shd w:val="clear" w:color="auto" w:fill="auto"/>
          </w:tcPr>
          <w:p w14:paraId="72545D34" w14:textId="77777777" w:rsidR="00E93F58" w:rsidRPr="00576D60" w:rsidRDefault="00E93F58" w:rsidP="003D2B1E">
            <w:pPr>
              <w:pStyle w:val="ENoteTableText"/>
            </w:pPr>
            <w:r w:rsidRPr="00576D60">
              <w:t>ad. 2001 No. 319</w:t>
            </w:r>
          </w:p>
        </w:tc>
      </w:tr>
      <w:tr w:rsidR="00E93F58" w:rsidRPr="00576D60" w14:paraId="4EF4BB3E" w14:textId="77777777" w:rsidTr="002F32E3">
        <w:trPr>
          <w:cantSplit/>
        </w:trPr>
        <w:tc>
          <w:tcPr>
            <w:tcW w:w="1500" w:type="pct"/>
            <w:shd w:val="clear" w:color="auto" w:fill="auto"/>
          </w:tcPr>
          <w:p w14:paraId="75646888" w14:textId="77777777" w:rsidR="00E93F58" w:rsidRPr="00576D60" w:rsidRDefault="00E93F58" w:rsidP="003D2B1E">
            <w:pPr>
              <w:pStyle w:val="ENoteTableText"/>
              <w:tabs>
                <w:tab w:val="left" w:leader="dot" w:pos="2268"/>
              </w:tabs>
            </w:pPr>
            <w:r w:rsidRPr="00576D60">
              <w:t>r 10.2.87</w:t>
            </w:r>
            <w:r w:rsidRPr="00576D60">
              <w:tab/>
            </w:r>
          </w:p>
        </w:tc>
        <w:tc>
          <w:tcPr>
            <w:tcW w:w="3500" w:type="pct"/>
            <w:shd w:val="clear" w:color="auto" w:fill="auto"/>
          </w:tcPr>
          <w:p w14:paraId="280B2770" w14:textId="77777777" w:rsidR="00E93F58" w:rsidRPr="00576D60" w:rsidRDefault="00E93F58" w:rsidP="003D2B1E">
            <w:pPr>
              <w:pStyle w:val="ENoteTableText"/>
            </w:pPr>
            <w:r w:rsidRPr="00576D60">
              <w:t>ad 2001 No 319</w:t>
            </w:r>
          </w:p>
        </w:tc>
      </w:tr>
      <w:tr w:rsidR="00E93F58" w:rsidRPr="00576D60" w14:paraId="370F45C3" w14:textId="77777777" w:rsidTr="002F32E3">
        <w:trPr>
          <w:cantSplit/>
        </w:trPr>
        <w:tc>
          <w:tcPr>
            <w:tcW w:w="1500" w:type="pct"/>
            <w:shd w:val="clear" w:color="auto" w:fill="auto"/>
          </w:tcPr>
          <w:p w14:paraId="1DC02546" w14:textId="77777777" w:rsidR="00E93F58" w:rsidRPr="00576D60" w:rsidRDefault="00E93F58" w:rsidP="003D2B1E">
            <w:pPr>
              <w:pStyle w:val="ENoteTableText"/>
            </w:pPr>
          </w:p>
        </w:tc>
        <w:tc>
          <w:tcPr>
            <w:tcW w:w="3500" w:type="pct"/>
            <w:shd w:val="clear" w:color="auto" w:fill="auto"/>
          </w:tcPr>
          <w:p w14:paraId="6F62A98C" w14:textId="77777777" w:rsidR="00E93F58" w:rsidRPr="00576D60" w:rsidRDefault="00E93F58" w:rsidP="003D2B1E">
            <w:pPr>
              <w:pStyle w:val="ENoteTableText"/>
            </w:pPr>
            <w:r w:rsidRPr="00576D60">
              <w:t>am 2002 No 16</w:t>
            </w:r>
          </w:p>
        </w:tc>
      </w:tr>
      <w:tr w:rsidR="00E93F58" w:rsidRPr="00576D60" w14:paraId="5414A4BE" w14:textId="77777777" w:rsidTr="002F32E3">
        <w:trPr>
          <w:cantSplit/>
        </w:trPr>
        <w:tc>
          <w:tcPr>
            <w:tcW w:w="1500" w:type="pct"/>
            <w:shd w:val="clear" w:color="auto" w:fill="auto"/>
          </w:tcPr>
          <w:p w14:paraId="5FF424E0" w14:textId="77777777" w:rsidR="00E93F58" w:rsidRPr="00576D60" w:rsidRDefault="00E93F58" w:rsidP="003D2B1E">
            <w:pPr>
              <w:pStyle w:val="ENoteTableText"/>
            </w:pPr>
          </w:p>
        </w:tc>
        <w:tc>
          <w:tcPr>
            <w:tcW w:w="3500" w:type="pct"/>
            <w:shd w:val="clear" w:color="auto" w:fill="auto"/>
          </w:tcPr>
          <w:p w14:paraId="343799D1" w14:textId="77777777" w:rsidR="00E93F58" w:rsidRPr="00576D60" w:rsidRDefault="00E93F58" w:rsidP="003D2B1E">
            <w:pPr>
              <w:pStyle w:val="ENoteTableText"/>
            </w:pPr>
            <w:r w:rsidRPr="00576D60">
              <w:t>rep F2018L00515</w:t>
            </w:r>
          </w:p>
        </w:tc>
      </w:tr>
      <w:tr w:rsidR="00E93F58" w:rsidRPr="00576D60" w14:paraId="713CF397" w14:textId="77777777" w:rsidTr="002F32E3">
        <w:trPr>
          <w:cantSplit/>
        </w:trPr>
        <w:tc>
          <w:tcPr>
            <w:tcW w:w="1500" w:type="pct"/>
            <w:shd w:val="clear" w:color="auto" w:fill="auto"/>
          </w:tcPr>
          <w:p w14:paraId="3700E13E" w14:textId="77777777" w:rsidR="00E93F58" w:rsidRPr="00576D60" w:rsidRDefault="00E93F58" w:rsidP="003D2B1E">
            <w:pPr>
              <w:pStyle w:val="ENoteTableText"/>
              <w:tabs>
                <w:tab w:val="left" w:leader="dot" w:pos="2268"/>
              </w:tabs>
            </w:pPr>
            <w:r w:rsidRPr="00576D60">
              <w:t>r. 10.2.87A</w:t>
            </w:r>
            <w:r w:rsidRPr="00576D60">
              <w:tab/>
            </w:r>
          </w:p>
        </w:tc>
        <w:tc>
          <w:tcPr>
            <w:tcW w:w="3500" w:type="pct"/>
            <w:shd w:val="clear" w:color="auto" w:fill="auto"/>
          </w:tcPr>
          <w:p w14:paraId="37CDE7A8" w14:textId="77777777" w:rsidR="00E93F58" w:rsidRPr="00576D60" w:rsidRDefault="00E93F58" w:rsidP="003D2B1E">
            <w:pPr>
              <w:pStyle w:val="ENoteTableText"/>
            </w:pPr>
            <w:r w:rsidRPr="00576D60">
              <w:t>ad 2003 No 31</w:t>
            </w:r>
          </w:p>
        </w:tc>
      </w:tr>
      <w:tr w:rsidR="00E93F58" w:rsidRPr="00576D60" w14:paraId="43FF417D" w14:textId="77777777" w:rsidTr="002F32E3">
        <w:trPr>
          <w:cantSplit/>
        </w:trPr>
        <w:tc>
          <w:tcPr>
            <w:tcW w:w="1500" w:type="pct"/>
            <w:shd w:val="clear" w:color="auto" w:fill="auto"/>
          </w:tcPr>
          <w:p w14:paraId="4A59E6B5" w14:textId="77777777" w:rsidR="00E93F58" w:rsidRPr="00576D60" w:rsidRDefault="00E93F58" w:rsidP="003D2B1E">
            <w:pPr>
              <w:pStyle w:val="ENoteTableText"/>
              <w:tabs>
                <w:tab w:val="left" w:leader="dot" w:pos="2268"/>
              </w:tabs>
              <w:rPr>
                <w:b/>
              </w:rPr>
            </w:pPr>
            <w:r w:rsidRPr="00576D60">
              <w:rPr>
                <w:b/>
              </w:rPr>
              <w:t>Division 17</w:t>
            </w:r>
          </w:p>
        </w:tc>
        <w:tc>
          <w:tcPr>
            <w:tcW w:w="3500" w:type="pct"/>
            <w:shd w:val="clear" w:color="auto" w:fill="auto"/>
          </w:tcPr>
          <w:p w14:paraId="75F49B85" w14:textId="77777777" w:rsidR="00E93F58" w:rsidRPr="00576D60" w:rsidRDefault="00E93F58" w:rsidP="003D2B1E">
            <w:pPr>
              <w:pStyle w:val="ENoteTableText"/>
            </w:pPr>
          </w:p>
        </w:tc>
      </w:tr>
      <w:tr w:rsidR="00E93F58" w:rsidRPr="00576D60" w14:paraId="31A4F1F2" w14:textId="77777777" w:rsidTr="002F32E3">
        <w:trPr>
          <w:cantSplit/>
        </w:trPr>
        <w:tc>
          <w:tcPr>
            <w:tcW w:w="1500" w:type="pct"/>
            <w:shd w:val="clear" w:color="auto" w:fill="auto"/>
          </w:tcPr>
          <w:p w14:paraId="32804223" w14:textId="77777777" w:rsidR="00E93F58" w:rsidRPr="00576D60" w:rsidRDefault="00E93F58" w:rsidP="003D2B1E">
            <w:pPr>
              <w:pStyle w:val="ENoteTableText"/>
              <w:tabs>
                <w:tab w:val="left" w:leader="dot" w:pos="2268"/>
              </w:tabs>
            </w:pPr>
            <w:r w:rsidRPr="00576D60">
              <w:t>r. 10.2.88</w:t>
            </w:r>
            <w:r w:rsidRPr="00576D60">
              <w:tab/>
            </w:r>
          </w:p>
        </w:tc>
        <w:tc>
          <w:tcPr>
            <w:tcW w:w="3500" w:type="pct"/>
            <w:shd w:val="clear" w:color="auto" w:fill="auto"/>
          </w:tcPr>
          <w:p w14:paraId="7D75F780" w14:textId="77777777" w:rsidR="00E93F58" w:rsidRPr="00576D60" w:rsidRDefault="00E93F58" w:rsidP="003D2B1E">
            <w:pPr>
              <w:pStyle w:val="ENoteTableText"/>
            </w:pPr>
            <w:r w:rsidRPr="00576D60">
              <w:t>ad. 2001 No. 319</w:t>
            </w:r>
          </w:p>
        </w:tc>
      </w:tr>
      <w:tr w:rsidR="00E93F58" w:rsidRPr="00576D60" w14:paraId="0D674C50" w14:textId="77777777" w:rsidTr="002F32E3">
        <w:trPr>
          <w:cantSplit/>
        </w:trPr>
        <w:tc>
          <w:tcPr>
            <w:tcW w:w="1500" w:type="pct"/>
            <w:shd w:val="clear" w:color="auto" w:fill="auto"/>
          </w:tcPr>
          <w:p w14:paraId="1FE2A1EA" w14:textId="77777777" w:rsidR="00E93F58" w:rsidRPr="00576D60" w:rsidRDefault="00E93F58" w:rsidP="003D2B1E">
            <w:pPr>
              <w:pStyle w:val="ENoteTableText"/>
              <w:tabs>
                <w:tab w:val="left" w:leader="dot" w:pos="2268"/>
              </w:tabs>
            </w:pPr>
            <w:r w:rsidRPr="00576D60">
              <w:t>r. 10.2.89</w:t>
            </w:r>
            <w:r w:rsidRPr="00576D60">
              <w:tab/>
            </w:r>
          </w:p>
        </w:tc>
        <w:tc>
          <w:tcPr>
            <w:tcW w:w="3500" w:type="pct"/>
            <w:shd w:val="clear" w:color="auto" w:fill="auto"/>
          </w:tcPr>
          <w:p w14:paraId="546A4F0B" w14:textId="77777777" w:rsidR="00E93F58" w:rsidRPr="00576D60" w:rsidRDefault="00E93F58" w:rsidP="003D2B1E">
            <w:pPr>
              <w:pStyle w:val="ENoteTableText"/>
            </w:pPr>
            <w:r w:rsidRPr="00576D60">
              <w:t>ad. 2001 No. 319</w:t>
            </w:r>
          </w:p>
        </w:tc>
      </w:tr>
      <w:tr w:rsidR="00E93F58" w:rsidRPr="00576D60" w14:paraId="08A4EEB9" w14:textId="77777777" w:rsidTr="002F32E3">
        <w:trPr>
          <w:cantSplit/>
        </w:trPr>
        <w:tc>
          <w:tcPr>
            <w:tcW w:w="1500" w:type="pct"/>
            <w:shd w:val="clear" w:color="auto" w:fill="auto"/>
          </w:tcPr>
          <w:p w14:paraId="4EE76171" w14:textId="77777777" w:rsidR="00E93F58" w:rsidRPr="00576D60" w:rsidRDefault="00E93F58" w:rsidP="003D2B1E">
            <w:pPr>
              <w:pStyle w:val="ENoteTableText"/>
              <w:tabs>
                <w:tab w:val="left" w:leader="dot" w:pos="2268"/>
              </w:tabs>
            </w:pPr>
            <w:r w:rsidRPr="00576D60">
              <w:t>r. 10.2.90</w:t>
            </w:r>
            <w:r w:rsidRPr="00576D60">
              <w:tab/>
            </w:r>
          </w:p>
        </w:tc>
        <w:tc>
          <w:tcPr>
            <w:tcW w:w="3500" w:type="pct"/>
            <w:shd w:val="clear" w:color="auto" w:fill="auto"/>
          </w:tcPr>
          <w:p w14:paraId="1D9217BA" w14:textId="77777777" w:rsidR="00E93F58" w:rsidRPr="00576D60" w:rsidRDefault="00E93F58" w:rsidP="003D2B1E">
            <w:pPr>
              <w:pStyle w:val="ENoteTableText"/>
            </w:pPr>
            <w:r w:rsidRPr="00576D60">
              <w:t>ad. 2001 No. 319</w:t>
            </w:r>
          </w:p>
        </w:tc>
      </w:tr>
      <w:tr w:rsidR="00E93F58" w:rsidRPr="00576D60" w14:paraId="3CF213A9" w14:textId="77777777" w:rsidTr="002F32E3">
        <w:trPr>
          <w:cantSplit/>
        </w:trPr>
        <w:tc>
          <w:tcPr>
            <w:tcW w:w="1500" w:type="pct"/>
            <w:shd w:val="clear" w:color="auto" w:fill="auto"/>
          </w:tcPr>
          <w:p w14:paraId="3A66F2DE" w14:textId="77777777" w:rsidR="00E93F58" w:rsidRPr="00576D60" w:rsidRDefault="00E93F58" w:rsidP="003D2B1E">
            <w:pPr>
              <w:pStyle w:val="ENoteTableText"/>
            </w:pPr>
          </w:p>
        </w:tc>
        <w:tc>
          <w:tcPr>
            <w:tcW w:w="3500" w:type="pct"/>
            <w:shd w:val="clear" w:color="auto" w:fill="auto"/>
          </w:tcPr>
          <w:p w14:paraId="1A800950" w14:textId="77777777" w:rsidR="00E93F58" w:rsidRPr="00576D60" w:rsidRDefault="00E93F58" w:rsidP="003D2B1E">
            <w:pPr>
              <w:pStyle w:val="ENoteTableText"/>
            </w:pPr>
            <w:r w:rsidRPr="00576D60">
              <w:t>am. 2002 No. 16</w:t>
            </w:r>
          </w:p>
        </w:tc>
      </w:tr>
      <w:tr w:rsidR="00E93F58" w:rsidRPr="00576D60" w14:paraId="154EC8CF" w14:textId="77777777" w:rsidTr="002F32E3">
        <w:trPr>
          <w:cantSplit/>
        </w:trPr>
        <w:tc>
          <w:tcPr>
            <w:tcW w:w="1500" w:type="pct"/>
            <w:shd w:val="clear" w:color="auto" w:fill="auto"/>
          </w:tcPr>
          <w:p w14:paraId="2DE90CD1" w14:textId="77777777" w:rsidR="00E93F58" w:rsidRPr="00576D60" w:rsidRDefault="00E93F58" w:rsidP="003D2B1E">
            <w:pPr>
              <w:pStyle w:val="ENoteTableText"/>
              <w:tabs>
                <w:tab w:val="left" w:leader="dot" w:pos="2268"/>
              </w:tabs>
            </w:pPr>
            <w:r w:rsidRPr="00576D60">
              <w:t>r. 10.2.91</w:t>
            </w:r>
            <w:r w:rsidRPr="00576D60">
              <w:tab/>
            </w:r>
          </w:p>
        </w:tc>
        <w:tc>
          <w:tcPr>
            <w:tcW w:w="3500" w:type="pct"/>
            <w:shd w:val="clear" w:color="auto" w:fill="auto"/>
          </w:tcPr>
          <w:p w14:paraId="609D8045" w14:textId="77777777" w:rsidR="00E93F58" w:rsidRPr="00576D60" w:rsidRDefault="00E93F58" w:rsidP="003D2B1E">
            <w:pPr>
              <w:pStyle w:val="ENoteTableText"/>
            </w:pPr>
            <w:r w:rsidRPr="00576D60">
              <w:t>ad. 2001 No. 319</w:t>
            </w:r>
          </w:p>
        </w:tc>
      </w:tr>
      <w:tr w:rsidR="00E93F58" w:rsidRPr="00576D60" w14:paraId="063BE0D1" w14:textId="77777777" w:rsidTr="002F32E3">
        <w:trPr>
          <w:cantSplit/>
        </w:trPr>
        <w:tc>
          <w:tcPr>
            <w:tcW w:w="1500" w:type="pct"/>
            <w:shd w:val="clear" w:color="auto" w:fill="auto"/>
          </w:tcPr>
          <w:p w14:paraId="0A7A7CB4" w14:textId="77777777" w:rsidR="00E93F58" w:rsidRPr="00576D60" w:rsidRDefault="00E93F58" w:rsidP="003D2B1E">
            <w:pPr>
              <w:pStyle w:val="ENoteTableText"/>
              <w:keepNext/>
              <w:tabs>
                <w:tab w:val="left" w:leader="dot" w:pos="2268"/>
              </w:tabs>
              <w:rPr>
                <w:b/>
              </w:rPr>
            </w:pPr>
            <w:r w:rsidRPr="00576D60">
              <w:rPr>
                <w:b/>
              </w:rPr>
              <w:t>Division 18</w:t>
            </w:r>
          </w:p>
        </w:tc>
        <w:tc>
          <w:tcPr>
            <w:tcW w:w="3500" w:type="pct"/>
            <w:shd w:val="clear" w:color="auto" w:fill="auto"/>
          </w:tcPr>
          <w:p w14:paraId="180EAE28" w14:textId="77777777" w:rsidR="00E93F58" w:rsidRPr="00576D60" w:rsidRDefault="00E93F58" w:rsidP="003D2B1E">
            <w:pPr>
              <w:pStyle w:val="ENoteTableText"/>
              <w:keepNext/>
            </w:pPr>
          </w:p>
        </w:tc>
      </w:tr>
      <w:tr w:rsidR="00E93F58" w:rsidRPr="00576D60" w14:paraId="57A2402C" w14:textId="77777777" w:rsidTr="002F32E3">
        <w:trPr>
          <w:cantSplit/>
        </w:trPr>
        <w:tc>
          <w:tcPr>
            <w:tcW w:w="1500" w:type="pct"/>
            <w:shd w:val="clear" w:color="auto" w:fill="auto"/>
          </w:tcPr>
          <w:p w14:paraId="422C72D0" w14:textId="77777777" w:rsidR="00E93F58" w:rsidRPr="00576D60" w:rsidRDefault="00E93F58" w:rsidP="003D2B1E">
            <w:pPr>
              <w:pStyle w:val="ENoteTableText"/>
              <w:tabs>
                <w:tab w:val="left" w:leader="dot" w:pos="2268"/>
              </w:tabs>
            </w:pPr>
            <w:r w:rsidRPr="00576D60">
              <w:t>r. 10.2.92</w:t>
            </w:r>
            <w:r w:rsidRPr="00576D60">
              <w:tab/>
            </w:r>
          </w:p>
        </w:tc>
        <w:tc>
          <w:tcPr>
            <w:tcW w:w="3500" w:type="pct"/>
            <w:shd w:val="clear" w:color="auto" w:fill="auto"/>
          </w:tcPr>
          <w:p w14:paraId="3E3D7AF1" w14:textId="77777777" w:rsidR="00E93F58" w:rsidRPr="00576D60" w:rsidRDefault="00E93F58" w:rsidP="003D2B1E">
            <w:pPr>
              <w:pStyle w:val="ENoteTableText"/>
            </w:pPr>
            <w:r w:rsidRPr="00576D60">
              <w:t>ad. 2001 No. 319</w:t>
            </w:r>
          </w:p>
        </w:tc>
      </w:tr>
      <w:tr w:rsidR="00E93F58" w:rsidRPr="00576D60" w14:paraId="6D70419C" w14:textId="77777777" w:rsidTr="002F32E3">
        <w:trPr>
          <w:cantSplit/>
        </w:trPr>
        <w:tc>
          <w:tcPr>
            <w:tcW w:w="1500" w:type="pct"/>
            <w:shd w:val="clear" w:color="auto" w:fill="auto"/>
          </w:tcPr>
          <w:p w14:paraId="0684C2E9" w14:textId="77777777" w:rsidR="00E93F58" w:rsidRPr="00576D60" w:rsidRDefault="00E93F58" w:rsidP="003D2B1E">
            <w:pPr>
              <w:pStyle w:val="ENoteTableText"/>
            </w:pPr>
          </w:p>
        </w:tc>
        <w:tc>
          <w:tcPr>
            <w:tcW w:w="3500" w:type="pct"/>
            <w:shd w:val="clear" w:color="auto" w:fill="auto"/>
          </w:tcPr>
          <w:p w14:paraId="2E361FD7" w14:textId="77777777" w:rsidR="00E93F58" w:rsidRPr="00576D60" w:rsidRDefault="00E93F58" w:rsidP="003D2B1E">
            <w:pPr>
              <w:pStyle w:val="ENoteTableText"/>
            </w:pPr>
            <w:r w:rsidRPr="00576D60">
              <w:t>am. 2002 No. 16</w:t>
            </w:r>
          </w:p>
        </w:tc>
      </w:tr>
      <w:tr w:rsidR="00E93F58" w:rsidRPr="00576D60" w14:paraId="44492003" w14:textId="77777777" w:rsidTr="002F32E3">
        <w:trPr>
          <w:cantSplit/>
        </w:trPr>
        <w:tc>
          <w:tcPr>
            <w:tcW w:w="1500" w:type="pct"/>
            <w:shd w:val="clear" w:color="auto" w:fill="auto"/>
          </w:tcPr>
          <w:p w14:paraId="0691FAF5" w14:textId="77777777" w:rsidR="00E93F58" w:rsidRPr="00576D60" w:rsidRDefault="00E93F58" w:rsidP="003D2B1E">
            <w:pPr>
              <w:pStyle w:val="ENoteTableText"/>
              <w:tabs>
                <w:tab w:val="left" w:leader="dot" w:pos="2268"/>
              </w:tabs>
            </w:pPr>
            <w:r w:rsidRPr="00576D60">
              <w:t>r. 10.2.93</w:t>
            </w:r>
            <w:r w:rsidRPr="00576D60">
              <w:tab/>
            </w:r>
          </w:p>
        </w:tc>
        <w:tc>
          <w:tcPr>
            <w:tcW w:w="3500" w:type="pct"/>
            <w:shd w:val="clear" w:color="auto" w:fill="auto"/>
          </w:tcPr>
          <w:p w14:paraId="29553118" w14:textId="77777777" w:rsidR="00E93F58" w:rsidRPr="00576D60" w:rsidRDefault="00E93F58" w:rsidP="003D2B1E">
            <w:pPr>
              <w:pStyle w:val="ENoteTableText"/>
            </w:pPr>
            <w:r w:rsidRPr="00576D60">
              <w:t>ad. 2001 No. 319</w:t>
            </w:r>
          </w:p>
        </w:tc>
      </w:tr>
      <w:tr w:rsidR="00E93F58" w:rsidRPr="00576D60" w14:paraId="0FA04C08" w14:textId="77777777" w:rsidTr="002F32E3">
        <w:trPr>
          <w:cantSplit/>
        </w:trPr>
        <w:tc>
          <w:tcPr>
            <w:tcW w:w="1500" w:type="pct"/>
            <w:shd w:val="clear" w:color="auto" w:fill="auto"/>
          </w:tcPr>
          <w:p w14:paraId="445DF911" w14:textId="77777777" w:rsidR="00E93F58" w:rsidRPr="00576D60" w:rsidRDefault="00E93F58" w:rsidP="003D2B1E">
            <w:pPr>
              <w:pStyle w:val="ENoteTableText"/>
            </w:pPr>
          </w:p>
        </w:tc>
        <w:tc>
          <w:tcPr>
            <w:tcW w:w="3500" w:type="pct"/>
            <w:shd w:val="clear" w:color="auto" w:fill="auto"/>
          </w:tcPr>
          <w:p w14:paraId="6428E32E" w14:textId="77777777" w:rsidR="00E93F58" w:rsidRPr="00576D60" w:rsidRDefault="00E93F58" w:rsidP="003D2B1E">
            <w:pPr>
              <w:pStyle w:val="ENoteTableText"/>
            </w:pPr>
            <w:r w:rsidRPr="00576D60">
              <w:t>am. 2002 No. 16</w:t>
            </w:r>
          </w:p>
        </w:tc>
      </w:tr>
      <w:tr w:rsidR="00E93F58" w:rsidRPr="00576D60" w14:paraId="6AC96C2F" w14:textId="77777777" w:rsidTr="002F32E3">
        <w:trPr>
          <w:cantSplit/>
        </w:trPr>
        <w:tc>
          <w:tcPr>
            <w:tcW w:w="1500" w:type="pct"/>
            <w:shd w:val="clear" w:color="auto" w:fill="auto"/>
          </w:tcPr>
          <w:p w14:paraId="13918D1A" w14:textId="77777777" w:rsidR="00E93F58" w:rsidRPr="00576D60" w:rsidRDefault="00E93F58" w:rsidP="003D2B1E">
            <w:pPr>
              <w:pStyle w:val="ENoteTableText"/>
              <w:tabs>
                <w:tab w:val="left" w:leader="dot" w:pos="2268"/>
              </w:tabs>
            </w:pPr>
            <w:r w:rsidRPr="00576D60">
              <w:t>r. 10.2.94</w:t>
            </w:r>
            <w:r w:rsidRPr="00576D60">
              <w:tab/>
            </w:r>
          </w:p>
        </w:tc>
        <w:tc>
          <w:tcPr>
            <w:tcW w:w="3500" w:type="pct"/>
            <w:shd w:val="clear" w:color="auto" w:fill="auto"/>
          </w:tcPr>
          <w:p w14:paraId="51DEC8C7" w14:textId="77777777" w:rsidR="00E93F58" w:rsidRPr="00576D60" w:rsidRDefault="00E93F58" w:rsidP="003D2B1E">
            <w:pPr>
              <w:pStyle w:val="ENoteTableText"/>
            </w:pPr>
            <w:r w:rsidRPr="00576D60">
              <w:t>ad. 2001 No. 319</w:t>
            </w:r>
          </w:p>
        </w:tc>
      </w:tr>
      <w:tr w:rsidR="00E93F58" w:rsidRPr="00576D60" w14:paraId="488FE139" w14:textId="77777777" w:rsidTr="002F32E3">
        <w:trPr>
          <w:cantSplit/>
        </w:trPr>
        <w:tc>
          <w:tcPr>
            <w:tcW w:w="1500" w:type="pct"/>
            <w:shd w:val="clear" w:color="auto" w:fill="auto"/>
          </w:tcPr>
          <w:p w14:paraId="4C482482" w14:textId="77777777" w:rsidR="00E93F58" w:rsidRPr="00576D60" w:rsidRDefault="00E93F58" w:rsidP="003D2B1E">
            <w:pPr>
              <w:pStyle w:val="ENoteTableText"/>
            </w:pPr>
          </w:p>
        </w:tc>
        <w:tc>
          <w:tcPr>
            <w:tcW w:w="3500" w:type="pct"/>
            <w:shd w:val="clear" w:color="auto" w:fill="auto"/>
          </w:tcPr>
          <w:p w14:paraId="06AD7C8D" w14:textId="77777777" w:rsidR="00E93F58" w:rsidRPr="00576D60" w:rsidRDefault="00E93F58" w:rsidP="003D2B1E">
            <w:pPr>
              <w:pStyle w:val="ENoteTableText"/>
            </w:pPr>
            <w:r w:rsidRPr="00576D60">
              <w:t>am. 2002 No. 16</w:t>
            </w:r>
          </w:p>
        </w:tc>
      </w:tr>
      <w:tr w:rsidR="00E93F58" w:rsidRPr="00576D60" w14:paraId="5727A884" w14:textId="77777777" w:rsidTr="002F32E3">
        <w:trPr>
          <w:cantSplit/>
        </w:trPr>
        <w:tc>
          <w:tcPr>
            <w:tcW w:w="1500" w:type="pct"/>
            <w:shd w:val="clear" w:color="auto" w:fill="auto"/>
          </w:tcPr>
          <w:p w14:paraId="52C023CB" w14:textId="77777777" w:rsidR="00E93F58" w:rsidRPr="00576D60" w:rsidRDefault="00E93F58" w:rsidP="003D2B1E">
            <w:pPr>
              <w:pStyle w:val="ENoteTableText"/>
              <w:tabs>
                <w:tab w:val="left" w:leader="dot" w:pos="2268"/>
              </w:tabs>
            </w:pPr>
            <w:r w:rsidRPr="00576D60">
              <w:t>r. 10.2.94A</w:t>
            </w:r>
            <w:r w:rsidRPr="00576D60">
              <w:tab/>
            </w:r>
          </w:p>
        </w:tc>
        <w:tc>
          <w:tcPr>
            <w:tcW w:w="3500" w:type="pct"/>
            <w:shd w:val="clear" w:color="auto" w:fill="auto"/>
          </w:tcPr>
          <w:p w14:paraId="302A05A7" w14:textId="77777777" w:rsidR="00E93F58" w:rsidRPr="00576D60" w:rsidRDefault="00E93F58" w:rsidP="003D2B1E">
            <w:pPr>
              <w:pStyle w:val="ENoteTableText"/>
            </w:pPr>
            <w:r w:rsidRPr="00576D60">
              <w:t>ad. 2002 No. 41</w:t>
            </w:r>
          </w:p>
        </w:tc>
      </w:tr>
      <w:tr w:rsidR="00E93F58" w:rsidRPr="00576D60" w14:paraId="6701AACE" w14:textId="77777777" w:rsidTr="002F32E3">
        <w:trPr>
          <w:cantSplit/>
        </w:trPr>
        <w:tc>
          <w:tcPr>
            <w:tcW w:w="1500" w:type="pct"/>
            <w:shd w:val="clear" w:color="auto" w:fill="auto"/>
          </w:tcPr>
          <w:p w14:paraId="2778A96B" w14:textId="77777777" w:rsidR="00E93F58" w:rsidRPr="00576D60" w:rsidRDefault="00E93F58" w:rsidP="003D2B1E">
            <w:pPr>
              <w:pStyle w:val="ENoteTableText"/>
              <w:tabs>
                <w:tab w:val="left" w:leader="dot" w:pos="2268"/>
              </w:tabs>
            </w:pPr>
            <w:r w:rsidRPr="00576D60">
              <w:t>r. 10.2.94B</w:t>
            </w:r>
            <w:r w:rsidRPr="00576D60">
              <w:tab/>
            </w:r>
          </w:p>
        </w:tc>
        <w:tc>
          <w:tcPr>
            <w:tcW w:w="3500" w:type="pct"/>
            <w:shd w:val="clear" w:color="auto" w:fill="auto"/>
          </w:tcPr>
          <w:p w14:paraId="5B084310" w14:textId="77777777" w:rsidR="00E93F58" w:rsidRPr="00576D60" w:rsidRDefault="00E93F58" w:rsidP="003D2B1E">
            <w:pPr>
              <w:pStyle w:val="ENoteTableText"/>
            </w:pPr>
            <w:r w:rsidRPr="00576D60">
              <w:t>ad. 2002 No. 41</w:t>
            </w:r>
          </w:p>
        </w:tc>
      </w:tr>
      <w:tr w:rsidR="00E93F58" w:rsidRPr="00576D60" w14:paraId="0DBCEB69" w14:textId="77777777" w:rsidTr="002F32E3">
        <w:trPr>
          <w:cantSplit/>
        </w:trPr>
        <w:tc>
          <w:tcPr>
            <w:tcW w:w="1500" w:type="pct"/>
            <w:shd w:val="clear" w:color="auto" w:fill="auto"/>
          </w:tcPr>
          <w:p w14:paraId="4602938D" w14:textId="77777777" w:rsidR="00E93F58" w:rsidRPr="00576D60" w:rsidRDefault="00E93F58" w:rsidP="003D2B1E">
            <w:pPr>
              <w:pStyle w:val="ENoteTableText"/>
              <w:tabs>
                <w:tab w:val="left" w:leader="dot" w:pos="2268"/>
              </w:tabs>
            </w:pPr>
            <w:r w:rsidRPr="00576D60">
              <w:t>r. 10.2.95</w:t>
            </w:r>
            <w:r w:rsidRPr="00576D60">
              <w:tab/>
            </w:r>
          </w:p>
        </w:tc>
        <w:tc>
          <w:tcPr>
            <w:tcW w:w="3500" w:type="pct"/>
            <w:shd w:val="clear" w:color="auto" w:fill="auto"/>
          </w:tcPr>
          <w:p w14:paraId="6BE36595" w14:textId="77777777" w:rsidR="00E93F58" w:rsidRPr="00576D60" w:rsidRDefault="00E93F58" w:rsidP="003D2B1E">
            <w:pPr>
              <w:pStyle w:val="ENoteTableText"/>
            </w:pPr>
            <w:r w:rsidRPr="00576D60">
              <w:t>ad. 2001 No. 319</w:t>
            </w:r>
          </w:p>
        </w:tc>
      </w:tr>
      <w:tr w:rsidR="00E93F58" w:rsidRPr="00576D60" w14:paraId="2139C1FF" w14:textId="77777777" w:rsidTr="002F32E3">
        <w:trPr>
          <w:cantSplit/>
        </w:trPr>
        <w:tc>
          <w:tcPr>
            <w:tcW w:w="1500" w:type="pct"/>
            <w:shd w:val="clear" w:color="auto" w:fill="auto"/>
          </w:tcPr>
          <w:p w14:paraId="239FCC60" w14:textId="77777777" w:rsidR="00E93F58" w:rsidRPr="00576D60" w:rsidRDefault="00E93F58" w:rsidP="003D2B1E">
            <w:pPr>
              <w:pStyle w:val="ENoteTableText"/>
            </w:pPr>
          </w:p>
        </w:tc>
        <w:tc>
          <w:tcPr>
            <w:tcW w:w="3500" w:type="pct"/>
            <w:shd w:val="clear" w:color="auto" w:fill="auto"/>
          </w:tcPr>
          <w:p w14:paraId="44703F50" w14:textId="77777777" w:rsidR="00E93F58" w:rsidRPr="00576D60" w:rsidRDefault="00E93F58" w:rsidP="003D2B1E">
            <w:pPr>
              <w:pStyle w:val="ENoteTableText"/>
            </w:pPr>
            <w:r w:rsidRPr="00576D60">
              <w:t>am. 2002 No. 16</w:t>
            </w:r>
          </w:p>
        </w:tc>
      </w:tr>
      <w:tr w:rsidR="00E93F58" w:rsidRPr="00576D60" w14:paraId="07212B04" w14:textId="77777777" w:rsidTr="002F32E3">
        <w:trPr>
          <w:cantSplit/>
        </w:trPr>
        <w:tc>
          <w:tcPr>
            <w:tcW w:w="1500" w:type="pct"/>
            <w:shd w:val="clear" w:color="auto" w:fill="auto"/>
          </w:tcPr>
          <w:p w14:paraId="3FD4169F" w14:textId="77777777" w:rsidR="00E93F58" w:rsidRPr="00576D60" w:rsidRDefault="00E93F58" w:rsidP="003D2B1E">
            <w:pPr>
              <w:pStyle w:val="ENoteTableText"/>
              <w:tabs>
                <w:tab w:val="left" w:leader="dot" w:pos="2268"/>
              </w:tabs>
            </w:pPr>
            <w:r w:rsidRPr="00576D60">
              <w:t>r. 10.2.96</w:t>
            </w:r>
            <w:r w:rsidRPr="00576D60">
              <w:tab/>
            </w:r>
          </w:p>
        </w:tc>
        <w:tc>
          <w:tcPr>
            <w:tcW w:w="3500" w:type="pct"/>
            <w:shd w:val="clear" w:color="auto" w:fill="auto"/>
          </w:tcPr>
          <w:p w14:paraId="4674BA70" w14:textId="77777777" w:rsidR="00E93F58" w:rsidRPr="00576D60" w:rsidRDefault="00E93F58" w:rsidP="003D2B1E">
            <w:pPr>
              <w:pStyle w:val="ENoteTableText"/>
            </w:pPr>
            <w:r w:rsidRPr="00576D60">
              <w:t>ad. 2001 No. 319</w:t>
            </w:r>
          </w:p>
        </w:tc>
      </w:tr>
      <w:tr w:rsidR="00E93F58" w:rsidRPr="00576D60" w14:paraId="6745F07C" w14:textId="77777777" w:rsidTr="002F32E3">
        <w:trPr>
          <w:cantSplit/>
        </w:trPr>
        <w:tc>
          <w:tcPr>
            <w:tcW w:w="1500" w:type="pct"/>
            <w:shd w:val="clear" w:color="auto" w:fill="auto"/>
          </w:tcPr>
          <w:p w14:paraId="1E7BE124" w14:textId="77777777" w:rsidR="00E93F58" w:rsidRPr="00576D60" w:rsidRDefault="00E93F58" w:rsidP="003D2B1E">
            <w:pPr>
              <w:pStyle w:val="ENoteTableText"/>
              <w:tabs>
                <w:tab w:val="left" w:leader="dot" w:pos="2268"/>
              </w:tabs>
            </w:pPr>
            <w:r w:rsidRPr="00576D60">
              <w:t>r. 10.2.97</w:t>
            </w:r>
            <w:r w:rsidRPr="00576D60">
              <w:tab/>
            </w:r>
          </w:p>
        </w:tc>
        <w:tc>
          <w:tcPr>
            <w:tcW w:w="3500" w:type="pct"/>
            <w:shd w:val="clear" w:color="auto" w:fill="auto"/>
          </w:tcPr>
          <w:p w14:paraId="1178EDC2" w14:textId="77777777" w:rsidR="00E93F58" w:rsidRPr="00576D60" w:rsidRDefault="00E93F58" w:rsidP="003D2B1E">
            <w:pPr>
              <w:pStyle w:val="ENoteTableText"/>
            </w:pPr>
            <w:r w:rsidRPr="00576D60">
              <w:t>ad. 2001 No. 319</w:t>
            </w:r>
          </w:p>
        </w:tc>
      </w:tr>
      <w:tr w:rsidR="00E93F58" w:rsidRPr="00576D60" w14:paraId="279685D1" w14:textId="77777777" w:rsidTr="002F32E3">
        <w:trPr>
          <w:cantSplit/>
        </w:trPr>
        <w:tc>
          <w:tcPr>
            <w:tcW w:w="1500" w:type="pct"/>
            <w:shd w:val="clear" w:color="auto" w:fill="auto"/>
          </w:tcPr>
          <w:p w14:paraId="0127AA0E" w14:textId="77777777" w:rsidR="00E93F58" w:rsidRPr="00576D60" w:rsidRDefault="00E93F58" w:rsidP="003D2B1E">
            <w:pPr>
              <w:pStyle w:val="ENoteTableText"/>
              <w:tabs>
                <w:tab w:val="left" w:leader="dot" w:pos="2268"/>
              </w:tabs>
            </w:pPr>
            <w:r w:rsidRPr="00576D60">
              <w:t>r. 10.2.98</w:t>
            </w:r>
            <w:r w:rsidRPr="00576D60">
              <w:tab/>
            </w:r>
          </w:p>
        </w:tc>
        <w:tc>
          <w:tcPr>
            <w:tcW w:w="3500" w:type="pct"/>
            <w:shd w:val="clear" w:color="auto" w:fill="auto"/>
          </w:tcPr>
          <w:p w14:paraId="69B388DD" w14:textId="77777777" w:rsidR="00E93F58" w:rsidRPr="00576D60" w:rsidRDefault="00E93F58" w:rsidP="003D2B1E">
            <w:pPr>
              <w:pStyle w:val="ENoteTableText"/>
            </w:pPr>
            <w:r w:rsidRPr="00576D60">
              <w:t>ad. 2001 No. 319</w:t>
            </w:r>
          </w:p>
        </w:tc>
      </w:tr>
      <w:tr w:rsidR="00E93F58" w:rsidRPr="00576D60" w14:paraId="349CFB7D" w14:textId="77777777" w:rsidTr="002F32E3">
        <w:trPr>
          <w:cantSplit/>
        </w:trPr>
        <w:tc>
          <w:tcPr>
            <w:tcW w:w="1500" w:type="pct"/>
            <w:shd w:val="clear" w:color="auto" w:fill="auto"/>
          </w:tcPr>
          <w:p w14:paraId="549867B6" w14:textId="77777777" w:rsidR="00E93F58" w:rsidRPr="00576D60" w:rsidRDefault="00E93F58" w:rsidP="003D2B1E">
            <w:pPr>
              <w:pStyle w:val="ENoteTableText"/>
              <w:tabs>
                <w:tab w:val="left" w:leader="dot" w:pos="2268"/>
              </w:tabs>
            </w:pPr>
            <w:r w:rsidRPr="00576D60">
              <w:lastRenderedPageBreak/>
              <w:t>r. 10.2.98A</w:t>
            </w:r>
            <w:r w:rsidRPr="00576D60">
              <w:tab/>
            </w:r>
          </w:p>
        </w:tc>
        <w:tc>
          <w:tcPr>
            <w:tcW w:w="3500" w:type="pct"/>
            <w:shd w:val="clear" w:color="auto" w:fill="auto"/>
          </w:tcPr>
          <w:p w14:paraId="75CF8136" w14:textId="77777777" w:rsidR="00E93F58" w:rsidRPr="00576D60" w:rsidRDefault="00E93F58" w:rsidP="003D2B1E">
            <w:pPr>
              <w:pStyle w:val="ENoteTableText"/>
            </w:pPr>
            <w:r w:rsidRPr="00576D60">
              <w:t>ad. 2002 No. 16</w:t>
            </w:r>
          </w:p>
        </w:tc>
      </w:tr>
      <w:tr w:rsidR="00E93F58" w:rsidRPr="00576D60" w14:paraId="431FF5C0" w14:textId="77777777" w:rsidTr="002F32E3">
        <w:trPr>
          <w:cantSplit/>
        </w:trPr>
        <w:tc>
          <w:tcPr>
            <w:tcW w:w="1500" w:type="pct"/>
            <w:shd w:val="clear" w:color="auto" w:fill="auto"/>
          </w:tcPr>
          <w:p w14:paraId="0568C274" w14:textId="77777777" w:rsidR="00E93F58" w:rsidRPr="00576D60" w:rsidRDefault="00E93F58" w:rsidP="003D2B1E">
            <w:pPr>
              <w:pStyle w:val="ENoteTableText"/>
              <w:tabs>
                <w:tab w:val="left" w:leader="dot" w:pos="2268"/>
              </w:tabs>
              <w:rPr>
                <w:b/>
              </w:rPr>
            </w:pPr>
            <w:r w:rsidRPr="00576D60">
              <w:rPr>
                <w:b/>
              </w:rPr>
              <w:t>Division 19</w:t>
            </w:r>
          </w:p>
        </w:tc>
        <w:tc>
          <w:tcPr>
            <w:tcW w:w="3500" w:type="pct"/>
            <w:shd w:val="clear" w:color="auto" w:fill="auto"/>
          </w:tcPr>
          <w:p w14:paraId="1EF8A007" w14:textId="77777777" w:rsidR="00E93F58" w:rsidRPr="00576D60" w:rsidRDefault="00E93F58" w:rsidP="003D2B1E">
            <w:pPr>
              <w:pStyle w:val="ENoteTableText"/>
            </w:pPr>
          </w:p>
        </w:tc>
      </w:tr>
      <w:tr w:rsidR="00E93F58" w:rsidRPr="00576D60" w14:paraId="29625E80" w14:textId="77777777" w:rsidTr="002F32E3">
        <w:trPr>
          <w:cantSplit/>
        </w:trPr>
        <w:tc>
          <w:tcPr>
            <w:tcW w:w="1500" w:type="pct"/>
            <w:shd w:val="clear" w:color="auto" w:fill="auto"/>
          </w:tcPr>
          <w:p w14:paraId="3C238BFC" w14:textId="77777777" w:rsidR="00E93F58" w:rsidRPr="00576D60" w:rsidRDefault="00E93F58" w:rsidP="003D2B1E">
            <w:pPr>
              <w:pStyle w:val="ENoteTableText"/>
              <w:tabs>
                <w:tab w:val="left" w:leader="dot" w:pos="2268"/>
              </w:tabs>
            </w:pPr>
            <w:r w:rsidRPr="00576D60">
              <w:t>r. 10.2.99</w:t>
            </w:r>
            <w:r w:rsidRPr="00576D60">
              <w:tab/>
            </w:r>
          </w:p>
        </w:tc>
        <w:tc>
          <w:tcPr>
            <w:tcW w:w="3500" w:type="pct"/>
            <w:shd w:val="clear" w:color="auto" w:fill="auto"/>
          </w:tcPr>
          <w:p w14:paraId="3ABE1618" w14:textId="77777777" w:rsidR="00E93F58" w:rsidRPr="00576D60" w:rsidRDefault="00E93F58" w:rsidP="003D2B1E">
            <w:pPr>
              <w:pStyle w:val="ENoteTableText"/>
            </w:pPr>
            <w:r w:rsidRPr="00576D60">
              <w:t>ad. 2001 No. 319</w:t>
            </w:r>
          </w:p>
        </w:tc>
      </w:tr>
      <w:tr w:rsidR="00E93F58" w:rsidRPr="00576D60" w14:paraId="6C0EA586" w14:textId="77777777" w:rsidTr="002F32E3">
        <w:trPr>
          <w:cantSplit/>
        </w:trPr>
        <w:tc>
          <w:tcPr>
            <w:tcW w:w="1500" w:type="pct"/>
            <w:shd w:val="clear" w:color="auto" w:fill="auto"/>
          </w:tcPr>
          <w:p w14:paraId="3DD02ECA" w14:textId="77777777" w:rsidR="00E93F58" w:rsidRPr="00576D60" w:rsidRDefault="00E93F58" w:rsidP="003D2B1E">
            <w:pPr>
              <w:pStyle w:val="ENoteTableText"/>
              <w:tabs>
                <w:tab w:val="left" w:leader="dot" w:pos="2268"/>
              </w:tabs>
              <w:rPr>
                <w:b/>
              </w:rPr>
            </w:pPr>
            <w:r>
              <w:rPr>
                <w:b/>
              </w:rPr>
              <w:t>Division 2</w:t>
            </w:r>
            <w:r w:rsidRPr="00576D60">
              <w:rPr>
                <w:b/>
              </w:rPr>
              <w:t>0</w:t>
            </w:r>
          </w:p>
        </w:tc>
        <w:tc>
          <w:tcPr>
            <w:tcW w:w="3500" w:type="pct"/>
            <w:shd w:val="clear" w:color="auto" w:fill="auto"/>
          </w:tcPr>
          <w:p w14:paraId="769FD080" w14:textId="77777777" w:rsidR="00E93F58" w:rsidRPr="00576D60" w:rsidRDefault="00E93F58" w:rsidP="003D2B1E">
            <w:pPr>
              <w:pStyle w:val="ENoteTableText"/>
            </w:pPr>
          </w:p>
        </w:tc>
      </w:tr>
      <w:tr w:rsidR="00E93F58" w:rsidRPr="00576D60" w14:paraId="2FEF9AC0" w14:textId="77777777" w:rsidTr="002F32E3">
        <w:trPr>
          <w:cantSplit/>
        </w:trPr>
        <w:tc>
          <w:tcPr>
            <w:tcW w:w="1500" w:type="pct"/>
            <w:shd w:val="clear" w:color="auto" w:fill="auto"/>
          </w:tcPr>
          <w:p w14:paraId="08F0FC98" w14:textId="77777777" w:rsidR="00E93F58" w:rsidRPr="00576D60" w:rsidRDefault="00E93F58" w:rsidP="003D2B1E">
            <w:pPr>
              <w:pStyle w:val="ENoteTableText"/>
              <w:tabs>
                <w:tab w:val="left" w:leader="dot" w:pos="2268"/>
              </w:tabs>
            </w:pPr>
            <w:r w:rsidRPr="00576D60">
              <w:t>r. 10.2.100</w:t>
            </w:r>
            <w:r w:rsidRPr="00576D60">
              <w:tab/>
            </w:r>
          </w:p>
        </w:tc>
        <w:tc>
          <w:tcPr>
            <w:tcW w:w="3500" w:type="pct"/>
            <w:shd w:val="clear" w:color="auto" w:fill="auto"/>
          </w:tcPr>
          <w:p w14:paraId="201710E3" w14:textId="77777777" w:rsidR="00E93F58" w:rsidRPr="00576D60" w:rsidRDefault="00E93F58" w:rsidP="003D2B1E">
            <w:pPr>
              <w:pStyle w:val="ENoteTableText"/>
            </w:pPr>
            <w:r w:rsidRPr="00576D60">
              <w:t>ad. 2001 No. 319</w:t>
            </w:r>
          </w:p>
        </w:tc>
      </w:tr>
      <w:tr w:rsidR="00E93F58" w:rsidRPr="00576D60" w14:paraId="7B84CE33" w14:textId="77777777" w:rsidTr="002F32E3">
        <w:trPr>
          <w:cantSplit/>
        </w:trPr>
        <w:tc>
          <w:tcPr>
            <w:tcW w:w="1500" w:type="pct"/>
            <w:shd w:val="clear" w:color="auto" w:fill="auto"/>
          </w:tcPr>
          <w:p w14:paraId="161079C4" w14:textId="77777777" w:rsidR="00E93F58" w:rsidRPr="00576D60" w:rsidRDefault="00E93F58" w:rsidP="003D2B1E">
            <w:pPr>
              <w:pStyle w:val="ENoteTableText"/>
              <w:tabs>
                <w:tab w:val="left" w:leader="dot" w:pos="2268"/>
              </w:tabs>
            </w:pPr>
            <w:r w:rsidRPr="00576D60">
              <w:t>r. 10.2.101</w:t>
            </w:r>
            <w:r w:rsidRPr="00576D60">
              <w:tab/>
            </w:r>
          </w:p>
        </w:tc>
        <w:tc>
          <w:tcPr>
            <w:tcW w:w="3500" w:type="pct"/>
            <w:shd w:val="clear" w:color="auto" w:fill="auto"/>
          </w:tcPr>
          <w:p w14:paraId="111C08A8" w14:textId="77777777" w:rsidR="00E93F58" w:rsidRPr="00576D60" w:rsidRDefault="00E93F58" w:rsidP="003D2B1E">
            <w:pPr>
              <w:pStyle w:val="ENoteTableText"/>
            </w:pPr>
            <w:r w:rsidRPr="00576D60">
              <w:t>ad. 2001 No. 319</w:t>
            </w:r>
          </w:p>
        </w:tc>
      </w:tr>
      <w:tr w:rsidR="00E93F58" w:rsidRPr="00576D60" w14:paraId="523E454A" w14:textId="77777777" w:rsidTr="002F32E3">
        <w:trPr>
          <w:cantSplit/>
        </w:trPr>
        <w:tc>
          <w:tcPr>
            <w:tcW w:w="1500" w:type="pct"/>
            <w:shd w:val="clear" w:color="auto" w:fill="auto"/>
          </w:tcPr>
          <w:p w14:paraId="30E76B12" w14:textId="77777777" w:rsidR="00E93F58" w:rsidRPr="00576D60" w:rsidRDefault="00E93F58" w:rsidP="003D2B1E">
            <w:pPr>
              <w:pStyle w:val="ENoteTableText"/>
            </w:pPr>
          </w:p>
        </w:tc>
        <w:tc>
          <w:tcPr>
            <w:tcW w:w="3500" w:type="pct"/>
            <w:shd w:val="clear" w:color="auto" w:fill="auto"/>
          </w:tcPr>
          <w:p w14:paraId="390364C9" w14:textId="77777777" w:rsidR="00E93F58" w:rsidRPr="00576D60" w:rsidRDefault="00E93F58" w:rsidP="003D2B1E">
            <w:pPr>
              <w:pStyle w:val="ENoteTableText"/>
            </w:pPr>
            <w:r w:rsidRPr="00576D60">
              <w:t>am. 2002 No. 16</w:t>
            </w:r>
          </w:p>
        </w:tc>
      </w:tr>
      <w:tr w:rsidR="00E93F58" w:rsidRPr="00576D60" w14:paraId="79A8F76A" w14:textId="77777777" w:rsidTr="002F32E3">
        <w:trPr>
          <w:cantSplit/>
        </w:trPr>
        <w:tc>
          <w:tcPr>
            <w:tcW w:w="1500" w:type="pct"/>
            <w:shd w:val="clear" w:color="auto" w:fill="auto"/>
          </w:tcPr>
          <w:p w14:paraId="39F512A8" w14:textId="77777777" w:rsidR="00E93F58" w:rsidRPr="00576D60" w:rsidRDefault="00E93F58" w:rsidP="003D2B1E">
            <w:pPr>
              <w:pStyle w:val="ENoteTableText"/>
              <w:tabs>
                <w:tab w:val="left" w:leader="dot" w:pos="2268"/>
              </w:tabs>
            </w:pPr>
            <w:r w:rsidRPr="00576D60">
              <w:t>r. 10.2.102</w:t>
            </w:r>
            <w:r w:rsidRPr="00576D60">
              <w:tab/>
            </w:r>
          </w:p>
        </w:tc>
        <w:tc>
          <w:tcPr>
            <w:tcW w:w="3500" w:type="pct"/>
            <w:shd w:val="clear" w:color="auto" w:fill="auto"/>
          </w:tcPr>
          <w:p w14:paraId="09D98AA8" w14:textId="77777777" w:rsidR="00E93F58" w:rsidRPr="00576D60" w:rsidRDefault="00E93F58" w:rsidP="003D2B1E">
            <w:pPr>
              <w:pStyle w:val="ENoteTableText"/>
            </w:pPr>
            <w:r w:rsidRPr="00576D60">
              <w:t>ad. 2001 No. 319</w:t>
            </w:r>
          </w:p>
        </w:tc>
      </w:tr>
      <w:tr w:rsidR="00E93F58" w:rsidRPr="00576D60" w14:paraId="017D39E0" w14:textId="77777777" w:rsidTr="002F32E3">
        <w:trPr>
          <w:cantSplit/>
        </w:trPr>
        <w:tc>
          <w:tcPr>
            <w:tcW w:w="1500" w:type="pct"/>
            <w:shd w:val="clear" w:color="auto" w:fill="auto"/>
          </w:tcPr>
          <w:p w14:paraId="62289A09" w14:textId="77777777" w:rsidR="00E93F58" w:rsidRPr="00576D60" w:rsidRDefault="00E93F58" w:rsidP="003D2B1E">
            <w:pPr>
              <w:pStyle w:val="ENoteTableText"/>
            </w:pPr>
          </w:p>
        </w:tc>
        <w:tc>
          <w:tcPr>
            <w:tcW w:w="3500" w:type="pct"/>
            <w:shd w:val="clear" w:color="auto" w:fill="auto"/>
          </w:tcPr>
          <w:p w14:paraId="4AAA4747" w14:textId="77777777" w:rsidR="00E93F58" w:rsidRPr="00576D60" w:rsidRDefault="00E93F58" w:rsidP="003D2B1E">
            <w:pPr>
              <w:pStyle w:val="ENoteTableText"/>
            </w:pPr>
            <w:r w:rsidRPr="00576D60">
              <w:t>am. 2002 No. 41</w:t>
            </w:r>
          </w:p>
        </w:tc>
      </w:tr>
      <w:tr w:rsidR="00E93F58" w:rsidRPr="00576D60" w14:paraId="2A2A8A49" w14:textId="77777777" w:rsidTr="002F32E3">
        <w:trPr>
          <w:cantSplit/>
        </w:trPr>
        <w:tc>
          <w:tcPr>
            <w:tcW w:w="1500" w:type="pct"/>
            <w:shd w:val="clear" w:color="auto" w:fill="auto"/>
          </w:tcPr>
          <w:p w14:paraId="3C21FA00" w14:textId="77777777" w:rsidR="00E93F58" w:rsidRPr="00576D60" w:rsidRDefault="00E93F58" w:rsidP="003D2B1E">
            <w:pPr>
              <w:pStyle w:val="ENoteTableText"/>
              <w:tabs>
                <w:tab w:val="left" w:leader="dot" w:pos="2268"/>
              </w:tabs>
            </w:pPr>
            <w:r w:rsidRPr="00576D60">
              <w:t>r. 10.2.103</w:t>
            </w:r>
            <w:r w:rsidRPr="00576D60">
              <w:tab/>
            </w:r>
          </w:p>
        </w:tc>
        <w:tc>
          <w:tcPr>
            <w:tcW w:w="3500" w:type="pct"/>
            <w:shd w:val="clear" w:color="auto" w:fill="auto"/>
          </w:tcPr>
          <w:p w14:paraId="7E80B19B" w14:textId="77777777" w:rsidR="00E93F58" w:rsidRPr="00576D60" w:rsidRDefault="00E93F58" w:rsidP="003D2B1E">
            <w:pPr>
              <w:pStyle w:val="ENoteTableText"/>
            </w:pPr>
            <w:r w:rsidRPr="00576D60">
              <w:t>ad. 2001 No. 319</w:t>
            </w:r>
          </w:p>
        </w:tc>
      </w:tr>
      <w:tr w:rsidR="00E93F58" w:rsidRPr="00576D60" w14:paraId="31E0D0AA" w14:textId="77777777" w:rsidTr="002F32E3">
        <w:trPr>
          <w:cantSplit/>
        </w:trPr>
        <w:tc>
          <w:tcPr>
            <w:tcW w:w="1500" w:type="pct"/>
            <w:shd w:val="clear" w:color="auto" w:fill="auto"/>
          </w:tcPr>
          <w:p w14:paraId="3D07D97A" w14:textId="77777777" w:rsidR="00E93F58" w:rsidRPr="00576D60" w:rsidRDefault="00E93F58" w:rsidP="003D2B1E">
            <w:pPr>
              <w:pStyle w:val="ENoteTableText"/>
              <w:tabs>
                <w:tab w:val="left" w:leader="dot" w:pos="2268"/>
              </w:tabs>
            </w:pPr>
            <w:r w:rsidRPr="00576D60">
              <w:t>r. 10.2.104</w:t>
            </w:r>
            <w:r w:rsidRPr="00576D60">
              <w:tab/>
            </w:r>
          </w:p>
        </w:tc>
        <w:tc>
          <w:tcPr>
            <w:tcW w:w="3500" w:type="pct"/>
            <w:shd w:val="clear" w:color="auto" w:fill="auto"/>
          </w:tcPr>
          <w:p w14:paraId="712EF7AE" w14:textId="77777777" w:rsidR="00E93F58" w:rsidRPr="00576D60" w:rsidRDefault="00E93F58" w:rsidP="003D2B1E">
            <w:pPr>
              <w:pStyle w:val="ENoteTableText"/>
            </w:pPr>
            <w:r w:rsidRPr="00576D60">
              <w:t>ad. 2001 No. 319</w:t>
            </w:r>
          </w:p>
        </w:tc>
      </w:tr>
      <w:tr w:rsidR="00E93F58" w:rsidRPr="00576D60" w14:paraId="5B69E3A5" w14:textId="77777777" w:rsidTr="002F32E3">
        <w:trPr>
          <w:cantSplit/>
        </w:trPr>
        <w:tc>
          <w:tcPr>
            <w:tcW w:w="1500" w:type="pct"/>
            <w:shd w:val="clear" w:color="auto" w:fill="auto"/>
          </w:tcPr>
          <w:p w14:paraId="18B1C661" w14:textId="77777777" w:rsidR="00E93F58" w:rsidRPr="00576D60" w:rsidRDefault="00E93F58" w:rsidP="003D2B1E">
            <w:pPr>
              <w:pStyle w:val="ENoteTableText"/>
              <w:tabs>
                <w:tab w:val="left" w:leader="dot" w:pos="2268"/>
              </w:tabs>
              <w:rPr>
                <w:b/>
              </w:rPr>
            </w:pPr>
            <w:r>
              <w:rPr>
                <w:b/>
              </w:rPr>
              <w:t>Division 2</w:t>
            </w:r>
            <w:r w:rsidRPr="00576D60">
              <w:rPr>
                <w:b/>
              </w:rPr>
              <w:t>1</w:t>
            </w:r>
          </w:p>
        </w:tc>
        <w:tc>
          <w:tcPr>
            <w:tcW w:w="3500" w:type="pct"/>
            <w:shd w:val="clear" w:color="auto" w:fill="auto"/>
          </w:tcPr>
          <w:p w14:paraId="771428B0" w14:textId="77777777" w:rsidR="00E93F58" w:rsidRPr="00576D60" w:rsidRDefault="00E93F58" w:rsidP="003D2B1E">
            <w:pPr>
              <w:pStyle w:val="ENoteTableText"/>
            </w:pPr>
          </w:p>
        </w:tc>
      </w:tr>
      <w:tr w:rsidR="00E93F58" w:rsidRPr="00576D60" w14:paraId="0AAA8208" w14:textId="77777777" w:rsidTr="002F32E3">
        <w:trPr>
          <w:cantSplit/>
        </w:trPr>
        <w:tc>
          <w:tcPr>
            <w:tcW w:w="1500" w:type="pct"/>
            <w:shd w:val="clear" w:color="auto" w:fill="auto"/>
          </w:tcPr>
          <w:p w14:paraId="084F0697" w14:textId="77777777" w:rsidR="00E93F58" w:rsidRPr="00576D60" w:rsidRDefault="00E93F58" w:rsidP="003D2B1E">
            <w:pPr>
              <w:pStyle w:val="ENoteTableText"/>
              <w:tabs>
                <w:tab w:val="left" w:leader="dot" w:pos="2268"/>
              </w:tabs>
            </w:pPr>
            <w:r w:rsidRPr="00576D60">
              <w:t>r. 10.2.105</w:t>
            </w:r>
            <w:r w:rsidRPr="00576D60">
              <w:tab/>
            </w:r>
          </w:p>
        </w:tc>
        <w:tc>
          <w:tcPr>
            <w:tcW w:w="3500" w:type="pct"/>
            <w:shd w:val="clear" w:color="auto" w:fill="auto"/>
          </w:tcPr>
          <w:p w14:paraId="5ABC7392" w14:textId="77777777" w:rsidR="00E93F58" w:rsidRPr="00576D60" w:rsidRDefault="00E93F58" w:rsidP="003D2B1E">
            <w:pPr>
              <w:pStyle w:val="ENoteTableText"/>
            </w:pPr>
            <w:r w:rsidRPr="00576D60">
              <w:t>ad. 2001 No. 319</w:t>
            </w:r>
          </w:p>
        </w:tc>
      </w:tr>
      <w:tr w:rsidR="00E93F58" w:rsidRPr="00576D60" w14:paraId="60052D66" w14:textId="77777777" w:rsidTr="002F32E3">
        <w:trPr>
          <w:cantSplit/>
        </w:trPr>
        <w:tc>
          <w:tcPr>
            <w:tcW w:w="1500" w:type="pct"/>
            <w:shd w:val="clear" w:color="auto" w:fill="auto"/>
          </w:tcPr>
          <w:p w14:paraId="4A4B2627" w14:textId="77777777" w:rsidR="00E93F58" w:rsidRPr="00576D60" w:rsidRDefault="00E93F58" w:rsidP="003D2B1E">
            <w:pPr>
              <w:pStyle w:val="ENoteTableText"/>
              <w:tabs>
                <w:tab w:val="left" w:leader="dot" w:pos="2268"/>
              </w:tabs>
            </w:pPr>
            <w:r w:rsidRPr="00576D60">
              <w:t>r. 10.2.106</w:t>
            </w:r>
            <w:r w:rsidRPr="00576D60">
              <w:tab/>
            </w:r>
          </w:p>
        </w:tc>
        <w:tc>
          <w:tcPr>
            <w:tcW w:w="3500" w:type="pct"/>
            <w:shd w:val="clear" w:color="auto" w:fill="auto"/>
          </w:tcPr>
          <w:p w14:paraId="40037751" w14:textId="77777777" w:rsidR="00E93F58" w:rsidRPr="00576D60" w:rsidRDefault="00E93F58" w:rsidP="003D2B1E">
            <w:pPr>
              <w:pStyle w:val="ENoteTableText"/>
            </w:pPr>
            <w:r w:rsidRPr="00576D60">
              <w:t>ad. 2001 No. 319</w:t>
            </w:r>
          </w:p>
        </w:tc>
      </w:tr>
      <w:tr w:rsidR="00E93F58" w:rsidRPr="00576D60" w14:paraId="7C0F0786" w14:textId="77777777" w:rsidTr="002F32E3">
        <w:trPr>
          <w:cantSplit/>
        </w:trPr>
        <w:tc>
          <w:tcPr>
            <w:tcW w:w="1500" w:type="pct"/>
            <w:shd w:val="clear" w:color="auto" w:fill="auto"/>
          </w:tcPr>
          <w:p w14:paraId="41AB8D21" w14:textId="77777777" w:rsidR="00E93F58" w:rsidRPr="00576D60" w:rsidRDefault="00E93F58" w:rsidP="003D2B1E">
            <w:pPr>
              <w:pStyle w:val="ENoteTableText"/>
              <w:tabs>
                <w:tab w:val="left" w:leader="dot" w:pos="2268"/>
              </w:tabs>
            </w:pPr>
            <w:r w:rsidRPr="00576D60">
              <w:t>r. 10.2.107</w:t>
            </w:r>
            <w:r w:rsidRPr="00576D60">
              <w:tab/>
            </w:r>
          </w:p>
        </w:tc>
        <w:tc>
          <w:tcPr>
            <w:tcW w:w="3500" w:type="pct"/>
            <w:shd w:val="clear" w:color="auto" w:fill="auto"/>
          </w:tcPr>
          <w:p w14:paraId="6D51F41E" w14:textId="77777777" w:rsidR="00E93F58" w:rsidRPr="00576D60" w:rsidRDefault="00E93F58" w:rsidP="003D2B1E">
            <w:pPr>
              <w:pStyle w:val="ENoteTableText"/>
            </w:pPr>
            <w:r w:rsidRPr="00576D60">
              <w:t>ad. 2001 No. 319</w:t>
            </w:r>
          </w:p>
        </w:tc>
      </w:tr>
      <w:tr w:rsidR="00E93F58" w:rsidRPr="00576D60" w14:paraId="6CE93A40" w14:textId="77777777" w:rsidTr="002F32E3">
        <w:trPr>
          <w:cantSplit/>
        </w:trPr>
        <w:tc>
          <w:tcPr>
            <w:tcW w:w="1500" w:type="pct"/>
            <w:shd w:val="clear" w:color="auto" w:fill="auto"/>
          </w:tcPr>
          <w:p w14:paraId="67A09DC8" w14:textId="77777777" w:rsidR="00E93F58" w:rsidRPr="00576D60" w:rsidRDefault="00E93F58" w:rsidP="003D2B1E">
            <w:pPr>
              <w:pStyle w:val="ENoteTableText"/>
              <w:tabs>
                <w:tab w:val="left" w:leader="dot" w:pos="2268"/>
              </w:tabs>
            </w:pPr>
            <w:r w:rsidRPr="00576D60">
              <w:t>r. 10.2.108</w:t>
            </w:r>
            <w:r w:rsidRPr="00576D60">
              <w:tab/>
            </w:r>
          </w:p>
        </w:tc>
        <w:tc>
          <w:tcPr>
            <w:tcW w:w="3500" w:type="pct"/>
            <w:shd w:val="clear" w:color="auto" w:fill="auto"/>
          </w:tcPr>
          <w:p w14:paraId="17D1F679" w14:textId="77777777" w:rsidR="00E93F58" w:rsidRPr="00576D60" w:rsidRDefault="00E93F58" w:rsidP="003D2B1E">
            <w:pPr>
              <w:pStyle w:val="ENoteTableText"/>
            </w:pPr>
            <w:r w:rsidRPr="00576D60">
              <w:t>ad. 2001 No. 319</w:t>
            </w:r>
          </w:p>
        </w:tc>
      </w:tr>
      <w:tr w:rsidR="00E93F58" w:rsidRPr="00576D60" w14:paraId="6B8A5717" w14:textId="77777777" w:rsidTr="002F32E3">
        <w:trPr>
          <w:cantSplit/>
        </w:trPr>
        <w:tc>
          <w:tcPr>
            <w:tcW w:w="1500" w:type="pct"/>
            <w:shd w:val="clear" w:color="auto" w:fill="auto"/>
          </w:tcPr>
          <w:p w14:paraId="4A6C8F3A" w14:textId="77777777" w:rsidR="00E93F58" w:rsidRPr="00576D60" w:rsidRDefault="00E93F58" w:rsidP="003D2B1E">
            <w:pPr>
              <w:pStyle w:val="ENoteTableText"/>
              <w:tabs>
                <w:tab w:val="left" w:leader="dot" w:pos="2268"/>
              </w:tabs>
            </w:pPr>
            <w:r w:rsidRPr="00576D60">
              <w:t>r. 10.2.109</w:t>
            </w:r>
            <w:r w:rsidRPr="00576D60">
              <w:tab/>
            </w:r>
          </w:p>
        </w:tc>
        <w:tc>
          <w:tcPr>
            <w:tcW w:w="3500" w:type="pct"/>
            <w:shd w:val="clear" w:color="auto" w:fill="auto"/>
          </w:tcPr>
          <w:p w14:paraId="41BF8627" w14:textId="77777777" w:rsidR="00E93F58" w:rsidRPr="00576D60" w:rsidRDefault="00E93F58" w:rsidP="003D2B1E">
            <w:pPr>
              <w:pStyle w:val="ENoteTableText"/>
            </w:pPr>
            <w:r w:rsidRPr="00576D60">
              <w:t>ad. 2001 No. 319</w:t>
            </w:r>
          </w:p>
        </w:tc>
      </w:tr>
      <w:tr w:rsidR="00E93F58" w:rsidRPr="00576D60" w14:paraId="3C124362" w14:textId="77777777" w:rsidTr="002F32E3">
        <w:trPr>
          <w:cantSplit/>
        </w:trPr>
        <w:tc>
          <w:tcPr>
            <w:tcW w:w="1500" w:type="pct"/>
            <w:shd w:val="clear" w:color="auto" w:fill="auto"/>
          </w:tcPr>
          <w:p w14:paraId="353BEDCA" w14:textId="77777777" w:rsidR="00E93F58" w:rsidRPr="00576D60" w:rsidRDefault="00E93F58" w:rsidP="003D2B1E">
            <w:pPr>
              <w:pStyle w:val="ENoteTableText"/>
              <w:tabs>
                <w:tab w:val="left" w:leader="dot" w:pos="2268"/>
              </w:tabs>
            </w:pPr>
            <w:r w:rsidRPr="00576D60">
              <w:t>r. 10.2.110</w:t>
            </w:r>
            <w:r w:rsidRPr="00576D60">
              <w:tab/>
            </w:r>
          </w:p>
        </w:tc>
        <w:tc>
          <w:tcPr>
            <w:tcW w:w="3500" w:type="pct"/>
            <w:shd w:val="clear" w:color="auto" w:fill="auto"/>
          </w:tcPr>
          <w:p w14:paraId="571E2F87" w14:textId="77777777" w:rsidR="00E93F58" w:rsidRPr="00576D60" w:rsidRDefault="00E93F58" w:rsidP="003D2B1E">
            <w:pPr>
              <w:pStyle w:val="ENoteTableText"/>
            </w:pPr>
            <w:r w:rsidRPr="00576D60">
              <w:t>ad. 2001 No. 319</w:t>
            </w:r>
          </w:p>
        </w:tc>
      </w:tr>
      <w:tr w:rsidR="00E93F58" w:rsidRPr="00576D60" w14:paraId="635D8D6D" w14:textId="77777777" w:rsidTr="002F32E3">
        <w:trPr>
          <w:cantSplit/>
        </w:trPr>
        <w:tc>
          <w:tcPr>
            <w:tcW w:w="1500" w:type="pct"/>
            <w:shd w:val="clear" w:color="auto" w:fill="auto"/>
          </w:tcPr>
          <w:p w14:paraId="23AFCB50" w14:textId="77777777" w:rsidR="00E93F58" w:rsidRPr="00576D60" w:rsidRDefault="00E93F58" w:rsidP="003D2B1E">
            <w:pPr>
              <w:pStyle w:val="ENoteTableText"/>
              <w:tabs>
                <w:tab w:val="left" w:leader="dot" w:pos="2268"/>
              </w:tabs>
            </w:pPr>
            <w:r w:rsidRPr="00576D60">
              <w:t>r. 10.2.111</w:t>
            </w:r>
            <w:r w:rsidRPr="00576D60">
              <w:tab/>
            </w:r>
          </w:p>
        </w:tc>
        <w:tc>
          <w:tcPr>
            <w:tcW w:w="3500" w:type="pct"/>
            <w:shd w:val="clear" w:color="auto" w:fill="auto"/>
          </w:tcPr>
          <w:p w14:paraId="2A178532" w14:textId="77777777" w:rsidR="00E93F58" w:rsidRPr="00576D60" w:rsidRDefault="00E93F58" w:rsidP="003D2B1E">
            <w:pPr>
              <w:pStyle w:val="ENoteTableText"/>
            </w:pPr>
            <w:r w:rsidRPr="00576D60">
              <w:t>ad. 2001 No. 319</w:t>
            </w:r>
          </w:p>
        </w:tc>
      </w:tr>
      <w:tr w:rsidR="00E93F58" w:rsidRPr="00576D60" w14:paraId="0D2A0601" w14:textId="77777777" w:rsidTr="002F32E3">
        <w:trPr>
          <w:cantSplit/>
        </w:trPr>
        <w:tc>
          <w:tcPr>
            <w:tcW w:w="1500" w:type="pct"/>
            <w:shd w:val="clear" w:color="auto" w:fill="auto"/>
          </w:tcPr>
          <w:p w14:paraId="17078CA1" w14:textId="77777777" w:rsidR="00E93F58" w:rsidRPr="00576D60" w:rsidRDefault="00E93F58" w:rsidP="003D2B1E">
            <w:pPr>
              <w:pStyle w:val="ENoteTableText"/>
              <w:tabs>
                <w:tab w:val="left" w:leader="dot" w:pos="2268"/>
              </w:tabs>
            </w:pPr>
            <w:r w:rsidRPr="00576D60">
              <w:t>r. 10.2.112</w:t>
            </w:r>
            <w:r w:rsidRPr="00576D60">
              <w:tab/>
            </w:r>
          </w:p>
        </w:tc>
        <w:tc>
          <w:tcPr>
            <w:tcW w:w="3500" w:type="pct"/>
            <w:shd w:val="clear" w:color="auto" w:fill="auto"/>
          </w:tcPr>
          <w:p w14:paraId="17AAC3E6" w14:textId="77777777" w:rsidR="00E93F58" w:rsidRPr="00576D60" w:rsidRDefault="00E93F58" w:rsidP="003D2B1E">
            <w:pPr>
              <w:pStyle w:val="ENoteTableText"/>
            </w:pPr>
            <w:r w:rsidRPr="00576D60">
              <w:t>ad. 2001 No. 319</w:t>
            </w:r>
          </w:p>
        </w:tc>
      </w:tr>
      <w:tr w:rsidR="00E93F58" w:rsidRPr="00576D60" w14:paraId="24FA2081" w14:textId="77777777" w:rsidTr="002F32E3">
        <w:trPr>
          <w:cantSplit/>
        </w:trPr>
        <w:tc>
          <w:tcPr>
            <w:tcW w:w="1500" w:type="pct"/>
            <w:shd w:val="clear" w:color="auto" w:fill="auto"/>
          </w:tcPr>
          <w:p w14:paraId="203517BA" w14:textId="77777777" w:rsidR="00E93F58" w:rsidRPr="00576D60" w:rsidRDefault="00E93F58" w:rsidP="003D2B1E">
            <w:pPr>
              <w:pStyle w:val="ENoteTableText"/>
              <w:tabs>
                <w:tab w:val="left" w:leader="dot" w:pos="2268"/>
              </w:tabs>
            </w:pPr>
            <w:r w:rsidRPr="00576D60">
              <w:t>r. 10.2.113</w:t>
            </w:r>
            <w:r w:rsidRPr="00576D60">
              <w:tab/>
            </w:r>
          </w:p>
        </w:tc>
        <w:tc>
          <w:tcPr>
            <w:tcW w:w="3500" w:type="pct"/>
            <w:shd w:val="clear" w:color="auto" w:fill="auto"/>
          </w:tcPr>
          <w:p w14:paraId="2FDBF95D" w14:textId="77777777" w:rsidR="00E93F58" w:rsidRPr="00576D60" w:rsidRDefault="00E93F58" w:rsidP="003D2B1E">
            <w:pPr>
              <w:pStyle w:val="ENoteTableText"/>
            </w:pPr>
            <w:r w:rsidRPr="00576D60">
              <w:t>ad. 2001 No. 319</w:t>
            </w:r>
          </w:p>
        </w:tc>
      </w:tr>
      <w:tr w:rsidR="00E93F58" w:rsidRPr="00576D60" w14:paraId="00078338" w14:textId="77777777" w:rsidTr="002F32E3">
        <w:trPr>
          <w:cantSplit/>
        </w:trPr>
        <w:tc>
          <w:tcPr>
            <w:tcW w:w="1500" w:type="pct"/>
            <w:shd w:val="clear" w:color="auto" w:fill="auto"/>
          </w:tcPr>
          <w:p w14:paraId="2ABDC5CA" w14:textId="77777777" w:rsidR="00E93F58" w:rsidRPr="00576D60" w:rsidRDefault="00E93F58" w:rsidP="003D2B1E">
            <w:pPr>
              <w:pStyle w:val="ENoteTableText"/>
              <w:tabs>
                <w:tab w:val="left" w:leader="dot" w:pos="2268"/>
              </w:tabs>
            </w:pPr>
            <w:r w:rsidRPr="00576D60">
              <w:t>r. 10.2.114</w:t>
            </w:r>
            <w:r w:rsidRPr="00576D60">
              <w:tab/>
            </w:r>
          </w:p>
        </w:tc>
        <w:tc>
          <w:tcPr>
            <w:tcW w:w="3500" w:type="pct"/>
            <w:shd w:val="clear" w:color="auto" w:fill="auto"/>
          </w:tcPr>
          <w:p w14:paraId="4D599074" w14:textId="77777777" w:rsidR="00E93F58" w:rsidRPr="00576D60" w:rsidRDefault="00E93F58" w:rsidP="003D2B1E">
            <w:pPr>
              <w:pStyle w:val="ENoteTableText"/>
            </w:pPr>
            <w:r w:rsidRPr="00576D60">
              <w:t>ad. 2001 No. 319</w:t>
            </w:r>
          </w:p>
        </w:tc>
      </w:tr>
      <w:tr w:rsidR="00E93F58" w:rsidRPr="00576D60" w14:paraId="5DAF756A" w14:textId="77777777" w:rsidTr="002F32E3">
        <w:trPr>
          <w:cantSplit/>
        </w:trPr>
        <w:tc>
          <w:tcPr>
            <w:tcW w:w="1500" w:type="pct"/>
            <w:shd w:val="clear" w:color="auto" w:fill="auto"/>
          </w:tcPr>
          <w:p w14:paraId="3B419CFD" w14:textId="77777777" w:rsidR="00E93F58" w:rsidRPr="00576D60" w:rsidRDefault="00E93F58" w:rsidP="003D2B1E">
            <w:pPr>
              <w:pStyle w:val="ENoteTableText"/>
              <w:tabs>
                <w:tab w:val="left" w:leader="dot" w:pos="2268"/>
              </w:tabs>
            </w:pPr>
            <w:r w:rsidRPr="00576D60">
              <w:t>r. 10.2.115</w:t>
            </w:r>
            <w:r w:rsidRPr="00576D60">
              <w:tab/>
            </w:r>
          </w:p>
        </w:tc>
        <w:tc>
          <w:tcPr>
            <w:tcW w:w="3500" w:type="pct"/>
            <w:shd w:val="clear" w:color="auto" w:fill="auto"/>
          </w:tcPr>
          <w:p w14:paraId="5F305EBE" w14:textId="77777777" w:rsidR="00E93F58" w:rsidRPr="00576D60" w:rsidRDefault="00E93F58" w:rsidP="003D2B1E">
            <w:pPr>
              <w:pStyle w:val="ENoteTableText"/>
            </w:pPr>
            <w:r w:rsidRPr="00576D60">
              <w:t>ad. 2001 No. 319</w:t>
            </w:r>
          </w:p>
        </w:tc>
      </w:tr>
      <w:tr w:rsidR="00E93F58" w:rsidRPr="00576D60" w14:paraId="2377D697" w14:textId="77777777" w:rsidTr="002F32E3">
        <w:trPr>
          <w:cantSplit/>
        </w:trPr>
        <w:tc>
          <w:tcPr>
            <w:tcW w:w="1500" w:type="pct"/>
            <w:shd w:val="clear" w:color="auto" w:fill="auto"/>
          </w:tcPr>
          <w:p w14:paraId="2F384DE8" w14:textId="77777777" w:rsidR="00E93F58" w:rsidRPr="00576D60" w:rsidRDefault="00E93F58" w:rsidP="003D2B1E">
            <w:pPr>
              <w:pStyle w:val="ENoteTableText"/>
              <w:keepNext/>
              <w:keepLines/>
              <w:tabs>
                <w:tab w:val="left" w:leader="dot" w:pos="2268"/>
              </w:tabs>
              <w:rPr>
                <w:b/>
              </w:rPr>
            </w:pPr>
            <w:r>
              <w:rPr>
                <w:b/>
              </w:rPr>
              <w:t>Division 2</w:t>
            </w:r>
            <w:r w:rsidRPr="00576D60">
              <w:rPr>
                <w:b/>
              </w:rPr>
              <w:t>2</w:t>
            </w:r>
          </w:p>
        </w:tc>
        <w:tc>
          <w:tcPr>
            <w:tcW w:w="3500" w:type="pct"/>
            <w:shd w:val="clear" w:color="auto" w:fill="auto"/>
          </w:tcPr>
          <w:p w14:paraId="1E11946D" w14:textId="77777777" w:rsidR="00E93F58" w:rsidRPr="00576D60" w:rsidRDefault="00E93F58" w:rsidP="003D2B1E">
            <w:pPr>
              <w:pStyle w:val="ENoteTableText"/>
            </w:pPr>
          </w:p>
        </w:tc>
      </w:tr>
      <w:tr w:rsidR="00E93F58" w:rsidRPr="00576D60" w14:paraId="2D3FDEB9" w14:textId="77777777" w:rsidTr="002F32E3">
        <w:trPr>
          <w:cantSplit/>
        </w:trPr>
        <w:tc>
          <w:tcPr>
            <w:tcW w:w="1500" w:type="pct"/>
            <w:shd w:val="clear" w:color="auto" w:fill="auto"/>
          </w:tcPr>
          <w:p w14:paraId="47703326" w14:textId="77777777" w:rsidR="00E93F58" w:rsidRPr="00576D60" w:rsidRDefault="00E93F58" w:rsidP="003D2B1E">
            <w:pPr>
              <w:pStyle w:val="ENoteTableText"/>
              <w:tabs>
                <w:tab w:val="left" w:leader="dot" w:pos="2268"/>
              </w:tabs>
            </w:pPr>
            <w:r w:rsidRPr="00576D60">
              <w:t>r. 10.2.116</w:t>
            </w:r>
            <w:r w:rsidRPr="00576D60">
              <w:tab/>
            </w:r>
          </w:p>
        </w:tc>
        <w:tc>
          <w:tcPr>
            <w:tcW w:w="3500" w:type="pct"/>
            <w:shd w:val="clear" w:color="auto" w:fill="auto"/>
          </w:tcPr>
          <w:p w14:paraId="36671FE8" w14:textId="77777777" w:rsidR="00E93F58" w:rsidRPr="00576D60" w:rsidRDefault="00E93F58" w:rsidP="003D2B1E">
            <w:pPr>
              <w:pStyle w:val="ENoteTableText"/>
            </w:pPr>
            <w:r w:rsidRPr="00576D60">
              <w:t>ad. 2001 No. 319</w:t>
            </w:r>
          </w:p>
        </w:tc>
      </w:tr>
      <w:tr w:rsidR="00E93F58" w:rsidRPr="00576D60" w14:paraId="374FD2B8" w14:textId="77777777" w:rsidTr="002F32E3">
        <w:trPr>
          <w:cantSplit/>
        </w:trPr>
        <w:tc>
          <w:tcPr>
            <w:tcW w:w="1500" w:type="pct"/>
            <w:shd w:val="clear" w:color="auto" w:fill="auto"/>
          </w:tcPr>
          <w:p w14:paraId="06503813" w14:textId="77777777" w:rsidR="00E93F58" w:rsidRPr="00576D60" w:rsidRDefault="00E93F58" w:rsidP="003D2B1E">
            <w:pPr>
              <w:pStyle w:val="ENoteTableText"/>
              <w:tabs>
                <w:tab w:val="left" w:leader="dot" w:pos="2268"/>
              </w:tabs>
            </w:pPr>
            <w:r w:rsidRPr="00576D60">
              <w:t>r. 10.2.117</w:t>
            </w:r>
            <w:r w:rsidRPr="00576D60">
              <w:tab/>
            </w:r>
          </w:p>
        </w:tc>
        <w:tc>
          <w:tcPr>
            <w:tcW w:w="3500" w:type="pct"/>
            <w:shd w:val="clear" w:color="auto" w:fill="auto"/>
          </w:tcPr>
          <w:p w14:paraId="4E83F4B6" w14:textId="77777777" w:rsidR="00E93F58" w:rsidRPr="00576D60" w:rsidRDefault="00E93F58" w:rsidP="003D2B1E">
            <w:pPr>
              <w:pStyle w:val="ENoteTableText"/>
            </w:pPr>
            <w:r w:rsidRPr="00576D60">
              <w:t>ad. 2001 No. 319</w:t>
            </w:r>
          </w:p>
        </w:tc>
      </w:tr>
      <w:tr w:rsidR="00E93F58" w:rsidRPr="00576D60" w14:paraId="447C2F55" w14:textId="77777777" w:rsidTr="002F32E3">
        <w:trPr>
          <w:cantSplit/>
        </w:trPr>
        <w:tc>
          <w:tcPr>
            <w:tcW w:w="1500" w:type="pct"/>
            <w:shd w:val="clear" w:color="auto" w:fill="auto"/>
          </w:tcPr>
          <w:p w14:paraId="0C53A634" w14:textId="77777777" w:rsidR="00E93F58" w:rsidRPr="00576D60" w:rsidRDefault="00E93F58" w:rsidP="003D2B1E">
            <w:pPr>
              <w:pStyle w:val="ENoteTableText"/>
              <w:tabs>
                <w:tab w:val="left" w:leader="dot" w:pos="2268"/>
              </w:tabs>
              <w:rPr>
                <w:b/>
              </w:rPr>
            </w:pPr>
            <w:r>
              <w:rPr>
                <w:b/>
              </w:rPr>
              <w:t>Division 2</w:t>
            </w:r>
            <w:r w:rsidRPr="00576D60">
              <w:rPr>
                <w:b/>
              </w:rPr>
              <w:t>3</w:t>
            </w:r>
          </w:p>
        </w:tc>
        <w:tc>
          <w:tcPr>
            <w:tcW w:w="3500" w:type="pct"/>
            <w:shd w:val="clear" w:color="auto" w:fill="auto"/>
          </w:tcPr>
          <w:p w14:paraId="001BC5B4" w14:textId="77777777" w:rsidR="00E93F58" w:rsidRPr="00576D60" w:rsidRDefault="00E93F58" w:rsidP="003D2B1E">
            <w:pPr>
              <w:pStyle w:val="ENoteTableText"/>
            </w:pPr>
          </w:p>
        </w:tc>
      </w:tr>
      <w:tr w:rsidR="00E93F58" w:rsidRPr="00576D60" w14:paraId="253D00D9" w14:textId="77777777" w:rsidTr="002F32E3">
        <w:trPr>
          <w:cantSplit/>
        </w:trPr>
        <w:tc>
          <w:tcPr>
            <w:tcW w:w="1500" w:type="pct"/>
            <w:shd w:val="clear" w:color="auto" w:fill="auto"/>
          </w:tcPr>
          <w:p w14:paraId="6B309869" w14:textId="77777777" w:rsidR="00E93F58" w:rsidRPr="00576D60" w:rsidRDefault="00E93F58" w:rsidP="003D2B1E">
            <w:pPr>
              <w:pStyle w:val="ENoteTableText"/>
              <w:tabs>
                <w:tab w:val="left" w:leader="dot" w:pos="2268"/>
              </w:tabs>
            </w:pPr>
            <w:r w:rsidRPr="00576D60">
              <w:t>r. 10.2.118</w:t>
            </w:r>
            <w:r w:rsidRPr="00576D60">
              <w:tab/>
            </w:r>
          </w:p>
        </w:tc>
        <w:tc>
          <w:tcPr>
            <w:tcW w:w="3500" w:type="pct"/>
            <w:shd w:val="clear" w:color="auto" w:fill="auto"/>
          </w:tcPr>
          <w:p w14:paraId="4253D5C7" w14:textId="77777777" w:rsidR="00E93F58" w:rsidRPr="00576D60" w:rsidRDefault="00E93F58" w:rsidP="003D2B1E">
            <w:pPr>
              <w:pStyle w:val="ENoteTableText"/>
            </w:pPr>
            <w:r w:rsidRPr="00576D60">
              <w:t>ad. 2001 No. 319</w:t>
            </w:r>
          </w:p>
        </w:tc>
      </w:tr>
      <w:tr w:rsidR="00E93F58" w:rsidRPr="00576D60" w14:paraId="10C3AC04" w14:textId="77777777" w:rsidTr="002F32E3">
        <w:trPr>
          <w:cantSplit/>
        </w:trPr>
        <w:tc>
          <w:tcPr>
            <w:tcW w:w="1500" w:type="pct"/>
            <w:shd w:val="clear" w:color="auto" w:fill="auto"/>
          </w:tcPr>
          <w:p w14:paraId="3056383C" w14:textId="77777777" w:rsidR="00E93F58" w:rsidRPr="00576D60" w:rsidRDefault="00E93F58" w:rsidP="003D2B1E">
            <w:pPr>
              <w:pStyle w:val="ENoteTableText"/>
              <w:tabs>
                <w:tab w:val="left" w:leader="dot" w:pos="2268"/>
              </w:tabs>
              <w:rPr>
                <w:b/>
              </w:rPr>
            </w:pPr>
            <w:r>
              <w:rPr>
                <w:b/>
              </w:rPr>
              <w:t>Division 2</w:t>
            </w:r>
            <w:r w:rsidRPr="00576D60">
              <w:rPr>
                <w:b/>
              </w:rPr>
              <w:t>4</w:t>
            </w:r>
          </w:p>
        </w:tc>
        <w:tc>
          <w:tcPr>
            <w:tcW w:w="3500" w:type="pct"/>
            <w:shd w:val="clear" w:color="auto" w:fill="auto"/>
          </w:tcPr>
          <w:p w14:paraId="76B8207F" w14:textId="77777777" w:rsidR="00E93F58" w:rsidRPr="00576D60" w:rsidRDefault="00E93F58" w:rsidP="003D2B1E">
            <w:pPr>
              <w:pStyle w:val="ENoteTableText"/>
            </w:pPr>
          </w:p>
        </w:tc>
      </w:tr>
      <w:tr w:rsidR="00E93F58" w:rsidRPr="00576D60" w14:paraId="7AD3D73B" w14:textId="77777777" w:rsidTr="002F32E3">
        <w:trPr>
          <w:cantSplit/>
        </w:trPr>
        <w:tc>
          <w:tcPr>
            <w:tcW w:w="1500" w:type="pct"/>
            <w:shd w:val="clear" w:color="auto" w:fill="auto"/>
          </w:tcPr>
          <w:p w14:paraId="3DAABCF1" w14:textId="77777777" w:rsidR="00E93F58" w:rsidRPr="00576D60" w:rsidRDefault="00E93F58" w:rsidP="003D2B1E">
            <w:pPr>
              <w:pStyle w:val="ENoteTableText"/>
              <w:tabs>
                <w:tab w:val="left" w:leader="dot" w:pos="2268"/>
              </w:tabs>
            </w:pPr>
            <w:r w:rsidRPr="00576D60">
              <w:t>r. 10.2.119</w:t>
            </w:r>
            <w:r w:rsidRPr="00576D60">
              <w:tab/>
            </w:r>
          </w:p>
        </w:tc>
        <w:tc>
          <w:tcPr>
            <w:tcW w:w="3500" w:type="pct"/>
            <w:shd w:val="clear" w:color="auto" w:fill="auto"/>
          </w:tcPr>
          <w:p w14:paraId="5A1F38D3" w14:textId="77777777" w:rsidR="00E93F58" w:rsidRPr="00576D60" w:rsidRDefault="00E93F58" w:rsidP="003D2B1E">
            <w:pPr>
              <w:pStyle w:val="ENoteTableText"/>
            </w:pPr>
            <w:r w:rsidRPr="00576D60">
              <w:t>ad. 2001 No. 319</w:t>
            </w:r>
          </w:p>
        </w:tc>
      </w:tr>
      <w:tr w:rsidR="00E93F58" w:rsidRPr="00576D60" w14:paraId="1FE0F050" w14:textId="77777777" w:rsidTr="002F32E3">
        <w:trPr>
          <w:cantSplit/>
        </w:trPr>
        <w:tc>
          <w:tcPr>
            <w:tcW w:w="1500" w:type="pct"/>
            <w:shd w:val="clear" w:color="auto" w:fill="auto"/>
          </w:tcPr>
          <w:p w14:paraId="2BF4F7CF" w14:textId="77777777" w:rsidR="00E93F58" w:rsidRPr="00576D60" w:rsidRDefault="00E93F58" w:rsidP="00847CAA">
            <w:pPr>
              <w:pStyle w:val="ENoteTableText"/>
              <w:keepNext/>
              <w:tabs>
                <w:tab w:val="left" w:leader="dot" w:pos="2268"/>
              </w:tabs>
              <w:rPr>
                <w:b/>
              </w:rPr>
            </w:pPr>
            <w:r>
              <w:rPr>
                <w:b/>
              </w:rPr>
              <w:t>Division 2</w:t>
            </w:r>
            <w:r w:rsidRPr="00576D60">
              <w:rPr>
                <w:b/>
              </w:rPr>
              <w:t>4A</w:t>
            </w:r>
          </w:p>
        </w:tc>
        <w:tc>
          <w:tcPr>
            <w:tcW w:w="3500" w:type="pct"/>
            <w:shd w:val="clear" w:color="auto" w:fill="auto"/>
          </w:tcPr>
          <w:p w14:paraId="6FD37FF6" w14:textId="77777777" w:rsidR="00E93F58" w:rsidRPr="00576D60" w:rsidRDefault="00E93F58" w:rsidP="00847CAA">
            <w:pPr>
              <w:pStyle w:val="ENoteTableText"/>
              <w:keepNext/>
              <w:keepLines/>
            </w:pPr>
          </w:p>
        </w:tc>
      </w:tr>
      <w:tr w:rsidR="00E93F58" w:rsidRPr="00576D60" w14:paraId="1F37263C" w14:textId="77777777" w:rsidTr="002F32E3">
        <w:trPr>
          <w:cantSplit/>
        </w:trPr>
        <w:tc>
          <w:tcPr>
            <w:tcW w:w="1500" w:type="pct"/>
            <w:shd w:val="clear" w:color="auto" w:fill="auto"/>
          </w:tcPr>
          <w:p w14:paraId="136FEEED" w14:textId="77777777" w:rsidR="00E93F58" w:rsidRPr="00576D60" w:rsidRDefault="00E93F58" w:rsidP="003D2B1E">
            <w:pPr>
              <w:pStyle w:val="ENoteTableText"/>
              <w:tabs>
                <w:tab w:val="left" w:leader="dot" w:pos="2268"/>
              </w:tabs>
            </w:pPr>
            <w:r>
              <w:t>Division 2</w:t>
            </w:r>
            <w:r w:rsidRPr="00576D60">
              <w:t>4A</w:t>
            </w:r>
            <w:r w:rsidRPr="00576D60">
              <w:tab/>
            </w:r>
          </w:p>
        </w:tc>
        <w:tc>
          <w:tcPr>
            <w:tcW w:w="3500" w:type="pct"/>
            <w:shd w:val="clear" w:color="auto" w:fill="auto"/>
          </w:tcPr>
          <w:p w14:paraId="482DC6F9" w14:textId="77777777" w:rsidR="00E93F58" w:rsidRPr="00576D60" w:rsidRDefault="00E93F58" w:rsidP="003D2B1E">
            <w:pPr>
              <w:pStyle w:val="ENoteTableText"/>
            </w:pPr>
            <w:r w:rsidRPr="00576D60">
              <w:t>ad. 2002 No. 16</w:t>
            </w:r>
          </w:p>
        </w:tc>
      </w:tr>
      <w:tr w:rsidR="00E93F58" w:rsidRPr="00576D60" w14:paraId="79525ACC" w14:textId="77777777" w:rsidTr="002F32E3">
        <w:trPr>
          <w:cantSplit/>
        </w:trPr>
        <w:tc>
          <w:tcPr>
            <w:tcW w:w="1500" w:type="pct"/>
            <w:shd w:val="clear" w:color="auto" w:fill="auto"/>
          </w:tcPr>
          <w:p w14:paraId="21C2953B" w14:textId="77777777" w:rsidR="00E93F58" w:rsidRPr="00576D60" w:rsidRDefault="00E93F58" w:rsidP="003D2B1E">
            <w:pPr>
              <w:pStyle w:val="ENoteTableText"/>
              <w:tabs>
                <w:tab w:val="left" w:leader="dot" w:pos="2268"/>
              </w:tabs>
            </w:pPr>
            <w:r w:rsidRPr="00576D60">
              <w:t>r. 10.2.119A</w:t>
            </w:r>
            <w:r w:rsidRPr="00576D60">
              <w:tab/>
            </w:r>
          </w:p>
        </w:tc>
        <w:tc>
          <w:tcPr>
            <w:tcW w:w="3500" w:type="pct"/>
            <w:shd w:val="clear" w:color="auto" w:fill="auto"/>
          </w:tcPr>
          <w:p w14:paraId="40E3AC36" w14:textId="77777777" w:rsidR="00E93F58" w:rsidRPr="00576D60" w:rsidRDefault="00E93F58" w:rsidP="003D2B1E">
            <w:pPr>
              <w:pStyle w:val="ENoteTableText"/>
            </w:pPr>
            <w:r w:rsidRPr="00576D60">
              <w:t>ad. 2002 No. 16</w:t>
            </w:r>
          </w:p>
        </w:tc>
      </w:tr>
      <w:tr w:rsidR="00E93F58" w:rsidRPr="00576D60" w14:paraId="1884A445" w14:textId="77777777" w:rsidTr="002F32E3">
        <w:trPr>
          <w:cantSplit/>
        </w:trPr>
        <w:tc>
          <w:tcPr>
            <w:tcW w:w="1500" w:type="pct"/>
            <w:shd w:val="clear" w:color="auto" w:fill="auto"/>
          </w:tcPr>
          <w:p w14:paraId="67723360" w14:textId="77777777" w:rsidR="00E93F58" w:rsidRPr="00576D60" w:rsidRDefault="00E93F58" w:rsidP="003D2B1E">
            <w:pPr>
              <w:pStyle w:val="ENoteTableText"/>
              <w:tabs>
                <w:tab w:val="left" w:leader="dot" w:pos="2268"/>
              </w:tabs>
            </w:pPr>
            <w:r w:rsidRPr="00576D60">
              <w:t>r. 10.2.119B</w:t>
            </w:r>
            <w:r w:rsidRPr="00576D60">
              <w:tab/>
            </w:r>
          </w:p>
        </w:tc>
        <w:tc>
          <w:tcPr>
            <w:tcW w:w="3500" w:type="pct"/>
            <w:shd w:val="clear" w:color="auto" w:fill="auto"/>
          </w:tcPr>
          <w:p w14:paraId="2329E00A" w14:textId="77777777" w:rsidR="00E93F58" w:rsidRPr="00576D60" w:rsidRDefault="00E93F58" w:rsidP="003D2B1E">
            <w:pPr>
              <w:pStyle w:val="ENoteTableText"/>
            </w:pPr>
            <w:r w:rsidRPr="00576D60">
              <w:t>ad. 2002 No. 41</w:t>
            </w:r>
          </w:p>
        </w:tc>
      </w:tr>
      <w:tr w:rsidR="00E93F58" w:rsidRPr="00576D60" w14:paraId="6709B994" w14:textId="77777777" w:rsidTr="002F32E3">
        <w:trPr>
          <w:cantSplit/>
        </w:trPr>
        <w:tc>
          <w:tcPr>
            <w:tcW w:w="1500" w:type="pct"/>
            <w:shd w:val="clear" w:color="auto" w:fill="auto"/>
          </w:tcPr>
          <w:p w14:paraId="339EAD3B" w14:textId="77777777" w:rsidR="00E93F58" w:rsidRPr="00576D60" w:rsidRDefault="00E93F58" w:rsidP="003D2B1E">
            <w:pPr>
              <w:pStyle w:val="ENoteTableText"/>
              <w:tabs>
                <w:tab w:val="left" w:leader="dot" w:pos="2268"/>
              </w:tabs>
            </w:pPr>
            <w:r w:rsidRPr="00576D60">
              <w:t>r. 10.2.119C</w:t>
            </w:r>
            <w:r w:rsidRPr="00576D60">
              <w:tab/>
            </w:r>
          </w:p>
        </w:tc>
        <w:tc>
          <w:tcPr>
            <w:tcW w:w="3500" w:type="pct"/>
            <w:shd w:val="clear" w:color="auto" w:fill="auto"/>
          </w:tcPr>
          <w:p w14:paraId="696872D1" w14:textId="77777777" w:rsidR="00E93F58" w:rsidRPr="00576D60" w:rsidRDefault="00E93F58" w:rsidP="003D2B1E">
            <w:pPr>
              <w:pStyle w:val="ENoteTableText"/>
            </w:pPr>
            <w:r w:rsidRPr="00576D60">
              <w:t>ad. 2002 No. 41</w:t>
            </w:r>
          </w:p>
        </w:tc>
      </w:tr>
      <w:tr w:rsidR="00E93F58" w:rsidRPr="00576D60" w14:paraId="1F68096E" w14:textId="77777777" w:rsidTr="002F32E3">
        <w:trPr>
          <w:cantSplit/>
        </w:trPr>
        <w:tc>
          <w:tcPr>
            <w:tcW w:w="1500" w:type="pct"/>
            <w:shd w:val="clear" w:color="auto" w:fill="auto"/>
          </w:tcPr>
          <w:p w14:paraId="7B21540E" w14:textId="77777777" w:rsidR="00E93F58" w:rsidRPr="00576D60" w:rsidRDefault="00E93F58" w:rsidP="003D2B1E">
            <w:pPr>
              <w:pStyle w:val="ENoteTableText"/>
              <w:tabs>
                <w:tab w:val="left" w:leader="dot" w:pos="2268"/>
              </w:tabs>
              <w:rPr>
                <w:b/>
              </w:rPr>
            </w:pPr>
            <w:r>
              <w:rPr>
                <w:b/>
              </w:rPr>
              <w:t>Division 2</w:t>
            </w:r>
            <w:r w:rsidRPr="00576D60">
              <w:rPr>
                <w:b/>
              </w:rPr>
              <w:t>5</w:t>
            </w:r>
          </w:p>
        </w:tc>
        <w:tc>
          <w:tcPr>
            <w:tcW w:w="3500" w:type="pct"/>
            <w:shd w:val="clear" w:color="auto" w:fill="auto"/>
          </w:tcPr>
          <w:p w14:paraId="48A28F80" w14:textId="77777777" w:rsidR="00E93F58" w:rsidRPr="00576D60" w:rsidRDefault="00E93F58" w:rsidP="003D2B1E">
            <w:pPr>
              <w:pStyle w:val="ENoteTableText"/>
            </w:pPr>
          </w:p>
        </w:tc>
      </w:tr>
      <w:tr w:rsidR="00E93F58" w:rsidRPr="00576D60" w14:paraId="5851027E" w14:textId="77777777" w:rsidTr="002F32E3">
        <w:trPr>
          <w:cantSplit/>
        </w:trPr>
        <w:tc>
          <w:tcPr>
            <w:tcW w:w="1500" w:type="pct"/>
            <w:shd w:val="clear" w:color="auto" w:fill="auto"/>
          </w:tcPr>
          <w:p w14:paraId="753E71F6" w14:textId="77777777" w:rsidR="00E93F58" w:rsidRPr="00576D60" w:rsidRDefault="00E93F58" w:rsidP="003D2B1E">
            <w:pPr>
              <w:pStyle w:val="ENoteTableText"/>
              <w:tabs>
                <w:tab w:val="left" w:leader="dot" w:pos="2268"/>
              </w:tabs>
            </w:pPr>
            <w:r>
              <w:t>Division 2</w:t>
            </w:r>
            <w:r w:rsidRPr="00576D60">
              <w:t>5</w:t>
            </w:r>
            <w:r w:rsidRPr="00576D60">
              <w:tab/>
            </w:r>
          </w:p>
        </w:tc>
        <w:tc>
          <w:tcPr>
            <w:tcW w:w="3500" w:type="pct"/>
            <w:shd w:val="clear" w:color="auto" w:fill="auto"/>
          </w:tcPr>
          <w:p w14:paraId="77A6E2A0" w14:textId="77777777" w:rsidR="00E93F58" w:rsidRPr="00576D60" w:rsidRDefault="00E93F58" w:rsidP="003D2B1E">
            <w:pPr>
              <w:pStyle w:val="ENoteTableText"/>
            </w:pPr>
            <w:r w:rsidRPr="00576D60">
              <w:t>ad. 2001 No. 319</w:t>
            </w:r>
          </w:p>
        </w:tc>
      </w:tr>
      <w:tr w:rsidR="00E93F58" w:rsidRPr="00576D60" w14:paraId="76341ADF" w14:textId="77777777" w:rsidTr="002F32E3">
        <w:trPr>
          <w:cantSplit/>
        </w:trPr>
        <w:tc>
          <w:tcPr>
            <w:tcW w:w="1500" w:type="pct"/>
            <w:shd w:val="clear" w:color="auto" w:fill="auto"/>
          </w:tcPr>
          <w:p w14:paraId="36D98B0B" w14:textId="77777777" w:rsidR="00E93F58" w:rsidRPr="00576D60" w:rsidRDefault="00E93F58" w:rsidP="003D2B1E">
            <w:pPr>
              <w:pStyle w:val="ENoteTableText"/>
              <w:tabs>
                <w:tab w:val="left" w:leader="dot" w:pos="2268"/>
              </w:tabs>
            </w:pPr>
            <w:r w:rsidRPr="00576D60">
              <w:t>r. 10.2.120</w:t>
            </w:r>
            <w:r w:rsidRPr="00576D60">
              <w:tab/>
            </w:r>
          </w:p>
        </w:tc>
        <w:tc>
          <w:tcPr>
            <w:tcW w:w="3500" w:type="pct"/>
            <w:shd w:val="clear" w:color="auto" w:fill="auto"/>
          </w:tcPr>
          <w:p w14:paraId="52B7F4B8" w14:textId="77777777" w:rsidR="00E93F58" w:rsidRPr="00576D60" w:rsidRDefault="00E93F58" w:rsidP="003D2B1E">
            <w:pPr>
              <w:pStyle w:val="ENoteTableText"/>
            </w:pPr>
            <w:r w:rsidRPr="00576D60">
              <w:t>ad. 2001 No. 319</w:t>
            </w:r>
          </w:p>
        </w:tc>
      </w:tr>
      <w:tr w:rsidR="00E93F58" w:rsidRPr="00576D60" w14:paraId="0707A257" w14:textId="77777777" w:rsidTr="002F32E3">
        <w:trPr>
          <w:cantSplit/>
        </w:trPr>
        <w:tc>
          <w:tcPr>
            <w:tcW w:w="1500" w:type="pct"/>
            <w:shd w:val="clear" w:color="auto" w:fill="auto"/>
          </w:tcPr>
          <w:p w14:paraId="47F7C9A8" w14:textId="77777777" w:rsidR="00E93F58" w:rsidRPr="00576D60" w:rsidRDefault="00E93F58" w:rsidP="003D2B1E">
            <w:pPr>
              <w:pStyle w:val="ENoteTableText"/>
              <w:tabs>
                <w:tab w:val="left" w:leader="dot" w:pos="2268"/>
              </w:tabs>
              <w:rPr>
                <w:b/>
              </w:rPr>
            </w:pPr>
            <w:r>
              <w:rPr>
                <w:b/>
              </w:rPr>
              <w:t>Division 2</w:t>
            </w:r>
            <w:r w:rsidRPr="00576D60">
              <w:rPr>
                <w:b/>
              </w:rPr>
              <w:t>5A</w:t>
            </w:r>
          </w:p>
        </w:tc>
        <w:tc>
          <w:tcPr>
            <w:tcW w:w="3500" w:type="pct"/>
            <w:shd w:val="clear" w:color="auto" w:fill="auto"/>
          </w:tcPr>
          <w:p w14:paraId="08001A8F" w14:textId="77777777" w:rsidR="00E93F58" w:rsidRPr="00576D60" w:rsidRDefault="00E93F58" w:rsidP="003D2B1E">
            <w:pPr>
              <w:pStyle w:val="ENoteTableText"/>
            </w:pPr>
          </w:p>
        </w:tc>
      </w:tr>
      <w:tr w:rsidR="00E93F58" w:rsidRPr="00576D60" w14:paraId="13A99D15" w14:textId="77777777" w:rsidTr="002F32E3">
        <w:trPr>
          <w:cantSplit/>
        </w:trPr>
        <w:tc>
          <w:tcPr>
            <w:tcW w:w="1500" w:type="pct"/>
            <w:shd w:val="clear" w:color="auto" w:fill="auto"/>
          </w:tcPr>
          <w:p w14:paraId="4AEB9489" w14:textId="77777777" w:rsidR="00E93F58" w:rsidRPr="00576D60" w:rsidRDefault="00E93F58" w:rsidP="003D2B1E">
            <w:pPr>
              <w:pStyle w:val="ENoteTableText"/>
              <w:tabs>
                <w:tab w:val="left" w:leader="dot" w:pos="2268"/>
              </w:tabs>
            </w:pPr>
            <w:r>
              <w:t>Division 2</w:t>
            </w:r>
            <w:r w:rsidRPr="00576D60">
              <w:t>5A</w:t>
            </w:r>
            <w:r w:rsidRPr="00576D60">
              <w:tab/>
            </w:r>
          </w:p>
        </w:tc>
        <w:tc>
          <w:tcPr>
            <w:tcW w:w="3500" w:type="pct"/>
            <w:shd w:val="clear" w:color="auto" w:fill="auto"/>
          </w:tcPr>
          <w:p w14:paraId="4AAE16B3" w14:textId="77777777" w:rsidR="00E93F58" w:rsidRPr="00576D60" w:rsidRDefault="00E93F58" w:rsidP="003D2B1E">
            <w:pPr>
              <w:pStyle w:val="ENoteTableText"/>
            </w:pPr>
            <w:r w:rsidRPr="00576D60">
              <w:t>ad. 2002 No. 16</w:t>
            </w:r>
          </w:p>
        </w:tc>
      </w:tr>
      <w:tr w:rsidR="00E93F58" w:rsidRPr="00576D60" w14:paraId="241B5CB4" w14:textId="77777777" w:rsidTr="002F32E3">
        <w:trPr>
          <w:cantSplit/>
        </w:trPr>
        <w:tc>
          <w:tcPr>
            <w:tcW w:w="1500" w:type="pct"/>
            <w:shd w:val="clear" w:color="auto" w:fill="auto"/>
          </w:tcPr>
          <w:p w14:paraId="6CFBF01D" w14:textId="77777777" w:rsidR="00E93F58" w:rsidRPr="00576D60" w:rsidRDefault="00E93F58" w:rsidP="003D2B1E">
            <w:pPr>
              <w:pStyle w:val="ENoteTableText"/>
              <w:tabs>
                <w:tab w:val="left" w:leader="dot" w:pos="2268"/>
              </w:tabs>
            </w:pPr>
            <w:r w:rsidRPr="00576D60">
              <w:t>r. 10.2.120A</w:t>
            </w:r>
            <w:r w:rsidRPr="00576D60">
              <w:tab/>
            </w:r>
          </w:p>
        </w:tc>
        <w:tc>
          <w:tcPr>
            <w:tcW w:w="3500" w:type="pct"/>
            <w:shd w:val="clear" w:color="auto" w:fill="auto"/>
          </w:tcPr>
          <w:p w14:paraId="18377F4D" w14:textId="77777777" w:rsidR="00E93F58" w:rsidRPr="00576D60" w:rsidRDefault="00E93F58" w:rsidP="003D2B1E">
            <w:pPr>
              <w:pStyle w:val="ENoteTableText"/>
            </w:pPr>
            <w:r w:rsidRPr="00576D60">
              <w:t>ad. 2002 No. 16</w:t>
            </w:r>
          </w:p>
        </w:tc>
      </w:tr>
      <w:tr w:rsidR="00E93F58" w:rsidRPr="00576D60" w14:paraId="2BF14BB6" w14:textId="77777777" w:rsidTr="002F32E3">
        <w:trPr>
          <w:cantSplit/>
        </w:trPr>
        <w:tc>
          <w:tcPr>
            <w:tcW w:w="1500" w:type="pct"/>
            <w:shd w:val="clear" w:color="auto" w:fill="auto"/>
          </w:tcPr>
          <w:p w14:paraId="48C033EA" w14:textId="77777777" w:rsidR="00E93F58" w:rsidRPr="00576D60" w:rsidRDefault="00E93F58" w:rsidP="003D2B1E">
            <w:pPr>
              <w:pStyle w:val="ENoteTableText"/>
              <w:tabs>
                <w:tab w:val="left" w:leader="dot" w:pos="2268"/>
              </w:tabs>
              <w:rPr>
                <w:b/>
              </w:rPr>
            </w:pPr>
            <w:r>
              <w:rPr>
                <w:b/>
              </w:rPr>
              <w:t>Division 2</w:t>
            </w:r>
            <w:r w:rsidRPr="00576D60">
              <w:rPr>
                <w:b/>
              </w:rPr>
              <w:t>5B</w:t>
            </w:r>
          </w:p>
        </w:tc>
        <w:tc>
          <w:tcPr>
            <w:tcW w:w="3500" w:type="pct"/>
            <w:shd w:val="clear" w:color="auto" w:fill="auto"/>
          </w:tcPr>
          <w:p w14:paraId="10947FA3" w14:textId="77777777" w:rsidR="00E93F58" w:rsidRPr="00576D60" w:rsidRDefault="00E93F58" w:rsidP="003D2B1E">
            <w:pPr>
              <w:pStyle w:val="ENoteTableText"/>
              <w:keepNext/>
              <w:keepLines/>
            </w:pPr>
          </w:p>
        </w:tc>
      </w:tr>
      <w:tr w:rsidR="00E93F58" w:rsidRPr="00576D60" w14:paraId="268E5BC1" w14:textId="77777777" w:rsidTr="002F32E3">
        <w:trPr>
          <w:cantSplit/>
        </w:trPr>
        <w:tc>
          <w:tcPr>
            <w:tcW w:w="1500" w:type="pct"/>
            <w:shd w:val="clear" w:color="auto" w:fill="auto"/>
          </w:tcPr>
          <w:p w14:paraId="62F24122" w14:textId="77777777" w:rsidR="00E93F58" w:rsidRPr="00576D60" w:rsidRDefault="00E93F58" w:rsidP="003D2B1E">
            <w:pPr>
              <w:pStyle w:val="ENoteTableText"/>
              <w:tabs>
                <w:tab w:val="left" w:leader="dot" w:pos="2268"/>
              </w:tabs>
            </w:pPr>
            <w:r>
              <w:t>Division 2</w:t>
            </w:r>
            <w:r w:rsidRPr="00576D60">
              <w:t>5B</w:t>
            </w:r>
            <w:r w:rsidRPr="00576D60">
              <w:tab/>
            </w:r>
          </w:p>
        </w:tc>
        <w:tc>
          <w:tcPr>
            <w:tcW w:w="3500" w:type="pct"/>
            <w:shd w:val="clear" w:color="auto" w:fill="auto"/>
          </w:tcPr>
          <w:p w14:paraId="02B9A227" w14:textId="77777777" w:rsidR="00E93F58" w:rsidRPr="00576D60" w:rsidRDefault="00E93F58" w:rsidP="003D2B1E">
            <w:pPr>
              <w:pStyle w:val="ENoteTableText"/>
            </w:pPr>
            <w:r w:rsidRPr="00576D60">
              <w:t>ad. 2002 No. 16</w:t>
            </w:r>
          </w:p>
        </w:tc>
      </w:tr>
      <w:tr w:rsidR="00E93F58" w:rsidRPr="00576D60" w14:paraId="29763D5B" w14:textId="77777777" w:rsidTr="002F32E3">
        <w:trPr>
          <w:cantSplit/>
        </w:trPr>
        <w:tc>
          <w:tcPr>
            <w:tcW w:w="1500" w:type="pct"/>
            <w:shd w:val="clear" w:color="auto" w:fill="auto"/>
          </w:tcPr>
          <w:p w14:paraId="3E62CDB0" w14:textId="77777777" w:rsidR="00E93F58" w:rsidRPr="00576D60" w:rsidRDefault="00E93F58" w:rsidP="003D2B1E">
            <w:pPr>
              <w:pStyle w:val="ENoteTableText"/>
              <w:tabs>
                <w:tab w:val="left" w:leader="dot" w:pos="2268"/>
              </w:tabs>
            </w:pPr>
            <w:r w:rsidRPr="00576D60">
              <w:t>r. 10.2.120B</w:t>
            </w:r>
            <w:r w:rsidRPr="00576D60">
              <w:tab/>
            </w:r>
          </w:p>
        </w:tc>
        <w:tc>
          <w:tcPr>
            <w:tcW w:w="3500" w:type="pct"/>
            <w:shd w:val="clear" w:color="auto" w:fill="auto"/>
          </w:tcPr>
          <w:p w14:paraId="6F79A9DC" w14:textId="77777777" w:rsidR="00E93F58" w:rsidRPr="00576D60" w:rsidRDefault="00E93F58" w:rsidP="003D2B1E">
            <w:pPr>
              <w:pStyle w:val="ENoteTableText"/>
            </w:pPr>
            <w:r w:rsidRPr="00576D60">
              <w:t>ad. 2002 No. 16</w:t>
            </w:r>
          </w:p>
        </w:tc>
      </w:tr>
      <w:tr w:rsidR="00E93F58" w:rsidRPr="00576D60" w14:paraId="577FA124" w14:textId="77777777" w:rsidTr="002F32E3">
        <w:trPr>
          <w:cantSplit/>
        </w:trPr>
        <w:tc>
          <w:tcPr>
            <w:tcW w:w="1500" w:type="pct"/>
            <w:shd w:val="clear" w:color="auto" w:fill="auto"/>
          </w:tcPr>
          <w:p w14:paraId="381C9D35" w14:textId="77777777" w:rsidR="00E93F58" w:rsidRPr="00576D60" w:rsidRDefault="00E93F58" w:rsidP="003D2B1E">
            <w:pPr>
              <w:pStyle w:val="ENoteTableText"/>
            </w:pPr>
          </w:p>
        </w:tc>
        <w:tc>
          <w:tcPr>
            <w:tcW w:w="3500" w:type="pct"/>
            <w:shd w:val="clear" w:color="auto" w:fill="auto"/>
          </w:tcPr>
          <w:p w14:paraId="3CC7C93B" w14:textId="77777777" w:rsidR="00E93F58" w:rsidRPr="00576D60" w:rsidRDefault="00E93F58" w:rsidP="003D2B1E">
            <w:pPr>
              <w:pStyle w:val="ENoteTableText"/>
            </w:pPr>
            <w:r w:rsidRPr="00576D60">
              <w:t>am. 2002 No. 41</w:t>
            </w:r>
          </w:p>
        </w:tc>
      </w:tr>
      <w:tr w:rsidR="00E93F58" w:rsidRPr="00576D60" w14:paraId="33B421CA" w14:textId="77777777" w:rsidTr="002F32E3">
        <w:trPr>
          <w:cantSplit/>
        </w:trPr>
        <w:tc>
          <w:tcPr>
            <w:tcW w:w="1500" w:type="pct"/>
            <w:shd w:val="clear" w:color="auto" w:fill="auto"/>
          </w:tcPr>
          <w:p w14:paraId="5655D192" w14:textId="77777777" w:rsidR="00E93F58" w:rsidRPr="00576D60" w:rsidRDefault="00E93F58" w:rsidP="003D2B1E">
            <w:pPr>
              <w:pStyle w:val="ENoteTableText"/>
              <w:rPr>
                <w:b/>
              </w:rPr>
            </w:pPr>
            <w:r>
              <w:rPr>
                <w:b/>
              </w:rPr>
              <w:t>Division 2</w:t>
            </w:r>
            <w:r w:rsidRPr="00576D60">
              <w:rPr>
                <w:b/>
              </w:rPr>
              <w:t>6</w:t>
            </w:r>
          </w:p>
        </w:tc>
        <w:tc>
          <w:tcPr>
            <w:tcW w:w="3500" w:type="pct"/>
            <w:shd w:val="clear" w:color="auto" w:fill="auto"/>
          </w:tcPr>
          <w:p w14:paraId="3555B2AB" w14:textId="77777777" w:rsidR="00E93F58" w:rsidRPr="00576D60" w:rsidRDefault="00E93F58" w:rsidP="003D2B1E">
            <w:pPr>
              <w:pStyle w:val="ENoteTableText"/>
            </w:pPr>
          </w:p>
        </w:tc>
      </w:tr>
      <w:tr w:rsidR="00E93F58" w:rsidRPr="00576D60" w14:paraId="60E70986" w14:textId="77777777" w:rsidTr="002F32E3">
        <w:trPr>
          <w:cantSplit/>
        </w:trPr>
        <w:tc>
          <w:tcPr>
            <w:tcW w:w="1500" w:type="pct"/>
            <w:shd w:val="clear" w:color="auto" w:fill="auto"/>
          </w:tcPr>
          <w:p w14:paraId="208109CB" w14:textId="77777777" w:rsidR="00E93F58" w:rsidRPr="00576D60" w:rsidRDefault="00E93F58" w:rsidP="003D2B1E">
            <w:pPr>
              <w:pStyle w:val="ENoteTableText"/>
              <w:tabs>
                <w:tab w:val="left" w:leader="dot" w:pos="2268"/>
              </w:tabs>
            </w:pPr>
            <w:r>
              <w:t>Division 2</w:t>
            </w:r>
            <w:r w:rsidRPr="00576D60">
              <w:t>6</w:t>
            </w:r>
            <w:r w:rsidRPr="00576D60">
              <w:tab/>
            </w:r>
          </w:p>
        </w:tc>
        <w:tc>
          <w:tcPr>
            <w:tcW w:w="3500" w:type="pct"/>
            <w:shd w:val="clear" w:color="auto" w:fill="auto"/>
          </w:tcPr>
          <w:p w14:paraId="11616832" w14:textId="77777777" w:rsidR="00E93F58" w:rsidRPr="00576D60" w:rsidRDefault="00E93F58" w:rsidP="003D2B1E">
            <w:pPr>
              <w:pStyle w:val="ENoteTableText"/>
            </w:pPr>
            <w:r w:rsidRPr="00576D60">
              <w:t>rep F2018L00515</w:t>
            </w:r>
          </w:p>
        </w:tc>
      </w:tr>
      <w:tr w:rsidR="00E93F58" w:rsidRPr="00576D60" w14:paraId="5B16A6CA" w14:textId="77777777" w:rsidTr="002F32E3">
        <w:trPr>
          <w:cantSplit/>
        </w:trPr>
        <w:tc>
          <w:tcPr>
            <w:tcW w:w="1500" w:type="pct"/>
            <w:shd w:val="clear" w:color="auto" w:fill="auto"/>
          </w:tcPr>
          <w:p w14:paraId="1A653ED6" w14:textId="77777777" w:rsidR="00E93F58" w:rsidRPr="00576D60" w:rsidRDefault="00E93F58" w:rsidP="003D2B1E">
            <w:pPr>
              <w:pStyle w:val="ENoteTableText"/>
              <w:tabs>
                <w:tab w:val="left" w:leader="dot" w:pos="2268"/>
              </w:tabs>
            </w:pPr>
            <w:r w:rsidRPr="00576D60">
              <w:t>r. 10.2.121</w:t>
            </w:r>
            <w:r w:rsidRPr="00576D60">
              <w:tab/>
            </w:r>
          </w:p>
        </w:tc>
        <w:tc>
          <w:tcPr>
            <w:tcW w:w="3500" w:type="pct"/>
            <w:shd w:val="clear" w:color="auto" w:fill="auto"/>
          </w:tcPr>
          <w:p w14:paraId="39285376" w14:textId="77777777" w:rsidR="00E93F58" w:rsidRPr="00576D60" w:rsidRDefault="00E93F58" w:rsidP="003D2B1E">
            <w:pPr>
              <w:pStyle w:val="ENoteTableText"/>
            </w:pPr>
            <w:r w:rsidRPr="00576D60">
              <w:t>ad. 2001 No. 319</w:t>
            </w:r>
          </w:p>
        </w:tc>
      </w:tr>
      <w:tr w:rsidR="00E93F58" w:rsidRPr="00576D60" w14:paraId="1C99CA02" w14:textId="77777777" w:rsidTr="002F32E3">
        <w:trPr>
          <w:cantSplit/>
        </w:trPr>
        <w:tc>
          <w:tcPr>
            <w:tcW w:w="1500" w:type="pct"/>
            <w:shd w:val="clear" w:color="auto" w:fill="auto"/>
          </w:tcPr>
          <w:p w14:paraId="0F0973D2" w14:textId="77777777" w:rsidR="00E93F58" w:rsidRPr="00576D60" w:rsidRDefault="00E93F58" w:rsidP="003D2B1E">
            <w:pPr>
              <w:pStyle w:val="ENoteTableText"/>
              <w:tabs>
                <w:tab w:val="left" w:leader="dot" w:pos="2268"/>
              </w:tabs>
            </w:pPr>
          </w:p>
        </w:tc>
        <w:tc>
          <w:tcPr>
            <w:tcW w:w="3500" w:type="pct"/>
            <w:shd w:val="clear" w:color="auto" w:fill="auto"/>
          </w:tcPr>
          <w:p w14:paraId="78ACE9FF" w14:textId="77777777" w:rsidR="00E93F58" w:rsidRPr="00576D60" w:rsidRDefault="00E93F58" w:rsidP="003D2B1E">
            <w:pPr>
              <w:pStyle w:val="ENoteTableText"/>
            </w:pPr>
            <w:r w:rsidRPr="00576D60">
              <w:t>rep F2018L00515</w:t>
            </w:r>
          </w:p>
        </w:tc>
      </w:tr>
      <w:tr w:rsidR="00E93F58" w:rsidRPr="00576D60" w14:paraId="3C77586F" w14:textId="77777777" w:rsidTr="002F32E3">
        <w:trPr>
          <w:cantSplit/>
        </w:trPr>
        <w:tc>
          <w:tcPr>
            <w:tcW w:w="1500" w:type="pct"/>
            <w:shd w:val="clear" w:color="auto" w:fill="auto"/>
          </w:tcPr>
          <w:p w14:paraId="52E777A2" w14:textId="77777777" w:rsidR="00E93F58" w:rsidRPr="00576D60" w:rsidRDefault="00E93F58" w:rsidP="003D2B1E">
            <w:pPr>
              <w:pStyle w:val="ENoteTableText"/>
              <w:tabs>
                <w:tab w:val="left" w:leader="dot" w:pos="2268"/>
              </w:tabs>
              <w:rPr>
                <w:b/>
              </w:rPr>
            </w:pPr>
            <w:r>
              <w:rPr>
                <w:b/>
              </w:rPr>
              <w:t>Division 2</w:t>
            </w:r>
            <w:r w:rsidRPr="00576D60">
              <w:rPr>
                <w:b/>
              </w:rPr>
              <w:t>7</w:t>
            </w:r>
          </w:p>
        </w:tc>
        <w:tc>
          <w:tcPr>
            <w:tcW w:w="3500" w:type="pct"/>
            <w:shd w:val="clear" w:color="auto" w:fill="auto"/>
          </w:tcPr>
          <w:p w14:paraId="14E55194" w14:textId="77777777" w:rsidR="00E93F58" w:rsidRPr="00576D60" w:rsidRDefault="00E93F58" w:rsidP="003D2B1E">
            <w:pPr>
              <w:pStyle w:val="ENoteTableText"/>
            </w:pPr>
          </w:p>
        </w:tc>
      </w:tr>
      <w:tr w:rsidR="00E93F58" w:rsidRPr="00576D60" w14:paraId="5F46CE63" w14:textId="77777777" w:rsidTr="002F32E3">
        <w:trPr>
          <w:cantSplit/>
        </w:trPr>
        <w:tc>
          <w:tcPr>
            <w:tcW w:w="1500" w:type="pct"/>
            <w:shd w:val="clear" w:color="auto" w:fill="auto"/>
          </w:tcPr>
          <w:p w14:paraId="4988609B" w14:textId="77777777" w:rsidR="00E93F58" w:rsidRPr="00576D60" w:rsidRDefault="00E93F58" w:rsidP="003D2B1E">
            <w:pPr>
              <w:pStyle w:val="ENoteTableText"/>
              <w:tabs>
                <w:tab w:val="left" w:leader="dot" w:pos="2268"/>
              </w:tabs>
            </w:pPr>
            <w:r w:rsidRPr="00576D60">
              <w:t>r. 10.2.122</w:t>
            </w:r>
            <w:r w:rsidRPr="00576D60">
              <w:tab/>
            </w:r>
          </w:p>
        </w:tc>
        <w:tc>
          <w:tcPr>
            <w:tcW w:w="3500" w:type="pct"/>
            <w:shd w:val="clear" w:color="auto" w:fill="auto"/>
          </w:tcPr>
          <w:p w14:paraId="0FEF02B0" w14:textId="77777777" w:rsidR="00E93F58" w:rsidRPr="00576D60" w:rsidRDefault="00E93F58" w:rsidP="003D2B1E">
            <w:pPr>
              <w:pStyle w:val="ENoteTableText"/>
            </w:pPr>
            <w:r w:rsidRPr="00576D60">
              <w:t>ad. 2001 No. 319</w:t>
            </w:r>
          </w:p>
        </w:tc>
      </w:tr>
      <w:tr w:rsidR="00E93F58" w:rsidRPr="00576D60" w14:paraId="7448214E" w14:textId="77777777" w:rsidTr="002F32E3">
        <w:trPr>
          <w:cantSplit/>
        </w:trPr>
        <w:tc>
          <w:tcPr>
            <w:tcW w:w="1500" w:type="pct"/>
            <w:shd w:val="clear" w:color="auto" w:fill="auto"/>
          </w:tcPr>
          <w:p w14:paraId="3A688B80" w14:textId="77777777" w:rsidR="00E93F58" w:rsidRPr="00576D60" w:rsidRDefault="00E93F58" w:rsidP="003D2B1E">
            <w:pPr>
              <w:pStyle w:val="ENoteTableText"/>
            </w:pPr>
          </w:p>
        </w:tc>
        <w:tc>
          <w:tcPr>
            <w:tcW w:w="3500" w:type="pct"/>
            <w:shd w:val="clear" w:color="auto" w:fill="auto"/>
          </w:tcPr>
          <w:p w14:paraId="57BC77AE" w14:textId="77777777" w:rsidR="00E93F58" w:rsidRPr="00576D60" w:rsidRDefault="00E93F58" w:rsidP="003D2B1E">
            <w:pPr>
              <w:pStyle w:val="ENoteTableText"/>
            </w:pPr>
            <w:r w:rsidRPr="00576D60">
              <w:t>rep. 2002 No. 16</w:t>
            </w:r>
          </w:p>
        </w:tc>
      </w:tr>
      <w:tr w:rsidR="00E93F58" w:rsidRPr="00576D60" w14:paraId="70C2F99A" w14:textId="77777777" w:rsidTr="002F32E3">
        <w:trPr>
          <w:cantSplit/>
        </w:trPr>
        <w:tc>
          <w:tcPr>
            <w:tcW w:w="1500" w:type="pct"/>
            <w:shd w:val="clear" w:color="auto" w:fill="auto"/>
          </w:tcPr>
          <w:p w14:paraId="0E32980A" w14:textId="77777777" w:rsidR="00E93F58" w:rsidRPr="00576D60" w:rsidRDefault="00E93F58" w:rsidP="003D2B1E">
            <w:pPr>
              <w:pStyle w:val="ENoteTableText"/>
            </w:pPr>
          </w:p>
        </w:tc>
        <w:tc>
          <w:tcPr>
            <w:tcW w:w="3500" w:type="pct"/>
            <w:shd w:val="clear" w:color="auto" w:fill="auto"/>
          </w:tcPr>
          <w:p w14:paraId="45FF5DEC" w14:textId="77777777" w:rsidR="00E93F58" w:rsidRPr="00576D60" w:rsidRDefault="00E93F58" w:rsidP="003D2B1E">
            <w:pPr>
              <w:pStyle w:val="ENoteTableText"/>
            </w:pPr>
            <w:r w:rsidRPr="00576D60">
              <w:t>ad. 2002 No. 41</w:t>
            </w:r>
          </w:p>
        </w:tc>
      </w:tr>
      <w:tr w:rsidR="00E93F58" w:rsidRPr="00576D60" w14:paraId="0CE1D37E" w14:textId="77777777" w:rsidTr="002F32E3">
        <w:trPr>
          <w:cantSplit/>
        </w:trPr>
        <w:tc>
          <w:tcPr>
            <w:tcW w:w="1500" w:type="pct"/>
            <w:shd w:val="clear" w:color="auto" w:fill="auto"/>
          </w:tcPr>
          <w:p w14:paraId="02EE851B" w14:textId="77777777" w:rsidR="00E93F58" w:rsidRPr="00576D60" w:rsidRDefault="00E93F58" w:rsidP="003D2B1E">
            <w:pPr>
              <w:pStyle w:val="ENoteTableText"/>
              <w:tabs>
                <w:tab w:val="left" w:leader="dot" w:pos="2268"/>
              </w:tabs>
            </w:pPr>
            <w:r w:rsidRPr="00576D60">
              <w:t>r. 10.2.123</w:t>
            </w:r>
            <w:r w:rsidRPr="00576D60">
              <w:tab/>
            </w:r>
          </w:p>
        </w:tc>
        <w:tc>
          <w:tcPr>
            <w:tcW w:w="3500" w:type="pct"/>
            <w:shd w:val="clear" w:color="auto" w:fill="auto"/>
          </w:tcPr>
          <w:p w14:paraId="13750F8A" w14:textId="77777777" w:rsidR="00E93F58" w:rsidRPr="00576D60" w:rsidRDefault="00E93F58" w:rsidP="003D2B1E">
            <w:pPr>
              <w:pStyle w:val="ENoteTableText"/>
            </w:pPr>
            <w:r w:rsidRPr="00576D60">
              <w:t>ad. 2001 No. 319</w:t>
            </w:r>
          </w:p>
        </w:tc>
      </w:tr>
      <w:tr w:rsidR="00E93F58" w:rsidRPr="00576D60" w14:paraId="1E3C8C0B" w14:textId="77777777" w:rsidTr="002F32E3">
        <w:trPr>
          <w:cantSplit/>
        </w:trPr>
        <w:tc>
          <w:tcPr>
            <w:tcW w:w="1500" w:type="pct"/>
            <w:shd w:val="clear" w:color="auto" w:fill="auto"/>
          </w:tcPr>
          <w:p w14:paraId="4E7B2F49" w14:textId="77777777" w:rsidR="00E93F58" w:rsidRPr="00576D60" w:rsidRDefault="00E93F58" w:rsidP="003D2B1E">
            <w:pPr>
              <w:pStyle w:val="ENoteTableText"/>
              <w:tabs>
                <w:tab w:val="left" w:leader="dot" w:pos="2268"/>
              </w:tabs>
            </w:pPr>
            <w:r w:rsidRPr="00576D60">
              <w:t>r. 10.2.124</w:t>
            </w:r>
            <w:r w:rsidRPr="00576D60">
              <w:tab/>
            </w:r>
          </w:p>
        </w:tc>
        <w:tc>
          <w:tcPr>
            <w:tcW w:w="3500" w:type="pct"/>
            <w:shd w:val="clear" w:color="auto" w:fill="auto"/>
          </w:tcPr>
          <w:p w14:paraId="66D1EB4B" w14:textId="77777777" w:rsidR="00E93F58" w:rsidRPr="00576D60" w:rsidRDefault="00E93F58" w:rsidP="003D2B1E">
            <w:pPr>
              <w:pStyle w:val="ENoteTableText"/>
            </w:pPr>
            <w:r w:rsidRPr="00576D60">
              <w:t>ad. 2001 No. 319</w:t>
            </w:r>
          </w:p>
        </w:tc>
      </w:tr>
      <w:tr w:rsidR="00E93F58" w:rsidRPr="00576D60" w14:paraId="4C168571" w14:textId="77777777" w:rsidTr="002F32E3">
        <w:trPr>
          <w:cantSplit/>
        </w:trPr>
        <w:tc>
          <w:tcPr>
            <w:tcW w:w="1500" w:type="pct"/>
            <w:shd w:val="clear" w:color="auto" w:fill="auto"/>
          </w:tcPr>
          <w:p w14:paraId="13D535C6" w14:textId="77777777" w:rsidR="00E93F58" w:rsidRPr="00576D60" w:rsidRDefault="00E93F58" w:rsidP="003D2B1E">
            <w:pPr>
              <w:pStyle w:val="ENoteTableText"/>
            </w:pPr>
          </w:p>
        </w:tc>
        <w:tc>
          <w:tcPr>
            <w:tcW w:w="3500" w:type="pct"/>
            <w:shd w:val="clear" w:color="auto" w:fill="auto"/>
          </w:tcPr>
          <w:p w14:paraId="757CB41C" w14:textId="77777777" w:rsidR="00E93F58" w:rsidRPr="00576D60" w:rsidRDefault="00E93F58" w:rsidP="003D2B1E">
            <w:pPr>
              <w:pStyle w:val="ENoteTableText"/>
            </w:pPr>
            <w:r w:rsidRPr="00576D60">
              <w:t>rs. 2002 No. 16</w:t>
            </w:r>
          </w:p>
        </w:tc>
      </w:tr>
      <w:tr w:rsidR="00E93F58" w:rsidRPr="00576D60" w14:paraId="6E20C78A" w14:textId="77777777" w:rsidTr="002F32E3">
        <w:trPr>
          <w:cantSplit/>
        </w:trPr>
        <w:tc>
          <w:tcPr>
            <w:tcW w:w="1500" w:type="pct"/>
            <w:shd w:val="clear" w:color="auto" w:fill="auto"/>
          </w:tcPr>
          <w:p w14:paraId="170A0FDA" w14:textId="77777777" w:rsidR="00E93F58" w:rsidRPr="00576D60" w:rsidRDefault="00E93F58" w:rsidP="003D2B1E">
            <w:pPr>
              <w:pStyle w:val="ENoteTableText"/>
            </w:pPr>
          </w:p>
        </w:tc>
        <w:tc>
          <w:tcPr>
            <w:tcW w:w="3500" w:type="pct"/>
            <w:shd w:val="clear" w:color="auto" w:fill="auto"/>
          </w:tcPr>
          <w:p w14:paraId="780EE2D4" w14:textId="77777777" w:rsidR="00E93F58" w:rsidRPr="00576D60" w:rsidRDefault="00E93F58" w:rsidP="003D2B1E">
            <w:pPr>
              <w:pStyle w:val="ENoteTableText"/>
            </w:pPr>
            <w:r w:rsidRPr="00576D60">
              <w:t>am. 2002 No. 41</w:t>
            </w:r>
          </w:p>
        </w:tc>
      </w:tr>
      <w:tr w:rsidR="00E93F58" w:rsidRPr="00576D60" w14:paraId="2273A175" w14:textId="77777777" w:rsidTr="002F32E3">
        <w:trPr>
          <w:cantSplit/>
        </w:trPr>
        <w:tc>
          <w:tcPr>
            <w:tcW w:w="1500" w:type="pct"/>
            <w:shd w:val="clear" w:color="auto" w:fill="auto"/>
          </w:tcPr>
          <w:p w14:paraId="7A93E1F4" w14:textId="77777777" w:rsidR="00E93F58" w:rsidRPr="00576D60" w:rsidRDefault="00E93F58" w:rsidP="003D2B1E">
            <w:pPr>
              <w:pStyle w:val="ENoteTableText"/>
              <w:tabs>
                <w:tab w:val="left" w:leader="dot" w:pos="2268"/>
              </w:tabs>
            </w:pPr>
            <w:r w:rsidRPr="00576D60">
              <w:t>r. 10.2.125</w:t>
            </w:r>
            <w:r w:rsidRPr="00576D60">
              <w:tab/>
            </w:r>
          </w:p>
        </w:tc>
        <w:tc>
          <w:tcPr>
            <w:tcW w:w="3500" w:type="pct"/>
            <w:shd w:val="clear" w:color="auto" w:fill="auto"/>
          </w:tcPr>
          <w:p w14:paraId="16505257" w14:textId="77777777" w:rsidR="00E93F58" w:rsidRPr="00576D60" w:rsidRDefault="00E93F58" w:rsidP="003D2B1E">
            <w:pPr>
              <w:pStyle w:val="ENoteTableText"/>
            </w:pPr>
            <w:r w:rsidRPr="00576D60">
              <w:t>ad. 2001 No. 319</w:t>
            </w:r>
          </w:p>
        </w:tc>
      </w:tr>
      <w:tr w:rsidR="00E93F58" w:rsidRPr="00576D60" w14:paraId="1F348E63" w14:textId="77777777" w:rsidTr="002F32E3">
        <w:trPr>
          <w:cantSplit/>
        </w:trPr>
        <w:tc>
          <w:tcPr>
            <w:tcW w:w="1500" w:type="pct"/>
            <w:shd w:val="clear" w:color="auto" w:fill="auto"/>
          </w:tcPr>
          <w:p w14:paraId="4905D4C7" w14:textId="77777777" w:rsidR="00E93F58" w:rsidRPr="00576D60" w:rsidRDefault="00E93F58" w:rsidP="003D2B1E">
            <w:pPr>
              <w:pStyle w:val="ENoteTableText"/>
              <w:tabs>
                <w:tab w:val="left" w:leader="dot" w:pos="2268"/>
              </w:tabs>
            </w:pPr>
            <w:r w:rsidRPr="00576D60">
              <w:t>r. 10.2.126</w:t>
            </w:r>
            <w:r w:rsidRPr="00576D60">
              <w:tab/>
            </w:r>
          </w:p>
        </w:tc>
        <w:tc>
          <w:tcPr>
            <w:tcW w:w="3500" w:type="pct"/>
            <w:shd w:val="clear" w:color="auto" w:fill="auto"/>
          </w:tcPr>
          <w:p w14:paraId="7FC0B6DF" w14:textId="77777777" w:rsidR="00E93F58" w:rsidRPr="00576D60" w:rsidRDefault="00E93F58" w:rsidP="003D2B1E">
            <w:pPr>
              <w:pStyle w:val="ENoteTableText"/>
            </w:pPr>
            <w:r w:rsidRPr="00576D60">
              <w:t>ad. 2001 No. 319</w:t>
            </w:r>
          </w:p>
        </w:tc>
      </w:tr>
      <w:tr w:rsidR="00E93F58" w:rsidRPr="00576D60" w14:paraId="0D4D7FAB" w14:textId="77777777" w:rsidTr="002F32E3">
        <w:trPr>
          <w:cantSplit/>
        </w:trPr>
        <w:tc>
          <w:tcPr>
            <w:tcW w:w="1500" w:type="pct"/>
            <w:shd w:val="clear" w:color="auto" w:fill="auto"/>
          </w:tcPr>
          <w:p w14:paraId="3E472BBB" w14:textId="77777777" w:rsidR="00E93F58" w:rsidRPr="00576D60" w:rsidRDefault="00E93F58" w:rsidP="003D2B1E">
            <w:pPr>
              <w:pStyle w:val="ENoteTableText"/>
              <w:tabs>
                <w:tab w:val="left" w:leader="dot" w:pos="2268"/>
              </w:tabs>
            </w:pPr>
            <w:r w:rsidRPr="00576D60">
              <w:t>r. 10.2.127</w:t>
            </w:r>
            <w:r w:rsidRPr="00576D60">
              <w:tab/>
            </w:r>
          </w:p>
        </w:tc>
        <w:tc>
          <w:tcPr>
            <w:tcW w:w="3500" w:type="pct"/>
            <w:shd w:val="clear" w:color="auto" w:fill="auto"/>
          </w:tcPr>
          <w:p w14:paraId="4B656E83" w14:textId="77777777" w:rsidR="00E93F58" w:rsidRPr="00576D60" w:rsidRDefault="00E93F58" w:rsidP="003D2B1E">
            <w:pPr>
              <w:pStyle w:val="ENoteTableText"/>
            </w:pPr>
            <w:r w:rsidRPr="00576D60">
              <w:t>ad. 2001 No. 319</w:t>
            </w:r>
          </w:p>
        </w:tc>
      </w:tr>
      <w:tr w:rsidR="00E93F58" w:rsidRPr="00576D60" w14:paraId="319BE95A" w14:textId="77777777" w:rsidTr="002F32E3">
        <w:trPr>
          <w:cantSplit/>
        </w:trPr>
        <w:tc>
          <w:tcPr>
            <w:tcW w:w="1500" w:type="pct"/>
            <w:shd w:val="clear" w:color="auto" w:fill="auto"/>
          </w:tcPr>
          <w:p w14:paraId="7127820F" w14:textId="77777777" w:rsidR="00E93F58" w:rsidRPr="00576D60" w:rsidRDefault="00E93F58" w:rsidP="003D2B1E">
            <w:pPr>
              <w:pStyle w:val="ENoteTableText"/>
              <w:tabs>
                <w:tab w:val="left" w:leader="dot" w:pos="2268"/>
              </w:tabs>
            </w:pPr>
            <w:r w:rsidRPr="00576D60">
              <w:t>r. 10.2.128</w:t>
            </w:r>
            <w:r w:rsidRPr="00576D60">
              <w:tab/>
            </w:r>
          </w:p>
        </w:tc>
        <w:tc>
          <w:tcPr>
            <w:tcW w:w="3500" w:type="pct"/>
            <w:shd w:val="clear" w:color="auto" w:fill="auto"/>
          </w:tcPr>
          <w:p w14:paraId="13B56978" w14:textId="77777777" w:rsidR="00E93F58" w:rsidRPr="00576D60" w:rsidRDefault="00E93F58" w:rsidP="003D2B1E">
            <w:pPr>
              <w:pStyle w:val="ENoteTableText"/>
            </w:pPr>
            <w:r w:rsidRPr="00576D60">
              <w:t>ad. 2001 No. 319</w:t>
            </w:r>
          </w:p>
        </w:tc>
      </w:tr>
      <w:tr w:rsidR="00E93F58" w:rsidRPr="00576D60" w14:paraId="57656989" w14:textId="77777777" w:rsidTr="002F32E3">
        <w:trPr>
          <w:cantSplit/>
        </w:trPr>
        <w:tc>
          <w:tcPr>
            <w:tcW w:w="1500" w:type="pct"/>
            <w:shd w:val="clear" w:color="auto" w:fill="auto"/>
          </w:tcPr>
          <w:p w14:paraId="4553E37B" w14:textId="77777777" w:rsidR="00E93F58" w:rsidRPr="00576D60" w:rsidRDefault="00E93F58" w:rsidP="003D2B1E">
            <w:pPr>
              <w:pStyle w:val="ENoteTableText"/>
              <w:tabs>
                <w:tab w:val="left" w:leader="dot" w:pos="2268"/>
              </w:tabs>
            </w:pPr>
            <w:r w:rsidRPr="00576D60">
              <w:t>r. 10.2.129</w:t>
            </w:r>
            <w:r w:rsidRPr="00576D60">
              <w:tab/>
            </w:r>
          </w:p>
        </w:tc>
        <w:tc>
          <w:tcPr>
            <w:tcW w:w="3500" w:type="pct"/>
            <w:shd w:val="clear" w:color="auto" w:fill="auto"/>
          </w:tcPr>
          <w:p w14:paraId="3E4AD1F5" w14:textId="77777777" w:rsidR="00E93F58" w:rsidRPr="00576D60" w:rsidRDefault="00E93F58" w:rsidP="003D2B1E">
            <w:pPr>
              <w:pStyle w:val="ENoteTableText"/>
            </w:pPr>
            <w:r w:rsidRPr="00576D60">
              <w:t>ad. 2001 No. 319</w:t>
            </w:r>
          </w:p>
        </w:tc>
      </w:tr>
      <w:tr w:rsidR="00E93F58" w:rsidRPr="00576D60" w14:paraId="30B889DF" w14:textId="77777777" w:rsidTr="002F32E3">
        <w:trPr>
          <w:cantSplit/>
        </w:trPr>
        <w:tc>
          <w:tcPr>
            <w:tcW w:w="1500" w:type="pct"/>
            <w:shd w:val="clear" w:color="auto" w:fill="auto"/>
          </w:tcPr>
          <w:p w14:paraId="688E9C30" w14:textId="77777777" w:rsidR="00E93F58" w:rsidRPr="00576D60" w:rsidRDefault="00E93F58" w:rsidP="003D2B1E">
            <w:pPr>
              <w:pStyle w:val="ENoteTableText"/>
              <w:tabs>
                <w:tab w:val="left" w:leader="dot" w:pos="2268"/>
              </w:tabs>
            </w:pPr>
            <w:r w:rsidRPr="00576D60">
              <w:t>r. 10.2.130</w:t>
            </w:r>
            <w:r w:rsidRPr="00576D60">
              <w:tab/>
            </w:r>
          </w:p>
        </w:tc>
        <w:tc>
          <w:tcPr>
            <w:tcW w:w="3500" w:type="pct"/>
            <w:shd w:val="clear" w:color="auto" w:fill="auto"/>
          </w:tcPr>
          <w:p w14:paraId="420ABB19" w14:textId="77777777" w:rsidR="00E93F58" w:rsidRPr="00576D60" w:rsidRDefault="00E93F58" w:rsidP="003D2B1E">
            <w:pPr>
              <w:pStyle w:val="ENoteTableText"/>
            </w:pPr>
            <w:r w:rsidRPr="00576D60">
              <w:t>ad. 2001 No. 319</w:t>
            </w:r>
          </w:p>
        </w:tc>
      </w:tr>
      <w:tr w:rsidR="00E93F58" w:rsidRPr="00576D60" w14:paraId="613C687B" w14:textId="77777777" w:rsidTr="002F32E3">
        <w:trPr>
          <w:cantSplit/>
        </w:trPr>
        <w:tc>
          <w:tcPr>
            <w:tcW w:w="1500" w:type="pct"/>
            <w:shd w:val="clear" w:color="auto" w:fill="auto"/>
          </w:tcPr>
          <w:p w14:paraId="328DF70B" w14:textId="77777777" w:rsidR="00E93F58" w:rsidRPr="00576D60" w:rsidRDefault="00E93F58" w:rsidP="003D2B1E">
            <w:pPr>
              <w:pStyle w:val="ENoteTableText"/>
              <w:tabs>
                <w:tab w:val="left" w:leader="dot" w:pos="2268"/>
              </w:tabs>
            </w:pPr>
            <w:r w:rsidRPr="00576D60">
              <w:t>r. 10.2.131</w:t>
            </w:r>
            <w:r w:rsidRPr="00576D60">
              <w:tab/>
            </w:r>
          </w:p>
        </w:tc>
        <w:tc>
          <w:tcPr>
            <w:tcW w:w="3500" w:type="pct"/>
            <w:shd w:val="clear" w:color="auto" w:fill="auto"/>
          </w:tcPr>
          <w:p w14:paraId="0B4B4255" w14:textId="77777777" w:rsidR="00E93F58" w:rsidRPr="00576D60" w:rsidRDefault="00E93F58" w:rsidP="003D2B1E">
            <w:pPr>
              <w:pStyle w:val="ENoteTableText"/>
            </w:pPr>
            <w:r w:rsidRPr="00576D60">
              <w:t>ad. 2001 No. 319</w:t>
            </w:r>
          </w:p>
        </w:tc>
      </w:tr>
      <w:tr w:rsidR="00E93F58" w:rsidRPr="00576D60" w14:paraId="09FF9250" w14:textId="77777777" w:rsidTr="002F32E3">
        <w:trPr>
          <w:cantSplit/>
        </w:trPr>
        <w:tc>
          <w:tcPr>
            <w:tcW w:w="1500" w:type="pct"/>
            <w:shd w:val="clear" w:color="auto" w:fill="auto"/>
          </w:tcPr>
          <w:p w14:paraId="658119F6" w14:textId="77777777" w:rsidR="00E93F58" w:rsidRPr="00576D60" w:rsidRDefault="00E93F58" w:rsidP="003D2B1E">
            <w:pPr>
              <w:pStyle w:val="ENoteTableText"/>
              <w:tabs>
                <w:tab w:val="left" w:leader="dot" w:pos="2268"/>
              </w:tabs>
            </w:pPr>
            <w:r w:rsidRPr="00576D60">
              <w:t>r. 10.2.132</w:t>
            </w:r>
            <w:r w:rsidRPr="00576D60">
              <w:tab/>
            </w:r>
          </w:p>
        </w:tc>
        <w:tc>
          <w:tcPr>
            <w:tcW w:w="3500" w:type="pct"/>
            <w:shd w:val="clear" w:color="auto" w:fill="auto"/>
          </w:tcPr>
          <w:p w14:paraId="24CDE60F" w14:textId="77777777" w:rsidR="00E93F58" w:rsidRPr="00576D60" w:rsidRDefault="00E93F58" w:rsidP="003D2B1E">
            <w:pPr>
              <w:pStyle w:val="ENoteTableText"/>
            </w:pPr>
            <w:r w:rsidRPr="00576D60">
              <w:t>ad. 2001 No. 319</w:t>
            </w:r>
          </w:p>
        </w:tc>
      </w:tr>
      <w:tr w:rsidR="00E93F58" w:rsidRPr="00576D60" w14:paraId="01639746" w14:textId="77777777" w:rsidTr="002F32E3">
        <w:trPr>
          <w:cantSplit/>
        </w:trPr>
        <w:tc>
          <w:tcPr>
            <w:tcW w:w="1500" w:type="pct"/>
            <w:shd w:val="clear" w:color="auto" w:fill="auto"/>
          </w:tcPr>
          <w:p w14:paraId="2C9CB7C4" w14:textId="77777777" w:rsidR="00E93F58" w:rsidRPr="00576D60" w:rsidRDefault="00E93F58" w:rsidP="003D2B1E">
            <w:pPr>
              <w:pStyle w:val="ENoteTableText"/>
              <w:tabs>
                <w:tab w:val="left" w:leader="dot" w:pos="2268"/>
              </w:tabs>
            </w:pPr>
            <w:r w:rsidRPr="00576D60">
              <w:t>r. 10.2.133</w:t>
            </w:r>
            <w:r w:rsidRPr="00576D60">
              <w:tab/>
            </w:r>
          </w:p>
        </w:tc>
        <w:tc>
          <w:tcPr>
            <w:tcW w:w="3500" w:type="pct"/>
            <w:shd w:val="clear" w:color="auto" w:fill="auto"/>
          </w:tcPr>
          <w:p w14:paraId="1342B698" w14:textId="77777777" w:rsidR="00E93F58" w:rsidRPr="00576D60" w:rsidRDefault="00E93F58" w:rsidP="003D2B1E">
            <w:pPr>
              <w:pStyle w:val="ENoteTableText"/>
            </w:pPr>
            <w:r w:rsidRPr="00576D60">
              <w:t>ad. 2001 No. 319</w:t>
            </w:r>
          </w:p>
        </w:tc>
      </w:tr>
      <w:tr w:rsidR="00E93F58" w:rsidRPr="00576D60" w14:paraId="20765EB1" w14:textId="77777777" w:rsidTr="002F32E3">
        <w:trPr>
          <w:cantSplit/>
        </w:trPr>
        <w:tc>
          <w:tcPr>
            <w:tcW w:w="1500" w:type="pct"/>
            <w:shd w:val="clear" w:color="auto" w:fill="auto"/>
          </w:tcPr>
          <w:p w14:paraId="64AF18CB" w14:textId="77777777" w:rsidR="00E93F58" w:rsidRPr="00576D60" w:rsidRDefault="00E93F58" w:rsidP="003D2B1E">
            <w:pPr>
              <w:pStyle w:val="ENoteTableText"/>
              <w:tabs>
                <w:tab w:val="left" w:leader="dot" w:pos="2268"/>
              </w:tabs>
            </w:pPr>
            <w:r w:rsidRPr="00576D60">
              <w:t>r. 10.2.134</w:t>
            </w:r>
            <w:r w:rsidRPr="00576D60">
              <w:tab/>
            </w:r>
          </w:p>
        </w:tc>
        <w:tc>
          <w:tcPr>
            <w:tcW w:w="3500" w:type="pct"/>
            <w:shd w:val="clear" w:color="auto" w:fill="auto"/>
          </w:tcPr>
          <w:p w14:paraId="2C56FEB6" w14:textId="77777777" w:rsidR="00E93F58" w:rsidRPr="00576D60" w:rsidRDefault="00E93F58" w:rsidP="003D2B1E">
            <w:pPr>
              <w:pStyle w:val="ENoteTableText"/>
            </w:pPr>
            <w:r w:rsidRPr="00576D60">
              <w:t>ad. 2001 No. 319</w:t>
            </w:r>
          </w:p>
        </w:tc>
      </w:tr>
      <w:tr w:rsidR="00E93F58" w:rsidRPr="00576D60" w14:paraId="3D293DB8" w14:textId="77777777" w:rsidTr="002F32E3">
        <w:trPr>
          <w:cantSplit/>
        </w:trPr>
        <w:tc>
          <w:tcPr>
            <w:tcW w:w="1500" w:type="pct"/>
            <w:shd w:val="clear" w:color="auto" w:fill="auto"/>
          </w:tcPr>
          <w:p w14:paraId="781B6638" w14:textId="77777777" w:rsidR="00E93F58" w:rsidRPr="00576D60" w:rsidRDefault="00E93F58" w:rsidP="003D2B1E">
            <w:pPr>
              <w:pStyle w:val="ENoteTableText"/>
              <w:tabs>
                <w:tab w:val="left" w:leader="dot" w:pos="2268"/>
              </w:tabs>
            </w:pPr>
            <w:r w:rsidRPr="00576D60">
              <w:t>r. 10.2.135</w:t>
            </w:r>
            <w:r w:rsidRPr="00576D60">
              <w:tab/>
            </w:r>
          </w:p>
        </w:tc>
        <w:tc>
          <w:tcPr>
            <w:tcW w:w="3500" w:type="pct"/>
            <w:shd w:val="clear" w:color="auto" w:fill="auto"/>
          </w:tcPr>
          <w:p w14:paraId="4E2D5BD8" w14:textId="77777777" w:rsidR="00E93F58" w:rsidRPr="00576D60" w:rsidRDefault="00E93F58" w:rsidP="003D2B1E">
            <w:pPr>
              <w:pStyle w:val="ENoteTableText"/>
            </w:pPr>
            <w:r w:rsidRPr="00576D60">
              <w:t>ad. 2001 No. 319</w:t>
            </w:r>
          </w:p>
        </w:tc>
      </w:tr>
      <w:tr w:rsidR="00E93F58" w:rsidRPr="00576D60" w14:paraId="1BA63E44" w14:textId="77777777" w:rsidTr="002F32E3">
        <w:trPr>
          <w:cantSplit/>
        </w:trPr>
        <w:tc>
          <w:tcPr>
            <w:tcW w:w="1500" w:type="pct"/>
            <w:shd w:val="clear" w:color="auto" w:fill="auto"/>
          </w:tcPr>
          <w:p w14:paraId="723183EC" w14:textId="77777777" w:rsidR="00E93F58" w:rsidRPr="00576D60" w:rsidRDefault="00E93F58" w:rsidP="003D2B1E">
            <w:pPr>
              <w:pStyle w:val="ENoteTableText"/>
              <w:tabs>
                <w:tab w:val="left" w:leader="dot" w:pos="2268"/>
              </w:tabs>
              <w:rPr>
                <w:b/>
              </w:rPr>
            </w:pPr>
            <w:r>
              <w:rPr>
                <w:b/>
              </w:rPr>
              <w:t>Division 2</w:t>
            </w:r>
            <w:r w:rsidRPr="00576D60">
              <w:rPr>
                <w:b/>
              </w:rPr>
              <w:t>7A</w:t>
            </w:r>
          </w:p>
        </w:tc>
        <w:tc>
          <w:tcPr>
            <w:tcW w:w="3500" w:type="pct"/>
            <w:shd w:val="clear" w:color="auto" w:fill="auto"/>
          </w:tcPr>
          <w:p w14:paraId="709EEAE5" w14:textId="77777777" w:rsidR="00E93F58" w:rsidRPr="00576D60" w:rsidRDefault="00E93F58" w:rsidP="003D2B1E">
            <w:pPr>
              <w:pStyle w:val="ENoteTableText"/>
            </w:pPr>
          </w:p>
        </w:tc>
      </w:tr>
      <w:tr w:rsidR="00E93F58" w:rsidRPr="00576D60" w14:paraId="1608D549" w14:textId="77777777" w:rsidTr="002F32E3">
        <w:trPr>
          <w:cantSplit/>
        </w:trPr>
        <w:tc>
          <w:tcPr>
            <w:tcW w:w="1500" w:type="pct"/>
            <w:shd w:val="clear" w:color="auto" w:fill="auto"/>
          </w:tcPr>
          <w:p w14:paraId="53AF7FE8" w14:textId="77777777" w:rsidR="00E93F58" w:rsidRPr="00576D60" w:rsidRDefault="00E93F58" w:rsidP="003D2B1E">
            <w:pPr>
              <w:pStyle w:val="ENoteTableText"/>
              <w:tabs>
                <w:tab w:val="left" w:leader="dot" w:pos="2268"/>
              </w:tabs>
            </w:pPr>
            <w:r>
              <w:t>Division 2</w:t>
            </w:r>
            <w:r w:rsidRPr="00576D60">
              <w:t xml:space="preserve">7A of </w:t>
            </w:r>
            <w:r>
              <w:t>Part 1</w:t>
            </w:r>
            <w:r w:rsidRPr="00576D60">
              <w:t>0.2</w:t>
            </w:r>
            <w:r w:rsidRPr="00576D60">
              <w:tab/>
            </w:r>
          </w:p>
        </w:tc>
        <w:tc>
          <w:tcPr>
            <w:tcW w:w="3500" w:type="pct"/>
            <w:shd w:val="clear" w:color="auto" w:fill="auto"/>
          </w:tcPr>
          <w:p w14:paraId="0ECAD2E2" w14:textId="77777777" w:rsidR="00E93F58" w:rsidRPr="00576D60" w:rsidRDefault="00E93F58" w:rsidP="003D2B1E">
            <w:pPr>
              <w:pStyle w:val="ENoteTableText"/>
            </w:pPr>
            <w:r w:rsidRPr="00576D60">
              <w:t>ad. 2002 No. 41</w:t>
            </w:r>
          </w:p>
        </w:tc>
      </w:tr>
      <w:tr w:rsidR="00E93F58" w:rsidRPr="00576D60" w14:paraId="05D6D48A" w14:textId="77777777" w:rsidTr="002F32E3">
        <w:trPr>
          <w:cantSplit/>
        </w:trPr>
        <w:tc>
          <w:tcPr>
            <w:tcW w:w="1500" w:type="pct"/>
            <w:shd w:val="clear" w:color="auto" w:fill="auto"/>
          </w:tcPr>
          <w:p w14:paraId="6BEB194C" w14:textId="77777777" w:rsidR="00E93F58" w:rsidRPr="00576D60" w:rsidRDefault="00E93F58" w:rsidP="003D2B1E">
            <w:pPr>
              <w:pStyle w:val="ENoteTableText"/>
              <w:tabs>
                <w:tab w:val="left" w:leader="dot" w:pos="2268"/>
              </w:tabs>
            </w:pPr>
            <w:r w:rsidRPr="00576D60">
              <w:t>r. 10.2.135A</w:t>
            </w:r>
            <w:r w:rsidRPr="00576D60">
              <w:tab/>
            </w:r>
          </w:p>
        </w:tc>
        <w:tc>
          <w:tcPr>
            <w:tcW w:w="3500" w:type="pct"/>
            <w:shd w:val="clear" w:color="auto" w:fill="auto"/>
          </w:tcPr>
          <w:p w14:paraId="35367943" w14:textId="77777777" w:rsidR="00E93F58" w:rsidRPr="00576D60" w:rsidRDefault="00E93F58" w:rsidP="003D2B1E">
            <w:pPr>
              <w:pStyle w:val="ENoteTableText"/>
            </w:pPr>
            <w:r w:rsidRPr="00576D60">
              <w:t>ad. 2002 No. 41</w:t>
            </w:r>
          </w:p>
        </w:tc>
      </w:tr>
      <w:tr w:rsidR="00E93F58" w:rsidRPr="00576D60" w14:paraId="2979FCEE" w14:textId="77777777" w:rsidTr="002F32E3">
        <w:trPr>
          <w:cantSplit/>
        </w:trPr>
        <w:tc>
          <w:tcPr>
            <w:tcW w:w="1500" w:type="pct"/>
            <w:shd w:val="clear" w:color="auto" w:fill="auto"/>
          </w:tcPr>
          <w:p w14:paraId="1DA45367" w14:textId="77777777" w:rsidR="00E93F58" w:rsidRPr="00576D60" w:rsidRDefault="00E93F58" w:rsidP="003D2B1E">
            <w:pPr>
              <w:pStyle w:val="ENoteTableText"/>
              <w:tabs>
                <w:tab w:val="left" w:leader="dot" w:pos="2268"/>
              </w:tabs>
              <w:rPr>
                <w:b/>
              </w:rPr>
            </w:pPr>
            <w:r>
              <w:rPr>
                <w:b/>
              </w:rPr>
              <w:t>Division 2</w:t>
            </w:r>
            <w:r w:rsidRPr="00576D60">
              <w:rPr>
                <w:b/>
              </w:rPr>
              <w:t>8</w:t>
            </w:r>
          </w:p>
        </w:tc>
        <w:tc>
          <w:tcPr>
            <w:tcW w:w="3500" w:type="pct"/>
            <w:shd w:val="clear" w:color="auto" w:fill="auto"/>
          </w:tcPr>
          <w:p w14:paraId="442062C5" w14:textId="77777777" w:rsidR="00E93F58" w:rsidRPr="00576D60" w:rsidRDefault="00E93F58" w:rsidP="003D2B1E">
            <w:pPr>
              <w:pStyle w:val="ENoteTableText"/>
            </w:pPr>
          </w:p>
        </w:tc>
      </w:tr>
      <w:tr w:rsidR="00E93F58" w:rsidRPr="00576D60" w14:paraId="7C231428" w14:textId="77777777" w:rsidTr="002F32E3">
        <w:trPr>
          <w:cantSplit/>
        </w:trPr>
        <w:tc>
          <w:tcPr>
            <w:tcW w:w="1500" w:type="pct"/>
            <w:shd w:val="clear" w:color="auto" w:fill="auto"/>
          </w:tcPr>
          <w:p w14:paraId="47E8F660" w14:textId="77777777" w:rsidR="00E93F58" w:rsidRPr="00576D60" w:rsidRDefault="00E93F58" w:rsidP="003D2B1E">
            <w:pPr>
              <w:pStyle w:val="ENoteTableText"/>
              <w:tabs>
                <w:tab w:val="left" w:leader="dot" w:pos="2268"/>
              </w:tabs>
            </w:pPr>
            <w:r w:rsidRPr="00576D60">
              <w:t>r. 10.2.136</w:t>
            </w:r>
            <w:r w:rsidRPr="00576D60">
              <w:tab/>
            </w:r>
          </w:p>
        </w:tc>
        <w:tc>
          <w:tcPr>
            <w:tcW w:w="3500" w:type="pct"/>
            <w:shd w:val="clear" w:color="auto" w:fill="auto"/>
          </w:tcPr>
          <w:p w14:paraId="4F409864" w14:textId="77777777" w:rsidR="00E93F58" w:rsidRPr="00576D60" w:rsidRDefault="00E93F58" w:rsidP="003D2B1E">
            <w:pPr>
              <w:pStyle w:val="ENoteTableText"/>
            </w:pPr>
            <w:r w:rsidRPr="00576D60">
              <w:t>ad. 2001 No. 319</w:t>
            </w:r>
          </w:p>
        </w:tc>
      </w:tr>
      <w:tr w:rsidR="00E93F58" w:rsidRPr="00576D60" w14:paraId="5F3DEA67" w14:textId="77777777" w:rsidTr="002F32E3">
        <w:trPr>
          <w:cantSplit/>
        </w:trPr>
        <w:tc>
          <w:tcPr>
            <w:tcW w:w="1500" w:type="pct"/>
            <w:shd w:val="clear" w:color="auto" w:fill="auto"/>
          </w:tcPr>
          <w:p w14:paraId="68C94EF2" w14:textId="77777777" w:rsidR="00E93F58" w:rsidRPr="00576D60" w:rsidRDefault="00E93F58" w:rsidP="003D2B1E">
            <w:pPr>
              <w:pStyle w:val="ENoteTableText"/>
              <w:tabs>
                <w:tab w:val="left" w:leader="dot" w:pos="2268"/>
              </w:tabs>
            </w:pPr>
            <w:r w:rsidRPr="00576D60">
              <w:t>r. 10.2.137</w:t>
            </w:r>
            <w:r w:rsidRPr="00576D60">
              <w:tab/>
            </w:r>
          </w:p>
        </w:tc>
        <w:tc>
          <w:tcPr>
            <w:tcW w:w="3500" w:type="pct"/>
            <w:shd w:val="clear" w:color="auto" w:fill="auto"/>
          </w:tcPr>
          <w:p w14:paraId="0DE6830B" w14:textId="77777777" w:rsidR="00E93F58" w:rsidRPr="00576D60" w:rsidRDefault="00E93F58" w:rsidP="003D2B1E">
            <w:pPr>
              <w:pStyle w:val="ENoteTableText"/>
            </w:pPr>
            <w:r w:rsidRPr="00576D60">
              <w:t>ad. 2001 No. 319</w:t>
            </w:r>
          </w:p>
        </w:tc>
      </w:tr>
      <w:tr w:rsidR="00E93F58" w:rsidRPr="00576D60" w14:paraId="6AD71589" w14:textId="77777777" w:rsidTr="002F32E3">
        <w:trPr>
          <w:cantSplit/>
        </w:trPr>
        <w:tc>
          <w:tcPr>
            <w:tcW w:w="1500" w:type="pct"/>
            <w:shd w:val="clear" w:color="auto" w:fill="auto"/>
          </w:tcPr>
          <w:p w14:paraId="65564E1A" w14:textId="77777777" w:rsidR="00E93F58" w:rsidRPr="00576D60" w:rsidRDefault="00E93F58" w:rsidP="003D2B1E">
            <w:pPr>
              <w:pStyle w:val="ENoteTableText"/>
              <w:tabs>
                <w:tab w:val="left" w:leader="dot" w:pos="2268"/>
              </w:tabs>
            </w:pPr>
            <w:r w:rsidRPr="00576D60">
              <w:t>r. 10.2.138</w:t>
            </w:r>
            <w:r w:rsidRPr="00576D60">
              <w:tab/>
            </w:r>
          </w:p>
        </w:tc>
        <w:tc>
          <w:tcPr>
            <w:tcW w:w="3500" w:type="pct"/>
            <w:shd w:val="clear" w:color="auto" w:fill="auto"/>
          </w:tcPr>
          <w:p w14:paraId="3AFF2FBC" w14:textId="77777777" w:rsidR="00E93F58" w:rsidRPr="00576D60" w:rsidRDefault="00E93F58" w:rsidP="003D2B1E">
            <w:pPr>
              <w:pStyle w:val="ENoteTableText"/>
            </w:pPr>
            <w:r w:rsidRPr="00576D60">
              <w:t>ad. 2001 No. 319</w:t>
            </w:r>
          </w:p>
        </w:tc>
      </w:tr>
      <w:tr w:rsidR="00E93F58" w:rsidRPr="00576D60" w14:paraId="3593C74B" w14:textId="77777777" w:rsidTr="002F32E3">
        <w:trPr>
          <w:cantSplit/>
        </w:trPr>
        <w:tc>
          <w:tcPr>
            <w:tcW w:w="1500" w:type="pct"/>
            <w:shd w:val="clear" w:color="auto" w:fill="auto"/>
          </w:tcPr>
          <w:p w14:paraId="58622B98" w14:textId="77777777" w:rsidR="00E93F58" w:rsidRPr="00576D60" w:rsidRDefault="00E93F58" w:rsidP="003D2B1E">
            <w:pPr>
              <w:pStyle w:val="ENoteTableText"/>
            </w:pPr>
          </w:p>
        </w:tc>
        <w:tc>
          <w:tcPr>
            <w:tcW w:w="3500" w:type="pct"/>
            <w:shd w:val="clear" w:color="auto" w:fill="auto"/>
          </w:tcPr>
          <w:p w14:paraId="492F45C1" w14:textId="77777777" w:rsidR="00E93F58" w:rsidRPr="00576D60" w:rsidRDefault="00E93F58" w:rsidP="003D2B1E">
            <w:pPr>
              <w:pStyle w:val="ENoteTableText"/>
            </w:pPr>
            <w:r w:rsidRPr="00576D60">
              <w:t>am. 2002 No. 41</w:t>
            </w:r>
          </w:p>
        </w:tc>
      </w:tr>
      <w:tr w:rsidR="00E93F58" w:rsidRPr="00576D60" w14:paraId="4BCD93FD" w14:textId="77777777" w:rsidTr="002F32E3">
        <w:trPr>
          <w:cantSplit/>
        </w:trPr>
        <w:tc>
          <w:tcPr>
            <w:tcW w:w="1500" w:type="pct"/>
            <w:shd w:val="clear" w:color="auto" w:fill="auto"/>
          </w:tcPr>
          <w:p w14:paraId="01515B59" w14:textId="77777777" w:rsidR="00E93F58" w:rsidRPr="00576D60" w:rsidRDefault="00E93F58" w:rsidP="003D2B1E">
            <w:pPr>
              <w:pStyle w:val="ENoteTableText"/>
              <w:keepNext/>
              <w:keepLines/>
              <w:tabs>
                <w:tab w:val="left" w:leader="dot" w:pos="2268"/>
              </w:tabs>
              <w:rPr>
                <w:b/>
              </w:rPr>
            </w:pPr>
            <w:r>
              <w:rPr>
                <w:b/>
              </w:rPr>
              <w:t>Division 2</w:t>
            </w:r>
            <w:r w:rsidRPr="00576D60">
              <w:rPr>
                <w:b/>
              </w:rPr>
              <w:t>9</w:t>
            </w:r>
          </w:p>
        </w:tc>
        <w:tc>
          <w:tcPr>
            <w:tcW w:w="3500" w:type="pct"/>
            <w:shd w:val="clear" w:color="auto" w:fill="auto"/>
          </w:tcPr>
          <w:p w14:paraId="292A034E" w14:textId="77777777" w:rsidR="00E93F58" w:rsidRPr="00576D60" w:rsidRDefault="00E93F58" w:rsidP="003D2B1E">
            <w:pPr>
              <w:pStyle w:val="ENoteTableText"/>
              <w:keepNext/>
              <w:keepLines/>
            </w:pPr>
          </w:p>
        </w:tc>
      </w:tr>
      <w:tr w:rsidR="00E93F58" w:rsidRPr="00576D60" w14:paraId="45F37413" w14:textId="77777777" w:rsidTr="002F32E3">
        <w:trPr>
          <w:cantSplit/>
        </w:trPr>
        <w:tc>
          <w:tcPr>
            <w:tcW w:w="1500" w:type="pct"/>
            <w:shd w:val="clear" w:color="auto" w:fill="auto"/>
          </w:tcPr>
          <w:p w14:paraId="28B32F49" w14:textId="77777777" w:rsidR="00E93F58" w:rsidRPr="00576D60" w:rsidRDefault="00E93F58" w:rsidP="003D2B1E">
            <w:pPr>
              <w:pStyle w:val="ENoteTableText"/>
              <w:tabs>
                <w:tab w:val="left" w:leader="dot" w:pos="2268"/>
              </w:tabs>
            </w:pPr>
            <w:r>
              <w:t>Division 2</w:t>
            </w:r>
            <w:r w:rsidRPr="00576D60">
              <w:t xml:space="preserve">9 of </w:t>
            </w:r>
            <w:r>
              <w:t>Part 1</w:t>
            </w:r>
            <w:r w:rsidRPr="00576D60">
              <w:t>0.2</w:t>
            </w:r>
            <w:r w:rsidRPr="00576D60">
              <w:tab/>
            </w:r>
          </w:p>
        </w:tc>
        <w:tc>
          <w:tcPr>
            <w:tcW w:w="3500" w:type="pct"/>
            <w:shd w:val="clear" w:color="auto" w:fill="auto"/>
          </w:tcPr>
          <w:p w14:paraId="7D29C18F" w14:textId="77777777" w:rsidR="00E93F58" w:rsidRPr="00576D60" w:rsidRDefault="00E93F58" w:rsidP="003D2B1E">
            <w:pPr>
              <w:pStyle w:val="ENoteTableText"/>
            </w:pPr>
            <w:r w:rsidRPr="00576D60">
              <w:t>ad No 16, 2002</w:t>
            </w:r>
          </w:p>
        </w:tc>
      </w:tr>
      <w:tr w:rsidR="00E93F58" w:rsidRPr="00576D60" w14:paraId="744056CC" w14:textId="77777777" w:rsidTr="002F32E3">
        <w:trPr>
          <w:cantSplit/>
        </w:trPr>
        <w:tc>
          <w:tcPr>
            <w:tcW w:w="1500" w:type="pct"/>
            <w:shd w:val="clear" w:color="auto" w:fill="auto"/>
          </w:tcPr>
          <w:p w14:paraId="27B8D0C0" w14:textId="77777777" w:rsidR="00E93F58" w:rsidRPr="00576D60" w:rsidRDefault="00E93F58" w:rsidP="003D2B1E">
            <w:pPr>
              <w:pStyle w:val="ENoteTableText"/>
              <w:tabs>
                <w:tab w:val="left" w:leader="dot" w:pos="2268"/>
              </w:tabs>
            </w:pPr>
            <w:r w:rsidRPr="00576D60">
              <w:t>r 10.2.139</w:t>
            </w:r>
            <w:r w:rsidRPr="00576D60">
              <w:tab/>
            </w:r>
          </w:p>
        </w:tc>
        <w:tc>
          <w:tcPr>
            <w:tcW w:w="3500" w:type="pct"/>
            <w:shd w:val="clear" w:color="auto" w:fill="auto"/>
          </w:tcPr>
          <w:p w14:paraId="782D130A" w14:textId="77777777" w:rsidR="00E93F58" w:rsidRPr="00576D60" w:rsidRDefault="00E93F58" w:rsidP="003D2B1E">
            <w:pPr>
              <w:pStyle w:val="ENoteTableText"/>
            </w:pPr>
            <w:r w:rsidRPr="00576D60">
              <w:t>ad No 16, 2002</w:t>
            </w:r>
          </w:p>
        </w:tc>
      </w:tr>
      <w:tr w:rsidR="00E93F58" w:rsidRPr="00576D60" w14:paraId="62A6AC26" w14:textId="77777777" w:rsidTr="002F32E3">
        <w:trPr>
          <w:cantSplit/>
        </w:trPr>
        <w:tc>
          <w:tcPr>
            <w:tcW w:w="1500" w:type="pct"/>
            <w:shd w:val="clear" w:color="auto" w:fill="auto"/>
          </w:tcPr>
          <w:p w14:paraId="634ECD2A" w14:textId="77777777" w:rsidR="00E93F58" w:rsidRPr="00576D60" w:rsidRDefault="00E93F58" w:rsidP="003D2B1E">
            <w:pPr>
              <w:pStyle w:val="ENoteTableText"/>
              <w:tabs>
                <w:tab w:val="left" w:leader="dot" w:pos="2268"/>
              </w:tabs>
            </w:pPr>
            <w:r w:rsidRPr="00576D60">
              <w:t>r 10.2.140</w:t>
            </w:r>
            <w:r w:rsidRPr="00576D60">
              <w:tab/>
            </w:r>
          </w:p>
        </w:tc>
        <w:tc>
          <w:tcPr>
            <w:tcW w:w="3500" w:type="pct"/>
            <w:shd w:val="clear" w:color="auto" w:fill="auto"/>
          </w:tcPr>
          <w:p w14:paraId="6121A43D" w14:textId="77777777" w:rsidR="00E93F58" w:rsidRPr="00576D60" w:rsidRDefault="00E93F58" w:rsidP="003D2B1E">
            <w:pPr>
              <w:pStyle w:val="ENoteTableText"/>
            </w:pPr>
            <w:r w:rsidRPr="00576D60">
              <w:t>ad No 16, 2002</w:t>
            </w:r>
          </w:p>
        </w:tc>
      </w:tr>
      <w:tr w:rsidR="00E93F58" w:rsidRPr="00576D60" w14:paraId="3A876C5E" w14:textId="77777777" w:rsidTr="002F32E3">
        <w:trPr>
          <w:cantSplit/>
        </w:trPr>
        <w:tc>
          <w:tcPr>
            <w:tcW w:w="1500" w:type="pct"/>
            <w:shd w:val="clear" w:color="auto" w:fill="auto"/>
          </w:tcPr>
          <w:p w14:paraId="2F270E8A" w14:textId="77777777" w:rsidR="00E93F58" w:rsidRPr="00576D60" w:rsidRDefault="00E93F58" w:rsidP="003D2B1E">
            <w:pPr>
              <w:pStyle w:val="ENoteTableText"/>
              <w:tabs>
                <w:tab w:val="left" w:leader="dot" w:pos="2268"/>
              </w:tabs>
            </w:pPr>
            <w:r w:rsidRPr="00576D60">
              <w:t>r 10.2.141</w:t>
            </w:r>
            <w:r w:rsidRPr="00576D60">
              <w:tab/>
            </w:r>
          </w:p>
        </w:tc>
        <w:tc>
          <w:tcPr>
            <w:tcW w:w="3500" w:type="pct"/>
            <w:shd w:val="clear" w:color="auto" w:fill="auto"/>
          </w:tcPr>
          <w:p w14:paraId="08658AB8" w14:textId="77777777" w:rsidR="00E93F58" w:rsidRPr="00576D60" w:rsidRDefault="00E93F58" w:rsidP="003D2B1E">
            <w:pPr>
              <w:pStyle w:val="ENoteTableText"/>
            </w:pPr>
            <w:r w:rsidRPr="00576D60">
              <w:t>ad No 16, 2002</w:t>
            </w:r>
          </w:p>
        </w:tc>
      </w:tr>
      <w:tr w:rsidR="00E93F58" w:rsidRPr="00576D60" w14:paraId="4A01403A" w14:textId="77777777" w:rsidTr="002F32E3">
        <w:trPr>
          <w:cantSplit/>
        </w:trPr>
        <w:tc>
          <w:tcPr>
            <w:tcW w:w="1500" w:type="pct"/>
            <w:shd w:val="clear" w:color="auto" w:fill="auto"/>
          </w:tcPr>
          <w:p w14:paraId="78551C79" w14:textId="77777777" w:rsidR="00E93F58" w:rsidRPr="00576D60" w:rsidRDefault="00E93F58" w:rsidP="003D2B1E">
            <w:pPr>
              <w:pStyle w:val="ENoteTableText"/>
              <w:tabs>
                <w:tab w:val="left" w:leader="dot" w:pos="2268"/>
              </w:tabs>
            </w:pPr>
            <w:r w:rsidRPr="00576D60">
              <w:t>r 10.2.142</w:t>
            </w:r>
            <w:r w:rsidRPr="00576D60">
              <w:tab/>
            </w:r>
          </w:p>
        </w:tc>
        <w:tc>
          <w:tcPr>
            <w:tcW w:w="3500" w:type="pct"/>
            <w:shd w:val="clear" w:color="auto" w:fill="auto"/>
          </w:tcPr>
          <w:p w14:paraId="74325559" w14:textId="77777777" w:rsidR="00E93F58" w:rsidRPr="00576D60" w:rsidRDefault="00E93F58" w:rsidP="003D2B1E">
            <w:pPr>
              <w:pStyle w:val="ENoteTableText"/>
            </w:pPr>
            <w:r w:rsidRPr="00576D60">
              <w:t>ad No 16, 2002</w:t>
            </w:r>
          </w:p>
        </w:tc>
      </w:tr>
      <w:tr w:rsidR="00E93F58" w:rsidRPr="00576D60" w14:paraId="5A5C1AB0" w14:textId="77777777" w:rsidTr="002F32E3">
        <w:trPr>
          <w:cantSplit/>
        </w:trPr>
        <w:tc>
          <w:tcPr>
            <w:tcW w:w="1500" w:type="pct"/>
            <w:shd w:val="clear" w:color="auto" w:fill="auto"/>
          </w:tcPr>
          <w:p w14:paraId="2D09C584" w14:textId="77777777" w:rsidR="00E93F58" w:rsidRPr="00576D60" w:rsidRDefault="00E93F58" w:rsidP="003D2B1E">
            <w:pPr>
              <w:pStyle w:val="ENoteTableText"/>
              <w:tabs>
                <w:tab w:val="left" w:leader="dot" w:pos="2268"/>
              </w:tabs>
            </w:pPr>
            <w:r w:rsidRPr="00576D60">
              <w:t>r 10.2.143</w:t>
            </w:r>
            <w:r w:rsidRPr="00576D60">
              <w:tab/>
            </w:r>
          </w:p>
        </w:tc>
        <w:tc>
          <w:tcPr>
            <w:tcW w:w="3500" w:type="pct"/>
            <w:shd w:val="clear" w:color="auto" w:fill="auto"/>
          </w:tcPr>
          <w:p w14:paraId="6AEB27A0" w14:textId="77777777" w:rsidR="00E93F58" w:rsidRPr="00576D60" w:rsidRDefault="00E93F58" w:rsidP="003D2B1E">
            <w:pPr>
              <w:pStyle w:val="ENoteTableText"/>
            </w:pPr>
            <w:r w:rsidRPr="00576D60">
              <w:t>ad No 16, 2002</w:t>
            </w:r>
          </w:p>
        </w:tc>
      </w:tr>
      <w:tr w:rsidR="00E93F58" w:rsidRPr="00576D60" w14:paraId="65518356" w14:textId="77777777" w:rsidTr="002F32E3">
        <w:trPr>
          <w:cantSplit/>
        </w:trPr>
        <w:tc>
          <w:tcPr>
            <w:tcW w:w="1500" w:type="pct"/>
            <w:shd w:val="clear" w:color="auto" w:fill="auto"/>
          </w:tcPr>
          <w:p w14:paraId="1A78ABA1" w14:textId="77777777" w:rsidR="00E93F58" w:rsidRPr="00576D60" w:rsidRDefault="00E93F58" w:rsidP="003D2B1E">
            <w:pPr>
              <w:pStyle w:val="ENoteTableText"/>
              <w:tabs>
                <w:tab w:val="left" w:leader="dot" w:pos="2268"/>
              </w:tabs>
            </w:pPr>
            <w:r w:rsidRPr="00576D60">
              <w:t>r 10.2.144</w:t>
            </w:r>
            <w:r w:rsidRPr="00576D60">
              <w:tab/>
            </w:r>
          </w:p>
        </w:tc>
        <w:tc>
          <w:tcPr>
            <w:tcW w:w="3500" w:type="pct"/>
            <w:shd w:val="clear" w:color="auto" w:fill="auto"/>
          </w:tcPr>
          <w:p w14:paraId="225D033A" w14:textId="77777777" w:rsidR="00E93F58" w:rsidRPr="00576D60" w:rsidRDefault="00E93F58" w:rsidP="003D2B1E">
            <w:pPr>
              <w:pStyle w:val="ENoteTableText"/>
            </w:pPr>
            <w:r w:rsidRPr="00576D60">
              <w:t>ad No 16, 2002</w:t>
            </w:r>
          </w:p>
        </w:tc>
      </w:tr>
      <w:tr w:rsidR="00E93F58" w:rsidRPr="00576D60" w14:paraId="34AE9A6D" w14:textId="77777777" w:rsidTr="002F32E3">
        <w:trPr>
          <w:cantSplit/>
        </w:trPr>
        <w:tc>
          <w:tcPr>
            <w:tcW w:w="1500" w:type="pct"/>
            <w:shd w:val="clear" w:color="auto" w:fill="auto"/>
          </w:tcPr>
          <w:p w14:paraId="03286E16" w14:textId="77777777" w:rsidR="00E93F58" w:rsidRPr="00576D60" w:rsidRDefault="00E93F58" w:rsidP="003D2B1E">
            <w:pPr>
              <w:pStyle w:val="ENoteTableText"/>
              <w:tabs>
                <w:tab w:val="left" w:leader="dot" w:pos="2268"/>
              </w:tabs>
            </w:pPr>
            <w:r w:rsidRPr="00576D60">
              <w:t>r 10.2.145</w:t>
            </w:r>
            <w:r w:rsidRPr="00576D60">
              <w:tab/>
            </w:r>
          </w:p>
        </w:tc>
        <w:tc>
          <w:tcPr>
            <w:tcW w:w="3500" w:type="pct"/>
            <w:shd w:val="clear" w:color="auto" w:fill="auto"/>
          </w:tcPr>
          <w:p w14:paraId="4113EE6D" w14:textId="77777777" w:rsidR="00E93F58" w:rsidRPr="00576D60" w:rsidRDefault="00E93F58" w:rsidP="003D2B1E">
            <w:pPr>
              <w:pStyle w:val="ENoteTableText"/>
            </w:pPr>
            <w:r w:rsidRPr="00576D60">
              <w:t>ad No 16, 2002</w:t>
            </w:r>
          </w:p>
        </w:tc>
      </w:tr>
      <w:tr w:rsidR="00E93F58" w:rsidRPr="00576D60" w14:paraId="43C4E56A" w14:textId="77777777" w:rsidTr="002F32E3">
        <w:trPr>
          <w:cantSplit/>
        </w:trPr>
        <w:tc>
          <w:tcPr>
            <w:tcW w:w="1500" w:type="pct"/>
            <w:shd w:val="clear" w:color="auto" w:fill="auto"/>
          </w:tcPr>
          <w:p w14:paraId="29671560" w14:textId="77777777" w:rsidR="00E93F58" w:rsidRPr="00576D60" w:rsidRDefault="00E93F58" w:rsidP="003D2B1E">
            <w:pPr>
              <w:pStyle w:val="ENoteTableText"/>
              <w:tabs>
                <w:tab w:val="left" w:leader="dot" w:pos="2268"/>
              </w:tabs>
            </w:pPr>
            <w:r w:rsidRPr="00576D60">
              <w:t>r 10.2.146</w:t>
            </w:r>
            <w:r w:rsidRPr="00576D60">
              <w:tab/>
            </w:r>
          </w:p>
        </w:tc>
        <w:tc>
          <w:tcPr>
            <w:tcW w:w="3500" w:type="pct"/>
            <w:shd w:val="clear" w:color="auto" w:fill="auto"/>
          </w:tcPr>
          <w:p w14:paraId="72ABCC2E" w14:textId="77777777" w:rsidR="00E93F58" w:rsidRPr="00576D60" w:rsidRDefault="00E93F58" w:rsidP="003D2B1E">
            <w:pPr>
              <w:pStyle w:val="ENoteTableText"/>
            </w:pPr>
            <w:r w:rsidRPr="00576D60">
              <w:t>ad No 16, 2002</w:t>
            </w:r>
          </w:p>
        </w:tc>
      </w:tr>
      <w:tr w:rsidR="00E93F58" w:rsidRPr="00576D60" w14:paraId="103415E9" w14:textId="77777777" w:rsidTr="002F32E3">
        <w:trPr>
          <w:cantSplit/>
        </w:trPr>
        <w:tc>
          <w:tcPr>
            <w:tcW w:w="1500" w:type="pct"/>
            <w:shd w:val="clear" w:color="auto" w:fill="auto"/>
          </w:tcPr>
          <w:p w14:paraId="73A1F224" w14:textId="77777777" w:rsidR="00E93F58" w:rsidRPr="00576D60" w:rsidRDefault="00E93F58" w:rsidP="003D2B1E">
            <w:pPr>
              <w:pStyle w:val="ENoteTableText"/>
            </w:pPr>
          </w:p>
        </w:tc>
        <w:tc>
          <w:tcPr>
            <w:tcW w:w="3500" w:type="pct"/>
            <w:shd w:val="clear" w:color="auto" w:fill="auto"/>
          </w:tcPr>
          <w:p w14:paraId="26D338BB" w14:textId="77777777" w:rsidR="00E93F58" w:rsidRPr="00576D60" w:rsidRDefault="00E93F58" w:rsidP="003D2B1E">
            <w:pPr>
              <w:pStyle w:val="ENoteTableText"/>
            </w:pPr>
            <w:r w:rsidRPr="00576D60">
              <w:t>am. 2002 No. 41</w:t>
            </w:r>
          </w:p>
        </w:tc>
      </w:tr>
      <w:tr w:rsidR="00E93F58" w:rsidRPr="00576D60" w14:paraId="603966D1" w14:textId="77777777" w:rsidTr="002F32E3">
        <w:trPr>
          <w:cantSplit/>
        </w:trPr>
        <w:tc>
          <w:tcPr>
            <w:tcW w:w="1500" w:type="pct"/>
            <w:shd w:val="clear" w:color="auto" w:fill="auto"/>
          </w:tcPr>
          <w:p w14:paraId="3939330F" w14:textId="77777777" w:rsidR="00E93F58" w:rsidRPr="00576D60" w:rsidRDefault="00E93F58" w:rsidP="003D2B1E">
            <w:pPr>
              <w:pStyle w:val="ENoteTableText"/>
              <w:tabs>
                <w:tab w:val="left" w:leader="dot" w:pos="2268"/>
              </w:tabs>
              <w:rPr>
                <w:b/>
              </w:rPr>
            </w:pPr>
            <w:r w:rsidRPr="00576D60">
              <w:rPr>
                <w:b/>
              </w:rPr>
              <w:t>Division 30</w:t>
            </w:r>
          </w:p>
        </w:tc>
        <w:tc>
          <w:tcPr>
            <w:tcW w:w="3500" w:type="pct"/>
            <w:shd w:val="clear" w:color="auto" w:fill="auto"/>
          </w:tcPr>
          <w:p w14:paraId="62688EC1" w14:textId="77777777" w:rsidR="00E93F58" w:rsidRPr="00576D60" w:rsidRDefault="00E93F58" w:rsidP="003D2B1E">
            <w:pPr>
              <w:pStyle w:val="ENoteTableText"/>
            </w:pPr>
          </w:p>
        </w:tc>
      </w:tr>
      <w:tr w:rsidR="00E93F58" w:rsidRPr="00576D60" w14:paraId="1F7814C5" w14:textId="77777777" w:rsidTr="002F32E3">
        <w:trPr>
          <w:cantSplit/>
        </w:trPr>
        <w:tc>
          <w:tcPr>
            <w:tcW w:w="1500" w:type="pct"/>
            <w:shd w:val="clear" w:color="auto" w:fill="auto"/>
          </w:tcPr>
          <w:p w14:paraId="152A3E90" w14:textId="77777777" w:rsidR="00E93F58" w:rsidRPr="00576D60" w:rsidRDefault="00E93F58" w:rsidP="003D2B1E">
            <w:pPr>
              <w:pStyle w:val="ENoteTableText"/>
              <w:tabs>
                <w:tab w:val="left" w:leader="dot" w:pos="2268"/>
              </w:tabs>
            </w:pPr>
            <w:r w:rsidRPr="00576D60">
              <w:t xml:space="preserve">Division 30 of </w:t>
            </w:r>
            <w:r>
              <w:t>Part 1</w:t>
            </w:r>
            <w:r w:rsidRPr="00576D60">
              <w:t>0.2</w:t>
            </w:r>
            <w:r w:rsidRPr="00576D60">
              <w:tab/>
            </w:r>
          </w:p>
        </w:tc>
        <w:tc>
          <w:tcPr>
            <w:tcW w:w="3500" w:type="pct"/>
            <w:shd w:val="clear" w:color="auto" w:fill="auto"/>
          </w:tcPr>
          <w:p w14:paraId="10AEDD9A" w14:textId="77777777" w:rsidR="00E93F58" w:rsidRPr="00576D60" w:rsidRDefault="00E93F58" w:rsidP="003D2B1E">
            <w:pPr>
              <w:pStyle w:val="ENoteTableText"/>
            </w:pPr>
            <w:r w:rsidRPr="00576D60">
              <w:t>ad No 16, 2002</w:t>
            </w:r>
          </w:p>
        </w:tc>
      </w:tr>
      <w:tr w:rsidR="00E93F58" w:rsidRPr="00576D60" w14:paraId="18A81979" w14:textId="77777777" w:rsidTr="002F32E3">
        <w:trPr>
          <w:cantSplit/>
        </w:trPr>
        <w:tc>
          <w:tcPr>
            <w:tcW w:w="1500" w:type="pct"/>
            <w:shd w:val="clear" w:color="auto" w:fill="auto"/>
          </w:tcPr>
          <w:p w14:paraId="5CC18967" w14:textId="77777777" w:rsidR="00E93F58" w:rsidRPr="00576D60" w:rsidRDefault="00E93F58" w:rsidP="003D2B1E">
            <w:pPr>
              <w:pStyle w:val="ENoteTableText"/>
              <w:tabs>
                <w:tab w:val="left" w:leader="dot" w:pos="2268"/>
              </w:tabs>
            </w:pPr>
            <w:r w:rsidRPr="00576D60">
              <w:t>r 10.2.147</w:t>
            </w:r>
            <w:r w:rsidRPr="00576D60">
              <w:tab/>
            </w:r>
          </w:p>
        </w:tc>
        <w:tc>
          <w:tcPr>
            <w:tcW w:w="3500" w:type="pct"/>
            <w:shd w:val="clear" w:color="auto" w:fill="auto"/>
          </w:tcPr>
          <w:p w14:paraId="07C12B55" w14:textId="77777777" w:rsidR="00E93F58" w:rsidRPr="00576D60" w:rsidRDefault="00E93F58" w:rsidP="003D2B1E">
            <w:pPr>
              <w:pStyle w:val="ENoteTableText"/>
            </w:pPr>
            <w:r w:rsidRPr="00576D60">
              <w:t>ad No 16, 2002</w:t>
            </w:r>
          </w:p>
        </w:tc>
      </w:tr>
      <w:tr w:rsidR="00E93F58" w:rsidRPr="00576D60" w14:paraId="46B3EBC0" w14:textId="77777777" w:rsidTr="002F32E3">
        <w:trPr>
          <w:cantSplit/>
        </w:trPr>
        <w:tc>
          <w:tcPr>
            <w:tcW w:w="1500" w:type="pct"/>
            <w:shd w:val="clear" w:color="auto" w:fill="auto"/>
          </w:tcPr>
          <w:p w14:paraId="03E5F647" w14:textId="77777777" w:rsidR="00E93F58" w:rsidRPr="00576D60" w:rsidRDefault="00E93F58" w:rsidP="003D2B1E">
            <w:pPr>
              <w:pStyle w:val="ENoteTableText"/>
              <w:tabs>
                <w:tab w:val="left" w:leader="dot" w:pos="2268"/>
              </w:tabs>
            </w:pPr>
            <w:r w:rsidRPr="00576D60">
              <w:t>r 10.2.148</w:t>
            </w:r>
            <w:r w:rsidRPr="00576D60">
              <w:tab/>
            </w:r>
          </w:p>
        </w:tc>
        <w:tc>
          <w:tcPr>
            <w:tcW w:w="3500" w:type="pct"/>
            <w:shd w:val="clear" w:color="auto" w:fill="auto"/>
          </w:tcPr>
          <w:p w14:paraId="2825A190" w14:textId="77777777" w:rsidR="00E93F58" w:rsidRPr="00576D60" w:rsidRDefault="00E93F58" w:rsidP="003D2B1E">
            <w:pPr>
              <w:pStyle w:val="ENoteTableText"/>
            </w:pPr>
            <w:r w:rsidRPr="00576D60">
              <w:t>ad No 16, 2002</w:t>
            </w:r>
          </w:p>
        </w:tc>
      </w:tr>
      <w:tr w:rsidR="00E93F58" w:rsidRPr="00576D60" w14:paraId="06EECD10" w14:textId="77777777" w:rsidTr="002F32E3">
        <w:trPr>
          <w:cantSplit/>
        </w:trPr>
        <w:tc>
          <w:tcPr>
            <w:tcW w:w="1500" w:type="pct"/>
            <w:shd w:val="clear" w:color="auto" w:fill="auto"/>
          </w:tcPr>
          <w:p w14:paraId="7F6807CD" w14:textId="77777777" w:rsidR="00E93F58" w:rsidRPr="00576D60" w:rsidRDefault="00E93F58" w:rsidP="003D2B1E">
            <w:pPr>
              <w:pStyle w:val="ENoteTableText"/>
              <w:tabs>
                <w:tab w:val="left" w:leader="dot" w:pos="2268"/>
              </w:tabs>
            </w:pPr>
          </w:p>
        </w:tc>
        <w:tc>
          <w:tcPr>
            <w:tcW w:w="3500" w:type="pct"/>
            <w:shd w:val="clear" w:color="auto" w:fill="auto"/>
          </w:tcPr>
          <w:p w14:paraId="5500489F" w14:textId="77777777" w:rsidR="00E93F58" w:rsidRPr="00576D60" w:rsidRDefault="00E93F58" w:rsidP="003D2B1E">
            <w:pPr>
              <w:pStyle w:val="ENoteTableText"/>
            </w:pPr>
            <w:r w:rsidRPr="00576D60">
              <w:t>am No. 41, 2002</w:t>
            </w:r>
          </w:p>
        </w:tc>
      </w:tr>
      <w:tr w:rsidR="00E93F58" w:rsidRPr="00576D60" w14:paraId="5DAA007E" w14:textId="77777777" w:rsidTr="002F32E3">
        <w:trPr>
          <w:cantSplit/>
        </w:trPr>
        <w:tc>
          <w:tcPr>
            <w:tcW w:w="1500" w:type="pct"/>
            <w:shd w:val="clear" w:color="auto" w:fill="auto"/>
          </w:tcPr>
          <w:p w14:paraId="123D955D" w14:textId="77777777" w:rsidR="00E93F58" w:rsidRPr="00576D60" w:rsidRDefault="00E93F58" w:rsidP="003D2B1E">
            <w:pPr>
              <w:pStyle w:val="ENoteTableText"/>
              <w:tabs>
                <w:tab w:val="left" w:leader="dot" w:pos="2268"/>
              </w:tabs>
            </w:pPr>
            <w:r w:rsidRPr="00576D60">
              <w:t>r 10.2.149</w:t>
            </w:r>
            <w:r w:rsidRPr="00576D60">
              <w:tab/>
            </w:r>
          </w:p>
        </w:tc>
        <w:tc>
          <w:tcPr>
            <w:tcW w:w="3500" w:type="pct"/>
            <w:shd w:val="clear" w:color="auto" w:fill="auto"/>
          </w:tcPr>
          <w:p w14:paraId="5F97CD40" w14:textId="77777777" w:rsidR="00E93F58" w:rsidRPr="00576D60" w:rsidRDefault="00E93F58" w:rsidP="003D2B1E">
            <w:pPr>
              <w:pStyle w:val="ENoteTableText"/>
            </w:pPr>
            <w:r w:rsidRPr="00576D60">
              <w:t>ad No 16, 2002</w:t>
            </w:r>
          </w:p>
        </w:tc>
      </w:tr>
      <w:tr w:rsidR="00E93F58" w:rsidRPr="00576D60" w14:paraId="487772AD" w14:textId="77777777" w:rsidTr="002F32E3">
        <w:trPr>
          <w:cantSplit/>
        </w:trPr>
        <w:tc>
          <w:tcPr>
            <w:tcW w:w="1500" w:type="pct"/>
            <w:shd w:val="clear" w:color="auto" w:fill="auto"/>
          </w:tcPr>
          <w:p w14:paraId="5DE1BF5B" w14:textId="77777777" w:rsidR="00E93F58" w:rsidRPr="00576D60" w:rsidRDefault="00E93F58" w:rsidP="003D2B1E">
            <w:pPr>
              <w:pStyle w:val="ENoteTableText"/>
              <w:tabs>
                <w:tab w:val="left" w:leader="dot" w:pos="2268"/>
              </w:tabs>
            </w:pPr>
            <w:r w:rsidRPr="00576D60">
              <w:t>r 10.2.150</w:t>
            </w:r>
            <w:r w:rsidRPr="00576D60">
              <w:tab/>
            </w:r>
          </w:p>
        </w:tc>
        <w:tc>
          <w:tcPr>
            <w:tcW w:w="3500" w:type="pct"/>
            <w:shd w:val="clear" w:color="auto" w:fill="auto"/>
          </w:tcPr>
          <w:p w14:paraId="3877013E" w14:textId="77777777" w:rsidR="00E93F58" w:rsidRPr="00576D60" w:rsidRDefault="00E93F58" w:rsidP="003D2B1E">
            <w:pPr>
              <w:pStyle w:val="ENoteTableText"/>
            </w:pPr>
            <w:r w:rsidRPr="00576D60">
              <w:t>ad No 16, 2002</w:t>
            </w:r>
          </w:p>
        </w:tc>
      </w:tr>
      <w:tr w:rsidR="00E93F58" w:rsidRPr="00576D60" w14:paraId="12CD02AD" w14:textId="77777777" w:rsidTr="002F32E3">
        <w:trPr>
          <w:cantSplit/>
        </w:trPr>
        <w:tc>
          <w:tcPr>
            <w:tcW w:w="1500" w:type="pct"/>
            <w:shd w:val="clear" w:color="auto" w:fill="auto"/>
          </w:tcPr>
          <w:p w14:paraId="297737CE" w14:textId="77777777" w:rsidR="00E93F58" w:rsidRPr="00576D60" w:rsidRDefault="00E93F58" w:rsidP="003D2B1E">
            <w:pPr>
              <w:pStyle w:val="ENoteTableText"/>
              <w:tabs>
                <w:tab w:val="left" w:leader="dot" w:pos="2268"/>
              </w:tabs>
            </w:pPr>
            <w:r w:rsidRPr="00576D60">
              <w:t>r 10.2.151</w:t>
            </w:r>
            <w:r w:rsidRPr="00576D60">
              <w:tab/>
            </w:r>
          </w:p>
        </w:tc>
        <w:tc>
          <w:tcPr>
            <w:tcW w:w="3500" w:type="pct"/>
            <w:shd w:val="clear" w:color="auto" w:fill="auto"/>
          </w:tcPr>
          <w:p w14:paraId="5DA4B552" w14:textId="77777777" w:rsidR="00E93F58" w:rsidRPr="00576D60" w:rsidRDefault="00E93F58" w:rsidP="003D2B1E">
            <w:pPr>
              <w:pStyle w:val="ENoteTableText"/>
            </w:pPr>
            <w:r w:rsidRPr="00576D60">
              <w:t>ad No 16, 2002</w:t>
            </w:r>
          </w:p>
        </w:tc>
      </w:tr>
      <w:tr w:rsidR="00E93F58" w:rsidRPr="00576D60" w14:paraId="6E081C0D" w14:textId="77777777" w:rsidTr="002F32E3">
        <w:trPr>
          <w:cantSplit/>
        </w:trPr>
        <w:tc>
          <w:tcPr>
            <w:tcW w:w="1500" w:type="pct"/>
            <w:shd w:val="clear" w:color="auto" w:fill="auto"/>
          </w:tcPr>
          <w:p w14:paraId="5DEC724D" w14:textId="77777777" w:rsidR="00E93F58" w:rsidRPr="00576D60" w:rsidRDefault="00E93F58" w:rsidP="003D2B1E">
            <w:pPr>
              <w:pStyle w:val="ENoteTableText"/>
            </w:pPr>
          </w:p>
        </w:tc>
        <w:tc>
          <w:tcPr>
            <w:tcW w:w="3500" w:type="pct"/>
            <w:shd w:val="clear" w:color="auto" w:fill="auto"/>
          </w:tcPr>
          <w:p w14:paraId="52E9CA70" w14:textId="77777777" w:rsidR="00E93F58" w:rsidRPr="00576D60" w:rsidRDefault="00E93F58" w:rsidP="003D2B1E">
            <w:pPr>
              <w:pStyle w:val="ENoteTableText"/>
            </w:pPr>
            <w:r w:rsidRPr="00576D60">
              <w:t>am. 2002 No. 41</w:t>
            </w:r>
          </w:p>
        </w:tc>
      </w:tr>
      <w:tr w:rsidR="00E93F58" w:rsidRPr="00576D60" w14:paraId="5ABE29E7" w14:textId="77777777" w:rsidTr="002F32E3">
        <w:trPr>
          <w:cantSplit/>
        </w:trPr>
        <w:tc>
          <w:tcPr>
            <w:tcW w:w="1500" w:type="pct"/>
            <w:shd w:val="clear" w:color="auto" w:fill="auto"/>
          </w:tcPr>
          <w:p w14:paraId="4829181B" w14:textId="77777777" w:rsidR="00E93F58" w:rsidRPr="00576D60" w:rsidRDefault="00E93F58" w:rsidP="003D2B1E">
            <w:pPr>
              <w:pStyle w:val="ENoteTableText"/>
              <w:tabs>
                <w:tab w:val="left" w:leader="dot" w:pos="2268"/>
              </w:tabs>
            </w:pPr>
            <w:r w:rsidRPr="00576D60">
              <w:t>r 10.2.152</w:t>
            </w:r>
            <w:r w:rsidRPr="00576D60">
              <w:tab/>
            </w:r>
          </w:p>
        </w:tc>
        <w:tc>
          <w:tcPr>
            <w:tcW w:w="3500" w:type="pct"/>
            <w:shd w:val="clear" w:color="auto" w:fill="auto"/>
          </w:tcPr>
          <w:p w14:paraId="6B8EA789" w14:textId="77777777" w:rsidR="00E93F58" w:rsidRPr="00576D60" w:rsidRDefault="00E93F58" w:rsidP="003D2B1E">
            <w:pPr>
              <w:pStyle w:val="ENoteTableText"/>
            </w:pPr>
            <w:r w:rsidRPr="00576D60">
              <w:t>ad No 16, 2002</w:t>
            </w:r>
          </w:p>
        </w:tc>
      </w:tr>
      <w:tr w:rsidR="00E93F58" w:rsidRPr="00576D60" w14:paraId="306CADB6" w14:textId="77777777" w:rsidTr="002F32E3">
        <w:trPr>
          <w:cantSplit/>
        </w:trPr>
        <w:tc>
          <w:tcPr>
            <w:tcW w:w="1500" w:type="pct"/>
            <w:shd w:val="clear" w:color="auto" w:fill="auto"/>
          </w:tcPr>
          <w:p w14:paraId="4C5A7BED" w14:textId="77777777" w:rsidR="00E93F58" w:rsidRPr="00576D60" w:rsidRDefault="00E93F58" w:rsidP="003D2B1E">
            <w:pPr>
              <w:pStyle w:val="ENoteTableText"/>
              <w:tabs>
                <w:tab w:val="left" w:leader="dot" w:pos="2268"/>
              </w:tabs>
            </w:pPr>
            <w:r w:rsidRPr="00576D60">
              <w:t>r 10.2.153</w:t>
            </w:r>
            <w:r w:rsidRPr="00576D60">
              <w:tab/>
            </w:r>
          </w:p>
        </w:tc>
        <w:tc>
          <w:tcPr>
            <w:tcW w:w="3500" w:type="pct"/>
            <w:shd w:val="clear" w:color="auto" w:fill="auto"/>
          </w:tcPr>
          <w:p w14:paraId="46511A59" w14:textId="77777777" w:rsidR="00E93F58" w:rsidRPr="00576D60" w:rsidRDefault="00E93F58" w:rsidP="003D2B1E">
            <w:pPr>
              <w:pStyle w:val="ENoteTableText"/>
            </w:pPr>
            <w:r w:rsidRPr="00576D60">
              <w:t>ad No 16, 2002</w:t>
            </w:r>
          </w:p>
        </w:tc>
      </w:tr>
      <w:tr w:rsidR="00E93F58" w:rsidRPr="00576D60" w14:paraId="5D2B05AF" w14:textId="77777777" w:rsidTr="002F32E3">
        <w:trPr>
          <w:cantSplit/>
        </w:trPr>
        <w:tc>
          <w:tcPr>
            <w:tcW w:w="1500" w:type="pct"/>
            <w:shd w:val="clear" w:color="auto" w:fill="auto"/>
          </w:tcPr>
          <w:p w14:paraId="5450EFBD" w14:textId="77777777" w:rsidR="00E93F58" w:rsidRPr="00576D60" w:rsidRDefault="00E93F58" w:rsidP="003D2B1E">
            <w:pPr>
              <w:pStyle w:val="ENoteTableText"/>
              <w:tabs>
                <w:tab w:val="left" w:leader="dot" w:pos="2268"/>
              </w:tabs>
            </w:pPr>
            <w:r w:rsidRPr="00576D60">
              <w:t>r 10.2.154</w:t>
            </w:r>
            <w:r w:rsidRPr="00576D60">
              <w:tab/>
            </w:r>
          </w:p>
        </w:tc>
        <w:tc>
          <w:tcPr>
            <w:tcW w:w="3500" w:type="pct"/>
            <w:shd w:val="clear" w:color="auto" w:fill="auto"/>
          </w:tcPr>
          <w:p w14:paraId="400A1095" w14:textId="77777777" w:rsidR="00E93F58" w:rsidRPr="00576D60" w:rsidRDefault="00E93F58" w:rsidP="003D2B1E">
            <w:pPr>
              <w:pStyle w:val="ENoteTableText"/>
            </w:pPr>
            <w:r w:rsidRPr="00576D60">
              <w:t>ad No 16, 2002</w:t>
            </w:r>
          </w:p>
        </w:tc>
      </w:tr>
      <w:tr w:rsidR="00E93F58" w:rsidRPr="00576D60" w14:paraId="058A3655" w14:textId="77777777" w:rsidTr="002F32E3">
        <w:trPr>
          <w:cantSplit/>
        </w:trPr>
        <w:tc>
          <w:tcPr>
            <w:tcW w:w="1500" w:type="pct"/>
            <w:shd w:val="clear" w:color="auto" w:fill="auto"/>
          </w:tcPr>
          <w:p w14:paraId="5685F772" w14:textId="77777777" w:rsidR="00E93F58" w:rsidRPr="00576D60" w:rsidRDefault="00E93F58" w:rsidP="003D2B1E">
            <w:pPr>
              <w:pStyle w:val="ENoteTableText"/>
              <w:tabs>
                <w:tab w:val="left" w:leader="dot" w:pos="2268"/>
              </w:tabs>
            </w:pPr>
            <w:r w:rsidRPr="00576D60">
              <w:t>r 10.2.155</w:t>
            </w:r>
            <w:r w:rsidRPr="00576D60">
              <w:tab/>
            </w:r>
          </w:p>
        </w:tc>
        <w:tc>
          <w:tcPr>
            <w:tcW w:w="3500" w:type="pct"/>
            <w:shd w:val="clear" w:color="auto" w:fill="auto"/>
          </w:tcPr>
          <w:p w14:paraId="6C72A754" w14:textId="77777777" w:rsidR="00E93F58" w:rsidRPr="00576D60" w:rsidRDefault="00E93F58" w:rsidP="003D2B1E">
            <w:pPr>
              <w:pStyle w:val="ENoteTableText"/>
            </w:pPr>
            <w:r w:rsidRPr="00576D60">
              <w:t>ad No 16, 2002</w:t>
            </w:r>
          </w:p>
        </w:tc>
      </w:tr>
      <w:tr w:rsidR="00E93F58" w:rsidRPr="00576D60" w14:paraId="38D70F44" w14:textId="77777777" w:rsidTr="002F32E3">
        <w:trPr>
          <w:cantSplit/>
        </w:trPr>
        <w:tc>
          <w:tcPr>
            <w:tcW w:w="1500" w:type="pct"/>
            <w:shd w:val="clear" w:color="auto" w:fill="auto"/>
          </w:tcPr>
          <w:p w14:paraId="22531540" w14:textId="77777777" w:rsidR="00E93F58" w:rsidRPr="00576D60" w:rsidRDefault="00E93F58" w:rsidP="003D2B1E">
            <w:pPr>
              <w:pStyle w:val="ENoteTableText"/>
              <w:tabs>
                <w:tab w:val="left" w:leader="dot" w:pos="2268"/>
              </w:tabs>
            </w:pPr>
            <w:r w:rsidRPr="00576D60">
              <w:t>r 10.2.156</w:t>
            </w:r>
            <w:r w:rsidRPr="00576D60">
              <w:tab/>
            </w:r>
          </w:p>
        </w:tc>
        <w:tc>
          <w:tcPr>
            <w:tcW w:w="3500" w:type="pct"/>
            <w:shd w:val="clear" w:color="auto" w:fill="auto"/>
          </w:tcPr>
          <w:p w14:paraId="6862FED5" w14:textId="77777777" w:rsidR="00E93F58" w:rsidRPr="00576D60" w:rsidRDefault="00E93F58" w:rsidP="003D2B1E">
            <w:pPr>
              <w:pStyle w:val="ENoteTableText"/>
            </w:pPr>
            <w:r w:rsidRPr="00576D60">
              <w:t>ad No 16, 2002</w:t>
            </w:r>
          </w:p>
        </w:tc>
      </w:tr>
      <w:tr w:rsidR="00E93F58" w:rsidRPr="00576D60" w14:paraId="04651EA6" w14:textId="77777777" w:rsidTr="002F32E3">
        <w:trPr>
          <w:cantSplit/>
        </w:trPr>
        <w:tc>
          <w:tcPr>
            <w:tcW w:w="1500" w:type="pct"/>
            <w:shd w:val="clear" w:color="auto" w:fill="auto"/>
          </w:tcPr>
          <w:p w14:paraId="2D716E09" w14:textId="77777777" w:rsidR="00E93F58" w:rsidRPr="00576D60" w:rsidRDefault="00E93F58" w:rsidP="003D2B1E">
            <w:pPr>
              <w:pStyle w:val="ENoteTableText"/>
            </w:pPr>
          </w:p>
        </w:tc>
        <w:tc>
          <w:tcPr>
            <w:tcW w:w="3500" w:type="pct"/>
            <w:shd w:val="clear" w:color="auto" w:fill="auto"/>
          </w:tcPr>
          <w:p w14:paraId="739709F0" w14:textId="77777777" w:rsidR="00E93F58" w:rsidRPr="00576D60" w:rsidRDefault="00E93F58" w:rsidP="003D2B1E">
            <w:pPr>
              <w:pStyle w:val="ENoteTableText"/>
            </w:pPr>
            <w:r w:rsidRPr="00576D60">
              <w:t>am. 2002 No. 41</w:t>
            </w:r>
          </w:p>
        </w:tc>
      </w:tr>
      <w:tr w:rsidR="00E93F58" w:rsidRPr="00576D60" w14:paraId="38F5FCD6" w14:textId="77777777" w:rsidTr="002F32E3">
        <w:trPr>
          <w:cantSplit/>
        </w:trPr>
        <w:tc>
          <w:tcPr>
            <w:tcW w:w="1500" w:type="pct"/>
            <w:shd w:val="clear" w:color="auto" w:fill="auto"/>
          </w:tcPr>
          <w:p w14:paraId="36556D7E" w14:textId="77777777" w:rsidR="00E93F58" w:rsidRPr="00576D60" w:rsidRDefault="00E93F58" w:rsidP="003D2B1E">
            <w:pPr>
              <w:pStyle w:val="ENoteTableText"/>
              <w:tabs>
                <w:tab w:val="left" w:leader="dot" w:pos="2268"/>
              </w:tabs>
            </w:pPr>
            <w:r w:rsidRPr="00576D60">
              <w:lastRenderedPageBreak/>
              <w:t>r 10.2.157</w:t>
            </w:r>
            <w:r w:rsidRPr="00576D60">
              <w:tab/>
            </w:r>
          </w:p>
        </w:tc>
        <w:tc>
          <w:tcPr>
            <w:tcW w:w="3500" w:type="pct"/>
            <w:shd w:val="clear" w:color="auto" w:fill="auto"/>
          </w:tcPr>
          <w:p w14:paraId="0656548B" w14:textId="77777777" w:rsidR="00E93F58" w:rsidRPr="00576D60" w:rsidRDefault="00E93F58" w:rsidP="003D2B1E">
            <w:pPr>
              <w:pStyle w:val="ENoteTableText"/>
            </w:pPr>
            <w:r w:rsidRPr="00576D60">
              <w:t>ad No 16, 2002</w:t>
            </w:r>
          </w:p>
        </w:tc>
      </w:tr>
      <w:tr w:rsidR="00E93F58" w:rsidRPr="00576D60" w14:paraId="1C59B682" w14:textId="77777777" w:rsidTr="002F32E3">
        <w:trPr>
          <w:cantSplit/>
        </w:trPr>
        <w:tc>
          <w:tcPr>
            <w:tcW w:w="1500" w:type="pct"/>
            <w:shd w:val="clear" w:color="auto" w:fill="auto"/>
          </w:tcPr>
          <w:p w14:paraId="4FF17B41" w14:textId="77777777" w:rsidR="00E93F58" w:rsidRPr="00576D60" w:rsidRDefault="00E93F58" w:rsidP="003D2B1E">
            <w:pPr>
              <w:pStyle w:val="ENoteTableText"/>
              <w:tabs>
                <w:tab w:val="left" w:leader="dot" w:pos="2268"/>
              </w:tabs>
            </w:pPr>
            <w:r w:rsidRPr="00576D60">
              <w:t>r 10.2.158</w:t>
            </w:r>
            <w:r w:rsidRPr="00576D60">
              <w:tab/>
            </w:r>
          </w:p>
        </w:tc>
        <w:tc>
          <w:tcPr>
            <w:tcW w:w="3500" w:type="pct"/>
            <w:shd w:val="clear" w:color="auto" w:fill="auto"/>
          </w:tcPr>
          <w:p w14:paraId="7E123A76" w14:textId="77777777" w:rsidR="00E93F58" w:rsidRPr="00576D60" w:rsidRDefault="00E93F58" w:rsidP="003D2B1E">
            <w:pPr>
              <w:pStyle w:val="ENoteTableText"/>
            </w:pPr>
            <w:r w:rsidRPr="00576D60">
              <w:t>ad No 16, 2002</w:t>
            </w:r>
          </w:p>
        </w:tc>
      </w:tr>
      <w:tr w:rsidR="00E93F58" w:rsidRPr="00576D60" w14:paraId="081EB826" w14:textId="77777777" w:rsidTr="002F32E3">
        <w:trPr>
          <w:cantSplit/>
        </w:trPr>
        <w:tc>
          <w:tcPr>
            <w:tcW w:w="1500" w:type="pct"/>
            <w:shd w:val="clear" w:color="auto" w:fill="auto"/>
          </w:tcPr>
          <w:p w14:paraId="38BB5399" w14:textId="77777777" w:rsidR="00E93F58" w:rsidRPr="00576D60" w:rsidRDefault="00E93F58" w:rsidP="003D2B1E">
            <w:pPr>
              <w:pStyle w:val="ENoteTableText"/>
              <w:tabs>
                <w:tab w:val="left" w:leader="dot" w:pos="2268"/>
              </w:tabs>
            </w:pPr>
            <w:r w:rsidRPr="00576D60">
              <w:t>r 10.2.159</w:t>
            </w:r>
            <w:r w:rsidRPr="00576D60">
              <w:tab/>
            </w:r>
          </w:p>
        </w:tc>
        <w:tc>
          <w:tcPr>
            <w:tcW w:w="3500" w:type="pct"/>
            <w:shd w:val="clear" w:color="auto" w:fill="auto"/>
          </w:tcPr>
          <w:p w14:paraId="0582DB2B" w14:textId="77777777" w:rsidR="00E93F58" w:rsidRPr="00576D60" w:rsidRDefault="00E93F58" w:rsidP="003D2B1E">
            <w:pPr>
              <w:pStyle w:val="ENoteTableText"/>
            </w:pPr>
            <w:r w:rsidRPr="00576D60">
              <w:t>ad No 16, 2002</w:t>
            </w:r>
          </w:p>
        </w:tc>
      </w:tr>
      <w:tr w:rsidR="00E93F58" w:rsidRPr="00576D60" w14:paraId="4A2E330A" w14:textId="77777777" w:rsidTr="002F32E3">
        <w:trPr>
          <w:cantSplit/>
        </w:trPr>
        <w:tc>
          <w:tcPr>
            <w:tcW w:w="1500" w:type="pct"/>
            <w:shd w:val="clear" w:color="auto" w:fill="auto"/>
          </w:tcPr>
          <w:p w14:paraId="1D8B2DC6" w14:textId="77777777" w:rsidR="00E93F58" w:rsidRPr="00576D60" w:rsidRDefault="00E93F58" w:rsidP="003D2B1E">
            <w:pPr>
              <w:pStyle w:val="ENoteTableText"/>
              <w:tabs>
                <w:tab w:val="left" w:leader="dot" w:pos="2268"/>
              </w:tabs>
            </w:pPr>
            <w:r w:rsidRPr="00576D60">
              <w:t>r 10.2.160</w:t>
            </w:r>
            <w:r w:rsidRPr="00576D60">
              <w:tab/>
            </w:r>
          </w:p>
        </w:tc>
        <w:tc>
          <w:tcPr>
            <w:tcW w:w="3500" w:type="pct"/>
            <w:shd w:val="clear" w:color="auto" w:fill="auto"/>
          </w:tcPr>
          <w:p w14:paraId="7F67BF98" w14:textId="77777777" w:rsidR="00E93F58" w:rsidRPr="00576D60" w:rsidRDefault="00E93F58" w:rsidP="003D2B1E">
            <w:pPr>
              <w:pStyle w:val="ENoteTableText"/>
            </w:pPr>
            <w:r w:rsidRPr="00576D60">
              <w:t>ad No 16, 2002</w:t>
            </w:r>
          </w:p>
        </w:tc>
      </w:tr>
      <w:tr w:rsidR="00E93F58" w:rsidRPr="00576D60" w14:paraId="39114ACF" w14:textId="77777777" w:rsidTr="002F32E3">
        <w:trPr>
          <w:cantSplit/>
        </w:trPr>
        <w:tc>
          <w:tcPr>
            <w:tcW w:w="1500" w:type="pct"/>
            <w:shd w:val="clear" w:color="auto" w:fill="auto"/>
          </w:tcPr>
          <w:p w14:paraId="6968D42E" w14:textId="77777777" w:rsidR="00E93F58" w:rsidRPr="00576D60" w:rsidRDefault="00E93F58" w:rsidP="003D2B1E">
            <w:pPr>
              <w:pStyle w:val="ENoteTableText"/>
              <w:tabs>
                <w:tab w:val="left" w:leader="dot" w:pos="2268"/>
              </w:tabs>
            </w:pPr>
            <w:r w:rsidRPr="00576D60">
              <w:t>r 10.2.161</w:t>
            </w:r>
            <w:r w:rsidRPr="00576D60">
              <w:tab/>
            </w:r>
          </w:p>
        </w:tc>
        <w:tc>
          <w:tcPr>
            <w:tcW w:w="3500" w:type="pct"/>
            <w:shd w:val="clear" w:color="auto" w:fill="auto"/>
          </w:tcPr>
          <w:p w14:paraId="75A0E8D6" w14:textId="77777777" w:rsidR="00E93F58" w:rsidRPr="00576D60" w:rsidRDefault="00E93F58" w:rsidP="003D2B1E">
            <w:pPr>
              <w:pStyle w:val="ENoteTableText"/>
            </w:pPr>
            <w:r w:rsidRPr="00576D60">
              <w:t>ad No 16, 2002</w:t>
            </w:r>
          </w:p>
        </w:tc>
      </w:tr>
      <w:tr w:rsidR="00E93F58" w:rsidRPr="00576D60" w14:paraId="504E2E42" w14:textId="77777777" w:rsidTr="002F32E3">
        <w:trPr>
          <w:cantSplit/>
        </w:trPr>
        <w:tc>
          <w:tcPr>
            <w:tcW w:w="1500" w:type="pct"/>
            <w:shd w:val="clear" w:color="auto" w:fill="auto"/>
          </w:tcPr>
          <w:p w14:paraId="676FC4C8" w14:textId="77777777" w:rsidR="00E93F58" w:rsidRPr="00576D60" w:rsidRDefault="00E93F58" w:rsidP="003D2B1E">
            <w:pPr>
              <w:pStyle w:val="ENoteTableText"/>
              <w:tabs>
                <w:tab w:val="left" w:leader="dot" w:pos="2268"/>
              </w:tabs>
            </w:pPr>
            <w:r w:rsidRPr="00576D60">
              <w:t>r 10.2.162</w:t>
            </w:r>
            <w:r w:rsidRPr="00576D60">
              <w:tab/>
            </w:r>
          </w:p>
        </w:tc>
        <w:tc>
          <w:tcPr>
            <w:tcW w:w="3500" w:type="pct"/>
            <w:shd w:val="clear" w:color="auto" w:fill="auto"/>
          </w:tcPr>
          <w:p w14:paraId="45DD27D7" w14:textId="77777777" w:rsidR="00E93F58" w:rsidRPr="00576D60" w:rsidRDefault="00E93F58" w:rsidP="003D2B1E">
            <w:pPr>
              <w:pStyle w:val="ENoteTableText"/>
            </w:pPr>
            <w:r w:rsidRPr="00576D60">
              <w:t>ad No 16, 2002</w:t>
            </w:r>
          </w:p>
        </w:tc>
      </w:tr>
      <w:tr w:rsidR="00E93F58" w:rsidRPr="00576D60" w14:paraId="145A1496" w14:textId="77777777" w:rsidTr="002F32E3">
        <w:trPr>
          <w:cantSplit/>
        </w:trPr>
        <w:tc>
          <w:tcPr>
            <w:tcW w:w="1500" w:type="pct"/>
            <w:shd w:val="clear" w:color="auto" w:fill="auto"/>
          </w:tcPr>
          <w:p w14:paraId="62517AEF" w14:textId="77777777" w:rsidR="00E93F58" w:rsidRPr="00576D60" w:rsidRDefault="00E93F58" w:rsidP="003D2B1E">
            <w:pPr>
              <w:pStyle w:val="ENoteTableText"/>
              <w:tabs>
                <w:tab w:val="left" w:leader="dot" w:pos="2268"/>
              </w:tabs>
            </w:pPr>
            <w:r w:rsidRPr="00576D60">
              <w:t>r 10.2.163</w:t>
            </w:r>
            <w:r w:rsidRPr="00576D60">
              <w:tab/>
            </w:r>
          </w:p>
        </w:tc>
        <w:tc>
          <w:tcPr>
            <w:tcW w:w="3500" w:type="pct"/>
            <w:shd w:val="clear" w:color="auto" w:fill="auto"/>
          </w:tcPr>
          <w:p w14:paraId="6AE5FE4F" w14:textId="77777777" w:rsidR="00E93F58" w:rsidRPr="00576D60" w:rsidRDefault="00E93F58" w:rsidP="003D2B1E">
            <w:pPr>
              <w:pStyle w:val="ENoteTableText"/>
            </w:pPr>
            <w:r w:rsidRPr="00576D60">
              <w:t>ad No 16, 2002</w:t>
            </w:r>
          </w:p>
        </w:tc>
      </w:tr>
      <w:tr w:rsidR="00E93F58" w:rsidRPr="00576D60" w14:paraId="5AD27D9A" w14:textId="77777777" w:rsidTr="002F32E3">
        <w:trPr>
          <w:cantSplit/>
        </w:trPr>
        <w:tc>
          <w:tcPr>
            <w:tcW w:w="1500" w:type="pct"/>
            <w:shd w:val="clear" w:color="auto" w:fill="auto"/>
          </w:tcPr>
          <w:p w14:paraId="5ED489F2" w14:textId="77777777" w:rsidR="00E93F58" w:rsidRPr="00576D60" w:rsidRDefault="00E93F58" w:rsidP="003D2B1E">
            <w:pPr>
              <w:pStyle w:val="ENoteTableText"/>
              <w:tabs>
                <w:tab w:val="left" w:leader="dot" w:pos="2268"/>
              </w:tabs>
            </w:pPr>
            <w:r w:rsidRPr="00576D60">
              <w:t>r 10.2.164</w:t>
            </w:r>
            <w:r w:rsidRPr="00576D60">
              <w:tab/>
            </w:r>
          </w:p>
        </w:tc>
        <w:tc>
          <w:tcPr>
            <w:tcW w:w="3500" w:type="pct"/>
            <w:shd w:val="clear" w:color="auto" w:fill="auto"/>
          </w:tcPr>
          <w:p w14:paraId="1ABCDF62" w14:textId="77777777" w:rsidR="00E93F58" w:rsidRPr="00576D60" w:rsidRDefault="00E93F58" w:rsidP="003D2B1E">
            <w:pPr>
              <w:pStyle w:val="ENoteTableText"/>
            </w:pPr>
            <w:r w:rsidRPr="00576D60">
              <w:t>ad No 16, 2002</w:t>
            </w:r>
          </w:p>
        </w:tc>
      </w:tr>
      <w:tr w:rsidR="00E93F58" w:rsidRPr="00576D60" w14:paraId="1A1F39A9" w14:textId="77777777" w:rsidTr="002F32E3">
        <w:trPr>
          <w:cantSplit/>
        </w:trPr>
        <w:tc>
          <w:tcPr>
            <w:tcW w:w="1500" w:type="pct"/>
            <w:shd w:val="clear" w:color="auto" w:fill="auto"/>
          </w:tcPr>
          <w:p w14:paraId="58297654" w14:textId="77777777" w:rsidR="00E93F58" w:rsidRPr="00576D60" w:rsidRDefault="00E93F58" w:rsidP="003D2B1E">
            <w:pPr>
              <w:pStyle w:val="ENoteTableText"/>
              <w:tabs>
                <w:tab w:val="left" w:leader="dot" w:pos="2268"/>
              </w:tabs>
            </w:pPr>
            <w:r w:rsidRPr="00576D60">
              <w:t>r 10.2.165</w:t>
            </w:r>
            <w:r w:rsidRPr="00576D60">
              <w:tab/>
            </w:r>
          </w:p>
        </w:tc>
        <w:tc>
          <w:tcPr>
            <w:tcW w:w="3500" w:type="pct"/>
            <w:shd w:val="clear" w:color="auto" w:fill="auto"/>
          </w:tcPr>
          <w:p w14:paraId="49AD583F" w14:textId="77777777" w:rsidR="00E93F58" w:rsidRPr="00576D60" w:rsidRDefault="00E93F58" w:rsidP="003D2B1E">
            <w:pPr>
              <w:pStyle w:val="ENoteTableText"/>
            </w:pPr>
            <w:r w:rsidRPr="00576D60">
              <w:t>ad No 16, 2002</w:t>
            </w:r>
          </w:p>
        </w:tc>
      </w:tr>
      <w:tr w:rsidR="00E93F58" w:rsidRPr="00576D60" w14:paraId="6D26F0B2" w14:textId="77777777" w:rsidTr="002F32E3">
        <w:trPr>
          <w:cantSplit/>
        </w:trPr>
        <w:tc>
          <w:tcPr>
            <w:tcW w:w="1500" w:type="pct"/>
            <w:shd w:val="clear" w:color="auto" w:fill="auto"/>
          </w:tcPr>
          <w:p w14:paraId="3AF3DAE4" w14:textId="77777777" w:rsidR="00E93F58" w:rsidRPr="00576D60" w:rsidRDefault="00E93F58" w:rsidP="003D2B1E">
            <w:pPr>
              <w:pStyle w:val="ENoteTableText"/>
              <w:tabs>
                <w:tab w:val="left" w:leader="dot" w:pos="2268"/>
              </w:tabs>
            </w:pPr>
            <w:r w:rsidRPr="00576D60">
              <w:t>r 10.2.166</w:t>
            </w:r>
            <w:r w:rsidRPr="00576D60">
              <w:tab/>
            </w:r>
          </w:p>
        </w:tc>
        <w:tc>
          <w:tcPr>
            <w:tcW w:w="3500" w:type="pct"/>
            <w:shd w:val="clear" w:color="auto" w:fill="auto"/>
          </w:tcPr>
          <w:p w14:paraId="38213625" w14:textId="77777777" w:rsidR="00E93F58" w:rsidRPr="00576D60" w:rsidRDefault="00E93F58" w:rsidP="003D2B1E">
            <w:pPr>
              <w:pStyle w:val="ENoteTableText"/>
            </w:pPr>
            <w:r w:rsidRPr="00576D60">
              <w:t>ad No 16, 2002</w:t>
            </w:r>
          </w:p>
        </w:tc>
      </w:tr>
      <w:tr w:rsidR="00E93F58" w:rsidRPr="00576D60" w14:paraId="54F09976" w14:textId="77777777" w:rsidTr="002F32E3">
        <w:trPr>
          <w:cantSplit/>
        </w:trPr>
        <w:tc>
          <w:tcPr>
            <w:tcW w:w="1500" w:type="pct"/>
            <w:shd w:val="clear" w:color="auto" w:fill="auto"/>
          </w:tcPr>
          <w:p w14:paraId="09ECD2E8" w14:textId="77777777" w:rsidR="00E93F58" w:rsidRPr="00576D60" w:rsidRDefault="00E93F58" w:rsidP="003D2B1E">
            <w:pPr>
              <w:pStyle w:val="ENoteTableText"/>
              <w:tabs>
                <w:tab w:val="left" w:leader="dot" w:pos="2268"/>
              </w:tabs>
            </w:pPr>
            <w:r w:rsidRPr="00576D60">
              <w:t>r 10.2.167</w:t>
            </w:r>
            <w:r w:rsidRPr="00576D60">
              <w:tab/>
            </w:r>
          </w:p>
        </w:tc>
        <w:tc>
          <w:tcPr>
            <w:tcW w:w="3500" w:type="pct"/>
            <w:shd w:val="clear" w:color="auto" w:fill="auto"/>
          </w:tcPr>
          <w:p w14:paraId="5D63B3AB" w14:textId="77777777" w:rsidR="00E93F58" w:rsidRPr="00576D60" w:rsidRDefault="00E93F58" w:rsidP="003D2B1E">
            <w:pPr>
              <w:pStyle w:val="ENoteTableText"/>
            </w:pPr>
            <w:r w:rsidRPr="00576D60">
              <w:t>ad No 16, 2002</w:t>
            </w:r>
          </w:p>
        </w:tc>
      </w:tr>
      <w:tr w:rsidR="00E93F58" w:rsidRPr="00576D60" w14:paraId="6CDC62B5" w14:textId="77777777" w:rsidTr="002F32E3">
        <w:trPr>
          <w:cantSplit/>
        </w:trPr>
        <w:tc>
          <w:tcPr>
            <w:tcW w:w="1500" w:type="pct"/>
            <w:shd w:val="clear" w:color="auto" w:fill="auto"/>
          </w:tcPr>
          <w:p w14:paraId="2D3C24C0" w14:textId="77777777" w:rsidR="00E93F58" w:rsidRPr="00576D60" w:rsidRDefault="00E93F58" w:rsidP="003D2B1E">
            <w:pPr>
              <w:pStyle w:val="ENoteTableText"/>
              <w:tabs>
                <w:tab w:val="left" w:leader="dot" w:pos="2268"/>
              </w:tabs>
            </w:pPr>
            <w:r w:rsidRPr="00576D60">
              <w:t>r 10.2.168</w:t>
            </w:r>
            <w:r w:rsidRPr="00576D60">
              <w:tab/>
            </w:r>
          </w:p>
        </w:tc>
        <w:tc>
          <w:tcPr>
            <w:tcW w:w="3500" w:type="pct"/>
            <w:shd w:val="clear" w:color="auto" w:fill="auto"/>
          </w:tcPr>
          <w:p w14:paraId="775AAE44" w14:textId="77777777" w:rsidR="00E93F58" w:rsidRPr="00576D60" w:rsidRDefault="00E93F58" w:rsidP="003D2B1E">
            <w:pPr>
              <w:pStyle w:val="ENoteTableText"/>
            </w:pPr>
            <w:r w:rsidRPr="00576D60">
              <w:t>ad No 16, 2002</w:t>
            </w:r>
          </w:p>
        </w:tc>
      </w:tr>
      <w:tr w:rsidR="00E93F58" w:rsidRPr="00576D60" w14:paraId="0DB03C8B" w14:textId="77777777" w:rsidTr="002F32E3">
        <w:trPr>
          <w:cantSplit/>
        </w:trPr>
        <w:tc>
          <w:tcPr>
            <w:tcW w:w="1500" w:type="pct"/>
            <w:shd w:val="clear" w:color="auto" w:fill="auto"/>
          </w:tcPr>
          <w:p w14:paraId="5DC3AB45" w14:textId="77777777" w:rsidR="00E93F58" w:rsidRPr="00576D60" w:rsidRDefault="00E93F58" w:rsidP="003D2B1E">
            <w:pPr>
              <w:pStyle w:val="ENoteTableText"/>
              <w:tabs>
                <w:tab w:val="left" w:leader="dot" w:pos="2268"/>
              </w:tabs>
            </w:pPr>
            <w:r w:rsidRPr="00576D60">
              <w:t>r 10.2.169</w:t>
            </w:r>
            <w:r w:rsidRPr="00576D60">
              <w:tab/>
            </w:r>
          </w:p>
        </w:tc>
        <w:tc>
          <w:tcPr>
            <w:tcW w:w="3500" w:type="pct"/>
            <w:shd w:val="clear" w:color="auto" w:fill="auto"/>
          </w:tcPr>
          <w:p w14:paraId="368E5719" w14:textId="77777777" w:rsidR="00E93F58" w:rsidRPr="00576D60" w:rsidRDefault="00E93F58" w:rsidP="003D2B1E">
            <w:pPr>
              <w:pStyle w:val="ENoteTableText"/>
            </w:pPr>
            <w:r w:rsidRPr="00576D60">
              <w:t>ad No 16, 2002</w:t>
            </w:r>
          </w:p>
        </w:tc>
      </w:tr>
      <w:tr w:rsidR="00E93F58" w:rsidRPr="00576D60" w14:paraId="19FAA688" w14:textId="77777777" w:rsidTr="002F32E3">
        <w:trPr>
          <w:cantSplit/>
        </w:trPr>
        <w:tc>
          <w:tcPr>
            <w:tcW w:w="1500" w:type="pct"/>
            <w:shd w:val="clear" w:color="auto" w:fill="auto"/>
          </w:tcPr>
          <w:p w14:paraId="3D0F4789" w14:textId="77777777" w:rsidR="00E93F58" w:rsidRPr="00576D60" w:rsidRDefault="00E93F58" w:rsidP="003D2B1E">
            <w:pPr>
              <w:pStyle w:val="ENoteTableText"/>
            </w:pPr>
          </w:p>
        </w:tc>
        <w:tc>
          <w:tcPr>
            <w:tcW w:w="3500" w:type="pct"/>
            <w:shd w:val="clear" w:color="auto" w:fill="auto"/>
          </w:tcPr>
          <w:p w14:paraId="0E381E9A" w14:textId="77777777" w:rsidR="00E93F58" w:rsidRPr="00576D60" w:rsidRDefault="00E93F58" w:rsidP="003D2B1E">
            <w:pPr>
              <w:pStyle w:val="ENoteTableText"/>
            </w:pPr>
            <w:r w:rsidRPr="00576D60">
              <w:t>am. 2002 No. 41</w:t>
            </w:r>
          </w:p>
        </w:tc>
      </w:tr>
      <w:tr w:rsidR="00E93F58" w:rsidRPr="00576D60" w14:paraId="00262C0F" w14:textId="77777777" w:rsidTr="002F32E3">
        <w:trPr>
          <w:cantSplit/>
        </w:trPr>
        <w:tc>
          <w:tcPr>
            <w:tcW w:w="1500" w:type="pct"/>
            <w:shd w:val="clear" w:color="auto" w:fill="auto"/>
          </w:tcPr>
          <w:p w14:paraId="3FD365CE" w14:textId="77777777" w:rsidR="00E93F58" w:rsidRPr="00576D60" w:rsidRDefault="00E93F58" w:rsidP="003D2B1E">
            <w:pPr>
              <w:pStyle w:val="ENoteTableText"/>
              <w:tabs>
                <w:tab w:val="left" w:leader="dot" w:pos="2268"/>
              </w:tabs>
            </w:pPr>
            <w:r w:rsidRPr="00576D60">
              <w:t>r 10.2.170</w:t>
            </w:r>
            <w:r w:rsidRPr="00576D60">
              <w:tab/>
            </w:r>
          </w:p>
        </w:tc>
        <w:tc>
          <w:tcPr>
            <w:tcW w:w="3500" w:type="pct"/>
            <w:shd w:val="clear" w:color="auto" w:fill="auto"/>
          </w:tcPr>
          <w:p w14:paraId="2BF564BB" w14:textId="77777777" w:rsidR="00E93F58" w:rsidRPr="00576D60" w:rsidRDefault="00E93F58" w:rsidP="003D2B1E">
            <w:pPr>
              <w:pStyle w:val="ENoteTableText"/>
            </w:pPr>
            <w:r w:rsidRPr="00576D60">
              <w:t>ad No 16, 2002</w:t>
            </w:r>
          </w:p>
        </w:tc>
      </w:tr>
      <w:tr w:rsidR="00E93F58" w:rsidRPr="00576D60" w14:paraId="4FDCB7F8" w14:textId="77777777" w:rsidTr="002F32E3">
        <w:trPr>
          <w:cantSplit/>
        </w:trPr>
        <w:tc>
          <w:tcPr>
            <w:tcW w:w="1500" w:type="pct"/>
            <w:shd w:val="clear" w:color="auto" w:fill="auto"/>
          </w:tcPr>
          <w:p w14:paraId="5374F1EC" w14:textId="77777777" w:rsidR="00E93F58" w:rsidRPr="00576D60" w:rsidRDefault="00E93F58" w:rsidP="003D2B1E">
            <w:pPr>
              <w:pStyle w:val="ENoteTableText"/>
              <w:keepNext/>
              <w:keepLines/>
              <w:tabs>
                <w:tab w:val="left" w:leader="dot" w:pos="2268"/>
              </w:tabs>
              <w:rPr>
                <w:b/>
              </w:rPr>
            </w:pPr>
            <w:r w:rsidRPr="00576D60">
              <w:rPr>
                <w:b/>
              </w:rPr>
              <w:t>Division 31</w:t>
            </w:r>
          </w:p>
        </w:tc>
        <w:tc>
          <w:tcPr>
            <w:tcW w:w="3500" w:type="pct"/>
            <w:shd w:val="clear" w:color="auto" w:fill="auto"/>
          </w:tcPr>
          <w:p w14:paraId="4871C699" w14:textId="77777777" w:rsidR="00E93F58" w:rsidRPr="00576D60" w:rsidRDefault="00E93F58" w:rsidP="003D2B1E">
            <w:pPr>
              <w:pStyle w:val="ENoteTableText"/>
            </w:pPr>
          </w:p>
        </w:tc>
      </w:tr>
      <w:tr w:rsidR="00E93F58" w:rsidRPr="00576D60" w14:paraId="5B5FCD9A" w14:textId="77777777" w:rsidTr="002F32E3">
        <w:trPr>
          <w:cantSplit/>
        </w:trPr>
        <w:tc>
          <w:tcPr>
            <w:tcW w:w="1500" w:type="pct"/>
            <w:shd w:val="clear" w:color="auto" w:fill="auto"/>
          </w:tcPr>
          <w:p w14:paraId="618A7D82" w14:textId="77777777" w:rsidR="00E93F58" w:rsidRPr="00576D60" w:rsidRDefault="00E93F58" w:rsidP="003D2B1E">
            <w:pPr>
              <w:pStyle w:val="ENoteTableText"/>
              <w:tabs>
                <w:tab w:val="left" w:leader="dot" w:pos="2268"/>
              </w:tabs>
            </w:pPr>
            <w:r w:rsidRPr="00576D60">
              <w:t xml:space="preserve">Division 31 of </w:t>
            </w:r>
            <w:r>
              <w:t>Part 1</w:t>
            </w:r>
            <w:r w:rsidRPr="00576D60">
              <w:t>0.2</w:t>
            </w:r>
            <w:r w:rsidRPr="00576D60">
              <w:tab/>
            </w:r>
          </w:p>
        </w:tc>
        <w:tc>
          <w:tcPr>
            <w:tcW w:w="3500" w:type="pct"/>
            <w:shd w:val="clear" w:color="auto" w:fill="auto"/>
          </w:tcPr>
          <w:p w14:paraId="18FDCAF5" w14:textId="77777777" w:rsidR="00E93F58" w:rsidRPr="00576D60" w:rsidRDefault="00E93F58" w:rsidP="003D2B1E">
            <w:pPr>
              <w:pStyle w:val="ENoteTableText"/>
            </w:pPr>
            <w:r w:rsidRPr="00576D60">
              <w:t>ad No 16, 2002</w:t>
            </w:r>
          </w:p>
        </w:tc>
      </w:tr>
      <w:tr w:rsidR="00E93F58" w:rsidRPr="00576D60" w14:paraId="75A6050B" w14:textId="77777777" w:rsidTr="002F32E3">
        <w:trPr>
          <w:cantSplit/>
        </w:trPr>
        <w:tc>
          <w:tcPr>
            <w:tcW w:w="1500" w:type="pct"/>
            <w:shd w:val="clear" w:color="auto" w:fill="auto"/>
          </w:tcPr>
          <w:p w14:paraId="055F7A6B" w14:textId="77777777" w:rsidR="00E93F58" w:rsidRPr="00576D60" w:rsidRDefault="00E93F58" w:rsidP="003D2B1E">
            <w:pPr>
              <w:pStyle w:val="ENoteTableText"/>
              <w:tabs>
                <w:tab w:val="left" w:leader="dot" w:pos="2268"/>
              </w:tabs>
            </w:pPr>
            <w:r w:rsidRPr="00576D60">
              <w:t>r 10.2.171</w:t>
            </w:r>
            <w:r w:rsidRPr="00576D60">
              <w:tab/>
            </w:r>
          </w:p>
        </w:tc>
        <w:tc>
          <w:tcPr>
            <w:tcW w:w="3500" w:type="pct"/>
            <w:shd w:val="clear" w:color="auto" w:fill="auto"/>
          </w:tcPr>
          <w:p w14:paraId="3AE81CCF" w14:textId="77777777" w:rsidR="00E93F58" w:rsidRPr="00576D60" w:rsidRDefault="00E93F58" w:rsidP="003D2B1E">
            <w:pPr>
              <w:pStyle w:val="ENoteTableText"/>
            </w:pPr>
            <w:r w:rsidRPr="00576D60">
              <w:t>ad No 16, 2002</w:t>
            </w:r>
          </w:p>
        </w:tc>
      </w:tr>
      <w:tr w:rsidR="00E93F58" w:rsidRPr="00576D60" w14:paraId="6475F263" w14:textId="77777777" w:rsidTr="002F32E3">
        <w:trPr>
          <w:cantSplit/>
        </w:trPr>
        <w:tc>
          <w:tcPr>
            <w:tcW w:w="1500" w:type="pct"/>
            <w:shd w:val="clear" w:color="auto" w:fill="auto"/>
          </w:tcPr>
          <w:p w14:paraId="7D1C5AA6" w14:textId="77777777" w:rsidR="00E93F58" w:rsidRPr="00576D60" w:rsidRDefault="00E93F58" w:rsidP="003D2B1E">
            <w:pPr>
              <w:pStyle w:val="ENoteTableText"/>
              <w:tabs>
                <w:tab w:val="left" w:leader="dot" w:pos="2268"/>
              </w:tabs>
            </w:pPr>
            <w:r w:rsidRPr="00576D60">
              <w:t>r 10.2.172</w:t>
            </w:r>
            <w:r w:rsidRPr="00576D60">
              <w:tab/>
            </w:r>
          </w:p>
        </w:tc>
        <w:tc>
          <w:tcPr>
            <w:tcW w:w="3500" w:type="pct"/>
            <w:shd w:val="clear" w:color="auto" w:fill="auto"/>
          </w:tcPr>
          <w:p w14:paraId="43CE829F" w14:textId="77777777" w:rsidR="00E93F58" w:rsidRPr="00576D60" w:rsidRDefault="00E93F58" w:rsidP="003D2B1E">
            <w:pPr>
              <w:pStyle w:val="ENoteTableText"/>
            </w:pPr>
            <w:r w:rsidRPr="00576D60">
              <w:t>ad No 16, 2002</w:t>
            </w:r>
          </w:p>
        </w:tc>
      </w:tr>
      <w:tr w:rsidR="00E93F58" w:rsidRPr="00576D60" w14:paraId="60462ECE" w14:textId="77777777" w:rsidTr="002F32E3">
        <w:trPr>
          <w:cantSplit/>
        </w:trPr>
        <w:tc>
          <w:tcPr>
            <w:tcW w:w="1500" w:type="pct"/>
            <w:shd w:val="clear" w:color="auto" w:fill="auto"/>
          </w:tcPr>
          <w:p w14:paraId="1BE0BDFF" w14:textId="77777777" w:rsidR="00E93F58" w:rsidRPr="00576D60" w:rsidRDefault="00E93F58" w:rsidP="003D2B1E">
            <w:pPr>
              <w:pStyle w:val="ENoteTableText"/>
              <w:tabs>
                <w:tab w:val="left" w:leader="dot" w:pos="2268"/>
              </w:tabs>
            </w:pPr>
            <w:r w:rsidRPr="00576D60">
              <w:t>r 10.2.173</w:t>
            </w:r>
            <w:r w:rsidRPr="00576D60">
              <w:tab/>
            </w:r>
          </w:p>
        </w:tc>
        <w:tc>
          <w:tcPr>
            <w:tcW w:w="3500" w:type="pct"/>
            <w:shd w:val="clear" w:color="auto" w:fill="auto"/>
          </w:tcPr>
          <w:p w14:paraId="17E5A70C" w14:textId="77777777" w:rsidR="00E93F58" w:rsidRPr="00576D60" w:rsidRDefault="00E93F58" w:rsidP="003D2B1E">
            <w:pPr>
              <w:pStyle w:val="ENoteTableText"/>
            </w:pPr>
            <w:r w:rsidRPr="00576D60">
              <w:t>ad No 16, 2002</w:t>
            </w:r>
          </w:p>
        </w:tc>
      </w:tr>
      <w:tr w:rsidR="00E93F58" w:rsidRPr="00576D60" w14:paraId="0E31DCAE" w14:textId="77777777" w:rsidTr="002F32E3">
        <w:trPr>
          <w:cantSplit/>
        </w:trPr>
        <w:tc>
          <w:tcPr>
            <w:tcW w:w="1500" w:type="pct"/>
            <w:shd w:val="clear" w:color="auto" w:fill="auto"/>
          </w:tcPr>
          <w:p w14:paraId="7F7E7E8E" w14:textId="77777777" w:rsidR="00E93F58" w:rsidRPr="00576D60" w:rsidRDefault="00E93F58" w:rsidP="003D2B1E">
            <w:pPr>
              <w:pStyle w:val="ENoteTableText"/>
              <w:tabs>
                <w:tab w:val="left" w:leader="dot" w:pos="2268"/>
              </w:tabs>
            </w:pPr>
            <w:r w:rsidRPr="00576D60">
              <w:t>r 10.2.174</w:t>
            </w:r>
            <w:r w:rsidRPr="00576D60">
              <w:tab/>
            </w:r>
          </w:p>
        </w:tc>
        <w:tc>
          <w:tcPr>
            <w:tcW w:w="3500" w:type="pct"/>
            <w:shd w:val="clear" w:color="auto" w:fill="auto"/>
          </w:tcPr>
          <w:p w14:paraId="32CA191B" w14:textId="77777777" w:rsidR="00E93F58" w:rsidRPr="00576D60" w:rsidRDefault="00E93F58" w:rsidP="003D2B1E">
            <w:pPr>
              <w:pStyle w:val="ENoteTableText"/>
            </w:pPr>
            <w:r w:rsidRPr="00576D60">
              <w:t>ad No 16, 2002</w:t>
            </w:r>
          </w:p>
        </w:tc>
      </w:tr>
      <w:tr w:rsidR="00E93F58" w:rsidRPr="00576D60" w14:paraId="608D7FBC" w14:textId="77777777" w:rsidTr="002F32E3">
        <w:trPr>
          <w:cantSplit/>
        </w:trPr>
        <w:tc>
          <w:tcPr>
            <w:tcW w:w="1500" w:type="pct"/>
            <w:shd w:val="clear" w:color="auto" w:fill="auto"/>
          </w:tcPr>
          <w:p w14:paraId="29EBB7B5" w14:textId="77777777" w:rsidR="00E93F58" w:rsidRPr="00576D60" w:rsidRDefault="00E93F58" w:rsidP="003D2B1E">
            <w:pPr>
              <w:pStyle w:val="ENoteTableText"/>
              <w:tabs>
                <w:tab w:val="left" w:leader="dot" w:pos="2268"/>
              </w:tabs>
            </w:pPr>
            <w:r w:rsidRPr="00576D60">
              <w:t>r 10.2.175</w:t>
            </w:r>
            <w:r w:rsidRPr="00576D60">
              <w:tab/>
            </w:r>
          </w:p>
        </w:tc>
        <w:tc>
          <w:tcPr>
            <w:tcW w:w="3500" w:type="pct"/>
            <w:shd w:val="clear" w:color="auto" w:fill="auto"/>
          </w:tcPr>
          <w:p w14:paraId="52F372F2" w14:textId="77777777" w:rsidR="00E93F58" w:rsidRPr="00576D60" w:rsidRDefault="00E93F58" w:rsidP="003D2B1E">
            <w:pPr>
              <w:pStyle w:val="ENoteTableText"/>
            </w:pPr>
            <w:r w:rsidRPr="00576D60">
              <w:t>ad No 16, 2002</w:t>
            </w:r>
          </w:p>
        </w:tc>
      </w:tr>
      <w:tr w:rsidR="00E93F58" w:rsidRPr="00576D60" w14:paraId="5A2D24AC" w14:textId="77777777" w:rsidTr="002F32E3">
        <w:trPr>
          <w:cantSplit/>
        </w:trPr>
        <w:tc>
          <w:tcPr>
            <w:tcW w:w="1500" w:type="pct"/>
            <w:shd w:val="clear" w:color="auto" w:fill="auto"/>
          </w:tcPr>
          <w:p w14:paraId="2F6A36A0" w14:textId="77777777" w:rsidR="00E93F58" w:rsidRPr="00576D60" w:rsidRDefault="00E93F58" w:rsidP="003D2B1E">
            <w:pPr>
              <w:pStyle w:val="ENoteTableText"/>
              <w:tabs>
                <w:tab w:val="left" w:leader="dot" w:pos="2268"/>
              </w:tabs>
              <w:rPr>
                <w:b/>
              </w:rPr>
            </w:pPr>
            <w:r w:rsidRPr="00576D60">
              <w:rPr>
                <w:b/>
              </w:rPr>
              <w:t>Division 32</w:t>
            </w:r>
          </w:p>
        </w:tc>
        <w:tc>
          <w:tcPr>
            <w:tcW w:w="3500" w:type="pct"/>
            <w:shd w:val="clear" w:color="auto" w:fill="auto"/>
          </w:tcPr>
          <w:p w14:paraId="18BE5E1C" w14:textId="77777777" w:rsidR="00E93F58" w:rsidRPr="00576D60" w:rsidRDefault="00E93F58" w:rsidP="003D2B1E">
            <w:pPr>
              <w:pStyle w:val="ENoteTableText"/>
              <w:keepNext/>
              <w:keepLines/>
            </w:pPr>
          </w:p>
        </w:tc>
      </w:tr>
      <w:tr w:rsidR="00E93F58" w:rsidRPr="00576D60" w14:paraId="798AC990" w14:textId="77777777" w:rsidTr="002F32E3">
        <w:trPr>
          <w:cantSplit/>
        </w:trPr>
        <w:tc>
          <w:tcPr>
            <w:tcW w:w="1500" w:type="pct"/>
            <w:shd w:val="clear" w:color="auto" w:fill="auto"/>
          </w:tcPr>
          <w:p w14:paraId="10E4C5C9" w14:textId="77777777" w:rsidR="00E93F58" w:rsidRPr="00576D60" w:rsidRDefault="00E93F58" w:rsidP="003D2B1E">
            <w:pPr>
              <w:pStyle w:val="ENoteTableText"/>
              <w:tabs>
                <w:tab w:val="left" w:leader="dot" w:pos="2268"/>
              </w:tabs>
            </w:pPr>
            <w:r w:rsidRPr="00576D60">
              <w:t xml:space="preserve">Division 32 of </w:t>
            </w:r>
            <w:r>
              <w:t>Part 1</w:t>
            </w:r>
            <w:r w:rsidRPr="00576D60">
              <w:t>0.2</w:t>
            </w:r>
            <w:r w:rsidRPr="00576D60">
              <w:tab/>
            </w:r>
          </w:p>
        </w:tc>
        <w:tc>
          <w:tcPr>
            <w:tcW w:w="3500" w:type="pct"/>
            <w:shd w:val="clear" w:color="auto" w:fill="auto"/>
          </w:tcPr>
          <w:p w14:paraId="338467B1" w14:textId="77777777" w:rsidR="00E93F58" w:rsidRPr="00576D60" w:rsidRDefault="00E93F58" w:rsidP="003D2B1E">
            <w:pPr>
              <w:pStyle w:val="ENoteTableText"/>
            </w:pPr>
            <w:r w:rsidRPr="00576D60">
              <w:t>ad No 16, 2002</w:t>
            </w:r>
          </w:p>
        </w:tc>
      </w:tr>
      <w:tr w:rsidR="00E93F58" w:rsidRPr="00576D60" w14:paraId="7E039EEA" w14:textId="77777777" w:rsidTr="002F32E3">
        <w:trPr>
          <w:cantSplit/>
        </w:trPr>
        <w:tc>
          <w:tcPr>
            <w:tcW w:w="1500" w:type="pct"/>
            <w:shd w:val="clear" w:color="auto" w:fill="auto"/>
          </w:tcPr>
          <w:p w14:paraId="5C639877" w14:textId="77777777" w:rsidR="00E93F58" w:rsidRPr="00576D60" w:rsidRDefault="00E93F58" w:rsidP="003D2B1E">
            <w:pPr>
              <w:pStyle w:val="ENoteTableText"/>
              <w:tabs>
                <w:tab w:val="left" w:leader="dot" w:pos="2268"/>
              </w:tabs>
            </w:pPr>
            <w:r w:rsidRPr="00576D60">
              <w:t>r 10.2.176</w:t>
            </w:r>
            <w:r w:rsidRPr="00576D60">
              <w:tab/>
            </w:r>
          </w:p>
        </w:tc>
        <w:tc>
          <w:tcPr>
            <w:tcW w:w="3500" w:type="pct"/>
            <w:shd w:val="clear" w:color="auto" w:fill="auto"/>
          </w:tcPr>
          <w:p w14:paraId="73DCF082" w14:textId="77777777" w:rsidR="00E93F58" w:rsidRPr="00576D60" w:rsidRDefault="00E93F58" w:rsidP="003D2B1E">
            <w:pPr>
              <w:pStyle w:val="ENoteTableText"/>
            </w:pPr>
            <w:r w:rsidRPr="00576D60">
              <w:t>ad No 16, 2002</w:t>
            </w:r>
          </w:p>
        </w:tc>
      </w:tr>
      <w:tr w:rsidR="00E93F58" w:rsidRPr="00576D60" w14:paraId="771212D4" w14:textId="77777777" w:rsidTr="002F32E3">
        <w:trPr>
          <w:cantSplit/>
        </w:trPr>
        <w:tc>
          <w:tcPr>
            <w:tcW w:w="1500" w:type="pct"/>
            <w:shd w:val="clear" w:color="auto" w:fill="auto"/>
          </w:tcPr>
          <w:p w14:paraId="6BF4623A" w14:textId="77777777" w:rsidR="00E93F58" w:rsidRPr="00576D60" w:rsidRDefault="00E93F58" w:rsidP="003D2B1E">
            <w:pPr>
              <w:pStyle w:val="ENoteTableText"/>
              <w:tabs>
                <w:tab w:val="left" w:leader="dot" w:pos="2268"/>
              </w:tabs>
            </w:pPr>
            <w:r w:rsidRPr="00576D60">
              <w:t>r 10.2.177</w:t>
            </w:r>
            <w:r w:rsidRPr="00576D60">
              <w:tab/>
            </w:r>
          </w:p>
        </w:tc>
        <w:tc>
          <w:tcPr>
            <w:tcW w:w="3500" w:type="pct"/>
            <w:shd w:val="clear" w:color="auto" w:fill="auto"/>
          </w:tcPr>
          <w:p w14:paraId="19694894" w14:textId="77777777" w:rsidR="00E93F58" w:rsidRPr="00576D60" w:rsidRDefault="00E93F58" w:rsidP="003D2B1E">
            <w:pPr>
              <w:pStyle w:val="ENoteTableText"/>
            </w:pPr>
            <w:r w:rsidRPr="00576D60">
              <w:t>ad No 16, 2002</w:t>
            </w:r>
          </w:p>
        </w:tc>
      </w:tr>
      <w:tr w:rsidR="00E93F58" w:rsidRPr="00576D60" w14:paraId="6D07B381" w14:textId="77777777" w:rsidTr="002F32E3">
        <w:trPr>
          <w:cantSplit/>
        </w:trPr>
        <w:tc>
          <w:tcPr>
            <w:tcW w:w="1500" w:type="pct"/>
            <w:shd w:val="clear" w:color="auto" w:fill="auto"/>
          </w:tcPr>
          <w:p w14:paraId="0B6950A5" w14:textId="77777777" w:rsidR="00E93F58" w:rsidRPr="00576D60" w:rsidRDefault="00E93F58" w:rsidP="003D2B1E">
            <w:pPr>
              <w:pStyle w:val="ENoteTableText"/>
              <w:tabs>
                <w:tab w:val="left" w:leader="dot" w:pos="2268"/>
              </w:tabs>
            </w:pPr>
            <w:r w:rsidRPr="00576D60">
              <w:t>r 10.2.178</w:t>
            </w:r>
            <w:r w:rsidRPr="00576D60">
              <w:tab/>
            </w:r>
          </w:p>
        </w:tc>
        <w:tc>
          <w:tcPr>
            <w:tcW w:w="3500" w:type="pct"/>
            <w:shd w:val="clear" w:color="auto" w:fill="auto"/>
          </w:tcPr>
          <w:p w14:paraId="624786B5" w14:textId="77777777" w:rsidR="00E93F58" w:rsidRPr="00576D60" w:rsidRDefault="00E93F58" w:rsidP="003D2B1E">
            <w:pPr>
              <w:pStyle w:val="ENoteTableText"/>
            </w:pPr>
            <w:r w:rsidRPr="00576D60">
              <w:t>ad No 16, 2002</w:t>
            </w:r>
          </w:p>
        </w:tc>
      </w:tr>
      <w:tr w:rsidR="00E93F58" w:rsidRPr="00576D60" w14:paraId="40F2F1AE" w14:textId="77777777" w:rsidTr="002F32E3">
        <w:trPr>
          <w:cantSplit/>
        </w:trPr>
        <w:tc>
          <w:tcPr>
            <w:tcW w:w="1500" w:type="pct"/>
            <w:shd w:val="clear" w:color="auto" w:fill="auto"/>
          </w:tcPr>
          <w:p w14:paraId="5B7E4F54" w14:textId="77777777" w:rsidR="00E93F58" w:rsidRPr="00576D60" w:rsidRDefault="00E93F58" w:rsidP="003D2B1E">
            <w:pPr>
              <w:pStyle w:val="ENoteTableText"/>
              <w:tabs>
                <w:tab w:val="left" w:leader="dot" w:pos="2268"/>
              </w:tabs>
            </w:pPr>
            <w:r w:rsidRPr="00576D60">
              <w:t>r 10.2.179</w:t>
            </w:r>
            <w:r w:rsidRPr="00576D60">
              <w:tab/>
            </w:r>
          </w:p>
        </w:tc>
        <w:tc>
          <w:tcPr>
            <w:tcW w:w="3500" w:type="pct"/>
            <w:shd w:val="clear" w:color="auto" w:fill="auto"/>
          </w:tcPr>
          <w:p w14:paraId="17B61FE9" w14:textId="77777777" w:rsidR="00E93F58" w:rsidRPr="00576D60" w:rsidRDefault="00E93F58" w:rsidP="003D2B1E">
            <w:pPr>
              <w:pStyle w:val="ENoteTableText"/>
            </w:pPr>
            <w:r w:rsidRPr="00576D60">
              <w:t>ad No 16, 2002</w:t>
            </w:r>
          </w:p>
        </w:tc>
      </w:tr>
      <w:tr w:rsidR="00E93F58" w:rsidRPr="00576D60" w14:paraId="343A1605" w14:textId="77777777" w:rsidTr="002F32E3">
        <w:trPr>
          <w:cantSplit/>
        </w:trPr>
        <w:tc>
          <w:tcPr>
            <w:tcW w:w="1500" w:type="pct"/>
            <w:shd w:val="clear" w:color="auto" w:fill="auto"/>
          </w:tcPr>
          <w:p w14:paraId="432E775A" w14:textId="77777777" w:rsidR="00E93F58" w:rsidRPr="00576D60" w:rsidRDefault="00E93F58" w:rsidP="003D2B1E">
            <w:pPr>
              <w:pStyle w:val="ENoteTableText"/>
              <w:tabs>
                <w:tab w:val="left" w:leader="dot" w:pos="2268"/>
              </w:tabs>
              <w:rPr>
                <w:b/>
              </w:rPr>
            </w:pPr>
            <w:r w:rsidRPr="00576D60">
              <w:rPr>
                <w:b/>
              </w:rPr>
              <w:t>Division 33</w:t>
            </w:r>
          </w:p>
        </w:tc>
        <w:tc>
          <w:tcPr>
            <w:tcW w:w="3500" w:type="pct"/>
            <w:shd w:val="clear" w:color="auto" w:fill="auto"/>
          </w:tcPr>
          <w:p w14:paraId="68A59B0C" w14:textId="77777777" w:rsidR="00E93F58" w:rsidRPr="00576D60" w:rsidRDefault="00E93F58" w:rsidP="003D2B1E">
            <w:pPr>
              <w:pStyle w:val="ENoteTableText"/>
            </w:pPr>
          </w:p>
        </w:tc>
      </w:tr>
      <w:tr w:rsidR="00E93F58" w:rsidRPr="00576D60" w14:paraId="44791668" w14:textId="77777777" w:rsidTr="002F32E3">
        <w:trPr>
          <w:cantSplit/>
        </w:trPr>
        <w:tc>
          <w:tcPr>
            <w:tcW w:w="1500" w:type="pct"/>
            <w:shd w:val="clear" w:color="auto" w:fill="auto"/>
          </w:tcPr>
          <w:p w14:paraId="336B7E8E" w14:textId="77777777" w:rsidR="00E93F58" w:rsidRPr="00576D60" w:rsidRDefault="00E93F58" w:rsidP="003D2B1E">
            <w:pPr>
              <w:pStyle w:val="ENoteTableText"/>
              <w:tabs>
                <w:tab w:val="left" w:leader="dot" w:pos="2268"/>
              </w:tabs>
            </w:pPr>
            <w:r w:rsidRPr="00576D60">
              <w:t xml:space="preserve">Division 33 of </w:t>
            </w:r>
            <w:r>
              <w:t>Part 1</w:t>
            </w:r>
            <w:r w:rsidRPr="00576D60">
              <w:t>0.2</w:t>
            </w:r>
            <w:r w:rsidRPr="00576D60">
              <w:tab/>
            </w:r>
          </w:p>
        </w:tc>
        <w:tc>
          <w:tcPr>
            <w:tcW w:w="3500" w:type="pct"/>
            <w:shd w:val="clear" w:color="auto" w:fill="auto"/>
          </w:tcPr>
          <w:p w14:paraId="3DE2E507" w14:textId="77777777" w:rsidR="00E93F58" w:rsidRPr="00576D60" w:rsidRDefault="00E93F58" w:rsidP="003D2B1E">
            <w:pPr>
              <w:pStyle w:val="ENoteTableText"/>
            </w:pPr>
            <w:r w:rsidRPr="00576D60">
              <w:t>ad No 16, 2002</w:t>
            </w:r>
          </w:p>
        </w:tc>
      </w:tr>
      <w:tr w:rsidR="00E93F58" w:rsidRPr="00576D60" w14:paraId="79B52DE0" w14:textId="77777777" w:rsidTr="002F32E3">
        <w:trPr>
          <w:cantSplit/>
        </w:trPr>
        <w:tc>
          <w:tcPr>
            <w:tcW w:w="1500" w:type="pct"/>
            <w:shd w:val="clear" w:color="auto" w:fill="auto"/>
          </w:tcPr>
          <w:p w14:paraId="745D7DF4" w14:textId="77777777" w:rsidR="00E93F58" w:rsidRPr="00576D60" w:rsidRDefault="00E93F58" w:rsidP="003D2B1E">
            <w:pPr>
              <w:pStyle w:val="ENoteTableText"/>
              <w:tabs>
                <w:tab w:val="left" w:leader="dot" w:pos="2268"/>
              </w:tabs>
            </w:pPr>
            <w:r w:rsidRPr="00576D60">
              <w:t>r 10.2.180</w:t>
            </w:r>
            <w:r w:rsidRPr="00576D60">
              <w:tab/>
            </w:r>
          </w:p>
        </w:tc>
        <w:tc>
          <w:tcPr>
            <w:tcW w:w="3500" w:type="pct"/>
            <w:shd w:val="clear" w:color="auto" w:fill="auto"/>
          </w:tcPr>
          <w:p w14:paraId="41B5E23E" w14:textId="77777777" w:rsidR="00E93F58" w:rsidRPr="00576D60" w:rsidRDefault="00E93F58" w:rsidP="003D2B1E">
            <w:pPr>
              <w:pStyle w:val="ENoteTableText"/>
            </w:pPr>
            <w:r w:rsidRPr="00576D60">
              <w:t>ad No 16, 2002</w:t>
            </w:r>
          </w:p>
        </w:tc>
      </w:tr>
      <w:tr w:rsidR="00E93F58" w:rsidRPr="00576D60" w14:paraId="3C87EE8D" w14:textId="77777777" w:rsidTr="002F32E3">
        <w:trPr>
          <w:cantSplit/>
        </w:trPr>
        <w:tc>
          <w:tcPr>
            <w:tcW w:w="1500" w:type="pct"/>
            <w:shd w:val="clear" w:color="auto" w:fill="auto"/>
          </w:tcPr>
          <w:p w14:paraId="36ADE3E9" w14:textId="77777777" w:rsidR="00E93F58" w:rsidRPr="00576D60" w:rsidRDefault="00E93F58" w:rsidP="003D2B1E">
            <w:pPr>
              <w:pStyle w:val="ENoteTableText"/>
              <w:tabs>
                <w:tab w:val="left" w:leader="dot" w:pos="2268"/>
              </w:tabs>
            </w:pPr>
            <w:r w:rsidRPr="00576D60">
              <w:t>r 10.2.181</w:t>
            </w:r>
            <w:r w:rsidRPr="00576D60">
              <w:tab/>
            </w:r>
          </w:p>
        </w:tc>
        <w:tc>
          <w:tcPr>
            <w:tcW w:w="3500" w:type="pct"/>
            <w:shd w:val="clear" w:color="auto" w:fill="auto"/>
          </w:tcPr>
          <w:p w14:paraId="480D2D19" w14:textId="77777777" w:rsidR="00E93F58" w:rsidRPr="00576D60" w:rsidRDefault="00E93F58" w:rsidP="003D2B1E">
            <w:pPr>
              <w:pStyle w:val="ENoteTableText"/>
            </w:pPr>
            <w:r w:rsidRPr="00576D60">
              <w:t>ad No 16, 2002</w:t>
            </w:r>
          </w:p>
        </w:tc>
      </w:tr>
      <w:tr w:rsidR="00E93F58" w:rsidRPr="00576D60" w14:paraId="1AEF3C16" w14:textId="77777777" w:rsidTr="002F32E3">
        <w:trPr>
          <w:cantSplit/>
        </w:trPr>
        <w:tc>
          <w:tcPr>
            <w:tcW w:w="1500" w:type="pct"/>
            <w:shd w:val="clear" w:color="auto" w:fill="auto"/>
          </w:tcPr>
          <w:p w14:paraId="45D7623A" w14:textId="77777777" w:rsidR="00E93F58" w:rsidRPr="00576D60" w:rsidRDefault="00E93F58" w:rsidP="003D2B1E">
            <w:pPr>
              <w:pStyle w:val="ENoteTableText"/>
              <w:tabs>
                <w:tab w:val="left" w:leader="dot" w:pos="2268"/>
              </w:tabs>
            </w:pPr>
            <w:r w:rsidRPr="00576D60">
              <w:t>r 10.2.182</w:t>
            </w:r>
            <w:r w:rsidRPr="00576D60">
              <w:tab/>
            </w:r>
          </w:p>
        </w:tc>
        <w:tc>
          <w:tcPr>
            <w:tcW w:w="3500" w:type="pct"/>
            <w:shd w:val="clear" w:color="auto" w:fill="auto"/>
          </w:tcPr>
          <w:p w14:paraId="72E01E17" w14:textId="77777777" w:rsidR="00E93F58" w:rsidRPr="00576D60" w:rsidRDefault="00E93F58" w:rsidP="003D2B1E">
            <w:pPr>
              <w:pStyle w:val="ENoteTableText"/>
            </w:pPr>
            <w:r w:rsidRPr="00576D60">
              <w:t>ad No 16, 2002</w:t>
            </w:r>
          </w:p>
        </w:tc>
      </w:tr>
      <w:tr w:rsidR="00E93F58" w:rsidRPr="00576D60" w14:paraId="14E60B3C" w14:textId="77777777" w:rsidTr="002F32E3">
        <w:trPr>
          <w:cantSplit/>
        </w:trPr>
        <w:tc>
          <w:tcPr>
            <w:tcW w:w="1500" w:type="pct"/>
            <w:shd w:val="clear" w:color="auto" w:fill="auto"/>
          </w:tcPr>
          <w:p w14:paraId="66E0E8D6" w14:textId="77777777" w:rsidR="00E93F58" w:rsidRPr="00576D60" w:rsidRDefault="00E93F58" w:rsidP="003D2B1E">
            <w:pPr>
              <w:pStyle w:val="ENoteTableText"/>
              <w:tabs>
                <w:tab w:val="left" w:leader="dot" w:pos="2268"/>
              </w:tabs>
            </w:pPr>
            <w:r w:rsidRPr="00576D60">
              <w:t>r 10.2.183</w:t>
            </w:r>
            <w:r w:rsidRPr="00576D60">
              <w:tab/>
            </w:r>
          </w:p>
        </w:tc>
        <w:tc>
          <w:tcPr>
            <w:tcW w:w="3500" w:type="pct"/>
            <w:shd w:val="clear" w:color="auto" w:fill="auto"/>
          </w:tcPr>
          <w:p w14:paraId="5D515992" w14:textId="77777777" w:rsidR="00E93F58" w:rsidRPr="00576D60" w:rsidRDefault="00E93F58" w:rsidP="003D2B1E">
            <w:pPr>
              <w:pStyle w:val="ENoteTableText"/>
            </w:pPr>
            <w:r w:rsidRPr="00576D60">
              <w:t>ad No 16, 2002</w:t>
            </w:r>
          </w:p>
        </w:tc>
      </w:tr>
      <w:tr w:rsidR="00E93F58" w:rsidRPr="00576D60" w14:paraId="510AE66C" w14:textId="77777777" w:rsidTr="002F32E3">
        <w:trPr>
          <w:cantSplit/>
        </w:trPr>
        <w:tc>
          <w:tcPr>
            <w:tcW w:w="1500" w:type="pct"/>
            <w:shd w:val="clear" w:color="auto" w:fill="auto"/>
          </w:tcPr>
          <w:p w14:paraId="5849C46D" w14:textId="77777777" w:rsidR="00E93F58" w:rsidRPr="00576D60" w:rsidRDefault="00E93F58" w:rsidP="003D2B1E">
            <w:pPr>
              <w:pStyle w:val="ENoteTableText"/>
              <w:tabs>
                <w:tab w:val="left" w:leader="dot" w:pos="2268"/>
              </w:tabs>
            </w:pPr>
            <w:r w:rsidRPr="00576D60">
              <w:t>r 10.2.184</w:t>
            </w:r>
            <w:r w:rsidRPr="00576D60">
              <w:tab/>
            </w:r>
          </w:p>
        </w:tc>
        <w:tc>
          <w:tcPr>
            <w:tcW w:w="3500" w:type="pct"/>
            <w:shd w:val="clear" w:color="auto" w:fill="auto"/>
          </w:tcPr>
          <w:p w14:paraId="21017C51" w14:textId="77777777" w:rsidR="00E93F58" w:rsidRPr="00576D60" w:rsidRDefault="00E93F58" w:rsidP="003D2B1E">
            <w:pPr>
              <w:pStyle w:val="ENoteTableText"/>
            </w:pPr>
            <w:r w:rsidRPr="00576D60">
              <w:t>ad No 16, 2002</w:t>
            </w:r>
          </w:p>
        </w:tc>
      </w:tr>
      <w:tr w:rsidR="00E93F58" w:rsidRPr="00576D60" w14:paraId="600FDBA4" w14:textId="77777777" w:rsidTr="002F32E3">
        <w:trPr>
          <w:cantSplit/>
        </w:trPr>
        <w:tc>
          <w:tcPr>
            <w:tcW w:w="1500" w:type="pct"/>
            <w:shd w:val="clear" w:color="auto" w:fill="auto"/>
          </w:tcPr>
          <w:p w14:paraId="2A36A383" w14:textId="77777777" w:rsidR="00E93F58" w:rsidRPr="00576D60" w:rsidRDefault="00E93F58" w:rsidP="003D2B1E">
            <w:pPr>
              <w:pStyle w:val="ENoteTableText"/>
              <w:tabs>
                <w:tab w:val="left" w:leader="dot" w:pos="2268"/>
              </w:tabs>
            </w:pPr>
            <w:r w:rsidRPr="00576D60">
              <w:t>r 10.2.185</w:t>
            </w:r>
            <w:r w:rsidRPr="00576D60">
              <w:tab/>
            </w:r>
          </w:p>
        </w:tc>
        <w:tc>
          <w:tcPr>
            <w:tcW w:w="3500" w:type="pct"/>
            <w:shd w:val="clear" w:color="auto" w:fill="auto"/>
          </w:tcPr>
          <w:p w14:paraId="0D2BB01C" w14:textId="77777777" w:rsidR="00E93F58" w:rsidRPr="00576D60" w:rsidRDefault="00E93F58" w:rsidP="003D2B1E">
            <w:pPr>
              <w:pStyle w:val="ENoteTableText"/>
            </w:pPr>
            <w:r w:rsidRPr="00576D60">
              <w:t>ad No 16, 2002</w:t>
            </w:r>
          </w:p>
        </w:tc>
      </w:tr>
      <w:tr w:rsidR="00E93F58" w:rsidRPr="00576D60" w14:paraId="7D11280F" w14:textId="77777777" w:rsidTr="002F32E3">
        <w:trPr>
          <w:cantSplit/>
        </w:trPr>
        <w:tc>
          <w:tcPr>
            <w:tcW w:w="1500" w:type="pct"/>
            <w:shd w:val="clear" w:color="auto" w:fill="auto"/>
          </w:tcPr>
          <w:p w14:paraId="5B6A08A1" w14:textId="77777777" w:rsidR="00E93F58" w:rsidRPr="00576D60" w:rsidRDefault="00E93F58" w:rsidP="003D2B1E">
            <w:pPr>
              <w:pStyle w:val="ENoteTableText"/>
              <w:tabs>
                <w:tab w:val="left" w:leader="dot" w:pos="2268"/>
              </w:tabs>
            </w:pPr>
            <w:r w:rsidRPr="00576D60">
              <w:t>r 10.2.186</w:t>
            </w:r>
            <w:r w:rsidRPr="00576D60">
              <w:tab/>
            </w:r>
          </w:p>
        </w:tc>
        <w:tc>
          <w:tcPr>
            <w:tcW w:w="3500" w:type="pct"/>
            <w:shd w:val="clear" w:color="auto" w:fill="auto"/>
          </w:tcPr>
          <w:p w14:paraId="0DD9F177" w14:textId="77777777" w:rsidR="00E93F58" w:rsidRPr="00576D60" w:rsidRDefault="00E93F58" w:rsidP="003D2B1E">
            <w:pPr>
              <w:pStyle w:val="ENoteTableText"/>
            </w:pPr>
            <w:r w:rsidRPr="00576D60">
              <w:t>ad No 16, 2002</w:t>
            </w:r>
          </w:p>
        </w:tc>
      </w:tr>
      <w:tr w:rsidR="00E93F58" w:rsidRPr="00576D60" w14:paraId="28B2B1AF" w14:textId="77777777" w:rsidTr="002F32E3">
        <w:trPr>
          <w:cantSplit/>
        </w:trPr>
        <w:tc>
          <w:tcPr>
            <w:tcW w:w="1500" w:type="pct"/>
            <w:shd w:val="clear" w:color="auto" w:fill="auto"/>
          </w:tcPr>
          <w:p w14:paraId="163AD2BE" w14:textId="77777777" w:rsidR="00E93F58" w:rsidRPr="00576D60" w:rsidRDefault="00E93F58" w:rsidP="003D2B1E">
            <w:pPr>
              <w:pStyle w:val="ENoteTableText"/>
              <w:tabs>
                <w:tab w:val="left" w:leader="dot" w:pos="2268"/>
              </w:tabs>
            </w:pPr>
            <w:r w:rsidRPr="00576D60">
              <w:t>r 10.2.187</w:t>
            </w:r>
            <w:r w:rsidRPr="00576D60">
              <w:tab/>
            </w:r>
          </w:p>
        </w:tc>
        <w:tc>
          <w:tcPr>
            <w:tcW w:w="3500" w:type="pct"/>
            <w:shd w:val="clear" w:color="auto" w:fill="auto"/>
          </w:tcPr>
          <w:p w14:paraId="69B39046" w14:textId="77777777" w:rsidR="00E93F58" w:rsidRPr="00576D60" w:rsidRDefault="00E93F58" w:rsidP="003D2B1E">
            <w:pPr>
              <w:pStyle w:val="ENoteTableText"/>
            </w:pPr>
            <w:r w:rsidRPr="00576D60">
              <w:t>ad No 16, 2002</w:t>
            </w:r>
          </w:p>
        </w:tc>
      </w:tr>
      <w:tr w:rsidR="00E93F58" w:rsidRPr="00576D60" w14:paraId="18A6F423" w14:textId="77777777" w:rsidTr="002F32E3">
        <w:trPr>
          <w:cantSplit/>
        </w:trPr>
        <w:tc>
          <w:tcPr>
            <w:tcW w:w="1500" w:type="pct"/>
            <w:shd w:val="clear" w:color="auto" w:fill="auto"/>
          </w:tcPr>
          <w:p w14:paraId="6A5761C2" w14:textId="77777777" w:rsidR="00E93F58" w:rsidRPr="00576D60" w:rsidRDefault="00E93F58" w:rsidP="003D2B1E">
            <w:pPr>
              <w:pStyle w:val="ENoteTableText"/>
              <w:tabs>
                <w:tab w:val="left" w:leader="dot" w:pos="2268"/>
              </w:tabs>
            </w:pPr>
            <w:r w:rsidRPr="00576D60">
              <w:t>r 10.2.188</w:t>
            </w:r>
            <w:r w:rsidRPr="00576D60">
              <w:tab/>
            </w:r>
          </w:p>
        </w:tc>
        <w:tc>
          <w:tcPr>
            <w:tcW w:w="3500" w:type="pct"/>
            <w:shd w:val="clear" w:color="auto" w:fill="auto"/>
          </w:tcPr>
          <w:p w14:paraId="354E51DA" w14:textId="77777777" w:rsidR="00E93F58" w:rsidRPr="00576D60" w:rsidRDefault="00E93F58" w:rsidP="003D2B1E">
            <w:pPr>
              <w:pStyle w:val="ENoteTableText"/>
            </w:pPr>
            <w:r w:rsidRPr="00576D60">
              <w:t>ad No 16, 2002</w:t>
            </w:r>
          </w:p>
        </w:tc>
      </w:tr>
      <w:tr w:rsidR="00E93F58" w:rsidRPr="00576D60" w14:paraId="044AC375" w14:textId="77777777" w:rsidTr="002F32E3">
        <w:trPr>
          <w:cantSplit/>
        </w:trPr>
        <w:tc>
          <w:tcPr>
            <w:tcW w:w="1500" w:type="pct"/>
            <w:shd w:val="clear" w:color="auto" w:fill="auto"/>
          </w:tcPr>
          <w:p w14:paraId="57F09152" w14:textId="77777777" w:rsidR="00E93F58" w:rsidRPr="00576D60" w:rsidRDefault="00E93F58" w:rsidP="003D2B1E">
            <w:pPr>
              <w:pStyle w:val="ENoteTableText"/>
              <w:tabs>
                <w:tab w:val="left" w:leader="dot" w:pos="2268"/>
              </w:tabs>
            </w:pPr>
            <w:r w:rsidRPr="00576D60">
              <w:t>r 10.2.189</w:t>
            </w:r>
            <w:r w:rsidRPr="00576D60">
              <w:tab/>
            </w:r>
          </w:p>
        </w:tc>
        <w:tc>
          <w:tcPr>
            <w:tcW w:w="3500" w:type="pct"/>
            <w:shd w:val="clear" w:color="auto" w:fill="auto"/>
          </w:tcPr>
          <w:p w14:paraId="4303CFE1" w14:textId="77777777" w:rsidR="00E93F58" w:rsidRPr="00576D60" w:rsidRDefault="00E93F58" w:rsidP="003D2B1E">
            <w:pPr>
              <w:pStyle w:val="ENoteTableText"/>
            </w:pPr>
            <w:r w:rsidRPr="00576D60">
              <w:t>ad No 16, 2002</w:t>
            </w:r>
          </w:p>
        </w:tc>
      </w:tr>
      <w:tr w:rsidR="00E93F58" w:rsidRPr="00576D60" w14:paraId="19B9FF74" w14:textId="77777777" w:rsidTr="002F32E3">
        <w:trPr>
          <w:cantSplit/>
        </w:trPr>
        <w:tc>
          <w:tcPr>
            <w:tcW w:w="1500" w:type="pct"/>
            <w:shd w:val="clear" w:color="auto" w:fill="auto"/>
          </w:tcPr>
          <w:p w14:paraId="43391561" w14:textId="77777777" w:rsidR="00E93F58" w:rsidRPr="00576D60" w:rsidRDefault="00E93F58" w:rsidP="003D2B1E">
            <w:pPr>
              <w:pStyle w:val="ENoteTableText"/>
              <w:tabs>
                <w:tab w:val="left" w:leader="dot" w:pos="2268"/>
              </w:tabs>
            </w:pPr>
          </w:p>
        </w:tc>
        <w:tc>
          <w:tcPr>
            <w:tcW w:w="3500" w:type="pct"/>
            <w:shd w:val="clear" w:color="auto" w:fill="auto"/>
          </w:tcPr>
          <w:p w14:paraId="7FF5F4B7" w14:textId="77777777" w:rsidR="00E93F58" w:rsidRPr="00576D60" w:rsidRDefault="00E93F58" w:rsidP="003D2B1E">
            <w:pPr>
              <w:pStyle w:val="ENoteTableText"/>
            </w:pPr>
            <w:r w:rsidRPr="00576D60">
              <w:t>am F2018L01144</w:t>
            </w:r>
          </w:p>
        </w:tc>
      </w:tr>
      <w:tr w:rsidR="00E93F58" w:rsidRPr="00576D60" w14:paraId="1FCBA246" w14:textId="77777777" w:rsidTr="002F32E3">
        <w:trPr>
          <w:cantSplit/>
        </w:trPr>
        <w:tc>
          <w:tcPr>
            <w:tcW w:w="1500" w:type="pct"/>
            <w:shd w:val="clear" w:color="auto" w:fill="auto"/>
          </w:tcPr>
          <w:p w14:paraId="0F89B912" w14:textId="77777777" w:rsidR="00E93F58" w:rsidRPr="00576D60" w:rsidRDefault="00E93F58" w:rsidP="003D2B1E">
            <w:pPr>
              <w:pStyle w:val="ENoteTableText"/>
              <w:tabs>
                <w:tab w:val="left" w:leader="dot" w:pos="2268"/>
              </w:tabs>
            </w:pPr>
            <w:r w:rsidRPr="00576D60">
              <w:t>r 10.2.190</w:t>
            </w:r>
            <w:r w:rsidRPr="00576D60">
              <w:tab/>
            </w:r>
          </w:p>
        </w:tc>
        <w:tc>
          <w:tcPr>
            <w:tcW w:w="3500" w:type="pct"/>
            <w:shd w:val="clear" w:color="auto" w:fill="auto"/>
          </w:tcPr>
          <w:p w14:paraId="318D964C" w14:textId="77777777" w:rsidR="00E93F58" w:rsidRPr="00576D60" w:rsidRDefault="00E93F58" w:rsidP="003D2B1E">
            <w:pPr>
              <w:pStyle w:val="ENoteTableText"/>
            </w:pPr>
            <w:r w:rsidRPr="00576D60">
              <w:t>ad No 16, 2002</w:t>
            </w:r>
          </w:p>
        </w:tc>
      </w:tr>
      <w:tr w:rsidR="00E93F58" w:rsidRPr="00576D60" w14:paraId="2F3978B8" w14:textId="77777777" w:rsidTr="002F32E3">
        <w:trPr>
          <w:cantSplit/>
        </w:trPr>
        <w:tc>
          <w:tcPr>
            <w:tcW w:w="1500" w:type="pct"/>
            <w:shd w:val="clear" w:color="auto" w:fill="auto"/>
          </w:tcPr>
          <w:p w14:paraId="621D27E7" w14:textId="77777777" w:rsidR="00E93F58" w:rsidRPr="00576D60" w:rsidRDefault="00E93F58" w:rsidP="003D2B1E">
            <w:pPr>
              <w:pStyle w:val="ENoteTableText"/>
              <w:tabs>
                <w:tab w:val="left" w:leader="dot" w:pos="2268"/>
              </w:tabs>
            </w:pPr>
            <w:r w:rsidRPr="00576D60">
              <w:t>r 10.2.191</w:t>
            </w:r>
            <w:r w:rsidRPr="00576D60">
              <w:tab/>
            </w:r>
          </w:p>
        </w:tc>
        <w:tc>
          <w:tcPr>
            <w:tcW w:w="3500" w:type="pct"/>
            <w:shd w:val="clear" w:color="auto" w:fill="auto"/>
          </w:tcPr>
          <w:p w14:paraId="1390A5E8" w14:textId="77777777" w:rsidR="00E93F58" w:rsidRPr="00576D60" w:rsidRDefault="00E93F58" w:rsidP="003D2B1E">
            <w:pPr>
              <w:pStyle w:val="ENoteTableText"/>
            </w:pPr>
            <w:r w:rsidRPr="00576D60">
              <w:t>ad No 16, 2002</w:t>
            </w:r>
          </w:p>
        </w:tc>
      </w:tr>
      <w:tr w:rsidR="00E93F58" w:rsidRPr="00576D60" w14:paraId="4A889294" w14:textId="77777777" w:rsidTr="002F32E3">
        <w:trPr>
          <w:cantSplit/>
        </w:trPr>
        <w:tc>
          <w:tcPr>
            <w:tcW w:w="1500" w:type="pct"/>
            <w:shd w:val="clear" w:color="auto" w:fill="auto"/>
          </w:tcPr>
          <w:p w14:paraId="4AD8F09A" w14:textId="77777777" w:rsidR="00E93F58" w:rsidRPr="00576D60" w:rsidRDefault="00E93F58" w:rsidP="003D2B1E">
            <w:pPr>
              <w:pStyle w:val="ENoteTableText"/>
              <w:tabs>
                <w:tab w:val="left" w:leader="dot" w:pos="2268"/>
              </w:tabs>
            </w:pPr>
            <w:r w:rsidRPr="00576D60">
              <w:t>r 10.2.192</w:t>
            </w:r>
            <w:r w:rsidRPr="00576D60">
              <w:tab/>
            </w:r>
          </w:p>
        </w:tc>
        <w:tc>
          <w:tcPr>
            <w:tcW w:w="3500" w:type="pct"/>
            <w:shd w:val="clear" w:color="auto" w:fill="auto"/>
          </w:tcPr>
          <w:p w14:paraId="7F9321E7" w14:textId="77777777" w:rsidR="00E93F58" w:rsidRPr="00576D60" w:rsidRDefault="00E93F58" w:rsidP="003D2B1E">
            <w:pPr>
              <w:pStyle w:val="ENoteTableText"/>
            </w:pPr>
            <w:r w:rsidRPr="00576D60">
              <w:t>ad No 16, 2002</w:t>
            </w:r>
          </w:p>
        </w:tc>
      </w:tr>
      <w:tr w:rsidR="00E93F58" w:rsidRPr="00576D60" w14:paraId="48E02DFB" w14:textId="77777777" w:rsidTr="002F32E3">
        <w:trPr>
          <w:cantSplit/>
        </w:trPr>
        <w:tc>
          <w:tcPr>
            <w:tcW w:w="1500" w:type="pct"/>
            <w:shd w:val="clear" w:color="auto" w:fill="auto"/>
          </w:tcPr>
          <w:p w14:paraId="746C14C0" w14:textId="77777777" w:rsidR="00E93F58" w:rsidRPr="00576D60" w:rsidRDefault="00E93F58" w:rsidP="003D2B1E">
            <w:pPr>
              <w:pStyle w:val="ENoteTableText"/>
              <w:tabs>
                <w:tab w:val="left" w:leader="dot" w:pos="2268"/>
              </w:tabs>
            </w:pPr>
            <w:r w:rsidRPr="00576D60">
              <w:t>r 10.2.193</w:t>
            </w:r>
            <w:r w:rsidRPr="00576D60">
              <w:tab/>
            </w:r>
          </w:p>
        </w:tc>
        <w:tc>
          <w:tcPr>
            <w:tcW w:w="3500" w:type="pct"/>
            <w:shd w:val="clear" w:color="auto" w:fill="auto"/>
          </w:tcPr>
          <w:p w14:paraId="7164F38C" w14:textId="77777777" w:rsidR="00E93F58" w:rsidRPr="00576D60" w:rsidRDefault="00E93F58" w:rsidP="003D2B1E">
            <w:pPr>
              <w:pStyle w:val="ENoteTableText"/>
            </w:pPr>
            <w:r w:rsidRPr="00576D60">
              <w:t>ad No 16, 2002</w:t>
            </w:r>
          </w:p>
        </w:tc>
      </w:tr>
      <w:tr w:rsidR="00E93F58" w:rsidRPr="00576D60" w14:paraId="23BD7977" w14:textId="77777777" w:rsidTr="002F32E3">
        <w:trPr>
          <w:cantSplit/>
        </w:trPr>
        <w:tc>
          <w:tcPr>
            <w:tcW w:w="1500" w:type="pct"/>
            <w:shd w:val="clear" w:color="auto" w:fill="auto"/>
          </w:tcPr>
          <w:p w14:paraId="5B50D438" w14:textId="77777777" w:rsidR="00E93F58" w:rsidRPr="00576D60" w:rsidRDefault="00E93F58" w:rsidP="003D2B1E">
            <w:pPr>
              <w:pStyle w:val="ENoteTableText"/>
              <w:keepNext/>
              <w:tabs>
                <w:tab w:val="left" w:leader="dot" w:pos="2268"/>
              </w:tabs>
              <w:rPr>
                <w:b/>
              </w:rPr>
            </w:pPr>
            <w:r w:rsidRPr="00576D60">
              <w:rPr>
                <w:b/>
              </w:rPr>
              <w:t>Division 34</w:t>
            </w:r>
          </w:p>
        </w:tc>
        <w:tc>
          <w:tcPr>
            <w:tcW w:w="3500" w:type="pct"/>
            <w:shd w:val="clear" w:color="auto" w:fill="auto"/>
          </w:tcPr>
          <w:p w14:paraId="46EA409C" w14:textId="77777777" w:rsidR="00E93F58" w:rsidRPr="00576D60" w:rsidRDefault="00E93F58" w:rsidP="003D2B1E">
            <w:pPr>
              <w:pStyle w:val="ENoteTableText"/>
            </w:pPr>
          </w:p>
        </w:tc>
      </w:tr>
      <w:tr w:rsidR="00E93F58" w:rsidRPr="00576D60" w14:paraId="00639553" w14:textId="77777777" w:rsidTr="002F32E3">
        <w:trPr>
          <w:cantSplit/>
        </w:trPr>
        <w:tc>
          <w:tcPr>
            <w:tcW w:w="1500" w:type="pct"/>
            <w:shd w:val="clear" w:color="auto" w:fill="auto"/>
          </w:tcPr>
          <w:p w14:paraId="36E98713" w14:textId="77777777" w:rsidR="00E93F58" w:rsidRPr="00576D60" w:rsidRDefault="00E93F58" w:rsidP="003D2B1E">
            <w:pPr>
              <w:pStyle w:val="ENoteTableText"/>
              <w:tabs>
                <w:tab w:val="left" w:leader="dot" w:pos="2268"/>
              </w:tabs>
            </w:pPr>
            <w:r w:rsidRPr="00576D60">
              <w:t xml:space="preserve">Division 34 of </w:t>
            </w:r>
            <w:r>
              <w:t>Part 1</w:t>
            </w:r>
            <w:r w:rsidRPr="00576D60">
              <w:t>0.2</w:t>
            </w:r>
            <w:r w:rsidRPr="00576D60">
              <w:tab/>
            </w:r>
          </w:p>
        </w:tc>
        <w:tc>
          <w:tcPr>
            <w:tcW w:w="3500" w:type="pct"/>
            <w:shd w:val="clear" w:color="auto" w:fill="auto"/>
          </w:tcPr>
          <w:p w14:paraId="37EFAA43" w14:textId="77777777" w:rsidR="00E93F58" w:rsidRPr="00576D60" w:rsidRDefault="00E93F58" w:rsidP="003D2B1E">
            <w:pPr>
              <w:pStyle w:val="ENoteTableText"/>
            </w:pPr>
            <w:r w:rsidRPr="00576D60">
              <w:t>ad No 16, 2002</w:t>
            </w:r>
          </w:p>
        </w:tc>
      </w:tr>
      <w:tr w:rsidR="00E93F58" w:rsidRPr="00576D60" w14:paraId="6BCAFB40" w14:textId="77777777" w:rsidTr="002F32E3">
        <w:trPr>
          <w:cantSplit/>
        </w:trPr>
        <w:tc>
          <w:tcPr>
            <w:tcW w:w="1500" w:type="pct"/>
            <w:shd w:val="clear" w:color="auto" w:fill="auto"/>
          </w:tcPr>
          <w:p w14:paraId="0764417C" w14:textId="77777777" w:rsidR="00E93F58" w:rsidRPr="00576D60" w:rsidRDefault="00E93F58" w:rsidP="003D2B1E">
            <w:pPr>
              <w:pStyle w:val="ENoteTableText"/>
              <w:tabs>
                <w:tab w:val="left" w:leader="dot" w:pos="2268"/>
              </w:tabs>
            </w:pPr>
            <w:r w:rsidRPr="00576D60">
              <w:t>r 10.2.194</w:t>
            </w:r>
            <w:r w:rsidRPr="00576D60">
              <w:tab/>
            </w:r>
          </w:p>
        </w:tc>
        <w:tc>
          <w:tcPr>
            <w:tcW w:w="3500" w:type="pct"/>
            <w:shd w:val="clear" w:color="auto" w:fill="auto"/>
          </w:tcPr>
          <w:p w14:paraId="2C30EB98" w14:textId="77777777" w:rsidR="00E93F58" w:rsidRPr="00576D60" w:rsidRDefault="00E93F58" w:rsidP="003D2B1E">
            <w:pPr>
              <w:pStyle w:val="ENoteTableText"/>
            </w:pPr>
            <w:r w:rsidRPr="00576D60">
              <w:t>ad No 16, 2002</w:t>
            </w:r>
          </w:p>
        </w:tc>
      </w:tr>
      <w:tr w:rsidR="00E93F58" w:rsidRPr="00576D60" w14:paraId="33DC79EF" w14:textId="77777777" w:rsidTr="002F32E3">
        <w:trPr>
          <w:cantSplit/>
        </w:trPr>
        <w:tc>
          <w:tcPr>
            <w:tcW w:w="1500" w:type="pct"/>
            <w:shd w:val="clear" w:color="auto" w:fill="auto"/>
          </w:tcPr>
          <w:p w14:paraId="6515BD6C" w14:textId="77777777" w:rsidR="00E93F58" w:rsidRPr="00576D60" w:rsidRDefault="00E93F58" w:rsidP="003D2B1E">
            <w:pPr>
              <w:pStyle w:val="ENoteTableText"/>
              <w:tabs>
                <w:tab w:val="left" w:leader="dot" w:pos="2268"/>
              </w:tabs>
              <w:rPr>
                <w:b/>
              </w:rPr>
            </w:pPr>
            <w:r w:rsidRPr="00576D60">
              <w:rPr>
                <w:b/>
              </w:rPr>
              <w:t>Division 35</w:t>
            </w:r>
          </w:p>
        </w:tc>
        <w:tc>
          <w:tcPr>
            <w:tcW w:w="3500" w:type="pct"/>
            <w:shd w:val="clear" w:color="auto" w:fill="auto"/>
          </w:tcPr>
          <w:p w14:paraId="0E10C183" w14:textId="77777777" w:rsidR="00E93F58" w:rsidRPr="00576D60" w:rsidRDefault="00E93F58" w:rsidP="003D2B1E">
            <w:pPr>
              <w:pStyle w:val="ENoteTableText"/>
            </w:pPr>
          </w:p>
        </w:tc>
      </w:tr>
      <w:tr w:rsidR="00E93F58" w:rsidRPr="00576D60" w14:paraId="3CE8A339" w14:textId="77777777" w:rsidTr="002F32E3">
        <w:trPr>
          <w:cantSplit/>
        </w:trPr>
        <w:tc>
          <w:tcPr>
            <w:tcW w:w="1500" w:type="pct"/>
            <w:shd w:val="clear" w:color="auto" w:fill="auto"/>
          </w:tcPr>
          <w:p w14:paraId="2C3E9A45" w14:textId="77777777" w:rsidR="00E93F58" w:rsidRPr="00576D60" w:rsidRDefault="00E93F58" w:rsidP="003D2B1E">
            <w:pPr>
              <w:pStyle w:val="ENoteTableText"/>
              <w:tabs>
                <w:tab w:val="left" w:leader="dot" w:pos="2268"/>
              </w:tabs>
            </w:pPr>
            <w:r w:rsidRPr="00576D60">
              <w:t xml:space="preserve">Division 35 of </w:t>
            </w:r>
            <w:r>
              <w:t>Part 1</w:t>
            </w:r>
            <w:r w:rsidRPr="00576D60">
              <w:t>0.2</w:t>
            </w:r>
            <w:r w:rsidRPr="00576D60">
              <w:tab/>
            </w:r>
          </w:p>
        </w:tc>
        <w:tc>
          <w:tcPr>
            <w:tcW w:w="3500" w:type="pct"/>
            <w:shd w:val="clear" w:color="auto" w:fill="auto"/>
          </w:tcPr>
          <w:p w14:paraId="78B117BD" w14:textId="77777777" w:rsidR="00E93F58" w:rsidRPr="00576D60" w:rsidRDefault="00E93F58" w:rsidP="003D2B1E">
            <w:pPr>
              <w:pStyle w:val="ENoteTableText"/>
            </w:pPr>
            <w:r w:rsidRPr="00576D60">
              <w:t>ad No 16, 2002</w:t>
            </w:r>
          </w:p>
        </w:tc>
      </w:tr>
      <w:tr w:rsidR="00E93F58" w:rsidRPr="00576D60" w14:paraId="11A63604" w14:textId="77777777" w:rsidTr="002F32E3">
        <w:trPr>
          <w:cantSplit/>
        </w:trPr>
        <w:tc>
          <w:tcPr>
            <w:tcW w:w="1500" w:type="pct"/>
            <w:shd w:val="clear" w:color="auto" w:fill="auto"/>
          </w:tcPr>
          <w:p w14:paraId="43CA9B65" w14:textId="77777777" w:rsidR="00E93F58" w:rsidRPr="00576D60" w:rsidRDefault="00E93F58" w:rsidP="003D2B1E">
            <w:pPr>
              <w:pStyle w:val="ENoteTableText"/>
              <w:tabs>
                <w:tab w:val="left" w:leader="dot" w:pos="2268"/>
              </w:tabs>
            </w:pPr>
            <w:r w:rsidRPr="00576D60">
              <w:t>r 10.2.195</w:t>
            </w:r>
            <w:r w:rsidRPr="00576D60">
              <w:tab/>
            </w:r>
          </w:p>
        </w:tc>
        <w:tc>
          <w:tcPr>
            <w:tcW w:w="3500" w:type="pct"/>
            <w:shd w:val="clear" w:color="auto" w:fill="auto"/>
          </w:tcPr>
          <w:p w14:paraId="4EB85BCA" w14:textId="77777777" w:rsidR="00E93F58" w:rsidRPr="00576D60" w:rsidRDefault="00E93F58" w:rsidP="003D2B1E">
            <w:pPr>
              <w:pStyle w:val="ENoteTableText"/>
            </w:pPr>
            <w:r w:rsidRPr="00576D60">
              <w:t>ad No 16, 2002</w:t>
            </w:r>
          </w:p>
        </w:tc>
      </w:tr>
      <w:tr w:rsidR="00E93F58" w:rsidRPr="00576D60" w14:paraId="1E843FCE" w14:textId="77777777" w:rsidTr="002F32E3">
        <w:trPr>
          <w:cantSplit/>
        </w:trPr>
        <w:tc>
          <w:tcPr>
            <w:tcW w:w="1500" w:type="pct"/>
            <w:shd w:val="clear" w:color="auto" w:fill="auto"/>
          </w:tcPr>
          <w:p w14:paraId="307304EE" w14:textId="77777777" w:rsidR="00E93F58" w:rsidRPr="00576D60" w:rsidRDefault="00E93F58" w:rsidP="003D2B1E">
            <w:pPr>
              <w:pStyle w:val="ENoteTableText"/>
              <w:keepNext/>
              <w:tabs>
                <w:tab w:val="left" w:leader="dot" w:pos="2268"/>
              </w:tabs>
              <w:rPr>
                <w:b/>
              </w:rPr>
            </w:pPr>
            <w:r w:rsidRPr="00576D60">
              <w:rPr>
                <w:b/>
              </w:rPr>
              <w:lastRenderedPageBreak/>
              <w:t>Division 36</w:t>
            </w:r>
          </w:p>
        </w:tc>
        <w:tc>
          <w:tcPr>
            <w:tcW w:w="3500" w:type="pct"/>
            <w:shd w:val="clear" w:color="auto" w:fill="auto"/>
          </w:tcPr>
          <w:p w14:paraId="4790F142" w14:textId="77777777" w:rsidR="00E93F58" w:rsidRPr="00576D60" w:rsidRDefault="00E93F58" w:rsidP="003D2B1E">
            <w:pPr>
              <w:pStyle w:val="ENoteTableText"/>
            </w:pPr>
          </w:p>
        </w:tc>
      </w:tr>
      <w:tr w:rsidR="00E93F58" w:rsidRPr="00576D60" w14:paraId="5AA6EBE0" w14:textId="77777777" w:rsidTr="002F32E3">
        <w:trPr>
          <w:cantSplit/>
        </w:trPr>
        <w:tc>
          <w:tcPr>
            <w:tcW w:w="1500" w:type="pct"/>
            <w:shd w:val="clear" w:color="auto" w:fill="auto"/>
          </w:tcPr>
          <w:p w14:paraId="5290789C" w14:textId="77777777" w:rsidR="00E93F58" w:rsidRPr="00576D60" w:rsidRDefault="00E93F58" w:rsidP="003D2B1E">
            <w:pPr>
              <w:pStyle w:val="ENoteTableText"/>
              <w:tabs>
                <w:tab w:val="left" w:leader="dot" w:pos="2268"/>
              </w:tabs>
            </w:pPr>
            <w:r w:rsidRPr="00576D60">
              <w:t xml:space="preserve">Division 36 of </w:t>
            </w:r>
            <w:r>
              <w:t>Part 1</w:t>
            </w:r>
            <w:r w:rsidRPr="00576D60">
              <w:t>0.2</w:t>
            </w:r>
            <w:r w:rsidRPr="00576D60">
              <w:tab/>
            </w:r>
          </w:p>
        </w:tc>
        <w:tc>
          <w:tcPr>
            <w:tcW w:w="3500" w:type="pct"/>
            <w:shd w:val="clear" w:color="auto" w:fill="auto"/>
          </w:tcPr>
          <w:p w14:paraId="0B6FCA0C" w14:textId="77777777" w:rsidR="00E93F58" w:rsidRPr="00576D60" w:rsidRDefault="00E93F58" w:rsidP="003D2B1E">
            <w:pPr>
              <w:pStyle w:val="ENoteTableText"/>
            </w:pPr>
            <w:r w:rsidRPr="00576D60">
              <w:t>ad No 16, 2002</w:t>
            </w:r>
          </w:p>
        </w:tc>
      </w:tr>
      <w:tr w:rsidR="00E93F58" w:rsidRPr="00576D60" w14:paraId="6132CFF3" w14:textId="77777777" w:rsidTr="002F32E3">
        <w:trPr>
          <w:cantSplit/>
        </w:trPr>
        <w:tc>
          <w:tcPr>
            <w:tcW w:w="1500" w:type="pct"/>
            <w:shd w:val="clear" w:color="auto" w:fill="auto"/>
          </w:tcPr>
          <w:p w14:paraId="50B3CF15" w14:textId="77777777" w:rsidR="00E93F58" w:rsidRPr="00576D60" w:rsidRDefault="00E93F58" w:rsidP="003D2B1E">
            <w:pPr>
              <w:pStyle w:val="ENoteTableText"/>
              <w:tabs>
                <w:tab w:val="left" w:leader="dot" w:pos="2268"/>
              </w:tabs>
            </w:pPr>
            <w:r w:rsidRPr="00576D60">
              <w:t>r 10.2.196</w:t>
            </w:r>
            <w:r w:rsidRPr="00576D60">
              <w:tab/>
            </w:r>
          </w:p>
        </w:tc>
        <w:tc>
          <w:tcPr>
            <w:tcW w:w="3500" w:type="pct"/>
            <w:shd w:val="clear" w:color="auto" w:fill="auto"/>
          </w:tcPr>
          <w:p w14:paraId="1D1C4940" w14:textId="77777777" w:rsidR="00E93F58" w:rsidRPr="00576D60" w:rsidRDefault="00E93F58" w:rsidP="003D2B1E">
            <w:pPr>
              <w:pStyle w:val="ENoteTableText"/>
            </w:pPr>
            <w:r w:rsidRPr="00576D60">
              <w:t>ad No 16, 2002</w:t>
            </w:r>
          </w:p>
        </w:tc>
      </w:tr>
      <w:tr w:rsidR="00E93F58" w:rsidRPr="00576D60" w14:paraId="66A78AD7" w14:textId="77777777" w:rsidTr="002F32E3">
        <w:trPr>
          <w:cantSplit/>
        </w:trPr>
        <w:tc>
          <w:tcPr>
            <w:tcW w:w="1500" w:type="pct"/>
            <w:shd w:val="clear" w:color="auto" w:fill="auto"/>
          </w:tcPr>
          <w:p w14:paraId="756083DA" w14:textId="77777777" w:rsidR="00E93F58" w:rsidRPr="00576D60" w:rsidRDefault="00E93F58" w:rsidP="003D2B1E">
            <w:pPr>
              <w:pStyle w:val="ENoteTableText"/>
              <w:keepNext/>
              <w:keepLines/>
              <w:tabs>
                <w:tab w:val="left" w:leader="dot" w:pos="2268"/>
              </w:tabs>
              <w:rPr>
                <w:b/>
              </w:rPr>
            </w:pPr>
            <w:r w:rsidRPr="00576D60">
              <w:rPr>
                <w:b/>
              </w:rPr>
              <w:t>Division 37</w:t>
            </w:r>
          </w:p>
        </w:tc>
        <w:tc>
          <w:tcPr>
            <w:tcW w:w="3500" w:type="pct"/>
            <w:shd w:val="clear" w:color="auto" w:fill="auto"/>
          </w:tcPr>
          <w:p w14:paraId="12AF3597" w14:textId="77777777" w:rsidR="00E93F58" w:rsidRPr="00576D60" w:rsidRDefault="00E93F58" w:rsidP="003D2B1E">
            <w:pPr>
              <w:pStyle w:val="ENoteTableText"/>
              <w:keepNext/>
              <w:keepLines/>
            </w:pPr>
          </w:p>
        </w:tc>
      </w:tr>
      <w:tr w:rsidR="00E93F58" w:rsidRPr="00576D60" w14:paraId="0770B1E0" w14:textId="77777777" w:rsidTr="002F32E3">
        <w:trPr>
          <w:cantSplit/>
        </w:trPr>
        <w:tc>
          <w:tcPr>
            <w:tcW w:w="1500" w:type="pct"/>
            <w:shd w:val="clear" w:color="auto" w:fill="auto"/>
          </w:tcPr>
          <w:p w14:paraId="448641A8" w14:textId="77777777" w:rsidR="00E93F58" w:rsidRPr="00576D60" w:rsidRDefault="00E93F58" w:rsidP="003D2B1E">
            <w:pPr>
              <w:pStyle w:val="ENoteTableText"/>
              <w:tabs>
                <w:tab w:val="left" w:leader="dot" w:pos="2268"/>
              </w:tabs>
            </w:pPr>
            <w:r w:rsidRPr="00576D60">
              <w:t xml:space="preserve">Division 37 of </w:t>
            </w:r>
            <w:r>
              <w:t>Part 1</w:t>
            </w:r>
            <w:r w:rsidRPr="00576D60">
              <w:t>0.2</w:t>
            </w:r>
            <w:r w:rsidRPr="00576D60">
              <w:tab/>
            </w:r>
          </w:p>
        </w:tc>
        <w:tc>
          <w:tcPr>
            <w:tcW w:w="3500" w:type="pct"/>
            <w:shd w:val="clear" w:color="auto" w:fill="auto"/>
          </w:tcPr>
          <w:p w14:paraId="6D91A4EB" w14:textId="77777777" w:rsidR="00E93F58" w:rsidRPr="00576D60" w:rsidRDefault="00E93F58" w:rsidP="003D2B1E">
            <w:pPr>
              <w:pStyle w:val="ENoteTableText"/>
            </w:pPr>
            <w:r w:rsidRPr="00576D60">
              <w:t>ad No 16, 2002</w:t>
            </w:r>
          </w:p>
        </w:tc>
      </w:tr>
      <w:tr w:rsidR="00E93F58" w:rsidRPr="00576D60" w14:paraId="5D5597EC" w14:textId="77777777" w:rsidTr="002F32E3">
        <w:trPr>
          <w:cantSplit/>
        </w:trPr>
        <w:tc>
          <w:tcPr>
            <w:tcW w:w="1500" w:type="pct"/>
            <w:shd w:val="clear" w:color="auto" w:fill="auto"/>
          </w:tcPr>
          <w:p w14:paraId="0964A470" w14:textId="77777777" w:rsidR="00E93F58" w:rsidRPr="00576D60" w:rsidRDefault="00E93F58" w:rsidP="003D2B1E">
            <w:pPr>
              <w:pStyle w:val="ENoteTableText"/>
              <w:tabs>
                <w:tab w:val="left" w:leader="dot" w:pos="2268"/>
              </w:tabs>
            </w:pPr>
            <w:r w:rsidRPr="00576D60">
              <w:t>r 10.2.197</w:t>
            </w:r>
            <w:r w:rsidRPr="00576D60">
              <w:tab/>
            </w:r>
          </w:p>
        </w:tc>
        <w:tc>
          <w:tcPr>
            <w:tcW w:w="3500" w:type="pct"/>
            <w:shd w:val="clear" w:color="auto" w:fill="auto"/>
          </w:tcPr>
          <w:p w14:paraId="750509CB" w14:textId="77777777" w:rsidR="00E93F58" w:rsidRPr="00576D60" w:rsidRDefault="00E93F58" w:rsidP="003D2B1E">
            <w:pPr>
              <w:pStyle w:val="ENoteTableText"/>
            </w:pPr>
            <w:r w:rsidRPr="00576D60">
              <w:t>ad No 16, 2002</w:t>
            </w:r>
          </w:p>
        </w:tc>
      </w:tr>
      <w:tr w:rsidR="00E93F58" w:rsidRPr="00576D60" w14:paraId="78164E83" w14:textId="77777777" w:rsidTr="002F32E3">
        <w:trPr>
          <w:cantSplit/>
        </w:trPr>
        <w:tc>
          <w:tcPr>
            <w:tcW w:w="1500" w:type="pct"/>
            <w:shd w:val="clear" w:color="auto" w:fill="auto"/>
          </w:tcPr>
          <w:p w14:paraId="37B21738" w14:textId="77777777" w:rsidR="00E93F58" w:rsidRPr="00576D60" w:rsidRDefault="00E93F58" w:rsidP="003D2B1E">
            <w:pPr>
              <w:pStyle w:val="ENoteTableText"/>
            </w:pPr>
          </w:p>
        </w:tc>
        <w:tc>
          <w:tcPr>
            <w:tcW w:w="3500" w:type="pct"/>
            <w:shd w:val="clear" w:color="auto" w:fill="auto"/>
          </w:tcPr>
          <w:p w14:paraId="46319B0E" w14:textId="77777777" w:rsidR="00E93F58" w:rsidRPr="00576D60" w:rsidRDefault="00E93F58" w:rsidP="003D2B1E">
            <w:pPr>
              <w:pStyle w:val="ENoteTableText"/>
            </w:pPr>
            <w:r w:rsidRPr="00576D60">
              <w:t>am 2002 No. 41</w:t>
            </w:r>
          </w:p>
        </w:tc>
      </w:tr>
      <w:tr w:rsidR="00E93F58" w:rsidRPr="00576D60" w14:paraId="2E8F0F09" w14:textId="77777777" w:rsidTr="002F32E3">
        <w:trPr>
          <w:cantSplit/>
        </w:trPr>
        <w:tc>
          <w:tcPr>
            <w:tcW w:w="1500" w:type="pct"/>
            <w:shd w:val="clear" w:color="auto" w:fill="auto"/>
          </w:tcPr>
          <w:p w14:paraId="0ACEDD0C" w14:textId="77777777" w:rsidR="00E93F58" w:rsidRPr="00576D60" w:rsidRDefault="00E93F58" w:rsidP="003D2B1E">
            <w:pPr>
              <w:pStyle w:val="ENoteTableText"/>
              <w:tabs>
                <w:tab w:val="left" w:leader="dot" w:pos="2268"/>
              </w:tabs>
            </w:pPr>
            <w:r w:rsidRPr="00576D60">
              <w:t>r 10.2.198</w:t>
            </w:r>
            <w:r w:rsidRPr="00576D60">
              <w:tab/>
            </w:r>
          </w:p>
        </w:tc>
        <w:tc>
          <w:tcPr>
            <w:tcW w:w="3500" w:type="pct"/>
            <w:shd w:val="clear" w:color="auto" w:fill="auto"/>
          </w:tcPr>
          <w:p w14:paraId="3D02C6BD" w14:textId="77777777" w:rsidR="00E93F58" w:rsidRPr="00576D60" w:rsidRDefault="00E93F58" w:rsidP="003D2B1E">
            <w:pPr>
              <w:pStyle w:val="ENoteTableText"/>
            </w:pPr>
            <w:r w:rsidRPr="00576D60">
              <w:t>ad No 16, 2002</w:t>
            </w:r>
          </w:p>
        </w:tc>
      </w:tr>
      <w:tr w:rsidR="00E93F58" w:rsidRPr="00576D60" w14:paraId="6A90D113" w14:textId="77777777" w:rsidTr="002F32E3">
        <w:trPr>
          <w:cantSplit/>
        </w:trPr>
        <w:tc>
          <w:tcPr>
            <w:tcW w:w="1500" w:type="pct"/>
            <w:shd w:val="clear" w:color="auto" w:fill="auto"/>
          </w:tcPr>
          <w:p w14:paraId="4140A5F5" w14:textId="77777777" w:rsidR="00E93F58" w:rsidRPr="00576D60" w:rsidRDefault="00E93F58" w:rsidP="003D2B1E">
            <w:pPr>
              <w:pStyle w:val="ENoteTableText"/>
              <w:tabs>
                <w:tab w:val="left" w:leader="dot" w:pos="2268"/>
              </w:tabs>
            </w:pPr>
          </w:p>
        </w:tc>
        <w:tc>
          <w:tcPr>
            <w:tcW w:w="3500" w:type="pct"/>
            <w:shd w:val="clear" w:color="auto" w:fill="auto"/>
          </w:tcPr>
          <w:p w14:paraId="682B921A" w14:textId="77777777" w:rsidR="00E93F58" w:rsidRPr="00576D60" w:rsidRDefault="00E93F58" w:rsidP="003D2B1E">
            <w:pPr>
              <w:pStyle w:val="ENoteTableText"/>
            </w:pPr>
            <w:r w:rsidRPr="00576D60">
              <w:t>am 2002 No. 41</w:t>
            </w:r>
          </w:p>
        </w:tc>
      </w:tr>
      <w:tr w:rsidR="00E93F58" w:rsidRPr="00576D60" w14:paraId="326DC71D" w14:textId="77777777" w:rsidTr="002F32E3">
        <w:trPr>
          <w:cantSplit/>
        </w:trPr>
        <w:tc>
          <w:tcPr>
            <w:tcW w:w="1500" w:type="pct"/>
            <w:shd w:val="clear" w:color="auto" w:fill="auto"/>
          </w:tcPr>
          <w:p w14:paraId="50B1B9BE" w14:textId="77777777" w:rsidR="00E93F58" w:rsidRPr="00576D60" w:rsidRDefault="00E93F58" w:rsidP="003D2B1E">
            <w:pPr>
              <w:pStyle w:val="ENoteTableText"/>
              <w:tabs>
                <w:tab w:val="left" w:leader="dot" w:pos="2268"/>
              </w:tabs>
              <w:rPr>
                <w:b/>
              </w:rPr>
            </w:pPr>
            <w:r w:rsidRPr="00576D60">
              <w:rPr>
                <w:b/>
              </w:rPr>
              <w:t>Division 38</w:t>
            </w:r>
          </w:p>
        </w:tc>
        <w:tc>
          <w:tcPr>
            <w:tcW w:w="3500" w:type="pct"/>
            <w:shd w:val="clear" w:color="auto" w:fill="auto"/>
          </w:tcPr>
          <w:p w14:paraId="4D2F80D2" w14:textId="77777777" w:rsidR="00E93F58" w:rsidRPr="00576D60" w:rsidRDefault="00E93F58" w:rsidP="003D2B1E">
            <w:pPr>
              <w:pStyle w:val="ENoteTableText"/>
            </w:pPr>
          </w:p>
        </w:tc>
      </w:tr>
      <w:tr w:rsidR="00E93F58" w:rsidRPr="00576D60" w14:paraId="76DD106F" w14:textId="77777777" w:rsidTr="002F32E3">
        <w:trPr>
          <w:cantSplit/>
        </w:trPr>
        <w:tc>
          <w:tcPr>
            <w:tcW w:w="1500" w:type="pct"/>
            <w:shd w:val="clear" w:color="auto" w:fill="auto"/>
          </w:tcPr>
          <w:p w14:paraId="387C80AC" w14:textId="77777777" w:rsidR="00E93F58" w:rsidRPr="00576D60" w:rsidRDefault="00E93F58" w:rsidP="003D2B1E">
            <w:pPr>
              <w:pStyle w:val="ENoteTableText"/>
              <w:tabs>
                <w:tab w:val="left" w:leader="dot" w:pos="2268"/>
              </w:tabs>
            </w:pPr>
            <w:r w:rsidRPr="00576D60">
              <w:t xml:space="preserve">Division 38 of </w:t>
            </w:r>
            <w:r>
              <w:t>Part 1</w:t>
            </w:r>
            <w:r w:rsidRPr="00576D60">
              <w:t>0.2</w:t>
            </w:r>
            <w:r w:rsidRPr="00576D60">
              <w:tab/>
            </w:r>
          </w:p>
        </w:tc>
        <w:tc>
          <w:tcPr>
            <w:tcW w:w="3500" w:type="pct"/>
            <w:shd w:val="clear" w:color="auto" w:fill="auto"/>
          </w:tcPr>
          <w:p w14:paraId="1B6117DC" w14:textId="77777777" w:rsidR="00E93F58" w:rsidRPr="00576D60" w:rsidRDefault="00E93F58" w:rsidP="003D2B1E">
            <w:pPr>
              <w:pStyle w:val="ENoteTableText"/>
            </w:pPr>
            <w:r w:rsidRPr="00576D60">
              <w:t>ad No 16, 2002</w:t>
            </w:r>
          </w:p>
        </w:tc>
      </w:tr>
      <w:tr w:rsidR="00E93F58" w:rsidRPr="00576D60" w14:paraId="1D8206C4" w14:textId="77777777" w:rsidTr="002F32E3">
        <w:trPr>
          <w:cantSplit/>
        </w:trPr>
        <w:tc>
          <w:tcPr>
            <w:tcW w:w="1500" w:type="pct"/>
            <w:shd w:val="clear" w:color="auto" w:fill="auto"/>
          </w:tcPr>
          <w:p w14:paraId="19CC7766" w14:textId="77777777" w:rsidR="00E93F58" w:rsidRPr="00576D60" w:rsidRDefault="00E93F58" w:rsidP="003D2B1E">
            <w:pPr>
              <w:pStyle w:val="ENoteTableText"/>
              <w:tabs>
                <w:tab w:val="left" w:leader="dot" w:pos="2268"/>
              </w:tabs>
            </w:pPr>
            <w:r w:rsidRPr="00576D60">
              <w:t>r 10.2.199</w:t>
            </w:r>
            <w:r w:rsidRPr="00576D60">
              <w:tab/>
            </w:r>
          </w:p>
        </w:tc>
        <w:tc>
          <w:tcPr>
            <w:tcW w:w="3500" w:type="pct"/>
            <w:shd w:val="clear" w:color="auto" w:fill="auto"/>
          </w:tcPr>
          <w:p w14:paraId="540D4E4F" w14:textId="77777777" w:rsidR="00E93F58" w:rsidRPr="00576D60" w:rsidRDefault="00E93F58" w:rsidP="003D2B1E">
            <w:pPr>
              <w:pStyle w:val="ENoteTableText"/>
            </w:pPr>
            <w:r w:rsidRPr="00576D60">
              <w:t>ad No 16, 2002</w:t>
            </w:r>
          </w:p>
        </w:tc>
      </w:tr>
      <w:tr w:rsidR="00E93F58" w:rsidRPr="00576D60" w14:paraId="64761CE7" w14:textId="77777777" w:rsidTr="002F32E3">
        <w:trPr>
          <w:cantSplit/>
        </w:trPr>
        <w:tc>
          <w:tcPr>
            <w:tcW w:w="1500" w:type="pct"/>
            <w:shd w:val="clear" w:color="auto" w:fill="auto"/>
          </w:tcPr>
          <w:p w14:paraId="204A4D6B" w14:textId="77777777" w:rsidR="00E93F58" w:rsidRPr="00576D60" w:rsidRDefault="00E93F58" w:rsidP="003D2B1E">
            <w:pPr>
              <w:pStyle w:val="ENoteTableText"/>
              <w:tabs>
                <w:tab w:val="left" w:leader="dot" w:pos="2268"/>
              </w:tabs>
              <w:rPr>
                <w:b/>
              </w:rPr>
            </w:pPr>
            <w:r w:rsidRPr="00576D60">
              <w:rPr>
                <w:b/>
              </w:rPr>
              <w:t>Division 39</w:t>
            </w:r>
          </w:p>
        </w:tc>
        <w:tc>
          <w:tcPr>
            <w:tcW w:w="3500" w:type="pct"/>
            <w:shd w:val="clear" w:color="auto" w:fill="auto"/>
          </w:tcPr>
          <w:p w14:paraId="5D88CEE5" w14:textId="77777777" w:rsidR="00E93F58" w:rsidRPr="00576D60" w:rsidRDefault="00E93F58" w:rsidP="003D2B1E">
            <w:pPr>
              <w:pStyle w:val="ENoteTableText"/>
            </w:pPr>
          </w:p>
        </w:tc>
      </w:tr>
      <w:tr w:rsidR="00E93F58" w:rsidRPr="00576D60" w14:paraId="01C60C31" w14:textId="77777777" w:rsidTr="002F32E3">
        <w:trPr>
          <w:cantSplit/>
        </w:trPr>
        <w:tc>
          <w:tcPr>
            <w:tcW w:w="1500" w:type="pct"/>
            <w:shd w:val="clear" w:color="auto" w:fill="auto"/>
          </w:tcPr>
          <w:p w14:paraId="223FB179" w14:textId="77777777" w:rsidR="00E93F58" w:rsidRPr="00576D60" w:rsidRDefault="00E93F58" w:rsidP="003D2B1E">
            <w:pPr>
              <w:pStyle w:val="ENoteTableText"/>
              <w:tabs>
                <w:tab w:val="left" w:leader="dot" w:pos="2268"/>
              </w:tabs>
            </w:pPr>
            <w:r w:rsidRPr="00576D60">
              <w:t xml:space="preserve">Division 39 of </w:t>
            </w:r>
            <w:r>
              <w:t>Part 1</w:t>
            </w:r>
            <w:r w:rsidRPr="00576D60">
              <w:t>0.2</w:t>
            </w:r>
            <w:r w:rsidRPr="00576D60">
              <w:tab/>
            </w:r>
          </w:p>
        </w:tc>
        <w:tc>
          <w:tcPr>
            <w:tcW w:w="3500" w:type="pct"/>
            <w:shd w:val="clear" w:color="auto" w:fill="auto"/>
          </w:tcPr>
          <w:p w14:paraId="0088237C" w14:textId="77777777" w:rsidR="00E93F58" w:rsidRPr="00576D60" w:rsidRDefault="00E93F58" w:rsidP="003D2B1E">
            <w:pPr>
              <w:pStyle w:val="ENoteTableText"/>
            </w:pPr>
            <w:r w:rsidRPr="00576D60">
              <w:t>ad No 16, 2002</w:t>
            </w:r>
          </w:p>
        </w:tc>
      </w:tr>
      <w:tr w:rsidR="00E93F58" w:rsidRPr="00576D60" w14:paraId="213800A2" w14:textId="77777777" w:rsidTr="002F32E3">
        <w:trPr>
          <w:cantSplit/>
        </w:trPr>
        <w:tc>
          <w:tcPr>
            <w:tcW w:w="1500" w:type="pct"/>
            <w:shd w:val="clear" w:color="auto" w:fill="auto"/>
          </w:tcPr>
          <w:p w14:paraId="25CE5380" w14:textId="77777777" w:rsidR="00E93F58" w:rsidRPr="00576D60" w:rsidRDefault="00E93F58" w:rsidP="003D2B1E">
            <w:pPr>
              <w:pStyle w:val="ENoteTableText"/>
              <w:tabs>
                <w:tab w:val="left" w:leader="dot" w:pos="2268"/>
              </w:tabs>
            </w:pPr>
            <w:r w:rsidRPr="00576D60">
              <w:t>r 10.2.200</w:t>
            </w:r>
            <w:r w:rsidRPr="00576D60">
              <w:tab/>
            </w:r>
          </w:p>
        </w:tc>
        <w:tc>
          <w:tcPr>
            <w:tcW w:w="3500" w:type="pct"/>
            <w:shd w:val="clear" w:color="auto" w:fill="auto"/>
          </w:tcPr>
          <w:p w14:paraId="77660E1A" w14:textId="77777777" w:rsidR="00E93F58" w:rsidRPr="00576D60" w:rsidRDefault="00E93F58" w:rsidP="003D2B1E">
            <w:pPr>
              <w:pStyle w:val="ENoteTableText"/>
            </w:pPr>
            <w:r w:rsidRPr="00576D60">
              <w:t>ad No 16, 2002</w:t>
            </w:r>
          </w:p>
        </w:tc>
      </w:tr>
      <w:tr w:rsidR="00E93F58" w:rsidRPr="00576D60" w14:paraId="3D26E06C" w14:textId="77777777" w:rsidTr="002F32E3">
        <w:trPr>
          <w:cantSplit/>
        </w:trPr>
        <w:tc>
          <w:tcPr>
            <w:tcW w:w="1500" w:type="pct"/>
            <w:shd w:val="clear" w:color="auto" w:fill="auto"/>
          </w:tcPr>
          <w:p w14:paraId="7C7D0869" w14:textId="77777777" w:rsidR="00E93F58" w:rsidRPr="00576D60" w:rsidRDefault="00E93F58" w:rsidP="003D2B1E">
            <w:pPr>
              <w:pStyle w:val="ENoteTableText"/>
            </w:pPr>
          </w:p>
        </w:tc>
        <w:tc>
          <w:tcPr>
            <w:tcW w:w="3500" w:type="pct"/>
            <w:shd w:val="clear" w:color="auto" w:fill="auto"/>
          </w:tcPr>
          <w:p w14:paraId="63B8A1DF" w14:textId="77777777" w:rsidR="00E93F58" w:rsidRPr="00576D60" w:rsidRDefault="00E93F58" w:rsidP="003D2B1E">
            <w:pPr>
              <w:pStyle w:val="ENoteTableText"/>
            </w:pPr>
            <w:r w:rsidRPr="00576D60">
              <w:t>am. 2002 No. 41</w:t>
            </w:r>
          </w:p>
        </w:tc>
      </w:tr>
      <w:tr w:rsidR="00E93F58" w:rsidRPr="00576D60" w14:paraId="0FAF2797" w14:textId="77777777" w:rsidTr="002F32E3">
        <w:trPr>
          <w:cantSplit/>
        </w:trPr>
        <w:tc>
          <w:tcPr>
            <w:tcW w:w="1500" w:type="pct"/>
            <w:shd w:val="clear" w:color="auto" w:fill="auto"/>
          </w:tcPr>
          <w:p w14:paraId="177C651B" w14:textId="77777777" w:rsidR="00E93F58" w:rsidRPr="00576D60" w:rsidRDefault="00E93F58" w:rsidP="003D2B1E">
            <w:pPr>
              <w:pStyle w:val="ENoteTableText"/>
              <w:tabs>
                <w:tab w:val="left" w:leader="dot" w:pos="2268"/>
              </w:tabs>
            </w:pPr>
            <w:r w:rsidRPr="00576D60">
              <w:t>Division 40</w:t>
            </w:r>
            <w:r w:rsidRPr="00576D60">
              <w:tab/>
            </w:r>
          </w:p>
        </w:tc>
        <w:tc>
          <w:tcPr>
            <w:tcW w:w="3500" w:type="pct"/>
            <w:shd w:val="clear" w:color="auto" w:fill="auto"/>
          </w:tcPr>
          <w:p w14:paraId="1A3F766E" w14:textId="77777777" w:rsidR="00E93F58" w:rsidRPr="00576D60" w:rsidRDefault="00E93F58" w:rsidP="003D2B1E">
            <w:pPr>
              <w:pStyle w:val="ENoteTableText"/>
            </w:pPr>
            <w:r w:rsidRPr="00576D60">
              <w:t>ad No 16, 2002</w:t>
            </w:r>
          </w:p>
        </w:tc>
      </w:tr>
      <w:tr w:rsidR="00E93F58" w:rsidRPr="00576D60" w14:paraId="3971558E" w14:textId="77777777" w:rsidTr="002F32E3">
        <w:trPr>
          <w:cantSplit/>
        </w:trPr>
        <w:tc>
          <w:tcPr>
            <w:tcW w:w="1500" w:type="pct"/>
            <w:shd w:val="clear" w:color="auto" w:fill="auto"/>
          </w:tcPr>
          <w:p w14:paraId="4D8E8639" w14:textId="77777777" w:rsidR="00E93F58" w:rsidRPr="00576D60" w:rsidRDefault="00E93F58" w:rsidP="003D2B1E">
            <w:pPr>
              <w:pStyle w:val="ENoteTableText"/>
              <w:tabs>
                <w:tab w:val="left" w:leader="dot" w:pos="2268"/>
              </w:tabs>
            </w:pPr>
          </w:p>
        </w:tc>
        <w:tc>
          <w:tcPr>
            <w:tcW w:w="3500" w:type="pct"/>
            <w:shd w:val="clear" w:color="auto" w:fill="auto"/>
          </w:tcPr>
          <w:p w14:paraId="6FC025A6" w14:textId="77777777" w:rsidR="00E93F58" w:rsidRPr="00576D60" w:rsidRDefault="00E93F58" w:rsidP="003D2B1E">
            <w:pPr>
              <w:pStyle w:val="ENoteTableText"/>
            </w:pPr>
            <w:r w:rsidRPr="00576D60">
              <w:t>rep F2022L01627</w:t>
            </w:r>
          </w:p>
        </w:tc>
      </w:tr>
      <w:tr w:rsidR="00E93F58" w:rsidRPr="00576D60" w14:paraId="6396B7FA" w14:textId="77777777" w:rsidTr="002F32E3">
        <w:trPr>
          <w:cantSplit/>
        </w:trPr>
        <w:tc>
          <w:tcPr>
            <w:tcW w:w="1500" w:type="pct"/>
            <w:shd w:val="clear" w:color="auto" w:fill="auto"/>
          </w:tcPr>
          <w:p w14:paraId="4BEBF2FD" w14:textId="77777777" w:rsidR="00E93F58" w:rsidRPr="00576D60" w:rsidRDefault="00E93F58" w:rsidP="003D2B1E">
            <w:pPr>
              <w:pStyle w:val="ENoteTableText"/>
              <w:tabs>
                <w:tab w:val="left" w:leader="dot" w:pos="2268"/>
              </w:tabs>
            </w:pPr>
            <w:r w:rsidRPr="00576D60">
              <w:t>r 10.2.201</w:t>
            </w:r>
            <w:r w:rsidRPr="00576D60">
              <w:tab/>
            </w:r>
          </w:p>
        </w:tc>
        <w:tc>
          <w:tcPr>
            <w:tcW w:w="3500" w:type="pct"/>
            <w:shd w:val="clear" w:color="auto" w:fill="auto"/>
          </w:tcPr>
          <w:p w14:paraId="35D5BBE9" w14:textId="77777777" w:rsidR="00E93F58" w:rsidRPr="00576D60" w:rsidRDefault="00E93F58" w:rsidP="003D2B1E">
            <w:pPr>
              <w:pStyle w:val="ENoteTableText"/>
            </w:pPr>
            <w:r w:rsidRPr="00576D60">
              <w:t>ad No 16, 2002</w:t>
            </w:r>
          </w:p>
        </w:tc>
      </w:tr>
      <w:tr w:rsidR="00E93F58" w:rsidRPr="00576D60" w14:paraId="096E6931" w14:textId="77777777" w:rsidTr="002F32E3">
        <w:trPr>
          <w:cantSplit/>
        </w:trPr>
        <w:tc>
          <w:tcPr>
            <w:tcW w:w="1500" w:type="pct"/>
            <w:shd w:val="clear" w:color="auto" w:fill="auto"/>
          </w:tcPr>
          <w:p w14:paraId="281CE5F6" w14:textId="77777777" w:rsidR="00E93F58" w:rsidRPr="00576D60" w:rsidRDefault="00E93F58" w:rsidP="003D2B1E">
            <w:pPr>
              <w:pStyle w:val="ENoteTableText"/>
            </w:pPr>
          </w:p>
        </w:tc>
        <w:tc>
          <w:tcPr>
            <w:tcW w:w="3500" w:type="pct"/>
            <w:shd w:val="clear" w:color="auto" w:fill="auto"/>
          </w:tcPr>
          <w:p w14:paraId="77AED6AB" w14:textId="77777777" w:rsidR="00E93F58" w:rsidRPr="00576D60" w:rsidRDefault="00E93F58" w:rsidP="003D2B1E">
            <w:pPr>
              <w:pStyle w:val="ENoteTableText"/>
            </w:pPr>
            <w:r w:rsidRPr="00576D60">
              <w:t>am No 126, 2002</w:t>
            </w:r>
          </w:p>
        </w:tc>
      </w:tr>
      <w:tr w:rsidR="00E93F58" w:rsidRPr="00576D60" w14:paraId="3FA858C6" w14:textId="77777777" w:rsidTr="002F32E3">
        <w:trPr>
          <w:cantSplit/>
        </w:trPr>
        <w:tc>
          <w:tcPr>
            <w:tcW w:w="1500" w:type="pct"/>
            <w:shd w:val="clear" w:color="auto" w:fill="auto"/>
          </w:tcPr>
          <w:p w14:paraId="6BC63512" w14:textId="77777777" w:rsidR="00E93F58" w:rsidRPr="00576D60" w:rsidRDefault="00E93F58" w:rsidP="003D2B1E">
            <w:pPr>
              <w:pStyle w:val="ENoteTableText"/>
            </w:pPr>
          </w:p>
        </w:tc>
        <w:tc>
          <w:tcPr>
            <w:tcW w:w="3500" w:type="pct"/>
            <w:shd w:val="clear" w:color="auto" w:fill="auto"/>
          </w:tcPr>
          <w:p w14:paraId="2DEEDD30" w14:textId="77777777" w:rsidR="00E93F58" w:rsidRPr="00576D60" w:rsidRDefault="00E93F58" w:rsidP="003D2B1E">
            <w:pPr>
              <w:pStyle w:val="ENoteTableText"/>
            </w:pPr>
            <w:r w:rsidRPr="00576D60">
              <w:t>rep F2022L01627</w:t>
            </w:r>
          </w:p>
        </w:tc>
      </w:tr>
      <w:tr w:rsidR="00E93F58" w:rsidRPr="00576D60" w14:paraId="26B62528" w14:textId="77777777" w:rsidTr="002F32E3">
        <w:trPr>
          <w:cantSplit/>
        </w:trPr>
        <w:tc>
          <w:tcPr>
            <w:tcW w:w="1500" w:type="pct"/>
            <w:shd w:val="clear" w:color="auto" w:fill="auto"/>
          </w:tcPr>
          <w:p w14:paraId="386271B5" w14:textId="77777777" w:rsidR="00E93F58" w:rsidRPr="00576D60" w:rsidRDefault="00E93F58" w:rsidP="003D2B1E">
            <w:pPr>
              <w:pStyle w:val="ENoteTableText"/>
              <w:tabs>
                <w:tab w:val="left" w:leader="dot" w:pos="2268"/>
              </w:tabs>
            </w:pPr>
            <w:r w:rsidRPr="00576D60">
              <w:t>r 10.2.201A</w:t>
            </w:r>
            <w:r w:rsidRPr="00576D60">
              <w:tab/>
            </w:r>
          </w:p>
        </w:tc>
        <w:tc>
          <w:tcPr>
            <w:tcW w:w="3500" w:type="pct"/>
            <w:shd w:val="clear" w:color="auto" w:fill="auto"/>
          </w:tcPr>
          <w:p w14:paraId="33B0F510" w14:textId="77777777" w:rsidR="00E93F58" w:rsidRPr="00576D60" w:rsidRDefault="00E93F58" w:rsidP="003D2B1E">
            <w:pPr>
              <w:pStyle w:val="ENoteTableText"/>
            </w:pPr>
            <w:r w:rsidRPr="00576D60">
              <w:t>ad No 126, 2002</w:t>
            </w:r>
          </w:p>
        </w:tc>
      </w:tr>
      <w:tr w:rsidR="00E93F58" w:rsidRPr="00576D60" w14:paraId="5D7CFC72" w14:textId="77777777" w:rsidTr="002F32E3">
        <w:trPr>
          <w:cantSplit/>
        </w:trPr>
        <w:tc>
          <w:tcPr>
            <w:tcW w:w="1500" w:type="pct"/>
            <w:shd w:val="clear" w:color="auto" w:fill="auto"/>
          </w:tcPr>
          <w:p w14:paraId="34BC27CE" w14:textId="77777777" w:rsidR="00E93F58" w:rsidRPr="00576D60" w:rsidRDefault="00E93F58" w:rsidP="003D2B1E">
            <w:pPr>
              <w:pStyle w:val="ENoteTableText"/>
              <w:tabs>
                <w:tab w:val="left" w:leader="dot" w:pos="2268"/>
              </w:tabs>
            </w:pPr>
          </w:p>
        </w:tc>
        <w:tc>
          <w:tcPr>
            <w:tcW w:w="3500" w:type="pct"/>
            <w:shd w:val="clear" w:color="auto" w:fill="auto"/>
          </w:tcPr>
          <w:p w14:paraId="314FCD1F" w14:textId="77777777" w:rsidR="00E93F58" w:rsidRPr="00576D60" w:rsidRDefault="00E93F58" w:rsidP="003D2B1E">
            <w:pPr>
              <w:pStyle w:val="ENoteTableText"/>
            </w:pPr>
            <w:r w:rsidRPr="00576D60">
              <w:t>rep F2022L01627</w:t>
            </w:r>
          </w:p>
        </w:tc>
      </w:tr>
      <w:tr w:rsidR="00E93F58" w:rsidRPr="00576D60" w14:paraId="402A8FDE" w14:textId="77777777" w:rsidTr="002F32E3">
        <w:trPr>
          <w:cantSplit/>
        </w:trPr>
        <w:tc>
          <w:tcPr>
            <w:tcW w:w="1500" w:type="pct"/>
            <w:shd w:val="clear" w:color="auto" w:fill="auto"/>
          </w:tcPr>
          <w:p w14:paraId="1EED879E" w14:textId="77777777" w:rsidR="00E93F58" w:rsidRPr="00576D60" w:rsidRDefault="00E93F58" w:rsidP="003D2B1E">
            <w:pPr>
              <w:pStyle w:val="ENoteTableText"/>
              <w:keepNext/>
              <w:tabs>
                <w:tab w:val="left" w:leader="dot" w:pos="2268"/>
              </w:tabs>
              <w:rPr>
                <w:b/>
              </w:rPr>
            </w:pPr>
            <w:r w:rsidRPr="00576D60">
              <w:rPr>
                <w:b/>
              </w:rPr>
              <w:t>Division 41</w:t>
            </w:r>
          </w:p>
        </w:tc>
        <w:tc>
          <w:tcPr>
            <w:tcW w:w="3500" w:type="pct"/>
            <w:shd w:val="clear" w:color="auto" w:fill="auto"/>
          </w:tcPr>
          <w:p w14:paraId="197888F3" w14:textId="77777777" w:rsidR="00E93F58" w:rsidRPr="00576D60" w:rsidRDefault="00E93F58" w:rsidP="003D2B1E">
            <w:pPr>
              <w:pStyle w:val="ENoteTableText"/>
            </w:pPr>
          </w:p>
        </w:tc>
      </w:tr>
      <w:tr w:rsidR="00E93F58" w:rsidRPr="00576D60" w14:paraId="56D1EBBE" w14:textId="77777777" w:rsidTr="002F32E3">
        <w:trPr>
          <w:cantSplit/>
        </w:trPr>
        <w:tc>
          <w:tcPr>
            <w:tcW w:w="1500" w:type="pct"/>
            <w:shd w:val="clear" w:color="auto" w:fill="auto"/>
          </w:tcPr>
          <w:p w14:paraId="3BDE1D54" w14:textId="77777777" w:rsidR="00E93F58" w:rsidRPr="00576D60" w:rsidRDefault="00E93F58" w:rsidP="003D2B1E">
            <w:pPr>
              <w:pStyle w:val="ENoteTableText"/>
              <w:tabs>
                <w:tab w:val="left" w:leader="dot" w:pos="2268"/>
              </w:tabs>
            </w:pPr>
            <w:r w:rsidRPr="00576D60">
              <w:t xml:space="preserve">Division 41 of </w:t>
            </w:r>
            <w:r>
              <w:t>Part 1</w:t>
            </w:r>
            <w:r w:rsidRPr="00576D60">
              <w:t>0.2</w:t>
            </w:r>
            <w:r w:rsidRPr="00576D60">
              <w:tab/>
            </w:r>
          </w:p>
        </w:tc>
        <w:tc>
          <w:tcPr>
            <w:tcW w:w="3500" w:type="pct"/>
            <w:shd w:val="clear" w:color="auto" w:fill="auto"/>
          </w:tcPr>
          <w:p w14:paraId="5317E5A6" w14:textId="77777777" w:rsidR="00E93F58" w:rsidRPr="00576D60" w:rsidRDefault="00E93F58" w:rsidP="003D2B1E">
            <w:pPr>
              <w:pStyle w:val="ENoteTableText"/>
            </w:pPr>
            <w:r w:rsidRPr="00576D60">
              <w:t>ad No 16, 2002</w:t>
            </w:r>
          </w:p>
        </w:tc>
      </w:tr>
      <w:tr w:rsidR="00E93F58" w:rsidRPr="00576D60" w14:paraId="2DDD3CF2" w14:textId="77777777" w:rsidTr="002F32E3">
        <w:trPr>
          <w:cantSplit/>
        </w:trPr>
        <w:tc>
          <w:tcPr>
            <w:tcW w:w="1500" w:type="pct"/>
            <w:shd w:val="clear" w:color="auto" w:fill="auto"/>
          </w:tcPr>
          <w:p w14:paraId="4E4DBB14" w14:textId="77777777" w:rsidR="00E93F58" w:rsidRPr="00576D60" w:rsidRDefault="00E93F58" w:rsidP="003D2B1E">
            <w:pPr>
              <w:pStyle w:val="ENoteTableText"/>
              <w:tabs>
                <w:tab w:val="left" w:leader="dot" w:pos="2268"/>
              </w:tabs>
            </w:pPr>
            <w:r w:rsidRPr="00576D60">
              <w:t>r 10.2.202</w:t>
            </w:r>
            <w:r w:rsidRPr="00576D60">
              <w:tab/>
            </w:r>
          </w:p>
        </w:tc>
        <w:tc>
          <w:tcPr>
            <w:tcW w:w="3500" w:type="pct"/>
            <w:shd w:val="clear" w:color="auto" w:fill="auto"/>
          </w:tcPr>
          <w:p w14:paraId="170ECD0E" w14:textId="77777777" w:rsidR="00E93F58" w:rsidRPr="00576D60" w:rsidRDefault="00E93F58" w:rsidP="003D2B1E">
            <w:pPr>
              <w:pStyle w:val="ENoteTableText"/>
            </w:pPr>
            <w:r w:rsidRPr="00576D60">
              <w:t>ad No 16, 2002</w:t>
            </w:r>
          </w:p>
        </w:tc>
      </w:tr>
      <w:tr w:rsidR="00E93F58" w:rsidRPr="00576D60" w14:paraId="34401018" w14:textId="77777777" w:rsidTr="002F32E3">
        <w:trPr>
          <w:cantSplit/>
        </w:trPr>
        <w:tc>
          <w:tcPr>
            <w:tcW w:w="1500" w:type="pct"/>
            <w:shd w:val="clear" w:color="auto" w:fill="auto"/>
          </w:tcPr>
          <w:p w14:paraId="1B77E5DC" w14:textId="77777777" w:rsidR="00E93F58" w:rsidRPr="00576D60" w:rsidRDefault="00E93F58" w:rsidP="003D2B1E">
            <w:pPr>
              <w:pStyle w:val="ENoteTableText"/>
            </w:pPr>
          </w:p>
        </w:tc>
        <w:tc>
          <w:tcPr>
            <w:tcW w:w="3500" w:type="pct"/>
            <w:shd w:val="clear" w:color="auto" w:fill="auto"/>
          </w:tcPr>
          <w:p w14:paraId="61B9E982" w14:textId="77777777" w:rsidR="00E93F58" w:rsidRPr="00576D60" w:rsidRDefault="00E93F58" w:rsidP="003D2B1E">
            <w:pPr>
              <w:pStyle w:val="ENoteTableText"/>
            </w:pPr>
            <w:r w:rsidRPr="00576D60">
              <w:t>am. 2003 No. 368</w:t>
            </w:r>
          </w:p>
        </w:tc>
      </w:tr>
      <w:tr w:rsidR="00E93F58" w:rsidRPr="00576D60" w14:paraId="0871818D" w14:textId="77777777" w:rsidTr="002F32E3">
        <w:trPr>
          <w:cantSplit/>
        </w:trPr>
        <w:tc>
          <w:tcPr>
            <w:tcW w:w="1500" w:type="pct"/>
            <w:shd w:val="clear" w:color="auto" w:fill="auto"/>
          </w:tcPr>
          <w:p w14:paraId="18B649D4" w14:textId="77777777" w:rsidR="00E93F58" w:rsidRPr="00576D60" w:rsidRDefault="00E93F58" w:rsidP="003D2B1E">
            <w:pPr>
              <w:pStyle w:val="ENoteTableText"/>
              <w:tabs>
                <w:tab w:val="left" w:leader="dot" w:pos="2268"/>
              </w:tabs>
              <w:rPr>
                <w:b/>
              </w:rPr>
            </w:pPr>
            <w:r w:rsidRPr="00576D60">
              <w:rPr>
                <w:b/>
              </w:rPr>
              <w:t>Division 42</w:t>
            </w:r>
          </w:p>
        </w:tc>
        <w:tc>
          <w:tcPr>
            <w:tcW w:w="3500" w:type="pct"/>
            <w:shd w:val="clear" w:color="auto" w:fill="auto"/>
          </w:tcPr>
          <w:p w14:paraId="243B0D14" w14:textId="77777777" w:rsidR="00E93F58" w:rsidRPr="00576D60" w:rsidRDefault="00E93F58" w:rsidP="003D2B1E">
            <w:pPr>
              <w:pStyle w:val="ENoteTableText"/>
            </w:pPr>
          </w:p>
        </w:tc>
      </w:tr>
      <w:tr w:rsidR="00E93F58" w:rsidRPr="00576D60" w14:paraId="11E9F152" w14:textId="77777777" w:rsidTr="002F32E3">
        <w:trPr>
          <w:cantSplit/>
        </w:trPr>
        <w:tc>
          <w:tcPr>
            <w:tcW w:w="1500" w:type="pct"/>
            <w:shd w:val="clear" w:color="auto" w:fill="auto"/>
          </w:tcPr>
          <w:p w14:paraId="0583A411" w14:textId="77777777" w:rsidR="00E93F58" w:rsidRPr="00576D60" w:rsidRDefault="00E93F58" w:rsidP="003D2B1E">
            <w:pPr>
              <w:pStyle w:val="ENoteTableText"/>
              <w:tabs>
                <w:tab w:val="left" w:leader="dot" w:pos="2268"/>
              </w:tabs>
            </w:pPr>
            <w:r w:rsidRPr="00576D60">
              <w:t xml:space="preserve">Division 42 of </w:t>
            </w:r>
            <w:r>
              <w:t>Part 1</w:t>
            </w:r>
            <w:r w:rsidRPr="00576D60">
              <w:t>0.2</w:t>
            </w:r>
            <w:r w:rsidRPr="00576D60">
              <w:tab/>
            </w:r>
          </w:p>
        </w:tc>
        <w:tc>
          <w:tcPr>
            <w:tcW w:w="3500" w:type="pct"/>
            <w:shd w:val="clear" w:color="auto" w:fill="auto"/>
          </w:tcPr>
          <w:p w14:paraId="2639C93D" w14:textId="77777777" w:rsidR="00E93F58" w:rsidRPr="00576D60" w:rsidRDefault="00E93F58" w:rsidP="003D2B1E">
            <w:pPr>
              <w:pStyle w:val="ENoteTableText"/>
            </w:pPr>
            <w:r w:rsidRPr="00576D60">
              <w:t>ad No 16, 2002</w:t>
            </w:r>
          </w:p>
        </w:tc>
      </w:tr>
      <w:tr w:rsidR="00E93F58" w:rsidRPr="00576D60" w14:paraId="70BD5ABF" w14:textId="77777777" w:rsidTr="002F32E3">
        <w:trPr>
          <w:cantSplit/>
        </w:trPr>
        <w:tc>
          <w:tcPr>
            <w:tcW w:w="1500" w:type="pct"/>
            <w:shd w:val="clear" w:color="auto" w:fill="auto"/>
          </w:tcPr>
          <w:p w14:paraId="56DB8731" w14:textId="77777777" w:rsidR="00E93F58" w:rsidRPr="00576D60" w:rsidRDefault="00E93F58" w:rsidP="003D2B1E">
            <w:pPr>
              <w:pStyle w:val="ENoteTableText"/>
              <w:tabs>
                <w:tab w:val="left" w:leader="dot" w:pos="2268"/>
              </w:tabs>
            </w:pPr>
            <w:r w:rsidRPr="00576D60">
              <w:t>r 10.2.203</w:t>
            </w:r>
            <w:r w:rsidRPr="00576D60">
              <w:tab/>
            </w:r>
          </w:p>
        </w:tc>
        <w:tc>
          <w:tcPr>
            <w:tcW w:w="3500" w:type="pct"/>
            <w:shd w:val="clear" w:color="auto" w:fill="auto"/>
          </w:tcPr>
          <w:p w14:paraId="3EDE49AD" w14:textId="77777777" w:rsidR="00E93F58" w:rsidRPr="00576D60" w:rsidRDefault="00E93F58" w:rsidP="003D2B1E">
            <w:pPr>
              <w:pStyle w:val="ENoteTableText"/>
            </w:pPr>
            <w:r w:rsidRPr="00576D60">
              <w:t>ad No 16, 2002</w:t>
            </w:r>
          </w:p>
        </w:tc>
      </w:tr>
      <w:tr w:rsidR="00E93F58" w:rsidRPr="00576D60" w14:paraId="25FF0EAB" w14:textId="77777777" w:rsidTr="002F32E3">
        <w:trPr>
          <w:cantSplit/>
        </w:trPr>
        <w:tc>
          <w:tcPr>
            <w:tcW w:w="1500" w:type="pct"/>
            <w:shd w:val="clear" w:color="auto" w:fill="auto"/>
          </w:tcPr>
          <w:p w14:paraId="2B4F369E" w14:textId="77777777" w:rsidR="00E93F58" w:rsidRPr="00576D60" w:rsidRDefault="00E93F58" w:rsidP="003D2B1E">
            <w:pPr>
              <w:pStyle w:val="ENoteTableText"/>
              <w:tabs>
                <w:tab w:val="left" w:leader="dot" w:pos="2268"/>
              </w:tabs>
              <w:rPr>
                <w:b/>
              </w:rPr>
            </w:pPr>
            <w:r w:rsidRPr="00576D60">
              <w:rPr>
                <w:b/>
              </w:rPr>
              <w:t>Division 43</w:t>
            </w:r>
          </w:p>
        </w:tc>
        <w:tc>
          <w:tcPr>
            <w:tcW w:w="3500" w:type="pct"/>
            <w:shd w:val="clear" w:color="auto" w:fill="auto"/>
          </w:tcPr>
          <w:p w14:paraId="18EF0E2A" w14:textId="77777777" w:rsidR="00E93F58" w:rsidRPr="00576D60" w:rsidRDefault="00E93F58" w:rsidP="003D2B1E">
            <w:pPr>
              <w:pStyle w:val="ENoteTableText"/>
            </w:pPr>
          </w:p>
        </w:tc>
      </w:tr>
      <w:tr w:rsidR="00E93F58" w:rsidRPr="00576D60" w14:paraId="382A22D9" w14:textId="77777777" w:rsidTr="002F32E3">
        <w:trPr>
          <w:cantSplit/>
        </w:trPr>
        <w:tc>
          <w:tcPr>
            <w:tcW w:w="1500" w:type="pct"/>
            <w:shd w:val="clear" w:color="auto" w:fill="auto"/>
          </w:tcPr>
          <w:p w14:paraId="44E26C72" w14:textId="77777777" w:rsidR="00E93F58" w:rsidRPr="00576D60" w:rsidRDefault="00E93F58" w:rsidP="003D2B1E">
            <w:pPr>
              <w:pStyle w:val="ENoteTableText"/>
              <w:tabs>
                <w:tab w:val="left" w:leader="dot" w:pos="2268"/>
              </w:tabs>
            </w:pPr>
            <w:r w:rsidRPr="00576D60">
              <w:t xml:space="preserve">Division 43 of </w:t>
            </w:r>
            <w:r>
              <w:t>Part 1</w:t>
            </w:r>
            <w:r w:rsidRPr="00576D60">
              <w:t>0.2</w:t>
            </w:r>
            <w:r w:rsidRPr="00576D60">
              <w:tab/>
            </w:r>
          </w:p>
        </w:tc>
        <w:tc>
          <w:tcPr>
            <w:tcW w:w="3500" w:type="pct"/>
            <w:shd w:val="clear" w:color="auto" w:fill="auto"/>
          </w:tcPr>
          <w:p w14:paraId="3D671F57" w14:textId="77777777" w:rsidR="00E93F58" w:rsidRPr="00576D60" w:rsidRDefault="00E93F58" w:rsidP="003D2B1E">
            <w:pPr>
              <w:pStyle w:val="ENoteTableText"/>
            </w:pPr>
            <w:r w:rsidRPr="00576D60">
              <w:t>ad No 16, 2002</w:t>
            </w:r>
          </w:p>
        </w:tc>
      </w:tr>
      <w:tr w:rsidR="00E93F58" w:rsidRPr="00576D60" w14:paraId="46B00218" w14:textId="77777777" w:rsidTr="002F32E3">
        <w:trPr>
          <w:cantSplit/>
        </w:trPr>
        <w:tc>
          <w:tcPr>
            <w:tcW w:w="1500" w:type="pct"/>
            <w:shd w:val="clear" w:color="auto" w:fill="auto"/>
          </w:tcPr>
          <w:p w14:paraId="4387BB4B" w14:textId="77777777" w:rsidR="00E93F58" w:rsidRPr="00576D60" w:rsidRDefault="00E93F58" w:rsidP="003D2B1E">
            <w:pPr>
              <w:pStyle w:val="ENoteTableText"/>
              <w:tabs>
                <w:tab w:val="left" w:leader="dot" w:pos="2268"/>
              </w:tabs>
            </w:pPr>
            <w:r w:rsidRPr="00576D60">
              <w:t>r 10.2.204</w:t>
            </w:r>
            <w:r w:rsidRPr="00576D60">
              <w:tab/>
            </w:r>
          </w:p>
        </w:tc>
        <w:tc>
          <w:tcPr>
            <w:tcW w:w="3500" w:type="pct"/>
            <w:shd w:val="clear" w:color="auto" w:fill="auto"/>
          </w:tcPr>
          <w:p w14:paraId="49290BA1" w14:textId="77777777" w:rsidR="00E93F58" w:rsidRPr="00576D60" w:rsidRDefault="00E93F58" w:rsidP="003D2B1E">
            <w:pPr>
              <w:pStyle w:val="ENoteTableText"/>
            </w:pPr>
            <w:r w:rsidRPr="00576D60">
              <w:t>ad No 16, 2002</w:t>
            </w:r>
          </w:p>
        </w:tc>
      </w:tr>
      <w:tr w:rsidR="00E93F58" w:rsidRPr="00576D60" w14:paraId="248361F7" w14:textId="77777777" w:rsidTr="002F32E3">
        <w:trPr>
          <w:cantSplit/>
        </w:trPr>
        <w:tc>
          <w:tcPr>
            <w:tcW w:w="1500" w:type="pct"/>
            <w:shd w:val="clear" w:color="auto" w:fill="auto"/>
          </w:tcPr>
          <w:p w14:paraId="694D2E0E" w14:textId="77777777" w:rsidR="00E93F58" w:rsidRPr="00576D60" w:rsidRDefault="00E93F58" w:rsidP="003D2B1E">
            <w:pPr>
              <w:pStyle w:val="ENoteTableText"/>
              <w:keepNext/>
              <w:tabs>
                <w:tab w:val="left" w:leader="dot" w:pos="2268"/>
              </w:tabs>
              <w:rPr>
                <w:b/>
              </w:rPr>
            </w:pPr>
            <w:r w:rsidRPr="00576D60">
              <w:rPr>
                <w:b/>
              </w:rPr>
              <w:t>Division 44</w:t>
            </w:r>
          </w:p>
        </w:tc>
        <w:tc>
          <w:tcPr>
            <w:tcW w:w="3500" w:type="pct"/>
            <w:shd w:val="clear" w:color="auto" w:fill="auto"/>
          </w:tcPr>
          <w:p w14:paraId="50ECB909" w14:textId="77777777" w:rsidR="00E93F58" w:rsidRPr="00576D60" w:rsidRDefault="00E93F58" w:rsidP="003D2B1E">
            <w:pPr>
              <w:pStyle w:val="ENoteTableText"/>
              <w:keepNext/>
            </w:pPr>
          </w:p>
        </w:tc>
      </w:tr>
      <w:tr w:rsidR="00E93F58" w:rsidRPr="00576D60" w14:paraId="46B67385" w14:textId="77777777" w:rsidTr="002F32E3">
        <w:trPr>
          <w:cantSplit/>
        </w:trPr>
        <w:tc>
          <w:tcPr>
            <w:tcW w:w="1500" w:type="pct"/>
            <w:shd w:val="clear" w:color="auto" w:fill="auto"/>
          </w:tcPr>
          <w:p w14:paraId="5F521672" w14:textId="77777777" w:rsidR="00E93F58" w:rsidRPr="00576D60" w:rsidRDefault="00E93F58" w:rsidP="003D2B1E">
            <w:pPr>
              <w:pStyle w:val="ENoteTableText"/>
              <w:tabs>
                <w:tab w:val="left" w:leader="dot" w:pos="2268"/>
              </w:tabs>
            </w:pPr>
            <w:r w:rsidRPr="00576D60">
              <w:t xml:space="preserve">Division 44 of </w:t>
            </w:r>
            <w:r>
              <w:t>Part 1</w:t>
            </w:r>
            <w:r w:rsidRPr="00576D60">
              <w:t>0.2</w:t>
            </w:r>
            <w:r w:rsidRPr="00576D60">
              <w:tab/>
            </w:r>
          </w:p>
        </w:tc>
        <w:tc>
          <w:tcPr>
            <w:tcW w:w="3500" w:type="pct"/>
            <w:shd w:val="clear" w:color="auto" w:fill="auto"/>
          </w:tcPr>
          <w:p w14:paraId="6B340BD2" w14:textId="77777777" w:rsidR="00E93F58" w:rsidRPr="00576D60" w:rsidRDefault="00E93F58" w:rsidP="003D2B1E">
            <w:pPr>
              <w:pStyle w:val="ENoteTableText"/>
            </w:pPr>
            <w:r w:rsidRPr="00576D60">
              <w:t>ad No 16, 2002</w:t>
            </w:r>
          </w:p>
        </w:tc>
      </w:tr>
      <w:tr w:rsidR="00E93F58" w:rsidRPr="00576D60" w14:paraId="57B23A18" w14:textId="77777777" w:rsidTr="002F32E3">
        <w:trPr>
          <w:cantSplit/>
        </w:trPr>
        <w:tc>
          <w:tcPr>
            <w:tcW w:w="1500" w:type="pct"/>
            <w:shd w:val="clear" w:color="auto" w:fill="auto"/>
          </w:tcPr>
          <w:p w14:paraId="607A9573" w14:textId="77777777" w:rsidR="00E93F58" w:rsidRPr="00576D60" w:rsidRDefault="00E93F58" w:rsidP="003D2B1E">
            <w:pPr>
              <w:pStyle w:val="ENoteTableText"/>
              <w:tabs>
                <w:tab w:val="left" w:leader="dot" w:pos="2268"/>
              </w:tabs>
            </w:pPr>
            <w:r w:rsidRPr="00576D60">
              <w:t>r 10.2.205</w:t>
            </w:r>
            <w:r w:rsidRPr="00576D60">
              <w:tab/>
            </w:r>
          </w:p>
        </w:tc>
        <w:tc>
          <w:tcPr>
            <w:tcW w:w="3500" w:type="pct"/>
            <w:shd w:val="clear" w:color="auto" w:fill="auto"/>
          </w:tcPr>
          <w:p w14:paraId="59C43857" w14:textId="77777777" w:rsidR="00E93F58" w:rsidRPr="00576D60" w:rsidRDefault="00E93F58" w:rsidP="003D2B1E">
            <w:pPr>
              <w:pStyle w:val="ENoteTableText"/>
            </w:pPr>
            <w:r w:rsidRPr="00576D60">
              <w:t>ad No 16, 2002</w:t>
            </w:r>
          </w:p>
        </w:tc>
      </w:tr>
      <w:tr w:rsidR="00E93F58" w:rsidRPr="00576D60" w14:paraId="66B1D140" w14:textId="77777777" w:rsidTr="002F32E3">
        <w:trPr>
          <w:cantSplit/>
        </w:trPr>
        <w:tc>
          <w:tcPr>
            <w:tcW w:w="1500" w:type="pct"/>
            <w:shd w:val="clear" w:color="auto" w:fill="auto"/>
          </w:tcPr>
          <w:p w14:paraId="6B6B9869" w14:textId="77777777" w:rsidR="00E93F58" w:rsidRPr="00576D60" w:rsidRDefault="00E93F58" w:rsidP="00847CAA">
            <w:pPr>
              <w:pStyle w:val="ENoteTableText"/>
              <w:keepNext/>
              <w:tabs>
                <w:tab w:val="left" w:leader="dot" w:pos="2268"/>
              </w:tabs>
              <w:rPr>
                <w:b/>
              </w:rPr>
            </w:pPr>
            <w:r w:rsidRPr="00576D60">
              <w:rPr>
                <w:b/>
              </w:rPr>
              <w:t>Division 45</w:t>
            </w:r>
          </w:p>
        </w:tc>
        <w:tc>
          <w:tcPr>
            <w:tcW w:w="3500" w:type="pct"/>
            <w:shd w:val="clear" w:color="auto" w:fill="auto"/>
          </w:tcPr>
          <w:p w14:paraId="19C2F15A" w14:textId="77777777" w:rsidR="00E93F58" w:rsidRPr="00576D60" w:rsidRDefault="00E93F58" w:rsidP="00847CAA">
            <w:pPr>
              <w:pStyle w:val="ENoteTableText"/>
              <w:keepNext/>
            </w:pPr>
          </w:p>
        </w:tc>
      </w:tr>
      <w:tr w:rsidR="00E93F58" w:rsidRPr="00576D60" w14:paraId="229843CE" w14:textId="77777777" w:rsidTr="002F32E3">
        <w:trPr>
          <w:cantSplit/>
        </w:trPr>
        <w:tc>
          <w:tcPr>
            <w:tcW w:w="1500" w:type="pct"/>
            <w:shd w:val="clear" w:color="auto" w:fill="auto"/>
          </w:tcPr>
          <w:p w14:paraId="4EB56FFF" w14:textId="77777777" w:rsidR="00E93F58" w:rsidRPr="00576D60" w:rsidRDefault="00E93F58" w:rsidP="003D2B1E">
            <w:pPr>
              <w:pStyle w:val="ENoteTableText"/>
              <w:tabs>
                <w:tab w:val="left" w:leader="dot" w:pos="2268"/>
              </w:tabs>
            </w:pPr>
            <w:r w:rsidRPr="00576D60">
              <w:t xml:space="preserve">Division 45 of </w:t>
            </w:r>
            <w:r>
              <w:t>Part 1</w:t>
            </w:r>
            <w:r w:rsidRPr="00576D60">
              <w:t>0.2</w:t>
            </w:r>
            <w:r w:rsidRPr="00576D60">
              <w:tab/>
            </w:r>
          </w:p>
        </w:tc>
        <w:tc>
          <w:tcPr>
            <w:tcW w:w="3500" w:type="pct"/>
            <w:shd w:val="clear" w:color="auto" w:fill="auto"/>
          </w:tcPr>
          <w:p w14:paraId="21966B1F" w14:textId="77777777" w:rsidR="00E93F58" w:rsidRPr="00576D60" w:rsidRDefault="00E93F58" w:rsidP="003D2B1E">
            <w:pPr>
              <w:pStyle w:val="ENoteTableText"/>
            </w:pPr>
            <w:r w:rsidRPr="00576D60">
              <w:t>ad No 16, 2002</w:t>
            </w:r>
          </w:p>
        </w:tc>
      </w:tr>
      <w:tr w:rsidR="00E93F58" w:rsidRPr="00576D60" w14:paraId="4E776AF0" w14:textId="77777777" w:rsidTr="002F32E3">
        <w:trPr>
          <w:cantSplit/>
        </w:trPr>
        <w:tc>
          <w:tcPr>
            <w:tcW w:w="1500" w:type="pct"/>
            <w:shd w:val="clear" w:color="auto" w:fill="auto"/>
          </w:tcPr>
          <w:p w14:paraId="466DEA83" w14:textId="77777777" w:rsidR="00E93F58" w:rsidRPr="00576D60" w:rsidRDefault="00E93F58" w:rsidP="003D2B1E">
            <w:pPr>
              <w:pStyle w:val="ENoteTableText"/>
              <w:tabs>
                <w:tab w:val="left" w:leader="dot" w:pos="2268"/>
              </w:tabs>
            </w:pPr>
            <w:r w:rsidRPr="00576D60">
              <w:t>r 10.2.206</w:t>
            </w:r>
            <w:r w:rsidRPr="00576D60">
              <w:tab/>
            </w:r>
          </w:p>
        </w:tc>
        <w:tc>
          <w:tcPr>
            <w:tcW w:w="3500" w:type="pct"/>
            <w:shd w:val="clear" w:color="auto" w:fill="auto"/>
          </w:tcPr>
          <w:p w14:paraId="01CA71AB" w14:textId="77777777" w:rsidR="00E93F58" w:rsidRPr="00576D60" w:rsidRDefault="00E93F58" w:rsidP="003D2B1E">
            <w:pPr>
              <w:pStyle w:val="ENoteTableText"/>
            </w:pPr>
            <w:r w:rsidRPr="00576D60">
              <w:t>ad No 16, 2002</w:t>
            </w:r>
          </w:p>
        </w:tc>
      </w:tr>
      <w:tr w:rsidR="00E93F58" w:rsidRPr="00576D60" w14:paraId="36AA5ADE" w14:textId="77777777" w:rsidTr="002F32E3">
        <w:trPr>
          <w:cantSplit/>
        </w:trPr>
        <w:tc>
          <w:tcPr>
            <w:tcW w:w="1500" w:type="pct"/>
            <w:shd w:val="clear" w:color="auto" w:fill="auto"/>
          </w:tcPr>
          <w:p w14:paraId="564E4D69" w14:textId="77777777" w:rsidR="00E93F58" w:rsidRPr="00576D60" w:rsidRDefault="00E93F58" w:rsidP="003D2B1E">
            <w:pPr>
              <w:pStyle w:val="ENoteTableText"/>
            </w:pPr>
          </w:p>
        </w:tc>
        <w:tc>
          <w:tcPr>
            <w:tcW w:w="3500" w:type="pct"/>
            <w:shd w:val="clear" w:color="auto" w:fill="auto"/>
          </w:tcPr>
          <w:p w14:paraId="14FC85EC" w14:textId="77777777" w:rsidR="00E93F58" w:rsidRPr="00576D60" w:rsidRDefault="00E93F58" w:rsidP="003D2B1E">
            <w:pPr>
              <w:pStyle w:val="ENoteTableText"/>
            </w:pPr>
            <w:r w:rsidRPr="00576D60">
              <w:t>am. 2002 No. 41</w:t>
            </w:r>
          </w:p>
        </w:tc>
      </w:tr>
      <w:tr w:rsidR="00E93F58" w:rsidRPr="00576D60" w14:paraId="3B86A2C9" w14:textId="77777777" w:rsidTr="002F32E3">
        <w:trPr>
          <w:cantSplit/>
        </w:trPr>
        <w:tc>
          <w:tcPr>
            <w:tcW w:w="1500" w:type="pct"/>
            <w:shd w:val="clear" w:color="auto" w:fill="auto"/>
          </w:tcPr>
          <w:p w14:paraId="406CCFF7" w14:textId="77777777" w:rsidR="00E93F58" w:rsidRPr="00576D60" w:rsidRDefault="00E93F58" w:rsidP="003D2B1E">
            <w:pPr>
              <w:pStyle w:val="ENoteTableText"/>
              <w:tabs>
                <w:tab w:val="left" w:leader="dot" w:pos="2268"/>
              </w:tabs>
            </w:pPr>
            <w:r w:rsidRPr="00576D60">
              <w:t>r 10.2.207</w:t>
            </w:r>
            <w:r w:rsidRPr="00576D60">
              <w:tab/>
            </w:r>
          </w:p>
        </w:tc>
        <w:tc>
          <w:tcPr>
            <w:tcW w:w="3500" w:type="pct"/>
            <w:shd w:val="clear" w:color="auto" w:fill="auto"/>
          </w:tcPr>
          <w:p w14:paraId="2972FDFD" w14:textId="77777777" w:rsidR="00E93F58" w:rsidRPr="00576D60" w:rsidRDefault="00E93F58" w:rsidP="003D2B1E">
            <w:pPr>
              <w:pStyle w:val="ENoteTableText"/>
            </w:pPr>
            <w:r w:rsidRPr="00576D60">
              <w:t>ad No 16, 2002</w:t>
            </w:r>
          </w:p>
        </w:tc>
      </w:tr>
      <w:tr w:rsidR="00E93F58" w:rsidRPr="00576D60" w14:paraId="625EF061" w14:textId="77777777" w:rsidTr="002F32E3">
        <w:trPr>
          <w:cantSplit/>
        </w:trPr>
        <w:tc>
          <w:tcPr>
            <w:tcW w:w="1500" w:type="pct"/>
            <w:shd w:val="clear" w:color="auto" w:fill="auto"/>
          </w:tcPr>
          <w:p w14:paraId="371FC4A0" w14:textId="77777777" w:rsidR="00E93F58" w:rsidRPr="00576D60" w:rsidRDefault="00E93F58" w:rsidP="003D2B1E">
            <w:pPr>
              <w:pStyle w:val="ENoteTableText"/>
            </w:pPr>
          </w:p>
        </w:tc>
        <w:tc>
          <w:tcPr>
            <w:tcW w:w="3500" w:type="pct"/>
            <w:shd w:val="clear" w:color="auto" w:fill="auto"/>
          </w:tcPr>
          <w:p w14:paraId="58C6EC2A" w14:textId="77777777" w:rsidR="00E93F58" w:rsidRPr="00576D60" w:rsidRDefault="00E93F58" w:rsidP="003D2B1E">
            <w:pPr>
              <w:pStyle w:val="ENoteTableText"/>
            </w:pPr>
            <w:r w:rsidRPr="00576D60">
              <w:t>rs. 2002 No. 41</w:t>
            </w:r>
          </w:p>
        </w:tc>
      </w:tr>
      <w:tr w:rsidR="00E93F58" w:rsidRPr="00576D60" w14:paraId="364E1287" w14:textId="77777777" w:rsidTr="002F32E3">
        <w:trPr>
          <w:cantSplit/>
        </w:trPr>
        <w:tc>
          <w:tcPr>
            <w:tcW w:w="1500" w:type="pct"/>
            <w:shd w:val="clear" w:color="auto" w:fill="auto"/>
          </w:tcPr>
          <w:p w14:paraId="6F38B35E" w14:textId="77777777" w:rsidR="00E93F58" w:rsidRPr="00576D60" w:rsidRDefault="00E93F58" w:rsidP="003D2B1E">
            <w:pPr>
              <w:pStyle w:val="ENoteTableText"/>
              <w:tabs>
                <w:tab w:val="left" w:leader="dot" w:pos="2268"/>
              </w:tabs>
              <w:rPr>
                <w:b/>
              </w:rPr>
            </w:pPr>
            <w:r w:rsidRPr="00576D60">
              <w:rPr>
                <w:b/>
              </w:rPr>
              <w:t>Division 46</w:t>
            </w:r>
          </w:p>
        </w:tc>
        <w:tc>
          <w:tcPr>
            <w:tcW w:w="3500" w:type="pct"/>
            <w:shd w:val="clear" w:color="auto" w:fill="auto"/>
          </w:tcPr>
          <w:p w14:paraId="6D462032" w14:textId="77777777" w:rsidR="00E93F58" w:rsidRPr="00576D60" w:rsidRDefault="00E93F58" w:rsidP="003D2B1E">
            <w:pPr>
              <w:pStyle w:val="ENoteTableText"/>
            </w:pPr>
          </w:p>
        </w:tc>
      </w:tr>
      <w:tr w:rsidR="00E93F58" w:rsidRPr="00576D60" w14:paraId="42142D4A" w14:textId="77777777" w:rsidTr="002F32E3">
        <w:trPr>
          <w:cantSplit/>
        </w:trPr>
        <w:tc>
          <w:tcPr>
            <w:tcW w:w="1500" w:type="pct"/>
            <w:shd w:val="clear" w:color="auto" w:fill="auto"/>
          </w:tcPr>
          <w:p w14:paraId="6C29A254" w14:textId="77777777" w:rsidR="00E93F58" w:rsidRPr="00576D60" w:rsidRDefault="00E93F58" w:rsidP="003D2B1E">
            <w:pPr>
              <w:pStyle w:val="ENoteTableText"/>
              <w:tabs>
                <w:tab w:val="left" w:leader="dot" w:pos="2268"/>
              </w:tabs>
            </w:pPr>
            <w:r w:rsidRPr="00576D60">
              <w:t xml:space="preserve">Division 46 of </w:t>
            </w:r>
            <w:r>
              <w:t>Part 1</w:t>
            </w:r>
            <w:r w:rsidRPr="00576D60">
              <w:t>0.2</w:t>
            </w:r>
            <w:r w:rsidRPr="00576D60">
              <w:tab/>
            </w:r>
          </w:p>
        </w:tc>
        <w:tc>
          <w:tcPr>
            <w:tcW w:w="3500" w:type="pct"/>
            <w:shd w:val="clear" w:color="auto" w:fill="auto"/>
          </w:tcPr>
          <w:p w14:paraId="14454FD4" w14:textId="77777777" w:rsidR="00E93F58" w:rsidRPr="00576D60" w:rsidRDefault="00E93F58" w:rsidP="003D2B1E">
            <w:pPr>
              <w:pStyle w:val="ENoteTableText"/>
            </w:pPr>
            <w:r w:rsidRPr="00576D60">
              <w:t>ad No 16, 2002</w:t>
            </w:r>
          </w:p>
        </w:tc>
      </w:tr>
      <w:tr w:rsidR="00E93F58" w:rsidRPr="00576D60" w14:paraId="728E09ED" w14:textId="77777777" w:rsidTr="002F32E3">
        <w:trPr>
          <w:cantSplit/>
        </w:trPr>
        <w:tc>
          <w:tcPr>
            <w:tcW w:w="1500" w:type="pct"/>
            <w:shd w:val="clear" w:color="auto" w:fill="auto"/>
          </w:tcPr>
          <w:p w14:paraId="1B1A4F58" w14:textId="77777777" w:rsidR="00E93F58" w:rsidRPr="00576D60" w:rsidRDefault="00E93F58" w:rsidP="003D2B1E">
            <w:pPr>
              <w:pStyle w:val="ENoteTableText"/>
              <w:tabs>
                <w:tab w:val="left" w:leader="dot" w:pos="2268"/>
              </w:tabs>
            </w:pPr>
            <w:r w:rsidRPr="00576D60">
              <w:t>r 10.2.208</w:t>
            </w:r>
            <w:r w:rsidRPr="00576D60">
              <w:tab/>
            </w:r>
          </w:p>
        </w:tc>
        <w:tc>
          <w:tcPr>
            <w:tcW w:w="3500" w:type="pct"/>
            <w:shd w:val="clear" w:color="auto" w:fill="auto"/>
          </w:tcPr>
          <w:p w14:paraId="5B62A62E" w14:textId="77777777" w:rsidR="00E93F58" w:rsidRPr="00576D60" w:rsidRDefault="00E93F58" w:rsidP="003D2B1E">
            <w:pPr>
              <w:pStyle w:val="ENoteTableText"/>
            </w:pPr>
            <w:r w:rsidRPr="00576D60">
              <w:t>ad No 16, 2002</w:t>
            </w:r>
          </w:p>
        </w:tc>
      </w:tr>
      <w:tr w:rsidR="00E93F58" w:rsidRPr="00576D60" w14:paraId="0D8C8B22" w14:textId="77777777" w:rsidTr="002F32E3">
        <w:trPr>
          <w:cantSplit/>
        </w:trPr>
        <w:tc>
          <w:tcPr>
            <w:tcW w:w="1500" w:type="pct"/>
            <w:shd w:val="clear" w:color="auto" w:fill="auto"/>
          </w:tcPr>
          <w:p w14:paraId="4E1FB36C" w14:textId="77777777" w:rsidR="00E93F58" w:rsidRPr="00576D60" w:rsidRDefault="00E93F58" w:rsidP="003D2B1E">
            <w:pPr>
              <w:pStyle w:val="ENoteTableText"/>
              <w:tabs>
                <w:tab w:val="left" w:leader="dot" w:pos="2268"/>
              </w:tabs>
            </w:pPr>
            <w:r w:rsidRPr="00576D60">
              <w:t>r 10.2.209</w:t>
            </w:r>
            <w:r w:rsidRPr="00576D60">
              <w:tab/>
            </w:r>
          </w:p>
        </w:tc>
        <w:tc>
          <w:tcPr>
            <w:tcW w:w="3500" w:type="pct"/>
            <w:shd w:val="clear" w:color="auto" w:fill="auto"/>
          </w:tcPr>
          <w:p w14:paraId="3133067C" w14:textId="77777777" w:rsidR="00E93F58" w:rsidRPr="00576D60" w:rsidRDefault="00E93F58" w:rsidP="003D2B1E">
            <w:pPr>
              <w:pStyle w:val="ENoteTableText"/>
            </w:pPr>
            <w:r w:rsidRPr="00576D60">
              <w:t>ad No 16, 2002</w:t>
            </w:r>
          </w:p>
        </w:tc>
      </w:tr>
      <w:tr w:rsidR="00E93F58" w:rsidRPr="00576D60" w14:paraId="59F063FA" w14:textId="77777777" w:rsidTr="002F32E3">
        <w:trPr>
          <w:cantSplit/>
        </w:trPr>
        <w:tc>
          <w:tcPr>
            <w:tcW w:w="1500" w:type="pct"/>
            <w:shd w:val="clear" w:color="auto" w:fill="auto"/>
          </w:tcPr>
          <w:p w14:paraId="63C240C9" w14:textId="77777777" w:rsidR="00E93F58" w:rsidRPr="00576D60" w:rsidRDefault="00E93F58" w:rsidP="003D2B1E">
            <w:pPr>
              <w:pStyle w:val="ENoteTableText"/>
              <w:tabs>
                <w:tab w:val="left" w:leader="dot" w:pos="2268"/>
              </w:tabs>
              <w:rPr>
                <w:b/>
              </w:rPr>
            </w:pPr>
            <w:r w:rsidRPr="00576D60">
              <w:rPr>
                <w:b/>
              </w:rPr>
              <w:t>Division 47</w:t>
            </w:r>
          </w:p>
        </w:tc>
        <w:tc>
          <w:tcPr>
            <w:tcW w:w="3500" w:type="pct"/>
            <w:shd w:val="clear" w:color="auto" w:fill="auto"/>
          </w:tcPr>
          <w:p w14:paraId="2E3C4A05" w14:textId="77777777" w:rsidR="00E93F58" w:rsidRPr="00576D60" w:rsidRDefault="00E93F58" w:rsidP="003D2B1E">
            <w:pPr>
              <w:pStyle w:val="ENoteTableText"/>
            </w:pPr>
          </w:p>
        </w:tc>
      </w:tr>
      <w:tr w:rsidR="00E93F58" w:rsidRPr="00576D60" w14:paraId="31BFE5E2" w14:textId="77777777" w:rsidTr="002F32E3">
        <w:trPr>
          <w:cantSplit/>
        </w:trPr>
        <w:tc>
          <w:tcPr>
            <w:tcW w:w="1500" w:type="pct"/>
            <w:shd w:val="clear" w:color="auto" w:fill="auto"/>
          </w:tcPr>
          <w:p w14:paraId="76385691" w14:textId="77777777" w:rsidR="00E93F58" w:rsidRPr="00576D60" w:rsidRDefault="00E93F58" w:rsidP="003D2B1E">
            <w:pPr>
              <w:pStyle w:val="ENoteTableText"/>
              <w:tabs>
                <w:tab w:val="left" w:leader="dot" w:pos="2268"/>
              </w:tabs>
            </w:pPr>
            <w:r w:rsidRPr="00576D60">
              <w:t xml:space="preserve">Division 47 of </w:t>
            </w:r>
            <w:r>
              <w:t>Part 1</w:t>
            </w:r>
            <w:r w:rsidRPr="00576D60">
              <w:t>0.2</w:t>
            </w:r>
            <w:r w:rsidRPr="00576D60">
              <w:tab/>
            </w:r>
          </w:p>
        </w:tc>
        <w:tc>
          <w:tcPr>
            <w:tcW w:w="3500" w:type="pct"/>
            <w:shd w:val="clear" w:color="auto" w:fill="auto"/>
          </w:tcPr>
          <w:p w14:paraId="6A5DF654" w14:textId="77777777" w:rsidR="00E93F58" w:rsidRPr="00576D60" w:rsidRDefault="00E93F58" w:rsidP="003D2B1E">
            <w:pPr>
              <w:pStyle w:val="ENoteTableText"/>
            </w:pPr>
            <w:r w:rsidRPr="00576D60">
              <w:t>ad. 2002 No. 41</w:t>
            </w:r>
          </w:p>
        </w:tc>
      </w:tr>
      <w:tr w:rsidR="00E93F58" w:rsidRPr="00576D60" w14:paraId="0CBEBB0D" w14:textId="77777777" w:rsidTr="002F32E3">
        <w:trPr>
          <w:cantSplit/>
        </w:trPr>
        <w:tc>
          <w:tcPr>
            <w:tcW w:w="1500" w:type="pct"/>
            <w:shd w:val="clear" w:color="auto" w:fill="auto"/>
          </w:tcPr>
          <w:p w14:paraId="29E2E220" w14:textId="77777777" w:rsidR="00E93F58" w:rsidRPr="00576D60" w:rsidRDefault="00E93F58" w:rsidP="003D2B1E">
            <w:pPr>
              <w:pStyle w:val="ENoteTableText"/>
              <w:tabs>
                <w:tab w:val="left" w:leader="dot" w:pos="2268"/>
              </w:tabs>
            </w:pPr>
            <w:r w:rsidRPr="00576D60">
              <w:t>r. 10.2.210</w:t>
            </w:r>
            <w:r w:rsidRPr="00576D60">
              <w:tab/>
            </w:r>
          </w:p>
        </w:tc>
        <w:tc>
          <w:tcPr>
            <w:tcW w:w="3500" w:type="pct"/>
            <w:shd w:val="clear" w:color="auto" w:fill="auto"/>
          </w:tcPr>
          <w:p w14:paraId="0009A2FF" w14:textId="77777777" w:rsidR="00E93F58" w:rsidRPr="00576D60" w:rsidRDefault="00E93F58" w:rsidP="003D2B1E">
            <w:pPr>
              <w:pStyle w:val="ENoteTableText"/>
            </w:pPr>
            <w:r w:rsidRPr="00576D60">
              <w:t>ad. 2002 No. 41</w:t>
            </w:r>
          </w:p>
        </w:tc>
      </w:tr>
      <w:tr w:rsidR="00E93F58" w:rsidRPr="00576D60" w14:paraId="11FEB011" w14:textId="77777777" w:rsidTr="002F32E3">
        <w:trPr>
          <w:cantSplit/>
        </w:trPr>
        <w:tc>
          <w:tcPr>
            <w:tcW w:w="1500" w:type="pct"/>
            <w:shd w:val="clear" w:color="auto" w:fill="auto"/>
          </w:tcPr>
          <w:p w14:paraId="0C1A8DDC" w14:textId="77777777" w:rsidR="00E93F58" w:rsidRPr="00576D60" w:rsidRDefault="00E93F58" w:rsidP="003D2B1E">
            <w:pPr>
              <w:pStyle w:val="ENoteTableText"/>
              <w:tabs>
                <w:tab w:val="left" w:leader="dot" w:pos="2268"/>
              </w:tabs>
              <w:rPr>
                <w:b/>
              </w:rPr>
            </w:pPr>
            <w:r w:rsidRPr="00576D60">
              <w:rPr>
                <w:b/>
              </w:rPr>
              <w:t>Division 48</w:t>
            </w:r>
          </w:p>
        </w:tc>
        <w:tc>
          <w:tcPr>
            <w:tcW w:w="3500" w:type="pct"/>
            <w:shd w:val="clear" w:color="auto" w:fill="auto"/>
          </w:tcPr>
          <w:p w14:paraId="71C0F187" w14:textId="77777777" w:rsidR="00E93F58" w:rsidRPr="00576D60" w:rsidRDefault="00E93F58" w:rsidP="003D2B1E">
            <w:pPr>
              <w:pStyle w:val="ENoteTableText"/>
            </w:pPr>
          </w:p>
        </w:tc>
      </w:tr>
      <w:tr w:rsidR="00E93F58" w:rsidRPr="00576D60" w14:paraId="06C40EF6" w14:textId="77777777" w:rsidTr="002F32E3">
        <w:trPr>
          <w:cantSplit/>
        </w:trPr>
        <w:tc>
          <w:tcPr>
            <w:tcW w:w="1500" w:type="pct"/>
            <w:shd w:val="clear" w:color="auto" w:fill="auto"/>
          </w:tcPr>
          <w:p w14:paraId="72B52C5A" w14:textId="77777777" w:rsidR="00E93F58" w:rsidRPr="00576D60" w:rsidRDefault="00E93F58" w:rsidP="003D2B1E">
            <w:pPr>
              <w:pStyle w:val="ENoteTableText"/>
              <w:tabs>
                <w:tab w:val="left" w:leader="dot" w:pos="2268"/>
              </w:tabs>
            </w:pPr>
            <w:r w:rsidRPr="00576D60">
              <w:t xml:space="preserve">Division 48 of </w:t>
            </w:r>
            <w:r>
              <w:t>Part 1</w:t>
            </w:r>
            <w:r w:rsidRPr="00576D60">
              <w:t>0.2</w:t>
            </w:r>
            <w:r w:rsidRPr="00576D60">
              <w:tab/>
            </w:r>
          </w:p>
        </w:tc>
        <w:tc>
          <w:tcPr>
            <w:tcW w:w="3500" w:type="pct"/>
            <w:shd w:val="clear" w:color="auto" w:fill="auto"/>
          </w:tcPr>
          <w:p w14:paraId="2B737108" w14:textId="77777777" w:rsidR="00E93F58" w:rsidRPr="00576D60" w:rsidRDefault="00E93F58" w:rsidP="003D2B1E">
            <w:pPr>
              <w:pStyle w:val="ENoteTableText"/>
            </w:pPr>
            <w:r w:rsidRPr="00576D60">
              <w:t>ad. 2002 No. 41</w:t>
            </w:r>
          </w:p>
        </w:tc>
      </w:tr>
      <w:tr w:rsidR="00E93F58" w:rsidRPr="00576D60" w14:paraId="7D9ED721" w14:textId="77777777" w:rsidTr="002F32E3">
        <w:trPr>
          <w:cantSplit/>
        </w:trPr>
        <w:tc>
          <w:tcPr>
            <w:tcW w:w="1500" w:type="pct"/>
            <w:shd w:val="clear" w:color="auto" w:fill="auto"/>
          </w:tcPr>
          <w:p w14:paraId="2A7E98AF" w14:textId="77777777" w:rsidR="00E93F58" w:rsidRPr="00576D60" w:rsidRDefault="00E93F58" w:rsidP="003D2B1E">
            <w:pPr>
              <w:pStyle w:val="ENoteTableText"/>
              <w:tabs>
                <w:tab w:val="left" w:leader="dot" w:pos="2268"/>
              </w:tabs>
            </w:pPr>
            <w:r w:rsidRPr="00576D60">
              <w:lastRenderedPageBreak/>
              <w:t>r. 10.2.211</w:t>
            </w:r>
            <w:r w:rsidRPr="00576D60">
              <w:tab/>
            </w:r>
          </w:p>
        </w:tc>
        <w:tc>
          <w:tcPr>
            <w:tcW w:w="3500" w:type="pct"/>
            <w:shd w:val="clear" w:color="auto" w:fill="auto"/>
          </w:tcPr>
          <w:p w14:paraId="55B43695" w14:textId="77777777" w:rsidR="00E93F58" w:rsidRPr="00576D60" w:rsidRDefault="00E93F58" w:rsidP="003D2B1E">
            <w:pPr>
              <w:pStyle w:val="ENoteTableText"/>
            </w:pPr>
            <w:r w:rsidRPr="00576D60">
              <w:t>ad. 2002 No. 41</w:t>
            </w:r>
          </w:p>
        </w:tc>
      </w:tr>
      <w:tr w:rsidR="00E93F58" w:rsidRPr="00576D60" w14:paraId="02768588" w14:textId="77777777" w:rsidTr="002F32E3">
        <w:trPr>
          <w:cantSplit/>
        </w:trPr>
        <w:tc>
          <w:tcPr>
            <w:tcW w:w="1500" w:type="pct"/>
            <w:shd w:val="clear" w:color="auto" w:fill="auto"/>
          </w:tcPr>
          <w:p w14:paraId="51B0077F" w14:textId="77777777" w:rsidR="00E93F58" w:rsidRPr="00576D60" w:rsidRDefault="00E93F58" w:rsidP="003D2B1E">
            <w:pPr>
              <w:pStyle w:val="ENoteTableText"/>
              <w:keepNext/>
              <w:tabs>
                <w:tab w:val="left" w:leader="dot" w:pos="2268"/>
              </w:tabs>
              <w:rPr>
                <w:b/>
              </w:rPr>
            </w:pPr>
            <w:r w:rsidRPr="00576D60">
              <w:rPr>
                <w:b/>
              </w:rPr>
              <w:t>Division 49</w:t>
            </w:r>
          </w:p>
        </w:tc>
        <w:tc>
          <w:tcPr>
            <w:tcW w:w="3500" w:type="pct"/>
            <w:shd w:val="clear" w:color="auto" w:fill="auto"/>
          </w:tcPr>
          <w:p w14:paraId="691C6C60" w14:textId="77777777" w:rsidR="00E93F58" w:rsidRPr="00576D60" w:rsidRDefault="00E93F58" w:rsidP="003D2B1E">
            <w:pPr>
              <w:pStyle w:val="ENoteTableText"/>
              <w:keepNext/>
              <w:keepLines/>
            </w:pPr>
          </w:p>
        </w:tc>
      </w:tr>
      <w:tr w:rsidR="00E93F58" w:rsidRPr="00576D60" w14:paraId="379B38DA" w14:textId="77777777" w:rsidTr="002F32E3">
        <w:trPr>
          <w:cantSplit/>
        </w:trPr>
        <w:tc>
          <w:tcPr>
            <w:tcW w:w="1500" w:type="pct"/>
            <w:shd w:val="clear" w:color="auto" w:fill="auto"/>
          </w:tcPr>
          <w:p w14:paraId="17ED600A" w14:textId="77777777" w:rsidR="00E93F58" w:rsidRPr="00576D60" w:rsidRDefault="00E93F58" w:rsidP="003D2B1E">
            <w:pPr>
              <w:pStyle w:val="ENoteTableText"/>
              <w:tabs>
                <w:tab w:val="left" w:leader="dot" w:pos="2268"/>
              </w:tabs>
            </w:pPr>
            <w:r w:rsidRPr="00576D60">
              <w:t xml:space="preserve">Division 49 of </w:t>
            </w:r>
            <w:r>
              <w:t>Part 1</w:t>
            </w:r>
            <w:r w:rsidRPr="00576D60">
              <w:t>0.2</w:t>
            </w:r>
            <w:r w:rsidRPr="00576D60">
              <w:tab/>
            </w:r>
          </w:p>
        </w:tc>
        <w:tc>
          <w:tcPr>
            <w:tcW w:w="3500" w:type="pct"/>
            <w:shd w:val="clear" w:color="auto" w:fill="auto"/>
          </w:tcPr>
          <w:p w14:paraId="088A2ADE" w14:textId="77777777" w:rsidR="00E93F58" w:rsidRPr="00576D60" w:rsidRDefault="00E93F58" w:rsidP="003D2B1E">
            <w:pPr>
              <w:pStyle w:val="ENoteTableText"/>
            </w:pPr>
            <w:r w:rsidRPr="00576D60">
              <w:t>ad. 2002 No. 41</w:t>
            </w:r>
          </w:p>
        </w:tc>
      </w:tr>
      <w:tr w:rsidR="00E93F58" w:rsidRPr="00576D60" w14:paraId="61ED0AC7" w14:textId="77777777" w:rsidTr="002F32E3">
        <w:trPr>
          <w:cantSplit/>
        </w:trPr>
        <w:tc>
          <w:tcPr>
            <w:tcW w:w="1500" w:type="pct"/>
            <w:shd w:val="clear" w:color="auto" w:fill="auto"/>
          </w:tcPr>
          <w:p w14:paraId="58E0D17F" w14:textId="77777777" w:rsidR="00E93F58" w:rsidRPr="00576D60" w:rsidRDefault="00E93F58" w:rsidP="003D2B1E">
            <w:pPr>
              <w:pStyle w:val="ENoteTableText"/>
              <w:tabs>
                <w:tab w:val="left" w:leader="dot" w:pos="2268"/>
              </w:tabs>
            </w:pPr>
            <w:r w:rsidRPr="00576D60">
              <w:t>r. 10.2.212</w:t>
            </w:r>
            <w:r w:rsidRPr="00576D60">
              <w:tab/>
            </w:r>
          </w:p>
        </w:tc>
        <w:tc>
          <w:tcPr>
            <w:tcW w:w="3500" w:type="pct"/>
            <w:shd w:val="clear" w:color="auto" w:fill="auto"/>
          </w:tcPr>
          <w:p w14:paraId="43D1C7DC" w14:textId="77777777" w:rsidR="00E93F58" w:rsidRPr="00576D60" w:rsidRDefault="00E93F58" w:rsidP="003D2B1E">
            <w:pPr>
              <w:pStyle w:val="ENoteTableText"/>
            </w:pPr>
            <w:r w:rsidRPr="00576D60">
              <w:t>ad. 2002 No. 41</w:t>
            </w:r>
          </w:p>
        </w:tc>
      </w:tr>
      <w:tr w:rsidR="00E93F58" w:rsidRPr="00576D60" w14:paraId="3F74F2BF" w14:textId="77777777" w:rsidTr="002F32E3">
        <w:trPr>
          <w:cantSplit/>
        </w:trPr>
        <w:tc>
          <w:tcPr>
            <w:tcW w:w="1500" w:type="pct"/>
            <w:shd w:val="clear" w:color="auto" w:fill="auto"/>
          </w:tcPr>
          <w:p w14:paraId="5DC3558C" w14:textId="77777777" w:rsidR="00E93F58" w:rsidRPr="00576D60" w:rsidRDefault="00E93F58" w:rsidP="000F1C3D">
            <w:pPr>
              <w:pStyle w:val="ENoteTableText"/>
              <w:keepNext/>
              <w:tabs>
                <w:tab w:val="left" w:leader="dot" w:pos="2268"/>
              </w:tabs>
              <w:rPr>
                <w:b/>
              </w:rPr>
            </w:pPr>
            <w:r w:rsidRPr="00576D60">
              <w:rPr>
                <w:b/>
              </w:rPr>
              <w:t>Division 50</w:t>
            </w:r>
          </w:p>
        </w:tc>
        <w:tc>
          <w:tcPr>
            <w:tcW w:w="3500" w:type="pct"/>
            <w:shd w:val="clear" w:color="auto" w:fill="auto"/>
          </w:tcPr>
          <w:p w14:paraId="29B5D339" w14:textId="77777777" w:rsidR="00E93F58" w:rsidRPr="00576D60" w:rsidRDefault="00E93F58" w:rsidP="000F1C3D">
            <w:pPr>
              <w:pStyle w:val="ENoteTableText"/>
              <w:keepNext/>
            </w:pPr>
          </w:p>
        </w:tc>
      </w:tr>
      <w:tr w:rsidR="00E93F58" w:rsidRPr="00576D60" w14:paraId="55342238" w14:textId="77777777" w:rsidTr="002F32E3">
        <w:trPr>
          <w:cantSplit/>
        </w:trPr>
        <w:tc>
          <w:tcPr>
            <w:tcW w:w="1500" w:type="pct"/>
            <w:shd w:val="clear" w:color="auto" w:fill="auto"/>
          </w:tcPr>
          <w:p w14:paraId="04915658" w14:textId="77777777" w:rsidR="00E93F58" w:rsidRPr="00576D60" w:rsidRDefault="00E93F58" w:rsidP="003D2B1E">
            <w:pPr>
              <w:pStyle w:val="ENoteTableText"/>
              <w:tabs>
                <w:tab w:val="left" w:leader="dot" w:pos="2268"/>
              </w:tabs>
            </w:pPr>
            <w:r w:rsidRPr="00576D60">
              <w:t xml:space="preserve">Division 50 of </w:t>
            </w:r>
            <w:r>
              <w:t>Part 1</w:t>
            </w:r>
            <w:r w:rsidRPr="00576D60">
              <w:t>0.2</w:t>
            </w:r>
            <w:r w:rsidRPr="00576D60">
              <w:tab/>
            </w:r>
          </w:p>
        </w:tc>
        <w:tc>
          <w:tcPr>
            <w:tcW w:w="3500" w:type="pct"/>
            <w:shd w:val="clear" w:color="auto" w:fill="auto"/>
          </w:tcPr>
          <w:p w14:paraId="56AA0FFC" w14:textId="77777777" w:rsidR="00E93F58" w:rsidRPr="00576D60" w:rsidRDefault="00E93F58" w:rsidP="003D2B1E">
            <w:pPr>
              <w:pStyle w:val="ENoteTableText"/>
            </w:pPr>
            <w:r w:rsidRPr="00576D60">
              <w:t>ad. 2003 No. 85</w:t>
            </w:r>
          </w:p>
        </w:tc>
      </w:tr>
      <w:tr w:rsidR="00E93F58" w:rsidRPr="00576D60" w14:paraId="638A75CA" w14:textId="77777777" w:rsidTr="002F32E3">
        <w:trPr>
          <w:cantSplit/>
        </w:trPr>
        <w:tc>
          <w:tcPr>
            <w:tcW w:w="1500" w:type="pct"/>
            <w:shd w:val="clear" w:color="auto" w:fill="auto"/>
          </w:tcPr>
          <w:p w14:paraId="4C1198DB" w14:textId="77777777" w:rsidR="00E93F58" w:rsidRPr="00576D60" w:rsidRDefault="00E93F58" w:rsidP="003D2B1E">
            <w:pPr>
              <w:pStyle w:val="ENoteTableText"/>
              <w:tabs>
                <w:tab w:val="left" w:leader="dot" w:pos="2268"/>
              </w:tabs>
            </w:pPr>
            <w:r w:rsidRPr="00576D60">
              <w:t>r. 10.2.213</w:t>
            </w:r>
            <w:r w:rsidRPr="00576D60">
              <w:tab/>
            </w:r>
          </w:p>
        </w:tc>
        <w:tc>
          <w:tcPr>
            <w:tcW w:w="3500" w:type="pct"/>
            <w:shd w:val="clear" w:color="auto" w:fill="auto"/>
          </w:tcPr>
          <w:p w14:paraId="5A21F395" w14:textId="77777777" w:rsidR="00E93F58" w:rsidRPr="00576D60" w:rsidRDefault="00E93F58" w:rsidP="003D2B1E">
            <w:pPr>
              <w:pStyle w:val="ENoteTableText"/>
            </w:pPr>
            <w:r w:rsidRPr="00576D60">
              <w:t>ad. 2003 No. 85</w:t>
            </w:r>
          </w:p>
        </w:tc>
      </w:tr>
      <w:tr w:rsidR="00E93F58" w:rsidRPr="00576D60" w14:paraId="1FF2B6AD" w14:textId="77777777" w:rsidTr="002F32E3">
        <w:trPr>
          <w:cantSplit/>
        </w:trPr>
        <w:tc>
          <w:tcPr>
            <w:tcW w:w="1500" w:type="pct"/>
            <w:shd w:val="clear" w:color="auto" w:fill="auto"/>
          </w:tcPr>
          <w:p w14:paraId="51D5BE58" w14:textId="77777777" w:rsidR="00E93F58" w:rsidRPr="00576D60" w:rsidRDefault="00E93F58" w:rsidP="003D2B1E">
            <w:pPr>
              <w:pStyle w:val="ENoteTableText"/>
              <w:tabs>
                <w:tab w:val="left" w:leader="dot" w:pos="2268"/>
              </w:tabs>
            </w:pPr>
            <w:r w:rsidRPr="00576D60">
              <w:t xml:space="preserve">Division 51 of </w:t>
            </w:r>
            <w:r>
              <w:t>Part 1</w:t>
            </w:r>
            <w:r w:rsidRPr="00576D60">
              <w:t>0.2</w:t>
            </w:r>
            <w:r w:rsidRPr="00576D60">
              <w:tab/>
            </w:r>
          </w:p>
        </w:tc>
        <w:tc>
          <w:tcPr>
            <w:tcW w:w="3500" w:type="pct"/>
            <w:shd w:val="clear" w:color="auto" w:fill="auto"/>
          </w:tcPr>
          <w:p w14:paraId="0FF40865" w14:textId="77777777" w:rsidR="00E93F58" w:rsidRPr="00576D60" w:rsidRDefault="00E93F58" w:rsidP="003D2B1E">
            <w:pPr>
              <w:pStyle w:val="ENoteTableText"/>
            </w:pPr>
            <w:r w:rsidRPr="00576D60">
              <w:t>ad. 2003 No. 369</w:t>
            </w:r>
          </w:p>
        </w:tc>
      </w:tr>
      <w:tr w:rsidR="00E93F58" w:rsidRPr="00576D60" w14:paraId="121E362B" w14:textId="77777777" w:rsidTr="002F32E3">
        <w:trPr>
          <w:cantSplit/>
        </w:trPr>
        <w:tc>
          <w:tcPr>
            <w:tcW w:w="1500" w:type="pct"/>
            <w:shd w:val="clear" w:color="auto" w:fill="auto"/>
          </w:tcPr>
          <w:p w14:paraId="3D56D63A" w14:textId="77777777" w:rsidR="00E93F58" w:rsidRPr="00576D60" w:rsidRDefault="00E93F58" w:rsidP="003D2B1E">
            <w:pPr>
              <w:pStyle w:val="ENoteTableText"/>
              <w:tabs>
                <w:tab w:val="left" w:leader="dot" w:pos="2268"/>
              </w:tabs>
            </w:pPr>
          </w:p>
        </w:tc>
        <w:tc>
          <w:tcPr>
            <w:tcW w:w="3500" w:type="pct"/>
            <w:shd w:val="clear" w:color="auto" w:fill="auto"/>
          </w:tcPr>
          <w:p w14:paraId="47653E92" w14:textId="77777777" w:rsidR="00E93F58" w:rsidRPr="00576D60" w:rsidRDefault="00E93F58" w:rsidP="003D2B1E">
            <w:pPr>
              <w:pStyle w:val="ENoteTableText"/>
            </w:pPr>
            <w:r w:rsidRPr="00576D60">
              <w:t>rep. 2005 No. 324</w:t>
            </w:r>
          </w:p>
        </w:tc>
      </w:tr>
      <w:tr w:rsidR="00E93F58" w:rsidRPr="00576D60" w14:paraId="01467B01" w14:textId="77777777" w:rsidTr="002F32E3">
        <w:trPr>
          <w:cantSplit/>
        </w:trPr>
        <w:tc>
          <w:tcPr>
            <w:tcW w:w="1500" w:type="pct"/>
            <w:shd w:val="clear" w:color="auto" w:fill="auto"/>
          </w:tcPr>
          <w:p w14:paraId="2C10BBE8" w14:textId="77777777" w:rsidR="00E93F58" w:rsidRPr="00576D60" w:rsidRDefault="00E93F58" w:rsidP="003D2B1E">
            <w:pPr>
              <w:pStyle w:val="ENoteTableText"/>
              <w:tabs>
                <w:tab w:val="left" w:leader="dot" w:pos="2268"/>
              </w:tabs>
            </w:pPr>
            <w:r w:rsidRPr="00576D60">
              <w:t>r. 10.2.214</w:t>
            </w:r>
            <w:r w:rsidRPr="00576D60">
              <w:tab/>
            </w:r>
          </w:p>
        </w:tc>
        <w:tc>
          <w:tcPr>
            <w:tcW w:w="3500" w:type="pct"/>
            <w:shd w:val="clear" w:color="auto" w:fill="auto"/>
          </w:tcPr>
          <w:p w14:paraId="1905742C" w14:textId="77777777" w:rsidR="00E93F58" w:rsidRPr="00576D60" w:rsidRDefault="00E93F58" w:rsidP="003D2B1E">
            <w:pPr>
              <w:pStyle w:val="ENoteTableText"/>
            </w:pPr>
            <w:r w:rsidRPr="00576D60">
              <w:t>ad. 2003 No. 369</w:t>
            </w:r>
          </w:p>
        </w:tc>
      </w:tr>
      <w:tr w:rsidR="00E93F58" w:rsidRPr="00576D60" w14:paraId="45CBE3A2" w14:textId="77777777" w:rsidTr="002F32E3">
        <w:trPr>
          <w:cantSplit/>
        </w:trPr>
        <w:tc>
          <w:tcPr>
            <w:tcW w:w="1500" w:type="pct"/>
            <w:shd w:val="clear" w:color="auto" w:fill="auto"/>
          </w:tcPr>
          <w:p w14:paraId="07E97FA0" w14:textId="77777777" w:rsidR="00E93F58" w:rsidRPr="00576D60" w:rsidRDefault="00E93F58" w:rsidP="003D2B1E">
            <w:pPr>
              <w:pStyle w:val="ENoteTableText"/>
            </w:pPr>
          </w:p>
        </w:tc>
        <w:tc>
          <w:tcPr>
            <w:tcW w:w="3500" w:type="pct"/>
            <w:shd w:val="clear" w:color="auto" w:fill="auto"/>
          </w:tcPr>
          <w:p w14:paraId="23D1E1B0" w14:textId="77777777" w:rsidR="00E93F58" w:rsidRPr="00576D60" w:rsidRDefault="00E93F58" w:rsidP="003D2B1E">
            <w:pPr>
              <w:pStyle w:val="ENoteTableText"/>
            </w:pPr>
            <w:r w:rsidRPr="00576D60">
              <w:t>rep. 2005 No. 324</w:t>
            </w:r>
          </w:p>
        </w:tc>
      </w:tr>
      <w:tr w:rsidR="00E93F58" w:rsidRPr="00576D60" w14:paraId="3B50E99E" w14:textId="77777777" w:rsidTr="002F32E3">
        <w:trPr>
          <w:cantSplit/>
        </w:trPr>
        <w:tc>
          <w:tcPr>
            <w:tcW w:w="1500" w:type="pct"/>
            <w:shd w:val="clear" w:color="auto" w:fill="auto"/>
          </w:tcPr>
          <w:p w14:paraId="39E89302" w14:textId="77777777" w:rsidR="00E93F58" w:rsidRPr="00576D60" w:rsidRDefault="00E93F58" w:rsidP="003D2B1E">
            <w:pPr>
              <w:pStyle w:val="ENoteTableText"/>
              <w:keepNext/>
              <w:tabs>
                <w:tab w:val="left" w:leader="dot" w:pos="2268"/>
              </w:tabs>
              <w:rPr>
                <w:b/>
              </w:rPr>
            </w:pPr>
            <w:r w:rsidRPr="00576D60">
              <w:rPr>
                <w:b/>
              </w:rPr>
              <w:t>Division 52</w:t>
            </w:r>
          </w:p>
        </w:tc>
        <w:tc>
          <w:tcPr>
            <w:tcW w:w="3500" w:type="pct"/>
            <w:shd w:val="clear" w:color="auto" w:fill="auto"/>
          </w:tcPr>
          <w:p w14:paraId="2A5C8B18" w14:textId="77777777" w:rsidR="00E93F58" w:rsidRPr="00576D60" w:rsidRDefault="00E93F58" w:rsidP="003D2B1E">
            <w:pPr>
              <w:pStyle w:val="ENoteTableText"/>
            </w:pPr>
          </w:p>
        </w:tc>
      </w:tr>
      <w:tr w:rsidR="00E93F58" w:rsidRPr="00576D60" w14:paraId="2ABD75E7" w14:textId="77777777" w:rsidTr="002F32E3">
        <w:trPr>
          <w:cantSplit/>
        </w:trPr>
        <w:tc>
          <w:tcPr>
            <w:tcW w:w="1500" w:type="pct"/>
            <w:shd w:val="clear" w:color="auto" w:fill="auto"/>
          </w:tcPr>
          <w:p w14:paraId="2A1F1A55" w14:textId="77777777" w:rsidR="00E93F58" w:rsidRPr="00576D60" w:rsidRDefault="00E93F58" w:rsidP="003D2B1E">
            <w:pPr>
              <w:pStyle w:val="ENoteTableText"/>
              <w:tabs>
                <w:tab w:val="left" w:leader="dot" w:pos="2268"/>
              </w:tabs>
            </w:pPr>
            <w:r w:rsidRPr="00576D60">
              <w:t xml:space="preserve">Division 52 of </w:t>
            </w:r>
            <w:r>
              <w:t>Part 1</w:t>
            </w:r>
            <w:r w:rsidRPr="00576D60">
              <w:t>0.2</w:t>
            </w:r>
            <w:r w:rsidRPr="00576D60">
              <w:tab/>
            </w:r>
          </w:p>
        </w:tc>
        <w:tc>
          <w:tcPr>
            <w:tcW w:w="3500" w:type="pct"/>
            <w:shd w:val="clear" w:color="auto" w:fill="auto"/>
          </w:tcPr>
          <w:p w14:paraId="0641F0BF" w14:textId="77777777" w:rsidR="00E93F58" w:rsidRPr="00576D60" w:rsidRDefault="00E93F58" w:rsidP="003D2B1E">
            <w:pPr>
              <w:pStyle w:val="ENoteTableText"/>
            </w:pPr>
            <w:r w:rsidRPr="00576D60">
              <w:t>ad. 2004 No. 26</w:t>
            </w:r>
          </w:p>
        </w:tc>
      </w:tr>
      <w:tr w:rsidR="00E93F58" w:rsidRPr="00576D60" w14:paraId="37B23ED7" w14:textId="77777777" w:rsidTr="002F32E3">
        <w:trPr>
          <w:cantSplit/>
        </w:trPr>
        <w:tc>
          <w:tcPr>
            <w:tcW w:w="1500" w:type="pct"/>
            <w:shd w:val="clear" w:color="auto" w:fill="auto"/>
          </w:tcPr>
          <w:p w14:paraId="4160E055" w14:textId="77777777" w:rsidR="00E93F58" w:rsidRPr="00576D60" w:rsidRDefault="00E93F58" w:rsidP="003D2B1E">
            <w:pPr>
              <w:pStyle w:val="ENoteTableText"/>
              <w:tabs>
                <w:tab w:val="left" w:leader="dot" w:pos="2268"/>
              </w:tabs>
            </w:pPr>
            <w:r w:rsidRPr="00576D60">
              <w:t>r. 10.2.215</w:t>
            </w:r>
            <w:r w:rsidRPr="00576D60">
              <w:tab/>
            </w:r>
          </w:p>
        </w:tc>
        <w:tc>
          <w:tcPr>
            <w:tcW w:w="3500" w:type="pct"/>
            <w:shd w:val="clear" w:color="auto" w:fill="auto"/>
          </w:tcPr>
          <w:p w14:paraId="3C8AE64F" w14:textId="77777777" w:rsidR="00E93F58" w:rsidRPr="00576D60" w:rsidRDefault="00E93F58" w:rsidP="003D2B1E">
            <w:pPr>
              <w:pStyle w:val="ENoteTableText"/>
            </w:pPr>
            <w:r w:rsidRPr="00576D60">
              <w:t>ad. 2004 No. 26</w:t>
            </w:r>
          </w:p>
        </w:tc>
      </w:tr>
      <w:tr w:rsidR="00E93F58" w:rsidRPr="00576D60" w14:paraId="3E73851B" w14:textId="77777777" w:rsidTr="002F32E3">
        <w:trPr>
          <w:cantSplit/>
        </w:trPr>
        <w:tc>
          <w:tcPr>
            <w:tcW w:w="1500" w:type="pct"/>
            <w:shd w:val="clear" w:color="auto" w:fill="auto"/>
          </w:tcPr>
          <w:p w14:paraId="4C218549" w14:textId="77777777" w:rsidR="00E93F58" w:rsidRPr="00576D60" w:rsidRDefault="00E93F58" w:rsidP="003D2B1E">
            <w:pPr>
              <w:pStyle w:val="ENoteTableText"/>
              <w:tabs>
                <w:tab w:val="left" w:leader="dot" w:pos="2268"/>
              </w:tabs>
              <w:rPr>
                <w:b/>
              </w:rPr>
            </w:pPr>
            <w:r>
              <w:rPr>
                <w:b/>
              </w:rPr>
              <w:t>Part 1</w:t>
            </w:r>
            <w:r w:rsidRPr="00576D60">
              <w:rPr>
                <w:b/>
              </w:rPr>
              <w:t>0.5</w:t>
            </w:r>
          </w:p>
        </w:tc>
        <w:tc>
          <w:tcPr>
            <w:tcW w:w="3500" w:type="pct"/>
            <w:shd w:val="clear" w:color="auto" w:fill="auto"/>
          </w:tcPr>
          <w:p w14:paraId="3D0330CA" w14:textId="77777777" w:rsidR="00E93F58" w:rsidRPr="00576D60" w:rsidRDefault="00E93F58" w:rsidP="003D2B1E">
            <w:pPr>
              <w:pStyle w:val="ENoteTableText"/>
            </w:pPr>
          </w:p>
        </w:tc>
      </w:tr>
      <w:tr w:rsidR="00E93F58" w:rsidRPr="00576D60" w14:paraId="5110447D" w14:textId="77777777" w:rsidTr="002F32E3">
        <w:trPr>
          <w:cantSplit/>
        </w:trPr>
        <w:tc>
          <w:tcPr>
            <w:tcW w:w="1500" w:type="pct"/>
            <w:shd w:val="clear" w:color="auto" w:fill="auto"/>
          </w:tcPr>
          <w:p w14:paraId="70C640D6" w14:textId="77777777" w:rsidR="00E93F58" w:rsidRPr="00576D60" w:rsidRDefault="00E93F58" w:rsidP="003D2B1E">
            <w:pPr>
              <w:pStyle w:val="ENoteTableText"/>
              <w:tabs>
                <w:tab w:val="left" w:leader="dot" w:pos="2268"/>
              </w:tabs>
            </w:pPr>
            <w:r>
              <w:t>Part 1</w:t>
            </w:r>
            <w:r w:rsidRPr="00576D60">
              <w:t>0.5</w:t>
            </w:r>
            <w:r w:rsidRPr="00576D60">
              <w:tab/>
            </w:r>
          </w:p>
        </w:tc>
        <w:tc>
          <w:tcPr>
            <w:tcW w:w="3500" w:type="pct"/>
            <w:shd w:val="clear" w:color="auto" w:fill="auto"/>
          </w:tcPr>
          <w:p w14:paraId="00B23E64" w14:textId="77777777" w:rsidR="00E93F58" w:rsidRPr="00576D60" w:rsidRDefault="00E93F58" w:rsidP="003D2B1E">
            <w:pPr>
              <w:pStyle w:val="ENoteTableText"/>
            </w:pPr>
            <w:r w:rsidRPr="00576D60">
              <w:t>ad No. 208, 2004</w:t>
            </w:r>
          </w:p>
        </w:tc>
      </w:tr>
      <w:tr w:rsidR="00E93F58" w:rsidRPr="00576D60" w14:paraId="1E766CBB" w14:textId="77777777" w:rsidTr="002F32E3">
        <w:trPr>
          <w:cantSplit/>
        </w:trPr>
        <w:tc>
          <w:tcPr>
            <w:tcW w:w="1500" w:type="pct"/>
            <w:shd w:val="clear" w:color="auto" w:fill="auto"/>
          </w:tcPr>
          <w:p w14:paraId="78205828" w14:textId="77777777" w:rsidR="00E93F58" w:rsidRPr="00576D60" w:rsidRDefault="00E93F58" w:rsidP="003D2B1E">
            <w:pPr>
              <w:pStyle w:val="ENoteTableText"/>
              <w:tabs>
                <w:tab w:val="left" w:leader="dot" w:pos="2268"/>
              </w:tabs>
            </w:pPr>
            <w:r w:rsidRPr="00576D60">
              <w:t>r 10.5.01</w:t>
            </w:r>
            <w:r w:rsidRPr="00576D60">
              <w:tab/>
            </w:r>
          </w:p>
        </w:tc>
        <w:tc>
          <w:tcPr>
            <w:tcW w:w="3500" w:type="pct"/>
            <w:shd w:val="clear" w:color="auto" w:fill="auto"/>
          </w:tcPr>
          <w:p w14:paraId="0BE2FFA7" w14:textId="77777777" w:rsidR="00E93F58" w:rsidRPr="00576D60" w:rsidRDefault="00E93F58" w:rsidP="003D2B1E">
            <w:pPr>
              <w:pStyle w:val="ENoteTableText"/>
            </w:pPr>
            <w:r w:rsidRPr="00576D60">
              <w:t>ad No. 208, 2004</w:t>
            </w:r>
          </w:p>
        </w:tc>
      </w:tr>
      <w:tr w:rsidR="00E93F58" w:rsidRPr="00576D60" w14:paraId="16C21F80" w14:textId="77777777" w:rsidTr="002F32E3">
        <w:trPr>
          <w:cantSplit/>
        </w:trPr>
        <w:tc>
          <w:tcPr>
            <w:tcW w:w="1500" w:type="pct"/>
            <w:shd w:val="clear" w:color="auto" w:fill="auto"/>
          </w:tcPr>
          <w:p w14:paraId="40360B37" w14:textId="77777777" w:rsidR="00E93F58" w:rsidRPr="00576D60" w:rsidRDefault="00E93F58" w:rsidP="003D2B1E">
            <w:pPr>
              <w:pStyle w:val="ENoteTableText"/>
            </w:pPr>
          </w:p>
        </w:tc>
        <w:tc>
          <w:tcPr>
            <w:tcW w:w="3500" w:type="pct"/>
            <w:shd w:val="clear" w:color="auto" w:fill="auto"/>
          </w:tcPr>
          <w:p w14:paraId="7459092E" w14:textId="77777777" w:rsidR="00E93F58" w:rsidRPr="00576D60" w:rsidRDefault="00E93F58" w:rsidP="003D2B1E">
            <w:pPr>
              <w:pStyle w:val="ENoteTableText"/>
            </w:pPr>
            <w:r w:rsidRPr="00576D60">
              <w:t>am No. 399, 2004; No. 126, 2004</w:t>
            </w:r>
          </w:p>
        </w:tc>
      </w:tr>
      <w:tr w:rsidR="00E93F58" w:rsidRPr="00576D60" w14:paraId="322550FD" w14:textId="77777777" w:rsidTr="002F32E3">
        <w:trPr>
          <w:cantSplit/>
        </w:trPr>
        <w:tc>
          <w:tcPr>
            <w:tcW w:w="1500" w:type="pct"/>
            <w:shd w:val="clear" w:color="auto" w:fill="auto"/>
          </w:tcPr>
          <w:p w14:paraId="303F39A8" w14:textId="77777777" w:rsidR="00E93F58" w:rsidRPr="00576D60" w:rsidRDefault="00E93F58" w:rsidP="003D2B1E">
            <w:pPr>
              <w:pStyle w:val="ENoteTableText"/>
              <w:keepNext/>
              <w:tabs>
                <w:tab w:val="left" w:leader="dot" w:pos="2268"/>
              </w:tabs>
              <w:rPr>
                <w:b/>
              </w:rPr>
            </w:pPr>
            <w:r>
              <w:rPr>
                <w:b/>
              </w:rPr>
              <w:t>Part 1</w:t>
            </w:r>
            <w:r w:rsidRPr="00576D60">
              <w:rPr>
                <w:b/>
              </w:rPr>
              <w:t>0.15</w:t>
            </w:r>
          </w:p>
        </w:tc>
        <w:tc>
          <w:tcPr>
            <w:tcW w:w="3500" w:type="pct"/>
            <w:shd w:val="clear" w:color="auto" w:fill="auto"/>
          </w:tcPr>
          <w:p w14:paraId="0493B8CD" w14:textId="77777777" w:rsidR="00E93F58" w:rsidRPr="00576D60" w:rsidRDefault="00E93F58" w:rsidP="003D2B1E">
            <w:pPr>
              <w:pStyle w:val="ENoteTableText"/>
            </w:pPr>
          </w:p>
        </w:tc>
      </w:tr>
      <w:tr w:rsidR="00E93F58" w:rsidRPr="00576D60" w14:paraId="1124EAA1" w14:textId="77777777" w:rsidTr="002F32E3">
        <w:trPr>
          <w:cantSplit/>
        </w:trPr>
        <w:tc>
          <w:tcPr>
            <w:tcW w:w="1500" w:type="pct"/>
            <w:shd w:val="clear" w:color="auto" w:fill="auto"/>
          </w:tcPr>
          <w:p w14:paraId="5CA0BC72" w14:textId="77777777" w:rsidR="00E93F58" w:rsidRPr="00576D60" w:rsidRDefault="00E93F58" w:rsidP="003D2B1E">
            <w:pPr>
              <w:pStyle w:val="ENoteTableText"/>
              <w:tabs>
                <w:tab w:val="left" w:leader="dot" w:pos="2268"/>
              </w:tabs>
            </w:pPr>
            <w:r>
              <w:t>Part 1</w:t>
            </w:r>
            <w:r w:rsidRPr="00576D60">
              <w:t>0.14 heading</w:t>
            </w:r>
            <w:r w:rsidRPr="00576D60">
              <w:tab/>
            </w:r>
          </w:p>
        </w:tc>
        <w:tc>
          <w:tcPr>
            <w:tcW w:w="3500" w:type="pct"/>
            <w:shd w:val="clear" w:color="auto" w:fill="auto"/>
          </w:tcPr>
          <w:p w14:paraId="1D6A46A5" w14:textId="77777777" w:rsidR="00E93F58" w:rsidRPr="00576D60" w:rsidRDefault="00E93F58" w:rsidP="003D2B1E">
            <w:pPr>
              <w:pStyle w:val="ENoteTableText"/>
            </w:pPr>
            <w:r w:rsidRPr="00576D60">
              <w:t>rep No 193, 2011</w:t>
            </w:r>
          </w:p>
        </w:tc>
      </w:tr>
      <w:tr w:rsidR="00E93F58" w:rsidRPr="00576D60" w14:paraId="7205B5D9" w14:textId="77777777" w:rsidTr="002F32E3">
        <w:trPr>
          <w:cantSplit/>
        </w:trPr>
        <w:tc>
          <w:tcPr>
            <w:tcW w:w="1500" w:type="pct"/>
            <w:shd w:val="clear" w:color="auto" w:fill="auto"/>
          </w:tcPr>
          <w:p w14:paraId="5049EF4A" w14:textId="77777777" w:rsidR="00E93F58" w:rsidRPr="00576D60" w:rsidRDefault="00E93F58" w:rsidP="003D2B1E">
            <w:pPr>
              <w:pStyle w:val="ENoteTableText"/>
              <w:tabs>
                <w:tab w:val="left" w:leader="dot" w:pos="2268"/>
              </w:tabs>
            </w:pPr>
            <w:r>
              <w:t>Part 1</w:t>
            </w:r>
            <w:r w:rsidRPr="00576D60">
              <w:t>0.15 heading</w:t>
            </w:r>
            <w:r w:rsidRPr="00576D60">
              <w:tab/>
            </w:r>
          </w:p>
        </w:tc>
        <w:tc>
          <w:tcPr>
            <w:tcW w:w="3500" w:type="pct"/>
            <w:shd w:val="clear" w:color="auto" w:fill="auto"/>
          </w:tcPr>
          <w:p w14:paraId="3F6DCAB1" w14:textId="77777777" w:rsidR="00E93F58" w:rsidRPr="00576D60" w:rsidRDefault="00E93F58" w:rsidP="003D2B1E">
            <w:pPr>
              <w:pStyle w:val="ENoteTableText"/>
            </w:pPr>
            <w:r w:rsidRPr="00576D60">
              <w:t>ad No 193, 2011</w:t>
            </w:r>
          </w:p>
        </w:tc>
      </w:tr>
      <w:tr w:rsidR="00E93F58" w:rsidRPr="00576D60" w14:paraId="26C484CB" w14:textId="77777777" w:rsidTr="002F32E3">
        <w:trPr>
          <w:cantSplit/>
        </w:trPr>
        <w:tc>
          <w:tcPr>
            <w:tcW w:w="1500" w:type="pct"/>
            <w:shd w:val="clear" w:color="auto" w:fill="auto"/>
          </w:tcPr>
          <w:p w14:paraId="601E45F5" w14:textId="77777777" w:rsidR="00E93F58" w:rsidRPr="00576D60" w:rsidRDefault="00E93F58" w:rsidP="003D2B1E">
            <w:pPr>
              <w:pStyle w:val="ENoteTableText"/>
              <w:tabs>
                <w:tab w:val="left" w:leader="dot" w:pos="2268"/>
              </w:tabs>
            </w:pPr>
            <w:r w:rsidRPr="00576D60">
              <w:t>r 10.14.01 heading</w:t>
            </w:r>
            <w:r w:rsidRPr="00576D60">
              <w:tab/>
            </w:r>
          </w:p>
        </w:tc>
        <w:tc>
          <w:tcPr>
            <w:tcW w:w="3500" w:type="pct"/>
            <w:shd w:val="clear" w:color="auto" w:fill="auto"/>
          </w:tcPr>
          <w:p w14:paraId="046EB939" w14:textId="77777777" w:rsidR="00E93F58" w:rsidRPr="00576D60" w:rsidRDefault="00E93F58" w:rsidP="003D2B1E">
            <w:pPr>
              <w:pStyle w:val="ENoteTableText"/>
            </w:pPr>
            <w:r w:rsidRPr="00576D60">
              <w:t>rep No 193, 2011</w:t>
            </w:r>
          </w:p>
        </w:tc>
      </w:tr>
      <w:tr w:rsidR="00E93F58" w:rsidRPr="00576D60" w14:paraId="3CCAD32B" w14:textId="77777777" w:rsidTr="002F32E3">
        <w:trPr>
          <w:cantSplit/>
        </w:trPr>
        <w:tc>
          <w:tcPr>
            <w:tcW w:w="1500" w:type="pct"/>
            <w:shd w:val="clear" w:color="auto" w:fill="auto"/>
          </w:tcPr>
          <w:p w14:paraId="5C27255A" w14:textId="77777777" w:rsidR="00E93F58" w:rsidRPr="00576D60" w:rsidRDefault="00E93F58" w:rsidP="003D2B1E">
            <w:pPr>
              <w:pStyle w:val="ENoteTableText"/>
              <w:tabs>
                <w:tab w:val="left" w:leader="dot" w:pos="2268"/>
              </w:tabs>
            </w:pPr>
            <w:r w:rsidRPr="00576D60">
              <w:t>r 10.15.01 heading</w:t>
            </w:r>
            <w:r w:rsidRPr="00576D60">
              <w:tab/>
            </w:r>
          </w:p>
        </w:tc>
        <w:tc>
          <w:tcPr>
            <w:tcW w:w="3500" w:type="pct"/>
            <w:shd w:val="clear" w:color="auto" w:fill="auto"/>
          </w:tcPr>
          <w:p w14:paraId="64D0E415" w14:textId="77777777" w:rsidR="00E93F58" w:rsidRPr="00576D60" w:rsidRDefault="00E93F58" w:rsidP="003D2B1E">
            <w:pPr>
              <w:pStyle w:val="ENoteTableText"/>
            </w:pPr>
            <w:r w:rsidRPr="00576D60">
              <w:t>ad No 193, 2011</w:t>
            </w:r>
          </w:p>
        </w:tc>
      </w:tr>
      <w:tr w:rsidR="00E93F58" w:rsidRPr="00576D60" w14:paraId="5A0FDC22" w14:textId="77777777" w:rsidTr="002F32E3">
        <w:trPr>
          <w:cantSplit/>
        </w:trPr>
        <w:tc>
          <w:tcPr>
            <w:tcW w:w="1500" w:type="pct"/>
            <w:shd w:val="clear" w:color="auto" w:fill="auto"/>
          </w:tcPr>
          <w:p w14:paraId="4C13F4C8" w14:textId="77777777" w:rsidR="00E93F58" w:rsidRPr="00576D60" w:rsidRDefault="00E93F58" w:rsidP="003D2B1E">
            <w:pPr>
              <w:pStyle w:val="ENoteTableText"/>
              <w:tabs>
                <w:tab w:val="left" w:leader="dot" w:pos="2268"/>
              </w:tabs>
            </w:pPr>
            <w:r w:rsidRPr="00576D60">
              <w:t>r 10.14.02</w:t>
            </w:r>
            <w:r w:rsidRPr="00576D60">
              <w:tab/>
            </w:r>
          </w:p>
        </w:tc>
        <w:tc>
          <w:tcPr>
            <w:tcW w:w="3500" w:type="pct"/>
            <w:shd w:val="clear" w:color="auto" w:fill="auto"/>
          </w:tcPr>
          <w:p w14:paraId="34A28688" w14:textId="77777777" w:rsidR="00E93F58" w:rsidRPr="00576D60" w:rsidRDefault="00E93F58" w:rsidP="003D2B1E">
            <w:pPr>
              <w:pStyle w:val="ENoteTableText"/>
            </w:pPr>
            <w:r w:rsidRPr="00576D60">
              <w:t>ad No 210, 2010</w:t>
            </w:r>
          </w:p>
        </w:tc>
      </w:tr>
      <w:tr w:rsidR="00E93F58" w:rsidRPr="00576D60" w14:paraId="78782E58" w14:textId="77777777" w:rsidTr="002F32E3">
        <w:trPr>
          <w:cantSplit/>
        </w:trPr>
        <w:tc>
          <w:tcPr>
            <w:tcW w:w="1500" w:type="pct"/>
            <w:shd w:val="clear" w:color="auto" w:fill="auto"/>
          </w:tcPr>
          <w:p w14:paraId="2D7CDE31" w14:textId="77777777" w:rsidR="00E93F58" w:rsidRPr="00576D60" w:rsidRDefault="00E93F58" w:rsidP="003D2B1E">
            <w:pPr>
              <w:pStyle w:val="ENoteTableText"/>
              <w:tabs>
                <w:tab w:val="left" w:leader="dot" w:pos="2268"/>
              </w:tabs>
            </w:pPr>
          </w:p>
        </w:tc>
        <w:tc>
          <w:tcPr>
            <w:tcW w:w="3500" w:type="pct"/>
            <w:shd w:val="clear" w:color="auto" w:fill="auto"/>
          </w:tcPr>
          <w:p w14:paraId="2A64CF79" w14:textId="77777777" w:rsidR="00E93F58" w:rsidRPr="00576D60" w:rsidRDefault="00E93F58" w:rsidP="003D2B1E">
            <w:pPr>
              <w:pStyle w:val="ENoteTableText"/>
            </w:pPr>
            <w:r w:rsidRPr="00576D60">
              <w:t>renum No 193, 2011</w:t>
            </w:r>
          </w:p>
        </w:tc>
      </w:tr>
      <w:tr w:rsidR="00E93F58" w:rsidRPr="00576D60" w14:paraId="236FA45F" w14:textId="77777777" w:rsidTr="002F32E3">
        <w:trPr>
          <w:cantSplit/>
        </w:trPr>
        <w:tc>
          <w:tcPr>
            <w:tcW w:w="1500" w:type="pct"/>
            <w:shd w:val="clear" w:color="auto" w:fill="auto"/>
          </w:tcPr>
          <w:p w14:paraId="3596DA8F" w14:textId="77777777" w:rsidR="00E93F58" w:rsidRPr="00576D60" w:rsidRDefault="00E93F58" w:rsidP="003D2B1E">
            <w:pPr>
              <w:pStyle w:val="ENoteTableText"/>
              <w:tabs>
                <w:tab w:val="left" w:leader="dot" w:pos="2268"/>
              </w:tabs>
            </w:pPr>
            <w:r w:rsidRPr="00576D60">
              <w:t>r 10.15.02 (prev r 10.14.02)</w:t>
            </w:r>
            <w:r w:rsidRPr="00576D60">
              <w:tab/>
            </w:r>
          </w:p>
        </w:tc>
        <w:tc>
          <w:tcPr>
            <w:tcW w:w="3500" w:type="pct"/>
            <w:shd w:val="clear" w:color="auto" w:fill="auto"/>
          </w:tcPr>
          <w:p w14:paraId="774B6BB3" w14:textId="77777777" w:rsidR="00E93F58" w:rsidRPr="00576D60" w:rsidRDefault="00E93F58" w:rsidP="003D2B1E">
            <w:pPr>
              <w:pStyle w:val="ENoteTableText"/>
            </w:pPr>
            <w:r w:rsidRPr="00576D60">
              <w:t>renum No 193, 2011</w:t>
            </w:r>
          </w:p>
        </w:tc>
      </w:tr>
      <w:tr w:rsidR="00E93F58" w:rsidRPr="00576D60" w14:paraId="6FA1AD05" w14:textId="77777777" w:rsidTr="002F32E3">
        <w:trPr>
          <w:cantSplit/>
        </w:trPr>
        <w:tc>
          <w:tcPr>
            <w:tcW w:w="1500" w:type="pct"/>
            <w:shd w:val="clear" w:color="auto" w:fill="auto"/>
          </w:tcPr>
          <w:p w14:paraId="0D018B2F" w14:textId="77777777" w:rsidR="00E93F58" w:rsidRPr="00576D60" w:rsidRDefault="00E93F58" w:rsidP="003D2B1E">
            <w:pPr>
              <w:pStyle w:val="ENoteTableText"/>
              <w:tabs>
                <w:tab w:val="left" w:leader="dot" w:pos="2268"/>
              </w:tabs>
            </w:pPr>
            <w:r w:rsidRPr="00576D60">
              <w:t>r 10.14.03</w:t>
            </w:r>
            <w:r w:rsidRPr="00576D60">
              <w:tab/>
            </w:r>
          </w:p>
        </w:tc>
        <w:tc>
          <w:tcPr>
            <w:tcW w:w="3500" w:type="pct"/>
            <w:shd w:val="clear" w:color="auto" w:fill="auto"/>
          </w:tcPr>
          <w:p w14:paraId="0F45462C" w14:textId="77777777" w:rsidR="00E93F58" w:rsidRPr="00576D60" w:rsidRDefault="00E93F58" w:rsidP="003D2B1E">
            <w:pPr>
              <w:pStyle w:val="ENoteTableText"/>
            </w:pPr>
            <w:r w:rsidRPr="00576D60">
              <w:t>ad No 210, 2010</w:t>
            </w:r>
          </w:p>
        </w:tc>
      </w:tr>
      <w:tr w:rsidR="00E93F58" w:rsidRPr="00576D60" w14:paraId="1E00093F" w14:textId="77777777" w:rsidTr="002F32E3">
        <w:trPr>
          <w:cantSplit/>
        </w:trPr>
        <w:tc>
          <w:tcPr>
            <w:tcW w:w="1500" w:type="pct"/>
            <w:shd w:val="clear" w:color="auto" w:fill="auto"/>
          </w:tcPr>
          <w:p w14:paraId="28778B02" w14:textId="77777777" w:rsidR="00E93F58" w:rsidRPr="00576D60" w:rsidRDefault="00E93F58" w:rsidP="003D2B1E">
            <w:pPr>
              <w:pStyle w:val="ENoteTableText"/>
              <w:tabs>
                <w:tab w:val="left" w:leader="dot" w:pos="2268"/>
              </w:tabs>
            </w:pPr>
            <w:r w:rsidRPr="00576D60">
              <w:t>r 10.15.03 (prev r 10.14.03)</w:t>
            </w:r>
            <w:r w:rsidRPr="00576D60">
              <w:tab/>
            </w:r>
          </w:p>
        </w:tc>
        <w:tc>
          <w:tcPr>
            <w:tcW w:w="3500" w:type="pct"/>
            <w:shd w:val="clear" w:color="auto" w:fill="auto"/>
          </w:tcPr>
          <w:p w14:paraId="0D1C9EAD" w14:textId="77777777" w:rsidR="00E93F58" w:rsidRPr="00576D60" w:rsidRDefault="00E93F58" w:rsidP="003D2B1E">
            <w:pPr>
              <w:pStyle w:val="ENoteTableText"/>
            </w:pPr>
            <w:r w:rsidRPr="00576D60">
              <w:t>renum No 193, 2011</w:t>
            </w:r>
          </w:p>
        </w:tc>
      </w:tr>
      <w:tr w:rsidR="00E93F58" w:rsidRPr="00576D60" w14:paraId="0C276B23" w14:textId="77777777" w:rsidTr="002F32E3">
        <w:trPr>
          <w:cantSplit/>
        </w:trPr>
        <w:tc>
          <w:tcPr>
            <w:tcW w:w="1500" w:type="pct"/>
            <w:shd w:val="clear" w:color="auto" w:fill="auto"/>
          </w:tcPr>
          <w:p w14:paraId="026F8AC9" w14:textId="77777777" w:rsidR="00E93F58" w:rsidRPr="00576D60" w:rsidRDefault="00E93F58" w:rsidP="003D2B1E">
            <w:pPr>
              <w:pStyle w:val="ENoteTableText"/>
              <w:tabs>
                <w:tab w:val="left" w:leader="dot" w:pos="2268"/>
              </w:tabs>
            </w:pPr>
            <w:r w:rsidRPr="00576D60">
              <w:t>r 10.14.04</w:t>
            </w:r>
            <w:r w:rsidRPr="00576D60">
              <w:tab/>
            </w:r>
          </w:p>
        </w:tc>
        <w:tc>
          <w:tcPr>
            <w:tcW w:w="3500" w:type="pct"/>
            <w:shd w:val="clear" w:color="auto" w:fill="auto"/>
          </w:tcPr>
          <w:p w14:paraId="0C2BECC8" w14:textId="77777777" w:rsidR="00E93F58" w:rsidRPr="00576D60" w:rsidRDefault="00E93F58" w:rsidP="003D2B1E">
            <w:pPr>
              <w:pStyle w:val="ENoteTableText"/>
            </w:pPr>
            <w:r w:rsidRPr="00576D60">
              <w:t>ad No 210, 2010</w:t>
            </w:r>
          </w:p>
        </w:tc>
      </w:tr>
      <w:tr w:rsidR="00E93F58" w:rsidRPr="00576D60" w14:paraId="7CE78B94" w14:textId="77777777" w:rsidTr="002F32E3">
        <w:trPr>
          <w:cantSplit/>
        </w:trPr>
        <w:tc>
          <w:tcPr>
            <w:tcW w:w="1500" w:type="pct"/>
            <w:shd w:val="clear" w:color="auto" w:fill="auto"/>
          </w:tcPr>
          <w:p w14:paraId="5F45C3D8" w14:textId="77777777" w:rsidR="00E93F58" w:rsidRPr="00576D60" w:rsidRDefault="00E93F58" w:rsidP="003D2B1E">
            <w:pPr>
              <w:pStyle w:val="ENoteTableText"/>
              <w:tabs>
                <w:tab w:val="left" w:leader="dot" w:pos="2268"/>
              </w:tabs>
            </w:pPr>
            <w:r w:rsidRPr="00576D60">
              <w:t>r 10.15.04 (prev r 10.14.04)</w:t>
            </w:r>
            <w:r w:rsidRPr="00576D60">
              <w:tab/>
            </w:r>
          </w:p>
        </w:tc>
        <w:tc>
          <w:tcPr>
            <w:tcW w:w="3500" w:type="pct"/>
            <w:shd w:val="clear" w:color="auto" w:fill="auto"/>
          </w:tcPr>
          <w:p w14:paraId="12771183" w14:textId="77777777" w:rsidR="00E93F58" w:rsidRPr="00576D60" w:rsidRDefault="00E93F58" w:rsidP="003D2B1E">
            <w:pPr>
              <w:pStyle w:val="ENoteTableText"/>
            </w:pPr>
            <w:r w:rsidRPr="00576D60">
              <w:t>renum No 193, 2011</w:t>
            </w:r>
          </w:p>
        </w:tc>
      </w:tr>
      <w:tr w:rsidR="00E93F58" w:rsidRPr="00576D60" w14:paraId="4731B78E" w14:textId="77777777" w:rsidTr="002F32E3">
        <w:trPr>
          <w:cantSplit/>
        </w:trPr>
        <w:tc>
          <w:tcPr>
            <w:tcW w:w="1500" w:type="pct"/>
            <w:shd w:val="clear" w:color="auto" w:fill="auto"/>
          </w:tcPr>
          <w:p w14:paraId="59E2A76C" w14:textId="77777777" w:rsidR="00E93F58" w:rsidRPr="00576D60" w:rsidRDefault="00E93F58" w:rsidP="003D2B1E">
            <w:pPr>
              <w:pStyle w:val="ENoteTableText"/>
              <w:tabs>
                <w:tab w:val="left" w:leader="dot" w:pos="2268"/>
              </w:tabs>
            </w:pPr>
            <w:r w:rsidRPr="00576D60">
              <w:t>r 10.14.05</w:t>
            </w:r>
            <w:r w:rsidRPr="00576D60">
              <w:tab/>
            </w:r>
          </w:p>
        </w:tc>
        <w:tc>
          <w:tcPr>
            <w:tcW w:w="3500" w:type="pct"/>
            <w:shd w:val="clear" w:color="auto" w:fill="auto"/>
          </w:tcPr>
          <w:p w14:paraId="673DC169" w14:textId="77777777" w:rsidR="00E93F58" w:rsidRPr="00576D60" w:rsidRDefault="00E93F58" w:rsidP="003D2B1E">
            <w:pPr>
              <w:pStyle w:val="ENoteTableText"/>
            </w:pPr>
            <w:r w:rsidRPr="00576D60">
              <w:t>ad No 210, 2010</w:t>
            </w:r>
          </w:p>
        </w:tc>
      </w:tr>
      <w:tr w:rsidR="00E93F58" w:rsidRPr="00576D60" w14:paraId="2CDDB6E4" w14:textId="77777777" w:rsidTr="002F32E3">
        <w:trPr>
          <w:cantSplit/>
        </w:trPr>
        <w:tc>
          <w:tcPr>
            <w:tcW w:w="1500" w:type="pct"/>
            <w:shd w:val="clear" w:color="auto" w:fill="auto"/>
          </w:tcPr>
          <w:p w14:paraId="595B9754" w14:textId="77777777" w:rsidR="00E93F58" w:rsidRPr="00576D60" w:rsidRDefault="00E93F58" w:rsidP="003D2B1E">
            <w:pPr>
              <w:pStyle w:val="ENoteTableText"/>
              <w:tabs>
                <w:tab w:val="left" w:leader="dot" w:pos="2268"/>
              </w:tabs>
            </w:pPr>
            <w:r w:rsidRPr="00576D60">
              <w:t>r. 10.15.05 (prev r 10.14.05)</w:t>
            </w:r>
            <w:r w:rsidRPr="00576D60">
              <w:tab/>
            </w:r>
          </w:p>
        </w:tc>
        <w:tc>
          <w:tcPr>
            <w:tcW w:w="3500" w:type="pct"/>
            <w:shd w:val="clear" w:color="auto" w:fill="auto"/>
          </w:tcPr>
          <w:p w14:paraId="29C95C11" w14:textId="77777777" w:rsidR="00E93F58" w:rsidRPr="00576D60" w:rsidRDefault="00E93F58" w:rsidP="003D2B1E">
            <w:pPr>
              <w:pStyle w:val="ENoteTableText"/>
            </w:pPr>
            <w:r w:rsidRPr="00576D60">
              <w:t>renum No 193, 2011</w:t>
            </w:r>
          </w:p>
        </w:tc>
      </w:tr>
      <w:tr w:rsidR="00E93F58" w:rsidRPr="00576D60" w14:paraId="21F80C47" w14:textId="77777777" w:rsidTr="002F32E3">
        <w:trPr>
          <w:cantSplit/>
        </w:trPr>
        <w:tc>
          <w:tcPr>
            <w:tcW w:w="1500" w:type="pct"/>
            <w:shd w:val="clear" w:color="auto" w:fill="auto"/>
          </w:tcPr>
          <w:p w14:paraId="50BE23F1" w14:textId="77777777" w:rsidR="00E93F58" w:rsidRPr="00576D60" w:rsidRDefault="00E93F58" w:rsidP="003D2B1E">
            <w:pPr>
              <w:pStyle w:val="ENoteTableText"/>
              <w:tabs>
                <w:tab w:val="left" w:leader="dot" w:pos="2268"/>
              </w:tabs>
            </w:pPr>
            <w:r w:rsidRPr="00576D60">
              <w:t>r 10.14.06</w:t>
            </w:r>
            <w:r w:rsidRPr="00576D60">
              <w:tab/>
            </w:r>
          </w:p>
        </w:tc>
        <w:tc>
          <w:tcPr>
            <w:tcW w:w="3500" w:type="pct"/>
            <w:shd w:val="clear" w:color="auto" w:fill="auto"/>
          </w:tcPr>
          <w:p w14:paraId="2975A999" w14:textId="77777777" w:rsidR="00E93F58" w:rsidRPr="00576D60" w:rsidRDefault="00E93F58" w:rsidP="003D2B1E">
            <w:pPr>
              <w:pStyle w:val="ENoteTableText"/>
            </w:pPr>
            <w:r w:rsidRPr="00576D60">
              <w:t>ad No 210, 2010</w:t>
            </w:r>
          </w:p>
        </w:tc>
      </w:tr>
      <w:tr w:rsidR="00E93F58" w:rsidRPr="00576D60" w14:paraId="08DC12BA" w14:textId="77777777" w:rsidTr="002F32E3">
        <w:trPr>
          <w:cantSplit/>
        </w:trPr>
        <w:tc>
          <w:tcPr>
            <w:tcW w:w="1500" w:type="pct"/>
            <w:shd w:val="clear" w:color="auto" w:fill="auto"/>
          </w:tcPr>
          <w:p w14:paraId="43FBD463" w14:textId="77777777" w:rsidR="00E93F58" w:rsidRPr="00576D60" w:rsidRDefault="00E93F58" w:rsidP="003D2B1E">
            <w:pPr>
              <w:pStyle w:val="ENoteTableText"/>
              <w:tabs>
                <w:tab w:val="left" w:leader="dot" w:pos="2268"/>
              </w:tabs>
            </w:pPr>
            <w:r w:rsidRPr="00576D60">
              <w:t>r. 10.15.06 (prev r 10.14.06)</w:t>
            </w:r>
            <w:r w:rsidRPr="00576D60">
              <w:tab/>
            </w:r>
          </w:p>
        </w:tc>
        <w:tc>
          <w:tcPr>
            <w:tcW w:w="3500" w:type="pct"/>
            <w:shd w:val="clear" w:color="auto" w:fill="auto"/>
          </w:tcPr>
          <w:p w14:paraId="2F0FB694" w14:textId="77777777" w:rsidR="00E93F58" w:rsidRPr="00576D60" w:rsidRDefault="00E93F58" w:rsidP="003D2B1E">
            <w:pPr>
              <w:pStyle w:val="ENoteTableText"/>
            </w:pPr>
            <w:r w:rsidRPr="00576D60">
              <w:t>renum No 193, 2011</w:t>
            </w:r>
          </w:p>
        </w:tc>
      </w:tr>
      <w:tr w:rsidR="00E93F58" w:rsidRPr="00576D60" w14:paraId="037D1C9C" w14:textId="77777777" w:rsidTr="002F32E3">
        <w:trPr>
          <w:cantSplit/>
        </w:trPr>
        <w:tc>
          <w:tcPr>
            <w:tcW w:w="1500" w:type="pct"/>
            <w:shd w:val="clear" w:color="auto" w:fill="auto"/>
          </w:tcPr>
          <w:p w14:paraId="7DC71D91" w14:textId="77777777" w:rsidR="00E93F58" w:rsidRPr="00576D60" w:rsidRDefault="00E93F58" w:rsidP="003D2B1E">
            <w:pPr>
              <w:pStyle w:val="ENoteTableText"/>
              <w:tabs>
                <w:tab w:val="left" w:leader="dot" w:pos="2268"/>
              </w:tabs>
              <w:rPr>
                <w:b/>
              </w:rPr>
            </w:pPr>
            <w:r>
              <w:rPr>
                <w:b/>
              </w:rPr>
              <w:t>Part 1</w:t>
            </w:r>
            <w:r w:rsidRPr="00576D60">
              <w:rPr>
                <w:b/>
              </w:rPr>
              <w:t>0.18</w:t>
            </w:r>
          </w:p>
        </w:tc>
        <w:tc>
          <w:tcPr>
            <w:tcW w:w="3500" w:type="pct"/>
            <w:shd w:val="clear" w:color="auto" w:fill="auto"/>
          </w:tcPr>
          <w:p w14:paraId="5AC64620" w14:textId="77777777" w:rsidR="00E93F58" w:rsidRPr="00576D60" w:rsidRDefault="00E93F58" w:rsidP="003D2B1E">
            <w:pPr>
              <w:pStyle w:val="ENoteTableText"/>
            </w:pPr>
          </w:p>
        </w:tc>
      </w:tr>
      <w:tr w:rsidR="00E93F58" w:rsidRPr="00576D60" w14:paraId="5046CDBC" w14:textId="77777777" w:rsidTr="002F32E3">
        <w:trPr>
          <w:cantSplit/>
        </w:trPr>
        <w:tc>
          <w:tcPr>
            <w:tcW w:w="1500" w:type="pct"/>
            <w:shd w:val="clear" w:color="auto" w:fill="auto"/>
          </w:tcPr>
          <w:p w14:paraId="71BF3E1F" w14:textId="77777777" w:rsidR="00E93F58" w:rsidRPr="00576D60" w:rsidRDefault="00E93F58" w:rsidP="003D2B1E">
            <w:pPr>
              <w:pStyle w:val="ENoteTableText"/>
              <w:tabs>
                <w:tab w:val="left" w:leader="dot" w:pos="2268"/>
              </w:tabs>
            </w:pPr>
            <w:r>
              <w:t>Part 1</w:t>
            </w:r>
            <w:r w:rsidRPr="00576D60">
              <w:t>0.18</w:t>
            </w:r>
            <w:r w:rsidRPr="00576D60">
              <w:tab/>
            </w:r>
          </w:p>
        </w:tc>
        <w:tc>
          <w:tcPr>
            <w:tcW w:w="3500" w:type="pct"/>
            <w:shd w:val="clear" w:color="auto" w:fill="auto"/>
          </w:tcPr>
          <w:p w14:paraId="50BF26F8" w14:textId="77777777" w:rsidR="00E93F58" w:rsidRPr="00576D60" w:rsidRDefault="00E93F58" w:rsidP="003D2B1E">
            <w:pPr>
              <w:pStyle w:val="ENoteTableText"/>
            </w:pPr>
            <w:r w:rsidRPr="00576D60">
              <w:t>ad No 170, 2012</w:t>
            </w:r>
          </w:p>
        </w:tc>
      </w:tr>
      <w:tr w:rsidR="00E93F58" w:rsidRPr="00576D60" w14:paraId="3EDD81EA" w14:textId="77777777" w:rsidTr="002F32E3">
        <w:trPr>
          <w:cantSplit/>
        </w:trPr>
        <w:tc>
          <w:tcPr>
            <w:tcW w:w="1500" w:type="pct"/>
            <w:shd w:val="clear" w:color="auto" w:fill="auto"/>
          </w:tcPr>
          <w:p w14:paraId="474F96BD" w14:textId="77777777" w:rsidR="00E93F58" w:rsidRPr="00576D60" w:rsidRDefault="00E93F58" w:rsidP="003D2B1E">
            <w:pPr>
              <w:pStyle w:val="ENoteTableText"/>
              <w:tabs>
                <w:tab w:val="left" w:leader="dot" w:pos="2268"/>
              </w:tabs>
            </w:pPr>
            <w:r w:rsidRPr="00576D60">
              <w:t>r 10.18.01</w:t>
            </w:r>
            <w:r w:rsidRPr="00576D60">
              <w:tab/>
            </w:r>
          </w:p>
        </w:tc>
        <w:tc>
          <w:tcPr>
            <w:tcW w:w="3500" w:type="pct"/>
            <w:shd w:val="clear" w:color="auto" w:fill="auto"/>
          </w:tcPr>
          <w:p w14:paraId="5356AAA6" w14:textId="77777777" w:rsidR="00E93F58" w:rsidRPr="00576D60" w:rsidRDefault="00E93F58" w:rsidP="003D2B1E">
            <w:pPr>
              <w:pStyle w:val="ENoteTableText"/>
            </w:pPr>
            <w:r w:rsidRPr="00576D60">
              <w:t>ad No 170, 2012</w:t>
            </w:r>
          </w:p>
        </w:tc>
      </w:tr>
      <w:tr w:rsidR="00E93F58" w:rsidRPr="00576D60" w14:paraId="25F0AFF0" w14:textId="77777777" w:rsidTr="002F32E3">
        <w:trPr>
          <w:cantSplit/>
        </w:trPr>
        <w:tc>
          <w:tcPr>
            <w:tcW w:w="1500" w:type="pct"/>
            <w:shd w:val="clear" w:color="auto" w:fill="auto"/>
          </w:tcPr>
          <w:p w14:paraId="52CDBF28" w14:textId="77777777" w:rsidR="00E93F58" w:rsidRPr="00576D60" w:rsidRDefault="00E93F58" w:rsidP="003D2B1E">
            <w:pPr>
              <w:pStyle w:val="ENoteTableText"/>
              <w:tabs>
                <w:tab w:val="left" w:leader="dot" w:pos="2268"/>
              </w:tabs>
            </w:pPr>
          </w:p>
        </w:tc>
        <w:tc>
          <w:tcPr>
            <w:tcW w:w="3500" w:type="pct"/>
            <w:shd w:val="clear" w:color="auto" w:fill="auto"/>
          </w:tcPr>
          <w:p w14:paraId="3A2B3082" w14:textId="77777777" w:rsidR="00E93F58" w:rsidRPr="00576D60" w:rsidRDefault="00E93F58" w:rsidP="003D2B1E">
            <w:pPr>
              <w:pStyle w:val="ENoteTableText"/>
            </w:pPr>
            <w:r w:rsidRPr="00576D60">
              <w:t>rep 1 July 2013 (r 10.18.01(3))</w:t>
            </w:r>
          </w:p>
        </w:tc>
      </w:tr>
      <w:tr w:rsidR="00E93F58" w:rsidRPr="00576D60" w14:paraId="44C903C1" w14:textId="77777777" w:rsidTr="002F32E3">
        <w:trPr>
          <w:cantSplit/>
        </w:trPr>
        <w:tc>
          <w:tcPr>
            <w:tcW w:w="1500" w:type="pct"/>
            <w:shd w:val="clear" w:color="auto" w:fill="auto"/>
          </w:tcPr>
          <w:p w14:paraId="1D9A5352" w14:textId="77777777" w:rsidR="00E93F58" w:rsidRPr="00576D60" w:rsidRDefault="00E93F58" w:rsidP="003D2B1E">
            <w:pPr>
              <w:pStyle w:val="ENoteTableText"/>
              <w:tabs>
                <w:tab w:val="left" w:leader="dot" w:pos="2268"/>
              </w:tabs>
              <w:rPr>
                <w:b/>
              </w:rPr>
            </w:pPr>
            <w:r>
              <w:rPr>
                <w:b/>
              </w:rPr>
              <w:t>Part 1</w:t>
            </w:r>
            <w:r w:rsidRPr="00576D60">
              <w:rPr>
                <w:b/>
              </w:rPr>
              <w:t>0.19</w:t>
            </w:r>
          </w:p>
        </w:tc>
        <w:tc>
          <w:tcPr>
            <w:tcW w:w="3500" w:type="pct"/>
            <w:shd w:val="clear" w:color="auto" w:fill="auto"/>
          </w:tcPr>
          <w:p w14:paraId="447B2F0E" w14:textId="77777777" w:rsidR="00E93F58" w:rsidRPr="00576D60" w:rsidRDefault="00E93F58" w:rsidP="003D2B1E">
            <w:pPr>
              <w:pStyle w:val="ENoteTableText"/>
            </w:pPr>
          </w:p>
        </w:tc>
      </w:tr>
      <w:tr w:rsidR="00E93F58" w:rsidRPr="00576D60" w14:paraId="596D6B59" w14:textId="77777777" w:rsidTr="002F32E3">
        <w:trPr>
          <w:cantSplit/>
        </w:trPr>
        <w:tc>
          <w:tcPr>
            <w:tcW w:w="1500" w:type="pct"/>
            <w:shd w:val="clear" w:color="auto" w:fill="auto"/>
          </w:tcPr>
          <w:p w14:paraId="6EA1CA84" w14:textId="77777777" w:rsidR="00E93F58" w:rsidRPr="00576D60" w:rsidRDefault="00E93F58" w:rsidP="003D2B1E">
            <w:pPr>
              <w:pStyle w:val="ENoteTableText"/>
              <w:tabs>
                <w:tab w:val="left" w:leader="dot" w:pos="2268"/>
              </w:tabs>
            </w:pPr>
            <w:r>
              <w:t>Part 1</w:t>
            </w:r>
            <w:r w:rsidRPr="00576D60">
              <w:t>0.19</w:t>
            </w:r>
            <w:r w:rsidRPr="00576D60">
              <w:tab/>
            </w:r>
          </w:p>
        </w:tc>
        <w:tc>
          <w:tcPr>
            <w:tcW w:w="3500" w:type="pct"/>
            <w:shd w:val="clear" w:color="auto" w:fill="auto"/>
          </w:tcPr>
          <w:p w14:paraId="4FE32E20" w14:textId="77777777" w:rsidR="00E93F58" w:rsidRPr="00576D60" w:rsidRDefault="00E93F58" w:rsidP="003D2B1E">
            <w:pPr>
              <w:pStyle w:val="ENoteTableText"/>
            </w:pPr>
            <w:r w:rsidRPr="00576D60">
              <w:t>ad No 155, 2013</w:t>
            </w:r>
          </w:p>
        </w:tc>
      </w:tr>
      <w:tr w:rsidR="00E93F58" w:rsidRPr="00576D60" w14:paraId="370C67E9" w14:textId="77777777" w:rsidTr="002F32E3">
        <w:trPr>
          <w:cantSplit/>
        </w:trPr>
        <w:tc>
          <w:tcPr>
            <w:tcW w:w="1500" w:type="pct"/>
            <w:shd w:val="clear" w:color="auto" w:fill="auto"/>
          </w:tcPr>
          <w:p w14:paraId="55BC1A7C" w14:textId="77777777" w:rsidR="00E93F58" w:rsidRPr="00576D60" w:rsidRDefault="00E93F58" w:rsidP="003D2B1E">
            <w:pPr>
              <w:pStyle w:val="ENoteTableText"/>
              <w:tabs>
                <w:tab w:val="left" w:leader="dot" w:pos="2268"/>
              </w:tabs>
            </w:pPr>
            <w:r w:rsidRPr="00576D60">
              <w:t>r 10.19.01</w:t>
            </w:r>
            <w:r w:rsidRPr="00576D60">
              <w:tab/>
            </w:r>
          </w:p>
        </w:tc>
        <w:tc>
          <w:tcPr>
            <w:tcW w:w="3500" w:type="pct"/>
            <w:shd w:val="clear" w:color="auto" w:fill="auto"/>
          </w:tcPr>
          <w:p w14:paraId="2C50E921" w14:textId="77777777" w:rsidR="00E93F58" w:rsidRPr="00576D60" w:rsidRDefault="00E93F58" w:rsidP="003D2B1E">
            <w:pPr>
              <w:pStyle w:val="ENoteTableText"/>
            </w:pPr>
            <w:r w:rsidRPr="00576D60">
              <w:t>ad No 155, 2013</w:t>
            </w:r>
          </w:p>
        </w:tc>
      </w:tr>
      <w:tr w:rsidR="00E93F58" w:rsidRPr="00576D60" w14:paraId="07D3C7C4" w14:textId="77777777" w:rsidTr="002F32E3">
        <w:trPr>
          <w:cantSplit/>
        </w:trPr>
        <w:tc>
          <w:tcPr>
            <w:tcW w:w="1500" w:type="pct"/>
            <w:shd w:val="clear" w:color="auto" w:fill="auto"/>
          </w:tcPr>
          <w:p w14:paraId="71FB3613" w14:textId="77777777" w:rsidR="00E93F58" w:rsidRPr="00576D60" w:rsidRDefault="00E93F58" w:rsidP="003D2B1E">
            <w:pPr>
              <w:pStyle w:val="ENoteTableText"/>
              <w:tabs>
                <w:tab w:val="left" w:leader="dot" w:pos="2268"/>
              </w:tabs>
            </w:pPr>
            <w:r>
              <w:t>Part 1</w:t>
            </w:r>
            <w:r w:rsidRPr="00576D60">
              <w:t>0.20</w:t>
            </w:r>
            <w:r w:rsidRPr="00576D60">
              <w:tab/>
            </w:r>
          </w:p>
        </w:tc>
        <w:tc>
          <w:tcPr>
            <w:tcW w:w="3500" w:type="pct"/>
            <w:shd w:val="clear" w:color="auto" w:fill="auto"/>
          </w:tcPr>
          <w:p w14:paraId="4D566E56" w14:textId="77777777" w:rsidR="00E93F58" w:rsidRPr="00576D60" w:rsidRDefault="00E93F58" w:rsidP="003D2B1E">
            <w:pPr>
              <w:pStyle w:val="ENoteTableText"/>
            </w:pPr>
            <w:r w:rsidRPr="00576D60">
              <w:t>ad No 3, 2015</w:t>
            </w:r>
          </w:p>
        </w:tc>
      </w:tr>
      <w:tr w:rsidR="00E93F58" w:rsidRPr="00576D60" w14:paraId="05CD9AFA" w14:textId="77777777" w:rsidTr="002F32E3">
        <w:trPr>
          <w:cantSplit/>
        </w:trPr>
        <w:tc>
          <w:tcPr>
            <w:tcW w:w="1500" w:type="pct"/>
            <w:shd w:val="clear" w:color="auto" w:fill="auto"/>
          </w:tcPr>
          <w:p w14:paraId="62A35A9B" w14:textId="77777777" w:rsidR="00E93F58" w:rsidRPr="00576D60" w:rsidRDefault="00E93F58" w:rsidP="003D2B1E">
            <w:pPr>
              <w:pStyle w:val="ENoteTableText"/>
              <w:tabs>
                <w:tab w:val="left" w:leader="dot" w:pos="2268"/>
              </w:tabs>
            </w:pPr>
          </w:p>
        </w:tc>
        <w:tc>
          <w:tcPr>
            <w:tcW w:w="3500" w:type="pct"/>
            <w:shd w:val="clear" w:color="auto" w:fill="auto"/>
          </w:tcPr>
          <w:p w14:paraId="2FD7D330" w14:textId="77777777" w:rsidR="00E93F58" w:rsidRPr="00576D60" w:rsidRDefault="00E93F58" w:rsidP="003D2B1E">
            <w:pPr>
              <w:pStyle w:val="ENoteTableText"/>
            </w:pPr>
            <w:r w:rsidRPr="00576D60">
              <w:t>rep F2017L00117</w:t>
            </w:r>
          </w:p>
        </w:tc>
      </w:tr>
      <w:tr w:rsidR="00E93F58" w:rsidRPr="00576D60" w14:paraId="6948BFED" w14:textId="77777777" w:rsidTr="002F32E3">
        <w:trPr>
          <w:cantSplit/>
        </w:trPr>
        <w:tc>
          <w:tcPr>
            <w:tcW w:w="1500" w:type="pct"/>
            <w:shd w:val="clear" w:color="auto" w:fill="auto"/>
          </w:tcPr>
          <w:p w14:paraId="3BBF27B0" w14:textId="77777777" w:rsidR="00E93F58" w:rsidRPr="00576D60" w:rsidRDefault="00E93F58" w:rsidP="003D2B1E">
            <w:pPr>
              <w:pStyle w:val="ENoteTableText"/>
              <w:tabs>
                <w:tab w:val="left" w:leader="dot" w:pos="2268"/>
              </w:tabs>
            </w:pPr>
            <w:r w:rsidRPr="00576D60">
              <w:t>r 10.20.01</w:t>
            </w:r>
            <w:r w:rsidRPr="00576D60">
              <w:tab/>
            </w:r>
          </w:p>
        </w:tc>
        <w:tc>
          <w:tcPr>
            <w:tcW w:w="3500" w:type="pct"/>
            <w:shd w:val="clear" w:color="auto" w:fill="auto"/>
          </w:tcPr>
          <w:p w14:paraId="2F624DA0" w14:textId="77777777" w:rsidR="00E93F58" w:rsidRPr="00576D60" w:rsidRDefault="00E93F58" w:rsidP="003D2B1E">
            <w:pPr>
              <w:pStyle w:val="ENoteTableText"/>
            </w:pPr>
            <w:r w:rsidRPr="00576D60">
              <w:t>ad No 3, 2015</w:t>
            </w:r>
          </w:p>
        </w:tc>
      </w:tr>
      <w:tr w:rsidR="00E93F58" w:rsidRPr="00576D60" w14:paraId="0A70B126" w14:textId="77777777" w:rsidTr="002F32E3">
        <w:trPr>
          <w:cantSplit/>
        </w:trPr>
        <w:tc>
          <w:tcPr>
            <w:tcW w:w="1500" w:type="pct"/>
            <w:shd w:val="clear" w:color="auto" w:fill="auto"/>
          </w:tcPr>
          <w:p w14:paraId="26F7C7E8" w14:textId="77777777" w:rsidR="00E93F58" w:rsidRPr="00576D60" w:rsidRDefault="00E93F58" w:rsidP="003D2B1E">
            <w:pPr>
              <w:pStyle w:val="ENoteTableText"/>
              <w:tabs>
                <w:tab w:val="left" w:leader="dot" w:pos="2268"/>
              </w:tabs>
            </w:pPr>
          </w:p>
        </w:tc>
        <w:tc>
          <w:tcPr>
            <w:tcW w:w="3500" w:type="pct"/>
            <w:shd w:val="clear" w:color="auto" w:fill="auto"/>
          </w:tcPr>
          <w:p w14:paraId="0ABCDCD6" w14:textId="77777777" w:rsidR="00E93F58" w:rsidRPr="00576D60" w:rsidRDefault="00E93F58" w:rsidP="003D2B1E">
            <w:pPr>
              <w:pStyle w:val="ENoteTableText"/>
            </w:pPr>
            <w:r w:rsidRPr="00576D60">
              <w:t>rep F2017L00117</w:t>
            </w:r>
          </w:p>
        </w:tc>
      </w:tr>
      <w:tr w:rsidR="00E93F58" w:rsidRPr="00576D60" w14:paraId="42B0217E" w14:textId="77777777" w:rsidTr="002F32E3">
        <w:trPr>
          <w:cantSplit/>
        </w:trPr>
        <w:tc>
          <w:tcPr>
            <w:tcW w:w="1500" w:type="pct"/>
            <w:shd w:val="clear" w:color="auto" w:fill="auto"/>
          </w:tcPr>
          <w:p w14:paraId="2048A326" w14:textId="77777777" w:rsidR="00E93F58" w:rsidRPr="00576D60" w:rsidRDefault="00E93F58" w:rsidP="003D2B1E">
            <w:pPr>
              <w:pStyle w:val="ENoteTableText"/>
              <w:tabs>
                <w:tab w:val="left" w:leader="dot" w:pos="2268"/>
              </w:tabs>
            </w:pPr>
            <w:r w:rsidRPr="00576D60">
              <w:t>r 10.20.02</w:t>
            </w:r>
            <w:r w:rsidRPr="00576D60">
              <w:tab/>
            </w:r>
          </w:p>
        </w:tc>
        <w:tc>
          <w:tcPr>
            <w:tcW w:w="3500" w:type="pct"/>
            <w:shd w:val="clear" w:color="auto" w:fill="auto"/>
          </w:tcPr>
          <w:p w14:paraId="1DA79FF4" w14:textId="77777777" w:rsidR="00E93F58" w:rsidRPr="00576D60" w:rsidRDefault="00E93F58" w:rsidP="003D2B1E">
            <w:pPr>
              <w:pStyle w:val="ENoteTableText"/>
            </w:pPr>
            <w:r w:rsidRPr="00576D60">
              <w:t>ad No 3, 2015</w:t>
            </w:r>
          </w:p>
        </w:tc>
      </w:tr>
      <w:tr w:rsidR="00E93F58" w:rsidRPr="00576D60" w14:paraId="77D516A2" w14:textId="77777777" w:rsidTr="002F32E3">
        <w:trPr>
          <w:cantSplit/>
        </w:trPr>
        <w:tc>
          <w:tcPr>
            <w:tcW w:w="1500" w:type="pct"/>
            <w:shd w:val="clear" w:color="auto" w:fill="auto"/>
          </w:tcPr>
          <w:p w14:paraId="7A01AE0B" w14:textId="77777777" w:rsidR="00E93F58" w:rsidRPr="00576D60" w:rsidRDefault="00E93F58" w:rsidP="003D2B1E">
            <w:pPr>
              <w:pStyle w:val="ENoteTableText"/>
              <w:tabs>
                <w:tab w:val="left" w:leader="dot" w:pos="2268"/>
              </w:tabs>
            </w:pPr>
          </w:p>
        </w:tc>
        <w:tc>
          <w:tcPr>
            <w:tcW w:w="3500" w:type="pct"/>
            <w:shd w:val="clear" w:color="auto" w:fill="auto"/>
          </w:tcPr>
          <w:p w14:paraId="2D7EE2F2" w14:textId="77777777" w:rsidR="00E93F58" w:rsidRPr="00576D60" w:rsidRDefault="00E93F58" w:rsidP="003D2B1E">
            <w:pPr>
              <w:pStyle w:val="ENoteTableText"/>
            </w:pPr>
            <w:r w:rsidRPr="00576D60">
              <w:t>rep F2017L00117</w:t>
            </w:r>
          </w:p>
        </w:tc>
      </w:tr>
      <w:tr w:rsidR="00E93F58" w:rsidRPr="00576D60" w14:paraId="0F36A0C0" w14:textId="77777777" w:rsidTr="002F32E3">
        <w:trPr>
          <w:cantSplit/>
        </w:trPr>
        <w:tc>
          <w:tcPr>
            <w:tcW w:w="1500" w:type="pct"/>
            <w:shd w:val="clear" w:color="auto" w:fill="auto"/>
          </w:tcPr>
          <w:p w14:paraId="44D231F2" w14:textId="77777777" w:rsidR="00E93F58" w:rsidRPr="00576D60" w:rsidRDefault="00E93F58" w:rsidP="003D2B1E">
            <w:pPr>
              <w:pStyle w:val="ENoteTableText"/>
              <w:tabs>
                <w:tab w:val="left" w:leader="dot" w:pos="2268"/>
              </w:tabs>
            </w:pPr>
            <w:r w:rsidRPr="00576D60">
              <w:t>r 10.20.03</w:t>
            </w:r>
            <w:r w:rsidRPr="00576D60">
              <w:tab/>
            </w:r>
          </w:p>
        </w:tc>
        <w:tc>
          <w:tcPr>
            <w:tcW w:w="3500" w:type="pct"/>
            <w:shd w:val="clear" w:color="auto" w:fill="auto"/>
          </w:tcPr>
          <w:p w14:paraId="4ED2FCBC" w14:textId="77777777" w:rsidR="00E93F58" w:rsidRPr="00576D60" w:rsidRDefault="00E93F58" w:rsidP="003D2B1E">
            <w:pPr>
              <w:pStyle w:val="ENoteTableText"/>
            </w:pPr>
            <w:r w:rsidRPr="00576D60">
              <w:t>ad No 3, 2015</w:t>
            </w:r>
          </w:p>
        </w:tc>
      </w:tr>
      <w:tr w:rsidR="00E93F58" w:rsidRPr="00576D60" w14:paraId="5E6385D2" w14:textId="77777777" w:rsidTr="002F32E3">
        <w:trPr>
          <w:cantSplit/>
        </w:trPr>
        <w:tc>
          <w:tcPr>
            <w:tcW w:w="1500" w:type="pct"/>
            <w:shd w:val="clear" w:color="auto" w:fill="auto"/>
          </w:tcPr>
          <w:p w14:paraId="3DC1A12B" w14:textId="77777777" w:rsidR="00E93F58" w:rsidRPr="00576D60" w:rsidRDefault="00E93F58" w:rsidP="003D2B1E">
            <w:pPr>
              <w:pStyle w:val="ENoteTableText"/>
              <w:tabs>
                <w:tab w:val="left" w:leader="dot" w:pos="2268"/>
              </w:tabs>
            </w:pPr>
          </w:p>
        </w:tc>
        <w:tc>
          <w:tcPr>
            <w:tcW w:w="3500" w:type="pct"/>
            <w:shd w:val="clear" w:color="auto" w:fill="auto"/>
          </w:tcPr>
          <w:p w14:paraId="4850CA09" w14:textId="77777777" w:rsidR="00E93F58" w:rsidRPr="00576D60" w:rsidRDefault="00E93F58" w:rsidP="003D2B1E">
            <w:pPr>
              <w:pStyle w:val="ENoteTableText"/>
            </w:pPr>
            <w:r w:rsidRPr="00576D60">
              <w:t>rep F2017L00117</w:t>
            </w:r>
          </w:p>
        </w:tc>
      </w:tr>
      <w:tr w:rsidR="00E93F58" w:rsidRPr="00576D60" w14:paraId="0FE11BC9" w14:textId="77777777" w:rsidTr="002F32E3">
        <w:trPr>
          <w:cantSplit/>
        </w:trPr>
        <w:tc>
          <w:tcPr>
            <w:tcW w:w="1500" w:type="pct"/>
            <w:shd w:val="clear" w:color="auto" w:fill="auto"/>
          </w:tcPr>
          <w:p w14:paraId="2B11BF3A" w14:textId="77777777" w:rsidR="00E93F58" w:rsidRPr="00576D60" w:rsidRDefault="00E93F58" w:rsidP="003D2B1E">
            <w:pPr>
              <w:pStyle w:val="ENoteTableText"/>
              <w:tabs>
                <w:tab w:val="left" w:leader="dot" w:pos="2268"/>
              </w:tabs>
            </w:pPr>
            <w:r w:rsidRPr="00576D60">
              <w:t>r 10.20.04</w:t>
            </w:r>
            <w:r w:rsidRPr="00576D60">
              <w:tab/>
            </w:r>
          </w:p>
        </w:tc>
        <w:tc>
          <w:tcPr>
            <w:tcW w:w="3500" w:type="pct"/>
            <w:shd w:val="clear" w:color="auto" w:fill="auto"/>
          </w:tcPr>
          <w:p w14:paraId="62E1EA29" w14:textId="77777777" w:rsidR="00E93F58" w:rsidRPr="00576D60" w:rsidRDefault="00E93F58" w:rsidP="003D2B1E">
            <w:pPr>
              <w:pStyle w:val="ENoteTableText"/>
            </w:pPr>
            <w:r w:rsidRPr="00576D60">
              <w:t>ad No 3, 2015</w:t>
            </w:r>
          </w:p>
        </w:tc>
      </w:tr>
      <w:tr w:rsidR="00E93F58" w:rsidRPr="00576D60" w14:paraId="7FB63878" w14:textId="77777777" w:rsidTr="002F32E3">
        <w:trPr>
          <w:cantSplit/>
        </w:trPr>
        <w:tc>
          <w:tcPr>
            <w:tcW w:w="1500" w:type="pct"/>
            <w:shd w:val="clear" w:color="auto" w:fill="auto"/>
          </w:tcPr>
          <w:p w14:paraId="49F3AF48" w14:textId="77777777" w:rsidR="00E93F58" w:rsidRPr="00576D60" w:rsidRDefault="00E93F58" w:rsidP="003D2B1E">
            <w:pPr>
              <w:pStyle w:val="ENoteTableText"/>
              <w:tabs>
                <w:tab w:val="left" w:leader="dot" w:pos="2268"/>
              </w:tabs>
            </w:pPr>
          </w:p>
        </w:tc>
        <w:tc>
          <w:tcPr>
            <w:tcW w:w="3500" w:type="pct"/>
            <w:shd w:val="clear" w:color="auto" w:fill="auto"/>
          </w:tcPr>
          <w:p w14:paraId="24983F04" w14:textId="77777777" w:rsidR="00E93F58" w:rsidRPr="00576D60" w:rsidRDefault="00E93F58" w:rsidP="003D2B1E">
            <w:pPr>
              <w:pStyle w:val="ENoteTableText"/>
            </w:pPr>
            <w:r w:rsidRPr="00576D60">
              <w:t>rep F2017L00117</w:t>
            </w:r>
          </w:p>
        </w:tc>
      </w:tr>
      <w:tr w:rsidR="00E93F58" w:rsidRPr="00576D60" w14:paraId="4B53D25D" w14:textId="77777777" w:rsidTr="002F32E3">
        <w:trPr>
          <w:cantSplit/>
        </w:trPr>
        <w:tc>
          <w:tcPr>
            <w:tcW w:w="1500" w:type="pct"/>
            <w:shd w:val="clear" w:color="auto" w:fill="auto"/>
          </w:tcPr>
          <w:p w14:paraId="0CA14065" w14:textId="77777777" w:rsidR="00E93F58" w:rsidRPr="00576D60" w:rsidRDefault="00E93F58" w:rsidP="003D2B1E">
            <w:pPr>
              <w:pStyle w:val="ENoteTableText"/>
              <w:tabs>
                <w:tab w:val="left" w:leader="dot" w:pos="2268"/>
              </w:tabs>
            </w:pPr>
            <w:r w:rsidRPr="00576D60">
              <w:lastRenderedPageBreak/>
              <w:t>r 10.20.05</w:t>
            </w:r>
            <w:r w:rsidRPr="00576D60">
              <w:tab/>
            </w:r>
          </w:p>
        </w:tc>
        <w:tc>
          <w:tcPr>
            <w:tcW w:w="3500" w:type="pct"/>
            <w:shd w:val="clear" w:color="auto" w:fill="auto"/>
          </w:tcPr>
          <w:p w14:paraId="21300C47" w14:textId="77777777" w:rsidR="00E93F58" w:rsidRPr="00576D60" w:rsidRDefault="00E93F58" w:rsidP="003D2B1E">
            <w:pPr>
              <w:pStyle w:val="ENoteTableText"/>
            </w:pPr>
            <w:r w:rsidRPr="00576D60">
              <w:t>ad No 3, 2015</w:t>
            </w:r>
          </w:p>
        </w:tc>
      </w:tr>
      <w:tr w:rsidR="00E93F58" w:rsidRPr="00576D60" w14:paraId="0972A819" w14:textId="77777777" w:rsidTr="002F32E3">
        <w:trPr>
          <w:cantSplit/>
        </w:trPr>
        <w:tc>
          <w:tcPr>
            <w:tcW w:w="1500" w:type="pct"/>
            <w:shd w:val="clear" w:color="auto" w:fill="auto"/>
          </w:tcPr>
          <w:p w14:paraId="69BA1A11" w14:textId="77777777" w:rsidR="00E93F58" w:rsidRPr="00576D60" w:rsidRDefault="00E93F58" w:rsidP="003D2B1E">
            <w:pPr>
              <w:pStyle w:val="ENoteTableText"/>
              <w:tabs>
                <w:tab w:val="left" w:leader="dot" w:pos="2268"/>
              </w:tabs>
            </w:pPr>
          </w:p>
        </w:tc>
        <w:tc>
          <w:tcPr>
            <w:tcW w:w="3500" w:type="pct"/>
            <w:shd w:val="clear" w:color="auto" w:fill="auto"/>
          </w:tcPr>
          <w:p w14:paraId="2386E7AD" w14:textId="77777777" w:rsidR="00E93F58" w:rsidRPr="00576D60" w:rsidRDefault="00E93F58" w:rsidP="003D2B1E">
            <w:pPr>
              <w:pStyle w:val="ENoteTableText"/>
            </w:pPr>
            <w:r w:rsidRPr="00576D60">
              <w:t>rep F2017L00117</w:t>
            </w:r>
          </w:p>
        </w:tc>
      </w:tr>
      <w:tr w:rsidR="00E93F58" w:rsidRPr="00576D60" w14:paraId="2E241A16" w14:textId="77777777" w:rsidTr="002F32E3">
        <w:trPr>
          <w:cantSplit/>
        </w:trPr>
        <w:tc>
          <w:tcPr>
            <w:tcW w:w="1500" w:type="pct"/>
            <w:shd w:val="clear" w:color="auto" w:fill="auto"/>
          </w:tcPr>
          <w:p w14:paraId="0EA78F2B" w14:textId="77777777" w:rsidR="00E93F58" w:rsidRPr="00576D60" w:rsidRDefault="00E93F58" w:rsidP="003D2B1E">
            <w:pPr>
              <w:pStyle w:val="ENoteTableText"/>
              <w:tabs>
                <w:tab w:val="left" w:leader="dot" w:pos="2268"/>
              </w:tabs>
            </w:pPr>
            <w:r w:rsidRPr="00576D60">
              <w:t>r 10.20.06</w:t>
            </w:r>
            <w:r w:rsidRPr="00576D60">
              <w:tab/>
            </w:r>
          </w:p>
        </w:tc>
        <w:tc>
          <w:tcPr>
            <w:tcW w:w="3500" w:type="pct"/>
            <w:shd w:val="clear" w:color="auto" w:fill="auto"/>
          </w:tcPr>
          <w:p w14:paraId="4D2C0E0E" w14:textId="77777777" w:rsidR="00E93F58" w:rsidRPr="00576D60" w:rsidRDefault="00E93F58" w:rsidP="003D2B1E">
            <w:pPr>
              <w:pStyle w:val="ENoteTableText"/>
            </w:pPr>
            <w:r w:rsidRPr="00576D60">
              <w:t>ad No 3, 2015</w:t>
            </w:r>
          </w:p>
        </w:tc>
      </w:tr>
      <w:tr w:rsidR="00E93F58" w:rsidRPr="00576D60" w14:paraId="4E754EA9" w14:textId="77777777" w:rsidTr="002F32E3">
        <w:trPr>
          <w:cantSplit/>
        </w:trPr>
        <w:tc>
          <w:tcPr>
            <w:tcW w:w="1500" w:type="pct"/>
            <w:shd w:val="clear" w:color="auto" w:fill="auto"/>
          </w:tcPr>
          <w:p w14:paraId="3A098028" w14:textId="77777777" w:rsidR="00E93F58" w:rsidRPr="00576D60" w:rsidRDefault="00E93F58" w:rsidP="003D2B1E">
            <w:pPr>
              <w:pStyle w:val="ENoteTableText"/>
              <w:tabs>
                <w:tab w:val="left" w:leader="dot" w:pos="2268"/>
              </w:tabs>
            </w:pPr>
          </w:p>
        </w:tc>
        <w:tc>
          <w:tcPr>
            <w:tcW w:w="3500" w:type="pct"/>
            <w:shd w:val="clear" w:color="auto" w:fill="auto"/>
          </w:tcPr>
          <w:p w14:paraId="198640EC" w14:textId="77777777" w:rsidR="00E93F58" w:rsidRPr="00576D60" w:rsidRDefault="00E93F58" w:rsidP="003D2B1E">
            <w:pPr>
              <w:pStyle w:val="ENoteTableText"/>
            </w:pPr>
            <w:r w:rsidRPr="00576D60">
              <w:t>rep F2017L00117</w:t>
            </w:r>
          </w:p>
        </w:tc>
      </w:tr>
      <w:tr w:rsidR="00E93F58" w:rsidRPr="00576D60" w14:paraId="0D495AC4" w14:textId="77777777" w:rsidTr="002F32E3">
        <w:trPr>
          <w:cantSplit/>
        </w:trPr>
        <w:tc>
          <w:tcPr>
            <w:tcW w:w="1500" w:type="pct"/>
            <w:shd w:val="clear" w:color="auto" w:fill="auto"/>
          </w:tcPr>
          <w:p w14:paraId="05579AB1" w14:textId="77777777" w:rsidR="00E93F58" w:rsidRPr="00576D60" w:rsidRDefault="00E93F58" w:rsidP="003D2B1E">
            <w:pPr>
              <w:pStyle w:val="ENoteTableText"/>
              <w:tabs>
                <w:tab w:val="left" w:leader="dot" w:pos="2268"/>
              </w:tabs>
            </w:pPr>
            <w:r w:rsidRPr="00576D60">
              <w:t>r 10.20.07</w:t>
            </w:r>
            <w:r w:rsidRPr="00576D60">
              <w:tab/>
            </w:r>
          </w:p>
        </w:tc>
        <w:tc>
          <w:tcPr>
            <w:tcW w:w="3500" w:type="pct"/>
            <w:shd w:val="clear" w:color="auto" w:fill="auto"/>
          </w:tcPr>
          <w:p w14:paraId="0CD61DFE" w14:textId="77777777" w:rsidR="00E93F58" w:rsidRPr="00576D60" w:rsidRDefault="00E93F58" w:rsidP="003D2B1E">
            <w:pPr>
              <w:pStyle w:val="ENoteTableText"/>
            </w:pPr>
            <w:r w:rsidRPr="00576D60">
              <w:t>ad No 3, 2015</w:t>
            </w:r>
          </w:p>
        </w:tc>
      </w:tr>
      <w:tr w:rsidR="00E93F58" w:rsidRPr="00576D60" w14:paraId="07905145" w14:textId="77777777" w:rsidTr="002F32E3">
        <w:trPr>
          <w:cantSplit/>
        </w:trPr>
        <w:tc>
          <w:tcPr>
            <w:tcW w:w="1500" w:type="pct"/>
            <w:shd w:val="clear" w:color="auto" w:fill="auto"/>
          </w:tcPr>
          <w:p w14:paraId="522BBB3D" w14:textId="77777777" w:rsidR="00E93F58" w:rsidRPr="00576D60" w:rsidRDefault="00E93F58" w:rsidP="003D2B1E">
            <w:pPr>
              <w:pStyle w:val="ENoteTableText"/>
              <w:tabs>
                <w:tab w:val="left" w:leader="dot" w:pos="2268"/>
              </w:tabs>
            </w:pPr>
          </w:p>
        </w:tc>
        <w:tc>
          <w:tcPr>
            <w:tcW w:w="3500" w:type="pct"/>
            <w:shd w:val="clear" w:color="auto" w:fill="auto"/>
          </w:tcPr>
          <w:p w14:paraId="72BAE92D" w14:textId="77777777" w:rsidR="00E93F58" w:rsidRPr="00576D60" w:rsidRDefault="00E93F58" w:rsidP="003D2B1E">
            <w:pPr>
              <w:pStyle w:val="ENoteTableText"/>
            </w:pPr>
            <w:r w:rsidRPr="00576D60">
              <w:t>rep F2017L00117</w:t>
            </w:r>
          </w:p>
        </w:tc>
      </w:tr>
      <w:tr w:rsidR="00E93F58" w:rsidRPr="00576D60" w14:paraId="3C864DC5" w14:textId="77777777" w:rsidTr="002F32E3">
        <w:trPr>
          <w:cantSplit/>
        </w:trPr>
        <w:tc>
          <w:tcPr>
            <w:tcW w:w="1500" w:type="pct"/>
            <w:shd w:val="clear" w:color="auto" w:fill="auto"/>
          </w:tcPr>
          <w:p w14:paraId="468A8986" w14:textId="77777777" w:rsidR="00E93F58" w:rsidRPr="00576D60" w:rsidRDefault="00E93F58" w:rsidP="003D2B1E">
            <w:pPr>
              <w:pStyle w:val="ENoteTableText"/>
              <w:tabs>
                <w:tab w:val="left" w:leader="dot" w:pos="2268"/>
              </w:tabs>
            </w:pPr>
            <w:r w:rsidRPr="00576D60">
              <w:t>r 10.20.08</w:t>
            </w:r>
            <w:r w:rsidRPr="00576D60">
              <w:tab/>
            </w:r>
          </w:p>
        </w:tc>
        <w:tc>
          <w:tcPr>
            <w:tcW w:w="3500" w:type="pct"/>
            <w:shd w:val="clear" w:color="auto" w:fill="auto"/>
          </w:tcPr>
          <w:p w14:paraId="4BCAC221" w14:textId="77777777" w:rsidR="00E93F58" w:rsidRPr="00576D60" w:rsidRDefault="00E93F58" w:rsidP="003D2B1E">
            <w:pPr>
              <w:pStyle w:val="ENoteTableText"/>
            </w:pPr>
            <w:r w:rsidRPr="00576D60">
              <w:t>ad No 3, 2015</w:t>
            </w:r>
          </w:p>
        </w:tc>
      </w:tr>
      <w:tr w:rsidR="00E93F58" w:rsidRPr="00576D60" w14:paraId="46AF6E3C" w14:textId="77777777" w:rsidTr="002F32E3">
        <w:trPr>
          <w:cantSplit/>
        </w:trPr>
        <w:tc>
          <w:tcPr>
            <w:tcW w:w="1500" w:type="pct"/>
            <w:shd w:val="clear" w:color="auto" w:fill="auto"/>
          </w:tcPr>
          <w:p w14:paraId="076259FC" w14:textId="77777777" w:rsidR="00E93F58" w:rsidRPr="00576D60" w:rsidRDefault="00E93F58" w:rsidP="003D2B1E">
            <w:pPr>
              <w:pStyle w:val="ENoteTableText"/>
              <w:tabs>
                <w:tab w:val="left" w:leader="dot" w:pos="2268"/>
              </w:tabs>
            </w:pPr>
          </w:p>
        </w:tc>
        <w:tc>
          <w:tcPr>
            <w:tcW w:w="3500" w:type="pct"/>
            <w:shd w:val="clear" w:color="auto" w:fill="auto"/>
          </w:tcPr>
          <w:p w14:paraId="6322BCBC" w14:textId="77777777" w:rsidR="00E93F58" w:rsidRPr="00576D60" w:rsidRDefault="00E93F58" w:rsidP="003D2B1E">
            <w:pPr>
              <w:pStyle w:val="ENoteTableText"/>
            </w:pPr>
            <w:r w:rsidRPr="00576D60">
              <w:t>rep F2017L00117</w:t>
            </w:r>
          </w:p>
        </w:tc>
      </w:tr>
      <w:tr w:rsidR="00E93F58" w:rsidRPr="00576D60" w14:paraId="5B67AA52" w14:textId="77777777" w:rsidTr="002F32E3">
        <w:trPr>
          <w:cantSplit/>
        </w:trPr>
        <w:tc>
          <w:tcPr>
            <w:tcW w:w="1500" w:type="pct"/>
            <w:shd w:val="clear" w:color="auto" w:fill="auto"/>
          </w:tcPr>
          <w:p w14:paraId="5324C9E3" w14:textId="77777777" w:rsidR="00E93F58" w:rsidRPr="00576D60" w:rsidRDefault="00E93F58" w:rsidP="003D2B1E">
            <w:pPr>
              <w:pStyle w:val="ENoteTableText"/>
              <w:tabs>
                <w:tab w:val="left" w:leader="dot" w:pos="2268"/>
              </w:tabs>
            </w:pPr>
            <w:r w:rsidRPr="00576D60">
              <w:t>r 10.20.09</w:t>
            </w:r>
            <w:r w:rsidRPr="00576D60">
              <w:tab/>
            </w:r>
          </w:p>
        </w:tc>
        <w:tc>
          <w:tcPr>
            <w:tcW w:w="3500" w:type="pct"/>
            <w:shd w:val="clear" w:color="auto" w:fill="auto"/>
          </w:tcPr>
          <w:p w14:paraId="4561FE5A" w14:textId="77777777" w:rsidR="00E93F58" w:rsidRPr="00576D60" w:rsidRDefault="00E93F58" w:rsidP="003D2B1E">
            <w:pPr>
              <w:pStyle w:val="ENoteTableText"/>
            </w:pPr>
            <w:r w:rsidRPr="00576D60">
              <w:t>ad No 3, 2015</w:t>
            </w:r>
          </w:p>
        </w:tc>
      </w:tr>
      <w:tr w:rsidR="00E93F58" w:rsidRPr="00576D60" w14:paraId="6142F795" w14:textId="77777777" w:rsidTr="002F32E3">
        <w:trPr>
          <w:cantSplit/>
        </w:trPr>
        <w:tc>
          <w:tcPr>
            <w:tcW w:w="1500" w:type="pct"/>
            <w:shd w:val="clear" w:color="auto" w:fill="auto"/>
          </w:tcPr>
          <w:p w14:paraId="32FDEDA6" w14:textId="77777777" w:rsidR="00E93F58" w:rsidRPr="00576D60" w:rsidRDefault="00E93F58" w:rsidP="003D2B1E">
            <w:pPr>
              <w:pStyle w:val="ENoteTableText"/>
              <w:tabs>
                <w:tab w:val="left" w:leader="dot" w:pos="2268"/>
              </w:tabs>
            </w:pPr>
          </w:p>
        </w:tc>
        <w:tc>
          <w:tcPr>
            <w:tcW w:w="3500" w:type="pct"/>
            <w:shd w:val="clear" w:color="auto" w:fill="auto"/>
          </w:tcPr>
          <w:p w14:paraId="5292B552" w14:textId="77777777" w:rsidR="00E93F58" w:rsidRPr="00576D60" w:rsidRDefault="00E93F58" w:rsidP="003D2B1E">
            <w:pPr>
              <w:pStyle w:val="ENoteTableText"/>
            </w:pPr>
            <w:r w:rsidRPr="00576D60">
              <w:t>rep F2017L00117</w:t>
            </w:r>
          </w:p>
        </w:tc>
      </w:tr>
      <w:tr w:rsidR="00E93F58" w:rsidRPr="00576D60" w14:paraId="3E37BE0C" w14:textId="77777777" w:rsidTr="002F32E3">
        <w:trPr>
          <w:cantSplit/>
        </w:trPr>
        <w:tc>
          <w:tcPr>
            <w:tcW w:w="1500" w:type="pct"/>
            <w:shd w:val="clear" w:color="auto" w:fill="auto"/>
          </w:tcPr>
          <w:p w14:paraId="61210570" w14:textId="77777777" w:rsidR="00E93F58" w:rsidRPr="00576D60" w:rsidRDefault="00E93F58" w:rsidP="003D2B1E">
            <w:pPr>
              <w:pStyle w:val="ENoteTableText"/>
              <w:tabs>
                <w:tab w:val="left" w:leader="dot" w:pos="2268"/>
              </w:tabs>
            </w:pPr>
            <w:r w:rsidRPr="00576D60">
              <w:t>r 10.20.10</w:t>
            </w:r>
            <w:r w:rsidRPr="00576D60">
              <w:tab/>
            </w:r>
          </w:p>
        </w:tc>
        <w:tc>
          <w:tcPr>
            <w:tcW w:w="3500" w:type="pct"/>
            <w:shd w:val="clear" w:color="auto" w:fill="auto"/>
          </w:tcPr>
          <w:p w14:paraId="4ADA929F" w14:textId="77777777" w:rsidR="00E93F58" w:rsidRPr="00576D60" w:rsidRDefault="00E93F58" w:rsidP="003D2B1E">
            <w:pPr>
              <w:pStyle w:val="ENoteTableText"/>
            </w:pPr>
            <w:r w:rsidRPr="00576D60">
              <w:t>ad No 3, 2015</w:t>
            </w:r>
          </w:p>
        </w:tc>
      </w:tr>
      <w:tr w:rsidR="00E93F58" w:rsidRPr="00576D60" w14:paraId="3C45131F" w14:textId="77777777" w:rsidTr="002F32E3">
        <w:trPr>
          <w:cantSplit/>
        </w:trPr>
        <w:tc>
          <w:tcPr>
            <w:tcW w:w="1500" w:type="pct"/>
            <w:shd w:val="clear" w:color="auto" w:fill="auto"/>
          </w:tcPr>
          <w:p w14:paraId="7B82957E" w14:textId="77777777" w:rsidR="00E93F58" w:rsidRPr="00576D60" w:rsidRDefault="00E93F58" w:rsidP="003D2B1E">
            <w:pPr>
              <w:pStyle w:val="ENoteTableText"/>
              <w:tabs>
                <w:tab w:val="left" w:leader="dot" w:pos="2268"/>
              </w:tabs>
            </w:pPr>
          </w:p>
        </w:tc>
        <w:tc>
          <w:tcPr>
            <w:tcW w:w="3500" w:type="pct"/>
            <w:shd w:val="clear" w:color="auto" w:fill="auto"/>
          </w:tcPr>
          <w:p w14:paraId="5BADF962" w14:textId="77777777" w:rsidR="00E93F58" w:rsidRPr="00576D60" w:rsidRDefault="00E93F58" w:rsidP="003D2B1E">
            <w:pPr>
              <w:pStyle w:val="ENoteTableText"/>
            </w:pPr>
            <w:r w:rsidRPr="00576D60">
              <w:t>rep F2017L00117</w:t>
            </w:r>
          </w:p>
        </w:tc>
      </w:tr>
      <w:tr w:rsidR="00E93F58" w:rsidRPr="00576D60" w14:paraId="7BB7F3C4" w14:textId="77777777" w:rsidTr="002F32E3">
        <w:trPr>
          <w:cantSplit/>
        </w:trPr>
        <w:tc>
          <w:tcPr>
            <w:tcW w:w="1500" w:type="pct"/>
            <w:shd w:val="clear" w:color="auto" w:fill="auto"/>
          </w:tcPr>
          <w:p w14:paraId="40FB6307" w14:textId="77777777" w:rsidR="00E93F58" w:rsidRPr="00576D60" w:rsidRDefault="00E93F58" w:rsidP="003D2B1E">
            <w:pPr>
              <w:pStyle w:val="ENoteTableText"/>
              <w:tabs>
                <w:tab w:val="left" w:leader="dot" w:pos="2268"/>
              </w:tabs>
            </w:pPr>
            <w:r w:rsidRPr="00576D60">
              <w:t>r 10.20.11</w:t>
            </w:r>
            <w:r w:rsidRPr="00576D60">
              <w:tab/>
            </w:r>
          </w:p>
        </w:tc>
        <w:tc>
          <w:tcPr>
            <w:tcW w:w="3500" w:type="pct"/>
            <w:shd w:val="clear" w:color="auto" w:fill="auto"/>
          </w:tcPr>
          <w:p w14:paraId="0712EA6C" w14:textId="77777777" w:rsidR="00E93F58" w:rsidRPr="00576D60" w:rsidRDefault="00E93F58" w:rsidP="003D2B1E">
            <w:pPr>
              <w:pStyle w:val="ENoteTableText"/>
            </w:pPr>
            <w:r w:rsidRPr="00576D60">
              <w:t>ad No 3, 2015</w:t>
            </w:r>
          </w:p>
        </w:tc>
      </w:tr>
      <w:tr w:rsidR="00E93F58" w:rsidRPr="00576D60" w14:paraId="0C62BBC9" w14:textId="77777777" w:rsidTr="002F32E3">
        <w:trPr>
          <w:cantSplit/>
        </w:trPr>
        <w:tc>
          <w:tcPr>
            <w:tcW w:w="1500" w:type="pct"/>
            <w:shd w:val="clear" w:color="auto" w:fill="auto"/>
          </w:tcPr>
          <w:p w14:paraId="5B0FB1CB" w14:textId="77777777" w:rsidR="00E93F58" w:rsidRPr="00576D60" w:rsidRDefault="00E93F58" w:rsidP="003D2B1E">
            <w:pPr>
              <w:pStyle w:val="ENoteTableText"/>
              <w:tabs>
                <w:tab w:val="left" w:leader="dot" w:pos="2268"/>
              </w:tabs>
            </w:pPr>
          </w:p>
        </w:tc>
        <w:tc>
          <w:tcPr>
            <w:tcW w:w="3500" w:type="pct"/>
            <w:shd w:val="clear" w:color="auto" w:fill="auto"/>
          </w:tcPr>
          <w:p w14:paraId="0424A1E0" w14:textId="77777777" w:rsidR="00E93F58" w:rsidRPr="00576D60" w:rsidRDefault="00E93F58" w:rsidP="003D2B1E">
            <w:pPr>
              <w:pStyle w:val="ENoteTableText"/>
            </w:pPr>
            <w:r w:rsidRPr="00576D60">
              <w:t>rep F2017L00117</w:t>
            </w:r>
          </w:p>
        </w:tc>
      </w:tr>
      <w:tr w:rsidR="00E93F58" w:rsidRPr="00576D60" w14:paraId="2F15F46F" w14:textId="77777777" w:rsidTr="002F32E3">
        <w:trPr>
          <w:cantSplit/>
        </w:trPr>
        <w:tc>
          <w:tcPr>
            <w:tcW w:w="1500" w:type="pct"/>
            <w:shd w:val="clear" w:color="auto" w:fill="auto"/>
          </w:tcPr>
          <w:p w14:paraId="42CAC458" w14:textId="77777777" w:rsidR="00E93F58" w:rsidRPr="00576D60" w:rsidRDefault="00E93F58" w:rsidP="003D2B1E">
            <w:pPr>
              <w:pStyle w:val="ENoteTableText"/>
              <w:tabs>
                <w:tab w:val="left" w:leader="dot" w:pos="2268"/>
              </w:tabs>
            </w:pPr>
            <w:r w:rsidRPr="00576D60">
              <w:t>r 10.20.12</w:t>
            </w:r>
            <w:r w:rsidRPr="00576D60">
              <w:tab/>
            </w:r>
          </w:p>
        </w:tc>
        <w:tc>
          <w:tcPr>
            <w:tcW w:w="3500" w:type="pct"/>
            <w:shd w:val="clear" w:color="auto" w:fill="auto"/>
          </w:tcPr>
          <w:p w14:paraId="77DB31E4" w14:textId="77777777" w:rsidR="00E93F58" w:rsidRPr="00576D60" w:rsidRDefault="00E93F58" w:rsidP="003D2B1E">
            <w:pPr>
              <w:pStyle w:val="ENoteTableText"/>
            </w:pPr>
            <w:r w:rsidRPr="00576D60">
              <w:t>ad No 3, 2015</w:t>
            </w:r>
          </w:p>
        </w:tc>
      </w:tr>
      <w:tr w:rsidR="00E93F58" w:rsidRPr="00576D60" w14:paraId="09F0B411" w14:textId="77777777" w:rsidTr="002F32E3">
        <w:trPr>
          <w:cantSplit/>
        </w:trPr>
        <w:tc>
          <w:tcPr>
            <w:tcW w:w="1500" w:type="pct"/>
            <w:shd w:val="clear" w:color="auto" w:fill="auto"/>
          </w:tcPr>
          <w:p w14:paraId="784F22DC" w14:textId="77777777" w:rsidR="00E93F58" w:rsidRPr="00576D60" w:rsidRDefault="00E93F58" w:rsidP="003D2B1E">
            <w:pPr>
              <w:pStyle w:val="ENoteTableText"/>
              <w:tabs>
                <w:tab w:val="left" w:leader="dot" w:pos="2268"/>
              </w:tabs>
            </w:pPr>
          </w:p>
        </w:tc>
        <w:tc>
          <w:tcPr>
            <w:tcW w:w="3500" w:type="pct"/>
            <w:shd w:val="clear" w:color="auto" w:fill="auto"/>
          </w:tcPr>
          <w:p w14:paraId="0EF93847" w14:textId="77777777" w:rsidR="00E93F58" w:rsidRPr="00576D60" w:rsidRDefault="00E93F58" w:rsidP="003D2B1E">
            <w:pPr>
              <w:pStyle w:val="ENoteTableText"/>
            </w:pPr>
            <w:r w:rsidRPr="00576D60">
              <w:t>rep F2017L00117</w:t>
            </w:r>
          </w:p>
        </w:tc>
      </w:tr>
      <w:tr w:rsidR="00E93F58" w:rsidRPr="00576D60" w14:paraId="15C19D01" w14:textId="77777777" w:rsidTr="002F32E3">
        <w:trPr>
          <w:cantSplit/>
        </w:trPr>
        <w:tc>
          <w:tcPr>
            <w:tcW w:w="1500" w:type="pct"/>
            <w:shd w:val="clear" w:color="auto" w:fill="auto"/>
          </w:tcPr>
          <w:p w14:paraId="7238B375" w14:textId="77777777" w:rsidR="00E93F58" w:rsidRPr="00576D60" w:rsidRDefault="00E93F58" w:rsidP="003D2B1E">
            <w:pPr>
              <w:pStyle w:val="ENoteTableText"/>
              <w:tabs>
                <w:tab w:val="left" w:leader="dot" w:pos="2268"/>
              </w:tabs>
            </w:pPr>
            <w:r w:rsidRPr="00576D60">
              <w:t>r 10.20.13</w:t>
            </w:r>
            <w:r w:rsidRPr="00576D60">
              <w:tab/>
            </w:r>
          </w:p>
        </w:tc>
        <w:tc>
          <w:tcPr>
            <w:tcW w:w="3500" w:type="pct"/>
            <w:shd w:val="clear" w:color="auto" w:fill="auto"/>
          </w:tcPr>
          <w:p w14:paraId="0449940E" w14:textId="77777777" w:rsidR="00E93F58" w:rsidRPr="00576D60" w:rsidRDefault="00E93F58" w:rsidP="003D2B1E">
            <w:pPr>
              <w:pStyle w:val="ENoteTableText"/>
            </w:pPr>
            <w:r w:rsidRPr="00576D60">
              <w:t>ad No 3, 2015</w:t>
            </w:r>
          </w:p>
        </w:tc>
      </w:tr>
      <w:tr w:rsidR="00E93F58" w:rsidRPr="00576D60" w14:paraId="06119013" w14:textId="77777777" w:rsidTr="002F32E3">
        <w:trPr>
          <w:cantSplit/>
        </w:trPr>
        <w:tc>
          <w:tcPr>
            <w:tcW w:w="1500" w:type="pct"/>
            <w:shd w:val="clear" w:color="auto" w:fill="auto"/>
          </w:tcPr>
          <w:p w14:paraId="3FB0E084" w14:textId="77777777" w:rsidR="00E93F58" w:rsidRPr="00576D60" w:rsidRDefault="00E93F58" w:rsidP="003D2B1E">
            <w:pPr>
              <w:pStyle w:val="ENoteTableText"/>
              <w:tabs>
                <w:tab w:val="left" w:leader="dot" w:pos="2268"/>
              </w:tabs>
            </w:pPr>
          </w:p>
        </w:tc>
        <w:tc>
          <w:tcPr>
            <w:tcW w:w="3500" w:type="pct"/>
            <w:shd w:val="clear" w:color="auto" w:fill="auto"/>
          </w:tcPr>
          <w:p w14:paraId="7FA207C8" w14:textId="77777777" w:rsidR="00E93F58" w:rsidRPr="00576D60" w:rsidRDefault="00E93F58" w:rsidP="003D2B1E">
            <w:pPr>
              <w:pStyle w:val="ENoteTableText"/>
            </w:pPr>
            <w:r w:rsidRPr="00576D60">
              <w:t>rep F2017L00117</w:t>
            </w:r>
          </w:p>
        </w:tc>
      </w:tr>
      <w:tr w:rsidR="00E93F58" w:rsidRPr="00576D60" w14:paraId="180093E2" w14:textId="77777777" w:rsidTr="002F32E3">
        <w:trPr>
          <w:cantSplit/>
        </w:trPr>
        <w:tc>
          <w:tcPr>
            <w:tcW w:w="1500" w:type="pct"/>
            <w:shd w:val="clear" w:color="auto" w:fill="auto"/>
          </w:tcPr>
          <w:p w14:paraId="6AD0EBA9" w14:textId="77777777" w:rsidR="00E93F58" w:rsidRPr="00576D60" w:rsidRDefault="00E93F58" w:rsidP="003D2B1E">
            <w:pPr>
              <w:pStyle w:val="ENoteTableText"/>
              <w:tabs>
                <w:tab w:val="left" w:leader="dot" w:pos="2268"/>
              </w:tabs>
            </w:pPr>
            <w:r w:rsidRPr="00576D60">
              <w:t>r 10.20.14</w:t>
            </w:r>
            <w:r w:rsidRPr="00576D60">
              <w:tab/>
            </w:r>
          </w:p>
        </w:tc>
        <w:tc>
          <w:tcPr>
            <w:tcW w:w="3500" w:type="pct"/>
            <w:shd w:val="clear" w:color="auto" w:fill="auto"/>
          </w:tcPr>
          <w:p w14:paraId="6BEDAC86" w14:textId="77777777" w:rsidR="00E93F58" w:rsidRPr="00576D60" w:rsidRDefault="00E93F58" w:rsidP="003D2B1E">
            <w:pPr>
              <w:pStyle w:val="ENoteTableText"/>
            </w:pPr>
            <w:r w:rsidRPr="00576D60">
              <w:t>ad No 3, 2015</w:t>
            </w:r>
          </w:p>
        </w:tc>
      </w:tr>
      <w:tr w:rsidR="00E93F58" w:rsidRPr="00576D60" w14:paraId="33D99204" w14:textId="77777777" w:rsidTr="002F32E3">
        <w:trPr>
          <w:cantSplit/>
        </w:trPr>
        <w:tc>
          <w:tcPr>
            <w:tcW w:w="1500" w:type="pct"/>
            <w:shd w:val="clear" w:color="auto" w:fill="auto"/>
          </w:tcPr>
          <w:p w14:paraId="6935FAAC" w14:textId="77777777" w:rsidR="00E93F58" w:rsidRPr="00576D60" w:rsidRDefault="00E93F58" w:rsidP="003D2B1E">
            <w:pPr>
              <w:pStyle w:val="ENoteTableText"/>
              <w:tabs>
                <w:tab w:val="left" w:leader="dot" w:pos="2268"/>
              </w:tabs>
            </w:pPr>
          </w:p>
        </w:tc>
        <w:tc>
          <w:tcPr>
            <w:tcW w:w="3500" w:type="pct"/>
            <w:shd w:val="clear" w:color="auto" w:fill="auto"/>
          </w:tcPr>
          <w:p w14:paraId="56DE93D1" w14:textId="77777777" w:rsidR="00E93F58" w:rsidRPr="00576D60" w:rsidRDefault="00E93F58" w:rsidP="003D2B1E">
            <w:pPr>
              <w:pStyle w:val="ENoteTableText"/>
            </w:pPr>
            <w:r w:rsidRPr="00576D60">
              <w:t>rep F2017L00117</w:t>
            </w:r>
          </w:p>
        </w:tc>
      </w:tr>
      <w:tr w:rsidR="00E93F58" w:rsidRPr="00576D60" w14:paraId="5AA71766" w14:textId="77777777" w:rsidTr="002F32E3">
        <w:trPr>
          <w:cantSplit/>
        </w:trPr>
        <w:tc>
          <w:tcPr>
            <w:tcW w:w="1500" w:type="pct"/>
            <w:shd w:val="clear" w:color="auto" w:fill="auto"/>
          </w:tcPr>
          <w:p w14:paraId="3CC37C2B" w14:textId="77777777" w:rsidR="00E93F58" w:rsidRPr="00576D60" w:rsidRDefault="00E93F58" w:rsidP="003D2B1E">
            <w:pPr>
              <w:pStyle w:val="ENoteTableText"/>
              <w:tabs>
                <w:tab w:val="left" w:leader="dot" w:pos="2268"/>
              </w:tabs>
            </w:pPr>
            <w:r w:rsidRPr="00576D60">
              <w:t>r 10.20.15</w:t>
            </w:r>
            <w:r w:rsidRPr="00576D60">
              <w:tab/>
            </w:r>
          </w:p>
        </w:tc>
        <w:tc>
          <w:tcPr>
            <w:tcW w:w="3500" w:type="pct"/>
            <w:shd w:val="clear" w:color="auto" w:fill="auto"/>
          </w:tcPr>
          <w:p w14:paraId="327F59DC" w14:textId="77777777" w:rsidR="00E93F58" w:rsidRPr="00576D60" w:rsidRDefault="00E93F58" w:rsidP="003D2B1E">
            <w:pPr>
              <w:pStyle w:val="ENoteTableText"/>
            </w:pPr>
            <w:r w:rsidRPr="00576D60">
              <w:t>ad No 3, 2015</w:t>
            </w:r>
          </w:p>
        </w:tc>
      </w:tr>
      <w:tr w:rsidR="00E93F58" w:rsidRPr="00576D60" w14:paraId="24561BD8" w14:textId="77777777" w:rsidTr="002F32E3">
        <w:trPr>
          <w:cantSplit/>
        </w:trPr>
        <w:tc>
          <w:tcPr>
            <w:tcW w:w="1500" w:type="pct"/>
            <w:shd w:val="clear" w:color="auto" w:fill="auto"/>
          </w:tcPr>
          <w:p w14:paraId="57399306" w14:textId="77777777" w:rsidR="00E93F58" w:rsidRPr="00576D60" w:rsidRDefault="00E93F58" w:rsidP="003D2B1E">
            <w:pPr>
              <w:pStyle w:val="ENoteTableText"/>
              <w:tabs>
                <w:tab w:val="left" w:leader="dot" w:pos="2268"/>
              </w:tabs>
            </w:pPr>
          </w:p>
        </w:tc>
        <w:tc>
          <w:tcPr>
            <w:tcW w:w="3500" w:type="pct"/>
            <w:shd w:val="clear" w:color="auto" w:fill="auto"/>
          </w:tcPr>
          <w:p w14:paraId="56CA2764" w14:textId="77777777" w:rsidR="00E93F58" w:rsidRPr="00576D60" w:rsidRDefault="00E93F58" w:rsidP="003D2B1E">
            <w:pPr>
              <w:pStyle w:val="ENoteTableText"/>
            </w:pPr>
            <w:r w:rsidRPr="00576D60">
              <w:t>rep F2017L00117</w:t>
            </w:r>
          </w:p>
        </w:tc>
      </w:tr>
      <w:tr w:rsidR="00E93F58" w:rsidRPr="00576D60" w14:paraId="4D5561A0" w14:textId="77777777" w:rsidTr="002F32E3">
        <w:trPr>
          <w:cantSplit/>
        </w:trPr>
        <w:tc>
          <w:tcPr>
            <w:tcW w:w="1500" w:type="pct"/>
            <w:shd w:val="clear" w:color="auto" w:fill="auto"/>
          </w:tcPr>
          <w:p w14:paraId="1676F241" w14:textId="77777777" w:rsidR="00E93F58" w:rsidRPr="00576D60" w:rsidRDefault="00E93F58" w:rsidP="003D2B1E">
            <w:pPr>
              <w:pStyle w:val="ENoteTableText"/>
              <w:tabs>
                <w:tab w:val="left" w:leader="dot" w:pos="2268"/>
              </w:tabs>
            </w:pPr>
            <w:r w:rsidRPr="00576D60">
              <w:t>r 10.20.16</w:t>
            </w:r>
            <w:r w:rsidRPr="00576D60">
              <w:tab/>
            </w:r>
          </w:p>
        </w:tc>
        <w:tc>
          <w:tcPr>
            <w:tcW w:w="3500" w:type="pct"/>
            <w:shd w:val="clear" w:color="auto" w:fill="auto"/>
          </w:tcPr>
          <w:p w14:paraId="6C3877B6" w14:textId="77777777" w:rsidR="00E93F58" w:rsidRPr="00576D60" w:rsidRDefault="00E93F58" w:rsidP="003D2B1E">
            <w:pPr>
              <w:pStyle w:val="ENoteTableText"/>
            </w:pPr>
            <w:r w:rsidRPr="00576D60">
              <w:t>ad No 3, 2015</w:t>
            </w:r>
          </w:p>
        </w:tc>
      </w:tr>
      <w:tr w:rsidR="00E93F58" w:rsidRPr="00576D60" w14:paraId="215E4C6F" w14:textId="77777777" w:rsidTr="002F32E3">
        <w:trPr>
          <w:cantSplit/>
        </w:trPr>
        <w:tc>
          <w:tcPr>
            <w:tcW w:w="1500" w:type="pct"/>
            <w:shd w:val="clear" w:color="auto" w:fill="auto"/>
          </w:tcPr>
          <w:p w14:paraId="5F8F0F2A" w14:textId="77777777" w:rsidR="00E93F58" w:rsidRPr="00576D60" w:rsidRDefault="00E93F58" w:rsidP="003D2B1E">
            <w:pPr>
              <w:pStyle w:val="ENoteTableText"/>
              <w:tabs>
                <w:tab w:val="left" w:leader="dot" w:pos="2268"/>
              </w:tabs>
            </w:pPr>
          </w:p>
        </w:tc>
        <w:tc>
          <w:tcPr>
            <w:tcW w:w="3500" w:type="pct"/>
            <w:shd w:val="clear" w:color="auto" w:fill="auto"/>
          </w:tcPr>
          <w:p w14:paraId="0E45A882" w14:textId="77777777" w:rsidR="00E93F58" w:rsidRPr="00576D60" w:rsidRDefault="00E93F58" w:rsidP="003D2B1E">
            <w:pPr>
              <w:pStyle w:val="ENoteTableText"/>
            </w:pPr>
            <w:r w:rsidRPr="00576D60">
              <w:t>rep F2017L00117</w:t>
            </w:r>
          </w:p>
        </w:tc>
      </w:tr>
      <w:tr w:rsidR="00E93F58" w:rsidRPr="00576D60" w14:paraId="5A8FC7EB" w14:textId="77777777" w:rsidTr="002F32E3">
        <w:trPr>
          <w:cantSplit/>
        </w:trPr>
        <w:tc>
          <w:tcPr>
            <w:tcW w:w="1500" w:type="pct"/>
            <w:shd w:val="clear" w:color="auto" w:fill="auto"/>
          </w:tcPr>
          <w:p w14:paraId="39A7038F" w14:textId="77777777" w:rsidR="00E93F58" w:rsidRPr="00576D60" w:rsidRDefault="00E93F58" w:rsidP="003D2B1E">
            <w:pPr>
              <w:pStyle w:val="ENoteTableText"/>
              <w:tabs>
                <w:tab w:val="left" w:leader="dot" w:pos="2268"/>
              </w:tabs>
            </w:pPr>
            <w:r w:rsidRPr="00576D60">
              <w:t>r 10.20.17</w:t>
            </w:r>
            <w:r w:rsidRPr="00576D60">
              <w:tab/>
            </w:r>
          </w:p>
        </w:tc>
        <w:tc>
          <w:tcPr>
            <w:tcW w:w="3500" w:type="pct"/>
            <w:shd w:val="clear" w:color="auto" w:fill="auto"/>
          </w:tcPr>
          <w:p w14:paraId="5740587E" w14:textId="77777777" w:rsidR="00E93F58" w:rsidRPr="00576D60" w:rsidRDefault="00E93F58" w:rsidP="003D2B1E">
            <w:pPr>
              <w:pStyle w:val="ENoteTableText"/>
            </w:pPr>
            <w:r w:rsidRPr="00576D60">
              <w:t>ad No 3, 2015</w:t>
            </w:r>
          </w:p>
        </w:tc>
      </w:tr>
      <w:tr w:rsidR="00E93F58" w:rsidRPr="00576D60" w14:paraId="437E4C9E" w14:textId="77777777" w:rsidTr="002F32E3">
        <w:trPr>
          <w:cantSplit/>
        </w:trPr>
        <w:tc>
          <w:tcPr>
            <w:tcW w:w="1500" w:type="pct"/>
            <w:shd w:val="clear" w:color="auto" w:fill="auto"/>
          </w:tcPr>
          <w:p w14:paraId="58F55CA9" w14:textId="77777777" w:rsidR="00E93F58" w:rsidRPr="00576D60" w:rsidRDefault="00E93F58" w:rsidP="003D2B1E">
            <w:pPr>
              <w:pStyle w:val="ENoteTableText"/>
              <w:tabs>
                <w:tab w:val="left" w:leader="dot" w:pos="2268"/>
              </w:tabs>
            </w:pPr>
          </w:p>
        </w:tc>
        <w:tc>
          <w:tcPr>
            <w:tcW w:w="3500" w:type="pct"/>
            <w:shd w:val="clear" w:color="auto" w:fill="auto"/>
          </w:tcPr>
          <w:p w14:paraId="57F09483" w14:textId="77777777" w:rsidR="00E93F58" w:rsidRPr="00576D60" w:rsidRDefault="00E93F58" w:rsidP="003D2B1E">
            <w:pPr>
              <w:pStyle w:val="ENoteTableText"/>
            </w:pPr>
            <w:r w:rsidRPr="00576D60">
              <w:t>rep F2017L00117</w:t>
            </w:r>
          </w:p>
        </w:tc>
      </w:tr>
      <w:tr w:rsidR="00E93F58" w:rsidRPr="00576D60" w14:paraId="7D538C6F" w14:textId="77777777" w:rsidTr="002F32E3">
        <w:trPr>
          <w:cantSplit/>
        </w:trPr>
        <w:tc>
          <w:tcPr>
            <w:tcW w:w="1500" w:type="pct"/>
            <w:shd w:val="clear" w:color="auto" w:fill="auto"/>
          </w:tcPr>
          <w:p w14:paraId="5F4E19DF" w14:textId="77777777" w:rsidR="00E93F58" w:rsidRPr="00576D60" w:rsidRDefault="00E93F58" w:rsidP="003D2B1E">
            <w:pPr>
              <w:pStyle w:val="ENoteTableText"/>
              <w:keepNext/>
              <w:tabs>
                <w:tab w:val="left" w:leader="dot" w:pos="2268"/>
              </w:tabs>
              <w:rPr>
                <w:b/>
              </w:rPr>
            </w:pPr>
            <w:r>
              <w:rPr>
                <w:b/>
              </w:rPr>
              <w:t>Part 1</w:t>
            </w:r>
            <w:r w:rsidRPr="00576D60">
              <w:rPr>
                <w:b/>
              </w:rPr>
              <w:t>0.21</w:t>
            </w:r>
          </w:p>
        </w:tc>
        <w:tc>
          <w:tcPr>
            <w:tcW w:w="3500" w:type="pct"/>
            <w:shd w:val="clear" w:color="auto" w:fill="auto"/>
          </w:tcPr>
          <w:p w14:paraId="52435CFF" w14:textId="77777777" w:rsidR="00E93F58" w:rsidRPr="00576D60" w:rsidRDefault="00E93F58" w:rsidP="003D2B1E">
            <w:pPr>
              <w:pStyle w:val="ENoteTableText"/>
            </w:pPr>
          </w:p>
        </w:tc>
      </w:tr>
      <w:tr w:rsidR="00E93F58" w:rsidRPr="00576D60" w14:paraId="111D950C" w14:textId="77777777" w:rsidTr="002F32E3">
        <w:trPr>
          <w:cantSplit/>
        </w:trPr>
        <w:tc>
          <w:tcPr>
            <w:tcW w:w="1500" w:type="pct"/>
            <w:shd w:val="clear" w:color="auto" w:fill="auto"/>
          </w:tcPr>
          <w:p w14:paraId="093F6A73" w14:textId="77777777" w:rsidR="00E93F58" w:rsidRPr="00576D60" w:rsidRDefault="00E93F58" w:rsidP="003D2B1E">
            <w:pPr>
              <w:pStyle w:val="ENoteTableText"/>
              <w:tabs>
                <w:tab w:val="left" w:leader="dot" w:pos="2268"/>
              </w:tabs>
            </w:pPr>
            <w:r>
              <w:t>Part 1</w:t>
            </w:r>
            <w:r w:rsidRPr="00576D60">
              <w:t>0.21</w:t>
            </w:r>
            <w:r w:rsidRPr="00576D60">
              <w:tab/>
            </w:r>
          </w:p>
        </w:tc>
        <w:tc>
          <w:tcPr>
            <w:tcW w:w="3500" w:type="pct"/>
            <w:shd w:val="clear" w:color="auto" w:fill="auto"/>
          </w:tcPr>
          <w:p w14:paraId="60E37573" w14:textId="77777777" w:rsidR="00E93F58" w:rsidRPr="00576D60" w:rsidRDefault="00E93F58" w:rsidP="003D2B1E">
            <w:pPr>
              <w:pStyle w:val="ENoteTableText"/>
            </w:pPr>
            <w:r w:rsidRPr="00576D60">
              <w:t>ad No 157, 2015</w:t>
            </w:r>
          </w:p>
        </w:tc>
      </w:tr>
      <w:tr w:rsidR="00E93F58" w:rsidRPr="00576D60" w14:paraId="1064086E" w14:textId="77777777" w:rsidTr="002F32E3">
        <w:trPr>
          <w:cantSplit/>
        </w:trPr>
        <w:tc>
          <w:tcPr>
            <w:tcW w:w="1500" w:type="pct"/>
            <w:shd w:val="clear" w:color="auto" w:fill="auto"/>
          </w:tcPr>
          <w:p w14:paraId="36EB9FC9" w14:textId="77777777" w:rsidR="00E93F58" w:rsidRPr="00576D60" w:rsidRDefault="00E93F58" w:rsidP="003D2B1E">
            <w:pPr>
              <w:pStyle w:val="ENoteTableText"/>
              <w:tabs>
                <w:tab w:val="left" w:leader="dot" w:pos="2268"/>
              </w:tabs>
            </w:pPr>
            <w:r w:rsidRPr="00576D60">
              <w:t>r 10.21.01</w:t>
            </w:r>
            <w:r w:rsidRPr="00576D60">
              <w:tab/>
            </w:r>
          </w:p>
        </w:tc>
        <w:tc>
          <w:tcPr>
            <w:tcW w:w="3500" w:type="pct"/>
            <w:shd w:val="clear" w:color="auto" w:fill="auto"/>
          </w:tcPr>
          <w:p w14:paraId="085DC53A" w14:textId="77777777" w:rsidR="00E93F58" w:rsidRPr="00576D60" w:rsidRDefault="00E93F58" w:rsidP="003D2B1E">
            <w:pPr>
              <w:pStyle w:val="ENoteTableText"/>
            </w:pPr>
            <w:r w:rsidRPr="00576D60">
              <w:t>ad No 157, 2015</w:t>
            </w:r>
          </w:p>
        </w:tc>
      </w:tr>
      <w:tr w:rsidR="00E93F58" w:rsidRPr="00576D60" w14:paraId="71795A6E" w14:textId="77777777" w:rsidTr="002F32E3">
        <w:trPr>
          <w:cantSplit/>
        </w:trPr>
        <w:tc>
          <w:tcPr>
            <w:tcW w:w="1500" w:type="pct"/>
            <w:shd w:val="clear" w:color="auto" w:fill="auto"/>
          </w:tcPr>
          <w:p w14:paraId="68A42CF0" w14:textId="77777777" w:rsidR="00E93F58" w:rsidRPr="00576D60" w:rsidRDefault="00E93F58" w:rsidP="003D2B1E">
            <w:pPr>
              <w:pStyle w:val="ENoteTableText"/>
              <w:keepNext/>
              <w:tabs>
                <w:tab w:val="left" w:leader="dot" w:pos="2268"/>
              </w:tabs>
              <w:rPr>
                <w:b/>
              </w:rPr>
            </w:pPr>
            <w:r>
              <w:rPr>
                <w:b/>
              </w:rPr>
              <w:t>Part 1</w:t>
            </w:r>
            <w:r w:rsidRPr="00576D60">
              <w:rPr>
                <w:b/>
              </w:rPr>
              <w:t>0.22</w:t>
            </w:r>
          </w:p>
        </w:tc>
        <w:tc>
          <w:tcPr>
            <w:tcW w:w="3500" w:type="pct"/>
            <w:shd w:val="clear" w:color="auto" w:fill="auto"/>
          </w:tcPr>
          <w:p w14:paraId="7D5CF03D" w14:textId="77777777" w:rsidR="00E93F58" w:rsidRPr="00576D60" w:rsidRDefault="00E93F58" w:rsidP="003D2B1E">
            <w:pPr>
              <w:pStyle w:val="ENoteTableText"/>
            </w:pPr>
          </w:p>
        </w:tc>
      </w:tr>
      <w:tr w:rsidR="00E93F58" w:rsidRPr="00576D60" w14:paraId="4743C9B6" w14:textId="77777777" w:rsidTr="002F32E3">
        <w:trPr>
          <w:cantSplit/>
        </w:trPr>
        <w:tc>
          <w:tcPr>
            <w:tcW w:w="1500" w:type="pct"/>
            <w:shd w:val="clear" w:color="auto" w:fill="auto"/>
          </w:tcPr>
          <w:p w14:paraId="578F1AFB" w14:textId="77777777" w:rsidR="00E93F58" w:rsidRPr="00576D60" w:rsidRDefault="00E93F58" w:rsidP="003D2B1E">
            <w:pPr>
              <w:pStyle w:val="ENoteTableText"/>
              <w:tabs>
                <w:tab w:val="left" w:leader="dot" w:pos="2268"/>
              </w:tabs>
            </w:pPr>
            <w:r>
              <w:t>Part 1</w:t>
            </w:r>
            <w:r w:rsidRPr="00576D60">
              <w:t>0.22</w:t>
            </w:r>
            <w:r w:rsidRPr="00576D60">
              <w:tab/>
            </w:r>
          </w:p>
        </w:tc>
        <w:tc>
          <w:tcPr>
            <w:tcW w:w="3500" w:type="pct"/>
            <w:shd w:val="clear" w:color="auto" w:fill="auto"/>
          </w:tcPr>
          <w:p w14:paraId="280AF41D" w14:textId="77777777" w:rsidR="00E93F58" w:rsidRPr="00576D60" w:rsidRDefault="00E93F58" w:rsidP="003D2B1E">
            <w:pPr>
              <w:pStyle w:val="ENoteTableText"/>
            </w:pPr>
            <w:r w:rsidRPr="00576D60">
              <w:t>ad No 135, 2015</w:t>
            </w:r>
          </w:p>
        </w:tc>
      </w:tr>
      <w:tr w:rsidR="00E93F58" w:rsidRPr="00576D60" w14:paraId="3DBA7935" w14:textId="77777777" w:rsidTr="002F32E3">
        <w:trPr>
          <w:cantSplit/>
        </w:trPr>
        <w:tc>
          <w:tcPr>
            <w:tcW w:w="1500" w:type="pct"/>
            <w:shd w:val="clear" w:color="auto" w:fill="auto"/>
          </w:tcPr>
          <w:p w14:paraId="0E9E2868" w14:textId="77777777" w:rsidR="00E93F58" w:rsidRPr="00576D60" w:rsidRDefault="00E93F58" w:rsidP="003D2B1E">
            <w:pPr>
              <w:pStyle w:val="ENoteTableText"/>
              <w:tabs>
                <w:tab w:val="left" w:leader="dot" w:pos="2268"/>
              </w:tabs>
            </w:pPr>
            <w:r w:rsidRPr="00576D60">
              <w:t>r 10.22.01</w:t>
            </w:r>
            <w:r w:rsidRPr="00576D60">
              <w:tab/>
            </w:r>
          </w:p>
        </w:tc>
        <w:tc>
          <w:tcPr>
            <w:tcW w:w="3500" w:type="pct"/>
            <w:shd w:val="clear" w:color="auto" w:fill="auto"/>
          </w:tcPr>
          <w:p w14:paraId="6480D6BA" w14:textId="77777777" w:rsidR="00E93F58" w:rsidRPr="00576D60" w:rsidRDefault="00E93F58" w:rsidP="003D2B1E">
            <w:pPr>
              <w:pStyle w:val="ENoteTableText"/>
            </w:pPr>
            <w:r w:rsidRPr="00576D60">
              <w:t>ad No 135, 2015</w:t>
            </w:r>
          </w:p>
        </w:tc>
      </w:tr>
      <w:tr w:rsidR="00E93F58" w:rsidRPr="00576D60" w14:paraId="5ECE1D84" w14:textId="77777777" w:rsidTr="002F32E3">
        <w:trPr>
          <w:cantSplit/>
        </w:trPr>
        <w:tc>
          <w:tcPr>
            <w:tcW w:w="1500" w:type="pct"/>
            <w:shd w:val="clear" w:color="auto" w:fill="auto"/>
          </w:tcPr>
          <w:p w14:paraId="35C8C5B7" w14:textId="77777777" w:rsidR="00E93F58" w:rsidRPr="00576D60" w:rsidRDefault="00E93F58" w:rsidP="003D2B1E">
            <w:pPr>
              <w:pStyle w:val="ENoteTableText"/>
              <w:tabs>
                <w:tab w:val="left" w:leader="dot" w:pos="2268"/>
              </w:tabs>
            </w:pPr>
            <w:r w:rsidRPr="00576D60">
              <w:t>r 10.22.02</w:t>
            </w:r>
            <w:r w:rsidRPr="00576D60">
              <w:tab/>
            </w:r>
          </w:p>
        </w:tc>
        <w:tc>
          <w:tcPr>
            <w:tcW w:w="3500" w:type="pct"/>
            <w:shd w:val="clear" w:color="auto" w:fill="auto"/>
          </w:tcPr>
          <w:p w14:paraId="7255C0B0" w14:textId="77777777" w:rsidR="00E93F58" w:rsidRPr="00576D60" w:rsidRDefault="00E93F58" w:rsidP="003D2B1E">
            <w:pPr>
              <w:pStyle w:val="ENoteTableText"/>
            </w:pPr>
            <w:r w:rsidRPr="00576D60">
              <w:t>ad No 135, 2015</w:t>
            </w:r>
          </w:p>
        </w:tc>
      </w:tr>
      <w:tr w:rsidR="00E93F58" w:rsidRPr="00576D60" w14:paraId="738D0534" w14:textId="77777777" w:rsidTr="002F32E3">
        <w:trPr>
          <w:cantSplit/>
        </w:trPr>
        <w:tc>
          <w:tcPr>
            <w:tcW w:w="1500" w:type="pct"/>
            <w:shd w:val="clear" w:color="auto" w:fill="auto"/>
          </w:tcPr>
          <w:p w14:paraId="244F3B47" w14:textId="77777777" w:rsidR="00E93F58" w:rsidRPr="00576D60" w:rsidRDefault="00E93F58" w:rsidP="003D2B1E">
            <w:pPr>
              <w:pStyle w:val="ENoteTableText"/>
              <w:tabs>
                <w:tab w:val="left" w:leader="dot" w:pos="2268"/>
              </w:tabs>
              <w:rPr>
                <w:b/>
              </w:rPr>
            </w:pPr>
            <w:r>
              <w:rPr>
                <w:b/>
              </w:rPr>
              <w:t>Part 1</w:t>
            </w:r>
            <w:r w:rsidRPr="00576D60">
              <w:rPr>
                <w:b/>
              </w:rPr>
              <w:t>0.23</w:t>
            </w:r>
          </w:p>
        </w:tc>
        <w:tc>
          <w:tcPr>
            <w:tcW w:w="3500" w:type="pct"/>
            <w:shd w:val="clear" w:color="auto" w:fill="auto"/>
          </w:tcPr>
          <w:p w14:paraId="0EA1E2F8" w14:textId="77777777" w:rsidR="00E93F58" w:rsidRPr="00576D60" w:rsidRDefault="00E93F58" w:rsidP="003D2B1E">
            <w:pPr>
              <w:pStyle w:val="ENoteTableText"/>
            </w:pPr>
          </w:p>
        </w:tc>
      </w:tr>
      <w:tr w:rsidR="00E93F58" w:rsidRPr="00576D60" w14:paraId="76EF265A" w14:textId="77777777" w:rsidTr="002F32E3">
        <w:trPr>
          <w:cantSplit/>
        </w:trPr>
        <w:tc>
          <w:tcPr>
            <w:tcW w:w="1500" w:type="pct"/>
            <w:shd w:val="clear" w:color="auto" w:fill="auto"/>
          </w:tcPr>
          <w:p w14:paraId="040D962D" w14:textId="77777777" w:rsidR="00E93F58" w:rsidRPr="00576D60" w:rsidRDefault="00E93F58" w:rsidP="003D2B1E">
            <w:pPr>
              <w:pStyle w:val="ENoteTableText"/>
              <w:tabs>
                <w:tab w:val="left" w:leader="dot" w:pos="2268"/>
              </w:tabs>
            </w:pPr>
            <w:r>
              <w:t>Part 1</w:t>
            </w:r>
            <w:r w:rsidRPr="00576D60">
              <w:t>0.23</w:t>
            </w:r>
            <w:r w:rsidRPr="00576D60">
              <w:tab/>
            </w:r>
          </w:p>
        </w:tc>
        <w:tc>
          <w:tcPr>
            <w:tcW w:w="3500" w:type="pct"/>
            <w:shd w:val="clear" w:color="auto" w:fill="auto"/>
          </w:tcPr>
          <w:p w14:paraId="1847009C" w14:textId="77777777" w:rsidR="00E93F58" w:rsidRPr="00576D60" w:rsidRDefault="00E93F58" w:rsidP="003D2B1E">
            <w:pPr>
              <w:pStyle w:val="ENoteTableText"/>
            </w:pPr>
            <w:r w:rsidRPr="00576D60">
              <w:t>ad F2016L00514</w:t>
            </w:r>
          </w:p>
        </w:tc>
      </w:tr>
      <w:tr w:rsidR="00E93F58" w:rsidRPr="00576D60" w14:paraId="755B517B" w14:textId="77777777" w:rsidTr="002F32E3">
        <w:trPr>
          <w:cantSplit/>
        </w:trPr>
        <w:tc>
          <w:tcPr>
            <w:tcW w:w="1500" w:type="pct"/>
            <w:shd w:val="clear" w:color="auto" w:fill="auto"/>
          </w:tcPr>
          <w:p w14:paraId="4F9F480D" w14:textId="77777777" w:rsidR="00E93F58" w:rsidRPr="00576D60" w:rsidRDefault="00E93F58" w:rsidP="003D2B1E">
            <w:pPr>
              <w:pStyle w:val="ENoteTableText"/>
              <w:tabs>
                <w:tab w:val="left" w:leader="dot" w:pos="2268"/>
              </w:tabs>
            </w:pPr>
            <w:r w:rsidRPr="00576D60">
              <w:t>r 10.23.01</w:t>
            </w:r>
            <w:r w:rsidRPr="00576D60">
              <w:tab/>
            </w:r>
          </w:p>
        </w:tc>
        <w:tc>
          <w:tcPr>
            <w:tcW w:w="3500" w:type="pct"/>
            <w:shd w:val="clear" w:color="auto" w:fill="auto"/>
          </w:tcPr>
          <w:p w14:paraId="2C9BF038" w14:textId="77777777" w:rsidR="00E93F58" w:rsidRPr="00576D60" w:rsidRDefault="00E93F58" w:rsidP="003D2B1E">
            <w:pPr>
              <w:pStyle w:val="ENoteTableText"/>
            </w:pPr>
            <w:r w:rsidRPr="00576D60">
              <w:t>ad F2016L00514</w:t>
            </w:r>
          </w:p>
        </w:tc>
      </w:tr>
      <w:tr w:rsidR="00E93F58" w:rsidRPr="00576D60" w14:paraId="249EFCBB" w14:textId="77777777" w:rsidTr="002F32E3">
        <w:trPr>
          <w:cantSplit/>
        </w:trPr>
        <w:tc>
          <w:tcPr>
            <w:tcW w:w="1500" w:type="pct"/>
            <w:shd w:val="clear" w:color="auto" w:fill="auto"/>
          </w:tcPr>
          <w:p w14:paraId="4B51E447" w14:textId="77777777" w:rsidR="00E93F58" w:rsidRPr="00576D60" w:rsidRDefault="00E93F58" w:rsidP="003D2B1E">
            <w:pPr>
              <w:pStyle w:val="ENoteTableText"/>
              <w:tabs>
                <w:tab w:val="left" w:leader="dot" w:pos="2268"/>
              </w:tabs>
              <w:rPr>
                <w:b/>
              </w:rPr>
            </w:pPr>
            <w:r>
              <w:rPr>
                <w:b/>
              </w:rPr>
              <w:t>Part 1</w:t>
            </w:r>
            <w:r w:rsidRPr="00576D60">
              <w:rPr>
                <w:b/>
              </w:rPr>
              <w:t>0.24</w:t>
            </w:r>
          </w:p>
        </w:tc>
        <w:tc>
          <w:tcPr>
            <w:tcW w:w="3500" w:type="pct"/>
            <w:shd w:val="clear" w:color="auto" w:fill="auto"/>
          </w:tcPr>
          <w:p w14:paraId="1FAF56BB" w14:textId="77777777" w:rsidR="00E93F58" w:rsidRPr="00576D60" w:rsidRDefault="00E93F58" w:rsidP="003D2B1E">
            <w:pPr>
              <w:pStyle w:val="ENoteTableText"/>
            </w:pPr>
          </w:p>
        </w:tc>
      </w:tr>
      <w:tr w:rsidR="00E93F58" w:rsidRPr="00576D60" w14:paraId="0047570E" w14:textId="77777777" w:rsidTr="002F32E3">
        <w:trPr>
          <w:cantSplit/>
        </w:trPr>
        <w:tc>
          <w:tcPr>
            <w:tcW w:w="1500" w:type="pct"/>
            <w:shd w:val="clear" w:color="auto" w:fill="auto"/>
          </w:tcPr>
          <w:p w14:paraId="02525FA3" w14:textId="77777777" w:rsidR="00E93F58" w:rsidRPr="00576D60" w:rsidRDefault="00E93F58" w:rsidP="003D2B1E">
            <w:pPr>
              <w:pStyle w:val="ENoteTableText"/>
              <w:tabs>
                <w:tab w:val="left" w:leader="dot" w:pos="2268"/>
              </w:tabs>
            </w:pPr>
            <w:r>
              <w:t>Part 1</w:t>
            </w:r>
            <w:r w:rsidRPr="00576D60">
              <w:t>0.24</w:t>
            </w:r>
            <w:r w:rsidRPr="00576D60">
              <w:tab/>
            </w:r>
          </w:p>
        </w:tc>
        <w:tc>
          <w:tcPr>
            <w:tcW w:w="3500" w:type="pct"/>
            <w:shd w:val="clear" w:color="auto" w:fill="auto"/>
          </w:tcPr>
          <w:p w14:paraId="2D2BB18E" w14:textId="77777777" w:rsidR="00E93F58" w:rsidRPr="00576D60" w:rsidRDefault="00E93F58" w:rsidP="003D2B1E">
            <w:pPr>
              <w:pStyle w:val="ENoteTableText"/>
            </w:pPr>
            <w:r w:rsidRPr="00576D60">
              <w:t>ad F2016L01657</w:t>
            </w:r>
          </w:p>
        </w:tc>
      </w:tr>
      <w:tr w:rsidR="00E93F58" w:rsidRPr="00576D60" w14:paraId="7F1DD748" w14:textId="77777777" w:rsidTr="002F32E3">
        <w:trPr>
          <w:cantSplit/>
        </w:trPr>
        <w:tc>
          <w:tcPr>
            <w:tcW w:w="1500" w:type="pct"/>
            <w:shd w:val="clear" w:color="auto" w:fill="auto"/>
          </w:tcPr>
          <w:p w14:paraId="4BE35C9F" w14:textId="77777777" w:rsidR="00E93F58" w:rsidRPr="00576D60" w:rsidRDefault="00E93F58" w:rsidP="003D2B1E">
            <w:pPr>
              <w:pStyle w:val="ENoteTableText"/>
              <w:tabs>
                <w:tab w:val="left" w:leader="dot" w:pos="2268"/>
              </w:tabs>
            </w:pPr>
            <w:r w:rsidRPr="00576D60">
              <w:t>r 10.24.01</w:t>
            </w:r>
            <w:r w:rsidRPr="00576D60">
              <w:tab/>
            </w:r>
          </w:p>
        </w:tc>
        <w:tc>
          <w:tcPr>
            <w:tcW w:w="3500" w:type="pct"/>
            <w:shd w:val="clear" w:color="auto" w:fill="auto"/>
          </w:tcPr>
          <w:p w14:paraId="6C6523DD" w14:textId="77777777" w:rsidR="00E93F58" w:rsidRPr="00576D60" w:rsidRDefault="00E93F58" w:rsidP="003D2B1E">
            <w:pPr>
              <w:pStyle w:val="ENoteTableText"/>
            </w:pPr>
            <w:r w:rsidRPr="00576D60">
              <w:t>ad F2016L01657</w:t>
            </w:r>
          </w:p>
        </w:tc>
      </w:tr>
      <w:tr w:rsidR="00E93F58" w:rsidRPr="00576D60" w14:paraId="3003DDAC" w14:textId="77777777" w:rsidTr="002F32E3">
        <w:trPr>
          <w:cantSplit/>
        </w:trPr>
        <w:tc>
          <w:tcPr>
            <w:tcW w:w="1500" w:type="pct"/>
            <w:shd w:val="clear" w:color="auto" w:fill="auto"/>
          </w:tcPr>
          <w:p w14:paraId="36D8EB0E" w14:textId="77777777" w:rsidR="00E93F58" w:rsidRPr="00576D60" w:rsidRDefault="00E93F58" w:rsidP="003D2B1E">
            <w:pPr>
              <w:pStyle w:val="ENoteTableText"/>
              <w:keepNext/>
              <w:tabs>
                <w:tab w:val="left" w:leader="dot" w:pos="2268"/>
              </w:tabs>
            </w:pPr>
            <w:r>
              <w:rPr>
                <w:b/>
              </w:rPr>
              <w:t>Part 1</w:t>
            </w:r>
            <w:r w:rsidRPr="00576D60">
              <w:rPr>
                <w:b/>
              </w:rPr>
              <w:t>0.25</w:t>
            </w:r>
          </w:p>
        </w:tc>
        <w:tc>
          <w:tcPr>
            <w:tcW w:w="3500" w:type="pct"/>
            <w:shd w:val="clear" w:color="auto" w:fill="auto"/>
          </w:tcPr>
          <w:p w14:paraId="3ABE4257" w14:textId="77777777" w:rsidR="00E93F58" w:rsidRPr="00576D60" w:rsidRDefault="00E93F58" w:rsidP="003D2B1E">
            <w:pPr>
              <w:pStyle w:val="ENoteTableText"/>
            </w:pPr>
          </w:p>
        </w:tc>
      </w:tr>
      <w:tr w:rsidR="00E93F58" w:rsidRPr="00576D60" w14:paraId="321C8F70" w14:textId="77777777" w:rsidTr="002F32E3">
        <w:trPr>
          <w:cantSplit/>
        </w:trPr>
        <w:tc>
          <w:tcPr>
            <w:tcW w:w="1500" w:type="pct"/>
            <w:shd w:val="clear" w:color="auto" w:fill="auto"/>
          </w:tcPr>
          <w:p w14:paraId="1F5BCFB3" w14:textId="77777777" w:rsidR="00E93F58" w:rsidRPr="00576D60" w:rsidRDefault="00E93F58" w:rsidP="003D2B1E">
            <w:pPr>
              <w:pStyle w:val="ENoteTableText"/>
              <w:tabs>
                <w:tab w:val="left" w:leader="dot" w:pos="2268"/>
              </w:tabs>
            </w:pPr>
            <w:r>
              <w:t>Part 1</w:t>
            </w:r>
            <w:r w:rsidRPr="00576D60">
              <w:t>0.25</w:t>
            </w:r>
            <w:r w:rsidRPr="00576D60">
              <w:tab/>
            </w:r>
          </w:p>
        </w:tc>
        <w:tc>
          <w:tcPr>
            <w:tcW w:w="3500" w:type="pct"/>
            <w:shd w:val="clear" w:color="auto" w:fill="auto"/>
          </w:tcPr>
          <w:p w14:paraId="203BD30E" w14:textId="77777777" w:rsidR="00E93F58" w:rsidRPr="00576D60" w:rsidRDefault="00E93F58" w:rsidP="003D2B1E">
            <w:pPr>
              <w:pStyle w:val="ENoteTableText"/>
            </w:pPr>
            <w:r w:rsidRPr="00576D60">
              <w:t>ad F2016L01926</w:t>
            </w:r>
          </w:p>
        </w:tc>
      </w:tr>
      <w:tr w:rsidR="00E93F58" w:rsidRPr="00576D60" w14:paraId="559888D7" w14:textId="77777777" w:rsidTr="002F32E3">
        <w:trPr>
          <w:cantSplit/>
        </w:trPr>
        <w:tc>
          <w:tcPr>
            <w:tcW w:w="1500" w:type="pct"/>
            <w:shd w:val="clear" w:color="auto" w:fill="auto"/>
          </w:tcPr>
          <w:p w14:paraId="0CB77CE1" w14:textId="77777777" w:rsidR="00E93F58" w:rsidRPr="00576D60" w:rsidRDefault="00E93F58" w:rsidP="003D2B1E">
            <w:pPr>
              <w:pStyle w:val="ENoteTableText"/>
              <w:tabs>
                <w:tab w:val="left" w:leader="dot" w:pos="2268"/>
              </w:tabs>
            </w:pPr>
            <w:r w:rsidRPr="00576D60">
              <w:t>r 10.25.01</w:t>
            </w:r>
            <w:r w:rsidRPr="00576D60">
              <w:tab/>
            </w:r>
          </w:p>
        </w:tc>
        <w:tc>
          <w:tcPr>
            <w:tcW w:w="3500" w:type="pct"/>
            <w:shd w:val="clear" w:color="auto" w:fill="auto"/>
          </w:tcPr>
          <w:p w14:paraId="763E7843" w14:textId="77777777" w:rsidR="00E93F58" w:rsidRPr="00576D60" w:rsidRDefault="00E93F58" w:rsidP="003D2B1E">
            <w:pPr>
              <w:pStyle w:val="ENoteTableText"/>
            </w:pPr>
            <w:r w:rsidRPr="00576D60">
              <w:t>ad F2016L01926</w:t>
            </w:r>
          </w:p>
        </w:tc>
      </w:tr>
      <w:tr w:rsidR="00E93F58" w:rsidRPr="00576D60" w14:paraId="52768AC4" w14:textId="77777777" w:rsidTr="002F32E3">
        <w:trPr>
          <w:cantSplit/>
        </w:trPr>
        <w:tc>
          <w:tcPr>
            <w:tcW w:w="1500" w:type="pct"/>
            <w:shd w:val="clear" w:color="auto" w:fill="auto"/>
          </w:tcPr>
          <w:p w14:paraId="57C68C87" w14:textId="77777777" w:rsidR="00E93F58" w:rsidRPr="00576D60" w:rsidRDefault="00E93F58" w:rsidP="003D2B1E">
            <w:pPr>
              <w:pStyle w:val="ENoteTableText"/>
              <w:tabs>
                <w:tab w:val="left" w:leader="dot" w:pos="2268"/>
              </w:tabs>
            </w:pPr>
            <w:r w:rsidRPr="00576D60">
              <w:t>r 10.25.02</w:t>
            </w:r>
            <w:r w:rsidRPr="00576D60">
              <w:tab/>
            </w:r>
          </w:p>
        </w:tc>
        <w:tc>
          <w:tcPr>
            <w:tcW w:w="3500" w:type="pct"/>
            <w:shd w:val="clear" w:color="auto" w:fill="auto"/>
          </w:tcPr>
          <w:p w14:paraId="7709EA83" w14:textId="77777777" w:rsidR="00E93F58" w:rsidRPr="00576D60" w:rsidRDefault="00E93F58" w:rsidP="003D2B1E">
            <w:pPr>
              <w:pStyle w:val="ENoteTableText"/>
            </w:pPr>
            <w:r w:rsidRPr="00576D60">
              <w:t>ad F2016L01926</w:t>
            </w:r>
          </w:p>
        </w:tc>
      </w:tr>
      <w:tr w:rsidR="00E93F58" w:rsidRPr="00576D60" w14:paraId="477BCCBB" w14:textId="77777777" w:rsidTr="002F32E3">
        <w:trPr>
          <w:cantSplit/>
        </w:trPr>
        <w:tc>
          <w:tcPr>
            <w:tcW w:w="1500" w:type="pct"/>
            <w:shd w:val="clear" w:color="auto" w:fill="auto"/>
          </w:tcPr>
          <w:p w14:paraId="28B65FB0" w14:textId="77777777" w:rsidR="00E93F58" w:rsidRPr="00576D60" w:rsidRDefault="00E93F58" w:rsidP="003D2B1E">
            <w:pPr>
              <w:pStyle w:val="ENoteTableText"/>
              <w:tabs>
                <w:tab w:val="left" w:leader="dot" w:pos="2268"/>
              </w:tabs>
              <w:rPr>
                <w:b/>
              </w:rPr>
            </w:pPr>
            <w:r>
              <w:rPr>
                <w:b/>
              </w:rPr>
              <w:t>Part 1</w:t>
            </w:r>
            <w:r w:rsidRPr="00576D60">
              <w:rPr>
                <w:b/>
              </w:rPr>
              <w:t>0.25</w:t>
            </w:r>
          </w:p>
        </w:tc>
        <w:tc>
          <w:tcPr>
            <w:tcW w:w="3500" w:type="pct"/>
            <w:shd w:val="clear" w:color="auto" w:fill="auto"/>
          </w:tcPr>
          <w:p w14:paraId="7781BEA6" w14:textId="77777777" w:rsidR="00E93F58" w:rsidRPr="00576D60" w:rsidRDefault="00E93F58" w:rsidP="003D2B1E">
            <w:pPr>
              <w:pStyle w:val="ENoteTableText"/>
            </w:pPr>
          </w:p>
        </w:tc>
      </w:tr>
      <w:tr w:rsidR="00E93F58" w:rsidRPr="00576D60" w14:paraId="1C8EF06E" w14:textId="77777777" w:rsidTr="002F32E3">
        <w:trPr>
          <w:cantSplit/>
        </w:trPr>
        <w:tc>
          <w:tcPr>
            <w:tcW w:w="1500" w:type="pct"/>
            <w:shd w:val="clear" w:color="auto" w:fill="auto"/>
          </w:tcPr>
          <w:p w14:paraId="736A0775" w14:textId="77777777" w:rsidR="00E93F58" w:rsidRPr="00576D60" w:rsidRDefault="00E93F58" w:rsidP="003D2B1E">
            <w:pPr>
              <w:pStyle w:val="ENoteTableText"/>
              <w:tabs>
                <w:tab w:val="left" w:leader="dot" w:pos="2268"/>
              </w:tabs>
            </w:pPr>
            <w:r>
              <w:t>Part 1</w:t>
            </w:r>
            <w:r w:rsidRPr="00576D60">
              <w:t>0.25 (second occurring)</w:t>
            </w:r>
            <w:r w:rsidRPr="00576D60">
              <w:tab/>
            </w:r>
          </w:p>
        </w:tc>
        <w:tc>
          <w:tcPr>
            <w:tcW w:w="3500" w:type="pct"/>
            <w:shd w:val="clear" w:color="auto" w:fill="auto"/>
          </w:tcPr>
          <w:p w14:paraId="45AD186D" w14:textId="77777777" w:rsidR="00E93F58" w:rsidRPr="00576D60" w:rsidRDefault="00E93F58" w:rsidP="003D2B1E">
            <w:pPr>
              <w:pStyle w:val="ENoteTableText"/>
            </w:pPr>
            <w:r w:rsidRPr="00576D60">
              <w:t>ad F2017L00321</w:t>
            </w:r>
          </w:p>
        </w:tc>
      </w:tr>
      <w:tr w:rsidR="00E93F58" w:rsidRPr="00576D60" w14:paraId="16DCD91F" w14:textId="77777777" w:rsidTr="002F32E3">
        <w:trPr>
          <w:cantSplit/>
        </w:trPr>
        <w:tc>
          <w:tcPr>
            <w:tcW w:w="1500" w:type="pct"/>
            <w:shd w:val="clear" w:color="auto" w:fill="auto"/>
          </w:tcPr>
          <w:p w14:paraId="32AA75D7" w14:textId="77777777" w:rsidR="00E93F58" w:rsidRPr="00576D60" w:rsidRDefault="00E93F58" w:rsidP="003D2B1E">
            <w:pPr>
              <w:pStyle w:val="ENoteTableText"/>
              <w:tabs>
                <w:tab w:val="left" w:leader="dot" w:pos="2268"/>
              </w:tabs>
            </w:pPr>
            <w:r w:rsidRPr="00576D60">
              <w:t>r 10.25.01 (second occurring)</w:t>
            </w:r>
            <w:r w:rsidRPr="00576D60">
              <w:tab/>
            </w:r>
          </w:p>
        </w:tc>
        <w:tc>
          <w:tcPr>
            <w:tcW w:w="3500" w:type="pct"/>
            <w:shd w:val="clear" w:color="auto" w:fill="auto"/>
          </w:tcPr>
          <w:p w14:paraId="507796B1" w14:textId="77777777" w:rsidR="00E93F58" w:rsidRPr="00576D60" w:rsidRDefault="00E93F58" w:rsidP="003D2B1E">
            <w:pPr>
              <w:pStyle w:val="ENoteTableText"/>
            </w:pPr>
            <w:r w:rsidRPr="00576D60">
              <w:t>ad F2017L00321</w:t>
            </w:r>
          </w:p>
        </w:tc>
      </w:tr>
      <w:tr w:rsidR="00E93F58" w:rsidRPr="00576D60" w14:paraId="40BCB4B8" w14:textId="77777777" w:rsidTr="002F32E3">
        <w:trPr>
          <w:cantSplit/>
        </w:trPr>
        <w:tc>
          <w:tcPr>
            <w:tcW w:w="1500" w:type="pct"/>
            <w:shd w:val="clear" w:color="auto" w:fill="auto"/>
          </w:tcPr>
          <w:p w14:paraId="3182456A" w14:textId="77777777" w:rsidR="00E93F58" w:rsidRPr="00576D60" w:rsidRDefault="00E93F58" w:rsidP="003D2B1E">
            <w:pPr>
              <w:pStyle w:val="ENoteTableText"/>
              <w:keepNext/>
              <w:tabs>
                <w:tab w:val="left" w:leader="dot" w:pos="2268"/>
              </w:tabs>
              <w:rPr>
                <w:b/>
              </w:rPr>
            </w:pPr>
            <w:r>
              <w:rPr>
                <w:b/>
              </w:rPr>
              <w:t>Part 1</w:t>
            </w:r>
            <w:r w:rsidRPr="00576D60">
              <w:rPr>
                <w:b/>
              </w:rPr>
              <w:t>0.26</w:t>
            </w:r>
          </w:p>
        </w:tc>
        <w:tc>
          <w:tcPr>
            <w:tcW w:w="3500" w:type="pct"/>
            <w:shd w:val="clear" w:color="auto" w:fill="auto"/>
          </w:tcPr>
          <w:p w14:paraId="6DADD476" w14:textId="77777777" w:rsidR="00E93F58" w:rsidRPr="00576D60" w:rsidRDefault="00E93F58" w:rsidP="003D2B1E">
            <w:pPr>
              <w:pStyle w:val="ENoteTableText"/>
            </w:pPr>
          </w:p>
        </w:tc>
      </w:tr>
      <w:tr w:rsidR="00E93F58" w:rsidRPr="00576D60" w14:paraId="2C6E194E" w14:textId="77777777" w:rsidTr="002F32E3">
        <w:trPr>
          <w:cantSplit/>
        </w:trPr>
        <w:tc>
          <w:tcPr>
            <w:tcW w:w="1500" w:type="pct"/>
            <w:shd w:val="clear" w:color="auto" w:fill="auto"/>
          </w:tcPr>
          <w:p w14:paraId="226DC871" w14:textId="77777777" w:rsidR="00E93F58" w:rsidRPr="00576D60" w:rsidRDefault="00E93F58" w:rsidP="003D2B1E">
            <w:pPr>
              <w:pStyle w:val="ENoteTableText"/>
              <w:tabs>
                <w:tab w:val="left" w:leader="dot" w:pos="2268"/>
              </w:tabs>
            </w:pPr>
            <w:r>
              <w:t>Part 1</w:t>
            </w:r>
            <w:r w:rsidRPr="00576D60">
              <w:t>0.26</w:t>
            </w:r>
            <w:r w:rsidRPr="00576D60">
              <w:tab/>
            </w:r>
          </w:p>
        </w:tc>
        <w:tc>
          <w:tcPr>
            <w:tcW w:w="3500" w:type="pct"/>
            <w:shd w:val="clear" w:color="auto" w:fill="auto"/>
          </w:tcPr>
          <w:p w14:paraId="68AF6978" w14:textId="77777777" w:rsidR="00E93F58" w:rsidRPr="00576D60" w:rsidRDefault="00E93F58" w:rsidP="003D2B1E">
            <w:pPr>
              <w:pStyle w:val="ENoteTableText"/>
            </w:pPr>
            <w:r w:rsidRPr="00576D60">
              <w:t>ad F2017L00455</w:t>
            </w:r>
          </w:p>
        </w:tc>
      </w:tr>
      <w:tr w:rsidR="00E93F58" w:rsidRPr="00576D60" w14:paraId="0C47EB50" w14:textId="77777777" w:rsidTr="002F32E3">
        <w:trPr>
          <w:cantSplit/>
        </w:trPr>
        <w:tc>
          <w:tcPr>
            <w:tcW w:w="1500" w:type="pct"/>
            <w:shd w:val="clear" w:color="auto" w:fill="auto"/>
          </w:tcPr>
          <w:p w14:paraId="16CD90B7" w14:textId="77777777" w:rsidR="00E93F58" w:rsidRPr="00576D60" w:rsidRDefault="00E93F58" w:rsidP="003D2B1E">
            <w:pPr>
              <w:pStyle w:val="ENoteTableText"/>
              <w:tabs>
                <w:tab w:val="left" w:leader="dot" w:pos="2268"/>
              </w:tabs>
            </w:pPr>
            <w:r w:rsidRPr="00576D60">
              <w:t>r 10.26.01</w:t>
            </w:r>
            <w:r w:rsidRPr="00576D60">
              <w:tab/>
            </w:r>
          </w:p>
        </w:tc>
        <w:tc>
          <w:tcPr>
            <w:tcW w:w="3500" w:type="pct"/>
            <w:shd w:val="clear" w:color="auto" w:fill="auto"/>
          </w:tcPr>
          <w:p w14:paraId="67358BFA" w14:textId="77777777" w:rsidR="00E93F58" w:rsidRPr="00576D60" w:rsidRDefault="00E93F58" w:rsidP="003D2B1E">
            <w:pPr>
              <w:pStyle w:val="ENoteTableText"/>
            </w:pPr>
            <w:r w:rsidRPr="00576D60">
              <w:t>ad F2017L00455</w:t>
            </w:r>
          </w:p>
        </w:tc>
      </w:tr>
      <w:tr w:rsidR="00E93F58" w:rsidRPr="00576D60" w14:paraId="031AECBA" w14:textId="77777777" w:rsidTr="002F32E3">
        <w:trPr>
          <w:cantSplit/>
        </w:trPr>
        <w:tc>
          <w:tcPr>
            <w:tcW w:w="1500" w:type="pct"/>
            <w:shd w:val="clear" w:color="auto" w:fill="auto"/>
          </w:tcPr>
          <w:p w14:paraId="3E1B0858" w14:textId="77777777" w:rsidR="00E93F58" w:rsidRPr="00576D60" w:rsidRDefault="00E93F58" w:rsidP="00E73EAB">
            <w:pPr>
              <w:pStyle w:val="ENoteTableText"/>
              <w:keepNext/>
              <w:tabs>
                <w:tab w:val="left" w:leader="dot" w:pos="2268"/>
              </w:tabs>
              <w:rPr>
                <w:b/>
              </w:rPr>
            </w:pPr>
            <w:r>
              <w:rPr>
                <w:b/>
              </w:rPr>
              <w:t>Part 1</w:t>
            </w:r>
            <w:r w:rsidRPr="00576D60">
              <w:rPr>
                <w:b/>
              </w:rPr>
              <w:t>0.27</w:t>
            </w:r>
          </w:p>
        </w:tc>
        <w:tc>
          <w:tcPr>
            <w:tcW w:w="3500" w:type="pct"/>
            <w:shd w:val="clear" w:color="auto" w:fill="auto"/>
          </w:tcPr>
          <w:p w14:paraId="2E1BFF39" w14:textId="77777777" w:rsidR="00E93F58" w:rsidRPr="00576D60" w:rsidRDefault="00E93F58" w:rsidP="003D2B1E">
            <w:pPr>
              <w:pStyle w:val="ENoteTableText"/>
            </w:pPr>
          </w:p>
        </w:tc>
      </w:tr>
      <w:tr w:rsidR="00E93F58" w:rsidRPr="00576D60" w14:paraId="2F45AFC0" w14:textId="77777777" w:rsidTr="002F32E3">
        <w:trPr>
          <w:cantSplit/>
        </w:trPr>
        <w:tc>
          <w:tcPr>
            <w:tcW w:w="1500" w:type="pct"/>
            <w:shd w:val="clear" w:color="auto" w:fill="auto"/>
          </w:tcPr>
          <w:p w14:paraId="3AF845D5" w14:textId="77777777" w:rsidR="00E93F58" w:rsidRPr="00576D60" w:rsidRDefault="00E93F58" w:rsidP="003D2B1E">
            <w:pPr>
              <w:pStyle w:val="ENoteTableText"/>
              <w:tabs>
                <w:tab w:val="left" w:leader="dot" w:pos="2268"/>
              </w:tabs>
            </w:pPr>
            <w:r>
              <w:t>Part 1</w:t>
            </w:r>
            <w:r w:rsidRPr="00576D60">
              <w:t>0.27</w:t>
            </w:r>
            <w:r w:rsidRPr="00576D60">
              <w:tab/>
            </w:r>
          </w:p>
        </w:tc>
        <w:tc>
          <w:tcPr>
            <w:tcW w:w="3500" w:type="pct"/>
            <w:shd w:val="clear" w:color="auto" w:fill="auto"/>
          </w:tcPr>
          <w:p w14:paraId="619BC0F0" w14:textId="77777777" w:rsidR="00E93F58" w:rsidRPr="00576D60" w:rsidRDefault="00E93F58" w:rsidP="003D2B1E">
            <w:pPr>
              <w:pStyle w:val="ENoteTableText"/>
            </w:pPr>
            <w:r w:rsidRPr="00576D60">
              <w:t>ad F2018L00515</w:t>
            </w:r>
          </w:p>
        </w:tc>
      </w:tr>
      <w:tr w:rsidR="00E93F58" w:rsidRPr="00576D60" w14:paraId="40D3FBDF" w14:textId="77777777" w:rsidTr="002F32E3">
        <w:trPr>
          <w:cantSplit/>
        </w:trPr>
        <w:tc>
          <w:tcPr>
            <w:tcW w:w="1500" w:type="pct"/>
            <w:shd w:val="clear" w:color="auto" w:fill="auto"/>
          </w:tcPr>
          <w:p w14:paraId="1F741632" w14:textId="77777777" w:rsidR="00E93F58" w:rsidRPr="00576D60" w:rsidRDefault="00E93F58" w:rsidP="003D2B1E">
            <w:pPr>
              <w:pStyle w:val="ENoteTableText"/>
              <w:tabs>
                <w:tab w:val="left" w:leader="dot" w:pos="2268"/>
              </w:tabs>
            </w:pPr>
            <w:r w:rsidRPr="00576D60">
              <w:lastRenderedPageBreak/>
              <w:t>r 10.27.01</w:t>
            </w:r>
            <w:r w:rsidRPr="00576D60">
              <w:tab/>
            </w:r>
          </w:p>
        </w:tc>
        <w:tc>
          <w:tcPr>
            <w:tcW w:w="3500" w:type="pct"/>
            <w:shd w:val="clear" w:color="auto" w:fill="auto"/>
          </w:tcPr>
          <w:p w14:paraId="43842D8B" w14:textId="77777777" w:rsidR="00E93F58" w:rsidRPr="00576D60" w:rsidRDefault="00E93F58" w:rsidP="003D2B1E">
            <w:pPr>
              <w:pStyle w:val="ENoteTableText"/>
            </w:pPr>
            <w:r w:rsidRPr="00576D60">
              <w:t>ad F2018L00515</w:t>
            </w:r>
          </w:p>
        </w:tc>
      </w:tr>
      <w:tr w:rsidR="00E93F58" w:rsidRPr="00576D60" w14:paraId="5B52A141" w14:textId="77777777" w:rsidTr="002F32E3">
        <w:trPr>
          <w:cantSplit/>
        </w:trPr>
        <w:tc>
          <w:tcPr>
            <w:tcW w:w="1500" w:type="pct"/>
            <w:shd w:val="clear" w:color="auto" w:fill="auto"/>
          </w:tcPr>
          <w:p w14:paraId="1F7273B4" w14:textId="77777777" w:rsidR="00E93F58" w:rsidRPr="00576D60" w:rsidRDefault="00E93F58" w:rsidP="003D2B1E">
            <w:pPr>
              <w:pStyle w:val="ENoteTableText"/>
              <w:tabs>
                <w:tab w:val="left" w:leader="dot" w:pos="2268"/>
              </w:tabs>
            </w:pPr>
            <w:r w:rsidRPr="00576D60">
              <w:t>r 10.27.02</w:t>
            </w:r>
            <w:r w:rsidRPr="00576D60">
              <w:tab/>
            </w:r>
          </w:p>
        </w:tc>
        <w:tc>
          <w:tcPr>
            <w:tcW w:w="3500" w:type="pct"/>
            <w:shd w:val="clear" w:color="auto" w:fill="auto"/>
          </w:tcPr>
          <w:p w14:paraId="04CD8421" w14:textId="77777777" w:rsidR="00E93F58" w:rsidRPr="00576D60" w:rsidRDefault="00E93F58" w:rsidP="003D2B1E">
            <w:pPr>
              <w:pStyle w:val="ENoteTableText"/>
            </w:pPr>
            <w:r w:rsidRPr="00576D60">
              <w:t>ad F2018L00515</w:t>
            </w:r>
          </w:p>
        </w:tc>
      </w:tr>
      <w:tr w:rsidR="00E93F58" w:rsidRPr="00576D60" w14:paraId="0EC4C804" w14:textId="77777777" w:rsidTr="002F32E3">
        <w:trPr>
          <w:cantSplit/>
        </w:trPr>
        <w:tc>
          <w:tcPr>
            <w:tcW w:w="1500" w:type="pct"/>
            <w:shd w:val="clear" w:color="auto" w:fill="auto"/>
          </w:tcPr>
          <w:p w14:paraId="0C012E75" w14:textId="77777777" w:rsidR="00E93F58" w:rsidRPr="00576D60" w:rsidRDefault="00E93F58" w:rsidP="003D2B1E">
            <w:pPr>
              <w:pStyle w:val="ENoteTableText"/>
              <w:tabs>
                <w:tab w:val="left" w:leader="dot" w:pos="2268"/>
              </w:tabs>
            </w:pPr>
            <w:r w:rsidRPr="00576D60">
              <w:t>r 10.27.03</w:t>
            </w:r>
            <w:r w:rsidRPr="00576D60">
              <w:tab/>
            </w:r>
          </w:p>
        </w:tc>
        <w:tc>
          <w:tcPr>
            <w:tcW w:w="3500" w:type="pct"/>
            <w:shd w:val="clear" w:color="auto" w:fill="auto"/>
          </w:tcPr>
          <w:p w14:paraId="245FEAF0" w14:textId="77777777" w:rsidR="00E93F58" w:rsidRPr="00576D60" w:rsidRDefault="00E93F58" w:rsidP="003D2B1E">
            <w:pPr>
              <w:pStyle w:val="ENoteTableText"/>
            </w:pPr>
            <w:r w:rsidRPr="00576D60">
              <w:t>ad F2018L00515</w:t>
            </w:r>
          </w:p>
        </w:tc>
      </w:tr>
      <w:tr w:rsidR="00E93F58" w:rsidRPr="00576D60" w14:paraId="42D5C4EE" w14:textId="77777777" w:rsidTr="002F32E3">
        <w:trPr>
          <w:cantSplit/>
        </w:trPr>
        <w:tc>
          <w:tcPr>
            <w:tcW w:w="1500" w:type="pct"/>
            <w:shd w:val="clear" w:color="auto" w:fill="auto"/>
          </w:tcPr>
          <w:p w14:paraId="2E39F83A" w14:textId="77777777" w:rsidR="00E93F58" w:rsidRPr="00576D60" w:rsidRDefault="00E93F58" w:rsidP="003D2B1E">
            <w:pPr>
              <w:pStyle w:val="ENoteTableText"/>
              <w:tabs>
                <w:tab w:val="left" w:leader="dot" w:pos="2268"/>
              </w:tabs>
            </w:pPr>
            <w:r w:rsidRPr="00576D60">
              <w:t>r 10.27.04</w:t>
            </w:r>
            <w:r w:rsidRPr="00576D60">
              <w:tab/>
            </w:r>
          </w:p>
        </w:tc>
        <w:tc>
          <w:tcPr>
            <w:tcW w:w="3500" w:type="pct"/>
            <w:shd w:val="clear" w:color="auto" w:fill="auto"/>
          </w:tcPr>
          <w:p w14:paraId="00F49A72" w14:textId="77777777" w:rsidR="00E93F58" w:rsidRPr="00576D60" w:rsidRDefault="00E93F58" w:rsidP="003D2B1E">
            <w:pPr>
              <w:pStyle w:val="ENoteTableText"/>
            </w:pPr>
            <w:r w:rsidRPr="00576D60">
              <w:t>ad F2018L00515</w:t>
            </w:r>
          </w:p>
        </w:tc>
      </w:tr>
      <w:tr w:rsidR="00E93F58" w:rsidRPr="00576D60" w14:paraId="13F1C971" w14:textId="77777777" w:rsidTr="002F32E3">
        <w:trPr>
          <w:cantSplit/>
        </w:trPr>
        <w:tc>
          <w:tcPr>
            <w:tcW w:w="1500" w:type="pct"/>
            <w:shd w:val="clear" w:color="auto" w:fill="auto"/>
          </w:tcPr>
          <w:p w14:paraId="1DF0BD2D" w14:textId="77777777" w:rsidR="00E93F58" w:rsidRPr="00576D60" w:rsidRDefault="00E93F58" w:rsidP="003D2B1E">
            <w:pPr>
              <w:pStyle w:val="ENoteTableText"/>
              <w:tabs>
                <w:tab w:val="left" w:leader="dot" w:pos="2268"/>
              </w:tabs>
              <w:rPr>
                <w:b/>
              </w:rPr>
            </w:pPr>
            <w:r>
              <w:rPr>
                <w:b/>
              </w:rPr>
              <w:t>Part 1</w:t>
            </w:r>
            <w:r w:rsidRPr="00576D60">
              <w:rPr>
                <w:b/>
              </w:rPr>
              <w:t>0.28</w:t>
            </w:r>
          </w:p>
        </w:tc>
        <w:tc>
          <w:tcPr>
            <w:tcW w:w="3500" w:type="pct"/>
            <w:shd w:val="clear" w:color="auto" w:fill="auto"/>
          </w:tcPr>
          <w:p w14:paraId="379616B4" w14:textId="77777777" w:rsidR="00E93F58" w:rsidRPr="00576D60" w:rsidRDefault="00E93F58" w:rsidP="003D2B1E">
            <w:pPr>
              <w:pStyle w:val="ENoteTableText"/>
            </w:pPr>
          </w:p>
        </w:tc>
      </w:tr>
      <w:tr w:rsidR="00E93F58" w:rsidRPr="00576D60" w14:paraId="05FCD4AB" w14:textId="77777777" w:rsidTr="002F32E3">
        <w:trPr>
          <w:cantSplit/>
        </w:trPr>
        <w:tc>
          <w:tcPr>
            <w:tcW w:w="1500" w:type="pct"/>
            <w:shd w:val="clear" w:color="auto" w:fill="auto"/>
          </w:tcPr>
          <w:p w14:paraId="3DC9A38E" w14:textId="77777777" w:rsidR="00E93F58" w:rsidRPr="00576D60" w:rsidRDefault="00E93F58" w:rsidP="003D2B1E">
            <w:pPr>
              <w:pStyle w:val="ENoteTableText"/>
              <w:tabs>
                <w:tab w:val="left" w:leader="dot" w:pos="2268"/>
              </w:tabs>
            </w:pPr>
            <w:r>
              <w:t>Part 1</w:t>
            </w:r>
            <w:r w:rsidRPr="00576D60">
              <w:t>0.28</w:t>
            </w:r>
            <w:r w:rsidRPr="00576D60">
              <w:tab/>
            </w:r>
          </w:p>
        </w:tc>
        <w:tc>
          <w:tcPr>
            <w:tcW w:w="3500" w:type="pct"/>
            <w:shd w:val="clear" w:color="auto" w:fill="auto"/>
          </w:tcPr>
          <w:p w14:paraId="7B945E91" w14:textId="77777777" w:rsidR="00E93F58" w:rsidRPr="00576D60" w:rsidRDefault="00E93F58" w:rsidP="003D2B1E">
            <w:pPr>
              <w:pStyle w:val="ENoteTableText"/>
            </w:pPr>
            <w:r w:rsidRPr="00576D60">
              <w:t>ad F2018L00743</w:t>
            </w:r>
          </w:p>
        </w:tc>
      </w:tr>
      <w:tr w:rsidR="00E93F58" w:rsidRPr="00576D60" w14:paraId="4FA956F1" w14:textId="77777777" w:rsidTr="002F32E3">
        <w:trPr>
          <w:cantSplit/>
        </w:trPr>
        <w:tc>
          <w:tcPr>
            <w:tcW w:w="1500" w:type="pct"/>
            <w:shd w:val="clear" w:color="auto" w:fill="auto"/>
          </w:tcPr>
          <w:p w14:paraId="4F775E7D" w14:textId="77777777" w:rsidR="00E93F58" w:rsidRPr="00576D60" w:rsidRDefault="00E93F58" w:rsidP="003D2B1E">
            <w:pPr>
              <w:pStyle w:val="ENoteTableText"/>
              <w:tabs>
                <w:tab w:val="left" w:leader="dot" w:pos="2268"/>
              </w:tabs>
            </w:pPr>
            <w:r w:rsidRPr="00576D60">
              <w:t>r 10.28.01</w:t>
            </w:r>
            <w:r w:rsidRPr="00576D60">
              <w:tab/>
            </w:r>
          </w:p>
        </w:tc>
        <w:tc>
          <w:tcPr>
            <w:tcW w:w="3500" w:type="pct"/>
            <w:shd w:val="clear" w:color="auto" w:fill="auto"/>
          </w:tcPr>
          <w:p w14:paraId="3170CE5B" w14:textId="77777777" w:rsidR="00E93F58" w:rsidRPr="00576D60" w:rsidRDefault="00E93F58" w:rsidP="003D2B1E">
            <w:pPr>
              <w:pStyle w:val="ENoteTableText"/>
            </w:pPr>
            <w:r w:rsidRPr="00576D60">
              <w:t>ad F2018L00743</w:t>
            </w:r>
          </w:p>
        </w:tc>
      </w:tr>
      <w:tr w:rsidR="00E93F58" w:rsidRPr="00576D60" w14:paraId="7AEA750A" w14:textId="77777777" w:rsidTr="002F32E3">
        <w:trPr>
          <w:cantSplit/>
        </w:trPr>
        <w:tc>
          <w:tcPr>
            <w:tcW w:w="1500" w:type="pct"/>
            <w:shd w:val="clear" w:color="auto" w:fill="auto"/>
          </w:tcPr>
          <w:p w14:paraId="2E794C3F" w14:textId="77777777" w:rsidR="00E93F58" w:rsidRPr="00576D60" w:rsidRDefault="00E93F58" w:rsidP="003D2B1E">
            <w:pPr>
              <w:pStyle w:val="ENoteTableText"/>
              <w:tabs>
                <w:tab w:val="left" w:leader="dot" w:pos="2268"/>
              </w:tabs>
              <w:rPr>
                <w:b/>
              </w:rPr>
            </w:pPr>
            <w:r>
              <w:rPr>
                <w:b/>
              </w:rPr>
              <w:t>Part 1</w:t>
            </w:r>
            <w:r w:rsidRPr="00576D60">
              <w:rPr>
                <w:b/>
              </w:rPr>
              <w:t>0.29</w:t>
            </w:r>
          </w:p>
        </w:tc>
        <w:tc>
          <w:tcPr>
            <w:tcW w:w="3500" w:type="pct"/>
            <w:shd w:val="clear" w:color="auto" w:fill="auto"/>
          </w:tcPr>
          <w:p w14:paraId="7E6EC78D" w14:textId="77777777" w:rsidR="00E93F58" w:rsidRPr="00576D60" w:rsidRDefault="00E93F58" w:rsidP="003D2B1E">
            <w:pPr>
              <w:pStyle w:val="ENoteTableText"/>
            </w:pPr>
          </w:p>
        </w:tc>
      </w:tr>
      <w:tr w:rsidR="00E93F58" w:rsidRPr="00576D60" w14:paraId="33253CB3" w14:textId="77777777" w:rsidTr="002F32E3">
        <w:trPr>
          <w:cantSplit/>
        </w:trPr>
        <w:tc>
          <w:tcPr>
            <w:tcW w:w="1500" w:type="pct"/>
            <w:shd w:val="clear" w:color="auto" w:fill="auto"/>
          </w:tcPr>
          <w:p w14:paraId="0F98F48D" w14:textId="77777777" w:rsidR="00E93F58" w:rsidRPr="00576D60" w:rsidRDefault="00E93F58" w:rsidP="003D2B1E">
            <w:pPr>
              <w:pStyle w:val="ENoteTableText"/>
              <w:tabs>
                <w:tab w:val="left" w:leader="dot" w:pos="2268"/>
              </w:tabs>
            </w:pPr>
            <w:r>
              <w:t>Part 1</w:t>
            </w:r>
            <w:r w:rsidRPr="00576D60">
              <w:t>0.29</w:t>
            </w:r>
            <w:r w:rsidRPr="00576D60">
              <w:tab/>
            </w:r>
          </w:p>
        </w:tc>
        <w:tc>
          <w:tcPr>
            <w:tcW w:w="3500" w:type="pct"/>
            <w:shd w:val="clear" w:color="auto" w:fill="auto"/>
          </w:tcPr>
          <w:p w14:paraId="79EA78B2" w14:textId="77777777" w:rsidR="00E93F58" w:rsidRPr="00576D60" w:rsidRDefault="00E93F58" w:rsidP="003D2B1E">
            <w:pPr>
              <w:pStyle w:val="ENoteTableText"/>
            </w:pPr>
            <w:r w:rsidRPr="00576D60">
              <w:t>ad F2019L00539</w:t>
            </w:r>
          </w:p>
        </w:tc>
      </w:tr>
      <w:tr w:rsidR="00E93F58" w:rsidRPr="00576D60" w14:paraId="13BDB19E" w14:textId="77777777" w:rsidTr="002F32E3">
        <w:trPr>
          <w:cantSplit/>
        </w:trPr>
        <w:tc>
          <w:tcPr>
            <w:tcW w:w="1500" w:type="pct"/>
            <w:shd w:val="clear" w:color="auto" w:fill="auto"/>
          </w:tcPr>
          <w:p w14:paraId="36967891" w14:textId="77777777" w:rsidR="00E93F58" w:rsidRPr="00576D60" w:rsidRDefault="00E93F58" w:rsidP="003D2B1E">
            <w:pPr>
              <w:pStyle w:val="ENoteTableText"/>
              <w:tabs>
                <w:tab w:val="left" w:leader="dot" w:pos="2268"/>
              </w:tabs>
            </w:pPr>
            <w:r w:rsidRPr="00576D60">
              <w:t>r 10.29.01</w:t>
            </w:r>
            <w:r w:rsidRPr="00576D60">
              <w:tab/>
            </w:r>
          </w:p>
        </w:tc>
        <w:tc>
          <w:tcPr>
            <w:tcW w:w="3500" w:type="pct"/>
            <w:shd w:val="clear" w:color="auto" w:fill="auto"/>
          </w:tcPr>
          <w:p w14:paraId="459C2ED6" w14:textId="77777777" w:rsidR="00E93F58" w:rsidRPr="00576D60" w:rsidRDefault="00E93F58" w:rsidP="003D2B1E">
            <w:pPr>
              <w:pStyle w:val="ENoteTableText"/>
            </w:pPr>
            <w:r w:rsidRPr="00576D60">
              <w:t>ad F2019L00539</w:t>
            </w:r>
          </w:p>
        </w:tc>
      </w:tr>
      <w:tr w:rsidR="00E93F58" w:rsidRPr="00576D60" w14:paraId="4AB7D6FA" w14:textId="77777777" w:rsidTr="002F32E3">
        <w:trPr>
          <w:cantSplit/>
        </w:trPr>
        <w:tc>
          <w:tcPr>
            <w:tcW w:w="1500" w:type="pct"/>
            <w:shd w:val="clear" w:color="auto" w:fill="auto"/>
          </w:tcPr>
          <w:p w14:paraId="6F53C71F" w14:textId="77777777" w:rsidR="00E93F58" w:rsidRPr="00576D60" w:rsidRDefault="00E93F58" w:rsidP="003D2B1E">
            <w:pPr>
              <w:pStyle w:val="ENoteTableText"/>
              <w:tabs>
                <w:tab w:val="left" w:leader="dot" w:pos="2268"/>
              </w:tabs>
            </w:pPr>
            <w:r w:rsidRPr="00576D60">
              <w:t>r 10.29.02</w:t>
            </w:r>
            <w:r w:rsidRPr="00576D60">
              <w:tab/>
            </w:r>
          </w:p>
        </w:tc>
        <w:tc>
          <w:tcPr>
            <w:tcW w:w="3500" w:type="pct"/>
            <w:shd w:val="clear" w:color="auto" w:fill="auto"/>
          </w:tcPr>
          <w:p w14:paraId="7C0AF076" w14:textId="77777777" w:rsidR="00E93F58" w:rsidRPr="00576D60" w:rsidRDefault="00E93F58" w:rsidP="003D2B1E">
            <w:pPr>
              <w:pStyle w:val="ENoteTableText"/>
            </w:pPr>
            <w:r w:rsidRPr="00576D60">
              <w:t>ad F2019L00539</w:t>
            </w:r>
          </w:p>
        </w:tc>
      </w:tr>
      <w:tr w:rsidR="00E93F58" w:rsidRPr="00576D60" w14:paraId="2FF53AF2" w14:textId="77777777" w:rsidTr="002F32E3">
        <w:trPr>
          <w:cantSplit/>
        </w:trPr>
        <w:tc>
          <w:tcPr>
            <w:tcW w:w="1500" w:type="pct"/>
            <w:shd w:val="clear" w:color="auto" w:fill="auto"/>
          </w:tcPr>
          <w:p w14:paraId="09BF1542" w14:textId="77777777" w:rsidR="00E93F58" w:rsidRPr="00576D60" w:rsidRDefault="00E93F58" w:rsidP="003D2B1E">
            <w:pPr>
              <w:pStyle w:val="ENoteTableText"/>
              <w:keepNext/>
              <w:tabs>
                <w:tab w:val="left" w:leader="dot" w:pos="2268"/>
              </w:tabs>
            </w:pPr>
            <w:r w:rsidRPr="00576D60">
              <w:t>r 10.29.03</w:t>
            </w:r>
            <w:r w:rsidRPr="00576D60">
              <w:tab/>
            </w:r>
          </w:p>
        </w:tc>
        <w:tc>
          <w:tcPr>
            <w:tcW w:w="3500" w:type="pct"/>
            <w:shd w:val="clear" w:color="auto" w:fill="auto"/>
          </w:tcPr>
          <w:p w14:paraId="029F2FB1" w14:textId="77777777" w:rsidR="00E93F58" w:rsidRPr="00576D60" w:rsidRDefault="00E93F58" w:rsidP="003D2B1E">
            <w:pPr>
              <w:pStyle w:val="ENoteTableText"/>
            </w:pPr>
            <w:r w:rsidRPr="00576D60">
              <w:t>ad F2019L00539</w:t>
            </w:r>
          </w:p>
        </w:tc>
      </w:tr>
      <w:tr w:rsidR="00E93F58" w:rsidRPr="00576D60" w14:paraId="78781BAC" w14:textId="77777777" w:rsidTr="002F32E3">
        <w:trPr>
          <w:cantSplit/>
        </w:trPr>
        <w:tc>
          <w:tcPr>
            <w:tcW w:w="1500" w:type="pct"/>
            <w:shd w:val="clear" w:color="auto" w:fill="auto"/>
          </w:tcPr>
          <w:p w14:paraId="6DE31EBF" w14:textId="77777777" w:rsidR="00E93F58" w:rsidRPr="00576D60" w:rsidRDefault="00E93F58" w:rsidP="003D2B1E">
            <w:pPr>
              <w:pStyle w:val="ENoteTableText"/>
              <w:tabs>
                <w:tab w:val="left" w:leader="dot" w:pos="2268"/>
              </w:tabs>
            </w:pPr>
            <w:r w:rsidRPr="00576D60">
              <w:t>r 10.29.04</w:t>
            </w:r>
            <w:r w:rsidRPr="00576D60">
              <w:tab/>
            </w:r>
          </w:p>
        </w:tc>
        <w:tc>
          <w:tcPr>
            <w:tcW w:w="3500" w:type="pct"/>
            <w:shd w:val="clear" w:color="auto" w:fill="auto"/>
          </w:tcPr>
          <w:p w14:paraId="3D1F6525" w14:textId="77777777" w:rsidR="00E93F58" w:rsidRPr="00576D60" w:rsidRDefault="00E93F58" w:rsidP="003D2B1E">
            <w:pPr>
              <w:pStyle w:val="ENoteTableText"/>
            </w:pPr>
            <w:r w:rsidRPr="00576D60">
              <w:t>ad F2019L00539</w:t>
            </w:r>
          </w:p>
        </w:tc>
      </w:tr>
      <w:tr w:rsidR="00E93F58" w:rsidRPr="00576D60" w14:paraId="2CC23959" w14:textId="77777777" w:rsidTr="002F32E3">
        <w:trPr>
          <w:cantSplit/>
        </w:trPr>
        <w:tc>
          <w:tcPr>
            <w:tcW w:w="1500" w:type="pct"/>
            <w:shd w:val="clear" w:color="auto" w:fill="auto"/>
          </w:tcPr>
          <w:p w14:paraId="32CA9085" w14:textId="77777777" w:rsidR="00E93F58" w:rsidRPr="00576D60" w:rsidRDefault="00E93F58" w:rsidP="003D2B1E">
            <w:pPr>
              <w:pStyle w:val="ENoteTableText"/>
              <w:tabs>
                <w:tab w:val="left" w:leader="dot" w:pos="2268"/>
              </w:tabs>
              <w:rPr>
                <w:b/>
              </w:rPr>
            </w:pPr>
            <w:r>
              <w:rPr>
                <w:b/>
              </w:rPr>
              <w:t>Part 1</w:t>
            </w:r>
            <w:r w:rsidRPr="00576D60">
              <w:rPr>
                <w:b/>
              </w:rPr>
              <w:t>0.30</w:t>
            </w:r>
          </w:p>
        </w:tc>
        <w:tc>
          <w:tcPr>
            <w:tcW w:w="3500" w:type="pct"/>
            <w:shd w:val="clear" w:color="auto" w:fill="auto"/>
          </w:tcPr>
          <w:p w14:paraId="2016FBAF" w14:textId="77777777" w:rsidR="00E93F58" w:rsidRPr="00576D60" w:rsidRDefault="00E93F58" w:rsidP="003D2B1E">
            <w:pPr>
              <w:pStyle w:val="ENoteTableText"/>
            </w:pPr>
          </w:p>
        </w:tc>
      </w:tr>
      <w:tr w:rsidR="00E93F58" w:rsidRPr="00576D60" w14:paraId="20276F23" w14:textId="77777777" w:rsidTr="002F32E3">
        <w:trPr>
          <w:cantSplit/>
        </w:trPr>
        <w:tc>
          <w:tcPr>
            <w:tcW w:w="1500" w:type="pct"/>
            <w:shd w:val="clear" w:color="auto" w:fill="auto"/>
          </w:tcPr>
          <w:p w14:paraId="321EDDD4" w14:textId="77777777" w:rsidR="00E93F58" w:rsidRPr="00576D60" w:rsidRDefault="00E93F58" w:rsidP="003D2B1E">
            <w:pPr>
              <w:pStyle w:val="ENoteTableText"/>
              <w:tabs>
                <w:tab w:val="left" w:leader="dot" w:pos="2268"/>
              </w:tabs>
            </w:pPr>
            <w:r>
              <w:t>Part 1</w:t>
            </w:r>
            <w:r w:rsidRPr="00576D60">
              <w:t>0.30</w:t>
            </w:r>
            <w:r w:rsidRPr="00576D60">
              <w:tab/>
            </w:r>
          </w:p>
        </w:tc>
        <w:tc>
          <w:tcPr>
            <w:tcW w:w="3500" w:type="pct"/>
            <w:shd w:val="clear" w:color="auto" w:fill="auto"/>
          </w:tcPr>
          <w:p w14:paraId="6530E754" w14:textId="77777777" w:rsidR="00E93F58" w:rsidRPr="00576D60" w:rsidRDefault="00E93F58" w:rsidP="003D2B1E">
            <w:pPr>
              <w:pStyle w:val="ENoteTableText"/>
            </w:pPr>
            <w:r w:rsidRPr="00576D60">
              <w:t>ad F2019L00538</w:t>
            </w:r>
          </w:p>
        </w:tc>
      </w:tr>
      <w:tr w:rsidR="00E93F58" w:rsidRPr="00576D60" w14:paraId="2D04D1E9" w14:textId="77777777" w:rsidTr="002F32E3">
        <w:trPr>
          <w:cantSplit/>
        </w:trPr>
        <w:tc>
          <w:tcPr>
            <w:tcW w:w="1500" w:type="pct"/>
            <w:shd w:val="clear" w:color="auto" w:fill="auto"/>
          </w:tcPr>
          <w:p w14:paraId="23DF6197" w14:textId="77777777" w:rsidR="00E93F58" w:rsidRPr="00576D60" w:rsidRDefault="00E93F58" w:rsidP="003D2B1E">
            <w:pPr>
              <w:pStyle w:val="ENoteTableText"/>
              <w:tabs>
                <w:tab w:val="left" w:leader="dot" w:pos="2268"/>
              </w:tabs>
            </w:pPr>
            <w:r w:rsidRPr="00576D60">
              <w:t>r 10.30.01</w:t>
            </w:r>
            <w:r w:rsidRPr="00576D60">
              <w:tab/>
            </w:r>
          </w:p>
        </w:tc>
        <w:tc>
          <w:tcPr>
            <w:tcW w:w="3500" w:type="pct"/>
            <w:shd w:val="clear" w:color="auto" w:fill="auto"/>
          </w:tcPr>
          <w:p w14:paraId="4BAFA975" w14:textId="77777777" w:rsidR="00E93F58" w:rsidRPr="00576D60" w:rsidRDefault="00E93F58" w:rsidP="003D2B1E">
            <w:pPr>
              <w:pStyle w:val="ENoteTableText"/>
            </w:pPr>
            <w:r w:rsidRPr="00576D60">
              <w:t>ad F2019L00538</w:t>
            </w:r>
          </w:p>
        </w:tc>
      </w:tr>
      <w:tr w:rsidR="00E93F58" w:rsidRPr="00576D60" w14:paraId="31920CE9" w14:textId="77777777" w:rsidTr="002F32E3">
        <w:trPr>
          <w:cantSplit/>
        </w:trPr>
        <w:tc>
          <w:tcPr>
            <w:tcW w:w="1500" w:type="pct"/>
            <w:shd w:val="clear" w:color="auto" w:fill="auto"/>
          </w:tcPr>
          <w:p w14:paraId="2CF59A68" w14:textId="77777777" w:rsidR="00E93F58" w:rsidRPr="00576D60" w:rsidRDefault="00E93F58" w:rsidP="003D2B1E">
            <w:pPr>
              <w:pStyle w:val="ENoteTableText"/>
              <w:tabs>
                <w:tab w:val="left" w:leader="dot" w:pos="2268"/>
              </w:tabs>
              <w:rPr>
                <w:b/>
              </w:rPr>
            </w:pPr>
            <w:r>
              <w:rPr>
                <w:b/>
              </w:rPr>
              <w:t>Part 1</w:t>
            </w:r>
            <w:r w:rsidRPr="00576D60">
              <w:rPr>
                <w:b/>
              </w:rPr>
              <w:t>0.31</w:t>
            </w:r>
          </w:p>
        </w:tc>
        <w:tc>
          <w:tcPr>
            <w:tcW w:w="3500" w:type="pct"/>
            <w:shd w:val="clear" w:color="auto" w:fill="auto"/>
          </w:tcPr>
          <w:p w14:paraId="65315B8D" w14:textId="77777777" w:rsidR="00E93F58" w:rsidRPr="00576D60" w:rsidRDefault="00E93F58" w:rsidP="003D2B1E">
            <w:pPr>
              <w:pStyle w:val="ENoteTableText"/>
            </w:pPr>
          </w:p>
        </w:tc>
      </w:tr>
      <w:tr w:rsidR="00E93F58" w:rsidRPr="00576D60" w14:paraId="6E67D59E" w14:textId="77777777" w:rsidTr="002F32E3">
        <w:trPr>
          <w:cantSplit/>
        </w:trPr>
        <w:tc>
          <w:tcPr>
            <w:tcW w:w="1500" w:type="pct"/>
            <w:shd w:val="clear" w:color="auto" w:fill="auto"/>
          </w:tcPr>
          <w:p w14:paraId="4B061492" w14:textId="77777777" w:rsidR="00E93F58" w:rsidRPr="00576D60" w:rsidRDefault="00E93F58" w:rsidP="003D2B1E">
            <w:pPr>
              <w:pStyle w:val="ENoteTableText"/>
              <w:tabs>
                <w:tab w:val="left" w:leader="dot" w:pos="2268"/>
              </w:tabs>
            </w:pPr>
            <w:r>
              <w:t>Part 1</w:t>
            </w:r>
            <w:r w:rsidRPr="00576D60">
              <w:t>0.31</w:t>
            </w:r>
            <w:r w:rsidRPr="00576D60">
              <w:tab/>
            </w:r>
          </w:p>
        </w:tc>
        <w:tc>
          <w:tcPr>
            <w:tcW w:w="3500" w:type="pct"/>
            <w:shd w:val="clear" w:color="auto" w:fill="auto"/>
          </w:tcPr>
          <w:p w14:paraId="434FFB48" w14:textId="77777777" w:rsidR="00E93F58" w:rsidRPr="00576D60" w:rsidRDefault="00E93F58" w:rsidP="003D2B1E">
            <w:pPr>
              <w:pStyle w:val="ENoteTableText"/>
            </w:pPr>
            <w:r w:rsidRPr="00576D60">
              <w:t>ad F2019L00392</w:t>
            </w:r>
          </w:p>
        </w:tc>
      </w:tr>
      <w:tr w:rsidR="00E93F58" w:rsidRPr="00576D60" w14:paraId="6AAA698C" w14:textId="77777777" w:rsidTr="002F32E3">
        <w:trPr>
          <w:cantSplit/>
        </w:trPr>
        <w:tc>
          <w:tcPr>
            <w:tcW w:w="1500" w:type="pct"/>
            <w:shd w:val="clear" w:color="auto" w:fill="auto"/>
          </w:tcPr>
          <w:p w14:paraId="207AEDC9" w14:textId="77777777" w:rsidR="00E93F58" w:rsidRPr="00576D60" w:rsidRDefault="00E93F58" w:rsidP="003D2B1E">
            <w:pPr>
              <w:pStyle w:val="ENoteTableText"/>
              <w:tabs>
                <w:tab w:val="left" w:leader="dot" w:pos="2268"/>
              </w:tabs>
            </w:pPr>
            <w:r w:rsidRPr="00576D60">
              <w:t>r 10.31.01</w:t>
            </w:r>
            <w:r w:rsidRPr="00576D60">
              <w:tab/>
            </w:r>
          </w:p>
        </w:tc>
        <w:tc>
          <w:tcPr>
            <w:tcW w:w="3500" w:type="pct"/>
            <w:shd w:val="clear" w:color="auto" w:fill="auto"/>
          </w:tcPr>
          <w:p w14:paraId="2700F457" w14:textId="77777777" w:rsidR="00E93F58" w:rsidRPr="00576D60" w:rsidRDefault="00E93F58" w:rsidP="003D2B1E">
            <w:pPr>
              <w:pStyle w:val="ENoteTableText"/>
            </w:pPr>
            <w:r w:rsidRPr="00576D60">
              <w:t>ad F2019L00392</w:t>
            </w:r>
          </w:p>
        </w:tc>
      </w:tr>
      <w:tr w:rsidR="00E93F58" w:rsidRPr="00576D60" w14:paraId="7C57EFEB" w14:textId="77777777" w:rsidTr="002F32E3">
        <w:trPr>
          <w:cantSplit/>
        </w:trPr>
        <w:tc>
          <w:tcPr>
            <w:tcW w:w="1500" w:type="pct"/>
            <w:shd w:val="clear" w:color="auto" w:fill="auto"/>
          </w:tcPr>
          <w:p w14:paraId="26A005B0" w14:textId="77777777" w:rsidR="00E93F58" w:rsidRPr="00576D60" w:rsidRDefault="00E93F58" w:rsidP="003D2B1E">
            <w:pPr>
              <w:pStyle w:val="ENoteTableText"/>
              <w:tabs>
                <w:tab w:val="left" w:leader="dot" w:pos="2268"/>
              </w:tabs>
              <w:rPr>
                <w:b/>
              </w:rPr>
            </w:pPr>
            <w:r>
              <w:rPr>
                <w:b/>
              </w:rPr>
              <w:t>Part 1</w:t>
            </w:r>
            <w:r w:rsidRPr="00576D60">
              <w:rPr>
                <w:b/>
              </w:rPr>
              <w:t>0.32</w:t>
            </w:r>
          </w:p>
        </w:tc>
        <w:tc>
          <w:tcPr>
            <w:tcW w:w="3500" w:type="pct"/>
            <w:shd w:val="clear" w:color="auto" w:fill="auto"/>
          </w:tcPr>
          <w:p w14:paraId="64070501" w14:textId="77777777" w:rsidR="00E93F58" w:rsidRPr="00576D60" w:rsidRDefault="00E93F58" w:rsidP="003D2B1E">
            <w:pPr>
              <w:pStyle w:val="ENoteTableText"/>
            </w:pPr>
          </w:p>
        </w:tc>
      </w:tr>
      <w:tr w:rsidR="00E93F58" w:rsidRPr="00576D60" w14:paraId="056964C1" w14:textId="77777777" w:rsidTr="002F32E3">
        <w:trPr>
          <w:cantSplit/>
        </w:trPr>
        <w:tc>
          <w:tcPr>
            <w:tcW w:w="1500" w:type="pct"/>
            <w:shd w:val="clear" w:color="auto" w:fill="auto"/>
          </w:tcPr>
          <w:p w14:paraId="549C148A" w14:textId="77777777" w:rsidR="00E93F58" w:rsidRPr="00576D60" w:rsidRDefault="00E93F58" w:rsidP="003D2B1E">
            <w:pPr>
              <w:pStyle w:val="ENoteTableText"/>
              <w:tabs>
                <w:tab w:val="left" w:leader="dot" w:pos="2268"/>
              </w:tabs>
            </w:pPr>
            <w:r>
              <w:t>Part 1</w:t>
            </w:r>
            <w:r w:rsidRPr="00576D60">
              <w:t>0.32</w:t>
            </w:r>
            <w:r w:rsidRPr="00576D60">
              <w:tab/>
            </w:r>
          </w:p>
        </w:tc>
        <w:tc>
          <w:tcPr>
            <w:tcW w:w="3500" w:type="pct"/>
            <w:shd w:val="clear" w:color="auto" w:fill="auto"/>
          </w:tcPr>
          <w:p w14:paraId="02CCC9E1" w14:textId="77777777" w:rsidR="00E93F58" w:rsidRPr="00576D60" w:rsidRDefault="00E93F58" w:rsidP="003D2B1E">
            <w:pPr>
              <w:pStyle w:val="ENoteTableText"/>
            </w:pPr>
            <w:r w:rsidRPr="00576D60">
              <w:t>ad F2019L00537</w:t>
            </w:r>
          </w:p>
        </w:tc>
      </w:tr>
      <w:tr w:rsidR="00E93F58" w:rsidRPr="00576D60" w14:paraId="6D1291EF" w14:textId="77777777" w:rsidTr="002F32E3">
        <w:trPr>
          <w:cantSplit/>
        </w:trPr>
        <w:tc>
          <w:tcPr>
            <w:tcW w:w="1500" w:type="pct"/>
            <w:shd w:val="clear" w:color="auto" w:fill="auto"/>
          </w:tcPr>
          <w:p w14:paraId="374AF371" w14:textId="77777777" w:rsidR="00E93F58" w:rsidRPr="00576D60" w:rsidRDefault="00E93F58" w:rsidP="003D2B1E">
            <w:pPr>
              <w:pStyle w:val="ENoteTableText"/>
              <w:tabs>
                <w:tab w:val="left" w:leader="dot" w:pos="2268"/>
              </w:tabs>
            </w:pPr>
            <w:r w:rsidRPr="00576D60">
              <w:t>r 10.32.01</w:t>
            </w:r>
            <w:r w:rsidRPr="00576D60">
              <w:tab/>
            </w:r>
          </w:p>
        </w:tc>
        <w:tc>
          <w:tcPr>
            <w:tcW w:w="3500" w:type="pct"/>
            <w:shd w:val="clear" w:color="auto" w:fill="auto"/>
          </w:tcPr>
          <w:p w14:paraId="516A10C7" w14:textId="77777777" w:rsidR="00E93F58" w:rsidRPr="00576D60" w:rsidRDefault="00E93F58" w:rsidP="003D2B1E">
            <w:pPr>
              <w:pStyle w:val="ENoteTableText"/>
            </w:pPr>
            <w:r w:rsidRPr="00576D60">
              <w:t>ad F2019L00537</w:t>
            </w:r>
          </w:p>
        </w:tc>
      </w:tr>
      <w:tr w:rsidR="00E93F58" w:rsidRPr="00576D60" w14:paraId="104C4338" w14:textId="77777777" w:rsidTr="002F32E3">
        <w:trPr>
          <w:cantSplit/>
        </w:trPr>
        <w:tc>
          <w:tcPr>
            <w:tcW w:w="1500" w:type="pct"/>
            <w:shd w:val="clear" w:color="auto" w:fill="auto"/>
          </w:tcPr>
          <w:p w14:paraId="7C757063" w14:textId="77777777" w:rsidR="00E93F58" w:rsidRPr="00576D60" w:rsidRDefault="00E93F58" w:rsidP="003D2B1E">
            <w:pPr>
              <w:pStyle w:val="ENoteTableText"/>
              <w:tabs>
                <w:tab w:val="left" w:leader="dot" w:pos="2268"/>
              </w:tabs>
              <w:rPr>
                <w:b/>
              </w:rPr>
            </w:pPr>
            <w:r>
              <w:rPr>
                <w:b/>
              </w:rPr>
              <w:t>Part 1</w:t>
            </w:r>
            <w:r w:rsidRPr="00576D60">
              <w:rPr>
                <w:b/>
              </w:rPr>
              <w:t>0.33</w:t>
            </w:r>
          </w:p>
        </w:tc>
        <w:tc>
          <w:tcPr>
            <w:tcW w:w="3500" w:type="pct"/>
            <w:shd w:val="clear" w:color="auto" w:fill="auto"/>
          </w:tcPr>
          <w:p w14:paraId="40657BD4" w14:textId="77777777" w:rsidR="00E93F58" w:rsidRPr="00576D60" w:rsidRDefault="00E93F58" w:rsidP="003D2B1E">
            <w:pPr>
              <w:pStyle w:val="ENoteTableText"/>
            </w:pPr>
          </w:p>
        </w:tc>
      </w:tr>
      <w:tr w:rsidR="00E93F58" w:rsidRPr="00576D60" w14:paraId="5FAA5C15" w14:textId="77777777" w:rsidTr="002F32E3">
        <w:trPr>
          <w:cantSplit/>
        </w:trPr>
        <w:tc>
          <w:tcPr>
            <w:tcW w:w="1500" w:type="pct"/>
            <w:shd w:val="clear" w:color="auto" w:fill="auto"/>
          </w:tcPr>
          <w:p w14:paraId="58BB6E98" w14:textId="77777777" w:rsidR="00E93F58" w:rsidRPr="00576D60" w:rsidRDefault="00E93F58" w:rsidP="003D2B1E">
            <w:pPr>
              <w:pStyle w:val="ENoteTableText"/>
              <w:tabs>
                <w:tab w:val="left" w:leader="dot" w:pos="2268"/>
              </w:tabs>
            </w:pPr>
            <w:r>
              <w:t>Part 1</w:t>
            </w:r>
            <w:r w:rsidRPr="00576D60">
              <w:t>0.33</w:t>
            </w:r>
            <w:r w:rsidRPr="00576D60">
              <w:tab/>
            </w:r>
          </w:p>
        </w:tc>
        <w:tc>
          <w:tcPr>
            <w:tcW w:w="3500" w:type="pct"/>
            <w:shd w:val="clear" w:color="auto" w:fill="auto"/>
          </w:tcPr>
          <w:p w14:paraId="298EA05A" w14:textId="77777777" w:rsidR="00E93F58" w:rsidRPr="00576D60" w:rsidRDefault="00E93F58" w:rsidP="003D2B1E">
            <w:pPr>
              <w:pStyle w:val="ENoteTableText"/>
            </w:pPr>
            <w:r w:rsidRPr="00576D60">
              <w:t>ad F2019L01526</w:t>
            </w:r>
          </w:p>
        </w:tc>
      </w:tr>
      <w:tr w:rsidR="00E93F58" w:rsidRPr="00576D60" w14:paraId="73CCFCB2" w14:textId="77777777" w:rsidTr="002F32E3">
        <w:trPr>
          <w:cantSplit/>
        </w:trPr>
        <w:tc>
          <w:tcPr>
            <w:tcW w:w="1500" w:type="pct"/>
            <w:shd w:val="clear" w:color="auto" w:fill="auto"/>
          </w:tcPr>
          <w:p w14:paraId="259B8518" w14:textId="77777777" w:rsidR="00E93F58" w:rsidRPr="00576D60" w:rsidRDefault="00E93F58" w:rsidP="003D2B1E">
            <w:pPr>
              <w:pStyle w:val="ENoteTableText"/>
              <w:tabs>
                <w:tab w:val="left" w:leader="dot" w:pos="2268"/>
              </w:tabs>
            </w:pPr>
            <w:r w:rsidRPr="00576D60">
              <w:t>r 10.33.01</w:t>
            </w:r>
            <w:r w:rsidRPr="00576D60">
              <w:tab/>
            </w:r>
          </w:p>
        </w:tc>
        <w:tc>
          <w:tcPr>
            <w:tcW w:w="3500" w:type="pct"/>
            <w:shd w:val="clear" w:color="auto" w:fill="auto"/>
          </w:tcPr>
          <w:p w14:paraId="5A4DC009" w14:textId="77777777" w:rsidR="00E93F58" w:rsidRPr="00576D60" w:rsidRDefault="00E93F58" w:rsidP="003D2B1E">
            <w:pPr>
              <w:pStyle w:val="ENoteTableText"/>
            </w:pPr>
            <w:r w:rsidRPr="00576D60">
              <w:t>ad F2019L01526</w:t>
            </w:r>
          </w:p>
        </w:tc>
      </w:tr>
      <w:tr w:rsidR="00E93F58" w:rsidRPr="00576D60" w14:paraId="0D5DB4D9" w14:textId="77777777" w:rsidTr="002F32E3">
        <w:trPr>
          <w:cantSplit/>
        </w:trPr>
        <w:tc>
          <w:tcPr>
            <w:tcW w:w="1500" w:type="pct"/>
            <w:shd w:val="clear" w:color="auto" w:fill="auto"/>
          </w:tcPr>
          <w:p w14:paraId="1A073A4B" w14:textId="77777777" w:rsidR="00E93F58" w:rsidRPr="00576D60" w:rsidRDefault="00E93F58" w:rsidP="003D2B1E">
            <w:pPr>
              <w:pStyle w:val="ENoteTableText"/>
              <w:tabs>
                <w:tab w:val="left" w:leader="dot" w:pos="2268"/>
              </w:tabs>
            </w:pPr>
            <w:r w:rsidRPr="00576D60">
              <w:t>r 10.33.02</w:t>
            </w:r>
            <w:r w:rsidRPr="00576D60">
              <w:tab/>
            </w:r>
          </w:p>
        </w:tc>
        <w:tc>
          <w:tcPr>
            <w:tcW w:w="3500" w:type="pct"/>
            <w:shd w:val="clear" w:color="auto" w:fill="auto"/>
          </w:tcPr>
          <w:p w14:paraId="22540C04" w14:textId="77777777" w:rsidR="00E93F58" w:rsidRPr="00576D60" w:rsidRDefault="00E93F58" w:rsidP="003D2B1E">
            <w:pPr>
              <w:pStyle w:val="ENoteTableText"/>
            </w:pPr>
            <w:r w:rsidRPr="00576D60">
              <w:t>ad F2019L01526</w:t>
            </w:r>
          </w:p>
        </w:tc>
      </w:tr>
      <w:tr w:rsidR="00E93F58" w:rsidRPr="00576D60" w14:paraId="358B487D" w14:textId="77777777" w:rsidTr="002F32E3">
        <w:trPr>
          <w:cantSplit/>
        </w:trPr>
        <w:tc>
          <w:tcPr>
            <w:tcW w:w="1500" w:type="pct"/>
            <w:shd w:val="clear" w:color="auto" w:fill="auto"/>
          </w:tcPr>
          <w:p w14:paraId="5EEF8F92" w14:textId="77777777" w:rsidR="00E93F58" w:rsidRPr="00576D60" w:rsidRDefault="00E93F58" w:rsidP="003D2B1E">
            <w:pPr>
              <w:pStyle w:val="ENoteTableText"/>
              <w:tabs>
                <w:tab w:val="left" w:leader="dot" w:pos="2268"/>
              </w:tabs>
              <w:rPr>
                <w:b/>
              </w:rPr>
            </w:pPr>
            <w:r>
              <w:rPr>
                <w:b/>
              </w:rPr>
              <w:t>Part 1</w:t>
            </w:r>
            <w:r w:rsidRPr="00576D60">
              <w:rPr>
                <w:b/>
              </w:rPr>
              <w:t>0.34</w:t>
            </w:r>
          </w:p>
        </w:tc>
        <w:tc>
          <w:tcPr>
            <w:tcW w:w="3500" w:type="pct"/>
            <w:shd w:val="clear" w:color="auto" w:fill="auto"/>
          </w:tcPr>
          <w:p w14:paraId="2763AA5C" w14:textId="77777777" w:rsidR="00E93F58" w:rsidRPr="00576D60" w:rsidRDefault="00E93F58" w:rsidP="003D2B1E">
            <w:pPr>
              <w:pStyle w:val="ENoteTableText"/>
            </w:pPr>
          </w:p>
        </w:tc>
      </w:tr>
      <w:tr w:rsidR="00E93F58" w:rsidRPr="00576D60" w14:paraId="70C3400B" w14:textId="77777777" w:rsidTr="002F32E3">
        <w:trPr>
          <w:cantSplit/>
        </w:trPr>
        <w:tc>
          <w:tcPr>
            <w:tcW w:w="1500" w:type="pct"/>
            <w:shd w:val="clear" w:color="auto" w:fill="auto"/>
          </w:tcPr>
          <w:p w14:paraId="3B68BEAC" w14:textId="77777777" w:rsidR="00E93F58" w:rsidRPr="00576D60" w:rsidRDefault="00E93F58" w:rsidP="003D2B1E">
            <w:pPr>
              <w:pStyle w:val="ENoteTableText"/>
              <w:tabs>
                <w:tab w:val="left" w:leader="dot" w:pos="2268"/>
              </w:tabs>
            </w:pPr>
            <w:r>
              <w:t>Part 1</w:t>
            </w:r>
            <w:r w:rsidRPr="00576D60">
              <w:t>0.34</w:t>
            </w:r>
            <w:r w:rsidRPr="00576D60">
              <w:tab/>
            </w:r>
          </w:p>
        </w:tc>
        <w:tc>
          <w:tcPr>
            <w:tcW w:w="3500" w:type="pct"/>
            <w:shd w:val="clear" w:color="auto" w:fill="auto"/>
          </w:tcPr>
          <w:p w14:paraId="3C67AF77" w14:textId="77777777" w:rsidR="00E93F58" w:rsidRPr="00576D60" w:rsidRDefault="00E93F58" w:rsidP="003D2B1E">
            <w:pPr>
              <w:pStyle w:val="ENoteTableText"/>
            </w:pPr>
            <w:r w:rsidRPr="00576D60">
              <w:t>ad F2019L01474</w:t>
            </w:r>
          </w:p>
        </w:tc>
      </w:tr>
      <w:tr w:rsidR="00E93F58" w:rsidRPr="00576D60" w14:paraId="0968005A" w14:textId="77777777" w:rsidTr="002F32E3">
        <w:trPr>
          <w:cantSplit/>
        </w:trPr>
        <w:tc>
          <w:tcPr>
            <w:tcW w:w="1500" w:type="pct"/>
            <w:shd w:val="clear" w:color="auto" w:fill="auto"/>
          </w:tcPr>
          <w:p w14:paraId="0D7CE1B5" w14:textId="77777777" w:rsidR="00E93F58" w:rsidRPr="00576D60" w:rsidRDefault="00E93F58" w:rsidP="003D2B1E">
            <w:pPr>
              <w:pStyle w:val="ENoteTableText"/>
              <w:tabs>
                <w:tab w:val="left" w:leader="dot" w:pos="2268"/>
              </w:tabs>
            </w:pPr>
            <w:r w:rsidRPr="00576D60">
              <w:t>r 10.34.01</w:t>
            </w:r>
            <w:r w:rsidRPr="00576D60">
              <w:tab/>
            </w:r>
          </w:p>
        </w:tc>
        <w:tc>
          <w:tcPr>
            <w:tcW w:w="3500" w:type="pct"/>
            <w:shd w:val="clear" w:color="auto" w:fill="auto"/>
          </w:tcPr>
          <w:p w14:paraId="0AEB8C0A" w14:textId="77777777" w:rsidR="00E93F58" w:rsidRPr="00576D60" w:rsidRDefault="00E93F58" w:rsidP="003D2B1E">
            <w:pPr>
              <w:pStyle w:val="ENoteTableText"/>
            </w:pPr>
            <w:r w:rsidRPr="00576D60">
              <w:t>ad F2019L01474</w:t>
            </w:r>
          </w:p>
        </w:tc>
      </w:tr>
      <w:tr w:rsidR="00E93F58" w:rsidRPr="00576D60" w14:paraId="0B5DAF35" w14:textId="77777777" w:rsidTr="002F32E3">
        <w:trPr>
          <w:cantSplit/>
        </w:trPr>
        <w:tc>
          <w:tcPr>
            <w:tcW w:w="1500" w:type="pct"/>
            <w:shd w:val="clear" w:color="auto" w:fill="auto"/>
          </w:tcPr>
          <w:p w14:paraId="75E23051" w14:textId="77777777" w:rsidR="00E93F58" w:rsidRPr="00576D60" w:rsidRDefault="00E93F58" w:rsidP="003D2B1E">
            <w:pPr>
              <w:pStyle w:val="ENoteTableText"/>
              <w:tabs>
                <w:tab w:val="left" w:leader="dot" w:pos="2268"/>
              </w:tabs>
            </w:pPr>
            <w:r>
              <w:rPr>
                <w:b/>
              </w:rPr>
              <w:t>Part 1</w:t>
            </w:r>
            <w:r w:rsidRPr="00576D60">
              <w:rPr>
                <w:b/>
              </w:rPr>
              <w:t>0.35</w:t>
            </w:r>
          </w:p>
        </w:tc>
        <w:tc>
          <w:tcPr>
            <w:tcW w:w="3500" w:type="pct"/>
            <w:shd w:val="clear" w:color="auto" w:fill="auto"/>
          </w:tcPr>
          <w:p w14:paraId="01649967" w14:textId="77777777" w:rsidR="00E93F58" w:rsidRPr="00576D60" w:rsidRDefault="00E93F58" w:rsidP="003D2B1E">
            <w:pPr>
              <w:pStyle w:val="ENoteTableText"/>
            </w:pPr>
          </w:p>
        </w:tc>
      </w:tr>
      <w:tr w:rsidR="00E93F58" w:rsidRPr="00576D60" w14:paraId="17909FB4" w14:textId="77777777" w:rsidTr="002F32E3">
        <w:trPr>
          <w:cantSplit/>
        </w:trPr>
        <w:tc>
          <w:tcPr>
            <w:tcW w:w="1500" w:type="pct"/>
            <w:shd w:val="clear" w:color="auto" w:fill="auto"/>
          </w:tcPr>
          <w:p w14:paraId="24172CDE" w14:textId="77777777" w:rsidR="00E93F58" w:rsidRPr="00576D60" w:rsidRDefault="00E93F58" w:rsidP="003D2B1E">
            <w:pPr>
              <w:pStyle w:val="ENoteTableText"/>
              <w:tabs>
                <w:tab w:val="left" w:leader="dot" w:pos="2268"/>
              </w:tabs>
            </w:pPr>
            <w:r>
              <w:t>Part 1</w:t>
            </w:r>
            <w:r w:rsidRPr="00576D60">
              <w:t>0.35</w:t>
            </w:r>
            <w:r w:rsidRPr="00576D60">
              <w:tab/>
            </w:r>
          </w:p>
        </w:tc>
        <w:tc>
          <w:tcPr>
            <w:tcW w:w="3500" w:type="pct"/>
            <w:shd w:val="clear" w:color="auto" w:fill="auto"/>
          </w:tcPr>
          <w:p w14:paraId="282110DC" w14:textId="77777777" w:rsidR="00E93F58" w:rsidRPr="00576D60" w:rsidRDefault="00E93F58" w:rsidP="003D2B1E">
            <w:pPr>
              <w:pStyle w:val="ENoteTableText"/>
            </w:pPr>
            <w:r w:rsidRPr="00576D60">
              <w:t>ad F2021L01531</w:t>
            </w:r>
          </w:p>
        </w:tc>
      </w:tr>
      <w:tr w:rsidR="00E93F58" w:rsidRPr="00576D60" w14:paraId="27671ED6" w14:textId="77777777" w:rsidTr="002F32E3">
        <w:trPr>
          <w:cantSplit/>
        </w:trPr>
        <w:tc>
          <w:tcPr>
            <w:tcW w:w="1500" w:type="pct"/>
            <w:shd w:val="clear" w:color="auto" w:fill="auto"/>
          </w:tcPr>
          <w:p w14:paraId="224B7B12" w14:textId="77777777" w:rsidR="00E93F58" w:rsidRPr="00576D60" w:rsidRDefault="00E93F58" w:rsidP="003D2B1E">
            <w:pPr>
              <w:pStyle w:val="ENoteTableText"/>
              <w:tabs>
                <w:tab w:val="left" w:leader="dot" w:pos="2268"/>
              </w:tabs>
            </w:pPr>
            <w:r w:rsidRPr="00576D60">
              <w:t>r 10.35.01</w:t>
            </w:r>
            <w:r w:rsidRPr="00576D60">
              <w:tab/>
            </w:r>
          </w:p>
        </w:tc>
        <w:tc>
          <w:tcPr>
            <w:tcW w:w="3500" w:type="pct"/>
            <w:shd w:val="clear" w:color="auto" w:fill="auto"/>
          </w:tcPr>
          <w:p w14:paraId="44BD25FC" w14:textId="77777777" w:rsidR="00E93F58" w:rsidRPr="00576D60" w:rsidRDefault="00E93F58" w:rsidP="003D2B1E">
            <w:pPr>
              <w:pStyle w:val="ENoteTableText"/>
            </w:pPr>
            <w:r w:rsidRPr="00576D60">
              <w:t>ad F2021L01531</w:t>
            </w:r>
          </w:p>
        </w:tc>
      </w:tr>
      <w:tr w:rsidR="00E93F58" w:rsidRPr="00576D60" w14:paraId="6918D4FC" w14:textId="77777777" w:rsidTr="002F32E3">
        <w:trPr>
          <w:cantSplit/>
        </w:trPr>
        <w:tc>
          <w:tcPr>
            <w:tcW w:w="1500" w:type="pct"/>
            <w:shd w:val="clear" w:color="auto" w:fill="auto"/>
          </w:tcPr>
          <w:p w14:paraId="3A16B14A" w14:textId="77777777" w:rsidR="00E93F58" w:rsidRPr="00576D60" w:rsidRDefault="00E93F58" w:rsidP="003D2B1E">
            <w:pPr>
              <w:pStyle w:val="ENoteTableText"/>
              <w:tabs>
                <w:tab w:val="left" w:leader="dot" w:pos="2268"/>
              </w:tabs>
              <w:rPr>
                <w:b/>
              </w:rPr>
            </w:pPr>
            <w:r>
              <w:rPr>
                <w:b/>
              </w:rPr>
              <w:t>Part 1</w:t>
            </w:r>
            <w:r w:rsidRPr="00576D60">
              <w:rPr>
                <w:b/>
              </w:rPr>
              <w:t>0.37</w:t>
            </w:r>
          </w:p>
        </w:tc>
        <w:tc>
          <w:tcPr>
            <w:tcW w:w="3500" w:type="pct"/>
            <w:shd w:val="clear" w:color="auto" w:fill="auto"/>
          </w:tcPr>
          <w:p w14:paraId="139C2A8B" w14:textId="77777777" w:rsidR="00E93F58" w:rsidRPr="00576D60" w:rsidRDefault="00E93F58" w:rsidP="003D2B1E">
            <w:pPr>
              <w:pStyle w:val="ENoteTableText"/>
            </w:pPr>
          </w:p>
        </w:tc>
      </w:tr>
      <w:tr w:rsidR="00E93F58" w:rsidRPr="00576D60" w14:paraId="4A80C345" w14:textId="77777777" w:rsidTr="002F32E3">
        <w:trPr>
          <w:cantSplit/>
        </w:trPr>
        <w:tc>
          <w:tcPr>
            <w:tcW w:w="1500" w:type="pct"/>
            <w:shd w:val="clear" w:color="auto" w:fill="auto"/>
          </w:tcPr>
          <w:p w14:paraId="78AFB41D" w14:textId="77777777" w:rsidR="00E93F58" w:rsidRPr="00576D60" w:rsidRDefault="00E93F58" w:rsidP="003D2B1E">
            <w:pPr>
              <w:pStyle w:val="ENoteTableText"/>
              <w:tabs>
                <w:tab w:val="left" w:leader="dot" w:pos="2268"/>
              </w:tabs>
            </w:pPr>
            <w:r>
              <w:t>Part 1</w:t>
            </w:r>
            <w:r w:rsidRPr="00576D60">
              <w:t>0.37</w:t>
            </w:r>
            <w:r w:rsidRPr="00576D60">
              <w:tab/>
            </w:r>
          </w:p>
        </w:tc>
        <w:tc>
          <w:tcPr>
            <w:tcW w:w="3500" w:type="pct"/>
            <w:shd w:val="clear" w:color="auto" w:fill="auto"/>
          </w:tcPr>
          <w:p w14:paraId="079DC44F" w14:textId="77777777" w:rsidR="00E93F58" w:rsidRPr="00576D60" w:rsidRDefault="00E93F58" w:rsidP="003D2B1E">
            <w:pPr>
              <w:pStyle w:val="ENoteTableText"/>
            </w:pPr>
            <w:r w:rsidRPr="00576D60">
              <w:t>ad F2019L01533</w:t>
            </w:r>
          </w:p>
        </w:tc>
      </w:tr>
      <w:tr w:rsidR="00E93F58" w:rsidRPr="00576D60" w14:paraId="1AA06845" w14:textId="77777777" w:rsidTr="002F32E3">
        <w:trPr>
          <w:cantSplit/>
        </w:trPr>
        <w:tc>
          <w:tcPr>
            <w:tcW w:w="1500" w:type="pct"/>
            <w:shd w:val="clear" w:color="auto" w:fill="auto"/>
          </w:tcPr>
          <w:p w14:paraId="48D00D3A" w14:textId="77777777" w:rsidR="00E93F58" w:rsidRPr="00576D60" w:rsidRDefault="00E93F58" w:rsidP="003D2B1E">
            <w:pPr>
              <w:pStyle w:val="ENoteTableText"/>
              <w:tabs>
                <w:tab w:val="left" w:leader="dot" w:pos="2268"/>
              </w:tabs>
            </w:pPr>
            <w:r w:rsidRPr="00576D60">
              <w:t>r 10.37.01</w:t>
            </w:r>
            <w:r w:rsidRPr="00576D60">
              <w:tab/>
            </w:r>
          </w:p>
        </w:tc>
        <w:tc>
          <w:tcPr>
            <w:tcW w:w="3500" w:type="pct"/>
            <w:shd w:val="clear" w:color="auto" w:fill="auto"/>
          </w:tcPr>
          <w:p w14:paraId="709837C5" w14:textId="77777777" w:rsidR="00E93F58" w:rsidRPr="00576D60" w:rsidRDefault="00E93F58" w:rsidP="003D2B1E">
            <w:pPr>
              <w:pStyle w:val="ENoteTableText"/>
            </w:pPr>
            <w:r w:rsidRPr="00576D60">
              <w:t>ad F2019L01533</w:t>
            </w:r>
          </w:p>
        </w:tc>
      </w:tr>
      <w:tr w:rsidR="00E93F58" w:rsidRPr="00576D60" w14:paraId="67CE3524" w14:textId="77777777" w:rsidTr="002F32E3">
        <w:trPr>
          <w:cantSplit/>
        </w:trPr>
        <w:tc>
          <w:tcPr>
            <w:tcW w:w="1500" w:type="pct"/>
            <w:shd w:val="clear" w:color="auto" w:fill="auto"/>
          </w:tcPr>
          <w:p w14:paraId="16CCE188" w14:textId="77777777" w:rsidR="00E93F58" w:rsidRPr="00576D60" w:rsidRDefault="00E93F58" w:rsidP="003D2B1E">
            <w:pPr>
              <w:pStyle w:val="ENoteTableText"/>
              <w:tabs>
                <w:tab w:val="left" w:leader="dot" w:pos="2268"/>
              </w:tabs>
              <w:rPr>
                <w:b/>
              </w:rPr>
            </w:pPr>
            <w:r>
              <w:rPr>
                <w:b/>
              </w:rPr>
              <w:t>Part 1</w:t>
            </w:r>
            <w:r w:rsidRPr="00576D60">
              <w:rPr>
                <w:b/>
              </w:rPr>
              <w:t>0.38</w:t>
            </w:r>
          </w:p>
        </w:tc>
        <w:tc>
          <w:tcPr>
            <w:tcW w:w="3500" w:type="pct"/>
            <w:shd w:val="clear" w:color="auto" w:fill="auto"/>
          </w:tcPr>
          <w:p w14:paraId="4CF4D64D" w14:textId="77777777" w:rsidR="00E93F58" w:rsidRPr="00576D60" w:rsidRDefault="00E93F58" w:rsidP="003D2B1E">
            <w:pPr>
              <w:pStyle w:val="ENoteTableText"/>
            </w:pPr>
          </w:p>
        </w:tc>
      </w:tr>
      <w:tr w:rsidR="00E93F58" w:rsidRPr="00576D60" w14:paraId="58F7390D" w14:textId="77777777" w:rsidTr="002F32E3">
        <w:trPr>
          <w:cantSplit/>
        </w:trPr>
        <w:tc>
          <w:tcPr>
            <w:tcW w:w="1500" w:type="pct"/>
            <w:shd w:val="clear" w:color="auto" w:fill="auto"/>
          </w:tcPr>
          <w:p w14:paraId="6CD998DE" w14:textId="77777777" w:rsidR="00E93F58" w:rsidRPr="00576D60" w:rsidRDefault="00E93F58" w:rsidP="003D2B1E">
            <w:pPr>
              <w:pStyle w:val="ENoteTableText"/>
              <w:tabs>
                <w:tab w:val="left" w:leader="dot" w:pos="2268"/>
              </w:tabs>
            </w:pPr>
            <w:r>
              <w:t>Part 1</w:t>
            </w:r>
            <w:r w:rsidRPr="00576D60">
              <w:t>0.38</w:t>
            </w:r>
            <w:r w:rsidRPr="00576D60">
              <w:tab/>
            </w:r>
          </w:p>
        </w:tc>
        <w:tc>
          <w:tcPr>
            <w:tcW w:w="3500" w:type="pct"/>
            <w:shd w:val="clear" w:color="auto" w:fill="auto"/>
          </w:tcPr>
          <w:p w14:paraId="72CA60FA" w14:textId="77777777" w:rsidR="00E93F58" w:rsidRPr="00576D60" w:rsidRDefault="00E93F58" w:rsidP="003D2B1E">
            <w:pPr>
              <w:pStyle w:val="ENoteTableText"/>
            </w:pPr>
            <w:r w:rsidRPr="00576D60">
              <w:t>ad F2020L00942</w:t>
            </w:r>
          </w:p>
        </w:tc>
      </w:tr>
      <w:tr w:rsidR="00E93F58" w:rsidRPr="00576D60" w14:paraId="17F9B781" w14:textId="77777777" w:rsidTr="002F32E3">
        <w:trPr>
          <w:cantSplit/>
        </w:trPr>
        <w:tc>
          <w:tcPr>
            <w:tcW w:w="1500" w:type="pct"/>
            <w:shd w:val="clear" w:color="auto" w:fill="auto"/>
          </w:tcPr>
          <w:p w14:paraId="1F5486A9" w14:textId="77777777" w:rsidR="00E93F58" w:rsidRPr="00576D60" w:rsidRDefault="00E93F58" w:rsidP="003D2B1E">
            <w:pPr>
              <w:pStyle w:val="ENoteTableText"/>
              <w:tabs>
                <w:tab w:val="left" w:leader="dot" w:pos="2268"/>
              </w:tabs>
            </w:pPr>
            <w:r w:rsidRPr="00576D60">
              <w:t>r 10.38.01</w:t>
            </w:r>
            <w:r w:rsidRPr="00576D60">
              <w:tab/>
            </w:r>
          </w:p>
        </w:tc>
        <w:tc>
          <w:tcPr>
            <w:tcW w:w="3500" w:type="pct"/>
            <w:shd w:val="clear" w:color="auto" w:fill="auto"/>
          </w:tcPr>
          <w:p w14:paraId="08BEBA32" w14:textId="77777777" w:rsidR="00E93F58" w:rsidRPr="00576D60" w:rsidRDefault="00E93F58" w:rsidP="003D2B1E">
            <w:pPr>
              <w:pStyle w:val="ENoteTableText"/>
            </w:pPr>
            <w:r w:rsidRPr="00576D60">
              <w:t>ad F2020L00942</w:t>
            </w:r>
          </w:p>
        </w:tc>
      </w:tr>
      <w:tr w:rsidR="00E93F58" w:rsidRPr="00576D60" w14:paraId="48C76CF4" w14:textId="77777777" w:rsidTr="002F32E3">
        <w:trPr>
          <w:cantSplit/>
        </w:trPr>
        <w:tc>
          <w:tcPr>
            <w:tcW w:w="1500" w:type="pct"/>
            <w:shd w:val="clear" w:color="auto" w:fill="auto"/>
          </w:tcPr>
          <w:p w14:paraId="62019133" w14:textId="77777777" w:rsidR="00E93F58" w:rsidRPr="00576D60" w:rsidRDefault="00E93F58" w:rsidP="003D2B1E">
            <w:pPr>
              <w:pStyle w:val="ENoteTableText"/>
              <w:tabs>
                <w:tab w:val="left" w:leader="dot" w:pos="2268"/>
              </w:tabs>
              <w:rPr>
                <w:b/>
              </w:rPr>
            </w:pPr>
            <w:r>
              <w:rPr>
                <w:b/>
              </w:rPr>
              <w:t>Part 1</w:t>
            </w:r>
            <w:r w:rsidRPr="00576D60">
              <w:rPr>
                <w:b/>
              </w:rPr>
              <w:t>0.39</w:t>
            </w:r>
          </w:p>
        </w:tc>
        <w:tc>
          <w:tcPr>
            <w:tcW w:w="3500" w:type="pct"/>
            <w:shd w:val="clear" w:color="auto" w:fill="auto"/>
          </w:tcPr>
          <w:p w14:paraId="712C3A59" w14:textId="77777777" w:rsidR="00E93F58" w:rsidRPr="00576D60" w:rsidRDefault="00E93F58" w:rsidP="003D2B1E">
            <w:pPr>
              <w:pStyle w:val="ENoteTableText"/>
            </w:pPr>
          </w:p>
        </w:tc>
      </w:tr>
      <w:tr w:rsidR="00E93F58" w:rsidRPr="00576D60" w14:paraId="3FCB9E05" w14:textId="77777777" w:rsidTr="002F32E3">
        <w:trPr>
          <w:cantSplit/>
        </w:trPr>
        <w:tc>
          <w:tcPr>
            <w:tcW w:w="1500" w:type="pct"/>
            <w:shd w:val="clear" w:color="auto" w:fill="auto"/>
          </w:tcPr>
          <w:p w14:paraId="25ABB9F7" w14:textId="77777777" w:rsidR="00E93F58" w:rsidRPr="00576D60" w:rsidRDefault="00E93F58" w:rsidP="003D2B1E">
            <w:pPr>
              <w:pStyle w:val="ENoteTableText"/>
              <w:tabs>
                <w:tab w:val="left" w:leader="dot" w:pos="2268"/>
              </w:tabs>
            </w:pPr>
            <w:r>
              <w:t>Part 1</w:t>
            </w:r>
            <w:r w:rsidRPr="00576D60">
              <w:t>0.39</w:t>
            </w:r>
            <w:r w:rsidRPr="00576D60">
              <w:tab/>
            </w:r>
          </w:p>
        </w:tc>
        <w:tc>
          <w:tcPr>
            <w:tcW w:w="3500" w:type="pct"/>
            <w:shd w:val="clear" w:color="auto" w:fill="auto"/>
          </w:tcPr>
          <w:p w14:paraId="4809ECBB" w14:textId="77777777" w:rsidR="00E93F58" w:rsidRPr="00576D60" w:rsidRDefault="00E93F58" w:rsidP="003D2B1E">
            <w:pPr>
              <w:pStyle w:val="ENoteTableText"/>
            </w:pPr>
            <w:r w:rsidRPr="00576D60">
              <w:t>ad F2021L01080</w:t>
            </w:r>
          </w:p>
        </w:tc>
      </w:tr>
      <w:tr w:rsidR="00E93F58" w:rsidRPr="00576D60" w14:paraId="35FD5C8D" w14:textId="77777777" w:rsidTr="002F32E3">
        <w:trPr>
          <w:cantSplit/>
        </w:trPr>
        <w:tc>
          <w:tcPr>
            <w:tcW w:w="1500" w:type="pct"/>
            <w:shd w:val="clear" w:color="auto" w:fill="auto"/>
          </w:tcPr>
          <w:p w14:paraId="017A08BA" w14:textId="77777777" w:rsidR="00E93F58" w:rsidRPr="00576D60" w:rsidRDefault="00E93F58" w:rsidP="003D2B1E">
            <w:pPr>
              <w:pStyle w:val="ENoteTableText"/>
              <w:tabs>
                <w:tab w:val="left" w:leader="dot" w:pos="2268"/>
              </w:tabs>
            </w:pPr>
            <w:r w:rsidRPr="00576D60">
              <w:t>r 10.39.01</w:t>
            </w:r>
            <w:r w:rsidRPr="00576D60">
              <w:tab/>
            </w:r>
          </w:p>
        </w:tc>
        <w:tc>
          <w:tcPr>
            <w:tcW w:w="3500" w:type="pct"/>
            <w:shd w:val="clear" w:color="auto" w:fill="auto"/>
          </w:tcPr>
          <w:p w14:paraId="41AD720E" w14:textId="77777777" w:rsidR="00E93F58" w:rsidRPr="00576D60" w:rsidRDefault="00E93F58" w:rsidP="003D2B1E">
            <w:pPr>
              <w:pStyle w:val="ENoteTableText"/>
            </w:pPr>
            <w:r w:rsidRPr="00576D60">
              <w:t>ad F2021L01080</w:t>
            </w:r>
          </w:p>
        </w:tc>
      </w:tr>
      <w:tr w:rsidR="00E93F58" w:rsidRPr="00576D60" w14:paraId="5FA7EC7C" w14:textId="77777777" w:rsidTr="002F32E3">
        <w:trPr>
          <w:cantSplit/>
        </w:trPr>
        <w:tc>
          <w:tcPr>
            <w:tcW w:w="1500" w:type="pct"/>
            <w:shd w:val="clear" w:color="auto" w:fill="auto"/>
          </w:tcPr>
          <w:p w14:paraId="53D46DE1" w14:textId="77777777" w:rsidR="00E93F58" w:rsidRPr="00576D60" w:rsidRDefault="00E93F58" w:rsidP="003D2B1E">
            <w:pPr>
              <w:pStyle w:val="ENoteTableText"/>
              <w:tabs>
                <w:tab w:val="left" w:leader="dot" w:pos="2268"/>
              </w:tabs>
              <w:rPr>
                <w:b/>
              </w:rPr>
            </w:pPr>
            <w:r>
              <w:rPr>
                <w:b/>
              </w:rPr>
              <w:t>Part 1</w:t>
            </w:r>
            <w:r w:rsidRPr="00576D60">
              <w:rPr>
                <w:b/>
              </w:rPr>
              <w:t>0.40</w:t>
            </w:r>
          </w:p>
        </w:tc>
        <w:tc>
          <w:tcPr>
            <w:tcW w:w="3500" w:type="pct"/>
            <w:shd w:val="clear" w:color="auto" w:fill="auto"/>
          </w:tcPr>
          <w:p w14:paraId="178836B8" w14:textId="77777777" w:rsidR="00E93F58" w:rsidRPr="00576D60" w:rsidRDefault="00E93F58" w:rsidP="003D2B1E">
            <w:pPr>
              <w:pStyle w:val="ENoteTableText"/>
            </w:pPr>
          </w:p>
        </w:tc>
      </w:tr>
      <w:tr w:rsidR="00E93F58" w:rsidRPr="00576D60" w14:paraId="4DE8E74D" w14:textId="77777777" w:rsidTr="002F32E3">
        <w:trPr>
          <w:cantSplit/>
        </w:trPr>
        <w:tc>
          <w:tcPr>
            <w:tcW w:w="1500" w:type="pct"/>
            <w:shd w:val="clear" w:color="auto" w:fill="auto"/>
          </w:tcPr>
          <w:p w14:paraId="4828415D" w14:textId="77777777" w:rsidR="00E93F58" w:rsidRPr="00576D60" w:rsidRDefault="00E93F58" w:rsidP="003D2B1E">
            <w:pPr>
              <w:pStyle w:val="ENoteTableText"/>
              <w:tabs>
                <w:tab w:val="left" w:leader="dot" w:pos="2268"/>
              </w:tabs>
            </w:pPr>
            <w:r>
              <w:t>Part 1</w:t>
            </w:r>
            <w:r w:rsidRPr="00576D60">
              <w:t>0.40</w:t>
            </w:r>
            <w:r w:rsidRPr="00576D60">
              <w:tab/>
            </w:r>
          </w:p>
        </w:tc>
        <w:tc>
          <w:tcPr>
            <w:tcW w:w="3500" w:type="pct"/>
            <w:shd w:val="clear" w:color="auto" w:fill="auto"/>
          </w:tcPr>
          <w:p w14:paraId="4B607157" w14:textId="77777777" w:rsidR="00E93F58" w:rsidRPr="00576D60" w:rsidRDefault="00E93F58" w:rsidP="003D2B1E">
            <w:pPr>
              <w:pStyle w:val="ENoteTableText"/>
            </w:pPr>
            <w:r w:rsidRPr="00576D60">
              <w:t>ad F2020L01586</w:t>
            </w:r>
          </w:p>
        </w:tc>
      </w:tr>
      <w:tr w:rsidR="00E93F58" w:rsidRPr="00576D60" w14:paraId="4B2AC52A" w14:textId="77777777" w:rsidTr="002F32E3">
        <w:trPr>
          <w:cantSplit/>
        </w:trPr>
        <w:tc>
          <w:tcPr>
            <w:tcW w:w="1500" w:type="pct"/>
            <w:shd w:val="clear" w:color="auto" w:fill="auto"/>
          </w:tcPr>
          <w:p w14:paraId="7AFE66DC" w14:textId="77777777" w:rsidR="00E93F58" w:rsidRPr="00576D60" w:rsidRDefault="00E93F58" w:rsidP="003D2B1E">
            <w:pPr>
              <w:pStyle w:val="ENoteTableText"/>
              <w:tabs>
                <w:tab w:val="left" w:leader="dot" w:pos="2268"/>
              </w:tabs>
            </w:pPr>
            <w:r w:rsidRPr="00576D60">
              <w:t>r 10.40.01</w:t>
            </w:r>
            <w:r w:rsidRPr="00576D60">
              <w:tab/>
            </w:r>
          </w:p>
        </w:tc>
        <w:tc>
          <w:tcPr>
            <w:tcW w:w="3500" w:type="pct"/>
            <w:shd w:val="clear" w:color="auto" w:fill="auto"/>
          </w:tcPr>
          <w:p w14:paraId="0CBD09B9" w14:textId="77777777" w:rsidR="00E93F58" w:rsidRPr="00576D60" w:rsidRDefault="00E93F58" w:rsidP="003D2B1E">
            <w:pPr>
              <w:pStyle w:val="ENoteTableText"/>
            </w:pPr>
            <w:r w:rsidRPr="00576D60">
              <w:t>ad F2020L01586</w:t>
            </w:r>
          </w:p>
        </w:tc>
      </w:tr>
      <w:tr w:rsidR="00E93F58" w:rsidRPr="00576D60" w14:paraId="2991E0BD" w14:textId="77777777" w:rsidTr="002F32E3">
        <w:trPr>
          <w:cantSplit/>
        </w:trPr>
        <w:tc>
          <w:tcPr>
            <w:tcW w:w="1500" w:type="pct"/>
            <w:shd w:val="clear" w:color="auto" w:fill="auto"/>
          </w:tcPr>
          <w:p w14:paraId="42DAB69F" w14:textId="77777777" w:rsidR="00E93F58" w:rsidRPr="00576D60" w:rsidRDefault="00E93F58" w:rsidP="003D2B1E">
            <w:pPr>
              <w:pStyle w:val="ENoteTableText"/>
              <w:tabs>
                <w:tab w:val="left" w:leader="dot" w:pos="2268"/>
              </w:tabs>
            </w:pPr>
            <w:r w:rsidRPr="00576D60">
              <w:t>r 10.40.02</w:t>
            </w:r>
            <w:r w:rsidRPr="00576D60">
              <w:tab/>
            </w:r>
          </w:p>
        </w:tc>
        <w:tc>
          <w:tcPr>
            <w:tcW w:w="3500" w:type="pct"/>
            <w:shd w:val="clear" w:color="auto" w:fill="auto"/>
          </w:tcPr>
          <w:p w14:paraId="5B9CCDD9" w14:textId="77777777" w:rsidR="00E93F58" w:rsidRPr="00576D60" w:rsidRDefault="00E93F58" w:rsidP="003D2B1E">
            <w:pPr>
              <w:pStyle w:val="ENoteTableText"/>
            </w:pPr>
            <w:r w:rsidRPr="00576D60">
              <w:t>ad F2020L01586</w:t>
            </w:r>
          </w:p>
        </w:tc>
      </w:tr>
      <w:tr w:rsidR="00E93F58" w:rsidRPr="00576D60" w14:paraId="785ABA7E" w14:textId="77777777" w:rsidTr="002F32E3">
        <w:trPr>
          <w:cantSplit/>
        </w:trPr>
        <w:tc>
          <w:tcPr>
            <w:tcW w:w="1500" w:type="pct"/>
            <w:shd w:val="clear" w:color="auto" w:fill="auto"/>
          </w:tcPr>
          <w:p w14:paraId="5C678382" w14:textId="77777777" w:rsidR="00E93F58" w:rsidRPr="00576D60" w:rsidRDefault="00E93F58" w:rsidP="00E71EB0">
            <w:pPr>
              <w:pStyle w:val="ENoteTableText"/>
              <w:keepNext/>
              <w:tabs>
                <w:tab w:val="left" w:leader="dot" w:pos="2268"/>
              </w:tabs>
              <w:rPr>
                <w:b/>
              </w:rPr>
            </w:pPr>
            <w:r>
              <w:rPr>
                <w:b/>
              </w:rPr>
              <w:t>Part 1</w:t>
            </w:r>
            <w:r w:rsidRPr="00576D60">
              <w:rPr>
                <w:b/>
              </w:rPr>
              <w:t>0.41</w:t>
            </w:r>
          </w:p>
        </w:tc>
        <w:tc>
          <w:tcPr>
            <w:tcW w:w="3500" w:type="pct"/>
            <w:shd w:val="clear" w:color="auto" w:fill="auto"/>
          </w:tcPr>
          <w:p w14:paraId="0A2CEBB2" w14:textId="77777777" w:rsidR="00E93F58" w:rsidRPr="00576D60" w:rsidRDefault="00E93F58" w:rsidP="003D2B1E">
            <w:pPr>
              <w:pStyle w:val="ENoteTableText"/>
            </w:pPr>
          </w:p>
        </w:tc>
      </w:tr>
      <w:tr w:rsidR="00E93F58" w:rsidRPr="00576D60" w14:paraId="0377AABC" w14:textId="77777777" w:rsidTr="002F32E3">
        <w:trPr>
          <w:cantSplit/>
        </w:trPr>
        <w:tc>
          <w:tcPr>
            <w:tcW w:w="1500" w:type="pct"/>
            <w:shd w:val="clear" w:color="auto" w:fill="auto"/>
          </w:tcPr>
          <w:p w14:paraId="4BB161C5" w14:textId="77777777" w:rsidR="00E93F58" w:rsidRPr="00576D60" w:rsidRDefault="00E93F58" w:rsidP="003D2B1E">
            <w:pPr>
              <w:pStyle w:val="ENoteTableText"/>
              <w:tabs>
                <w:tab w:val="left" w:leader="dot" w:pos="2268"/>
              </w:tabs>
            </w:pPr>
            <w:r>
              <w:t>Part 1</w:t>
            </w:r>
            <w:r w:rsidRPr="00576D60">
              <w:t>0.41</w:t>
            </w:r>
            <w:r w:rsidRPr="00576D60">
              <w:tab/>
            </w:r>
          </w:p>
        </w:tc>
        <w:tc>
          <w:tcPr>
            <w:tcW w:w="3500" w:type="pct"/>
            <w:shd w:val="clear" w:color="auto" w:fill="auto"/>
          </w:tcPr>
          <w:p w14:paraId="6F008EEA" w14:textId="77777777" w:rsidR="00E93F58" w:rsidRPr="00576D60" w:rsidRDefault="00E93F58" w:rsidP="003D2B1E">
            <w:pPr>
              <w:pStyle w:val="ENoteTableText"/>
            </w:pPr>
            <w:r w:rsidRPr="00576D60">
              <w:t>ad F2021L01072</w:t>
            </w:r>
          </w:p>
        </w:tc>
      </w:tr>
      <w:tr w:rsidR="00E93F58" w:rsidRPr="00576D60" w14:paraId="33373CF8" w14:textId="77777777" w:rsidTr="002F32E3">
        <w:trPr>
          <w:cantSplit/>
        </w:trPr>
        <w:tc>
          <w:tcPr>
            <w:tcW w:w="1500" w:type="pct"/>
            <w:shd w:val="clear" w:color="auto" w:fill="auto"/>
          </w:tcPr>
          <w:p w14:paraId="20DDAE5D" w14:textId="77777777" w:rsidR="00E93F58" w:rsidRPr="00576D60" w:rsidRDefault="00E93F58" w:rsidP="003D2B1E">
            <w:pPr>
              <w:pStyle w:val="ENoteTableText"/>
              <w:tabs>
                <w:tab w:val="left" w:leader="dot" w:pos="2268"/>
              </w:tabs>
            </w:pPr>
            <w:r w:rsidRPr="00576D60">
              <w:t>r 10.41.01</w:t>
            </w:r>
            <w:r w:rsidRPr="00576D60">
              <w:tab/>
            </w:r>
          </w:p>
        </w:tc>
        <w:tc>
          <w:tcPr>
            <w:tcW w:w="3500" w:type="pct"/>
            <w:shd w:val="clear" w:color="auto" w:fill="auto"/>
          </w:tcPr>
          <w:p w14:paraId="7376E4DF" w14:textId="77777777" w:rsidR="00E93F58" w:rsidRPr="00576D60" w:rsidRDefault="00E93F58" w:rsidP="003D2B1E">
            <w:pPr>
              <w:pStyle w:val="ENoteTableText"/>
            </w:pPr>
            <w:r w:rsidRPr="00576D60">
              <w:t>ad F2021L01072</w:t>
            </w:r>
          </w:p>
        </w:tc>
      </w:tr>
      <w:tr w:rsidR="00E93F58" w:rsidRPr="00576D60" w14:paraId="394E737C" w14:textId="77777777" w:rsidTr="002F32E3">
        <w:trPr>
          <w:cantSplit/>
        </w:trPr>
        <w:tc>
          <w:tcPr>
            <w:tcW w:w="1500" w:type="pct"/>
            <w:shd w:val="clear" w:color="auto" w:fill="auto"/>
          </w:tcPr>
          <w:p w14:paraId="692AB69B" w14:textId="77777777" w:rsidR="00E93F58" w:rsidRPr="00576D60" w:rsidRDefault="00E93F58" w:rsidP="003D2B1E">
            <w:pPr>
              <w:pStyle w:val="ENoteTableText"/>
              <w:keepNext/>
              <w:tabs>
                <w:tab w:val="left" w:leader="dot" w:pos="2268"/>
              </w:tabs>
              <w:rPr>
                <w:b/>
              </w:rPr>
            </w:pPr>
            <w:r>
              <w:rPr>
                <w:b/>
              </w:rPr>
              <w:t>Part 1</w:t>
            </w:r>
            <w:r w:rsidRPr="00576D60">
              <w:rPr>
                <w:b/>
              </w:rPr>
              <w:t>0.42</w:t>
            </w:r>
          </w:p>
        </w:tc>
        <w:tc>
          <w:tcPr>
            <w:tcW w:w="3500" w:type="pct"/>
            <w:shd w:val="clear" w:color="auto" w:fill="auto"/>
          </w:tcPr>
          <w:p w14:paraId="26AC4136" w14:textId="77777777" w:rsidR="00E93F58" w:rsidRPr="00576D60" w:rsidRDefault="00E93F58" w:rsidP="003D2B1E">
            <w:pPr>
              <w:pStyle w:val="ENoteTableText"/>
              <w:keepNext/>
            </w:pPr>
          </w:p>
        </w:tc>
      </w:tr>
      <w:tr w:rsidR="00E93F58" w:rsidRPr="00576D60" w14:paraId="171FA2E4" w14:textId="77777777" w:rsidTr="002F32E3">
        <w:trPr>
          <w:cantSplit/>
        </w:trPr>
        <w:tc>
          <w:tcPr>
            <w:tcW w:w="1500" w:type="pct"/>
            <w:shd w:val="clear" w:color="auto" w:fill="auto"/>
          </w:tcPr>
          <w:p w14:paraId="11B11EBC" w14:textId="77777777" w:rsidR="00E93F58" w:rsidRPr="00576D60" w:rsidRDefault="00E93F58" w:rsidP="003D2B1E">
            <w:pPr>
              <w:pStyle w:val="ENoteTableText"/>
              <w:tabs>
                <w:tab w:val="left" w:leader="dot" w:pos="2268"/>
              </w:tabs>
            </w:pPr>
            <w:r>
              <w:t>Part 1</w:t>
            </w:r>
            <w:r w:rsidRPr="00576D60">
              <w:t>0.42</w:t>
            </w:r>
            <w:r w:rsidRPr="00576D60">
              <w:tab/>
            </w:r>
          </w:p>
        </w:tc>
        <w:tc>
          <w:tcPr>
            <w:tcW w:w="3500" w:type="pct"/>
            <w:shd w:val="clear" w:color="auto" w:fill="auto"/>
          </w:tcPr>
          <w:p w14:paraId="52F4DF19" w14:textId="77777777" w:rsidR="00E93F58" w:rsidRPr="00576D60" w:rsidRDefault="00E93F58" w:rsidP="003D2B1E">
            <w:pPr>
              <w:pStyle w:val="ENoteTableText"/>
            </w:pPr>
            <w:r w:rsidRPr="00576D60">
              <w:t>ad F2021L00127</w:t>
            </w:r>
          </w:p>
        </w:tc>
      </w:tr>
      <w:tr w:rsidR="00E93F58" w:rsidRPr="00576D60" w14:paraId="41D8CA11" w14:textId="77777777" w:rsidTr="002F32E3">
        <w:trPr>
          <w:cantSplit/>
        </w:trPr>
        <w:tc>
          <w:tcPr>
            <w:tcW w:w="1500" w:type="pct"/>
            <w:shd w:val="clear" w:color="auto" w:fill="auto"/>
          </w:tcPr>
          <w:p w14:paraId="33B8D261" w14:textId="77777777" w:rsidR="00E93F58" w:rsidRPr="00576D60" w:rsidRDefault="00E93F58" w:rsidP="003D2B1E">
            <w:pPr>
              <w:pStyle w:val="ENoteTableText"/>
              <w:tabs>
                <w:tab w:val="left" w:leader="dot" w:pos="2268"/>
              </w:tabs>
            </w:pPr>
            <w:r w:rsidRPr="00576D60">
              <w:t>r 10.42.01</w:t>
            </w:r>
            <w:r w:rsidRPr="00576D60">
              <w:tab/>
            </w:r>
          </w:p>
        </w:tc>
        <w:tc>
          <w:tcPr>
            <w:tcW w:w="3500" w:type="pct"/>
            <w:shd w:val="clear" w:color="auto" w:fill="auto"/>
          </w:tcPr>
          <w:p w14:paraId="546BAD00" w14:textId="77777777" w:rsidR="00E93F58" w:rsidRPr="00576D60" w:rsidRDefault="00E93F58" w:rsidP="003D2B1E">
            <w:pPr>
              <w:pStyle w:val="ENoteTableText"/>
            </w:pPr>
            <w:r w:rsidRPr="00576D60">
              <w:t>ad F2021L00127</w:t>
            </w:r>
          </w:p>
        </w:tc>
      </w:tr>
      <w:tr w:rsidR="00E93F58" w:rsidRPr="00576D60" w14:paraId="64BED0A8" w14:textId="77777777" w:rsidTr="002F32E3">
        <w:trPr>
          <w:cantSplit/>
        </w:trPr>
        <w:tc>
          <w:tcPr>
            <w:tcW w:w="1500" w:type="pct"/>
            <w:shd w:val="clear" w:color="auto" w:fill="auto"/>
          </w:tcPr>
          <w:p w14:paraId="34CCCBB0" w14:textId="77777777" w:rsidR="00E93F58" w:rsidRPr="00576D60" w:rsidRDefault="00E93F58" w:rsidP="003D2B1E">
            <w:pPr>
              <w:pStyle w:val="ENoteTableText"/>
              <w:tabs>
                <w:tab w:val="left" w:leader="dot" w:pos="2268"/>
              </w:tabs>
              <w:rPr>
                <w:b/>
              </w:rPr>
            </w:pPr>
            <w:r>
              <w:rPr>
                <w:b/>
              </w:rPr>
              <w:lastRenderedPageBreak/>
              <w:t>Part 1</w:t>
            </w:r>
            <w:r w:rsidRPr="00576D60">
              <w:rPr>
                <w:b/>
              </w:rPr>
              <w:t>0.43</w:t>
            </w:r>
          </w:p>
        </w:tc>
        <w:tc>
          <w:tcPr>
            <w:tcW w:w="3500" w:type="pct"/>
            <w:shd w:val="clear" w:color="auto" w:fill="auto"/>
          </w:tcPr>
          <w:p w14:paraId="2FAEECCA" w14:textId="77777777" w:rsidR="00E93F58" w:rsidRPr="00576D60" w:rsidRDefault="00E93F58" w:rsidP="003D2B1E">
            <w:pPr>
              <w:pStyle w:val="ENoteTableText"/>
            </w:pPr>
          </w:p>
        </w:tc>
      </w:tr>
      <w:tr w:rsidR="00E93F58" w:rsidRPr="00576D60" w14:paraId="741EDF1F" w14:textId="77777777" w:rsidTr="002F32E3">
        <w:trPr>
          <w:cantSplit/>
        </w:trPr>
        <w:tc>
          <w:tcPr>
            <w:tcW w:w="1500" w:type="pct"/>
            <w:shd w:val="clear" w:color="auto" w:fill="auto"/>
          </w:tcPr>
          <w:p w14:paraId="07579D9E" w14:textId="77777777" w:rsidR="00E93F58" w:rsidRPr="00576D60" w:rsidRDefault="00E93F58" w:rsidP="003D2B1E">
            <w:pPr>
              <w:pStyle w:val="ENoteTableText"/>
              <w:tabs>
                <w:tab w:val="left" w:leader="dot" w:pos="2268"/>
              </w:tabs>
            </w:pPr>
            <w:r>
              <w:t>Part 1</w:t>
            </w:r>
            <w:r w:rsidRPr="00576D60">
              <w:t>0.43</w:t>
            </w:r>
            <w:r w:rsidRPr="00576D60">
              <w:tab/>
            </w:r>
          </w:p>
        </w:tc>
        <w:tc>
          <w:tcPr>
            <w:tcW w:w="3500" w:type="pct"/>
            <w:shd w:val="clear" w:color="auto" w:fill="auto"/>
          </w:tcPr>
          <w:p w14:paraId="47466F0B" w14:textId="77777777" w:rsidR="00E93F58" w:rsidRPr="00576D60" w:rsidRDefault="00E93F58" w:rsidP="003D2B1E">
            <w:pPr>
              <w:pStyle w:val="ENoteTableText"/>
            </w:pPr>
            <w:r w:rsidRPr="00576D60">
              <w:t>ad F2020L01654</w:t>
            </w:r>
          </w:p>
        </w:tc>
      </w:tr>
      <w:tr w:rsidR="00E93F58" w:rsidRPr="00576D60" w14:paraId="1AC9AAC7" w14:textId="77777777" w:rsidTr="002F32E3">
        <w:trPr>
          <w:cantSplit/>
        </w:trPr>
        <w:tc>
          <w:tcPr>
            <w:tcW w:w="1500" w:type="pct"/>
            <w:shd w:val="clear" w:color="auto" w:fill="auto"/>
          </w:tcPr>
          <w:p w14:paraId="5F629834" w14:textId="77777777" w:rsidR="00E93F58" w:rsidRPr="00576D60" w:rsidRDefault="00E93F58" w:rsidP="003D2B1E">
            <w:pPr>
              <w:pStyle w:val="ENoteTableText"/>
              <w:tabs>
                <w:tab w:val="left" w:leader="dot" w:pos="2268"/>
              </w:tabs>
            </w:pPr>
            <w:r w:rsidRPr="00576D60">
              <w:t>r 10.43.01</w:t>
            </w:r>
            <w:r w:rsidRPr="00576D60">
              <w:tab/>
            </w:r>
          </w:p>
        </w:tc>
        <w:tc>
          <w:tcPr>
            <w:tcW w:w="3500" w:type="pct"/>
            <w:shd w:val="clear" w:color="auto" w:fill="auto"/>
          </w:tcPr>
          <w:p w14:paraId="6475EB1D" w14:textId="77777777" w:rsidR="00E93F58" w:rsidRPr="00576D60" w:rsidRDefault="00E93F58" w:rsidP="003D2B1E">
            <w:pPr>
              <w:pStyle w:val="ENoteTableText"/>
            </w:pPr>
            <w:r w:rsidRPr="00576D60">
              <w:t>ad F2020L01654</w:t>
            </w:r>
          </w:p>
        </w:tc>
      </w:tr>
      <w:tr w:rsidR="00E93F58" w:rsidRPr="00576D60" w14:paraId="05DE4738" w14:textId="77777777" w:rsidTr="002F32E3">
        <w:trPr>
          <w:cantSplit/>
        </w:trPr>
        <w:tc>
          <w:tcPr>
            <w:tcW w:w="1500" w:type="pct"/>
            <w:shd w:val="clear" w:color="auto" w:fill="auto"/>
          </w:tcPr>
          <w:p w14:paraId="45A955B5" w14:textId="77777777" w:rsidR="00E93F58" w:rsidRPr="00576D60" w:rsidRDefault="00E93F58" w:rsidP="003D2B1E">
            <w:pPr>
              <w:pStyle w:val="ENoteTableText"/>
              <w:tabs>
                <w:tab w:val="left" w:leader="dot" w:pos="2268"/>
              </w:tabs>
              <w:rPr>
                <w:b/>
              </w:rPr>
            </w:pPr>
            <w:r>
              <w:rPr>
                <w:b/>
              </w:rPr>
              <w:t>Part 1</w:t>
            </w:r>
            <w:r w:rsidRPr="00576D60">
              <w:rPr>
                <w:b/>
              </w:rPr>
              <w:t>0.45</w:t>
            </w:r>
          </w:p>
        </w:tc>
        <w:tc>
          <w:tcPr>
            <w:tcW w:w="3500" w:type="pct"/>
            <w:shd w:val="clear" w:color="auto" w:fill="auto"/>
          </w:tcPr>
          <w:p w14:paraId="0C49CA30" w14:textId="77777777" w:rsidR="00E93F58" w:rsidRPr="00576D60" w:rsidRDefault="00E93F58" w:rsidP="003D2B1E">
            <w:pPr>
              <w:pStyle w:val="ENoteTableText"/>
              <w:rPr>
                <w:b/>
              </w:rPr>
            </w:pPr>
          </w:p>
        </w:tc>
      </w:tr>
      <w:tr w:rsidR="00E93F58" w:rsidRPr="00576D60" w14:paraId="12FAAEFC" w14:textId="77777777" w:rsidTr="002F32E3">
        <w:trPr>
          <w:cantSplit/>
        </w:trPr>
        <w:tc>
          <w:tcPr>
            <w:tcW w:w="1500" w:type="pct"/>
            <w:shd w:val="clear" w:color="auto" w:fill="auto"/>
          </w:tcPr>
          <w:p w14:paraId="3B5ED02A" w14:textId="77777777" w:rsidR="00E93F58" w:rsidRPr="00576D60" w:rsidRDefault="00E93F58" w:rsidP="003D2B1E">
            <w:pPr>
              <w:pStyle w:val="ENoteTableText"/>
              <w:tabs>
                <w:tab w:val="left" w:leader="dot" w:pos="2268"/>
              </w:tabs>
            </w:pPr>
            <w:r>
              <w:t>Part 1</w:t>
            </w:r>
            <w:r w:rsidRPr="00576D60">
              <w:t>0.45</w:t>
            </w:r>
            <w:r w:rsidRPr="00576D60">
              <w:tab/>
            </w:r>
          </w:p>
        </w:tc>
        <w:tc>
          <w:tcPr>
            <w:tcW w:w="3500" w:type="pct"/>
            <w:shd w:val="clear" w:color="auto" w:fill="auto"/>
          </w:tcPr>
          <w:p w14:paraId="3F64A42A" w14:textId="77777777" w:rsidR="00E93F58" w:rsidRPr="00576D60" w:rsidRDefault="00E93F58" w:rsidP="003D2B1E">
            <w:pPr>
              <w:pStyle w:val="ENoteTableText"/>
            </w:pPr>
            <w:r w:rsidRPr="00576D60">
              <w:t>ad F2021L00660</w:t>
            </w:r>
          </w:p>
        </w:tc>
      </w:tr>
      <w:tr w:rsidR="00E93F58" w:rsidRPr="00576D60" w14:paraId="140B15B8" w14:textId="77777777" w:rsidTr="002F32E3">
        <w:trPr>
          <w:cantSplit/>
        </w:trPr>
        <w:tc>
          <w:tcPr>
            <w:tcW w:w="1500" w:type="pct"/>
            <w:shd w:val="clear" w:color="auto" w:fill="auto"/>
          </w:tcPr>
          <w:p w14:paraId="3617B737" w14:textId="77777777" w:rsidR="00E93F58" w:rsidRPr="00576D60" w:rsidRDefault="00E93F58" w:rsidP="003D2B1E">
            <w:pPr>
              <w:pStyle w:val="ENoteTableText"/>
              <w:tabs>
                <w:tab w:val="left" w:leader="dot" w:pos="2268"/>
              </w:tabs>
            </w:pPr>
            <w:r w:rsidRPr="00576D60">
              <w:t>r 10.45.01</w:t>
            </w:r>
            <w:r w:rsidRPr="00576D60">
              <w:tab/>
            </w:r>
          </w:p>
        </w:tc>
        <w:tc>
          <w:tcPr>
            <w:tcW w:w="3500" w:type="pct"/>
            <w:shd w:val="clear" w:color="auto" w:fill="auto"/>
          </w:tcPr>
          <w:p w14:paraId="46DC7F43" w14:textId="77777777" w:rsidR="00E93F58" w:rsidRPr="00576D60" w:rsidRDefault="00E93F58" w:rsidP="003D2B1E">
            <w:pPr>
              <w:pStyle w:val="ENoteTableText"/>
            </w:pPr>
            <w:r w:rsidRPr="00576D60">
              <w:t>ad F2021L00660</w:t>
            </w:r>
          </w:p>
        </w:tc>
      </w:tr>
      <w:tr w:rsidR="00E93F58" w:rsidRPr="00576D60" w14:paraId="6ABF16D5" w14:textId="77777777" w:rsidTr="002F32E3">
        <w:trPr>
          <w:cantSplit/>
        </w:trPr>
        <w:tc>
          <w:tcPr>
            <w:tcW w:w="1500" w:type="pct"/>
            <w:shd w:val="clear" w:color="auto" w:fill="auto"/>
          </w:tcPr>
          <w:p w14:paraId="084CE84C" w14:textId="77777777" w:rsidR="00E93F58" w:rsidRPr="00576D60" w:rsidRDefault="00E93F58" w:rsidP="003D2B1E">
            <w:pPr>
              <w:pStyle w:val="ENoteTableText"/>
              <w:tabs>
                <w:tab w:val="left" w:leader="dot" w:pos="2268"/>
              </w:tabs>
            </w:pPr>
            <w:r>
              <w:t>Part 1</w:t>
            </w:r>
            <w:r w:rsidRPr="00576D60">
              <w:t>0.46</w:t>
            </w:r>
            <w:r w:rsidRPr="00576D60">
              <w:tab/>
            </w:r>
          </w:p>
        </w:tc>
        <w:tc>
          <w:tcPr>
            <w:tcW w:w="3500" w:type="pct"/>
            <w:shd w:val="clear" w:color="auto" w:fill="auto"/>
          </w:tcPr>
          <w:p w14:paraId="097864C9" w14:textId="77777777" w:rsidR="00E93F58" w:rsidRPr="00576D60" w:rsidRDefault="00E93F58" w:rsidP="003D2B1E">
            <w:pPr>
              <w:pStyle w:val="ENoteTableText"/>
            </w:pPr>
            <w:r w:rsidRPr="00576D60">
              <w:t>ad F2021L01801 (disallowed)</w:t>
            </w:r>
          </w:p>
        </w:tc>
      </w:tr>
      <w:tr w:rsidR="00E93F58" w:rsidRPr="00576D60" w14:paraId="3F5BB9B4" w14:textId="77777777" w:rsidTr="002F32E3">
        <w:trPr>
          <w:cantSplit/>
        </w:trPr>
        <w:tc>
          <w:tcPr>
            <w:tcW w:w="1500" w:type="pct"/>
            <w:shd w:val="clear" w:color="auto" w:fill="auto"/>
          </w:tcPr>
          <w:p w14:paraId="3FDBE2D7" w14:textId="77777777" w:rsidR="00E93F58" w:rsidRPr="00576D60" w:rsidRDefault="00E93F58" w:rsidP="003D2B1E">
            <w:pPr>
              <w:pStyle w:val="ENoteTableText"/>
              <w:tabs>
                <w:tab w:val="left" w:leader="dot" w:pos="2268"/>
              </w:tabs>
            </w:pPr>
            <w:r w:rsidRPr="00576D60">
              <w:t>r 10.46.01</w:t>
            </w:r>
            <w:r w:rsidRPr="00576D60">
              <w:tab/>
            </w:r>
          </w:p>
        </w:tc>
        <w:tc>
          <w:tcPr>
            <w:tcW w:w="3500" w:type="pct"/>
            <w:shd w:val="clear" w:color="auto" w:fill="auto"/>
          </w:tcPr>
          <w:p w14:paraId="719A1670" w14:textId="77777777" w:rsidR="00E93F58" w:rsidRPr="00576D60" w:rsidRDefault="00E93F58" w:rsidP="003D2B1E">
            <w:pPr>
              <w:pStyle w:val="ENoteTableText"/>
            </w:pPr>
            <w:r w:rsidRPr="00576D60">
              <w:t>ad F2021L01801 (disallowed)</w:t>
            </w:r>
          </w:p>
        </w:tc>
      </w:tr>
      <w:tr w:rsidR="00E93F58" w:rsidRPr="00576D60" w14:paraId="0E158443" w14:textId="77777777" w:rsidTr="002F32E3">
        <w:trPr>
          <w:cantSplit/>
        </w:trPr>
        <w:tc>
          <w:tcPr>
            <w:tcW w:w="1500" w:type="pct"/>
            <w:shd w:val="clear" w:color="auto" w:fill="auto"/>
          </w:tcPr>
          <w:p w14:paraId="3CF00156" w14:textId="77777777" w:rsidR="00E93F58" w:rsidRPr="00576D60" w:rsidRDefault="00E93F58" w:rsidP="003D2B1E">
            <w:pPr>
              <w:pStyle w:val="ENoteTableText"/>
              <w:tabs>
                <w:tab w:val="left" w:leader="dot" w:pos="2268"/>
              </w:tabs>
            </w:pPr>
            <w:r w:rsidRPr="00576D60">
              <w:t>r 10.46.02</w:t>
            </w:r>
            <w:r w:rsidRPr="00576D60">
              <w:tab/>
            </w:r>
          </w:p>
        </w:tc>
        <w:tc>
          <w:tcPr>
            <w:tcW w:w="3500" w:type="pct"/>
            <w:shd w:val="clear" w:color="auto" w:fill="auto"/>
          </w:tcPr>
          <w:p w14:paraId="5E701D00" w14:textId="77777777" w:rsidR="00E93F58" w:rsidRPr="00576D60" w:rsidRDefault="00E93F58" w:rsidP="003D2B1E">
            <w:pPr>
              <w:pStyle w:val="ENoteTableText"/>
            </w:pPr>
            <w:r w:rsidRPr="00576D60">
              <w:t>ad F2021L01801 (disallowed)</w:t>
            </w:r>
          </w:p>
        </w:tc>
      </w:tr>
      <w:tr w:rsidR="00E93F58" w:rsidRPr="00576D60" w14:paraId="1BF8DC3C" w14:textId="77777777" w:rsidTr="002F32E3">
        <w:trPr>
          <w:cantSplit/>
        </w:trPr>
        <w:tc>
          <w:tcPr>
            <w:tcW w:w="1500" w:type="pct"/>
            <w:shd w:val="clear" w:color="auto" w:fill="auto"/>
          </w:tcPr>
          <w:p w14:paraId="6A7FAA19" w14:textId="77777777" w:rsidR="00E93F58" w:rsidRPr="00576D60" w:rsidRDefault="00E93F58" w:rsidP="003D2B1E">
            <w:pPr>
              <w:pStyle w:val="ENoteTableText"/>
              <w:tabs>
                <w:tab w:val="left" w:leader="dot" w:pos="2268"/>
              </w:tabs>
            </w:pPr>
            <w:r>
              <w:rPr>
                <w:b/>
              </w:rPr>
              <w:t>Part 1</w:t>
            </w:r>
            <w:r w:rsidRPr="00576D60">
              <w:rPr>
                <w:b/>
              </w:rPr>
              <w:t>0.47</w:t>
            </w:r>
          </w:p>
        </w:tc>
        <w:tc>
          <w:tcPr>
            <w:tcW w:w="3500" w:type="pct"/>
            <w:shd w:val="clear" w:color="auto" w:fill="auto"/>
          </w:tcPr>
          <w:p w14:paraId="3EAD5DEB" w14:textId="77777777" w:rsidR="00E93F58" w:rsidRPr="00576D60" w:rsidRDefault="00E93F58" w:rsidP="003D2B1E">
            <w:pPr>
              <w:pStyle w:val="ENoteTableText"/>
            </w:pPr>
          </w:p>
        </w:tc>
      </w:tr>
      <w:tr w:rsidR="00E93F58" w:rsidRPr="00576D60" w14:paraId="08122422" w14:textId="77777777" w:rsidTr="002F32E3">
        <w:trPr>
          <w:cantSplit/>
        </w:trPr>
        <w:tc>
          <w:tcPr>
            <w:tcW w:w="1500" w:type="pct"/>
            <w:shd w:val="clear" w:color="auto" w:fill="auto"/>
          </w:tcPr>
          <w:p w14:paraId="3525B7CC" w14:textId="77777777" w:rsidR="00E93F58" w:rsidRPr="00576D60" w:rsidRDefault="00E93F58" w:rsidP="003D2B1E">
            <w:pPr>
              <w:pStyle w:val="ENoteTableText"/>
              <w:tabs>
                <w:tab w:val="left" w:leader="dot" w:pos="2268"/>
              </w:tabs>
            </w:pPr>
            <w:r>
              <w:t>Part 1</w:t>
            </w:r>
            <w:r w:rsidRPr="00576D60">
              <w:t>0.47</w:t>
            </w:r>
            <w:r w:rsidRPr="00576D60">
              <w:tab/>
            </w:r>
          </w:p>
        </w:tc>
        <w:tc>
          <w:tcPr>
            <w:tcW w:w="3500" w:type="pct"/>
            <w:shd w:val="clear" w:color="auto" w:fill="auto"/>
          </w:tcPr>
          <w:p w14:paraId="0308EA53" w14:textId="77777777" w:rsidR="00E93F58" w:rsidRPr="00576D60" w:rsidRDefault="00E93F58" w:rsidP="003D2B1E">
            <w:pPr>
              <w:pStyle w:val="ENoteTableText"/>
            </w:pPr>
            <w:r w:rsidRPr="00576D60">
              <w:t>ad F2021L01608</w:t>
            </w:r>
          </w:p>
        </w:tc>
      </w:tr>
      <w:tr w:rsidR="00E93F58" w:rsidRPr="00576D60" w14:paraId="7D1C97F9" w14:textId="77777777" w:rsidTr="002F32E3">
        <w:trPr>
          <w:cantSplit/>
        </w:trPr>
        <w:tc>
          <w:tcPr>
            <w:tcW w:w="1500" w:type="pct"/>
            <w:shd w:val="clear" w:color="auto" w:fill="auto"/>
          </w:tcPr>
          <w:p w14:paraId="3B00E5C0" w14:textId="77777777" w:rsidR="00E93F58" w:rsidRPr="00576D60" w:rsidRDefault="00E93F58" w:rsidP="003D2B1E">
            <w:pPr>
              <w:pStyle w:val="ENoteTableText"/>
              <w:tabs>
                <w:tab w:val="left" w:leader="dot" w:pos="2268"/>
              </w:tabs>
            </w:pPr>
            <w:r w:rsidRPr="00576D60">
              <w:t>r 10.47.01</w:t>
            </w:r>
            <w:r w:rsidRPr="00576D60">
              <w:tab/>
            </w:r>
          </w:p>
        </w:tc>
        <w:tc>
          <w:tcPr>
            <w:tcW w:w="3500" w:type="pct"/>
            <w:shd w:val="clear" w:color="auto" w:fill="auto"/>
          </w:tcPr>
          <w:p w14:paraId="2C7AC677" w14:textId="77777777" w:rsidR="00E93F58" w:rsidRPr="00576D60" w:rsidRDefault="00E93F58" w:rsidP="003D2B1E">
            <w:pPr>
              <w:pStyle w:val="ENoteTableText"/>
            </w:pPr>
            <w:r w:rsidRPr="00576D60">
              <w:t>ad F2021L01608</w:t>
            </w:r>
          </w:p>
        </w:tc>
      </w:tr>
      <w:tr w:rsidR="00E93F58" w:rsidRPr="00576D60" w14:paraId="1008CEE8" w14:textId="77777777" w:rsidTr="002F32E3">
        <w:trPr>
          <w:cantSplit/>
        </w:trPr>
        <w:tc>
          <w:tcPr>
            <w:tcW w:w="1500" w:type="pct"/>
            <w:shd w:val="clear" w:color="auto" w:fill="auto"/>
          </w:tcPr>
          <w:p w14:paraId="4CFF1601" w14:textId="77777777" w:rsidR="00E93F58" w:rsidRPr="00576D60" w:rsidRDefault="00E93F58" w:rsidP="003D2B1E">
            <w:pPr>
              <w:pStyle w:val="ENoteTableText"/>
              <w:tabs>
                <w:tab w:val="left" w:leader="dot" w:pos="2268"/>
              </w:tabs>
              <w:rPr>
                <w:b/>
              </w:rPr>
            </w:pPr>
            <w:r>
              <w:rPr>
                <w:b/>
              </w:rPr>
              <w:t>Part 1</w:t>
            </w:r>
            <w:r w:rsidRPr="00576D60">
              <w:rPr>
                <w:b/>
              </w:rPr>
              <w:t>0.48</w:t>
            </w:r>
          </w:p>
        </w:tc>
        <w:tc>
          <w:tcPr>
            <w:tcW w:w="3500" w:type="pct"/>
            <w:shd w:val="clear" w:color="auto" w:fill="auto"/>
          </w:tcPr>
          <w:p w14:paraId="70FC0997" w14:textId="77777777" w:rsidR="00E93F58" w:rsidRPr="00576D60" w:rsidRDefault="00E93F58" w:rsidP="003D2B1E">
            <w:pPr>
              <w:pStyle w:val="ENoteTableText"/>
            </w:pPr>
          </w:p>
        </w:tc>
      </w:tr>
      <w:tr w:rsidR="00E93F58" w:rsidRPr="00576D60" w14:paraId="4DE27705" w14:textId="77777777" w:rsidTr="002F32E3">
        <w:trPr>
          <w:cantSplit/>
        </w:trPr>
        <w:tc>
          <w:tcPr>
            <w:tcW w:w="1500" w:type="pct"/>
            <w:shd w:val="clear" w:color="auto" w:fill="auto"/>
          </w:tcPr>
          <w:p w14:paraId="3CF6673C" w14:textId="77777777" w:rsidR="00E93F58" w:rsidRPr="00576D60" w:rsidRDefault="00E93F58" w:rsidP="003D2B1E">
            <w:pPr>
              <w:pStyle w:val="ENoteTableText"/>
              <w:tabs>
                <w:tab w:val="left" w:leader="dot" w:pos="2268"/>
              </w:tabs>
            </w:pPr>
            <w:r>
              <w:t>Part 1</w:t>
            </w:r>
            <w:r w:rsidRPr="00576D60">
              <w:t>0.48 (first occurring)</w:t>
            </w:r>
            <w:r w:rsidRPr="00576D60">
              <w:tab/>
            </w:r>
          </w:p>
        </w:tc>
        <w:tc>
          <w:tcPr>
            <w:tcW w:w="3500" w:type="pct"/>
            <w:shd w:val="clear" w:color="auto" w:fill="auto"/>
          </w:tcPr>
          <w:p w14:paraId="53E3312D" w14:textId="77777777" w:rsidR="00E93F58" w:rsidRPr="00576D60" w:rsidRDefault="00E93F58" w:rsidP="003D2B1E">
            <w:pPr>
              <w:pStyle w:val="ENoteTableText"/>
            </w:pPr>
            <w:r w:rsidRPr="00576D60">
              <w:t>ad F2022L01614</w:t>
            </w:r>
          </w:p>
        </w:tc>
      </w:tr>
      <w:tr w:rsidR="00E93F58" w:rsidRPr="00576D60" w14:paraId="722945CB" w14:textId="77777777" w:rsidTr="002F32E3">
        <w:trPr>
          <w:cantSplit/>
        </w:trPr>
        <w:tc>
          <w:tcPr>
            <w:tcW w:w="1500" w:type="pct"/>
            <w:shd w:val="clear" w:color="auto" w:fill="auto"/>
          </w:tcPr>
          <w:p w14:paraId="03FCD555" w14:textId="77777777" w:rsidR="00E93F58" w:rsidRPr="00576D60" w:rsidRDefault="00E93F58" w:rsidP="003D2B1E">
            <w:pPr>
              <w:pStyle w:val="ENoteTableText"/>
              <w:tabs>
                <w:tab w:val="left" w:leader="dot" w:pos="2268"/>
              </w:tabs>
            </w:pPr>
            <w:r w:rsidRPr="00576D60">
              <w:t>r 10.48.01 (first occurring)</w:t>
            </w:r>
            <w:r w:rsidRPr="00576D60">
              <w:tab/>
            </w:r>
          </w:p>
        </w:tc>
        <w:tc>
          <w:tcPr>
            <w:tcW w:w="3500" w:type="pct"/>
            <w:shd w:val="clear" w:color="auto" w:fill="auto"/>
          </w:tcPr>
          <w:p w14:paraId="1590E18B" w14:textId="77777777" w:rsidR="00E93F58" w:rsidRPr="00576D60" w:rsidRDefault="00E93F58" w:rsidP="003D2B1E">
            <w:pPr>
              <w:pStyle w:val="ENoteTableText"/>
            </w:pPr>
            <w:r w:rsidRPr="00576D60">
              <w:t>ad F2022L01614</w:t>
            </w:r>
          </w:p>
        </w:tc>
      </w:tr>
      <w:tr w:rsidR="00E93F58" w:rsidRPr="00576D60" w14:paraId="78636E90" w14:textId="77777777" w:rsidTr="002F32E3">
        <w:trPr>
          <w:cantSplit/>
        </w:trPr>
        <w:tc>
          <w:tcPr>
            <w:tcW w:w="1500" w:type="pct"/>
            <w:shd w:val="clear" w:color="auto" w:fill="auto"/>
          </w:tcPr>
          <w:p w14:paraId="346774B5" w14:textId="77777777" w:rsidR="00E93F58" w:rsidRPr="00576D60" w:rsidRDefault="00E93F58" w:rsidP="003D2B1E">
            <w:pPr>
              <w:pStyle w:val="ENoteTableText"/>
              <w:tabs>
                <w:tab w:val="left" w:leader="dot" w:pos="2268"/>
              </w:tabs>
              <w:rPr>
                <w:b/>
              </w:rPr>
            </w:pPr>
            <w:r>
              <w:rPr>
                <w:b/>
              </w:rPr>
              <w:t>Part 1</w:t>
            </w:r>
            <w:r w:rsidRPr="00576D60">
              <w:rPr>
                <w:b/>
              </w:rPr>
              <w:t>0.4</w:t>
            </w:r>
            <w:r>
              <w:rPr>
                <w:b/>
              </w:rPr>
              <w:t>9</w:t>
            </w:r>
          </w:p>
        </w:tc>
        <w:tc>
          <w:tcPr>
            <w:tcW w:w="3500" w:type="pct"/>
            <w:shd w:val="clear" w:color="auto" w:fill="auto"/>
          </w:tcPr>
          <w:p w14:paraId="7FF5163F" w14:textId="77777777" w:rsidR="00E93F58" w:rsidRPr="00576D60" w:rsidRDefault="00E93F58" w:rsidP="003D2B1E">
            <w:pPr>
              <w:pStyle w:val="ENoteTableText"/>
            </w:pPr>
          </w:p>
        </w:tc>
      </w:tr>
      <w:tr w:rsidR="00E93F58" w:rsidRPr="00576D60" w14:paraId="6BCA0D80" w14:textId="77777777" w:rsidTr="002F32E3">
        <w:trPr>
          <w:cantSplit/>
        </w:trPr>
        <w:tc>
          <w:tcPr>
            <w:tcW w:w="1500" w:type="pct"/>
            <w:shd w:val="clear" w:color="auto" w:fill="auto"/>
          </w:tcPr>
          <w:p w14:paraId="199577EF" w14:textId="77777777" w:rsidR="00E93F58" w:rsidRPr="00576D60" w:rsidRDefault="00E93F58" w:rsidP="003D2B1E">
            <w:pPr>
              <w:pStyle w:val="ENoteTableText"/>
              <w:tabs>
                <w:tab w:val="left" w:leader="dot" w:pos="2268"/>
              </w:tabs>
            </w:pPr>
            <w:r>
              <w:t>Part 1</w:t>
            </w:r>
            <w:r w:rsidRPr="00576D60">
              <w:t>0.48 (second occurring)</w:t>
            </w:r>
            <w:r w:rsidRPr="00576D60">
              <w:tab/>
            </w:r>
          </w:p>
        </w:tc>
        <w:tc>
          <w:tcPr>
            <w:tcW w:w="3500" w:type="pct"/>
            <w:shd w:val="clear" w:color="auto" w:fill="auto"/>
          </w:tcPr>
          <w:p w14:paraId="1626DBC7" w14:textId="77777777" w:rsidR="00E93F58" w:rsidRPr="00576D60" w:rsidRDefault="00E93F58" w:rsidP="003D2B1E">
            <w:pPr>
              <w:pStyle w:val="ENoteTableText"/>
            </w:pPr>
            <w:r w:rsidRPr="00576D60">
              <w:t>ad F2022L01689</w:t>
            </w:r>
          </w:p>
        </w:tc>
      </w:tr>
      <w:tr w:rsidR="00E93F58" w:rsidRPr="00576D60" w14:paraId="6BD107A6" w14:textId="77777777" w:rsidTr="002F32E3">
        <w:trPr>
          <w:cantSplit/>
        </w:trPr>
        <w:tc>
          <w:tcPr>
            <w:tcW w:w="1500" w:type="pct"/>
            <w:shd w:val="clear" w:color="auto" w:fill="auto"/>
          </w:tcPr>
          <w:p w14:paraId="4174C7C8" w14:textId="77777777" w:rsidR="00E93F58" w:rsidRDefault="00E93F58" w:rsidP="003D2B1E">
            <w:pPr>
              <w:pStyle w:val="ENoteTableText"/>
              <w:tabs>
                <w:tab w:val="left" w:leader="dot" w:pos="2268"/>
              </w:tabs>
            </w:pPr>
          </w:p>
        </w:tc>
        <w:tc>
          <w:tcPr>
            <w:tcW w:w="3500" w:type="pct"/>
            <w:shd w:val="clear" w:color="auto" w:fill="auto"/>
          </w:tcPr>
          <w:p w14:paraId="38212D3B" w14:textId="77777777" w:rsidR="00E93F58" w:rsidRPr="00576D60" w:rsidRDefault="00E93F58" w:rsidP="003D2B1E">
            <w:pPr>
              <w:pStyle w:val="ENoteTableText"/>
            </w:pPr>
            <w:r>
              <w:t>renum F2023L01458</w:t>
            </w:r>
          </w:p>
        </w:tc>
      </w:tr>
      <w:tr w:rsidR="00E93F58" w:rsidRPr="00576D60" w14:paraId="0D8F07BF" w14:textId="77777777" w:rsidTr="002F32E3">
        <w:trPr>
          <w:cantSplit/>
        </w:trPr>
        <w:tc>
          <w:tcPr>
            <w:tcW w:w="1500" w:type="pct"/>
            <w:shd w:val="clear" w:color="auto" w:fill="auto"/>
          </w:tcPr>
          <w:p w14:paraId="4D1F55A1" w14:textId="77777777" w:rsidR="00E93F58" w:rsidRDefault="00E93F58" w:rsidP="003D2B1E">
            <w:pPr>
              <w:pStyle w:val="ENoteTableText"/>
              <w:tabs>
                <w:tab w:val="left" w:leader="dot" w:pos="2268"/>
              </w:tabs>
            </w:pPr>
            <w:r>
              <w:t>Part 10.49 (prev Part 10.48 (second occuring))</w:t>
            </w:r>
          </w:p>
        </w:tc>
        <w:tc>
          <w:tcPr>
            <w:tcW w:w="3500" w:type="pct"/>
            <w:shd w:val="clear" w:color="auto" w:fill="auto"/>
          </w:tcPr>
          <w:p w14:paraId="4624D1BD" w14:textId="77777777" w:rsidR="00E93F58" w:rsidRPr="00576D60" w:rsidRDefault="00E93F58" w:rsidP="003D2B1E">
            <w:pPr>
              <w:pStyle w:val="ENoteTableText"/>
            </w:pPr>
          </w:p>
        </w:tc>
      </w:tr>
      <w:tr w:rsidR="00E93F58" w:rsidRPr="00576D60" w14:paraId="5CBE7B0B" w14:textId="77777777" w:rsidTr="002F32E3">
        <w:trPr>
          <w:cantSplit/>
        </w:trPr>
        <w:tc>
          <w:tcPr>
            <w:tcW w:w="1500" w:type="pct"/>
            <w:shd w:val="clear" w:color="auto" w:fill="auto"/>
          </w:tcPr>
          <w:p w14:paraId="4328D3D2" w14:textId="77777777" w:rsidR="00E93F58" w:rsidRPr="00576D60" w:rsidRDefault="00E93F58" w:rsidP="003D2B1E">
            <w:pPr>
              <w:pStyle w:val="ENoteTableText"/>
              <w:tabs>
                <w:tab w:val="left" w:leader="dot" w:pos="2268"/>
              </w:tabs>
            </w:pPr>
            <w:r w:rsidRPr="00576D60">
              <w:t>r 10.48.01 (second occurring)</w:t>
            </w:r>
            <w:r w:rsidRPr="00576D60">
              <w:tab/>
            </w:r>
          </w:p>
        </w:tc>
        <w:tc>
          <w:tcPr>
            <w:tcW w:w="3500" w:type="pct"/>
            <w:shd w:val="clear" w:color="auto" w:fill="auto"/>
          </w:tcPr>
          <w:p w14:paraId="10530A4A" w14:textId="77777777" w:rsidR="00E93F58" w:rsidRPr="00576D60" w:rsidRDefault="00E93F58" w:rsidP="003D2B1E">
            <w:pPr>
              <w:pStyle w:val="ENoteTableText"/>
            </w:pPr>
            <w:r w:rsidRPr="00576D60">
              <w:t>ad F2022L01689</w:t>
            </w:r>
          </w:p>
        </w:tc>
      </w:tr>
      <w:tr w:rsidR="00E93F58" w:rsidRPr="00576D60" w14:paraId="10CEA124" w14:textId="77777777" w:rsidTr="002F32E3">
        <w:trPr>
          <w:cantSplit/>
        </w:trPr>
        <w:tc>
          <w:tcPr>
            <w:tcW w:w="1500" w:type="pct"/>
            <w:shd w:val="clear" w:color="auto" w:fill="auto"/>
          </w:tcPr>
          <w:p w14:paraId="12833DC0" w14:textId="77777777" w:rsidR="00E93F58" w:rsidRPr="00576D60" w:rsidRDefault="00E93F58" w:rsidP="003D2B1E">
            <w:pPr>
              <w:pStyle w:val="ENoteTableText"/>
              <w:tabs>
                <w:tab w:val="left" w:leader="dot" w:pos="2268"/>
              </w:tabs>
            </w:pPr>
          </w:p>
        </w:tc>
        <w:tc>
          <w:tcPr>
            <w:tcW w:w="3500" w:type="pct"/>
            <w:shd w:val="clear" w:color="auto" w:fill="auto"/>
          </w:tcPr>
          <w:p w14:paraId="4FE49FAD" w14:textId="77777777" w:rsidR="00E93F58" w:rsidRPr="00576D60" w:rsidRDefault="00E93F58" w:rsidP="003D2B1E">
            <w:pPr>
              <w:pStyle w:val="ENoteTableText"/>
            </w:pPr>
            <w:r>
              <w:t>renum F2023L01458</w:t>
            </w:r>
          </w:p>
        </w:tc>
      </w:tr>
      <w:tr w:rsidR="00E93F58" w:rsidRPr="00576D60" w14:paraId="4A257B81" w14:textId="77777777" w:rsidTr="002F32E3">
        <w:trPr>
          <w:cantSplit/>
        </w:trPr>
        <w:tc>
          <w:tcPr>
            <w:tcW w:w="1500" w:type="pct"/>
            <w:shd w:val="clear" w:color="auto" w:fill="auto"/>
          </w:tcPr>
          <w:p w14:paraId="6208AE21" w14:textId="77777777" w:rsidR="00E93F58" w:rsidRPr="00576D60" w:rsidRDefault="00E93F58" w:rsidP="003D2B1E">
            <w:pPr>
              <w:pStyle w:val="ENoteTableText"/>
              <w:tabs>
                <w:tab w:val="left" w:leader="dot" w:pos="2268"/>
              </w:tabs>
            </w:pPr>
            <w:r>
              <w:t>r 10.49.01 (prev r 10.48.01 (second occuring))</w:t>
            </w:r>
          </w:p>
        </w:tc>
        <w:tc>
          <w:tcPr>
            <w:tcW w:w="3500" w:type="pct"/>
            <w:shd w:val="clear" w:color="auto" w:fill="auto"/>
          </w:tcPr>
          <w:p w14:paraId="020D0FD8" w14:textId="77777777" w:rsidR="00E93F58" w:rsidRPr="00576D60" w:rsidRDefault="00E93F58" w:rsidP="003D2B1E">
            <w:pPr>
              <w:pStyle w:val="ENoteTableText"/>
            </w:pPr>
          </w:p>
        </w:tc>
      </w:tr>
      <w:tr w:rsidR="00E93F58" w:rsidRPr="00576D60" w14:paraId="681EE313" w14:textId="77777777" w:rsidTr="002F32E3">
        <w:trPr>
          <w:cantSplit/>
        </w:trPr>
        <w:tc>
          <w:tcPr>
            <w:tcW w:w="1500" w:type="pct"/>
            <w:shd w:val="clear" w:color="auto" w:fill="auto"/>
          </w:tcPr>
          <w:p w14:paraId="1AFFD9E3" w14:textId="77777777" w:rsidR="00E93F58" w:rsidRPr="00576D60" w:rsidRDefault="00E93F58" w:rsidP="003D2B1E">
            <w:pPr>
              <w:pStyle w:val="ENoteTableText"/>
              <w:tabs>
                <w:tab w:val="left" w:leader="dot" w:pos="2268"/>
              </w:tabs>
              <w:rPr>
                <w:b/>
              </w:rPr>
            </w:pPr>
            <w:r>
              <w:rPr>
                <w:b/>
              </w:rPr>
              <w:t>Part 1</w:t>
            </w:r>
            <w:r w:rsidRPr="00576D60">
              <w:rPr>
                <w:b/>
              </w:rPr>
              <w:t>0.50</w:t>
            </w:r>
          </w:p>
        </w:tc>
        <w:tc>
          <w:tcPr>
            <w:tcW w:w="3500" w:type="pct"/>
            <w:shd w:val="clear" w:color="auto" w:fill="auto"/>
          </w:tcPr>
          <w:p w14:paraId="645691A9" w14:textId="77777777" w:rsidR="00E93F58" w:rsidRPr="00576D60" w:rsidRDefault="00E93F58" w:rsidP="003D2B1E">
            <w:pPr>
              <w:pStyle w:val="ENoteTableText"/>
            </w:pPr>
          </w:p>
        </w:tc>
      </w:tr>
      <w:tr w:rsidR="00E93F58" w:rsidRPr="00576D60" w14:paraId="2DE756B3" w14:textId="77777777" w:rsidTr="002F32E3">
        <w:trPr>
          <w:cantSplit/>
        </w:trPr>
        <w:tc>
          <w:tcPr>
            <w:tcW w:w="1500" w:type="pct"/>
            <w:shd w:val="clear" w:color="auto" w:fill="auto"/>
          </w:tcPr>
          <w:p w14:paraId="03FA3236" w14:textId="77777777" w:rsidR="00E93F58" w:rsidRPr="00576D60" w:rsidRDefault="00E93F58" w:rsidP="003D2B1E">
            <w:pPr>
              <w:pStyle w:val="ENoteTableText"/>
              <w:tabs>
                <w:tab w:val="left" w:leader="dot" w:pos="2268"/>
              </w:tabs>
            </w:pPr>
            <w:r>
              <w:t>Part 1</w:t>
            </w:r>
            <w:r w:rsidRPr="00576D60">
              <w:t>0.50</w:t>
            </w:r>
            <w:r w:rsidRPr="00576D60">
              <w:tab/>
            </w:r>
          </w:p>
        </w:tc>
        <w:tc>
          <w:tcPr>
            <w:tcW w:w="3500" w:type="pct"/>
            <w:shd w:val="clear" w:color="auto" w:fill="auto"/>
          </w:tcPr>
          <w:p w14:paraId="30650115" w14:textId="77777777" w:rsidR="00E93F58" w:rsidRPr="00576D60" w:rsidRDefault="00E93F58" w:rsidP="003D2B1E">
            <w:pPr>
              <w:pStyle w:val="ENoteTableText"/>
            </w:pPr>
            <w:r w:rsidRPr="00576D60">
              <w:t>ad F2023L00990</w:t>
            </w:r>
          </w:p>
        </w:tc>
      </w:tr>
      <w:tr w:rsidR="00E93F58" w:rsidRPr="00576D60" w14:paraId="54E3AA54" w14:textId="77777777" w:rsidTr="002F32E3">
        <w:trPr>
          <w:cantSplit/>
        </w:trPr>
        <w:tc>
          <w:tcPr>
            <w:tcW w:w="1500" w:type="pct"/>
            <w:shd w:val="clear" w:color="auto" w:fill="auto"/>
          </w:tcPr>
          <w:p w14:paraId="1EF5E33A" w14:textId="77777777" w:rsidR="00E93F58" w:rsidRPr="00576D60" w:rsidRDefault="00E93F58" w:rsidP="003D2B1E">
            <w:pPr>
              <w:pStyle w:val="ENoteTableText"/>
              <w:tabs>
                <w:tab w:val="left" w:leader="dot" w:pos="2268"/>
              </w:tabs>
            </w:pPr>
            <w:r w:rsidRPr="00576D60">
              <w:t>r 10.50.01</w:t>
            </w:r>
            <w:r w:rsidRPr="00576D60">
              <w:tab/>
            </w:r>
          </w:p>
        </w:tc>
        <w:tc>
          <w:tcPr>
            <w:tcW w:w="3500" w:type="pct"/>
            <w:shd w:val="clear" w:color="auto" w:fill="auto"/>
          </w:tcPr>
          <w:p w14:paraId="5A1AE583" w14:textId="77777777" w:rsidR="00E93F58" w:rsidRPr="00576D60" w:rsidRDefault="00E93F58" w:rsidP="003D2B1E">
            <w:pPr>
              <w:pStyle w:val="ENoteTableText"/>
            </w:pPr>
            <w:r w:rsidRPr="00576D60">
              <w:t>ad F2023L00990</w:t>
            </w:r>
          </w:p>
        </w:tc>
      </w:tr>
      <w:tr w:rsidR="00E93F58" w:rsidRPr="00576D60" w14:paraId="47A6C412" w14:textId="77777777" w:rsidTr="002F32E3">
        <w:trPr>
          <w:cantSplit/>
        </w:trPr>
        <w:tc>
          <w:tcPr>
            <w:tcW w:w="1500" w:type="pct"/>
            <w:shd w:val="clear" w:color="auto" w:fill="auto"/>
          </w:tcPr>
          <w:p w14:paraId="3D0A4D41" w14:textId="77777777" w:rsidR="00E93F58" w:rsidRPr="00576D60" w:rsidRDefault="00E93F58" w:rsidP="003D2B1E">
            <w:pPr>
              <w:pStyle w:val="ENoteTableText"/>
              <w:keepNext/>
              <w:tabs>
                <w:tab w:val="left" w:leader="dot" w:pos="2268"/>
              </w:tabs>
              <w:rPr>
                <w:b/>
              </w:rPr>
            </w:pPr>
            <w:r w:rsidRPr="00576D60">
              <w:rPr>
                <w:b/>
              </w:rPr>
              <w:t>Chapter 12</w:t>
            </w:r>
          </w:p>
        </w:tc>
        <w:tc>
          <w:tcPr>
            <w:tcW w:w="3500" w:type="pct"/>
            <w:shd w:val="clear" w:color="auto" w:fill="auto"/>
          </w:tcPr>
          <w:p w14:paraId="4F42904D" w14:textId="77777777" w:rsidR="00E93F58" w:rsidRPr="00576D60" w:rsidRDefault="00E93F58" w:rsidP="003D2B1E">
            <w:pPr>
              <w:pStyle w:val="ENoteTableText"/>
            </w:pPr>
          </w:p>
        </w:tc>
      </w:tr>
      <w:tr w:rsidR="00E93F58" w:rsidRPr="00576D60" w14:paraId="39093AAA" w14:textId="77777777" w:rsidTr="002F32E3">
        <w:trPr>
          <w:cantSplit/>
        </w:trPr>
        <w:tc>
          <w:tcPr>
            <w:tcW w:w="1500" w:type="pct"/>
            <w:shd w:val="clear" w:color="auto" w:fill="auto"/>
          </w:tcPr>
          <w:p w14:paraId="63BCC82B" w14:textId="77777777" w:rsidR="00E93F58" w:rsidRPr="00576D60" w:rsidRDefault="00E93F58" w:rsidP="003D2B1E">
            <w:pPr>
              <w:pStyle w:val="ENoteTableText"/>
              <w:tabs>
                <w:tab w:val="left" w:leader="dot" w:pos="2268"/>
              </w:tabs>
              <w:rPr>
                <w:b/>
              </w:rPr>
            </w:pPr>
            <w:r>
              <w:rPr>
                <w:b/>
              </w:rPr>
              <w:t>Part 12.4</w:t>
            </w:r>
          </w:p>
        </w:tc>
        <w:tc>
          <w:tcPr>
            <w:tcW w:w="3500" w:type="pct"/>
            <w:shd w:val="clear" w:color="auto" w:fill="auto"/>
          </w:tcPr>
          <w:p w14:paraId="5C580D75" w14:textId="77777777" w:rsidR="00E93F58" w:rsidRPr="00576D60" w:rsidRDefault="00E93F58" w:rsidP="003D2B1E">
            <w:pPr>
              <w:pStyle w:val="ENoteTableText"/>
            </w:pPr>
          </w:p>
        </w:tc>
      </w:tr>
      <w:tr w:rsidR="00E93F58" w:rsidRPr="00576D60" w14:paraId="1CDA7914" w14:textId="77777777" w:rsidTr="002F32E3">
        <w:trPr>
          <w:cantSplit/>
        </w:trPr>
        <w:tc>
          <w:tcPr>
            <w:tcW w:w="1500" w:type="pct"/>
            <w:shd w:val="clear" w:color="auto" w:fill="auto"/>
          </w:tcPr>
          <w:p w14:paraId="321C5A95" w14:textId="77777777" w:rsidR="00E93F58" w:rsidRPr="009A485E" w:rsidRDefault="00E93F58" w:rsidP="003D2B1E">
            <w:pPr>
              <w:pStyle w:val="ENoteTableText"/>
              <w:tabs>
                <w:tab w:val="left" w:leader="dot" w:pos="2268"/>
              </w:tabs>
            </w:pPr>
            <w:r>
              <w:t>r 12.4.04</w:t>
            </w:r>
            <w:r>
              <w:tab/>
            </w:r>
          </w:p>
        </w:tc>
        <w:tc>
          <w:tcPr>
            <w:tcW w:w="3500" w:type="pct"/>
            <w:shd w:val="clear" w:color="auto" w:fill="auto"/>
          </w:tcPr>
          <w:p w14:paraId="04CBE345" w14:textId="77777777" w:rsidR="00E93F58" w:rsidRPr="00576D60" w:rsidRDefault="00E93F58" w:rsidP="003D2B1E">
            <w:pPr>
              <w:pStyle w:val="ENoteTableText"/>
            </w:pPr>
            <w:r>
              <w:t xml:space="preserve">am </w:t>
            </w:r>
            <w:r w:rsidRPr="00C42170">
              <w:rPr>
                <w:u w:val="single"/>
              </w:rPr>
              <w:t>F2023L01423</w:t>
            </w:r>
          </w:p>
        </w:tc>
      </w:tr>
      <w:tr w:rsidR="00E93F58" w:rsidRPr="00576D60" w14:paraId="7087F466" w14:textId="77777777" w:rsidTr="002F32E3">
        <w:trPr>
          <w:cantSplit/>
        </w:trPr>
        <w:tc>
          <w:tcPr>
            <w:tcW w:w="1500" w:type="pct"/>
            <w:shd w:val="clear" w:color="auto" w:fill="auto"/>
          </w:tcPr>
          <w:p w14:paraId="0463B1C9" w14:textId="77777777" w:rsidR="00E93F58" w:rsidRPr="00576D60" w:rsidRDefault="00E93F58" w:rsidP="003D2B1E">
            <w:pPr>
              <w:pStyle w:val="ENoteTableText"/>
              <w:tabs>
                <w:tab w:val="left" w:leader="dot" w:pos="2268"/>
              </w:tabs>
              <w:rPr>
                <w:b/>
              </w:rPr>
            </w:pPr>
            <w:r>
              <w:rPr>
                <w:b/>
              </w:rPr>
              <w:t>Part 1</w:t>
            </w:r>
            <w:r w:rsidRPr="00576D60">
              <w:rPr>
                <w:b/>
              </w:rPr>
              <w:t>2.6</w:t>
            </w:r>
          </w:p>
        </w:tc>
        <w:tc>
          <w:tcPr>
            <w:tcW w:w="3500" w:type="pct"/>
            <w:shd w:val="clear" w:color="auto" w:fill="auto"/>
          </w:tcPr>
          <w:p w14:paraId="7FA8245D" w14:textId="77777777" w:rsidR="00E93F58" w:rsidRPr="00576D60" w:rsidRDefault="00E93F58" w:rsidP="003D2B1E">
            <w:pPr>
              <w:pStyle w:val="ENoteTableText"/>
            </w:pPr>
          </w:p>
        </w:tc>
      </w:tr>
      <w:tr w:rsidR="00E93F58" w:rsidRPr="00576D60" w14:paraId="31C21721" w14:textId="77777777" w:rsidTr="002F32E3">
        <w:trPr>
          <w:cantSplit/>
        </w:trPr>
        <w:tc>
          <w:tcPr>
            <w:tcW w:w="1500" w:type="pct"/>
            <w:shd w:val="clear" w:color="auto" w:fill="auto"/>
          </w:tcPr>
          <w:p w14:paraId="2AB7ED8F" w14:textId="77777777" w:rsidR="00E93F58" w:rsidRPr="00576D60" w:rsidRDefault="00E93F58" w:rsidP="003D2B1E">
            <w:pPr>
              <w:pStyle w:val="ENoteTableText"/>
              <w:tabs>
                <w:tab w:val="left" w:leader="dot" w:pos="2268"/>
              </w:tabs>
            </w:pPr>
            <w:r w:rsidRPr="00576D60">
              <w:t>r 12.1.01</w:t>
            </w:r>
            <w:r w:rsidRPr="00576D60">
              <w:tab/>
            </w:r>
          </w:p>
        </w:tc>
        <w:tc>
          <w:tcPr>
            <w:tcW w:w="3500" w:type="pct"/>
            <w:shd w:val="clear" w:color="auto" w:fill="auto"/>
          </w:tcPr>
          <w:p w14:paraId="6D214E34" w14:textId="77777777" w:rsidR="00E93F58" w:rsidRPr="00576D60" w:rsidRDefault="00E93F58" w:rsidP="003D2B1E">
            <w:pPr>
              <w:pStyle w:val="ENoteTableText"/>
            </w:pPr>
            <w:r w:rsidRPr="00576D60">
              <w:t>ed C124</w:t>
            </w:r>
          </w:p>
        </w:tc>
      </w:tr>
      <w:tr w:rsidR="00E93F58" w:rsidRPr="00576D60" w14:paraId="0581CA09" w14:textId="77777777" w:rsidTr="002F32E3">
        <w:trPr>
          <w:cantSplit/>
        </w:trPr>
        <w:tc>
          <w:tcPr>
            <w:tcW w:w="1500" w:type="pct"/>
            <w:shd w:val="clear" w:color="auto" w:fill="auto"/>
          </w:tcPr>
          <w:p w14:paraId="7DFE18BD" w14:textId="77777777" w:rsidR="00E93F58" w:rsidRPr="00576D60" w:rsidRDefault="00E93F58" w:rsidP="003D2B1E">
            <w:pPr>
              <w:pStyle w:val="ENoteTableText"/>
              <w:tabs>
                <w:tab w:val="left" w:leader="dot" w:pos="2268"/>
              </w:tabs>
            </w:pPr>
            <w:r w:rsidRPr="00576D60">
              <w:t>r 12.06.01A</w:t>
            </w:r>
            <w:r w:rsidRPr="00576D60">
              <w:tab/>
            </w:r>
          </w:p>
        </w:tc>
        <w:tc>
          <w:tcPr>
            <w:tcW w:w="3500" w:type="pct"/>
            <w:shd w:val="clear" w:color="auto" w:fill="auto"/>
          </w:tcPr>
          <w:p w14:paraId="1807FD01" w14:textId="77777777" w:rsidR="00E93F58" w:rsidRPr="00576D60" w:rsidRDefault="00E93F58" w:rsidP="003D2B1E">
            <w:pPr>
              <w:pStyle w:val="ENoteTableText"/>
            </w:pPr>
            <w:r w:rsidRPr="00576D60">
              <w:t>ad No 184, 2010</w:t>
            </w:r>
          </w:p>
        </w:tc>
      </w:tr>
      <w:tr w:rsidR="00E93F58" w:rsidRPr="00576D60" w14:paraId="39C11544" w14:textId="77777777" w:rsidTr="002F32E3">
        <w:trPr>
          <w:cantSplit/>
        </w:trPr>
        <w:tc>
          <w:tcPr>
            <w:tcW w:w="1500" w:type="pct"/>
            <w:shd w:val="clear" w:color="auto" w:fill="auto"/>
          </w:tcPr>
          <w:p w14:paraId="5F30775C" w14:textId="77777777" w:rsidR="00E93F58" w:rsidRPr="00576D60" w:rsidRDefault="00E93F58" w:rsidP="003D2B1E">
            <w:pPr>
              <w:pStyle w:val="ENoteTableText"/>
              <w:keepNext/>
              <w:keepLines/>
              <w:tabs>
                <w:tab w:val="left" w:leader="dot" w:pos="2268"/>
              </w:tabs>
              <w:rPr>
                <w:b/>
              </w:rPr>
            </w:pPr>
            <w:r>
              <w:rPr>
                <w:b/>
              </w:rPr>
              <w:t>Part 1</w:t>
            </w:r>
            <w:r w:rsidRPr="00576D60">
              <w:rPr>
                <w:b/>
              </w:rPr>
              <w:t>2.7</w:t>
            </w:r>
          </w:p>
        </w:tc>
        <w:tc>
          <w:tcPr>
            <w:tcW w:w="3500" w:type="pct"/>
            <w:shd w:val="clear" w:color="auto" w:fill="auto"/>
          </w:tcPr>
          <w:p w14:paraId="615FF82F" w14:textId="77777777" w:rsidR="00E93F58" w:rsidRPr="00576D60" w:rsidRDefault="00E93F58" w:rsidP="003D2B1E">
            <w:pPr>
              <w:pStyle w:val="ENoteTableText"/>
              <w:keepNext/>
              <w:keepLines/>
            </w:pPr>
          </w:p>
        </w:tc>
      </w:tr>
      <w:tr w:rsidR="00E93F58" w:rsidRPr="00576D60" w14:paraId="5948CE11" w14:textId="77777777" w:rsidTr="002F32E3">
        <w:trPr>
          <w:cantSplit/>
        </w:trPr>
        <w:tc>
          <w:tcPr>
            <w:tcW w:w="1500" w:type="pct"/>
            <w:shd w:val="clear" w:color="auto" w:fill="auto"/>
          </w:tcPr>
          <w:p w14:paraId="3F59A4A6" w14:textId="77777777" w:rsidR="00E93F58" w:rsidRPr="00576D60" w:rsidRDefault="00E93F58" w:rsidP="003D2B1E">
            <w:pPr>
              <w:pStyle w:val="ENoteTableText"/>
              <w:tabs>
                <w:tab w:val="left" w:leader="dot" w:pos="2268"/>
              </w:tabs>
              <w:rPr>
                <w:b/>
              </w:rPr>
            </w:pPr>
            <w:r>
              <w:rPr>
                <w:b/>
              </w:rPr>
              <w:t>Division 2</w:t>
            </w:r>
          </w:p>
        </w:tc>
        <w:tc>
          <w:tcPr>
            <w:tcW w:w="3500" w:type="pct"/>
            <w:shd w:val="clear" w:color="auto" w:fill="auto"/>
          </w:tcPr>
          <w:p w14:paraId="6D0E5110" w14:textId="77777777" w:rsidR="00E93F58" w:rsidRPr="00576D60" w:rsidRDefault="00E93F58" w:rsidP="003D2B1E">
            <w:pPr>
              <w:pStyle w:val="ENoteTableText"/>
              <w:keepNext/>
              <w:keepLines/>
            </w:pPr>
          </w:p>
        </w:tc>
      </w:tr>
      <w:tr w:rsidR="00E93F58" w:rsidRPr="00576D60" w14:paraId="2A5A3730" w14:textId="77777777" w:rsidTr="002F32E3">
        <w:trPr>
          <w:cantSplit/>
        </w:trPr>
        <w:tc>
          <w:tcPr>
            <w:tcW w:w="1500" w:type="pct"/>
            <w:shd w:val="clear" w:color="auto" w:fill="auto"/>
          </w:tcPr>
          <w:p w14:paraId="59165ABC" w14:textId="77777777" w:rsidR="00E93F58" w:rsidRPr="00576D60" w:rsidRDefault="00E93F58" w:rsidP="003D2B1E">
            <w:pPr>
              <w:pStyle w:val="ENoteTableText"/>
              <w:tabs>
                <w:tab w:val="left" w:leader="dot" w:pos="2268"/>
              </w:tabs>
            </w:pPr>
            <w:r w:rsidRPr="00576D60">
              <w:t>r 12.7.06</w:t>
            </w:r>
            <w:r w:rsidRPr="00576D60">
              <w:tab/>
            </w:r>
          </w:p>
        </w:tc>
        <w:tc>
          <w:tcPr>
            <w:tcW w:w="3500" w:type="pct"/>
            <w:shd w:val="clear" w:color="auto" w:fill="auto"/>
          </w:tcPr>
          <w:p w14:paraId="49A3C21A" w14:textId="77777777" w:rsidR="00E93F58" w:rsidRPr="00576D60" w:rsidRDefault="00E93F58" w:rsidP="003D2B1E">
            <w:pPr>
              <w:pStyle w:val="ENoteTableText"/>
            </w:pPr>
            <w:r w:rsidRPr="00576D60">
              <w:t>ad No 85, 2003</w:t>
            </w:r>
          </w:p>
        </w:tc>
      </w:tr>
      <w:tr w:rsidR="00E93F58" w:rsidRPr="00576D60" w14:paraId="6D839C59" w14:textId="77777777" w:rsidTr="002F32E3">
        <w:trPr>
          <w:cantSplit/>
        </w:trPr>
        <w:tc>
          <w:tcPr>
            <w:tcW w:w="1500" w:type="pct"/>
            <w:shd w:val="clear" w:color="auto" w:fill="auto"/>
          </w:tcPr>
          <w:p w14:paraId="6203FAD0" w14:textId="77777777" w:rsidR="00E93F58" w:rsidRPr="00576D60" w:rsidRDefault="00E93F58" w:rsidP="003D2B1E">
            <w:pPr>
              <w:pStyle w:val="ENoteTableText"/>
            </w:pPr>
          </w:p>
        </w:tc>
        <w:tc>
          <w:tcPr>
            <w:tcW w:w="3500" w:type="pct"/>
            <w:shd w:val="clear" w:color="auto" w:fill="auto"/>
          </w:tcPr>
          <w:p w14:paraId="4DB9D740" w14:textId="77777777" w:rsidR="00E93F58" w:rsidRPr="00576D60" w:rsidRDefault="00E93F58" w:rsidP="003D2B1E">
            <w:pPr>
              <w:pStyle w:val="ENoteTableText"/>
            </w:pPr>
            <w:r w:rsidRPr="00576D60">
              <w:t>am No 368, 2003</w:t>
            </w:r>
          </w:p>
        </w:tc>
      </w:tr>
      <w:tr w:rsidR="00E93F58" w:rsidRPr="00576D60" w14:paraId="15D8CC00" w14:textId="77777777" w:rsidTr="002F32E3">
        <w:trPr>
          <w:cantSplit/>
        </w:trPr>
        <w:tc>
          <w:tcPr>
            <w:tcW w:w="1500" w:type="pct"/>
            <w:shd w:val="clear" w:color="auto" w:fill="auto"/>
          </w:tcPr>
          <w:p w14:paraId="6D11E3F6" w14:textId="77777777" w:rsidR="00E93F58" w:rsidRPr="00576D60" w:rsidRDefault="00E93F58" w:rsidP="003D2B1E">
            <w:pPr>
              <w:pStyle w:val="ENoteTableText"/>
              <w:keepNext/>
              <w:tabs>
                <w:tab w:val="left" w:leader="dot" w:pos="2268"/>
              </w:tabs>
              <w:rPr>
                <w:b/>
              </w:rPr>
            </w:pPr>
            <w:r>
              <w:rPr>
                <w:b/>
              </w:rPr>
              <w:t>Part 1</w:t>
            </w:r>
            <w:r w:rsidRPr="00576D60">
              <w:rPr>
                <w:b/>
              </w:rPr>
              <w:t>2.8</w:t>
            </w:r>
          </w:p>
        </w:tc>
        <w:tc>
          <w:tcPr>
            <w:tcW w:w="3500" w:type="pct"/>
            <w:shd w:val="clear" w:color="auto" w:fill="auto"/>
          </w:tcPr>
          <w:p w14:paraId="62634848" w14:textId="77777777" w:rsidR="00E93F58" w:rsidRPr="00576D60" w:rsidRDefault="00E93F58" w:rsidP="003D2B1E">
            <w:pPr>
              <w:pStyle w:val="ENoteTableText"/>
              <w:keepNext/>
            </w:pPr>
          </w:p>
        </w:tc>
      </w:tr>
      <w:tr w:rsidR="00E93F58" w:rsidRPr="00576D60" w14:paraId="39F56F95" w14:textId="77777777" w:rsidTr="002F32E3">
        <w:trPr>
          <w:cantSplit/>
        </w:trPr>
        <w:tc>
          <w:tcPr>
            <w:tcW w:w="1500" w:type="pct"/>
            <w:shd w:val="clear" w:color="auto" w:fill="auto"/>
          </w:tcPr>
          <w:p w14:paraId="3916C74F" w14:textId="77777777" w:rsidR="00E93F58" w:rsidRPr="00576D60" w:rsidRDefault="00E93F58" w:rsidP="003D2B1E">
            <w:pPr>
              <w:pStyle w:val="ENoteTableText"/>
              <w:keepNext/>
              <w:tabs>
                <w:tab w:val="left" w:leader="dot" w:pos="2268"/>
              </w:tabs>
              <w:rPr>
                <w:b/>
              </w:rPr>
            </w:pPr>
            <w:r w:rsidRPr="00576D60">
              <w:rPr>
                <w:b/>
              </w:rPr>
              <w:t>Division 1</w:t>
            </w:r>
          </w:p>
        </w:tc>
        <w:tc>
          <w:tcPr>
            <w:tcW w:w="3500" w:type="pct"/>
            <w:shd w:val="clear" w:color="auto" w:fill="auto"/>
          </w:tcPr>
          <w:p w14:paraId="39E8FB17" w14:textId="77777777" w:rsidR="00E93F58" w:rsidRPr="00576D60" w:rsidRDefault="00E93F58" w:rsidP="003D2B1E">
            <w:pPr>
              <w:pStyle w:val="ENoteTableText"/>
              <w:keepNext/>
            </w:pPr>
          </w:p>
        </w:tc>
      </w:tr>
      <w:tr w:rsidR="00E93F58" w:rsidRPr="00576D60" w14:paraId="23392426" w14:textId="77777777" w:rsidTr="002F32E3">
        <w:trPr>
          <w:cantSplit/>
        </w:trPr>
        <w:tc>
          <w:tcPr>
            <w:tcW w:w="1500" w:type="pct"/>
            <w:shd w:val="clear" w:color="auto" w:fill="auto"/>
          </w:tcPr>
          <w:p w14:paraId="17C672E2" w14:textId="77777777" w:rsidR="00E93F58" w:rsidRPr="00576D60" w:rsidRDefault="00E93F58" w:rsidP="003D2B1E">
            <w:pPr>
              <w:pStyle w:val="ENoteTableText"/>
              <w:tabs>
                <w:tab w:val="left" w:leader="dot" w:pos="2268"/>
              </w:tabs>
            </w:pPr>
            <w:r w:rsidRPr="00576D60">
              <w:t>r 12.8.02</w:t>
            </w:r>
            <w:r w:rsidRPr="00576D60">
              <w:tab/>
            </w:r>
          </w:p>
        </w:tc>
        <w:tc>
          <w:tcPr>
            <w:tcW w:w="3500" w:type="pct"/>
            <w:shd w:val="clear" w:color="auto" w:fill="auto"/>
          </w:tcPr>
          <w:p w14:paraId="33321414" w14:textId="77777777" w:rsidR="00E93F58" w:rsidRPr="00576D60" w:rsidRDefault="00E93F58" w:rsidP="003D2B1E">
            <w:pPr>
              <w:pStyle w:val="ENoteTableText"/>
            </w:pPr>
            <w:r w:rsidRPr="00576D60">
              <w:t>am No 227, 2007; No 175, 2009</w:t>
            </w:r>
          </w:p>
        </w:tc>
      </w:tr>
      <w:tr w:rsidR="00E93F58" w:rsidRPr="00576D60" w14:paraId="1C4E5831" w14:textId="77777777" w:rsidTr="002F32E3">
        <w:trPr>
          <w:cantSplit/>
        </w:trPr>
        <w:tc>
          <w:tcPr>
            <w:tcW w:w="1500" w:type="pct"/>
            <w:shd w:val="clear" w:color="auto" w:fill="auto"/>
          </w:tcPr>
          <w:p w14:paraId="622C9A52" w14:textId="77777777" w:rsidR="00E93F58" w:rsidRPr="00576D60" w:rsidRDefault="00E93F58" w:rsidP="003D2B1E">
            <w:pPr>
              <w:pStyle w:val="ENoteTableText"/>
              <w:tabs>
                <w:tab w:val="left" w:leader="dot" w:pos="2268"/>
              </w:tabs>
            </w:pPr>
            <w:r w:rsidRPr="00576D60">
              <w:t>r 12.8.03</w:t>
            </w:r>
            <w:r w:rsidRPr="00576D60">
              <w:tab/>
            </w:r>
          </w:p>
        </w:tc>
        <w:tc>
          <w:tcPr>
            <w:tcW w:w="3500" w:type="pct"/>
            <w:shd w:val="clear" w:color="auto" w:fill="auto"/>
          </w:tcPr>
          <w:p w14:paraId="642937CB" w14:textId="77777777" w:rsidR="00E93F58" w:rsidRPr="00576D60" w:rsidRDefault="00E93F58" w:rsidP="003D2B1E">
            <w:pPr>
              <w:pStyle w:val="ENoteTableText"/>
            </w:pPr>
            <w:r w:rsidRPr="00576D60">
              <w:t>am F2022L01689</w:t>
            </w:r>
          </w:p>
        </w:tc>
      </w:tr>
      <w:tr w:rsidR="00E93F58" w:rsidRPr="00576D60" w14:paraId="58B25E66" w14:textId="77777777" w:rsidTr="002F32E3">
        <w:trPr>
          <w:cantSplit/>
        </w:trPr>
        <w:tc>
          <w:tcPr>
            <w:tcW w:w="1500" w:type="pct"/>
            <w:shd w:val="clear" w:color="auto" w:fill="auto"/>
          </w:tcPr>
          <w:p w14:paraId="049A036E" w14:textId="77777777" w:rsidR="00E93F58" w:rsidRPr="00576D60" w:rsidRDefault="00E93F58" w:rsidP="003D2B1E">
            <w:pPr>
              <w:pStyle w:val="ENoteTableText"/>
              <w:tabs>
                <w:tab w:val="left" w:leader="dot" w:pos="2268"/>
              </w:tabs>
              <w:rPr>
                <w:b/>
              </w:rPr>
            </w:pPr>
            <w:r>
              <w:rPr>
                <w:b/>
              </w:rPr>
              <w:t>Division 2</w:t>
            </w:r>
          </w:p>
        </w:tc>
        <w:tc>
          <w:tcPr>
            <w:tcW w:w="3500" w:type="pct"/>
            <w:shd w:val="clear" w:color="auto" w:fill="auto"/>
          </w:tcPr>
          <w:p w14:paraId="23824C35" w14:textId="77777777" w:rsidR="00E93F58" w:rsidRPr="00576D60" w:rsidRDefault="00E93F58" w:rsidP="003D2B1E">
            <w:pPr>
              <w:pStyle w:val="ENoteTableText"/>
            </w:pPr>
          </w:p>
        </w:tc>
      </w:tr>
      <w:tr w:rsidR="00E93F58" w:rsidRPr="00576D60" w14:paraId="0C67A78D" w14:textId="77777777" w:rsidTr="002F32E3">
        <w:trPr>
          <w:cantSplit/>
        </w:trPr>
        <w:tc>
          <w:tcPr>
            <w:tcW w:w="1500" w:type="pct"/>
            <w:shd w:val="clear" w:color="auto" w:fill="auto"/>
          </w:tcPr>
          <w:p w14:paraId="4DDC6464" w14:textId="77777777" w:rsidR="00E93F58" w:rsidRPr="00576D60" w:rsidRDefault="00E93F58" w:rsidP="003D2B1E">
            <w:pPr>
              <w:pStyle w:val="ENoteTableText"/>
              <w:tabs>
                <w:tab w:val="left" w:leader="dot" w:pos="2268"/>
              </w:tabs>
            </w:pPr>
            <w:r w:rsidRPr="00576D60">
              <w:t>r 12.8.06</w:t>
            </w:r>
            <w:r w:rsidRPr="00576D60">
              <w:tab/>
            </w:r>
          </w:p>
        </w:tc>
        <w:tc>
          <w:tcPr>
            <w:tcW w:w="3500" w:type="pct"/>
            <w:shd w:val="clear" w:color="auto" w:fill="auto"/>
          </w:tcPr>
          <w:p w14:paraId="1B043B67" w14:textId="77777777" w:rsidR="00E93F58" w:rsidRPr="00576D60" w:rsidRDefault="00E93F58" w:rsidP="003D2B1E">
            <w:pPr>
              <w:pStyle w:val="ENoteTableText"/>
            </w:pPr>
            <w:r w:rsidRPr="00576D60">
              <w:t>am No 227, 2007</w:t>
            </w:r>
          </w:p>
        </w:tc>
      </w:tr>
      <w:tr w:rsidR="00E93F58" w:rsidRPr="00576D60" w14:paraId="331387D3" w14:textId="77777777" w:rsidTr="002F32E3">
        <w:trPr>
          <w:cantSplit/>
        </w:trPr>
        <w:tc>
          <w:tcPr>
            <w:tcW w:w="1500" w:type="pct"/>
            <w:shd w:val="clear" w:color="auto" w:fill="auto"/>
          </w:tcPr>
          <w:p w14:paraId="7F938A7C" w14:textId="77777777" w:rsidR="00E93F58" w:rsidRPr="00576D60" w:rsidRDefault="00E93F58" w:rsidP="003D2B1E">
            <w:pPr>
              <w:pStyle w:val="ENoteTableText"/>
              <w:tabs>
                <w:tab w:val="left" w:leader="dot" w:pos="2268"/>
              </w:tabs>
            </w:pPr>
            <w:r w:rsidRPr="00576D60">
              <w:t>r 12.8.08</w:t>
            </w:r>
            <w:r w:rsidRPr="00576D60">
              <w:tab/>
            </w:r>
          </w:p>
        </w:tc>
        <w:tc>
          <w:tcPr>
            <w:tcW w:w="3500" w:type="pct"/>
            <w:shd w:val="clear" w:color="auto" w:fill="auto"/>
          </w:tcPr>
          <w:p w14:paraId="5A34B513" w14:textId="77777777" w:rsidR="00E93F58" w:rsidRPr="00576D60" w:rsidRDefault="00E93F58" w:rsidP="003D2B1E">
            <w:pPr>
              <w:pStyle w:val="ENoteTableText"/>
            </w:pPr>
            <w:r w:rsidRPr="00576D60">
              <w:t>am No 319, 2001</w:t>
            </w:r>
          </w:p>
        </w:tc>
      </w:tr>
      <w:tr w:rsidR="00E93F58" w:rsidRPr="00576D60" w14:paraId="4978E4A7" w14:textId="77777777" w:rsidTr="002F32E3">
        <w:trPr>
          <w:cantSplit/>
        </w:trPr>
        <w:tc>
          <w:tcPr>
            <w:tcW w:w="1500" w:type="pct"/>
            <w:shd w:val="clear" w:color="auto" w:fill="auto"/>
          </w:tcPr>
          <w:p w14:paraId="0F4E6F0A" w14:textId="77777777" w:rsidR="00E93F58" w:rsidRPr="00576D60" w:rsidRDefault="00E93F58" w:rsidP="003D2B1E">
            <w:pPr>
              <w:pStyle w:val="ENoteTableText"/>
              <w:keepNext/>
              <w:keepLines/>
              <w:tabs>
                <w:tab w:val="left" w:leader="dot" w:pos="2268"/>
              </w:tabs>
              <w:rPr>
                <w:b/>
              </w:rPr>
            </w:pPr>
            <w:r>
              <w:rPr>
                <w:b/>
              </w:rPr>
              <w:t>Schedule 1</w:t>
            </w:r>
          </w:p>
        </w:tc>
        <w:tc>
          <w:tcPr>
            <w:tcW w:w="3500" w:type="pct"/>
            <w:shd w:val="clear" w:color="auto" w:fill="auto"/>
          </w:tcPr>
          <w:p w14:paraId="4F068DC0" w14:textId="77777777" w:rsidR="00E93F58" w:rsidRPr="00576D60" w:rsidRDefault="00E93F58" w:rsidP="003D2B1E">
            <w:pPr>
              <w:pStyle w:val="ENoteTableText"/>
              <w:keepNext/>
              <w:keepLines/>
            </w:pPr>
          </w:p>
        </w:tc>
      </w:tr>
      <w:tr w:rsidR="00E93F58" w:rsidRPr="00576D60" w14:paraId="5A32DF32" w14:textId="77777777" w:rsidTr="002F32E3">
        <w:trPr>
          <w:cantSplit/>
        </w:trPr>
        <w:tc>
          <w:tcPr>
            <w:tcW w:w="1500" w:type="pct"/>
            <w:shd w:val="clear" w:color="auto" w:fill="auto"/>
          </w:tcPr>
          <w:p w14:paraId="3DE8B5B5" w14:textId="77777777" w:rsidR="00E93F58" w:rsidRPr="00576D60" w:rsidRDefault="00E93F58" w:rsidP="003D2B1E">
            <w:pPr>
              <w:pStyle w:val="ENoteTableText"/>
              <w:tabs>
                <w:tab w:val="left" w:leader="dot" w:pos="2268"/>
              </w:tabs>
            </w:pPr>
            <w:r>
              <w:t>Schedule 1</w:t>
            </w:r>
            <w:r w:rsidRPr="00576D60">
              <w:tab/>
            </w:r>
          </w:p>
        </w:tc>
        <w:tc>
          <w:tcPr>
            <w:tcW w:w="3500" w:type="pct"/>
            <w:shd w:val="clear" w:color="auto" w:fill="auto"/>
          </w:tcPr>
          <w:p w14:paraId="238FAED5" w14:textId="77777777" w:rsidR="00E93F58" w:rsidRPr="00576D60" w:rsidRDefault="00E93F58" w:rsidP="003D2B1E">
            <w:pPr>
              <w:pStyle w:val="ENoteTableText"/>
            </w:pPr>
            <w:r w:rsidRPr="00576D60">
              <w:t>am No 319, 2001; No 194, 2003; No 208, 2004; No 399, 2004; No 195, 2007; No 198, 2009; No 387, 2009; No 152, 2013; F2016L01926; F2019L00392; F2020L01610; F2022L01689</w:t>
            </w:r>
          </w:p>
        </w:tc>
      </w:tr>
      <w:tr w:rsidR="00E93F58" w:rsidRPr="00576D60" w14:paraId="4B1AB7EF" w14:textId="77777777" w:rsidTr="002F32E3">
        <w:trPr>
          <w:cantSplit/>
        </w:trPr>
        <w:tc>
          <w:tcPr>
            <w:tcW w:w="1500" w:type="pct"/>
            <w:shd w:val="clear" w:color="auto" w:fill="auto"/>
          </w:tcPr>
          <w:p w14:paraId="6CA95562" w14:textId="77777777" w:rsidR="00E93F58" w:rsidRPr="00576D60" w:rsidRDefault="00E93F58" w:rsidP="003D2B1E">
            <w:pPr>
              <w:pStyle w:val="ENoteTableText"/>
              <w:tabs>
                <w:tab w:val="left" w:leader="dot" w:pos="2268"/>
              </w:tabs>
              <w:rPr>
                <w:b/>
              </w:rPr>
            </w:pPr>
            <w:r w:rsidRPr="00576D60">
              <w:rPr>
                <w:b/>
              </w:rPr>
              <w:t>Schedule 2</w:t>
            </w:r>
          </w:p>
        </w:tc>
        <w:tc>
          <w:tcPr>
            <w:tcW w:w="3500" w:type="pct"/>
            <w:shd w:val="clear" w:color="auto" w:fill="auto"/>
          </w:tcPr>
          <w:p w14:paraId="373D70BC" w14:textId="77777777" w:rsidR="00E93F58" w:rsidRPr="00576D60" w:rsidRDefault="00E93F58" w:rsidP="003D2B1E">
            <w:pPr>
              <w:pStyle w:val="ENoteTableText"/>
            </w:pPr>
          </w:p>
        </w:tc>
      </w:tr>
      <w:tr w:rsidR="00E93F58" w:rsidRPr="00576D60" w14:paraId="3DFEA727" w14:textId="77777777" w:rsidTr="002F32E3">
        <w:trPr>
          <w:cantSplit/>
        </w:trPr>
        <w:tc>
          <w:tcPr>
            <w:tcW w:w="1500" w:type="pct"/>
            <w:shd w:val="clear" w:color="auto" w:fill="auto"/>
          </w:tcPr>
          <w:p w14:paraId="5B0F2B48" w14:textId="77777777" w:rsidR="00E93F58" w:rsidRPr="00576D60" w:rsidRDefault="00E93F58" w:rsidP="003D2B1E">
            <w:pPr>
              <w:pStyle w:val="ENoteTableText"/>
              <w:tabs>
                <w:tab w:val="left" w:leader="dot" w:pos="2268"/>
              </w:tabs>
            </w:pPr>
            <w:r w:rsidRPr="00576D60">
              <w:t>Form 105</w:t>
            </w:r>
            <w:r w:rsidRPr="00576D60">
              <w:tab/>
            </w:r>
          </w:p>
        </w:tc>
        <w:tc>
          <w:tcPr>
            <w:tcW w:w="3500" w:type="pct"/>
            <w:shd w:val="clear" w:color="auto" w:fill="auto"/>
          </w:tcPr>
          <w:p w14:paraId="6FFC52BA" w14:textId="77777777" w:rsidR="00E93F58" w:rsidRPr="00576D60" w:rsidRDefault="00E93F58" w:rsidP="003D2B1E">
            <w:pPr>
              <w:pStyle w:val="ENoteTableText"/>
            </w:pPr>
            <w:r w:rsidRPr="00576D60">
              <w:t>rs No 198, 2009</w:t>
            </w:r>
          </w:p>
        </w:tc>
      </w:tr>
      <w:tr w:rsidR="00E93F58" w:rsidRPr="00576D60" w14:paraId="438C4585" w14:textId="77777777" w:rsidTr="002F32E3">
        <w:trPr>
          <w:cantSplit/>
        </w:trPr>
        <w:tc>
          <w:tcPr>
            <w:tcW w:w="1500" w:type="pct"/>
            <w:shd w:val="clear" w:color="auto" w:fill="auto"/>
          </w:tcPr>
          <w:p w14:paraId="6D5F4720" w14:textId="77777777" w:rsidR="00E93F58" w:rsidRPr="00576D60" w:rsidRDefault="00E93F58" w:rsidP="003D2B1E">
            <w:pPr>
              <w:pStyle w:val="ENoteTableText"/>
              <w:tabs>
                <w:tab w:val="left" w:leader="dot" w:pos="2268"/>
              </w:tabs>
            </w:pPr>
            <w:r w:rsidRPr="00576D60">
              <w:t>Form 2M01</w:t>
            </w:r>
            <w:r w:rsidRPr="00576D60">
              <w:tab/>
            </w:r>
          </w:p>
        </w:tc>
        <w:tc>
          <w:tcPr>
            <w:tcW w:w="3500" w:type="pct"/>
            <w:shd w:val="clear" w:color="auto" w:fill="auto"/>
          </w:tcPr>
          <w:p w14:paraId="7B388D29" w14:textId="77777777" w:rsidR="00E93F58" w:rsidRPr="00576D60" w:rsidRDefault="00E93F58" w:rsidP="003D2B1E">
            <w:pPr>
              <w:pStyle w:val="ENoteTableText"/>
            </w:pPr>
            <w:r w:rsidRPr="00576D60">
              <w:t>ad No 399, 2004</w:t>
            </w:r>
          </w:p>
        </w:tc>
      </w:tr>
      <w:tr w:rsidR="00E93F58" w:rsidRPr="00576D60" w14:paraId="4089419F" w14:textId="77777777" w:rsidTr="002F32E3">
        <w:trPr>
          <w:cantSplit/>
        </w:trPr>
        <w:tc>
          <w:tcPr>
            <w:tcW w:w="1500" w:type="pct"/>
            <w:shd w:val="clear" w:color="auto" w:fill="auto"/>
          </w:tcPr>
          <w:p w14:paraId="7753E13F" w14:textId="77777777" w:rsidR="00E93F58" w:rsidRPr="00576D60" w:rsidRDefault="00E93F58" w:rsidP="003D2B1E">
            <w:pPr>
              <w:pStyle w:val="ENoteTableText"/>
              <w:tabs>
                <w:tab w:val="left" w:leader="dot" w:pos="2268"/>
              </w:tabs>
            </w:pPr>
          </w:p>
        </w:tc>
        <w:tc>
          <w:tcPr>
            <w:tcW w:w="3500" w:type="pct"/>
            <w:shd w:val="clear" w:color="auto" w:fill="auto"/>
          </w:tcPr>
          <w:p w14:paraId="67F5173C" w14:textId="77777777" w:rsidR="00E93F58" w:rsidRPr="00576D60" w:rsidRDefault="00E93F58" w:rsidP="003D2B1E">
            <w:pPr>
              <w:pStyle w:val="ENoteTableText"/>
            </w:pPr>
            <w:r w:rsidRPr="00576D60">
              <w:t>rep No 152, 2013</w:t>
            </w:r>
          </w:p>
        </w:tc>
      </w:tr>
      <w:tr w:rsidR="00E93F58" w:rsidRPr="00576D60" w14:paraId="3C62396A" w14:textId="77777777" w:rsidTr="002F32E3">
        <w:trPr>
          <w:cantSplit/>
        </w:trPr>
        <w:tc>
          <w:tcPr>
            <w:tcW w:w="1500" w:type="pct"/>
            <w:shd w:val="clear" w:color="auto" w:fill="auto"/>
          </w:tcPr>
          <w:p w14:paraId="6CA74F05" w14:textId="77777777" w:rsidR="00E93F58" w:rsidRPr="00576D60" w:rsidRDefault="00E93F58" w:rsidP="003D2B1E">
            <w:pPr>
              <w:pStyle w:val="ENoteTableText"/>
              <w:tabs>
                <w:tab w:val="left" w:leader="dot" w:pos="2268"/>
              </w:tabs>
            </w:pPr>
            <w:r w:rsidRPr="00576D60">
              <w:t>Form 2M02</w:t>
            </w:r>
            <w:r w:rsidRPr="00576D60">
              <w:tab/>
            </w:r>
          </w:p>
        </w:tc>
        <w:tc>
          <w:tcPr>
            <w:tcW w:w="3500" w:type="pct"/>
            <w:shd w:val="clear" w:color="auto" w:fill="auto"/>
          </w:tcPr>
          <w:p w14:paraId="698F5FFC" w14:textId="77777777" w:rsidR="00E93F58" w:rsidRPr="00576D60" w:rsidRDefault="00E93F58" w:rsidP="003D2B1E">
            <w:pPr>
              <w:pStyle w:val="ENoteTableText"/>
            </w:pPr>
            <w:r w:rsidRPr="00576D60">
              <w:t>ad No 399, 2004</w:t>
            </w:r>
          </w:p>
        </w:tc>
      </w:tr>
      <w:tr w:rsidR="00E93F58" w:rsidRPr="00576D60" w14:paraId="508ED942" w14:textId="77777777" w:rsidTr="002F32E3">
        <w:trPr>
          <w:cantSplit/>
        </w:trPr>
        <w:tc>
          <w:tcPr>
            <w:tcW w:w="1500" w:type="pct"/>
            <w:shd w:val="clear" w:color="auto" w:fill="auto"/>
          </w:tcPr>
          <w:p w14:paraId="1F415C72" w14:textId="77777777" w:rsidR="00E93F58" w:rsidRPr="00576D60" w:rsidRDefault="00E93F58" w:rsidP="003D2B1E">
            <w:pPr>
              <w:pStyle w:val="ENoteTableText"/>
              <w:tabs>
                <w:tab w:val="left" w:leader="dot" w:pos="2268"/>
              </w:tabs>
            </w:pPr>
          </w:p>
        </w:tc>
        <w:tc>
          <w:tcPr>
            <w:tcW w:w="3500" w:type="pct"/>
            <w:shd w:val="clear" w:color="auto" w:fill="auto"/>
          </w:tcPr>
          <w:p w14:paraId="29843916" w14:textId="77777777" w:rsidR="00E93F58" w:rsidRPr="00576D60" w:rsidRDefault="00E93F58" w:rsidP="003D2B1E">
            <w:pPr>
              <w:pStyle w:val="ENoteTableText"/>
            </w:pPr>
            <w:r w:rsidRPr="00576D60">
              <w:t>rep No 152, 2013</w:t>
            </w:r>
          </w:p>
        </w:tc>
      </w:tr>
      <w:tr w:rsidR="00E93F58" w:rsidRPr="00576D60" w14:paraId="183A5581" w14:textId="77777777" w:rsidTr="002F32E3">
        <w:trPr>
          <w:cantSplit/>
        </w:trPr>
        <w:tc>
          <w:tcPr>
            <w:tcW w:w="1500" w:type="pct"/>
            <w:shd w:val="clear" w:color="auto" w:fill="auto"/>
          </w:tcPr>
          <w:p w14:paraId="133191C5" w14:textId="77777777" w:rsidR="00E93F58" w:rsidRPr="00576D60" w:rsidRDefault="00E93F58" w:rsidP="003D2B1E">
            <w:pPr>
              <w:pStyle w:val="ENoteTableText"/>
              <w:tabs>
                <w:tab w:val="left" w:leader="dot" w:pos="2268"/>
              </w:tabs>
            </w:pPr>
            <w:r w:rsidRPr="00576D60">
              <w:lastRenderedPageBreak/>
              <w:t>Form 2M03</w:t>
            </w:r>
            <w:r w:rsidRPr="00576D60">
              <w:tab/>
            </w:r>
          </w:p>
        </w:tc>
        <w:tc>
          <w:tcPr>
            <w:tcW w:w="3500" w:type="pct"/>
            <w:shd w:val="clear" w:color="auto" w:fill="auto"/>
          </w:tcPr>
          <w:p w14:paraId="6FB1EF68" w14:textId="77777777" w:rsidR="00E93F58" w:rsidRPr="00576D60" w:rsidRDefault="00E93F58" w:rsidP="003D2B1E">
            <w:pPr>
              <w:pStyle w:val="ENoteTableText"/>
            </w:pPr>
            <w:r w:rsidRPr="00576D60">
              <w:t>ad No 399, 2004</w:t>
            </w:r>
          </w:p>
        </w:tc>
      </w:tr>
      <w:tr w:rsidR="00E93F58" w:rsidRPr="00576D60" w14:paraId="5DCF1DB1" w14:textId="77777777" w:rsidTr="002F32E3">
        <w:trPr>
          <w:cantSplit/>
        </w:trPr>
        <w:tc>
          <w:tcPr>
            <w:tcW w:w="1500" w:type="pct"/>
            <w:shd w:val="clear" w:color="auto" w:fill="auto"/>
          </w:tcPr>
          <w:p w14:paraId="10EEFEEC" w14:textId="77777777" w:rsidR="00E93F58" w:rsidRPr="00576D60" w:rsidRDefault="00E93F58" w:rsidP="003D2B1E">
            <w:pPr>
              <w:pStyle w:val="ENoteTableText"/>
              <w:tabs>
                <w:tab w:val="left" w:leader="dot" w:pos="2268"/>
              </w:tabs>
            </w:pPr>
          </w:p>
        </w:tc>
        <w:tc>
          <w:tcPr>
            <w:tcW w:w="3500" w:type="pct"/>
            <w:shd w:val="clear" w:color="auto" w:fill="auto"/>
          </w:tcPr>
          <w:p w14:paraId="3BB65B08" w14:textId="77777777" w:rsidR="00E93F58" w:rsidRPr="00576D60" w:rsidRDefault="00E93F58" w:rsidP="003D2B1E">
            <w:pPr>
              <w:pStyle w:val="ENoteTableText"/>
            </w:pPr>
            <w:r w:rsidRPr="00576D60">
              <w:t>rep No 152, 2013</w:t>
            </w:r>
          </w:p>
        </w:tc>
      </w:tr>
      <w:tr w:rsidR="00E93F58" w:rsidRPr="00576D60" w14:paraId="211323AE" w14:textId="77777777" w:rsidTr="002F32E3">
        <w:trPr>
          <w:cantSplit/>
        </w:trPr>
        <w:tc>
          <w:tcPr>
            <w:tcW w:w="1500" w:type="pct"/>
            <w:shd w:val="clear" w:color="auto" w:fill="auto"/>
          </w:tcPr>
          <w:p w14:paraId="6DB2FCB2" w14:textId="77777777" w:rsidR="00E93F58" w:rsidRPr="00576D60" w:rsidRDefault="00E93F58" w:rsidP="003D2B1E">
            <w:pPr>
              <w:pStyle w:val="ENoteTableText"/>
              <w:tabs>
                <w:tab w:val="left" w:leader="dot" w:pos="2268"/>
              </w:tabs>
            </w:pPr>
            <w:r w:rsidRPr="00576D60">
              <w:t>Form 309</w:t>
            </w:r>
            <w:r w:rsidRPr="00576D60">
              <w:tab/>
            </w:r>
          </w:p>
        </w:tc>
        <w:tc>
          <w:tcPr>
            <w:tcW w:w="3500" w:type="pct"/>
            <w:shd w:val="clear" w:color="auto" w:fill="auto"/>
          </w:tcPr>
          <w:p w14:paraId="06951A00" w14:textId="77777777" w:rsidR="00E93F58" w:rsidRPr="00576D60" w:rsidRDefault="00E93F58" w:rsidP="003D2B1E">
            <w:pPr>
              <w:pStyle w:val="ENoteTableText"/>
            </w:pPr>
            <w:r w:rsidRPr="00576D60">
              <w:t>rep No 195, 2007</w:t>
            </w:r>
          </w:p>
        </w:tc>
      </w:tr>
      <w:tr w:rsidR="00E93F58" w:rsidRPr="00576D60" w14:paraId="3D3AC231" w14:textId="77777777" w:rsidTr="002F32E3">
        <w:trPr>
          <w:cantSplit/>
        </w:trPr>
        <w:tc>
          <w:tcPr>
            <w:tcW w:w="1500" w:type="pct"/>
            <w:shd w:val="clear" w:color="auto" w:fill="auto"/>
          </w:tcPr>
          <w:p w14:paraId="764C8E18" w14:textId="77777777" w:rsidR="00E93F58" w:rsidRPr="00576D60" w:rsidRDefault="00E93F58" w:rsidP="003D2B1E">
            <w:pPr>
              <w:pStyle w:val="ENoteTableText"/>
              <w:tabs>
                <w:tab w:val="left" w:leader="dot" w:pos="2268"/>
              </w:tabs>
            </w:pPr>
            <w:r w:rsidRPr="00576D60">
              <w:t>Form 311</w:t>
            </w:r>
            <w:r w:rsidRPr="00576D60">
              <w:tab/>
            </w:r>
          </w:p>
        </w:tc>
        <w:tc>
          <w:tcPr>
            <w:tcW w:w="3500" w:type="pct"/>
            <w:shd w:val="clear" w:color="auto" w:fill="auto"/>
          </w:tcPr>
          <w:p w14:paraId="71F41E49" w14:textId="77777777" w:rsidR="00E93F58" w:rsidRPr="00576D60" w:rsidRDefault="00E93F58" w:rsidP="003D2B1E">
            <w:pPr>
              <w:pStyle w:val="ENoteTableText"/>
            </w:pPr>
            <w:r w:rsidRPr="00576D60">
              <w:t>rep No 195, 2007</w:t>
            </w:r>
          </w:p>
        </w:tc>
      </w:tr>
      <w:tr w:rsidR="00E93F58" w:rsidRPr="00576D60" w14:paraId="0D27878D" w14:textId="77777777" w:rsidTr="002F32E3">
        <w:trPr>
          <w:cantSplit/>
        </w:trPr>
        <w:tc>
          <w:tcPr>
            <w:tcW w:w="1500" w:type="pct"/>
            <w:shd w:val="clear" w:color="auto" w:fill="auto"/>
          </w:tcPr>
          <w:p w14:paraId="1238AC64" w14:textId="77777777" w:rsidR="00E93F58" w:rsidRPr="00576D60" w:rsidRDefault="00E93F58" w:rsidP="003D2B1E">
            <w:pPr>
              <w:pStyle w:val="ENoteTableText"/>
              <w:tabs>
                <w:tab w:val="left" w:leader="dot" w:pos="2268"/>
              </w:tabs>
            </w:pPr>
            <w:r w:rsidRPr="00576D60">
              <w:t>Form 312</w:t>
            </w:r>
            <w:r w:rsidRPr="00576D60">
              <w:tab/>
            </w:r>
          </w:p>
        </w:tc>
        <w:tc>
          <w:tcPr>
            <w:tcW w:w="3500" w:type="pct"/>
            <w:shd w:val="clear" w:color="auto" w:fill="auto"/>
          </w:tcPr>
          <w:p w14:paraId="233A42F5" w14:textId="77777777" w:rsidR="00E93F58" w:rsidRPr="00576D60" w:rsidRDefault="00E93F58" w:rsidP="003D2B1E">
            <w:pPr>
              <w:pStyle w:val="ENoteTableText"/>
            </w:pPr>
            <w:r w:rsidRPr="00576D60">
              <w:t>rep No 195, 2007</w:t>
            </w:r>
          </w:p>
        </w:tc>
      </w:tr>
      <w:tr w:rsidR="00E93F58" w:rsidRPr="00576D60" w14:paraId="7B55E8E5" w14:textId="77777777" w:rsidTr="002F32E3">
        <w:trPr>
          <w:cantSplit/>
        </w:trPr>
        <w:tc>
          <w:tcPr>
            <w:tcW w:w="1500" w:type="pct"/>
            <w:shd w:val="clear" w:color="auto" w:fill="auto"/>
          </w:tcPr>
          <w:p w14:paraId="4087D7D5" w14:textId="77777777" w:rsidR="00E93F58" w:rsidRPr="00576D60" w:rsidRDefault="00E93F58" w:rsidP="003D2B1E">
            <w:pPr>
              <w:pStyle w:val="ENoteTableText"/>
              <w:tabs>
                <w:tab w:val="left" w:leader="dot" w:pos="2268"/>
              </w:tabs>
            </w:pPr>
            <w:r w:rsidRPr="00576D60">
              <w:t>Form 316</w:t>
            </w:r>
            <w:r w:rsidRPr="00576D60">
              <w:tab/>
            </w:r>
          </w:p>
        </w:tc>
        <w:tc>
          <w:tcPr>
            <w:tcW w:w="3500" w:type="pct"/>
            <w:shd w:val="clear" w:color="auto" w:fill="auto"/>
          </w:tcPr>
          <w:p w14:paraId="366FD548" w14:textId="77777777" w:rsidR="00E93F58" w:rsidRPr="00576D60" w:rsidRDefault="00E93F58" w:rsidP="003D2B1E">
            <w:pPr>
              <w:pStyle w:val="ENoteTableText"/>
            </w:pPr>
            <w:r w:rsidRPr="00576D60">
              <w:t>rep No 194, 2003</w:t>
            </w:r>
          </w:p>
        </w:tc>
      </w:tr>
      <w:tr w:rsidR="00E93F58" w:rsidRPr="00576D60" w14:paraId="3028F06A" w14:textId="77777777" w:rsidTr="002F32E3">
        <w:trPr>
          <w:cantSplit/>
        </w:trPr>
        <w:tc>
          <w:tcPr>
            <w:tcW w:w="1500" w:type="pct"/>
            <w:shd w:val="clear" w:color="auto" w:fill="auto"/>
          </w:tcPr>
          <w:p w14:paraId="29D48CCF" w14:textId="77777777" w:rsidR="00E93F58" w:rsidRPr="00576D60" w:rsidRDefault="00E93F58" w:rsidP="003D2B1E">
            <w:pPr>
              <w:pStyle w:val="ENoteTableText"/>
              <w:tabs>
                <w:tab w:val="left" w:leader="dot" w:pos="2268"/>
              </w:tabs>
            </w:pPr>
            <w:r w:rsidRPr="00576D60">
              <w:t>Form 350</w:t>
            </w:r>
            <w:r w:rsidRPr="00576D60">
              <w:tab/>
            </w:r>
          </w:p>
        </w:tc>
        <w:tc>
          <w:tcPr>
            <w:tcW w:w="3500" w:type="pct"/>
            <w:shd w:val="clear" w:color="auto" w:fill="auto"/>
          </w:tcPr>
          <w:p w14:paraId="5A2A9F2A" w14:textId="77777777" w:rsidR="00E93F58" w:rsidRPr="00576D60" w:rsidRDefault="00E93F58" w:rsidP="003D2B1E">
            <w:pPr>
              <w:pStyle w:val="ENoteTableText"/>
            </w:pPr>
            <w:r w:rsidRPr="00576D60">
              <w:t>rep No 195, 2007</w:t>
            </w:r>
          </w:p>
        </w:tc>
      </w:tr>
      <w:tr w:rsidR="00E93F58" w:rsidRPr="00576D60" w14:paraId="22FF1299" w14:textId="77777777" w:rsidTr="002F32E3">
        <w:trPr>
          <w:cantSplit/>
        </w:trPr>
        <w:tc>
          <w:tcPr>
            <w:tcW w:w="1500" w:type="pct"/>
            <w:shd w:val="clear" w:color="auto" w:fill="auto"/>
          </w:tcPr>
          <w:p w14:paraId="2D9BEA66" w14:textId="77777777" w:rsidR="00E93F58" w:rsidRPr="00576D60" w:rsidRDefault="00E93F58" w:rsidP="003D2B1E">
            <w:pPr>
              <w:pStyle w:val="ENoteTableText"/>
              <w:tabs>
                <w:tab w:val="left" w:leader="dot" w:pos="2268"/>
              </w:tabs>
            </w:pPr>
            <w:r w:rsidRPr="00576D60">
              <w:t>Form 504</w:t>
            </w:r>
            <w:r w:rsidRPr="00576D60">
              <w:tab/>
            </w:r>
          </w:p>
        </w:tc>
        <w:tc>
          <w:tcPr>
            <w:tcW w:w="3500" w:type="pct"/>
            <w:shd w:val="clear" w:color="auto" w:fill="auto"/>
          </w:tcPr>
          <w:p w14:paraId="517C275E" w14:textId="77777777" w:rsidR="00E93F58" w:rsidRPr="00576D60" w:rsidRDefault="00E93F58" w:rsidP="003D2B1E">
            <w:pPr>
              <w:pStyle w:val="ENoteTableText"/>
            </w:pPr>
            <w:r w:rsidRPr="00576D60">
              <w:t>rep No 399, 2004</w:t>
            </w:r>
          </w:p>
        </w:tc>
      </w:tr>
      <w:tr w:rsidR="00E93F58" w:rsidRPr="00576D60" w14:paraId="7B6253D4" w14:textId="77777777" w:rsidTr="002F32E3">
        <w:trPr>
          <w:cantSplit/>
        </w:trPr>
        <w:tc>
          <w:tcPr>
            <w:tcW w:w="1500" w:type="pct"/>
            <w:shd w:val="clear" w:color="auto" w:fill="auto"/>
          </w:tcPr>
          <w:p w14:paraId="2E793C11" w14:textId="77777777" w:rsidR="00E93F58" w:rsidRPr="00576D60" w:rsidRDefault="00E93F58" w:rsidP="003D2B1E">
            <w:pPr>
              <w:pStyle w:val="ENoteTableText"/>
              <w:tabs>
                <w:tab w:val="left" w:leader="dot" w:pos="2268"/>
              </w:tabs>
            </w:pPr>
            <w:r w:rsidRPr="00576D60">
              <w:t>Form 505</w:t>
            </w:r>
            <w:r w:rsidRPr="00576D60">
              <w:tab/>
            </w:r>
          </w:p>
        </w:tc>
        <w:tc>
          <w:tcPr>
            <w:tcW w:w="3500" w:type="pct"/>
            <w:shd w:val="clear" w:color="auto" w:fill="auto"/>
          </w:tcPr>
          <w:p w14:paraId="7C0232C3" w14:textId="77777777" w:rsidR="00E93F58" w:rsidRPr="00576D60" w:rsidRDefault="00E93F58" w:rsidP="003D2B1E">
            <w:pPr>
              <w:pStyle w:val="ENoteTableText"/>
            </w:pPr>
            <w:r w:rsidRPr="00576D60">
              <w:t>rep No 399, 2004</w:t>
            </w:r>
          </w:p>
        </w:tc>
      </w:tr>
      <w:tr w:rsidR="00E93F58" w:rsidRPr="00576D60" w14:paraId="250A0987" w14:textId="77777777" w:rsidTr="002F32E3">
        <w:trPr>
          <w:cantSplit/>
        </w:trPr>
        <w:tc>
          <w:tcPr>
            <w:tcW w:w="1500" w:type="pct"/>
            <w:shd w:val="clear" w:color="auto" w:fill="auto"/>
          </w:tcPr>
          <w:p w14:paraId="0636E8ED" w14:textId="77777777" w:rsidR="00E93F58" w:rsidRPr="00576D60" w:rsidRDefault="00E93F58" w:rsidP="003D2B1E">
            <w:pPr>
              <w:pStyle w:val="ENoteTableText"/>
              <w:tabs>
                <w:tab w:val="left" w:leader="dot" w:pos="2268"/>
              </w:tabs>
            </w:pPr>
            <w:r w:rsidRPr="00576D60">
              <w:t>Form 506</w:t>
            </w:r>
            <w:r w:rsidRPr="00576D60">
              <w:tab/>
            </w:r>
          </w:p>
        </w:tc>
        <w:tc>
          <w:tcPr>
            <w:tcW w:w="3500" w:type="pct"/>
            <w:shd w:val="clear" w:color="auto" w:fill="auto"/>
          </w:tcPr>
          <w:p w14:paraId="039277C9" w14:textId="77777777" w:rsidR="00E93F58" w:rsidRPr="00576D60" w:rsidRDefault="00E93F58" w:rsidP="003D2B1E">
            <w:pPr>
              <w:pStyle w:val="ENoteTableText"/>
            </w:pPr>
            <w:r w:rsidRPr="00576D60">
              <w:t>rep No 399, 2004</w:t>
            </w:r>
          </w:p>
        </w:tc>
      </w:tr>
      <w:tr w:rsidR="00E93F58" w:rsidRPr="00576D60" w14:paraId="4ECB1C55" w14:textId="77777777" w:rsidTr="002F32E3">
        <w:trPr>
          <w:cantSplit/>
        </w:trPr>
        <w:tc>
          <w:tcPr>
            <w:tcW w:w="1500" w:type="pct"/>
            <w:shd w:val="clear" w:color="auto" w:fill="auto"/>
          </w:tcPr>
          <w:p w14:paraId="0D1C39AB" w14:textId="77777777" w:rsidR="00E93F58" w:rsidRPr="00576D60" w:rsidRDefault="00E93F58" w:rsidP="003D2B1E">
            <w:pPr>
              <w:pStyle w:val="ENoteTableText"/>
              <w:tabs>
                <w:tab w:val="left" w:leader="dot" w:pos="2268"/>
              </w:tabs>
            </w:pPr>
            <w:r w:rsidRPr="00576D60">
              <w:t>Form 507</w:t>
            </w:r>
            <w:r w:rsidRPr="00576D60">
              <w:tab/>
            </w:r>
          </w:p>
        </w:tc>
        <w:tc>
          <w:tcPr>
            <w:tcW w:w="3500" w:type="pct"/>
            <w:shd w:val="clear" w:color="auto" w:fill="auto"/>
          </w:tcPr>
          <w:p w14:paraId="0EDCFC63" w14:textId="77777777" w:rsidR="00E93F58" w:rsidRPr="00576D60" w:rsidRDefault="00E93F58" w:rsidP="003D2B1E">
            <w:pPr>
              <w:pStyle w:val="ENoteTableText"/>
            </w:pPr>
            <w:r w:rsidRPr="00576D60">
              <w:t>rep No 399, 2004</w:t>
            </w:r>
          </w:p>
        </w:tc>
      </w:tr>
      <w:tr w:rsidR="00E93F58" w:rsidRPr="00576D60" w14:paraId="3074C177" w14:textId="77777777" w:rsidTr="002F32E3">
        <w:trPr>
          <w:cantSplit/>
        </w:trPr>
        <w:tc>
          <w:tcPr>
            <w:tcW w:w="1500" w:type="pct"/>
            <w:shd w:val="clear" w:color="auto" w:fill="auto"/>
          </w:tcPr>
          <w:p w14:paraId="610AD5D3" w14:textId="77777777" w:rsidR="00E93F58" w:rsidRPr="00576D60" w:rsidRDefault="00E93F58" w:rsidP="003D2B1E">
            <w:pPr>
              <w:pStyle w:val="ENoteTableText"/>
              <w:tabs>
                <w:tab w:val="left" w:leader="dot" w:pos="2268"/>
              </w:tabs>
            </w:pPr>
            <w:r w:rsidRPr="00576D60">
              <w:t>Form 507A</w:t>
            </w:r>
            <w:r w:rsidRPr="00576D60">
              <w:tab/>
            </w:r>
          </w:p>
        </w:tc>
        <w:tc>
          <w:tcPr>
            <w:tcW w:w="3500" w:type="pct"/>
            <w:shd w:val="clear" w:color="auto" w:fill="auto"/>
          </w:tcPr>
          <w:p w14:paraId="77B9DD89" w14:textId="77777777" w:rsidR="00E93F58" w:rsidRPr="00576D60" w:rsidRDefault="00E93F58" w:rsidP="003D2B1E">
            <w:pPr>
              <w:pStyle w:val="ENoteTableText"/>
            </w:pPr>
            <w:r w:rsidRPr="00576D60">
              <w:t>rep No 399, 2004</w:t>
            </w:r>
          </w:p>
        </w:tc>
      </w:tr>
      <w:tr w:rsidR="00E93F58" w:rsidRPr="00576D60" w14:paraId="4A3DFE7E" w14:textId="77777777" w:rsidTr="002F32E3">
        <w:trPr>
          <w:cantSplit/>
        </w:trPr>
        <w:tc>
          <w:tcPr>
            <w:tcW w:w="1500" w:type="pct"/>
            <w:shd w:val="clear" w:color="auto" w:fill="auto"/>
          </w:tcPr>
          <w:p w14:paraId="0A2EACE7" w14:textId="77777777" w:rsidR="00E93F58" w:rsidRPr="00576D60" w:rsidRDefault="00E93F58" w:rsidP="003D2B1E">
            <w:pPr>
              <w:pStyle w:val="ENoteTableText"/>
              <w:tabs>
                <w:tab w:val="left" w:leader="dot" w:pos="2268"/>
              </w:tabs>
            </w:pPr>
            <w:r w:rsidRPr="00576D60">
              <w:t>Form 508</w:t>
            </w:r>
            <w:r w:rsidRPr="00576D60">
              <w:tab/>
            </w:r>
          </w:p>
        </w:tc>
        <w:tc>
          <w:tcPr>
            <w:tcW w:w="3500" w:type="pct"/>
            <w:shd w:val="clear" w:color="auto" w:fill="auto"/>
          </w:tcPr>
          <w:p w14:paraId="3BABD603" w14:textId="77777777" w:rsidR="00E93F58" w:rsidRPr="00576D60" w:rsidRDefault="00E93F58" w:rsidP="003D2B1E">
            <w:pPr>
              <w:pStyle w:val="ENoteTableText"/>
            </w:pPr>
            <w:r w:rsidRPr="00576D60">
              <w:t>rep No 399, 2004</w:t>
            </w:r>
          </w:p>
        </w:tc>
      </w:tr>
      <w:tr w:rsidR="00E93F58" w:rsidRPr="00576D60" w14:paraId="489B6097" w14:textId="77777777" w:rsidTr="002F32E3">
        <w:trPr>
          <w:cantSplit/>
        </w:trPr>
        <w:tc>
          <w:tcPr>
            <w:tcW w:w="1500" w:type="pct"/>
            <w:shd w:val="clear" w:color="auto" w:fill="auto"/>
          </w:tcPr>
          <w:p w14:paraId="4758F39A" w14:textId="77777777" w:rsidR="00E93F58" w:rsidRPr="00576D60" w:rsidRDefault="00E93F58" w:rsidP="003D2B1E">
            <w:pPr>
              <w:pStyle w:val="ENoteTableText"/>
              <w:tabs>
                <w:tab w:val="left" w:leader="dot" w:pos="2268"/>
              </w:tabs>
            </w:pPr>
            <w:r w:rsidRPr="00576D60">
              <w:t>Form 509</w:t>
            </w:r>
            <w:r w:rsidRPr="00576D60">
              <w:tab/>
            </w:r>
          </w:p>
        </w:tc>
        <w:tc>
          <w:tcPr>
            <w:tcW w:w="3500" w:type="pct"/>
            <w:shd w:val="clear" w:color="auto" w:fill="auto"/>
          </w:tcPr>
          <w:p w14:paraId="3A862DE4" w14:textId="77777777" w:rsidR="00E93F58" w:rsidRPr="00576D60" w:rsidRDefault="00E93F58" w:rsidP="003D2B1E">
            <w:pPr>
              <w:pStyle w:val="ENoteTableText"/>
            </w:pPr>
            <w:r w:rsidRPr="00576D60">
              <w:t>rep No 399, 2004</w:t>
            </w:r>
          </w:p>
        </w:tc>
      </w:tr>
      <w:tr w:rsidR="00E93F58" w:rsidRPr="00576D60" w14:paraId="5AF4DFD9" w14:textId="77777777" w:rsidTr="002F32E3">
        <w:trPr>
          <w:cantSplit/>
        </w:trPr>
        <w:tc>
          <w:tcPr>
            <w:tcW w:w="1500" w:type="pct"/>
            <w:shd w:val="clear" w:color="auto" w:fill="auto"/>
          </w:tcPr>
          <w:p w14:paraId="0BD555C1" w14:textId="77777777" w:rsidR="00E93F58" w:rsidRPr="00576D60" w:rsidRDefault="00E93F58" w:rsidP="003D2B1E">
            <w:pPr>
              <w:pStyle w:val="ENoteTableText"/>
              <w:tabs>
                <w:tab w:val="left" w:leader="dot" w:pos="2268"/>
              </w:tabs>
            </w:pPr>
            <w:r w:rsidRPr="00576D60">
              <w:t>Form 509C</w:t>
            </w:r>
            <w:r w:rsidRPr="00576D60">
              <w:tab/>
            </w:r>
          </w:p>
        </w:tc>
        <w:tc>
          <w:tcPr>
            <w:tcW w:w="3500" w:type="pct"/>
            <w:shd w:val="clear" w:color="auto" w:fill="auto"/>
          </w:tcPr>
          <w:p w14:paraId="124778E0" w14:textId="77777777" w:rsidR="00E93F58" w:rsidRPr="00576D60" w:rsidRDefault="00E93F58" w:rsidP="003D2B1E">
            <w:pPr>
              <w:pStyle w:val="ENoteTableText"/>
            </w:pPr>
            <w:r w:rsidRPr="00576D60">
              <w:t>rep F2016L01926</w:t>
            </w:r>
          </w:p>
        </w:tc>
      </w:tr>
      <w:tr w:rsidR="00E93F58" w:rsidRPr="00576D60" w14:paraId="2D1A640C" w14:textId="77777777" w:rsidTr="002F32E3">
        <w:trPr>
          <w:cantSplit/>
        </w:trPr>
        <w:tc>
          <w:tcPr>
            <w:tcW w:w="1500" w:type="pct"/>
            <w:shd w:val="clear" w:color="auto" w:fill="auto"/>
          </w:tcPr>
          <w:p w14:paraId="7F3C63B1" w14:textId="77777777" w:rsidR="00E93F58" w:rsidRPr="00576D60" w:rsidRDefault="00E93F58" w:rsidP="003D2B1E">
            <w:pPr>
              <w:pStyle w:val="ENoteTableText"/>
              <w:tabs>
                <w:tab w:val="left" w:leader="dot" w:pos="2268"/>
              </w:tabs>
            </w:pPr>
            <w:r w:rsidRPr="00576D60">
              <w:t>Form 509D</w:t>
            </w:r>
            <w:r w:rsidRPr="00576D60">
              <w:tab/>
            </w:r>
          </w:p>
        </w:tc>
        <w:tc>
          <w:tcPr>
            <w:tcW w:w="3500" w:type="pct"/>
            <w:shd w:val="clear" w:color="auto" w:fill="auto"/>
          </w:tcPr>
          <w:p w14:paraId="4AC971AA" w14:textId="77777777" w:rsidR="00E93F58" w:rsidRPr="00576D60" w:rsidRDefault="00E93F58" w:rsidP="003D2B1E">
            <w:pPr>
              <w:pStyle w:val="ENoteTableText"/>
            </w:pPr>
            <w:r w:rsidRPr="00576D60">
              <w:t>rep No 399, 2004</w:t>
            </w:r>
          </w:p>
        </w:tc>
      </w:tr>
      <w:tr w:rsidR="00E93F58" w:rsidRPr="00576D60" w14:paraId="34FA0FEB" w14:textId="77777777" w:rsidTr="002F32E3">
        <w:trPr>
          <w:cantSplit/>
        </w:trPr>
        <w:tc>
          <w:tcPr>
            <w:tcW w:w="1500" w:type="pct"/>
            <w:shd w:val="clear" w:color="auto" w:fill="auto"/>
          </w:tcPr>
          <w:p w14:paraId="687CD94E" w14:textId="77777777" w:rsidR="00E93F58" w:rsidRPr="00576D60" w:rsidRDefault="00E93F58" w:rsidP="003D2B1E">
            <w:pPr>
              <w:pStyle w:val="ENoteTableText"/>
              <w:tabs>
                <w:tab w:val="left" w:leader="dot" w:pos="2268"/>
              </w:tabs>
            </w:pPr>
            <w:r w:rsidRPr="00576D60">
              <w:t>Form 509F</w:t>
            </w:r>
            <w:r w:rsidRPr="00576D60">
              <w:tab/>
            </w:r>
          </w:p>
        </w:tc>
        <w:tc>
          <w:tcPr>
            <w:tcW w:w="3500" w:type="pct"/>
            <w:shd w:val="clear" w:color="auto" w:fill="auto"/>
          </w:tcPr>
          <w:p w14:paraId="18A960FA" w14:textId="77777777" w:rsidR="00E93F58" w:rsidRPr="00576D60" w:rsidRDefault="00E93F58" w:rsidP="003D2B1E">
            <w:pPr>
              <w:pStyle w:val="ENoteTableText"/>
            </w:pPr>
            <w:r w:rsidRPr="00576D60">
              <w:t>rep No 399, 2004</w:t>
            </w:r>
          </w:p>
        </w:tc>
      </w:tr>
      <w:tr w:rsidR="00E93F58" w:rsidRPr="00576D60" w14:paraId="3B1A4E4B" w14:textId="77777777" w:rsidTr="002F32E3">
        <w:trPr>
          <w:cantSplit/>
        </w:trPr>
        <w:tc>
          <w:tcPr>
            <w:tcW w:w="1500" w:type="pct"/>
            <w:shd w:val="clear" w:color="auto" w:fill="auto"/>
          </w:tcPr>
          <w:p w14:paraId="78416D94" w14:textId="77777777" w:rsidR="00E93F58" w:rsidRPr="00576D60" w:rsidRDefault="00E93F58" w:rsidP="003D2B1E">
            <w:pPr>
              <w:pStyle w:val="ENoteTableText"/>
              <w:tabs>
                <w:tab w:val="left" w:leader="dot" w:pos="2268"/>
              </w:tabs>
            </w:pPr>
            <w:r w:rsidRPr="00576D60">
              <w:t>Form 509G</w:t>
            </w:r>
            <w:r w:rsidRPr="00576D60">
              <w:tab/>
            </w:r>
          </w:p>
        </w:tc>
        <w:tc>
          <w:tcPr>
            <w:tcW w:w="3500" w:type="pct"/>
            <w:shd w:val="clear" w:color="auto" w:fill="auto"/>
          </w:tcPr>
          <w:p w14:paraId="0115C459" w14:textId="77777777" w:rsidR="00E93F58" w:rsidRPr="00576D60" w:rsidRDefault="00E93F58" w:rsidP="003D2B1E">
            <w:pPr>
              <w:pStyle w:val="ENoteTableText"/>
            </w:pPr>
            <w:r w:rsidRPr="00576D60">
              <w:t>rep No 399, 2004</w:t>
            </w:r>
          </w:p>
        </w:tc>
      </w:tr>
      <w:tr w:rsidR="00E93F58" w:rsidRPr="00576D60" w14:paraId="7AE3E19D" w14:textId="77777777" w:rsidTr="002F32E3">
        <w:trPr>
          <w:cantSplit/>
        </w:trPr>
        <w:tc>
          <w:tcPr>
            <w:tcW w:w="1500" w:type="pct"/>
            <w:shd w:val="clear" w:color="auto" w:fill="auto"/>
          </w:tcPr>
          <w:p w14:paraId="7B3A636B" w14:textId="77777777" w:rsidR="00E93F58" w:rsidRPr="00576D60" w:rsidRDefault="00E93F58" w:rsidP="003D2B1E">
            <w:pPr>
              <w:pStyle w:val="ENoteTableText"/>
              <w:tabs>
                <w:tab w:val="left" w:leader="dot" w:pos="2268"/>
              </w:tabs>
            </w:pPr>
            <w:r w:rsidRPr="00576D60">
              <w:t>Form 509H</w:t>
            </w:r>
            <w:r w:rsidRPr="00576D60">
              <w:tab/>
            </w:r>
          </w:p>
        </w:tc>
        <w:tc>
          <w:tcPr>
            <w:tcW w:w="3500" w:type="pct"/>
            <w:shd w:val="clear" w:color="auto" w:fill="auto"/>
          </w:tcPr>
          <w:p w14:paraId="0A04F2D1" w14:textId="77777777" w:rsidR="00E93F58" w:rsidRPr="00576D60" w:rsidRDefault="00E93F58" w:rsidP="003D2B1E">
            <w:pPr>
              <w:pStyle w:val="ENoteTableText"/>
            </w:pPr>
            <w:r w:rsidRPr="00576D60">
              <w:t>am No 16, 2002</w:t>
            </w:r>
          </w:p>
        </w:tc>
      </w:tr>
      <w:tr w:rsidR="00E93F58" w:rsidRPr="00576D60" w14:paraId="16BA7B0C" w14:textId="77777777" w:rsidTr="002F32E3">
        <w:trPr>
          <w:cantSplit/>
        </w:trPr>
        <w:tc>
          <w:tcPr>
            <w:tcW w:w="1500" w:type="pct"/>
            <w:shd w:val="clear" w:color="auto" w:fill="auto"/>
          </w:tcPr>
          <w:p w14:paraId="13532BE4" w14:textId="77777777" w:rsidR="00E93F58" w:rsidRPr="00576D60" w:rsidRDefault="00E93F58" w:rsidP="003D2B1E">
            <w:pPr>
              <w:pStyle w:val="ENoteTableText"/>
            </w:pPr>
          </w:p>
        </w:tc>
        <w:tc>
          <w:tcPr>
            <w:tcW w:w="3500" w:type="pct"/>
            <w:shd w:val="clear" w:color="auto" w:fill="auto"/>
          </w:tcPr>
          <w:p w14:paraId="78C77402" w14:textId="77777777" w:rsidR="00E93F58" w:rsidRPr="00576D60" w:rsidRDefault="00E93F58" w:rsidP="003D2B1E">
            <w:pPr>
              <w:pStyle w:val="ENoteTableText"/>
            </w:pPr>
            <w:r w:rsidRPr="00576D60">
              <w:t>rs No 325, 2007</w:t>
            </w:r>
          </w:p>
        </w:tc>
      </w:tr>
      <w:tr w:rsidR="00E93F58" w:rsidRPr="00576D60" w14:paraId="46007F67" w14:textId="77777777" w:rsidTr="002F32E3">
        <w:trPr>
          <w:cantSplit/>
        </w:trPr>
        <w:tc>
          <w:tcPr>
            <w:tcW w:w="1500" w:type="pct"/>
            <w:shd w:val="clear" w:color="auto" w:fill="auto"/>
          </w:tcPr>
          <w:p w14:paraId="0B0F3AD4" w14:textId="77777777" w:rsidR="00E93F58" w:rsidRPr="00576D60" w:rsidRDefault="00E93F58" w:rsidP="003D2B1E">
            <w:pPr>
              <w:pStyle w:val="ENoteTableText"/>
            </w:pPr>
          </w:p>
        </w:tc>
        <w:tc>
          <w:tcPr>
            <w:tcW w:w="3500" w:type="pct"/>
            <w:shd w:val="clear" w:color="auto" w:fill="auto"/>
          </w:tcPr>
          <w:p w14:paraId="625084B8" w14:textId="77777777" w:rsidR="00E93F58" w:rsidRPr="00576D60" w:rsidRDefault="00E93F58" w:rsidP="003D2B1E">
            <w:pPr>
              <w:pStyle w:val="ENoteTableText"/>
            </w:pPr>
            <w:r w:rsidRPr="00576D60">
              <w:t>am Act No 22, 2020; F2020L01654; F2021L00660; F2022L01689</w:t>
            </w:r>
          </w:p>
        </w:tc>
      </w:tr>
      <w:tr w:rsidR="00E93F58" w:rsidRPr="00576D60" w14:paraId="2C2D4A27" w14:textId="77777777" w:rsidTr="002F32E3">
        <w:trPr>
          <w:cantSplit/>
        </w:trPr>
        <w:tc>
          <w:tcPr>
            <w:tcW w:w="1500" w:type="pct"/>
            <w:shd w:val="clear" w:color="auto" w:fill="auto"/>
          </w:tcPr>
          <w:p w14:paraId="1C24763A" w14:textId="77777777" w:rsidR="00E93F58" w:rsidRPr="00576D60" w:rsidRDefault="00E93F58" w:rsidP="00221D48">
            <w:pPr>
              <w:pStyle w:val="ENoteTableText"/>
              <w:tabs>
                <w:tab w:val="center" w:leader="dot" w:pos="2268"/>
              </w:tabs>
            </w:pPr>
            <w:r w:rsidRPr="00576D60">
              <w:t>Form 5249</w:t>
            </w:r>
            <w:r w:rsidRPr="00576D60">
              <w:tab/>
            </w:r>
          </w:p>
        </w:tc>
        <w:tc>
          <w:tcPr>
            <w:tcW w:w="3500" w:type="pct"/>
            <w:shd w:val="clear" w:color="auto" w:fill="auto"/>
          </w:tcPr>
          <w:p w14:paraId="3DD84073" w14:textId="77777777" w:rsidR="00E93F58" w:rsidRPr="00576D60" w:rsidRDefault="00E93F58" w:rsidP="003D2B1E">
            <w:pPr>
              <w:pStyle w:val="ENoteTableText"/>
            </w:pPr>
            <w:r w:rsidRPr="00576D60">
              <w:t>rep F2022L01689</w:t>
            </w:r>
          </w:p>
        </w:tc>
      </w:tr>
      <w:tr w:rsidR="00E93F58" w:rsidRPr="00576D60" w14:paraId="1E9168AA" w14:textId="77777777" w:rsidTr="002F32E3">
        <w:trPr>
          <w:cantSplit/>
        </w:trPr>
        <w:tc>
          <w:tcPr>
            <w:tcW w:w="1500" w:type="pct"/>
            <w:shd w:val="clear" w:color="auto" w:fill="auto"/>
          </w:tcPr>
          <w:p w14:paraId="608293DB" w14:textId="77777777" w:rsidR="00E93F58" w:rsidRPr="00576D60" w:rsidRDefault="00E93F58" w:rsidP="003D2B1E">
            <w:pPr>
              <w:pStyle w:val="ENoteTableText"/>
              <w:tabs>
                <w:tab w:val="left" w:leader="dot" w:pos="2268"/>
              </w:tabs>
            </w:pPr>
            <w:r w:rsidRPr="00576D60">
              <w:t>Form 519</w:t>
            </w:r>
            <w:r w:rsidRPr="00576D60">
              <w:tab/>
            </w:r>
          </w:p>
        </w:tc>
        <w:tc>
          <w:tcPr>
            <w:tcW w:w="3500" w:type="pct"/>
            <w:shd w:val="clear" w:color="auto" w:fill="auto"/>
          </w:tcPr>
          <w:p w14:paraId="0C6F22A9" w14:textId="77777777" w:rsidR="00E93F58" w:rsidRPr="00576D60" w:rsidRDefault="00E93F58" w:rsidP="003D2B1E">
            <w:pPr>
              <w:pStyle w:val="ENoteTableText"/>
            </w:pPr>
            <w:r w:rsidRPr="00576D60">
              <w:t>rep No 399, 2004</w:t>
            </w:r>
          </w:p>
        </w:tc>
      </w:tr>
      <w:tr w:rsidR="00E93F58" w:rsidRPr="00576D60" w14:paraId="257FED0C" w14:textId="77777777" w:rsidTr="002F32E3">
        <w:trPr>
          <w:cantSplit/>
        </w:trPr>
        <w:tc>
          <w:tcPr>
            <w:tcW w:w="1500" w:type="pct"/>
            <w:shd w:val="clear" w:color="auto" w:fill="auto"/>
          </w:tcPr>
          <w:p w14:paraId="4B690F3C" w14:textId="77777777" w:rsidR="00E93F58" w:rsidRPr="00576D60" w:rsidRDefault="00E93F58" w:rsidP="003D2B1E">
            <w:pPr>
              <w:pStyle w:val="ENoteTableText"/>
              <w:tabs>
                <w:tab w:val="left" w:leader="dot" w:pos="2268"/>
              </w:tabs>
            </w:pPr>
            <w:r w:rsidRPr="00576D60">
              <w:t>Form 521</w:t>
            </w:r>
            <w:r w:rsidRPr="00576D60">
              <w:tab/>
            </w:r>
          </w:p>
        </w:tc>
        <w:tc>
          <w:tcPr>
            <w:tcW w:w="3500" w:type="pct"/>
            <w:shd w:val="clear" w:color="auto" w:fill="auto"/>
          </w:tcPr>
          <w:p w14:paraId="187A4398" w14:textId="77777777" w:rsidR="00E93F58" w:rsidRPr="00576D60" w:rsidRDefault="00E93F58" w:rsidP="003D2B1E">
            <w:pPr>
              <w:pStyle w:val="ENoteTableText"/>
            </w:pPr>
            <w:r w:rsidRPr="00576D60">
              <w:t>rep F2016L01926</w:t>
            </w:r>
          </w:p>
        </w:tc>
      </w:tr>
      <w:tr w:rsidR="00E93F58" w:rsidRPr="00576D60" w14:paraId="4F03BE16" w14:textId="77777777" w:rsidTr="002F32E3">
        <w:trPr>
          <w:cantSplit/>
        </w:trPr>
        <w:tc>
          <w:tcPr>
            <w:tcW w:w="1500" w:type="pct"/>
            <w:shd w:val="clear" w:color="auto" w:fill="auto"/>
          </w:tcPr>
          <w:p w14:paraId="37B59C22" w14:textId="77777777" w:rsidR="00E93F58" w:rsidRPr="00576D60" w:rsidRDefault="00E93F58" w:rsidP="003D2B1E">
            <w:pPr>
              <w:pStyle w:val="ENoteTableText"/>
              <w:tabs>
                <w:tab w:val="left" w:leader="dot" w:pos="2268"/>
              </w:tabs>
            </w:pPr>
            <w:r w:rsidRPr="00576D60">
              <w:t>Form 522</w:t>
            </w:r>
            <w:r w:rsidRPr="00576D60">
              <w:tab/>
            </w:r>
          </w:p>
        </w:tc>
        <w:tc>
          <w:tcPr>
            <w:tcW w:w="3500" w:type="pct"/>
            <w:shd w:val="clear" w:color="auto" w:fill="auto"/>
          </w:tcPr>
          <w:p w14:paraId="4D3395B9" w14:textId="77777777" w:rsidR="00E93F58" w:rsidRPr="00576D60" w:rsidRDefault="00E93F58" w:rsidP="003D2B1E">
            <w:pPr>
              <w:pStyle w:val="ENoteTableText"/>
            </w:pPr>
            <w:r w:rsidRPr="00576D60">
              <w:t>rep No 399, 2004</w:t>
            </w:r>
          </w:p>
        </w:tc>
      </w:tr>
      <w:tr w:rsidR="00E93F58" w:rsidRPr="00576D60" w14:paraId="75BF1B01" w14:textId="77777777" w:rsidTr="002F32E3">
        <w:trPr>
          <w:cantSplit/>
        </w:trPr>
        <w:tc>
          <w:tcPr>
            <w:tcW w:w="1500" w:type="pct"/>
            <w:shd w:val="clear" w:color="auto" w:fill="auto"/>
          </w:tcPr>
          <w:p w14:paraId="5DA030B3" w14:textId="77777777" w:rsidR="00E93F58" w:rsidRPr="00576D60" w:rsidRDefault="00E93F58" w:rsidP="003D2B1E">
            <w:pPr>
              <w:pStyle w:val="ENoteTableText"/>
              <w:tabs>
                <w:tab w:val="left" w:leader="dot" w:pos="2268"/>
              </w:tabs>
            </w:pPr>
            <w:r w:rsidRPr="00576D60">
              <w:t>Form 523</w:t>
            </w:r>
            <w:r w:rsidRPr="00576D60">
              <w:tab/>
            </w:r>
          </w:p>
        </w:tc>
        <w:tc>
          <w:tcPr>
            <w:tcW w:w="3500" w:type="pct"/>
            <w:shd w:val="clear" w:color="auto" w:fill="auto"/>
          </w:tcPr>
          <w:p w14:paraId="657933A5" w14:textId="77777777" w:rsidR="00E93F58" w:rsidRPr="00576D60" w:rsidRDefault="00E93F58" w:rsidP="003D2B1E">
            <w:pPr>
              <w:pStyle w:val="ENoteTableText"/>
            </w:pPr>
            <w:r w:rsidRPr="00576D60">
              <w:t>rep No 399, 2004</w:t>
            </w:r>
          </w:p>
        </w:tc>
      </w:tr>
      <w:tr w:rsidR="00E93F58" w:rsidRPr="00576D60" w14:paraId="6C94D1FC" w14:textId="77777777" w:rsidTr="002F32E3">
        <w:trPr>
          <w:cantSplit/>
        </w:trPr>
        <w:tc>
          <w:tcPr>
            <w:tcW w:w="1500" w:type="pct"/>
            <w:shd w:val="clear" w:color="auto" w:fill="auto"/>
          </w:tcPr>
          <w:p w14:paraId="3F7BDBF1" w14:textId="77777777" w:rsidR="00E93F58" w:rsidRPr="00576D60" w:rsidRDefault="00E93F58" w:rsidP="003D2B1E">
            <w:pPr>
              <w:pStyle w:val="ENoteTableText"/>
              <w:tabs>
                <w:tab w:val="left" w:leader="dot" w:pos="2268"/>
              </w:tabs>
            </w:pPr>
            <w:r w:rsidRPr="00576D60">
              <w:t>Form 524</w:t>
            </w:r>
            <w:r w:rsidRPr="00576D60">
              <w:tab/>
            </w:r>
          </w:p>
        </w:tc>
        <w:tc>
          <w:tcPr>
            <w:tcW w:w="3500" w:type="pct"/>
            <w:shd w:val="clear" w:color="auto" w:fill="auto"/>
          </w:tcPr>
          <w:p w14:paraId="0DB179A8" w14:textId="77777777" w:rsidR="00E93F58" w:rsidRPr="00576D60" w:rsidRDefault="00E93F58" w:rsidP="003D2B1E">
            <w:pPr>
              <w:pStyle w:val="ENoteTableText"/>
            </w:pPr>
            <w:r w:rsidRPr="00576D60">
              <w:t xml:space="preserve">rep No 399, 2004 </w:t>
            </w:r>
          </w:p>
        </w:tc>
      </w:tr>
      <w:tr w:rsidR="00E93F58" w:rsidRPr="00576D60" w14:paraId="33091D7B" w14:textId="77777777" w:rsidTr="002F32E3">
        <w:trPr>
          <w:cantSplit/>
        </w:trPr>
        <w:tc>
          <w:tcPr>
            <w:tcW w:w="1500" w:type="pct"/>
            <w:shd w:val="clear" w:color="auto" w:fill="auto"/>
          </w:tcPr>
          <w:p w14:paraId="244893FB" w14:textId="77777777" w:rsidR="00E93F58" w:rsidRPr="00576D60" w:rsidRDefault="00E93F58" w:rsidP="003D2B1E">
            <w:pPr>
              <w:pStyle w:val="ENoteTableText"/>
              <w:tabs>
                <w:tab w:val="left" w:leader="dot" w:pos="2268"/>
              </w:tabs>
            </w:pPr>
            <w:r w:rsidRPr="00576D60">
              <w:t>Form 525</w:t>
            </w:r>
            <w:r w:rsidRPr="00576D60">
              <w:tab/>
            </w:r>
          </w:p>
        </w:tc>
        <w:tc>
          <w:tcPr>
            <w:tcW w:w="3500" w:type="pct"/>
            <w:shd w:val="clear" w:color="auto" w:fill="auto"/>
          </w:tcPr>
          <w:p w14:paraId="0F61B929" w14:textId="77777777" w:rsidR="00E93F58" w:rsidRPr="00576D60" w:rsidRDefault="00E93F58" w:rsidP="003D2B1E">
            <w:pPr>
              <w:pStyle w:val="ENoteTableText"/>
            </w:pPr>
            <w:r w:rsidRPr="00576D60">
              <w:t>rep No 399, 2004</w:t>
            </w:r>
          </w:p>
        </w:tc>
      </w:tr>
      <w:tr w:rsidR="00E93F58" w:rsidRPr="00576D60" w14:paraId="2631120D" w14:textId="77777777" w:rsidTr="002F32E3">
        <w:trPr>
          <w:cantSplit/>
        </w:trPr>
        <w:tc>
          <w:tcPr>
            <w:tcW w:w="1500" w:type="pct"/>
            <w:shd w:val="clear" w:color="auto" w:fill="auto"/>
          </w:tcPr>
          <w:p w14:paraId="7FBCCB60" w14:textId="77777777" w:rsidR="00E93F58" w:rsidRPr="00576D60" w:rsidRDefault="00E93F58" w:rsidP="003D2B1E">
            <w:pPr>
              <w:pStyle w:val="ENoteTableText"/>
              <w:tabs>
                <w:tab w:val="left" w:leader="dot" w:pos="2268"/>
              </w:tabs>
            </w:pPr>
            <w:r w:rsidRPr="00576D60">
              <w:t>Form 529</w:t>
            </w:r>
            <w:r w:rsidRPr="00576D60">
              <w:tab/>
            </w:r>
          </w:p>
        </w:tc>
        <w:tc>
          <w:tcPr>
            <w:tcW w:w="3500" w:type="pct"/>
            <w:shd w:val="clear" w:color="auto" w:fill="auto"/>
          </w:tcPr>
          <w:p w14:paraId="08D31DF6" w14:textId="77777777" w:rsidR="00E93F58" w:rsidRPr="00576D60" w:rsidRDefault="00E93F58" w:rsidP="003D2B1E">
            <w:pPr>
              <w:pStyle w:val="ENoteTableText"/>
            </w:pPr>
            <w:r w:rsidRPr="00576D60">
              <w:t>am No 325, 2007</w:t>
            </w:r>
          </w:p>
        </w:tc>
      </w:tr>
      <w:tr w:rsidR="00E93F58" w:rsidRPr="00576D60" w14:paraId="075AE7BC" w14:textId="77777777" w:rsidTr="002F32E3">
        <w:trPr>
          <w:cantSplit/>
        </w:trPr>
        <w:tc>
          <w:tcPr>
            <w:tcW w:w="1500" w:type="pct"/>
            <w:shd w:val="clear" w:color="auto" w:fill="auto"/>
          </w:tcPr>
          <w:p w14:paraId="438E5297" w14:textId="77777777" w:rsidR="00E93F58" w:rsidRPr="00576D60" w:rsidRDefault="00E93F58" w:rsidP="003D2B1E">
            <w:pPr>
              <w:pStyle w:val="ENoteTableText"/>
            </w:pPr>
          </w:p>
        </w:tc>
        <w:tc>
          <w:tcPr>
            <w:tcW w:w="3500" w:type="pct"/>
            <w:shd w:val="clear" w:color="auto" w:fill="auto"/>
          </w:tcPr>
          <w:p w14:paraId="46034AD7" w14:textId="77777777" w:rsidR="00E93F58" w:rsidRPr="00576D60" w:rsidRDefault="00E93F58" w:rsidP="003D2B1E">
            <w:pPr>
              <w:pStyle w:val="ENoteTableText"/>
            </w:pPr>
            <w:r w:rsidRPr="00576D60">
              <w:t>rs No 198, 2009</w:t>
            </w:r>
          </w:p>
        </w:tc>
      </w:tr>
      <w:tr w:rsidR="00E93F58" w:rsidRPr="00576D60" w14:paraId="5867FE46" w14:textId="77777777" w:rsidTr="002F32E3">
        <w:trPr>
          <w:cantSplit/>
        </w:trPr>
        <w:tc>
          <w:tcPr>
            <w:tcW w:w="1500" w:type="pct"/>
            <w:shd w:val="clear" w:color="auto" w:fill="auto"/>
          </w:tcPr>
          <w:p w14:paraId="4578D1AA" w14:textId="77777777" w:rsidR="00E93F58" w:rsidRPr="00576D60" w:rsidRDefault="00E93F58" w:rsidP="003D2B1E">
            <w:pPr>
              <w:pStyle w:val="ENoteTableText"/>
              <w:tabs>
                <w:tab w:val="left" w:leader="dot" w:pos="2268"/>
              </w:tabs>
            </w:pPr>
            <w:r w:rsidRPr="00576D60">
              <w:t>Form 529A</w:t>
            </w:r>
            <w:r w:rsidRPr="00576D60">
              <w:tab/>
            </w:r>
          </w:p>
        </w:tc>
        <w:tc>
          <w:tcPr>
            <w:tcW w:w="3500" w:type="pct"/>
            <w:shd w:val="clear" w:color="auto" w:fill="auto"/>
          </w:tcPr>
          <w:p w14:paraId="471053B4" w14:textId="77777777" w:rsidR="00E93F58" w:rsidRPr="00576D60" w:rsidRDefault="00E93F58" w:rsidP="003D2B1E">
            <w:pPr>
              <w:pStyle w:val="ENoteTableText"/>
            </w:pPr>
            <w:r w:rsidRPr="00576D60">
              <w:t>rep F2016L01926</w:t>
            </w:r>
          </w:p>
        </w:tc>
      </w:tr>
      <w:tr w:rsidR="00E93F58" w:rsidRPr="00576D60" w14:paraId="006D21B5" w14:textId="77777777" w:rsidTr="002F32E3">
        <w:trPr>
          <w:cantSplit/>
        </w:trPr>
        <w:tc>
          <w:tcPr>
            <w:tcW w:w="1500" w:type="pct"/>
            <w:shd w:val="clear" w:color="auto" w:fill="auto"/>
          </w:tcPr>
          <w:p w14:paraId="2892B420" w14:textId="77777777" w:rsidR="00E93F58" w:rsidRPr="00576D60" w:rsidRDefault="00E93F58" w:rsidP="003D2B1E">
            <w:pPr>
              <w:pStyle w:val="ENoteTableText"/>
              <w:tabs>
                <w:tab w:val="left" w:leader="dot" w:pos="2268"/>
              </w:tabs>
            </w:pPr>
            <w:r w:rsidRPr="00576D60">
              <w:t>Form 529B</w:t>
            </w:r>
            <w:r w:rsidRPr="00576D60">
              <w:tab/>
            </w:r>
          </w:p>
        </w:tc>
        <w:tc>
          <w:tcPr>
            <w:tcW w:w="3500" w:type="pct"/>
            <w:shd w:val="clear" w:color="auto" w:fill="auto"/>
          </w:tcPr>
          <w:p w14:paraId="1F14EA4C" w14:textId="77777777" w:rsidR="00E93F58" w:rsidRPr="00576D60" w:rsidRDefault="00E93F58" w:rsidP="003D2B1E">
            <w:pPr>
              <w:pStyle w:val="ENoteTableText"/>
            </w:pPr>
            <w:r w:rsidRPr="00576D60">
              <w:t>rep F2016L01926</w:t>
            </w:r>
          </w:p>
        </w:tc>
      </w:tr>
      <w:tr w:rsidR="00E93F58" w:rsidRPr="00576D60" w14:paraId="4451FBE3" w14:textId="77777777" w:rsidTr="002F32E3">
        <w:trPr>
          <w:cantSplit/>
        </w:trPr>
        <w:tc>
          <w:tcPr>
            <w:tcW w:w="1500" w:type="pct"/>
            <w:shd w:val="clear" w:color="auto" w:fill="auto"/>
          </w:tcPr>
          <w:p w14:paraId="75B2C3CA" w14:textId="77777777" w:rsidR="00E93F58" w:rsidRPr="00576D60" w:rsidRDefault="00E93F58" w:rsidP="003D2B1E">
            <w:pPr>
              <w:pStyle w:val="ENoteTableText"/>
              <w:tabs>
                <w:tab w:val="left" w:leader="dot" w:pos="2268"/>
              </w:tabs>
            </w:pPr>
            <w:r w:rsidRPr="00576D60">
              <w:t>Form 530</w:t>
            </w:r>
            <w:r w:rsidRPr="00576D60">
              <w:tab/>
            </w:r>
          </w:p>
        </w:tc>
        <w:tc>
          <w:tcPr>
            <w:tcW w:w="3500" w:type="pct"/>
            <w:shd w:val="clear" w:color="auto" w:fill="auto"/>
          </w:tcPr>
          <w:p w14:paraId="660E0E93" w14:textId="77777777" w:rsidR="00E93F58" w:rsidRPr="00576D60" w:rsidRDefault="00E93F58" w:rsidP="003D2B1E">
            <w:pPr>
              <w:pStyle w:val="ENoteTableText"/>
            </w:pPr>
            <w:r w:rsidRPr="00576D60">
              <w:t>rep F2016L01926</w:t>
            </w:r>
          </w:p>
        </w:tc>
      </w:tr>
      <w:tr w:rsidR="00E93F58" w:rsidRPr="00576D60" w14:paraId="3184EC62" w14:textId="77777777" w:rsidTr="002F32E3">
        <w:trPr>
          <w:cantSplit/>
        </w:trPr>
        <w:tc>
          <w:tcPr>
            <w:tcW w:w="1500" w:type="pct"/>
            <w:shd w:val="clear" w:color="auto" w:fill="auto"/>
          </w:tcPr>
          <w:p w14:paraId="18390F2E" w14:textId="77777777" w:rsidR="00E93F58" w:rsidRPr="00576D60" w:rsidRDefault="00E93F58" w:rsidP="003D2B1E">
            <w:pPr>
              <w:pStyle w:val="ENoteTableText"/>
              <w:tabs>
                <w:tab w:val="left" w:leader="dot" w:pos="2268"/>
              </w:tabs>
            </w:pPr>
            <w:r w:rsidRPr="00576D60">
              <w:t>Form 531A</w:t>
            </w:r>
            <w:r w:rsidRPr="00576D60">
              <w:tab/>
            </w:r>
          </w:p>
        </w:tc>
        <w:tc>
          <w:tcPr>
            <w:tcW w:w="3500" w:type="pct"/>
            <w:shd w:val="clear" w:color="auto" w:fill="auto"/>
          </w:tcPr>
          <w:p w14:paraId="600817C6" w14:textId="77777777" w:rsidR="00E93F58" w:rsidRPr="00576D60" w:rsidRDefault="00E93F58" w:rsidP="003D2B1E">
            <w:pPr>
              <w:pStyle w:val="ENoteTableText"/>
            </w:pPr>
            <w:r w:rsidRPr="00576D60">
              <w:t>rep F2016L01926</w:t>
            </w:r>
          </w:p>
        </w:tc>
      </w:tr>
      <w:tr w:rsidR="00E93F58" w:rsidRPr="00576D60" w14:paraId="1AF316E1" w14:textId="77777777" w:rsidTr="002F32E3">
        <w:trPr>
          <w:cantSplit/>
        </w:trPr>
        <w:tc>
          <w:tcPr>
            <w:tcW w:w="1500" w:type="pct"/>
            <w:shd w:val="clear" w:color="auto" w:fill="auto"/>
          </w:tcPr>
          <w:p w14:paraId="536D4331" w14:textId="77777777" w:rsidR="00E93F58" w:rsidRPr="00576D60" w:rsidRDefault="00E93F58" w:rsidP="003D2B1E">
            <w:pPr>
              <w:pStyle w:val="ENoteTableText"/>
              <w:tabs>
                <w:tab w:val="left" w:leader="dot" w:pos="2268"/>
              </w:tabs>
            </w:pPr>
            <w:r w:rsidRPr="00576D60">
              <w:t>Form 531B</w:t>
            </w:r>
            <w:r w:rsidRPr="00576D60">
              <w:tab/>
            </w:r>
          </w:p>
        </w:tc>
        <w:tc>
          <w:tcPr>
            <w:tcW w:w="3500" w:type="pct"/>
            <w:shd w:val="clear" w:color="auto" w:fill="auto"/>
          </w:tcPr>
          <w:p w14:paraId="21B7959B" w14:textId="77777777" w:rsidR="00E93F58" w:rsidRPr="00576D60" w:rsidRDefault="00E93F58" w:rsidP="003D2B1E">
            <w:pPr>
              <w:pStyle w:val="ENoteTableText"/>
            </w:pPr>
            <w:r w:rsidRPr="00576D60">
              <w:t>am No 325, 2007</w:t>
            </w:r>
          </w:p>
        </w:tc>
      </w:tr>
      <w:tr w:rsidR="00E93F58" w:rsidRPr="00576D60" w14:paraId="40566380" w14:textId="77777777" w:rsidTr="002F32E3">
        <w:trPr>
          <w:cantSplit/>
        </w:trPr>
        <w:tc>
          <w:tcPr>
            <w:tcW w:w="1500" w:type="pct"/>
            <w:shd w:val="clear" w:color="auto" w:fill="auto"/>
          </w:tcPr>
          <w:p w14:paraId="7AC178B9" w14:textId="77777777" w:rsidR="00E93F58" w:rsidRPr="00576D60" w:rsidRDefault="00E93F58" w:rsidP="003D2B1E">
            <w:pPr>
              <w:pStyle w:val="ENoteTableText"/>
              <w:tabs>
                <w:tab w:val="left" w:leader="dot" w:pos="2268"/>
              </w:tabs>
            </w:pPr>
          </w:p>
        </w:tc>
        <w:tc>
          <w:tcPr>
            <w:tcW w:w="3500" w:type="pct"/>
            <w:shd w:val="clear" w:color="auto" w:fill="auto"/>
          </w:tcPr>
          <w:p w14:paraId="6B4139E1" w14:textId="77777777" w:rsidR="00E93F58" w:rsidRPr="00576D60" w:rsidRDefault="00E93F58" w:rsidP="003D2B1E">
            <w:pPr>
              <w:pStyle w:val="ENoteTableText"/>
            </w:pPr>
            <w:r w:rsidRPr="00576D60">
              <w:t>rep F2016L01926</w:t>
            </w:r>
          </w:p>
        </w:tc>
      </w:tr>
      <w:tr w:rsidR="00E93F58" w:rsidRPr="00576D60" w14:paraId="025394A7" w14:textId="77777777" w:rsidTr="002F32E3">
        <w:trPr>
          <w:cantSplit/>
        </w:trPr>
        <w:tc>
          <w:tcPr>
            <w:tcW w:w="1500" w:type="pct"/>
            <w:shd w:val="clear" w:color="auto" w:fill="auto"/>
          </w:tcPr>
          <w:p w14:paraId="4D33FB98" w14:textId="77777777" w:rsidR="00E93F58" w:rsidRPr="00576D60" w:rsidRDefault="00E93F58" w:rsidP="003D2B1E">
            <w:pPr>
              <w:pStyle w:val="ENoteTableText"/>
              <w:tabs>
                <w:tab w:val="left" w:leader="dot" w:pos="2268"/>
              </w:tabs>
            </w:pPr>
            <w:r w:rsidRPr="00576D60">
              <w:t>Form 531C</w:t>
            </w:r>
            <w:r w:rsidRPr="00576D60">
              <w:tab/>
            </w:r>
          </w:p>
        </w:tc>
        <w:tc>
          <w:tcPr>
            <w:tcW w:w="3500" w:type="pct"/>
            <w:shd w:val="clear" w:color="auto" w:fill="auto"/>
          </w:tcPr>
          <w:p w14:paraId="5E47C4BE" w14:textId="77777777" w:rsidR="00E93F58" w:rsidRPr="00576D60" w:rsidRDefault="00E93F58" w:rsidP="003D2B1E">
            <w:pPr>
              <w:pStyle w:val="ENoteTableText"/>
            </w:pPr>
            <w:r w:rsidRPr="00576D60">
              <w:t>rep F2016L01926</w:t>
            </w:r>
          </w:p>
        </w:tc>
      </w:tr>
      <w:tr w:rsidR="00E93F58" w:rsidRPr="00576D60" w14:paraId="062C423B" w14:textId="77777777" w:rsidTr="002F32E3">
        <w:trPr>
          <w:cantSplit/>
        </w:trPr>
        <w:tc>
          <w:tcPr>
            <w:tcW w:w="1500" w:type="pct"/>
            <w:shd w:val="clear" w:color="auto" w:fill="auto"/>
          </w:tcPr>
          <w:p w14:paraId="5B7A8629" w14:textId="77777777" w:rsidR="00E93F58" w:rsidRPr="00576D60" w:rsidRDefault="00E93F58" w:rsidP="003D2B1E">
            <w:pPr>
              <w:pStyle w:val="ENoteTableText"/>
              <w:tabs>
                <w:tab w:val="left" w:leader="dot" w:pos="2268"/>
              </w:tabs>
            </w:pPr>
            <w:r w:rsidRPr="00576D60">
              <w:t>Form 532</w:t>
            </w:r>
            <w:r w:rsidRPr="00576D60">
              <w:tab/>
            </w:r>
          </w:p>
        </w:tc>
        <w:tc>
          <w:tcPr>
            <w:tcW w:w="3500" w:type="pct"/>
            <w:shd w:val="clear" w:color="auto" w:fill="auto"/>
          </w:tcPr>
          <w:p w14:paraId="0679B548" w14:textId="77777777" w:rsidR="00E93F58" w:rsidRPr="00576D60" w:rsidRDefault="00E93F58" w:rsidP="003D2B1E">
            <w:pPr>
              <w:pStyle w:val="ENoteTableText"/>
            </w:pPr>
            <w:r w:rsidRPr="00576D60">
              <w:t>rep F2016L01926</w:t>
            </w:r>
          </w:p>
        </w:tc>
      </w:tr>
      <w:tr w:rsidR="00E93F58" w:rsidRPr="00576D60" w14:paraId="5BCE0E92" w14:textId="77777777" w:rsidTr="002F32E3">
        <w:trPr>
          <w:cantSplit/>
        </w:trPr>
        <w:tc>
          <w:tcPr>
            <w:tcW w:w="1500" w:type="pct"/>
            <w:shd w:val="clear" w:color="auto" w:fill="auto"/>
          </w:tcPr>
          <w:p w14:paraId="6AF59850" w14:textId="77777777" w:rsidR="00E93F58" w:rsidRPr="00576D60" w:rsidRDefault="00E93F58" w:rsidP="003D2B1E">
            <w:pPr>
              <w:pStyle w:val="ENoteTableText"/>
              <w:tabs>
                <w:tab w:val="left" w:leader="dot" w:pos="2268"/>
              </w:tabs>
            </w:pPr>
            <w:r w:rsidRPr="00576D60">
              <w:t>Form 533</w:t>
            </w:r>
            <w:r w:rsidRPr="00576D60">
              <w:tab/>
            </w:r>
          </w:p>
        </w:tc>
        <w:tc>
          <w:tcPr>
            <w:tcW w:w="3500" w:type="pct"/>
            <w:shd w:val="clear" w:color="auto" w:fill="auto"/>
          </w:tcPr>
          <w:p w14:paraId="6AE12ED2" w14:textId="77777777" w:rsidR="00E93F58" w:rsidRPr="00576D60" w:rsidRDefault="00E93F58" w:rsidP="003D2B1E">
            <w:pPr>
              <w:pStyle w:val="ENoteTableText"/>
            </w:pPr>
            <w:r w:rsidRPr="00576D60">
              <w:t>rep No 114, 2012</w:t>
            </w:r>
          </w:p>
        </w:tc>
      </w:tr>
      <w:tr w:rsidR="00E93F58" w:rsidRPr="00576D60" w14:paraId="60A98792" w14:textId="77777777" w:rsidTr="002F32E3">
        <w:trPr>
          <w:cantSplit/>
        </w:trPr>
        <w:tc>
          <w:tcPr>
            <w:tcW w:w="1500" w:type="pct"/>
            <w:shd w:val="clear" w:color="auto" w:fill="auto"/>
          </w:tcPr>
          <w:p w14:paraId="0B11E09E" w14:textId="77777777" w:rsidR="00E93F58" w:rsidRPr="00576D60" w:rsidRDefault="00E93F58" w:rsidP="003D2B1E">
            <w:pPr>
              <w:pStyle w:val="ENoteTableText"/>
              <w:tabs>
                <w:tab w:val="left" w:leader="dot" w:pos="2268"/>
              </w:tabs>
            </w:pPr>
            <w:r w:rsidRPr="00576D60">
              <w:t>Form 534</w:t>
            </w:r>
            <w:r w:rsidRPr="00576D60">
              <w:tab/>
            </w:r>
          </w:p>
        </w:tc>
        <w:tc>
          <w:tcPr>
            <w:tcW w:w="3500" w:type="pct"/>
            <w:shd w:val="clear" w:color="auto" w:fill="auto"/>
          </w:tcPr>
          <w:p w14:paraId="47E2BE40" w14:textId="77777777" w:rsidR="00E93F58" w:rsidRPr="00576D60" w:rsidRDefault="00E93F58" w:rsidP="003D2B1E">
            <w:pPr>
              <w:pStyle w:val="ENoteTableText"/>
            </w:pPr>
            <w:r w:rsidRPr="00576D60">
              <w:t>rep No 114, 2012</w:t>
            </w:r>
          </w:p>
        </w:tc>
      </w:tr>
      <w:tr w:rsidR="00E93F58" w:rsidRPr="00576D60" w14:paraId="301073A9" w14:textId="77777777" w:rsidTr="002F32E3">
        <w:trPr>
          <w:cantSplit/>
        </w:trPr>
        <w:tc>
          <w:tcPr>
            <w:tcW w:w="1500" w:type="pct"/>
            <w:shd w:val="clear" w:color="auto" w:fill="auto"/>
          </w:tcPr>
          <w:p w14:paraId="62C2E293" w14:textId="77777777" w:rsidR="00E93F58" w:rsidRPr="00576D60" w:rsidRDefault="00E93F58" w:rsidP="003D2B1E">
            <w:pPr>
              <w:pStyle w:val="ENoteTableText"/>
              <w:tabs>
                <w:tab w:val="left" w:leader="dot" w:pos="2268"/>
              </w:tabs>
            </w:pPr>
            <w:r w:rsidRPr="00576D60">
              <w:t>Form 540</w:t>
            </w:r>
            <w:r w:rsidRPr="00576D60">
              <w:tab/>
            </w:r>
          </w:p>
        </w:tc>
        <w:tc>
          <w:tcPr>
            <w:tcW w:w="3500" w:type="pct"/>
            <w:shd w:val="clear" w:color="auto" w:fill="auto"/>
          </w:tcPr>
          <w:p w14:paraId="697B08E0" w14:textId="77777777" w:rsidR="00E93F58" w:rsidRPr="00576D60" w:rsidRDefault="00E93F58" w:rsidP="003D2B1E">
            <w:pPr>
              <w:pStyle w:val="ENoteTableText"/>
            </w:pPr>
            <w:r w:rsidRPr="00576D60">
              <w:t>rep No 399, 2004</w:t>
            </w:r>
          </w:p>
        </w:tc>
      </w:tr>
      <w:tr w:rsidR="00E93F58" w:rsidRPr="00576D60" w14:paraId="45EA7B79" w14:textId="77777777" w:rsidTr="002F32E3">
        <w:trPr>
          <w:cantSplit/>
        </w:trPr>
        <w:tc>
          <w:tcPr>
            <w:tcW w:w="1500" w:type="pct"/>
            <w:shd w:val="clear" w:color="auto" w:fill="auto"/>
          </w:tcPr>
          <w:p w14:paraId="0231DEA9" w14:textId="77777777" w:rsidR="00E93F58" w:rsidRPr="00576D60" w:rsidRDefault="00E93F58" w:rsidP="003D2B1E">
            <w:pPr>
              <w:pStyle w:val="ENoteTableText"/>
              <w:tabs>
                <w:tab w:val="left" w:leader="dot" w:pos="2268"/>
              </w:tabs>
            </w:pPr>
            <w:r w:rsidRPr="00576D60">
              <w:t>Form 545</w:t>
            </w:r>
            <w:r w:rsidRPr="00576D60">
              <w:tab/>
            </w:r>
          </w:p>
        </w:tc>
        <w:tc>
          <w:tcPr>
            <w:tcW w:w="3500" w:type="pct"/>
            <w:shd w:val="clear" w:color="auto" w:fill="auto"/>
          </w:tcPr>
          <w:p w14:paraId="4E3798B7" w14:textId="77777777" w:rsidR="00E93F58" w:rsidRPr="00576D60" w:rsidRDefault="00E93F58" w:rsidP="003D2B1E">
            <w:pPr>
              <w:pStyle w:val="ENoteTableText"/>
            </w:pPr>
            <w:r w:rsidRPr="00576D60">
              <w:t>rep No 399, 2004</w:t>
            </w:r>
          </w:p>
        </w:tc>
      </w:tr>
      <w:tr w:rsidR="00E93F58" w:rsidRPr="00576D60" w14:paraId="1D24D7EF" w14:textId="77777777" w:rsidTr="002F32E3">
        <w:trPr>
          <w:cantSplit/>
        </w:trPr>
        <w:tc>
          <w:tcPr>
            <w:tcW w:w="1500" w:type="pct"/>
            <w:shd w:val="clear" w:color="auto" w:fill="auto"/>
          </w:tcPr>
          <w:p w14:paraId="4F8FBD61" w14:textId="77777777" w:rsidR="00E93F58" w:rsidRPr="00576D60" w:rsidRDefault="00E93F58" w:rsidP="003D2B1E">
            <w:pPr>
              <w:pStyle w:val="ENoteTableText"/>
              <w:tabs>
                <w:tab w:val="left" w:leader="dot" w:pos="2268"/>
              </w:tabs>
            </w:pPr>
            <w:r w:rsidRPr="00576D60">
              <w:t>Form 546</w:t>
            </w:r>
            <w:r w:rsidRPr="00576D60">
              <w:tab/>
            </w:r>
          </w:p>
        </w:tc>
        <w:tc>
          <w:tcPr>
            <w:tcW w:w="3500" w:type="pct"/>
            <w:shd w:val="clear" w:color="auto" w:fill="auto"/>
          </w:tcPr>
          <w:p w14:paraId="586105B5" w14:textId="77777777" w:rsidR="00E93F58" w:rsidRPr="00576D60" w:rsidRDefault="00E93F58" w:rsidP="003D2B1E">
            <w:pPr>
              <w:pStyle w:val="ENoteTableText"/>
            </w:pPr>
            <w:r w:rsidRPr="00576D60">
              <w:t>rep No 114, 2012</w:t>
            </w:r>
          </w:p>
        </w:tc>
      </w:tr>
      <w:tr w:rsidR="00E93F58" w:rsidRPr="00576D60" w14:paraId="0C83B4AA" w14:textId="77777777" w:rsidTr="002F32E3">
        <w:trPr>
          <w:cantSplit/>
        </w:trPr>
        <w:tc>
          <w:tcPr>
            <w:tcW w:w="1500" w:type="pct"/>
            <w:shd w:val="clear" w:color="auto" w:fill="auto"/>
          </w:tcPr>
          <w:p w14:paraId="297CA3DF" w14:textId="77777777" w:rsidR="00E93F58" w:rsidRPr="00576D60" w:rsidRDefault="00E93F58" w:rsidP="003D2B1E">
            <w:pPr>
              <w:pStyle w:val="ENoteTableText"/>
              <w:tabs>
                <w:tab w:val="left" w:leader="dot" w:pos="2268"/>
              </w:tabs>
            </w:pPr>
            <w:r w:rsidRPr="00576D60">
              <w:t>Form 551</w:t>
            </w:r>
            <w:r w:rsidRPr="00576D60">
              <w:tab/>
            </w:r>
          </w:p>
        </w:tc>
        <w:tc>
          <w:tcPr>
            <w:tcW w:w="3500" w:type="pct"/>
            <w:shd w:val="clear" w:color="auto" w:fill="auto"/>
          </w:tcPr>
          <w:p w14:paraId="2DA776C2" w14:textId="77777777" w:rsidR="00E93F58" w:rsidRPr="00576D60" w:rsidRDefault="00E93F58" w:rsidP="003D2B1E">
            <w:pPr>
              <w:pStyle w:val="ENoteTableText"/>
            </w:pPr>
            <w:r w:rsidRPr="00576D60">
              <w:t>ed C124</w:t>
            </w:r>
          </w:p>
        </w:tc>
      </w:tr>
      <w:tr w:rsidR="00E93F58" w:rsidRPr="00576D60" w14:paraId="5E6BEC95" w14:textId="77777777" w:rsidTr="002F32E3">
        <w:trPr>
          <w:cantSplit/>
        </w:trPr>
        <w:tc>
          <w:tcPr>
            <w:tcW w:w="1500" w:type="pct"/>
            <w:shd w:val="clear" w:color="auto" w:fill="auto"/>
          </w:tcPr>
          <w:p w14:paraId="33B69C79" w14:textId="77777777" w:rsidR="00E93F58" w:rsidRPr="00576D60" w:rsidRDefault="00E93F58" w:rsidP="003D2B1E">
            <w:pPr>
              <w:pStyle w:val="ENoteTableText"/>
              <w:tabs>
                <w:tab w:val="left" w:leader="dot" w:pos="2268"/>
              </w:tabs>
            </w:pPr>
            <w:r w:rsidRPr="00576D60">
              <w:t>Form 586</w:t>
            </w:r>
            <w:r w:rsidRPr="00576D60">
              <w:tab/>
            </w:r>
          </w:p>
        </w:tc>
        <w:tc>
          <w:tcPr>
            <w:tcW w:w="3500" w:type="pct"/>
            <w:shd w:val="clear" w:color="auto" w:fill="auto"/>
          </w:tcPr>
          <w:p w14:paraId="7F9DA911" w14:textId="77777777" w:rsidR="00E93F58" w:rsidRPr="00576D60" w:rsidRDefault="00E93F58" w:rsidP="003D2B1E">
            <w:pPr>
              <w:pStyle w:val="ENoteTableText"/>
            </w:pPr>
            <w:r w:rsidRPr="00576D60">
              <w:t>ad F2022L01689</w:t>
            </w:r>
          </w:p>
        </w:tc>
      </w:tr>
      <w:tr w:rsidR="00E93F58" w:rsidRPr="00576D60" w14:paraId="1D021790" w14:textId="77777777" w:rsidTr="002F32E3">
        <w:trPr>
          <w:cantSplit/>
        </w:trPr>
        <w:tc>
          <w:tcPr>
            <w:tcW w:w="1500" w:type="pct"/>
            <w:shd w:val="clear" w:color="auto" w:fill="auto"/>
          </w:tcPr>
          <w:p w14:paraId="6D5FF042" w14:textId="77777777" w:rsidR="00E93F58" w:rsidRPr="00576D60" w:rsidRDefault="00E93F58" w:rsidP="003D2B1E">
            <w:pPr>
              <w:pStyle w:val="ENoteTableText"/>
              <w:tabs>
                <w:tab w:val="left" w:leader="dot" w:pos="2268"/>
              </w:tabs>
            </w:pPr>
            <w:r w:rsidRPr="00576D60">
              <w:t>Form 588</w:t>
            </w:r>
            <w:r w:rsidRPr="00576D60">
              <w:tab/>
            </w:r>
          </w:p>
        </w:tc>
        <w:tc>
          <w:tcPr>
            <w:tcW w:w="3500" w:type="pct"/>
            <w:shd w:val="clear" w:color="auto" w:fill="auto"/>
          </w:tcPr>
          <w:p w14:paraId="149115E8" w14:textId="77777777" w:rsidR="00E93F58" w:rsidRPr="00576D60" w:rsidRDefault="00E93F58" w:rsidP="003D2B1E">
            <w:pPr>
              <w:pStyle w:val="ENoteTableText"/>
            </w:pPr>
            <w:r w:rsidRPr="00576D60">
              <w:t>rs F2022L01689</w:t>
            </w:r>
          </w:p>
        </w:tc>
      </w:tr>
      <w:tr w:rsidR="00E93F58" w:rsidRPr="00576D60" w14:paraId="55B04438" w14:textId="77777777" w:rsidTr="002F32E3">
        <w:trPr>
          <w:cantSplit/>
        </w:trPr>
        <w:tc>
          <w:tcPr>
            <w:tcW w:w="1500" w:type="pct"/>
            <w:shd w:val="clear" w:color="auto" w:fill="auto"/>
          </w:tcPr>
          <w:p w14:paraId="744E9E37" w14:textId="77777777" w:rsidR="00E93F58" w:rsidRPr="00576D60" w:rsidRDefault="00E93F58" w:rsidP="003D2B1E">
            <w:pPr>
              <w:pStyle w:val="ENoteTableText"/>
              <w:tabs>
                <w:tab w:val="left" w:leader="dot" w:pos="2268"/>
              </w:tabs>
            </w:pPr>
            <w:r w:rsidRPr="00576D60">
              <w:t>Form 603</w:t>
            </w:r>
            <w:r w:rsidRPr="00576D60">
              <w:tab/>
            </w:r>
          </w:p>
        </w:tc>
        <w:tc>
          <w:tcPr>
            <w:tcW w:w="3500" w:type="pct"/>
            <w:shd w:val="clear" w:color="auto" w:fill="auto"/>
          </w:tcPr>
          <w:p w14:paraId="071898F3" w14:textId="77777777" w:rsidR="00E93F58" w:rsidRPr="00576D60" w:rsidRDefault="00E93F58" w:rsidP="003D2B1E">
            <w:pPr>
              <w:pStyle w:val="ENoteTableText"/>
            </w:pPr>
            <w:r w:rsidRPr="00576D60">
              <w:t>rs F2018L01144</w:t>
            </w:r>
          </w:p>
        </w:tc>
      </w:tr>
      <w:tr w:rsidR="00E93F58" w:rsidRPr="00576D60" w14:paraId="7BEF60EB" w14:textId="77777777" w:rsidTr="002F32E3">
        <w:trPr>
          <w:cantSplit/>
        </w:trPr>
        <w:tc>
          <w:tcPr>
            <w:tcW w:w="1500" w:type="pct"/>
            <w:shd w:val="clear" w:color="auto" w:fill="auto"/>
          </w:tcPr>
          <w:p w14:paraId="6635FD0C" w14:textId="77777777" w:rsidR="00E93F58" w:rsidRPr="00576D60" w:rsidRDefault="00E93F58" w:rsidP="003D2B1E">
            <w:pPr>
              <w:pStyle w:val="ENoteTableText"/>
              <w:tabs>
                <w:tab w:val="left" w:leader="dot" w:pos="2268"/>
              </w:tabs>
            </w:pPr>
            <w:r w:rsidRPr="00576D60">
              <w:t>Form 604</w:t>
            </w:r>
            <w:r w:rsidRPr="00576D60">
              <w:tab/>
            </w:r>
          </w:p>
        </w:tc>
        <w:tc>
          <w:tcPr>
            <w:tcW w:w="3500" w:type="pct"/>
            <w:shd w:val="clear" w:color="auto" w:fill="auto"/>
          </w:tcPr>
          <w:p w14:paraId="403993FE" w14:textId="77777777" w:rsidR="00E93F58" w:rsidRPr="00576D60" w:rsidRDefault="00E93F58" w:rsidP="003D2B1E">
            <w:pPr>
              <w:pStyle w:val="ENoteTableText"/>
            </w:pPr>
            <w:r w:rsidRPr="00576D60">
              <w:t>rs F2018L01144</w:t>
            </w:r>
          </w:p>
        </w:tc>
      </w:tr>
      <w:tr w:rsidR="00E93F58" w:rsidRPr="00576D60" w14:paraId="280873D3" w14:textId="77777777" w:rsidTr="002F32E3">
        <w:trPr>
          <w:cantSplit/>
        </w:trPr>
        <w:tc>
          <w:tcPr>
            <w:tcW w:w="1500" w:type="pct"/>
            <w:shd w:val="clear" w:color="auto" w:fill="auto"/>
          </w:tcPr>
          <w:p w14:paraId="29661BEC" w14:textId="77777777" w:rsidR="00E93F58" w:rsidRPr="00576D60" w:rsidRDefault="00E93F58" w:rsidP="003D2B1E">
            <w:pPr>
              <w:pStyle w:val="ENoteTableText"/>
              <w:tabs>
                <w:tab w:val="left" w:leader="dot" w:pos="2268"/>
              </w:tabs>
            </w:pPr>
            <w:r w:rsidRPr="00576D60">
              <w:t>Form 605</w:t>
            </w:r>
            <w:r w:rsidRPr="00576D60">
              <w:tab/>
            </w:r>
          </w:p>
        </w:tc>
        <w:tc>
          <w:tcPr>
            <w:tcW w:w="3500" w:type="pct"/>
            <w:shd w:val="clear" w:color="auto" w:fill="auto"/>
          </w:tcPr>
          <w:p w14:paraId="4D49ECA6" w14:textId="77777777" w:rsidR="00E93F58" w:rsidRPr="00576D60" w:rsidRDefault="00E93F58" w:rsidP="003D2B1E">
            <w:pPr>
              <w:pStyle w:val="ENoteTableText"/>
            </w:pPr>
            <w:r w:rsidRPr="00576D60">
              <w:t>rs F2018L01144</w:t>
            </w:r>
          </w:p>
        </w:tc>
      </w:tr>
      <w:tr w:rsidR="00E93F58" w:rsidRPr="00576D60" w14:paraId="70E5BC09" w14:textId="77777777" w:rsidTr="002F32E3">
        <w:trPr>
          <w:cantSplit/>
        </w:trPr>
        <w:tc>
          <w:tcPr>
            <w:tcW w:w="1500" w:type="pct"/>
            <w:shd w:val="clear" w:color="auto" w:fill="auto"/>
          </w:tcPr>
          <w:p w14:paraId="67501F1F" w14:textId="77777777" w:rsidR="00E93F58" w:rsidRPr="00576D60" w:rsidRDefault="00E93F58" w:rsidP="003D2B1E">
            <w:pPr>
              <w:pStyle w:val="ENoteTableText"/>
              <w:tabs>
                <w:tab w:val="left" w:leader="dot" w:pos="2268"/>
              </w:tabs>
            </w:pPr>
            <w:r w:rsidRPr="00576D60">
              <w:t>Form 701</w:t>
            </w:r>
            <w:r w:rsidRPr="00576D60">
              <w:tab/>
            </w:r>
          </w:p>
        </w:tc>
        <w:tc>
          <w:tcPr>
            <w:tcW w:w="3500" w:type="pct"/>
            <w:shd w:val="clear" w:color="auto" w:fill="auto"/>
          </w:tcPr>
          <w:p w14:paraId="07C6CE51" w14:textId="77777777" w:rsidR="00E93F58" w:rsidRPr="00576D60" w:rsidRDefault="00E93F58" w:rsidP="003D2B1E">
            <w:pPr>
              <w:pStyle w:val="ENoteTableText"/>
            </w:pPr>
            <w:r w:rsidRPr="00576D60">
              <w:t>ad No 387, 2009</w:t>
            </w:r>
          </w:p>
        </w:tc>
      </w:tr>
      <w:tr w:rsidR="00E93F58" w:rsidRPr="00576D60" w14:paraId="6A5A5D12" w14:textId="77777777" w:rsidTr="002F32E3">
        <w:trPr>
          <w:cantSplit/>
        </w:trPr>
        <w:tc>
          <w:tcPr>
            <w:tcW w:w="1500" w:type="pct"/>
            <w:shd w:val="clear" w:color="auto" w:fill="auto"/>
          </w:tcPr>
          <w:p w14:paraId="386B9177" w14:textId="77777777" w:rsidR="00E93F58" w:rsidRPr="00576D60" w:rsidRDefault="00E93F58" w:rsidP="003D2B1E">
            <w:pPr>
              <w:pStyle w:val="ENoteTableText"/>
              <w:tabs>
                <w:tab w:val="left" w:leader="dot" w:pos="2268"/>
              </w:tabs>
            </w:pPr>
            <w:r w:rsidRPr="00576D60">
              <w:t>Form 587</w:t>
            </w:r>
            <w:r w:rsidRPr="00576D60">
              <w:tab/>
            </w:r>
          </w:p>
        </w:tc>
        <w:tc>
          <w:tcPr>
            <w:tcW w:w="3500" w:type="pct"/>
            <w:shd w:val="clear" w:color="auto" w:fill="auto"/>
          </w:tcPr>
          <w:p w14:paraId="11B86729" w14:textId="77777777" w:rsidR="00E93F58" w:rsidRPr="00576D60" w:rsidRDefault="00E93F58" w:rsidP="003D2B1E">
            <w:pPr>
              <w:pStyle w:val="ENoteTableText"/>
            </w:pPr>
            <w:r w:rsidRPr="00576D60">
              <w:t>am F2020L01610</w:t>
            </w:r>
          </w:p>
        </w:tc>
      </w:tr>
      <w:tr w:rsidR="00E93F58" w:rsidRPr="00576D60" w14:paraId="551F3A01" w14:textId="77777777" w:rsidTr="002F32E3">
        <w:trPr>
          <w:cantSplit/>
        </w:trPr>
        <w:tc>
          <w:tcPr>
            <w:tcW w:w="1500" w:type="pct"/>
            <w:shd w:val="clear" w:color="auto" w:fill="auto"/>
          </w:tcPr>
          <w:p w14:paraId="27B158D4" w14:textId="77777777" w:rsidR="00E93F58" w:rsidRPr="00576D60" w:rsidRDefault="00E93F58" w:rsidP="003D2B1E">
            <w:pPr>
              <w:pStyle w:val="ENoteTableText"/>
              <w:tabs>
                <w:tab w:val="left" w:leader="dot" w:pos="2268"/>
              </w:tabs>
            </w:pPr>
            <w:r w:rsidRPr="00576D60">
              <w:lastRenderedPageBreak/>
              <w:t>Form 588</w:t>
            </w:r>
            <w:r w:rsidRPr="00576D60">
              <w:tab/>
            </w:r>
          </w:p>
        </w:tc>
        <w:tc>
          <w:tcPr>
            <w:tcW w:w="3500" w:type="pct"/>
            <w:shd w:val="clear" w:color="auto" w:fill="auto"/>
          </w:tcPr>
          <w:p w14:paraId="59A975F6" w14:textId="77777777" w:rsidR="00E93F58" w:rsidRPr="00576D60" w:rsidRDefault="00E93F58" w:rsidP="003D2B1E">
            <w:pPr>
              <w:pStyle w:val="ENoteTableText"/>
            </w:pPr>
            <w:r w:rsidRPr="00576D60">
              <w:t>ad F2020L01610</w:t>
            </w:r>
          </w:p>
        </w:tc>
      </w:tr>
      <w:tr w:rsidR="00E93F58" w:rsidRPr="00576D60" w14:paraId="02894181" w14:textId="77777777" w:rsidTr="002F32E3">
        <w:trPr>
          <w:cantSplit/>
        </w:trPr>
        <w:tc>
          <w:tcPr>
            <w:tcW w:w="1500" w:type="pct"/>
            <w:shd w:val="clear" w:color="auto" w:fill="auto"/>
          </w:tcPr>
          <w:p w14:paraId="2A0117D3" w14:textId="77777777" w:rsidR="00E93F58" w:rsidRPr="00576D60" w:rsidRDefault="00E93F58" w:rsidP="003D2B1E">
            <w:pPr>
              <w:pStyle w:val="ENoteTableText"/>
              <w:tabs>
                <w:tab w:val="left" w:leader="dot" w:pos="2268"/>
              </w:tabs>
            </w:pPr>
            <w:r w:rsidRPr="00576D60">
              <w:t>Form 589</w:t>
            </w:r>
            <w:r w:rsidRPr="00576D60">
              <w:tab/>
            </w:r>
          </w:p>
        </w:tc>
        <w:tc>
          <w:tcPr>
            <w:tcW w:w="3500" w:type="pct"/>
            <w:shd w:val="clear" w:color="auto" w:fill="auto"/>
          </w:tcPr>
          <w:p w14:paraId="06FBBCDE" w14:textId="77777777" w:rsidR="00E93F58" w:rsidRPr="00576D60" w:rsidRDefault="00E93F58" w:rsidP="003D2B1E">
            <w:pPr>
              <w:pStyle w:val="ENoteTableText"/>
            </w:pPr>
            <w:r w:rsidRPr="00576D60">
              <w:t>ad F2020L01610</w:t>
            </w:r>
          </w:p>
        </w:tc>
      </w:tr>
      <w:tr w:rsidR="00E93F58" w:rsidRPr="00576D60" w14:paraId="5305B021" w14:textId="77777777" w:rsidTr="002F32E3">
        <w:trPr>
          <w:cantSplit/>
        </w:trPr>
        <w:tc>
          <w:tcPr>
            <w:tcW w:w="1500" w:type="pct"/>
            <w:shd w:val="clear" w:color="auto" w:fill="auto"/>
          </w:tcPr>
          <w:p w14:paraId="66A2B5D2" w14:textId="77777777" w:rsidR="00E93F58" w:rsidRPr="00576D60" w:rsidRDefault="00E93F58" w:rsidP="003D2B1E">
            <w:pPr>
              <w:pStyle w:val="ENoteTableText"/>
              <w:tabs>
                <w:tab w:val="left" w:leader="dot" w:pos="2268"/>
              </w:tabs>
            </w:pPr>
            <w:r w:rsidRPr="00576D60">
              <w:t>Form 702</w:t>
            </w:r>
            <w:r w:rsidRPr="00576D60">
              <w:tab/>
            </w:r>
          </w:p>
        </w:tc>
        <w:tc>
          <w:tcPr>
            <w:tcW w:w="3500" w:type="pct"/>
            <w:shd w:val="clear" w:color="auto" w:fill="auto"/>
          </w:tcPr>
          <w:p w14:paraId="0B262FD5" w14:textId="77777777" w:rsidR="00E93F58" w:rsidRPr="00576D60" w:rsidRDefault="00E93F58" w:rsidP="003D2B1E">
            <w:pPr>
              <w:pStyle w:val="ENoteTableText"/>
            </w:pPr>
            <w:r w:rsidRPr="00576D60">
              <w:t>rep No 319, 2001</w:t>
            </w:r>
          </w:p>
        </w:tc>
      </w:tr>
      <w:tr w:rsidR="00E93F58" w:rsidRPr="00576D60" w14:paraId="77E29836" w14:textId="77777777" w:rsidTr="002F32E3">
        <w:trPr>
          <w:cantSplit/>
        </w:trPr>
        <w:tc>
          <w:tcPr>
            <w:tcW w:w="1500" w:type="pct"/>
            <w:shd w:val="clear" w:color="auto" w:fill="auto"/>
          </w:tcPr>
          <w:p w14:paraId="1C42D335" w14:textId="77777777" w:rsidR="00E93F58" w:rsidRPr="00576D60" w:rsidRDefault="00E93F58" w:rsidP="003D2B1E">
            <w:pPr>
              <w:pStyle w:val="ENoteTableText"/>
              <w:tabs>
                <w:tab w:val="left" w:leader="dot" w:pos="2268"/>
              </w:tabs>
            </w:pPr>
            <w:r w:rsidRPr="00576D60">
              <w:t>Form 703</w:t>
            </w:r>
            <w:r w:rsidRPr="00576D60">
              <w:tab/>
            </w:r>
          </w:p>
        </w:tc>
        <w:tc>
          <w:tcPr>
            <w:tcW w:w="3500" w:type="pct"/>
            <w:shd w:val="clear" w:color="auto" w:fill="auto"/>
          </w:tcPr>
          <w:p w14:paraId="4AAD5D56" w14:textId="77777777" w:rsidR="00E93F58" w:rsidRPr="00576D60" w:rsidRDefault="00E93F58" w:rsidP="003D2B1E">
            <w:pPr>
              <w:pStyle w:val="ENoteTableText"/>
            </w:pPr>
            <w:r w:rsidRPr="00576D60">
              <w:t>rep No 319, 2001</w:t>
            </w:r>
          </w:p>
        </w:tc>
      </w:tr>
      <w:tr w:rsidR="00E93F58" w:rsidRPr="00576D60" w14:paraId="43CD1314" w14:textId="77777777" w:rsidTr="002F32E3">
        <w:trPr>
          <w:cantSplit/>
        </w:trPr>
        <w:tc>
          <w:tcPr>
            <w:tcW w:w="1500" w:type="pct"/>
            <w:shd w:val="clear" w:color="auto" w:fill="auto"/>
          </w:tcPr>
          <w:p w14:paraId="4AF64601" w14:textId="77777777" w:rsidR="00E93F58" w:rsidRPr="00576D60" w:rsidRDefault="00E93F58" w:rsidP="003D2B1E">
            <w:pPr>
              <w:pStyle w:val="ENoteTableText"/>
              <w:tabs>
                <w:tab w:val="left" w:leader="dot" w:pos="2268"/>
              </w:tabs>
            </w:pPr>
            <w:r w:rsidRPr="00576D60">
              <w:t>Form 704</w:t>
            </w:r>
            <w:r w:rsidRPr="00576D60">
              <w:tab/>
            </w:r>
          </w:p>
        </w:tc>
        <w:tc>
          <w:tcPr>
            <w:tcW w:w="3500" w:type="pct"/>
            <w:shd w:val="clear" w:color="auto" w:fill="auto"/>
          </w:tcPr>
          <w:p w14:paraId="64E86DE7" w14:textId="77777777" w:rsidR="00E93F58" w:rsidRPr="00576D60" w:rsidRDefault="00E93F58" w:rsidP="003D2B1E">
            <w:pPr>
              <w:pStyle w:val="ENoteTableText"/>
            </w:pPr>
            <w:r w:rsidRPr="00576D60">
              <w:t>rep No 319, 2001</w:t>
            </w:r>
          </w:p>
        </w:tc>
      </w:tr>
      <w:tr w:rsidR="00E93F58" w:rsidRPr="00576D60" w14:paraId="2C69D5AD" w14:textId="77777777" w:rsidTr="002F32E3">
        <w:trPr>
          <w:cantSplit/>
        </w:trPr>
        <w:tc>
          <w:tcPr>
            <w:tcW w:w="1500" w:type="pct"/>
            <w:shd w:val="clear" w:color="auto" w:fill="auto"/>
          </w:tcPr>
          <w:p w14:paraId="2D61D024" w14:textId="77777777" w:rsidR="00E93F58" w:rsidRPr="00576D60" w:rsidRDefault="00E93F58" w:rsidP="003D2B1E">
            <w:pPr>
              <w:pStyle w:val="ENoteTableText"/>
              <w:tabs>
                <w:tab w:val="left" w:leader="dot" w:pos="2268"/>
              </w:tabs>
            </w:pPr>
            <w:r w:rsidRPr="00576D60">
              <w:t>Form 705</w:t>
            </w:r>
            <w:r w:rsidRPr="00576D60">
              <w:tab/>
            </w:r>
          </w:p>
        </w:tc>
        <w:tc>
          <w:tcPr>
            <w:tcW w:w="3500" w:type="pct"/>
            <w:shd w:val="clear" w:color="auto" w:fill="auto"/>
          </w:tcPr>
          <w:p w14:paraId="1C7AC1CF" w14:textId="77777777" w:rsidR="00E93F58" w:rsidRPr="00576D60" w:rsidRDefault="00E93F58" w:rsidP="003D2B1E">
            <w:pPr>
              <w:pStyle w:val="ENoteTableText"/>
            </w:pPr>
            <w:r w:rsidRPr="00576D60">
              <w:t>rep No 319, 20019</w:t>
            </w:r>
          </w:p>
        </w:tc>
      </w:tr>
      <w:tr w:rsidR="00E93F58" w:rsidRPr="00576D60" w14:paraId="1CC4900E" w14:textId="77777777" w:rsidTr="002F32E3">
        <w:trPr>
          <w:cantSplit/>
        </w:trPr>
        <w:tc>
          <w:tcPr>
            <w:tcW w:w="1500" w:type="pct"/>
            <w:shd w:val="clear" w:color="auto" w:fill="auto"/>
          </w:tcPr>
          <w:p w14:paraId="73371F84" w14:textId="77777777" w:rsidR="00E93F58" w:rsidRPr="00576D60" w:rsidRDefault="00E93F58" w:rsidP="003D2B1E">
            <w:pPr>
              <w:pStyle w:val="ENoteTableText"/>
              <w:tabs>
                <w:tab w:val="left" w:leader="dot" w:pos="2268"/>
              </w:tabs>
            </w:pPr>
            <w:r w:rsidRPr="00576D60">
              <w:t>Form 707</w:t>
            </w:r>
            <w:r w:rsidRPr="00576D60">
              <w:tab/>
            </w:r>
          </w:p>
        </w:tc>
        <w:tc>
          <w:tcPr>
            <w:tcW w:w="3500" w:type="pct"/>
            <w:shd w:val="clear" w:color="auto" w:fill="auto"/>
          </w:tcPr>
          <w:p w14:paraId="24C10AB5" w14:textId="77777777" w:rsidR="00E93F58" w:rsidRPr="00576D60" w:rsidRDefault="00E93F58" w:rsidP="003D2B1E">
            <w:pPr>
              <w:pStyle w:val="ENoteTableText"/>
            </w:pPr>
            <w:r w:rsidRPr="00576D60">
              <w:t>rep No 319, 2001</w:t>
            </w:r>
          </w:p>
        </w:tc>
      </w:tr>
      <w:tr w:rsidR="00E93F58" w:rsidRPr="00576D60" w14:paraId="61F2C657" w14:textId="77777777" w:rsidTr="002F32E3">
        <w:trPr>
          <w:cantSplit/>
        </w:trPr>
        <w:tc>
          <w:tcPr>
            <w:tcW w:w="1500" w:type="pct"/>
            <w:shd w:val="clear" w:color="auto" w:fill="auto"/>
          </w:tcPr>
          <w:p w14:paraId="3BD73BCF" w14:textId="77777777" w:rsidR="00E93F58" w:rsidRPr="00576D60" w:rsidRDefault="00E93F58" w:rsidP="003D2B1E">
            <w:pPr>
              <w:pStyle w:val="ENoteTableText"/>
              <w:tabs>
                <w:tab w:val="left" w:leader="dot" w:pos="2268"/>
              </w:tabs>
            </w:pPr>
            <w:r w:rsidRPr="00576D60">
              <w:t>Form 708</w:t>
            </w:r>
            <w:r w:rsidRPr="00576D60">
              <w:tab/>
            </w:r>
          </w:p>
        </w:tc>
        <w:tc>
          <w:tcPr>
            <w:tcW w:w="3500" w:type="pct"/>
            <w:shd w:val="clear" w:color="auto" w:fill="auto"/>
          </w:tcPr>
          <w:p w14:paraId="4B1E3C0E" w14:textId="77777777" w:rsidR="00E93F58" w:rsidRPr="00576D60" w:rsidRDefault="00E93F58" w:rsidP="003D2B1E">
            <w:pPr>
              <w:pStyle w:val="ENoteTableText"/>
            </w:pPr>
            <w:r w:rsidRPr="00576D60">
              <w:t>rep No 319, 2001</w:t>
            </w:r>
          </w:p>
        </w:tc>
      </w:tr>
      <w:tr w:rsidR="00E93F58" w:rsidRPr="00576D60" w14:paraId="24EE224E" w14:textId="77777777" w:rsidTr="002F32E3">
        <w:trPr>
          <w:cantSplit/>
        </w:trPr>
        <w:tc>
          <w:tcPr>
            <w:tcW w:w="1500" w:type="pct"/>
            <w:shd w:val="clear" w:color="auto" w:fill="auto"/>
          </w:tcPr>
          <w:p w14:paraId="39AFEEF8" w14:textId="77777777" w:rsidR="00E93F58" w:rsidRPr="00576D60" w:rsidRDefault="00E93F58" w:rsidP="003D2B1E">
            <w:pPr>
              <w:pStyle w:val="ENoteTableText"/>
              <w:tabs>
                <w:tab w:val="left" w:leader="dot" w:pos="2268"/>
              </w:tabs>
            </w:pPr>
            <w:r w:rsidRPr="00576D60">
              <w:t>Form 709</w:t>
            </w:r>
            <w:r w:rsidRPr="00576D60">
              <w:tab/>
            </w:r>
          </w:p>
        </w:tc>
        <w:tc>
          <w:tcPr>
            <w:tcW w:w="3500" w:type="pct"/>
            <w:shd w:val="clear" w:color="auto" w:fill="auto"/>
          </w:tcPr>
          <w:p w14:paraId="2D6F6122" w14:textId="77777777" w:rsidR="00E93F58" w:rsidRPr="00576D60" w:rsidRDefault="00E93F58" w:rsidP="003D2B1E">
            <w:pPr>
              <w:pStyle w:val="ENoteTableText"/>
            </w:pPr>
            <w:r w:rsidRPr="00576D60">
              <w:t>rep No 319, 2001</w:t>
            </w:r>
          </w:p>
        </w:tc>
      </w:tr>
      <w:tr w:rsidR="00E93F58" w:rsidRPr="00576D60" w14:paraId="1DCF8CAF" w14:textId="77777777" w:rsidTr="002F32E3">
        <w:trPr>
          <w:cantSplit/>
        </w:trPr>
        <w:tc>
          <w:tcPr>
            <w:tcW w:w="1500" w:type="pct"/>
            <w:shd w:val="clear" w:color="auto" w:fill="auto"/>
          </w:tcPr>
          <w:p w14:paraId="5EA6D2B7" w14:textId="77777777" w:rsidR="00E93F58" w:rsidRPr="00576D60" w:rsidRDefault="00E93F58" w:rsidP="003D2B1E">
            <w:pPr>
              <w:pStyle w:val="ENoteTableText"/>
              <w:tabs>
                <w:tab w:val="left" w:leader="dot" w:pos="2268"/>
              </w:tabs>
            </w:pPr>
            <w:r w:rsidRPr="00576D60">
              <w:t>Form 710</w:t>
            </w:r>
            <w:r w:rsidRPr="00576D60">
              <w:tab/>
            </w:r>
          </w:p>
        </w:tc>
        <w:tc>
          <w:tcPr>
            <w:tcW w:w="3500" w:type="pct"/>
            <w:shd w:val="clear" w:color="auto" w:fill="auto"/>
          </w:tcPr>
          <w:p w14:paraId="40EEA227" w14:textId="77777777" w:rsidR="00E93F58" w:rsidRPr="00576D60" w:rsidRDefault="00E93F58" w:rsidP="003D2B1E">
            <w:pPr>
              <w:pStyle w:val="ENoteTableText"/>
            </w:pPr>
            <w:r w:rsidRPr="00576D60">
              <w:t>rep No 319, 2001</w:t>
            </w:r>
          </w:p>
        </w:tc>
      </w:tr>
      <w:tr w:rsidR="00E93F58" w:rsidRPr="00576D60" w14:paraId="2BF15977" w14:textId="77777777" w:rsidTr="002F32E3">
        <w:trPr>
          <w:cantSplit/>
        </w:trPr>
        <w:tc>
          <w:tcPr>
            <w:tcW w:w="1500" w:type="pct"/>
            <w:shd w:val="clear" w:color="auto" w:fill="auto"/>
          </w:tcPr>
          <w:p w14:paraId="3E54D93C" w14:textId="77777777" w:rsidR="00E93F58" w:rsidRPr="00576D60" w:rsidRDefault="00E93F58" w:rsidP="003D2B1E">
            <w:pPr>
              <w:pStyle w:val="ENoteTableText"/>
              <w:tabs>
                <w:tab w:val="left" w:leader="dot" w:pos="2268"/>
              </w:tabs>
            </w:pPr>
            <w:r w:rsidRPr="00576D60">
              <w:t>Form 711</w:t>
            </w:r>
            <w:r w:rsidRPr="00576D60">
              <w:tab/>
            </w:r>
          </w:p>
        </w:tc>
        <w:tc>
          <w:tcPr>
            <w:tcW w:w="3500" w:type="pct"/>
            <w:shd w:val="clear" w:color="auto" w:fill="auto"/>
          </w:tcPr>
          <w:p w14:paraId="581EAD75" w14:textId="77777777" w:rsidR="00E93F58" w:rsidRPr="00576D60" w:rsidRDefault="00E93F58" w:rsidP="003D2B1E">
            <w:pPr>
              <w:pStyle w:val="ENoteTableText"/>
            </w:pPr>
            <w:r w:rsidRPr="00576D60">
              <w:t>rep No 319, 2001</w:t>
            </w:r>
          </w:p>
        </w:tc>
      </w:tr>
      <w:tr w:rsidR="00E93F58" w:rsidRPr="00576D60" w14:paraId="5F9E15D4" w14:textId="77777777" w:rsidTr="002F32E3">
        <w:trPr>
          <w:cantSplit/>
        </w:trPr>
        <w:tc>
          <w:tcPr>
            <w:tcW w:w="1500" w:type="pct"/>
            <w:shd w:val="clear" w:color="auto" w:fill="auto"/>
          </w:tcPr>
          <w:p w14:paraId="6501FCA6" w14:textId="77777777" w:rsidR="00E93F58" w:rsidRPr="00576D60" w:rsidRDefault="00E93F58" w:rsidP="003D2B1E">
            <w:pPr>
              <w:pStyle w:val="ENoteTableText"/>
              <w:tabs>
                <w:tab w:val="left" w:leader="dot" w:pos="2268"/>
              </w:tabs>
            </w:pPr>
            <w:r w:rsidRPr="00576D60">
              <w:t>Form 712</w:t>
            </w:r>
            <w:r w:rsidRPr="00576D60">
              <w:tab/>
            </w:r>
          </w:p>
        </w:tc>
        <w:tc>
          <w:tcPr>
            <w:tcW w:w="3500" w:type="pct"/>
            <w:shd w:val="clear" w:color="auto" w:fill="auto"/>
          </w:tcPr>
          <w:p w14:paraId="18466504" w14:textId="77777777" w:rsidR="00E93F58" w:rsidRPr="00576D60" w:rsidRDefault="00E93F58" w:rsidP="003D2B1E">
            <w:pPr>
              <w:pStyle w:val="ENoteTableText"/>
            </w:pPr>
            <w:r w:rsidRPr="00576D60">
              <w:t>rep No 319, 2001</w:t>
            </w:r>
          </w:p>
        </w:tc>
      </w:tr>
      <w:tr w:rsidR="00E93F58" w:rsidRPr="00576D60" w14:paraId="31E711EF" w14:textId="77777777" w:rsidTr="002F32E3">
        <w:trPr>
          <w:cantSplit/>
        </w:trPr>
        <w:tc>
          <w:tcPr>
            <w:tcW w:w="1500" w:type="pct"/>
            <w:shd w:val="clear" w:color="auto" w:fill="auto"/>
          </w:tcPr>
          <w:p w14:paraId="4EB85BE1" w14:textId="77777777" w:rsidR="00E93F58" w:rsidRPr="00576D60" w:rsidRDefault="00E93F58" w:rsidP="003D2B1E">
            <w:pPr>
              <w:pStyle w:val="ENoteTableText"/>
              <w:tabs>
                <w:tab w:val="left" w:leader="dot" w:pos="2268"/>
              </w:tabs>
            </w:pPr>
            <w:r w:rsidRPr="00576D60">
              <w:t>Form 713</w:t>
            </w:r>
            <w:r w:rsidRPr="00576D60">
              <w:tab/>
            </w:r>
          </w:p>
        </w:tc>
        <w:tc>
          <w:tcPr>
            <w:tcW w:w="3500" w:type="pct"/>
            <w:shd w:val="clear" w:color="auto" w:fill="auto"/>
          </w:tcPr>
          <w:p w14:paraId="11A995DE" w14:textId="77777777" w:rsidR="00E93F58" w:rsidRPr="00576D60" w:rsidRDefault="00E93F58" w:rsidP="003D2B1E">
            <w:pPr>
              <w:pStyle w:val="ENoteTableText"/>
            </w:pPr>
            <w:r w:rsidRPr="00576D60">
              <w:t>rep No 319, 2001</w:t>
            </w:r>
          </w:p>
        </w:tc>
      </w:tr>
      <w:tr w:rsidR="00E93F58" w:rsidRPr="00576D60" w14:paraId="5413A5C2" w14:textId="77777777" w:rsidTr="002F32E3">
        <w:trPr>
          <w:cantSplit/>
        </w:trPr>
        <w:tc>
          <w:tcPr>
            <w:tcW w:w="1500" w:type="pct"/>
            <w:shd w:val="clear" w:color="auto" w:fill="auto"/>
          </w:tcPr>
          <w:p w14:paraId="08A7BEB7" w14:textId="77777777" w:rsidR="00E93F58" w:rsidRPr="00576D60" w:rsidRDefault="00E93F58" w:rsidP="003D2B1E">
            <w:pPr>
              <w:pStyle w:val="ENoteTableText"/>
              <w:tabs>
                <w:tab w:val="left" w:leader="dot" w:pos="2268"/>
              </w:tabs>
            </w:pPr>
            <w:r w:rsidRPr="00576D60">
              <w:t>Form 714</w:t>
            </w:r>
            <w:r w:rsidRPr="00576D60">
              <w:tab/>
            </w:r>
          </w:p>
        </w:tc>
        <w:tc>
          <w:tcPr>
            <w:tcW w:w="3500" w:type="pct"/>
            <w:shd w:val="clear" w:color="auto" w:fill="auto"/>
          </w:tcPr>
          <w:p w14:paraId="264C317F" w14:textId="77777777" w:rsidR="00E93F58" w:rsidRPr="00576D60" w:rsidRDefault="00E93F58" w:rsidP="003D2B1E">
            <w:pPr>
              <w:pStyle w:val="ENoteTableText"/>
            </w:pPr>
            <w:r w:rsidRPr="00576D60">
              <w:t>rep No 319, 2001</w:t>
            </w:r>
          </w:p>
        </w:tc>
      </w:tr>
      <w:tr w:rsidR="00E93F58" w:rsidRPr="00576D60" w14:paraId="35A66D8B" w14:textId="77777777" w:rsidTr="002F32E3">
        <w:trPr>
          <w:cantSplit/>
        </w:trPr>
        <w:tc>
          <w:tcPr>
            <w:tcW w:w="1500" w:type="pct"/>
            <w:shd w:val="clear" w:color="auto" w:fill="auto"/>
          </w:tcPr>
          <w:p w14:paraId="10CAEE67" w14:textId="77777777" w:rsidR="00E93F58" w:rsidRPr="00576D60" w:rsidRDefault="00E93F58" w:rsidP="003D2B1E">
            <w:pPr>
              <w:pStyle w:val="ENoteTableText"/>
              <w:tabs>
                <w:tab w:val="left" w:leader="dot" w:pos="2268"/>
              </w:tabs>
            </w:pPr>
            <w:r w:rsidRPr="00576D60">
              <w:t>Form 715</w:t>
            </w:r>
            <w:r w:rsidRPr="00576D60">
              <w:tab/>
            </w:r>
          </w:p>
        </w:tc>
        <w:tc>
          <w:tcPr>
            <w:tcW w:w="3500" w:type="pct"/>
            <w:shd w:val="clear" w:color="auto" w:fill="auto"/>
          </w:tcPr>
          <w:p w14:paraId="5428A09C" w14:textId="77777777" w:rsidR="00E93F58" w:rsidRPr="00576D60" w:rsidRDefault="00E93F58" w:rsidP="003D2B1E">
            <w:pPr>
              <w:pStyle w:val="ENoteTableText"/>
            </w:pPr>
            <w:r w:rsidRPr="00576D60">
              <w:t>rep No 319, 2001</w:t>
            </w:r>
          </w:p>
        </w:tc>
      </w:tr>
      <w:tr w:rsidR="00E93F58" w:rsidRPr="00576D60" w14:paraId="5CD3EBA9" w14:textId="77777777" w:rsidTr="002F32E3">
        <w:trPr>
          <w:cantSplit/>
        </w:trPr>
        <w:tc>
          <w:tcPr>
            <w:tcW w:w="1500" w:type="pct"/>
            <w:shd w:val="clear" w:color="auto" w:fill="auto"/>
          </w:tcPr>
          <w:p w14:paraId="4CC5446A" w14:textId="77777777" w:rsidR="00E93F58" w:rsidRPr="00576D60" w:rsidRDefault="00E93F58" w:rsidP="003D2B1E">
            <w:pPr>
              <w:pStyle w:val="ENoteTableText"/>
              <w:tabs>
                <w:tab w:val="left" w:leader="dot" w:pos="2268"/>
              </w:tabs>
            </w:pPr>
            <w:r w:rsidRPr="00576D60">
              <w:t>Form 716</w:t>
            </w:r>
            <w:r w:rsidRPr="00576D60">
              <w:tab/>
            </w:r>
          </w:p>
        </w:tc>
        <w:tc>
          <w:tcPr>
            <w:tcW w:w="3500" w:type="pct"/>
            <w:shd w:val="clear" w:color="auto" w:fill="auto"/>
          </w:tcPr>
          <w:p w14:paraId="46DE64F5" w14:textId="77777777" w:rsidR="00E93F58" w:rsidRPr="00576D60" w:rsidRDefault="00E93F58" w:rsidP="003D2B1E">
            <w:pPr>
              <w:pStyle w:val="ENoteTableText"/>
            </w:pPr>
            <w:r w:rsidRPr="00576D60">
              <w:t>rep No 319, 2001</w:t>
            </w:r>
          </w:p>
        </w:tc>
      </w:tr>
      <w:tr w:rsidR="00E93F58" w:rsidRPr="00576D60" w14:paraId="1B41F646" w14:textId="77777777" w:rsidTr="002F32E3">
        <w:trPr>
          <w:cantSplit/>
        </w:trPr>
        <w:tc>
          <w:tcPr>
            <w:tcW w:w="1500" w:type="pct"/>
            <w:shd w:val="clear" w:color="auto" w:fill="auto"/>
          </w:tcPr>
          <w:p w14:paraId="4904985F" w14:textId="77777777" w:rsidR="00E93F58" w:rsidRPr="00576D60" w:rsidRDefault="00E93F58" w:rsidP="003D2B1E">
            <w:pPr>
              <w:pStyle w:val="ENoteTableText"/>
              <w:tabs>
                <w:tab w:val="left" w:leader="dot" w:pos="2268"/>
              </w:tabs>
            </w:pPr>
            <w:r w:rsidRPr="00576D60">
              <w:t>Form 717</w:t>
            </w:r>
            <w:r w:rsidRPr="00576D60">
              <w:tab/>
            </w:r>
          </w:p>
        </w:tc>
        <w:tc>
          <w:tcPr>
            <w:tcW w:w="3500" w:type="pct"/>
            <w:shd w:val="clear" w:color="auto" w:fill="auto"/>
          </w:tcPr>
          <w:p w14:paraId="50565684" w14:textId="77777777" w:rsidR="00E93F58" w:rsidRPr="00576D60" w:rsidRDefault="00E93F58" w:rsidP="003D2B1E">
            <w:pPr>
              <w:pStyle w:val="ENoteTableText"/>
            </w:pPr>
            <w:r w:rsidRPr="00576D60">
              <w:t>rep No 319, 2001</w:t>
            </w:r>
          </w:p>
        </w:tc>
      </w:tr>
      <w:tr w:rsidR="00E93F58" w:rsidRPr="00576D60" w14:paraId="2B0C2F66" w14:textId="77777777" w:rsidTr="002F32E3">
        <w:trPr>
          <w:cantSplit/>
        </w:trPr>
        <w:tc>
          <w:tcPr>
            <w:tcW w:w="1500" w:type="pct"/>
            <w:shd w:val="clear" w:color="auto" w:fill="auto"/>
          </w:tcPr>
          <w:p w14:paraId="4C91999F" w14:textId="77777777" w:rsidR="00E93F58" w:rsidRPr="00576D60" w:rsidRDefault="00E93F58" w:rsidP="003D2B1E">
            <w:pPr>
              <w:pStyle w:val="ENoteTableText"/>
              <w:tabs>
                <w:tab w:val="left" w:leader="dot" w:pos="2268"/>
              </w:tabs>
            </w:pPr>
            <w:r w:rsidRPr="00576D60">
              <w:t>Form 718</w:t>
            </w:r>
            <w:r w:rsidRPr="00576D60">
              <w:tab/>
            </w:r>
          </w:p>
        </w:tc>
        <w:tc>
          <w:tcPr>
            <w:tcW w:w="3500" w:type="pct"/>
            <w:shd w:val="clear" w:color="auto" w:fill="auto"/>
          </w:tcPr>
          <w:p w14:paraId="08BF3977" w14:textId="77777777" w:rsidR="00E93F58" w:rsidRPr="00576D60" w:rsidRDefault="00E93F58" w:rsidP="003D2B1E">
            <w:pPr>
              <w:pStyle w:val="ENoteTableText"/>
            </w:pPr>
            <w:r w:rsidRPr="00576D60">
              <w:t>rep No 319, 2001</w:t>
            </w:r>
          </w:p>
        </w:tc>
      </w:tr>
      <w:tr w:rsidR="00E93F58" w:rsidRPr="00576D60" w14:paraId="1FDF0169" w14:textId="77777777" w:rsidTr="002F32E3">
        <w:trPr>
          <w:cantSplit/>
        </w:trPr>
        <w:tc>
          <w:tcPr>
            <w:tcW w:w="1500" w:type="pct"/>
            <w:shd w:val="clear" w:color="auto" w:fill="auto"/>
          </w:tcPr>
          <w:p w14:paraId="0D831321" w14:textId="77777777" w:rsidR="00E93F58" w:rsidRPr="00576D60" w:rsidRDefault="00E93F58" w:rsidP="003D2B1E">
            <w:pPr>
              <w:pStyle w:val="ENoteTableText"/>
              <w:tabs>
                <w:tab w:val="left" w:leader="dot" w:pos="2268"/>
              </w:tabs>
            </w:pPr>
            <w:r w:rsidRPr="00576D60">
              <w:t>Form 719</w:t>
            </w:r>
            <w:r w:rsidRPr="00576D60">
              <w:tab/>
            </w:r>
          </w:p>
        </w:tc>
        <w:tc>
          <w:tcPr>
            <w:tcW w:w="3500" w:type="pct"/>
            <w:shd w:val="clear" w:color="auto" w:fill="auto"/>
          </w:tcPr>
          <w:p w14:paraId="78819FDE" w14:textId="77777777" w:rsidR="00E93F58" w:rsidRPr="00576D60" w:rsidRDefault="00E93F58" w:rsidP="003D2B1E">
            <w:pPr>
              <w:pStyle w:val="ENoteTableText"/>
            </w:pPr>
            <w:r w:rsidRPr="00576D60">
              <w:t>rs No 319, 2001</w:t>
            </w:r>
          </w:p>
        </w:tc>
      </w:tr>
      <w:tr w:rsidR="00E93F58" w:rsidRPr="00576D60" w14:paraId="36FC2B50" w14:textId="77777777" w:rsidTr="002F32E3">
        <w:trPr>
          <w:cantSplit/>
        </w:trPr>
        <w:tc>
          <w:tcPr>
            <w:tcW w:w="1500" w:type="pct"/>
            <w:shd w:val="clear" w:color="auto" w:fill="auto"/>
          </w:tcPr>
          <w:p w14:paraId="4945D310" w14:textId="77777777" w:rsidR="00E93F58" w:rsidRPr="00576D60" w:rsidRDefault="00E93F58" w:rsidP="003D2B1E">
            <w:pPr>
              <w:pStyle w:val="ENoteTableText"/>
              <w:tabs>
                <w:tab w:val="left" w:leader="dot" w:pos="2268"/>
              </w:tabs>
            </w:pPr>
            <w:r w:rsidRPr="00576D60">
              <w:t>Form 719A</w:t>
            </w:r>
            <w:r w:rsidRPr="00576D60">
              <w:tab/>
            </w:r>
          </w:p>
        </w:tc>
        <w:tc>
          <w:tcPr>
            <w:tcW w:w="3500" w:type="pct"/>
            <w:shd w:val="clear" w:color="auto" w:fill="auto"/>
          </w:tcPr>
          <w:p w14:paraId="16BEF650" w14:textId="77777777" w:rsidR="00E93F58" w:rsidRPr="00576D60" w:rsidRDefault="00E93F58" w:rsidP="003D2B1E">
            <w:pPr>
              <w:pStyle w:val="ENoteTableText"/>
            </w:pPr>
            <w:r w:rsidRPr="00576D60">
              <w:t>rs No 319, 2001</w:t>
            </w:r>
          </w:p>
        </w:tc>
      </w:tr>
      <w:tr w:rsidR="00E93F58" w:rsidRPr="00576D60" w14:paraId="3AABA229" w14:textId="77777777" w:rsidTr="002F32E3">
        <w:trPr>
          <w:cantSplit/>
        </w:trPr>
        <w:tc>
          <w:tcPr>
            <w:tcW w:w="1500" w:type="pct"/>
            <w:shd w:val="clear" w:color="auto" w:fill="auto"/>
          </w:tcPr>
          <w:p w14:paraId="03166426" w14:textId="77777777" w:rsidR="00E93F58" w:rsidRPr="00576D60" w:rsidRDefault="00E93F58" w:rsidP="003D2B1E">
            <w:pPr>
              <w:pStyle w:val="ENoteTableText"/>
            </w:pPr>
          </w:p>
        </w:tc>
        <w:tc>
          <w:tcPr>
            <w:tcW w:w="3500" w:type="pct"/>
            <w:shd w:val="clear" w:color="auto" w:fill="auto"/>
          </w:tcPr>
          <w:p w14:paraId="0D0CAF3E" w14:textId="77777777" w:rsidR="00E93F58" w:rsidRPr="00576D60" w:rsidRDefault="00E93F58" w:rsidP="003D2B1E">
            <w:pPr>
              <w:pStyle w:val="ENoteTableText"/>
            </w:pPr>
            <w:r w:rsidRPr="00576D60">
              <w:t>am No 16, 2002; No 26, 2004</w:t>
            </w:r>
          </w:p>
        </w:tc>
      </w:tr>
      <w:tr w:rsidR="00E93F58" w:rsidRPr="00576D60" w14:paraId="2BB9EA48" w14:textId="77777777" w:rsidTr="002F32E3">
        <w:trPr>
          <w:cantSplit/>
        </w:trPr>
        <w:tc>
          <w:tcPr>
            <w:tcW w:w="1500" w:type="pct"/>
            <w:shd w:val="clear" w:color="auto" w:fill="auto"/>
          </w:tcPr>
          <w:p w14:paraId="6578D80C" w14:textId="77777777" w:rsidR="00E93F58" w:rsidRPr="00576D60" w:rsidRDefault="00E93F58" w:rsidP="003D2B1E">
            <w:pPr>
              <w:pStyle w:val="ENoteTableText"/>
              <w:tabs>
                <w:tab w:val="left" w:leader="dot" w:pos="2268"/>
              </w:tabs>
            </w:pPr>
            <w:r w:rsidRPr="00576D60">
              <w:t>Form 719B</w:t>
            </w:r>
            <w:r w:rsidRPr="00576D60">
              <w:tab/>
            </w:r>
          </w:p>
        </w:tc>
        <w:tc>
          <w:tcPr>
            <w:tcW w:w="3500" w:type="pct"/>
            <w:shd w:val="clear" w:color="auto" w:fill="auto"/>
          </w:tcPr>
          <w:p w14:paraId="68053B1E" w14:textId="77777777" w:rsidR="00E93F58" w:rsidRPr="00576D60" w:rsidRDefault="00E93F58" w:rsidP="003D2B1E">
            <w:pPr>
              <w:pStyle w:val="ENoteTableText"/>
            </w:pPr>
            <w:r w:rsidRPr="00576D60">
              <w:t>rs No 319, 2001</w:t>
            </w:r>
          </w:p>
        </w:tc>
      </w:tr>
      <w:tr w:rsidR="00E93F58" w:rsidRPr="00576D60" w14:paraId="420D37C4" w14:textId="77777777" w:rsidTr="002F32E3">
        <w:trPr>
          <w:cantSplit/>
        </w:trPr>
        <w:tc>
          <w:tcPr>
            <w:tcW w:w="1500" w:type="pct"/>
            <w:shd w:val="clear" w:color="auto" w:fill="auto"/>
          </w:tcPr>
          <w:p w14:paraId="165D93B7" w14:textId="77777777" w:rsidR="00E93F58" w:rsidRPr="00576D60" w:rsidRDefault="00E93F58" w:rsidP="003D2B1E">
            <w:pPr>
              <w:pStyle w:val="ENoteTableText"/>
              <w:tabs>
                <w:tab w:val="left" w:leader="dot" w:pos="2268"/>
              </w:tabs>
            </w:pPr>
            <w:r w:rsidRPr="00576D60">
              <w:t>Form 720</w:t>
            </w:r>
            <w:r w:rsidRPr="00576D60">
              <w:tab/>
            </w:r>
          </w:p>
        </w:tc>
        <w:tc>
          <w:tcPr>
            <w:tcW w:w="3500" w:type="pct"/>
            <w:shd w:val="clear" w:color="auto" w:fill="auto"/>
          </w:tcPr>
          <w:p w14:paraId="1EF898DE" w14:textId="77777777" w:rsidR="00E93F58" w:rsidRPr="00576D60" w:rsidRDefault="00E93F58" w:rsidP="003D2B1E">
            <w:pPr>
              <w:pStyle w:val="ENoteTableText"/>
            </w:pPr>
            <w:r w:rsidRPr="00576D60">
              <w:t>rs No 319, 2001</w:t>
            </w:r>
          </w:p>
        </w:tc>
      </w:tr>
      <w:tr w:rsidR="00E93F58" w:rsidRPr="00576D60" w14:paraId="68D020E8" w14:textId="77777777" w:rsidTr="002F32E3">
        <w:trPr>
          <w:cantSplit/>
        </w:trPr>
        <w:tc>
          <w:tcPr>
            <w:tcW w:w="1500" w:type="pct"/>
            <w:shd w:val="clear" w:color="auto" w:fill="auto"/>
          </w:tcPr>
          <w:p w14:paraId="1021401C" w14:textId="77777777" w:rsidR="00E93F58" w:rsidRPr="00576D60" w:rsidRDefault="00E93F58" w:rsidP="003D2B1E">
            <w:pPr>
              <w:pStyle w:val="ENoteTableText"/>
              <w:tabs>
                <w:tab w:val="left" w:leader="dot" w:pos="2268"/>
              </w:tabs>
            </w:pPr>
            <w:r w:rsidRPr="00576D60">
              <w:t>Form 721</w:t>
            </w:r>
            <w:r w:rsidRPr="00576D60">
              <w:tab/>
            </w:r>
          </w:p>
        </w:tc>
        <w:tc>
          <w:tcPr>
            <w:tcW w:w="3500" w:type="pct"/>
            <w:shd w:val="clear" w:color="auto" w:fill="auto"/>
          </w:tcPr>
          <w:p w14:paraId="66A526D8" w14:textId="77777777" w:rsidR="00E93F58" w:rsidRPr="00576D60" w:rsidRDefault="00E93F58" w:rsidP="003D2B1E">
            <w:pPr>
              <w:pStyle w:val="ENoteTableText"/>
            </w:pPr>
            <w:r w:rsidRPr="00576D60">
              <w:t>rs No 319, 2001</w:t>
            </w:r>
          </w:p>
        </w:tc>
      </w:tr>
      <w:tr w:rsidR="00E93F58" w:rsidRPr="00576D60" w14:paraId="611B4B20" w14:textId="77777777" w:rsidTr="002F32E3">
        <w:trPr>
          <w:cantSplit/>
        </w:trPr>
        <w:tc>
          <w:tcPr>
            <w:tcW w:w="1500" w:type="pct"/>
            <w:shd w:val="clear" w:color="auto" w:fill="auto"/>
          </w:tcPr>
          <w:p w14:paraId="138B4877" w14:textId="77777777" w:rsidR="00E93F58" w:rsidRPr="00576D60" w:rsidRDefault="00E93F58" w:rsidP="003D2B1E">
            <w:pPr>
              <w:pStyle w:val="ENoteTableText"/>
            </w:pPr>
          </w:p>
        </w:tc>
        <w:tc>
          <w:tcPr>
            <w:tcW w:w="3500" w:type="pct"/>
            <w:shd w:val="clear" w:color="auto" w:fill="auto"/>
          </w:tcPr>
          <w:p w14:paraId="6167AB16" w14:textId="77777777" w:rsidR="00E93F58" w:rsidRPr="00576D60" w:rsidRDefault="00E93F58" w:rsidP="003D2B1E">
            <w:pPr>
              <w:pStyle w:val="ENoteTableText"/>
            </w:pPr>
            <w:r w:rsidRPr="00576D60">
              <w:t>am No 26, 2004</w:t>
            </w:r>
          </w:p>
        </w:tc>
      </w:tr>
      <w:tr w:rsidR="00E93F58" w:rsidRPr="00576D60" w14:paraId="56154CDE" w14:textId="77777777" w:rsidTr="002F32E3">
        <w:trPr>
          <w:cantSplit/>
        </w:trPr>
        <w:tc>
          <w:tcPr>
            <w:tcW w:w="1500" w:type="pct"/>
            <w:shd w:val="clear" w:color="auto" w:fill="auto"/>
          </w:tcPr>
          <w:p w14:paraId="6F1DE62F" w14:textId="77777777" w:rsidR="00E93F58" w:rsidRPr="00576D60" w:rsidRDefault="00E93F58" w:rsidP="003D2B1E">
            <w:pPr>
              <w:pStyle w:val="ENoteTableText"/>
              <w:tabs>
                <w:tab w:val="left" w:leader="dot" w:pos="2268"/>
              </w:tabs>
            </w:pPr>
            <w:r w:rsidRPr="00576D60">
              <w:t>Form 802</w:t>
            </w:r>
            <w:r w:rsidRPr="00576D60">
              <w:tab/>
            </w:r>
          </w:p>
        </w:tc>
        <w:tc>
          <w:tcPr>
            <w:tcW w:w="3500" w:type="pct"/>
            <w:shd w:val="clear" w:color="auto" w:fill="auto"/>
          </w:tcPr>
          <w:p w14:paraId="691497ED" w14:textId="77777777" w:rsidR="00E93F58" w:rsidRPr="00576D60" w:rsidRDefault="00E93F58" w:rsidP="003D2B1E">
            <w:pPr>
              <w:pStyle w:val="ENoteTableText"/>
            </w:pPr>
            <w:r w:rsidRPr="00576D60">
              <w:t>rep No 319, 2001</w:t>
            </w:r>
          </w:p>
        </w:tc>
      </w:tr>
      <w:tr w:rsidR="00E93F58" w:rsidRPr="00576D60" w14:paraId="342E2E39" w14:textId="77777777" w:rsidTr="002F32E3">
        <w:trPr>
          <w:cantSplit/>
        </w:trPr>
        <w:tc>
          <w:tcPr>
            <w:tcW w:w="1500" w:type="pct"/>
            <w:shd w:val="clear" w:color="auto" w:fill="auto"/>
          </w:tcPr>
          <w:p w14:paraId="0A32BE76" w14:textId="77777777" w:rsidR="00E93F58" w:rsidRPr="00576D60" w:rsidRDefault="00E93F58" w:rsidP="003D2B1E">
            <w:pPr>
              <w:pStyle w:val="ENoteTableText"/>
              <w:tabs>
                <w:tab w:val="left" w:leader="dot" w:pos="2268"/>
              </w:tabs>
            </w:pPr>
            <w:r w:rsidRPr="00576D60">
              <w:t>Form 802A</w:t>
            </w:r>
            <w:r w:rsidRPr="00576D60">
              <w:tab/>
            </w:r>
          </w:p>
        </w:tc>
        <w:tc>
          <w:tcPr>
            <w:tcW w:w="3500" w:type="pct"/>
            <w:shd w:val="clear" w:color="auto" w:fill="auto"/>
          </w:tcPr>
          <w:p w14:paraId="57C1783A" w14:textId="77777777" w:rsidR="00E93F58" w:rsidRPr="00576D60" w:rsidRDefault="00E93F58" w:rsidP="003D2B1E">
            <w:pPr>
              <w:pStyle w:val="ENoteTableText"/>
            </w:pPr>
            <w:r w:rsidRPr="00576D60">
              <w:t>rep No 319, 2001</w:t>
            </w:r>
          </w:p>
        </w:tc>
      </w:tr>
      <w:tr w:rsidR="00E93F58" w:rsidRPr="00576D60" w14:paraId="0A6840C6" w14:textId="77777777" w:rsidTr="002F32E3">
        <w:trPr>
          <w:cantSplit/>
        </w:trPr>
        <w:tc>
          <w:tcPr>
            <w:tcW w:w="1500" w:type="pct"/>
            <w:shd w:val="clear" w:color="auto" w:fill="auto"/>
          </w:tcPr>
          <w:p w14:paraId="6AB022C9" w14:textId="77777777" w:rsidR="00E93F58" w:rsidRPr="00576D60" w:rsidRDefault="00E93F58" w:rsidP="003D2B1E">
            <w:pPr>
              <w:pStyle w:val="ENoteTableText"/>
              <w:tabs>
                <w:tab w:val="left" w:leader="dot" w:pos="2268"/>
              </w:tabs>
            </w:pPr>
            <w:r w:rsidRPr="00576D60">
              <w:t>Form 803</w:t>
            </w:r>
            <w:r w:rsidRPr="00576D60">
              <w:tab/>
            </w:r>
          </w:p>
        </w:tc>
        <w:tc>
          <w:tcPr>
            <w:tcW w:w="3500" w:type="pct"/>
            <w:shd w:val="clear" w:color="auto" w:fill="auto"/>
          </w:tcPr>
          <w:p w14:paraId="0233704F" w14:textId="77777777" w:rsidR="00E93F58" w:rsidRPr="00576D60" w:rsidRDefault="00E93F58" w:rsidP="003D2B1E">
            <w:pPr>
              <w:pStyle w:val="ENoteTableText"/>
            </w:pPr>
            <w:r w:rsidRPr="00576D60">
              <w:t>rep No 319, 2001</w:t>
            </w:r>
          </w:p>
        </w:tc>
      </w:tr>
      <w:tr w:rsidR="00E93F58" w:rsidRPr="00576D60" w14:paraId="2C6E349C" w14:textId="77777777" w:rsidTr="002F32E3">
        <w:trPr>
          <w:cantSplit/>
        </w:trPr>
        <w:tc>
          <w:tcPr>
            <w:tcW w:w="1500" w:type="pct"/>
            <w:shd w:val="clear" w:color="auto" w:fill="auto"/>
          </w:tcPr>
          <w:p w14:paraId="5C8996A4" w14:textId="77777777" w:rsidR="00E93F58" w:rsidRPr="00576D60" w:rsidRDefault="00E93F58" w:rsidP="003D2B1E">
            <w:pPr>
              <w:pStyle w:val="ENoteTableText"/>
              <w:tabs>
                <w:tab w:val="left" w:leader="dot" w:pos="2268"/>
              </w:tabs>
            </w:pPr>
            <w:r w:rsidRPr="00576D60">
              <w:t>Form 803C</w:t>
            </w:r>
            <w:r w:rsidRPr="00576D60">
              <w:tab/>
            </w:r>
          </w:p>
        </w:tc>
        <w:tc>
          <w:tcPr>
            <w:tcW w:w="3500" w:type="pct"/>
            <w:shd w:val="clear" w:color="auto" w:fill="auto"/>
          </w:tcPr>
          <w:p w14:paraId="2564F094" w14:textId="77777777" w:rsidR="00E93F58" w:rsidRPr="00576D60" w:rsidRDefault="00E93F58" w:rsidP="003D2B1E">
            <w:pPr>
              <w:pStyle w:val="ENoteTableText"/>
            </w:pPr>
            <w:r w:rsidRPr="00576D60">
              <w:t>rep No 319, 2001</w:t>
            </w:r>
          </w:p>
        </w:tc>
      </w:tr>
      <w:tr w:rsidR="00E93F58" w:rsidRPr="00576D60" w14:paraId="6499E184" w14:textId="77777777" w:rsidTr="002F32E3">
        <w:trPr>
          <w:cantSplit/>
        </w:trPr>
        <w:tc>
          <w:tcPr>
            <w:tcW w:w="1500" w:type="pct"/>
            <w:shd w:val="clear" w:color="auto" w:fill="auto"/>
          </w:tcPr>
          <w:p w14:paraId="1AE50C28" w14:textId="77777777" w:rsidR="00E93F58" w:rsidRPr="00576D60" w:rsidRDefault="00E93F58" w:rsidP="003D2B1E">
            <w:pPr>
              <w:pStyle w:val="ENoteTableText"/>
              <w:tabs>
                <w:tab w:val="left" w:leader="dot" w:pos="2268"/>
              </w:tabs>
            </w:pPr>
            <w:r w:rsidRPr="00576D60">
              <w:t>Form 804</w:t>
            </w:r>
            <w:r w:rsidRPr="00576D60">
              <w:tab/>
            </w:r>
          </w:p>
        </w:tc>
        <w:tc>
          <w:tcPr>
            <w:tcW w:w="3500" w:type="pct"/>
            <w:shd w:val="clear" w:color="auto" w:fill="auto"/>
          </w:tcPr>
          <w:p w14:paraId="601018F2" w14:textId="77777777" w:rsidR="00E93F58" w:rsidRPr="00576D60" w:rsidRDefault="00E93F58" w:rsidP="003D2B1E">
            <w:pPr>
              <w:pStyle w:val="ENoteTableText"/>
            </w:pPr>
            <w:r w:rsidRPr="00576D60">
              <w:t>rep No 319, 2001</w:t>
            </w:r>
          </w:p>
        </w:tc>
      </w:tr>
      <w:tr w:rsidR="00E93F58" w:rsidRPr="00576D60" w14:paraId="3C0D605B" w14:textId="77777777" w:rsidTr="002F32E3">
        <w:trPr>
          <w:cantSplit/>
        </w:trPr>
        <w:tc>
          <w:tcPr>
            <w:tcW w:w="1500" w:type="pct"/>
            <w:shd w:val="clear" w:color="auto" w:fill="auto"/>
          </w:tcPr>
          <w:p w14:paraId="7E6D6A7A" w14:textId="77777777" w:rsidR="00E93F58" w:rsidRPr="00576D60" w:rsidRDefault="00E93F58" w:rsidP="003D2B1E">
            <w:pPr>
              <w:pStyle w:val="ENoteTableText"/>
              <w:tabs>
                <w:tab w:val="left" w:leader="dot" w:pos="2268"/>
              </w:tabs>
            </w:pPr>
            <w:r w:rsidRPr="00576D60">
              <w:t>Form 805</w:t>
            </w:r>
            <w:r w:rsidRPr="00576D60">
              <w:tab/>
            </w:r>
          </w:p>
        </w:tc>
        <w:tc>
          <w:tcPr>
            <w:tcW w:w="3500" w:type="pct"/>
            <w:shd w:val="clear" w:color="auto" w:fill="auto"/>
          </w:tcPr>
          <w:p w14:paraId="469ACF3E" w14:textId="77777777" w:rsidR="00E93F58" w:rsidRPr="00576D60" w:rsidRDefault="00E93F58" w:rsidP="003D2B1E">
            <w:pPr>
              <w:pStyle w:val="ENoteTableText"/>
            </w:pPr>
            <w:r w:rsidRPr="00576D60">
              <w:t>rep No 319, 2001</w:t>
            </w:r>
          </w:p>
        </w:tc>
      </w:tr>
      <w:tr w:rsidR="00E93F58" w:rsidRPr="00576D60" w14:paraId="581D30BF" w14:textId="77777777" w:rsidTr="002F32E3">
        <w:trPr>
          <w:cantSplit/>
        </w:trPr>
        <w:tc>
          <w:tcPr>
            <w:tcW w:w="1500" w:type="pct"/>
            <w:shd w:val="clear" w:color="auto" w:fill="auto"/>
          </w:tcPr>
          <w:p w14:paraId="68364CF0" w14:textId="77777777" w:rsidR="00E93F58" w:rsidRPr="00576D60" w:rsidRDefault="00E93F58" w:rsidP="003D2B1E">
            <w:pPr>
              <w:pStyle w:val="ENoteTableText"/>
              <w:tabs>
                <w:tab w:val="left" w:leader="dot" w:pos="2268"/>
              </w:tabs>
            </w:pPr>
            <w:r w:rsidRPr="00576D60">
              <w:t>Form 806</w:t>
            </w:r>
            <w:r w:rsidRPr="00576D60">
              <w:tab/>
            </w:r>
          </w:p>
        </w:tc>
        <w:tc>
          <w:tcPr>
            <w:tcW w:w="3500" w:type="pct"/>
            <w:shd w:val="clear" w:color="auto" w:fill="auto"/>
          </w:tcPr>
          <w:p w14:paraId="063270C7" w14:textId="77777777" w:rsidR="00E93F58" w:rsidRPr="00576D60" w:rsidRDefault="00E93F58" w:rsidP="003D2B1E">
            <w:pPr>
              <w:pStyle w:val="ENoteTableText"/>
            </w:pPr>
            <w:r w:rsidRPr="00576D60">
              <w:t>rep No 319, 2001</w:t>
            </w:r>
          </w:p>
        </w:tc>
      </w:tr>
      <w:tr w:rsidR="00E93F58" w:rsidRPr="00576D60" w14:paraId="11273304" w14:textId="77777777" w:rsidTr="002F32E3">
        <w:trPr>
          <w:cantSplit/>
        </w:trPr>
        <w:tc>
          <w:tcPr>
            <w:tcW w:w="1500" w:type="pct"/>
            <w:shd w:val="clear" w:color="auto" w:fill="auto"/>
          </w:tcPr>
          <w:p w14:paraId="72E400E6" w14:textId="77777777" w:rsidR="00E93F58" w:rsidRPr="00576D60" w:rsidRDefault="00E93F58" w:rsidP="003D2B1E">
            <w:pPr>
              <w:pStyle w:val="ENoteTableText"/>
              <w:tabs>
                <w:tab w:val="left" w:leader="dot" w:pos="2268"/>
              </w:tabs>
            </w:pPr>
            <w:r w:rsidRPr="00576D60">
              <w:t>Form 807</w:t>
            </w:r>
            <w:r w:rsidRPr="00576D60">
              <w:tab/>
            </w:r>
          </w:p>
        </w:tc>
        <w:tc>
          <w:tcPr>
            <w:tcW w:w="3500" w:type="pct"/>
            <w:shd w:val="clear" w:color="auto" w:fill="auto"/>
          </w:tcPr>
          <w:p w14:paraId="30037EE0" w14:textId="77777777" w:rsidR="00E93F58" w:rsidRPr="00576D60" w:rsidRDefault="00E93F58" w:rsidP="003D2B1E">
            <w:pPr>
              <w:pStyle w:val="ENoteTableText"/>
            </w:pPr>
            <w:r w:rsidRPr="00576D60">
              <w:t>rep No 319, 2001</w:t>
            </w:r>
          </w:p>
        </w:tc>
      </w:tr>
      <w:tr w:rsidR="00E93F58" w:rsidRPr="00576D60" w14:paraId="3DE0AE8B" w14:textId="77777777" w:rsidTr="002F32E3">
        <w:trPr>
          <w:cantSplit/>
        </w:trPr>
        <w:tc>
          <w:tcPr>
            <w:tcW w:w="1500" w:type="pct"/>
            <w:shd w:val="clear" w:color="auto" w:fill="auto"/>
          </w:tcPr>
          <w:p w14:paraId="27DCD98D" w14:textId="77777777" w:rsidR="00E93F58" w:rsidRPr="00576D60" w:rsidRDefault="00E93F58" w:rsidP="003D2B1E">
            <w:pPr>
              <w:pStyle w:val="ENoteTableText"/>
              <w:tabs>
                <w:tab w:val="left" w:leader="dot" w:pos="2268"/>
              </w:tabs>
            </w:pPr>
            <w:r w:rsidRPr="00576D60">
              <w:t>Form 807A</w:t>
            </w:r>
            <w:r w:rsidRPr="00576D60">
              <w:tab/>
            </w:r>
          </w:p>
        </w:tc>
        <w:tc>
          <w:tcPr>
            <w:tcW w:w="3500" w:type="pct"/>
            <w:shd w:val="clear" w:color="auto" w:fill="auto"/>
          </w:tcPr>
          <w:p w14:paraId="5E92B96F" w14:textId="77777777" w:rsidR="00E93F58" w:rsidRPr="00576D60" w:rsidRDefault="00E93F58" w:rsidP="003D2B1E">
            <w:pPr>
              <w:pStyle w:val="ENoteTableText"/>
            </w:pPr>
            <w:r w:rsidRPr="00576D60">
              <w:t>rep No 319, 2001</w:t>
            </w:r>
          </w:p>
        </w:tc>
      </w:tr>
      <w:tr w:rsidR="00E93F58" w:rsidRPr="00576D60" w14:paraId="20288A7A" w14:textId="77777777" w:rsidTr="002F32E3">
        <w:trPr>
          <w:cantSplit/>
        </w:trPr>
        <w:tc>
          <w:tcPr>
            <w:tcW w:w="1500" w:type="pct"/>
            <w:shd w:val="clear" w:color="auto" w:fill="auto"/>
          </w:tcPr>
          <w:p w14:paraId="6F94CE74" w14:textId="77777777" w:rsidR="00E93F58" w:rsidRPr="00576D60" w:rsidRDefault="00E93F58" w:rsidP="003D2B1E">
            <w:pPr>
              <w:pStyle w:val="ENoteTableText"/>
              <w:tabs>
                <w:tab w:val="left" w:leader="dot" w:pos="2268"/>
              </w:tabs>
            </w:pPr>
            <w:r w:rsidRPr="00576D60">
              <w:t>Form 808</w:t>
            </w:r>
            <w:r w:rsidRPr="00576D60">
              <w:tab/>
            </w:r>
          </w:p>
        </w:tc>
        <w:tc>
          <w:tcPr>
            <w:tcW w:w="3500" w:type="pct"/>
            <w:shd w:val="clear" w:color="auto" w:fill="auto"/>
          </w:tcPr>
          <w:p w14:paraId="3AC12EAE" w14:textId="77777777" w:rsidR="00E93F58" w:rsidRPr="00576D60" w:rsidRDefault="00E93F58" w:rsidP="003D2B1E">
            <w:pPr>
              <w:pStyle w:val="ENoteTableText"/>
            </w:pPr>
            <w:r w:rsidRPr="00576D60">
              <w:t>rep No 319, 2001</w:t>
            </w:r>
          </w:p>
        </w:tc>
      </w:tr>
      <w:tr w:rsidR="00E93F58" w:rsidRPr="00576D60" w14:paraId="7C4AD058" w14:textId="77777777" w:rsidTr="002F32E3">
        <w:trPr>
          <w:cantSplit/>
        </w:trPr>
        <w:tc>
          <w:tcPr>
            <w:tcW w:w="1500" w:type="pct"/>
            <w:shd w:val="clear" w:color="auto" w:fill="auto"/>
          </w:tcPr>
          <w:p w14:paraId="4E5525D0" w14:textId="77777777" w:rsidR="00E93F58" w:rsidRPr="00576D60" w:rsidRDefault="00E93F58" w:rsidP="003D2B1E">
            <w:pPr>
              <w:pStyle w:val="ENoteTableText"/>
              <w:tabs>
                <w:tab w:val="left" w:leader="dot" w:pos="2268"/>
              </w:tabs>
            </w:pPr>
            <w:r w:rsidRPr="00576D60">
              <w:t>Form 809</w:t>
            </w:r>
            <w:r w:rsidRPr="00576D60">
              <w:tab/>
            </w:r>
          </w:p>
        </w:tc>
        <w:tc>
          <w:tcPr>
            <w:tcW w:w="3500" w:type="pct"/>
            <w:shd w:val="clear" w:color="auto" w:fill="auto"/>
          </w:tcPr>
          <w:p w14:paraId="33987EF2" w14:textId="77777777" w:rsidR="00E93F58" w:rsidRPr="00576D60" w:rsidRDefault="00E93F58" w:rsidP="003D2B1E">
            <w:pPr>
              <w:pStyle w:val="ENoteTableText"/>
            </w:pPr>
            <w:r w:rsidRPr="00576D60">
              <w:t>rep No 319, 2001</w:t>
            </w:r>
          </w:p>
        </w:tc>
      </w:tr>
      <w:tr w:rsidR="00E93F58" w:rsidRPr="00576D60" w14:paraId="337331BA" w14:textId="77777777" w:rsidTr="002F32E3">
        <w:trPr>
          <w:cantSplit/>
        </w:trPr>
        <w:tc>
          <w:tcPr>
            <w:tcW w:w="1500" w:type="pct"/>
            <w:shd w:val="clear" w:color="auto" w:fill="auto"/>
          </w:tcPr>
          <w:p w14:paraId="5D27B647" w14:textId="77777777" w:rsidR="00E93F58" w:rsidRPr="00576D60" w:rsidRDefault="00E93F58" w:rsidP="003D2B1E">
            <w:pPr>
              <w:pStyle w:val="ENoteTableText"/>
              <w:tabs>
                <w:tab w:val="left" w:leader="dot" w:pos="2268"/>
              </w:tabs>
            </w:pPr>
            <w:r w:rsidRPr="00576D60">
              <w:t>Form 810</w:t>
            </w:r>
            <w:r w:rsidRPr="00576D60">
              <w:tab/>
            </w:r>
          </w:p>
        </w:tc>
        <w:tc>
          <w:tcPr>
            <w:tcW w:w="3500" w:type="pct"/>
            <w:shd w:val="clear" w:color="auto" w:fill="auto"/>
          </w:tcPr>
          <w:p w14:paraId="5788BACD" w14:textId="77777777" w:rsidR="00E93F58" w:rsidRPr="00576D60" w:rsidRDefault="00E93F58" w:rsidP="003D2B1E">
            <w:pPr>
              <w:pStyle w:val="ENoteTableText"/>
            </w:pPr>
            <w:r w:rsidRPr="00576D60">
              <w:t>rep No 319, 2001</w:t>
            </w:r>
          </w:p>
        </w:tc>
      </w:tr>
      <w:tr w:rsidR="00E93F58" w:rsidRPr="00576D60" w14:paraId="48178575" w14:textId="77777777" w:rsidTr="002F32E3">
        <w:trPr>
          <w:cantSplit/>
        </w:trPr>
        <w:tc>
          <w:tcPr>
            <w:tcW w:w="1500" w:type="pct"/>
            <w:shd w:val="clear" w:color="auto" w:fill="auto"/>
          </w:tcPr>
          <w:p w14:paraId="65476B95" w14:textId="77777777" w:rsidR="00E93F58" w:rsidRPr="00576D60" w:rsidRDefault="00E93F58" w:rsidP="003D2B1E">
            <w:pPr>
              <w:pStyle w:val="ENoteTableText"/>
              <w:tabs>
                <w:tab w:val="left" w:leader="dot" w:pos="2268"/>
              </w:tabs>
            </w:pPr>
            <w:r w:rsidRPr="00576D60">
              <w:t>Form 811</w:t>
            </w:r>
            <w:r w:rsidRPr="00576D60">
              <w:tab/>
            </w:r>
          </w:p>
        </w:tc>
        <w:tc>
          <w:tcPr>
            <w:tcW w:w="3500" w:type="pct"/>
            <w:shd w:val="clear" w:color="auto" w:fill="auto"/>
          </w:tcPr>
          <w:p w14:paraId="7FF72A1D" w14:textId="77777777" w:rsidR="00E93F58" w:rsidRPr="00576D60" w:rsidRDefault="00E93F58" w:rsidP="003D2B1E">
            <w:pPr>
              <w:pStyle w:val="ENoteTableText"/>
            </w:pPr>
            <w:r w:rsidRPr="00576D60">
              <w:t>rep No 319, 2001</w:t>
            </w:r>
          </w:p>
        </w:tc>
      </w:tr>
      <w:tr w:rsidR="00E93F58" w:rsidRPr="00576D60" w14:paraId="5AEB5998" w14:textId="77777777" w:rsidTr="002F32E3">
        <w:trPr>
          <w:cantSplit/>
        </w:trPr>
        <w:tc>
          <w:tcPr>
            <w:tcW w:w="1500" w:type="pct"/>
            <w:shd w:val="clear" w:color="auto" w:fill="auto"/>
          </w:tcPr>
          <w:p w14:paraId="4967BB23" w14:textId="77777777" w:rsidR="00E93F58" w:rsidRPr="00576D60" w:rsidRDefault="00E93F58" w:rsidP="003D2B1E">
            <w:pPr>
              <w:pStyle w:val="ENoteTableText"/>
              <w:tabs>
                <w:tab w:val="left" w:leader="dot" w:pos="2268"/>
              </w:tabs>
            </w:pPr>
            <w:r w:rsidRPr="00576D60">
              <w:t>Form 812</w:t>
            </w:r>
            <w:r w:rsidRPr="00576D60">
              <w:tab/>
            </w:r>
          </w:p>
        </w:tc>
        <w:tc>
          <w:tcPr>
            <w:tcW w:w="3500" w:type="pct"/>
            <w:shd w:val="clear" w:color="auto" w:fill="auto"/>
          </w:tcPr>
          <w:p w14:paraId="2B82FB31" w14:textId="77777777" w:rsidR="00E93F58" w:rsidRPr="00576D60" w:rsidRDefault="00E93F58" w:rsidP="003D2B1E">
            <w:pPr>
              <w:pStyle w:val="ENoteTableText"/>
            </w:pPr>
            <w:r w:rsidRPr="00576D60">
              <w:t>rep No 319, 2001</w:t>
            </w:r>
          </w:p>
        </w:tc>
      </w:tr>
      <w:tr w:rsidR="00E93F58" w:rsidRPr="00576D60" w14:paraId="216CCBBF" w14:textId="77777777" w:rsidTr="002F32E3">
        <w:trPr>
          <w:cantSplit/>
        </w:trPr>
        <w:tc>
          <w:tcPr>
            <w:tcW w:w="1500" w:type="pct"/>
            <w:shd w:val="clear" w:color="auto" w:fill="auto"/>
          </w:tcPr>
          <w:p w14:paraId="11D91169" w14:textId="77777777" w:rsidR="00E93F58" w:rsidRPr="00576D60" w:rsidRDefault="00E93F58" w:rsidP="003D2B1E">
            <w:pPr>
              <w:pStyle w:val="ENoteTableText"/>
              <w:tabs>
                <w:tab w:val="left" w:leader="dot" w:pos="2268"/>
              </w:tabs>
            </w:pPr>
            <w:r w:rsidRPr="00576D60">
              <w:t>Form 902</w:t>
            </w:r>
            <w:r w:rsidRPr="00576D60">
              <w:tab/>
            </w:r>
          </w:p>
        </w:tc>
        <w:tc>
          <w:tcPr>
            <w:tcW w:w="3500" w:type="pct"/>
            <w:shd w:val="clear" w:color="auto" w:fill="auto"/>
          </w:tcPr>
          <w:p w14:paraId="4F7D9FEB" w14:textId="77777777" w:rsidR="00E93F58" w:rsidRPr="00576D60" w:rsidRDefault="00E93F58" w:rsidP="003D2B1E">
            <w:pPr>
              <w:pStyle w:val="ENoteTableText"/>
            </w:pPr>
            <w:r w:rsidRPr="00576D60">
              <w:t>rep No 319, 2001</w:t>
            </w:r>
          </w:p>
        </w:tc>
      </w:tr>
      <w:tr w:rsidR="00E93F58" w:rsidRPr="00576D60" w14:paraId="7EEA29BD" w14:textId="77777777" w:rsidTr="002F32E3">
        <w:trPr>
          <w:cantSplit/>
        </w:trPr>
        <w:tc>
          <w:tcPr>
            <w:tcW w:w="1500" w:type="pct"/>
            <w:shd w:val="clear" w:color="auto" w:fill="auto"/>
          </w:tcPr>
          <w:p w14:paraId="65D11BE7" w14:textId="77777777" w:rsidR="00E93F58" w:rsidRPr="00576D60" w:rsidRDefault="00E93F58" w:rsidP="003D2B1E">
            <w:pPr>
              <w:pStyle w:val="ENoteTableText"/>
              <w:tabs>
                <w:tab w:val="left" w:leader="dot" w:pos="2268"/>
              </w:tabs>
            </w:pPr>
            <w:r w:rsidRPr="00576D60">
              <w:t>Form 903A</w:t>
            </w:r>
            <w:r w:rsidRPr="00576D60">
              <w:tab/>
            </w:r>
          </w:p>
        </w:tc>
        <w:tc>
          <w:tcPr>
            <w:tcW w:w="3500" w:type="pct"/>
            <w:shd w:val="clear" w:color="auto" w:fill="auto"/>
          </w:tcPr>
          <w:p w14:paraId="22284BA1" w14:textId="77777777" w:rsidR="00E93F58" w:rsidRPr="00576D60" w:rsidRDefault="00E93F58" w:rsidP="003D2B1E">
            <w:pPr>
              <w:pStyle w:val="ENoteTableText"/>
            </w:pPr>
            <w:r w:rsidRPr="00576D60">
              <w:t>rep No 208, 2004</w:t>
            </w:r>
          </w:p>
        </w:tc>
      </w:tr>
      <w:tr w:rsidR="00E93F58" w:rsidRPr="00576D60" w14:paraId="4FCA8FE2" w14:textId="77777777" w:rsidTr="002F32E3">
        <w:trPr>
          <w:cantSplit/>
        </w:trPr>
        <w:tc>
          <w:tcPr>
            <w:tcW w:w="1500" w:type="pct"/>
            <w:shd w:val="clear" w:color="auto" w:fill="auto"/>
          </w:tcPr>
          <w:p w14:paraId="78503816" w14:textId="77777777" w:rsidR="00E93F58" w:rsidRPr="00576D60" w:rsidRDefault="00E93F58" w:rsidP="003D2B1E">
            <w:pPr>
              <w:pStyle w:val="ENoteTableText"/>
              <w:tabs>
                <w:tab w:val="left" w:leader="dot" w:pos="2268"/>
              </w:tabs>
            </w:pPr>
            <w:r w:rsidRPr="00576D60">
              <w:t>Form 903B</w:t>
            </w:r>
            <w:r w:rsidRPr="00576D60">
              <w:tab/>
            </w:r>
          </w:p>
        </w:tc>
        <w:tc>
          <w:tcPr>
            <w:tcW w:w="3500" w:type="pct"/>
            <w:shd w:val="clear" w:color="auto" w:fill="auto"/>
          </w:tcPr>
          <w:p w14:paraId="38848AB8" w14:textId="77777777" w:rsidR="00E93F58" w:rsidRPr="00576D60" w:rsidRDefault="00E93F58" w:rsidP="003D2B1E">
            <w:pPr>
              <w:pStyle w:val="ENoteTableText"/>
            </w:pPr>
            <w:r w:rsidRPr="00576D60">
              <w:t>rep No 198, 2009</w:t>
            </w:r>
          </w:p>
        </w:tc>
      </w:tr>
      <w:tr w:rsidR="00E93F58" w:rsidRPr="00576D60" w14:paraId="279CC044" w14:textId="77777777" w:rsidTr="002F32E3">
        <w:trPr>
          <w:cantSplit/>
        </w:trPr>
        <w:tc>
          <w:tcPr>
            <w:tcW w:w="1500" w:type="pct"/>
            <w:shd w:val="clear" w:color="auto" w:fill="auto"/>
          </w:tcPr>
          <w:p w14:paraId="28FE9F2E" w14:textId="77777777" w:rsidR="00E93F58" w:rsidRPr="00576D60" w:rsidRDefault="00E93F58" w:rsidP="003D2B1E">
            <w:pPr>
              <w:pStyle w:val="ENoteTableText"/>
              <w:tabs>
                <w:tab w:val="left" w:leader="dot" w:pos="2268"/>
              </w:tabs>
            </w:pPr>
            <w:r w:rsidRPr="00576D60">
              <w:t>Form 904</w:t>
            </w:r>
            <w:r w:rsidRPr="00576D60">
              <w:tab/>
            </w:r>
          </w:p>
        </w:tc>
        <w:tc>
          <w:tcPr>
            <w:tcW w:w="3500" w:type="pct"/>
            <w:shd w:val="clear" w:color="auto" w:fill="auto"/>
          </w:tcPr>
          <w:p w14:paraId="4B2D6587" w14:textId="77777777" w:rsidR="00E93F58" w:rsidRPr="00576D60" w:rsidRDefault="00E93F58" w:rsidP="003D2B1E">
            <w:pPr>
              <w:pStyle w:val="ENoteTableText"/>
            </w:pPr>
            <w:r w:rsidRPr="00576D60">
              <w:t>rep No 198, 2009</w:t>
            </w:r>
          </w:p>
        </w:tc>
      </w:tr>
      <w:tr w:rsidR="00E93F58" w:rsidRPr="00576D60" w14:paraId="50C029CE" w14:textId="77777777" w:rsidTr="002F32E3">
        <w:trPr>
          <w:cantSplit/>
        </w:trPr>
        <w:tc>
          <w:tcPr>
            <w:tcW w:w="1500" w:type="pct"/>
            <w:shd w:val="clear" w:color="auto" w:fill="auto"/>
          </w:tcPr>
          <w:p w14:paraId="4388AA79" w14:textId="77777777" w:rsidR="00E93F58" w:rsidRPr="00576D60" w:rsidRDefault="00E93F58" w:rsidP="003D2B1E">
            <w:pPr>
              <w:pStyle w:val="ENoteTableText"/>
              <w:tabs>
                <w:tab w:val="left" w:leader="dot" w:pos="2268"/>
              </w:tabs>
            </w:pPr>
            <w:r w:rsidRPr="00576D60">
              <w:t>Form 905A</w:t>
            </w:r>
            <w:r w:rsidRPr="00576D60">
              <w:tab/>
            </w:r>
          </w:p>
        </w:tc>
        <w:tc>
          <w:tcPr>
            <w:tcW w:w="3500" w:type="pct"/>
            <w:shd w:val="clear" w:color="auto" w:fill="auto"/>
          </w:tcPr>
          <w:p w14:paraId="6D00BF84" w14:textId="77777777" w:rsidR="00E93F58" w:rsidRPr="00576D60" w:rsidRDefault="00E93F58" w:rsidP="003D2B1E">
            <w:pPr>
              <w:pStyle w:val="ENoteTableText"/>
            </w:pPr>
            <w:r w:rsidRPr="00576D60">
              <w:t>rep No 399, 2004</w:t>
            </w:r>
          </w:p>
        </w:tc>
      </w:tr>
      <w:tr w:rsidR="00E93F58" w:rsidRPr="00576D60" w14:paraId="308619A0" w14:textId="77777777" w:rsidTr="002F32E3">
        <w:trPr>
          <w:cantSplit/>
        </w:trPr>
        <w:tc>
          <w:tcPr>
            <w:tcW w:w="1500" w:type="pct"/>
            <w:shd w:val="clear" w:color="auto" w:fill="auto"/>
          </w:tcPr>
          <w:p w14:paraId="7710B19A" w14:textId="77777777" w:rsidR="00E93F58" w:rsidRPr="00576D60" w:rsidRDefault="00E93F58" w:rsidP="003D2B1E">
            <w:pPr>
              <w:pStyle w:val="ENoteTableText"/>
              <w:tabs>
                <w:tab w:val="left" w:leader="dot" w:pos="2268"/>
              </w:tabs>
            </w:pPr>
            <w:r w:rsidRPr="00576D60">
              <w:t>Form 907</w:t>
            </w:r>
            <w:r w:rsidRPr="00576D60">
              <w:tab/>
            </w:r>
          </w:p>
        </w:tc>
        <w:tc>
          <w:tcPr>
            <w:tcW w:w="3500" w:type="pct"/>
            <w:shd w:val="clear" w:color="auto" w:fill="auto"/>
          </w:tcPr>
          <w:p w14:paraId="567A651E" w14:textId="77777777" w:rsidR="00E93F58" w:rsidRPr="00576D60" w:rsidRDefault="00E93F58" w:rsidP="003D2B1E">
            <w:pPr>
              <w:pStyle w:val="ENoteTableText"/>
            </w:pPr>
            <w:r w:rsidRPr="00576D60">
              <w:t>rep No 208, 2004</w:t>
            </w:r>
          </w:p>
        </w:tc>
      </w:tr>
      <w:tr w:rsidR="00E93F58" w:rsidRPr="00576D60" w14:paraId="1E607F48" w14:textId="77777777" w:rsidTr="002F32E3">
        <w:trPr>
          <w:cantSplit/>
        </w:trPr>
        <w:tc>
          <w:tcPr>
            <w:tcW w:w="1500" w:type="pct"/>
            <w:shd w:val="clear" w:color="auto" w:fill="auto"/>
          </w:tcPr>
          <w:p w14:paraId="2391CDEB" w14:textId="77777777" w:rsidR="00E93F58" w:rsidRPr="00576D60" w:rsidRDefault="00E93F58" w:rsidP="003D2B1E">
            <w:pPr>
              <w:pStyle w:val="ENoteTableText"/>
              <w:tabs>
                <w:tab w:val="left" w:leader="dot" w:pos="2268"/>
              </w:tabs>
            </w:pPr>
            <w:r w:rsidRPr="00576D60">
              <w:t>Form 908</w:t>
            </w:r>
            <w:r w:rsidRPr="00576D60">
              <w:tab/>
            </w:r>
          </w:p>
        </w:tc>
        <w:tc>
          <w:tcPr>
            <w:tcW w:w="3500" w:type="pct"/>
            <w:shd w:val="clear" w:color="auto" w:fill="auto"/>
          </w:tcPr>
          <w:p w14:paraId="2B956C17" w14:textId="77777777" w:rsidR="00E93F58" w:rsidRPr="00576D60" w:rsidRDefault="00E93F58" w:rsidP="003D2B1E">
            <w:pPr>
              <w:pStyle w:val="ENoteTableText"/>
            </w:pPr>
            <w:r w:rsidRPr="00576D60">
              <w:t>rep No 399, 2004</w:t>
            </w:r>
          </w:p>
        </w:tc>
      </w:tr>
      <w:tr w:rsidR="00E93F58" w:rsidRPr="00576D60" w14:paraId="6933AC98" w14:textId="77777777" w:rsidTr="002F32E3">
        <w:trPr>
          <w:cantSplit/>
        </w:trPr>
        <w:tc>
          <w:tcPr>
            <w:tcW w:w="1500" w:type="pct"/>
            <w:shd w:val="clear" w:color="auto" w:fill="auto"/>
          </w:tcPr>
          <w:p w14:paraId="76FFA739" w14:textId="77777777" w:rsidR="00E93F58" w:rsidRPr="00576D60" w:rsidRDefault="00E93F58" w:rsidP="003D2B1E">
            <w:pPr>
              <w:pStyle w:val="ENoteTableText"/>
              <w:tabs>
                <w:tab w:val="left" w:leader="dot" w:pos="2268"/>
              </w:tabs>
            </w:pPr>
            <w:r w:rsidRPr="00576D60">
              <w:t>Form 910</w:t>
            </w:r>
            <w:r w:rsidRPr="00576D60">
              <w:tab/>
            </w:r>
          </w:p>
        </w:tc>
        <w:tc>
          <w:tcPr>
            <w:tcW w:w="3500" w:type="pct"/>
            <w:shd w:val="clear" w:color="auto" w:fill="auto"/>
          </w:tcPr>
          <w:p w14:paraId="48BF2D24" w14:textId="77777777" w:rsidR="00E93F58" w:rsidRPr="00576D60" w:rsidRDefault="00E93F58" w:rsidP="003D2B1E">
            <w:pPr>
              <w:pStyle w:val="ENoteTableText"/>
            </w:pPr>
            <w:r w:rsidRPr="00576D60">
              <w:t>rep F2019L00392</w:t>
            </w:r>
          </w:p>
        </w:tc>
      </w:tr>
      <w:tr w:rsidR="00E93F58" w:rsidRPr="00576D60" w14:paraId="7BD6433A" w14:textId="77777777" w:rsidTr="002F32E3">
        <w:trPr>
          <w:cantSplit/>
        </w:trPr>
        <w:tc>
          <w:tcPr>
            <w:tcW w:w="1500" w:type="pct"/>
            <w:shd w:val="clear" w:color="auto" w:fill="auto"/>
          </w:tcPr>
          <w:p w14:paraId="7E714058" w14:textId="77777777" w:rsidR="00E93F58" w:rsidRPr="00576D60" w:rsidRDefault="00E93F58" w:rsidP="003D2B1E">
            <w:pPr>
              <w:pStyle w:val="ENoteTableText"/>
              <w:tabs>
                <w:tab w:val="left" w:leader="dot" w:pos="2268"/>
              </w:tabs>
              <w:rPr>
                <w:b/>
              </w:rPr>
            </w:pPr>
            <w:r w:rsidRPr="00576D60">
              <w:rPr>
                <w:b/>
              </w:rPr>
              <w:t>Schedule 2A</w:t>
            </w:r>
          </w:p>
        </w:tc>
        <w:tc>
          <w:tcPr>
            <w:tcW w:w="3500" w:type="pct"/>
            <w:shd w:val="clear" w:color="auto" w:fill="auto"/>
          </w:tcPr>
          <w:p w14:paraId="59BE7D35" w14:textId="77777777" w:rsidR="00E93F58" w:rsidRPr="00576D60" w:rsidRDefault="00E93F58" w:rsidP="003D2B1E">
            <w:pPr>
              <w:pStyle w:val="ENoteTableText"/>
            </w:pPr>
          </w:p>
        </w:tc>
      </w:tr>
      <w:tr w:rsidR="00E93F58" w:rsidRPr="00576D60" w14:paraId="440E4907" w14:textId="77777777" w:rsidTr="002F32E3">
        <w:trPr>
          <w:cantSplit/>
        </w:trPr>
        <w:tc>
          <w:tcPr>
            <w:tcW w:w="1500" w:type="pct"/>
            <w:shd w:val="clear" w:color="auto" w:fill="auto"/>
          </w:tcPr>
          <w:p w14:paraId="65DDF444" w14:textId="77777777" w:rsidR="00E93F58" w:rsidRPr="00576D60" w:rsidRDefault="00E93F58" w:rsidP="003D2B1E">
            <w:pPr>
              <w:pStyle w:val="ENoteTableText"/>
              <w:tabs>
                <w:tab w:val="left" w:leader="dot" w:pos="2268"/>
              </w:tabs>
            </w:pPr>
            <w:r w:rsidRPr="00576D60">
              <w:t>Schedule 2A</w:t>
            </w:r>
            <w:r w:rsidRPr="00576D60">
              <w:tab/>
            </w:r>
          </w:p>
        </w:tc>
        <w:tc>
          <w:tcPr>
            <w:tcW w:w="3500" w:type="pct"/>
            <w:shd w:val="clear" w:color="auto" w:fill="auto"/>
          </w:tcPr>
          <w:p w14:paraId="0EF0B9A3" w14:textId="77777777" w:rsidR="00E93F58" w:rsidRPr="00576D60" w:rsidRDefault="00E93F58" w:rsidP="003D2B1E">
            <w:pPr>
              <w:pStyle w:val="ENoteTableText"/>
            </w:pPr>
            <w:r w:rsidRPr="00576D60">
              <w:t>ad No 319, 2001</w:t>
            </w:r>
          </w:p>
        </w:tc>
      </w:tr>
      <w:tr w:rsidR="00E93F58" w:rsidRPr="00576D60" w14:paraId="1CE93DCB" w14:textId="77777777" w:rsidTr="002F32E3">
        <w:trPr>
          <w:cantSplit/>
        </w:trPr>
        <w:tc>
          <w:tcPr>
            <w:tcW w:w="1500" w:type="pct"/>
            <w:shd w:val="clear" w:color="auto" w:fill="auto"/>
          </w:tcPr>
          <w:p w14:paraId="73146ED3" w14:textId="77777777" w:rsidR="00E93F58" w:rsidRPr="00576D60" w:rsidRDefault="00E93F58" w:rsidP="003D2B1E">
            <w:pPr>
              <w:pStyle w:val="ENoteTableText"/>
              <w:tabs>
                <w:tab w:val="left" w:leader="dot" w:pos="2268"/>
              </w:tabs>
            </w:pPr>
            <w:r w:rsidRPr="00576D60">
              <w:t>Form 1</w:t>
            </w:r>
            <w:r w:rsidRPr="00576D60">
              <w:tab/>
            </w:r>
          </w:p>
        </w:tc>
        <w:tc>
          <w:tcPr>
            <w:tcW w:w="3500" w:type="pct"/>
            <w:shd w:val="clear" w:color="auto" w:fill="auto"/>
          </w:tcPr>
          <w:p w14:paraId="71EC9A52" w14:textId="77777777" w:rsidR="00E93F58" w:rsidRPr="00576D60" w:rsidRDefault="00E93F58" w:rsidP="003D2B1E">
            <w:pPr>
              <w:pStyle w:val="ENoteTableText"/>
            </w:pPr>
            <w:r w:rsidRPr="00576D60">
              <w:t>ad No 319, 2001</w:t>
            </w:r>
          </w:p>
        </w:tc>
      </w:tr>
      <w:tr w:rsidR="00E93F58" w:rsidRPr="00576D60" w14:paraId="3561C652" w14:textId="77777777" w:rsidTr="002F32E3">
        <w:trPr>
          <w:cantSplit/>
        </w:trPr>
        <w:tc>
          <w:tcPr>
            <w:tcW w:w="1500" w:type="pct"/>
            <w:shd w:val="clear" w:color="auto" w:fill="auto"/>
          </w:tcPr>
          <w:p w14:paraId="3AF44DEB" w14:textId="77777777" w:rsidR="00E93F58" w:rsidRPr="00576D60" w:rsidRDefault="00E93F58" w:rsidP="003D2B1E">
            <w:pPr>
              <w:pStyle w:val="ENoteTableText"/>
              <w:tabs>
                <w:tab w:val="left" w:leader="dot" w:pos="2268"/>
              </w:tabs>
            </w:pPr>
            <w:r w:rsidRPr="00576D60">
              <w:t>Form 2</w:t>
            </w:r>
            <w:r w:rsidRPr="00576D60">
              <w:tab/>
            </w:r>
          </w:p>
        </w:tc>
        <w:tc>
          <w:tcPr>
            <w:tcW w:w="3500" w:type="pct"/>
            <w:shd w:val="clear" w:color="auto" w:fill="auto"/>
          </w:tcPr>
          <w:p w14:paraId="495DFA8D" w14:textId="77777777" w:rsidR="00E93F58" w:rsidRPr="00576D60" w:rsidRDefault="00E93F58" w:rsidP="003D2B1E">
            <w:pPr>
              <w:pStyle w:val="ENoteTableText"/>
            </w:pPr>
            <w:r w:rsidRPr="00576D60">
              <w:t>ad No 319, 2001</w:t>
            </w:r>
          </w:p>
        </w:tc>
      </w:tr>
      <w:tr w:rsidR="00E93F58" w:rsidRPr="00576D60" w14:paraId="64A68AAA" w14:textId="77777777" w:rsidTr="002F32E3">
        <w:trPr>
          <w:cantSplit/>
        </w:trPr>
        <w:tc>
          <w:tcPr>
            <w:tcW w:w="1500" w:type="pct"/>
            <w:shd w:val="clear" w:color="auto" w:fill="auto"/>
          </w:tcPr>
          <w:p w14:paraId="0301FC21" w14:textId="77777777" w:rsidR="00E93F58" w:rsidRPr="00576D60" w:rsidRDefault="00E93F58" w:rsidP="003D2B1E">
            <w:pPr>
              <w:pStyle w:val="ENoteTableText"/>
              <w:tabs>
                <w:tab w:val="left" w:leader="dot" w:pos="2268"/>
              </w:tabs>
            </w:pPr>
            <w:r w:rsidRPr="00576D60">
              <w:lastRenderedPageBreak/>
              <w:t>Form 3</w:t>
            </w:r>
            <w:r w:rsidRPr="00576D60">
              <w:tab/>
            </w:r>
          </w:p>
        </w:tc>
        <w:tc>
          <w:tcPr>
            <w:tcW w:w="3500" w:type="pct"/>
            <w:shd w:val="clear" w:color="auto" w:fill="auto"/>
          </w:tcPr>
          <w:p w14:paraId="7E322446" w14:textId="77777777" w:rsidR="00E93F58" w:rsidRPr="00576D60" w:rsidRDefault="00E93F58" w:rsidP="003D2B1E">
            <w:pPr>
              <w:pStyle w:val="ENoteTableText"/>
            </w:pPr>
            <w:r w:rsidRPr="00576D60">
              <w:t>ad No 319, 2001</w:t>
            </w:r>
          </w:p>
        </w:tc>
      </w:tr>
      <w:tr w:rsidR="00E93F58" w:rsidRPr="00576D60" w14:paraId="09B8E73C" w14:textId="77777777" w:rsidTr="002F32E3">
        <w:trPr>
          <w:cantSplit/>
        </w:trPr>
        <w:tc>
          <w:tcPr>
            <w:tcW w:w="1500" w:type="pct"/>
            <w:shd w:val="clear" w:color="auto" w:fill="auto"/>
          </w:tcPr>
          <w:p w14:paraId="642288A0" w14:textId="77777777" w:rsidR="00E93F58" w:rsidRPr="00576D60" w:rsidRDefault="00E93F58" w:rsidP="003D2B1E">
            <w:pPr>
              <w:pStyle w:val="ENoteTableText"/>
              <w:tabs>
                <w:tab w:val="left" w:leader="dot" w:pos="2268"/>
              </w:tabs>
            </w:pPr>
            <w:r w:rsidRPr="00576D60">
              <w:t>Form 4</w:t>
            </w:r>
            <w:r w:rsidRPr="00576D60">
              <w:tab/>
            </w:r>
          </w:p>
        </w:tc>
        <w:tc>
          <w:tcPr>
            <w:tcW w:w="3500" w:type="pct"/>
            <w:shd w:val="clear" w:color="auto" w:fill="auto"/>
          </w:tcPr>
          <w:p w14:paraId="1BE05F68" w14:textId="77777777" w:rsidR="00E93F58" w:rsidRPr="00576D60" w:rsidRDefault="00E93F58" w:rsidP="003D2B1E">
            <w:pPr>
              <w:pStyle w:val="ENoteTableText"/>
            </w:pPr>
            <w:r w:rsidRPr="00576D60">
              <w:t>ad No 319, 2001</w:t>
            </w:r>
          </w:p>
        </w:tc>
      </w:tr>
      <w:tr w:rsidR="00E93F58" w:rsidRPr="00576D60" w14:paraId="7C1391E2" w14:textId="77777777" w:rsidTr="002F32E3">
        <w:trPr>
          <w:cantSplit/>
        </w:trPr>
        <w:tc>
          <w:tcPr>
            <w:tcW w:w="1500" w:type="pct"/>
            <w:shd w:val="clear" w:color="auto" w:fill="auto"/>
          </w:tcPr>
          <w:p w14:paraId="158BA318" w14:textId="77777777" w:rsidR="00E93F58" w:rsidRPr="00576D60" w:rsidRDefault="00E93F58" w:rsidP="003D2B1E">
            <w:pPr>
              <w:pStyle w:val="ENoteTableText"/>
              <w:tabs>
                <w:tab w:val="left" w:leader="dot" w:pos="2268"/>
              </w:tabs>
            </w:pPr>
            <w:r w:rsidRPr="00576D60">
              <w:t>Form 5</w:t>
            </w:r>
            <w:r w:rsidRPr="00576D60">
              <w:tab/>
            </w:r>
          </w:p>
        </w:tc>
        <w:tc>
          <w:tcPr>
            <w:tcW w:w="3500" w:type="pct"/>
            <w:shd w:val="clear" w:color="auto" w:fill="auto"/>
          </w:tcPr>
          <w:p w14:paraId="28FC8F56" w14:textId="77777777" w:rsidR="00E93F58" w:rsidRPr="00576D60" w:rsidRDefault="00E93F58" w:rsidP="003D2B1E">
            <w:pPr>
              <w:pStyle w:val="ENoteTableText"/>
            </w:pPr>
            <w:r w:rsidRPr="00576D60">
              <w:t>ad No 319, 2001</w:t>
            </w:r>
          </w:p>
        </w:tc>
      </w:tr>
      <w:tr w:rsidR="00E93F58" w:rsidRPr="00576D60" w14:paraId="104FB22B" w14:textId="77777777" w:rsidTr="002F32E3">
        <w:trPr>
          <w:cantSplit/>
        </w:trPr>
        <w:tc>
          <w:tcPr>
            <w:tcW w:w="1500" w:type="pct"/>
            <w:shd w:val="clear" w:color="auto" w:fill="auto"/>
          </w:tcPr>
          <w:p w14:paraId="15D07B6C" w14:textId="77777777" w:rsidR="00E93F58" w:rsidRPr="00576D60" w:rsidRDefault="00E93F58" w:rsidP="003D2B1E">
            <w:pPr>
              <w:pStyle w:val="ENoteTableText"/>
              <w:tabs>
                <w:tab w:val="left" w:leader="dot" w:pos="2268"/>
              </w:tabs>
            </w:pPr>
            <w:r w:rsidRPr="00576D60">
              <w:t>Form 6</w:t>
            </w:r>
            <w:r w:rsidRPr="00576D60">
              <w:tab/>
            </w:r>
          </w:p>
        </w:tc>
        <w:tc>
          <w:tcPr>
            <w:tcW w:w="3500" w:type="pct"/>
            <w:shd w:val="clear" w:color="auto" w:fill="auto"/>
          </w:tcPr>
          <w:p w14:paraId="7A1B9C7F" w14:textId="77777777" w:rsidR="00E93F58" w:rsidRPr="00576D60" w:rsidRDefault="00E93F58" w:rsidP="003D2B1E">
            <w:pPr>
              <w:pStyle w:val="ENoteTableText"/>
            </w:pPr>
            <w:r w:rsidRPr="00576D60">
              <w:t>ad No 319, 2001</w:t>
            </w:r>
          </w:p>
        </w:tc>
      </w:tr>
      <w:tr w:rsidR="00E93F58" w:rsidRPr="00576D60" w14:paraId="213C7734" w14:textId="77777777" w:rsidTr="002F32E3">
        <w:trPr>
          <w:cantSplit/>
        </w:trPr>
        <w:tc>
          <w:tcPr>
            <w:tcW w:w="1500" w:type="pct"/>
            <w:shd w:val="clear" w:color="auto" w:fill="auto"/>
          </w:tcPr>
          <w:p w14:paraId="5C72E32D" w14:textId="77777777" w:rsidR="00E93F58" w:rsidRPr="00576D60" w:rsidRDefault="00E93F58" w:rsidP="003D2B1E">
            <w:pPr>
              <w:pStyle w:val="ENoteTableText"/>
              <w:tabs>
                <w:tab w:val="left" w:leader="dot" w:pos="2268"/>
              </w:tabs>
            </w:pPr>
            <w:r w:rsidRPr="00576D60">
              <w:t>Form 7</w:t>
            </w:r>
            <w:r w:rsidRPr="00576D60">
              <w:tab/>
            </w:r>
          </w:p>
        </w:tc>
        <w:tc>
          <w:tcPr>
            <w:tcW w:w="3500" w:type="pct"/>
            <w:shd w:val="clear" w:color="auto" w:fill="auto"/>
          </w:tcPr>
          <w:p w14:paraId="3E822118" w14:textId="77777777" w:rsidR="00E93F58" w:rsidRPr="00576D60" w:rsidRDefault="00E93F58" w:rsidP="003D2B1E">
            <w:pPr>
              <w:pStyle w:val="ENoteTableText"/>
            </w:pPr>
            <w:r w:rsidRPr="00576D60">
              <w:t>ad No 319, 2001</w:t>
            </w:r>
          </w:p>
        </w:tc>
      </w:tr>
      <w:tr w:rsidR="00E93F58" w:rsidRPr="00576D60" w14:paraId="2AC81614" w14:textId="77777777" w:rsidTr="002F32E3">
        <w:trPr>
          <w:cantSplit/>
        </w:trPr>
        <w:tc>
          <w:tcPr>
            <w:tcW w:w="1500" w:type="pct"/>
            <w:shd w:val="clear" w:color="auto" w:fill="auto"/>
          </w:tcPr>
          <w:p w14:paraId="27B5C56E" w14:textId="77777777" w:rsidR="00E93F58" w:rsidRPr="00576D60" w:rsidRDefault="00E93F58" w:rsidP="003D2B1E">
            <w:pPr>
              <w:pStyle w:val="ENoteTableText"/>
              <w:tabs>
                <w:tab w:val="left" w:leader="dot" w:pos="2268"/>
              </w:tabs>
            </w:pPr>
            <w:r w:rsidRPr="00576D60">
              <w:t>Form 8</w:t>
            </w:r>
            <w:r w:rsidRPr="00576D60">
              <w:tab/>
            </w:r>
          </w:p>
        </w:tc>
        <w:tc>
          <w:tcPr>
            <w:tcW w:w="3500" w:type="pct"/>
            <w:shd w:val="clear" w:color="auto" w:fill="auto"/>
          </w:tcPr>
          <w:p w14:paraId="0363E801" w14:textId="77777777" w:rsidR="00E93F58" w:rsidRPr="00576D60" w:rsidRDefault="00E93F58" w:rsidP="003D2B1E">
            <w:pPr>
              <w:pStyle w:val="ENoteTableText"/>
            </w:pPr>
            <w:r w:rsidRPr="00576D60">
              <w:t>ad No 319, 2001</w:t>
            </w:r>
          </w:p>
        </w:tc>
      </w:tr>
      <w:tr w:rsidR="00E93F58" w:rsidRPr="00576D60" w14:paraId="78EDACF6" w14:textId="77777777" w:rsidTr="002F32E3">
        <w:trPr>
          <w:cantSplit/>
        </w:trPr>
        <w:tc>
          <w:tcPr>
            <w:tcW w:w="1500" w:type="pct"/>
            <w:shd w:val="clear" w:color="auto" w:fill="auto"/>
          </w:tcPr>
          <w:p w14:paraId="5903BB15" w14:textId="77777777" w:rsidR="00E93F58" w:rsidRPr="00576D60" w:rsidRDefault="00E93F58" w:rsidP="003D2B1E">
            <w:pPr>
              <w:pStyle w:val="ENoteTableText"/>
              <w:tabs>
                <w:tab w:val="left" w:leader="dot" w:pos="2268"/>
              </w:tabs>
            </w:pPr>
            <w:r w:rsidRPr="00576D60">
              <w:t>Form 9</w:t>
            </w:r>
            <w:r w:rsidRPr="00576D60">
              <w:tab/>
            </w:r>
          </w:p>
        </w:tc>
        <w:tc>
          <w:tcPr>
            <w:tcW w:w="3500" w:type="pct"/>
            <w:shd w:val="clear" w:color="auto" w:fill="auto"/>
          </w:tcPr>
          <w:p w14:paraId="7F2CE8D8" w14:textId="77777777" w:rsidR="00E93F58" w:rsidRPr="00576D60" w:rsidRDefault="00E93F58" w:rsidP="003D2B1E">
            <w:pPr>
              <w:pStyle w:val="ENoteTableText"/>
            </w:pPr>
            <w:r w:rsidRPr="00576D60">
              <w:t>ad No 319, 2001</w:t>
            </w:r>
          </w:p>
        </w:tc>
      </w:tr>
      <w:tr w:rsidR="00E93F58" w:rsidRPr="00576D60" w14:paraId="501F77C1" w14:textId="77777777" w:rsidTr="002F32E3">
        <w:trPr>
          <w:cantSplit/>
        </w:trPr>
        <w:tc>
          <w:tcPr>
            <w:tcW w:w="1500" w:type="pct"/>
            <w:shd w:val="clear" w:color="auto" w:fill="auto"/>
          </w:tcPr>
          <w:p w14:paraId="51115B5E" w14:textId="77777777" w:rsidR="00E93F58" w:rsidRPr="00576D60" w:rsidRDefault="00E93F58" w:rsidP="003D2B1E">
            <w:pPr>
              <w:pStyle w:val="ENoteTableText"/>
              <w:tabs>
                <w:tab w:val="left" w:leader="dot" w:pos="2268"/>
              </w:tabs>
            </w:pPr>
            <w:r w:rsidRPr="00576D60">
              <w:t>Form 10</w:t>
            </w:r>
            <w:r w:rsidRPr="00576D60">
              <w:tab/>
            </w:r>
          </w:p>
        </w:tc>
        <w:tc>
          <w:tcPr>
            <w:tcW w:w="3500" w:type="pct"/>
            <w:shd w:val="clear" w:color="auto" w:fill="auto"/>
          </w:tcPr>
          <w:p w14:paraId="21EB04AF" w14:textId="77777777" w:rsidR="00E93F58" w:rsidRPr="00576D60" w:rsidRDefault="00E93F58" w:rsidP="003D2B1E">
            <w:pPr>
              <w:pStyle w:val="ENoteTableText"/>
            </w:pPr>
            <w:r w:rsidRPr="00576D60">
              <w:t>ad No 319, 2001</w:t>
            </w:r>
          </w:p>
        </w:tc>
      </w:tr>
      <w:tr w:rsidR="00E93F58" w:rsidRPr="00576D60" w14:paraId="6BA6364A" w14:textId="77777777" w:rsidTr="002F32E3">
        <w:trPr>
          <w:cantSplit/>
        </w:trPr>
        <w:tc>
          <w:tcPr>
            <w:tcW w:w="1500" w:type="pct"/>
            <w:shd w:val="clear" w:color="auto" w:fill="auto"/>
          </w:tcPr>
          <w:p w14:paraId="6241FA35" w14:textId="77777777" w:rsidR="00E93F58" w:rsidRPr="00576D60" w:rsidRDefault="00E93F58" w:rsidP="003D2B1E">
            <w:pPr>
              <w:pStyle w:val="ENoteTableText"/>
              <w:keepNext/>
              <w:tabs>
                <w:tab w:val="left" w:leader="dot" w:pos="2268"/>
              </w:tabs>
              <w:rPr>
                <w:b/>
              </w:rPr>
            </w:pPr>
            <w:r w:rsidRPr="00576D60">
              <w:rPr>
                <w:b/>
              </w:rPr>
              <w:t>Schedule 3</w:t>
            </w:r>
          </w:p>
        </w:tc>
        <w:tc>
          <w:tcPr>
            <w:tcW w:w="3500" w:type="pct"/>
            <w:shd w:val="clear" w:color="auto" w:fill="auto"/>
          </w:tcPr>
          <w:p w14:paraId="1828ADF4" w14:textId="77777777" w:rsidR="00E93F58" w:rsidRPr="00576D60" w:rsidRDefault="00E93F58" w:rsidP="003D2B1E">
            <w:pPr>
              <w:pStyle w:val="ENoteTableText"/>
            </w:pPr>
          </w:p>
        </w:tc>
      </w:tr>
      <w:tr w:rsidR="00E93F58" w:rsidRPr="00576D60" w14:paraId="7314410E" w14:textId="77777777" w:rsidTr="002F32E3">
        <w:trPr>
          <w:cantSplit/>
        </w:trPr>
        <w:tc>
          <w:tcPr>
            <w:tcW w:w="1500" w:type="pct"/>
            <w:shd w:val="clear" w:color="auto" w:fill="auto"/>
          </w:tcPr>
          <w:p w14:paraId="627DAE1D" w14:textId="77777777" w:rsidR="00E93F58" w:rsidRPr="00576D60" w:rsidRDefault="00E93F58" w:rsidP="003D2B1E">
            <w:pPr>
              <w:pStyle w:val="ENoteTableText"/>
              <w:tabs>
                <w:tab w:val="left" w:leader="dot" w:pos="2268"/>
              </w:tabs>
            </w:pPr>
            <w:r w:rsidRPr="00576D60">
              <w:t>Schedule 3</w:t>
            </w:r>
            <w:r w:rsidRPr="00576D60">
              <w:tab/>
            </w:r>
          </w:p>
        </w:tc>
        <w:tc>
          <w:tcPr>
            <w:tcW w:w="3500" w:type="pct"/>
            <w:shd w:val="clear" w:color="auto" w:fill="auto"/>
          </w:tcPr>
          <w:p w14:paraId="0A8D8AD8" w14:textId="77777777" w:rsidR="00E93F58" w:rsidRPr="00576D60" w:rsidRDefault="00E93F58" w:rsidP="003D2B1E">
            <w:pPr>
              <w:pStyle w:val="ENoteTableText"/>
            </w:pPr>
            <w:r w:rsidRPr="00576D60">
              <w:t>am No 319, 2001; No 398, 2004</w:t>
            </w:r>
          </w:p>
        </w:tc>
      </w:tr>
      <w:tr w:rsidR="00E93F58" w:rsidRPr="00576D60" w14:paraId="47CB02C2" w14:textId="77777777" w:rsidTr="002F32E3">
        <w:trPr>
          <w:cantSplit/>
        </w:trPr>
        <w:tc>
          <w:tcPr>
            <w:tcW w:w="1500" w:type="pct"/>
            <w:shd w:val="clear" w:color="auto" w:fill="auto"/>
          </w:tcPr>
          <w:p w14:paraId="6B10A5F4" w14:textId="77777777" w:rsidR="00E93F58" w:rsidRPr="00576D60" w:rsidRDefault="00E93F58" w:rsidP="003D2B1E">
            <w:pPr>
              <w:pStyle w:val="ENoteTableText"/>
              <w:tabs>
                <w:tab w:val="left" w:leader="dot" w:pos="2268"/>
              </w:tabs>
              <w:rPr>
                <w:b/>
              </w:rPr>
            </w:pPr>
            <w:r w:rsidRPr="00576D60">
              <w:rPr>
                <w:b/>
              </w:rPr>
              <w:t>Schedule 4</w:t>
            </w:r>
          </w:p>
        </w:tc>
        <w:tc>
          <w:tcPr>
            <w:tcW w:w="3500" w:type="pct"/>
            <w:shd w:val="clear" w:color="auto" w:fill="auto"/>
          </w:tcPr>
          <w:p w14:paraId="78BB62D2" w14:textId="77777777" w:rsidR="00E93F58" w:rsidRPr="00576D60" w:rsidRDefault="00E93F58" w:rsidP="003D2B1E">
            <w:pPr>
              <w:pStyle w:val="ENoteTableText"/>
            </w:pPr>
          </w:p>
        </w:tc>
      </w:tr>
      <w:tr w:rsidR="00E93F58" w:rsidRPr="00576D60" w14:paraId="431DA75F" w14:textId="77777777" w:rsidTr="002F32E3">
        <w:trPr>
          <w:cantSplit/>
        </w:trPr>
        <w:tc>
          <w:tcPr>
            <w:tcW w:w="1500" w:type="pct"/>
            <w:shd w:val="clear" w:color="auto" w:fill="auto"/>
          </w:tcPr>
          <w:p w14:paraId="523598AE" w14:textId="77777777" w:rsidR="00E93F58" w:rsidRPr="00576D60" w:rsidRDefault="00E93F58" w:rsidP="003D2B1E">
            <w:pPr>
              <w:pStyle w:val="ENoteTableText"/>
              <w:tabs>
                <w:tab w:val="left" w:leader="dot" w:pos="2268"/>
              </w:tabs>
            </w:pPr>
            <w:r w:rsidRPr="00576D60">
              <w:t>Schedule 4</w:t>
            </w:r>
            <w:r w:rsidRPr="00576D60">
              <w:tab/>
            </w:r>
          </w:p>
        </w:tc>
        <w:tc>
          <w:tcPr>
            <w:tcW w:w="3500" w:type="pct"/>
            <w:shd w:val="clear" w:color="auto" w:fill="auto"/>
          </w:tcPr>
          <w:p w14:paraId="6D2F1AA2" w14:textId="77777777" w:rsidR="00E93F58" w:rsidRPr="00576D60" w:rsidRDefault="00E93F58" w:rsidP="003D2B1E">
            <w:pPr>
              <w:pStyle w:val="ENoteTableText"/>
            </w:pPr>
            <w:r w:rsidRPr="00576D60">
              <w:t>am No 319, 2001; No 398, 2004; No 332, 2010; F2018L01144</w:t>
            </w:r>
          </w:p>
        </w:tc>
      </w:tr>
      <w:tr w:rsidR="00E93F58" w:rsidRPr="00576D60" w14:paraId="70CB42E9" w14:textId="77777777" w:rsidTr="002F32E3">
        <w:trPr>
          <w:cantSplit/>
        </w:trPr>
        <w:tc>
          <w:tcPr>
            <w:tcW w:w="1500" w:type="pct"/>
            <w:shd w:val="clear" w:color="auto" w:fill="auto"/>
          </w:tcPr>
          <w:p w14:paraId="63AABE5A" w14:textId="77777777" w:rsidR="00E93F58" w:rsidRPr="00576D60" w:rsidRDefault="00E93F58" w:rsidP="003D2B1E">
            <w:pPr>
              <w:pStyle w:val="ENoteTableText"/>
              <w:tabs>
                <w:tab w:val="left" w:leader="dot" w:pos="2268"/>
              </w:tabs>
            </w:pPr>
            <w:r w:rsidRPr="00576D60">
              <w:t>Schedule 5A</w:t>
            </w:r>
            <w:r w:rsidRPr="00576D60">
              <w:tab/>
            </w:r>
          </w:p>
        </w:tc>
        <w:tc>
          <w:tcPr>
            <w:tcW w:w="3500" w:type="pct"/>
            <w:shd w:val="clear" w:color="auto" w:fill="auto"/>
          </w:tcPr>
          <w:p w14:paraId="2855708B" w14:textId="77777777" w:rsidR="00E93F58" w:rsidRPr="00576D60" w:rsidRDefault="00E93F58" w:rsidP="003D2B1E">
            <w:pPr>
              <w:pStyle w:val="ENoteTableText"/>
            </w:pPr>
            <w:r w:rsidRPr="00576D60">
              <w:t>rep No 194, 2007</w:t>
            </w:r>
          </w:p>
        </w:tc>
      </w:tr>
      <w:tr w:rsidR="00E93F58" w:rsidRPr="00576D60" w14:paraId="7DA09910" w14:textId="77777777" w:rsidTr="002F32E3">
        <w:trPr>
          <w:cantSplit/>
        </w:trPr>
        <w:tc>
          <w:tcPr>
            <w:tcW w:w="1500" w:type="pct"/>
            <w:shd w:val="clear" w:color="auto" w:fill="auto"/>
          </w:tcPr>
          <w:p w14:paraId="40D2CA3F" w14:textId="77777777" w:rsidR="00E93F58" w:rsidRPr="00576D60" w:rsidRDefault="00E93F58" w:rsidP="003D2B1E">
            <w:pPr>
              <w:pStyle w:val="ENoteTableText"/>
              <w:tabs>
                <w:tab w:val="left" w:leader="dot" w:pos="2268"/>
              </w:tabs>
            </w:pPr>
            <w:r w:rsidRPr="00576D60">
              <w:t>Schedule 5B</w:t>
            </w:r>
            <w:r w:rsidRPr="00576D60">
              <w:tab/>
            </w:r>
          </w:p>
        </w:tc>
        <w:tc>
          <w:tcPr>
            <w:tcW w:w="3500" w:type="pct"/>
            <w:shd w:val="clear" w:color="auto" w:fill="auto"/>
          </w:tcPr>
          <w:p w14:paraId="71A5B869" w14:textId="77777777" w:rsidR="00E93F58" w:rsidRPr="00576D60" w:rsidRDefault="00E93F58" w:rsidP="003D2B1E">
            <w:pPr>
              <w:pStyle w:val="ENoteTableText"/>
            </w:pPr>
            <w:r w:rsidRPr="00576D60">
              <w:t>ad No 160, 2005</w:t>
            </w:r>
          </w:p>
        </w:tc>
      </w:tr>
      <w:tr w:rsidR="00E93F58" w:rsidRPr="00576D60" w14:paraId="5BE819C3" w14:textId="77777777" w:rsidTr="002F32E3">
        <w:trPr>
          <w:cantSplit/>
        </w:trPr>
        <w:tc>
          <w:tcPr>
            <w:tcW w:w="1500" w:type="pct"/>
            <w:shd w:val="clear" w:color="auto" w:fill="auto"/>
          </w:tcPr>
          <w:p w14:paraId="151D0402" w14:textId="77777777" w:rsidR="00E93F58" w:rsidRPr="00576D60" w:rsidRDefault="00E93F58" w:rsidP="003D2B1E">
            <w:pPr>
              <w:pStyle w:val="ENoteTableText"/>
            </w:pPr>
          </w:p>
        </w:tc>
        <w:tc>
          <w:tcPr>
            <w:tcW w:w="3500" w:type="pct"/>
            <w:shd w:val="clear" w:color="auto" w:fill="auto"/>
          </w:tcPr>
          <w:p w14:paraId="152F8AAF" w14:textId="77777777" w:rsidR="00E93F58" w:rsidRPr="00576D60" w:rsidRDefault="00E93F58" w:rsidP="003D2B1E">
            <w:pPr>
              <w:pStyle w:val="ENoteTableText"/>
            </w:pPr>
            <w:r w:rsidRPr="00576D60">
              <w:t>am No 126, 2006</w:t>
            </w:r>
          </w:p>
        </w:tc>
      </w:tr>
      <w:tr w:rsidR="00E93F58" w:rsidRPr="00576D60" w14:paraId="48CF7BD9" w14:textId="77777777" w:rsidTr="002F32E3">
        <w:trPr>
          <w:cantSplit/>
        </w:trPr>
        <w:tc>
          <w:tcPr>
            <w:tcW w:w="1500" w:type="pct"/>
            <w:shd w:val="clear" w:color="auto" w:fill="auto"/>
          </w:tcPr>
          <w:p w14:paraId="723144E6" w14:textId="77777777" w:rsidR="00E93F58" w:rsidRPr="00576D60" w:rsidRDefault="00E93F58" w:rsidP="003D2B1E">
            <w:pPr>
              <w:pStyle w:val="ENoteTableText"/>
            </w:pPr>
          </w:p>
        </w:tc>
        <w:tc>
          <w:tcPr>
            <w:tcW w:w="3500" w:type="pct"/>
            <w:shd w:val="clear" w:color="auto" w:fill="auto"/>
          </w:tcPr>
          <w:p w14:paraId="672D1D72" w14:textId="77777777" w:rsidR="00E93F58" w:rsidRPr="00576D60" w:rsidRDefault="00E93F58" w:rsidP="003D2B1E">
            <w:pPr>
              <w:pStyle w:val="ENoteTableText"/>
            </w:pPr>
            <w:r w:rsidRPr="00576D60">
              <w:t>rep No 193, 2007</w:t>
            </w:r>
          </w:p>
        </w:tc>
      </w:tr>
      <w:tr w:rsidR="00E93F58" w:rsidRPr="00576D60" w14:paraId="200F669B" w14:textId="77777777" w:rsidTr="002F32E3">
        <w:trPr>
          <w:cantSplit/>
        </w:trPr>
        <w:tc>
          <w:tcPr>
            <w:tcW w:w="1500" w:type="pct"/>
            <w:shd w:val="clear" w:color="auto" w:fill="auto"/>
          </w:tcPr>
          <w:p w14:paraId="5ACF2113" w14:textId="77777777" w:rsidR="00E93F58" w:rsidRPr="00576D60" w:rsidRDefault="00E93F58" w:rsidP="003D2B1E">
            <w:pPr>
              <w:pStyle w:val="ENoteTableText"/>
              <w:tabs>
                <w:tab w:val="left" w:leader="dot" w:pos="2268"/>
              </w:tabs>
              <w:rPr>
                <w:b/>
              </w:rPr>
            </w:pPr>
            <w:r w:rsidRPr="00576D60">
              <w:rPr>
                <w:b/>
              </w:rPr>
              <w:t>Schedule 5C</w:t>
            </w:r>
          </w:p>
        </w:tc>
        <w:tc>
          <w:tcPr>
            <w:tcW w:w="3500" w:type="pct"/>
            <w:shd w:val="clear" w:color="auto" w:fill="auto"/>
          </w:tcPr>
          <w:p w14:paraId="5734CFA9" w14:textId="77777777" w:rsidR="00E93F58" w:rsidRPr="00576D60" w:rsidRDefault="00E93F58" w:rsidP="003D2B1E">
            <w:pPr>
              <w:pStyle w:val="ENoteTableText"/>
            </w:pPr>
          </w:p>
        </w:tc>
      </w:tr>
      <w:tr w:rsidR="00E93F58" w:rsidRPr="00576D60" w14:paraId="33739E02" w14:textId="77777777" w:rsidTr="002F32E3">
        <w:trPr>
          <w:cantSplit/>
        </w:trPr>
        <w:tc>
          <w:tcPr>
            <w:tcW w:w="1500" w:type="pct"/>
            <w:shd w:val="clear" w:color="auto" w:fill="auto"/>
          </w:tcPr>
          <w:p w14:paraId="09E0047B" w14:textId="77777777" w:rsidR="00E93F58" w:rsidRPr="00576D60" w:rsidRDefault="00E93F58" w:rsidP="003D2B1E">
            <w:pPr>
              <w:pStyle w:val="ENoteTableText"/>
              <w:tabs>
                <w:tab w:val="left" w:leader="dot" w:pos="2268"/>
              </w:tabs>
            </w:pPr>
            <w:r w:rsidRPr="00576D60">
              <w:t>Schedule 5C</w:t>
            </w:r>
            <w:r w:rsidRPr="00576D60">
              <w:tab/>
            </w:r>
          </w:p>
        </w:tc>
        <w:tc>
          <w:tcPr>
            <w:tcW w:w="3500" w:type="pct"/>
            <w:shd w:val="clear" w:color="auto" w:fill="auto"/>
          </w:tcPr>
          <w:p w14:paraId="721890B0" w14:textId="77777777" w:rsidR="00E93F58" w:rsidRPr="00576D60" w:rsidRDefault="00E93F58" w:rsidP="003D2B1E">
            <w:pPr>
              <w:pStyle w:val="ENoteTableText"/>
            </w:pPr>
            <w:r w:rsidRPr="00576D60">
              <w:t>ad No 126, 2006</w:t>
            </w:r>
          </w:p>
        </w:tc>
      </w:tr>
      <w:tr w:rsidR="00E93F58" w:rsidRPr="00576D60" w14:paraId="66DA651F" w14:textId="77777777" w:rsidTr="002F32E3">
        <w:trPr>
          <w:cantSplit/>
        </w:trPr>
        <w:tc>
          <w:tcPr>
            <w:tcW w:w="1500" w:type="pct"/>
            <w:shd w:val="clear" w:color="auto" w:fill="auto"/>
          </w:tcPr>
          <w:p w14:paraId="7581861E" w14:textId="77777777" w:rsidR="00E93F58" w:rsidRPr="00576D60" w:rsidRDefault="00E93F58" w:rsidP="003D2B1E">
            <w:pPr>
              <w:pStyle w:val="ENoteTableText"/>
              <w:tabs>
                <w:tab w:val="left" w:leader="dot" w:pos="2268"/>
              </w:tabs>
            </w:pPr>
          </w:p>
        </w:tc>
        <w:tc>
          <w:tcPr>
            <w:tcW w:w="3500" w:type="pct"/>
            <w:shd w:val="clear" w:color="auto" w:fill="auto"/>
          </w:tcPr>
          <w:p w14:paraId="05033379" w14:textId="77777777" w:rsidR="00E93F58" w:rsidRPr="00576D60" w:rsidRDefault="00E93F58" w:rsidP="003D2B1E">
            <w:pPr>
              <w:pStyle w:val="ENoteTableText"/>
            </w:pPr>
            <w:r>
              <w:t>am F2023L01458</w:t>
            </w:r>
          </w:p>
        </w:tc>
      </w:tr>
      <w:tr w:rsidR="00E93F58" w:rsidRPr="00576D60" w14:paraId="52B9194A" w14:textId="77777777" w:rsidTr="002F32E3">
        <w:trPr>
          <w:cantSplit/>
        </w:trPr>
        <w:tc>
          <w:tcPr>
            <w:tcW w:w="1500" w:type="pct"/>
            <w:shd w:val="clear" w:color="auto" w:fill="auto"/>
          </w:tcPr>
          <w:p w14:paraId="636650FE" w14:textId="77777777" w:rsidR="00E93F58" w:rsidRPr="00576D60" w:rsidRDefault="00E93F58" w:rsidP="003D2B1E">
            <w:pPr>
              <w:pStyle w:val="ENoteTableText"/>
              <w:keepNext/>
              <w:tabs>
                <w:tab w:val="left" w:leader="dot" w:pos="2268"/>
              </w:tabs>
              <w:rPr>
                <w:b/>
              </w:rPr>
            </w:pPr>
            <w:r w:rsidRPr="00576D60">
              <w:rPr>
                <w:b/>
              </w:rPr>
              <w:t>Schedule 6</w:t>
            </w:r>
          </w:p>
        </w:tc>
        <w:tc>
          <w:tcPr>
            <w:tcW w:w="3500" w:type="pct"/>
            <w:shd w:val="clear" w:color="auto" w:fill="auto"/>
          </w:tcPr>
          <w:p w14:paraId="673E0E57" w14:textId="77777777" w:rsidR="00E93F58" w:rsidRPr="00576D60" w:rsidRDefault="00E93F58" w:rsidP="003D2B1E">
            <w:pPr>
              <w:pStyle w:val="ENoteTableText"/>
            </w:pPr>
          </w:p>
        </w:tc>
      </w:tr>
      <w:tr w:rsidR="00E93F58" w:rsidRPr="00576D60" w14:paraId="61525100" w14:textId="77777777" w:rsidTr="002F32E3">
        <w:trPr>
          <w:cantSplit/>
        </w:trPr>
        <w:tc>
          <w:tcPr>
            <w:tcW w:w="1500" w:type="pct"/>
            <w:shd w:val="clear" w:color="auto" w:fill="auto"/>
          </w:tcPr>
          <w:p w14:paraId="220C0520" w14:textId="77777777" w:rsidR="00E93F58" w:rsidRPr="00576D60" w:rsidRDefault="00E93F58" w:rsidP="003D2B1E">
            <w:pPr>
              <w:pStyle w:val="ENoteTableText"/>
              <w:tabs>
                <w:tab w:val="left" w:leader="dot" w:pos="2268"/>
              </w:tabs>
            </w:pPr>
            <w:r w:rsidRPr="00576D60">
              <w:t>Schedule 6</w:t>
            </w:r>
            <w:r w:rsidRPr="00576D60">
              <w:tab/>
            </w:r>
          </w:p>
        </w:tc>
        <w:tc>
          <w:tcPr>
            <w:tcW w:w="3500" w:type="pct"/>
            <w:shd w:val="clear" w:color="auto" w:fill="auto"/>
          </w:tcPr>
          <w:p w14:paraId="422D5CEA" w14:textId="77777777" w:rsidR="00E93F58" w:rsidRPr="00576D60" w:rsidRDefault="00E93F58" w:rsidP="003D2B1E">
            <w:pPr>
              <w:pStyle w:val="ENoteTableText"/>
            </w:pPr>
            <w:r w:rsidRPr="00576D60">
              <w:t>am No 318, 2001; No 319, 2001; No 362, 2006; No 272, 2010; F2018L01144; F2019L01641; F2022L00469</w:t>
            </w:r>
          </w:p>
        </w:tc>
      </w:tr>
      <w:tr w:rsidR="00E93F58" w:rsidRPr="00576D60" w14:paraId="503D0606" w14:textId="77777777" w:rsidTr="002F32E3">
        <w:trPr>
          <w:cantSplit/>
        </w:trPr>
        <w:tc>
          <w:tcPr>
            <w:tcW w:w="1500" w:type="pct"/>
            <w:shd w:val="clear" w:color="auto" w:fill="auto"/>
          </w:tcPr>
          <w:p w14:paraId="2DFA5E98" w14:textId="77777777" w:rsidR="00E93F58" w:rsidRPr="00576D60" w:rsidRDefault="00E93F58" w:rsidP="003D2B1E">
            <w:pPr>
              <w:pStyle w:val="ENoteTableText"/>
              <w:keepNext/>
              <w:tabs>
                <w:tab w:val="left" w:leader="dot" w:pos="2268"/>
              </w:tabs>
              <w:rPr>
                <w:b/>
              </w:rPr>
            </w:pPr>
            <w:r w:rsidRPr="00576D60">
              <w:rPr>
                <w:b/>
              </w:rPr>
              <w:t>Schedule 7</w:t>
            </w:r>
          </w:p>
        </w:tc>
        <w:tc>
          <w:tcPr>
            <w:tcW w:w="3500" w:type="pct"/>
            <w:shd w:val="clear" w:color="auto" w:fill="auto"/>
          </w:tcPr>
          <w:p w14:paraId="790BAEC7" w14:textId="77777777" w:rsidR="00E93F58" w:rsidRPr="00576D60" w:rsidRDefault="00E93F58" w:rsidP="003D2B1E">
            <w:pPr>
              <w:pStyle w:val="ENoteTableText"/>
            </w:pPr>
          </w:p>
        </w:tc>
      </w:tr>
      <w:tr w:rsidR="00E93F58" w:rsidRPr="00576D60" w14:paraId="7A651B2B" w14:textId="77777777" w:rsidTr="002F32E3">
        <w:trPr>
          <w:cantSplit/>
        </w:trPr>
        <w:tc>
          <w:tcPr>
            <w:tcW w:w="1500" w:type="pct"/>
            <w:shd w:val="clear" w:color="auto" w:fill="auto"/>
          </w:tcPr>
          <w:p w14:paraId="501CE63A" w14:textId="77777777" w:rsidR="00E93F58" w:rsidRPr="00576D60" w:rsidRDefault="00E93F58" w:rsidP="003D2B1E">
            <w:pPr>
              <w:pStyle w:val="ENoteTableText"/>
              <w:tabs>
                <w:tab w:val="left" w:leader="dot" w:pos="2268"/>
              </w:tabs>
            </w:pPr>
            <w:r w:rsidRPr="00576D60">
              <w:t>Schedule 7</w:t>
            </w:r>
            <w:r w:rsidRPr="00576D60">
              <w:tab/>
            </w:r>
          </w:p>
        </w:tc>
        <w:tc>
          <w:tcPr>
            <w:tcW w:w="3500" w:type="pct"/>
            <w:shd w:val="clear" w:color="auto" w:fill="auto"/>
          </w:tcPr>
          <w:p w14:paraId="7FB914EF" w14:textId="77777777" w:rsidR="00E93F58" w:rsidRPr="00576D60" w:rsidRDefault="00E93F58" w:rsidP="003D2B1E">
            <w:pPr>
              <w:pStyle w:val="ENoteTableText"/>
            </w:pPr>
            <w:r w:rsidRPr="00576D60">
              <w:t>am F2020L01610</w:t>
            </w:r>
          </w:p>
        </w:tc>
      </w:tr>
      <w:tr w:rsidR="00E93F58" w:rsidRPr="00576D60" w14:paraId="58141720" w14:textId="77777777" w:rsidTr="002F32E3">
        <w:trPr>
          <w:cantSplit/>
        </w:trPr>
        <w:tc>
          <w:tcPr>
            <w:tcW w:w="1500" w:type="pct"/>
            <w:shd w:val="clear" w:color="auto" w:fill="auto"/>
          </w:tcPr>
          <w:p w14:paraId="13D034B0" w14:textId="77777777" w:rsidR="00E93F58" w:rsidRPr="00576D60" w:rsidRDefault="00E93F58" w:rsidP="00D56B04">
            <w:pPr>
              <w:pStyle w:val="ENoteTableText"/>
              <w:keepNext/>
              <w:tabs>
                <w:tab w:val="left" w:leader="dot" w:pos="2268"/>
              </w:tabs>
              <w:rPr>
                <w:b/>
              </w:rPr>
            </w:pPr>
            <w:r w:rsidRPr="00576D60">
              <w:rPr>
                <w:b/>
              </w:rPr>
              <w:t>Schedule 7A</w:t>
            </w:r>
          </w:p>
        </w:tc>
        <w:tc>
          <w:tcPr>
            <w:tcW w:w="3500" w:type="pct"/>
            <w:shd w:val="clear" w:color="auto" w:fill="auto"/>
          </w:tcPr>
          <w:p w14:paraId="3582055A" w14:textId="77777777" w:rsidR="00E93F58" w:rsidRPr="00576D60" w:rsidRDefault="00E93F58" w:rsidP="00D56B04">
            <w:pPr>
              <w:pStyle w:val="ENoteTableText"/>
              <w:keepNext/>
            </w:pPr>
          </w:p>
        </w:tc>
      </w:tr>
      <w:tr w:rsidR="00E93F58" w:rsidRPr="00576D60" w14:paraId="7D176CDE" w14:textId="77777777" w:rsidTr="002F32E3">
        <w:trPr>
          <w:cantSplit/>
        </w:trPr>
        <w:tc>
          <w:tcPr>
            <w:tcW w:w="1500" w:type="pct"/>
            <w:shd w:val="clear" w:color="auto" w:fill="auto"/>
          </w:tcPr>
          <w:p w14:paraId="15C800C4" w14:textId="77777777" w:rsidR="00E93F58" w:rsidRPr="00576D60" w:rsidRDefault="00E93F58" w:rsidP="003D2B1E">
            <w:pPr>
              <w:pStyle w:val="ENoteTableText"/>
              <w:tabs>
                <w:tab w:val="left" w:leader="dot" w:pos="2268"/>
              </w:tabs>
            </w:pPr>
            <w:r w:rsidRPr="00576D60">
              <w:t>Schedule 7A</w:t>
            </w:r>
            <w:r w:rsidRPr="00576D60">
              <w:tab/>
            </w:r>
          </w:p>
        </w:tc>
        <w:tc>
          <w:tcPr>
            <w:tcW w:w="3500" w:type="pct"/>
            <w:shd w:val="clear" w:color="auto" w:fill="auto"/>
          </w:tcPr>
          <w:p w14:paraId="34D22663" w14:textId="77777777" w:rsidR="00E93F58" w:rsidRPr="00576D60" w:rsidRDefault="00E93F58" w:rsidP="003D2B1E">
            <w:pPr>
              <w:pStyle w:val="ENoteTableText"/>
            </w:pPr>
            <w:r w:rsidRPr="00576D60">
              <w:t>ad No 171, 2012</w:t>
            </w:r>
          </w:p>
        </w:tc>
      </w:tr>
      <w:tr w:rsidR="00E93F58" w:rsidRPr="00576D60" w14:paraId="1156D2CD" w14:textId="77777777" w:rsidTr="002F32E3">
        <w:trPr>
          <w:cantSplit/>
        </w:trPr>
        <w:tc>
          <w:tcPr>
            <w:tcW w:w="1500" w:type="pct"/>
            <w:shd w:val="clear" w:color="auto" w:fill="auto"/>
          </w:tcPr>
          <w:p w14:paraId="06B876BD" w14:textId="77777777" w:rsidR="00E93F58" w:rsidRPr="00576D60" w:rsidRDefault="00E93F58" w:rsidP="003D2B1E">
            <w:pPr>
              <w:pStyle w:val="ENoteTableText"/>
              <w:tabs>
                <w:tab w:val="left" w:leader="dot" w:pos="2268"/>
              </w:tabs>
            </w:pPr>
          </w:p>
        </w:tc>
        <w:tc>
          <w:tcPr>
            <w:tcW w:w="3500" w:type="pct"/>
            <w:shd w:val="clear" w:color="auto" w:fill="auto"/>
          </w:tcPr>
          <w:p w14:paraId="6DAFEE53" w14:textId="77777777" w:rsidR="00E93F58" w:rsidRPr="00576D60" w:rsidRDefault="00E93F58" w:rsidP="003D2B1E">
            <w:pPr>
              <w:pStyle w:val="ENoteTableText"/>
            </w:pPr>
            <w:r>
              <w:t>am F2023L01458</w:t>
            </w:r>
          </w:p>
        </w:tc>
      </w:tr>
      <w:tr w:rsidR="00E93F58" w:rsidRPr="00576D60" w14:paraId="3196E23D" w14:textId="77777777" w:rsidTr="002F32E3">
        <w:trPr>
          <w:cantSplit/>
        </w:trPr>
        <w:tc>
          <w:tcPr>
            <w:tcW w:w="1500" w:type="pct"/>
            <w:shd w:val="clear" w:color="auto" w:fill="auto"/>
          </w:tcPr>
          <w:p w14:paraId="4AE1C4A2" w14:textId="77777777" w:rsidR="00E93F58" w:rsidRPr="00576D60" w:rsidRDefault="00E93F58" w:rsidP="003D2B1E">
            <w:pPr>
              <w:pStyle w:val="ENoteTableText"/>
              <w:tabs>
                <w:tab w:val="left" w:leader="dot" w:pos="2268"/>
              </w:tabs>
              <w:rPr>
                <w:b/>
              </w:rPr>
            </w:pPr>
            <w:r w:rsidRPr="00576D60">
              <w:rPr>
                <w:b/>
              </w:rPr>
              <w:t>Schedule 8</w:t>
            </w:r>
          </w:p>
        </w:tc>
        <w:tc>
          <w:tcPr>
            <w:tcW w:w="3500" w:type="pct"/>
            <w:shd w:val="clear" w:color="auto" w:fill="auto"/>
          </w:tcPr>
          <w:p w14:paraId="5241639A" w14:textId="77777777" w:rsidR="00E93F58" w:rsidRPr="00576D60" w:rsidRDefault="00E93F58" w:rsidP="003D2B1E">
            <w:pPr>
              <w:pStyle w:val="ENoteTableText"/>
            </w:pPr>
          </w:p>
        </w:tc>
      </w:tr>
      <w:tr w:rsidR="00E93F58" w:rsidRPr="00576D60" w14:paraId="3E6514A2" w14:textId="77777777" w:rsidTr="002F32E3">
        <w:trPr>
          <w:cantSplit/>
        </w:trPr>
        <w:tc>
          <w:tcPr>
            <w:tcW w:w="1500" w:type="pct"/>
            <w:shd w:val="clear" w:color="auto" w:fill="auto"/>
          </w:tcPr>
          <w:p w14:paraId="04720918" w14:textId="77777777" w:rsidR="00E93F58" w:rsidRPr="00576D60" w:rsidRDefault="00E93F58" w:rsidP="003D2B1E">
            <w:pPr>
              <w:pStyle w:val="ENoteTableText"/>
              <w:tabs>
                <w:tab w:val="left" w:leader="dot" w:pos="2268"/>
              </w:tabs>
            </w:pPr>
            <w:r w:rsidRPr="00576D60">
              <w:t>Schedule 8</w:t>
            </w:r>
            <w:r w:rsidRPr="00576D60">
              <w:tab/>
            </w:r>
          </w:p>
        </w:tc>
        <w:tc>
          <w:tcPr>
            <w:tcW w:w="3500" w:type="pct"/>
            <w:shd w:val="clear" w:color="auto" w:fill="auto"/>
          </w:tcPr>
          <w:p w14:paraId="25D38369" w14:textId="77777777" w:rsidR="00E93F58" w:rsidRPr="00576D60" w:rsidRDefault="00E93F58" w:rsidP="003D2B1E">
            <w:pPr>
              <w:pStyle w:val="ENoteTableText"/>
            </w:pPr>
            <w:r w:rsidRPr="00576D60">
              <w:t>am No 319, 2001</w:t>
            </w:r>
          </w:p>
        </w:tc>
      </w:tr>
      <w:tr w:rsidR="00E93F58" w:rsidRPr="00576D60" w14:paraId="4D1E2A9F" w14:textId="77777777" w:rsidTr="002F32E3">
        <w:trPr>
          <w:cantSplit/>
        </w:trPr>
        <w:tc>
          <w:tcPr>
            <w:tcW w:w="1500" w:type="pct"/>
            <w:shd w:val="clear" w:color="auto" w:fill="auto"/>
          </w:tcPr>
          <w:p w14:paraId="46D55B40" w14:textId="77777777" w:rsidR="00E93F58" w:rsidRPr="00576D60" w:rsidRDefault="00E93F58" w:rsidP="003D2B1E">
            <w:pPr>
              <w:pStyle w:val="ENoteTableText"/>
              <w:tabs>
                <w:tab w:val="left" w:leader="dot" w:pos="2268"/>
              </w:tabs>
            </w:pPr>
          </w:p>
        </w:tc>
        <w:tc>
          <w:tcPr>
            <w:tcW w:w="3500" w:type="pct"/>
            <w:shd w:val="clear" w:color="auto" w:fill="auto"/>
          </w:tcPr>
          <w:p w14:paraId="021A7C46" w14:textId="77777777" w:rsidR="00E93F58" w:rsidRPr="00576D60" w:rsidRDefault="00E93F58" w:rsidP="003D2B1E">
            <w:pPr>
              <w:pStyle w:val="ENoteTableText"/>
            </w:pPr>
            <w:r w:rsidRPr="00576D60">
              <w:t>ed C124</w:t>
            </w:r>
          </w:p>
        </w:tc>
      </w:tr>
      <w:tr w:rsidR="00E93F58" w:rsidRPr="00576D60" w14:paraId="6947B2F3" w14:textId="77777777" w:rsidTr="002F32E3">
        <w:trPr>
          <w:cantSplit/>
        </w:trPr>
        <w:tc>
          <w:tcPr>
            <w:tcW w:w="1500" w:type="pct"/>
            <w:shd w:val="clear" w:color="auto" w:fill="auto"/>
          </w:tcPr>
          <w:p w14:paraId="19560183" w14:textId="77777777" w:rsidR="00E93F58" w:rsidRPr="00576D60" w:rsidRDefault="00E93F58" w:rsidP="003D2B1E">
            <w:pPr>
              <w:pStyle w:val="ENoteTableText"/>
              <w:tabs>
                <w:tab w:val="left" w:leader="dot" w:pos="2268"/>
              </w:tabs>
            </w:pPr>
          </w:p>
        </w:tc>
        <w:tc>
          <w:tcPr>
            <w:tcW w:w="3500" w:type="pct"/>
            <w:shd w:val="clear" w:color="auto" w:fill="auto"/>
          </w:tcPr>
          <w:p w14:paraId="1384D0B7" w14:textId="77777777" w:rsidR="00E93F58" w:rsidRPr="00576D60" w:rsidRDefault="00E93F58" w:rsidP="003D2B1E">
            <w:pPr>
              <w:pStyle w:val="ENoteTableText"/>
            </w:pPr>
            <w:r w:rsidRPr="00576D60">
              <w:t>am F2022L00469</w:t>
            </w:r>
          </w:p>
        </w:tc>
      </w:tr>
      <w:tr w:rsidR="00E93F58" w:rsidRPr="00576D60" w14:paraId="6CE69B92" w14:textId="77777777" w:rsidTr="002F32E3">
        <w:trPr>
          <w:cantSplit/>
        </w:trPr>
        <w:tc>
          <w:tcPr>
            <w:tcW w:w="1500" w:type="pct"/>
            <w:shd w:val="clear" w:color="auto" w:fill="auto"/>
          </w:tcPr>
          <w:p w14:paraId="7EA91680" w14:textId="77777777" w:rsidR="00E93F58" w:rsidRPr="00576D60" w:rsidRDefault="00E93F58" w:rsidP="003D2B1E">
            <w:pPr>
              <w:pStyle w:val="ENoteTableText"/>
              <w:keepNext/>
              <w:keepLines/>
              <w:tabs>
                <w:tab w:val="left" w:leader="dot" w:pos="2268"/>
              </w:tabs>
              <w:rPr>
                <w:b/>
              </w:rPr>
            </w:pPr>
            <w:r w:rsidRPr="00576D60">
              <w:rPr>
                <w:b/>
              </w:rPr>
              <w:t>Schedule 8A</w:t>
            </w:r>
          </w:p>
        </w:tc>
        <w:tc>
          <w:tcPr>
            <w:tcW w:w="3500" w:type="pct"/>
            <w:shd w:val="clear" w:color="auto" w:fill="auto"/>
          </w:tcPr>
          <w:p w14:paraId="37D120DD" w14:textId="77777777" w:rsidR="00E93F58" w:rsidRPr="00576D60" w:rsidRDefault="00E93F58" w:rsidP="003D2B1E">
            <w:pPr>
              <w:pStyle w:val="ENoteTableText"/>
              <w:keepNext/>
              <w:keepLines/>
            </w:pPr>
          </w:p>
        </w:tc>
      </w:tr>
      <w:tr w:rsidR="00E93F58" w:rsidRPr="00576D60" w14:paraId="179D9D8E" w14:textId="77777777" w:rsidTr="002F32E3">
        <w:trPr>
          <w:cantSplit/>
        </w:trPr>
        <w:tc>
          <w:tcPr>
            <w:tcW w:w="1500" w:type="pct"/>
            <w:shd w:val="clear" w:color="auto" w:fill="auto"/>
          </w:tcPr>
          <w:p w14:paraId="65EB0F59" w14:textId="77777777" w:rsidR="00E93F58" w:rsidRPr="00576D60" w:rsidRDefault="00E93F58" w:rsidP="003D2B1E">
            <w:pPr>
              <w:pStyle w:val="ENoteTableText"/>
              <w:tabs>
                <w:tab w:val="left" w:leader="dot" w:pos="2268"/>
              </w:tabs>
            </w:pPr>
            <w:r w:rsidRPr="00576D60">
              <w:t>Schedule 8A</w:t>
            </w:r>
            <w:r w:rsidRPr="00576D60">
              <w:tab/>
            </w:r>
          </w:p>
        </w:tc>
        <w:tc>
          <w:tcPr>
            <w:tcW w:w="3500" w:type="pct"/>
            <w:shd w:val="clear" w:color="auto" w:fill="auto"/>
          </w:tcPr>
          <w:p w14:paraId="05B8A4F9" w14:textId="77777777" w:rsidR="00E93F58" w:rsidRPr="00576D60" w:rsidRDefault="00E93F58" w:rsidP="003D2B1E">
            <w:pPr>
              <w:pStyle w:val="ENoteTableText"/>
            </w:pPr>
            <w:r w:rsidRPr="00576D60">
              <w:t>am No 325, 2007</w:t>
            </w:r>
          </w:p>
        </w:tc>
      </w:tr>
      <w:tr w:rsidR="00E93F58" w:rsidRPr="00576D60" w14:paraId="504C6A7A" w14:textId="77777777" w:rsidTr="002F32E3">
        <w:trPr>
          <w:cantSplit/>
        </w:trPr>
        <w:tc>
          <w:tcPr>
            <w:tcW w:w="1500" w:type="pct"/>
            <w:shd w:val="clear" w:color="auto" w:fill="auto"/>
          </w:tcPr>
          <w:p w14:paraId="14B213CD" w14:textId="77777777" w:rsidR="00E93F58" w:rsidRPr="00576D60" w:rsidRDefault="00E93F58" w:rsidP="003D2B1E">
            <w:pPr>
              <w:pStyle w:val="ENoteTableText"/>
              <w:tabs>
                <w:tab w:val="left" w:leader="dot" w:pos="2268"/>
              </w:tabs>
              <w:rPr>
                <w:b/>
              </w:rPr>
            </w:pPr>
            <w:r w:rsidRPr="00576D60">
              <w:rPr>
                <w:b/>
              </w:rPr>
              <w:t>Schedule 8AA</w:t>
            </w:r>
          </w:p>
        </w:tc>
        <w:tc>
          <w:tcPr>
            <w:tcW w:w="3500" w:type="pct"/>
            <w:shd w:val="clear" w:color="auto" w:fill="auto"/>
          </w:tcPr>
          <w:p w14:paraId="0EAE5054" w14:textId="77777777" w:rsidR="00E93F58" w:rsidRPr="00576D60" w:rsidRDefault="00E93F58" w:rsidP="003D2B1E">
            <w:pPr>
              <w:pStyle w:val="ENoteTableText"/>
            </w:pPr>
          </w:p>
        </w:tc>
      </w:tr>
      <w:tr w:rsidR="00E93F58" w:rsidRPr="00576D60" w14:paraId="77E85A2B" w14:textId="77777777" w:rsidTr="002F32E3">
        <w:trPr>
          <w:cantSplit/>
        </w:trPr>
        <w:tc>
          <w:tcPr>
            <w:tcW w:w="1500" w:type="pct"/>
            <w:shd w:val="clear" w:color="auto" w:fill="auto"/>
          </w:tcPr>
          <w:p w14:paraId="1E9D9A7F" w14:textId="77777777" w:rsidR="00E93F58" w:rsidRPr="00576D60" w:rsidRDefault="00E93F58" w:rsidP="003D2B1E">
            <w:pPr>
              <w:pStyle w:val="ENoteTableText"/>
              <w:tabs>
                <w:tab w:val="left" w:leader="dot" w:pos="2268"/>
              </w:tabs>
            </w:pPr>
            <w:r w:rsidRPr="00576D60">
              <w:t>Schedule 8AA</w:t>
            </w:r>
            <w:r w:rsidRPr="00576D60">
              <w:tab/>
            </w:r>
          </w:p>
        </w:tc>
        <w:tc>
          <w:tcPr>
            <w:tcW w:w="3500" w:type="pct"/>
            <w:shd w:val="clear" w:color="auto" w:fill="auto"/>
          </w:tcPr>
          <w:p w14:paraId="1F3CBB40" w14:textId="77777777" w:rsidR="00E93F58" w:rsidRPr="00576D60" w:rsidRDefault="00E93F58" w:rsidP="003D2B1E">
            <w:pPr>
              <w:pStyle w:val="ENoteTableText"/>
            </w:pPr>
            <w:r w:rsidRPr="00576D60">
              <w:t>ad No 88, 2010</w:t>
            </w:r>
          </w:p>
        </w:tc>
      </w:tr>
      <w:tr w:rsidR="00E93F58" w:rsidRPr="00576D60" w14:paraId="7B3433E6" w14:textId="77777777" w:rsidTr="002F32E3">
        <w:trPr>
          <w:cantSplit/>
        </w:trPr>
        <w:tc>
          <w:tcPr>
            <w:tcW w:w="1500" w:type="pct"/>
            <w:shd w:val="clear" w:color="auto" w:fill="auto"/>
          </w:tcPr>
          <w:p w14:paraId="27D80E3F" w14:textId="77777777" w:rsidR="00E93F58" w:rsidRPr="00576D60" w:rsidRDefault="00E93F58" w:rsidP="003D2B1E">
            <w:pPr>
              <w:pStyle w:val="ENoteTableText"/>
            </w:pPr>
          </w:p>
        </w:tc>
        <w:tc>
          <w:tcPr>
            <w:tcW w:w="3500" w:type="pct"/>
            <w:shd w:val="clear" w:color="auto" w:fill="auto"/>
          </w:tcPr>
          <w:p w14:paraId="26A74CA6" w14:textId="77777777" w:rsidR="00E93F58" w:rsidRPr="00576D60" w:rsidRDefault="00E93F58" w:rsidP="003D2B1E">
            <w:pPr>
              <w:pStyle w:val="ENoteTableText"/>
            </w:pPr>
            <w:r w:rsidRPr="00576D60">
              <w:t>am No 43, 2012; F2016L01902; F2022L01627</w:t>
            </w:r>
          </w:p>
        </w:tc>
      </w:tr>
      <w:tr w:rsidR="00E93F58" w:rsidRPr="00576D60" w14:paraId="7AC68587" w14:textId="77777777" w:rsidTr="002F32E3">
        <w:trPr>
          <w:cantSplit/>
        </w:trPr>
        <w:tc>
          <w:tcPr>
            <w:tcW w:w="1500" w:type="pct"/>
            <w:shd w:val="clear" w:color="auto" w:fill="auto"/>
          </w:tcPr>
          <w:p w14:paraId="1CB7F638" w14:textId="77777777" w:rsidR="00E93F58" w:rsidRPr="00576D60" w:rsidRDefault="00E93F58" w:rsidP="003D2B1E">
            <w:pPr>
              <w:pStyle w:val="ENoteTableText"/>
              <w:keepNext/>
              <w:tabs>
                <w:tab w:val="left" w:leader="dot" w:pos="2268"/>
              </w:tabs>
              <w:rPr>
                <w:b/>
              </w:rPr>
            </w:pPr>
            <w:r w:rsidRPr="00576D60">
              <w:rPr>
                <w:b/>
              </w:rPr>
              <w:t>Schedule 8AB</w:t>
            </w:r>
          </w:p>
        </w:tc>
        <w:tc>
          <w:tcPr>
            <w:tcW w:w="3500" w:type="pct"/>
            <w:shd w:val="clear" w:color="auto" w:fill="auto"/>
          </w:tcPr>
          <w:p w14:paraId="586D78F7" w14:textId="77777777" w:rsidR="00E93F58" w:rsidRPr="00576D60" w:rsidRDefault="00E93F58" w:rsidP="003D2B1E">
            <w:pPr>
              <w:pStyle w:val="ENoteTableText"/>
            </w:pPr>
          </w:p>
        </w:tc>
      </w:tr>
      <w:tr w:rsidR="00E93F58" w:rsidRPr="00576D60" w14:paraId="45BF3283" w14:textId="77777777" w:rsidTr="002F32E3">
        <w:trPr>
          <w:cantSplit/>
        </w:trPr>
        <w:tc>
          <w:tcPr>
            <w:tcW w:w="1500" w:type="pct"/>
            <w:shd w:val="clear" w:color="auto" w:fill="auto"/>
          </w:tcPr>
          <w:p w14:paraId="2CFD782A" w14:textId="77777777" w:rsidR="00E93F58" w:rsidRPr="00576D60" w:rsidRDefault="00E93F58" w:rsidP="003D2B1E">
            <w:pPr>
              <w:pStyle w:val="ENoteTableText"/>
              <w:tabs>
                <w:tab w:val="left" w:leader="dot" w:pos="2268"/>
              </w:tabs>
            </w:pPr>
            <w:r w:rsidRPr="00576D60">
              <w:t>Schedule 8AB</w:t>
            </w:r>
            <w:r w:rsidRPr="00576D60">
              <w:tab/>
            </w:r>
          </w:p>
        </w:tc>
        <w:tc>
          <w:tcPr>
            <w:tcW w:w="3500" w:type="pct"/>
            <w:shd w:val="clear" w:color="auto" w:fill="auto"/>
          </w:tcPr>
          <w:p w14:paraId="12F7C14C" w14:textId="77777777" w:rsidR="00E93F58" w:rsidRPr="00576D60" w:rsidRDefault="00E93F58" w:rsidP="003D2B1E">
            <w:pPr>
              <w:pStyle w:val="ENoteTableText"/>
            </w:pPr>
            <w:r w:rsidRPr="00576D60">
              <w:t>ad No 88, 2010</w:t>
            </w:r>
          </w:p>
        </w:tc>
      </w:tr>
      <w:tr w:rsidR="00E93F58" w:rsidRPr="00576D60" w14:paraId="4479DBC6" w14:textId="77777777" w:rsidTr="002F32E3">
        <w:trPr>
          <w:cantSplit/>
        </w:trPr>
        <w:tc>
          <w:tcPr>
            <w:tcW w:w="1500" w:type="pct"/>
            <w:shd w:val="clear" w:color="auto" w:fill="auto"/>
          </w:tcPr>
          <w:p w14:paraId="5301A461" w14:textId="77777777" w:rsidR="00E93F58" w:rsidRPr="00576D60" w:rsidRDefault="00E93F58" w:rsidP="003D2B1E">
            <w:pPr>
              <w:pStyle w:val="ENoteTableText"/>
              <w:tabs>
                <w:tab w:val="left" w:leader="dot" w:pos="2268"/>
              </w:tabs>
              <w:rPr>
                <w:b/>
              </w:rPr>
            </w:pPr>
            <w:r w:rsidRPr="00576D60">
              <w:rPr>
                <w:b/>
              </w:rPr>
              <w:t>Schedule 8AC</w:t>
            </w:r>
          </w:p>
        </w:tc>
        <w:tc>
          <w:tcPr>
            <w:tcW w:w="3500" w:type="pct"/>
            <w:shd w:val="clear" w:color="auto" w:fill="auto"/>
          </w:tcPr>
          <w:p w14:paraId="010C0073" w14:textId="77777777" w:rsidR="00E93F58" w:rsidRPr="00576D60" w:rsidRDefault="00E93F58" w:rsidP="003D2B1E">
            <w:pPr>
              <w:pStyle w:val="ENoteTableText"/>
            </w:pPr>
          </w:p>
        </w:tc>
      </w:tr>
      <w:tr w:rsidR="00E93F58" w:rsidRPr="00576D60" w14:paraId="5643075D" w14:textId="77777777" w:rsidTr="002F32E3">
        <w:trPr>
          <w:cantSplit/>
        </w:trPr>
        <w:tc>
          <w:tcPr>
            <w:tcW w:w="1500" w:type="pct"/>
            <w:shd w:val="clear" w:color="auto" w:fill="auto"/>
          </w:tcPr>
          <w:p w14:paraId="11F103EA" w14:textId="77777777" w:rsidR="00E93F58" w:rsidRPr="00576D60" w:rsidRDefault="00E93F58" w:rsidP="003D2B1E">
            <w:pPr>
              <w:pStyle w:val="ENoteTableText"/>
              <w:tabs>
                <w:tab w:val="left" w:leader="dot" w:pos="2268"/>
              </w:tabs>
            </w:pPr>
            <w:r w:rsidRPr="00576D60">
              <w:t>Schedule 8AC</w:t>
            </w:r>
            <w:r w:rsidRPr="00576D60">
              <w:tab/>
            </w:r>
          </w:p>
        </w:tc>
        <w:tc>
          <w:tcPr>
            <w:tcW w:w="3500" w:type="pct"/>
            <w:shd w:val="clear" w:color="auto" w:fill="auto"/>
          </w:tcPr>
          <w:p w14:paraId="662FE3CC" w14:textId="77777777" w:rsidR="00E93F58" w:rsidRPr="00576D60" w:rsidRDefault="00E93F58" w:rsidP="003D2B1E">
            <w:pPr>
              <w:pStyle w:val="ENoteTableText"/>
            </w:pPr>
            <w:r w:rsidRPr="00576D60">
              <w:t>ad No 88, 2010</w:t>
            </w:r>
          </w:p>
        </w:tc>
      </w:tr>
      <w:tr w:rsidR="00E93F58" w:rsidRPr="00576D60" w14:paraId="7BF2C4E3" w14:textId="77777777" w:rsidTr="002F32E3">
        <w:trPr>
          <w:cantSplit/>
        </w:trPr>
        <w:tc>
          <w:tcPr>
            <w:tcW w:w="1500" w:type="pct"/>
            <w:shd w:val="clear" w:color="auto" w:fill="auto"/>
          </w:tcPr>
          <w:p w14:paraId="647E5718" w14:textId="77777777" w:rsidR="00E93F58" w:rsidRPr="00576D60" w:rsidRDefault="00E93F58" w:rsidP="003D2B1E">
            <w:pPr>
              <w:pStyle w:val="ENoteTableText"/>
              <w:keepNext/>
              <w:tabs>
                <w:tab w:val="left" w:leader="dot" w:pos="2268"/>
              </w:tabs>
              <w:rPr>
                <w:b/>
              </w:rPr>
            </w:pPr>
            <w:r w:rsidRPr="00576D60">
              <w:rPr>
                <w:b/>
              </w:rPr>
              <w:t>Schedule 8AD</w:t>
            </w:r>
          </w:p>
        </w:tc>
        <w:tc>
          <w:tcPr>
            <w:tcW w:w="3500" w:type="pct"/>
            <w:shd w:val="clear" w:color="auto" w:fill="auto"/>
          </w:tcPr>
          <w:p w14:paraId="5DE02B87" w14:textId="77777777" w:rsidR="00E93F58" w:rsidRPr="00576D60" w:rsidRDefault="00E93F58" w:rsidP="003D2B1E">
            <w:pPr>
              <w:pStyle w:val="ENoteTableText"/>
              <w:keepNext/>
              <w:keepLines/>
            </w:pPr>
          </w:p>
        </w:tc>
      </w:tr>
      <w:tr w:rsidR="00E93F58" w:rsidRPr="00576D60" w14:paraId="26674CEA" w14:textId="77777777" w:rsidTr="002F32E3">
        <w:trPr>
          <w:cantSplit/>
        </w:trPr>
        <w:tc>
          <w:tcPr>
            <w:tcW w:w="1500" w:type="pct"/>
            <w:shd w:val="clear" w:color="auto" w:fill="auto"/>
          </w:tcPr>
          <w:p w14:paraId="2B78396B" w14:textId="77777777" w:rsidR="00E93F58" w:rsidRPr="00576D60" w:rsidRDefault="00E93F58" w:rsidP="003D2B1E">
            <w:pPr>
              <w:pStyle w:val="ENoteTableText"/>
              <w:tabs>
                <w:tab w:val="left" w:leader="dot" w:pos="2268"/>
              </w:tabs>
            </w:pPr>
            <w:r w:rsidRPr="00576D60">
              <w:t>Schedule 8AD</w:t>
            </w:r>
            <w:r w:rsidRPr="00576D60">
              <w:tab/>
            </w:r>
          </w:p>
        </w:tc>
        <w:tc>
          <w:tcPr>
            <w:tcW w:w="3500" w:type="pct"/>
            <w:shd w:val="clear" w:color="auto" w:fill="auto"/>
          </w:tcPr>
          <w:p w14:paraId="3E3F8893" w14:textId="77777777" w:rsidR="00E93F58" w:rsidRPr="00576D60" w:rsidRDefault="00E93F58" w:rsidP="003D2B1E">
            <w:pPr>
              <w:pStyle w:val="ENoteTableText"/>
            </w:pPr>
            <w:r w:rsidRPr="00576D60">
              <w:t>ad No 88, 2010</w:t>
            </w:r>
          </w:p>
        </w:tc>
      </w:tr>
      <w:tr w:rsidR="00E93F58" w:rsidRPr="00576D60" w14:paraId="2F1F73BF" w14:textId="77777777" w:rsidTr="002F32E3">
        <w:trPr>
          <w:cantSplit/>
        </w:trPr>
        <w:tc>
          <w:tcPr>
            <w:tcW w:w="1500" w:type="pct"/>
            <w:shd w:val="clear" w:color="auto" w:fill="auto"/>
          </w:tcPr>
          <w:p w14:paraId="63FE7ADB" w14:textId="77777777" w:rsidR="00E93F58" w:rsidRPr="00576D60" w:rsidRDefault="00E93F58" w:rsidP="003D2B1E">
            <w:pPr>
              <w:pStyle w:val="ENoteTableText"/>
            </w:pPr>
          </w:p>
        </w:tc>
        <w:tc>
          <w:tcPr>
            <w:tcW w:w="3500" w:type="pct"/>
            <w:shd w:val="clear" w:color="auto" w:fill="auto"/>
          </w:tcPr>
          <w:p w14:paraId="34BC1932" w14:textId="77777777" w:rsidR="00E93F58" w:rsidRPr="00576D60" w:rsidRDefault="00E93F58" w:rsidP="003D2B1E">
            <w:pPr>
              <w:pStyle w:val="ENoteTableText"/>
            </w:pPr>
            <w:r w:rsidRPr="00576D60">
              <w:t>am No 43, 2012</w:t>
            </w:r>
          </w:p>
        </w:tc>
      </w:tr>
      <w:tr w:rsidR="00E93F58" w:rsidRPr="00576D60" w14:paraId="5B9A56DE" w14:textId="77777777" w:rsidTr="002F32E3">
        <w:trPr>
          <w:cantSplit/>
        </w:trPr>
        <w:tc>
          <w:tcPr>
            <w:tcW w:w="1500" w:type="pct"/>
            <w:shd w:val="clear" w:color="auto" w:fill="auto"/>
          </w:tcPr>
          <w:p w14:paraId="64A84565" w14:textId="77777777" w:rsidR="00E93F58" w:rsidRPr="00576D60" w:rsidRDefault="00E93F58" w:rsidP="003D2B1E">
            <w:pPr>
              <w:pStyle w:val="ENoteTableText"/>
              <w:tabs>
                <w:tab w:val="left" w:leader="dot" w:pos="2268"/>
              </w:tabs>
              <w:rPr>
                <w:b/>
              </w:rPr>
            </w:pPr>
            <w:r w:rsidRPr="00576D60">
              <w:rPr>
                <w:b/>
              </w:rPr>
              <w:t>Schedule 8AE</w:t>
            </w:r>
          </w:p>
        </w:tc>
        <w:tc>
          <w:tcPr>
            <w:tcW w:w="3500" w:type="pct"/>
            <w:shd w:val="clear" w:color="auto" w:fill="auto"/>
          </w:tcPr>
          <w:p w14:paraId="267B19D2" w14:textId="77777777" w:rsidR="00E93F58" w:rsidRPr="00576D60" w:rsidRDefault="00E93F58" w:rsidP="003D2B1E">
            <w:pPr>
              <w:pStyle w:val="ENoteTableText"/>
            </w:pPr>
          </w:p>
        </w:tc>
      </w:tr>
      <w:tr w:rsidR="00E93F58" w:rsidRPr="00576D60" w14:paraId="01460B40" w14:textId="77777777" w:rsidTr="002F32E3">
        <w:trPr>
          <w:cantSplit/>
        </w:trPr>
        <w:tc>
          <w:tcPr>
            <w:tcW w:w="1500" w:type="pct"/>
            <w:shd w:val="clear" w:color="auto" w:fill="auto"/>
          </w:tcPr>
          <w:p w14:paraId="4B036AB9" w14:textId="77777777" w:rsidR="00E93F58" w:rsidRPr="00576D60" w:rsidRDefault="00E93F58" w:rsidP="003D2B1E">
            <w:pPr>
              <w:pStyle w:val="ENoteTableText"/>
              <w:tabs>
                <w:tab w:val="left" w:leader="dot" w:pos="2268"/>
              </w:tabs>
            </w:pPr>
            <w:r w:rsidRPr="00576D60">
              <w:t>Schedule 8AE</w:t>
            </w:r>
            <w:r w:rsidRPr="00576D60">
              <w:tab/>
            </w:r>
          </w:p>
        </w:tc>
        <w:tc>
          <w:tcPr>
            <w:tcW w:w="3500" w:type="pct"/>
            <w:shd w:val="clear" w:color="auto" w:fill="auto"/>
          </w:tcPr>
          <w:p w14:paraId="5D222082" w14:textId="77777777" w:rsidR="00E93F58" w:rsidRPr="00576D60" w:rsidRDefault="00E93F58" w:rsidP="003D2B1E">
            <w:pPr>
              <w:pStyle w:val="ENoteTableText"/>
            </w:pPr>
            <w:r w:rsidRPr="00576D60">
              <w:t>ad No 88, 2010</w:t>
            </w:r>
          </w:p>
        </w:tc>
      </w:tr>
      <w:tr w:rsidR="00E93F58" w:rsidRPr="00576D60" w14:paraId="1D401491" w14:textId="77777777" w:rsidTr="002F32E3">
        <w:trPr>
          <w:cantSplit/>
        </w:trPr>
        <w:tc>
          <w:tcPr>
            <w:tcW w:w="1500" w:type="pct"/>
            <w:shd w:val="clear" w:color="auto" w:fill="auto"/>
          </w:tcPr>
          <w:p w14:paraId="772A3890" w14:textId="77777777" w:rsidR="00E93F58" w:rsidRPr="00576D60" w:rsidRDefault="00E93F58" w:rsidP="003D2B1E">
            <w:pPr>
              <w:pStyle w:val="ENoteTableText"/>
              <w:tabs>
                <w:tab w:val="left" w:leader="dot" w:pos="2268"/>
              </w:tabs>
            </w:pPr>
            <w:r w:rsidRPr="00576D60">
              <w:t>Schedule 8B</w:t>
            </w:r>
            <w:r w:rsidRPr="00576D60">
              <w:tab/>
            </w:r>
          </w:p>
        </w:tc>
        <w:tc>
          <w:tcPr>
            <w:tcW w:w="3500" w:type="pct"/>
            <w:shd w:val="clear" w:color="auto" w:fill="auto"/>
          </w:tcPr>
          <w:p w14:paraId="29C8F3DC" w14:textId="77777777" w:rsidR="00E93F58" w:rsidRPr="00576D60" w:rsidRDefault="00E93F58" w:rsidP="003D2B1E">
            <w:pPr>
              <w:pStyle w:val="ENoteTableText"/>
            </w:pPr>
            <w:r w:rsidRPr="00576D60">
              <w:t>ad No 15, 2002</w:t>
            </w:r>
          </w:p>
        </w:tc>
      </w:tr>
      <w:tr w:rsidR="00E93F58" w:rsidRPr="00576D60" w14:paraId="4FCD840E" w14:textId="77777777" w:rsidTr="002F32E3">
        <w:trPr>
          <w:cantSplit/>
        </w:trPr>
        <w:tc>
          <w:tcPr>
            <w:tcW w:w="1500" w:type="pct"/>
            <w:shd w:val="clear" w:color="auto" w:fill="auto"/>
          </w:tcPr>
          <w:p w14:paraId="3E61C9C1" w14:textId="77777777" w:rsidR="00E93F58" w:rsidRPr="00576D60" w:rsidRDefault="00E93F58" w:rsidP="003D2B1E">
            <w:pPr>
              <w:pStyle w:val="ENoteTableText"/>
              <w:tabs>
                <w:tab w:val="left" w:leader="dot" w:pos="2268"/>
              </w:tabs>
            </w:pPr>
          </w:p>
        </w:tc>
        <w:tc>
          <w:tcPr>
            <w:tcW w:w="3500" w:type="pct"/>
            <w:shd w:val="clear" w:color="auto" w:fill="auto"/>
          </w:tcPr>
          <w:p w14:paraId="4885CB1A" w14:textId="77777777" w:rsidR="00E93F58" w:rsidRPr="00576D60" w:rsidRDefault="00E93F58" w:rsidP="003D2B1E">
            <w:pPr>
              <w:pStyle w:val="ENoteTableText"/>
            </w:pPr>
            <w:r>
              <w:t>rep F2023L01458</w:t>
            </w:r>
          </w:p>
        </w:tc>
      </w:tr>
      <w:tr w:rsidR="00E93F58" w:rsidRPr="00576D60" w14:paraId="6FF8DAA3" w14:textId="77777777" w:rsidTr="002F32E3">
        <w:trPr>
          <w:cantSplit/>
        </w:trPr>
        <w:tc>
          <w:tcPr>
            <w:tcW w:w="1500" w:type="pct"/>
            <w:shd w:val="clear" w:color="auto" w:fill="auto"/>
          </w:tcPr>
          <w:p w14:paraId="1A4FDE3C" w14:textId="77777777" w:rsidR="00E93F58" w:rsidRPr="00576D60" w:rsidRDefault="00E93F58" w:rsidP="003D2B1E">
            <w:pPr>
              <w:pStyle w:val="ENoteTableText"/>
              <w:tabs>
                <w:tab w:val="left" w:leader="dot" w:pos="2268"/>
              </w:tabs>
              <w:rPr>
                <w:b/>
              </w:rPr>
            </w:pPr>
            <w:r w:rsidRPr="00576D60">
              <w:rPr>
                <w:b/>
              </w:rPr>
              <w:t>Schedule 8C</w:t>
            </w:r>
          </w:p>
        </w:tc>
        <w:tc>
          <w:tcPr>
            <w:tcW w:w="3500" w:type="pct"/>
            <w:shd w:val="clear" w:color="auto" w:fill="auto"/>
          </w:tcPr>
          <w:p w14:paraId="050D72C6" w14:textId="77777777" w:rsidR="00E93F58" w:rsidRPr="00576D60" w:rsidRDefault="00E93F58" w:rsidP="003D2B1E">
            <w:pPr>
              <w:pStyle w:val="ENoteTableText"/>
            </w:pPr>
          </w:p>
        </w:tc>
      </w:tr>
      <w:tr w:rsidR="00E93F58" w:rsidRPr="00576D60" w14:paraId="3AAA7945" w14:textId="77777777" w:rsidTr="002F32E3">
        <w:trPr>
          <w:cantSplit/>
        </w:trPr>
        <w:tc>
          <w:tcPr>
            <w:tcW w:w="1500" w:type="pct"/>
            <w:shd w:val="clear" w:color="auto" w:fill="auto"/>
          </w:tcPr>
          <w:p w14:paraId="38E88EB5" w14:textId="77777777" w:rsidR="00E93F58" w:rsidRPr="00576D60" w:rsidRDefault="00E93F58" w:rsidP="003D2B1E">
            <w:pPr>
              <w:pStyle w:val="ENoteTableText"/>
              <w:tabs>
                <w:tab w:val="left" w:leader="dot" w:pos="2268"/>
              </w:tabs>
            </w:pPr>
            <w:r w:rsidRPr="00576D60">
              <w:t>Schedule 8C</w:t>
            </w:r>
            <w:r w:rsidRPr="00576D60">
              <w:tab/>
            </w:r>
          </w:p>
        </w:tc>
        <w:tc>
          <w:tcPr>
            <w:tcW w:w="3500" w:type="pct"/>
            <w:shd w:val="clear" w:color="auto" w:fill="auto"/>
          </w:tcPr>
          <w:p w14:paraId="4CB79A62" w14:textId="77777777" w:rsidR="00E93F58" w:rsidRPr="00576D60" w:rsidRDefault="00E93F58" w:rsidP="003D2B1E">
            <w:pPr>
              <w:pStyle w:val="ENoteTableText"/>
            </w:pPr>
            <w:r w:rsidRPr="00576D60">
              <w:t>ad No 26, 2004</w:t>
            </w:r>
          </w:p>
        </w:tc>
      </w:tr>
      <w:tr w:rsidR="00E93F58" w:rsidRPr="00576D60" w14:paraId="566FD6ED" w14:textId="77777777" w:rsidTr="002F32E3">
        <w:trPr>
          <w:cantSplit/>
        </w:trPr>
        <w:tc>
          <w:tcPr>
            <w:tcW w:w="1500" w:type="pct"/>
            <w:shd w:val="clear" w:color="auto" w:fill="auto"/>
          </w:tcPr>
          <w:p w14:paraId="38FB1379" w14:textId="77777777" w:rsidR="00E93F58" w:rsidRPr="00576D60" w:rsidRDefault="00E93F58" w:rsidP="003D2B1E">
            <w:pPr>
              <w:pStyle w:val="ENoteTableText"/>
            </w:pPr>
          </w:p>
        </w:tc>
        <w:tc>
          <w:tcPr>
            <w:tcW w:w="3500" w:type="pct"/>
            <w:shd w:val="clear" w:color="auto" w:fill="auto"/>
          </w:tcPr>
          <w:p w14:paraId="1326E6C5" w14:textId="77777777" w:rsidR="00E93F58" w:rsidRPr="00576D60" w:rsidRDefault="00E93F58" w:rsidP="003D2B1E">
            <w:pPr>
              <w:pStyle w:val="ENoteTableText"/>
            </w:pPr>
            <w:r w:rsidRPr="00576D60">
              <w:t>am No 70, 2009</w:t>
            </w:r>
          </w:p>
        </w:tc>
      </w:tr>
      <w:tr w:rsidR="00E93F58" w:rsidRPr="00576D60" w14:paraId="272021CE" w14:textId="77777777" w:rsidTr="002F32E3">
        <w:trPr>
          <w:cantSplit/>
        </w:trPr>
        <w:tc>
          <w:tcPr>
            <w:tcW w:w="1500" w:type="pct"/>
            <w:shd w:val="clear" w:color="auto" w:fill="auto"/>
          </w:tcPr>
          <w:p w14:paraId="1B952741" w14:textId="77777777" w:rsidR="00E93F58" w:rsidRPr="00576D60" w:rsidRDefault="00E93F58" w:rsidP="003D2B1E">
            <w:pPr>
              <w:pStyle w:val="ENoteTableText"/>
            </w:pPr>
          </w:p>
        </w:tc>
        <w:tc>
          <w:tcPr>
            <w:tcW w:w="3500" w:type="pct"/>
            <w:shd w:val="clear" w:color="auto" w:fill="auto"/>
          </w:tcPr>
          <w:p w14:paraId="440FA455" w14:textId="77777777" w:rsidR="00E93F58" w:rsidRPr="00576D60" w:rsidRDefault="00E93F58" w:rsidP="003D2B1E">
            <w:pPr>
              <w:pStyle w:val="ENoteTableText"/>
            </w:pPr>
            <w:r w:rsidRPr="00576D60">
              <w:t>am No 190, 2013</w:t>
            </w:r>
            <w:r>
              <w:t>; F2023L01458</w:t>
            </w:r>
          </w:p>
        </w:tc>
      </w:tr>
      <w:tr w:rsidR="00E93F58" w:rsidRPr="00576D60" w14:paraId="085C8912" w14:textId="77777777" w:rsidTr="002F32E3">
        <w:trPr>
          <w:cantSplit/>
        </w:trPr>
        <w:tc>
          <w:tcPr>
            <w:tcW w:w="1500" w:type="pct"/>
            <w:shd w:val="clear" w:color="auto" w:fill="auto"/>
          </w:tcPr>
          <w:p w14:paraId="16BD95E9" w14:textId="77777777" w:rsidR="00E93F58" w:rsidRPr="00576D60" w:rsidRDefault="00E93F58" w:rsidP="003D2B1E">
            <w:pPr>
              <w:pStyle w:val="ENoteTableText"/>
            </w:pPr>
            <w:r w:rsidRPr="00576D60">
              <w:rPr>
                <w:b/>
              </w:rPr>
              <w:t>Schedule 8D</w:t>
            </w:r>
          </w:p>
        </w:tc>
        <w:tc>
          <w:tcPr>
            <w:tcW w:w="3500" w:type="pct"/>
            <w:shd w:val="clear" w:color="auto" w:fill="auto"/>
          </w:tcPr>
          <w:p w14:paraId="022CB65C" w14:textId="77777777" w:rsidR="00E93F58" w:rsidRPr="00576D60" w:rsidRDefault="00E93F58" w:rsidP="003D2B1E">
            <w:pPr>
              <w:pStyle w:val="ENoteTableText"/>
            </w:pPr>
          </w:p>
        </w:tc>
      </w:tr>
      <w:tr w:rsidR="00E93F58" w:rsidRPr="00576D60" w14:paraId="3F117E1F" w14:textId="77777777" w:rsidTr="002F32E3">
        <w:trPr>
          <w:cantSplit/>
        </w:trPr>
        <w:tc>
          <w:tcPr>
            <w:tcW w:w="1500" w:type="pct"/>
            <w:shd w:val="clear" w:color="auto" w:fill="auto"/>
          </w:tcPr>
          <w:p w14:paraId="61031A02" w14:textId="77777777" w:rsidR="00E93F58" w:rsidRPr="00576D60" w:rsidRDefault="00E93F58" w:rsidP="003D2B1E">
            <w:pPr>
              <w:pStyle w:val="ENoteTableText"/>
              <w:tabs>
                <w:tab w:val="left" w:leader="dot" w:pos="2268"/>
              </w:tabs>
            </w:pPr>
            <w:r w:rsidRPr="00576D60">
              <w:lastRenderedPageBreak/>
              <w:t>Schedule 8D</w:t>
            </w:r>
            <w:r w:rsidRPr="00576D60">
              <w:tab/>
            </w:r>
          </w:p>
        </w:tc>
        <w:tc>
          <w:tcPr>
            <w:tcW w:w="3500" w:type="pct"/>
            <w:shd w:val="clear" w:color="auto" w:fill="auto"/>
          </w:tcPr>
          <w:p w14:paraId="4F099E7A" w14:textId="77777777" w:rsidR="00E93F58" w:rsidRPr="00576D60" w:rsidRDefault="00E93F58" w:rsidP="003D2B1E">
            <w:pPr>
              <w:pStyle w:val="ENoteTableText"/>
            </w:pPr>
            <w:r w:rsidRPr="00576D60">
              <w:t>ad No 3, 2015</w:t>
            </w:r>
          </w:p>
        </w:tc>
      </w:tr>
      <w:tr w:rsidR="00E93F58" w:rsidRPr="00576D60" w14:paraId="2FBDF13B" w14:textId="77777777" w:rsidTr="002F32E3">
        <w:trPr>
          <w:cantSplit/>
        </w:trPr>
        <w:tc>
          <w:tcPr>
            <w:tcW w:w="1500" w:type="pct"/>
            <w:shd w:val="clear" w:color="auto" w:fill="auto"/>
          </w:tcPr>
          <w:p w14:paraId="1D202FE6" w14:textId="77777777" w:rsidR="00E93F58" w:rsidRPr="00576D60" w:rsidRDefault="00E93F58" w:rsidP="003D2B1E">
            <w:pPr>
              <w:pStyle w:val="ENoteTableText"/>
              <w:tabs>
                <w:tab w:val="left" w:leader="dot" w:pos="2268"/>
              </w:tabs>
            </w:pPr>
          </w:p>
        </w:tc>
        <w:tc>
          <w:tcPr>
            <w:tcW w:w="3500" w:type="pct"/>
            <w:shd w:val="clear" w:color="auto" w:fill="auto"/>
          </w:tcPr>
          <w:p w14:paraId="76DA4CB7" w14:textId="77777777" w:rsidR="00E93F58" w:rsidRPr="00576D60" w:rsidRDefault="00E93F58" w:rsidP="003D2B1E">
            <w:pPr>
              <w:pStyle w:val="ENoteTableText"/>
            </w:pPr>
            <w:r w:rsidRPr="00576D60">
              <w:t>rep F2017L00117</w:t>
            </w:r>
          </w:p>
        </w:tc>
      </w:tr>
      <w:tr w:rsidR="00E93F58" w:rsidRPr="00576D60" w14:paraId="6C27E355" w14:textId="77777777" w:rsidTr="002F32E3">
        <w:trPr>
          <w:cantSplit/>
        </w:trPr>
        <w:tc>
          <w:tcPr>
            <w:tcW w:w="1500" w:type="pct"/>
            <w:shd w:val="clear" w:color="auto" w:fill="auto"/>
          </w:tcPr>
          <w:p w14:paraId="24DC3BE0" w14:textId="77777777" w:rsidR="00E93F58" w:rsidRPr="00576D60" w:rsidRDefault="00E93F58" w:rsidP="003D2B1E">
            <w:pPr>
              <w:pStyle w:val="ENoteTableText"/>
              <w:tabs>
                <w:tab w:val="left" w:leader="dot" w:pos="2268"/>
              </w:tabs>
            </w:pPr>
          </w:p>
        </w:tc>
        <w:tc>
          <w:tcPr>
            <w:tcW w:w="3500" w:type="pct"/>
            <w:shd w:val="clear" w:color="auto" w:fill="auto"/>
          </w:tcPr>
          <w:p w14:paraId="2FF1D93E" w14:textId="77777777" w:rsidR="00E93F58" w:rsidRPr="00576D60" w:rsidRDefault="00E93F58" w:rsidP="003D2B1E">
            <w:pPr>
              <w:pStyle w:val="ENoteTableText"/>
            </w:pPr>
            <w:r w:rsidRPr="00576D60">
              <w:t>ad F2021L01531</w:t>
            </w:r>
          </w:p>
        </w:tc>
      </w:tr>
      <w:tr w:rsidR="00E93F58" w:rsidRPr="00576D60" w14:paraId="47C8A6CE" w14:textId="77777777" w:rsidTr="002F32E3">
        <w:trPr>
          <w:cantSplit/>
        </w:trPr>
        <w:tc>
          <w:tcPr>
            <w:tcW w:w="1500" w:type="pct"/>
            <w:shd w:val="clear" w:color="auto" w:fill="auto"/>
          </w:tcPr>
          <w:p w14:paraId="51491C7A" w14:textId="77777777" w:rsidR="00E93F58" w:rsidRPr="00576D60" w:rsidRDefault="00E93F58" w:rsidP="003D2B1E">
            <w:pPr>
              <w:pStyle w:val="ENoteTableText"/>
              <w:tabs>
                <w:tab w:val="left" w:leader="dot" w:pos="2268"/>
              </w:tabs>
            </w:pPr>
          </w:p>
        </w:tc>
        <w:tc>
          <w:tcPr>
            <w:tcW w:w="3500" w:type="pct"/>
            <w:shd w:val="clear" w:color="auto" w:fill="auto"/>
          </w:tcPr>
          <w:p w14:paraId="7CD66409" w14:textId="77777777" w:rsidR="00E93F58" w:rsidRPr="00576D60" w:rsidRDefault="00E93F58" w:rsidP="003D2B1E">
            <w:pPr>
              <w:pStyle w:val="ENoteTableText"/>
            </w:pPr>
            <w:r>
              <w:t>am F2023L01458</w:t>
            </w:r>
          </w:p>
        </w:tc>
      </w:tr>
      <w:tr w:rsidR="00E93F58" w:rsidRPr="00576D60" w14:paraId="625F18D9" w14:textId="77777777" w:rsidTr="002F32E3">
        <w:trPr>
          <w:cantSplit/>
        </w:trPr>
        <w:tc>
          <w:tcPr>
            <w:tcW w:w="1500" w:type="pct"/>
            <w:shd w:val="clear" w:color="auto" w:fill="auto"/>
          </w:tcPr>
          <w:p w14:paraId="77B3F849" w14:textId="77777777" w:rsidR="00E93F58" w:rsidRPr="00576D60" w:rsidRDefault="00E93F58" w:rsidP="003D2B1E">
            <w:pPr>
              <w:pStyle w:val="ENoteTableText"/>
              <w:tabs>
                <w:tab w:val="left" w:leader="dot" w:pos="2268"/>
              </w:tabs>
              <w:rPr>
                <w:b/>
              </w:rPr>
            </w:pPr>
            <w:r w:rsidRPr="00576D60">
              <w:rPr>
                <w:b/>
              </w:rPr>
              <w:t>Schedule 9</w:t>
            </w:r>
          </w:p>
        </w:tc>
        <w:tc>
          <w:tcPr>
            <w:tcW w:w="3500" w:type="pct"/>
            <w:shd w:val="clear" w:color="auto" w:fill="auto"/>
          </w:tcPr>
          <w:p w14:paraId="4E490559" w14:textId="77777777" w:rsidR="00E93F58" w:rsidRPr="00576D60" w:rsidRDefault="00E93F58" w:rsidP="003D2B1E">
            <w:pPr>
              <w:pStyle w:val="ENoteTableText"/>
            </w:pPr>
          </w:p>
        </w:tc>
      </w:tr>
      <w:tr w:rsidR="00E93F58" w:rsidRPr="00576D60" w14:paraId="1469A19D" w14:textId="77777777" w:rsidTr="002F32E3">
        <w:trPr>
          <w:cantSplit/>
        </w:trPr>
        <w:tc>
          <w:tcPr>
            <w:tcW w:w="1500" w:type="pct"/>
            <w:shd w:val="clear" w:color="auto" w:fill="auto"/>
          </w:tcPr>
          <w:p w14:paraId="75491DC9" w14:textId="77777777" w:rsidR="00E93F58" w:rsidRPr="00576D60" w:rsidRDefault="00E93F58" w:rsidP="003D2B1E">
            <w:pPr>
              <w:pStyle w:val="ENoteTableText"/>
              <w:tabs>
                <w:tab w:val="left" w:leader="dot" w:pos="2268"/>
              </w:tabs>
            </w:pPr>
            <w:r w:rsidRPr="00576D60">
              <w:t>Schedule 9 heading</w:t>
            </w:r>
            <w:r w:rsidRPr="00576D60">
              <w:tab/>
            </w:r>
          </w:p>
        </w:tc>
        <w:tc>
          <w:tcPr>
            <w:tcW w:w="3500" w:type="pct"/>
            <w:shd w:val="clear" w:color="auto" w:fill="auto"/>
          </w:tcPr>
          <w:p w14:paraId="1108A9E0" w14:textId="77777777" w:rsidR="00E93F58" w:rsidRPr="00576D60" w:rsidRDefault="00E93F58" w:rsidP="003D2B1E">
            <w:pPr>
              <w:pStyle w:val="ENoteTableText"/>
            </w:pPr>
            <w:r w:rsidRPr="00576D60">
              <w:t>am No 319, 2001</w:t>
            </w:r>
          </w:p>
        </w:tc>
      </w:tr>
      <w:tr w:rsidR="00E93F58" w:rsidRPr="00576D60" w14:paraId="14D3668E" w14:textId="77777777" w:rsidTr="002F32E3">
        <w:trPr>
          <w:cantSplit/>
        </w:trPr>
        <w:tc>
          <w:tcPr>
            <w:tcW w:w="1500" w:type="pct"/>
            <w:shd w:val="clear" w:color="auto" w:fill="auto"/>
          </w:tcPr>
          <w:p w14:paraId="3369B018" w14:textId="77777777" w:rsidR="00E93F58" w:rsidRPr="00576D60" w:rsidRDefault="00E93F58" w:rsidP="003D2B1E">
            <w:pPr>
              <w:pStyle w:val="ENoteTableText"/>
            </w:pPr>
          </w:p>
        </w:tc>
        <w:tc>
          <w:tcPr>
            <w:tcW w:w="3500" w:type="pct"/>
            <w:shd w:val="clear" w:color="auto" w:fill="auto"/>
          </w:tcPr>
          <w:p w14:paraId="78955B10" w14:textId="77777777" w:rsidR="00E93F58" w:rsidRPr="00576D60" w:rsidRDefault="00E93F58" w:rsidP="003D2B1E">
            <w:pPr>
              <w:pStyle w:val="ENoteTableText"/>
            </w:pPr>
            <w:r w:rsidRPr="00576D60">
              <w:t>rs 2012 No 43</w:t>
            </w:r>
          </w:p>
        </w:tc>
      </w:tr>
      <w:tr w:rsidR="00E93F58" w:rsidRPr="00576D60" w14:paraId="740A0153" w14:textId="77777777" w:rsidTr="002F32E3">
        <w:trPr>
          <w:cantSplit/>
        </w:trPr>
        <w:tc>
          <w:tcPr>
            <w:tcW w:w="1500" w:type="pct"/>
            <w:shd w:val="clear" w:color="auto" w:fill="auto"/>
          </w:tcPr>
          <w:p w14:paraId="0D12253D" w14:textId="77777777" w:rsidR="00E93F58" w:rsidRPr="00576D60" w:rsidRDefault="00E93F58" w:rsidP="003D2B1E">
            <w:pPr>
              <w:pStyle w:val="ENoteTableText"/>
              <w:tabs>
                <w:tab w:val="left" w:leader="dot" w:pos="2268"/>
              </w:tabs>
            </w:pPr>
            <w:r w:rsidRPr="00576D60">
              <w:t>Schedule 9</w:t>
            </w:r>
            <w:r w:rsidRPr="00576D60">
              <w:tab/>
            </w:r>
          </w:p>
        </w:tc>
        <w:tc>
          <w:tcPr>
            <w:tcW w:w="3500" w:type="pct"/>
            <w:shd w:val="clear" w:color="auto" w:fill="auto"/>
          </w:tcPr>
          <w:p w14:paraId="0C2B4BDC" w14:textId="77777777" w:rsidR="00E93F58" w:rsidRPr="00576D60" w:rsidRDefault="00E93F58" w:rsidP="003D2B1E">
            <w:pPr>
              <w:pStyle w:val="ENoteTableText"/>
            </w:pPr>
            <w:r w:rsidRPr="00576D60">
              <w:t>am No 319, 2001; No 26, 2004; No 325, 2007</w:t>
            </w:r>
          </w:p>
        </w:tc>
      </w:tr>
      <w:tr w:rsidR="00E93F58" w:rsidRPr="00576D60" w14:paraId="44C85DA4" w14:textId="77777777" w:rsidTr="002F32E3">
        <w:trPr>
          <w:cantSplit/>
        </w:trPr>
        <w:tc>
          <w:tcPr>
            <w:tcW w:w="1500" w:type="pct"/>
            <w:shd w:val="clear" w:color="auto" w:fill="auto"/>
          </w:tcPr>
          <w:p w14:paraId="3EE1B527" w14:textId="77777777" w:rsidR="00E93F58" w:rsidRPr="00576D60" w:rsidRDefault="00E93F58" w:rsidP="003D2B1E">
            <w:pPr>
              <w:pStyle w:val="ENoteTableText"/>
            </w:pPr>
          </w:p>
        </w:tc>
        <w:tc>
          <w:tcPr>
            <w:tcW w:w="3500" w:type="pct"/>
            <w:shd w:val="clear" w:color="auto" w:fill="auto"/>
          </w:tcPr>
          <w:p w14:paraId="73EF7780" w14:textId="77777777" w:rsidR="00E93F58" w:rsidRPr="00576D60" w:rsidRDefault="00E93F58" w:rsidP="003D2B1E">
            <w:pPr>
              <w:pStyle w:val="ENoteTableText"/>
            </w:pPr>
            <w:r w:rsidRPr="00576D60">
              <w:t>rs No 43, 2012</w:t>
            </w:r>
          </w:p>
        </w:tc>
      </w:tr>
      <w:tr w:rsidR="00E93F58" w:rsidRPr="00576D60" w14:paraId="19964F41" w14:textId="77777777" w:rsidTr="002F32E3">
        <w:trPr>
          <w:cantSplit/>
        </w:trPr>
        <w:tc>
          <w:tcPr>
            <w:tcW w:w="1500" w:type="pct"/>
            <w:shd w:val="clear" w:color="auto" w:fill="auto"/>
          </w:tcPr>
          <w:p w14:paraId="55BD2508" w14:textId="77777777" w:rsidR="00E93F58" w:rsidRPr="00576D60" w:rsidRDefault="00E93F58" w:rsidP="00E71EB0">
            <w:pPr>
              <w:pStyle w:val="ENoteTableText"/>
              <w:keepNext/>
              <w:tabs>
                <w:tab w:val="left" w:leader="dot" w:pos="2268"/>
              </w:tabs>
              <w:rPr>
                <w:b/>
              </w:rPr>
            </w:pPr>
            <w:r>
              <w:rPr>
                <w:b/>
              </w:rPr>
              <w:t>Schedule 1</w:t>
            </w:r>
            <w:r w:rsidRPr="00576D60">
              <w:rPr>
                <w:b/>
              </w:rPr>
              <w:t>0</w:t>
            </w:r>
          </w:p>
        </w:tc>
        <w:tc>
          <w:tcPr>
            <w:tcW w:w="3500" w:type="pct"/>
            <w:shd w:val="clear" w:color="auto" w:fill="auto"/>
          </w:tcPr>
          <w:p w14:paraId="5442968C" w14:textId="77777777" w:rsidR="00E93F58" w:rsidRPr="00576D60" w:rsidRDefault="00E93F58" w:rsidP="003D2B1E">
            <w:pPr>
              <w:pStyle w:val="ENoteTableText"/>
              <w:keepNext/>
            </w:pPr>
          </w:p>
        </w:tc>
      </w:tr>
      <w:tr w:rsidR="00E93F58" w:rsidRPr="00576D60" w14:paraId="3C8B47C5" w14:textId="77777777" w:rsidTr="002F32E3">
        <w:trPr>
          <w:cantSplit/>
        </w:trPr>
        <w:tc>
          <w:tcPr>
            <w:tcW w:w="1500" w:type="pct"/>
            <w:shd w:val="clear" w:color="auto" w:fill="auto"/>
          </w:tcPr>
          <w:p w14:paraId="366B34A6" w14:textId="77777777" w:rsidR="00E93F58" w:rsidRPr="00576D60" w:rsidRDefault="00E93F58" w:rsidP="003D2B1E">
            <w:pPr>
              <w:pStyle w:val="ENoteTableText"/>
              <w:tabs>
                <w:tab w:val="left" w:leader="dot" w:pos="2268"/>
              </w:tabs>
            </w:pPr>
            <w:r>
              <w:t>Schedule 1</w:t>
            </w:r>
            <w:r w:rsidRPr="00576D60">
              <w:t>0</w:t>
            </w:r>
            <w:r w:rsidRPr="00576D60">
              <w:tab/>
            </w:r>
          </w:p>
        </w:tc>
        <w:tc>
          <w:tcPr>
            <w:tcW w:w="3500" w:type="pct"/>
            <w:shd w:val="clear" w:color="auto" w:fill="auto"/>
          </w:tcPr>
          <w:p w14:paraId="49CF9B72" w14:textId="77777777" w:rsidR="00E93F58" w:rsidRPr="00576D60" w:rsidRDefault="00E93F58" w:rsidP="003D2B1E">
            <w:pPr>
              <w:pStyle w:val="ENoteTableText"/>
              <w:keepNext/>
            </w:pPr>
            <w:r w:rsidRPr="00576D60">
              <w:t>ad No 319, 2001</w:t>
            </w:r>
          </w:p>
        </w:tc>
      </w:tr>
      <w:tr w:rsidR="00E93F58" w:rsidRPr="00576D60" w14:paraId="4BF7049F" w14:textId="77777777" w:rsidTr="002F32E3">
        <w:trPr>
          <w:cantSplit/>
        </w:trPr>
        <w:tc>
          <w:tcPr>
            <w:tcW w:w="1500" w:type="pct"/>
            <w:shd w:val="clear" w:color="auto" w:fill="auto"/>
          </w:tcPr>
          <w:p w14:paraId="464D24DC" w14:textId="77777777" w:rsidR="00E93F58" w:rsidRPr="00576D60" w:rsidRDefault="00E93F58" w:rsidP="003D2B1E">
            <w:pPr>
              <w:pStyle w:val="ENoteTableText"/>
            </w:pPr>
          </w:p>
        </w:tc>
        <w:tc>
          <w:tcPr>
            <w:tcW w:w="3500" w:type="pct"/>
            <w:shd w:val="clear" w:color="auto" w:fill="auto"/>
          </w:tcPr>
          <w:p w14:paraId="188BF307" w14:textId="77777777" w:rsidR="00E93F58" w:rsidRPr="00576D60" w:rsidRDefault="00E93F58" w:rsidP="003D2B1E">
            <w:pPr>
              <w:pStyle w:val="ENoteTableText"/>
            </w:pPr>
            <w:r w:rsidRPr="00576D60">
              <w:t>am No 16, 2002</w:t>
            </w:r>
          </w:p>
        </w:tc>
      </w:tr>
      <w:tr w:rsidR="00E93F58" w:rsidRPr="00576D60" w14:paraId="6B114035" w14:textId="77777777" w:rsidTr="002F32E3">
        <w:trPr>
          <w:cantSplit/>
        </w:trPr>
        <w:tc>
          <w:tcPr>
            <w:tcW w:w="1500" w:type="pct"/>
            <w:shd w:val="clear" w:color="auto" w:fill="auto"/>
          </w:tcPr>
          <w:p w14:paraId="5E7920A0" w14:textId="77777777" w:rsidR="00E93F58" w:rsidRPr="00576D60" w:rsidRDefault="00E93F58" w:rsidP="003D2B1E">
            <w:pPr>
              <w:pStyle w:val="ENoteTableText"/>
            </w:pPr>
          </w:p>
        </w:tc>
        <w:tc>
          <w:tcPr>
            <w:tcW w:w="3500" w:type="pct"/>
            <w:shd w:val="clear" w:color="auto" w:fill="auto"/>
          </w:tcPr>
          <w:p w14:paraId="67E5844C" w14:textId="77777777" w:rsidR="00E93F58" w:rsidRPr="00576D60" w:rsidRDefault="00E93F58" w:rsidP="003D2B1E">
            <w:pPr>
              <w:pStyle w:val="ENoteTableText"/>
            </w:pPr>
            <w:r w:rsidRPr="00576D60">
              <w:t>rs No 31, 2005</w:t>
            </w:r>
          </w:p>
        </w:tc>
      </w:tr>
      <w:tr w:rsidR="00E93F58" w:rsidRPr="00576D60" w14:paraId="0BAAA2AA" w14:textId="77777777" w:rsidTr="002F32E3">
        <w:trPr>
          <w:cantSplit/>
        </w:trPr>
        <w:tc>
          <w:tcPr>
            <w:tcW w:w="1500" w:type="pct"/>
            <w:shd w:val="clear" w:color="auto" w:fill="auto"/>
          </w:tcPr>
          <w:p w14:paraId="0FD920FA" w14:textId="77777777" w:rsidR="00E93F58" w:rsidRPr="00576D60" w:rsidRDefault="00E93F58" w:rsidP="003D2B1E">
            <w:pPr>
              <w:pStyle w:val="ENoteTableText"/>
            </w:pPr>
          </w:p>
        </w:tc>
        <w:tc>
          <w:tcPr>
            <w:tcW w:w="3500" w:type="pct"/>
            <w:shd w:val="clear" w:color="auto" w:fill="auto"/>
          </w:tcPr>
          <w:p w14:paraId="17D2C3B5" w14:textId="77777777" w:rsidR="00E93F58" w:rsidRPr="00576D60" w:rsidRDefault="00E93F58" w:rsidP="003D2B1E">
            <w:pPr>
              <w:pStyle w:val="ENoteTableText"/>
            </w:pPr>
            <w:r w:rsidRPr="00576D60">
              <w:t>am No 155, 2013; F2018L01144; F2019L00539; F2022L00469; F2022L01689</w:t>
            </w:r>
          </w:p>
        </w:tc>
      </w:tr>
      <w:tr w:rsidR="00E93F58" w:rsidRPr="00576D60" w14:paraId="2B060246" w14:textId="77777777" w:rsidTr="002F32E3">
        <w:trPr>
          <w:cantSplit/>
        </w:trPr>
        <w:tc>
          <w:tcPr>
            <w:tcW w:w="1500" w:type="pct"/>
            <w:shd w:val="clear" w:color="auto" w:fill="auto"/>
          </w:tcPr>
          <w:p w14:paraId="2C2F182B" w14:textId="77777777" w:rsidR="00E93F58" w:rsidRPr="00576D60" w:rsidRDefault="00E93F58" w:rsidP="00D56B04">
            <w:pPr>
              <w:pStyle w:val="ENoteTableText"/>
              <w:keepNext/>
              <w:tabs>
                <w:tab w:val="left" w:leader="dot" w:pos="2268"/>
              </w:tabs>
              <w:rPr>
                <w:b/>
              </w:rPr>
            </w:pPr>
            <w:r>
              <w:rPr>
                <w:b/>
              </w:rPr>
              <w:t>Schedule 1</w:t>
            </w:r>
            <w:r w:rsidRPr="00576D60">
              <w:rPr>
                <w:b/>
              </w:rPr>
              <w:t>0A</w:t>
            </w:r>
          </w:p>
        </w:tc>
        <w:tc>
          <w:tcPr>
            <w:tcW w:w="3500" w:type="pct"/>
            <w:shd w:val="clear" w:color="auto" w:fill="auto"/>
          </w:tcPr>
          <w:p w14:paraId="25BEFD3E" w14:textId="77777777" w:rsidR="00E93F58" w:rsidRPr="00576D60" w:rsidRDefault="00E93F58" w:rsidP="00D56B04">
            <w:pPr>
              <w:pStyle w:val="ENoteTableText"/>
              <w:keepNext/>
              <w:keepLines/>
            </w:pPr>
          </w:p>
        </w:tc>
      </w:tr>
      <w:tr w:rsidR="00E93F58" w:rsidRPr="00576D60" w14:paraId="5F44C868" w14:textId="77777777" w:rsidTr="002F32E3">
        <w:trPr>
          <w:cantSplit/>
        </w:trPr>
        <w:tc>
          <w:tcPr>
            <w:tcW w:w="1500" w:type="pct"/>
            <w:shd w:val="clear" w:color="auto" w:fill="auto"/>
          </w:tcPr>
          <w:p w14:paraId="20920D99" w14:textId="77777777" w:rsidR="00E93F58" w:rsidRPr="00576D60" w:rsidRDefault="00E93F58" w:rsidP="003D2B1E">
            <w:pPr>
              <w:pStyle w:val="ENoteTableText"/>
              <w:tabs>
                <w:tab w:val="left" w:leader="dot" w:pos="2268"/>
              </w:tabs>
            </w:pPr>
            <w:r>
              <w:t>Schedule 1</w:t>
            </w:r>
            <w:r w:rsidRPr="00576D60">
              <w:t>0A heading</w:t>
            </w:r>
            <w:r w:rsidRPr="00576D60">
              <w:tab/>
            </w:r>
          </w:p>
        </w:tc>
        <w:tc>
          <w:tcPr>
            <w:tcW w:w="3500" w:type="pct"/>
            <w:shd w:val="clear" w:color="auto" w:fill="auto"/>
          </w:tcPr>
          <w:p w14:paraId="1E207C14" w14:textId="77777777" w:rsidR="00E93F58" w:rsidRPr="00576D60" w:rsidRDefault="00E93F58" w:rsidP="003D2B1E">
            <w:pPr>
              <w:pStyle w:val="ENoteTableText"/>
            </w:pPr>
            <w:r w:rsidRPr="00576D60">
              <w:t>am No 16, 2002</w:t>
            </w:r>
          </w:p>
        </w:tc>
      </w:tr>
      <w:tr w:rsidR="00E93F58" w:rsidRPr="00576D60" w14:paraId="2F97CF9E" w14:textId="77777777" w:rsidTr="002F32E3">
        <w:trPr>
          <w:cantSplit/>
        </w:trPr>
        <w:tc>
          <w:tcPr>
            <w:tcW w:w="1500" w:type="pct"/>
            <w:shd w:val="clear" w:color="auto" w:fill="auto"/>
          </w:tcPr>
          <w:p w14:paraId="6CC92003" w14:textId="77777777" w:rsidR="00E93F58" w:rsidRPr="00576D60" w:rsidRDefault="00E93F58" w:rsidP="003D2B1E">
            <w:pPr>
              <w:pStyle w:val="ENoteTableText"/>
            </w:pPr>
          </w:p>
        </w:tc>
        <w:tc>
          <w:tcPr>
            <w:tcW w:w="3500" w:type="pct"/>
            <w:shd w:val="clear" w:color="auto" w:fill="auto"/>
          </w:tcPr>
          <w:p w14:paraId="7ADDF1F2" w14:textId="77777777" w:rsidR="00E93F58" w:rsidRPr="00576D60" w:rsidRDefault="00E93F58" w:rsidP="003D2B1E">
            <w:pPr>
              <w:pStyle w:val="ENoteTableText"/>
            </w:pPr>
            <w:r w:rsidRPr="00576D60">
              <w:t>rs No 94, 2008; No 135, 2010; No 42, 2012</w:t>
            </w:r>
          </w:p>
        </w:tc>
      </w:tr>
      <w:tr w:rsidR="00E93F58" w:rsidRPr="00576D60" w14:paraId="4F8DE72C" w14:textId="77777777" w:rsidTr="002F32E3">
        <w:trPr>
          <w:cantSplit/>
        </w:trPr>
        <w:tc>
          <w:tcPr>
            <w:tcW w:w="1500" w:type="pct"/>
            <w:shd w:val="clear" w:color="auto" w:fill="auto"/>
          </w:tcPr>
          <w:p w14:paraId="6E04C03B" w14:textId="77777777" w:rsidR="00E93F58" w:rsidRPr="00576D60" w:rsidRDefault="00E93F58" w:rsidP="003D2B1E">
            <w:pPr>
              <w:pStyle w:val="ENoteTableText"/>
              <w:tabs>
                <w:tab w:val="left" w:leader="dot" w:pos="2268"/>
              </w:tabs>
            </w:pPr>
            <w:r>
              <w:t>Schedule 1</w:t>
            </w:r>
            <w:r w:rsidRPr="00576D60">
              <w:t>0A</w:t>
            </w:r>
            <w:r w:rsidRPr="00576D60">
              <w:tab/>
            </w:r>
          </w:p>
        </w:tc>
        <w:tc>
          <w:tcPr>
            <w:tcW w:w="3500" w:type="pct"/>
            <w:shd w:val="clear" w:color="auto" w:fill="auto"/>
          </w:tcPr>
          <w:p w14:paraId="474F7D7C" w14:textId="77777777" w:rsidR="00E93F58" w:rsidRPr="00576D60" w:rsidRDefault="00E93F58" w:rsidP="003D2B1E">
            <w:pPr>
              <w:pStyle w:val="ENoteTableText"/>
            </w:pPr>
            <w:r w:rsidRPr="00576D60">
              <w:t>ad No 319, 2001</w:t>
            </w:r>
          </w:p>
        </w:tc>
      </w:tr>
      <w:tr w:rsidR="00E93F58" w:rsidRPr="00576D60" w14:paraId="6984B465" w14:textId="77777777" w:rsidTr="002F32E3">
        <w:trPr>
          <w:cantSplit/>
        </w:trPr>
        <w:tc>
          <w:tcPr>
            <w:tcW w:w="1500" w:type="pct"/>
            <w:shd w:val="clear" w:color="auto" w:fill="auto"/>
          </w:tcPr>
          <w:p w14:paraId="11EA56C2" w14:textId="77777777" w:rsidR="00E93F58" w:rsidRPr="00576D60" w:rsidRDefault="00E93F58" w:rsidP="003D2B1E">
            <w:pPr>
              <w:pStyle w:val="ENoteTableText"/>
            </w:pPr>
          </w:p>
        </w:tc>
        <w:tc>
          <w:tcPr>
            <w:tcW w:w="3500" w:type="pct"/>
            <w:shd w:val="clear" w:color="auto" w:fill="auto"/>
          </w:tcPr>
          <w:p w14:paraId="660F06CC" w14:textId="77777777" w:rsidR="00E93F58" w:rsidRPr="00576D60" w:rsidRDefault="00E93F58" w:rsidP="003D2B1E">
            <w:pPr>
              <w:pStyle w:val="ENoteTableText"/>
            </w:pPr>
            <w:r w:rsidRPr="00576D60">
              <w:t>am No 16, 2002; No 41, 2002; No 31, 2003; No 369, 2003; No 31, 2005; No 94, 2008; No 158, 2008; No 135, 2010; No 301, 2010; No 42, 2012; No 155, 2013; No 175, 2014; No 91, 2015; F2016L00710; F2022L00469</w:t>
            </w:r>
            <w:r>
              <w:t>; F2023L01458</w:t>
            </w:r>
          </w:p>
        </w:tc>
      </w:tr>
      <w:tr w:rsidR="00E93F58" w:rsidRPr="00576D60" w14:paraId="518DACEC" w14:textId="77777777" w:rsidTr="002F32E3">
        <w:trPr>
          <w:cantSplit/>
        </w:trPr>
        <w:tc>
          <w:tcPr>
            <w:tcW w:w="1500" w:type="pct"/>
            <w:shd w:val="clear" w:color="auto" w:fill="auto"/>
          </w:tcPr>
          <w:p w14:paraId="2309834D" w14:textId="77777777" w:rsidR="00E93F58" w:rsidRPr="00576D60" w:rsidRDefault="00E93F58" w:rsidP="003D2B1E">
            <w:pPr>
              <w:pStyle w:val="ENoteTableText"/>
              <w:keepNext/>
              <w:tabs>
                <w:tab w:val="left" w:leader="dot" w:pos="2268"/>
              </w:tabs>
              <w:rPr>
                <w:b/>
              </w:rPr>
            </w:pPr>
            <w:r>
              <w:rPr>
                <w:b/>
              </w:rPr>
              <w:t>Schedule 1</w:t>
            </w:r>
            <w:r w:rsidRPr="00576D60">
              <w:rPr>
                <w:b/>
              </w:rPr>
              <w:t>0AA</w:t>
            </w:r>
          </w:p>
        </w:tc>
        <w:tc>
          <w:tcPr>
            <w:tcW w:w="3500" w:type="pct"/>
            <w:shd w:val="clear" w:color="auto" w:fill="auto"/>
          </w:tcPr>
          <w:p w14:paraId="3EFED712" w14:textId="77777777" w:rsidR="00E93F58" w:rsidRPr="00576D60" w:rsidRDefault="00E93F58" w:rsidP="003D2B1E">
            <w:pPr>
              <w:pStyle w:val="ENoteTableText"/>
              <w:keepNext/>
              <w:keepLines/>
            </w:pPr>
          </w:p>
        </w:tc>
      </w:tr>
      <w:tr w:rsidR="00E93F58" w:rsidRPr="00576D60" w14:paraId="0DB77781" w14:textId="77777777" w:rsidTr="002F32E3">
        <w:trPr>
          <w:cantSplit/>
        </w:trPr>
        <w:tc>
          <w:tcPr>
            <w:tcW w:w="1500" w:type="pct"/>
            <w:shd w:val="clear" w:color="auto" w:fill="auto"/>
          </w:tcPr>
          <w:p w14:paraId="432FBC57" w14:textId="77777777" w:rsidR="00E93F58" w:rsidRPr="00576D60" w:rsidRDefault="00E93F58" w:rsidP="003D2B1E">
            <w:pPr>
              <w:pStyle w:val="ENoteTableText"/>
              <w:tabs>
                <w:tab w:val="left" w:leader="dot" w:pos="2268"/>
              </w:tabs>
            </w:pPr>
            <w:r>
              <w:t>Schedule 1</w:t>
            </w:r>
            <w:r w:rsidRPr="00576D60">
              <w:t>0AA</w:t>
            </w:r>
            <w:r w:rsidRPr="00576D60">
              <w:tab/>
            </w:r>
          </w:p>
        </w:tc>
        <w:tc>
          <w:tcPr>
            <w:tcW w:w="3500" w:type="pct"/>
            <w:shd w:val="clear" w:color="auto" w:fill="auto"/>
          </w:tcPr>
          <w:p w14:paraId="195930F2" w14:textId="77777777" w:rsidR="00E93F58" w:rsidRPr="00576D60" w:rsidRDefault="00E93F58" w:rsidP="003D2B1E">
            <w:pPr>
              <w:pStyle w:val="ENoteTableText"/>
            </w:pPr>
            <w:r w:rsidRPr="00576D60">
              <w:t>ad No 94, 2008</w:t>
            </w:r>
          </w:p>
        </w:tc>
      </w:tr>
      <w:tr w:rsidR="00E93F58" w:rsidRPr="00576D60" w14:paraId="100BBC27" w14:textId="77777777" w:rsidTr="002F32E3">
        <w:trPr>
          <w:cantSplit/>
        </w:trPr>
        <w:tc>
          <w:tcPr>
            <w:tcW w:w="1500" w:type="pct"/>
            <w:shd w:val="clear" w:color="auto" w:fill="auto"/>
          </w:tcPr>
          <w:p w14:paraId="52703D32" w14:textId="77777777" w:rsidR="00E93F58" w:rsidRPr="00576D60" w:rsidRDefault="00E93F58" w:rsidP="003D2B1E">
            <w:pPr>
              <w:pStyle w:val="ENoteTableText"/>
            </w:pPr>
          </w:p>
        </w:tc>
        <w:tc>
          <w:tcPr>
            <w:tcW w:w="3500" w:type="pct"/>
            <w:shd w:val="clear" w:color="auto" w:fill="auto"/>
          </w:tcPr>
          <w:p w14:paraId="36E87CE2" w14:textId="77777777" w:rsidR="00E93F58" w:rsidRPr="00576D60" w:rsidRDefault="00E93F58" w:rsidP="003D2B1E">
            <w:pPr>
              <w:pStyle w:val="ENoteTableText"/>
            </w:pPr>
            <w:r w:rsidRPr="00576D60">
              <w:t>am No 301, 2010; No 175, 2014</w:t>
            </w:r>
          </w:p>
        </w:tc>
      </w:tr>
      <w:tr w:rsidR="00E93F58" w:rsidRPr="00576D60" w14:paraId="4C1EC238" w14:textId="77777777" w:rsidTr="002F32E3">
        <w:trPr>
          <w:cantSplit/>
        </w:trPr>
        <w:tc>
          <w:tcPr>
            <w:tcW w:w="1500" w:type="pct"/>
            <w:shd w:val="clear" w:color="auto" w:fill="auto"/>
          </w:tcPr>
          <w:p w14:paraId="2D3DD3AD" w14:textId="77777777" w:rsidR="00E93F58" w:rsidRPr="00576D60" w:rsidRDefault="00E93F58" w:rsidP="003D2B1E">
            <w:pPr>
              <w:pStyle w:val="ENoteTableText"/>
              <w:tabs>
                <w:tab w:val="left" w:leader="dot" w:pos="2268"/>
              </w:tabs>
            </w:pPr>
            <w:r>
              <w:t>Schedule 1</w:t>
            </w:r>
            <w:r w:rsidRPr="00576D60">
              <w:t>0B heading</w:t>
            </w:r>
            <w:r w:rsidRPr="00576D60">
              <w:tab/>
            </w:r>
          </w:p>
        </w:tc>
        <w:tc>
          <w:tcPr>
            <w:tcW w:w="3500" w:type="pct"/>
            <w:shd w:val="clear" w:color="auto" w:fill="auto"/>
          </w:tcPr>
          <w:p w14:paraId="37EE4D78" w14:textId="77777777" w:rsidR="00E93F58" w:rsidRPr="00576D60" w:rsidRDefault="00E93F58" w:rsidP="003D2B1E">
            <w:pPr>
              <w:pStyle w:val="ENoteTableText"/>
            </w:pPr>
            <w:r w:rsidRPr="00576D60">
              <w:t>am No 16, 2002</w:t>
            </w:r>
          </w:p>
        </w:tc>
      </w:tr>
      <w:tr w:rsidR="00E93F58" w:rsidRPr="00576D60" w14:paraId="23F3EAB8" w14:textId="77777777" w:rsidTr="002F32E3">
        <w:trPr>
          <w:cantSplit/>
        </w:trPr>
        <w:tc>
          <w:tcPr>
            <w:tcW w:w="1500" w:type="pct"/>
            <w:shd w:val="clear" w:color="auto" w:fill="auto"/>
          </w:tcPr>
          <w:p w14:paraId="530DBF13" w14:textId="77777777" w:rsidR="00E93F58" w:rsidRPr="00576D60" w:rsidRDefault="00E93F58" w:rsidP="003D2B1E">
            <w:pPr>
              <w:pStyle w:val="ENoteTableText"/>
            </w:pPr>
          </w:p>
        </w:tc>
        <w:tc>
          <w:tcPr>
            <w:tcW w:w="3500" w:type="pct"/>
            <w:shd w:val="clear" w:color="auto" w:fill="auto"/>
          </w:tcPr>
          <w:p w14:paraId="516828D9" w14:textId="77777777" w:rsidR="00E93F58" w:rsidRPr="00576D60" w:rsidRDefault="00E93F58" w:rsidP="003D2B1E">
            <w:pPr>
              <w:pStyle w:val="ENoteTableText"/>
            </w:pPr>
            <w:r w:rsidRPr="00576D60">
              <w:t>rep No 31, 2005</w:t>
            </w:r>
          </w:p>
        </w:tc>
      </w:tr>
      <w:tr w:rsidR="00E93F58" w:rsidRPr="00576D60" w14:paraId="780407E8" w14:textId="77777777" w:rsidTr="002F32E3">
        <w:trPr>
          <w:cantSplit/>
        </w:trPr>
        <w:tc>
          <w:tcPr>
            <w:tcW w:w="1500" w:type="pct"/>
            <w:shd w:val="clear" w:color="auto" w:fill="auto"/>
          </w:tcPr>
          <w:p w14:paraId="5F805F2C" w14:textId="77777777" w:rsidR="00E93F58" w:rsidRPr="00576D60" w:rsidRDefault="00E93F58" w:rsidP="003D2B1E">
            <w:pPr>
              <w:pStyle w:val="ENoteTableText"/>
            </w:pPr>
          </w:p>
        </w:tc>
        <w:tc>
          <w:tcPr>
            <w:tcW w:w="3500" w:type="pct"/>
            <w:shd w:val="clear" w:color="auto" w:fill="auto"/>
          </w:tcPr>
          <w:p w14:paraId="5ACFFC04" w14:textId="77777777" w:rsidR="00E93F58" w:rsidRPr="00576D60" w:rsidRDefault="00E93F58" w:rsidP="003D2B1E">
            <w:pPr>
              <w:pStyle w:val="ENoteTableText"/>
            </w:pPr>
            <w:r w:rsidRPr="00576D60">
              <w:t>ad No 158, 2008</w:t>
            </w:r>
          </w:p>
        </w:tc>
      </w:tr>
      <w:tr w:rsidR="00E93F58" w:rsidRPr="00576D60" w14:paraId="37CFB741" w14:textId="77777777" w:rsidTr="002F32E3">
        <w:trPr>
          <w:cantSplit/>
        </w:trPr>
        <w:tc>
          <w:tcPr>
            <w:tcW w:w="1500" w:type="pct"/>
            <w:shd w:val="clear" w:color="auto" w:fill="auto"/>
          </w:tcPr>
          <w:p w14:paraId="4DB0430C" w14:textId="77777777" w:rsidR="00E93F58" w:rsidRPr="00576D60" w:rsidRDefault="00E93F58" w:rsidP="003D2B1E">
            <w:pPr>
              <w:pStyle w:val="ENoteTableText"/>
            </w:pPr>
          </w:p>
        </w:tc>
        <w:tc>
          <w:tcPr>
            <w:tcW w:w="3500" w:type="pct"/>
            <w:shd w:val="clear" w:color="auto" w:fill="auto"/>
          </w:tcPr>
          <w:p w14:paraId="7E08EF42" w14:textId="77777777" w:rsidR="00E93F58" w:rsidRPr="00576D60" w:rsidRDefault="00E93F58" w:rsidP="003D2B1E">
            <w:pPr>
              <w:pStyle w:val="ENoteTableText"/>
            </w:pPr>
            <w:r w:rsidRPr="00576D60">
              <w:t>rep No 91, 2015</w:t>
            </w:r>
          </w:p>
        </w:tc>
      </w:tr>
      <w:tr w:rsidR="00E93F58" w:rsidRPr="00576D60" w14:paraId="5A8E0FB3" w14:textId="77777777" w:rsidTr="002F32E3">
        <w:trPr>
          <w:cantSplit/>
        </w:trPr>
        <w:tc>
          <w:tcPr>
            <w:tcW w:w="1500" w:type="pct"/>
            <w:shd w:val="clear" w:color="auto" w:fill="auto"/>
          </w:tcPr>
          <w:p w14:paraId="36B61141" w14:textId="77777777" w:rsidR="00E93F58" w:rsidRPr="00576D60" w:rsidRDefault="00E93F58" w:rsidP="003D2B1E">
            <w:pPr>
              <w:pStyle w:val="ENoteTableText"/>
              <w:tabs>
                <w:tab w:val="left" w:leader="dot" w:pos="2268"/>
              </w:tabs>
            </w:pPr>
            <w:r>
              <w:t>Schedule 1</w:t>
            </w:r>
            <w:r w:rsidRPr="00576D60">
              <w:t>0B</w:t>
            </w:r>
            <w:r w:rsidRPr="00576D60">
              <w:tab/>
            </w:r>
          </w:p>
        </w:tc>
        <w:tc>
          <w:tcPr>
            <w:tcW w:w="3500" w:type="pct"/>
            <w:shd w:val="clear" w:color="auto" w:fill="auto"/>
          </w:tcPr>
          <w:p w14:paraId="01C0BFE3" w14:textId="77777777" w:rsidR="00E93F58" w:rsidRPr="00576D60" w:rsidRDefault="00E93F58" w:rsidP="003D2B1E">
            <w:pPr>
              <w:pStyle w:val="ENoteTableText"/>
            </w:pPr>
            <w:r w:rsidRPr="00576D60">
              <w:t>ad No 319, 2001</w:t>
            </w:r>
          </w:p>
        </w:tc>
      </w:tr>
      <w:tr w:rsidR="00E93F58" w:rsidRPr="00576D60" w14:paraId="355E8431" w14:textId="77777777" w:rsidTr="002F32E3">
        <w:trPr>
          <w:cantSplit/>
        </w:trPr>
        <w:tc>
          <w:tcPr>
            <w:tcW w:w="1500" w:type="pct"/>
            <w:shd w:val="clear" w:color="auto" w:fill="auto"/>
          </w:tcPr>
          <w:p w14:paraId="16FD34A0" w14:textId="77777777" w:rsidR="00E93F58" w:rsidRPr="00576D60" w:rsidRDefault="00E93F58" w:rsidP="003D2B1E">
            <w:pPr>
              <w:pStyle w:val="ENoteTableText"/>
            </w:pPr>
          </w:p>
        </w:tc>
        <w:tc>
          <w:tcPr>
            <w:tcW w:w="3500" w:type="pct"/>
            <w:shd w:val="clear" w:color="auto" w:fill="auto"/>
          </w:tcPr>
          <w:p w14:paraId="0AD8AC81" w14:textId="77777777" w:rsidR="00E93F58" w:rsidRPr="00576D60" w:rsidRDefault="00E93F58" w:rsidP="003D2B1E">
            <w:pPr>
              <w:pStyle w:val="ENoteTableText"/>
            </w:pPr>
            <w:r w:rsidRPr="00576D60">
              <w:t>am No 16, 2002; No 41, 2002; No 26, 2004</w:t>
            </w:r>
          </w:p>
        </w:tc>
      </w:tr>
      <w:tr w:rsidR="00E93F58" w:rsidRPr="00576D60" w14:paraId="598628E5" w14:textId="77777777" w:rsidTr="002F32E3">
        <w:trPr>
          <w:cantSplit/>
        </w:trPr>
        <w:tc>
          <w:tcPr>
            <w:tcW w:w="1500" w:type="pct"/>
            <w:shd w:val="clear" w:color="auto" w:fill="auto"/>
          </w:tcPr>
          <w:p w14:paraId="06020F8A" w14:textId="77777777" w:rsidR="00E93F58" w:rsidRPr="00576D60" w:rsidRDefault="00E93F58" w:rsidP="003D2B1E">
            <w:pPr>
              <w:pStyle w:val="ENoteTableText"/>
            </w:pPr>
          </w:p>
        </w:tc>
        <w:tc>
          <w:tcPr>
            <w:tcW w:w="3500" w:type="pct"/>
            <w:shd w:val="clear" w:color="auto" w:fill="auto"/>
          </w:tcPr>
          <w:p w14:paraId="181ADC67" w14:textId="77777777" w:rsidR="00E93F58" w:rsidRPr="00576D60" w:rsidRDefault="00E93F58" w:rsidP="003D2B1E">
            <w:pPr>
              <w:pStyle w:val="ENoteTableText"/>
            </w:pPr>
            <w:r w:rsidRPr="00576D60">
              <w:t>rep No 31, 2005</w:t>
            </w:r>
          </w:p>
        </w:tc>
      </w:tr>
      <w:tr w:rsidR="00E93F58" w:rsidRPr="00576D60" w14:paraId="4C9E246F" w14:textId="77777777" w:rsidTr="002F32E3">
        <w:trPr>
          <w:cantSplit/>
        </w:trPr>
        <w:tc>
          <w:tcPr>
            <w:tcW w:w="1500" w:type="pct"/>
            <w:shd w:val="clear" w:color="auto" w:fill="auto"/>
          </w:tcPr>
          <w:p w14:paraId="0ADBABFE" w14:textId="77777777" w:rsidR="00E93F58" w:rsidRPr="00576D60" w:rsidRDefault="00E93F58" w:rsidP="003D2B1E">
            <w:pPr>
              <w:pStyle w:val="ENoteTableText"/>
            </w:pPr>
          </w:p>
        </w:tc>
        <w:tc>
          <w:tcPr>
            <w:tcW w:w="3500" w:type="pct"/>
            <w:shd w:val="clear" w:color="auto" w:fill="auto"/>
          </w:tcPr>
          <w:p w14:paraId="2861D7BD" w14:textId="77777777" w:rsidR="00E93F58" w:rsidRPr="00576D60" w:rsidRDefault="00E93F58" w:rsidP="003D2B1E">
            <w:pPr>
              <w:pStyle w:val="ENoteTableText"/>
            </w:pPr>
            <w:r w:rsidRPr="00576D60">
              <w:t>ad No 158, 2008</w:t>
            </w:r>
          </w:p>
        </w:tc>
      </w:tr>
      <w:tr w:rsidR="00E93F58" w:rsidRPr="00576D60" w14:paraId="641E0234" w14:textId="77777777" w:rsidTr="002F32E3">
        <w:trPr>
          <w:cantSplit/>
        </w:trPr>
        <w:tc>
          <w:tcPr>
            <w:tcW w:w="1500" w:type="pct"/>
            <w:shd w:val="clear" w:color="auto" w:fill="auto"/>
          </w:tcPr>
          <w:p w14:paraId="69E887B2" w14:textId="77777777" w:rsidR="00E93F58" w:rsidRPr="00576D60" w:rsidRDefault="00E93F58" w:rsidP="003D2B1E">
            <w:pPr>
              <w:pStyle w:val="ENoteTableText"/>
            </w:pPr>
          </w:p>
        </w:tc>
        <w:tc>
          <w:tcPr>
            <w:tcW w:w="3500" w:type="pct"/>
            <w:shd w:val="clear" w:color="auto" w:fill="auto"/>
          </w:tcPr>
          <w:p w14:paraId="18AA9B8C" w14:textId="77777777" w:rsidR="00E93F58" w:rsidRPr="00576D60" w:rsidRDefault="00E93F58" w:rsidP="003D2B1E">
            <w:pPr>
              <w:pStyle w:val="ENoteTableText"/>
            </w:pPr>
            <w:r w:rsidRPr="00576D60">
              <w:t>am No 194, 2008; No 55, 2010; No 66, 2011</w:t>
            </w:r>
          </w:p>
        </w:tc>
      </w:tr>
      <w:tr w:rsidR="00E93F58" w:rsidRPr="00576D60" w14:paraId="64F0BB9C" w14:textId="77777777" w:rsidTr="002F32E3">
        <w:trPr>
          <w:cantSplit/>
        </w:trPr>
        <w:tc>
          <w:tcPr>
            <w:tcW w:w="1500" w:type="pct"/>
            <w:shd w:val="clear" w:color="auto" w:fill="auto"/>
          </w:tcPr>
          <w:p w14:paraId="6E477581" w14:textId="77777777" w:rsidR="00E93F58" w:rsidRPr="00576D60" w:rsidRDefault="00E93F58" w:rsidP="003D2B1E">
            <w:pPr>
              <w:pStyle w:val="ENoteTableText"/>
            </w:pPr>
          </w:p>
        </w:tc>
        <w:tc>
          <w:tcPr>
            <w:tcW w:w="3500" w:type="pct"/>
            <w:shd w:val="clear" w:color="auto" w:fill="auto"/>
          </w:tcPr>
          <w:p w14:paraId="4673D64A" w14:textId="77777777" w:rsidR="00E93F58" w:rsidRPr="00576D60" w:rsidRDefault="00E93F58" w:rsidP="003D2B1E">
            <w:pPr>
              <w:pStyle w:val="ENoteTableText"/>
            </w:pPr>
            <w:r w:rsidRPr="00576D60">
              <w:t>rep No 91, 2015</w:t>
            </w:r>
          </w:p>
        </w:tc>
      </w:tr>
      <w:tr w:rsidR="00E93F58" w:rsidRPr="00576D60" w14:paraId="3D221018" w14:textId="77777777" w:rsidTr="002F32E3">
        <w:trPr>
          <w:cantSplit/>
        </w:trPr>
        <w:tc>
          <w:tcPr>
            <w:tcW w:w="1500" w:type="pct"/>
            <w:shd w:val="clear" w:color="auto" w:fill="auto"/>
          </w:tcPr>
          <w:p w14:paraId="025A2AA4" w14:textId="77777777" w:rsidR="00E93F58" w:rsidRPr="00576D60" w:rsidRDefault="00E93F58" w:rsidP="003D2B1E">
            <w:pPr>
              <w:pStyle w:val="ENoteTableText"/>
              <w:rPr>
                <w:b/>
              </w:rPr>
            </w:pPr>
            <w:r>
              <w:rPr>
                <w:b/>
              </w:rPr>
              <w:t>Schedule 1</w:t>
            </w:r>
            <w:r w:rsidRPr="00576D60">
              <w:rPr>
                <w:b/>
              </w:rPr>
              <w:t>0BA</w:t>
            </w:r>
          </w:p>
        </w:tc>
        <w:tc>
          <w:tcPr>
            <w:tcW w:w="3500" w:type="pct"/>
            <w:shd w:val="clear" w:color="auto" w:fill="auto"/>
          </w:tcPr>
          <w:p w14:paraId="58227652" w14:textId="77777777" w:rsidR="00E93F58" w:rsidRPr="00576D60" w:rsidRDefault="00E93F58" w:rsidP="003D2B1E">
            <w:pPr>
              <w:pStyle w:val="ENoteTableText"/>
            </w:pPr>
          </w:p>
        </w:tc>
      </w:tr>
      <w:tr w:rsidR="00E93F58" w:rsidRPr="00576D60" w14:paraId="37C97F50" w14:textId="77777777" w:rsidTr="002F32E3">
        <w:trPr>
          <w:cantSplit/>
        </w:trPr>
        <w:tc>
          <w:tcPr>
            <w:tcW w:w="1500" w:type="pct"/>
            <w:shd w:val="clear" w:color="auto" w:fill="auto"/>
          </w:tcPr>
          <w:p w14:paraId="5ED02D34" w14:textId="77777777" w:rsidR="00E93F58" w:rsidRPr="00576D60" w:rsidRDefault="00E93F58" w:rsidP="003D2B1E">
            <w:pPr>
              <w:pStyle w:val="ENoteTableText"/>
              <w:tabs>
                <w:tab w:val="left" w:leader="dot" w:pos="2268"/>
              </w:tabs>
            </w:pPr>
            <w:r>
              <w:t>Schedule 1</w:t>
            </w:r>
            <w:r w:rsidRPr="00576D60">
              <w:t>0BA</w:t>
            </w:r>
            <w:r w:rsidRPr="00576D60">
              <w:tab/>
            </w:r>
          </w:p>
        </w:tc>
        <w:tc>
          <w:tcPr>
            <w:tcW w:w="3500" w:type="pct"/>
            <w:shd w:val="clear" w:color="auto" w:fill="auto"/>
          </w:tcPr>
          <w:p w14:paraId="7362FE7A" w14:textId="77777777" w:rsidR="00E93F58" w:rsidRPr="00576D60" w:rsidRDefault="00E93F58" w:rsidP="003D2B1E">
            <w:pPr>
              <w:pStyle w:val="ENoteTableText"/>
              <w:tabs>
                <w:tab w:val="left" w:leader="dot" w:pos="2268"/>
              </w:tabs>
            </w:pPr>
            <w:r w:rsidRPr="00576D60">
              <w:t>ad No 324, 2005 (md)</w:t>
            </w:r>
          </w:p>
        </w:tc>
      </w:tr>
      <w:tr w:rsidR="00E93F58" w:rsidRPr="00576D60" w14:paraId="07641B0F" w14:textId="77777777" w:rsidTr="002F32E3">
        <w:trPr>
          <w:cantSplit/>
        </w:trPr>
        <w:tc>
          <w:tcPr>
            <w:tcW w:w="1500" w:type="pct"/>
            <w:shd w:val="clear" w:color="auto" w:fill="auto"/>
          </w:tcPr>
          <w:p w14:paraId="4825F69B" w14:textId="77777777" w:rsidR="00E93F58" w:rsidRPr="00576D60" w:rsidRDefault="00E93F58" w:rsidP="003D2B1E">
            <w:pPr>
              <w:pStyle w:val="ENoteTableText"/>
              <w:tabs>
                <w:tab w:val="left" w:leader="dot" w:pos="2268"/>
              </w:tabs>
            </w:pPr>
          </w:p>
        </w:tc>
        <w:tc>
          <w:tcPr>
            <w:tcW w:w="3500" w:type="pct"/>
            <w:shd w:val="clear" w:color="auto" w:fill="auto"/>
          </w:tcPr>
          <w:p w14:paraId="73726A47" w14:textId="77777777" w:rsidR="00E93F58" w:rsidRPr="00576D60" w:rsidRDefault="00E93F58" w:rsidP="003D2B1E">
            <w:pPr>
              <w:pStyle w:val="ENoteTableText"/>
              <w:tabs>
                <w:tab w:val="left" w:leader="dot" w:pos="2268"/>
              </w:tabs>
            </w:pPr>
            <w:r w:rsidRPr="00576D60">
              <w:t>am F2018L01144; F2022L00469</w:t>
            </w:r>
            <w:r>
              <w:t>; F2023L01458</w:t>
            </w:r>
          </w:p>
        </w:tc>
      </w:tr>
      <w:tr w:rsidR="00E93F58" w:rsidRPr="00576D60" w14:paraId="0ABEDDDF" w14:textId="77777777" w:rsidTr="002F32E3">
        <w:trPr>
          <w:cantSplit/>
        </w:trPr>
        <w:tc>
          <w:tcPr>
            <w:tcW w:w="1500" w:type="pct"/>
            <w:shd w:val="clear" w:color="auto" w:fill="auto"/>
          </w:tcPr>
          <w:p w14:paraId="266ECC44" w14:textId="77777777" w:rsidR="00E93F58" w:rsidRPr="00576D60" w:rsidRDefault="00E93F58" w:rsidP="003D2B1E">
            <w:pPr>
              <w:pStyle w:val="ENoteTableText"/>
              <w:keepNext/>
              <w:tabs>
                <w:tab w:val="left" w:leader="dot" w:pos="2268"/>
              </w:tabs>
              <w:rPr>
                <w:b/>
              </w:rPr>
            </w:pPr>
            <w:r>
              <w:rPr>
                <w:b/>
              </w:rPr>
              <w:t>Schedule 1</w:t>
            </w:r>
            <w:r w:rsidRPr="00576D60">
              <w:rPr>
                <w:b/>
              </w:rPr>
              <w:t>0C</w:t>
            </w:r>
          </w:p>
        </w:tc>
        <w:tc>
          <w:tcPr>
            <w:tcW w:w="3500" w:type="pct"/>
            <w:shd w:val="clear" w:color="auto" w:fill="auto"/>
          </w:tcPr>
          <w:p w14:paraId="039F20ED" w14:textId="77777777" w:rsidR="00E93F58" w:rsidRPr="00576D60" w:rsidRDefault="00E93F58" w:rsidP="003D2B1E">
            <w:pPr>
              <w:pStyle w:val="ENoteTableText"/>
              <w:keepNext/>
              <w:keepLines/>
            </w:pPr>
          </w:p>
        </w:tc>
      </w:tr>
      <w:tr w:rsidR="00E93F58" w:rsidRPr="00576D60" w14:paraId="4B859A81" w14:textId="77777777" w:rsidTr="002F32E3">
        <w:trPr>
          <w:cantSplit/>
        </w:trPr>
        <w:tc>
          <w:tcPr>
            <w:tcW w:w="1500" w:type="pct"/>
            <w:shd w:val="clear" w:color="auto" w:fill="auto"/>
          </w:tcPr>
          <w:p w14:paraId="57526936" w14:textId="77777777" w:rsidR="00E93F58" w:rsidRPr="00576D60" w:rsidRDefault="00E93F58" w:rsidP="003D2B1E">
            <w:pPr>
              <w:pStyle w:val="ENoteTableText"/>
              <w:keepNext/>
              <w:tabs>
                <w:tab w:val="left" w:leader="dot" w:pos="2268"/>
              </w:tabs>
            </w:pPr>
            <w:r>
              <w:t>Schedule 10C heading</w:t>
            </w:r>
            <w:r>
              <w:tab/>
            </w:r>
          </w:p>
        </w:tc>
        <w:tc>
          <w:tcPr>
            <w:tcW w:w="3500" w:type="pct"/>
            <w:shd w:val="clear" w:color="auto" w:fill="auto"/>
          </w:tcPr>
          <w:p w14:paraId="0F9B151C" w14:textId="77777777" w:rsidR="00E93F58" w:rsidRPr="00576D60" w:rsidRDefault="00E93F58" w:rsidP="003D2B1E">
            <w:pPr>
              <w:pStyle w:val="ENoteTableText"/>
              <w:keepNext/>
            </w:pPr>
            <w:r>
              <w:t>am F2023L01458</w:t>
            </w:r>
          </w:p>
        </w:tc>
      </w:tr>
      <w:tr w:rsidR="00E93F58" w:rsidRPr="00576D60" w14:paraId="4DCB9293" w14:textId="77777777" w:rsidTr="002F32E3">
        <w:trPr>
          <w:cantSplit/>
        </w:trPr>
        <w:tc>
          <w:tcPr>
            <w:tcW w:w="1500" w:type="pct"/>
            <w:shd w:val="clear" w:color="auto" w:fill="auto"/>
          </w:tcPr>
          <w:p w14:paraId="5F851DB4" w14:textId="77777777" w:rsidR="00E93F58" w:rsidRPr="00576D60" w:rsidRDefault="00E93F58" w:rsidP="003D2B1E">
            <w:pPr>
              <w:pStyle w:val="ENoteTableText"/>
              <w:keepNext/>
              <w:tabs>
                <w:tab w:val="left" w:leader="dot" w:pos="2268"/>
              </w:tabs>
            </w:pPr>
            <w:r>
              <w:t>Schedule 1</w:t>
            </w:r>
            <w:r w:rsidRPr="00576D60">
              <w:t>0C</w:t>
            </w:r>
            <w:r w:rsidRPr="00576D60">
              <w:tab/>
            </w:r>
          </w:p>
        </w:tc>
        <w:tc>
          <w:tcPr>
            <w:tcW w:w="3500" w:type="pct"/>
            <w:shd w:val="clear" w:color="auto" w:fill="auto"/>
          </w:tcPr>
          <w:p w14:paraId="10D1703D" w14:textId="77777777" w:rsidR="00E93F58" w:rsidRPr="00576D60" w:rsidRDefault="00E93F58" w:rsidP="003D2B1E">
            <w:pPr>
              <w:pStyle w:val="ENoteTableText"/>
              <w:keepNext/>
            </w:pPr>
            <w:r w:rsidRPr="00576D60">
              <w:t>ad No 319, 2001</w:t>
            </w:r>
          </w:p>
        </w:tc>
      </w:tr>
      <w:tr w:rsidR="00E93F58" w:rsidRPr="00576D60" w14:paraId="2DFCF764" w14:textId="77777777" w:rsidTr="002F32E3">
        <w:trPr>
          <w:cantSplit/>
        </w:trPr>
        <w:tc>
          <w:tcPr>
            <w:tcW w:w="1500" w:type="pct"/>
            <w:shd w:val="clear" w:color="auto" w:fill="auto"/>
          </w:tcPr>
          <w:p w14:paraId="15C2F702" w14:textId="77777777" w:rsidR="00E93F58" w:rsidRPr="00576D60" w:rsidRDefault="00E93F58" w:rsidP="003D2B1E">
            <w:pPr>
              <w:pStyle w:val="ENoteTableText"/>
            </w:pPr>
          </w:p>
        </w:tc>
        <w:tc>
          <w:tcPr>
            <w:tcW w:w="3500" w:type="pct"/>
            <w:shd w:val="clear" w:color="auto" w:fill="auto"/>
          </w:tcPr>
          <w:p w14:paraId="738AC6E3" w14:textId="77777777" w:rsidR="00E93F58" w:rsidRPr="00576D60" w:rsidRDefault="00E93F58" w:rsidP="003D2B1E">
            <w:pPr>
              <w:pStyle w:val="ENoteTableText"/>
            </w:pPr>
            <w:r w:rsidRPr="00576D60">
              <w:t>am No 16, 2002; No 41, 2002</w:t>
            </w:r>
          </w:p>
        </w:tc>
      </w:tr>
      <w:tr w:rsidR="00E93F58" w:rsidRPr="00576D60" w14:paraId="0CF92180" w14:textId="77777777" w:rsidTr="002F32E3">
        <w:trPr>
          <w:cantSplit/>
        </w:trPr>
        <w:tc>
          <w:tcPr>
            <w:tcW w:w="1500" w:type="pct"/>
            <w:shd w:val="clear" w:color="auto" w:fill="auto"/>
          </w:tcPr>
          <w:p w14:paraId="5CAB73CB" w14:textId="77777777" w:rsidR="00E93F58" w:rsidRPr="00576D60" w:rsidRDefault="00E93F58" w:rsidP="003D2B1E">
            <w:pPr>
              <w:pStyle w:val="ENoteTableText"/>
            </w:pPr>
          </w:p>
        </w:tc>
        <w:tc>
          <w:tcPr>
            <w:tcW w:w="3500" w:type="pct"/>
            <w:shd w:val="clear" w:color="auto" w:fill="auto"/>
          </w:tcPr>
          <w:p w14:paraId="388622FD" w14:textId="77777777" w:rsidR="00E93F58" w:rsidRPr="00576D60" w:rsidRDefault="00E93F58" w:rsidP="003D2B1E">
            <w:pPr>
              <w:pStyle w:val="ENoteTableText"/>
            </w:pPr>
            <w:r w:rsidRPr="00576D60">
              <w:t>rep No 31, 2005</w:t>
            </w:r>
          </w:p>
        </w:tc>
      </w:tr>
      <w:tr w:rsidR="00E93F58" w:rsidRPr="00576D60" w14:paraId="60707A7D" w14:textId="77777777" w:rsidTr="002F32E3">
        <w:trPr>
          <w:cantSplit/>
        </w:trPr>
        <w:tc>
          <w:tcPr>
            <w:tcW w:w="1500" w:type="pct"/>
            <w:shd w:val="clear" w:color="auto" w:fill="auto"/>
          </w:tcPr>
          <w:p w14:paraId="4C86D9F5" w14:textId="77777777" w:rsidR="00E93F58" w:rsidRPr="00576D60" w:rsidRDefault="00E93F58" w:rsidP="003D2B1E">
            <w:pPr>
              <w:pStyle w:val="ENoteTableText"/>
            </w:pPr>
          </w:p>
        </w:tc>
        <w:tc>
          <w:tcPr>
            <w:tcW w:w="3500" w:type="pct"/>
            <w:shd w:val="clear" w:color="auto" w:fill="auto"/>
          </w:tcPr>
          <w:p w14:paraId="6C645728" w14:textId="77777777" w:rsidR="00E93F58" w:rsidRPr="00576D60" w:rsidRDefault="00E93F58" w:rsidP="003D2B1E">
            <w:pPr>
              <w:pStyle w:val="ENoteTableText"/>
            </w:pPr>
            <w:r w:rsidRPr="00576D60">
              <w:t>ad No 135, 2010</w:t>
            </w:r>
          </w:p>
        </w:tc>
      </w:tr>
      <w:tr w:rsidR="00E93F58" w:rsidRPr="00576D60" w14:paraId="33AD4B80" w14:textId="77777777" w:rsidTr="002F32E3">
        <w:trPr>
          <w:cantSplit/>
        </w:trPr>
        <w:tc>
          <w:tcPr>
            <w:tcW w:w="1500" w:type="pct"/>
            <w:shd w:val="clear" w:color="auto" w:fill="auto"/>
          </w:tcPr>
          <w:p w14:paraId="5617E90C" w14:textId="77777777" w:rsidR="00E93F58" w:rsidRPr="00576D60" w:rsidRDefault="00E93F58" w:rsidP="003D2B1E">
            <w:pPr>
              <w:pStyle w:val="ENoteTableText"/>
            </w:pPr>
          </w:p>
        </w:tc>
        <w:tc>
          <w:tcPr>
            <w:tcW w:w="3500" w:type="pct"/>
            <w:shd w:val="clear" w:color="auto" w:fill="auto"/>
          </w:tcPr>
          <w:p w14:paraId="6E5450D1" w14:textId="77777777" w:rsidR="00E93F58" w:rsidRPr="00576D60" w:rsidRDefault="00E93F58" w:rsidP="003D2B1E">
            <w:pPr>
              <w:pStyle w:val="ENoteTableText"/>
            </w:pPr>
            <w:r>
              <w:t>am F2023L01458</w:t>
            </w:r>
          </w:p>
        </w:tc>
      </w:tr>
      <w:tr w:rsidR="00E93F58" w:rsidRPr="00576D60" w14:paraId="44ACBAE6" w14:textId="77777777" w:rsidTr="002F32E3">
        <w:trPr>
          <w:cantSplit/>
        </w:trPr>
        <w:tc>
          <w:tcPr>
            <w:tcW w:w="1500" w:type="pct"/>
            <w:shd w:val="clear" w:color="auto" w:fill="auto"/>
          </w:tcPr>
          <w:p w14:paraId="1A3644CB" w14:textId="77777777" w:rsidR="00E93F58" w:rsidRPr="00576D60" w:rsidRDefault="00E93F58" w:rsidP="00847CAA">
            <w:pPr>
              <w:pStyle w:val="ENoteTableText"/>
              <w:keepNext/>
              <w:tabs>
                <w:tab w:val="left" w:leader="dot" w:pos="2268"/>
              </w:tabs>
              <w:rPr>
                <w:b/>
              </w:rPr>
            </w:pPr>
            <w:r>
              <w:rPr>
                <w:b/>
              </w:rPr>
              <w:t>Schedule 1</w:t>
            </w:r>
            <w:r w:rsidRPr="00576D60">
              <w:rPr>
                <w:b/>
              </w:rPr>
              <w:t>0D</w:t>
            </w:r>
          </w:p>
        </w:tc>
        <w:tc>
          <w:tcPr>
            <w:tcW w:w="3500" w:type="pct"/>
            <w:shd w:val="clear" w:color="auto" w:fill="auto"/>
          </w:tcPr>
          <w:p w14:paraId="2EF9EAAD" w14:textId="77777777" w:rsidR="00E93F58" w:rsidRPr="00576D60" w:rsidRDefault="00E93F58" w:rsidP="00847CAA">
            <w:pPr>
              <w:pStyle w:val="ENoteTableText"/>
              <w:keepNext/>
            </w:pPr>
          </w:p>
        </w:tc>
      </w:tr>
      <w:tr w:rsidR="00E93F58" w:rsidRPr="00576D60" w14:paraId="748D01BA" w14:textId="77777777" w:rsidTr="002F32E3">
        <w:trPr>
          <w:cantSplit/>
        </w:trPr>
        <w:tc>
          <w:tcPr>
            <w:tcW w:w="1500" w:type="pct"/>
            <w:shd w:val="clear" w:color="auto" w:fill="auto"/>
          </w:tcPr>
          <w:p w14:paraId="318AF168" w14:textId="77777777" w:rsidR="00E93F58" w:rsidRPr="00576D60" w:rsidRDefault="00E93F58" w:rsidP="003D2B1E">
            <w:pPr>
              <w:pStyle w:val="ENoteTableText"/>
              <w:tabs>
                <w:tab w:val="left" w:leader="dot" w:pos="2268"/>
              </w:tabs>
            </w:pPr>
            <w:r>
              <w:t>Schedule 1</w:t>
            </w:r>
            <w:r w:rsidRPr="00576D60">
              <w:t>0D</w:t>
            </w:r>
            <w:r w:rsidRPr="00576D60">
              <w:tab/>
            </w:r>
          </w:p>
        </w:tc>
        <w:tc>
          <w:tcPr>
            <w:tcW w:w="3500" w:type="pct"/>
            <w:shd w:val="clear" w:color="auto" w:fill="auto"/>
          </w:tcPr>
          <w:p w14:paraId="3A5BF32E" w14:textId="77777777" w:rsidR="00E93F58" w:rsidRPr="00576D60" w:rsidRDefault="00E93F58" w:rsidP="003D2B1E">
            <w:pPr>
              <w:pStyle w:val="ENoteTableText"/>
            </w:pPr>
            <w:r w:rsidRPr="00576D60">
              <w:t>ad No 135, 2010</w:t>
            </w:r>
          </w:p>
        </w:tc>
      </w:tr>
      <w:tr w:rsidR="00E93F58" w:rsidRPr="00576D60" w14:paraId="504A64E2" w14:textId="77777777" w:rsidTr="002F32E3">
        <w:trPr>
          <w:cantSplit/>
        </w:trPr>
        <w:tc>
          <w:tcPr>
            <w:tcW w:w="1500" w:type="pct"/>
            <w:shd w:val="clear" w:color="auto" w:fill="auto"/>
          </w:tcPr>
          <w:p w14:paraId="60882A7D" w14:textId="77777777" w:rsidR="00E93F58" w:rsidRPr="00576D60" w:rsidRDefault="00E93F58" w:rsidP="003D2B1E">
            <w:pPr>
              <w:pStyle w:val="ENoteTableText"/>
              <w:tabs>
                <w:tab w:val="left" w:leader="dot" w:pos="2268"/>
              </w:tabs>
            </w:pPr>
          </w:p>
        </w:tc>
        <w:tc>
          <w:tcPr>
            <w:tcW w:w="3500" w:type="pct"/>
            <w:shd w:val="clear" w:color="auto" w:fill="auto"/>
          </w:tcPr>
          <w:p w14:paraId="62D2E93B" w14:textId="77777777" w:rsidR="00E93F58" w:rsidRPr="00576D60" w:rsidRDefault="00E93F58" w:rsidP="003D2B1E">
            <w:pPr>
              <w:pStyle w:val="ENoteTableText"/>
            </w:pPr>
            <w:r w:rsidRPr="00576D60">
              <w:t>am No 155, 2013; F2019L00539</w:t>
            </w:r>
          </w:p>
        </w:tc>
      </w:tr>
      <w:tr w:rsidR="00E93F58" w:rsidRPr="00576D60" w14:paraId="61DAB281" w14:textId="77777777" w:rsidTr="002F32E3">
        <w:trPr>
          <w:cantSplit/>
        </w:trPr>
        <w:tc>
          <w:tcPr>
            <w:tcW w:w="1500" w:type="pct"/>
            <w:shd w:val="clear" w:color="auto" w:fill="auto"/>
          </w:tcPr>
          <w:p w14:paraId="510D13E2" w14:textId="77777777" w:rsidR="00E93F58" w:rsidRPr="00576D60" w:rsidRDefault="00E93F58" w:rsidP="003D2B1E">
            <w:pPr>
              <w:pStyle w:val="ENoteTableText"/>
              <w:keepNext/>
              <w:keepLines/>
              <w:tabs>
                <w:tab w:val="left" w:leader="dot" w:pos="2268"/>
              </w:tabs>
              <w:rPr>
                <w:b/>
              </w:rPr>
            </w:pPr>
            <w:r>
              <w:rPr>
                <w:b/>
              </w:rPr>
              <w:t>Schedule 1</w:t>
            </w:r>
            <w:r w:rsidRPr="00576D60">
              <w:rPr>
                <w:b/>
              </w:rPr>
              <w:t>0E</w:t>
            </w:r>
          </w:p>
        </w:tc>
        <w:tc>
          <w:tcPr>
            <w:tcW w:w="3500" w:type="pct"/>
            <w:shd w:val="clear" w:color="auto" w:fill="auto"/>
          </w:tcPr>
          <w:p w14:paraId="7DC0A083" w14:textId="77777777" w:rsidR="00E93F58" w:rsidRPr="00576D60" w:rsidRDefault="00E93F58" w:rsidP="003D2B1E">
            <w:pPr>
              <w:pStyle w:val="ENoteTableText"/>
            </w:pPr>
          </w:p>
        </w:tc>
      </w:tr>
      <w:tr w:rsidR="00E93F58" w:rsidRPr="00576D60" w14:paraId="32A11D18" w14:textId="77777777" w:rsidTr="002F32E3">
        <w:trPr>
          <w:cantSplit/>
        </w:trPr>
        <w:tc>
          <w:tcPr>
            <w:tcW w:w="1500" w:type="pct"/>
            <w:shd w:val="clear" w:color="auto" w:fill="auto"/>
          </w:tcPr>
          <w:p w14:paraId="1DFEF4E1" w14:textId="77777777" w:rsidR="00E93F58" w:rsidRPr="00576D60" w:rsidRDefault="00E93F58" w:rsidP="003D2B1E">
            <w:pPr>
              <w:pStyle w:val="ENoteTableText"/>
              <w:tabs>
                <w:tab w:val="left" w:leader="dot" w:pos="2268"/>
              </w:tabs>
            </w:pPr>
            <w:r>
              <w:t>Schedule 1</w:t>
            </w:r>
            <w:r w:rsidRPr="00576D60">
              <w:t>0E</w:t>
            </w:r>
            <w:r w:rsidRPr="00576D60">
              <w:tab/>
            </w:r>
          </w:p>
        </w:tc>
        <w:tc>
          <w:tcPr>
            <w:tcW w:w="3500" w:type="pct"/>
            <w:shd w:val="clear" w:color="auto" w:fill="auto"/>
          </w:tcPr>
          <w:p w14:paraId="5905126F" w14:textId="77777777" w:rsidR="00E93F58" w:rsidRPr="00576D60" w:rsidRDefault="00E93F58" w:rsidP="003D2B1E">
            <w:pPr>
              <w:pStyle w:val="ENoteTableText"/>
            </w:pPr>
            <w:r w:rsidRPr="00576D60">
              <w:t>ad No 135, 2010</w:t>
            </w:r>
          </w:p>
        </w:tc>
      </w:tr>
      <w:tr w:rsidR="00E93F58" w:rsidRPr="00576D60" w14:paraId="1DF90878" w14:textId="77777777" w:rsidTr="002F32E3">
        <w:trPr>
          <w:cantSplit/>
        </w:trPr>
        <w:tc>
          <w:tcPr>
            <w:tcW w:w="1500" w:type="pct"/>
            <w:shd w:val="clear" w:color="auto" w:fill="auto"/>
          </w:tcPr>
          <w:p w14:paraId="69E5E35B" w14:textId="77777777" w:rsidR="00E93F58" w:rsidRPr="00576D60" w:rsidRDefault="00E93F58" w:rsidP="003D2B1E">
            <w:pPr>
              <w:pStyle w:val="ENoteTableText"/>
            </w:pPr>
          </w:p>
        </w:tc>
        <w:tc>
          <w:tcPr>
            <w:tcW w:w="3500" w:type="pct"/>
            <w:shd w:val="clear" w:color="auto" w:fill="auto"/>
          </w:tcPr>
          <w:p w14:paraId="334FF865" w14:textId="77777777" w:rsidR="00E93F58" w:rsidRPr="00576D60" w:rsidRDefault="00E93F58" w:rsidP="003D2B1E">
            <w:pPr>
              <w:pStyle w:val="ENoteTableText"/>
            </w:pPr>
            <w:r w:rsidRPr="00576D60">
              <w:t>am No 274, 2011; F2018L01144</w:t>
            </w:r>
          </w:p>
        </w:tc>
      </w:tr>
      <w:tr w:rsidR="00E93F58" w:rsidRPr="00576D60" w14:paraId="3D2E719D" w14:textId="77777777" w:rsidTr="002F32E3">
        <w:trPr>
          <w:cantSplit/>
        </w:trPr>
        <w:tc>
          <w:tcPr>
            <w:tcW w:w="1500" w:type="pct"/>
            <w:shd w:val="clear" w:color="auto" w:fill="auto"/>
          </w:tcPr>
          <w:p w14:paraId="75C6ABE6" w14:textId="77777777" w:rsidR="00E93F58" w:rsidRPr="00576D60" w:rsidRDefault="00E93F58" w:rsidP="003D2B1E">
            <w:pPr>
              <w:pStyle w:val="ENoteTableText"/>
              <w:rPr>
                <w:b/>
              </w:rPr>
            </w:pPr>
            <w:r>
              <w:rPr>
                <w:b/>
              </w:rPr>
              <w:t>Schedule 1</w:t>
            </w:r>
            <w:r w:rsidRPr="00576D60">
              <w:rPr>
                <w:b/>
              </w:rPr>
              <w:t>0F</w:t>
            </w:r>
          </w:p>
        </w:tc>
        <w:tc>
          <w:tcPr>
            <w:tcW w:w="3500" w:type="pct"/>
            <w:shd w:val="clear" w:color="auto" w:fill="auto"/>
          </w:tcPr>
          <w:p w14:paraId="61BD7B42" w14:textId="77777777" w:rsidR="00E93F58" w:rsidRPr="00576D60" w:rsidRDefault="00E93F58" w:rsidP="003D2B1E">
            <w:pPr>
              <w:pStyle w:val="ENoteTableText"/>
            </w:pPr>
          </w:p>
        </w:tc>
      </w:tr>
      <w:tr w:rsidR="00E93F58" w:rsidRPr="00576D60" w14:paraId="1C6FB0A9" w14:textId="77777777" w:rsidTr="002F32E3">
        <w:trPr>
          <w:cantSplit/>
        </w:trPr>
        <w:tc>
          <w:tcPr>
            <w:tcW w:w="1500" w:type="pct"/>
            <w:shd w:val="clear" w:color="auto" w:fill="auto"/>
          </w:tcPr>
          <w:p w14:paraId="39C95752" w14:textId="77777777" w:rsidR="00E93F58" w:rsidRPr="00576D60" w:rsidRDefault="00E93F58" w:rsidP="003F24FA">
            <w:pPr>
              <w:pStyle w:val="ENoteTableText"/>
              <w:tabs>
                <w:tab w:val="left" w:leader="dot" w:pos="2268"/>
              </w:tabs>
            </w:pPr>
            <w:r>
              <w:lastRenderedPageBreak/>
              <w:t>Schedule 1</w:t>
            </w:r>
            <w:r w:rsidRPr="00576D60">
              <w:t>0F</w:t>
            </w:r>
            <w:r w:rsidRPr="00576D60">
              <w:tab/>
            </w:r>
          </w:p>
        </w:tc>
        <w:tc>
          <w:tcPr>
            <w:tcW w:w="3500" w:type="pct"/>
            <w:shd w:val="clear" w:color="auto" w:fill="auto"/>
          </w:tcPr>
          <w:p w14:paraId="7C27C2F8" w14:textId="77777777" w:rsidR="00E93F58" w:rsidRPr="00576D60" w:rsidRDefault="00E93F58" w:rsidP="003D2B1E">
            <w:pPr>
              <w:pStyle w:val="ENoteTableText"/>
            </w:pPr>
            <w:r w:rsidRPr="00576D60">
              <w:t>ad F2022L00469</w:t>
            </w:r>
          </w:p>
        </w:tc>
      </w:tr>
      <w:tr w:rsidR="00E93F58" w:rsidRPr="00576D60" w14:paraId="378A828B" w14:textId="77777777" w:rsidTr="002F32E3">
        <w:trPr>
          <w:cantSplit/>
        </w:trPr>
        <w:tc>
          <w:tcPr>
            <w:tcW w:w="1500" w:type="pct"/>
            <w:shd w:val="clear" w:color="auto" w:fill="auto"/>
          </w:tcPr>
          <w:p w14:paraId="03D913F2" w14:textId="77777777" w:rsidR="00E93F58" w:rsidRPr="00576D60" w:rsidRDefault="00E93F58" w:rsidP="00E71EB0">
            <w:pPr>
              <w:pStyle w:val="ENoteTableText"/>
              <w:keepNext/>
              <w:rPr>
                <w:b/>
              </w:rPr>
            </w:pPr>
            <w:r>
              <w:rPr>
                <w:b/>
              </w:rPr>
              <w:t>Schedule 1</w:t>
            </w:r>
            <w:r w:rsidRPr="00576D60">
              <w:rPr>
                <w:b/>
              </w:rPr>
              <w:t>1</w:t>
            </w:r>
          </w:p>
        </w:tc>
        <w:tc>
          <w:tcPr>
            <w:tcW w:w="3500" w:type="pct"/>
            <w:shd w:val="clear" w:color="auto" w:fill="auto"/>
          </w:tcPr>
          <w:p w14:paraId="39DEE881" w14:textId="77777777" w:rsidR="00E93F58" w:rsidRPr="00576D60" w:rsidRDefault="00E93F58" w:rsidP="003D2B1E">
            <w:pPr>
              <w:pStyle w:val="ENoteTableText"/>
            </w:pPr>
          </w:p>
        </w:tc>
      </w:tr>
      <w:tr w:rsidR="00E93F58" w:rsidRPr="00576D60" w14:paraId="6813AD27" w14:textId="77777777" w:rsidTr="002F32E3">
        <w:trPr>
          <w:cantSplit/>
        </w:trPr>
        <w:tc>
          <w:tcPr>
            <w:tcW w:w="1500" w:type="pct"/>
            <w:shd w:val="clear" w:color="auto" w:fill="auto"/>
          </w:tcPr>
          <w:p w14:paraId="57BED4A1" w14:textId="77777777" w:rsidR="00E93F58" w:rsidRPr="00576D60" w:rsidRDefault="00E93F58" w:rsidP="003D2B1E">
            <w:pPr>
              <w:pStyle w:val="ENoteTableText"/>
              <w:tabs>
                <w:tab w:val="left" w:leader="dot" w:pos="2268"/>
              </w:tabs>
            </w:pPr>
            <w:r>
              <w:t>Schedule 1</w:t>
            </w:r>
            <w:r w:rsidRPr="00576D60">
              <w:t>1</w:t>
            </w:r>
            <w:r w:rsidRPr="00576D60">
              <w:tab/>
            </w:r>
          </w:p>
        </w:tc>
        <w:tc>
          <w:tcPr>
            <w:tcW w:w="3500" w:type="pct"/>
            <w:shd w:val="clear" w:color="auto" w:fill="auto"/>
          </w:tcPr>
          <w:p w14:paraId="4EEFFEED" w14:textId="77777777" w:rsidR="00E93F58" w:rsidRPr="00576D60" w:rsidRDefault="00E93F58" w:rsidP="003D2B1E">
            <w:pPr>
              <w:pStyle w:val="ENoteTableText"/>
              <w:keepNext/>
              <w:keepLines/>
            </w:pPr>
            <w:r w:rsidRPr="00576D60">
              <w:t>am No 208, 2001</w:t>
            </w:r>
          </w:p>
        </w:tc>
      </w:tr>
      <w:tr w:rsidR="00E93F58" w:rsidRPr="00576D60" w14:paraId="2B1D783B" w14:textId="77777777" w:rsidTr="002F32E3">
        <w:trPr>
          <w:cantSplit/>
        </w:trPr>
        <w:tc>
          <w:tcPr>
            <w:tcW w:w="1500" w:type="pct"/>
            <w:shd w:val="clear" w:color="auto" w:fill="auto"/>
          </w:tcPr>
          <w:p w14:paraId="55E68FF4" w14:textId="77777777" w:rsidR="00E93F58" w:rsidRPr="00576D60" w:rsidRDefault="00E93F58" w:rsidP="003D2B1E">
            <w:pPr>
              <w:pStyle w:val="ENoteTableText"/>
            </w:pPr>
          </w:p>
        </w:tc>
        <w:tc>
          <w:tcPr>
            <w:tcW w:w="3500" w:type="pct"/>
            <w:shd w:val="clear" w:color="auto" w:fill="auto"/>
          </w:tcPr>
          <w:p w14:paraId="092D54DE" w14:textId="77777777" w:rsidR="00E93F58" w:rsidRPr="00576D60" w:rsidRDefault="00E93F58" w:rsidP="003D2B1E">
            <w:pPr>
              <w:pStyle w:val="ENoteTableText"/>
            </w:pPr>
            <w:r w:rsidRPr="00576D60">
              <w:t>rep No 319, 2001</w:t>
            </w:r>
          </w:p>
        </w:tc>
      </w:tr>
      <w:tr w:rsidR="00E93F58" w:rsidRPr="00576D60" w14:paraId="59995DAE" w14:textId="77777777" w:rsidTr="002F32E3">
        <w:trPr>
          <w:cantSplit/>
        </w:trPr>
        <w:tc>
          <w:tcPr>
            <w:tcW w:w="1500" w:type="pct"/>
            <w:shd w:val="clear" w:color="auto" w:fill="auto"/>
          </w:tcPr>
          <w:p w14:paraId="249A3006" w14:textId="77777777" w:rsidR="00E93F58" w:rsidRPr="00576D60" w:rsidRDefault="00E93F58" w:rsidP="003D2B1E">
            <w:pPr>
              <w:pStyle w:val="ENoteTableText"/>
              <w:tabs>
                <w:tab w:val="left" w:leader="dot" w:pos="2268"/>
              </w:tabs>
            </w:pPr>
            <w:r>
              <w:t>Schedule 1</w:t>
            </w:r>
            <w:r w:rsidRPr="00576D60">
              <w:t>0D heading</w:t>
            </w:r>
            <w:r w:rsidRPr="00576D60">
              <w:tab/>
            </w:r>
            <w:r w:rsidRPr="00576D60">
              <w:br/>
              <w:t>(second occurring)</w:t>
            </w:r>
          </w:p>
        </w:tc>
        <w:tc>
          <w:tcPr>
            <w:tcW w:w="3500" w:type="pct"/>
            <w:shd w:val="clear" w:color="auto" w:fill="auto"/>
          </w:tcPr>
          <w:p w14:paraId="4A311FAF" w14:textId="77777777" w:rsidR="00E93F58" w:rsidRPr="00576D60" w:rsidRDefault="00E93F58" w:rsidP="003D2B1E">
            <w:pPr>
              <w:pStyle w:val="ENoteTableText"/>
            </w:pPr>
            <w:r w:rsidRPr="00576D60">
              <w:t>rs and renum F2016L01926</w:t>
            </w:r>
          </w:p>
        </w:tc>
      </w:tr>
      <w:tr w:rsidR="00E93F58" w:rsidRPr="00576D60" w14:paraId="52F71F7D" w14:textId="77777777" w:rsidTr="002F32E3">
        <w:trPr>
          <w:cantSplit/>
        </w:trPr>
        <w:tc>
          <w:tcPr>
            <w:tcW w:w="1500" w:type="pct"/>
            <w:shd w:val="clear" w:color="auto" w:fill="auto"/>
          </w:tcPr>
          <w:p w14:paraId="6BABC5A2" w14:textId="77777777" w:rsidR="00E93F58" w:rsidRPr="00576D60" w:rsidRDefault="00E93F58" w:rsidP="003D2B1E">
            <w:pPr>
              <w:pStyle w:val="ENoteTableText"/>
              <w:tabs>
                <w:tab w:val="left" w:leader="dot" w:pos="2268"/>
              </w:tabs>
            </w:pPr>
            <w:r>
              <w:t>Schedule 1</w:t>
            </w:r>
            <w:r w:rsidRPr="00576D60">
              <w:t>0D</w:t>
            </w:r>
            <w:r w:rsidRPr="00576D60">
              <w:tab/>
            </w:r>
            <w:r w:rsidRPr="00576D60">
              <w:br/>
              <w:t>(second occurring)</w:t>
            </w:r>
          </w:p>
        </w:tc>
        <w:tc>
          <w:tcPr>
            <w:tcW w:w="3500" w:type="pct"/>
            <w:shd w:val="clear" w:color="auto" w:fill="auto"/>
          </w:tcPr>
          <w:p w14:paraId="37C9C77F" w14:textId="77777777" w:rsidR="00E93F58" w:rsidRPr="00576D60" w:rsidRDefault="00E93F58" w:rsidP="003D2B1E">
            <w:pPr>
              <w:pStyle w:val="ENoteTableText"/>
            </w:pPr>
            <w:r w:rsidRPr="00576D60">
              <w:t>ad No 319, 2001</w:t>
            </w:r>
            <w:r w:rsidRPr="00576D60">
              <w:br/>
              <w:t>am No 31, 2003; F2016L01926</w:t>
            </w:r>
          </w:p>
        </w:tc>
      </w:tr>
      <w:tr w:rsidR="00E93F58" w:rsidRPr="00576D60" w14:paraId="088A0810" w14:textId="77777777" w:rsidTr="002F32E3">
        <w:trPr>
          <w:cantSplit/>
        </w:trPr>
        <w:tc>
          <w:tcPr>
            <w:tcW w:w="1500" w:type="pct"/>
            <w:shd w:val="clear" w:color="auto" w:fill="auto"/>
          </w:tcPr>
          <w:p w14:paraId="6D7FDBC5" w14:textId="77777777" w:rsidR="00E93F58" w:rsidRPr="00576D60" w:rsidRDefault="00E93F58" w:rsidP="003D2B1E">
            <w:pPr>
              <w:pStyle w:val="ENoteTableText"/>
              <w:tabs>
                <w:tab w:val="left" w:leader="dot" w:pos="2268"/>
              </w:tabs>
            </w:pPr>
            <w:r>
              <w:t>Schedule 1</w:t>
            </w:r>
            <w:r w:rsidRPr="00576D60">
              <w:t xml:space="preserve">1 (prev </w:t>
            </w:r>
            <w:r>
              <w:t>Schedule 1</w:t>
            </w:r>
            <w:r w:rsidRPr="00576D60">
              <w:t xml:space="preserve">0D </w:t>
            </w:r>
            <w:r w:rsidRPr="00576D60">
              <w:br/>
              <w:t>second occurring)</w:t>
            </w:r>
          </w:p>
        </w:tc>
        <w:tc>
          <w:tcPr>
            <w:tcW w:w="3500" w:type="pct"/>
            <w:shd w:val="clear" w:color="auto" w:fill="auto"/>
          </w:tcPr>
          <w:p w14:paraId="5D1EFAD8" w14:textId="77777777" w:rsidR="00E93F58" w:rsidRPr="00576D60" w:rsidRDefault="00E93F58" w:rsidP="003D2B1E">
            <w:pPr>
              <w:pStyle w:val="ENoteTableText"/>
            </w:pPr>
          </w:p>
        </w:tc>
      </w:tr>
      <w:tr w:rsidR="00E93F58" w:rsidRPr="00576D60" w14:paraId="2918C110" w14:textId="77777777" w:rsidTr="002F32E3">
        <w:trPr>
          <w:cantSplit/>
        </w:trPr>
        <w:tc>
          <w:tcPr>
            <w:tcW w:w="1500" w:type="pct"/>
            <w:shd w:val="clear" w:color="auto" w:fill="auto"/>
          </w:tcPr>
          <w:p w14:paraId="32640E41" w14:textId="77777777" w:rsidR="00E93F58" w:rsidRPr="00576D60" w:rsidRDefault="00E93F58" w:rsidP="003D2B1E">
            <w:pPr>
              <w:pStyle w:val="ENoteTableText"/>
              <w:tabs>
                <w:tab w:val="left" w:leader="dot" w:pos="2268"/>
              </w:tabs>
            </w:pPr>
            <w:r>
              <w:rPr>
                <w:b/>
              </w:rPr>
              <w:t>Schedule 1</w:t>
            </w:r>
            <w:r w:rsidRPr="00576D60">
              <w:rPr>
                <w:b/>
              </w:rPr>
              <w:t>3</w:t>
            </w:r>
          </w:p>
        </w:tc>
        <w:tc>
          <w:tcPr>
            <w:tcW w:w="3500" w:type="pct"/>
            <w:shd w:val="clear" w:color="auto" w:fill="auto"/>
          </w:tcPr>
          <w:p w14:paraId="43838F2E" w14:textId="77777777" w:rsidR="00E93F58" w:rsidRPr="00576D60" w:rsidRDefault="00E93F58" w:rsidP="003D2B1E">
            <w:pPr>
              <w:pStyle w:val="ENoteTableText"/>
              <w:keepNext/>
              <w:keepLines/>
            </w:pPr>
          </w:p>
        </w:tc>
      </w:tr>
      <w:tr w:rsidR="00E93F58" w:rsidRPr="00576D60" w14:paraId="0C4AB555" w14:textId="77777777" w:rsidTr="002F32E3">
        <w:trPr>
          <w:cantSplit/>
        </w:trPr>
        <w:tc>
          <w:tcPr>
            <w:tcW w:w="1500" w:type="pct"/>
            <w:tcBorders>
              <w:bottom w:val="single" w:sz="12" w:space="0" w:color="auto"/>
            </w:tcBorders>
            <w:shd w:val="clear" w:color="auto" w:fill="auto"/>
          </w:tcPr>
          <w:p w14:paraId="35B34520" w14:textId="77777777" w:rsidR="00E93F58" w:rsidRPr="00576D60" w:rsidRDefault="00E93F58" w:rsidP="003D2B1E">
            <w:pPr>
              <w:pStyle w:val="ENoteTableText"/>
              <w:tabs>
                <w:tab w:val="left" w:leader="dot" w:pos="2268"/>
              </w:tabs>
            </w:pPr>
            <w:r>
              <w:t>Schedule 1</w:t>
            </w:r>
            <w:r w:rsidRPr="00576D60">
              <w:t>3</w:t>
            </w:r>
            <w:r w:rsidRPr="00576D60">
              <w:tab/>
            </w:r>
          </w:p>
        </w:tc>
        <w:tc>
          <w:tcPr>
            <w:tcW w:w="3500" w:type="pct"/>
            <w:tcBorders>
              <w:bottom w:val="single" w:sz="12" w:space="0" w:color="auto"/>
            </w:tcBorders>
            <w:shd w:val="clear" w:color="auto" w:fill="auto"/>
          </w:tcPr>
          <w:p w14:paraId="396FACF3" w14:textId="77777777" w:rsidR="00E93F58" w:rsidRPr="00576D60" w:rsidRDefault="00E93F58" w:rsidP="003D2B1E">
            <w:pPr>
              <w:pStyle w:val="ENoteTableText"/>
            </w:pPr>
            <w:r w:rsidRPr="00576D60">
              <w:t>ad F2016L01926</w:t>
            </w:r>
          </w:p>
        </w:tc>
      </w:tr>
    </w:tbl>
    <w:p w14:paraId="1121FA2D" w14:textId="77777777" w:rsidR="00E93F58" w:rsidRPr="00576D60" w:rsidRDefault="00E93F58" w:rsidP="00DC3399"/>
    <w:p w14:paraId="7B5AF40D" w14:textId="77777777" w:rsidR="005F4B4E" w:rsidRPr="00CD5673" w:rsidRDefault="005F4B4E" w:rsidP="00D46430"/>
    <w:sectPr w:rsidR="005F4B4E" w:rsidRPr="00CD5673" w:rsidSect="0022772A">
      <w:headerReference w:type="first" r:id="rId39"/>
      <w:type w:val="continuous"/>
      <w:pgSz w:w="11907" w:h="16839"/>
      <w:pgMar w:top="567" w:right="567" w:bottom="567" w:left="56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F20CB" w14:textId="77777777" w:rsidR="0022772A" w:rsidRDefault="0022772A">
      <w:r>
        <w:separator/>
      </w:r>
    </w:p>
  </w:endnote>
  <w:endnote w:type="continuationSeparator" w:id="0">
    <w:p w14:paraId="12485F0D" w14:textId="77777777" w:rsidR="0022772A" w:rsidRDefault="0022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8A6973-6DA2-4387-BA71-477A59117232}"/>
    <w:embedBold r:id="rId2" w:fontKey="{EBBC49F8-357A-4BFB-B03C-6A39D1B7A0B4}"/>
    <w:embedItalic r:id="rId3" w:fontKey="{390E7BCA-BF70-4928-8DF6-3A10749AE4B2}"/>
    <w:embedBoldItalic r:id="rId4" w:fontKey="{6354E7AB-C7F9-4A88-89E2-102C71EA82CA}"/>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Bold r:id="rId5" w:subsetted="1" w:fontKey="{390D4DE3-4DE9-4446-B184-BC82F11EA8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CCEE2" w14:textId="77777777" w:rsidR="0022772A" w:rsidRDefault="0022772A">
      <w:r>
        <w:separator/>
      </w:r>
    </w:p>
  </w:footnote>
  <w:footnote w:type="continuationSeparator" w:id="0">
    <w:p w14:paraId="4DEE6DA7" w14:textId="77777777" w:rsidR="0022772A" w:rsidRDefault="00227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2EB4" w14:textId="77777777" w:rsidR="00000000" w:rsidRDefault="00000000" w:rsidP="00EA0056">
    <w:pPr>
      <w:pStyle w:val="Header"/>
    </w:pPr>
  </w:p>
  <w:p w14:paraId="2411869C" w14:textId="77777777" w:rsidR="00000000" w:rsidRPr="00EA0056" w:rsidRDefault="00000000" w:rsidP="00EA0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5215B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2B16E8"/>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934D97"/>
    <w:multiLevelType w:val="multilevel"/>
    <w:tmpl w:val="7E5AD4A6"/>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9825A8"/>
    <w:multiLevelType w:val="hybridMultilevel"/>
    <w:tmpl w:val="8F4A9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8552CA4"/>
    <w:multiLevelType w:val="hybridMultilevel"/>
    <w:tmpl w:val="A8041A40"/>
    <w:lvl w:ilvl="0" w:tplc="EFA6518A">
      <w:numFmt w:val="bullet"/>
      <w:lvlText w:val=""/>
      <w:lvlJc w:val="left"/>
      <w:pPr>
        <w:ind w:left="1425" w:hanging="360"/>
      </w:pPr>
      <w:rPr>
        <w:rFonts w:ascii="Symbol" w:eastAsia="Times New Roman" w:hAnsi="Symbol" w:cs="Times New Roman"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20" w15:restartNumberingAfterBreak="0">
    <w:nsid w:val="1E83505A"/>
    <w:multiLevelType w:val="multilevel"/>
    <w:tmpl w:val="8FC27784"/>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4D53103"/>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5060112"/>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62E6CCC"/>
    <w:multiLevelType w:val="hybridMultilevel"/>
    <w:tmpl w:val="7A988480"/>
    <w:lvl w:ilvl="0" w:tplc="0C090019">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2FF17F86"/>
    <w:multiLevelType w:val="multilevel"/>
    <w:tmpl w:val="6942850E"/>
    <w:name w:val="StandardNumberedList"/>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19A2EE4"/>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1D155D9"/>
    <w:multiLevelType w:val="hybridMultilevel"/>
    <w:tmpl w:val="67721468"/>
    <w:lvl w:ilvl="0" w:tplc="E8022940">
      <w:start w:val="1"/>
      <w:numFmt w:val="bullet"/>
      <w:lvlText w:val=""/>
      <w:lvlJc w:val="left"/>
      <w:pPr>
        <w:tabs>
          <w:tab w:val="num" w:pos="284"/>
        </w:tabs>
        <w:ind w:left="1247" w:hanging="283"/>
      </w:pPr>
      <w:rPr>
        <w:rFonts w:ascii="Symbol" w:hAnsi="Symbol"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790B1C"/>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34B948E4"/>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31" w15:restartNumberingAfterBreak="0">
    <w:nsid w:val="39CA4C4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AA21243"/>
    <w:multiLevelType w:val="hybridMultilevel"/>
    <w:tmpl w:val="75E44E64"/>
    <w:lvl w:ilvl="0" w:tplc="D368C40E">
      <w:start w:val="1"/>
      <w:numFmt w:val="lowerRoman"/>
      <w:lvlText w:val="(%1)"/>
      <w:lvlJc w:val="left"/>
      <w:pPr>
        <w:ind w:left="1822" w:hanging="360"/>
      </w:pPr>
      <w:rPr>
        <w:rFonts w:ascii="Times New Roman" w:eastAsia="Times New Roman" w:hAnsi="Times New Roman" w:cs="Times New Roman"/>
      </w:rPr>
    </w:lvl>
    <w:lvl w:ilvl="1" w:tplc="0C090019" w:tentative="1">
      <w:start w:val="1"/>
      <w:numFmt w:val="lowerLetter"/>
      <w:lvlText w:val="%2."/>
      <w:lvlJc w:val="left"/>
      <w:pPr>
        <w:ind w:left="2542" w:hanging="360"/>
      </w:pPr>
    </w:lvl>
    <w:lvl w:ilvl="2" w:tplc="0C09001B" w:tentative="1">
      <w:start w:val="1"/>
      <w:numFmt w:val="lowerRoman"/>
      <w:lvlText w:val="%3."/>
      <w:lvlJc w:val="right"/>
      <w:pPr>
        <w:ind w:left="3262" w:hanging="180"/>
      </w:pPr>
    </w:lvl>
    <w:lvl w:ilvl="3" w:tplc="0C09000F" w:tentative="1">
      <w:start w:val="1"/>
      <w:numFmt w:val="decimal"/>
      <w:lvlText w:val="%4."/>
      <w:lvlJc w:val="left"/>
      <w:pPr>
        <w:ind w:left="3982" w:hanging="360"/>
      </w:pPr>
    </w:lvl>
    <w:lvl w:ilvl="4" w:tplc="0C090019" w:tentative="1">
      <w:start w:val="1"/>
      <w:numFmt w:val="lowerLetter"/>
      <w:lvlText w:val="%5."/>
      <w:lvlJc w:val="left"/>
      <w:pPr>
        <w:ind w:left="4702" w:hanging="360"/>
      </w:pPr>
    </w:lvl>
    <w:lvl w:ilvl="5" w:tplc="0C09001B" w:tentative="1">
      <w:start w:val="1"/>
      <w:numFmt w:val="lowerRoman"/>
      <w:lvlText w:val="%6."/>
      <w:lvlJc w:val="right"/>
      <w:pPr>
        <w:ind w:left="5422" w:hanging="180"/>
      </w:pPr>
    </w:lvl>
    <w:lvl w:ilvl="6" w:tplc="0C09000F" w:tentative="1">
      <w:start w:val="1"/>
      <w:numFmt w:val="decimal"/>
      <w:lvlText w:val="%7."/>
      <w:lvlJc w:val="left"/>
      <w:pPr>
        <w:ind w:left="6142" w:hanging="360"/>
      </w:pPr>
    </w:lvl>
    <w:lvl w:ilvl="7" w:tplc="0C090019" w:tentative="1">
      <w:start w:val="1"/>
      <w:numFmt w:val="lowerLetter"/>
      <w:lvlText w:val="%8."/>
      <w:lvlJc w:val="left"/>
      <w:pPr>
        <w:ind w:left="6862" w:hanging="360"/>
      </w:pPr>
    </w:lvl>
    <w:lvl w:ilvl="8" w:tplc="0C09001B" w:tentative="1">
      <w:start w:val="1"/>
      <w:numFmt w:val="lowerRoman"/>
      <w:lvlText w:val="%9."/>
      <w:lvlJc w:val="right"/>
      <w:pPr>
        <w:ind w:left="7582" w:hanging="180"/>
      </w:pPr>
    </w:lvl>
  </w:abstractNum>
  <w:abstractNum w:abstractNumId="3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4"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3F91645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6E87D4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91C048C"/>
    <w:multiLevelType w:val="hybridMultilevel"/>
    <w:tmpl w:val="7B028D28"/>
    <w:lvl w:ilvl="0" w:tplc="6220DC78">
      <w:start w:val="2"/>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517B18C6"/>
    <w:multiLevelType w:val="hybridMultilevel"/>
    <w:tmpl w:val="38989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AC848C2"/>
    <w:multiLevelType w:val="hybridMultilevel"/>
    <w:tmpl w:val="56DEFBA6"/>
    <w:lvl w:ilvl="0" w:tplc="0C090019">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4" w15:restartNumberingAfterBreak="0">
    <w:nsid w:val="7093148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3695308"/>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C08089F"/>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974991758">
    <w:abstractNumId w:val="12"/>
  </w:num>
  <w:num w:numId="2" w16cid:durableId="980115501">
    <w:abstractNumId w:val="21"/>
  </w:num>
  <w:num w:numId="3" w16cid:durableId="977762698">
    <w:abstractNumId w:val="34"/>
  </w:num>
  <w:num w:numId="4" w16cid:durableId="619335262">
    <w:abstractNumId w:val="34"/>
  </w:num>
  <w:num w:numId="5" w16cid:durableId="373696645">
    <w:abstractNumId w:val="9"/>
  </w:num>
  <w:num w:numId="6" w16cid:durableId="69011031">
    <w:abstractNumId w:val="7"/>
  </w:num>
  <w:num w:numId="7" w16cid:durableId="448161688">
    <w:abstractNumId w:val="6"/>
  </w:num>
  <w:num w:numId="8" w16cid:durableId="1345550490">
    <w:abstractNumId w:val="5"/>
  </w:num>
  <w:num w:numId="9" w16cid:durableId="2071028233">
    <w:abstractNumId w:val="4"/>
  </w:num>
  <w:num w:numId="10" w16cid:durableId="1905143996">
    <w:abstractNumId w:val="8"/>
  </w:num>
  <w:num w:numId="11" w16cid:durableId="650445588">
    <w:abstractNumId w:val="3"/>
  </w:num>
  <w:num w:numId="12" w16cid:durableId="249236394">
    <w:abstractNumId w:val="2"/>
  </w:num>
  <w:num w:numId="13" w16cid:durableId="110054867">
    <w:abstractNumId w:val="1"/>
  </w:num>
  <w:num w:numId="14" w16cid:durableId="989795712">
    <w:abstractNumId w:val="0"/>
  </w:num>
  <w:num w:numId="15" w16cid:durableId="1408571146">
    <w:abstractNumId w:val="30"/>
  </w:num>
  <w:num w:numId="16" w16cid:durableId="985472218">
    <w:abstractNumId w:val="41"/>
  </w:num>
  <w:num w:numId="17" w16cid:durableId="944728222">
    <w:abstractNumId w:val="33"/>
  </w:num>
  <w:num w:numId="18" w16cid:durableId="1280717360">
    <w:abstractNumId w:val="42"/>
  </w:num>
  <w:num w:numId="19" w16cid:durableId="1143347131">
    <w:abstractNumId w:val="26"/>
  </w:num>
  <w:num w:numId="20" w16cid:durableId="1296106598">
    <w:abstractNumId w:val="14"/>
  </w:num>
  <w:num w:numId="21" w16cid:durableId="655652451">
    <w:abstractNumId w:val="40"/>
  </w:num>
  <w:num w:numId="22" w16cid:durableId="604121230">
    <w:abstractNumId w:val="18"/>
  </w:num>
  <w:num w:numId="23" w16cid:durableId="1185287552">
    <w:abstractNumId w:val="11"/>
  </w:num>
  <w:num w:numId="24" w16cid:durableId="1795979554">
    <w:abstractNumId w:val="28"/>
  </w:num>
  <w:num w:numId="25" w16cid:durableId="644630096">
    <w:abstractNumId w:val="47"/>
  </w:num>
  <w:num w:numId="26" w16cid:durableId="252204748">
    <w:abstractNumId w:val="17"/>
  </w:num>
  <w:num w:numId="27" w16cid:durableId="2112123472">
    <w:abstractNumId w:val="25"/>
  </w:num>
  <w:num w:numId="28" w16cid:durableId="1743602654">
    <w:abstractNumId w:val="19"/>
  </w:num>
  <w:num w:numId="29" w16cid:durableId="536506472">
    <w:abstractNumId w:val="31"/>
  </w:num>
  <w:num w:numId="30" w16cid:durableId="1729571190">
    <w:abstractNumId w:val="20"/>
  </w:num>
  <w:num w:numId="31" w16cid:durableId="404767917">
    <w:abstractNumId w:val="38"/>
  </w:num>
  <w:num w:numId="32" w16cid:durableId="1333412754">
    <w:abstractNumId w:val="44"/>
  </w:num>
  <w:num w:numId="33" w16cid:durableId="1784113142">
    <w:abstractNumId w:val="15"/>
  </w:num>
  <w:num w:numId="34" w16cid:durableId="581138100">
    <w:abstractNumId w:val="24"/>
  </w:num>
  <w:num w:numId="35" w16cid:durableId="1144473249">
    <w:abstractNumId w:val="43"/>
  </w:num>
  <w:num w:numId="36" w16cid:durableId="159660492">
    <w:abstractNumId w:val="37"/>
  </w:num>
  <w:num w:numId="37" w16cid:durableId="631011704">
    <w:abstractNumId w:val="35"/>
  </w:num>
  <w:num w:numId="38" w16cid:durableId="2050448518">
    <w:abstractNumId w:val="48"/>
  </w:num>
  <w:num w:numId="39" w16cid:durableId="793862429">
    <w:abstractNumId w:val="29"/>
  </w:num>
  <w:num w:numId="40" w16cid:durableId="67046740">
    <w:abstractNumId w:val="45"/>
  </w:num>
  <w:num w:numId="41" w16cid:durableId="612984645">
    <w:abstractNumId w:val="13"/>
  </w:num>
  <w:num w:numId="42" w16cid:durableId="955257093">
    <w:abstractNumId w:val="39"/>
  </w:num>
  <w:num w:numId="43" w16cid:durableId="9831922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08349087">
    <w:abstractNumId w:val="22"/>
  </w:num>
  <w:num w:numId="45" w16cid:durableId="1045252219">
    <w:abstractNumId w:val="46"/>
  </w:num>
  <w:num w:numId="46" w16cid:durableId="54398348">
    <w:abstractNumId w:val="16"/>
  </w:num>
  <w:num w:numId="47" w16cid:durableId="1607544042">
    <w:abstractNumId w:val="27"/>
  </w:num>
  <w:num w:numId="48" w16cid:durableId="1447118118">
    <w:abstractNumId w:val="36"/>
  </w:num>
  <w:num w:numId="49" w16cid:durableId="2002268133">
    <w:abstractNumId w:val="10"/>
  </w:num>
  <w:num w:numId="50" w16cid:durableId="1684091591">
    <w:abstractNumId w:val="23"/>
  </w:num>
  <w:num w:numId="51" w16cid:durableId="1741950699">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1"/>
    <w:rsid w:val="00002294"/>
    <w:rsid w:val="00002328"/>
    <w:rsid w:val="00002827"/>
    <w:rsid w:val="00002E3D"/>
    <w:rsid w:val="0000378E"/>
    <w:rsid w:val="0000439F"/>
    <w:rsid w:val="000043E8"/>
    <w:rsid w:val="000047FD"/>
    <w:rsid w:val="0000539D"/>
    <w:rsid w:val="000053A5"/>
    <w:rsid w:val="000056EE"/>
    <w:rsid w:val="00006F3C"/>
    <w:rsid w:val="00010203"/>
    <w:rsid w:val="0001123E"/>
    <w:rsid w:val="000115EF"/>
    <w:rsid w:val="000121BF"/>
    <w:rsid w:val="00012A4E"/>
    <w:rsid w:val="00012B61"/>
    <w:rsid w:val="00012F0B"/>
    <w:rsid w:val="00013262"/>
    <w:rsid w:val="0001433A"/>
    <w:rsid w:val="00014431"/>
    <w:rsid w:val="00014912"/>
    <w:rsid w:val="00015F01"/>
    <w:rsid w:val="00016FDB"/>
    <w:rsid w:val="0001739E"/>
    <w:rsid w:val="00017CB4"/>
    <w:rsid w:val="000205A3"/>
    <w:rsid w:val="000206C6"/>
    <w:rsid w:val="00022861"/>
    <w:rsid w:val="00023137"/>
    <w:rsid w:val="0002359B"/>
    <w:rsid w:val="00023F59"/>
    <w:rsid w:val="00023FD2"/>
    <w:rsid w:val="00024D9C"/>
    <w:rsid w:val="00025404"/>
    <w:rsid w:val="00026CF9"/>
    <w:rsid w:val="000277B2"/>
    <w:rsid w:val="00027BD2"/>
    <w:rsid w:val="00030EC3"/>
    <w:rsid w:val="00032EC6"/>
    <w:rsid w:val="00032FA3"/>
    <w:rsid w:val="000332E4"/>
    <w:rsid w:val="0003434D"/>
    <w:rsid w:val="0003498B"/>
    <w:rsid w:val="0003518A"/>
    <w:rsid w:val="00035B1F"/>
    <w:rsid w:val="000369C8"/>
    <w:rsid w:val="00037753"/>
    <w:rsid w:val="00037A0C"/>
    <w:rsid w:val="00041670"/>
    <w:rsid w:val="0004295A"/>
    <w:rsid w:val="000442FF"/>
    <w:rsid w:val="00044B8C"/>
    <w:rsid w:val="00044C0C"/>
    <w:rsid w:val="00050127"/>
    <w:rsid w:val="000528C9"/>
    <w:rsid w:val="000544F4"/>
    <w:rsid w:val="00054527"/>
    <w:rsid w:val="000547F9"/>
    <w:rsid w:val="00055E25"/>
    <w:rsid w:val="00055F3E"/>
    <w:rsid w:val="00055FA0"/>
    <w:rsid w:val="0005676F"/>
    <w:rsid w:val="00056CF9"/>
    <w:rsid w:val="00056D40"/>
    <w:rsid w:val="00057330"/>
    <w:rsid w:val="0006028E"/>
    <w:rsid w:val="00061846"/>
    <w:rsid w:val="00061B38"/>
    <w:rsid w:val="00061DA0"/>
    <w:rsid w:val="00062012"/>
    <w:rsid w:val="00062156"/>
    <w:rsid w:val="000631AD"/>
    <w:rsid w:val="00064076"/>
    <w:rsid w:val="000652A4"/>
    <w:rsid w:val="000656CA"/>
    <w:rsid w:val="00065A0E"/>
    <w:rsid w:val="00066604"/>
    <w:rsid w:val="00067F69"/>
    <w:rsid w:val="000720D4"/>
    <w:rsid w:val="00073C40"/>
    <w:rsid w:val="0007422D"/>
    <w:rsid w:val="000753EE"/>
    <w:rsid w:val="00075B3D"/>
    <w:rsid w:val="0007668A"/>
    <w:rsid w:val="0007724A"/>
    <w:rsid w:val="00080685"/>
    <w:rsid w:val="00080731"/>
    <w:rsid w:val="00080CB5"/>
    <w:rsid w:val="0008127D"/>
    <w:rsid w:val="00081769"/>
    <w:rsid w:val="00082BF0"/>
    <w:rsid w:val="00082E57"/>
    <w:rsid w:val="000845BF"/>
    <w:rsid w:val="00084C5B"/>
    <w:rsid w:val="00084D52"/>
    <w:rsid w:val="00085FA6"/>
    <w:rsid w:val="00086545"/>
    <w:rsid w:val="00086D64"/>
    <w:rsid w:val="000913F0"/>
    <w:rsid w:val="00092631"/>
    <w:rsid w:val="00092802"/>
    <w:rsid w:val="00093599"/>
    <w:rsid w:val="0009588B"/>
    <w:rsid w:val="00095DB1"/>
    <w:rsid w:val="00095EDF"/>
    <w:rsid w:val="00095EF4"/>
    <w:rsid w:val="00097FAE"/>
    <w:rsid w:val="000A0847"/>
    <w:rsid w:val="000A2946"/>
    <w:rsid w:val="000A3F9C"/>
    <w:rsid w:val="000A5741"/>
    <w:rsid w:val="000A6A85"/>
    <w:rsid w:val="000A77FC"/>
    <w:rsid w:val="000A7A09"/>
    <w:rsid w:val="000A7F94"/>
    <w:rsid w:val="000B0A20"/>
    <w:rsid w:val="000B254E"/>
    <w:rsid w:val="000B26C3"/>
    <w:rsid w:val="000B32B9"/>
    <w:rsid w:val="000B52F3"/>
    <w:rsid w:val="000B693C"/>
    <w:rsid w:val="000B790B"/>
    <w:rsid w:val="000C3347"/>
    <w:rsid w:val="000C345A"/>
    <w:rsid w:val="000C3CE6"/>
    <w:rsid w:val="000C45E2"/>
    <w:rsid w:val="000C56FE"/>
    <w:rsid w:val="000C65E4"/>
    <w:rsid w:val="000D112D"/>
    <w:rsid w:val="000D1835"/>
    <w:rsid w:val="000D1B1B"/>
    <w:rsid w:val="000D1BFE"/>
    <w:rsid w:val="000D2380"/>
    <w:rsid w:val="000D25F1"/>
    <w:rsid w:val="000D363E"/>
    <w:rsid w:val="000D45ED"/>
    <w:rsid w:val="000D4BC6"/>
    <w:rsid w:val="000D6B62"/>
    <w:rsid w:val="000D6F5D"/>
    <w:rsid w:val="000D72EA"/>
    <w:rsid w:val="000E030D"/>
    <w:rsid w:val="000E081D"/>
    <w:rsid w:val="000E0FAA"/>
    <w:rsid w:val="000E20FD"/>
    <w:rsid w:val="000E32BE"/>
    <w:rsid w:val="000E3DE0"/>
    <w:rsid w:val="000E451E"/>
    <w:rsid w:val="000E4FA4"/>
    <w:rsid w:val="000E6398"/>
    <w:rsid w:val="000F0804"/>
    <w:rsid w:val="000F0B9B"/>
    <w:rsid w:val="000F140F"/>
    <w:rsid w:val="000F44AD"/>
    <w:rsid w:val="000F7CA8"/>
    <w:rsid w:val="001003D2"/>
    <w:rsid w:val="00102B57"/>
    <w:rsid w:val="00104DD4"/>
    <w:rsid w:val="00105A96"/>
    <w:rsid w:val="001114A5"/>
    <w:rsid w:val="00111E48"/>
    <w:rsid w:val="00112103"/>
    <w:rsid w:val="00112337"/>
    <w:rsid w:val="00112E93"/>
    <w:rsid w:val="00113F61"/>
    <w:rsid w:val="00114286"/>
    <w:rsid w:val="001150CF"/>
    <w:rsid w:val="0011678A"/>
    <w:rsid w:val="00117921"/>
    <w:rsid w:val="00117C6A"/>
    <w:rsid w:val="001202D5"/>
    <w:rsid w:val="00120489"/>
    <w:rsid w:val="00120CE6"/>
    <w:rsid w:val="00122AB8"/>
    <w:rsid w:val="00122CA1"/>
    <w:rsid w:val="00123091"/>
    <w:rsid w:val="001232E1"/>
    <w:rsid w:val="00123DE4"/>
    <w:rsid w:val="001250C5"/>
    <w:rsid w:val="00125F01"/>
    <w:rsid w:val="00126C33"/>
    <w:rsid w:val="00126D00"/>
    <w:rsid w:val="00130310"/>
    <w:rsid w:val="0013031A"/>
    <w:rsid w:val="001313C2"/>
    <w:rsid w:val="0013315D"/>
    <w:rsid w:val="001332B9"/>
    <w:rsid w:val="00133419"/>
    <w:rsid w:val="001343B0"/>
    <w:rsid w:val="00134F8C"/>
    <w:rsid w:val="001363F5"/>
    <w:rsid w:val="00136AF5"/>
    <w:rsid w:val="00136BF4"/>
    <w:rsid w:val="001378F9"/>
    <w:rsid w:val="00140152"/>
    <w:rsid w:val="001404CA"/>
    <w:rsid w:val="00141797"/>
    <w:rsid w:val="001421ED"/>
    <w:rsid w:val="0014308F"/>
    <w:rsid w:val="00143175"/>
    <w:rsid w:val="001432BB"/>
    <w:rsid w:val="0014345B"/>
    <w:rsid w:val="001436AE"/>
    <w:rsid w:val="00143F67"/>
    <w:rsid w:val="00144746"/>
    <w:rsid w:val="00145C33"/>
    <w:rsid w:val="00146363"/>
    <w:rsid w:val="0014660D"/>
    <w:rsid w:val="0015078A"/>
    <w:rsid w:val="00150EEA"/>
    <w:rsid w:val="001510DE"/>
    <w:rsid w:val="00152824"/>
    <w:rsid w:val="001530D3"/>
    <w:rsid w:val="00153593"/>
    <w:rsid w:val="001544DD"/>
    <w:rsid w:val="00154563"/>
    <w:rsid w:val="001553B9"/>
    <w:rsid w:val="00155723"/>
    <w:rsid w:val="001558A4"/>
    <w:rsid w:val="001558D5"/>
    <w:rsid w:val="001605A9"/>
    <w:rsid w:val="001621B3"/>
    <w:rsid w:val="00170F5B"/>
    <w:rsid w:val="00171DCC"/>
    <w:rsid w:val="00172677"/>
    <w:rsid w:val="00172CBC"/>
    <w:rsid w:val="001742FB"/>
    <w:rsid w:val="0017438C"/>
    <w:rsid w:val="00174AEA"/>
    <w:rsid w:val="00174F2A"/>
    <w:rsid w:val="00175F11"/>
    <w:rsid w:val="00176AB1"/>
    <w:rsid w:val="001773A8"/>
    <w:rsid w:val="00180CD3"/>
    <w:rsid w:val="0018217E"/>
    <w:rsid w:val="00182CF5"/>
    <w:rsid w:val="00184CE0"/>
    <w:rsid w:val="001853DC"/>
    <w:rsid w:val="0018663A"/>
    <w:rsid w:val="00186A69"/>
    <w:rsid w:val="001915BA"/>
    <w:rsid w:val="00191B57"/>
    <w:rsid w:val="001923AF"/>
    <w:rsid w:val="0019462E"/>
    <w:rsid w:val="0019490B"/>
    <w:rsid w:val="00195953"/>
    <w:rsid w:val="00196946"/>
    <w:rsid w:val="00197515"/>
    <w:rsid w:val="001977EB"/>
    <w:rsid w:val="00197C7F"/>
    <w:rsid w:val="001A00F4"/>
    <w:rsid w:val="001A0E77"/>
    <w:rsid w:val="001A16ED"/>
    <w:rsid w:val="001A1C54"/>
    <w:rsid w:val="001A2342"/>
    <w:rsid w:val="001A25BD"/>
    <w:rsid w:val="001A2E65"/>
    <w:rsid w:val="001A415B"/>
    <w:rsid w:val="001A66B8"/>
    <w:rsid w:val="001A7465"/>
    <w:rsid w:val="001B1193"/>
    <w:rsid w:val="001B2087"/>
    <w:rsid w:val="001B2283"/>
    <w:rsid w:val="001B2C42"/>
    <w:rsid w:val="001B31C0"/>
    <w:rsid w:val="001B340C"/>
    <w:rsid w:val="001B3C02"/>
    <w:rsid w:val="001B528E"/>
    <w:rsid w:val="001B5D20"/>
    <w:rsid w:val="001B60C9"/>
    <w:rsid w:val="001B680B"/>
    <w:rsid w:val="001B6A00"/>
    <w:rsid w:val="001B6D06"/>
    <w:rsid w:val="001B7079"/>
    <w:rsid w:val="001C041E"/>
    <w:rsid w:val="001C101C"/>
    <w:rsid w:val="001C1642"/>
    <w:rsid w:val="001C2A00"/>
    <w:rsid w:val="001C2BF6"/>
    <w:rsid w:val="001C2D2D"/>
    <w:rsid w:val="001C3C03"/>
    <w:rsid w:val="001C3CFF"/>
    <w:rsid w:val="001C3D41"/>
    <w:rsid w:val="001C3F87"/>
    <w:rsid w:val="001C4E95"/>
    <w:rsid w:val="001C6057"/>
    <w:rsid w:val="001C6706"/>
    <w:rsid w:val="001C672D"/>
    <w:rsid w:val="001C6C78"/>
    <w:rsid w:val="001C721E"/>
    <w:rsid w:val="001C7BED"/>
    <w:rsid w:val="001C7D15"/>
    <w:rsid w:val="001D0698"/>
    <w:rsid w:val="001D1730"/>
    <w:rsid w:val="001D1870"/>
    <w:rsid w:val="001D2102"/>
    <w:rsid w:val="001D4412"/>
    <w:rsid w:val="001D49E7"/>
    <w:rsid w:val="001D4AF9"/>
    <w:rsid w:val="001D53F8"/>
    <w:rsid w:val="001D5BC8"/>
    <w:rsid w:val="001D7370"/>
    <w:rsid w:val="001E0659"/>
    <w:rsid w:val="001E0853"/>
    <w:rsid w:val="001E1045"/>
    <w:rsid w:val="001E16E0"/>
    <w:rsid w:val="001E5134"/>
    <w:rsid w:val="001E5329"/>
    <w:rsid w:val="001E551F"/>
    <w:rsid w:val="001E5DC9"/>
    <w:rsid w:val="001F0A0E"/>
    <w:rsid w:val="001F0F7B"/>
    <w:rsid w:val="001F10FD"/>
    <w:rsid w:val="001F204C"/>
    <w:rsid w:val="001F20CC"/>
    <w:rsid w:val="001F28A1"/>
    <w:rsid w:val="001F2D5E"/>
    <w:rsid w:val="001F305D"/>
    <w:rsid w:val="001F3821"/>
    <w:rsid w:val="001F3E0B"/>
    <w:rsid w:val="001F44C3"/>
    <w:rsid w:val="001F74DA"/>
    <w:rsid w:val="00200E63"/>
    <w:rsid w:val="002021F3"/>
    <w:rsid w:val="002027E3"/>
    <w:rsid w:val="00203866"/>
    <w:rsid w:val="002039C4"/>
    <w:rsid w:val="0020488A"/>
    <w:rsid w:val="0020507E"/>
    <w:rsid w:val="00205995"/>
    <w:rsid w:val="00206226"/>
    <w:rsid w:val="00206919"/>
    <w:rsid w:val="00207DCC"/>
    <w:rsid w:val="00211E20"/>
    <w:rsid w:val="00211F69"/>
    <w:rsid w:val="002123A8"/>
    <w:rsid w:val="0021256E"/>
    <w:rsid w:val="002125DA"/>
    <w:rsid w:val="00215050"/>
    <w:rsid w:val="002156BA"/>
    <w:rsid w:val="00215ECC"/>
    <w:rsid w:val="002168CB"/>
    <w:rsid w:val="00216ADA"/>
    <w:rsid w:val="00217445"/>
    <w:rsid w:val="00220EDA"/>
    <w:rsid w:val="00221044"/>
    <w:rsid w:val="0022236B"/>
    <w:rsid w:val="00222DA1"/>
    <w:rsid w:val="00223A7F"/>
    <w:rsid w:val="00223BF2"/>
    <w:rsid w:val="002250FB"/>
    <w:rsid w:val="00225384"/>
    <w:rsid w:val="0022772A"/>
    <w:rsid w:val="00227AC1"/>
    <w:rsid w:val="00227B62"/>
    <w:rsid w:val="002303A1"/>
    <w:rsid w:val="00230806"/>
    <w:rsid w:val="00230CB7"/>
    <w:rsid w:val="0023111C"/>
    <w:rsid w:val="00231BD2"/>
    <w:rsid w:val="002323B2"/>
    <w:rsid w:val="002327D5"/>
    <w:rsid w:val="0023294C"/>
    <w:rsid w:val="00232B01"/>
    <w:rsid w:val="00232FBA"/>
    <w:rsid w:val="00233149"/>
    <w:rsid w:val="002374AE"/>
    <w:rsid w:val="0023772B"/>
    <w:rsid w:val="00237B58"/>
    <w:rsid w:val="00237DB4"/>
    <w:rsid w:val="002404B5"/>
    <w:rsid w:val="00240F84"/>
    <w:rsid w:val="00242A97"/>
    <w:rsid w:val="00244D45"/>
    <w:rsid w:val="00245A32"/>
    <w:rsid w:val="00246F58"/>
    <w:rsid w:val="0024719E"/>
    <w:rsid w:val="002471B8"/>
    <w:rsid w:val="0025134D"/>
    <w:rsid w:val="00251C2E"/>
    <w:rsid w:val="00252BFA"/>
    <w:rsid w:val="00252C10"/>
    <w:rsid w:val="002535E6"/>
    <w:rsid w:val="00254104"/>
    <w:rsid w:val="00254611"/>
    <w:rsid w:val="00254B2F"/>
    <w:rsid w:val="00254C12"/>
    <w:rsid w:val="00254D7C"/>
    <w:rsid w:val="00255CB5"/>
    <w:rsid w:val="00257FD8"/>
    <w:rsid w:val="00260F74"/>
    <w:rsid w:val="0026153E"/>
    <w:rsid w:val="0026190F"/>
    <w:rsid w:val="00262431"/>
    <w:rsid w:val="00262FFA"/>
    <w:rsid w:val="002631F7"/>
    <w:rsid w:val="00263DF7"/>
    <w:rsid w:val="002653DA"/>
    <w:rsid w:val="002654C0"/>
    <w:rsid w:val="0026722C"/>
    <w:rsid w:val="002703B8"/>
    <w:rsid w:val="002705A1"/>
    <w:rsid w:val="00270826"/>
    <w:rsid w:val="00270F17"/>
    <w:rsid w:val="002714FF"/>
    <w:rsid w:val="00273036"/>
    <w:rsid w:val="002735FA"/>
    <w:rsid w:val="0027363B"/>
    <w:rsid w:val="0027483B"/>
    <w:rsid w:val="00276BFC"/>
    <w:rsid w:val="0028309D"/>
    <w:rsid w:val="00284D7C"/>
    <w:rsid w:val="00285146"/>
    <w:rsid w:val="002857EA"/>
    <w:rsid w:val="002869E1"/>
    <w:rsid w:val="0028745E"/>
    <w:rsid w:val="00287998"/>
    <w:rsid w:val="00290598"/>
    <w:rsid w:val="00290F7E"/>
    <w:rsid w:val="00290FE5"/>
    <w:rsid w:val="00291299"/>
    <w:rsid w:val="002943DC"/>
    <w:rsid w:val="002944F9"/>
    <w:rsid w:val="00295B97"/>
    <w:rsid w:val="00296435"/>
    <w:rsid w:val="0029646C"/>
    <w:rsid w:val="00296E69"/>
    <w:rsid w:val="00297A69"/>
    <w:rsid w:val="002A15DA"/>
    <w:rsid w:val="002A1D71"/>
    <w:rsid w:val="002A2688"/>
    <w:rsid w:val="002A2F1A"/>
    <w:rsid w:val="002A3F9C"/>
    <w:rsid w:val="002A441F"/>
    <w:rsid w:val="002A57A4"/>
    <w:rsid w:val="002A6234"/>
    <w:rsid w:val="002A7EBB"/>
    <w:rsid w:val="002A7FA7"/>
    <w:rsid w:val="002B046F"/>
    <w:rsid w:val="002B1467"/>
    <w:rsid w:val="002B1BD9"/>
    <w:rsid w:val="002B61DB"/>
    <w:rsid w:val="002B7901"/>
    <w:rsid w:val="002C0E89"/>
    <w:rsid w:val="002C3E27"/>
    <w:rsid w:val="002C42F1"/>
    <w:rsid w:val="002C5E8F"/>
    <w:rsid w:val="002C6431"/>
    <w:rsid w:val="002C6B4A"/>
    <w:rsid w:val="002C79E4"/>
    <w:rsid w:val="002C7F8D"/>
    <w:rsid w:val="002D1B15"/>
    <w:rsid w:val="002D1D19"/>
    <w:rsid w:val="002D2DFD"/>
    <w:rsid w:val="002D35D3"/>
    <w:rsid w:val="002D7558"/>
    <w:rsid w:val="002E01B4"/>
    <w:rsid w:val="002E028C"/>
    <w:rsid w:val="002E14FA"/>
    <w:rsid w:val="002E1B25"/>
    <w:rsid w:val="002E2103"/>
    <w:rsid w:val="002E21D7"/>
    <w:rsid w:val="002E2F76"/>
    <w:rsid w:val="002E5790"/>
    <w:rsid w:val="002E7482"/>
    <w:rsid w:val="002F149C"/>
    <w:rsid w:val="002F22DF"/>
    <w:rsid w:val="002F25A7"/>
    <w:rsid w:val="002F4FB4"/>
    <w:rsid w:val="002F52D6"/>
    <w:rsid w:val="003004D9"/>
    <w:rsid w:val="003013AC"/>
    <w:rsid w:val="00302023"/>
    <w:rsid w:val="00304580"/>
    <w:rsid w:val="0030480B"/>
    <w:rsid w:val="00304F6A"/>
    <w:rsid w:val="003051EC"/>
    <w:rsid w:val="003055CD"/>
    <w:rsid w:val="0030605C"/>
    <w:rsid w:val="0030627F"/>
    <w:rsid w:val="003066E4"/>
    <w:rsid w:val="00306FA8"/>
    <w:rsid w:val="00307BF3"/>
    <w:rsid w:val="00310B23"/>
    <w:rsid w:val="00310CDD"/>
    <w:rsid w:val="003111F4"/>
    <w:rsid w:val="00312F27"/>
    <w:rsid w:val="0031456A"/>
    <w:rsid w:val="00316184"/>
    <w:rsid w:val="00316612"/>
    <w:rsid w:val="00317D5A"/>
    <w:rsid w:val="00320011"/>
    <w:rsid w:val="00321338"/>
    <w:rsid w:val="003221D2"/>
    <w:rsid w:val="00323776"/>
    <w:rsid w:val="003242D2"/>
    <w:rsid w:val="003248B1"/>
    <w:rsid w:val="003269CD"/>
    <w:rsid w:val="00327A01"/>
    <w:rsid w:val="00327AAB"/>
    <w:rsid w:val="00327DF0"/>
    <w:rsid w:val="00327F28"/>
    <w:rsid w:val="00330FC6"/>
    <w:rsid w:val="00331015"/>
    <w:rsid w:val="00331E80"/>
    <w:rsid w:val="00332195"/>
    <w:rsid w:val="003328BD"/>
    <w:rsid w:val="003336D7"/>
    <w:rsid w:val="00333980"/>
    <w:rsid w:val="0033478E"/>
    <w:rsid w:val="00335108"/>
    <w:rsid w:val="0033556F"/>
    <w:rsid w:val="003361C7"/>
    <w:rsid w:val="00336768"/>
    <w:rsid w:val="00337AD1"/>
    <w:rsid w:val="003416E8"/>
    <w:rsid w:val="00341A12"/>
    <w:rsid w:val="0034379A"/>
    <w:rsid w:val="00344B86"/>
    <w:rsid w:val="00344C01"/>
    <w:rsid w:val="00345701"/>
    <w:rsid w:val="00345B4E"/>
    <w:rsid w:val="00346188"/>
    <w:rsid w:val="00347380"/>
    <w:rsid w:val="003478DF"/>
    <w:rsid w:val="00347ABE"/>
    <w:rsid w:val="00351600"/>
    <w:rsid w:val="00352766"/>
    <w:rsid w:val="003536FA"/>
    <w:rsid w:val="00353818"/>
    <w:rsid w:val="003547D1"/>
    <w:rsid w:val="00354DDC"/>
    <w:rsid w:val="00355D03"/>
    <w:rsid w:val="00355DA0"/>
    <w:rsid w:val="003567D5"/>
    <w:rsid w:val="003570F6"/>
    <w:rsid w:val="003572BE"/>
    <w:rsid w:val="003576DB"/>
    <w:rsid w:val="0036024E"/>
    <w:rsid w:val="00361265"/>
    <w:rsid w:val="00362A75"/>
    <w:rsid w:val="00365133"/>
    <w:rsid w:val="00365485"/>
    <w:rsid w:val="00365D8B"/>
    <w:rsid w:val="00366209"/>
    <w:rsid w:val="003667AA"/>
    <w:rsid w:val="0037150B"/>
    <w:rsid w:val="003715BC"/>
    <w:rsid w:val="00371F61"/>
    <w:rsid w:val="003722FD"/>
    <w:rsid w:val="0037235E"/>
    <w:rsid w:val="00372E05"/>
    <w:rsid w:val="00373BFE"/>
    <w:rsid w:val="00373FC0"/>
    <w:rsid w:val="00374860"/>
    <w:rsid w:val="00375AD9"/>
    <w:rsid w:val="00375BE6"/>
    <w:rsid w:val="00376AB2"/>
    <w:rsid w:val="00377301"/>
    <w:rsid w:val="00377E3C"/>
    <w:rsid w:val="00380675"/>
    <w:rsid w:val="00381183"/>
    <w:rsid w:val="00381185"/>
    <w:rsid w:val="00383709"/>
    <w:rsid w:val="003838B9"/>
    <w:rsid w:val="00384C18"/>
    <w:rsid w:val="00384F17"/>
    <w:rsid w:val="003854CA"/>
    <w:rsid w:val="00386994"/>
    <w:rsid w:val="003869EB"/>
    <w:rsid w:val="0039193F"/>
    <w:rsid w:val="00392379"/>
    <w:rsid w:val="00392BD3"/>
    <w:rsid w:val="0039326B"/>
    <w:rsid w:val="00393A96"/>
    <w:rsid w:val="003946E0"/>
    <w:rsid w:val="0039492E"/>
    <w:rsid w:val="0039518B"/>
    <w:rsid w:val="00395613"/>
    <w:rsid w:val="003958F4"/>
    <w:rsid w:val="00395A53"/>
    <w:rsid w:val="00396226"/>
    <w:rsid w:val="00396732"/>
    <w:rsid w:val="003970EB"/>
    <w:rsid w:val="0039719F"/>
    <w:rsid w:val="003A103C"/>
    <w:rsid w:val="003A17BE"/>
    <w:rsid w:val="003A193F"/>
    <w:rsid w:val="003A3192"/>
    <w:rsid w:val="003A3291"/>
    <w:rsid w:val="003A3C06"/>
    <w:rsid w:val="003A4C31"/>
    <w:rsid w:val="003A5816"/>
    <w:rsid w:val="003A59AB"/>
    <w:rsid w:val="003B1482"/>
    <w:rsid w:val="003B4C15"/>
    <w:rsid w:val="003B6705"/>
    <w:rsid w:val="003B7246"/>
    <w:rsid w:val="003B794D"/>
    <w:rsid w:val="003C020E"/>
    <w:rsid w:val="003C06FF"/>
    <w:rsid w:val="003C08D9"/>
    <w:rsid w:val="003C193F"/>
    <w:rsid w:val="003C1D3B"/>
    <w:rsid w:val="003C2AC0"/>
    <w:rsid w:val="003C3288"/>
    <w:rsid w:val="003C34A0"/>
    <w:rsid w:val="003C3BE5"/>
    <w:rsid w:val="003C5673"/>
    <w:rsid w:val="003C5739"/>
    <w:rsid w:val="003C605C"/>
    <w:rsid w:val="003C700C"/>
    <w:rsid w:val="003D04EF"/>
    <w:rsid w:val="003D08E3"/>
    <w:rsid w:val="003D1333"/>
    <w:rsid w:val="003D205F"/>
    <w:rsid w:val="003D20DD"/>
    <w:rsid w:val="003D2310"/>
    <w:rsid w:val="003D2363"/>
    <w:rsid w:val="003D389A"/>
    <w:rsid w:val="003D4D8A"/>
    <w:rsid w:val="003D59AB"/>
    <w:rsid w:val="003D60CF"/>
    <w:rsid w:val="003D6D6C"/>
    <w:rsid w:val="003D7DFB"/>
    <w:rsid w:val="003E0DC7"/>
    <w:rsid w:val="003E1216"/>
    <w:rsid w:val="003E134E"/>
    <w:rsid w:val="003E3092"/>
    <w:rsid w:val="003E3155"/>
    <w:rsid w:val="003E3560"/>
    <w:rsid w:val="003E3864"/>
    <w:rsid w:val="003E445E"/>
    <w:rsid w:val="003E4C84"/>
    <w:rsid w:val="003E6E51"/>
    <w:rsid w:val="003E7A9C"/>
    <w:rsid w:val="003E7C5C"/>
    <w:rsid w:val="003F0737"/>
    <w:rsid w:val="003F1305"/>
    <w:rsid w:val="003F13C4"/>
    <w:rsid w:val="003F1A97"/>
    <w:rsid w:val="003F1AF9"/>
    <w:rsid w:val="003F2DB1"/>
    <w:rsid w:val="003F2DC8"/>
    <w:rsid w:val="003F381E"/>
    <w:rsid w:val="003F44BD"/>
    <w:rsid w:val="003F5681"/>
    <w:rsid w:val="003F5BEB"/>
    <w:rsid w:val="003F6292"/>
    <w:rsid w:val="003F657C"/>
    <w:rsid w:val="003F6585"/>
    <w:rsid w:val="003F68A6"/>
    <w:rsid w:val="003F7829"/>
    <w:rsid w:val="004000E8"/>
    <w:rsid w:val="00400E6C"/>
    <w:rsid w:val="00400F47"/>
    <w:rsid w:val="00402950"/>
    <w:rsid w:val="00402F50"/>
    <w:rsid w:val="004034CB"/>
    <w:rsid w:val="00403992"/>
    <w:rsid w:val="00404D26"/>
    <w:rsid w:val="00412B40"/>
    <w:rsid w:val="00412CEE"/>
    <w:rsid w:val="0041414F"/>
    <w:rsid w:val="00415B2D"/>
    <w:rsid w:val="004176F6"/>
    <w:rsid w:val="0042075B"/>
    <w:rsid w:val="004207D7"/>
    <w:rsid w:val="004218A7"/>
    <w:rsid w:val="00423A4B"/>
    <w:rsid w:val="00424431"/>
    <w:rsid w:val="004248C3"/>
    <w:rsid w:val="004249AD"/>
    <w:rsid w:val="004259C9"/>
    <w:rsid w:val="00427249"/>
    <w:rsid w:val="00431075"/>
    <w:rsid w:val="00433457"/>
    <w:rsid w:val="00434B78"/>
    <w:rsid w:val="00434C64"/>
    <w:rsid w:val="004362D0"/>
    <w:rsid w:val="004401F7"/>
    <w:rsid w:val="004408E8"/>
    <w:rsid w:val="00441257"/>
    <w:rsid w:val="004416A8"/>
    <w:rsid w:val="0044239C"/>
    <w:rsid w:val="00442444"/>
    <w:rsid w:val="00444B59"/>
    <w:rsid w:val="00450EFB"/>
    <w:rsid w:val="004519C7"/>
    <w:rsid w:val="00452C7A"/>
    <w:rsid w:val="00453A36"/>
    <w:rsid w:val="004547AF"/>
    <w:rsid w:val="00454D0B"/>
    <w:rsid w:val="00455706"/>
    <w:rsid w:val="00455F60"/>
    <w:rsid w:val="00456E59"/>
    <w:rsid w:val="00457142"/>
    <w:rsid w:val="00457AC5"/>
    <w:rsid w:val="0046052C"/>
    <w:rsid w:val="004609B6"/>
    <w:rsid w:val="004616C5"/>
    <w:rsid w:val="004623E6"/>
    <w:rsid w:val="0046447B"/>
    <w:rsid w:val="0046461E"/>
    <w:rsid w:val="00467156"/>
    <w:rsid w:val="00470DDB"/>
    <w:rsid w:val="00470EEB"/>
    <w:rsid w:val="004718B9"/>
    <w:rsid w:val="0047221D"/>
    <w:rsid w:val="00473718"/>
    <w:rsid w:val="00473D06"/>
    <w:rsid w:val="00474439"/>
    <w:rsid w:val="00474BC5"/>
    <w:rsid w:val="0047541D"/>
    <w:rsid w:val="00475E3F"/>
    <w:rsid w:val="004763A4"/>
    <w:rsid w:val="004765D0"/>
    <w:rsid w:val="00477885"/>
    <w:rsid w:val="00477955"/>
    <w:rsid w:val="00477FED"/>
    <w:rsid w:val="00482B0A"/>
    <w:rsid w:val="00482BD8"/>
    <w:rsid w:val="00483F0C"/>
    <w:rsid w:val="0048417B"/>
    <w:rsid w:val="00484F10"/>
    <w:rsid w:val="0048583B"/>
    <w:rsid w:val="00486781"/>
    <w:rsid w:val="0048720E"/>
    <w:rsid w:val="00487400"/>
    <w:rsid w:val="00490956"/>
    <w:rsid w:val="00492AF6"/>
    <w:rsid w:val="00493026"/>
    <w:rsid w:val="004930C4"/>
    <w:rsid w:val="0049476B"/>
    <w:rsid w:val="00494CF5"/>
    <w:rsid w:val="004953F1"/>
    <w:rsid w:val="00495AC2"/>
    <w:rsid w:val="0049623D"/>
    <w:rsid w:val="00497246"/>
    <w:rsid w:val="00497D1B"/>
    <w:rsid w:val="004A085B"/>
    <w:rsid w:val="004A0B9D"/>
    <w:rsid w:val="004A38FE"/>
    <w:rsid w:val="004A5137"/>
    <w:rsid w:val="004A5E10"/>
    <w:rsid w:val="004A6506"/>
    <w:rsid w:val="004A70A1"/>
    <w:rsid w:val="004B0AFD"/>
    <w:rsid w:val="004B1E60"/>
    <w:rsid w:val="004B2E07"/>
    <w:rsid w:val="004B33BF"/>
    <w:rsid w:val="004B5FF7"/>
    <w:rsid w:val="004B717C"/>
    <w:rsid w:val="004C19AD"/>
    <w:rsid w:val="004C27B5"/>
    <w:rsid w:val="004C4116"/>
    <w:rsid w:val="004C64DE"/>
    <w:rsid w:val="004C77F6"/>
    <w:rsid w:val="004D0BBA"/>
    <w:rsid w:val="004D124B"/>
    <w:rsid w:val="004D177E"/>
    <w:rsid w:val="004D231C"/>
    <w:rsid w:val="004D25B2"/>
    <w:rsid w:val="004D2CCB"/>
    <w:rsid w:val="004D2D64"/>
    <w:rsid w:val="004D3267"/>
    <w:rsid w:val="004D4607"/>
    <w:rsid w:val="004D4C33"/>
    <w:rsid w:val="004D4D63"/>
    <w:rsid w:val="004D7017"/>
    <w:rsid w:val="004D7433"/>
    <w:rsid w:val="004D7499"/>
    <w:rsid w:val="004D7795"/>
    <w:rsid w:val="004D7EC1"/>
    <w:rsid w:val="004E01BE"/>
    <w:rsid w:val="004E069E"/>
    <w:rsid w:val="004E129D"/>
    <w:rsid w:val="004E256D"/>
    <w:rsid w:val="004E2BBD"/>
    <w:rsid w:val="004E3375"/>
    <w:rsid w:val="004E4C81"/>
    <w:rsid w:val="004E5465"/>
    <w:rsid w:val="004E5C1F"/>
    <w:rsid w:val="004E641B"/>
    <w:rsid w:val="004E6648"/>
    <w:rsid w:val="004E6672"/>
    <w:rsid w:val="004E72B2"/>
    <w:rsid w:val="004F04F9"/>
    <w:rsid w:val="004F0A19"/>
    <w:rsid w:val="004F0A32"/>
    <w:rsid w:val="004F145D"/>
    <w:rsid w:val="004F17AB"/>
    <w:rsid w:val="004F214D"/>
    <w:rsid w:val="004F5396"/>
    <w:rsid w:val="004F586F"/>
    <w:rsid w:val="004F5AE0"/>
    <w:rsid w:val="004F6B30"/>
    <w:rsid w:val="004F6F63"/>
    <w:rsid w:val="004F794D"/>
    <w:rsid w:val="00500712"/>
    <w:rsid w:val="00501164"/>
    <w:rsid w:val="005031F2"/>
    <w:rsid w:val="005032B9"/>
    <w:rsid w:val="00506DB6"/>
    <w:rsid w:val="00506F03"/>
    <w:rsid w:val="00510A1D"/>
    <w:rsid w:val="00512023"/>
    <w:rsid w:val="005123B3"/>
    <w:rsid w:val="005126BC"/>
    <w:rsid w:val="005128DB"/>
    <w:rsid w:val="005145F8"/>
    <w:rsid w:val="00514839"/>
    <w:rsid w:val="0051543A"/>
    <w:rsid w:val="00517C73"/>
    <w:rsid w:val="005200B7"/>
    <w:rsid w:val="0052288C"/>
    <w:rsid w:val="005235BE"/>
    <w:rsid w:val="005245B2"/>
    <w:rsid w:val="005245C8"/>
    <w:rsid w:val="0052499C"/>
    <w:rsid w:val="00524BE1"/>
    <w:rsid w:val="00526E06"/>
    <w:rsid w:val="00527198"/>
    <w:rsid w:val="00527A85"/>
    <w:rsid w:val="00530AC4"/>
    <w:rsid w:val="00532718"/>
    <w:rsid w:val="0053289C"/>
    <w:rsid w:val="005328D9"/>
    <w:rsid w:val="0053321F"/>
    <w:rsid w:val="00533F39"/>
    <w:rsid w:val="00534C88"/>
    <w:rsid w:val="0053549E"/>
    <w:rsid w:val="00535BFA"/>
    <w:rsid w:val="00536B2B"/>
    <w:rsid w:val="0053774F"/>
    <w:rsid w:val="00537E1C"/>
    <w:rsid w:val="0054134C"/>
    <w:rsid w:val="00541CF8"/>
    <w:rsid w:val="00541FB4"/>
    <w:rsid w:val="005420A8"/>
    <w:rsid w:val="00542DE9"/>
    <w:rsid w:val="005430B6"/>
    <w:rsid w:val="00543433"/>
    <w:rsid w:val="0054488A"/>
    <w:rsid w:val="00546BCB"/>
    <w:rsid w:val="00547913"/>
    <w:rsid w:val="00547FCB"/>
    <w:rsid w:val="0055007F"/>
    <w:rsid w:val="0055111B"/>
    <w:rsid w:val="00551BF6"/>
    <w:rsid w:val="00552FB6"/>
    <w:rsid w:val="00553BBD"/>
    <w:rsid w:val="00553CCE"/>
    <w:rsid w:val="00554469"/>
    <w:rsid w:val="005548F9"/>
    <w:rsid w:val="00556454"/>
    <w:rsid w:val="00557C5E"/>
    <w:rsid w:val="00561460"/>
    <w:rsid w:val="005625C1"/>
    <w:rsid w:val="0056322B"/>
    <w:rsid w:val="005632C3"/>
    <w:rsid w:val="00563AEF"/>
    <w:rsid w:val="00564001"/>
    <w:rsid w:val="005653D2"/>
    <w:rsid w:val="00565C82"/>
    <w:rsid w:val="005664EE"/>
    <w:rsid w:val="00566AEA"/>
    <w:rsid w:val="005676D2"/>
    <w:rsid w:val="00567C13"/>
    <w:rsid w:val="00567CDD"/>
    <w:rsid w:val="005708B9"/>
    <w:rsid w:val="00570B2F"/>
    <w:rsid w:val="005745D3"/>
    <w:rsid w:val="00574BC0"/>
    <w:rsid w:val="00576A46"/>
    <w:rsid w:val="00577475"/>
    <w:rsid w:val="005776B3"/>
    <w:rsid w:val="005813F6"/>
    <w:rsid w:val="005817EC"/>
    <w:rsid w:val="0058208E"/>
    <w:rsid w:val="005826D6"/>
    <w:rsid w:val="00583014"/>
    <w:rsid w:val="00584A71"/>
    <w:rsid w:val="005867F2"/>
    <w:rsid w:val="0059084A"/>
    <w:rsid w:val="00590B66"/>
    <w:rsid w:val="005913D7"/>
    <w:rsid w:val="00592721"/>
    <w:rsid w:val="00592CD2"/>
    <w:rsid w:val="00594F6A"/>
    <w:rsid w:val="00595600"/>
    <w:rsid w:val="005961F6"/>
    <w:rsid w:val="005A04A5"/>
    <w:rsid w:val="005A0F53"/>
    <w:rsid w:val="005A23C5"/>
    <w:rsid w:val="005A2A56"/>
    <w:rsid w:val="005A39AE"/>
    <w:rsid w:val="005A3AA1"/>
    <w:rsid w:val="005A4004"/>
    <w:rsid w:val="005A5A7C"/>
    <w:rsid w:val="005A62B8"/>
    <w:rsid w:val="005A70D8"/>
    <w:rsid w:val="005A7526"/>
    <w:rsid w:val="005A7BEB"/>
    <w:rsid w:val="005A7F0B"/>
    <w:rsid w:val="005B1944"/>
    <w:rsid w:val="005B1A30"/>
    <w:rsid w:val="005B22CF"/>
    <w:rsid w:val="005B2BDF"/>
    <w:rsid w:val="005B40AB"/>
    <w:rsid w:val="005B5E5B"/>
    <w:rsid w:val="005B6A2A"/>
    <w:rsid w:val="005B6C77"/>
    <w:rsid w:val="005B7B24"/>
    <w:rsid w:val="005C1229"/>
    <w:rsid w:val="005C1B14"/>
    <w:rsid w:val="005C20BB"/>
    <w:rsid w:val="005C2694"/>
    <w:rsid w:val="005C3ABF"/>
    <w:rsid w:val="005C4413"/>
    <w:rsid w:val="005C7760"/>
    <w:rsid w:val="005C7BB8"/>
    <w:rsid w:val="005C7D7E"/>
    <w:rsid w:val="005D0015"/>
    <w:rsid w:val="005D092F"/>
    <w:rsid w:val="005D0CD4"/>
    <w:rsid w:val="005D10E7"/>
    <w:rsid w:val="005D1C0B"/>
    <w:rsid w:val="005D2615"/>
    <w:rsid w:val="005D26BD"/>
    <w:rsid w:val="005D40F1"/>
    <w:rsid w:val="005D426D"/>
    <w:rsid w:val="005D491C"/>
    <w:rsid w:val="005D5172"/>
    <w:rsid w:val="005D5651"/>
    <w:rsid w:val="005D58BB"/>
    <w:rsid w:val="005D5FA5"/>
    <w:rsid w:val="005D6EFA"/>
    <w:rsid w:val="005D6F22"/>
    <w:rsid w:val="005D74A7"/>
    <w:rsid w:val="005D74DA"/>
    <w:rsid w:val="005D7F79"/>
    <w:rsid w:val="005E282C"/>
    <w:rsid w:val="005E3083"/>
    <w:rsid w:val="005E42DE"/>
    <w:rsid w:val="005E4CA4"/>
    <w:rsid w:val="005E4DA9"/>
    <w:rsid w:val="005E5309"/>
    <w:rsid w:val="005E5D01"/>
    <w:rsid w:val="005E6D7C"/>
    <w:rsid w:val="005F0B01"/>
    <w:rsid w:val="005F18DD"/>
    <w:rsid w:val="005F1B3E"/>
    <w:rsid w:val="005F2930"/>
    <w:rsid w:val="005F317E"/>
    <w:rsid w:val="005F326F"/>
    <w:rsid w:val="005F38C6"/>
    <w:rsid w:val="005F4B4E"/>
    <w:rsid w:val="005F5365"/>
    <w:rsid w:val="005F6228"/>
    <w:rsid w:val="005F71CB"/>
    <w:rsid w:val="005F7EF4"/>
    <w:rsid w:val="00601595"/>
    <w:rsid w:val="0060181E"/>
    <w:rsid w:val="00601F6B"/>
    <w:rsid w:val="006029DA"/>
    <w:rsid w:val="00604367"/>
    <w:rsid w:val="0060499E"/>
    <w:rsid w:val="00604D9E"/>
    <w:rsid w:val="00606609"/>
    <w:rsid w:val="006069C0"/>
    <w:rsid w:val="00606A6D"/>
    <w:rsid w:val="00607193"/>
    <w:rsid w:val="0061011F"/>
    <w:rsid w:val="00610CB1"/>
    <w:rsid w:val="00610F56"/>
    <w:rsid w:val="00613193"/>
    <w:rsid w:val="0061323E"/>
    <w:rsid w:val="006133D2"/>
    <w:rsid w:val="0061635D"/>
    <w:rsid w:val="00616B26"/>
    <w:rsid w:val="006206DF"/>
    <w:rsid w:val="00620FC3"/>
    <w:rsid w:val="00621907"/>
    <w:rsid w:val="00624FEA"/>
    <w:rsid w:val="006255FB"/>
    <w:rsid w:val="00625E83"/>
    <w:rsid w:val="00630C62"/>
    <w:rsid w:val="006334F8"/>
    <w:rsid w:val="00635011"/>
    <w:rsid w:val="0063635E"/>
    <w:rsid w:val="00636504"/>
    <w:rsid w:val="00636A62"/>
    <w:rsid w:val="00636AB2"/>
    <w:rsid w:val="00641DF8"/>
    <w:rsid w:val="00643784"/>
    <w:rsid w:val="006450AC"/>
    <w:rsid w:val="00645165"/>
    <w:rsid w:val="00645703"/>
    <w:rsid w:val="00645A49"/>
    <w:rsid w:val="00646003"/>
    <w:rsid w:val="00646F37"/>
    <w:rsid w:val="00647344"/>
    <w:rsid w:val="00647421"/>
    <w:rsid w:val="006503AC"/>
    <w:rsid w:val="00650563"/>
    <w:rsid w:val="00650EAB"/>
    <w:rsid w:val="00651EEA"/>
    <w:rsid w:val="00652EB9"/>
    <w:rsid w:val="00653606"/>
    <w:rsid w:val="006537A7"/>
    <w:rsid w:val="006548E6"/>
    <w:rsid w:val="0065511C"/>
    <w:rsid w:val="006569EB"/>
    <w:rsid w:val="00657047"/>
    <w:rsid w:val="006573ED"/>
    <w:rsid w:val="0065769B"/>
    <w:rsid w:val="0065794A"/>
    <w:rsid w:val="00657C1E"/>
    <w:rsid w:val="0066041F"/>
    <w:rsid w:val="00660C3A"/>
    <w:rsid w:val="00660D0A"/>
    <w:rsid w:val="0066477A"/>
    <w:rsid w:val="00665D91"/>
    <w:rsid w:val="00666359"/>
    <w:rsid w:val="006666DD"/>
    <w:rsid w:val="00667C9C"/>
    <w:rsid w:val="0067047C"/>
    <w:rsid w:val="006714C0"/>
    <w:rsid w:val="0067151A"/>
    <w:rsid w:val="00672003"/>
    <w:rsid w:val="00672403"/>
    <w:rsid w:val="00672979"/>
    <w:rsid w:val="006729D1"/>
    <w:rsid w:val="006730C1"/>
    <w:rsid w:val="0067429B"/>
    <w:rsid w:val="00675595"/>
    <w:rsid w:val="00675602"/>
    <w:rsid w:val="00677463"/>
    <w:rsid w:val="006808C1"/>
    <w:rsid w:val="006813B8"/>
    <w:rsid w:val="00681F8A"/>
    <w:rsid w:val="006827B5"/>
    <w:rsid w:val="00683B51"/>
    <w:rsid w:val="00686152"/>
    <w:rsid w:val="00686601"/>
    <w:rsid w:val="0068717F"/>
    <w:rsid w:val="006879B0"/>
    <w:rsid w:val="00690C57"/>
    <w:rsid w:val="0069102F"/>
    <w:rsid w:val="0069212C"/>
    <w:rsid w:val="00692693"/>
    <w:rsid w:val="00695FCD"/>
    <w:rsid w:val="0069655D"/>
    <w:rsid w:val="006A0811"/>
    <w:rsid w:val="006A1431"/>
    <w:rsid w:val="006A1D9F"/>
    <w:rsid w:val="006A23FE"/>
    <w:rsid w:val="006A35D4"/>
    <w:rsid w:val="006A39EC"/>
    <w:rsid w:val="006A3C6E"/>
    <w:rsid w:val="006A4BA5"/>
    <w:rsid w:val="006A5520"/>
    <w:rsid w:val="006A6A99"/>
    <w:rsid w:val="006A6D44"/>
    <w:rsid w:val="006B1D4D"/>
    <w:rsid w:val="006B1DA3"/>
    <w:rsid w:val="006B215C"/>
    <w:rsid w:val="006B2392"/>
    <w:rsid w:val="006B28EE"/>
    <w:rsid w:val="006B4364"/>
    <w:rsid w:val="006B4D5E"/>
    <w:rsid w:val="006B52B1"/>
    <w:rsid w:val="006B5668"/>
    <w:rsid w:val="006B56A7"/>
    <w:rsid w:val="006B5BB9"/>
    <w:rsid w:val="006B5E0F"/>
    <w:rsid w:val="006B6C27"/>
    <w:rsid w:val="006B6DC6"/>
    <w:rsid w:val="006B7117"/>
    <w:rsid w:val="006C054B"/>
    <w:rsid w:val="006C06B2"/>
    <w:rsid w:val="006C1174"/>
    <w:rsid w:val="006C18C9"/>
    <w:rsid w:val="006C26CD"/>
    <w:rsid w:val="006C2A6F"/>
    <w:rsid w:val="006C2DF9"/>
    <w:rsid w:val="006C31CA"/>
    <w:rsid w:val="006C33D7"/>
    <w:rsid w:val="006C4BED"/>
    <w:rsid w:val="006C536B"/>
    <w:rsid w:val="006C53D2"/>
    <w:rsid w:val="006C61AE"/>
    <w:rsid w:val="006C795D"/>
    <w:rsid w:val="006C7B57"/>
    <w:rsid w:val="006D0603"/>
    <w:rsid w:val="006D18DE"/>
    <w:rsid w:val="006D3641"/>
    <w:rsid w:val="006D3A75"/>
    <w:rsid w:val="006D4524"/>
    <w:rsid w:val="006D4639"/>
    <w:rsid w:val="006D4B99"/>
    <w:rsid w:val="006D5E49"/>
    <w:rsid w:val="006D6EFE"/>
    <w:rsid w:val="006D77A3"/>
    <w:rsid w:val="006E0631"/>
    <w:rsid w:val="006E0EE3"/>
    <w:rsid w:val="006E130F"/>
    <w:rsid w:val="006E344A"/>
    <w:rsid w:val="006E3513"/>
    <w:rsid w:val="006E3F75"/>
    <w:rsid w:val="006E40BC"/>
    <w:rsid w:val="006E461E"/>
    <w:rsid w:val="006E46FB"/>
    <w:rsid w:val="006E5324"/>
    <w:rsid w:val="006E6AF8"/>
    <w:rsid w:val="006E7580"/>
    <w:rsid w:val="006F20F4"/>
    <w:rsid w:val="006F2504"/>
    <w:rsid w:val="006F28DF"/>
    <w:rsid w:val="006F2A43"/>
    <w:rsid w:val="006F333E"/>
    <w:rsid w:val="006F353E"/>
    <w:rsid w:val="006F3A3D"/>
    <w:rsid w:val="006F4850"/>
    <w:rsid w:val="006F48ED"/>
    <w:rsid w:val="006F54E0"/>
    <w:rsid w:val="006F57EB"/>
    <w:rsid w:val="006F5897"/>
    <w:rsid w:val="006F6695"/>
    <w:rsid w:val="0070024C"/>
    <w:rsid w:val="00700696"/>
    <w:rsid w:val="00701849"/>
    <w:rsid w:val="007037DD"/>
    <w:rsid w:val="00704294"/>
    <w:rsid w:val="007054C8"/>
    <w:rsid w:val="00705550"/>
    <w:rsid w:val="007055CF"/>
    <w:rsid w:val="007057AA"/>
    <w:rsid w:val="0070585C"/>
    <w:rsid w:val="00705D5C"/>
    <w:rsid w:val="00705E58"/>
    <w:rsid w:val="00706050"/>
    <w:rsid w:val="007067C6"/>
    <w:rsid w:val="007068C1"/>
    <w:rsid w:val="00707092"/>
    <w:rsid w:val="00710DA0"/>
    <w:rsid w:val="0071266B"/>
    <w:rsid w:val="00712E14"/>
    <w:rsid w:val="007130E3"/>
    <w:rsid w:val="007138FF"/>
    <w:rsid w:val="00715EF3"/>
    <w:rsid w:val="00717563"/>
    <w:rsid w:val="007203AA"/>
    <w:rsid w:val="007221F2"/>
    <w:rsid w:val="00723F81"/>
    <w:rsid w:val="007264D9"/>
    <w:rsid w:val="00727F37"/>
    <w:rsid w:val="007306D8"/>
    <w:rsid w:val="00730AB3"/>
    <w:rsid w:val="00731E98"/>
    <w:rsid w:val="00732425"/>
    <w:rsid w:val="00732DEF"/>
    <w:rsid w:val="00732E7B"/>
    <w:rsid w:val="00733D1E"/>
    <w:rsid w:val="00733ED9"/>
    <w:rsid w:val="007345E2"/>
    <w:rsid w:val="007347CA"/>
    <w:rsid w:val="00735B24"/>
    <w:rsid w:val="0073659F"/>
    <w:rsid w:val="007370A5"/>
    <w:rsid w:val="00737175"/>
    <w:rsid w:val="0073761F"/>
    <w:rsid w:val="00737F6C"/>
    <w:rsid w:val="00737FCF"/>
    <w:rsid w:val="0074147C"/>
    <w:rsid w:val="00741D9B"/>
    <w:rsid w:val="00742AF4"/>
    <w:rsid w:val="00742BE4"/>
    <w:rsid w:val="0074371E"/>
    <w:rsid w:val="0074477A"/>
    <w:rsid w:val="007448A3"/>
    <w:rsid w:val="00744B5A"/>
    <w:rsid w:val="0074530F"/>
    <w:rsid w:val="007458BC"/>
    <w:rsid w:val="007474E7"/>
    <w:rsid w:val="00750733"/>
    <w:rsid w:val="00750F54"/>
    <w:rsid w:val="00751A48"/>
    <w:rsid w:val="00752BBD"/>
    <w:rsid w:val="0075365C"/>
    <w:rsid w:val="007576E3"/>
    <w:rsid w:val="00757D9D"/>
    <w:rsid w:val="00757E77"/>
    <w:rsid w:val="00760AD8"/>
    <w:rsid w:val="00762102"/>
    <w:rsid w:val="00763B96"/>
    <w:rsid w:val="007640FB"/>
    <w:rsid w:val="007644B6"/>
    <w:rsid w:val="00765097"/>
    <w:rsid w:val="00766B0D"/>
    <w:rsid w:val="0077109C"/>
    <w:rsid w:val="00771351"/>
    <w:rsid w:val="007715DC"/>
    <w:rsid w:val="0077362D"/>
    <w:rsid w:val="0077639F"/>
    <w:rsid w:val="007764CD"/>
    <w:rsid w:val="007766F5"/>
    <w:rsid w:val="00777A83"/>
    <w:rsid w:val="00777FD3"/>
    <w:rsid w:val="00780D95"/>
    <w:rsid w:val="00782B19"/>
    <w:rsid w:val="00783227"/>
    <w:rsid w:val="007837C4"/>
    <w:rsid w:val="007837D6"/>
    <w:rsid w:val="00784537"/>
    <w:rsid w:val="007854A4"/>
    <w:rsid w:val="00787C73"/>
    <w:rsid w:val="00787D5F"/>
    <w:rsid w:val="00787E97"/>
    <w:rsid w:val="00787F4E"/>
    <w:rsid w:val="00790017"/>
    <w:rsid w:val="007916FB"/>
    <w:rsid w:val="00792C57"/>
    <w:rsid w:val="00792D08"/>
    <w:rsid w:val="0079414E"/>
    <w:rsid w:val="007952D3"/>
    <w:rsid w:val="0079617D"/>
    <w:rsid w:val="0079643C"/>
    <w:rsid w:val="0079710F"/>
    <w:rsid w:val="00797C09"/>
    <w:rsid w:val="007A00DD"/>
    <w:rsid w:val="007A1349"/>
    <w:rsid w:val="007A14C9"/>
    <w:rsid w:val="007A18FD"/>
    <w:rsid w:val="007A1AD0"/>
    <w:rsid w:val="007A1ADC"/>
    <w:rsid w:val="007A246A"/>
    <w:rsid w:val="007A27E1"/>
    <w:rsid w:val="007A2B10"/>
    <w:rsid w:val="007A3567"/>
    <w:rsid w:val="007A529E"/>
    <w:rsid w:val="007A588A"/>
    <w:rsid w:val="007A59AF"/>
    <w:rsid w:val="007A6AD4"/>
    <w:rsid w:val="007B1038"/>
    <w:rsid w:val="007B1A80"/>
    <w:rsid w:val="007B1CB5"/>
    <w:rsid w:val="007B2F38"/>
    <w:rsid w:val="007B3B72"/>
    <w:rsid w:val="007B3CC0"/>
    <w:rsid w:val="007B3F26"/>
    <w:rsid w:val="007B58FF"/>
    <w:rsid w:val="007B7CAF"/>
    <w:rsid w:val="007C012A"/>
    <w:rsid w:val="007C0378"/>
    <w:rsid w:val="007C092E"/>
    <w:rsid w:val="007C23A0"/>
    <w:rsid w:val="007C2983"/>
    <w:rsid w:val="007C31B3"/>
    <w:rsid w:val="007C378E"/>
    <w:rsid w:val="007C49D9"/>
    <w:rsid w:val="007C5214"/>
    <w:rsid w:val="007C6DF5"/>
    <w:rsid w:val="007D03E6"/>
    <w:rsid w:val="007D0882"/>
    <w:rsid w:val="007D1D81"/>
    <w:rsid w:val="007D2042"/>
    <w:rsid w:val="007D21A6"/>
    <w:rsid w:val="007D2C46"/>
    <w:rsid w:val="007D5E33"/>
    <w:rsid w:val="007D5F62"/>
    <w:rsid w:val="007D6C46"/>
    <w:rsid w:val="007E21C3"/>
    <w:rsid w:val="007E27A6"/>
    <w:rsid w:val="007E308A"/>
    <w:rsid w:val="007E3CA0"/>
    <w:rsid w:val="007E5CAB"/>
    <w:rsid w:val="007E6551"/>
    <w:rsid w:val="007E6747"/>
    <w:rsid w:val="007E6B4E"/>
    <w:rsid w:val="007F00BD"/>
    <w:rsid w:val="007F0225"/>
    <w:rsid w:val="007F1891"/>
    <w:rsid w:val="007F24E8"/>
    <w:rsid w:val="007F2666"/>
    <w:rsid w:val="007F41AC"/>
    <w:rsid w:val="007F47A4"/>
    <w:rsid w:val="007F678D"/>
    <w:rsid w:val="007F6B43"/>
    <w:rsid w:val="00800444"/>
    <w:rsid w:val="0080053B"/>
    <w:rsid w:val="00800EE9"/>
    <w:rsid w:val="00800F4C"/>
    <w:rsid w:val="00801BA9"/>
    <w:rsid w:val="00802693"/>
    <w:rsid w:val="00802E69"/>
    <w:rsid w:val="0080357D"/>
    <w:rsid w:val="00804A78"/>
    <w:rsid w:val="0080506B"/>
    <w:rsid w:val="008079CB"/>
    <w:rsid w:val="0081355A"/>
    <w:rsid w:val="0081452E"/>
    <w:rsid w:val="00816FA1"/>
    <w:rsid w:val="00817307"/>
    <w:rsid w:val="008200F1"/>
    <w:rsid w:val="00820E6A"/>
    <w:rsid w:val="008216CA"/>
    <w:rsid w:val="00821A40"/>
    <w:rsid w:val="00822D0C"/>
    <w:rsid w:val="00824EF2"/>
    <w:rsid w:val="008258A7"/>
    <w:rsid w:val="0082775B"/>
    <w:rsid w:val="00830029"/>
    <w:rsid w:val="008304B7"/>
    <w:rsid w:val="008308D3"/>
    <w:rsid w:val="00831469"/>
    <w:rsid w:val="00834026"/>
    <w:rsid w:val="00835C71"/>
    <w:rsid w:val="00840E90"/>
    <w:rsid w:val="00842162"/>
    <w:rsid w:val="008421EA"/>
    <w:rsid w:val="00843C76"/>
    <w:rsid w:val="00845C50"/>
    <w:rsid w:val="008501C4"/>
    <w:rsid w:val="00850B12"/>
    <w:rsid w:val="00850FEA"/>
    <w:rsid w:val="008529D0"/>
    <w:rsid w:val="00852DD5"/>
    <w:rsid w:val="00853213"/>
    <w:rsid w:val="00853C73"/>
    <w:rsid w:val="00854D39"/>
    <w:rsid w:val="00855B7C"/>
    <w:rsid w:val="00855CAE"/>
    <w:rsid w:val="00856064"/>
    <w:rsid w:val="008563CE"/>
    <w:rsid w:val="00856E20"/>
    <w:rsid w:val="0085782B"/>
    <w:rsid w:val="00857FF3"/>
    <w:rsid w:val="00860B00"/>
    <w:rsid w:val="00861947"/>
    <w:rsid w:val="00861A86"/>
    <w:rsid w:val="008621D6"/>
    <w:rsid w:val="00862991"/>
    <w:rsid w:val="00863D04"/>
    <w:rsid w:val="00867EFC"/>
    <w:rsid w:val="008715A0"/>
    <w:rsid w:val="008743FA"/>
    <w:rsid w:val="00874F45"/>
    <w:rsid w:val="008750F3"/>
    <w:rsid w:val="008778A6"/>
    <w:rsid w:val="00877BE8"/>
    <w:rsid w:val="00881B8E"/>
    <w:rsid w:val="00882AA2"/>
    <w:rsid w:val="00884A91"/>
    <w:rsid w:val="00887208"/>
    <w:rsid w:val="00890046"/>
    <w:rsid w:val="00890942"/>
    <w:rsid w:val="00890A16"/>
    <w:rsid w:val="00891109"/>
    <w:rsid w:val="00892978"/>
    <w:rsid w:val="00892A40"/>
    <w:rsid w:val="00892CF0"/>
    <w:rsid w:val="00893414"/>
    <w:rsid w:val="008975D8"/>
    <w:rsid w:val="00897BA3"/>
    <w:rsid w:val="008A085F"/>
    <w:rsid w:val="008A0D3A"/>
    <w:rsid w:val="008A0D53"/>
    <w:rsid w:val="008A116F"/>
    <w:rsid w:val="008A3034"/>
    <w:rsid w:val="008A3338"/>
    <w:rsid w:val="008A3A0D"/>
    <w:rsid w:val="008A3D32"/>
    <w:rsid w:val="008A5870"/>
    <w:rsid w:val="008A5DD5"/>
    <w:rsid w:val="008A697D"/>
    <w:rsid w:val="008A73E9"/>
    <w:rsid w:val="008A7437"/>
    <w:rsid w:val="008B0A09"/>
    <w:rsid w:val="008B0CEC"/>
    <w:rsid w:val="008B10F7"/>
    <w:rsid w:val="008B1769"/>
    <w:rsid w:val="008B34A7"/>
    <w:rsid w:val="008B67FB"/>
    <w:rsid w:val="008B7A3A"/>
    <w:rsid w:val="008B7DD7"/>
    <w:rsid w:val="008C1A5A"/>
    <w:rsid w:val="008C1CE1"/>
    <w:rsid w:val="008C1D70"/>
    <w:rsid w:val="008C38FE"/>
    <w:rsid w:val="008C40BF"/>
    <w:rsid w:val="008C42D7"/>
    <w:rsid w:val="008C565A"/>
    <w:rsid w:val="008C5A0D"/>
    <w:rsid w:val="008C5EF4"/>
    <w:rsid w:val="008C69AB"/>
    <w:rsid w:val="008C6B21"/>
    <w:rsid w:val="008C753A"/>
    <w:rsid w:val="008C7645"/>
    <w:rsid w:val="008D0201"/>
    <w:rsid w:val="008D05F0"/>
    <w:rsid w:val="008D19D0"/>
    <w:rsid w:val="008D28D1"/>
    <w:rsid w:val="008D2EAD"/>
    <w:rsid w:val="008D2FCE"/>
    <w:rsid w:val="008D43EF"/>
    <w:rsid w:val="008D64ED"/>
    <w:rsid w:val="008D74F9"/>
    <w:rsid w:val="008E02E5"/>
    <w:rsid w:val="008E1603"/>
    <w:rsid w:val="008E2ECD"/>
    <w:rsid w:val="008E39C1"/>
    <w:rsid w:val="008E3FA0"/>
    <w:rsid w:val="008E417D"/>
    <w:rsid w:val="008E41C0"/>
    <w:rsid w:val="008E5E35"/>
    <w:rsid w:val="008E70BE"/>
    <w:rsid w:val="008E74ED"/>
    <w:rsid w:val="008E78B6"/>
    <w:rsid w:val="008E7D39"/>
    <w:rsid w:val="008F2A0D"/>
    <w:rsid w:val="008F5EC2"/>
    <w:rsid w:val="008F6414"/>
    <w:rsid w:val="008F6650"/>
    <w:rsid w:val="00900700"/>
    <w:rsid w:val="0090161A"/>
    <w:rsid w:val="00901BAF"/>
    <w:rsid w:val="00901D54"/>
    <w:rsid w:val="00901DA5"/>
    <w:rsid w:val="00902FB5"/>
    <w:rsid w:val="009034F8"/>
    <w:rsid w:val="00903696"/>
    <w:rsid w:val="00904386"/>
    <w:rsid w:val="00904838"/>
    <w:rsid w:val="00906966"/>
    <w:rsid w:val="009070F5"/>
    <w:rsid w:val="009073A5"/>
    <w:rsid w:val="00907F5A"/>
    <w:rsid w:val="009133C7"/>
    <w:rsid w:val="00913DC0"/>
    <w:rsid w:val="00913F7D"/>
    <w:rsid w:val="00914CC9"/>
    <w:rsid w:val="00916930"/>
    <w:rsid w:val="00917280"/>
    <w:rsid w:val="00917985"/>
    <w:rsid w:val="009231F7"/>
    <w:rsid w:val="009237A3"/>
    <w:rsid w:val="00923B57"/>
    <w:rsid w:val="0092403F"/>
    <w:rsid w:val="00926648"/>
    <w:rsid w:val="0093033C"/>
    <w:rsid w:val="00930B9D"/>
    <w:rsid w:val="00930F8A"/>
    <w:rsid w:val="00931918"/>
    <w:rsid w:val="009332F2"/>
    <w:rsid w:val="0093337B"/>
    <w:rsid w:val="009333F4"/>
    <w:rsid w:val="00933467"/>
    <w:rsid w:val="0093377D"/>
    <w:rsid w:val="00933EBE"/>
    <w:rsid w:val="009356C5"/>
    <w:rsid w:val="009357D7"/>
    <w:rsid w:val="009428A0"/>
    <w:rsid w:val="00944599"/>
    <w:rsid w:val="00945C6D"/>
    <w:rsid w:val="00946BFD"/>
    <w:rsid w:val="00946E76"/>
    <w:rsid w:val="00947315"/>
    <w:rsid w:val="0095012F"/>
    <w:rsid w:val="009506CC"/>
    <w:rsid w:val="0095090A"/>
    <w:rsid w:val="00951591"/>
    <w:rsid w:val="0095165D"/>
    <w:rsid w:val="00951CE8"/>
    <w:rsid w:val="009524C9"/>
    <w:rsid w:val="0095322A"/>
    <w:rsid w:val="00954CB0"/>
    <w:rsid w:val="00954EB3"/>
    <w:rsid w:val="009553F5"/>
    <w:rsid w:val="00955641"/>
    <w:rsid w:val="0095599B"/>
    <w:rsid w:val="009568A1"/>
    <w:rsid w:val="0095724F"/>
    <w:rsid w:val="0096278E"/>
    <w:rsid w:val="00962A1B"/>
    <w:rsid w:val="00962E38"/>
    <w:rsid w:val="00963FBA"/>
    <w:rsid w:val="009644AD"/>
    <w:rsid w:val="009647E6"/>
    <w:rsid w:val="0096519B"/>
    <w:rsid w:val="00966271"/>
    <w:rsid w:val="00966ABB"/>
    <w:rsid w:val="009676B9"/>
    <w:rsid w:val="00967777"/>
    <w:rsid w:val="00970C5E"/>
    <w:rsid w:val="00972275"/>
    <w:rsid w:val="00972290"/>
    <w:rsid w:val="00973666"/>
    <w:rsid w:val="00974F83"/>
    <w:rsid w:val="00975744"/>
    <w:rsid w:val="009806A6"/>
    <w:rsid w:val="00980930"/>
    <w:rsid w:val="00982F03"/>
    <w:rsid w:val="00982FFF"/>
    <w:rsid w:val="00983B00"/>
    <w:rsid w:val="00983FB0"/>
    <w:rsid w:val="0098497C"/>
    <w:rsid w:val="00985325"/>
    <w:rsid w:val="00987532"/>
    <w:rsid w:val="00987DF2"/>
    <w:rsid w:val="00987FA6"/>
    <w:rsid w:val="0099033F"/>
    <w:rsid w:val="00990F87"/>
    <w:rsid w:val="0099104D"/>
    <w:rsid w:val="00992087"/>
    <w:rsid w:val="009925CC"/>
    <w:rsid w:val="00992710"/>
    <w:rsid w:val="009932F2"/>
    <w:rsid w:val="009935E9"/>
    <w:rsid w:val="0099502D"/>
    <w:rsid w:val="00995538"/>
    <w:rsid w:val="009967E7"/>
    <w:rsid w:val="009974E5"/>
    <w:rsid w:val="009A00D4"/>
    <w:rsid w:val="009A07EB"/>
    <w:rsid w:val="009A120A"/>
    <w:rsid w:val="009A2A1A"/>
    <w:rsid w:val="009A35E0"/>
    <w:rsid w:val="009A3F53"/>
    <w:rsid w:val="009A4908"/>
    <w:rsid w:val="009A595E"/>
    <w:rsid w:val="009A71B0"/>
    <w:rsid w:val="009A7D74"/>
    <w:rsid w:val="009B0321"/>
    <w:rsid w:val="009B19CE"/>
    <w:rsid w:val="009B1D25"/>
    <w:rsid w:val="009B27E5"/>
    <w:rsid w:val="009B476A"/>
    <w:rsid w:val="009B4B0E"/>
    <w:rsid w:val="009B4CCD"/>
    <w:rsid w:val="009B634D"/>
    <w:rsid w:val="009B7256"/>
    <w:rsid w:val="009B7BCC"/>
    <w:rsid w:val="009C2052"/>
    <w:rsid w:val="009C232E"/>
    <w:rsid w:val="009C24BB"/>
    <w:rsid w:val="009C2B64"/>
    <w:rsid w:val="009C4552"/>
    <w:rsid w:val="009C4A5E"/>
    <w:rsid w:val="009C4F35"/>
    <w:rsid w:val="009C5CB3"/>
    <w:rsid w:val="009C790D"/>
    <w:rsid w:val="009D1607"/>
    <w:rsid w:val="009D16C0"/>
    <w:rsid w:val="009D2C15"/>
    <w:rsid w:val="009D337E"/>
    <w:rsid w:val="009D412E"/>
    <w:rsid w:val="009D4173"/>
    <w:rsid w:val="009D4D39"/>
    <w:rsid w:val="009D5077"/>
    <w:rsid w:val="009D5343"/>
    <w:rsid w:val="009D6F20"/>
    <w:rsid w:val="009D701A"/>
    <w:rsid w:val="009E029D"/>
    <w:rsid w:val="009E0FAD"/>
    <w:rsid w:val="009E188A"/>
    <w:rsid w:val="009E1976"/>
    <w:rsid w:val="009E26A3"/>
    <w:rsid w:val="009E3171"/>
    <w:rsid w:val="009E3CB0"/>
    <w:rsid w:val="009E3F99"/>
    <w:rsid w:val="009E5100"/>
    <w:rsid w:val="009E5FCE"/>
    <w:rsid w:val="009F066A"/>
    <w:rsid w:val="009F25F6"/>
    <w:rsid w:val="009F286D"/>
    <w:rsid w:val="009F3211"/>
    <w:rsid w:val="009F4223"/>
    <w:rsid w:val="009F4AF6"/>
    <w:rsid w:val="009F6815"/>
    <w:rsid w:val="009F68F5"/>
    <w:rsid w:val="00A011D1"/>
    <w:rsid w:val="00A01333"/>
    <w:rsid w:val="00A01F19"/>
    <w:rsid w:val="00A01FB2"/>
    <w:rsid w:val="00A023BA"/>
    <w:rsid w:val="00A02879"/>
    <w:rsid w:val="00A03F84"/>
    <w:rsid w:val="00A0528C"/>
    <w:rsid w:val="00A05373"/>
    <w:rsid w:val="00A055A8"/>
    <w:rsid w:val="00A05AC5"/>
    <w:rsid w:val="00A071BD"/>
    <w:rsid w:val="00A07C25"/>
    <w:rsid w:val="00A100D9"/>
    <w:rsid w:val="00A102E1"/>
    <w:rsid w:val="00A10A4A"/>
    <w:rsid w:val="00A111CB"/>
    <w:rsid w:val="00A11EF8"/>
    <w:rsid w:val="00A11F22"/>
    <w:rsid w:val="00A1281A"/>
    <w:rsid w:val="00A12F18"/>
    <w:rsid w:val="00A138E5"/>
    <w:rsid w:val="00A15A41"/>
    <w:rsid w:val="00A1652B"/>
    <w:rsid w:val="00A16571"/>
    <w:rsid w:val="00A17D1D"/>
    <w:rsid w:val="00A20073"/>
    <w:rsid w:val="00A20966"/>
    <w:rsid w:val="00A20E05"/>
    <w:rsid w:val="00A2182B"/>
    <w:rsid w:val="00A21D89"/>
    <w:rsid w:val="00A23306"/>
    <w:rsid w:val="00A23748"/>
    <w:rsid w:val="00A254CC"/>
    <w:rsid w:val="00A263DE"/>
    <w:rsid w:val="00A26EC4"/>
    <w:rsid w:val="00A27ADF"/>
    <w:rsid w:val="00A31BE9"/>
    <w:rsid w:val="00A32B84"/>
    <w:rsid w:val="00A33052"/>
    <w:rsid w:val="00A341E7"/>
    <w:rsid w:val="00A34D55"/>
    <w:rsid w:val="00A3532F"/>
    <w:rsid w:val="00A368F7"/>
    <w:rsid w:val="00A37B30"/>
    <w:rsid w:val="00A40923"/>
    <w:rsid w:val="00A432A8"/>
    <w:rsid w:val="00A454F0"/>
    <w:rsid w:val="00A5024F"/>
    <w:rsid w:val="00A519D7"/>
    <w:rsid w:val="00A52082"/>
    <w:rsid w:val="00A533F6"/>
    <w:rsid w:val="00A535E2"/>
    <w:rsid w:val="00A546C8"/>
    <w:rsid w:val="00A54C5E"/>
    <w:rsid w:val="00A5549A"/>
    <w:rsid w:val="00A55A0F"/>
    <w:rsid w:val="00A5693A"/>
    <w:rsid w:val="00A57563"/>
    <w:rsid w:val="00A5794C"/>
    <w:rsid w:val="00A600E2"/>
    <w:rsid w:val="00A60781"/>
    <w:rsid w:val="00A60CB4"/>
    <w:rsid w:val="00A60D70"/>
    <w:rsid w:val="00A61093"/>
    <w:rsid w:val="00A61710"/>
    <w:rsid w:val="00A61923"/>
    <w:rsid w:val="00A62716"/>
    <w:rsid w:val="00A63957"/>
    <w:rsid w:val="00A652AF"/>
    <w:rsid w:val="00A67CF9"/>
    <w:rsid w:val="00A704B2"/>
    <w:rsid w:val="00A71484"/>
    <w:rsid w:val="00A7153E"/>
    <w:rsid w:val="00A71E60"/>
    <w:rsid w:val="00A7238F"/>
    <w:rsid w:val="00A72BCB"/>
    <w:rsid w:val="00A72D39"/>
    <w:rsid w:val="00A73977"/>
    <w:rsid w:val="00A739AC"/>
    <w:rsid w:val="00A7420A"/>
    <w:rsid w:val="00A7519D"/>
    <w:rsid w:val="00A809B0"/>
    <w:rsid w:val="00A80CD3"/>
    <w:rsid w:val="00A82C3E"/>
    <w:rsid w:val="00A82C7D"/>
    <w:rsid w:val="00A83B9E"/>
    <w:rsid w:val="00A84CBA"/>
    <w:rsid w:val="00A85E6F"/>
    <w:rsid w:val="00A86ACF"/>
    <w:rsid w:val="00A86B4B"/>
    <w:rsid w:val="00A9025F"/>
    <w:rsid w:val="00A91AD9"/>
    <w:rsid w:val="00A91F48"/>
    <w:rsid w:val="00A91F63"/>
    <w:rsid w:val="00A92946"/>
    <w:rsid w:val="00A92C2A"/>
    <w:rsid w:val="00A92F07"/>
    <w:rsid w:val="00A939BC"/>
    <w:rsid w:val="00A941FC"/>
    <w:rsid w:val="00A94F25"/>
    <w:rsid w:val="00A95C12"/>
    <w:rsid w:val="00A97907"/>
    <w:rsid w:val="00AA1A11"/>
    <w:rsid w:val="00AA1D23"/>
    <w:rsid w:val="00AA217D"/>
    <w:rsid w:val="00AA3255"/>
    <w:rsid w:val="00AA5AF3"/>
    <w:rsid w:val="00AA6010"/>
    <w:rsid w:val="00AA64FB"/>
    <w:rsid w:val="00AA7313"/>
    <w:rsid w:val="00AA7487"/>
    <w:rsid w:val="00AB0266"/>
    <w:rsid w:val="00AB03E0"/>
    <w:rsid w:val="00AB0D87"/>
    <w:rsid w:val="00AB1ECD"/>
    <w:rsid w:val="00AB2985"/>
    <w:rsid w:val="00AB33B2"/>
    <w:rsid w:val="00AB3AB7"/>
    <w:rsid w:val="00AB4B8B"/>
    <w:rsid w:val="00AB4F81"/>
    <w:rsid w:val="00AB5010"/>
    <w:rsid w:val="00AB5DB6"/>
    <w:rsid w:val="00AB6627"/>
    <w:rsid w:val="00AB66DA"/>
    <w:rsid w:val="00AB7E4B"/>
    <w:rsid w:val="00AB7E61"/>
    <w:rsid w:val="00AC07EB"/>
    <w:rsid w:val="00AC2749"/>
    <w:rsid w:val="00AC2A21"/>
    <w:rsid w:val="00AC3068"/>
    <w:rsid w:val="00AC31A9"/>
    <w:rsid w:val="00AC4233"/>
    <w:rsid w:val="00AC7F6C"/>
    <w:rsid w:val="00AD46B9"/>
    <w:rsid w:val="00AD4C82"/>
    <w:rsid w:val="00AD50DC"/>
    <w:rsid w:val="00AD537A"/>
    <w:rsid w:val="00AD59AF"/>
    <w:rsid w:val="00AD798B"/>
    <w:rsid w:val="00AE1271"/>
    <w:rsid w:val="00AE170F"/>
    <w:rsid w:val="00AE3BDB"/>
    <w:rsid w:val="00AE47B8"/>
    <w:rsid w:val="00AE5649"/>
    <w:rsid w:val="00AE5758"/>
    <w:rsid w:val="00AE7F73"/>
    <w:rsid w:val="00AF065D"/>
    <w:rsid w:val="00AF0915"/>
    <w:rsid w:val="00AF2401"/>
    <w:rsid w:val="00AF242B"/>
    <w:rsid w:val="00AF318A"/>
    <w:rsid w:val="00AF3C6E"/>
    <w:rsid w:val="00AF437A"/>
    <w:rsid w:val="00AF63A7"/>
    <w:rsid w:val="00AF7EF9"/>
    <w:rsid w:val="00B00439"/>
    <w:rsid w:val="00B006B4"/>
    <w:rsid w:val="00B00AB6"/>
    <w:rsid w:val="00B01D68"/>
    <w:rsid w:val="00B02185"/>
    <w:rsid w:val="00B022FC"/>
    <w:rsid w:val="00B02301"/>
    <w:rsid w:val="00B03971"/>
    <w:rsid w:val="00B0429A"/>
    <w:rsid w:val="00B07BE2"/>
    <w:rsid w:val="00B07E79"/>
    <w:rsid w:val="00B10E2C"/>
    <w:rsid w:val="00B11EC3"/>
    <w:rsid w:val="00B11FF4"/>
    <w:rsid w:val="00B122A6"/>
    <w:rsid w:val="00B142E7"/>
    <w:rsid w:val="00B156C4"/>
    <w:rsid w:val="00B1671F"/>
    <w:rsid w:val="00B16CEF"/>
    <w:rsid w:val="00B20B79"/>
    <w:rsid w:val="00B20E3A"/>
    <w:rsid w:val="00B20F52"/>
    <w:rsid w:val="00B21813"/>
    <w:rsid w:val="00B21B99"/>
    <w:rsid w:val="00B22549"/>
    <w:rsid w:val="00B23DBB"/>
    <w:rsid w:val="00B24C64"/>
    <w:rsid w:val="00B24E99"/>
    <w:rsid w:val="00B25D79"/>
    <w:rsid w:val="00B25E99"/>
    <w:rsid w:val="00B25EFE"/>
    <w:rsid w:val="00B26652"/>
    <w:rsid w:val="00B267A3"/>
    <w:rsid w:val="00B26D3B"/>
    <w:rsid w:val="00B2730F"/>
    <w:rsid w:val="00B2794A"/>
    <w:rsid w:val="00B302F0"/>
    <w:rsid w:val="00B33283"/>
    <w:rsid w:val="00B341F1"/>
    <w:rsid w:val="00B34532"/>
    <w:rsid w:val="00B34581"/>
    <w:rsid w:val="00B352C7"/>
    <w:rsid w:val="00B35FBA"/>
    <w:rsid w:val="00B35FCF"/>
    <w:rsid w:val="00B37250"/>
    <w:rsid w:val="00B40721"/>
    <w:rsid w:val="00B40DB5"/>
    <w:rsid w:val="00B41A08"/>
    <w:rsid w:val="00B42320"/>
    <w:rsid w:val="00B42D1B"/>
    <w:rsid w:val="00B4372D"/>
    <w:rsid w:val="00B440EB"/>
    <w:rsid w:val="00B44BE0"/>
    <w:rsid w:val="00B4693A"/>
    <w:rsid w:val="00B50209"/>
    <w:rsid w:val="00B50B2D"/>
    <w:rsid w:val="00B523C1"/>
    <w:rsid w:val="00B52684"/>
    <w:rsid w:val="00B52EC4"/>
    <w:rsid w:val="00B53149"/>
    <w:rsid w:val="00B54A3C"/>
    <w:rsid w:val="00B55F2F"/>
    <w:rsid w:val="00B56127"/>
    <w:rsid w:val="00B564FE"/>
    <w:rsid w:val="00B56B23"/>
    <w:rsid w:val="00B56B8D"/>
    <w:rsid w:val="00B61984"/>
    <w:rsid w:val="00B62DD5"/>
    <w:rsid w:val="00B63067"/>
    <w:rsid w:val="00B6323B"/>
    <w:rsid w:val="00B64636"/>
    <w:rsid w:val="00B64D46"/>
    <w:rsid w:val="00B64EB9"/>
    <w:rsid w:val="00B64ED9"/>
    <w:rsid w:val="00B6520D"/>
    <w:rsid w:val="00B658A7"/>
    <w:rsid w:val="00B65B18"/>
    <w:rsid w:val="00B6604D"/>
    <w:rsid w:val="00B66B48"/>
    <w:rsid w:val="00B67595"/>
    <w:rsid w:val="00B701C4"/>
    <w:rsid w:val="00B7078C"/>
    <w:rsid w:val="00B713DA"/>
    <w:rsid w:val="00B71AB8"/>
    <w:rsid w:val="00B7305C"/>
    <w:rsid w:val="00B73305"/>
    <w:rsid w:val="00B73597"/>
    <w:rsid w:val="00B73654"/>
    <w:rsid w:val="00B745C2"/>
    <w:rsid w:val="00B74B6E"/>
    <w:rsid w:val="00B74EBD"/>
    <w:rsid w:val="00B750D0"/>
    <w:rsid w:val="00B75420"/>
    <w:rsid w:val="00B76250"/>
    <w:rsid w:val="00B76A00"/>
    <w:rsid w:val="00B76F60"/>
    <w:rsid w:val="00B7716F"/>
    <w:rsid w:val="00B77223"/>
    <w:rsid w:val="00B779A9"/>
    <w:rsid w:val="00B77C33"/>
    <w:rsid w:val="00B80C76"/>
    <w:rsid w:val="00B82EAA"/>
    <w:rsid w:val="00B8339D"/>
    <w:rsid w:val="00B83A90"/>
    <w:rsid w:val="00B83BDD"/>
    <w:rsid w:val="00B84B53"/>
    <w:rsid w:val="00B85ABA"/>
    <w:rsid w:val="00B8647E"/>
    <w:rsid w:val="00B86D01"/>
    <w:rsid w:val="00B87068"/>
    <w:rsid w:val="00B87528"/>
    <w:rsid w:val="00B932B4"/>
    <w:rsid w:val="00B94E65"/>
    <w:rsid w:val="00B962D6"/>
    <w:rsid w:val="00B973DF"/>
    <w:rsid w:val="00B977BF"/>
    <w:rsid w:val="00BA3106"/>
    <w:rsid w:val="00BA318C"/>
    <w:rsid w:val="00BA3AA3"/>
    <w:rsid w:val="00BA4CD6"/>
    <w:rsid w:val="00BA4D2B"/>
    <w:rsid w:val="00BA56DA"/>
    <w:rsid w:val="00BA5A9A"/>
    <w:rsid w:val="00BA61EE"/>
    <w:rsid w:val="00BA6C53"/>
    <w:rsid w:val="00BA6D16"/>
    <w:rsid w:val="00BA6E62"/>
    <w:rsid w:val="00BA761C"/>
    <w:rsid w:val="00BB0B62"/>
    <w:rsid w:val="00BB16AD"/>
    <w:rsid w:val="00BB1A97"/>
    <w:rsid w:val="00BB1D25"/>
    <w:rsid w:val="00BB21B3"/>
    <w:rsid w:val="00BB4A4D"/>
    <w:rsid w:val="00BB4B9A"/>
    <w:rsid w:val="00BB5C46"/>
    <w:rsid w:val="00BB6895"/>
    <w:rsid w:val="00BB70D0"/>
    <w:rsid w:val="00BB7A72"/>
    <w:rsid w:val="00BC14C8"/>
    <w:rsid w:val="00BC4176"/>
    <w:rsid w:val="00BC48C7"/>
    <w:rsid w:val="00BC5977"/>
    <w:rsid w:val="00BC63F3"/>
    <w:rsid w:val="00BC65CB"/>
    <w:rsid w:val="00BD0348"/>
    <w:rsid w:val="00BD0463"/>
    <w:rsid w:val="00BD066F"/>
    <w:rsid w:val="00BD12AB"/>
    <w:rsid w:val="00BD1FAD"/>
    <w:rsid w:val="00BD210F"/>
    <w:rsid w:val="00BD4347"/>
    <w:rsid w:val="00BD47A4"/>
    <w:rsid w:val="00BD4D3C"/>
    <w:rsid w:val="00BD4F6C"/>
    <w:rsid w:val="00BD6F5A"/>
    <w:rsid w:val="00BD71D3"/>
    <w:rsid w:val="00BD7D88"/>
    <w:rsid w:val="00BE13F6"/>
    <w:rsid w:val="00BE17FC"/>
    <w:rsid w:val="00BE2D50"/>
    <w:rsid w:val="00BE31C0"/>
    <w:rsid w:val="00BE3633"/>
    <w:rsid w:val="00BE3B85"/>
    <w:rsid w:val="00BE3C08"/>
    <w:rsid w:val="00BE6498"/>
    <w:rsid w:val="00BE6937"/>
    <w:rsid w:val="00BE7291"/>
    <w:rsid w:val="00BF0C22"/>
    <w:rsid w:val="00BF1C50"/>
    <w:rsid w:val="00BF26F4"/>
    <w:rsid w:val="00BF2A19"/>
    <w:rsid w:val="00BF2A9C"/>
    <w:rsid w:val="00BF48D5"/>
    <w:rsid w:val="00BF4F08"/>
    <w:rsid w:val="00BF62EB"/>
    <w:rsid w:val="00BF63E9"/>
    <w:rsid w:val="00BF6671"/>
    <w:rsid w:val="00BF6EDF"/>
    <w:rsid w:val="00C01E2F"/>
    <w:rsid w:val="00C02DBF"/>
    <w:rsid w:val="00C031B8"/>
    <w:rsid w:val="00C03332"/>
    <w:rsid w:val="00C03578"/>
    <w:rsid w:val="00C0416E"/>
    <w:rsid w:val="00C0425D"/>
    <w:rsid w:val="00C04EDE"/>
    <w:rsid w:val="00C0594F"/>
    <w:rsid w:val="00C070C9"/>
    <w:rsid w:val="00C07734"/>
    <w:rsid w:val="00C1017F"/>
    <w:rsid w:val="00C1074E"/>
    <w:rsid w:val="00C13341"/>
    <w:rsid w:val="00C13C1E"/>
    <w:rsid w:val="00C143E8"/>
    <w:rsid w:val="00C14C6D"/>
    <w:rsid w:val="00C152B5"/>
    <w:rsid w:val="00C1729A"/>
    <w:rsid w:val="00C17668"/>
    <w:rsid w:val="00C2046F"/>
    <w:rsid w:val="00C21883"/>
    <w:rsid w:val="00C22900"/>
    <w:rsid w:val="00C22E4E"/>
    <w:rsid w:val="00C246AA"/>
    <w:rsid w:val="00C24D82"/>
    <w:rsid w:val="00C25AE7"/>
    <w:rsid w:val="00C25AEE"/>
    <w:rsid w:val="00C26165"/>
    <w:rsid w:val="00C26773"/>
    <w:rsid w:val="00C30A4D"/>
    <w:rsid w:val="00C30B65"/>
    <w:rsid w:val="00C31101"/>
    <w:rsid w:val="00C31BEC"/>
    <w:rsid w:val="00C31CEB"/>
    <w:rsid w:val="00C321EA"/>
    <w:rsid w:val="00C3235A"/>
    <w:rsid w:val="00C336F4"/>
    <w:rsid w:val="00C33891"/>
    <w:rsid w:val="00C3410E"/>
    <w:rsid w:val="00C34B2A"/>
    <w:rsid w:val="00C42124"/>
    <w:rsid w:val="00C452AC"/>
    <w:rsid w:val="00C45994"/>
    <w:rsid w:val="00C46703"/>
    <w:rsid w:val="00C50007"/>
    <w:rsid w:val="00C50FB8"/>
    <w:rsid w:val="00C512C4"/>
    <w:rsid w:val="00C51A5D"/>
    <w:rsid w:val="00C52671"/>
    <w:rsid w:val="00C526B6"/>
    <w:rsid w:val="00C52BAB"/>
    <w:rsid w:val="00C52CDA"/>
    <w:rsid w:val="00C54E90"/>
    <w:rsid w:val="00C56554"/>
    <w:rsid w:val="00C5685E"/>
    <w:rsid w:val="00C56C15"/>
    <w:rsid w:val="00C56F45"/>
    <w:rsid w:val="00C57441"/>
    <w:rsid w:val="00C60C7E"/>
    <w:rsid w:val="00C614F1"/>
    <w:rsid w:val="00C61DE4"/>
    <w:rsid w:val="00C62FE6"/>
    <w:rsid w:val="00C631DC"/>
    <w:rsid w:val="00C63B43"/>
    <w:rsid w:val="00C65016"/>
    <w:rsid w:val="00C654AA"/>
    <w:rsid w:val="00C655F5"/>
    <w:rsid w:val="00C65F3A"/>
    <w:rsid w:val="00C7003F"/>
    <w:rsid w:val="00C70927"/>
    <w:rsid w:val="00C70FAF"/>
    <w:rsid w:val="00C715D8"/>
    <w:rsid w:val="00C7230A"/>
    <w:rsid w:val="00C72EC5"/>
    <w:rsid w:val="00C73929"/>
    <w:rsid w:val="00C741F1"/>
    <w:rsid w:val="00C74227"/>
    <w:rsid w:val="00C74317"/>
    <w:rsid w:val="00C74B16"/>
    <w:rsid w:val="00C75A67"/>
    <w:rsid w:val="00C7641E"/>
    <w:rsid w:val="00C77962"/>
    <w:rsid w:val="00C81E0B"/>
    <w:rsid w:val="00C82160"/>
    <w:rsid w:val="00C821AE"/>
    <w:rsid w:val="00C82911"/>
    <w:rsid w:val="00C82D38"/>
    <w:rsid w:val="00C83F11"/>
    <w:rsid w:val="00C8411C"/>
    <w:rsid w:val="00C85260"/>
    <w:rsid w:val="00C8537A"/>
    <w:rsid w:val="00C854AD"/>
    <w:rsid w:val="00C85651"/>
    <w:rsid w:val="00C861D2"/>
    <w:rsid w:val="00C862FC"/>
    <w:rsid w:val="00C863E4"/>
    <w:rsid w:val="00C86A02"/>
    <w:rsid w:val="00C87ABC"/>
    <w:rsid w:val="00C9193F"/>
    <w:rsid w:val="00C92281"/>
    <w:rsid w:val="00C92CDA"/>
    <w:rsid w:val="00C9472B"/>
    <w:rsid w:val="00C958E7"/>
    <w:rsid w:val="00C95964"/>
    <w:rsid w:val="00C95A4E"/>
    <w:rsid w:val="00C95E2F"/>
    <w:rsid w:val="00C96597"/>
    <w:rsid w:val="00C969F3"/>
    <w:rsid w:val="00C97531"/>
    <w:rsid w:val="00CA02FF"/>
    <w:rsid w:val="00CA1C38"/>
    <w:rsid w:val="00CA1EB2"/>
    <w:rsid w:val="00CA440F"/>
    <w:rsid w:val="00CA469A"/>
    <w:rsid w:val="00CA515F"/>
    <w:rsid w:val="00CA5F9B"/>
    <w:rsid w:val="00CA6D1D"/>
    <w:rsid w:val="00CB06E2"/>
    <w:rsid w:val="00CB09C0"/>
    <w:rsid w:val="00CB18D7"/>
    <w:rsid w:val="00CB1BA5"/>
    <w:rsid w:val="00CB3033"/>
    <w:rsid w:val="00CB32DD"/>
    <w:rsid w:val="00CB3659"/>
    <w:rsid w:val="00CB3AE4"/>
    <w:rsid w:val="00CB402E"/>
    <w:rsid w:val="00CB4737"/>
    <w:rsid w:val="00CB66C6"/>
    <w:rsid w:val="00CB7D81"/>
    <w:rsid w:val="00CC060F"/>
    <w:rsid w:val="00CC0F62"/>
    <w:rsid w:val="00CC173F"/>
    <w:rsid w:val="00CC1FC2"/>
    <w:rsid w:val="00CC2342"/>
    <w:rsid w:val="00CC3A4E"/>
    <w:rsid w:val="00CC4AFB"/>
    <w:rsid w:val="00CC4EF4"/>
    <w:rsid w:val="00CC5A7E"/>
    <w:rsid w:val="00CC60E7"/>
    <w:rsid w:val="00CC7753"/>
    <w:rsid w:val="00CC7760"/>
    <w:rsid w:val="00CC7CA2"/>
    <w:rsid w:val="00CD02E8"/>
    <w:rsid w:val="00CD0ACC"/>
    <w:rsid w:val="00CD11C3"/>
    <w:rsid w:val="00CD24A5"/>
    <w:rsid w:val="00CD2E44"/>
    <w:rsid w:val="00CD3772"/>
    <w:rsid w:val="00CD39C5"/>
    <w:rsid w:val="00CD4DFF"/>
    <w:rsid w:val="00CD53F8"/>
    <w:rsid w:val="00CD55DD"/>
    <w:rsid w:val="00CD5673"/>
    <w:rsid w:val="00CD7941"/>
    <w:rsid w:val="00CE05AD"/>
    <w:rsid w:val="00CE0DC9"/>
    <w:rsid w:val="00CE17B0"/>
    <w:rsid w:val="00CE233A"/>
    <w:rsid w:val="00CE240A"/>
    <w:rsid w:val="00CE28E5"/>
    <w:rsid w:val="00CE37C0"/>
    <w:rsid w:val="00CE3A32"/>
    <w:rsid w:val="00CE4258"/>
    <w:rsid w:val="00CE4EF1"/>
    <w:rsid w:val="00CE52A6"/>
    <w:rsid w:val="00CE616F"/>
    <w:rsid w:val="00CE62DB"/>
    <w:rsid w:val="00CE76EB"/>
    <w:rsid w:val="00CF1362"/>
    <w:rsid w:val="00CF24B4"/>
    <w:rsid w:val="00CF365A"/>
    <w:rsid w:val="00CF602B"/>
    <w:rsid w:val="00D00121"/>
    <w:rsid w:val="00D02933"/>
    <w:rsid w:val="00D05EBD"/>
    <w:rsid w:val="00D06862"/>
    <w:rsid w:val="00D06F8F"/>
    <w:rsid w:val="00D07A4A"/>
    <w:rsid w:val="00D07DE4"/>
    <w:rsid w:val="00D1008C"/>
    <w:rsid w:val="00D10555"/>
    <w:rsid w:val="00D10D97"/>
    <w:rsid w:val="00D12F0A"/>
    <w:rsid w:val="00D13BBB"/>
    <w:rsid w:val="00D1539C"/>
    <w:rsid w:val="00D16375"/>
    <w:rsid w:val="00D171CF"/>
    <w:rsid w:val="00D1745E"/>
    <w:rsid w:val="00D20834"/>
    <w:rsid w:val="00D2161E"/>
    <w:rsid w:val="00D21A64"/>
    <w:rsid w:val="00D21CB4"/>
    <w:rsid w:val="00D222D8"/>
    <w:rsid w:val="00D225EA"/>
    <w:rsid w:val="00D23277"/>
    <w:rsid w:val="00D2348A"/>
    <w:rsid w:val="00D2427E"/>
    <w:rsid w:val="00D3038E"/>
    <w:rsid w:val="00D304D1"/>
    <w:rsid w:val="00D3065F"/>
    <w:rsid w:val="00D3089A"/>
    <w:rsid w:val="00D31872"/>
    <w:rsid w:val="00D3225F"/>
    <w:rsid w:val="00D3285F"/>
    <w:rsid w:val="00D330ED"/>
    <w:rsid w:val="00D33D95"/>
    <w:rsid w:val="00D344C2"/>
    <w:rsid w:val="00D35DB3"/>
    <w:rsid w:val="00D36966"/>
    <w:rsid w:val="00D40C21"/>
    <w:rsid w:val="00D40F7A"/>
    <w:rsid w:val="00D43C47"/>
    <w:rsid w:val="00D4502B"/>
    <w:rsid w:val="00D46430"/>
    <w:rsid w:val="00D46F12"/>
    <w:rsid w:val="00D47015"/>
    <w:rsid w:val="00D47851"/>
    <w:rsid w:val="00D50A88"/>
    <w:rsid w:val="00D50D04"/>
    <w:rsid w:val="00D510D6"/>
    <w:rsid w:val="00D5173E"/>
    <w:rsid w:val="00D51C31"/>
    <w:rsid w:val="00D52385"/>
    <w:rsid w:val="00D547E2"/>
    <w:rsid w:val="00D550D7"/>
    <w:rsid w:val="00D554C9"/>
    <w:rsid w:val="00D60BFC"/>
    <w:rsid w:val="00D60C72"/>
    <w:rsid w:val="00D625E5"/>
    <w:rsid w:val="00D627AB"/>
    <w:rsid w:val="00D6402D"/>
    <w:rsid w:val="00D64337"/>
    <w:rsid w:val="00D66A82"/>
    <w:rsid w:val="00D678E4"/>
    <w:rsid w:val="00D710E4"/>
    <w:rsid w:val="00D712F0"/>
    <w:rsid w:val="00D72D2B"/>
    <w:rsid w:val="00D743EF"/>
    <w:rsid w:val="00D753B3"/>
    <w:rsid w:val="00D754D8"/>
    <w:rsid w:val="00D75517"/>
    <w:rsid w:val="00D76512"/>
    <w:rsid w:val="00D769B4"/>
    <w:rsid w:val="00D76AD5"/>
    <w:rsid w:val="00D775AF"/>
    <w:rsid w:val="00D779FE"/>
    <w:rsid w:val="00D80D44"/>
    <w:rsid w:val="00D8166B"/>
    <w:rsid w:val="00D82DA3"/>
    <w:rsid w:val="00D8466B"/>
    <w:rsid w:val="00D84872"/>
    <w:rsid w:val="00D84FFD"/>
    <w:rsid w:val="00D856C4"/>
    <w:rsid w:val="00D85F1F"/>
    <w:rsid w:val="00D86963"/>
    <w:rsid w:val="00D86C3C"/>
    <w:rsid w:val="00D87E70"/>
    <w:rsid w:val="00D9019B"/>
    <w:rsid w:val="00D92374"/>
    <w:rsid w:val="00D9254D"/>
    <w:rsid w:val="00D9415C"/>
    <w:rsid w:val="00D9500A"/>
    <w:rsid w:val="00D9574F"/>
    <w:rsid w:val="00D96BE3"/>
    <w:rsid w:val="00D96FAA"/>
    <w:rsid w:val="00D97C6A"/>
    <w:rsid w:val="00D97F3C"/>
    <w:rsid w:val="00DA111D"/>
    <w:rsid w:val="00DA12E4"/>
    <w:rsid w:val="00DA1736"/>
    <w:rsid w:val="00DA1837"/>
    <w:rsid w:val="00DA32E2"/>
    <w:rsid w:val="00DA3681"/>
    <w:rsid w:val="00DA4320"/>
    <w:rsid w:val="00DA4FD5"/>
    <w:rsid w:val="00DA5AF7"/>
    <w:rsid w:val="00DA67E3"/>
    <w:rsid w:val="00DB0B7C"/>
    <w:rsid w:val="00DB0D4E"/>
    <w:rsid w:val="00DB2201"/>
    <w:rsid w:val="00DB23D0"/>
    <w:rsid w:val="00DB2833"/>
    <w:rsid w:val="00DB78AA"/>
    <w:rsid w:val="00DC056B"/>
    <w:rsid w:val="00DC203A"/>
    <w:rsid w:val="00DC402D"/>
    <w:rsid w:val="00DC550E"/>
    <w:rsid w:val="00DC5855"/>
    <w:rsid w:val="00DC5EDA"/>
    <w:rsid w:val="00DC6315"/>
    <w:rsid w:val="00DC64E8"/>
    <w:rsid w:val="00DD11CC"/>
    <w:rsid w:val="00DD1D0E"/>
    <w:rsid w:val="00DD246D"/>
    <w:rsid w:val="00DD3616"/>
    <w:rsid w:val="00DD5342"/>
    <w:rsid w:val="00DD5B2A"/>
    <w:rsid w:val="00DD65C5"/>
    <w:rsid w:val="00DD6AD3"/>
    <w:rsid w:val="00DD6D9E"/>
    <w:rsid w:val="00DD6E29"/>
    <w:rsid w:val="00DD7267"/>
    <w:rsid w:val="00DD7A89"/>
    <w:rsid w:val="00DD7B6B"/>
    <w:rsid w:val="00DD7C4D"/>
    <w:rsid w:val="00DE0A50"/>
    <w:rsid w:val="00DE229D"/>
    <w:rsid w:val="00DE28C9"/>
    <w:rsid w:val="00DE44D3"/>
    <w:rsid w:val="00DE6B1B"/>
    <w:rsid w:val="00DE6EC1"/>
    <w:rsid w:val="00DF111A"/>
    <w:rsid w:val="00DF14BF"/>
    <w:rsid w:val="00DF1551"/>
    <w:rsid w:val="00DF160C"/>
    <w:rsid w:val="00DF2045"/>
    <w:rsid w:val="00DF590B"/>
    <w:rsid w:val="00DF7A67"/>
    <w:rsid w:val="00E003AB"/>
    <w:rsid w:val="00E0170F"/>
    <w:rsid w:val="00E017C4"/>
    <w:rsid w:val="00E03D4B"/>
    <w:rsid w:val="00E04506"/>
    <w:rsid w:val="00E061BD"/>
    <w:rsid w:val="00E07241"/>
    <w:rsid w:val="00E07D66"/>
    <w:rsid w:val="00E110F8"/>
    <w:rsid w:val="00E115EE"/>
    <w:rsid w:val="00E12028"/>
    <w:rsid w:val="00E1244A"/>
    <w:rsid w:val="00E12CC7"/>
    <w:rsid w:val="00E14538"/>
    <w:rsid w:val="00E203E2"/>
    <w:rsid w:val="00E20AF9"/>
    <w:rsid w:val="00E212D0"/>
    <w:rsid w:val="00E22A72"/>
    <w:rsid w:val="00E24A5D"/>
    <w:rsid w:val="00E24B25"/>
    <w:rsid w:val="00E2549F"/>
    <w:rsid w:val="00E2608A"/>
    <w:rsid w:val="00E261A9"/>
    <w:rsid w:val="00E267C1"/>
    <w:rsid w:val="00E27C89"/>
    <w:rsid w:val="00E3135D"/>
    <w:rsid w:val="00E3222B"/>
    <w:rsid w:val="00E323C9"/>
    <w:rsid w:val="00E35EF8"/>
    <w:rsid w:val="00E36182"/>
    <w:rsid w:val="00E36801"/>
    <w:rsid w:val="00E371BB"/>
    <w:rsid w:val="00E376D4"/>
    <w:rsid w:val="00E4070B"/>
    <w:rsid w:val="00E41343"/>
    <w:rsid w:val="00E41F43"/>
    <w:rsid w:val="00E43D69"/>
    <w:rsid w:val="00E43DC2"/>
    <w:rsid w:val="00E469B7"/>
    <w:rsid w:val="00E47292"/>
    <w:rsid w:val="00E476B6"/>
    <w:rsid w:val="00E479DD"/>
    <w:rsid w:val="00E507F7"/>
    <w:rsid w:val="00E511F3"/>
    <w:rsid w:val="00E51700"/>
    <w:rsid w:val="00E51BF2"/>
    <w:rsid w:val="00E51CF3"/>
    <w:rsid w:val="00E52A2B"/>
    <w:rsid w:val="00E54019"/>
    <w:rsid w:val="00E55597"/>
    <w:rsid w:val="00E56851"/>
    <w:rsid w:val="00E56956"/>
    <w:rsid w:val="00E571D6"/>
    <w:rsid w:val="00E62B7C"/>
    <w:rsid w:val="00E62BEB"/>
    <w:rsid w:val="00E62BED"/>
    <w:rsid w:val="00E62E80"/>
    <w:rsid w:val="00E63EAF"/>
    <w:rsid w:val="00E65A99"/>
    <w:rsid w:val="00E6629D"/>
    <w:rsid w:val="00E66A1E"/>
    <w:rsid w:val="00E6777F"/>
    <w:rsid w:val="00E70C37"/>
    <w:rsid w:val="00E71136"/>
    <w:rsid w:val="00E72AD9"/>
    <w:rsid w:val="00E73A1B"/>
    <w:rsid w:val="00E73BB8"/>
    <w:rsid w:val="00E742B2"/>
    <w:rsid w:val="00E76310"/>
    <w:rsid w:val="00E76D86"/>
    <w:rsid w:val="00E77B56"/>
    <w:rsid w:val="00E83CB5"/>
    <w:rsid w:val="00E85C64"/>
    <w:rsid w:val="00E85FE3"/>
    <w:rsid w:val="00E8633D"/>
    <w:rsid w:val="00E86D64"/>
    <w:rsid w:val="00E87880"/>
    <w:rsid w:val="00E879C3"/>
    <w:rsid w:val="00E93F58"/>
    <w:rsid w:val="00E94421"/>
    <w:rsid w:val="00E944A2"/>
    <w:rsid w:val="00E95A6B"/>
    <w:rsid w:val="00E96161"/>
    <w:rsid w:val="00E96648"/>
    <w:rsid w:val="00E96875"/>
    <w:rsid w:val="00E9695C"/>
    <w:rsid w:val="00E971A6"/>
    <w:rsid w:val="00E97F5D"/>
    <w:rsid w:val="00EA0056"/>
    <w:rsid w:val="00EA00AF"/>
    <w:rsid w:val="00EA0AD0"/>
    <w:rsid w:val="00EA14B9"/>
    <w:rsid w:val="00EA22D4"/>
    <w:rsid w:val="00EA2705"/>
    <w:rsid w:val="00EA2B53"/>
    <w:rsid w:val="00EA7B9F"/>
    <w:rsid w:val="00EB00FD"/>
    <w:rsid w:val="00EB04FA"/>
    <w:rsid w:val="00EB31CA"/>
    <w:rsid w:val="00EB34B2"/>
    <w:rsid w:val="00EB367D"/>
    <w:rsid w:val="00EB37C0"/>
    <w:rsid w:val="00EB3AAA"/>
    <w:rsid w:val="00EB3DB1"/>
    <w:rsid w:val="00EB404A"/>
    <w:rsid w:val="00EB420D"/>
    <w:rsid w:val="00EB64C5"/>
    <w:rsid w:val="00EB7696"/>
    <w:rsid w:val="00EC0202"/>
    <w:rsid w:val="00EC09FD"/>
    <w:rsid w:val="00EC18A8"/>
    <w:rsid w:val="00EC2E32"/>
    <w:rsid w:val="00EC3025"/>
    <w:rsid w:val="00EC4389"/>
    <w:rsid w:val="00EC43F5"/>
    <w:rsid w:val="00EC49D5"/>
    <w:rsid w:val="00EC4CFC"/>
    <w:rsid w:val="00EC5908"/>
    <w:rsid w:val="00EC6357"/>
    <w:rsid w:val="00EC6938"/>
    <w:rsid w:val="00EC699A"/>
    <w:rsid w:val="00EC6BA3"/>
    <w:rsid w:val="00ED002D"/>
    <w:rsid w:val="00ED1A9D"/>
    <w:rsid w:val="00ED310D"/>
    <w:rsid w:val="00ED3958"/>
    <w:rsid w:val="00ED5D91"/>
    <w:rsid w:val="00ED62F5"/>
    <w:rsid w:val="00ED727C"/>
    <w:rsid w:val="00EE06A8"/>
    <w:rsid w:val="00EE306A"/>
    <w:rsid w:val="00EE3548"/>
    <w:rsid w:val="00EE3C80"/>
    <w:rsid w:val="00EE52CB"/>
    <w:rsid w:val="00EE616A"/>
    <w:rsid w:val="00EE6C66"/>
    <w:rsid w:val="00EE6CF9"/>
    <w:rsid w:val="00EE6D60"/>
    <w:rsid w:val="00EE6F91"/>
    <w:rsid w:val="00EE7651"/>
    <w:rsid w:val="00EE78E1"/>
    <w:rsid w:val="00EF1306"/>
    <w:rsid w:val="00EF1A75"/>
    <w:rsid w:val="00EF1E13"/>
    <w:rsid w:val="00EF22C8"/>
    <w:rsid w:val="00EF2403"/>
    <w:rsid w:val="00EF4F03"/>
    <w:rsid w:val="00EF5006"/>
    <w:rsid w:val="00EF5501"/>
    <w:rsid w:val="00EF56E0"/>
    <w:rsid w:val="00EF5942"/>
    <w:rsid w:val="00EF5D34"/>
    <w:rsid w:val="00EF7E85"/>
    <w:rsid w:val="00F004E7"/>
    <w:rsid w:val="00F00A33"/>
    <w:rsid w:val="00F00C4C"/>
    <w:rsid w:val="00F03CB8"/>
    <w:rsid w:val="00F03E44"/>
    <w:rsid w:val="00F04553"/>
    <w:rsid w:val="00F04D2E"/>
    <w:rsid w:val="00F05E44"/>
    <w:rsid w:val="00F0698D"/>
    <w:rsid w:val="00F07B97"/>
    <w:rsid w:val="00F07FE2"/>
    <w:rsid w:val="00F100F5"/>
    <w:rsid w:val="00F10548"/>
    <w:rsid w:val="00F10CA6"/>
    <w:rsid w:val="00F11B43"/>
    <w:rsid w:val="00F11E80"/>
    <w:rsid w:val="00F1343A"/>
    <w:rsid w:val="00F13B70"/>
    <w:rsid w:val="00F14313"/>
    <w:rsid w:val="00F145A7"/>
    <w:rsid w:val="00F1491C"/>
    <w:rsid w:val="00F16EAB"/>
    <w:rsid w:val="00F20542"/>
    <w:rsid w:val="00F20B8C"/>
    <w:rsid w:val="00F21027"/>
    <w:rsid w:val="00F21616"/>
    <w:rsid w:val="00F218EE"/>
    <w:rsid w:val="00F21FFC"/>
    <w:rsid w:val="00F237B8"/>
    <w:rsid w:val="00F26006"/>
    <w:rsid w:val="00F26A52"/>
    <w:rsid w:val="00F26D2B"/>
    <w:rsid w:val="00F30BF2"/>
    <w:rsid w:val="00F31635"/>
    <w:rsid w:val="00F31FC2"/>
    <w:rsid w:val="00F32405"/>
    <w:rsid w:val="00F32AE2"/>
    <w:rsid w:val="00F32C4B"/>
    <w:rsid w:val="00F33606"/>
    <w:rsid w:val="00F3392A"/>
    <w:rsid w:val="00F33C94"/>
    <w:rsid w:val="00F356B8"/>
    <w:rsid w:val="00F35903"/>
    <w:rsid w:val="00F35DE3"/>
    <w:rsid w:val="00F3623A"/>
    <w:rsid w:val="00F36386"/>
    <w:rsid w:val="00F37345"/>
    <w:rsid w:val="00F40BBE"/>
    <w:rsid w:val="00F40D2F"/>
    <w:rsid w:val="00F41280"/>
    <w:rsid w:val="00F420E5"/>
    <w:rsid w:val="00F44657"/>
    <w:rsid w:val="00F4594E"/>
    <w:rsid w:val="00F45E15"/>
    <w:rsid w:val="00F52337"/>
    <w:rsid w:val="00F5332E"/>
    <w:rsid w:val="00F539B0"/>
    <w:rsid w:val="00F54B0B"/>
    <w:rsid w:val="00F54FFA"/>
    <w:rsid w:val="00F56A0C"/>
    <w:rsid w:val="00F56B72"/>
    <w:rsid w:val="00F56CE3"/>
    <w:rsid w:val="00F57858"/>
    <w:rsid w:val="00F57B72"/>
    <w:rsid w:val="00F60524"/>
    <w:rsid w:val="00F60A23"/>
    <w:rsid w:val="00F6122E"/>
    <w:rsid w:val="00F61268"/>
    <w:rsid w:val="00F616A6"/>
    <w:rsid w:val="00F62E84"/>
    <w:rsid w:val="00F64707"/>
    <w:rsid w:val="00F677F5"/>
    <w:rsid w:val="00F712B8"/>
    <w:rsid w:val="00F71E51"/>
    <w:rsid w:val="00F72662"/>
    <w:rsid w:val="00F733AF"/>
    <w:rsid w:val="00F74360"/>
    <w:rsid w:val="00F75AB5"/>
    <w:rsid w:val="00F75E7F"/>
    <w:rsid w:val="00F76093"/>
    <w:rsid w:val="00F76590"/>
    <w:rsid w:val="00F77508"/>
    <w:rsid w:val="00F77645"/>
    <w:rsid w:val="00F801B3"/>
    <w:rsid w:val="00F80349"/>
    <w:rsid w:val="00F80491"/>
    <w:rsid w:val="00F81C1E"/>
    <w:rsid w:val="00F81C4F"/>
    <w:rsid w:val="00F8293E"/>
    <w:rsid w:val="00F8464C"/>
    <w:rsid w:val="00F84883"/>
    <w:rsid w:val="00F8496E"/>
    <w:rsid w:val="00F849BE"/>
    <w:rsid w:val="00F85736"/>
    <w:rsid w:val="00F90D71"/>
    <w:rsid w:val="00F917D4"/>
    <w:rsid w:val="00F92466"/>
    <w:rsid w:val="00F93291"/>
    <w:rsid w:val="00F943B6"/>
    <w:rsid w:val="00F94962"/>
    <w:rsid w:val="00F95454"/>
    <w:rsid w:val="00F9620D"/>
    <w:rsid w:val="00F965CD"/>
    <w:rsid w:val="00F97BA6"/>
    <w:rsid w:val="00FA08E2"/>
    <w:rsid w:val="00FA0CA8"/>
    <w:rsid w:val="00FA12B2"/>
    <w:rsid w:val="00FA38A7"/>
    <w:rsid w:val="00FA4DD5"/>
    <w:rsid w:val="00FA4E90"/>
    <w:rsid w:val="00FB01C1"/>
    <w:rsid w:val="00FB04D7"/>
    <w:rsid w:val="00FB105F"/>
    <w:rsid w:val="00FB13CD"/>
    <w:rsid w:val="00FB2A3E"/>
    <w:rsid w:val="00FB2D60"/>
    <w:rsid w:val="00FB2EBF"/>
    <w:rsid w:val="00FB3BC3"/>
    <w:rsid w:val="00FB3EBA"/>
    <w:rsid w:val="00FB4555"/>
    <w:rsid w:val="00FB46EF"/>
    <w:rsid w:val="00FB4A00"/>
    <w:rsid w:val="00FB4B49"/>
    <w:rsid w:val="00FB4B68"/>
    <w:rsid w:val="00FB515C"/>
    <w:rsid w:val="00FB5A40"/>
    <w:rsid w:val="00FB5D76"/>
    <w:rsid w:val="00FB79B0"/>
    <w:rsid w:val="00FC0AD1"/>
    <w:rsid w:val="00FC192A"/>
    <w:rsid w:val="00FC1B40"/>
    <w:rsid w:val="00FC1CF1"/>
    <w:rsid w:val="00FC236E"/>
    <w:rsid w:val="00FC3263"/>
    <w:rsid w:val="00FC4B44"/>
    <w:rsid w:val="00FC51DD"/>
    <w:rsid w:val="00FC53DE"/>
    <w:rsid w:val="00FC5BA6"/>
    <w:rsid w:val="00FC5D1E"/>
    <w:rsid w:val="00FC63A3"/>
    <w:rsid w:val="00FC6C8B"/>
    <w:rsid w:val="00FC7648"/>
    <w:rsid w:val="00FC77EB"/>
    <w:rsid w:val="00FC7CBC"/>
    <w:rsid w:val="00FD0186"/>
    <w:rsid w:val="00FD0487"/>
    <w:rsid w:val="00FD0FD2"/>
    <w:rsid w:val="00FD2033"/>
    <w:rsid w:val="00FD212A"/>
    <w:rsid w:val="00FD3EC5"/>
    <w:rsid w:val="00FD41B2"/>
    <w:rsid w:val="00FD4860"/>
    <w:rsid w:val="00FD48C3"/>
    <w:rsid w:val="00FD4915"/>
    <w:rsid w:val="00FD4A80"/>
    <w:rsid w:val="00FD4B3A"/>
    <w:rsid w:val="00FD5707"/>
    <w:rsid w:val="00FD57FB"/>
    <w:rsid w:val="00FD6D38"/>
    <w:rsid w:val="00FD6E33"/>
    <w:rsid w:val="00FE1E33"/>
    <w:rsid w:val="00FE3540"/>
    <w:rsid w:val="00FE47F6"/>
    <w:rsid w:val="00FE6B53"/>
    <w:rsid w:val="00FE6E4F"/>
    <w:rsid w:val="00FE70C5"/>
    <w:rsid w:val="00FF20D1"/>
    <w:rsid w:val="00FF260C"/>
    <w:rsid w:val="00FF2628"/>
    <w:rsid w:val="00FF268B"/>
    <w:rsid w:val="00FF4CDA"/>
    <w:rsid w:val="00FF4F6E"/>
    <w:rsid w:val="00FF5B0A"/>
    <w:rsid w:val="00FF6DEA"/>
    <w:rsid w:val="00FF70F6"/>
    <w:rsid w:val="00FF7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301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779FE"/>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102B57"/>
    <w:pPr>
      <w:keepNext/>
      <w:keepLines/>
      <w:numPr>
        <w:numId w:val="2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2B57"/>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2B57"/>
    <w:pPr>
      <w:keepNext/>
      <w:keepLines/>
      <w:numPr>
        <w:ilvl w:val="2"/>
        <w:numId w:val="2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02B5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02B57"/>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02B57"/>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02B5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02B57"/>
    <w:pPr>
      <w:keepNext/>
      <w:keepLines/>
      <w:numPr>
        <w:ilvl w:val="7"/>
        <w:numId w:val="2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102B57"/>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102B57"/>
    <w:pPr>
      <w:tabs>
        <w:tab w:val="center" w:pos="4153"/>
        <w:tab w:val="right" w:pos="8306"/>
      </w:tabs>
    </w:pPr>
    <w:rPr>
      <w:sz w:val="22"/>
      <w:szCs w:val="24"/>
    </w:rPr>
  </w:style>
  <w:style w:type="numbering" w:styleId="111111">
    <w:name w:val="Outline List 2"/>
    <w:basedOn w:val="NoList"/>
    <w:rsid w:val="00102B57"/>
    <w:pPr>
      <w:numPr>
        <w:numId w:val="23"/>
      </w:numPr>
    </w:pPr>
  </w:style>
  <w:style w:type="numbering" w:styleId="1ai">
    <w:name w:val="Outline List 1"/>
    <w:basedOn w:val="NoList"/>
    <w:rsid w:val="00102B57"/>
    <w:pPr>
      <w:numPr>
        <w:numId w:val="2"/>
      </w:numPr>
    </w:pPr>
  </w:style>
  <w:style w:type="numbering" w:styleId="ArticleSection">
    <w:name w:val="Outline List 3"/>
    <w:basedOn w:val="NoList"/>
    <w:rsid w:val="00102B57"/>
    <w:pPr>
      <w:numPr>
        <w:numId w:val="24"/>
      </w:numPr>
    </w:pPr>
  </w:style>
  <w:style w:type="paragraph" w:styleId="BlockText">
    <w:name w:val="Block Text"/>
    <w:basedOn w:val="Normal"/>
    <w:rsid w:val="00102B57"/>
    <w:pPr>
      <w:spacing w:after="120"/>
      <w:ind w:left="1440" w:right="1440"/>
    </w:pPr>
  </w:style>
  <w:style w:type="paragraph" w:styleId="BodyText">
    <w:name w:val="Body Text"/>
    <w:basedOn w:val="Normal"/>
    <w:link w:val="BodyTextChar"/>
    <w:rsid w:val="00102B57"/>
    <w:pPr>
      <w:spacing w:after="120"/>
    </w:pPr>
  </w:style>
  <w:style w:type="paragraph" w:styleId="BodyText2">
    <w:name w:val="Body Text 2"/>
    <w:basedOn w:val="Normal"/>
    <w:link w:val="BodyText2Char"/>
    <w:rsid w:val="00102B57"/>
    <w:pPr>
      <w:spacing w:after="120" w:line="480" w:lineRule="auto"/>
    </w:pPr>
  </w:style>
  <w:style w:type="paragraph" w:styleId="BodyText3">
    <w:name w:val="Body Text 3"/>
    <w:basedOn w:val="Normal"/>
    <w:link w:val="BodyText3Char"/>
    <w:rsid w:val="00102B57"/>
    <w:pPr>
      <w:spacing w:after="120"/>
    </w:pPr>
    <w:rPr>
      <w:sz w:val="16"/>
      <w:szCs w:val="16"/>
    </w:rPr>
  </w:style>
  <w:style w:type="paragraph" w:styleId="BodyTextFirstIndent">
    <w:name w:val="Body Text First Indent"/>
    <w:basedOn w:val="BodyText"/>
    <w:link w:val="BodyTextFirstIndentChar"/>
    <w:rsid w:val="00102B57"/>
    <w:pPr>
      <w:ind w:firstLine="210"/>
    </w:pPr>
  </w:style>
  <w:style w:type="paragraph" w:styleId="BodyTextIndent">
    <w:name w:val="Body Text Indent"/>
    <w:basedOn w:val="Normal"/>
    <w:link w:val="BodyTextIndentChar"/>
    <w:rsid w:val="00102B57"/>
    <w:pPr>
      <w:spacing w:after="120"/>
      <w:ind w:left="283"/>
    </w:pPr>
  </w:style>
  <w:style w:type="paragraph" w:styleId="BodyTextFirstIndent2">
    <w:name w:val="Body Text First Indent 2"/>
    <w:basedOn w:val="BodyTextIndent"/>
    <w:link w:val="BodyTextFirstIndent2Char"/>
    <w:rsid w:val="00102B57"/>
    <w:pPr>
      <w:ind w:firstLine="210"/>
    </w:pPr>
  </w:style>
  <w:style w:type="paragraph" w:styleId="BodyTextIndent2">
    <w:name w:val="Body Text Indent 2"/>
    <w:basedOn w:val="Normal"/>
    <w:link w:val="BodyTextIndent2Char"/>
    <w:rsid w:val="00102B57"/>
    <w:pPr>
      <w:spacing w:after="120" w:line="480" w:lineRule="auto"/>
      <w:ind w:left="283"/>
    </w:pPr>
  </w:style>
  <w:style w:type="paragraph" w:styleId="BodyTextIndent3">
    <w:name w:val="Body Text Indent 3"/>
    <w:basedOn w:val="Normal"/>
    <w:link w:val="BodyTextIndent3Char"/>
    <w:rsid w:val="00102B57"/>
    <w:pPr>
      <w:spacing w:after="120"/>
      <w:ind w:left="283"/>
    </w:pPr>
    <w:rPr>
      <w:sz w:val="16"/>
      <w:szCs w:val="16"/>
    </w:rPr>
  </w:style>
  <w:style w:type="paragraph" w:styleId="Closing">
    <w:name w:val="Closing"/>
    <w:basedOn w:val="Normal"/>
    <w:link w:val="ClosingChar"/>
    <w:rsid w:val="00102B57"/>
    <w:pPr>
      <w:ind w:left="4252"/>
    </w:pPr>
  </w:style>
  <w:style w:type="paragraph" w:styleId="Date">
    <w:name w:val="Date"/>
    <w:basedOn w:val="Normal"/>
    <w:next w:val="Normal"/>
    <w:link w:val="DateChar"/>
    <w:rsid w:val="00102B57"/>
  </w:style>
  <w:style w:type="paragraph" w:styleId="E-mailSignature">
    <w:name w:val="E-mail Signature"/>
    <w:basedOn w:val="Normal"/>
    <w:link w:val="E-mailSignatureChar"/>
    <w:rsid w:val="00102B57"/>
  </w:style>
  <w:style w:type="character" w:styleId="Emphasis">
    <w:name w:val="Emphasis"/>
    <w:basedOn w:val="DefaultParagraphFont"/>
    <w:qFormat/>
    <w:rsid w:val="00102B57"/>
    <w:rPr>
      <w:i/>
      <w:iCs/>
    </w:rPr>
  </w:style>
  <w:style w:type="paragraph" w:styleId="EnvelopeAddress">
    <w:name w:val="envelope address"/>
    <w:basedOn w:val="Normal"/>
    <w:rsid w:val="00102B57"/>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02B57"/>
    <w:rPr>
      <w:rFonts w:ascii="Arial" w:hAnsi="Arial" w:cs="Arial"/>
      <w:sz w:val="20"/>
    </w:rPr>
  </w:style>
  <w:style w:type="character" w:styleId="FollowedHyperlink">
    <w:name w:val="FollowedHyperlink"/>
    <w:basedOn w:val="DefaultParagraphFont"/>
    <w:rsid w:val="00102B57"/>
    <w:rPr>
      <w:color w:val="800080"/>
      <w:u w:val="single"/>
    </w:rPr>
  </w:style>
  <w:style w:type="paragraph" w:styleId="Header">
    <w:name w:val="header"/>
    <w:basedOn w:val="OPCParaBase"/>
    <w:link w:val="HeaderChar"/>
    <w:unhideWhenUsed/>
    <w:rsid w:val="00102B57"/>
    <w:pPr>
      <w:keepNext/>
      <w:keepLines/>
      <w:tabs>
        <w:tab w:val="center" w:pos="4150"/>
        <w:tab w:val="right" w:pos="8307"/>
      </w:tabs>
      <w:spacing w:line="160" w:lineRule="exact"/>
    </w:pPr>
    <w:rPr>
      <w:sz w:val="16"/>
    </w:rPr>
  </w:style>
  <w:style w:type="character" w:styleId="HTMLAcronym">
    <w:name w:val="HTML Acronym"/>
    <w:basedOn w:val="DefaultParagraphFont"/>
    <w:rsid w:val="00102B57"/>
  </w:style>
  <w:style w:type="paragraph" w:styleId="HTMLAddress">
    <w:name w:val="HTML Address"/>
    <w:basedOn w:val="Normal"/>
    <w:link w:val="HTMLAddressChar"/>
    <w:rsid w:val="00102B57"/>
    <w:rPr>
      <w:i/>
      <w:iCs/>
    </w:rPr>
  </w:style>
  <w:style w:type="character" w:styleId="HTMLCite">
    <w:name w:val="HTML Cite"/>
    <w:basedOn w:val="DefaultParagraphFont"/>
    <w:rsid w:val="00102B57"/>
    <w:rPr>
      <w:i/>
      <w:iCs/>
    </w:rPr>
  </w:style>
  <w:style w:type="character" w:styleId="HTMLCode">
    <w:name w:val="HTML Code"/>
    <w:basedOn w:val="DefaultParagraphFont"/>
    <w:rsid w:val="00102B57"/>
    <w:rPr>
      <w:rFonts w:ascii="Courier New" w:hAnsi="Courier New" w:cs="Courier New"/>
      <w:sz w:val="20"/>
      <w:szCs w:val="20"/>
    </w:rPr>
  </w:style>
  <w:style w:type="character" w:styleId="HTMLDefinition">
    <w:name w:val="HTML Definition"/>
    <w:basedOn w:val="DefaultParagraphFont"/>
    <w:rsid w:val="00102B57"/>
    <w:rPr>
      <w:i/>
      <w:iCs/>
    </w:rPr>
  </w:style>
  <w:style w:type="character" w:styleId="HTMLKeyboard">
    <w:name w:val="HTML Keyboard"/>
    <w:basedOn w:val="DefaultParagraphFont"/>
    <w:rsid w:val="00102B57"/>
    <w:rPr>
      <w:rFonts w:ascii="Courier New" w:hAnsi="Courier New" w:cs="Courier New"/>
      <w:sz w:val="20"/>
      <w:szCs w:val="20"/>
    </w:rPr>
  </w:style>
  <w:style w:type="paragraph" w:styleId="HTMLPreformatted">
    <w:name w:val="HTML Preformatted"/>
    <w:basedOn w:val="Normal"/>
    <w:link w:val="HTMLPreformattedChar"/>
    <w:rsid w:val="00102B57"/>
    <w:rPr>
      <w:rFonts w:ascii="Courier New" w:hAnsi="Courier New" w:cs="Courier New"/>
      <w:sz w:val="20"/>
    </w:rPr>
  </w:style>
  <w:style w:type="character" w:styleId="HTMLSample">
    <w:name w:val="HTML Sample"/>
    <w:basedOn w:val="DefaultParagraphFont"/>
    <w:rsid w:val="00102B57"/>
    <w:rPr>
      <w:rFonts w:ascii="Courier New" w:hAnsi="Courier New" w:cs="Courier New"/>
    </w:rPr>
  </w:style>
  <w:style w:type="character" w:styleId="HTMLTypewriter">
    <w:name w:val="HTML Typewriter"/>
    <w:basedOn w:val="DefaultParagraphFont"/>
    <w:rsid w:val="00102B57"/>
    <w:rPr>
      <w:rFonts w:ascii="Courier New" w:hAnsi="Courier New" w:cs="Courier New"/>
      <w:sz w:val="20"/>
      <w:szCs w:val="20"/>
    </w:rPr>
  </w:style>
  <w:style w:type="character" w:styleId="HTMLVariable">
    <w:name w:val="HTML Variable"/>
    <w:basedOn w:val="DefaultParagraphFont"/>
    <w:rsid w:val="00102B57"/>
    <w:rPr>
      <w:i/>
      <w:iCs/>
    </w:rPr>
  </w:style>
  <w:style w:type="character" w:styleId="Hyperlink">
    <w:name w:val="Hyperlink"/>
    <w:basedOn w:val="DefaultParagraphFont"/>
    <w:rsid w:val="00102B57"/>
    <w:rPr>
      <w:color w:val="0000FF"/>
      <w:u w:val="single"/>
    </w:rPr>
  </w:style>
  <w:style w:type="character" w:styleId="LineNumber">
    <w:name w:val="line number"/>
    <w:basedOn w:val="OPCCharBase"/>
    <w:uiPriority w:val="99"/>
    <w:unhideWhenUsed/>
    <w:rsid w:val="00102B57"/>
    <w:rPr>
      <w:sz w:val="16"/>
    </w:rPr>
  </w:style>
  <w:style w:type="paragraph" w:styleId="List">
    <w:name w:val="List"/>
    <w:basedOn w:val="Normal"/>
    <w:rsid w:val="00102B57"/>
    <w:pPr>
      <w:ind w:left="283" w:hanging="283"/>
    </w:pPr>
  </w:style>
  <w:style w:type="paragraph" w:styleId="List2">
    <w:name w:val="List 2"/>
    <w:basedOn w:val="Normal"/>
    <w:rsid w:val="00102B57"/>
    <w:pPr>
      <w:ind w:left="566" w:hanging="283"/>
    </w:pPr>
  </w:style>
  <w:style w:type="paragraph" w:styleId="List3">
    <w:name w:val="List 3"/>
    <w:basedOn w:val="Normal"/>
    <w:rsid w:val="00102B57"/>
    <w:pPr>
      <w:ind w:left="849" w:hanging="283"/>
    </w:pPr>
  </w:style>
  <w:style w:type="paragraph" w:styleId="List4">
    <w:name w:val="List 4"/>
    <w:basedOn w:val="Normal"/>
    <w:rsid w:val="00102B57"/>
    <w:pPr>
      <w:ind w:left="1132" w:hanging="283"/>
    </w:pPr>
  </w:style>
  <w:style w:type="paragraph" w:styleId="List5">
    <w:name w:val="List 5"/>
    <w:basedOn w:val="Normal"/>
    <w:rsid w:val="00102B57"/>
    <w:pPr>
      <w:ind w:left="1415" w:hanging="283"/>
    </w:pPr>
  </w:style>
  <w:style w:type="paragraph" w:styleId="ListBullet">
    <w:name w:val="List Bullet"/>
    <w:basedOn w:val="Normal"/>
    <w:autoRedefine/>
    <w:rsid w:val="00102B57"/>
    <w:pPr>
      <w:tabs>
        <w:tab w:val="num" w:pos="360"/>
      </w:tabs>
      <w:ind w:left="360" w:hanging="360"/>
    </w:pPr>
  </w:style>
  <w:style w:type="paragraph" w:styleId="ListBullet2">
    <w:name w:val="List Bullet 2"/>
    <w:basedOn w:val="Normal"/>
    <w:autoRedefine/>
    <w:rsid w:val="00102B57"/>
    <w:pPr>
      <w:tabs>
        <w:tab w:val="num" w:pos="360"/>
      </w:tabs>
    </w:pPr>
  </w:style>
  <w:style w:type="paragraph" w:styleId="ListBullet3">
    <w:name w:val="List Bullet 3"/>
    <w:basedOn w:val="Normal"/>
    <w:autoRedefine/>
    <w:rsid w:val="00102B57"/>
    <w:pPr>
      <w:tabs>
        <w:tab w:val="num" w:pos="926"/>
      </w:tabs>
      <w:ind w:left="926" w:hanging="360"/>
    </w:pPr>
  </w:style>
  <w:style w:type="paragraph" w:styleId="ListBullet4">
    <w:name w:val="List Bullet 4"/>
    <w:basedOn w:val="Normal"/>
    <w:autoRedefine/>
    <w:rsid w:val="00102B57"/>
    <w:pPr>
      <w:tabs>
        <w:tab w:val="num" w:pos="1209"/>
      </w:tabs>
      <w:ind w:left="1209" w:hanging="360"/>
    </w:pPr>
  </w:style>
  <w:style w:type="paragraph" w:styleId="ListBullet5">
    <w:name w:val="List Bullet 5"/>
    <w:basedOn w:val="Normal"/>
    <w:autoRedefine/>
    <w:rsid w:val="00102B57"/>
    <w:pPr>
      <w:tabs>
        <w:tab w:val="num" w:pos="1492"/>
      </w:tabs>
      <w:ind w:left="1492" w:hanging="360"/>
    </w:pPr>
  </w:style>
  <w:style w:type="paragraph" w:styleId="ListContinue">
    <w:name w:val="List Continue"/>
    <w:basedOn w:val="Normal"/>
    <w:rsid w:val="00102B57"/>
    <w:pPr>
      <w:spacing w:after="120"/>
      <w:ind w:left="283"/>
    </w:pPr>
  </w:style>
  <w:style w:type="paragraph" w:styleId="ListContinue2">
    <w:name w:val="List Continue 2"/>
    <w:basedOn w:val="Normal"/>
    <w:rsid w:val="00102B57"/>
    <w:pPr>
      <w:spacing w:after="120"/>
      <w:ind w:left="566"/>
    </w:pPr>
  </w:style>
  <w:style w:type="paragraph" w:styleId="ListContinue3">
    <w:name w:val="List Continue 3"/>
    <w:basedOn w:val="Normal"/>
    <w:rsid w:val="00102B57"/>
    <w:pPr>
      <w:spacing w:after="120"/>
      <w:ind w:left="849"/>
    </w:pPr>
  </w:style>
  <w:style w:type="paragraph" w:styleId="ListContinue4">
    <w:name w:val="List Continue 4"/>
    <w:basedOn w:val="Normal"/>
    <w:rsid w:val="00102B57"/>
    <w:pPr>
      <w:spacing w:after="120"/>
      <w:ind w:left="1132"/>
    </w:pPr>
  </w:style>
  <w:style w:type="paragraph" w:styleId="ListContinue5">
    <w:name w:val="List Continue 5"/>
    <w:basedOn w:val="Normal"/>
    <w:rsid w:val="00102B57"/>
    <w:pPr>
      <w:spacing w:after="120"/>
      <w:ind w:left="1415"/>
    </w:pPr>
  </w:style>
  <w:style w:type="paragraph" w:styleId="ListNumber">
    <w:name w:val="List Number"/>
    <w:basedOn w:val="Normal"/>
    <w:rsid w:val="00102B57"/>
    <w:pPr>
      <w:tabs>
        <w:tab w:val="num" w:pos="360"/>
      </w:tabs>
      <w:ind w:left="360" w:hanging="360"/>
    </w:pPr>
  </w:style>
  <w:style w:type="paragraph" w:styleId="ListNumber2">
    <w:name w:val="List Number 2"/>
    <w:basedOn w:val="Normal"/>
    <w:rsid w:val="00102B57"/>
    <w:pPr>
      <w:tabs>
        <w:tab w:val="num" w:pos="643"/>
      </w:tabs>
      <w:ind w:left="643" w:hanging="360"/>
    </w:pPr>
  </w:style>
  <w:style w:type="paragraph" w:styleId="ListNumber3">
    <w:name w:val="List Number 3"/>
    <w:basedOn w:val="Normal"/>
    <w:rsid w:val="00102B57"/>
    <w:pPr>
      <w:tabs>
        <w:tab w:val="num" w:pos="926"/>
      </w:tabs>
      <w:ind w:left="926" w:hanging="360"/>
    </w:pPr>
  </w:style>
  <w:style w:type="paragraph" w:styleId="ListNumber4">
    <w:name w:val="List Number 4"/>
    <w:basedOn w:val="Normal"/>
    <w:rsid w:val="00102B57"/>
    <w:pPr>
      <w:tabs>
        <w:tab w:val="num" w:pos="1209"/>
      </w:tabs>
      <w:ind w:left="1209" w:hanging="360"/>
    </w:pPr>
  </w:style>
  <w:style w:type="paragraph" w:styleId="ListNumber5">
    <w:name w:val="List Number 5"/>
    <w:basedOn w:val="Normal"/>
    <w:rsid w:val="00102B57"/>
    <w:pPr>
      <w:tabs>
        <w:tab w:val="num" w:pos="1492"/>
      </w:tabs>
      <w:ind w:left="1492" w:hanging="360"/>
    </w:pPr>
  </w:style>
  <w:style w:type="paragraph" w:styleId="MessageHeader">
    <w:name w:val="Message Header"/>
    <w:basedOn w:val="Normal"/>
    <w:link w:val="MessageHeaderChar"/>
    <w:rsid w:val="00102B5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102B57"/>
  </w:style>
  <w:style w:type="paragraph" w:styleId="NormalIndent">
    <w:name w:val="Normal Indent"/>
    <w:basedOn w:val="Normal"/>
    <w:rsid w:val="00102B57"/>
    <w:pPr>
      <w:ind w:left="720"/>
    </w:pPr>
  </w:style>
  <w:style w:type="character" w:styleId="PageNumber">
    <w:name w:val="page number"/>
    <w:basedOn w:val="DefaultParagraphFont"/>
    <w:rsid w:val="00102B57"/>
  </w:style>
  <w:style w:type="paragraph" w:styleId="PlainText">
    <w:name w:val="Plain Text"/>
    <w:basedOn w:val="Normal"/>
    <w:link w:val="PlainTextChar"/>
    <w:rsid w:val="00102B57"/>
    <w:rPr>
      <w:rFonts w:ascii="Courier New" w:hAnsi="Courier New" w:cs="Courier New"/>
      <w:sz w:val="20"/>
    </w:rPr>
  </w:style>
  <w:style w:type="paragraph" w:styleId="Salutation">
    <w:name w:val="Salutation"/>
    <w:basedOn w:val="Normal"/>
    <w:next w:val="Normal"/>
    <w:link w:val="SalutationChar"/>
    <w:rsid w:val="00102B57"/>
  </w:style>
  <w:style w:type="paragraph" w:styleId="Signature">
    <w:name w:val="Signature"/>
    <w:basedOn w:val="Normal"/>
    <w:link w:val="SignatureChar"/>
    <w:rsid w:val="00102B57"/>
    <w:pPr>
      <w:ind w:left="4252"/>
    </w:pPr>
  </w:style>
  <w:style w:type="character" w:styleId="Strong">
    <w:name w:val="Strong"/>
    <w:basedOn w:val="DefaultParagraphFont"/>
    <w:qFormat/>
    <w:rsid w:val="00102B57"/>
    <w:rPr>
      <w:b/>
      <w:bCs/>
    </w:rPr>
  </w:style>
  <w:style w:type="paragraph" w:styleId="Subtitle">
    <w:name w:val="Subtitle"/>
    <w:basedOn w:val="Normal"/>
    <w:link w:val="SubtitleChar"/>
    <w:qFormat/>
    <w:rsid w:val="00102B57"/>
    <w:pPr>
      <w:spacing w:after="60"/>
      <w:jc w:val="center"/>
      <w:outlineLvl w:val="1"/>
    </w:pPr>
    <w:rPr>
      <w:rFonts w:ascii="Arial" w:hAnsi="Arial" w:cs="Arial"/>
    </w:rPr>
  </w:style>
  <w:style w:type="table" w:styleId="Table3Deffects1">
    <w:name w:val="Table 3D effects 1"/>
    <w:basedOn w:val="TableNormal"/>
    <w:rsid w:val="00102B5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2B5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2B5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2B5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2B5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2B5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2B5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2B5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2B5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2B5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2B5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2B5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2B5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2B5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2B5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2B5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2B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02B5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2B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2B5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2B5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2B5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2B5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2B5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2B5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2B5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2B5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2B5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2B5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2B5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2B5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2B5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2B5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2B5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2B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2B5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2B5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2B5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2B5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2B5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2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2B5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2B5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2B5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02B57"/>
    <w:pPr>
      <w:spacing w:before="240" w:after="60"/>
    </w:pPr>
    <w:rPr>
      <w:rFonts w:ascii="Arial" w:hAnsi="Arial" w:cs="Arial"/>
      <w:b/>
      <w:bCs/>
      <w:sz w:val="40"/>
      <w:szCs w:val="40"/>
    </w:rPr>
  </w:style>
  <w:style w:type="character" w:customStyle="1" w:styleId="CharAmSchNo">
    <w:name w:val="CharAmSchNo"/>
    <w:basedOn w:val="OPCCharBase"/>
    <w:qFormat/>
    <w:rsid w:val="00102B57"/>
  </w:style>
  <w:style w:type="character" w:customStyle="1" w:styleId="CharAmSchText">
    <w:name w:val="CharAmSchText"/>
    <w:basedOn w:val="OPCCharBase"/>
    <w:qFormat/>
    <w:rsid w:val="00102B57"/>
  </w:style>
  <w:style w:type="character" w:customStyle="1" w:styleId="CharChapNo">
    <w:name w:val="CharChapNo"/>
    <w:basedOn w:val="OPCCharBase"/>
    <w:uiPriority w:val="1"/>
    <w:qFormat/>
    <w:rsid w:val="00102B57"/>
  </w:style>
  <w:style w:type="character" w:customStyle="1" w:styleId="CharChapText">
    <w:name w:val="CharChapText"/>
    <w:basedOn w:val="OPCCharBase"/>
    <w:uiPriority w:val="1"/>
    <w:qFormat/>
    <w:rsid w:val="00102B57"/>
  </w:style>
  <w:style w:type="character" w:customStyle="1" w:styleId="CharDivNo">
    <w:name w:val="CharDivNo"/>
    <w:basedOn w:val="OPCCharBase"/>
    <w:uiPriority w:val="1"/>
    <w:qFormat/>
    <w:rsid w:val="00102B57"/>
  </w:style>
  <w:style w:type="character" w:customStyle="1" w:styleId="CharDivText">
    <w:name w:val="CharDivText"/>
    <w:basedOn w:val="OPCCharBase"/>
    <w:uiPriority w:val="1"/>
    <w:qFormat/>
    <w:rsid w:val="00102B57"/>
  </w:style>
  <w:style w:type="character" w:customStyle="1" w:styleId="CharPartNo">
    <w:name w:val="CharPartNo"/>
    <w:basedOn w:val="OPCCharBase"/>
    <w:uiPriority w:val="1"/>
    <w:qFormat/>
    <w:rsid w:val="00102B57"/>
  </w:style>
  <w:style w:type="character" w:customStyle="1" w:styleId="CharPartText">
    <w:name w:val="CharPartText"/>
    <w:basedOn w:val="OPCCharBase"/>
    <w:uiPriority w:val="1"/>
    <w:qFormat/>
    <w:rsid w:val="00102B57"/>
  </w:style>
  <w:style w:type="character" w:customStyle="1" w:styleId="OPCCharBase">
    <w:name w:val="OPCCharBase"/>
    <w:uiPriority w:val="1"/>
    <w:qFormat/>
    <w:rsid w:val="00102B57"/>
  </w:style>
  <w:style w:type="paragraph" w:customStyle="1" w:styleId="OPCParaBase">
    <w:name w:val="OPCParaBase"/>
    <w:link w:val="OPCParaBaseChar"/>
    <w:qFormat/>
    <w:rsid w:val="00102B57"/>
    <w:pPr>
      <w:spacing w:line="260" w:lineRule="atLeast"/>
    </w:pPr>
    <w:rPr>
      <w:sz w:val="22"/>
    </w:rPr>
  </w:style>
  <w:style w:type="character" w:customStyle="1" w:styleId="CharSectno">
    <w:name w:val="CharSectno"/>
    <w:basedOn w:val="OPCCharBase"/>
    <w:qFormat/>
    <w:rsid w:val="00102B57"/>
  </w:style>
  <w:style w:type="character" w:styleId="EndnoteReference">
    <w:name w:val="endnote reference"/>
    <w:basedOn w:val="DefaultParagraphFont"/>
    <w:rsid w:val="00102B57"/>
    <w:rPr>
      <w:vertAlign w:val="superscript"/>
    </w:rPr>
  </w:style>
  <w:style w:type="paragraph" w:styleId="EndnoteText">
    <w:name w:val="endnote text"/>
    <w:basedOn w:val="Normal"/>
    <w:link w:val="EndnoteTextChar"/>
    <w:rsid w:val="00102B57"/>
    <w:rPr>
      <w:sz w:val="20"/>
    </w:rPr>
  </w:style>
  <w:style w:type="character" w:styleId="FootnoteReference">
    <w:name w:val="footnote reference"/>
    <w:basedOn w:val="DefaultParagraphFont"/>
    <w:rsid w:val="00102B57"/>
    <w:rPr>
      <w:rFonts w:ascii="Times New Roman" w:hAnsi="Times New Roman"/>
      <w:sz w:val="20"/>
      <w:vertAlign w:val="superscript"/>
    </w:rPr>
  </w:style>
  <w:style w:type="paragraph" w:styleId="FootnoteText">
    <w:name w:val="footnote text"/>
    <w:basedOn w:val="Normal"/>
    <w:link w:val="FootnoteTextChar"/>
    <w:rsid w:val="00102B57"/>
    <w:rPr>
      <w:sz w:val="20"/>
    </w:rPr>
  </w:style>
  <w:style w:type="paragraph" w:customStyle="1" w:styleId="Formula">
    <w:name w:val="Formula"/>
    <w:basedOn w:val="OPCParaBase"/>
    <w:rsid w:val="00102B57"/>
    <w:pPr>
      <w:spacing w:line="240" w:lineRule="auto"/>
      <w:ind w:left="1134"/>
    </w:pPr>
    <w:rPr>
      <w:sz w:val="20"/>
    </w:rPr>
  </w:style>
  <w:style w:type="paragraph" w:customStyle="1" w:styleId="ShortT">
    <w:name w:val="ShortT"/>
    <w:basedOn w:val="OPCParaBase"/>
    <w:next w:val="Normal"/>
    <w:qFormat/>
    <w:rsid w:val="00102B57"/>
    <w:pPr>
      <w:spacing w:line="240" w:lineRule="auto"/>
    </w:pPr>
    <w:rPr>
      <w:b/>
      <w:sz w:val="40"/>
    </w:rPr>
  </w:style>
  <w:style w:type="paragraph" w:customStyle="1" w:styleId="Penalty">
    <w:name w:val="Penalty"/>
    <w:basedOn w:val="OPCParaBase"/>
    <w:rsid w:val="00102B57"/>
    <w:pPr>
      <w:tabs>
        <w:tab w:val="left" w:pos="2977"/>
      </w:tabs>
      <w:spacing w:before="180" w:line="240" w:lineRule="auto"/>
      <w:ind w:left="1985" w:hanging="851"/>
    </w:pPr>
  </w:style>
  <w:style w:type="paragraph" w:customStyle="1" w:styleId="Actno">
    <w:name w:val="Actno"/>
    <w:basedOn w:val="ShortT"/>
    <w:next w:val="Normal"/>
    <w:qFormat/>
    <w:rsid w:val="00102B57"/>
  </w:style>
  <w:style w:type="paragraph" w:styleId="TOC1">
    <w:name w:val="toc 1"/>
    <w:basedOn w:val="Normal"/>
    <w:next w:val="Normal"/>
    <w:autoRedefine/>
    <w:uiPriority w:val="39"/>
    <w:unhideWhenUsed/>
    <w:rsid w:val="00D779FE"/>
    <w:pPr>
      <w:keepNext/>
      <w:keepLines/>
      <w:tabs>
        <w:tab w:val="right" w:pos="10206"/>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autoRedefine/>
    <w:uiPriority w:val="39"/>
    <w:unhideWhenUsed/>
    <w:rsid w:val="00D779FE"/>
    <w:pPr>
      <w:keepNext/>
      <w:keepLines/>
      <w:tabs>
        <w:tab w:val="right" w:pos="10206"/>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autoRedefine/>
    <w:uiPriority w:val="39"/>
    <w:unhideWhenUsed/>
    <w:rsid w:val="00D779FE"/>
    <w:pPr>
      <w:keepNext/>
      <w:keepLines/>
      <w:tabs>
        <w:tab w:val="right" w:pos="10206"/>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autoRedefine/>
    <w:uiPriority w:val="39"/>
    <w:unhideWhenUsed/>
    <w:rsid w:val="00D779FE"/>
    <w:pPr>
      <w:keepLines/>
      <w:tabs>
        <w:tab w:val="right" w:pos="10206"/>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autoRedefine/>
    <w:uiPriority w:val="39"/>
    <w:unhideWhenUsed/>
    <w:rsid w:val="00D779FE"/>
    <w:pPr>
      <w:keepLines/>
      <w:tabs>
        <w:tab w:val="right" w:leader="dot" w:pos="10206"/>
      </w:tabs>
      <w:spacing w:before="40" w:line="240" w:lineRule="auto"/>
      <w:ind w:left="2835" w:right="567" w:hanging="1417"/>
    </w:pPr>
    <w:rPr>
      <w:rFonts w:eastAsia="Times New Roman" w:cs="Times New Roman"/>
      <w:kern w:val="28"/>
      <w:sz w:val="18"/>
      <w:lang w:eastAsia="en-AU"/>
    </w:rPr>
  </w:style>
  <w:style w:type="paragraph" w:styleId="TOC6">
    <w:name w:val="toc 6"/>
    <w:basedOn w:val="Normal"/>
    <w:next w:val="Normal"/>
    <w:uiPriority w:val="39"/>
    <w:unhideWhenUsed/>
    <w:rsid w:val="00102B57"/>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102B57"/>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102B57"/>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102B57"/>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PageBreak">
    <w:name w:val="PageBreak"/>
    <w:aliases w:val="pb"/>
    <w:basedOn w:val="OPCParaBase"/>
    <w:rsid w:val="00102B57"/>
    <w:pPr>
      <w:spacing w:line="240" w:lineRule="auto"/>
    </w:pPr>
    <w:rPr>
      <w:sz w:val="20"/>
    </w:rPr>
  </w:style>
  <w:style w:type="paragraph" w:customStyle="1" w:styleId="Blocks">
    <w:name w:val="Blocks"/>
    <w:aliases w:val="bb"/>
    <w:basedOn w:val="OPCParaBase"/>
    <w:qFormat/>
    <w:rsid w:val="00102B57"/>
    <w:pPr>
      <w:spacing w:line="240" w:lineRule="auto"/>
    </w:pPr>
    <w:rPr>
      <w:sz w:val="24"/>
    </w:rPr>
  </w:style>
  <w:style w:type="paragraph" w:styleId="BalloonText">
    <w:name w:val="Balloon Text"/>
    <w:basedOn w:val="Normal"/>
    <w:link w:val="BalloonTextChar"/>
    <w:uiPriority w:val="99"/>
    <w:unhideWhenUsed/>
    <w:rsid w:val="00102B57"/>
    <w:pPr>
      <w:spacing w:line="240" w:lineRule="auto"/>
    </w:pPr>
    <w:rPr>
      <w:rFonts w:ascii="Tahoma" w:hAnsi="Tahoma" w:cs="Tahoma"/>
      <w:sz w:val="16"/>
      <w:szCs w:val="16"/>
    </w:rPr>
  </w:style>
  <w:style w:type="paragraph" w:styleId="Caption">
    <w:name w:val="caption"/>
    <w:basedOn w:val="Normal"/>
    <w:next w:val="Normal"/>
    <w:qFormat/>
    <w:rsid w:val="00102B57"/>
    <w:pPr>
      <w:spacing w:before="120" w:after="120"/>
    </w:pPr>
    <w:rPr>
      <w:b/>
      <w:bCs/>
      <w:sz w:val="20"/>
    </w:rPr>
  </w:style>
  <w:style w:type="character" w:styleId="CommentReference">
    <w:name w:val="annotation reference"/>
    <w:basedOn w:val="DefaultParagraphFont"/>
    <w:rsid w:val="00102B57"/>
    <w:rPr>
      <w:sz w:val="16"/>
      <w:szCs w:val="16"/>
    </w:rPr>
  </w:style>
  <w:style w:type="paragraph" w:styleId="CommentText">
    <w:name w:val="annotation text"/>
    <w:basedOn w:val="Normal"/>
    <w:link w:val="CommentTextChar"/>
    <w:rsid w:val="00102B57"/>
    <w:rPr>
      <w:sz w:val="20"/>
    </w:rPr>
  </w:style>
  <w:style w:type="paragraph" w:styleId="CommentSubject">
    <w:name w:val="annotation subject"/>
    <w:basedOn w:val="CommentText"/>
    <w:next w:val="CommentText"/>
    <w:link w:val="CommentSubjectChar"/>
    <w:rsid w:val="00102B57"/>
    <w:rPr>
      <w:b/>
      <w:bCs/>
    </w:rPr>
  </w:style>
  <w:style w:type="paragraph" w:styleId="DocumentMap">
    <w:name w:val="Document Map"/>
    <w:basedOn w:val="Normal"/>
    <w:link w:val="DocumentMapChar"/>
    <w:rsid w:val="00102B57"/>
    <w:pPr>
      <w:shd w:val="clear" w:color="auto" w:fill="000080"/>
    </w:pPr>
    <w:rPr>
      <w:rFonts w:ascii="Tahoma" w:hAnsi="Tahoma" w:cs="Tahoma"/>
    </w:rPr>
  </w:style>
  <w:style w:type="paragraph" w:styleId="Index1">
    <w:name w:val="index 1"/>
    <w:basedOn w:val="Normal"/>
    <w:next w:val="Normal"/>
    <w:autoRedefine/>
    <w:rsid w:val="00102B57"/>
    <w:pPr>
      <w:ind w:left="240" w:hanging="240"/>
    </w:pPr>
  </w:style>
  <w:style w:type="paragraph" w:styleId="Index2">
    <w:name w:val="index 2"/>
    <w:basedOn w:val="Normal"/>
    <w:next w:val="Normal"/>
    <w:autoRedefine/>
    <w:rsid w:val="00102B57"/>
    <w:pPr>
      <w:ind w:left="480" w:hanging="240"/>
    </w:pPr>
  </w:style>
  <w:style w:type="paragraph" w:styleId="Index3">
    <w:name w:val="index 3"/>
    <w:basedOn w:val="Normal"/>
    <w:next w:val="Normal"/>
    <w:autoRedefine/>
    <w:rsid w:val="00102B57"/>
    <w:pPr>
      <w:ind w:left="720" w:hanging="240"/>
    </w:pPr>
  </w:style>
  <w:style w:type="paragraph" w:styleId="Index4">
    <w:name w:val="index 4"/>
    <w:basedOn w:val="Normal"/>
    <w:next w:val="Normal"/>
    <w:autoRedefine/>
    <w:rsid w:val="00102B57"/>
    <w:pPr>
      <w:ind w:left="960" w:hanging="240"/>
    </w:pPr>
  </w:style>
  <w:style w:type="paragraph" w:styleId="Index5">
    <w:name w:val="index 5"/>
    <w:basedOn w:val="Normal"/>
    <w:next w:val="Normal"/>
    <w:autoRedefine/>
    <w:rsid w:val="00102B57"/>
    <w:pPr>
      <w:ind w:left="1200" w:hanging="240"/>
    </w:pPr>
  </w:style>
  <w:style w:type="paragraph" w:styleId="Index6">
    <w:name w:val="index 6"/>
    <w:basedOn w:val="Normal"/>
    <w:next w:val="Normal"/>
    <w:autoRedefine/>
    <w:rsid w:val="00102B57"/>
    <w:pPr>
      <w:ind w:left="1440" w:hanging="240"/>
    </w:pPr>
  </w:style>
  <w:style w:type="paragraph" w:styleId="Index7">
    <w:name w:val="index 7"/>
    <w:basedOn w:val="Normal"/>
    <w:next w:val="Normal"/>
    <w:autoRedefine/>
    <w:rsid w:val="00102B57"/>
    <w:pPr>
      <w:ind w:left="1680" w:hanging="240"/>
    </w:pPr>
  </w:style>
  <w:style w:type="paragraph" w:styleId="Index8">
    <w:name w:val="index 8"/>
    <w:basedOn w:val="Normal"/>
    <w:next w:val="Normal"/>
    <w:autoRedefine/>
    <w:rsid w:val="00102B57"/>
    <w:pPr>
      <w:ind w:left="1920" w:hanging="240"/>
    </w:pPr>
  </w:style>
  <w:style w:type="paragraph" w:styleId="Index9">
    <w:name w:val="index 9"/>
    <w:basedOn w:val="Normal"/>
    <w:next w:val="Normal"/>
    <w:autoRedefine/>
    <w:rsid w:val="00102B57"/>
    <w:pPr>
      <w:ind w:left="2160" w:hanging="240"/>
    </w:pPr>
  </w:style>
  <w:style w:type="paragraph" w:styleId="IndexHeading">
    <w:name w:val="index heading"/>
    <w:basedOn w:val="Normal"/>
    <w:next w:val="Index1"/>
    <w:rsid w:val="00102B57"/>
    <w:rPr>
      <w:rFonts w:ascii="Arial" w:hAnsi="Arial" w:cs="Arial"/>
      <w:b/>
      <w:bCs/>
    </w:rPr>
  </w:style>
  <w:style w:type="paragraph" w:styleId="MacroText">
    <w:name w:val="macro"/>
    <w:link w:val="MacroTextChar"/>
    <w:rsid w:val="00102B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102B57"/>
    <w:pPr>
      <w:ind w:left="240" w:hanging="240"/>
    </w:pPr>
  </w:style>
  <w:style w:type="paragraph" w:styleId="TableofFigures">
    <w:name w:val="table of figures"/>
    <w:basedOn w:val="Normal"/>
    <w:next w:val="Normal"/>
    <w:rsid w:val="00102B57"/>
    <w:pPr>
      <w:ind w:left="480" w:hanging="480"/>
    </w:pPr>
  </w:style>
  <w:style w:type="paragraph" w:styleId="TOAHeading">
    <w:name w:val="toa heading"/>
    <w:basedOn w:val="Normal"/>
    <w:next w:val="Normal"/>
    <w:rsid w:val="00102B57"/>
    <w:pPr>
      <w:spacing w:before="120"/>
    </w:pPr>
    <w:rPr>
      <w:rFonts w:ascii="Arial" w:hAnsi="Arial" w:cs="Arial"/>
      <w:b/>
      <w:bCs/>
    </w:rPr>
  </w:style>
  <w:style w:type="paragraph" w:customStyle="1" w:styleId="BoxText">
    <w:name w:val="BoxText"/>
    <w:aliases w:val="bt"/>
    <w:basedOn w:val="OPCParaBase"/>
    <w:qFormat/>
    <w:rsid w:val="00102B57"/>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LPNotebullet">
    <w:name w:val="TLPNote(bullet)"/>
    <w:basedOn w:val="OPCParaBase"/>
    <w:rsid w:val="00102B57"/>
    <w:pPr>
      <w:numPr>
        <w:numId w:val="17"/>
      </w:numPr>
      <w:tabs>
        <w:tab w:val="clear" w:pos="2517"/>
        <w:tab w:val="left" w:pos="357"/>
      </w:tabs>
      <w:spacing w:before="60" w:line="198" w:lineRule="exact"/>
      <w:ind w:left="0" w:firstLine="0"/>
    </w:pPr>
    <w:rPr>
      <w:sz w:val="18"/>
    </w:rPr>
  </w:style>
  <w:style w:type="paragraph" w:customStyle="1" w:styleId="subsection">
    <w:name w:val="subsection"/>
    <w:aliases w:val="ss"/>
    <w:basedOn w:val="OPCParaBase"/>
    <w:link w:val="subsectionChar"/>
    <w:rsid w:val="00102B57"/>
    <w:pPr>
      <w:tabs>
        <w:tab w:val="right" w:pos="1021"/>
      </w:tabs>
      <w:spacing w:before="180" w:line="240" w:lineRule="auto"/>
      <w:ind w:left="1134" w:hanging="1134"/>
    </w:pPr>
  </w:style>
  <w:style w:type="paragraph" w:customStyle="1" w:styleId="paragraph">
    <w:name w:val="paragraph"/>
    <w:aliases w:val="a"/>
    <w:basedOn w:val="OPCParaBase"/>
    <w:link w:val="paragraphChar"/>
    <w:rsid w:val="00102B57"/>
    <w:pPr>
      <w:tabs>
        <w:tab w:val="right" w:pos="1531"/>
      </w:tabs>
      <w:spacing w:before="40" w:line="240" w:lineRule="auto"/>
      <w:ind w:left="1644" w:hanging="1644"/>
    </w:pPr>
  </w:style>
  <w:style w:type="paragraph" w:customStyle="1" w:styleId="paragraphsub">
    <w:name w:val="paragraph(sub)"/>
    <w:aliases w:val="aa"/>
    <w:basedOn w:val="OPCParaBase"/>
    <w:link w:val="paragraphsubChar"/>
    <w:rsid w:val="00102B57"/>
    <w:pPr>
      <w:tabs>
        <w:tab w:val="right" w:pos="1985"/>
      </w:tabs>
      <w:spacing w:before="40" w:line="240" w:lineRule="auto"/>
      <w:ind w:left="2098" w:hanging="2098"/>
    </w:pPr>
  </w:style>
  <w:style w:type="paragraph" w:customStyle="1" w:styleId="subsection2">
    <w:name w:val="subsection2"/>
    <w:aliases w:val="ss2"/>
    <w:basedOn w:val="OPCParaBase"/>
    <w:next w:val="subsection"/>
    <w:link w:val="subsection2Char"/>
    <w:rsid w:val="00102B57"/>
    <w:pPr>
      <w:spacing w:before="40" w:line="240" w:lineRule="auto"/>
      <w:ind w:left="1134"/>
    </w:pPr>
  </w:style>
  <w:style w:type="paragraph" w:customStyle="1" w:styleId="notetext">
    <w:name w:val="note(text)"/>
    <w:aliases w:val="n"/>
    <w:basedOn w:val="OPCParaBase"/>
    <w:link w:val="notetextChar"/>
    <w:rsid w:val="00102B57"/>
    <w:pPr>
      <w:spacing w:before="122" w:line="240" w:lineRule="auto"/>
      <w:ind w:left="1985" w:hanging="851"/>
    </w:pPr>
    <w:rPr>
      <w:sz w:val="18"/>
    </w:rPr>
  </w:style>
  <w:style w:type="paragraph" w:customStyle="1" w:styleId="ItemHead">
    <w:name w:val="ItemHead"/>
    <w:aliases w:val="ih"/>
    <w:basedOn w:val="OPCParaBase"/>
    <w:next w:val="Item"/>
    <w:link w:val="ItemHeadChar"/>
    <w:rsid w:val="00102B57"/>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link w:val="ItemChar"/>
    <w:rsid w:val="00102B57"/>
    <w:pPr>
      <w:keepLines/>
      <w:spacing w:before="80" w:line="240" w:lineRule="auto"/>
      <w:ind w:left="709"/>
    </w:pPr>
  </w:style>
  <w:style w:type="paragraph" w:customStyle="1" w:styleId="SubsectionHead">
    <w:name w:val="SubsectionHead"/>
    <w:aliases w:val="ssh"/>
    <w:basedOn w:val="OPCParaBase"/>
    <w:next w:val="subsection"/>
    <w:rsid w:val="00102B57"/>
    <w:pPr>
      <w:keepNext/>
      <w:keepLines/>
      <w:spacing w:before="240" w:line="240" w:lineRule="auto"/>
      <w:ind w:left="1134"/>
    </w:pPr>
    <w:rPr>
      <w:i/>
    </w:rPr>
  </w:style>
  <w:style w:type="character" w:customStyle="1" w:styleId="CharAmPartNo">
    <w:name w:val="CharAmPartNo"/>
    <w:basedOn w:val="OPCCharBase"/>
    <w:qFormat/>
    <w:rsid w:val="00102B57"/>
  </w:style>
  <w:style w:type="character" w:customStyle="1" w:styleId="subsectionChar">
    <w:name w:val="subsection Char"/>
    <w:aliases w:val="ss Char"/>
    <w:basedOn w:val="DefaultParagraphFont"/>
    <w:link w:val="subsection"/>
    <w:rsid w:val="00102B57"/>
    <w:rPr>
      <w:sz w:val="22"/>
    </w:rPr>
  </w:style>
  <w:style w:type="paragraph" w:customStyle="1" w:styleId="Definition">
    <w:name w:val="Definition"/>
    <w:aliases w:val="dd"/>
    <w:basedOn w:val="OPCParaBase"/>
    <w:link w:val="DefinitionChar"/>
    <w:rsid w:val="00102B57"/>
    <w:pPr>
      <w:spacing w:before="180" w:line="240" w:lineRule="auto"/>
      <w:ind w:left="1134"/>
    </w:pPr>
  </w:style>
  <w:style w:type="paragraph" w:customStyle="1" w:styleId="BoxHeadBold">
    <w:name w:val="BoxHeadBold"/>
    <w:aliases w:val="bhb"/>
    <w:basedOn w:val="BoxText"/>
    <w:next w:val="BoxText"/>
    <w:qFormat/>
    <w:rsid w:val="00102B57"/>
    <w:rPr>
      <w:b/>
    </w:rPr>
  </w:style>
  <w:style w:type="paragraph" w:customStyle="1" w:styleId="BoxHeadItalic">
    <w:name w:val="BoxHeadItalic"/>
    <w:aliases w:val="bhi"/>
    <w:basedOn w:val="BoxText"/>
    <w:next w:val="BoxStep"/>
    <w:qFormat/>
    <w:rsid w:val="00102B57"/>
    <w:rPr>
      <w:i/>
    </w:rPr>
  </w:style>
  <w:style w:type="paragraph" w:customStyle="1" w:styleId="BoxList">
    <w:name w:val="BoxList"/>
    <w:aliases w:val="bl"/>
    <w:basedOn w:val="BoxText"/>
    <w:qFormat/>
    <w:rsid w:val="00102B57"/>
    <w:pPr>
      <w:ind w:left="1559" w:hanging="425"/>
    </w:pPr>
  </w:style>
  <w:style w:type="paragraph" w:customStyle="1" w:styleId="BoxNote">
    <w:name w:val="BoxNote"/>
    <w:aliases w:val="bn"/>
    <w:basedOn w:val="BoxText"/>
    <w:qFormat/>
    <w:rsid w:val="00102B57"/>
    <w:pPr>
      <w:tabs>
        <w:tab w:val="left" w:pos="1985"/>
      </w:tabs>
      <w:spacing w:before="122" w:line="198" w:lineRule="exact"/>
      <w:ind w:left="2948" w:hanging="1814"/>
    </w:pPr>
    <w:rPr>
      <w:sz w:val="18"/>
    </w:rPr>
  </w:style>
  <w:style w:type="paragraph" w:customStyle="1" w:styleId="BoxPara">
    <w:name w:val="BoxPara"/>
    <w:aliases w:val="bp"/>
    <w:basedOn w:val="BoxText"/>
    <w:qFormat/>
    <w:rsid w:val="00102B57"/>
    <w:pPr>
      <w:tabs>
        <w:tab w:val="right" w:pos="2268"/>
      </w:tabs>
      <w:ind w:left="2552" w:hanging="1418"/>
    </w:pPr>
  </w:style>
  <w:style w:type="paragraph" w:customStyle="1" w:styleId="BoxStep">
    <w:name w:val="BoxStep"/>
    <w:aliases w:val="bs"/>
    <w:basedOn w:val="BoxText"/>
    <w:qFormat/>
    <w:rsid w:val="00102B57"/>
    <w:pPr>
      <w:ind w:left="1985" w:hanging="851"/>
    </w:pPr>
  </w:style>
  <w:style w:type="character" w:customStyle="1" w:styleId="CharAmPartText">
    <w:name w:val="CharAmPartText"/>
    <w:basedOn w:val="OPCCharBase"/>
    <w:qFormat/>
    <w:rsid w:val="00102B57"/>
  </w:style>
  <w:style w:type="character" w:customStyle="1" w:styleId="CharBoldItalic">
    <w:name w:val="CharBoldItalic"/>
    <w:basedOn w:val="OPCCharBase"/>
    <w:uiPriority w:val="1"/>
    <w:qFormat/>
    <w:rsid w:val="00102B57"/>
    <w:rPr>
      <w:b/>
      <w:i/>
    </w:rPr>
  </w:style>
  <w:style w:type="character" w:customStyle="1" w:styleId="CharItalic">
    <w:name w:val="CharItalic"/>
    <w:basedOn w:val="OPCCharBase"/>
    <w:uiPriority w:val="1"/>
    <w:qFormat/>
    <w:rsid w:val="00102B57"/>
    <w:rPr>
      <w:i/>
    </w:rPr>
  </w:style>
  <w:style w:type="character" w:customStyle="1" w:styleId="CharSubdNo">
    <w:name w:val="CharSubdNo"/>
    <w:basedOn w:val="OPCCharBase"/>
    <w:uiPriority w:val="1"/>
    <w:qFormat/>
    <w:rsid w:val="00102B57"/>
  </w:style>
  <w:style w:type="character" w:customStyle="1" w:styleId="CharSubdText">
    <w:name w:val="CharSubdText"/>
    <w:basedOn w:val="OPCCharBase"/>
    <w:uiPriority w:val="1"/>
    <w:qFormat/>
    <w:rsid w:val="00102B57"/>
  </w:style>
  <w:style w:type="paragraph" w:customStyle="1" w:styleId="CTA--">
    <w:name w:val="CTA --"/>
    <w:basedOn w:val="OPCParaBase"/>
    <w:next w:val="Normal"/>
    <w:rsid w:val="00102B57"/>
    <w:pPr>
      <w:spacing w:before="60" w:line="240" w:lineRule="atLeast"/>
      <w:ind w:left="142" w:hanging="142"/>
    </w:pPr>
    <w:rPr>
      <w:sz w:val="20"/>
    </w:rPr>
  </w:style>
  <w:style w:type="paragraph" w:customStyle="1" w:styleId="CTA-">
    <w:name w:val="CTA -"/>
    <w:basedOn w:val="OPCParaBase"/>
    <w:rsid w:val="00102B57"/>
    <w:pPr>
      <w:spacing w:before="60" w:line="240" w:lineRule="atLeast"/>
      <w:ind w:left="85" w:hanging="85"/>
    </w:pPr>
    <w:rPr>
      <w:sz w:val="20"/>
    </w:rPr>
  </w:style>
  <w:style w:type="paragraph" w:customStyle="1" w:styleId="CTA---">
    <w:name w:val="CTA ---"/>
    <w:basedOn w:val="OPCParaBase"/>
    <w:next w:val="Normal"/>
    <w:rsid w:val="00102B57"/>
    <w:pPr>
      <w:spacing w:before="60" w:line="240" w:lineRule="atLeast"/>
      <w:ind w:left="198" w:hanging="198"/>
    </w:pPr>
    <w:rPr>
      <w:sz w:val="20"/>
    </w:rPr>
  </w:style>
  <w:style w:type="paragraph" w:customStyle="1" w:styleId="CTA----">
    <w:name w:val="CTA ----"/>
    <w:basedOn w:val="OPCParaBase"/>
    <w:next w:val="Normal"/>
    <w:rsid w:val="00102B57"/>
    <w:pPr>
      <w:spacing w:before="60" w:line="240" w:lineRule="atLeast"/>
      <w:ind w:left="255" w:hanging="255"/>
    </w:pPr>
    <w:rPr>
      <w:sz w:val="20"/>
    </w:rPr>
  </w:style>
  <w:style w:type="paragraph" w:customStyle="1" w:styleId="CTA1a">
    <w:name w:val="CTA 1(a)"/>
    <w:basedOn w:val="OPCParaBase"/>
    <w:rsid w:val="00102B57"/>
    <w:pPr>
      <w:tabs>
        <w:tab w:val="right" w:pos="414"/>
      </w:tabs>
      <w:spacing w:before="40" w:line="240" w:lineRule="atLeast"/>
      <w:ind w:left="675" w:hanging="675"/>
    </w:pPr>
    <w:rPr>
      <w:sz w:val="20"/>
    </w:rPr>
  </w:style>
  <w:style w:type="paragraph" w:customStyle="1" w:styleId="CTA1ai">
    <w:name w:val="CTA 1(a)(i)"/>
    <w:basedOn w:val="OPCParaBase"/>
    <w:rsid w:val="00102B57"/>
    <w:pPr>
      <w:tabs>
        <w:tab w:val="right" w:pos="1004"/>
      </w:tabs>
      <w:spacing w:before="40" w:line="240" w:lineRule="atLeast"/>
      <w:ind w:left="1253" w:hanging="1253"/>
    </w:pPr>
    <w:rPr>
      <w:sz w:val="20"/>
    </w:rPr>
  </w:style>
  <w:style w:type="paragraph" w:customStyle="1" w:styleId="CTA2a">
    <w:name w:val="CTA 2(a)"/>
    <w:basedOn w:val="OPCParaBase"/>
    <w:rsid w:val="00102B57"/>
    <w:pPr>
      <w:tabs>
        <w:tab w:val="right" w:pos="482"/>
      </w:tabs>
      <w:spacing w:before="40" w:line="240" w:lineRule="atLeast"/>
      <w:ind w:left="748" w:hanging="748"/>
    </w:pPr>
    <w:rPr>
      <w:sz w:val="20"/>
    </w:rPr>
  </w:style>
  <w:style w:type="paragraph" w:customStyle="1" w:styleId="CTA2ai">
    <w:name w:val="CTA 2(a)(i)"/>
    <w:basedOn w:val="OPCParaBase"/>
    <w:rsid w:val="00102B57"/>
    <w:pPr>
      <w:tabs>
        <w:tab w:val="right" w:pos="1089"/>
      </w:tabs>
      <w:spacing w:before="40" w:line="240" w:lineRule="atLeast"/>
      <w:ind w:left="1327" w:hanging="1327"/>
    </w:pPr>
    <w:rPr>
      <w:sz w:val="20"/>
    </w:rPr>
  </w:style>
  <w:style w:type="paragraph" w:customStyle="1" w:styleId="CTA3a">
    <w:name w:val="CTA 3(a)"/>
    <w:basedOn w:val="OPCParaBase"/>
    <w:rsid w:val="00102B57"/>
    <w:pPr>
      <w:tabs>
        <w:tab w:val="right" w:pos="556"/>
      </w:tabs>
      <w:spacing w:before="40" w:line="240" w:lineRule="atLeast"/>
      <w:ind w:left="805" w:hanging="805"/>
    </w:pPr>
    <w:rPr>
      <w:sz w:val="20"/>
    </w:rPr>
  </w:style>
  <w:style w:type="paragraph" w:customStyle="1" w:styleId="CTA3ai">
    <w:name w:val="CTA 3(a)(i)"/>
    <w:basedOn w:val="OPCParaBase"/>
    <w:rsid w:val="00102B57"/>
    <w:pPr>
      <w:tabs>
        <w:tab w:val="right" w:pos="1140"/>
      </w:tabs>
      <w:spacing w:before="40" w:line="240" w:lineRule="atLeast"/>
      <w:ind w:left="1361" w:hanging="1361"/>
    </w:pPr>
    <w:rPr>
      <w:sz w:val="20"/>
    </w:rPr>
  </w:style>
  <w:style w:type="paragraph" w:customStyle="1" w:styleId="CTA4a">
    <w:name w:val="CTA 4(a)"/>
    <w:basedOn w:val="OPCParaBase"/>
    <w:rsid w:val="00102B57"/>
    <w:pPr>
      <w:tabs>
        <w:tab w:val="right" w:pos="624"/>
      </w:tabs>
      <w:spacing w:before="40" w:line="240" w:lineRule="atLeast"/>
      <w:ind w:left="873" w:hanging="873"/>
    </w:pPr>
    <w:rPr>
      <w:sz w:val="20"/>
    </w:rPr>
  </w:style>
  <w:style w:type="paragraph" w:customStyle="1" w:styleId="CTA4ai">
    <w:name w:val="CTA 4(a)(i)"/>
    <w:basedOn w:val="OPCParaBase"/>
    <w:rsid w:val="00102B57"/>
    <w:pPr>
      <w:tabs>
        <w:tab w:val="right" w:pos="1213"/>
      </w:tabs>
      <w:spacing w:before="40" w:line="240" w:lineRule="atLeast"/>
      <w:ind w:left="1452" w:hanging="1452"/>
    </w:pPr>
    <w:rPr>
      <w:sz w:val="20"/>
    </w:rPr>
  </w:style>
  <w:style w:type="paragraph" w:customStyle="1" w:styleId="CTACAPS">
    <w:name w:val="CTA CAPS"/>
    <w:basedOn w:val="OPCParaBase"/>
    <w:rsid w:val="00102B57"/>
    <w:pPr>
      <w:spacing w:before="60" w:line="240" w:lineRule="atLeast"/>
    </w:pPr>
    <w:rPr>
      <w:sz w:val="20"/>
    </w:rPr>
  </w:style>
  <w:style w:type="paragraph" w:customStyle="1" w:styleId="CTAright">
    <w:name w:val="CTA right"/>
    <w:basedOn w:val="OPCParaBase"/>
    <w:rsid w:val="00102B57"/>
    <w:pPr>
      <w:spacing w:before="60" w:line="240" w:lineRule="auto"/>
      <w:jc w:val="right"/>
    </w:pPr>
    <w:rPr>
      <w:sz w:val="20"/>
    </w:rPr>
  </w:style>
  <w:style w:type="character" w:customStyle="1" w:styleId="HeaderChar">
    <w:name w:val="Header Char"/>
    <w:basedOn w:val="DefaultParagraphFont"/>
    <w:link w:val="Header"/>
    <w:rsid w:val="00102B57"/>
    <w:rPr>
      <w:sz w:val="16"/>
    </w:rPr>
  </w:style>
  <w:style w:type="paragraph" w:customStyle="1" w:styleId="House">
    <w:name w:val="House"/>
    <w:basedOn w:val="OPCParaBase"/>
    <w:rsid w:val="00102B57"/>
    <w:pPr>
      <w:spacing w:line="240" w:lineRule="auto"/>
    </w:pPr>
    <w:rPr>
      <w:sz w:val="28"/>
    </w:rPr>
  </w:style>
  <w:style w:type="paragraph" w:customStyle="1" w:styleId="LongT">
    <w:name w:val="LongT"/>
    <w:basedOn w:val="OPCParaBase"/>
    <w:rsid w:val="00102B57"/>
    <w:pPr>
      <w:spacing w:line="240" w:lineRule="auto"/>
    </w:pPr>
    <w:rPr>
      <w:b/>
      <w:sz w:val="32"/>
    </w:rPr>
  </w:style>
  <w:style w:type="paragraph" w:customStyle="1" w:styleId="notedraft">
    <w:name w:val="note(draft)"/>
    <w:aliases w:val="nd"/>
    <w:basedOn w:val="OPCParaBase"/>
    <w:rsid w:val="00102B57"/>
    <w:pPr>
      <w:spacing w:before="240" w:line="240" w:lineRule="auto"/>
      <w:ind w:left="284" w:hanging="284"/>
    </w:pPr>
    <w:rPr>
      <w:i/>
      <w:sz w:val="24"/>
    </w:rPr>
  </w:style>
  <w:style w:type="paragraph" w:customStyle="1" w:styleId="notemargin">
    <w:name w:val="note(margin)"/>
    <w:aliases w:val="nm"/>
    <w:basedOn w:val="OPCParaBase"/>
    <w:rsid w:val="00102B57"/>
    <w:pPr>
      <w:tabs>
        <w:tab w:val="left" w:pos="709"/>
      </w:tabs>
      <w:spacing w:before="122" w:line="198" w:lineRule="exact"/>
      <w:ind w:left="709" w:hanging="709"/>
    </w:pPr>
    <w:rPr>
      <w:sz w:val="18"/>
    </w:rPr>
  </w:style>
  <w:style w:type="paragraph" w:customStyle="1" w:styleId="notepara">
    <w:name w:val="note(para)"/>
    <w:aliases w:val="na"/>
    <w:basedOn w:val="OPCParaBase"/>
    <w:rsid w:val="00102B57"/>
    <w:pPr>
      <w:spacing w:before="40" w:line="198" w:lineRule="exact"/>
      <w:ind w:left="2354" w:hanging="369"/>
    </w:pPr>
    <w:rPr>
      <w:sz w:val="18"/>
    </w:rPr>
  </w:style>
  <w:style w:type="paragraph" w:customStyle="1" w:styleId="noteParlAmend">
    <w:name w:val="note(ParlAmend)"/>
    <w:aliases w:val="npp"/>
    <w:basedOn w:val="OPCParaBase"/>
    <w:next w:val="ParlAmend"/>
    <w:rsid w:val="00102B57"/>
    <w:pPr>
      <w:spacing w:line="240" w:lineRule="auto"/>
      <w:jc w:val="right"/>
    </w:pPr>
    <w:rPr>
      <w:rFonts w:ascii="Arial" w:hAnsi="Arial"/>
      <w:b/>
      <w:i/>
    </w:rPr>
  </w:style>
  <w:style w:type="paragraph" w:customStyle="1" w:styleId="Page1">
    <w:name w:val="Page1"/>
    <w:basedOn w:val="OPCParaBase"/>
    <w:rsid w:val="00102B57"/>
    <w:pPr>
      <w:spacing w:before="5600" w:line="240" w:lineRule="auto"/>
    </w:pPr>
    <w:rPr>
      <w:b/>
      <w:sz w:val="32"/>
    </w:rPr>
  </w:style>
  <w:style w:type="paragraph" w:customStyle="1" w:styleId="paragraphsub-sub">
    <w:name w:val="paragraph(sub-sub)"/>
    <w:aliases w:val="aaa"/>
    <w:basedOn w:val="OPCParaBase"/>
    <w:rsid w:val="00102B57"/>
    <w:pPr>
      <w:tabs>
        <w:tab w:val="right" w:pos="2722"/>
      </w:tabs>
      <w:spacing w:before="40" w:line="240" w:lineRule="auto"/>
      <w:ind w:left="2835" w:hanging="2835"/>
    </w:pPr>
  </w:style>
  <w:style w:type="paragraph" w:customStyle="1" w:styleId="ParlAmend">
    <w:name w:val="ParlAmend"/>
    <w:aliases w:val="pp"/>
    <w:basedOn w:val="OPCParaBase"/>
    <w:rsid w:val="00102B57"/>
    <w:pPr>
      <w:spacing w:before="240" w:line="240" w:lineRule="atLeast"/>
      <w:ind w:hanging="567"/>
    </w:pPr>
    <w:rPr>
      <w:sz w:val="24"/>
    </w:rPr>
  </w:style>
  <w:style w:type="paragraph" w:customStyle="1" w:styleId="Portfolio">
    <w:name w:val="Portfolio"/>
    <w:basedOn w:val="OPCParaBase"/>
    <w:rsid w:val="00102B57"/>
    <w:pPr>
      <w:spacing w:line="240" w:lineRule="auto"/>
    </w:pPr>
    <w:rPr>
      <w:i/>
      <w:sz w:val="20"/>
    </w:rPr>
  </w:style>
  <w:style w:type="paragraph" w:customStyle="1" w:styleId="Preamble">
    <w:name w:val="Preamble"/>
    <w:basedOn w:val="OPCParaBase"/>
    <w:next w:val="Normal"/>
    <w:rsid w:val="00102B5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02B57"/>
    <w:pPr>
      <w:spacing w:line="240" w:lineRule="auto"/>
    </w:pPr>
    <w:rPr>
      <w:i/>
      <w:sz w:val="20"/>
    </w:rPr>
  </w:style>
  <w:style w:type="paragraph" w:customStyle="1" w:styleId="Session">
    <w:name w:val="Session"/>
    <w:basedOn w:val="OPCParaBase"/>
    <w:rsid w:val="00102B57"/>
    <w:pPr>
      <w:spacing w:line="240" w:lineRule="auto"/>
    </w:pPr>
    <w:rPr>
      <w:sz w:val="28"/>
    </w:rPr>
  </w:style>
  <w:style w:type="paragraph" w:customStyle="1" w:styleId="Sponsor">
    <w:name w:val="Sponsor"/>
    <w:basedOn w:val="OPCParaBase"/>
    <w:rsid w:val="00102B57"/>
    <w:pPr>
      <w:spacing w:line="240" w:lineRule="auto"/>
    </w:pPr>
    <w:rPr>
      <w:i/>
    </w:rPr>
  </w:style>
  <w:style w:type="paragraph" w:customStyle="1" w:styleId="Subitem">
    <w:name w:val="Subitem"/>
    <w:aliases w:val="iss"/>
    <w:basedOn w:val="OPCParaBase"/>
    <w:rsid w:val="00102B57"/>
    <w:pPr>
      <w:spacing w:before="180" w:line="240" w:lineRule="auto"/>
      <w:ind w:left="709" w:hanging="709"/>
    </w:pPr>
  </w:style>
  <w:style w:type="paragraph" w:customStyle="1" w:styleId="SubitemHead">
    <w:name w:val="SubitemHead"/>
    <w:aliases w:val="issh"/>
    <w:basedOn w:val="OPCParaBase"/>
    <w:rsid w:val="00102B57"/>
    <w:pPr>
      <w:keepNext/>
      <w:keepLines/>
      <w:spacing w:before="220" w:line="240" w:lineRule="auto"/>
      <w:ind w:left="709"/>
    </w:pPr>
    <w:rPr>
      <w:rFonts w:ascii="Arial" w:hAnsi="Arial"/>
      <w:i/>
      <w:kern w:val="28"/>
    </w:rPr>
  </w:style>
  <w:style w:type="paragraph" w:customStyle="1" w:styleId="Tablea">
    <w:name w:val="Table(a)"/>
    <w:aliases w:val="ta"/>
    <w:basedOn w:val="OPCParaBase"/>
    <w:rsid w:val="00102B57"/>
    <w:pPr>
      <w:spacing w:before="60" w:line="240" w:lineRule="auto"/>
      <w:ind w:left="284" w:hanging="284"/>
    </w:pPr>
    <w:rPr>
      <w:sz w:val="20"/>
    </w:rPr>
  </w:style>
  <w:style w:type="paragraph" w:customStyle="1" w:styleId="TableAA">
    <w:name w:val="Table(AA)"/>
    <w:aliases w:val="taaa"/>
    <w:basedOn w:val="OPCParaBase"/>
    <w:rsid w:val="00102B57"/>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02B57"/>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102B57"/>
    <w:pPr>
      <w:spacing w:before="60" w:line="240" w:lineRule="atLeast"/>
    </w:pPr>
    <w:rPr>
      <w:sz w:val="20"/>
    </w:rPr>
  </w:style>
  <w:style w:type="paragraph" w:customStyle="1" w:styleId="TLPBoxTextnote">
    <w:name w:val="TLPBoxText(note"/>
    <w:aliases w:val="right)"/>
    <w:basedOn w:val="OPCParaBase"/>
    <w:rsid w:val="00102B5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right">
    <w:name w:val="TLPnote(right)"/>
    <w:aliases w:val="nr"/>
    <w:basedOn w:val="OPCParaBase"/>
    <w:rsid w:val="00102B57"/>
    <w:pPr>
      <w:spacing w:before="122" w:line="198" w:lineRule="exact"/>
      <w:ind w:left="1985" w:hanging="851"/>
      <w:jc w:val="right"/>
    </w:pPr>
    <w:rPr>
      <w:sz w:val="18"/>
    </w:rPr>
  </w:style>
  <w:style w:type="paragraph" w:customStyle="1" w:styleId="TLPTableBullet">
    <w:name w:val="TLPTableBullet"/>
    <w:aliases w:val="ttb"/>
    <w:basedOn w:val="OPCParaBase"/>
    <w:rsid w:val="00102B57"/>
    <w:pPr>
      <w:spacing w:line="240" w:lineRule="exact"/>
      <w:ind w:left="284" w:hanging="284"/>
    </w:pPr>
    <w:rPr>
      <w:sz w:val="20"/>
    </w:rPr>
  </w:style>
  <w:style w:type="paragraph" w:customStyle="1" w:styleId="TofSectsGroupHeading">
    <w:name w:val="TofSects(GroupHeading)"/>
    <w:basedOn w:val="OPCParaBase"/>
    <w:next w:val="TofSectsSection"/>
    <w:rsid w:val="00102B57"/>
    <w:pPr>
      <w:keepLines/>
      <w:spacing w:before="240" w:after="120" w:line="240" w:lineRule="auto"/>
      <w:ind w:left="794"/>
    </w:pPr>
    <w:rPr>
      <w:b/>
      <w:kern w:val="28"/>
      <w:sz w:val="20"/>
    </w:rPr>
  </w:style>
  <w:style w:type="paragraph" w:customStyle="1" w:styleId="TofSectsHeading">
    <w:name w:val="TofSects(Heading)"/>
    <w:basedOn w:val="OPCParaBase"/>
    <w:rsid w:val="00102B57"/>
    <w:pPr>
      <w:spacing w:before="240" w:after="120" w:line="240" w:lineRule="auto"/>
    </w:pPr>
    <w:rPr>
      <w:b/>
      <w:sz w:val="24"/>
    </w:rPr>
  </w:style>
  <w:style w:type="paragraph" w:customStyle="1" w:styleId="TofSectsSection">
    <w:name w:val="TofSects(Section)"/>
    <w:basedOn w:val="OPCParaBase"/>
    <w:rsid w:val="00102B57"/>
    <w:pPr>
      <w:keepLines/>
      <w:spacing w:before="40" w:line="240" w:lineRule="auto"/>
      <w:ind w:left="1588" w:hanging="794"/>
    </w:pPr>
    <w:rPr>
      <w:kern w:val="28"/>
      <w:sz w:val="18"/>
    </w:rPr>
  </w:style>
  <w:style w:type="paragraph" w:customStyle="1" w:styleId="TofSectsSubdiv">
    <w:name w:val="TofSects(Subdiv)"/>
    <w:basedOn w:val="OPCParaBase"/>
    <w:rsid w:val="00102B57"/>
    <w:pPr>
      <w:keepLines/>
      <w:spacing w:before="80" w:line="240" w:lineRule="auto"/>
      <w:ind w:left="1588" w:hanging="794"/>
    </w:pPr>
    <w:rPr>
      <w:kern w:val="28"/>
    </w:rPr>
  </w:style>
  <w:style w:type="paragraph" w:customStyle="1" w:styleId="WRStyle">
    <w:name w:val="WR Style"/>
    <w:aliases w:val="WR"/>
    <w:basedOn w:val="OPCParaBase"/>
    <w:rsid w:val="00102B57"/>
    <w:pPr>
      <w:spacing w:before="240" w:line="240" w:lineRule="auto"/>
      <w:ind w:left="284" w:hanging="284"/>
    </w:pPr>
    <w:rPr>
      <w:b/>
      <w:i/>
      <w:kern w:val="28"/>
      <w:sz w:val="24"/>
    </w:rPr>
  </w:style>
  <w:style w:type="paragraph" w:styleId="Bibliography">
    <w:name w:val="Bibliography"/>
    <w:basedOn w:val="Normal"/>
    <w:next w:val="Normal"/>
    <w:uiPriority w:val="37"/>
    <w:semiHidden/>
    <w:unhideWhenUsed/>
    <w:rsid w:val="00102B57"/>
  </w:style>
  <w:style w:type="paragraph" w:customStyle="1" w:styleId="noteToPara">
    <w:name w:val="noteToPara"/>
    <w:aliases w:val="ntp"/>
    <w:basedOn w:val="OPCParaBase"/>
    <w:rsid w:val="00102B57"/>
    <w:pPr>
      <w:spacing w:before="122" w:line="198" w:lineRule="exact"/>
      <w:ind w:left="2353" w:hanging="709"/>
    </w:pPr>
    <w:rPr>
      <w:sz w:val="18"/>
    </w:rPr>
  </w:style>
  <w:style w:type="character" w:customStyle="1" w:styleId="FooterChar">
    <w:name w:val="Footer Char"/>
    <w:basedOn w:val="DefaultParagraphFont"/>
    <w:link w:val="Footer"/>
    <w:rsid w:val="00102B57"/>
    <w:rPr>
      <w:sz w:val="22"/>
      <w:szCs w:val="24"/>
    </w:rPr>
  </w:style>
  <w:style w:type="character" w:customStyle="1" w:styleId="BalloonTextChar">
    <w:name w:val="Balloon Text Char"/>
    <w:basedOn w:val="DefaultParagraphFont"/>
    <w:link w:val="BalloonText"/>
    <w:uiPriority w:val="99"/>
    <w:rsid w:val="00102B57"/>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102B57"/>
    <w:pPr>
      <w:keepNext/>
      <w:spacing w:before="60" w:line="240" w:lineRule="atLeast"/>
    </w:pPr>
    <w:rPr>
      <w:b/>
      <w:sz w:val="20"/>
    </w:rPr>
  </w:style>
  <w:style w:type="table" w:customStyle="1" w:styleId="CFlag">
    <w:name w:val="CFlag"/>
    <w:basedOn w:val="TableNormal"/>
    <w:uiPriority w:val="99"/>
    <w:rsid w:val="00102B57"/>
    <w:tblPr/>
  </w:style>
  <w:style w:type="paragraph" w:customStyle="1" w:styleId="ENotesHeading1">
    <w:name w:val="ENotesHeading 1"/>
    <w:aliases w:val="Enh1"/>
    <w:basedOn w:val="OPCParaBase"/>
    <w:next w:val="Normal"/>
    <w:rsid w:val="00102B57"/>
    <w:pPr>
      <w:spacing w:before="120"/>
      <w:outlineLvl w:val="1"/>
    </w:pPr>
    <w:rPr>
      <w:b/>
      <w:sz w:val="28"/>
      <w:szCs w:val="28"/>
    </w:rPr>
  </w:style>
  <w:style w:type="paragraph" w:customStyle="1" w:styleId="ENotesHeading2">
    <w:name w:val="ENotesHeading 2"/>
    <w:aliases w:val="Enh2"/>
    <w:basedOn w:val="OPCParaBase"/>
    <w:next w:val="Normal"/>
    <w:rsid w:val="00102B57"/>
    <w:pPr>
      <w:spacing w:before="120" w:after="120"/>
      <w:outlineLvl w:val="2"/>
    </w:pPr>
    <w:rPr>
      <w:b/>
      <w:sz w:val="24"/>
      <w:szCs w:val="28"/>
    </w:rPr>
  </w:style>
  <w:style w:type="paragraph" w:customStyle="1" w:styleId="ENotesHeading3">
    <w:name w:val="ENotesHeading 3"/>
    <w:aliases w:val="Enh3"/>
    <w:basedOn w:val="OPCParaBase"/>
    <w:next w:val="Normal"/>
    <w:rsid w:val="00102B57"/>
    <w:pPr>
      <w:keepNext/>
      <w:spacing w:before="120" w:line="240" w:lineRule="auto"/>
      <w:outlineLvl w:val="4"/>
    </w:pPr>
    <w:rPr>
      <w:b/>
      <w:szCs w:val="24"/>
    </w:rPr>
  </w:style>
  <w:style w:type="paragraph" w:customStyle="1" w:styleId="ENotesText">
    <w:name w:val="ENotesText"/>
    <w:aliases w:val="Ent"/>
    <w:basedOn w:val="OPCParaBase"/>
    <w:next w:val="Normal"/>
    <w:rsid w:val="00102B57"/>
    <w:pPr>
      <w:spacing w:before="120"/>
    </w:pPr>
  </w:style>
  <w:style w:type="paragraph" w:customStyle="1" w:styleId="CompiledActNo">
    <w:name w:val="CompiledActNo"/>
    <w:basedOn w:val="OPCParaBase"/>
    <w:next w:val="Normal"/>
    <w:rsid w:val="00102B57"/>
    <w:rPr>
      <w:b/>
      <w:sz w:val="24"/>
      <w:szCs w:val="24"/>
    </w:rPr>
  </w:style>
  <w:style w:type="paragraph" w:customStyle="1" w:styleId="CompiledMadeUnder">
    <w:name w:val="CompiledMadeUnder"/>
    <w:basedOn w:val="OPCParaBase"/>
    <w:next w:val="Normal"/>
    <w:rsid w:val="00102B57"/>
    <w:rPr>
      <w:i/>
      <w:sz w:val="24"/>
      <w:szCs w:val="24"/>
    </w:rPr>
  </w:style>
  <w:style w:type="paragraph" w:customStyle="1" w:styleId="Paragraphsub-sub-sub">
    <w:name w:val="Paragraph(sub-sub-sub)"/>
    <w:aliases w:val="aaaa"/>
    <w:basedOn w:val="OPCParaBase"/>
    <w:rsid w:val="00102B5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02B5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02B5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02B5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02B5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02B57"/>
    <w:pPr>
      <w:spacing w:before="60" w:line="240" w:lineRule="auto"/>
    </w:pPr>
    <w:rPr>
      <w:rFonts w:cs="Arial"/>
      <w:sz w:val="20"/>
      <w:szCs w:val="22"/>
    </w:rPr>
  </w:style>
  <w:style w:type="paragraph" w:customStyle="1" w:styleId="NoteToSubpara">
    <w:name w:val="NoteToSubpara"/>
    <w:aliases w:val="nts"/>
    <w:basedOn w:val="OPCParaBase"/>
    <w:rsid w:val="00102B57"/>
    <w:pPr>
      <w:spacing w:before="40" w:line="198" w:lineRule="exact"/>
      <w:ind w:left="2835" w:hanging="709"/>
    </w:pPr>
    <w:rPr>
      <w:sz w:val="18"/>
    </w:rPr>
  </w:style>
  <w:style w:type="paragraph" w:customStyle="1" w:styleId="InstNo">
    <w:name w:val="InstNo"/>
    <w:basedOn w:val="OPCParaBase"/>
    <w:next w:val="Normal"/>
    <w:rsid w:val="00102B57"/>
    <w:rPr>
      <w:b/>
      <w:sz w:val="28"/>
      <w:szCs w:val="32"/>
    </w:rPr>
  </w:style>
  <w:style w:type="paragraph" w:customStyle="1" w:styleId="TerritoryT">
    <w:name w:val="TerritoryT"/>
    <w:basedOn w:val="OPCParaBase"/>
    <w:next w:val="Normal"/>
    <w:rsid w:val="00102B57"/>
    <w:rPr>
      <w:b/>
      <w:sz w:val="32"/>
    </w:rPr>
  </w:style>
  <w:style w:type="paragraph" w:customStyle="1" w:styleId="LegislationMadeUnder">
    <w:name w:val="LegislationMadeUnder"/>
    <w:basedOn w:val="OPCParaBase"/>
    <w:next w:val="Normal"/>
    <w:rsid w:val="00102B57"/>
    <w:rPr>
      <w:i/>
      <w:sz w:val="32"/>
      <w:szCs w:val="32"/>
    </w:rPr>
  </w:style>
  <w:style w:type="paragraph" w:customStyle="1" w:styleId="ActHead10">
    <w:name w:val="ActHead 10"/>
    <w:aliases w:val="sp"/>
    <w:basedOn w:val="OPCParaBase"/>
    <w:next w:val="ActHead3"/>
    <w:rsid w:val="00102B57"/>
    <w:pPr>
      <w:keepNext/>
      <w:spacing w:before="280" w:line="240" w:lineRule="auto"/>
      <w:outlineLvl w:val="1"/>
    </w:pPr>
    <w:rPr>
      <w:b/>
      <w:sz w:val="32"/>
      <w:szCs w:val="30"/>
    </w:rPr>
  </w:style>
  <w:style w:type="paragraph" w:customStyle="1" w:styleId="SignCoverPageEnd">
    <w:name w:val="SignCoverPageEnd"/>
    <w:basedOn w:val="OPCParaBase"/>
    <w:next w:val="Normal"/>
    <w:rsid w:val="00102B5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02B57"/>
    <w:pPr>
      <w:pBdr>
        <w:top w:val="single" w:sz="4" w:space="1" w:color="auto"/>
      </w:pBdr>
      <w:spacing w:before="360"/>
      <w:ind w:right="397"/>
      <w:jc w:val="both"/>
    </w:pPr>
  </w:style>
  <w:style w:type="paragraph" w:customStyle="1" w:styleId="NotesHeading2">
    <w:name w:val="NotesHeading 2"/>
    <w:basedOn w:val="OPCParaBase"/>
    <w:next w:val="Normal"/>
    <w:rsid w:val="00102B57"/>
    <w:rPr>
      <w:b/>
      <w:sz w:val="28"/>
      <w:szCs w:val="28"/>
    </w:rPr>
  </w:style>
  <w:style w:type="paragraph" w:customStyle="1" w:styleId="NotesHeading1">
    <w:name w:val="NotesHeading 1"/>
    <w:basedOn w:val="OPCParaBase"/>
    <w:next w:val="Normal"/>
    <w:rsid w:val="00102B57"/>
    <w:rPr>
      <w:b/>
      <w:sz w:val="28"/>
      <w:szCs w:val="28"/>
    </w:rPr>
  </w:style>
  <w:style w:type="paragraph" w:customStyle="1" w:styleId="ActHead1">
    <w:name w:val="ActHead 1"/>
    <w:aliases w:val="c"/>
    <w:basedOn w:val="OPCParaBase"/>
    <w:next w:val="Normal"/>
    <w:qFormat/>
    <w:rsid w:val="00102B5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link w:val="ActHead2Char"/>
    <w:qFormat/>
    <w:rsid w:val="00102B5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102B5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02B5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02B5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02B5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02B5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02B5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02B57"/>
    <w:pPr>
      <w:keepNext/>
      <w:keepLines/>
      <w:spacing w:before="280" w:line="240" w:lineRule="auto"/>
      <w:ind w:left="1134" w:hanging="1134"/>
      <w:outlineLvl w:val="8"/>
    </w:pPr>
    <w:rPr>
      <w:b/>
      <w:i/>
      <w:kern w:val="28"/>
      <w:sz w:val="28"/>
    </w:rPr>
  </w:style>
  <w:style w:type="character" w:customStyle="1" w:styleId="paragraphChar">
    <w:name w:val="paragraph Char"/>
    <w:aliases w:val="a Char"/>
    <w:link w:val="paragraph"/>
    <w:rsid w:val="00787C73"/>
    <w:rPr>
      <w:sz w:val="22"/>
    </w:rPr>
  </w:style>
  <w:style w:type="character" w:customStyle="1" w:styleId="ActHead5Char">
    <w:name w:val="ActHead 5 Char"/>
    <w:aliases w:val="s Char"/>
    <w:link w:val="ActHead5"/>
    <w:rsid w:val="00102B57"/>
    <w:rPr>
      <w:b/>
      <w:kern w:val="28"/>
      <w:sz w:val="24"/>
    </w:rPr>
  </w:style>
  <w:style w:type="paragraph" w:customStyle="1" w:styleId="ENoteTableHeading">
    <w:name w:val="ENoteTableHeading"/>
    <w:aliases w:val="enth"/>
    <w:basedOn w:val="OPCParaBase"/>
    <w:rsid w:val="00102B57"/>
    <w:pPr>
      <w:keepNext/>
      <w:spacing w:before="60" w:line="240" w:lineRule="atLeast"/>
    </w:pPr>
    <w:rPr>
      <w:rFonts w:ascii="Arial" w:hAnsi="Arial"/>
      <w:b/>
      <w:sz w:val="16"/>
    </w:rPr>
  </w:style>
  <w:style w:type="paragraph" w:customStyle="1" w:styleId="ENoteTTi">
    <w:name w:val="ENoteTTi"/>
    <w:aliases w:val="entti"/>
    <w:basedOn w:val="OPCParaBase"/>
    <w:rsid w:val="00102B57"/>
    <w:pPr>
      <w:keepNext/>
      <w:spacing w:before="60" w:line="240" w:lineRule="atLeast"/>
      <w:ind w:left="170"/>
    </w:pPr>
    <w:rPr>
      <w:sz w:val="16"/>
    </w:rPr>
  </w:style>
  <w:style w:type="paragraph" w:customStyle="1" w:styleId="ENoteTTIndentHeading">
    <w:name w:val="ENoteTTIndentHeading"/>
    <w:aliases w:val="enTTHi"/>
    <w:basedOn w:val="OPCParaBase"/>
    <w:rsid w:val="00102B57"/>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02B57"/>
    <w:pPr>
      <w:spacing w:before="60" w:line="240" w:lineRule="atLeast"/>
    </w:pPr>
    <w:rPr>
      <w:sz w:val="16"/>
    </w:rPr>
  </w:style>
  <w:style w:type="paragraph" w:customStyle="1" w:styleId="MadeunderText">
    <w:name w:val="MadeunderText"/>
    <w:basedOn w:val="OPCParaBase"/>
    <w:next w:val="Normal"/>
    <w:rsid w:val="00102B57"/>
    <w:pPr>
      <w:spacing w:before="240"/>
    </w:pPr>
    <w:rPr>
      <w:sz w:val="24"/>
      <w:szCs w:val="24"/>
    </w:rPr>
  </w:style>
  <w:style w:type="paragraph" w:customStyle="1" w:styleId="SubPartCASA">
    <w:name w:val="SubPart(CASA)"/>
    <w:aliases w:val="csp"/>
    <w:basedOn w:val="OPCParaBase"/>
    <w:next w:val="ActHead3"/>
    <w:rsid w:val="00102B57"/>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102B57"/>
  </w:style>
  <w:style w:type="character" w:customStyle="1" w:styleId="CharSubPartNoCASA">
    <w:name w:val="CharSubPartNo(CASA)"/>
    <w:basedOn w:val="OPCCharBase"/>
    <w:uiPriority w:val="1"/>
    <w:rsid w:val="00102B57"/>
  </w:style>
  <w:style w:type="paragraph" w:customStyle="1" w:styleId="ENoteTTIndentHeadingSub">
    <w:name w:val="ENoteTTIndentHeadingSub"/>
    <w:aliases w:val="enTTHis"/>
    <w:basedOn w:val="OPCParaBase"/>
    <w:rsid w:val="00102B57"/>
    <w:pPr>
      <w:keepNext/>
      <w:spacing w:before="60" w:line="240" w:lineRule="atLeast"/>
      <w:ind w:left="340"/>
    </w:pPr>
    <w:rPr>
      <w:b/>
      <w:sz w:val="16"/>
    </w:rPr>
  </w:style>
  <w:style w:type="paragraph" w:customStyle="1" w:styleId="ENoteTTiSub">
    <w:name w:val="ENoteTTiSub"/>
    <w:aliases w:val="enttis"/>
    <w:basedOn w:val="OPCParaBase"/>
    <w:rsid w:val="00102B57"/>
    <w:pPr>
      <w:keepNext/>
      <w:spacing w:before="60" w:line="240" w:lineRule="atLeast"/>
      <w:ind w:left="340"/>
    </w:pPr>
    <w:rPr>
      <w:sz w:val="16"/>
    </w:rPr>
  </w:style>
  <w:style w:type="paragraph" w:customStyle="1" w:styleId="SubDivisionMigration">
    <w:name w:val="SubDivisionMigration"/>
    <w:aliases w:val="sdm"/>
    <w:basedOn w:val="OPCParaBase"/>
    <w:rsid w:val="00102B5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02B57"/>
    <w:pPr>
      <w:keepNext/>
      <w:keepLines/>
      <w:spacing w:before="240" w:line="240" w:lineRule="auto"/>
      <w:ind w:left="1134" w:hanging="1134"/>
    </w:pPr>
    <w:rPr>
      <w:b/>
      <w:sz w:val="28"/>
    </w:rPr>
  </w:style>
  <w:style w:type="paragraph" w:customStyle="1" w:styleId="SOText">
    <w:name w:val="SO Text"/>
    <w:aliases w:val="sot"/>
    <w:link w:val="SOTextChar"/>
    <w:rsid w:val="00102B5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02B57"/>
    <w:rPr>
      <w:rFonts w:eastAsiaTheme="minorHAnsi" w:cstheme="minorBidi"/>
      <w:sz w:val="22"/>
      <w:lang w:eastAsia="en-US"/>
    </w:rPr>
  </w:style>
  <w:style w:type="paragraph" w:customStyle="1" w:styleId="SOTextNote">
    <w:name w:val="SO TextNote"/>
    <w:aliases w:val="sont"/>
    <w:basedOn w:val="SOText"/>
    <w:qFormat/>
    <w:rsid w:val="00102B57"/>
    <w:pPr>
      <w:spacing w:before="122" w:line="198" w:lineRule="exact"/>
      <w:ind w:left="1843" w:hanging="709"/>
    </w:pPr>
    <w:rPr>
      <w:sz w:val="18"/>
    </w:rPr>
  </w:style>
  <w:style w:type="paragraph" w:customStyle="1" w:styleId="SOPara">
    <w:name w:val="SO Para"/>
    <w:aliases w:val="soa"/>
    <w:basedOn w:val="SOText"/>
    <w:link w:val="SOParaChar"/>
    <w:qFormat/>
    <w:rsid w:val="00102B57"/>
    <w:pPr>
      <w:tabs>
        <w:tab w:val="right" w:pos="1786"/>
      </w:tabs>
      <w:spacing w:before="40"/>
      <w:ind w:left="2070" w:hanging="936"/>
    </w:pPr>
  </w:style>
  <w:style w:type="character" w:customStyle="1" w:styleId="SOParaChar">
    <w:name w:val="SO Para Char"/>
    <w:aliases w:val="soa Char"/>
    <w:basedOn w:val="DefaultParagraphFont"/>
    <w:link w:val="SOPara"/>
    <w:rsid w:val="00102B57"/>
    <w:rPr>
      <w:rFonts w:eastAsiaTheme="minorHAnsi" w:cstheme="minorBidi"/>
      <w:sz w:val="22"/>
      <w:lang w:eastAsia="en-US"/>
    </w:rPr>
  </w:style>
  <w:style w:type="paragraph" w:customStyle="1" w:styleId="FileName">
    <w:name w:val="FileName"/>
    <w:basedOn w:val="Normal"/>
    <w:rsid w:val="00102B57"/>
  </w:style>
  <w:style w:type="paragraph" w:customStyle="1" w:styleId="SOHeadBold">
    <w:name w:val="SO HeadBold"/>
    <w:aliases w:val="sohb"/>
    <w:basedOn w:val="SOText"/>
    <w:next w:val="SOText"/>
    <w:link w:val="SOHeadBoldChar"/>
    <w:qFormat/>
    <w:rsid w:val="00102B57"/>
    <w:rPr>
      <w:b/>
    </w:rPr>
  </w:style>
  <w:style w:type="character" w:customStyle="1" w:styleId="SOHeadBoldChar">
    <w:name w:val="SO HeadBold Char"/>
    <w:aliases w:val="sohb Char"/>
    <w:basedOn w:val="DefaultParagraphFont"/>
    <w:link w:val="SOHeadBold"/>
    <w:rsid w:val="00102B5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02B57"/>
    <w:rPr>
      <w:i/>
    </w:rPr>
  </w:style>
  <w:style w:type="character" w:customStyle="1" w:styleId="SOHeadItalicChar">
    <w:name w:val="SO HeadItalic Char"/>
    <w:aliases w:val="sohi Char"/>
    <w:basedOn w:val="DefaultParagraphFont"/>
    <w:link w:val="SOHeadItalic"/>
    <w:rsid w:val="00102B57"/>
    <w:rPr>
      <w:rFonts w:eastAsiaTheme="minorHAnsi" w:cstheme="minorBidi"/>
      <w:i/>
      <w:sz w:val="22"/>
      <w:lang w:eastAsia="en-US"/>
    </w:rPr>
  </w:style>
  <w:style w:type="paragraph" w:customStyle="1" w:styleId="SOBullet">
    <w:name w:val="SO Bullet"/>
    <w:aliases w:val="sotb"/>
    <w:basedOn w:val="SOText"/>
    <w:link w:val="SOBulletChar"/>
    <w:qFormat/>
    <w:rsid w:val="00102B57"/>
    <w:pPr>
      <w:ind w:left="1559" w:hanging="425"/>
    </w:pPr>
  </w:style>
  <w:style w:type="character" w:customStyle="1" w:styleId="SOBulletChar">
    <w:name w:val="SO Bullet Char"/>
    <w:aliases w:val="sotb Char"/>
    <w:basedOn w:val="DefaultParagraphFont"/>
    <w:link w:val="SOBullet"/>
    <w:rsid w:val="00102B57"/>
    <w:rPr>
      <w:rFonts w:eastAsiaTheme="minorHAnsi" w:cstheme="minorBidi"/>
      <w:sz w:val="22"/>
      <w:lang w:eastAsia="en-US"/>
    </w:rPr>
  </w:style>
  <w:style w:type="paragraph" w:customStyle="1" w:styleId="SOBulletNote">
    <w:name w:val="SO BulletNote"/>
    <w:aliases w:val="sonb"/>
    <w:basedOn w:val="SOTextNote"/>
    <w:link w:val="SOBulletNoteChar"/>
    <w:qFormat/>
    <w:rsid w:val="00102B57"/>
    <w:pPr>
      <w:tabs>
        <w:tab w:val="left" w:pos="1560"/>
      </w:tabs>
      <w:ind w:left="2268" w:hanging="1134"/>
    </w:pPr>
  </w:style>
  <w:style w:type="character" w:customStyle="1" w:styleId="SOBulletNoteChar">
    <w:name w:val="SO BulletNote Char"/>
    <w:aliases w:val="sonb Char"/>
    <w:basedOn w:val="DefaultParagraphFont"/>
    <w:link w:val="SOBulletNote"/>
    <w:rsid w:val="00102B57"/>
    <w:rPr>
      <w:rFonts w:eastAsiaTheme="minorHAnsi" w:cstheme="minorBidi"/>
      <w:sz w:val="18"/>
      <w:lang w:eastAsia="en-US"/>
    </w:rPr>
  </w:style>
  <w:style w:type="paragraph" w:customStyle="1" w:styleId="FreeForm">
    <w:name w:val="FreeForm"/>
    <w:rsid w:val="00102B57"/>
    <w:rPr>
      <w:rFonts w:ascii="Arial" w:eastAsiaTheme="minorHAnsi" w:hAnsi="Arial" w:cstheme="minorBidi"/>
      <w:sz w:val="22"/>
      <w:lang w:eastAsia="en-US"/>
    </w:rPr>
  </w:style>
  <w:style w:type="paragraph" w:styleId="Revision">
    <w:name w:val="Revision"/>
    <w:hidden/>
    <w:uiPriority w:val="99"/>
    <w:semiHidden/>
    <w:rsid w:val="00530AC4"/>
    <w:rPr>
      <w:rFonts w:eastAsiaTheme="minorHAnsi" w:cstheme="minorBidi"/>
      <w:sz w:val="22"/>
      <w:lang w:eastAsia="en-US"/>
    </w:rPr>
  </w:style>
  <w:style w:type="paragraph" w:customStyle="1" w:styleId="EnStatement">
    <w:name w:val="EnStatement"/>
    <w:basedOn w:val="Normal"/>
    <w:rsid w:val="00102B57"/>
    <w:pPr>
      <w:numPr>
        <w:numId w:val="21"/>
      </w:numPr>
    </w:pPr>
    <w:rPr>
      <w:rFonts w:eastAsia="Times New Roman" w:cs="Times New Roman"/>
      <w:lang w:eastAsia="en-AU"/>
    </w:rPr>
  </w:style>
  <w:style w:type="paragraph" w:customStyle="1" w:styleId="EnStatementHeading">
    <w:name w:val="EnStatementHeading"/>
    <w:basedOn w:val="Normal"/>
    <w:rsid w:val="00102B57"/>
    <w:rPr>
      <w:rFonts w:eastAsia="Times New Roman" w:cs="Times New Roman"/>
      <w:b/>
      <w:lang w:eastAsia="en-AU"/>
    </w:rPr>
  </w:style>
  <w:style w:type="character" w:customStyle="1" w:styleId="notetextChar">
    <w:name w:val="note(text) Char"/>
    <w:aliases w:val="n Char"/>
    <w:basedOn w:val="DefaultParagraphFont"/>
    <w:link w:val="notetext"/>
    <w:rsid w:val="00102B57"/>
    <w:rPr>
      <w:sz w:val="18"/>
    </w:rPr>
  </w:style>
  <w:style w:type="paragraph" w:customStyle="1" w:styleId="Transitional">
    <w:name w:val="Transitional"/>
    <w:aliases w:val="tr"/>
    <w:basedOn w:val="ItemHead"/>
    <w:next w:val="Item"/>
    <w:rsid w:val="00102B57"/>
  </w:style>
  <w:style w:type="character" w:customStyle="1" w:styleId="TabletextChar">
    <w:name w:val="Tabletext Char"/>
    <w:aliases w:val="tt Char"/>
    <w:basedOn w:val="DefaultParagraphFont"/>
    <w:link w:val="Tabletext"/>
    <w:rsid w:val="00E96648"/>
  </w:style>
  <w:style w:type="character" w:customStyle="1" w:styleId="DefinitionChar">
    <w:name w:val="Definition Char"/>
    <w:aliases w:val="dd Char"/>
    <w:link w:val="Definition"/>
    <w:rsid w:val="0085782B"/>
    <w:rPr>
      <w:sz w:val="22"/>
    </w:rPr>
  </w:style>
  <w:style w:type="character" w:styleId="BookTitle">
    <w:name w:val="Book Title"/>
    <w:basedOn w:val="DefaultParagraphFont"/>
    <w:uiPriority w:val="33"/>
    <w:qFormat/>
    <w:rsid w:val="00102B57"/>
    <w:rPr>
      <w:b/>
      <w:bCs/>
      <w:i/>
      <w:iCs/>
      <w:spacing w:val="5"/>
    </w:rPr>
  </w:style>
  <w:style w:type="table" w:styleId="ColorfulGrid">
    <w:name w:val="Colorful Grid"/>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Heading1Char">
    <w:name w:val="Heading 1 Char"/>
    <w:basedOn w:val="DefaultParagraphFont"/>
    <w:link w:val="Heading1"/>
    <w:uiPriority w:val="9"/>
    <w:rsid w:val="00102B57"/>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102B5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102B57"/>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rsid w:val="00102B57"/>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uiPriority w:val="9"/>
    <w:rsid w:val="00102B57"/>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uiPriority w:val="9"/>
    <w:rsid w:val="00102B57"/>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rsid w:val="00102B57"/>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rsid w:val="00102B5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102B57"/>
    <w:rPr>
      <w:rFonts w:asciiTheme="majorHAnsi" w:eastAsiaTheme="majorEastAsia" w:hAnsiTheme="majorHAnsi" w:cstheme="majorBidi"/>
      <w:i/>
      <w:iCs/>
      <w:color w:val="404040" w:themeColor="text1" w:themeTint="BF"/>
      <w:lang w:eastAsia="en-US"/>
    </w:rPr>
  </w:style>
  <w:style w:type="table" w:styleId="ColorfulGrid-Accent5">
    <w:name w:val="Colorful Grid Accent 5"/>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FootnoteTextChar">
    <w:name w:val="Footnote Text Char"/>
    <w:basedOn w:val="DefaultParagraphFont"/>
    <w:link w:val="FootnoteText"/>
    <w:rsid w:val="00102B57"/>
    <w:rPr>
      <w:rFonts w:eastAsiaTheme="minorHAnsi" w:cstheme="minorBidi"/>
      <w:lang w:eastAsia="en-US"/>
    </w:rPr>
  </w:style>
  <w:style w:type="character" w:customStyle="1" w:styleId="CommentTextChar">
    <w:name w:val="Comment Text Char"/>
    <w:basedOn w:val="DefaultParagraphFont"/>
    <w:link w:val="CommentText"/>
    <w:rsid w:val="00102B57"/>
    <w:rPr>
      <w:rFonts w:eastAsiaTheme="minorHAnsi" w:cstheme="minorBidi"/>
      <w:lang w:eastAsia="en-US"/>
    </w:rPr>
  </w:style>
  <w:style w:type="character" w:customStyle="1" w:styleId="EndnoteTextChar">
    <w:name w:val="Endnote Text Char"/>
    <w:basedOn w:val="DefaultParagraphFont"/>
    <w:link w:val="EndnoteText"/>
    <w:rsid w:val="00102B57"/>
    <w:rPr>
      <w:rFonts w:eastAsiaTheme="minorHAnsi" w:cstheme="minorBidi"/>
      <w:lang w:eastAsia="en-US"/>
    </w:rPr>
  </w:style>
  <w:style w:type="character" w:customStyle="1" w:styleId="MacroTextChar">
    <w:name w:val="Macro Text Char"/>
    <w:basedOn w:val="DefaultParagraphFont"/>
    <w:link w:val="MacroText"/>
    <w:rsid w:val="00102B57"/>
    <w:rPr>
      <w:rFonts w:ascii="Courier New" w:hAnsi="Courier New" w:cs="Courier New"/>
    </w:rPr>
  </w:style>
  <w:style w:type="character" w:customStyle="1" w:styleId="TitleChar">
    <w:name w:val="Title Char"/>
    <w:basedOn w:val="DefaultParagraphFont"/>
    <w:link w:val="Title"/>
    <w:rsid w:val="00102B57"/>
    <w:rPr>
      <w:rFonts w:ascii="Arial" w:eastAsiaTheme="minorHAnsi" w:hAnsi="Arial" w:cs="Arial"/>
      <w:b/>
      <w:bCs/>
      <w:sz w:val="40"/>
      <w:szCs w:val="40"/>
      <w:lang w:eastAsia="en-US"/>
    </w:rPr>
  </w:style>
  <w:style w:type="character" w:customStyle="1" w:styleId="ClosingChar">
    <w:name w:val="Closing Char"/>
    <w:basedOn w:val="DefaultParagraphFont"/>
    <w:link w:val="Closing"/>
    <w:rsid w:val="00102B57"/>
    <w:rPr>
      <w:rFonts w:eastAsiaTheme="minorHAnsi" w:cstheme="minorBidi"/>
      <w:sz w:val="22"/>
      <w:lang w:eastAsia="en-US"/>
    </w:rPr>
  </w:style>
  <w:style w:type="character" w:customStyle="1" w:styleId="SignatureChar">
    <w:name w:val="Signature Char"/>
    <w:basedOn w:val="DefaultParagraphFont"/>
    <w:link w:val="Signature"/>
    <w:rsid w:val="00102B57"/>
    <w:rPr>
      <w:rFonts w:eastAsiaTheme="minorHAnsi" w:cstheme="minorBidi"/>
      <w:sz w:val="22"/>
      <w:lang w:eastAsia="en-US"/>
    </w:rPr>
  </w:style>
  <w:style w:type="character" w:customStyle="1" w:styleId="BodyTextChar">
    <w:name w:val="Body Text Char"/>
    <w:basedOn w:val="DefaultParagraphFont"/>
    <w:link w:val="BodyText"/>
    <w:rsid w:val="00102B57"/>
    <w:rPr>
      <w:rFonts w:eastAsiaTheme="minorHAnsi" w:cstheme="minorBidi"/>
      <w:sz w:val="22"/>
      <w:lang w:eastAsia="en-US"/>
    </w:rPr>
  </w:style>
  <w:style w:type="character" w:customStyle="1" w:styleId="BodyTextIndentChar">
    <w:name w:val="Body Text Indent Char"/>
    <w:basedOn w:val="DefaultParagraphFont"/>
    <w:link w:val="BodyTextIndent"/>
    <w:rsid w:val="00102B57"/>
    <w:rPr>
      <w:rFonts w:eastAsiaTheme="minorHAnsi" w:cstheme="minorBidi"/>
      <w:sz w:val="22"/>
      <w:lang w:eastAsia="en-US"/>
    </w:rPr>
  </w:style>
  <w:style w:type="character" w:customStyle="1" w:styleId="MessageHeaderChar">
    <w:name w:val="Message Header Char"/>
    <w:basedOn w:val="DefaultParagraphFont"/>
    <w:link w:val="MessageHeader"/>
    <w:rsid w:val="00102B57"/>
    <w:rPr>
      <w:rFonts w:ascii="Arial" w:eastAsiaTheme="minorHAnsi" w:hAnsi="Arial" w:cs="Arial"/>
      <w:sz w:val="22"/>
      <w:shd w:val="pct20" w:color="auto" w:fill="auto"/>
      <w:lang w:eastAsia="en-US"/>
    </w:rPr>
  </w:style>
  <w:style w:type="character" w:customStyle="1" w:styleId="SubtitleChar">
    <w:name w:val="Subtitle Char"/>
    <w:basedOn w:val="DefaultParagraphFont"/>
    <w:link w:val="Subtitle"/>
    <w:rsid w:val="00102B57"/>
    <w:rPr>
      <w:rFonts w:ascii="Arial" w:eastAsiaTheme="minorHAnsi" w:hAnsi="Arial" w:cs="Arial"/>
      <w:sz w:val="22"/>
      <w:lang w:eastAsia="en-US"/>
    </w:rPr>
  </w:style>
  <w:style w:type="character" w:customStyle="1" w:styleId="SalutationChar">
    <w:name w:val="Salutation Char"/>
    <w:basedOn w:val="DefaultParagraphFont"/>
    <w:link w:val="Salutation"/>
    <w:rsid w:val="00102B57"/>
    <w:rPr>
      <w:rFonts w:eastAsiaTheme="minorHAnsi" w:cstheme="minorBidi"/>
      <w:sz w:val="22"/>
      <w:lang w:eastAsia="en-US"/>
    </w:rPr>
  </w:style>
  <w:style w:type="character" w:customStyle="1" w:styleId="DateChar">
    <w:name w:val="Date Char"/>
    <w:basedOn w:val="DefaultParagraphFont"/>
    <w:link w:val="Date"/>
    <w:rsid w:val="00102B57"/>
    <w:rPr>
      <w:rFonts w:eastAsiaTheme="minorHAnsi" w:cstheme="minorBidi"/>
      <w:sz w:val="22"/>
      <w:lang w:eastAsia="en-US"/>
    </w:rPr>
  </w:style>
  <w:style w:type="character" w:customStyle="1" w:styleId="BodyTextFirstIndentChar">
    <w:name w:val="Body Text First Indent Char"/>
    <w:basedOn w:val="BodyTextChar"/>
    <w:link w:val="BodyTextFirstIndent"/>
    <w:rsid w:val="00102B57"/>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102B57"/>
    <w:rPr>
      <w:rFonts w:eastAsiaTheme="minorHAnsi" w:cstheme="minorBidi"/>
      <w:sz w:val="22"/>
      <w:lang w:eastAsia="en-US"/>
    </w:rPr>
  </w:style>
  <w:style w:type="character" w:customStyle="1" w:styleId="BodyText2Char">
    <w:name w:val="Body Text 2 Char"/>
    <w:basedOn w:val="DefaultParagraphFont"/>
    <w:link w:val="BodyText2"/>
    <w:rsid w:val="00102B57"/>
    <w:rPr>
      <w:rFonts w:eastAsiaTheme="minorHAnsi" w:cstheme="minorBidi"/>
      <w:sz w:val="22"/>
      <w:lang w:eastAsia="en-US"/>
    </w:rPr>
  </w:style>
  <w:style w:type="character" w:customStyle="1" w:styleId="BodyText3Char">
    <w:name w:val="Body Text 3 Char"/>
    <w:basedOn w:val="DefaultParagraphFont"/>
    <w:link w:val="BodyText3"/>
    <w:rsid w:val="00102B57"/>
    <w:rPr>
      <w:rFonts w:eastAsiaTheme="minorHAnsi" w:cstheme="minorBidi"/>
      <w:sz w:val="16"/>
      <w:szCs w:val="16"/>
      <w:lang w:eastAsia="en-US"/>
    </w:rPr>
  </w:style>
  <w:style w:type="character" w:customStyle="1" w:styleId="BodyTextIndent2Char">
    <w:name w:val="Body Text Indent 2 Char"/>
    <w:basedOn w:val="DefaultParagraphFont"/>
    <w:link w:val="BodyTextIndent2"/>
    <w:rsid w:val="00102B57"/>
    <w:rPr>
      <w:rFonts w:eastAsiaTheme="minorHAnsi" w:cstheme="minorBidi"/>
      <w:sz w:val="22"/>
      <w:lang w:eastAsia="en-US"/>
    </w:rPr>
  </w:style>
  <w:style w:type="character" w:customStyle="1" w:styleId="BodyTextIndent3Char">
    <w:name w:val="Body Text Indent 3 Char"/>
    <w:basedOn w:val="DefaultParagraphFont"/>
    <w:link w:val="BodyTextIndent3"/>
    <w:rsid w:val="00102B57"/>
    <w:rPr>
      <w:rFonts w:eastAsiaTheme="minorHAnsi" w:cstheme="minorBidi"/>
      <w:sz w:val="16"/>
      <w:szCs w:val="16"/>
      <w:lang w:eastAsia="en-US"/>
    </w:rPr>
  </w:style>
  <w:style w:type="character" w:customStyle="1" w:styleId="DocumentMapChar">
    <w:name w:val="Document Map Char"/>
    <w:basedOn w:val="DefaultParagraphFont"/>
    <w:link w:val="DocumentMap"/>
    <w:rsid w:val="00102B57"/>
    <w:rPr>
      <w:rFonts w:ascii="Tahoma" w:eastAsiaTheme="minorHAnsi" w:hAnsi="Tahoma" w:cs="Tahoma"/>
      <w:sz w:val="22"/>
      <w:shd w:val="clear" w:color="auto" w:fill="000080"/>
      <w:lang w:eastAsia="en-US"/>
    </w:rPr>
  </w:style>
  <w:style w:type="character" w:customStyle="1" w:styleId="PlainTextChar">
    <w:name w:val="Plain Text Char"/>
    <w:basedOn w:val="DefaultParagraphFont"/>
    <w:link w:val="PlainText"/>
    <w:rsid w:val="00102B57"/>
    <w:rPr>
      <w:rFonts w:ascii="Courier New" w:eastAsiaTheme="minorHAnsi" w:hAnsi="Courier New" w:cs="Courier New"/>
      <w:lang w:eastAsia="en-US"/>
    </w:rPr>
  </w:style>
  <w:style w:type="character" w:customStyle="1" w:styleId="E-mailSignatureChar">
    <w:name w:val="E-mail Signature Char"/>
    <w:basedOn w:val="DefaultParagraphFont"/>
    <w:link w:val="E-mailSignature"/>
    <w:rsid w:val="00102B57"/>
    <w:rPr>
      <w:rFonts w:eastAsiaTheme="minorHAnsi" w:cstheme="minorBidi"/>
      <w:sz w:val="22"/>
      <w:lang w:eastAsia="en-US"/>
    </w:rPr>
  </w:style>
  <w:style w:type="character" w:customStyle="1" w:styleId="HTMLAddressChar">
    <w:name w:val="HTML Address Char"/>
    <w:basedOn w:val="DefaultParagraphFont"/>
    <w:link w:val="HTMLAddress"/>
    <w:rsid w:val="00102B57"/>
    <w:rPr>
      <w:rFonts w:eastAsiaTheme="minorHAnsi" w:cstheme="minorBidi"/>
      <w:i/>
      <w:iCs/>
      <w:sz w:val="22"/>
      <w:lang w:eastAsia="en-US"/>
    </w:rPr>
  </w:style>
  <w:style w:type="character" w:customStyle="1" w:styleId="HTMLPreformattedChar">
    <w:name w:val="HTML Preformatted Char"/>
    <w:basedOn w:val="DefaultParagraphFont"/>
    <w:link w:val="HTMLPreformatted"/>
    <w:rsid w:val="00102B57"/>
    <w:rPr>
      <w:rFonts w:ascii="Courier New" w:eastAsiaTheme="minorHAnsi" w:hAnsi="Courier New" w:cs="Courier New"/>
      <w:lang w:eastAsia="en-US"/>
    </w:rPr>
  </w:style>
  <w:style w:type="character" w:customStyle="1" w:styleId="CommentSubjectChar">
    <w:name w:val="Comment Subject Char"/>
    <w:basedOn w:val="CommentTextChar"/>
    <w:link w:val="CommentSubject"/>
    <w:rsid w:val="00102B57"/>
    <w:rPr>
      <w:rFonts w:eastAsiaTheme="minorHAnsi" w:cstheme="minorBidi"/>
      <w:b/>
      <w:bCs/>
      <w:lang w:eastAsia="en-US"/>
    </w:rPr>
  </w:style>
  <w:style w:type="character" w:customStyle="1" w:styleId="paragraphsubChar">
    <w:name w:val="paragraph(sub) Char"/>
    <w:aliases w:val="aa Char"/>
    <w:link w:val="paragraphsub"/>
    <w:rsid w:val="00373FC0"/>
    <w:rPr>
      <w:sz w:val="22"/>
    </w:rPr>
  </w:style>
  <w:style w:type="character" w:customStyle="1" w:styleId="subsection2Char">
    <w:name w:val="subsection2 Char"/>
    <w:aliases w:val="ss2 Char"/>
    <w:link w:val="subsection2"/>
    <w:rsid w:val="00373FC0"/>
    <w:rPr>
      <w:sz w:val="22"/>
    </w:rPr>
  </w:style>
  <w:style w:type="table" w:styleId="ColorfulGrid-Accent6">
    <w:name w:val="Colorful Grid Accent 6"/>
    <w:basedOn w:val="TableNormal"/>
    <w:uiPriority w:val="73"/>
    <w:semiHidden/>
    <w:unhideWhenUsed/>
    <w:rsid w:val="00102B57"/>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102B57"/>
    <w:rPr>
      <w:rFonts w:eastAsiaTheme="minorHAnsi" w:cstheme="minorBid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02B57"/>
    <w:rPr>
      <w:rFonts w:eastAsiaTheme="minorHAnsi" w:cstheme="minorBid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102B57"/>
    <w:rPr>
      <w:rFonts w:eastAsiaTheme="minorHAnsi" w:cstheme="minorBidi"/>
      <w:color w:val="FFFFFF" w:themeColor="background1"/>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102B57"/>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02B57"/>
    <w:rPr>
      <w:rFonts w:eastAsia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02B57"/>
    <w:rPr>
      <w:rFonts w:eastAsia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02B57"/>
    <w:rPr>
      <w:rFonts w:eastAsia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02B57"/>
    <w:rPr>
      <w:rFonts w:eastAsiaTheme="minorHAnsi" w:cstheme="minorBid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02B57"/>
    <w:rPr>
      <w:rFonts w:eastAsia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02B57"/>
    <w:rPr>
      <w:rFonts w:eastAsia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02B57"/>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02B57"/>
    <w:rPr>
      <w:rFonts w:eastAsia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102B57"/>
    <w:rPr>
      <w:rFonts w:eastAsiaTheme="minorHAnsi" w:cstheme="minorBidi"/>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102B57"/>
    <w:rPr>
      <w:rFonts w:eastAsiaTheme="minorHAnsi" w:cstheme="minorBidi"/>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102B57"/>
    <w:rPr>
      <w:rFonts w:eastAsiaTheme="minorHAnsi" w:cstheme="minorBid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102B57"/>
    <w:rPr>
      <w:rFonts w:eastAsia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102B57"/>
    <w:rPr>
      <w:rFonts w:eastAsiaTheme="minorHAnsi" w:cstheme="minorBid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102B57"/>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02B57"/>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102B57"/>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102B57"/>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102B57"/>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102B57"/>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102B57"/>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102B57"/>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02B57"/>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102B57"/>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102B57"/>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102B57"/>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102B57"/>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102B57"/>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102B57"/>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102B57"/>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02B57"/>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102B57"/>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102B57"/>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102B57"/>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102B57"/>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102B57"/>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102B57"/>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02B57"/>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102B57"/>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102B57"/>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102B57"/>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102B57"/>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102B57"/>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102B57"/>
    <w:rPr>
      <w:color w:val="2B579A"/>
      <w:shd w:val="clear" w:color="auto" w:fill="E1DFDD"/>
    </w:rPr>
  </w:style>
  <w:style w:type="character" w:styleId="IntenseEmphasis">
    <w:name w:val="Intense Emphasis"/>
    <w:basedOn w:val="DefaultParagraphFont"/>
    <w:uiPriority w:val="21"/>
    <w:qFormat/>
    <w:rsid w:val="00102B57"/>
    <w:rPr>
      <w:i/>
      <w:iCs/>
      <w:color w:val="4F81BD" w:themeColor="accent1"/>
    </w:rPr>
  </w:style>
  <w:style w:type="paragraph" w:styleId="IntenseQuote">
    <w:name w:val="Intense Quote"/>
    <w:basedOn w:val="Normal"/>
    <w:next w:val="Normal"/>
    <w:link w:val="IntenseQuoteChar"/>
    <w:uiPriority w:val="30"/>
    <w:qFormat/>
    <w:rsid w:val="00102B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02B57"/>
    <w:rPr>
      <w:rFonts w:eastAsiaTheme="minorHAnsi" w:cstheme="minorBidi"/>
      <w:i/>
      <w:iCs/>
      <w:color w:val="4F81BD" w:themeColor="accent1"/>
      <w:sz w:val="22"/>
      <w:lang w:eastAsia="en-US"/>
    </w:rPr>
  </w:style>
  <w:style w:type="character" w:styleId="IntenseReference">
    <w:name w:val="Intense Reference"/>
    <w:basedOn w:val="DefaultParagraphFont"/>
    <w:uiPriority w:val="32"/>
    <w:qFormat/>
    <w:rsid w:val="00102B57"/>
    <w:rPr>
      <w:b/>
      <w:bCs/>
      <w:smallCaps/>
      <w:color w:val="4F81BD" w:themeColor="accent1"/>
      <w:spacing w:val="5"/>
    </w:rPr>
  </w:style>
  <w:style w:type="table" w:styleId="LightGrid">
    <w:name w:val="Light Grid"/>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102B57"/>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102B57"/>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102B57"/>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02B57"/>
    <w:rPr>
      <w:rFonts w:eastAsia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102B57"/>
    <w:rPr>
      <w:rFonts w:eastAsiaTheme="minorHAnsi" w:cstheme="minorBid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102B57"/>
    <w:rPr>
      <w:rFonts w:eastAsia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102B57"/>
    <w:rPr>
      <w:rFonts w:eastAsia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102B57"/>
    <w:rPr>
      <w:rFonts w:eastAsia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102B57"/>
    <w:rPr>
      <w:rFonts w:eastAsia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102B57"/>
    <w:pPr>
      <w:ind w:left="720"/>
      <w:contextualSpacing/>
    </w:pPr>
  </w:style>
  <w:style w:type="table" w:styleId="ListTable1Light">
    <w:name w:val="List Table 1 Light"/>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102B57"/>
    <w:rPr>
      <w:rFonts w:eastAsiaTheme="minorHAnsi" w:cstheme="minorBidi"/>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102B57"/>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02B57"/>
    <w:rPr>
      <w:rFonts w:eastAsia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102B57"/>
    <w:rPr>
      <w:rFonts w:eastAsiaTheme="minorHAnsi" w:cstheme="minorBid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102B57"/>
    <w:rPr>
      <w:rFonts w:eastAsiaTheme="minorHAnsi" w:cstheme="minorBid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102B57"/>
    <w:rPr>
      <w:rFonts w:eastAsiaTheme="minorHAnsi" w:cstheme="minorBidi"/>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102B57"/>
    <w:rPr>
      <w:rFonts w:eastAsia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102B57"/>
    <w:rPr>
      <w:rFonts w:eastAsia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102B57"/>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02B57"/>
    <w:rPr>
      <w:rFonts w:eastAsia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102B57"/>
    <w:rPr>
      <w:rFonts w:eastAsia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102B57"/>
    <w:rPr>
      <w:rFonts w:eastAsia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102B57"/>
    <w:rPr>
      <w:rFonts w:eastAsiaTheme="minorHAnsi"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102B57"/>
    <w:rPr>
      <w:rFonts w:eastAsia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102B57"/>
    <w:rPr>
      <w:rFonts w:eastAsia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102B57"/>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02B57"/>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102B57"/>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102B57"/>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102B57"/>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102B57"/>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102B57"/>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02B57"/>
    <w:rPr>
      <w:rFonts w:eastAsiaTheme="minorHAnsi" w:cstheme="minorBidi"/>
      <w:color w:val="FFFFFF" w:themeColor="background1"/>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02B57"/>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02B57"/>
    <w:rPr>
      <w:rFonts w:eastAsiaTheme="minorHAnsi" w:cstheme="minorBid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102B57"/>
    <w:rPr>
      <w:rFonts w:eastAsiaTheme="minorHAnsi" w:cstheme="minorBidi"/>
      <w:color w:val="943634" w:themeColor="accent2" w:themeShade="BF"/>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102B57"/>
    <w:rPr>
      <w:rFonts w:eastAsiaTheme="minorHAnsi" w:cstheme="minorBidi"/>
      <w:color w:val="76923C" w:themeColor="accent3" w:themeShade="BF"/>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102B57"/>
    <w:rPr>
      <w:rFonts w:eastAsiaTheme="minorHAnsi" w:cstheme="minorBidi"/>
      <w:color w:val="5F497A" w:themeColor="accent4" w:themeShade="BF"/>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102B57"/>
    <w:rPr>
      <w:rFonts w:eastAsiaTheme="minorHAnsi" w:cstheme="minorBidi"/>
      <w:color w:val="31849B" w:themeColor="accent5" w:themeShade="BF"/>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102B57"/>
    <w:rPr>
      <w:rFonts w:eastAsia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102B57"/>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02B57"/>
    <w:rPr>
      <w:rFonts w:eastAsiaTheme="minorHAnsi" w:cstheme="minorBid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02B57"/>
    <w:rPr>
      <w:rFonts w:eastAsiaTheme="minorHAnsi" w:cstheme="minorBidi"/>
      <w:color w:val="943634"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02B57"/>
    <w:rPr>
      <w:rFonts w:eastAsiaTheme="minorHAnsi" w:cstheme="minorBid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02B57"/>
    <w:rPr>
      <w:rFonts w:eastAsiaTheme="minorHAnsi" w:cstheme="minorBid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02B57"/>
    <w:rPr>
      <w:rFonts w:eastAsia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02B57"/>
    <w:rPr>
      <w:rFonts w:eastAsia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102B57"/>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102B57"/>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102B57"/>
    <w:rPr>
      <w:rFonts w:eastAsia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02B57"/>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02B57"/>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02B57"/>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102B57"/>
    <w:rPr>
      <w:color w:val="2B579A"/>
      <w:shd w:val="clear" w:color="auto" w:fill="E1DFDD"/>
    </w:rPr>
  </w:style>
  <w:style w:type="paragraph" w:styleId="NoSpacing">
    <w:name w:val="No Spacing"/>
    <w:uiPriority w:val="1"/>
    <w:qFormat/>
    <w:rsid w:val="00102B57"/>
    <w:rPr>
      <w:rFonts w:eastAsiaTheme="minorHAnsi" w:cstheme="minorBidi"/>
      <w:sz w:val="22"/>
      <w:lang w:eastAsia="en-US"/>
    </w:rPr>
  </w:style>
  <w:style w:type="paragraph" w:styleId="NoteHeading">
    <w:name w:val="Note Heading"/>
    <w:basedOn w:val="Normal"/>
    <w:next w:val="Normal"/>
    <w:link w:val="NoteHeadingChar"/>
    <w:uiPriority w:val="99"/>
    <w:semiHidden/>
    <w:unhideWhenUsed/>
    <w:rsid w:val="00102B57"/>
    <w:pPr>
      <w:spacing w:line="240" w:lineRule="auto"/>
    </w:pPr>
  </w:style>
  <w:style w:type="character" w:customStyle="1" w:styleId="NoteHeadingChar">
    <w:name w:val="Note Heading Char"/>
    <w:basedOn w:val="DefaultParagraphFont"/>
    <w:link w:val="NoteHeading"/>
    <w:uiPriority w:val="99"/>
    <w:semiHidden/>
    <w:rsid w:val="00102B57"/>
    <w:rPr>
      <w:rFonts w:eastAsiaTheme="minorHAnsi" w:cstheme="minorBidi"/>
      <w:sz w:val="22"/>
      <w:lang w:eastAsia="en-US"/>
    </w:rPr>
  </w:style>
  <w:style w:type="character" w:styleId="PlaceholderText">
    <w:name w:val="Placeholder Text"/>
    <w:basedOn w:val="DefaultParagraphFont"/>
    <w:uiPriority w:val="99"/>
    <w:semiHidden/>
    <w:rsid w:val="00102B57"/>
    <w:rPr>
      <w:color w:val="808080"/>
    </w:rPr>
  </w:style>
  <w:style w:type="table" w:styleId="PlainTable1">
    <w:name w:val="Plain Table 1"/>
    <w:basedOn w:val="TableNormal"/>
    <w:uiPriority w:val="41"/>
    <w:rsid w:val="00102B57"/>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02B57"/>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02B57"/>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02B57"/>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02B57"/>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102B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2B57"/>
    <w:rPr>
      <w:rFonts w:eastAsiaTheme="minorHAnsi" w:cstheme="minorBidi"/>
      <w:i/>
      <w:iCs/>
      <w:color w:val="404040" w:themeColor="text1" w:themeTint="BF"/>
      <w:sz w:val="22"/>
      <w:lang w:eastAsia="en-US"/>
    </w:rPr>
  </w:style>
  <w:style w:type="character" w:styleId="SmartHyperlink">
    <w:name w:val="Smart Hyperlink"/>
    <w:basedOn w:val="DefaultParagraphFont"/>
    <w:uiPriority w:val="99"/>
    <w:semiHidden/>
    <w:unhideWhenUsed/>
    <w:rsid w:val="00102B57"/>
    <w:rPr>
      <w:u w:val="dotted"/>
    </w:rPr>
  </w:style>
  <w:style w:type="character" w:styleId="SubtleEmphasis">
    <w:name w:val="Subtle Emphasis"/>
    <w:basedOn w:val="DefaultParagraphFont"/>
    <w:uiPriority w:val="19"/>
    <w:qFormat/>
    <w:rsid w:val="00102B57"/>
    <w:rPr>
      <w:i/>
      <w:iCs/>
      <w:color w:val="404040" w:themeColor="text1" w:themeTint="BF"/>
    </w:rPr>
  </w:style>
  <w:style w:type="character" w:styleId="SubtleReference">
    <w:name w:val="Subtle Reference"/>
    <w:basedOn w:val="DefaultParagraphFont"/>
    <w:uiPriority w:val="31"/>
    <w:qFormat/>
    <w:rsid w:val="00102B57"/>
    <w:rPr>
      <w:smallCaps/>
      <w:color w:val="5A5A5A" w:themeColor="text1" w:themeTint="A5"/>
    </w:rPr>
  </w:style>
  <w:style w:type="table" w:styleId="TableGridLight">
    <w:name w:val="Grid Table Light"/>
    <w:basedOn w:val="TableNormal"/>
    <w:uiPriority w:val="40"/>
    <w:rsid w:val="00102B57"/>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102B57"/>
    <w:pPr>
      <w:numPr>
        <w:numId w:val="0"/>
      </w:numPr>
      <w:spacing w:before="240"/>
      <w:outlineLvl w:val="9"/>
    </w:pPr>
    <w:rPr>
      <w:b w:val="0"/>
      <w:bCs w:val="0"/>
      <w:sz w:val="32"/>
      <w:szCs w:val="32"/>
    </w:rPr>
  </w:style>
  <w:style w:type="character" w:styleId="UnresolvedMention">
    <w:name w:val="Unresolved Mention"/>
    <w:basedOn w:val="DefaultParagraphFont"/>
    <w:uiPriority w:val="99"/>
    <w:semiHidden/>
    <w:unhideWhenUsed/>
    <w:rsid w:val="00102B57"/>
    <w:rPr>
      <w:color w:val="605E5C"/>
      <w:shd w:val="clear" w:color="auto" w:fill="E1DFDD"/>
    </w:rPr>
  </w:style>
  <w:style w:type="paragraph" w:customStyle="1" w:styleId="SOText2">
    <w:name w:val="SO Text2"/>
    <w:aliases w:val="sot2"/>
    <w:basedOn w:val="Normal"/>
    <w:next w:val="SOText"/>
    <w:link w:val="SOText2Char"/>
    <w:rsid w:val="00102B57"/>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102B57"/>
    <w:rPr>
      <w:rFonts w:eastAsiaTheme="minorHAnsi" w:cstheme="minorBidi"/>
      <w:sz w:val="22"/>
      <w:lang w:eastAsia="en-US"/>
    </w:rPr>
  </w:style>
  <w:style w:type="paragraph" w:customStyle="1" w:styleId="ETAsubitem">
    <w:name w:val="ETA(subitem)"/>
    <w:basedOn w:val="OPCParaBase"/>
    <w:rsid w:val="00102B57"/>
    <w:pPr>
      <w:tabs>
        <w:tab w:val="right" w:pos="340"/>
      </w:tabs>
      <w:spacing w:before="60" w:line="240" w:lineRule="auto"/>
      <w:ind w:left="454" w:hanging="454"/>
    </w:pPr>
    <w:rPr>
      <w:sz w:val="20"/>
    </w:rPr>
  </w:style>
  <w:style w:type="paragraph" w:customStyle="1" w:styleId="ETApara">
    <w:name w:val="ETA(para)"/>
    <w:basedOn w:val="OPCParaBase"/>
    <w:rsid w:val="00102B57"/>
    <w:pPr>
      <w:tabs>
        <w:tab w:val="right" w:pos="754"/>
      </w:tabs>
      <w:spacing w:before="60" w:line="240" w:lineRule="auto"/>
      <w:ind w:left="828" w:hanging="828"/>
    </w:pPr>
    <w:rPr>
      <w:sz w:val="20"/>
    </w:rPr>
  </w:style>
  <w:style w:type="paragraph" w:customStyle="1" w:styleId="ETAsubpara">
    <w:name w:val="ETA(subpara)"/>
    <w:basedOn w:val="OPCParaBase"/>
    <w:rsid w:val="00102B57"/>
    <w:pPr>
      <w:tabs>
        <w:tab w:val="right" w:pos="1083"/>
      </w:tabs>
      <w:spacing w:before="60" w:line="240" w:lineRule="auto"/>
      <w:ind w:left="1191" w:hanging="1191"/>
    </w:pPr>
    <w:rPr>
      <w:sz w:val="20"/>
    </w:rPr>
  </w:style>
  <w:style w:type="paragraph" w:customStyle="1" w:styleId="ETAsub-subpara">
    <w:name w:val="ETA(sub-subpara)"/>
    <w:basedOn w:val="OPCParaBase"/>
    <w:rsid w:val="00102B57"/>
    <w:pPr>
      <w:tabs>
        <w:tab w:val="right" w:pos="1412"/>
      </w:tabs>
      <w:spacing w:before="60" w:line="240" w:lineRule="auto"/>
      <w:ind w:left="1525" w:hanging="1525"/>
    </w:pPr>
    <w:rPr>
      <w:sz w:val="20"/>
    </w:rPr>
  </w:style>
  <w:style w:type="character" w:customStyle="1" w:styleId="charlegsubtitle1">
    <w:name w:val="charlegsubtitle1"/>
    <w:basedOn w:val="DefaultParagraphFont"/>
    <w:rsid w:val="00102B57"/>
    <w:rPr>
      <w:rFonts w:ascii="Arial" w:hAnsi="Arial" w:cs="Arial" w:hint="default"/>
      <w:b/>
      <w:bCs/>
      <w:sz w:val="28"/>
      <w:szCs w:val="28"/>
    </w:rPr>
  </w:style>
  <w:style w:type="character" w:customStyle="1" w:styleId="OPCParaBaseChar">
    <w:name w:val="OPCParaBase Char"/>
    <w:basedOn w:val="DefaultParagraphFont"/>
    <w:link w:val="OPCParaBase"/>
    <w:rsid w:val="00E93F58"/>
    <w:rPr>
      <w:sz w:val="22"/>
    </w:rPr>
  </w:style>
  <w:style w:type="paragraph" w:customStyle="1" w:styleId="Specials">
    <w:name w:val="Special s"/>
    <w:basedOn w:val="ActHead5"/>
    <w:link w:val="SpecialsChar"/>
    <w:rsid w:val="00E93F58"/>
    <w:pPr>
      <w:outlineLvl w:val="9"/>
    </w:pPr>
  </w:style>
  <w:style w:type="character" w:customStyle="1" w:styleId="SpecialsChar">
    <w:name w:val="Special s Char"/>
    <w:basedOn w:val="ActHead5Char"/>
    <w:link w:val="Specials"/>
    <w:rsid w:val="00E93F58"/>
    <w:rPr>
      <w:b/>
      <w:kern w:val="28"/>
      <w:sz w:val="24"/>
    </w:rPr>
  </w:style>
  <w:style w:type="character" w:customStyle="1" w:styleId="ActHead2Char">
    <w:name w:val="ActHead 2 Char"/>
    <w:aliases w:val="p Char"/>
    <w:basedOn w:val="OPCParaBaseChar"/>
    <w:link w:val="ActHead2"/>
    <w:rsid w:val="00E93F58"/>
    <w:rPr>
      <w:b/>
      <w:kern w:val="28"/>
      <w:sz w:val="32"/>
    </w:rPr>
  </w:style>
  <w:style w:type="character" w:customStyle="1" w:styleId="ActHead4Char">
    <w:name w:val="ActHead 4 Char"/>
    <w:aliases w:val="sd Char"/>
    <w:basedOn w:val="DefaultParagraphFont"/>
    <w:link w:val="ActHead4"/>
    <w:locked/>
    <w:rsid w:val="00E93F58"/>
    <w:rPr>
      <w:b/>
      <w:kern w:val="28"/>
      <w:sz w:val="26"/>
    </w:rPr>
  </w:style>
  <w:style w:type="paragraph" w:customStyle="1" w:styleId="form1">
    <w:name w:val="form 1."/>
    <w:basedOn w:val="Normal"/>
    <w:rsid w:val="00E93F58"/>
    <w:pPr>
      <w:ind w:left="360" w:hanging="360"/>
    </w:pPr>
    <w:rPr>
      <w:sz w:val="18"/>
    </w:rPr>
  </w:style>
  <w:style w:type="paragraph" w:customStyle="1" w:styleId="form2">
    <w:name w:val="form 2"/>
    <w:basedOn w:val="Normal"/>
    <w:rsid w:val="00E93F58"/>
    <w:pPr>
      <w:ind w:left="720" w:hanging="360"/>
    </w:pPr>
    <w:rPr>
      <w:sz w:val="18"/>
    </w:rPr>
  </w:style>
  <w:style w:type="paragraph" w:customStyle="1" w:styleId="Formheading3">
    <w:name w:val="Form heading 3"/>
    <w:basedOn w:val="Normal"/>
    <w:rsid w:val="00E93F58"/>
    <w:pPr>
      <w:keepNext/>
      <w:spacing w:before="360"/>
      <w:jc w:val="center"/>
    </w:pPr>
    <w:rPr>
      <w:b/>
      <w:sz w:val="18"/>
    </w:rPr>
  </w:style>
  <w:style w:type="paragraph" w:customStyle="1" w:styleId="SingleParagraph">
    <w:name w:val="Single Paragraph"/>
    <w:basedOn w:val="Normal"/>
    <w:uiPriority w:val="99"/>
    <w:rsid w:val="00E93F58"/>
  </w:style>
  <w:style w:type="paragraph" w:customStyle="1" w:styleId="Note">
    <w:name w:val="Note"/>
    <w:basedOn w:val="Normal"/>
    <w:rsid w:val="00E93F58"/>
    <w:pPr>
      <w:spacing w:before="120" w:line="221" w:lineRule="auto"/>
      <w:ind w:left="964"/>
      <w:jc w:val="both"/>
    </w:pPr>
    <w:rPr>
      <w:rFonts w:eastAsia="Times New Roman" w:cs="Times New Roman"/>
      <w:sz w:val="20"/>
      <w:szCs w:val="24"/>
      <w:lang w:eastAsia="en-AU"/>
    </w:rPr>
  </w:style>
  <w:style w:type="paragraph" w:customStyle="1" w:styleId="TableColHead">
    <w:name w:val="TableColHead"/>
    <w:basedOn w:val="Normal"/>
    <w:rsid w:val="00E93F58"/>
    <w:pPr>
      <w:keepNext/>
      <w:spacing w:before="120" w:after="60" w:line="200" w:lineRule="exact"/>
    </w:pPr>
    <w:rPr>
      <w:rFonts w:ascii="Arial" w:eastAsia="Times New Roman" w:hAnsi="Arial" w:cs="Times New Roman"/>
      <w:b/>
      <w:sz w:val="18"/>
      <w:szCs w:val="24"/>
    </w:rPr>
  </w:style>
  <w:style w:type="paragraph" w:customStyle="1" w:styleId="form3">
    <w:name w:val="form 3"/>
    <w:basedOn w:val="Normal"/>
    <w:rsid w:val="00E93F58"/>
    <w:pPr>
      <w:spacing w:line="240" w:lineRule="auto"/>
      <w:ind w:left="1080" w:hanging="360"/>
    </w:pPr>
    <w:rPr>
      <w:rFonts w:eastAsia="Times New Roman" w:cs="Times New Roman"/>
      <w:sz w:val="18"/>
      <w:lang w:eastAsia="en-AU"/>
    </w:rPr>
  </w:style>
  <w:style w:type="paragraph" w:customStyle="1" w:styleId="P1">
    <w:name w:val="P1"/>
    <w:aliases w:val="(a)"/>
    <w:basedOn w:val="Normal"/>
    <w:uiPriority w:val="99"/>
    <w:rsid w:val="00E93F58"/>
    <w:pPr>
      <w:tabs>
        <w:tab w:val="right" w:pos="1191"/>
      </w:tabs>
      <w:spacing w:before="60" w:line="260" w:lineRule="exact"/>
      <w:ind w:left="1418" w:hanging="1418"/>
      <w:jc w:val="both"/>
    </w:pPr>
    <w:rPr>
      <w:rFonts w:eastAsia="Times New Roman" w:cs="Times New Roman"/>
      <w:sz w:val="24"/>
      <w:szCs w:val="24"/>
    </w:rPr>
  </w:style>
  <w:style w:type="paragraph" w:customStyle="1" w:styleId="R2">
    <w:name w:val="R2"/>
    <w:aliases w:val="(2)"/>
    <w:basedOn w:val="Normal"/>
    <w:rsid w:val="00E93F58"/>
    <w:pPr>
      <w:keepLines/>
      <w:tabs>
        <w:tab w:val="right" w:pos="794"/>
      </w:tabs>
      <w:spacing w:before="180" w:line="260" w:lineRule="exact"/>
      <w:ind w:left="964" w:hanging="964"/>
      <w:jc w:val="both"/>
    </w:pPr>
    <w:rPr>
      <w:rFonts w:eastAsia="Times New Roman" w:cs="Times New Roman"/>
      <w:sz w:val="24"/>
      <w:szCs w:val="24"/>
    </w:rPr>
  </w:style>
  <w:style w:type="paragraph" w:customStyle="1" w:styleId="TableP1a">
    <w:name w:val="TableP1(a)"/>
    <w:basedOn w:val="Normal"/>
    <w:rsid w:val="00E93F58"/>
    <w:pPr>
      <w:tabs>
        <w:tab w:val="right" w:pos="408"/>
      </w:tabs>
      <w:spacing w:after="60" w:line="240" w:lineRule="exact"/>
      <w:ind w:left="533" w:hanging="533"/>
    </w:pPr>
    <w:rPr>
      <w:rFonts w:eastAsia="Times New Roman" w:cs="Times New Roman"/>
      <w:szCs w:val="24"/>
      <w:lang w:eastAsia="en-AU"/>
    </w:rPr>
  </w:style>
  <w:style w:type="paragraph" w:customStyle="1" w:styleId="TableText0">
    <w:name w:val="TableText"/>
    <w:basedOn w:val="Normal"/>
    <w:rsid w:val="00E93F58"/>
    <w:pPr>
      <w:spacing w:before="60" w:after="60" w:line="240" w:lineRule="exact"/>
    </w:pPr>
    <w:rPr>
      <w:rFonts w:eastAsia="Times New Roman" w:cs="Times New Roman"/>
      <w:szCs w:val="24"/>
    </w:rPr>
  </w:style>
  <w:style w:type="paragraph" w:customStyle="1" w:styleId="R1">
    <w:name w:val="R1"/>
    <w:aliases w:val="1. or 1.(1)"/>
    <w:basedOn w:val="Normal"/>
    <w:next w:val="Normal"/>
    <w:rsid w:val="00E93F58"/>
    <w:pPr>
      <w:keepLines/>
      <w:tabs>
        <w:tab w:val="right" w:pos="794"/>
      </w:tabs>
      <w:spacing w:before="120" w:line="260" w:lineRule="exact"/>
      <w:ind w:left="964" w:hanging="964"/>
      <w:jc w:val="both"/>
    </w:pPr>
    <w:rPr>
      <w:rFonts w:eastAsia="Times New Roman" w:cs="Times New Roman"/>
      <w:sz w:val="24"/>
      <w:szCs w:val="24"/>
    </w:rPr>
  </w:style>
  <w:style w:type="paragraph" w:customStyle="1" w:styleId="Specialaat">
    <w:name w:val="Special aat"/>
    <w:basedOn w:val="ActHead9"/>
    <w:link w:val="SpecialaatChar"/>
    <w:rsid w:val="00E93F58"/>
    <w:pPr>
      <w:outlineLvl w:val="9"/>
    </w:pPr>
  </w:style>
  <w:style w:type="character" w:customStyle="1" w:styleId="SpecialaatChar">
    <w:name w:val="Special aat Char"/>
    <w:basedOn w:val="DefaultParagraphFont"/>
    <w:link w:val="Specialaat"/>
    <w:rsid w:val="00E93F58"/>
    <w:rPr>
      <w:b/>
      <w:i/>
      <w:kern w:val="28"/>
      <w:sz w:val="28"/>
    </w:rPr>
  </w:style>
  <w:style w:type="character" w:customStyle="1" w:styleId="ItemHeadChar">
    <w:name w:val="ItemHead Char"/>
    <w:aliases w:val="ih Char"/>
    <w:basedOn w:val="OPCParaBaseChar"/>
    <w:link w:val="ItemHead"/>
    <w:rsid w:val="00E93F58"/>
    <w:rPr>
      <w:rFonts w:ascii="Arial" w:hAnsi="Arial"/>
      <w:b/>
      <w:kern w:val="28"/>
      <w:sz w:val="24"/>
    </w:rPr>
  </w:style>
  <w:style w:type="character" w:customStyle="1" w:styleId="ItemChar">
    <w:name w:val="Item Char"/>
    <w:aliases w:val="i Char"/>
    <w:basedOn w:val="DefaultParagraphFont"/>
    <w:link w:val="Item"/>
    <w:rsid w:val="00E93F58"/>
    <w:rPr>
      <w:sz w:val="22"/>
    </w:rPr>
  </w:style>
  <w:style w:type="paragraph" w:customStyle="1" w:styleId="Speciald">
    <w:name w:val="Special d"/>
    <w:basedOn w:val="ActHead3"/>
    <w:link w:val="SpecialdChar"/>
    <w:rsid w:val="00E93F58"/>
    <w:pPr>
      <w:outlineLvl w:val="9"/>
    </w:pPr>
  </w:style>
  <w:style w:type="character" w:customStyle="1" w:styleId="ActHead3Char">
    <w:name w:val="ActHead 3 Char"/>
    <w:aliases w:val="d Char"/>
    <w:basedOn w:val="OPCParaBaseChar"/>
    <w:link w:val="ActHead3"/>
    <w:rsid w:val="00E93F58"/>
    <w:rPr>
      <w:b/>
      <w:kern w:val="28"/>
      <w:sz w:val="28"/>
    </w:rPr>
  </w:style>
  <w:style w:type="character" w:customStyle="1" w:styleId="SpecialdChar">
    <w:name w:val="Special d Char"/>
    <w:basedOn w:val="ActHead3Char"/>
    <w:link w:val="Speciald"/>
    <w:rsid w:val="00E93F58"/>
    <w:rPr>
      <w:b/>
      <w:kern w:val="28"/>
      <w:sz w:val="28"/>
    </w:rPr>
  </w:style>
  <w:style w:type="paragraph" w:customStyle="1" w:styleId="Specialih">
    <w:name w:val="Special ih"/>
    <w:basedOn w:val="ItemHead"/>
    <w:link w:val="SpecialihChar"/>
    <w:rsid w:val="00E93F58"/>
  </w:style>
  <w:style w:type="character" w:customStyle="1" w:styleId="SpecialihChar">
    <w:name w:val="Special ih Char"/>
    <w:basedOn w:val="ItemHeadChar"/>
    <w:link w:val="Specialih"/>
    <w:rsid w:val="00E93F58"/>
    <w:rPr>
      <w:rFonts w:ascii="Arial" w:hAnsi="Arial"/>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35480">
      <w:bodyDiv w:val="1"/>
      <w:marLeft w:val="0"/>
      <w:marRight w:val="0"/>
      <w:marTop w:val="0"/>
      <w:marBottom w:val="0"/>
      <w:divBdr>
        <w:top w:val="none" w:sz="0" w:space="0" w:color="auto"/>
        <w:left w:val="none" w:sz="0" w:space="0" w:color="auto"/>
        <w:bottom w:val="none" w:sz="0" w:space="0" w:color="auto"/>
        <w:right w:val="none" w:sz="0" w:space="0" w:color="auto"/>
      </w:divBdr>
    </w:div>
    <w:div w:id="1195075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0BB1-FF01-4E00-9551-96539ED7B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Template>
  <TotalTime>0</TotalTime>
  <Pages>993</Pages>
  <Words>355325</Words>
  <Characters>2025357</Characters>
  <Application>Microsoft Office Word</Application>
  <DocSecurity>0</DocSecurity>
  <PresentationFormat/>
  <Lines>16877</Lines>
  <Paragraphs>4751</Paragraphs>
  <ScaleCrop>false</ScaleCrop>
  <HeadingPairs>
    <vt:vector size="2" baseType="variant">
      <vt:variant>
        <vt:lpstr>Title</vt:lpstr>
      </vt:variant>
      <vt:variant>
        <vt:i4>1</vt:i4>
      </vt:variant>
    </vt:vector>
  </HeadingPairs>
  <TitlesOfParts>
    <vt:vector size="1" baseType="lpstr">
      <vt:lpstr>Corporations Regulations 2001</vt:lpstr>
    </vt:vector>
  </TitlesOfParts>
  <Manager/>
  <Company/>
  <LinksUpToDate>false</LinksUpToDate>
  <CharactersWithSpaces>2375931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Corporations Regulations 2001</dc:title>
  <dc:subject/>
  <dc:creator/>
  <cp:keywords/>
  <dc:description/>
  <cp:lastModifiedBy/>
  <cp:revision>1</cp:revision>
  <cp:lastPrinted>2013-05-27T03:19:00Z</cp:lastPrinted>
  <dcterms:created xsi:type="dcterms:W3CDTF">2024-02-12T22:47:00Z</dcterms:created>
  <dcterms:modified xsi:type="dcterms:W3CDTF">2024-02-12T22:47:00Z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Corporations Regulations 2001</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2022</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OFFICIAL</vt:lpwstr>
  </property>
  <property fmtid="{D5CDD505-2E9C-101B-9397-08002B2CF9AE}" pid="14" name="DLM">
    <vt:lpwstr> </vt:lpwstr>
  </property>
  <property fmtid="{D5CDD505-2E9C-101B-9397-08002B2CF9AE}" pid="15" name="ChangedTitle">
    <vt:lpwstr>Corporations Regulations 2001</vt:lpwstr>
  </property>
  <property fmtid="{D5CDD505-2E9C-101B-9397-08002B2CF9AE}" pid="16" name="DoNotAsk">
    <vt:lpwstr>1</vt:lpwstr>
  </property>
  <property fmtid="{D5CDD505-2E9C-101B-9397-08002B2CF9AE}" pid="17" name="CompilationVersion">
    <vt:i4>3</vt:i4>
  </property>
  <property fmtid="{D5CDD505-2E9C-101B-9397-08002B2CF9AE}" pid="18" name="CompilationNumber">
    <vt:lpwstr>192</vt:lpwstr>
  </property>
  <property fmtid="{D5CDD505-2E9C-101B-9397-08002B2CF9AE}" pid="19" name="StartDate">
    <vt:lpwstr>1 November 2023</vt:lpwstr>
  </property>
  <property fmtid="{D5CDD505-2E9C-101B-9397-08002B2CF9AE}" pid="20" name="PreparedDate">
    <vt:filetime>2016-04-17T14:00:00Z</vt:filetime>
  </property>
  <property fmtid="{D5CDD505-2E9C-101B-9397-08002B2CF9AE}" pid="21" name="RegisteredDate">
    <vt:lpwstr>28 November 2023</vt:lpwstr>
  </property>
  <property fmtid="{D5CDD505-2E9C-101B-9397-08002B2CF9AE}" pid="22" name="IncludesUpTo">
    <vt:lpwstr>F2023L01458</vt:lpwstr>
  </property>
</Properties>
</file>